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ink/ink1.xml" ContentType="application/inkml+xml"/>
  <Override PartName="/word/ink/ink2.xml" ContentType="application/inkml+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footer10.xml" ContentType="application/vnd.openxmlformats-officedocument.wordprocessingml.footer+xml"/>
  <Override PartName="/word/header17.xml" ContentType="application/vnd.openxmlformats-officedocument.wordprocessingml.header+xml"/>
  <Override PartName="/word/footer11.xml" ContentType="application/vnd.openxmlformats-officedocument.wordprocessingml.footer+xml"/>
  <Override PartName="/word/header18.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D8E2E" w14:textId="77777777" w:rsidR="00340D87" w:rsidRPr="003D1614" w:rsidRDefault="00340D87" w:rsidP="00340D87">
      <w:pPr>
        <w:jc w:val="center"/>
        <w:rPr>
          <w:rFonts w:ascii="Arial" w:eastAsia="Times New Roman" w:hAnsi="Arial" w:cs="Arial"/>
          <w:b/>
          <w:color w:val="000000" w:themeColor="text1"/>
          <w:sz w:val="32"/>
          <w:szCs w:val="32"/>
        </w:rPr>
      </w:pPr>
    </w:p>
    <w:p w14:paraId="5D87CC87" w14:textId="77777777" w:rsidR="00340D87" w:rsidRPr="003D1614" w:rsidRDefault="00340D87" w:rsidP="00340D87">
      <w:pPr>
        <w:jc w:val="center"/>
        <w:rPr>
          <w:rFonts w:ascii="Arial" w:eastAsia="Times New Roman" w:hAnsi="Arial" w:cs="Arial"/>
          <w:b/>
          <w:color w:val="000000" w:themeColor="text1"/>
          <w:sz w:val="32"/>
          <w:szCs w:val="32"/>
        </w:rPr>
      </w:pPr>
    </w:p>
    <w:p w14:paraId="48B30E3E" w14:textId="77777777" w:rsidR="00340D87" w:rsidRPr="003D1614" w:rsidRDefault="00340D87" w:rsidP="00340D87">
      <w:pPr>
        <w:jc w:val="center"/>
        <w:rPr>
          <w:rFonts w:ascii="Arial" w:eastAsia="Times New Roman" w:hAnsi="Arial" w:cs="Arial"/>
          <w:b/>
          <w:color w:val="000000" w:themeColor="text1"/>
          <w:sz w:val="32"/>
          <w:szCs w:val="32"/>
        </w:rPr>
      </w:pPr>
    </w:p>
    <w:p w14:paraId="7286BDAC" w14:textId="77777777" w:rsidR="00340D87" w:rsidRPr="003D1614" w:rsidRDefault="00340D87" w:rsidP="00340D87">
      <w:pPr>
        <w:jc w:val="center"/>
        <w:rPr>
          <w:rFonts w:ascii="Arial" w:eastAsia="Times New Roman" w:hAnsi="Arial" w:cs="Arial"/>
          <w:b/>
          <w:color w:val="000000" w:themeColor="text1"/>
          <w:sz w:val="32"/>
          <w:szCs w:val="32"/>
        </w:rPr>
      </w:pPr>
    </w:p>
    <w:p w14:paraId="1EEF478D" w14:textId="77777777" w:rsidR="00340D87" w:rsidRPr="003D1614" w:rsidRDefault="00340D87" w:rsidP="00340D87">
      <w:pPr>
        <w:jc w:val="center"/>
        <w:rPr>
          <w:rFonts w:ascii="Arial" w:eastAsia="Times New Roman" w:hAnsi="Arial" w:cs="Arial"/>
          <w:b/>
          <w:color w:val="000000" w:themeColor="text1"/>
          <w:sz w:val="32"/>
          <w:szCs w:val="32"/>
        </w:rPr>
      </w:pPr>
    </w:p>
    <w:p w14:paraId="67A07746" w14:textId="77777777" w:rsidR="00340D87" w:rsidRPr="003D1614" w:rsidRDefault="00340D87" w:rsidP="00340D87">
      <w:pPr>
        <w:jc w:val="center"/>
        <w:rPr>
          <w:rFonts w:ascii="Arial" w:eastAsia="Times New Roman" w:hAnsi="Arial" w:cs="Arial"/>
          <w:b/>
          <w:color w:val="000000" w:themeColor="text1"/>
          <w:sz w:val="32"/>
          <w:szCs w:val="32"/>
        </w:rPr>
      </w:pPr>
    </w:p>
    <w:p w14:paraId="0950FBDA" w14:textId="77777777" w:rsidR="00340D87" w:rsidRPr="003D1614" w:rsidRDefault="00340D87" w:rsidP="00340D87">
      <w:pPr>
        <w:jc w:val="center"/>
        <w:rPr>
          <w:rFonts w:ascii="Arial" w:eastAsia="Times New Roman" w:hAnsi="Arial" w:cs="Arial"/>
          <w:b/>
          <w:color w:val="000000" w:themeColor="text1"/>
          <w:sz w:val="32"/>
          <w:szCs w:val="32"/>
        </w:rPr>
      </w:pPr>
    </w:p>
    <w:p w14:paraId="155472D7" w14:textId="77777777" w:rsidR="00340D87" w:rsidRPr="003D1614" w:rsidRDefault="00340D87" w:rsidP="00340D87">
      <w:pPr>
        <w:jc w:val="center"/>
        <w:rPr>
          <w:rFonts w:ascii="Arial" w:eastAsia="Times New Roman" w:hAnsi="Arial" w:cs="Arial"/>
          <w:b/>
          <w:color w:val="000000" w:themeColor="text1"/>
          <w:sz w:val="32"/>
          <w:szCs w:val="32"/>
        </w:rPr>
      </w:pPr>
    </w:p>
    <w:p w14:paraId="4D046453" w14:textId="77777777" w:rsidR="00340D87" w:rsidRPr="003D1614" w:rsidRDefault="00340D87" w:rsidP="00340D87">
      <w:pPr>
        <w:jc w:val="center"/>
        <w:rPr>
          <w:rFonts w:ascii="Arial" w:eastAsia="Times New Roman" w:hAnsi="Arial" w:cs="Arial"/>
          <w:b/>
          <w:color w:val="000000" w:themeColor="text1"/>
          <w:sz w:val="32"/>
          <w:szCs w:val="32"/>
        </w:rPr>
      </w:pPr>
    </w:p>
    <w:p w14:paraId="09E303E4" w14:textId="77777777" w:rsidR="00340D87" w:rsidRPr="003D1614" w:rsidRDefault="00340D87" w:rsidP="00340D87">
      <w:pPr>
        <w:jc w:val="center"/>
        <w:rPr>
          <w:rFonts w:ascii="Arial" w:eastAsia="Times New Roman" w:hAnsi="Arial" w:cs="Arial"/>
          <w:b/>
          <w:color w:val="000000" w:themeColor="text1"/>
          <w:sz w:val="32"/>
          <w:szCs w:val="32"/>
        </w:rPr>
      </w:pPr>
    </w:p>
    <w:p w14:paraId="674389A7" w14:textId="330B2E47" w:rsidR="00AD2D70" w:rsidRDefault="00AD2D70" w:rsidP="00340D87">
      <w:pPr>
        <w:jc w:val="center"/>
        <w:rPr>
          <w:rFonts w:ascii="Arial" w:eastAsia="Times New Roman" w:hAnsi="Arial" w:cs="Arial"/>
          <w:b/>
          <w:color w:val="000000" w:themeColor="text1"/>
          <w:sz w:val="32"/>
          <w:szCs w:val="32"/>
        </w:rPr>
      </w:pPr>
    </w:p>
    <w:p w14:paraId="4EFB307C" w14:textId="36112C94" w:rsidR="00AD2D70" w:rsidRDefault="00AD2D70" w:rsidP="00AD2D70">
      <w:pPr>
        <w:tabs>
          <w:tab w:val="left" w:pos="1485"/>
        </w:tabs>
        <w:rPr>
          <w:rFonts w:ascii="Arial" w:eastAsia="Times New Roman" w:hAnsi="Arial" w:cs="Arial"/>
          <w:b/>
          <w:color w:val="000000" w:themeColor="text1"/>
          <w:sz w:val="32"/>
          <w:szCs w:val="32"/>
        </w:rPr>
      </w:pPr>
      <w:r>
        <w:rPr>
          <w:rFonts w:ascii="Arial" w:eastAsia="Times New Roman" w:hAnsi="Arial" w:cs="Arial"/>
          <w:b/>
          <w:color w:val="000000" w:themeColor="text1"/>
          <w:sz w:val="32"/>
          <w:szCs w:val="32"/>
        </w:rPr>
        <w:tab/>
      </w:r>
    </w:p>
    <w:p w14:paraId="4BE808ED" w14:textId="1FAB39CD" w:rsidR="00AD2D70" w:rsidRDefault="00AD2D70" w:rsidP="00AD2D70">
      <w:pPr>
        <w:tabs>
          <w:tab w:val="left" w:pos="1485"/>
        </w:tabs>
        <w:rPr>
          <w:rFonts w:ascii="Arial" w:eastAsia="Times New Roman" w:hAnsi="Arial" w:cs="Arial"/>
          <w:b/>
          <w:color w:val="000000" w:themeColor="text1"/>
          <w:sz w:val="32"/>
          <w:szCs w:val="32"/>
        </w:rPr>
      </w:pPr>
    </w:p>
    <w:p w14:paraId="06D52ED0" w14:textId="77777777" w:rsidR="00AD2D70" w:rsidRPr="003D1614" w:rsidRDefault="00AD2D70" w:rsidP="00AD2D70">
      <w:pPr>
        <w:tabs>
          <w:tab w:val="left" w:pos="1485"/>
        </w:tabs>
        <w:rPr>
          <w:rFonts w:ascii="Arial" w:eastAsia="Times New Roman" w:hAnsi="Arial" w:cs="Arial"/>
          <w:b/>
          <w:color w:val="000000" w:themeColor="text1"/>
          <w:sz w:val="32"/>
          <w:szCs w:val="32"/>
        </w:rPr>
      </w:pPr>
    </w:p>
    <w:p w14:paraId="4210AEE6" w14:textId="77777777" w:rsidR="00340D87" w:rsidRPr="003D1614" w:rsidRDefault="00340D87" w:rsidP="00340D87">
      <w:pPr>
        <w:jc w:val="center"/>
        <w:rPr>
          <w:rFonts w:ascii="Arial" w:eastAsia="Times New Roman" w:hAnsi="Arial" w:cs="Arial"/>
          <w:b/>
          <w:color w:val="000000" w:themeColor="text1"/>
          <w:sz w:val="32"/>
          <w:szCs w:val="32"/>
        </w:rPr>
      </w:pPr>
    </w:p>
    <w:p w14:paraId="3E3431A2" w14:textId="77777777" w:rsidR="00340D87" w:rsidRPr="003D1614" w:rsidRDefault="00340D87" w:rsidP="00340D87">
      <w:pPr>
        <w:ind w:right="284"/>
        <w:rPr>
          <w:rFonts w:ascii="Arial" w:eastAsia="Times New Roman" w:hAnsi="Arial" w:cs="Arial"/>
          <w:b/>
          <w:color w:val="000000" w:themeColor="text1"/>
          <w:sz w:val="28"/>
          <w:szCs w:val="28"/>
        </w:rPr>
      </w:pPr>
      <w:r w:rsidRPr="003D1614">
        <w:rPr>
          <w:rFonts w:ascii="Arial" w:eastAsia="Times New Roman" w:hAnsi="Arial" w:cs="Arial"/>
          <w:b/>
          <w:color w:val="000000" w:themeColor="text1"/>
          <w:sz w:val="28"/>
          <w:szCs w:val="28"/>
        </w:rPr>
        <w:t>HRVATSKA BANKA ZA OBNOVU I RAZVITAK</w:t>
      </w:r>
    </w:p>
    <w:p w14:paraId="7360F328" w14:textId="77777777" w:rsidR="00340D87" w:rsidRPr="003D1614" w:rsidRDefault="00340D87" w:rsidP="00340D87">
      <w:pPr>
        <w:rPr>
          <w:rFonts w:ascii="Arial" w:eastAsia="Times New Roman" w:hAnsi="Arial" w:cs="Arial"/>
          <w:b/>
          <w:color w:val="000000" w:themeColor="text1"/>
          <w:sz w:val="32"/>
          <w:szCs w:val="32"/>
        </w:rPr>
      </w:pPr>
    </w:p>
    <w:p w14:paraId="695D4788" w14:textId="77777777" w:rsidR="00340D87" w:rsidRPr="003D1614" w:rsidRDefault="00340D87" w:rsidP="00340D87">
      <w:pPr>
        <w:rPr>
          <w:rFonts w:ascii="Arial" w:eastAsia="Times New Roman" w:hAnsi="Arial" w:cs="Arial"/>
          <w:b/>
          <w:color w:val="000000" w:themeColor="text1"/>
          <w:sz w:val="28"/>
          <w:szCs w:val="28"/>
        </w:rPr>
      </w:pPr>
      <w:r w:rsidRPr="003D1614">
        <w:rPr>
          <w:rFonts w:ascii="Arial" w:eastAsia="Times New Roman" w:hAnsi="Arial" w:cs="Arial"/>
          <w:b/>
          <w:color w:val="000000" w:themeColor="text1"/>
          <w:sz w:val="28"/>
          <w:szCs w:val="28"/>
        </w:rPr>
        <w:t>Nerevidirani skraćeni odvojeni i konsolidirani financijski izvještaji</w:t>
      </w:r>
    </w:p>
    <w:p w14:paraId="3A8E0BF1" w14:textId="66893DF0" w:rsidR="00340D87" w:rsidRPr="003D1614" w:rsidRDefault="00340D87" w:rsidP="00340D87">
      <w:pPr>
        <w:rPr>
          <w:rFonts w:ascii="Arial" w:hAnsi="Arial" w:cs="Arial"/>
          <w:color w:val="000000" w:themeColor="text1"/>
          <w:sz w:val="28"/>
          <w:szCs w:val="28"/>
        </w:rPr>
      </w:pPr>
      <w:r w:rsidRPr="003D1614">
        <w:rPr>
          <w:rFonts w:ascii="Arial" w:eastAsia="Times New Roman" w:hAnsi="Arial" w:cs="Arial"/>
          <w:b/>
          <w:color w:val="000000" w:themeColor="text1"/>
          <w:sz w:val="28"/>
          <w:szCs w:val="28"/>
        </w:rPr>
        <w:t xml:space="preserve">za razdoblje od 1.1. do </w:t>
      </w:r>
      <w:r w:rsidR="00A24D20" w:rsidRPr="003D1614">
        <w:rPr>
          <w:rFonts w:ascii="Arial" w:eastAsia="Times New Roman" w:hAnsi="Arial" w:cs="Arial"/>
          <w:b/>
          <w:color w:val="000000" w:themeColor="text1"/>
          <w:sz w:val="28"/>
          <w:szCs w:val="28"/>
        </w:rPr>
        <w:t>3</w:t>
      </w:r>
      <w:r w:rsidR="00A24D20">
        <w:rPr>
          <w:rFonts w:ascii="Arial" w:eastAsia="Times New Roman" w:hAnsi="Arial" w:cs="Arial"/>
          <w:b/>
          <w:color w:val="000000" w:themeColor="text1"/>
          <w:sz w:val="28"/>
          <w:szCs w:val="28"/>
        </w:rPr>
        <w:t>0</w:t>
      </w:r>
      <w:r w:rsidRPr="003D1614">
        <w:rPr>
          <w:rFonts w:ascii="Arial" w:eastAsia="Times New Roman" w:hAnsi="Arial" w:cs="Arial"/>
          <w:b/>
          <w:color w:val="000000" w:themeColor="text1"/>
          <w:sz w:val="28"/>
          <w:szCs w:val="28"/>
        </w:rPr>
        <w:t>.</w:t>
      </w:r>
      <w:r w:rsidR="00D82E14">
        <w:rPr>
          <w:rFonts w:ascii="Arial" w:eastAsia="Times New Roman" w:hAnsi="Arial" w:cs="Arial"/>
          <w:b/>
          <w:color w:val="000000" w:themeColor="text1"/>
          <w:sz w:val="28"/>
          <w:szCs w:val="28"/>
        </w:rPr>
        <w:t>9</w:t>
      </w:r>
      <w:r w:rsidRPr="003D1614">
        <w:rPr>
          <w:rFonts w:ascii="Arial" w:eastAsia="Times New Roman" w:hAnsi="Arial" w:cs="Arial"/>
          <w:b/>
          <w:color w:val="000000" w:themeColor="text1"/>
          <w:sz w:val="28"/>
          <w:szCs w:val="28"/>
        </w:rPr>
        <w:t>.202</w:t>
      </w:r>
      <w:r w:rsidR="00A10A75">
        <w:rPr>
          <w:rFonts w:ascii="Arial" w:eastAsia="Times New Roman" w:hAnsi="Arial" w:cs="Arial"/>
          <w:b/>
          <w:color w:val="000000" w:themeColor="text1"/>
          <w:sz w:val="28"/>
          <w:szCs w:val="28"/>
        </w:rPr>
        <w:t>4</w:t>
      </w:r>
      <w:r w:rsidRPr="003D1614">
        <w:rPr>
          <w:rFonts w:ascii="Arial" w:eastAsia="Times New Roman" w:hAnsi="Arial" w:cs="Arial"/>
          <w:b/>
          <w:color w:val="000000" w:themeColor="text1"/>
          <w:sz w:val="28"/>
          <w:szCs w:val="28"/>
        </w:rPr>
        <w:t>.</w:t>
      </w:r>
    </w:p>
    <w:p w14:paraId="4EA9D7A4" w14:textId="77777777" w:rsidR="00D101AE" w:rsidRPr="003D1614" w:rsidRDefault="00D101AE">
      <w:pPr>
        <w:rPr>
          <w:rFonts w:ascii="Arial" w:hAnsi="Arial" w:cs="Arial"/>
          <w:sz w:val="20"/>
          <w:szCs w:val="20"/>
        </w:rPr>
      </w:pPr>
    </w:p>
    <w:p w14:paraId="3E4ECFEF" w14:textId="77777777" w:rsidR="00753D23" w:rsidRPr="003D1614" w:rsidRDefault="00753D23" w:rsidP="00753D23">
      <w:pPr>
        <w:jc w:val="center"/>
        <w:rPr>
          <w:rFonts w:ascii="Arial" w:hAnsi="Arial" w:cs="Arial"/>
          <w:color w:val="000000" w:themeColor="text1"/>
          <w:sz w:val="20"/>
          <w:szCs w:val="20"/>
        </w:rPr>
      </w:pPr>
    </w:p>
    <w:p w14:paraId="404DB9BB" w14:textId="77777777" w:rsidR="00753D23" w:rsidRPr="003D1614" w:rsidRDefault="00753D23" w:rsidP="00753D23">
      <w:pPr>
        <w:jc w:val="center"/>
        <w:rPr>
          <w:rFonts w:ascii="Arial" w:hAnsi="Arial" w:cs="Arial"/>
          <w:color w:val="000000" w:themeColor="text1"/>
          <w:sz w:val="20"/>
          <w:szCs w:val="20"/>
        </w:rPr>
      </w:pPr>
    </w:p>
    <w:p w14:paraId="71FD677A" w14:textId="77777777" w:rsidR="00753D23" w:rsidRPr="003D1614" w:rsidRDefault="00753D23" w:rsidP="00753D23">
      <w:pPr>
        <w:jc w:val="center"/>
        <w:rPr>
          <w:rFonts w:ascii="Arial" w:hAnsi="Arial" w:cs="Arial"/>
          <w:color w:val="000000" w:themeColor="text1"/>
          <w:sz w:val="20"/>
          <w:szCs w:val="20"/>
        </w:rPr>
      </w:pPr>
    </w:p>
    <w:p w14:paraId="0418A80B" w14:textId="77777777" w:rsidR="00753D23" w:rsidRPr="003D1614" w:rsidRDefault="00753D23" w:rsidP="00753D23">
      <w:pPr>
        <w:jc w:val="center"/>
        <w:rPr>
          <w:rFonts w:ascii="Arial" w:hAnsi="Arial" w:cs="Arial"/>
          <w:color w:val="000000" w:themeColor="text1"/>
          <w:sz w:val="20"/>
          <w:szCs w:val="20"/>
        </w:rPr>
      </w:pPr>
    </w:p>
    <w:p w14:paraId="55568076" w14:textId="77777777" w:rsidR="00753D23" w:rsidRPr="003D1614" w:rsidRDefault="00753D23" w:rsidP="00753D23">
      <w:pPr>
        <w:jc w:val="center"/>
        <w:rPr>
          <w:rFonts w:ascii="Arial" w:hAnsi="Arial" w:cs="Arial"/>
          <w:color w:val="000000" w:themeColor="text1"/>
          <w:sz w:val="20"/>
          <w:szCs w:val="20"/>
        </w:rPr>
      </w:pPr>
    </w:p>
    <w:p w14:paraId="5E12D44F" w14:textId="77777777" w:rsidR="00753D23" w:rsidRPr="003D1614" w:rsidRDefault="00753D23" w:rsidP="00753D23">
      <w:pPr>
        <w:jc w:val="center"/>
        <w:rPr>
          <w:rFonts w:ascii="Arial" w:hAnsi="Arial" w:cs="Arial"/>
          <w:color w:val="000000" w:themeColor="text1"/>
          <w:sz w:val="20"/>
          <w:szCs w:val="20"/>
        </w:rPr>
      </w:pPr>
    </w:p>
    <w:p w14:paraId="0D719934" w14:textId="77777777" w:rsidR="00753D23" w:rsidRPr="003D1614" w:rsidRDefault="00753D23" w:rsidP="00753D23">
      <w:pPr>
        <w:jc w:val="center"/>
        <w:rPr>
          <w:rFonts w:ascii="Arial" w:hAnsi="Arial" w:cs="Arial"/>
          <w:color w:val="000000" w:themeColor="text1"/>
          <w:sz w:val="20"/>
          <w:szCs w:val="20"/>
        </w:rPr>
      </w:pPr>
    </w:p>
    <w:p w14:paraId="106F42ED" w14:textId="77777777" w:rsidR="00753D23" w:rsidRPr="003D1614" w:rsidRDefault="00753D23" w:rsidP="00753D23">
      <w:pPr>
        <w:jc w:val="center"/>
        <w:rPr>
          <w:rFonts w:ascii="Arial" w:hAnsi="Arial" w:cs="Arial"/>
          <w:color w:val="000000" w:themeColor="text1"/>
          <w:sz w:val="20"/>
          <w:szCs w:val="20"/>
        </w:rPr>
      </w:pPr>
    </w:p>
    <w:p w14:paraId="4E22ECAE" w14:textId="77777777" w:rsidR="00753D23" w:rsidRPr="003D1614" w:rsidRDefault="00753D23" w:rsidP="00753D23">
      <w:pPr>
        <w:jc w:val="center"/>
        <w:rPr>
          <w:rFonts w:ascii="Arial" w:hAnsi="Arial" w:cs="Arial"/>
          <w:color w:val="000000" w:themeColor="text1"/>
          <w:sz w:val="20"/>
          <w:szCs w:val="20"/>
        </w:rPr>
      </w:pPr>
    </w:p>
    <w:p w14:paraId="76F3B347" w14:textId="77777777" w:rsidR="00753D23" w:rsidRPr="003D1614" w:rsidRDefault="00753D23" w:rsidP="00753D23">
      <w:pPr>
        <w:jc w:val="center"/>
        <w:rPr>
          <w:rFonts w:ascii="Arial" w:hAnsi="Arial" w:cs="Arial"/>
          <w:color w:val="000000" w:themeColor="text1"/>
          <w:sz w:val="20"/>
          <w:szCs w:val="20"/>
        </w:rPr>
      </w:pPr>
    </w:p>
    <w:p w14:paraId="50494387" w14:textId="77777777" w:rsidR="00753D23" w:rsidRPr="003D1614" w:rsidRDefault="00753D23" w:rsidP="00753D23">
      <w:pPr>
        <w:jc w:val="center"/>
        <w:rPr>
          <w:rFonts w:ascii="Arial" w:hAnsi="Arial" w:cs="Arial"/>
          <w:color w:val="000000" w:themeColor="text1"/>
          <w:sz w:val="20"/>
          <w:szCs w:val="20"/>
        </w:rPr>
      </w:pPr>
    </w:p>
    <w:p w14:paraId="7BCB92E9" w14:textId="77777777" w:rsidR="00753D23" w:rsidRPr="003D1614" w:rsidRDefault="00753D23" w:rsidP="00753D23">
      <w:pPr>
        <w:jc w:val="center"/>
        <w:rPr>
          <w:rFonts w:ascii="Arial" w:hAnsi="Arial" w:cs="Arial"/>
          <w:color w:val="000000" w:themeColor="text1"/>
          <w:sz w:val="20"/>
          <w:szCs w:val="20"/>
        </w:rPr>
      </w:pPr>
    </w:p>
    <w:p w14:paraId="00A3E09B" w14:textId="77777777" w:rsidR="00753D23" w:rsidRPr="003D1614" w:rsidRDefault="00753D23" w:rsidP="00753D23">
      <w:pPr>
        <w:jc w:val="center"/>
        <w:rPr>
          <w:rFonts w:ascii="Arial" w:hAnsi="Arial" w:cs="Arial"/>
          <w:color w:val="000000" w:themeColor="text1"/>
          <w:sz w:val="20"/>
          <w:szCs w:val="20"/>
        </w:rPr>
      </w:pPr>
    </w:p>
    <w:p w14:paraId="6803DA1D" w14:textId="77777777" w:rsidR="00753D23" w:rsidRPr="003D1614" w:rsidRDefault="00753D23" w:rsidP="00753D23">
      <w:pPr>
        <w:jc w:val="center"/>
        <w:rPr>
          <w:rFonts w:ascii="Arial" w:hAnsi="Arial" w:cs="Arial"/>
          <w:color w:val="000000" w:themeColor="text1"/>
          <w:sz w:val="20"/>
          <w:szCs w:val="20"/>
        </w:rPr>
      </w:pPr>
    </w:p>
    <w:p w14:paraId="2C183AE3" w14:textId="77777777" w:rsidR="00753D23" w:rsidRPr="003D1614" w:rsidRDefault="00753D23" w:rsidP="00753D23">
      <w:pPr>
        <w:jc w:val="center"/>
        <w:rPr>
          <w:rFonts w:ascii="Arial" w:hAnsi="Arial" w:cs="Arial"/>
          <w:color w:val="000000" w:themeColor="text1"/>
          <w:sz w:val="20"/>
          <w:szCs w:val="20"/>
        </w:rPr>
      </w:pPr>
    </w:p>
    <w:p w14:paraId="36414526" w14:textId="77777777" w:rsidR="00753D23" w:rsidRPr="003D1614" w:rsidRDefault="00753D23" w:rsidP="00753D23">
      <w:pPr>
        <w:jc w:val="center"/>
        <w:rPr>
          <w:rFonts w:ascii="Arial" w:hAnsi="Arial" w:cs="Arial"/>
          <w:color w:val="000000" w:themeColor="text1"/>
          <w:sz w:val="20"/>
          <w:szCs w:val="20"/>
        </w:rPr>
      </w:pPr>
    </w:p>
    <w:p w14:paraId="750D7F1C" w14:textId="77777777" w:rsidR="00753D23" w:rsidRPr="003D1614" w:rsidRDefault="00753D23" w:rsidP="00753D23">
      <w:pPr>
        <w:jc w:val="center"/>
        <w:rPr>
          <w:rFonts w:ascii="Arial" w:hAnsi="Arial" w:cs="Arial"/>
          <w:color w:val="000000" w:themeColor="text1"/>
          <w:sz w:val="20"/>
          <w:szCs w:val="20"/>
        </w:rPr>
      </w:pPr>
    </w:p>
    <w:p w14:paraId="1E6412AE" w14:textId="77777777" w:rsidR="00753D23" w:rsidRPr="003D1614" w:rsidRDefault="00753D23" w:rsidP="00753D23">
      <w:pPr>
        <w:jc w:val="center"/>
        <w:rPr>
          <w:rFonts w:ascii="Arial" w:hAnsi="Arial" w:cs="Arial"/>
          <w:color w:val="000000" w:themeColor="text1"/>
          <w:sz w:val="20"/>
          <w:szCs w:val="20"/>
        </w:rPr>
      </w:pPr>
    </w:p>
    <w:p w14:paraId="10AD2350" w14:textId="77777777" w:rsidR="00753D23" w:rsidRPr="003D1614" w:rsidRDefault="00753D23" w:rsidP="00AD2D70">
      <w:pPr>
        <w:rPr>
          <w:rFonts w:ascii="Arial" w:hAnsi="Arial" w:cs="Arial"/>
          <w:color w:val="000000" w:themeColor="text1"/>
          <w:sz w:val="20"/>
          <w:szCs w:val="20"/>
        </w:rPr>
      </w:pPr>
    </w:p>
    <w:p w14:paraId="2337DF5F" w14:textId="77777777" w:rsidR="00753D23" w:rsidRPr="003D1614" w:rsidRDefault="00753D23" w:rsidP="00753D23">
      <w:pPr>
        <w:jc w:val="center"/>
        <w:rPr>
          <w:rFonts w:ascii="Arial" w:hAnsi="Arial" w:cs="Arial"/>
          <w:color w:val="000000" w:themeColor="text1"/>
          <w:sz w:val="20"/>
          <w:szCs w:val="20"/>
        </w:rPr>
      </w:pPr>
    </w:p>
    <w:p w14:paraId="3B5B410E" w14:textId="77777777" w:rsidR="00753D23" w:rsidRPr="003D1614" w:rsidRDefault="00753D23" w:rsidP="00753D23">
      <w:pPr>
        <w:jc w:val="center"/>
        <w:rPr>
          <w:rFonts w:ascii="Arial" w:hAnsi="Arial" w:cs="Arial"/>
          <w:color w:val="000000" w:themeColor="text1"/>
          <w:sz w:val="20"/>
          <w:szCs w:val="20"/>
        </w:rPr>
      </w:pPr>
    </w:p>
    <w:p w14:paraId="217D99A4" w14:textId="77777777" w:rsidR="00753D23" w:rsidRPr="003D1614" w:rsidRDefault="00753D23" w:rsidP="00753D23">
      <w:pPr>
        <w:jc w:val="center"/>
        <w:rPr>
          <w:rFonts w:ascii="Arial" w:hAnsi="Arial" w:cs="Arial"/>
          <w:color w:val="000000" w:themeColor="text1"/>
          <w:sz w:val="20"/>
          <w:szCs w:val="20"/>
        </w:rPr>
      </w:pPr>
    </w:p>
    <w:p w14:paraId="2F1FDAF4" w14:textId="77777777" w:rsidR="00753D23" w:rsidRPr="003D1614" w:rsidRDefault="00753D23" w:rsidP="00753D23">
      <w:pPr>
        <w:jc w:val="center"/>
        <w:rPr>
          <w:rFonts w:ascii="Arial" w:hAnsi="Arial" w:cs="Arial"/>
          <w:color w:val="000000" w:themeColor="text1"/>
          <w:sz w:val="20"/>
          <w:szCs w:val="20"/>
        </w:rPr>
      </w:pPr>
    </w:p>
    <w:p w14:paraId="7B24D377" w14:textId="77777777" w:rsidR="00753D23" w:rsidRPr="003D1614" w:rsidRDefault="00753D23" w:rsidP="00753D23">
      <w:pPr>
        <w:jc w:val="center"/>
        <w:rPr>
          <w:rFonts w:ascii="Arial" w:hAnsi="Arial" w:cs="Arial"/>
          <w:color w:val="000000" w:themeColor="text1"/>
          <w:sz w:val="20"/>
          <w:szCs w:val="20"/>
        </w:rPr>
      </w:pPr>
    </w:p>
    <w:p w14:paraId="550A06CC" w14:textId="77777777" w:rsidR="00753D23" w:rsidRPr="003D1614" w:rsidRDefault="00753D23" w:rsidP="00753D23">
      <w:pPr>
        <w:jc w:val="center"/>
        <w:rPr>
          <w:rFonts w:ascii="Arial" w:hAnsi="Arial" w:cs="Arial"/>
          <w:color w:val="000000" w:themeColor="text1"/>
          <w:sz w:val="20"/>
          <w:szCs w:val="20"/>
        </w:rPr>
      </w:pPr>
    </w:p>
    <w:p w14:paraId="0FBE811E" w14:textId="77777777" w:rsidR="00753D23" w:rsidRPr="003D1614" w:rsidRDefault="00753D23" w:rsidP="00753D23">
      <w:pPr>
        <w:jc w:val="center"/>
        <w:rPr>
          <w:rFonts w:ascii="Arial" w:hAnsi="Arial" w:cs="Arial"/>
          <w:color w:val="000000" w:themeColor="text1"/>
          <w:sz w:val="20"/>
          <w:szCs w:val="20"/>
        </w:rPr>
      </w:pPr>
    </w:p>
    <w:p w14:paraId="11DE1F67" w14:textId="7A0F64FA" w:rsidR="00753D23" w:rsidRPr="003D1614" w:rsidRDefault="00753D23" w:rsidP="00753D23">
      <w:pPr>
        <w:jc w:val="center"/>
        <w:rPr>
          <w:rFonts w:ascii="Arial" w:hAnsi="Arial" w:cs="Arial"/>
          <w:color w:val="000000" w:themeColor="text1"/>
          <w:sz w:val="20"/>
          <w:szCs w:val="20"/>
        </w:rPr>
        <w:sectPr w:rsidR="00753D23" w:rsidRPr="003D1614" w:rsidSect="00A56428">
          <w:pgSz w:w="11906" w:h="16838" w:code="9"/>
          <w:pgMar w:top="1418" w:right="1418" w:bottom="1418" w:left="1418" w:header="709" w:footer="709" w:gutter="0"/>
          <w:cols w:space="708"/>
          <w:docGrid w:linePitch="360"/>
        </w:sectPr>
      </w:pPr>
      <w:r w:rsidRPr="003D1614">
        <w:rPr>
          <w:rFonts w:ascii="Arial" w:hAnsi="Arial" w:cs="Arial"/>
          <w:color w:val="000000" w:themeColor="text1"/>
          <w:sz w:val="20"/>
          <w:szCs w:val="20"/>
        </w:rPr>
        <w:t>Zagreb</w:t>
      </w:r>
      <w:r w:rsidRPr="00CD6162">
        <w:rPr>
          <w:rFonts w:ascii="Arial" w:hAnsi="Arial" w:cs="Arial"/>
          <w:color w:val="000000" w:themeColor="text1"/>
          <w:sz w:val="20"/>
          <w:szCs w:val="20"/>
        </w:rPr>
        <w:t xml:space="preserve">, </w:t>
      </w:r>
      <w:r w:rsidR="00893BF4" w:rsidRPr="00FE4E8D">
        <w:rPr>
          <w:rFonts w:ascii="Arial" w:hAnsi="Arial" w:cs="Arial"/>
          <w:color w:val="000000" w:themeColor="text1"/>
          <w:sz w:val="20"/>
          <w:szCs w:val="20"/>
        </w:rPr>
        <w:t>studeni</w:t>
      </w:r>
      <w:r w:rsidR="00A24D20" w:rsidRPr="00FE4E8D">
        <w:rPr>
          <w:rFonts w:ascii="Arial" w:hAnsi="Arial" w:cs="Arial"/>
          <w:color w:val="000000" w:themeColor="text1"/>
          <w:sz w:val="20"/>
          <w:szCs w:val="20"/>
        </w:rPr>
        <w:t xml:space="preserve"> </w:t>
      </w:r>
      <w:r w:rsidRPr="00FE4E8D">
        <w:rPr>
          <w:rFonts w:ascii="Arial" w:hAnsi="Arial" w:cs="Arial"/>
          <w:color w:val="000000" w:themeColor="text1"/>
          <w:sz w:val="20"/>
          <w:szCs w:val="20"/>
        </w:rPr>
        <w:t>202</w:t>
      </w:r>
      <w:r w:rsidR="00330BD5">
        <w:rPr>
          <w:rFonts w:ascii="Arial" w:hAnsi="Arial" w:cs="Arial"/>
          <w:color w:val="000000" w:themeColor="text1"/>
          <w:sz w:val="20"/>
          <w:szCs w:val="20"/>
        </w:rPr>
        <w:t>4</w:t>
      </w:r>
      <w:r w:rsidRPr="00FE4E8D">
        <w:rPr>
          <w:rFonts w:ascii="Arial" w:hAnsi="Arial" w:cs="Arial"/>
          <w:color w:val="000000" w:themeColor="text1"/>
          <w:sz w:val="20"/>
          <w:szCs w:val="20"/>
        </w:rPr>
        <w:t>.</w:t>
      </w:r>
      <w:r w:rsidRPr="003D1614">
        <w:rPr>
          <w:rFonts w:ascii="Arial" w:hAnsi="Arial" w:cs="Arial"/>
          <w:color w:val="000000" w:themeColor="text1"/>
          <w:sz w:val="20"/>
          <w:szCs w:val="20"/>
        </w:rPr>
        <w:t xml:space="preserve"> godine</w:t>
      </w:r>
    </w:p>
    <w:p w14:paraId="67835596" w14:textId="77777777" w:rsidR="00340D87" w:rsidRPr="003D1614" w:rsidRDefault="00340D87">
      <w:pPr>
        <w:rPr>
          <w:rFonts w:ascii="Arial" w:hAnsi="Arial" w:cs="Arial"/>
          <w:sz w:val="20"/>
          <w:szCs w:val="20"/>
        </w:rPr>
      </w:pPr>
    </w:p>
    <w:p w14:paraId="7EA166D5" w14:textId="77777777" w:rsidR="00937272" w:rsidRPr="003D1614" w:rsidRDefault="00937272" w:rsidP="00937272">
      <w:pPr>
        <w:jc w:val="center"/>
        <w:rPr>
          <w:rFonts w:ascii="Arial" w:hAnsi="Arial" w:cs="Arial"/>
          <w:color w:val="000000" w:themeColor="text1"/>
        </w:rPr>
      </w:pPr>
    </w:p>
    <w:p w14:paraId="10F2E461" w14:textId="77777777" w:rsidR="00937272" w:rsidRPr="003D1614" w:rsidRDefault="00937272" w:rsidP="00937272">
      <w:pPr>
        <w:jc w:val="center"/>
        <w:rPr>
          <w:rFonts w:ascii="Arial" w:hAnsi="Arial" w:cs="Arial"/>
          <w:color w:val="000000" w:themeColor="text1"/>
        </w:rPr>
      </w:pPr>
    </w:p>
    <w:tbl>
      <w:tblPr>
        <w:tblW w:w="9487" w:type="dxa"/>
        <w:tblInd w:w="-132" w:type="dxa"/>
        <w:tblLook w:val="01E0" w:firstRow="1" w:lastRow="1" w:firstColumn="1" w:lastColumn="1" w:noHBand="0" w:noVBand="0"/>
      </w:tblPr>
      <w:tblGrid>
        <w:gridCol w:w="8429"/>
        <w:gridCol w:w="1058"/>
      </w:tblGrid>
      <w:tr w:rsidR="00937272" w:rsidRPr="003D1614" w14:paraId="0A5ADA22" w14:textId="77777777" w:rsidTr="00964790">
        <w:tc>
          <w:tcPr>
            <w:tcW w:w="8429" w:type="dxa"/>
            <w:vAlign w:val="bottom"/>
          </w:tcPr>
          <w:p w14:paraId="51301F66" w14:textId="77777777" w:rsidR="00937272" w:rsidRPr="003D1614" w:rsidRDefault="00937272" w:rsidP="00964790">
            <w:pPr>
              <w:spacing w:after="160" w:line="259" w:lineRule="auto"/>
              <w:rPr>
                <w:rFonts w:ascii="Arial" w:hAnsi="Arial" w:cs="Arial"/>
                <w:color w:val="000000" w:themeColor="text1"/>
                <w:sz w:val="20"/>
                <w:szCs w:val="20"/>
              </w:rPr>
            </w:pPr>
          </w:p>
        </w:tc>
        <w:tc>
          <w:tcPr>
            <w:tcW w:w="1058" w:type="dxa"/>
            <w:vAlign w:val="bottom"/>
          </w:tcPr>
          <w:p w14:paraId="3E3174CE" w14:textId="77777777" w:rsidR="00937272" w:rsidRPr="003D1614" w:rsidRDefault="00937272" w:rsidP="00964790">
            <w:pPr>
              <w:spacing w:before="120"/>
              <w:jc w:val="right"/>
              <w:rPr>
                <w:rFonts w:ascii="Arial" w:hAnsi="Arial" w:cs="Arial"/>
                <w:color w:val="000000" w:themeColor="text1"/>
                <w:sz w:val="20"/>
                <w:szCs w:val="20"/>
              </w:rPr>
            </w:pPr>
            <w:r w:rsidRPr="003D1614">
              <w:rPr>
                <w:rFonts w:ascii="Arial" w:hAnsi="Arial" w:cs="Arial"/>
                <w:color w:val="000000" w:themeColor="text1"/>
                <w:sz w:val="20"/>
                <w:szCs w:val="20"/>
              </w:rPr>
              <w:t>Stranica</w:t>
            </w:r>
          </w:p>
        </w:tc>
      </w:tr>
      <w:tr w:rsidR="00937272" w:rsidRPr="003D1614" w14:paraId="14CF0C17" w14:textId="77777777" w:rsidTr="00964790">
        <w:tc>
          <w:tcPr>
            <w:tcW w:w="8429" w:type="dxa"/>
            <w:vAlign w:val="bottom"/>
          </w:tcPr>
          <w:p w14:paraId="5A6EEEEA" w14:textId="77777777" w:rsidR="00937272" w:rsidRPr="003D1614" w:rsidRDefault="00937272" w:rsidP="00964790">
            <w:pPr>
              <w:spacing w:after="160" w:line="259" w:lineRule="auto"/>
              <w:rPr>
                <w:rFonts w:ascii="Arial" w:hAnsi="Arial" w:cs="Arial"/>
                <w:color w:val="000000" w:themeColor="text1"/>
                <w:sz w:val="20"/>
                <w:szCs w:val="20"/>
              </w:rPr>
            </w:pPr>
          </w:p>
        </w:tc>
        <w:tc>
          <w:tcPr>
            <w:tcW w:w="1058" w:type="dxa"/>
            <w:vAlign w:val="bottom"/>
          </w:tcPr>
          <w:p w14:paraId="6CD0796C" w14:textId="77777777" w:rsidR="00937272" w:rsidRPr="003D1614" w:rsidRDefault="00937272" w:rsidP="00964790">
            <w:pPr>
              <w:spacing w:before="120"/>
              <w:jc w:val="right"/>
              <w:rPr>
                <w:rFonts w:ascii="Arial" w:hAnsi="Arial" w:cs="Arial"/>
                <w:color w:val="000000" w:themeColor="text1"/>
                <w:sz w:val="20"/>
                <w:szCs w:val="20"/>
              </w:rPr>
            </w:pPr>
          </w:p>
        </w:tc>
      </w:tr>
      <w:tr w:rsidR="00937272" w:rsidRPr="003D1614" w14:paraId="07AB73AC" w14:textId="77777777" w:rsidTr="00964790">
        <w:tc>
          <w:tcPr>
            <w:tcW w:w="8429" w:type="dxa"/>
            <w:vAlign w:val="bottom"/>
          </w:tcPr>
          <w:p w14:paraId="660F788A" w14:textId="77777777" w:rsidR="00937272" w:rsidRPr="003D1614" w:rsidRDefault="00937272" w:rsidP="00964790">
            <w:pPr>
              <w:spacing w:before="120"/>
              <w:rPr>
                <w:rFonts w:ascii="Arial" w:hAnsi="Arial" w:cs="Arial"/>
                <w:color w:val="000000" w:themeColor="text1"/>
                <w:sz w:val="20"/>
                <w:szCs w:val="20"/>
              </w:rPr>
            </w:pPr>
            <w:r w:rsidRPr="003D1614">
              <w:rPr>
                <w:rFonts w:ascii="Arial" w:hAnsi="Arial" w:cs="Arial"/>
                <w:color w:val="000000" w:themeColor="text1"/>
                <w:sz w:val="20"/>
                <w:szCs w:val="20"/>
              </w:rPr>
              <w:t>Odgovornosti Uprave i Nadzornog odbora za pripremu i prihvaćanje skraćenih odvojenih i konsolidiranih financijskih izvještaja</w:t>
            </w:r>
          </w:p>
        </w:tc>
        <w:tc>
          <w:tcPr>
            <w:tcW w:w="1058" w:type="dxa"/>
            <w:vAlign w:val="bottom"/>
          </w:tcPr>
          <w:p w14:paraId="7A902A15" w14:textId="1487C7A9" w:rsidR="00937272" w:rsidRPr="003D1614" w:rsidRDefault="003D1614" w:rsidP="00964790">
            <w:pPr>
              <w:spacing w:before="120"/>
              <w:jc w:val="right"/>
              <w:rPr>
                <w:rFonts w:ascii="Arial" w:hAnsi="Arial" w:cs="Arial"/>
                <w:color w:val="000000" w:themeColor="text1"/>
                <w:sz w:val="20"/>
                <w:szCs w:val="20"/>
              </w:rPr>
            </w:pPr>
            <w:r>
              <w:rPr>
                <w:rFonts w:ascii="Arial" w:hAnsi="Arial" w:cs="Arial"/>
                <w:color w:val="000000" w:themeColor="text1"/>
                <w:sz w:val="20"/>
                <w:szCs w:val="20"/>
              </w:rPr>
              <w:t>3</w:t>
            </w:r>
          </w:p>
        </w:tc>
      </w:tr>
      <w:tr w:rsidR="00937272" w:rsidRPr="003D1614" w14:paraId="6D9394B0" w14:textId="77777777" w:rsidTr="00964790">
        <w:tc>
          <w:tcPr>
            <w:tcW w:w="8429" w:type="dxa"/>
            <w:vAlign w:val="bottom"/>
          </w:tcPr>
          <w:p w14:paraId="578153B1" w14:textId="77777777" w:rsidR="00937272" w:rsidRPr="003D1614" w:rsidRDefault="00937272" w:rsidP="00964790">
            <w:pPr>
              <w:spacing w:before="120"/>
              <w:rPr>
                <w:rFonts w:ascii="Arial" w:hAnsi="Arial" w:cs="Arial"/>
                <w:color w:val="000000" w:themeColor="text1"/>
                <w:sz w:val="20"/>
                <w:szCs w:val="20"/>
              </w:rPr>
            </w:pPr>
          </w:p>
        </w:tc>
        <w:tc>
          <w:tcPr>
            <w:tcW w:w="1058" w:type="dxa"/>
            <w:vAlign w:val="bottom"/>
          </w:tcPr>
          <w:p w14:paraId="17748EB6" w14:textId="77777777" w:rsidR="00937272" w:rsidRPr="003D1614" w:rsidRDefault="00937272" w:rsidP="00964790">
            <w:pPr>
              <w:spacing w:before="120"/>
              <w:jc w:val="right"/>
              <w:rPr>
                <w:rFonts w:ascii="Arial" w:hAnsi="Arial" w:cs="Arial"/>
                <w:color w:val="000000" w:themeColor="text1"/>
                <w:sz w:val="20"/>
                <w:szCs w:val="20"/>
              </w:rPr>
            </w:pPr>
          </w:p>
        </w:tc>
      </w:tr>
      <w:tr w:rsidR="00937272" w:rsidRPr="003D1614" w14:paraId="1CD0D71A" w14:textId="77777777" w:rsidTr="00964790">
        <w:trPr>
          <w:trHeight w:val="281"/>
        </w:trPr>
        <w:tc>
          <w:tcPr>
            <w:tcW w:w="8429" w:type="dxa"/>
            <w:vAlign w:val="bottom"/>
          </w:tcPr>
          <w:p w14:paraId="51BC0318" w14:textId="77777777" w:rsidR="00937272" w:rsidRPr="003D1614" w:rsidRDefault="00937272" w:rsidP="00964790">
            <w:pPr>
              <w:spacing w:before="120"/>
              <w:rPr>
                <w:rFonts w:ascii="Arial" w:hAnsi="Arial" w:cs="Arial"/>
                <w:color w:val="000000" w:themeColor="text1"/>
                <w:sz w:val="20"/>
                <w:szCs w:val="20"/>
              </w:rPr>
            </w:pPr>
            <w:r w:rsidRPr="003D1614">
              <w:rPr>
                <w:rFonts w:ascii="Arial" w:hAnsi="Arial" w:cs="Arial"/>
                <w:color w:val="000000" w:themeColor="text1"/>
                <w:sz w:val="20"/>
                <w:szCs w:val="20"/>
              </w:rPr>
              <w:t>Skraćeni konsolidirani financijski izvještaji Grupe:</w:t>
            </w:r>
          </w:p>
        </w:tc>
        <w:tc>
          <w:tcPr>
            <w:tcW w:w="1058" w:type="dxa"/>
            <w:vAlign w:val="bottom"/>
          </w:tcPr>
          <w:p w14:paraId="34CFA3EF" w14:textId="38035C36" w:rsidR="00937272" w:rsidRPr="003D1614" w:rsidRDefault="003D1614" w:rsidP="00964790">
            <w:pPr>
              <w:spacing w:before="120"/>
              <w:jc w:val="right"/>
              <w:rPr>
                <w:rFonts w:ascii="Arial" w:hAnsi="Arial" w:cs="Arial"/>
                <w:color w:val="000000" w:themeColor="text1"/>
                <w:sz w:val="20"/>
                <w:szCs w:val="20"/>
              </w:rPr>
            </w:pPr>
            <w:r>
              <w:rPr>
                <w:rFonts w:ascii="Arial" w:hAnsi="Arial" w:cs="Arial"/>
                <w:color w:val="000000" w:themeColor="text1"/>
                <w:sz w:val="20"/>
                <w:szCs w:val="20"/>
              </w:rPr>
              <w:t>4</w:t>
            </w:r>
          </w:p>
        </w:tc>
      </w:tr>
      <w:tr w:rsidR="00937272" w:rsidRPr="003D1614" w14:paraId="3CA44755" w14:textId="77777777" w:rsidTr="00964790">
        <w:tc>
          <w:tcPr>
            <w:tcW w:w="8429" w:type="dxa"/>
            <w:vAlign w:val="bottom"/>
          </w:tcPr>
          <w:p w14:paraId="12D8BAAB" w14:textId="77777777" w:rsidR="00937272" w:rsidRPr="003D1614" w:rsidRDefault="00937272" w:rsidP="00964790">
            <w:pPr>
              <w:spacing w:before="120"/>
              <w:rPr>
                <w:rFonts w:ascii="Arial" w:hAnsi="Arial" w:cs="Arial"/>
                <w:color w:val="000000" w:themeColor="text1"/>
                <w:sz w:val="20"/>
                <w:szCs w:val="20"/>
              </w:rPr>
            </w:pPr>
            <w:r w:rsidRPr="003D1614">
              <w:rPr>
                <w:rFonts w:ascii="Arial" w:hAnsi="Arial" w:cs="Arial"/>
                <w:color w:val="000000" w:themeColor="text1"/>
                <w:sz w:val="20"/>
                <w:szCs w:val="20"/>
              </w:rPr>
              <w:t>Račun dobiti i gubitka</w:t>
            </w:r>
          </w:p>
        </w:tc>
        <w:tc>
          <w:tcPr>
            <w:tcW w:w="1058" w:type="dxa"/>
            <w:vAlign w:val="bottom"/>
          </w:tcPr>
          <w:p w14:paraId="1F7DEAC5" w14:textId="73F557D5" w:rsidR="00937272" w:rsidRPr="003D1614" w:rsidRDefault="003D1614" w:rsidP="00964790">
            <w:pPr>
              <w:spacing w:before="120"/>
              <w:jc w:val="right"/>
              <w:rPr>
                <w:rFonts w:ascii="Arial" w:hAnsi="Arial" w:cs="Arial"/>
                <w:color w:val="000000" w:themeColor="text1"/>
                <w:sz w:val="20"/>
                <w:szCs w:val="20"/>
              </w:rPr>
            </w:pPr>
            <w:r>
              <w:rPr>
                <w:rFonts w:ascii="Arial" w:hAnsi="Arial" w:cs="Arial"/>
                <w:color w:val="000000" w:themeColor="text1"/>
                <w:sz w:val="20"/>
                <w:szCs w:val="20"/>
              </w:rPr>
              <w:t>4</w:t>
            </w:r>
          </w:p>
        </w:tc>
      </w:tr>
      <w:tr w:rsidR="00937272" w:rsidRPr="003D1614" w14:paraId="1E775C12" w14:textId="77777777" w:rsidTr="00964790">
        <w:tc>
          <w:tcPr>
            <w:tcW w:w="8429" w:type="dxa"/>
            <w:vAlign w:val="bottom"/>
          </w:tcPr>
          <w:p w14:paraId="05515176" w14:textId="77777777" w:rsidR="00937272" w:rsidRPr="003D1614" w:rsidRDefault="00937272" w:rsidP="00964790">
            <w:pPr>
              <w:spacing w:before="120"/>
              <w:rPr>
                <w:rFonts w:ascii="Arial" w:hAnsi="Arial" w:cs="Arial"/>
                <w:color w:val="000000" w:themeColor="text1"/>
                <w:sz w:val="20"/>
                <w:szCs w:val="20"/>
              </w:rPr>
            </w:pPr>
          </w:p>
        </w:tc>
        <w:tc>
          <w:tcPr>
            <w:tcW w:w="1058" w:type="dxa"/>
            <w:vAlign w:val="bottom"/>
          </w:tcPr>
          <w:p w14:paraId="1BAEDD95" w14:textId="77777777" w:rsidR="00937272" w:rsidRPr="003D1614" w:rsidRDefault="00937272" w:rsidP="00964790">
            <w:pPr>
              <w:spacing w:before="120"/>
              <w:jc w:val="right"/>
              <w:rPr>
                <w:rFonts w:ascii="Arial" w:hAnsi="Arial" w:cs="Arial"/>
                <w:color w:val="000000" w:themeColor="text1"/>
                <w:sz w:val="20"/>
                <w:szCs w:val="20"/>
              </w:rPr>
            </w:pPr>
          </w:p>
        </w:tc>
      </w:tr>
      <w:tr w:rsidR="00937272" w:rsidRPr="003D1614" w14:paraId="51D7D5A6" w14:textId="77777777" w:rsidTr="00964790">
        <w:tc>
          <w:tcPr>
            <w:tcW w:w="8429" w:type="dxa"/>
            <w:vAlign w:val="bottom"/>
          </w:tcPr>
          <w:p w14:paraId="6413E831" w14:textId="77777777" w:rsidR="00937272" w:rsidRPr="003D1614" w:rsidRDefault="00937272" w:rsidP="00964790">
            <w:pPr>
              <w:spacing w:before="120"/>
              <w:rPr>
                <w:rFonts w:ascii="Arial" w:hAnsi="Arial" w:cs="Arial"/>
                <w:color w:val="000000" w:themeColor="text1"/>
                <w:sz w:val="20"/>
                <w:szCs w:val="20"/>
              </w:rPr>
            </w:pPr>
            <w:r w:rsidRPr="003D1614">
              <w:rPr>
                <w:rFonts w:ascii="Arial" w:hAnsi="Arial" w:cs="Arial"/>
                <w:color w:val="000000" w:themeColor="text1"/>
                <w:sz w:val="20"/>
                <w:szCs w:val="20"/>
              </w:rPr>
              <w:t>Izvještaj o dobiti i gubitku te ostaloj sveobuhvatnoj dobiti</w:t>
            </w:r>
          </w:p>
        </w:tc>
        <w:tc>
          <w:tcPr>
            <w:tcW w:w="1058" w:type="dxa"/>
            <w:vAlign w:val="bottom"/>
          </w:tcPr>
          <w:p w14:paraId="6ABF8ED8" w14:textId="26378CE1" w:rsidR="00937272" w:rsidRPr="003D1614" w:rsidRDefault="003D1614" w:rsidP="00964790">
            <w:pPr>
              <w:spacing w:before="120"/>
              <w:jc w:val="right"/>
              <w:rPr>
                <w:rFonts w:ascii="Arial" w:hAnsi="Arial" w:cs="Arial"/>
                <w:color w:val="000000" w:themeColor="text1"/>
                <w:sz w:val="20"/>
                <w:szCs w:val="20"/>
              </w:rPr>
            </w:pPr>
            <w:r>
              <w:rPr>
                <w:rFonts w:ascii="Arial" w:hAnsi="Arial" w:cs="Arial"/>
                <w:color w:val="000000" w:themeColor="text1"/>
                <w:sz w:val="20"/>
                <w:szCs w:val="20"/>
              </w:rPr>
              <w:t>5</w:t>
            </w:r>
          </w:p>
        </w:tc>
      </w:tr>
      <w:tr w:rsidR="00937272" w:rsidRPr="003D1614" w14:paraId="0AE5AF05" w14:textId="77777777" w:rsidTr="00964790">
        <w:tc>
          <w:tcPr>
            <w:tcW w:w="8429" w:type="dxa"/>
            <w:vAlign w:val="bottom"/>
          </w:tcPr>
          <w:p w14:paraId="602C31B2" w14:textId="77777777" w:rsidR="00937272" w:rsidRPr="003D1614" w:rsidRDefault="00937272" w:rsidP="00964790">
            <w:pPr>
              <w:spacing w:before="120"/>
              <w:rPr>
                <w:rFonts w:ascii="Arial" w:hAnsi="Arial" w:cs="Arial"/>
                <w:color w:val="000000" w:themeColor="text1"/>
                <w:sz w:val="20"/>
                <w:szCs w:val="20"/>
              </w:rPr>
            </w:pPr>
          </w:p>
        </w:tc>
        <w:tc>
          <w:tcPr>
            <w:tcW w:w="1058" w:type="dxa"/>
            <w:vAlign w:val="bottom"/>
          </w:tcPr>
          <w:p w14:paraId="1A7B6530" w14:textId="77777777" w:rsidR="00937272" w:rsidRPr="003D1614" w:rsidRDefault="00937272" w:rsidP="00964790">
            <w:pPr>
              <w:spacing w:before="120"/>
              <w:jc w:val="right"/>
              <w:rPr>
                <w:rFonts w:ascii="Arial" w:hAnsi="Arial" w:cs="Arial"/>
                <w:color w:val="000000" w:themeColor="text1"/>
                <w:sz w:val="20"/>
                <w:szCs w:val="20"/>
              </w:rPr>
            </w:pPr>
          </w:p>
        </w:tc>
      </w:tr>
      <w:tr w:rsidR="00937272" w:rsidRPr="003D1614" w14:paraId="4282ED19" w14:textId="77777777" w:rsidTr="00964790">
        <w:tc>
          <w:tcPr>
            <w:tcW w:w="8429" w:type="dxa"/>
            <w:vAlign w:val="bottom"/>
          </w:tcPr>
          <w:p w14:paraId="2877F85B" w14:textId="77777777" w:rsidR="00937272" w:rsidRPr="003D1614" w:rsidRDefault="00937272" w:rsidP="00964790">
            <w:pPr>
              <w:spacing w:before="120"/>
              <w:rPr>
                <w:rFonts w:ascii="Arial" w:hAnsi="Arial" w:cs="Arial"/>
                <w:color w:val="000000" w:themeColor="text1"/>
                <w:sz w:val="20"/>
                <w:szCs w:val="20"/>
              </w:rPr>
            </w:pPr>
            <w:r w:rsidRPr="003D1614">
              <w:rPr>
                <w:rFonts w:ascii="Arial" w:hAnsi="Arial" w:cs="Arial"/>
                <w:color w:val="000000" w:themeColor="text1"/>
                <w:sz w:val="20"/>
                <w:szCs w:val="20"/>
              </w:rPr>
              <w:t>Izvještaj o financijskom položaju</w:t>
            </w:r>
          </w:p>
        </w:tc>
        <w:tc>
          <w:tcPr>
            <w:tcW w:w="1058" w:type="dxa"/>
            <w:shd w:val="clear" w:color="auto" w:fill="auto"/>
            <w:vAlign w:val="bottom"/>
          </w:tcPr>
          <w:p w14:paraId="1D7F94FA" w14:textId="3C244903" w:rsidR="00937272" w:rsidRPr="003D1614" w:rsidRDefault="003D1614" w:rsidP="00964790">
            <w:pPr>
              <w:spacing w:before="120"/>
              <w:jc w:val="right"/>
              <w:rPr>
                <w:rFonts w:ascii="Arial" w:hAnsi="Arial" w:cs="Arial"/>
                <w:color w:val="000000" w:themeColor="text1"/>
                <w:sz w:val="20"/>
                <w:szCs w:val="20"/>
              </w:rPr>
            </w:pPr>
            <w:r>
              <w:rPr>
                <w:rFonts w:ascii="Arial" w:hAnsi="Arial" w:cs="Arial"/>
                <w:color w:val="000000" w:themeColor="text1"/>
                <w:sz w:val="20"/>
                <w:szCs w:val="20"/>
              </w:rPr>
              <w:t>6</w:t>
            </w:r>
          </w:p>
        </w:tc>
      </w:tr>
      <w:tr w:rsidR="00937272" w:rsidRPr="003D1614" w14:paraId="30C63FD7" w14:textId="77777777" w:rsidTr="00964790">
        <w:tc>
          <w:tcPr>
            <w:tcW w:w="8429" w:type="dxa"/>
            <w:vAlign w:val="bottom"/>
          </w:tcPr>
          <w:p w14:paraId="33CEAD5A" w14:textId="77777777" w:rsidR="00937272" w:rsidRPr="003D1614" w:rsidRDefault="00937272" w:rsidP="00964790">
            <w:pPr>
              <w:spacing w:before="120"/>
              <w:rPr>
                <w:rFonts w:ascii="Arial" w:hAnsi="Arial" w:cs="Arial"/>
                <w:color w:val="000000" w:themeColor="text1"/>
                <w:sz w:val="20"/>
                <w:szCs w:val="20"/>
              </w:rPr>
            </w:pPr>
          </w:p>
        </w:tc>
        <w:tc>
          <w:tcPr>
            <w:tcW w:w="1058" w:type="dxa"/>
            <w:shd w:val="clear" w:color="auto" w:fill="auto"/>
            <w:vAlign w:val="bottom"/>
          </w:tcPr>
          <w:p w14:paraId="1ADD244C" w14:textId="77777777" w:rsidR="00937272" w:rsidRPr="003D1614" w:rsidRDefault="00937272" w:rsidP="00964790">
            <w:pPr>
              <w:spacing w:before="120"/>
              <w:jc w:val="right"/>
              <w:rPr>
                <w:rFonts w:ascii="Arial" w:hAnsi="Arial" w:cs="Arial"/>
                <w:color w:val="000000" w:themeColor="text1"/>
                <w:sz w:val="20"/>
                <w:szCs w:val="20"/>
              </w:rPr>
            </w:pPr>
          </w:p>
        </w:tc>
      </w:tr>
      <w:tr w:rsidR="00937272" w:rsidRPr="003D1614" w14:paraId="386A0B32" w14:textId="77777777" w:rsidTr="00964790">
        <w:tc>
          <w:tcPr>
            <w:tcW w:w="8429" w:type="dxa"/>
            <w:vAlign w:val="bottom"/>
          </w:tcPr>
          <w:p w14:paraId="408BF8D7" w14:textId="77777777" w:rsidR="00937272" w:rsidRPr="003D1614" w:rsidRDefault="00937272" w:rsidP="00964790">
            <w:pPr>
              <w:spacing w:before="120"/>
              <w:rPr>
                <w:rFonts w:ascii="Arial" w:hAnsi="Arial" w:cs="Arial"/>
                <w:color w:val="000000" w:themeColor="text1"/>
                <w:sz w:val="20"/>
                <w:szCs w:val="20"/>
              </w:rPr>
            </w:pPr>
            <w:r w:rsidRPr="003D1614">
              <w:rPr>
                <w:rFonts w:ascii="Arial" w:hAnsi="Arial" w:cs="Arial"/>
                <w:color w:val="000000" w:themeColor="text1"/>
                <w:sz w:val="20"/>
                <w:szCs w:val="20"/>
              </w:rPr>
              <w:t>Izvještaj o novčanim tokovima</w:t>
            </w:r>
          </w:p>
        </w:tc>
        <w:tc>
          <w:tcPr>
            <w:tcW w:w="1058" w:type="dxa"/>
            <w:shd w:val="clear" w:color="auto" w:fill="auto"/>
            <w:vAlign w:val="bottom"/>
          </w:tcPr>
          <w:p w14:paraId="54D632DC" w14:textId="5711D78C" w:rsidR="00937272" w:rsidRPr="003D1614" w:rsidRDefault="003D1614" w:rsidP="00964790">
            <w:pPr>
              <w:spacing w:before="120"/>
              <w:jc w:val="right"/>
              <w:rPr>
                <w:rFonts w:ascii="Arial" w:hAnsi="Arial" w:cs="Arial"/>
                <w:color w:val="000000" w:themeColor="text1"/>
                <w:sz w:val="20"/>
                <w:szCs w:val="20"/>
              </w:rPr>
            </w:pPr>
            <w:r>
              <w:rPr>
                <w:rFonts w:ascii="Arial" w:hAnsi="Arial" w:cs="Arial"/>
                <w:color w:val="000000" w:themeColor="text1"/>
                <w:sz w:val="20"/>
                <w:szCs w:val="20"/>
              </w:rPr>
              <w:t>7</w:t>
            </w:r>
          </w:p>
        </w:tc>
      </w:tr>
      <w:tr w:rsidR="00937272" w:rsidRPr="003D1614" w14:paraId="0A11082F" w14:textId="77777777" w:rsidTr="00964790">
        <w:tc>
          <w:tcPr>
            <w:tcW w:w="8429" w:type="dxa"/>
            <w:vAlign w:val="bottom"/>
          </w:tcPr>
          <w:p w14:paraId="573C5EDF" w14:textId="77777777" w:rsidR="00937272" w:rsidRPr="003D1614" w:rsidRDefault="00937272" w:rsidP="00964790">
            <w:pPr>
              <w:spacing w:before="120"/>
              <w:rPr>
                <w:rFonts w:ascii="Arial" w:hAnsi="Arial" w:cs="Arial"/>
                <w:color w:val="000000" w:themeColor="text1"/>
                <w:sz w:val="20"/>
                <w:szCs w:val="20"/>
              </w:rPr>
            </w:pPr>
          </w:p>
        </w:tc>
        <w:tc>
          <w:tcPr>
            <w:tcW w:w="1058" w:type="dxa"/>
            <w:shd w:val="clear" w:color="auto" w:fill="auto"/>
            <w:vAlign w:val="bottom"/>
          </w:tcPr>
          <w:p w14:paraId="42106575" w14:textId="77777777" w:rsidR="00937272" w:rsidRPr="003D1614" w:rsidRDefault="00937272" w:rsidP="00964790">
            <w:pPr>
              <w:spacing w:before="120"/>
              <w:jc w:val="right"/>
              <w:rPr>
                <w:rFonts w:ascii="Arial" w:hAnsi="Arial" w:cs="Arial"/>
                <w:color w:val="000000" w:themeColor="text1"/>
                <w:sz w:val="20"/>
                <w:szCs w:val="20"/>
              </w:rPr>
            </w:pPr>
          </w:p>
        </w:tc>
      </w:tr>
      <w:tr w:rsidR="00937272" w:rsidRPr="003D1614" w14:paraId="05BCAE1C" w14:textId="77777777" w:rsidTr="00964790">
        <w:tc>
          <w:tcPr>
            <w:tcW w:w="8429" w:type="dxa"/>
            <w:vAlign w:val="bottom"/>
          </w:tcPr>
          <w:p w14:paraId="4A739BE9" w14:textId="77777777" w:rsidR="00937272" w:rsidRPr="003D1614" w:rsidRDefault="00937272" w:rsidP="00964790">
            <w:pPr>
              <w:spacing w:before="120"/>
              <w:rPr>
                <w:rFonts w:ascii="Arial" w:hAnsi="Arial" w:cs="Arial"/>
                <w:color w:val="000000" w:themeColor="text1"/>
                <w:sz w:val="20"/>
                <w:szCs w:val="20"/>
              </w:rPr>
            </w:pPr>
            <w:r w:rsidRPr="003D1614">
              <w:rPr>
                <w:rFonts w:ascii="Arial" w:hAnsi="Arial" w:cs="Arial"/>
                <w:color w:val="000000" w:themeColor="text1"/>
                <w:sz w:val="20"/>
                <w:szCs w:val="20"/>
              </w:rPr>
              <w:t>Izvještaj o promjenama na kapitalu i rezervama</w:t>
            </w:r>
          </w:p>
        </w:tc>
        <w:tc>
          <w:tcPr>
            <w:tcW w:w="1058" w:type="dxa"/>
            <w:shd w:val="clear" w:color="auto" w:fill="auto"/>
            <w:vAlign w:val="bottom"/>
          </w:tcPr>
          <w:p w14:paraId="50311342" w14:textId="6286FF6E" w:rsidR="00937272" w:rsidRPr="003D1614" w:rsidRDefault="003D1614" w:rsidP="00964790">
            <w:pPr>
              <w:spacing w:before="120"/>
              <w:jc w:val="right"/>
              <w:rPr>
                <w:rFonts w:ascii="Arial" w:hAnsi="Arial" w:cs="Arial"/>
                <w:color w:val="000000" w:themeColor="text1"/>
                <w:sz w:val="20"/>
                <w:szCs w:val="20"/>
              </w:rPr>
            </w:pPr>
            <w:r>
              <w:rPr>
                <w:rFonts w:ascii="Arial" w:hAnsi="Arial" w:cs="Arial"/>
                <w:color w:val="000000" w:themeColor="text1"/>
                <w:sz w:val="20"/>
                <w:szCs w:val="20"/>
              </w:rPr>
              <w:t>8</w:t>
            </w:r>
          </w:p>
        </w:tc>
      </w:tr>
      <w:tr w:rsidR="00937272" w:rsidRPr="003D1614" w14:paraId="10D994D4" w14:textId="77777777" w:rsidTr="00964790">
        <w:tc>
          <w:tcPr>
            <w:tcW w:w="8429" w:type="dxa"/>
            <w:vAlign w:val="bottom"/>
          </w:tcPr>
          <w:p w14:paraId="32702790" w14:textId="77777777" w:rsidR="00937272" w:rsidRPr="003D1614" w:rsidRDefault="00937272" w:rsidP="00964790">
            <w:pPr>
              <w:spacing w:before="120"/>
              <w:rPr>
                <w:rFonts w:ascii="Arial" w:hAnsi="Arial" w:cs="Arial"/>
                <w:color w:val="000000" w:themeColor="text1"/>
                <w:sz w:val="20"/>
                <w:szCs w:val="20"/>
              </w:rPr>
            </w:pPr>
          </w:p>
        </w:tc>
        <w:tc>
          <w:tcPr>
            <w:tcW w:w="1058" w:type="dxa"/>
            <w:shd w:val="clear" w:color="auto" w:fill="auto"/>
            <w:vAlign w:val="bottom"/>
          </w:tcPr>
          <w:p w14:paraId="13AA8C6B" w14:textId="77777777" w:rsidR="00937272" w:rsidRPr="003D1614" w:rsidRDefault="00937272" w:rsidP="00964790">
            <w:pPr>
              <w:spacing w:before="120"/>
              <w:jc w:val="right"/>
              <w:rPr>
                <w:rFonts w:ascii="Arial" w:hAnsi="Arial" w:cs="Arial"/>
                <w:color w:val="000000" w:themeColor="text1"/>
                <w:sz w:val="20"/>
                <w:szCs w:val="20"/>
              </w:rPr>
            </w:pPr>
          </w:p>
        </w:tc>
      </w:tr>
      <w:tr w:rsidR="00937272" w:rsidRPr="003D1614" w14:paraId="4BCB03CF" w14:textId="77777777" w:rsidTr="00964790">
        <w:tc>
          <w:tcPr>
            <w:tcW w:w="8429" w:type="dxa"/>
            <w:vAlign w:val="bottom"/>
          </w:tcPr>
          <w:p w14:paraId="062F4616" w14:textId="77777777" w:rsidR="00937272" w:rsidRPr="003D1614" w:rsidRDefault="00937272" w:rsidP="00964790">
            <w:pPr>
              <w:spacing w:before="120"/>
              <w:rPr>
                <w:rFonts w:ascii="Arial" w:hAnsi="Arial" w:cs="Arial"/>
                <w:color w:val="000000" w:themeColor="text1"/>
                <w:sz w:val="20"/>
                <w:szCs w:val="20"/>
              </w:rPr>
            </w:pPr>
            <w:r w:rsidRPr="003D1614">
              <w:rPr>
                <w:rFonts w:ascii="Arial" w:hAnsi="Arial" w:cs="Arial"/>
                <w:color w:val="000000" w:themeColor="text1"/>
                <w:sz w:val="20"/>
                <w:szCs w:val="20"/>
              </w:rPr>
              <w:t>Skraćeni odvojeni financijski izvještaji Banke:</w:t>
            </w:r>
          </w:p>
        </w:tc>
        <w:tc>
          <w:tcPr>
            <w:tcW w:w="1058" w:type="dxa"/>
            <w:shd w:val="clear" w:color="auto" w:fill="auto"/>
            <w:vAlign w:val="bottom"/>
          </w:tcPr>
          <w:p w14:paraId="5EA06EE4" w14:textId="70021C8A" w:rsidR="00937272" w:rsidRPr="003D1614" w:rsidRDefault="003D1614" w:rsidP="00964790">
            <w:pPr>
              <w:spacing w:before="120"/>
              <w:jc w:val="right"/>
              <w:rPr>
                <w:rFonts w:ascii="Arial" w:hAnsi="Arial" w:cs="Arial"/>
                <w:color w:val="000000" w:themeColor="text1"/>
                <w:sz w:val="20"/>
                <w:szCs w:val="20"/>
              </w:rPr>
            </w:pPr>
            <w:r>
              <w:rPr>
                <w:rFonts w:ascii="Arial" w:hAnsi="Arial" w:cs="Arial"/>
                <w:color w:val="000000" w:themeColor="text1"/>
                <w:sz w:val="20"/>
                <w:szCs w:val="20"/>
              </w:rPr>
              <w:t>9</w:t>
            </w:r>
          </w:p>
        </w:tc>
      </w:tr>
      <w:tr w:rsidR="00937272" w:rsidRPr="003D1614" w14:paraId="1648F1AE" w14:textId="77777777" w:rsidTr="00964790">
        <w:tc>
          <w:tcPr>
            <w:tcW w:w="8429" w:type="dxa"/>
            <w:vAlign w:val="bottom"/>
          </w:tcPr>
          <w:p w14:paraId="465DF404" w14:textId="77777777" w:rsidR="00937272" w:rsidRPr="003D1614" w:rsidRDefault="00937272" w:rsidP="00964790">
            <w:pPr>
              <w:spacing w:before="120"/>
              <w:rPr>
                <w:rFonts w:ascii="Arial" w:hAnsi="Arial" w:cs="Arial"/>
                <w:color w:val="000000" w:themeColor="text1"/>
                <w:sz w:val="20"/>
                <w:szCs w:val="20"/>
              </w:rPr>
            </w:pPr>
            <w:r w:rsidRPr="003D1614">
              <w:rPr>
                <w:rFonts w:ascii="Arial" w:hAnsi="Arial" w:cs="Arial"/>
                <w:color w:val="000000" w:themeColor="text1"/>
                <w:sz w:val="20"/>
                <w:szCs w:val="20"/>
              </w:rPr>
              <w:t>Račun dobiti i gubitka</w:t>
            </w:r>
          </w:p>
        </w:tc>
        <w:tc>
          <w:tcPr>
            <w:tcW w:w="1058" w:type="dxa"/>
            <w:shd w:val="clear" w:color="auto" w:fill="auto"/>
            <w:vAlign w:val="bottom"/>
          </w:tcPr>
          <w:p w14:paraId="1D6712CD" w14:textId="1C0DC475" w:rsidR="00937272" w:rsidRPr="003D1614" w:rsidRDefault="003D1614" w:rsidP="00964790">
            <w:pPr>
              <w:spacing w:before="120"/>
              <w:jc w:val="right"/>
              <w:rPr>
                <w:rFonts w:ascii="Arial" w:hAnsi="Arial" w:cs="Arial"/>
                <w:color w:val="000000" w:themeColor="text1"/>
                <w:sz w:val="20"/>
                <w:szCs w:val="20"/>
              </w:rPr>
            </w:pPr>
            <w:r>
              <w:rPr>
                <w:rFonts w:ascii="Arial" w:hAnsi="Arial" w:cs="Arial"/>
                <w:color w:val="000000" w:themeColor="text1"/>
                <w:sz w:val="20"/>
                <w:szCs w:val="20"/>
              </w:rPr>
              <w:t>9</w:t>
            </w:r>
          </w:p>
        </w:tc>
      </w:tr>
      <w:tr w:rsidR="00937272" w:rsidRPr="003D1614" w14:paraId="250B05CA" w14:textId="77777777" w:rsidTr="00964790">
        <w:tc>
          <w:tcPr>
            <w:tcW w:w="8429" w:type="dxa"/>
            <w:vAlign w:val="bottom"/>
          </w:tcPr>
          <w:p w14:paraId="076C6453" w14:textId="77777777" w:rsidR="00937272" w:rsidRPr="003D1614" w:rsidRDefault="00937272" w:rsidP="00964790">
            <w:pPr>
              <w:spacing w:before="120"/>
              <w:rPr>
                <w:rFonts w:ascii="Arial" w:hAnsi="Arial" w:cs="Arial"/>
                <w:color w:val="000000" w:themeColor="text1"/>
                <w:sz w:val="20"/>
                <w:szCs w:val="20"/>
              </w:rPr>
            </w:pPr>
          </w:p>
        </w:tc>
        <w:tc>
          <w:tcPr>
            <w:tcW w:w="1058" w:type="dxa"/>
            <w:vAlign w:val="bottom"/>
          </w:tcPr>
          <w:p w14:paraId="64517BE6" w14:textId="77777777" w:rsidR="00937272" w:rsidRPr="003D1614" w:rsidRDefault="00937272" w:rsidP="00964790">
            <w:pPr>
              <w:spacing w:before="120"/>
              <w:jc w:val="right"/>
              <w:rPr>
                <w:rFonts w:ascii="Arial" w:hAnsi="Arial" w:cs="Arial"/>
                <w:color w:val="000000" w:themeColor="text1"/>
                <w:sz w:val="20"/>
                <w:szCs w:val="20"/>
              </w:rPr>
            </w:pPr>
          </w:p>
        </w:tc>
      </w:tr>
      <w:tr w:rsidR="00937272" w:rsidRPr="003D1614" w14:paraId="2468B42D" w14:textId="77777777" w:rsidTr="00964790">
        <w:tc>
          <w:tcPr>
            <w:tcW w:w="8429" w:type="dxa"/>
            <w:vAlign w:val="bottom"/>
          </w:tcPr>
          <w:p w14:paraId="32E9EB0E" w14:textId="77777777" w:rsidR="00937272" w:rsidRPr="003D1614" w:rsidRDefault="00937272" w:rsidP="00964790">
            <w:pPr>
              <w:spacing w:before="120"/>
              <w:rPr>
                <w:rFonts w:ascii="Arial" w:hAnsi="Arial" w:cs="Arial"/>
                <w:color w:val="000000" w:themeColor="text1"/>
                <w:sz w:val="20"/>
                <w:szCs w:val="20"/>
              </w:rPr>
            </w:pPr>
            <w:r w:rsidRPr="003D1614">
              <w:rPr>
                <w:rFonts w:ascii="Arial" w:hAnsi="Arial" w:cs="Arial"/>
                <w:color w:val="000000" w:themeColor="text1"/>
                <w:sz w:val="20"/>
                <w:szCs w:val="20"/>
              </w:rPr>
              <w:t>Izvještaj o dobiti i gubitku te ostaloj sveobuhvatnoj dobiti</w:t>
            </w:r>
          </w:p>
        </w:tc>
        <w:tc>
          <w:tcPr>
            <w:tcW w:w="1058" w:type="dxa"/>
            <w:vAlign w:val="bottom"/>
          </w:tcPr>
          <w:p w14:paraId="52EB354D" w14:textId="62C29031" w:rsidR="00937272" w:rsidRPr="003D1614" w:rsidRDefault="003D1614" w:rsidP="00964790">
            <w:pPr>
              <w:spacing w:before="120"/>
              <w:jc w:val="right"/>
              <w:rPr>
                <w:rFonts w:ascii="Arial" w:hAnsi="Arial" w:cs="Arial"/>
                <w:color w:val="000000" w:themeColor="text1"/>
                <w:sz w:val="20"/>
                <w:szCs w:val="20"/>
              </w:rPr>
            </w:pPr>
            <w:r>
              <w:rPr>
                <w:rFonts w:ascii="Arial" w:hAnsi="Arial" w:cs="Arial"/>
                <w:color w:val="000000" w:themeColor="text1"/>
                <w:sz w:val="20"/>
                <w:szCs w:val="20"/>
              </w:rPr>
              <w:t>10</w:t>
            </w:r>
          </w:p>
        </w:tc>
      </w:tr>
      <w:tr w:rsidR="00937272" w:rsidRPr="003D1614" w14:paraId="08872D3C" w14:textId="77777777" w:rsidTr="00964790">
        <w:tc>
          <w:tcPr>
            <w:tcW w:w="8429" w:type="dxa"/>
            <w:vAlign w:val="bottom"/>
          </w:tcPr>
          <w:p w14:paraId="5FD4D6B9" w14:textId="77777777" w:rsidR="00937272" w:rsidRPr="003D1614" w:rsidRDefault="00937272" w:rsidP="00964790">
            <w:pPr>
              <w:spacing w:before="120"/>
              <w:rPr>
                <w:rFonts w:ascii="Arial" w:hAnsi="Arial" w:cs="Arial"/>
                <w:color w:val="000000" w:themeColor="text1"/>
                <w:sz w:val="20"/>
                <w:szCs w:val="20"/>
              </w:rPr>
            </w:pPr>
          </w:p>
        </w:tc>
        <w:tc>
          <w:tcPr>
            <w:tcW w:w="1058" w:type="dxa"/>
            <w:vAlign w:val="bottom"/>
          </w:tcPr>
          <w:p w14:paraId="033E4FC7" w14:textId="77777777" w:rsidR="00937272" w:rsidRPr="003D1614" w:rsidRDefault="00937272" w:rsidP="00964790">
            <w:pPr>
              <w:spacing w:before="120"/>
              <w:jc w:val="right"/>
              <w:rPr>
                <w:rFonts w:ascii="Arial" w:hAnsi="Arial" w:cs="Arial"/>
                <w:color w:val="000000" w:themeColor="text1"/>
                <w:sz w:val="20"/>
                <w:szCs w:val="20"/>
              </w:rPr>
            </w:pPr>
          </w:p>
        </w:tc>
      </w:tr>
      <w:tr w:rsidR="00937272" w:rsidRPr="003D1614" w14:paraId="33141C82" w14:textId="77777777" w:rsidTr="00964790">
        <w:tc>
          <w:tcPr>
            <w:tcW w:w="8429" w:type="dxa"/>
            <w:vAlign w:val="bottom"/>
          </w:tcPr>
          <w:p w14:paraId="44DF0328" w14:textId="77777777" w:rsidR="00937272" w:rsidRPr="003D1614" w:rsidRDefault="00937272" w:rsidP="00964790">
            <w:pPr>
              <w:spacing w:before="120"/>
              <w:rPr>
                <w:rFonts w:ascii="Arial" w:hAnsi="Arial" w:cs="Arial"/>
                <w:color w:val="000000" w:themeColor="text1"/>
                <w:sz w:val="20"/>
                <w:szCs w:val="20"/>
              </w:rPr>
            </w:pPr>
            <w:r w:rsidRPr="003D1614">
              <w:rPr>
                <w:rFonts w:ascii="Arial" w:hAnsi="Arial" w:cs="Arial"/>
                <w:color w:val="000000" w:themeColor="text1"/>
                <w:sz w:val="20"/>
                <w:szCs w:val="20"/>
              </w:rPr>
              <w:t>Izvještaj o financijskom položaju</w:t>
            </w:r>
          </w:p>
        </w:tc>
        <w:tc>
          <w:tcPr>
            <w:tcW w:w="1058" w:type="dxa"/>
            <w:vAlign w:val="bottom"/>
          </w:tcPr>
          <w:p w14:paraId="3A88F462" w14:textId="3BA72312" w:rsidR="00937272" w:rsidRPr="003D1614" w:rsidRDefault="003D1614" w:rsidP="00964790">
            <w:pPr>
              <w:spacing w:before="120"/>
              <w:jc w:val="right"/>
              <w:rPr>
                <w:rFonts w:ascii="Arial" w:hAnsi="Arial" w:cs="Arial"/>
                <w:color w:val="000000" w:themeColor="text1"/>
                <w:sz w:val="20"/>
                <w:szCs w:val="20"/>
              </w:rPr>
            </w:pPr>
            <w:r>
              <w:rPr>
                <w:rFonts w:ascii="Arial" w:hAnsi="Arial" w:cs="Arial"/>
                <w:color w:val="000000" w:themeColor="text1"/>
                <w:sz w:val="20"/>
                <w:szCs w:val="20"/>
              </w:rPr>
              <w:t>11</w:t>
            </w:r>
          </w:p>
        </w:tc>
      </w:tr>
      <w:tr w:rsidR="00937272" w:rsidRPr="003D1614" w14:paraId="6FD698FB" w14:textId="77777777" w:rsidTr="00964790">
        <w:tc>
          <w:tcPr>
            <w:tcW w:w="8429" w:type="dxa"/>
            <w:vAlign w:val="bottom"/>
          </w:tcPr>
          <w:p w14:paraId="259676F4" w14:textId="77777777" w:rsidR="00937272" w:rsidRPr="003D1614" w:rsidRDefault="00937272" w:rsidP="00964790">
            <w:pPr>
              <w:spacing w:before="120"/>
              <w:rPr>
                <w:rFonts w:ascii="Arial" w:hAnsi="Arial" w:cs="Arial"/>
                <w:color w:val="000000" w:themeColor="text1"/>
                <w:sz w:val="20"/>
                <w:szCs w:val="20"/>
              </w:rPr>
            </w:pPr>
          </w:p>
        </w:tc>
        <w:tc>
          <w:tcPr>
            <w:tcW w:w="1058" w:type="dxa"/>
            <w:vAlign w:val="bottom"/>
          </w:tcPr>
          <w:p w14:paraId="185E2C4F" w14:textId="77777777" w:rsidR="00937272" w:rsidRPr="003D1614" w:rsidRDefault="00937272" w:rsidP="00964790">
            <w:pPr>
              <w:spacing w:before="120"/>
              <w:jc w:val="right"/>
              <w:rPr>
                <w:rFonts w:ascii="Arial" w:hAnsi="Arial" w:cs="Arial"/>
                <w:color w:val="000000" w:themeColor="text1"/>
                <w:sz w:val="20"/>
                <w:szCs w:val="20"/>
              </w:rPr>
            </w:pPr>
          </w:p>
        </w:tc>
      </w:tr>
      <w:tr w:rsidR="00937272" w:rsidRPr="003D1614" w14:paraId="0D1D853F" w14:textId="77777777" w:rsidTr="00964790">
        <w:tc>
          <w:tcPr>
            <w:tcW w:w="8429" w:type="dxa"/>
            <w:vAlign w:val="bottom"/>
          </w:tcPr>
          <w:p w14:paraId="16B7BD90" w14:textId="77777777" w:rsidR="00937272" w:rsidRPr="003D1614" w:rsidRDefault="00937272" w:rsidP="00964790">
            <w:pPr>
              <w:spacing w:before="120"/>
              <w:rPr>
                <w:rFonts w:ascii="Arial" w:hAnsi="Arial" w:cs="Arial"/>
                <w:color w:val="000000" w:themeColor="text1"/>
                <w:sz w:val="20"/>
                <w:szCs w:val="20"/>
              </w:rPr>
            </w:pPr>
            <w:r w:rsidRPr="003D1614">
              <w:rPr>
                <w:rFonts w:ascii="Arial" w:hAnsi="Arial" w:cs="Arial"/>
                <w:color w:val="000000" w:themeColor="text1"/>
                <w:sz w:val="20"/>
                <w:szCs w:val="20"/>
              </w:rPr>
              <w:t>Izvještaj o novčanim tokovima</w:t>
            </w:r>
          </w:p>
        </w:tc>
        <w:tc>
          <w:tcPr>
            <w:tcW w:w="1058" w:type="dxa"/>
            <w:vAlign w:val="bottom"/>
          </w:tcPr>
          <w:p w14:paraId="21EFF1D7" w14:textId="145EABA6" w:rsidR="00937272" w:rsidRPr="003D1614" w:rsidRDefault="003D1614" w:rsidP="00964790">
            <w:pPr>
              <w:spacing w:before="120"/>
              <w:jc w:val="right"/>
              <w:rPr>
                <w:rFonts w:ascii="Arial" w:hAnsi="Arial" w:cs="Arial"/>
                <w:color w:val="000000" w:themeColor="text1"/>
                <w:sz w:val="20"/>
                <w:szCs w:val="20"/>
              </w:rPr>
            </w:pPr>
            <w:r>
              <w:rPr>
                <w:rFonts w:ascii="Arial" w:hAnsi="Arial" w:cs="Arial"/>
                <w:color w:val="000000" w:themeColor="text1"/>
                <w:sz w:val="20"/>
                <w:szCs w:val="20"/>
              </w:rPr>
              <w:t>12</w:t>
            </w:r>
          </w:p>
        </w:tc>
      </w:tr>
      <w:tr w:rsidR="00937272" w:rsidRPr="003D1614" w14:paraId="2A24F0C8" w14:textId="77777777" w:rsidTr="00964790">
        <w:tc>
          <w:tcPr>
            <w:tcW w:w="8429" w:type="dxa"/>
            <w:vAlign w:val="bottom"/>
          </w:tcPr>
          <w:p w14:paraId="408D87F2" w14:textId="77777777" w:rsidR="00937272" w:rsidRPr="003D1614" w:rsidRDefault="00937272" w:rsidP="00964790">
            <w:pPr>
              <w:spacing w:before="120"/>
              <w:rPr>
                <w:rFonts w:ascii="Arial" w:hAnsi="Arial" w:cs="Arial"/>
                <w:color w:val="000000" w:themeColor="text1"/>
                <w:sz w:val="20"/>
                <w:szCs w:val="20"/>
              </w:rPr>
            </w:pPr>
          </w:p>
        </w:tc>
        <w:tc>
          <w:tcPr>
            <w:tcW w:w="1058" w:type="dxa"/>
            <w:vAlign w:val="bottom"/>
          </w:tcPr>
          <w:p w14:paraId="10A52263" w14:textId="77777777" w:rsidR="00937272" w:rsidRPr="003D1614" w:rsidRDefault="00937272" w:rsidP="00964790">
            <w:pPr>
              <w:spacing w:before="120"/>
              <w:jc w:val="right"/>
              <w:rPr>
                <w:rFonts w:ascii="Arial" w:hAnsi="Arial" w:cs="Arial"/>
                <w:color w:val="000000" w:themeColor="text1"/>
                <w:sz w:val="20"/>
                <w:szCs w:val="20"/>
              </w:rPr>
            </w:pPr>
          </w:p>
        </w:tc>
      </w:tr>
      <w:tr w:rsidR="00937272" w:rsidRPr="003D1614" w14:paraId="07C8B8E7" w14:textId="77777777" w:rsidTr="00964790">
        <w:tc>
          <w:tcPr>
            <w:tcW w:w="8429" w:type="dxa"/>
            <w:vAlign w:val="bottom"/>
          </w:tcPr>
          <w:p w14:paraId="6635E0B3" w14:textId="77777777" w:rsidR="00937272" w:rsidRPr="003D1614" w:rsidRDefault="00937272" w:rsidP="00964790">
            <w:pPr>
              <w:spacing w:before="120"/>
              <w:rPr>
                <w:rFonts w:ascii="Arial" w:hAnsi="Arial" w:cs="Arial"/>
                <w:color w:val="000000" w:themeColor="text1"/>
                <w:sz w:val="20"/>
                <w:szCs w:val="20"/>
              </w:rPr>
            </w:pPr>
            <w:r w:rsidRPr="003D1614">
              <w:rPr>
                <w:rFonts w:ascii="Arial" w:hAnsi="Arial" w:cs="Arial"/>
                <w:color w:val="000000" w:themeColor="text1"/>
                <w:sz w:val="20"/>
                <w:szCs w:val="20"/>
              </w:rPr>
              <w:t>Izvještaj o promjenama na kapitalu i rezervama</w:t>
            </w:r>
          </w:p>
        </w:tc>
        <w:tc>
          <w:tcPr>
            <w:tcW w:w="1058" w:type="dxa"/>
            <w:vAlign w:val="bottom"/>
          </w:tcPr>
          <w:p w14:paraId="3BFA2E23" w14:textId="054FFC26" w:rsidR="00937272" w:rsidRPr="003D1614" w:rsidRDefault="003D1614" w:rsidP="00964790">
            <w:pPr>
              <w:spacing w:before="120"/>
              <w:jc w:val="right"/>
              <w:rPr>
                <w:rFonts w:ascii="Arial" w:hAnsi="Arial" w:cs="Arial"/>
                <w:color w:val="000000" w:themeColor="text1"/>
                <w:sz w:val="20"/>
                <w:szCs w:val="20"/>
              </w:rPr>
            </w:pPr>
            <w:r>
              <w:rPr>
                <w:rFonts w:ascii="Arial" w:hAnsi="Arial" w:cs="Arial"/>
                <w:color w:val="000000" w:themeColor="text1"/>
                <w:sz w:val="20"/>
                <w:szCs w:val="20"/>
              </w:rPr>
              <w:t>13</w:t>
            </w:r>
          </w:p>
        </w:tc>
      </w:tr>
      <w:tr w:rsidR="00937272" w:rsidRPr="003D1614" w14:paraId="0C5BA9C7" w14:textId="77777777" w:rsidTr="00964790">
        <w:tc>
          <w:tcPr>
            <w:tcW w:w="8429" w:type="dxa"/>
            <w:vAlign w:val="bottom"/>
          </w:tcPr>
          <w:p w14:paraId="3A6A34A2" w14:textId="77777777" w:rsidR="00937272" w:rsidRPr="003D1614" w:rsidRDefault="00937272" w:rsidP="00964790">
            <w:pPr>
              <w:spacing w:before="120"/>
              <w:rPr>
                <w:rFonts w:ascii="Arial" w:hAnsi="Arial" w:cs="Arial"/>
                <w:color w:val="000000" w:themeColor="text1"/>
                <w:sz w:val="20"/>
                <w:szCs w:val="20"/>
              </w:rPr>
            </w:pPr>
          </w:p>
        </w:tc>
        <w:tc>
          <w:tcPr>
            <w:tcW w:w="1058" w:type="dxa"/>
            <w:vAlign w:val="bottom"/>
          </w:tcPr>
          <w:p w14:paraId="177205F8" w14:textId="77777777" w:rsidR="00937272" w:rsidRPr="003D1614" w:rsidRDefault="00937272" w:rsidP="00964790">
            <w:pPr>
              <w:spacing w:before="120"/>
              <w:jc w:val="right"/>
              <w:rPr>
                <w:rFonts w:ascii="Arial" w:hAnsi="Arial" w:cs="Arial"/>
                <w:color w:val="000000" w:themeColor="text1"/>
                <w:sz w:val="20"/>
                <w:szCs w:val="20"/>
                <w:highlight w:val="yellow"/>
              </w:rPr>
            </w:pPr>
          </w:p>
        </w:tc>
      </w:tr>
      <w:tr w:rsidR="00937272" w:rsidRPr="003D1614" w14:paraId="1B9BA77A" w14:textId="77777777" w:rsidTr="00964790">
        <w:tc>
          <w:tcPr>
            <w:tcW w:w="8429" w:type="dxa"/>
            <w:vAlign w:val="bottom"/>
          </w:tcPr>
          <w:p w14:paraId="338CF0FD" w14:textId="77777777" w:rsidR="00937272" w:rsidRPr="003D1614" w:rsidRDefault="00937272" w:rsidP="00964790">
            <w:pPr>
              <w:pStyle w:val="PH"/>
              <w:spacing w:line="320" w:lineRule="exact"/>
              <w:rPr>
                <w:rFonts w:cs="Arial"/>
                <w:color w:val="000000" w:themeColor="text1"/>
                <w:sz w:val="20"/>
                <w:lang w:val="hr-HR"/>
              </w:rPr>
            </w:pPr>
            <w:r w:rsidRPr="003D1614">
              <w:rPr>
                <w:rFonts w:cs="Arial"/>
                <w:color w:val="000000" w:themeColor="text1"/>
                <w:sz w:val="20"/>
                <w:lang w:val="hr-HR"/>
              </w:rPr>
              <w:t xml:space="preserve">Bilješke uz skraćene financijske izvještaje koje obuhvaćaju važne računovodstvene politike i druga objašnjenja </w:t>
            </w:r>
          </w:p>
        </w:tc>
        <w:tc>
          <w:tcPr>
            <w:tcW w:w="1058" w:type="dxa"/>
            <w:shd w:val="clear" w:color="auto" w:fill="auto"/>
            <w:vAlign w:val="bottom"/>
          </w:tcPr>
          <w:p w14:paraId="4105EE81" w14:textId="10009DA5" w:rsidR="00937272" w:rsidRPr="00FE4E8D" w:rsidRDefault="003D1614" w:rsidP="00964790">
            <w:pPr>
              <w:spacing w:before="120"/>
              <w:jc w:val="right"/>
              <w:rPr>
                <w:rFonts w:ascii="Arial" w:hAnsi="Arial" w:cs="Arial"/>
                <w:color w:val="000000" w:themeColor="text1"/>
                <w:sz w:val="20"/>
                <w:szCs w:val="20"/>
              </w:rPr>
            </w:pPr>
            <w:r w:rsidRPr="00FE4E8D">
              <w:rPr>
                <w:rFonts w:ascii="Arial" w:hAnsi="Arial" w:cs="Arial"/>
                <w:color w:val="000000" w:themeColor="text1"/>
                <w:sz w:val="20"/>
                <w:szCs w:val="20"/>
              </w:rPr>
              <w:t>14-11</w:t>
            </w:r>
            <w:r w:rsidR="007478FB" w:rsidRPr="00FE4E8D">
              <w:rPr>
                <w:rFonts w:ascii="Arial" w:hAnsi="Arial" w:cs="Arial"/>
                <w:color w:val="000000" w:themeColor="text1"/>
                <w:sz w:val="20"/>
                <w:szCs w:val="20"/>
              </w:rPr>
              <w:t>9</w:t>
            </w:r>
          </w:p>
        </w:tc>
      </w:tr>
      <w:tr w:rsidR="00937272" w:rsidRPr="003D1614" w14:paraId="2347AA9F" w14:textId="77777777" w:rsidTr="00964790">
        <w:trPr>
          <w:trHeight w:val="482"/>
        </w:trPr>
        <w:tc>
          <w:tcPr>
            <w:tcW w:w="8429" w:type="dxa"/>
            <w:vAlign w:val="bottom"/>
          </w:tcPr>
          <w:p w14:paraId="3D74BA47" w14:textId="77777777" w:rsidR="00937272" w:rsidRPr="003D1614" w:rsidRDefault="00937272" w:rsidP="00964790">
            <w:pPr>
              <w:pStyle w:val="PH"/>
              <w:spacing w:line="320" w:lineRule="exact"/>
              <w:rPr>
                <w:rFonts w:cs="Arial"/>
                <w:color w:val="000000" w:themeColor="text1"/>
                <w:sz w:val="20"/>
                <w:lang w:val="hr-HR"/>
              </w:rPr>
            </w:pPr>
            <w:r w:rsidRPr="003D1614">
              <w:rPr>
                <w:rFonts w:cs="Arial"/>
                <w:color w:val="000000" w:themeColor="text1"/>
                <w:sz w:val="20"/>
                <w:lang w:val="hr-HR"/>
              </w:rPr>
              <w:t>Dodatak – Financijsko poslovanje Grupe HKO</w:t>
            </w:r>
          </w:p>
        </w:tc>
        <w:tc>
          <w:tcPr>
            <w:tcW w:w="1058" w:type="dxa"/>
            <w:shd w:val="clear" w:color="auto" w:fill="auto"/>
            <w:vAlign w:val="bottom"/>
          </w:tcPr>
          <w:p w14:paraId="421B1028" w14:textId="667C4EEA" w:rsidR="00937272" w:rsidRPr="00FE4E8D" w:rsidRDefault="003D1614" w:rsidP="00964790">
            <w:pPr>
              <w:spacing w:before="120"/>
              <w:jc w:val="right"/>
              <w:rPr>
                <w:rFonts w:ascii="Arial" w:hAnsi="Arial" w:cs="Arial"/>
                <w:color w:val="000000" w:themeColor="text1"/>
                <w:sz w:val="20"/>
                <w:szCs w:val="20"/>
              </w:rPr>
            </w:pPr>
            <w:r w:rsidRPr="00FE4E8D">
              <w:rPr>
                <w:rFonts w:ascii="Arial" w:hAnsi="Arial" w:cs="Arial"/>
                <w:color w:val="000000" w:themeColor="text1"/>
                <w:sz w:val="20"/>
                <w:szCs w:val="20"/>
              </w:rPr>
              <w:t>1</w:t>
            </w:r>
            <w:r w:rsidR="007478FB" w:rsidRPr="00FE4E8D">
              <w:rPr>
                <w:rFonts w:ascii="Arial" w:hAnsi="Arial" w:cs="Arial"/>
                <w:color w:val="000000" w:themeColor="text1"/>
                <w:sz w:val="20"/>
                <w:szCs w:val="20"/>
              </w:rPr>
              <w:t>20</w:t>
            </w:r>
            <w:r w:rsidRPr="00FE4E8D">
              <w:rPr>
                <w:rFonts w:ascii="Arial" w:hAnsi="Arial" w:cs="Arial"/>
                <w:color w:val="000000" w:themeColor="text1"/>
                <w:sz w:val="20"/>
                <w:szCs w:val="20"/>
              </w:rPr>
              <w:t>-12</w:t>
            </w:r>
            <w:r w:rsidR="00B34775">
              <w:rPr>
                <w:rFonts w:ascii="Arial" w:hAnsi="Arial" w:cs="Arial"/>
                <w:color w:val="000000" w:themeColor="text1"/>
                <w:sz w:val="20"/>
                <w:szCs w:val="20"/>
              </w:rPr>
              <w:t>2</w:t>
            </w:r>
          </w:p>
        </w:tc>
      </w:tr>
    </w:tbl>
    <w:p w14:paraId="0F69524F" w14:textId="77777777" w:rsidR="00937272" w:rsidRPr="003D1614" w:rsidRDefault="00937272" w:rsidP="00937272">
      <w:pPr>
        <w:rPr>
          <w:rFonts w:ascii="Arial" w:hAnsi="Arial" w:cs="Arial"/>
          <w:color w:val="000000" w:themeColor="text1"/>
        </w:rPr>
      </w:pPr>
    </w:p>
    <w:p w14:paraId="40441826" w14:textId="77777777" w:rsidR="00937272" w:rsidRPr="003D1614" w:rsidRDefault="00937272" w:rsidP="00937272">
      <w:pPr>
        <w:rPr>
          <w:rFonts w:ascii="Arial" w:hAnsi="Arial" w:cs="Arial"/>
          <w:sz w:val="20"/>
          <w:szCs w:val="20"/>
        </w:rPr>
      </w:pPr>
    </w:p>
    <w:p w14:paraId="720AD33D" w14:textId="77777777" w:rsidR="00AE5D99" w:rsidRPr="003D1614" w:rsidRDefault="00AE5D99" w:rsidP="00937272">
      <w:pPr>
        <w:rPr>
          <w:rFonts w:ascii="Arial" w:hAnsi="Arial" w:cs="Arial"/>
          <w:sz w:val="20"/>
          <w:szCs w:val="20"/>
        </w:rPr>
        <w:sectPr w:rsidR="00AE5D99" w:rsidRPr="003D1614" w:rsidSect="004973A5">
          <w:headerReference w:type="default" r:id="rId8"/>
          <w:footerReference w:type="default" r:id="rId9"/>
          <w:pgSz w:w="11906" w:h="16838"/>
          <w:pgMar w:top="1417" w:right="1417" w:bottom="1417" w:left="1417" w:header="708" w:footer="708" w:gutter="0"/>
          <w:pgNumType w:start="2"/>
          <w:cols w:space="708"/>
          <w:docGrid w:linePitch="360"/>
        </w:sectPr>
      </w:pPr>
    </w:p>
    <w:p w14:paraId="539C0F28" w14:textId="77777777" w:rsidR="00937272" w:rsidRPr="003D1614" w:rsidRDefault="00937272" w:rsidP="00937272">
      <w:pPr>
        <w:rPr>
          <w:rFonts w:ascii="Arial" w:hAnsi="Arial" w:cs="Arial"/>
          <w:sz w:val="20"/>
          <w:szCs w:val="20"/>
        </w:rPr>
      </w:pPr>
    </w:p>
    <w:p w14:paraId="1A4C4EDA" w14:textId="77777777" w:rsidR="008513CA" w:rsidRPr="003D1614" w:rsidRDefault="008513CA" w:rsidP="008513CA">
      <w:pPr>
        <w:numPr>
          <w:ilvl w:val="12"/>
          <w:numId w:val="0"/>
        </w:numPr>
        <w:tabs>
          <w:tab w:val="left" w:pos="-1560"/>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 w:val="left" w:pos="12120"/>
          <w:tab w:val="left" w:pos="12840"/>
          <w:tab w:val="left" w:pos="13560"/>
          <w:tab w:val="left" w:pos="14280"/>
          <w:tab w:val="left" w:pos="15000"/>
          <w:tab w:val="left" w:pos="15720"/>
          <w:tab w:val="left" w:pos="16440"/>
          <w:tab w:val="left" w:pos="17160"/>
        </w:tabs>
        <w:jc w:val="both"/>
        <w:rPr>
          <w:rFonts w:ascii="Arial" w:hAnsi="Arial" w:cs="Arial"/>
          <w:color w:val="000000" w:themeColor="text1"/>
          <w:lang w:eastAsia="hr-HR"/>
        </w:rPr>
      </w:pPr>
    </w:p>
    <w:p w14:paraId="7C79BC3C" w14:textId="0A54F5EB" w:rsidR="008513CA" w:rsidRPr="007478FB" w:rsidRDefault="008513CA" w:rsidP="008513CA">
      <w:pPr>
        <w:numPr>
          <w:ilvl w:val="12"/>
          <w:numId w:val="0"/>
        </w:numPr>
        <w:jc w:val="both"/>
        <w:rPr>
          <w:rFonts w:ascii="Arial" w:hAnsi="Arial" w:cs="Arial"/>
          <w:color w:val="000000" w:themeColor="text1"/>
          <w:sz w:val="20"/>
          <w:szCs w:val="20"/>
        </w:rPr>
      </w:pPr>
      <w:r w:rsidRPr="003D1614">
        <w:rPr>
          <w:rFonts w:ascii="Arial" w:hAnsi="Arial" w:cs="Arial"/>
          <w:color w:val="000000" w:themeColor="text1"/>
          <w:sz w:val="20"/>
          <w:szCs w:val="20"/>
        </w:rPr>
        <w:t xml:space="preserve">Potvrđujemo da su, prema našem najboljem saznanju, skraćeni odvojeni financijski izvještaji Hrvatske banke za obnovu i razvitak („Banka“ ili „HBOR“) i skraćeni konsolidirani </w:t>
      </w:r>
      <w:r w:rsidRPr="007478FB">
        <w:rPr>
          <w:rFonts w:ascii="Arial" w:hAnsi="Arial" w:cs="Arial"/>
          <w:color w:val="000000" w:themeColor="text1"/>
          <w:sz w:val="20"/>
          <w:szCs w:val="20"/>
        </w:rPr>
        <w:t xml:space="preserve">financijski izvještaji Grupe Hrvatska banka za obnovu i razvitak („Grupa“) prikazani na stranicama od </w:t>
      </w:r>
      <w:r w:rsidR="00054F7B" w:rsidRPr="00B34775">
        <w:rPr>
          <w:rFonts w:ascii="Arial" w:hAnsi="Arial" w:cs="Arial"/>
          <w:color w:val="000000" w:themeColor="text1"/>
          <w:sz w:val="20"/>
          <w:szCs w:val="20"/>
        </w:rPr>
        <w:t>4</w:t>
      </w:r>
      <w:r w:rsidRPr="00B34775">
        <w:rPr>
          <w:rFonts w:ascii="Arial" w:hAnsi="Arial" w:cs="Arial"/>
          <w:color w:val="000000" w:themeColor="text1"/>
          <w:sz w:val="20"/>
          <w:szCs w:val="20"/>
        </w:rPr>
        <w:t xml:space="preserve"> do </w:t>
      </w:r>
      <w:r w:rsidR="008774B9" w:rsidRPr="00B34775">
        <w:rPr>
          <w:rFonts w:ascii="Arial" w:hAnsi="Arial" w:cs="Arial"/>
          <w:color w:val="000000" w:themeColor="text1"/>
          <w:sz w:val="20"/>
          <w:szCs w:val="20"/>
        </w:rPr>
        <w:t>12</w:t>
      </w:r>
      <w:r w:rsidR="00B34775" w:rsidRPr="00B34775">
        <w:rPr>
          <w:rFonts w:ascii="Arial" w:hAnsi="Arial" w:cs="Arial"/>
          <w:color w:val="000000" w:themeColor="text1"/>
          <w:sz w:val="20"/>
          <w:szCs w:val="20"/>
        </w:rPr>
        <w:t>2</w:t>
      </w:r>
      <w:r w:rsidRPr="007478FB">
        <w:rPr>
          <w:rFonts w:ascii="Arial" w:hAnsi="Arial" w:cs="Arial"/>
          <w:color w:val="000000" w:themeColor="text1"/>
          <w:sz w:val="20"/>
          <w:szCs w:val="20"/>
        </w:rPr>
        <w:t xml:space="preserve"> sastavljeni uz primjenu Međunarodnog računovodstvenog standarda 34: ‘’Financijsko izvještavanje za razdoblja tijekom godine“ primjenjivim za sastavljanje financijskih izvještaja za razdoblja tijekom godine te da daju fer prikaz imovine, obveza, financijskog položaja, financijskog rezultata i novčanih tokova za izvještajno razdoblje.</w:t>
      </w:r>
    </w:p>
    <w:p w14:paraId="65374F18" w14:textId="77777777" w:rsidR="008513CA" w:rsidRPr="007478FB" w:rsidRDefault="008513CA" w:rsidP="008513CA">
      <w:pPr>
        <w:numPr>
          <w:ilvl w:val="12"/>
          <w:numId w:val="0"/>
        </w:numPr>
        <w:jc w:val="both"/>
        <w:rPr>
          <w:rFonts w:ascii="Arial" w:hAnsi="Arial" w:cs="Arial"/>
          <w:color w:val="000000" w:themeColor="text1"/>
          <w:sz w:val="20"/>
          <w:szCs w:val="20"/>
        </w:rPr>
      </w:pPr>
    </w:p>
    <w:p w14:paraId="15E22AF5" w14:textId="77777777" w:rsidR="008513CA" w:rsidRPr="007478FB" w:rsidRDefault="008513CA" w:rsidP="008513CA">
      <w:pPr>
        <w:numPr>
          <w:ilvl w:val="12"/>
          <w:numId w:val="0"/>
        </w:numPr>
        <w:jc w:val="both"/>
        <w:rPr>
          <w:rFonts w:ascii="Arial" w:hAnsi="Arial" w:cs="Arial"/>
          <w:color w:val="000000" w:themeColor="text1"/>
          <w:sz w:val="20"/>
          <w:szCs w:val="20"/>
        </w:rPr>
      </w:pPr>
      <w:r w:rsidRPr="007478FB">
        <w:rPr>
          <w:rFonts w:ascii="Arial" w:hAnsi="Arial" w:cs="Arial"/>
          <w:color w:val="000000" w:themeColor="text1"/>
          <w:sz w:val="20"/>
          <w:szCs w:val="20"/>
        </w:rPr>
        <w:t>Uprava ima opću odgovornost za poduzimanje koraka koji su joj u razumnoj mjeri dostupni kako bi joj omogućili očuvanje imovine Banke i Grupe te sprečavanje i otkrivanje prijevara i ostalih nepravilnosti.</w:t>
      </w:r>
    </w:p>
    <w:p w14:paraId="2096A750" w14:textId="77777777" w:rsidR="008513CA" w:rsidRPr="007478FB" w:rsidRDefault="008513CA" w:rsidP="008513CA">
      <w:pPr>
        <w:numPr>
          <w:ilvl w:val="12"/>
          <w:numId w:val="0"/>
        </w:numPr>
        <w:jc w:val="both"/>
        <w:rPr>
          <w:rFonts w:ascii="Arial" w:hAnsi="Arial" w:cs="Arial"/>
          <w:color w:val="000000" w:themeColor="text1"/>
          <w:sz w:val="20"/>
          <w:szCs w:val="20"/>
        </w:rPr>
      </w:pPr>
    </w:p>
    <w:p w14:paraId="4E9D6547" w14:textId="77777777" w:rsidR="008513CA" w:rsidRPr="007478FB" w:rsidRDefault="008513CA" w:rsidP="008513CA">
      <w:pPr>
        <w:numPr>
          <w:ilvl w:val="12"/>
          <w:numId w:val="0"/>
        </w:numPr>
        <w:jc w:val="both"/>
        <w:rPr>
          <w:rFonts w:ascii="Arial" w:hAnsi="Arial" w:cs="Arial"/>
          <w:color w:val="000000" w:themeColor="text1"/>
          <w:sz w:val="20"/>
          <w:szCs w:val="20"/>
        </w:rPr>
      </w:pPr>
      <w:r w:rsidRPr="007478FB">
        <w:rPr>
          <w:rFonts w:ascii="Arial" w:hAnsi="Arial" w:cs="Arial"/>
          <w:color w:val="000000" w:themeColor="text1"/>
          <w:sz w:val="20"/>
          <w:szCs w:val="20"/>
        </w:rPr>
        <w:t>Uprava je odgovorna za odabir prikladnih računovodstvenih politika koje su u skladu s važećim računovodstvenim standardima i za njihovu dosljednu primjenu; donošenje razumnih i razboritih prosudbi i procjena; te pripremanje financijskih izvještaja temeljem principa neograničenosti vremena poslovanja, osim ako je pretpostavka da će Banka i Grupa nastaviti s poslovanjem neprimjerena.</w:t>
      </w:r>
    </w:p>
    <w:p w14:paraId="07433DFF" w14:textId="77777777" w:rsidR="008513CA" w:rsidRPr="007478FB" w:rsidRDefault="008513CA" w:rsidP="008513CA">
      <w:pPr>
        <w:numPr>
          <w:ilvl w:val="12"/>
          <w:numId w:val="0"/>
        </w:numPr>
        <w:jc w:val="both"/>
        <w:rPr>
          <w:rFonts w:ascii="Arial" w:hAnsi="Arial" w:cs="Arial"/>
          <w:color w:val="000000" w:themeColor="text1"/>
          <w:sz w:val="20"/>
          <w:szCs w:val="20"/>
        </w:rPr>
      </w:pPr>
    </w:p>
    <w:p w14:paraId="39AE1403" w14:textId="77777777" w:rsidR="008513CA" w:rsidRPr="007478FB" w:rsidRDefault="008513CA" w:rsidP="008513CA">
      <w:pPr>
        <w:numPr>
          <w:ilvl w:val="12"/>
          <w:numId w:val="0"/>
        </w:numPr>
        <w:jc w:val="both"/>
        <w:rPr>
          <w:rFonts w:ascii="Arial" w:hAnsi="Arial" w:cs="Arial"/>
          <w:color w:val="000000" w:themeColor="text1"/>
          <w:sz w:val="20"/>
          <w:szCs w:val="20"/>
        </w:rPr>
      </w:pPr>
      <w:r w:rsidRPr="007478FB">
        <w:rPr>
          <w:rFonts w:ascii="Arial" w:hAnsi="Arial" w:cs="Arial"/>
          <w:color w:val="000000" w:themeColor="text1"/>
          <w:sz w:val="20"/>
          <w:szCs w:val="20"/>
        </w:rPr>
        <w:t>Uprava je dužna podnijeti na usuglašavanje Nadzornom odboru skraćene financijske izvještaje koji uključuju odvojene i konsolidirane financijske izvještaje. Ukoliko se Nadzorni odbor suglasi sa skraćenim financijskim izvješćem time su ih utvrdili Uprava i Nadzorni odbor Banke.</w:t>
      </w:r>
    </w:p>
    <w:p w14:paraId="66428FA7" w14:textId="77777777" w:rsidR="008513CA" w:rsidRPr="007478FB" w:rsidRDefault="008513CA" w:rsidP="008513CA">
      <w:pPr>
        <w:jc w:val="both"/>
        <w:rPr>
          <w:rFonts w:ascii="Arial" w:hAnsi="Arial" w:cs="Arial"/>
          <w:color w:val="000000" w:themeColor="text1"/>
          <w:sz w:val="20"/>
          <w:szCs w:val="20"/>
        </w:rPr>
      </w:pPr>
    </w:p>
    <w:p w14:paraId="228DEE55" w14:textId="3B12C41C" w:rsidR="008513CA" w:rsidRPr="003D1614" w:rsidRDefault="008513CA" w:rsidP="008513CA">
      <w:pPr>
        <w:jc w:val="both"/>
        <w:rPr>
          <w:rFonts w:ascii="Arial" w:hAnsi="Arial" w:cs="Arial"/>
          <w:color w:val="000000" w:themeColor="text1"/>
          <w:sz w:val="20"/>
          <w:szCs w:val="20"/>
        </w:rPr>
      </w:pPr>
      <w:r w:rsidRPr="007478FB">
        <w:rPr>
          <w:rFonts w:ascii="Arial" w:hAnsi="Arial" w:cs="Arial"/>
          <w:color w:val="000000" w:themeColor="text1"/>
          <w:sz w:val="20"/>
          <w:szCs w:val="20"/>
        </w:rPr>
        <w:t xml:space="preserve">Skraćeni odvojeni i konsolidirani financijski izvještaji na </w:t>
      </w:r>
      <w:r w:rsidRPr="00B34775">
        <w:rPr>
          <w:rFonts w:ascii="Arial" w:hAnsi="Arial" w:cs="Arial"/>
          <w:color w:val="000000" w:themeColor="text1"/>
          <w:sz w:val="20"/>
          <w:szCs w:val="20"/>
        </w:rPr>
        <w:t xml:space="preserve">stranicama </w:t>
      </w:r>
      <w:r w:rsidR="00054F7B" w:rsidRPr="00B34775">
        <w:rPr>
          <w:rFonts w:ascii="Arial" w:hAnsi="Arial" w:cs="Arial"/>
          <w:color w:val="000000" w:themeColor="text1"/>
          <w:sz w:val="20"/>
          <w:szCs w:val="20"/>
        </w:rPr>
        <w:t>4</w:t>
      </w:r>
      <w:r w:rsidRPr="00B34775">
        <w:rPr>
          <w:rFonts w:ascii="Arial" w:hAnsi="Arial" w:cs="Arial"/>
          <w:color w:val="000000" w:themeColor="text1"/>
          <w:sz w:val="20"/>
          <w:szCs w:val="20"/>
        </w:rPr>
        <w:t xml:space="preserve"> do </w:t>
      </w:r>
      <w:r w:rsidR="008774B9" w:rsidRPr="00B34775">
        <w:rPr>
          <w:rFonts w:ascii="Arial" w:hAnsi="Arial" w:cs="Arial"/>
          <w:color w:val="000000" w:themeColor="text1"/>
          <w:sz w:val="20"/>
          <w:szCs w:val="20"/>
        </w:rPr>
        <w:t>12</w:t>
      </w:r>
      <w:r w:rsidR="00B34775" w:rsidRPr="00B34775">
        <w:rPr>
          <w:rFonts w:ascii="Arial" w:hAnsi="Arial" w:cs="Arial"/>
          <w:color w:val="000000" w:themeColor="text1"/>
          <w:sz w:val="20"/>
          <w:szCs w:val="20"/>
        </w:rPr>
        <w:t>2</w:t>
      </w:r>
      <w:r w:rsidRPr="003D1614">
        <w:rPr>
          <w:rFonts w:ascii="Arial" w:hAnsi="Arial" w:cs="Arial"/>
          <w:color w:val="000000" w:themeColor="text1"/>
          <w:sz w:val="20"/>
          <w:szCs w:val="20"/>
        </w:rPr>
        <w:t xml:space="preserve"> odobreni su od strane </w:t>
      </w:r>
      <w:r w:rsidRPr="00B34775">
        <w:rPr>
          <w:rFonts w:ascii="Arial" w:hAnsi="Arial" w:cs="Arial"/>
          <w:color w:val="000000" w:themeColor="text1"/>
          <w:sz w:val="20"/>
          <w:szCs w:val="20"/>
        </w:rPr>
        <w:t xml:space="preserve">Uprave </w:t>
      </w:r>
      <w:r w:rsidR="00941E67" w:rsidRPr="00B34775">
        <w:rPr>
          <w:rFonts w:ascii="Arial" w:hAnsi="Arial" w:cs="Arial"/>
          <w:color w:val="000000" w:themeColor="text1"/>
          <w:sz w:val="20"/>
          <w:szCs w:val="20"/>
        </w:rPr>
        <w:t>2</w:t>
      </w:r>
      <w:r w:rsidR="00B34775" w:rsidRPr="00B34775">
        <w:rPr>
          <w:rFonts w:ascii="Arial" w:hAnsi="Arial" w:cs="Arial"/>
          <w:color w:val="000000" w:themeColor="text1"/>
          <w:sz w:val="20"/>
          <w:szCs w:val="20"/>
        </w:rPr>
        <w:t>1</w:t>
      </w:r>
      <w:r w:rsidRPr="00941E67">
        <w:rPr>
          <w:rFonts w:ascii="Arial" w:hAnsi="Arial" w:cs="Arial"/>
          <w:color w:val="000000" w:themeColor="text1"/>
          <w:sz w:val="20"/>
          <w:szCs w:val="20"/>
        </w:rPr>
        <w:t xml:space="preserve">. </w:t>
      </w:r>
      <w:r w:rsidR="00FE4E8D">
        <w:rPr>
          <w:rFonts w:ascii="Arial" w:hAnsi="Arial" w:cs="Arial"/>
          <w:color w:val="000000" w:themeColor="text1"/>
          <w:sz w:val="20"/>
          <w:szCs w:val="20"/>
        </w:rPr>
        <w:t>studenoga</w:t>
      </w:r>
      <w:r w:rsidR="00A24D20" w:rsidRPr="003D1614">
        <w:rPr>
          <w:rFonts w:ascii="Arial" w:hAnsi="Arial" w:cs="Arial"/>
          <w:color w:val="000000" w:themeColor="text1"/>
          <w:sz w:val="20"/>
          <w:szCs w:val="20"/>
        </w:rPr>
        <w:t xml:space="preserve"> </w:t>
      </w:r>
      <w:r w:rsidRPr="003D1614">
        <w:rPr>
          <w:rFonts w:ascii="Arial" w:hAnsi="Arial" w:cs="Arial"/>
          <w:color w:val="000000" w:themeColor="text1"/>
          <w:sz w:val="20"/>
          <w:szCs w:val="20"/>
        </w:rPr>
        <w:t>202</w:t>
      </w:r>
      <w:r w:rsidR="00B92B4F">
        <w:rPr>
          <w:rFonts w:ascii="Arial" w:hAnsi="Arial" w:cs="Arial"/>
          <w:color w:val="000000" w:themeColor="text1"/>
          <w:sz w:val="20"/>
          <w:szCs w:val="20"/>
        </w:rPr>
        <w:t>4</w:t>
      </w:r>
      <w:r w:rsidRPr="003D1614">
        <w:rPr>
          <w:rFonts w:ascii="Arial" w:hAnsi="Arial" w:cs="Arial"/>
          <w:color w:val="000000" w:themeColor="text1"/>
          <w:sz w:val="20"/>
          <w:szCs w:val="20"/>
        </w:rPr>
        <w:t xml:space="preserve">. što je potvrđeno potpisima u nastavku. </w:t>
      </w:r>
    </w:p>
    <w:p w14:paraId="39FD059A" w14:textId="77777777" w:rsidR="008513CA" w:rsidRPr="003D1614" w:rsidRDefault="008513CA" w:rsidP="008513CA">
      <w:pPr>
        <w:jc w:val="both"/>
        <w:rPr>
          <w:rFonts w:ascii="Arial" w:hAnsi="Arial" w:cs="Arial"/>
          <w:color w:val="000000" w:themeColor="text1"/>
          <w:sz w:val="20"/>
          <w:szCs w:val="20"/>
        </w:rPr>
      </w:pPr>
    </w:p>
    <w:p w14:paraId="3ACCACCD" w14:textId="77777777" w:rsidR="008513CA" w:rsidRPr="003D1614" w:rsidRDefault="008513CA" w:rsidP="008513CA">
      <w:pPr>
        <w:jc w:val="both"/>
        <w:rPr>
          <w:rFonts w:ascii="Arial" w:hAnsi="Arial" w:cs="Arial"/>
          <w:color w:val="000000" w:themeColor="text1"/>
          <w:sz w:val="20"/>
          <w:szCs w:val="20"/>
        </w:rPr>
      </w:pPr>
    </w:p>
    <w:p w14:paraId="590E15BA" w14:textId="77777777" w:rsidR="008513CA" w:rsidRPr="003D1614" w:rsidRDefault="008513CA" w:rsidP="008513CA">
      <w:pPr>
        <w:pStyle w:val="BodyText"/>
        <w:rPr>
          <w:rFonts w:ascii="Arial" w:hAnsi="Arial" w:cs="Arial"/>
          <w:b/>
          <w:color w:val="000000" w:themeColor="text1"/>
          <w:sz w:val="20"/>
          <w:szCs w:val="20"/>
          <w:highlight w:val="yellow"/>
        </w:rPr>
      </w:pPr>
      <w:r w:rsidRPr="003D1614">
        <w:rPr>
          <w:rFonts w:ascii="Arial" w:hAnsi="Arial" w:cs="Arial"/>
          <w:color w:val="000000" w:themeColor="text1"/>
          <w:sz w:val="20"/>
          <w:szCs w:val="20"/>
        </w:rPr>
        <w:t>U ime i za Hrvatsku banku za obnovu i razvitak:</w:t>
      </w:r>
    </w:p>
    <w:p w14:paraId="247854BB" w14:textId="77777777" w:rsidR="00E4078F" w:rsidRPr="003D1614" w:rsidRDefault="00E4078F" w:rsidP="00E4078F">
      <w:pPr>
        <w:keepNext/>
        <w:suppressAutoHyphens/>
        <w:autoSpaceDN w:val="0"/>
        <w:jc w:val="both"/>
        <w:outlineLvl w:val="0"/>
        <w:rPr>
          <w:rFonts w:ascii="Arial" w:eastAsia="Times New Roman" w:hAnsi="Arial" w:cs="Arial"/>
          <w:bCs/>
          <w:color w:val="000000" w:themeColor="text1"/>
          <w:sz w:val="20"/>
          <w:szCs w:val="20"/>
        </w:rPr>
      </w:pPr>
    </w:p>
    <w:p w14:paraId="3757607A" w14:textId="77777777" w:rsidR="00E4078F" w:rsidRPr="003D1614" w:rsidRDefault="00E4078F" w:rsidP="00E4078F">
      <w:pPr>
        <w:keepNext/>
        <w:suppressAutoHyphens/>
        <w:autoSpaceDN w:val="0"/>
        <w:jc w:val="both"/>
        <w:outlineLvl w:val="0"/>
        <w:rPr>
          <w:rFonts w:ascii="Arial" w:eastAsia="Times New Roman" w:hAnsi="Arial" w:cs="Arial"/>
          <w:bCs/>
          <w:color w:val="000000" w:themeColor="text1"/>
          <w:sz w:val="20"/>
          <w:szCs w:val="20"/>
        </w:rPr>
      </w:pPr>
    </w:p>
    <w:p w14:paraId="618EEAE1" w14:textId="77777777" w:rsidR="00E4078F" w:rsidRPr="003D1614" w:rsidRDefault="00E4078F" w:rsidP="00E4078F">
      <w:pPr>
        <w:keepNext/>
        <w:suppressAutoHyphens/>
        <w:autoSpaceDN w:val="0"/>
        <w:jc w:val="both"/>
        <w:outlineLvl w:val="0"/>
        <w:rPr>
          <w:rFonts w:ascii="Arial" w:eastAsia="Times New Roman" w:hAnsi="Arial" w:cs="Arial"/>
          <w:bCs/>
          <w:color w:val="000000" w:themeColor="text1"/>
          <w:sz w:val="20"/>
          <w:szCs w:val="20"/>
        </w:rPr>
      </w:pPr>
    </w:p>
    <w:p w14:paraId="6C9A2F7B" w14:textId="77777777" w:rsidR="00E4078F" w:rsidRPr="003D1614" w:rsidRDefault="00E4078F" w:rsidP="00E4078F">
      <w:pPr>
        <w:keepNext/>
        <w:suppressAutoHyphens/>
        <w:autoSpaceDN w:val="0"/>
        <w:jc w:val="both"/>
        <w:outlineLvl w:val="0"/>
        <w:rPr>
          <w:rFonts w:ascii="Arial" w:eastAsia="Times New Roman" w:hAnsi="Arial" w:cs="Arial"/>
          <w:bCs/>
          <w:color w:val="000000" w:themeColor="text1"/>
          <w:sz w:val="20"/>
          <w:szCs w:val="20"/>
        </w:rPr>
      </w:pPr>
    </w:p>
    <w:p w14:paraId="1646698B" w14:textId="77777777" w:rsidR="00E4078F" w:rsidRPr="003D1614" w:rsidRDefault="00E4078F" w:rsidP="00E4078F">
      <w:pPr>
        <w:keepNext/>
        <w:suppressAutoHyphens/>
        <w:autoSpaceDN w:val="0"/>
        <w:jc w:val="both"/>
        <w:outlineLvl w:val="0"/>
        <w:rPr>
          <w:rFonts w:ascii="Arial" w:eastAsia="Times New Roman" w:hAnsi="Arial" w:cs="Arial"/>
          <w:bCs/>
          <w:color w:val="000000" w:themeColor="text1"/>
          <w:sz w:val="20"/>
          <w:szCs w:val="20"/>
        </w:rPr>
      </w:pPr>
    </w:p>
    <w:p w14:paraId="2EAED942" w14:textId="77777777" w:rsidR="00E4078F" w:rsidRPr="003D1614" w:rsidRDefault="00E4078F" w:rsidP="00E4078F">
      <w:pPr>
        <w:keepNext/>
        <w:suppressAutoHyphens/>
        <w:autoSpaceDN w:val="0"/>
        <w:jc w:val="both"/>
        <w:outlineLvl w:val="0"/>
        <w:rPr>
          <w:rFonts w:ascii="Arial" w:eastAsia="Times New Roman" w:hAnsi="Arial" w:cs="Arial"/>
          <w:bCs/>
          <w:color w:val="000000" w:themeColor="text1"/>
          <w:sz w:val="20"/>
          <w:szCs w:val="20"/>
        </w:rPr>
      </w:pPr>
    </w:p>
    <w:tbl>
      <w:tblPr>
        <w:tblW w:w="6667" w:type="dxa"/>
        <w:tblLook w:val="04A0" w:firstRow="1" w:lastRow="0" w:firstColumn="1" w:lastColumn="0" w:noHBand="0" w:noVBand="1"/>
      </w:tblPr>
      <w:tblGrid>
        <w:gridCol w:w="3556"/>
        <w:gridCol w:w="3111"/>
      </w:tblGrid>
      <w:tr w:rsidR="00E4078F" w:rsidRPr="003D1614" w14:paraId="23E9158C" w14:textId="77777777" w:rsidTr="00CB3263">
        <w:trPr>
          <w:trHeight w:hRule="exact" w:val="289"/>
        </w:trPr>
        <w:tc>
          <w:tcPr>
            <w:tcW w:w="3556" w:type="dxa"/>
          </w:tcPr>
          <w:p w14:paraId="2E1CFA4B" w14:textId="77777777" w:rsidR="00E4078F" w:rsidRPr="003D1614" w:rsidRDefault="00E4078F" w:rsidP="00E4078F">
            <w:pPr>
              <w:suppressAutoHyphens/>
              <w:autoSpaceDN w:val="0"/>
              <w:jc w:val="center"/>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______________________</w:t>
            </w:r>
          </w:p>
        </w:tc>
        <w:tc>
          <w:tcPr>
            <w:tcW w:w="3111" w:type="dxa"/>
          </w:tcPr>
          <w:p w14:paraId="28BADE26" w14:textId="77777777" w:rsidR="00E4078F" w:rsidRPr="003D1614" w:rsidRDefault="00E4078F" w:rsidP="00E4078F">
            <w:pPr>
              <w:suppressAutoHyphens/>
              <w:autoSpaceDN w:val="0"/>
              <w:rPr>
                <w:rFonts w:ascii="Arial" w:eastAsia="Times New Roman" w:hAnsi="Arial" w:cs="Arial"/>
                <w:color w:val="000000" w:themeColor="text1"/>
                <w:sz w:val="20"/>
                <w:szCs w:val="20"/>
              </w:rPr>
            </w:pPr>
          </w:p>
        </w:tc>
        <w:bookmarkStart w:id="0" w:name="_Hlk506894968"/>
      </w:tr>
      <w:tr w:rsidR="00E4078F" w:rsidRPr="003D1614" w14:paraId="0AB99FCA" w14:textId="77777777" w:rsidTr="00CB3263">
        <w:trPr>
          <w:trHeight w:val="273"/>
        </w:trPr>
        <w:tc>
          <w:tcPr>
            <w:tcW w:w="3556" w:type="dxa"/>
            <w:vAlign w:val="bottom"/>
          </w:tcPr>
          <w:p w14:paraId="3FEC691C" w14:textId="77777777" w:rsidR="00E4078F" w:rsidRPr="003D1614" w:rsidRDefault="00E4078F" w:rsidP="00E4078F">
            <w:pPr>
              <w:suppressAutoHyphens/>
              <w:autoSpaceDN w:val="0"/>
              <w:jc w:val="center"/>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Marin Pranjić</w:t>
            </w:r>
          </w:p>
        </w:tc>
        <w:tc>
          <w:tcPr>
            <w:tcW w:w="3111" w:type="dxa"/>
          </w:tcPr>
          <w:p w14:paraId="6B893B6C" w14:textId="77777777" w:rsidR="00E4078F" w:rsidRPr="003D1614" w:rsidRDefault="00E4078F" w:rsidP="00E4078F">
            <w:pPr>
              <w:suppressAutoHyphens/>
              <w:autoSpaceDN w:val="0"/>
              <w:jc w:val="center"/>
              <w:rPr>
                <w:rFonts w:ascii="Arial" w:eastAsia="Times New Roman" w:hAnsi="Arial" w:cs="Arial"/>
                <w:color w:val="000000" w:themeColor="text1"/>
                <w:sz w:val="20"/>
                <w:szCs w:val="20"/>
              </w:rPr>
            </w:pPr>
          </w:p>
        </w:tc>
      </w:tr>
      <w:tr w:rsidR="00E4078F" w:rsidRPr="003D1614" w14:paraId="0F88E155" w14:textId="77777777" w:rsidTr="00CB3263">
        <w:trPr>
          <w:trHeight w:hRule="exact" w:val="147"/>
        </w:trPr>
        <w:tc>
          <w:tcPr>
            <w:tcW w:w="3556" w:type="dxa"/>
          </w:tcPr>
          <w:p w14:paraId="0E33BE1C" w14:textId="77777777" w:rsidR="00E4078F" w:rsidRPr="003D1614" w:rsidRDefault="00E4078F" w:rsidP="00E4078F">
            <w:pPr>
              <w:suppressAutoHyphens/>
              <w:autoSpaceDN w:val="0"/>
              <w:jc w:val="center"/>
              <w:rPr>
                <w:rFonts w:ascii="Arial" w:eastAsia="Times New Roman" w:hAnsi="Arial" w:cs="Arial"/>
                <w:color w:val="000000" w:themeColor="text1"/>
                <w:sz w:val="20"/>
                <w:szCs w:val="20"/>
              </w:rPr>
            </w:pPr>
          </w:p>
        </w:tc>
        <w:tc>
          <w:tcPr>
            <w:tcW w:w="3111" w:type="dxa"/>
          </w:tcPr>
          <w:p w14:paraId="7210F4B6" w14:textId="77777777" w:rsidR="00E4078F" w:rsidRPr="003D1614" w:rsidRDefault="00E4078F" w:rsidP="00E4078F">
            <w:pPr>
              <w:suppressAutoHyphens/>
              <w:autoSpaceDN w:val="0"/>
              <w:jc w:val="center"/>
              <w:rPr>
                <w:rFonts w:ascii="Arial" w:eastAsia="Times New Roman" w:hAnsi="Arial" w:cs="Arial"/>
                <w:color w:val="000000" w:themeColor="text1"/>
                <w:sz w:val="20"/>
                <w:szCs w:val="20"/>
              </w:rPr>
            </w:pPr>
          </w:p>
        </w:tc>
      </w:tr>
      <w:tr w:rsidR="00E4078F" w:rsidRPr="003D1614" w14:paraId="7700B0C2" w14:textId="77777777" w:rsidTr="00CB3263">
        <w:trPr>
          <w:trHeight w:val="428"/>
        </w:trPr>
        <w:tc>
          <w:tcPr>
            <w:tcW w:w="3556" w:type="dxa"/>
          </w:tcPr>
          <w:p w14:paraId="7757B720" w14:textId="77777777" w:rsidR="00CB3263" w:rsidRDefault="00E4078F" w:rsidP="00E4078F">
            <w:pPr>
              <w:suppressAutoHyphens/>
              <w:autoSpaceDN w:val="0"/>
              <w:jc w:val="center"/>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 xml:space="preserve">Direktor </w:t>
            </w:r>
          </w:p>
          <w:p w14:paraId="11392D0F" w14:textId="1998B3D1" w:rsidR="00E4078F" w:rsidRPr="003D1614" w:rsidRDefault="00E4078F" w:rsidP="00E4078F">
            <w:pPr>
              <w:suppressAutoHyphens/>
              <w:autoSpaceDN w:val="0"/>
              <w:jc w:val="center"/>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 xml:space="preserve">Sektora </w:t>
            </w:r>
            <w:r w:rsidR="00CB3263">
              <w:rPr>
                <w:rFonts w:ascii="Arial" w:eastAsia="Times New Roman" w:hAnsi="Arial" w:cs="Arial"/>
                <w:b/>
                <w:color w:val="000000" w:themeColor="text1"/>
                <w:sz w:val="20"/>
                <w:szCs w:val="20"/>
              </w:rPr>
              <w:t>financija i računovodstva</w:t>
            </w:r>
          </w:p>
        </w:tc>
        <w:tc>
          <w:tcPr>
            <w:tcW w:w="3111" w:type="dxa"/>
          </w:tcPr>
          <w:p w14:paraId="59824E3F" w14:textId="77777777" w:rsidR="00E4078F" w:rsidRPr="003D1614" w:rsidRDefault="00E4078F" w:rsidP="00E4078F">
            <w:pPr>
              <w:suppressAutoHyphens/>
              <w:autoSpaceDN w:val="0"/>
              <w:jc w:val="center"/>
              <w:rPr>
                <w:rFonts w:ascii="Arial" w:eastAsia="Times New Roman" w:hAnsi="Arial" w:cs="Arial"/>
                <w:b/>
                <w:color w:val="000000" w:themeColor="text1"/>
                <w:sz w:val="20"/>
                <w:szCs w:val="20"/>
              </w:rPr>
            </w:pPr>
          </w:p>
        </w:tc>
      </w:tr>
      <w:bookmarkEnd w:id="0"/>
    </w:tbl>
    <w:p w14:paraId="7089F590" w14:textId="77777777" w:rsidR="00E4078F" w:rsidRPr="003D1614" w:rsidRDefault="00E4078F" w:rsidP="00E4078F">
      <w:pPr>
        <w:keepNext/>
        <w:suppressAutoHyphens/>
        <w:autoSpaceDN w:val="0"/>
        <w:jc w:val="both"/>
        <w:outlineLvl w:val="0"/>
        <w:rPr>
          <w:rFonts w:ascii="Arial" w:eastAsia="Times New Roman" w:hAnsi="Arial" w:cs="Arial"/>
          <w:bCs/>
          <w:color w:val="000000" w:themeColor="text1"/>
          <w:sz w:val="20"/>
          <w:szCs w:val="20"/>
        </w:rPr>
      </w:pPr>
    </w:p>
    <w:p w14:paraId="779E9583" w14:textId="77777777" w:rsidR="00E4078F" w:rsidRPr="003D1614" w:rsidRDefault="00E4078F" w:rsidP="00E4078F">
      <w:pPr>
        <w:keepNext/>
        <w:suppressAutoHyphens/>
        <w:autoSpaceDN w:val="0"/>
        <w:jc w:val="both"/>
        <w:outlineLvl w:val="0"/>
        <w:rPr>
          <w:rFonts w:ascii="Arial" w:eastAsia="Times New Roman" w:hAnsi="Arial" w:cs="Arial"/>
          <w:bCs/>
          <w:color w:val="000000" w:themeColor="text1"/>
          <w:sz w:val="20"/>
          <w:szCs w:val="20"/>
        </w:rPr>
      </w:pPr>
    </w:p>
    <w:p w14:paraId="46FDFDD6" w14:textId="77777777" w:rsidR="00E4078F" w:rsidRPr="003D1614" w:rsidRDefault="00E4078F" w:rsidP="00E4078F">
      <w:pPr>
        <w:keepNext/>
        <w:suppressAutoHyphens/>
        <w:autoSpaceDN w:val="0"/>
        <w:jc w:val="both"/>
        <w:outlineLvl w:val="0"/>
        <w:rPr>
          <w:rFonts w:ascii="Arial" w:eastAsia="Times New Roman" w:hAnsi="Arial" w:cs="Arial"/>
          <w:bCs/>
          <w:color w:val="000000" w:themeColor="text1"/>
          <w:sz w:val="20"/>
          <w:szCs w:val="20"/>
        </w:rPr>
      </w:pPr>
    </w:p>
    <w:p w14:paraId="27CABDFA" w14:textId="77777777" w:rsidR="00E4078F" w:rsidRPr="003D1614" w:rsidRDefault="00E4078F" w:rsidP="00E4078F">
      <w:pPr>
        <w:keepNext/>
        <w:suppressAutoHyphens/>
        <w:autoSpaceDN w:val="0"/>
        <w:jc w:val="both"/>
        <w:outlineLvl w:val="0"/>
        <w:rPr>
          <w:rFonts w:ascii="Arial" w:eastAsia="Times New Roman" w:hAnsi="Arial" w:cs="Arial"/>
          <w:bCs/>
          <w:color w:val="000000" w:themeColor="text1"/>
          <w:sz w:val="20"/>
          <w:szCs w:val="20"/>
        </w:rPr>
      </w:pPr>
    </w:p>
    <w:p w14:paraId="297F855F" w14:textId="77777777" w:rsidR="00E4078F" w:rsidRPr="003D1614" w:rsidRDefault="00E4078F" w:rsidP="00E4078F">
      <w:pPr>
        <w:keepNext/>
        <w:suppressAutoHyphens/>
        <w:autoSpaceDN w:val="0"/>
        <w:jc w:val="both"/>
        <w:outlineLvl w:val="0"/>
        <w:rPr>
          <w:rFonts w:ascii="Arial" w:eastAsia="Times New Roman" w:hAnsi="Arial" w:cs="Arial"/>
          <w:bCs/>
          <w:color w:val="000000" w:themeColor="text1"/>
          <w:sz w:val="20"/>
          <w:szCs w:val="20"/>
        </w:rPr>
      </w:pPr>
    </w:p>
    <w:p w14:paraId="19DABAB4" w14:textId="77777777" w:rsidR="00E4078F" w:rsidRPr="003D1614" w:rsidRDefault="00E4078F" w:rsidP="00E4078F">
      <w:pPr>
        <w:keepNext/>
        <w:suppressAutoHyphens/>
        <w:autoSpaceDN w:val="0"/>
        <w:jc w:val="both"/>
        <w:outlineLvl w:val="0"/>
        <w:rPr>
          <w:rFonts w:ascii="Arial" w:eastAsia="Times New Roman" w:hAnsi="Arial" w:cs="Arial"/>
          <w:bCs/>
          <w:color w:val="000000" w:themeColor="text1"/>
          <w:sz w:val="20"/>
          <w:szCs w:val="20"/>
        </w:rPr>
      </w:pPr>
    </w:p>
    <w:tbl>
      <w:tblPr>
        <w:tblW w:w="9354" w:type="dxa"/>
        <w:tblLook w:val="04A0" w:firstRow="1" w:lastRow="0" w:firstColumn="1" w:lastColumn="0" w:noHBand="0" w:noVBand="1"/>
      </w:tblPr>
      <w:tblGrid>
        <w:gridCol w:w="3118"/>
        <w:gridCol w:w="3118"/>
        <w:gridCol w:w="3118"/>
      </w:tblGrid>
      <w:tr w:rsidR="00E4078F" w:rsidRPr="003D1614" w14:paraId="3EA43799" w14:textId="77777777" w:rsidTr="00964790">
        <w:trPr>
          <w:trHeight w:hRule="exact" w:val="284"/>
        </w:trPr>
        <w:tc>
          <w:tcPr>
            <w:tcW w:w="3118" w:type="dxa"/>
          </w:tcPr>
          <w:p w14:paraId="77394575" w14:textId="77777777" w:rsidR="00E4078F" w:rsidRPr="003D1614" w:rsidRDefault="00E4078F" w:rsidP="00E4078F">
            <w:pPr>
              <w:suppressAutoHyphens/>
              <w:autoSpaceDN w:val="0"/>
              <w:jc w:val="center"/>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______________________</w:t>
            </w:r>
          </w:p>
        </w:tc>
        <w:tc>
          <w:tcPr>
            <w:tcW w:w="3118" w:type="dxa"/>
          </w:tcPr>
          <w:p w14:paraId="6B2A90F0" w14:textId="77777777" w:rsidR="00E4078F" w:rsidRPr="003D1614" w:rsidRDefault="00E4078F" w:rsidP="00E4078F">
            <w:pPr>
              <w:suppressAutoHyphens/>
              <w:autoSpaceDN w:val="0"/>
              <w:jc w:val="center"/>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______________________</w:t>
            </w:r>
          </w:p>
        </w:tc>
        <w:tc>
          <w:tcPr>
            <w:tcW w:w="3118" w:type="dxa"/>
          </w:tcPr>
          <w:p w14:paraId="5B0735B5" w14:textId="77777777" w:rsidR="00E4078F" w:rsidRPr="003D1614" w:rsidRDefault="00E4078F" w:rsidP="00E4078F">
            <w:pPr>
              <w:suppressAutoHyphens/>
              <w:autoSpaceDN w:val="0"/>
              <w:jc w:val="center"/>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______________________</w:t>
            </w:r>
          </w:p>
        </w:tc>
      </w:tr>
      <w:tr w:rsidR="00E4078F" w:rsidRPr="003D1614" w14:paraId="2DD9A608" w14:textId="77777777" w:rsidTr="00964790">
        <w:trPr>
          <w:trHeight w:val="269"/>
        </w:trPr>
        <w:tc>
          <w:tcPr>
            <w:tcW w:w="3118" w:type="dxa"/>
            <w:vAlign w:val="bottom"/>
          </w:tcPr>
          <w:p w14:paraId="3CF5B010" w14:textId="77777777" w:rsidR="00E4078F" w:rsidRPr="003D1614" w:rsidRDefault="00E4078F" w:rsidP="00E4078F">
            <w:pPr>
              <w:suppressAutoHyphens/>
              <w:autoSpaceDN w:val="0"/>
              <w:jc w:val="center"/>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Josip Pavković</w:t>
            </w:r>
          </w:p>
        </w:tc>
        <w:tc>
          <w:tcPr>
            <w:tcW w:w="3118" w:type="dxa"/>
            <w:vAlign w:val="bottom"/>
          </w:tcPr>
          <w:p w14:paraId="38703A98" w14:textId="77777777" w:rsidR="00E4078F" w:rsidRPr="003D1614" w:rsidRDefault="00E4078F" w:rsidP="00E4078F">
            <w:pPr>
              <w:suppressAutoHyphens/>
              <w:autoSpaceDN w:val="0"/>
              <w:jc w:val="center"/>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mr. sc. Alan Herjavec</w:t>
            </w:r>
          </w:p>
        </w:tc>
        <w:tc>
          <w:tcPr>
            <w:tcW w:w="3118" w:type="dxa"/>
            <w:vAlign w:val="bottom"/>
          </w:tcPr>
          <w:p w14:paraId="44849875" w14:textId="77777777" w:rsidR="00E4078F" w:rsidRPr="003D1614" w:rsidRDefault="00E4078F" w:rsidP="00E4078F">
            <w:pPr>
              <w:suppressAutoHyphens/>
              <w:autoSpaceDN w:val="0"/>
              <w:jc w:val="center"/>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mr. sc. Hrvoje Čuvalo</w:t>
            </w:r>
          </w:p>
        </w:tc>
      </w:tr>
      <w:tr w:rsidR="00E4078F" w:rsidRPr="003D1614" w14:paraId="5D17F61A" w14:textId="77777777" w:rsidTr="00964790">
        <w:trPr>
          <w:trHeight w:hRule="exact" w:val="145"/>
        </w:trPr>
        <w:tc>
          <w:tcPr>
            <w:tcW w:w="3118" w:type="dxa"/>
          </w:tcPr>
          <w:p w14:paraId="11C35F78" w14:textId="77777777" w:rsidR="00E4078F" w:rsidRPr="003D1614" w:rsidRDefault="00E4078F" w:rsidP="00E4078F">
            <w:pPr>
              <w:suppressAutoHyphens/>
              <w:autoSpaceDN w:val="0"/>
              <w:jc w:val="center"/>
              <w:rPr>
                <w:rFonts w:ascii="Arial" w:eastAsia="Times New Roman" w:hAnsi="Arial" w:cs="Arial"/>
                <w:color w:val="000000" w:themeColor="text1"/>
                <w:sz w:val="20"/>
                <w:szCs w:val="20"/>
              </w:rPr>
            </w:pPr>
          </w:p>
        </w:tc>
        <w:tc>
          <w:tcPr>
            <w:tcW w:w="3118" w:type="dxa"/>
          </w:tcPr>
          <w:p w14:paraId="0F323AEA" w14:textId="77777777" w:rsidR="00E4078F" w:rsidRPr="003D1614" w:rsidRDefault="00E4078F" w:rsidP="00E4078F">
            <w:pPr>
              <w:suppressAutoHyphens/>
              <w:autoSpaceDN w:val="0"/>
              <w:jc w:val="center"/>
              <w:rPr>
                <w:rFonts w:ascii="Arial" w:eastAsia="Times New Roman" w:hAnsi="Arial" w:cs="Arial"/>
                <w:color w:val="000000" w:themeColor="text1"/>
                <w:sz w:val="20"/>
                <w:szCs w:val="20"/>
              </w:rPr>
            </w:pPr>
          </w:p>
        </w:tc>
        <w:tc>
          <w:tcPr>
            <w:tcW w:w="3118" w:type="dxa"/>
          </w:tcPr>
          <w:p w14:paraId="150ADEF4" w14:textId="77777777" w:rsidR="00E4078F" w:rsidRPr="003D1614" w:rsidRDefault="00E4078F" w:rsidP="00E4078F">
            <w:pPr>
              <w:suppressAutoHyphens/>
              <w:autoSpaceDN w:val="0"/>
              <w:jc w:val="center"/>
              <w:rPr>
                <w:rFonts w:ascii="Arial" w:eastAsia="Times New Roman" w:hAnsi="Arial" w:cs="Arial"/>
                <w:color w:val="000000" w:themeColor="text1"/>
                <w:sz w:val="20"/>
                <w:szCs w:val="20"/>
              </w:rPr>
            </w:pPr>
          </w:p>
        </w:tc>
      </w:tr>
      <w:tr w:rsidR="00E4078F" w:rsidRPr="003D1614" w14:paraId="0755FE1B" w14:textId="77777777" w:rsidTr="00964790">
        <w:trPr>
          <w:trHeight w:val="421"/>
        </w:trPr>
        <w:tc>
          <w:tcPr>
            <w:tcW w:w="3118" w:type="dxa"/>
          </w:tcPr>
          <w:p w14:paraId="7B493DE0" w14:textId="77777777" w:rsidR="00E4078F" w:rsidRPr="003D1614" w:rsidRDefault="00E4078F" w:rsidP="00E4078F">
            <w:pPr>
              <w:suppressAutoHyphens/>
              <w:autoSpaceDN w:val="0"/>
              <w:jc w:val="center"/>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Član Uprave</w:t>
            </w:r>
          </w:p>
        </w:tc>
        <w:tc>
          <w:tcPr>
            <w:tcW w:w="3118" w:type="dxa"/>
          </w:tcPr>
          <w:p w14:paraId="43D7B2EF" w14:textId="77777777" w:rsidR="00E4078F" w:rsidRPr="003D1614" w:rsidRDefault="00E4078F" w:rsidP="00E4078F">
            <w:pPr>
              <w:suppressAutoHyphens/>
              <w:autoSpaceDN w:val="0"/>
              <w:jc w:val="center"/>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Član Uprave</w:t>
            </w:r>
          </w:p>
        </w:tc>
        <w:tc>
          <w:tcPr>
            <w:tcW w:w="3118" w:type="dxa"/>
          </w:tcPr>
          <w:p w14:paraId="44F85EB4" w14:textId="77777777" w:rsidR="00E4078F" w:rsidRPr="003D1614" w:rsidRDefault="00E4078F" w:rsidP="00E4078F">
            <w:pPr>
              <w:suppressAutoHyphens/>
              <w:autoSpaceDN w:val="0"/>
              <w:jc w:val="center"/>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Predsjednik Uprave</w:t>
            </w:r>
          </w:p>
        </w:tc>
      </w:tr>
    </w:tbl>
    <w:p w14:paraId="0901F5B4" w14:textId="77777777" w:rsidR="00E4078F" w:rsidRPr="003D1614" w:rsidRDefault="00E4078F" w:rsidP="008C368A">
      <w:pPr>
        <w:keepNext/>
        <w:suppressAutoHyphens/>
        <w:autoSpaceDN w:val="0"/>
        <w:jc w:val="both"/>
        <w:outlineLvl w:val="0"/>
        <w:rPr>
          <w:rFonts w:ascii="Arial" w:eastAsia="Times New Roman" w:hAnsi="Arial" w:cs="Arial"/>
          <w:bCs/>
          <w:color w:val="000000" w:themeColor="text1"/>
          <w:sz w:val="20"/>
          <w:szCs w:val="20"/>
        </w:rPr>
      </w:pPr>
    </w:p>
    <w:p w14:paraId="762BB335" w14:textId="77777777" w:rsidR="008C368A" w:rsidRPr="003D1614" w:rsidRDefault="008C368A" w:rsidP="008C368A">
      <w:pPr>
        <w:keepNext/>
        <w:suppressAutoHyphens/>
        <w:autoSpaceDN w:val="0"/>
        <w:jc w:val="both"/>
        <w:outlineLvl w:val="0"/>
        <w:rPr>
          <w:rFonts w:ascii="Arial" w:eastAsia="Times New Roman" w:hAnsi="Arial" w:cs="Arial"/>
          <w:bCs/>
          <w:color w:val="000000" w:themeColor="text1"/>
          <w:sz w:val="20"/>
          <w:szCs w:val="20"/>
        </w:rPr>
      </w:pPr>
    </w:p>
    <w:p w14:paraId="30F534BC" w14:textId="77777777" w:rsidR="008C368A" w:rsidRPr="003D1614" w:rsidRDefault="008C368A" w:rsidP="008C368A">
      <w:pPr>
        <w:keepNext/>
        <w:suppressAutoHyphens/>
        <w:autoSpaceDN w:val="0"/>
        <w:jc w:val="both"/>
        <w:outlineLvl w:val="0"/>
        <w:rPr>
          <w:rFonts w:ascii="Arial" w:eastAsia="Times New Roman" w:hAnsi="Arial" w:cs="Arial"/>
          <w:bCs/>
          <w:color w:val="000000" w:themeColor="text1"/>
          <w:sz w:val="20"/>
          <w:szCs w:val="20"/>
        </w:rPr>
      </w:pPr>
    </w:p>
    <w:p w14:paraId="4CF71227" w14:textId="130E12B4" w:rsidR="00937272" w:rsidRPr="003D1614" w:rsidRDefault="00937272" w:rsidP="008C368A">
      <w:pPr>
        <w:keepNext/>
        <w:suppressAutoHyphens/>
        <w:autoSpaceDN w:val="0"/>
        <w:jc w:val="both"/>
        <w:outlineLvl w:val="0"/>
        <w:rPr>
          <w:rFonts w:ascii="Arial" w:eastAsia="Times New Roman" w:hAnsi="Arial" w:cs="Arial"/>
          <w:bCs/>
          <w:color w:val="000000" w:themeColor="text1"/>
          <w:sz w:val="20"/>
          <w:szCs w:val="20"/>
        </w:rPr>
      </w:pPr>
    </w:p>
    <w:p w14:paraId="0C3F2639" w14:textId="7195F7D4" w:rsidR="00D44CD3" w:rsidRPr="003D1614" w:rsidRDefault="008C368A" w:rsidP="008C368A">
      <w:pPr>
        <w:keepNext/>
        <w:suppressAutoHyphens/>
        <w:autoSpaceDN w:val="0"/>
        <w:jc w:val="both"/>
        <w:outlineLvl w:val="0"/>
        <w:rPr>
          <w:rFonts w:ascii="Arial" w:hAnsi="Arial" w:cs="Arial"/>
          <w:color w:val="000000" w:themeColor="text1"/>
          <w:sz w:val="20"/>
          <w:szCs w:val="20"/>
        </w:rPr>
        <w:sectPr w:rsidR="00D44CD3" w:rsidRPr="003D1614">
          <w:headerReference w:type="default" r:id="rId10"/>
          <w:pgSz w:w="11906" w:h="16838"/>
          <w:pgMar w:top="1417" w:right="1417" w:bottom="1417" w:left="1417" w:header="708" w:footer="708" w:gutter="0"/>
          <w:cols w:space="708"/>
          <w:docGrid w:linePitch="360"/>
        </w:sectPr>
      </w:pPr>
      <w:r w:rsidRPr="003D1614">
        <w:rPr>
          <w:rFonts w:ascii="Arial" w:hAnsi="Arial" w:cs="Arial"/>
          <w:color w:val="000000" w:themeColor="text1"/>
          <w:sz w:val="20"/>
          <w:szCs w:val="20"/>
        </w:rPr>
        <w:t xml:space="preserve">U </w:t>
      </w:r>
      <w:r w:rsidRPr="00B34775">
        <w:rPr>
          <w:rFonts w:ascii="Arial" w:hAnsi="Arial" w:cs="Arial"/>
          <w:color w:val="000000" w:themeColor="text1"/>
          <w:sz w:val="20"/>
          <w:szCs w:val="20"/>
        </w:rPr>
        <w:t xml:space="preserve">Zagrebu </w:t>
      </w:r>
      <w:r w:rsidR="00941E67" w:rsidRPr="00B34775">
        <w:rPr>
          <w:rFonts w:ascii="Arial" w:hAnsi="Arial" w:cs="Arial"/>
          <w:color w:val="000000" w:themeColor="text1"/>
          <w:sz w:val="20"/>
          <w:szCs w:val="20"/>
        </w:rPr>
        <w:t>2</w:t>
      </w:r>
      <w:r w:rsidR="00B34775" w:rsidRPr="00B34775">
        <w:rPr>
          <w:rFonts w:ascii="Arial" w:hAnsi="Arial" w:cs="Arial"/>
          <w:color w:val="000000" w:themeColor="text1"/>
          <w:sz w:val="20"/>
          <w:szCs w:val="20"/>
        </w:rPr>
        <w:t>1</w:t>
      </w:r>
      <w:r w:rsidRPr="00B34775">
        <w:rPr>
          <w:rFonts w:ascii="Arial" w:hAnsi="Arial" w:cs="Arial"/>
          <w:color w:val="000000" w:themeColor="text1"/>
          <w:sz w:val="20"/>
          <w:szCs w:val="20"/>
        </w:rPr>
        <w:t>.</w:t>
      </w:r>
      <w:r w:rsidRPr="00941E67">
        <w:rPr>
          <w:rFonts w:ascii="Arial" w:hAnsi="Arial" w:cs="Arial"/>
          <w:color w:val="000000" w:themeColor="text1"/>
          <w:sz w:val="20"/>
          <w:szCs w:val="20"/>
        </w:rPr>
        <w:t xml:space="preserve"> </w:t>
      </w:r>
      <w:r w:rsidR="00FE4E8D">
        <w:rPr>
          <w:rFonts w:ascii="Arial" w:hAnsi="Arial" w:cs="Arial"/>
          <w:color w:val="000000" w:themeColor="text1"/>
          <w:sz w:val="20"/>
          <w:szCs w:val="20"/>
        </w:rPr>
        <w:t>studenoga</w:t>
      </w:r>
      <w:r w:rsidR="00A24D20">
        <w:rPr>
          <w:rFonts w:ascii="Arial" w:hAnsi="Arial" w:cs="Arial"/>
          <w:color w:val="000000" w:themeColor="text1"/>
          <w:sz w:val="20"/>
          <w:szCs w:val="20"/>
        </w:rPr>
        <w:t xml:space="preserve"> </w:t>
      </w:r>
      <w:r w:rsidRPr="003D1614">
        <w:rPr>
          <w:rFonts w:ascii="Arial" w:hAnsi="Arial" w:cs="Arial"/>
          <w:color w:val="000000" w:themeColor="text1"/>
          <w:sz w:val="20"/>
          <w:szCs w:val="20"/>
        </w:rPr>
        <w:t>202</w:t>
      </w:r>
      <w:r w:rsidR="00B92B4F">
        <w:rPr>
          <w:rFonts w:ascii="Arial" w:hAnsi="Arial" w:cs="Arial"/>
          <w:color w:val="000000" w:themeColor="text1"/>
          <w:sz w:val="20"/>
          <w:szCs w:val="20"/>
        </w:rPr>
        <w:t>4</w:t>
      </w:r>
      <w:r w:rsidRPr="003D1614">
        <w:rPr>
          <w:rFonts w:ascii="Arial" w:hAnsi="Arial" w:cs="Arial"/>
          <w:color w:val="000000" w:themeColor="text1"/>
          <w:sz w:val="20"/>
          <w:szCs w:val="20"/>
        </w:rPr>
        <w:t>.</w:t>
      </w:r>
    </w:p>
    <w:p w14:paraId="3277F9F0" w14:textId="77777777" w:rsidR="00A42D0C" w:rsidRPr="003D1614" w:rsidRDefault="00A42D0C" w:rsidP="008C368A">
      <w:pPr>
        <w:keepNext/>
        <w:suppressAutoHyphens/>
        <w:autoSpaceDN w:val="0"/>
        <w:jc w:val="both"/>
        <w:outlineLvl w:val="0"/>
        <w:rPr>
          <w:rFonts w:ascii="Arial" w:eastAsia="Times New Roman" w:hAnsi="Arial" w:cs="Arial"/>
          <w:bCs/>
          <w:color w:val="000000" w:themeColor="text1"/>
          <w:sz w:val="20"/>
          <w:szCs w:val="20"/>
        </w:rPr>
      </w:pPr>
    </w:p>
    <w:tbl>
      <w:tblPr>
        <w:tblpPr w:leftFromText="180" w:rightFromText="180" w:vertAnchor="text" w:horzAnchor="margin" w:tblpY="69"/>
        <w:tblW w:w="5000" w:type="pct"/>
        <w:tblCellMar>
          <w:left w:w="119" w:type="dxa"/>
          <w:right w:w="119" w:type="dxa"/>
        </w:tblCellMar>
        <w:tblLook w:val="0000" w:firstRow="0" w:lastRow="0" w:firstColumn="0" w:lastColumn="0" w:noHBand="0" w:noVBand="0"/>
      </w:tblPr>
      <w:tblGrid>
        <w:gridCol w:w="3112"/>
        <w:gridCol w:w="987"/>
        <w:gridCol w:w="1245"/>
        <w:gridCol w:w="1246"/>
        <w:gridCol w:w="1246"/>
        <w:gridCol w:w="1236"/>
      </w:tblGrid>
      <w:tr w:rsidR="00A24D20" w:rsidRPr="00F43653" w14:paraId="4DAE1B2A" w14:textId="77777777" w:rsidTr="007478FB">
        <w:trPr>
          <w:trHeight w:val="269"/>
        </w:trPr>
        <w:tc>
          <w:tcPr>
            <w:tcW w:w="1715" w:type="pct"/>
            <w:vAlign w:val="bottom"/>
          </w:tcPr>
          <w:p w14:paraId="3282B11C" w14:textId="77777777" w:rsidR="00A24D20" w:rsidRPr="00F43653" w:rsidRDefault="00A24D20" w:rsidP="00242B62">
            <w:pPr>
              <w:tabs>
                <w:tab w:val="right" w:pos="1202"/>
              </w:tabs>
              <w:suppressAutoHyphens/>
              <w:autoSpaceDN w:val="0"/>
              <w:spacing w:line="301" w:lineRule="exact"/>
              <w:outlineLvl w:val="0"/>
              <w:rPr>
                <w:rFonts w:ascii="Arial" w:eastAsia="Times New Roman" w:hAnsi="Arial" w:cs="Arial"/>
                <w:b/>
                <w:bCs/>
                <w:color w:val="000000" w:themeColor="text1"/>
                <w:sz w:val="20"/>
                <w:szCs w:val="20"/>
              </w:rPr>
            </w:pPr>
          </w:p>
        </w:tc>
        <w:tc>
          <w:tcPr>
            <w:tcW w:w="544" w:type="pct"/>
            <w:vAlign w:val="bottom"/>
          </w:tcPr>
          <w:p w14:paraId="5AD15111" w14:textId="24620FEC" w:rsidR="00A24D20" w:rsidRPr="00F43653" w:rsidRDefault="00A24D20" w:rsidP="00242B62">
            <w:pPr>
              <w:tabs>
                <w:tab w:val="right" w:pos="1202"/>
              </w:tabs>
              <w:suppressAutoHyphens/>
              <w:autoSpaceDN w:val="0"/>
              <w:spacing w:line="301" w:lineRule="exact"/>
              <w:ind w:left="-15" w:firstLine="15"/>
              <w:jc w:val="center"/>
              <w:outlineLvl w:val="0"/>
              <w:rPr>
                <w:rFonts w:ascii="Arial" w:eastAsia="Times New Roman" w:hAnsi="Arial" w:cs="Arial"/>
                <w:b/>
                <w:bCs/>
                <w:color w:val="000000" w:themeColor="text1"/>
                <w:sz w:val="20"/>
                <w:szCs w:val="20"/>
              </w:rPr>
            </w:pPr>
          </w:p>
        </w:tc>
        <w:tc>
          <w:tcPr>
            <w:tcW w:w="1373" w:type="pct"/>
            <w:gridSpan w:val="2"/>
            <w:vAlign w:val="bottom"/>
          </w:tcPr>
          <w:p w14:paraId="5221E5F1" w14:textId="3F11BCA1" w:rsidR="00A24D20" w:rsidRPr="00F43653" w:rsidRDefault="00A24D20" w:rsidP="007478FB">
            <w:pPr>
              <w:suppressAutoHyphens/>
              <w:autoSpaceDN w:val="0"/>
              <w:spacing w:line="301" w:lineRule="exact"/>
              <w:jc w:val="center"/>
              <w:outlineLvl w:val="0"/>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202</w:t>
            </w:r>
            <w:r w:rsidR="00A27E50">
              <w:rPr>
                <w:rFonts w:ascii="Arial" w:eastAsia="Times New Roman" w:hAnsi="Arial" w:cs="Arial"/>
                <w:b/>
                <w:bCs/>
                <w:color w:val="000000" w:themeColor="text1"/>
                <w:sz w:val="20"/>
                <w:szCs w:val="20"/>
              </w:rPr>
              <w:t>4</w:t>
            </w:r>
            <w:r w:rsidRPr="00F43653">
              <w:rPr>
                <w:rFonts w:ascii="Arial" w:eastAsia="Times New Roman" w:hAnsi="Arial" w:cs="Arial"/>
                <w:b/>
                <w:bCs/>
                <w:color w:val="000000" w:themeColor="text1"/>
                <w:sz w:val="20"/>
                <w:szCs w:val="20"/>
              </w:rPr>
              <w:t>.</w:t>
            </w:r>
          </w:p>
        </w:tc>
        <w:tc>
          <w:tcPr>
            <w:tcW w:w="1368" w:type="pct"/>
            <w:gridSpan w:val="2"/>
            <w:vAlign w:val="bottom"/>
          </w:tcPr>
          <w:p w14:paraId="01FFCED3" w14:textId="573FC076" w:rsidR="00A24D20" w:rsidRPr="00F43653" w:rsidRDefault="00A24D20" w:rsidP="007478FB">
            <w:pPr>
              <w:suppressAutoHyphens/>
              <w:autoSpaceDN w:val="0"/>
              <w:spacing w:line="301" w:lineRule="exact"/>
              <w:jc w:val="center"/>
              <w:outlineLvl w:val="0"/>
              <w:rPr>
                <w:rFonts w:ascii="Arial" w:eastAsia="Times New Roman" w:hAnsi="Arial" w:cs="Arial"/>
                <w:b/>
                <w:bCs/>
                <w:color w:val="000000" w:themeColor="text1"/>
                <w:sz w:val="20"/>
                <w:szCs w:val="20"/>
              </w:rPr>
            </w:pPr>
            <w:bookmarkStart w:id="1" w:name="_Toc67326569"/>
            <w:r w:rsidRPr="00F43653">
              <w:rPr>
                <w:rFonts w:ascii="Arial" w:eastAsia="Times New Roman" w:hAnsi="Arial" w:cs="Arial"/>
                <w:b/>
                <w:bCs/>
                <w:color w:val="000000" w:themeColor="text1"/>
                <w:sz w:val="20"/>
                <w:szCs w:val="20"/>
              </w:rPr>
              <w:t>202</w:t>
            </w:r>
            <w:r w:rsidR="00A27E50">
              <w:rPr>
                <w:rFonts w:ascii="Arial" w:eastAsia="Times New Roman" w:hAnsi="Arial" w:cs="Arial"/>
                <w:b/>
                <w:bCs/>
                <w:color w:val="000000" w:themeColor="text1"/>
                <w:sz w:val="20"/>
                <w:szCs w:val="20"/>
              </w:rPr>
              <w:t>3</w:t>
            </w:r>
            <w:r w:rsidRPr="00F43653">
              <w:rPr>
                <w:rFonts w:ascii="Arial" w:eastAsia="Times New Roman" w:hAnsi="Arial" w:cs="Arial"/>
                <w:b/>
                <w:bCs/>
                <w:color w:val="000000" w:themeColor="text1"/>
                <w:sz w:val="20"/>
                <w:szCs w:val="20"/>
              </w:rPr>
              <w:t>.</w:t>
            </w:r>
            <w:bookmarkEnd w:id="1"/>
          </w:p>
        </w:tc>
      </w:tr>
      <w:tr w:rsidR="00A24D20" w:rsidRPr="00F43653" w14:paraId="7886EA0E" w14:textId="77777777" w:rsidTr="007478FB">
        <w:trPr>
          <w:trHeight w:val="269"/>
        </w:trPr>
        <w:tc>
          <w:tcPr>
            <w:tcW w:w="1715" w:type="pct"/>
            <w:vAlign w:val="bottom"/>
          </w:tcPr>
          <w:p w14:paraId="680C8C58" w14:textId="77777777" w:rsidR="00A24D20" w:rsidRPr="00F43653" w:rsidRDefault="00A24D20" w:rsidP="00A24D20">
            <w:pPr>
              <w:tabs>
                <w:tab w:val="right" w:pos="1202"/>
              </w:tabs>
              <w:suppressAutoHyphens/>
              <w:autoSpaceDN w:val="0"/>
              <w:spacing w:line="301" w:lineRule="exact"/>
              <w:outlineLvl w:val="0"/>
              <w:rPr>
                <w:rFonts w:ascii="Arial" w:eastAsia="Times New Roman" w:hAnsi="Arial" w:cs="Arial"/>
                <w:b/>
                <w:bCs/>
                <w:color w:val="000000" w:themeColor="text1"/>
                <w:sz w:val="20"/>
                <w:szCs w:val="20"/>
              </w:rPr>
            </w:pPr>
          </w:p>
        </w:tc>
        <w:tc>
          <w:tcPr>
            <w:tcW w:w="544" w:type="pct"/>
            <w:vAlign w:val="bottom"/>
          </w:tcPr>
          <w:p w14:paraId="4471031B" w14:textId="5999988F" w:rsidR="00A24D20" w:rsidRPr="00F43653" w:rsidRDefault="00A24D20" w:rsidP="00A24D20">
            <w:pPr>
              <w:tabs>
                <w:tab w:val="right" w:pos="1202"/>
              </w:tabs>
              <w:suppressAutoHyphens/>
              <w:autoSpaceDN w:val="0"/>
              <w:spacing w:line="301" w:lineRule="exact"/>
              <w:jc w:val="center"/>
              <w:outlineLvl w:val="0"/>
              <w:rPr>
                <w:rFonts w:ascii="Arial" w:eastAsia="Times New Roman" w:hAnsi="Arial" w:cs="Arial"/>
                <w:b/>
                <w:bCs/>
                <w:color w:val="000000" w:themeColor="text1"/>
                <w:spacing w:val="-1"/>
                <w:sz w:val="20"/>
                <w:szCs w:val="20"/>
              </w:rPr>
            </w:pPr>
            <w:r w:rsidRPr="00F43653">
              <w:rPr>
                <w:rFonts w:ascii="Arial" w:eastAsia="Times New Roman" w:hAnsi="Arial" w:cs="Arial"/>
                <w:b/>
                <w:bCs/>
                <w:color w:val="000000" w:themeColor="text1"/>
                <w:spacing w:val="-1"/>
                <w:sz w:val="20"/>
                <w:szCs w:val="20"/>
              </w:rPr>
              <w:t>Bilješka</w:t>
            </w:r>
          </w:p>
        </w:tc>
        <w:tc>
          <w:tcPr>
            <w:tcW w:w="686" w:type="pct"/>
            <w:vAlign w:val="bottom"/>
          </w:tcPr>
          <w:p w14:paraId="3E90F54E" w14:textId="14EF96A8" w:rsidR="00A24D20" w:rsidRPr="00F43653" w:rsidRDefault="00A24D20" w:rsidP="00A24D20">
            <w:pPr>
              <w:suppressAutoHyphens/>
              <w:autoSpaceDN w:val="0"/>
              <w:spacing w:line="301" w:lineRule="exact"/>
              <w:jc w:val="right"/>
              <w:outlineLvl w:val="0"/>
              <w:rPr>
                <w:rFonts w:ascii="Arial" w:eastAsia="Times New Roman" w:hAnsi="Arial" w:cs="Arial"/>
                <w:b/>
                <w:bCs/>
                <w:color w:val="000000" w:themeColor="text1"/>
                <w:sz w:val="20"/>
                <w:szCs w:val="20"/>
              </w:rPr>
            </w:pPr>
            <w:r w:rsidRPr="007478FB">
              <w:rPr>
                <w:rFonts w:ascii="Arial" w:hAnsi="Arial" w:cs="Arial"/>
                <w:b/>
                <w:bCs/>
                <w:sz w:val="20"/>
                <w:szCs w:val="20"/>
              </w:rPr>
              <w:t>Tekuće razdoblje</w:t>
            </w:r>
          </w:p>
        </w:tc>
        <w:tc>
          <w:tcPr>
            <w:tcW w:w="687" w:type="pct"/>
            <w:vAlign w:val="bottom"/>
          </w:tcPr>
          <w:p w14:paraId="5A1F8AA6" w14:textId="467364CD" w:rsidR="00A24D20" w:rsidRPr="00F43653" w:rsidRDefault="00A24D20" w:rsidP="00A24D20">
            <w:pPr>
              <w:suppressAutoHyphens/>
              <w:autoSpaceDN w:val="0"/>
              <w:spacing w:line="301" w:lineRule="exact"/>
              <w:jc w:val="right"/>
              <w:outlineLvl w:val="0"/>
              <w:rPr>
                <w:rFonts w:ascii="Arial" w:eastAsia="Times New Roman" w:hAnsi="Arial" w:cs="Arial"/>
                <w:b/>
                <w:bCs/>
                <w:color w:val="000000" w:themeColor="text1"/>
                <w:sz w:val="20"/>
                <w:szCs w:val="20"/>
              </w:rPr>
            </w:pPr>
            <w:r w:rsidRPr="007478FB">
              <w:rPr>
                <w:rFonts w:ascii="Arial" w:hAnsi="Arial" w:cs="Arial"/>
                <w:b/>
                <w:bCs/>
                <w:sz w:val="20"/>
                <w:szCs w:val="20"/>
              </w:rPr>
              <w:t>Kumulativ</w:t>
            </w:r>
          </w:p>
        </w:tc>
        <w:tc>
          <w:tcPr>
            <w:tcW w:w="687" w:type="pct"/>
            <w:vAlign w:val="bottom"/>
          </w:tcPr>
          <w:p w14:paraId="0716EFEE" w14:textId="53EEE809" w:rsidR="00A24D20" w:rsidRPr="00F43653" w:rsidRDefault="00A24D20" w:rsidP="00A24D20">
            <w:pPr>
              <w:suppressAutoHyphens/>
              <w:autoSpaceDN w:val="0"/>
              <w:spacing w:line="301" w:lineRule="exact"/>
              <w:jc w:val="right"/>
              <w:outlineLvl w:val="0"/>
              <w:rPr>
                <w:rFonts w:ascii="Arial" w:eastAsia="Times New Roman" w:hAnsi="Arial" w:cs="Arial"/>
                <w:b/>
                <w:bCs/>
                <w:color w:val="000000" w:themeColor="text1"/>
                <w:sz w:val="20"/>
                <w:szCs w:val="20"/>
              </w:rPr>
            </w:pPr>
            <w:r w:rsidRPr="007478FB">
              <w:rPr>
                <w:rFonts w:ascii="Arial" w:hAnsi="Arial" w:cs="Arial"/>
                <w:b/>
                <w:bCs/>
                <w:sz w:val="20"/>
                <w:szCs w:val="20"/>
              </w:rPr>
              <w:t>Tekuće razdoblje</w:t>
            </w:r>
          </w:p>
        </w:tc>
        <w:tc>
          <w:tcPr>
            <w:tcW w:w="681" w:type="pct"/>
            <w:vAlign w:val="bottom"/>
          </w:tcPr>
          <w:p w14:paraId="15FF26F9" w14:textId="0F4879C3" w:rsidR="00A24D20" w:rsidRPr="00F43653" w:rsidRDefault="00A24D20" w:rsidP="00A24D20">
            <w:pPr>
              <w:suppressAutoHyphens/>
              <w:autoSpaceDN w:val="0"/>
              <w:spacing w:line="301" w:lineRule="exact"/>
              <w:jc w:val="right"/>
              <w:outlineLvl w:val="0"/>
              <w:rPr>
                <w:rFonts w:ascii="Arial" w:eastAsia="Times New Roman" w:hAnsi="Arial" w:cs="Arial"/>
                <w:b/>
                <w:bCs/>
                <w:color w:val="000000" w:themeColor="text1"/>
                <w:sz w:val="20"/>
                <w:szCs w:val="20"/>
              </w:rPr>
            </w:pPr>
            <w:r w:rsidRPr="007478FB">
              <w:rPr>
                <w:rFonts w:ascii="Arial" w:hAnsi="Arial" w:cs="Arial"/>
                <w:b/>
                <w:bCs/>
                <w:sz w:val="20"/>
                <w:szCs w:val="20"/>
              </w:rPr>
              <w:t>Kumulativ</w:t>
            </w:r>
          </w:p>
        </w:tc>
      </w:tr>
      <w:tr w:rsidR="00A24D20" w:rsidRPr="00F43653" w14:paraId="14617A36" w14:textId="77777777" w:rsidTr="007478FB">
        <w:trPr>
          <w:trHeight w:val="269"/>
        </w:trPr>
        <w:tc>
          <w:tcPr>
            <w:tcW w:w="1715" w:type="pct"/>
            <w:vAlign w:val="bottom"/>
          </w:tcPr>
          <w:p w14:paraId="6A4319BF" w14:textId="77777777" w:rsidR="00A24D20" w:rsidRPr="00F43653" w:rsidRDefault="00A24D20" w:rsidP="00A24D20">
            <w:pPr>
              <w:tabs>
                <w:tab w:val="right" w:pos="1202"/>
              </w:tabs>
              <w:suppressAutoHyphens/>
              <w:autoSpaceDN w:val="0"/>
              <w:spacing w:line="301" w:lineRule="exact"/>
              <w:outlineLvl w:val="0"/>
              <w:rPr>
                <w:rFonts w:ascii="Arial" w:eastAsia="Times New Roman" w:hAnsi="Arial" w:cs="Arial"/>
                <w:b/>
                <w:bCs/>
                <w:color w:val="000000" w:themeColor="text1"/>
                <w:sz w:val="20"/>
                <w:szCs w:val="20"/>
              </w:rPr>
            </w:pPr>
          </w:p>
        </w:tc>
        <w:tc>
          <w:tcPr>
            <w:tcW w:w="544" w:type="pct"/>
            <w:vAlign w:val="bottom"/>
          </w:tcPr>
          <w:p w14:paraId="2B3FB5DD" w14:textId="77777777" w:rsidR="00A24D20" w:rsidRPr="00F43653" w:rsidRDefault="00A24D20" w:rsidP="00A24D20">
            <w:pPr>
              <w:tabs>
                <w:tab w:val="right" w:pos="1202"/>
              </w:tabs>
              <w:suppressAutoHyphens/>
              <w:autoSpaceDN w:val="0"/>
              <w:spacing w:line="301" w:lineRule="exact"/>
              <w:jc w:val="center"/>
              <w:outlineLvl w:val="0"/>
              <w:rPr>
                <w:rFonts w:ascii="Arial" w:eastAsia="Times New Roman" w:hAnsi="Arial" w:cs="Arial"/>
                <w:b/>
                <w:bCs/>
                <w:color w:val="000000" w:themeColor="text1"/>
                <w:spacing w:val="-1"/>
                <w:sz w:val="20"/>
                <w:szCs w:val="20"/>
              </w:rPr>
            </w:pPr>
          </w:p>
        </w:tc>
        <w:tc>
          <w:tcPr>
            <w:tcW w:w="686" w:type="pct"/>
            <w:vAlign w:val="bottom"/>
          </w:tcPr>
          <w:p w14:paraId="4630B454" w14:textId="4FA671DE" w:rsidR="00A24D20" w:rsidRPr="00F43653" w:rsidRDefault="00A24D20" w:rsidP="00A24D20">
            <w:pPr>
              <w:suppressAutoHyphens/>
              <w:autoSpaceDN w:val="0"/>
              <w:spacing w:line="301" w:lineRule="exact"/>
              <w:jc w:val="right"/>
              <w:outlineLvl w:val="0"/>
              <w:rPr>
                <w:rFonts w:ascii="Arial" w:eastAsia="Times New Roman" w:hAnsi="Arial" w:cs="Arial"/>
                <w:b/>
                <w:bCs/>
                <w:color w:val="000000" w:themeColor="text1"/>
                <w:sz w:val="20"/>
                <w:szCs w:val="20"/>
              </w:rPr>
            </w:pPr>
            <w:r w:rsidRPr="007478FB">
              <w:rPr>
                <w:rFonts w:ascii="Arial" w:hAnsi="Arial" w:cs="Arial"/>
                <w:b/>
                <w:bCs/>
                <w:sz w:val="20"/>
                <w:szCs w:val="20"/>
              </w:rPr>
              <w:t>1.</w:t>
            </w:r>
            <w:r w:rsidR="00893BF4">
              <w:rPr>
                <w:rFonts w:ascii="Arial" w:hAnsi="Arial" w:cs="Arial"/>
                <w:b/>
                <w:bCs/>
                <w:sz w:val="20"/>
                <w:szCs w:val="20"/>
              </w:rPr>
              <w:t>7</w:t>
            </w:r>
            <w:r w:rsidRPr="007478FB">
              <w:rPr>
                <w:rFonts w:ascii="Arial" w:hAnsi="Arial" w:cs="Arial"/>
                <w:b/>
                <w:bCs/>
                <w:sz w:val="20"/>
                <w:szCs w:val="20"/>
              </w:rPr>
              <w:t>. - 30.</w:t>
            </w:r>
            <w:r w:rsidR="00893BF4">
              <w:rPr>
                <w:rFonts w:ascii="Arial" w:hAnsi="Arial" w:cs="Arial"/>
                <w:b/>
                <w:bCs/>
                <w:sz w:val="20"/>
                <w:szCs w:val="20"/>
              </w:rPr>
              <w:t>9</w:t>
            </w:r>
            <w:r w:rsidRPr="007478FB">
              <w:rPr>
                <w:rFonts w:ascii="Arial" w:hAnsi="Arial" w:cs="Arial"/>
                <w:b/>
                <w:bCs/>
                <w:sz w:val="20"/>
                <w:szCs w:val="20"/>
              </w:rPr>
              <w:t>.</w:t>
            </w:r>
          </w:p>
        </w:tc>
        <w:tc>
          <w:tcPr>
            <w:tcW w:w="687" w:type="pct"/>
            <w:vAlign w:val="bottom"/>
          </w:tcPr>
          <w:p w14:paraId="5582DA93" w14:textId="3CA8F5AA" w:rsidR="00A24D20" w:rsidRPr="00F43653" w:rsidRDefault="00A24D20" w:rsidP="00A24D20">
            <w:pPr>
              <w:suppressAutoHyphens/>
              <w:autoSpaceDN w:val="0"/>
              <w:spacing w:line="301" w:lineRule="exact"/>
              <w:jc w:val="right"/>
              <w:outlineLvl w:val="0"/>
              <w:rPr>
                <w:rFonts w:ascii="Arial" w:eastAsia="Times New Roman" w:hAnsi="Arial" w:cs="Arial"/>
                <w:b/>
                <w:bCs/>
                <w:color w:val="000000" w:themeColor="text1"/>
                <w:sz w:val="20"/>
                <w:szCs w:val="20"/>
              </w:rPr>
            </w:pPr>
            <w:r w:rsidRPr="007478FB">
              <w:rPr>
                <w:rFonts w:ascii="Arial" w:hAnsi="Arial" w:cs="Arial"/>
                <w:b/>
                <w:bCs/>
                <w:sz w:val="20"/>
                <w:szCs w:val="20"/>
              </w:rPr>
              <w:t>1.1. - 30.</w:t>
            </w:r>
            <w:r w:rsidR="00893BF4">
              <w:rPr>
                <w:rFonts w:ascii="Arial" w:hAnsi="Arial" w:cs="Arial"/>
                <w:b/>
                <w:bCs/>
                <w:sz w:val="20"/>
                <w:szCs w:val="20"/>
              </w:rPr>
              <w:t>9</w:t>
            </w:r>
            <w:r w:rsidRPr="007478FB">
              <w:rPr>
                <w:rFonts w:ascii="Arial" w:hAnsi="Arial" w:cs="Arial"/>
                <w:b/>
                <w:bCs/>
                <w:sz w:val="20"/>
                <w:szCs w:val="20"/>
              </w:rPr>
              <w:t>.</w:t>
            </w:r>
          </w:p>
        </w:tc>
        <w:tc>
          <w:tcPr>
            <w:tcW w:w="687" w:type="pct"/>
            <w:vAlign w:val="bottom"/>
          </w:tcPr>
          <w:p w14:paraId="18080E00" w14:textId="57A61A38" w:rsidR="00A24D20" w:rsidRPr="00F43653" w:rsidRDefault="00A24D20" w:rsidP="00A24D20">
            <w:pPr>
              <w:suppressAutoHyphens/>
              <w:autoSpaceDN w:val="0"/>
              <w:spacing w:line="301" w:lineRule="exact"/>
              <w:jc w:val="right"/>
              <w:outlineLvl w:val="0"/>
              <w:rPr>
                <w:rFonts w:ascii="Arial" w:eastAsia="Times New Roman" w:hAnsi="Arial" w:cs="Arial"/>
                <w:b/>
                <w:bCs/>
                <w:color w:val="000000" w:themeColor="text1"/>
                <w:sz w:val="20"/>
                <w:szCs w:val="20"/>
              </w:rPr>
            </w:pPr>
            <w:r w:rsidRPr="007478FB">
              <w:rPr>
                <w:rFonts w:ascii="Arial" w:hAnsi="Arial" w:cs="Arial"/>
                <w:b/>
                <w:bCs/>
                <w:sz w:val="20"/>
                <w:szCs w:val="20"/>
              </w:rPr>
              <w:t>1.</w:t>
            </w:r>
            <w:r w:rsidR="00893BF4">
              <w:rPr>
                <w:rFonts w:ascii="Arial" w:hAnsi="Arial" w:cs="Arial"/>
                <w:b/>
                <w:bCs/>
                <w:sz w:val="20"/>
                <w:szCs w:val="20"/>
              </w:rPr>
              <w:t>7</w:t>
            </w:r>
            <w:r w:rsidRPr="007478FB">
              <w:rPr>
                <w:rFonts w:ascii="Arial" w:hAnsi="Arial" w:cs="Arial"/>
                <w:b/>
                <w:bCs/>
                <w:sz w:val="20"/>
                <w:szCs w:val="20"/>
              </w:rPr>
              <w:t>. - 30.</w:t>
            </w:r>
            <w:r w:rsidR="00893BF4">
              <w:rPr>
                <w:rFonts w:ascii="Arial" w:hAnsi="Arial" w:cs="Arial"/>
                <w:b/>
                <w:bCs/>
                <w:sz w:val="20"/>
                <w:szCs w:val="20"/>
              </w:rPr>
              <w:t>9</w:t>
            </w:r>
            <w:r w:rsidRPr="007478FB">
              <w:rPr>
                <w:rFonts w:ascii="Arial" w:hAnsi="Arial" w:cs="Arial"/>
                <w:b/>
                <w:bCs/>
                <w:sz w:val="20"/>
                <w:szCs w:val="20"/>
              </w:rPr>
              <w:t>.</w:t>
            </w:r>
          </w:p>
        </w:tc>
        <w:tc>
          <w:tcPr>
            <w:tcW w:w="681" w:type="pct"/>
            <w:vAlign w:val="bottom"/>
          </w:tcPr>
          <w:p w14:paraId="080DCC40" w14:textId="757000A5" w:rsidR="00A24D20" w:rsidRPr="00F43653" w:rsidRDefault="00A24D20" w:rsidP="00A24D20">
            <w:pPr>
              <w:suppressAutoHyphens/>
              <w:autoSpaceDN w:val="0"/>
              <w:spacing w:line="301" w:lineRule="exact"/>
              <w:jc w:val="right"/>
              <w:outlineLvl w:val="0"/>
              <w:rPr>
                <w:rFonts w:ascii="Arial" w:eastAsia="Times New Roman" w:hAnsi="Arial" w:cs="Arial"/>
                <w:b/>
                <w:bCs/>
                <w:color w:val="000000" w:themeColor="text1"/>
                <w:sz w:val="20"/>
                <w:szCs w:val="20"/>
              </w:rPr>
            </w:pPr>
            <w:r w:rsidRPr="007478FB">
              <w:rPr>
                <w:rFonts w:ascii="Arial" w:hAnsi="Arial" w:cs="Arial"/>
                <w:b/>
                <w:bCs/>
                <w:sz w:val="20"/>
                <w:szCs w:val="20"/>
              </w:rPr>
              <w:t>1.1. - 30.</w:t>
            </w:r>
            <w:r w:rsidR="00893BF4">
              <w:rPr>
                <w:rFonts w:ascii="Arial" w:hAnsi="Arial" w:cs="Arial"/>
                <w:b/>
                <w:bCs/>
                <w:sz w:val="20"/>
                <w:szCs w:val="20"/>
              </w:rPr>
              <w:t>9</w:t>
            </w:r>
            <w:r w:rsidRPr="007478FB">
              <w:rPr>
                <w:rFonts w:ascii="Arial" w:hAnsi="Arial" w:cs="Arial"/>
                <w:b/>
                <w:bCs/>
                <w:sz w:val="20"/>
                <w:szCs w:val="20"/>
              </w:rPr>
              <w:t>.</w:t>
            </w:r>
          </w:p>
        </w:tc>
      </w:tr>
      <w:tr w:rsidR="00A24D20" w:rsidRPr="00F43653" w14:paraId="5BEC0EBB" w14:textId="77777777" w:rsidTr="007478FB">
        <w:trPr>
          <w:trHeight w:val="269"/>
        </w:trPr>
        <w:tc>
          <w:tcPr>
            <w:tcW w:w="1715" w:type="pct"/>
            <w:vAlign w:val="bottom"/>
          </w:tcPr>
          <w:p w14:paraId="2B55020A" w14:textId="77777777" w:rsidR="00A24D20" w:rsidRPr="00F43653" w:rsidRDefault="00A24D20" w:rsidP="00A24D20">
            <w:pPr>
              <w:tabs>
                <w:tab w:val="right" w:pos="1202"/>
              </w:tabs>
              <w:suppressAutoHyphens/>
              <w:autoSpaceDN w:val="0"/>
              <w:spacing w:line="301" w:lineRule="exact"/>
              <w:outlineLvl w:val="0"/>
              <w:rPr>
                <w:rFonts w:ascii="Arial" w:eastAsia="Times New Roman" w:hAnsi="Arial" w:cs="Arial"/>
                <w:b/>
                <w:bCs/>
                <w:color w:val="000000" w:themeColor="text1"/>
                <w:sz w:val="20"/>
                <w:szCs w:val="20"/>
              </w:rPr>
            </w:pPr>
          </w:p>
        </w:tc>
        <w:tc>
          <w:tcPr>
            <w:tcW w:w="544" w:type="pct"/>
            <w:vAlign w:val="bottom"/>
          </w:tcPr>
          <w:p w14:paraId="773BF3B3" w14:textId="77777777" w:rsidR="00A24D20" w:rsidRPr="00F43653" w:rsidRDefault="00A24D20" w:rsidP="00A24D20">
            <w:pPr>
              <w:tabs>
                <w:tab w:val="right" w:pos="1202"/>
              </w:tabs>
              <w:suppressAutoHyphens/>
              <w:autoSpaceDN w:val="0"/>
              <w:spacing w:line="301" w:lineRule="exact"/>
              <w:jc w:val="center"/>
              <w:outlineLvl w:val="0"/>
              <w:rPr>
                <w:rFonts w:ascii="Arial" w:eastAsia="Times New Roman" w:hAnsi="Arial" w:cs="Arial"/>
                <w:b/>
                <w:bCs/>
                <w:color w:val="000000" w:themeColor="text1"/>
                <w:spacing w:val="-1"/>
                <w:sz w:val="20"/>
                <w:szCs w:val="20"/>
              </w:rPr>
            </w:pPr>
          </w:p>
        </w:tc>
        <w:tc>
          <w:tcPr>
            <w:tcW w:w="686" w:type="pct"/>
            <w:vAlign w:val="bottom"/>
          </w:tcPr>
          <w:p w14:paraId="39C0962F" w14:textId="7954166A" w:rsidR="00A24D20" w:rsidRPr="00F43653" w:rsidRDefault="00A24D20" w:rsidP="00A24D20">
            <w:pPr>
              <w:suppressAutoHyphens/>
              <w:autoSpaceDN w:val="0"/>
              <w:spacing w:line="301" w:lineRule="exact"/>
              <w:jc w:val="right"/>
              <w:outlineLvl w:val="0"/>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000 eura</w:t>
            </w:r>
          </w:p>
        </w:tc>
        <w:tc>
          <w:tcPr>
            <w:tcW w:w="687" w:type="pct"/>
            <w:vAlign w:val="bottom"/>
          </w:tcPr>
          <w:p w14:paraId="1F96467C" w14:textId="29ECE848" w:rsidR="00A24D20" w:rsidRPr="00F43653" w:rsidRDefault="00A24D20" w:rsidP="00A24D20">
            <w:pPr>
              <w:suppressAutoHyphens/>
              <w:autoSpaceDN w:val="0"/>
              <w:spacing w:line="301" w:lineRule="exact"/>
              <w:jc w:val="right"/>
              <w:outlineLvl w:val="0"/>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000 eura</w:t>
            </w:r>
          </w:p>
        </w:tc>
        <w:tc>
          <w:tcPr>
            <w:tcW w:w="687" w:type="pct"/>
            <w:vAlign w:val="bottom"/>
          </w:tcPr>
          <w:p w14:paraId="52011176" w14:textId="797F3161" w:rsidR="00A24D20" w:rsidRPr="00F43653" w:rsidRDefault="00A24D20" w:rsidP="00A24D20">
            <w:pPr>
              <w:suppressAutoHyphens/>
              <w:autoSpaceDN w:val="0"/>
              <w:spacing w:line="301" w:lineRule="exact"/>
              <w:jc w:val="right"/>
              <w:outlineLvl w:val="0"/>
              <w:rPr>
                <w:rFonts w:ascii="Arial" w:eastAsia="Times New Roman" w:hAnsi="Arial" w:cs="Arial"/>
                <w:b/>
                <w:bCs/>
                <w:color w:val="000000" w:themeColor="text1"/>
                <w:sz w:val="20"/>
                <w:szCs w:val="20"/>
              </w:rPr>
            </w:pPr>
            <w:bookmarkStart w:id="2" w:name="_Toc67326571"/>
            <w:r w:rsidRPr="00F43653">
              <w:rPr>
                <w:rFonts w:ascii="Arial" w:eastAsia="Times New Roman" w:hAnsi="Arial" w:cs="Arial"/>
                <w:b/>
                <w:bCs/>
                <w:color w:val="000000" w:themeColor="text1"/>
                <w:sz w:val="20"/>
                <w:szCs w:val="20"/>
              </w:rPr>
              <w:t xml:space="preserve">000 </w:t>
            </w:r>
            <w:bookmarkEnd w:id="2"/>
            <w:r w:rsidRPr="00F43653">
              <w:rPr>
                <w:rFonts w:ascii="Arial" w:eastAsia="Times New Roman" w:hAnsi="Arial" w:cs="Arial"/>
                <w:b/>
                <w:bCs/>
                <w:color w:val="000000" w:themeColor="text1"/>
                <w:sz w:val="20"/>
                <w:szCs w:val="20"/>
              </w:rPr>
              <w:t>eura</w:t>
            </w:r>
          </w:p>
        </w:tc>
        <w:tc>
          <w:tcPr>
            <w:tcW w:w="681" w:type="pct"/>
            <w:vAlign w:val="bottom"/>
          </w:tcPr>
          <w:p w14:paraId="0E07CA64" w14:textId="60E52057" w:rsidR="00A24D20" w:rsidRPr="00F43653" w:rsidRDefault="00A24D20" w:rsidP="00A24D20">
            <w:pPr>
              <w:suppressAutoHyphens/>
              <w:autoSpaceDN w:val="0"/>
              <w:spacing w:line="301" w:lineRule="exact"/>
              <w:jc w:val="right"/>
              <w:outlineLvl w:val="0"/>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000 eura</w:t>
            </w:r>
          </w:p>
        </w:tc>
      </w:tr>
      <w:tr w:rsidR="00A24D20" w:rsidRPr="00F43653" w14:paraId="23A1E16D" w14:textId="77777777" w:rsidTr="007478FB">
        <w:trPr>
          <w:trHeight w:hRule="exact" w:val="117"/>
        </w:trPr>
        <w:tc>
          <w:tcPr>
            <w:tcW w:w="1715" w:type="pct"/>
            <w:vAlign w:val="bottom"/>
          </w:tcPr>
          <w:p w14:paraId="09FE02D0" w14:textId="77777777" w:rsidR="00A24D20" w:rsidRPr="00F43653" w:rsidRDefault="00A24D20" w:rsidP="00A24D20">
            <w:pPr>
              <w:tabs>
                <w:tab w:val="right" w:pos="1202"/>
              </w:tabs>
              <w:suppressAutoHyphens/>
              <w:autoSpaceDN w:val="0"/>
              <w:spacing w:line="301" w:lineRule="exact"/>
              <w:outlineLvl w:val="0"/>
              <w:rPr>
                <w:rFonts w:ascii="Arial" w:eastAsia="Times New Roman" w:hAnsi="Arial" w:cs="Arial"/>
                <w:color w:val="000000" w:themeColor="text1"/>
                <w:sz w:val="20"/>
                <w:szCs w:val="20"/>
              </w:rPr>
            </w:pPr>
          </w:p>
        </w:tc>
        <w:tc>
          <w:tcPr>
            <w:tcW w:w="544" w:type="pct"/>
            <w:vAlign w:val="bottom"/>
          </w:tcPr>
          <w:p w14:paraId="70BEA819" w14:textId="77777777" w:rsidR="00A24D20" w:rsidRPr="00F43653" w:rsidRDefault="00A24D20" w:rsidP="00A24D20">
            <w:pPr>
              <w:tabs>
                <w:tab w:val="right" w:pos="1202"/>
              </w:tabs>
              <w:suppressAutoHyphens/>
              <w:autoSpaceDN w:val="0"/>
              <w:spacing w:line="301" w:lineRule="exact"/>
              <w:jc w:val="center"/>
              <w:outlineLvl w:val="0"/>
              <w:rPr>
                <w:rFonts w:ascii="Arial" w:eastAsia="Times New Roman" w:hAnsi="Arial" w:cs="Arial"/>
                <w:b/>
                <w:color w:val="000000" w:themeColor="text1"/>
                <w:spacing w:val="-1"/>
                <w:sz w:val="20"/>
                <w:szCs w:val="20"/>
              </w:rPr>
            </w:pPr>
          </w:p>
        </w:tc>
        <w:tc>
          <w:tcPr>
            <w:tcW w:w="686" w:type="pct"/>
            <w:vAlign w:val="bottom"/>
          </w:tcPr>
          <w:p w14:paraId="530AE126" w14:textId="77777777" w:rsidR="00A24D20" w:rsidRPr="00F43653" w:rsidRDefault="00A24D20" w:rsidP="00A24D20">
            <w:pPr>
              <w:suppressAutoHyphens/>
              <w:autoSpaceDN w:val="0"/>
              <w:spacing w:line="301" w:lineRule="exact"/>
              <w:jc w:val="right"/>
              <w:outlineLvl w:val="0"/>
              <w:rPr>
                <w:rFonts w:ascii="Arial" w:eastAsia="Times New Roman" w:hAnsi="Arial" w:cs="Arial"/>
                <w:b/>
                <w:color w:val="000000" w:themeColor="text1"/>
                <w:sz w:val="20"/>
                <w:szCs w:val="20"/>
              </w:rPr>
            </w:pPr>
          </w:p>
        </w:tc>
        <w:tc>
          <w:tcPr>
            <w:tcW w:w="687" w:type="pct"/>
            <w:vAlign w:val="bottom"/>
          </w:tcPr>
          <w:p w14:paraId="136E7DA1" w14:textId="2C4E4DC9" w:rsidR="00A24D20" w:rsidRPr="00F43653" w:rsidRDefault="00A24D20" w:rsidP="00A24D20">
            <w:pPr>
              <w:suppressAutoHyphens/>
              <w:autoSpaceDN w:val="0"/>
              <w:spacing w:line="301" w:lineRule="exact"/>
              <w:jc w:val="right"/>
              <w:outlineLvl w:val="0"/>
              <w:rPr>
                <w:rFonts w:ascii="Arial" w:eastAsia="Times New Roman" w:hAnsi="Arial" w:cs="Arial"/>
                <w:b/>
                <w:color w:val="000000" w:themeColor="text1"/>
                <w:sz w:val="20"/>
                <w:szCs w:val="20"/>
              </w:rPr>
            </w:pPr>
          </w:p>
        </w:tc>
        <w:tc>
          <w:tcPr>
            <w:tcW w:w="687" w:type="pct"/>
            <w:vAlign w:val="bottom"/>
          </w:tcPr>
          <w:p w14:paraId="5D43AC4F" w14:textId="631ABA6B" w:rsidR="00A24D20" w:rsidRPr="00F43653" w:rsidRDefault="00A24D20" w:rsidP="00A24D20">
            <w:pPr>
              <w:suppressAutoHyphens/>
              <w:autoSpaceDN w:val="0"/>
              <w:spacing w:line="301" w:lineRule="exact"/>
              <w:jc w:val="right"/>
              <w:outlineLvl w:val="0"/>
              <w:rPr>
                <w:rFonts w:ascii="Arial" w:eastAsia="Times New Roman" w:hAnsi="Arial" w:cs="Arial"/>
                <w:b/>
                <w:color w:val="000000" w:themeColor="text1"/>
                <w:sz w:val="20"/>
                <w:szCs w:val="20"/>
              </w:rPr>
            </w:pPr>
          </w:p>
        </w:tc>
        <w:tc>
          <w:tcPr>
            <w:tcW w:w="681" w:type="pct"/>
            <w:vAlign w:val="bottom"/>
          </w:tcPr>
          <w:p w14:paraId="08363BD4" w14:textId="77777777" w:rsidR="00A24D20" w:rsidRPr="00F43653" w:rsidRDefault="00A24D20" w:rsidP="00A24D20">
            <w:pPr>
              <w:suppressAutoHyphens/>
              <w:autoSpaceDN w:val="0"/>
              <w:spacing w:line="301" w:lineRule="exact"/>
              <w:jc w:val="right"/>
              <w:outlineLvl w:val="0"/>
              <w:rPr>
                <w:rFonts w:ascii="Arial" w:eastAsia="Times New Roman" w:hAnsi="Arial" w:cs="Arial"/>
                <w:b/>
                <w:color w:val="000000" w:themeColor="text1"/>
                <w:sz w:val="20"/>
                <w:szCs w:val="20"/>
              </w:rPr>
            </w:pPr>
          </w:p>
        </w:tc>
      </w:tr>
      <w:tr w:rsidR="001C1769" w:rsidRPr="00F43653" w14:paraId="2D88A13C" w14:textId="77777777" w:rsidTr="00F87D65">
        <w:trPr>
          <w:trHeight w:val="538"/>
        </w:trPr>
        <w:tc>
          <w:tcPr>
            <w:tcW w:w="1715" w:type="pct"/>
            <w:vAlign w:val="bottom"/>
          </w:tcPr>
          <w:p w14:paraId="1451C8EC" w14:textId="77777777" w:rsidR="001C1769" w:rsidRPr="00F43653" w:rsidRDefault="001C1769" w:rsidP="001C1769">
            <w:pPr>
              <w:tabs>
                <w:tab w:val="right" w:pos="1202"/>
              </w:tabs>
              <w:suppressAutoHyphens/>
              <w:autoSpaceDN w:val="0"/>
              <w:spacing w:line="301" w:lineRule="exact"/>
              <w:outlineLvl w:val="0"/>
              <w:rPr>
                <w:rFonts w:ascii="Arial" w:eastAsia="Times New Roman" w:hAnsi="Arial" w:cs="Arial"/>
                <w:bCs/>
                <w:color w:val="000000" w:themeColor="text1"/>
                <w:sz w:val="20"/>
                <w:szCs w:val="20"/>
              </w:rPr>
            </w:pPr>
            <w:bookmarkStart w:id="3" w:name="_Toc67326573"/>
            <w:r w:rsidRPr="00F43653">
              <w:rPr>
                <w:rFonts w:ascii="Arial" w:eastAsia="Times New Roman" w:hAnsi="Arial" w:cs="Arial"/>
                <w:bCs/>
                <w:color w:val="000000" w:themeColor="text1"/>
                <w:spacing w:val="-2"/>
                <w:sz w:val="20"/>
                <w:szCs w:val="20"/>
              </w:rPr>
              <w:t>Prihodi od kamata izračunati metodom efektivne kamatne stope</w:t>
            </w:r>
            <w:bookmarkEnd w:id="3"/>
          </w:p>
        </w:tc>
        <w:tc>
          <w:tcPr>
            <w:tcW w:w="544" w:type="pct"/>
            <w:vAlign w:val="bottom"/>
          </w:tcPr>
          <w:p w14:paraId="2095D3A9" w14:textId="77777777" w:rsidR="001C1769" w:rsidRPr="00CC7FB0" w:rsidRDefault="001C1769" w:rsidP="001C1769">
            <w:pPr>
              <w:tabs>
                <w:tab w:val="right" w:pos="1202"/>
              </w:tabs>
              <w:suppressAutoHyphens/>
              <w:autoSpaceDN w:val="0"/>
              <w:spacing w:line="301" w:lineRule="exact"/>
              <w:jc w:val="center"/>
              <w:outlineLvl w:val="0"/>
              <w:rPr>
                <w:rFonts w:ascii="Arial" w:eastAsia="Times New Roman" w:hAnsi="Arial" w:cs="Arial"/>
                <w:bCs/>
                <w:color w:val="000000" w:themeColor="text1"/>
                <w:sz w:val="20"/>
                <w:szCs w:val="20"/>
              </w:rPr>
            </w:pPr>
            <w:bookmarkStart w:id="4" w:name="_Toc67326574"/>
            <w:r w:rsidRPr="00CC7FB0">
              <w:rPr>
                <w:rFonts w:ascii="Arial" w:eastAsia="Times New Roman" w:hAnsi="Arial" w:cs="Arial"/>
                <w:bCs/>
                <w:color w:val="000000" w:themeColor="text1"/>
                <w:sz w:val="20"/>
                <w:szCs w:val="20"/>
              </w:rPr>
              <w:t>5</w:t>
            </w:r>
            <w:bookmarkEnd w:id="4"/>
          </w:p>
        </w:tc>
        <w:tc>
          <w:tcPr>
            <w:tcW w:w="686" w:type="pct"/>
            <w:tcBorders>
              <w:top w:val="nil"/>
              <w:left w:val="nil"/>
              <w:right w:val="nil"/>
            </w:tcBorders>
            <w:shd w:val="clear" w:color="auto" w:fill="auto"/>
            <w:vAlign w:val="bottom"/>
          </w:tcPr>
          <w:p w14:paraId="4DC9A0FD" w14:textId="42F4151C" w:rsidR="001C1769" w:rsidRPr="00F87D65" w:rsidRDefault="001C1769" w:rsidP="001C1769">
            <w:pPr>
              <w:suppressAutoHyphens/>
              <w:autoSpaceDN w:val="0"/>
              <w:spacing w:line="301" w:lineRule="exact"/>
              <w:jc w:val="right"/>
              <w:outlineLvl w:val="0"/>
              <w:rPr>
                <w:rFonts w:ascii="Arial" w:hAnsi="Arial" w:cs="Arial"/>
                <w:sz w:val="20"/>
                <w:szCs w:val="20"/>
              </w:rPr>
            </w:pPr>
            <w:r w:rsidRPr="00F87D65">
              <w:rPr>
                <w:rFonts w:ascii="Arial" w:hAnsi="Arial" w:cs="Arial"/>
                <w:sz w:val="20"/>
                <w:szCs w:val="20"/>
              </w:rPr>
              <w:t xml:space="preserve"> 31.949 </w:t>
            </w:r>
          </w:p>
        </w:tc>
        <w:tc>
          <w:tcPr>
            <w:tcW w:w="687" w:type="pct"/>
            <w:tcBorders>
              <w:top w:val="nil"/>
              <w:left w:val="nil"/>
              <w:right w:val="nil"/>
            </w:tcBorders>
            <w:shd w:val="clear" w:color="auto" w:fill="auto"/>
            <w:vAlign w:val="bottom"/>
          </w:tcPr>
          <w:p w14:paraId="083DC6C4" w14:textId="28DAAE83" w:rsidR="001C1769" w:rsidRPr="00F87D65" w:rsidRDefault="001C1769" w:rsidP="001C1769">
            <w:pPr>
              <w:suppressAutoHyphens/>
              <w:autoSpaceDN w:val="0"/>
              <w:spacing w:line="301" w:lineRule="exact"/>
              <w:jc w:val="right"/>
              <w:outlineLvl w:val="0"/>
              <w:rPr>
                <w:rFonts w:ascii="Arial" w:hAnsi="Arial" w:cs="Arial"/>
                <w:sz w:val="20"/>
                <w:szCs w:val="20"/>
              </w:rPr>
            </w:pPr>
            <w:r w:rsidRPr="00F87D65">
              <w:rPr>
                <w:rFonts w:ascii="Arial" w:hAnsi="Arial" w:cs="Arial"/>
                <w:sz w:val="20"/>
                <w:szCs w:val="20"/>
              </w:rPr>
              <w:t xml:space="preserve"> 87.958 </w:t>
            </w:r>
          </w:p>
        </w:tc>
        <w:tc>
          <w:tcPr>
            <w:tcW w:w="687" w:type="pct"/>
            <w:tcBorders>
              <w:top w:val="nil"/>
              <w:left w:val="nil"/>
              <w:right w:val="nil"/>
            </w:tcBorders>
            <w:shd w:val="clear" w:color="auto" w:fill="auto"/>
            <w:vAlign w:val="bottom"/>
          </w:tcPr>
          <w:p w14:paraId="2EE5D0A3" w14:textId="1FE03B87" w:rsidR="001C1769" w:rsidRPr="00E84548" w:rsidRDefault="001C1769" w:rsidP="001C1769">
            <w:pPr>
              <w:suppressAutoHyphens/>
              <w:autoSpaceDN w:val="0"/>
              <w:spacing w:line="301" w:lineRule="exact"/>
              <w:jc w:val="right"/>
              <w:outlineLvl w:val="0"/>
              <w:rPr>
                <w:rFonts w:ascii="Arial" w:hAnsi="Arial" w:cs="Arial"/>
                <w:sz w:val="20"/>
                <w:szCs w:val="20"/>
              </w:rPr>
            </w:pPr>
            <w:r w:rsidRPr="00E84548">
              <w:rPr>
                <w:rFonts w:ascii="Arial" w:hAnsi="Arial" w:cs="Arial"/>
                <w:sz w:val="20"/>
                <w:szCs w:val="20"/>
              </w:rPr>
              <w:t xml:space="preserve"> 23.956 </w:t>
            </w:r>
          </w:p>
        </w:tc>
        <w:tc>
          <w:tcPr>
            <w:tcW w:w="681" w:type="pct"/>
            <w:tcBorders>
              <w:top w:val="nil"/>
              <w:left w:val="nil"/>
              <w:right w:val="nil"/>
            </w:tcBorders>
            <w:shd w:val="clear" w:color="auto" w:fill="auto"/>
            <w:vAlign w:val="bottom"/>
          </w:tcPr>
          <w:p w14:paraId="4181D9AD" w14:textId="70B80C9B" w:rsidR="001C1769" w:rsidRPr="00E84548" w:rsidRDefault="001C1769" w:rsidP="001C1769">
            <w:pPr>
              <w:suppressAutoHyphens/>
              <w:autoSpaceDN w:val="0"/>
              <w:spacing w:line="301" w:lineRule="exact"/>
              <w:jc w:val="right"/>
              <w:outlineLvl w:val="0"/>
              <w:rPr>
                <w:rFonts w:ascii="Arial" w:hAnsi="Arial" w:cs="Arial"/>
                <w:sz w:val="20"/>
                <w:szCs w:val="20"/>
              </w:rPr>
            </w:pPr>
            <w:r w:rsidRPr="00E84548">
              <w:rPr>
                <w:rFonts w:ascii="Arial" w:hAnsi="Arial" w:cs="Arial"/>
                <w:sz w:val="20"/>
                <w:szCs w:val="20"/>
              </w:rPr>
              <w:t xml:space="preserve"> 68.276 </w:t>
            </w:r>
          </w:p>
        </w:tc>
      </w:tr>
      <w:tr w:rsidR="001C1769" w:rsidRPr="00F43653" w14:paraId="7590F036" w14:textId="77777777" w:rsidTr="00F87D65">
        <w:trPr>
          <w:trHeight w:val="538"/>
        </w:trPr>
        <w:tc>
          <w:tcPr>
            <w:tcW w:w="1715" w:type="pct"/>
            <w:vAlign w:val="bottom"/>
          </w:tcPr>
          <w:p w14:paraId="0F831AAC" w14:textId="68162003" w:rsidR="001C1769" w:rsidRPr="00F43653" w:rsidRDefault="001C1769" w:rsidP="001C1769">
            <w:pPr>
              <w:tabs>
                <w:tab w:val="right" w:pos="1202"/>
              </w:tabs>
              <w:suppressAutoHyphens/>
              <w:autoSpaceDN w:val="0"/>
              <w:spacing w:line="301" w:lineRule="exact"/>
              <w:outlineLvl w:val="0"/>
              <w:rPr>
                <w:rFonts w:ascii="Arial" w:eastAsia="Times New Roman" w:hAnsi="Arial" w:cs="Arial"/>
                <w:bCs/>
                <w:color w:val="000000" w:themeColor="text1"/>
                <w:spacing w:val="-2"/>
                <w:sz w:val="20"/>
                <w:szCs w:val="20"/>
              </w:rPr>
            </w:pPr>
            <w:r>
              <w:rPr>
                <w:rFonts w:ascii="Arial" w:eastAsia="Times New Roman" w:hAnsi="Arial" w:cs="Arial"/>
                <w:bCs/>
                <w:color w:val="000000" w:themeColor="text1"/>
                <w:spacing w:val="-2"/>
                <w:sz w:val="20"/>
                <w:szCs w:val="20"/>
              </w:rPr>
              <w:t>Prihod od ukidanja razgraničenja subvencije na teret poslovanja HBOR-a</w:t>
            </w:r>
          </w:p>
        </w:tc>
        <w:tc>
          <w:tcPr>
            <w:tcW w:w="544" w:type="pct"/>
            <w:vAlign w:val="bottom"/>
          </w:tcPr>
          <w:p w14:paraId="33A2E54B" w14:textId="77777777" w:rsidR="001C1769" w:rsidRPr="00CC7FB0" w:rsidRDefault="001C1769" w:rsidP="001C1769">
            <w:pPr>
              <w:tabs>
                <w:tab w:val="right" w:pos="1202"/>
              </w:tabs>
              <w:suppressAutoHyphens/>
              <w:autoSpaceDN w:val="0"/>
              <w:spacing w:line="301" w:lineRule="exact"/>
              <w:jc w:val="center"/>
              <w:outlineLvl w:val="0"/>
              <w:rPr>
                <w:rFonts w:ascii="Arial" w:eastAsia="Times New Roman" w:hAnsi="Arial" w:cs="Arial"/>
                <w:bCs/>
                <w:color w:val="000000" w:themeColor="text1"/>
                <w:sz w:val="20"/>
                <w:szCs w:val="20"/>
              </w:rPr>
            </w:pPr>
          </w:p>
        </w:tc>
        <w:tc>
          <w:tcPr>
            <w:tcW w:w="686" w:type="pct"/>
            <w:tcBorders>
              <w:top w:val="nil"/>
              <w:left w:val="nil"/>
              <w:right w:val="nil"/>
            </w:tcBorders>
            <w:shd w:val="clear" w:color="auto" w:fill="auto"/>
            <w:vAlign w:val="bottom"/>
          </w:tcPr>
          <w:p w14:paraId="0B43450E" w14:textId="68659B2C" w:rsidR="001C1769" w:rsidRPr="00F87D65" w:rsidRDefault="001C1769" w:rsidP="001C1769">
            <w:pPr>
              <w:suppressAutoHyphens/>
              <w:autoSpaceDN w:val="0"/>
              <w:spacing w:line="301" w:lineRule="exact"/>
              <w:jc w:val="right"/>
              <w:outlineLvl w:val="0"/>
              <w:rPr>
                <w:rFonts w:ascii="Arial" w:hAnsi="Arial" w:cs="Arial"/>
                <w:sz w:val="20"/>
                <w:szCs w:val="20"/>
              </w:rPr>
            </w:pPr>
            <w:r w:rsidRPr="00F87D65">
              <w:rPr>
                <w:rFonts w:ascii="Arial" w:hAnsi="Arial" w:cs="Arial"/>
                <w:sz w:val="20"/>
                <w:szCs w:val="20"/>
              </w:rPr>
              <w:t xml:space="preserve"> 135 </w:t>
            </w:r>
          </w:p>
        </w:tc>
        <w:tc>
          <w:tcPr>
            <w:tcW w:w="687" w:type="pct"/>
            <w:tcBorders>
              <w:top w:val="nil"/>
              <w:left w:val="nil"/>
              <w:right w:val="nil"/>
            </w:tcBorders>
            <w:shd w:val="clear" w:color="auto" w:fill="auto"/>
            <w:vAlign w:val="bottom"/>
          </w:tcPr>
          <w:p w14:paraId="2EBCDAE7" w14:textId="1CFEE10C" w:rsidR="001C1769" w:rsidRPr="00F87D65" w:rsidRDefault="001C1769" w:rsidP="001C1769">
            <w:pPr>
              <w:suppressAutoHyphens/>
              <w:autoSpaceDN w:val="0"/>
              <w:spacing w:line="301" w:lineRule="exact"/>
              <w:jc w:val="right"/>
              <w:outlineLvl w:val="0"/>
              <w:rPr>
                <w:rFonts w:ascii="Arial" w:hAnsi="Arial" w:cs="Arial"/>
                <w:sz w:val="20"/>
                <w:szCs w:val="20"/>
              </w:rPr>
            </w:pPr>
            <w:r w:rsidRPr="00F87D65">
              <w:rPr>
                <w:rFonts w:ascii="Arial" w:hAnsi="Arial" w:cs="Arial"/>
                <w:sz w:val="20"/>
                <w:szCs w:val="20"/>
              </w:rPr>
              <w:t xml:space="preserve"> 434 </w:t>
            </w:r>
          </w:p>
        </w:tc>
        <w:tc>
          <w:tcPr>
            <w:tcW w:w="687" w:type="pct"/>
            <w:tcBorders>
              <w:top w:val="nil"/>
              <w:left w:val="nil"/>
              <w:right w:val="nil"/>
            </w:tcBorders>
            <w:shd w:val="clear" w:color="auto" w:fill="auto"/>
            <w:vAlign w:val="bottom"/>
          </w:tcPr>
          <w:p w14:paraId="1E26A394" w14:textId="2968FAEF" w:rsidR="001C1769" w:rsidRPr="00E84548" w:rsidRDefault="001C1769" w:rsidP="001C1769">
            <w:pPr>
              <w:suppressAutoHyphens/>
              <w:autoSpaceDN w:val="0"/>
              <w:spacing w:line="301" w:lineRule="exact"/>
              <w:jc w:val="right"/>
              <w:outlineLvl w:val="0"/>
              <w:rPr>
                <w:rFonts w:ascii="Arial" w:hAnsi="Arial" w:cs="Arial"/>
                <w:sz w:val="20"/>
                <w:szCs w:val="20"/>
              </w:rPr>
            </w:pPr>
            <w:r>
              <w:rPr>
                <w:rFonts w:ascii="Arial" w:hAnsi="Arial" w:cs="Arial"/>
                <w:sz w:val="20"/>
                <w:szCs w:val="20"/>
              </w:rPr>
              <w:t>-</w:t>
            </w:r>
          </w:p>
        </w:tc>
        <w:tc>
          <w:tcPr>
            <w:tcW w:w="681" w:type="pct"/>
            <w:tcBorders>
              <w:top w:val="nil"/>
              <w:left w:val="nil"/>
              <w:right w:val="nil"/>
            </w:tcBorders>
            <w:shd w:val="clear" w:color="auto" w:fill="auto"/>
            <w:vAlign w:val="bottom"/>
          </w:tcPr>
          <w:p w14:paraId="4B5E23D1" w14:textId="6AD4B88D" w:rsidR="001C1769" w:rsidRPr="00E84548" w:rsidRDefault="001C1769" w:rsidP="001C1769">
            <w:pPr>
              <w:suppressAutoHyphens/>
              <w:autoSpaceDN w:val="0"/>
              <w:spacing w:line="301" w:lineRule="exact"/>
              <w:jc w:val="right"/>
              <w:outlineLvl w:val="0"/>
              <w:rPr>
                <w:rFonts w:ascii="Arial" w:hAnsi="Arial" w:cs="Arial"/>
                <w:sz w:val="20"/>
                <w:szCs w:val="20"/>
              </w:rPr>
            </w:pPr>
            <w:r>
              <w:rPr>
                <w:rFonts w:ascii="Arial" w:hAnsi="Arial" w:cs="Arial"/>
                <w:sz w:val="20"/>
                <w:szCs w:val="20"/>
              </w:rPr>
              <w:t>-</w:t>
            </w:r>
          </w:p>
        </w:tc>
      </w:tr>
      <w:tr w:rsidR="001C1769" w:rsidRPr="00F43653" w14:paraId="349F180F" w14:textId="77777777" w:rsidTr="00F87D65">
        <w:trPr>
          <w:trHeight w:val="256"/>
        </w:trPr>
        <w:tc>
          <w:tcPr>
            <w:tcW w:w="1715" w:type="pct"/>
            <w:vAlign w:val="bottom"/>
          </w:tcPr>
          <w:p w14:paraId="6D9E3709" w14:textId="77777777" w:rsidR="001C1769" w:rsidRPr="00F43653" w:rsidRDefault="001C1769" w:rsidP="001C1769">
            <w:pPr>
              <w:tabs>
                <w:tab w:val="right" w:pos="1202"/>
              </w:tabs>
              <w:suppressAutoHyphens/>
              <w:autoSpaceDN w:val="0"/>
              <w:spacing w:line="301" w:lineRule="exact"/>
              <w:outlineLvl w:val="0"/>
              <w:rPr>
                <w:rFonts w:ascii="Arial" w:eastAsia="Times New Roman" w:hAnsi="Arial" w:cs="Arial"/>
                <w:bCs/>
                <w:color w:val="000000" w:themeColor="text1"/>
                <w:spacing w:val="-2"/>
                <w:sz w:val="20"/>
                <w:szCs w:val="20"/>
              </w:rPr>
            </w:pPr>
            <w:bookmarkStart w:id="5" w:name="_Toc67326577"/>
            <w:r w:rsidRPr="00F43653">
              <w:rPr>
                <w:rFonts w:ascii="Arial" w:eastAsia="Times New Roman" w:hAnsi="Arial" w:cs="Arial"/>
                <w:bCs/>
                <w:color w:val="000000" w:themeColor="text1"/>
                <w:spacing w:val="-2"/>
                <w:sz w:val="20"/>
                <w:szCs w:val="20"/>
              </w:rPr>
              <w:t>Rashodi od kamata</w:t>
            </w:r>
            <w:bookmarkEnd w:id="5"/>
          </w:p>
        </w:tc>
        <w:tc>
          <w:tcPr>
            <w:tcW w:w="544" w:type="pct"/>
            <w:vAlign w:val="bottom"/>
          </w:tcPr>
          <w:p w14:paraId="69B255F8" w14:textId="77777777" w:rsidR="001C1769" w:rsidRPr="00CC7FB0" w:rsidRDefault="001C1769" w:rsidP="001C1769">
            <w:pPr>
              <w:tabs>
                <w:tab w:val="right" w:pos="1202"/>
              </w:tabs>
              <w:suppressAutoHyphens/>
              <w:autoSpaceDN w:val="0"/>
              <w:spacing w:line="301" w:lineRule="exact"/>
              <w:jc w:val="center"/>
              <w:outlineLvl w:val="0"/>
              <w:rPr>
                <w:rFonts w:ascii="Arial" w:eastAsia="Times New Roman" w:hAnsi="Arial" w:cs="Arial"/>
                <w:bCs/>
                <w:color w:val="000000" w:themeColor="text1"/>
                <w:spacing w:val="-2"/>
                <w:sz w:val="20"/>
                <w:szCs w:val="20"/>
              </w:rPr>
            </w:pPr>
            <w:bookmarkStart w:id="6" w:name="_Toc67326578"/>
            <w:r w:rsidRPr="00CC7FB0">
              <w:rPr>
                <w:rFonts w:ascii="Arial" w:eastAsia="Times New Roman" w:hAnsi="Arial" w:cs="Arial"/>
                <w:bCs/>
                <w:color w:val="000000" w:themeColor="text1"/>
                <w:spacing w:val="-2"/>
                <w:sz w:val="20"/>
                <w:szCs w:val="20"/>
              </w:rPr>
              <w:t>6</w:t>
            </w:r>
            <w:bookmarkEnd w:id="6"/>
          </w:p>
        </w:tc>
        <w:tc>
          <w:tcPr>
            <w:tcW w:w="686" w:type="pct"/>
            <w:tcBorders>
              <w:top w:val="nil"/>
              <w:left w:val="nil"/>
              <w:right w:val="nil"/>
            </w:tcBorders>
            <w:shd w:val="clear" w:color="auto" w:fill="auto"/>
            <w:vAlign w:val="bottom"/>
          </w:tcPr>
          <w:p w14:paraId="56F7AC05" w14:textId="790C38B6" w:rsidR="001C1769" w:rsidRPr="00F87D65" w:rsidRDefault="001C1769" w:rsidP="001C1769">
            <w:pPr>
              <w:suppressAutoHyphens/>
              <w:autoSpaceDN w:val="0"/>
              <w:spacing w:line="301" w:lineRule="exact"/>
              <w:jc w:val="right"/>
              <w:outlineLvl w:val="0"/>
              <w:rPr>
                <w:rFonts w:ascii="Arial" w:hAnsi="Arial" w:cs="Arial"/>
                <w:sz w:val="20"/>
                <w:szCs w:val="20"/>
              </w:rPr>
            </w:pPr>
            <w:r w:rsidRPr="00F87D65">
              <w:rPr>
                <w:rFonts w:ascii="Arial" w:hAnsi="Arial" w:cs="Arial"/>
                <w:sz w:val="20"/>
                <w:szCs w:val="20"/>
              </w:rPr>
              <w:t xml:space="preserve"> (12.630)</w:t>
            </w:r>
          </w:p>
        </w:tc>
        <w:tc>
          <w:tcPr>
            <w:tcW w:w="687" w:type="pct"/>
            <w:tcBorders>
              <w:top w:val="nil"/>
              <w:left w:val="nil"/>
              <w:right w:val="nil"/>
            </w:tcBorders>
            <w:shd w:val="clear" w:color="auto" w:fill="auto"/>
            <w:vAlign w:val="bottom"/>
          </w:tcPr>
          <w:p w14:paraId="04FAEE33" w14:textId="64E89686" w:rsidR="001C1769" w:rsidRPr="00F87D65" w:rsidRDefault="001C1769" w:rsidP="001C1769">
            <w:pPr>
              <w:suppressAutoHyphens/>
              <w:autoSpaceDN w:val="0"/>
              <w:spacing w:line="301" w:lineRule="exact"/>
              <w:jc w:val="right"/>
              <w:outlineLvl w:val="0"/>
              <w:rPr>
                <w:rFonts w:ascii="Arial" w:hAnsi="Arial" w:cs="Arial"/>
                <w:sz w:val="20"/>
                <w:szCs w:val="20"/>
              </w:rPr>
            </w:pPr>
            <w:r w:rsidRPr="00F87D65">
              <w:rPr>
                <w:rFonts w:ascii="Arial" w:hAnsi="Arial" w:cs="Arial"/>
                <w:sz w:val="20"/>
                <w:szCs w:val="20"/>
              </w:rPr>
              <w:t xml:space="preserve"> (34.690)</w:t>
            </w:r>
          </w:p>
        </w:tc>
        <w:tc>
          <w:tcPr>
            <w:tcW w:w="687" w:type="pct"/>
            <w:tcBorders>
              <w:top w:val="nil"/>
              <w:left w:val="nil"/>
              <w:right w:val="nil"/>
            </w:tcBorders>
            <w:shd w:val="clear" w:color="auto" w:fill="auto"/>
            <w:vAlign w:val="bottom"/>
          </w:tcPr>
          <w:p w14:paraId="7998F51D" w14:textId="2D42F157" w:rsidR="001C1769" w:rsidRPr="00E84548" w:rsidRDefault="001C1769" w:rsidP="001C1769">
            <w:pPr>
              <w:suppressAutoHyphens/>
              <w:autoSpaceDN w:val="0"/>
              <w:spacing w:line="301" w:lineRule="exact"/>
              <w:jc w:val="right"/>
              <w:outlineLvl w:val="0"/>
              <w:rPr>
                <w:rFonts w:ascii="Arial" w:hAnsi="Arial" w:cs="Arial"/>
                <w:sz w:val="20"/>
                <w:szCs w:val="20"/>
              </w:rPr>
            </w:pPr>
            <w:r w:rsidRPr="00E84548">
              <w:rPr>
                <w:rFonts w:ascii="Arial" w:hAnsi="Arial" w:cs="Arial"/>
                <w:sz w:val="20"/>
                <w:szCs w:val="20"/>
              </w:rPr>
              <w:t xml:space="preserve"> (7.255)</w:t>
            </w:r>
          </w:p>
        </w:tc>
        <w:tc>
          <w:tcPr>
            <w:tcW w:w="681" w:type="pct"/>
            <w:tcBorders>
              <w:top w:val="nil"/>
              <w:left w:val="nil"/>
              <w:right w:val="nil"/>
            </w:tcBorders>
            <w:shd w:val="clear" w:color="auto" w:fill="auto"/>
            <w:vAlign w:val="bottom"/>
          </w:tcPr>
          <w:p w14:paraId="7C005A8F" w14:textId="0AEDEE0E" w:rsidR="001C1769" w:rsidRPr="00E84548" w:rsidRDefault="001C1769" w:rsidP="001C1769">
            <w:pPr>
              <w:suppressAutoHyphens/>
              <w:autoSpaceDN w:val="0"/>
              <w:spacing w:line="301" w:lineRule="exact"/>
              <w:jc w:val="right"/>
              <w:outlineLvl w:val="0"/>
              <w:rPr>
                <w:rFonts w:ascii="Arial" w:hAnsi="Arial" w:cs="Arial"/>
                <w:sz w:val="20"/>
                <w:szCs w:val="20"/>
              </w:rPr>
            </w:pPr>
            <w:r w:rsidRPr="00E84548">
              <w:rPr>
                <w:rFonts w:ascii="Arial" w:hAnsi="Arial" w:cs="Arial"/>
                <w:sz w:val="20"/>
                <w:szCs w:val="20"/>
              </w:rPr>
              <w:t xml:space="preserve"> (19.605)</w:t>
            </w:r>
          </w:p>
        </w:tc>
      </w:tr>
      <w:tr w:rsidR="001C1769" w:rsidRPr="00F43653" w14:paraId="2D47FA96" w14:textId="77777777" w:rsidTr="00F87D65">
        <w:trPr>
          <w:trHeight w:val="302"/>
        </w:trPr>
        <w:tc>
          <w:tcPr>
            <w:tcW w:w="1715" w:type="pct"/>
            <w:vAlign w:val="bottom"/>
          </w:tcPr>
          <w:p w14:paraId="566AD7E2" w14:textId="77777777" w:rsidR="001C1769" w:rsidRPr="00F43653" w:rsidRDefault="001C1769" w:rsidP="001C1769">
            <w:pPr>
              <w:tabs>
                <w:tab w:val="right" w:pos="1202"/>
              </w:tabs>
              <w:suppressAutoHyphens/>
              <w:autoSpaceDN w:val="0"/>
              <w:spacing w:line="340" w:lineRule="exact"/>
              <w:outlineLvl w:val="0"/>
              <w:rPr>
                <w:rFonts w:ascii="Arial" w:eastAsia="Times New Roman" w:hAnsi="Arial" w:cs="Arial"/>
                <w:b/>
                <w:bCs/>
                <w:color w:val="000000" w:themeColor="text1"/>
                <w:sz w:val="20"/>
                <w:szCs w:val="20"/>
                <w:vertAlign w:val="superscript"/>
              </w:rPr>
            </w:pPr>
            <w:bookmarkStart w:id="7" w:name="_Toc67326581"/>
            <w:r w:rsidRPr="00F43653">
              <w:rPr>
                <w:rFonts w:ascii="Arial" w:eastAsia="Times New Roman" w:hAnsi="Arial" w:cs="Arial"/>
                <w:b/>
                <w:bCs/>
                <w:color w:val="000000" w:themeColor="text1"/>
                <w:sz w:val="20"/>
                <w:szCs w:val="20"/>
              </w:rPr>
              <w:t>Neto prihod od kamata</w:t>
            </w:r>
            <w:bookmarkEnd w:id="7"/>
          </w:p>
        </w:tc>
        <w:tc>
          <w:tcPr>
            <w:tcW w:w="544" w:type="pct"/>
            <w:vAlign w:val="bottom"/>
          </w:tcPr>
          <w:p w14:paraId="5BE8CA2C" w14:textId="77777777" w:rsidR="001C1769" w:rsidRPr="00CC7FB0" w:rsidRDefault="001C1769" w:rsidP="001C1769">
            <w:pPr>
              <w:tabs>
                <w:tab w:val="right" w:pos="1202"/>
              </w:tabs>
              <w:suppressAutoHyphens/>
              <w:autoSpaceDN w:val="0"/>
              <w:spacing w:line="340" w:lineRule="exact"/>
              <w:jc w:val="center"/>
              <w:outlineLvl w:val="0"/>
              <w:rPr>
                <w:rFonts w:ascii="Arial" w:eastAsia="Times New Roman" w:hAnsi="Arial" w:cs="Arial"/>
                <w:b/>
                <w:bCs/>
                <w:color w:val="000000" w:themeColor="text1"/>
                <w:sz w:val="20"/>
                <w:szCs w:val="20"/>
              </w:rPr>
            </w:pPr>
          </w:p>
        </w:tc>
        <w:tc>
          <w:tcPr>
            <w:tcW w:w="686" w:type="pct"/>
            <w:tcBorders>
              <w:top w:val="single" w:sz="4" w:space="0" w:color="auto"/>
              <w:bottom w:val="single" w:sz="12" w:space="0" w:color="auto"/>
            </w:tcBorders>
            <w:vAlign w:val="bottom"/>
          </w:tcPr>
          <w:p w14:paraId="6CA00449" w14:textId="49E38EFC" w:rsidR="001C1769" w:rsidRPr="00F87D65" w:rsidRDefault="001C1769" w:rsidP="001C1769">
            <w:pPr>
              <w:tabs>
                <w:tab w:val="right" w:pos="1202"/>
              </w:tabs>
              <w:suppressAutoHyphens/>
              <w:autoSpaceDN w:val="0"/>
              <w:spacing w:line="340" w:lineRule="exact"/>
              <w:jc w:val="right"/>
              <w:outlineLvl w:val="0"/>
              <w:rPr>
                <w:rFonts w:ascii="Arial" w:hAnsi="Arial" w:cs="Arial"/>
                <w:b/>
                <w:bCs/>
                <w:sz w:val="20"/>
                <w:szCs w:val="20"/>
              </w:rPr>
            </w:pPr>
            <w:r w:rsidRPr="00F87D65">
              <w:rPr>
                <w:rFonts w:ascii="Arial" w:hAnsi="Arial" w:cs="Arial"/>
                <w:b/>
                <w:bCs/>
                <w:sz w:val="20"/>
                <w:szCs w:val="20"/>
              </w:rPr>
              <w:t xml:space="preserve"> 19.454 </w:t>
            </w:r>
          </w:p>
        </w:tc>
        <w:tc>
          <w:tcPr>
            <w:tcW w:w="687" w:type="pct"/>
            <w:tcBorders>
              <w:top w:val="single" w:sz="4" w:space="0" w:color="auto"/>
              <w:bottom w:val="single" w:sz="12" w:space="0" w:color="auto"/>
            </w:tcBorders>
            <w:vAlign w:val="bottom"/>
          </w:tcPr>
          <w:p w14:paraId="31A3A067" w14:textId="39F14080" w:rsidR="001C1769" w:rsidRPr="00F87D65" w:rsidRDefault="001C1769" w:rsidP="001C1769">
            <w:pPr>
              <w:tabs>
                <w:tab w:val="right" w:pos="1202"/>
              </w:tabs>
              <w:suppressAutoHyphens/>
              <w:autoSpaceDN w:val="0"/>
              <w:spacing w:line="340" w:lineRule="exact"/>
              <w:jc w:val="right"/>
              <w:outlineLvl w:val="0"/>
              <w:rPr>
                <w:rFonts w:ascii="Arial" w:hAnsi="Arial" w:cs="Arial"/>
                <w:b/>
                <w:bCs/>
                <w:sz w:val="20"/>
                <w:szCs w:val="20"/>
              </w:rPr>
            </w:pPr>
            <w:r w:rsidRPr="00F87D65">
              <w:rPr>
                <w:rFonts w:ascii="Arial" w:hAnsi="Arial" w:cs="Arial"/>
                <w:b/>
                <w:bCs/>
                <w:sz w:val="20"/>
                <w:szCs w:val="20"/>
              </w:rPr>
              <w:t xml:space="preserve"> 53.702 </w:t>
            </w:r>
          </w:p>
        </w:tc>
        <w:tc>
          <w:tcPr>
            <w:tcW w:w="687" w:type="pct"/>
            <w:tcBorders>
              <w:top w:val="single" w:sz="4" w:space="0" w:color="auto"/>
              <w:bottom w:val="single" w:sz="12" w:space="0" w:color="auto"/>
            </w:tcBorders>
            <w:vAlign w:val="bottom"/>
          </w:tcPr>
          <w:p w14:paraId="0CA0E85B" w14:textId="6F453785" w:rsidR="001C1769" w:rsidRPr="00E84548" w:rsidRDefault="001C1769" w:rsidP="001C1769">
            <w:pPr>
              <w:tabs>
                <w:tab w:val="right" w:pos="1202"/>
              </w:tabs>
              <w:suppressAutoHyphens/>
              <w:autoSpaceDN w:val="0"/>
              <w:spacing w:line="340" w:lineRule="exact"/>
              <w:jc w:val="right"/>
              <w:outlineLvl w:val="0"/>
              <w:rPr>
                <w:rFonts w:ascii="Arial" w:hAnsi="Arial" w:cs="Arial"/>
                <w:b/>
                <w:bCs/>
                <w:sz w:val="20"/>
                <w:szCs w:val="20"/>
              </w:rPr>
            </w:pPr>
            <w:r w:rsidRPr="00E84548">
              <w:rPr>
                <w:rFonts w:ascii="Arial" w:hAnsi="Arial" w:cs="Arial"/>
                <w:b/>
                <w:bCs/>
                <w:sz w:val="20"/>
                <w:szCs w:val="20"/>
              </w:rPr>
              <w:t xml:space="preserve"> 16.701 </w:t>
            </w:r>
          </w:p>
        </w:tc>
        <w:tc>
          <w:tcPr>
            <w:tcW w:w="681" w:type="pct"/>
            <w:tcBorders>
              <w:top w:val="single" w:sz="4" w:space="0" w:color="auto"/>
              <w:bottom w:val="single" w:sz="12" w:space="0" w:color="auto"/>
            </w:tcBorders>
            <w:vAlign w:val="bottom"/>
          </w:tcPr>
          <w:p w14:paraId="13FEB3E4" w14:textId="56B80395" w:rsidR="001C1769" w:rsidRPr="00E84548" w:rsidRDefault="001C1769" w:rsidP="001C1769">
            <w:pPr>
              <w:suppressAutoHyphens/>
              <w:autoSpaceDN w:val="0"/>
              <w:spacing w:line="340" w:lineRule="exact"/>
              <w:jc w:val="right"/>
              <w:outlineLvl w:val="0"/>
              <w:rPr>
                <w:rFonts w:ascii="Arial" w:hAnsi="Arial" w:cs="Arial"/>
                <w:b/>
                <w:bCs/>
                <w:sz w:val="20"/>
                <w:szCs w:val="20"/>
              </w:rPr>
            </w:pPr>
            <w:r w:rsidRPr="00E84548">
              <w:rPr>
                <w:rFonts w:ascii="Arial" w:hAnsi="Arial" w:cs="Arial"/>
                <w:b/>
                <w:bCs/>
                <w:sz w:val="20"/>
                <w:szCs w:val="20"/>
              </w:rPr>
              <w:t xml:space="preserve"> 48.671 </w:t>
            </w:r>
          </w:p>
        </w:tc>
      </w:tr>
      <w:tr w:rsidR="00A27E50" w:rsidRPr="00F43653" w14:paraId="0FC6BFA6" w14:textId="77777777" w:rsidTr="00F87D65">
        <w:trPr>
          <w:trHeight w:val="269"/>
        </w:trPr>
        <w:tc>
          <w:tcPr>
            <w:tcW w:w="1715" w:type="pct"/>
            <w:vAlign w:val="bottom"/>
          </w:tcPr>
          <w:p w14:paraId="3D650E48" w14:textId="77777777" w:rsidR="00A27E50" w:rsidRPr="00F43653" w:rsidRDefault="00A27E50" w:rsidP="00A27E50">
            <w:pPr>
              <w:tabs>
                <w:tab w:val="right" w:pos="1202"/>
              </w:tabs>
              <w:suppressAutoHyphens/>
              <w:autoSpaceDN w:val="0"/>
              <w:spacing w:line="301" w:lineRule="exact"/>
              <w:outlineLvl w:val="0"/>
              <w:rPr>
                <w:rFonts w:ascii="Arial" w:eastAsia="Times New Roman" w:hAnsi="Arial" w:cs="Arial"/>
                <w:bCs/>
                <w:color w:val="000000" w:themeColor="text1"/>
                <w:spacing w:val="-2"/>
                <w:sz w:val="20"/>
                <w:szCs w:val="20"/>
              </w:rPr>
            </w:pPr>
          </w:p>
        </w:tc>
        <w:tc>
          <w:tcPr>
            <w:tcW w:w="544" w:type="pct"/>
            <w:vAlign w:val="bottom"/>
          </w:tcPr>
          <w:p w14:paraId="68E1A610" w14:textId="77777777" w:rsidR="00A27E50" w:rsidRPr="00CC7FB0" w:rsidRDefault="00A27E50" w:rsidP="00A27E50">
            <w:pPr>
              <w:tabs>
                <w:tab w:val="right" w:pos="1202"/>
              </w:tabs>
              <w:suppressAutoHyphens/>
              <w:autoSpaceDN w:val="0"/>
              <w:spacing w:line="301" w:lineRule="exact"/>
              <w:jc w:val="center"/>
              <w:outlineLvl w:val="0"/>
              <w:rPr>
                <w:rFonts w:ascii="Arial" w:eastAsia="Times New Roman" w:hAnsi="Arial" w:cs="Arial"/>
                <w:bCs/>
                <w:color w:val="000000" w:themeColor="text1"/>
                <w:sz w:val="20"/>
                <w:szCs w:val="20"/>
              </w:rPr>
            </w:pPr>
          </w:p>
        </w:tc>
        <w:tc>
          <w:tcPr>
            <w:tcW w:w="686" w:type="pct"/>
            <w:vAlign w:val="bottom"/>
          </w:tcPr>
          <w:p w14:paraId="649412AF" w14:textId="77777777" w:rsidR="00A27E50" w:rsidRPr="00F87D65" w:rsidRDefault="00A27E50" w:rsidP="00A27E50">
            <w:pPr>
              <w:suppressAutoHyphens/>
              <w:autoSpaceDN w:val="0"/>
              <w:spacing w:line="301" w:lineRule="exact"/>
              <w:jc w:val="right"/>
              <w:outlineLvl w:val="0"/>
              <w:rPr>
                <w:rFonts w:ascii="Arial" w:eastAsia="Times New Roman" w:hAnsi="Arial" w:cs="Arial"/>
                <w:color w:val="000000" w:themeColor="text1"/>
                <w:sz w:val="20"/>
                <w:szCs w:val="20"/>
              </w:rPr>
            </w:pPr>
          </w:p>
        </w:tc>
        <w:tc>
          <w:tcPr>
            <w:tcW w:w="687" w:type="pct"/>
            <w:vAlign w:val="bottom"/>
          </w:tcPr>
          <w:p w14:paraId="49708CD4" w14:textId="51D146C0" w:rsidR="00A27E50" w:rsidRPr="00F87D65" w:rsidRDefault="00A27E50" w:rsidP="00A27E50">
            <w:pPr>
              <w:suppressAutoHyphens/>
              <w:autoSpaceDN w:val="0"/>
              <w:spacing w:line="301" w:lineRule="exact"/>
              <w:jc w:val="right"/>
              <w:outlineLvl w:val="0"/>
              <w:rPr>
                <w:rFonts w:ascii="Arial" w:eastAsia="Times New Roman" w:hAnsi="Arial" w:cs="Arial"/>
                <w:color w:val="000000" w:themeColor="text1"/>
                <w:sz w:val="20"/>
                <w:szCs w:val="20"/>
              </w:rPr>
            </w:pPr>
          </w:p>
        </w:tc>
        <w:tc>
          <w:tcPr>
            <w:tcW w:w="687" w:type="pct"/>
            <w:vAlign w:val="bottom"/>
          </w:tcPr>
          <w:p w14:paraId="33AC9FB6" w14:textId="6D4D4C2F" w:rsidR="00A27E50" w:rsidRPr="00F43653" w:rsidRDefault="00A27E50" w:rsidP="00A27E50">
            <w:pPr>
              <w:suppressAutoHyphens/>
              <w:autoSpaceDN w:val="0"/>
              <w:spacing w:line="301" w:lineRule="exact"/>
              <w:jc w:val="right"/>
              <w:outlineLvl w:val="0"/>
              <w:rPr>
                <w:rFonts w:ascii="Arial" w:eastAsia="Times New Roman" w:hAnsi="Arial" w:cs="Arial"/>
                <w:color w:val="000000" w:themeColor="text1"/>
                <w:sz w:val="20"/>
                <w:szCs w:val="20"/>
              </w:rPr>
            </w:pPr>
          </w:p>
        </w:tc>
        <w:tc>
          <w:tcPr>
            <w:tcW w:w="681" w:type="pct"/>
            <w:vAlign w:val="bottom"/>
          </w:tcPr>
          <w:p w14:paraId="0077D22D" w14:textId="77777777" w:rsidR="00A27E50" w:rsidRPr="00F43653" w:rsidRDefault="00A27E50" w:rsidP="00A27E50">
            <w:pPr>
              <w:suppressAutoHyphens/>
              <w:autoSpaceDN w:val="0"/>
              <w:spacing w:line="301" w:lineRule="exact"/>
              <w:jc w:val="right"/>
              <w:outlineLvl w:val="0"/>
              <w:rPr>
                <w:rFonts w:ascii="Arial" w:eastAsia="Times New Roman" w:hAnsi="Arial" w:cs="Arial"/>
                <w:bCs/>
                <w:color w:val="000000" w:themeColor="text1"/>
                <w:spacing w:val="-2"/>
                <w:sz w:val="20"/>
                <w:szCs w:val="20"/>
              </w:rPr>
            </w:pPr>
          </w:p>
        </w:tc>
      </w:tr>
      <w:tr w:rsidR="001C1769" w:rsidRPr="00F43653" w14:paraId="162F01C1" w14:textId="77777777" w:rsidTr="00F87D65">
        <w:trPr>
          <w:trHeight w:val="269"/>
        </w:trPr>
        <w:tc>
          <w:tcPr>
            <w:tcW w:w="1715" w:type="pct"/>
            <w:vAlign w:val="bottom"/>
          </w:tcPr>
          <w:p w14:paraId="56B2F8BB" w14:textId="77777777" w:rsidR="001C1769" w:rsidRPr="00F43653" w:rsidRDefault="001C1769" w:rsidP="001C1769">
            <w:pPr>
              <w:tabs>
                <w:tab w:val="right" w:pos="1202"/>
              </w:tabs>
              <w:suppressAutoHyphens/>
              <w:autoSpaceDN w:val="0"/>
              <w:spacing w:line="301" w:lineRule="exact"/>
              <w:outlineLvl w:val="0"/>
              <w:rPr>
                <w:rFonts w:ascii="Arial" w:eastAsia="Times New Roman" w:hAnsi="Arial" w:cs="Arial"/>
                <w:bCs/>
                <w:color w:val="000000" w:themeColor="text1"/>
                <w:sz w:val="20"/>
                <w:szCs w:val="20"/>
              </w:rPr>
            </w:pPr>
            <w:bookmarkStart w:id="8" w:name="_Toc67326584"/>
            <w:r w:rsidRPr="00F43653">
              <w:rPr>
                <w:rFonts w:ascii="Arial" w:eastAsia="Times New Roman" w:hAnsi="Arial" w:cs="Arial"/>
                <w:bCs/>
                <w:color w:val="000000" w:themeColor="text1"/>
                <w:spacing w:val="-2"/>
                <w:sz w:val="20"/>
                <w:szCs w:val="20"/>
              </w:rPr>
              <w:t>Prihodi od naknada i provizija</w:t>
            </w:r>
            <w:bookmarkEnd w:id="8"/>
          </w:p>
        </w:tc>
        <w:tc>
          <w:tcPr>
            <w:tcW w:w="544" w:type="pct"/>
            <w:vAlign w:val="bottom"/>
          </w:tcPr>
          <w:p w14:paraId="2AFCF078" w14:textId="77777777" w:rsidR="001C1769" w:rsidRPr="00CC7FB0" w:rsidRDefault="001C1769" w:rsidP="001C1769">
            <w:pPr>
              <w:tabs>
                <w:tab w:val="right" w:pos="1202"/>
              </w:tabs>
              <w:suppressAutoHyphens/>
              <w:autoSpaceDN w:val="0"/>
              <w:spacing w:line="301" w:lineRule="exact"/>
              <w:jc w:val="center"/>
              <w:outlineLvl w:val="0"/>
              <w:rPr>
                <w:rFonts w:ascii="Arial" w:eastAsia="Times New Roman" w:hAnsi="Arial" w:cs="Arial"/>
                <w:bCs/>
                <w:color w:val="000000" w:themeColor="text1"/>
                <w:sz w:val="20"/>
                <w:szCs w:val="20"/>
              </w:rPr>
            </w:pPr>
          </w:p>
        </w:tc>
        <w:tc>
          <w:tcPr>
            <w:tcW w:w="686" w:type="pct"/>
            <w:vAlign w:val="bottom"/>
          </w:tcPr>
          <w:p w14:paraId="7D78D3FE" w14:textId="770942DA" w:rsidR="001C1769" w:rsidRPr="00F87D65" w:rsidRDefault="001C1769" w:rsidP="001C1769">
            <w:pPr>
              <w:suppressAutoHyphens/>
              <w:autoSpaceDN w:val="0"/>
              <w:spacing w:line="301" w:lineRule="exact"/>
              <w:jc w:val="right"/>
              <w:outlineLvl w:val="0"/>
              <w:rPr>
                <w:rFonts w:ascii="Arial" w:hAnsi="Arial" w:cs="Arial"/>
                <w:sz w:val="20"/>
                <w:szCs w:val="20"/>
              </w:rPr>
            </w:pPr>
            <w:r w:rsidRPr="00F87D65">
              <w:rPr>
                <w:rFonts w:ascii="Arial" w:hAnsi="Arial" w:cs="Arial"/>
                <w:sz w:val="20"/>
                <w:szCs w:val="20"/>
              </w:rPr>
              <w:t xml:space="preserve"> 502 </w:t>
            </w:r>
          </w:p>
        </w:tc>
        <w:tc>
          <w:tcPr>
            <w:tcW w:w="687" w:type="pct"/>
            <w:vAlign w:val="bottom"/>
          </w:tcPr>
          <w:p w14:paraId="4CAE0AF5" w14:textId="3956948A" w:rsidR="001C1769" w:rsidRPr="00F87D65" w:rsidRDefault="001C1769" w:rsidP="001C1769">
            <w:pPr>
              <w:suppressAutoHyphens/>
              <w:autoSpaceDN w:val="0"/>
              <w:spacing w:line="301" w:lineRule="exact"/>
              <w:jc w:val="right"/>
              <w:outlineLvl w:val="0"/>
              <w:rPr>
                <w:rFonts w:ascii="Arial" w:hAnsi="Arial" w:cs="Arial"/>
                <w:sz w:val="20"/>
                <w:szCs w:val="20"/>
              </w:rPr>
            </w:pPr>
            <w:r w:rsidRPr="00F87D65">
              <w:rPr>
                <w:rFonts w:ascii="Arial" w:hAnsi="Arial" w:cs="Arial"/>
                <w:sz w:val="20"/>
                <w:szCs w:val="20"/>
              </w:rPr>
              <w:t xml:space="preserve"> 1.581 </w:t>
            </w:r>
          </w:p>
        </w:tc>
        <w:tc>
          <w:tcPr>
            <w:tcW w:w="687" w:type="pct"/>
            <w:vAlign w:val="bottom"/>
          </w:tcPr>
          <w:p w14:paraId="44A1F52C" w14:textId="48410E53" w:rsidR="001C1769" w:rsidRPr="007478FB" w:rsidRDefault="001C1769" w:rsidP="001C1769">
            <w:pPr>
              <w:suppressAutoHyphens/>
              <w:autoSpaceDN w:val="0"/>
              <w:spacing w:line="301" w:lineRule="exact"/>
              <w:jc w:val="right"/>
              <w:outlineLvl w:val="0"/>
              <w:rPr>
                <w:rFonts w:ascii="Arial" w:hAnsi="Arial" w:cs="Arial"/>
                <w:sz w:val="20"/>
                <w:szCs w:val="20"/>
              </w:rPr>
            </w:pPr>
            <w:r w:rsidRPr="00E84548">
              <w:rPr>
                <w:rFonts w:ascii="Arial" w:hAnsi="Arial" w:cs="Arial"/>
                <w:sz w:val="20"/>
                <w:szCs w:val="20"/>
              </w:rPr>
              <w:t xml:space="preserve"> 995 </w:t>
            </w:r>
          </w:p>
        </w:tc>
        <w:tc>
          <w:tcPr>
            <w:tcW w:w="681" w:type="pct"/>
            <w:vAlign w:val="bottom"/>
          </w:tcPr>
          <w:p w14:paraId="14478110" w14:textId="68DBE25B" w:rsidR="001C1769" w:rsidRPr="007478FB" w:rsidRDefault="001C1769" w:rsidP="001C1769">
            <w:pPr>
              <w:suppressAutoHyphens/>
              <w:autoSpaceDN w:val="0"/>
              <w:jc w:val="right"/>
              <w:rPr>
                <w:rFonts w:ascii="Arial" w:hAnsi="Arial" w:cs="Arial"/>
                <w:sz w:val="20"/>
                <w:szCs w:val="20"/>
              </w:rPr>
            </w:pPr>
            <w:r w:rsidRPr="00E84548">
              <w:rPr>
                <w:rFonts w:ascii="Arial" w:hAnsi="Arial" w:cs="Arial"/>
                <w:sz w:val="20"/>
                <w:szCs w:val="20"/>
              </w:rPr>
              <w:t xml:space="preserve"> 3.744 </w:t>
            </w:r>
          </w:p>
        </w:tc>
      </w:tr>
      <w:tr w:rsidR="001C1769" w:rsidRPr="00F43653" w14:paraId="591E4C32" w14:textId="77777777" w:rsidTr="00F87D65">
        <w:trPr>
          <w:trHeight w:val="337"/>
        </w:trPr>
        <w:tc>
          <w:tcPr>
            <w:tcW w:w="1715" w:type="pct"/>
            <w:vAlign w:val="bottom"/>
          </w:tcPr>
          <w:p w14:paraId="246312C5" w14:textId="77777777" w:rsidR="001C1769" w:rsidRPr="00F43653" w:rsidRDefault="001C1769" w:rsidP="001C1769">
            <w:pPr>
              <w:tabs>
                <w:tab w:val="right" w:pos="1202"/>
              </w:tabs>
              <w:suppressAutoHyphens/>
              <w:autoSpaceDN w:val="0"/>
              <w:spacing w:line="301" w:lineRule="exact"/>
              <w:outlineLvl w:val="0"/>
              <w:rPr>
                <w:rFonts w:ascii="Arial" w:eastAsia="Times New Roman" w:hAnsi="Arial" w:cs="Arial"/>
                <w:bCs/>
                <w:color w:val="000000" w:themeColor="text1"/>
                <w:spacing w:val="-2"/>
                <w:sz w:val="20"/>
                <w:szCs w:val="20"/>
              </w:rPr>
            </w:pPr>
            <w:bookmarkStart w:id="9" w:name="_Toc67326587"/>
            <w:r w:rsidRPr="00F43653">
              <w:rPr>
                <w:rFonts w:ascii="Arial" w:eastAsia="Times New Roman" w:hAnsi="Arial" w:cs="Arial"/>
                <w:bCs/>
                <w:color w:val="000000" w:themeColor="text1"/>
                <w:spacing w:val="-2"/>
                <w:sz w:val="20"/>
                <w:szCs w:val="20"/>
              </w:rPr>
              <w:t>Rashodi od naknada i provizija</w:t>
            </w:r>
            <w:bookmarkEnd w:id="9"/>
          </w:p>
        </w:tc>
        <w:tc>
          <w:tcPr>
            <w:tcW w:w="544" w:type="pct"/>
            <w:vAlign w:val="bottom"/>
          </w:tcPr>
          <w:p w14:paraId="07D3D840" w14:textId="77777777" w:rsidR="001C1769" w:rsidRPr="00CC7FB0" w:rsidRDefault="001C1769" w:rsidP="001C1769">
            <w:pPr>
              <w:tabs>
                <w:tab w:val="right" w:pos="1202"/>
              </w:tabs>
              <w:suppressAutoHyphens/>
              <w:autoSpaceDN w:val="0"/>
              <w:spacing w:line="301" w:lineRule="exact"/>
              <w:jc w:val="center"/>
              <w:outlineLvl w:val="0"/>
              <w:rPr>
                <w:rFonts w:ascii="Arial" w:eastAsia="Times New Roman" w:hAnsi="Arial" w:cs="Arial"/>
                <w:bCs/>
                <w:color w:val="000000" w:themeColor="text1"/>
                <w:spacing w:val="-2"/>
                <w:sz w:val="20"/>
                <w:szCs w:val="20"/>
              </w:rPr>
            </w:pPr>
          </w:p>
        </w:tc>
        <w:tc>
          <w:tcPr>
            <w:tcW w:w="686" w:type="pct"/>
            <w:vAlign w:val="bottom"/>
          </w:tcPr>
          <w:p w14:paraId="37C45D11" w14:textId="498D48F9" w:rsidR="001C1769" w:rsidRPr="00F87D65" w:rsidRDefault="001C1769" w:rsidP="001C1769">
            <w:pPr>
              <w:suppressAutoHyphens/>
              <w:autoSpaceDN w:val="0"/>
              <w:spacing w:line="301" w:lineRule="exact"/>
              <w:jc w:val="right"/>
              <w:outlineLvl w:val="0"/>
              <w:rPr>
                <w:rFonts w:ascii="Arial" w:hAnsi="Arial" w:cs="Arial"/>
                <w:sz w:val="20"/>
                <w:szCs w:val="20"/>
              </w:rPr>
            </w:pPr>
            <w:r w:rsidRPr="00F87D65">
              <w:rPr>
                <w:rFonts w:ascii="Arial" w:hAnsi="Arial" w:cs="Arial"/>
                <w:sz w:val="20"/>
                <w:szCs w:val="20"/>
              </w:rPr>
              <w:t xml:space="preserve"> (456)</w:t>
            </w:r>
          </w:p>
        </w:tc>
        <w:tc>
          <w:tcPr>
            <w:tcW w:w="687" w:type="pct"/>
            <w:vAlign w:val="bottom"/>
          </w:tcPr>
          <w:p w14:paraId="7FCFD78D" w14:textId="4C35664D" w:rsidR="001C1769" w:rsidRPr="00F87D65" w:rsidRDefault="001C1769" w:rsidP="001C1769">
            <w:pPr>
              <w:suppressAutoHyphens/>
              <w:autoSpaceDN w:val="0"/>
              <w:spacing w:line="301" w:lineRule="exact"/>
              <w:jc w:val="right"/>
              <w:outlineLvl w:val="0"/>
              <w:rPr>
                <w:rFonts w:ascii="Arial" w:hAnsi="Arial" w:cs="Arial"/>
                <w:sz w:val="20"/>
                <w:szCs w:val="20"/>
              </w:rPr>
            </w:pPr>
            <w:r w:rsidRPr="00F87D65">
              <w:rPr>
                <w:rFonts w:ascii="Arial" w:hAnsi="Arial" w:cs="Arial"/>
                <w:sz w:val="20"/>
                <w:szCs w:val="20"/>
              </w:rPr>
              <w:t xml:space="preserve"> (794)</w:t>
            </w:r>
          </w:p>
        </w:tc>
        <w:tc>
          <w:tcPr>
            <w:tcW w:w="687" w:type="pct"/>
            <w:vAlign w:val="bottom"/>
          </w:tcPr>
          <w:p w14:paraId="651BCA11" w14:textId="2F88E69F" w:rsidR="001C1769" w:rsidRPr="007478FB" w:rsidRDefault="001C1769" w:rsidP="001C1769">
            <w:pPr>
              <w:suppressAutoHyphens/>
              <w:autoSpaceDN w:val="0"/>
              <w:spacing w:line="301" w:lineRule="exact"/>
              <w:jc w:val="right"/>
              <w:outlineLvl w:val="0"/>
              <w:rPr>
                <w:rFonts w:ascii="Arial" w:hAnsi="Arial" w:cs="Arial"/>
                <w:sz w:val="20"/>
                <w:szCs w:val="20"/>
              </w:rPr>
            </w:pPr>
            <w:r w:rsidRPr="00E84548">
              <w:rPr>
                <w:rFonts w:ascii="Arial" w:hAnsi="Arial" w:cs="Arial"/>
                <w:sz w:val="20"/>
                <w:szCs w:val="20"/>
              </w:rPr>
              <w:t xml:space="preserve"> (253)</w:t>
            </w:r>
          </w:p>
        </w:tc>
        <w:tc>
          <w:tcPr>
            <w:tcW w:w="681" w:type="pct"/>
            <w:vAlign w:val="bottom"/>
          </w:tcPr>
          <w:p w14:paraId="7623DE91" w14:textId="64E891B7" w:rsidR="001C1769" w:rsidRPr="007478FB" w:rsidRDefault="001C1769" w:rsidP="001C1769">
            <w:pPr>
              <w:suppressAutoHyphens/>
              <w:autoSpaceDN w:val="0"/>
              <w:jc w:val="right"/>
              <w:rPr>
                <w:rFonts w:ascii="Arial" w:hAnsi="Arial" w:cs="Arial"/>
                <w:sz w:val="20"/>
                <w:szCs w:val="20"/>
              </w:rPr>
            </w:pPr>
            <w:r w:rsidRPr="00E84548">
              <w:rPr>
                <w:rFonts w:ascii="Arial" w:hAnsi="Arial" w:cs="Arial"/>
                <w:sz w:val="20"/>
                <w:szCs w:val="20"/>
              </w:rPr>
              <w:t xml:space="preserve"> (643)</w:t>
            </w:r>
          </w:p>
        </w:tc>
      </w:tr>
      <w:tr w:rsidR="001C1769" w:rsidRPr="00F43653" w14:paraId="7C7C6A46" w14:textId="77777777" w:rsidTr="00F87D65">
        <w:trPr>
          <w:trHeight w:val="302"/>
        </w:trPr>
        <w:tc>
          <w:tcPr>
            <w:tcW w:w="1715" w:type="pct"/>
            <w:vAlign w:val="bottom"/>
          </w:tcPr>
          <w:p w14:paraId="7A5E0D2D" w14:textId="77777777" w:rsidR="001C1769" w:rsidRPr="00F43653" w:rsidRDefault="001C1769" w:rsidP="001C1769">
            <w:pPr>
              <w:tabs>
                <w:tab w:val="right" w:pos="1202"/>
              </w:tabs>
              <w:suppressAutoHyphens/>
              <w:autoSpaceDN w:val="0"/>
              <w:spacing w:line="340" w:lineRule="exact"/>
              <w:outlineLvl w:val="0"/>
              <w:rPr>
                <w:rFonts w:ascii="Arial" w:eastAsia="Times New Roman" w:hAnsi="Arial" w:cs="Arial"/>
                <w:b/>
                <w:bCs/>
                <w:color w:val="000000" w:themeColor="text1"/>
                <w:sz w:val="20"/>
                <w:szCs w:val="20"/>
                <w:vertAlign w:val="superscript"/>
              </w:rPr>
            </w:pPr>
            <w:bookmarkStart w:id="10" w:name="_Toc67326590"/>
            <w:r w:rsidRPr="00F43653">
              <w:rPr>
                <w:rFonts w:ascii="Arial" w:eastAsia="Times New Roman" w:hAnsi="Arial" w:cs="Arial"/>
                <w:b/>
                <w:bCs/>
                <w:color w:val="000000" w:themeColor="text1"/>
                <w:sz w:val="20"/>
                <w:szCs w:val="20"/>
              </w:rPr>
              <w:t>Neto prihod od naknada i provizija</w:t>
            </w:r>
            <w:bookmarkEnd w:id="10"/>
          </w:p>
        </w:tc>
        <w:tc>
          <w:tcPr>
            <w:tcW w:w="544" w:type="pct"/>
            <w:vAlign w:val="bottom"/>
          </w:tcPr>
          <w:p w14:paraId="052C7096" w14:textId="77777777" w:rsidR="001C1769" w:rsidRPr="00CC7FB0" w:rsidRDefault="001C1769" w:rsidP="001C1769">
            <w:pPr>
              <w:tabs>
                <w:tab w:val="right" w:pos="1202"/>
              </w:tabs>
              <w:suppressAutoHyphens/>
              <w:autoSpaceDN w:val="0"/>
              <w:spacing w:line="340" w:lineRule="exact"/>
              <w:jc w:val="center"/>
              <w:outlineLvl w:val="0"/>
              <w:rPr>
                <w:rFonts w:ascii="Arial" w:eastAsia="Times New Roman" w:hAnsi="Arial" w:cs="Arial"/>
                <w:b/>
                <w:bCs/>
                <w:color w:val="000000" w:themeColor="text1"/>
                <w:sz w:val="20"/>
                <w:szCs w:val="20"/>
              </w:rPr>
            </w:pPr>
          </w:p>
        </w:tc>
        <w:tc>
          <w:tcPr>
            <w:tcW w:w="686" w:type="pct"/>
            <w:tcBorders>
              <w:top w:val="single" w:sz="2" w:space="0" w:color="auto"/>
              <w:bottom w:val="single" w:sz="12" w:space="0" w:color="auto"/>
            </w:tcBorders>
            <w:vAlign w:val="bottom"/>
          </w:tcPr>
          <w:p w14:paraId="5E49167E" w14:textId="37A27CC1" w:rsidR="001C1769" w:rsidRPr="00F87D65" w:rsidRDefault="001C1769" w:rsidP="001C1769">
            <w:pPr>
              <w:tabs>
                <w:tab w:val="right" w:pos="1202"/>
              </w:tabs>
              <w:suppressAutoHyphens/>
              <w:autoSpaceDN w:val="0"/>
              <w:spacing w:line="340" w:lineRule="exact"/>
              <w:jc w:val="right"/>
              <w:outlineLvl w:val="0"/>
              <w:rPr>
                <w:rFonts w:ascii="Arial" w:hAnsi="Arial" w:cs="Arial"/>
                <w:b/>
                <w:bCs/>
                <w:sz w:val="20"/>
                <w:szCs w:val="20"/>
              </w:rPr>
            </w:pPr>
            <w:r w:rsidRPr="00F87D65">
              <w:rPr>
                <w:rFonts w:ascii="Arial" w:hAnsi="Arial" w:cs="Arial"/>
                <w:b/>
                <w:bCs/>
                <w:sz w:val="20"/>
                <w:szCs w:val="20"/>
              </w:rPr>
              <w:t xml:space="preserve"> 46 </w:t>
            </w:r>
          </w:p>
        </w:tc>
        <w:tc>
          <w:tcPr>
            <w:tcW w:w="687" w:type="pct"/>
            <w:tcBorders>
              <w:top w:val="single" w:sz="2" w:space="0" w:color="auto"/>
              <w:bottom w:val="single" w:sz="12" w:space="0" w:color="auto"/>
            </w:tcBorders>
            <w:vAlign w:val="bottom"/>
          </w:tcPr>
          <w:p w14:paraId="3B683DF3" w14:textId="6F98B75A" w:rsidR="001C1769" w:rsidRPr="00F87D65" w:rsidRDefault="001C1769" w:rsidP="001C1769">
            <w:pPr>
              <w:tabs>
                <w:tab w:val="right" w:pos="1202"/>
              </w:tabs>
              <w:suppressAutoHyphens/>
              <w:autoSpaceDN w:val="0"/>
              <w:spacing w:line="340" w:lineRule="exact"/>
              <w:jc w:val="right"/>
              <w:outlineLvl w:val="0"/>
              <w:rPr>
                <w:rFonts w:ascii="Arial" w:hAnsi="Arial" w:cs="Arial"/>
                <w:b/>
                <w:bCs/>
                <w:sz w:val="20"/>
                <w:szCs w:val="20"/>
              </w:rPr>
            </w:pPr>
            <w:r w:rsidRPr="00F87D65">
              <w:rPr>
                <w:rFonts w:ascii="Arial" w:hAnsi="Arial" w:cs="Arial"/>
                <w:b/>
                <w:bCs/>
                <w:sz w:val="20"/>
                <w:szCs w:val="20"/>
              </w:rPr>
              <w:t xml:space="preserve"> 787 </w:t>
            </w:r>
          </w:p>
        </w:tc>
        <w:tc>
          <w:tcPr>
            <w:tcW w:w="687" w:type="pct"/>
            <w:tcBorders>
              <w:top w:val="single" w:sz="2" w:space="0" w:color="auto"/>
              <w:bottom w:val="single" w:sz="12" w:space="0" w:color="auto"/>
            </w:tcBorders>
            <w:vAlign w:val="bottom"/>
          </w:tcPr>
          <w:p w14:paraId="14E7DA13" w14:textId="10AE37FD" w:rsidR="001C1769" w:rsidRPr="007478FB" w:rsidRDefault="001C1769" w:rsidP="001C1769">
            <w:pPr>
              <w:tabs>
                <w:tab w:val="right" w:pos="1202"/>
              </w:tabs>
              <w:suppressAutoHyphens/>
              <w:autoSpaceDN w:val="0"/>
              <w:spacing w:line="340" w:lineRule="exact"/>
              <w:jc w:val="right"/>
              <w:outlineLvl w:val="0"/>
              <w:rPr>
                <w:rFonts w:ascii="Arial" w:hAnsi="Arial" w:cs="Arial"/>
                <w:b/>
                <w:bCs/>
                <w:sz w:val="20"/>
                <w:szCs w:val="20"/>
              </w:rPr>
            </w:pPr>
            <w:r w:rsidRPr="00E84548">
              <w:rPr>
                <w:rFonts w:ascii="Arial" w:hAnsi="Arial" w:cs="Arial"/>
                <w:b/>
                <w:bCs/>
                <w:sz w:val="20"/>
                <w:szCs w:val="20"/>
              </w:rPr>
              <w:t xml:space="preserve"> 742 </w:t>
            </w:r>
          </w:p>
        </w:tc>
        <w:tc>
          <w:tcPr>
            <w:tcW w:w="681" w:type="pct"/>
            <w:tcBorders>
              <w:top w:val="single" w:sz="2" w:space="0" w:color="auto"/>
              <w:bottom w:val="single" w:sz="12" w:space="0" w:color="auto"/>
            </w:tcBorders>
            <w:vAlign w:val="bottom"/>
          </w:tcPr>
          <w:p w14:paraId="1DA5CB7E" w14:textId="41D76CA0" w:rsidR="001C1769" w:rsidRPr="007478FB" w:rsidRDefault="001C1769" w:rsidP="001C1769">
            <w:pPr>
              <w:suppressAutoHyphens/>
              <w:autoSpaceDN w:val="0"/>
              <w:spacing w:line="340" w:lineRule="exact"/>
              <w:jc w:val="right"/>
              <w:outlineLvl w:val="0"/>
              <w:rPr>
                <w:rFonts w:ascii="Arial" w:hAnsi="Arial" w:cs="Arial"/>
                <w:b/>
                <w:bCs/>
                <w:sz w:val="20"/>
                <w:szCs w:val="20"/>
              </w:rPr>
            </w:pPr>
            <w:r w:rsidRPr="00E84548">
              <w:rPr>
                <w:rFonts w:ascii="Arial" w:hAnsi="Arial" w:cs="Arial"/>
                <w:b/>
                <w:bCs/>
                <w:sz w:val="20"/>
                <w:szCs w:val="20"/>
              </w:rPr>
              <w:t xml:space="preserve"> 3.101 </w:t>
            </w:r>
          </w:p>
        </w:tc>
      </w:tr>
      <w:tr w:rsidR="00A27E50" w:rsidRPr="00F43653" w14:paraId="1345CAC0" w14:textId="77777777" w:rsidTr="00F87D65">
        <w:trPr>
          <w:trHeight w:hRule="exact" w:val="353"/>
        </w:trPr>
        <w:tc>
          <w:tcPr>
            <w:tcW w:w="1715" w:type="pct"/>
            <w:vAlign w:val="bottom"/>
          </w:tcPr>
          <w:p w14:paraId="4C0606E6" w14:textId="77777777" w:rsidR="00A27E50" w:rsidRPr="00F43653" w:rsidRDefault="00A27E50" w:rsidP="00A27E50">
            <w:pPr>
              <w:tabs>
                <w:tab w:val="right" w:pos="1202"/>
              </w:tabs>
              <w:suppressAutoHyphens/>
              <w:autoSpaceDN w:val="0"/>
              <w:spacing w:line="301" w:lineRule="exact"/>
              <w:outlineLvl w:val="0"/>
              <w:rPr>
                <w:rFonts w:ascii="Arial" w:eastAsia="Times New Roman" w:hAnsi="Arial" w:cs="Arial"/>
                <w:color w:val="000000" w:themeColor="text1"/>
                <w:sz w:val="20"/>
                <w:szCs w:val="20"/>
              </w:rPr>
            </w:pPr>
          </w:p>
        </w:tc>
        <w:tc>
          <w:tcPr>
            <w:tcW w:w="544" w:type="pct"/>
            <w:vAlign w:val="bottom"/>
          </w:tcPr>
          <w:p w14:paraId="1E438EFB" w14:textId="77777777" w:rsidR="00A27E50" w:rsidRPr="00CC7FB0" w:rsidRDefault="00A27E50" w:rsidP="00A27E50">
            <w:pPr>
              <w:tabs>
                <w:tab w:val="right" w:pos="1202"/>
              </w:tabs>
              <w:suppressAutoHyphens/>
              <w:autoSpaceDN w:val="0"/>
              <w:spacing w:line="301" w:lineRule="exact"/>
              <w:jc w:val="center"/>
              <w:outlineLvl w:val="0"/>
              <w:rPr>
                <w:rFonts w:ascii="Arial" w:eastAsia="Times New Roman" w:hAnsi="Arial" w:cs="Arial"/>
                <w:color w:val="000000" w:themeColor="text1"/>
                <w:sz w:val="20"/>
                <w:szCs w:val="20"/>
              </w:rPr>
            </w:pPr>
          </w:p>
        </w:tc>
        <w:tc>
          <w:tcPr>
            <w:tcW w:w="686" w:type="pct"/>
            <w:tcBorders>
              <w:top w:val="single" w:sz="12" w:space="0" w:color="auto"/>
            </w:tcBorders>
            <w:vAlign w:val="bottom"/>
          </w:tcPr>
          <w:p w14:paraId="15CAD9A6" w14:textId="77777777" w:rsidR="00A27E50" w:rsidRPr="00F87D65" w:rsidRDefault="00A27E50" w:rsidP="00A27E50">
            <w:pPr>
              <w:suppressAutoHyphens/>
              <w:autoSpaceDN w:val="0"/>
              <w:spacing w:line="301" w:lineRule="exact"/>
              <w:jc w:val="right"/>
              <w:outlineLvl w:val="0"/>
              <w:rPr>
                <w:rFonts w:ascii="Arial" w:eastAsia="Times New Roman" w:hAnsi="Arial" w:cs="Arial"/>
                <w:color w:val="000000" w:themeColor="text1"/>
                <w:sz w:val="20"/>
                <w:szCs w:val="20"/>
              </w:rPr>
            </w:pPr>
          </w:p>
        </w:tc>
        <w:tc>
          <w:tcPr>
            <w:tcW w:w="687" w:type="pct"/>
            <w:tcBorders>
              <w:top w:val="single" w:sz="12" w:space="0" w:color="auto"/>
            </w:tcBorders>
            <w:vAlign w:val="bottom"/>
          </w:tcPr>
          <w:p w14:paraId="68D04AFE" w14:textId="34F0D291" w:rsidR="00A27E50" w:rsidRPr="00F87D65" w:rsidRDefault="00A27E50" w:rsidP="00A27E50">
            <w:pPr>
              <w:suppressAutoHyphens/>
              <w:autoSpaceDN w:val="0"/>
              <w:spacing w:line="301" w:lineRule="exact"/>
              <w:jc w:val="right"/>
              <w:outlineLvl w:val="0"/>
              <w:rPr>
                <w:rFonts w:ascii="Arial" w:eastAsia="Times New Roman" w:hAnsi="Arial" w:cs="Arial"/>
                <w:color w:val="000000" w:themeColor="text1"/>
                <w:sz w:val="20"/>
                <w:szCs w:val="20"/>
              </w:rPr>
            </w:pPr>
          </w:p>
        </w:tc>
        <w:tc>
          <w:tcPr>
            <w:tcW w:w="687" w:type="pct"/>
            <w:tcBorders>
              <w:top w:val="single" w:sz="12" w:space="0" w:color="auto"/>
            </w:tcBorders>
            <w:vAlign w:val="bottom"/>
          </w:tcPr>
          <w:p w14:paraId="20D0FC77" w14:textId="291D6C4B" w:rsidR="00A27E50" w:rsidRPr="00F43653" w:rsidRDefault="00A27E50" w:rsidP="00A27E50">
            <w:pPr>
              <w:suppressAutoHyphens/>
              <w:autoSpaceDN w:val="0"/>
              <w:spacing w:line="301" w:lineRule="exact"/>
              <w:jc w:val="right"/>
              <w:outlineLvl w:val="0"/>
              <w:rPr>
                <w:rFonts w:ascii="Arial" w:eastAsia="Times New Roman" w:hAnsi="Arial" w:cs="Arial"/>
                <w:color w:val="000000" w:themeColor="text1"/>
                <w:sz w:val="20"/>
                <w:szCs w:val="20"/>
              </w:rPr>
            </w:pPr>
          </w:p>
        </w:tc>
        <w:tc>
          <w:tcPr>
            <w:tcW w:w="681" w:type="pct"/>
            <w:tcBorders>
              <w:top w:val="single" w:sz="12" w:space="0" w:color="auto"/>
            </w:tcBorders>
            <w:vAlign w:val="bottom"/>
          </w:tcPr>
          <w:p w14:paraId="0C722D70" w14:textId="77777777" w:rsidR="00A27E50" w:rsidRPr="00F43653" w:rsidRDefault="00A27E50" w:rsidP="00A27E50">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p>
        </w:tc>
      </w:tr>
      <w:tr w:rsidR="00C16603" w:rsidRPr="00F43653" w14:paraId="171FBBAE" w14:textId="77777777" w:rsidTr="00F87D65">
        <w:trPr>
          <w:trHeight w:val="368"/>
        </w:trPr>
        <w:tc>
          <w:tcPr>
            <w:tcW w:w="1715" w:type="pct"/>
            <w:vAlign w:val="bottom"/>
          </w:tcPr>
          <w:p w14:paraId="777FEFE7" w14:textId="0218C418" w:rsidR="00C16603" w:rsidRPr="00F43653" w:rsidRDefault="00C16603" w:rsidP="00C16603">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11" w:name="_Toc67326593"/>
            <w:r w:rsidRPr="00425EA8">
              <w:rPr>
                <w:rFonts w:ascii="Arial" w:eastAsia="Times New Roman" w:hAnsi="Arial" w:cs="Arial"/>
                <w:color w:val="000000" w:themeColor="text1"/>
                <w:sz w:val="20"/>
                <w:szCs w:val="20"/>
              </w:rPr>
              <w:t xml:space="preserve">Neto </w:t>
            </w:r>
            <w:r w:rsidRPr="007478FB">
              <w:rPr>
                <w:rFonts w:ascii="Arial" w:eastAsia="Times New Roman" w:hAnsi="Arial" w:cs="Arial"/>
                <w:color w:val="000000" w:themeColor="text1"/>
                <w:sz w:val="20"/>
                <w:szCs w:val="20"/>
              </w:rPr>
              <w:t>(rashodi</w:t>
            </w:r>
            <w:r w:rsidRPr="00425EA8">
              <w:rPr>
                <w:rFonts w:ascii="Arial" w:eastAsia="Times New Roman" w:hAnsi="Arial" w:cs="Arial"/>
                <w:color w:val="000000" w:themeColor="text1"/>
                <w:sz w:val="20"/>
                <w:szCs w:val="20"/>
              </w:rPr>
              <w:t>)/prihodi financijskih aktivnosti</w:t>
            </w:r>
            <w:bookmarkEnd w:id="11"/>
            <w:r w:rsidRPr="00F43653">
              <w:rPr>
                <w:rFonts w:ascii="Arial" w:eastAsia="Times New Roman" w:hAnsi="Arial" w:cs="Arial"/>
                <w:color w:val="000000" w:themeColor="text1"/>
                <w:sz w:val="20"/>
                <w:szCs w:val="20"/>
              </w:rPr>
              <w:t xml:space="preserve"> </w:t>
            </w:r>
          </w:p>
        </w:tc>
        <w:tc>
          <w:tcPr>
            <w:tcW w:w="544" w:type="pct"/>
            <w:vAlign w:val="bottom"/>
          </w:tcPr>
          <w:p w14:paraId="02236E0D" w14:textId="77777777" w:rsidR="00C16603" w:rsidRPr="00CC7FB0" w:rsidRDefault="00C16603" w:rsidP="00C16603">
            <w:pPr>
              <w:tabs>
                <w:tab w:val="right" w:pos="1202"/>
              </w:tabs>
              <w:suppressAutoHyphens/>
              <w:autoSpaceDN w:val="0"/>
              <w:spacing w:line="301" w:lineRule="exact"/>
              <w:jc w:val="center"/>
              <w:outlineLvl w:val="0"/>
              <w:rPr>
                <w:rFonts w:ascii="Arial" w:eastAsia="Times New Roman" w:hAnsi="Arial" w:cs="Arial"/>
                <w:color w:val="000000" w:themeColor="text1"/>
                <w:sz w:val="20"/>
                <w:szCs w:val="20"/>
              </w:rPr>
            </w:pPr>
          </w:p>
        </w:tc>
        <w:tc>
          <w:tcPr>
            <w:tcW w:w="686" w:type="pct"/>
            <w:vAlign w:val="bottom"/>
          </w:tcPr>
          <w:p w14:paraId="50FFD39F" w14:textId="0F668B53" w:rsidR="00C16603" w:rsidRPr="00F87D65" w:rsidRDefault="00C16603" w:rsidP="00C16603">
            <w:pPr>
              <w:suppressAutoHyphens/>
              <w:autoSpaceDN w:val="0"/>
              <w:spacing w:line="301" w:lineRule="exact"/>
              <w:jc w:val="right"/>
              <w:outlineLvl w:val="0"/>
              <w:rPr>
                <w:rFonts w:ascii="Arial" w:hAnsi="Arial" w:cs="Arial"/>
                <w:sz w:val="20"/>
                <w:szCs w:val="20"/>
              </w:rPr>
            </w:pPr>
            <w:r w:rsidRPr="00F87D65">
              <w:rPr>
                <w:rFonts w:ascii="Arial" w:hAnsi="Arial" w:cs="Arial"/>
                <w:sz w:val="20"/>
                <w:szCs w:val="20"/>
              </w:rPr>
              <w:t xml:space="preserve"> 839 </w:t>
            </w:r>
          </w:p>
        </w:tc>
        <w:tc>
          <w:tcPr>
            <w:tcW w:w="687" w:type="pct"/>
            <w:vAlign w:val="bottom"/>
          </w:tcPr>
          <w:p w14:paraId="54725AF4" w14:textId="6BFB9969" w:rsidR="00C16603" w:rsidRPr="00F87D65" w:rsidRDefault="00C16603" w:rsidP="00C16603">
            <w:pPr>
              <w:suppressAutoHyphens/>
              <w:autoSpaceDN w:val="0"/>
              <w:spacing w:line="301" w:lineRule="exact"/>
              <w:jc w:val="right"/>
              <w:outlineLvl w:val="0"/>
              <w:rPr>
                <w:rFonts w:ascii="Arial" w:hAnsi="Arial" w:cs="Arial"/>
                <w:sz w:val="20"/>
                <w:szCs w:val="20"/>
              </w:rPr>
            </w:pPr>
            <w:r w:rsidRPr="00F87D65">
              <w:rPr>
                <w:rFonts w:ascii="Arial" w:hAnsi="Arial" w:cs="Arial"/>
                <w:sz w:val="20"/>
                <w:szCs w:val="20"/>
              </w:rPr>
              <w:t xml:space="preserve"> 1.193 </w:t>
            </w:r>
          </w:p>
        </w:tc>
        <w:tc>
          <w:tcPr>
            <w:tcW w:w="687" w:type="pct"/>
            <w:vAlign w:val="bottom"/>
          </w:tcPr>
          <w:p w14:paraId="2441A963" w14:textId="64E511CB" w:rsidR="00C16603" w:rsidRPr="007478FB" w:rsidRDefault="00C16603" w:rsidP="00C16603">
            <w:pPr>
              <w:suppressAutoHyphens/>
              <w:autoSpaceDN w:val="0"/>
              <w:spacing w:line="301" w:lineRule="exact"/>
              <w:jc w:val="right"/>
              <w:outlineLvl w:val="0"/>
              <w:rPr>
                <w:rFonts w:ascii="Arial" w:hAnsi="Arial" w:cs="Arial"/>
                <w:sz w:val="20"/>
                <w:szCs w:val="20"/>
              </w:rPr>
            </w:pPr>
            <w:r w:rsidRPr="00E84548">
              <w:rPr>
                <w:rFonts w:ascii="Arial" w:hAnsi="Arial" w:cs="Arial"/>
                <w:sz w:val="20"/>
                <w:szCs w:val="20"/>
              </w:rPr>
              <w:t xml:space="preserve"> 824 </w:t>
            </w:r>
          </w:p>
        </w:tc>
        <w:tc>
          <w:tcPr>
            <w:tcW w:w="681" w:type="pct"/>
            <w:vAlign w:val="bottom"/>
          </w:tcPr>
          <w:p w14:paraId="060C0B72" w14:textId="6EED4335" w:rsidR="00C16603" w:rsidRPr="007478FB" w:rsidRDefault="00C16603" w:rsidP="00C16603">
            <w:pPr>
              <w:tabs>
                <w:tab w:val="right" w:pos="1202"/>
              </w:tabs>
              <w:suppressAutoHyphens/>
              <w:autoSpaceDN w:val="0"/>
              <w:spacing w:line="301" w:lineRule="exact"/>
              <w:jc w:val="right"/>
              <w:outlineLvl w:val="0"/>
              <w:rPr>
                <w:rFonts w:ascii="Arial" w:hAnsi="Arial" w:cs="Arial"/>
                <w:sz w:val="20"/>
                <w:szCs w:val="20"/>
              </w:rPr>
            </w:pPr>
            <w:r w:rsidRPr="00E84548">
              <w:rPr>
                <w:rFonts w:ascii="Arial" w:hAnsi="Arial" w:cs="Arial"/>
                <w:sz w:val="20"/>
                <w:szCs w:val="20"/>
              </w:rPr>
              <w:t xml:space="preserve"> (1.886)</w:t>
            </w:r>
          </w:p>
        </w:tc>
      </w:tr>
      <w:tr w:rsidR="00C16603" w:rsidRPr="00F43653" w14:paraId="446ED955" w14:textId="77777777" w:rsidTr="00F87D65">
        <w:trPr>
          <w:trHeight w:val="302"/>
        </w:trPr>
        <w:tc>
          <w:tcPr>
            <w:tcW w:w="1715" w:type="pct"/>
            <w:vAlign w:val="bottom"/>
          </w:tcPr>
          <w:p w14:paraId="376FBC95" w14:textId="77777777" w:rsidR="00C16603" w:rsidRPr="00F43653" w:rsidRDefault="00C16603" w:rsidP="00C16603">
            <w:pPr>
              <w:tabs>
                <w:tab w:val="right" w:pos="1202"/>
              </w:tabs>
              <w:suppressAutoHyphens/>
              <w:autoSpaceDN w:val="0"/>
              <w:spacing w:line="340" w:lineRule="exact"/>
              <w:outlineLvl w:val="0"/>
              <w:rPr>
                <w:rFonts w:ascii="Arial" w:eastAsia="Times New Roman" w:hAnsi="Arial" w:cs="Arial"/>
                <w:color w:val="000000" w:themeColor="text1"/>
                <w:sz w:val="20"/>
                <w:szCs w:val="20"/>
              </w:rPr>
            </w:pPr>
            <w:bookmarkStart w:id="12" w:name="_Toc67326597"/>
            <w:r w:rsidRPr="00F43653">
              <w:rPr>
                <w:rFonts w:ascii="Arial" w:eastAsia="Times New Roman" w:hAnsi="Arial" w:cs="Arial"/>
                <w:color w:val="000000" w:themeColor="text1"/>
                <w:sz w:val="20"/>
                <w:szCs w:val="20"/>
              </w:rPr>
              <w:t>Ostali prihodi</w:t>
            </w:r>
            <w:bookmarkEnd w:id="12"/>
          </w:p>
        </w:tc>
        <w:tc>
          <w:tcPr>
            <w:tcW w:w="544" w:type="pct"/>
            <w:vAlign w:val="bottom"/>
          </w:tcPr>
          <w:p w14:paraId="54A266B6" w14:textId="77777777" w:rsidR="00C16603" w:rsidRPr="00CC7FB0" w:rsidRDefault="00C16603" w:rsidP="00C16603">
            <w:pPr>
              <w:tabs>
                <w:tab w:val="right" w:pos="1202"/>
              </w:tabs>
              <w:suppressAutoHyphens/>
              <w:autoSpaceDN w:val="0"/>
              <w:spacing w:line="340" w:lineRule="exact"/>
              <w:jc w:val="center"/>
              <w:outlineLvl w:val="0"/>
              <w:rPr>
                <w:rFonts w:ascii="Arial" w:eastAsia="Times New Roman" w:hAnsi="Arial" w:cs="Arial"/>
                <w:b/>
                <w:bCs/>
                <w:color w:val="000000" w:themeColor="text1"/>
                <w:sz w:val="20"/>
                <w:szCs w:val="20"/>
              </w:rPr>
            </w:pPr>
          </w:p>
        </w:tc>
        <w:tc>
          <w:tcPr>
            <w:tcW w:w="686" w:type="pct"/>
            <w:vAlign w:val="bottom"/>
          </w:tcPr>
          <w:p w14:paraId="4E24657A" w14:textId="2E393C12" w:rsidR="00C16603" w:rsidRPr="00F87D65" w:rsidRDefault="00C16603" w:rsidP="00C16603">
            <w:pPr>
              <w:suppressAutoHyphens/>
              <w:autoSpaceDN w:val="0"/>
              <w:spacing w:line="301" w:lineRule="exact"/>
              <w:jc w:val="right"/>
              <w:outlineLvl w:val="0"/>
              <w:rPr>
                <w:rFonts w:ascii="Arial" w:hAnsi="Arial" w:cs="Arial"/>
                <w:sz w:val="20"/>
                <w:szCs w:val="20"/>
              </w:rPr>
            </w:pPr>
            <w:r w:rsidRPr="00F87D65">
              <w:rPr>
                <w:rFonts w:ascii="Arial" w:hAnsi="Arial" w:cs="Arial"/>
                <w:sz w:val="20"/>
                <w:szCs w:val="20"/>
              </w:rPr>
              <w:t xml:space="preserve"> 839 </w:t>
            </w:r>
          </w:p>
        </w:tc>
        <w:tc>
          <w:tcPr>
            <w:tcW w:w="687" w:type="pct"/>
            <w:vAlign w:val="bottom"/>
          </w:tcPr>
          <w:p w14:paraId="35BB21CF" w14:textId="64C239CE" w:rsidR="00C16603" w:rsidRPr="00F87D65" w:rsidRDefault="00C16603" w:rsidP="00C16603">
            <w:pPr>
              <w:suppressAutoHyphens/>
              <w:autoSpaceDN w:val="0"/>
              <w:spacing w:line="301" w:lineRule="exact"/>
              <w:jc w:val="right"/>
              <w:outlineLvl w:val="0"/>
              <w:rPr>
                <w:rFonts w:ascii="Arial" w:hAnsi="Arial" w:cs="Arial"/>
                <w:sz w:val="20"/>
                <w:szCs w:val="20"/>
              </w:rPr>
            </w:pPr>
            <w:r w:rsidRPr="00F87D65">
              <w:rPr>
                <w:rFonts w:ascii="Arial" w:hAnsi="Arial" w:cs="Arial"/>
                <w:sz w:val="20"/>
                <w:szCs w:val="20"/>
              </w:rPr>
              <w:t xml:space="preserve"> 4.350 </w:t>
            </w:r>
          </w:p>
        </w:tc>
        <w:tc>
          <w:tcPr>
            <w:tcW w:w="687" w:type="pct"/>
            <w:vAlign w:val="bottom"/>
          </w:tcPr>
          <w:p w14:paraId="754B3200" w14:textId="4B52187F" w:rsidR="00C16603" w:rsidRPr="007478FB" w:rsidRDefault="00C16603" w:rsidP="00C16603">
            <w:pPr>
              <w:suppressAutoHyphens/>
              <w:autoSpaceDN w:val="0"/>
              <w:spacing w:line="301" w:lineRule="exact"/>
              <w:jc w:val="right"/>
              <w:outlineLvl w:val="0"/>
              <w:rPr>
                <w:rFonts w:ascii="Arial" w:hAnsi="Arial" w:cs="Arial"/>
                <w:sz w:val="20"/>
                <w:szCs w:val="20"/>
              </w:rPr>
            </w:pPr>
            <w:r w:rsidRPr="00E84548">
              <w:rPr>
                <w:rFonts w:ascii="Arial" w:hAnsi="Arial" w:cs="Arial"/>
                <w:sz w:val="20"/>
                <w:szCs w:val="20"/>
              </w:rPr>
              <w:t xml:space="preserve"> 1.083 </w:t>
            </w:r>
          </w:p>
        </w:tc>
        <w:tc>
          <w:tcPr>
            <w:tcW w:w="681" w:type="pct"/>
            <w:vAlign w:val="bottom"/>
          </w:tcPr>
          <w:p w14:paraId="60CA1AB1" w14:textId="565194E6" w:rsidR="00C16603" w:rsidRPr="007478FB" w:rsidRDefault="00C16603" w:rsidP="00C16603">
            <w:pPr>
              <w:tabs>
                <w:tab w:val="right" w:pos="1202"/>
              </w:tabs>
              <w:suppressAutoHyphens/>
              <w:autoSpaceDN w:val="0"/>
              <w:spacing w:line="301" w:lineRule="exact"/>
              <w:jc w:val="right"/>
              <w:outlineLvl w:val="0"/>
              <w:rPr>
                <w:rFonts w:ascii="Arial" w:hAnsi="Arial" w:cs="Arial"/>
                <w:sz w:val="20"/>
                <w:szCs w:val="20"/>
              </w:rPr>
            </w:pPr>
            <w:r w:rsidRPr="00E84548">
              <w:rPr>
                <w:rFonts w:ascii="Arial" w:hAnsi="Arial" w:cs="Arial"/>
                <w:sz w:val="20"/>
                <w:szCs w:val="20"/>
              </w:rPr>
              <w:t xml:space="preserve"> 3.320 </w:t>
            </w:r>
          </w:p>
        </w:tc>
      </w:tr>
      <w:tr w:rsidR="00C16603" w:rsidRPr="00F43653" w14:paraId="275E713E" w14:textId="77777777" w:rsidTr="00F87D65">
        <w:trPr>
          <w:trHeight w:val="314"/>
        </w:trPr>
        <w:tc>
          <w:tcPr>
            <w:tcW w:w="1715" w:type="pct"/>
            <w:vAlign w:val="bottom"/>
          </w:tcPr>
          <w:p w14:paraId="6B947455" w14:textId="77777777" w:rsidR="00C16603" w:rsidRPr="00F43653" w:rsidRDefault="00C16603" w:rsidP="00C16603">
            <w:pPr>
              <w:tabs>
                <w:tab w:val="right" w:pos="1202"/>
              </w:tabs>
              <w:suppressAutoHyphens/>
              <w:autoSpaceDN w:val="0"/>
              <w:spacing w:line="340" w:lineRule="exact"/>
              <w:outlineLvl w:val="0"/>
              <w:rPr>
                <w:rFonts w:ascii="Arial" w:eastAsia="Times New Roman" w:hAnsi="Arial" w:cs="Arial"/>
                <w:b/>
                <w:bCs/>
                <w:color w:val="000000" w:themeColor="text1"/>
                <w:sz w:val="20"/>
                <w:szCs w:val="20"/>
              </w:rPr>
            </w:pPr>
          </w:p>
        </w:tc>
        <w:tc>
          <w:tcPr>
            <w:tcW w:w="544" w:type="pct"/>
            <w:vAlign w:val="bottom"/>
          </w:tcPr>
          <w:p w14:paraId="393FD4A5" w14:textId="77777777" w:rsidR="00C16603" w:rsidRPr="00CC7FB0" w:rsidRDefault="00C16603" w:rsidP="00C16603">
            <w:pPr>
              <w:tabs>
                <w:tab w:val="right" w:pos="1202"/>
              </w:tabs>
              <w:suppressAutoHyphens/>
              <w:autoSpaceDN w:val="0"/>
              <w:spacing w:line="340" w:lineRule="exact"/>
              <w:jc w:val="center"/>
              <w:outlineLvl w:val="0"/>
              <w:rPr>
                <w:rFonts w:ascii="Arial" w:eastAsia="Times New Roman" w:hAnsi="Arial" w:cs="Arial"/>
                <w:b/>
                <w:bCs/>
                <w:color w:val="000000" w:themeColor="text1"/>
                <w:sz w:val="20"/>
                <w:szCs w:val="20"/>
              </w:rPr>
            </w:pPr>
          </w:p>
        </w:tc>
        <w:tc>
          <w:tcPr>
            <w:tcW w:w="686" w:type="pct"/>
            <w:tcBorders>
              <w:top w:val="single" w:sz="2" w:space="0" w:color="auto"/>
              <w:bottom w:val="single" w:sz="12" w:space="0" w:color="auto"/>
            </w:tcBorders>
            <w:vAlign w:val="bottom"/>
          </w:tcPr>
          <w:p w14:paraId="2BBD4490" w14:textId="0A3087AE" w:rsidR="00C16603" w:rsidRPr="00F87D65" w:rsidRDefault="00C16603" w:rsidP="00C16603">
            <w:pPr>
              <w:tabs>
                <w:tab w:val="right" w:pos="1202"/>
              </w:tabs>
              <w:suppressAutoHyphens/>
              <w:autoSpaceDN w:val="0"/>
              <w:spacing w:line="340" w:lineRule="exact"/>
              <w:jc w:val="right"/>
              <w:outlineLvl w:val="0"/>
              <w:rPr>
                <w:rFonts w:ascii="Arial" w:hAnsi="Arial" w:cs="Arial"/>
                <w:b/>
                <w:bCs/>
                <w:sz w:val="20"/>
                <w:szCs w:val="20"/>
              </w:rPr>
            </w:pPr>
            <w:r w:rsidRPr="00F87D65">
              <w:rPr>
                <w:rFonts w:ascii="Arial" w:hAnsi="Arial" w:cs="Arial"/>
                <w:b/>
                <w:bCs/>
                <w:sz w:val="20"/>
                <w:szCs w:val="20"/>
              </w:rPr>
              <w:t xml:space="preserve"> 21.178 </w:t>
            </w:r>
          </w:p>
        </w:tc>
        <w:tc>
          <w:tcPr>
            <w:tcW w:w="687" w:type="pct"/>
            <w:tcBorders>
              <w:top w:val="single" w:sz="2" w:space="0" w:color="auto"/>
              <w:bottom w:val="single" w:sz="12" w:space="0" w:color="auto"/>
            </w:tcBorders>
            <w:vAlign w:val="bottom"/>
          </w:tcPr>
          <w:p w14:paraId="7159F4B6" w14:textId="02D1CAA6" w:rsidR="00C16603" w:rsidRPr="00F87D65" w:rsidRDefault="00C16603" w:rsidP="00C16603">
            <w:pPr>
              <w:tabs>
                <w:tab w:val="right" w:pos="1202"/>
              </w:tabs>
              <w:suppressAutoHyphens/>
              <w:autoSpaceDN w:val="0"/>
              <w:spacing w:line="340" w:lineRule="exact"/>
              <w:jc w:val="right"/>
              <w:outlineLvl w:val="0"/>
              <w:rPr>
                <w:rFonts w:ascii="Arial" w:hAnsi="Arial" w:cs="Arial"/>
                <w:b/>
                <w:bCs/>
                <w:sz w:val="20"/>
                <w:szCs w:val="20"/>
              </w:rPr>
            </w:pPr>
            <w:r w:rsidRPr="00F87D65">
              <w:rPr>
                <w:rFonts w:ascii="Arial" w:hAnsi="Arial" w:cs="Arial"/>
                <w:b/>
                <w:bCs/>
                <w:sz w:val="20"/>
                <w:szCs w:val="20"/>
              </w:rPr>
              <w:t xml:space="preserve"> 60.032 </w:t>
            </w:r>
          </w:p>
        </w:tc>
        <w:tc>
          <w:tcPr>
            <w:tcW w:w="687" w:type="pct"/>
            <w:tcBorders>
              <w:top w:val="single" w:sz="2" w:space="0" w:color="auto"/>
              <w:bottom w:val="single" w:sz="12" w:space="0" w:color="auto"/>
            </w:tcBorders>
            <w:vAlign w:val="bottom"/>
          </w:tcPr>
          <w:p w14:paraId="60CD89D8" w14:textId="701ED8C8" w:rsidR="00C16603" w:rsidRPr="007478FB" w:rsidRDefault="00C16603" w:rsidP="00C16603">
            <w:pPr>
              <w:tabs>
                <w:tab w:val="right" w:pos="1202"/>
              </w:tabs>
              <w:suppressAutoHyphens/>
              <w:autoSpaceDN w:val="0"/>
              <w:spacing w:line="340" w:lineRule="exact"/>
              <w:jc w:val="right"/>
              <w:outlineLvl w:val="0"/>
              <w:rPr>
                <w:rFonts w:ascii="Arial" w:hAnsi="Arial" w:cs="Arial"/>
                <w:b/>
                <w:bCs/>
                <w:sz w:val="20"/>
                <w:szCs w:val="20"/>
              </w:rPr>
            </w:pPr>
            <w:r w:rsidRPr="00E84548">
              <w:rPr>
                <w:rFonts w:ascii="Arial" w:hAnsi="Arial" w:cs="Arial"/>
                <w:b/>
                <w:bCs/>
                <w:sz w:val="20"/>
                <w:szCs w:val="20"/>
              </w:rPr>
              <w:t xml:space="preserve"> 19.350 </w:t>
            </w:r>
          </w:p>
        </w:tc>
        <w:tc>
          <w:tcPr>
            <w:tcW w:w="681" w:type="pct"/>
            <w:tcBorders>
              <w:top w:val="single" w:sz="2" w:space="0" w:color="auto"/>
              <w:bottom w:val="single" w:sz="12" w:space="0" w:color="auto"/>
            </w:tcBorders>
            <w:vAlign w:val="bottom"/>
          </w:tcPr>
          <w:p w14:paraId="482DFD62" w14:textId="4BF6CB89" w:rsidR="00C16603" w:rsidRPr="007478FB" w:rsidRDefault="00C16603" w:rsidP="00C16603">
            <w:pPr>
              <w:tabs>
                <w:tab w:val="right" w:pos="1202"/>
              </w:tabs>
              <w:suppressAutoHyphens/>
              <w:autoSpaceDN w:val="0"/>
              <w:spacing w:line="340" w:lineRule="exact"/>
              <w:jc w:val="right"/>
              <w:outlineLvl w:val="0"/>
              <w:rPr>
                <w:rFonts w:ascii="Arial" w:hAnsi="Arial" w:cs="Arial"/>
                <w:b/>
                <w:bCs/>
                <w:sz w:val="20"/>
                <w:szCs w:val="20"/>
              </w:rPr>
            </w:pPr>
            <w:r w:rsidRPr="00E84548">
              <w:rPr>
                <w:rFonts w:ascii="Arial" w:hAnsi="Arial" w:cs="Arial"/>
                <w:b/>
                <w:bCs/>
                <w:sz w:val="20"/>
                <w:szCs w:val="20"/>
              </w:rPr>
              <w:t xml:space="preserve"> 53.206 </w:t>
            </w:r>
          </w:p>
        </w:tc>
      </w:tr>
      <w:tr w:rsidR="00A27E50" w:rsidRPr="00F43653" w14:paraId="0D871F02" w14:textId="77777777" w:rsidTr="00F87D65">
        <w:trPr>
          <w:trHeight w:val="269"/>
        </w:trPr>
        <w:tc>
          <w:tcPr>
            <w:tcW w:w="1715" w:type="pct"/>
            <w:vAlign w:val="bottom"/>
          </w:tcPr>
          <w:p w14:paraId="6D2B2CCA" w14:textId="77777777" w:rsidR="00A27E50" w:rsidRPr="00F43653" w:rsidRDefault="00A27E50" w:rsidP="00A27E50">
            <w:pPr>
              <w:tabs>
                <w:tab w:val="right" w:pos="1202"/>
              </w:tabs>
              <w:suppressAutoHyphens/>
              <w:autoSpaceDN w:val="0"/>
              <w:spacing w:line="301" w:lineRule="exact"/>
              <w:outlineLvl w:val="0"/>
              <w:rPr>
                <w:rFonts w:ascii="Arial" w:eastAsia="Times New Roman" w:hAnsi="Arial" w:cs="Arial"/>
                <w:bCs/>
                <w:color w:val="000000" w:themeColor="text1"/>
                <w:spacing w:val="-2"/>
                <w:sz w:val="20"/>
                <w:szCs w:val="20"/>
              </w:rPr>
            </w:pPr>
          </w:p>
        </w:tc>
        <w:tc>
          <w:tcPr>
            <w:tcW w:w="544" w:type="pct"/>
            <w:vAlign w:val="bottom"/>
          </w:tcPr>
          <w:p w14:paraId="2C623659" w14:textId="77777777" w:rsidR="00A27E50" w:rsidRPr="00CC7FB0" w:rsidRDefault="00A27E50" w:rsidP="00A27E50">
            <w:pPr>
              <w:tabs>
                <w:tab w:val="right" w:pos="1202"/>
              </w:tabs>
              <w:suppressAutoHyphens/>
              <w:autoSpaceDN w:val="0"/>
              <w:spacing w:line="301" w:lineRule="exact"/>
              <w:jc w:val="center"/>
              <w:outlineLvl w:val="0"/>
              <w:rPr>
                <w:rFonts w:ascii="Arial" w:eastAsia="Times New Roman" w:hAnsi="Arial" w:cs="Arial"/>
                <w:bCs/>
                <w:color w:val="000000" w:themeColor="text1"/>
                <w:spacing w:val="-2"/>
                <w:sz w:val="20"/>
                <w:szCs w:val="20"/>
              </w:rPr>
            </w:pPr>
          </w:p>
        </w:tc>
        <w:tc>
          <w:tcPr>
            <w:tcW w:w="686" w:type="pct"/>
            <w:vAlign w:val="bottom"/>
          </w:tcPr>
          <w:p w14:paraId="5EC305DA" w14:textId="77777777" w:rsidR="00A27E50" w:rsidRPr="00F87D65" w:rsidRDefault="00A27E50" w:rsidP="00A27E50">
            <w:pPr>
              <w:suppressAutoHyphens/>
              <w:autoSpaceDN w:val="0"/>
              <w:spacing w:line="301" w:lineRule="exact"/>
              <w:jc w:val="right"/>
              <w:outlineLvl w:val="0"/>
              <w:rPr>
                <w:rFonts w:ascii="Arial" w:eastAsia="Times New Roman" w:hAnsi="Arial" w:cs="Arial"/>
                <w:color w:val="000000" w:themeColor="text1"/>
                <w:sz w:val="20"/>
                <w:szCs w:val="20"/>
              </w:rPr>
            </w:pPr>
          </w:p>
        </w:tc>
        <w:tc>
          <w:tcPr>
            <w:tcW w:w="687" w:type="pct"/>
            <w:vAlign w:val="bottom"/>
          </w:tcPr>
          <w:p w14:paraId="649EA318" w14:textId="16FC0E73" w:rsidR="00A27E50" w:rsidRPr="00F87D65" w:rsidRDefault="00A27E50" w:rsidP="00A27E50">
            <w:pPr>
              <w:suppressAutoHyphens/>
              <w:autoSpaceDN w:val="0"/>
              <w:spacing w:line="301" w:lineRule="exact"/>
              <w:jc w:val="right"/>
              <w:outlineLvl w:val="0"/>
              <w:rPr>
                <w:rFonts w:ascii="Arial" w:eastAsia="Times New Roman" w:hAnsi="Arial" w:cs="Arial"/>
                <w:color w:val="000000" w:themeColor="text1"/>
                <w:sz w:val="20"/>
                <w:szCs w:val="20"/>
              </w:rPr>
            </w:pPr>
          </w:p>
        </w:tc>
        <w:tc>
          <w:tcPr>
            <w:tcW w:w="687" w:type="pct"/>
            <w:vAlign w:val="bottom"/>
          </w:tcPr>
          <w:p w14:paraId="4ECBBCA3" w14:textId="230DD484" w:rsidR="00A27E50" w:rsidRPr="00F43653" w:rsidRDefault="00A27E50" w:rsidP="00A27E50">
            <w:pPr>
              <w:suppressAutoHyphens/>
              <w:autoSpaceDN w:val="0"/>
              <w:spacing w:line="301" w:lineRule="exact"/>
              <w:jc w:val="right"/>
              <w:outlineLvl w:val="0"/>
              <w:rPr>
                <w:rFonts w:ascii="Arial" w:eastAsia="Times New Roman" w:hAnsi="Arial" w:cs="Arial"/>
                <w:color w:val="000000" w:themeColor="text1"/>
                <w:sz w:val="20"/>
                <w:szCs w:val="20"/>
              </w:rPr>
            </w:pPr>
          </w:p>
        </w:tc>
        <w:tc>
          <w:tcPr>
            <w:tcW w:w="681" w:type="pct"/>
            <w:vAlign w:val="bottom"/>
          </w:tcPr>
          <w:p w14:paraId="79109DEA" w14:textId="77777777" w:rsidR="00A27E50" w:rsidRPr="00F43653" w:rsidRDefault="00A27E50" w:rsidP="00A27E50">
            <w:pPr>
              <w:suppressAutoHyphens/>
              <w:autoSpaceDN w:val="0"/>
              <w:spacing w:line="301" w:lineRule="exact"/>
              <w:jc w:val="right"/>
              <w:outlineLvl w:val="0"/>
              <w:rPr>
                <w:rFonts w:ascii="Arial" w:eastAsia="Times New Roman" w:hAnsi="Arial" w:cs="Arial"/>
                <w:bCs/>
                <w:color w:val="000000" w:themeColor="text1"/>
                <w:spacing w:val="-2"/>
                <w:sz w:val="20"/>
                <w:szCs w:val="20"/>
              </w:rPr>
            </w:pPr>
          </w:p>
        </w:tc>
      </w:tr>
      <w:tr w:rsidR="00C16603" w:rsidRPr="00F43653" w14:paraId="41947261" w14:textId="77777777" w:rsidTr="00F87D65">
        <w:trPr>
          <w:trHeight w:val="124"/>
        </w:trPr>
        <w:tc>
          <w:tcPr>
            <w:tcW w:w="1715" w:type="pct"/>
            <w:vAlign w:val="bottom"/>
          </w:tcPr>
          <w:p w14:paraId="13BD5317" w14:textId="77777777" w:rsidR="00C16603" w:rsidRPr="00F43653" w:rsidRDefault="00C16603" w:rsidP="00C16603">
            <w:pPr>
              <w:tabs>
                <w:tab w:val="right" w:pos="1202"/>
              </w:tabs>
              <w:suppressAutoHyphens/>
              <w:autoSpaceDN w:val="0"/>
              <w:spacing w:line="301" w:lineRule="exact"/>
              <w:outlineLvl w:val="0"/>
              <w:rPr>
                <w:rFonts w:ascii="Arial" w:eastAsia="Times New Roman" w:hAnsi="Arial" w:cs="Arial"/>
                <w:bCs/>
                <w:color w:val="000000" w:themeColor="text1"/>
                <w:spacing w:val="-2"/>
                <w:sz w:val="20"/>
                <w:szCs w:val="20"/>
              </w:rPr>
            </w:pPr>
            <w:bookmarkStart w:id="13" w:name="_Toc67326602"/>
            <w:r w:rsidRPr="00F43653">
              <w:rPr>
                <w:rFonts w:ascii="Arial" w:eastAsia="Times New Roman" w:hAnsi="Arial" w:cs="Arial"/>
                <w:bCs/>
                <w:color w:val="000000" w:themeColor="text1"/>
                <w:spacing w:val="-2"/>
                <w:sz w:val="20"/>
                <w:szCs w:val="20"/>
              </w:rPr>
              <w:t>Troškovi osoblja</w:t>
            </w:r>
            <w:bookmarkEnd w:id="13"/>
          </w:p>
        </w:tc>
        <w:tc>
          <w:tcPr>
            <w:tcW w:w="544" w:type="pct"/>
            <w:vAlign w:val="bottom"/>
          </w:tcPr>
          <w:p w14:paraId="61295825" w14:textId="77777777" w:rsidR="00C16603" w:rsidRPr="00CC7FB0" w:rsidRDefault="00C16603" w:rsidP="00C16603">
            <w:pPr>
              <w:tabs>
                <w:tab w:val="right" w:pos="1202"/>
              </w:tabs>
              <w:suppressAutoHyphens/>
              <w:autoSpaceDN w:val="0"/>
              <w:spacing w:line="301" w:lineRule="exact"/>
              <w:jc w:val="center"/>
              <w:outlineLvl w:val="0"/>
              <w:rPr>
                <w:rFonts w:ascii="Arial" w:eastAsia="Times New Roman" w:hAnsi="Arial" w:cs="Arial"/>
                <w:bCs/>
                <w:color w:val="000000" w:themeColor="text1"/>
                <w:spacing w:val="-2"/>
                <w:sz w:val="20"/>
                <w:szCs w:val="20"/>
              </w:rPr>
            </w:pPr>
            <w:bookmarkStart w:id="14" w:name="_Toc67326603"/>
            <w:r w:rsidRPr="00CC7FB0">
              <w:rPr>
                <w:rFonts w:ascii="Arial" w:eastAsia="Times New Roman" w:hAnsi="Arial" w:cs="Arial"/>
                <w:bCs/>
                <w:color w:val="000000" w:themeColor="text1"/>
                <w:spacing w:val="-2"/>
                <w:sz w:val="20"/>
                <w:szCs w:val="20"/>
              </w:rPr>
              <w:t>7 a)</w:t>
            </w:r>
            <w:bookmarkEnd w:id="14"/>
          </w:p>
        </w:tc>
        <w:tc>
          <w:tcPr>
            <w:tcW w:w="686" w:type="pct"/>
            <w:tcBorders>
              <w:top w:val="nil"/>
              <w:left w:val="nil"/>
              <w:right w:val="nil"/>
            </w:tcBorders>
            <w:shd w:val="clear" w:color="auto" w:fill="auto"/>
            <w:vAlign w:val="bottom"/>
          </w:tcPr>
          <w:p w14:paraId="5A86F908" w14:textId="682A4D1C" w:rsidR="00C16603" w:rsidRPr="00F87D65" w:rsidRDefault="00C16603" w:rsidP="00C16603">
            <w:pPr>
              <w:suppressAutoHyphens/>
              <w:autoSpaceDN w:val="0"/>
              <w:spacing w:line="301" w:lineRule="exact"/>
              <w:jc w:val="right"/>
              <w:outlineLvl w:val="0"/>
              <w:rPr>
                <w:rFonts w:ascii="Arial" w:eastAsia="Times New Roman" w:hAnsi="Arial" w:cs="Arial"/>
                <w:color w:val="000000" w:themeColor="text1"/>
                <w:sz w:val="20"/>
                <w:szCs w:val="20"/>
              </w:rPr>
            </w:pPr>
            <w:r w:rsidRPr="00F87D65">
              <w:rPr>
                <w:rFonts w:ascii="Arial" w:hAnsi="Arial" w:cs="Arial"/>
                <w:sz w:val="20"/>
                <w:szCs w:val="20"/>
              </w:rPr>
              <w:t xml:space="preserve"> (4.640)</w:t>
            </w:r>
          </w:p>
        </w:tc>
        <w:tc>
          <w:tcPr>
            <w:tcW w:w="687" w:type="pct"/>
            <w:tcBorders>
              <w:top w:val="nil"/>
              <w:left w:val="nil"/>
              <w:right w:val="nil"/>
            </w:tcBorders>
            <w:shd w:val="clear" w:color="auto" w:fill="auto"/>
            <w:vAlign w:val="bottom"/>
          </w:tcPr>
          <w:p w14:paraId="1E59B433" w14:textId="39DD1BCA" w:rsidR="00C16603" w:rsidRPr="00F87D65" w:rsidRDefault="00C16603" w:rsidP="00C16603">
            <w:pPr>
              <w:suppressAutoHyphens/>
              <w:autoSpaceDN w:val="0"/>
              <w:spacing w:line="301" w:lineRule="exact"/>
              <w:jc w:val="right"/>
              <w:outlineLvl w:val="0"/>
              <w:rPr>
                <w:rFonts w:ascii="Arial" w:eastAsia="Times New Roman" w:hAnsi="Arial" w:cs="Arial"/>
                <w:color w:val="000000" w:themeColor="text1"/>
                <w:sz w:val="20"/>
                <w:szCs w:val="20"/>
              </w:rPr>
            </w:pPr>
            <w:r w:rsidRPr="00F87D65">
              <w:rPr>
                <w:rFonts w:ascii="Arial" w:hAnsi="Arial" w:cs="Arial"/>
                <w:sz w:val="20"/>
                <w:szCs w:val="20"/>
              </w:rPr>
              <w:t xml:space="preserve"> (13.380)</w:t>
            </w:r>
          </w:p>
        </w:tc>
        <w:tc>
          <w:tcPr>
            <w:tcW w:w="687" w:type="pct"/>
            <w:tcBorders>
              <w:top w:val="nil"/>
              <w:left w:val="nil"/>
              <w:right w:val="nil"/>
            </w:tcBorders>
            <w:shd w:val="clear" w:color="auto" w:fill="auto"/>
            <w:vAlign w:val="bottom"/>
          </w:tcPr>
          <w:p w14:paraId="0A276587" w14:textId="71275479" w:rsidR="00C16603" w:rsidRPr="00F43653" w:rsidRDefault="00C16603" w:rsidP="00C16603">
            <w:pPr>
              <w:suppressAutoHyphens/>
              <w:autoSpaceDN w:val="0"/>
              <w:spacing w:line="301" w:lineRule="exact"/>
              <w:jc w:val="right"/>
              <w:outlineLvl w:val="0"/>
              <w:rPr>
                <w:rFonts w:ascii="Arial" w:eastAsia="Times New Roman" w:hAnsi="Arial" w:cs="Arial"/>
                <w:color w:val="000000" w:themeColor="text1"/>
                <w:sz w:val="20"/>
                <w:szCs w:val="20"/>
              </w:rPr>
            </w:pPr>
            <w:r w:rsidRPr="00E84548">
              <w:rPr>
                <w:rFonts w:ascii="Arial" w:eastAsia="Times New Roman" w:hAnsi="Arial" w:cs="Arial"/>
                <w:color w:val="000000" w:themeColor="text1"/>
                <w:sz w:val="20"/>
                <w:szCs w:val="20"/>
              </w:rPr>
              <w:t>(4.009)</w:t>
            </w:r>
          </w:p>
        </w:tc>
        <w:tc>
          <w:tcPr>
            <w:tcW w:w="681" w:type="pct"/>
            <w:tcBorders>
              <w:top w:val="nil"/>
              <w:left w:val="nil"/>
              <w:right w:val="nil"/>
            </w:tcBorders>
            <w:shd w:val="clear" w:color="auto" w:fill="auto"/>
            <w:vAlign w:val="bottom"/>
          </w:tcPr>
          <w:p w14:paraId="246E969B" w14:textId="1D767122" w:rsidR="00C16603" w:rsidRPr="00E84548" w:rsidRDefault="00C16603" w:rsidP="00C16603">
            <w:pPr>
              <w:suppressAutoHyphens/>
              <w:autoSpaceDN w:val="0"/>
              <w:spacing w:line="301" w:lineRule="exact"/>
              <w:jc w:val="right"/>
              <w:outlineLvl w:val="0"/>
              <w:rPr>
                <w:rFonts w:ascii="Arial" w:eastAsia="Times New Roman" w:hAnsi="Arial" w:cs="Arial"/>
                <w:color w:val="000000" w:themeColor="text1"/>
                <w:sz w:val="20"/>
                <w:szCs w:val="20"/>
              </w:rPr>
            </w:pPr>
            <w:r w:rsidRPr="00E84548">
              <w:rPr>
                <w:rFonts w:ascii="Arial" w:eastAsia="Times New Roman" w:hAnsi="Arial" w:cs="Arial"/>
                <w:color w:val="000000" w:themeColor="text1"/>
                <w:sz w:val="20"/>
                <w:szCs w:val="20"/>
              </w:rPr>
              <w:t xml:space="preserve"> (11.661)</w:t>
            </w:r>
          </w:p>
        </w:tc>
      </w:tr>
      <w:tr w:rsidR="00C16603" w:rsidRPr="00F43653" w14:paraId="2FF6C3BF" w14:textId="77777777" w:rsidTr="00F87D65">
        <w:trPr>
          <w:trHeight w:val="255"/>
        </w:trPr>
        <w:tc>
          <w:tcPr>
            <w:tcW w:w="1715" w:type="pct"/>
            <w:vAlign w:val="bottom"/>
          </w:tcPr>
          <w:p w14:paraId="76F4C44F" w14:textId="77777777" w:rsidR="00C16603" w:rsidRPr="00F43653" w:rsidRDefault="00C16603" w:rsidP="00C16603">
            <w:pPr>
              <w:tabs>
                <w:tab w:val="right" w:pos="1202"/>
              </w:tabs>
              <w:suppressAutoHyphens/>
              <w:autoSpaceDN w:val="0"/>
              <w:spacing w:line="301" w:lineRule="exact"/>
              <w:outlineLvl w:val="0"/>
              <w:rPr>
                <w:rFonts w:ascii="Arial" w:eastAsia="Times New Roman" w:hAnsi="Arial" w:cs="Arial"/>
                <w:bCs/>
                <w:color w:val="000000" w:themeColor="text1"/>
                <w:spacing w:val="-2"/>
                <w:sz w:val="20"/>
                <w:szCs w:val="20"/>
              </w:rPr>
            </w:pPr>
            <w:bookmarkStart w:id="15" w:name="_Toc67326606"/>
            <w:r w:rsidRPr="00F43653">
              <w:rPr>
                <w:rFonts w:ascii="Arial" w:eastAsia="Times New Roman" w:hAnsi="Arial" w:cs="Arial"/>
                <w:bCs/>
                <w:color w:val="000000" w:themeColor="text1"/>
                <w:spacing w:val="-2"/>
                <w:sz w:val="20"/>
                <w:szCs w:val="20"/>
              </w:rPr>
              <w:t>Amortizacija</w:t>
            </w:r>
            <w:bookmarkEnd w:id="15"/>
          </w:p>
        </w:tc>
        <w:tc>
          <w:tcPr>
            <w:tcW w:w="544" w:type="pct"/>
            <w:vAlign w:val="bottom"/>
          </w:tcPr>
          <w:p w14:paraId="271BF912" w14:textId="77777777" w:rsidR="00C16603" w:rsidRPr="00CC7FB0" w:rsidRDefault="00C16603" w:rsidP="00C16603">
            <w:pPr>
              <w:tabs>
                <w:tab w:val="right" w:pos="1202"/>
              </w:tabs>
              <w:suppressAutoHyphens/>
              <w:autoSpaceDN w:val="0"/>
              <w:spacing w:line="301" w:lineRule="exact"/>
              <w:jc w:val="center"/>
              <w:outlineLvl w:val="0"/>
              <w:rPr>
                <w:rFonts w:ascii="Arial" w:eastAsia="Times New Roman" w:hAnsi="Arial" w:cs="Arial"/>
                <w:bCs/>
                <w:color w:val="000000" w:themeColor="text1"/>
                <w:spacing w:val="-2"/>
                <w:sz w:val="20"/>
                <w:szCs w:val="20"/>
              </w:rPr>
            </w:pPr>
            <w:bookmarkStart w:id="16" w:name="_Toc67326607"/>
            <w:r w:rsidRPr="00CC7FB0">
              <w:rPr>
                <w:rFonts w:ascii="Arial" w:eastAsia="Times New Roman" w:hAnsi="Arial" w:cs="Arial"/>
                <w:bCs/>
                <w:color w:val="000000" w:themeColor="text1"/>
                <w:spacing w:val="-2"/>
                <w:sz w:val="20"/>
                <w:szCs w:val="20"/>
              </w:rPr>
              <w:t>7 b)</w:t>
            </w:r>
            <w:bookmarkEnd w:id="16"/>
          </w:p>
        </w:tc>
        <w:tc>
          <w:tcPr>
            <w:tcW w:w="686" w:type="pct"/>
            <w:tcBorders>
              <w:top w:val="nil"/>
              <w:left w:val="nil"/>
              <w:right w:val="nil"/>
            </w:tcBorders>
            <w:shd w:val="clear" w:color="auto" w:fill="auto"/>
            <w:vAlign w:val="bottom"/>
          </w:tcPr>
          <w:p w14:paraId="0A525A97" w14:textId="727FEE72" w:rsidR="00C16603" w:rsidRPr="00F87D65" w:rsidRDefault="00C16603" w:rsidP="00C16603">
            <w:pPr>
              <w:suppressAutoHyphens/>
              <w:autoSpaceDN w:val="0"/>
              <w:spacing w:line="301" w:lineRule="exact"/>
              <w:jc w:val="right"/>
              <w:outlineLvl w:val="0"/>
              <w:rPr>
                <w:rFonts w:ascii="Arial" w:eastAsia="Times New Roman" w:hAnsi="Arial" w:cs="Arial"/>
                <w:color w:val="000000" w:themeColor="text1"/>
                <w:sz w:val="20"/>
                <w:szCs w:val="20"/>
              </w:rPr>
            </w:pPr>
            <w:r w:rsidRPr="00F87D65">
              <w:rPr>
                <w:rFonts w:ascii="Arial" w:hAnsi="Arial" w:cs="Arial"/>
                <w:sz w:val="20"/>
                <w:szCs w:val="20"/>
              </w:rPr>
              <w:t xml:space="preserve"> (490)</w:t>
            </w:r>
          </w:p>
        </w:tc>
        <w:tc>
          <w:tcPr>
            <w:tcW w:w="687" w:type="pct"/>
            <w:tcBorders>
              <w:top w:val="nil"/>
              <w:left w:val="nil"/>
              <w:right w:val="nil"/>
            </w:tcBorders>
            <w:shd w:val="clear" w:color="auto" w:fill="auto"/>
            <w:vAlign w:val="bottom"/>
          </w:tcPr>
          <w:p w14:paraId="52D00D25" w14:textId="30EB71FE" w:rsidR="00C16603" w:rsidRPr="00F87D65" w:rsidRDefault="00C16603" w:rsidP="00C16603">
            <w:pPr>
              <w:suppressAutoHyphens/>
              <w:autoSpaceDN w:val="0"/>
              <w:spacing w:line="301" w:lineRule="exact"/>
              <w:jc w:val="right"/>
              <w:outlineLvl w:val="0"/>
              <w:rPr>
                <w:rFonts w:ascii="Arial" w:eastAsia="Times New Roman" w:hAnsi="Arial" w:cs="Arial"/>
                <w:color w:val="000000" w:themeColor="text1"/>
                <w:sz w:val="20"/>
                <w:szCs w:val="20"/>
              </w:rPr>
            </w:pPr>
            <w:r w:rsidRPr="00F87D65">
              <w:rPr>
                <w:rFonts w:ascii="Arial" w:hAnsi="Arial" w:cs="Arial"/>
                <w:sz w:val="20"/>
                <w:szCs w:val="20"/>
              </w:rPr>
              <w:t xml:space="preserve"> (1.495)</w:t>
            </w:r>
          </w:p>
        </w:tc>
        <w:tc>
          <w:tcPr>
            <w:tcW w:w="687" w:type="pct"/>
            <w:tcBorders>
              <w:top w:val="nil"/>
              <w:left w:val="nil"/>
              <w:right w:val="nil"/>
            </w:tcBorders>
            <w:shd w:val="clear" w:color="auto" w:fill="auto"/>
            <w:vAlign w:val="bottom"/>
          </w:tcPr>
          <w:p w14:paraId="772EF071" w14:textId="77E62689" w:rsidR="00C16603" w:rsidRPr="00F43653" w:rsidRDefault="00C16603" w:rsidP="00C16603">
            <w:pPr>
              <w:suppressAutoHyphens/>
              <w:autoSpaceDN w:val="0"/>
              <w:spacing w:line="301" w:lineRule="exact"/>
              <w:jc w:val="right"/>
              <w:outlineLvl w:val="0"/>
              <w:rPr>
                <w:rFonts w:ascii="Arial" w:eastAsia="Times New Roman" w:hAnsi="Arial" w:cs="Arial"/>
                <w:color w:val="000000" w:themeColor="text1"/>
                <w:sz w:val="20"/>
                <w:szCs w:val="20"/>
              </w:rPr>
            </w:pPr>
            <w:r w:rsidRPr="00E84548">
              <w:rPr>
                <w:rFonts w:ascii="Arial" w:eastAsia="Times New Roman" w:hAnsi="Arial" w:cs="Arial"/>
                <w:color w:val="000000" w:themeColor="text1"/>
                <w:sz w:val="20"/>
                <w:szCs w:val="20"/>
              </w:rPr>
              <w:t>(356)</w:t>
            </w:r>
          </w:p>
        </w:tc>
        <w:tc>
          <w:tcPr>
            <w:tcW w:w="681" w:type="pct"/>
            <w:tcBorders>
              <w:top w:val="nil"/>
              <w:left w:val="nil"/>
              <w:right w:val="nil"/>
            </w:tcBorders>
            <w:shd w:val="clear" w:color="auto" w:fill="auto"/>
            <w:vAlign w:val="bottom"/>
          </w:tcPr>
          <w:p w14:paraId="5ECB1523" w14:textId="5970D484" w:rsidR="00C16603" w:rsidRPr="00F43653" w:rsidDel="008A118B" w:rsidRDefault="00C16603" w:rsidP="00C16603">
            <w:pPr>
              <w:suppressAutoHyphens/>
              <w:autoSpaceDN w:val="0"/>
              <w:spacing w:line="301" w:lineRule="exact"/>
              <w:jc w:val="right"/>
              <w:outlineLvl w:val="0"/>
              <w:rPr>
                <w:rFonts w:ascii="Arial" w:eastAsia="Times New Roman" w:hAnsi="Arial" w:cs="Arial"/>
                <w:color w:val="000000" w:themeColor="text1"/>
                <w:sz w:val="20"/>
                <w:szCs w:val="20"/>
              </w:rPr>
            </w:pPr>
            <w:r w:rsidRPr="00E84548">
              <w:rPr>
                <w:rFonts w:ascii="Arial" w:eastAsia="Times New Roman" w:hAnsi="Arial" w:cs="Arial"/>
                <w:color w:val="000000" w:themeColor="text1"/>
                <w:sz w:val="20"/>
                <w:szCs w:val="20"/>
              </w:rPr>
              <w:t xml:space="preserve"> (1.050)</w:t>
            </w:r>
          </w:p>
        </w:tc>
      </w:tr>
      <w:tr w:rsidR="00C16603" w:rsidRPr="00F43653" w14:paraId="17E190BF" w14:textId="77777777" w:rsidTr="00F87D65">
        <w:trPr>
          <w:trHeight w:val="255"/>
        </w:trPr>
        <w:tc>
          <w:tcPr>
            <w:tcW w:w="1715" w:type="pct"/>
            <w:vAlign w:val="bottom"/>
          </w:tcPr>
          <w:p w14:paraId="28C03CAC" w14:textId="77777777" w:rsidR="00C16603" w:rsidRPr="00F43653" w:rsidRDefault="00C16603" w:rsidP="00C16603">
            <w:pPr>
              <w:tabs>
                <w:tab w:val="right" w:pos="1202"/>
              </w:tabs>
              <w:suppressAutoHyphens/>
              <w:autoSpaceDN w:val="0"/>
              <w:spacing w:line="301" w:lineRule="exact"/>
              <w:outlineLvl w:val="0"/>
              <w:rPr>
                <w:rFonts w:ascii="Arial" w:eastAsia="Times New Roman" w:hAnsi="Arial" w:cs="Arial"/>
                <w:bCs/>
                <w:color w:val="000000" w:themeColor="text1"/>
                <w:spacing w:val="-2"/>
                <w:sz w:val="20"/>
                <w:szCs w:val="20"/>
              </w:rPr>
            </w:pPr>
            <w:bookmarkStart w:id="17" w:name="_Toc67326610"/>
            <w:r w:rsidRPr="00F43653">
              <w:rPr>
                <w:rFonts w:ascii="Arial" w:eastAsia="Times New Roman" w:hAnsi="Arial" w:cs="Arial"/>
                <w:bCs/>
                <w:color w:val="000000" w:themeColor="text1"/>
                <w:spacing w:val="-2"/>
                <w:sz w:val="20"/>
                <w:szCs w:val="20"/>
              </w:rPr>
              <w:t>Ostali troškovi</w:t>
            </w:r>
            <w:bookmarkEnd w:id="17"/>
          </w:p>
        </w:tc>
        <w:tc>
          <w:tcPr>
            <w:tcW w:w="544" w:type="pct"/>
            <w:vAlign w:val="bottom"/>
          </w:tcPr>
          <w:p w14:paraId="71E4547E" w14:textId="77777777" w:rsidR="00C16603" w:rsidRPr="00CC7FB0" w:rsidRDefault="00C16603" w:rsidP="00C16603">
            <w:pPr>
              <w:tabs>
                <w:tab w:val="right" w:pos="1202"/>
              </w:tabs>
              <w:suppressAutoHyphens/>
              <w:autoSpaceDN w:val="0"/>
              <w:spacing w:line="301" w:lineRule="exact"/>
              <w:jc w:val="center"/>
              <w:outlineLvl w:val="0"/>
              <w:rPr>
                <w:rFonts w:ascii="Arial" w:eastAsia="Times New Roman" w:hAnsi="Arial" w:cs="Arial"/>
                <w:bCs/>
                <w:color w:val="000000" w:themeColor="text1"/>
                <w:spacing w:val="-2"/>
                <w:sz w:val="20"/>
                <w:szCs w:val="20"/>
              </w:rPr>
            </w:pPr>
            <w:bookmarkStart w:id="18" w:name="_Toc67326611"/>
            <w:r w:rsidRPr="00CC7FB0">
              <w:rPr>
                <w:rFonts w:ascii="Arial" w:eastAsia="Times New Roman" w:hAnsi="Arial" w:cs="Arial"/>
                <w:bCs/>
                <w:color w:val="000000" w:themeColor="text1"/>
                <w:spacing w:val="-2"/>
                <w:sz w:val="20"/>
                <w:szCs w:val="20"/>
              </w:rPr>
              <w:t>7 c)</w:t>
            </w:r>
            <w:bookmarkEnd w:id="18"/>
          </w:p>
        </w:tc>
        <w:tc>
          <w:tcPr>
            <w:tcW w:w="686" w:type="pct"/>
            <w:tcBorders>
              <w:top w:val="nil"/>
              <w:left w:val="nil"/>
              <w:right w:val="nil"/>
            </w:tcBorders>
            <w:shd w:val="clear" w:color="auto" w:fill="auto"/>
            <w:vAlign w:val="bottom"/>
          </w:tcPr>
          <w:p w14:paraId="43DAAD08" w14:textId="5380EA60" w:rsidR="00C16603" w:rsidRPr="00F87D65" w:rsidRDefault="00C16603" w:rsidP="00C16603">
            <w:pPr>
              <w:suppressAutoHyphens/>
              <w:autoSpaceDN w:val="0"/>
              <w:spacing w:line="301" w:lineRule="exact"/>
              <w:jc w:val="right"/>
              <w:outlineLvl w:val="0"/>
              <w:rPr>
                <w:rFonts w:ascii="Arial" w:eastAsia="Times New Roman" w:hAnsi="Arial" w:cs="Arial"/>
                <w:color w:val="000000" w:themeColor="text1"/>
                <w:sz w:val="20"/>
                <w:szCs w:val="20"/>
              </w:rPr>
            </w:pPr>
            <w:r w:rsidRPr="00F87D65">
              <w:rPr>
                <w:rFonts w:ascii="Arial" w:hAnsi="Arial" w:cs="Arial"/>
                <w:sz w:val="20"/>
                <w:szCs w:val="20"/>
              </w:rPr>
              <w:t xml:space="preserve"> (1.910)</w:t>
            </w:r>
          </w:p>
        </w:tc>
        <w:tc>
          <w:tcPr>
            <w:tcW w:w="687" w:type="pct"/>
            <w:tcBorders>
              <w:top w:val="nil"/>
              <w:left w:val="nil"/>
              <w:right w:val="nil"/>
            </w:tcBorders>
            <w:shd w:val="clear" w:color="auto" w:fill="auto"/>
            <w:vAlign w:val="bottom"/>
          </w:tcPr>
          <w:p w14:paraId="7D950360" w14:textId="13AC3B32" w:rsidR="00C16603" w:rsidRPr="00F87D65" w:rsidRDefault="00C16603" w:rsidP="00C16603">
            <w:pPr>
              <w:suppressAutoHyphens/>
              <w:autoSpaceDN w:val="0"/>
              <w:spacing w:line="301" w:lineRule="exact"/>
              <w:jc w:val="right"/>
              <w:outlineLvl w:val="0"/>
              <w:rPr>
                <w:rFonts w:ascii="Arial" w:eastAsia="Times New Roman" w:hAnsi="Arial" w:cs="Arial"/>
                <w:color w:val="000000" w:themeColor="text1"/>
                <w:sz w:val="20"/>
                <w:szCs w:val="20"/>
              </w:rPr>
            </w:pPr>
            <w:r w:rsidRPr="00F87D65">
              <w:rPr>
                <w:rFonts w:ascii="Arial" w:hAnsi="Arial" w:cs="Arial"/>
                <w:sz w:val="20"/>
                <w:szCs w:val="20"/>
              </w:rPr>
              <w:t xml:space="preserve"> (7.505)</w:t>
            </w:r>
          </w:p>
        </w:tc>
        <w:tc>
          <w:tcPr>
            <w:tcW w:w="687" w:type="pct"/>
            <w:tcBorders>
              <w:top w:val="nil"/>
              <w:left w:val="nil"/>
              <w:right w:val="nil"/>
            </w:tcBorders>
            <w:shd w:val="clear" w:color="auto" w:fill="auto"/>
            <w:vAlign w:val="bottom"/>
          </w:tcPr>
          <w:p w14:paraId="5F8A66F3" w14:textId="7F28D85F" w:rsidR="00C16603" w:rsidRPr="00F43653" w:rsidRDefault="00C16603" w:rsidP="00C16603">
            <w:pPr>
              <w:suppressAutoHyphens/>
              <w:autoSpaceDN w:val="0"/>
              <w:spacing w:line="301" w:lineRule="exact"/>
              <w:jc w:val="right"/>
              <w:outlineLvl w:val="0"/>
              <w:rPr>
                <w:rFonts w:ascii="Arial" w:eastAsia="Times New Roman" w:hAnsi="Arial" w:cs="Arial"/>
                <w:color w:val="000000" w:themeColor="text1"/>
                <w:sz w:val="20"/>
                <w:szCs w:val="20"/>
              </w:rPr>
            </w:pPr>
            <w:r w:rsidRPr="00E84548">
              <w:rPr>
                <w:rFonts w:ascii="Arial" w:eastAsia="Times New Roman" w:hAnsi="Arial" w:cs="Arial"/>
                <w:color w:val="000000" w:themeColor="text1"/>
                <w:sz w:val="20"/>
                <w:szCs w:val="20"/>
              </w:rPr>
              <w:t>(1.890)</w:t>
            </w:r>
          </w:p>
        </w:tc>
        <w:tc>
          <w:tcPr>
            <w:tcW w:w="681" w:type="pct"/>
            <w:tcBorders>
              <w:top w:val="nil"/>
              <w:left w:val="nil"/>
              <w:right w:val="nil"/>
            </w:tcBorders>
            <w:shd w:val="clear" w:color="auto" w:fill="auto"/>
            <w:vAlign w:val="bottom"/>
          </w:tcPr>
          <w:p w14:paraId="5B9C57CF" w14:textId="26FCF0F4" w:rsidR="00C16603" w:rsidRPr="00F43653" w:rsidDel="008A118B" w:rsidRDefault="00C16603" w:rsidP="00C16603">
            <w:pPr>
              <w:suppressAutoHyphens/>
              <w:autoSpaceDN w:val="0"/>
              <w:spacing w:line="301" w:lineRule="exact"/>
              <w:jc w:val="right"/>
              <w:outlineLvl w:val="0"/>
              <w:rPr>
                <w:rFonts w:ascii="Arial" w:eastAsia="Times New Roman" w:hAnsi="Arial" w:cs="Arial"/>
                <w:color w:val="000000" w:themeColor="text1"/>
                <w:sz w:val="20"/>
                <w:szCs w:val="20"/>
              </w:rPr>
            </w:pPr>
            <w:r w:rsidRPr="00E84548">
              <w:rPr>
                <w:rFonts w:ascii="Arial" w:eastAsia="Times New Roman" w:hAnsi="Arial" w:cs="Arial"/>
                <w:color w:val="000000" w:themeColor="text1"/>
                <w:sz w:val="20"/>
                <w:szCs w:val="20"/>
              </w:rPr>
              <w:t xml:space="preserve"> (6.763)</w:t>
            </w:r>
          </w:p>
        </w:tc>
      </w:tr>
      <w:tr w:rsidR="004B3292" w:rsidRPr="00F43653" w14:paraId="7AD341A0" w14:textId="77777777" w:rsidTr="00F87D65">
        <w:trPr>
          <w:trHeight w:val="255"/>
        </w:trPr>
        <w:tc>
          <w:tcPr>
            <w:tcW w:w="1715" w:type="pct"/>
            <w:vAlign w:val="bottom"/>
          </w:tcPr>
          <w:p w14:paraId="7E4906BD" w14:textId="6EB2BD49" w:rsidR="004B3292" w:rsidRPr="00F43653" w:rsidRDefault="004B3292" w:rsidP="004B3292">
            <w:pPr>
              <w:tabs>
                <w:tab w:val="right" w:pos="1202"/>
              </w:tabs>
              <w:suppressAutoHyphens/>
              <w:autoSpaceDN w:val="0"/>
              <w:spacing w:line="301" w:lineRule="exact"/>
              <w:outlineLvl w:val="0"/>
              <w:rPr>
                <w:rFonts w:ascii="Arial" w:eastAsia="Times New Roman" w:hAnsi="Arial" w:cs="Arial"/>
                <w:bCs/>
                <w:color w:val="000000" w:themeColor="text1"/>
                <w:spacing w:val="-2"/>
                <w:sz w:val="20"/>
                <w:szCs w:val="20"/>
              </w:rPr>
            </w:pPr>
            <w:r>
              <w:rPr>
                <w:rFonts w:ascii="Arial" w:eastAsia="Times New Roman" w:hAnsi="Arial" w:cs="Arial"/>
                <w:bCs/>
                <w:color w:val="000000" w:themeColor="text1"/>
                <w:spacing w:val="-2"/>
                <w:sz w:val="20"/>
                <w:szCs w:val="20"/>
              </w:rPr>
              <w:t>Trošak subvencije na teret poslovanja HBOR-a</w:t>
            </w:r>
          </w:p>
        </w:tc>
        <w:tc>
          <w:tcPr>
            <w:tcW w:w="544" w:type="pct"/>
            <w:vAlign w:val="bottom"/>
          </w:tcPr>
          <w:p w14:paraId="52948D26" w14:textId="77777777" w:rsidR="004B3292" w:rsidRPr="00CC7FB0" w:rsidRDefault="004B3292" w:rsidP="004B3292">
            <w:pPr>
              <w:tabs>
                <w:tab w:val="right" w:pos="1202"/>
              </w:tabs>
              <w:suppressAutoHyphens/>
              <w:autoSpaceDN w:val="0"/>
              <w:spacing w:line="301" w:lineRule="exact"/>
              <w:jc w:val="center"/>
              <w:outlineLvl w:val="0"/>
              <w:rPr>
                <w:rFonts w:ascii="Arial" w:eastAsia="Times New Roman" w:hAnsi="Arial" w:cs="Arial"/>
                <w:bCs/>
                <w:color w:val="000000" w:themeColor="text1"/>
                <w:spacing w:val="-2"/>
                <w:sz w:val="20"/>
                <w:szCs w:val="20"/>
              </w:rPr>
            </w:pPr>
          </w:p>
        </w:tc>
        <w:tc>
          <w:tcPr>
            <w:tcW w:w="686" w:type="pct"/>
            <w:tcBorders>
              <w:top w:val="nil"/>
              <w:left w:val="nil"/>
              <w:right w:val="nil"/>
            </w:tcBorders>
            <w:shd w:val="clear" w:color="auto" w:fill="auto"/>
            <w:vAlign w:val="bottom"/>
          </w:tcPr>
          <w:p w14:paraId="27F7DAD3" w14:textId="28F09325" w:rsidR="004B3292" w:rsidRPr="00F87D65" w:rsidRDefault="004B3292" w:rsidP="004B3292">
            <w:pPr>
              <w:suppressAutoHyphens/>
              <w:autoSpaceDN w:val="0"/>
              <w:spacing w:line="301" w:lineRule="exact"/>
              <w:jc w:val="right"/>
              <w:outlineLvl w:val="0"/>
              <w:rPr>
                <w:rFonts w:ascii="Arial" w:eastAsia="Times New Roman" w:hAnsi="Arial" w:cs="Arial"/>
                <w:color w:val="000000" w:themeColor="text1"/>
                <w:sz w:val="20"/>
                <w:szCs w:val="20"/>
              </w:rPr>
            </w:pPr>
            <w:r w:rsidRPr="00F87D65">
              <w:rPr>
                <w:rFonts w:ascii="Arial" w:hAnsi="Arial" w:cs="Arial"/>
                <w:sz w:val="20"/>
                <w:szCs w:val="20"/>
              </w:rPr>
              <w:t xml:space="preserve"> (129)</w:t>
            </w:r>
          </w:p>
        </w:tc>
        <w:tc>
          <w:tcPr>
            <w:tcW w:w="687" w:type="pct"/>
            <w:tcBorders>
              <w:top w:val="nil"/>
              <w:left w:val="nil"/>
              <w:right w:val="nil"/>
            </w:tcBorders>
            <w:shd w:val="clear" w:color="auto" w:fill="auto"/>
            <w:vAlign w:val="bottom"/>
          </w:tcPr>
          <w:p w14:paraId="6A929955" w14:textId="3049CA09" w:rsidR="004B3292" w:rsidRPr="00F87D65" w:rsidRDefault="004B3292" w:rsidP="004B3292">
            <w:pPr>
              <w:suppressAutoHyphens/>
              <w:autoSpaceDN w:val="0"/>
              <w:spacing w:line="301" w:lineRule="exact"/>
              <w:jc w:val="right"/>
              <w:outlineLvl w:val="0"/>
              <w:rPr>
                <w:rFonts w:ascii="Arial" w:eastAsia="Times New Roman" w:hAnsi="Arial" w:cs="Arial"/>
                <w:color w:val="000000" w:themeColor="text1"/>
                <w:sz w:val="20"/>
                <w:szCs w:val="20"/>
              </w:rPr>
            </w:pPr>
            <w:r w:rsidRPr="00F87D65">
              <w:rPr>
                <w:rFonts w:ascii="Arial" w:hAnsi="Arial" w:cs="Arial"/>
                <w:sz w:val="20"/>
                <w:szCs w:val="20"/>
              </w:rPr>
              <w:t xml:space="preserve"> (443)</w:t>
            </w:r>
          </w:p>
        </w:tc>
        <w:tc>
          <w:tcPr>
            <w:tcW w:w="687" w:type="pct"/>
            <w:tcBorders>
              <w:top w:val="nil"/>
              <w:left w:val="nil"/>
              <w:right w:val="nil"/>
            </w:tcBorders>
            <w:shd w:val="clear" w:color="auto" w:fill="auto"/>
            <w:vAlign w:val="bottom"/>
          </w:tcPr>
          <w:p w14:paraId="15113310" w14:textId="43800337" w:rsidR="004B3292" w:rsidRPr="00E84548" w:rsidRDefault="004B3292" w:rsidP="004B3292">
            <w:pPr>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w:t>
            </w:r>
          </w:p>
        </w:tc>
        <w:tc>
          <w:tcPr>
            <w:tcW w:w="681" w:type="pct"/>
            <w:tcBorders>
              <w:top w:val="nil"/>
              <w:left w:val="nil"/>
              <w:right w:val="nil"/>
            </w:tcBorders>
            <w:shd w:val="clear" w:color="auto" w:fill="auto"/>
            <w:vAlign w:val="bottom"/>
          </w:tcPr>
          <w:p w14:paraId="4FE0B6D7" w14:textId="70475A07" w:rsidR="004B3292" w:rsidRPr="00E84548" w:rsidRDefault="004B3292" w:rsidP="004B3292">
            <w:pPr>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w:t>
            </w:r>
          </w:p>
        </w:tc>
      </w:tr>
      <w:tr w:rsidR="004B3292" w:rsidRPr="00F43653" w14:paraId="3C8E78EA" w14:textId="77777777" w:rsidTr="00F87D65">
        <w:trPr>
          <w:trHeight w:val="392"/>
        </w:trPr>
        <w:tc>
          <w:tcPr>
            <w:tcW w:w="1715" w:type="pct"/>
            <w:vAlign w:val="bottom"/>
          </w:tcPr>
          <w:p w14:paraId="437A9C1E" w14:textId="535A2FBE" w:rsidR="004B3292" w:rsidRPr="00F43653" w:rsidRDefault="004B3292" w:rsidP="004B3292">
            <w:pPr>
              <w:tabs>
                <w:tab w:val="right" w:pos="1202"/>
              </w:tabs>
              <w:suppressAutoHyphens/>
              <w:autoSpaceDN w:val="0"/>
              <w:spacing w:line="301" w:lineRule="exact"/>
              <w:outlineLvl w:val="0"/>
              <w:rPr>
                <w:rFonts w:ascii="Arial" w:eastAsia="Times New Roman" w:hAnsi="Arial" w:cs="Arial"/>
                <w:bCs/>
                <w:color w:val="000000" w:themeColor="text1"/>
                <w:spacing w:val="-2"/>
                <w:sz w:val="20"/>
                <w:szCs w:val="20"/>
              </w:rPr>
            </w:pPr>
            <w:bookmarkStart w:id="19" w:name="_Toc67326614"/>
            <w:r w:rsidRPr="0038386E">
              <w:rPr>
                <w:rFonts w:ascii="Arial" w:eastAsia="Times New Roman" w:hAnsi="Arial" w:cs="Arial"/>
                <w:bCs/>
                <w:color w:val="000000" w:themeColor="text1"/>
                <w:spacing w:val="-2"/>
                <w:sz w:val="20"/>
                <w:szCs w:val="20"/>
              </w:rPr>
              <w:t>Dobitak od</w:t>
            </w:r>
            <w:r w:rsidRPr="00F43653">
              <w:rPr>
                <w:rFonts w:ascii="Arial" w:eastAsia="Times New Roman" w:hAnsi="Arial" w:cs="Arial"/>
                <w:bCs/>
                <w:color w:val="000000" w:themeColor="text1"/>
                <w:spacing w:val="-2"/>
                <w:sz w:val="20"/>
                <w:szCs w:val="20"/>
              </w:rPr>
              <w:t xml:space="preserve"> umanjenja vrijednosti i rezerviranja</w:t>
            </w:r>
            <w:bookmarkEnd w:id="19"/>
          </w:p>
        </w:tc>
        <w:tc>
          <w:tcPr>
            <w:tcW w:w="544" w:type="pct"/>
            <w:vAlign w:val="bottom"/>
          </w:tcPr>
          <w:p w14:paraId="51C41598" w14:textId="77777777" w:rsidR="004B3292" w:rsidRPr="00CC7FB0" w:rsidRDefault="004B3292" w:rsidP="004B3292">
            <w:pPr>
              <w:tabs>
                <w:tab w:val="right" w:pos="1202"/>
              </w:tabs>
              <w:suppressAutoHyphens/>
              <w:autoSpaceDN w:val="0"/>
              <w:spacing w:line="301" w:lineRule="exact"/>
              <w:jc w:val="center"/>
              <w:outlineLvl w:val="0"/>
              <w:rPr>
                <w:rFonts w:ascii="Arial" w:eastAsia="Times New Roman" w:hAnsi="Arial" w:cs="Arial"/>
                <w:bCs/>
                <w:color w:val="000000" w:themeColor="text1"/>
                <w:spacing w:val="-2"/>
                <w:sz w:val="20"/>
                <w:szCs w:val="20"/>
              </w:rPr>
            </w:pPr>
            <w:r w:rsidRPr="00CC7FB0">
              <w:rPr>
                <w:rFonts w:ascii="Arial" w:eastAsia="Times New Roman" w:hAnsi="Arial" w:cs="Arial"/>
                <w:bCs/>
                <w:color w:val="000000" w:themeColor="text1"/>
                <w:spacing w:val="-2"/>
                <w:sz w:val="20"/>
                <w:szCs w:val="20"/>
              </w:rPr>
              <w:t>8</w:t>
            </w:r>
          </w:p>
        </w:tc>
        <w:tc>
          <w:tcPr>
            <w:tcW w:w="686" w:type="pct"/>
            <w:tcBorders>
              <w:top w:val="nil"/>
              <w:left w:val="nil"/>
              <w:right w:val="nil"/>
            </w:tcBorders>
            <w:shd w:val="clear" w:color="auto" w:fill="auto"/>
            <w:vAlign w:val="bottom"/>
          </w:tcPr>
          <w:p w14:paraId="51065B97" w14:textId="19D87BB6" w:rsidR="004B3292" w:rsidRPr="00F87D65" w:rsidRDefault="004B3292" w:rsidP="004B3292">
            <w:pPr>
              <w:suppressAutoHyphens/>
              <w:autoSpaceDN w:val="0"/>
              <w:spacing w:line="301" w:lineRule="exact"/>
              <w:jc w:val="right"/>
              <w:outlineLvl w:val="0"/>
              <w:rPr>
                <w:rFonts w:ascii="Arial" w:hAnsi="Arial" w:cs="Arial"/>
                <w:sz w:val="20"/>
                <w:szCs w:val="20"/>
              </w:rPr>
            </w:pPr>
            <w:r w:rsidRPr="00F87D65">
              <w:rPr>
                <w:rFonts w:ascii="Arial" w:hAnsi="Arial" w:cs="Arial"/>
                <w:sz w:val="20"/>
                <w:szCs w:val="20"/>
              </w:rPr>
              <w:t xml:space="preserve"> (8.798)</w:t>
            </w:r>
          </w:p>
        </w:tc>
        <w:tc>
          <w:tcPr>
            <w:tcW w:w="687" w:type="pct"/>
            <w:tcBorders>
              <w:top w:val="nil"/>
              <w:left w:val="nil"/>
              <w:right w:val="nil"/>
            </w:tcBorders>
            <w:shd w:val="clear" w:color="auto" w:fill="auto"/>
            <w:vAlign w:val="bottom"/>
          </w:tcPr>
          <w:p w14:paraId="608350A5" w14:textId="210EB0B0" w:rsidR="004B3292" w:rsidRPr="00F87D65" w:rsidRDefault="004B3292" w:rsidP="004B3292">
            <w:pPr>
              <w:suppressAutoHyphens/>
              <w:autoSpaceDN w:val="0"/>
              <w:spacing w:line="301" w:lineRule="exact"/>
              <w:jc w:val="right"/>
              <w:outlineLvl w:val="0"/>
              <w:rPr>
                <w:rFonts w:ascii="Arial" w:hAnsi="Arial" w:cs="Arial"/>
                <w:sz w:val="20"/>
                <w:szCs w:val="20"/>
              </w:rPr>
            </w:pPr>
            <w:r w:rsidRPr="00F87D65">
              <w:rPr>
                <w:rFonts w:ascii="Arial" w:hAnsi="Arial" w:cs="Arial"/>
                <w:sz w:val="20"/>
                <w:szCs w:val="20"/>
              </w:rPr>
              <w:t xml:space="preserve"> 6.491 </w:t>
            </w:r>
          </w:p>
        </w:tc>
        <w:tc>
          <w:tcPr>
            <w:tcW w:w="687" w:type="pct"/>
            <w:tcBorders>
              <w:top w:val="nil"/>
              <w:left w:val="nil"/>
              <w:right w:val="nil"/>
            </w:tcBorders>
            <w:shd w:val="clear" w:color="auto" w:fill="auto"/>
            <w:vAlign w:val="bottom"/>
          </w:tcPr>
          <w:p w14:paraId="6A7D5B3B" w14:textId="39DF6625" w:rsidR="004B3292" w:rsidRPr="00E84548" w:rsidRDefault="004B3292" w:rsidP="004B3292">
            <w:pPr>
              <w:suppressAutoHyphens/>
              <w:autoSpaceDN w:val="0"/>
              <w:spacing w:line="301" w:lineRule="exact"/>
              <w:jc w:val="right"/>
              <w:outlineLvl w:val="0"/>
              <w:rPr>
                <w:rFonts w:ascii="Arial" w:hAnsi="Arial" w:cs="Arial"/>
                <w:sz w:val="20"/>
                <w:szCs w:val="20"/>
              </w:rPr>
            </w:pPr>
            <w:r w:rsidRPr="00E84548">
              <w:rPr>
                <w:rFonts w:ascii="Arial" w:hAnsi="Arial" w:cs="Arial"/>
                <w:sz w:val="20"/>
                <w:szCs w:val="20"/>
              </w:rPr>
              <w:t xml:space="preserve"> 7.895 </w:t>
            </w:r>
          </w:p>
        </w:tc>
        <w:tc>
          <w:tcPr>
            <w:tcW w:w="681" w:type="pct"/>
            <w:tcBorders>
              <w:top w:val="nil"/>
              <w:left w:val="nil"/>
              <w:right w:val="nil"/>
            </w:tcBorders>
            <w:shd w:val="clear" w:color="auto" w:fill="auto"/>
            <w:vAlign w:val="bottom"/>
          </w:tcPr>
          <w:p w14:paraId="6621DFAA" w14:textId="212968FB" w:rsidR="004B3292" w:rsidRPr="00E84548" w:rsidRDefault="004B3292" w:rsidP="004B3292">
            <w:pPr>
              <w:suppressAutoHyphens/>
              <w:autoSpaceDN w:val="0"/>
              <w:spacing w:line="301" w:lineRule="exact"/>
              <w:jc w:val="right"/>
              <w:outlineLvl w:val="0"/>
              <w:rPr>
                <w:rFonts w:ascii="Arial" w:hAnsi="Arial" w:cs="Arial"/>
                <w:sz w:val="20"/>
                <w:szCs w:val="20"/>
              </w:rPr>
            </w:pPr>
            <w:r w:rsidRPr="00E84548">
              <w:rPr>
                <w:rFonts w:ascii="Arial" w:hAnsi="Arial" w:cs="Arial"/>
                <w:sz w:val="20"/>
                <w:szCs w:val="20"/>
              </w:rPr>
              <w:t xml:space="preserve"> 17.036 </w:t>
            </w:r>
          </w:p>
        </w:tc>
      </w:tr>
      <w:tr w:rsidR="004B3292" w:rsidRPr="00F43653" w14:paraId="30AC2FCD" w14:textId="77777777" w:rsidTr="00F87D65">
        <w:trPr>
          <w:trHeight w:val="314"/>
        </w:trPr>
        <w:tc>
          <w:tcPr>
            <w:tcW w:w="1715" w:type="pct"/>
            <w:vAlign w:val="bottom"/>
          </w:tcPr>
          <w:p w14:paraId="40C18206" w14:textId="77777777" w:rsidR="004B3292" w:rsidRPr="00F43653" w:rsidRDefault="004B3292" w:rsidP="004B3292">
            <w:pPr>
              <w:tabs>
                <w:tab w:val="right" w:pos="1202"/>
              </w:tabs>
              <w:suppressAutoHyphens/>
              <w:autoSpaceDN w:val="0"/>
              <w:spacing w:line="340" w:lineRule="exact"/>
              <w:outlineLvl w:val="0"/>
              <w:rPr>
                <w:rFonts w:ascii="Arial" w:eastAsia="Times New Roman" w:hAnsi="Arial" w:cs="Arial"/>
                <w:b/>
                <w:bCs/>
                <w:color w:val="000000" w:themeColor="text1"/>
                <w:sz w:val="20"/>
                <w:szCs w:val="20"/>
              </w:rPr>
            </w:pPr>
            <w:bookmarkStart w:id="20" w:name="_Toc67326618"/>
            <w:r w:rsidRPr="00F43653">
              <w:rPr>
                <w:rFonts w:ascii="Arial" w:eastAsia="Times New Roman" w:hAnsi="Arial" w:cs="Arial"/>
                <w:b/>
                <w:bCs/>
                <w:color w:val="000000" w:themeColor="text1"/>
                <w:sz w:val="20"/>
                <w:szCs w:val="20"/>
              </w:rPr>
              <w:t>Dobit prije oporezivanja</w:t>
            </w:r>
            <w:bookmarkEnd w:id="20"/>
          </w:p>
        </w:tc>
        <w:tc>
          <w:tcPr>
            <w:tcW w:w="544" w:type="pct"/>
            <w:vAlign w:val="bottom"/>
          </w:tcPr>
          <w:p w14:paraId="5AA5F1ED" w14:textId="77777777" w:rsidR="004B3292" w:rsidRPr="00F43653" w:rsidRDefault="004B3292" w:rsidP="004B3292">
            <w:pPr>
              <w:tabs>
                <w:tab w:val="right" w:pos="1202"/>
              </w:tabs>
              <w:suppressAutoHyphens/>
              <w:autoSpaceDN w:val="0"/>
              <w:spacing w:line="340" w:lineRule="exact"/>
              <w:jc w:val="center"/>
              <w:outlineLvl w:val="0"/>
              <w:rPr>
                <w:rFonts w:ascii="Arial" w:eastAsia="Times New Roman" w:hAnsi="Arial" w:cs="Arial"/>
                <w:b/>
                <w:bCs/>
                <w:color w:val="000000" w:themeColor="text1"/>
                <w:sz w:val="20"/>
                <w:szCs w:val="20"/>
                <w:highlight w:val="yellow"/>
              </w:rPr>
            </w:pPr>
          </w:p>
        </w:tc>
        <w:tc>
          <w:tcPr>
            <w:tcW w:w="686" w:type="pct"/>
            <w:tcBorders>
              <w:top w:val="single" w:sz="2" w:space="0" w:color="auto"/>
              <w:bottom w:val="single" w:sz="12" w:space="0" w:color="auto"/>
            </w:tcBorders>
            <w:vAlign w:val="bottom"/>
          </w:tcPr>
          <w:p w14:paraId="72DF9A77" w14:textId="4B9D12EC" w:rsidR="004B3292" w:rsidRPr="00F87D65" w:rsidRDefault="004B3292" w:rsidP="004B3292">
            <w:pPr>
              <w:tabs>
                <w:tab w:val="right" w:pos="1202"/>
              </w:tabs>
              <w:suppressAutoHyphens/>
              <w:autoSpaceDN w:val="0"/>
              <w:spacing w:line="340" w:lineRule="exact"/>
              <w:jc w:val="right"/>
              <w:outlineLvl w:val="0"/>
              <w:rPr>
                <w:rFonts w:ascii="Arial" w:hAnsi="Arial" w:cs="Arial"/>
                <w:b/>
                <w:bCs/>
                <w:sz w:val="20"/>
                <w:szCs w:val="20"/>
              </w:rPr>
            </w:pPr>
            <w:r w:rsidRPr="00F87D65">
              <w:rPr>
                <w:rFonts w:ascii="Arial" w:hAnsi="Arial" w:cs="Arial"/>
                <w:b/>
                <w:bCs/>
                <w:sz w:val="20"/>
                <w:szCs w:val="20"/>
              </w:rPr>
              <w:t xml:space="preserve"> 5.211 </w:t>
            </w:r>
          </w:p>
        </w:tc>
        <w:tc>
          <w:tcPr>
            <w:tcW w:w="687" w:type="pct"/>
            <w:tcBorders>
              <w:top w:val="single" w:sz="2" w:space="0" w:color="auto"/>
              <w:bottom w:val="single" w:sz="12" w:space="0" w:color="auto"/>
            </w:tcBorders>
            <w:vAlign w:val="bottom"/>
          </w:tcPr>
          <w:p w14:paraId="7A1124AC" w14:textId="63EBD068" w:rsidR="004B3292" w:rsidRPr="00F87D65" w:rsidRDefault="004B3292" w:rsidP="004B3292">
            <w:pPr>
              <w:tabs>
                <w:tab w:val="right" w:pos="1202"/>
              </w:tabs>
              <w:suppressAutoHyphens/>
              <w:autoSpaceDN w:val="0"/>
              <w:spacing w:line="340" w:lineRule="exact"/>
              <w:jc w:val="right"/>
              <w:outlineLvl w:val="0"/>
              <w:rPr>
                <w:rFonts w:ascii="Arial" w:hAnsi="Arial" w:cs="Arial"/>
                <w:b/>
                <w:bCs/>
                <w:sz w:val="20"/>
                <w:szCs w:val="20"/>
              </w:rPr>
            </w:pPr>
            <w:r w:rsidRPr="00F87D65">
              <w:rPr>
                <w:rFonts w:ascii="Arial" w:hAnsi="Arial" w:cs="Arial"/>
                <w:b/>
                <w:bCs/>
                <w:sz w:val="20"/>
                <w:szCs w:val="20"/>
              </w:rPr>
              <w:t xml:space="preserve"> 43.700 </w:t>
            </w:r>
          </w:p>
        </w:tc>
        <w:tc>
          <w:tcPr>
            <w:tcW w:w="687" w:type="pct"/>
            <w:tcBorders>
              <w:top w:val="single" w:sz="2" w:space="0" w:color="auto"/>
              <w:bottom w:val="single" w:sz="12" w:space="0" w:color="auto"/>
            </w:tcBorders>
            <w:vAlign w:val="bottom"/>
          </w:tcPr>
          <w:p w14:paraId="2B3EF175" w14:textId="2B7D5031" w:rsidR="004B3292" w:rsidRPr="00E84548" w:rsidRDefault="004B3292" w:rsidP="004B3292">
            <w:pPr>
              <w:tabs>
                <w:tab w:val="right" w:pos="1202"/>
              </w:tabs>
              <w:suppressAutoHyphens/>
              <w:autoSpaceDN w:val="0"/>
              <w:spacing w:line="340" w:lineRule="exact"/>
              <w:jc w:val="right"/>
              <w:outlineLvl w:val="0"/>
              <w:rPr>
                <w:rFonts w:ascii="Arial" w:hAnsi="Arial" w:cs="Arial"/>
                <w:b/>
                <w:bCs/>
                <w:sz w:val="20"/>
                <w:szCs w:val="20"/>
              </w:rPr>
            </w:pPr>
            <w:r w:rsidRPr="00E84548">
              <w:rPr>
                <w:rFonts w:ascii="Arial" w:hAnsi="Arial" w:cs="Arial"/>
                <w:b/>
                <w:bCs/>
                <w:sz w:val="20"/>
                <w:szCs w:val="20"/>
              </w:rPr>
              <w:t xml:space="preserve"> 20.990 </w:t>
            </w:r>
          </w:p>
        </w:tc>
        <w:tc>
          <w:tcPr>
            <w:tcW w:w="681" w:type="pct"/>
            <w:tcBorders>
              <w:top w:val="single" w:sz="2" w:space="0" w:color="auto"/>
              <w:bottom w:val="single" w:sz="12" w:space="0" w:color="auto"/>
            </w:tcBorders>
            <w:vAlign w:val="bottom"/>
          </w:tcPr>
          <w:p w14:paraId="28C1DF9C" w14:textId="488E7543" w:rsidR="004B3292" w:rsidRPr="00E84548" w:rsidRDefault="004B3292" w:rsidP="004B3292">
            <w:pPr>
              <w:tabs>
                <w:tab w:val="right" w:pos="1202"/>
              </w:tabs>
              <w:suppressAutoHyphens/>
              <w:autoSpaceDN w:val="0"/>
              <w:spacing w:line="340" w:lineRule="exact"/>
              <w:jc w:val="right"/>
              <w:outlineLvl w:val="0"/>
              <w:rPr>
                <w:rFonts w:ascii="Arial" w:hAnsi="Arial" w:cs="Arial"/>
                <w:b/>
                <w:bCs/>
                <w:sz w:val="20"/>
                <w:szCs w:val="20"/>
              </w:rPr>
            </w:pPr>
            <w:r w:rsidRPr="00E84548">
              <w:rPr>
                <w:rFonts w:ascii="Arial" w:hAnsi="Arial" w:cs="Arial"/>
                <w:b/>
                <w:bCs/>
                <w:sz w:val="20"/>
                <w:szCs w:val="20"/>
              </w:rPr>
              <w:t xml:space="preserve"> 50.768 </w:t>
            </w:r>
          </w:p>
        </w:tc>
      </w:tr>
      <w:tr w:rsidR="00C4234E" w:rsidRPr="00F43653" w14:paraId="3AED4767" w14:textId="77777777" w:rsidTr="00F87D65">
        <w:trPr>
          <w:trHeight w:val="397"/>
        </w:trPr>
        <w:tc>
          <w:tcPr>
            <w:tcW w:w="1715" w:type="pct"/>
            <w:vAlign w:val="bottom"/>
          </w:tcPr>
          <w:p w14:paraId="58B293ED" w14:textId="77777777" w:rsidR="00C4234E" w:rsidRPr="00F43653" w:rsidRDefault="00C4234E" w:rsidP="00C4234E">
            <w:pPr>
              <w:tabs>
                <w:tab w:val="right" w:pos="1202"/>
              </w:tabs>
              <w:suppressAutoHyphens/>
              <w:autoSpaceDN w:val="0"/>
              <w:spacing w:line="340" w:lineRule="exact"/>
              <w:outlineLvl w:val="0"/>
              <w:rPr>
                <w:rFonts w:ascii="Arial" w:eastAsia="Times New Roman" w:hAnsi="Arial" w:cs="Arial"/>
                <w:color w:val="000000" w:themeColor="text1"/>
                <w:sz w:val="20"/>
                <w:szCs w:val="20"/>
              </w:rPr>
            </w:pPr>
            <w:bookmarkStart w:id="21" w:name="_Toc67326621"/>
            <w:r w:rsidRPr="00F43653">
              <w:rPr>
                <w:rFonts w:ascii="Arial" w:eastAsia="Times New Roman" w:hAnsi="Arial" w:cs="Arial"/>
                <w:color w:val="000000" w:themeColor="text1"/>
                <w:sz w:val="20"/>
                <w:szCs w:val="20"/>
              </w:rPr>
              <w:t>Porez na dobit</w:t>
            </w:r>
            <w:bookmarkEnd w:id="21"/>
          </w:p>
        </w:tc>
        <w:tc>
          <w:tcPr>
            <w:tcW w:w="544" w:type="pct"/>
            <w:vAlign w:val="bottom"/>
          </w:tcPr>
          <w:p w14:paraId="55E1DDBD" w14:textId="77777777" w:rsidR="00C4234E" w:rsidRPr="00F43653" w:rsidRDefault="00C4234E" w:rsidP="00C4234E">
            <w:pPr>
              <w:tabs>
                <w:tab w:val="right" w:pos="1202"/>
              </w:tabs>
              <w:suppressAutoHyphens/>
              <w:autoSpaceDN w:val="0"/>
              <w:spacing w:line="340" w:lineRule="exact"/>
              <w:jc w:val="center"/>
              <w:outlineLvl w:val="0"/>
              <w:rPr>
                <w:rFonts w:ascii="Arial" w:eastAsia="Times New Roman" w:hAnsi="Arial" w:cs="Arial"/>
                <w:color w:val="000000" w:themeColor="text1"/>
                <w:sz w:val="20"/>
                <w:szCs w:val="20"/>
                <w:highlight w:val="yellow"/>
              </w:rPr>
            </w:pPr>
          </w:p>
        </w:tc>
        <w:tc>
          <w:tcPr>
            <w:tcW w:w="686" w:type="pct"/>
            <w:vAlign w:val="bottom"/>
          </w:tcPr>
          <w:p w14:paraId="3575BBF8" w14:textId="1DD6F1F4" w:rsidR="00C4234E" w:rsidRPr="00F87D65" w:rsidRDefault="00C4234E" w:rsidP="00C4234E">
            <w:pPr>
              <w:tabs>
                <w:tab w:val="right" w:pos="1202"/>
              </w:tabs>
              <w:suppressAutoHyphens/>
              <w:autoSpaceDN w:val="0"/>
              <w:spacing w:line="340" w:lineRule="exact"/>
              <w:jc w:val="right"/>
              <w:outlineLvl w:val="0"/>
              <w:rPr>
                <w:rFonts w:ascii="Arial" w:eastAsia="Times New Roman" w:hAnsi="Arial" w:cs="Arial"/>
                <w:color w:val="000000" w:themeColor="text1"/>
                <w:sz w:val="20"/>
                <w:szCs w:val="20"/>
              </w:rPr>
            </w:pPr>
          </w:p>
        </w:tc>
        <w:tc>
          <w:tcPr>
            <w:tcW w:w="687" w:type="pct"/>
            <w:vAlign w:val="bottom"/>
          </w:tcPr>
          <w:p w14:paraId="12689DC2" w14:textId="200C95AE" w:rsidR="00C4234E" w:rsidRPr="00F87D65" w:rsidRDefault="00C4234E" w:rsidP="00C4234E">
            <w:pPr>
              <w:tabs>
                <w:tab w:val="right" w:pos="1202"/>
              </w:tabs>
              <w:suppressAutoHyphens/>
              <w:autoSpaceDN w:val="0"/>
              <w:spacing w:line="340" w:lineRule="exact"/>
              <w:jc w:val="right"/>
              <w:outlineLvl w:val="0"/>
              <w:rPr>
                <w:rFonts w:ascii="Arial" w:eastAsia="Times New Roman" w:hAnsi="Arial" w:cs="Arial"/>
                <w:color w:val="000000" w:themeColor="text1"/>
                <w:sz w:val="20"/>
                <w:szCs w:val="20"/>
              </w:rPr>
            </w:pPr>
          </w:p>
        </w:tc>
        <w:tc>
          <w:tcPr>
            <w:tcW w:w="687" w:type="pct"/>
            <w:vAlign w:val="bottom"/>
          </w:tcPr>
          <w:p w14:paraId="5504720D" w14:textId="514A0773" w:rsidR="00C4234E" w:rsidRPr="00F43653" w:rsidRDefault="00C4234E" w:rsidP="00C4234E">
            <w:pPr>
              <w:tabs>
                <w:tab w:val="right" w:pos="1202"/>
              </w:tabs>
              <w:suppressAutoHyphens/>
              <w:autoSpaceDN w:val="0"/>
              <w:spacing w:line="340" w:lineRule="exact"/>
              <w:jc w:val="right"/>
              <w:outlineLvl w:val="0"/>
              <w:rPr>
                <w:rFonts w:ascii="Arial" w:eastAsia="Times New Roman" w:hAnsi="Arial" w:cs="Arial"/>
                <w:color w:val="000000" w:themeColor="text1"/>
                <w:sz w:val="20"/>
                <w:szCs w:val="20"/>
              </w:rPr>
            </w:pPr>
          </w:p>
        </w:tc>
        <w:tc>
          <w:tcPr>
            <w:tcW w:w="681" w:type="pct"/>
            <w:vAlign w:val="bottom"/>
          </w:tcPr>
          <w:p w14:paraId="2698471F" w14:textId="4DF87FC2" w:rsidR="00C4234E" w:rsidRPr="00F43653" w:rsidRDefault="00C4234E" w:rsidP="00C4234E">
            <w:pPr>
              <w:tabs>
                <w:tab w:val="right" w:pos="1202"/>
              </w:tabs>
              <w:suppressAutoHyphens/>
              <w:autoSpaceDN w:val="0"/>
              <w:spacing w:line="340" w:lineRule="exact"/>
              <w:jc w:val="right"/>
              <w:outlineLvl w:val="0"/>
              <w:rPr>
                <w:rFonts w:ascii="Arial" w:eastAsia="Times New Roman" w:hAnsi="Arial" w:cs="Arial"/>
                <w:color w:val="000000" w:themeColor="text1"/>
                <w:sz w:val="20"/>
                <w:szCs w:val="20"/>
              </w:rPr>
            </w:pPr>
          </w:p>
        </w:tc>
      </w:tr>
      <w:tr w:rsidR="00F87D65" w:rsidRPr="00F43653" w14:paraId="76BF3E71" w14:textId="77777777" w:rsidTr="00F87D65">
        <w:trPr>
          <w:trHeight w:val="302"/>
        </w:trPr>
        <w:tc>
          <w:tcPr>
            <w:tcW w:w="1715" w:type="pct"/>
            <w:vAlign w:val="bottom"/>
          </w:tcPr>
          <w:p w14:paraId="3BD91DC6" w14:textId="77777777" w:rsidR="00F87D65" w:rsidRPr="00F43653" w:rsidRDefault="00F87D65" w:rsidP="00F87D65">
            <w:pPr>
              <w:tabs>
                <w:tab w:val="right" w:pos="1202"/>
              </w:tabs>
              <w:suppressAutoHyphens/>
              <w:autoSpaceDN w:val="0"/>
              <w:spacing w:line="340" w:lineRule="exact"/>
              <w:outlineLvl w:val="0"/>
              <w:rPr>
                <w:rFonts w:ascii="Arial" w:eastAsia="Times New Roman" w:hAnsi="Arial" w:cs="Arial"/>
                <w:b/>
                <w:bCs/>
                <w:color w:val="000000" w:themeColor="text1"/>
                <w:sz w:val="20"/>
                <w:szCs w:val="20"/>
              </w:rPr>
            </w:pPr>
            <w:bookmarkStart w:id="22" w:name="_Toc67326625"/>
            <w:r w:rsidRPr="00F43653">
              <w:rPr>
                <w:rFonts w:ascii="Arial" w:eastAsia="Times New Roman" w:hAnsi="Arial" w:cs="Arial"/>
                <w:b/>
                <w:bCs/>
                <w:color w:val="000000" w:themeColor="text1"/>
                <w:sz w:val="20"/>
                <w:szCs w:val="20"/>
              </w:rPr>
              <w:t>Dobit tekuće</w:t>
            </w:r>
            <w:bookmarkEnd w:id="22"/>
            <w:r w:rsidRPr="00F43653">
              <w:rPr>
                <w:rFonts w:ascii="Arial" w:eastAsia="Times New Roman" w:hAnsi="Arial" w:cs="Arial"/>
                <w:b/>
                <w:bCs/>
                <w:color w:val="000000" w:themeColor="text1"/>
                <w:sz w:val="20"/>
                <w:szCs w:val="20"/>
              </w:rPr>
              <w:t>g razdoblja</w:t>
            </w:r>
          </w:p>
        </w:tc>
        <w:tc>
          <w:tcPr>
            <w:tcW w:w="544" w:type="pct"/>
            <w:vAlign w:val="bottom"/>
          </w:tcPr>
          <w:p w14:paraId="1358093A" w14:textId="77777777" w:rsidR="00F87D65" w:rsidRPr="00F43653" w:rsidRDefault="00F87D65" w:rsidP="00F87D65">
            <w:pPr>
              <w:tabs>
                <w:tab w:val="right" w:pos="1202"/>
              </w:tabs>
              <w:suppressAutoHyphens/>
              <w:autoSpaceDN w:val="0"/>
              <w:spacing w:line="340" w:lineRule="exact"/>
              <w:jc w:val="center"/>
              <w:outlineLvl w:val="0"/>
              <w:rPr>
                <w:rFonts w:ascii="Arial" w:eastAsia="Times New Roman" w:hAnsi="Arial" w:cs="Arial"/>
                <w:b/>
                <w:bCs/>
                <w:color w:val="000000" w:themeColor="text1"/>
                <w:sz w:val="20"/>
                <w:szCs w:val="20"/>
              </w:rPr>
            </w:pPr>
          </w:p>
        </w:tc>
        <w:tc>
          <w:tcPr>
            <w:tcW w:w="686" w:type="pct"/>
            <w:tcBorders>
              <w:top w:val="single" w:sz="2" w:space="0" w:color="auto"/>
              <w:bottom w:val="single" w:sz="12" w:space="0" w:color="auto"/>
            </w:tcBorders>
            <w:vAlign w:val="bottom"/>
          </w:tcPr>
          <w:p w14:paraId="4FF3C786" w14:textId="7A978E21" w:rsidR="00F87D65" w:rsidRPr="00F87D65" w:rsidRDefault="00F87D65" w:rsidP="00F87D65">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F87D65">
              <w:rPr>
                <w:rFonts w:ascii="Arial" w:hAnsi="Arial" w:cs="Arial"/>
                <w:b/>
                <w:bCs/>
                <w:sz w:val="20"/>
                <w:szCs w:val="20"/>
              </w:rPr>
              <w:t xml:space="preserve"> 5.211 </w:t>
            </w:r>
          </w:p>
        </w:tc>
        <w:tc>
          <w:tcPr>
            <w:tcW w:w="687" w:type="pct"/>
            <w:tcBorders>
              <w:top w:val="single" w:sz="2" w:space="0" w:color="auto"/>
              <w:bottom w:val="single" w:sz="12" w:space="0" w:color="auto"/>
            </w:tcBorders>
            <w:vAlign w:val="bottom"/>
          </w:tcPr>
          <w:p w14:paraId="7F57BBEE" w14:textId="233492FB" w:rsidR="00F87D65" w:rsidRPr="00F87D65" w:rsidRDefault="00F87D65" w:rsidP="00F87D65">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F87D65">
              <w:rPr>
                <w:rFonts w:ascii="Arial" w:hAnsi="Arial" w:cs="Arial"/>
                <w:b/>
                <w:bCs/>
                <w:sz w:val="20"/>
                <w:szCs w:val="20"/>
              </w:rPr>
              <w:t xml:space="preserve"> 43.700 </w:t>
            </w:r>
          </w:p>
        </w:tc>
        <w:tc>
          <w:tcPr>
            <w:tcW w:w="687" w:type="pct"/>
            <w:tcBorders>
              <w:top w:val="single" w:sz="2" w:space="0" w:color="auto"/>
              <w:bottom w:val="single" w:sz="12" w:space="0" w:color="auto"/>
            </w:tcBorders>
            <w:vAlign w:val="bottom"/>
          </w:tcPr>
          <w:p w14:paraId="3366B6CF" w14:textId="5666FC41" w:rsidR="00F87D65" w:rsidRPr="00F43653" w:rsidRDefault="00F87D65" w:rsidP="00F87D65">
            <w:pPr>
              <w:tabs>
                <w:tab w:val="right" w:pos="1202"/>
              </w:tabs>
              <w:suppressAutoHyphens/>
              <w:autoSpaceDN w:val="0"/>
              <w:spacing w:line="340" w:lineRule="exact"/>
              <w:jc w:val="right"/>
              <w:outlineLvl w:val="0"/>
              <w:rPr>
                <w:rFonts w:ascii="Arial" w:eastAsia="Times New Roman" w:hAnsi="Arial" w:cs="Arial"/>
                <w:b/>
                <w:color w:val="000000" w:themeColor="text1"/>
                <w:sz w:val="20"/>
                <w:szCs w:val="20"/>
              </w:rPr>
            </w:pPr>
            <w:r w:rsidRPr="00E84548">
              <w:rPr>
                <w:rFonts w:ascii="Arial" w:hAnsi="Arial" w:cs="Arial"/>
                <w:b/>
                <w:bCs/>
                <w:sz w:val="20"/>
                <w:szCs w:val="20"/>
              </w:rPr>
              <w:t xml:space="preserve"> 20.990 </w:t>
            </w:r>
          </w:p>
        </w:tc>
        <w:tc>
          <w:tcPr>
            <w:tcW w:w="681" w:type="pct"/>
            <w:tcBorders>
              <w:top w:val="single" w:sz="2" w:space="0" w:color="auto"/>
              <w:bottom w:val="single" w:sz="12" w:space="0" w:color="auto"/>
            </w:tcBorders>
            <w:vAlign w:val="bottom"/>
          </w:tcPr>
          <w:p w14:paraId="067FFAA5" w14:textId="30B31EA8" w:rsidR="00F87D65" w:rsidRPr="00F43653" w:rsidRDefault="00F87D65" w:rsidP="00F87D65">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E84548">
              <w:rPr>
                <w:rFonts w:ascii="Arial" w:hAnsi="Arial" w:cs="Arial"/>
                <w:b/>
                <w:bCs/>
                <w:sz w:val="20"/>
                <w:szCs w:val="20"/>
              </w:rPr>
              <w:t xml:space="preserve"> 50.768 </w:t>
            </w:r>
          </w:p>
        </w:tc>
      </w:tr>
      <w:tr w:rsidR="00C4234E" w:rsidRPr="00F43653" w14:paraId="5AD1297B" w14:textId="77777777" w:rsidTr="00F87D65">
        <w:trPr>
          <w:trHeight w:val="61"/>
        </w:trPr>
        <w:tc>
          <w:tcPr>
            <w:tcW w:w="1715" w:type="pct"/>
            <w:vAlign w:val="bottom"/>
          </w:tcPr>
          <w:p w14:paraId="21CB5F3A" w14:textId="77777777" w:rsidR="00C4234E" w:rsidRPr="00F43653" w:rsidRDefault="00C4234E" w:rsidP="00C4234E">
            <w:pPr>
              <w:keepNext/>
              <w:keepLines/>
              <w:tabs>
                <w:tab w:val="left" w:pos="1202"/>
              </w:tabs>
              <w:suppressAutoHyphens/>
              <w:autoSpaceDN w:val="0"/>
              <w:spacing w:line="100" w:lineRule="exact"/>
              <w:rPr>
                <w:rFonts w:ascii="Arial" w:eastAsia="Times New Roman" w:hAnsi="Arial" w:cs="Arial"/>
                <w:b/>
                <w:color w:val="000000" w:themeColor="text1"/>
                <w:position w:val="4"/>
                <w:sz w:val="20"/>
                <w:szCs w:val="20"/>
                <w:u w:val="thick"/>
              </w:rPr>
            </w:pPr>
          </w:p>
        </w:tc>
        <w:tc>
          <w:tcPr>
            <w:tcW w:w="544" w:type="pct"/>
            <w:vAlign w:val="bottom"/>
          </w:tcPr>
          <w:p w14:paraId="1210F663" w14:textId="77777777" w:rsidR="00C4234E" w:rsidRPr="00F43653" w:rsidRDefault="00C4234E" w:rsidP="00C4234E">
            <w:pPr>
              <w:keepNext/>
              <w:keepLines/>
              <w:tabs>
                <w:tab w:val="left" w:pos="1202"/>
              </w:tabs>
              <w:suppressAutoHyphens/>
              <w:autoSpaceDN w:val="0"/>
              <w:spacing w:line="100" w:lineRule="exact"/>
              <w:jc w:val="center"/>
              <w:rPr>
                <w:rFonts w:ascii="Arial" w:eastAsia="Times New Roman" w:hAnsi="Arial" w:cs="Arial"/>
                <w:b/>
                <w:color w:val="000000" w:themeColor="text1"/>
                <w:position w:val="4"/>
                <w:sz w:val="20"/>
                <w:szCs w:val="20"/>
                <w:u w:val="thick"/>
              </w:rPr>
            </w:pPr>
          </w:p>
        </w:tc>
        <w:tc>
          <w:tcPr>
            <w:tcW w:w="686" w:type="pct"/>
            <w:tcBorders>
              <w:top w:val="single" w:sz="12" w:space="0" w:color="auto"/>
            </w:tcBorders>
            <w:vAlign w:val="bottom"/>
          </w:tcPr>
          <w:p w14:paraId="1544435B" w14:textId="77777777" w:rsidR="00C4234E" w:rsidRPr="00F87D65" w:rsidRDefault="00C4234E" w:rsidP="00C4234E">
            <w:pPr>
              <w:suppressAutoHyphens/>
              <w:autoSpaceDN w:val="0"/>
              <w:spacing w:line="301" w:lineRule="exact"/>
              <w:jc w:val="right"/>
              <w:outlineLvl w:val="0"/>
              <w:rPr>
                <w:rFonts w:ascii="Arial" w:eastAsia="Times New Roman" w:hAnsi="Arial" w:cs="Arial"/>
                <w:color w:val="000000" w:themeColor="text1"/>
                <w:sz w:val="20"/>
                <w:szCs w:val="20"/>
              </w:rPr>
            </w:pPr>
          </w:p>
        </w:tc>
        <w:tc>
          <w:tcPr>
            <w:tcW w:w="687" w:type="pct"/>
            <w:tcBorders>
              <w:top w:val="single" w:sz="12" w:space="0" w:color="auto"/>
            </w:tcBorders>
            <w:vAlign w:val="bottom"/>
          </w:tcPr>
          <w:p w14:paraId="7AFB20C3" w14:textId="563A4A61" w:rsidR="00C4234E" w:rsidRPr="00F87D65" w:rsidRDefault="00C4234E" w:rsidP="00C4234E">
            <w:pPr>
              <w:suppressAutoHyphens/>
              <w:autoSpaceDN w:val="0"/>
              <w:spacing w:line="301" w:lineRule="exact"/>
              <w:jc w:val="right"/>
              <w:outlineLvl w:val="0"/>
              <w:rPr>
                <w:rFonts w:ascii="Arial" w:eastAsia="Times New Roman" w:hAnsi="Arial" w:cs="Arial"/>
                <w:color w:val="000000" w:themeColor="text1"/>
                <w:sz w:val="20"/>
                <w:szCs w:val="20"/>
              </w:rPr>
            </w:pPr>
          </w:p>
        </w:tc>
        <w:tc>
          <w:tcPr>
            <w:tcW w:w="687" w:type="pct"/>
            <w:tcBorders>
              <w:top w:val="single" w:sz="12" w:space="0" w:color="auto"/>
            </w:tcBorders>
            <w:vAlign w:val="bottom"/>
          </w:tcPr>
          <w:p w14:paraId="2FC8DDED" w14:textId="63D19983" w:rsidR="00C4234E" w:rsidRPr="00F43653" w:rsidRDefault="00C4234E" w:rsidP="00C4234E">
            <w:pPr>
              <w:suppressAutoHyphens/>
              <w:autoSpaceDN w:val="0"/>
              <w:spacing w:line="301" w:lineRule="exact"/>
              <w:jc w:val="right"/>
              <w:outlineLvl w:val="0"/>
              <w:rPr>
                <w:rFonts w:ascii="Arial" w:eastAsia="Times New Roman" w:hAnsi="Arial" w:cs="Arial"/>
                <w:color w:val="000000" w:themeColor="text1"/>
                <w:sz w:val="20"/>
                <w:szCs w:val="20"/>
              </w:rPr>
            </w:pPr>
          </w:p>
        </w:tc>
        <w:tc>
          <w:tcPr>
            <w:tcW w:w="681" w:type="pct"/>
            <w:tcBorders>
              <w:top w:val="single" w:sz="12" w:space="0" w:color="auto"/>
            </w:tcBorders>
            <w:vAlign w:val="bottom"/>
          </w:tcPr>
          <w:p w14:paraId="47F69C26" w14:textId="77777777" w:rsidR="00C4234E" w:rsidRPr="00F43653" w:rsidRDefault="00C4234E" w:rsidP="00C4234E">
            <w:pPr>
              <w:keepNext/>
              <w:keepLines/>
              <w:suppressAutoHyphens/>
              <w:autoSpaceDN w:val="0"/>
              <w:spacing w:line="100" w:lineRule="exact"/>
              <w:jc w:val="right"/>
              <w:rPr>
                <w:rFonts w:ascii="Arial" w:eastAsia="Times New Roman" w:hAnsi="Arial" w:cs="Arial"/>
                <w:b/>
                <w:color w:val="000000" w:themeColor="text1"/>
                <w:position w:val="4"/>
                <w:sz w:val="20"/>
                <w:szCs w:val="20"/>
                <w:u w:val="thick"/>
              </w:rPr>
            </w:pPr>
          </w:p>
        </w:tc>
      </w:tr>
      <w:tr w:rsidR="00C4234E" w:rsidRPr="00F43653" w14:paraId="59931F50" w14:textId="77777777" w:rsidTr="00F87D65">
        <w:trPr>
          <w:trHeight w:val="61"/>
        </w:trPr>
        <w:tc>
          <w:tcPr>
            <w:tcW w:w="1715" w:type="pct"/>
            <w:vAlign w:val="bottom"/>
          </w:tcPr>
          <w:p w14:paraId="25313F0F" w14:textId="77777777" w:rsidR="00C4234E" w:rsidRPr="00F43653" w:rsidRDefault="00C4234E" w:rsidP="00C4234E">
            <w:pPr>
              <w:keepNext/>
              <w:keepLines/>
              <w:tabs>
                <w:tab w:val="left" w:pos="1202"/>
              </w:tabs>
              <w:suppressAutoHyphens/>
              <w:autoSpaceDN w:val="0"/>
              <w:spacing w:line="240" w:lineRule="exact"/>
              <w:rPr>
                <w:rFonts w:ascii="Arial" w:eastAsia="Times New Roman" w:hAnsi="Arial" w:cs="Arial"/>
                <w:b/>
                <w:color w:val="000000" w:themeColor="text1"/>
                <w:position w:val="4"/>
                <w:sz w:val="20"/>
                <w:szCs w:val="20"/>
                <w:u w:val="thick"/>
              </w:rPr>
            </w:pPr>
          </w:p>
        </w:tc>
        <w:tc>
          <w:tcPr>
            <w:tcW w:w="544" w:type="pct"/>
            <w:vAlign w:val="bottom"/>
          </w:tcPr>
          <w:p w14:paraId="6D4CE116" w14:textId="77777777" w:rsidR="00C4234E" w:rsidRPr="00F43653" w:rsidRDefault="00C4234E" w:rsidP="00C4234E">
            <w:pPr>
              <w:keepNext/>
              <w:keepLines/>
              <w:tabs>
                <w:tab w:val="left" w:pos="1202"/>
              </w:tabs>
              <w:suppressAutoHyphens/>
              <w:autoSpaceDN w:val="0"/>
              <w:spacing w:line="240" w:lineRule="exact"/>
              <w:jc w:val="center"/>
              <w:rPr>
                <w:rFonts w:ascii="Arial" w:eastAsia="Times New Roman" w:hAnsi="Arial" w:cs="Arial"/>
                <w:b/>
                <w:color w:val="000000" w:themeColor="text1"/>
                <w:position w:val="4"/>
                <w:sz w:val="20"/>
                <w:szCs w:val="20"/>
                <w:u w:val="thick"/>
              </w:rPr>
            </w:pPr>
          </w:p>
        </w:tc>
        <w:tc>
          <w:tcPr>
            <w:tcW w:w="686" w:type="pct"/>
            <w:vAlign w:val="bottom"/>
          </w:tcPr>
          <w:p w14:paraId="75070A17" w14:textId="77777777" w:rsidR="00C4234E" w:rsidRPr="00F87D65" w:rsidRDefault="00C4234E" w:rsidP="00C4234E">
            <w:pPr>
              <w:suppressAutoHyphens/>
              <w:autoSpaceDN w:val="0"/>
              <w:spacing w:line="301" w:lineRule="exact"/>
              <w:jc w:val="right"/>
              <w:outlineLvl w:val="0"/>
              <w:rPr>
                <w:rFonts w:ascii="Arial" w:eastAsia="Times New Roman" w:hAnsi="Arial" w:cs="Arial"/>
                <w:color w:val="000000" w:themeColor="text1"/>
                <w:sz w:val="20"/>
                <w:szCs w:val="20"/>
              </w:rPr>
            </w:pPr>
          </w:p>
        </w:tc>
        <w:tc>
          <w:tcPr>
            <w:tcW w:w="687" w:type="pct"/>
            <w:vAlign w:val="bottom"/>
          </w:tcPr>
          <w:p w14:paraId="101DD569" w14:textId="76D8C4E9" w:rsidR="00C4234E" w:rsidRPr="00F87D65" w:rsidRDefault="00C4234E" w:rsidP="00C4234E">
            <w:pPr>
              <w:suppressAutoHyphens/>
              <w:autoSpaceDN w:val="0"/>
              <w:spacing w:line="301" w:lineRule="exact"/>
              <w:jc w:val="right"/>
              <w:outlineLvl w:val="0"/>
              <w:rPr>
                <w:rFonts w:ascii="Arial" w:eastAsia="Times New Roman" w:hAnsi="Arial" w:cs="Arial"/>
                <w:color w:val="000000" w:themeColor="text1"/>
                <w:sz w:val="20"/>
                <w:szCs w:val="20"/>
              </w:rPr>
            </w:pPr>
          </w:p>
        </w:tc>
        <w:tc>
          <w:tcPr>
            <w:tcW w:w="687" w:type="pct"/>
            <w:vAlign w:val="bottom"/>
          </w:tcPr>
          <w:p w14:paraId="39640380" w14:textId="0F24C171" w:rsidR="00C4234E" w:rsidRPr="00F43653" w:rsidRDefault="00C4234E" w:rsidP="00C4234E">
            <w:pPr>
              <w:suppressAutoHyphens/>
              <w:autoSpaceDN w:val="0"/>
              <w:spacing w:line="301" w:lineRule="exact"/>
              <w:jc w:val="right"/>
              <w:outlineLvl w:val="0"/>
              <w:rPr>
                <w:rFonts w:ascii="Arial" w:eastAsia="Times New Roman" w:hAnsi="Arial" w:cs="Arial"/>
                <w:color w:val="000000" w:themeColor="text1"/>
                <w:sz w:val="20"/>
                <w:szCs w:val="20"/>
              </w:rPr>
            </w:pPr>
          </w:p>
        </w:tc>
        <w:tc>
          <w:tcPr>
            <w:tcW w:w="681" w:type="pct"/>
            <w:vAlign w:val="bottom"/>
          </w:tcPr>
          <w:p w14:paraId="4CE71EBD" w14:textId="77777777" w:rsidR="00C4234E" w:rsidRPr="00F43653" w:rsidRDefault="00C4234E" w:rsidP="00C4234E">
            <w:pPr>
              <w:keepNext/>
              <w:keepLines/>
              <w:suppressAutoHyphens/>
              <w:autoSpaceDN w:val="0"/>
              <w:spacing w:line="240" w:lineRule="exact"/>
              <w:jc w:val="right"/>
              <w:rPr>
                <w:rFonts w:ascii="Arial" w:eastAsia="Times New Roman" w:hAnsi="Arial" w:cs="Arial"/>
                <w:b/>
                <w:color w:val="000000" w:themeColor="text1"/>
                <w:position w:val="4"/>
                <w:sz w:val="20"/>
                <w:szCs w:val="20"/>
                <w:u w:val="thick"/>
              </w:rPr>
            </w:pPr>
          </w:p>
        </w:tc>
      </w:tr>
      <w:tr w:rsidR="00C4234E" w:rsidRPr="00F43653" w14:paraId="3B68C6A8" w14:textId="77777777" w:rsidTr="00F87D65">
        <w:trPr>
          <w:trHeight w:val="61"/>
        </w:trPr>
        <w:tc>
          <w:tcPr>
            <w:tcW w:w="1715" w:type="pct"/>
            <w:vAlign w:val="bottom"/>
          </w:tcPr>
          <w:p w14:paraId="7C25140E" w14:textId="77777777" w:rsidR="00C4234E" w:rsidRPr="00F43653" w:rsidRDefault="00C4234E" w:rsidP="00C4234E">
            <w:pPr>
              <w:keepNext/>
              <w:keepLines/>
              <w:tabs>
                <w:tab w:val="left" w:pos="1202"/>
              </w:tabs>
              <w:suppressAutoHyphens/>
              <w:autoSpaceDN w:val="0"/>
              <w:spacing w:line="301" w:lineRule="exact"/>
              <w:rPr>
                <w:rFonts w:ascii="Arial" w:eastAsia="Times New Roman" w:hAnsi="Arial" w:cs="Arial"/>
                <w:b/>
                <w:color w:val="000000" w:themeColor="text1"/>
                <w:position w:val="4"/>
                <w:sz w:val="20"/>
                <w:szCs w:val="20"/>
              </w:rPr>
            </w:pPr>
            <w:r w:rsidRPr="00F43653">
              <w:rPr>
                <w:rFonts w:ascii="Arial" w:eastAsia="Times New Roman" w:hAnsi="Arial" w:cs="Arial"/>
                <w:b/>
                <w:color w:val="000000" w:themeColor="text1"/>
                <w:position w:val="4"/>
                <w:sz w:val="20"/>
                <w:szCs w:val="20"/>
              </w:rPr>
              <w:t>Dobit za raspodjelu:</w:t>
            </w:r>
          </w:p>
        </w:tc>
        <w:tc>
          <w:tcPr>
            <w:tcW w:w="544" w:type="pct"/>
            <w:vAlign w:val="bottom"/>
          </w:tcPr>
          <w:p w14:paraId="357F4EAE" w14:textId="77777777" w:rsidR="00C4234E" w:rsidRPr="00F43653" w:rsidRDefault="00C4234E" w:rsidP="00C4234E">
            <w:pPr>
              <w:keepNext/>
              <w:keepLines/>
              <w:tabs>
                <w:tab w:val="left" w:pos="1202"/>
              </w:tabs>
              <w:suppressAutoHyphens/>
              <w:autoSpaceDN w:val="0"/>
              <w:spacing w:line="301" w:lineRule="exact"/>
              <w:jc w:val="center"/>
              <w:rPr>
                <w:rFonts w:ascii="Arial" w:eastAsia="Times New Roman" w:hAnsi="Arial" w:cs="Arial"/>
                <w:b/>
                <w:color w:val="000000" w:themeColor="text1"/>
                <w:position w:val="4"/>
                <w:sz w:val="20"/>
                <w:szCs w:val="20"/>
                <w:u w:val="thick"/>
              </w:rPr>
            </w:pPr>
          </w:p>
        </w:tc>
        <w:tc>
          <w:tcPr>
            <w:tcW w:w="686" w:type="pct"/>
            <w:tcBorders>
              <w:bottom w:val="single" w:sz="4" w:space="0" w:color="auto"/>
            </w:tcBorders>
            <w:vAlign w:val="bottom"/>
          </w:tcPr>
          <w:p w14:paraId="68EE265A" w14:textId="77777777" w:rsidR="00C4234E" w:rsidRPr="00F87D65" w:rsidRDefault="00C4234E" w:rsidP="00C4234E">
            <w:pPr>
              <w:suppressAutoHyphens/>
              <w:autoSpaceDN w:val="0"/>
              <w:spacing w:line="301" w:lineRule="exact"/>
              <w:jc w:val="right"/>
              <w:outlineLvl w:val="0"/>
              <w:rPr>
                <w:rFonts w:ascii="Arial" w:eastAsia="Times New Roman" w:hAnsi="Arial" w:cs="Arial"/>
                <w:color w:val="000000" w:themeColor="text1"/>
                <w:sz w:val="20"/>
                <w:szCs w:val="20"/>
              </w:rPr>
            </w:pPr>
          </w:p>
        </w:tc>
        <w:tc>
          <w:tcPr>
            <w:tcW w:w="687" w:type="pct"/>
            <w:tcBorders>
              <w:bottom w:val="single" w:sz="4" w:space="0" w:color="auto"/>
            </w:tcBorders>
            <w:vAlign w:val="bottom"/>
          </w:tcPr>
          <w:p w14:paraId="44A060F2" w14:textId="2A1B007B" w:rsidR="00C4234E" w:rsidRPr="00F87D65" w:rsidRDefault="00C4234E" w:rsidP="00C4234E">
            <w:pPr>
              <w:suppressAutoHyphens/>
              <w:autoSpaceDN w:val="0"/>
              <w:spacing w:line="301" w:lineRule="exact"/>
              <w:jc w:val="right"/>
              <w:outlineLvl w:val="0"/>
              <w:rPr>
                <w:rFonts w:ascii="Arial" w:eastAsia="Times New Roman" w:hAnsi="Arial" w:cs="Arial"/>
                <w:color w:val="000000" w:themeColor="text1"/>
                <w:sz w:val="20"/>
                <w:szCs w:val="20"/>
              </w:rPr>
            </w:pPr>
          </w:p>
        </w:tc>
        <w:tc>
          <w:tcPr>
            <w:tcW w:w="687" w:type="pct"/>
            <w:tcBorders>
              <w:bottom w:val="single" w:sz="4" w:space="0" w:color="auto"/>
            </w:tcBorders>
            <w:vAlign w:val="bottom"/>
          </w:tcPr>
          <w:p w14:paraId="6FFA2AC5" w14:textId="6390C9F3" w:rsidR="00C4234E" w:rsidRPr="00F43653" w:rsidRDefault="00C4234E" w:rsidP="00C4234E">
            <w:pPr>
              <w:suppressAutoHyphens/>
              <w:autoSpaceDN w:val="0"/>
              <w:spacing w:line="301" w:lineRule="exact"/>
              <w:jc w:val="right"/>
              <w:outlineLvl w:val="0"/>
              <w:rPr>
                <w:rFonts w:ascii="Arial" w:eastAsia="Times New Roman" w:hAnsi="Arial" w:cs="Arial"/>
                <w:color w:val="000000" w:themeColor="text1"/>
                <w:sz w:val="20"/>
                <w:szCs w:val="20"/>
              </w:rPr>
            </w:pPr>
          </w:p>
        </w:tc>
        <w:tc>
          <w:tcPr>
            <w:tcW w:w="681" w:type="pct"/>
            <w:tcBorders>
              <w:bottom w:val="single" w:sz="4" w:space="0" w:color="auto"/>
            </w:tcBorders>
            <w:vAlign w:val="bottom"/>
          </w:tcPr>
          <w:p w14:paraId="6B47C54B" w14:textId="77777777" w:rsidR="00C4234E" w:rsidRPr="00F43653" w:rsidRDefault="00C4234E" w:rsidP="00C4234E">
            <w:pPr>
              <w:keepNext/>
              <w:keepLines/>
              <w:suppressAutoHyphens/>
              <w:autoSpaceDN w:val="0"/>
              <w:spacing w:line="301" w:lineRule="exact"/>
              <w:jc w:val="right"/>
              <w:rPr>
                <w:rFonts w:ascii="Arial" w:eastAsia="Times New Roman" w:hAnsi="Arial" w:cs="Arial"/>
                <w:b/>
                <w:color w:val="000000" w:themeColor="text1"/>
                <w:position w:val="4"/>
                <w:sz w:val="20"/>
                <w:szCs w:val="20"/>
                <w:u w:val="thick"/>
              </w:rPr>
            </w:pPr>
          </w:p>
        </w:tc>
      </w:tr>
      <w:tr w:rsidR="00F87D65" w:rsidRPr="00F43653" w14:paraId="773F3291" w14:textId="77777777" w:rsidTr="00F87D65">
        <w:trPr>
          <w:trHeight w:val="61"/>
        </w:trPr>
        <w:tc>
          <w:tcPr>
            <w:tcW w:w="1715" w:type="pct"/>
            <w:vAlign w:val="bottom"/>
          </w:tcPr>
          <w:p w14:paraId="3D99F0F9" w14:textId="77777777" w:rsidR="00F87D65" w:rsidRPr="00F43653" w:rsidRDefault="00F87D65" w:rsidP="00F87D65">
            <w:pPr>
              <w:keepNext/>
              <w:keepLines/>
              <w:tabs>
                <w:tab w:val="left" w:pos="1202"/>
              </w:tabs>
              <w:suppressAutoHyphens/>
              <w:autoSpaceDN w:val="0"/>
              <w:spacing w:line="301" w:lineRule="exact"/>
              <w:rPr>
                <w:rFonts w:ascii="Arial" w:eastAsia="Times New Roman" w:hAnsi="Arial" w:cs="Arial"/>
                <w:b/>
                <w:color w:val="000000" w:themeColor="text1"/>
                <w:position w:val="4"/>
                <w:sz w:val="20"/>
                <w:szCs w:val="20"/>
              </w:rPr>
            </w:pPr>
            <w:r w:rsidRPr="00F43653">
              <w:rPr>
                <w:rFonts w:ascii="Arial" w:eastAsia="Times New Roman" w:hAnsi="Arial" w:cs="Arial"/>
                <w:b/>
                <w:color w:val="000000" w:themeColor="text1"/>
                <w:position w:val="4"/>
                <w:sz w:val="20"/>
                <w:szCs w:val="20"/>
              </w:rPr>
              <w:t>Vlasniku društva</w:t>
            </w:r>
          </w:p>
        </w:tc>
        <w:tc>
          <w:tcPr>
            <w:tcW w:w="544" w:type="pct"/>
            <w:vAlign w:val="bottom"/>
          </w:tcPr>
          <w:p w14:paraId="55BE6768" w14:textId="77777777" w:rsidR="00F87D65" w:rsidRPr="00F43653" w:rsidRDefault="00F87D65" w:rsidP="00F87D65">
            <w:pPr>
              <w:keepNext/>
              <w:keepLines/>
              <w:tabs>
                <w:tab w:val="left" w:pos="1202"/>
              </w:tabs>
              <w:suppressAutoHyphens/>
              <w:autoSpaceDN w:val="0"/>
              <w:spacing w:line="301" w:lineRule="exact"/>
              <w:jc w:val="center"/>
              <w:rPr>
                <w:rFonts w:ascii="Arial" w:eastAsia="Times New Roman" w:hAnsi="Arial" w:cs="Arial"/>
                <w:b/>
                <w:color w:val="000000" w:themeColor="text1"/>
                <w:position w:val="4"/>
                <w:sz w:val="20"/>
                <w:szCs w:val="20"/>
                <w:u w:val="thick"/>
              </w:rPr>
            </w:pPr>
          </w:p>
        </w:tc>
        <w:tc>
          <w:tcPr>
            <w:tcW w:w="686" w:type="pct"/>
            <w:tcBorders>
              <w:top w:val="single" w:sz="2" w:space="0" w:color="auto"/>
              <w:bottom w:val="single" w:sz="12" w:space="0" w:color="auto"/>
            </w:tcBorders>
            <w:vAlign w:val="bottom"/>
          </w:tcPr>
          <w:p w14:paraId="7103CDF1" w14:textId="0C98BB04" w:rsidR="00F87D65" w:rsidRPr="00F87D65" w:rsidRDefault="00F87D65" w:rsidP="00F87D65">
            <w:pPr>
              <w:keepNext/>
              <w:keepLines/>
              <w:suppressAutoHyphens/>
              <w:autoSpaceDN w:val="0"/>
              <w:spacing w:line="301" w:lineRule="exact"/>
              <w:jc w:val="right"/>
              <w:rPr>
                <w:rFonts w:ascii="Arial" w:hAnsi="Arial" w:cs="Arial"/>
                <w:b/>
                <w:bCs/>
                <w:sz w:val="20"/>
                <w:szCs w:val="20"/>
              </w:rPr>
            </w:pPr>
            <w:r w:rsidRPr="00F87D65">
              <w:rPr>
                <w:rFonts w:ascii="Arial" w:hAnsi="Arial" w:cs="Arial"/>
                <w:b/>
                <w:bCs/>
                <w:sz w:val="20"/>
                <w:szCs w:val="20"/>
              </w:rPr>
              <w:t xml:space="preserve"> 5.211 </w:t>
            </w:r>
          </w:p>
        </w:tc>
        <w:tc>
          <w:tcPr>
            <w:tcW w:w="687" w:type="pct"/>
            <w:tcBorders>
              <w:top w:val="single" w:sz="2" w:space="0" w:color="auto"/>
              <w:bottom w:val="single" w:sz="12" w:space="0" w:color="auto"/>
            </w:tcBorders>
            <w:vAlign w:val="bottom"/>
          </w:tcPr>
          <w:p w14:paraId="2C82A4A9" w14:textId="5A4B381B" w:rsidR="00F87D65" w:rsidRPr="00F87D65" w:rsidRDefault="00F87D65" w:rsidP="00F87D65">
            <w:pPr>
              <w:keepNext/>
              <w:keepLines/>
              <w:suppressAutoHyphens/>
              <w:autoSpaceDN w:val="0"/>
              <w:spacing w:line="301" w:lineRule="exact"/>
              <w:jc w:val="right"/>
              <w:rPr>
                <w:rFonts w:ascii="Arial" w:eastAsia="Times New Roman" w:hAnsi="Arial" w:cs="Arial"/>
                <w:b/>
                <w:bCs/>
                <w:color w:val="000000" w:themeColor="text1"/>
                <w:position w:val="4"/>
                <w:sz w:val="20"/>
                <w:szCs w:val="20"/>
              </w:rPr>
            </w:pPr>
            <w:r w:rsidRPr="00F87D65">
              <w:rPr>
                <w:rFonts w:ascii="Arial" w:hAnsi="Arial" w:cs="Arial"/>
                <w:b/>
                <w:bCs/>
                <w:sz w:val="20"/>
                <w:szCs w:val="20"/>
              </w:rPr>
              <w:t xml:space="preserve"> 43.700 </w:t>
            </w:r>
          </w:p>
        </w:tc>
        <w:tc>
          <w:tcPr>
            <w:tcW w:w="687" w:type="pct"/>
            <w:tcBorders>
              <w:top w:val="single" w:sz="2" w:space="0" w:color="auto"/>
              <w:bottom w:val="single" w:sz="12" w:space="0" w:color="auto"/>
            </w:tcBorders>
            <w:vAlign w:val="bottom"/>
          </w:tcPr>
          <w:p w14:paraId="0491F0A7" w14:textId="7809FFEC" w:rsidR="00F87D65" w:rsidRPr="00F43653" w:rsidRDefault="00F87D65" w:rsidP="00F87D65">
            <w:pPr>
              <w:keepNext/>
              <w:keepLines/>
              <w:suppressAutoHyphens/>
              <w:autoSpaceDN w:val="0"/>
              <w:spacing w:line="301" w:lineRule="exact"/>
              <w:jc w:val="right"/>
              <w:rPr>
                <w:rFonts w:ascii="Arial" w:eastAsia="Times New Roman" w:hAnsi="Arial" w:cs="Arial"/>
                <w:b/>
                <w:color w:val="000000" w:themeColor="text1"/>
                <w:position w:val="4"/>
                <w:sz w:val="20"/>
                <w:szCs w:val="20"/>
              </w:rPr>
            </w:pPr>
            <w:r w:rsidRPr="00E84548">
              <w:rPr>
                <w:rFonts w:ascii="Arial" w:hAnsi="Arial" w:cs="Arial"/>
                <w:b/>
                <w:bCs/>
                <w:sz w:val="20"/>
                <w:szCs w:val="20"/>
              </w:rPr>
              <w:t xml:space="preserve"> 20.990 </w:t>
            </w:r>
          </w:p>
        </w:tc>
        <w:tc>
          <w:tcPr>
            <w:tcW w:w="681" w:type="pct"/>
            <w:tcBorders>
              <w:top w:val="single" w:sz="2" w:space="0" w:color="auto"/>
              <w:bottom w:val="single" w:sz="12" w:space="0" w:color="auto"/>
            </w:tcBorders>
            <w:vAlign w:val="bottom"/>
          </w:tcPr>
          <w:p w14:paraId="6DC9F169" w14:textId="0BB288AE" w:rsidR="00F87D65" w:rsidRPr="00F43653" w:rsidRDefault="00F87D65" w:rsidP="00F87D65">
            <w:pPr>
              <w:keepNext/>
              <w:keepLines/>
              <w:suppressAutoHyphens/>
              <w:autoSpaceDN w:val="0"/>
              <w:spacing w:line="301" w:lineRule="exact"/>
              <w:jc w:val="right"/>
              <w:rPr>
                <w:rFonts w:ascii="Arial" w:eastAsia="Times New Roman" w:hAnsi="Arial" w:cs="Arial"/>
                <w:b/>
                <w:color w:val="000000" w:themeColor="text1"/>
                <w:sz w:val="20"/>
                <w:szCs w:val="20"/>
              </w:rPr>
            </w:pPr>
            <w:r w:rsidRPr="00E84548">
              <w:rPr>
                <w:rFonts w:ascii="Arial" w:hAnsi="Arial" w:cs="Arial"/>
                <w:b/>
                <w:bCs/>
                <w:sz w:val="20"/>
                <w:szCs w:val="20"/>
              </w:rPr>
              <w:t xml:space="preserve"> 50.768 </w:t>
            </w:r>
          </w:p>
        </w:tc>
      </w:tr>
    </w:tbl>
    <w:p w14:paraId="3EFF122C" w14:textId="77777777" w:rsidR="00A24D20" w:rsidRDefault="00A24D20" w:rsidP="008C368A">
      <w:pPr>
        <w:keepNext/>
        <w:suppressAutoHyphens/>
        <w:autoSpaceDN w:val="0"/>
        <w:jc w:val="both"/>
        <w:outlineLvl w:val="0"/>
        <w:rPr>
          <w:rFonts w:ascii="Arial" w:eastAsia="Times New Roman" w:hAnsi="Arial" w:cs="Arial"/>
          <w:bCs/>
          <w:color w:val="000000" w:themeColor="text1"/>
          <w:sz w:val="20"/>
          <w:szCs w:val="20"/>
        </w:rPr>
      </w:pPr>
    </w:p>
    <w:p w14:paraId="41A0DD0C" w14:textId="77777777" w:rsidR="00A24D20" w:rsidRDefault="00A24D20" w:rsidP="008C368A">
      <w:pPr>
        <w:keepNext/>
        <w:suppressAutoHyphens/>
        <w:autoSpaceDN w:val="0"/>
        <w:jc w:val="both"/>
        <w:outlineLvl w:val="0"/>
        <w:rPr>
          <w:rFonts w:ascii="Arial" w:eastAsia="Times New Roman" w:hAnsi="Arial" w:cs="Arial"/>
          <w:bCs/>
          <w:color w:val="000000" w:themeColor="text1"/>
          <w:sz w:val="20"/>
          <w:szCs w:val="20"/>
        </w:rPr>
      </w:pPr>
    </w:p>
    <w:p w14:paraId="3830FC4E" w14:textId="64162BF2" w:rsidR="00FA4D34" w:rsidRPr="003D1614" w:rsidRDefault="00FA4D34" w:rsidP="008C368A">
      <w:pPr>
        <w:keepNext/>
        <w:suppressAutoHyphens/>
        <w:autoSpaceDN w:val="0"/>
        <w:jc w:val="both"/>
        <w:outlineLvl w:val="0"/>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Priložene računovodstvene politike i bilješke sastavni su dio ovih financijskih izvještaja.</w:t>
      </w:r>
    </w:p>
    <w:p w14:paraId="64D8EF86" w14:textId="77777777" w:rsidR="005B7EA3" w:rsidRPr="003D1614" w:rsidRDefault="005B7EA3" w:rsidP="008C368A">
      <w:pPr>
        <w:keepNext/>
        <w:suppressAutoHyphens/>
        <w:autoSpaceDN w:val="0"/>
        <w:jc w:val="both"/>
        <w:outlineLvl w:val="0"/>
        <w:rPr>
          <w:rFonts w:ascii="Arial" w:eastAsia="Times New Roman" w:hAnsi="Arial" w:cs="Arial"/>
          <w:bCs/>
          <w:color w:val="000000" w:themeColor="text1"/>
          <w:sz w:val="20"/>
          <w:szCs w:val="20"/>
        </w:rPr>
      </w:pPr>
    </w:p>
    <w:p w14:paraId="3BA18BE1" w14:textId="4A4C1BF2" w:rsidR="005B7EA3" w:rsidRPr="003D1614" w:rsidRDefault="005B7EA3" w:rsidP="008C368A">
      <w:pPr>
        <w:keepNext/>
        <w:suppressAutoHyphens/>
        <w:autoSpaceDN w:val="0"/>
        <w:jc w:val="both"/>
        <w:outlineLvl w:val="0"/>
        <w:rPr>
          <w:rFonts w:ascii="Arial" w:eastAsia="Times New Roman" w:hAnsi="Arial" w:cs="Arial"/>
          <w:bCs/>
          <w:color w:val="000000" w:themeColor="text1"/>
        </w:rPr>
        <w:sectPr w:rsidR="005B7EA3" w:rsidRPr="003D1614">
          <w:headerReference w:type="default" r:id="rId11"/>
          <w:pgSz w:w="11906" w:h="16838"/>
          <w:pgMar w:top="1417" w:right="1417" w:bottom="1417" w:left="1417" w:header="708" w:footer="708" w:gutter="0"/>
          <w:cols w:space="708"/>
          <w:docGrid w:linePitch="360"/>
        </w:sectPr>
      </w:pPr>
    </w:p>
    <w:p w14:paraId="72929A88" w14:textId="77777777" w:rsidR="008206D7" w:rsidRPr="003D1614" w:rsidRDefault="008206D7" w:rsidP="008C368A">
      <w:pPr>
        <w:keepNext/>
        <w:suppressAutoHyphens/>
        <w:autoSpaceDN w:val="0"/>
        <w:jc w:val="both"/>
        <w:outlineLvl w:val="0"/>
        <w:rPr>
          <w:rFonts w:ascii="Arial" w:eastAsia="Times New Roman" w:hAnsi="Arial" w:cs="Arial"/>
          <w:bCs/>
          <w:color w:val="000000" w:themeColor="text1"/>
          <w:sz w:val="20"/>
          <w:szCs w:val="20"/>
        </w:rPr>
      </w:pPr>
    </w:p>
    <w:p w14:paraId="6A396D41" w14:textId="77777777" w:rsidR="00A42D0C" w:rsidRPr="003D1614" w:rsidRDefault="00A42D0C" w:rsidP="008C368A">
      <w:pPr>
        <w:keepNext/>
        <w:suppressAutoHyphens/>
        <w:autoSpaceDN w:val="0"/>
        <w:jc w:val="both"/>
        <w:outlineLvl w:val="0"/>
        <w:rPr>
          <w:rFonts w:ascii="Arial" w:eastAsia="Times New Roman" w:hAnsi="Arial" w:cs="Arial"/>
          <w:bCs/>
          <w:color w:val="000000" w:themeColor="text1"/>
          <w:sz w:val="20"/>
          <w:szCs w:val="20"/>
        </w:rPr>
      </w:pPr>
    </w:p>
    <w:p w14:paraId="41BEFE12" w14:textId="77777777" w:rsidR="00806E49" w:rsidRPr="003D1614" w:rsidRDefault="00806E49" w:rsidP="008C368A">
      <w:pPr>
        <w:keepNext/>
        <w:suppressAutoHyphens/>
        <w:autoSpaceDN w:val="0"/>
        <w:jc w:val="both"/>
        <w:outlineLvl w:val="0"/>
        <w:rPr>
          <w:rFonts w:ascii="Arial" w:eastAsia="Times New Roman" w:hAnsi="Arial" w:cs="Arial"/>
          <w:bCs/>
          <w:color w:val="000000" w:themeColor="text1"/>
          <w:sz w:val="20"/>
          <w:szCs w:val="20"/>
        </w:rPr>
      </w:pPr>
    </w:p>
    <w:tbl>
      <w:tblPr>
        <w:tblpPr w:leftFromText="180" w:rightFromText="180" w:vertAnchor="text" w:horzAnchor="margin" w:tblpYSpec="inside"/>
        <w:tblW w:w="5002" w:type="pct"/>
        <w:tblLayout w:type="fixed"/>
        <w:tblCellMar>
          <w:left w:w="119" w:type="dxa"/>
          <w:right w:w="119" w:type="dxa"/>
        </w:tblCellMar>
        <w:tblLook w:val="0000" w:firstRow="0" w:lastRow="0" w:firstColumn="0" w:lastColumn="0" w:noHBand="0" w:noVBand="0"/>
      </w:tblPr>
      <w:tblGrid>
        <w:gridCol w:w="3404"/>
        <w:gridCol w:w="1418"/>
        <w:gridCol w:w="1418"/>
        <w:gridCol w:w="1418"/>
        <w:gridCol w:w="1418"/>
      </w:tblGrid>
      <w:tr w:rsidR="00A24D20" w:rsidRPr="00F43653" w14:paraId="7BA96C60" w14:textId="77777777" w:rsidTr="007478FB">
        <w:trPr>
          <w:trHeight w:val="369"/>
        </w:trPr>
        <w:tc>
          <w:tcPr>
            <w:tcW w:w="1875" w:type="pct"/>
            <w:vAlign w:val="bottom"/>
          </w:tcPr>
          <w:p w14:paraId="5D229A63" w14:textId="77777777" w:rsidR="00A24D20" w:rsidRPr="00F43653" w:rsidRDefault="00A24D20" w:rsidP="00A24D20">
            <w:pPr>
              <w:tabs>
                <w:tab w:val="right" w:pos="1202"/>
              </w:tabs>
              <w:spacing w:line="301" w:lineRule="exact"/>
              <w:jc w:val="center"/>
              <w:outlineLvl w:val="0"/>
              <w:rPr>
                <w:rFonts w:ascii="Arial" w:eastAsia="Times New Roman" w:hAnsi="Arial" w:cs="Arial"/>
                <w:b/>
                <w:bCs/>
                <w:color w:val="000000" w:themeColor="text1"/>
                <w:sz w:val="20"/>
                <w:szCs w:val="20"/>
              </w:rPr>
            </w:pPr>
          </w:p>
        </w:tc>
        <w:tc>
          <w:tcPr>
            <w:tcW w:w="1562" w:type="pct"/>
            <w:gridSpan w:val="2"/>
            <w:vAlign w:val="bottom"/>
          </w:tcPr>
          <w:p w14:paraId="04DA9D94" w14:textId="068241BC" w:rsidR="00A24D20" w:rsidRPr="00F43653" w:rsidRDefault="00A24D20" w:rsidP="007478FB">
            <w:pPr>
              <w:spacing w:line="301" w:lineRule="exact"/>
              <w:jc w:val="center"/>
              <w:outlineLvl w:val="0"/>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202</w:t>
            </w:r>
            <w:r w:rsidR="00B93212">
              <w:rPr>
                <w:rFonts w:ascii="Arial" w:eastAsia="Times New Roman" w:hAnsi="Arial" w:cs="Arial"/>
                <w:b/>
                <w:bCs/>
                <w:color w:val="000000" w:themeColor="text1"/>
                <w:sz w:val="20"/>
                <w:szCs w:val="20"/>
              </w:rPr>
              <w:t>4</w:t>
            </w:r>
            <w:r w:rsidRPr="00F43653">
              <w:rPr>
                <w:rFonts w:ascii="Arial" w:eastAsia="Times New Roman" w:hAnsi="Arial" w:cs="Arial"/>
                <w:b/>
                <w:bCs/>
                <w:color w:val="000000" w:themeColor="text1"/>
                <w:sz w:val="20"/>
                <w:szCs w:val="20"/>
              </w:rPr>
              <w:t>.</w:t>
            </w:r>
          </w:p>
        </w:tc>
        <w:tc>
          <w:tcPr>
            <w:tcW w:w="1562" w:type="pct"/>
            <w:gridSpan w:val="2"/>
            <w:vAlign w:val="bottom"/>
          </w:tcPr>
          <w:p w14:paraId="257B0632" w14:textId="51B28ED5" w:rsidR="00A24D20" w:rsidRPr="00F43653" w:rsidRDefault="00A24D20" w:rsidP="007478FB">
            <w:pPr>
              <w:spacing w:line="301" w:lineRule="exact"/>
              <w:jc w:val="center"/>
              <w:outlineLvl w:val="0"/>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202</w:t>
            </w:r>
            <w:r w:rsidR="00B93212">
              <w:rPr>
                <w:rFonts w:ascii="Arial" w:eastAsia="Times New Roman" w:hAnsi="Arial" w:cs="Arial"/>
                <w:b/>
                <w:bCs/>
                <w:color w:val="000000" w:themeColor="text1"/>
                <w:sz w:val="20"/>
                <w:szCs w:val="20"/>
              </w:rPr>
              <w:t>3</w:t>
            </w:r>
            <w:r w:rsidRPr="00F43653">
              <w:rPr>
                <w:rFonts w:ascii="Arial" w:eastAsia="Times New Roman" w:hAnsi="Arial" w:cs="Arial"/>
                <w:b/>
                <w:bCs/>
                <w:color w:val="000000" w:themeColor="text1"/>
                <w:sz w:val="20"/>
                <w:szCs w:val="20"/>
              </w:rPr>
              <w:t>.</w:t>
            </w:r>
          </w:p>
        </w:tc>
      </w:tr>
      <w:tr w:rsidR="00A24D20" w:rsidRPr="00F43653" w14:paraId="09DF0BF4" w14:textId="77777777" w:rsidTr="007478FB">
        <w:trPr>
          <w:trHeight w:hRule="exact" w:val="320"/>
        </w:trPr>
        <w:tc>
          <w:tcPr>
            <w:tcW w:w="1875" w:type="pct"/>
            <w:vAlign w:val="bottom"/>
          </w:tcPr>
          <w:p w14:paraId="5D9EC380" w14:textId="77777777" w:rsidR="00A24D20" w:rsidRPr="00F43653" w:rsidRDefault="00A24D20" w:rsidP="00A24D20">
            <w:pPr>
              <w:tabs>
                <w:tab w:val="right" w:pos="1202"/>
              </w:tabs>
              <w:spacing w:line="301" w:lineRule="exact"/>
              <w:jc w:val="center"/>
              <w:outlineLvl w:val="0"/>
              <w:rPr>
                <w:rFonts w:ascii="Arial" w:eastAsia="Times New Roman" w:hAnsi="Arial" w:cs="Arial"/>
                <w:b/>
                <w:bCs/>
                <w:color w:val="000000" w:themeColor="text1"/>
                <w:sz w:val="20"/>
                <w:szCs w:val="20"/>
              </w:rPr>
            </w:pPr>
          </w:p>
        </w:tc>
        <w:tc>
          <w:tcPr>
            <w:tcW w:w="781" w:type="pct"/>
            <w:vAlign w:val="bottom"/>
          </w:tcPr>
          <w:p w14:paraId="2EBEE449" w14:textId="1C2823C3" w:rsidR="00A24D20" w:rsidRPr="00F43653" w:rsidRDefault="00A24D20" w:rsidP="00A24D20">
            <w:pPr>
              <w:spacing w:line="301" w:lineRule="exact"/>
              <w:jc w:val="right"/>
              <w:outlineLvl w:val="0"/>
              <w:rPr>
                <w:rFonts w:ascii="Arial" w:eastAsia="Times New Roman" w:hAnsi="Arial" w:cs="Arial"/>
                <w:b/>
                <w:bCs/>
                <w:color w:val="000000" w:themeColor="text1"/>
                <w:sz w:val="20"/>
                <w:szCs w:val="20"/>
              </w:rPr>
            </w:pPr>
            <w:r w:rsidRPr="007478FB">
              <w:rPr>
                <w:rFonts w:ascii="Arial" w:hAnsi="Arial" w:cs="Arial"/>
                <w:b/>
                <w:bCs/>
                <w:sz w:val="20"/>
              </w:rPr>
              <w:t>Tekuće razdoblje</w:t>
            </w:r>
          </w:p>
        </w:tc>
        <w:tc>
          <w:tcPr>
            <w:tcW w:w="781" w:type="pct"/>
            <w:vAlign w:val="bottom"/>
          </w:tcPr>
          <w:p w14:paraId="6C4895BD" w14:textId="4AF0A27E" w:rsidR="00A24D20" w:rsidRPr="00F43653" w:rsidRDefault="00A24D20" w:rsidP="00A24D20">
            <w:pPr>
              <w:spacing w:line="301" w:lineRule="exact"/>
              <w:jc w:val="right"/>
              <w:outlineLvl w:val="0"/>
              <w:rPr>
                <w:rFonts w:ascii="Arial" w:eastAsia="Times New Roman" w:hAnsi="Arial" w:cs="Arial"/>
                <w:b/>
                <w:bCs/>
                <w:color w:val="000000" w:themeColor="text1"/>
                <w:sz w:val="20"/>
                <w:szCs w:val="20"/>
              </w:rPr>
            </w:pPr>
            <w:r w:rsidRPr="007478FB">
              <w:rPr>
                <w:rFonts w:ascii="Arial" w:hAnsi="Arial" w:cs="Arial"/>
                <w:b/>
                <w:bCs/>
                <w:sz w:val="20"/>
              </w:rPr>
              <w:t>Kumulativ</w:t>
            </w:r>
          </w:p>
        </w:tc>
        <w:tc>
          <w:tcPr>
            <w:tcW w:w="781" w:type="pct"/>
            <w:vAlign w:val="bottom"/>
          </w:tcPr>
          <w:p w14:paraId="37A56FF8" w14:textId="0C968D86" w:rsidR="00A24D20" w:rsidRPr="00F43653" w:rsidRDefault="00A24D20" w:rsidP="00A24D20">
            <w:pPr>
              <w:spacing w:line="301" w:lineRule="exact"/>
              <w:jc w:val="right"/>
              <w:outlineLvl w:val="0"/>
              <w:rPr>
                <w:rFonts w:ascii="Arial" w:eastAsia="Times New Roman" w:hAnsi="Arial" w:cs="Arial"/>
                <w:b/>
                <w:bCs/>
                <w:color w:val="000000" w:themeColor="text1"/>
                <w:sz w:val="20"/>
                <w:szCs w:val="20"/>
              </w:rPr>
            </w:pPr>
            <w:r w:rsidRPr="007478FB">
              <w:rPr>
                <w:rFonts w:ascii="Arial" w:hAnsi="Arial" w:cs="Arial"/>
                <w:b/>
                <w:bCs/>
                <w:sz w:val="20"/>
              </w:rPr>
              <w:t>Tekuće razdoblje</w:t>
            </w:r>
          </w:p>
        </w:tc>
        <w:tc>
          <w:tcPr>
            <w:tcW w:w="781" w:type="pct"/>
            <w:vAlign w:val="bottom"/>
          </w:tcPr>
          <w:p w14:paraId="60C53DC1" w14:textId="06C007AE" w:rsidR="00A24D20" w:rsidRPr="00F43653" w:rsidRDefault="00A24D20" w:rsidP="00A24D20">
            <w:pPr>
              <w:spacing w:line="301" w:lineRule="exact"/>
              <w:jc w:val="right"/>
              <w:outlineLvl w:val="0"/>
              <w:rPr>
                <w:rFonts w:ascii="Arial" w:eastAsia="Times New Roman" w:hAnsi="Arial" w:cs="Arial"/>
                <w:b/>
                <w:bCs/>
                <w:color w:val="000000" w:themeColor="text1"/>
                <w:sz w:val="20"/>
                <w:szCs w:val="20"/>
              </w:rPr>
            </w:pPr>
            <w:r w:rsidRPr="007478FB">
              <w:rPr>
                <w:rFonts w:ascii="Arial" w:hAnsi="Arial" w:cs="Arial"/>
                <w:b/>
                <w:bCs/>
                <w:sz w:val="20"/>
              </w:rPr>
              <w:t>Kumulativ</w:t>
            </w:r>
          </w:p>
        </w:tc>
      </w:tr>
      <w:tr w:rsidR="00A24D20" w:rsidRPr="00F43653" w14:paraId="552E46E6" w14:textId="77777777" w:rsidTr="007478FB">
        <w:trPr>
          <w:trHeight w:hRule="exact" w:val="320"/>
        </w:trPr>
        <w:tc>
          <w:tcPr>
            <w:tcW w:w="1875" w:type="pct"/>
            <w:vAlign w:val="bottom"/>
          </w:tcPr>
          <w:p w14:paraId="2CFA7F77" w14:textId="77777777" w:rsidR="00A24D20" w:rsidRPr="00F43653" w:rsidRDefault="00A24D20" w:rsidP="00A24D20">
            <w:pPr>
              <w:tabs>
                <w:tab w:val="right" w:pos="1202"/>
              </w:tabs>
              <w:spacing w:line="301" w:lineRule="exact"/>
              <w:jc w:val="center"/>
              <w:outlineLvl w:val="0"/>
              <w:rPr>
                <w:rFonts w:ascii="Arial" w:eastAsia="Times New Roman" w:hAnsi="Arial" w:cs="Arial"/>
                <w:b/>
                <w:bCs/>
                <w:color w:val="000000" w:themeColor="text1"/>
                <w:sz w:val="20"/>
                <w:szCs w:val="20"/>
              </w:rPr>
            </w:pPr>
          </w:p>
        </w:tc>
        <w:tc>
          <w:tcPr>
            <w:tcW w:w="781" w:type="pct"/>
            <w:vAlign w:val="bottom"/>
          </w:tcPr>
          <w:p w14:paraId="20F8B440" w14:textId="3AC91958" w:rsidR="00A24D20" w:rsidRPr="00F43653" w:rsidRDefault="00A24D20" w:rsidP="00A24D20">
            <w:pPr>
              <w:spacing w:line="301" w:lineRule="exact"/>
              <w:jc w:val="right"/>
              <w:outlineLvl w:val="0"/>
              <w:rPr>
                <w:rFonts w:ascii="Arial" w:eastAsia="Times New Roman" w:hAnsi="Arial" w:cs="Arial"/>
                <w:b/>
                <w:bCs/>
                <w:color w:val="000000" w:themeColor="text1"/>
                <w:sz w:val="20"/>
                <w:szCs w:val="20"/>
              </w:rPr>
            </w:pPr>
            <w:r w:rsidRPr="007478FB">
              <w:rPr>
                <w:rFonts w:ascii="Arial" w:hAnsi="Arial" w:cs="Arial"/>
                <w:b/>
                <w:bCs/>
                <w:sz w:val="20"/>
              </w:rPr>
              <w:t>1.</w:t>
            </w:r>
            <w:r w:rsidR="00893BF4">
              <w:rPr>
                <w:rFonts w:ascii="Arial" w:hAnsi="Arial" w:cs="Arial"/>
                <w:b/>
                <w:bCs/>
                <w:sz w:val="20"/>
              </w:rPr>
              <w:t>7</w:t>
            </w:r>
            <w:r w:rsidRPr="007478FB">
              <w:rPr>
                <w:rFonts w:ascii="Arial" w:hAnsi="Arial" w:cs="Arial"/>
                <w:b/>
                <w:bCs/>
                <w:sz w:val="20"/>
              </w:rPr>
              <w:t>. - 30.</w:t>
            </w:r>
            <w:r w:rsidR="00A107EE">
              <w:rPr>
                <w:rFonts w:ascii="Arial" w:hAnsi="Arial" w:cs="Arial"/>
                <w:b/>
                <w:bCs/>
                <w:sz w:val="20"/>
              </w:rPr>
              <w:t>9</w:t>
            </w:r>
            <w:r w:rsidRPr="007478FB">
              <w:rPr>
                <w:rFonts w:ascii="Arial" w:hAnsi="Arial" w:cs="Arial"/>
                <w:b/>
                <w:bCs/>
                <w:sz w:val="20"/>
              </w:rPr>
              <w:t>.</w:t>
            </w:r>
          </w:p>
        </w:tc>
        <w:tc>
          <w:tcPr>
            <w:tcW w:w="781" w:type="pct"/>
            <w:vAlign w:val="bottom"/>
          </w:tcPr>
          <w:p w14:paraId="0027C1B0" w14:textId="3256663A" w:rsidR="00A24D20" w:rsidRPr="00F43653" w:rsidRDefault="00A24D20" w:rsidP="00A24D20">
            <w:pPr>
              <w:spacing w:line="301" w:lineRule="exact"/>
              <w:jc w:val="right"/>
              <w:outlineLvl w:val="0"/>
              <w:rPr>
                <w:rFonts w:ascii="Arial" w:eastAsia="Times New Roman" w:hAnsi="Arial" w:cs="Arial"/>
                <w:b/>
                <w:bCs/>
                <w:color w:val="000000" w:themeColor="text1"/>
                <w:sz w:val="20"/>
                <w:szCs w:val="20"/>
              </w:rPr>
            </w:pPr>
            <w:r w:rsidRPr="007478FB">
              <w:rPr>
                <w:rFonts w:ascii="Arial" w:hAnsi="Arial" w:cs="Arial"/>
                <w:b/>
                <w:bCs/>
                <w:sz w:val="20"/>
              </w:rPr>
              <w:t>1.1. - 30.</w:t>
            </w:r>
            <w:r w:rsidR="00893BF4">
              <w:rPr>
                <w:rFonts w:ascii="Arial" w:hAnsi="Arial" w:cs="Arial"/>
                <w:b/>
                <w:bCs/>
                <w:sz w:val="20"/>
              </w:rPr>
              <w:t>9</w:t>
            </w:r>
            <w:r w:rsidRPr="007478FB">
              <w:rPr>
                <w:rFonts w:ascii="Arial" w:hAnsi="Arial" w:cs="Arial"/>
                <w:b/>
                <w:bCs/>
                <w:sz w:val="20"/>
              </w:rPr>
              <w:t>.</w:t>
            </w:r>
          </w:p>
        </w:tc>
        <w:tc>
          <w:tcPr>
            <w:tcW w:w="781" w:type="pct"/>
            <w:vAlign w:val="bottom"/>
          </w:tcPr>
          <w:p w14:paraId="103E2687" w14:textId="0A9DB71C" w:rsidR="00A24D20" w:rsidRPr="00F43653" w:rsidRDefault="00A24D20" w:rsidP="00A24D20">
            <w:pPr>
              <w:spacing w:line="301" w:lineRule="exact"/>
              <w:jc w:val="right"/>
              <w:outlineLvl w:val="0"/>
              <w:rPr>
                <w:rFonts w:ascii="Arial" w:eastAsia="Times New Roman" w:hAnsi="Arial" w:cs="Arial"/>
                <w:b/>
                <w:bCs/>
                <w:color w:val="000000" w:themeColor="text1"/>
                <w:sz w:val="20"/>
                <w:szCs w:val="20"/>
              </w:rPr>
            </w:pPr>
            <w:r w:rsidRPr="007478FB">
              <w:rPr>
                <w:rFonts w:ascii="Arial" w:hAnsi="Arial" w:cs="Arial"/>
                <w:b/>
                <w:bCs/>
                <w:sz w:val="20"/>
              </w:rPr>
              <w:t>1.</w:t>
            </w:r>
            <w:r w:rsidR="00893BF4">
              <w:rPr>
                <w:rFonts w:ascii="Arial" w:hAnsi="Arial" w:cs="Arial"/>
                <w:b/>
                <w:bCs/>
                <w:sz w:val="20"/>
              </w:rPr>
              <w:t>7</w:t>
            </w:r>
            <w:r w:rsidRPr="007478FB">
              <w:rPr>
                <w:rFonts w:ascii="Arial" w:hAnsi="Arial" w:cs="Arial"/>
                <w:b/>
                <w:bCs/>
                <w:sz w:val="20"/>
              </w:rPr>
              <w:t>. - 30.</w:t>
            </w:r>
            <w:r w:rsidR="00893BF4">
              <w:rPr>
                <w:rFonts w:ascii="Arial" w:hAnsi="Arial" w:cs="Arial"/>
                <w:b/>
                <w:bCs/>
                <w:sz w:val="20"/>
              </w:rPr>
              <w:t>9</w:t>
            </w:r>
            <w:r w:rsidRPr="007478FB">
              <w:rPr>
                <w:rFonts w:ascii="Arial" w:hAnsi="Arial" w:cs="Arial"/>
                <w:b/>
                <w:bCs/>
                <w:sz w:val="20"/>
              </w:rPr>
              <w:t>.</w:t>
            </w:r>
          </w:p>
        </w:tc>
        <w:tc>
          <w:tcPr>
            <w:tcW w:w="781" w:type="pct"/>
            <w:vAlign w:val="bottom"/>
          </w:tcPr>
          <w:p w14:paraId="3B58B541" w14:textId="162B8A11" w:rsidR="00A24D20" w:rsidRPr="00F43653" w:rsidRDefault="00A24D20" w:rsidP="00A24D20">
            <w:pPr>
              <w:spacing w:line="301" w:lineRule="exact"/>
              <w:jc w:val="right"/>
              <w:outlineLvl w:val="0"/>
              <w:rPr>
                <w:rFonts w:ascii="Arial" w:eastAsia="Times New Roman" w:hAnsi="Arial" w:cs="Arial"/>
                <w:b/>
                <w:bCs/>
                <w:color w:val="000000" w:themeColor="text1"/>
                <w:sz w:val="20"/>
                <w:szCs w:val="20"/>
              </w:rPr>
            </w:pPr>
            <w:r w:rsidRPr="007478FB">
              <w:rPr>
                <w:rFonts w:ascii="Arial" w:hAnsi="Arial" w:cs="Arial"/>
                <w:b/>
                <w:bCs/>
                <w:sz w:val="20"/>
              </w:rPr>
              <w:t>1.1. - 30.</w:t>
            </w:r>
            <w:r w:rsidR="00A107EE">
              <w:rPr>
                <w:rFonts w:ascii="Arial" w:hAnsi="Arial" w:cs="Arial"/>
                <w:b/>
                <w:bCs/>
                <w:sz w:val="20"/>
              </w:rPr>
              <w:t>9</w:t>
            </w:r>
            <w:r w:rsidRPr="007478FB">
              <w:rPr>
                <w:rFonts w:ascii="Arial" w:hAnsi="Arial" w:cs="Arial"/>
                <w:b/>
                <w:bCs/>
                <w:sz w:val="20"/>
              </w:rPr>
              <w:t>.</w:t>
            </w:r>
          </w:p>
        </w:tc>
      </w:tr>
      <w:tr w:rsidR="00A24D20" w:rsidRPr="00F43653" w14:paraId="48656451" w14:textId="77777777" w:rsidTr="007478FB">
        <w:trPr>
          <w:trHeight w:hRule="exact" w:val="320"/>
        </w:trPr>
        <w:tc>
          <w:tcPr>
            <w:tcW w:w="1875" w:type="pct"/>
            <w:vAlign w:val="bottom"/>
          </w:tcPr>
          <w:p w14:paraId="2DAF9244" w14:textId="77777777" w:rsidR="00A24D20" w:rsidRPr="00F43653" w:rsidRDefault="00A24D20" w:rsidP="00A24D20">
            <w:pPr>
              <w:tabs>
                <w:tab w:val="right" w:pos="1202"/>
              </w:tabs>
              <w:spacing w:line="301" w:lineRule="exact"/>
              <w:jc w:val="center"/>
              <w:outlineLvl w:val="0"/>
              <w:rPr>
                <w:rFonts w:ascii="Arial" w:eastAsia="Times New Roman" w:hAnsi="Arial" w:cs="Arial"/>
                <w:b/>
                <w:bCs/>
                <w:color w:val="000000" w:themeColor="text1"/>
                <w:sz w:val="20"/>
                <w:szCs w:val="20"/>
              </w:rPr>
            </w:pPr>
          </w:p>
        </w:tc>
        <w:tc>
          <w:tcPr>
            <w:tcW w:w="781" w:type="pct"/>
            <w:vAlign w:val="bottom"/>
          </w:tcPr>
          <w:p w14:paraId="7A51D9BD" w14:textId="6CF055C4" w:rsidR="00A24D20" w:rsidRPr="00F43653" w:rsidRDefault="00A24D20" w:rsidP="00A24D20">
            <w:pPr>
              <w:spacing w:line="301" w:lineRule="exact"/>
              <w:jc w:val="right"/>
              <w:outlineLvl w:val="0"/>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000 eura</w:t>
            </w:r>
          </w:p>
        </w:tc>
        <w:tc>
          <w:tcPr>
            <w:tcW w:w="781" w:type="pct"/>
            <w:vAlign w:val="bottom"/>
          </w:tcPr>
          <w:p w14:paraId="311B22D8" w14:textId="5B173BFC" w:rsidR="00A24D20" w:rsidRPr="00F43653" w:rsidRDefault="00A24D20" w:rsidP="00A24D20">
            <w:pPr>
              <w:spacing w:line="301" w:lineRule="exact"/>
              <w:jc w:val="right"/>
              <w:outlineLvl w:val="0"/>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000 eura</w:t>
            </w:r>
          </w:p>
        </w:tc>
        <w:tc>
          <w:tcPr>
            <w:tcW w:w="781" w:type="pct"/>
            <w:vAlign w:val="bottom"/>
          </w:tcPr>
          <w:p w14:paraId="438B0A0D" w14:textId="51DBDA48" w:rsidR="00A24D20" w:rsidRPr="00F43653" w:rsidRDefault="00A24D20" w:rsidP="00A24D20">
            <w:pPr>
              <w:spacing w:line="301" w:lineRule="exact"/>
              <w:jc w:val="right"/>
              <w:outlineLvl w:val="0"/>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000 eura</w:t>
            </w:r>
          </w:p>
        </w:tc>
        <w:tc>
          <w:tcPr>
            <w:tcW w:w="781" w:type="pct"/>
            <w:vAlign w:val="bottom"/>
          </w:tcPr>
          <w:p w14:paraId="480D7C46" w14:textId="2428F05D" w:rsidR="00A24D20" w:rsidRPr="00F43653" w:rsidRDefault="00A24D20" w:rsidP="00A24D20">
            <w:pPr>
              <w:spacing w:line="301" w:lineRule="exact"/>
              <w:jc w:val="right"/>
              <w:outlineLvl w:val="0"/>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000 eura</w:t>
            </w:r>
          </w:p>
        </w:tc>
      </w:tr>
      <w:tr w:rsidR="00A24D20" w:rsidRPr="00F43653" w14:paraId="65F9C424" w14:textId="77777777" w:rsidTr="007478FB">
        <w:trPr>
          <w:trHeight w:hRule="exact" w:val="165"/>
        </w:trPr>
        <w:tc>
          <w:tcPr>
            <w:tcW w:w="1875" w:type="pct"/>
            <w:vAlign w:val="bottom"/>
          </w:tcPr>
          <w:p w14:paraId="74C65DED" w14:textId="77777777" w:rsidR="00A24D20" w:rsidRPr="00F43653" w:rsidRDefault="00A24D20" w:rsidP="00A24D20">
            <w:pPr>
              <w:tabs>
                <w:tab w:val="right" w:pos="1202"/>
              </w:tabs>
              <w:spacing w:line="301" w:lineRule="exact"/>
              <w:jc w:val="center"/>
              <w:outlineLvl w:val="0"/>
              <w:rPr>
                <w:rFonts w:ascii="Arial" w:eastAsia="Times New Roman" w:hAnsi="Arial" w:cs="Arial"/>
                <w:b/>
                <w:bCs/>
                <w:color w:val="000000" w:themeColor="text1"/>
                <w:sz w:val="20"/>
                <w:szCs w:val="20"/>
              </w:rPr>
            </w:pPr>
          </w:p>
        </w:tc>
        <w:tc>
          <w:tcPr>
            <w:tcW w:w="781" w:type="pct"/>
            <w:vAlign w:val="bottom"/>
          </w:tcPr>
          <w:p w14:paraId="230A4BB9" w14:textId="77777777" w:rsidR="00A24D20" w:rsidRPr="00F43653" w:rsidRDefault="00A24D20" w:rsidP="00A24D20">
            <w:pPr>
              <w:spacing w:line="301" w:lineRule="exact"/>
              <w:jc w:val="right"/>
              <w:outlineLvl w:val="0"/>
              <w:rPr>
                <w:rFonts w:ascii="Arial" w:eastAsia="Times New Roman" w:hAnsi="Arial" w:cs="Arial"/>
                <w:b/>
                <w:bCs/>
                <w:color w:val="000000" w:themeColor="text1"/>
                <w:sz w:val="20"/>
                <w:szCs w:val="20"/>
              </w:rPr>
            </w:pPr>
          </w:p>
        </w:tc>
        <w:tc>
          <w:tcPr>
            <w:tcW w:w="781" w:type="pct"/>
            <w:vAlign w:val="bottom"/>
          </w:tcPr>
          <w:p w14:paraId="5D07AD7B" w14:textId="77777777" w:rsidR="00A24D20" w:rsidRPr="00F43653" w:rsidRDefault="00A24D20" w:rsidP="00A24D20">
            <w:pPr>
              <w:spacing w:line="301" w:lineRule="exact"/>
              <w:jc w:val="right"/>
              <w:outlineLvl w:val="0"/>
              <w:rPr>
                <w:rFonts w:ascii="Arial" w:eastAsia="Times New Roman" w:hAnsi="Arial" w:cs="Arial"/>
                <w:b/>
                <w:bCs/>
                <w:color w:val="000000" w:themeColor="text1"/>
                <w:sz w:val="20"/>
                <w:szCs w:val="20"/>
              </w:rPr>
            </w:pPr>
          </w:p>
        </w:tc>
        <w:tc>
          <w:tcPr>
            <w:tcW w:w="781" w:type="pct"/>
            <w:vAlign w:val="bottom"/>
          </w:tcPr>
          <w:p w14:paraId="790E3984" w14:textId="7914839E" w:rsidR="00A24D20" w:rsidRPr="00F43653" w:rsidRDefault="00A24D20" w:rsidP="00A24D20">
            <w:pPr>
              <w:spacing w:line="301" w:lineRule="exact"/>
              <w:jc w:val="right"/>
              <w:outlineLvl w:val="0"/>
              <w:rPr>
                <w:rFonts w:ascii="Arial" w:eastAsia="Times New Roman" w:hAnsi="Arial" w:cs="Arial"/>
                <w:b/>
                <w:bCs/>
                <w:color w:val="000000" w:themeColor="text1"/>
                <w:sz w:val="20"/>
                <w:szCs w:val="20"/>
              </w:rPr>
            </w:pPr>
          </w:p>
        </w:tc>
        <w:tc>
          <w:tcPr>
            <w:tcW w:w="781" w:type="pct"/>
            <w:vAlign w:val="bottom"/>
          </w:tcPr>
          <w:p w14:paraId="31C176DD" w14:textId="77777777" w:rsidR="00A24D20" w:rsidRPr="00F43653" w:rsidRDefault="00A24D20" w:rsidP="00A24D20">
            <w:pPr>
              <w:spacing w:line="301" w:lineRule="exact"/>
              <w:jc w:val="right"/>
              <w:outlineLvl w:val="0"/>
              <w:rPr>
                <w:rFonts w:ascii="Arial" w:eastAsia="Times New Roman" w:hAnsi="Arial" w:cs="Arial"/>
                <w:b/>
                <w:bCs/>
                <w:color w:val="000000" w:themeColor="text1"/>
                <w:sz w:val="20"/>
                <w:szCs w:val="20"/>
              </w:rPr>
            </w:pPr>
          </w:p>
        </w:tc>
      </w:tr>
      <w:tr w:rsidR="00F571DF" w:rsidRPr="00F43653" w14:paraId="03A91645" w14:textId="77777777" w:rsidTr="00343F5E">
        <w:trPr>
          <w:trHeight w:val="318"/>
        </w:trPr>
        <w:tc>
          <w:tcPr>
            <w:tcW w:w="1875" w:type="pct"/>
            <w:vAlign w:val="bottom"/>
          </w:tcPr>
          <w:p w14:paraId="39E67A56" w14:textId="77777777" w:rsidR="00F571DF" w:rsidRPr="00F43653" w:rsidRDefault="00F571DF" w:rsidP="00F571DF">
            <w:pPr>
              <w:tabs>
                <w:tab w:val="right" w:pos="1202"/>
              </w:tabs>
              <w:spacing w:line="340" w:lineRule="exact"/>
              <w:outlineLvl w:val="0"/>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Dobit tekućeg razdoblja</w:t>
            </w:r>
          </w:p>
        </w:tc>
        <w:tc>
          <w:tcPr>
            <w:tcW w:w="781" w:type="pct"/>
            <w:tcBorders>
              <w:bottom w:val="single" w:sz="12" w:space="0" w:color="auto"/>
            </w:tcBorders>
            <w:vAlign w:val="bottom"/>
          </w:tcPr>
          <w:p w14:paraId="63C579A6" w14:textId="064CD8C5" w:rsidR="00F571DF" w:rsidRPr="00343F5E" w:rsidRDefault="00F571DF" w:rsidP="00F571DF">
            <w:pPr>
              <w:tabs>
                <w:tab w:val="right" w:pos="1202"/>
              </w:tabs>
              <w:spacing w:line="340" w:lineRule="exact"/>
              <w:jc w:val="right"/>
              <w:outlineLvl w:val="0"/>
              <w:rPr>
                <w:rFonts w:ascii="Arial" w:eastAsia="Times New Roman" w:hAnsi="Arial" w:cs="Arial"/>
                <w:b/>
                <w:bCs/>
                <w:color w:val="000000" w:themeColor="text1"/>
                <w:sz w:val="20"/>
                <w:szCs w:val="20"/>
              </w:rPr>
            </w:pPr>
            <w:r w:rsidRPr="00343F5E">
              <w:rPr>
                <w:rFonts w:ascii="Arial" w:hAnsi="Arial" w:cs="Arial"/>
                <w:b/>
                <w:bCs/>
                <w:sz w:val="20"/>
                <w:szCs w:val="20"/>
              </w:rPr>
              <w:t xml:space="preserve"> 5.211 </w:t>
            </w:r>
          </w:p>
        </w:tc>
        <w:tc>
          <w:tcPr>
            <w:tcW w:w="781" w:type="pct"/>
            <w:tcBorders>
              <w:bottom w:val="single" w:sz="12" w:space="0" w:color="auto"/>
            </w:tcBorders>
            <w:vAlign w:val="bottom"/>
          </w:tcPr>
          <w:p w14:paraId="29D8D2E3" w14:textId="4D24A44E" w:rsidR="00F571DF" w:rsidRPr="00343F5E" w:rsidRDefault="00F571DF" w:rsidP="00F571DF">
            <w:pPr>
              <w:tabs>
                <w:tab w:val="right" w:pos="1202"/>
              </w:tabs>
              <w:spacing w:line="340" w:lineRule="exact"/>
              <w:jc w:val="right"/>
              <w:outlineLvl w:val="0"/>
              <w:rPr>
                <w:rFonts w:ascii="Arial" w:eastAsia="Times New Roman" w:hAnsi="Arial" w:cs="Arial"/>
                <w:b/>
                <w:bCs/>
                <w:color w:val="000000" w:themeColor="text1"/>
                <w:sz w:val="20"/>
                <w:szCs w:val="20"/>
              </w:rPr>
            </w:pPr>
            <w:r w:rsidRPr="00343F5E">
              <w:rPr>
                <w:rFonts w:ascii="Arial" w:hAnsi="Arial" w:cs="Arial"/>
                <w:b/>
                <w:bCs/>
                <w:sz w:val="20"/>
                <w:szCs w:val="20"/>
              </w:rPr>
              <w:t xml:space="preserve"> 43.700 </w:t>
            </w:r>
          </w:p>
        </w:tc>
        <w:tc>
          <w:tcPr>
            <w:tcW w:w="781" w:type="pct"/>
            <w:tcBorders>
              <w:bottom w:val="single" w:sz="12" w:space="0" w:color="auto"/>
            </w:tcBorders>
            <w:vAlign w:val="bottom"/>
          </w:tcPr>
          <w:p w14:paraId="59F0063D" w14:textId="7382EFE1" w:rsidR="00F571DF" w:rsidRPr="00F43653" w:rsidRDefault="00F571DF" w:rsidP="00F571DF">
            <w:pPr>
              <w:tabs>
                <w:tab w:val="right" w:pos="1202"/>
              </w:tabs>
              <w:spacing w:line="340" w:lineRule="exact"/>
              <w:jc w:val="right"/>
              <w:outlineLvl w:val="0"/>
              <w:rPr>
                <w:rFonts w:ascii="Arial" w:eastAsia="Times New Roman" w:hAnsi="Arial" w:cs="Arial"/>
                <w:b/>
                <w:bCs/>
                <w:color w:val="000000" w:themeColor="text1"/>
                <w:sz w:val="20"/>
                <w:szCs w:val="20"/>
              </w:rPr>
            </w:pPr>
            <w:r w:rsidRPr="00E84548">
              <w:rPr>
                <w:rFonts w:ascii="Arial" w:eastAsia="Times New Roman" w:hAnsi="Arial" w:cs="Arial"/>
                <w:b/>
                <w:bCs/>
                <w:color w:val="000000" w:themeColor="text1"/>
                <w:sz w:val="20"/>
                <w:szCs w:val="20"/>
              </w:rPr>
              <w:t>20.990</w:t>
            </w:r>
          </w:p>
        </w:tc>
        <w:tc>
          <w:tcPr>
            <w:tcW w:w="781" w:type="pct"/>
            <w:tcBorders>
              <w:bottom w:val="single" w:sz="12" w:space="0" w:color="auto"/>
            </w:tcBorders>
            <w:vAlign w:val="bottom"/>
          </w:tcPr>
          <w:p w14:paraId="682C398F" w14:textId="158608E4" w:rsidR="00F571DF" w:rsidRPr="00F43653" w:rsidRDefault="00F571DF" w:rsidP="00F571DF">
            <w:pPr>
              <w:tabs>
                <w:tab w:val="right" w:pos="1202"/>
              </w:tabs>
              <w:spacing w:line="340" w:lineRule="exact"/>
              <w:jc w:val="right"/>
              <w:outlineLvl w:val="0"/>
              <w:rPr>
                <w:rFonts w:ascii="Arial" w:eastAsia="Times New Roman" w:hAnsi="Arial" w:cs="Arial"/>
                <w:b/>
                <w:bCs/>
                <w:color w:val="000000" w:themeColor="text1"/>
                <w:sz w:val="20"/>
                <w:szCs w:val="20"/>
              </w:rPr>
            </w:pPr>
            <w:r w:rsidRPr="00E84548">
              <w:rPr>
                <w:rFonts w:ascii="Arial" w:eastAsia="Times New Roman" w:hAnsi="Arial" w:cs="Arial"/>
                <w:b/>
                <w:bCs/>
                <w:color w:val="000000" w:themeColor="text1"/>
                <w:sz w:val="20"/>
                <w:szCs w:val="20"/>
              </w:rPr>
              <w:t xml:space="preserve"> 50.768 </w:t>
            </w:r>
          </w:p>
        </w:tc>
      </w:tr>
      <w:tr w:rsidR="00B93212" w:rsidRPr="00F43653" w14:paraId="043762BB" w14:textId="77777777" w:rsidTr="00343F5E">
        <w:trPr>
          <w:trHeight w:val="308"/>
        </w:trPr>
        <w:tc>
          <w:tcPr>
            <w:tcW w:w="1875" w:type="pct"/>
            <w:vAlign w:val="bottom"/>
          </w:tcPr>
          <w:p w14:paraId="1D8F3034" w14:textId="77777777" w:rsidR="00B93212" w:rsidRPr="00F43653" w:rsidRDefault="00B93212" w:rsidP="00B93212">
            <w:pPr>
              <w:tabs>
                <w:tab w:val="right" w:pos="1202"/>
              </w:tabs>
              <w:spacing w:line="280" w:lineRule="exact"/>
              <w:outlineLvl w:val="0"/>
              <w:rPr>
                <w:rFonts w:ascii="Arial" w:hAnsi="Arial" w:cs="Arial"/>
                <w:b/>
                <w:bCs/>
                <w:color w:val="000000" w:themeColor="text1"/>
                <w:sz w:val="20"/>
                <w:szCs w:val="20"/>
              </w:rPr>
            </w:pPr>
            <w:r w:rsidRPr="00F43653">
              <w:rPr>
                <w:rFonts w:ascii="Arial" w:hAnsi="Arial" w:cs="Arial"/>
                <w:b/>
                <w:bCs/>
                <w:color w:val="000000" w:themeColor="text1"/>
                <w:sz w:val="20"/>
                <w:szCs w:val="20"/>
              </w:rPr>
              <w:t>Ostala sveobuhvatna dobit</w:t>
            </w:r>
          </w:p>
        </w:tc>
        <w:tc>
          <w:tcPr>
            <w:tcW w:w="781" w:type="pct"/>
            <w:vAlign w:val="bottom"/>
          </w:tcPr>
          <w:p w14:paraId="0912AFC6" w14:textId="77777777" w:rsidR="00B93212" w:rsidRPr="00343F5E" w:rsidRDefault="00B93212" w:rsidP="00B93212">
            <w:pPr>
              <w:tabs>
                <w:tab w:val="right" w:pos="1202"/>
              </w:tabs>
              <w:spacing w:line="340" w:lineRule="exact"/>
              <w:jc w:val="right"/>
              <w:outlineLvl w:val="0"/>
              <w:rPr>
                <w:rFonts w:ascii="Arial" w:eastAsia="Times New Roman" w:hAnsi="Arial" w:cs="Arial"/>
                <w:b/>
                <w:bCs/>
                <w:color w:val="000000" w:themeColor="text1"/>
                <w:sz w:val="20"/>
                <w:szCs w:val="20"/>
              </w:rPr>
            </w:pPr>
          </w:p>
        </w:tc>
        <w:tc>
          <w:tcPr>
            <w:tcW w:w="781" w:type="pct"/>
            <w:vAlign w:val="bottom"/>
          </w:tcPr>
          <w:p w14:paraId="2CEE0032" w14:textId="77777777" w:rsidR="00B93212" w:rsidRPr="00343F5E" w:rsidRDefault="00B93212" w:rsidP="00B93212">
            <w:pPr>
              <w:tabs>
                <w:tab w:val="right" w:pos="1202"/>
              </w:tabs>
              <w:spacing w:line="340" w:lineRule="exact"/>
              <w:jc w:val="right"/>
              <w:outlineLvl w:val="0"/>
              <w:rPr>
                <w:rFonts w:ascii="Arial" w:eastAsia="Times New Roman" w:hAnsi="Arial" w:cs="Arial"/>
                <w:b/>
                <w:bCs/>
                <w:color w:val="000000" w:themeColor="text1"/>
                <w:sz w:val="20"/>
                <w:szCs w:val="20"/>
              </w:rPr>
            </w:pPr>
          </w:p>
        </w:tc>
        <w:tc>
          <w:tcPr>
            <w:tcW w:w="781" w:type="pct"/>
            <w:vAlign w:val="bottom"/>
          </w:tcPr>
          <w:p w14:paraId="19390C7D" w14:textId="7E1F126C" w:rsidR="00B93212" w:rsidRPr="00F43653" w:rsidRDefault="00B93212" w:rsidP="00B93212">
            <w:pPr>
              <w:tabs>
                <w:tab w:val="right" w:pos="1202"/>
              </w:tabs>
              <w:spacing w:line="340" w:lineRule="exact"/>
              <w:jc w:val="right"/>
              <w:outlineLvl w:val="0"/>
              <w:rPr>
                <w:rFonts w:ascii="Arial" w:eastAsia="Times New Roman" w:hAnsi="Arial" w:cs="Arial"/>
                <w:b/>
                <w:bCs/>
                <w:color w:val="000000" w:themeColor="text1"/>
                <w:sz w:val="20"/>
                <w:szCs w:val="20"/>
              </w:rPr>
            </w:pPr>
          </w:p>
        </w:tc>
        <w:tc>
          <w:tcPr>
            <w:tcW w:w="781" w:type="pct"/>
            <w:vAlign w:val="bottom"/>
          </w:tcPr>
          <w:p w14:paraId="3CA0E9D5" w14:textId="77777777" w:rsidR="00B93212" w:rsidRPr="00F43653" w:rsidRDefault="00B93212" w:rsidP="00B93212">
            <w:pPr>
              <w:tabs>
                <w:tab w:val="right" w:pos="1202"/>
              </w:tabs>
              <w:spacing w:line="340" w:lineRule="exact"/>
              <w:jc w:val="right"/>
              <w:outlineLvl w:val="0"/>
              <w:rPr>
                <w:rFonts w:ascii="Arial" w:eastAsia="Times New Roman" w:hAnsi="Arial" w:cs="Arial"/>
                <w:b/>
                <w:bCs/>
                <w:color w:val="000000" w:themeColor="text1"/>
                <w:sz w:val="20"/>
                <w:szCs w:val="20"/>
              </w:rPr>
            </w:pPr>
          </w:p>
        </w:tc>
      </w:tr>
      <w:tr w:rsidR="00B93212" w:rsidRPr="00F43653" w14:paraId="07B20DDD" w14:textId="77777777" w:rsidTr="00343F5E">
        <w:trPr>
          <w:trHeight w:val="324"/>
        </w:trPr>
        <w:tc>
          <w:tcPr>
            <w:tcW w:w="1875" w:type="pct"/>
            <w:vAlign w:val="bottom"/>
          </w:tcPr>
          <w:p w14:paraId="18C84835" w14:textId="77777777" w:rsidR="00B93212" w:rsidRPr="00F43653" w:rsidRDefault="00B93212" w:rsidP="00B93212">
            <w:pPr>
              <w:tabs>
                <w:tab w:val="right" w:pos="1202"/>
              </w:tabs>
              <w:spacing w:line="340" w:lineRule="exact"/>
              <w:outlineLvl w:val="0"/>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Stavke koje se kasnije mogu uračunati u dobit ili gubitak:</w:t>
            </w:r>
          </w:p>
        </w:tc>
        <w:tc>
          <w:tcPr>
            <w:tcW w:w="781" w:type="pct"/>
            <w:vAlign w:val="bottom"/>
          </w:tcPr>
          <w:p w14:paraId="6ED2C469" w14:textId="77777777" w:rsidR="00B93212" w:rsidRPr="00343F5E" w:rsidRDefault="00B93212" w:rsidP="00B93212">
            <w:pPr>
              <w:tabs>
                <w:tab w:val="right" w:pos="1202"/>
              </w:tabs>
              <w:spacing w:line="340" w:lineRule="exact"/>
              <w:jc w:val="right"/>
              <w:outlineLvl w:val="0"/>
              <w:rPr>
                <w:rFonts w:ascii="Arial" w:eastAsia="Times New Roman" w:hAnsi="Arial" w:cs="Arial"/>
                <w:b/>
                <w:bCs/>
                <w:color w:val="000000" w:themeColor="text1"/>
                <w:sz w:val="20"/>
                <w:szCs w:val="20"/>
              </w:rPr>
            </w:pPr>
          </w:p>
        </w:tc>
        <w:tc>
          <w:tcPr>
            <w:tcW w:w="781" w:type="pct"/>
            <w:vAlign w:val="bottom"/>
          </w:tcPr>
          <w:p w14:paraId="26C5DCF1" w14:textId="77777777" w:rsidR="00B93212" w:rsidRPr="00343F5E" w:rsidRDefault="00B93212" w:rsidP="00B93212">
            <w:pPr>
              <w:tabs>
                <w:tab w:val="right" w:pos="1202"/>
              </w:tabs>
              <w:spacing w:line="340" w:lineRule="exact"/>
              <w:jc w:val="right"/>
              <w:outlineLvl w:val="0"/>
              <w:rPr>
                <w:rFonts w:ascii="Arial" w:eastAsia="Times New Roman" w:hAnsi="Arial" w:cs="Arial"/>
                <w:b/>
                <w:bCs/>
                <w:color w:val="000000" w:themeColor="text1"/>
                <w:sz w:val="20"/>
                <w:szCs w:val="20"/>
              </w:rPr>
            </w:pPr>
          </w:p>
        </w:tc>
        <w:tc>
          <w:tcPr>
            <w:tcW w:w="781" w:type="pct"/>
            <w:vAlign w:val="bottom"/>
          </w:tcPr>
          <w:p w14:paraId="5686D844" w14:textId="418A39A8" w:rsidR="00B93212" w:rsidRPr="00F43653" w:rsidRDefault="00B93212" w:rsidP="00B93212">
            <w:pPr>
              <w:tabs>
                <w:tab w:val="right" w:pos="1202"/>
              </w:tabs>
              <w:spacing w:line="340" w:lineRule="exact"/>
              <w:jc w:val="right"/>
              <w:outlineLvl w:val="0"/>
              <w:rPr>
                <w:rFonts w:ascii="Arial" w:eastAsia="Times New Roman" w:hAnsi="Arial" w:cs="Arial"/>
                <w:b/>
                <w:bCs/>
                <w:color w:val="000000" w:themeColor="text1"/>
                <w:sz w:val="20"/>
                <w:szCs w:val="20"/>
              </w:rPr>
            </w:pPr>
          </w:p>
        </w:tc>
        <w:tc>
          <w:tcPr>
            <w:tcW w:w="781" w:type="pct"/>
            <w:vAlign w:val="bottom"/>
          </w:tcPr>
          <w:p w14:paraId="0E239FB1" w14:textId="77777777" w:rsidR="00B93212" w:rsidRPr="00F43653" w:rsidRDefault="00B93212" w:rsidP="00B93212">
            <w:pPr>
              <w:tabs>
                <w:tab w:val="right" w:pos="1202"/>
              </w:tabs>
              <w:spacing w:line="340" w:lineRule="exact"/>
              <w:jc w:val="right"/>
              <w:outlineLvl w:val="0"/>
              <w:rPr>
                <w:rFonts w:ascii="Arial" w:eastAsia="Times New Roman" w:hAnsi="Arial" w:cs="Arial"/>
                <w:b/>
                <w:bCs/>
                <w:color w:val="000000" w:themeColor="text1"/>
                <w:sz w:val="20"/>
                <w:szCs w:val="20"/>
              </w:rPr>
            </w:pPr>
          </w:p>
        </w:tc>
      </w:tr>
      <w:tr w:rsidR="00343F5E" w:rsidRPr="00F43653" w14:paraId="10F78E4C" w14:textId="77777777" w:rsidTr="00343F5E">
        <w:trPr>
          <w:trHeight w:hRule="exact" w:val="1020"/>
        </w:trPr>
        <w:tc>
          <w:tcPr>
            <w:tcW w:w="1875" w:type="pct"/>
            <w:vAlign w:val="bottom"/>
          </w:tcPr>
          <w:p w14:paraId="54CA927A" w14:textId="77777777" w:rsidR="00343F5E" w:rsidRPr="00F43653" w:rsidRDefault="00343F5E" w:rsidP="00343F5E">
            <w:pPr>
              <w:tabs>
                <w:tab w:val="right" w:pos="1202"/>
              </w:tabs>
              <w:spacing w:line="340" w:lineRule="exact"/>
              <w:outlineLvl w:val="0"/>
              <w:rPr>
                <w:rFonts w:ascii="Arial" w:eastAsia="Times New Roman" w:hAnsi="Arial" w:cs="Arial"/>
                <w:bCs/>
                <w:color w:val="000000" w:themeColor="text1"/>
                <w:sz w:val="20"/>
                <w:szCs w:val="20"/>
              </w:rPr>
            </w:pPr>
            <w:r w:rsidRPr="00F43653">
              <w:rPr>
                <w:rFonts w:ascii="Arial" w:eastAsia="Times New Roman" w:hAnsi="Arial" w:cs="Arial"/>
                <w:bCs/>
                <w:color w:val="000000" w:themeColor="text1"/>
                <w:sz w:val="20"/>
                <w:szCs w:val="20"/>
              </w:rPr>
              <w:t>Neto promjene financijske imovine po fer vrijednosti kroz ostalu sveobuhvatnu dobit</w:t>
            </w:r>
          </w:p>
        </w:tc>
        <w:tc>
          <w:tcPr>
            <w:tcW w:w="781" w:type="pct"/>
            <w:tcBorders>
              <w:top w:val="nil"/>
              <w:left w:val="nil"/>
              <w:bottom w:val="nil"/>
              <w:right w:val="nil"/>
            </w:tcBorders>
            <w:shd w:val="clear" w:color="auto" w:fill="auto"/>
            <w:vAlign w:val="bottom"/>
          </w:tcPr>
          <w:p w14:paraId="67D9D612" w14:textId="4CF114BF" w:rsidR="00343F5E" w:rsidRPr="00343F5E" w:rsidRDefault="00343F5E" w:rsidP="00343F5E">
            <w:pPr>
              <w:tabs>
                <w:tab w:val="right" w:pos="1202"/>
              </w:tabs>
              <w:spacing w:line="340" w:lineRule="exact"/>
              <w:jc w:val="right"/>
              <w:outlineLvl w:val="0"/>
              <w:rPr>
                <w:rFonts w:ascii="Arial" w:hAnsi="Arial" w:cs="Arial"/>
                <w:sz w:val="20"/>
                <w:szCs w:val="20"/>
              </w:rPr>
            </w:pPr>
            <w:r w:rsidRPr="00343F5E">
              <w:rPr>
                <w:rFonts w:ascii="Arial" w:hAnsi="Arial" w:cs="Arial"/>
                <w:sz w:val="20"/>
                <w:szCs w:val="20"/>
              </w:rPr>
              <w:t xml:space="preserve"> 2.444 </w:t>
            </w:r>
          </w:p>
        </w:tc>
        <w:tc>
          <w:tcPr>
            <w:tcW w:w="781" w:type="pct"/>
            <w:tcBorders>
              <w:top w:val="nil"/>
              <w:left w:val="nil"/>
              <w:bottom w:val="nil"/>
              <w:right w:val="nil"/>
            </w:tcBorders>
            <w:shd w:val="clear" w:color="auto" w:fill="auto"/>
            <w:vAlign w:val="bottom"/>
          </w:tcPr>
          <w:p w14:paraId="2AF650D3" w14:textId="57B5C5C4" w:rsidR="00343F5E" w:rsidRPr="00343F5E" w:rsidRDefault="00343F5E" w:rsidP="00343F5E">
            <w:pPr>
              <w:tabs>
                <w:tab w:val="right" w:pos="1202"/>
              </w:tabs>
              <w:spacing w:line="340" w:lineRule="exact"/>
              <w:jc w:val="right"/>
              <w:outlineLvl w:val="0"/>
              <w:rPr>
                <w:rFonts w:ascii="Arial" w:hAnsi="Arial" w:cs="Arial"/>
                <w:sz w:val="20"/>
                <w:szCs w:val="20"/>
              </w:rPr>
            </w:pPr>
            <w:r w:rsidRPr="00343F5E">
              <w:rPr>
                <w:rFonts w:ascii="Arial" w:hAnsi="Arial" w:cs="Arial"/>
                <w:sz w:val="20"/>
                <w:szCs w:val="20"/>
              </w:rPr>
              <w:t xml:space="preserve"> 2.683 </w:t>
            </w:r>
          </w:p>
        </w:tc>
        <w:tc>
          <w:tcPr>
            <w:tcW w:w="781" w:type="pct"/>
            <w:tcBorders>
              <w:top w:val="nil"/>
              <w:left w:val="nil"/>
              <w:bottom w:val="nil"/>
              <w:right w:val="nil"/>
            </w:tcBorders>
            <w:shd w:val="clear" w:color="auto" w:fill="auto"/>
            <w:vAlign w:val="bottom"/>
          </w:tcPr>
          <w:p w14:paraId="7A623F30" w14:textId="45EEF0B4" w:rsidR="00343F5E" w:rsidRPr="00E84548" w:rsidRDefault="00343F5E" w:rsidP="00343F5E">
            <w:pPr>
              <w:tabs>
                <w:tab w:val="right" w:pos="1202"/>
              </w:tabs>
              <w:spacing w:line="340" w:lineRule="exact"/>
              <w:jc w:val="right"/>
              <w:outlineLvl w:val="0"/>
              <w:rPr>
                <w:rFonts w:ascii="Arial" w:hAnsi="Arial" w:cs="Arial"/>
                <w:sz w:val="20"/>
                <w:szCs w:val="20"/>
              </w:rPr>
            </w:pPr>
            <w:r>
              <w:rPr>
                <w:rFonts w:ascii="Arial" w:hAnsi="Arial" w:cs="Arial"/>
                <w:sz w:val="20"/>
                <w:szCs w:val="20"/>
              </w:rPr>
              <w:t>308</w:t>
            </w:r>
          </w:p>
        </w:tc>
        <w:tc>
          <w:tcPr>
            <w:tcW w:w="781" w:type="pct"/>
            <w:tcBorders>
              <w:top w:val="nil"/>
              <w:left w:val="nil"/>
              <w:bottom w:val="nil"/>
              <w:right w:val="nil"/>
            </w:tcBorders>
            <w:shd w:val="clear" w:color="auto" w:fill="auto"/>
            <w:vAlign w:val="bottom"/>
          </w:tcPr>
          <w:p w14:paraId="261F11B8" w14:textId="4098AC64" w:rsidR="00343F5E" w:rsidRPr="00E84548" w:rsidRDefault="00343F5E" w:rsidP="00343F5E">
            <w:pPr>
              <w:tabs>
                <w:tab w:val="right" w:pos="1202"/>
              </w:tabs>
              <w:spacing w:line="340" w:lineRule="exact"/>
              <w:jc w:val="right"/>
              <w:outlineLvl w:val="0"/>
              <w:rPr>
                <w:rFonts w:ascii="Arial" w:hAnsi="Arial" w:cs="Arial"/>
                <w:sz w:val="20"/>
                <w:szCs w:val="20"/>
              </w:rPr>
            </w:pPr>
            <w:r w:rsidRPr="00E84548">
              <w:rPr>
                <w:rFonts w:ascii="Arial" w:hAnsi="Arial" w:cs="Arial"/>
                <w:sz w:val="20"/>
                <w:szCs w:val="20"/>
              </w:rPr>
              <w:t xml:space="preserve"> 574 </w:t>
            </w:r>
          </w:p>
        </w:tc>
      </w:tr>
      <w:tr w:rsidR="00343F5E" w:rsidRPr="00F43653" w14:paraId="1F2E4F7C" w14:textId="77777777" w:rsidTr="00343F5E">
        <w:trPr>
          <w:trHeight w:hRule="exact" w:val="737"/>
        </w:trPr>
        <w:tc>
          <w:tcPr>
            <w:tcW w:w="1875" w:type="pct"/>
            <w:vAlign w:val="bottom"/>
          </w:tcPr>
          <w:p w14:paraId="041AB3E8" w14:textId="77777777" w:rsidR="00343F5E" w:rsidRPr="00F43653" w:rsidRDefault="00343F5E" w:rsidP="00343F5E">
            <w:pPr>
              <w:tabs>
                <w:tab w:val="right" w:pos="1202"/>
              </w:tabs>
              <w:spacing w:line="340" w:lineRule="exact"/>
              <w:outlineLvl w:val="0"/>
              <w:rPr>
                <w:rFonts w:ascii="Arial" w:eastAsia="Times New Roman" w:hAnsi="Arial" w:cs="Arial"/>
                <w:bCs/>
                <w:color w:val="000000" w:themeColor="text1"/>
                <w:sz w:val="20"/>
                <w:szCs w:val="20"/>
              </w:rPr>
            </w:pPr>
            <w:r w:rsidRPr="00F43653">
              <w:rPr>
                <w:rFonts w:ascii="Arial" w:eastAsia="Times New Roman" w:hAnsi="Arial" w:cs="Arial"/>
                <w:bCs/>
                <w:color w:val="000000" w:themeColor="text1"/>
                <w:sz w:val="20"/>
                <w:szCs w:val="20"/>
              </w:rPr>
              <w:t>Neto tečajne razlike po vlasničkim vrijednosnim papirima</w:t>
            </w:r>
          </w:p>
        </w:tc>
        <w:tc>
          <w:tcPr>
            <w:tcW w:w="781" w:type="pct"/>
            <w:tcBorders>
              <w:top w:val="nil"/>
              <w:left w:val="nil"/>
              <w:bottom w:val="nil"/>
              <w:right w:val="nil"/>
            </w:tcBorders>
            <w:shd w:val="clear" w:color="auto" w:fill="auto"/>
            <w:vAlign w:val="bottom"/>
          </w:tcPr>
          <w:p w14:paraId="552522A1" w14:textId="7370DCFF" w:rsidR="00343F5E" w:rsidRPr="00343F5E" w:rsidRDefault="00343F5E" w:rsidP="00343F5E">
            <w:pPr>
              <w:tabs>
                <w:tab w:val="right" w:pos="1202"/>
              </w:tabs>
              <w:spacing w:line="340" w:lineRule="exact"/>
              <w:jc w:val="right"/>
              <w:outlineLvl w:val="0"/>
              <w:rPr>
                <w:rFonts w:ascii="Arial" w:hAnsi="Arial" w:cs="Arial"/>
                <w:sz w:val="20"/>
                <w:szCs w:val="20"/>
              </w:rPr>
            </w:pPr>
            <w:r w:rsidRPr="00343F5E">
              <w:rPr>
                <w:rFonts w:ascii="Arial" w:hAnsi="Arial" w:cs="Arial"/>
                <w:sz w:val="20"/>
                <w:szCs w:val="20"/>
              </w:rPr>
              <w:t xml:space="preserve"> - </w:t>
            </w:r>
          </w:p>
        </w:tc>
        <w:tc>
          <w:tcPr>
            <w:tcW w:w="781" w:type="pct"/>
            <w:tcBorders>
              <w:top w:val="nil"/>
              <w:left w:val="nil"/>
              <w:bottom w:val="nil"/>
              <w:right w:val="nil"/>
            </w:tcBorders>
            <w:shd w:val="clear" w:color="auto" w:fill="auto"/>
            <w:vAlign w:val="bottom"/>
          </w:tcPr>
          <w:p w14:paraId="0CAE68F0" w14:textId="4BDB18F3" w:rsidR="00343F5E" w:rsidRPr="00343F5E" w:rsidRDefault="00343F5E" w:rsidP="00343F5E">
            <w:pPr>
              <w:tabs>
                <w:tab w:val="right" w:pos="1202"/>
              </w:tabs>
              <w:spacing w:line="340" w:lineRule="exact"/>
              <w:jc w:val="right"/>
              <w:outlineLvl w:val="0"/>
              <w:rPr>
                <w:rFonts w:ascii="Arial" w:hAnsi="Arial" w:cs="Arial"/>
                <w:sz w:val="20"/>
                <w:szCs w:val="20"/>
              </w:rPr>
            </w:pPr>
            <w:r w:rsidRPr="00343F5E">
              <w:rPr>
                <w:rFonts w:ascii="Arial" w:hAnsi="Arial" w:cs="Arial"/>
                <w:sz w:val="20"/>
                <w:szCs w:val="20"/>
              </w:rPr>
              <w:t xml:space="preserve"> - </w:t>
            </w:r>
          </w:p>
        </w:tc>
        <w:tc>
          <w:tcPr>
            <w:tcW w:w="781" w:type="pct"/>
            <w:tcBorders>
              <w:top w:val="nil"/>
              <w:left w:val="nil"/>
              <w:bottom w:val="nil"/>
              <w:right w:val="nil"/>
            </w:tcBorders>
            <w:shd w:val="clear" w:color="auto" w:fill="auto"/>
            <w:vAlign w:val="bottom"/>
          </w:tcPr>
          <w:p w14:paraId="0F748AE6" w14:textId="59EE805C" w:rsidR="00343F5E" w:rsidRPr="00E84548" w:rsidRDefault="00343F5E" w:rsidP="00343F5E">
            <w:pPr>
              <w:tabs>
                <w:tab w:val="right" w:pos="1202"/>
              </w:tabs>
              <w:spacing w:line="340" w:lineRule="exact"/>
              <w:jc w:val="right"/>
              <w:outlineLvl w:val="0"/>
              <w:rPr>
                <w:rFonts w:ascii="Arial" w:hAnsi="Arial" w:cs="Arial"/>
                <w:sz w:val="20"/>
                <w:szCs w:val="20"/>
              </w:rPr>
            </w:pPr>
            <w:r>
              <w:rPr>
                <w:rFonts w:ascii="Arial" w:hAnsi="Arial" w:cs="Arial"/>
                <w:sz w:val="20"/>
                <w:szCs w:val="20"/>
              </w:rPr>
              <w:t>-</w:t>
            </w:r>
          </w:p>
        </w:tc>
        <w:tc>
          <w:tcPr>
            <w:tcW w:w="781" w:type="pct"/>
            <w:tcBorders>
              <w:top w:val="nil"/>
              <w:left w:val="nil"/>
              <w:bottom w:val="nil"/>
              <w:right w:val="nil"/>
            </w:tcBorders>
            <w:shd w:val="clear" w:color="auto" w:fill="auto"/>
            <w:vAlign w:val="bottom"/>
          </w:tcPr>
          <w:p w14:paraId="05015534" w14:textId="1A22C2B8" w:rsidR="00343F5E" w:rsidRPr="00E84548" w:rsidRDefault="00343F5E" w:rsidP="00343F5E">
            <w:pPr>
              <w:tabs>
                <w:tab w:val="right" w:pos="1202"/>
              </w:tabs>
              <w:spacing w:line="340" w:lineRule="exact"/>
              <w:jc w:val="right"/>
              <w:outlineLvl w:val="0"/>
              <w:rPr>
                <w:rFonts w:ascii="Arial" w:hAnsi="Arial" w:cs="Arial"/>
                <w:sz w:val="20"/>
                <w:szCs w:val="20"/>
              </w:rPr>
            </w:pPr>
            <w:r w:rsidRPr="00E84548">
              <w:rPr>
                <w:rFonts w:ascii="Arial" w:hAnsi="Arial" w:cs="Arial"/>
                <w:sz w:val="20"/>
                <w:szCs w:val="20"/>
              </w:rPr>
              <w:t xml:space="preserve"> - </w:t>
            </w:r>
          </w:p>
        </w:tc>
      </w:tr>
      <w:tr w:rsidR="00343F5E" w:rsidRPr="00F43653" w14:paraId="2B1CA237" w14:textId="77777777" w:rsidTr="00343F5E">
        <w:trPr>
          <w:trHeight w:val="318"/>
        </w:trPr>
        <w:tc>
          <w:tcPr>
            <w:tcW w:w="1875" w:type="pct"/>
            <w:vAlign w:val="bottom"/>
          </w:tcPr>
          <w:p w14:paraId="4EAC063D" w14:textId="77777777" w:rsidR="00343F5E" w:rsidRPr="00F43653" w:rsidRDefault="00343F5E" w:rsidP="00343F5E">
            <w:pPr>
              <w:tabs>
                <w:tab w:val="right" w:pos="1202"/>
              </w:tabs>
              <w:spacing w:line="340" w:lineRule="exact"/>
              <w:outlineLvl w:val="0"/>
              <w:rPr>
                <w:rFonts w:ascii="Arial" w:eastAsia="Times New Roman" w:hAnsi="Arial" w:cs="Arial"/>
                <w:bCs/>
                <w:color w:val="000000" w:themeColor="text1"/>
                <w:sz w:val="20"/>
                <w:szCs w:val="20"/>
              </w:rPr>
            </w:pPr>
            <w:r w:rsidRPr="00F43653">
              <w:rPr>
                <w:rFonts w:ascii="Arial" w:eastAsia="Times New Roman" w:hAnsi="Arial" w:cs="Arial"/>
                <w:bCs/>
                <w:color w:val="000000" w:themeColor="text1"/>
                <w:sz w:val="20"/>
                <w:szCs w:val="20"/>
              </w:rPr>
              <w:t>Odgođeni porez – ostala sveobuhvatna dobit</w:t>
            </w:r>
          </w:p>
        </w:tc>
        <w:tc>
          <w:tcPr>
            <w:tcW w:w="781" w:type="pct"/>
            <w:tcBorders>
              <w:bottom w:val="single" w:sz="2" w:space="0" w:color="auto"/>
            </w:tcBorders>
            <w:vAlign w:val="bottom"/>
          </w:tcPr>
          <w:p w14:paraId="034686C3" w14:textId="2F58F4ED" w:rsidR="00343F5E" w:rsidRPr="00343F5E" w:rsidRDefault="00343F5E" w:rsidP="00343F5E">
            <w:pPr>
              <w:tabs>
                <w:tab w:val="right" w:pos="1202"/>
              </w:tabs>
              <w:spacing w:line="340" w:lineRule="exact"/>
              <w:jc w:val="right"/>
              <w:outlineLvl w:val="0"/>
              <w:rPr>
                <w:rFonts w:ascii="Arial" w:hAnsi="Arial" w:cs="Arial"/>
                <w:sz w:val="20"/>
                <w:szCs w:val="20"/>
              </w:rPr>
            </w:pPr>
            <w:r w:rsidRPr="00343F5E">
              <w:rPr>
                <w:rFonts w:ascii="Arial" w:hAnsi="Arial" w:cs="Arial"/>
                <w:sz w:val="20"/>
                <w:szCs w:val="20"/>
              </w:rPr>
              <w:t xml:space="preserve"> - </w:t>
            </w:r>
          </w:p>
        </w:tc>
        <w:tc>
          <w:tcPr>
            <w:tcW w:w="781" w:type="pct"/>
            <w:tcBorders>
              <w:bottom w:val="single" w:sz="2" w:space="0" w:color="auto"/>
            </w:tcBorders>
            <w:vAlign w:val="bottom"/>
          </w:tcPr>
          <w:p w14:paraId="43ACA900" w14:textId="02B8E8FD" w:rsidR="00343F5E" w:rsidRPr="00343F5E" w:rsidRDefault="00343F5E" w:rsidP="00343F5E">
            <w:pPr>
              <w:tabs>
                <w:tab w:val="right" w:pos="1202"/>
              </w:tabs>
              <w:spacing w:line="340" w:lineRule="exact"/>
              <w:jc w:val="right"/>
              <w:outlineLvl w:val="0"/>
              <w:rPr>
                <w:rFonts w:ascii="Arial" w:hAnsi="Arial" w:cs="Arial"/>
                <w:sz w:val="20"/>
                <w:szCs w:val="20"/>
              </w:rPr>
            </w:pPr>
            <w:r w:rsidRPr="00343F5E">
              <w:rPr>
                <w:rFonts w:ascii="Arial" w:hAnsi="Arial" w:cs="Arial"/>
                <w:sz w:val="20"/>
                <w:szCs w:val="20"/>
              </w:rPr>
              <w:t xml:space="preserve"> 4 </w:t>
            </w:r>
          </w:p>
        </w:tc>
        <w:tc>
          <w:tcPr>
            <w:tcW w:w="781" w:type="pct"/>
            <w:tcBorders>
              <w:bottom w:val="single" w:sz="2" w:space="0" w:color="auto"/>
            </w:tcBorders>
            <w:vAlign w:val="bottom"/>
          </w:tcPr>
          <w:p w14:paraId="387822DC" w14:textId="623DBD75" w:rsidR="00343F5E" w:rsidRPr="00E84548" w:rsidRDefault="00343F5E" w:rsidP="00343F5E">
            <w:pPr>
              <w:tabs>
                <w:tab w:val="right" w:pos="1202"/>
              </w:tabs>
              <w:spacing w:line="340" w:lineRule="exact"/>
              <w:jc w:val="right"/>
              <w:outlineLvl w:val="0"/>
              <w:rPr>
                <w:rFonts w:ascii="Arial" w:hAnsi="Arial" w:cs="Arial"/>
                <w:sz w:val="20"/>
                <w:szCs w:val="20"/>
              </w:rPr>
            </w:pPr>
            <w:r>
              <w:rPr>
                <w:rFonts w:ascii="Arial" w:hAnsi="Arial" w:cs="Arial"/>
                <w:sz w:val="20"/>
                <w:szCs w:val="20"/>
              </w:rPr>
              <w:t>22</w:t>
            </w:r>
          </w:p>
        </w:tc>
        <w:tc>
          <w:tcPr>
            <w:tcW w:w="781" w:type="pct"/>
            <w:tcBorders>
              <w:bottom w:val="single" w:sz="2" w:space="0" w:color="auto"/>
            </w:tcBorders>
            <w:vAlign w:val="bottom"/>
          </w:tcPr>
          <w:p w14:paraId="73DE1D72" w14:textId="3213BC3F" w:rsidR="00343F5E" w:rsidRPr="00E84548" w:rsidRDefault="00343F5E" w:rsidP="00343F5E">
            <w:pPr>
              <w:tabs>
                <w:tab w:val="right" w:pos="1202"/>
              </w:tabs>
              <w:spacing w:line="340" w:lineRule="exact"/>
              <w:jc w:val="right"/>
              <w:outlineLvl w:val="0"/>
              <w:rPr>
                <w:rFonts w:ascii="Arial" w:hAnsi="Arial" w:cs="Arial"/>
                <w:sz w:val="20"/>
                <w:szCs w:val="20"/>
              </w:rPr>
            </w:pPr>
            <w:r w:rsidRPr="00E84548">
              <w:rPr>
                <w:rFonts w:ascii="Arial" w:hAnsi="Arial" w:cs="Arial"/>
                <w:sz w:val="20"/>
                <w:szCs w:val="20"/>
              </w:rPr>
              <w:t xml:space="preserve"> 22 </w:t>
            </w:r>
          </w:p>
        </w:tc>
      </w:tr>
      <w:tr w:rsidR="00343F5E" w:rsidRPr="00F43653" w14:paraId="0AB811AF" w14:textId="77777777" w:rsidTr="00343F5E">
        <w:trPr>
          <w:trHeight w:val="113"/>
        </w:trPr>
        <w:tc>
          <w:tcPr>
            <w:tcW w:w="1875" w:type="pct"/>
            <w:vAlign w:val="bottom"/>
          </w:tcPr>
          <w:p w14:paraId="0487DEF1" w14:textId="77777777" w:rsidR="00343F5E" w:rsidRPr="00F43653" w:rsidRDefault="00343F5E" w:rsidP="00343F5E">
            <w:pPr>
              <w:tabs>
                <w:tab w:val="right" w:pos="1202"/>
              </w:tabs>
              <w:outlineLvl w:val="0"/>
              <w:rPr>
                <w:rFonts w:ascii="Arial" w:hAnsi="Arial" w:cs="Arial"/>
                <w:bCs/>
                <w:color w:val="000000" w:themeColor="text1"/>
                <w:sz w:val="20"/>
                <w:szCs w:val="20"/>
              </w:rPr>
            </w:pPr>
            <w:r w:rsidRPr="00F43653">
              <w:rPr>
                <w:rFonts w:ascii="Arial" w:hAnsi="Arial" w:cs="Arial"/>
                <w:b/>
                <w:bCs/>
                <w:color w:val="000000" w:themeColor="text1"/>
                <w:sz w:val="20"/>
                <w:szCs w:val="20"/>
              </w:rPr>
              <w:t>Ukupno stavke koje se kasnije mogu uračunati u dobit ili gubitak</w:t>
            </w:r>
          </w:p>
        </w:tc>
        <w:tc>
          <w:tcPr>
            <w:tcW w:w="781" w:type="pct"/>
            <w:tcBorders>
              <w:top w:val="single" w:sz="2" w:space="0" w:color="auto"/>
              <w:bottom w:val="single" w:sz="4" w:space="0" w:color="auto"/>
            </w:tcBorders>
            <w:vAlign w:val="bottom"/>
          </w:tcPr>
          <w:p w14:paraId="0B9FAD0C" w14:textId="6B5F8C18" w:rsidR="00343F5E" w:rsidRPr="00343F5E" w:rsidRDefault="00343F5E" w:rsidP="00343F5E">
            <w:pPr>
              <w:tabs>
                <w:tab w:val="right" w:pos="1202"/>
              </w:tabs>
              <w:spacing w:line="340" w:lineRule="exact"/>
              <w:jc w:val="right"/>
              <w:outlineLvl w:val="0"/>
              <w:rPr>
                <w:rFonts w:ascii="Arial" w:hAnsi="Arial" w:cs="Arial"/>
                <w:b/>
                <w:bCs/>
                <w:sz w:val="20"/>
                <w:szCs w:val="20"/>
              </w:rPr>
            </w:pPr>
            <w:r w:rsidRPr="00343F5E">
              <w:rPr>
                <w:rFonts w:ascii="Arial" w:hAnsi="Arial" w:cs="Arial"/>
                <w:b/>
                <w:bCs/>
                <w:sz w:val="20"/>
                <w:szCs w:val="20"/>
              </w:rPr>
              <w:t xml:space="preserve"> 2.444 </w:t>
            </w:r>
          </w:p>
        </w:tc>
        <w:tc>
          <w:tcPr>
            <w:tcW w:w="781" w:type="pct"/>
            <w:tcBorders>
              <w:top w:val="single" w:sz="2" w:space="0" w:color="auto"/>
              <w:bottom w:val="single" w:sz="4" w:space="0" w:color="auto"/>
            </w:tcBorders>
            <w:vAlign w:val="bottom"/>
          </w:tcPr>
          <w:p w14:paraId="07BE673A" w14:textId="4B8E6509" w:rsidR="00343F5E" w:rsidRPr="00343F5E" w:rsidRDefault="00343F5E" w:rsidP="00343F5E">
            <w:pPr>
              <w:tabs>
                <w:tab w:val="right" w:pos="1202"/>
              </w:tabs>
              <w:spacing w:line="340" w:lineRule="exact"/>
              <w:jc w:val="right"/>
              <w:outlineLvl w:val="0"/>
              <w:rPr>
                <w:rFonts w:ascii="Arial" w:hAnsi="Arial" w:cs="Arial"/>
                <w:b/>
                <w:bCs/>
                <w:sz w:val="20"/>
                <w:szCs w:val="20"/>
              </w:rPr>
            </w:pPr>
            <w:r w:rsidRPr="00343F5E">
              <w:rPr>
                <w:rFonts w:ascii="Arial" w:hAnsi="Arial" w:cs="Arial"/>
                <w:b/>
                <w:bCs/>
                <w:sz w:val="20"/>
                <w:szCs w:val="20"/>
              </w:rPr>
              <w:t xml:space="preserve"> 2.687 </w:t>
            </w:r>
          </w:p>
        </w:tc>
        <w:tc>
          <w:tcPr>
            <w:tcW w:w="781" w:type="pct"/>
            <w:tcBorders>
              <w:top w:val="single" w:sz="2" w:space="0" w:color="auto"/>
              <w:bottom w:val="single" w:sz="4" w:space="0" w:color="auto"/>
            </w:tcBorders>
            <w:vAlign w:val="bottom"/>
          </w:tcPr>
          <w:p w14:paraId="6B80778C" w14:textId="64B6DB36" w:rsidR="00343F5E" w:rsidRPr="007478FB" w:rsidRDefault="00343F5E" w:rsidP="00343F5E">
            <w:pPr>
              <w:tabs>
                <w:tab w:val="right" w:pos="1202"/>
              </w:tabs>
              <w:spacing w:line="340" w:lineRule="exact"/>
              <w:jc w:val="right"/>
              <w:outlineLvl w:val="0"/>
              <w:rPr>
                <w:rFonts w:ascii="Arial" w:hAnsi="Arial" w:cs="Arial"/>
                <w:b/>
                <w:bCs/>
                <w:sz w:val="20"/>
                <w:szCs w:val="20"/>
              </w:rPr>
            </w:pPr>
            <w:r>
              <w:rPr>
                <w:rFonts w:ascii="Arial" w:hAnsi="Arial" w:cs="Arial"/>
                <w:b/>
                <w:bCs/>
                <w:sz w:val="20"/>
                <w:szCs w:val="20"/>
              </w:rPr>
              <w:t>330</w:t>
            </w:r>
          </w:p>
        </w:tc>
        <w:tc>
          <w:tcPr>
            <w:tcW w:w="781" w:type="pct"/>
            <w:tcBorders>
              <w:top w:val="single" w:sz="2" w:space="0" w:color="auto"/>
              <w:bottom w:val="single" w:sz="4" w:space="0" w:color="auto"/>
            </w:tcBorders>
            <w:vAlign w:val="bottom"/>
          </w:tcPr>
          <w:p w14:paraId="3A77384F" w14:textId="08B1F84C" w:rsidR="00343F5E" w:rsidRPr="007478FB" w:rsidRDefault="00343F5E" w:rsidP="00343F5E">
            <w:pPr>
              <w:tabs>
                <w:tab w:val="right" w:pos="1202"/>
              </w:tabs>
              <w:spacing w:line="340" w:lineRule="exact"/>
              <w:jc w:val="right"/>
              <w:outlineLvl w:val="0"/>
              <w:rPr>
                <w:rFonts w:ascii="Arial" w:hAnsi="Arial" w:cs="Arial"/>
                <w:b/>
                <w:bCs/>
                <w:sz w:val="20"/>
                <w:szCs w:val="20"/>
              </w:rPr>
            </w:pPr>
            <w:r>
              <w:rPr>
                <w:rFonts w:ascii="Arial" w:hAnsi="Arial" w:cs="Arial"/>
                <w:b/>
                <w:bCs/>
                <w:sz w:val="20"/>
                <w:szCs w:val="20"/>
              </w:rPr>
              <w:t>596</w:t>
            </w:r>
          </w:p>
        </w:tc>
      </w:tr>
      <w:tr w:rsidR="00343F5E" w:rsidRPr="00F43653" w14:paraId="3D3C168D" w14:textId="77777777" w:rsidTr="00343F5E">
        <w:trPr>
          <w:trHeight w:val="113"/>
        </w:trPr>
        <w:tc>
          <w:tcPr>
            <w:tcW w:w="1875" w:type="pct"/>
            <w:vAlign w:val="bottom"/>
          </w:tcPr>
          <w:p w14:paraId="48891759" w14:textId="77777777" w:rsidR="00343F5E" w:rsidRPr="00F43653" w:rsidRDefault="00343F5E" w:rsidP="00343F5E">
            <w:pPr>
              <w:tabs>
                <w:tab w:val="right" w:pos="1202"/>
              </w:tabs>
              <w:outlineLvl w:val="0"/>
              <w:rPr>
                <w:rFonts w:ascii="Arial" w:hAnsi="Arial" w:cs="Arial"/>
                <w:b/>
                <w:bCs/>
                <w:color w:val="000000" w:themeColor="text1"/>
                <w:sz w:val="20"/>
                <w:szCs w:val="20"/>
              </w:rPr>
            </w:pPr>
            <w:r w:rsidRPr="00F43653">
              <w:rPr>
                <w:rFonts w:ascii="Arial" w:hAnsi="Arial" w:cs="Arial"/>
                <w:b/>
                <w:bCs/>
                <w:color w:val="000000" w:themeColor="text1"/>
                <w:sz w:val="20"/>
                <w:szCs w:val="20"/>
              </w:rPr>
              <w:t>Ostala sveobuhvatna dobit nakon oporezivanja</w:t>
            </w:r>
          </w:p>
        </w:tc>
        <w:tc>
          <w:tcPr>
            <w:tcW w:w="781" w:type="pct"/>
            <w:tcBorders>
              <w:bottom w:val="single" w:sz="4" w:space="0" w:color="auto"/>
            </w:tcBorders>
            <w:vAlign w:val="bottom"/>
          </w:tcPr>
          <w:p w14:paraId="1C57B5E8" w14:textId="30C6EEE6" w:rsidR="00343F5E" w:rsidRPr="00343F5E" w:rsidRDefault="00343F5E" w:rsidP="00343F5E">
            <w:pPr>
              <w:tabs>
                <w:tab w:val="right" w:pos="1202"/>
              </w:tabs>
              <w:spacing w:line="340" w:lineRule="exact"/>
              <w:jc w:val="right"/>
              <w:outlineLvl w:val="0"/>
              <w:rPr>
                <w:rFonts w:ascii="Arial" w:hAnsi="Arial" w:cs="Arial"/>
                <w:b/>
                <w:bCs/>
                <w:sz w:val="20"/>
                <w:szCs w:val="20"/>
              </w:rPr>
            </w:pPr>
            <w:r w:rsidRPr="00343F5E">
              <w:rPr>
                <w:rFonts w:ascii="Arial" w:hAnsi="Arial" w:cs="Arial"/>
                <w:b/>
                <w:bCs/>
                <w:sz w:val="20"/>
                <w:szCs w:val="20"/>
              </w:rPr>
              <w:t xml:space="preserve"> 2.444 </w:t>
            </w:r>
          </w:p>
        </w:tc>
        <w:tc>
          <w:tcPr>
            <w:tcW w:w="781" w:type="pct"/>
            <w:tcBorders>
              <w:bottom w:val="single" w:sz="4" w:space="0" w:color="auto"/>
            </w:tcBorders>
            <w:vAlign w:val="bottom"/>
          </w:tcPr>
          <w:p w14:paraId="6BEA4EB5" w14:textId="5AC7C538" w:rsidR="00343F5E" w:rsidRPr="00343F5E" w:rsidRDefault="00343F5E" w:rsidP="00343F5E">
            <w:pPr>
              <w:tabs>
                <w:tab w:val="right" w:pos="1202"/>
              </w:tabs>
              <w:spacing w:line="340" w:lineRule="exact"/>
              <w:jc w:val="right"/>
              <w:outlineLvl w:val="0"/>
              <w:rPr>
                <w:rFonts w:ascii="Arial" w:hAnsi="Arial" w:cs="Arial"/>
                <w:b/>
                <w:bCs/>
                <w:sz w:val="20"/>
                <w:szCs w:val="20"/>
              </w:rPr>
            </w:pPr>
            <w:r w:rsidRPr="00343F5E">
              <w:rPr>
                <w:rFonts w:ascii="Arial" w:hAnsi="Arial" w:cs="Arial"/>
                <w:b/>
                <w:bCs/>
                <w:sz w:val="20"/>
                <w:szCs w:val="20"/>
              </w:rPr>
              <w:t xml:space="preserve"> 2.687 </w:t>
            </w:r>
          </w:p>
        </w:tc>
        <w:tc>
          <w:tcPr>
            <w:tcW w:w="781" w:type="pct"/>
            <w:tcBorders>
              <w:bottom w:val="single" w:sz="4" w:space="0" w:color="auto"/>
            </w:tcBorders>
            <w:vAlign w:val="bottom"/>
          </w:tcPr>
          <w:p w14:paraId="4E519091" w14:textId="45283B03" w:rsidR="00343F5E" w:rsidRPr="007478FB" w:rsidRDefault="00343F5E" w:rsidP="00343F5E">
            <w:pPr>
              <w:tabs>
                <w:tab w:val="right" w:pos="1202"/>
              </w:tabs>
              <w:spacing w:line="340" w:lineRule="exact"/>
              <w:jc w:val="right"/>
              <w:outlineLvl w:val="0"/>
              <w:rPr>
                <w:rFonts w:ascii="Arial" w:hAnsi="Arial" w:cs="Arial"/>
                <w:b/>
                <w:bCs/>
                <w:sz w:val="20"/>
                <w:szCs w:val="20"/>
              </w:rPr>
            </w:pPr>
            <w:r>
              <w:rPr>
                <w:rFonts w:ascii="Arial" w:hAnsi="Arial" w:cs="Arial"/>
                <w:b/>
                <w:bCs/>
                <w:sz w:val="20"/>
                <w:szCs w:val="20"/>
              </w:rPr>
              <w:t>330</w:t>
            </w:r>
          </w:p>
        </w:tc>
        <w:tc>
          <w:tcPr>
            <w:tcW w:w="781" w:type="pct"/>
            <w:tcBorders>
              <w:bottom w:val="single" w:sz="4" w:space="0" w:color="auto"/>
            </w:tcBorders>
            <w:vAlign w:val="bottom"/>
          </w:tcPr>
          <w:p w14:paraId="2A23DF59" w14:textId="6B0B46CE" w:rsidR="00343F5E" w:rsidRPr="007478FB" w:rsidRDefault="00343F5E" w:rsidP="00343F5E">
            <w:pPr>
              <w:tabs>
                <w:tab w:val="right" w:pos="1202"/>
              </w:tabs>
              <w:spacing w:line="340" w:lineRule="exact"/>
              <w:jc w:val="right"/>
              <w:outlineLvl w:val="0"/>
              <w:rPr>
                <w:rFonts w:ascii="Arial" w:hAnsi="Arial" w:cs="Arial"/>
                <w:b/>
                <w:bCs/>
                <w:sz w:val="20"/>
                <w:szCs w:val="20"/>
              </w:rPr>
            </w:pPr>
            <w:r>
              <w:rPr>
                <w:rFonts w:ascii="Arial" w:hAnsi="Arial" w:cs="Arial"/>
                <w:b/>
                <w:bCs/>
                <w:sz w:val="20"/>
                <w:szCs w:val="20"/>
              </w:rPr>
              <w:t>596</w:t>
            </w:r>
          </w:p>
        </w:tc>
      </w:tr>
      <w:tr w:rsidR="00343F5E" w:rsidRPr="00F43653" w14:paraId="7FC12C52" w14:textId="77777777" w:rsidTr="00343F5E">
        <w:trPr>
          <w:trHeight w:val="20"/>
        </w:trPr>
        <w:tc>
          <w:tcPr>
            <w:tcW w:w="1875" w:type="pct"/>
            <w:vAlign w:val="bottom"/>
          </w:tcPr>
          <w:p w14:paraId="2EFBCE7B" w14:textId="77777777" w:rsidR="00343F5E" w:rsidRPr="00F43653" w:rsidRDefault="00343F5E" w:rsidP="00343F5E">
            <w:pPr>
              <w:tabs>
                <w:tab w:val="right" w:pos="1202"/>
              </w:tabs>
              <w:spacing w:line="340" w:lineRule="exact"/>
              <w:outlineLvl w:val="0"/>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Ukupna sveobuhvatna dobit nakon oporezivanja</w:t>
            </w:r>
          </w:p>
        </w:tc>
        <w:tc>
          <w:tcPr>
            <w:tcW w:w="781" w:type="pct"/>
            <w:tcBorders>
              <w:bottom w:val="single" w:sz="12" w:space="0" w:color="auto"/>
            </w:tcBorders>
            <w:vAlign w:val="bottom"/>
          </w:tcPr>
          <w:p w14:paraId="55F7893B" w14:textId="3CE5E31D" w:rsidR="00343F5E" w:rsidRPr="00343F5E" w:rsidRDefault="00343F5E" w:rsidP="00343F5E">
            <w:pPr>
              <w:tabs>
                <w:tab w:val="right" w:pos="1202"/>
              </w:tabs>
              <w:spacing w:line="340" w:lineRule="exact"/>
              <w:jc w:val="right"/>
              <w:outlineLvl w:val="0"/>
              <w:rPr>
                <w:rFonts w:ascii="Arial" w:hAnsi="Arial" w:cs="Arial"/>
                <w:b/>
                <w:bCs/>
                <w:sz w:val="20"/>
                <w:szCs w:val="20"/>
              </w:rPr>
            </w:pPr>
            <w:r w:rsidRPr="00343F5E">
              <w:rPr>
                <w:rFonts w:ascii="Arial" w:hAnsi="Arial" w:cs="Arial"/>
                <w:b/>
                <w:bCs/>
                <w:sz w:val="20"/>
                <w:szCs w:val="20"/>
              </w:rPr>
              <w:t xml:space="preserve"> 7.655 </w:t>
            </w:r>
          </w:p>
        </w:tc>
        <w:tc>
          <w:tcPr>
            <w:tcW w:w="781" w:type="pct"/>
            <w:tcBorders>
              <w:bottom w:val="single" w:sz="12" w:space="0" w:color="auto"/>
            </w:tcBorders>
            <w:vAlign w:val="bottom"/>
          </w:tcPr>
          <w:p w14:paraId="145892AC" w14:textId="5A46AD58" w:rsidR="00343F5E" w:rsidRPr="00343F5E" w:rsidRDefault="00343F5E" w:rsidP="00343F5E">
            <w:pPr>
              <w:tabs>
                <w:tab w:val="right" w:pos="1202"/>
              </w:tabs>
              <w:spacing w:line="340" w:lineRule="exact"/>
              <w:jc w:val="right"/>
              <w:outlineLvl w:val="0"/>
              <w:rPr>
                <w:rFonts w:ascii="Arial" w:hAnsi="Arial" w:cs="Arial"/>
                <w:b/>
                <w:bCs/>
                <w:sz w:val="20"/>
                <w:szCs w:val="20"/>
              </w:rPr>
            </w:pPr>
            <w:r w:rsidRPr="00343F5E">
              <w:rPr>
                <w:rFonts w:ascii="Arial" w:hAnsi="Arial" w:cs="Arial"/>
                <w:b/>
                <w:bCs/>
                <w:sz w:val="20"/>
                <w:szCs w:val="20"/>
              </w:rPr>
              <w:t xml:space="preserve"> 46.387 </w:t>
            </w:r>
          </w:p>
        </w:tc>
        <w:tc>
          <w:tcPr>
            <w:tcW w:w="781" w:type="pct"/>
            <w:tcBorders>
              <w:bottom w:val="single" w:sz="12" w:space="0" w:color="auto"/>
            </w:tcBorders>
            <w:vAlign w:val="bottom"/>
          </w:tcPr>
          <w:p w14:paraId="0D2D0C8B" w14:textId="07A89553" w:rsidR="00343F5E" w:rsidRPr="007478FB" w:rsidRDefault="00343F5E" w:rsidP="00343F5E">
            <w:pPr>
              <w:tabs>
                <w:tab w:val="right" w:pos="1202"/>
              </w:tabs>
              <w:spacing w:line="340" w:lineRule="exact"/>
              <w:jc w:val="right"/>
              <w:outlineLvl w:val="0"/>
              <w:rPr>
                <w:rFonts w:ascii="Arial" w:hAnsi="Arial" w:cs="Arial"/>
                <w:b/>
                <w:bCs/>
                <w:sz w:val="20"/>
                <w:szCs w:val="20"/>
              </w:rPr>
            </w:pPr>
            <w:r>
              <w:rPr>
                <w:rFonts w:ascii="Arial" w:hAnsi="Arial" w:cs="Arial"/>
                <w:b/>
                <w:bCs/>
                <w:sz w:val="20"/>
                <w:szCs w:val="20"/>
              </w:rPr>
              <w:t>21.320</w:t>
            </w:r>
          </w:p>
        </w:tc>
        <w:tc>
          <w:tcPr>
            <w:tcW w:w="781" w:type="pct"/>
            <w:tcBorders>
              <w:bottom w:val="single" w:sz="12" w:space="0" w:color="auto"/>
            </w:tcBorders>
            <w:vAlign w:val="bottom"/>
          </w:tcPr>
          <w:p w14:paraId="1446EB65" w14:textId="506F81D6" w:rsidR="00343F5E" w:rsidRPr="007478FB" w:rsidRDefault="00343F5E" w:rsidP="00343F5E">
            <w:pPr>
              <w:tabs>
                <w:tab w:val="right" w:pos="1202"/>
              </w:tabs>
              <w:spacing w:line="340" w:lineRule="exact"/>
              <w:jc w:val="right"/>
              <w:outlineLvl w:val="0"/>
              <w:rPr>
                <w:rFonts w:ascii="Arial" w:hAnsi="Arial" w:cs="Arial"/>
                <w:b/>
                <w:bCs/>
                <w:sz w:val="20"/>
                <w:szCs w:val="20"/>
              </w:rPr>
            </w:pPr>
            <w:r>
              <w:rPr>
                <w:rFonts w:ascii="Arial" w:hAnsi="Arial" w:cs="Arial"/>
                <w:b/>
                <w:bCs/>
                <w:sz w:val="20"/>
                <w:szCs w:val="20"/>
              </w:rPr>
              <w:t>51.364</w:t>
            </w:r>
          </w:p>
        </w:tc>
      </w:tr>
      <w:tr w:rsidR="00B93212" w:rsidRPr="00F43653" w14:paraId="5E31BE69" w14:textId="77777777" w:rsidTr="00343F5E">
        <w:trPr>
          <w:trHeight w:val="20"/>
        </w:trPr>
        <w:tc>
          <w:tcPr>
            <w:tcW w:w="1875" w:type="pct"/>
            <w:vAlign w:val="bottom"/>
          </w:tcPr>
          <w:p w14:paraId="30CE538E" w14:textId="77777777" w:rsidR="00B93212" w:rsidRPr="00F43653" w:rsidRDefault="00B93212" w:rsidP="00B93212">
            <w:pPr>
              <w:tabs>
                <w:tab w:val="right" w:pos="1202"/>
              </w:tabs>
              <w:spacing w:line="301" w:lineRule="exact"/>
              <w:outlineLvl w:val="0"/>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Ukupna sveobuhvatna dobit:</w:t>
            </w:r>
          </w:p>
        </w:tc>
        <w:tc>
          <w:tcPr>
            <w:tcW w:w="781" w:type="pct"/>
            <w:vAlign w:val="bottom"/>
          </w:tcPr>
          <w:p w14:paraId="7D13DC65" w14:textId="77777777" w:rsidR="00B93212" w:rsidRPr="00343F5E" w:rsidRDefault="00B93212" w:rsidP="00B93212">
            <w:pPr>
              <w:keepNext/>
              <w:keepLines/>
              <w:spacing w:line="301" w:lineRule="exact"/>
              <w:jc w:val="right"/>
              <w:rPr>
                <w:rFonts w:ascii="Arial" w:eastAsia="Times New Roman" w:hAnsi="Arial" w:cs="Arial"/>
                <w:b/>
                <w:bCs/>
                <w:color w:val="000000" w:themeColor="text1"/>
                <w:position w:val="4"/>
                <w:sz w:val="20"/>
                <w:szCs w:val="20"/>
              </w:rPr>
            </w:pPr>
          </w:p>
        </w:tc>
        <w:tc>
          <w:tcPr>
            <w:tcW w:w="781" w:type="pct"/>
            <w:vAlign w:val="bottom"/>
          </w:tcPr>
          <w:p w14:paraId="7DFAF7D0" w14:textId="1FE90E16" w:rsidR="00B93212" w:rsidRPr="00343F5E" w:rsidRDefault="00B93212" w:rsidP="00B93212">
            <w:pPr>
              <w:keepNext/>
              <w:keepLines/>
              <w:spacing w:line="301" w:lineRule="exact"/>
              <w:jc w:val="right"/>
              <w:rPr>
                <w:rFonts w:ascii="Arial" w:eastAsia="Times New Roman" w:hAnsi="Arial" w:cs="Arial"/>
                <w:b/>
                <w:bCs/>
                <w:color w:val="000000" w:themeColor="text1"/>
                <w:position w:val="4"/>
                <w:sz w:val="20"/>
                <w:szCs w:val="20"/>
              </w:rPr>
            </w:pPr>
          </w:p>
        </w:tc>
        <w:tc>
          <w:tcPr>
            <w:tcW w:w="781" w:type="pct"/>
            <w:vAlign w:val="bottom"/>
          </w:tcPr>
          <w:p w14:paraId="76683B89" w14:textId="24FF9C17" w:rsidR="00B93212" w:rsidRPr="00F43653" w:rsidRDefault="00B93212" w:rsidP="00B93212">
            <w:pPr>
              <w:keepNext/>
              <w:keepLines/>
              <w:spacing w:line="301" w:lineRule="exact"/>
              <w:jc w:val="right"/>
              <w:rPr>
                <w:rFonts w:ascii="Arial" w:eastAsia="Times New Roman" w:hAnsi="Arial" w:cs="Arial"/>
                <w:b/>
                <w:bCs/>
                <w:color w:val="000000" w:themeColor="text1"/>
                <w:position w:val="4"/>
                <w:sz w:val="20"/>
                <w:szCs w:val="20"/>
              </w:rPr>
            </w:pPr>
          </w:p>
        </w:tc>
        <w:tc>
          <w:tcPr>
            <w:tcW w:w="781" w:type="pct"/>
            <w:vAlign w:val="bottom"/>
          </w:tcPr>
          <w:p w14:paraId="17C0E584" w14:textId="77777777" w:rsidR="00B93212" w:rsidRPr="00F43653" w:rsidRDefault="00B93212" w:rsidP="00B93212">
            <w:pPr>
              <w:keepNext/>
              <w:keepLines/>
              <w:spacing w:line="301" w:lineRule="exact"/>
              <w:jc w:val="right"/>
              <w:rPr>
                <w:rFonts w:ascii="Arial" w:eastAsia="Times New Roman" w:hAnsi="Arial" w:cs="Arial"/>
                <w:b/>
                <w:bCs/>
                <w:color w:val="000000" w:themeColor="text1"/>
                <w:position w:val="4"/>
                <w:sz w:val="20"/>
                <w:szCs w:val="20"/>
              </w:rPr>
            </w:pPr>
          </w:p>
        </w:tc>
      </w:tr>
      <w:tr w:rsidR="00343F5E" w:rsidRPr="00F43653" w14:paraId="4ECC3F10" w14:textId="77777777" w:rsidTr="00343F5E">
        <w:trPr>
          <w:trHeight w:val="285"/>
        </w:trPr>
        <w:tc>
          <w:tcPr>
            <w:tcW w:w="1875" w:type="pct"/>
            <w:vAlign w:val="bottom"/>
          </w:tcPr>
          <w:p w14:paraId="3562AA98" w14:textId="77777777" w:rsidR="00343F5E" w:rsidRPr="00F43653" w:rsidRDefault="00343F5E" w:rsidP="00343F5E">
            <w:pPr>
              <w:tabs>
                <w:tab w:val="right" w:pos="1202"/>
              </w:tabs>
              <w:spacing w:line="301" w:lineRule="exact"/>
              <w:outlineLvl w:val="0"/>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Vlasniku društva</w:t>
            </w:r>
          </w:p>
        </w:tc>
        <w:tc>
          <w:tcPr>
            <w:tcW w:w="781" w:type="pct"/>
            <w:tcBorders>
              <w:bottom w:val="single" w:sz="12" w:space="0" w:color="auto"/>
            </w:tcBorders>
            <w:vAlign w:val="bottom"/>
          </w:tcPr>
          <w:p w14:paraId="0318C94D" w14:textId="256D386D" w:rsidR="00343F5E" w:rsidRPr="00343F5E" w:rsidRDefault="00343F5E" w:rsidP="00343F5E">
            <w:pPr>
              <w:tabs>
                <w:tab w:val="right" w:pos="1202"/>
              </w:tabs>
              <w:spacing w:line="340" w:lineRule="exact"/>
              <w:jc w:val="right"/>
              <w:outlineLvl w:val="0"/>
              <w:rPr>
                <w:rFonts w:ascii="Arial" w:hAnsi="Arial" w:cs="Arial"/>
                <w:b/>
                <w:bCs/>
                <w:sz w:val="20"/>
                <w:szCs w:val="20"/>
              </w:rPr>
            </w:pPr>
            <w:r w:rsidRPr="00343F5E">
              <w:rPr>
                <w:rFonts w:ascii="Arial" w:hAnsi="Arial" w:cs="Arial"/>
                <w:b/>
                <w:bCs/>
                <w:sz w:val="20"/>
                <w:szCs w:val="20"/>
              </w:rPr>
              <w:t xml:space="preserve"> 7.655 </w:t>
            </w:r>
          </w:p>
        </w:tc>
        <w:tc>
          <w:tcPr>
            <w:tcW w:w="781" w:type="pct"/>
            <w:tcBorders>
              <w:bottom w:val="single" w:sz="12" w:space="0" w:color="auto"/>
            </w:tcBorders>
            <w:vAlign w:val="bottom"/>
          </w:tcPr>
          <w:p w14:paraId="68EF3961" w14:textId="6A1A6438" w:rsidR="00343F5E" w:rsidRPr="00343F5E" w:rsidRDefault="00343F5E" w:rsidP="00343F5E">
            <w:pPr>
              <w:tabs>
                <w:tab w:val="right" w:pos="1202"/>
              </w:tabs>
              <w:spacing w:line="340" w:lineRule="exact"/>
              <w:jc w:val="right"/>
              <w:outlineLvl w:val="0"/>
              <w:rPr>
                <w:rFonts w:ascii="Arial" w:hAnsi="Arial" w:cs="Arial"/>
                <w:b/>
                <w:bCs/>
                <w:sz w:val="20"/>
                <w:szCs w:val="20"/>
              </w:rPr>
            </w:pPr>
            <w:r w:rsidRPr="00343F5E">
              <w:rPr>
                <w:rFonts w:ascii="Arial" w:hAnsi="Arial" w:cs="Arial"/>
                <w:b/>
                <w:bCs/>
                <w:sz w:val="20"/>
                <w:szCs w:val="20"/>
              </w:rPr>
              <w:t xml:space="preserve"> 46.387 </w:t>
            </w:r>
          </w:p>
        </w:tc>
        <w:tc>
          <w:tcPr>
            <w:tcW w:w="781" w:type="pct"/>
            <w:tcBorders>
              <w:bottom w:val="single" w:sz="12" w:space="0" w:color="auto"/>
            </w:tcBorders>
            <w:vAlign w:val="bottom"/>
          </w:tcPr>
          <w:p w14:paraId="25376B01" w14:textId="5DFD4F5A" w:rsidR="00343F5E" w:rsidRPr="00F43653" w:rsidRDefault="00343F5E" w:rsidP="00343F5E">
            <w:pPr>
              <w:tabs>
                <w:tab w:val="right" w:pos="1202"/>
              </w:tabs>
              <w:spacing w:line="340" w:lineRule="exact"/>
              <w:jc w:val="right"/>
              <w:outlineLvl w:val="0"/>
              <w:rPr>
                <w:rFonts w:ascii="Arial" w:eastAsia="Times New Roman" w:hAnsi="Arial" w:cs="Arial"/>
                <w:b/>
                <w:bCs/>
                <w:color w:val="000000" w:themeColor="text1"/>
                <w:sz w:val="20"/>
                <w:szCs w:val="20"/>
              </w:rPr>
            </w:pPr>
            <w:r>
              <w:rPr>
                <w:rFonts w:ascii="Arial" w:hAnsi="Arial" w:cs="Arial"/>
                <w:b/>
                <w:bCs/>
                <w:sz w:val="20"/>
                <w:szCs w:val="20"/>
              </w:rPr>
              <w:t>21.320</w:t>
            </w:r>
          </w:p>
        </w:tc>
        <w:tc>
          <w:tcPr>
            <w:tcW w:w="781" w:type="pct"/>
            <w:tcBorders>
              <w:bottom w:val="single" w:sz="12" w:space="0" w:color="auto"/>
            </w:tcBorders>
            <w:vAlign w:val="bottom"/>
          </w:tcPr>
          <w:p w14:paraId="5A10BA69" w14:textId="1E44CC14" w:rsidR="00343F5E" w:rsidRPr="00F43653" w:rsidRDefault="00343F5E" w:rsidP="00343F5E">
            <w:pPr>
              <w:tabs>
                <w:tab w:val="right" w:pos="1202"/>
              </w:tabs>
              <w:spacing w:line="340" w:lineRule="exact"/>
              <w:jc w:val="right"/>
              <w:outlineLvl w:val="0"/>
              <w:rPr>
                <w:rFonts w:ascii="Arial" w:eastAsia="Times New Roman" w:hAnsi="Arial" w:cs="Arial"/>
                <w:b/>
                <w:bCs/>
                <w:color w:val="000000" w:themeColor="text1"/>
                <w:sz w:val="20"/>
                <w:szCs w:val="20"/>
              </w:rPr>
            </w:pPr>
            <w:r>
              <w:rPr>
                <w:rFonts w:ascii="Arial" w:hAnsi="Arial" w:cs="Arial"/>
                <w:b/>
                <w:bCs/>
                <w:sz w:val="20"/>
                <w:szCs w:val="20"/>
              </w:rPr>
              <w:t>51.364</w:t>
            </w:r>
          </w:p>
        </w:tc>
      </w:tr>
    </w:tbl>
    <w:p w14:paraId="5FBFD386" w14:textId="77777777" w:rsidR="00806E49" w:rsidRPr="003D1614" w:rsidRDefault="00806E49" w:rsidP="008C368A">
      <w:pPr>
        <w:keepNext/>
        <w:suppressAutoHyphens/>
        <w:autoSpaceDN w:val="0"/>
        <w:jc w:val="both"/>
        <w:outlineLvl w:val="0"/>
        <w:rPr>
          <w:rFonts w:ascii="Arial" w:eastAsia="Times New Roman" w:hAnsi="Arial" w:cs="Arial"/>
          <w:bCs/>
          <w:color w:val="000000" w:themeColor="text1"/>
          <w:sz w:val="20"/>
          <w:szCs w:val="20"/>
        </w:rPr>
      </w:pPr>
    </w:p>
    <w:p w14:paraId="77A28EC6" w14:textId="77777777" w:rsidR="00E37F31" w:rsidRPr="003D1614" w:rsidRDefault="00E37F31" w:rsidP="008C368A">
      <w:pPr>
        <w:keepNext/>
        <w:suppressAutoHyphens/>
        <w:autoSpaceDN w:val="0"/>
        <w:jc w:val="both"/>
        <w:outlineLvl w:val="0"/>
        <w:rPr>
          <w:rFonts w:ascii="Arial" w:eastAsia="Times New Roman" w:hAnsi="Arial" w:cs="Arial"/>
          <w:bCs/>
          <w:color w:val="000000" w:themeColor="text1"/>
          <w:sz w:val="20"/>
          <w:szCs w:val="20"/>
        </w:rPr>
      </w:pPr>
    </w:p>
    <w:p w14:paraId="78B2C006" w14:textId="77777777" w:rsidR="00A24D20" w:rsidRDefault="00A24D20" w:rsidP="008C368A">
      <w:pPr>
        <w:keepNext/>
        <w:suppressAutoHyphens/>
        <w:autoSpaceDN w:val="0"/>
        <w:jc w:val="both"/>
        <w:outlineLvl w:val="0"/>
        <w:rPr>
          <w:rFonts w:ascii="Arial" w:eastAsia="Times New Roman" w:hAnsi="Arial" w:cs="Arial"/>
          <w:color w:val="000000" w:themeColor="text1"/>
          <w:sz w:val="20"/>
          <w:szCs w:val="20"/>
        </w:rPr>
      </w:pPr>
    </w:p>
    <w:p w14:paraId="4DD9BA09" w14:textId="77777777" w:rsidR="00A24D20" w:rsidRDefault="00A24D20" w:rsidP="008C368A">
      <w:pPr>
        <w:keepNext/>
        <w:suppressAutoHyphens/>
        <w:autoSpaceDN w:val="0"/>
        <w:jc w:val="both"/>
        <w:outlineLvl w:val="0"/>
        <w:rPr>
          <w:rFonts w:ascii="Arial" w:eastAsia="Times New Roman" w:hAnsi="Arial" w:cs="Arial"/>
          <w:color w:val="000000" w:themeColor="text1"/>
          <w:sz w:val="20"/>
          <w:szCs w:val="20"/>
        </w:rPr>
      </w:pPr>
    </w:p>
    <w:p w14:paraId="40E78188" w14:textId="77777777" w:rsidR="00A24D20" w:rsidRDefault="00A24D20" w:rsidP="008C368A">
      <w:pPr>
        <w:keepNext/>
        <w:suppressAutoHyphens/>
        <w:autoSpaceDN w:val="0"/>
        <w:jc w:val="both"/>
        <w:outlineLvl w:val="0"/>
        <w:rPr>
          <w:rFonts w:ascii="Arial" w:eastAsia="Times New Roman" w:hAnsi="Arial" w:cs="Arial"/>
          <w:color w:val="000000" w:themeColor="text1"/>
          <w:sz w:val="20"/>
          <w:szCs w:val="20"/>
        </w:rPr>
      </w:pPr>
    </w:p>
    <w:p w14:paraId="0A8076B1" w14:textId="20DFB31F" w:rsidR="00E37F31" w:rsidRPr="003D1614" w:rsidRDefault="00E37F31" w:rsidP="008C368A">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Priložene računovodstvene politike i bilješke sastavni su dio ovih financijskih izvještaja.</w:t>
      </w:r>
    </w:p>
    <w:p w14:paraId="29312497" w14:textId="77777777" w:rsidR="00E37F31" w:rsidRPr="003D1614" w:rsidRDefault="00E37F31" w:rsidP="008C368A">
      <w:pPr>
        <w:keepNext/>
        <w:suppressAutoHyphens/>
        <w:autoSpaceDN w:val="0"/>
        <w:jc w:val="both"/>
        <w:outlineLvl w:val="0"/>
        <w:rPr>
          <w:rFonts w:ascii="Arial" w:eastAsia="Times New Roman" w:hAnsi="Arial" w:cs="Arial"/>
          <w:color w:val="000000" w:themeColor="text1"/>
          <w:sz w:val="20"/>
          <w:szCs w:val="20"/>
        </w:rPr>
      </w:pPr>
    </w:p>
    <w:p w14:paraId="30152DB7" w14:textId="77777777" w:rsidR="00E37F31" w:rsidRPr="003D1614" w:rsidRDefault="00E37F31" w:rsidP="008C368A">
      <w:pPr>
        <w:keepNext/>
        <w:suppressAutoHyphens/>
        <w:autoSpaceDN w:val="0"/>
        <w:jc w:val="both"/>
        <w:outlineLvl w:val="0"/>
        <w:rPr>
          <w:rFonts w:ascii="Arial" w:eastAsia="Times New Roman" w:hAnsi="Arial" w:cs="Arial"/>
          <w:bCs/>
          <w:color w:val="000000" w:themeColor="text1"/>
          <w:sz w:val="20"/>
          <w:szCs w:val="20"/>
        </w:rPr>
        <w:sectPr w:rsidR="00E37F31" w:rsidRPr="003D1614">
          <w:headerReference w:type="default" r:id="rId12"/>
          <w:pgSz w:w="11906" w:h="16838"/>
          <w:pgMar w:top="1417" w:right="1417" w:bottom="1417" w:left="1417" w:header="708" w:footer="708" w:gutter="0"/>
          <w:cols w:space="708"/>
          <w:docGrid w:linePitch="360"/>
        </w:sectPr>
      </w:pPr>
    </w:p>
    <w:p w14:paraId="0331FF20" w14:textId="77777777" w:rsidR="00E37F31" w:rsidRPr="003D1614" w:rsidRDefault="00E37F31" w:rsidP="008C368A">
      <w:pPr>
        <w:keepNext/>
        <w:suppressAutoHyphens/>
        <w:autoSpaceDN w:val="0"/>
        <w:jc w:val="both"/>
        <w:outlineLvl w:val="0"/>
        <w:rPr>
          <w:rFonts w:ascii="Arial" w:eastAsia="Times New Roman" w:hAnsi="Arial" w:cs="Arial"/>
          <w:bCs/>
          <w:color w:val="000000" w:themeColor="text1"/>
          <w:sz w:val="20"/>
          <w:szCs w:val="20"/>
        </w:rPr>
      </w:pPr>
    </w:p>
    <w:tbl>
      <w:tblPr>
        <w:tblpPr w:leftFromText="181" w:rightFromText="181" w:vertAnchor="text" w:horzAnchor="margin" w:tblpY="392"/>
        <w:tblW w:w="9214" w:type="dxa"/>
        <w:tblLayout w:type="fixed"/>
        <w:tblLook w:val="0000" w:firstRow="0" w:lastRow="0" w:firstColumn="0" w:lastColumn="0" w:noHBand="0" w:noVBand="0"/>
      </w:tblPr>
      <w:tblGrid>
        <w:gridCol w:w="5529"/>
        <w:gridCol w:w="992"/>
        <w:gridCol w:w="1346"/>
        <w:gridCol w:w="1347"/>
      </w:tblGrid>
      <w:tr w:rsidR="007214E2" w:rsidRPr="00F43653" w14:paraId="0C28C6BB" w14:textId="77777777" w:rsidTr="00465E49">
        <w:trPr>
          <w:trHeight w:val="230"/>
        </w:trPr>
        <w:tc>
          <w:tcPr>
            <w:tcW w:w="5529" w:type="dxa"/>
            <w:vAlign w:val="bottom"/>
          </w:tcPr>
          <w:p w14:paraId="401A7605" w14:textId="77777777" w:rsidR="007214E2" w:rsidRPr="00F43653" w:rsidRDefault="007214E2" w:rsidP="00964790">
            <w:pPr>
              <w:rPr>
                <w:rFonts w:ascii="Arial" w:hAnsi="Arial" w:cs="Arial"/>
                <w:color w:val="000000" w:themeColor="text1"/>
                <w:sz w:val="20"/>
                <w:szCs w:val="20"/>
              </w:rPr>
            </w:pPr>
          </w:p>
          <w:p w14:paraId="522E6692" w14:textId="77777777" w:rsidR="007214E2" w:rsidRPr="00F43653" w:rsidRDefault="007214E2" w:rsidP="00964790">
            <w:pPr>
              <w:rPr>
                <w:rFonts w:ascii="Arial" w:hAnsi="Arial" w:cs="Arial"/>
                <w:color w:val="000000" w:themeColor="text1"/>
                <w:sz w:val="20"/>
                <w:szCs w:val="20"/>
              </w:rPr>
            </w:pPr>
          </w:p>
        </w:tc>
        <w:tc>
          <w:tcPr>
            <w:tcW w:w="992" w:type="dxa"/>
            <w:vAlign w:val="bottom"/>
          </w:tcPr>
          <w:p w14:paraId="5921D730" w14:textId="77777777" w:rsidR="007214E2" w:rsidRPr="00F43653" w:rsidRDefault="007214E2" w:rsidP="00964790">
            <w:pPr>
              <w:jc w:val="center"/>
              <w:rPr>
                <w:rFonts w:ascii="Arial" w:hAnsi="Arial" w:cs="Arial"/>
                <w:b/>
                <w:color w:val="000000" w:themeColor="text1"/>
                <w:sz w:val="20"/>
                <w:szCs w:val="20"/>
              </w:rPr>
            </w:pPr>
          </w:p>
        </w:tc>
        <w:tc>
          <w:tcPr>
            <w:tcW w:w="1346" w:type="dxa"/>
            <w:vAlign w:val="bottom"/>
          </w:tcPr>
          <w:p w14:paraId="024938B7" w14:textId="653659F6" w:rsidR="007214E2" w:rsidRPr="00F43653" w:rsidRDefault="00A24D20" w:rsidP="00964790">
            <w:pPr>
              <w:jc w:val="right"/>
              <w:rPr>
                <w:rFonts w:ascii="Arial" w:hAnsi="Arial" w:cs="Arial"/>
                <w:b/>
                <w:color w:val="000000" w:themeColor="text1"/>
                <w:sz w:val="20"/>
                <w:szCs w:val="20"/>
              </w:rPr>
            </w:pPr>
            <w:r w:rsidRPr="00F43653">
              <w:rPr>
                <w:rFonts w:ascii="Arial" w:hAnsi="Arial" w:cs="Arial"/>
                <w:b/>
                <w:color w:val="000000" w:themeColor="text1"/>
                <w:sz w:val="20"/>
                <w:szCs w:val="20"/>
              </w:rPr>
              <w:t>30</w:t>
            </w:r>
            <w:r w:rsidR="007214E2" w:rsidRPr="00F43653">
              <w:rPr>
                <w:rFonts w:ascii="Arial" w:hAnsi="Arial" w:cs="Arial"/>
                <w:b/>
                <w:color w:val="000000" w:themeColor="text1"/>
                <w:sz w:val="20"/>
                <w:szCs w:val="20"/>
              </w:rPr>
              <w:t>.</w:t>
            </w:r>
            <w:r w:rsidR="00893BF4">
              <w:rPr>
                <w:rFonts w:ascii="Arial" w:hAnsi="Arial" w:cs="Arial"/>
                <w:b/>
                <w:color w:val="000000" w:themeColor="text1"/>
                <w:sz w:val="20"/>
                <w:szCs w:val="20"/>
              </w:rPr>
              <w:t>9</w:t>
            </w:r>
            <w:r w:rsidR="007214E2" w:rsidRPr="00F43653">
              <w:rPr>
                <w:rFonts w:ascii="Arial" w:hAnsi="Arial" w:cs="Arial"/>
                <w:b/>
                <w:color w:val="000000" w:themeColor="text1"/>
                <w:sz w:val="20"/>
                <w:szCs w:val="20"/>
              </w:rPr>
              <w:t>.202</w:t>
            </w:r>
            <w:r w:rsidR="00DB2C54">
              <w:rPr>
                <w:rFonts w:ascii="Arial" w:hAnsi="Arial" w:cs="Arial"/>
                <w:b/>
                <w:color w:val="000000" w:themeColor="text1"/>
                <w:sz w:val="20"/>
                <w:szCs w:val="20"/>
              </w:rPr>
              <w:t>4</w:t>
            </w:r>
            <w:r w:rsidR="007214E2" w:rsidRPr="00F43653">
              <w:rPr>
                <w:rFonts w:ascii="Arial" w:hAnsi="Arial" w:cs="Arial"/>
                <w:b/>
                <w:color w:val="000000" w:themeColor="text1"/>
                <w:sz w:val="20"/>
                <w:szCs w:val="20"/>
              </w:rPr>
              <w:t>.</w:t>
            </w:r>
          </w:p>
        </w:tc>
        <w:tc>
          <w:tcPr>
            <w:tcW w:w="1347" w:type="dxa"/>
            <w:vAlign w:val="bottom"/>
          </w:tcPr>
          <w:p w14:paraId="4E1163A6" w14:textId="5C729621" w:rsidR="007214E2" w:rsidRPr="00F43653" w:rsidRDefault="007214E2" w:rsidP="00964790">
            <w:pPr>
              <w:jc w:val="right"/>
              <w:rPr>
                <w:rFonts w:ascii="Arial" w:hAnsi="Arial" w:cs="Arial"/>
                <w:b/>
                <w:color w:val="000000" w:themeColor="text1"/>
                <w:sz w:val="20"/>
                <w:szCs w:val="20"/>
              </w:rPr>
            </w:pPr>
            <w:r w:rsidRPr="00F43653">
              <w:rPr>
                <w:rFonts w:ascii="Arial" w:hAnsi="Arial" w:cs="Arial"/>
                <w:b/>
                <w:color w:val="000000" w:themeColor="text1"/>
                <w:sz w:val="20"/>
                <w:szCs w:val="20"/>
              </w:rPr>
              <w:t>31.12.202</w:t>
            </w:r>
            <w:r w:rsidR="00DB2C54">
              <w:rPr>
                <w:rFonts w:ascii="Arial" w:hAnsi="Arial" w:cs="Arial"/>
                <w:b/>
                <w:color w:val="000000" w:themeColor="text1"/>
                <w:sz w:val="20"/>
                <w:szCs w:val="20"/>
              </w:rPr>
              <w:t>3</w:t>
            </w:r>
            <w:r w:rsidRPr="00F43653">
              <w:rPr>
                <w:rFonts w:ascii="Arial" w:hAnsi="Arial" w:cs="Arial"/>
                <w:b/>
                <w:color w:val="000000" w:themeColor="text1"/>
                <w:sz w:val="20"/>
                <w:szCs w:val="20"/>
              </w:rPr>
              <w:t>.</w:t>
            </w:r>
          </w:p>
        </w:tc>
      </w:tr>
      <w:tr w:rsidR="007214E2" w:rsidRPr="00F43653" w14:paraId="3332AB99" w14:textId="77777777" w:rsidTr="00465E49">
        <w:trPr>
          <w:trHeight w:val="202"/>
        </w:trPr>
        <w:tc>
          <w:tcPr>
            <w:tcW w:w="5529" w:type="dxa"/>
            <w:vAlign w:val="bottom"/>
          </w:tcPr>
          <w:p w14:paraId="135C9BE0" w14:textId="77777777" w:rsidR="007214E2" w:rsidRPr="00F43653" w:rsidRDefault="007214E2" w:rsidP="00964790">
            <w:pPr>
              <w:rPr>
                <w:rFonts w:ascii="Arial" w:hAnsi="Arial" w:cs="Arial"/>
                <w:color w:val="000000" w:themeColor="text1"/>
                <w:sz w:val="20"/>
                <w:szCs w:val="20"/>
              </w:rPr>
            </w:pPr>
          </w:p>
        </w:tc>
        <w:tc>
          <w:tcPr>
            <w:tcW w:w="992" w:type="dxa"/>
            <w:vAlign w:val="bottom"/>
          </w:tcPr>
          <w:p w14:paraId="62D48CBB" w14:textId="77777777" w:rsidR="007214E2" w:rsidRPr="00F43653" w:rsidRDefault="007214E2" w:rsidP="00964790">
            <w:pPr>
              <w:jc w:val="center"/>
              <w:rPr>
                <w:rFonts w:ascii="Arial" w:hAnsi="Arial" w:cs="Arial"/>
                <w:b/>
                <w:color w:val="000000" w:themeColor="text1"/>
                <w:sz w:val="20"/>
                <w:szCs w:val="20"/>
              </w:rPr>
            </w:pPr>
            <w:r w:rsidRPr="00F43653">
              <w:rPr>
                <w:rFonts w:ascii="Arial" w:hAnsi="Arial" w:cs="Arial"/>
                <w:b/>
                <w:color w:val="000000" w:themeColor="text1"/>
                <w:sz w:val="20"/>
                <w:szCs w:val="20"/>
              </w:rPr>
              <w:t>Bilješka</w:t>
            </w:r>
          </w:p>
        </w:tc>
        <w:tc>
          <w:tcPr>
            <w:tcW w:w="1346" w:type="dxa"/>
            <w:vAlign w:val="bottom"/>
          </w:tcPr>
          <w:p w14:paraId="0F27D028" w14:textId="31CE2E71" w:rsidR="007214E2" w:rsidRPr="00F43653" w:rsidRDefault="00A76701" w:rsidP="00964790">
            <w:pPr>
              <w:jc w:val="right"/>
              <w:rPr>
                <w:rFonts w:ascii="Arial" w:hAnsi="Arial" w:cs="Arial"/>
                <w:b/>
                <w:color w:val="000000" w:themeColor="text1"/>
                <w:sz w:val="20"/>
                <w:szCs w:val="20"/>
              </w:rPr>
            </w:pPr>
            <w:r w:rsidRPr="00F43653">
              <w:rPr>
                <w:rFonts w:ascii="Arial" w:hAnsi="Arial" w:cs="Arial"/>
                <w:b/>
                <w:color w:val="000000" w:themeColor="text1"/>
                <w:sz w:val="20"/>
                <w:szCs w:val="20"/>
              </w:rPr>
              <w:t>000 eura</w:t>
            </w:r>
          </w:p>
        </w:tc>
        <w:tc>
          <w:tcPr>
            <w:tcW w:w="1347" w:type="dxa"/>
            <w:vAlign w:val="bottom"/>
          </w:tcPr>
          <w:p w14:paraId="0569496E" w14:textId="32333DFC" w:rsidR="007214E2" w:rsidRPr="00F43653" w:rsidRDefault="00A76701" w:rsidP="00964790">
            <w:pPr>
              <w:jc w:val="right"/>
              <w:rPr>
                <w:rFonts w:ascii="Arial" w:hAnsi="Arial" w:cs="Arial"/>
                <w:b/>
                <w:color w:val="000000" w:themeColor="text1"/>
                <w:sz w:val="20"/>
                <w:szCs w:val="20"/>
              </w:rPr>
            </w:pPr>
            <w:r w:rsidRPr="00F43653">
              <w:rPr>
                <w:rFonts w:ascii="Arial" w:hAnsi="Arial" w:cs="Arial"/>
                <w:b/>
                <w:color w:val="000000" w:themeColor="text1"/>
                <w:sz w:val="20"/>
                <w:szCs w:val="20"/>
              </w:rPr>
              <w:t>000 eura</w:t>
            </w:r>
          </w:p>
        </w:tc>
      </w:tr>
      <w:tr w:rsidR="007214E2" w:rsidRPr="00F43653" w14:paraId="34D22979" w14:textId="77777777" w:rsidTr="00465E49">
        <w:trPr>
          <w:trHeight w:val="303"/>
        </w:trPr>
        <w:tc>
          <w:tcPr>
            <w:tcW w:w="5529" w:type="dxa"/>
            <w:vAlign w:val="bottom"/>
          </w:tcPr>
          <w:p w14:paraId="39EDCD9F" w14:textId="2810F7E3" w:rsidR="007214E2" w:rsidRPr="00F43653" w:rsidRDefault="007214E2" w:rsidP="00964790">
            <w:pPr>
              <w:pStyle w:val="TT"/>
              <w:rPr>
                <w:rFonts w:cs="Arial"/>
                <w:b/>
                <w:bCs/>
                <w:color w:val="000000" w:themeColor="text1"/>
                <w:sz w:val="20"/>
                <w:lang w:val="hr-HR"/>
              </w:rPr>
            </w:pPr>
            <w:bookmarkStart w:id="23" w:name="_Toc67326670"/>
            <w:r w:rsidRPr="00F43653">
              <w:rPr>
                <w:rFonts w:cs="Arial"/>
                <w:b/>
                <w:bCs/>
                <w:color w:val="000000" w:themeColor="text1"/>
                <w:sz w:val="20"/>
                <w:lang w:val="hr-HR"/>
              </w:rPr>
              <w:t>Imovina</w:t>
            </w:r>
            <w:bookmarkEnd w:id="23"/>
            <w:r w:rsidRPr="00F43653">
              <w:rPr>
                <w:rFonts w:cs="Arial"/>
                <w:b/>
                <w:bCs/>
                <w:color w:val="000000" w:themeColor="text1"/>
                <w:sz w:val="20"/>
                <w:lang w:val="hr-HR"/>
              </w:rPr>
              <w:t xml:space="preserve"> </w:t>
            </w:r>
          </w:p>
        </w:tc>
        <w:tc>
          <w:tcPr>
            <w:tcW w:w="992" w:type="dxa"/>
            <w:vAlign w:val="bottom"/>
          </w:tcPr>
          <w:p w14:paraId="72F619B6" w14:textId="77777777" w:rsidR="007214E2" w:rsidRPr="00F43653" w:rsidRDefault="007214E2" w:rsidP="00964790">
            <w:pPr>
              <w:pStyle w:val="TT"/>
              <w:rPr>
                <w:rFonts w:cs="Arial"/>
                <w:b/>
                <w:bCs/>
                <w:color w:val="000000" w:themeColor="text1"/>
                <w:sz w:val="20"/>
                <w:lang w:val="hr-HR"/>
              </w:rPr>
            </w:pPr>
          </w:p>
        </w:tc>
        <w:tc>
          <w:tcPr>
            <w:tcW w:w="1346" w:type="dxa"/>
            <w:vAlign w:val="bottom"/>
          </w:tcPr>
          <w:p w14:paraId="664549DC" w14:textId="77777777" w:rsidR="007214E2" w:rsidRPr="00F43653" w:rsidRDefault="007214E2" w:rsidP="00964790">
            <w:pPr>
              <w:pStyle w:val="TT"/>
              <w:rPr>
                <w:rFonts w:cs="Arial"/>
                <w:b/>
                <w:bCs/>
                <w:color w:val="000000" w:themeColor="text1"/>
                <w:sz w:val="20"/>
                <w:lang w:val="hr-HR"/>
              </w:rPr>
            </w:pPr>
          </w:p>
        </w:tc>
        <w:tc>
          <w:tcPr>
            <w:tcW w:w="1347" w:type="dxa"/>
            <w:vAlign w:val="bottom"/>
          </w:tcPr>
          <w:p w14:paraId="0B2F68BF" w14:textId="77777777" w:rsidR="007214E2" w:rsidRPr="00F43653" w:rsidRDefault="007214E2" w:rsidP="00964790">
            <w:pPr>
              <w:pStyle w:val="TT"/>
              <w:rPr>
                <w:rFonts w:cs="Arial"/>
                <w:b/>
                <w:bCs/>
                <w:color w:val="000000" w:themeColor="text1"/>
                <w:sz w:val="20"/>
                <w:lang w:val="hr-HR"/>
              </w:rPr>
            </w:pPr>
          </w:p>
        </w:tc>
      </w:tr>
      <w:tr w:rsidR="00995616" w:rsidRPr="00F43653" w14:paraId="14B4165C" w14:textId="77777777" w:rsidTr="007832AD">
        <w:trPr>
          <w:trHeight w:val="303"/>
        </w:trPr>
        <w:tc>
          <w:tcPr>
            <w:tcW w:w="5529" w:type="dxa"/>
            <w:vAlign w:val="bottom"/>
          </w:tcPr>
          <w:p w14:paraId="7D8DE8BC" w14:textId="1ECB6934" w:rsidR="00995616" w:rsidRPr="00F43653" w:rsidRDefault="00995616" w:rsidP="00995616">
            <w:pPr>
              <w:pStyle w:val="TT"/>
              <w:rPr>
                <w:rFonts w:cs="Arial"/>
                <w:color w:val="000000" w:themeColor="text1"/>
                <w:sz w:val="20"/>
                <w:lang w:val="hr-HR"/>
              </w:rPr>
            </w:pPr>
            <w:bookmarkStart w:id="24" w:name="_Toc67326671"/>
            <w:r w:rsidRPr="00F43653">
              <w:rPr>
                <w:rFonts w:cs="Arial"/>
                <w:color w:val="000000" w:themeColor="text1"/>
                <w:sz w:val="20"/>
                <w:lang w:val="hr-HR"/>
              </w:rPr>
              <w:t>Novčana sredstva i računi kod banaka</w:t>
            </w:r>
            <w:bookmarkEnd w:id="24"/>
          </w:p>
        </w:tc>
        <w:tc>
          <w:tcPr>
            <w:tcW w:w="992" w:type="dxa"/>
            <w:vAlign w:val="bottom"/>
          </w:tcPr>
          <w:p w14:paraId="48267613" w14:textId="77777777" w:rsidR="00995616" w:rsidRPr="00CC7FB0" w:rsidRDefault="00995616" w:rsidP="00995616">
            <w:pPr>
              <w:pStyle w:val="TT"/>
              <w:jc w:val="center"/>
              <w:rPr>
                <w:rFonts w:cs="Arial"/>
                <w:color w:val="000000" w:themeColor="text1"/>
                <w:sz w:val="20"/>
                <w:lang w:val="hr-HR"/>
              </w:rPr>
            </w:pPr>
            <w:r w:rsidRPr="00CC7FB0">
              <w:rPr>
                <w:rFonts w:cs="Arial"/>
                <w:snapToGrid w:val="0"/>
                <w:color w:val="000000" w:themeColor="text1"/>
                <w:sz w:val="20"/>
                <w:lang w:val="hr-HR"/>
              </w:rPr>
              <w:t>9</w:t>
            </w:r>
          </w:p>
        </w:tc>
        <w:tc>
          <w:tcPr>
            <w:tcW w:w="1346" w:type="dxa"/>
            <w:tcBorders>
              <w:top w:val="nil"/>
              <w:left w:val="nil"/>
              <w:bottom w:val="nil"/>
              <w:right w:val="nil"/>
            </w:tcBorders>
            <w:shd w:val="clear" w:color="auto" w:fill="auto"/>
            <w:vAlign w:val="bottom"/>
          </w:tcPr>
          <w:p w14:paraId="068C8176" w14:textId="7ABD1CF8" w:rsidR="00995616" w:rsidRPr="007832AD" w:rsidRDefault="00995616" w:rsidP="00995616">
            <w:pPr>
              <w:pStyle w:val="TT"/>
              <w:jc w:val="right"/>
              <w:rPr>
                <w:rFonts w:cs="Arial"/>
                <w:sz w:val="20"/>
              </w:rPr>
            </w:pPr>
            <w:r w:rsidRPr="007832AD">
              <w:rPr>
                <w:sz w:val="20"/>
              </w:rPr>
              <w:t>34.250</w:t>
            </w:r>
          </w:p>
        </w:tc>
        <w:tc>
          <w:tcPr>
            <w:tcW w:w="1347" w:type="dxa"/>
            <w:tcBorders>
              <w:top w:val="nil"/>
              <w:left w:val="nil"/>
              <w:bottom w:val="nil"/>
              <w:right w:val="nil"/>
            </w:tcBorders>
            <w:shd w:val="clear" w:color="auto" w:fill="auto"/>
            <w:vAlign w:val="bottom"/>
          </w:tcPr>
          <w:p w14:paraId="574F3514" w14:textId="494DA27E" w:rsidR="00995616" w:rsidRPr="00F43653" w:rsidRDefault="00995616" w:rsidP="00995616">
            <w:pPr>
              <w:pStyle w:val="TT"/>
              <w:jc w:val="right"/>
              <w:rPr>
                <w:rFonts w:cs="Arial"/>
                <w:snapToGrid w:val="0"/>
                <w:color w:val="000000" w:themeColor="text1"/>
                <w:sz w:val="20"/>
                <w:lang w:val="hr-HR"/>
              </w:rPr>
            </w:pPr>
            <w:r w:rsidRPr="007F693D">
              <w:rPr>
                <w:sz w:val="20"/>
              </w:rPr>
              <w:t>42.133</w:t>
            </w:r>
          </w:p>
        </w:tc>
      </w:tr>
      <w:tr w:rsidR="00995616" w:rsidRPr="00F43653" w14:paraId="40A4E2AE" w14:textId="77777777" w:rsidTr="007832AD">
        <w:trPr>
          <w:trHeight w:val="303"/>
        </w:trPr>
        <w:tc>
          <w:tcPr>
            <w:tcW w:w="5529" w:type="dxa"/>
            <w:vAlign w:val="bottom"/>
          </w:tcPr>
          <w:p w14:paraId="5BCA95F2" w14:textId="6B30F18F" w:rsidR="00995616" w:rsidRPr="00F43653" w:rsidRDefault="00995616" w:rsidP="00995616">
            <w:pPr>
              <w:pStyle w:val="TT"/>
              <w:rPr>
                <w:rFonts w:cs="Arial"/>
                <w:color w:val="000000" w:themeColor="text1"/>
                <w:sz w:val="20"/>
                <w:lang w:val="hr-HR"/>
              </w:rPr>
            </w:pPr>
            <w:bookmarkStart w:id="25" w:name="_Toc67326675"/>
            <w:r w:rsidRPr="00F43653">
              <w:rPr>
                <w:rFonts w:cs="Arial"/>
                <w:color w:val="000000" w:themeColor="text1"/>
                <w:sz w:val="20"/>
                <w:lang w:val="hr-HR"/>
              </w:rPr>
              <w:t>Depoziti kod drugih banaka</w:t>
            </w:r>
            <w:bookmarkEnd w:id="25"/>
          </w:p>
        </w:tc>
        <w:tc>
          <w:tcPr>
            <w:tcW w:w="992" w:type="dxa"/>
            <w:vAlign w:val="bottom"/>
          </w:tcPr>
          <w:p w14:paraId="05E74C8B" w14:textId="77777777" w:rsidR="00995616" w:rsidRPr="00CC7FB0" w:rsidRDefault="00995616" w:rsidP="00995616">
            <w:pPr>
              <w:pStyle w:val="TT"/>
              <w:jc w:val="center"/>
              <w:rPr>
                <w:rFonts w:cs="Arial"/>
                <w:snapToGrid w:val="0"/>
                <w:color w:val="000000" w:themeColor="text1"/>
                <w:sz w:val="20"/>
                <w:lang w:val="hr-HR"/>
              </w:rPr>
            </w:pPr>
            <w:bookmarkStart w:id="26" w:name="_Toc67326676"/>
            <w:r w:rsidRPr="00CC7FB0">
              <w:rPr>
                <w:rFonts w:cs="Arial"/>
                <w:snapToGrid w:val="0"/>
                <w:color w:val="000000" w:themeColor="text1"/>
                <w:sz w:val="20"/>
                <w:lang w:val="hr-HR"/>
              </w:rPr>
              <w:t>1</w:t>
            </w:r>
            <w:bookmarkEnd w:id="26"/>
            <w:r w:rsidRPr="00CC7FB0">
              <w:rPr>
                <w:rFonts w:cs="Arial"/>
                <w:snapToGrid w:val="0"/>
                <w:color w:val="000000" w:themeColor="text1"/>
                <w:sz w:val="20"/>
                <w:lang w:val="hr-HR"/>
              </w:rPr>
              <w:t>0</w:t>
            </w:r>
          </w:p>
        </w:tc>
        <w:tc>
          <w:tcPr>
            <w:tcW w:w="1346" w:type="dxa"/>
            <w:tcBorders>
              <w:top w:val="nil"/>
              <w:left w:val="nil"/>
              <w:bottom w:val="nil"/>
              <w:right w:val="nil"/>
            </w:tcBorders>
            <w:shd w:val="clear" w:color="auto" w:fill="auto"/>
            <w:vAlign w:val="bottom"/>
          </w:tcPr>
          <w:p w14:paraId="15702BFE" w14:textId="440D4849" w:rsidR="00995616" w:rsidRPr="007832AD" w:rsidRDefault="00995616" w:rsidP="00995616">
            <w:pPr>
              <w:pStyle w:val="TT"/>
              <w:jc w:val="right"/>
              <w:rPr>
                <w:rFonts w:cs="Arial"/>
                <w:sz w:val="20"/>
              </w:rPr>
            </w:pPr>
            <w:r w:rsidRPr="007832AD">
              <w:rPr>
                <w:sz w:val="20"/>
              </w:rPr>
              <w:t>124.473</w:t>
            </w:r>
          </w:p>
        </w:tc>
        <w:tc>
          <w:tcPr>
            <w:tcW w:w="1347" w:type="dxa"/>
            <w:tcBorders>
              <w:top w:val="nil"/>
              <w:left w:val="nil"/>
              <w:bottom w:val="nil"/>
              <w:right w:val="nil"/>
            </w:tcBorders>
            <w:shd w:val="clear" w:color="auto" w:fill="auto"/>
            <w:vAlign w:val="bottom"/>
          </w:tcPr>
          <w:p w14:paraId="0B546B4B" w14:textId="425F96F6" w:rsidR="00995616" w:rsidRPr="00F43653" w:rsidRDefault="00995616" w:rsidP="00995616">
            <w:pPr>
              <w:pStyle w:val="TT"/>
              <w:jc w:val="right"/>
              <w:rPr>
                <w:rFonts w:cs="Arial"/>
                <w:snapToGrid w:val="0"/>
                <w:color w:val="000000" w:themeColor="text1"/>
                <w:sz w:val="20"/>
                <w:lang w:val="hr-HR"/>
              </w:rPr>
            </w:pPr>
            <w:r w:rsidRPr="007F693D">
              <w:rPr>
                <w:sz w:val="20"/>
              </w:rPr>
              <w:t>71.761</w:t>
            </w:r>
          </w:p>
        </w:tc>
      </w:tr>
      <w:tr w:rsidR="00995616" w:rsidRPr="00F43653" w14:paraId="744A3E9A" w14:textId="77777777" w:rsidTr="007832AD">
        <w:trPr>
          <w:trHeight w:val="291"/>
        </w:trPr>
        <w:tc>
          <w:tcPr>
            <w:tcW w:w="5529" w:type="dxa"/>
            <w:vAlign w:val="bottom"/>
          </w:tcPr>
          <w:p w14:paraId="1098FD2A" w14:textId="6273F9DC" w:rsidR="00995616" w:rsidRPr="00F43653" w:rsidRDefault="00995616" w:rsidP="00995616">
            <w:pPr>
              <w:pStyle w:val="TT"/>
              <w:rPr>
                <w:rFonts w:cs="Arial"/>
                <w:color w:val="000000" w:themeColor="text1"/>
                <w:sz w:val="20"/>
                <w:lang w:val="hr-HR"/>
              </w:rPr>
            </w:pPr>
            <w:bookmarkStart w:id="27" w:name="_Toc67326679"/>
            <w:r w:rsidRPr="00F43653">
              <w:rPr>
                <w:rFonts w:cs="Arial"/>
                <w:color w:val="000000" w:themeColor="text1"/>
                <w:sz w:val="20"/>
                <w:lang w:val="hr-HR"/>
              </w:rPr>
              <w:t>Krediti financijskim institucijama</w:t>
            </w:r>
            <w:bookmarkEnd w:id="27"/>
          </w:p>
        </w:tc>
        <w:tc>
          <w:tcPr>
            <w:tcW w:w="992" w:type="dxa"/>
            <w:vAlign w:val="bottom"/>
          </w:tcPr>
          <w:p w14:paraId="5834E077" w14:textId="77777777" w:rsidR="00995616" w:rsidRPr="00CC7FB0" w:rsidRDefault="00995616" w:rsidP="00995616">
            <w:pPr>
              <w:pStyle w:val="TT"/>
              <w:jc w:val="center"/>
              <w:rPr>
                <w:rFonts w:cs="Arial"/>
                <w:snapToGrid w:val="0"/>
                <w:color w:val="000000" w:themeColor="text1"/>
                <w:sz w:val="20"/>
                <w:lang w:val="hr-HR"/>
              </w:rPr>
            </w:pPr>
            <w:bookmarkStart w:id="28" w:name="_Toc67326680"/>
            <w:r w:rsidRPr="00CC7FB0">
              <w:rPr>
                <w:rFonts w:cs="Arial"/>
                <w:snapToGrid w:val="0"/>
                <w:color w:val="000000" w:themeColor="text1"/>
                <w:sz w:val="20"/>
                <w:lang w:val="hr-HR"/>
              </w:rPr>
              <w:t>1</w:t>
            </w:r>
            <w:bookmarkEnd w:id="28"/>
            <w:r w:rsidRPr="00CC7FB0">
              <w:rPr>
                <w:rFonts w:cs="Arial"/>
                <w:snapToGrid w:val="0"/>
                <w:color w:val="000000" w:themeColor="text1"/>
                <w:sz w:val="20"/>
                <w:lang w:val="hr-HR"/>
              </w:rPr>
              <w:t>1</w:t>
            </w:r>
          </w:p>
        </w:tc>
        <w:tc>
          <w:tcPr>
            <w:tcW w:w="1346" w:type="dxa"/>
            <w:tcBorders>
              <w:top w:val="nil"/>
              <w:left w:val="nil"/>
              <w:bottom w:val="nil"/>
              <w:right w:val="nil"/>
            </w:tcBorders>
            <w:shd w:val="clear" w:color="auto" w:fill="auto"/>
            <w:vAlign w:val="bottom"/>
          </w:tcPr>
          <w:p w14:paraId="7F941583" w14:textId="4C9AEB77" w:rsidR="00995616" w:rsidRPr="007832AD" w:rsidRDefault="00995616" w:rsidP="00995616">
            <w:pPr>
              <w:pStyle w:val="TT"/>
              <w:jc w:val="right"/>
              <w:rPr>
                <w:rFonts w:cs="Arial"/>
                <w:sz w:val="20"/>
              </w:rPr>
            </w:pPr>
            <w:r w:rsidRPr="007832AD">
              <w:rPr>
                <w:sz w:val="20"/>
              </w:rPr>
              <w:t>1.167.204</w:t>
            </w:r>
          </w:p>
        </w:tc>
        <w:tc>
          <w:tcPr>
            <w:tcW w:w="1347" w:type="dxa"/>
            <w:tcBorders>
              <w:top w:val="nil"/>
              <w:left w:val="nil"/>
              <w:bottom w:val="nil"/>
              <w:right w:val="nil"/>
            </w:tcBorders>
            <w:shd w:val="clear" w:color="auto" w:fill="auto"/>
            <w:vAlign w:val="bottom"/>
          </w:tcPr>
          <w:p w14:paraId="6F0A2C16" w14:textId="682F3761" w:rsidR="00995616" w:rsidRPr="00F43653" w:rsidRDefault="00995616" w:rsidP="00995616">
            <w:pPr>
              <w:pStyle w:val="TT"/>
              <w:jc w:val="right"/>
              <w:rPr>
                <w:rFonts w:cs="Arial"/>
                <w:snapToGrid w:val="0"/>
                <w:color w:val="000000" w:themeColor="text1"/>
                <w:sz w:val="20"/>
                <w:lang w:val="hr-HR"/>
              </w:rPr>
            </w:pPr>
            <w:r w:rsidRPr="007F693D">
              <w:rPr>
                <w:sz w:val="20"/>
              </w:rPr>
              <w:t>1.248.881</w:t>
            </w:r>
          </w:p>
        </w:tc>
      </w:tr>
      <w:tr w:rsidR="00995616" w:rsidRPr="00F43653" w14:paraId="2DED36D8" w14:textId="77777777" w:rsidTr="007832AD">
        <w:trPr>
          <w:trHeight w:val="303"/>
        </w:trPr>
        <w:tc>
          <w:tcPr>
            <w:tcW w:w="5529" w:type="dxa"/>
            <w:vAlign w:val="bottom"/>
          </w:tcPr>
          <w:p w14:paraId="5F508877" w14:textId="405B0337" w:rsidR="00995616" w:rsidRPr="00F43653" w:rsidRDefault="00995616" w:rsidP="00995616">
            <w:pPr>
              <w:pStyle w:val="TT"/>
              <w:rPr>
                <w:rFonts w:cs="Arial"/>
                <w:color w:val="000000" w:themeColor="text1"/>
                <w:sz w:val="20"/>
                <w:lang w:val="hr-HR"/>
              </w:rPr>
            </w:pPr>
            <w:bookmarkStart w:id="29" w:name="_Toc67326683"/>
            <w:r w:rsidRPr="00F43653">
              <w:rPr>
                <w:rFonts w:cs="Arial"/>
                <w:color w:val="000000" w:themeColor="text1"/>
                <w:sz w:val="20"/>
                <w:lang w:val="hr-HR"/>
              </w:rPr>
              <w:t>Krediti ostalim korisnicima</w:t>
            </w:r>
            <w:bookmarkEnd w:id="29"/>
          </w:p>
        </w:tc>
        <w:tc>
          <w:tcPr>
            <w:tcW w:w="992" w:type="dxa"/>
            <w:vAlign w:val="bottom"/>
          </w:tcPr>
          <w:p w14:paraId="2F901413" w14:textId="77777777" w:rsidR="00995616" w:rsidRPr="00CC7FB0" w:rsidRDefault="00995616" w:rsidP="00995616">
            <w:pPr>
              <w:pStyle w:val="TT"/>
              <w:jc w:val="center"/>
              <w:rPr>
                <w:rFonts w:cs="Arial"/>
                <w:snapToGrid w:val="0"/>
                <w:color w:val="000000" w:themeColor="text1"/>
                <w:sz w:val="20"/>
                <w:lang w:val="hr-HR"/>
              </w:rPr>
            </w:pPr>
            <w:bookmarkStart w:id="30" w:name="_Toc67326684"/>
            <w:r w:rsidRPr="00CC7FB0">
              <w:rPr>
                <w:rFonts w:cs="Arial"/>
                <w:snapToGrid w:val="0"/>
                <w:color w:val="000000" w:themeColor="text1"/>
                <w:sz w:val="20"/>
                <w:lang w:val="hr-HR"/>
              </w:rPr>
              <w:t>1</w:t>
            </w:r>
            <w:bookmarkEnd w:id="30"/>
            <w:r w:rsidRPr="00CC7FB0">
              <w:rPr>
                <w:rFonts w:cs="Arial"/>
                <w:snapToGrid w:val="0"/>
                <w:color w:val="000000" w:themeColor="text1"/>
                <w:sz w:val="20"/>
                <w:lang w:val="hr-HR"/>
              </w:rPr>
              <w:t>2</w:t>
            </w:r>
          </w:p>
        </w:tc>
        <w:tc>
          <w:tcPr>
            <w:tcW w:w="1346" w:type="dxa"/>
            <w:tcBorders>
              <w:top w:val="nil"/>
              <w:left w:val="nil"/>
              <w:bottom w:val="nil"/>
              <w:right w:val="nil"/>
            </w:tcBorders>
            <w:shd w:val="clear" w:color="auto" w:fill="auto"/>
            <w:vAlign w:val="bottom"/>
          </w:tcPr>
          <w:p w14:paraId="455EE462" w14:textId="6E4810FD" w:rsidR="00995616" w:rsidRPr="007832AD" w:rsidRDefault="00995616" w:rsidP="00995616">
            <w:pPr>
              <w:pStyle w:val="TT"/>
              <w:jc w:val="right"/>
              <w:rPr>
                <w:rFonts w:cs="Arial"/>
                <w:sz w:val="20"/>
              </w:rPr>
            </w:pPr>
            <w:r w:rsidRPr="007832AD">
              <w:rPr>
                <w:sz w:val="20"/>
              </w:rPr>
              <w:t>2.361.477</w:t>
            </w:r>
          </w:p>
        </w:tc>
        <w:tc>
          <w:tcPr>
            <w:tcW w:w="1347" w:type="dxa"/>
            <w:tcBorders>
              <w:top w:val="nil"/>
              <w:left w:val="nil"/>
              <w:bottom w:val="nil"/>
              <w:right w:val="nil"/>
            </w:tcBorders>
            <w:shd w:val="clear" w:color="auto" w:fill="auto"/>
            <w:vAlign w:val="bottom"/>
          </w:tcPr>
          <w:p w14:paraId="646C6861" w14:textId="766C602C" w:rsidR="00995616" w:rsidRPr="00F43653" w:rsidRDefault="00995616" w:rsidP="00995616">
            <w:pPr>
              <w:pStyle w:val="TT"/>
              <w:jc w:val="right"/>
              <w:rPr>
                <w:rFonts w:cs="Arial"/>
                <w:color w:val="000000" w:themeColor="text1"/>
                <w:spacing w:val="-2"/>
                <w:sz w:val="20"/>
                <w:lang w:val="hr-HR"/>
              </w:rPr>
            </w:pPr>
            <w:r w:rsidRPr="007F693D">
              <w:rPr>
                <w:sz w:val="20"/>
              </w:rPr>
              <w:t>2.351.196</w:t>
            </w:r>
          </w:p>
        </w:tc>
      </w:tr>
      <w:tr w:rsidR="00995616" w:rsidRPr="00F43653" w14:paraId="52067600" w14:textId="77777777" w:rsidTr="007832AD">
        <w:trPr>
          <w:trHeight w:val="227"/>
        </w:trPr>
        <w:tc>
          <w:tcPr>
            <w:tcW w:w="5529" w:type="dxa"/>
            <w:vAlign w:val="bottom"/>
          </w:tcPr>
          <w:p w14:paraId="005DBBA3" w14:textId="44F853F8" w:rsidR="00995616" w:rsidRPr="00F43653" w:rsidRDefault="00995616" w:rsidP="00995616">
            <w:pPr>
              <w:pStyle w:val="TT"/>
              <w:rPr>
                <w:rFonts w:cs="Arial"/>
                <w:color w:val="000000" w:themeColor="text1"/>
                <w:sz w:val="20"/>
                <w:lang w:val="hr-HR"/>
              </w:rPr>
            </w:pPr>
            <w:bookmarkStart w:id="31" w:name="_Toc67326687"/>
            <w:r w:rsidRPr="00F43653">
              <w:rPr>
                <w:rFonts w:cs="Arial"/>
                <w:color w:val="000000" w:themeColor="text1"/>
                <w:sz w:val="20"/>
                <w:lang w:val="hr-HR"/>
              </w:rPr>
              <w:t>Financijska imovina po fer vrijednosti kroz dobit ili gubitak</w:t>
            </w:r>
            <w:bookmarkEnd w:id="31"/>
          </w:p>
        </w:tc>
        <w:tc>
          <w:tcPr>
            <w:tcW w:w="992" w:type="dxa"/>
            <w:vAlign w:val="bottom"/>
          </w:tcPr>
          <w:p w14:paraId="26F4146A" w14:textId="77777777" w:rsidR="00995616" w:rsidRPr="00CC7FB0" w:rsidRDefault="00995616" w:rsidP="00995616">
            <w:pPr>
              <w:pStyle w:val="TT"/>
              <w:jc w:val="center"/>
              <w:rPr>
                <w:rFonts w:cs="Arial"/>
                <w:snapToGrid w:val="0"/>
                <w:color w:val="000000" w:themeColor="text1"/>
                <w:sz w:val="20"/>
                <w:lang w:val="hr-HR"/>
              </w:rPr>
            </w:pPr>
            <w:bookmarkStart w:id="32" w:name="_Toc67326688"/>
            <w:r w:rsidRPr="00CC7FB0">
              <w:rPr>
                <w:rFonts w:cs="Arial"/>
                <w:snapToGrid w:val="0"/>
                <w:color w:val="000000" w:themeColor="text1"/>
                <w:sz w:val="20"/>
                <w:lang w:val="hr-HR"/>
              </w:rPr>
              <w:t>1</w:t>
            </w:r>
            <w:bookmarkEnd w:id="32"/>
            <w:r w:rsidRPr="00CC7FB0">
              <w:rPr>
                <w:rFonts w:cs="Arial"/>
                <w:snapToGrid w:val="0"/>
                <w:color w:val="000000" w:themeColor="text1"/>
                <w:sz w:val="20"/>
                <w:lang w:val="hr-HR"/>
              </w:rPr>
              <w:t>3</w:t>
            </w:r>
          </w:p>
        </w:tc>
        <w:tc>
          <w:tcPr>
            <w:tcW w:w="1346" w:type="dxa"/>
            <w:tcBorders>
              <w:top w:val="nil"/>
              <w:left w:val="nil"/>
              <w:bottom w:val="nil"/>
              <w:right w:val="nil"/>
            </w:tcBorders>
            <w:shd w:val="clear" w:color="auto" w:fill="auto"/>
            <w:vAlign w:val="bottom"/>
          </w:tcPr>
          <w:p w14:paraId="7CBFE2D3" w14:textId="5DC0B52A" w:rsidR="00995616" w:rsidRPr="007832AD" w:rsidRDefault="00995616" w:rsidP="00995616">
            <w:pPr>
              <w:pStyle w:val="TT"/>
              <w:jc w:val="right"/>
              <w:rPr>
                <w:rFonts w:cs="Arial"/>
                <w:sz w:val="20"/>
              </w:rPr>
            </w:pPr>
            <w:r w:rsidRPr="007832AD">
              <w:rPr>
                <w:sz w:val="20"/>
              </w:rPr>
              <w:t>66.032</w:t>
            </w:r>
          </w:p>
        </w:tc>
        <w:tc>
          <w:tcPr>
            <w:tcW w:w="1347" w:type="dxa"/>
            <w:tcBorders>
              <w:top w:val="nil"/>
              <w:left w:val="nil"/>
              <w:bottom w:val="nil"/>
              <w:right w:val="nil"/>
            </w:tcBorders>
            <w:shd w:val="clear" w:color="auto" w:fill="auto"/>
            <w:vAlign w:val="bottom"/>
          </w:tcPr>
          <w:p w14:paraId="686DA958" w14:textId="36B27351" w:rsidR="00995616" w:rsidRPr="00F43653" w:rsidRDefault="00995616" w:rsidP="00995616">
            <w:pPr>
              <w:pStyle w:val="TT"/>
              <w:jc w:val="right"/>
              <w:rPr>
                <w:rFonts w:cs="Arial"/>
                <w:snapToGrid w:val="0"/>
                <w:color w:val="000000" w:themeColor="text1"/>
                <w:sz w:val="20"/>
                <w:lang w:val="hr-HR"/>
              </w:rPr>
            </w:pPr>
            <w:r w:rsidRPr="007F693D">
              <w:rPr>
                <w:sz w:val="20"/>
              </w:rPr>
              <w:t>52.922</w:t>
            </w:r>
          </w:p>
        </w:tc>
      </w:tr>
      <w:tr w:rsidR="00995616" w:rsidRPr="00F43653" w14:paraId="0CBBA5AA" w14:textId="77777777" w:rsidTr="007832AD">
        <w:trPr>
          <w:trHeight w:val="606"/>
        </w:trPr>
        <w:tc>
          <w:tcPr>
            <w:tcW w:w="5529" w:type="dxa"/>
            <w:vAlign w:val="bottom"/>
          </w:tcPr>
          <w:p w14:paraId="5CE9C074" w14:textId="08890B15" w:rsidR="00995616" w:rsidRPr="00F43653" w:rsidRDefault="00995616" w:rsidP="00995616">
            <w:pPr>
              <w:pStyle w:val="TT"/>
              <w:rPr>
                <w:rFonts w:cs="Arial"/>
                <w:color w:val="000000" w:themeColor="text1"/>
                <w:sz w:val="20"/>
                <w:lang w:val="hr-HR"/>
              </w:rPr>
            </w:pPr>
            <w:bookmarkStart w:id="33" w:name="_Toc67326691"/>
            <w:r w:rsidRPr="00F43653">
              <w:rPr>
                <w:rFonts w:cs="Arial"/>
                <w:color w:val="000000" w:themeColor="text1"/>
                <w:sz w:val="20"/>
                <w:lang w:val="hr-HR"/>
              </w:rPr>
              <w:t>Financijska imovina po fer vrijednosti kroz ostalu sveobuhvatnu dobit</w:t>
            </w:r>
            <w:bookmarkEnd w:id="33"/>
          </w:p>
        </w:tc>
        <w:tc>
          <w:tcPr>
            <w:tcW w:w="992" w:type="dxa"/>
            <w:vAlign w:val="bottom"/>
          </w:tcPr>
          <w:p w14:paraId="0E8915E8" w14:textId="77777777" w:rsidR="00995616" w:rsidRPr="00CC7FB0" w:rsidRDefault="00995616" w:rsidP="00995616">
            <w:pPr>
              <w:pStyle w:val="TT"/>
              <w:jc w:val="center"/>
              <w:rPr>
                <w:rFonts w:cs="Arial"/>
                <w:snapToGrid w:val="0"/>
                <w:color w:val="000000" w:themeColor="text1"/>
                <w:sz w:val="20"/>
                <w:lang w:val="hr-HR"/>
              </w:rPr>
            </w:pPr>
            <w:bookmarkStart w:id="34" w:name="_Toc67326692"/>
            <w:r w:rsidRPr="00CC7FB0">
              <w:rPr>
                <w:rFonts w:cs="Arial"/>
                <w:snapToGrid w:val="0"/>
                <w:color w:val="000000" w:themeColor="text1"/>
                <w:sz w:val="20"/>
                <w:lang w:val="hr-HR"/>
              </w:rPr>
              <w:t>1</w:t>
            </w:r>
            <w:bookmarkEnd w:id="34"/>
            <w:r w:rsidRPr="00CC7FB0">
              <w:rPr>
                <w:rFonts w:cs="Arial"/>
                <w:snapToGrid w:val="0"/>
                <w:color w:val="000000" w:themeColor="text1"/>
                <w:sz w:val="20"/>
                <w:lang w:val="hr-HR"/>
              </w:rPr>
              <w:t>4</w:t>
            </w:r>
          </w:p>
        </w:tc>
        <w:tc>
          <w:tcPr>
            <w:tcW w:w="1346" w:type="dxa"/>
            <w:tcBorders>
              <w:top w:val="nil"/>
              <w:left w:val="nil"/>
              <w:bottom w:val="nil"/>
              <w:right w:val="nil"/>
            </w:tcBorders>
            <w:shd w:val="clear" w:color="auto" w:fill="auto"/>
            <w:vAlign w:val="bottom"/>
          </w:tcPr>
          <w:p w14:paraId="3C1A311C" w14:textId="44F304D1" w:rsidR="00995616" w:rsidRPr="007832AD" w:rsidRDefault="00995616" w:rsidP="00995616">
            <w:pPr>
              <w:pStyle w:val="TT"/>
              <w:jc w:val="right"/>
              <w:rPr>
                <w:rFonts w:cs="Arial"/>
                <w:sz w:val="20"/>
              </w:rPr>
            </w:pPr>
            <w:r w:rsidRPr="007832AD">
              <w:rPr>
                <w:sz w:val="20"/>
              </w:rPr>
              <w:t>252.483</w:t>
            </w:r>
          </w:p>
        </w:tc>
        <w:tc>
          <w:tcPr>
            <w:tcW w:w="1347" w:type="dxa"/>
            <w:tcBorders>
              <w:top w:val="nil"/>
              <w:left w:val="nil"/>
              <w:bottom w:val="nil"/>
              <w:right w:val="nil"/>
            </w:tcBorders>
            <w:shd w:val="clear" w:color="auto" w:fill="auto"/>
            <w:vAlign w:val="bottom"/>
          </w:tcPr>
          <w:p w14:paraId="53DAD21E" w14:textId="76FEC3AA" w:rsidR="00995616" w:rsidRPr="00F43653" w:rsidRDefault="00995616" w:rsidP="00995616">
            <w:pPr>
              <w:pStyle w:val="TT"/>
              <w:jc w:val="right"/>
              <w:rPr>
                <w:rFonts w:cs="Arial"/>
                <w:color w:val="000000" w:themeColor="text1"/>
                <w:sz w:val="20"/>
                <w:lang w:val="hr-HR"/>
              </w:rPr>
            </w:pPr>
            <w:r w:rsidRPr="007F693D">
              <w:rPr>
                <w:sz w:val="20"/>
              </w:rPr>
              <w:t>235.199</w:t>
            </w:r>
          </w:p>
        </w:tc>
      </w:tr>
      <w:tr w:rsidR="003D4CFD" w:rsidRPr="00F43653" w14:paraId="139E9B55" w14:textId="77777777" w:rsidTr="007832AD">
        <w:trPr>
          <w:trHeight w:val="303"/>
        </w:trPr>
        <w:tc>
          <w:tcPr>
            <w:tcW w:w="5529" w:type="dxa"/>
            <w:vAlign w:val="bottom"/>
          </w:tcPr>
          <w:p w14:paraId="15CF194B" w14:textId="303427B4" w:rsidR="003D4CFD" w:rsidRPr="00F43653" w:rsidRDefault="003D4CFD" w:rsidP="003D4CFD">
            <w:pPr>
              <w:pStyle w:val="TT"/>
              <w:rPr>
                <w:rFonts w:cs="Arial"/>
                <w:color w:val="000000" w:themeColor="text1"/>
                <w:sz w:val="20"/>
                <w:lang w:val="hr-HR"/>
              </w:rPr>
            </w:pPr>
            <w:bookmarkStart w:id="35" w:name="_Toc67326703"/>
            <w:r w:rsidRPr="00F43653">
              <w:rPr>
                <w:rFonts w:cs="Arial"/>
                <w:color w:val="000000" w:themeColor="text1"/>
                <w:sz w:val="20"/>
                <w:lang w:val="hr-HR"/>
              </w:rPr>
              <w:t>Nekretnine, postrojenja i oprema i nematerijalna imovina</w:t>
            </w:r>
            <w:bookmarkEnd w:id="35"/>
          </w:p>
        </w:tc>
        <w:tc>
          <w:tcPr>
            <w:tcW w:w="992" w:type="dxa"/>
            <w:vAlign w:val="bottom"/>
          </w:tcPr>
          <w:p w14:paraId="4509FE01" w14:textId="77777777" w:rsidR="003D4CFD" w:rsidRPr="00CC7FB0" w:rsidRDefault="003D4CFD" w:rsidP="003D4CFD">
            <w:pPr>
              <w:pStyle w:val="TT"/>
              <w:rPr>
                <w:rFonts w:cs="Arial"/>
                <w:snapToGrid w:val="0"/>
                <w:color w:val="000000" w:themeColor="text1"/>
                <w:sz w:val="20"/>
                <w:lang w:val="hr-HR"/>
              </w:rPr>
            </w:pPr>
          </w:p>
        </w:tc>
        <w:tc>
          <w:tcPr>
            <w:tcW w:w="1346" w:type="dxa"/>
            <w:tcBorders>
              <w:top w:val="nil"/>
              <w:left w:val="nil"/>
              <w:bottom w:val="nil"/>
              <w:right w:val="nil"/>
            </w:tcBorders>
            <w:shd w:val="clear" w:color="auto" w:fill="auto"/>
            <w:vAlign w:val="bottom"/>
          </w:tcPr>
          <w:p w14:paraId="2B624933" w14:textId="41AF0650" w:rsidR="003D4CFD" w:rsidRPr="007832AD" w:rsidRDefault="003D4CFD" w:rsidP="003D4CFD">
            <w:pPr>
              <w:pStyle w:val="TT"/>
              <w:jc w:val="right"/>
              <w:rPr>
                <w:rFonts w:cs="Arial"/>
                <w:sz w:val="20"/>
              </w:rPr>
            </w:pPr>
            <w:r w:rsidRPr="007832AD">
              <w:rPr>
                <w:sz w:val="20"/>
              </w:rPr>
              <w:t>5.239</w:t>
            </w:r>
          </w:p>
        </w:tc>
        <w:tc>
          <w:tcPr>
            <w:tcW w:w="1347" w:type="dxa"/>
            <w:tcBorders>
              <w:top w:val="nil"/>
              <w:left w:val="nil"/>
              <w:bottom w:val="nil"/>
              <w:right w:val="nil"/>
            </w:tcBorders>
            <w:shd w:val="clear" w:color="auto" w:fill="auto"/>
            <w:vAlign w:val="bottom"/>
          </w:tcPr>
          <w:p w14:paraId="749F0563" w14:textId="26A53769" w:rsidR="003D4CFD" w:rsidRPr="00F43653" w:rsidRDefault="003D4CFD" w:rsidP="003D4CFD">
            <w:pPr>
              <w:pStyle w:val="TT"/>
              <w:jc w:val="right"/>
              <w:rPr>
                <w:rFonts w:cs="Arial"/>
                <w:snapToGrid w:val="0"/>
                <w:color w:val="000000" w:themeColor="text1"/>
                <w:sz w:val="20"/>
                <w:lang w:val="hr-HR"/>
              </w:rPr>
            </w:pPr>
            <w:r w:rsidRPr="007F693D">
              <w:rPr>
                <w:sz w:val="20"/>
              </w:rPr>
              <w:t>4.868</w:t>
            </w:r>
          </w:p>
        </w:tc>
      </w:tr>
      <w:tr w:rsidR="003D4CFD" w:rsidRPr="00F43653" w14:paraId="6BBDD7F6" w14:textId="77777777" w:rsidTr="007832AD">
        <w:trPr>
          <w:trHeight w:val="303"/>
        </w:trPr>
        <w:tc>
          <w:tcPr>
            <w:tcW w:w="5529" w:type="dxa"/>
            <w:vAlign w:val="bottom"/>
          </w:tcPr>
          <w:p w14:paraId="46B9C2CD" w14:textId="09881A2B" w:rsidR="003D4CFD" w:rsidRPr="00F43653" w:rsidRDefault="003D4CFD" w:rsidP="003D4CFD">
            <w:pPr>
              <w:pStyle w:val="TT"/>
              <w:rPr>
                <w:rFonts w:cs="Arial"/>
                <w:color w:val="000000" w:themeColor="text1"/>
                <w:sz w:val="20"/>
                <w:lang w:val="hr-HR"/>
              </w:rPr>
            </w:pPr>
            <w:bookmarkStart w:id="36" w:name="_Toc67326707"/>
            <w:r w:rsidRPr="00F43653">
              <w:rPr>
                <w:rFonts w:cs="Arial"/>
                <w:color w:val="000000" w:themeColor="text1"/>
                <w:sz w:val="20"/>
                <w:lang w:val="hr-HR"/>
              </w:rPr>
              <w:t>Preuzeta imovina</w:t>
            </w:r>
            <w:bookmarkEnd w:id="36"/>
          </w:p>
        </w:tc>
        <w:tc>
          <w:tcPr>
            <w:tcW w:w="992" w:type="dxa"/>
            <w:vAlign w:val="bottom"/>
          </w:tcPr>
          <w:p w14:paraId="5F7311C8" w14:textId="77777777" w:rsidR="003D4CFD" w:rsidRPr="00CC7FB0" w:rsidRDefault="003D4CFD" w:rsidP="003D4CFD">
            <w:pPr>
              <w:pStyle w:val="TT"/>
              <w:jc w:val="center"/>
              <w:rPr>
                <w:rFonts w:cs="Arial"/>
                <w:snapToGrid w:val="0"/>
                <w:color w:val="000000" w:themeColor="text1"/>
                <w:sz w:val="20"/>
                <w:lang w:val="hr-HR"/>
              </w:rPr>
            </w:pPr>
            <w:r w:rsidRPr="00CC7FB0">
              <w:rPr>
                <w:rFonts w:cs="Arial"/>
                <w:snapToGrid w:val="0"/>
                <w:color w:val="000000" w:themeColor="text1"/>
                <w:sz w:val="20"/>
                <w:lang w:val="hr-HR"/>
              </w:rPr>
              <w:t>15</w:t>
            </w:r>
          </w:p>
        </w:tc>
        <w:tc>
          <w:tcPr>
            <w:tcW w:w="1346" w:type="dxa"/>
            <w:tcBorders>
              <w:top w:val="nil"/>
              <w:left w:val="nil"/>
              <w:bottom w:val="nil"/>
              <w:right w:val="nil"/>
            </w:tcBorders>
            <w:shd w:val="clear" w:color="auto" w:fill="auto"/>
            <w:vAlign w:val="bottom"/>
          </w:tcPr>
          <w:p w14:paraId="5C7E014B" w14:textId="729213E2" w:rsidR="003D4CFD" w:rsidRPr="007832AD" w:rsidRDefault="003D4CFD" w:rsidP="003D4CFD">
            <w:pPr>
              <w:pStyle w:val="TT"/>
              <w:jc w:val="right"/>
              <w:rPr>
                <w:rFonts w:cs="Arial"/>
                <w:sz w:val="20"/>
              </w:rPr>
            </w:pPr>
            <w:r w:rsidRPr="007832AD">
              <w:rPr>
                <w:sz w:val="20"/>
              </w:rPr>
              <w:t>1.952</w:t>
            </w:r>
          </w:p>
        </w:tc>
        <w:tc>
          <w:tcPr>
            <w:tcW w:w="1347" w:type="dxa"/>
            <w:tcBorders>
              <w:top w:val="nil"/>
              <w:left w:val="nil"/>
              <w:bottom w:val="nil"/>
              <w:right w:val="nil"/>
            </w:tcBorders>
            <w:shd w:val="clear" w:color="auto" w:fill="auto"/>
            <w:vAlign w:val="bottom"/>
          </w:tcPr>
          <w:p w14:paraId="690479B4" w14:textId="2B4B8B4A" w:rsidR="003D4CFD" w:rsidRPr="00F43653" w:rsidRDefault="003D4CFD" w:rsidP="003D4CFD">
            <w:pPr>
              <w:pStyle w:val="TT"/>
              <w:jc w:val="right"/>
              <w:rPr>
                <w:rFonts w:cs="Arial"/>
                <w:snapToGrid w:val="0"/>
                <w:color w:val="000000" w:themeColor="text1"/>
                <w:sz w:val="20"/>
                <w:lang w:val="hr-HR"/>
              </w:rPr>
            </w:pPr>
            <w:r w:rsidRPr="007F693D">
              <w:rPr>
                <w:sz w:val="20"/>
              </w:rPr>
              <w:t>2.291</w:t>
            </w:r>
          </w:p>
        </w:tc>
      </w:tr>
      <w:tr w:rsidR="003D4CFD" w:rsidRPr="00F43653" w14:paraId="605CF3DE" w14:textId="77777777" w:rsidTr="007832AD">
        <w:trPr>
          <w:trHeight w:val="303"/>
        </w:trPr>
        <w:tc>
          <w:tcPr>
            <w:tcW w:w="5529" w:type="dxa"/>
            <w:vAlign w:val="bottom"/>
          </w:tcPr>
          <w:p w14:paraId="6D12F5F2" w14:textId="183F9367" w:rsidR="003D4CFD" w:rsidRPr="00F43653" w:rsidRDefault="003D4CFD" w:rsidP="003D4CFD">
            <w:pPr>
              <w:pStyle w:val="TT"/>
              <w:rPr>
                <w:rFonts w:cs="Arial"/>
                <w:color w:val="000000" w:themeColor="text1"/>
                <w:sz w:val="20"/>
                <w:lang w:val="hr-HR"/>
              </w:rPr>
            </w:pPr>
            <w:bookmarkStart w:id="37" w:name="_Toc67326711"/>
            <w:r w:rsidRPr="00F43653">
              <w:rPr>
                <w:rFonts w:cs="Arial"/>
                <w:color w:val="000000" w:themeColor="text1"/>
                <w:sz w:val="20"/>
                <w:lang w:val="hr-HR"/>
              </w:rPr>
              <w:t>Ostala imovina</w:t>
            </w:r>
            <w:bookmarkEnd w:id="37"/>
          </w:p>
        </w:tc>
        <w:tc>
          <w:tcPr>
            <w:tcW w:w="992" w:type="dxa"/>
            <w:vAlign w:val="bottom"/>
          </w:tcPr>
          <w:p w14:paraId="0B722F3E" w14:textId="77777777" w:rsidR="003D4CFD" w:rsidRPr="00CC7FB0" w:rsidRDefault="003D4CFD" w:rsidP="003D4CFD">
            <w:pPr>
              <w:pStyle w:val="TT"/>
              <w:jc w:val="center"/>
              <w:rPr>
                <w:rFonts w:cs="Arial"/>
                <w:snapToGrid w:val="0"/>
                <w:color w:val="000000" w:themeColor="text1"/>
                <w:sz w:val="20"/>
                <w:lang w:val="hr-HR"/>
              </w:rPr>
            </w:pPr>
            <w:r w:rsidRPr="00CC7FB0">
              <w:rPr>
                <w:rFonts w:cs="Arial"/>
                <w:snapToGrid w:val="0"/>
                <w:color w:val="000000" w:themeColor="text1"/>
                <w:sz w:val="20"/>
                <w:lang w:val="hr-HR"/>
              </w:rPr>
              <w:t>16</w:t>
            </w:r>
          </w:p>
        </w:tc>
        <w:tc>
          <w:tcPr>
            <w:tcW w:w="1346" w:type="dxa"/>
            <w:tcBorders>
              <w:top w:val="nil"/>
              <w:left w:val="nil"/>
              <w:bottom w:val="nil"/>
              <w:right w:val="nil"/>
            </w:tcBorders>
            <w:shd w:val="clear" w:color="auto" w:fill="auto"/>
            <w:vAlign w:val="bottom"/>
          </w:tcPr>
          <w:p w14:paraId="368B0769" w14:textId="6911C9B9" w:rsidR="003D4CFD" w:rsidRPr="007832AD" w:rsidRDefault="003D4CFD" w:rsidP="003D4CFD">
            <w:pPr>
              <w:pStyle w:val="TT"/>
              <w:jc w:val="right"/>
              <w:rPr>
                <w:rFonts w:cs="Arial"/>
                <w:sz w:val="20"/>
              </w:rPr>
            </w:pPr>
            <w:r w:rsidRPr="007832AD">
              <w:rPr>
                <w:sz w:val="20"/>
              </w:rPr>
              <w:t>7.935</w:t>
            </w:r>
          </w:p>
        </w:tc>
        <w:tc>
          <w:tcPr>
            <w:tcW w:w="1347" w:type="dxa"/>
            <w:tcBorders>
              <w:top w:val="nil"/>
              <w:left w:val="nil"/>
              <w:bottom w:val="nil"/>
              <w:right w:val="nil"/>
            </w:tcBorders>
            <w:shd w:val="clear" w:color="auto" w:fill="auto"/>
            <w:vAlign w:val="bottom"/>
          </w:tcPr>
          <w:p w14:paraId="0EA80F3B" w14:textId="0C2B6F0D" w:rsidR="003D4CFD" w:rsidRPr="00F43653" w:rsidRDefault="003D4CFD" w:rsidP="003D4CFD">
            <w:pPr>
              <w:pStyle w:val="TT"/>
              <w:jc w:val="right"/>
              <w:rPr>
                <w:rFonts w:cs="Arial"/>
                <w:snapToGrid w:val="0"/>
                <w:color w:val="000000" w:themeColor="text1"/>
                <w:sz w:val="20"/>
                <w:lang w:val="hr-HR"/>
              </w:rPr>
            </w:pPr>
            <w:r w:rsidRPr="007F693D">
              <w:rPr>
                <w:sz w:val="20"/>
              </w:rPr>
              <w:t>12.285</w:t>
            </w:r>
          </w:p>
        </w:tc>
      </w:tr>
      <w:tr w:rsidR="00995616" w:rsidRPr="00F43653" w14:paraId="35C6DBFE" w14:textId="77777777" w:rsidTr="007832AD">
        <w:trPr>
          <w:trHeight w:val="380"/>
        </w:trPr>
        <w:tc>
          <w:tcPr>
            <w:tcW w:w="5529" w:type="dxa"/>
            <w:vAlign w:val="bottom"/>
          </w:tcPr>
          <w:p w14:paraId="690476A5" w14:textId="4C3666FD" w:rsidR="00995616" w:rsidRPr="00F43653" w:rsidRDefault="00995616" w:rsidP="00995616">
            <w:pPr>
              <w:pStyle w:val="Tot"/>
              <w:rPr>
                <w:rFonts w:cs="Arial"/>
                <w:b/>
                <w:bCs/>
                <w:color w:val="000000" w:themeColor="text1"/>
                <w:sz w:val="20"/>
                <w:lang w:val="hr-HR"/>
              </w:rPr>
            </w:pPr>
            <w:bookmarkStart w:id="38" w:name="_Toc67326715"/>
            <w:r w:rsidRPr="00F43653">
              <w:rPr>
                <w:rFonts w:cs="Arial"/>
                <w:b/>
                <w:bCs/>
                <w:color w:val="000000" w:themeColor="text1"/>
                <w:sz w:val="20"/>
                <w:lang w:val="hr-HR"/>
              </w:rPr>
              <w:t>Ukupna imovina</w:t>
            </w:r>
            <w:bookmarkEnd w:id="38"/>
          </w:p>
        </w:tc>
        <w:tc>
          <w:tcPr>
            <w:tcW w:w="992" w:type="dxa"/>
            <w:vAlign w:val="bottom"/>
          </w:tcPr>
          <w:p w14:paraId="6B488077" w14:textId="77777777" w:rsidR="00995616" w:rsidRPr="00CC7FB0" w:rsidRDefault="00995616" w:rsidP="00995616">
            <w:pPr>
              <w:pStyle w:val="TT"/>
              <w:jc w:val="center"/>
              <w:rPr>
                <w:rFonts w:cs="Arial"/>
                <w:snapToGrid w:val="0"/>
                <w:color w:val="000000" w:themeColor="text1"/>
                <w:sz w:val="20"/>
                <w:lang w:val="hr-HR"/>
              </w:rPr>
            </w:pPr>
          </w:p>
        </w:tc>
        <w:tc>
          <w:tcPr>
            <w:tcW w:w="1346" w:type="dxa"/>
            <w:tcBorders>
              <w:top w:val="single" w:sz="2" w:space="0" w:color="auto"/>
              <w:bottom w:val="single" w:sz="12" w:space="0" w:color="auto"/>
            </w:tcBorders>
            <w:vAlign w:val="bottom"/>
          </w:tcPr>
          <w:p w14:paraId="57753DFB" w14:textId="42345236" w:rsidR="00995616" w:rsidRPr="007832AD" w:rsidRDefault="006B0105" w:rsidP="00995616">
            <w:pPr>
              <w:pStyle w:val="Tot"/>
              <w:jc w:val="right"/>
              <w:rPr>
                <w:rFonts w:cs="Arial"/>
                <w:b/>
                <w:bCs/>
                <w:sz w:val="20"/>
              </w:rPr>
            </w:pPr>
            <w:r w:rsidRPr="007832AD">
              <w:rPr>
                <w:rFonts w:cs="Arial"/>
                <w:b/>
                <w:bCs/>
                <w:sz w:val="20"/>
              </w:rPr>
              <w:t>4.021.045</w:t>
            </w:r>
          </w:p>
        </w:tc>
        <w:tc>
          <w:tcPr>
            <w:tcW w:w="1347" w:type="dxa"/>
            <w:tcBorders>
              <w:top w:val="single" w:sz="2" w:space="0" w:color="auto"/>
              <w:bottom w:val="single" w:sz="12" w:space="0" w:color="auto"/>
            </w:tcBorders>
            <w:vAlign w:val="bottom"/>
          </w:tcPr>
          <w:p w14:paraId="47D79DA0" w14:textId="794FFF0A" w:rsidR="00995616" w:rsidRPr="00F43653" w:rsidRDefault="00995616" w:rsidP="00995616">
            <w:pPr>
              <w:pStyle w:val="Tot"/>
              <w:jc w:val="right"/>
              <w:rPr>
                <w:rFonts w:cs="Arial"/>
                <w:b/>
                <w:bCs/>
                <w:color w:val="000000" w:themeColor="text1"/>
                <w:sz w:val="20"/>
                <w:lang w:val="hr-HR"/>
              </w:rPr>
            </w:pPr>
            <w:r w:rsidRPr="007F693D">
              <w:rPr>
                <w:b/>
                <w:bCs/>
                <w:sz w:val="20"/>
              </w:rPr>
              <w:t>4.021.536</w:t>
            </w:r>
          </w:p>
        </w:tc>
      </w:tr>
      <w:tr w:rsidR="001073BD" w:rsidRPr="00F43653" w14:paraId="6A6F63C2" w14:textId="77777777" w:rsidTr="007832AD">
        <w:trPr>
          <w:trHeight w:val="291"/>
        </w:trPr>
        <w:tc>
          <w:tcPr>
            <w:tcW w:w="5529" w:type="dxa"/>
            <w:vAlign w:val="bottom"/>
          </w:tcPr>
          <w:p w14:paraId="28F26316" w14:textId="55440D20" w:rsidR="001073BD" w:rsidRPr="00F43653" w:rsidRDefault="001073BD" w:rsidP="001073BD">
            <w:pPr>
              <w:pStyle w:val="TT"/>
              <w:rPr>
                <w:rFonts w:cs="Arial"/>
                <w:b/>
                <w:bCs/>
                <w:color w:val="000000" w:themeColor="text1"/>
                <w:sz w:val="20"/>
                <w:lang w:val="hr-HR"/>
              </w:rPr>
            </w:pPr>
            <w:bookmarkStart w:id="39" w:name="_Toc67326718"/>
            <w:r w:rsidRPr="00F43653">
              <w:rPr>
                <w:rFonts w:cs="Arial"/>
                <w:b/>
                <w:bCs/>
                <w:color w:val="000000" w:themeColor="text1"/>
                <w:sz w:val="20"/>
                <w:lang w:val="hr-HR"/>
              </w:rPr>
              <w:t>Obveze</w:t>
            </w:r>
            <w:bookmarkEnd w:id="39"/>
          </w:p>
        </w:tc>
        <w:tc>
          <w:tcPr>
            <w:tcW w:w="992" w:type="dxa"/>
            <w:vAlign w:val="bottom"/>
          </w:tcPr>
          <w:p w14:paraId="75D0053A" w14:textId="77777777" w:rsidR="001073BD" w:rsidRPr="00CC7FB0" w:rsidRDefault="001073BD" w:rsidP="001073BD">
            <w:pPr>
              <w:pStyle w:val="TT"/>
              <w:jc w:val="center"/>
              <w:rPr>
                <w:rFonts w:cs="Arial"/>
                <w:snapToGrid w:val="0"/>
                <w:color w:val="000000" w:themeColor="text1"/>
                <w:sz w:val="20"/>
                <w:lang w:val="hr-HR"/>
              </w:rPr>
            </w:pPr>
          </w:p>
        </w:tc>
        <w:tc>
          <w:tcPr>
            <w:tcW w:w="1346" w:type="dxa"/>
            <w:vAlign w:val="bottom"/>
          </w:tcPr>
          <w:p w14:paraId="486571CA" w14:textId="77777777" w:rsidR="001073BD" w:rsidRPr="007832AD" w:rsidRDefault="001073BD" w:rsidP="001073BD">
            <w:pPr>
              <w:pStyle w:val="TT"/>
              <w:jc w:val="right"/>
              <w:rPr>
                <w:rFonts w:cs="Arial"/>
                <w:sz w:val="20"/>
              </w:rPr>
            </w:pPr>
          </w:p>
        </w:tc>
        <w:tc>
          <w:tcPr>
            <w:tcW w:w="1347" w:type="dxa"/>
            <w:vAlign w:val="bottom"/>
          </w:tcPr>
          <w:p w14:paraId="76CB25A0" w14:textId="77777777" w:rsidR="001073BD" w:rsidRPr="00F43653" w:rsidRDefault="001073BD" w:rsidP="001073BD">
            <w:pPr>
              <w:pStyle w:val="TT"/>
              <w:jc w:val="right"/>
              <w:rPr>
                <w:rFonts w:cs="Arial"/>
                <w:b/>
                <w:bCs/>
                <w:color w:val="000000" w:themeColor="text1"/>
                <w:sz w:val="20"/>
                <w:lang w:val="hr-HR"/>
              </w:rPr>
            </w:pPr>
          </w:p>
        </w:tc>
      </w:tr>
      <w:tr w:rsidR="0002301D" w:rsidRPr="00F43653" w14:paraId="7D554AF4" w14:textId="77777777" w:rsidTr="007832AD">
        <w:trPr>
          <w:trHeight w:val="303"/>
        </w:trPr>
        <w:tc>
          <w:tcPr>
            <w:tcW w:w="5529" w:type="dxa"/>
            <w:vAlign w:val="bottom"/>
          </w:tcPr>
          <w:p w14:paraId="4E52F466" w14:textId="42EDC4B3" w:rsidR="0002301D" w:rsidRPr="00F43653" w:rsidRDefault="0002301D" w:rsidP="0002301D">
            <w:pPr>
              <w:pStyle w:val="TT"/>
              <w:rPr>
                <w:rFonts w:cs="Arial"/>
                <w:color w:val="000000" w:themeColor="text1"/>
                <w:sz w:val="20"/>
                <w:lang w:val="hr-HR"/>
              </w:rPr>
            </w:pPr>
            <w:bookmarkStart w:id="40" w:name="_Toc67326719"/>
            <w:r w:rsidRPr="00F43653">
              <w:rPr>
                <w:rFonts w:cs="Arial"/>
                <w:color w:val="000000" w:themeColor="text1"/>
                <w:sz w:val="20"/>
                <w:lang w:val="hr-HR"/>
              </w:rPr>
              <w:t>Obveze po depozitima</w:t>
            </w:r>
            <w:bookmarkEnd w:id="40"/>
          </w:p>
        </w:tc>
        <w:tc>
          <w:tcPr>
            <w:tcW w:w="992" w:type="dxa"/>
            <w:vAlign w:val="bottom"/>
          </w:tcPr>
          <w:p w14:paraId="5F76CE9C" w14:textId="77777777" w:rsidR="0002301D" w:rsidRPr="00CC7FB0" w:rsidRDefault="0002301D" w:rsidP="0002301D">
            <w:pPr>
              <w:pStyle w:val="TT"/>
              <w:jc w:val="center"/>
              <w:rPr>
                <w:rFonts w:cs="Arial"/>
                <w:snapToGrid w:val="0"/>
                <w:color w:val="000000" w:themeColor="text1"/>
                <w:sz w:val="20"/>
                <w:lang w:val="hr-HR"/>
              </w:rPr>
            </w:pPr>
            <w:r w:rsidRPr="00CC7FB0">
              <w:rPr>
                <w:rFonts w:cs="Arial"/>
                <w:snapToGrid w:val="0"/>
                <w:color w:val="000000" w:themeColor="text1"/>
                <w:sz w:val="20"/>
                <w:lang w:val="hr-HR"/>
              </w:rPr>
              <w:t>17</w:t>
            </w:r>
          </w:p>
        </w:tc>
        <w:tc>
          <w:tcPr>
            <w:tcW w:w="1346" w:type="dxa"/>
            <w:tcBorders>
              <w:top w:val="nil"/>
              <w:left w:val="nil"/>
              <w:bottom w:val="nil"/>
              <w:right w:val="nil"/>
            </w:tcBorders>
            <w:shd w:val="clear" w:color="auto" w:fill="auto"/>
            <w:vAlign w:val="bottom"/>
          </w:tcPr>
          <w:p w14:paraId="6BE1238A" w14:textId="5778704D" w:rsidR="0002301D" w:rsidRPr="007832AD" w:rsidRDefault="0002301D" w:rsidP="0002301D">
            <w:pPr>
              <w:pStyle w:val="TT"/>
              <w:jc w:val="right"/>
              <w:rPr>
                <w:rFonts w:cs="Arial"/>
                <w:sz w:val="20"/>
              </w:rPr>
            </w:pPr>
            <w:r w:rsidRPr="007832AD">
              <w:rPr>
                <w:sz w:val="20"/>
              </w:rPr>
              <w:t>223.067</w:t>
            </w:r>
          </w:p>
        </w:tc>
        <w:tc>
          <w:tcPr>
            <w:tcW w:w="1347" w:type="dxa"/>
            <w:tcBorders>
              <w:top w:val="nil"/>
              <w:left w:val="nil"/>
              <w:bottom w:val="nil"/>
              <w:right w:val="nil"/>
            </w:tcBorders>
            <w:shd w:val="clear" w:color="auto" w:fill="auto"/>
            <w:vAlign w:val="bottom"/>
          </w:tcPr>
          <w:p w14:paraId="371D626A" w14:textId="383B49F1" w:rsidR="0002301D" w:rsidRPr="00F43653" w:rsidRDefault="0002301D" w:rsidP="0002301D">
            <w:pPr>
              <w:pStyle w:val="TT"/>
              <w:jc w:val="right"/>
              <w:rPr>
                <w:rFonts w:cs="Arial"/>
                <w:color w:val="000000" w:themeColor="text1"/>
                <w:sz w:val="20"/>
                <w:lang w:val="hr-HR"/>
              </w:rPr>
            </w:pPr>
            <w:r w:rsidRPr="00F959D0">
              <w:rPr>
                <w:sz w:val="20"/>
              </w:rPr>
              <w:t>194.876</w:t>
            </w:r>
          </w:p>
        </w:tc>
      </w:tr>
      <w:tr w:rsidR="0002301D" w:rsidRPr="00F43653" w14:paraId="642AE7C4" w14:textId="77777777" w:rsidTr="007832AD">
        <w:trPr>
          <w:trHeight w:val="303"/>
        </w:trPr>
        <w:tc>
          <w:tcPr>
            <w:tcW w:w="5529" w:type="dxa"/>
            <w:vAlign w:val="bottom"/>
          </w:tcPr>
          <w:p w14:paraId="4C2979A9" w14:textId="5A6F7C82" w:rsidR="0002301D" w:rsidRPr="00F43653" w:rsidRDefault="0002301D" w:rsidP="0002301D">
            <w:pPr>
              <w:pStyle w:val="TT"/>
              <w:rPr>
                <w:rFonts w:cs="Arial"/>
                <w:color w:val="000000" w:themeColor="text1"/>
                <w:sz w:val="20"/>
                <w:lang w:val="hr-HR"/>
              </w:rPr>
            </w:pPr>
            <w:bookmarkStart w:id="41" w:name="_Toc67326723"/>
            <w:r w:rsidRPr="00F43653">
              <w:rPr>
                <w:rFonts w:cs="Arial"/>
                <w:color w:val="000000" w:themeColor="text1"/>
                <w:sz w:val="20"/>
                <w:lang w:val="hr-HR"/>
              </w:rPr>
              <w:t>Obveze po kreditima</w:t>
            </w:r>
            <w:bookmarkEnd w:id="41"/>
          </w:p>
        </w:tc>
        <w:tc>
          <w:tcPr>
            <w:tcW w:w="992" w:type="dxa"/>
            <w:vAlign w:val="bottom"/>
          </w:tcPr>
          <w:p w14:paraId="6E2D2E85" w14:textId="77777777" w:rsidR="0002301D" w:rsidRPr="00CC7FB0" w:rsidRDefault="0002301D" w:rsidP="0002301D">
            <w:pPr>
              <w:pStyle w:val="TT"/>
              <w:jc w:val="center"/>
              <w:rPr>
                <w:rFonts w:cs="Arial"/>
                <w:snapToGrid w:val="0"/>
                <w:color w:val="000000" w:themeColor="text1"/>
                <w:sz w:val="20"/>
                <w:lang w:val="hr-HR"/>
              </w:rPr>
            </w:pPr>
            <w:r w:rsidRPr="00CC7FB0">
              <w:rPr>
                <w:rFonts w:cs="Arial"/>
                <w:snapToGrid w:val="0"/>
                <w:color w:val="000000" w:themeColor="text1"/>
                <w:sz w:val="20"/>
                <w:lang w:val="hr-HR"/>
              </w:rPr>
              <w:t>18</w:t>
            </w:r>
          </w:p>
        </w:tc>
        <w:tc>
          <w:tcPr>
            <w:tcW w:w="1346" w:type="dxa"/>
            <w:tcBorders>
              <w:top w:val="nil"/>
              <w:left w:val="nil"/>
              <w:bottom w:val="nil"/>
              <w:right w:val="nil"/>
            </w:tcBorders>
            <w:shd w:val="clear" w:color="auto" w:fill="auto"/>
            <w:vAlign w:val="bottom"/>
          </w:tcPr>
          <w:p w14:paraId="565E9442" w14:textId="42790E0B" w:rsidR="0002301D" w:rsidRPr="007832AD" w:rsidRDefault="0002301D" w:rsidP="0002301D">
            <w:pPr>
              <w:pStyle w:val="TT"/>
              <w:jc w:val="right"/>
              <w:rPr>
                <w:rFonts w:cs="Arial"/>
                <w:sz w:val="20"/>
              </w:rPr>
            </w:pPr>
            <w:r w:rsidRPr="007832AD">
              <w:rPr>
                <w:sz w:val="20"/>
              </w:rPr>
              <w:t>2.195.890</w:t>
            </w:r>
          </w:p>
        </w:tc>
        <w:tc>
          <w:tcPr>
            <w:tcW w:w="1347" w:type="dxa"/>
            <w:tcBorders>
              <w:top w:val="nil"/>
              <w:left w:val="nil"/>
              <w:bottom w:val="nil"/>
              <w:right w:val="nil"/>
            </w:tcBorders>
            <w:shd w:val="clear" w:color="auto" w:fill="auto"/>
            <w:vAlign w:val="bottom"/>
          </w:tcPr>
          <w:p w14:paraId="056A9035" w14:textId="5590841B" w:rsidR="0002301D" w:rsidRPr="00F43653" w:rsidRDefault="0002301D" w:rsidP="0002301D">
            <w:pPr>
              <w:pStyle w:val="TT"/>
              <w:jc w:val="right"/>
              <w:rPr>
                <w:rFonts w:cs="Arial"/>
                <w:color w:val="000000" w:themeColor="text1"/>
                <w:sz w:val="20"/>
                <w:lang w:val="hr-HR"/>
              </w:rPr>
            </w:pPr>
            <w:r w:rsidRPr="00F959D0">
              <w:rPr>
                <w:sz w:val="20"/>
              </w:rPr>
              <w:t>2.251.176</w:t>
            </w:r>
          </w:p>
        </w:tc>
      </w:tr>
      <w:tr w:rsidR="0002301D" w:rsidRPr="00F43653" w14:paraId="09DB8330" w14:textId="77777777" w:rsidTr="007832AD">
        <w:trPr>
          <w:trHeight w:val="303"/>
        </w:trPr>
        <w:tc>
          <w:tcPr>
            <w:tcW w:w="5529" w:type="dxa"/>
            <w:vAlign w:val="bottom"/>
          </w:tcPr>
          <w:p w14:paraId="5D0A31FA" w14:textId="563E19DA" w:rsidR="0002301D" w:rsidRPr="00F43653" w:rsidRDefault="0002301D" w:rsidP="0002301D">
            <w:pPr>
              <w:pStyle w:val="TT"/>
              <w:rPr>
                <w:rFonts w:cs="Arial"/>
                <w:color w:val="000000" w:themeColor="text1"/>
                <w:sz w:val="20"/>
                <w:lang w:val="hr-HR"/>
              </w:rPr>
            </w:pPr>
            <w:bookmarkStart w:id="42" w:name="_Toc67326731"/>
            <w:r w:rsidRPr="00F43653">
              <w:rPr>
                <w:rFonts w:cs="Arial"/>
                <w:color w:val="000000" w:themeColor="text1"/>
                <w:sz w:val="20"/>
                <w:lang w:val="hr-HR"/>
              </w:rPr>
              <w:t>Rezerviranja za garancije, preuzete i ostale obveze</w:t>
            </w:r>
            <w:bookmarkEnd w:id="42"/>
          </w:p>
        </w:tc>
        <w:tc>
          <w:tcPr>
            <w:tcW w:w="992" w:type="dxa"/>
            <w:vAlign w:val="bottom"/>
          </w:tcPr>
          <w:p w14:paraId="6B2C339C" w14:textId="77777777" w:rsidR="0002301D" w:rsidRPr="00CC7FB0" w:rsidRDefault="0002301D" w:rsidP="0002301D">
            <w:pPr>
              <w:pStyle w:val="TT"/>
              <w:jc w:val="center"/>
              <w:rPr>
                <w:rFonts w:cs="Arial"/>
                <w:snapToGrid w:val="0"/>
                <w:color w:val="000000" w:themeColor="text1"/>
                <w:sz w:val="20"/>
                <w:lang w:val="hr-HR"/>
              </w:rPr>
            </w:pPr>
            <w:r w:rsidRPr="00CC7FB0">
              <w:rPr>
                <w:rFonts w:cs="Arial"/>
                <w:snapToGrid w:val="0"/>
                <w:color w:val="000000" w:themeColor="text1"/>
                <w:sz w:val="20"/>
                <w:lang w:val="hr-HR"/>
              </w:rPr>
              <w:t>19</w:t>
            </w:r>
          </w:p>
        </w:tc>
        <w:tc>
          <w:tcPr>
            <w:tcW w:w="1346" w:type="dxa"/>
            <w:tcBorders>
              <w:top w:val="nil"/>
              <w:left w:val="nil"/>
              <w:bottom w:val="nil"/>
              <w:right w:val="nil"/>
            </w:tcBorders>
            <w:shd w:val="clear" w:color="auto" w:fill="auto"/>
            <w:vAlign w:val="bottom"/>
          </w:tcPr>
          <w:p w14:paraId="19C4E82D" w14:textId="391C8E31" w:rsidR="0002301D" w:rsidRPr="007832AD" w:rsidDel="00D96056" w:rsidRDefault="0002301D" w:rsidP="0002301D">
            <w:pPr>
              <w:pStyle w:val="TT"/>
              <w:jc w:val="right"/>
              <w:rPr>
                <w:rFonts w:cs="Arial"/>
                <w:sz w:val="20"/>
              </w:rPr>
            </w:pPr>
            <w:r w:rsidRPr="007832AD">
              <w:rPr>
                <w:sz w:val="20"/>
              </w:rPr>
              <w:t>19.395</w:t>
            </w:r>
          </w:p>
        </w:tc>
        <w:tc>
          <w:tcPr>
            <w:tcW w:w="1347" w:type="dxa"/>
            <w:tcBorders>
              <w:top w:val="nil"/>
              <w:left w:val="nil"/>
              <w:bottom w:val="nil"/>
              <w:right w:val="nil"/>
            </w:tcBorders>
            <w:shd w:val="clear" w:color="auto" w:fill="auto"/>
            <w:vAlign w:val="bottom"/>
          </w:tcPr>
          <w:p w14:paraId="320BCD9B" w14:textId="2428ECAE" w:rsidR="0002301D" w:rsidRPr="00F43653" w:rsidRDefault="0002301D" w:rsidP="0002301D">
            <w:pPr>
              <w:pStyle w:val="TT"/>
              <w:jc w:val="right"/>
              <w:rPr>
                <w:rFonts w:cs="Arial"/>
                <w:color w:val="000000" w:themeColor="text1"/>
                <w:sz w:val="20"/>
                <w:lang w:val="hr-HR"/>
              </w:rPr>
            </w:pPr>
            <w:r w:rsidRPr="00F959D0">
              <w:rPr>
                <w:sz w:val="20"/>
              </w:rPr>
              <w:t>24.382</w:t>
            </w:r>
          </w:p>
        </w:tc>
      </w:tr>
      <w:tr w:rsidR="0002301D" w:rsidRPr="00F43653" w14:paraId="31FBA693" w14:textId="77777777" w:rsidTr="007832AD">
        <w:trPr>
          <w:trHeight w:val="303"/>
        </w:trPr>
        <w:tc>
          <w:tcPr>
            <w:tcW w:w="5529" w:type="dxa"/>
            <w:vAlign w:val="bottom"/>
          </w:tcPr>
          <w:p w14:paraId="45446DAD" w14:textId="066CB5AC" w:rsidR="0002301D" w:rsidRPr="00F43653" w:rsidRDefault="0002301D" w:rsidP="0002301D">
            <w:pPr>
              <w:pStyle w:val="TT"/>
              <w:rPr>
                <w:rFonts w:cs="Arial"/>
                <w:color w:val="000000" w:themeColor="text1"/>
                <w:sz w:val="20"/>
                <w:lang w:val="hr-HR"/>
              </w:rPr>
            </w:pPr>
            <w:bookmarkStart w:id="43" w:name="_Toc67326735"/>
            <w:r w:rsidRPr="00F43653">
              <w:rPr>
                <w:rFonts w:cs="Arial"/>
                <w:color w:val="000000" w:themeColor="text1"/>
                <w:sz w:val="20"/>
                <w:lang w:val="hr-HR"/>
              </w:rPr>
              <w:t>Ostale obveze</w:t>
            </w:r>
            <w:bookmarkEnd w:id="43"/>
          </w:p>
        </w:tc>
        <w:tc>
          <w:tcPr>
            <w:tcW w:w="992" w:type="dxa"/>
            <w:vAlign w:val="bottom"/>
          </w:tcPr>
          <w:p w14:paraId="6D306A40" w14:textId="77777777" w:rsidR="0002301D" w:rsidRPr="00CC7FB0" w:rsidRDefault="0002301D" w:rsidP="0002301D">
            <w:pPr>
              <w:pStyle w:val="TT"/>
              <w:jc w:val="center"/>
              <w:rPr>
                <w:rFonts w:cs="Arial"/>
                <w:snapToGrid w:val="0"/>
                <w:color w:val="000000" w:themeColor="text1"/>
                <w:sz w:val="20"/>
                <w:lang w:val="hr-HR"/>
              </w:rPr>
            </w:pPr>
            <w:bookmarkStart w:id="44" w:name="_Toc67326736"/>
            <w:r w:rsidRPr="00CC7FB0">
              <w:rPr>
                <w:rFonts w:cs="Arial"/>
                <w:snapToGrid w:val="0"/>
                <w:color w:val="000000" w:themeColor="text1"/>
                <w:sz w:val="20"/>
                <w:lang w:val="hr-HR"/>
              </w:rPr>
              <w:t>2</w:t>
            </w:r>
            <w:bookmarkEnd w:id="44"/>
            <w:r w:rsidRPr="00CC7FB0">
              <w:rPr>
                <w:rFonts w:cs="Arial"/>
                <w:snapToGrid w:val="0"/>
                <w:color w:val="000000" w:themeColor="text1"/>
                <w:sz w:val="20"/>
                <w:lang w:val="hr-HR"/>
              </w:rPr>
              <w:t>0</w:t>
            </w:r>
          </w:p>
        </w:tc>
        <w:tc>
          <w:tcPr>
            <w:tcW w:w="1346" w:type="dxa"/>
            <w:tcBorders>
              <w:top w:val="nil"/>
              <w:left w:val="nil"/>
              <w:bottom w:val="nil"/>
              <w:right w:val="nil"/>
            </w:tcBorders>
            <w:shd w:val="clear" w:color="auto" w:fill="auto"/>
            <w:vAlign w:val="bottom"/>
          </w:tcPr>
          <w:p w14:paraId="7569025F" w14:textId="1787D19C" w:rsidR="0002301D" w:rsidRPr="007832AD" w:rsidRDefault="0002301D" w:rsidP="0002301D">
            <w:pPr>
              <w:pStyle w:val="TT"/>
              <w:jc w:val="right"/>
              <w:rPr>
                <w:rFonts w:cs="Arial"/>
                <w:sz w:val="20"/>
              </w:rPr>
            </w:pPr>
            <w:r w:rsidRPr="007832AD">
              <w:rPr>
                <w:sz w:val="20"/>
              </w:rPr>
              <w:t>78.411</w:t>
            </w:r>
          </w:p>
        </w:tc>
        <w:tc>
          <w:tcPr>
            <w:tcW w:w="1347" w:type="dxa"/>
            <w:tcBorders>
              <w:top w:val="nil"/>
              <w:left w:val="nil"/>
              <w:bottom w:val="single" w:sz="4" w:space="0" w:color="auto"/>
              <w:right w:val="nil"/>
            </w:tcBorders>
            <w:shd w:val="clear" w:color="auto" w:fill="auto"/>
            <w:vAlign w:val="bottom"/>
          </w:tcPr>
          <w:p w14:paraId="588CF0B8" w14:textId="510CA621" w:rsidR="0002301D" w:rsidRPr="00F43653" w:rsidRDefault="0002301D" w:rsidP="0002301D">
            <w:pPr>
              <w:pStyle w:val="TT"/>
              <w:jc w:val="right"/>
              <w:rPr>
                <w:rFonts w:cs="Arial"/>
                <w:color w:val="000000" w:themeColor="text1"/>
                <w:sz w:val="20"/>
                <w:lang w:val="hr-HR"/>
              </w:rPr>
            </w:pPr>
            <w:r w:rsidRPr="00F959D0">
              <w:rPr>
                <w:sz w:val="20"/>
              </w:rPr>
              <w:t>93.22</w:t>
            </w:r>
            <w:r>
              <w:rPr>
                <w:sz w:val="20"/>
              </w:rPr>
              <w:t>3</w:t>
            </w:r>
          </w:p>
        </w:tc>
      </w:tr>
      <w:tr w:rsidR="0002301D" w:rsidRPr="00F43653" w14:paraId="2D0906BE" w14:textId="77777777" w:rsidTr="007832AD">
        <w:trPr>
          <w:trHeight w:val="341"/>
        </w:trPr>
        <w:tc>
          <w:tcPr>
            <w:tcW w:w="5529" w:type="dxa"/>
            <w:vAlign w:val="bottom"/>
          </w:tcPr>
          <w:p w14:paraId="1E32262D" w14:textId="4EC71E84" w:rsidR="0002301D" w:rsidRPr="00F43653" w:rsidRDefault="0002301D" w:rsidP="0002301D">
            <w:pPr>
              <w:pStyle w:val="Tot"/>
              <w:rPr>
                <w:rFonts w:cs="Arial"/>
                <w:b/>
                <w:bCs/>
                <w:color w:val="000000" w:themeColor="text1"/>
                <w:sz w:val="20"/>
                <w:lang w:val="hr-HR"/>
              </w:rPr>
            </w:pPr>
            <w:bookmarkStart w:id="45" w:name="_Toc67326739"/>
            <w:r w:rsidRPr="00F43653">
              <w:rPr>
                <w:rFonts w:cs="Arial"/>
                <w:b/>
                <w:bCs/>
                <w:color w:val="000000" w:themeColor="text1"/>
                <w:sz w:val="20"/>
                <w:lang w:val="hr-HR"/>
              </w:rPr>
              <w:t>Ukupne obveze</w:t>
            </w:r>
            <w:bookmarkEnd w:id="45"/>
          </w:p>
        </w:tc>
        <w:tc>
          <w:tcPr>
            <w:tcW w:w="992" w:type="dxa"/>
            <w:vAlign w:val="bottom"/>
          </w:tcPr>
          <w:p w14:paraId="04EF5ED9" w14:textId="77777777" w:rsidR="0002301D" w:rsidRPr="00F43653" w:rsidRDefault="0002301D" w:rsidP="0002301D">
            <w:pPr>
              <w:pStyle w:val="TT"/>
              <w:jc w:val="center"/>
              <w:rPr>
                <w:rFonts w:cs="Arial"/>
                <w:snapToGrid w:val="0"/>
                <w:color w:val="000000" w:themeColor="text1"/>
                <w:sz w:val="20"/>
                <w:highlight w:val="yellow"/>
                <w:lang w:val="hr-HR"/>
              </w:rPr>
            </w:pPr>
          </w:p>
        </w:tc>
        <w:tc>
          <w:tcPr>
            <w:tcW w:w="1346" w:type="dxa"/>
            <w:tcBorders>
              <w:top w:val="single" w:sz="4" w:space="0" w:color="auto"/>
              <w:left w:val="nil"/>
              <w:bottom w:val="single" w:sz="12" w:space="0" w:color="auto"/>
              <w:right w:val="nil"/>
            </w:tcBorders>
            <w:shd w:val="clear" w:color="auto" w:fill="auto"/>
            <w:vAlign w:val="bottom"/>
          </w:tcPr>
          <w:p w14:paraId="6E165DC8" w14:textId="5080FF0D" w:rsidR="0002301D" w:rsidRPr="007832AD" w:rsidRDefault="0002301D" w:rsidP="0002301D">
            <w:pPr>
              <w:pStyle w:val="Tot"/>
              <w:jc w:val="right"/>
              <w:rPr>
                <w:rFonts w:cs="Arial"/>
                <w:b/>
                <w:bCs/>
                <w:sz w:val="20"/>
              </w:rPr>
            </w:pPr>
            <w:r w:rsidRPr="007832AD">
              <w:rPr>
                <w:b/>
                <w:bCs/>
                <w:sz w:val="20"/>
              </w:rPr>
              <w:t>2.516.763</w:t>
            </w:r>
          </w:p>
        </w:tc>
        <w:tc>
          <w:tcPr>
            <w:tcW w:w="1347" w:type="dxa"/>
            <w:tcBorders>
              <w:top w:val="single" w:sz="4" w:space="0" w:color="auto"/>
              <w:left w:val="nil"/>
              <w:bottom w:val="single" w:sz="12" w:space="0" w:color="auto"/>
              <w:right w:val="nil"/>
            </w:tcBorders>
            <w:shd w:val="clear" w:color="auto" w:fill="auto"/>
            <w:vAlign w:val="bottom"/>
          </w:tcPr>
          <w:p w14:paraId="6B18AF46" w14:textId="6D4E0E70" w:rsidR="0002301D" w:rsidRPr="00F43653" w:rsidRDefault="0002301D" w:rsidP="0002301D">
            <w:pPr>
              <w:pStyle w:val="Tot"/>
              <w:jc w:val="right"/>
              <w:rPr>
                <w:rFonts w:cs="Arial"/>
                <w:b/>
                <w:bCs/>
                <w:color w:val="000000" w:themeColor="text1"/>
                <w:sz w:val="20"/>
                <w:lang w:val="hr-HR"/>
              </w:rPr>
            </w:pPr>
            <w:r w:rsidRPr="00D16DD5">
              <w:rPr>
                <w:rFonts w:cs="Arial"/>
                <w:b/>
                <w:bCs/>
                <w:color w:val="000000" w:themeColor="text1"/>
                <w:sz w:val="20"/>
                <w:lang w:val="hr-HR"/>
              </w:rPr>
              <w:t>2.563.65</w:t>
            </w:r>
            <w:r>
              <w:rPr>
                <w:rFonts w:cs="Arial"/>
                <w:b/>
                <w:bCs/>
                <w:color w:val="000000" w:themeColor="text1"/>
                <w:sz w:val="20"/>
                <w:lang w:val="hr-HR"/>
              </w:rPr>
              <w:t>7</w:t>
            </w:r>
          </w:p>
        </w:tc>
      </w:tr>
      <w:tr w:rsidR="00FE4150" w:rsidRPr="00F43653" w14:paraId="58F9AAB3" w14:textId="77777777" w:rsidTr="007832AD">
        <w:trPr>
          <w:trHeight w:val="303"/>
        </w:trPr>
        <w:tc>
          <w:tcPr>
            <w:tcW w:w="5529" w:type="dxa"/>
            <w:vAlign w:val="bottom"/>
          </w:tcPr>
          <w:p w14:paraId="4E5479AB" w14:textId="1EFA5E33" w:rsidR="00FE4150" w:rsidRPr="00F43653" w:rsidRDefault="00FE4150" w:rsidP="00FE4150">
            <w:pPr>
              <w:pStyle w:val="TT"/>
              <w:rPr>
                <w:rFonts w:cs="Arial"/>
                <w:b/>
                <w:bCs/>
                <w:color w:val="000000" w:themeColor="text1"/>
                <w:sz w:val="20"/>
                <w:lang w:val="hr-HR"/>
              </w:rPr>
            </w:pPr>
            <w:bookmarkStart w:id="46" w:name="_Toc67326742"/>
            <w:r w:rsidRPr="00F43653">
              <w:rPr>
                <w:rFonts w:cs="Arial"/>
                <w:b/>
                <w:bCs/>
                <w:color w:val="000000" w:themeColor="text1"/>
                <w:sz w:val="20"/>
                <w:lang w:val="hr-HR"/>
              </w:rPr>
              <w:t>Kapital i rezerve</w:t>
            </w:r>
            <w:bookmarkEnd w:id="46"/>
          </w:p>
        </w:tc>
        <w:tc>
          <w:tcPr>
            <w:tcW w:w="992" w:type="dxa"/>
            <w:vAlign w:val="bottom"/>
          </w:tcPr>
          <w:p w14:paraId="19CC7C60" w14:textId="77777777" w:rsidR="00FE4150" w:rsidRPr="00F43653" w:rsidRDefault="00FE4150" w:rsidP="00FE4150">
            <w:pPr>
              <w:pStyle w:val="TT"/>
              <w:jc w:val="center"/>
              <w:rPr>
                <w:rFonts w:cs="Arial"/>
                <w:snapToGrid w:val="0"/>
                <w:color w:val="000000" w:themeColor="text1"/>
                <w:sz w:val="20"/>
                <w:highlight w:val="yellow"/>
                <w:lang w:val="hr-HR"/>
              </w:rPr>
            </w:pPr>
          </w:p>
        </w:tc>
        <w:tc>
          <w:tcPr>
            <w:tcW w:w="1346" w:type="dxa"/>
            <w:tcBorders>
              <w:top w:val="single" w:sz="12" w:space="0" w:color="auto"/>
            </w:tcBorders>
            <w:vAlign w:val="bottom"/>
          </w:tcPr>
          <w:p w14:paraId="54CC2DE4" w14:textId="77777777" w:rsidR="00FE4150" w:rsidRPr="007832AD" w:rsidRDefault="00FE4150" w:rsidP="00FE4150">
            <w:pPr>
              <w:pStyle w:val="TT"/>
              <w:jc w:val="right"/>
              <w:rPr>
                <w:rFonts w:cs="Arial"/>
                <w:sz w:val="20"/>
              </w:rPr>
            </w:pPr>
          </w:p>
        </w:tc>
        <w:tc>
          <w:tcPr>
            <w:tcW w:w="1347" w:type="dxa"/>
            <w:tcBorders>
              <w:top w:val="single" w:sz="12" w:space="0" w:color="auto"/>
            </w:tcBorders>
            <w:vAlign w:val="bottom"/>
          </w:tcPr>
          <w:p w14:paraId="38095474" w14:textId="77777777" w:rsidR="00FE4150" w:rsidRPr="00F43653" w:rsidRDefault="00FE4150" w:rsidP="00FE4150">
            <w:pPr>
              <w:pStyle w:val="TT"/>
              <w:jc w:val="right"/>
              <w:rPr>
                <w:rFonts w:cs="Arial"/>
                <w:b/>
                <w:bCs/>
                <w:color w:val="000000" w:themeColor="text1"/>
                <w:sz w:val="20"/>
                <w:lang w:val="hr-HR"/>
              </w:rPr>
            </w:pPr>
          </w:p>
        </w:tc>
      </w:tr>
      <w:tr w:rsidR="0002301D" w:rsidRPr="00F43653" w14:paraId="79FD34D6" w14:textId="77777777" w:rsidTr="007832AD">
        <w:trPr>
          <w:trHeight w:val="303"/>
        </w:trPr>
        <w:tc>
          <w:tcPr>
            <w:tcW w:w="5529" w:type="dxa"/>
            <w:vAlign w:val="bottom"/>
          </w:tcPr>
          <w:p w14:paraId="7D167695" w14:textId="292511F4" w:rsidR="0002301D" w:rsidRPr="00F43653" w:rsidRDefault="0002301D" w:rsidP="0002301D">
            <w:pPr>
              <w:pStyle w:val="TT"/>
              <w:rPr>
                <w:rFonts w:cs="Arial"/>
                <w:color w:val="000000" w:themeColor="text1"/>
                <w:sz w:val="20"/>
                <w:lang w:val="hr-HR"/>
              </w:rPr>
            </w:pPr>
            <w:bookmarkStart w:id="47" w:name="_Toc67326743"/>
            <w:r w:rsidRPr="00F43653">
              <w:rPr>
                <w:rFonts w:cs="Arial"/>
                <w:color w:val="000000" w:themeColor="text1"/>
                <w:sz w:val="20"/>
                <w:lang w:val="hr-HR"/>
              </w:rPr>
              <w:t>Osnivački kapital</w:t>
            </w:r>
            <w:bookmarkEnd w:id="47"/>
          </w:p>
        </w:tc>
        <w:tc>
          <w:tcPr>
            <w:tcW w:w="992" w:type="dxa"/>
            <w:vAlign w:val="bottom"/>
          </w:tcPr>
          <w:p w14:paraId="61D01EFF" w14:textId="6B5E7F2E" w:rsidR="0002301D" w:rsidRPr="00F43653" w:rsidRDefault="0002301D" w:rsidP="0002301D">
            <w:pPr>
              <w:pStyle w:val="TT"/>
              <w:jc w:val="center"/>
              <w:rPr>
                <w:rFonts w:cs="Arial"/>
                <w:snapToGrid w:val="0"/>
                <w:color w:val="000000" w:themeColor="text1"/>
                <w:sz w:val="20"/>
                <w:highlight w:val="yellow"/>
                <w:lang w:val="hr-HR"/>
              </w:rPr>
            </w:pPr>
          </w:p>
        </w:tc>
        <w:tc>
          <w:tcPr>
            <w:tcW w:w="1346" w:type="dxa"/>
            <w:tcBorders>
              <w:top w:val="nil"/>
              <w:left w:val="nil"/>
              <w:bottom w:val="nil"/>
              <w:right w:val="nil"/>
            </w:tcBorders>
            <w:shd w:val="clear" w:color="auto" w:fill="auto"/>
            <w:vAlign w:val="bottom"/>
          </w:tcPr>
          <w:p w14:paraId="084219FF" w14:textId="58623FB1" w:rsidR="0002301D" w:rsidRPr="007832AD" w:rsidRDefault="0002301D" w:rsidP="0002301D">
            <w:pPr>
              <w:pStyle w:val="TT"/>
              <w:jc w:val="right"/>
              <w:rPr>
                <w:rFonts w:cs="Arial"/>
                <w:sz w:val="20"/>
              </w:rPr>
            </w:pPr>
            <w:r w:rsidRPr="007832AD">
              <w:rPr>
                <w:sz w:val="20"/>
              </w:rPr>
              <w:t>958.889</w:t>
            </w:r>
          </w:p>
        </w:tc>
        <w:tc>
          <w:tcPr>
            <w:tcW w:w="1347" w:type="dxa"/>
            <w:tcBorders>
              <w:top w:val="nil"/>
              <w:left w:val="nil"/>
              <w:bottom w:val="nil"/>
              <w:right w:val="nil"/>
            </w:tcBorders>
            <w:shd w:val="clear" w:color="auto" w:fill="auto"/>
          </w:tcPr>
          <w:p w14:paraId="6AEBFAB0" w14:textId="295EB867" w:rsidR="0002301D" w:rsidRPr="00F43653" w:rsidRDefault="0002301D" w:rsidP="0002301D">
            <w:pPr>
              <w:pStyle w:val="TT"/>
              <w:jc w:val="right"/>
              <w:rPr>
                <w:rFonts w:cs="Arial"/>
                <w:color w:val="000000" w:themeColor="text1"/>
                <w:sz w:val="20"/>
                <w:lang w:val="hr-HR"/>
              </w:rPr>
            </w:pPr>
            <w:r w:rsidRPr="00F959D0">
              <w:rPr>
                <w:sz w:val="20"/>
              </w:rPr>
              <w:t>958.889</w:t>
            </w:r>
          </w:p>
        </w:tc>
      </w:tr>
      <w:tr w:rsidR="0002301D" w:rsidRPr="00F43653" w14:paraId="31CED8D6" w14:textId="77777777" w:rsidTr="007832AD">
        <w:trPr>
          <w:trHeight w:val="303"/>
        </w:trPr>
        <w:tc>
          <w:tcPr>
            <w:tcW w:w="5529" w:type="dxa"/>
            <w:vAlign w:val="bottom"/>
          </w:tcPr>
          <w:p w14:paraId="01E0DC2C" w14:textId="1B61E143" w:rsidR="0002301D" w:rsidRPr="00F43653" w:rsidRDefault="0002301D" w:rsidP="0002301D">
            <w:pPr>
              <w:pStyle w:val="TT"/>
              <w:rPr>
                <w:rFonts w:cs="Arial"/>
                <w:color w:val="000000" w:themeColor="text1"/>
                <w:sz w:val="20"/>
                <w:lang w:val="hr-HR"/>
              </w:rPr>
            </w:pPr>
            <w:bookmarkStart w:id="48" w:name="_Toc67326747"/>
            <w:r w:rsidRPr="00F43653">
              <w:rPr>
                <w:rFonts w:cs="Arial"/>
                <w:color w:val="000000" w:themeColor="text1"/>
                <w:sz w:val="20"/>
                <w:lang w:val="hr-HR"/>
              </w:rPr>
              <w:t>Zadržana dobit i rezerve</w:t>
            </w:r>
            <w:bookmarkEnd w:id="48"/>
          </w:p>
        </w:tc>
        <w:tc>
          <w:tcPr>
            <w:tcW w:w="992" w:type="dxa"/>
            <w:vAlign w:val="bottom"/>
          </w:tcPr>
          <w:p w14:paraId="2A6B4327" w14:textId="77777777" w:rsidR="0002301D" w:rsidRPr="00F43653" w:rsidRDefault="0002301D" w:rsidP="0002301D">
            <w:pPr>
              <w:pStyle w:val="TT"/>
              <w:jc w:val="center"/>
              <w:rPr>
                <w:rFonts w:cs="Arial"/>
                <w:snapToGrid w:val="0"/>
                <w:color w:val="000000" w:themeColor="text1"/>
                <w:sz w:val="20"/>
                <w:highlight w:val="yellow"/>
                <w:lang w:val="hr-HR"/>
              </w:rPr>
            </w:pPr>
          </w:p>
        </w:tc>
        <w:tc>
          <w:tcPr>
            <w:tcW w:w="1346" w:type="dxa"/>
            <w:tcBorders>
              <w:top w:val="nil"/>
              <w:left w:val="nil"/>
              <w:bottom w:val="nil"/>
              <w:right w:val="nil"/>
            </w:tcBorders>
            <w:shd w:val="clear" w:color="auto" w:fill="auto"/>
            <w:vAlign w:val="bottom"/>
          </w:tcPr>
          <w:p w14:paraId="6FFBE75D" w14:textId="4C325A11" w:rsidR="0002301D" w:rsidRPr="007832AD" w:rsidRDefault="0002301D" w:rsidP="0002301D">
            <w:pPr>
              <w:pStyle w:val="TT"/>
              <w:jc w:val="right"/>
              <w:rPr>
                <w:rFonts w:cs="Arial"/>
                <w:sz w:val="20"/>
              </w:rPr>
            </w:pPr>
            <w:r w:rsidRPr="007832AD">
              <w:rPr>
                <w:sz w:val="20"/>
              </w:rPr>
              <w:t>498.945</w:t>
            </w:r>
          </w:p>
        </w:tc>
        <w:tc>
          <w:tcPr>
            <w:tcW w:w="1347" w:type="dxa"/>
            <w:tcBorders>
              <w:top w:val="nil"/>
              <w:left w:val="nil"/>
              <w:bottom w:val="nil"/>
              <w:right w:val="nil"/>
            </w:tcBorders>
            <w:shd w:val="clear" w:color="auto" w:fill="auto"/>
          </w:tcPr>
          <w:p w14:paraId="2DE7D478" w14:textId="31D522C2" w:rsidR="0002301D" w:rsidRPr="00F43653" w:rsidRDefault="0002301D" w:rsidP="0002301D">
            <w:pPr>
              <w:pStyle w:val="TT"/>
              <w:jc w:val="right"/>
              <w:rPr>
                <w:rFonts w:cs="Arial"/>
                <w:color w:val="000000" w:themeColor="text1"/>
                <w:sz w:val="20"/>
                <w:lang w:val="hr-HR"/>
              </w:rPr>
            </w:pPr>
            <w:r w:rsidRPr="00F959D0">
              <w:rPr>
                <w:sz w:val="20"/>
              </w:rPr>
              <w:t>468.9</w:t>
            </w:r>
            <w:r>
              <w:rPr>
                <w:sz w:val="20"/>
              </w:rPr>
              <w:t>60</w:t>
            </w:r>
          </w:p>
        </w:tc>
      </w:tr>
      <w:tr w:rsidR="0002301D" w:rsidRPr="00F43653" w14:paraId="16C8AD85" w14:textId="77777777" w:rsidTr="007832AD">
        <w:trPr>
          <w:trHeight w:val="303"/>
        </w:trPr>
        <w:tc>
          <w:tcPr>
            <w:tcW w:w="5529" w:type="dxa"/>
            <w:vAlign w:val="bottom"/>
          </w:tcPr>
          <w:p w14:paraId="67614A07" w14:textId="5D012AA4" w:rsidR="0002301D" w:rsidRPr="00F43653" w:rsidRDefault="0002301D" w:rsidP="0002301D">
            <w:pPr>
              <w:pStyle w:val="TT"/>
              <w:rPr>
                <w:rFonts w:cs="Arial"/>
                <w:color w:val="000000" w:themeColor="text1"/>
                <w:sz w:val="20"/>
                <w:lang w:val="hr-HR"/>
              </w:rPr>
            </w:pPr>
            <w:bookmarkStart w:id="49" w:name="_Toc67326750"/>
            <w:r w:rsidRPr="00F43653">
              <w:rPr>
                <w:rFonts w:cs="Arial"/>
                <w:color w:val="000000" w:themeColor="text1"/>
                <w:sz w:val="20"/>
                <w:lang w:val="hr-HR"/>
              </w:rPr>
              <w:t>Ostale rezerve</w:t>
            </w:r>
            <w:bookmarkEnd w:id="49"/>
          </w:p>
        </w:tc>
        <w:tc>
          <w:tcPr>
            <w:tcW w:w="992" w:type="dxa"/>
            <w:vAlign w:val="bottom"/>
          </w:tcPr>
          <w:p w14:paraId="1A61E8E7" w14:textId="77777777" w:rsidR="0002301D" w:rsidRPr="00F43653" w:rsidRDefault="0002301D" w:rsidP="0002301D">
            <w:pPr>
              <w:pStyle w:val="TT"/>
              <w:jc w:val="center"/>
              <w:rPr>
                <w:rFonts w:cs="Arial"/>
                <w:snapToGrid w:val="0"/>
                <w:color w:val="000000" w:themeColor="text1"/>
                <w:sz w:val="20"/>
                <w:highlight w:val="yellow"/>
                <w:lang w:val="hr-HR"/>
              </w:rPr>
            </w:pPr>
          </w:p>
        </w:tc>
        <w:tc>
          <w:tcPr>
            <w:tcW w:w="1346" w:type="dxa"/>
            <w:tcBorders>
              <w:top w:val="nil"/>
              <w:left w:val="nil"/>
              <w:bottom w:val="nil"/>
              <w:right w:val="nil"/>
            </w:tcBorders>
            <w:shd w:val="clear" w:color="auto" w:fill="auto"/>
            <w:vAlign w:val="bottom"/>
          </w:tcPr>
          <w:p w14:paraId="3930B126" w14:textId="42B6262D" w:rsidR="0002301D" w:rsidRPr="007832AD" w:rsidRDefault="0002301D" w:rsidP="0002301D">
            <w:pPr>
              <w:pStyle w:val="TT"/>
              <w:jc w:val="right"/>
              <w:rPr>
                <w:rFonts w:cs="Arial"/>
                <w:sz w:val="20"/>
              </w:rPr>
            </w:pPr>
            <w:r w:rsidRPr="007832AD">
              <w:rPr>
                <w:sz w:val="20"/>
              </w:rPr>
              <w:t>1.110</w:t>
            </w:r>
          </w:p>
        </w:tc>
        <w:tc>
          <w:tcPr>
            <w:tcW w:w="1347" w:type="dxa"/>
            <w:tcBorders>
              <w:top w:val="nil"/>
              <w:left w:val="nil"/>
              <w:bottom w:val="nil"/>
              <w:right w:val="nil"/>
            </w:tcBorders>
            <w:shd w:val="clear" w:color="auto" w:fill="auto"/>
          </w:tcPr>
          <w:p w14:paraId="1C08C05F" w14:textId="58A33010" w:rsidR="0002301D" w:rsidRPr="00F43653" w:rsidRDefault="0002301D" w:rsidP="0002301D">
            <w:pPr>
              <w:pStyle w:val="TT"/>
              <w:jc w:val="right"/>
              <w:rPr>
                <w:rFonts w:cs="Arial"/>
                <w:color w:val="000000" w:themeColor="text1"/>
                <w:sz w:val="20"/>
                <w:lang w:val="hr-HR"/>
              </w:rPr>
            </w:pPr>
            <w:r>
              <w:rPr>
                <w:sz w:val="20"/>
              </w:rPr>
              <w:t>(</w:t>
            </w:r>
            <w:r w:rsidRPr="00F959D0">
              <w:rPr>
                <w:sz w:val="20"/>
              </w:rPr>
              <w:t>1.555</w:t>
            </w:r>
            <w:r>
              <w:rPr>
                <w:sz w:val="20"/>
              </w:rPr>
              <w:t>)</w:t>
            </w:r>
          </w:p>
        </w:tc>
      </w:tr>
      <w:tr w:rsidR="0002301D" w:rsidRPr="00F43653" w14:paraId="5C2EEE2F" w14:textId="77777777" w:rsidTr="007832AD">
        <w:trPr>
          <w:trHeight w:val="291"/>
        </w:trPr>
        <w:tc>
          <w:tcPr>
            <w:tcW w:w="5529" w:type="dxa"/>
            <w:vAlign w:val="bottom"/>
          </w:tcPr>
          <w:p w14:paraId="2BB572DA" w14:textId="5A80BE50" w:rsidR="0002301D" w:rsidRPr="00F43653" w:rsidRDefault="0002301D" w:rsidP="0002301D">
            <w:pPr>
              <w:pStyle w:val="TT"/>
              <w:rPr>
                <w:rFonts w:cs="Arial"/>
                <w:color w:val="000000" w:themeColor="text1"/>
                <w:sz w:val="20"/>
                <w:lang w:val="hr-HR"/>
              </w:rPr>
            </w:pPr>
            <w:bookmarkStart w:id="50" w:name="_Toc67326753"/>
            <w:r w:rsidRPr="00F43653">
              <w:rPr>
                <w:rFonts w:cs="Arial"/>
                <w:color w:val="000000" w:themeColor="text1"/>
                <w:sz w:val="20"/>
                <w:lang w:val="hr-HR"/>
              </w:rPr>
              <w:t>Dobit tekućeg razdoblja</w:t>
            </w:r>
            <w:bookmarkEnd w:id="50"/>
          </w:p>
        </w:tc>
        <w:tc>
          <w:tcPr>
            <w:tcW w:w="992" w:type="dxa"/>
            <w:vAlign w:val="bottom"/>
          </w:tcPr>
          <w:p w14:paraId="6B03DD20" w14:textId="77777777" w:rsidR="0002301D" w:rsidRPr="00F43653" w:rsidRDefault="0002301D" w:rsidP="0002301D">
            <w:pPr>
              <w:pStyle w:val="TT"/>
              <w:jc w:val="center"/>
              <w:rPr>
                <w:rFonts w:cs="Arial"/>
                <w:snapToGrid w:val="0"/>
                <w:color w:val="000000" w:themeColor="text1"/>
                <w:sz w:val="20"/>
                <w:highlight w:val="yellow"/>
                <w:lang w:val="hr-HR"/>
              </w:rPr>
            </w:pPr>
          </w:p>
        </w:tc>
        <w:tc>
          <w:tcPr>
            <w:tcW w:w="1346" w:type="dxa"/>
            <w:tcBorders>
              <w:top w:val="nil"/>
              <w:left w:val="nil"/>
              <w:bottom w:val="nil"/>
              <w:right w:val="nil"/>
            </w:tcBorders>
            <w:shd w:val="clear" w:color="auto" w:fill="auto"/>
            <w:vAlign w:val="bottom"/>
          </w:tcPr>
          <w:p w14:paraId="0E46FCDB" w14:textId="60E36AAE" w:rsidR="0002301D" w:rsidRPr="007832AD" w:rsidRDefault="0002301D" w:rsidP="0002301D">
            <w:pPr>
              <w:pStyle w:val="TT"/>
              <w:jc w:val="right"/>
              <w:rPr>
                <w:rFonts w:cs="Arial"/>
                <w:sz w:val="20"/>
              </w:rPr>
            </w:pPr>
            <w:r w:rsidRPr="007832AD">
              <w:rPr>
                <w:sz w:val="20"/>
              </w:rPr>
              <w:t>43.700</w:t>
            </w:r>
          </w:p>
        </w:tc>
        <w:tc>
          <w:tcPr>
            <w:tcW w:w="1347" w:type="dxa"/>
            <w:tcBorders>
              <w:top w:val="nil"/>
              <w:left w:val="nil"/>
              <w:bottom w:val="nil"/>
              <w:right w:val="nil"/>
            </w:tcBorders>
            <w:shd w:val="clear" w:color="auto" w:fill="auto"/>
          </w:tcPr>
          <w:p w14:paraId="545F0425" w14:textId="0777A983" w:rsidR="0002301D" w:rsidRPr="00F43653" w:rsidRDefault="0002301D" w:rsidP="0002301D">
            <w:pPr>
              <w:pStyle w:val="TT"/>
              <w:jc w:val="right"/>
              <w:rPr>
                <w:rFonts w:cs="Arial"/>
                <w:color w:val="000000" w:themeColor="text1"/>
                <w:sz w:val="20"/>
                <w:lang w:val="hr-HR"/>
              </w:rPr>
            </w:pPr>
            <w:r w:rsidRPr="00F959D0">
              <w:rPr>
                <w:sz w:val="20"/>
              </w:rPr>
              <w:t>29.947</w:t>
            </w:r>
          </w:p>
        </w:tc>
      </w:tr>
      <w:tr w:rsidR="0002301D" w:rsidRPr="00F43653" w14:paraId="7AAEF305" w14:textId="77777777" w:rsidTr="007832AD">
        <w:trPr>
          <w:trHeight w:val="291"/>
        </w:trPr>
        <w:tc>
          <w:tcPr>
            <w:tcW w:w="5529" w:type="dxa"/>
            <w:vAlign w:val="bottom"/>
          </w:tcPr>
          <w:p w14:paraId="0F746CC0" w14:textId="053891E3" w:rsidR="0002301D" w:rsidRPr="00F43653" w:rsidRDefault="0002301D" w:rsidP="0002301D">
            <w:pPr>
              <w:pStyle w:val="TT"/>
              <w:rPr>
                <w:rFonts w:cs="Arial"/>
                <w:color w:val="000000" w:themeColor="text1"/>
                <w:sz w:val="20"/>
                <w:lang w:val="hr-HR"/>
              </w:rPr>
            </w:pPr>
            <w:bookmarkStart w:id="51" w:name="_Toc67326756"/>
            <w:r w:rsidRPr="00F43653">
              <w:rPr>
                <w:rFonts w:cs="Arial"/>
                <w:color w:val="000000" w:themeColor="text1"/>
                <w:sz w:val="20"/>
                <w:lang w:val="hr-HR"/>
              </w:rPr>
              <w:t>Garantni fond</w:t>
            </w:r>
            <w:bookmarkEnd w:id="51"/>
          </w:p>
        </w:tc>
        <w:tc>
          <w:tcPr>
            <w:tcW w:w="992" w:type="dxa"/>
            <w:vAlign w:val="bottom"/>
          </w:tcPr>
          <w:p w14:paraId="007CB5E8" w14:textId="77777777" w:rsidR="0002301D" w:rsidRPr="00F43653" w:rsidRDefault="0002301D" w:rsidP="0002301D">
            <w:pPr>
              <w:pStyle w:val="TT"/>
              <w:jc w:val="center"/>
              <w:rPr>
                <w:rFonts w:cs="Arial"/>
                <w:snapToGrid w:val="0"/>
                <w:color w:val="000000" w:themeColor="text1"/>
                <w:sz w:val="20"/>
                <w:highlight w:val="yellow"/>
                <w:lang w:val="hr-HR"/>
              </w:rPr>
            </w:pPr>
          </w:p>
        </w:tc>
        <w:tc>
          <w:tcPr>
            <w:tcW w:w="1346" w:type="dxa"/>
            <w:tcBorders>
              <w:top w:val="nil"/>
              <w:left w:val="nil"/>
              <w:bottom w:val="single" w:sz="8" w:space="0" w:color="auto"/>
              <w:right w:val="nil"/>
            </w:tcBorders>
            <w:shd w:val="clear" w:color="auto" w:fill="auto"/>
            <w:vAlign w:val="bottom"/>
          </w:tcPr>
          <w:p w14:paraId="4B5B2294" w14:textId="0F80895A" w:rsidR="0002301D" w:rsidRPr="007832AD" w:rsidRDefault="0002301D" w:rsidP="0002301D">
            <w:pPr>
              <w:pStyle w:val="TT"/>
              <w:jc w:val="right"/>
              <w:rPr>
                <w:rFonts w:cs="Arial"/>
                <w:sz w:val="20"/>
              </w:rPr>
            </w:pPr>
            <w:r w:rsidRPr="007832AD">
              <w:rPr>
                <w:sz w:val="20"/>
              </w:rPr>
              <w:t>1.638</w:t>
            </w:r>
          </w:p>
        </w:tc>
        <w:tc>
          <w:tcPr>
            <w:tcW w:w="1347" w:type="dxa"/>
            <w:tcBorders>
              <w:top w:val="nil"/>
              <w:left w:val="nil"/>
              <w:bottom w:val="single" w:sz="4" w:space="0" w:color="auto"/>
              <w:right w:val="nil"/>
            </w:tcBorders>
            <w:shd w:val="clear" w:color="auto" w:fill="auto"/>
          </w:tcPr>
          <w:p w14:paraId="024A626F" w14:textId="14AEB5F3" w:rsidR="0002301D" w:rsidRPr="00F43653" w:rsidRDefault="0002301D" w:rsidP="0002301D">
            <w:pPr>
              <w:pStyle w:val="TT"/>
              <w:jc w:val="right"/>
              <w:rPr>
                <w:rFonts w:cs="Arial"/>
                <w:color w:val="000000" w:themeColor="text1"/>
                <w:sz w:val="20"/>
                <w:lang w:val="hr-HR"/>
              </w:rPr>
            </w:pPr>
            <w:r w:rsidRPr="00F959D0">
              <w:rPr>
                <w:sz w:val="20"/>
              </w:rPr>
              <w:t>1.638</w:t>
            </w:r>
          </w:p>
        </w:tc>
      </w:tr>
      <w:tr w:rsidR="0002301D" w:rsidRPr="00F43653" w14:paraId="1171ED05" w14:textId="77777777" w:rsidTr="007832AD">
        <w:trPr>
          <w:trHeight w:val="328"/>
        </w:trPr>
        <w:tc>
          <w:tcPr>
            <w:tcW w:w="5529" w:type="dxa"/>
            <w:vAlign w:val="bottom"/>
          </w:tcPr>
          <w:p w14:paraId="24ADF796" w14:textId="07920500" w:rsidR="0002301D" w:rsidRPr="00F43653" w:rsidRDefault="0002301D" w:rsidP="0002301D">
            <w:pPr>
              <w:pStyle w:val="Tot"/>
              <w:rPr>
                <w:rFonts w:cs="Arial"/>
                <w:b/>
                <w:bCs/>
                <w:color w:val="000000" w:themeColor="text1"/>
                <w:sz w:val="20"/>
                <w:lang w:val="hr-HR"/>
              </w:rPr>
            </w:pPr>
            <w:bookmarkStart w:id="52" w:name="_Toc67326760"/>
            <w:r w:rsidRPr="00F43653">
              <w:rPr>
                <w:rFonts w:cs="Arial"/>
                <w:b/>
                <w:bCs/>
                <w:color w:val="000000" w:themeColor="text1"/>
                <w:sz w:val="20"/>
                <w:lang w:val="hr-HR"/>
              </w:rPr>
              <w:t>Ukupni kapital i rezerve</w:t>
            </w:r>
            <w:bookmarkEnd w:id="52"/>
          </w:p>
        </w:tc>
        <w:tc>
          <w:tcPr>
            <w:tcW w:w="992" w:type="dxa"/>
            <w:vAlign w:val="bottom"/>
          </w:tcPr>
          <w:p w14:paraId="41000E22" w14:textId="77777777" w:rsidR="0002301D" w:rsidRPr="00F43653" w:rsidRDefault="0002301D" w:rsidP="0002301D">
            <w:pPr>
              <w:pStyle w:val="Tot"/>
              <w:jc w:val="center"/>
              <w:rPr>
                <w:rFonts w:cs="Arial"/>
                <w:b/>
                <w:bCs/>
                <w:color w:val="000000" w:themeColor="text1"/>
                <w:sz w:val="20"/>
                <w:highlight w:val="yellow"/>
                <w:lang w:val="hr-HR"/>
              </w:rPr>
            </w:pPr>
          </w:p>
        </w:tc>
        <w:tc>
          <w:tcPr>
            <w:tcW w:w="1346" w:type="dxa"/>
            <w:tcBorders>
              <w:top w:val="single" w:sz="4" w:space="0" w:color="auto"/>
              <w:left w:val="nil"/>
              <w:bottom w:val="single" w:sz="12" w:space="0" w:color="auto"/>
              <w:right w:val="nil"/>
            </w:tcBorders>
            <w:shd w:val="clear" w:color="auto" w:fill="auto"/>
            <w:vAlign w:val="bottom"/>
          </w:tcPr>
          <w:p w14:paraId="3A2B039F" w14:textId="51220A00" w:rsidR="0002301D" w:rsidRPr="00274386" w:rsidRDefault="0002301D" w:rsidP="0002301D">
            <w:pPr>
              <w:pStyle w:val="Tot"/>
              <w:jc w:val="right"/>
              <w:rPr>
                <w:rFonts w:cs="Arial"/>
                <w:b/>
                <w:bCs/>
                <w:sz w:val="20"/>
              </w:rPr>
            </w:pPr>
            <w:r w:rsidRPr="001541F1">
              <w:rPr>
                <w:b/>
                <w:bCs/>
                <w:sz w:val="20"/>
              </w:rPr>
              <w:t>1.504.282</w:t>
            </w:r>
          </w:p>
        </w:tc>
        <w:tc>
          <w:tcPr>
            <w:tcW w:w="1347" w:type="dxa"/>
            <w:tcBorders>
              <w:top w:val="single" w:sz="4" w:space="0" w:color="auto"/>
              <w:left w:val="nil"/>
              <w:bottom w:val="single" w:sz="12" w:space="0" w:color="auto"/>
              <w:right w:val="nil"/>
            </w:tcBorders>
            <w:shd w:val="clear" w:color="auto" w:fill="auto"/>
            <w:vAlign w:val="bottom"/>
          </w:tcPr>
          <w:p w14:paraId="1F36B95D" w14:textId="0D86D6F7" w:rsidR="0002301D" w:rsidRPr="00F43653" w:rsidRDefault="0002301D" w:rsidP="0002301D">
            <w:pPr>
              <w:pStyle w:val="Tot"/>
              <w:jc w:val="right"/>
              <w:rPr>
                <w:rFonts w:cs="Arial"/>
                <w:b/>
                <w:bCs/>
                <w:color w:val="000000" w:themeColor="text1"/>
                <w:sz w:val="20"/>
                <w:lang w:val="hr-HR"/>
              </w:rPr>
            </w:pPr>
            <w:r w:rsidRPr="00D16DD5">
              <w:rPr>
                <w:rFonts w:cs="Arial"/>
                <w:b/>
                <w:bCs/>
                <w:color w:val="000000" w:themeColor="text1"/>
                <w:sz w:val="20"/>
                <w:lang w:val="hr-HR"/>
              </w:rPr>
              <w:t>1.457.87</w:t>
            </w:r>
            <w:r>
              <w:rPr>
                <w:rFonts w:cs="Arial"/>
                <w:b/>
                <w:bCs/>
                <w:color w:val="000000" w:themeColor="text1"/>
                <w:sz w:val="20"/>
                <w:lang w:val="hr-HR"/>
              </w:rPr>
              <w:t>9</w:t>
            </w:r>
          </w:p>
        </w:tc>
      </w:tr>
      <w:tr w:rsidR="0002301D" w:rsidRPr="00F43653" w14:paraId="75C2C41D" w14:textId="77777777" w:rsidTr="007832AD">
        <w:trPr>
          <w:trHeight w:val="402"/>
        </w:trPr>
        <w:tc>
          <w:tcPr>
            <w:tcW w:w="5529" w:type="dxa"/>
            <w:vAlign w:val="bottom"/>
          </w:tcPr>
          <w:p w14:paraId="5A9E9030" w14:textId="0E13EBAA" w:rsidR="0002301D" w:rsidRPr="00F43653" w:rsidRDefault="0002301D" w:rsidP="0002301D">
            <w:pPr>
              <w:pStyle w:val="Tot"/>
              <w:rPr>
                <w:rFonts w:cs="Arial"/>
                <w:b/>
                <w:bCs/>
                <w:color w:val="000000" w:themeColor="text1"/>
                <w:sz w:val="20"/>
                <w:lang w:val="hr-HR"/>
              </w:rPr>
            </w:pPr>
            <w:bookmarkStart w:id="53" w:name="_Toc67326763"/>
            <w:r w:rsidRPr="00F43653">
              <w:rPr>
                <w:rFonts w:cs="Arial"/>
                <w:b/>
                <w:bCs/>
                <w:color w:val="000000" w:themeColor="text1"/>
                <w:sz w:val="20"/>
                <w:lang w:val="hr-HR"/>
              </w:rPr>
              <w:t>Ukupne obveze i kapital i rezerve</w:t>
            </w:r>
            <w:bookmarkEnd w:id="53"/>
          </w:p>
        </w:tc>
        <w:tc>
          <w:tcPr>
            <w:tcW w:w="992" w:type="dxa"/>
            <w:vAlign w:val="bottom"/>
          </w:tcPr>
          <w:p w14:paraId="100E6432" w14:textId="77777777" w:rsidR="0002301D" w:rsidRPr="00F43653" w:rsidRDefault="0002301D" w:rsidP="0002301D">
            <w:pPr>
              <w:pStyle w:val="Tot"/>
              <w:jc w:val="center"/>
              <w:rPr>
                <w:rFonts w:cs="Arial"/>
                <w:b/>
                <w:bCs/>
                <w:color w:val="000000" w:themeColor="text1"/>
                <w:sz w:val="20"/>
                <w:highlight w:val="yellow"/>
                <w:lang w:val="hr-HR"/>
              </w:rPr>
            </w:pPr>
          </w:p>
        </w:tc>
        <w:tc>
          <w:tcPr>
            <w:tcW w:w="1346" w:type="dxa"/>
            <w:tcBorders>
              <w:top w:val="single" w:sz="12" w:space="0" w:color="auto"/>
              <w:left w:val="nil"/>
              <w:bottom w:val="single" w:sz="12" w:space="0" w:color="auto"/>
              <w:right w:val="nil"/>
            </w:tcBorders>
            <w:shd w:val="clear" w:color="auto" w:fill="auto"/>
            <w:vAlign w:val="bottom"/>
          </w:tcPr>
          <w:p w14:paraId="13269514" w14:textId="21E686B5" w:rsidR="0002301D" w:rsidRPr="007832AD" w:rsidRDefault="0002301D" w:rsidP="0002301D">
            <w:pPr>
              <w:pStyle w:val="Tot"/>
              <w:jc w:val="right"/>
              <w:rPr>
                <w:rFonts w:cs="Arial"/>
                <w:b/>
                <w:bCs/>
                <w:sz w:val="20"/>
              </w:rPr>
            </w:pPr>
            <w:r w:rsidRPr="007832AD">
              <w:rPr>
                <w:b/>
                <w:bCs/>
                <w:sz w:val="20"/>
              </w:rPr>
              <w:t>4.021.045</w:t>
            </w:r>
          </w:p>
        </w:tc>
        <w:tc>
          <w:tcPr>
            <w:tcW w:w="1347" w:type="dxa"/>
            <w:tcBorders>
              <w:top w:val="single" w:sz="12" w:space="0" w:color="auto"/>
              <w:left w:val="nil"/>
              <w:bottom w:val="single" w:sz="12" w:space="0" w:color="auto"/>
              <w:right w:val="nil"/>
            </w:tcBorders>
            <w:shd w:val="clear" w:color="auto" w:fill="auto"/>
            <w:vAlign w:val="bottom"/>
          </w:tcPr>
          <w:p w14:paraId="4A31DB9C" w14:textId="08F1713D" w:rsidR="0002301D" w:rsidRPr="00F43653" w:rsidRDefault="0002301D" w:rsidP="0002301D">
            <w:pPr>
              <w:pStyle w:val="Tot"/>
              <w:jc w:val="right"/>
              <w:rPr>
                <w:rFonts w:cs="Arial"/>
                <w:b/>
                <w:bCs/>
                <w:color w:val="000000" w:themeColor="text1"/>
                <w:sz w:val="20"/>
                <w:lang w:val="hr-HR"/>
              </w:rPr>
            </w:pPr>
            <w:r w:rsidRPr="00D16DD5">
              <w:rPr>
                <w:rFonts w:cs="Arial"/>
                <w:b/>
                <w:bCs/>
                <w:color w:val="000000" w:themeColor="text1"/>
                <w:sz w:val="20"/>
                <w:lang w:val="hr-HR"/>
              </w:rPr>
              <w:t>4.021.53</w:t>
            </w:r>
            <w:r>
              <w:rPr>
                <w:rFonts w:cs="Arial"/>
                <w:b/>
                <w:bCs/>
                <w:color w:val="000000" w:themeColor="text1"/>
                <w:sz w:val="20"/>
                <w:lang w:val="hr-HR"/>
              </w:rPr>
              <w:t>6</w:t>
            </w:r>
          </w:p>
        </w:tc>
      </w:tr>
    </w:tbl>
    <w:p w14:paraId="543F86CB" w14:textId="77777777" w:rsidR="000A0E43" w:rsidRPr="003D1614" w:rsidRDefault="000A0E43" w:rsidP="008C368A">
      <w:pPr>
        <w:keepNext/>
        <w:suppressAutoHyphens/>
        <w:autoSpaceDN w:val="0"/>
        <w:jc w:val="both"/>
        <w:outlineLvl w:val="0"/>
        <w:rPr>
          <w:rFonts w:ascii="Arial" w:eastAsia="Times New Roman" w:hAnsi="Arial" w:cs="Arial"/>
          <w:bCs/>
          <w:color w:val="000000" w:themeColor="text1"/>
          <w:sz w:val="20"/>
          <w:szCs w:val="20"/>
        </w:rPr>
      </w:pPr>
    </w:p>
    <w:p w14:paraId="2104E5A3" w14:textId="77777777" w:rsidR="007214E2" w:rsidRPr="003D1614" w:rsidRDefault="007214E2" w:rsidP="008C368A">
      <w:pPr>
        <w:keepNext/>
        <w:suppressAutoHyphens/>
        <w:autoSpaceDN w:val="0"/>
        <w:jc w:val="both"/>
        <w:outlineLvl w:val="0"/>
        <w:rPr>
          <w:rFonts w:ascii="Arial" w:eastAsia="Times New Roman" w:hAnsi="Arial" w:cs="Arial"/>
          <w:bCs/>
          <w:color w:val="000000" w:themeColor="text1"/>
          <w:sz w:val="20"/>
          <w:szCs w:val="20"/>
        </w:rPr>
      </w:pPr>
    </w:p>
    <w:p w14:paraId="614517BD" w14:textId="77777777" w:rsidR="002B23C7" w:rsidRPr="003D1614" w:rsidRDefault="002B23C7" w:rsidP="008C368A">
      <w:pPr>
        <w:keepNext/>
        <w:suppressAutoHyphens/>
        <w:autoSpaceDN w:val="0"/>
        <w:jc w:val="both"/>
        <w:outlineLvl w:val="0"/>
        <w:rPr>
          <w:rFonts w:ascii="Arial" w:eastAsia="Times New Roman" w:hAnsi="Arial" w:cs="Arial"/>
          <w:bCs/>
          <w:color w:val="000000" w:themeColor="text1"/>
          <w:sz w:val="20"/>
          <w:szCs w:val="20"/>
        </w:rPr>
      </w:pPr>
    </w:p>
    <w:p w14:paraId="23F03BF8" w14:textId="77777777" w:rsidR="002B23C7" w:rsidRPr="003D1614" w:rsidRDefault="002B23C7" w:rsidP="008C368A">
      <w:pPr>
        <w:keepNext/>
        <w:suppressAutoHyphens/>
        <w:autoSpaceDN w:val="0"/>
        <w:jc w:val="both"/>
        <w:outlineLvl w:val="0"/>
        <w:rPr>
          <w:rFonts w:ascii="Arial" w:eastAsia="Times New Roman" w:hAnsi="Arial" w:cs="Arial"/>
          <w:bCs/>
          <w:color w:val="000000" w:themeColor="text1"/>
          <w:sz w:val="20"/>
          <w:szCs w:val="20"/>
        </w:rPr>
      </w:pPr>
    </w:p>
    <w:p w14:paraId="7FB63B1B" w14:textId="77777777" w:rsidR="002B23C7" w:rsidRPr="003D1614" w:rsidRDefault="002B23C7" w:rsidP="008C368A">
      <w:pPr>
        <w:keepNext/>
        <w:suppressAutoHyphens/>
        <w:autoSpaceDN w:val="0"/>
        <w:jc w:val="both"/>
        <w:outlineLvl w:val="0"/>
        <w:rPr>
          <w:rFonts w:ascii="Arial" w:eastAsia="Times New Roman" w:hAnsi="Arial" w:cs="Arial"/>
          <w:bCs/>
          <w:color w:val="000000" w:themeColor="text1"/>
          <w:sz w:val="20"/>
          <w:szCs w:val="20"/>
        </w:rPr>
      </w:pPr>
    </w:p>
    <w:p w14:paraId="2D020BED" w14:textId="77777777" w:rsidR="002B23C7" w:rsidRPr="003D1614" w:rsidRDefault="002B23C7" w:rsidP="002B23C7">
      <w:pPr>
        <w:keepNext/>
        <w:suppressAutoHyphens/>
        <w:autoSpaceDN w:val="0"/>
        <w:jc w:val="both"/>
        <w:outlineLvl w:val="0"/>
        <w:rPr>
          <w:rFonts w:ascii="Arial" w:eastAsia="Times New Roman" w:hAnsi="Arial" w:cs="Arial"/>
          <w:bCs/>
          <w:color w:val="000000" w:themeColor="text1"/>
          <w:sz w:val="20"/>
          <w:szCs w:val="20"/>
        </w:rPr>
      </w:pPr>
    </w:p>
    <w:p w14:paraId="4D64CB5B" w14:textId="42905F69" w:rsidR="002B23C7" w:rsidRPr="003D1614" w:rsidRDefault="002B23C7" w:rsidP="002B23C7">
      <w:pPr>
        <w:keepNext/>
        <w:suppressAutoHyphens/>
        <w:autoSpaceDN w:val="0"/>
        <w:jc w:val="both"/>
        <w:outlineLvl w:val="0"/>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Priložene računovodstvene politike i bilješke sastavni su dio ovih financijskih izvještaja.</w:t>
      </w:r>
    </w:p>
    <w:p w14:paraId="7E5081E2" w14:textId="77777777" w:rsidR="002B23C7" w:rsidRPr="003D1614" w:rsidRDefault="002B23C7" w:rsidP="002B23C7">
      <w:pPr>
        <w:keepNext/>
        <w:suppressAutoHyphens/>
        <w:autoSpaceDN w:val="0"/>
        <w:jc w:val="both"/>
        <w:outlineLvl w:val="0"/>
        <w:rPr>
          <w:rFonts w:ascii="Arial" w:eastAsia="Times New Roman" w:hAnsi="Arial" w:cs="Arial"/>
          <w:bCs/>
          <w:color w:val="000000" w:themeColor="text1"/>
          <w:sz w:val="20"/>
          <w:szCs w:val="20"/>
        </w:rPr>
        <w:sectPr w:rsidR="002B23C7" w:rsidRPr="003D1614">
          <w:headerReference w:type="default" r:id="rId13"/>
          <w:pgSz w:w="11906" w:h="16838"/>
          <w:pgMar w:top="1417" w:right="1417" w:bottom="1417" w:left="1417" w:header="708" w:footer="708" w:gutter="0"/>
          <w:cols w:space="708"/>
          <w:docGrid w:linePitch="360"/>
        </w:sectPr>
      </w:pPr>
    </w:p>
    <w:p w14:paraId="3240E2FB" w14:textId="77777777" w:rsidR="002B23C7" w:rsidRPr="003D1614" w:rsidRDefault="002B23C7" w:rsidP="002B23C7">
      <w:pPr>
        <w:keepNext/>
        <w:suppressAutoHyphens/>
        <w:autoSpaceDN w:val="0"/>
        <w:jc w:val="both"/>
        <w:outlineLvl w:val="0"/>
        <w:rPr>
          <w:rFonts w:ascii="Arial" w:eastAsia="Times New Roman" w:hAnsi="Arial" w:cs="Arial"/>
          <w:bCs/>
          <w:color w:val="000000" w:themeColor="text1"/>
          <w:sz w:val="20"/>
          <w:szCs w:val="20"/>
        </w:rPr>
      </w:pPr>
    </w:p>
    <w:p w14:paraId="5736D66A" w14:textId="77777777" w:rsidR="007214E2" w:rsidRPr="003D1614" w:rsidRDefault="007214E2" w:rsidP="008C368A">
      <w:pPr>
        <w:keepNext/>
        <w:suppressAutoHyphens/>
        <w:autoSpaceDN w:val="0"/>
        <w:jc w:val="both"/>
        <w:outlineLvl w:val="0"/>
        <w:rPr>
          <w:rFonts w:ascii="Arial" w:eastAsia="Times New Roman" w:hAnsi="Arial" w:cs="Arial"/>
          <w:bCs/>
          <w:color w:val="000000" w:themeColor="text1"/>
          <w:sz w:val="20"/>
          <w:szCs w:val="20"/>
        </w:rPr>
      </w:pPr>
    </w:p>
    <w:tbl>
      <w:tblPr>
        <w:tblW w:w="10019" w:type="dxa"/>
        <w:tblInd w:w="-284" w:type="dxa"/>
        <w:tblLayout w:type="fixed"/>
        <w:tblCellMar>
          <w:left w:w="119" w:type="dxa"/>
          <w:right w:w="119" w:type="dxa"/>
        </w:tblCellMar>
        <w:tblLook w:val="0000" w:firstRow="0" w:lastRow="0" w:firstColumn="0" w:lastColumn="0" w:noHBand="0" w:noVBand="0"/>
      </w:tblPr>
      <w:tblGrid>
        <w:gridCol w:w="7515"/>
        <w:gridCol w:w="1252"/>
        <w:gridCol w:w="1252"/>
      </w:tblGrid>
      <w:tr w:rsidR="00DC6A7C" w:rsidRPr="008F09B7" w14:paraId="1BCDB934" w14:textId="77777777" w:rsidTr="007478FB">
        <w:trPr>
          <w:trHeight w:val="173"/>
        </w:trPr>
        <w:tc>
          <w:tcPr>
            <w:tcW w:w="7515" w:type="dxa"/>
            <w:vAlign w:val="bottom"/>
          </w:tcPr>
          <w:p w14:paraId="7144EB2D" w14:textId="77777777" w:rsidR="00DC6A7C" w:rsidRPr="00F43653" w:rsidRDefault="00DC6A7C" w:rsidP="00DC6A7C">
            <w:pPr>
              <w:keepLines/>
              <w:tabs>
                <w:tab w:val="right" w:pos="1202"/>
              </w:tabs>
              <w:suppressAutoHyphens/>
              <w:autoSpaceDN w:val="0"/>
              <w:spacing w:line="210" w:lineRule="exact"/>
              <w:jc w:val="center"/>
              <w:outlineLvl w:val="0"/>
              <w:rPr>
                <w:rFonts w:ascii="Arial" w:eastAsia="Times New Roman" w:hAnsi="Arial" w:cs="Arial"/>
                <w:b/>
                <w:color w:val="000000" w:themeColor="text1"/>
                <w:sz w:val="18"/>
                <w:szCs w:val="18"/>
              </w:rPr>
            </w:pPr>
            <w:r w:rsidRPr="00F43653">
              <w:rPr>
                <w:rFonts w:ascii="Arial" w:eastAsia="Times New Roman" w:hAnsi="Arial" w:cs="Arial"/>
                <w:b/>
                <w:color w:val="000000" w:themeColor="text1"/>
                <w:sz w:val="18"/>
                <w:szCs w:val="18"/>
              </w:rPr>
              <w:t xml:space="preserve">                                                                                                                                            </w:t>
            </w:r>
            <w:bookmarkStart w:id="54" w:name="_Toc67326766"/>
          </w:p>
          <w:p w14:paraId="7BFF0C8A" w14:textId="77777777" w:rsidR="00DC6A7C" w:rsidRPr="00F43653" w:rsidRDefault="00DC6A7C" w:rsidP="00C60384">
            <w:pPr>
              <w:keepLines/>
              <w:tabs>
                <w:tab w:val="right" w:pos="1202"/>
              </w:tabs>
              <w:suppressAutoHyphens/>
              <w:autoSpaceDN w:val="0"/>
              <w:spacing w:line="210" w:lineRule="exact"/>
              <w:jc w:val="right"/>
              <w:outlineLvl w:val="0"/>
              <w:rPr>
                <w:rFonts w:ascii="Arial" w:eastAsia="Times New Roman" w:hAnsi="Arial" w:cs="Arial"/>
                <w:b/>
                <w:color w:val="000000" w:themeColor="text1"/>
                <w:sz w:val="18"/>
                <w:szCs w:val="18"/>
              </w:rPr>
            </w:pPr>
            <w:r w:rsidRPr="00F43653">
              <w:rPr>
                <w:rFonts w:ascii="Arial" w:eastAsia="Times New Roman" w:hAnsi="Arial" w:cs="Arial"/>
                <w:b/>
                <w:color w:val="000000" w:themeColor="text1"/>
                <w:sz w:val="18"/>
                <w:szCs w:val="18"/>
              </w:rPr>
              <w:t xml:space="preserve">                                                                                                                            Bilješka</w:t>
            </w:r>
            <w:bookmarkEnd w:id="54"/>
          </w:p>
        </w:tc>
        <w:tc>
          <w:tcPr>
            <w:tcW w:w="1252" w:type="dxa"/>
            <w:vAlign w:val="bottom"/>
          </w:tcPr>
          <w:p w14:paraId="0290F941" w14:textId="0204F7F7" w:rsidR="00DC6A7C" w:rsidRPr="00F43653" w:rsidRDefault="00DC6A7C" w:rsidP="00DC6A7C">
            <w:pPr>
              <w:keepLines/>
              <w:tabs>
                <w:tab w:val="right" w:pos="1202"/>
              </w:tabs>
              <w:suppressAutoHyphens/>
              <w:autoSpaceDN w:val="0"/>
              <w:spacing w:line="210" w:lineRule="exact"/>
              <w:jc w:val="right"/>
              <w:outlineLvl w:val="0"/>
              <w:rPr>
                <w:rFonts w:ascii="Arial" w:eastAsia="Times New Roman" w:hAnsi="Arial" w:cs="Arial"/>
                <w:b/>
                <w:bCs/>
                <w:color w:val="000000" w:themeColor="text1"/>
                <w:sz w:val="18"/>
                <w:szCs w:val="18"/>
              </w:rPr>
            </w:pPr>
            <w:r w:rsidRPr="00F43653">
              <w:rPr>
                <w:rFonts w:ascii="Arial" w:eastAsia="Times New Roman" w:hAnsi="Arial" w:cs="Arial"/>
                <w:b/>
                <w:bCs/>
                <w:color w:val="000000" w:themeColor="text1"/>
                <w:sz w:val="18"/>
                <w:szCs w:val="18"/>
              </w:rPr>
              <w:t>202</w:t>
            </w:r>
            <w:r w:rsidR="00F92F4E">
              <w:rPr>
                <w:rFonts w:ascii="Arial" w:eastAsia="Times New Roman" w:hAnsi="Arial" w:cs="Arial"/>
                <w:b/>
                <w:bCs/>
                <w:color w:val="000000" w:themeColor="text1"/>
                <w:sz w:val="18"/>
                <w:szCs w:val="18"/>
              </w:rPr>
              <w:t>4</w:t>
            </w:r>
            <w:r w:rsidRPr="00F43653">
              <w:rPr>
                <w:rFonts w:ascii="Arial" w:eastAsia="Times New Roman" w:hAnsi="Arial" w:cs="Arial"/>
                <w:b/>
                <w:bCs/>
                <w:color w:val="000000" w:themeColor="text1"/>
                <w:sz w:val="18"/>
                <w:szCs w:val="18"/>
              </w:rPr>
              <w:t>.</w:t>
            </w:r>
          </w:p>
        </w:tc>
        <w:tc>
          <w:tcPr>
            <w:tcW w:w="1252" w:type="dxa"/>
            <w:vAlign w:val="bottom"/>
          </w:tcPr>
          <w:p w14:paraId="0EB6F47B" w14:textId="66B76B1E" w:rsidR="00DC6A7C" w:rsidRPr="00F43653" w:rsidRDefault="00DC6A7C" w:rsidP="00DC6A7C">
            <w:pPr>
              <w:keepLines/>
              <w:tabs>
                <w:tab w:val="right" w:pos="1202"/>
              </w:tabs>
              <w:suppressAutoHyphens/>
              <w:autoSpaceDN w:val="0"/>
              <w:spacing w:line="210" w:lineRule="exact"/>
              <w:jc w:val="right"/>
              <w:outlineLvl w:val="0"/>
              <w:rPr>
                <w:rFonts w:ascii="Arial" w:eastAsia="Times New Roman" w:hAnsi="Arial" w:cs="Arial"/>
                <w:b/>
                <w:bCs/>
                <w:color w:val="000000" w:themeColor="text1"/>
                <w:sz w:val="18"/>
                <w:szCs w:val="18"/>
              </w:rPr>
            </w:pPr>
            <w:bookmarkStart w:id="55" w:name="_Toc67326767"/>
            <w:bookmarkStart w:id="56" w:name="_Toc67326768"/>
            <w:r w:rsidRPr="00F43653">
              <w:rPr>
                <w:rFonts w:ascii="Arial" w:eastAsia="Times New Roman" w:hAnsi="Arial" w:cs="Arial"/>
                <w:b/>
                <w:bCs/>
                <w:color w:val="000000" w:themeColor="text1"/>
                <w:sz w:val="18"/>
                <w:szCs w:val="18"/>
              </w:rPr>
              <w:t>202</w:t>
            </w:r>
            <w:r w:rsidR="00F92F4E">
              <w:rPr>
                <w:rFonts w:ascii="Arial" w:eastAsia="Times New Roman" w:hAnsi="Arial" w:cs="Arial"/>
                <w:b/>
                <w:bCs/>
                <w:color w:val="000000" w:themeColor="text1"/>
                <w:sz w:val="18"/>
                <w:szCs w:val="18"/>
              </w:rPr>
              <w:t>3</w:t>
            </w:r>
            <w:r w:rsidRPr="00F43653">
              <w:rPr>
                <w:rFonts w:ascii="Arial" w:eastAsia="Times New Roman" w:hAnsi="Arial" w:cs="Arial"/>
                <w:b/>
                <w:bCs/>
                <w:color w:val="000000" w:themeColor="text1"/>
                <w:sz w:val="18"/>
                <w:szCs w:val="18"/>
              </w:rPr>
              <w:t>.</w:t>
            </w:r>
            <w:bookmarkEnd w:id="55"/>
            <w:bookmarkEnd w:id="56"/>
          </w:p>
        </w:tc>
      </w:tr>
      <w:tr w:rsidR="00DC6A7C" w:rsidRPr="008F09B7" w14:paraId="49803895" w14:textId="77777777" w:rsidTr="007478FB">
        <w:trPr>
          <w:trHeight w:val="176"/>
        </w:trPr>
        <w:tc>
          <w:tcPr>
            <w:tcW w:w="7515" w:type="dxa"/>
            <w:vAlign w:val="bottom"/>
          </w:tcPr>
          <w:p w14:paraId="3E46B1F1" w14:textId="77777777" w:rsidR="00DC6A7C" w:rsidRPr="00F43653" w:rsidRDefault="00DC6A7C" w:rsidP="00DC6A7C">
            <w:pPr>
              <w:keepLines/>
              <w:tabs>
                <w:tab w:val="right" w:pos="1202"/>
              </w:tabs>
              <w:suppressAutoHyphens/>
              <w:autoSpaceDN w:val="0"/>
              <w:spacing w:line="210" w:lineRule="exact"/>
              <w:outlineLvl w:val="0"/>
              <w:rPr>
                <w:rFonts w:ascii="Arial" w:eastAsia="Times New Roman" w:hAnsi="Arial" w:cs="Arial"/>
                <w:b/>
                <w:color w:val="000000" w:themeColor="text1"/>
                <w:sz w:val="18"/>
                <w:szCs w:val="18"/>
              </w:rPr>
            </w:pPr>
            <w:r w:rsidRPr="00F43653">
              <w:rPr>
                <w:rFonts w:ascii="Arial" w:eastAsia="Times New Roman" w:hAnsi="Arial" w:cs="Arial"/>
                <w:b/>
                <w:color w:val="000000" w:themeColor="text1"/>
                <w:sz w:val="18"/>
                <w:szCs w:val="18"/>
              </w:rPr>
              <w:t xml:space="preserve">                                                                                                                                     </w:t>
            </w:r>
          </w:p>
        </w:tc>
        <w:tc>
          <w:tcPr>
            <w:tcW w:w="1252" w:type="dxa"/>
            <w:vAlign w:val="bottom"/>
          </w:tcPr>
          <w:p w14:paraId="39255147" w14:textId="7F76234E" w:rsidR="00DC6A7C" w:rsidRPr="00F43653" w:rsidRDefault="00A76701" w:rsidP="00DC6A7C">
            <w:pPr>
              <w:keepLines/>
              <w:tabs>
                <w:tab w:val="right" w:pos="1202"/>
              </w:tabs>
              <w:suppressAutoHyphens/>
              <w:autoSpaceDN w:val="0"/>
              <w:spacing w:line="210" w:lineRule="exact"/>
              <w:jc w:val="right"/>
              <w:outlineLvl w:val="0"/>
              <w:rPr>
                <w:rFonts w:ascii="Arial" w:eastAsia="Times New Roman" w:hAnsi="Arial" w:cs="Arial"/>
                <w:b/>
                <w:bCs/>
                <w:color w:val="000000" w:themeColor="text1"/>
                <w:sz w:val="18"/>
                <w:szCs w:val="18"/>
              </w:rPr>
            </w:pPr>
            <w:r w:rsidRPr="00F43653">
              <w:rPr>
                <w:rFonts w:ascii="Arial" w:eastAsia="Times New Roman" w:hAnsi="Arial" w:cs="Arial"/>
                <w:b/>
                <w:bCs/>
                <w:color w:val="000000" w:themeColor="text1"/>
                <w:sz w:val="18"/>
                <w:szCs w:val="18"/>
              </w:rPr>
              <w:t>000 eura</w:t>
            </w:r>
          </w:p>
        </w:tc>
        <w:tc>
          <w:tcPr>
            <w:tcW w:w="1252" w:type="dxa"/>
            <w:vAlign w:val="bottom"/>
          </w:tcPr>
          <w:p w14:paraId="67ABEBC1" w14:textId="4202DA0A" w:rsidR="00DC6A7C" w:rsidRPr="00F43653" w:rsidRDefault="00A76701" w:rsidP="00DC6A7C">
            <w:pPr>
              <w:keepLines/>
              <w:tabs>
                <w:tab w:val="right" w:pos="1202"/>
              </w:tabs>
              <w:suppressAutoHyphens/>
              <w:autoSpaceDN w:val="0"/>
              <w:spacing w:line="210" w:lineRule="exact"/>
              <w:jc w:val="right"/>
              <w:outlineLvl w:val="0"/>
              <w:rPr>
                <w:rFonts w:ascii="Arial" w:eastAsia="Times New Roman" w:hAnsi="Arial" w:cs="Arial"/>
                <w:b/>
                <w:bCs/>
                <w:color w:val="000000" w:themeColor="text1"/>
                <w:sz w:val="18"/>
                <w:szCs w:val="18"/>
              </w:rPr>
            </w:pPr>
            <w:r w:rsidRPr="00F43653">
              <w:rPr>
                <w:rFonts w:ascii="Arial" w:eastAsia="Times New Roman" w:hAnsi="Arial" w:cs="Arial"/>
                <w:b/>
                <w:bCs/>
                <w:color w:val="000000" w:themeColor="text1"/>
                <w:sz w:val="18"/>
                <w:szCs w:val="18"/>
              </w:rPr>
              <w:t>000 eura</w:t>
            </w:r>
          </w:p>
        </w:tc>
      </w:tr>
      <w:tr w:rsidR="00DC6A7C" w:rsidRPr="008F09B7" w14:paraId="71ED1093" w14:textId="77777777" w:rsidTr="007478FB">
        <w:tc>
          <w:tcPr>
            <w:tcW w:w="7515" w:type="dxa"/>
            <w:vAlign w:val="bottom"/>
          </w:tcPr>
          <w:p w14:paraId="5707946E" w14:textId="77777777" w:rsidR="00DC6A7C" w:rsidRPr="00F43653" w:rsidRDefault="00DC6A7C" w:rsidP="00DC6A7C">
            <w:pPr>
              <w:keepLines/>
              <w:tabs>
                <w:tab w:val="right" w:pos="1202"/>
              </w:tabs>
              <w:suppressAutoHyphens/>
              <w:autoSpaceDN w:val="0"/>
              <w:spacing w:line="210" w:lineRule="exact"/>
              <w:outlineLvl w:val="0"/>
              <w:rPr>
                <w:rFonts w:ascii="Arial" w:eastAsia="Times New Roman" w:hAnsi="Arial" w:cs="Arial"/>
                <w:b/>
                <w:bCs/>
                <w:color w:val="000000" w:themeColor="text1"/>
                <w:spacing w:val="-3"/>
                <w:sz w:val="18"/>
                <w:szCs w:val="18"/>
              </w:rPr>
            </w:pPr>
            <w:bookmarkStart w:id="57" w:name="_Toc67326771"/>
            <w:r w:rsidRPr="00F43653">
              <w:rPr>
                <w:rFonts w:ascii="Arial" w:eastAsia="Times New Roman" w:hAnsi="Arial" w:cs="Arial"/>
                <w:b/>
                <w:bCs/>
                <w:color w:val="000000" w:themeColor="text1"/>
                <w:sz w:val="18"/>
                <w:szCs w:val="18"/>
              </w:rPr>
              <w:t>Poslovne aktivnosti</w:t>
            </w:r>
            <w:bookmarkEnd w:id="57"/>
          </w:p>
        </w:tc>
        <w:tc>
          <w:tcPr>
            <w:tcW w:w="1252" w:type="dxa"/>
            <w:vAlign w:val="bottom"/>
          </w:tcPr>
          <w:p w14:paraId="58D613CE" w14:textId="77777777" w:rsidR="00DC6A7C" w:rsidRPr="00F43653" w:rsidRDefault="00DC6A7C" w:rsidP="00DC6A7C">
            <w:pPr>
              <w:keepLines/>
              <w:tabs>
                <w:tab w:val="right" w:pos="1202"/>
              </w:tabs>
              <w:suppressAutoHyphens/>
              <w:autoSpaceDN w:val="0"/>
              <w:spacing w:line="210" w:lineRule="exact"/>
              <w:jc w:val="right"/>
              <w:outlineLvl w:val="0"/>
              <w:rPr>
                <w:rFonts w:ascii="Arial" w:eastAsia="Times New Roman" w:hAnsi="Arial" w:cs="Arial"/>
                <w:color w:val="000000" w:themeColor="text1"/>
                <w:sz w:val="18"/>
                <w:szCs w:val="18"/>
              </w:rPr>
            </w:pPr>
          </w:p>
        </w:tc>
        <w:tc>
          <w:tcPr>
            <w:tcW w:w="1252" w:type="dxa"/>
            <w:vAlign w:val="bottom"/>
          </w:tcPr>
          <w:p w14:paraId="27C2A97E" w14:textId="77777777" w:rsidR="00DC6A7C" w:rsidRPr="00F43653" w:rsidRDefault="00DC6A7C" w:rsidP="00DC6A7C">
            <w:pPr>
              <w:keepLines/>
              <w:tabs>
                <w:tab w:val="right" w:pos="1202"/>
              </w:tabs>
              <w:suppressAutoHyphens/>
              <w:autoSpaceDN w:val="0"/>
              <w:spacing w:line="210" w:lineRule="exact"/>
              <w:jc w:val="right"/>
              <w:outlineLvl w:val="0"/>
              <w:rPr>
                <w:rFonts w:ascii="Arial" w:eastAsia="Times New Roman" w:hAnsi="Arial" w:cs="Arial"/>
                <w:color w:val="000000" w:themeColor="text1"/>
                <w:sz w:val="18"/>
                <w:szCs w:val="18"/>
              </w:rPr>
            </w:pPr>
          </w:p>
        </w:tc>
      </w:tr>
      <w:tr w:rsidR="00F92F4E" w:rsidRPr="008F09B7" w14:paraId="1AB710E9" w14:textId="77777777" w:rsidTr="00C60384">
        <w:tc>
          <w:tcPr>
            <w:tcW w:w="7515" w:type="dxa"/>
            <w:vAlign w:val="bottom"/>
          </w:tcPr>
          <w:p w14:paraId="2EA1D462" w14:textId="77777777" w:rsidR="00F92F4E" w:rsidRPr="00F43653" w:rsidRDefault="00F92F4E" w:rsidP="00F92F4E">
            <w:pPr>
              <w:keepLines/>
              <w:tabs>
                <w:tab w:val="right" w:pos="1202"/>
              </w:tabs>
              <w:suppressAutoHyphens/>
              <w:autoSpaceDN w:val="0"/>
              <w:spacing w:line="210" w:lineRule="exact"/>
              <w:outlineLvl w:val="0"/>
              <w:rPr>
                <w:rFonts w:ascii="Arial" w:eastAsia="Times New Roman" w:hAnsi="Arial" w:cs="Arial"/>
                <w:color w:val="000000" w:themeColor="text1"/>
                <w:spacing w:val="-3"/>
                <w:sz w:val="18"/>
                <w:szCs w:val="18"/>
              </w:rPr>
            </w:pPr>
            <w:bookmarkStart w:id="58" w:name="_Toc67326772"/>
            <w:bookmarkStart w:id="59" w:name="_Hlk141864084"/>
            <w:bookmarkStart w:id="60" w:name="_Hlk141862681"/>
            <w:r w:rsidRPr="00F43653">
              <w:rPr>
                <w:rFonts w:ascii="Arial" w:eastAsia="Times New Roman" w:hAnsi="Arial" w:cs="Arial"/>
                <w:color w:val="000000" w:themeColor="text1"/>
                <w:sz w:val="18"/>
                <w:szCs w:val="18"/>
              </w:rPr>
              <w:t>Dobit prije oporezivanja</w:t>
            </w:r>
            <w:bookmarkEnd w:id="58"/>
          </w:p>
        </w:tc>
        <w:tc>
          <w:tcPr>
            <w:tcW w:w="1252" w:type="dxa"/>
            <w:vAlign w:val="bottom"/>
          </w:tcPr>
          <w:p w14:paraId="115D8C8B" w14:textId="40EE74F8" w:rsidR="00F92F4E" w:rsidRPr="00C60384" w:rsidRDefault="008D455C" w:rsidP="00F92F4E">
            <w:pPr>
              <w:keepLines/>
              <w:suppressAutoHyphens/>
              <w:autoSpaceDN w:val="0"/>
              <w:spacing w:line="210" w:lineRule="exact"/>
              <w:jc w:val="right"/>
              <w:rPr>
                <w:rFonts w:ascii="Arial" w:eastAsia="Times New Roman" w:hAnsi="Arial" w:cs="Arial"/>
                <w:color w:val="000000"/>
                <w:sz w:val="18"/>
                <w:szCs w:val="18"/>
              </w:rPr>
            </w:pPr>
            <w:r>
              <w:rPr>
                <w:rFonts w:ascii="Arial" w:eastAsia="Times New Roman" w:hAnsi="Arial" w:cs="Arial"/>
                <w:color w:val="000000"/>
                <w:sz w:val="18"/>
                <w:szCs w:val="18"/>
              </w:rPr>
              <w:t>43.700</w:t>
            </w:r>
          </w:p>
        </w:tc>
        <w:tc>
          <w:tcPr>
            <w:tcW w:w="1252" w:type="dxa"/>
            <w:vAlign w:val="bottom"/>
          </w:tcPr>
          <w:p w14:paraId="4CE57B46" w14:textId="6F1E781F" w:rsidR="00F92F4E" w:rsidRPr="00C60384" w:rsidRDefault="00F92F4E" w:rsidP="00F92F4E">
            <w:pPr>
              <w:keepLines/>
              <w:tabs>
                <w:tab w:val="right" w:pos="1202"/>
              </w:tabs>
              <w:suppressAutoHyphens/>
              <w:autoSpaceDN w:val="0"/>
              <w:spacing w:line="210" w:lineRule="exact"/>
              <w:jc w:val="right"/>
              <w:outlineLvl w:val="0"/>
              <w:rPr>
                <w:rFonts w:ascii="Arial" w:eastAsia="Times New Roman" w:hAnsi="Arial" w:cs="Arial"/>
                <w:color w:val="000000" w:themeColor="text1"/>
                <w:sz w:val="18"/>
                <w:szCs w:val="18"/>
              </w:rPr>
            </w:pPr>
            <w:r w:rsidRPr="00C60384">
              <w:rPr>
                <w:rFonts w:ascii="Arial" w:eastAsia="Times New Roman" w:hAnsi="Arial" w:cs="Arial"/>
                <w:color w:val="000000"/>
                <w:sz w:val="18"/>
                <w:szCs w:val="18"/>
              </w:rPr>
              <w:t>50.768</w:t>
            </w:r>
          </w:p>
        </w:tc>
      </w:tr>
      <w:tr w:rsidR="00F92F4E" w:rsidRPr="008F09B7" w14:paraId="23A0864D" w14:textId="77777777" w:rsidTr="00C60384">
        <w:tc>
          <w:tcPr>
            <w:tcW w:w="7515" w:type="dxa"/>
            <w:vAlign w:val="bottom"/>
          </w:tcPr>
          <w:p w14:paraId="7C10845F" w14:textId="77777777" w:rsidR="00F92F4E" w:rsidRPr="00F43653" w:rsidRDefault="00F92F4E" w:rsidP="00F92F4E">
            <w:pPr>
              <w:keepLines/>
              <w:tabs>
                <w:tab w:val="right" w:pos="1202"/>
              </w:tabs>
              <w:suppressAutoHyphens/>
              <w:autoSpaceDN w:val="0"/>
              <w:spacing w:line="210" w:lineRule="exact"/>
              <w:outlineLvl w:val="0"/>
              <w:rPr>
                <w:rFonts w:ascii="Arial" w:eastAsia="Times New Roman" w:hAnsi="Arial" w:cs="Arial"/>
                <w:i/>
                <w:color w:val="000000" w:themeColor="text1"/>
                <w:sz w:val="18"/>
                <w:szCs w:val="18"/>
              </w:rPr>
            </w:pPr>
            <w:bookmarkStart w:id="61" w:name="_Toc67326775"/>
            <w:r w:rsidRPr="00F43653">
              <w:rPr>
                <w:rFonts w:ascii="Arial" w:eastAsia="Times New Roman" w:hAnsi="Arial" w:cs="Arial"/>
                <w:i/>
                <w:color w:val="000000" w:themeColor="text1"/>
                <w:sz w:val="18"/>
                <w:szCs w:val="18"/>
              </w:rPr>
              <w:t>Usklađenje na neto novčana sredstva ostvarena i uporabljena za poslovne aktivnosti:</w:t>
            </w:r>
            <w:bookmarkEnd w:id="61"/>
          </w:p>
        </w:tc>
        <w:tc>
          <w:tcPr>
            <w:tcW w:w="1252" w:type="dxa"/>
            <w:vAlign w:val="bottom"/>
          </w:tcPr>
          <w:p w14:paraId="20B32687" w14:textId="77777777" w:rsidR="00F92F4E" w:rsidRPr="00C60384" w:rsidRDefault="00F92F4E" w:rsidP="00F92F4E">
            <w:pPr>
              <w:keepLines/>
              <w:suppressAutoHyphens/>
              <w:autoSpaceDN w:val="0"/>
              <w:spacing w:line="210" w:lineRule="exact"/>
              <w:jc w:val="right"/>
              <w:rPr>
                <w:rFonts w:ascii="Arial" w:eastAsia="Times New Roman" w:hAnsi="Arial" w:cs="Arial"/>
                <w:color w:val="000000"/>
                <w:sz w:val="18"/>
                <w:szCs w:val="18"/>
              </w:rPr>
            </w:pPr>
          </w:p>
        </w:tc>
        <w:tc>
          <w:tcPr>
            <w:tcW w:w="1252" w:type="dxa"/>
            <w:vAlign w:val="bottom"/>
          </w:tcPr>
          <w:p w14:paraId="13D9BFD2" w14:textId="77777777" w:rsidR="00F92F4E" w:rsidRPr="00C60384" w:rsidRDefault="00F92F4E" w:rsidP="00F92F4E">
            <w:pPr>
              <w:keepLines/>
              <w:tabs>
                <w:tab w:val="right" w:pos="1202"/>
              </w:tabs>
              <w:suppressAutoHyphens/>
              <w:autoSpaceDN w:val="0"/>
              <w:spacing w:line="210" w:lineRule="exact"/>
              <w:jc w:val="right"/>
              <w:outlineLvl w:val="0"/>
              <w:rPr>
                <w:rFonts w:ascii="Arial" w:eastAsia="Times New Roman" w:hAnsi="Arial" w:cs="Arial"/>
                <w:i/>
                <w:color w:val="000000" w:themeColor="text1"/>
                <w:sz w:val="18"/>
                <w:szCs w:val="18"/>
              </w:rPr>
            </w:pPr>
          </w:p>
        </w:tc>
      </w:tr>
      <w:tr w:rsidR="00F92F4E" w:rsidRPr="008F09B7" w14:paraId="7D5AA803" w14:textId="77777777" w:rsidTr="00C60384">
        <w:tc>
          <w:tcPr>
            <w:tcW w:w="7515" w:type="dxa"/>
            <w:vAlign w:val="bottom"/>
          </w:tcPr>
          <w:p w14:paraId="604CF57D" w14:textId="77777777" w:rsidR="00F92F4E" w:rsidRPr="00F43653" w:rsidRDefault="00F92F4E" w:rsidP="00F92F4E">
            <w:pPr>
              <w:keepLines/>
              <w:tabs>
                <w:tab w:val="right" w:pos="1202"/>
              </w:tabs>
              <w:suppressAutoHyphens/>
              <w:autoSpaceDN w:val="0"/>
              <w:spacing w:line="210" w:lineRule="exact"/>
              <w:outlineLvl w:val="0"/>
              <w:rPr>
                <w:rFonts w:ascii="Arial" w:eastAsia="Times New Roman" w:hAnsi="Arial" w:cs="Arial"/>
                <w:color w:val="000000" w:themeColor="text1"/>
                <w:spacing w:val="-3"/>
                <w:sz w:val="18"/>
                <w:szCs w:val="18"/>
              </w:rPr>
            </w:pPr>
            <w:bookmarkStart w:id="62" w:name="_Toc67326776"/>
            <w:bookmarkStart w:id="63" w:name="_Hlk35010472"/>
            <w:r w:rsidRPr="00F43653">
              <w:rPr>
                <w:rFonts w:ascii="Arial" w:eastAsia="Times New Roman" w:hAnsi="Arial" w:cs="Arial"/>
                <w:color w:val="000000" w:themeColor="text1"/>
                <w:sz w:val="18"/>
                <w:szCs w:val="18"/>
              </w:rPr>
              <w:t>Amortizacija</w:t>
            </w:r>
            <w:bookmarkEnd w:id="62"/>
          </w:p>
        </w:tc>
        <w:tc>
          <w:tcPr>
            <w:tcW w:w="1252" w:type="dxa"/>
            <w:tcBorders>
              <w:top w:val="nil"/>
              <w:left w:val="nil"/>
              <w:bottom w:val="nil"/>
              <w:right w:val="nil"/>
            </w:tcBorders>
            <w:shd w:val="clear" w:color="auto" w:fill="auto"/>
            <w:vAlign w:val="bottom"/>
          </w:tcPr>
          <w:p w14:paraId="03729B20" w14:textId="056593B9" w:rsidR="00F92F4E" w:rsidRPr="00C60384" w:rsidRDefault="008D455C" w:rsidP="00F92F4E">
            <w:pPr>
              <w:keepLines/>
              <w:suppressAutoHyphens/>
              <w:autoSpaceDN w:val="0"/>
              <w:spacing w:line="210" w:lineRule="exact"/>
              <w:jc w:val="right"/>
              <w:rPr>
                <w:rFonts w:ascii="Arial" w:eastAsia="Times New Roman" w:hAnsi="Arial" w:cs="Arial"/>
                <w:color w:val="000000"/>
                <w:sz w:val="18"/>
                <w:szCs w:val="18"/>
              </w:rPr>
            </w:pPr>
            <w:r>
              <w:rPr>
                <w:rFonts w:ascii="Arial" w:eastAsia="Times New Roman" w:hAnsi="Arial" w:cs="Arial"/>
                <w:color w:val="000000"/>
                <w:sz w:val="18"/>
                <w:szCs w:val="18"/>
              </w:rPr>
              <w:t>1.495</w:t>
            </w:r>
          </w:p>
        </w:tc>
        <w:tc>
          <w:tcPr>
            <w:tcW w:w="1252" w:type="dxa"/>
            <w:vAlign w:val="bottom"/>
          </w:tcPr>
          <w:p w14:paraId="5EB5BE84" w14:textId="503161F3" w:rsidR="00F92F4E" w:rsidRPr="00C60384" w:rsidRDefault="00F92F4E" w:rsidP="00F92F4E">
            <w:pPr>
              <w:keepLines/>
              <w:tabs>
                <w:tab w:val="right" w:pos="1202"/>
              </w:tabs>
              <w:suppressAutoHyphens/>
              <w:autoSpaceDN w:val="0"/>
              <w:spacing w:line="210" w:lineRule="exact"/>
              <w:jc w:val="right"/>
              <w:outlineLvl w:val="0"/>
              <w:rPr>
                <w:rFonts w:ascii="Arial" w:eastAsia="Times New Roman" w:hAnsi="Arial" w:cs="Arial"/>
                <w:color w:val="000000" w:themeColor="text1"/>
                <w:sz w:val="18"/>
                <w:szCs w:val="18"/>
              </w:rPr>
            </w:pPr>
            <w:r w:rsidRPr="00C60384">
              <w:rPr>
                <w:rFonts w:ascii="Arial" w:eastAsia="Times New Roman" w:hAnsi="Arial" w:cs="Arial"/>
                <w:color w:val="000000"/>
                <w:sz w:val="18"/>
                <w:szCs w:val="18"/>
              </w:rPr>
              <w:t>1.050</w:t>
            </w:r>
          </w:p>
        </w:tc>
      </w:tr>
      <w:tr w:rsidR="00F92F4E" w:rsidRPr="008F09B7" w14:paraId="59E2E86D" w14:textId="77777777" w:rsidTr="00C60384">
        <w:tc>
          <w:tcPr>
            <w:tcW w:w="7515" w:type="dxa"/>
            <w:vAlign w:val="bottom"/>
          </w:tcPr>
          <w:p w14:paraId="19EC8808" w14:textId="77777777" w:rsidR="00F92F4E" w:rsidRPr="00F43653" w:rsidRDefault="00F92F4E" w:rsidP="00F92F4E">
            <w:pPr>
              <w:keepLines/>
              <w:tabs>
                <w:tab w:val="right" w:pos="1202"/>
              </w:tabs>
              <w:suppressAutoHyphens/>
              <w:autoSpaceDN w:val="0"/>
              <w:spacing w:line="210" w:lineRule="exact"/>
              <w:outlineLvl w:val="0"/>
              <w:rPr>
                <w:rFonts w:ascii="Arial" w:eastAsia="Times New Roman" w:hAnsi="Arial" w:cs="Arial"/>
                <w:color w:val="000000" w:themeColor="text1"/>
                <w:sz w:val="18"/>
                <w:szCs w:val="18"/>
              </w:rPr>
            </w:pPr>
            <w:bookmarkStart w:id="64" w:name="_Toc67326779"/>
            <w:r w:rsidRPr="00F43653">
              <w:rPr>
                <w:rFonts w:ascii="Arial" w:eastAsia="Times New Roman" w:hAnsi="Arial" w:cs="Arial"/>
                <w:color w:val="000000" w:themeColor="text1"/>
                <w:sz w:val="18"/>
                <w:szCs w:val="18"/>
              </w:rPr>
              <w:t>Porez na dobit</w:t>
            </w:r>
            <w:bookmarkEnd w:id="64"/>
          </w:p>
        </w:tc>
        <w:tc>
          <w:tcPr>
            <w:tcW w:w="1252" w:type="dxa"/>
            <w:tcBorders>
              <w:top w:val="nil"/>
              <w:left w:val="nil"/>
              <w:bottom w:val="nil"/>
              <w:right w:val="nil"/>
            </w:tcBorders>
            <w:shd w:val="clear" w:color="auto" w:fill="auto"/>
            <w:vAlign w:val="bottom"/>
          </w:tcPr>
          <w:p w14:paraId="222B6802" w14:textId="370EF962" w:rsidR="00F92F4E" w:rsidRPr="00C60384" w:rsidRDefault="00F92F4E" w:rsidP="00F92F4E">
            <w:pPr>
              <w:keepLines/>
              <w:suppressAutoHyphens/>
              <w:autoSpaceDN w:val="0"/>
              <w:spacing w:line="210" w:lineRule="exact"/>
              <w:jc w:val="right"/>
              <w:rPr>
                <w:rFonts w:ascii="Arial" w:eastAsia="Times New Roman" w:hAnsi="Arial" w:cs="Arial"/>
                <w:color w:val="000000"/>
                <w:sz w:val="18"/>
                <w:szCs w:val="18"/>
              </w:rPr>
            </w:pPr>
          </w:p>
        </w:tc>
        <w:tc>
          <w:tcPr>
            <w:tcW w:w="1252" w:type="dxa"/>
            <w:vAlign w:val="bottom"/>
          </w:tcPr>
          <w:p w14:paraId="7641EB0A" w14:textId="19AD0854" w:rsidR="00F92F4E" w:rsidRPr="00C60384" w:rsidRDefault="00F92F4E" w:rsidP="00F92F4E">
            <w:pPr>
              <w:keepLines/>
              <w:tabs>
                <w:tab w:val="right" w:pos="1202"/>
              </w:tabs>
              <w:suppressAutoHyphens/>
              <w:autoSpaceDN w:val="0"/>
              <w:spacing w:line="210"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sz w:val="18"/>
                <w:szCs w:val="18"/>
              </w:rPr>
              <w:t>-</w:t>
            </w:r>
          </w:p>
        </w:tc>
      </w:tr>
      <w:tr w:rsidR="00F92F4E" w:rsidRPr="008F09B7" w14:paraId="73B214A8" w14:textId="77777777" w:rsidTr="00C60384">
        <w:tc>
          <w:tcPr>
            <w:tcW w:w="7515" w:type="dxa"/>
            <w:vAlign w:val="bottom"/>
          </w:tcPr>
          <w:p w14:paraId="70FB78EF" w14:textId="4AF2A1FD" w:rsidR="00F92F4E" w:rsidRPr="00F43653" w:rsidRDefault="002640F9" w:rsidP="00F92F4E">
            <w:pPr>
              <w:tabs>
                <w:tab w:val="right" w:pos="1202"/>
              </w:tabs>
              <w:suppressAutoHyphens/>
              <w:autoSpaceDN w:val="0"/>
              <w:spacing w:line="210" w:lineRule="exact"/>
              <w:outlineLvl w:val="0"/>
              <w:rPr>
                <w:rFonts w:ascii="Arial" w:eastAsia="Times New Roman" w:hAnsi="Arial" w:cs="Arial"/>
                <w:bCs/>
                <w:color w:val="000000" w:themeColor="text1"/>
                <w:spacing w:val="-2"/>
                <w:sz w:val="18"/>
                <w:szCs w:val="18"/>
              </w:rPr>
            </w:pPr>
            <w:bookmarkStart w:id="65" w:name="_Toc67326782"/>
            <w:bookmarkEnd w:id="63"/>
            <w:r>
              <w:rPr>
                <w:rFonts w:ascii="Arial" w:eastAsia="Times New Roman" w:hAnsi="Arial" w:cs="Arial"/>
                <w:bCs/>
                <w:color w:val="000000" w:themeColor="text1"/>
                <w:spacing w:val="-2"/>
                <w:sz w:val="18"/>
                <w:szCs w:val="18"/>
              </w:rPr>
              <w:t>D</w:t>
            </w:r>
            <w:r w:rsidR="00F92F4E" w:rsidRPr="00F43653">
              <w:rPr>
                <w:rFonts w:ascii="Arial" w:eastAsia="Times New Roman" w:hAnsi="Arial" w:cs="Arial"/>
                <w:bCs/>
                <w:color w:val="000000" w:themeColor="text1"/>
                <w:spacing w:val="-2"/>
                <w:sz w:val="18"/>
                <w:szCs w:val="18"/>
              </w:rPr>
              <w:t>obitak od umanjenja vrijednosti i rezerviranja</w:t>
            </w:r>
            <w:bookmarkEnd w:id="65"/>
          </w:p>
        </w:tc>
        <w:tc>
          <w:tcPr>
            <w:tcW w:w="1252" w:type="dxa"/>
            <w:tcBorders>
              <w:top w:val="nil"/>
              <w:left w:val="nil"/>
              <w:bottom w:val="nil"/>
            </w:tcBorders>
            <w:shd w:val="clear" w:color="auto" w:fill="auto"/>
            <w:vAlign w:val="bottom"/>
          </w:tcPr>
          <w:p w14:paraId="7A5B52C5" w14:textId="22BCA792" w:rsidR="00F92F4E" w:rsidRPr="00C60384" w:rsidRDefault="008E7960" w:rsidP="00F92F4E">
            <w:pPr>
              <w:keepLines/>
              <w:suppressAutoHyphens/>
              <w:autoSpaceDN w:val="0"/>
              <w:spacing w:line="210" w:lineRule="exact"/>
              <w:jc w:val="right"/>
              <w:rPr>
                <w:rFonts w:ascii="Arial" w:eastAsia="Times New Roman" w:hAnsi="Arial" w:cs="Arial"/>
                <w:color w:val="000000"/>
                <w:sz w:val="18"/>
                <w:szCs w:val="18"/>
              </w:rPr>
            </w:pPr>
            <w:r>
              <w:rPr>
                <w:rFonts w:ascii="Arial" w:eastAsia="Times New Roman" w:hAnsi="Arial" w:cs="Arial"/>
                <w:color w:val="000000"/>
                <w:sz w:val="18"/>
                <w:szCs w:val="18"/>
              </w:rPr>
              <w:t>(6.491)</w:t>
            </w:r>
          </w:p>
        </w:tc>
        <w:tc>
          <w:tcPr>
            <w:tcW w:w="1252" w:type="dxa"/>
            <w:shd w:val="clear" w:color="auto" w:fill="auto"/>
            <w:vAlign w:val="bottom"/>
          </w:tcPr>
          <w:p w14:paraId="1C8349C7" w14:textId="14466B96" w:rsidR="00F92F4E" w:rsidRPr="00C60384" w:rsidRDefault="00F92F4E" w:rsidP="00F92F4E">
            <w:pPr>
              <w:keepLines/>
              <w:tabs>
                <w:tab w:val="right" w:pos="1202"/>
              </w:tabs>
              <w:suppressAutoHyphens/>
              <w:autoSpaceDN w:val="0"/>
              <w:spacing w:line="210" w:lineRule="exact"/>
              <w:jc w:val="right"/>
              <w:outlineLvl w:val="0"/>
              <w:rPr>
                <w:rFonts w:ascii="Arial" w:eastAsia="Times New Roman" w:hAnsi="Arial" w:cs="Arial"/>
                <w:color w:val="000000" w:themeColor="text1"/>
                <w:sz w:val="18"/>
                <w:szCs w:val="18"/>
              </w:rPr>
            </w:pPr>
            <w:r w:rsidRPr="00C60384">
              <w:rPr>
                <w:rFonts w:ascii="Arial" w:eastAsia="Times New Roman" w:hAnsi="Arial" w:cs="Arial"/>
                <w:color w:val="000000"/>
                <w:sz w:val="18"/>
                <w:szCs w:val="18"/>
              </w:rPr>
              <w:t>(17.036)</w:t>
            </w:r>
          </w:p>
        </w:tc>
      </w:tr>
      <w:tr w:rsidR="00F92F4E" w:rsidRPr="008F09B7" w14:paraId="31A03D05" w14:textId="77777777" w:rsidTr="00C60384">
        <w:tc>
          <w:tcPr>
            <w:tcW w:w="7515" w:type="dxa"/>
            <w:vAlign w:val="bottom"/>
          </w:tcPr>
          <w:p w14:paraId="11CF682C" w14:textId="77777777" w:rsidR="00F92F4E" w:rsidRPr="00F43653" w:rsidRDefault="00F92F4E" w:rsidP="00F92F4E">
            <w:pPr>
              <w:keepLines/>
              <w:tabs>
                <w:tab w:val="right" w:pos="1202"/>
              </w:tabs>
              <w:suppressAutoHyphens/>
              <w:autoSpaceDN w:val="0"/>
              <w:spacing w:line="210" w:lineRule="exact"/>
              <w:outlineLvl w:val="0"/>
              <w:rPr>
                <w:rFonts w:ascii="Arial" w:eastAsia="Times New Roman" w:hAnsi="Arial" w:cs="Arial"/>
                <w:iCs/>
                <w:color w:val="000000" w:themeColor="text1"/>
                <w:sz w:val="18"/>
                <w:szCs w:val="18"/>
              </w:rPr>
            </w:pPr>
            <w:bookmarkStart w:id="66" w:name="_Toc67326785"/>
            <w:r w:rsidRPr="00F43653">
              <w:rPr>
                <w:rFonts w:ascii="Arial" w:eastAsia="Times New Roman" w:hAnsi="Arial" w:cs="Arial"/>
                <w:iCs/>
                <w:color w:val="000000" w:themeColor="text1"/>
                <w:sz w:val="18"/>
                <w:szCs w:val="18"/>
              </w:rPr>
              <w:t>Obračunane kamate</w:t>
            </w:r>
            <w:bookmarkEnd w:id="66"/>
            <w:r w:rsidRPr="00F43653">
              <w:rPr>
                <w:rFonts w:ascii="Arial" w:eastAsia="Times New Roman" w:hAnsi="Arial" w:cs="Arial"/>
                <w:iCs/>
                <w:color w:val="000000" w:themeColor="text1"/>
                <w:sz w:val="18"/>
                <w:szCs w:val="18"/>
              </w:rPr>
              <w:t xml:space="preserve"> </w:t>
            </w:r>
          </w:p>
        </w:tc>
        <w:tc>
          <w:tcPr>
            <w:tcW w:w="1252" w:type="dxa"/>
            <w:tcBorders>
              <w:top w:val="nil"/>
              <w:left w:val="nil"/>
              <w:bottom w:val="nil"/>
            </w:tcBorders>
            <w:shd w:val="clear" w:color="auto" w:fill="auto"/>
            <w:vAlign w:val="bottom"/>
          </w:tcPr>
          <w:p w14:paraId="5CDC0C44" w14:textId="4815E978" w:rsidR="00F92F4E" w:rsidRPr="00C60384" w:rsidRDefault="008E7960" w:rsidP="00F92F4E">
            <w:pPr>
              <w:keepLines/>
              <w:suppressAutoHyphens/>
              <w:autoSpaceDN w:val="0"/>
              <w:spacing w:line="210" w:lineRule="exact"/>
              <w:jc w:val="right"/>
              <w:rPr>
                <w:rFonts w:ascii="Arial" w:eastAsia="Times New Roman" w:hAnsi="Arial" w:cs="Arial"/>
                <w:color w:val="000000"/>
                <w:sz w:val="18"/>
                <w:szCs w:val="18"/>
              </w:rPr>
            </w:pPr>
            <w:r>
              <w:rPr>
                <w:rFonts w:ascii="Arial" w:eastAsia="Times New Roman" w:hAnsi="Arial" w:cs="Arial"/>
                <w:color w:val="000000"/>
                <w:sz w:val="18"/>
                <w:szCs w:val="18"/>
              </w:rPr>
              <w:t>(724)</w:t>
            </w:r>
          </w:p>
        </w:tc>
        <w:tc>
          <w:tcPr>
            <w:tcW w:w="1252" w:type="dxa"/>
            <w:shd w:val="clear" w:color="auto" w:fill="auto"/>
            <w:vAlign w:val="bottom"/>
          </w:tcPr>
          <w:p w14:paraId="00CF73F5" w14:textId="6E0FCAD5" w:rsidR="00F92F4E" w:rsidRPr="00C60384" w:rsidRDefault="00F92F4E" w:rsidP="00F92F4E">
            <w:pPr>
              <w:keepLines/>
              <w:suppressAutoHyphens/>
              <w:autoSpaceDN w:val="0"/>
              <w:spacing w:line="210" w:lineRule="exact"/>
              <w:jc w:val="right"/>
              <w:rPr>
                <w:rFonts w:ascii="Arial" w:eastAsia="Times New Roman" w:hAnsi="Arial" w:cs="Arial"/>
                <w:iCs/>
                <w:color w:val="000000" w:themeColor="text1"/>
                <w:sz w:val="18"/>
                <w:szCs w:val="18"/>
              </w:rPr>
            </w:pPr>
            <w:r w:rsidRPr="00C60384">
              <w:rPr>
                <w:rFonts w:ascii="Arial" w:eastAsia="Times New Roman" w:hAnsi="Arial" w:cs="Arial"/>
                <w:color w:val="000000"/>
                <w:sz w:val="18"/>
                <w:szCs w:val="18"/>
              </w:rPr>
              <w:t>(2.729)</w:t>
            </w:r>
          </w:p>
        </w:tc>
      </w:tr>
      <w:tr w:rsidR="00F92F4E" w:rsidRPr="008F09B7" w14:paraId="28E38DF7" w14:textId="77777777" w:rsidTr="00C60384">
        <w:tc>
          <w:tcPr>
            <w:tcW w:w="7515" w:type="dxa"/>
            <w:vAlign w:val="bottom"/>
          </w:tcPr>
          <w:p w14:paraId="6B51B970" w14:textId="77777777" w:rsidR="00F92F4E" w:rsidRPr="00F43653" w:rsidRDefault="00F92F4E" w:rsidP="00F92F4E">
            <w:pPr>
              <w:keepLines/>
              <w:tabs>
                <w:tab w:val="right" w:pos="1202"/>
              </w:tabs>
              <w:suppressAutoHyphens/>
              <w:autoSpaceDN w:val="0"/>
              <w:spacing w:line="210" w:lineRule="exact"/>
              <w:outlineLvl w:val="0"/>
              <w:rPr>
                <w:rFonts w:ascii="Arial" w:eastAsia="Times New Roman" w:hAnsi="Arial" w:cs="Arial"/>
                <w:i/>
                <w:iCs/>
                <w:color w:val="000000" w:themeColor="text1"/>
                <w:sz w:val="18"/>
                <w:szCs w:val="18"/>
              </w:rPr>
            </w:pPr>
            <w:bookmarkStart w:id="67" w:name="_Toc67326786"/>
            <w:r w:rsidRPr="00F43653">
              <w:rPr>
                <w:rFonts w:ascii="Arial" w:eastAsia="Times New Roman" w:hAnsi="Arial" w:cs="Arial"/>
                <w:iCs/>
                <w:color w:val="000000" w:themeColor="text1"/>
                <w:sz w:val="18"/>
                <w:szCs w:val="18"/>
              </w:rPr>
              <w:t>Odgođene naknade</w:t>
            </w:r>
            <w:bookmarkEnd w:id="67"/>
          </w:p>
        </w:tc>
        <w:tc>
          <w:tcPr>
            <w:tcW w:w="1252" w:type="dxa"/>
            <w:tcBorders>
              <w:top w:val="nil"/>
              <w:left w:val="nil"/>
              <w:bottom w:val="nil"/>
            </w:tcBorders>
            <w:shd w:val="clear" w:color="auto" w:fill="auto"/>
            <w:vAlign w:val="bottom"/>
          </w:tcPr>
          <w:p w14:paraId="3943F41D" w14:textId="027E494E" w:rsidR="00F92F4E" w:rsidRPr="00C60384" w:rsidRDefault="008E7960" w:rsidP="00F92F4E">
            <w:pPr>
              <w:keepLines/>
              <w:suppressAutoHyphens/>
              <w:autoSpaceDN w:val="0"/>
              <w:spacing w:line="210" w:lineRule="exact"/>
              <w:jc w:val="right"/>
              <w:rPr>
                <w:rFonts w:ascii="Arial" w:eastAsia="Times New Roman" w:hAnsi="Arial" w:cs="Arial"/>
                <w:color w:val="000000"/>
                <w:sz w:val="18"/>
                <w:szCs w:val="18"/>
              </w:rPr>
            </w:pPr>
            <w:r>
              <w:rPr>
                <w:rFonts w:ascii="Arial" w:eastAsia="Times New Roman" w:hAnsi="Arial" w:cs="Arial"/>
                <w:color w:val="000000"/>
                <w:sz w:val="18"/>
                <w:szCs w:val="18"/>
              </w:rPr>
              <w:t>2.001</w:t>
            </w:r>
          </w:p>
        </w:tc>
        <w:tc>
          <w:tcPr>
            <w:tcW w:w="1252" w:type="dxa"/>
            <w:shd w:val="clear" w:color="auto" w:fill="auto"/>
            <w:vAlign w:val="bottom"/>
          </w:tcPr>
          <w:p w14:paraId="7EF8C67C" w14:textId="698E5089" w:rsidR="00F92F4E" w:rsidRPr="00C60384" w:rsidRDefault="00F92F4E" w:rsidP="00F92F4E">
            <w:pPr>
              <w:keepLines/>
              <w:suppressAutoHyphens/>
              <w:autoSpaceDN w:val="0"/>
              <w:spacing w:line="210" w:lineRule="exact"/>
              <w:jc w:val="right"/>
              <w:rPr>
                <w:rFonts w:ascii="Arial" w:eastAsia="Times New Roman" w:hAnsi="Arial" w:cs="Arial"/>
                <w:color w:val="000000" w:themeColor="text1"/>
                <w:sz w:val="18"/>
                <w:szCs w:val="18"/>
              </w:rPr>
            </w:pPr>
            <w:r w:rsidRPr="00C60384">
              <w:rPr>
                <w:rFonts w:ascii="Arial" w:eastAsia="Times New Roman" w:hAnsi="Arial" w:cs="Arial"/>
                <w:color w:val="000000"/>
                <w:sz w:val="18"/>
                <w:szCs w:val="18"/>
              </w:rPr>
              <w:t>(553)</w:t>
            </w:r>
          </w:p>
        </w:tc>
      </w:tr>
      <w:tr w:rsidR="00F92F4E" w:rsidRPr="008F09B7" w14:paraId="4E52241F" w14:textId="77777777" w:rsidTr="00C60384">
        <w:tc>
          <w:tcPr>
            <w:tcW w:w="7515" w:type="dxa"/>
            <w:vAlign w:val="bottom"/>
          </w:tcPr>
          <w:p w14:paraId="3CCA0D94" w14:textId="477DE9DE" w:rsidR="00F92F4E" w:rsidRPr="00F43653" w:rsidRDefault="00F92F4E" w:rsidP="00F92F4E">
            <w:pPr>
              <w:keepLines/>
              <w:tabs>
                <w:tab w:val="right" w:pos="1202"/>
              </w:tabs>
              <w:suppressAutoHyphens/>
              <w:autoSpaceDN w:val="0"/>
              <w:spacing w:line="210" w:lineRule="exact"/>
              <w:outlineLvl w:val="0"/>
              <w:rPr>
                <w:rFonts w:ascii="Arial" w:eastAsia="Times New Roman" w:hAnsi="Arial" w:cs="Arial"/>
                <w:iCs/>
                <w:color w:val="000000" w:themeColor="text1"/>
                <w:sz w:val="18"/>
                <w:szCs w:val="18"/>
              </w:rPr>
            </w:pPr>
            <w:bookmarkStart w:id="68" w:name="_Toc67326787"/>
            <w:r w:rsidRPr="00F43653">
              <w:rPr>
                <w:rFonts w:ascii="Arial" w:eastAsia="Times New Roman" w:hAnsi="Arial" w:cs="Arial"/>
                <w:iCs/>
                <w:color w:val="000000" w:themeColor="text1"/>
                <w:sz w:val="18"/>
                <w:szCs w:val="18"/>
              </w:rPr>
              <w:t xml:space="preserve">Neto </w:t>
            </w:r>
            <w:r>
              <w:rPr>
                <w:rFonts w:ascii="Arial" w:eastAsia="Times New Roman" w:hAnsi="Arial" w:cs="Arial"/>
                <w:iCs/>
                <w:color w:val="000000" w:themeColor="text1"/>
                <w:sz w:val="18"/>
                <w:szCs w:val="18"/>
              </w:rPr>
              <w:t>dobitak/</w:t>
            </w:r>
            <w:r w:rsidRPr="00F43653">
              <w:rPr>
                <w:rFonts w:ascii="Arial" w:eastAsia="Times New Roman" w:hAnsi="Arial" w:cs="Arial"/>
                <w:iCs/>
                <w:color w:val="000000" w:themeColor="text1"/>
                <w:sz w:val="18"/>
                <w:szCs w:val="18"/>
              </w:rPr>
              <w:t>(gubitak) od trgovanja derivativnim financijskim instrumentima</w:t>
            </w:r>
            <w:bookmarkEnd w:id="68"/>
          </w:p>
        </w:tc>
        <w:tc>
          <w:tcPr>
            <w:tcW w:w="1252" w:type="dxa"/>
            <w:vAlign w:val="bottom"/>
          </w:tcPr>
          <w:p w14:paraId="2E77C03B" w14:textId="7D60A16C" w:rsidR="00F92F4E" w:rsidRPr="00C60384" w:rsidRDefault="00215DAA" w:rsidP="00F92F4E">
            <w:pPr>
              <w:keepLines/>
              <w:suppressAutoHyphens/>
              <w:autoSpaceDN w:val="0"/>
              <w:spacing w:line="210" w:lineRule="exact"/>
              <w:jc w:val="right"/>
              <w:rPr>
                <w:rFonts w:ascii="Arial" w:eastAsia="Times New Roman" w:hAnsi="Arial" w:cs="Arial"/>
                <w:color w:val="000000"/>
                <w:sz w:val="18"/>
                <w:szCs w:val="18"/>
              </w:rPr>
            </w:pPr>
            <w:r>
              <w:rPr>
                <w:rFonts w:ascii="Arial" w:eastAsia="Times New Roman" w:hAnsi="Arial" w:cs="Arial"/>
                <w:color w:val="000000"/>
                <w:sz w:val="18"/>
                <w:szCs w:val="18"/>
              </w:rPr>
              <w:t>297</w:t>
            </w:r>
          </w:p>
        </w:tc>
        <w:tc>
          <w:tcPr>
            <w:tcW w:w="1252" w:type="dxa"/>
            <w:shd w:val="clear" w:color="auto" w:fill="auto"/>
            <w:vAlign w:val="bottom"/>
          </w:tcPr>
          <w:p w14:paraId="43166CA1" w14:textId="0EE4236A" w:rsidR="00F92F4E" w:rsidRPr="00C60384" w:rsidRDefault="00F92F4E" w:rsidP="00F92F4E">
            <w:pPr>
              <w:keepLines/>
              <w:suppressAutoHyphens/>
              <w:autoSpaceDN w:val="0"/>
              <w:spacing w:line="210" w:lineRule="exact"/>
              <w:jc w:val="right"/>
              <w:rPr>
                <w:rFonts w:ascii="Arial" w:eastAsia="Times New Roman" w:hAnsi="Arial" w:cs="Arial"/>
                <w:color w:val="000000" w:themeColor="text1"/>
                <w:sz w:val="18"/>
                <w:szCs w:val="18"/>
              </w:rPr>
            </w:pPr>
            <w:r w:rsidRPr="00C60384">
              <w:rPr>
                <w:rFonts w:ascii="Arial" w:eastAsia="Times New Roman" w:hAnsi="Arial" w:cs="Arial"/>
                <w:color w:val="000000"/>
                <w:sz w:val="18"/>
                <w:szCs w:val="18"/>
              </w:rPr>
              <w:t>(621)</w:t>
            </w:r>
          </w:p>
        </w:tc>
      </w:tr>
      <w:tr w:rsidR="00F92F4E" w:rsidRPr="008F09B7" w14:paraId="2F22069D" w14:textId="77777777" w:rsidTr="00C60384">
        <w:tc>
          <w:tcPr>
            <w:tcW w:w="7515" w:type="dxa"/>
            <w:vAlign w:val="bottom"/>
          </w:tcPr>
          <w:p w14:paraId="4040859D" w14:textId="77777777" w:rsidR="00F92F4E" w:rsidRPr="00F43653" w:rsidRDefault="00F92F4E" w:rsidP="00F92F4E">
            <w:pPr>
              <w:keepLines/>
              <w:tabs>
                <w:tab w:val="right" w:pos="1202"/>
              </w:tabs>
              <w:suppressAutoHyphens/>
              <w:autoSpaceDN w:val="0"/>
              <w:spacing w:line="210" w:lineRule="exact"/>
              <w:outlineLvl w:val="0"/>
              <w:rPr>
                <w:rFonts w:ascii="Arial" w:eastAsia="Times New Roman" w:hAnsi="Arial" w:cs="Arial"/>
                <w:iCs/>
                <w:color w:val="000000" w:themeColor="text1"/>
                <w:sz w:val="18"/>
                <w:szCs w:val="18"/>
              </w:rPr>
            </w:pPr>
            <w:bookmarkStart w:id="69" w:name="_Toc67326788"/>
            <w:r w:rsidRPr="00F43653">
              <w:rPr>
                <w:rFonts w:ascii="Arial" w:eastAsia="Times New Roman" w:hAnsi="Arial" w:cs="Arial"/>
                <w:iCs/>
                <w:color w:val="000000" w:themeColor="text1"/>
                <w:sz w:val="18"/>
                <w:szCs w:val="18"/>
              </w:rPr>
              <w:t>Ostale promjene po imovini po fer vrijednosti</w:t>
            </w:r>
            <w:bookmarkEnd w:id="69"/>
          </w:p>
        </w:tc>
        <w:tc>
          <w:tcPr>
            <w:tcW w:w="1252" w:type="dxa"/>
            <w:vAlign w:val="bottom"/>
          </w:tcPr>
          <w:p w14:paraId="0652B566" w14:textId="748E7887" w:rsidR="00F92F4E" w:rsidRPr="00C60384" w:rsidRDefault="00215DAA" w:rsidP="00F92F4E">
            <w:pPr>
              <w:keepLines/>
              <w:suppressAutoHyphens/>
              <w:autoSpaceDN w:val="0"/>
              <w:spacing w:line="210" w:lineRule="exact"/>
              <w:jc w:val="right"/>
              <w:rPr>
                <w:rFonts w:ascii="Arial" w:eastAsia="Times New Roman" w:hAnsi="Arial" w:cs="Arial"/>
                <w:color w:val="000000"/>
                <w:sz w:val="18"/>
                <w:szCs w:val="18"/>
              </w:rPr>
            </w:pPr>
            <w:r>
              <w:rPr>
                <w:rFonts w:ascii="Arial" w:eastAsia="Times New Roman" w:hAnsi="Arial" w:cs="Arial"/>
                <w:color w:val="000000"/>
                <w:sz w:val="18"/>
                <w:szCs w:val="18"/>
              </w:rPr>
              <w:t>(438)</w:t>
            </w:r>
          </w:p>
        </w:tc>
        <w:tc>
          <w:tcPr>
            <w:tcW w:w="1252" w:type="dxa"/>
            <w:shd w:val="clear" w:color="auto" w:fill="auto"/>
            <w:vAlign w:val="bottom"/>
          </w:tcPr>
          <w:p w14:paraId="2E05C9F8" w14:textId="6D6CFF71" w:rsidR="00F92F4E" w:rsidRPr="00C60384" w:rsidRDefault="00F92F4E" w:rsidP="00F92F4E">
            <w:pPr>
              <w:keepLines/>
              <w:suppressAutoHyphens/>
              <w:autoSpaceDN w:val="0"/>
              <w:spacing w:line="210" w:lineRule="exact"/>
              <w:jc w:val="right"/>
              <w:rPr>
                <w:rFonts w:ascii="Arial" w:eastAsia="Times New Roman" w:hAnsi="Arial" w:cs="Arial"/>
                <w:color w:val="000000" w:themeColor="text1"/>
                <w:sz w:val="18"/>
                <w:szCs w:val="18"/>
              </w:rPr>
            </w:pPr>
            <w:r w:rsidRPr="00C60384">
              <w:rPr>
                <w:rFonts w:ascii="Arial" w:eastAsia="Times New Roman" w:hAnsi="Arial" w:cs="Arial"/>
                <w:color w:val="000000"/>
                <w:sz w:val="18"/>
                <w:szCs w:val="18"/>
              </w:rPr>
              <w:t>(25.447)</w:t>
            </w:r>
          </w:p>
        </w:tc>
      </w:tr>
      <w:tr w:rsidR="00F92F4E" w:rsidRPr="008F09B7" w14:paraId="7C9BAE74" w14:textId="77777777" w:rsidTr="00C60384">
        <w:tc>
          <w:tcPr>
            <w:tcW w:w="7515" w:type="dxa"/>
            <w:vAlign w:val="bottom"/>
          </w:tcPr>
          <w:p w14:paraId="47646E81" w14:textId="70849EEF" w:rsidR="00F92F4E" w:rsidRPr="00F43653" w:rsidRDefault="00F92F4E" w:rsidP="00F92F4E">
            <w:pPr>
              <w:keepLines/>
              <w:tabs>
                <w:tab w:val="right" w:pos="1202"/>
              </w:tabs>
              <w:suppressAutoHyphens/>
              <w:autoSpaceDN w:val="0"/>
              <w:spacing w:line="210" w:lineRule="exact"/>
              <w:outlineLvl w:val="0"/>
              <w:rPr>
                <w:rFonts w:ascii="Arial" w:eastAsia="Times New Roman" w:hAnsi="Arial" w:cs="Arial"/>
                <w:i/>
                <w:iCs/>
                <w:color w:val="000000" w:themeColor="text1"/>
                <w:sz w:val="18"/>
                <w:szCs w:val="18"/>
              </w:rPr>
            </w:pPr>
            <w:bookmarkStart w:id="70" w:name="_Toc67326789"/>
            <w:r w:rsidRPr="00BA41A6">
              <w:rPr>
                <w:rFonts w:ascii="Arial" w:eastAsia="Times New Roman" w:hAnsi="Arial" w:cs="Arial"/>
                <w:i/>
                <w:iCs/>
                <w:color w:val="000000" w:themeColor="text1"/>
                <w:sz w:val="18"/>
                <w:szCs w:val="18"/>
              </w:rPr>
              <w:t>Dobitak iz</w:t>
            </w:r>
            <w:r w:rsidRPr="00F43653">
              <w:rPr>
                <w:rFonts w:ascii="Arial" w:eastAsia="Times New Roman" w:hAnsi="Arial" w:cs="Arial"/>
                <w:i/>
                <w:iCs/>
                <w:color w:val="000000" w:themeColor="text1"/>
                <w:sz w:val="18"/>
                <w:szCs w:val="18"/>
              </w:rPr>
              <w:t xml:space="preserve"> poslovnih aktivnosti prije promjena radnog kapitala</w:t>
            </w:r>
            <w:bookmarkEnd w:id="70"/>
          </w:p>
        </w:tc>
        <w:tc>
          <w:tcPr>
            <w:tcW w:w="1252" w:type="dxa"/>
            <w:vAlign w:val="bottom"/>
          </w:tcPr>
          <w:p w14:paraId="72F030EA" w14:textId="5D65A548" w:rsidR="00F92F4E" w:rsidRPr="00C60384" w:rsidRDefault="006221AA" w:rsidP="00F92F4E">
            <w:pPr>
              <w:keepLines/>
              <w:suppressAutoHyphens/>
              <w:autoSpaceDN w:val="0"/>
              <w:spacing w:line="210" w:lineRule="exact"/>
              <w:jc w:val="right"/>
              <w:rPr>
                <w:rFonts w:ascii="Arial" w:eastAsia="Times New Roman" w:hAnsi="Arial" w:cs="Arial"/>
                <w:i/>
                <w:iCs/>
                <w:color w:val="000000" w:themeColor="text1"/>
                <w:sz w:val="18"/>
                <w:szCs w:val="18"/>
              </w:rPr>
            </w:pPr>
            <w:r>
              <w:rPr>
                <w:rFonts w:ascii="Arial" w:eastAsia="Times New Roman" w:hAnsi="Arial" w:cs="Arial"/>
                <w:i/>
                <w:iCs/>
                <w:color w:val="000000" w:themeColor="text1"/>
                <w:sz w:val="18"/>
                <w:szCs w:val="18"/>
              </w:rPr>
              <w:t>39.840</w:t>
            </w:r>
          </w:p>
        </w:tc>
        <w:tc>
          <w:tcPr>
            <w:tcW w:w="1252" w:type="dxa"/>
            <w:vAlign w:val="bottom"/>
          </w:tcPr>
          <w:p w14:paraId="039169FD" w14:textId="0928264C" w:rsidR="00F92F4E" w:rsidRPr="00C60384" w:rsidRDefault="00F92F4E" w:rsidP="00F92F4E">
            <w:pPr>
              <w:keepLines/>
              <w:suppressAutoHyphens/>
              <w:autoSpaceDN w:val="0"/>
              <w:spacing w:line="210" w:lineRule="exact"/>
              <w:jc w:val="right"/>
              <w:rPr>
                <w:rFonts w:ascii="Arial" w:eastAsia="Times New Roman" w:hAnsi="Arial" w:cs="Arial"/>
                <w:i/>
                <w:color w:val="000000" w:themeColor="text1"/>
                <w:sz w:val="18"/>
                <w:szCs w:val="18"/>
              </w:rPr>
            </w:pPr>
            <w:r w:rsidRPr="00C60384">
              <w:rPr>
                <w:rFonts w:ascii="Arial" w:eastAsia="Times New Roman" w:hAnsi="Arial" w:cs="Arial"/>
                <w:i/>
                <w:iCs/>
                <w:color w:val="000000" w:themeColor="text1"/>
                <w:sz w:val="18"/>
                <w:szCs w:val="18"/>
              </w:rPr>
              <w:t>5.432</w:t>
            </w:r>
          </w:p>
        </w:tc>
      </w:tr>
      <w:tr w:rsidR="00F92F4E" w:rsidRPr="008F09B7" w14:paraId="6976EE3D" w14:textId="77777777" w:rsidTr="00C60384">
        <w:tc>
          <w:tcPr>
            <w:tcW w:w="7515" w:type="dxa"/>
            <w:vAlign w:val="bottom"/>
          </w:tcPr>
          <w:p w14:paraId="7B808409" w14:textId="77777777" w:rsidR="00F92F4E" w:rsidRPr="00F43653" w:rsidRDefault="00F92F4E" w:rsidP="00F92F4E">
            <w:pPr>
              <w:keepLines/>
              <w:tabs>
                <w:tab w:val="right" w:pos="1202"/>
              </w:tabs>
              <w:suppressAutoHyphens/>
              <w:autoSpaceDN w:val="0"/>
              <w:spacing w:line="210" w:lineRule="exact"/>
              <w:outlineLvl w:val="0"/>
              <w:rPr>
                <w:rFonts w:ascii="Arial" w:eastAsia="Times New Roman" w:hAnsi="Arial" w:cs="Arial"/>
                <w:i/>
                <w:iCs/>
                <w:color w:val="000000" w:themeColor="text1"/>
                <w:sz w:val="18"/>
                <w:szCs w:val="18"/>
              </w:rPr>
            </w:pPr>
            <w:bookmarkStart w:id="71" w:name="_Toc67326790"/>
            <w:r w:rsidRPr="00F43653">
              <w:rPr>
                <w:rFonts w:ascii="Arial" w:eastAsia="Times New Roman" w:hAnsi="Arial" w:cs="Arial"/>
                <w:i/>
                <w:iCs/>
                <w:color w:val="000000" w:themeColor="text1"/>
                <w:sz w:val="18"/>
                <w:szCs w:val="18"/>
              </w:rPr>
              <w:t>Promjene u poslovnim sredstvima i izvorima:</w:t>
            </w:r>
            <w:bookmarkEnd w:id="71"/>
          </w:p>
        </w:tc>
        <w:tc>
          <w:tcPr>
            <w:tcW w:w="1252" w:type="dxa"/>
            <w:vAlign w:val="bottom"/>
          </w:tcPr>
          <w:p w14:paraId="0C563CB1" w14:textId="77777777" w:rsidR="00F92F4E" w:rsidRPr="00C60384" w:rsidRDefault="00F92F4E" w:rsidP="00F92F4E">
            <w:pPr>
              <w:keepLines/>
              <w:suppressAutoHyphens/>
              <w:autoSpaceDN w:val="0"/>
              <w:spacing w:line="210" w:lineRule="exact"/>
              <w:jc w:val="right"/>
              <w:rPr>
                <w:rFonts w:ascii="Arial" w:eastAsia="Times New Roman" w:hAnsi="Arial" w:cs="Arial"/>
                <w:i/>
                <w:color w:val="000000" w:themeColor="text1"/>
                <w:sz w:val="18"/>
                <w:szCs w:val="18"/>
              </w:rPr>
            </w:pPr>
          </w:p>
        </w:tc>
        <w:tc>
          <w:tcPr>
            <w:tcW w:w="1252" w:type="dxa"/>
            <w:vAlign w:val="bottom"/>
          </w:tcPr>
          <w:p w14:paraId="636309AC" w14:textId="77777777" w:rsidR="00F92F4E" w:rsidRPr="00C60384" w:rsidRDefault="00F92F4E" w:rsidP="00F92F4E">
            <w:pPr>
              <w:keepLines/>
              <w:suppressAutoHyphens/>
              <w:autoSpaceDN w:val="0"/>
              <w:spacing w:line="210" w:lineRule="exact"/>
              <w:jc w:val="right"/>
              <w:rPr>
                <w:rFonts w:ascii="Arial" w:eastAsia="Times New Roman" w:hAnsi="Arial" w:cs="Arial"/>
                <w:i/>
                <w:color w:val="000000" w:themeColor="text1"/>
                <w:sz w:val="18"/>
                <w:szCs w:val="18"/>
              </w:rPr>
            </w:pPr>
          </w:p>
        </w:tc>
      </w:tr>
      <w:tr w:rsidR="00F92F4E" w:rsidRPr="008F09B7" w14:paraId="414E095F" w14:textId="77777777" w:rsidTr="00C60384">
        <w:trPr>
          <w:trHeight w:val="143"/>
        </w:trPr>
        <w:tc>
          <w:tcPr>
            <w:tcW w:w="7515" w:type="dxa"/>
            <w:vAlign w:val="bottom"/>
          </w:tcPr>
          <w:p w14:paraId="129E8370" w14:textId="4F697DF9" w:rsidR="00F92F4E" w:rsidRPr="00AE0738" w:rsidRDefault="00F92F4E" w:rsidP="00F92F4E">
            <w:pPr>
              <w:keepLines/>
              <w:tabs>
                <w:tab w:val="right" w:pos="1202"/>
              </w:tabs>
              <w:suppressAutoHyphens/>
              <w:autoSpaceDN w:val="0"/>
              <w:spacing w:line="210" w:lineRule="exact"/>
              <w:outlineLvl w:val="0"/>
              <w:rPr>
                <w:rFonts w:ascii="Arial" w:eastAsia="Times New Roman" w:hAnsi="Arial" w:cs="Arial"/>
                <w:color w:val="000000" w:themeColor="text1"/>
                <w:sz w:val="18"/>
                <w:szCs w:val="18"/>
              </w:rPr>
            </w:pPr>
            <w:bookmarkStart w:id="72" w:name="_Toc67326791"/>
            <w:r w:rsidRPr="00AE0738">
              <w:rPr>
                <w:rFonts w:ascii="Arial" w:eastAsia="Times New Roman" w:hAnsi="Arial" w:cs="Arial"/>
                <w:color w:val="000000" w:themeColor="text1"/>
                <w:sz w:val="18"/>
                <w:szCs w:val="18"/>
              </w:rPr>
              <w:t>Neto (povećanje) depozita kod drugih banaka, prije rezerviranja za očekivane gubitke</w:t>
            </w:r>
            <w:bookmarkEnd w:id="72"/>
          </w:p>
        </w:tc>
        <w:tc>
          <w:tcPr>
            <w:tcW w:w="1252" w:type="dxa"/>
            <w:tcBorders>
              <w:top w:val="nil"/>
              <w:left w:val="nil"/>
              <w:bottom w:val="nil"/>
              <w:right w:val="nil"/>
            </w:tcBorders>
            <w:shd w:val="clear" w:color="auto" w:fill="auto"/>
            <w:vAlign w:val="bottom"/>
          </w:tcPr>
          <w:p w14:paraId="66251B07" w14:textId="6E1938D2" w:rsidR="00F92F4E" w:rsidRPr="00C60384" w:rsidRDefault="006221AA" w:rsidP="00F92F4E">
            <w:pPr>
              <w:keepLines/>
              <w:suppressAutoHyphens/>
              <w:autoSpaceDN w:val="0"/>
              <w:spacing w:line="210" w:lineRule="exact"/>
              <w:jc w:val="right"/>
              <w:rPr>
                <w:rFonts w:ascii="Arial" w:eastAsia="Times New Roman" w:hAnsi="Arial" w:cs="Arial"/>
                <w:color w:val="000000"/>
                <w:sz w:val="18"/>
                <w:szCs w:val="18"/>
              </w:rPr>
            </w:pPr>
            <w:r>
              <w:rPr>
                <w:rFonts w:ascii="Arial" w:eastAsia="Times New Roman" w:hAnsi="Arial" w:cs="Arial"/>
                <w:color w:val="000000"/>
                <w:sz w:val="18"/>
                <w:szCs w:val="18"/>
              </w:rPr>
              <w:t>(52.580)</w:t>
            </w:r>
          </w:p>
        </w:tc>
        <w:tc>
          <w:tcPr>
            <w:tcW w:w="1252" w:type="dxa"/>
            <w:shd w:val="clear" w:color="auto" w:fill="auto"/>
            <w:vAlign w:val="bottom"/>
          </w:tcPr>
          <w:p w14:paraId="388AD65A" w14:textId="344CF47C" w:rsidR="00F92F4E" w:rsidRPr="00C60384" w:rsidRDefault="00F92F4E" w:rsidP="00F92F4E">
            <w:pPr>
              <w:keepLines/>
              <w:suppressAutoHyphens/>
              <w:autoSpaceDN w:val="0"/>
              <w:spacing w:line="210" w:lineRule="exact"/>
              <w:jc w:val="right"/>
              <w:rPr>
                <w:rFonts w:ascii="Arial" w:eastAsia="Times New Roman" w:hAnsi="Arial" w:cs="Arial"/>
                <w:color w:val="000000" w:themeColor="text1"/>
                <w:spacing w:val="-3"/>
                <w:sz w:val="18"/>
                <w:szCs w:val="18"/>
              </w:rPr>
            </w:pPr>
            <w:r w:rsidRPr="00C60384">
              <w:rPr>
                <w:rFonts w:ascii="Arial" w:eastAsia="Times New Roman" w:hAnsi="Arial" w:cs="Arial"/>
                <w:color w:val="000000"/>
                <w:sz w:val="18"/>
                <w:szCs w:val="18"/>
              </w:rPr>
              <w:t>(82.78</w:t>
            </w:r>
            <w:r>
              <w:rPr>
                <w:rFonts w:ascii="Arial" w:eastAsia="Times New Roman" w:hAnsi="Arial" w:cs="Arial"/>
                <w:color w:val="000000"/>
                <w:sz w:val="18"/>
                <w:szCs w:val="18"/>
              </w:rPr>
              <w:t>0</w:t>
            </w:r>
            <w:r w:rsidRPr="00C60384">
              <w:rPr>
                <w:rFonts w:ascii="Arial" w:eastAsia="Times New Roman" w:hAnsi="Arial" w:cs="Arial"/>
                <w:color w:val="000000"/>
                <w:sz w:val="18"/>
                <w:szCs w:val="18"/>
              </w:rPr>
              <w:t>)</w:t>
            </w:r>
          </w:p>
        </w:tc>
      </w:tr>
      <w:tr w:rsidR="00F92F4E" w:rsidRPr="008F09B7" w14:paraId="2D58D791" w14:textId="77777777" w:rsidTr="00C60384">
        <w:tc>
          <w:tcPr>
            <w:tcW w:w="7515" w:type="dxa"/>
            <w:vAlign w:val="bottom"/>
          </w:tcPr>
          <w:p w14:paraId="69CA50B5" w14:textId="710975C5" w:rsidR="00F92F4E" w:rsidRPr="00AE0738" w:rsidRDefault="00F92F4E" w:rsidP="00F92F4E">
            <w:pPr>
              <w:keepLines/>
              <w:tabs>
                <w:tab w:val="right" w:pos="1202"/>
              </w:tabs>
              <w:suppressAutoHyphens/>
              <w:autoSpaceDN w:val="0"/>
              <w:spacing w:line="210" w:lineRule="exact"/>
              <w:outlineLvl w:val="0"/>
              <w:rPr>
                <w:rFonts w:ascii="Arial" w:eastAsia="Times New Roman" w:hAnsi="Arial" w:cs="Arial"/>
                <w:color w:val="000000" w:themeColor="text1"/>
                <w:sz w:val="18"/>
                <w:szCs w:val="18"/>
              </w:rPr>
            </w:pPr>
            <w:bookmarkStart w:id="73" w:name="_Toc67326792"/>
            <w:r w:rsidRPr="00AE0738">
              <w:rPr>
                <w:rFonts w:ascii="Arial" w:eastAsia="Times New Roman" w:hAnsi="Arial" w:cs="Arial"/>
                <w:color w:val="000000" w:themeColor="text1"/>
                <w:sz w:val="18"/>
                <w:szCs w:val="18"/>
              </w:rPr>
              <w:t>Neto smanjenje</w:t>
            </w:r>
            <w:r w:rsidR="00EE7960">
              <w:rPr>
                <w:rFonts w:ascii="Arial" w:eastAsia="Times New Roman" w:hAnsi="Arial" w:cs="Arial"/>
                <w:color w:val="000000" w:themeColor="text1"/>
                <w:sz w:val="18"/>
                <w:szCs w:val="18"/>
              </w:rPr>
              <w:t>/</w:t>
            </w:r>
            <w:r w:rsidR="00EE7960" w:rsidRPr="00AE0738">
              <w:rPr>
                <w:rFonts w:ascii="Arial" w:eastAsia="Times New Roman" w:hAnsi="Arial" w:cs="Arial"/>
                <w:color w:val="000000" w:themeColor="text1"/>
                <w:sz w:val="18"/>
                <w:szCs w:val="18"/>
              </w:rPr>
              <w:t>(povećanje)</w:t>
            </w:r>
            <w:r w:rsidRPr="00AE0738">
              <w:rPr>
                <w:rFonts w:ascii="Arial" w:eastAsia="Times New Roman" w:hAnsi="Arial" w:cs="Arial"/>
                <w:color w:val="000000" w:themeColor="text1"/>
                <w:sz w:val="18"/>
                <w:szCs w:val="18"/>
              </w:rPr>
              <w:t xml:space="preserve"> kredita financijskim institucijama, prije rezerviranja za očekivane gubitke</w:t>
            </w:r>
            <w:bookmarkEnd w:id="73"/>
          </w:p>
        </w:tc>
        <w:tc>
          <w:tcPr>
            <w:tcW w:w="1252" w:type="dxa"/>
            <w:tcBorders>
              <w:top w:val="nil"/>
              <w:left w:val="nil"/>
              <w:bottom w:val="nil"/>
              <w:right w:val="nil"/>
            </w:tcBorders>
            <w:shd w:val="clear" w:color="auto" w:fill="auto"/>
            <w:vAlign w:val="bottom"/>
          </w:tcPr>
          <w:p w14:paraId="11872FBC" w14:textId="0007EED0" w:rsidR="00F92F4E" w:rsidRPr="00C60384" w:rsidRDefault="00EE7960" w:rsidP="00F92F4E">
            <w:pPr>
              <w:keepLines/>
              <w:suppressAutoHyphens/>
              <w:autoSpaceDN w:val="0"/>
              <w:spacing w:line="210" w:lineRule="exact"/>
              <w:jc w:val="right"/>
              <w:rPr>
                <w:rFonts w:ascii="Arial" w:eastAsia="Times New Roman" w:hAnsi="Arial" w:cs="Arial"/>
                <w:color w:val="000000"/>
                <w:sz w:val="18"/>
                <w:szCs w:val="18"/>
              </w:rPr>
            </w:pPr>
            <w:r>
              <w:rPr>
                <w:rFonts w:ascii="Arial" w:eastAsia="Times New Roman" w:hAnsi="Arial" w:cs="Arial"/>
                <w:color w:val="000000"/>
                <w:sz w:val="18"/>
                <w:szCs w:val="18"/>
              </w:rPr>
              <w:t>80.162</w:t>
            </w:r>
          </w:p>
        </w:tc>
        <w:tc>
          <w:tcPr>
            <w:tcW w:w="1252" w:type="dxa"/>
            <w:shd w:val="clear" w:color="auto" w:fill="auto"/>
            <w:vAlign w:val="bottom"/>
          </w:tcPr>
          <w:p w14:paraId="0A3EFC11" w14:textId="0B77CBE9" w:rsidR="00F92F4E" w:rsidRPr="00C60384" w:rsidRDefault="00F92F4E" w:rsidP="00F92F4E">
            <w:pPr>
              <w:keepLines/>
              <w:suppressAutoHyphens/>
              <w:autoSpaceDN w:val="0"/>
              <w:spacing w:line="210" w:lineRule="exact"/>
              <w:jc w:val="right"/>
              <w:rPr>
                <w:rFonts w:ascii="Arial" w:eastAsia="Times New Roman" w:hAnsi="Arial" w:cs="Arial"/>
                <w:color w:val="000000" w:themeColor="text1"/>
                <w:spacing w:val="-3"/>
                <w:sz w:val="18"/>
                <w:szCs w:val="18"/>
              </w:rPr>
            </w:pPr>
            <w:r w:rsidRPr="00C60384">
              <w:rPr>
                <w:rFonts w:ascii="Arial" w:hAnsi="Arial" w:cs="Arial"/>
                <w:sz w:val="18"/>
                <w:szCs w:val="18"/>
              </w:rPr>
              <w:t xml:space="preserve"> (129.627)</w:t>
            </w:r>
          </w:p>
        </w:tc>
      </w:tr>
      <w:tr w:rsidR="00F92F4E" w:rsidRPr="008F09B7" w14:paraId="6E0886B5" w14:textId="77777777" w:rsidTr="00C60384">
        <w:tc>
          <w:tcPr>
            <w:tcW w:w="7515" w:type="dxa"/>
            <w:vAlign w:val="bottom"/>
          </w:tcPr>
          <w:p w14:paraId="4452A2C7" w14:textId="28E89E94" w:rsidR="00F92F4E" w:rsidRPr="00AE0738" w:rsidRDefault="00F92F4E" w:rsidP="00F92F4E">
            <w:pPr>
              <w:keepLines/>
              <w:tabs>
                <w:tab w:val="right" w:pos="1202"/>
              </w:tabs>
              <w:suppressAutoHyphens/>
              <w:autoSpaceDN w:val="0"/>
              <w:spacing w:line="210" w:lineRule="exact"/>
              <w:outlineLvl w:val="0"/>
              <w:rPr>
                <w:rFonts w:ascii="Arial" w:eastAsia="Times New Roman" w:hAnsi="Arial" w:cs="Arial"/>
                <w:color w:val="000000" w:themeColor="text1"/>
                <w:sz w:val="18"/>
                <w:szCs w:val="18"/>
              </w:rPr>
            </w:pPr>
            <w:bookmarkStart w:id="74" w:name="_Toc67326793"/>
            <w:r w:rsidRPr="00AE0738">
              <w:rPr>
                <w:rFonts w:ascii="Arial" w:eastAsia="Times New Roman" w:hAnsi="Arial" w:cs="Arial"/>
                <w:color w:val="000000" w:themeColor="text1"/>
                <w:sz w:val="18"/>
                <w:szCs w:val="18"/>
              </w:rPr>
              <w:t xml:space="preserve">Neto </w:t>
            </w:r>
            <w:r w:rsidR="008343A2">
              <w:rPr>
                <w:rFonts w:ascii="Arial" w:eastAsia="Times New Roman" w:hAnsi="Arial" w:cs="Arial"/>
                <w:color w:val="000000" w:themeColor="text1"/>
                <w:sz w:val="18"/>
                <w:szCs w:val="18"/>
              </w:rPr>
              <w:t>smanjenje/</w:t>
            </w:r>
            <w:r w:rsidRPr="00AE0738">
              <w:rPr>
                <w:rFonts w:ascii="Arial" w:eastAsia="Times New Roman" w:hAnsi="Arial" w:cs="Arial"/>
                <w:color w:val="000000" w:themeColor="text1"/>
                <w:sz w:val="18"/>
                <w:szCs w:val="18"/>
              </w:rPr>
              <w:t>(povećanje) kredita ostalim korisnicima, prije rezerviranja za očekivane gubitke</w:t>
            </w:r>
            <w:bookmarkEnd w:id="74"/>
          </w:p>
        </w:tc>
        <w:tc>
          <w:tcPr>
            <w:tcW w:w="1252" w:type="dxa"/>
            <w:tcBorders>
              <w:top w:val="nil"/>
              <w:left w:val="nil"/>
              <w:bottom w:val="nil"/>
              <w:right w:val="nil"/>
            </w:tcBorders>
            <w:shd w:val="clear" w:color="auto" w:fill="auto"/>
            <w:vAlign w:val="bottom"/>
          </w:tcPr>
          <w:p w14:paraId="313B829D" w14:textId="1637A527" w:rsidR="00F92F4E" w:rsidRPr="00C60384" w:rsidRDefault="008343A2" w:rsidP="00F92F4E">
            <w:pPr>
              <w:keepLines/>
              <w:suppressAutoHyphens/>
              <w:autoSpaceDN w:val="0"/>
              <w:spacing w:line="210" w:lineRule="exact"/>
              <w:jc w:val="right"/>
              <w:rPr>
                <w:rFonts w:ascii="Arial" w:eastAsia="Times New Roman" w:hAnsi="Arial" w:cs="Arial"/>
                <w:color w:val="000000"/>
                <w:sz w:val="18"/>
                <w:szCs w:val="18"/>
              </w:rPr>
            </w:pPr>
            <w:r>
              <w:rPr>
                <w:rFonts w:ascii="Arial" w:eastAsia="Times New Roman" w:hAnsi="Arial" w:cs="Arial"/>
                <w:color w:val="000000"/>
                <w:sz w:val="18"/>
                <w:szCs w:val="18"/>
              </w:rPr>
              <w:t>2.141</w:t>
            </w:r>
          </w:p>
        </w:tc>
        <w:tc>
          <w:tcPr>
            <w:tcW w:w="1252" w:type="dxa"/>
            <w:shd w:val="clear" w:color="auto" w:fill="auto"/>
            <w:vAlign w:val="bottom"/>
          </w:tcPr>
          <w:p w14:paraId="530E7E1A" w14:textId="72636F94" w:rsidR="00F92F4E" w:rsidRPr="00C60384" w:rsidRDefault="00F92F4E" w:rsidP="00F92F4E">
            <w:pPr>
              <w:keepLines/>
              <w:suppressAutoHyphens/>
              <w:autoSpaceDN w:val="0"/>
              <w:spacing w:line="210" w:lineRule="exact"/>
              <w:jc w:val="right"/>
              <w:rPr>
                <w:rFonts w:ascii="Arial" w:eastAsia="Times New Roman" w:hAnsi="Arial" w:cs="Arial"/>
                <w:color w:val="000000"/>
                <w:sz w:val="18"/>
                <w:szCs w:val="18"/>
              </w:rPr>
            </w:pPr>
            <w:r w:rsidRPr="00C60384">
              <w:rPr>
                <w:rFonts w:ascii="Arial" w:eastAsia="Times New Roman" w:hAnsi="Arial" w:cs="Arial"/>
                <w:color w:val="000000"/>
                <w:sz w:val="18"/>
                <w:szCs w:val="18"/>
              </w:rPr>
              <w:t xml:space="preserve"> (35.522)</w:t>
            </w:r>
          </w:p>
        </w:tc>
      </w:tr>
      <w:tr w:rsidR="00F92F4E" w:rsidRPr="008F09B7" w14:paraId="74BFE432" w14:textId="77777777" w:rsidTr="00C60384">
        <w:tc>
          <w:tcPr>
            <w:tcW w:w="7515" w:type="dxa"/>
            <w:vAlign w:val="bottom"/>
          </w:tcPr>
          <w:p w14:paraId="5824B0BC" w14:textId="2E81367C" w:rsidR="00F92F4E" w:rsidRPr="00AE0738" w:rsidRDefault="00F92F4E" w:rsidP="00F92F4E">
            <w:pPr>
              <w:keepLines/>
              <w:tabs>
                <w:tab w:val="right" w:pos="1202"/>
              </w:tabs>
              <w:suppressAutoHyphens/>
              <w:autoSpaceDN w:val="0"/>
              <w:spacing w:line="210" w:lineRule="exact"/>
              <w:outlineLvl w:val="0"/>
              <w:rPr>
                <w:rFonts w:ascii="Arial" w:eastAsia="Times New Roman" w:hAnsi="Arial" w:cs="Arial"/>
                <w:color w:val="000000" w:themeColor="text1"/>
                <w:sz w:val="18"/>
                <w:szCs w:val="18"/>
              </w:rPr>
            </w:pPr>
            <w:bookmarkStart w:id="75" w:name="_Toc67326795"/>
            <w:r w:rsidRPr="00AE0738">
              <w:rPr>
                <w:rFonts w:ascii="Arial" w:eastAsia="Times New Roman" w:hAnsi="Arial" w:cs="Arial"/>
                <w:color w:val="000000" w:themeColor="text1"/>
                <w:sz w:val="18"/>
                <w:szCs w:val="18"/>
              </w:rPr>
              <w:t xml:space="preserve">Neto </w:t>
            </w:r>
            <w:r w:rsidR="008343A2">
              <w:rPr>
                <w:rFonts w:ascii="Arial" w:eastAsia="Times New Roman" w:hAnsi="Arial" w:cs="Arial"/>
                <w:color w:val="000000" w:themeColor="text1"/>
                <w:sz w:val="18"/>
                <w:szCs w:val="18"/>
              </w:rPr>
              <w:t>smanjenje/</w:t>
            </w:r>
            <w:r w:rsidRPr="00AE0738">
              <w:rPr>
                <w:rFonts w:ascii="Arial" w:eastAsia="Times New Roman" w:hAnsi="Arial" w:cs="Arial"/>
                <w:color w:val="000000" w:themeColor="text1"/>
                <w:sz w:val="18"/>
                <w:szCs w:val="18"/>
              </w:rPr>
              <w:t>(povećanje) preuzete imovine</w:t>
            </w:r>
            <w:bookmarkEnd w:id="75"/>
            <w:r w:rsidRPr="00AE0738">
              <w:rPr>
                <w:rFonts w:ascii="Arial" w:eastAsia="Times New Roman" w:hAnsi="Arial" w:cs="Arial"/>
                <w:color w:val="000000" w:themeColor="text1"/>
                <w:sz w:val="18"/>
                <w:szCs w:val="18"/>
              </w:rPr>
              <w:t xml:space="preserve"> </w:t>
            </w:r>
          </w:p>
        </w:tc>
        <w:tc>
          <w:tcPr>
            <w:tcW w:w="1252" w:type="dxa"/>
            <w:vAlign w:val="bottom"/>
          </w:tcPr>
          <w:p w14:paraId="129CF431" w14:textId="5EFE718D" w:rsidR="00F92F4E" w:rsidRPr="00C60384" w:rsidRDefault="008343A2" w:rsidP="00F92F4E">
            <w:pPr>
              <w:keepLines/>
              <w:suppressAutoHyphens/>
              <w:autoSpaceDN w:val="0"/>
              <w:spacing w:line="210" w:lineRule="exact"/>
              <w:jc w:val="right"/>
              <w:rPr>
                <w:rFonts w:ascii="Arial" w:eastAsia="Times New Roman" w:hAnsi="Arial" w:cs="Arial"/>
                <w:color w:val="000000"/>
                <w:sz w:val="18"/>
                <w:szCs w:val="18"/>
              </w:rPr>
            </w:pPr>
            <w:r>
              <w:rPr>
                <w:rFonts w:ascii="Arial" w:eastAsia="Times New Roman" w:hAnsi="Arial" w:cs="Arial"/>
                <w:color w:val="000000"/>
                <w:sz w:val="18"/>
                <w:szCs w:val="18"/>
              </w:rPr>
              <w:t>339</w:t>
            </w:r>
          </w:p>
        </w:tc>
        <w:tc>
          <w:tcPr>
            <w:tcW w:w="1252" w:type="dxa"/>
            <w:vAlign w:val="bottom"/>
          </w:tcPr>
          <w:p w14:paraId="2A50B1C0" w14:textId="0AF22EE6" w:rsidR="00F92F4E" w:rsidRPr="00C60384" w:rsidRDefault="00F92F4E" w:rsidP="00F92F4E">
            <w:pPr>
              <w:keepLines/>
              <w:tabs>
                <w:tab w:val="right" w:pos="1202"/>
              </w:tabs>
              <w:suppressAutoHyphens/>
              <w:autoSpaceDN w:val="0"/>
              <w:spacing w:line="210" w:lineRule="exact"/>
              <w:jc w:val="right"/>
              <w:outlineLvl w:val="0"/>
              <w:rPr>
                <w:rFonts w:ascii="Arial" w:eastAsia="Times New Roman" w:hAnsi="Arial" w:cs="Arial"/>
                <w:color w:val="000000"/>
                <w:sz w:val="18"/>
                <w:szCs w:val="18"/>
              </w:rPr>
            </w:pPr>
            <w:r w:rsidRPr="00C60384">
              <w:rPr>
                <w:rFonts w:ascii="Arial" w:eastAsia="Times New Roman" w:hAnsi="Arial" w:cs="Arial"/>
                <w:color w:val="000000"/>
                <w:sz w:val="18"/>
                <w:szCs w:val="18"/>
              </w:rPr>
              <w:t xml:space="preserve"> (47)</w:t>
            </w:r>
          </w:p>
        </w:tc>
      </w:tr>
      <w:tr w:rsidR="00F92F4E" w:rsidRPr="008F09B7" w14:paraId="25C3DCF8" w14:textId="77777777" w:rsidTr="00C60384">
        <w:tc>
          <w:tcPr>
            <w:tcW w:w="7515" w:type="dxa"/>
            <w:vAlign w:val="bottom"/>
          </w:tcPr>
          <w:p w14:paraId="00A23D04" w14:textId="227B99D4" w:rsidR="00F92F4E" w:rsidRPr="00AE0738" w:rsidRDefault="00F92F4E" w:rsidP="00F92F4E">
            <w:pPr>
              <w:keepLines/>
              <w:tabs>
                <w:tab w:val="right" w:pos="1202"/>
              </w:tabs>
              <w:suppressAutoHyphens/>
              <w:autoSpaceDN w:val="0"/>
              <w:spacing w:line="210" w:lineRule="exact"/>
              <w:outlineLvl w:val="0"/>
              <w:rPr>
                <w:rFonts w:ascii="Arial" w:eastAsia="Times New Roman" w:hAnsi="Arial" w:cs="Arial"/>
                <w:color w:val="000000" w:themeColor="text1"/>
                <w:sz w:val="18"/>
                <w:szCs w:val="18"/>
              </w:rPr>
            </w:pPr>
            <w:bookmarkStart w:id="76" w:name="_Toc67326798"/>
            <w:r w:rsidRPr="00AE0738">
              <w:rPr>
                <w:rFonts w:ascii="Arial" w:eastAsia="Times New Roman" w:hAnsi="Arial" w:cs="Arial"/>
                <w:color w:val="000000" w:themeColor="text1"/>
                <w:sz w:val="18"/>
                <w:szCs w:val="18"/>
              </w:rPr>
              <w:t xml:space="preserve">Neto </w:t>
            </w:r>
            <w:r w:rsidR="008343A2">
              <w:rPr>
                <w:rFonts w:ascii="Arial" w:eastAsia="Times New Roman" w:hAnsi="Arial" w:cs="Arial"/>
                <w:color w:val="000000" w:themeColor="text1"/>
                <w:sz w:val="18"/>
                <w:szCs w:val="18"/>
              </w:rPr>
              <w:t>smanjenje/</w:t>
            </w:r>
            <w:r w:rsidRPr="00AE0738">
              <w:rPr>
                <w:rFonts w:ascii="Arial" w:eastAsia="Times New Roman" w:hAnsi="Arial" w:cs="Arial"/>
                <w:color w:val="000000" w:themeColor="text1"/>
                <w:sz w:val="18"/>
                <w:szCs w:val="18"/>
              </w:rPr>
              <w:t>(povećanje) ostale imovine, prije rezerviranja za očekivane gubitke</w:t>
            </w:r>
            <w:bookmarkEnd w:id="76"/>
          </w:p>
        </w:tc>
        <w:tc>
          <w:tcPr>
            <w:tcW w:w="1252" w:type="dxa"/>
            <w:tcBorders>
              <w:top w:val="nil"/>
              <w:left w:val="nil"/>
              <w:bottom w:val="nil"/>
              <w:right w:val="nil"/>
            </w:tcBorders>
            <w:shd w:val="clear" w:color="auto" w:fill="auto"/>
            <w:vAlign w:val="bottom"/>
          </w:tcPr>
          <w:p w14:paraId="6B0B76D3" w14:textId="14B02798" w:rsidR="00F92F4E" w:rsidRPr="00C60384" w:rsidRDefault="00B9116C" w:rsidP="00F92F4E">
            <w:pPr>
              <w:keepLines/>
              <w:suppressAutoHyphens/>
              <w:autoSpaceDN w:val="0"/>
              <w:spacing w:line="210" w:lineRule="exact"/>
              <w:jc w:val="right"/>
              <w:rPr>
                <w:rFonts w:ascii="Arial" w:eastAsia="Times New Roman" w:hAnsi="Arial" w:cs="Arial"/>
                <w:color w:val="000000"/>
                <w:sz w:val="18"/>
                <w:szCs w:val="18"/>
              </w:rPr>
            </w:pPr>
            <w:r>
              <w:rPr>
                <w:rFonts w:ascii="Arial" w:eastAsia="Times New Roman" w:hAnsi="Arial" w:cs="Arial"/>
                <w:color w:val="000000"/>
                <w:sz w:val="18"/>
                <w:szCs w:val="18"/>
              </w:rPr>
              <w:t>3.365</w:t>
            </w:r>
          </w:p>
        </w:tc>
        <w:tc>
          <w:tcPr>
            <w:tcW w:w="1252" w:type="dxa"/>
            <w:vAlign w:val="bottom"/>
          </w:tcPr>
          <w:p w14:paraId="31DA7B95" w14:textId="32A5F675" w:rsidR="00F92F4E" w:rsidRPr="00C60384" w:rsidRDefault="00F92F4E" w:rsidP="00F92F4E">
            <w:pPr>
              <w:keepLines/>
              <w:suppressAutoHyphens/>
              <w:autoSpaceDN w:val="0"/>
              <w:spacing w:line="210" w:lineRule="exact"/>
              <w:jc w:val="right"/>
              <w:rPr>
                <w:rFonts w:ascii="Arial" w:eastAsia="Times New Roman" w:hAnsi="Arial" w:cs="Arial"/>
                <w:color w:val="000000"/>
                <w:sz w:val="18"/>
                <w:szCs w:val="18"/>
              </w:rPr>
            </w:pPr>
            <w:r w:rsidRPr="00C60384">
              <w:rPr>
                <w:rFonts w:ascii="Arial" w:eastAsia="Times New Roman" w:hAnsi="Arial" w:cs="Arial"/>
                <w:color w:val="000000"/>
                <w:sz w:val="18"/>
                <w:szCs w:val="18"/>
              </w:rPr>
              <w:t xml:space="preserve"> (3.145)</w:t>
            </w:r>
          </w:p>
        </w:tc>
      </w:tr>
      <w:tr w:rsidR="00F92F4E" w:rsidRPr="008F09B7" w14:paraId="1E237D2B" w14:textId="77777777" w:rsidTr="00C60384">
        <w:tc>
          <w:tcPr>
            <w:tcW w:w="7515" w:type="dxa"/>
            <w:vAlign w:val="bottom"/>
          </w:tcPr>
          <w:p w14:paraId="6600E7C3" w14:textId="16095498" w:rsidR="00F92F4E" w:rsidRPr="00AE0738" w:rsidRDefault="00F92F4E" w:rsidP="00F92F4E">
            <w:pPr>
              <w:keepLines/>
              <w:tabs>
                <w:tab w:val="right" w:pos="1202"/>
              </w:tabs>
              <w:suppressAutoHyphens/>
              <w:autoSpaceDN w:val="0"/>
              <w:spacing w:line="210" w:lineRule="exact"/>
              <w:outlineLvl w:val="0"/>
              <w:rPr>
                <w:rFonts w:ascii="Arial" w:eastAsia="Times New Roman" w:hAnsi="Arial" w:cs="Arial"/>
                <w:color w:val="000000" w:themeColor="text1"/>
                <w:sz w:val="18"/>
                <w:szCs w:val="18"/>
              </w:rPr>
            </w:pPr>
            <w:bookmarkStart w:id="77" w:name="_Toc67326799"/>
            <w:r w:rsidRPr="00AE0738">
              <w:rPr>
                <w:rFonts w:ascii="Arial" w:eastAsia="Times New Roman" w:hAnsi="Arial" w:cs="Arial"/>
                <w:color w:val="000000" w:themeColor="text1"/>
                <w:sz w:val="18"/>
                <w:szCs w:val="18"/>
              </w:rPr>
              <w:t xml:space="preserve">Neto </w:t>
            </w:r>
            <w:r>
              <w:rPr>
                <w:rFonts w:ascii="Arial" w:eastAsia="Times New Roman" w:hAnsi="Arial" w:cs="Arial"/>
                <w:color w:val="000000" w:themeColor="text1"/>
                <w:sz w:val="18"/>
                <w:szCs w:val="18"/>
              </w:rPr>
              <w:t>povećanje</w:t>
            </w:r>
            <w:r w:rsidRPr="00AE0738">
              <w:rPr>
                <w:rFonts w:ascii="Arial" w:eastAsia="Times New Roman" w:hAnsi="Arial" w:cs="Arial"/>
                <w:color w:val="000000" w:themeColor="text1"/>
                <w:sz w:val="18"/>
                <w:szCs w:val="18"/>
              </w:rPr>
              <w:t xml:space="preserve"> depozita banaka i trgovačkih društava</w:t>
            </w:r>
            <w:bookmarkEnd w:id="77"/>
          </w:p>
        </w:tc>
        <w:tc>
          <w:tcPr>
            <w:tcW w:w="1252" w:type="dxa"/>
            <w:vAlign w:val="bottom"/>
          </w:tcPr>
          <w:p w14:paraId="4BC82398" w14:textId="06E6CC94" w:rsidR="00F92F4E" w:rsidRPr="00C60384" w:rsidRDefault="00B9116C" w:rsidP="00F92F4E">
            <w:pPr>
              <w:keepLines/>
              <w:suppressAutoHyphens/>
              <w:autoSpaceDN w:val="0"/>
              <w:spacing w:line="210" w:lineRule="exact"/>
              <w:jc w:val="right"/>
              <w:rPr>
                <w:rFonts w:ascii="Arial" w:eastAsia="Times New Roman" w:hAnsi="Arial" w:cs="Arial"/>
                <w:color w:val="000000"/>
                <w:sz w:val="18"/>
                <w:szCs w:val="18"/>
              </w:rPr>
            </w:pPr>
            <w:r>
              <w:rPr>
                <w:rFonts w:ascii="Arial" w:eastAsia="Times New Roman" w:hAnsi="Arial" w:cs="Arial"/>
                <w:color w:val="000000"/>
                <w:sz w:val="18"/>
                <w:szCs w:val="18"/>
              </w:rPr>
              <w:t>27.946</w:t>
            </w:r>
          </w:p>
        </w:tc>
        <w:tc>
          <w:tcPr>
            <w:tcW w:w="1252" w:type="dxa"/>
            <w:vAlign w:val="bottom"/>
          </w:tcPr>
          <w:p w14:paraId="580A4C71" w14:textId="4B2BD232" w:rsidR="00F92F4E" w:rsidRPr="00C60384" w:rsidRDefault="00F92F4E" w:rsidP="00F92F4E">
            <w:pPr>
              <w:keepLines/>
              <w:suppressAutoHyphens/>
              <w:autoSpaceDN w:val="0"/>
              <w:spacing w:line="210" w:lineRule="exact"/>
              <w:jc w:val="right"/>
              <w:rPr>
                <w:rFonts w:ascii="Arial" w:eastAsia="Times New Roman" w:hAnsi="Arial" w:cs="Arial"/>
                <w:color w:val="000000"/>
                <w:sz w:val="18"/>
                <w:szCs w:val="18"/>
              </w:rPr>
            </w:pPr>
            <w:r w:rsidRPr="00C60384">
              <w:rPr>
                <w:rFonts w:ascii="Arial" w:eastAsia="Times New Roman" w:hAnsi="Arial" w:cs="Arial"/>
                <w:color w:val="000000"/>
                <w:sz w:val="18"/>
                <w:szCs w:val="18"/>
              </w:rPr>
              <w:t xml:space="preserve"> 42.914 </w:t>
            </w:r>
          </w:p>
        </w:tc>
      </w:tr>
      <w:tr w:rsidR="00F92F4E" w:rsidRPr="008F09B7" w14:paraId="4AE1FC65" w14:textId="77777777" w:rsidTr="00C60384">
        <w:tc>
          <w:tcPr>
            <w:tcW w:w="7515" w:type="dxa"/>
            <w:vAlign w:val="bottom"/>
          </w:tcPr>
          <w:p w14:paraId="5285A699" w14:textId="2F56AA4D" w:rsidR="00F92F4E" w:rsidRPr="00AE0738" w:rsidRDefault="00F92F4E" w:rsidP="00F92F4E">
            <w:pPr>
              <w:keepLines/>
              <w:tabs>
                <w:tab w:val="right" w:pos="1202"/>
              </w:tabs>
              <w:suppressAutoHyphens/>
              <w:autoSpaceDN w:val="0"/>
              <w:spacing w:line="210" w:lineRule="exact"/>
              <w:outlineLvl w:val="0"/>
              <w:rPr>
                <w:rFonts w:ascii="Arial" w:eastAsia="Times New Roman" w:hAnsi="Arial" w:cs="Arial"/>
                <w:color w:val="000000" w:themeColor="text1"/>
                <w:spacing w:val="-2"/>
                <w:sz w:val="18"/>
                <w:szCs w:val="18"/>
              </w:rPr>
            </w:pPr>
            <w:bookmarkStart w:id="78" w:name="_Toc67326800"/>
            <w:r w:rsidRPr="00AE0738">
              <w:rPr>
                <w:rFonts w:ascii="Arial" w:eastAsia="Times New Roman" w:hAnsi="Arial" w:cs="Arial"/>
                <w:color w:val="000000" w:themeColor="text1"/>
                <w:spacing w:val="-2"/>
                <w:sz w:val="18"/>
                <w:szCs w:val="18"/>
              </w:rPr>
              <w:t>Neto (smanjenje)</w:t>
            </w:r>
            <w:r w:rsidR="00B9116C">
              <w:rPr>
                <w:rFonts w:ascii="Arial" w:eastAsia="Times New Roman" w:hAnsi="Arial" w:cs="Arial"/>
                <w:color w:val="000000" w:themeColor="text1"/>
                <w:spacing w:val="-2"/>
                <w:sz w:val="18"/>
                <w:szCs w:val="18"/>
              </w:rPr>
              <w:t>/</w:t>
            </w:r>
            <w:r w:rsidR="00B9116C" w:rsidRPr="00AE0738">
              <w:rPr>
                <w:rFonts w:ascii="Arial" w:eastAsia="Times New Roman" w:hAnsi="Arial" w:cs="Arial"/>
                <w:color w:val="000000" w:themeColor="text1"/>
                <w:spacing w:val="-2"/>
                <w:sz w:val="18"/>
                <w:szCs w:val="18"/>
              </w:rPr>
              <w:t xml:space="preserve">povećanje </w:t>
            </w:r>
            <w:r w:rsidRPr="00AE0738">
              <w:rPr>
                <w:rFonts w:ascii="Arial" w:eastAsia="Times New Roman" w:hAnsi="Arial" w:cs="Arial"/>
                <w:color w:val="000000" w:themeColor="text1"/>
                <w:spacing w:val="-2"/>
                <w:sz w:val="18"/>
                <w:szCs w:val="18"/>
              </w:rPr>
              <w:t>ostalih obveza, prije rezerviranja</w:t>
            </w:r>
            <w:bookmarkEnd w:id="78"/>
          </w:p>
        </w:tc>
        <w:tc>
          <w:tcPr>
            <w:tcW w:w="1252" w:type="dxa"/>
            <w:tcBorders>
              <w:top w:val="nil"/>
              <w:left w:val="nil"/>
              <w:bottom w:val="nil"/>
              <w:right w:val="nil"/>
            </w:tcBorders>
            <w:shd w:val="clear" w:color="auto" w:fill="auto"/>
            <w:vAlign w:val="bottom"/>
          </w:tcPr>
          <w:p w14:paraId="6C551C76" w14:textId="525D8C27" w:rsidR="00F92F4E" w:rsidRPr="00C60384" w:rsidRDefault="00B9116C" w:rsidP="00F92F4E">
            <w:pPr>
              <w:keepLines/>
              <w:suppressAutoHyphens/>
              <w:autoSpaceDN w:val="0"/>
              <w:spacing w:line="210" w:lineRule="exact"/>
              <w:jc w:val="right"/>
              <w:rPr>
                <w:rFonts w:ascii="Arial" w:eastAsia="Times New Roman" w:hAnsi="Arial" w:cs="Arial"/>
                <w:color w:val="000000"/>
                <w:sz w:val="18"/>
                <w:szCs w:val="18"/>
              </w:rPr>
            </w:pPr>
            <w:r>
              <w:rPr>
                <w:rFonts w:ascii="Arial" w:eastAsia="Times New Roman" w:hAnsi="Arial" w:cs="Arial"/>
                <w:color w:val="000000"/>
                <w:sz w:val="18"/>
                <w:szCs w:val="18"/>
              </w:rPr>
              <w:t>(14.925)</w:t>
            </w:r>
          </w:p>
        </w:tc>
        <w:tc>
          <w:tcPr>
            <w:tcW w:w="1252" w:type="dxa"/>
            <w:tcBorders>
              <w:bottom w:val="single" w:sz="4" w:space="0" w:color="auto"/>
            </w:tcBorders>
            <w:vAlign w:val="bottom"/>
          </w:tcPr>
          <w:p w14:paraId="1831D5C1" w14:textId="0271A35E" w:rsidR="00F92F4E" w:rsidRPr="00C60384" w:rsidRDefault="00F92F4E" w:rsidP="00F92F4E">
            <w:pPr>
              <w:keepLines/>
              <w:suppressAutoHyphens/>
              <w:autoSpaceDN w:val="0"/>
              <w:spacing w:line="210" w:lineRule="exact"/>
              <w:jc w:val="right"/>
              <w:rPr>
                <w:rFonts w:ascii="Arial" w:eastAsia="Times New Roman" w:hAnsi="Arial" w:cs="Arial"/>
                <w:color w:val="000000"/>
                <w:sz w:val="18"/>
                <w:szCs w:val="18"/>
              </w:rPr>
            </w:pPr>
            <w:r w:rsidRPr="00C60384">
              <w:rPr>
                <w:rFonts w:ascii="Arial" w:eastAsia="Times New Roman" w:hAnsi="Arial" w:cs="Arial"/>
                <w:color w:val="000000"/>
                <w:sz w:val="18"/>
                <w:szCs w:val="18"/>
              </w:rPr>
              <w:t xml:space="preserve"> 4.475 </w:t>
            </w:r>
          </w:p>
        </w:tc>
      </w:tr>
      <w:tr w:rsidR="00F92F4E" w:rsidRPr="008F09B7" w14:paraId="44446E50" w14:textId="77777777" w:rsidTr="00C60384">
        <w:trPr>
          <w:trHeight w:val="228"/>
        </w:trPr>
        <w:tc>
          <w:tcPr>
            <w:tcW w:w="7515" w:type="dxa"/>
            <w:vAlign w:val="bottom"/>
          </w:tcPr>
          <w:p w14:paraId="5A9C79C5" w14:textId="71CD76DA" w:rsidR="00F92F4E" w:rsidRPr="00AE0738" w:rsidRDefault="00F92F4E" w:rsidP="00F92F4E">
            <w:pPr>
              <w:keepLines/>
              <w:tabs>
                <w:tab w:val="right" w:pos="1202"/>
              </w:tabs>
              <w:suppressAutoHyphens/>
              <w:autoSpaceDN w:val="0"/>
              <w:spacing w:line="220" w:lineRule="exact"/>
              <w:outlineLvl w:val="0"/>
              <w:rPr>
                <w:rFonts w:ascii="Arial" w:eastAsia="Times New Roman" w:hAnsi="Arial" w:cs="Arial"/>
                <w:b/>
                <w:bCs/>
                <w:color w:val="000000" w:themeColor="text1"/>
                <w:sz w:val="18"/>
                <w:szCs w:val="18"/>
              </w:rPr>
            </w:pPr>
            <w:bookmarkStart w:id="79" w:name="_Toc67326801"/>
            <w:r w:rsidRPr="00AE0738">
              <w:rPr>
                <w:rFonts w:ascii="Arial" w:eastAsia="Times New Roman" w:hAnsi="Arial" w:cs="Arial"/>
                <w:b/>
                <w:bCs/>
                <w:color w:val="000000" w:themeColor="text1"/>
                <w:sz w:val="18"/>
                <w:szCs w:val="18"/>
              </w:rPr>
              <w:t xml:space="preserve">Neto novčana sredstva </w:t>
            </w:r>
            <w:r w:rsidR="00B9116C">
              <w:rPr>
                <w:rFonts w:ascii="Arial" w:eastAsia="Times New Roman" w:hAnsi="Arial" w:cs="Arial"/>
                <w:b/>
                <w:bCs/>
                <w:color w:val="000000" w:themeColor="text1"/>
                <w:sz w:val="18"/>
                <w:szCs w:val="18"/>
              </w:rPr>
              <w:t>ostvarena/</w:t>
            </w:r>
            <w:r w:rsidRPr="00AE0738">
              <w:rPr>
                <w:rFonts w:ascii="Arial" w:eastAsia="Times New Roman" w:hAnsi="Arial" w:cs="Arial"/>
                <w:b/>
                <w:bCs/>
                <w:color w:val="000000" w:themeColor="text1"/>
                <w:sz w:val="18"/>
                <w:szCs w:val="18"/>
              </w:rPr>
              <w:t>(uporabljena) u poslovnim aktivnostima</w:t>
            </w:r>
            <w:bookmarkEnd w:id="79"/>
            <w:r w:rsidRPr="00AE0738">
              <w:rPr>
                <w:rFonts w:ascii="Arial" w:eastAsia="Times New Roman" w:hAnsi="Arial" w:cs="Arial"/>
                <w:b/>
                <w:bCs/>
                <w:color w:val="000000" w:themeColor="text1"/>
                <w:sz w:val="18"/>
                <w:szCs w:val="18"/>
              </w:rPr>
              <w:t xml:space="preserve"> </w:t>
            </w:r>
          </w:p>
        </w:tc>
        <w:tc>
          <w:tcPr>
            <w:tcW w:w="1252" w:type="dxa"/>
            <w:tcBorders>
              <w:top w:val="single" w:sz="4" w:space="0" w:color="auto"/>
              <w:left w:val="nil"/>
              <w:bottom w:val="single" w:sz="8" w:space="0" w:color="auto"/>
              <w:right w:val="nil"/>
            </w:tcBorders>
            <w:shd w:val="clear" w:color="auto" w:fill="auto"/>
            <w:vAlign w:val="bottom"/>
          </w:tcPr>
          <w:p w14:paraId="3FF8548E" w14:textId="28C9FC53" w:rsidR="00F92F4E" w:rsidRPr="00C60384" w:rsidRDefault="00B9116C" w:rsidP="00F92F4E">
            <w:pPr>
              <w:suppressAutoHyphens/>
              <w:autoSpaceDN w:val="0"/>
              <w:spacing w:line="220" w:lineRule="exact"/>
              <w:jc w:val="right"/>
              <w:outlineLvl w:val="0"/>
              <w:rPr>
                <w:rFonts w:ascii="Arial" w:eastAsia="Times New Roman" w:hAnsi="Arial" w:cs="Arial"/>
                <w:b/>
                <w:bCs/>
                <w:color w:val="000000" w:themeColor="text1"/>
                <w:spacing w:val="-2"/>
                <w:sz w:val="18"/>
                <w:szCs w:val="18"/>
              </w:rPr>
            </w:pPr>
            <w:r>
              <w:rPr>
                <w:rFonts w:ascii="Arial" w:eastAsia="Times New Roman" w:hAnsi="Arial" w:cs="Arial"/>
                <w:b/>
                <w:bCs/>
                <w:color w:val="000000" w:themeColor="text1"/>
                <w:spacing w:val="-2"/>
                <w:sz w:val="18"/>
                <w:szCs w:val="18"/>
              </w:rPr>
              <w:t>86.288</w:t>
            </w:r>
          </w:p>
        </w:tc>
        <w:tc>
          <w:tcPr>
            <w:tcW w:w="1252" w:type="dxa"/>
            <w:tcBorders>
              <w:top w:val="single" w:sz="4" w:space="0" w:color="auto"/>
              <w:bottom w:val="single" w:sz="12" w:space="0" w:color="auto"/>
            </w:tcBorders>
            <w:vAlign w:val="bottom"/>
          </w:tcPr>
          <w:p w14:paraId="34D0AB32" w14:textId="5D793273" w:rsidR="00F92F4E" w:rsidRPr="00C60384" w:rsidRDefault="00F92F4E" w:rsidP="00F92F4E">
            <w:pPr>
              <w:suppressAutoHyphens/>
              <w:autoSpaceDN w:val="0"/>
              <w:spacing w:line="220" w:lineRule="exact"/>
              <w:jc w:val="right"/>
              <w:outlineLvl w:val="0"/>
              <w:rPr>
                <w:rFonts w:ascii="Arial" w:eastAsia="Times New Roman" w:hAnsi="Arial" w:cs="Arial"/>
                <w:b/>
                <w:bCs/>
                <w:color w:val="000000" w:themeColor="text1"/>
                <w:spacing w:val="-2"/>
                <w:sz w:val="18"/>
                <w:szCs w:val="18"/>
              </w:rPr>
            </w:pPr>
            <w:r w:rsidRPr="00C60384">
              <w:rPr>
                <w:rFonts w:ascii="Arial" w:eastAsia="Times New Roman" w:hAnsi="Arial" w:cs="Arial"/>
                <w:b/>
                <w:bCs/>
                <w:color w:val="000000" w:themeColor="text1"/>
                <w:spacing w:val="-2"/>
                <w:sz w:val="18"/>
                <w:szCs w:val="18"/>
              </w:rPr>
              <w:t>(198.300)</w:t>
            </w:r>
          </w:p>
        </w:tc>
      </w:tr>
      <w:tr w:rsidR="00F92F4E" w:rsidRPr="008F09B7" w14:paraId="5FD946B6" w14:textId="77777777" w:rsidTr="00C60384">
        <w:tc>
          <w:tcPr>
            <w:tcW w:w="7515" w:type="dxa"/>
            <w:vAlign w:val="bottom"/>
          </w:tcPr>
          <w:p w14:paraId="1048C20A" w14:textId="77777777" w:rsidR="00F92F4E" w:rsidRPr="00AE0738" w:rsidRDefault="00F92F4E" w:rsidP="00F92F4E">
            <w:pPr>
              <w:keepLines/>
              <w:tabs>
                <w:tab w:val="right" w:pos="1202"/>
              </w:tabs>
              <w:suppressAutoHyphens/>
              <w:autoSpaceDN w:val="0"/>
              <w:spacing w:line="210" w:lineRule="exact"/>
              <w:outlineLvl w:val="0"/>
              <w:rPr>
                <w:rFonts w:ascii="Arial" w:eastAsia="Times New Roman" w:hAnsi="Arial" w:cs="Arial"/>
                <w:b/>
                <w:bCs/>
                <w:color w:val="000000" w:themeColor="text1"/>
                <w:sz w:val="18"/>
                <w:szCs w:val="18"/>
              </w:rPr>
            </w:pPr>
          </w:p>
        </w:tc>
        <w:tc>
          <w:tcPr>
            <w:tcW w:w="1252" w:type="dxa"/>
            <w:tcBorders>
              <w:top w:val="single" w:sz="12" w:space="0" w:color="auto"/>
            </w:tcBorders>
            <w:vAlign w:val="bottom"/>
          </w:tcPr>
          <w:p w14:paraId="5248BE57" w14:textId="77777777" w:rsidR="00F92F4E" w:rsidRPr="00C60384" w:rsidRDefault="00F92F4E" w:rsidP="00F92F4E">
            <w:pPr>
              <w:keepLines/>
              <w:tabs>
                <w:tab w:val="right" w:pos="1202"/>
              </w:tabs>
              <w:suppressAutoHyphens/>
              <w:autoSpaceDN w:val="0"/>
              <w:spacing w:line="210" w:lineRule="exact"/>
              <w:jc w:val="right"/>
              <w:outlineLvl w:val="0"/>
              <w:rPr>
                <w:rFonts w:ascii="Arial" w:eastAsia="Times New Roman" w:hAnsi="Arial" w:cs="Arial"/>
                <w:b/>
                <w:bCs/>
                <w:color w:val="000000" w:themeColor="text1"/>
                <w:sz w:val="18"/>
                <w:szCs w:val="18"/>
              </w:rPr>
            </w:pPr>
          </w:p>
        </w:tc>
        <w:tc>
          <w:tcPr>
            <w:tcW w:w="1252" w:type="dxa"/>
            <w:tcBorders>
              <w:top w:val="single" w:sz="12" w:space="0" w:color="auto"/>
            </w:tcBorders>
            <w:vAlign w:val="bottom"/>
          </w:tcPr>
          <w:p w14:paraId="4BBAFF19" w14:textId="77777777" w:rsidR="00F92F4E" w:rsidRPr="00C60384" w:rsidRDefault="00F92F4E" w:rsidP="00F92F4E">
            <w:pPr>
              <w:keepLines/>
              <w:tabs>
                <w:tab w:val="right" w:pos="1202"/>
              </w:tabs>
              <w:suppressAutoHyphens/>
              <w:autoSpaceDN w:val="0"/>
              <w:spacing w:line="210" w:lineRule="exact"/>
              <w:jc w:val="right"/>
              <w:outlineLvl w:val="0"/>
              <w:rPr>
                <w:rFonts w:ascii="Arial" w:eastAsia="Times New Roman" w:hAnsi="Arial" w:cs="Arial"/>
                <w:b/>
                <w:bCs/>
                <w:color w:val="000000" w:themeColor="text1"/>
                <w:sz w:val="18"/>
                <w:szCs w:val="18"/>
              </w:rPr>
            </w:pPr>
          </w:p>
        </w:tc>
      </w:tr>
      <w:tr w:rsidR="00F92F4E" w:rsidRPr="008F09B7" w14:paraId="15C35382" w14:textId="77777777" w:rsidTr="00C60384">
        <w:tc>
          <w:tcPr>
            <w:tcW w:w="7515" w:type="dxa"/>
            <w:vAlign w:val="bottom"/>
          </w:tcPr>
          <w:p w14:paraId="2D7A8BC9" w14:textId="77777777" w:rsidR="00F92F4E" w:rsidRPr="00AE0738" w:rsidRDefault="00F92F4E" w:rsidP="00F92F4E">
            <w:pPr>
              <w:keepLines/>
              <w:tabs>
                <w:tab w:val="right" w:pos="1202"/>
              </w:tabs>
              <w:suppressAutoHyphens/>
              <w:autoSpaceDN w:val="0"/>
              <w:spacing w:line="210" w:lineRule="exact"/>
              <w:outlineLvl w:val="0"/>
              <w:rPr>
                <w:rFonts w:ascii="Arial" w:eastAsia="Times New Roman" w:hAnsi="Arial" w:cs="Arial"/>
                <w:b/>
                <w:bCs/>
                <w:color w:val="000000" w:themeColor="text1"/>
                <w:sz w:val="18"/>
                <w:szCs w:val="18"/>
              </w:rPr>
            </w:pPr>
            <w:bookmarkStart w:id="80" w:name="_Toc67326802"/>
            <w:r w:rsidRPr="00AE0738">
              <w:rPr>
                <w:rFonts w:ascii="Arial" w:eastAsia="Times New Roman" w:hAnsi="Arial" w:cs="Arial"/>
                <w:b/>
                <w:bCs/>
                <w:color w:val="000000" w:themeColor="text1"/>
                <w:sz w:val="18"/>
                <w:szCs w:val="18"/>
              </w:rPr>
              <w:t>Ulagateljske aktivnosti</w:t>
            </w:r>
            <w:bookmarkEnd w:id="80"/>
          </w:p>
        </w:tc>
        <w:tc>
          <w:tcPr>
            <w:tcW w:w="1252" w:type="dxa"/>
            <w:vAlign w:val="bottom"/>
          </w:tcPr>
          <w:p w14:paraId="5151656D" w14:textId="77777777" w:rsidR="00F92F4E" w:rsidRPr="00C60384" w:rsidRDefault="00F92F4E" w:rsidP="00F92F4E">
            <w:pPr>
              <w:keepLines/>
              <w:tabs>
                <w:tab w:val="right" w:pos="1202"/>
              </w:tabs>
              <w:suppressAutoHyphens/>
              <w:autoSpaceDN w:val="0"/>
              <w:spacing w:line="210" w:lineRule="exact"/>
              <w:jc w:val="right"/>
              <w:outlineLvl w:val="0"/>
              <w:rPr>
                <w:rFonts w:ascii="Arial" w:eastAsia="Times New Roman" w:hAnsi="Arial" w:cs="Arial"/>
                <w:b/>
                <w:bCs/>
                <w:color w:val="000000" w:themeColor="text1"/>
                <w:sz w:val="18"/>
                <w:szCs w:val="18"/>
              </w:rPr>
            </w:pPr>
          </w:p>
        </w:tc>
        <w:tc>
          <w:tcPr>
            <w:tcW w:w="1252" w:type="dxa"/>
            <w:vAlign w:val="bottom"/>
          </w:tcPr>
          <w:p w14:paraId="3AACE469" w14:textId="77777777" w:rsidR="00F92F4E" w:rsidRPr="00C60384" w:rsidRDefault="00F92F4E" w:rsidP="00F92F4E">
            <w:pPr>
              <w:keepLines/>
              <w:tabs>
                <w:tab w:val="right" w:pos="1202"/>
              </w:tabs>
              <w:suppressAutoHyphens/>
              <w:autoSpaceDN w:val="0"/>
              <w:spacing w:line="210" w:lineRule="exact"/>
              <w:jc w:val="right"/>
              <w:outlineLvl w:val="0"/>
              <w:rPr>
                <w:rFonts w:ascii="Arial" w:eastAsia="Times New Roman" w:hAnsi="Arial" w:cs="Arial"/>
                <w:b/>
                <w:bCs/>
                <w:color w:val="000000" w:themeColor="text1"/>
                <w:sz w:val="18"/>
                <w:szCs w:val="18"/>
              </w:rPr>
            </w:pPr>
          </w:p>
        </w:tc>
      </w:tr>
      <w:tr w:rsidR="00F92F4E" w:rsidRPr="008F09B7" w14:paraId="1D85E246" w14:textId="77777777" w:rsidTr="00C60384">
        <w:tc>
          <w:tcPr>
            <w:tcW w:w="7515" w:type="dxa"/>
            <w:vAlign w:val="bottom"/>
          </w:tcPr>
          <w:p w14:paraId="01676105" w14:textId="77777777" w:rsidR="00F92F4E" w:rsidRPr="00AE0738" w:rsidRDefault="00F92F4E" w:rsidP="00F92F4E">
            <w:pPr>
              <w:keepLines/>
              <w:tabs>
                <w:tab w:val="right" w:pos="1202"/>
              </w:tabs>
              <w:suppressAutoHyphens/>
              <w:autoSpaceDN w:val="0"/>
              <w:spacing w:line="210" w:lineRule="exact"/>
              <w:outlineLvl w:val="0"/>
              <w:rPr>
                <w:rFonts w:ascii="Arial" w:eastAsia="Times New Roman" w:hAnsi="Arial" w:cs="Arial"/>
                <w:bCs/>
                <w:color w:val="000000" w:themeColor="text1"/>
                <w:sz w:val="18"/>
                <w:szCs w:val="18"/>
              </w:rPr>
            </w:pPr>
            <w:bookmarkStart w:id="81" w:name="_Toc67326803"/>
            <w:bookmarkEnd w:id="59"/>
            <w:r w:rsidRPr="00AE0738">
              <w:rPr>
                <w:rFonts w:ascii="Arial" w:eastAsia="Times New Roman" w:hAnsi="Arial" w:cs="Arial"/>
                <w:bCs/>
                <w:color w:val="000000" w:themeColor="text1"/>
                <w:sz w:val="18"/>
                <w:szCs w:val="18"/>
              </w:rPr>
              <w:t>Kupovina financijske imovine po fer vrijednosti kroz dobiti ili gubitak</w:t>
            </w:r>
            <w:bookmarkEnd w:id="81"/>
          </w:p>
        </w:tc>
        <w:tc>
          <w:tcPr>
            <w:tcW w:w="1252" w:type="dxa"/>
            <w:vAlign w:val="bottom"/>
          </w:tcPr>
          <w:p w14:paraId="7601B888" w14:textId="02A862CB" w:rsidR="00F92F4E" w:rsidRPr="00C60384" w:rsidRDefault="001B7E6F" w:rsidP="00F92F4E">
            <w:pPr>
              <w:keepLines/>
              <w:suppressAutoHyphens/>
              <w:autoSpaceDN w:val="0"/>
              <w:spacing w:line="210" w:lineRule="exact"/>
              <w:jc w:val="right"/>
              <w:rPr>
                <w:rFonts w:ascii="Arial" w:eastAsia="Times New Roman" w:hAnsi="Arial" w:cs="Arial"/>
                <w:color w:val="000000"/>
                <w:sz w:val="18"/>
                <w:szCs w:val="18"/>
              </w:rPr>
            </w:pPr>
            <w:r>
              <w:rPr>
                <w:rFonts w:ascii="Arial" w:eastAsia="Times New Roman" w:hAnsi="Arial" w:cs="Arial"/>
                <w:color w:val="000000"/>
                <w:sz w:val="18"/>
                <w:szCs w:val="18"/>
              </w:rPr>
              <w:t>(13.493)</w:t>
            </w:r>
          </w:p>
        </w:tc>
        <w:tc>
          <w:tcPr>
            <w:tcW w:w="1252" w:type="dxa"/>
            <w:shd w:val="clear" w:color="000000" w:fill="auto"/>
            <w:vAlign w:val="bottom"/>
          </w:tcPr>
          <w:p w14:paraId="3B1130B2" w14:textId="65C96BB5" w:rsidR="00F92F4E" w:rsidRPr="00C60384" w:rsidRDefault="00F92F4E" w:rsidP="00F92F4E">
            <w:pPr>
              <w:keepLines/>
              <w:suppressAutoHyphens/>
              <w:autoSpaceDN w:val="0"/>
              <w:spacing w:line="210" w:lineRule="exact"/>
              <w:jc w:val="right"/>
              <w:rPr>
                <w:rFonts w:ascii="Arial" w:eastAsia="Times New Roman" w:hAnsi="Arial" w:cs="Arial"/>
                <w:color w:val="000000"/>
                <w:sz w:val="18"/>
                <w:szCs w:val="18"/>
              </w:rPr>
            </w:pPr>
            <w:r w:rsidRPr="00C60384">
              <w:rPr>
                <w:rFonts w:ascii="Arial" w:eastAsia="Times New Roman" w:hAnsi="Arial" w:cs="Arial"/>
                <w:color w:val="000000"/>
                <w:sz w:val="18"/>
                <w:szCs w:val="18"/>
              </w:rPr>
              <w:t xml:space="preserve"> (4.176)</w:t>
            </w:r>
          </w:p>
        </w:tc>
      </w:tr>
      <w:tr w:rsidR="00F92F4E" w:rsidRPr="008F09B7" w14:paraId="4BDD4F63" w14:textId="77777777" w:rsidTr="00C60384">
        <w:tc>
          <w:tcPr>
            <w:tcW w:w="7515" w:type="dxa"/>
            <w:vAlign w:val="bottom"/>
          </w:tcPr>
          <w:p w14:paraId="34466774" w14:textId="77777777" w:rsidR="00F92F4E" w:rsidRPr="00AE0738" w:rsidRDefault="00F92F4E" w:rsidP="00F92F4E">
            <w:pPr>
              <w:keepLines/>
              <w:tabs>
                <w:tab w:val="right" w:pos="1202"/>
              </w:tabs>
              <w:suppressAutoHyphens/>
              <w:autoSpaceDN w:val="0"/>
              <w:spacing w:line="210" w:lineRule="exact"/>
              <w:outlineLvl w:val="0"/>
              <w:rPr>
                <w:rFonts w:ascii="Arial" w:eastAsia="Times New Roman" w:hAnsi="Arial" w:cs="Arial"/>
                <w:bCs/>
                <w:color w:val="000000" w:themeColor="text1"/>
                <w:sz w:val="18"/>
                <w:szCs w:val="18"/>
              </w:rPr>
            </w:pPr>
            <w:bookmarkStart w:id="82" w:name="_Toc67326806"/>
            <w:r w:rsidRPr="00AE0738">
              <w:rPr>
                <w:rFonts w:ascii="Arial" w:eastAsia="Times New Roman" w:hAnsi="Arial" w:cs="Arial"/>
                <w:bCs/>
                <w:color w:val="000000" w:themeColor="text1"/>
                <w:sz w:val="18"/>
                <w:szCs w:val="18"/>
              </w:rPr>
              <w:t>Prodaja financijske imovine po fer vrijednosti kroz dobit ili gubitak</w:t>
            </w:r>
            <w:bookmarkEnd w:id="82"/>
          </w:p>
        </w:tc>
        <w:tc>
          <w:tcPr>
            <w:tcW w:w="1252" w:type="dxa"/>
            <w:vAlign w:val="bottom"/>
          </w:tcPr>
          <w:p w14:paraId="0BFBA6AF" w14:textId="1EDD0461" w:rsidR="00F92F4E" w:rsidRPr="00C60384" w:rsidRDefault="00535D96" w:rsidP="00F92F4E">
            <w:pPr>
              <w:keepLines/>
              <w:suppressAutoHyphens/>
              <w:autoSpaceDN w:val="0"/>
              <w:spacing w:line="210" w:lineRule="exact"/>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1252" w:type="dxa"/>
            <w:shd w:val="clear" w:color="000000" w:fill="auto"/>
            <w:vAlign w:val="bottom"/>
          </w:tcPr>
          <w:p w14:paraId="50363D5F" w14:textId="5DF397AC" w:rsidR="00F92F4E" w:rsidRPr="00C60384" w:rsidRDefault="00F92F4E" w:rsidP="00F92F4E">
            <w:pPr>
              <w:keepLines/>
              <w:suppressAutoHyphens/>
              <w:autoSpaceDN w:val="0"/>
              <w:spacing w:line="210" w:lineRule="exact"/>
              <w:jc w:val="right"/>
              <w:rPr>
                <w:rFonts w:ascii="Arial" w:eastAsia="Times New Roman" w:hAnsi="Arial" w:cs="Arial"/>
                <w:color w:val="000000"/>
                <w:sz w:val="18"/>
                <w:szCs w:val="18"/>
              </w:rPr>
            </w:pPr>
            <w:r w:rsidRPr="00C60384">
              <w:rPr>
                <w:rFonts w:ascii="Arial" w:eastAsia="Times New Roman" w:hAnsi="Arial" w:cs="Arial"/>
                <w:color w:val="000000"/>
                <w:sz w:val="18"/>
                <w:szCs w:val="18"/>
              </w:rPr>
              <w:t xml:space="preserve"> - </w:t>
            </w:r>
          </w:p>
        </w:tc>
      </w:tr>
      <w:tr w:rsidR="00F92F4E" w:rsidRPr="008F09B7" w14:paraId="2726464B" w14:textId="77777777" w:rsidTr="00C60384">
        <w:tc>
          <w:tcPr>
            <w:tcW w:w="7515" w:type="dxa"/>
            <w:vAlign w:val="bottom"/>
          </w:tcPr>
          <w:p w14:paraId="043B55B2" w14:textId="77777777" w:rsidR="00F92F4E" w:rsidRPr="00AE0738" w:rsidRDefault="00F92F4E" w:rsidP="00F92F4E">
            <w:pPr>
              <w:keepLines/>
              <w:tabs>
                <w:tab w:val="right" w:pos="1202"/>
              </w:tabs>
              <w:suppressAutoHyphens/>
              <w:autoSpaceDN w:val="0"/>
              <w:spacing w:line="210" w:lineRule="exact"/>
              <w:outlineLvl w:val="0"/>
              <w:rPr>
                <w:rFonts w:ascii="Arial" w:eastAsia="Times New Roman" w:hAnsi="Arial" w:cs="Arial"/>
                <w:color w:val="000000" w:themeColor="text1"/>
                <w:spacing w:val="-2"/>
                <w:sz w:val="18"/>
                <w:szCs w:val="18"/>
              </w:rPr>
            </w:pPr>
            <w:bookmarkStart w:id="83" w:name="_Toc67326809"/>
            <w:r w:rsidRPr="00AE0738">
              <w:rPr>
                <w:rFonts w:ascii="Arial" w:eastAsia="Times New Roman" w:hAnsi="Arial" w:cs="Arial"/>
                <w:color w:val="000000" w:themeColor="text1"/>
                <w:sz w:val="18"/>
                <w:szCs w:val="18"/>
              </w:rPr>
              <w:t>Kupovina financijske imovine po fer vrijednosti kroz ostalu sveobuhvatnu dobit</w:t>
            </w:r>
            <w:bookmarkEnd w:id="83"/>
          </w:p>
        </w:tc>
        <w:tc>
          <w:tcPr>
            <w:tcW w:w="1252" w:type="dxa"/>
            <w:vAlign w:val="bottom"/>
          </w:tcPr>
          <w:p w14:paraId="73534123" w14:textId="3A0C8B98" w:rsidR="00F92F4E" w:rsidRPr="00C60384" w:rsidRDefault="00535D96" w:rsidP="00F92F4E">
            <w:pPr>
              <w:keepLines/>
              <w:suppressAutoHyphens/>
              <w:autoSpaceDN w:val="0"/>
              <w:spacing w:line="210" w:lineRule="exact"/>
              <w:jc w:val="right"/>
              <w:rPr>
                <w:rFonts w:ascii="Arial" w:eastAsia="Times New Roman" w:hAnsi="Arial" w:cs="Arial"/>
                <w:color w:val="000000"/>
                <w:sz w:val="18"/>
                <w:szCs w:val="18"/>
              </w:rPr>
            </w:pPr>
            <w:r>
              <w:rPr>
                <w:rFonts w:ascii="Arial" w:eastAsia="Times New Roman" w:hAnsi="Arial" w:cs="Arial"/>
                <w:color w:val="000000"/>
                <w:sz w:val="18"/>
                <w:szCs w:val="18"/>
              </w:rPr>
              <w:t>(105.386)</w:t>
            </w:r>
          </w:p>
        </w:tc>
        <w:tc>
          <w:tcPr>
            <w:tcW w:w="1252" w:type="dxa"/>
            <w:shd w:val="clear" w:color="000000" w:fill="auto"/>
            <w:vAlign w:val="bottom"/>
          </w:tcPr>
          <w:p w14:paraId="5BF6D3C0" w14:textId="77DD2DFA" w:rsidR="00F92F4E" w:rsidRPr="00C60384" w:rsidRDefault="00F92F4E" w:rsidP="00F92F4E">
            <w:pPr>
              <w:keepLines/>
              <w:suppressAutoHyphens/>
              <w:autoSpaceDN w:val="0"/>
              <w:spacing w:line="210" w:lineRule="exact"/>
              <w:jc w:val="right"/>
              <w:rPr>
                <w:rFonts w:ascii="Arial" w:eastAsia="Times New Roman" w:hAnsi="Arial" w:cs="Arial"/>
                <w:color w:val="000000"/>
                <w:sz w:val="18"/>
                <w:szCs w:val="18"/>
              </w:rPr>
            </w:pPr>
            <w:r w:rsidRPr="00C60384">
              <w:rPr>
                <w:rFonts w:ascii="Arial" w:eastAsia="Times New Roman" w:hAnsi="Arial" w:cs="Arial"/>
                <w:color w:val="000000"/>
                <w:sz w:val="18"/>
                <w:szCs w:val="18"/>
              </w:rPr>
              <w:t xml:space="preserve"> (88.212)</w:t>
            </w:r>
          </w:p>
        </w:tc>
      </w:tr>
      <w:tr w:rsidR="00F92F4E" w:rsidRPr="008F09B7" w14:paraId="28D76A81" w14:textId="77777777" w:rsidTr="00C60384">
        <w:tc>
          <w:tcPr>
            <w:tcW w:w="7515" w:type="dxa"/>
            <w:vAlign w:val="bottom"/>
          </w:tcPr>
          <w:p w14:paraId="0263610C" w14:textId="77777777" w:rsidR="00F92F4E" w:rsidRPr="00AE0738" w:rsidRDefault="00F92F4E" w:rsidP="00F92F4E">
            <w:pPr>
              <w:keepLines/>
              <w:tabs>
                <w:tab w:val="right" w:pos="1202"/>
              </w:tabs>
              <w:suppressAutoHyphens/>
              <w:autoSpaceDN w:val="0"/>
              <w:spacing w:line="210" w:lineRule="exact"/>
              <w:outlineLvl w:val="0"/>
              <w:rPr>
                <w:rFonts w:ascii="Arial" w:eastAsia="Times New Roman" w:hAnsi="Arial" w:cs="Arial"/>
                <w:color w:val="000000" w:themeColor="text1"/>
                <w:sz w:val="18"/>
                <w:szCs w:val="18"/>
              </w:rPr>
            </w:pPr>
            <w:bookmarkStart w:id="84" w:name="_Toc67326812"/>
            <w:r w:rsidRPr="00AE0738">
              <w:rPr>
                <w:rFonts w:ascii="Arial" w:eastAsia="Times New Roman" w:hAnsi="Arial" w:cs="Arial"/>
                <w:color w:val="000000" w:themeColor="text1"/>
                <w:sz w:val="18"/>
                <w:szCs w:val="18"/>
              </w:rPr>
              <w:t>Prodaja financijske imovine po fer vrijednosti kroz ostalu sveobuhvatnu dobit</w:t>
            </w:r>
            <w:bookmarkEnd w:id="84"/>
          </w:p>
        </w:tc>
        <w:tc>
          <w:tcPr>
            <w:tcW w:w="1252" w:type="dxa"/>
            <w:vAlign w:val="bottom"/>
          </w:tcPr>
          <w:p w14:paraId="398ECCDF" w14:textId="5C5D7275" w:rsidR="00F92F4E" w:rsidRPr="00C60384" w:rsidRDefault="00535D96" w:rsidP="00F92F4E">
            <w:pPr>
              <w:keepLines/>
              <w:suppressAutoHyphens/>
              <w:autoSpaceDN w:val="0"/>
              <w:spacing w:line="210" w:lineRule="exact"/>
              <w:jc w:val="right"/>
              <w:rPr>
                <w:rFonts w:ascii="Arial" w:eastAsia="Times New Roman" w:hAnsi="Arial" w:cs="Arial"/>
                <w:color w:val="000000"/>
                <w:sz w:val="18"/>
                <w:szCs w:val="18"/>
              </w:rPr>
            </w:pPr>
            <w:r>
              <w:rPr>
                <w:rFonts w:ascii="Arial" w:eastAsia="Times New Roman" w:hAnsi="Arial" w:cs="Arial"/>
                <w:color w:val="000000"/>
                <w:sz w:val="18"/>
                <w:szCs w:val="18"/>
              </w:rPr>
              <w:t>89.391</w:t>
            </w:r>
          </w:p>
        </w:tc>
        <w:tc>
          <w:tcPr>
            <w:tcW w:w="1252" w:type="dxa"/>
            <w:shd w:val="clear" w:color="000000" w:fill="auto"/>
            <w:vAlign w:val="bottom"/>
          </w:tcPr>
          <w:p w14:paraId="365653BE" w14:textId="71C660C1" w:rsidR="00F92F4E" w:rsidRPr="00C60384" w:rsidRDefault="00F92F4E" w:rsidP="00F92F4E">
            <w:pPr>
              <w:keepLines/>
              <w:suppressAutoHyphens/>
              <w:autoSpaceDN w:val="0"/>
              <w:spacing w:line="210" w:lineRule="exact"/>
              <w:jc w:val="right"/>
              <w:rPr>
                <w:rFonts w:ascii="Arial" w:eastAsia="Times New Roman" w:hAnsi="Arial" w:cs="Arial"/>
                <w:color w:val="000000"/>
                <w:sz w:val="18"/>
                <w:szCs w:val="18"/>
              </w:rPr>
            </w:pPr>
            <w:r w:rsidRPr="00C60384">
              <w:rPr>
                <w:rFonts w:ascii="Arial" w:eastAsia="Times New Roman" w:hAnsi="Arial" w:cs="Arial"/>
                <w:color w:val="000000"/>
                <w:sz w:val="18"/>
                <w:szCs w:val="18"/>
              </w:rPr>
              <w:t xml:space="preserve"> 155.587 </w:t>
            </w:r>
          </w:p>
        </w:tc>
      </w:tr>
      <w:tr w:rsidR="00F92F4E" w:rsidRPr="008F09B7" w14:paraId="79EEEA64" w14:textId="77777777" w:rsidTr="00C60384">
        <w:tc>
          <w:tcPr>
            <w:tcW w:w="7515" w:type="dxa"/>
            <w:shd w:val="clear" w:color="auto" w:fill="auto"/>
            <w:vAlign w:val="bottom"/>
          </w:tcPr>
          <w:p w14:paraId="2FEC5021" w14:textId="77777777" w:rsidR="00F92F4E" w:rsidRPr="00AE0738" w:rsidRDefault="00F92F4E" w:rsidP="00F92F4E">
            <w:pPr>
              <w:keepLines/>
              <w:tabs>
                <w:tab w:val="right" w:pos="1202"/>
              </w:tabs>
              <w:suppressAutoHyphens/>
              <w:autoSpaceDN w:val="0"/>
              <w:spacing w:line="210" w:lineRule="exact"/>
              <w:outlineLvl w:val="0"/>
              <w:rPr>
                <w:rFonts w:ascii="Arial" w:eastAsia="Times New Roman" w:hAnsi="Arial" w:cs="Arial"/>
                <w:color w:val="000000" w:themeColor="text1"/>
                <w:spacing w:val="-2"/>
                <w:sz w:val="18"/>
                <w:szCs w:val="18"/>
              </w:rPr>
            </w:pPr>
            <w:bookmarkStart w:id="85" w:name="_Toc67326821"/>
            <w:r w:rsidRPr="00AE0738">
              <w:rPr>
                <w:rFonts w:ascii="Arial" w:eastAsia="Times New Roman" w:hAnsi="Arial" w:cs="Arial"/>
                <w:color w:val="000000" w:themeColor="text1"/>
                <w:spacing w:val="-2"/>
                <w:sz w:val="18"/>
                <w:szCs w:val="18"/>
              </w:rPr>
              <w:t>Neto nabava nekretnina, postrojenja i opreme i nematerijalne imovine</w:t>
            </w:r>
            <w:bookmarkEnd w:id="85"/>
          </w:p>
        </w:tc>
        <w:tc>
          <w:tcPr>
            <w:tcW w:w="1252" w:type="dxa"/>
            <w:tcBorders>
              <w:bottom w:val="single" w:sz="4" w:space="0" w:color="auto"/>
            </w:tcBorders>
            <w:vAlign w:val="bottom"/>
          </w:tcPr>
          <w:p w14:paraId="17CAC73A" w14:textId="0D071C67" w:rsidR="00F92F4E" w:rsidRPr="00C60384" w:rsidRDefault="00544EEF" w:rsidP="00F92F4E">
            <w:pPr>
              <w:keepLines/>
              <w:suppressAutoHyphens/>
              <w:autoSpaceDN w:val="0"/>
              <w:spacing w:line="210" w:lineRule="exact"/>
              <w:jc w:val="right"/>
              <w:rPr>
                <w:rFonts w:ascii="Arial" w:eastAsia="Times New Roman" w:hAnsi="Arial" w:cs="Arial"/>
                <w:color w:val="000000"/>
                <w:sz w:val="18"/>
                <w:szCs w:val="18"/>
              </w:rPr>
            </w:pPr>
            <w:r>
              <w:rPr>
                <w:rFonts w:ascii="Arial" w:eastAsia="Times New Roman" w:hAnsi="Arial" w:cs="Arial"/>
                <w:color w:val="000000"/>
                <w:sz w:val="18"/>
                <w:szCs w:val="18"/>
              </w:rPr>
              <w:t>(1.558)</w:t>
            </w:r>
          </w:p>
        </w:tc>
        <w:tc>
          <w:tcPr>
            <w:tcW w:w="1252" w:type="dxa"/>
            <w:tcBorders>
              <w:bottom w:val="single" w:sz="4" w:space="0" w:color="auto"/>
            </w:tcBorders>
            <w:shd w:val="clear" w:color="000000" w:fill="auto"/>
            <w:vAlign w:val="bottom"/>
          </w:tcPr>
          <w:p w14:paraId="5949A940" w14:textId="1AD21EA0" w:rsidR="00F92F4E" w:rsidRPr="00C60384" w:rsidRDefault="00F92F4E" w:rsidP="00F92F4E">
            <w:pPr>
              <w:keepLines/>
              <w:suppressAutoHyphens/>
              <w:autoSpaceDN w:val="0"/>
              <w:spacing w:line="210" w:lineRule="exact"/>
              <w:jc w:val="right"/>
              <w:rPr>
                <w:rFonts w:ascii="Arial" w:eastAsia="Times New Roman" w:hAnsi="Arial" w:cs="Arial"/>
                <w:color w:val="000000"/>
                <w:sz w:val="18"/>
                <w:szCs w:val="18"/>
              </w:rPr>
            </w:pPr>
            <w:r w:rsidRPr="00C60384">
              <w:rPr>
                <w:rFonts w:ascii="Arial" w:eastAsia="Times New Roman" w:hAnsi="Arial" w:cs="Arial"/>
                <w:color w:val="000000"/>
                <w:sz w:val="18"/>
                <w:szCs w:val="18"/>
              </w:rPr>
              <w:t xml:space="preserve"> (447)</w:t>
            </w:r>
          </w:p>
        </w:tc>
      </w:tr>
      <w:tr w:rsidR="00F92F4E" w:rsidRPr="008F09B7" w14:paraId="2D5EBF5D" w14:textId="77777777" w:rsidTr="00C60384">
        <w:trPr>
          <w:trHeight w:val="235"/>
        </w:trPr>
        <w:tc>
          <w:tcPr>
            <w:tcW w:w="7515" w:type="dxa"/>
            <w:vAlign w:val="bottom"/>
          </w:tcPr>
          <w:p w14:paraId="5DA2FEFB" w14:textId="117C4016" w:rsidR="00F92F4E" w:rsidRPr="00AE0738" w:rsidRDefault="00F92F4E" w:rsidP="00F92F4E">
            <w:pPr>
              <w:keepLines/>
              <w:tabs>
                <w:tab w:val="right" w:pos="1202"/>
              </w:tabs>
              <w:suppressAutoHyphens/>
              <w:autoSpaceDN w:val="0"/>
              <w:spacing w:line="220" w:lineRule="exact"/>
              <w:outlineLvl w:val="0"/>
              <w:rPr>
                <w:rFonts w:ascii="Arial" w:eastAsia="Times New Roman" w:hAnsi="Arial" w:cs="Arial"/>
                <w:b/>
                <w:bCs/>
                <w:color w:val="000000" w:themeColor="text1"/>
                <w:sz w:val="18"/>
                <w:szCs w:val="18"/>
              </w:rPr>
            </w:pPr>
            <w:bookmarkStart w:id="86" w:name="_Toc67326822"/>
            <w:r w:rsidRPr="00AE0738">
              <w:rPr>
                <w:rFonts w:ascii="Arial" w:eastAsia="Times New Roman" w:hAnsi="Arial" w:cs="Arial"/>
                <w:b/>
                <w:bCs/>
                <w:color w:val="000000" w:themeColor="text1"/>
                <w:sz w:val="18"/>
                <w:szCs w:val="18"/>
              </w:rPr>
              <w:t xml:space="preserve">Neto novčana sredstva </w:t>
            </w:r>
            <w:r w:rsidR="00544EEF">
              <w:rPr>
                <w:rFonts w:ascii="Arial" w:eastAsia="Times New Roman" w:hAnsi="Arial" w:cs="Arial"/>
                <w:b/>
                <w:bCs/>
                <w:color w:val="000000" w:themeColor="text1"/>
                <w:sz w:val="18"/>
                <w:szCs w:val="18"/>
              </w:rPr>
              <w:t>(uporabljena)/</w:t>
            </w:r>
            <w:r w:rsidRPr="00AE0738">
              <w:rPr>
                <w:rFonts w:ascii="Arial" w:eastAsia="Times New Roman" w:hAnsi="Arial" w:cs="Arial"/>
                <w:b/>
                <w:bCs/>
                <w:color w:val="000000" w:themeColor="text1"/>
                <w:sz w:val="18"/>
                <w:szCs w:val="18"/>
              </w:rPr>
              <w:t>ostvarena u ulagateljskim aktivnostima</w:t>
            </w:r>
            <w:bookmarkEnd w:id="86"/>
          </w:p>
        </w:tc>
        <w:tc>
          <w:tcPr>
            <w:tcW w:w="1252" w:type="dxa"/>
            <w:tcBorders>
              <w:top w:val="single" w:sz="4" w:space="0" w:color="auto"/>
              <w:bottom w:val="single" w:sz="12" w:space="0" w:color="auto"/>
            </w:tcBorders>
            <w:vAlign w:val="bottom"/>
          </w:tcPr>
          <w:p w14:paraId="511CB860" w14:textId="3EF49BDE" w:rsidR="00F92F4E" w:rsidRPr="00C60384" w:rsidRDefault="00544EEF" w:rsidP="00F92F4E">
            <w:pPr>
              <w:keepLines/>
              <w:suppressAutoHyphens/>
              <w:autoSpaceDN w:val="0"/>
              <w:spacing w:line="210" w:lineRule="exact"/>
              <w:jc w:val="right"/>
              <w:rPr>
                <w:rFonts w:ascii="Arial" w:eastAsia="Times New Roman" w:hAnsi="Arial" w:cs="Arial"/>
                <w:b/>
                <w:bCs/>
                <w:color w:val="000000"/>
                <w:sz w:val="18"/>
                <w:szCs w:val="18"/>
              </w:rPr>
            </w:pPr>
            <w:r>
              <w:rPr>
                <w:rFonts w:ascii="Arial" w:eastAsia="Times New Roman" w:hAnsi="Arial" w:cs="Arial"/>
                <w:b/>
                <w:bCs/>
                <w:color w:val="000000"/>
                <w:sz w:val="18"/>
                <w:szCs w:val="18"/>
              </w:rPr>
              <w:t>(31.046)</w:t>
            </w:r>
          </w:p>
        </w:tc>
        <w:tc>
          <w:tcPr>
            <w:tcW w:w="1252" w:type="dxa"/>
            <w:tcBorders>
              <w:top w:val="single" w:sz="4" w:space="0" w:color="auto"/>
              <w:bottom w:val="single" w:sz="12" w:space="0" w:color="auto"/>
            </w:tcBorders>
            <w:vAlign w:val="bottom"/>
          </w:tcPr>
          <w:p w14:paraId="55DA28DE" w14:textId="7C3B55FB" w:rsidR="00F92F4E" w:rsidRPr="00C60384" w:rsidRDefault="00F92F4E" w:rsidP="00F92F4E">
            <w:pPr>
              <w:keepLines/>
              <w:suppressAutoHyphens/>
              <w:autoSpaceDN w:val="0"/>
              <w:spacing w:line="210" w:lineRule="exact"/>
              <w:jc w:val="right"/>
              <w:rPr>
                <w:rFonts w:ascii="Arial" w:eastAsia="Times New Roman" w:hAnsi="Arial" w:cs="Arial"/>
                <w:b/>
                <w:bCs/>
                <w:color w:val="000000"/>
                <w:sz w:val="18"/>
                <w:szCs w:val="18"/>
              </w:rPr>
            </w:pPr>
            <w:r w:rsidRPr="00C60384">
              <w:rPr>
                <w:rFonts w:ascii="Arial" w:eastAsia="Times New Roman" w:hAnsi="Arial" w:cs="Arial"/>
                <w:b/>
                <w:bCs/>
                <w:color w:val="000000"/>
                <w:sz w:val="18"/>
                <w:szCs w:val="18"/>
              </w:rPr>
              <w:t xml:space="preserve"> 62.752 </w:t>
            </w:r>
          </w:p>
        </w:tc>
      </w:tr>
      <w:tr w:rsidR="00F92F4E" w:rsidRPr="008F09B7" w14:paraId="1E4DD442" w14:textId="77777777" w:rsidTr="00C60384">
        <w:tc>
          <w:tcPr>
            <w:tcW w:w="7515" w:type="dxa"/>
            <w:vAlign w:val="bottom"/>
          </w:tcPr>
          <w:p w14:paraId="26E03026" w14:textId="77777777" w:rsidR="00F92F4E" w:rsidRPr="00F43653" w:rsidRDefault="00F92F4E" w:rsidP="00F92F4E">
            <w:pPr>
              <w:keepLines/>
              <w:tabs>
                <w:tab w:val="right" w:pos="1202"/>
              </w:tabs>
              <w:suppressAutoHyphens/>
              <w:autoSpaceDN w:val="0"/>
              <w:spacing w:line="210" w:lineRule="exact"/>
              <w:outlineLvl w:val="0"/>
              <w:rPr>
                <w:rFonts w:ascii="Arial" w:eastAsia="Times New Roman" w:hAnsi="Arial" w:cs="Arial"/>
                <w:b/>
                <w:bCs/>
                <w:color w:val="000000" w:themeColor="text1"/>
                <w:sz w:val="18"/>
                <w:szCs w:val="18"/>
              </w:rPr>
            </w:pPr>
          </w:p>
        </w:tc>
        <w:tc>
          <w:tcPr>
            <w:tcW w:w="1252" w:type="dxa"/>
            <w:tcBorders>
              <w:top w:val="single" w:sz="12" w:space="0" w:color="auto"/>
            </w:tcBorders>
            <w:vAlign w:val="bottom"/>
          </w:tcPr>
          <w:p w14:paraId="01A3E1B9" w14:textId="77777777" w:rsidR="00F92F4E" w:rsidRPr="00C60384" w:rsidRDefault="00F92F4E" w:rsidP="00F92F4E">
            <w:pPr>
              <w:keepLines/>
              <w:tabs>
                <w:tab w:val="right" w:pos="1202"/>
              </w:tabs>
              <w:suppressAutoHyphens/>
              <w:autoSpaceDN w:val="0"/>
              <w:spacing w:line="210" w:lineRule="exact"/>
              <w:jc w:val="right"/>
              <w:outlineLvl w:val="0"/>
              <w:rPr>
                <w:rFonts w:ascii="Arial" w:eastAsia="Times New Roman" w:hAnsi="Arial" w:cs="Arial"/>
                <w:b/>
                <w:bCs/>
                <w:color w:val="000000" w:themeColor="text1"/>
                <w:sz w:val="18"/>
                <w:szCs w:val="18"/>
              </w:rPr>
            </w:pPr>
          </w:p>
        </w:tc>
        <w:tc>
          <w:tcPr>
            <w:tcW w:w="1252" w:type="dxa"/>
            <w:tcBorders>
              <w:top w:val="single" w:sz="12" w:space="0" w:color="auto"/>
            </w:tcBorders>
            <w:vAlign w:val="bottom"/>
          </w:tcPr>
          <w:p w14:paraId="0717275D" w14:textId="77777777" w:rsidR="00F92F4E" w:rsidRPr="00C60384" w:rsidRDefault="00F92F4E" w:rsidP="00F92F4E">
            <w:pPr>
              <w:keepLines/>
              <w:tabs>
                <w:tab w:val="right" w:pos="1202"/>
              </w:tabs>
              <w:suppressAutoHyphens/>
              <w:autoSpaceDN w:val="0"/>
              <w:spacing w:line="210" w:lineRule="exact"/>
              <w:jc w:val="right"/>
              <w:outlineLvl w:val="0"/>
              <w:rPr>
                <w:rFonts w:ascii="Arial" w:eastAsia="Times New Roman" w:hAnsi="Arial" w:cs="Arial"/>
                <w:b/>
                <w:bCs/>
                <w:color w:val="000000" w:themeColor="text1"/>
                <w:sz w:val="18"/>
                <w:szCs w:val="18"/>
              </w:rPr>
            </w:pPr>
          </w:p>
        </w:tc>
      </w:tr>
      <w:tr w:rsidR="00F92F4E" w:rsidRPr="008F09B7" w14:paraId="2A3C0D01" w14:textId="77777777" w:rsidTr="00C60384">
        <w:tc>
          <w:tcPr>
            <w:tcW w:w="7515" w:type="dxa"/>
            <w:vAlign w:val="bottom"/>
          </w:tcPr>
          <w:p w14:paraId="2AD4B32B" w14:textId="77777777" w:rsidR="00F92F4E" w:rsidRPr="00F43653" w:rsidRDefault="00F92F4E" w:rsidP="00F92F4E">
            <w:pPr>
              <w:keepLines/>
              <w:tabs>
                <w:tab w:val="right" w:pos="1202"/>
              </w:tabs>
              <w:suppressAutoHyphens/>
              <w:autoSpaceDN w:val="0"/>
              <w:spacing w:line="210" w:lineRule="exact"/>
              <w:outlineLvl w:val="0"/>
              <w:rPr>
                <w:rFonts w:ascii="Arial" w:eastAsia="Times New Roman" w:hAnsi="Arial" w:cs="Arial"/>
                <w:b/>
                <w:bCs/>
                <w:color w:val="000000" w:themeColor="text1"/>
                <w:spacing w:val="-3"/>
                <w:sz w:val="18"/>
                <w:szCs w:val="18"/>
              </w:rPr>
            </w:pPr>
            <w:bookmarkStart w:id="87" w:name="_Toc67326823"/>
            <w:r w:rsidRPr="00F43653">
              <w:rPr>
                <w:rFonts w:ascii="Arial" w:eastAsia="Times New Roman" w:hAnsi="Arial" w:cs="Arial"/>
                <w:b/>
                <w:bCs/>
                <w:color w:val="000000" w:themeColor="text1"/>
                <w:sz w:val="18"/>
                <w:szCs w:val="18"/>
              </w:rPr>
              <w:t>Financijske aktivnosti</w:t>
            </w:r>
            <w:bookmarkEnd w:id="87"/>
          </w:p>
        </w:tc>
        <w:tc>
          <w:tcPr>
            <w:tcW w:w="1252" w:type="dxa"/>
            <w:vAlign w:val="bottom"/>
          </w:tcPr>
          <w:p w14:paraId="3CEA49E2" w14:textId="77777777" w:rsidR="00F92F4E" w:rsidRPr="00C60384" w:rsidRDefault="00F92F4E" w:rsidP="00F92F4E">
            <w:pPr>
              <w:keepLines/>
              <w:tabs>
                <w:tab w:val="right" w:pos="1202"/>
              </w:tabs>
              <w:suppressAutoHyphens/>
              <w:autoSpaceDN w:val="0"/>
              <w:spacing w:line="210" w:lineRule="exact"/>
              <w:jc w:val="right"/>
              <w:outlineLvl w:val="0"/>
              <w:rPr>
                <w:rFonts w:ascii="Arial" w:eastAsia="Times New Roman" w:hAnsi="Arial" w:cs="Arial"/>
                <w:b/>
                <w:bCs/>
                <w:color w:val="000000" w:themeColor="text1"/>
                <w:sz w:val="18"/>
                <w:szCs w:val="18"/>
              </w:rPr>
            </w:pPr>
          </w:p>
        </w:tc>
        <w:tc>
          <w:tcPr>
            <w:tcW w:w="1252" w:type="dxa"/>
            <w:vAlign w:val="bottom"/>
          </w:tcPr>
          <w:p w14:paraId="0321295A" w14:textId="77777777" w:rsidR="00F92F4E" w:rsidRPr="00C60384" w:rsidRDefault="00F92F4E" w:rsidP="00F92F4E">
            <w:pPr>
              <w:keepLines/>
              <w:tabs>
                <w:tab w:val="right" w:pos="1202"/>
              </w:tabs>
              <w:suppressAutoHyphens/>
              <w:autoSpaceDN w:val="0"/>
              <w:spacing w:line="210" w:lineRule="exact"/>
              <w:jc w:val="right"/>
              <w:outlineLvl w:val="0"/>
              <w:rPr>
                <w:rFonts w:ascii="Arial" w:eastAsia="Times New Roman" w:hAnsi="Arial" w:cs="Arial"/>
                <w:b/>
                <w:bCs/>
                <w:color w:val="000000" w:themeColor="text1"/>
                <w:sz w:val="18"/>
                <w:szCs w:val="18"/>
              </w:rPr>
            </w:pPr>
          </w:p>
        </w:tc>
      </w:tr>
      <w:tr w:rsidR="00F92F4E" w:rsidRPr="008F09B7" w14:paraId="0F5B94D6" w14:textId="77777777" w:rsidTr="00C60384">
        <w:tc>
          <w:tcPr>
            <w:tcW w:w="7515" w:type="dxa"/>
            <w:vAlign w:val="bottom"/>
          </w:tcPr>
          <w:p w14:paraId="5CCBB8C1" w14:textId="77777777" w:rsidR="00F92F4E" w:rsidRPr="00F43653" w:rsidRDefault="00F92F4E" w:rsidP="00F92F4E">
            <w:pPr>
              <w:keepLines/>
              <w:tabs>
                <w:tab w:val="right" w:pos="1202"/>
              </w:tabs>
              <w:suppressAutoHyphens/>
              <w:autoSpaceDN w:val="0"/>
              <w:spacing w:line="210" w:lineRule="exact"/>
              <w:outlineLvl w:val="0"/>
              <w:rPr>
                <w:rFonts w:ascii="Arial" w:eastAsia="Times New Roman" w:hAnsi="Arial" w:cs="Arial"/>
                <w:color w:val="000000" w:themeColor="text1"/>
                <w:spacing w:val="-3"/>
                <w:sz w:val="18"/>
                <w:szCs w:val="18"/>
              </w:rPr>
            </w:pPr>
            <w:bookmarkStart w:id="88" w:name="_Toc67326824"/>
            <w:r w:rsidRPr="00F43653">
              <w:rPr>
                <w:rFonts w:ascii="Arial" w:eastAsia="Times New Roman" w:hAnsi="Arial" w:cs="Arial"/>
                <w:color w:val="000000" w:themeColor="text1"/>
                <w:spacing w:val="-3"/>
                <w:sz w:val="18"/>
                <w:szCs w:val="18"/>
              </w:rPr>
              <w:t>Povećanje osnivačkog kapitala</w:t>
            </w:r>
            <w:bookmarkEnd w:id="88"/>
          </w:p>
        </w:tc>
        <w:tc>
          <w:tcPr>
            <w:tcW w:w="1252" w:type="dxa"/>
            <w:tcBorders>
              <w:top w:val="nil"/>
              <w:left w:val="nil"/>
              <w:bottom w:val="nil"/>
              <w:right w:val="nil"/>
            </w:tcBorders>
            <w:shd w:val="clear" w:color="auto" w:fill="auto"/>
            <w:vAlign w:val="bottom"/>
          </w:tcPr>
          <w:p w14:paraId="0E7BA958" w14:textId="4D1C9835" w:rsidR="00F92F4E" w:rsidRPr="00C60384" w:rsidRDefault="00F54228" w:rsidP="00F92F4E">
            <w:pPr>
              <w:keepLines/>
              <w:suppressAutoHyphens/>
              <w:autoSpaceDN w:val="0"/>
              <w:spacing w:line="210" w:lineRule="exact"/>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1252" w:type="dxa"/>
            <w:shd w:val="clear" w:color="auto" w:fill="auto"/>
            <w:vAlign w:val="bottom"/>
          </w:tcPr>
          <w:p w14:paraId="391C57A8" w14:textId="1D07DEFD" w:rsidR="00F92F4E" w:rsidRPr="00C60384" w:rsidRDefault="00F92F4E" w:rsidP="00F92F4E">
            <w:pPr>
              <w:keepLines/>
              <w:suppressAutoHyphens/>
              <w:autoSpaceDN w:val="0"/>
              <w:spacing w:line="210" w:lineRule="exact"/>
              <w:jc w:val="right"/>
              <w:rPr>
                <w:rFonts w:ascii="Arial" w:eastAsia="Times New Roman" w:hAnsi="Arial" w:cs="Arial"/>
                <w:color w:val="000000"/>
                <w:sz w:val="18"/>
                <w:szCs w:val="18"/>
              </w:rPr>
            </w:pPr>
            <w:r w:rsidRPr="00C60384">
              <w:rPr>
                <w:rFonts w:ascii="Arial" w:eastAsia="Times New Roman" w:hAnsi="Arial" w:cs="Arial"/>
                <w:color w:val="000000"/>
                <w:sz w:val="18"/>
                <w:szCs w:val="18"/>
              </w:rPr>
              <w:t xml:space="preserve">- </w:t>
            </w:r>
          </w:p>
        </w:tc>
      </w:tr>
      <w:tr w:rsidR="00F92F4E" w:rsidRPr="008F09B7" w14:paraId="1A51CC8E" w14:textId="77777777" w:rsidTr="00C60384">
        <w:tc>
          <w:tcPr>
            <w:tcW w:w="7515" w:type="dxa"/>
            <w:vAlign w:val="bottom"/>
          </w:tcPr>
          <w:p w14:paraId="47699030" w14:textId="77777777" w:rsidR="00F92F4E" w:rsidRPr="00F43653" w:rsidRDefault="00F92F4E" w:rsidP="00F92F4E">
            <w:pPr>
              <w:keepLines/>
              <w:tabs>
                <w:tab w:val="right" w:pos="1202"/>
              </w:tabs>
              <w:suppressAutoHyphens/>
              <w:autoSpaceDN w:val="0"/>
              <w:spacing w:line="210" w:lineRule="exact"/>
              <w:outlineLvl w:val="0"/>
              <w:rPr>
                <w:rFonts w:ascii="Arial" w:eastAsia="Times New Roman" w:hAnsi="Arial" w:cs="Arial"/>
                <w:color w:val="000000" w:themeColor="text1"/>
                <w:spacing w:val="-3"/>
                <w:sz w:val="18"/>
                <w:szCs w:val="18"/>
              </w:rPr>
            </w:pPr>
            <w:bookmarkStart w:id="89" w:name="_Toc67326827"/>
            <w:r w:rsidRPr="00F43653">
              <w:rPr>
                <w:rFonts w:ascii="Arial" w:eastAsia="Times New Roman" w:hAnsi="Arial" w:cs="Arial"/>
                <w:color w:val="000000" w:themeColor="text1"/>
                <w:spacing w:val="-3"/>
                <w:sz w:val="18"/>
                <w:szCs w:val="18"/>
              </w:rPr>
              <w:t>Povećanje obveza po kreditima povlačenjem sredstava kredita</w:t>
            </w:r>
            <w:bookmarkEnd w:id="89"/>
          </w:p>
        </w:tc>
        <w:tc>
          <w:tcPr>
            <w:tcW w:w="1252" w:type="dxa"/>
            <w:tcBorders>
              <w:top w:val="nil"/>
              <w:left w:val="nil"/>
              <w:bottom w:val="nil"/>
              <w:right w:val="nil"/>
            </w:tcBorders>
            <w:shd w:val="clear" w:color="auto" w:fill="auto"/>
            <w:vAlign w:val="bottom"/>
          </w:tcPr>
          <w:p w14:paraId="37CD4EFD" w14:textId="7BF5C5EE" w:rsidR="00F92F4E" w:rsidRPr="00C60384" w:rsidRDefault="00F54228" w:rsidP="00F92F4E">
            <w:pPr>
              <w:keepLines/>
              <w:suppressAutoHyphens/>
              <w:autoSpaceDN w:val="0"/>
              <w:spacing w:line="210" w:lineRule="exact"/>
              <w:jc w:val="right"/>
              <w:rPr>
                <w:rFonts w:ascii="Arial" w:eastAsia="Times New Roman" w:hAnsi="Arial" w:cs="Arial"/>
                <w:color w:val="000000"/>
                <w:sz w:val="18"/>
                <w:szCs w:val="18"/>
              </w:rPr>
            </w:pPr>
            <w:r>
              <w:rPr>
                <w:rFonts w:ascii="Arial" w:eastAsia="Times New Roman" w:hAnsi="Arial" w:cs="Arial"/>
                <w:color w:val="000000"/>
                <w:sz w:val="18"/>
                <w:szCs w:val="18"/>
              </w:rPr>
              <w:t>457.220</w:t>
            </w:r>
          </w:p>
        </w:tc>
        <w:tc>
          <w:tcPr>
            <w:tcW w:w="1252" w:type="dxa"/>
            <w:shd w:val="clear" w:color="auto" w:fill="auto"/>
            <w:vAlign w:val="bottom"/>
          </w:tcPr>
          <w:p w14:paraId="5A5C19AC" w14:textId="40CDE5DD" w:rsidR="00F92F4E" w:rsidRPr="00C60384" w:rsidRDefault="00F92F4E" w:rsidP="00F92F4E">
            <w:pPr>
              <w:keepLines/>
              <w:suppressAutoHyphens/>
              <w:autoSpaceDN w:val="0"/>
              <w:spacing w:line="210" w:lineRule="exact"/>
              <w:jc w:val="right"/>
              <w:rPr>
                <w:rFonts w:ascii="Arial" w:eastAsia="Times New Roman" w:hAnsi="Arial" w:cs="Arial"/>
                <w:color w:val="000000"/>
                <w:sz w:val="18"/>
                <w:szCs w:val="18"/>
              </w:rPr>
            </w:pPr>
            <w:r w:rsidRPr="00C60384">
              <w:rPr>
                <w:rFonts w:ascii="Arial" w:eastAsia="Times New Roman" w:hAnsi="Arial" w:cs="Arial"/>
                <w:color w:val="000000"/>
                <w:sz w:val="18"/>
                <w:szCs w:val="18"/>
              </w:rPr>
              <w:t xml:space="preserve"> 269.000 </w:t>
            </w:r>
          </w:p>
        </w:tc>
      </w:tr>
      <w:tr w:rsidR="00F92F4E" w:rsidRPr="008F09B7" w14:paraId="1FA288DA" w14:textId="77777777" w:rsidTr="00C60384">
        <w:tc>
          <w:tcPr>
            <w:tcW w:w="7515" w:type="dxa"/>
            <w:vAlign w:val="bottom"/>
          </w:tcPr>
          <w:p w14:paraId="4F211ABC" w14:textId="77777777" w:rsidR="00F92F4E" w:rsidRPr="00F43653" w:rsidRDefault="00F92F4E" w:rsidP="00F92F4E">
            <w:pPr>
              <w:keepLines/>
              <w:tabs>
                <w:tab w:val="right" w:pos="1202"/>
              </w:tabs>
              <w:suppressAutoHyphens/>
              <w:autoSpaceDN w:val="0"/>
              <w:spacing w:line="210" w:lineRule="exact"/>
              <w:outlineLvl w:val="0"/>
              <w:rPr>
                <w:rFonts w:ascii="Arial" w:eastAsia="Times New Roman" w:hAnsi="Arial" w:cs="Arial"/>
                <w:color w:val="000000" w:themeColor="text1"/>
                <w:spacing w:val="-3"/>
                <w:sz w:val="18"/>
                <w:szCs w:val="18"/>
              </w:rPr>
            </w:pPr>
            <w:bookmarkStart w:id="90" w:name="_Toc67326830"/>
            <w:r w:rsidRPr="00F43653">
              <w:rPr>
                <w:rFonts w:ascii="Arial" w:eastAsia="Times New Roman" w:hAnsi="Arial" w:cs="Arial"/>
                <w:color w:val="000000" w:themeColor="text1"/>
                <w:spacing w:val="-3"/>
                <w:sz w:val="18"/>
                <w:szCs w:val="18"/>
              </w:rPr>
              <w:t>Smanjenje obveza po kreditima otplatom glavnice kredita</w:t>
            </w:r>
            <w:bookmarkEnd w:id="90"/>
          </w:p>
        </w:tc>
        <w:tc>
          <w:tcPr>
            <w:tcW w:w="1252" w:type="dxa"/>
            <w:tcBorders>
              <w:top w:val="nil"/>
              <w:left w:val="nil"/>
              <w:bottom w:val="nil"/>
              <w:right w:val="nil"/>
            </w:tcBorders>
            <w:shd w:val="clear" w:color="auto" w:fill="auto"/>
            <w:vAlign w:val="bottom"/>
          </w:tcPr>
          <w:p w14:paraId="440B6C26" w14:textId="29B9F59C" w:rsidR="00F92F4E" w:rsidRPr="00C60384" w:rsidRDefault="00F54228" w:rsidP="00F92F4E">
            <w:pPr>
              <w:keepLines/>
              <w:suppressAutoHyphens/>
              <w:autoSpaceDN w:val="0"/>
              <w:spacing w:line="210" w:lineRule="exact"/>
              <w:jc w:val="right"/>
              <w:rPr>
                <w:rFonts w:ascii="Arial" w:eastAsia="Times New Roman" w:hAnsi="Arial" w:cs="Arial"/>
                <w:color w:val="000000"/>
                <w:sz w:val="18"/>
                <w:szCs w:val="18"/>
              </w:rPr>
            </w:pPr>
            <w:r>
              <w:rPr>
                <w:rFonts w:ascii="Arial" w:eastAsia="Times New Roman" w:hAnsi="Arial" w:cs="Arial"/>
                <w:color w:val="000000"/>
                <w:sz w:val="18"/>
                <w:szCs w:val="18"/>
              </w:rPr>
              <w:t>(514.722)</w:t>
            </w:r>
          </w:p>
        </w:tc>
        <w:tc>
          <w:tcPr>
            <w:tcW w:w="1252" w:type="dxa"/>
            <w:shd w:val="clear" w:color="auto" w:fill="auto"/>
            <w:vAlign w:val="bottom"/>
          </w:tcPr>
          <w:p w14:paraId="0540BD15" w14:textId="0B546D8D" w:rsidR="00F92F4E" w:rsidRPr="00C60384" w:rsidRDefault="00F92F4E" w:rsidP="00F92F4E">
            <w:pPr>
              <w:keepLines/>
              <w:suppressAutoHyphens/>
              <w:autoSpaceDN w:val="0"/>
              <w:spacing w:line="210" w:lineRule="exact"/>
              <w:jc w:val="right"/>
              <w:rPr>
                <w:rFonts w:ascii="Arial" w:eastAsia="Times New Roman" w:hAnsi="Arial" w:cs="Arial"/>
                <w:color w:val="000000"/>
                <w:sz w:val="18"/>
                <w:szCs w:val="18"/>
              </w:rPr>
            </w:pPr>
            <w:r w:rsidRPr="00C60384">
              <w:rPr>
                <w:rFonts w:ascii="Arial" w:eastAsia="Times New Roman" w:hAnsi="Arial" w:cs="Arial"/>
                <w:color w:val="000000"/>
                <w:sz w:val="18"/>
                <w:szCs w:val="18"/>
              </w:rPr>
              <w:t xml:space="preserve"> (289.307)</w:t>
            </w:r>
          </w:p>
        </w:tc>
      </w:tr>
      <w:tr w:rsidR="00F92F4E" w:rsidRPr="008F09B7" w14:paraId="03C51AF4" w14:textId="77777777" w:rsidTr="00C60384">
        <w:tc>
          <w:tcPr>
            <w:tcW w:w="7515" w:type="dxa"/>
            <w:vAlign w:val="bottom"/>
          </w:tcPr>
          <w:p w14:paraId="3968CBD8" w14:textId="77777777" w:rsidR="00F92F4E" w:rsidRPr="00F43653" w:rsidRDefault="00F92F4E" w:rsidP="00F92F4E">
            <w:pPr>
              <w:keepLines/>
              <w:tabs>
                <w:tab w:val="right" w:pos="1202"/>
              </w:tabs>
              <w:suppressAutoHyphens/>
              <w:autoSpaceDN w:val="0"/>
              <w:spacing w:line="210" w:lineRule="exact"/>
              <w:outlineLvl w:val="0"/>
              <w:rPr>
                <w:rFonts w:ascii="Arial" w:eastAsia="Times New Roman" w:hAnsi="Arial" w:cs="Arial"/>
                <w:color w:val="000000" w:themeColor="text1"/>
                <w:spacing w:val="-3"/>
                <w:sz w:val="18"/>
                <w:szCs w:val="18"/>
              </w:rPr>
            </w:pPr>
            <w:bookmarkStart w:id="91" w:name="_Toc67326834"/>
            <w:r w:rsidRPr="00F43653">
              <w:rPr>
                <w:rFonts w:ascii="Arial" w:eastAsia="Times New Roman" w:hAnsi="Arial" w:cs="Arial"/>
                <w:color w:val="000000" w:themeColor="text1"/>
                <w:spacing w:val="-3"/>
                <w:sz w:val="18"/>
                <w:szCs w:val="18"/>
              </w:rPr>
              <w:t>Ostalo</w:t>
            </w:r>
            <w:bookmarkEnd w:id="91"/>
          </w:p>
        </w:tc>
        <w:tc>
          <w:tcPr>
            <w:tcW w:w="1252" w:type="dxa"/>
            <w:tcBorders>
              <w:bottom w:val="single" w:sz="4" w:space="0" w:color="auto"/>
            </w:tcBorders>
            <w:vAlign w:val="bottom"/>
          </w:tcPr>
          <w:p w14:paraId="0460DD3D" w14:textId="7CEBEE5F" w:rsidR="00F92F4E" w:rsidRPr="00C60384" w:rsidRDefault="00A61C8A" w:rsidP="00F92F4E">
            <w:pPr>
              <w:keepLines/>
              <w:suppressAutoHyphens/>
              <w:autoSpaceDN w:val="0"/>
              <w:spacing w:line="210" w:lineRule="exact"/>
              <w:jc w:val="right"/>
              <w:rPr>
                <w:rFonts w:ascii="Arial" w:eastAsia="Times New Roman" w:hAnsi="Arial" w:cs="Arial"/>
                <w:color w:val="000000"/>
                <w:sz w:val="18"/>
                <w:szCs w:val="18"/>
              </w:rPr>
            </w:pPr>
            <w:r>
              <w:rPr>
                <w:rFonts w:ascii="Arial" w:eastAsia="Times New Roman" w:hAnsi="Arial" w:cs="Arial"/>
                <w:color w:val="000000"/>
                <w:sz w:val="18"/>
                <w:szCs w:val="18"/>
              </w:rPr>
              <w:t>(5.445)</w:t>
            </w:r>
          </w:p>
        </w:tc>
        <w:tc>
          <w:tcPr>
            <w:tcW w:w="1252" w:type="dxa"/>
            <w:tcBorders>
              <w:bottom w:val="single" w:sz="4" w:space="0" w:color="auto"/>
            </w:tcBorders>
            <w:vAlign w:val="bottom"/>
          </w:tcPr>
          <w:p w14:paraId="13141061" w14:textId="0A97C797" w:rsidR="00F92F4E" w:rsidRPr="00C60384" w:rsidRDefault="00F92F4E" w:rsidP="00F92F4E">
            <w:pPr>
              <w:keepLines/>
              <w:suppressAutoHyphens/>
              <w:autoSpaceDN w:val="0"/>
              <w:spacing w:line="210" w:lineRule="exact"/>
              <w:jc w:val="right"/>
              <w:rPr>
                <w:rFonts w:ascii="Arial" w:eastAsia="Times New Roman" w:hAnsi="Arial" w:cs="Arial"/>
                <w:color w:val="000000"/>
                <w:sz w:val="18"/>
                <w:szCs w:val="18"/>
              </w:rPr>
            </w:pPr>
            <w:r w:rsidRPr="00C60384">
              <w:rPr>
                <w:rFonts w:ascii="Arial" w:eastAsia="Times New Roman" w:hAnsi="Arial" w:cs="Arial"/>
                <w:color w:val="000000"/>
                <w:sz w:val="18"/>
                <w:szCs w:val="18"/>
              </w:rPr>
              <w:t xml:space="preserve"> 2.216 </w:t>
            </w:r>
          </w:p>
        </w:tc>
      </w:tr>
      <w:tr w:rsidR="00F92F4E" w:rsidRPr="008F09B7" w14:paraId="02112937" w14:textId="77777777" w:rsidTr="00C60384">
        <w:tc>
          <w:tcPr>
            <w:tcW w:w="7515" w:type="dxa"/>
            <w:vAlign w:val="bottom"/>
          </w:tcPr>
          <w:p w14:paraId="3BA7C195" w14:textId="72557DEE" w:rsidR="00F92F4E" w:rsidRPr="00F43653" w:rsidRDefault="00F92F4E" w:rsidP="00F92F4E">
            <w:pPr>
              <w:keepLines/>
              <w:tabs>
                <w:tab w:val="right" w:pos="1202"/>
              </w:tabs>
              <w:suppressAutoHyphens/>
              <w:autoSpaceDN w:val="0"/>
              <w:spacing w:line="220" w:lineRule="exact"/>
              <w:outlineLvl w:val="0"/>
              <w:rPr>
                <w:rFonts w:ascii="Arial" w:eastAsia="Times New Roman" w:hAnsi="Arial" w:cs="Arial"/>
                <w:b/>
                <w:bCs/>
                <w:color w:val="000000" w:themeColor="text1"/>
                <w:spacing w:val="-3"/>
                <w:sz w:val="18"/>
                <w:szCs w:val="18"/>
              </w:rPr>
            </w:pPr>
            <w:bookmarkStart w:id="92" w:name="_Toc67326835"/>
            <w:r w:rsidRPr="00F43653">
              <w:rPr>
                <w:rFonts w:ascii="Arial" w:eastAsia="Times New Roman" w:hAnsi="Arial" w:cs="Arial"/>
                <w:b/>
                <w:bCs/>
                <w:color w:val="000000" w:themeColor="text1"/>
                <w:sz w:val="18"/>
                <w:szCs w:val="18"/>
              </w:rPr>
              <w:t xml:space="preserve">Neto novčana sredstva </w:t>
            </w:r>
            <w:r w:rsidR="00B9116C">
              <w:rPr>
                <w:rFonts w:ascii="Arial" w:eastAsia="Times New Roman" w:hAnsi="Arial" w:cs="Arial"/>
                <w:b/>
                <w:bCs/>
                <w:color w:val="000000" w:themeColor="text1"/>
                <w:sz w:val="18"/>
                <w:szCs w:val="18"/>
              </w:rPr>
              <w:t>(</w:t>
            </w:r>
            <w:r w:rsidRPr="00BA41A6">
              <w:rPr>
                <w:rFonts w:ascii="Arial" w:eastAsia="Times New Roman" w:hAnsi="Arial" w:cs="Arial"/>
                <w:b/>
                <w:bCs/>
                <w:color w:val="000000" w:themeColor="text1"/>
                <w:sz w:val="18"/>
                <w:szCs w:val="18"/>
              </w:rPr>
              <w:t>uporabljena)</w:t>
            </w:r>
            <w:r w:rsidRPr="00F43653">
              <w:rPr>
                <w:rFonts w:ascii="Arial" w:eastAsia="Times New Roman" w:hAnsi="Arial" w:cs="Arial"/>
                <w:b/>
                <w:bCs/>
                <w:color w:val="000000" w:themeColor="text1"/>
                <w:sz w:val="18"/>
                <w:szCs w:val="18"/>
              </w:rPr>
              <w:t xml:space="preserve"> u financijskim aktivnostima</w:t>
            </w:r>
            <w:bookmarkEnd w:id="92"/>
            <w:r w:rsidRPr="00F43653">
              <w:rPr>
                <w:rFonts w:ascii="Arial" w:eastAsia="Times New Roman" w:hAnsi="Arial" w:cs="Arial"/>
                <w:b/>
                <w:bCs/>
                <w:color w:val="000000" w:themeColor="text1"/>
                <w:sz w:val="18"/>
                <w:szCs w:val="18"/>
              </w:rPr>
              <w:t xml:space="preserve"> </w:t>
            </w:r>
          </w:p>
        </w:tc>
        <w:tc>
          <w:tcPr>
            <w:tcW w:w="1252" w:type="dxa"/>
            <w:tcBorders>
              <w:top w:val="single" w:sz="4" w:space="0" w:color="auto"/>
              <w:bottom w:val="single" w:sz="12" w:space="0" w:color="auto"/>
            </w:tcBorders>
            <w:vAlign w:val="bottom"/>
          </w:tcPr>
          <w:p w14:paraId="2DBA3AC9" w14:textId="02E946A2" w:rsidR="00F92F4E" w:rsidRPr="00C60384" w:rsidRDefault="00A61C8A" w:rsidP="00F92F4E">
            <w:pPr>
              <w:suppressAutoHyphens/>
              <w:autoSpaceDN w:val="0"/>
              <w:spacing w:line="220"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(62.947)</w:t>
            </w:r>
          </w:p>
        </w:tc>
        <w:tc>
          <w:tcPr>
            <w:tcW w:w="1252" w:type="dxa"/>
            <w:tcBorders>
              <w:top w:val="single" w:sz="4" w:space="0" w:color="auto"/>
              <w:bottom w:val="single" w:sz="12" w:space="0" w:color="auto"/>
            </w:tcBorders>
            <w:vAlign w:val="bottom"/>
          </w:tcPr>
          <w:p w14:paraId="5C6DF9B3" w14:textId="0B4CCAC6" w:rsidR="00F92F4E" w:rsidRPr="00C60384" w:rsidRDefault="00F92F4E" w:rsidP="00F92F4E">
            <w:pPr>
              <w:suppressAutoHyphens/>
              <w:autoSpaceDN w:val="0"/>
              <w:spacing w:line="220" w:lineRule="exact"/>
              <w:jc w:val="right"/>
              <w:outlineLvl w:val="0"/>
              <w:rPr>
                <w:rFonts w:ascii="Arial" w:eastAsia="Times New Roman" w:hAnsi="Arial" w:cs="Arial"/>
                <w:b/>
                <w:bCs/>
                <w:color w:val="000000" w:themeColor="text1"/>
                <w:sz w:val="18"/>
                <w:szCs w:val="18"/>
              </w:rPr>
            </w:pPr>
            <w:r w:rsidRPr="00C60384">
              <w:rPr>
                <w:rFonts w:ascii="Arial" w:eastAsia="Times New Roman" w:hAnsi="Arial" w:cs="Arial"/>
                <w:b/>
                <w:bCs/>
                <w:color w:val="000000" w:themeColor="text1"/>
                <w:sz w:val="18"/>
                <w:szCs w:val="18"/>
              </w:rPr>
              <w:t>(18.091)</w:t>
            </w:r>
          </w:p>
        </w:tc>
      </w:tr>
      <w:tr w:rsidR="00F92F4E" w:rsidRPr="008F09B7" w14:paraId="3CB63179" w14:textId="77777777" w:rsidTr="00C60384">
        <w:tc>
          <w:tcPr>
            <w:tcW w:w="7515" w:type="dxa"/>
            <w:vAlign w:val="bottom"/>
          </w:tcPr>
          <w:p w14:paraId="6766C6A5" w14:textId="77777777" w:rsidR="00F92F4E" w:rsidRPr="00F43653" w:rsidRDefault="00F92F4E" w:rsidP="00F92F4E">
            <w:pPr>
              <w:keepLines/>
              <w:tabs>
                <w:tab w:val="right" w:pos="1202"/>
              </w:tabs>
              <w:suppressAutoHyphens/>
              <w:autoSpaceDN w:val="0"/>
              <w:spacing w:line="220" w:lineRule="exact"/>
              <w:outlineLvl w:val="0"/>
              <w:rPr>
                <w:rFonts w:ascii="Arial" w:eastAsia="Times New Roman" w:hAnsi="Arial" w:cs="Arial"/>
                <w:b/>
                <w:bCs/>
                <w:color w:val="000000" w:themeColor="text1"/>
                <w:sz w:val="18"/>
                <w:szCs w:val="18"/>
              </w:rPr>
            </w:pPr>
          </w:p>
        </w:tc>
        <w:tc>
          <w:tcPr>
            <w:tcW w:w="1252" w:type="dxa"/>
            <w:tcBorders>
              <w:top w:val="single" w:sz="12" w:space="0" w:color="auto"/>
            </w:tcBorders>
            <w:vAlign w:val="bottom"/>
          </w:tcPr>
          <w:p w14:paraId="6CDF9377" w14:textId="77777777" w:rsidR="00F92F4E" w:rsidRPr="00C60384" w:rsidRDefault="00F92F4E" w:rsidP="00F92F4E">
            <w:pPr>
              <w:suppressAutoHyphens/>
              <w:autoSpaceDN w:val="0"/>
              <w:spacing w:line="220" w:lineRule="exact"/>
              <w:jc w:val="right"/>
              <w:outlineLvl w:val="0"/>
              <w:rPr>
                <w:rFonts w:ascii="Arial" w:eastAsia="Times New Roman" w:hAnsi="Arial" w:cs="Arial"/>
                <w:b/>
                <w:bCs/>
                <w:color w:val="000000" w:themeColor="text1"/>
                <w:sz w:val="18"/>
                <w:szCs w:val="18"/>
                <w:highlight w:val="yellow"/>
              </w:rPr>
            </w:pPr>
          </w:p>
        </w:tc>
        <w:tc>
          <w:tcPr>
            <w:tcW w:w="1252" w:type="dxa"/>
            <w:tcBorders>
              <w:top w:val="single" w:sz="12" w:space="0" w:color="auto"/>
            </w:tcBorders>
            <w:vAlign w:val="bottom"/>
          </w:tcPr>
          <w:p w14:paraId="58291FCF" w14:textId="77777777" w:rsidR="00F92F4E" w:rsidRPr="00C60384" w:rsidRDefault="00F92F4E" w:rsidP="00F92F4E">
            <w:pPr>
              <w:suppressAutoHyphens/>
              <w:autoSpaceDN w:val="0"/>
              <w:spacing w:line="220" w:lineRule="exact"/>
              <w:jc w:val="right"/>
              <w:outlineLvl w:val="0"/>
              <w:rPr>
                <w:rFonts w:ascii="Arial" w:eastAsia="Times New Roman" w:hAnsi="Arial" w:cs="Arial"/>
                <w:b/>
                <w:bCs/>
                <w:color w:val="000000" w:themeColor="text1"/>
                <w:sz w:val="18"/>
                <w:szCs w:val="18"/>
              </w:rPr>
            </w:pPr>
          </w:p>
        </w:tc>
      </w:tr>
      <w:tr w:rsidR="00F92F4E" w:rsidRPr="008F09B7" w14:paraId="04656CE1" w14:textId="77777777" w:rsidTr="00C60384">
        <w:tc>
          <w:tcPr>
            <w:tcW w:w="7515" w:type="dxa"/>
            <w:vAlign w:val="bottom"/>
          </w:tcPr>
          <w:p w14:paraId="3494D0AA" w14:textId="77777777" w:rsidR="00F92F4E" w:rsidRPr="00F43653" w:rsidRDefault="00F92F4E" w:rsidP="00F92F4E">
            <w:pPr>
              <w:keepLines/>
              <w:tabs>
                <w:tab w:val="right" w:pos="1202"/>
              </w:tabs>
              <w:suppressAutoHyphens/>
              <w:autoSpaceDN w:val="0"/>
              <w:spacing w:line="220" w:lineRule="exact"/>
              <w:outlineLvl w:val="0"/>
              <w:rPr>
                <w:rFonts w:ascii="Arial" w:eastAsia="Times New Roman" w:hAnsi="Arial" w:cs="Arial"/>
                <w:b/>
                <w:bCs/>
                <w:color w:val="000000" w:themeColor="text1"/>
                <w:sz w:val="18"/>
                <w:szCs w:val="18"/>
              </w:rPr>
            </w:pPr>
            <w:bookmarkStart w:id="93" w:name="_Toc67326836"/>
            <w:r w:rsidRPr="00F43653">
              <w:rPr>
                <w:rFonts w:ascii="Arial" w:eastAsia="Times New Roman" w:hAnsi="Arial" w:cs="Arial"/>
                <w:b/>
                <w:bCs/>
                <w:color w:val="000000" w:themeColor="text1"/>
                <w:sz w:val="18"/>
                <w:szCs w:val="18"/>
              </w:rPr>
              <w:t>Učinci promjene tečajeva na novac i novčane ekvivalente</w:t>
            </w:r>
            <w:bookmarkEnd w:id="93"/>
          </w:p>
        </w:tc>
        <w:tc>
          <w:tcPr>
            <w:tcW w:w="1252" w:type="dxa"/>
            <w:vAlign w:val="bottom"/>
          </w:tcPr>
          <w:p w14:paraId="4C15DE34" w14:textId="77777777" w:rsidR="00F92F4E" w:rsidRPr="00C60384" w:rsidRDefault="00F92F4E" w:rsidP="00F92F4E">
            <w:pPr>
              <w:suppressAutoHyphens/>
              <w:autoSpaceDN w:val="0"/>
              <w:spacing w:line="220" w:lineRule="exact"/>
              <w:jc w:val="right"/>
              <w:outlineLvl w:val="0"/>
              <w:rPr>
                <w:rFonts w:ascii="Arial" w:eastAsia="Times New Roman" w:hAnsi="Arial" w:cs="Arial"/>
                <w:b/>
                <w:bCs/>
                <w:color w:val="000000" w:themeColor="text1"/>
                <w:sz w:val="18"/>
                <w:szCs w:val="18"/>
                <w:highlight w:val="yellow"/>
              </w:rPr>
            </w:pPr>
          </w:p>
        </w:tc>
        <w:tc>
          <w:tcPr>
            <w:tcW w:w="1252" w:type="dxa"/>
            <w:vAlign w:val="bottom"/>
          </w:tcPr>
          <w:p w14:paraId="7DFA3F90" w14:textId="25C00629" w:rsidR="00F92F4E" w:rsidRPr="00C60384" w:rsidRDefault="00F92F4E" w:rsidP="00F92F4E">
            <w:pPr>
              <w:suppressAutoHyphens/>
              <w:autoSpaceDN w:val="0"/>
              <w:spacing w:line="220" w:lineRule="exact"/>
              <w:jc w:val="right"/>
              <w:outlineLvl w:val="0"/>
              <w:rPr>
                <w:rFonts w:ascii="Arial" w:eastAsia="Times New Roman" w:hAnsi="Arial" w:cs="Arial"/>
                <w:b/>
                <w:bCs/>
                <w:color w:val="000000" w:themeColor="text1"/>
                <w:sz w:val="18"/>
                <w:szCs w:val="18"/>
              </w:rPr>
            </w:pPr>
          </w:p>
        </w:tc>
      </w:tr>
      <w:tr w:rsidR="00F92F4E" w:rsidRPr="008F09B7" w14:paraId="72D5D744" w14:textId="77777777" w:rsidTr="00C60384">
        <w:tc>
          <w:tcPr>
            <w:tcW w:w="7515" w:type="dxa"/>
            <w:vAlign w:val="bottom"/>
          </w:tcPr>
          <w:p w14:paraId="420EA710" w14:textId="77777777" w:rsidR="00F92F4E" w:rsidRPr="00F43653" w:rsidRDefault="00F92F4E" w:rsidP="00F92F4E">
            <w:pPr>
              <w:keepLines/>
              <w:tabs>
                <w:tab w:val="right" w:pos="1202"/>
              </w:tabs>
              <w:suppressAutoHyphens/>
              <w:autoSpaceDN w:val="0"/>
              <w:spacing w:line="220" w:lineRule="exact"/>
              <w:outlineLvl w:val="0"/>
              <w:rPr>
                <w:rFonts w:ascii="Arial" w:eastAsia="Times New Roman" w:hAnsi="Arial" w:cs="Arial"/>
                <w:bCs/>
                <w:color w:val="000000" w:themeColor="text1"/>
                <w:sz w:val="18"/>
                <w:szCs w:val="18"/>
              </w:rPr>
            </w:pPr>
            <w:bookmarkStart w:id="94" w:name="_Toc67326837"/>
            <w:r w:rsidRPr="00F43653">
              <w:rPr>
                <w:rFonts w:ascii="Arial" w:eastAsia="Times New Roman" w:hAnsi="Arial" w:cs="Arial"/>
                <w:bCs/>
                <w:color w:val="000000" w:themeColor="text1"/>
                <w:sz w:val="18"/>
                <w:szCs w:val="18"/>
              </w:rPr>
              <w:t>Neto tečajne razlike</w:t>
            </w:r>
            <w:bookmarkEnd w:id="94"/>
          </w:p>
        </w:tc>
        <w:tc>
          <w:tcPr>
            <w:tcW w:w="1252" w:type="dxa"/>
            <w:tcBorders>
              <w:bottom w:val="single" w:sz="4" w:space="0" w:color="auto"/>
            </w:tcBorders>
            <w:vAlign w:val="bottom"/>
          </w:tcPr>
          <w:p w14:paraId="472BFAE9" w14:textId="1BC15B3A" w:rsidR="00F92F4E" w:rsidRPr="00C60384" w:rsidRDefault="00A61C8A" w:rsidP="00F92F4E">
            <w:pPr>
              <w:suppressAutoHyphens/>
              <w:autoSpaceDN w:val="0"/>
              <w:spacing w:line="220" w:lineRule="exact"/>
              <w:jc w:val="right"/>
              <w:outlineLvl w:val="0"/>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(198)</w:t>
            </w:r>
          </w:p>
        </w:tc>
        <w:tc>
          <w:tcPr>
            <w:tcW w:w="1252" w:type="dxa"/>
            <w:tcBorders>
              <w:bottom w:val="single" w:sz="4" w:space="0" w:color="auto"/>
            </w:tcBorders>
            <w:vAlign w:val="bottom"/>
          </w:tcPr>
          <w:p w14:paraId="7D459E46" w14:textId="0DBCFD5A" w:rsidR="00F92F4E" w:rsidRPr="00C60384" w:rsidRDefault="00F92F4E" w:rsidP="00F92F4E">
            <w:pPr>
              <w:suppressAutoHyphens/>
              <w:autoSpaceDN w:val="0"/>
              <w:spacing w:line="220" w:lineRule="exact"/>
              <w:jc w:val="right"/>
              <w:outlineLvl w:val="0"/>
              <w:rPr>
                <w:rFonts w:ascii="Arial" w:eastAsia="Times New Roman" w:hAnsi="Arial" w:cs="Arial"/>
                <w:bCs/>
                <w:color w:val="000000" w:themeColor="text1"/>
                <w:sz w:val="18"/>
                <w:szCs w:val="18"/>
              </w:rPr>
            </w:pPr>
            <w:r w:rsidRPr="00C60384">
              <w:rPr>
                <w:rFonts w:ascii="Arial" w:eastAsia="Times New Roman" w:hAnsi="Arial" w:cs="Arial"/>
                <w:bCs/>
                <w:color w:val="000000" w:themeColor="text1"/>
                <w:sz w:val="18"/>
                <w:szCs w:val="18"/>
              </w:rPr>
              <w:t>55</w:t>
            </w:r>
          </w:p>
        </w:tc>
      </w:tr>
      <w:tr w:rsidR="00F92F4E" w:rsidRPr="008F09B7" w14:paraId="13FD8E5F" w14:textId="77777777" w:rsidTr="00C60384">
        <w:tc>
          <w:tcPr>
            <w:tcW w:w="7515" w:type="dxa"/>
            <w:vAlign w:val="bottom"/>
          </w:tcPr>
          <w:p w14:paraId="10B04504" w14:textId="77777777" w:rsidR="00F92F4E" w:rsidRPr="00F43653" w:rsidRDefault="00F92F4E" w:rsidP="00F92F4E">
            <w:pPr>
              <w:keepLines/>
              <w:tabs>
                <w:tab w:val="right" w:pos="1202"/>
              </w:tabs>
              <w:suppressAutoHyphens/>
              <w:autoSpaceDN w:val="0"/>
              <w:spacing w:line="210" w:lineRule="exact"/>
              <w:outlineLvl w:val="0"/>
              <w:rPr>
                <w:rFonts w:ascii="Arial" w:eastAsia="Times New Roman" w:hAnsi="Arial" w:cs="Arial"/>
                <w:b/>
                <w:color w:val="000000" w:themeColor="text1"/>
                <w:spacing w:val="-3"/>
                <w:sz w:val="18"/>
                <w:szCs w:val="18"/>
              </w:rPr>
            </w:pPr>
            <w:bookmarkStart w:id="95" w:name="_Toc67326838"/>
            <w:r w:rsidRPr="00F43653">
              <w:rPr>
                <w:rFonts w:ascii="Arial" w:eastAsia="Times New Roman" w:hAnsi="Arial" w:cs="Arial"/>
                <w:b/>
                <w:color w:val="000000" w:themeColor="text1"/>
                <w:spacing w:val="-3"/>
                <w:sz w:val="18"/>
                <w:szCs w:val="18"/>
              </w:rPr>
              <w:t>Neto učinak</w:t>
            </w:r>
            <w:bookmarkEnd w:id="95"/>
          </w:p>
        </w:tc>
        <w:tc>
          <w:tcPr>
            <w:tcW w:w="1252" w:type="dxa"/>
            <w:tcBorders>
              <w:top w:val="single" w:sz="4" w:space="0" w:color="auto"/>
              <w:bottom w:val="single" w:sz="12" w:space="0" w:color="auto"/>
            </w:tcBorders>
            <w:vAlign w:val="bottom"/>
          </w:tcPr>
          <w:p w14:paraId="555460ED" w14:textId="7C4DED42" w:rsidR="00F92F4E" w:rsidRPr="00C60384" w:rsidRDefault="00A61C8A" w:rsidP="00F92F4E">
            <w:pPr>
              <w:suppressAutoHyphens/>
              <w:autoSpaceDN w:val="0"/>
              <w:spacing w:line="220"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(198)</w:t>
            </w:r>
          </w:p>
        </w:tc>
        <w:tc>
          <w:tcPr>
            <w:tcW w:w="1252" w:type="dxa"/>
            <w:tcBorders>
              <w:top w:val="single" w:sz="4" w:space="0" w:color="auto"/>
              <w:bottom w:val="single" w:sz="12" w:space="0" w:color="auto"/>
            </w:tcBorders>
            <w:vAlign w:val="bottom"/>
          </w:tcPr>
          <w:p w14:paraId="21173FF6" w14:textId="6C1BA50C" w:rsidR="00F92F4E" w:rsidRPr="00C60384" w:rsidRDefault="00F92F4E" w:rsidP="00F92F4E">
            <w:pPr>
              <w:jc w:val="right"/>
              <w:rPr>
                <w:rFonts w:ascii="Arial" w:hAnsi="Arial" w:cs="Arial"/>
                <w:b/>
                <w:bCs/>
                <w:sz w:val="18"/>
                <w:szCs w:val="18"/>
              </w:rPr>
            </w:pPr>
            <w:r w:rsidRPr="00C60384">
              <w:rPr>
                <w:rFonts w:ascii="Arial" w:eastAsia="Times New Roman" w:hAnsi="Arial" w:cs="Arial"/>
                <w:b/>
                <w:bCs/>
                <w:color w:val="000000" w:themeColor="text1"/>
                <w:sz w:val="18"/>
                <w:szCs w:val="18"/>
              </w:rPr>
              <w:t>55</w:t>
            </w:r>
          </w:p>
        </w:tc>
      </w:tr>
      <w:tr w:rsidR="00F92F4E" w:rsidRPr="008F09B7" w14:paraId="3D45A621" w14:textId="77777777" w:rsidTr="00C60384">
        <w:trPr>
          <w:trHeight w:val="122"/>
        </w:trPr>
        <w:tc>
          <w:tcPr>
            <w:tcW w:w="7515" w:type="dxa"/>
            <w:vAlign w:val="bottom"/>
          </w:tcPr>
          <w:p w14:paraId="014B895D" w14:textId="77777777" w:rsidR="00F92F4E" w:rsidRPr="00F43653" w:rsidRDefault="00F92F4E" w:rsidP="00F92F4E">
            <w:pPr>
              <w:keepLines/>
              <w:tabs>
                <w:tab w:val="right" w:pos="1202"/>
              </w:tabs>
              <w:suppressAutoHyphens/>
              <w:autoSpaceDN w:val="0"/>
              <w:spacing w:line="220" w:lineRule="exact"/>
              <w:outlineLvl w:val="0"/>
              <w:rPr>
                <w:rFonts w:ascii="Arial" w:eastAsia="Times New Roman" w:hAnsi="Arial" w:cs="Arial"/>
                <w:color w:val="000000" w:themeColor="text1"/>
                <w:sz w:val="18"/>
                <w:szCs w:val="18"/>
              </w:rPr>
            </w:pPr>
          </w:p>
        </w:tc>
        <w:tc>
          <w:tcPr>
            <w:tcW w:w="1252" w:type="dxa"/>
            <w:tcBorders>
              <w:top w:val="single" w:sz="12" w:space="0" w:color="auto"/>
            </w:tcBorders>
            <w:vAlign w:val="bottom"/>
          </w:tcPr>
          <w:p w14:paraId="49E166C3" w14:textId="77777777" w:rsidR="00F92F4E" w:rsidRPr="00C60384" w:rsidRDefault="00F92F4E" w:rsidP="00F92F4E">
            <w:pPr>
              <w:keepLines/>
              <w:suppressAutoHyphens/>
              <w:autoSpaceDN w:val="0"/>
              <w:jc w:val="right"/>
              <w:rPr>
                <w:rFonts w:ascii="Arial" w:eastAsia="Times New Roman" w:hAnsi="Arial" w:cs="Arial"/>
                <w:color w:val="000000" w:themeColor="text1"/>
                <w:spacing w:val="-2"/>
                <w:sz w:val="18"/>
                <w:szCs w:val="18"/>
              </w:rPr>
            </w:pPr>
          </w:p>
        </w:tc>
        <w:tc>
          <w:tcPr>
            <w:tcW w:w="1252" w:type="dxa"/>
            <w:tcBorders>
              <w:top w:val="single" w:sz="12" w:space="0" w:color="auto"/>
            </w:tcBorders>
            <w:vAlign w:val="bottom"/>
          </w:tcPr>
          <w:p w14:paraId="67302699" w14:textId="77777777" w:rsidR="00F92F4E" w:rsidRPr="00C60384" w:rsidRDefault="00F92F4E" w:rsidP="00F92F4E">
            <w:pPr>
              <w:keepLines/>
              <w:suppressAutoHyphens/>
              <w:autoSpaceDN w:val="0"/>
              <w:jc w:val="right"/>
              <w:rPr>
                <w:rFonts w:ascii="Arial" w:eastAsia="Times New Roman" w:hAnsi="Arial" w:cs="Arial"/>
                <w:color w:val="000000" w:themeColor="text1"/>
                <w:spacing w:val="-2"/>
                <w:sz w:val="18"/>
                <w:szCs w:val="18"/>
              </w:rPr>
            </w:pPr>
          </w:p>
        </w:tc>
      </w:tr>
      <w:tr w:rsidR="00F92F4E" w:rsidRPr="008F09B7" w14:paraId="6EDD5B3A" w14:textId="77777777" w:rsidTr="00C60384">
        <w:trPr>
          <w:trHeight w:val="122"/>
        </w:trPr>
        <w:tc>
          <w:tcPr>
            <w:tcW w:w="7515" w:type="dxa"/>
            <w:vAlign w:val="bottom"/>
          </w:tcPr>
          <w:p w14:paraId="34032511" w14:textId="3F9EB8EC" w:rsidR="00F92F4E" w:rsidRPr="00BA41A6" w:rsidRDefault="00F92F4E" w:rsidP="00F92F4E">
            <w:pPr>
              <w:keepLines/>
              <w:tabs>
                <w:tab w:val="right" w:pos="1202"/>
              </w:tabs>
              <w:suppressAutoHyphens/>
              <w:autoSpaceDN w:val="0"/>
              <w:spacing w:line="220" w:lineRule="exact"/>
              <w:outlineLvl w:val="0"/>
              <w:rPr>
                <w:rFonts w:ascii="Arial" w:eastAsia="Times New Roman" w:hAnsi="Arial" w:cs="Arial"/>
                <w:color w:val="000000" w:themeColor="text1"/>
                <w:sz w:val="18"/>
                <w:szCs w:val="18"/>
              </w:rPr>
            </w:pPr>
            <w:bookmarkStart w:id="96" w:name="_Toc67326839"/>
            <w:r w:rsidRPr="00BA41A6">
              <w:rPr>
                <w:rFonts w:ascii="Arial" w:eastAsia="Times New Roman" w:hAnsi="Arial" w:cs="Arial"/>
                <w:color w:val="000000" w:themeColor="text1"/>
                <w:sz w:val="18"/>
                <w:szCs w:val="18"/>
              </w:rPr>
              <w:t>Neto (smanjenje) novca i novčanih ekvivalenata</w:t>
            </w:r>
            <w:bookmarkEnd w:id="96"/>
          </w:p>
        </w:tc>
        <w:tc>
          <w:tcPr>
            <w:tcW w:w="1252" w:type="dxa"/>
            <w:vAlign w:val="bottom"/>
          </w:tcPr>
          <w:p w14:paraId="77B1D849" w14:textId="0FCADA6D" w:rsidR="00F92F4E" w:rsidRPr="00C60384" w:rsidRDefault="00A61C8A" w:rsidP="00F92F4E">
            <w:pPr>
              <w:keepLines/>
              <w:suppressAutoHyphens/>
              <w:autoSpaceDN w:val="0"/>
              <w:jc w:val="right"/>
              <w:rPr>
                <w:rFonts w:ascii="Arial" w:eastAsia="Times New Roman" w:hAnsi="Arial" w:cs="Arial"/>
                <w:color w:val="000000" w:themeColor="text1"/>
                <w:spacing w:val="-2"/>
                <w:sz w:val="18"/>
                <w:szCs w:val="18"/>
              </w:rPr>
            </w:pPr>
            <w:r>
              <w:rPr>
                <w:rFonts w:ascii="Arial" w:eastAsia="Times New Roman" w:hAnsi="Arial" w:cs="Arial"/>
                <w:color w:val="000000" w:themeColor="text1"/>
                <w:spacing w:val="-2"/>
                <w:sz w:val="18"/>
                <w:szCs w:val="18"/>
              </w:rPr>
              <w:t>(7.903)</w:t>
            </w:r>
          </w:p>
        </w:tc>
        <w:tc>
          <w:tcPr>
            <w:tcW w:w="1252" w:type="dxa"/>
            <w:vAlign w:val="bottom"/>
          </w:tcPr>
          <w:p w14:paraId="7CC363EC" w14:textId="7392B147" w:rsidR="00F92F4E" w:rsidRPr="00C60384" w:rsidRDefault="00F92F4E" w:rsidP="00F92F4E">
            <w:pPr>
              <w:keepLines/>
              <w:suppressAutoHyphens/>
              <w:autoSpaceDN w:val="0"/>
              <w:jc w:val="right"/>
              <w:rPr>
                <w:rFonts w:ascii="Arial" w:eastAsia="Times New Roman" w:hAnsi="Arial" w:cs="Arial"/>
                <w:color w:val="000000" w:themeColor="text1"/>
                <w:spacing w:val="-2"/>
                <w:sz w:val="18"/>
                <w:szCs w:val="18"/>
              </w:rPr>
            </w:pPr>
            <w:r w:rsidRPr="00C60384">
              <w:rPr>
                <w:rFonts w:ascii="Arial" w:eastAsia="Times New Roman" w:hAnsi="Arial" w:cs="Arial"/>
                <w:color w:val="000000" w:themeColor="text1"/>
                <w:spacing w:val="-2"/>
                <w:sz w:val="18"/>
                <w:szCs w:val="18"/>
              </w:rPr>
              <w:t>(153.584)</w:t>
            </w:r>
          </w:p>
        </w:tc>
      </w:tr>
      <w:tr w:rsidR="00F92F4E" w:rsidRPr="008F09B7" w14:paraId="648C9BB9" w14:textId="77777777" w:rsidTr="00C60384">
        <w:trPr>
          <w:trHeight w:val="122"/>
        </w:trPr>
        <w:tc>
          <w:tcPr>
            <w:tcW w:w="7515" w:type="dxa"/>
            <w:vAlign w:val="bottom"/>
          </w:tcPr>
          <w:p w14:paraId="3D01C212" w14:textId="77777777" w:rsidR="00F92F4E" w:rsidRPr="00BA41A6" w:rsidRDefault="00F92F4E" w:rsidP="00F92F4E">
            <w:pPr>
              <w:keepLines/>
              <w:tabs>
                <w:tab w:val="right" w:pos="1202"/>
              </w:tabs>
              <w:suppressAutoHyphens/>
              <w:autoSpaceDN w:val="0"/>
              <w:spacing w:line="140" w:lineRule="exact"/>
              <w:outlineLvl w:val="0"/>
              <w:rPr>
                <w:rFonts w:ascii="Arial" w:eastAsia="Times New Roman" w:hAnsi="Arial" w:cs="Arial"/>
                <w:color w:val="000000" w:themeColor="text1"/>
                <w:sz w:val="18"/>
                <w:szCs w:val="18"/>
              </w:rPr>
            </w:pPr>
          </w:p>
        </w:tc>
        <w:tc>
          <w:tcPr>
            <w:tcW w:w="1252" w:type="dxa"/>
            <w:vAlign w:val="bottom"/>
          </w:tcPr>
          <w:p w14:paraId="077F0C14" w14:textId="77777777" w:rsidR="00F92F4E" w:rsidRPr="00C60384" w:rsidRDefault="00F92F4E" w:rsidP="00F92F4E">
            <w:pPr>
              <w:keepLines/>
              <w:suppressAutoHyphens/>
              <w:autoSpaceDN w:val="0"/>
              <w:spacing w:line="140" w:lineRule="exact"/>
              <w:jc w:val="right"/>
              <w:rPr>
                <w:rFonts w:ascii="Arial" w:eastAsia="Times New Roman" w:hAnsi="Arial" w:cs="Arial"/>
                <w:color w:val="000000" w:themeColor="text1"/>
                <w:spacing w:val="-2"/>
                <w:sz w:val="18"/>
                <w:szCs w:val="18"/>
              </w:rPr>
            </w:pPr>
          </w:p>
        </w:tc>
        <w:tc>
          <w:tcPr>
            <w:tcW w:w="1252" w:type="dxa"/>
            <w:vAlign w:val="bottom"/>
          </w:tcPr>
          <w:p w14:paraId="2FFEFF15" w14:textId="77777777" w:rsidR="00F92F4E" w:rsidRPr="00C60384" w:rsidRDefault="00F92F4E" w:rsidP="00F92F4E">
            <w:pPr>
              <w:keepLines/>
              <w:suppressAutoHyphens/>
              <w:autoSpaceDN w:val="0"/>
              <w:spacing w:line="140" w:lineRule="exact"/>
              <w:jc w:val="right"/>
              <w:rPr>
                <w:rFonts w:ascii="Arial" w:eastAsia="Times New Roman" w:hAnsi="Arial" w:cs="Arial"/>
                <w:color w:val="000000" w:themeColor="text1"/>
                <w:spacing w:val="-2"/>
                <w:sz w:val="18"/>
                <w:szCs w:val="18"/>
              </w:rPr>
            </w:pPr>
          </w:p>
        </w:tc>
      </w:tr>
      <w:tr w:rsidR="00F92F4E" w:rsidRPr="008F09B7" w14:paraId="42F78EEC" w14:textId="77777777" w:rsidTr="00C60384">
        <w:trPr>
          <w:trHeight w:val="122"/>
        </w:trPr>
        <w:tc>
          <w:tcPr>
            <w:tcW w:w="7515" w:type="dxa"/>
            <w:vAlign w:val="bottom"/>
          </w:tcPr>
          <w:p w14:paraId="013EF2E9" w14:textId="77777777" w:rsidR="00F92F4E" w:rsidRPr="00BA41A6" w:rsidRDefault="00F92F4E" w:rsidP="00F92F4E">
            <w:pPr>
              <w:keepLines/>
              <w:tabs>
                <w:tab w:val="right" w:pos="1202"/>
              </w:tabs>
              <w:suppressAutoHyphens/>
              <w:autoSpaceDN w:val="0"/>
              <w:spacing w:line="220" w:lineRule="exact"/>
              <w:outlineLvl w:val="0"/>
              <w:rPr>
                <w:rFonts w:ascii="Arial" w:eastAsia="Times New Roman" w:hAnsi="Arial" w:cs="Arial"/>
                <w:color w:val="000000" w:themeColor="text1"/>
                <w:sz w:val="18"/>
                <w:szCs w:val="18"/>
              </w:rPr>
            </w:pPr>
            <w:bookmarkStart w:id="97" w:name="_Toc67326840"/>
            <w:r w:rsidRPr="00BA41A6">
              <w:rPr>
                <w:rFonts w:ascii="Arial" w:eastAsia="Times New Roman" w:hAnsi="Arial" w:cs="Arial"/>
                <w:color w:val="000000" w:themeColor="text1"/>
                <w:sz w:val="18"/>
                <w:szCs w:val="18"/>
              </w:rPr>
              <w:t>Novac i novčani ekvivalenti stanje na dan 1. siječnja, prije umanjenja vrijednosti</w:t>
            </w:r>
            <w:bookmarkEnd w:id="97"/>
            <w:r w:rsidRPr="00BA41A6">
              <w:rPr>
                <w:rFonts w:ascii="Arial" w:eastAsia="Times New Roman" w:hAnsi="Arial" w:cs="Arial"/>
                <w:color w:val="000000" w:themeColor="text1"/>
                <w:sz w:val="18"/>
                <w:szCs w:val="18"/>
              </w:rPr>
              <w:t xml:space="preserve"> </w:t>
            </w:r>
          </w:p>
        </w:tc>
        <w:tc>
          <w:tcPr>
            <w:tcW w:w="1252" w:type="dxa"/>
            <w:vAlign w:val="bottom"/>
          </w:tcPr>
          <w:p w14:paraId="66F97AEE" w14:textId="7028F0FA" w:rsidR="00F92F4E" w:rsidRPr="00C60384" w:rsidRDefault="00A61C8A" w:rsidP="00F92F4E">
            <w:pPr>
              <w:keepLines/>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42.292</w:t>
            </w:r>
          </w:p>
        </w:tc>
        <w:tc>
          <w:tcPr>
            <w:tcW w:w="1252" w:type="dxa"/>
            <w:vAlign w:val="bottom"/>
          </w:tcPr>
          <w:p w14:paraId="0BEDF5B3" w14:textId="0C2077A1" w:rsidR="00F92F4E" w:rsidRPr="00C60384" w:rsidRDefault="00F92F4E" w:rsidP="00F92F4E">
            <w:pPr>
              <w:keepLines/>
              <w:suppressAutoHyphens/>
              <w:autoSpaceDN w:val="0"/>
              <w:jc w:val="right"/>
              <w:rPr>
                <w:rFonts w:ascii="Arial" w:eastAsia="Times New Roman" w:hAnsi="Arial" w:cs="Arial"/>
                <w:color w:val="000000" w:themeColor="text1"/>
                <w:spacing w:val="-2"/>
                <w:sz w:val="18"/>
                <w:szCs w:val="18"/>
              </w:rPr>
            </w:pPr>
            <w:r w:rsidRPr="00C60384">
              <w:rPr>
                <w:rFonts w:ascii="Arial" w:eastAsia="Times New Roman" w:hAnsi="Arial" w:cs="Arial"/>
                <w:color w:val="000000" w:themeColor="text1"/>
                <w:sz w:val="18"/>
                <w:szCs w:val="18"/>
              </w:rPr>
              <w:t>229.343</w:t>
            </w:r>
          </w:p>
        </w:tc>
      </w:tr>
      <w:tr w:rsidR="00F92F4E" w:rsidRPr="008F09B7" w14:paraId="3CC21F9F" w14:textId="77777777" w:rsidTr="00C60384">
        <w:trPr>
          <w:trHeight w:val="122"/>
        </w:trPr>
        <w:tc>
          <w:tcPr>
            <w:tcW w:w="7515" w:type="dxa"/>
            <w:vAlign w:val="bottom"/>
          </w:tcPr>
          <w:p w14:paraId="2E32C4BC" w14:textId="37A05550" w:rsidR="00F92F4E" w:rsidRPr="00BA41A6" w:rsidRDefault="00F92F4E" w:rsidP="00F92F4E">
            <w:pPr>
              <w:keepLines/>
              <w:tabs>
                <w:tab w:val="right" w:pos="1202"/>
              </w:tabs>
              <w:suppressAutoHyphens/>
              <w:autoSpaceDN w:val="0"/>
              <w:spacing w:line="220" w:lineRule="exact"/>
              <w:outlineLvl w:val="0"/>
              <w:rPr>
                <w:rFonts w:ascii="Arial" w:eastAsia="Times New Roman" w:hAnsi="Arial" w:cs="Arial"/>
                <w:color w:val="000000" w:themeColor="text1"/>
                <w:sz w:val="18"/>
                <w:szCs w:val="18"/>
              </w:rPr>
            </w:pPr>
            <w:bookmarkStart w:id="98" w:name="_Toc67326841"/>
            <w:r w:rsidRPr="00BA41A6">
              <w:rPr>
                <w:rFonts w:ascii="Arial" w:eastAsia="Times New Roman" w:hAnsi="Arial" w:cs="Arial"/>
                <w:color w:val="000000" w:themeColor="text1"/>
                <w:sz w:val="18"/>
                <w:szCs w:val="18"/>
              </w:rPr>
              <w:t>Neto (smanjenje) novca</w:t>
            </w:r>
            <w:bookmarkEnd w:id="98"/>
          </w:p>
        </w:tc>
        <w:tc>
          <w:tcPr>
            <w:tcW w:w="1252" w:type="dxa"/>
            <w:tcBorders>
              <w:bottom w:val="single" w:sz="4" w:space="0" w:color="auto"/>
            </w:tcBorders>
            <w:vAlign w:val="bottom"/>
          </w:tcPr>
          <w:p w14:paraId="6CB22155" w14:textId="7069B605" w:rsidR="00F92F4E" w:rsidRPr="00C60384" w:rsidRDefault="00A61C8A" w:rsidP="00F92F4E">
            <w:pPr>
              <w:keepLines/>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(7.903)</w:t>
            </w:r>
          </w:p>
        </w:tc>
        <w:tc>
          <w:tcPr>
            <w:tcW w:w="1252" w:type="dxa"/>
            <w:tcBorders>
              <w:bottom w:val="single" w:sz="4" w:space="0" w:color="auto"/>
            </w:tcBorders>
            <w:vAlign w:val="bottom"/>
          </w:tcPr>
          <w:p w14:paraId="08B5AD32" w14:textId="369E7B7F" w:rsidR="00F92F4E" w:rsidRPr="00C60384" w:rsidRDefault="00F92F4E" w:rsidP="00F92F4E">
            <w:pPr>
              <w:keepLines/>
              <w:suppressAutoHyphens/>
              <w:autoSpaceDN w:val="0"/>
              <w:jc w:val="right"/>
              <w:rPr>
                <w:rFonts w:ascii="Arial" w:eastAsia="Times New Roman" w:hAnsi="Arial" w:cs="Arial"/>
                <w:color w:val="000000" w:themeColor="text1"/>
                <w:spacing w:val="-2"/>
                <w:sz w:val="18"/>
                <w:szCs w:val="18"/>
              </w:rPr>
            </w:pPr>
            <w:r w:rsidRPr="00C60384">
              <w:rPr>
                <w:rFonts w:ascii="Arial" w:eastAsia="Times New Roman" w:hAnsi="Arial" w:cs="Arial"/>
                <w:color w:val="000000" w:themeColor="text1"/>
                <w:sz w:val="18"/>
                <w:szCs w:val="18"/>
              </w:rPr>
              <w:t>(153.584)</w:t>
            </w:r>
          </w:p>
        </w:tc>
      </w:tr>
      <w:tr w:rsidR="00F92F4E" w:rsidRPr="008F09B7" w14:paraId="137569C8" w14:textId="77777777" w:rsidTr="00C60384">
        <w:trPr>
          <w:trHeight w:val="267"/>
        </w:trPr>
        <w:tc>
          <w:tcPr>
            <w:tcW w:w="7515" w:type="dxa"/>
            <w:vAlign w:val="bottom"/>
          </w:tcPr>
          <w:p w14:paraId="7E43E309" w14:textId="0F1DD36C" w:rsidR="00F92F4E" w:rsidRPr="00F43653" w:rsidRDefault="00F92F4E" w:rsidP="00F92F4E">
            <w:pPr>
              <w:keepLines/>
              <w:tabs>
                <w:tab w:val="right" w:pos="1202"/>
              </w:tabs>
              <w:suppressAutoHyphens/>
              <w:autoSpaceDN w:val="0"/>
              <w:spacing w:line="220" w:lineRule="exact"/>
              <w:outlineLvl w:val="0"/>
              <w:rPr>
                <w:rFonts w:ascii="Arial" w:eastAsia="Times New Roman" w:hAnsi="Arial" w:cs="Arial"/>
                <w:b/>
                <w:bCs/>
                <w:color w:val="000000" w:themeColor="text1"/>
                <w:sz w:val="18"/>
                <w:szCs w:val="18"/>
              </w:rPr>
            </w:pPr>
            <w:bookmarkStart w:id="99" w:name="_Toc67326842"/>
            <w:r w:rsidRPr="00F43653">
              <w:rPr>
                <w:rFonts w:ascii="Arial" w:eastAsia="Times New Roman" w:hAnsi="Arial" w:cs="Arial"/>
                <w:b/>
                <w:bCs/>
                <w:color w:val="000000" w:themeColor="text1"/>
                <w:sz w:val="18"/>
                <w:szCs w:val="18"/>
              </w:rPr>
              <w:t xml:space="preserve">Novac i novčani ekvivalenti stanje na dan 30. </w:t>
            </w:r>
            <w:r>
              <w:rPr>
                <w:rFonts w:ascii="Arial" w:eastAsia="Times New Roman" w:hAnsi="Arial" w:cs="Arial"/>
                <w:b/>
                <w:bCs/>
                <w:color w:val="000000" w:themeColor="text1"/>
                <w:sz w:val="18"/>
                <w:szCs w:val="18"/>
              </w:rPr>
              <w:t>rujna</w:t>
            </w:r>
            <w:r w:rsidRPr="00F43653">
              <w:rPr>
                <w:rFonts w:ascii="Arial" w:eastAsia="Times New Roman" w:hAnsi="Arial" w:cs="Arial"/>
                <w:b/>
                <w:bCs/>
                <w:color w:val="000000" w:themeColor="text1"/>
                <w:sz w:val="18"/>
                <w:szCs w:val="18"/>
              </w:rPr>
              <w:t xml:space="preserve">, prije umanjenja </w:t>
            </w:r>
            <w:r w:rsidRPr="00CC7FB0">
              <w:rPr>
                <w:rFonts w:ascii="Arial" w:eastAsia="Times New Roman" w:hAnsi="Arial" w:cs="Arial"/>
                <w:b/>
                <w:bCs/>
                <w:color w:val="000000" w:themeColor="text1"/>
                <w:sz w:val="18"/>
                <w:szCs w:val="18"/>
              </w:rPr>
              <w:t xml:space="preserve">vrijednosti    </w:t>
            </w:r>
            <w:bookmarkEnd w:id="99"/>
            <w:r w:rsidRPr="00CC7FB0">
              <w:rPr>
                <w:rFonts w:ascii="Arial" w:eastAsia="Times New Roman" w:hAnsi="Arial" w:cs="Arial"/>
                <w:b/>
                <w:bCs/>
                <w:color w:val="000000" w:themeColor="text1"/>
                <w:sz w:val="18"/>
                <w:szCs w:val="18"/>
              </w:rPr>
              <w:t xml:space="preserve">  9</w:t>
            </w:r>
          </w:p>
        </w:tc>
        <w:tc>
          <w:tcPr>
            <w:tcW w:w="1252" w:type="dxa"/>
            <w:tcBorders>
              <w:top w:val="single" w:sz="4" w:space="0" w:color="auto"/>
              <w:bottom w:val="single" w:sz="12" w:space="0" w:color="auto"/>
            </w:tcBorders>
            <w:vAlign w:val="bottom"/>
          </w:tcPr>
          <w:p w14:paraId="0D69CD07" w14:textId="53ED2EAB" w:rsidR="00F92F4E" w:rsidRPr="00C60384" w:rsidRDefault="00CB3B01" w:rsidP="00F92F4E">
            <w:pPr>
              <w:suppressAutoHyphens/>
              <w:autoSpaceDN w:val="0"/>
              <w:spacing w:line="220" w:lineRule="exact"/>
              <w:jc w:val="right"/>
              <w:outlineLvl w:val="0"/>
              <w:rPr>
                <w:rFonts w:ascii="Arial" w:eastAsia="Times New Roman" w:hAnsi="Arial" w:cs="Arial"/>
                <w:b/>
                <w:bCs/>
                <w:color w:val="000000" w:themeColor="text1"/>
                <w:spacing w:val="-2"/>
                <w:sz w:val="18"/>
                <w:szCs w:val="18"/>
              </w:rPr>
            </w:pPr>
            <w:r>
              <w:rPr>
                <w:rFonts w:ascii="Arial" w:eastAsia="Times New Roman" w:hAnsi="Arial" w:cs="Arial"/>
                <w:b/>
                <w:bCs/>
                <w:color w:val="000000" w:themeColor="text1"/>
                <w:spacing w:val="-2"/>
                <w:sz w:val="18"/>
                <w:szCs w:val="18"/>
              </w:rPr>
              <w:t>34.389</w:t>
            </w:r>
          </w:p>
        </w:tc>
        <w:tc>
          <w:tcPr>
            <w:tcW w:w="1252" w:type="dxa"/>
            <w:tcBorders>
              <w:top w:val="single" w:sz="4" w:space="0" w:color="auto"/>
              <w:bottom w:val="single" w:sz="12" w:space="0" w:color="auto"/>
            </w:tcBorders>
            <w:vAlign w:val="bottom"/>
          </w:tcPr>
          <w:p w14:paraId="2EEB49A7" w14:textId="5820075D" w:rsidR="00F92F4E" w:rsidRPr="00C60384" w:rsidRDefault="00F92F4E" w:rsidP="00F92F4E">
            <w:pPr>
              <w:suppressAutoHyphens/>
              <w:autoSpaceDN w:val="0"/>
              <w:spacing w:line="220" w:lineRule="exact"/>
              <w:jc w:val="right"/>
              <w:outlineLvl w:val="0"/>
              <w:rPr>
                <w:rFonts w:ascii="Arial" w:eastAsia="Times New Roman" w:hAnsi="Arial" w:cs="Arial"/>
                <w:b/>
                <w:bCs/>
                <w:color w:val="000000" w:themeColor="text1"/>
                <w:spacing w:val="-2"/>
                <w:sz w:val="18"/>
                <w:szCs w:val="18"/>
              </w:rPr>
            </w:pPr>
            <w:r w:rsidRPr="00C60384">
              <w:rPr>
                <w:rFonts w:ascii="Arial" w:eastAsia="Times New Roman" w:hAnsi="Arial" w:cs="Arial"/>
                <w:b/>
                <w:bCs/>
                <w:color w:val="000000" w:themeColor="text1"/>
                <w:spacing w:val="-2"/>
                <w:sz w:val="18"/>
                <w:szCs w:val="18"/>
              </w:rPr>
              <w:t>75.759</w:t>
            </w:r>
          </w:p>
        </w:tc>
      </w:tr>
      <w:tr w:rsidR="00F92F4E" w:rsidRPr="008F09B7" w14:paraId="5A136FDD" w14:textId="77777777" w:rsidTr="007478FB">
        <w:trPr>
          <w:trHeight w:val="357"/>
        </w:trPr>
        <w:tc>
          <w:tcPr>
            <w:tcW w:w="7515" w:type="dxa"/>
            <w:vAlign w:val="bottom"/>
          </w:tcPr>
          <w:p w14:paraId="1A67D688" w14:textId="77777777" w:rsidR="00F92F4E" w:rsidRPr="00F43653" w:rsidRDefault="00F92F4E" w:rsidP="00F92F4E">
            <w:pPr>
              <w:keepLines/>
              <w:tabs>
                <w:tab w:val="right" w:pos="1202"/>
              </w:tabs>
              <w:suppressAutoHyphens/>
              <w:autoSpaceDN w:val="0"/>
              <w:spacing w:line="220" w:lineRule="exact"/>
              <w:outlineLvl w:val="0"/>
              <w:rPr>
                <w:rFonts w:ascii="Arial" w:eastAsia="Times New Roman" w:hAnsi="Arial" w:cs="Arial"/>
                <w:color w:val="000000" w:themeColor="text1"/>
                <w:sz w:val="18"/>
                <w:szCs w:val="18"/>
              </w:rPr>
            </w:pPr>
            <w:bookmarkStart w:id="100" w:name="_Toc67326843"/>
            <w:r w:rsidRPr="00F43653">
              <w:rPr>
                <w:rFonts w:ascii="Arial" w:eastAsia="Times New Roman" w:hAnsi="Arial" w:cs="Arial"/>
                <w:b/>
                <w:bCs/>
                <w:color w:val="000000" w:themeColor="text1"/>
                <w:sz w:val="18"/>
                <w:szCs w:val="18"/>
              </w:rPr>
              <w:t>Dopunski podaci – poslovne aktivnosti</w:t>
            </w:r>
            <w:bookmarkEnd w:id="100"/>
          </w:p>
        </w:tc>
        <w:tc>
          <w:tcPr>
            <w:tcW w:w="1252" w:type="dxa"/>
            <w:tcBorders>
              <w:top w:val="single" w:sz="12" w:space="0" w:color="auto"/>
            </w:tcBorders>
            <w:vAlign w:val="bottom"/>
          </w:tcPr>
          <w:p w14:paraId="1C9DCDB7" w14:textId="77777777" w:rsidR="00F92F4E" w:rsidRPr="00C60384" w:rsidRDefault="00F92F4E" w:rsidP="00F92F4E">
            <w:pPr>
              <w:keepLines/>
              <w:suppressAutoHyphens/>
              <w:autoSpaceDN w:val="0"/>
              <w:spacing w:line="220" w:lineRule="exact"/>
              <w:jc w:val="right"/>
              <w:rPr>
                <w:rFonts w:ascii="Arial" w:eastAsia="Times New Roman" w:hAnsi="Arial" w:cs="Arial"/>
                <w:b/>
                <w:color w:val="000000" w:themeColor="text1"/>
                <w:position w:val="4"/>
                <w:sz w:val="18"/>
                <w:szCs w:val="18"/>
              </w:rPr>
            </w:pPr>
          </w:p>
        </w:tc>
        <w:tc>
          <w:tcPr>
            <w:tcW w:w="1252" w:type="dxa"/>
            <w:tcBorders>
              <w:top w:val="single" w:sz="12" w:space="0" w:color="auto"/>
            </w:tcBorders>
            <w:vAlign w:val="bottom"/>
          </w:tcPr>
          <w:p w14:paraId="6CE9A2B2" w14:textId="77777777" w:rsidR="00F92F4E" w:rsidRPr="00C60384" w:rsidRDefault="00F92F4E" w:rsidP="00F92F4E">
            <w:pPr>
              <w:keepLines/>
              <w:suppressAutoHyphens/>
              <w:autoSpaceDN w:val="0"/>
              <w:spacing w:line="220" w:lineRule="exact"/>
              <w:jc w:val="right"/>
              <w:rPr>
                <w:rFonts w:ascii="Arial" w:eastAsia="Times New Roman" w:hAnsi="Arial" w:cs="Arial"/>
                <w:b/>
                <w:color w:val="000000" w:themeColor="text1"/>
                <w:position w:val="4"/>
                <w:sz w:val="18"/>
                <w:szCs w:val="18"/>
              </w:rPr>
            </w:pPr>
          </w:p>
        </w:tc>
      </w:tr>
      <w:tr w:rsidR="00F92F4E" w:rsidRPr="008F09B7" w14:paraId="2D6675A9" w14:textId="77777777" w:rsidTr="007478FB">
        <w:trPr>
          <w:trHeight w:val="68"/>
        </w:trPr>
        <w:tc>
          <w:tcPr>
            <w:tcW w:w="7515" w:type="dxa"/>
            <w:vAlign w:val="bottom"/>
          </w:tcPr>
          <w:p w14:paraId="36B74C06" w14:textId="77777777" w:rsidR="00F92F4E" w:rsidRPr="00F43653" w:rsidRDefault="00F92F4E" w:rsidP="00F92F4E">
            <w:pPr>
              <w:keepLines/>
              <w:tabs>
                <w:tab w:val="right" w:pos="1202"/>
              </w:tabs>
              <w:suppressAutoHyphens/>
              <w:autoSpaceDN w:val="0"/>
              <w:spacing w:line="220" w:lineRule="exact"/>
              <w:outlineLvl w:val="0"/>
              <w:rPr>
                <w:rFonts w:ascii="Arial" w:eastAsia="Times New Roman" w:hAnsi="Arial" w:cs="Arial"/>
                <w:color w:val="000000" w:themeColor="text1"/>
                <w:sz w:val="18"/>
                <w:szCs w:val="18"/>
              </w:rPr>
            </w:pPr>
            <w:bookmarkStart w:id="101" w:name="_Toc67326844"/>
            <w:r w:rsidRPr="00F43653">
              <w:rPr>
                <w:rFonts w:ascii="Arial" w:eastAsia="Times New Roman" w:hAnsi="Arial" w:cs="Arial"/>
                <w:color w:val="000000" w:themeColor="text1"/>
                <w:sz w:val="18"/>
                <w:szCs w:val="18"/>
              </w:rPr>
              <w:t>Plaćene kamate</w:t>
            </w:r>
            <w:bookmarkEnd w:id="101"/>
          </w:p>
        </w:tc>
        <w:tc>
          <w:tcPr>
            <w:tcW w:w="1252" w:type="dxa"/>
            <w:shd w:val="clear" w:color="auto" w:fill="auto"/>
            <w:vAlign w:val="bottom"/>
          </w:tcPr>
          <w:p w14:paraId="30EC5ABF" w14:textId="358B48B0" w:rsidR="00F92F4E" w:rsidRPr="00C60384" w:rsidRDefault="00E167FF" w:rsidP="00F92F4E">
            <w:pPr>
              <w:keepLines/>
              <w:suppressAutoHyphens/>
              <w:autoSpaceDN w:val="0"/>
              <w:jc w:val="right"/>
              <w:rPr>
                <w:rFonts w:ascii="Arial" w:eastAsia="Times New Roman" w:hAnsi="Arial" w:cs="Arial"/>
                <w:color w:val="000000" w:themeColor="text1"/>
                <w:spacing w:val="-2"/>
                <w:sz w:val="18"/>
                <w:szCs w:val="18"/>
              </w:rPr>
            </w:pPr>
            <w:r>
              <w:rPr>
                <w:rFonts w:ascii="Arial" w:eastAsia="Times New Roman" w:hAnsi="Arial" w:cs="Arial"/>
                <w:color w:val="000000" w:themeColor="text1"/>
                <w:spacing w:val="-2"/>
                <w:sz w:val="18"/>
                <w:szCs w:val="18"/>
              </w:rPr>
              <w:t>31.033</w:t>
            </w:r>
          </w:p>
        </w:tc>
        <w:tc>
          <w:tcPr>
            <w:tcW w:w="1252" w:type="dxa"/>
            <w:vAlign w:val="bottom"/>
          </w:tcPr>
          <w:p w14:paraId="76621FAF" w14:textId="0F43CC36" w:rsidR="00F92F4E" w:rsidRPr="00C60384" w:rsidRDefault="00F92F4E" w:rsidP="00F92F4E">
            <w:pPr>
              <w:keepLines/>
              <w:suppressAutoHyphens/>
              <w:autoSpaceDN w:val="0"/>
              <w:jc w:val="right"/>
              <w:rPr>
                <w:rFonts w:ascii="Arial" w:eastAsia="Times New Roman" w:hAnsi="Arial" w:cs="Arial"/>
                <w:color w:val="000000" w:themeColor="text1"/>
                <w:spacing w:val="-2"/>
                <w:sz w:val="18"/>
                <w:szCs w:val="18"/>
              </w:rPr>
            </w:pPr>
            <w:r w:rsidRPr="00665B2A">
              <w:rPr>
                <w:rFonts w:ascii="Arial" w:eastAsia="Times New Roman" w:hAnsi="Arial" w:cs="Arial"/>
                <w:color w:val="000000" w:themeColor="text1"/>
                <w:spacing w:val="-2"/>
                <w:sz w:val="18"/>
                <w:szCs w:val="18"/>
              </w:rPr>
              <w:t>16.807</w:t>
            </w:r>
          </w:p>
        </w:tc>
      </w:tr>
      <w:tr w:rsidR="00F92F4E" w:rsidRPr="008F09B7" w14:paraId="1BE4521C" w14:textId="77777777" w:rsidTr="007478FB">
        <w:trPr>
          <w:trHeight w:val="68"/>
        </w:trPr>
        <w:tc>
          <w:tcPr>
            <w:tcW w:w="7515" w:type="dxa"/>
            <w:vAlign w:val="bottom"/>
          </w:tcPr>
          <w:p w14:paraId="4EBC9C40" w14:textId="77777777" w:rsidR="00F92F4E" w:rsidRPr="00F43653" w:rsidRDefault="00F92F4E" w:rsidP="00F92F4E">
            <w:pPr>
              <w:keepLines/>
              <w:tabs>
                <w:tab w:val="right" w:pos="1202"/>
              </w:tabs>
              <w:suppressAutoHyphens/>
              <w:autoSpaceDN w:val="0"/>
              <w:spacing w:line="220" w:lineRule="exact"/>
              <w:outlineLvl w:val="0"/>
              <w:rPr>
                <w:rFonts w:ascii="Arial" w:eastAsia="Times New Roman" w:hAnsi="Arial" w:cs="Arial"/>
                <w:color w:val="000000" w:themeColor="text1"/>
                <w:sz w:val="18"/>
                <w:szCs w:val="18"/>
              </w:rPr>
            </w:pPr>
            <w:bookmarkStart w:id="102" w:name="_Toc67326845"/>
            <w:r w:rsidRPr="00F43653">
              <w:rPr>
                <w:rFonts w:ascii="Arial" w:eastAsia="Times New Roman" w:hAnsi="Arial" w:cs="Arial"/>
                <w:color w:val="000000" w:themeColor="text1"/>
                <w:sz w:val="18"/>
                <w:szCs w:val="18"/>
              </w:rPr>
              <w:t>Primljene kamate</w:t>
            </w:r>
            <w:bookmarkEnd w:id="102"/>
          </w:p>
        </w:tc>
        <w:tc>
          <w:tcPr>
            <w:tcW w:w="1252" w:type="dxa"/>
            <w:shd w:val="clear" w:color="auto" w:fill="auto"/>
            <w:vAlign w:val="bottom"/>
          </w:tcPr>
          <w:p w14:paraId="34C32482" w14:textId="3E0578AA" w:rsidR="00F92F4E" w:rsidRPr="00C60384" w:rsidRDefault="007E6596" w:rsidP="00F92F4E">
            <w:pPr>
              <w:keepLines/>
              <w:suppressAutoHyphens/>
              <w:autoSpaceDN w:val="0"/>
              <w:jc w:val="right"/>
              <w:rPr>
                <w:rFonts w:ascii="Arial" w:eastAsia="Times New Roman" w:hAnsi="Arial" w:cs="Arial"/>
                <w:color w:val="000000" w:themeColor="text1"/>
                <w:spacing w:val="-2"/>
                <w:sz w:val="18"/>
                <w:szCs w:val="18"/>
              </w:rPr>
            </w:pPr>
            <w:r>
              <w:rPr>
                <w:rFonts w:ascii="Arial" w:eastAsia="Times New Roman" w:hAnsi="Arial" w:cs="Arial"/>
                <w:color w:val="000000" w:themeColor="text1"/>
                <w:spacing w:val="-2"/>
                <w:sz w:val="18"/>
                <w:szCs w:val="18"/>
              </w:rPr>
              <w:t>7</w:t>
            </w:r>
            <w:r w:rsidR="00CA4EA4">
              <w:rPr>
                <w:rFonts w:ascii="Arial" w:eastAsia="Times New Roman" w:hAnsi="Arial" w:cs="Arial"/>
                <w:color w:val="000000" w:themeColor="text1"/>
                <w:spacing w:val="-2"/>
                <w:sz w:val="18"/>
                <w:szCs w:val="18"/>
              </w:rPr>
              <w:t>1</w:t>
            </w:r>
            <w:r>
              <w:rPr>
                <w:rFonts w:ascii="Arial" w:eastAsia="Times New Roman" w:hAnsi="Arial" w:cs="Arial"/>
                <w:color w:val="000000" w:themeColor="text1"/>
                <w:spacing w:val="-2"/>
                <w:sz w:val="18"/>
                <w:szCs w:val="18"/>
              </w:rPr>
              <w:t>.</w:t>
            </w:r>
            <w:r w:rsidR="00CA4EA4">
              <w:rPr>
                <w:rFonts w:ascii="Arial" w:eastAsia="Times New Roman" w:hAnsi="Arial" w:cs="Arial"/>
                <w:color w:val="000000" w:themeColor="text1"/>
                <w:spacing w:val="-2"/>
                <w:sz w:val="18"/>
                <w:szCs w:val="18"/>
              </w:rPr>
              <w:t>123</w:t>
            </w:r>
          </w:p>
        </w:tc>
        <w:tc>
          <w:tcPr>
            <w:tcW w:w="1252" w:type="dxa"/>
            <w:vAlign w:val="bottom"/>
          </w:tcPr>
          <w:p w14:paraId="3D5C6039" w14:textId="47B3BD14" w:rsidR="00F92F4E" w:rsidRPr="00C60384" w:rsidRDefault="00F92F4E" w:rsidP="00F92F4E">
            <w:pPr>
              <w:keepLines/>
              <w:suppressAutoHyphens/>
              <w:autoSpaceDN w:val="0"/>
              <w:jc w:val="right"/>
              <w:rPr>
                <w:rFonts w:ascii="Arial" w:eastAsia="Times New Roman" w:hAnsi="Arial" w:cs="Arial"/>
                <w:color w:val="000000" w:themeColor="text1"/>
                <w:spacing w:val="-2"/>
                <w:sz w:val="18"/>
                <w:szCs w:val="18"/>
              </w:rPr>
            </w:pPr>
            <w:r w:rsidRPr="00665B2A">
              <w:rPr>
                <w:rFonts w:ascii="Arial" w:eastAsia="Times New Roman" w:hAnsi="Arial" w:cs="Arial"/>
                <w:color w:val="000000" w:themeColor="text1"/>
                <w:spacing w:val="-2"/>
                <w:sz w:val="18"/>
                <w:szCs w:val="18"/>
              </w:rPr>
              <w:t>53.324</w:t>
            </w:r>
          </w:p>
        </w:tc>
      </w:tr>
      <w:bookmarkEnd w:id="60"/>
    </w:tbl>
    <w:p w14:paraId="69B1E706" w14:textId="77777777" w:rsidR="00DC6A7C" w:rsidRPr="003D1614" w:rsidRDefault="00DC6A7C" w:rsidP="008C368A">
      <w:pPr>
        <w:keepNext/>
        <w:suppressAutoHyphens/>
        <w:autoSpaceDN w:val="0"/>
        <w:jc w:val="both"/>
        <w:outlineLvl w:val="0"/>
        <w:rPr>
          <w:rFonts w:ascii="Arial" w:eastAsia="Times New Roman" w:hAnsi="Arial" w:cs="Arial"/>
          <w:bCs/>
          <w:color w:val="000000" w:themeColor="text1"/>
          <w:sz w:val="20"/>
          <w:szCs w:val="20"/>
        </w:rPr>
      </w:pPr>
    </w:p>
    <w:p w14:paraId="27C2A51C" w14:textId="77777777" w:rsidR="00DC6A7C" w:rsidRPr="003D1614" w:rsidRDefault="00DC6A7C" w:rsidP="008C368A">
      <w:pPr>
        <w:keepNext/>
        <w:suppressAutoHyphens/>
        <w:autoSpaceDN w:val="0"/>
        <w:jc w:val="both"/>
        <w:outlineLvl w:val="0"/>
        <w:rPr>
          <w:rFonts w:ascii="Arial" w:eastAsia="Times New Roman" w:hAnsi="Arial" w:cs="Arial"/>
          <w:bCs/>
          <w:color w:val="000000" w:themeColor="text1"/>
          <w:sz w:val="20"/>
          <w:szCs w:val="20"/>
        </w:rPr>
      </w:pPr>
    </w:p>
    <w:p w14:paraId="7754D298" w14:textId="77777777" w:rsidR="009B1C37" w:rsidRPr="003D1614" w:rsidRDefault="009B1C37" w:rsidP="008C368A">
      <w:pPr>
        <w:keepNext/>
        <w:suppressAutoHyphens/>
        <w:autoSpaceDN w:val="0"/>
        <w:jc w:val="both"/>
        <w:outlineLvl w:val="0"/>
        <w:rPr>
          <w:rFonts w:ascii="Arial" w:eastAsia="Times New Roman" w:hAnsi="Arial" w:cs="Arial"/>
          <w:bCs/>
          <w:color w:val="000000" w:themeColor="text1"/>
          <w:sz w:val="20"/>
          <w:szCs w:val="20"/>
        </w:rPr>
      </w:pPr>
    </w:p>
    <w:p w14:paraId="439441A4" w14:textId="366B8815" w:rsidR="009B1C37" w:rsidRPr="003D1614" w:rsidRDefault="009B1C37" w:rsidP="008C368A">
      <w:pPr>
        <w:keepNext/>
        <w:suppressAutoHyphens/>
        <w:autoSpaceDN w:val="0"/>
        <w:jc w:val="both"/>
        <w:outlineLvl w:val="0"/>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Priložene računovodstvene politike i bilješke sastavni su dio ovih financijskih izvještaja.</w:t>
      </w:r>
    </w:p>
    <w:p w14:paraId="15DF3397" w14:textId="77777777" w:rsidR="009B1C37" w:rsidRPr="003D1614" w:rsidRDefault="009B1C37" w:rsidP="008C368A">
      <w:pPr>
        <w:keepNext/>
        <w:suppressAutoHyphens/>
        <w:autoSpaceDN w:val="0"/>
        <w:jc w:val="both"/>
        <w:outlineLvl w:val="0"/>
        <w:rPr>
          <w:rFonts w:ascii="Arial" w:eastAsia="Times New Roman" w:hAnsi="Arial" w:cs="Arial"/>
          <w:bCs/>
          <w:color w:val="000000" w:themeColor="text1"/>
          <w:sz w:val="20"/>
          <w:szCs w:val="20"/>
        </w:rPr>
        <w:sectPr w:rsidR="009B1C37" w:rsidRPr="003D1614">
          <w:headerReference w:type="default" r:id="rId14"/>
          <w:pgSz w:w="11906" w:h="16838"/>
          <w:pgMar w:top="1417" w:right="1417" w:bottom="1417" w:left="1417" w:header="708" w:footer="708" w:gutter="0"/>
          <w:cols w:space="708"/>
          <w:docGrid w:linePitch="360"/>
        </w:sectPr>
      </w:pPr>
    </w:p>
    <w:p w14:paraId="63D24CF5" w14:textId="68D88F5B" w:rsidR="009B1C37" w:rsidRPr="003D1614" w:rsidRDefault="009B1C37" w:rsidP="008C368A">
      <w:pPr>
        <w:keepNext/>
        <w:suppressAutoHyphens/>
        <w:autoSpaceDN w:val="0"/>
        <w:jc w:val="both"/>
        <w:outlineLvl w:val="0"/>
        <w:rPr>
          <w:rFonts w:ascii="Arial" w:eastAsia="Times New Roman" w:hAnsi="Arial" w:cs="Arial"/>
          <w:bCs/>
          <w:color w:val="000000" w:themeColor="text1"/>
          <w:sz w:val="20"/>
          <w:szCs w:val="20"/>
        </w:rPr>
      </w:pPr>
    </w:p>
    <w:p w14:paraId="4F8C2E97" w14:textId="77777777" w:rsidR="00DE7EEE" w:rsidRPr="003D1614" w:rsidRDefault="00DE7EEE" w:rsidP="00DE7EEE">
      <w:pPr>
        <w:rPr>
          <w:rFonts w:ascii="Arial" w:eastAsia="Times New Roman" w:hAnsi="Arial" w:cs="Arial"/>
          <w:sz w:val="20"/>
          <w:szCs w:val="20"/>
        </w:rPr>
      </w:pPr>
    </w:p>
    <w:tbl>
      <w:tblPr>
        <w:tblpPr w:leftFromText="180" w:rightFromText="180" w:vertAnchor="page" w:horzAnchor="margin" w:tblpXSpec="center" w:tblpY="2678"/>
        <w:tblW w:w="5297" w:type="pct"/>
        <w:tblLayout w:type="fixed"/>
        <w:tblCellMar>
          <w:left w:w="120" w:type="dxa"/>
          <w:right w:w="120" w:type="dxa"/>
        </w:tblCellMar>
        <w:tblLook w:val="0000" w:firstRow="0" w:lastRow="0" w:firstColumn="0" w:lastColumn="0" w:noHBand="0" w:noVBand="0"/>
      </w:tblPr>
      <w:tblGrid>
        <w:gridCol w:w="2533"/>
        <w:gridCol w:w="1140"/>
        <w:gridCol w:w="1067"/>
        <w:gridCol w:w="1140"/>
        <w:gridCol w:w="1334"/>
        <w:gridCol w:w="1067"/>
        <w:gridCol w:w="1330"/>
      </w:tblGrid>
      <w:tr w:rsidR="00242B62" w:rsidRPr="00082C10" w14:paraId="1FC84930" w14:textId="77777777" w:rsidTr="002D200D">
        <w:trPr>
          <w:trHeight w:val="783"/>
        </w:trPr>
        <w:tc>
          <w:tcPr>
            <w:tcW w:w="1318" w:type="pct"/>
            <w:vAlign w:val="bottom"/>
          </w:tcPr>
          <w:p w14:paraId="186EDA4A" w14:textId="77777777" w:rsidR="00242B62" w:rsidRPr="00291152" w:rsidRDefault="00242B62" w:rsidP="00242B62">
            <w:pPr>
              <w:tabs>
                <w:tab w:val="right" w:pos="1202"/>
              </w:tabs>
              <w:suppressAutoHyphens/>
              <w:autoSpaceDN w:val="0"/>
              <w:spacing w:line="301" w:lineRule="exact"/>
              <w:outlineLvl w:val="0"/>
              <w:rPr>
                <w:rFonts w:ascii="Arial" w:eastAsia="Times New Roman" w:hAnsi="Arial" w:cs="Arial"/>
                <w:b/>
                <w:iCs/>
                <w:color w:val="000000" w:themeColor="text1"/>
                <w:sz w:val="18"/>
                <w:szCs w:val="18"/>
              </w:rPr>
            </w:pPr>
          </w:p>
        </w:tc>
        <w:tc>
          <w:tcPr>
            <w:tcW w:w="593" w:type="pct"/>
            <w:vAlign w:val="bottom"/>
          </w:tcPr>
          <w:p w14:paraId="6FB8FFF4" w14:textId="77777777" w:rsidR="00242B62" w:rsidRPr="00082C10" w:rsidRDefault="00242B62" w:rsidP="00242B62">
            <w:pPr>
              <w:tabs>
                <w:tab w:val="right" w:pos="1202"/>
              </w:tabs>
              <w:suppressAutoHyphens/>
              <w:autoSpaceDN w:val="0"/>
              <w:spacing w:line="301" w:lineRule="exact"/>
              <w:jc w:val="right"/>
              <w:outlineLvl w:val="0"/>
              <w:rPr>
                <w:rFonts w:ascii="Arial" w:eastAsia="Times New Roman" w:hAnsi="Arial" w:cs="Arial"/>
                <w:b/>
                <w:iCs/>
                <w:color w:val="000000" w:themeColor="text1"/>
                <w:sz w:val="18"/>
                <w:szCs w:val="18"/>
              </w:rPr>
            </w:pPr>
            <w:bookmarkStart w:id="103" w:name="_Toc67326846"/>
            <w:r w:rsidRPr="00082C10">
              <w:rPr>
                <w:rFonts w:ascii="Arial" w:eastAsia="Times New Roman" w:hAnsi="Arial" w:cs="Arial"/>
                <w:b/>
                <w:iCs/>
                <w:color w:val="000000" w:themeColor="text1"/>
                <w:sz w:val="18"/>
                <w:szCs w:val="18"/>
              </w:rPr>
              <w:t>Osnivački</w:t>
            </w:r>
            <w:bookmarkEnd w:id="103"/>
            <w:r w:rsidRPr="00082C10">
              <w:rPr>
                <w:rFonts w:ascii="Arial" w:eastAsia="Times New Roman" w:hAnsi="Arial" w:cs="Arial"/>
                <w:b/>
                <w:iCs/>
                <w:color w:val="000000" w:themeColor="text1"/>
                <w:sz w:val="18"/>
                <w:szCs w:val="18"/>
              </w:rPr>
              <w:t xml:space="preserve"> </w:t>
            </w:r>
          </w:p>
          <w:p w14:paraId="274020E3" w14:textId="77777777" w:rsidR="00242B62" w:rsidRPr="00082C10" w:rsidRDefault="00242B62" w:rsidP="00242B62">
            <w:pPr>
              <w:tabs>
                <w:tab w:val="right" w:pos="1202"/>
              </w:tabs>
              <w:suppressAutoHyphens/>
              <w:autoSpaceDN w:val="0"/>
              <w:spacing w:line="301" w:lineRule="exact"/>
              <w:jc w:val="right"/>
              <w:outlineLvl w:val="0"/>
              <w:rPr>
                <w:rFonts w:ascii="Arial" w:eastAsia="Times New Roman" w:hAnsi="Arial" w:cs="Arial"/>
                <w:b/>
                <w:iCs/>
                <w:color w:val="000000" w:themeColor="text1"/>
                <w:sz w:val="18"/>
                <w:szCs w:val="18"/>
              </w:rPr>
            </w:pPr>
            <w:bookmarkStart w:id="104" w:name="_Toc67326847"/>
            <w:r w:rsidRPr="00082C10">
              <w:rPr>
                <w:rFonts w:ascii="Arial" w:eastAsia="Times New Roman" w:hAnsi="Arial" w:cs="Arial"/>
                <w:b/>
                <w:iCs/>
                <w:color w:val="000000" w:themeColor="text1"/>
                <w:sz w:val="18"/>
                <w:szCs w:val="18"/>
              </w:rPr>
              <w:t>kapital</w:t>
            </w:r>
            <w:bookmarkEnd w:id="104"/>
          </w:p>
        </w:tc>
        <w:tc>
          <w:tcPr>
            <w:tcW w:w="555" w:type="pct"/>
            <w:vAlign w:val="bottom"/>
          </w:tcPr>
          <w:p w14:paraId="623A7802" w14:textId="16BBAEB4" w:rsidR="00242B62" w:rsidRPr="00082C10" w:rsidRDefault="00242B62" w:rsidP="00531D68">
            <w:pPr>
              <w:tabs>
                <w:tab w:val="right" w:pos="1202"/>
              </w:tabs>
              <w:suppressAutoHyphens/>
              <w:autoSpaceDN w:val="0"/>
              <w:spacing w:line="301" w:lineRule="exact"/>
              <w:jc w:val="right"/>
              <w:outlineLvl w:val="0"/>
              <w:rPr>
                <w:rFonts w:ascii="Arial" w:eastAsia="Times New Roman" w:hAnsi="Arial" w:cs="Arial"/>
                <w:b/>
                <w:iCs/>
                <w:color w:val="000000" w:themeColor="text1"/>
                <w:sz w:val="18"/>
                <w:szCs w:val="18"/>
              </w:rPr>
            </w:pPr>
            <w:bookmarkStart w:id="105" w:name="_Toc67326848"/>
            <w:r w:rsidRPr="00082C10">
              <w:rPr>
                <w:rFonts w:ascii="Arial" w:eastAsia="Times New Roman" w:hAnsi="Arial" w:cs="Arial"/>
                <w:b/>
                <w:iCs/>
                <w:color w:val="000000" w:themeColor="text1"/>
                <w:sz w:val="18"/>
                <w:szCs w:val="18"/>
              </w:rPr>
              <w:t>Zadržana</w:t>
            </w:r>
            <w:bookmarkEnd w:id="105"/>
            <w:r w:rsidRPr="00082C10">
              <w:rPr>
                <w:rFonts w:ascii="Arial" w:eastAsia="Times New Roman" w:hAnsi="Arial" w:cs="Arial"/>
                <w:b/>
                <w:iCs/>
                <w:color w:val="000000" w:themeColor="text1"/>
                <w:sz w:val="18"/>
                <w:szCs w:val="18"/>
              </w:rPr>
              <w:t xml:space="preserve"> </w:t>
            </w:r>
          </w:p>
          <w:p w14:paraId="781AD2DE" w14:textId="77777777" w:rsidR="00242B62" w:rsidRPr="00082C10" w:rsidRDefault="00242B62" w:rsidP="00242B62">
            <w:pPr>
              <w:tabs>
                <w:tab w:val="right" w:pos="1202"/>
              </w:tabs>
              <w:suppressAutoHyphens/>
              <w:autoSpaceDN w:val="0"/>
              <w:spacing w:line="301" w:lineRule="exact"/>
              <w:jc w:val="right"/>
              <w:outlineLvl w:val="0"/>
              <w:rPr>
                <w:rFonts w:ascii="Arial" w:eastAsia="Times New Roman" w:hAnsi="Arial" w:cs="Arial"/>
                <w:b/>
                <w:iCs/>
                <w:color w:val="000000" w:themeColor="text1"/>
                <w:sz w:val="18"/>
                <w:szCs w:val="18"/>
              </w:rPr>
            </w:pPr>
            <w:bookmarkStart w:id="106" w:name="_Toc67326849"/>
            <w:r w:rsidRPr="00082C10">
              <w:rPr>
                <w:rFonts w:ascii="Arial" w:eastAsia="Times New Roman" w:hAnsi="Arial" w:cs="Arial"/>
                <w:b/>
                <w:iCs/>
                <w:color w:val="000000" w:themeColor="text1"/>
                <w:sz w:val="18"/>
                <w:szCs w:val="18"/>
              </w:rPr>
              <w:t>dobit i rezerve</w:t>
            </w:r>
            <w:bookmarkEnd w:id="106"/>
          </w:p>
        </w:tc>
        <w:tc>
          <w:tcPr>
            <w:tcW w:w="593" w:type="pct"/>
            <w:vAlign w:val="bottom"/>
          </w:tcPr>
          <w:p w14:paraId="38188F4D" w14:textId="77777777" w:rsidR="00242B62" w:rsidRPr="00082C10" w:rsidRDefault="00242B62" w:rsidP="00242B62">
            <w:pPr>
              <w:tabs>
                <w:tab w:val="right" w:pos="1202"/>
              </w:tabs>
              <w:suppressAutoHyphens/>
              <w:autoSpaceDN w:val="0"/>
              <w:spacing w:line="301" w:lineRule="exact"/>
              <w:jc w:val="right"/>
              <w:outlineLvl w:val="0"/>
              <w:rPr>
                <w:rFonts w:ascii="Arial" w:eastAsia="Times New Roman" w:hAnsi="Arial" w:cs="Arial"/>
                <w:b/>
                <w:iCs/>
                <w:color w:val="000000" w:themeColor="text1"/>
                <w:sz w:val="18"/>
                <w:szCs w:val="18"/>
              </w:rPr>
            </w:pPr>
            <w:bookmarkStart w:id="107" w:name="_Toc67326850"/>
            <w:r w:rsidRPr="00082C10">
              <w:rPr>
                <w:rFonts w:ascii="Arial" w:eastAsia="Times New Roman" w:hAnsi="Arial" w:cs="Arial"/>
                <w:b/>
                <w:iCs/>
                <w:color w:val="000000" w:themeColor="text1"/>
                <w:sz w:val="18"/>
                <w:szCs w:val="18"/>
              </w:rPr>
              <w:t>Ostale rezerve</w:t>
            </w:r>
            <w:bookmarkEnd w:id="107"/>
          </w:p>
        </w:tc>
        <w:tc>
          <w:tcPr>
            <w:tcW w:w="694" w:type="pct"/>
            <w:vAlign w:val="bottom"/>
          </w:tcPr>
          <w:p w14:paraId="213E522B" w14:textId="77777777" w:rsidR="00242B62" w:rsidRPr="00082C10" w:rsidRDefault="00242B62" w:rsidP="00242B62">
            <w:pPr>
              <w:tabs>
                <w:tab w:val="right" w:pos="1202"/>
              </w:tabs>
              <w:suppressAutoHyphens/>
              <w:autoSpaceDN w:val="0"/>
              <w:spacing w:line="301" w:lineRule="exact"/>
              <w:jc w:val="right"/>
              <w:outlineLvl w:val="0"/>
              <w:rPr>
                <w:rFonts w:ascii="Arial" w:eastAsia="Times New Roman" w:hAnsi="Arial" w:cs="Arial"/>
                <w:b/>
                <w:iCs/>
                <w:color w:val="000000" w:themeColor="text1"/>
                <w:sz w:val="18"/>
                <w:szCs w:val="18"/>
              </w:rPr>
            </w:pPr>
            <w:bookmarkStart w:id="108" w:name="_Toc67326851"/>
            <w:r w:rsidRPr="00082C10">
              <w:rPr>
                <w:rFonts w:ascii="Arial" w:eastAsia="Times New Roman" w:hAnsi="Arial" w:cs="Arial"/>
                <w:b/>
                <w:iCs/>
                <w:color w:val="000000" w:themeColor="text1"/>
                <w:sz w:val="18"/>
                <w:szCs w:val="18"/>
              </w:rPr>
              <w:t>Neto dobit</w:t>
            </w:r>
            <w:bookmarkEnd w:id="108"/>
            <w:r w:rsidRPr="00082C10">
              <w:rPr>
                <w:rFonts w:ascii="Arial" w:eastAsia="Times New Roman" w:hAnsi="Arial" w:cs="Arial"/>
                <w:b/>
                <w:iCs/>
                <w:color w:val="000000" w:themeColor="text1"/>
                <w:sz w:val="18"/>
                <w:szCs w:val="18"/>
              </w:rPr>
              <w:t xml:space="preserve"> </w:t>
            </w:r>
          </w:p>
          <w:p w14:paraId="6EE30340" w14:textId="2E58BD47" w:rsidR="00242B62" w:rsidRPr="00082C10" w:rsidRDefault="00242B62" w:rsidP="00242B62">
            <w:pPr>
              <w:tabs>
                <w:tab w:val="right" w:pos="1202"/>
              </w:tabs>
              <w:suppressAutoHyphens/>
              <w:autoSpaceDN w:val="0"/>
              <w:spacing w:line="301" w:lineRule="exact"/>
              <w:jc w:val="right"/>
              <w:outlineLvl w:val="0"/>
              <w:rPr>
                <w:rFonts w:ascii="Arial" w:eastAsia="Times New Roman" w:hAnsi="Arial" w:cs="Arial"/>
                <w:b/>
                <w:iCs/>
                <w:color w:val="000000" w:themeColor="text1"/>
                <w:sz w:val="18"/>
                <w:szCs w:val="18"/>
              </w:rPr>
            </w:pPr>
            <w:bookmarkStart w:id="109" w:name="_Toc67326852"/>
            <w:r w:rsidRPr="00082C10">
              <w:rPr>
                <w:rFonts w:ascii="Arial" w:eastAsia="Times New Roman" w:hAnsi="Arial" w:cs="Arial"/>
                <w:b/>
                <w:iCs/>
                <w:color w:val="000000" w:themeColor="text1"/>
                <w:sz w:val="18"/>
                <w:szCs w:val="18"/>
              </w:rPr>
              <w:t>tekuć</w:t>
            </w:r>
            <w:r w:rsidR="0005132E" w:rsidRPr="00082C10">
              <w:rPr>
                <w:rFonts w:ascii="Arial" w:eastAsia="Times New Roman" w:hAnsi="Arial" w:cs="Arial"/>
                <w:b/>
                <w:iCs/>
                <w:color w:val="000000" w:themeColor="text1"/>
                <w:sz w:val="18"/>
                <w:szCs w:val="18"/>
              </w:rPr>
              <w:t>e</w:t>
            </w:r>
            <w:r w:rsidRPr="00082C10">
              <w:rPr>
                <w:rFonts w:ascii="Arial" w:eastAsia="Times New Roman" w:hAnsi="Arial" w:cs="Arial"/>
                <w:b/>
                <w:iCs/>
                <w:color w:val="000000" w:themeColor="text1"/>
                <w:sz w:val="18"/>
                <w:szCs w:val="18"/>
              </w:rPr>
              <w:t xml:space="preserve">g </w:t>
            </w:r>
            <w:bookmarkEnd w:id="109"/>
            <w:r w:rsidRPr="00082C10">
              <w:rPr>
                <w:rFonts w:ascii="Arial" w:eastAsia="Times New Roman" w:hAnsi="Arial" w:cs="Arial"/>
                <w:b/>
                <w:iCs/>
                <w:color w:val="000000" w:themeColor="text1"/>
                <w:sz w:val="18"/>
                <w:szCs w:val="18"/>
              </w:rPr>
              <w:t>razdoblja</w:t>
            </w:r>
          </w:p>
        </w:tc>
        <w:tc>
          <w:tcPr>
            <w:tcW w:w="555" w:type="pct"/>
            <w:vAlign w:val="bottom"/>
          </w:tcPr>
          <w:p w14:paraId="1600A0F8" w14:textId="77777777" w:rsidR="00242B62" w:rsidRPr="00082C10" w:rsidRDefault="00242B62" w:rsidP="00242B62">
            <w:pPr>
              <w:tabs>
                <w:tab w:val="right" w:pos="1202"/>
              </w:tabs>
              <w:suppressAutoHyphens/>
              <w:autoSpaceDN w:val="0"/>
              <w:spacing w:line="301" w:lineRule="exact"/>
              <w:jc w:val="right"/>
              <w:outlineLvl w:val="0"/>
              <w:rPr>
                <w:rFonts w:ascii="Arial" w:eastAsia="Times New Roman" w:hAnsi="Arial" w:cs="Arial"/>
                <w:b/>
                <w:iCs/>
                <w:color w:val="000000" w:themeColor="text1"/>
                <w:sz w:val="18"/>
                <w:szCs w:val="18"/>
              </w:rPr>
            </w:pPr>
          </w:p>
          <w:p w14:paraId="312C012B" w14:textId="77777777" w:rsidR="00242B62" w:rsidRPr="00082C10" w:rsidRDefault="00242B62" w:rsidP="00242B62">
            <w:pPr>
              <w:tabs>
                <w:tab w:val="right" w:pos="1202"/>
              </w:tabs>
              <w:suppressAutoHyphens/>
              <w:autoSpaceDN w:val="0"/>
              <w:spacing w:line="301" w:lineRule="exact"/>
              <w:jc w:val="right"/>
              <w:outlineLvl w:val="0"/>
              <w:rPr>
                <w:rFonts w:ascii="Arial" w:eastAsia="Times New Roman" w:hAnsi="Arial" w:cs="Arial"/>
                <w:b/>
                <w:iCs/>
                <w:color w:val="000000" w:themeColor="text1"/>
                <w:sz w:val="18"/>
                <w:szCs w:val="18"/>
              </w:rPr>
            </w:pPr>
            <w:bookmarkStart w:id="110" w:name="_Toc67326853"/>
            <w:r w:rsidRPr="00082C10">
              <w:rPr>
                <w:rFonts w:ascii="Arial" w:eastAsia="Times New Roman" w:hAnsi="Arial" w:cs="Arial"/>
                <w:b/>
                <w:iCs/>
                <w:color w:val="000000" w:themeColor="text1"/>
                <w:sz w:val="18"/>
                <w:szCs w:val="18"/>
              </w:rPr>
              <w:t>Garantni</w:t>
            </w:r>
            <w:bookmarkEnd w:id="110"/>
            <w:r w:rsidRPr="00082C10">
              <w:rPr>
                <w:rFonts w:ascii="Arial" w:eastAsia="Times New Roman" w:hAnsi="Arial" w:cs="Arial"/>
                <w:b/>
                <w:iCs/>
                <w:color w:val="000000" w:themeColor="text1"/>
                <w:sz w:val="18"/>
                <w:szCs w:val="18"/>
              </w:rPr>
              <w:t xml:space="preserve"> </w:t>
            </w:r>
          </w:p>
          <w:p w14:paraId="00359582" w14:textId="77777777" w:rsidR="00242B62" w:rsidRPr="00082C10" w:rsidRDefault="00242B62" w:rsidP="00242B62">
            <w:pPr>
              <w:tabs>
                <w:tab w:val="right" w:pos="1202"/>
              </w:tabs>
              <w:suppressAutoHyphens/>
              <w:autoSpaceDN w:val="0"/>
              <w:spacing w:line="301" w:lineRule="exact"/>
              <w:jc w:val="right"/>
              <w:outlineLvl w:val="0"/>
              <w:rPr>
                <w:rFonts w:ascii="Arial" w:eastAsia="Times New Roman" w:hAnsi="Arial" w:cs="Arial"/>
                <w:b/>
                <w:iCs/>
                <w:color w:val="000000" w:themeColor="text1"/>
                <w:sz w:val="18"/>
                <w:szCs w:val="18"/>
              </w:rPr>
            </w:pPr>
            <w:bookmarkStart w:id="111" w:name="_Toc67326854"/>
            <w:r w:rsidRPr="00082C10">
              <w:rPr>
                <w:rFonts w:ascii="Arial" w:eastAsia="Times New Roman" w:hAnsi="Arial" w:cs="Arial"/>
                <w:b/>
                <w:iCs/>
                <w:color w:val="000000" w:themeColor="text1"/>
                <w:sz w:val="18"/>
                <w:szCs w:val="18"/>
              </w:rPr>
              <w:t>fond</w:t>
            </w:r>
            <w:bookmarkEnd w:id="111"/>
          </w:p>
        </w:tc>
        <w:tc>
          <w:tcPr>
            <w:tcW w:w="692" w:type="pct"/>
            <w:vAlign w:val="bottom"/>
          </w:tcPr>
          <w:p w14:paraId="22B54943" w14:textId="77777777" w:rsidR="00242B62" w:rsidRPr="00082C10" w:rsidRDefault="00242B62" w:rsidP="00242B62">
            <w:pPr>
              <w:tabs>
                <w:tab w:val="right" w:pos="1202"/>
              </w:tabs>
              <w:suppressAutoHyphens/>
              <w:autoSpaceDN w:val="0"/>
              <w:spacing w:line="301" w:lineRule="exact"/>
              <w:jc w:val="right"/>
              <w:outlineLvl w:val="0"/>
              <w:rPr>
                <w:rFonts w:ascii="Arial" w:eastAsia="Times New Roman" w:hAnsi="Arial" w:cs="Arial"/>
                <w:b/>
                <w:iCs/>
                <w:color w:val="000000" w:themeColor="text1"/>
                <w:sz w:val="18"/>
                <w:szCs w:val="18"/>
              </w:rPr>
            </w:pPr>
            <w:bookmarkStart w:id="112" w:name="_Toc67326855"/>
            <w:r w:rsidRPr="00082C10">
              <w:rPr>
                <w:rFonts w:ascii="Arial" w:eastAsia="Times New Roman" w:hAnsi="Arial" w:cs="Arial"/>
                <w:b/>
                <w:iCs/>
                <w:color w:val="000000" w:themeColor="text1"/>
                <w:sz w:val="18"/>
                <w:szCs w:val="18"/>
              </w:rPr>
              <w:t>Ukupni kapital</w:t>
            </w:r>
            <w:bookmarkEnd w:id="112"/>
            <w:r w:rsidRPr="00082C10">
              <w:rPr>
                <w:rFonts w:ascii="Arial" w:eastAsia="Times New Roman" w:hAnsi="Arial" w:cs="Arial"/>
                <w:b/>
                <w:iCs/>
                <w:color w:val="000000" w:themeColor="text1"/>
                <w:sz w:val="18"/>
                <w:szCs w:val="18"/>
              </w:rPr>
              <w:t xml:space="preserve"> </w:t>
            </w:r>
          </w:p>
        </w:tc>
      </w:tr>
      <w:tr w:rsidR="00242B62" w:rsidRPr="00082C10" w14:paraId="4FA01FEB" w14:textId="77777777" w:rsidTr="002D200D">
        <w:trPr>
          <w:trHeight w:val="298"/>
        </w:trPr>
        <w:tc>
          <w:tcPr>
            <w:tcW w:w="1318" w:type="pct"/>
            <w:vAlign w:val="bottom"/>
          </w:tcPr>
          <w:p w14:paraId="61AC80FD" w14:textId="77777777" w:rsidR="00242B62" w:rsidRPr="00291152" w:rsidRDefault="00242B62" w:rsidP="00242B62">
            <w:pPr>
              <w:tabs>
                <w:tab w:val="right" w:pos="1202"/>
              </w:tabs>
              <w:suppressAutoHyphens/>
              <w:autoSpaceDN w:val="0"/>
              <w:spacing w:line="301" w:lineRule="exact"/>
              <w:outlineLvl w:val="0"/>
              <w:rPr>
                <w:rFonts w:ascii="Arial" w:eastAsia="Times New Roman" w:hAnsi="Arial" w:cs="Arial"/>
                <w:iCs/>
                <w:color w:val="000000" w:themeColor="text1"/>
                <w:sz w:val="18"/>
                <w:szCs w:val="18"/>
              </w:rPr>
            </w:pPr>
          </w:p>
        </w:tc>
        <w:tc>
          <w:tcPr>
            <w:tcW w:w="593" w:type="pct"/>
            <w:vAlign w:val="bottom"/>
          </w:tcPr>
          <w:p w14:paraId="31DD5FD9" w14:textId="77777777" w:rsidR="00242B62" w:rsidRPr="00082C10" w:rsidRDefault="00242B62" w:rsidP="00242B62">
            <w:pPr>
              <w:keepLines/>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082C10">
              <w:rPr>
                <w:rFonts w:ascii="Arial" w:eastAsia="Times New Roman" w:hAnsi="Arial" w:cs="Arial"/>
                <w:b/>
                <w:bCs/>
                <w:color w:val="000000" w:themeColor="text1"/>
                <w:sz w:val="18"/>
                <w:szCs w:val="18"/>
              </w:rPr>
              <w:t>000 eura</w:t>
            </w:r>
          </w:p>
        </w:tc>
        <w:tc>
          <w:tcPr>
            <w:tcW w:w="555" w:type="pct"/>
            <w:vAlign w:val="bottom"/>
          </w:tcPr>
          <w:p w14:paraId="14B2DDED" w14:textId="77777777" w:rsidR="00242B62" w:rsidRPr="00082C10" w:rsidRDefault="00242B62" w:rsidP="00242B62">
            <w:pPr>
              <w:keepLines/>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082C10">
              <w:rPr>
                <w:rFonts w:ascii="Arial" w:eastAsia="Times New Roman" w:hAnsi="Arial" w:cs="Arial"/>
                <w:b/>
                <w:bCs/>
                <w:color w:val="000000" w:themeColor="text1"/>
                <w:sz w:val="18"/>
                <w:szCs w:val="18"/>
              </w:rPr>
              <w:t>000 eura</w:t>
            </w:r>
          </w:p>
        </w:tc>
        <w:tc>
          <w:tcPr>
            <w:tcW w:w="593" w:type="pct"/>
            <w:vAlign w:val="bottom"/>
          </w:tcPr>
          <w:p w14:paraId="2CF89BA0" w14:textId="77777777" w:rsidR="00242B62" w:rsidRPr="00082C10" w:rsidRDefault="00242B62" w:rsidP="00242B62">
            <w:pPr>
              <w:keepLines/>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082C10">
              <w:rPr>
                <w:rFonts w:ascii="Arial" w:eastAsia="Times New Roman" w:hAnsi="Arial" w:cs="Arial"/>
                <w:b/>
                <w:bCs/>
                <w:color w:val="000000" w:themeColor="text1"/>
                <w:sz w:val="18"/>
                <w:szCs w:val="18"/>
              </w:rPr>
              <w:t>000 eura</w:t>
            </w:r>
          </w:p>
        </w:tc>
        <w:tc>
          <w:tcPr>
            <w:tcW w:w="694" w:type="pct"/>
            <w:vAlign w:val="bottom"/>
          </w:tcPr>
          <w:p w14:paraId="58770A63" w14:textId="77777777" w:rsidR="00242B62" w:rsidRPr="00082C10" w:rsidRDefault="00242B62" w:rsidP="00242B62">
            <w:pPr>
              <w:keepLines/>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082C10">
              <w:rPr>
                <w:rFonts w:ascii="Arial" w:eastAsia="Times New Roman" w:hAnsi="Arial" w:cs="Arial"/>
                <w:b/>
                <w:bCs/>
                <w:color w:val="000000" w:themeColor="text1"/>
                <w:sz w:val="18"/>
                <w:szCs w:val="18"/>
              </w:rPr>
              <w:t>000 eura</w:t>
            </w:r>
          </w:p>
        </w:tc>
        <w:tc>
          <w:tcPr>
            <w:tcW w:w="555" w:type="pct"/>
            <w:vAlign w:val="bottom"/>
          </w:tcPr>
          <w:p w14:paraId="69D659D2" w14:textId="77777777" w:rsidR="00242B62" w:rsidRPr="00082C10" w:rsidRDefault="00242B62" w:rsidP="00242B62">
            <w:pPr>
              <w:keepLines/>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082C10">
              <w:rPr>
                <w:rFonts w:ascii="Arial" w:eastAsia="Times New Roman" w:hAnsi="Arial" w:cs="Arial"/>
                <w:b/>
                <w:bCs/>
                <w:color w:val="000000" w:themeColor="text1"/>
                <w:sz w:val="18"/>
                <w:szCs w:val="18"/>
              </w:rPr>
              <w:t>000 eura</w:t>
            </w:r>
          </w:p>
        </w:tc>
        <w:tc>
          <w:tcPr>
            <w:tcW w:w="692" w:type="pct"/>
            <w:vAlign w:val="bottom"/>
          </w:tcPr>
          <w:p w14:paraId="5F40AFAB" w14:textId="77777777" w:rsidR="00242B62" w:rsidRPr="00082C10" w:rsidRDefault="00242B62" w:rsidP="00242B62">
            <w:pPr>
              <w:keepLines/>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082C10">
              <w:rPr>
                <w:rFonts w:ascii="Arial" w:eastAsia="Times New Roman" w:hAnsi="Arial" w:cs="Arial"/>
                <w:b/>
                <w:bCs/>
                <w:color w:val="000000" w:themeColor="text1"/>
                <w:sz w:val="18"/>
                <w:szCs w:val="18"/>
              </w:rPr>
              <w:t>000 eura</w:t>
            </w:r>
          </w:p>
        </w:tc>
      </w:tr>
      <w:tr w:rsidR="00242B62" w:rsidRPr="00082C10" w14:paraId="729B4D39" w14:textId="77777777" w:rsidTr="002D200D">
        <w:trPr>
          <w:trHeight w:hRule="exact" w:val="284"/>
        </w:trPr>
        <w:tc>
          <w:tcPr>
            <w:tcW w:w="1318" w:type="pct"/>
            <w:vAlign w:val="bottom"/>
          </w:tcPr>
          <w:p w14:paraId="4CF54A52" w14:textId="77777777" w:rsidR="00242B62" w:rsidRPr="00291152" w:rsidRDefault="00242B62" w:rsidP="00242B62">
            <w:pPr>
              <w:tabs>
                <w:tab w:val="right" w:pos="1202"/>
              </w:tabs>
              <w:suppressAutoHyphens/>
              <w:autoSpaceDN w:val="0"/>
              <w:spacing w:line="140" w:lineRule="exact"/>
              <w:outlineLvl w:val="0"/>
              <w:rPr>
                <w:rFonts w:ascii="Arial" w:eastAsia="Times New Roman" w:hAnsi="Arial" w:cs="Arial"/>
                <w:iCs/>
                <w:color w:val="000000" w:themeColor="text1"/>
                <w:sz w:val="18"/>
                <w:szCs w:val="18"/>
              </w:rPr>
            </w:pPr>
          </w:p>
        </w:tc>
        <w:tc>
          <w:tcPr>
            <w:tcW w:w="593" w:type="pct"/>
            <w:tcBorders>
              <w:bottom w:val="single" w:sz="4" w:space="0" w:color="auto"/>
            </w:tcBorders>
            <w:vAlign w:val="bottom"/>
          </w:tcPr>
          <w:p w14:paraId="7930FE5B" w14:textId="77777777" w:rsidR="00242B62" w:rsidRPr="00082C10" w:rsidRDefault="00242B62" w:rsidP="00242B62">
            <w:pPr>
              <w:tabs>
                <w:tab w:val="right" w:pos="1202"/>
              </w:tabs>
              <w:suppressAutoHyphens/>
              <w:autoSpaceDN w:val="0"/>
              <w:spacing w:line="140" w:lineRule="exact"/>
              <w:jc w:val="right"/>
              <w:outlineLvl w:val="0"/>
              <w:rPr>
                <w:rFonts w:ascii="Arial" w:eastAsia="Times New Roman" w:hAnsi="Arial" w:cs="Arial"/>
                <w:b/>
                <w:bCs/>
                <w:color w:val="000000" w:themeColor="text1"/>
                <w:sz w:val="18"/>
                <w:szCs w:val="18"/>
              </w:rPr>
            </w:pPr>
          </w:p>
        </w:tc>
        <w:tc>
          <w:tcPr>
            <w:tcW w:w="555" w:type="pct"/>
            <w:tcBorders>
              <w:bottom w:val="single" w:sz="4" w:space="0" w:color="auto"/>
            </w:tcBorders>
            <w:vAlign w:val="bottom"/>
          </w:tcPr>
          <w:p w14:paraId="679AEFB4" w14:textId="77777777" w:rsidR="00242B62" w:rsidRPr="00082C10" w:rsidRDefault="00242B62" w:rsidP="00242B62">
            <w:pPr>
              <w:tabs>
                <w:tab w:val="right" w:pos="1202"/>
              </w:tabs>
              <w:suppressAutoHyphens/>
              <w:autoSpaceDN w:val="0"/>
              <w:spacing w:line="140" w:lineRule="exact"/>
              <w:jc w:val="right"/>
              <w:outlineLvl w:val="0"/>
              <w:rPr>
                <w:rFonts w:ascii="Arial" w:eastAsia="Times New Roman" w:hAnsi="Arial" w:cs="Arial"/>
                <w:b/>
                <w:bCs/>
                <w:color w:val="000000" w:themeColor="text1"/>
                <w:sz w:val="18"/>
                <w:szCs w:val="18"/>
              </w:rPr>
            </w:pPr>
          </w:p>
        </w:tc>
        <w:tc>
          <w:tcPr>
            <w:tcW w:w="593" w:type="pct"/>
            <w:tcBorders>
              <w:bottom w:val="single" w:sz="4" w:space="0" w:color="auto"/>
            </w:tcBorders>
            <w:vAlign w:val="bottom"/>
          </w:tcPr>
          <w:p w14:paraId="3DEAB5F7" w14:textId="77777777" w:rsidR="00242B62" w:rsidRPr="00082C10" w:rsidRDefault="00242B62" w:rsidP="00242B62">
            <w:pPr>
              <w:tabs>
                <w:tab w:val="right" w:pos="1202"/>
              </w:tabs>
              <w:suppressAutoHyphens/>
              <w:autoSpaceDN w:val="0"/>
              <w:spacing w:line="140" w:lineRule="exact"/>
              <w:jc w:val="right"/>
              <w:outlineLvl w:val="0"/>
              <w:rPr>
                <w:rFonts w:ascii="Arial" w:eastAsia="Times New Roman" w:hAnsi="Arial" w:cs="Arial"/>
                <w:b/>
                <w:bCs/>
                <w:color w:val="000000" w:themeColor="text1"/>
                <w:sz w:val="18"/>
                <w:szCs w:val="18"/>
              </w:rPr>
            </w:pPr>
          </w:p>
        </w:tc>
        <w:tc>
          <w:tcPr>
            <w:tcW w:w="694" w:type="pct"/>
            <w:tcBorders>
              <w:bottom w:val="single" w:sz="4" w:space="0" w:color="auto"/>
            </w:tcBorders>
            <w:vAlign w:val="bottom"/>
          </w:tcPr>
          <w:p w14:paraId="70539BF2" w14:textId="77777777" w:rsidR="00242B62" w:rsidRPr="00082C10" w:rsidRDefault="00242B62" w:rsidP="00242B62">
            <w:pPr>
              <w:tabs>
                <w:tab w:val="right" w:pos="1202"/>
              </w:tabs>
              <w:suppressAutoHyphens/>
              <w:autoSpaceDN w:val="0"/>
              <w:spacing w:line="140" w:lineRule="exact"/>
              <w:jc w:val="right"/>
              <w:outlineLvl w:val="0"/>
              <w:rPr>
                <w:rFonts w:ascii="Arial" w:eastAsia="Times New Roman" w:hAnsi="Arial" w:cs="Arial"/>
                <w:b/>
                <w:bCs/>
                <w:color w:val="000000" w:themeColor="text1"/>
                <w:sz w:val="18"/>
                <w:szCs w:val="18"/>
              </w:rPr>
            </w:pPr>
          </w:p>
        </w:tc>
        <w:tc>
          <w:tcPr>
            <w:tcW w:w="555" w:type="pct"/>
            <w:tcBorders>
              <w:bottom w:val="single" w:sz="4" w:space="0" w:color="auto"/>
            </w:tcBorders>
            <w:vAlign w:val="bottom"/>
          </w:tcPr>
          <w:p w14:paraId="52927D3D" w14:textId="77777777" w:rsidR="00242B62" w:rsidRPr="00082C10" w:rsidRDefault="00242B62" w:rsidP="00242B62">
            <w:pPr>
              <w:tabs>
                <w:tab w:val="right" w:pos="1202"/>
              </w:tabs>
              <w:suppressAutoHyphens/>
              <w:autoSpaceDN w:val="0"/>
              <w:spacing w:line="140" w:lineRule="exact"/>
              <w:jc w:val="right"/>
              <w:outlineLvl w:val="0"/>
              <w:rPr>
                <w:rFonts w:ascii="Arial" w:eastAsia="Times New Roman" w:hAnsi="Arial" w:cs="Arial"/>
                <w:b/>
                <w:bCs/>
                <w:color w:val="000000" w:themeColor="text1"/>
                <w:sz w:val="18"/>
                <w:szCs w:val="18"/>
              </w:rPr>
            </w:pPr>
          </w:p>
        </w:tc>
        <w:tc>
          <w:tcPr>
            <w:tcW w:w="692" w:type="pct"/>
            <w:tcBorders>
              <w:bottom w:val="single" w:sz="4" w:space="0" w:color="auto"/>
            </w:tcBorders>
            <w:vAlign w:val="bottom"/>
          </w:tcPr>
          <w:p w14:paraId="58DB5D68" w14:textId="77777777" w:rsidR="00242B62" w:rsidRPr="00082C10" w:rsidRDefault="00242B62" w:rsidP="00242B62">
            <w:pPr>
              <w:tabs>
                <w:tab w:val="right" w:pos="1202"/>
              </w:tabs>
              <w:suppressAutoHyphens/>
              <w:autoSpaceDN w:val="0"/>
              <w:spacing w:line="140" w:lineRule="exact"/>
              <w:jc w:val="right"/>
              <w:outlineLvl w:val="0"/>
              <w:rPr>
                <w:rFonts w:ascii="Arial" w:eastAsia="Times New Roman" w:hAnsi="Arial" w:cs="Arial"/>
                <w:b/>
                <w:bCs/>
                <w:color w:val="000000" w:themeColor="text1"/>
                <w:sz w:val="18"/>
                <w:szCs w:val="18"/>
              </w:rPr>
            </w:pPr>
          </w:p>
        </w:tc>
      </w:tr>
      <w:tr w:rsidR="00FA003B" w:rsidRPr="00082C10" w14:paraId="66F1D623" w14:textId="77777777" w:rsidTr="00B54850">
        <w:trPr>
          <w:trHeight w:val="340"/>
        </w:trPr>
        <w:tc>
          <w:tcPr>
            <w:tcW w:w="1318" w:type="pct"/>
            <w:vAlign w:val="bottom"/>
          </w:tcPr>
          <w:p w14:paraId="4AEE79DE" w14:textId="461297F5" w:rsidR="00FA003B" w:rsidRPr="00291152" w:rsidRDefault="00FA003B" w:rsidP="00FA003B">
            <w:pPr>
              <w:tabs>
                <w:tab w:val="right" w:pos="1202"/>
              </w:tabs>
              <w:suppressAutoHyphens/>
              <w:autoSpaceDN w:val="0"/>
              <w:spacing w:line="240" w:lineRule="exact"/>
              <w:outlineLvl w:val="0"/>
              <w:rPr>
                <w:rFonts w:ascii="Arial" w:eastAsia="Times New Roman" w:hAnsi="Arial" w:cs="Arial"/>
                <w:b/>
                <w:iCs/>
                <w:color w:val="000000" w:themeColor="text1"/>
                <w:sz w:val="18"/>
                <w:szCs w:val="18"/>
              </w:rPr>
            </w:pPr>
            <w:bookmarkStart w:id="113" w:name="_Toc67326861"/>
            <w:r w:rsidRPr="00291152">
              <w:rPr>
                <w:rFonts w:ascii="Arial" w:eastAsia="Times New Roman" w:hAnsi="Arial" w:cs="Arial"/>
                <w:b/>
                <w:iCs/>
                <w:color w:val="000000" w:themeColor="text1"/>
                <w:sz w:val="18"/>
                <w:szCs w:val="18"/>
              </w:rPr>
              <w:t>Stanje 1. siječnja 202</w:t>
            </w:r>
            <w:r>
              <w:rPr>
                <w:rFonts w:ascii="Arial" w:eastAsia="Times New Roman" w:hAnsi="Arial" w:cs="Arial"/>
                <w:b/>
                <w:iCs/>
                <w:color w:val="000000" w:themeColor="text1"/>
                <w:sz w:val="18"/>
                <w:szCs w:val="18"/>
              </w:rPr>
              <w:t>3</w:t>
            </w:r>
            <w:r w:rsidRPr="00291152">
              <w:rPr>
                <w:rFonts w:ascii="Arial" w:eastAsia="Times New Roman" w:hAnsi="Arial" w:cs="Arial"/>
                <w:b/>
                <w:iCs/>
                <w:color w:val="000000" w:themeColor="text1"/>
                <w:sz w:val="18"/>
                <w:szCs w:val="18"/>
              </w:rPr>
              <w:t>.</w:t>
            </w:r>
            <w:bookmarkEnd w:id="113"/>
            <w:r w:rsidRPr="00291152">
              <w:rPr>
                <w:rFonts w:ascii="Arial" w:eastAsia="Times New Roman" w:hAnsi="Arial" w:cs="Arial"/>
                <w:b/>
                <w:iCs/>
                <w:color w:val="000000" w:themeColor="text1"/>
                <w:sz w:val="18"/>
                <w:szCs w:val="18"/>
              </w:rPr>
              <w:t xml:space="preserve"> </w:t>
            </w:r>
          </w:p>
        </w:tc>
        <w:tc>
          <w:tcPr>
            <w:tcW w:w="593" w:type="pct"/>
            <w:tcBorders>
              <w:top w:val="single" w:sz="4" w:space="0" w:color="auto"/>
              <w:left w:val="nil"/>
              <w:bottom w:val="single" w:sz="12" w:space="0" w:color="auto"/>
              <w:right w:val="nil"/>
            </w:tcBorders>
            <w:shd w:val="clear" w:color="auto" w:fill="auto"/>
            <w:vAlign w:val="bottom"/>
          </w:tcPr>
          <w:p w14:paraId="39C624B9" w14:textId="7E5015DB" w:rsidR="00FA003B" w:rsidRPr="00082C10" w:rsidRDefault="00FA003B" w:rsidP="00FA003B">
            <w:pPr>
              <w:tabs>
                <w:tab w:val="right" w:pos="1202"/>
              </w:tabs>
              <w:suppressAutoHyphens/>
              <w:autoSpaceDN w:val="0"/>
              <w:spacing w:line="301" w:lineRule="exact"/>
              <w:jc w:val="right"/>
              <w:outlineLvl w:val="0"/>
              <w:rPr>
                <w:rFonts w:ascii="Arial" w:eastAsia="Times New Roman" w:hAnsi="Arial" w:cs="Arial"/>
                <w:b/>
                <w:bCs/>
                <w:iCs/>
                <w:color w:val="000000" w:themeColor="text1"/>
                <w:sz w:val="18"/>
                <w:szCs w:val="18"/>
              </w:rPr>
            </w:pPr>
            <w:r w:rsidRPr="00082C10">
              <w:rPr>
                <w:rFonts w:ascii="Arial" w:hAnsi="Arial" w:cs="Arial"/>
                <w:b/>
                <w:bCs/>
                <w:sz w:val="18"/>
                <w:szCs w:val="18"/>
              </w:rPr>
              <w:t xml:space="preserve"> 956.219 </w:t>
            </w:r>
          </w:p>
        </w:tc>
        <w:tc>
          <w:tcPr>
            <w:tcW w:w="555" w:type="pct"/>
            <w:tcBorders>
              <w:top w:val="single" w:sz="4" w:space="0" w:color="auto"/>
              <w:left w:val="nil"/>
              <w:bottom w:val="single" w:sz="12" w:space="0" w:color="auto"/>
              <w:right w:val="nil"/>
            </w:tcBorders>
            <w:shd w:val="clear" w:color="auto" w:fill="auto"/>
            <w:vAlign w:val="bottom"/>
          </w:tcPr>
          <w:p w14:paraId="017B9657" w14:textId="40A66408" w:rsidR="00FA003B" w:rsidRPr="00082C10" w:rsidRDefault="00FA003B" w:rsidP="00FA003B">
            <w:pPr>
              <w:tabs>
                <w:tab w:val="right" w:pos="1202"/>
              </w:tabs>
              <w:suppressAutoHyphens/>
              <w:autoSpaceDN w:val="0"/>
              <w:spacing w:line="301" w:lineRule="exact"/>
              <w:jc w:val="right"/>
              <w:outlineLvl w:val="0"/>
              <w:rPr>
                <w:rFonts w:ascii="Arial" w:eastAsia="Times New Roman" w:hAnsi="Arial" w:cs="Arial"/>
                <w:b/>
                <w:bCs/>
                <w:iCs/>
                <w:color w:val="000000" w:themeColor="text1"/>
                <w:sz w:val="18"/>
                <w:szCs w:val="18"/>
              </w:rPr>
            </w:pPr>
            <w:r w:rsidRPr="00082C10">
              <w:rPr>
                <w:rFonts w:ascii="Arial" w:hAnsi="Arial" w:cs="Arial"/>
                <w:b/>
                <w:bCs/>
                <w:sz w:val="18"/>
                <w:szCs w:val="18"/>
              </w:rPr>
              <w:t xml:space="preserve"> 444.073 </w:t>
            </w:r>
          </w:p>
        </w:tc>
        <w:tc>
          <w:tcPr>
            <w:tcW w:w="593" w:type="pct"/>
            <w:tcBorders>
              <w:top w:val="single" w:sz="4" w:space="0" w:color="auto"/>
              <w:left w:val="nil"/>
              <w:bottom w:val="single" w:sz="12" w:space="0" w:color="auto"/>
              <w:right w:val="nil"/>
            </w:tcBorders>
            <w:shd w:val="clear" w:color="auto" w:fill="auto"/>
            <w:vAlign w:val="bottom"/>
          </w:tcPr>
          <w:p w14:paraId="7D4345DE" w14:textId="3DEE5541" w:rsidR="00FA003B" w:rsidRPr="00082C10" w:rsidRDefault="00FA003B" w:rsidP="00FA003B">
            <w:pPr>
              <w:tabs>
                <w:tab w:val="right" w:pos="1202"/>
              </w:tabs>
              <w:suppressAutoHyphens/>
              <w:autoSpaceDN w:val="0"/>
              <w:spacing w:line="301" w:lineRule="exact"/>
              <w:jc w:val="right"/>
              <w:outlineLvl w:val="0"/>
              <w:rPr>
                <w:rFonts w:ascii="Arial" w:eastAsia="Times New Roman" w:hAnsi="Arial" w:cs="Arial"/>
                <w:b/>
                <w:bCs/>
                <w:iCs/>
                <w:color w:val="000000" w:themeColor="text1"/>
                <w:sz w:val="18"/>
                <w:szCs w:val="18"/>
              </w:rPr>
            </w:pPr>
            <w:r w:rsidRPr="00082C10">
              <w:rPr>
                <w:rFonts w:ascii="Arial" w:hAnsi="Arial" w:cs="Arial"/>
                <w:b/>
                <w:bCs/>
                <w:sz w:val="18"/>
                <w:szCs w:val="18"/>
              </w:rPr>
              <w:t xml:space="preserve"> (4.947)</w:t>
            </w:r>
          </w:p>
        </w:tc>
        <w:tc>
          <w:tcPr>
            <w:tcW w:w="694" w:type="pct"/>
            <w:tcBorders>
              <w:top w:val="single" w:sz="4" w:space="0" w:color="auto"/>
              <w:left w:val="nil"/>
              <w:bottom w:val="single" w:sz="12" w:space="0" w:color="auto"/>
              <w:right w:val="nil"/>
            </w:tcBorders>
            <w:shd w:val="clear" w:color="auto" w:fill="auto"/>
            <w:vAlign w:val="bottom"/>
          </w:tcPr>
          <w:p w14:paraId="18DC53AF" w14:textId="4C00B2ED" w:rsidR="00FA003B" w:rsidRPr="00082C10" w:rsidRDefault="00FA003B" w:rsidP="00FA003B">
            <w:pPr>
              <w:tabs>
                <w:tab w:val="right" w:pos="1202"/>
              </w:tabs>
              <w:suppressAutoHyphens/>
              <w:autoSpaceDN w:val="0"/>
              <w:spacing w:line="301" w:lineRule="exact"/>
              <w:jc w:val="right"/>
              <w:outlineLvl w:val="0"/>
              <w:rPr>
                <w:rFonts w:ascii="Arial" w:eastAsia="Times New Roman" w:hAnsi="Arial" w:cs="Arial"/>
                <w:b/>
                <w:bCs/>
                <w:iCs/>
                <w:color w:val="000000" w:themeColor="text1"/>
                <w:sz w:val="18"/>
                <w:szCs w:val="18"/>
              </w:rPr>
            </w:pPr>
            <w:r w:rsidRPr="00082C10">
              <w:rPr>
                <w:rFonts w:ascii="Arial" w:hAnsi="Arial" w:cs="Arial"/>
                <w:b/>
                <w:bCs/>
                <w:sz w:val="18"/>
                <w:szCs w:val="18"/>
              </w:rPr>
              <w:t xml:space="preserve"> 25.145 </w:t>
            </w:r>
          </w:p>
        </w:tc>
        <w:tc>
          <w:tcPr>
            <w:tcW w:w="555" w:type="pct"/>
            <w:tcBorders>
              <w:top w:val="single" w:sz="4" w:space="0" w:color="auto"/>
              <w:left w:val="nil"/>
              <w:bottom w:val="single" w:sz="12" w:space="0" w:color="auto"/>
              <w:right w:val="nil"/>
            </w:tcBorders>
            <w:shd w:val="clear" w:color="auto" w:fill="auto"/>
            <w:vAlign w:val="bottom"/>
          </w:tcPr>
          <w:p w14:paraId="57830D28" w14:textId="26F0DA96" w:rsidR="00FA003B" w:rsidRPr="00082C10" w:rsidRDefault="00FA003B" w:rsidP="00FA003B">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082C10">
              <w:rPr>
                <w:rFonts w:ascii="Arial" w:hAnsi="Arial" w:cs="Arial"/>
                <w:b/>
                <w:bCs/>
                <w:sz w:val="18"/>
                <w:szCs w:val="18"/>
              </w:rPr>
              <w:t xml:space="preserve"> 1.638 </w:t>
            </w:r>
          </w:p>
        </w:tc>
        <w:tc>
          <w:tcPr>
            <w:tcW w:w="692" w:type="pct"/>
            <w:tcBorders>
              <w:top w:val="single" w:sz="4" w:space="0" w:color="auto"/>
              <w:left w:val="nil"/>
              <w:bottom w:val="single" w:sz="12" w:space="0" w:color="auto"/>
              <w:right w:val="nil"/>
            </w:tcBorders>
            <w:shd w:val="clear" w:color="auto" w:fill="auto"/>
            <w:vAlign w:val="bottom"/>
          </w:tcPr>
          <w:p w14:paraId="599C944B" w14:textId="3D0198BF" w:rsidR="00FA003B" w:rsidRPr="00082C10" w:rsidRDefault="00FA003B" w:rsidP="00FA003B">
            <w:pPr>
              <w:tabs>
                <w:tab w:val="right" w:pos="1202"/>
              </w:tabs>
              <w:suppressAutoHyphens/>
              <w:autoSpaceDN w:val="0"/>
              <w:spacing w:line="301" w:lineRule="exact"/>
              <w:jc w:val="right"/>
              <w:outlineLvl w:val="0"/>
              <w:rPr>
                <w:rFonts w:ascii="Arial" w:eastAsia="Times New Roman" w:hAnsi="Arial" w:cs="Arial"/>
                <w:b/>
                <w:bCs/>
                <w:iCs/>
                <w:color w:val="000000" w:themeColor="text1"/>
                <w:sz w:val="18"/>
                <w:szCs w:val="18"/>
              </w:rPr>
            </w:pPr>
            <w:r w:rsidRPr="00082C10">
              <w:rPr>
                <w:rFonts w:ascii="Arial" w:hAnsi="Arial" w:cs="Arial"/>
                <w:b/>
                <w:bCs/>
                <w:sz w:val="18"/>
                <w:szCs w:val="18"/>
              </w:rPr>
              <w:t xml:space="preserve"> 1.422.128 </w:t>
            </w:r>
          </w:p>
        </w:tc>
      </w:tr>
      <w:tr w:rsidR="00FA003B" w:rsidRPr="00082C10" w14:paraId="49B2DE9A" w14:textId="77777777" w:rsidTr="007478FB">
        <w:trPr>
          <w:trHeight w:val="77"/>
        </w:trPr>
        <w:tc>
          <w:tcPr>
            <w:tcW w:w="1318" w:type="pct"/>
            <w:vAlign w:val="bottom"/>
          </w:tcPr>
          <w:p w14:paraId="66B0F533" w14:textId="77777777" w:rsidR="00FA003B" w:rsidRPr="00082C10" w:rsidRDefault="00FA003B" w:rsidP="00FA003B">
            <w:pPr>
              <w:tabs>
                <w:tab w:val="right" w:pos="1202"/>
              </w:tabs>
              <w:suppressAutoHyphens/>
              <w:autoSpaceDN w:val="0"/>
              <w:spacing w:line="240" w:lineRule="exact"/>
              <w:outlineLvl w:val="0"/>
              <w:rPr>
                <w:rFonts w:ascii="Arial" w:eastAsia="Times New Roman" w:hAnsi="Arial" w:cs="Arial"/>
                <w:iCs/>
                <w:color w:val="000000" w:themeColor="text1"/>
                <w:sz w:val="18"/>
                <w:szCs w:val="18"/>
              </w:rPr>
            </w:pPr>
            <w:bookmarkStart w:id="114" w:name="_Toc67326868"/>
            <w:r w:rsidRPr="00291152">
              <w:rPr>
                <w:rFonts w:ascii="Arial" w:eastAsia="Times New Roman" w:hAnsi="Arial" w:cs="Arial"/>
                <w:iCs/>
                <w:color w:val="000000" w:themeColor="text1"/>
                <w:sz w:val="18"/>
                <w:szCs w:val="18"/>
              </w:rPr>
              <w:t xml:space="preserve">Dobit tekućeg </w:t>
            </w:r>
            <w:bookmarkEnd w:id="114"/>
            <w:r w:rsidRPr="00291152">
              <w:rPr>
                <w:rFonts w:ascii="Arial" w:eastAsia="Times New Roman" w:hAnsi="Arial" w:cs="Arial"/>
                <w:iCs/>
                <w:color w:val="000000" w:themeColor="text1"/>
                <w:sz w:val="18"/>
                <w:szCs w:val="18"/>
              </w:rPr>
              <w:t>razdoblja</w:t>
            </w:r>
          </w:p>
        </w:tc>
        <w:tc>
          <w:tcPr>
            <w:tcW w:w="593" w:type="pct"/>
            <w:tcBorders>
              <w:top w:val="nil"/>
              <w:left w:val="nil"/>
              <w:bottom w:val="nil"/>
              <w:right w:val="nil"/>
            </w:tcBorders>
            <w:shd w:val="clear" w:color="auto" w:fill="auto"/>
            <w:vAlign w:val="bottom"/>
          </w:tcPr>
          <w:p w14:paraId="2DBB825D" w14:textId="192B0286" w:rsidR="00FA003B" w:rsidRPr="00082C10" w:rsidRDefault="00FA003B" w:rsidP="00FA003B">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Pr>
                <w:rFonts w:ascii="Arial" w:eastAsia="Times New Roman" w:hAnsi="Arial" w:cs="Arial"/>
                <w:color w:val="000000" w:themeColor="text1"/>
                <w:sz w:val="18"/>
                <w:szCs w:val="18"/>
              </w:rPr>
              <w:t>-</w:t>
            </w:r>
          </w:p>
        </w:tc>
        <w:tc>
          <w:tcPr>
            <w:tcW w:w="555" w:type="pct"/>
            <w:tcBorders>
              <w:top w:val="nil"/>
              <w:left w:val="nil"/>
              <w:bottom w:val="nil"/>
              <w:right w:val="nil"/>
            </w:tcBorders>
            <w:shd w:val="clear" w:color="auto" w:fill="auto"/>
            <w:vAlign w:val="bottom"/>
          </w:tcPr>
          <w:p w14:paraId="0D8505A7" w14:textId="576B18DD" w:rsidR="00FA003B" w:rsidRPr="00082C10" w:rsidRDefault="00FA003B" w:rsidP="00FA003B">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Pr>
                <w:rFonts w:ascii="Arial" w:eastAsia="Times New Roman" w:hAnsi="Arial" w:cs="Arial"/>
                <w:color w:val="000000" w:themeColor="text1"/>
                <w:sz w:val="18"/>
                <w:szCs w:val="18"/>
              </w:rPr>
              <w:t>-</w:t>
            </w:r>
          </w:p>
        </w:tc>
        <w:tc>
          <w:tcPr>
            <w:tcW w:w="593" w:type="pct"/>
            <w:tcBorders>
              <w:top w:val="nil"/>
              <w:left w:val="nil"/>
              <w:bottom w:val="nil"/>
              <w:right w:val="nil"/>
            </w:tcBorders>
            <w:shd w:val="clear" w:color="auto" w:fill="auto"/>
            <w:vAlign w:val="bottom"/>
          </w:tcPr>
          <w:p w14:paraId="43367F4E" w14:textId="6BC561C6" w:rsidR="00FA003B" w:rsidRPr="00082C10" w:rsidRDefault="00FA003B" w:rsidP="00FA003B">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Pr>
                <w:rFonts w:ascii="Arial" w:eastAsia="Times New Roman" w:hAnsi="Arial" w:cs="Arial"/>
                <w:color w:val="000000" w:themeColor="text1"/>
                <w:sz w:val="18"/>
                <w:szCs w:val="18"/>
              </w:rPr>
              <w:t>-</w:t>
            </w:r>
          </w:p>
        </w:tc>
        <w:tc>
          <w:tcPr>
            <w:tcW w:w="694" w:type="pct"/>
            <w:tcBorders>
              <w:top w:val="nil"/>
              <w:left w:val="nil"/>
              <w:bottom w:val="nil"/>
              <w:right w:val="nil"/>
            </w:tcBorders>
            <w:shd w:val="clear" w:color="auto" w:fill="auto"/>
            <w:vAlign w:val="bottom"/>
          </w:tcPr>
          <w:p w14:paraId="1CBEB08D" w14:textId="05180A72" w:rsidR="00FA003B" w:rsidRPr="00082C10" w:rsidRDefault="00FA003B" w:rsidP="00FA003B">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sidRPr="00280D61">
              <w:rPr>
                <w:rFonts w:ascii="Arial" w:eastAsia="Times New Roman" w:hAnsi="Arial" w:cs="Arial"/>
                <w:color w:val="000000" w:themeColor="text1"/>
                <w:sz w:val="18"/>
                <w:szCs w:val="18"/>
              </w:rPr>
              <w:t>50.768</w:t>
            </w:r>
          </w:p>
        </w:tc>
        <w:tc>
          <w:tcPr>
            <w:tcW w:w="555" w:type="pct"/>
            <w:tcBorders>
              <w:top w:val="nil"/>
              <w:left w:val="nil"/>
              <w:bottom w:val="nil"/>
              <w:right w:val="nil"/>
            </w:tcBorders>
            <w:shd w:val="clear" w:color="auto" w:fill="auto"/>
            <w:vAlign w:val="bottom"/>
          </w:tcPr>
          <w:p w14:paraId="5A87C333" w14:textId="17B00A75" w:rsidR="00FA003B" w:rsidRPr="00082C10" w:rsidRDefault="00FA003B" w:rsidP="00FA003B">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692" w:type="pct"/>
            <w:tcBorders>
              <w:top w:val="nil"/>
              <w:left w:val="nil"/>
              <w:bottom w:val="nil"/>
              <w:right w:val="nil"/>
            </w:tcBorders>
            <w:shd w:val="clear" w:color="auto" w:fill="auto"/>
            <w:vAlign w:val="bottom"/>
          </w:tcPr>
          <w:p w14:paraId="25585B4A" w14:textId="7A7B017B" w:rsidR="00FA003B" w:rsidRPr="00291152" w:rsidRDefault="00FA003B" w:rsidP="00FA003B">
            <w:pPr>
              <w:tabs>
                <w:tab w:val="right" w:pos="1202"/>
              </w:tabs>
              <w:suppressAutoHyphens/>
              <w:autoSpaceDN w:val="0"/>
              <w:spacing w:line="301" w:lineRule="exact"/>
              <w:jc w:val="right"/>
              <w:outlineLvl w:val="0"/>
              <w:rPr>
                <w:rFonts w:ascii="Arial" w:eastAsia="Times New Roman" w:hAnsi="Arial" w:cs="Arial"/>
                <w:b/>
                <w:bCs/>
                <w:iCs/>
                <w:color w:val="000000" w:themeColor="text1"/>
                <w:sz w:val="18"/>
                <w:szCs w:val="18"/>
              </w:rPr>
            </w:pPr>
            <w:r w:rsidRPr="00280D61">
              <w:rPr>
                <w:rFonts w:ascii="Arial" w:eastAsia="Times New Roman" w:hAnsi="Arial" w:cs="Arial"/>
                <w:b/>
                <w:bCs/>
                <w:color w:val="000000" w:themeColor="text1"/>
                <w:sz w:val="18"/>
                <w:szCs w:val="18"/>
              </w:rPr>
              <w:t>50.768</w:t>
            </w:r>
          </w:p>
        </w:tc>
      </w:tr>
      <w:tr w:rsidR="00FA003B" w:rsidRPr="00082C10" w14:paraId="55B4300A" w14:textId="77777777" w:rsidTr="007478FB">
        <w:trPr>
          <w:trHeight w:val="77"/>
        </w:trPr>
        <w:tc>
          <w:tcPr>
            <w:tcW w:w="1318" w:type="pct"/>
            <w:vAlign w:val="bottom"/>
          </w:tcPr>
          <w:p w14:paraId="6E12A70A" w14:textId="77777777" w:rsidR="00FA003B" w:rsidRPr="00082C10" w:rsidRDefault="00FA003B" w:rsidP="00FA003B">
            <w:pPr>
              <w:tabs>
                <w:tab w:val="right" w:pos="1202"/>
              </w:tabs>
              <w:suppressAutoHyphens/>
              <w:autoSpaceDN w:val="0"/>
              <w:spacing w:line="240" w:lineRule="exact"/>
              <w:outlineLvl w:val="0"/>
              <w:rPr>
                <w:rFonts w:ascii="Arial" w:eastAsia="Times New Roman" w:hAnsi="Arial" w:cs="Arial"/>
                <w:iCs/>
                <w:color w:val="000000" w:themeColor="text1"/>
                <w:sz w:val="18"/>
                <w:szCs w:val="18"/>
              </w:rPr>
            </w:pPr>
            <w:bookmarkStart w:id="115" w:name="_Toc67326875"/>
            <w:r w:rsidRPr="00291152">
              <w:rPr>
                <w:rFonts w:ascii="Arial" w:eastAsia="Times New Roman" w:hAnsi="Arial" w:cs="Arial"/>
                <w:iCs/>
                <w:color w:val="000000" w:themeColor="text1"/>
                <w:sz w:val="18"/>
                <w:szCs w:val="18"/>
              </w:rPr>
              <w:t>Ostala sveobuhvatna dobit</w:t>
            </w:r>
            <w:bookmarkEnd w:id="115"/>
          </w:p>
        </w:tc>
        <w:tc>
          <w:tcPr>
            <w:tcW w:w="593" w:type="pct"/>
            <w:tcBorders>
              <w:bottom w:val="single" w:sz="4" w:space="0" w:color="auto"/>
            </w:tcBorders>
            <w:vAlign w:val="bottom"/>
          </w:tcPr>
          <w:p w14:paraId="5C9F1674" w14:textId="55D1DCBB" w:rsidR="00FA003B" w:rsidRPr="00082C10" w:rsidRDefault="00FA003B" w:rsidP="00FA003B">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Pr>
                <w:rFonts w:ascii="Arial" w:eastAsia="Times New Roman" w:hAnsi="Arial" w:cs="Arial"/>
                <w:color w:val="000000"/>
                <w:sz w:val="18"/>
                <w:szCs w:val="18"/>
              </w:rPr>
              <w:t>-</w:t>
            </w:r>
          </w:p>
        </w:tc>
        <w:tc>
          <w:tcPr>
            <w:tcW w:w="555" w:type="pct"/>
            <w:tcBorders>
              <w:bottom w:val="single" w:sz="4" w:space="0" w:color="auto"/>
            </w:tcBorders>
            <w:vAlign w:val="bottom"/>
          </w:tcPr>
          <w:p w14:paraId="5E2D48AA" w14:textId="7FF8D4F8" w:rsidR="00FA003B" w:rsidRPr="00291152" w:rsidRDefault="00FA003B" w:rsidP="00FA003B">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Pr>
                <w:rFonts w:ascii="Arial" w:eastAsia="Times New Roman" w:hAnsi="Arial" w:cs="Arial"/>
                <w:color w:val="000000"/>
                <w:sz w:val="18"/>
                <w:szCs w:val="18"/>
              </w:rPr>
              <w:t>-</w:t>
            </w:r>
          </w:p>
        </w:tc>
        <w:tc>
          <w:tcPr>
            <w:tcW w:w="593" w:type="pct"/>
            <w:tcBorders>
              <w:bottom w:val="single" w:sz="4" w:space="0" w:color="auto"/>
            </w:tcBorders>
            <w:vAlign w:val="bottom"/>
          </w:tcPr>
          <w:p w14:paraId="0A498A83" w14:textId="47704260" w:rsidR="00FA003B" w:rsidRPr="00082C10" w:rsidRDefault="00FA003B" w:rsidP="00FA003B">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sidRPr="00280D61">
              <w:rPr>
                <w:rFonts w:ascii="Arial" w:eastAsia="Times New Roman" w:hAnsi="Arial" w:cs="Arial"/>
                <w:color w:val="000000"/>
                <w:sz w:val="18"/>
                <w:szCs w:val="18"/>
              </w:rPr>
              <w:t>596</w:t>
            </w:r>
          </w:p>
        </w:tc>
        <w:tc>
          <w:tcPr>
            <w:tcW w:w="694" w:type="pct"/>
            <w:tcBorders>
              <w:bottom w:val="single" w:sz="4" w:space="0" w:color="auto"/>
            </w:tcBorders>
            <w:vAlign w:val="bottom"/>
          </w:tcPr>
          <w:p w14:paraId="42537485" w14:textId="367F28E2" w:rsidR="00FA003B" w:rsidRPr="00082C10" w:rsidRDefault="00FA003B" w:rsidP="00FA003B">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Pr>
                <w:rFonts w:ascii="Arial" w:eastAsia="Times New Roman" w:hAnsi="Arial" w:cs="Arial"/>
                <w:color w:val="000000"/>
                <w:sz w:val="18"/>
                <w:szCs w:val="18"/>
              </w:rPr>
              <w:t>-</w:t>
            </w:r>
          </w:p>
        </w:tc>
        <w:tc>
          <w:tcPr>
            <w:tcW w:w="555" w:type="pct"/>
            <w:tcBorders>
              <w:bottom w:val="single" w:sz="4" w:space="0" w:color="auto"/>
            </w:tcBorders>
            <w:vAlign w:val="bottom"/>
          </w:tcPr>
          <w:p w14:paraId="16A9DD3F" w14:textId="6C97F362" w:rsidR="00FA003B" w:rsidRPr="00291152" w:rsidRDefault="00FA003B" w:rsidP="00FA003B">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sz w:val="18"/>
                <w:szCs w:val="18"/>
              </w:rPr>
              <w:t>-</w:t>
            </w:r>
          </w:p>
        </w:tc>
        <w:tc>
          <w:tcPr>
            <w:tcW w:w="692" w:type="pct"/>
            <w:tcBorders>
              <w:bottom w:val="single" w:sz="4" w:space="0" w:color="auto"/>
            </w:tcBorders>
            <w:vAlign w:val="bottom"/>
          </w:tcPr>
          <w:p w14:paraId="0D9985F1" w14:textId="4EA6F17B" w:rsidR="00FA003B" w:rsidRPr="00291152" w:rsidRDefault="00FA003B" w:rsidP="00FA003B">
            <w:pPr>
              <w:tabs>
                <w:tab w:val="right" w:pos="1202"/>
              </w:tabs>
              <w:suppressAutoHyphens/>
              <w:autoSpaceDN w:val="0"/>
              <w:spacing w:line="301" w:lineRule="exact"/>
              <w:jc w:val="right"/>
              <w:outlineLvl w:val="0"/>
              <w:rPr>
                <w:rFonts w:ascii="Arial" w:eastAsia="Times New Roman" w:hAnsi="Arial" w:cs="Arial"/>
                <w:b/>
                <w:bCs/>
                <w:iCs/>
                <w:color w:val="000000" w:themeColor="text1"/>
                <w:sz w:val="18"/>
                <w:szCs w:val="18"/>
              </w:rPr>
            </w:pPr>
            <w:r w:rsidRPr="00280D61">
              <w:rPr>
                <w:rFonts w:ascii="Arial" w:eastAsia="Times New Roman" w:hAnsi="Arial" w:cs="Arial"/>
                <w:b/>
                <w:bCs/>
                <w:color w:val="000000"/>
                <w:sz w:val="18"/>
                <w:szCs w:val="18"/>
              </w:rPr>
              <w:t>596</w:t>
            </w:r>
          </w:p>
        </w:tc>
      </w:tr>
      <w:tr w:rsidR="00FA003B" w:rsidRPr="00082C10" w14:paraId="4A54EF05" w14:textId="77777777" w:rsidTr="007478FB">
        <w:trPr>
          <w:trHeight w:hRule="exact" w:val="376"/>
        </w:trPr>
        <w:tc>
          <w:tcPr>
            <w:tcW w:w="1318" w:type="pct"/>
            <w:vAlign w:val="bottom"/>
          </w:tcPr>
          <w:p w14:paraId="7CA3C007" w14:textId="77777777" w:rsidR="00FA003B" w:rsidRPr="00082C10" w:rsidRDefault="00FA003B" w:rsidP="00FA003B">
            <w:pPr>
              <w:tabs>
                <w:tab w:val="right" w:pos="1202"/>
              </w:tabs>
              <w:suppressAutoHyphens/>
              <w:autoSpaceDN w:val="0"/>
              <w:spacing w:line="240" w:lineRule="exact"/>
              <w:outlineLvl w:val="0"/>
              <w:rPr>
                <w:rFonts w:ascii="Arial" w:eastAsia="Times New Roman" w:hAnsi="Arial" w:cs="Arial"/>
                <w:iCs/>
                <w:color w:val="000000" w:themeColor="text1"/>
                <w:sz w:val="18"/>
                <w:szCs w:val="18"/>
              </w:rPr>
            </w:pPr>
            <w:bookmarkStart w:id="116" w:name="_Toc67326882"/>
            <w:r w:rsidRPr="00291152">
              <w:rPr>
                <w:rFonts w:ascii="Arial" w:eastAsia="Times New Roman" w:hAnsi="Arial" w:cs="Arial"/>
                <w:iCs/>
                <w:color w:val="000000" w:themeColor="text1"/>
                <w:sz w:val="18"/>
                <w:szCs w:val="18"/>
              </w:rPr>
              <w:t>Ukupna sveobuhvatna dobit</w:t>
            </w:r>
            <w:bookmarkEnd w:id="116"/>
          </w:p>
        </w:tc>
        <w:tc>
          <w:tcPr>
            <w:tcW w:w="593" w:type="pct"/>
            <w:tcBorders>
              <w:top w:val="nil"/>
              <w:left w:val="nil"/>
              <w:bottom w:val="single" w:sz="4" w:space="0" w:color="auto"/>
              <w:right w:val="nil"/>
            </w:tcBorders>
            <w:shd w:val="clear" w:color="auto" w:fill="auto"/>
            <w:vAlign w:val="bottom"/>
          </w:tcPr>
          <w:p w14:paraId="310AC8ED" w14:textId="6CD1C8F5" w:rsidR="00FA003B" w:rsidRPr="00082C10" w:rsidRDefault="00FA003B" w:rsidP="00FA003B">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Pr>
                <w:rFonts w:ascii="Arial" w:eastAsia="Times New Roman" w:hAnsi="Arial" w:cs="Arial"/>
                <w:b/>
                <w:iCs/>
                <w:color w:val="000000" w:themeColor="text1"/>
                <w:sz w:val="18"/>
                <w:szCs w:val="18"/>
              </w:rPr>
              <w:t>-</w:t>
            </w:r>
          </w:p>
        </w:tc>
        <w:tc>
          <w:tcPr>
            <w:tcW w:w="555" w:type="pct"/>
            <w:tcBorders>
              <w:top w:val="nil"/>
              <w:left w:val="nil"/>
              <w:bottom w:val="single" w:sz="4" w:space="0" w:color="auto"/>
              <w:right w:val="nil"/>
            </w:tcBorders>
            <w:shd w:val="clear" w:color="auto" w:fill="auto"/>
            <w:vAlign w:val="bottom"/>
          </w:tcPr>
          <w:p w14:paraId="05CAF3A8" w14:textId="653696D0" w:rsidR="00FA003B" w:rsidRPr="00082C10" w:rsidRDefault="00FA003B" w:rsidP="00FA003B">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Pr>
                <w:rFonts w:ascii="Arial" w:eastAsia="Times New Roman" w:hAnsi="Arial" w:cs="Arial"/>
                <w:b/>
                <w:iCs/>
                <w:color w:val="000000" w:themeColor="text1"/>
                <w:sz w:val="18"/>
                <w:szCs w:val="18"/>
              </w:rPr>
              <w:t>-</w:t>
            </w:r>
          </w:p>
        </w:tc>
        <w:tc>
          <w:tcPr>
            <w:tcW w:w="593" w:type="pct"/>
            <w:tcBorders>
              <w:top w:val="nil"/>
              <w:left w:val="nil"/>
              <w:bottom w:val="single" w:sz="4" w:space="0" w:color="auto"/>
              <w:right w:val="nil"/>
            </w:tcBorders>
            <w:shd w:val="clear" w:color="auto" w:fill="auto"/>
            <w:vAlign w:val="bottom"/>
          </w:tcPr>
          <w:p w14:paraId="55F2396A" w14:textId="32382F2B" w:rsidR="00FA003B" w:rsidRPr="00082C10" w:rsidRDefault="00FA003B" w:rsidP="00FA003B">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sidRPr="00280D61">
              <w:rPr>
                <w:rFonts w:ascii="Arial" w:eastAsia="Times New Roman" w:hAnsi="Arial" w:cs="Arial"/>
                <w:b/>
                <w:iCs/>
                <w:color w:val="000000" w:themeColor="text1"/>
                <w:sz w:val="18"/>
                <w:szCs w:val="18"/>
              </w:rPr>
              <w:t>596</w:t>
            </w:r>
          </w:p>
        </w:tc>
        <w:tc>
          <w:tcPr>
            <w:tcW w:w="694" w:type="pct"/>
            <w:tcBorders>
              <w:top w:val="nil"/>
              <w:left w:val="nil"/>
              <w:bottom w:val="single" w:sz="4" w:space="0" w:color="auto"/>
              <w:right w:val="nil"/>
            </w:tcBorders>
            <w:shd w:val="clear" w:color="auto" w:fill="auto"/>
            <w:vAlign w:val="bottom"/>
          </w:tcPr>
          <w:p w14:paraId="489178FD" w14:textId="45A5C279" w:rsidR="00FA003B" w:rsidRPr="00082C10" w:rsidRDefault="00FA003B" w:rsidP="00FA003B">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sidRPr="00280D61">
              <w:rPr>
                <w:rFonts w:ascii="Arial" w:eastAsia="Times New Roman" w:hAnsi="Arial" w:cs="Arial"/>
                <w:b/>
                <w:iCs/>
                <w:color w:val="000000" w:themeColor="text1"/>
                <w:sz w:val="18"/>
                <w:szCs w:val="18"/>
              </w:rPr>
              <w:t>50.768</w:t>
            </w:r>
          </w:p>
        </w:tc>
        <w:tc>
          <w:tcPr>
            <w:tcW w:w="555" w:type="pct"/>
            <w:tcBorders>
              <w:top w:val="nil"/>
              <w:left w:val="nil"/>
              <w:bottom w:val="single" w:sz="4" w:space="0" w:color="auto"/>
              <w:right w:val="nil"/>
            </w:tcBorders>
            <w:shd w:val="clear" w:color="auto" w:fill="auto"/>
            <w:vAlign w:val="bottom"/>
          </w:tcPr>
          <w:p w14:paraId="0FDB67D1" w14:textId="5D27981B" w:rsidR="00FA003B" w:rsidRPr="00082C10" w:rsidRDefault="00FA003B" w:rsidP="00FA003B">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b/>
                <w:iCs/>
                <w:color w:val="000000" w:themeColor="text1"/>
                <w:sz w:val="18"/>
                <w:szCs w:val="18"/>
              </w:rPr>
              <w:t>-</w:t>
            </w:r>
          </w:p>
        </w:tc>
        <w:tc>
          <w:tcPr>
            <w:tcW w:w="692" w:type="pct"/>
            <w:tcBorders>
              <w:top w:val="nil"/>
              <w:left w:val="nil"/>
              <w:bottom w:val="single" w:sz="4" w:space="0" w:color="auto"/>
              <w:right w:val="nil"/>
            </w:tcBorders>
            <w:shd w:val="clear" w:color="auto" w:fill="auto"/>
            <w:vAlign w:val="bottom"/>
          </w:tcPr>
          <w:p w14:paraId="6F2A7199" w14:textId="3C3BB376" w:rsidR="00FA003B" w:rsidRPr="00291152" w:rsidRDefault="00FA003B" w:rsidP="00FA003B">
            <w:pPr>
              <w:tabs>
                <w:tab w:val="right" w:pos="1202"/>
              </w:tabs>
              <w:suppressAutoHyphens/>
              <w:autoSpaceDN w:val="0"/>
              <w:spacing w:line="301" w:lineRule="exact"/>
              <w:jc w:val="right"/>
              <w:outlineLvl w:val="0"/>
              <w:rPr>
                <w:rFonts w:ascii="Arial" w:eastAsia="Times New Roman" w:hAnsi="Arial" w:cs="Arial"/>
                <w:b/>
                <w:bCs/>
                <w:iCs/>
                <w:color w:val="000000" w:themeColor="text1"/>
                <w:sz w:val="18"/>
                <w:szCs w:val="18"/>
              </w:rPr>
            </w:pPr>
            <w:r w:rsidRPr="00280D61">
              <w:rPr>
                <w:rFonts w:ascii="Arial" w:eastAsia="Times New Roman" w:hAnsi="Arial" w:cs="Arial"/>
                <w:b/>
                <w:bCs/>
                <w:iCs/>
                <w:color w:val="000000" w:themeColor="text1"/>
                <w:sz w:val="18"/>
                <w:szCs w:val="18"/>
              </w:rPr>
              <w:t>51.364</w:t>
            </w:r>
          </w:p>
        </w:tc>
      </w:tr>
      <w:tr w:rsidR="00FA003B" w:rsidRPr="00082C10" w14:paraId="7B28F882" w14:textId="77777777" w:rsidTr="007478FB">
        <w:trPr>
          <w:trHeight w:hRule="exact" w:val="510"/>
        </w:trPr>
        <w:tc>
          <w:tcPr>
            <w:tcW w:w="1318" w:type="pct"/>
            <w:vAlign w:val="bottom"/>
          </w:tcPr>
          <w:p w14:paraId="6485C9C5" w14:textId="3CCE4CC6" w:rsidR="00FA003B" w:rsidRPr="00082C10" w:rsidRDefault="00FA003B" w:rsidP="00FA003B">
            <w:pPr>
              <w:tabs>
                <w:tab w:val="right" w:pos="1202"/>
              </w:tabs>
              <w:suppressAutoHyphens/>
              <w:autoSpaceDN w:val="0"/>
              <w:spacing w:line="240" w:lineRule="exact"/>
              <w:outlineLvl w:val="0"/>
              <w:rPr>
                <w:rFonts w:ascii="Arial" w:eastAsia="Times New Roman" w:hAnsi="Arial" w:cs="Arial"/>
                <w:iCs/>
                <w:color w:val="000000" w:themeColor="text1"/>
                <w:sz w:val="18"/>
                <w:szCs w:val="18"/>
              </w:rPr>
            </w:pPr>
            <w:r w:rsidRPr="00291152">
              <w:rPr>
                <w:rFonts w:ascii="Arial" w:eastAsia="Times New Roman" w:hAnsi="Arial" w:cs="Arial"/>
                <w:iCs/>
                <w:color w:val="000000" w:themeColor="text1"/>
                <w:sz w:val="18"/>
                <w:szCs w:val="18"/>
              </w:rPr>
              <w:t>Uplate u osnivački kapital iz državnog proračuna</w:t>
            </w:r>
          </w:p>
        </w:tc>
        <w:tc>
          <w:tcPr>
            <w:tcW w:w="593" w:type="pct"/>
            <w:tcBorders>
              <w:top w:val="nil"/>
              <w:left w:val="nil"/>
              <w:bottom w:val="nil"/>
              <w:right w:val="nil"/>
            </w:tcBorders>
            <w:shd w:val="clear" w:color="auto" w:fill="auto"/>
            <w:vAlign w:val="bottom"/>
          </w:tcPr>
          <w:p w14:paraId="7B9A80CD" w14:textId="63705B2A" w:rsidR="00FA003B" w:rsidRPr="00082C10" w:rsidRDefault="00FA003B" w:rsidP="00FA003B">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555" w:type="pct"/>
            <w:tcBorders>
              <w:top w:val="nil"/>
              <w:left w:val="nil"/>
              <w:bottom w:val="nil"/>
              <w:right w:val="nil"/>
            </w:tcBorders>
            <w:shd w:val="clear" w:color="auto" w:fill="auto"/>
            <w:vAlign w:val="bottom"/>
          </w:tcPr>
          <w:p w14:paraId="714C2A70" w14:textId="68663C30" w:rsidR="00FA003B" w:rsidRPr="00082C10" w:rsidRDefault="00FA003B" w:rsidP="00FA003B">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593" w:type="pct"/>
            <w:tcBorders>
              <w:top w:val="nil"/>
              <w:left w:val="nil"/>
              <w:bottom w:val="nil"/>
              <w:right w:val="nil"/>
            </w:tcBorders>
            <w:shd w:val="clear" w:color="auto" w:fill="auto"/>
            <w:vAlign w:val="bottom"/>
          </w:tcPr>
          <w:p w14:paraId="1204EF2B" w14:textId="351FE6CA" w:rsidR="00FA003B" w:rsidRPr="00082C10" w:rsidRDefault="00FA003B" w:rsidP="00FA003B">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694" w:type="pct"/>
            <w:tcBorders>
              <w:top w:val="nil"/>
              <w:left w:val="nil"/>
              <w:bottom w:val="nil"/>
              <w:right w:val="nil"/>
            </w:tcBorders>
            <w:shd w:val="clear" w:color="auto" w:fill="auto"/>
            <w:vAlign w:val="bottom"/>
          </w:tcPr>
          <w:p w14:paraId="62580E6C" w14:textId="23E595B2" w:rsidR="00FA003B" w:rsidRPr="00082C10" w:rsidRDefault="00FA003B" w:rsidP="00FA003B">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555" w:type="pct"/>
            <w:tcBorders>
              <w:top w:val="nil"/>
              <w:left w:val="nil"/>
              <w:bottom w:val="nil"/>
              <w:right w:val="nil"/>
            </w:tcBorders>
            <w:shd w:val="clear" w:color="auto" w:fill="auto"/>
            <w:vAlign w:val="bottom"/>
          </w:tcPr>
          <w:p w14:paraId="672E4236" w14:textId="2E35C1F6" w:rsidR="00FA003B" w:rsidRPr="00082C10" w:rsidRDefault="00FA003B" w:rsidP="00FA003B">
            <w:pPr>
              <w:tabs>
                <w:tab w:val="right" w:pos="1202"/>
              </w:tabs>
              <w:suppressAutoHyphens/>
              <w:autoSpaceDN w:val="0"/>
              <w:spacing w:line="301" w:lineRule="exact"/>
              <w:jc w:val="right"/>
              <w:outlineLvl w:val="0"/>
              <w:rPr>
                <w:rFonts w:ascii="Arial" w:hAnsi="Arial" w:cs="Arial"/>
                <w:sz w:val="18"/>
                <w:szCs w:val="18"/>
              </w:rPr>
            </w:pPr>
            <w:r>
              <w:rPr>
                <w:rFonts w:ascii="Arial" w:hAnsi="Arial" w:cs="Arial"/>
                <w:sz w:val="18"/>
                <w:szCs w:val="18"/>
              </w:rPr>
              <w:t>-</w:t>
            </w:r>
          </w:p>
        </w:tc>
        <w:tc>
          <w:tcPr>
            <w:tcW w:w="692" w:type="pct"/>
            <w:tcBorders>
              <w:top w:val="nil"/>
              <w:left w:val="nil"/>
              <w:bottom w:val="nil"/>
              <w:right w:val="nil"/>
            </w:tcBorders>
            <w:shd w:val="clear" w:color="auto" w:fill="auto"/>
            <w:vAlign w:val="bottom"/>
          </w:tcPr>
          <w:p w14:paraId="74AF10EB" w14:textId="39AC9DFD" w:rsidR="00FA003B" w:rsidRPr="00EA1BCC" w:rsidRDefault="00FA003B" w:rsidP="00FA003B">
            <w:pPr>
              <w:tabs>
                <w:tab w:val="right" w:pos="1202"/>
              </w:tabs>
              <w:suppressAutoHyphens/>
              <w:autoSpaceDN w:val="0"/>
              <w:spacing w:line="301" w:lineRule="exact"/>
              <w:jc w:val="right"/>
              <w:outlineLvl w:val="0"/>
              <w:rPr>
                <w:rFonts w:ascii="Arial" w:hAnsi="Arial" w:cs="Arial"/>
                <w:b/>
                <w:bCs/>
                <w:sz w:val="18"/>
                <w:szCs w:val="18"/>
              </w:rPr>
            </w:pPr>
            <w:r w:rsidRPr="00EA1BCC">
              <w:rPr>
                <w:rFonts w:ascii="Arial" w:hAnsi="Arial" w:cs="Arial"/>
                <w:b/>
                <w:bCs/>
                <w:sz w:val="18"/>
                <w:szCs w:val="18"/>
              </w:rPr>
              <w:t>-</w:t>
            </w:r>
          </w:p>
        </w:tc>
      </w:tr>
      <w:tr w:rsidR="00E035B6" w:rsidRPr="00082C10" w14:paraId="216AF0EB" w14:textId="77777777" w:rsidTr="00E035B6">
        <w:trPr>
          <w:trHeight w:hRule="exact" w:val="284"/>
        </w:trPr>
        <w:tc>
          <w:tcPr>
            <w:tcW w:w="1318" w:type="pct"/>
            <w:vAlign w:val="bottom"/>
          </w:tcPr>
          <w:p w14:paraId="47B0DA35" w14:textId="0790DFA5" w:rsidR="00E035B6" w:rsidRPr="00291152" w:rsidRDefault="00E035B6" w:rsidP="00E035B6">
            <w:pPr>
              <w:tabs>
                <w:tab w:val="right" w:pos="1202"/>
              </w:tabs>
              <w:suppressAutoHyphens/>
              <w:autoSpaceDN w:val="0"/>
              <w:outlineLvl w:val="0"/>
              <w:rPr>
                <w:rFonts w:ascii="Arial" w:eastAsia="Times New Roman" w:hAnsi="Arial" w:cs="Arial"/>
                <w:iCs/>
                <w:color w:val="000000" w:themeColor="text1"/>
                <w:sz w:val="18"/>
                <w:szCs w:val="18"/>
              </w:rPr>
            </w:pPr>
            <w:r w:rsidRPr="00291152">
              <w:rPr>
                <w:rFonts w:ascii="Arial" w:hAnsi="Arial" w:cs="Arial"/>
                <w:sz w:val="18"/>
                <w:szCs w:val="18"/>
              </w:rPr>
              <w:t>Usklađenje</w:t>
            </w:r>
          </w:p>
        </w:tc>
        <w:tc>
          <w:tcPr>
            <w:tcW w:w="593" w:type="pct"/>
            <w:tcBorders>
              <w:top w:val="nil"/>
              <w:left w:val="nil"/>
              <w:bottom w:val="nil"/>
              <w:right w:val="nil"/>
            </w:tcBorders>
            <w:shd w:val="clear" w:color="auto" w:fill="auto"/>
            <w:vAlign w:val="bottom"/>
          </w:tcPr>
          <w:p w14:paraId="66AFF5F9" w14:textId="24693481" w:rsidR="00E035B6" w:rsidRDefault="00E035B6" w:rsidP="00E035B6">
            <w:pPr>
              <w:tabs>
                <w:tab w:val="right" w:pos="1202"/>
              </w:tabs>
              <w:suppressAutoHyphens/>
              <w:autoSpaceDN w:val="0"/>
              <w:jc w:val="right"/>
              <w:outlineLvl w:val="0"/>
              <w:rPr>
                <w:rFonts w:ascii="Arial" w:eastAsia="Times New Roman" w:hAnsi="Arial" w:cs="Arial"/>
                <w:color w:val="000000" w:themeColor="text1"/>
                <w:sz w:val="18"/>
                <w:szCs w:val="18"/>
              </w:rPr>
            </w:pPr>
            <w:r>
              <w:rPr>
                <w:rFonts w:ascii="Arial" w:hAnsi="Arial" w:cs="Arial"/>
                <w:sz w:val="18"/>
                <w:szCs w:val="18"/>
              </w:rPr>
              <w:t>-</w:t>
            </w:r>
          </w:p>
        </w:tc>
        <w:tc>
          <w:tcPr>
            <w:tcW w:w="555" w:type="pct"/>
            <w:tcBorders>
              <w:top w:val="nil"/>
              <w:left w:val="nil"/>
              <w:bottom w:val="nil"/>
              <w:right w:val="nil"/>
            </w:tcBorders>
            <w:shd w:val="clear" w:color="auto" w:fill="auto"/>
            <w:vAlign w:val="bottom"/>
          </w:tcPr>
          <w:p w14:paraId="077C3FAE" w14:textId="730FF1CE" w:rsidR="00E035B6" w:rsidRDefault="00E035B6" w:rsidP="00E035B6">
            <w:pPr>
              <w:tabs>
                <w:tab w:val="right" w:pos="1202"/>
              </w:tabs>
              <w:suppressAutoHyphens/>
              <w:autoSpaceDN w:val="0"/>
              <w:jc w:val="right"/>
              <w:outlineLvl w:val="0"/>
              <w:rPr>
                <w:rFonts w:ascii="Arial" w:eastAsia="Times New Roman" w:hAnsi="Arial" w:cs="Arial"/>
                <w:color w:val="000000" w:themeColor="text1"/>
                <w:sz w:val="18"/>
                <w:szCs w:val="18"/>
              </w:rPr>
            </w:pPr>
            <w:r w:rsidRPr="00280D61">
              <w:rPr>
                <w:rFonts w:ascii="Arial" w:hAnsi="Arial" w:cs="Arial"/>
                <w:sz w:val="18"/>
                <w:szCs w:val="18"/>
              </w:rPr>
              <w:t xml:space="preserve"> (7)</w:t>
            </w:r>
          </w:p>
        </w:tc>
        <w:tc>
          <w:tcPr>
            <w:tcW w:w="593" w:type="pct"/>
            <w:tcBorders>
              <w:top w:val="nil"/>
              <w:left w:val="nil"/>
              <w:bottom w:val="nil"/>
              <w:right w:val="nil"/>
            </w:tcBorders>
            <w:shd w:val="clear" w:color="auto" w:fill="auto"/>
            <w:vAlign w:val="bottom"/>
          </w:tcPr>
          <w:p w14:paraId="44A3B11B" w14:textId="45BC6DD6" w:rsidR="00E035B6" w:rsidRDefault="00E035B6" w:rsidP="00E035B6">
            <w:pPr>
              <w:tabs>
                <w:tab w:val="right" w:pos="1202"/>
              </w:tabs>
              <w:suppressAutoHyphens/>
              <w:autoSpaceDN w:val="0"/>
              <w:jc w:val="right"/>
              <w:outlineLvl w:val="0"/>
              <w:rPr>
                <w:rFonts w:ascii="Arial" w:eastAsia="Times New Roman" w:hAnsi="Arial" w:cs="Arial"/>
                <w:color w:val="000000" w:themeColor="text1"/>
                <w:sz w:val="18"/>
                <w:szCs w:val="18"/>
              </w:rPr>
            </w:pPr>
            <w:r w:rsidRPr="00280D61">
              <w:rPr>
                <w:rFonts w:ascii="Arial" w:hAnsi="Arial" w:cs="Arial"/>
                <w:sz w:val="18"/>
                <w:szCs w:val="18"/>
              </w:rPr>
              <w:t xml:space="preserve"> (173)</w:t>
            </w:r>
          </w:p>
        </w:tc>
        <w:tc>
          <w:tcPr>
            <w:tcW w:w="694" w:type="pct"/>
            <w:tcBorders>
              <w:top w:val="nil"/>
              <w:left w:val="nil"/>
              <w:bottom w:val="nil"/>
              <w:right w:val="nil"/>
            </w:tcBorders>
            <w:shd w:val="clear" w:color="auto" w:fill="auto"/>
            <w:vAlign w:val="bottom"/>
          </w:tcPr>
          <w:p w14:paraId="56CE29CE" w14:textId="68CE8A46" w:rsidR="00E035B6" w:rsidRDefault="00E035B6" w:rsidP="00E035B6">
            <w:pPr>
              <w:tabs>
                <w:tab w:val="right" w:pos="1202"/>
              </w:tabs>
              <w:suppressAutoHyphens/>
              <w:autoSpaceDN w:val="0"/>
              <w:jc w:val="right"/>
              <w:outlineLvl w:val="0"/>
              <w:rPr>
                <w:rFonts w:ascii="Arial" w:eastAsia="Times New Roman" w:hAnsi="Arial" w:cs="Arial"/>
                <w:color w:val="000000" w:themeColor="text1"/>
                <w:sz w:val="18"/>
                <w:szCs w:val="18"/>
              </w:rPr>
            </w:pPr>
            <w:r w:rsidRPr="00280D61">
              <w:rPr>
                <w:rFonts w:ascii="Arial" w:hAnsi="Arial" w:cs="Arial"/>
                <w:sz w:val="18"/>
                <w:szCs w:val="18"/>
              </w:rPr>
              <w:t xml:space="preserve"> (236)</w:t>
            </w:r>
          </w:p>
        </w:tc>
        <w:tc>
          <w:tcPr>
            <w:tcW w:w="555" w:type="pct"/>
            <w:tcBorders>
              <w:top w:val="nil"/>
              <w:left w:val="nil"/>
              <w:bottom w:val="nil"/>
              <w:right w:val="nil"/>
            </w:tcBorders>
            <w:shd w:val="clear" w:color="auto" w:fill="auto"/>
            <w:vAlign w:val="bottom"/>
          </w:tcPr>
          <w:p w14:paraId="3E26AB3D" w14:textId="569B8FF9" w:rsidR="00E035B6" w:rsidRDefault="00E035B6" w:rsidP="00E035B6">
            <w:pPr>
              <w:tabs>
                <w:tab w:val="right" w:pos="1202"/>
              </w:tabs>
              <w:suppressAutoHyphens/>
              <w:autoSpaceDN w:val="0"/>
              <w:jc w:val="right"/>
              <w:outlineLvl w:val="0"/>
              <w:rPr>
                <w:rFonts w:ascii="Arial" w:hAnsi="Arial" w:cs="Arial"/>
                <w:sz w:val="18"/>
                <w:szCs w:val="18"/>
              </w:rPr>
            </w:pPr>
            <w:r>
              <w:rPr>
                <w:rFonts w:ascii="Arial" w:hAnsi="Arial" w:cs="Arial"/>
                <w:sz w:val="18"/>
                <w:szCs w:val="18"/>
              </w:rPr>
              <w:t>-</w:t>
            </w:r>
          </w:p>
        </w:tc>
        <w:tc>
          <w:tcPr>
            <w:tcW w:w="692" w:type="pct"/>
            <w:tcBorders>
              <w:top w:val="nil"/>
              <w:left w:val="nil"/>
              <w:bottom w:val="nil"/>
              <w:right w:val="nil"/>
            </w:tcBorders>
            <w:shd w:val="clear" w:color="auto" w:fill="auto"/>
            <w:vAlign w:val="bottom"/>
          </w:tcPr>
          <w:p w14:paraId="6C84101C" w14:textId="28EF168E" w:rsidR="00E035B6" w:rsidRPr="00EA1BCC" w:rsidRDefault="00E035B6" w:rsidP="00E035B6">
            <w:pPr>
              <w:tabs>
                <w:tab w:val="right" w:pos="1202"/>
              </w:tabs>
              <w:suppressAutoHyphens/>
              <w:autoSpaceDN w:val="0"/>
              <w:jc w:val="right"/>
              <w:outlineLvl w:val="0"/>
              <w:rPr>
                <w:rFonts w:ascii="Arial" w:hAnsi="Arial" w:cs="Arial"/>
                <w:b/>
                <w:bCs/>
                <w:sz w:val="18"/>
                <w:szCs w:val="18"/>
              </w:rPr>
            </w:pPr>
            <w:r w:rsidRPr="00EA1BCC">
              <w:rPr>
                <w:rFonts w:ascii="Arial" w:hAnsi="Arial" w:cs="Arial"/>
                <w:b/>
                <w:bCs/>
                <w:sz w:val="18"/>
                <w:szCs w:val="18"/>
              </w:rPr>
              <w:t xml:space="preserve"> (416)</w:t>
            </w:r>
          </w:p>
        </w:tc>
      </w:tr>
      <w:tr w:rsidR="00E035B6" w:rsidRPr="00082C10" w14:paraId="077287DF" w14:textId="77777777" w:rsidTr="007478FB">
        <w:trPr>
          <w:trHeight w:val="463"/>
        </w:trPr>
        <w:tc>
          <w:tcPr>
            <w:tcW w:w="1318" w:type="pct"/>
            <w:vAlign w:val="bottom"/>
          </w:tcPr>
          <w:p w14:paraId="2E4CD279" w14:textId="51104C00" w:rsidR="00E035B6" w:rsidRPr="00082C10" w:rsidRDefault="00E035B6" w:rsidP="00E035B6">
            <w:pPr>
              <w:tabs>
                <w:tab w:val="right" w:pos="1202"/>
              </w:tabs>
              <w:suppressAutoHyphens/>
              <w:autoSpaceDN w:val="0"/>
              <w:spacing w:line="240" w:lineRule="exact"/>
              <w:outlineLvl w:val="0"/>
              <w:rPr>
                <w:rFonts w:ascii="Arial" w:eastAsia="Times New Roman" w:hAnsi="Arial" w:cs="Arial"/>
                <w:i/>
                <w:iCs/>
                <w:color w:val="000000" w:themeColor="text1"/>
                <w:sz w:val="18"/>
                <w:szCs w:val="18"/>
              </w:rPr>
            </w:pPr>
            <w:bookmarkStart w:id="117" w:name="_Toc67326903"/>
            <w:r w:rsidRPr="00291152">
              <w:rPr>
                <w:rFonts w:ascii="Arial" w:eastAsia="Times New Roman" w:hAnsi="Arial" w:cs="Arial"/>
                <w:iCs/>
                <w:color w:val="000000" w:themeColor="text1"/>
                <w:sz w:val="18"/>
                <w:szCs w:val="18"/>
              </w:rPr>
              <w:t>Prijenos dobiti iz 202</w:t>
            </w:r>
            <w:r>
              <w:rPr>
                <w:rFonts w:ascii="Arial" w:eastAsia="Times New Roman" w:hAnsi="Arial" w:cs="Arial"/>
                <w:iCs/>
                <w:color w:val="000000" w:themeColor="text1"/>
                <w:sz w:val="18"/>
                <w:szCs w:val="18"/>
              </w:rPr>
              <w:t>2</w:t>
            </w:r>
            <w:r w:rsidRPr="00291152">
              <w:rPr>
                <w:rFonts w:ascii="Arial" w:eastAsia="Times New Roman" w:hAnsi="Arial" w:cs="Arial"/>
                <w:iCs/>
                <w:color w:val="000000" w:themeColor="text1"/>
                <w:sz w:val="18"/>
                <w:szCs w:val="18"/>
              </w:rPr>
              <w:t>. godine u zadržanu dobit</w:t>
            </w:r>
            <w:bookmarkEnd w:id="117"/>
          </w:p>
        </w:tc>
        <w:tc>
          <w:tcPr>
            <w:tcW w:w="593" w:type="pct"/>
            <w:tcBorders>
              <w:top w:val="nil"/>
              <w:left w:val="nil"/>
              <w:bottom w:val="single" w:sz="4" w:space="0" w:color="auto"/>
              <w:right w:val="nil"/>
            </w:tcBorders>
            <w:shd w:val="clear" w:color="auto" w:fill="auto"/>
            <w:vAlign w:val="bottom"/>
          </w:tcPr>
          <w:p w14:paraId="54333D67" w14:textId="15266F64" w:rsidR="00E035B6" w:rsidRPr="00082C10" w:rsidRDefault="00E035B6" w:rsidP="00E035B6">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Pr>
                <w:rFonts w:ascii="Arial" w:hAnsi="Arial" w:cs="Arial"/>
                <w:sz w:val="18"/>
                <w:szCs w:val="18"/>
              </w:rPr>
              <w:t>-</w:t>
            </w:r>
          </w:p>
        </w:tc>
        <w:tc>
          <w:tcPr>
            <w:tcW w:w="555" w:type="pct"/>
            <w:tcBorders>
              <w:top w:val="nil"/>
              <w:left w:val="nil"/>
              <w:bottom w:val="single" w:sz="4" w:space="0" w:color="auto"/>
              <w:right w:val="nil"/>
            </w:tcBorders>
            <w:shd w:val="clear" w:color="auto" w:fill="auto"/>
            <w:vAlign w:val="bottom"/>
          </w:tcPr>
          <w:p w14:paraId="4CC78344" w14:textId="5B4BF668" w:rsidR="00E035B6" w:rsidRPr="00082C10" w:rsidRDefault="00E035B6" w:rsidP="00E035B6">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sidRPr="00280D61">
              <w:rPr>
                <w:rFonts w:ascii="Arial" w:hAnsi="Arial" w:cs="Arial"/>
                <w:sz w:val="18"/>
                <w:szCs w:val="18"/>
              </w:rPr>
              <w:t>24.909</w:t>
            </w:r>
          </w:p>
        </w:tc>
        <w:tc>
          <w:tcPr>
            <w:tcW w:w="593" w:type="pct"/>
            <w:tcBorders>
              <w:top w:val="nil"/>
              <w:left w:val="nil"/>
              <w:bottom w:val="single" w:sz="4" w:space="0" w:color="auto"/>
              <w:right w:val="nil"/>
            </w:tcBorders>
            <w:shd w:val="clear" w:color="auto" w:fill="auto"/>
            <w:vAlign w:val="bottom"/>
          </w:tcPr>
          <w:p w14:paraId="1D03A24B" w14:textId="797D26B5" w:rsidR="00E035B6" w:rsidRPr="00082C10" w:rsidRDefault="00E035B6" w:rsidP="00E035B6">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Pr>
                <w:rFonts w:ascii="Arial" w:hAnsi="Arial" w:cs="Arial"/>
                <w:sz w:val="18"/>
                <w:szCs w:val="18"/>
              </w:rPr>
              <w:t>-</w:t>
            </w:r>
          </w:p>
        </w:tc>
        <w:tc>
          <w:tcPr>
            <w:tcW w:w="694" w:type="pct"/>
            <w:tcBorders>
              <w:top w:val="nil"/>
              <w:left w:val="nil"/>
              <w:bottom w:val="single" w:sz="4" w:space="0" w:color="auto"/>
              <w:right w:val="nil"/>
            </w:tcBorders>
            <w:shd w:val="clear" w:color="auto" w:fill="auto"/>
            <w:vAlign w:val="bottom"/>
          </w:tcPr>
          <w:p w14:paraId="2F75E1E0" w14:textId="0EE66ACF" w:rsidR="00E035B6" w:rsidRPr="00082C10" w:rsidRDefault="00E035B6" w:rsidP="00E035B6">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sidRPr="00280D61">
              <w:rPr>
                <w:rFonts w:ascii="Arial" w:hAnsi="Arial" w:cs="Arial"/>
                <w:sz w:val="18"/>
                <w:szCs w:val="18"/>
              </w:rPr>
              <w:t>(24.909)</w:t>
            </w:r>
          </w:p>
        </w:tc>
        <w:tc>
          <w:tcPr>
            <w:tcW w:w="555" w:type="pct"/>
            <w:tcBorders>
              <w:top w:val="nil"/>
              <w:left w:val="nil"/>
              <w:bottom w:val="single" w:sz="4" w:space="0" w:color="auto"/>
              <w:right w:val="nil"/>
            </w:tcBorders>
            <w:shd w:val="clear" w:color="auto" w:fill="auto"/>
            <w:vAlign w:val="bottom"/>
          </w:tcPr>
          <w:p w14:paraId="586724EA" w14:textId="5ABAC515" w:rsidR="00E035B6" w:rsidRPr="00082C10" w:rsidRDefault="00E035B6" w:rsidP="00E035B6">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hAnsi="Arial" w:cs="Arial"/>
                <w:sz w:val="18"/>
                <w:szCs w:val="18"/>
              </w:rPr>
              <w:t>-</w:t>
            </w:r>
          </w:p>
        </w:tc>
        <w:tc>
          <w:tcPr>
            <w:tcW w:w="692" w:type="pct"/>
            <w:tcBorders>
              <w:top w:val="nil"/>
              <w:left w:val="nil"/>
              <w:bottom w:val="single" w:sz="4" w:space="0" w:color="auto"/>
              <w:right w:val="nil"/>
            </w:tcBorders>
            <w:shd w:val="clear" w:color="auto" w:fill="auto"/>
            <w:vAlign w:val="bottom"/>
          </w:tcPr>
          <w:p w14:paraId="08001D59" w14:textId="6B42B8BD" w:rsidR="00E035B6" w:rsidRPr="00EA1BCC" w:rsidRDefault="00E035B6" w:rsidP="00E035B6">
            <w:pPr>
              <w:tabs>
                <w:tab w:val="right" w:pos="1202"/>
              </w:tabs>
              <w:suppressAutoHyphens/>
              <w:autoSpaceDN w:val="0"/>
              <w:spacing w:line="301" w:lineRule="exact"/>
              <w:jc w:val="right"/>
              <w:outlineLvl w:val="0"/>
              <w:rPr>
                <w:rFonts w:ascii="Arial" w:eastAsia="Times New Roman" w:hAnsi="Arial" w:cs="Arial"/>
                <w:b/>
                <w:bCs/>
                <w:iCs/>
                <w:color w:val="000000" w:themeColor="text1"/>
                <w:sz w:val="18"/>
                <w:szCs w:val="18"/>
              </w:rPr>
            </w:pPr>
            <w:r w:rsidRPr="00EA1BCC">
              <w:rPr>
                <w:rFonts w:ascii="Arial" w:hAnsi="Arial" w:cs="Arial"/>
                <w:b/>
                <w:bCs/>
                <w:sz w:val="18"/>
                <w:szCs w:val="18"/>
              </w:rPr>
              <w:t>-</w:t>
            </w:r>
          </w:p>
        </w:tc>
      </w:tr>
      <w:tr w:rsidR="00E035B6" w:rsidRPr="00082C10" w14:paraId="0C3840BD" w14:textId="77777777" w:rsidTr="00280D61">
        <w:trPr>
          <w:trHeight w:val="338"/>
        </w:trPr>
        <w:tc>
          <w:tcPr>
            <w:tcW w:w="1318" w:type="pct"/>
            <w:vAlign w:val="bottom"/>
          </w:tcPr>
          <w:p w14:paraId="4FD333C1" w14:textId="74EBFB93" w:rsidR="00E035B6" w:rsidRPr="00082C10" w:rsidRDefault="00E035B6" w:rsidP="00E035B6">
            <w:pPr>
              <w:tabs>
                <w:tab w:val="right" w:pos="1202"/>
              </w:tabs>
              <w:suppressAutoHyphens/>
              <w:autoSpaceDN w:val="0"/>
              <w:spacing w:line="240" w:lineRule="exact"/>
              <w:outlineLvl w:val="0"/>
              <w:rPr>
                <w:rFonts w:ascii="Arial" w:eastAsia="Times New Roman" w:hAnsi="Arial" w:cs="Arial"/>
                <w:b/>
                <w:iCs/>
                <w:color w:val="000000" w:themeColor="text1"/>
                <w:sz w:val="18"/>
                <w:szCs w:val="18"/>
              </w:rPr>
            </w:pPr>
            <w:r w:rsidRPr="00291152">
              <w:rPr>
                <w:rFonts w:ascii="Arial" w:eastAsia="Times New Roman" w:hAnsi="Arial" w:cs="Arial"/>
                <w:b/>
                <w:iCs/>
                <w:color w:val="000000" w:themeColor="text1"/>
                <w:sz w:val="18"/>
                <w:szCs w:val="18"/>
              </w:rPr>
              <w:t xml:space="preserve">Stanje </w:t>
            </w:r>
            <w:r w:rsidRPr="00082C10">
              <w:rPr>
                <w:rFonts w:ascii="Arial" w:eastAsia="Times New Roman" w:hAnsi="Arial" w:cs="Arial"/>
                <w:b/>
                <w:iCs/>
                <w:color w:val="000000" w:themeColor="text1"/>
                <w:sz w:val="18"/>
                <w:szCs w:val="18"/>
              </w:rPr>
              <w:t xml:space="preserve">30. </w:t>
            </w:r>
            <w:r>
              <w:rPr>
                <w:rFonts w:ascii="Arial" w:eastAsia="Times New Roman" w:hAnsi="Arial" w:cs="Arial"/>
                <w:b/>
                <w:iCs/>
                <w:color w:val="000000" w:themeColor="text1"/>
                <w:sz w:val="18"/>
                <w:szCs w:val="18"/>
              </w:rPr>
              <w:t>rujn</w:t>
            </w:r>
            <w:r w:rsidRPr="00082C10">
              <w:rPr>
                <w:rFonts w:ascii="Arial" w:eastAsia="Times New Roman" w:hAnsi="Arial" w:cs="Arial"/>
                <w:b/>
                <w:iCs/>
                <w:color w:val="000000" w:themeColor="text1"/>
                <w:sz w:val="18"/>
                <w:szCs w:val="18"/>
              </w:rPr>
              <w:t>a 202</w:t>
            </w:r>
            <w:r>
              <w:rPr>
                <w:rFonts w:ascii="Arial" w:eastAsia="Times New Roman" w:hAnsi="Arial" w:cs="Arial"/>
                <w:b/>
                <w:iCs/>
                <w:color w:val="000000" w:themeColor="text1"/>
                <w:sz w:val="18"/>
                <w:szCs w:val="18"/>
              </w:rPr>
              <w:t>3</w:t>
            </w:r>
            <w:r w:rsidRPr="00082C10">
              <w:rPr>
                <w:rFonts w:ascii="Arial" w:eastAsia="Times New Roman" w:hAnsi="Arial" w:cs="Arial"/>
                <w:b/>
                <w:iCs/>
                <w:color w:val="000000" w:themeColor="text1"/>
                <w:sz w:val="18"/>
                <w:szCs w:val="18"/>
              </w:rPr>
              <w:t>.</w:t>
            </w:r>
          </w:p>
        </w:tc>
        <w:tc>
          <w:tcPr>
            <w:tcW w:w="593" w:type="pct"/>
            <w:tcBorders>
              <w:top w:val="single" w:sz="8" w:space="0" w:color="auto"/>
              <w:left w:val="nil"/>
              <w:bottom w:val="single" w:sz="12" w:space="0" w:color="auto"/>
              <w:right w:val="nil"/>
            </w:tcBorders>
            <w:shd w:val="clear" w:color="auto" w:fill="auto"/>
            <w:vAlign w:val="bottom"/>
          </w:tcPr>
          <w:p w14:paraId="7475405D" w14:textId="5827C50A" w:rsidR="00E035B6" w:rsidRPr="00280D61" w:rsidRDefault="00E035B6" w:rsidP="00E035B6">
            <w:pPr>
              <w:tabs>
                <w:tab w:val="right" w:pos="1202"/>
              </w:tabs>
              <w:suppressAutoHyphens/>
              <w:autoSpaceDN w:val="0"/>
              <w:spacing w:line="301" w:lineRule="exact"/>
              <w:jc w:val="right"/>
              <w:outlineLvl w:val="0"/>
              <w:rPr>
                <w:rFonts w:ascii="Arial" w:hAnsi="Arial" w:cs="Arial"/>
                <w:b/>
                <w:bCs/>
                <w:sz w:val="18"/>
                <w:szCs w:val="18"/>
              </w:rPr>
            </w:pPr>
            <w:r w:rsidRPr="00280D61">
              <w:rPr>
                <w:rFonts w:ascii="Arial" w:hAnsi="Arial" w:cs="Arial"/>
                <w:b/>
                <w:bCs/>
                <w:sz w:val="18"/>
                <w:szCs w:val="18"/>
              </w:rPr>
              <w:t xml:space="preserve"> 956.219 </w:t>
            </w:r>
          </w:p>
        </w:tc>
        <w:tc>
          <w:tcPr>
            <w:tcW w:w="555" w:type="pct"/>
            <w:tcBorders>
              <w:top w:val="single" w:sz="8" w:space="0" w:color="auto"/>
              <w:left w:val="nil"/>
              <w:bottom w:val="single" w:sz="12" w:space="0" w:color="auto"/>
              <w:right w:val="nil"/>
            </w:tcBorders>
            <w:shd w:val="clear" w:color="auto" w:fill="auto"/>
            <w:vAlign w:val="bottom"/>
          </w:tcPr>
          <w:p w14:paraId="5133140A" w14:textId="21A2D9B2" w:rsidR="00E035B6" w:rsidRPr="00280D61" w:rsidRDefault="00E035B6" w:rsidP="00E035B6">
            <w:pPr>
              <w:tabs>
                <w:tab w:val="right" w:pos="1202"/>
              </w:tabs>
              <w:suppressAutoHyphens/>
              <w:autoSpaceDN w:val="0"/>
              <w:spacing w:line="301" w:lineRule="exact"/>
              <w:jc w:val="right"/>
              <w:outlineLvl w:val="0"/>
              <w:rPr>
                <w:rFonts w:ascii="Arial" w:hAnsi="Arial" w:cs="Arial"/>
                <w:b/>
                <w:bCs/>
                <w:sz w:val="18"/>
                <w:szCs w:val="18"/>
              </w:rPr>
            </w:pPr>
            <w:r w:rsidRPr="00280D61">
              <w:rPr>
                <w:rFonts w:ascii="Arial" w:hAnsi="Arial" w:cs="Arial"/>
                <w:b/>
                <w:bCs/>
                <w:sz w:val="18"/>
                <w:szCs w:val="18"/>
              </w:rPr>
              <w:t xml:space="preserve"> 468.975 </w:t>
            </w:r>
          </w:p>
        </w:tc>
        <w:tc>
          <w:tcPr>
            <w:tcW w:w="593" w:type="pct"/>
            <w:tcBorders>
              <w:top w:val="single" w:sz="8" w:space="0" w:color="auto"/>
              <w:left w:val="nil"/>
              <w:bottom w:val="single" w:sz="12" w:space="0" w:color="auto"/>
              <w:right w:val="nil"/>
            </w:tcBorders>
            <w:shd w:val="clear" w:color="auto" w:fill="auto"/>
            <w:vAlign w:val="bottom"/>
          </w:tcPr>
          <w:p w14:paraId="2F949EF9" w14:textId="5F3503C2" w:rsidR="00E035B6" w:rsidRPr="00280D61" w:rsidRDefault="00E035B6" w:rsidP="00E035B6">
            <w:pPr>
              <w:tabs>
                <w:tab w:val="right" w:pos="1202"/>
              </w:tabs>
              <w:suppressAutoHyphens/>
              <w:autoSpaceDN w:val="0"/>
              <w:spacing w:line="301" w:lineRule="exact"/>
              <w:jc w:val="right"/>
              <w:outlineLvl w:val="0"/>
              <w:rPr>
                <w:rFonts w:ascii="Arial" w:hAnsi="Arial" w:cs="Arial"/>
                <w:b/>
                <w:bCs/>
                <w:sz w:val="18"/>
                <w:szCs w:val="18"/>
              </w:rPr>
            </w:pPr>
            <w:r w:rsidRPr="00280D61">
              <w:rPr>
                <w:rFonts w:ascii="Arial" w:hAnsi="Arial" w:cs="Arial"/>
                <w:b/>
                <w:bCs/>
                <w:sz w:val="18"/>
                <w:szCs w:val="18"/>
              </w:rPr>
              <w:t xml:space="preserve"> (4.524)</w:t>
            </w:r>
          </w:p>
        </w:tc>
        <w:tc>
          <w:tcPr>
            <w:tcW w:w="694" w:type="pct"/>
            <w:tcBorders>
              <w:top w:val="single" w:sz="8" w:space="0" w:color="auto"/>
              <w:left w:val="nil"/>
              <w:bottom w:val="single" w:sz="12" w:space="0" w:color="auto"/>
              <w:right w:val="nil"/>
            </w:tcBorders>
            <w:shd w:val="clear" w:color="auto" w:fill="auto"/>
            <w:vAlign w:val="bottom"/>
          </w:tcPr>
          <w:p w14:paraId="73A37A0A" w14:textId="57D256D0" w:rsidR="00E035B6" w:rsidRPr="00280D61" w:rsidRDefault="00E035B6" w:rsidP="00E035B6">
            <w:pPr>
              <w:tabs>
                <w:tab w:val="right" w:pos="1202"/>
              </w:tabs>
              <w:suppressAutoHyphens/>
              <w:autoSpaceDN w:val="0"/>
              <w:spacing w:line="301" w:lineRule="exact"/>
              <w:jc w:val="right"/>
              <w:outlineLvl w:val="0"/>
              <w:rPr>
                <w:rFonts w:ascii="Arial" w:hAnsi="Arial" w:cs="Arial"/>
                <w:b/>
                <w:bCs/>
                <w:sz w:val="18"/>
                <w:szCs w:val="18"/>
              </w:rPr>
            </w:pPr>
            <w:r w:rsidRPr="00280D61">
              <w:rPr>
                <w:rFonts w:ascii="Arial" w:hAnsi="Arial" w:cs="Arial"/>
                <w:b/>
                <w:bCs/>
                <w:sz w:val="18"/>
                <w:szCs w:val="18"/>
              </w:rPr>
              <w:t xml:space="preserve"> 50.768 </w:t>
            </w:r>
          </w:p>
        </w:tc>
        <w:tc>
          <w:tcPr>
            <w:tcW w:w="555" w:type="pct"/>
            <w:tcBorders>
              <w:top w:val="single" w:sz="8" w:space="0" w:color="auto"/>
              <w:left w:val="nil"/>
              <w:bottom w:val="single" w:sz="12" w:space="0" w:color="auto"/>
              <w:right w:val="nil"/>
            </w:tcBorders>
            <w:shd w:val="clear" w:color="auto" w:fill="auto"/>
            <w:vAlign w:val="bottom"/>
          </w:tcPr>
          <w:p w14:paraId="618DCBB0" w14:textId="6EAEA7B8" w:rsidR="00E035B6" w:rsidRPr="00280D61" w:rsidRDefault="00E035B6" w:rsidP="00E035B6">
            <w:pPr>
              <w:tabs>
                <w:tab w:val="right" w:pos="1202"/>
              </w:tabs>
              <w:suppressAutoHyphens/>
              <w:autoSpaceDN w:val="0"/>
              <w:spacing w:line="301" w:lineRule="exact"/>
              <w:jc w:val="right"/>
              <w:outlineLvl w:val="0"/>
              <w:rPr>
                <w:rFonts w:ascii="Arial" w:hAnsi="Arial" w:cs="Arial"/>
                <w:b/>
                <w:bCs/>
                <w:sz w:val="18"/>
                <w:szCs w:val="18"/>
              </w:rPr>
            </w:pPr>
            <w:r w:rsidRPr="00280D61">
              <w:rPr>
                <w:rFonts w:ascii="Arial" w:hAnsi="Arial" w:cs="Arial"/>
                <w:b/>
                <w:bCs/>
                <w:sz w:val="18"/>
                <w:szCs w:val="18"/>
              </w:rPr>
              <w:t xml:space="preserve"> 1.638 </w:t>
            </w:r>
          </w:p>
        </w:tc>
        <w:tc>
          <w:tcPr>
            <w:tcW w:w="692" w:type="pct"/>
            <w:tcBorders>
              <w:top w:val="single" w:sz="8" w:space="0" w:color="auto"/>
              <w:left w:val="nil"/>
              <w:bottom w:val="single" w:sz="12" w:space="0" w:color="auto"/>
              <w:right w:val="nil"/>
            </w:tcBorders>
            <w:shd w:val="clear" w:color="auto" w:fill="auto"/>
            <w:vAlign w:val="bottom"/>
          </w:tcPr>
          <w:p w14:paraId="17CC1B19" w14:textId="6EF63085" w:rsidR="00E035B6" w:rsidRPr="00280D61" w:rsidRDefault="00E035B6" w:rsidP="00E035B6">
            <w:pPr>
              <w:tabs>
                <w:tab w:val="right" w:pos="1202"/>
              </w:tabs>
              <w:suppressAutoHyphens/>
              <w:autoSpaceDN w:val="0"/>
              <w:spacing w:line="301" w:lineRule="exact"/>
              <w:jc w:val="right"/>
              <w:outlineLvl w:val="0"/>
              <w:rPr>
                <w:rFonts w:ascii="Arial" w:hAnsi="Arial" w:cs="Arial"/>
                <w:b/>
                <w:bCs/>
                <w:sz w:val="18"/>
                <w:szCs w:val="18"/>
              </w:rPr>
            </w:pPr>
            <w:r w:rsidRPr="00280D61">
              <w:rPr>
                <w:rFonts w:ascii="Arial" w:hAnsi="Arial" w:cs="Arial"/>
                <w:b/>
                <w:bCs/>
                <w:sz w:val="18"/>
                <w:szCs w:val="18"/>
              </w:rPr>
              <w:t xml:space="preserve"> 1.473.076 </w:t>
            </w:r>
          </w:p>
        </w:tc>
      </w:tr>
      <w:tr w:rsidR="00E035B6" w:rsidRPr="00082C10" w14:paraId="2B169EF4" w14:textId="77777777" w:rsidTr="007478FB">
        <w:trPr>
          <w:trHeight w:val="20"/>
        </w:trPr>
        <w:tc>
          <w:tcPr>
            <w:tcW w:w="1318" w:type="pct"/>
            <w:vAlign w:val="bottom"/>
          </w:tcPr>
          <w:p w14:paraId="65183E0B" w14:textId="77777777" w:rsidR="00E035B6" w:rsidRPr="00291152" w:rsidRDefault="00E035B6" w:rsidP="00E035B6">
            <w:pPr>
              <w:tabs>
                <w:tab w:val="right" w:pos="1202"/>
              </w:tabs>
              <w:suppressAutoHyphens/>
              <w:autoSpaceDN w:val="0"/>
              <w:spacing w:line="240" w:lineRule="exact"/>
              <w:outlineLvl w:val="0"/>
              <w:rPr>
                <w:rFonts w:ascii="Arial" w:eastAsia="Times New Roman" w:hAnsi="Arial" w:cs="Arial"/>
                <w:b/>
                <w:iCs/>
                <w:color w:val="000000" w:themeColor="text1"/>
                <w:sz w:val="18"/>
                <w:szCs w:val="18"/>
              </w:rPr>
            </w:pPr>
          </w:p>
        </w:tc>
        <w:tc>
          <w:tcPr>
            <w:tcW w:w="593" w:type="pct"/>
            <w:tcBorders>
              <w:top w:val="single" w:sz="8" w:space="0" w:color="auto"/>
              <w:left w:val="nil"/>
              <w:bottom w:val="single" w:sz="4" w:space="0" w:color="auto"/>
              <w:right w:val="nil"/>
            </w:tcBorders>
            <w:shd w:val="clear" w:color="auto" w:fill="auto"/>
            <w:vAlign w:val="bottom"/>
          </w:tcPr>
          <w:p w14:paraId="6E110C5A" w14:textId="77777777" w:rsidR="00E035B6" w:rsidRPr="00082C10" w:rsidRDefault="00E035B6" w:rsidP="00E035B6">
            <w:pPr>
              <w:tabs>
                <w:tab w:val="right" w:pos="1202"/>
              </w:tabs>
              <w:suppressAutoHyphens/>
              <w:autoSpaceDN w:val="0"/>
              <w:spacing w:line="240" w:lineRule="exact"/>
              <w:outlineLvl w:val="0"/>
              <w:rPr>
                <w:rFonts w:ascii="Arial" w:eastAsia="Times New Roman" w:hAnsi="Arial" w:cs="Arial"/>
                <w:b/>
                <w:iCs/>
                <w:color w:val="000000" w:themeColor="text1"/>
                <w:sz w:val="18"/>
                <w:szCs w:val="18"/>
              </w:rPr>
            </w:pPr>
          </w:p>
        </w:tc>
        <w:tc>
          <w:tcPr>
            <w:tcW w:w="555" w:type="pct"/>
            <w:tcBorders>
              <w:top w:val="single" w:sz="8" w:space="0" w:color="auto"/>
              <w:left w:val="nil"/>
              <w:bottom w:val="single" w:sz="4" w:space="0" w:color="auto"/>
              <w:right w:val="nil"/>
            </w:tcBorders>
            <w:shd w:val="clear" w:color="auto" w:fill="auto"/>
            <w:vAlign w:val="bottom"/>
          </w:tcPr>
          <w:p w14:paraId="1F13C92A" w14:textId="77777777" w:rsidR="00E035B6" w:rsidRPr="00082C10" w:rsidRDefault="00E035B6" w:rsidP="00E035B6">
            <w:pPr>
              <w:tabs>
                <w:tab w:val="right" w:pos="1202"/>
              </w:tabs>
              <w:suppressAutoHyphens/>
              <w:autoSpaceDN w:val="0"/>
              <w:spacing w:line="240" w:lineRule="exact"/>
              <w:outlineLvl w:val="0"/>
              <w:rPr>
                <w:rFonts w:ascii="Arial" w:eastAsia="Times New Roman" w:hAnsi="Arial" w:cs="Arial"/>
                <w:b/>
                <w:iCs/>
                <w:color w:val="000000" w:themeColor="text1"/>
                <w:sz w:val="18"/>
                <w:szCs w:val="18"/>
              </w:rPr>
            </w:pPr>
          </w:p>
        </w:tc>
        <w:tc>
          <w:tcPr>
            <w:tcW w:w="593" w:type="pct"/>
            <w:tcBorders>
              <w:top w:val="single" w:sz="8" w:space="0" w:color="auto"/>
              <w:left w:val="nil"/>
              <w:bottom w:val="single" w:sz="4" w:space="0" w:color="auto"/>
              <w:right w:val="nil"/>
            </w:tcBorders>
            <w:shd w:val="clear" w:color="auto" w:fill="auto"/>
            <w:vAlign w:val="bottom"/>
          </w:tcPr>
          <w:p w14:paraId="55191C75" w14:textId="77777777" w:rsidR="00E035B6" w:rsidRPr="00082C10" w:rsidRDefault="00E035B6" w:rsidP="00E035B6">
            <w:pPr>
              <w:tabs>
                <w:tab w:val="right" w:pos="1202"/>
              </w:tabs>
              <w:suppressAutoHyphens/>
              <w:autoSpaceDN w:val="0"/>
              <w:spacing w:line="240" w:lineRule="exact"/>
              <w:outlineLvl w:val="0"/>
              <w:rPr>
                <w:rFonts w:ascii="Arial" w:eastAsia="Times New Roman" w:hAnsi="Arial" w:cs="Arial"/>
                <w:b/>
                <w:iCs/>
                <w:color w:val="000000" w:themeColor="text1"/>
                <w:sz w:val="18"/>
                <w:szCs w:val="18"/>
              </w:rPr>
            </w:pPr>
          </w:p>
        </w:tc>
        <w:tc>
          <w:tcPr>
            <w:tcW w:w="694" w:type="pct"/>
            <w:tcBorders>
              <w:top w:val="single" w:sz="8" w:space="0" w:color="auto"/>
              <w:left w:val="nil"/>
              <w:bottom w:val="single" w:sz="4" w:space="0" w:color="auto"/>
              <w:right w:val="nil"/>
            </w:tcBorders>
            <w:shd w:val="clear" w:color="auto" w:fill="auto"/>
            <w:vAlign w:val="bottom"/>
          </w:tcPr>
          <w:p w14:paraId="3F65AA4B" w14:textId="77777777" w:rsidR="00E035B6" w:rsidRPr="00082C10" w:rsidRDefault="00E035B6" w:rsidP="00E035B6">
            <w:pPr>
              <w:tabs>
                <w:tab w:val="right" w:pos="1202"/>
              </w:tabs>
              <w:suppressAutoHyphens/>
              <w:autoSpaceDN w:val="0"/>
              <w:spacing w:line="240" w:lineRule="exact"/>
              <w:outlineLvl w:val="0"/>
              <w:rPr>
                <w:rFonts w:ascii="Arial" w:eastAsia="Times New Roman" w:hAnsi="Arial" w:cs="Arial"/>
                <w:b/>
                <w:iCs/>
                <w:color w:val="000000" w:themeColor="text1"/>
                <w:sz w:val="18"/>
                <w:szCs w:val="18"/>
              </w:rPr>
            </w:pPr>
          </w:p>
        </w:tc>
        <w:tc>
          <w:tcPr>
            <w:tcW w:w="555" w:type="pct"/>
            <w:tcBorders>
              <w:top w:val="single" w:sz="8" w:space="0" w:color="auto"/>
              <w:left w:val="nil"/>
              <w:bottom w:val="single" w:sz="4" w:space="0" w:color="auto"/>
              <w:right w:val="nil"/>
            </w:tcBorders>
            <w:shd w:val="clear" w:color="auto" w:fill="auto"/>
            <w:vAlign w:val="bottom"/>
          </w:tcPr>
          <w:p w14:paraId="3A42C767" w14:textId="77777777" w:rsidR="00E035B6" w:rsidRPr="00082C10" w:rsidRDefault="00E035B6" w:rsidP="00E035B6">
            <w:pPr>
              <w:tabs>
                <w:tab w:val="right" w:pos="1202"/>
              </w:tabs>
              <w:suppressAutoHyphens/>
              <w:autoSpaceDN w:val="0"/>
              <w:spacing w:line="240" w:lineRule="exact"/>
              <w:outlineLvl w:val="0"/>
              <w:rPr>
                <w:rFonts w:ascii="Arial" w:eastAsia="Times New Roman" w:hAnsi="Arial" w:cs="Arial"/>
                <w:b/>
                <w:iCs/>
                <w:color w:val="000000" w:themeColor="text1"/>
                <w:sz w:val="18"/>
                <w:szCs w:val="18"/>
              </w:rPr>
            </w:pPr>
          </w:p>
        </w:tc>
        <w:tc>
          <w:tcPr>
            <w:tcW w:w="692" w:type="pct"/>
            <w:tcBorders>
              <w:top w:val="single" w:sz="8" w:space="0" w:color="auto"/>
              <w:left w:val="nil"/>
              <w:bottom w:val="single" w:sz="4" w:space="0" w:color="auto"/>
              <w:right w:val="nil"/>
            </w:tcBorders>
            <w:shd w:val="clear" w:color="auto" w:fill="auto"/>
            <w:vAlign w:val="bottom"/>
          </w:tcPr>
          <w:p w14:paraId="2EE89130" w14:textId="77777777" w:rsidR="00E035B6" w:rsidRPr="00082C10" w:rsidRDefault="00E035B6" w:rsidP="00E035B6">
            <w:pPr>
              <w:tabs>
                <w:tab w:val="right" w:pos="1202"/>
              </w:tabs>
              <w:suppressAutoHyphens/>
              <w:autoSpaceDN w:val="0"/>
              <w:spacing w:line="240" w:lineRule="exact"/>
              <w:outlineLvl w:val="0"/>
              <w:rPr>
                <w:rFonts w:ascii="Arial" w:eastAsia="Times New Roman" w:hAnsi="Arial" w:cs="Arial"/>
                <w:b/>
                <w:bCs/>
                <w:iCs/>
                <w:color w:val="000000" w:themeColor="text1"/>
                <w:sz w:val="18"/>
                <w:szCs w:val="18"/>
              </w:rPr>
            </w:pPr>
          </w:p>
        </w:tc>
      </w:tr>
      <w:tr w:rsidR="00E417B9" w:rsidRPr="00082C10" w14:paraId="34A841D6" w14:textId="77777777" w:rsidTr="006D7927">
        <w:trPr>
          <w:trHeight w:val="331"/>
        </w:trPr>
        <w:tc>
          <w:tcPr>
            <w:tcW w:w="1318" w:type="pct"/>
            <w:vAlign w:val="bottom"/>
          </w:tcPr>
          <w:p w14:paraId="79581E18" w14:textId="6203E14F" w:rsidR="00E417B9" w:rsidRPr="00291152" w:rsidRDefault="00E417B9" w:rsidP="00E035B6">
            <w:pPr>
              <w:tabs>
                <w:tab w:val="right" w:pos="1202"/>
              </w:tabs>
              <w:suppressAutoHyphens/>
              <w:autoSpaceDN w:val="0"/>
              <w:spacing w:line="240" w:lineRule="exact"/>
              <w:outlineLvl w:val="0"/>
              <w:rPr>
                <w:rFonts w:ascii="Arial" w:eastAsia="Times New Roman" w:hAnsi="Arial" w:cs="Arial"/>
                <w:b/>
                <w:iCs/>
                <w:color w:val="000000" w:themeColor="text1"/>
                <w:sz w:val="18"/>
                <w:szCs w:val="18"/>
              </w:rPr>
            </w:pPr>
            <w:r>
              <w:rPr>
                <w:rFonts w:ascii="Arial" w:eastAsia="Times New Roman" w:hAnsi="Arial" w:cs="Arial"/>
                <w:b/>
                <w:iCs/>
                <w:color w:val="000000" w:themeColor="text1"/>
                <w:sz w:val="18"/>
                <w:szCs w:val="18"/>
              </w:rPr>
              <w:t>Stanje 31. prosinca 2023.</w:t>
            </w:r>
          </w:p>
        </w:tc>
        <w:tc>
          <w:tcPr>
            <w:tcW w:w="593" w:type="pct"/>
            <w:tcBorders>
              <w:top w:val="single" w:sz="8" w:space="0" w:color="auto"/>
              <w:left w:val="nil"/>
              <w:bottom w:val="single" w:sz="4" w:space="0" w:color="auto"/>
              <w:right w:val="nil"/>
            </w:tcBorders>
            <w:shd w:val="clear" w:color="auto" w:fill="auto"/>
            <w:vAlign w:val="bottom"/>
          </w:tcPr>
          <w:p w14:paraId="44877315" w14:textId="66252A03" w:rsidR="00E417B9" w:rsidRPr="00082C10" w:rsidRDefault="00E417B9" w:rsidP="006D7927">
            <w:pPr>
              <w:tabs>
                <w:tab w:val="right" w:pos="1202"/>
              </w:tabs>
              <w:suppressAutoHyphens/>
              <w:autoSpaceDN w:val="0"/>
              <w:spacing w:line="240" w:lineRule="exact"/>
              <w:jc w:val="right"/>
              <w:outlineLvl w:val="0"/>
              <w:rPr>
                <w:rFonts w:ascii="Arial" w:eastAsia="Times New Roman" w:hAnsi="Arial" w:cs="Arial"/>
                <w:b/>
                <w:iCs/>
                <w:color w:val="000000" w:themeColor="text1"/>
                <w:sz w:val="18"/>
                <w:szCs w:val="18"/>
              </w:rPr>
            </w:pPr>
            <w:r>
              <w:rPr>
                <w:rFonts w:ascii="Arial" w:eastAsia="Times New Roman" w:hAnsi="Arial" w:cs="Arial"/>
                <w:b/>
                <w:iCs/>
                <w:color w:val="000000" w:themeColor="text1"/>
                <w:sz w:val="18"/>
                <w:szCs w:val="18"/>
              </w:rPr>
              <w:t>958.889</w:t>
            </w:r>
          </w:p>
        </w:tc>
        <w:tc>
          <w:tcPr>
            <w:tcW w:w="555" w:type="pct"/>
            <w:tcBorders>
              <w:top w:val="single" w:sz="8" w:space="0" w:color="auto"/>
              <w:left w:val="nil"/>
              <w:bottom w:val="single" w:sz="4" w:space="0" w:color="auto"/>
              <w:right w:val="nil"/>
            </w:tcBorders>
            <w:shd w:val="clear" w:color="auto" w:fill="auto"/>
            <w:vAlign w:val="bottom"/>
          </w:tcPr>
          <w:p w14:paraId="1B56C9EB" w14:textId="0D9ABB75" w:rsidR="00E417B9" w:rsidRPr="00082C10" w:rsidRDefault="006D7927" w:rsidP="006D7927">
            <w:pPr>
              <w:tabs>
                <w:tab w:val="right" w:pos="1202"/>
              </w:tabs>
              <w:suppressAutoHyphens/>
              <w:autoSpaceDN w:val="0"/>
              <w:spacing w:line="240" w:lineRule="exact"/>
              <w:jc w:val="right"/>
              <w:outlineLvl w:val="0"/>
              <w:rPr>
                <w:rFonts w:ascii="Arial" w:eastAsia="Times New Roman" w:hAnsi="Arial" w:cs="Arial"/>
                <w:b/>
                <w:iCs/>
                <w:color w:val="000000" w:themeColor="text1"/>
                <w:sz w:val="18"/>
                <w:szCs w:val="18"/>
              </w:rPr>
            </w:pPr>
            <w:r>
              <w:rPr>
                <w:rFonts w:ascii="Arial" w:eastAsia="Times New Roman" w:hAnsi="Arial" w:cs="Arial"/>
                <w:b/>
                <w:iCs/>
                <w:color w:val="000000" w:themeColor="text1"/>
                <w:sz w:val="18"/>
                <w:szCs w:val="18"/>
              </w:rPr>
              <w:t>468.960</w:t>
            </w:r>
          </w:p>
        </w:tc>
        <w:tc>
          <w:tcPr>
            <w:tcW w:w="593" w:type="pct"/>
            <w:tcBorders>
              <w:top w:val="single" w:sz="8" w:space="0" w:color="auto"/>
              <w:left w:val="nil"/>
              <w:bottom w:val="single" w:sz="4" w:space="0" w:color="auto"/>
              <w:right w:val="nil"/>
            </w:tcBorders>
            <w:shd w:val="clear" w:color="auto" w:fill="auto"/>
            <w:vAlign w:val="bottom"/>
          </w:tcPr>
          <w:p w14:paraId="6B8CF550" w14:textId="5003B3B7" w:rsidR="00E417B9" w:rsidRPr="00082C10" w:rsidRDefault="006D7927" w:rsidP="006D7927">
            <w:pPr>
              <w:tabs>
                <w:tab w:val="right" w:pos="1202"/>
              </w:tabs>
              <w:suppressAutoHyphens/>
              <w:autoSpaceDN w:val="0"/>
              <w:spacing w:line="240" w:lineRule="exact"/>
              <w:jc w:val="right"/>
              <w:outlineLvl w:val="0"/>
              <w:rPr>
                <w:rFonts w:ascii="Arial" w:eastAsia="Times New Roman" w:hAnsi="Arial" w:cs="Arial"/>
                <w:b/>
                <w:iCs/>
                <w:color w:val="000000" w:themeColor="text1"/>
                <w:sz w:val="18"/>
                <w:szCs w:val="18"/>
              </w:rPr>
            </w:pPr>
            <w:r>
              <w:rPr>
                <w:rFonts w:ascii="Arial" w:eastAsia="Times New Roman" w:hAnsi="Arial" w:cs="Arial"/>
                <w:b/>
                <w:iCs/>
                <w:color w:val="000000" w:themeColor="text1"/>
                <w:sz w:val="18"/>
                <w:szCs w:val="18"/>
              </w:rPr>
              <w:t>(1.555)</w:t>
            </w:r>
          </w:p>
        </w:tc>
        <w:tc>
          <w:tcPr>
            <w:tcW w:w="694" w:type="pct"/>
            <w:tcBorders>
              <w:top w:val="single" w:sz="8" w:space="0" w:color="auto"/>
              <w:left w:val="nil"/>
              <w:bottom w:val="single" w:sz="4" w:space="0" w:color="auto"/>
              <w:right w:val="nil"/>
            </w:tcBorders>
            <w:shd w:val="clear" w:color="auto" w:fill="auto"/>
            <w:vAlign w:val="bottom"/>
          </w:tcPr>
          <w:p w14:paraId="19AC0011" w14:textId="4CF6C748" w:rsidR="00E417B9" w:rsidRPr="00082C10" w:rsidRDefault="006D7927" w:rsidP="006D7927">
            <w:pPr>
              <w:tabs>
                <w:tab w:val="right" w:pos="1202"/>
              </w:tabs>
              <w:suppressAutoHyphens/>
              <w:autoSpaceDN w:val="0"/>
              <w:spacing w:line="240" w:lineRule="exact"/>
              <w:jc w:val="right"/>
              <w:outlineLvl w:val="0"/>
              <w:rPr>
                <w:rFonts w:ascii="Arial" w:eastAsia="Times New Roman" w:hAnsi="Arial" w:cs="Arial"/>
                <w:b/>
                <w:iCs/>
                <w:color w:val="000000" w:themeColor="text1"/>
                <w:sz w:val="18"/>
                <w:szCs w:val="18"/>
              </w:rPr>
            </w:pPr>
            <w:r>
              <w:rPr>
                <w:rFonts w:ascii="Arial" w:eastAsia="Times New Roman" w:hAnsi="Arial" w:cs="Arial"/>
                <w:b/>
                <w:iCs/>
                <w:color w:val="000000" w:themeColor="text1"/>
                <w:sz w:val="18"/>
                <w:szCs w:val="18"/>
              </w:rPr>
              <w:t>29.947</w:t>
            </w:r>
          </w:p>
        </w:tc>
        <w:tc>
          <w:tcPr>
            <w:tcW w:w="555" w:type="pct"/>
            <w:tcBorders>
              <w:top w:val="single" w:sz="8" w:space="0" w:color="auto"/>
              <w:left w:val="nil"/>
              <w:bottom w:val="single" w:sz="4" w:space="0" w:color="auto"/>
              <w:right w:val="nil"/>
            </w:tcBorders>
            <w:shd w:val="clear" w:color="auto" w:fill="auto"/>
            <w:vAlign w:val="bottom"/>
          </w:tcPr>
          <w:p w14:paraId="768B4558" w14:textId="7BFA5B60" w:rsidR="00E417B9" w:rsidRPr="00082C10" w:rsidRDefault="006D7927" w:rsidP="006D7927">
            <w:pPr>
              <w:tabs>
                <w:tab w:val="right" w:pos="1202"/>
              </w:tabs>
              <w:suppressAutoHyphens/>
              <w:autoSpaceDN w:val="0"/>
              <w:spacing w:line="240" w:lineRule="exact"/>
              <w:jc w:val="right"/>
              <w:outlineLvl w:val="0"/>
              <w:rPr>
                <w:rFonts w:ascii="Arial" w:eastAsia="Times New Roman" w:hAnsi="Arial" w:cs="Arial"/>
                <w:b/>
                <w:iCs/>
                <w:color w:val="000000" w:themeColor="text1"/>
                <w:sz w:val="18"/>
                <w:szCs w:val="18"/>
              </w:rPr>
            </w:pPr>
            <w:r>
              <w:rPr>
                <w:rFonts w:ascii="Arial" w:eastAsia="Times New Roman" w:hAnsi="Arial" w:cs="Arial"/>
                <w:b/>
                <w:iCs/>
                <w:color w:val="000000" w:themeColor="text1"/>
                <w:sz w:val="18"/>
                <w:szCs w:val="18"/>
              </w:rPr>
              <w:t>1.638</w:t>
            </w:r>
          </w:p>
        </w:tc>
        <w:tc>
          <w:tcPr>
            <w:tcW w:w="692" w:type="pct"/>
            <w:tcBorders>
              <w:top w:val="single" w:sz="8" w:space="0" w:color="auto"/>
              <w:left w:val="nil"/>
              <w:bottom w:val="single" w:sz="4" w:space="0" w:color="auto"/>
              <w:right w:val="nil"/>
            </w:tcBorders>
            <w:shd w:val="clear" w:color="auto" w:fill="auto"/>
            <w:vAlign w:val="bottom"/>
          </w:tcPr>
          <w:p w14:paraId="57F03183" w14:textId="3762DC11" w:rsidR="00E417B9" w:rsidRPr="00082C10" w:rsidRDefault="006D7927" w:rsidP="006D7927">
            <w:pPr>
              <w:tabs>
                <w:tab w:val="right" w:pos="1202"/>
              </w:tabs>
              <w:suppressAutoHyphens/>
              <w:autoSpaceDN w:val="0"/>
              <w:spacing w:line="240" w:lineRule="exact"/>
              <w:jc w:val="right"/>
              <w:outlineLvl w:val="0"/>
              <w:rPr>
                <w:rFonts w:ascii="Arial" w:eastAsia="Times New Roman" w:hAnsi="Arial" w:cs="Arial"/>
                <w:b/>
                <w:bCs/>
                <w:iCs/>
                <w:color w:val="000000" w:themeColor="text1"/>
                <w:sz w:val="18"/>
                <w:szCs w:val="18"/>
              </w:rPr>
            </w:pPr>
            <w:r>
              <w:rPr>
                <w:rFonts w:ascii="Arial" w:eastAsia="Times New Roman" w:hAnsi="Arial" w:cs="Arial"/>
                <w:b/>
                <w:bCs/>
                <w:iCs/>
                <w:color w:val="000000" w:themeColor="text1"/>
                <w:sz w:val="18"/>
                <w:szCs w:val="18"/>
              </w:rPr>
              <w:t>1.457.8</w:t>
            </w:r>
            <w:r w:rsidR="00274386">
              <w:rPr>
                <w:rFonts w:ascii="Arial" w:eastAsia="Times New Roman" w:hAnsi="Arial" w:cs="Arial"/>
                <w:b/>
                <w:bCs/>
                <w:iCs/>
                <w:color w:val="000000" w:themeColor="text1"/>
                <w:sz w:val="18"/>
                <w:szCs w:val="18"/>
              </w:rPr>
              <w:t>79</w:t>
            </w:r>
          </w:p>
        </w:tc>
      </w:tr>
      <w:tr w:rsidR="00A74B39" w:rsidRPr="00082C10" w14:paraId="548075C5" w14:textId="77777777" w:rsidTr="00C500E4">
        <w:trPr>
          <w:trHeight w:val="265"/>
        </w:trPr>
        <w:tc>
          <w:tcPr>
            <w:tcW w:w="1318" w:type="pct"/>
            <w:vAlign w:val="bottom"/>
          </w:tcPr>
          <w:p w14:paraId="2722F7A6" w14:textId="099210F0" w:rsidR="00A74B39" w:rsidRPr="008237AE" w:rsidRDefault="006D7927" w:rsidP="00E035B6">
            <w:pPr>
              <w:tabs>
                <w:tab w:val="right" w:pos="1202"/>
              </w:tabs>
              <w:suppressAutoHyphens/>
              <w:autoSpaceDN w:val="0"/>
              <w:spacing w:line="240" w:lineRule="exact"/>
              <w:outlineLvl w:val="0"/>
              <w:rPr>
                <w:rFonts w:ascii="Arial" w:eastAsia="Times New Roman" w:hAnsi="Arial" w:cs="Arial"/>
                <w:bCs/>
                <w:iCs/>
                <w:color w:val="000000" w:themeColor="text1"/>
                <w:sz w:val="18"/>
                <w:szCs w:val="18"/>
              </w:rPr>
            </w:pPr>
            <w:r w:rsidRPr="008237AE">
              <w:rPr>
                <w:rFonts w:ascii="Arial" w:eastAsia="Times New Roman" w:hAnsi="Arial" w:cs="Arial"/>
                <w:bCs/>
                <w:iCs/>
                <w:color w:val="000000" w:themeColor="text1"/>
                <w:sz w:val="18"/>
                <w:szCs w:val="18"/>
              </w:rPr>
              <w:t>Korekcija početnog stanja</w:t>
            </w:r>
          </w:p>
        </w:tc>
        <w:tc>
          <w:tcPr>
            <w:tcW w:w="593" w:type="pct"/>
            <w:tcBorders>
              <w:top w:val="single" w:sz="8" w:space="0" w:color="auto"/>
              <w:left w:val="nil"/>
              <w:bottom w:val="single" w:sz="4" w:space="0" w:color="auto"/>
              <w:right w:val="nil"/>
            </w:tcBorders>
            <w:shd w:val="clear" w:color="auto" w:fill="auto"/>
            <w:vAlign w:val="bottom"/>
          </w:tcPr>
          <w:p w14:paraId="038352D5" w14:textId="4E242623" w:rsidR="00A74B39" w:rsidRPr="008237AE" w:rsidRDefault="00C500E4" w:rsidP="006D7927">
            <w:pPr>
              <w:tabs>
                <w:tab w:val="right" w:pos="1202"/>
              </w:tabs>
              <w:suppressAutoHyphens/>
              <w:autoSpaceDN w:val="0"/>
              <w:spacing w:line="240" w:lineRule="exact"/>
              <w:jc w:val="right"/>
              <w:outlineLvl w:val="0"/>
              <w:rPr>
                <w:rFonts w:ascii="Arial" w:eastAsia="Times New Roman" w:hAnsi="Arial" w:cs="Arial"/>
                <w:bCs/>
                <w:iCs/>
                <w:color w:val="000000" w:themeColor="text1"/>
                <w:sz w:val="18"/>
                <w:szCs w:val="18"/>
              </w:rPr>
            </w:pPr>
            <w:r w:rsidRPr="008237AE">
              <w:rPr>
                <w:rFonts w:ascii="Arial" w:eastAsia="Times New Roman" w:hAnsi="Arial" w:cs="Arial"/>
                <w:bCs/>
                <w:iCs/>
                <w:color w:val="000000" w:themeColor="text1"/>
                <w:sz w:val="18"/>
                <w:szCs w:val="18"/>
              </w:rPr>
              <w:t>-</w:t>
            </w:r>
          </w:p>
        </w:tc>
        <w:tc>
          <w:tcPr>
            <w:tcW w:w="555" w:type="pct"/>
            <w:tcBorders>
              <w:top w:val="single" w:sz="8" w:space="0" w:color="auto"/>
              <w:left w:val="nil"/>
              <w:bottom w:val="single" w:sz="4" w:space="0" w:color="auto"/>
              <w:right w:val="nil"/>
            </w:tcBorders>
            <w:shd w:val="clear" w:color="auto" w:fill="auto"/>
            <w:vAlign w:val="bottom"/>
          </w:tcPr>
          <w:p w14:paraId="600D5958" w14:textId="03C05DB8" w:rsidR="00A74B39" w:rsidRPr="008237AE" w:rsidRDefault="00C500E4" w:rsidP="006D7927">
            <w:pPr>
              <w:tabs>
                <w:tab w:val="right" w:pos="1202"/>
              </w:tabs>
              <w:suppressAutoHyphens/>
              <w:autoSpaceDN w:val="0"/>
              <w:spacing w:line="240" w:lineRule="exact"/>
              <w:jc w:val="right"/>
              <w:outlineLvl w:val="0"/>
              <w:rPr>
                <w:rFonts w:ascii="Arial" w:eastAsia="Times New Roman" w:hAnsi="Arial" w:cs="Arial"/>
                <w:bCs/>
                <w:iCs/>
                <w:color w:val="000000" w:themeColor="text1"/>
                <w:sz w:val="18"/>
                <w:szCs w:val="18"/>
              </w:rPr>
            </w:pPr>
            <w:r w:rsidRPr="008237AE">
              <w:rPr>
                <w:rFonts w:ascii="Arial" w:eastAsia="Times New Roman" w:hAnsi="Arial" w:cs="Arial"/>
                <w:bCs/>
                <w:iCs/>
                <w:color w:val="000000" w:themeColor="text1"/>
                <w:sz w:val="18"/>
                <w:szCs w:val="18"/>
              </w:rPr>
              <w:t>38</w:t>
            </w:r>
          </w:p>
        </w:tc>
        <w:tc>
          <w:tcPr>
            <w:tcW w:w="593" w:type="pct"/>
            <w:tcBorders>
              <w:top w:val="single" w:sz="8" w:space="0" w:color="auto"/>
              <w:left w:val="nil"/>
              <w:bottom w:val="single" w:sz="4" w:space="0" w:color="auto"/>
              <w:right w:val="nil"/>
            </w:tcBorders>
            <w:shd w:val="clear" w:color="auto" w:fill="auto"/>
            <w:vAlign w:val="bottom"/>
          </w:tcPr>
          <w:p w14:paraId="7B2965FF" w14:textId="203D2EE0" w:rsidR="00A74B39" w:rsidRPr="008237AE" w:rsidRDefault="00C500E4" w:rsidP="006D7927">
            <w:pPr>
              <w:tabs>
                <w:tab w:val="right" w:pos="1202"/>
              </w:tabs>
              <w:suppressAutoHyphens/>
              <w:autoSpaceDN w:val="0"/>
              <w:spacing w:line="240" w:lineRule="exact"/>
              <w:jc w:val="right"/>
              <w:outlineLvl w:val="0"/>
              <w:rPr>
                <w:rFonts w:ascii="Arial" w:eastAsia="Times New Roman" w:hAnsi="Arial" w:cs="Arial"/>
                <w:bCs/>
                <w:iCs/>
                <w:color w:val="000000" w:themeColor="text1"/>
                <w:sz w:val="18"/>
                <w:szCs w:val="18"/>
              </w:rPr>
            </w:pPr>
            <w:r w:rsidRPr="008237AE">
              <w:rPr>
                <w:rFonts w:ascii="Arial" w:eastAsia="Times New Roman" w:hAnsi="Arial" w:cs="Arial"/>
                <w:bCs/>
                <w:iCs/>
                <w:color w:val="000000" w:themeColor="text1"/>
                <w:sz w:val="18"/>
                <w:szCs w:val="18"/>
              </w:rPr>
              <w:t>(22)</w:t>
            </w:r>
          </w:p>
        </w:tc>
        <w:tc>
          <w:tcPr>
            <w:tcW w:w="694" w:type="pct"/>
            <w:tcBorders>
              <w:top w:val="single" w:sz="8" w:space="0" w:color="auto"/>
              <w:left w:val="nil"/>
              <w:bottom w:val="single" w:sz="4" w:space="0" w:color="auto"/>
              <w:right w:val="nil"/>
            </w:tcBorders>
            <w:shd w:val="clear" w:color="auto" w:fill="auto"/>
            <w:vAlign w:val="bottom"/>
          </w:tcPr>
          <w:p w14:paraId="7E3AF074" w14:textId="663C1BAB" w:rsidR="00A74B39" w:rsidRPr="008237AE" w:rsidRDefault="00C500E4" w:rsidP="006D7927">
            <w:pPr>
              <w:tabs>
                <w:tab w:val="right" w:pos="1202"/>
              </w:tabs>
              <w:suppressAutoHyphens/>
              <w:autoSpaceDN w:val="0"/>
              <w:spacing w:line="240" w:lineRule="exact"/>
              <w:jc w:val="right"/>
              <w:outlineLvl w:val="0"/>
              <w:rPr>
                <w:rFonts w:ascii="Arial" w:eastAsia="Times New Roman" w:hAnsi="Arial" w:cs="Arial"/>
                <w:bCs/>
                <w:iCs/>
                <w:color w:val="000000" w:themeColor="text1"/>
                <w:sz w:val="18"/>
                <w:szCs w:val="18"/>
              </w:rPr>
            </w:pPr>
            <w:r w:rsidRPr="008237AE">
              <w:rPr>
                <w:rFonts w:ascii="Arial" w:eastAsia="Times New Roman" w:hAnsi="Arial" w:cs="Arial"/>
                <w:bCs/>
                <w:iCs/>
                <w:color w:val="000000" w:themeColor="text1"/>
                <w:sz w:val="18"/>
                <w:szCs w:val="18"/>
              </w:rPr>
              <w:t>-</w:t>
            </w:r>
          </w:p>
        </w:tc>
        <w:tc>
          <w:tcPr>
            <w:tcW w:w="555" w:type="pct"/>
            <w:tcBorders>
              <w:top w:val="single" w:sz="8" w:space="0" w:color="auto"/>
              <w:left w:val="nil"/>
              <w:bottom w:val="single" w:sz="4" w:space="0" w:color="auto"/>
              <w:right w:val="nil"/>
            </w:tcBorders>
            <w:shd w:val="clear" w:color="auto" w:fill="auto"/>
            <w:vAlign w:val="bottom"/>
          </w:tcPr>
          <w:p w14:paraId="3627860E" w14:textId="2AFE5639" w:rsidR="00A74B39" w:rsidRPr="008237AE" w:rsidRDefault="00C500E4" w:rsidP="006D7927">
            <w:pPr>
              <w:tabs>
                <w:tab w:val="right" w:pos="1202"/>
              </w:tabs>
              <w:suppressAutoHyphens/>
              <w:autoSpaceDN w:val="0"/>
              <w:spacing w:line="240" w:lineRule="exact"/>
              <w:jc w:val="right"/>
              <w:outlineLvl w:val="0"/>
              <w:rPr>
                <w:rFonts w:ascii="Arial" w:eastAsia="Times New Roman" w:hAnsi="Arial" w:cs="Arial"/>
                <w:bCs/>
                <w:iCs/>
                <w:color w:val="000000" w:themeColor="text1"/>
                <w:sz w:val="18"/>
                <w:szCs w:val="18"/>
              </w:rPr>
            </w:pPr>
            <w:r w:rsidRPr="008237AE">
              <w:rPr>
                <w:rFonts w:ascii="Arial" w:eastAsia="Times New Roman" w:hAnsi="Arial" w:cs="Arial"/>
                <w:bCs/>
                <w:iCs/>
                <w:color w:val="000000" w:themeColor="text1"/>
                <w:sz w:val="18"/>
                <w:szCs w:val="18"/>
              </w:rPr>
              <w:t>-</w:t>
            </w:r>
          </w:p>
        </w:tc>
        <w:tc>
          <w:tcPr>
            <w:tcW w:w="692" w:type="pct"/>
            <w:tcBorders>
              <w:top w:val="single" w:sz="8" w:space="0" w:color="auto"/>
              <w:left w:val="nil"/>
              <w:bottom w:val="single" w:sz="4" w:space="0" w:color="auto"/>
              <w:right w:val="nil"/>
            </w:tcBorders>
            <w:shd w:val="clear" w:color="auto" w:fill="auto"/>
            <w:vAlign w:val="bottom"/>
          </w:tcPr>
          <w:p w14:paraId="254EA0ED" w14:textId="09AF8404" w:rsidR="00A74B39" w:rsidRPr="00082C10" w:rsidRDefault="00C500E4" w:rsidP="006D7927">
            <w:pPr>
              <w:tabs>
                <w:tab w:val="right" w:pos="1202"/>
              </w:tabs>
              <w:suppressAutoHyphens/>
              <w:autoSpaceDN w:val="0"/>
              <w:spacing w:line="240" w:lineRule="exact"/>
              <w:jc w:val="right"/>
              <w:outlineLvl w:val="0"/>
              <w:rPr>
                <w:rFonts w:ascii="Arial" w:eastAsia="Times New Roman" w:hAnsi="Arial" w:cs="Arial"/>
                <w:b/>
                <w:bCs/>
                <w:iCs/>
                <w:color w:val="000000" w:themeColor="text1"/>
                <w:sz w:val="18"/>
                <w:szCs w:val="18"/>
              </w:rPr>
            </w:pPr>
            <w:r>
              <w:rPr>
                <w:rFonts w:ascii="Arial" w:eastAsia="Times New Roman" w:hAnsi="Arial" w:cs="Arial"/>
                <w:b/>
                <w:bCs/>
                <w:iCs/>
                <w:color w:val="000000" w:themeColor="text1"/>
                <w:sz w:val="18"/>
                <w:szCs w:val="18"/>
              </w:rPr>
              <w:t>16</w:t>
            </w:r>
          </w:p>
        </w:tc>
      </w:tr>
      <w:tr w:rsidR="00174501" w:rsidRPr="00082C10" w14:paraId="31D82969" w14:textId="77777777" w:rsidTr="005B1ADE">
        <w:trPr>
          <w:trHeight w:val="338"/>
        </w:trPr>
        <w:tc>
          <w:tcPr>
            <w:tcW w:w="1318" w:type="pct"/>
            <w:vAlign w:val="bottom"/>
          </w:tcPr>
          <w:p w14:paraId="1DDCB92E" w14:textId="755EDFF7" w:rsidR="00174501" w:rsidRPr="00082C10" w:rsidRDefault="00174501" w:rsidP="00174501">
            <w:pPr>
              <w:tabs>
                <w:tab w:val="right" w:pos="1202"/>
              </w:tabs>
              <w:suppressAutoHyphens/>
              <w:autoSpaceDN w:val="0"/>
              <w:spacing w:line="240" w:lineRule="exact"/>
              <w:outlineLvl w:val="0"/>
              <w:rPr>
                <w:rFonts w:ascii="Arial" w:eastAsia="Times New Roman" w:hAnsi="Arial" w:cs="Arial"/>
                <w:b/>
                <w:iCs/>
                <w:color w:val="000000" w:themeColor="text1"/>
                <w:sz w:val="18"/>
                <w:szCs w:val="18"/>
              </w:rPr>
            </w:pPr>
            <w:bookmarkStart w:id="118" w:name="_Toc67326910"/>
            <w:r w:rsidRPr="00291152">
              <w:rPr>
                <w:rFonts w:ascii="Arial" w:eastAsia="Times New Roman" w:hAnsi="Arial" w:cs="Arial"/>
                <w:b/>
                <w:iCs/>
                <w:color w:val="000000" w:themeColor="text1"/>
                <w:sz w:val="18"/>
                <w:szCs w:val="18"/>
              </w:rPr>
              <w:t>Stanje 1. siječnja 202</w:t>
            </w:r>
            <w:r>
              <w:rPr>
                <w:rFonts w:ascii="Arial" w:eastAsia="Times New Roman" w:hAnsi="Arial" w:cs="Arial"/>
                <w:b/>
                <w:iCs/>
                <w:color w:val="000000" w:themeColor="text1"/>
                <w:sz w:val="18"/>
                <w:szCs w:val="18"/>
              </w:rPr>
              <w:t>4</w:t>
            </w:r>
            <w:r w:rsidRPr="00291152">
              <w:rPr>
                <w:rFonts w:ascii="Arial" w:eastAsia="Times New Roman" w:hAnsi="Arial" w:cs="Arial"/>
                <w:b/>
                <w:iCs/>
                <w:color w:val="000000" w:themeColor="text1"/>
                <w:sz w:val="18"/>
                <w:szCs w:val="18"/>
              </w:rPr>
              <w:t>.</w:t>
            </w:r>
            <w:bookmarkEnd w:id="118"/>
            <w:r w:rsidRPr="00291152">
              <w:rPr>
                <w:rFonts w:ascii="Arial" w:eastAsia="Times New Roman" w:hAnsi="Arial" w:cs="Arial"/>
                <w:b/>
                <w:iCs/>
                <w:color w:val="000000" w:themeColor="text1"/>
                <w:sz w:val="18"/>
                <w:szCs w:val="18"/>
              </w:rPr>
              <w:t xml:space="preserve"> </w:t>
            </w:r>
          </w:p>
        </w:tc>
        <w:tc>
          <w:tcPr>
            <w:tcW w:w="593" w:type="pct"/>
            <w:tcBorders>
              <w:top w:val="single" w:sz="4" w:space="0" w:color="auto"/>
              <w:left w:val="nil"/>
              <w:bottom w:val="single" w:sz="12" w:space="0" w:color="auto"/>
              <w:right w:val="nil"/>
            </w:tcBorders>
            <w:shd w:val="clear" w:color="auto" w:fill="auto"/>
            <w:vAlign w:val="bottom"/>
          </w:tcPr>
          <w:p w14:paraId="37B8D894" w14:textId="2E3D83FC" w:rsidR="00174501" w:rsidRPr="00082C10" w:rsidRDefault="00174501" w:rsidP="00174501">
            <w:pPr>
              <w:tabs>
                <w:tab w:val="right" w:pos="1202"/>
              </w:tabs>
              <w:suppressAutoHyphens/>
              <w:autoSpaceDN w:val="0"/>
              <w:spacing w:line="301" w:lineRule="exact"/>
              <w:jc w:val="right"/>
              <w:outlineLvl w:val="0"/>
              <w:rPr>
                <w:rFonts w:ascii="Arial" w:eastAsia="Times New Roman" w:hAnsi="Arial" w:cs="Arial"/>
                <w:b/>
                <w:bCs/>
                <w:iCs/>
                <w:color w:val="000000" w:themeColor="text1"/>
                <w:sz w:val="18"/>
                <w:szCs w:val="18"/>
              </w:rPr>
            </w:pPr>
            <w:r>
              <w:rPr>
                <w:rFonts w:ascii="Arial" w:eastAsia="Times New Roman" w:hAnsi="Arial" w:cs="Arial"/>
                <w:b/>
                <w:bCs/>
                <w:color w:val="000000" w:themeColor="text1"/>
                <w:sz w:val="18"/>
                <w:szCs w:val="18"/>
              </w:rPr>
              <w:t>958.889</w:t>
            </w:r>
          </w:p>
        </w:tc>
        <w:tc>
          <w:tcPr>
            <w:tcW w:w="555" w:type="pct"/>
            <w:tcBorders>
              <w:top w:val="single" w:sz="4" w:space="0" w:color="auto"/>
              <w:left w:val="nil"/>
              <w:bottom w:val="single" w:sz="12" w:space="0" w:color="auto"/>
              <w:right w:val="nil"/>
            </w:tcBorders>
            <w:shd w:val="clear" w:color="auto" w:fill="auto"/>
            <w:vAlign w:val="bottom"/>
          </w:tcPr>
          <w:p w14:paraId="49596874" w14:textId="66A15981" w:rsidR="00174501" w:rsidRPr="00082C10" w:rsidRDefault="00174501" w:rsidP="00174501">
            <w:pPr>
              <w:tabs>
                <w:tab w:val="right" w:pos="1202"/>
              </w:tabs>
              <w:suppressAutoHyphens/>
              <w:autoSpaceDN w:val="0"/>
              <w:spacing w:line="301" w:lineRule="exact"/>
              <w:jc w:val="right"/>
              <w:outlineLvl w:val="0"/>
              <w:rPr>
                <w:rFonts w:ascii="Arial" w:eastAsia="Times New Roman" w:hAnsi="Arial" w:cs="Arial"/>
                <w:b/>
                <w:bCs/>
                <w:iCs/>
                <w:color w:val="000000" w:themeColor="text1"/>
                <w:sz w:val="18"/>
                <w:szCs w:val="18"/>
              </w:rPr>
            </w:pPr>
            <w:r>
              <w:rPr>
                <w:rFonts w:ascii="Arial" w:eastAsia="Times New Roman" w:hAnsi="Arial" w:cs="Arial"/>
                <w:b/>
                <w:bCs/>
                <w:color w:val="000000" w:themeColor="text1"/>
                <w:sz w:val="18"/>
                <w:szCs w:val="18"/>
              </w:rPr>
              <w:t>468.9</w:t>
            </w:r>
            <w:r w:rsidR="00274386">
              <w:rPr>
                <w:rFonts w:ascii="Arial" w:eastAsia="Times New Roman" w:hAnsi="Arial" w:cs="Arial"/>
                <w:b/>
                <w:bCs/>
                <w:color w:val="000000" w:themeColor="text1"/>
                <w:sz w:val="18"/>
                <w:szCs w:val="18"/>
              </w:rPr>
              <w:t>9</w:t>
            </w:r>
            <w:r>
              <w:rPr>
                <w:rFonts w:ascii="Arial" w:eastAsia="Times New Roman" w:hAnsi="Arial" w:cs="Arial"/>
                <w:b/>
                <w:bCs/>
                <w:color w:val="000000" w:themeColor="text1"/>
                <w:sz w:val="18"/>
                <w:szCs w:val="18"/>
              </w:rPr>
              <w:t>8</w:t>
            </w:r>
          </w:p>
        </w:tc>
        <w:tc>
          <w:tcPr>
            <w:tcW w:w="593" w:type="pct"/>
            <w:tcBorders>
              <w:top w:val="single" w:sz="4" w:space="0" w:color="auto"/>
              <w:left w:val="nil"/>
              <w:bottom w:val="single" w:sz="12" w:space="0" w:color="auto"/>
              <w:right w:val="nil"/>
            </w:tcBorders>
            <w:shd w:val="clear" w:color="auto" w:fill="auto"/>
            <w:vAlign w:val="bottom"/>
          </w:tcPr>
          <w:p w14:paraId="0608F6F2" w14:textId="6E5FB6BB" w:rsidR="00174501" w:rsidRPr="00082C10" w:rsidRDefault="00174501" w:rsidP="00174501">
            <w:pPr>
              <w:tabs>
                <w:tab w:val="right" w:pos="1202"/>
              </w:tabs>
              <w:suppressAutoHyphens/>
              <w:autoSpaceDN w:val="0"/>
              <w:spacing w:line="301" w:lineRule="exact"/>
              <w:jc w:val="right"/>
              <w:outlineLvl w:val="0"/>
              <w:rPr>
                <w:rFonts w:ascii="Arial" w:eastAsia="Times New Roman" w:hAnsi="Arial" w:cs="Arial"/>
                <w:b/>
                <w:bCs/>
                <w:iCs/>
                <w:color w:val="000000" w:themeColor="text1"/>
                <w:sz w:val="18"/>
                <w:szCs w:val="18"/>
              </w:rPr>
            </w:pPr>
            <w:r>
              <w:rPr>
                <w:rFonts w:ascii="Arial" w:eastAsia="Times New Roman" w:hAnsi="Arial" w:cs="Arial"/>
                <w:b/>
                <w:bCs/>
                <w:color w:val="000000" w:themeColor="text1"/>
                <w:sz w:val="18"/>
                <w:szCs w:val="18"/>
              </w:rPr>
              <w:t>(1.577)</w:t>
            </w:r>
          </w:p>
        </w:tc>
        <w:tc>
          <w:tcPr>
            <w:tcW w:w="694" w:type="pct"/>
            <w:tcBorders>
              <w:top w:val="single" w:sz="8" w:space="0" w:color="auto"/>
              <w:left w:val="nil"/>
              <w:bottom w:val="single" w:sz="12" w:space="0" w:color="auto"/>
              <w:right w:val="nil"/>
            </w:tcBorders>
            <w:shd w:val="clear" w:color="auto" w:fill="auto"/>
            <w:vAlign w:val="bottom"/>
          </w:tcPr>
          <w:p w14:paraId="20F65C5C" w14:textId="2A199EA4" w:rsidR="00174501" w:rsidRPr="00082C10" w:rsidRDefault="00174501" w:rsidP="00174501">
            <w:pPr>
              <w:tabs>
                <w:tab w:val="right" w:pos="1202"/>
              </w:tabs>
              <w:suppressAutoHyphens/>
              <w:autoSpaceDN w:val="0"/>
              <w:spacing w:line="301" w:lineRule="exact"/>
              <w:jc w:val="right"/>
              <w:outlineLvl w:val="0"/>
              <w:rPr>
                <w:rFonts w:ascii="Arial" w:eastAsia="Times New Roman" w:hAnsi="Arial" w:cs="Arial"/>
                <w:b/>
                <w:bCs/>
                <w:iCs/>
                <w:color w:val="000000" w:themeColor="text1"/>
                <w:sz w:val="18"/>
                <w:szCs w:val="18"/>
              </w:rPr>
            </w:pPr>
            <w:r w:rsidRPr="00DD34C8">
              <w:rPr>
                <w:rFonts w:ascii="Arial" w:hAnsi="Arial" w:cs="Arial"/>
                <w:b/>
                <w:color w:val="000000" w:themeColor="text1"/>
                <w:sz w:val="18"/>
                <w:szCs w:val="18"/>
              </w:rPr>
              <w:t>29.947</w:t>
            </w:r>
          </w:p>
        </w:tc>
        <w:tc>
          <w:tcPr>
            <w:tcW w:w="555" w:type="pct"/>
            <w:tcBorders>
              <w:top w:val="single" w:sz="8" w:space="0" w:color="auto"/>
              <w:left w:val="nil"/>
              <w:bottom w:val="single" w:sz="12" w:space="0" w:color="auto"/>
              <w:right w:val="nil"/>
            </w:tcBorders>
            <w:shd w:val="clear" w:color="auto" w:fill="auto"/>
            <w:vAlign w:val="bottom"/>
          </w:tcPr>
          <w:p w14:paraId="264202F9" w14:textId="5E78AF1F" w:rsidR="00174501" w:rsidRPr="00082C10" w:rsidRDefault="00174501" w:rsidP="00174501">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DD34C8">
              <w:rPr>
                <w:rFonts w:ascii="Arial" w:hAnsi="Arial" w:cs="Arial"/>
                <w:b/>
                <w:color w:val="000000" w:themeColor="text1"/>
                <w:sz w:val="18"/>
                <w:szCs w:val="18"/>
              </w:rPr>
              <w:t>1.638</w:t>
            </w:r>
          </w:p>
        </w:tc>
        <w:tc>
          <w:tcPr>
            <w:tcW w:w="692" w:type="pct"/>
            <w:tcBorders>
              <w:top w:val="single" w:sz="8" w:space="0" w:color="auto"/>
              <w:left w:val="nil"/>
              <w:bottom w:val="single" w:sz="12" w:space="0" w:color="auto"/>
              <w:right w:val="nil"/>
            </w:tcBorders>
            <w:shd w:val="clear" w:color="auto" w:fill="auto"/>
            <w:vAlign w:val="bottom"/>
          </w:tcPr>
          <w:p w14:paraId="4D78E438" w14:textId="61C40F66" w:rsidR="00174501" w:rsidRPr="00082C10" w:rsidRDefault="00174501" w:rsidP="00174501">
            <w:pPr>
              <w:tabs>
                <w:tab w:val="right" w:pos="1202"/>
              </w:tabs>
              <w:suppressAutoHyphens/>
              <w:autoSpaceDN w:val="0"/>
              <w:spacing w:line="301" w:lineRule="exact"/>
              <w:jc w:val="right"/>
              <w:outlineLvl w:val="0"/>
              <w:rPr>
                <w:rFonts w:ascii="Arial" w:eastAsia="Times New Roman" w:hAnsi="Arial" w:cs="Arial"/>
                <w:b/>
                <w:bCs/>
                <w:iCs/>
                <w:color w:val="000000" w:themeColor="text1"/>
                <w:sz w:val="18"/>
                <w:szCs w:val="18"/>
              </w:rPr>
            </w:pPr>
            <w:r w:rsidRPr="00DD34C8">
              <w:rPr>
                <w:rFonts w:ascii="Arial" w:hAnsi="Arial" w:cs="Arial"/>
                <w:b/>
                <w:color w:val="000000" w:themeColor="text1"/>
                <w:sz w:val="18"/>
                <w:szCs w:val="18"/>
              </w:rPr>
              <w:t>1.457.8</w:t>
            </w:r>
            <w:r>
              <w:rPr>
                <w:rFonts w:ascii="Arial" w:hAnsi="Arial" w:cs="Arial"/>
                <w:b/>
                <w:color w:val="000000" w:themeColor="text1"/>
                <w:sz w:val="18"/>
                <w:szCs w:val="18"/>
              </w:rPr>
              <w:t>95</w:t>
            </w:r>
          </w:p>
        </w:tc>
      </w:tr>
      <w:tr w:rsidR="00174501" w:rsidRPr="00082C10" w14:paraId="0E9F4F90" w14:textId="77777777" w:rsidTr="007478FB">
        <w:trPr>
          <w:trHeight w:val="443"/>
        </w:trPr>
        <w:tc>
          <w:tcPr>
            <w:tcW w:w="1318" w:type="pct"/>
            <w:vAlign w:val="bottom"/>
          </w:tcPr>
          <w:p w14:paraId="4CB97EA8" w14:textId="77777777" w:rsidR="00174501" w:rsidRPr="00082C10" w:rsidRDefault="00174501" w:rsidP="00174501">
            <w:pPr>
              <w:tabs>
                <w:tab w:val="right" w:pos="1202"/>
              </w:tabs>
              <w:suppressAutoHyphens/>
              <w:autoSpaceDN w:val="0"/>
              <w:spacing w:line="240" w:lineRule="exact"/>
              <w:outlineLvl w:val="0"/>
              <w:rPr>
                <w:rFonts w:ascii="Arial" w:eastAsia="Times New Roman" w:hAnsi="Arial" w:cs="Arial"/>
                <w:iCs/>
                <w:color w:val="000000" w:themeColor="text1"/>
                <w:sz w:val="18"/>
                <w:szCs w:val="18"/>
              </w:rPr>
            </w:pPr>
            <w:r w:rsidRPr="00291152">
              <w:rPr>
                <w:rFonts w:ascii="Arial" w:eastAsia="Times New Roman" w:hAnsi="Arial" w:cs="Arial"/>
                <w:iCs/>
                <w:color w:val="000000" w:themeColor="text1"/>
                <w:sz w:val="18"/>
                <w:szCs w:val="18"/>
              </w:rPr>
              <w:t>Dobit tekućeg razdoblja</w:t>
            </w:r>
          </w:p>
        </w:tc>
        <w:tc>
          <w:tcPr>
            <w:tcW w:w="593" w:type="pct"/>
            <w:tcBorders>
              <w:top w:val="nil"/>
              <w:left w:val="nil"/>
              <w:bottom w:val="nil"/>
              <w:right w:val="nil"/>
            </w:tcBorders>
            <w:shd w:val="clear" w:color="auto" w:fill="auto"/>
            <w:vAlign w:val="bottom"/>
          </w:tcPr>
          <w:p w14:paraId="033CC0E3" w14:textId="14CCC48F" w:rsidR="00174501" w:rsidRPr="00082C10" w:rsidDel="003A48C1" w:rsidRDefault="00980320" w:rsidP="00174501">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555" w:type="pct"/>
            <w:tcBorders>
              <w:top w:val="nil"/>
              <w:left w:val="nil"/>
              <w:bottom w:val="nil"/>
              <w:right w:val="nil"/>
            </w:tcBorders>
            <w:shd w:val="clear" w:color="auto" w:fill="auto"/>
            <w:vAlign w:val="bottom"/>
          </w:tcPr>
          <w:p w14:paraId="4CC06D60" w14:textId="0E9D5F19" w:rsidR="00174501" w:rsidRPr="00082C10" w:rsidDel="003A48C1" w:rsidRDefault="00980320" w:rsidP="00174501">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593" w:type="pct"/>
            <w:tcBorders>
              <w:top w:val="nil"/>
              <w:left w:val="nil"/>
              <w:bottom w:val="nil"/>
              <w:right w:val="nil"/>
            </w:tcBorders>
            <w:shd w:val="clear" w:color="auto" w:fill="auto"/>
            <w:vAlign w:val="bottom"/>
          </w:tcPr>
          <w:p w14:paraId="0D30DC77" w14:textId="4655EE97" w:rsidR="00174501" w:rsidRPr="00082C10" w:rsidDel="003A48C1" w:rsidRDefault="00980320" w:rsidP="00174501">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694" w:type="pct"/>
            <w:tcBorders>
              <w:top w:val="nil"/>
              <w:left w:val="nil"/>
              <w:bottom w:val="nil"/>
              <w:right w:val="nil"/>
            </w:tcBorders>
            <w:shd w:val="clear" w:color="auto" w:fill="auto"/>
            <w:vAlign w:val="bottom"/>
          </w:tcPr>
          <w:p w14:paraId="26866A85" w14:textId="55F8B4A1" w:rsidR="00174501" w:rsidRPr="00082C10" w:rsidDel="003A48C1" w:rsidRDefault="00310B53" w:rsidP="00174501">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43.700</w:t>
            </w:r>
          </w:p>
        </w:tc>
        <w:tc>
          <w:tcPr>
            <w:tcW w:w="555" w:type="pct"/>
            <w:tcBorders>
              <w:top w:val="nil"/>
              <w:left w:val="nil"/>
              <w:bottom w:val="nil"/>
              <w:right w:val="nil"/>
            </w:tcBorders>
            <w:shd w:val="clear" w:color="auto" w:fill="auto"/>
            <w:vAlign w:val="bottom"/>
          </w:tcPr>
          <w:p w14:paraId="0DB12704" w14:textId="41366D50" w:rsidR="00174501" w:rsidRPr="00082C10" w:rsidDel="003A48C1" w:rsidRDefault="00310B53" w:rsidP="00174501">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692" w:type="pct"/>
            <w:tcBorders>
              <w:top w:val="nil"/>
              <w:left w:val="nil"/>
              <w:bottom w:val="nil"/>
              <w:right w:val="nil"/>
            </w:tcBorders>
            <w:shd w:val="clear" w:color="auto" w:fill="auto"/>
            <w:vAlign w:val="bottom"/>
          </w:tcPr>
          <w:p w14:paraId="60328EDB" w14:textId="50A09D57" w:rsidR="00174501" w:rsidRPr="00291152" w:rsidDel="003A48C1" w:rsidRDefault="00310B53" w:rsidP="00174501">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43.700</w:t>
            </w:r>
          </w:p>
        </w:tc>
      </w:tr>
      <w:tr w:rsidR="00174501" w:rsidRPr="00082C10" w14:paraId="00B30742" w14:textId="77777777" w:rsidTr="007478FB">
        <w:trPr>
          <w:trHeight w:val="276"/>
        </w:trPr>
        <w:tc>
          <w:tcPr>
            <w:tcW w:w="1318" w:type="pct"/>
            <w:vAlign w:val="bottom"/>
          </w:tcPr>
          <w:p w14:paraId="10BBFF4A" w14:textId="6BFE0D81" w:rsidR="00174501" w:rsidRPr="00082C10" w:rsidRDefault="00174501" w:rsidP="00174501">
            <w:pPr>
              <w:tabs>
                <w:tab w:val="right" w:pos="1202"/>
              </w:tabs>
              <w:suppressAutoHyphens/>
              <w:autoSpaceDN w:val="0"/>
              <w:spacing w:line="240" w:lineRule="exact"/>
              <w:outlineLvl w:val="0"/>
              <w:rPr>
                <w:rFonts w:ascii="Arial" w:eastAsia="Times New Roman" w:hAnsi="Arial" w:cs="Arial"/>
                <w:iCs/>
                <w:color w:val="000000" w:themeColor="text1"/>
                <w:sz w:val="18"/>
                <w:szCs w:val="18"/>
              </w:rPr>
            </w:pPr>
            <w:bookmarkStart w:id="119" w:name="_Toc67326924"/>
            <w:r w:rsidRPr="00291152">
              <w:rPr>
                <w:rFonts w:ascii="Arial" w:eastAsia="Times New Roman" w:hAnsi="Arial" w:cs="Arial"/>
                <w:iCs/>
                <w:color w:val="000000" w:themeColor="text1"/>
                <w:sz w:val="18"/>
                <w:szCs w:val="18"/>
              </w:rPr>
              <w:t>Ostala sveobuhvatna dobit</w:t>
            </w:r>
            <w:bookmarkEnd w:id="119"/>
          </w:p>
        </w:tc>
        <w:tc>
          <w:tcPr>
            <w:tcW w:w="593" w:type="pct"/>
            <w:tcBorders>
              <w:bottom w:val="single" w:sz="4" w:space="0" w:color="auto"/>
            </w:tcBorders>
            <w:vAlign w:val="bottom"/>
          </w:tcPr>
          <w:p w14:paraId="173D614C" w14:textId="3CC0EEEB" w:rsidR="00174501" w:rsidRPr="00082C10" w:rsidRDefault="00310B53" w:rsidP="00174501">
            <w:pPr>
              <w:tabs>
                <w:tab w:val="right" w:pos="1202"/>
              </w:tabs>
              <w:suppressAutoHyphens/>
              <w:autoSpaceDN w:val="0"/>
              <w:spacing w:line="301" w:lineRule="exact"/>
              <w:jc w:val="right"/>
              <w:outlineLvl w:val="0"/>
              <w:rPr>
                <w:rFonts w:ascii="Arial" w:eastAsia="Times New Roman" w:hAnsi="Arial" w:cs="Arial"/>
                <w:color w:val="000000"/>
                <w:sz w:val="18"/>
                <w:szCs w:val="18"/>
              </w:rPr>
            </w:pPr>
            <w:r>
              <w:rPr>
                <w:rFonts w:ascii="Arial" w:eastAsia="Times New Roman" w:hAnsi="Arial" w:cs="Arial"/>
                <w:color w:val="000000"/>
                <w:sz w:val="18"/>
                <w:szCs w:val="18"/>
              </w:rPr>
              <w:t>-</w:t>
            </w:r>
          </w:p>
        </w:tc>
        <w:tc>
          <w:tcPr>
            <w:tcW w:w="555" w:type="pct"/>
            <w:tcBorders>
              <w:bottom w:val="single" w:sz="4" w:space="0" w:color="auto"/>
            </w:tcBorders>
            <w:vAlign w:val="bottom"/>
          </w:tcPr>
          <w:p w14:paraId="28CA68EB" w14:textId="509A7ED1" w:rsidR="00174501" w:rsidRPr="00082C10" w:rsidRDefault="00310B53" w:rsidP="00174501">
            <w:pPr>
              <w:tabs>
                <w:tab w:val="right" w:pos="1202"/>
              </w:tabs>
              <w:suppressAutoHyphens/>
              <w:autoSpaceDN w:val="0"/>
              <w:spacing w:line="301" w:lineRule="exact"/>
              <w:jc w:val="right"/>
              <w:outlineLvl w:val="0"/>
              <w:rPr>
                <w:rFonts w:ascii="Arial" w:eastAsia="Times New Roman" w:hAnsi="Arial" w:cs="Arial"/>
                <w:color w:val="000000"/>
                <w:sz w:val="18"/>
                <w:szCs w:val="18"/>
              </w:rPr>
            </w:pPr>
            <w:r>
              <w:rPr>
                <w:rFonts w:ascii="Arial" w:eastAsia="Times New Roman" w:hAnsi="Arial" w:cs="Arial"/>
                <w:color w:val="000000"/>
                <w:sz w:val="18"/>
                <w:szCs w:val="18"/>
              </w:rPr>
              <w:t>-</w:t>
            </w:r>
          </w:p>
        </w:tc>
        <w:tc>
          <w:tcPr>
            <w:tcW w:w="593" w:type="pct"/>
            <w:tcBorders>
              <w:bottom w:val="single" w:sz="4" w:space="0" w:color="auto"/>
            </w:tcBorders>
            <w:vAlign w:val="bottom"/>
          </w:tcPr>
          <w:p w14:paraId="7827BDB5" w14:textId="67AD8479" w:rsidR="00174501" w:rsidRPr="00082C10" w:rsidRDefault="00310B53" w:rsidP="00174501">
            <w:pPr>
              <w:tabs>
                <w:tab w:val="right" w:pos="1202"/>
              </w:tabs>
              <w:suppressAutoHyphens/>
              <w:autoSpaceDN w:val="0"/>
              <w:spacing w:line="301" w:lineRule="exact"/>
              <w:jc w:val="right"/>
              <w:outlineLvl w:val="0"/>
              <w:rPr>
                <w:rFonts w:ascii="Arial" w:eastAsia="Times New Roman" w:hAnsi="Arial" w:cs="Arial"/>
                <w:color w:val="000000"/>
                <w:sz w:val="18"/>
                <w:szCs w:val="18"/>
              </w:rPr>
            </w:pPr>
            <w:r>
              <w:rPr>
                <w:rFonts w:ascii="Arial" w:eastAsia="Times New Roman" w:hAnsi="Arial" w:cs="Arial"/>
                <w:color w:val="000000"/>
                <w:sz w:val="18"/>
                <w:szCs w:val="18"/>
              </w:rPr>
              <w:t>2.687</w:t>
            </w:r>
          </w:p>
        </w:tc>
        <w:tc>
          <w:tcPr>
            <w:tcW w:w="694" w:type="pct"/>
            <w:tcBorders>
              <w:bottom w:val="single" w:sz="4" w:space="0" w:color="auto"/>
            </w:tcBorders>
            <w:vAlign w:val="bottom"/>
          </w:tcPr>
          <w:p w14:paraId="27A5CDC1" w14:textId="06C00B39" w:rsidR="00174501" w:rsidRPr="00082C10" w:rsidRDefault="00310B53" w:rsidP="00174501">
            <w:pPr>
              <w:tabs>
                <w:tab w:val="right" w:pos="1202"/>
              </w:tabs>
              <w:suppressAutoHyphens/>
              <w:autoSpaceDN w:val="0"/>
              <w:spacing w:line="301" w:lineRule="exact"/>
              <w:jc w:val="right"/>
              <w:outlineLvl w:val="0"/>
              <w:rPr>
                <w:rFonts w:ascii="Arial" w:eastAsia="Times New Roman" w:hAnsi="Arial" w:cs="Arial"/>
                <w:color w:val="000000"/>
                <w:sz w:val="18"/>
                <w:szCs w:val="18"/>
              </w:rPr>
            </w:pPr>
            <w:r>
              <w:rPr>
                <w:rFonts w:ascii="Arial" w:eastAsia="Times New Roman" w:hAnsi="Arial" w:cs="Arial"/>
                <w:color w:val="000000"/>
                <w:sz w:val="18"/>
                <w:szCs w:val="18"/>
              </w:rPr>
              <w:t>-</w:t>
            </w:r>
          </w:p>
        </w:tc>
        <w:tc>
          <w:tcPr>
            <w:tcW w:w="555" w:type="pct"/>
            <w:tcBorders>
              <w:bottom w:val="single" w:sz="4" w:space="0" w:color="auto"/>
            </w:tcBorders>
            <w:vAlign w:val="bottom"/>
          </w:tcPr>
          <w:p w14:paraId="1ED3287A" w14:textId="107B4774" w:rsidR="00174501" w:rsidRPr="00082C10" w:rsidDel="003A48C1" w:rsidRDefault="00310B53" w:rsidP="00174501">
            <w:pPr>
              <w:tabs>
                <w:tab w:val="right" w:pos="1202"/>
              </w:tabs>
              <w:suppressAutoHyphens/>
              <w:autoSpaceDN w:val="0"/>
              <w:spacing w:line="301" w:lineRule="exact"/>
              <w:jc w:val="right"/>
              <w:outlineLvl w:val="0"/>
              <w:rPr>
                <w:rFonts w:ascii="Arial" w:eastAsia="Times New Roman" w:hAnsi="Arial" w:cs="Arial"/>
                <w:color w:val="000000"/>
                <w:sz w:val="18"/>
                <w:szCs w:val="18"/>
              </w:rPr>
            </w:pPr>
            <w:r>
              <w:rPr>
                <w:rFonts w:ascii="Arial" w:eastAsia="Times New Roman" w:hAnsi="Arial" w:cs="Arial"/>
                <w:color w:val="000000"/>
                <w:sz w:val="18"/>
                <w:szCs w:val="18"/>
              </w:rPr>
              <w:t>-</w:t>
            </w:r>
          </w:p>
        </w:tc>
        <w:tc>
          <w:tcPr>
            <w:tcW w:w="692" w:type="pct"/>
            <w:tcBorders>
              <w:bottom w:val="single" w:sz="4" w:space="0" w:color="auto"/>
            </w:tcBorders>
            <w:vAlign w:val="bottom"/>
          </w:tcPr>
          <w:p w14:paraId="25C48F1D" w14:textId="640DEBB2" w:rsidR="00174501" w:rsidRPr="00291152" w:rsidRDefault="00310B53" w:rsidP="00174501">
            <w:pPr>
              <w:tabs>
                <w:tab w:val="right" w:pos="1202"/>
              </w:tabs>
              <w:suppressAutoHyphens/>
              <w:autoSpaceDN w:val="0"/>
              <w:spacing w:line="301" w:lineRule="exact"/>
              <w:jc w:val="right"/>
              <w:outlineLvl w:val="0"/>
              <w:rPr>
                <w:rFonts w:ascii="Arial" w:eastAsia="Times New Roman" w:hAnsi="Arial" w:cs="Arial"/>
                <w:b/>
                <w:bCs/>
                <w:color w:val="000000"/>
                <w:sz w:val="18"/>
                <w:szCs w:val="18"/>
              </w:rPr>
            </w:pPr>
            <w:r>
              <w:rPr>
                <w:rFonts w:ascii="Arial" w:eastAsia="Times New Roman" w:hAnsi="Arial" w:cs="Arial"/>
                <w:b/>
                <w:bCs/>
                <w:color w:val="000000"/>
                <w:sz w:val="18"/>
                <w:szCs w:val="18"/>
              </w:rPr>
              <w:t>2.687</w:t>
            </w:r>
          </w:p>
        </w:tc>
      </w:tr>
      <w:tr w:rsidR="00174501" w:rsidRPr="00082C10" w14:paraId="38ADAD63" w14:textId="77777777" w:rsidTr="007478FB">
        <w:trPr>
          <w:trHeight w:val="212"/>
        </w:trPr>
        <w:tc>
          <w:tcPr>
            <w:tcW w:w="1318" w:type="pct"/>
            <w:vAlign w:val="bottom"/>
          </w:tcPr>
          <w:p w14:paraId="6F2A1989" w14:textId="043F8104" w:rsidR="00174501" w:rsidRPr="00082C10" w:rsidRDefault="00174501" w:rsidP="00174501">
            <w:pPr>
              <w:tabs>
                <w:tab w:val="right" w:pos="1202"/>
              </w:tabs>
              <w:suppressAutoHyphens/>
              <w:autoSpaceDN w:val="0"/>
              <w:spacing w:line="240" w:lineRule="exact"/>
              <w:outlineLvl w:val="0"/>
              <w:rPr>
                <w:rFonts w:ascii="Arial" w:eastAsia="Times New Roman" w:hAnsi="Arial" w:cs="Arial"/>
                <w:iCs/>
                <w:color w:val="000000" w:themeColor="text1"/>
                <w:sz w:val="18"/>
                <w:szCs w:val="18"/>
              </w:rPr>
            </w:pPr>
            <w:bookmarkStart w:id="120" w:name="_Toc67326931"/>
            <w:r w:rsidRPr="00291152">
              <w:rPr>
                <w:rFonts w:ascii="Arial" w:eastAsia="Times New Roman" w:hAnsi="Arial" w:cs="Arial"/>
                <w:iCs/>
                <w:color w:val="000000" w:themeColor="text1"/>
                <w:sz w:val="18"/>
                <w:szCs w:val="18"/>
              </w:rPr>
              <w:t>Ukupna sveobuhvatna dobit</w:t>
            </w:r>
            <w:bookmarkEnd w:id="120"/>
          </w:p>
        </w:tc>
        <w:tc>
          <w:tcPr>
            <w:tcW w:w="593" w:type="pct"/>
            <w:tcBorders>
              <w:top w:val="nil"/>
              <w:left w:val="nil"/>
              <w:bottom w:val="single" w:sz="4" w:space="0" w:color="auto"/>
              <w:right w:val="nil"/>
            </w:tcBorders>
            <w:shd w:val="clear" w:color="auto" w:fill="auto"/>
            <w:vAlign w:val="bottom"/>
          </w:tcPr>
          <w:p w14:paraId="3D227D34" w14:textId="23E7D949" w:rsidR="00174501" w:rsidRPr="00082C10" w:rsidRDefault="008F7390" w:rsidP="00174501">
            <w:pPr>
              <w:tabs>
                <w:tab w:val="right" w:pos="1202"/>
              </w:tabs>
              <w:suppressAutoHyphens/>
              <w:autoSpaceDN w:val="0"/>
              <w:spacing w:line="301" w:lineRule="exact"/>
              <w:jc w:val="right"/>
              <w:outlineLvl w:val="0"/>
              <w:rPr>
                <w:rFonts w:ascii="Arial" w:eastAsia="Times New Roman" w:hAnsi="Arial" w:cs="Arial"/>
                <w:b/>
                <w:iCs/>
                <w:color w:val="000000" w:themeColor="text1"/>
                <w:sz w:val="18"/>
                <w:szCs w:val="18"/>
              </w:rPr>
            </w:pPr>
            <w:r>
              <w:rPr>
                <w:rFonts w:ascii="Arial" w:eastAsia="Times New Roman" w:hAnsi="Arial" w:cs="Arial"/>
                <w:b/>
                <w:iCs/>
                <w:color w:val="000000" w:themeColor="text1"/>
                <w:sz w:val="18"/>
                <w:szCs w:val="18"/>
              </w:rPr>
              <w:t>-</w:t>
            </w:r>
          </w:p>
        </w:tc>
        <w:tc>
          <w:tcPr>
            <w:tcW w:w="555" w:type="pct"/>
            <w:tcBorders>
              <w:top w:val="nil"/>
              <w:left w:val="nil"/>
              <w:bottom w:val="single" w:sz="4" w:space="0" w:color="auto"/>
              <w:right w:val="nil"/>
            </w:tcBorders>
            <w:shd w:val="clear" w:color="auto" w:fill="auto"/>
            <w:vAlign w:val="bottom"/>
          </w:tcPr>
          <w:p w14:paraId="6F2A1093" w14:textId="10877EB1" w:rsidR="00174501" w:rsidRPr="00082C10" w:rsidRDefault="008F7390" w:rsidP="00174501">
            <w:pPr>
              <w:tabs>
                <w:tab w:val="right" w:pos="1202"/>
              </w:tabs>
              <w:suppressAutoHyphens/>
              <w:autoSpaceDN w:val="0"/>
              <w:spacing w:line="301" w:lineRule="exact"/>
              <w:jc w:val="right"/>
              <w:outlineLvl w:val="0"/>
              <w:rPr>
                <w:rFonts w:ascii="Arial" w:eastAsia="Times New Roman" w:hAnsi="Arial" w:cs="Arial"/>
                <w:b/>
                <w:iCs/>
                <w:color w:val="000000" w:themeColor="text1"/>
                <w:sz w:val="18"/>
                <w:szCs w:val="18"/>
              </w:rPr>
            </w:pPr>
            <w:r>
              <w:rPr>
                <w:rFonts w:ascii="Arial" w:eastAsia="Times New Roman" w:hAnsi="Arial" w:cs="Arial"/>
                <w:b/>
                <w:iCs/>
                <w:color w:val="000000" w:themeColor="text1"/>
                <w:sz w:val="18"/>
                <w:szCs w:val="18"/>
              </w:rPr>
              <w:t>-</w:t>
            </w:r>
          </w:p>
        </w:tc>
        <w:tc>
          <w:tcPr>
            <w:tcW w:w="593" w:type="pct"/>
            <w:tcBorders>
              <w:top w:val="nil"/>
              <w:left w:val="nil"/>
              <w:bottom w:val="single" w:sz="4" w:space="0" w:color="auto"/>
              <w:right w:val="nil"/>
            </w:tcBorders>
            <w:shd w:val="clear" w:color="auto" w:fill="auto"/>
            <w:vAlign w:val="bottom"/>
          </w:tcPr>
          <w:p w14:paraId="3BCACBB1" w14:textId="225019F8" w:rsidR="00174501" w:rsidRPr="00082C10" w:rsidRDefault="008F7390" w:rsidP="00174501">
            <w:pPr>
              <w:tabs>
                <w:tab w:val="right" w:pos="1202"/>
              </w:tabs>
              <w:suppressAutoHyphens/>
              <w:autoSpaceDN w:val="0"/>
              <w:spacing w:line="301" w:lineRule="exact"/>
              <w:jc w:val="right"/>
              <w:outlineLvl w:val="0"/>
              <w:rPr>
                <w:rFonts w:ascii="Arial" w:eastAsia="Times New Roman" w:hAnsi="Arial" w:cs="Arial"/>
                <w:b/>
                <w:iCs/>
                <w:color w:val="000000" w:themeColor="text1"/>
                <w:sz w:val="18"/>
                <w:szCs w:val="18"/>
              </w:rPr>
            </w:pPr>
            <w:r>
              <w:rPr>
                <w:rFonts w:ascii="Arial" w:eastAsia="Times New Roman" w:hAnsi="Arial" w:cs="Arial"/>
                <w:b/>
                <w:iCs/>
                <w:color w:val="000000" w:themeColor="text1"/>
                <w:sz w:val="18"/>
                <w:szCs w:val="18"/>
              </w:rPr>
              <w:t>2.687</w:t>
            </w:r>
          </w:p>
        </w:tc>
        <w:tc>
          <w:tcPr>
            <w:tcW w:w="694" w:type="pct"/>
            <w:tcBorders>
              <w:top w:val="nil"/>
              <w:left w:val="nil"/>
              <w:bottom w:val="single" w:sz="4" w:space="0" w:color="auto"/>
              <w:right w:val="nil"/>
            </w:tcBorders>
            <w:shd w:val="clear" w:color="auto" w:fill="auto"/>
            <w:vAlign w:val="bottom"/>
          </w:tcPr>
          <w:p w14:paraId="6DF51B8A" w14:textId="468F7152" w:rsidR="00174501" w:rsidRPr="00082C10" w:rsidRDefault="008F7390" w:rsidP="00174501">
            <w:pPr>
              <w:tabs>
                <w:tab w:val="right" w:pos="1202"/>
              </w:tabs>
              <w:suppressAutoHyphens/>
              <w:autoSpaceDN w:val="0"/>
              <w:spacing w:line="301" w:lineRule="exact"/>
              <w:jc w:val="right"/>
              <w:outlineLvl w:val="0"/>
              <w:rPr>
                <w:rFonts w:ascii="Arial" w:eastAsia="Times New Roman" w:hAnsi="Arial" w:cs="Arial"/>
                <w:b/>
                <w:iCs/>
                <w:color w:val="000000" w:themeColor="text1"/>
                <w:sz w:val="18"/>
                <w:szCs w:val="18"/>
              </w:rPr>
            </w:pPr>
            <w:r>
              <w:rPr>
                <w:rFonts w:ascii="Arial" w:eastAsia="Times New Roman" w:hAnsi="Arial" w:cs="Arial"/>
                <w:b/>
                <w:iCs/>
                <w:color w:val="000000" w:themeColor="text1"/>
                <w:sz w:val="18"/>
                <w:szCs w:val="18"/>
              </w:rPr>
              <w:t>43.700</w:t>
            </w:r>
          </w:p>
        </w:tc>
        <w:tc>
          <w:tcPr>
            <w:tcW w:w="555" w:type="pct"/>
            <w:tcBorders>
              <w:top w:val="nil"/>
              <w:left w:val="nil"/>
              <w:bottom w:val="single" w:sz="4" w:space="0" w:color="auto"/>
              <w:right w:val="nil"/>
            </w:tcBorders>
            <w:shd w:val="clear" w:color="auto" w:fill="auto"/>
            <w:vAlign w:val="bottom"/>
          </w:tcPr>
          <w:p w14:paraId="6F2E7FF4" w14:textId="07FB1F40" w:rsidR="00174501" w:rsidRPr="00082C10" w:rsidDel="003A48C1" w:rsidRDefault="008F7390" w:rsidP="00174501">
            <w:pPr>
              <w:tabs>
                <w:tab w:val="right" w:pos="1202"/>
              </w:tabs>
              <w:suppressAutoHyphens/>
              <w:autoSpaceDN w:val="0"/>
              <w:spacing w:line="301" w:lineRule="exact"/>
              <w:jc w:val="right"/>
              <w:outlineLvl w:val="0"/>
              <w:rPr>
                <w:rFonts w:ascii="Arial" w:eastAsia="Times New Roman" w:hAnsi="Arial" w:cs="Arial"/>
                <w:b/>
                <w:iCs/>
                <w:color w:val="000000" w:themeColor="text1"/>
                <w:sz w:val="18"/>
                <w:szCs w:val="18"/>
              </w:rPr>
            </w:pPr>
            <w:r>
              <w:rPr>
                <w:rFonts w:ascii="Arial" w:eastAsia="Times New Roman" w:hAnsi="Arial" w:cs="Arial"/>
                <w:b/>
                <w:iCs/>
                <w:color w:val="000000" w:themeColor="text1"/>
                <w:sz w:val="18"/>
                <w:szCs w:val="18"/>
              </w:rPr>
              <w:t>-</w:t>
            </w:r>
          </w:p>
        </w:tc>
        <w:tc>
          <w:tcPr>
            <w:tcW w:w="692" w:type="pct"/>
            <w:tcBorders>
              <w:top w:val="nil"/>
              <w:left w:val="nil"/>
              <w:bottom w:val="single" w:sz="4" w:space="0" w:color="auto"/>
              <w:right w:val="nil"/>
            </w:tcBorders>
            <w:shd w:val="clear" w:color="auto" w:fill="auto"/>
            <w:vAlign w:val="bottom"/>
          </w:tcPr>
          <w:p w14:paraId="65EFB989" w14:textId="0FB47423" w:rsidR="00174501" w:rsidRPr="00291152" w:rsidRDefault="008F7390" w:rsidP="00174501">
            <w:pPr>
              <w:tabs>
                <w:tab w:val="right" w:pos="1202"/>
              </w:tabs>
              <w:suppressAutoHyphens/>
              <w:autoSpaceDN w:val="0"/>
              <w:spacing w:line="301" w:lineRule="exact"/>
              <w:jc w:val="right"/>
              <w:outlineLvl w:val="0"/>
              <w:rPr>
                <w:rFonts w:ascii="Arial" w:eastAsia="Times New Roman" w:hAnsi="Arial" w:cs="Arial"/>
                <w:b/>
                <w:bCs/>
                <w:iCs/>
                <w:color w:val="000000" w:themeColor="text1"/>
                <w:sz w:val="18"/>
                <w:szCs w:val="18"/>
              </w:rPr>
            </w:pPr>
            <w:r>
              <w:rPr>
                <w:rFonts w:ascii="Arial" w:eastAsia="Times New Roman" w:hAnsi="Arial" w:cs="Arial"/>
                <w:b/>
                <w:bCs/>
                <w:iCs/>
                <w:color w:val="000000" w:themeColor="text1"/>
                <w:sz w:val="18"/>
                <w:szCs w:val="18"/>
              </w:rPr>
              <w:t>46.387</w:t>
            </w:r>
          </w:p>
        </w:tc>
      </w:tr>
      <w:tr w:rsidR="00174501" w:rsidRPr="00082C10" w14:paraId="5F20A0D3" w14:textId="77777777" w:rsidTr="007478FB">
        <w:trPr>
          <w:trHeight w:val="76"/>
        </w:trPr>
        <w:tc>
          <w:tcPr>
            <w:tcW w:w="1318" w:type="pct"/>
            <w:vAlign w:val="bottom"/>
          </w:tcPr>
          <w:p w14:paraId="261BEF66" w14:textId="1A40B42C" w:rsidR="00174501" w:rsidRPr="00082C10" w:rsidRDefault="00174501" w:rsidP="00174501">
            <w:pPr>
              <w:tabs>
                <w:tab w:val="right" w:pos="1202"/>
              </w:tabs>
              <w:suppressAutoHyphens/>
              <w:autoSpaceDN w:val="0"/>
              <w:spacing w:line="240" w:lineRule="exact"/>
              <w:outlineLvl w:val="0"/>
              <w:rPr>
                <w:rFonts w:ascii="Arial" w:eastAsia="Times New Roman" w:hAnsi="Arial" w:cs="Arial"/>
                <w:i/>
                <w:iCs/>
                <w:color w:val="000000" w:themeColor="text1"/>
                <w:sz w:val="18"/>
                <w:szCs w:val="18"/>
              </w:rPr>
            </w:pPr>
            <w:bookmarkStart w:id="121" w:name="_Toc67326945"/>
            <w:r w:rsidRPr="00291152">
              <w:rPr>
                <w:rFonts w:ascii="Arial" w:eastAsia="Times New Roman" w:hAnsi="Arial" w:cs="Arial"/>
                <w:iCs/>
                <w:color w:val="000000" w:themeColor="text1"/>
                <w:sz w:val="18"/>
                <w:szCs w:val="18"/>
              </w:rPr>
              <w:t>Uplate u osnivački kapital iz državnog proračuna</w:t>
            </w:r>
            <w:bookmarkEnd w:id="121"/>
          </w:p>
        </w:tc>
        <w:tc>
          <w:tcPr>
            <w:tcW w:w="593" w:type="pct"/>
            <w:tcBorders>
              <w:top w:val="nil"/>
              <w:left w:val="nil"/>
              <w:bottom w:val="nil"/>
              <w:right w:val="nil"/>
            </w:tcBorders>
            <w:shd w:val="clear" w:color="auto" w:fill="auto"/>
            <w:vAlign w:val="bottom"/>
          </w:tcPr>
          <w:p w14:paraId="18BBED81" w14:textId="3E97131B" w:rsidR="00174501" w:rsidRPr="00082C10" w:rsidRDefault="00F45AA5" w:rsidP="00174501">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Pr>
                <w:rFonts w:ascii="Arial" w:eastAsia="Times New Roman" w:hAnsi="Arial" w:cs="Arial"/>
                <w:iCs/>
                <w:color w:val="000000" w:themeColor="text1"/>
                <w:sz w:val="18"/>
                <w:szCs w:val="18"/>
              </w:rPr>
              <w:t>-</w:t>
            </w:r>
          </w:p>
        </w:tc>
        <w:tc>
          <w:tcPr>
            <w:tcW w:w="555" w:type="pct"/>
            <w:tcBorders>
              <w:top w:val="nil"/>
              <w:left w:val="nil"/>
              <w:bottom w:val="nil"/>
              <w:right w:val="nil"/>
            </w:tcBorders>
            <w:shd w:val="clear" w:color="auto" w:fill="auto"/>
            <w:vAlign w:val="bottom"/>
          </w:tcPr>
          <w:p w14:paraId="7C933DD9" w14:textId="44C4C48E" w:rsidR="00174501" w:rsidRPr="00082C10" w:rsidRDefault="00F45AA5" w:rsidP="00174501">
            <w:pPr>
              <w:tabs>
                <w:tab w:val="right" w:pos="1202"/>
              </w:tabs>
              <w:suppressAutoHyphens/>
              <w:autoSpaceDN w:val="0"/>
              <w:spacing w:line="301" w:lineRule="exact"/>
              <w:jc w:val="right"/>
              <w:outlineLvl w:val="0"/>
              <w:rPr>
                <w:rFonts w:ascii="Arial" w:eastAsia="Times New Roman" w:hAnsi="Arial" w:cs="Arial"/>
                <w:bCs/>
                <w:iCs/>
                <w:color w:val="000000" w:themeColor="text1"/>
                <w:sz w:val="18"/>
                <w:szCs w:val="18"/>
              </w:rPr>
            </w:pPr>
            <w:r>
              <w:rPr>
                <w:rFonts w:ascii="Arial" w:eastAsia="Times New Roman" w:hAnsi="Arial" w:cs="Arial"/>
                <w:bCs/>
                <w:iCs/>
                <w:color w:val="000000" w:themeColor="text1"/>
                <w:sz w:val="18"/>
                <w:szCs w:val="18"/>
              </w:rPr>
              <w:t>-</w:t>
            </w:r>
          </w:p>
        </w:tc>
        <w:tc>
          <w:tcPr>
            <w:tcW w:w="593" w:type="pct"/>
            <w:tcBorders>
              <w:top w:val="nil"/>
              <w:left w:val="nil"/>
              <w:bottom w:val="nil"/>
              <w:right w:val="nil"/>
            </w:tcBorders>
            <w:shd w:val="clear" w:color="auto" w:fill="auto"/>
            <w:vAlign w:val="bottom"/>
          </w:tcPr>
          <w:p w14:paraId="37B89712" w14:textId="4BB55BF1" w:rsidR="00174501" w:rsidRPr="00082C10" w:rsidRDefault="00F45AA5" w:rsidP="00174501">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Pr>
                <w:rFonts w:ascii="Arial" w:eastAsia="Times New Roman" w:hAnsi="Arial" w:cs="Arial"/>
                <w:iCs/>
                <w:color w:val="000000" w:themeColor="text1"/>
                <w:sz w:val="18"/>
                <w:szCs w:val="18"/>
              </w:rPr>
              <w:t>-</w:t>
            </w:r>
          </w:p>
        </w:tc>
        <w:tc>
          <w:tcPr>
            <w:tcW w:w="694" w:type="pct"/>
            <w:tcBorders>
              <w:top w:val="nil"/>
              <w:left w:val="nil"/>
              <w:bottom w:val="nil"/>
              <w:right w:val="nil"/>
            </w:tcBorders>
            <w:shd w:val="clear" w:color="auto" w:fill="auto"/>
            <w:vAlign w:val="bottom"/>
          </w:tcPr>
          <w:p w14:paraId="3F8858B1" w14:textId="07951D06" w:rsidR="00174501" w:rsidRPr="00082C10" w:rsidRDefault="00F45AA5" w:rsidP="00174501">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Pr>
                <w:rFonts w:ascii="Arial" w:eastAsia="Times New Roman" w:hAnsi="Arial" w:cs="Arial"/>
                <w:iCs/>
                <w:color w:val="000000" w:themeColor="text1"/>
                <w:sz w:val="18"/>
                <w:szCs w:val="18"/>
              </w:rPr>
              <w:t>-</w:t>
            </w:r>
          </w:p>
        </w:tc>
        <w:tc>
          <w:tcPr>
            <w:tcW w:w="555" w:type="pct"/>
            <w:tcBorders>
              <w:top w:val="nil"/>
              <w:left w:val="nil"/>
              <w:bottom w:val="nil"/>
              <w:right w:val="nil"/>
            </w:tcBorders>
            <w:shd w:val="clear" w:color="auto" w:fill="auto"/>
            <w:vAlign w:val="bottom"/>
          </w:tcPr>
          <w:p w14:paraId="6CBF5F41" w14:textId="7E8714F1" w:rsidR="00174501" w:rsidRPr="00082C10" w:rsidDel="003A48C1" w:rsidRDefault="00F45AA5" w:rsidP="00174501">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692" w:type="pct"/>
            <w:tcBorders>
              <w:top w:val="nil"/>
              <w:left w:val="nil"/>
              <w:bottom w:val="nil"/>
              <w:right w:val="nil"/>
            </w:tcBorders>
            <w:shd w:val="clear" w:color="auto" w:fill="auto"/>
            <w:vAlign w:val="bottom"/>
          </w:tcPr>
          <w:p w14:paraId="04B64278" w14:textId="1F3B505F" w:rsidR="00174501" w:rsidRPr="00F45AA5" w:rsidRDefault="00F45AA5" w:rsidP="00174501">
            <w:pPr>
              <w:tabs>
                <w:tab w:val="right" w:pos="1202"/>
              </w:tabs>
              <w:suppressAutoHyphens/>
              <w:autoSpaceDN w:val="0"/>
              <w:spacing w:line="301" w:lineRule="exact"/>
              <w:jc w:val="right"/>
              <w:outlineLvl w:val="0"/>
              <w:rPr>
                <w:rFonts w:ascii="Arial" w:eastAsia="Times New Roman" w:hAnsi="Arial" w:cs="Arial"/>
                <w:b/>
                <w:bCs/>
                <w:iCs/>
                <w:color w:val="000000" w:themeColor="text1"/>
                <w:sz w:val="18"/>
                <w:szCs w:val="18"/>
              </w:rPr>
            </w:pPr>
            <w:r w:rsidRPr="00F45AA5">
              <w:rPr>
                <w:rFonts w:ascii="Arial" w:eastAsia="Times New Roman" w:hAnsi="Arial" w:cs="Arial"/>
                <w:b/>
                <w:bCs/>
                <w:iCs/>
                <w:color w:val="000000" w:themeColor="text1"/>
                <w:sz w:val="18"/>
                <w:szCs w:val="18"/>
              </w:rPr>
              <w:t>-</w:t>
            </w:r>
          </w:p>
        </w:tc>
      </w:tr>
      <w:tr w:rsidR="00174501" w:rsidRPr="00082C10" w14:paraId="2EBC3B28" w14:textId="77777777" w:rsidTr="007478FB">
        <w:trPr>
          <w:trHeight w:val="76"/>
        </w:trPr>
        <w:tc>
          <w:tcPr>
            <w:tcW w:w="1318" w:type="pct"/>
            <w:vAlign w:val="bottom"/>
          </w:tcPr>
          <w:p w14:paraId="01C6B771" w14:textId="7ABA3E55" w:rsidR="00174501" w:rsidRPr="00082C10" w:rsidRDefault="00174501" w:rsidP="00174501">
            <w:pPr>
              <w:tabs>
                <w:tab w:val="right" w:pos="1202"/>
              </w:tabs>
              <w:suppressAutoHyphens/>
              <w:autoSpaceDN w:val="0"/>
              <w:spacing w:line="240" w:lineRule="exact"/>
              <w:outlineLvl w:val="0"/>
              <w:rPr>
                <w:rFonts w:ascii="Arial" w:eastAsia="Times New Roman" w:hAnsi="Arial" w:cs="Arial"/>
                <w:i/>
                <w:iCs/>
                <w:color w:val="000000" w:themeColor="text1"/>
                <w:sz w:val="18"/>
                <w:szCs w:val="18"/>
              </w:rPr>
            </w:pPr>
            <w:bookmarkStart w:id="122" w:name="_Toc67326952"/>
            <w:r w:rsidRPr="00291152">
              <w:rPr>
                <w:rFonts w:ascii="Arial" w:eastAsia="Times New Roman" w:hAnsi="Arial" w:cs="Arial"/>
                <w:iCs/>
                <w:color w:val="000000" w:themeColor="text1"/>
                <w:sz w:val="18"/>
                <w:szCs w:val="18"/>
              </w:rPr>
              <w:t>Prijenos dobiti iz 202</w:t>
            </w:r>
            <w:r>
              <w:rPr>
                <w:rFonts w:ascii="Arial" w:eastAsia="Times New Roman" w:hAnsi="Arial" w:cs="Arial"/>
                <w:iCs/>
                <w:color w:val="000000" w:themeColor="text1"/>
                <w:sz w:val="18"/>
                <w:szCs w:val="18"/>
              </w:rPr>
              <w:t>3</w:t>
            </w:r>
            <w:r w:rsidRPr="00291152">
              <w:rPr>
                <w:rFonts w:ascii="Arial" w:eastAsia="Times New Roman" w:hAnsi="Arial" w:cs="Arial"/>
                <w:iCs/>
                <w:color w:val="000000" w:themeColor="text1"/>
                <w:sz w:val="18"/>
                <w:szCs w:val="18"/>
              </w:rPr>
              <w:t>. godine u zadržanu dobit</w:t>
            </w:r>
            <w:bookmarkEnd w:id="122"/>
          </w:p>
        </w:tc>
        <w:tc>
          <w:tcPr>
            <w:tcW w:w="593" w:type="pct"/>
            <w:tcBorders>
              <w:top w:val="nil"/>
              <w:left w:val="nil"/>
              <w:bottom w:val="single" w:sz="4" w:space="0" w:color="auto"/>
              <w:right w:val="nil"/>
            </w:tcBorders>
            <w:shd w:val="clear" w:color="auto" w:fill="auto"/>
            <w:vAlign w:val="bottom"/>
          </w:tcPr>
          <w:p w14:paraId="3F781609" w14:textId="5FE79184" w:rsidR="00174501" w:rsidRPr="007478FB" w:rsidRDefault="007954E0" w:rsidP="00174501">
            <w:pPr>
              <w:tabs>
                <w:tab w:val="right" w:pos="1202"/>
              </w:tabs>
              <w:suppressAutoHyphens/>
              <w:autoSpaceDN w:val="0"/>
              <w:spacing w:line="301" w:lineRule="exact"/>
              <w:jc w:val="right"/>
              <w:outlineLvl w:val="0"/>
              <w:rPr>
                <w:rFonts w:ascii="Arial" w:hAnsi="Arial" w:cs="Arial"/>
                <w:sz w:val="18"/>
                <w:szCs w:val="18"/>
              </w:rPr>
            </w:pPr>
            <w:r>
              <w:rPr>
                <w:rFonts w:ascii="Arial" w:hAnsi="Arial" w:cs="Arial"/>
                <w:sz w:val="18"/>
                <w:szCs w:val="18"/>
              </w:rPr>
              <w:t>-</w:t>
            </w:r>
          </w:p>
        </w:tc>
        <w:tc>
          <w:tcPr>
            <w:tcW w:w="555" w:type="pct"/>
            <w:tcBorders>
              <w:top w:val="nil"/>
              <w:left w:val="nil"/>
              <w:bottom w:val="single" w:sz="4" w:space="0" w:color="auto"/>
              <w:right w:val="nil"/>
            </w:tcBorders>
            <w:shd w:val="clear" w:color="auto" w:fill="auto"/>
            <w:vAlign w:val="bottom"/>
          </w:tcPr>
          <w:p w14:paraId="7CF222A5" w14:textId="2DDB9734" w:rsidR="00174501" w:rsidRPr="007478FB" w:rsidRDefault="007954E0" w:rsidP="00174501">
            <w:pPr>
              <w:tabs>
                <w:tab w:val="right" w:pos="1202"/>
              </w:tabs>
              <w:suppressAutoHyphens/>
              <w:autoSpaceDN w:val="0"/>
              <w:spacing w:line="301" w:lineRule="exact"/>
              <w:jc w:val="right"/>
              <w:outlineLvl w:val="0"/>
              <w:rPr>
                <w:rFonts w:ascii="Arial" w:hAnsi="Arial" w:cs="Arial"/>
                <w:sz w:val="18"/>
                <w:szCs w:val="18"/>
              </w:rPr>
            </w:pPr>
            <w:r>
              <w:rPr>
                <w:rFonts w:ascii="Arial" w:hAnsi="Arial" w:cs="Arial"/>
                <w:sz w:val="18"/>
                <w:szCs w:val="18"/>
              </w:rPr>
              <w:t>29.947</w:t>
            </w:r>
          </w:p>
        </w:tc>
        <w:tc>
          <w:tcPr>
            <w:tcW w:w="593" w:type="pct"/>
            <w:tcBorders>
              <w:top w:val="nil"/>
              <w:left w:val="nil"/>
              <w:bottom w:val="single" w:sz="4" w:space="0" w:color="auto"/>
              <w:right w:val="nil"/>
            </w:tcBorders>
            <w:shd w:val="clear" w:color="auto" w:fill="auto"/>
            <w:vAlign w:val="bottom"/>
          </w:tcPr>
          <w:p w14:paraId="702820CE" w14:textId="5C447C95" w:rsidR="00174501" w:rsidRPr="007478FB" w:rsidRDefault="007954E0" w:rsidP="00174501">
            <w:pPr>
              <w:tabs>
                <w:tab w:val="right" w:pos="1202"/>
              </w:tabs>
              <w:suppressAutoHyphens/>
              <w:autoSpaceDN w:val="0"/>
              <w:spacing w:line="301" w:lineRule="exact"/>
              <w:jc w:val="right"/>
              <w:outlineLvl w:val="0"/>
              <w:rPr>
                <w:rFonts w:ascii="Arial" w:hAnsi="Arial" w:cs="Arial"/>
                <w:sz w:val="18"/>
                <w:szCs w:val="18"/>
              </w:rPr>
            </w:pPr>
            <w:r>
              <w:rPr>
                <w:rFonts w:ascii="Arial" w:hAnsi="Arial" w:cs="Arial"/>
                <w:sz w:val="18"/>
                <w:szCs w:val="18"/>
              </w:rPr>
              <w:t>-</w:t>
            </w:r>
          </w:p>
        </w:tc>
        <w:tc>
          <w:tcPr>
            <w:tcW w:w="694" w:type="pct"/>
            <w:tcBorders>
              <w:top w:val="nil"/>
              <w:left w:val="nil"/>
              <w:bottom w:val="single" w:sz="4" w:space="0" w:color="auto"/>
              <w:right w:val="nil"/>
            </w:tcBorders>
            <w:shd w:val="clear" w:color="auto" w:fill="auto"/>
            <w:vAlign w:val="bottom"/>
          </w:tcPr>
          <w:p w14:paraId="4E7F6B42" w14:textId="4EAA4484" w:rsidR="00174501" w:rsidRPr="007478FB" w:rsidRDefault="007954E0" w:rsidP="00174501">
            <w:pPr>
              <w:tabs>
                <w:tab w:val="right" w:pos="1202"/>
              </w:tabs>
              <w:suppressAutoHyphens/>
              <w:autoSpaceDN w:val="0"/>
              <w:spacing w:line="301" w:lineRule="exact"/>
              <w:jc w:val="right"/>
              <w:outlineLvl w:val="0"/>
              <w:rPr>
                <w:rFonts w:ascii="Arial" w:hAnsi="Arial" w:cs="Arial"/>
                <w:sz w:val="18"/>
                <w:szCs w:val="18"/>
              </w:rPr>
            </w:pPr>
            <w:r>
              <w:rPr>
                <w:rFonts w:ascii="Arial" w:hAnsi="Arial" w:cs="Arial"/>
                <w:sz w:val="18"/>
                <w:szCs w:val="18"/>
              </w:rPr>
              <w:t>(29.947)</w:t>
            </w:r>
          </w:p>
        </w:tc>
        <w:tc>
          <w:tcPr>
            <w:tcW w:w="555" w:type="pct"/>
            <w:tcBorders>
              <w:top w:val="nil"/>
              <w:left w:val="nil"/>
              <w:bottom w:val="single" w:sz="4" w:space="0" w:color="auto"/>
              <w:right w:val="nil"/>
            </w:tcBorders>
            <w:shd w:val="clear" w:color="auto" w:fill="auto"/>
            <w:vAlign w:val="bottom"/>
          </w:tcPr>
          <w:p w14:paraId="09429686" w14:textId="75134B56" w:rsidR="00174501" w:rsidRPr="007478FB" w:rsidRDefault="007954E0" w:rsidP="00174501">
            <w:pPr>
              <w:tabs>
                <w:tab w:val="right" w:pos="1202"/>
              </w:tabs>
              <w:suppressAutoHyphens/>
              <w:autoSpaceDN w:val="0"/>
              <w:spacing w:line="301" w:lineRule="exact"/>
              <w:jc w:val="right"/>
              <w:outlineLvl w:val="0"/>
              <w:rPr>
                <w:rFonts w:ascii="Arial" w:hAnsi="Arial" w:cs="Arial"/>
                <w:sz w:val="18"/>
                <w:szCs w:val="18"/>
              </w:rPr>
            </w:pPr>
            <w:r>
              <w:rPr>
                <w:rFonts w:ascii="Arial" w:hAnsi="Arial" w:cs="Arial"/>
                <w:sz w:val="18"/>
                <w:szCs w:val="18"/>
              </w:rPr>
              <w:t>-</w:t>
            </w:r>
          </w:p>
        </w:tc>
        <w:tc>
          <w:tcPr>
            <w:tcW w:w="692" w:type="pct"/>
            <w:tcBorders>
              <w:top w:val="nil"/>
              <w:left w:val="nil"/>
              <w:bottom w:val="single" w:sz="4" w:space="0" w:color="auto"/>
              <w:right w:val="nil"/>
            </w:tcBorders>
            <w:shd w:val="clear" w:color="auto" w:fill="auto"/>
            <w:vAlign w:val="bottom"/>
          </w:tcPr>
          <w:p w14:paraId="5A955A76" w14:textId="003E206D" w:rsidR="00174501" w:rsidRPr="00F45AA5" w:rsidRDefault="007954E0" w:rsidP="00174501">
            <w:pPr>
              <w:tabs>
                <w:tab w:val="right" w:pos="1202"/>
              </w:tabs>
              <w:suppressAutoHyphens/>
              <w:autoSpaceDN w:val="0"/>
              <w:spacing w:line="301" w:lineRule="exact"/>
              <w:jc w:val="right"/>
              <w:outlineLvl w:val="0"/>
              <w:rPr>
                <w:rFonts w:ascii="Arial" w:hAnsi="Arial" w:cs="Arial"/>
                <w:b/>
                <w:bCs/>
                <w:sz w:val="18"/>
                <w:szCs w:val="18"/>
              </w:rPr>
            </w:pPr>
            <w:r>
              <w:rPr>
                <w:rFonts w:ascii="Arial" w:hAnsi="Arial" w:cs="Arial"/>
                <w:b/>
                <w:bCs/>
                <w:sz w:val="18"/>
                <w:szCs w:val="18"/>
              </w:rPr>
              <w:t>-</w:t>
            </w:r>
          </w:p>
        </w:tc>
      </w:tr>
      <w:tr w:rsidR="00174501" w:rsidRPr="00082C10" w14:paraId="0A11AAEB" w14:textId="77777777" w:rsidTr="00280D61">
        <w:trPr>
          <w:trHeight w:hRule="exact" w:val="357"/>
        </w:trPr>
        <w:tc>
          <w:tcPr>
            <w:tcW w:w="1318" w:type="pct"/>
            <w:vAlign w:val="bottom"/>
          </w:tcPr>
          <w:p w14:paraId="063642A7" w14:textId="607E90B8" w:rsidR="00174501" w:rsidRPr="00082C10" w:rsidRDefault="00174501" w:rsidP="00174501">
            <w:pPr>
              <w:tabs>
                <w:tab w:val="right" w:pos="1202"/>
              </w:tabs>
              <w:suppressAutoHyphens/>
              <w:autoSpaceDN w:val="0"/>
              <w:spacing w:line="240" w:lineRule="exact"/>
              <w:outlineLvl w:val="0"/>
              <w:rPr>
                <w:rFonts w:ascii="Arial" w:eastAsia="Times New Roman" w:hAnsi="Arial" w:cs="Arial"/>
                <w:iCs/>
                <w:color w:val="000000" w:themeColor="text1"/>
                <w:sz w:val="18"/>
                <w:szCs w:val="18"/>
              </w:rPr>
            </w:pPr>
            <w:bookmarkStart w:id="123" w:name="_Toc67326959"/>
            <w:r w:rsidRPr="00291152">
              <w:rPr>
                <w:rFonts w:ascii="Arial" w:eastAsia="Times New Roman" w:hAnsi="Arial" w:cs="Arial"/>
                <w:b/>
                <w:iCs/>
                <w:color w:val="000000" w:themeColor="text1"/>
                <w:sz w:val="18"/>
                <w:szCs w:val="18"/>
              </w:rPr>
              <w:t xml:space="preserve">Stanje </w:t>
            </w:r>
            <w:r w:rsidRPr="00082C10">
              <w:rPr>
                <w:rFonts w:ascii="Arial" w:eastAsia="Times New Roman" w:hAnsi="Arial" w:cs="Arial"/>
                <w:b/>
                <w:iCs/>
                <w:color w:val="000000" w:themeColor="text1"/>
                <w:sz w:val="18"/>
                <w:szCs w:val="18"/>
              </w:rPr>
              <w:t xml:space="preserve">30. </w:t>
            </w:r>
            <w:r>
              <w:rPr>
                <w:rFonts w:ascii="Arial" w:eastAsia="Times New Roman" w:hAnsi="Arial" w:cs="Arial"/>
                <w:b/>
                <w:iCs/>
                <w:color w:val="000000" w:themeColor="text1"/>
                <w:sz w:val="18"/>
                <w:szCs w:val="18"/>
              </w:rPr>
              <w:t>rujna</w:t>
            </w:r>
            <w:r w:rsidRPr="00082C10">
              <w:rPr>
                <w:rFonts w:ascii="Arial" w:eastAsia="Times New Roman" w:hAnsi="Arial" w:cs="Arial"/>
                <w:b/>
                <w:iCs/>
                <w:color w:val="000000" w:themeColor="text1"/>
                <w:sz w:val="18"/>
                <w:szCs w:val="18"/>
              </w:rPr>
              <w:t xml:space="preserve"> 202</w:t>
            </w:r>
            <w:r>
              <w:rPr>
                <w:rFonts w:ascii="Arial" w:eastAsia="Times New Roman" w:hAnsi="Arial" w:cs="Arial"/>
                <w:b/>
                <w:iCs/>
                <w:color w:val="000000" w:themeColor="text1"/>
                <w:sz w:val="18"/>
                <w:szCs w:val="18"/>
              </w:rPr>
              <w:t>4</w:t>
            </w:r>
            <w:r w:rsidRPr="00082C10">
              <w:rPr>
                <w:rFonts w:ascii="Arial" w:eastAsia="Times New Roman" w:hAnsi="Arial" w:cs="Arial"/>
                <w:b/>
                <w:iCs/>
                <w:color w:val="000000" w:themeColor="text1"/>
                <w:sz w:val="18"/>
                <w:szCs w:val="18"/>
              </w:rPr>
              <w:t>.</w:t>
            </w:r>
            <w:bookmarkEnd w:id="123"/>
            <w:r w:rsidRPr="00082C10">
              <w:rPr>
                <w:rFonts w:ascii="Arial" w:eastAsia="Times New Roman" w:hAnsi="Arial" w:cs="Arial"/>
                <w:b/>
                <w:iCs/>
                <w:color w:val="000000" w:themeColor="text1"/>
                <w:sz w:val="18"/>
                <w:szCs w:val="18"/>
              </w:rPr>
              <w:t xml:space="preserve"> </w:t>
            </w:r>
          </w:p>
        </w:tc>
        <w:tc>
          <w:tcPr>
            <w:tcW w:w="593" w:type="pct"/>
            <w:tcBorders>
              <w:top w:val="single" w:sz="8" w:space="0" w:color="auto"/>
              <w:left w:val="nil"/>
              <w:bottom w:val="single" w:sz="12" w:space="0" w:color="auto"/>
              <w:right w:val="nil"/>
            </w:tcBorders>
            <w:shd w:val="clear" w:color="auto" w:fill="auto"/>
            <w:vAlign w:val="bottom"/>
          </w:tcPr>
          <w:p w14:paraId="6AA7C154" w14:textId="01FC680C" w:rsidR="00174501" w:rsidRPr="007478FB" w:rsidRDefault="00A46896" w:rsidP="00174501">
            <w:pPr>
              <w:tabs>
                <w:tab w:val="right" w:pos="1202"/>
              </w:tabs>
              <w:suppressAutoHyphens/>
              <w:autoSpaceDN w:val="0"/>
              <w:spacing w:line="301" w:lineRule="exact"/>
              <w:jc w:val="right"/>
              <w:outlineLvl w:val="0"/>
              <w:rPr>
                <w:rFonts w:ascii="Arial" w:hAnsi="Arial" w:cs="Arial"/>
                <w:b/>
                <w:bCs/>
                <w:sz w:val="18"/>
                <w:szCs w:val="18"/>
              </w:rPr>
            </w:pPr>
            <w:r>
              <w:rPr>
                <w:rFonts w:ascii="Arial" w:hAnsi="Arial" w:cs="Arial"/>
                <w:b/>
                <w:bCs/>
                <w:sz w:val="18"/>
                <w:szCs w:val="18"/>
              </w:rPr>
              <w:t>958.889</w:t>
            </w:r>
          </w:p>
        </w:tc>
        <w:tc>
          <w:tcPr>
            <w:tcW w:w="555" w:type="pct"/>
            <w:tcBorders>
              <w:top w:val="single" w:sz="8" w:space="0" w:color="auto"/>
              <w:left w:val="nil"/>
              <w:bottom w:val="single" w:sz="12" w:space="0" w:color="auto"/>
              <w:right w:val="nil"/>
            </w:tcBorders>
            <w:shd w:val="clear" w:color="auto" w:fill="auto"/>
            <w:vAlign w:val="bottom"/>
          </w:tcPr>
          <w:p w14:paraId="40B0AA5A" w14:textId="5DF257B4" w:rsidR="00174501" w:rsidRPr="007478FB" w:rsidRDefault="00A46896" w:rsidP="00174501">
            <w:pPr>
              <w:tabs>
                <w:tab w:val="right" w:pos="1202"/>
              </w:tabs>
              <w:suppressAutoHyphens/>
              <w:autoSpaceDN w:val="0"/>
              <w:spacing w:line="301" w:lineRule="exact"/>
              <w:jc w:val="right"/>
              <w:outlineLvl w:val="0"/>
              <w:rPr>
                <w:rFonts w:ascii="Arial" w:hAnsi="Arial" w:cs="Arial"/>
                <w:b/>
                <w:bCs/>
                <w:sz w:val="18"/>
                <w:szCs w:val="18"/>
              </w:rPr>
            </w:pPr>
            <w:r>
              <w:rPr>
                <w:rFonts w:ascii="Arial" w:hAnsi="Arial" w:cs="Arial"/>
                <w:b/>
                <w:bCs/>
                <w:sz w:val="18"/>
                <w:szCs w:val="18"/>
              </w:rPr>
              <w:t>498.945</w:t>
            </w:r>
          </w:p>
        </w:tc>
        <w:tc>
          <w:tcPr>
            <w:tcW w:w="593" w:type="pct"/>
            <w:tcBorders>
              <w:top w:val="single" w:sz="8" w:space="0" w:color="auto"/>
              <w:left w:val="nil"/>
              <w:bottom w:val="single" w:sz="12" w:space="0" w:color="auto"/>
              <w:right w:val="nil"/>
            </w:tcBorders>
            <w:shd w:val="clear" w:color="auto" w:fill="auto"/>
            <w:vAlign w:val="bottom"/>
          </w:tcPr>
          <w:p w14:paraId="54841BAE" w14:textId="63F3B96B" w:rsidR="00174501" w:rsidRPr="007478FB" w:rsidRDefault="00A46896" w:rsidP="00174501">
            <w:pPr>
              <w:tabs>
                <w:tab w:val="right" w:pos="1202"/>
              </w:tabs>
              <w:suppressAutoHyphens/>
              <w:autoSpaceDN w:val="0"/>
              <w:spacing w:line="301" w:lineRule="exact"/>
              <w:jc w:val="right"/>
              <w:outlineLvl w:val="0"/>
              <w:rPr>
                <w:rFonts w:ascii="Arial" w:hAnsi="Arial" w:cs="Arial"/>
                <w:b/>
                <w:bCs/>
                <w:sz w:val="18"/>
                <w:szCs w:val="18"/>
              </w:rPr>
            </w:pPr>
            <w:r>
              <w:rPr>
                <w:rFonts w:ascii="Arial" w:hAnsi="Arial" w:cs="Arial"/>
                <w:b/>
                <w:bCs/>
                <w:sz w:val="18"/>
                <w:szCs w:val="18"/>
              </w:rPr>
              <w:t>1.110</w:t>
            </w:r>
          </w:p>
        </w:tc>
        <w:tc>
          <w:tcPr>
            <w:tcW w:w="694" w:type="pct"/>
            <w:tcBorders>
              <w:top w:val="single" w:sz="8" w:space="0" w:color="auto"/>
              <w:left w:val="nil"/>
              <w:bottom w:val="single" w:sz="12" w:space="0" w:color="auto"/>
              <w:right w:val="nil"/>
            </w:tcBorders>
            <w:shd w:val="clear" w:color="auto" w:fill="auto"/>
            <w:vAlign w:val="bottom"/>
          </w:tcPr>
          <w:p w14:paraId="6B26CC02" w14:textId="08F1AA5E" w:rsidR="00174501" w:rsidRPr="007478FB" w:rsidRDefault="00A46896" w:rsidP="00174501">
            <w:pPr>
              <w:tabs>
                <w:tab w:val="right" w:pos="1202"/>
              </w:tabs>
              <w:suppressAutoHyphens/>
              <w:autoSpaceDN w:val="0"/>
              <w:spacing w:line="301" w:lineRule="exact"/>
              <w:jc w:val="right"/>
              <w:outlineLvl w:val="0"/>
              <w:rPr>
                <w:rFonts w:ascii="Arial" w:hAnsi="Arial" w:cs="Arial"/>
                <w:b/>
                <w:bCs/>
                <w:sz w:val="18"/>
                <w:szCs w:val="18"/>
              </w:rPr>
            </w:pPr>
            <w:r>
              <w:rPr>
                <w:rFonts w:ascii="Arial" w:hAnsi="Arial" w:cs="Arial"/>
                <w:b/>
                <w:bCs/>
                <w:sz w:val="18"/>
                <w:szCs w:val="18"/>
              </w:rPr>
              <w:t>43.700</w:t>
            </w:r>
          </w:p>
        </w:tc>
        <w:tc>
          <w:tcPr>
            <w:tcW w:w="555" w:type="pct"/>
            <w:tcBorders>
              <w:top w:val="single" w:sz="8" w:space="0" w:color="auto"/>
              <w:left w:val="nil"/>
              <w:bottom w:val="single" w:sz="12" w:space="0" w:color="auto"/>
              <w:right w:val="nil"/>
            </w:tcBorders>
            <w:shd w:val="clear" w:color="auto" w:fill="auto"/>
            <w:vAlign w:val="bottom"/>
          </w:tcPr>
          <w:p w14:paraId="4A6D54D9" w14:textId="4BA2FD96" w:rsidR="00174501" w:rsidRPr="007478FB" w:rsidDel="003A48C1" w:rsidRDefault="00A46896" w:rsidP="00174501">
            <w:pPr>
              <w:tabs>
                <w:tab w:val="right" w:pos="1202"/>
              </w:tabs>
              <w:suppressAutoHyphens/>
              <w:autoSpaceDN w:val="0"/>
              <w:spacing w:line="301" w:lineRule="exact"/>
              <w:jc w:val="right"/>
              <w:outlineLvl w:val="0"/>
              <w:rPr>
                <w:rFonts w:ascii="Arial" w:hAnsi="Arial" w:cs="Arial"/>
                <w:b/>
                <w:bCs/>
                <w:sz w:val="18"/>
                <w:szCs w:val="18"/>
              </w:rPr>
            </w:pPr>
            <w:r>
              <w:rPr>
                <w:rFonts w:ascii="Arial" w:hAnsi="Arial" w:cs="Arial"/>
                <w:b/>
                <w:bCs/>
                <w:sz w:val="18"/>
                <w:szCs w:val="18"/>
              </w:rPr>
              <w:t>1.638</w:t>
            </w:r>
          </w:p>
        </w:tc>
        <w:tc>
          <w:tcPr>
            <w:tcW w:w="692" w:type="pct"/>
            <w:tcBorders>
              <w:top w:val="single" w:sz="8" w:space="0" w:color="auto"/>
              <w:left w:val="nil"/>
              <w:bottom w:val="single" w:sz="12" w:space="0" w:color="auto"/>
              <w:right w:val="nil"/>
            </w:tcBorders>
            <w:shd w:val="clear" w:color="auto" w:fill="auto"/>
            <w:vAlign w:val="bottom"/>
          </w:tcPr>
          <w:p w14:paraId="5F5CE6DE" w14:textId="416D1A9A" w:rsidR="00174501" w:rsidRPr="007478FB" w:rsidRDefault="00A46896" w:rsidP="00174501">
            <w:pPr>
              <w:tabs>
                <w:tab w:val="right" w:pos="1202"/>
              </w:tabs>
              <w:suppressAutoHyphens/>
              <w:autoSpaceDN w:val="0"/>
              <w:spacing w:line="301" w:lineRule="exact"/>
              <w:jc w:val="right"/>
              <w:outlineLvl w:val="0"/>
              <w:rPr>
                <w:rFonts w:ascii="Arial" w:hAnsi="Arial" w:cs="Arial"/>
                <w:b/>
                <w:bCs/>
                <w:sz w:val="18"/>
                <w:szCs w:val="18"/>
              </w:rPr>
            </w:pPr>
            <w:r>
              <w:rPr>
                <w:rFonts w:ascii="Arial" w:hAnsi="Arial" w:cs="Arial"/>
                <w:b/>
                <w:bCs/>
                <w:sz w:val="18"/>
                <w:szCs w:val="18"/>
              </w:rPr>
              <w:t>1.504.282</w:t>
            </w:r>
          </w:p>
        </w:tc>
      </w:tr>
    </w:tbl>
    <w:p w14:paraId="7FDC71F4" w14:textId="77777777" w:rsidR="00DE7EEE" w:rsidRPr="003D1614" w:rsidRDefault="00DE7EEE" w:rsidP="00DE7EEE">
      <w:pPr>
        <w:rPr>
          <w:rFonts w:ascii="Arial" w:eastAsia="Times New Roman" w:hAnsi="Arial" w:cs="Arial"/>
          <w:sz w:val="20"/>
          <w:szCs w:val="20"/>
        </w:rPr>
      </w:pPr>
    </w:p>
    <w:p w14:paraId="4A0A7979" w14:textId="77777777" w:rsidR="00DE7EEE" w:rsidRPr="003D1614" w:rsidRDefault="00DE7EEE" w:rsidP="00DE7EEE">
      <w:pPr>
        <w:rPr>
          <w:rFonts w:ascii="Arial" w:eastAsia="Times New Roman" w:hAnsi="Arial" w:cs="Arial"/>
          <w:sz w:val="20"/>
          <w:szCs w:val="20"/>
        </w:rPr>
      </w:pPr>
    </w:p>
    <w:p w14:paraId="7E990787" w14:textId="68093F62" w:rsidR="00DE7EEE" w:rsidRPr="003D1614" w:rsidRDefault="00DE7EEE" w:rsidP="00DE7EEE">
      <w:pPr>
        <w:rPr>
          <w:rFonts w:ascii="Arial" w:eastAsia="Times New Roman" w:hAnsi="Arial" w:cs="Arial"/>
          <w:sz w:val="20"/>
          <w:szCs w:val="20"/>
        </w:rPr>
      </w:pPr>
    </w:p>
    <w:p w14:paraId="45D16FE3" w14:textId="35DD1DB9" w:rsidR="00A56428" w:rsidRPr="003D1614" w:rsidRDefault="00A56428" w:rsidP="00DE7EEE">
      <w:pPr>
        <w:rPr>
          <w:rFonts w:ascii="Arial" w:eastAsia="Times New Roman" w:hAnsi="Arial" w:cs="Arial"/>
          <w:sz w:val="20"/>
          <w:szCs w:val="20"/>
        </w:rPr>
      </w:pPr>
      <w:r w:rsidRPr="003D1614">
        <w:rPr>
          <w:rFonts w:ascii="Arial" w:eastAsia="Times New Roman" w:hAnsi="Arial" w:cs="Arial"/>
          <w:sz w:val="20"/>
          <w:szCs w:val="20"/>
        </w:rPr>
        <w:t>Priložene računovodstvene politike i bilješke sastavni su dio ovih financijskih izvještaja.</w:t>
      </w:r>
    </w:p>
    <w:p w14:paraId="2AD96793" w14:textId="77777777" w:rsidR="00A56428" w:rsidRPr="003D1614" w:rsidRDefault="00A56428" w:rsidP="00DE7EEE">
      <w:pPr>
        <w:rPr>
          <w:rFonts w:ascii="Arial" w:eastAsia="Times New Roman" w:hAnsi="Arial" w:cs="Arial"/>
          <w:sz w:val="20"/>
          <w:szCs w:val="20"/>
        </w:rPr>
        <w:sectPr w:rsidR="00A56428" w:rsidRPr="003D1614">
          <w:headerReference w:type="default" r:id="rId15"/>
          <w:pgSz w:w="11906" w:h="16838"/>
          <w:pgMar w:top="1417" w:right="1417" w:bottom="1417" w:left="1417" w:header="708" w:footer="708" w:gutter="0"/>
          <w:cols w:space="708"/>
          <w:docGrid w:linePitch="360"/>
        </w:sectPr>
      </w:pPr>
    </w:p>
    <w:p w14:paraId="0DA86F3A" w14:textId="11BFACE9" w:rsidR="00A56428" w:rsidRPr="005C7D23" w:rsidRDefault="00A56428" w:rsidP="00A56428">
      <w:pPr>
        <w:rPr>
          <w:rFonts w:ascii="Arial" w:eastAsia="Times New Roman" w:hAnsi="Arial" w:cs="Arial"/>
          <w:sz w:val="10"/>
          <w:szCs w:val="10"/>
        </w:rPr>
      </w:pPr>
    </w:p>
    <w:tbl>
      <w:tblPr>
        <w:tblpPr w:leftFromText="181" w:rightFromText="181" w:vertAnchor="page" w:horzAnchor="margin" w:tblpXSpec="center" w:tblpY="2498"/>
        <w:tblW w:w="5000" w:type="pct"/>
        <w:tblCellMar>
          <w:left w:w="119" w:type="dxa"/>
          <w:right w:w="119" w:type="dxa"/>
        </w:tblCellMar>
        <w:tblLook w:val="0000" w:firstRow="0" w:lastRow="0" w:firstColumn="0" w:lastColumn="0" w:noHBand="0" w:noVBand="0"/>
      </w:tblPr>
      <w:tblGrid>
        <w:gridCol w:w="3064"/>
        <w:gridCol w:w="987"/>
        <w:gridCol w:w="1207"/>
        <w:gridCol w:w="1303"/>
        <w:gridCol w:w="1208"/>
        <w:gridCol w:w="1303"/>
      </w:tblGrid>
      <w:tr w:rsidR="006826A0" w:rsidRPr="00F43653" w14:paraId="2041FDA9" w14:textId="77777777" w:rsidTr="007478FB">
        <w:tc>
          <w:tcPr>
            <w:tcW w:w="1689" w:type="pct"/>
            <w:vAlign w:val="bottom"/>
          </w:tcPr>
          <w:p w14:paraId="4A297219" w14:textId="77777777" w:rsidR="006826A0" w:rsidRPr="00F43653" w:rsidRDefault="006826A0" w:rsidP="006826A0">
            <w:pPr>
              <w:tabs>
                <w:tab w:val="right" w:pos="1202"/>
              </w:tabs>
              <w:suppressAutoHyphens/>
              <w:autoSpaceDN w:val="0"/>
              <w:spacing w:line="301" w:lineRule="exact"/>
              <w:outlineLvl w:val="0"/>
              <w:rPr>
                <w:rFonts w:ascii="Arial" w:eastAsia="Times New Roman" w:hAnsi="Arial" w:cs="Arial"/>
                <w:b/>
                <w:bCs/>
                <w:color w:val="000000" w:themeColor="text1"/>
                <w:sz w:val="20"/>
                <w:szCs w:val="20"/>
              </w:rPr>
            </w:pPr>
          </w:p>
        </w:tc>
        <w:tc>
          <w:tcPr>
            <w:tcW w:w="544" w:type="pct"/>
            <w:vAlign w:val="bottom"/>
          </w:tcPr>
          <w:p w14:paraId="330B0432" w14:textId="7FC9217E" w:rsidR="006826A0" w:rsidRPr="00F43653" w:rsidRDefault="006826A0" w:rsidP="006826A0">
            <w:pPr>
              <w:tabs>
                <w:tab w:val="right" w:pos="1202"/>
              </w:tabs>
              <w:suppressAutoHyphens/>
              <w:autoSpaceDN w:val="0"/>
              <w:spacing w:line="301" w:lineRule="exact"/>
              <w:ind w:left="-15" w:firstLine="15"/>
              <w:jc w:val="center"/>
              <w:outlineLvl w:val="0"/>
              <w:rPr>
                <w:rFonts w:ascii="Arial" w:eastAsia="Times New Roman" w:hAnsi="Arial" w:cs="Arial"/>
                <w:b/>
                <w:bCs/>
                <w:color w:val="000000" w:themeColor="text1"/>
                <w:sz w:val="20"/>
                <w:szCs w:val="20"/>
              </w:rPr>
            </w:pPr>
          </w:p>
        </w:tc>
        <w:tc>
          <w:tcPr>
            <w:tcW w:w="1383" w:type="pct"/>
            <w:gridSpan w:val="2"/>
            <w:vAlign w:val="bottom"/>
          </w:tcPr>
          <w:p w14:paraId="40E55FDD" w14:textId="23AEF1CA" w:rsidR="006826A0" w:rsidRPr="00F43653" w:rsidRDefault="006826A0" w:rsidP="007478FB">
            <w:pPr>
              <w:suppressAutoHyphens/>
              <w:autoSpaceDN w:val="0"/>
              <w:spacing w:line="301" w:lineRule="exact"/>
              <w:jc w:val="center"/>
              <w:outlineLvl w:val="0"/>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202</w:t>
            </w:r>
            <w:r w:rsidR="00027744">
              <w:rPr>
                <w:rFonts w:ascii="Arial" w:eastAsia="Times New Roman" w:hAnsi="Arial" w:cs="Arial"/>
                <w:b/>
                <w:bCs/>
                <w:color w:val="000000" w:themeColor="text1"/>
                <w:sz w:val="20"/>
                <w:szCs w:val="20"/>
              </w:rPr>
              <w:t>4</w:t>
            </w:r>
            <w:r w:rsidRPr="00F43653">
              <w:rPr>
                <w:rFonts w:ascii="Arial" w:eastAsia="Times New Roman" w:hAnsi="Arial" w:cs="Arial"/>
                <w:b/>
                <w:bCs/>
                <w:color w:val="000000" w:themeColor="text1"/>
                <w:sz w:val="20"/>
                <w:szCs w:val="20"/>
              </w:rPr>
              <w:t>.</w:t>
            </w:r>
          </w:p>
        </w:tc>
        <w:tc>
          <w:tcPr>
            <w:tcW w:w="1384" w:type="pct"/>
            <w:gridSpan w:val="2"/>
            <w:vAlign w:val="bottom"/>
          </w:tcPr>
          <w:p w14:paraId="27631C50" w14:textId="5B1ABE75" w:rsidR="006826A0" w:rsidRPr="00F43653" w:rsidRDefault="006826A0" w:rsidP="007478FB">
            <w:pPr>
              <w:suppressAutoHyphens/>
              <w:autoSpaceDN w:val="0"/>
              <w:spacing w:line="301" w:lineRule="exact"/>
              <w:jc w:val="center"/>
              <w:outlineLvl w:val="0"/>
              <w:rPr>
                <w:rFonts w:ascii="Arial" w:eastAsia="Times New Roman" w:hAnsi="Arial" w:cs="Arial"/>
                <w:b/>
                <w:bCs/>
                <w:color w:val="000000" w:themeColor="text1"/>
                <w:sz w:val="20"/>
                <w:szCs w:val="20"/>
              </w:rPr>
            </w:pPr>
            <w:bookmarkStart w:id="124" w:name="_Toc67326967"/>
            <w:bookmarkStart w:id="125" w:name="_Toc67326968"/>
            <w:r w:rsidRPr="00F43653">
              <w:rPr>
                <w:rFonts w:ascii="Arial" w:eastAsia="Times New Roman" w:hAnsi="Arial" w:cs="Arial"/>
                <w:b/>
                <w:bCs/>
                <w:color w:val="000000" w:themeColor="text1"/>
                <w:sz w:val="20"/>
                <w:szCs w:val="20"/>
              </w:rPr>
              <w:t>202</w:t>
            </w:r>
            <w:r w:rsidR="00027744">
              <w:rPr>
                <w:rFonts w:ascii="Arial" w:eastAsia="Times New Roman" w:hAnsi="Arial" w:cs="Arial"/>
                <w:b/>
                <w:bCs/>
                <w:color w:val="000000" w:themeColor="text1"/>
                <w:sz w:val="20"/>
                <w:szCs w:val="20"/>
              </w:rPr>
              <w:t>3</w:t>
            </w:r>
            <w:r w:rsidRPr="00F43653">
              <w:rPr>
                <w:rFonts w:ascii="Arial" w:eastAsia="Times New Roman" w:hAnsi="Arial" w:cs="Arial"/>
                <w:b/>
                <w:bCs/>
                <w:color w:val="000000" w:themeColor="text1"/>
                <w:sz w:val="20"/>
                <w:szCs w:val="20"/>
              </w:rPr>
              <w:t>.</w:t>
            </w:r>
            <w:bookmarkEnd w:id="124"/>
            <w:bookmarkEnd w:id="125"/>
          </w:p>
        </w:tc>
      </w:tr>
      <w:tr w:rsidR="006826A0" w:rsidRPr="00F43653" w14:paraId="028C5E01" w14:textId="77777777" w:rsidTr="007478FB">
        <w:tc>
          <w:tcPr>
            <w:tcW w:w="1689" w:type="pct"/>
            <w:vAlign w:val="bottom"/>
          </w:tcPr>
          <w:p w14:paraId="068C6956" w14:textId="77777777" w:rsidR="006826A0" w:rsidRPr="00F43653" w:rsidRDefault="006826A0" w:rsidP="006826A0">
            <w:pPr>
              <w:tabs>
                <w:tab w:val="right" w:pos="1202"/>
              </w:tabs>
              <w:suppressAutoHyphens/>
              <w:autoSpaceDN w:val="0"/>
              <w:spacing w:line="301" w:lineRule="exact"/>
              <w:outlineLvl w:val="0"/>
              <w:rPr>
                <w:rFonts w:ascii="Arial" w:eastAsia="Times New Roman" w:hAnsi="Arial" w:cs="Arial"/>
                <w:b/>
                <w:bCs/>
                <w:color w:val="000000" w:themeColor="text1"/>
                <w:sz w:val="20"/>
                <w:szCs w:val="20"/>
              </w:rPr>
            </w:pPr>
          </w:p>
        </w:tc>
        <w:tc>
          <w:tcPr>
            <w:tcW w:w="544" w:type="pct"/>
            <w:vAlign w:val="bottom"/>
          </w:tcPr>
          <w:p w14:paraId="53B1C59C" w14:textId="6DCBFF33" w:rsidR="006826A0" w:rsidRPr="00274386" w:rsidRDefault="006826A0" w:rsidP="006826A0">
            <w:pPr>
              <w:tabs>
                <w:tab w:val="right" w:pos="1202"/>
              </w:tabs>
              <w:suppressAutoHyphens/>
              <w:autoSpaceDN w:val="0"/>
              <w:spacing w:line="301" w:lineRule="exact"/>
              <w:ind w:left="-15" w:firstLine="15"/>
              <w:jc w:val="center"/>
              <w:outlineLvl w:val="0"/>
              <w:rPr>
                <w:rFonts w:ascii="Arial" w:eastAsia="Times New Roman" w:hAnsi="Arial" w:cs="Arial"/>
                <w:b/>
                <w:bCs/>
                <w:color w:val="000000" w:themeColor="text1"/>
                <w:spacing w:val="-1"/>
                <w:sz w:val="20"/>
                <w:szCs w:val="20"/>
              </w:rPr>
            </w:pPr>
            <w:r w:rsidRPr="00274386">
              <w:rPr>
                <w:rFonts w:ascii="Arial" w:eastAsia="Times New Roman" w:hAnsi="Arial" w:cs="Arial"/>
                <w:b/>
                <w:bCs/>
                <w:color w:val="000000" w:themeColor="text1"/>
                <w:spacing w:val="-1"/>
                <w:sz w:val="20"/>
                <w:szCs w:val="20"/>
              </w:rPr>
              <w:t>Bilješka</w:t>
            </w:r>
          </w:p>
        </w:tc>
        <w:tc>
          <w:tcPr>
            <w:tcW w:w="665" w:type="pct"/>
            <w:vAlign w:val="bottom"/>
          </w:tcPr>
          <w:p w14:paraId="65F6C271" w14:textId="5C1CB595" w:rsidR="006826A0" w:rsidRPr="00274386" w:rsidRDefault="006826A0" w:rsidP="006826A0">
            <w:pPr>
              <w:suppressAutoHyphens/>
              <w:autoSpaceDN w:val="0"/>
              <w:spacing w:line="301" w:lineRule="exact"/>
              <w:jc w:val="right"/>
              <w:outlineLvl w:val="0"/>
              <w:rPr>
                <w:rFonts w:ascii="Arial" w:eastAsia="Times New Roman" w:hAnsi="Arial" w:cs="Arial"/>
                <w:b/>
                <w:bCs/>
                <w:color w:val="000000" w:themeColor="text1"/>
                <w:sz w:val="20"/>
                <w:szCs w:val="20"/>
              </w:rPr>
            </w:pPr>
            <w:r w:rsidRPr="001541F1">
              <w:rPr>
                <w:rFonts w:ascii="Arial" w:hAnsi="Arial" w:cs="Arial"/>
                <w:b/>
                <w:bCs/>
                <w:sz w:val="20"/>
                <w:szCs w:val="20"/>
              </w:rPr>
              <w:t>Tekuće razdoblje</w:t>
            </w:r>
          </w:p>
        </w:tc>
        <w:tc>
          <w:tcPr>
            <w:tcW w:w="718" w:type="pct"/>
            <w:vAlign w:val="bottom"/>
          </w:tcPr>
          <w:p w14:paraId="468E61E9" w14:textId="546EE9A6" w:rsidR="006826A0" w:rsidRPr="00274386" w:rsidRDefault="006826A0" w:rsidP="006826A0">
            <w:pPr>
              <w:suppressAutoHyphens/>
              <w:autoSpaceDN w:val="0"/>
              <w:spacing w:line="301" w:lineRule="exact"/>
              <w:jc w:val="right"/>
              <w:outlineLvl w:val="0"/>
              <w:rPr>
                <w:rFonts w:ascii="Arial" w:eastAsia="Times New Roman" w:hAnsi="Arial" w:cs="Arial"/>
                <w:b/>
                <w:bCs/>
                <w:color w:val="000000" w:themeColor="text1"/>
                <w:sz w:val="20"/>
                <w:szCs w:val="20"/>
              </w:rPr>
            </w:pPr>
            <w:r w:rsidRPr="001541F1">
              <w:rPr>
                <w:rFonts w:ascii="Arial" w:hAnsi="Arial" w:cs="Arial"/>
                <w:b/>
                <w:bCs/>
                <w:sz w:val="20"/>
                <w:szCs w:val="20"/>
              </w:rPr>
              <w:t>Kumulativ</w:t>
            </w:r>
          </w:p>
        </w:tc>
        <w:tc>
          <w:tcPr>
            <w:tcW w:w="666" w:type="pct"/>
            <w:vAlign w:val="bottom"/>
          </w:tcPr>
          <w:p w14:paraId="5F4F00F5" w14:textId="3E065AF3" w:rsidR="006826A0" w:rsidRPr="00274386" w:rsidRDefault="006826A0" w:rsidP="006826A0">
            <w:pPr>
              <w:suppressAutoHyphens/>
              <w:autoSpaceDN w:val="0"/>
              <w:spacing w:line="301" w:lineRule="exact"/>
              <w:jc w:val="right"/>
              <w:outlineLvl w:val="0"/>
              <w:rPr>
                <w:rFonts w:ascii="Arial" w:eastAsia="Times New Roman" w:hAnsi="Arial" w:cs="Arial"/>
                <w:b/>
                <w:bCs/>
                <w:color w:val="000000" w:themeColor="text1"/>
                <w:sz w:val="20"/>
                <w:szCs w:val="20"/>
              </w:rPr>
            </w:pPr>
            <w:r w:rsidRPr="001541F1">
              <w:rPr>
                <w:rFonts w:ascii="Arial" w:hAnsi="Arial" w:cs="Arial"/>
                <w:b/>
                <w:bCs/>
                <w:sz w:val="20"/>
                <w:szCs w:val="20"/>
              </w:rPr>
              <w:t>Tekuće razdoblje</w:t>
            </w:r>
          </w:p>
        </w:tc>
        <w:tc>
          <w:tcPr>
            <w:tcW w:w="718" w:type="pct"/>
            <w:vAlign w:val="bottom"/>
          </w:tcPr>
          <w:p w14:paraId="74E4A49F" w14:textId="14DBE75C" w:rsidR="006826A0" w:rsidRPr="00274386" w:rsidRDefault="006826A0" w:rsidP="006826A0">
            <w:pPr>
              <w:suppressAutoHyphens/>
              <w:autoSpaceDN w:val="0"/>
              <w:spacing w:line="301" w:lineRule="exact"/>
              <w:jc w:val="right"/>
              <w:outlineLvl w:val="0"/>
              <w:rPr>
                <w:rFonts w:ascii="Arial" w:eastAsia="Times New Roman" w:hAnsi="Arial" w:cs="Arial"/>
                <w:b/>
                <w:bCs/>
                <w:color w:val="000000" w:themeColor="text1"/>
                <w:sz w:val="20"/>
                <w:szCs w:val="20"/>
              </w:rPr>
            </w:pPr>
            <w:r w:rsidRPr="001541F1">
              <w:rPr>
                <w:rFonts w:ascii="Arial" w:hAnsi="Arial" w:cs="Arial"/>
                <w:b/>
                <w:bCs/>
                <w:sz w:val="20"/>
                <w:szCs w:val="20"/>
              </w:rPr>
              <w:t>Kumulativ</w:t>
            </w:r>
          </w:p>
        </w:tc>
      </w:tr>
      <w:tr w:rsidR="006826A0" w:rsidRPr="00F43653" w14:paraId="4C41D141" w14:textId="77777777" w:rsidTr="007478FB">
        <w:tc>
          <w:tcPr>
            <w:tcW w:w="1689" w:type="pct"/>
            <w:vAlign w:val="bottom"/>
          </w:tcPr>
          <w:p w14:paraId="404DB46A" w14:textId="77777777" w:rsidR="006826A0" w:rsidRPr="00F43653" w:rsidRDefault="006826A0" w:rsidP="006826A0">
            <w:pPr>
              <w:tabs>
                <w:tab w:val="right" w:pos="1202"/>
              </w:tabs>
              <w:suppressAutoHyphens/>
              <w:autoSpaceDN w:val="0"/>
              <w:spacing w:line="301" w:lineRule="exact"/>
              <w:outlineLvl w:val="0"/>
              <w:rPr>
                <w:rFonts w:ascii="Arial" w:eastAsia="Times New Roman" w:hAnsi="Arial" w:cs="Arial"/>
                <w:b/>
                <w:bCs/>
                <w:color w:val="000000" w:themeColor="text1"/>
                <w:sz w:val="20"/>
                <w:szCs w:val="20"/>
              </w:rPr>
            </w:pPr>
          </w:p>
        </w:tc>
        <w:tc>
          <w:tcPr>
            <w:tcW w:w="544" w:type="pct"/>
            <w:vAlign w:val="bottom"/>
          </w:tcPr>
          <w:p w14:paraId="000F2226" w14:textId="77777777" w:rsidR="006826A0" w:rsidRPr="00274386" w:rsidRDefault="006826A0" w:rsidP="006826A0">
            <w:pPr>
              <w:tabs>
                <w:tab w:val="right" w:pos="1202"/>
              </w:tabs>
              <w:suppressAutoHyphens/>
              <w:autoSpaceDN w:val="0"/>
              <w:spacing w:line="301" w:lineRule="exact"/>
              <w:ind w:left="-15" w:firstLine="15"/>
              <w:jc w:val="center"/>
              <w:outlineLvl w:val="0"/>
              <w:rPr>
                <w:rFonts w:ascii="Arial" w:eastAsia="Times New Roman" w:hAnsi="Arial" w:cs="Arial"/>
                <w:b/>
                <w:bCs/>
                <w:color w:val="000000" w:themeColor="text1"/>
                <w:spacing w:val="-1"/>
                <w:sz w:val="20"/>
                <w:szCs w:val="20"/>
              </w:rPr>
            </w:pPr>
          </w:p>
        </w:tc>
        <w:tc>
          <w:tcPr>
            <w:tcW w:w="665" w:type="pct"/>
            <w:vAlign w:val="bottom"/>
          </w:tcPr>
          <w:p w14:paraId="5F9DC4E6" w14:textId="70BB62A4" w:rsidR="006826A0" w:rsidRPr="00274386" w:rsidRDefault="006826A0" w:rsidP="006826A0">
            <w:pPr>
              <w:suppressAutoHyphens/>
              <w:autoSpaceDN w:val="0"/>
              <w:spacing w:line="301" w:lineRule="exact"/>
              <w:jc w:val="right"/>
              <w:outlineLvl w:val="0"/>
              <w:rPr>
                <w:rFonts w:ascii="Arial" w:eastAsia="Times New Roman" w:hAnsi="Arial" w:cs="Arial"/>
                <w:b/>
                <w:bCs/>
                <w:color w:val="000000" w:themeColor="text1"/>
                <w:sz w:val="20"/>
                <w:szCs w:val="20"/>
              </w:rPr>
            </w:pPr>
            <w:r w:rsidRPr="00274386">
              <w:rPr>
                <w:rFonts w:ascii="Arial" w:hAnsi="Arial" w:cs="Arial"/>
                <w:b/>
                <w:bCs/>
                <w:sz w:val="20"/>
                <w:szCs w:val="20"/>
              </w:rPr>
              <w:t>1.</w:t>
            </w:r>
            <w:r w:rsidR="00893BF4" w:rsidRPr="00274386">
              <w:rPr>
                <w:rFonts w:ascii="Arial" w:hAnsi="Arial" w:cs="Arial"/>
                <w:b/>
                <w:bCs/>
                <w:sz w:val="20"/>
                <w:szCs w:val="20"/>
              </w:rPr>
              <w:t>7</w:t>
            </w:r>
            <w:r w:rsidRPr="00274386">
              <w:rPr>
                <w:rFonts w:ascii="Arial" w:hAnsi="Arial" w:cs="Arial"/>
                <w:b/>
                <w:bCs/>
                <w:sz w:val="20"/>
                <w:szCs w:val="20"/>
              </w:rPr>
              <w:t>. - 30.</w:t>
            </w:r>
            <w:r w:rsidR="00893BF4" w:rsidRPr="00274386">
              <w:rPr>
                <w:rFonts w:ascii="Arial" w:hAnsi="Arial" w:cs="Arial"/>
                <w:b/>
                <w:bCs/>
                <w:sz w:val="20"/>
                <w:szCs w:val="20"/>
              </w:rPr>
              <w:t>9</w:t>
            </w:r>
            <w:r w:rsidRPr="00274386">
              <w:rPr>
                <w:rFonts w:ascii="Arial" w:hAnsi="Arial" w:cs="Arial"/>
                <w:b/>
                <w:bCs/>
                <w:sz w:val="20"/>
                <w:szCs w:val="20"/>
              </w:rPr>
              <w:t>.</w:t>
            </w:r>
          </w:p>
        </w:tc>
        <w:tc>
          <w:tcPr>
            <w:tcW w:w="718" w:type="pct"/>
            <w:vAlign w:val="bottom"/>
          </w:tcPr>
          <w:p w14:paraId="42979521" w14:textId="019407AC" w:rsidR="006826A0" w:rsidRPr="00274386" w:rsidRDefault="006826A0" w:rsidP="006826A0">
            <w:pPr>
              <w:suppressAutoHyphens/>
              <w:autoSpaceDN w:val="0"/>
              <w:spacing w:line="301" w:lineRule="exact"/>
              <w:jc w:val="right"/>
              <w:outlineLvl w:val="0"/>
              <w:rPr>
                <w:rFonts w:ascii="Arial" w:eastAsia="Times New Roman" w:hAnsi="Arial" w:cs="Arial"/>
                <w:b/>
                <w:bCs/>
                <w:color w:val="000000" w:themeColor="text1"/>
                <w:sz w:val="20"/>
                <w:szCs w:val="20"/>
              </w:rPr>
            </w:pPr>
            <w:r w:rsidRPr="00274386">
              <w:rPr>
                <w:rFonts w:ascii="Arial" w:hAnsi="Arial" w:cs="Arial"/>
                <w:b/>
                <w:bCs/>
                <w:sz w:val="20"/>
                <w:szCs w:val="20"/>
              </w:rPr>
              <w:t>1.1. - 30.</w:t>
            </w:r>
            <w:r w:rsidR="00893BF4" w:rsidRPr="00274386">
              <w:rPr>
                <w:rFonts w:ascii="Arial" w:hAnsi="Arial" w:cs="Arial"/>
                <w:b/>
                <w:bCs/>
                <w:sz w:val="20"/>
                <w:szCs w:val="20"/>
              </w:rPr>
              <w:t>9</w:t>
            </w:r>
            <w:r w:rsidRPr="00274386">
              <w:rPr>
                <w:rFonts w:ascii="Arial" w:hAnsi="Arial" w:cs="Arial"/>
                <w:b/>
                <w:bCs/>
                <w:sz w:val="20"/>
                <w:szCs w:val="20"/>
              </w:rPr>
              <w:t>.</w:t>
            </w:r>
          </w:p>
        </w:tc>
        <w:tc>
          <w:tcPr>
            <w:tcW w:w="666" w:type="pct"/>
            <w:vAlign w:val="bottom"/>
          </w:tcPr>
          <w:p w14:paraId="4C40F7D7" w14:textId="63677D80" w:rsidR="006826A0" w:rsidRPr="00274386" w:rsidRDefault="006826A0" w:rsidP="006826A0">
            <w:pPr>
              <w:suppressAutoHyphens/>
              <w:autoSpaceDN w:val="0"/>
              <w:spacing w:line="301" w:lineRule="exact"/>
              <w:jc w:val="right"/>
              <w:outlineLvl w:val="0"/>
              <w:rPr>
                <w:rFonts w:ascii="Arial" w:eastAsia="Times New Roman" w:hAnsi="Arial" w:cs="Arial"/>
                <w:b/>
                <w:bCs/>
                <w:color w:val="000000" w:themeColor="text1"/>
                <w:sz w:val="20"/>
                <w:szCs w:val="20"/>
              </w:rPr>
            </w:pPr>
            <w:r w:rsidRPr="00274386">
              <w:rPr>
                <w:rFonts w:ascii="Arial" w:hAnsi="Arial" w:cs="Arial"/>
                <w:b/>
                <w:bCs/>
                <w:sz w:val="20"/>
                <w:szCs w:val="20"/>
              </w:rPr>
              <w:t>1.</w:t>
            </w:r>
            <w:r w:rsidR="00893BF4" w:rsidRPr="00274386">
              <w:rPr>
                <w:rFonts w:ascii="Arial" w:hAnsi="Arial" w:cs="Arial"/>
                <w:b/>
                <w:bCs/>
                <w:sz w:val="20"/>
                <w:szCs w:val="20"/>
              </w:rPr>
              <w:t>7</w:t>
            </w:r>
            <w:r w:rsidRPr="00274386">
              <w:rPr>
                <w:rFonts w:ascii="Arial" w:hAnsi="Arial" w:cs="Arial"/>
                <w:b/>
                <w:bCs/>
                <w:sz w:val="20"/>
                <w:szCs w:val="20"/>
              </w:rPr>
              <w:t>. - 30.</w:t>
            </w:r>
            <w:r w:rsidR="00893BF4" w:rsidRPr="00274386">
              <w:rPr>
                <w:rFonts w:ascii="Arial" w:hAnsi="Arial" w:cs="Arial"/>
                <w:b/>
                <w:bCs/>
                <w:sz w:val="20"/>
                <w:szCs w:val="20"/>
              </w:rPr>
              <w:t>9</w:t>
            </w:r>
            <w:r w:rsidRPr="00274386">
              <w:rPr>
                <w:rFonts w:ascii="Arial" w:hAnsi="Arial" w:cs="Arial"/>
                <w:b/>
                <w:bCs/>
                <w:sz w:val="20"/>
                <w:szCs w:val="20"/>
              </w:rPr>
              <w:t>.</w:t>
            </w:r>
          </w:p>
        </w:tc>
        <w:tc>
          <w:tcPr>
            <w:tcW w:w="718" w:type="pct"/>
            <w:vAlign w:val="bottom"/>
          </w:tcPr>
          <w:p w14:paraId="7370DFAC" w14:textId="2DF7AF9E" w:rsidR="006826A0" w:rsidRPr="00274386" w:rsidRDefault="006826A0" w:rsidP="006826A0">
            <w:pPr>
              <w:suppressAutoHyphens/>
              <w:autoSpaceDN w:val="0"/>
              <w:spacing w:line="301" w:lineRule="exact"/>
              <w:jc w:val="right"/>
              <w:outlineLvl w:val="0"/>
              <w:rPr>
                <w:rFonts w:ascii="Arial" w:eastAsia="Times New Roman" w:hAnsi="Arial" w:cs="Arial"/>
                <w:b/>
                <w:bCs/>
                <w:color w:val="000000" w:themeColor="text1"/>
                <w:sz w:val="20"/>
                <w:szCs w:val="20"/>
              </w:rPr>
            </w:pPr>
            <w:r w:rsidRPr="00274386">
              <w:rPr>
                <w:rFonts w:ascii="Arial" w:hAnsi="Arial" w:cs="Arial"/>
                <w:b/>
                <w:bCs/>
                <w:sz w:val="20"/>
                <w:szCs w:val="20"/>
              </w:rPr>
              <w:t>1.1. - 30.</w:t>
            </w:r>
            <w:r w:rsidR="00893BF4" w:rsidRPr="00274386">
              <w:rPr>
                <w:rFonts w:ascii="Arial" w:hAnsi="Arial" w:cs="Arial"/>
                <w:b/>
                <w:bCs/>
                <w:sz w:val="20"/>
                <w:szCs w:val="20"/>
              </w:rPr>
              <w:t>9</w:t>
            </w:r>
            <w:r w:rsidRPr="00274386">
              <w:rPr>
                <w:rFonts w:ascii="Arial" w:hAnsi="Arial" w:cs="Arial"/>
                <w:b/>
                <w:bCs/>
                <w:sz w:val="20"/>
                <w:szCs w:val="20"/>
              </w:rPr>
              <w:t>.</w:t>
            </w:r>
          </w:p>
        </w:tc>
      </w:tr>
      <w:tr w:rsidR="006826A0" w:rsidRPr="00F43653" w14:paraId="08ABBD28" w14:textId="77777777" w:rsidTr="007478FB">
        <w:tc>
          <w:tcPr>
            <w:tcW w:w="1689" w:type="pct"/>
            <w:vAlign w:val="bottom"/>
          </w:tcPr>
          <w:p w14:paraId="1EACF2A5" w14:textId="77777777" w:rsidR="006826A0" w:rsidRPr="00F43653" w:rsidRDefault="006826A0" w:rsidP="006826A0">
            <w:pPr>
              <w:tabs>
                <w:tab w:val="right" w:pos="1202"/>
              </w:tabs>
              <w:suppressAutoHyphens/>
              <w:autoSpaceDN w:val="0"/>
              <w:spacing w:line="301" w:lineRule="exact"/>
              <w:outlineLvl w:val="0"/>
              <w:rPr>
                <w:rFonts w:ascii="Arial" w:eastAsia="Times New Roman" w:hAnsi="Arial" w:cs="Arial"/>
                <w:b/>
                <w:bCs/>
                <w:color w:val="000000" w:themeColor="text1"/>
                <w:sz w:val="20"/>
                <w:szCs w:val="20"/>
              </w:rPr>
            </w:pPr>
          </w:p>
        </w:tc>
        <w:tc>
          <w:tcPr>
            <w:tcW w:w="544" w:type="pct"/>
            <w:vAlign w:val="bottom"/>
          </w:tcPr>
          <w:p w14:paraId="6BE56AE5" w14:textId="77777777" w:rsidR="006826A0" w:rsidRPr="00F43653" w:rsidRDefault="006826A0" w:rsidP="006826A0">
            <w:pPr>
              <w:tabs>
                <w:tab w:val="right" w:pos="1202"/>
              </w:tabs>
              <w:suppressAutoHyphens/>
              <w:autoSpaceDN w:val="0"/>
              <w:spacing w:line="301" w:lineRule="exact"/>
              <w:jc w:val="center"/>
              <w:outlineLvl w:val="0"/>
              <w:rPr>
                <w:rFonts w:ascii="Arial" w:eastAsia="Times New Roman" w:hAnsi="Arial" w:cs="Arial"/>
                <w:b/>
                <w:bCs/>
                <w:color w:val="000000" w:themeColor="text1"/>
                <w:spacing w:val="-1"/>
                <w:sz w:val="20"/>
                <w:szCs w:val="20"/>
              </w:rPr>
            </w:pPr>
          </w:p>
        </w:tc>
        <w:tc>
          <w:tcPr>
            <w:tcW w:w="665" w:type="pct"/>
            <w:vAlign w:val="bottom"/>
          </w:tcPr>
          <w:p w14:paraId="78623CB8" w14:textId="064FF9B0" w:rsidR="006826A0" w:rsidRPr="00F43653" w:rsidRDefault="006826A0" w:rsidP="006826A0">
            <w:pPr>
              <w:suppressAutoHyphens/>
              <w:autoSpaceDN w:val="0"/>
              <w:spacing w:line="301" w:lineRule="exact"/>
              <w:jc w:val="right"/>
              <w:outlineLvl w:val="0"/>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000 eura</w:t>
            </w:r>
          </w:p>
        </w:tc>
        <w:tc>
          <w:tcPr>
            <w:tcW w:w="718" w:type="pct"/>
            <w:vAlign w:val="bottom"/>
          </w:tcPr>
          <w:p w14:paraId="6BC050E2" w14:textId="452A86D7" w:rsidR="006826A0" w:rsidRPr="00F43653" w:rsidRDefault="006826A0" w:rsidP="006826A0">
            <w:pPr>
              <w:suppressAutoHyphens/>
              <w:autoSpaceDN w:val="0"/>
              <w:spacing w:line="301" w:lineRule="exact"/>
              <w:jc w:val="right"/>
              <w:outlineLvl w:val="0"/>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000 eura</w:t>
            </w:r>
          </w:p>
        </w:tc>
        <w:tc>
          <w:tcPr>
            <w:tcW w:w="666" w:type="pct"/>
            <w:vAlign w:val="bottom"/>
          </w:tcPr>
          <w:p w14:paraId="5B42D3EB" w14:textId="3A9B719C" w:rsidR="006826A0" w:rsidRPr="00F43653" w:rsidRDefault="006826A0" w:rsidP="006826A0">
            <w:pPr>
              <w:suppressAutoHyphens/>
              <w:autoSpaceDN w:val="0"/>
              <w:spacing w:line="301" w:lineRule="exact"/>
              <w:jc w:val="right"/>
              <w:outlineLvl w:val="0"/>
              <w:rPr>
                <w:rFonts w:ascii="Arial" w:eastAsia="Times New Roman" w:hAnsi="Arial" w:cs="Arial"/>
                <w:b/>
                <w:bCs/>
                <w:color w:val="000000" w:themeColor="text1"/>
                <w:sz w:val="20"/>
                <w:szCs w:val="20"/>
              </w:rPr>
            </w:pPr>
            <w:bookmarkStart w:id="126" w:name="_Toc67326969"/>
            <w:r w:rsidRPr="00F43653">
              <w:rPr>
                <w:rFonts w:ascii="Arial" w:eastAsia="Times New Roman" w:hAnsi="Arial" w:cs="Arial"/>
                <w:b/>
                <w:bCs/>
                <w:color w:val="000000" w:themeColor="text1"/>
                <w:sz w:val="20"/>
                <w:szCs w:val="20"/>
              </w:rPr>
              <w:t xml:space="preserve">000 </w:t>
            </w:r>
            <w:bookmarkEnd w:id="126"/>
            <w:r w:rsidRPr="00F43653">
              <w:rPr>
                <w:rFonts w:ascii="Arial" w:eastAsia="Times New Roman" w:hAnsi="Arial" w:cs="Arial"/>
                <w:b/>
                <w:bCs/>
                <w:color w:val="000000" w:themeColor="text1"/>
                <w:sz w:val="20"/>
                <w:szCs w:val="20"/>
              </w:rPr>
              <w:t>eura</w:t>
            </w:r>
          </w:p>
        </w:tc>
        <w:tc>
          <w:tcPr>
            <w:tcW w:w="718" w:type="pct"/>
            <w:vAlign w:val="bottom"/>
          </w:tcPr>
          <w:p w14:paraId="2DC8BA9C" w14:textId="5DA8BAED" w:rsidR="006826A0" w:rsidRPr="00F43653" w:rsidRDefault="006826A0" w:rsidP="006826A0">
            <w:pPr>
              <w:suppressAutoHyphens/>
              <w:autoSpaceDN w:val="0"/>
              <w:spacing w:line="301" w:lineRule="exact"/>
              <w:jc w:val="right"/>
              <w:outlineLvl w:val="0"/>
              <w:rPr>
                <w:rFonts w:ascii="Arial" w:eastAsia="Times New Roman" w:hAnsi="Arial" w:cs="Arial"/>
                <w:b/>
                <w:bCs/>
                <w:color w:val="000000" w:themeColor="text1"/>
                <w:sz w:val="20"/>
                <w:szCs w:val="20"/>
              </w:rPr>
            </w:pPr>
            <w:bookmarkStart w:id="127" w:name="_Toc67326970"/>
            <w:r w:rsidRPr="00F43653">
              <w:rPr>
                <w:rFonts w:ascii="Arial" w:eastAsia="Times New Roman" w:hAnsi="Arial" w:cs="Arial"/>
                <w:b/>
                <w:bCs/>
                <w:color w:val="000000" w:themeColor="text1"/>
                <w:sz w:val="20"/>
                <w:szCs w:val="20"/>
              </w:rPr>
              <w:t xml:space="preserve">000 </w:t>
            </w:r>
            <w:bookmarkEnd w:id="127"/>
            <w:r w:rsidRPr="00F43653">
              <w:rPr>
                <w:rFonts w:ascii="Arial" w:eastAsia="Times New Roman" w:hAnsi="Arial" w:cs="Arial"/>
                <w:b/>
                <w:bCs/>
                <w:color w:val="000000" w:themeColor="text1"/>
                <w:sz w:val="20"/>
                <w:szCs w:val="20"/>
              </w:rPr>
              <w:t>eura</w:t>
            </w:r>
          </w:p>
        </w:tc>
      </w:tr>
      <w:tr w:rsidR="006826A0" w:rsidRPr="00F43653" w14:paraId="58BEEA76" w14:textId="77777777" w:rsidTr="006A5915">
        <w:trPr>
          <w:trHeight w:val="64"/>
        </w:trPr>
        <w:tc>
          <w:tcPr>
            <w:tcW w:w="1689" w:type="pct"/>
            <w:vAlign w:val="bottom"/>
          </w:tcPr>
          <w:p w14:paraId="3F8449C6" w14:textId="77777777" w:rsidR="006826A0" w:rsidRPr="006A5915" w:rsidRDefault="006826A0" w:rsidP="00404AEC">
            <w:pPr>
              <w:tabs>
                <w:tab w:val="right" w:pos="1202"/>
              </w:tabs>
              <w:suppressAutoHyphens/>
              <w:autoSpaceDN w:val="0"/>
              <w:outlineLvl w:val="0"/>
              <w:rPr>
                <w:rFonts w:ascii="Arial" w:eastAsia="Times New Roman" w:hAnsi="Arial" w:cs="Arial"/>
                <w:color w:val="000000" w:themeColor="text1"/>
                <w:sz w:val="8"/>
                <w:szCs w:val="8"/>
              </w:rPr>
            </w:pPr>
          </w:p>
        </w:tc>
        <w:tc>
          <w:tcPr>
            <w:tcW w:w="544" w:type="pct"/>
            <w:vAlign w:val="bottom"/>
          </w:tcPr>
          <w:p w14:paraId="510F0B25" w14:textId="77777777" w:rsidR="006826A0" w:rsidRPr="006A5915" w:rsidRDefault="006826A0" w:rsidP="00404AEC">
            <w:pPr>
              <w:tabs>
                <w:tab w:val="right" w:pos="1202"/>
              </w:tabs>
              <w:suppressAutoHyphens/>
              <w:autoSpaceDN w:val="0"/>
              <w:jc w:val="center"/>
              <w:outlineLvl w:val="0"/>
              <w:rPr>
                <w:rFonts w:ascii="Arial" w:eastAsia="Times New Roman" w:hAnsi="Arial" w:cs="Arial"/>
                <w:b/>
                <w:color w:val="000000" w:themeColor="text1"/>
                <w:spacing w:val="-1"/>
                <w:sz w:val="8"/>
                <w:szCs w:val="8"/>
              </w:rPr>
            </w:pPr>
          </w:p>
        </w:tc>
        <w:tc>
          <w:tcPr>
            <w:tcW w:w="665" w:type="pct"/>
            <w:vAlign w:val="bottom"/>
          </w:tcPr>
          <w:p w14:paraId="32089BC7" w14:textId="77777777" w:rsidR="006826A0" w:rsidRPr="006A5915" w:rsidRDefault="006826A0" w:rsidP="00404AEC">
            <w:pPr>
              <w:suppressAutoHyphens/>
              <w:autoSpaceDN w:val="0"/>
              <w:jc w:val="right"/>
              <w:outlineLvl w:val="0"/>
              <w:rPr>
                <w:rFonts w:ascii="Arial" w:eastAsia="Times New Roman" w:hAnsi="Arial" w:cs="Arial"/>
                <w:b/>
                <w:color w:val="000000" w:themeColor="text1"/>
                <w:sz w:val="8"/>
                <w:szCs w:val="8"/>
              </w:rPr>
            </w:pPr>
          </w:p>
        </w:tc>
        <w:tc>
          <w:tcPr>
            <w:tcW w:w="718" w:type="pct"/>
            <w:vAlign w:val="bottom"/>
          </w:tcPr>
          <w:p w14:paraId="0F4CF42B" w14:textId="77777777" w:rsidR="006826A0" w:rsidRPr="006A5915" w:rsidRDefault="006826A0" w:rsidP="00404AEC">
            <w:pPr>
              <w:suppressAutoHyphens/>
              <w:autoSpaceDN w:val="0"/>
              <w:jc w:val="right"/>
              <w:outlineLvl w:val="0"/>
              <w:rPr>
                <w:rFonts w:ascii="Arial" w:eastAsia="Times New Roman" w:hAnsi="Arial" w:cs="Arial"/>
                <w:b/>
                <w:color w:val="000000" w:themeColor="text1"/>
                <w:sz w:val="8"/>
                <w:szCs w:val="8"/>
              </w:rPr>
            </w:pPr>
          </w:p>
        </w:tc>
        <w:tc>
          <w:tcPr>
            <w:tcW w:w="666" w:type="pct"/>
            <w:vAlign w:val="bottom"/>
          </w:tcPr>
          <w:p w14:paraId="492B5897" w14:textId="4BEBD9A0" w:rsidR="006826A0" w:rsidRPr="006A5915" w:rsidRDefault="006826A0" w:rsidP="00404AEC">
            <w:pPr>
              <w:suppressAutoHyphens/>
              <w:autoSpaceDN w:val="0"/>
              <w:jc w:val="right"/>
              <w:outlineLvl w:val="0"/>
              <w:rPr>
                <w:rFonts w:ascii="Arial" w:eastAsia="Times New Roman" w:hAnsi="Arial" w:cs="Arial"/>
                <w:b/>
                <w:color w:val="000000" w:themeColor="text1"/>
                <w:sz w:val="8"/>
                <w:szCs w:val="8"/>
              </w:rPr>
            </w:pPr>
          </w:p>
        </w:tc>
        <w:tc>
          <w:tcPr>
            <w:tcW w:w="718" w:type="pct"/>
            <w:vAlign w:val="bottom"/>
          </w:tcPr>
          <w:p w14:paraId="1EF28401" w14:textId="77777777" w:rsidR="006826A0" w:rsidRPr="006A5915" w:rsidRDefault="006826A0" w:rsidP="00404AEC">
            <w:pPr>
              <w:suppressAutoHyphens/>
              <w:autoSpaceDN w:val="0"/>
              <w:jc w:val="right"/>
              <w:outlineLvl w:val="0"/>
              <w:rPr>
                <w:rFonts w:ascii="Arial" w:eastAsia="Times New Roman" w:hAnsi="Arial" w:cs="Arial"/>
                <w:b/>
                <w:color w:val="000000" w:themeColor="text1"/>
                <w:sz w:val="8"/>
                <w:szCs w:val="8"/>
              </w:rPr>
            </w:pPr>
          </w:p>
        </w:tc>
      </w:tr>
      <w:tr w:rsidR="00027744" w:rsidRPr="00F43653" w14:paraId="2CE43F4F" w14:textId="77777777" w:rsidTr="00264ADA">
        <w:tc>
          <w:tcPr>
            <w:tcW w:w="1689" w:type="pct"/>
            <w:vAlign w:val="bottom"/>
          </w:tcPr>
          <w:p w14:paraId="2F359160" w14:textId="769C7E35" w:rsidR="00027744" w:rsidRPr="00F43653" w:rsidRDefault="00027744" w:rsidP="00027744">
            <w:pPr>
              <w:tabs>
                <w:tab w:val="right" w:pos="1202"/>
              </w:tabs>
              <w:suppressAutoHyphens/>
              <w:autoSpaceDN w:val="0"/>
              <w:spacing w:line="301" w:lineRule="exact"/>
              <w:outlineLvl w:val="0"/>
              <w:rPr>
                <w:rFonts w:ascii="Arial" w:eastAsia="Times New Roman" w:hAnsi="Arial" w:cs="Arial"/>
                <w:bCs/>
                <w:color w:val="000000" w:themeColor="text1"/>
                <w:sz w:val="20"/>
                <w:szCs w:val="20"/>
              </w:rPr>
            </w:pPr>
            <w:bookmarkStart w:id="128" w:name="_Toc67326971"/>
            <w:r w:rsidRPr="00F43653">
              <w:rPr>
                <w:rFonts w:ascii="Arial" w:eastAsia="Times New Roman" w:hAnsi="Arial" w:cs="Arial"/>
                <w:bCs/>
                <w:color w:val="000000" w:themeColor="text1"/>
                <w:spacing w:val="-2"/>
                <w:sz w:val="20"/>
                <w:szCs w:val="20"/>
              </w:rPr>
              <w:t>Prihodi od kamata izračunati metodom efektivne kamatne stope</w:t>
            </w:r>
            <w:bookmarkEnd w:id="128"/>
          </w:p>
        </w:tc>
        <w:tc>
          <w:tcPr>
            <w:tcW w:w="544" w:type="pct"/>
            <w:vAlign w:val="bottom"/>
          </w:tcPr>
          <w:p w14:paraId="3516E7EB" w14:textId="77777777" w:rsidR="00027744" w:rsidRPr="00CC7FB0" w:rsidRDefault="00027744" w:rsidP="00027744">
            <w:pPr>
              <w:tabs>
                <w:tab w:val="right" w:pos="1202"/>
              </w:tabs>
              <w:suppressAutoHyphens/>
              <w:autoSpaceDN w:val="0"/>
              <w:spacing w:line="301" w:lineRule="exact"/>
              <w:jc w:val="center"/>
              <w:outlineLvl w:val="0"/>
              <w:rPr>
                <w:rFonts w:ascii="Arial" w:eastAsia="Times New Roman" w:hAnsi="Arial" w:cs="Arial"/>
                <w:bCs/>
                <w:color w:val="000000" w:themeColor="text1"/>
                <w:sz w:val="20"/>
                <w:szCs w:val="20"/>
              </w:rPr>
            </w:pPr>
            <w:bookmarkStart w:id="129" w:name="_Toc67326972"/>
            <w:r w:rsidRPr="00CC7FB0">
              <w:rPr>
                <w:rFonts w:ascii="Arial" w:eastAsia="Times New Roman" w:hAnsi="Arial" w:cs="Arial"/>
                <w:bCs/>
                <w:color w:val="000000" w:themeColor="text1"/>
                <w:sz w:val="20"/>
                <w:szCs w:val="20"/>
              </w:rPr>
              <w:t>5</w:t>
            </w:r>
            <w:bookmarkEnd w:id="129"/>
          </w:p>
        </w:tc>
        <w:tc>
          <w:tcPr>
            <w:tcW w:w="665" w:type="pct"/>
            <w:tcBorders>
              <w:top w:val="nil"/>
              <w:left w:val="nil"/>
              <w:bottom w:val="nil"/>
              <w:right w:val="nil"/>
            </w:tcBorders>
            <w:shd w:val="clear" w:color="auto" w:fill="auto"/>
            <w:vAlign w:val="bottom"/>
          </w:tcPr>
          <w:p w14:paraId="27775CBD" w14:textId="4F49734C" w:rsidR="00027744" w:rsidRPr="00B26970" w:rsidRDefault="007E675B" w:rsidP="00027744">
            <w:pPr>
              <w:suppressAutoHyphens/>
              <w:autoSpaceDN w:val="0"/>
              <w:jc w:val="right"/>
              <w:rPr>
                <w:rFonts w:ascii="Arial" w:hAnsi="Arial" w:cs="Arial"/>
                <w:sz w:val="20"/>
                <w:szCs w:val="20"/>
              </w:rPr>
            </w:pPr>
            <w:r w:rsidRPr="00B26970">
              <w:rPr>
                <w:rFonts w:ascii="Arial" w:hAnsi="Arial" w:cs="Arial"/>
                <w:sz w:val="20"/>
                <w:szCs w:val="20"/>
              </w:rPr>
              <w:t>31.885</w:t>
            </w:r>
          </w:p>
        </w:tc>
        <w:tc>
          <w:tcPr>
            <w:tcW w:w="718" w:type="pct"/>
            <w:tcBorders>
              <w:top w:val="nil"/>
              <w:left w:val="nil"/>
              <w:bottom w:val="nil"/>
              <w:right w:val="nil"/>
            </w:tcBorders>
            <w:shd w:val="clear" w:color="auto" w:fill="auto"/>
            <w:vAlign w:val="bottom"/>
          </w:tcPr>
          <w:p w14:paraId="292D9069" w14:textId="41DD63A2" w:rsidR="00027744" w:rsidRPr="00B26970" w:rsidRDefault="00695C10" w:rsidP="00027744">
            <w:pPr>
              <w:suppressAutoHyphens/>
              <w:autoSpaceDN w:val="0"/>
              <w:jc w:val="right"/>
              <w:rPr>
                <w:rFonts w:ascii="Arial" w:hAnsi="Arial" w:cs="Arial"/>
                <w:sz w:val="20"/>
                <w:szCs w:val="20"/>
              </w:rPr>
            </w:pPr>
            <w:r w:rsidRPr="00B26970">
              <w:rPr>
                <w:rFonts w:ascii="Arial" w:hAnsi="Arial" w:cs="Arial"/>
                <w:sz w:val="20"/>
                <w:szCs w:val="20"/>
              </w:rPr>
              <w:t>87.766</w:t>
            </w:r>
          </w:p>
        </w:tc>
        <w:tc>
          <w:tcPr>
            <w:tcW w:w="666" w:type="pct"/>
            <w:tcBorders>
              <w:top w:val="nil"/>
              <w:left w:val="nil"/>
              <w:bottom w:val="nil"/>
              <w:right w:val="nil"/>
            </w:tcBorders>
            <w:shd w:val="clear" w:color="auto" w:fill="auto"/>
            <w:vAlign w:val="bottom"/>
          </w:tcPr>
          <w:p w14:paraId="4ACBE641" w14:textId="28DF26CE" w:rsidR="00027744" w:rsidRPr="00B26970" w:rsidRDefault="00027744" w:rsidP="00027744">
            <w:pPr>
              <w:suppressAutoHyphens/>
              <w:autoSpaceDN w:val="0"/>
              <w:jc w:val="right"/>
              <w:rPr>
                <w:rFonts w:ascii="Arial" w:hAnsi="Arial" w:cs="Arial"/>
                <w:sz w:val="20"/>
                <w:szCs w:val="20"/>
              </w:rPr>
            </w:pPr>
            <w:r w:rsidRPr="00B26970">
              <w:rPr>
                <w:rFonts w:ascii="Arial" w:hAnsi="Arial" w:cs="Arial"/>
                <w:sz w:val="20"/>
                <w:szCs w:val="20"/>
              </w:rPr>
              <w:t xml:space="preserve"> 23.892 </w:t>
            </w:r>
          </w:p>
        </w:tc>
        <w:tc>
          <w:tcPr>
            <w:tcW w:w="718" w:type="pct"/>
            <w:tcBorders>
              <w:top w:val="nil"/>
              <w:left w:val="nil"/>
              <w:bottom w:val="nil"/>
              <w:right w:val="nil"/>
            </w:tcBorders>
            <w:shd w:val="clear" w:color="auto" w:fill="auto"/>
            <w:vAlign w:val="bottom"/>
          </w:tcPr>
          <w:p w14:paraId="0B4D3B2F" w14:textId="262B7D13" w:rsidR="00027744" w:rsidRPr="00B26970" w:rsidRDefault="00027744" w:rsidP="00027744">
            <w:pPr>
              <w:suppressAutoHyphens/>
              <w:autoSpaceDN w:val="0"/>
              <w:jc w:val="right"/>
              <w:rPr>
                <w:rFonts w:ascii="Arial" w:hAnsi="Arial" w:cs="Arial"/>
                <w:sz w:val="20"/>
                <w:szCs w:val="20"/>
              </w:rPr>
            </w:pPr>
            <w:r w:rsidRPr="00B26970">
              <w:rPr>
                <w:rFonts w:ascii="Arial" w:hAnsi="Arial" w:cs="Arial"/>
                <w:sz w:val="20"/>
                <w:szCs w:val="20"/>
              </w:rPr>
              <w:t xml:space="preserve"> 68.104 </w:t>
            </w:r>
          </w:p>
        </w:tc>
      </w:tr>
      <w:tr w:rsidR="0014153E" w:rsidRPr="00F43653" w14:paraId="6963E075" w14:textId="77777777" w:rsidTr="0014153E">
        <w:tc>
          <w:tcPr>
            <w:tcW w:w="1689" w:type="pct"/>
            <w:vAlign w:val="bottom"/>
          </w:tcPr>
          <w:p w14:paraId="3B8E2EB5" w14:textId="75E95508" w:rsidR="0014153E" w:rsidRPr="00F43653" w:rsidRDefault="0014153E" w:rsidP="0014153E">
            <w:pPr>
              <w:tabs>
                <w:tab w:val="right" w:pos="1202"/>
              </w:tabs>
              <w:suppressAutoHyphens/>
              <w:autoSpaceDN w:val="0"/>
              <w:spacing w:line="301" w:lineRule="exact"/>
              <w:outlineLvl w:val="0"/>
              <w:rPr>
                <w:rFonts w:ascii="Arial" w:eastAsia="Times New Roman" w:hAnsi="Arial" w:cs="Arial"/>
                <w:bCs/>
                <w:color w:val="000000" w:themeColor="text1"/>
                <w:spacing w:val="-2"/>
                <w:sz w:val="20"/>
                <w:szCs w:val="20"/>
              </w:rPr>
            </w:pPr>
            <w:r>
              <w:rPr>
                <w:rFonts w:ascii="Arial" w:eastAsia="Times New Roman" w:hAnsi="Arial" w:cs="Arial"/>
                <w:bCs/>
                <w:color w:val="000000" w:themeColor="text1"/>
                <w:spacing w:val="-2"/>
                <w:sz w:val="20"/>
                <w:szCs w:val="20"/>
              </w:rPr>
              <w:t>Prihodi od ukidanja razgraničenja subvencije na teret poslovanja HBOR-a</w:t>
            </w:r>
          </w:p>
        </w:tc>
        <w:tc>
          <w:tcPr>
            <w:tcW w:w="544" w:type="pct"/>
            <w:vAlign w:val="bottom"/>
          </w:tcPr>
          <w:p w14:paraId="58A2A481" w14:textId="77777777" w:rsidR="0014153E" w:rsidRPr="00CC7FB0" w:rsidRDefault="0014153E" w:rsidP="0014153E">
            <w:pPr>
              <w:tabs>
                <w:tab w:val="right" w:pos="1202"/>
              </w:tabs>
              <w:suppressAutoHyphens/>
              <w:autoSpaceDN w:val="0"/>
              <w:spacing w:line="301" w:lineRule="exact"/>
              <w:jc w:val="center"/>
              <w:outlineLvl w:val="0"/>
              <w:rPr>
                <w:rFonts w:ascii="Arial" w:eastAsia="Times New Roman" w:hAnsi="Arial" w:cs="Arial"/>
                <w:bCs/>
                <w:color w:val="000000" w:themeColor="text1"/>
                <w:sz w:val="20"/>
                <w:szCs w:val="20"/>
              </w:rPr>
            </w:pPr>
          </w:p>
        </w:tc>
        <w:tc>
          <w:tcPr>
            <w:tcW w:w="665" w:type="pct"/>
            <w:tcBorders>
              <w:top w:val="nil"/>
              <w:left w:val="nil"/>
              <w:bottom w:val="nil"/>
              <w:right w:val="nil"/>
            </w:tcBorders>
            <w:shd w:val="clear" w:color="auto" w:fill="auto"/>
            <w:vAlign w:val="bottom"/>
          </w:tcPr>
          <w:p w14:paraId="728DBF07" w14:textId="23A2AC03" w:rsidR="0014153E" w:rsidRPr="00B26970" w:rsidRDefault="0014153E" w:rsidP="0014153E">
            <w:pPr>
              <w:suppressAutoHyphens/>
              <w:autoSpaceDN w:val="0"/>
              <w:jc w:val="right"/>
              <w:rPr>
                <w:rFonts w:ascii="Arial" w:hAnsi="Arial" w:cs="Arial"/>
                <w:sz w:val="20"/>
                <w:szCs w:val="20"/>
              </w:rPr>
            </w:pPr>
            <w:r w:rsidRPr="00B26970">
              <w:rPr>
                <w:rFonts w:ascii="Arial" w:hAnsi="Arial" w:cs="Arial"/>
                <w:sz w:val="20"/>
                <w:szCs w:val="20"/>
              </w:rPr>
              <w:t xml:space="preserve"> 135 </w:t>
            </w:r>
          </w:p>
        </w:tc>
        <w:tc>
          <w:tcPr>
            <w:tcW w:w="718" w:type="pct"/>
            <w:tcBorders>
              <w:top w:val="nil"/>
              <w:left w:val="nil"/>
              <w:bottom w:val="nil"/>
              <w:right w:val="nil"/>
            </w:tcBorders>
            <w:shd w:val="clear" w:color="auto" w:fill="auto"/>
            <w:vAlign w:val="bottom"/>
          </w:tcPr>
          <w:p w14:paraId="42E66B66" w14:textId="32ADC6AF" w:rsidR="0014153E" w:rsidRPr="00B26970" w:rsidRDefault="0014153E" w:rsidP="0014153E">
            <w:pPr>
              <w:suppressAutoHyphens/>
              <w:autoSpaceDN w:val="0"/>
              <w:jc w:val="right"/>
              <w:rPr>
                <w:rFonts w:ascii="Arial" w:hAnsi="Arial" w:cs="Arial"/>
                <w:sz w:val="20"/>
                <w:szCs w:val="20"/>
              </w:rPr>
            </w:pPr>
            <w:r w:rsidRPr="00B26970">
              <w:rPr>
                <w:rFonts w:ascii="Arial" w:hAnsi="Arial" w:cs="Arial"/>
                <w:sz w:val="20"/>
                <w:szCs w:val="20"/>
              </w:rPr>
              <w:t xml:space="preserve"> 434 </w:t>
            </w:r>
          </w:p>
        </w:tc>
        <w:tc>
          <w:tcPr>
            <w:tcW w:w="666" w:type="pct"/>
            <w:tcBorders>
              <w:top w:val="nil"/>
              <w:left w:val="nil"/>
              <w:bottom w:val="nil"/>
              <w:right w:val="nil"/>
            </w:tcBorders>
            <w:shd w:val="clear" w:color="auto" w:fill="auto"/>
            <w:vAlign w:val="bottom"/>
          </w:tcPr>
          <w:p w14:paraId="1CB30BA3" w14:textId="2C15217A" w:rsidR="0014153E" w:rsidRPr="00B26970" w:rsidRDefault="00B26970" w:rsidP="0014153E">
            <w:pPr>
              <w:suppressAutoHyphens/>
              <w:autoSpaceDN w:val="0"/>
              <w:jc w:val="right"/>
              <w:rPr>
                <w:rFonts w:ascii="Arial" w:hAnsi="Arial" w:cs="Arial"/>
                <w:sz w:val="20"/>
                <w:szCs w:val="20"/>
              </w:rPr>
            </w:pPr>
            <w:r w:rsidRPr="00B26970">
              <w:rPr>
                <w:rFonts w:ascii="Arial" w:hAnsi="Arial" w:cs="Arial"/>
                <w:sz w:val="20"/>
                <w:szCs w:val="20"/>
              </w:rPr>
              <w:t>-</w:t>
            </w:r>
          </w:p>
        </w:tc>
        <w:tc>
          <w:tcPr>
            <w:tcW w:w="718" w:type="pct"/>
            <w:tcBorders>
              <w:top w:val="nil"/>
              <w:left w:val="nil"/>
              <w:bottom w:val="nil"/>
              <w:right w:val="nil"/>
            </w:tcBorders>
            <w:shd w:val="clear" w:color="auto" w:fill="auto"/>
            <w:vAlign w:val="bottom"/>
          </w:tcPr>
          <w:p w14:paraId="1BD22F0E" w14:textId="41B214E5" w:rsidR="0014153E" w:rsidRPr="00B26970" w:rsidRDefault="00B26970" w:rsidP="0014153E">
            <w:pPr>
              <w:suppressAutoHyphens/>
              <w:autoSpaceDN w:val="0"/>
              <w:jc w:val="right"/>
              <w:rPr>
                <w:rFonts w:ascii="Arial" w:hAnsi="Arial" w:cs="Arial"/>
                <w:sz w:val="20"/>
                <w:szCs w:val="20"/>
              </w:rPr>
            </w:pPr>
            <w:r w:rsidRPr="00B26970">
              <w:rPr>
                <w:rFonts w:ascii="Arial" w:hAnsi="Arial" w:cs="Arial"/>
                <w:sz w:val="20"/>
                <w:szCs w:val="20"/>
              </w:rPr>
              <w:t>-</w:t>
            </w:r>
          </w:p>
        </w:tc>
      </w:tr>
      <w:tr w:rsidR="0014153E" w:rsidRPr="00F43653" w14:paraId="478F9D5E" w14:textId="77777777" w:rsidTr="00A03D17">
        <w:tc>
          <w:tcPr>
            <w:tcW w:w="1689" w:type="pct"/>
            <w:vAlign w:val="bottom"/>
          </w:tcPr>
          <w:p w14:paraId="4B5D8D3E" w14:textId="399B37C9" w:rsidR="0014153E" w:rsidRPr="00F43653" w:rsidRDefault="0014153E" w:rsidP="0014153E">
            <w:pPr>
              <w:tabs>
                <w:tab w:val="right" w:pos="1202"/>
              </w:tabs>
              <w:suppressAutoHyphens/>
              <w:autoSpaceDN w:val="0"/>
              <w:spacing w:line="301" w:lineRule="exact"/>
              <w:outlineLvl w:val="0"/>
              <w:rPr>
                <w:rFonts w:ascii="Arial" w:eastAsia="Times New Roman" w:hAnsi="Arial" w:cs="Arial"/>
                <w:bCs/>
                <w:color w:val="000000" w:themeColor="text1"/>
                <w:spacing w:val="-2"/>
                <w:sz w:val="20"/>
                <w:szCs w:val="20"/>
              </w:rPr>
            </w:pPr>
            <w:bookmarkStart w:id="130" w:name="_Toc67326975"/>
            <w:r w:rsidRPr="00F43653">
              <w:rPr>
                <w:rFonts w:ascii="Arial" w:eastAsia="Times New Roman" w:hAnsi="Arial" w:cs="Arial"/>
                <w:bCs/>
                <w:color w:val="000000" w:themeColor="text1"/>
                <w:spacing w:val="-2"/>
                <w:sz w:val="20"/>
                <w:szCs w:val="20"/>
              </w:rPr>
              <w:t>Rashodi od kamata</w:t>
            </w:r>
            <w:bookmarkEnd w:id="130"/>
          </w:p>
        </w:tc>
        <w:tc>
          <w:tcPr>
            <w:tcW w:w="544" w:type="pct"/>
            <w:vAlign w:val="bottom"/>
          </w:tcPr>
          <w:p w14:paraId="5F0071AB" w14:textId="77777777" w:rsidR="0014153E" w:rsidRPr="00CC7FB0" w:rsidRDefault="0014153E" w:rsidP="0014153E">
            <w:pPr>
              <w:tabs>
                <w:tab w:val="right" w:pos="1202"/>
              </w:tabs>
              <w:suppressAutoHyphens/>
              <w:autoSpaceDN w:val="0"/>
              <w:spacing w:line="301" w:lineRule="exact"/>
              <w:jc w:val="center"/>
              <w:outlineLvl w:val="0"/>
              <w:rPr>
                <w:rFonts w:ascii="Arial" w:eastAsia="Times New Roman" w:hAnsi="Arial" w:cs="Arial"/>
                <w:bCs/>
                <w:color w:val="000000" w:themeColor="text1"/>
                <w:spacing w:val="-2"/>
                <w:sz w:val="20"/>
                <w:szCs w:val="20"/>
              </w:rPr>
            </w:pPr>
            <w:bookmarkStart w:id="131" w:name="_Toc67326976"/>
            <w:r w:rsidRPr="00CC7FB0">
              <w:rPr>
                <w:rFonts w:ascii="Arial" w:eastAsia="Times New Roman" w:hAnsi="Arial" w:cs="Arial"/>
                <w:bCs/>
                <w:color w:val="000000" w:themeColor="text1"/>
                <w:spacing w:val="-2"/>
                <w:sz w:val="20"/>
                <w:szCs w:val="20"/>
              </w:rPr>
              <w:t>6</w:t>
            </w:r>
            <w:bookmarkEnd w:id="131"/>
          </w:p>
        </w:tc>
        <w:tc>
          <w:tcPr>
            <w:tcW w:w="665" w:type="pct"/>
            <w:tcBorders>
              <w:top w:val="nil"/>
              <w:left w:val="nil"/>
              <w:bottom w:val="nil"/>
              <w:right w:val="nil"/>
            </w:tcBorders>
            <w:shd w:val="clear" w:color="auto" w:fill="auto"/>
            <w:vAlign w:val="bottom"/>
          </w:tcPr>
          <w:p w14:paraId="16031D2F" w14:textId="11387C2B" w:rsidR="0014153E" w:rsidRPr="00B26970" w:rsidRDefault="0014153E" w:rsidP="0014153E">
            <w:pPr>
              <w:suppressAutoHyphens/>
              <w:autoSpaceDN w:val="0"/>
              <w:jc w:val="right"/>
              <w:rPr>
                <w:rFonts w:ascii="Arial" w:hAnsi="Arial" w:cs="Arial"/>
                <w:sz w:val="20"/>
                <w:szCs w:val="20"/>
              </w:rPr>
            </w:pPr>
            <w:r w:rsidRPr="00B26970">
              <w:rPr>
                <w:rFonts w:ascii="Arial" w:hAnsi="Arial" w:cs="Arial"/>
                <w:sz w:val="20"/>
                <w:szCs w:val="20"/>
              </w:rPr>
              <w:t xml:space="preserve"> (12.628)</w:t>
            </w:r>
          </w:p>
        </w:tc>
        <w:tc>
          <w:tcPr>
            <w:tcW w:w="718" w:type="pct"/>
            <w:tcBorders>
              <w:top w:val="nil"/>
              <w:left w:val="nil"/>
              <w:bottom w:val="nil"/>
              <w:right w:val="nil"/>
            </w:tcBorders>
            <w:shd w:val="clear" w:color="auto" w:fill="auto"/>
            <w:vAlign w:val="bottom"/>
          </w:tcPr>
          <w:p w14:paraId="10836034" w14:textId="3F0039CA" w:rsidR="0014153E" w:rsidRPr="00B26970" w:rsidRDefault="0014153E" w:rsidP="0014153E">
            <w:pPr>
              <w:suppressAutoHyphens/>
              <w:autoSpaceDN w:val="0"/>
              <w:jc w:val="right"/>
              <w:rPr>
                <w:rFonts w:ascii="Arial" w:hAnsi="Arial" w:cs="Arial"/>
                <w:sz w:val="20"/>
                <w:szCs w:val="20"/>
              </w:rPr>
            </w:pPr>
            <w:r w:rsidRPr="00B26970">
              <w:rPr>
                <w:rFonts w:ascii="Arial" w:hAnsi="Arial" w:cs="Arial"/>
                <w:sz w:val="20"/>
                <w:szCs w:val="20"/>
              </w:rPr>
              <w:t xml:space="preserve"> (34.685)</w:t>
            </w:r>
          </w:p>
        </w:tc>
        <w:tc>
          <w:tcPr>
            <w:tcW w:w="666" w:type="pct"/>
            <w:tcBorders>
              <w:top w:val="nil"/>
              <w:left w:val="nil"/>
              <w:bottom w:val="nil"/>
              <w:right w:val="nil"/>
            </w:tcBorders>
            <w:shd w:val="clear" w:color="auto" w:fill="auto"/>
            <w:vAlign w:val="bottom"/>
          </w:tcPr>
          <w:p w14:paraId="2F158769" w14:textId="1935EB07" w:rsidR="0014153E" w:rsidRPr="00B26970" w:rsidRDefault="0014153E" w:rsidP="0014153E">
            <w:pPr>
              <w:suppressAutoHyphens/>
              <w:autoSpaceDN w:val="0"/>
              <w:jc w:val="right"/>
              <w:rPr>
                <w:rFonts w:ascii="Arial" w:hAnsi="Arial" w:cs="Arial"/>
                <w:sz w:val="20"/>
                <w:szCs w:val="20"/>
              </w:rPr>
            </w:pPr>
            <w:r w:rsidRPr="00B26970">
              <w:rPr>
                <w:rFonts w:ascii="Arial" w:hAnsi="Arial" w:cs="Arial"/>
                <w:sz w:val="20"/>
                <w:szCs w:val="20"/>
              </w:rPr>
              <w:t xml:space="preserve"> (7.255)</w:t>
            </w:r>
          </w:p>
        </w:tc>
        <w:tc>
          <w:tcPr>
            <w:tcW w:w="718" w:type="pct"/>
            <w:tcBorders>
              <w:top w:val="nil"/>
              <w:left w:val="nil"/>
              <w:bottom w:val="nil"/>
              <w:right w:val="nil"/>
            </w:tcBorders>
            <w:shd w:val="clear" w:color="auto" w:fill="auto"/>
            <w:vAlign w:val="bottom"/>
          </w:tcPr>
          <w:p w14:paraId="67F89C43" w14:textId="6A943B23" w:rsidR="0014153E" w:rsidRPr="00B26970" w:rsidRDefault="0014153E" w:rsidP="0014153E">
            <w:pPr>
              <w:suppressAutoHyphens/>
              <w:autoSpaceDN w:val="0"/>
              <w:jc w:val="right"/>
              <w:rPr>
                <w:rFonts w:ascii="Arial" w:hAnsi="Arial" w:cs="Arial"/>
                <w:sz w:val="20"/>
                <w:szCs w:val="20"/>
              </w:rPr>
            </w:pPr>
            <w:r w:rsidRPr="00B26970">
              <w:rPr>
                <w:rFonts w:ascii="Arial" w:hAnsi="Arial" w:cs="Arial"/>
                <w:sz w:val="20"/>
                <w:szCs w:val="20"/>
              </w:rPr>
              <w:t xml:space="preserve"> (19.604)</w:t>
            </w:r>
          </w:p>
        </w:tc>
      </w:tr>
      <w:tr w:rsidR="00E153E3" w:rsidRPr="00F43653" w14:paraId="6CFEA103" w14:textId="77777777" w:rsidTr="008B49E9">
        <w:tc>
          <w:tcPr>
            <w:tcW w:w="1689" w:type="pct"/>
            <w:vAlign w:val="bottom"/>
          </w:tcPr>
          <w:p w14:paraId="6B94EF9E" w14:textId="5A63717F" w:rsidR="00E153E3" w:rsidRPr="00F43653" w:rsidRDefault="00E153E3" w:rsidP="00E153E3">
            <w:pPr>
              <w:tabs>
                <w:tab w:val="right" w:pos="1202"/>
              </w:tabs>
              <w:suppressAutoHyphens/>
              <w:autoSpaceDN w:val="0"/>
              <w:spacing w:line="340" w:lineRule="exact"/>
              <w:outlineLvl w:val="0"/>
              <w:rPr>
                <w:rFonts w:ascii="Arial" w:eastAsia="Times New Roman" w:hAnsi="Arial" w:cs="Arial"/>
                <w:b/>
                <w:bCs/>
                <w:color w:val="000000" w:themeColor="text1"/>
                <w:sz w:val="20"/>
                <w:szCs w:val="20"/>
                <w:vertAlign w:val="superscript"/>
              </w:rPr>
            </w:pPr>
            <w:bookmarkStart w:id="132" w:name="_Toc67326979"/>
            <w:r w:rsidRPr="00F43653">
              <w:rPr>
                <w:rFonts w:ascii="Arial" w:eastAsia="Times New Roman" w:hAnsi="Arial" w:cs="Arial"/>
                <w:b/>
                <w:bCs/>
                <w:color w:val="000000" w:themeColor="text1"/>
                <w:sz w:val="20"/>
                <w:szCs w:val="20"/>
              </w:rPr>
              <w:t>Neto prihod od kamata</w:t>
            </w:r>
            <w:bookmarkEnd w:id="132"/>
          </w:p>
        </w:tc>
        <w:tc>
          <w:tcPr>
            <w:tcW w:w="544" w:type="pct"/>
            <w:vAlign w:val="bottom"/>
          </w:tcPr>
          <w:p w14:paraId="4BB983BF" w14:textId="77777777" w:rsidR="00E153E3" w:rsidRPr="00CC7FB0" w:rsidRDefault="00E153E3" w:rsidP="00E153E3">
            <w:pPr>
              <w:tabs>
                <w:tab w:val="right" w:pos="1202"/>
              </w:tabs>
              <w:suppressAutoHyphens/>
              <w:autoSpaceDN w:val="0"/>
              <w:spacing w:line="340" w:lineRule="exact"/>
              <w:jc w:val="center"/>
              <w:outlineLvl w:val="0"/>
              <w:rPr>
                <w:rFonts w:ascii="Arial" w:eastAsia="Times New Roman" w:hAnsi="Arial" w:cs="Arial"/>
                <w:bCs/>
                <w:color w:val="000000" w:themeColor="text1"/>
                <w:sz w:val="20"/>
                <w:szCs w:val="20"/>
              </w:rPr>
            </w:pPr>
          </w:p>
        </w:tc>
        <w:tc>
          <w:tcPr>
            <w:tcW w:w="665" w:type="pct"/>
            <w:tcBorders>
              <w:top w:val="single" w:sz="4" w:space="0" w:color="auto"/>
              <w:bottom w:val="single" w:sz="12" w:space="0" w:color="auto"/>
            </w:tcBorders>
          </w:tcPr>
          <w:p w14:paraId="146BE99D" w14:textId="56C308BD" w:rsidR="00E153E3" w:rsidRPr="00B26970" w:rsidRDefault="00E153E3" w:rsidP="00E153E3">
            <w:pPr>
              <w:tabs>
                <w:tab w:val="right" w:pos="1202"/>
              </w:tabs>
              <w:suppressAutoHyphens/>
              <w:autoSpaceDN w:val="0"/>
              <w:spacing w:line="340" w:lineRule="exact"/>
              <w:jc w:val="right"/>
              <w:outlineLvl w:val="0"/>
              <w:rPr>
                <w:rFonts w:ascii="Arial" w:hAnsi="Arial" w:cs="Arial"/>
                <w:b/>
                <w:bCs/>
                <w:sz w:val="20"/>
                <w:szCs w:val="20"/>
              </w:rPr>
            </w:pPr>
            <w:r w:rsidRPr="00B26970">
              <w:rPr>
                <w:rFonts w:ascii="Arial" w:hAnsi="Arial" w:cs="Arial"/>
                <w:b/>
                <w:bCs/>
                <w:sz w:val="20"/>
                <w:szCs w:val="20"/>
              </w:rPr>
              <w:t xml:space="preserve"> 19.392 </w:t>
            </w:r>
          </w:p>
        </w:tc>
        <w:tc>
          <w:tcPr>
            <w:tcW w:w="718" w:type="pct"/>
            <w:tcBorders>
              <w:top w:val="single" w:sz="4" w:space="0" w:color="auto"/>
              <w:bottom w:val="single" w:sz="12" w:space="0" w:color="auto"/>
            </w:tcBorders>
          </w:tcPr>
          <w:p w14:paraId="0AEDDC11" w14:textId="133313FA" w:rsidR="00E153E3" w:rsidRPr="00B26970" w:rsidRDefault="00E153E3" w:rsidP="00E153E3">
            <w:pPr>
              <w:tabs>
                <w:tab w:val="right" w:pos="1202"/>
              </w:tabs>
              <w:suppressAutoHyphens/>
              <w:autoSpaceDN w:val="0"/>
              <w:spacing w:line="340" w:lineRule="exact"/>
              <w:jc w:val="right"/>
              <w:outlineLvl w:val="0"/>
              <w:rPr>
                <w:rFonts w:ascii="Arial" w:hAnsi="Arial" w:cs="Arial"/>
                <w:b/>
                <w:bCs/>
                <w:sz w:val="20"/>
                <w:szCs w:val="20"/>
              </w:rPr>
            </w:pPr>
            <w:r w:rsidRPr="00B26970">
              <w:rPr>
                <w:rFonts w:ascii="Arial" w:hAnsi="Arial" w:cs="Arial"/>
                <w:b/>
                <w:bCs/>
                <w:sz w:val="20"/>
                <w:szCs w:val="20"/>
              </w:rPr>
              <w:t xml:space="preserve"> 53.515 </w:t>
            </w:r>
          </w:p>
        </w:tc>
        <w:tc>
          <w:tcPr>
            <w:tcW w:w="666" w:type="pct"/>
            <w:tcBorders>
              <w:top w:val="single" w:sz="4" w:space="0" w:color="auto"/>
              <w:bottom w:val="single" w:sz="12" w:space="0" w:color="auto"/>
            </w:tcBorders>
            <w:vAlign w:val="bottom"/>
          </w:tcPr>
          <w:p w14:paraId="27002043" w14:textId="48942671" w:rsidR="00E153E3" w:rsidRPr="00B26970" w:rsidRDefault="00E153E3" w:rsidP="00E153E3">
            <w:pPr>
              <w:tabs>
                <w:tab w:val="right" w:pos="1202"/>
              </w:tabs>
              <w:suppressAutoHyphens/>
              <w:autoSpaceDN w:val="0"/>
              <w:spacing w:line="340" w:lineRule="exact"/>
              <w:jc w:val="right"/>
              <w:outlineLvl w:val="0"/>
              <w:rPr>
                <w:rFonts w:ascii="Arial" w:hAnsi="Arial" w:cs="Arial"/>
                <w:b/>
                <w:bCs/>
                <w:sz w:val="20"/>
                <w:szCs w:val="20"/>
              </w:rPr>
            </w:pPr>
            <w:r w:rsidRPr="00B26970">
              <w:rPr>
                <w:rFonts w:ascii="Arial" w:hAnsi="Arial" w:cs="Arial"/>
                <w:b/>
                <w:bCs/>
                <w:sz w:val="20"/>
                <w:szCs w:val="20"/>
              </w:rPr>
              <w:t xml:space="preserve"> 16.637 </w:t>
            </w:r>
          </w:p>
        </w:tc>
        <w:tc>
          <w:tcPr>
            <w:tcW w:w="718" w:type="pct"/>
            <w:tcBorders>
              <w:top w:val="single" w:sz="4" w:space="0" w:color="auto"/>
              <w:bottom w:val="single" w:sz="12" w:space="0" w:color="auto"/>
            </w:tcBorders>
            <w:vAlign w:val="bottom"/>
          </w:tcPr>
          <w:p w14:paraId="4AE27711" w14:textId="14FF924D" w:rsidR="00E153E3" w:rsidRPr="00B26970" w:rsidRDefault="00E153E3" w:rsidP="00E153E3">
            <w:pPr>
              <w:tabs>
                <w:tab w:val="right" w:pos="1202"/>
              </w:tabs>
              <w:suppressAutoHyphens/>
              <w:autoSpaceDN w:val="0"/>
              <w:spacing w:line="340" w:lineRule="exact"/>
              <w:jc w:val="right"/>
              <w:outlineLvl w:val="0"/>
              <w:rPr>
                <w:rFonts w:ascii="Arial" w:hAnsi="Arial" w:cs="Arial"/>
                <w:b/>
                <w:bCs/>
                <w:sz w:val="20"/>
                <w:szCs w:val="20"/>
              </w:rPr>
            </w:pPr>
            <w:r w:rsidRPr="00B26970">
              <w:rPr>
                <w:rFonts w:ascii="Arial" w:hAnsi="Arial" w:cs="Arial"/>
                <w:b/>
                <w:bCs/>
                <w:sz w:val="20"/>
                <w:szCs w:val="20"/>
              </w:rPr>
              <w:t xml:space="preserve"> 48.500 </w:t>
            </w:r>
          </w:p>
        </w:tc>
      </w:tr>
      <w:tr w:rsidR="0014153E" w:rsidRPr="00F43653" w14:paraId="2CED0001" w14:textId="77777777" w:rsidTr="00264ADA">
        <w:tc>
          <w:tcPr>
            <w:tcW w:w="1689" w:type="pct"/>
            <w:vAlign w:val="bottom"/>
          </w:tcPr>
          <w:p w14:paraId="7F73E81F" w14:textId="77777777" w:rsidR="0014153E" w:rsidRPr="00F43653" w:rsidRDefault="0014153E" w:rsidP="0014153E">
            <w:pPr>
              <w:tabs>
                <w:tab w:val="right" w:pos="1202"/>
              </w:tabs>
              <w:suppressAutoHyphens/>
              <w:autoSpaceDN w:val="0"/>
              <w:spacing w:line="301" w:lineRule="exact"/>
              <w:outlineLvl w:val="0"/>
              <w:rPr>
                <w:rFonts w:ascii="Arial" w:eastAsia="Times New Roman" w:hAnsi="Arial" w:cs="Arial"/>
                <w:bCs/>
                <w:color w:val="000000" w:themeColor="text1"/>
                <w:spacing w:val="-2"/>
                <w:sz w:val="20"/>
                <w:szCs w:val="20"/>
              </w:rPr>
            </w:pPr>
          </w:p>
        </w:tc>
        <w:tc>
          <w:tcPr>
            <w:tcW w:w="544" w:type="pct"/>
            <w:vAlign w:val="bottom"/>
          </w:tcPr>
          <w:p w14:paraId="1C9CED2B" w14:textId="77777777" w:rsidR="0014153E" w:rsidRPr="00CC7FB0" w:rsidRDefault="0014153E" w:rsidP="0014153E">
            <w:pPr>
              <w:tabs>
                <w:tab w:val="right" w:pos="1202"/>
              </w:tabs>
              <w:suppressAutoHyphens/>
              <w:autoSpaceDN w:val="0"/>
              <w:spacing w:line="301" w:lineRule="exact"/>
              <w:jc w:val="center"/>
              <w:outlineLvl w:val="0"/>
              <w:rPr>
                <w:rFonts w:ascii="Arial" w:eastAsia="Times New Roman" w:hAnsi="Arial" w:cs="Arial"/>
                <w:bCs/>
                <w:color w:val="000000" w:themeColor="text1"/>
                <w:sz w:val="20"/>
                <w:szCs w:val="20"/>
              </w:rPr>
            </w:pPr>
          </w:p>
        </w:tc>
        <w:tc>
          <w:tcPr>
            <w:tcW w:w="665" w:type="pct"/>
            <w:tcBorders>
              <w:top w:val="single" w:sz="12" w:space="0" w:color="auto"/>
            </w:tcBorders>
            <w:vAlign w:val="bottom"/>
          </w:tcPr>
          <w:p w14:paraId="09B2BAC3" w14:textId="77777777" w:rsidR="0014153E" w:rsidRPr="00B26970" w:rsidRDefault="0014153E" w:rsidP="0014153E">
            <w:pPr>
              <w:suppressAutoHyphens/>
              <w:autoSpaceDN w:val="0"/>
              <w:spacing w:line="301" w:lineRule="exact"/>
              <w:jc w:val="right"/>
              <w:outlineLvl w:val="0"/>
              <w:rPr>
                <w:rFonts w:ascii="Arial" w:eastAsia="Times New Roman" w:hAnsi="Arial" w:cs="Arial"/>
                <w:bCs/>
                <w:color w:val="000000" w:themeColor="text1"/>
                <w:spacing w:val="-2"/>
                <w:sz w:val="20"/>
                <w:szCs w:val="20"/>
              </w:rPr>
            </w:pPr>
          </w:p>
        </w:tc>
        <w:tc>
          <w:tcPr>
            <w:tcW w:w="718" w:type="pct"/>
            <w:tcBorders>
              <w:top w:val="single" w:sz="12" w:space="0" w:color="auto"/>
            </w:tcBorders>
            <w:vAlign w:val="bottom"/>
          </w:tcPr>
          <w:p w14:paraId="28B387D5" w14:textId="77777777" w:rsidR="0014153E" w:rsidRPr="00B26970" w:rsidRDefault="0014153E" w:rsidP="0014153E">
            <w:pPr>
              <w:suppressAutoHyphens/>
              <w:autoSpaceDN w:val="0"/>
              <w:spacing w:line="301" w:lineRule="exact"/>
              <w:jc w:val="right"/>
              <w:outlineLvl w:val="0"/>
              <w:rPr>
                <w:rFonts w:ascii="Arial" w:eastAsia="Times New Roman" w:hAnsi="Arial" w:cs="Arial"/>
                <w:bCs/>
                <w:color w:val="000000" w:themeColor="text1"/>
                <w:spacing w:val="-2"/>
                <w:sz w:val="20"/>
                <w:szCs w:val="20"/>
              </w:rPr>
            </w:pPr>
          </w:p>
        </w:tc>
        <w:tc>
          <w:tcPr>
            <w:tcW w:w="666" w:type="pct"/>
            <w:tcBorders>
              <w:top w:val="single" w:sz="12" w:space="0" w:color="auto"/>
            </w:tcBorders>
            <w:vAlign w:val="bottom"/>
          </w:tcPr>
          <w:p w14:paraId="4B43407F" w14:textId="62203C35" w:rsidR="0014153E" w:rsidRPr="00B26970" w:rsidRDefault="0014153E" w:rsidP="0014153E">
            <w:pPr>
              <w:suppressAutoHyphens/>
              <w:autoSpaceDN w:val="0"/>
              <w:spacing w:line="301" w:lineRule="exact"/>
              <w:jc w:val="right"/>
              <w:outlineLvl w:val="0"/>
              <w:rPr>
                <w:rFonts w:ascii="Arial" w:eastAsia="Times New Roman" w:hAnsi="Arial" w:cs="Arial"/>
                <w:bCs/>
                <w:color w:val="000000" w:themeColor="text1"/>
                <w:spacing w:val="-2"/>
                <w:sz w:val="20"/>
                <w:szCs w:val="20"/>
              </w:rPr>
            </w:pPr>
          </w:p>
        </w:tc>
        <w:tc>
          <w:tcPr>
            <w:tcW w:w="718" w:type="pct"/>
            <w:tcBorders>
              <w:top w:val="single" w:sz="12" w:space="0" w:color="auto"/>
            </w:tcBorders>
            <w:vAlign w:val="bottom"/>
          </w:tcPr>
          <w:p w14:paraId="6E0E129D" w14:textId="77777777" w:rsidR="0014153E" w:rsidRPr="00B26970" w:rsidRDefault="0014153E" w:rsidP="0014153E">
            <w:pPr>
              <w:suppressAutoHyphens/>
              <w:autoSpaceDN w:val="0"/>
              <w:spacing w:line="301" w:lineRule="exact"/>
              <w:jc w:val="right"/>
              <w:outlineLvl w:val="0"/>
              <w:rPr>
                <w:rFonts w:ascii="Arial" w:eastAsia="Times New Roman" w:hAnsi="Arial" w:cs="Arial"/>
                <w:bCs/>
                <w:color w:val="000000" w:themeColor="text1"/>
                <w:spacing w:val="-2"/>
                <w:sz w:val="20"/>
                <w:szCs w:val="20"/>
              </w:rPr>
            </w:pPr>
          </w:p>
        </w:tc>
      </w:tr>
      <w:tr w:rsidR="009F4862" w:rsidRPr="00F43653" w14:paraId="3CB47184" w14:textId="77777777" w:rsidTr="009C2F01">
        <w:tc>
          <w:tcPr>
            <w:tcW w:w="1689" w:type="pct"/>
            <w:vAlign w:val="bottom"/>
          </w:tcPr>
          <w:p w14:paraId="1B2600A8" w14:textId="4D67209A" w:rsidR="009F4862" w:rsidRPr="00F43653" w:rsidRDefault="009F4862" w:rsidP="009F4862">
            <w:pPr>
              <w:tabs>
                <w:tab w:val="right" w:pos="1202"/>
              </w:tabs>
              <w:suppressAutoHyphens/>
              <w:autoSpaceDN w:val="0"/>
              <w:spacing w:line="301" w:lineRule="exact"/>
              <w:outlineLvl w:val="0"/>
              <w:rPr>
                <w:rFonts w:ascii="Arial" w:eastAsia="Times New Roman" w:hAnsi="Arial" w:cs="Arial"/>
                <w:bCs/>
                <w:color w:val="000000" w:themeColor="text1"/>
                <w:sz w:val="20"/>
                <w:szCs w:val="20"/>
              </w:rPr>
            </w:pPr>
            <w:bookmarkStart w:id="133" w:name="_Toc67326982"/>
            <w:r w:rsidRPr="00F43653">
              <w:rPr>
                <w:rFonts w:ascii="Arial" w:eastAsia="Times New Roman" w:hAnsi="Arial" w:cs="Arial"/>
                <w:bCs/>
                <w:color w:val="000000" w:themeColor="text1"/>
                <w:spacing w:val="-2"/>
                <w:sz w:val="20"/>
                <w:szCs w:val="20"/>
              </w:rPr>
              <w:t>Prihodi od naknada i provizija</w:t>
            </w:r>
            <w:bookmarkEnd w:id="133"/>
          </w:p>
        </w:tc>
        <w:tc>
          <w:tcPr>
            <w:tcW w:w="544" w:type="pct"/>
            <w:vAlign w:val="bottom"/>
          </w:tcPr>
          <w:p w14:paraId="1BF3DBCA" w14:textId="35B89C16" w:rsidR="009F4862" w:rsidRPr="00CC7FB0" w:rsidRDefault="009F4862" w:rsidP="009F4862">
            <w:pPr>
              <w:tabs>
                <w:tab w:val="right" w:pos="1202"/>
              </w:tabs>
              <w:suppressAutoHyphens/>
              <w:autoSpaceDN w:val="0"/>
              <w:spacing w:line="301" w:lineRule="exact"/>
              <w:jc w:val="center"/>
              <w:outlineLvl w:val="0"/>
              <w:rPr>
                <w:rFonts w:ascii="Arial" w:eastAsia="Times New Roman" w:hAnsi="Arial" w:cs="Arial"/>
                <w:bCs/>
                <w:color w:val="000000" w:themeColor="text1"/>
                <w:sz w:val="20"/>
                <w:szCs w:val="20"/>
              </w:rPr>
            </w:pPr>
          </w:p>
        </w:tc>
        <w:tc>
          <w:tcPr>
            <w:tcW w:w="665" w:type="pct"/>
            <w:tcBorders>
              <w:top w:val="nil"/>
              <w:left w:val="nil"/>
              <w:bottom w:val="nil"/>
              <w:right w:val="nil"/>
            </w:tcBorders>
            <w:shd w:val="clear" w:color="auto" w:fill="auto"/>
            <w:vAlign w:val="bottom"/>
          </w:tcPr>
          <w:p w14:paraId="57620F96" w14:textId="6EAAEA46" w:rsidR="009F4862" w:rsidRPr="00B26970" w:rsidRDefault="009F4862" w:rsidP="009F4862">
            <w:pPr>
              <w:suppressAutoHyphens/>
              <w:autoSpaceDN w:val="0"/>
              <w:jc w:val="right"/>
              <w:rPr>
                <w:rFonts w:ascii="Arial" w:hAnsi="Arial" w:cs="Arial"/>
                <w:sz w:val="20"/>
                <w:szCs w:val="20"/>
              </w:rPr>
            </w:pPr>
            <w:r w:rsidRPr="00B26970">
              <w:rPr>
                <w:rFonts w:ascii="Arial" w:hAnsi="Arial" w:cs="Arial"/>
                <w:sz w:val="20"/>
                <w:szCs w:val="20"/>
              </w:rPr>
              <w:t xml:space="preserve"> 502 </w:t>
            </w:r>
          </w:p>
        </w:tc>
        <w:tc>
          <w:tcPr>
            <w:tcW w:w="718" w:type="pct"/>
            <w:tcBorders>
              <w:top w:val="nil"/>
              <w:left w:val="nil"/>
              <w:bottom w:val="nil"/>
              <w:right w:val="nil"/>
            </w:tcBorders>
            <w:shd w:val="clear" w:color="auto" w:fill="auto"/>
            <w:vAlign w:val="bottom"/>
          </w:tcPr>
          <w:p w14:paraId="67FCC4EE" w14:textId="2DEA60C3" w:rsidR="009F4862" w:rsidRPr="00B26970" w:rsidRDefault="009F4862" w:rsidP="009F4862">
            <w:pPr>
              <w:suppressAutoHyphens/>
              <w:autoSpaceDN w:val="0"/>
              <w:jc w:val="right"/>
              <w:rPr>
                <w:rFonts w:ascii="Arial" w:hAnsi="Arial" w:cs="Arial"/>
                <w:sz w:val="20"/>
                <w:szCs w:val="20"/>
              </w:rPr>
            </w:pPr>
            <w:r w:rsidRPr="00B26970">
              <w:rPr>
                <w:rFonts w:ascii="Arial" w:hAnsi="Arial" w:cs="Arial"/>
                <w:sz w:val="20"/>
                <w:szCs w:val="20"/>
              </w:rPr>
              <w:t>1.581</w:t>
            </w:r>
          </w:p>
        </w:tc>
        <w:tc>
          <w:tcPr>
            <w:tcW w:w="666" w:type="pct"/>
            <w:tcBorders>
              <w:top w:val="nil"/>
              <w:left w:val="nil"/>
              <w:bottom w:val="nil"/>
              <w:right w:val="nil"/>
            </w:tcBorders>
            <w:shd w:val="clear" w:color="auto" w:fill="auto"/>
            <w:vAlign w:val="bottom"/>
          </w:tcPr>
          <w:p w14:paraId="7543950B" w14:textId="420CDB34" w:rsidR="009F4862" w:rsidRPr="00B26970" w:rsidRDefault="009F4862" w:rsidP="009F4862">
            <w:pPr>
              <w:suppressAutoHyphens/>
              <w:autoSpaceDN w:val="0"/>
              <w:jc w:val="right"/>
              <w:rPr>
                <w:rFonts w:ascii="Arial" w:hAnsi="Arial" w:cs="Arial"/>
                <w:sz w:val="20"/>
                <w:szCs w:val="20"/>
              </w:rPr>
            </w:pPr>
            <w:r w:rsidRPr="00B26970">
              <w:rPr>
                <w:rFonts w:ascii="Arial" w:hAnsi="Arial" w:cs="Arial"/>
                <w:sz w:val="20"/>
                <w:szCs w:val="20"/>
              </w:rPr>
              <w:t xml:space="preserve"> 939 </w:t>
            </w:r>
          </w:p>
        </w:tc>
        <w:tc>
          <w:tcPr>
            <w:tcW w:w="718" w:type="pct"/>
            <w:tcBorders>
              <w:top w:val="nil"/>
              <w:left w:val="nil"/>
              <w:bottom w:val="nil"/>
              <w:right w:val="nil"/>
            </w:tcBorders>
            <w:shd w:val="clear" w:color="auto" w:fill="auto"/>
            <w:vAlign w:val="bottom"/>
          </w:tcPr>
          <w:p w14:paraId="3CB9BDD5" w14:textId="4090C110" w:rsidR="009F4862" w:rsidRPr="00B26970" w:rsidRDefault="009F4862" w:rsidP="009F4862">
            <w:pPr>
              <w:suppressAutoHyphens/>
              <w:autoSpaceDN w:val="0"/>
              <w:jc w:val="right"/>
              <w:rPr>
                <w:rFonts w:ascii="Arial" w:hAnsi="Arial" w:cs="Arial"/>
                <w:sz w:val="20"/>
                <w:szCs w:val="20"/>
              </w:rPr>
            </w:pPr>
            <w:r w:rsidRPr="00B26970">
              <w:rPr>
                <w:rFonts w:ascii="Arial" w:hAnsi="Arial" w:cs="Arial"/>
                <w:sz w:val="20"/>
                <w:szCs w:val="20"/>
              </w:rPr>
              <w:t>3.540</w:t>
            </w:r>
          </w:p>
        </w:tc>
      </w:tr>
      <w:tr w:rsidR="009F4862" w:rsidRPr="00F43653" w14:paraId="1343E87F" w14:textId="77777777" w:rsidTr="009C2F01">
        <w:trPr>
          <w:trHeight w:val="333"/>
        </w:trPr>
        <w:tc>
          <w:tcPr>
            <w:tcW w:w="1689" w:type="pct"/>
            <w:vAlign w:val="bottom"/>
          </w:tcPr>
          <w:p w14:paraId="7173A653" w14:textId="79655724" w:rsidR="009F4862" w:rsidRPr="00F43653" w:rsidRDefault="009F4862" w:rsidP="009F4862">
            <w:pPr>
              <w:tabs>
                <w:tab w:val="right" w:pos="1202"/>
              </w:tabs>
              <w:suppressAutoHyphens/>
              <w:autoSpaceDN w:val="0"/>
              <w:spacing w:line="301" w:lineRule="exact"/>
              <w:outlineLvl w:val="0"/>
              <w:rPr>
                <w:rFonts w:ascii="Arial" w:eastAsia="Times New Roman" w:hAnsi="Arial" w:cs="Arial"/>
                <w:bCs/>
                <w:color w:val="000000" w:themeColor="text1"/>
                <w:spacing w:val="-2"/>
                <w:sz w:val="20"/>
                <w:szCs w:val="20"/>
              </w:rPr>
            </w:pPr>
            <w:bookmarkStart w:id="134" w:name="_Toc67326984"/>
            <w:r w:rsidRPr="00F43653">
              <w:rPr>
                <w:rFonts w:ascii="Arial" w:eastAsia="Times New Roman" w:hAnsi="Arial" w:cs="Arial"/>
                <w:bCs/>
                <w:color w:val="000000" w:themeColor="text1"/>
                <w:spacing w:val="-2"/>
                <w:sz w:val="20"/>
                <w:szCs w:val="20"/>
              </w:rPr>
              <w:t>Rashodi od naknada i provizija</w:t>
            </w:r>
            <w:bookmarkEnd w:id="134"/>
          </w:p>
        </w:tc>
        <w:tc>
          <w:tcPr>
            <w:tcW w:w="544" w:type="pct"/>
            <w:vAlign w:val="bottom"/>
          </w:tcPr>
          <w:p w14:paraId="7CC0A207" w14:textId="545DEC59" w:rsidR="009F4862" w:rsidRPr="00CC7FB0" w:rsidRDefault="009F4862" w:rsidP="009F4862">
            <w:pPr>
              <w:tabs>
                <w:tab w:val="right" w:pos="1202"/>
              </w:tabs>
              <w:suppressAutoHyphens/>
              <w:autoSpaceDN w:val="0"/>
              <w:spacing w:line="301" w:lineRule="exact"/>
              <w:jc w:val="center"/>
              <w:outlineLvl w:val="0"/>
              <w:rPr>
                <w:rFonts w:ascii="Arial" w:eastAsia="Times New Roman" w:hAnsi="Arial" w:cs="Arial"/>
                <w:bCs/>
                <w:color w:val="000000" w:themeColor="text1"/>
                <w:spacing w:val="-2"/>
                <w:sz w:val="20"/>
                <w:szCs w:val="20"/>
              </w:rPr>
            </w:pPr>
          </w:p>
        </w:tc>
        <w:tc>
          <w:tcPr>
            <w:tcW w:w="665" w:type="pct"/>
            <w:tcBorders>
              <w:top w:val="nil"/>
              <w:left w:val="nil"/>
              <w:bottom w:val="nil"/>
              <w:right w:val="nil"/>
            </w:tcBorders>
            <w:shd w:val="clear" w:color="auto" w:fill="auto"/>
            <w:vAlign w:val="bottom"/>
          </w:tcPr>
          <w:p w14:paraId="3314931D" w14:textId="138EF0E2" w:rsidR="009F4862" w:rsidRPr="00B26970" w:rsidRDefault="009F4862" w:rsidP="009F4862">
            <w:pPr>
              <w:suppressAutoHyphens/>
              <w:autoSpaceDN w:val="0"/>
              <w:jc w:val="right"/>
              <w:rPr>
                <w:rFonts w:ascii="Arial" w:hAnsi="Arial" w:cs="Arial"/>
                <w:sz w:val="20"/>
                <w:szCs w:val="20"/>
              </w:rPr>
            </w:pPr>
            <w:r w:rsidRPr="00B26970">
              <w:rPr>
                <w:rFonts w:ascii="Arial" w:hAnsi="Arial" w:cs="Arial"/>
                <w:sz w:val="20"/>
                <w:szCs w:val="20"/>
              </w:rPr>
              <w:t xml:space="preserve"> (456)</w:t>
            </w:r>
          </w:p>
        </w:tc>
        <w:tc>
          <w:tcPr>
            <w:tcW w:w="718" w:type="pct"/>
            <w:tcBorders>
              <w:top w:val="nil"/>
              <w:left w:val="nil"/>
              <w:bottom w:val="nil"/>
              <w:right w:val="nil"/>
            </w:tcBorders>
            <w:shd w:val="clear" w:color="auto" w:fill="auto"/>
            <w:vAlign w:val="bottom"/>
          </w:tcPr>
          <w:p w14:paraId="375C81C6" w14:textId="6DBBD1FC" w:rsidR="009F4862" w:rsidRPr="00B26970" w:rsidRDefault="009F4862" w:rsidP="009F4862">
            <w:pPr>
              <w:suppressAutoHyphens/>
              <w:autoSpaceDN w:val="0"/>
              <w:jc w:val="right"/>
              <w:rPr>
                <w:rFonts w:ascii="Arial" w:hAnsi="Arial" w:cs="Arial"/>
                <w:sz w:val="20"/>
                <w:szCs w:val="20"/>
              </w:rPr>
            </w:pPr>
            <w:r w:rsidRPr="00B26970">
              <w:rPr>
                <w:rFonts w:ascii="Arial" w:hAnsi="Arial" w:cs="Arial"/>
                <w:sz w:val="20"/>
                <w:szCs w:val="20"/>
              </w:rPr>
              <w:t xml:space="preserve"> (794)</w:t>
            </w:r>
          </w:p>
        </w:tc>
        <w:tc>
          <w:tcPr>
            <w:tcW w:w="666" w:type="pct"/>
            <w:tcBorders>
              <w:top w:val="nil"/>
              <w:left w:val="nil"/>
              <w:bottom w:val="nil"/>
              <w:right w:val="nil"/>
            </w:tcBorders>
            <w:shd w:val="clear" w:color="auto" w:fill="auto"/>
            <w:vAlign w:val="bottom"/>
          </w:tcPr>
          <w:p w14:paraId="0514EBB2" w14:textId="42597967" w:rsidR="009F4862" w:rsidRPr="00B26970" w:rsidRDefault="009F4862" w:rsidP="009F4862">
            <w:pPr>
              <w:suppressAutoHyphens/>
              <w:autoSpaceDN w:val="0"/>
              <w:jc w:val="right"/>
              <w:rPr>
                <w:rFonts w:ascii="Arial" w:hAnsi="Arial" w:cs="Arial"/>
                <w:sz w:val="20"/>
                <w:szCs w:val="20"/>
              </w:rPr>
            </w:pPr>
            <w:r w:rsidRPr="00B26970">
              <w:rPr>
                <w:rFonts w:ascii="Arial" w:hAnsi="Arial" w:cs="Arial"/>
                <w:sz w:val="20"/>
                <w:szCs w:val="20"/>
              </w:rPr>
              <w:t xml:space="preserve"> (253)</w:t>
            </w:r>
          </w:p>
        </w:tc>
        <w:tc>
          <w:tcPr>
            <w:tcW w:w="718" w:type="pct"/>
            <w:tcBorders>
              <w:top w:val="nil"/>
              <w:left w:val="nil"/>
              <w:bottom w:val="nil"/>
              <w:right w:val="nil"/>
            </w:tcBorders>
            <w:shd w:val="clear" w:color="auto" w:fill="auto"/>
            <w:vAlign w:val="bottom"/>
          </w:tcPr>
          <w:p w14:paraId="0EA2B69A" w14:textId="15973257" w:rsidR="009F4862" w:rsidRPr="00B26970" w:rsidRDefault="009F4862" w:rsidP="009F4862">
            <w:pPr>
              <w:suppressAutoHyphens/>
              <w:autoSpaceDN w:val="0"/>
              <w:jc w:val="right"/>
              <w:rPr>
                <w:rFonts w:ascii="Arial" w:hAnsi="Arial" w:cs="Arial"/>
                <w:sz w:val="20"/>
                <w:szCs w:val="20"/>
              </w:rPr>
            </w:pPr>
            <w:r w:rsidRPr="00B26970">
              <w:rPr>
                <w:rFonts w:ascii="Arial" w:hAnsi="Arial" w:cs="Arial"/>
                <w:sz w:val="20"/>
                <w:szCs w:val="20"/>
              </w:rPr>
              <w:t xml:space="preserve"> (643)</w:t>
            </w:r>
          </w:p>
        </w:tc>
      </w:tr>
      <w:tr w:rsidR="009F4862" w:rsidRPr="00F43653" w14:paraId="037B6128" w14:textId="77777777" w:rsidTr="009F4862">
        <w:tc>
          <w:tcPr>
            <w:tcW w:w="1689" w:type="pct"/>
            <w:vAlign w:val="bottom"/>
          </w:tcPr>
          <w:p w14:paraId="2F3B0C9B" w14:textId="2D398872" w:rsidR="009F4862" w:rsidRPr="00F43653" w:rsidRDefault="009F4862" w:rsidP="009F4862">
            <w:pPr>
              <w:tabs>
                <w:tab w:val="right" w:pos="1202"/>
              </w:tabs>
              <w:suppressAutoHyphens/>
              <w:autoSpaceDN w:val="0"/>
              <w:spacing w:line="340" w:lineRule="exact"/>
              <w:outlineLvl w:val="0"/>
              <w:rPr>
                <w:rFonts w:ascii="Arial" w:eastAsia="Times New Roman" w:hAnsi="Arial" w:cs="Arial"/>
                <w:b/>
                <w:bCs/>
                <w:color w:val="000000" w:themeColor="text1"/>
                <w:sz w:val="20"/>
                <w:szCs w:val="20"/>
                <w:vertAlign w:val="superscript"/>
              </w:rPr>
            </w:pPr>
            <w:bookmarkStart w:id="135" w:name="_Toc67326986"/>
            <w:r w:rsidRPr="00F43653">
              <w:rPr>
                <w:rFonts w:ascii="Arial" w:eastAsia="Times New Roman" w:hAnsi="Arial" w:cs="Arial"/>
                <w:b/>
                <w:bCs/>
                <w:color w:val="000000" w:themeColor="text1"/>
                <w:sz w:val="20"/>
                <w:szCs w:val="20"/>
              </w:rPr>
              <w:t>Neto prihod od naknada i provizija</w:t>
            </w:r>
            <w:bookmarkEnd w:id="135"/>
          </w:p>
        </w:tc>
        <w:tc>
          <w:tcPr>
            <w:tcW w:w="544" w:type="pct"/>
            <w:vAlign w:val="bottom"/>
          </w:tcPr>
          <w:p w14:paraId="075F6031" w14:textId="77777777" w:rsidR="009F4862" w:rsidRPr="00CC7FB0" w:rsidRDefault="009F4862" w:rsidP="009F4862">
            <w:pPr>
              <w:tabs>
                <w:tab w:val="right" w:pos="1202"/>
              </w:tabs>
              <w:suppressAutoHyphens/>
              <w:autoSpaceDN w:val="0"/>
              <w:spacing w:line="340" w:lineRule="exact"/>
              <w:jc w:val="center"/>
              <w:outlineLvl w:val="0"/>
              <w:rPr>
                <w:rFonts w:ascii="Arial" w:eastAsia="Times New Roman" w:hAnsi="Arial" w:cs="Arial"/>
                <w:bCs/>
                <w:color w:val="000000" w:themeColor="text1"/>
                <w:sz w:val="20"/>
                <w:szCs w:val="20"/>
              </w:rPr>
            </w:pPr>
          </w:p>
        </w:tc>
        <w:tc>
          <w:tcPr>
            <w:tcW w:w="665" w:type="pct"/>
            <w:tcBorders>
              <w:top w:val="single" w:sz="4" w:space="0" w:color="auto"/>
              <w:bottom w:val="single" w:sz="12" w:space="0" w:color="auto"/>
            </w:tcBorders>
            <w:vAlign w:val="bottom"/>
          </w:tcPr>
          <w:p w14:paraId="48C08DB1" w14:textId="7C51F6BF" w:rsidR="009F4862" w:rsidRPr="00B26970" w:rsidRDefault="009F4862" w:rsidP="009F4862">
            <w:pPr>
              <w:tabs>
                <w:tab w:val="right" w:pos="1202"/>
              </w:tabs>
              <w:suppressAutoHyphens/>
              <w:autoSpaceDN w:val="0"/>
              <w:spacing w:line="340" w:lineRule="exact"/>
              <w:jc w:val="right"/>
              <w:outlineLvl w:val="0"/>
              <w:rPr>
                <w:rFonts w:ascii="Arial" w:hAnsi="Arial" w:cs="Arial"/>
                <w:b/>
                <w:bCs/>
                <w:sz w:val="20"/>
                <w:szCs w:val="20"/>
              </w:rPr>
            </w:pPr>
            <w:r w:rsidRPr="00B26970">
              <w:rPr>
                <w:rFonts w:ascii="Arial" w:hAnsi="Arial" w:cs="Arial"/>
                <w:b/>
                <w:bCs/>
                <w:sz w:val="20"/>
                <w:szCs w:val="20"/>
              </w:rPr>
              <w:t xml:space="preserve"> 46 </w:t>
            </w:r>
          </w:p>
        </w:tc>
        <w:tc>
          <w:tcPr>
            <w:tcW w:w="718" w:type="pct"/>
            <w:tcBorders>
              <w:top w:val="single" w:sz="4" w:space="0" w:color="auto"/>
              <w:bottom w:val="single" w:sz="12" w:space="0" w:color="auto"/>
            </w:tcBorders>
            <w:vAlign w:val="bottom"/>
          </w:tcPr>
          <w:p w14:paraId="1E088AC2" w14:textId="6F73FB30" w:rsidR="009F4862" w:rsidRPr="00B26970" w:rsidRDefault="009F4862" w:rsidP="009F4862">
            <w:pPr>
              <w:tabs>
                <w:tab w:val="right" w:pos="1202"/>
              </w:tabs>
              <w:suppressAutoHyphens/>
              <w:autoSpaceDN w:val="0"/>
              <w:spacing w:line="340" w:lineRule="exact"/>
              <w:jc w:val="right"/>
              <w:outlineLvl w:val="0"/>
              <w:rPr>
                <w:rFonts w:ascii="Arial" w:hAnsi="Arial" w:cs="Arial"/>
                <w:b/>
                <w:bCs/>
                <w:sz w:val="20"/>
                <w:szCs w:val="20"/>
              </w:rPr>
            </w:pPr>
            <w:r w:rsidRPr="00B26970">
              <w:rPr>
                <w:rFonts w:ascii="Arial" w:hAnsi="Arial" w:cs="Arial"/>
                <w:b/>
                <w:bCs/>
                <w:sz w:val="20"/>
                <w:szCs w:val="20"/>
              </w:rPr>
              <w:t xml:space="preserve"> 787 </w:t>
            </w:r>
          </w:p>
        </w:tc>
        <w:tc>
          <w:tcPr>
            <w:tcW w:w="666" w:type="pct"/>
            <w:tcBorders>
              <w:top w:val="single" w:sz="4" w:space="0" w:color="auto"/>
              <w:bottom w:val="single" w:sz="12" w:space="0" w:color="auto"/>
            </w:tcBorders>
            <w:vAlign w:val="bottom"/>
          </w:tcPr>
          <w:p w14:paraId="70F9EF05" w14:textId="2893513B" w:rsidR="009F4862" w:rsidRPr="00B26970" w:rsidRDefault="009F4862" w:rsidP="009F4862">
            <w:pPr>
              <w:tabs>
                <w:tab w:val="right" w:pos="1202"/>
              </w:tabs>
              <w:suppressAutoHyphens/>
              <w:autoSpaceDN w:val="0"/>
              <w:spacing w:line="340" w:lineRule="exact"/>
              <w:jc w:val="right"/>
              <w:outlineLvl w:val="0"/>
              <w:rPr>
                <w:rFonts w:ascii="Arial" w:hAnsi="Arial" w:cs="Arial"/>
                <w:b/>
                <w:bCs/>
                <w:sz w:val="20"/>
                <w:szCs w:val="20"/>
              </w:rPr>
            </w:pPr>
            <w:r w:rsidRPr="00B26970">
              <w:rPr>
                <w:rFonts w:ascii="Arial" w:hAnsi="Arial" w:cs="Arial"/>
                <w:b/>
                <w:bCs/>
                <w:sz w:val="20"/>
                <w:szCs w:val="20"/>
              </w:rPr>
              <w:t xml:space="preserve"> 686 </w:t>
            </w:r>
          </w:p>
        </w:tc>
        <w:tc>
          <w:tcPr>
            <w:tcW w:w="718" w:type="pct"/>
            <w:tcBorders>
              <w:top w:val="single" w:sz="4" w:space="0" w:color="auto"/>
              <w:bottom w:val="single" w:sz="12" w:space="0" w:color="auto"/>
            </w:tcBorders>
            <w:vAlign w:val="bottom"/>
          </w:tcPr>
          <w:p w14:paraId="3F538E00" w14:textId="369C81C7" w:rsidR="009F4862" w:rsidRPr="00B26970" w:rsidRDefault="009F4862" w:rsidP="009F4862">
            <w:pPr>
              <w:tabs>
                <w:tab w:val="right" w:pos="1202"/>
              </w:tabs>
              <w:suppressAutoHyphens/>
              <w:autoSpaceDN w:val="0"/>
              <w:spacing w:line="340" w:lineRule="exact"/>
              <w:jc w:val="right"/>
              <w:outlineLvl w:val="0"/>
              <w:rPr>
                <w:rFonts w:ascii="Arial" w:hAnsi="Arial" w:cs="Arial"/>
                <w:b/>
                <w:bCs/>
                <w:sz w:val="20"/>
                <w:szCs w:val="20"/>
              </w:rPr>
            </w:pPr>
            <w:r w:rsidRPr="00B26970">
              <w:rPr>
                <w:rFonts w:ascii="Arial" w:hAnsi="Arial" w:cs="Arial"/>
                <w:b/>
                <w:bCs/>
                <w:sz w:val="20"/>
                <w:szCs w:val="20"/>
              </w:rPr>
              <w:t xml:space="preserve"> 2.897 </w:t>
            </w:r>
          </w:p>
        </w:tc>
      </w:tr>
      <w:tr w:rsidR="0014153E" w:rsidRPr="00F43653" w14:paraId="699B2962" w14:textId="77777777" w:rsidTr="00264ADA">
        <w:tc>
          <w:tcPr>
            <w:tcW w:w="1689" w:type="pct"/>
            <w:vAlign w:val="bottom"/>
          </w:tcPr>
          <w:p w14:paraId="2F4AF620" w14:textId="77777777" w:rsidR="0014153E" w:rsidRPr="00F43653" w:rsidRDefault="0014153E" w:rsidP="0014153E">
            <w:pPr>
              <w:tabs>
                <w:tab w:val="right" w:pos="1202"/>
              </w:tabs>
              <w:suppressAutoHyphens/>
              <w:autoSpaceDN w:val="0"/>
              <w:spacing w:line="301" w:lineRule="exact"/>
              <w:outlineLvl w:val="0"/>
              <w:rPr>
                <w:rFonts w:ascii="Arial" w:eastAsia="Times New Roman" w:hAnsi="Arial" w:cs="Arial"/>
                <w:color w:val="000000" w:themeColor="text1"/>
                <w:sz w:val="20"/>
                <w:szCs w:val="20"/>
              </w:rPr>
            </w:pPr>
          </w:p>
        </w:tc>
        <w:tc>
          <w:tcPr>
            <w:tcW w:w="544" w:type="pct"/>
            <w:vAlign w:val="bottom"/>
          </w:tcPr>
          <w:p w14:paraId="69D1051C" w14:textId="77777777" w:rsidR="0014153E" w:rsidRPr="00CC7FB0" w:rsidRDefault="0014153E" w:rsidP="0014153E">
            <w:pPr>
              <w:tabs>
                <w:tab w:val="right" w:pos="1202"/>
              </w:tabs>
              <w:suppressAutoHyphens/>
              <w:autoSpaceDN w:val="0"/>
              <w:spacing w:line="301" w:lineRule="exact"/>
              <w:jc w:val="center"/>
              <w:outlineLvl w:val="0"/>
              <w:rPr>
                <w:rFonts w:ascii="Arial" w:eastAsia="Times New Roman" w:hAnsi="Arial" w:cs="Arial"/>
                <w:bCs/>
                <w:color w:val="000000" w:themeColor="text1"/>
                <w:sz w:val="20"/>
                <w:szCs w:val="20"/>
              </w:rPr>
            </w:pPr>
          </w:p>
        </w:tc>
        <w:tc>
          <w:tcPr>
            <w:tcW w:w="665" w:type="pct"/>
            <w:tcBorders>
              <w:top w:val="single" w:sz="12" w:space="0" w:color="auto"/>
            </w:tcBorders>
            <w:vAlign w:val="bottom"/>
          </w:tcPr>
          <w:p w14:paraId="04B0F323" w14:textId="77777777" w:rsidR="0014153E" w:rsidRPr="00B26970" w:rsidRDefault="0014153E" w:rsidP="0014153E">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p>
        </w:tc>
        <w:tc>
          <w:tcPr>
            <w:tcW w:w="718" w:type="pct"/>
            <w:tcBorders>
              <w:top w:val="single" w:sz="12" w:space="0" w:color="auto"/>
            </w:tcBorders>
            <w:vAlign w:val="bottom"/>
          </w:tcPr>
          <w:p w14:paraId="136C3260" w14:textId="77777777" w:rsidR="0014153E" w:rsidRPr="00B26970" w:rsidRDefault="0014153E" w:rsidP="0014153E">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p>
        </w:tc>
        <w:tc>
          <w:tcPr>
            <w:tcW w:w="666" w:type="pct"/>
            <w:tcBorders>
              <w:top w:val="single" w:sz="12" w:space="0" w:color="auto"/>
            </w:tcBorders>
            <w:vAlign w:val="bottom"/>
          </w:tcPr>
          <w:p w14:paraId="12BDFB0F" w14:textId="48BFE495" w:rsidR="0014153E" w:rsidRPr="00B26970" w:rsidRDefault="0014153E" w:rsidP="0014153E">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p>
        </w:tc>
        <w:tc>
          <w:tcPr>
            <w:tcW w:w="718" w:type="pct"/>
            <w:tcBorders>
              <w:top w:val="single" w:sz="12" w:space="0" w:color="auto"/>
            </w:tcBorders>
            <w:vAlign w:val="bottom"/>
          </w:tcPr>
          <w:p w14:paraId="1D5539E8" w14:textId="77777777" w:rsidR="0014153E" w:rsidRPr="00B26970" w:rsidRDefault="0014153E" w:rsidP="0014153E">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p>
        </w:tc>
      </w:tr>
      <w:tr w:rsidR="002100E3" w:rsidRPr="00F43653" w14:paraId="0C7E55F8" w14:textId="77777777" w:rsidTr="003D4F6D">
        <w:tc>
          <w:tcPr>
            <w:tcW w:w="1689" w:type="pct"/>
            <w:vAlign w:val="bottom"/>
          </w:tcPr>
          <w:p w14:paraId="008F85F9" w14:textId="64F83129" w:rsidR="002100E3" w:rsidRPr="00F43653" w:rsidRDefault="002100E3" w:rsidP="002100E3">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136" w:name="_Toc67326989"/>
            <w:r w:rsidRPr="00AC3341">
              <w:rPr>
                <w:rFonts w:ascii="Arial" w:eastAsia="Times New Roman" w:hAnsi="Arial" w:cs="Arial"/>
                <w:color w:val="000000" w:themeColor="text1"/>
                <w:sz w:val="20"/>
                <w:szCs w:val="20"/>
              </w:rPr>
              <w:t>Neto (rashodi)/prihodi  od financijskih aktivnosti</w:t>
            </w:r>
            <w:bookmarkEnd w:id="136"/>
            <w:r w:rsidRPr="00F43653">
              <w:rPr>
                <w:rFonts w:ascii="Arial" w:eastAsia="Times New Roman" w:hAnsi="Arial" w:cs="Arial"/>
                <w:color w:val="000000" w:themeColor="text1"/>
                <w:sz w:val="20"/>
                <w:szCs w:val="20"/>
              </w:rPr>
              <w:t xml:space="preserve"> </w:t>
            </w:r>
          </w:p>
        </w:tc>
        <w:tc>
          <w:tcPr>
            <w:tcW w:w="544" w:type="pct"/>
            <w:vAlign w:val="bottom"/>
          </w:tcPr>
          <w:p w14:paraId="1D134E1E" w14:textId="7101318D" w:rsidR="002100E3" w:rsidRPr="00CC7FB0" w:rsidRDefault="002100E3" w:rsidP="002100E3">
            <w:pPr>
              <w:tabs>
                <w:tab w:val="right" w:pos="1202"/>
              </w:tabs>
              <w:suppressAutoHyphens/>
              <w:autoSpaceDN w:val="0"/>
              <w:spacing w:line="301" w:lineRule="exact"/>
              <w:jc w:val="center"/>
              <w:outlineLvl w:val="0"/>
              <w:rPr>
                <w:rFonts w:ascii="Arial" w:eastAsia="Times New Roman" w:hAnsi="Arial" w:cs="Arial"/>
                <w:bCs/>
                <w:color w:val="000000" w:themeColor="text1"/>
                <w:sz w:val="20"/>
                <w:szCs w:val="20"/>
              </w:rPr>
            </w:pPr>
          </w:p>
        </w:tc>
        <w:tc>
          <w:tcPr>
            <w:tcW w:w="665" w:type="pct"/>
            <w:tcBorders>
              <w:top w:val="nil"/>
              <w:left w:val="nil"/>
              <w:bottom w:val="nil"/>
              <w:right w:val="nil"/>
            </w:tcBorders>
            <w:shd w:val="clear" w:color="auto" w:fill="auto"/>
            <w:vAlign w:val="bottom"/>
          </w:tcPr>
          <w:p w14:paraId="698DFD4B" w14:textId="7658684E" w:rsidR="002100E3" w:rsidRPr="00B26970" w:rsidRDefault="002100E3" w:rsidP="002100E3">
            <w:pPr>
              <w:tabs>
                <w:tab w:val="right" w:pos="1202"/>
              </w:tabs>
              <w:suppressAutoHyphens/>
              <w:autoSpaceDN w:val="0"/>
              <w:spacing w:line="301" w:lineRule="exact"/>
              <w:jc w:val="right"/>
              <w:outlineLvl w:val="0"/>
              <w:rPr>
                <w:rFonts w:ascii="Arial" w:eastAsia="Times New Roman" w:hAnsi="Arial" w:cs="Arial"/>
                <w:bCs/>
                <w:color w:val="000000" w:themeColor="text1"/>
                <w:spacing w:val="-2"/>
                <w:sz w:val="20"/>
                <w:szCs w:val="20"/>
              </w:rPr>
            </w:pPr>
            <w:r w:rsidRPr="00B26970">
              <w:rPr>
                <w:rFonts w:ascii="Arial" w:hAnsi="Arial" w:cs="Arial"/>
                <w:sz w:val="20"/>
                <w:szCs w:val="20"/>
              </w:rPr>
              <w:t xml:space="preserve"> 839 </w:t>
            </w:r>
          </w:p>
        </w:tc>
        <w:tc>
          <w:tcPr>
            <w:tcW w:w="718" w:type="pct"/>
            <w:tcBorders>
              <w:top w:val="nil"/>
              <w:left w:val="nil"/>
              <w:bottom w:val="nil"/>
              <w:right w:val="nil"/>
            </w:tcBorders>
            <w:shd w:val="clear" w:color="auto" w:fill="auto"/>
            <w:vAlign w:val="bottom"/>
          </w:tcPr>
          <w:p w14:paraId="073B1F1C" w14:textId="38A679F6" w:rsidR="002100E3" w:rsidRPr="00B26970" w:rsidRDefault="002100E3" w:rsidP="002100E3">
            <w:pPr>
              <w:tabs>
                <w:tab w:val="right" w:pos="1202"/>
              </w:tabs>
              <w:suppressAutoHyphens/>
              <w:autoSpaceDN w:val="0"/>
              <w:spacing w:line="301" w:lineRule="exact"/>
              <w:jc w:val="right"/>
              <w:outlineLvl w:val="0"/>
              <w:rPr>
                <w:rFonts w:ascii="Arial" w:eastAsia="Times New Roman" w:hAnsi="Arial" w:cs="Arial"/>
                <w:bCs/>
                <w:color w:val="000000" w:themeColor="text1"/>
                <w:spacing w:val="-2"/>
                <w:sz w:val="20"/>
                <w:szCs w:val="20"/>
              </w:rPr>
            </w:pPr>
            <w:r w:rsidRPr="00B26970">
              <w:rPr>
                <w:rFonts w:ascii="Arial" w:hAnsi="Arial" w:cs="Arial"/>
                <w:sz w:val="20"/>
                <w:szCs w:val="20"/>
              </w:rPr>
              <w:t xml:space="preserve"> 1.193 </w:t>
            </w:r>
          </w:p>
        </w:tc>
        <w:tc>
          <w:tcPr>
            <w:tcW w:w="666" w:type="pct"/>
            <w:tcBorders>
              <w:top w:val="nil"/>
              <w:left w:val="nil"/>
              <w:bottom w:val="nil"/>
              <w:right w:val="nil"/>
            </w:tcBorders>
            <w:shd w:val="clear" w:color="auto" w:fill="auto"/>
            <w:vAlign w:val="bottom"/>
          </w:tcPr>
          <w:p w14:paraId="08A89245" w14:textId="0C84942A" w:rsidR="002100E3" w:rsidRPr="00B26970" w:rsidRDefault="002100E3" w:rsidP="002100E3">
            <w:pPr>
              <w:tabs>
                <w:tab w:val="right" w:pos="1202"/>
              </w:tabs>
              <w:suppressAutoHyphens/>
              <w:autoSpaceDN w:val="0"/>
              <w:spacing w:line="301" w:lineRule="exact"/>
              <w:jc w:val="right"/>
              <w:outlineLvl w:val="0"/>
              <w:rPr>
                <w:rFonts w:ascii="Arial" w:eastAsia="Times New Roman" w:hAnsi="Arial" w:cs="Arial"/>
                <w:bCs/>
                <w:color w:val="000000" w:themeColor="text1"/>
                <w:spacing w:val="-2"/>
                <w:sz w:val="20"/>
                <w:szCs w:val="20"/>
              </w:rPr>
            </w:pPr>
            <w:r w:rsidRPr="00B26970">
              <w:rPr>
                <w:rFonts w:ascii="Arial" w:eastAsia="Times New Roman" w:hAnsi="Arial" w:cs="Arial"/>
                <w:bCs/>
                <w:color w:val="000000" w:themeColor="text1"/>
                <w:spacing w:val="-2"/>
                <w:sz w:val="20"/>
                <w:szCs w:val="20"/>
              </w:rPr>
              <w:t xml:space="preserve"> 824 </w:t>
            </w:r>
          </w:p>
        </w:tc>
        <w:tc>
          <w:tcPr>
            <w:tcW w:w="718" w:type="pct"/>
            <w:tcBorders>
              <w:top w:val="nil"/>
              <w:left w:val="nil"/>
              <w:bottom w:val="nil"/>
              <w:right w:val="nil"/>
            </w:tcBorders>
            <w:shd w:val="clear" w:color="auto" w:fill="auto"/>
            <w:vAlign w:val="bottom"/>
          </w:tcPr>
          <w:p w14:paraId="460016FA" w14:textId="64E2EF2C" w:rsidR="002100E3" w:rsidRPr="00B26970" w:rsidRDefault="002100E3" w:rsidP="002100E3">
            <w:pPr>
              <w:tabs>
                <w:tab w:val="right" w:pos="1202"/>
              </w:tabs>
              <w:suppressAutoHyphens/>
              <w:autoSpaceDN w:val="0"/>
              <w:spacing w:line="301" w:lineRule="exact"/>
              <w:jc w:val="right"/>
              <w:outlineLvl w:val="0"/>
              <w:rPr>
                <w:rFonts w:ascii="Arial" w:eastAsia="Times New Roman" w:hAnsi="Arial" w:cs="Arial"/>
                <w:bCs/>
                <w:color w:val="000000" w:themeColor="text1"/>
                <w:spacing w:val="-2"/>
                <w:sz w:val="20"/>
                <w:szCs w:val="20"/>
              </w:rPr>
            </w:pPr>
            <w:r w:rsidRPr="00B26970">
              <w:rPr>
                <w:rFonts w:ascii="Arial" w:eastAsia="Times New Roman" w:hAnsi="Arial" w:cs="Arial"/>
                <w:bCs/>
                <w:color w:val="000000" w:themeColor="text1"/>
                <w:spacing w:val="-2"/>
                <w:sz w:val="20"/>
                <w:szCs w:val="20"/>
              </w:rPr>
              <w:t xml:space="preserve"> (1.886)</w:t>
            </w:r>
          </w:p>
        </w:tc>
      </w:tr>
      <w:tr w:rsidR="002100E3" w:rsidRPr="00F43653" w14:paraId="262FCA87" w14:textId="77777777" w:rsidTr="00624DBC">
        <w:tc>
          <w:tcPr>
            <w:tcW w:w="1689" w:type="pct"/>
            <w:vAlign w:val="bottom"/>
          </w:tcPr>
          <w:p w14:paraId="65B4BE7E" w14:textId="745CF43C" w:rsidR="002100E3" w:rsidRPr="00F43653" w:rsidRDefault="002100E3" w:rsidP="002100E3">
            <w:pPr>
              <w:tabs>
                <w:tab w:val="right" w:pos="1202"/>
              </w:tabs>
              <w:suppressAutoHyphens/>
              <w:autoSpaceDN w:val="0"/>
              <w:spacing w:line="340" w:lineRule="exact"/>
              <w:outlineLvl w:val="0"/>
              <w:rPr>
                <w:rFonts w:ascii="Arial" w:eastAsia="Times New Roman" w:hAnsi="Arial" w:cs="Arial"/>
                <w:color w:val="000000" w:themeColor="text1"/>
                <w:sz w:val="20"/>
                <w:szCs w:val="20"/>
              </w:rPr>
            </w:pPr>
            <w:bookmarkStart w:id="137" w:name="_Toc67326993"/>
            <w:r w:rsidRPr="00F43653">
              <w:rPr>
                <w:rFonts w:ascii="Arial" w:eastAsia="Times New Roman" w:hAnsi="Arial" w:cs="Arial"/>
                <w:color w:val="000000" w:themeColor="text1"/>
                <w:sz w:val="20"/>
                <w:szCs w:val="20"/>
              </w:rPr>
              <w:t>Ostali prihodi</w:t>
            </w:r>
            <w:bookmarkEnd w:id="137"/>
          </w:p>
        </w:tc>
        <w:tc>
          <w:tcPr>
            <w:tcW w:w="544" w:type="pct"/>
            <w:vAlign w:val="bottom"/>
          </w:tcPr>
          <w:p w14:paraId="61FCD8D7" w14:textId="77777777" w:rsidR="002100E3" w:rsidRPr="00CC7FB0" w:rsidRDefault="002100E3" w:rsidP="002100E3">
            <w:pPr>
              <w:tabs>
                <w:tab w:val="right" w:pos="1202"/>
              </w:tabs>
              <w:suppressAutoHyphens/>
              <w:autoSpaceDN w:val="0"/>
              <w:spacing w:line="340" w:lineRule="exact"/>
              <w:jc w:val="center"/>
              <w:outlineLvl w:val="0"/>
              <w:rPr>
                <w:rFonts w:ascii="Arial" w:eastAsia="Times New Roman" w:hAnsi="Arial" w:cs="Arial"/>
                <w:bCs/>
                <w:color w:val="000000" w:themeColor="text1"/>
                <w:sz w:val="20"/>
                <w:szCs w:val="20"/>
              </w:rPr>
            </w:pPr>
          </w:p>
        </w:tc>
        <w:tc>
          <w:tcPr>
            <w:tcW w:w="665" w:type="pct"/>
            <w:tcBorders>
              <w:top w:val="nil"/>
              <w:left w:val="nil"/>
              <w:bottom w:val="nil"/>
              <w:right w:val="nil"/>
            </w:tcBorders>
            <w:shd w:val="clear" w:color="auto" w:fill="auto"/>
          </w:tcPr>
          <w:p w14:paraId="66811AE1" w14:textId="65A1B57F" w:rsidR="002100E3" w:rsidRPr="00B26970" w:rsidRDefault="002100E3" w:rsidP="002100E3">
            <w:pPr>
              <w:tabs>
                <w:tab w:val="right" w:pos="1202"/>
              </w:tabs>
              <w:suppressAutoHyphens/>
              <w:autoSpaceDN w:val="0"/>
              <w:spacing w:line="301" w:lineRule="exact"/>
              <w:jc w:val="right"/>
              <w:outlineLvl w:val="0"/>
              <w:rPr>
                <w:rFonts w:ascii="Arial" w:eastAsia="Times New Roman" w:hAnsi="Arial" w:cs="Arial"/>
                <w:bCs/>
                <w:color w:val="000000" w:themeColor="text1"/>
                <w:spacing w:val="-2"/>
                <w:sz w:val="20"/>
                <w:szCs w:val="20"/>
              </w:rPr>
            </w:pPr>
            <w:r w:rsidRPr="00B26970">
              <w:rPr>
                <w:rFonts w:ascii="Arial" w:hAnsi="Arial" w:cs="Arial"/>
                <w:sz w:val="20"/>
                <w:szCs w:val="20"/>
              </w:rPr>
              <w:t xml:space="preserve"> 174 </w:t>
            </w:r>
          </w:p>
        </w:tc>
        <w:tc>
          <w:tcPr>
            <w:tcW w:w="718" w:type="pct"/>
            <w:tcBorders>
              <w:top w:val="nil"/>
              <w:left w:val="nil"/>
              <w:bottom w:val="nil"/>
              <w:right w:val="nil"/>
            </w:tcBorders>
            <w:shd w:val="clear" w:color="auto" w:fill="auto"/>
          </w:tcPr>
          <w:p w14:paraId="01F11FFB" w14:textId="07BCAEE5" w:rsidR="002100E3" w:rsidRPr="00B26970" w:rsidRDefault="002100E3" w:rsidP="002100E3">
            <w:pPr>
              <w:tabs>
                <w:tab w:val="right" w:pos="1202"/>
              </w:tabs>
              <w:suppressAutoHyphens/>
              <w:autoSpaceDN w:val="0"/>
              <w:spacing w:line="301" w:lineRule="exact"/>
              <w:jc w:val="right"/>
              <w:outlineLvl w:val="0"/>
              <w:rPr>
                <w:rFonts w:ascii="Arial" w:eastAsia="Times New Roman" w:hAnsi="Arial" w:cs="Arial"/>
                <w:bCs/>
                <w:color w:val="000000" w:themeColor="text1"/>
                <w:spacing w:val="-2"/>
                <w:sz w:val="20"/>
                <w:szCs w:val="20"/>
              </w:rPr>
            </w:pPr>
            <w:r w:rsidRPr="00B26970">
              <w:rPr>
                <w:rFonts w:ascii="Arial" w:hAnsi="Arial" w:cs="Arial"/>
                <w:sz w:val="20"/>
                <w:szCs w:val="20"/>
              </w:rPr>
              <w:t>2.305</w:t>
            </w:r>
          </w:p>
        </w:tc>
        <w:tc>
          <w:tcPr>
            <w:tcW w:w="666" w:type="pct"/>
            <w:tcBorders>
              <w:top w:val="nil"/>
              <w:left w:val="nil"/>
              <w:bottom w:val="nil"/>
              <w:right w:val="nil"/>
            </w:tcBorders>
            <w:shd w:val="clear" w:color="auto" w:fill="auto"/>
            <w:vAlign w:val="bottom"/>
          </w:tcPr>
          <w:p w14:paraId="3C178D9E" w14:textId="6991370F" w:rsidR="002100E3" w:rsidRPr="00B26970" w:rsidRDefault="002100E3" w:rsidP="002100E3">
            <w:pPr>
              <w:tabs>
                <w:tab w:val="right" w:pos="1202"/>
              </w:tabs>
              <w:suppressAutoHyphens/>
              <w:autoSpaceDN w:val="0"/>
              <w:spacing w:line="301" w:lineRule="exact"/>
              <w:jc w:val="right"/>
              <w:outlineLvl w:val="0"/>
              <w:rPr>
                <w:rFonts w:ascii="Arial" w:eastAsia="Times New Roman" w:hAnsi="Arial" w:cs="Arial"/>
                <w:bCs/>
                <w:color w:val="000000" w:themeColor="text1"/>
                <w:spacing w:val="-2"/>
                <w:sz w:val="20"/>
                <w:szCs w:val="20"/>
              </w:rPr>
            </w:pPr>
            <w:r w:rsidRPr="00B26970">
              <w:rPr>
                <w:rFonts w:ascii="Arial" w:eastAsia="Times New Roman" w:hAnsi="Arial" w:cs="Arial"/>
                <w:bCs/>
                <w:color w:val="000000" w:themeColor="text1"/>
                <w:spacing w:val="-2"/>
                <w:sz w:val="20"/>
                <w:szCs w:val="20"/>
              </w:rPr>
              <w:t xml:space="preserve"> 451 </w:t>
            </w:r>
          </w:p>
        </w:tc>
        <w:tc>
          <w:tcPr>
            <w:tcW w:w="718" w:type="pct"/>
            <w:tcBorders>
              <w:top w:val="nil"/>
              <w:left w:val="nil"/>
              <w:bottom w:val="nil"/>
              <w:right w:val="nil"/>
            </w:tcBorders>
            <w:shd w:val="clear" w:color="auto" w:fill="auto"/>
            <w:vAlign w:val="bottom"/>
          </w:tcPr>
          <w:p w14:paraId="6EA0B43F" w14:textId="512812B0" w:rsidR="002100E3" w:rsidRPr="00B26970" w:rsidRDefault="002100E3" w:rsidP="002100E3">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B26970">
              <w:rPr>
                <w:rFonts w:ascii="Arial" w:eastAsia="Times New Roman" w:hAnsi="Arial" w:cs="Arial"/>
                <w:bCs/>
                <w:color w:val="000000" w:themeColor="text1"/>
                <w:spacing w:val="-2"/>
                <w:sz w:val="20"/>
                <w:szCs w:val="20"/>
              </w:rPr>
              <w:t>1.391</w:t>
            </w:r>
          </w:p>
        </w:tc>
      </w:tr>
      <w:tr w:rsidR="002100E3" w:rsidRPr="00F43653" w14:paraId="31B1F43B" w14:textId="77777777" w:rsidTr="003F6324">
        <w:tc>
          <w:tcPr>
            <w:tcW w:w="1689" w:type="pct"/>
            <w:vAlign w:val="bottom"/>
          </w:tcPr>
          <w:p w14:paraId="1279576A" w14:textId="77777777" w:rsidR="002100E3" w:rsidRPr="00F43653" w:rsidRDefault="002100E3" w:rsidP="002100E3">
            <w:pPr>
              <w:tabs>
                <w:tab w:val="right" w:pos="1202"/>
              </w:tabs>
              <w:suppressAutoHyphens/>
              <w:autoSpaceDN w:val="0"/>
              <w:spacing w:line="340" w:lineRule="exact"/>
              <w:outlineLvl w:val="0"/>
              <w:rPr>
                <w:rFonts w:ascii="Arial" w:eastAsia="Times New Roman" w:hAnsi="Arial" w:cs="Arial"/>
                <w:b/>
                <w:bCs/>
                <w:color w:val="000000" w:themeColor="text1"/>
                <w:sz w:val="20"/>
                <w:szCs w:val="20"/>
              </w:rPr>
            </w:pPr>
          </w:p>
        </w:tc>
        <w:tc>
          <w:tcPr>
            <w:tcW w:w="544" w:type="pct"/>
            <w:vAlign w:val="bottom"/>
          </w:tcPr>
          <w:p w14:paraId="541B4417" w14:textId="77777777" w:rsidR="002100E3" w:rsidRPr="00CC7FB0" w:rsidRDefault="002100E3" w:rsidP="002100E3">
            <w:pPr>
              <w:tabs>
                <w:tab w:val="right" w:pos="1202"/>
              </w:tabs>
              <w:suppressAutoHyphens/>
              <w:autoSpaceDN w:val="0"/>
              <w:spacing w:line="340" w:lineRule="exact"/>
              <w:jc w:val="center"/>
              <w:outlineLvl w:val="0"/>
              <w:rPr>
                <w:rFonts w:ascii="Arial" w:eastAsia="Times New Roman" w:hAnsi="Arial" w:cs="Arial"/>
                <w:bCs/>
                <w:color w:val="000000" w:themeColor="text1"/>
                <w:sz w:val="20"/>
                <w:szCs w:val="20"/>
              </w:rPr>
            </w:pPr>
          </w:p>
        </w:tc>
        <w:tc>
          <w:tcPr>
            <w:tcW w:w="665" w:type="pct"/>
            <w:tcBorders>
              <w:top w:val="single" w:sz="4" w:space="0" w:color="auto"/>
              <w:bottom w:val="single" w:sz="12" w:space="0" w:color="auto"/>
            </w:tcBorders>
          </w:tcPr>
          <w:p w14:paraId="20D1DCF1" w14:textId="2485AF03" w:rsidR="002100E3" w:rsidRPr="00B26970" w:rsidRDefault="002100E3" w:rsidP="002100E3">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B26970">
              <w:rPr>
                <w:rFonts w:ascii="Arial" w:hAnsi="Arial" w:cs="Arial"/>
                <w:b/>
                <w:bCs/>
                <w:sz w:val="20"/>
                <w:szCs w:val="20"/>
              </w:rPr>
              <w:t xml:space="preserve"> 20.451 </w:t>
            </w:r>
          </w:p>
        </w:tc>
        <w:tc>
          <w:tcPr>
            <w:tcW w:w="718" w:type="pct"/>
            <w:tcBorders>
              <w:top w:val="single" w:sz="4" w:space="0" w:color="auto"/>
              <w:bottom w:val="single" w:sz="12" w:space="0" w:color="auto"/>
            </w:tcBorders>
          </w:tcPr>
          <w:p w14:paraId="2E15BDC7" w14:textId="3797BE10" w:rsidR="002100E3" w:rsidRPr="00B26970" w:rsidRDefault="002100E3" w:rsidP="002100E3">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B26970">
              <w:rPr>
                <w:rFonts w:ascii="Arial" w:hAnsi="Arial" w:cs="Arial"/>
                <w:b/>
                <w:bCs/>
                <w:sz w:val="20"/>
                <w:szCs w:val="20"/>
              </w:rPr>
              <w:t xml:space="preserve"> 57.800 </w:t>
            </w:r>
          </w:p>
        </w:tc>
        <w:tc>
          <w:tcPr>
            <w:tcW w:w="666" w:type="pct"/>
            <w:tcBorders>
              <w:top w:val="single" w:sz="4" w:space="0" w:color="auto"/>
              <w:bottom w:val="single" w:sz="12" w:space="0" w:color="auto"/>
            </w:tcBorders>
            <w:vAlign w:val="bottom"/>
          </w:tcPr>
          <w:p w14:paraId="3510043E" w14:textId="0986309B" w:rsidR="002100E3" w:rsidRPr="00B26970" w:rsidRDefault="002100E3" w:rsidP="002100E3">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B26970">
              <w:rPr>
                <w:rFonts w:ascii="Arial" w:eastAsia="Times New Roman" w:hAnsi="Arial" w:cs="Arial"/>
                <w:b/>
                <w:bCs/>
                <w:color w:val="000000" w:themeColor="text1"/>
                <w:sz w:val="20"/>
                <w:szCs w:val="20"/>
              </w:rPr>
              <w:t xml:space="preserve"> 18.598 </w:t>
            </w:r>
          </w:p>
        </w:tc>
        <w:tc>
          <w:tcPr>
            <w:tcW w:w="718" w:type="pct"/>
            <w:tcBorders>
              <w:top w:val="single" w:sz="4" w:space="0" w:color="auto"/>
              <w:bottom w:val="single" w:sz="12" w:space="0" w:color="auto"/>
            </w:tcBorders>
            <w:vAlign w:val="bottom"/>
          </w:tcPr>
          <w:p w14:paraId="427F88DA" w14:textId="2868573C" w:rsidR="002100E3" w:rsidRPr="00B26970" w:rsidRDefault="002100E3" w:rsidP="002100E3">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B26970">
              <w:rPr>
                <w:rFonts w:ascii="Arial" w:eastAsia="Times New Roman" w:hAnsi="Arial" w:cs="Arial"/>
                <w:b/>
                <w:bCs/>
                <w:color w:val="000000" w:themeColor="text1"/>
                <w:sz w:val="20"/>
                <w:szCs w:val="20"/>
              </w:rPr>
              <w:t xml:space="preserve"> 50.902 </w:t>
            </w:r>
          </w:p>
        </w:tc>
      </w:tr>
      <w:tr w:rsidR="0014153E" w:rsidRPr="00F43653" w14:paraId="149E195C" w14:textId="77777777" w:rsidTr="00264ADA">
        <w:tc>
          <w:tcPr>
            <w:tcW w:w="1689" w:type="pct"/>
            <w:vAlign w:val="bottom"/>
          </w:tcPr>
          <w:p w14:paraId="12F33787" w14:textId="77777777" w:rsidR="0014153E" w:rsidRPr="00F43653" w:rsidRDefault="0014153E" w:rsidP="0014153E">
            <w:pPr>
              <w:tabs>
                <w:tab w:val="right" w:pos="1202"/>
              </w:tabs>
              <w:suppressAutoHyphens/>
              <w:autoSpaceDN w:val="0"/>
              <w:spacing w:line="301" w:lineRule="exact"/>
              <w:outlineLvl w:val="0"/>
              <w:rPr>
                <w:rFonts w:ascii="Arial" w:eastAsia="Times New Roman" w:hAnsi="Arial" w:cs="Arial"/>
                <w:bCs/>
                <w:color w:val="000000" w:themeColor="text1"/>
                <w:spacing w:val="-2"/>
                <w:sz w:val="20"/>
                <w:szCs w:val="20"/>
              </w:rPr>
            </w:pPr>
          </w:p>
        </w:tc>
        <w:tc>
          <w:tcPr>
            <w:tcW w:w="544" w:type="pct"/>
            <w:vAlign w:val="bottom"/>
          </w:tcPr>
          <w:p w14:paraId="17A60372" w14:textId="77777777" w:rsidR="0014153E" w:rsidRPr="00CC7FB0" w:rsidRDefault="0014153E" w:rsidP="0014153E">
            <w:pPr>
              <w:tabs>
                <w:tab w:val="right" w:pos="1202"/>
              </w:tabs>
              <w:suppressAutoHyphens/>
              <w:autoSpaceDN w:val="0"/>
              <w:spacing w:line="301" w:lineRule="exact"/>
              <w:jc w:val="center"/>
              <w:outlineLvl w:val="0"/>
              <w:rPr>
                <w:rFonts w:ascii="Arial" w:eastAsia="Times New Roman" w:hAnsi="Arial" w:cs="Arial"/>
                <w:bCs/>
                <w:color w:val="000000" w:themeColor="text1"/>
                <w:spacing w:val="-2"/>
                <w:sz w:val="20"/>
                <w:szCs w:val="20"/>
              </w:rPr>
            </w:pPr>
          </w:p>
        </w:tc>
        <w:tc>
          <w:tcPr>
            <w:tcW w:w="665" w:type="pct"/>
            <w:tcBorders>
              <w:top w:val="single" w:sz="12" w:space="0" w:color="auto"/>
            </w:tcBorders>
            <w:vAlign w:val="bottom"/>
          </w:tcPr>
          <w:p w14:paraId="0B6D4548" w14:textId="77777777" w:rsidR="0014153E" w:rsidRPr="00B26970" w:rsidRDefault="0014153E" w:rsidP="0014153E">
            <w:pPr>
              <w:suppressAutoHyphens/>
              <w:autoSpaceDN w:val="0"/>
              <w:spacing w:line="301" w:lineRule="exact"/>
              <w:jc w:val="right"/>
              <w:outlineLvl w:val="0"/>
              <w:rPr>
                <w:rFonts w:ascii="Arial" w:eastAsia="Times New Roman" w:hAnsi="Arial" w:cs="Arial"/>
                <w:bCs/>
                <w:color w:val="000000" w:themeColor="text1"/>
                <w:spacing w:val="-2"/>
                <w:sz w:val="20"/>
                <w:szCs w:val="20"/>
              </w:rPr>
            </w:pPr>
          </w:p>
        </w:tc>
        <w:tc>
          <w:tcPr>
            <w:tcW w:w="718" w:type="pct"/>
            <w:tcBorders>
              <w:top w:val="single" w:sz="12" w:space="0" w:color="auto"/>
            </w:tcBorders>
            <w:vAlign w:val="bottom"/>
          </w:tcPr>
          <w:p w14:paraId="7A0786C3" w14:textId="77777777" w:rsidR="0014153E" w:rsidRPr="00B26970" w:rsidRDefault="0014153E" w:rsidP="0014153E">
            <w:pPr>
              <w:suppressAutoHyphens/>
              <w:autoSpaceDN w:val="0"/>
              <w:spacing w:line="301" w:lineRule="exact"/>
              <w:jc w:val="right"/>
              <w:outlineLvl w:val="0"/>
              <w:rPr>
                <w:rFonts w:ascii="Arial" w:eastAsia="Times New Roman" w:hAnsi="Arial" w:cs="Arial"/>
                <w:bCs/>
                <w:color w:val="000000" w:themeColor="text1"/>
                <w:spacing w:val="-2"/>
                <w:sz w:val="20"/>
                <w:szCs w:val="20"/>
              </w:rPr>
            </w:pPr>
          </w:p>
        </w:tc>
        <w:tc>
          <w:tcPr>
            <w:tcW w:w="666" w:type="pct"/>
            <w:tcBorders>
              <w:top w:val="single" w:sz="12" w:space="0" w:color="auto"/>
            </w:tcBorders>
            <w:vAlign w:val="bottom"/>
          </w:tcPr>
          <w:p w14:paraId="56DEF83E" w14:textId="131E45ED" w:rsidR="0014153E" w:rsidRPr="00B26970" w:rsidRDefault="0014153E" w:rsidP="0014153E">
            <w:pPr>
              <w:suppressAutoHyphens/>
              <w:autoSpaceDN w:val="0"/>
              <w:spacing w:line="301" w:lineRule="exact"/>
              <w:jc w:val="right"/>
              <w:outlineLvl w:val="0"/>
              <w:rPr>
                <w:rFonts w:ascii="Arial" w:eastAsia="Times New Roman" w:hAnsi="Arial" w:cs="Arial"/>
                <w:bCs/>
                <w:color w:val="000000" w:themeColor="text1"/>
                <w:spacing w:val="-2"/>
                <w:sz w:val="20"/>
                <w:szCs w:val="20"/>
              </w:rPr>
            </w:pPr>
          </w:p>
        </w:tc>
        <w:tc>
          <w:tcPr>
            <w:tcW w:w="718" w:type="pct"/>
            <w:tcBorders>
              <w:top w:val="single" w:sz="12" w:space="0" w:color="auto"/>
            </w:tcBorders>
            <w:vAlign w:val="bottom"/>
          </w:tcPr>
          <w:p w14:paraId="42E63578" w14:textId="77777777" w:rsidR="0014153E" w:rsidRPr="00B26970" w:rsidRDefault="0014153E" w:rsidP="0014153E">
            <w:pPr>
              <w:suppressAutoHyphens/>
              <w:autoSpaceDN w:val="0"/>
              <w:spacing w:line="301" w:lineRule="exact"/>
              <w:jc w:val="right"/>
              <w:outlineLvl w:val="0"/>
              <w:rPr>
                <w:rFonts w:ascii="Arial" w:eastAsia="Times New Roman" w:hAnsi="Arial" w:cs="Arial"/>
                <w:bCs/>
                <w:color w:val="000000" w:themeColor="text1"/>
                <w:spacing w:val="-2"/>
                <w:sz w:val="20"/>
                <w:szCs w:val="20"/>
              </w:rPr>
            </w:pPr>
          </w:p>
        </w:tc>
      </w:tr>
      <w:tr w:rsidR="002100E3" w:rsidRPr="00F43653" w14:paraId="02394F11" w14:textId="77777777" w:rsidTr="005C4A9D">
        <w:tc>
          <w:tcPr>
            <w:tcW w:w="1689" w:type="pct"/>
            <w:vAlign w:val="bottom"/>
          </w:tcPr>
          <w:p w14:paraId="103F8CF5" w14:textId="003F30F1" w:rsidR="002100E3" w:rsidRPr="00F43653" w:rsidRDefault="002100E3" w:rsidP="002100E3">
            <w:pPr>
              <w:tabs>
                <w:tab w:val="right" w:pos="1202"/>
              </w:tabs>
              <w:suppressAutoHyphens/>
              <w:autoSpaceDN w:val="0"/>
              <w:spacing w:line="301" w:lineRule="exact"/>
              <w:outlineLvl w:val="0"/>
              <w:rPr>
                <w:rFonts w:ascii="Arial" w:eastAsia="Times New Roman" w:hAnsi="Arial" w:cs="Arial"/>
                <w:bCs/>
                <w:color w:val="000000" w:themeColor="text1"/>
                <w:spacing w:val="-2"/>
                <w:sz w:val="20"/>
                <w:szCs w:val="20"/>
              </w:rPr>
            </w:pPr>
            <w:bookmarkStart w:id="138" w:name="_Toc67326998"/>
            <w:r w:rsidRPr="00F43653">
              <w:rPr>
                <w:rFonts w:ascii="Arial" w:eastAsia="Times New Roman" w:hAnsi="Arial" w:cs="Arial"/>
                <w:bCs/>
                <w:color w:val="000000" w:themeColor="text1"/>
                <w:spacing w:val="-2"/>
                <w:sz w:val="20"/>
                <w:szCs w:val="20"/>
              </w:rPr>
              <w:t>Troškovi osoblja</w:t>
            </w:r>
            <w:bookmarkEnd w:id="138"/>
          </w:p>
        </w:tc>
        <w:tc>
          <w:tcPr>
            <w:tcW w:w="544" w:type="pct"/>
            <w:vAlign w:val="bottom"/>
          </w:tcPr>
          <w:p w14:paraId="710F3EC2" w14:textId="77777777" w:rsidR="002100E3" w:rsidRPr="00CC7FB0" w:rsidRDefault="002100E3" w:rsidP="002100E3">
            <w:pPr>
              <w:tabs>
                <w:tab w:val="right" w:pos="1202"/>
              </w:tabs>
              <w:suppressAutoHyphens/>
              <w:autoSpaceDN w:val="0"/>
              <w:spacing w:line="301" w:lineRule="exact"/>
              <w:jc w:val="center"/>
              <w:outlineLvl w:val="0"/>
              <w:rPr>
                <w:rFonts w:ascii="Arial" w:eastAsia="Times New Roman" w:hAnsi="Arial" w:cs="Arial"/>
                <w:bCs/>
                <w:color w:val="000000" w:themeColor="text1"/>
                <w:spacing w:val="-2"/>
                <w:sz w:val="20"/>
                <w:szCs w:val="20"/>
              </w:rPr>
            </w:pPr>
            <w:bookmarkStart w:id="139" w:name="_Toc67326999"/>
            <w:r w:rsidRPr="00CC7FB0">
              <w:rPr>
                <w:rFonts w:ascii="Arial" w:eastAsia="Times New Roman" w:hAnsi="Arial" w:cs="Arial"/>
                <w:bCs/>
                <w:color w:val="000000" w:themeColor="text1"/>
                <w:spacing w:val="-2"/>
                <w:sz w:val="20"/>
                <w:szCs w:val="20"/>
              </w:rPr>
              <w:t>7 a)</w:t>
            </w:r>
            <w:bookmarkEnd w:id="139"/>
          </w:p>
        </w:tc>
        <w:tc>
          <w:tcPr>
            <w:tcW w:w="665" w:type="pct"/>
            <w:tcBorders>
              <w:top w:val="nil"/>
              <w:left w:val="nil"/>
              <w:bottom w:val="nil"/>
              <w:right w:val="nil"/>
            </w:tcBorders>
            <w:shd w:val="clear" w:color="auto" w:fill="auto"/>
          </w:tcPr>
          <w:p w14:paraId="140DB5A1" w14:textId="2FCC2A66" w:rsidR="002100E3" w:rsidRPr="00B26970" w:rsidRDefault="002100E3" w:rsidP="002100E3">
            <w:pPr>
              <w:suppressAutoHyphens/>
              <w:autoSpaceDN w:val="0"/>
              <w:spacing w:line="301" w:lineRule="exact"/>
              <w:jc w:val="right"/>
              <w:outlineLvl w:val="0"/>
              <w:rPr>
                <w:rFonts w:ascii="Arial" w:eastAsia="Times New Roman" w:hAnsi="Arial" w:cs="Arial"/>
                <w:bCs/>
                <w:color w:val="000000" w:themeColor="text1"/>
                <w:spacing w:val="-2"/>
                <w:sz w:val="20"/>
                <w:szCs w:val="20"/>
              </w:rPr>
            </w:pPr>
            <w:r w:rsidRPr="00B26970">
              <w:rPr>
                <w:rFonts w:ascii="Arial" w:hAnsi="Arial" w:cs="Arial"/>
                <w:sz w:val="20"/>
                <w:szCs w:val="20"/>
              </w:rPr>
              <w:t xml:space="preserve"> (4.482)</w:t>
            </w:r>
          </w:p>
        </w:tc>
        <w:tc>
          <w:tcPr>
            <w:tcW w:w="718" w:type="pct"/>
            <w:tcBorders>
              <w:top w:val="nil"/>
              <w:left w:val="nil"/>
              <w:bottom w:val="nil"/>
              <w:right w:val="nil"/>
            </w:tcBorders>
            <w:shd w:val="clear" w:color="auto" w:fill="auto"/>
          </w:tcPr>
          <w:p w14:paraId="6CFD8F58" w14:textId="46835083" w:rsidR="002100E3" w:rsidRPr="00B26970" w:rsidRDefault="002100E3" w:rsidP="002100E3">
            <w:pPr>
              <w:suppressAutoHyphens/>
              <w:autoSpaceDN w:val="0"/>
              <w:spacing w:line="301" w:lineRule="exact"/>
              <w:jc w:val="right"/>
              <w:outlineLvl w:val="0"/>
              <w:rPr>
                <w:rFonts w:ascii="Arial" w:eastAsia="Times New Roman" w:hAnsi="Arial" w:cs="Arial"/>
                <w:bCs/>
                <w:color w:val="000000" w:themeColor="text1"/>
                <w:spacing w:val="-2"/>
                <w:sz w:val="20"/>
                <w:szCs w:val="20"/>
              </w:rPr>
            </w:pPr>
            <w:r w:rsidRPr="00B26970">
              <w:rPr>
                <w:rFonts w:ascii="Arial" w:hAnsi="Arial" w:cs="Arial"/>
                <w:sz w:val="20"/>
                <w:szCs w:val="20"/>
              </w:rPr>
              <w:t xml:space="preserve"> (12.935)</w:t>
            </w:r>
          </w:p>
        </w:tc>
        <w:tc>
          <w:tcPr>
            <w:tcW w:w="666" w:type="pct"/>
            <w:tcBorders>
              <w:top w:val="nil"/>
              <w:left w:val="nil"/>
              <w:bottom w:val="nil"/>
              <w:right w:val="nil"/>
            </w:tcBorders>
            <w:shd w:val="clear" w:color="auto" w:fill="auto"/>
            <w:vAlign w:val="bottom"/>
          </w:tcPr>
          <w:p w14:paraId="70E79BAC" w14:textId="1A520BB1" w:rsidR="002100E3" w:rsidRPr="00B26970" w:rsidRDefault="002100E3" w:rsidP="002100E3">
            <w:pPr>
              <w:suppressAutoHyphens/>
              <w:autoSpaceDN w:val="0"/>
              <w:spacing w:line="301" w:lineRule="exact"/>
              <w:jc w:val="right"/>
              <w:outlineLvl w:val="0"/>
              <w:rPr>
                <w:rFonts w:ascii="Arial" w:eastAsia="Times New Roman" w:hAnsi="Arial" w:cs="Arial"/>
                <w:bCs/>
                <w:color w:val="000000" w:themeColor="text1"/>
                <w:spacing w:val="-2"/>
                <w:sz w:val="20"/>
                <w:szCs w:val="20"/>
              </w:rPr>
            </w:pPr>
            <w:r w:rsidRPr="00B26970">
              <w:rPr>
                <w:rFonts w:ascii="Arial" w:eastAsia="Times New Roman" w:hAnsi="Arial" w:cs="Arial"/>
                <w:bCs/>
                <w:color w:val="000000" w:themeColor="text1"/>
                <w:spacing w:val="-2"/>
                <w:sz w:val="20"/>
                <w:szCs w:val="20"/>
              </w:rPr>
              <w:t xml:space="preserve"> (3.869)</w:t>
            </w:r>
          </w:p>
        </w:tc>
        <w:tc>
          <w:tcPr>
            <w:tcW w:w="718" w:type="pct"/>
            <w:tcBorders>
              <w:top w:val="nil"/>
              <w:left w:val="nil"/>
              <w:bottom w:val="nil"/>
              <w:right w:val="nil"/>
            </w:tcBorders>
            <w:shd w:val="clear" w:color="auto" w:fill="auto"/>
            <w:vAlign w:val="bottom"/>
          </w:tcPr>
          <w:p w14:paraId="004C17CA" w14:textId="3F74F8EB" w:rsidR="002100E3" w:rsidRPr="00B26970" w:rsidRDefault="002100E3" w:rsidP="002100E3">
            <w:pPr>
              <w:suppressAutoHyphens/>
              <w:autoSpaceDN w:val="0"/>
              <w:spacing w:line="301" w:lineRule="exact"/>
              <w:jc w:val="right"/>
              <w:outlineLvl w:val="0"/>
              <w:rPr>
                <w:rFonts w:ascii="Arial" w:eastAsia="Times New Roman" w:hAnsi="Arial" w:cs="Arial"/>
                <w:bCs/>
                <w:color w:val="000000" w:themeColor="text1"/>
                <w:spacing w:val="-2"/>
                <w:sz w:val="20"/>
                <w:szCs w:val="20"/>
              </w:rPr>
            </w:pPr>
            <w:r w:rsidRPr="00B26970">
              <w:rPr>
                <w:rFonts w:ascii="Arial" w:eastAsia="Times New Roman" w:hAnsi="Arial" w:cs="Arial"/>
                <w:bCs/>
                <w:color w:val="000000" w:themeColor="text1"/>
                <w:spacing w:val="-2"/>
                <w:sz w:val="20"/>
                <w:szCs w:val="20"/>
              </w:rPr>
              <w:t xml:space="preserve"> (11.253)</w:t>
            </w:r>
          </w:p>
        </w:tc>
      </w:tr>
      <w:tr w:rsidR="002100E3" w:rsidRPr="00F43653" w14:paraId="658F7A35" w14:textId="77777777" w:rsidTr="005C4A9D">
        <w:tc>
          <w:tcPr>
            <w:tcW w:w="1689" w:type="pct"/>
            <w:vAlign w:val="bottom"/>
          </w:tcPr>
          <w:p w14:paraId="6B9AF8DF" w14:textId="13806D9A" w:rsidR="002100E3" w:rsidRPr="00F43653" w:rsidRDefault="002100E3" w:rsidP="002100E3">
            <w:pPr>
              <w:tabs>
                <w:tab w:val="right" w:pos="1202"/>
              </w:tabs>
              <w:suppressAutoHyphens/>
              <w:autoSpaceDN w:val="0"/>
              <w:spacing w:line="301" w:lineRule="exact"/>
              <w:outlineLvl w:val="0"/>
              <w:rPr>
                <w:rFonts w:ascii="Arial" w:eastAsia="Times New Roman" w:hAnsi="Arial" w:cs="Arial"/>
                <w:bCs/>
                <w:color w:val="000000" w:themeColor="text1"/>
                <w:spacing w:val="-2"/>
                <w:sz w:val="20"/>
                <w:szCs w:val="20"/>
              </w:rPr>
            </w:pPr>
            <w:bookmarkStart w:id="140" w:name="_Toc67327002"/>
            <w:r w:rsidRPr="00F43653">
              <w:rPr>
                <w:rFonts w:ascii="Arial" w:eastAsia="Times New Roman" w:hAnsi="Arial" w:cs="Arial"/>
                <w:bCs/>
                <w:color w:val="000000" w:themeColor="text1"/>
                <w:spacing w:val="-2"/>
                <w:sz w:val="20"/>
                <w:szCs w:val="20"/>
              </w:rPr>
              <w:t>Amortizacija</w:t>
            </w:r>
            <w:bookmarkEnd w:id="140"/>
          </w:p>
        </w:tc>
        <w:tc>
          <w:tcPr>
            <w:tcW w:w="544" w:type="pct"/>
            <w:vAlign w:val="bottom"/>
          </w:tcPr>
          <w:p w14:paraId="334A65FB" w14:textId="77777777" w:rsidR="002100E3" w:rsidRPr="00CC7FB0" w:rsidRDefault="002100E3" w:rsidP="002100E3">
            <w:pPr>
              <w:tabs>
                <w:tab w:val="right" w:pos="1202"/>
              </w:tabs>
              <w:suppressAutoHyphens/>
              <w:autoSpaceDN w:val="0"/>
              <w:spacing w:line="301" w:lineRule="exact"/>
              <w:jc w:val="center"/>
              <w:outlineLvl w:val="0"/>
              <w:rPr>
                <w:rFonts w:ascii="Arial" w:eastAsia="Times New Roman" w:hAnsi="Arial" w:cs="Arial"/>
                <w:bCs/>
                <w:color w:val="000000" w:themeColor="text1"/>
                <w:spacing w:val="-2"/>
                <w:sz w:val="20"/>
                <w:szCs w:val="20"/>
              </w:rPr>
            </w:pPr>
            <w:bookmarkStart w:id="141" w:name="_Toc67327003"/>
            <w:r w:rsidRPr="00CC7FB0">
              <w:rPr>
                <w:rFonts w:ascii="Arial" w:eastAsia="Times New Roman" w:hAnsi="Arial" w:cs="Arial"/>
                <w:bCs/>
                <w:color w:val="000000" w:themeColor="text1"/>
                <w:spacing w:val="-2"/>
                <w:sz w:val="20"/>
                <w:szCs w:val="20"/>
              </w:rPr>
              <w:t>7 b)</w:t>
            </w:r>
            <w:bookmarkEnd w:id="141"/>
          </w:p>
        </w:tc>
        <w:tc>
          <w:tcPr>
            <w:tcW w:w="665" w:type="pct"/>
            <w:tcBorders>
              <w:top w:val="nil"/>
              <w:left w:val="nil"/>
              <w:bottom w:val="nil"/>
              <w:right w:val="nil"/>
            </w:tcBorders>
            <w:shd w:val="clear" w:color="auto" w:fill="auto"/>
          </w:tcPr>
          <w:p w14:paraId="4890D815" w14:textId="36B49A0A" w:rsidR="002100E3" w:rsidRPr="00B26970" w:rsidRDefault="002100E3" w:rsidP="002100E3">
            <w:pPr>
              <w:suppressAutoHyphens/>
              <w:autoSpaceDN w:val="0"/>
              <w:spacing w:line="301" w:lineRule="exact"/>
              <w:jc w:val="right"/>
              <w:outlineLvl w:val="0"/>
              <w:rPr>
                <w:rFonts w:ascii="Arial" w:eastAsia="Times New Roman" w:hAnsi="Arial" w:cs="Arial"/>
                <w:bCs/>
                <w:color w:val="000000" w:themeColor="text1"/>
                <w:spacing w:val="-2"/>
                <w:sz w:val="20"/>
                <w:szCs w:val="20"/>
              </w:rPr>
            </w:pPr>
            <w:r w:rsidRPr="00B26970">
              <w:rPr>
                <w:rFonts w:ascii="Arial" w:hAnsi="Arial" w:cs="Arial"/>
                <w:sz w:val="20"/>
                <w:szCs w:val="20"/>
              </w:rPr>
              <w:t xml:space="preserve"> (470)</w:t>
            </w:r>
          </w:p>
        </w:tc>
        <w:tc>
          <w:tcPr>
            <w:tcW w:w="718" w:type="pct"/>
            <w:tcBorders>
              <w:top w:val="nil"/>
              <w:left w:val="nil"/>
              <w:bottom w:val="nil"/>
              <w:right w:val="nil"/>
            </w:tcBorders>
            <w:shd w:val="clear" w:color="auto" w:fill="auto"/>
          </w:tcPr>
          <w:p w14:paraId="77BE7D16" w14:textId="4986536A" w:rsidR="002100E3" w:rsidRPr="00B26970" w:rsidRDefault="002100E3" w:rsidP="002100E3">
            <w:pPr>
              <w:suppressAutoHyphens/>
              <w:autoSpaceDN w:val="0"/>
              <w:spacing w:line="301" w:lineRule="exact"/>
              <w:jc w:val="right"/>
              <w:outlineLvl w:val="0"/>
              <w:rPr>
                <w:rFonts w:ascii="Arial" w:eastAsia="Times New Roman" w:hAnsi="Arial" w:cs="Arial"/>
                <w:bCs/>
                <w:color w:val="000000" w:themeColor="text1"/>
                <w:spacing w:val="-2"/>
                <w:sz w:val="20"/>
                <w:szCs w:val="20"/>
              </w:rPr>
            </w:pPr>
            <w:r w:rsidRPr="00B26970">
              <w:rPr>
                <w:rFonts w:ascii="Arial" w:hAnsi="Arial" w:cs="Arial"/>
                <w:sz w:val="20"/>
                <w:szCs w:val="20"/>
              </w:rPr>
              <w:t xml:space="preserve"> (1.434)</w:t>
            </w:r>
          </w:p>
        </w:tc>
        <w:tc>
          <w:tcPr>
            <w:tcW w:w="666" w:type="pct"/>
            <w:tcBorders>
              <w:top w:val="nil"/>
              <w:left w:val="nil"/>
              <w:bottom w:val="nil"/>
              <w:right w:val="nil"/>
            </w:tcBorders>
            <w:shd w:val="clear" w:color="auto" w:fill="auto"/>
            <w:vAlign w:val="bottom"/>
          </w:tcPr>
          <w:p w14:paraId="48372639" w14:textId="534AB670" w:rsidR="002100E3" w:rsidRPr="00B26970" w:rsidRDefault="002100E3" w:rsidP="002100E3">
            <w:pPr>
              <w:suppressAutoHyphens/>
              <w:autoSpaceDN w:val="0"/>
              <w:spacing w:line="301" w:lineRule="exact"/>
              <w:jc w:val="right"/>
              <w:outlineLvl w:val="0"/>
              <w:rPr>
                <w:rFonts w:ascii="Arial" w:eastAsia="Times New Roman" w:hAnsi="Arial" w:cs="Arial"/>
                <w:bCs/>
                <w:color w:val="000000" w:themeColor="text1"/>
                <w:spacing w:val="-2"/>
                <w:sz w:val="20"/>
                <w:szCs w:val="20"/>
              </w:rPr>
            </w:pPr>
            <w:r w:rsidRPr="00B26970">
              <w:rPr>
                <w:rFonts w:ascii="Arial" w:eastAsia="Times New Roman" w:hAnsi="Arial" w:cs="Arial"/>
                <w:bCs/>
                <w:color w:val="000000" w:themeColor="text1"/>
                <w:spacing w:val="-2"/>
                <w:sz w:val="20"/>
                <w:szCs w:val="20"/>
              </w:rPr>
              <w:t xml:space="preserve"> (337)</w:t>
            </w:r>
          </w:p>
        </w:tc>
        <w:tc>
          <w:tcPr>
            <w:tcW w:w="718" w:type="pct"/>
            <w:tcBorders>
              <w:top w:val="nil"/>
              <w:left w:val="nil"/>
              <w:bottom w:val="nil"/>
              <w:right w:val="nil"/>
            </w:tcBorders>
            <w:shd w:val="clear" w:color="auto" w:fill="auto"/>
            <w:vAlign w:val="bottom"/>
          </w:tcPr>
          <w:p w14:paraId="06C242F6" w14:textId="31907CE2" w:rsidR="002100E3" w:rsidRPr="00B26970" w:rsidRDefault="002100E3" w:rsidP="002100E3">
            <w:pPr>
              <w:suppressAutoHyphens/>
              <w:autoSpaceDN w:val="0"/>
              <w:spacing w:line="301" w:lineRule="exact"/>
              <w:jc w:val="right"/>
              <w:outlineLvl w:val="0"/>
              <w:rPr>
                <w:rFonts w:ascii="Arial" w:eastAsia="Times New Roman" w:hAnsi="Arial" w:cs="Arial"/>
                <w:color w:val="000000" w:themeColor="text1"/>
                <w:sz w:val="20"/>
                <w:szCs w:val="20"/>
              </w:rPr>
            </w:pPr>
            <w:r w:rsidRPr="00B26970">
              <w:rPr>
                <w:rFonts w:ascii="Arial" w:eastAsia="Times New Roman" w:hAnsi="Arial" w:cs="Arial"/>
                <w:bCs/>
                <w:color w:val="000000" w:themeColor="text1"/>
                <w:spacing w:val="-2"/>
                <w:sz w:val="20"/>
                <w:szCs w:val="20"/>
              </w:rPr>
              <w:t xml:space="preserve"> (1.008)</w:t>
            </w:r>
          </w:p>
        </w:tc>
      </w:tr>
      <w:tr w:rsidR="002100E3" w:rsidRPr="00F43653" w14:paraId="3B5819BF" w14:textId="77777777" w:rsidTr="005C4A9D">
        <w:tc>
          <w:tcPr>
            <w:tcW w:w="1689" w:type="pct"/>
            <w:vAlign w:val="bottom"/>
          </w:tcPr>
          <w:p w14:paraId="4C502EDA" w14:textId="0E7AAF22" w:rsidR="002100E3" w:rsidRPr="00F43653" w:rsidRDefault="002100E3" w:rsidP="002100E3">
            <w:pPr>
              <w:tabs>
                <w:tab w:val="right" w:pos="1202"/>
              </w:tabs>
              <w:suppressAutoHyphens/>
              <w:autoSpaceDN w:val="0"/>
              <w:spacing w:line="301" w:lineRule="exact"/>
              <w:outlineLvl w:val="0"/>
              <w:rPr>
                <w:rFonts w:ascii="Arial" w:eastAsia="Times New Roman" w:hAnsi="Arial" w:cs="Arial"/>
                <w:bCs/>
                <w:color w:val="000000" w:themeColor="text1"/>
                <w:spacing w:val="-2"/>
                <w:sz w:val="20"/>
                <w:szCs w:val="20"/>
              </w:rPr>
            </w:pPr>
            <w:bookmarkStart w:id="142" w:name="_Toc67327006"/>
            <w:r w:rsidRPr="00F43653">
              <w:rPr>
                <w:rFonts w:ascii="Arial" w:eastAsia="Times New Roman" w:hAnsi="Arial" w:cs="Arial"/>
                <w:bCs/>
                <w:color w:val="000000" w:themeColor="text1"/>
                <w:spacing w:val="-2"/>
                <w:sz w:val="20"/>
                <w:szCs w:val="20"/>
              </w:rPr>
              <w:t>Ostali troškovi</w:t>
            </w:r>
            <w:bookmarkEnd w:id="142"/>
          </w:p>
        </w:tc>
        <w:tc>
          <w:tcPr>
            <w:tcW w:w="544" w:type="pct"/>
            <w:vAlign w:val="bottom"/>
          </w:tcPr>
          <w:p w14:paraId="3B2234BE" w14:textId="77777777" w:rsidR="002100E3" w:rsidRPr="00CC7FB0" w:rsidRDefault="002100E3" w:rsidP="002100E3">
            <w:pPr>
              <w:tabs>
                <w:tab w:val="right" w:pos="1202"/>
              </w:tabs>
              <w:suppressAutoHyphens/>
              <w:autoSpaceDN w:val="0"/>
              <w:spacing w:line="301" w:lineRule="exact"/>
              <w:jc w:val="center"/>
              <w:outlineLvl w:val="0"/>
              <w:rPr>
                <w:rFonts w:ascii="Arial" w:eastAsia="Times New Roman" w:hAnsi="Arial" w:cs="Arial"/>
                <w:bCs/>
                <w:color w:val="000000" w:themeColor="text1"/>
                <w:spacing w:val="-2"/>
                <w:sz w:val="20"/>
                <w:szCs w:val="20"/>
              </w:rPr>
            </w:pPr>
            <w:bookmarkStart w:id="143" w:name="_Toc67327007"/>
            <w:r w:rsidRPr="00CC7FB0">
              <w:rPr>
                <w:rFonts w:ascii="Arial" w:eastAsia="Times New Roman" w:hAnsi="Arial" w:cs="Arial"/>
                <w:bCs/>
                <w:color w:val="000000" w:themeColor="text1"/>
                <w:spacing w:val="-2"/>
                <w:sz w:val="20"/>
                <w:szCs w:val="20"/>
              </w:rPr>
              <w:t>7 c)</w:t>
            </w:r>
            <w:bookmarkEnd w:id="143"/>
          </w:p>
        </w:tc>
        <w:tc>
          <w:tcPr>
            <w:tcW w:w="665" w:type="pct"/>
            <w:tcBorders>
              <w:top w:val="nil"/>
              <w:left w:val="nil"/>
              <w:bottom w:val="nil"/>
              <w:right w:val="nil"/>
            </w:tcBorders>
            <w:shd w:val="clear" w:color="auto" w:fill="auto"/>
          </w:tcPr>
          <w:p w14:paraId="41BCF7F8" w14:textId="413AE4EC" w:rsidR="002100E3" w:rsidRPr="00B26970" w:rsidRDefault="002100E3" w:rsidP="002100E3">
            <w:pPr>
              <w:suppressAutoHyphens/>
              <w:autoSpaceDN w:val="0"/>
              <w:spacing w:line="301" w:lineRule="exact"/>
              <w:jc w:val="right"/>
              <w:outlineLvl w:val="0"/>
              <w:rPr>
                <w:rFonts w:ascii="Arial" w:eastAsia="Times New Roman" w:hAnsi="Arial" w:cs="Arial"/>
                <w:bCs/>
                <w:color w:val="000000" w:themeColor="text1"/>
                <w:spacing w:val="-2"/>
                <w:sz w:val="20"/>
                <w:szCs w:val="20"/>
              </w:rPr>
            </w:pPr>
            <w:r w:rsidRPr="00B26970">
              <w:rPr>
                <w:rFonts w:ascii="Arial" w:hAnsi="Arial" w:cs="Arial"/>
                <w:sz w:val="20"/>
                <w:szCs w:val="20"/>
              </w:rPr>
              <w:t xml:space="preserve"> (1.454)</w:t>
            </w:r>
          </w:p>
        </w:tc>
        <w:tc>
          <w:tcPr>
            <w:tcW w:w="718" w:type="pct"/>
            <w:tcBorders>
              <w:top w:val="nil"/>
              <w:left w:val="nil"/>
              <w:bottom w:val="nil"/>
              <w:right w:val="nil"/>
            </w:tcBorders>
            <w:shd w:val="clear" w:color="auto" w:fill="auto"/>
          </w:tcPr>
          <w:p w14:paraId="0981B007" w14:textId="0B6CFC4B" w:rsidR="002100E3" w:rsidRPr="00B26970" w:rsidRDefault="002100E3" w:rsidP="002100E3">
            <w:pPr>
              <w:suppressAutoHyphens/>
              <w:autoSpaceDN w:val="0"/>
              <w:spacing w:line="301" w:lineRule="exact"/>
              <w:jc w:val="right"/>
              <w:outlineLvl w:val="0"/>
              <w:rPr>
                <w:rFonts w:ascii="Arial" w:eastAsia="Times New Roman" w:hAnsi="Arial" w:cs="Arial"/>
                <w:bCs/>
                <w:color w:val="000000" w:themeColor="text1"/>
                <w:spacing w:val="-2"/>
                <w:sz w:val="20"/>
                <w:szCs w:val="20"/>
              </w:rPr>
            </w:pPr>
            <w:r w:rsidRPr="00B26970">
              <w:rPr>
                <w:rFonts w:ascii="Arial" w:hAnsi="Arial" w:cs="Arial"/>
                <w:sz w:val="20"/>
                <w:szCs w:val="20"/>
              </w:rPr>
              <w:t xml:space="preserve"> (5.934)</w:t>
            </w:r>
          </w:p>
        </w:tc>
        <w:tc>
          <w:tcPr>
            <w:tcW w:w="666" w:type="pct"/>
            <w:tcBorders>
              <w:top w:val="nil"/>
              <w:left w:val="nil"/>
              <w:bottom w:val="nil"/>
              <w:right w:val="nil"/>
            </w:tcBorders>
            <w:shd w:val="clear" w:color="auto" w:fill="auto"/>
            <w:vAlign w:val="bottom"/>
          </w:tcPr>
          <w:p w14:paraId="2A4E24CE" w14:textId="00F82CC4" w:rsidR="002100E3" w:rsidRPr="00B26970" w:rsidRDefault="002100E3" w:rsidP="002100E3">
            <w:pPr>
              <w:suppressAutoHyphens/>
              <w:autoSpaceDN w:val="0"/>
              <w:spacing w:line="301" w:lineRule="exact"/>
              <w:jc w:val="right"/>
              <w:outlineLvl w:val="0"/>
              <w:rPr>
                <w:rFonts w:ascii="Arial" w:eastAsia="Times New Roman" w:hAnsi="Arial" w:cs="Arial"/>
                <w:bCs/>
                <w:color w:val="000000" w:themeColor="text1"/>
                <w:spacing w:val="-2"/>
                <w:sz w:val="20"/>
                <w:szCs w:val="20"/>
              </w:rPr>
            </w:pPr>
            <w:r w:rsidRPr="00B26970">
              <w:rPr>
                <w:rFonts w:ascii="Arial" w:eastAsia="Times New Roman" w:hAnsi="Arial" w:cs="Arial"/>
                <w:bCs/>
                <w:color w:val="000000" w:themeColor="text1"/>
                <w:spacing w:val="-2"/>
                <w:sz w:val="20"/>
                <w:szCs w:val="20"/>
              </w:rPr>
              <w:t xml:space="preserve"> (1.358)</w:t>
            </w:r>
          </w:p>
        </w:tc>
        <w:tc>
          <w:tcPr>
            <w:tcW w:w="718" w:type="pct"/>
            <w:tcBorders>
              <w:top w:val="nil"/>
              <w:left w:val="nil"/>
              <w:bottom w:val="nil"/>
              <w:right w:val="nil"/>
            </w:tcBorders>
            <w:shd w:val="clear" w:color="auto" w:fill="auto"/>
            <w:vAlign w:val="bottom"/>
          </w:tcPr>
          <w:p w14:paraId="12E6CD21" w14:textId="0771FAE3" w:rsidR="002100E3" w:rsidRPr="00B26970" w:rsidRDefault="002100E3" w:rsidP="002100E3">
            <w:pPr>
              <w:suppressAutoHyphens/>
              <w:autoSpaceDN w:val="0"/>
              <w:spacing w:line="301" w:lineRule="exact"/>
              <w:jc w:val="right"/>
              <w:outlineLvl w:val="0"/>
              <w:rPr>
                <w:rFonts w:ascii="Arial" w:eastAsia="Times New Roman" w:hAnsi="Arial" w:cs="Arial"/>
                <w:color w:val="000000" w:themeColor="text1"/>
                <w:sz w:val="20"/>
                <w:szCs w:val="20"/>
              </w:rPr>
            </w:pPr>
            <w:r w:rsidRPr="00B26970">
              <w:rPr>
                <w:rFonts w:ascii="Arial" w:eastAsia="Times New Roman" w:hAnsi="Arial" w:cs="Arial"/>
                <w:bCs/>
                <w:color w:val="000000" w:themeColor="text1"/>
                <w:spacing w:val="-2"/>
                <w:sz w:val="20"/>
                <w:szCs w:val="20"/>
              </w:rPr>
              <w:t xml:space="preserve"> (5.289)</w:t>
            </w:r>
          </w:p>
        </w:tc>
      </w:tr>
      <w:tr w:rsidR="009C2F01" w:rsidRPr="00F43653" w14:paraId="2622FB00" w14:textId="77777777" w:rsidTr="009C2F01">
        <w:tc>
          <w:tcPr>
            <w:tcW w:w="1689" w:type="pct"/>
            <w:vAlign w:val="bottom"/>
          </w:tcPr>
          <w:p w14:paraId="4C7AE7A0" w14:textId="72AE8C4C" w:rsidR="009C2F01" w:rsidRPr="00F43653" w:rsidRDefault="009C2F01" w:rsidP="009C2F01">
            <w:pPr>
              <w:tabs>
                <w:tab w:val="right" w:pos="1202"/>
              </w:tabs>
              <w:suppressAutoHyphens/>
              <w:autoSpaceDN w:val="0"/>
              <w:spacing w:line="301" w:lineRule="exact"/>
              <w:outlineLvl w:val="0"/>
              <w:rPr>
                <w:rFonts w:ascii="Arial" w:eastAsia="Times New Roman" w:hAnsi="Arial" w:cs="Arial"/>
                <w:bCs/>
                <w:color w:val="000000" w:themeColor="text1"/>
                <w:spacing w:val="-2"/>
                <w:sz w:val="20"/>
                <w:szCs w:val="20"/>
              </w:rPr>
            </w:pPr>
            <w:r>
              <w:rPr>
                <w:rFonts w:ascii="Arial" w:eastAsia="Times New Roman" w:hAnsi="Arial" w:cs="Arial"/>
                <w:bCs/>
                <w:color w:val="000000" w:themeColor="text1"/>
                <w:spacing w:val="-2"/>
                <w:sz w:val="20"/>
                <w:szCs w:val="20"/>
              </w:rPr>
              <w:t>Trošak subvencije na teret poslovanja HBOR-a</w:t>
            </w:r>
          </w:p>
        </w:tc>
        <w:tc>
          <w:tcPr>
            <w:tcW w:w="544" w:type="pct"/>
            <w:vAlign w:val="bottom"/>
          </w:tcPr>
          <w:p w14:paraId="2214B9CC" w14:textId="77777777" w:rsidR="009C2F01" w:rsidRPr="00CC7FB0" w:rsidRDefault="009C2F01" w:rsidP="009C2F01">
            <w:pPr>
              <w:tabs>
                <w:tab w:val="right" w:pos="1202"/>
              </w:tabs>
              <w:suppressAutoHyphens/>
              <w:autoSpaceDN w:val="0"/>
              <w:spacing w:line="301" w:lineRule="exact"/>
              <w:jc w:val="center"/>
              <w:outlineLvl w:val="0"/>
              <w:rPr>
                <w:rFonts w:ascii="Arial" w:eastAsia="Times New Roman" w:hAnsi="Arial" w:cs="Arial"/>
                <w:bCs/>
                <w:color w:val="000000" w:themeColor="text1"/>
                <w:spacing w:val="-2"/>
                <w:sz w:val="20"/>
                <w:szCs w:val="20"/>
              </w:rPr>
            </w:pPr>
          </w:p>
        </w:tc>
        <w:tc>
          <w:tcPr>
            <w:tcW w:w="665" w:type="pct"/>
            <w:tcBorders>
              <w:top w:val="nil"/>
              <w:left w:val="nil"/>
              <w:bottom w:val="nil"/>
              <w:right w:val="nil"/>
            </w:tcBorders>
            <w:shd w:val="clear" w:color="auto" w:fill="auto"/>
            <w:vAlign w:val="bottom"/>
          </w:tcPr>
          <w:p w14:paraId="10288454" w14:textId="22179C8A" w:rsidR="009C2F01" w:rsidRPr="00B26970" w:rsidRDefault="009C2F01" w:rsidP="009C2F01">
            <w:pPr>
              <w:suppressAutoHyphens/>
              <w:autoSpaceDN w:val="0"/>
              <w:spacing w:line="301" w:lineRule="exact"/>
              <w:jc w:val="right"/>
              <w:outlineLvl w:val="0"/>
              <w:rPr>
                <w:rFonts w:ascii="Arial" w:eastAsia="Times New Roman" w:hAnsi="Arial" w:cs="Arial"/>
                <w:bCs/>
                <w:color w:val="000000" w:themeColor="text1"/>
                <w:spacing w:val="-2"/>
                <w:sz w:val="20"/>
                <w:szCs w:val="20"/>
              </w:rPr>
            </w:pPr>
            <w:r w:rsidRPr="00B26970">
              <w:rPr>
                <w:rFonts w:ascii="Arial" w:hAnsi="Arial" w:cs="Arial"/>
                <w:sz w:val="20"/>
                <w:szCs w:val="20"/>
              </w:rPr>
              <w:t xml:space="preserve"> (129)</w:t>
            </w:r>
          </w:p>
        </w:tc>
        <w:tc>
          <w:tcPr>
            <w:tcW w:w="718" w:type="pct"/>
            <w:tcBorders>
              <w:top w:val="nil"/>
              <w:left w:val="nil"/>
              <w:bottom w:val="nil"/>
              <w:right w:val="nil"/>
            </w:tcBorders>
            <w:shd w:val="clear" w:color="auto" w:fill="auto"/>
            <w:vAlign w:val="bottom"/>
          </w:tcPr>
          <w:p w14:paraId="7D694D59" w14:textId="7EDD11F3" w:rsidR="009C2F01" w:rsidRPr="00B26970" w:rsidRDefault="009C2F01" w:rsidP="009C2F01">
            <w:pPr>
              <w:suppressAutoHyphens/>
              <w:autoSpaceDN w:val="0"/>
              <w:spacing w:line="301" w:lineRule="exact"/>
              <w:jc w:val="right"/>
              <w:outlineLvl w:val="0"/>
              <w:rPr>
                <w:rFonts w:ascii="Arial" w:eastAsia="Times New Roman" w:hAnsi="Arial" w:cs="Arial"/>
                <w:bCs/>
                <w:color w:val="000000" w:themeColor="text1"/>
                <w:spacing w:val="-2"/>
                <w:sz w:val="20"/>
                <w:szCs w:val="20"/>
              </w:rPr>
            </w:pPr>
            <w:r w:rsidRPr="00B26970">
              <w:rPr>
                <w:rFonts w:ascii="Arial" w:hAnsi="Arial" w:cs="Arial"/>
                <w:sz w:val="20"/>
                <w:szCs w:val="20"/>
              </w:rPr>
              <w:t xml:space="preserve"> (443)</w:t>
            </w:r>
          </w:p>
        </w:tc>
        <w:tc>
          <w:tcPr>
            <w:tcW w:w="666" w:type="pct"/>
            <w:tcBorders>
              <w:top w:val="nil"/>
              <w:left w:val="nil"/>
              <w:bottom w:val="nil"/>
              <w:right w:val="nil"/>
            </w:tcBorders>
            <w:shd w:val="clear" w:color="auto" w:fill="auto"/>
            <w:vAlign w:val="bottom"/>
          </w:tcPr>
          <w:p w14:paraId="4BC9506F" w14:textId="48F3ED75" w:rsidR="009C2F01" w:rsidRPr="00B26970" w:rsidRDefault="009C2F01" w:rsidP="009C2F01">
            <w:pPr>
              <w:suppressAutoHyphens/>
              <w:autoSpaceDN w:val="0"/>
              <w:spacing w:line="301" w:lineRule="exact"/>
              <w:jc w:val="right"/>
              <w:outlineLvl w:val="0"/>
              <w:rPr>
                <w:rFonts w:ascii="Arial" w:eastAsia="Times New Roman" w:hAnsi="Arial" w:cs="Arial"/>
                <w:bCs/>
                <w:color w:val="000000" w:themeColor="text1"/>
                <w:spacing w:val="-2"/>
                <w:sz w:val="20"/>
                <w:szCs w:val="20"/>
              </w:rPr>
            </w:pPr>
            <w:r w:rsidRPr="00B26970">
              <w:rPr>
                <w:rFonts w:ascii="Arial" w:eastAsia="Times New Roman" w:hAnsi="Arial" w:cs="Arial"/>
                <w:bCs/>
                <w:color w:val="000000" w:themeColor="text1"/>
                <w:spacing w:val="-2"/>
                <w:sz w:val="20"/>
                <w:szCs w:val="20"/>
              </w:rPr>
              <w:t>-</w:t>
            </w:r>
          </w:p>
        </w:tc>
        <w:tc>
          <w:tcPr>
            <w:tcW w:w="718" w:type="pct"/>
            <w:tcBorders>
              <w:top w:val="nil"/>
              <w:left w:val="nil"/>
              <w:bottom w:val="nil"/>
              <w:right w:val="nil"/>
            </w:tcBorders>
            <w:shd w:val="clear" w:color="auto" w:fill="auto"/>
            <w:vAlign w:val="bottom"/>
          </w:tcPr>
          <w:p w14:paraId="051F8AF8" w14:textId="50E97712" w:rsidR="009C2F01" w:rsidRPr="00B26970" w:rsidRDefault="009C2F01" w:rsidP="009C2F01">
            <w:pPr>
              <w:suppressAutoHyphens/>
              <w:autoSpaceDN w:val="0"/>
              <w:spacing w:line="301" w:lineRule="exact"/>
              <w:jc w:val="right"/>
              <w:outlineLvl w:val="0"/>
              <w:rPr>
                <w:rFonts w:ascii="Arial" w:eastAsia="Times New Roman" w:hAnsi="Arial" w:cs="Arial"/>
                <w:bCs/>
                <w:color w:val="000000" w:themeColor="text1"/>
                <w:spacing w:val="-2"/>
                <w:sz w:val="20"/>
                <w:szCs w:val="20"/>
              </w:rPr>
            </w:pPr>
            <w:r w:rsidRPr="00B26970">
              <w:rPr>
                <w:rFonts w:ascii="Arial" w:eastAsia="Times New Roman" w:hAnsi="Arial" w:cs="Arial"/>
                <w:bCs/>
                <w:color w:val="000000" w:themeColor="text1"/>
                <w:spacing w:val="-2"/>
                <w:sz w:val="20"/>
                <w:szCs w:val="20"/>
              </w:rPr>
              <w:t>-</w:t>
            </w:r>
          </w:p>
        </w:tc>
      </w:tr>
      <w:tr w:rsidR="003D4F6D" w:rsidRPr="00F43653" w14:paraId="1F071612" w14:textId="77777777" w:rsidTr="003D4F6D">
        <w:tc>
          <w:tcPr>
            <w:tcW w:w="1689" w:type="pct"/>
            <w:vAlign w:val="bottom"/>
          </w:tcPr>
          <w:p w14:paraId="3DE0750D" w14:textId="329424BA" w:rsidR="003D4F6D" w:rsidRPr="00F43653" w:rsidRDefault="003D4F6D" w:rsidP="003D4F6D">
            <w:pPr>
              <w:tabs>
                <w:tab w:val="right" w:pos="1202"/>
              </w:tabs>
              <w:suppressAutoHyphens/>
              <w:autoSpaceDN w:val="0"/>
              <w:spacing w:line="301" w:lineRule="exact"/>
              <w:outlineLvl w:val="0"/>
              <w:rPr>
                <w:rFonts w:ascii="Arial" w:eastAsia="Times New Roman" w:hAnsi="Arial" w:cs="Arial"/>
                <w:bCs/>
                <w:color w:val="000000" w:themeColor="text1"/>
                <w:spacing w:val="-2"/>
                <w:sz w:val="20"/>
                <w:szCs w:val="20"/>
              </w:rPr>
            </w:pPr>
            <w:bookmarkStart w:id="144" w:name="_Toc67327010"/>
            <w:r w:rsidRPr="00AC3341">
              <w:rPr>
                <w:rFonts w:ascii="Arial" w:eastAsia="Times New Roman" w:hAnsi="Arial" w:cs="Arial"/>
                <w:bCs/>
                <w:color w:val="000000" w:themeColor="text1"/>
                <w:spacing w:val="-2"/>
                <w:sz w:val="20"/>
                <w:szCs w:val="20"/>
              </w:rPr>
              <w:t>Dobitak od</w:t>
            </w:r>
            <w:r w:rsidRPr="00F43653">
              <w:rPr>
                <w:rFonts w:ascii="Arial" w:eastAsia="Times New Roman" w:hAnsi="Arial" w:cs="Arial"/>
                <w:bCs/>
                <w:color w:val="000000" w:themeColor="text1"/>
                <w:spacing w:val="-2"/>
                <w:sz w:val="20"/>
                <w:szCs w:val="20"/>
              </w:rPr>
              <w:t xml:space="preserve"> umanjenja vrijednosti i rezerviranja</w:t>
            </w:r>
            <w:bookmarkEnd w:id="144"/>
          </w:p>
        </w:tc>
        <w:tc>
          <w:tcPr>
            <w:tcW w:w="544" w:type="pct"/>
            <w:vAlign w:val="bottom"/>
          </w:tcPr>
          <w:p w14:paraId="66F74432" w14:textId="77777777" w:rsidR="003D4F6D" w:rsidRPr="00CC7FB0" w:rsidRDefault="003D4F6D" w:rsidP="003D4F6D">
            <w:pPr>
              <w:tabs>
                <w:tab w:val="right" w:pos="1202"/>
              </w:tabs>
              <w:suppressAutoHyphens/>
              <w:autoSpaceDN w:val="0"/>
              <w:spacing w:line="301" w:lineRule="exact"/>
              <w:jc w:val="center"/>
              <w:outlineLvl w:val="0"/>
              <w:rPr>
                <w:rFonts w:ascii="Arial" w:eastAsia="Times New Roman" w:hAnsi="Arial" w:cs="Arial"/>
                <w:bCs/>
                <w:color w:val="000000" w:themeColor="text1"/>
                <w:spacing w:val="-2"/>
                <w:sz w:val="20"/>
                <w:szCs w:val="20"/>
              </w:rPr>
            </w:pPr>
            <w:r w:rsidRPr="00CC7FB0">
              <w:rPr>
                <w:rFonts w:ascii="Arial" w:eastAsia="Times New Roman" w:hAnsi="Arial" w:cs="Arial"/>
                <w:bCs/>
                <w:color w:val="000000" w:themeColor="text1"/>
                <w:spacing w:val="-2"/>
                <w:sz w:val="20"/>
                <w:szCs w:val="20"/>
              </w:rPr>
              <w:t>8</w:t>
            </w:r>
          </w:p>
        </w:tc>
        <w:tc>
          <w:tcPr>
            <w:tcW w:w="665" w:type="pct"/>
            <w:tcBorders>
              <w:top w:val="nil"/>
              <w:left w:val="nil"/>
              <w:bottom w:val="nil"/>
              <w:right w:val="nil"/>
            </w:tcBorders>
            <w:shd w:val="clear" w:color="auto" w:fill="auto"/>
            <w:vAlign w:val="bottom"/>
          </w:tcPr>
          <w:p w14:paraId="7D3E9948" w14:textId="45ADBD23" w:rsidR="003D4F6D" w:rsidRPr="00B26970" w:rsidRDefault="003D4F6D" w:rsidP="003D4F6D">
            <w:pPr>
              <w:suppressAutoHyphens/>
              <w:autoSpaceDN w:val="0"/>
              <w:spacing w:line="301" w:lineRule="exact"/>
              <w:jc w:val="right"/>
              <w:outlineLvl w:val="0"/>
              <w:rPr>
                <w:rFonts w:ascii="Arial" w:eastAsia="Times New Roman" w:hAnsi="Arial" w:cs="Arial"/>
                <w:bCs/>
                <w:color w:val="000000" w:themeColor="text1"/>
                <w:spacing w:val="-2"/>
                <w:sz w:val="20"/>
                <w:szCs w:val="20"/>
              </w:rPr>
            </w:pPr>
            <w:r w:rsidRPr="00B26970">
              <w:rPr>
                <w:rFonts w:ascii="Arial" w:hAnsi="Arial" w:cs="Arial"/>
                <w:sz w:val="20"/>
                <w:szCs w:val="20"/>
              </w:rPr>
              <w:t xml:space="preserve"> (8.778)</w:t>
            </w:r>
          </w:p>
        </w:tc>
        <w:tc>
          <w:tcPr>
            <w:tcW w:w="718" w:type="pct"/>
            <w:tcBorders>
              <w:top w:val="nil"/>
              <w:left w:val="nil"/>
              <w:bottom w:val="nil"/>
              <w:right w:val="nil"/>
            </w:tcBorders>
            <w:shd w:val="clear" w:color="auto" w:fill="auto"/>
            <w:vAlign w:val="bottom"/>
          </w:tcPr>
          <w:p w14:paraId="658B55EA" w14:textId="353DB6EA" w:rsidR="003D4F6D" w:rsidRPr="00B26970" w:rsidRDefault="003D4F6D" w:rsidP="003D4F6D">
            <w:pPr>
              <w:suppressAutoHyphens/>
              <w:autoSpaceDN w:val="0"/>
              <w:spacing w:line="301" w:lineRule="exact"/>
              <w:jc w:val="right"/>
              <w:outlineLvl w:val="0"/>
              <w:rPr>
                <w:rFonts w:ascii="Arial" w:eastAsia="Times New Roman" w:hAnsi="Arial" w:cs="Arial"/>
                <w:bCs/>
                <w:color w:val="000000" w:themeColor="text1"/>
                <w:spacing w:val="-2"/>
                <w:sz w:val="20"/>
                <w:szCs w:val="20"/>
              </w:rPr>
            </w:pPr>
            <w:r w:rsidRPr="00B26970">
              <w:rPr>
                <w:rFonts w:ascii="Arial" w:hAnsi="Arial" w:cs="Arial"/>
                <w:sz w:val="20"/>
                <w:szCs w:val="20"/>
              </w:rPr>
              <w:t xml:space="preserve"> 6.511 </w:t>
            </w:r>
          </w:p>
        </w:tc>
        <w:tc>
          <w:tcPr>
            <w:tcW w:w="666" w:type="pct"/>
            <w:tcBorders>
              <w:top w:val="nil"/>
              <w:left w:val="nil"/>
              <w:bottom w:val="nil"/>
              <w:right w:val="nil"/>
            </w:tcBorders>
            <w:shd w:val="clear" w:color="auto" w:fill="auto"/>
            <w:vAlign w:val="bottom"/>
          </w:tcPr>
          <w:p w14:paraId="37000F27" w14:textId="70094136" w:rsidR="003D4F6D" w:rsidRPr="00B26970" w:rsidRDefault="003D4F6D" w:rsidP="003D4F6D">
            <w:pPr>
              <w:suppressAutoHyphens/>
              <w:autoSpaceDN w:val="0"/>
              <w:spacing w:line="301" w:lineRule="exact"/>
              <w:jc w:val="right"/>
              <w:outlineLvl w:val="0"/>
              <w:rPr>
                <w:rFonts w:ascii="Arial" w:eastAsia="Times New Roman" w:hAnsi="Arial" w:cs="Arial"/>
                <w:bCs/>
                <w:color w:val="000000" w:themeColor="text1"/>
                <w:spacing w:val="-2"/>
                <w:sz w:val="20"/>
                <w:szCs w:val="20"/>
              </w:rPr>
            </w:pPr>
            <w:r w:rsidRPr="00B26970">
              <w:rPr>
                <w:rFonts w:ascii="Arial" w:eastAsia="Times New Roman" w:hAnsi="Arial" w:cs="Arial"/>
                <w:bCs/>
                <w:color w:val="000000" w:themeColor="text1"/>
                <w:spacing w:val="-2"/>
                <w:sz w:val="20"/>
                <w:szCs w:val="20"/>
              </w:rPr>
              <w:t xml:space="preserve"> 7.897 </w:t>
            </w:r>
          </w:p>
        </w:tc>
        <w:tc>
          <w:tcPr>
            <w:tcW w:w="718" w:type="pct"/>
            <w:tcBorders>
              <w:top w:val="nil"/>
              <w:left w:val="nil"/>
              <w:bottom w:val="nil"/>
              <w:right w:val="nil"/>
            </w:tcBorders>
            <w:shd w:val="clear" w:color="auto" w:fill="auto"/>
            <w:vAlign w:val="bottom"/>
          </w:tcPr>
          <w:p w14:paraId="18520E9B" w14:textId="59E3431D" w:rsidR="003D4F6D" w:rsidRPr="00B26970" w:rsidRDefault="003D4F6D" w:rsidP="003D4F6D">
            <w:pPr>
              <w:suppressAutoHyphens/>
              <w:autoSpaceDN w:val="0"/>
              <w:spacing w:line="301" w:lineRule="exact"/>
              <w:jc w:val="right"/>
              <w:outlineLvl w:val="0"/>
              <w:rPr>
                <w:rFonts w:ascii="Arial" w:eastAsia="Times New Roman" w:hAnsi="Arial" w:cs="Arial"/>
                <w:bCs/>
                <w:color w:val="000000" w:themeColor="text1"/>
                <w:spacing w:val="-2"/>
                <w:sz w:val="20"/>
                <w:szCs w:val="20"/>
              </w:rPr>
            </w:pPr>
            <w:r w:rsidRPr="00B26970">
              <w:rPr>
                <w:rFonts w:ascii="Arial" w:eastAsia="Times New Roman" w:hAnsi="Arial" w:cs="Arial"/>
                <w:bCs/>
                <w:color w:val="000000" w:themeColor="text1"/>
                <w:spacing w:val="-2"/>
                <w:sz w:val="20"/>
                <w:szCs w:val="20"/>
              </w:rPr>
              <w:t xml:space="preserve"> 17.034 </w:t>
            </w:r>
          </w:p>
        </w:tc>
      </w:tr>
      <w:tr w:rsidR="003D4F6D" w:rsidRPr="00F43653" w14:paraId="48FE4126" w14:textId="77777777" w:rsidTr="00EE68BD">
        <w:tc>
          <w:tcPr>
            <w:tcW w:w="1689" w:type="pct"/>
            <w:vAlign w:val="bottom"/>
          </w:tcPr>
          <w:p w14:paraId="6DE66822" w14:textId="6CD0E020" w:rsidR="003D4F6D" w:rsidRPr="00F43653" w:rsidRDefault="003D4F6D" w:rsidP="003D4F6D">
            <w:pPr>
              <w:tabs>
                <w:tab w:val="right" w:pos="1202"/>
              </w:tabs>
              <w:suppressAutoHyphens/>
              <w:autoSpaceDN w:val="0"/>
              <w:spacing w:line="340" w:lineRule="exact"/>
              <w:outlineLvl w:val="0"/>
              <w:rPr>
                <w:rFonts w:ascii="Arial" w:eastAsia="Times New Roman" w:hAnsi="Arial" w:cs="Arial"/>
                <w:b/>
                <w:bCs/>
                <w:color w:val="000000" w:themeColor="text1"/>
                <w:sz w:val="20"/>
                <w:szCs w:val="20"/>
              </w:rPr>
            </w:pPr>
            <w:bookmarkStart w:id="145" w:name="_Toc67327014"/>
            <w:r w:rsidRPr="00F43653">
              <w:rPr>
                <w:rFonts w:ascii="Arial" w:eastAsia="Times New Roman" w:hAnsi="Arial" w:cs="Arial"/>
                <w:b/>
                <w:bCs/>
                <w:color w:val="000000" w:themeColor="text1"/>
                <w:sz w:val="20"/>
                <w:szCs w:val="20"/>
              </w:rPr>
              <w:t>Dobit prije oporezivanja</w:t>
            </w:r>
            <w:bookmarkEnd w:id="145"/>
          </w:p>
        </w:tc>
        <w:tc>
          <w:tcPr>
            <w:tcW w:w="544" w:type="pct"/>
            <w:vAlign w:val="bottom"/>
          </w:tcPr>
          <w:p w14:paraId="3B35D803" w14:textId="77777777" w:rsidR="003D4F6D" w:rsidRPr="00F43653" w:rsidRDefault="003D4F6D" w:rsidP="003D4F6D">
            <w:pPr>
              <w:tabs>
                <w:tab w:val="right" w:pos="1202"/>
              </w:tabs>
              <w:suppressAutoHyphens/>
              <w:autoSpaceDN w:val="0"/>
              <w:spacing w:line="340" w:lineRule="exact"/>
              <w:jc w:val="center"/>
              <w:outlineLvl w:val="0"/>
              <w:rPr>
                <w:rFonts w:ascii="Arial" w:eastAsia="Times New Roman" w:hAnsi="Arial" w:cs="Arial"/>
                <w:bCs/>
                <w:color w:val="000000" w:themeColor="text1"/>
                <w:sz w:val="20"/>
                <w:szCs w:val="20"/>
                <w:highlight w:val="yellow"/>
              </w:rPr>
            </w:pPr>
          </w:p>
        </w:tc>
        <w:tc>
          <w:tcPr>
            <w:tcW w:w="665" w:type="pct"/>
            <w:tcBorders>
              <w:top w:val="single" w:sz="4" w:space="0" w:color="auto"/>
              <w:bottom w:val="single" w:sz="12" w:space="0" w:color="auto"/>
            </w:tcBorders>
          </w:tcPr>
          <w:p w14:paraId="20A819C2" w14:textId="759EBBB2" w:rsidR="003D4F6D" w:rsidRPr="00B26970" w:rsidRDefault="003D4F6D" w:rsidP="003D4F6D">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B26970">
              <w:rPr>
                <w:rFonts w:ascii="Arial" w:hAnsi="Arial" w:cs="Arial"/>
                <w:b/>
                <w:bCs/>
                <w:sz w:val="20"/>
                <w:szCs w:val="20"/>
              </w:rPr>
              <w:t xml:space="preserve"> 5.138 </w:t>
            </w:r>
          </w:p>
        </w:tc>
        <w:tc>
          <w:tcPr>
            <w:tcW w:w="718" w:type="pct"/>
            <w:tcBorders>
              <w:top w:val="single" w:sz="4" w:space="0" w:color="auto"/>
              <w:bottom w:val="single" w:sz="12" w:space="0" w:color="auto"/>
            </w:tcBorders>
          </w:tcPr>
          <w:p w14:paraId="6BF0E8BD" w14:textId="65939066" w:rsidR="003D4F6D" w:rsidRPr="00B26970" w:rsidRDefault="003D4F6D" w:rsidP="003D4F6D">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B26970">
              <w:rPr>
                <w:rFonts w:ascii="Arial" w:hAnsi="Arial" w:cs="Arial"/>
                <w:b/>
                <w:bCs/>
                <w:sz w:val="20"/>
                <w:szCs w:val="20"/>
              </w:rPr>
              <w:t xml:space="preserve"> 43.565 </w:t>
            </w:r>
          </w:p>
        </w:tc>
        <w:tc>
          <w:tcPr>
            <w:tcW w:w="666" w:type="pct"/>
            <w:tcBorders>
              <w:top w:val="single" w:sz="4" w:space="0" w:color="auto"/>
              <w:bottom w:val="single" w:sz="12" w:space="0" w:color="auto"/>
            </w:tcBorders>
            <w:vAlign w:val="bottom"/>
          </w:tcPr>
          <w:p w14:paraId="1BACC814" w14:textId="5779105D" w:rsidR="003D4F6D" w:rsidRPr="00B26970" w:rsidRDefault="003D4F6D" w:rsidP="003D4F6D">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B26970">
              <w:rPr>
                <w:rFonts w:ascii="Arial" w:eastAsia="Times New Roman" w:hAnsi="Arial" w:cs="Arial"/>
                <w:b/>
                <w:bCs/>
                <w:color w:val="000000" w:themeColor="text1"/>
                <w:sz w:val="20"/>
                <w:szCs w:val="20"/>
              </w:rPr>
              <w:t xml:space="preserve"> 20.931 </w:t>
            </w:r>
          </w:p>
        </w:tc>
        <w:tc>
          <w:tcPr>
            <w:tcW w:w="718" w:type="pct"/>
            <w:tcBorders>
              <w:top w:val="single" w:sz="4" w:space="0" w:color="auto"/>
              <w:bottom w:val="single" w:sz="12" w:space="0" w:color="auto"/>
            </w:tcBorders>
            <w:vAlign w:val="bottom"/>
          </w:tcPr>
          <w:p w14:paraId="4E846AB3" w14:textId="6EAA08BD" w:rsidR="003D4F6D" w:rsidRPr="00B26970" w:rsidRDefault="003D4F6D" w:rsidP="003D4F6D">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B26970">
              <w:rPr>
                <w:rFonts w:ascii="Arial" w:eastAsia="Times New Roman" w:hAnsi="Arial" w:cs="Arial"/>
                <w:b/>
                <w:bCs/>
                <w:color w:val="000000" w:themeColor="text1"/>
                <w:sz w:val="20"/>
                <w:szCs w:val="20"/>
              </w:rPr>
              <w:t xml:space="preserve"> 50.386 </w:t>
            </w:r>
          </w:p>
        </w:tc>
      </w:tr>
      <w:tr w:rsidR="0014153E" w:rsidRPr="00F43653" w14:paraId="557425B3" w14:textId="77777777" w:rsidTr="005C7D23">
        <w:trPr>
          <w:trHeight w:val="283"/>
        </w:trPr>
        <w:tc>
          <w:tcPr>
            <w:tcW w:w="1689" w:type="pct"/>
            <w:vAlign w:val="bottom"/>
          </w:tcPr>
          <w:p w14:paraId="5D162CC3" w14:textId="77777777" w:rsidR="0014153E" w:rsidRPr="00F43653" w:rsidRDefault="0014153E" w:rsidP="0014153E">
            <w:pPr>
              <w:tabs>
                <w:tab w:val="right" w:pos="1202"/>
              </w:tabs>
              <w:suppressAutoHyphens/>
              <w:autoSpaceDN w:val="0"/>
              <w:spacing w:line="340" w:lineRule="exact"/>
              <w:outlineLvl w:val="0"/>
              <w:rPr>
                <w:rFonts w:ascii="Arial" w:eastAsia="Times New Roman" w:hAnsi="Arial" w:cs="Arial"/>
                <w:b/>
                <w:bCs/>
                <w:color w:val="000000" w:themeColor="text1"/>
                <w:sz w:val="20"/>
                <w:szCs w:val="20"/>
              </w:rPr>
            </w:pPr>
          </w:p>
        </w:tc>
        <w:tc>
          <w:tcPr>
            <w:tcW w:w="544" w:type="pct"/>
            <w:vAlign w:val="bottom"/>
          </w:tcPr>
          <w:p w14:paraId="36C02C80" w14:textId="77777777" w:rsidR="0014153E" w:rsidRPr="00F43653" w:rsidRDefault="0014153E" w:rsidP="0014153E">
            <w:pPr>
              <w:tabs>
                <w:tab w:val="right" w:pos="1202"/>
              </w:tabs>
              <w:suppressAutoHyphens/>
              <w:autoSpaceDN w:val="0"/>
              <w:spacing w:line="340" w:lineRule="exact"/>
              <w:jc w:val="center"/>
              <w:outlineLvl w:val="0"/>
              <w:rPr>
                <w:rFonts w:ascii="Arial" w:eastAsia="Times New Roman" w:hAnsi="Arial" w:cs="Arial"/>
                <w:bCs/>
                <w:color w:val="000000" w:themeColor="text1"/>
                <w:sz w:val="20"/>
                <w:szCs w:val="20"/>
                <w:highlight w:val="yellow"/>
              </w:rPr>
            </w:pPr>
          </w:p>
        </w:tc>
        <w:tc>
          <w:tcPr>
            <w:tcW w:w="665" w:type="pct"/>
            <w:tcBorders>
              <w:top w:val="single" w:sz="12" w:space="0" w:color="auto"/>
            </w:tcBorders>
            <w:vAlign w:val="bottom"/>
          </w:tcPr>
          <w:p w14:paraId="4A3EB67C" w14:textId="77777777" w:rsidR="0014153E" w:rsidRPr="00B26970" w:rsidRDefault="0014153E" w:rsidP="0014153E">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p>
        </w:tc>
        <w:tc>
          <w:tcPr>
            <w:tcW w:w="718" w:type="pct"/>
            <w:tcBorders>
              <w:top w:val="single" w:sz="12" w:space="0" w:color="auto"/>
            </w:tcBorders>
            <w:vAlign w:val="bottom"/>
          </w:tcPr>
          <w:p w14:paraId="62EB876A" w14:textId="77777777" w:rsidR="0014153E" w:rsidRPr="00B26970" w:rsidRDefault="0014153E" w:rsidP="0014153E">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p>
        </w:tc>
        <w:tc>
          <w:tcPr>
            <w:tcW w:w="666" w:type="pct"/>
            <w:tcBorders>
              <w:top w:val="single" w:sz="12" w:space="0" w:color="auto"/>
            </w:tcBorders>
            <w:vAlign w:val="bottom"/>
          </w:tcPr>
          <w:p w14:paraId="0578076A" w14:textId="141D7C85" w:rsidR="0014153E" w:rsidRPr="00B26970" w:rsidRDefault="0014153E" w:rsidP="0014153E">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p>
        </w:tc>
        <w:tc>
          <w:tcPr>
            <w:tcW w:w="718" w:type="pct"/>
            <w:tcBorders>
              <w:top w:val="single" w:sz="12" w:space="0" w:color="auto"/>
            </w:tcBorders>
            <w:vAlign w:val="bottom"/>
          </w:tcPr>
          <w:p w14:paraId="68C129F9" w14:textId="77777777" w:rsidR="0014153E" w:rsidRPr="00B26970" w:rsidRDefault="0014153E" w:rsidP="0014153E">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p>
        </w:tc>
      </w:tr>
      <w:tr w:rsidR="0014153E" w:rsidRPr="00F43653" w14:paraId="76221363" w14:textId="77777777" w:rsidTr="00BE1AD0">
        <w:trPr>
          <w:trHeight w:hRule="exact" w:val="284"/>
        </w:trPr>
        <w:tc>
          <w:tcPr>
            <w:tcW w:w="1689" w:type="pct"/>
            <w:vAlign w:val="bottom"/>
          </w:tcPr>
          <w:p w14:paraId="63D7219C" w14:textId="137147AF" w:rsidR="0014153E" w:rsidRPr="00F43653" w:rsidRDefault="0014153E" w:rsidP="0014153E">
            <w:pPr>
              <w:tabs>
                <w:tab w:val="right" w:pos="1202"/>
              </w:tabs>
              <w:suppressAutoHyphens/>
              <w:autoSpaceDN w:val="0"/>
              <w:outlineLvl w:val="0"/>
              <w:rPr>
                <w:rFonts w:ascii="Arial" w:eastAsia="Times New Roman" w:hAnsi="Arial" w:cs="Arial"/>
                <w:color w:val="000000" w:themeColor="text1"/>
                <w:sz w:val="20"/>
                <w:szCs w:val="20"/>
              </w:rPr>
            </w:pPr>
            <w:bookmarkStart w:id="146" w:name="_Toc67327017"/>
            <w:r w:rsidRPr="00F43653">
              <w:rPr>
                <w:rFonts w:ascii="Arial" w:eastAsia="Times New Roman" w:hAnsi="Arial" w:cs="Arial"/>
                <w:color w:val="000000" w:themeColor="text1"/>
                <w:sz w:val="20"/>
                <w:szCs w:val="20"/>
              </w:rPr>
              <w:t>Porez na dobit</w:t>
            </w:r>
            <w:bookmarkEnd w:id="146"/>
          </w:p>
        </w:tc>
        <w:tc>
          <w:tcPr>
            <w:tcW w:w="544" w:type="pct"/>
            <w:vAlign w:val="bottom"/>
          </w:tcPr>
          <w:p w14:paraId="4F3158DA" w14:textId="77777777" w:rsidR="0014153E" w:rsidRPr="00F43653" w:rsidRDefault="0014153E" w:rsidP="0014153E">
            <w:pPr>
              <w:tabs>
                <w:tab w:val="right" w:pos="1202"/>
              </w:tabs>
              <w:suppressAutoHyphens/>
              <w:autoSpaceDN w:val="0"/>
              <w:jc w:val="center"/>
              <w:outlineLvl w:val="0"/>
              <w:rPr>
                <w:rFonts w:ascii="Arial" w:eastAsia="Times New Roman" w:hAnsi="Arial" w:cs="Arial"/>
                <w:bCs/>
                <w:color w:val="000000" w:themeColor="text1"/>
                <w:sz w:val="20"/>
                <w:szCs w:val="20"/>
                <w:highlight w:val="yellow"/>
              </w:rPr>
            </w:pPr>
          </w:p>
        </w:tc>
        <w:tc>
          <w:tcPr>
            <w:tcW w:w="665" w:type="pct"/>
            <w:tcBorders>
              <w:bottom w:val="single" w:sz="4" w:space="0" w:color="auto"/>
            </w:tcBorders>
            <w:vAlign w:val="bottom"/>
          </w:tcPr>
          <w:p w14:paraId="02129017" w14:textId="6773C405" w:rsidR="0014153E" w:rsidRPr="00B26970" w:rsidRDefault="0014153E" w:rsidP="0014153E">
            <w:pPr>
              <w:tabs>
                <w:tab w:val="right" w:pos="1202"/>
              </w:tabs>
              <w:suppressAutoHyphens/>
              <w:autoSpaceDN w:val="0"/>
              <w:jc w:val="right"/>
              <w:outlineLvl w:val="0"/>
              <w:rPr>
                <w:rFonts w:ascii="Arial" w:eastAsia="Times New Roman" w:hAnsi="Arial" w:cs="Arial"/>
                <w:color w:val="000000" w:themeColor="text1"/>
                <w:sz w:val="20"/>
                <w:szCs w:val="20"/>
              </w:rPr>
            </w:pPr>
            <w:r w:rsidRPr="00B26970">
              <w:rPr>
                <w:rFonts w:ascii="Arial" w:eastAsia="Times New Roman" w:hAnsi="Arial" w:cs="Arial"/>
                <w:color w:val="000000" w:themeColor="text1"/>
                <w:sz w:val="20"/>
                <w:szCs w:val="20"/>
              </w:rPr>
              <w:t>-</w:t>
            </w:r>
          </w:p>
        </w:tc>
        <w:tc>
          <w:tcPr>
            <w:tcW w:w="718" w:type="pct"/>
            <w:tcBorders>
              <w:bottom w:val="single" w:sz="4" w:space="0" w:color="auto"/>
            </w:tcBorders>
            <w:vAlign w:val="bottom"/>
          </w:tcPr>
          <w:p w14:paraId="1D2E753C" w14:textId="5F33E99A" w:rsidR="0014153E" w:rsidRPr="00B26970" w:rsidRDefault="0014153E" w:rsidP="0014153E">
            <w:pPr>
              <w:tabs>
                <w:tab w:val="right" w:pos="1202"/>
              </w:tabs>
              <w:suppressAutoHyphens/>
              <w:autoSpaceDN w:val="0"/>
              <w:jc w:val="right"/>
              <w:outlineLvl w:val="0"/>
              <w:rPr>
                <w:rFonts w:ascii="Arial" w:eastAsia="Times New Roman" w:hAnsi="Arial" w:cs="Arial"/>
                <w:color w:val="000000" w:themeColor="text1"/>
                <w:sz w:val="20"/>
                <w:szCs w:val="20"/>
              </w:rPr>
            </w:pPr>
            <w:r w:rsidRPr="00B26970">
              <w:rPr>
                <w:rFonts w:ascii="Arial" w:eastAsia="Times New Roman" w:hAnsi="Arial" w:cs="Arial"/>
                <w:color w:val="000000" w:themeColor="text1"/>
                <w:sz w:val="20"/>
                <w:szCs w:val="20"/>
              </w:rPr>
              <w:t>-</w:t>
            </w:r>
          </w:p>
        </w:tc>
        <w:tc>
          <w:tcPr>
            <w:tcW w:w="666" w:type="pct"/>
            <w:tcBorders>
              <w:bottom w:val="single" w:sz="4" w:space="0" w:color="auto"/>
            </w:tcBorders>
            <w:vAlign w:val="bottom"/>
          </w:tcPr>
          <w:p w14:paraId="332A94B6" w14:textId="6595A776" w:rsidR="0014153E" w:rsidRPr="00B26970" w:rsidRDefault="0014153E" w:rsidP="0014153E">
            <w:pPr>
              <w:tabs>
                <w:tab w:val="right" w:pos="1202"/>
              </w:tabs>
              <w:suppressAutoHyphens/>
              <w:autoSpaceDN w:val="0"/>
              <w:jc w:val="right"/>
              <w:outlineLvl w:val="0"/>
              <w:rPr>
                <w:rFonts w:ascii="Arial" w:eastAsia="Times New Roman" w:hAnsi="Arial" w:cs="Arial"/>
                <w:color w:val="000000" w:themeColor="text1"/>
                <w:sz w:val="20"/>
                <w:szCs w:val="20"/>
              </w:rPr>
            </w:pPr>
            <w:r w:rsidRPr="00B26970">
              <w:rPr>
                <w:rFonts w:ascii="Arial" w:eastAsia="Times New Roman" w:hAnsi="Arial" w:cs="Arial"/>
                <w:color w:val="000000" w:themeColor="text1"/>
                <w:sz w:val="20"/>
                <w:szCs w:val="20"/>
              </w:rPr>
              <w:t>-</w:t>
            </w:r>
          </w:p>
        </w:tc>
        <w:tc>
          <w:tcPr>
            <w:tcW w:w="718" w:type="pct"/>
            <w:tcBorders>
              <w:bottom w:val="single" w:sz="4" w:space="0" w:color="auto"/>
            </w:tcBorders>
            <w:vAlign w:val="bottom"/>
          </w:tcPr>
          <w:p w14:paraId="0397EB14" w14:textId="39465700" w:rsidR="0014153E" w:rsidRPr="00B26970" w:rsidRDefault="0014153E" w:rsidP="0014153E">
            <w:pPr>
              <w:tabs>
                <w:tab w:val="right" w:pos="1202"/>
              </w:tabs>
              <w:suppressAutoHyphens/>
              <w:autoSpaceDN w:val="0"/>
              <w:jc w:val="right"/>
              <w:outlineLvl w:val="0"/>
              <w:rPr>
                <w:rFonts w:ascii="Arial" w:eastAsia="Times New Roman" w:hAnsi="Arial" w:cs="Arial"/>
                <w:color w:val="000000" w:themeColor="text1"/>
                <w:sz w:val="20"/>
                <w:szCs w:val="20"/>
              </w:rPr>
            </w:pPr>
            <w:r w:rsidRPr="00B26970">
              <w:rPr>
                <w:rFonts w:ascii="Arial" w:eastAsia="Times New Roman" w:hAnsi="Arial" w:cs="Arial"/>
                <w:color w:val="000000" w:themeColor="text1"/>
                <w:sz w:val="20"/>
                <w:szCs w:val="20"/>
              </w:rPr>
              <w:t>-</w:t>
            </w:r>
          </w:p>
        </w:tc>
      </w:tr>
      <w:tr w:rsidR="003D4F6D" w:rsidRPr="00F43653" w14:paraId="45DBA9D8" w14:textId="77777777" w:rsidTr="003D4F6D">
        <w:trPr>
          <w:trHeight w:hRule="exact" w:val="284"/>
        </w:trPr>
        <w:tc>
          <w:tcPr>
            <w:tcW w:w="1689" w:type="pct"/>
            <w:vAlign w:val="bottom"/>
          </w:tcPr>
          <w:p w14:paraId="144EB4DA" w14:textId="4AA0FE95" w:rsidR="003D4F6D" w:rsidRPr="00F43653" w:rsidRDefault="003D4F6D" w:rsidP="003D4F6D">
            <w:pPr>
              <w:tabs>
                <w:tab w:val="right" w:pos="1202"/>
              </w:tabs>
              <w:suppressAutoHyphens/>
              <w:autoSpaceDN w:val="0"/>
              <w:outlineLvl w:val="0"/>
              <w:rPr>
                <w:rFonts w:ascii="Arial" w:eastAsia="Times New Roman" w:hAnsi="Arial" w:cs="Arial"/>
                <w:b/>
                <w:bCs/>
                <w:color w:val="000000" w:themeColor="text1"/>
                <w:sz w:val="20"/>
                <w:szCs w:val="20"/>
              </w:rPr>
            </w:pPr>
            <w:bookmarkStart w:id="147" w:name="_Toc67327021"/>
            <w:r w:rsidRPr="00F43653">
              <w:rPr>
                <w:rFonts w:ascii="Arial" w:eastAsia="Times New Roman" w:hAnsi="Arial" w:cs="Arial"/>
                <w:b/>
                <w:bCs/>
                <w:color w:val="000000" w:themeColor="text1"/>
                <w:sz w:val="20"/>
                <w:szCs w:val="20"/>
              </w:rPr>
              <w:t xml:space="preserve">Dobit tekućeg </w:t>
            </w:r>
            <w:bookmarkEnd w:id="147"/>
            <w:r w:rsidRPr="00F43653">
              <w:rPr>
                <w:rFonts w:ascii="Arial" w:eastAsia="Times New Roman" w:hAnsi="Arial" w:cs="Arial"/>
                <w:b/>
                <w:bCs/>
                <w:color w:val="000000" w:themeColor="text1"/>
                <w:sz w:val="20"/>
                <w:szCs w:val="20"/>
              </w:rPr>
              <w:t>razdoblja</w:t>
            </w:r>
          </w:p>
        </w:tc>
        <w:tc>
          <w:tcPr>
            <w:tcW w:w="544" w:type="pct"/>
            <w:vAlign w:val="bottom"/>
          </w:tcPr>
          <w:p w14:paraId="2A7CDAA6" w14:textId="77777777" w:rsidR="003D4F6D" w:rsidRPr="00F43653" w:rsidRDefault="003D4F6D" w:rsidP="003D4F6D">
            <w:pPr>
              <w:tabs>
                <w:tab w:val="right" w:pos="1202"/>
              </w:tabs>
              <w:suppressAutoHyphens/>
              <w:autoSpaceDN w:val="0"/>
              <w:jc w:val="center"/>
              <w:outlineLvl w:val="0"/>
              <w:rPr>
                <w:rFonts w:ascii="Arial" w:eastAsia="Times New Roman" w:hAnsi="Arial" w:cs="Arial"/>
                <w:b/>
                <w:bCs/>
                <w:color w:val="000000" w:themeColor="text1"/>
                <w:sz w:val="20"/>
                <w:szCs w:val="20"/>
              </w:rPr>
            </w:pPr>
          </w:p>
        </w:tc>
        <w:tc>
          <w:tcPr>
            <w:tcW w:w="665" w:type="pct"/>
            <w:tcBorders>
              <w:top w:val="single" w:sz="4" w:space="0" w:color="auto"/>
              <w:bottom w:val="single" w:sz="12" w:space="0" w:color="auto"/>
            </w:tcBorders>
            <w:vAlign w:val="bottom"/>
          </w:tcPr>
          <w:p w14:paraId="2EBE2822" w14:textId="3533A96D" w:rsidR="003D4F6D" w:rsidRPr="00B26970" w:rsidRDefault="003D4F6D" w:rsidP="003D4F6D">
            <w:pPr>
              <w:tabs>
                <w:tab w:val="right" w:pos="1202"/>
              </w:tabs>
              <w:suppressAutoHyphens/>
              <w:autoSpaceDN w:val="0"/>
              <w:jc w:val="right"/>
              <w:outlineLvl w:val="0"/>
              <w:rPr>
                <w:rFonts w:ascii="Arial" w:hAnsi="Arial" w:cs="Arial"/>
                <w:b/>
                <w:bCs/>
                <w:sz w:val="20"/>
                <w:szCs w:val="20"/>
              </w:rPr>
            </w:pPr>
            <w:r w:rsidRPr="00B26970">
              <w:rPr>
                <w:rFonts w:ascii="Arial" w:hAnsi="Arial" w:cs="Arial"/>
                <w:b/>
                <w:bCs/>
                <w:sz w:val="20"/>
                <w:szCs w:val="20"/>
              </w:rPr>
              <w:t xml:space="preserve"> 5.138 </w:t>
            </w:r>
          </w:p>
        </w:tc>
        <w:tc>
          <w:tcPr>
            <w:tcW w:w="718" w:type="pct"/>
            <w:tcBorders>
              <w:top w:val="single" w:sz="4" w:space="0" w:color="auto"/>
              <w:bottom w:val="single" w:sz="12" w:space="0" w:color="auto"/>
            </w:tcBorders>
            <w:vAlign w:val="bottom"/>
          </w:tcPr>
          <w:p w14:paraId="5016750F" w14:textId="19F79CFB" w:rsidR="003D4F6D" w:rsidRPr="00B26970" w:rsidRDefault="003D4F6D" w:rsidP="003D4F6D">
            <w:pPr>
              <w:tabs>
                <w:tab w:val="right" w:pos="1202"/>
              </w:tabs>
              <w:suppressAutoHyphens/>
              <w:autoSpaceDN w:val="0"/>
              <w:jc w:val="right"/>
              <w:outlineLvl w:val="0"/>
              <w:rPr>
                <w:rFonts w:ascii="Arial" w:hAnsi="Arial" w:cs="Arial"/>
                <w:b/>
                <w:bCs/>
                <w:sz w:val="20"/>
                <w:szCs w:val="20"/>
              </w:rPr>
            </w:pPr>
            <w:r w:rsidRPr="00B26970">
              <w:rPr>
                <w:rFonts w:ascii="Arial" w:hAnsi="Arial" w:cs="Arial"/>
                <w:b/>
                <w:bCs/>
                <w:sz w:val="20"/>
                <w:szCs w:val="20"/>
              </w:rPr>
              <w:t xml:space="preserve"> 43.565 </w:t>
            </w:r>
          </w:p>
        </w:tc>
        <w:tc>
          <w:tcPr>
            <w:tcW w:w="666" w:type="pct"/>
            <w:tcBorders>
              <w:top w:val="single" w:sz="4" w:space="0" w:color="auto"/>
              <w:bottom w:val="single" w:sz="12" w:space="0" w:color="auto"/>
            </w:tcBorders>
            <w:vAlign w:val="bottom"/>
          </w:tcPr>
          <w:p w14:paraId="12DCE8C6" w14:textId="16682E47" w:rsidR="003D4F6D" w:rsidRPr="00B26970" w:rsidRDefault="003D4F6D" w:rsidP="003D4F6D">
            <w:pPr>
              <w:tabs>
                <w:tab w:val="right" w:pos="1202"/>
              </w:tabs>
              <w:suppressAutoHyphens/>
              <w:autoSpaceDN w:val="0"/>
              <w:jc w:val="right"/>
              <w:outlineLvl w:val="0"/>
              <w:rPr>
                <w:rFonts w:ascii="Arial" w:hAnsi="Arial" w:cs="Arial"/>
                <w:b/>
                <w:bCs/>
                <w:sz w:val="20"/>
                <w:szCs w:val="20"/>
              </w:rPr>
            </w:pPr>
            <w:r w:rsidRPr="00B26970">
              <w:rPr>
                <w:rFonts w:ascii="Arial" w:hAnsi="Arial" w:cs="Arial"/>
                <w:b/>
                <w:bCs/>
                <w:sz w:val="20"/>
                <w:szCs w:val="20"/>
              </w:rPr>
              <w:t xml:space="preserve"> 20.931 </w:t>
            </w:r>
          </w:p>
        </w:tc>
        <w:tc>
          <w:tcPr>
            <w:tcW w:w="718" w:type="pct"/>
            <w:tcBorders>
              <w:top w:val="single" w:sz="4" w:space="0" w:color="auto"/>
              <w:bottom w:val="single" w:sz="12" w:space="0" w:color="auto"/>
            </w:tcBorders>
            <w:vAlign w:val="bottom"/>
          </w:tcPr>
          <w:p w14:paraId="3FDABEEF" w14:textId="3DD35B04" w:rsidR="003D4F6D" w:rsidRPr="00B26970" w:rsidRDefault="003D4F6D" w:rsidP="003D4F6D">
            <w:pPr>
              <w:tabs>
                <w:tab w:val="right" w:pos="1202"/>
              </w:tabs>
              <w:suppressAutoHyphens/>
              <w:autoSpaceDN w:val="0"/>
              <w:jc w:val="right"/>
              <w:outlineLvl w:val="0"/>
              <w:rPr>
                <w:rFonts w:ascii="Arial" w:hAnsi="Arial" w:cs="Arial"/>
                <w:b/>
                <w:bCs/>
                <w:sz w:val="20"/>
                <w:szCs w:val="20"/>
              </w:rPr>
            </w:pPr>
            <w:r w:rsidRPr="00B26970">
              <w:rPr>
                <w:rFonts w:ascii="Arial" w:hAnsi="Arial" w:cs="Arial"/>
                <w:b/>
                <w:bCs/>
                <w:sz w:val="20"/>
                <w:szCs w:val="20"/>
              </w:rPr>
              <w:t xml:space="preserve"> 50.386 </w:t>
            </w:r>
          </w:p>
        </w:tc>
      </w:tr>
      <w:tr w:rsidR="0014153E" w:rsidRPr="00F43653" w14:paraId="60AD91E6" w14:textId="77777777" w:rsidTr="00264ADA">
        <w:trPr>
          <w:trHeight w:val="70"/>
        </w:trPr>
        <w:tc>
          <w:tcPr>
            <w:tcW w:w="1689" w:type="pct"/>
            <w:vAlign w:val="bottom"/>
          </w:tcPr>
          <w:p w14:paraId="170FA733" w14:textId="77777777" w:rsidR="0014153E" w:rsidRPr="00F43653" w:rsidRDefault="0014153E" w:rsidP="0014153E">
            <w:pPr>
              <w:keepNext/>
              <w:keepLines/>
              <w:tabs>
                <w:tab w:val="left" w:pos="1202"/>
              </w:tabs>
              <w:suppressAutoHyphens/>
              <w:autoSpaceDN w:val="0"/>
              <w:spacing w:line="240" w:lineRule="exact"/>
              <w:rPr>
                <w:rFonts w:ascii="Arial" w:eastAsia="Times New Roman" w:hAnsi="Arial" w:cs="Arial"/>
                <w:b/>
                <w:color w:val="000000" w:themeColor="text1"/>
                <w:position w:val="4"/>
                <w:sz w:val="20"/>
                <w:szCs w:val="20"/>
                <w:u w:val="thick"/>
              </w:rPr>
            </w:pPr>
          </w:p>
        </w:tc>
        <w:tc>
          <w:tcPr>
            <w:tcW w:w="544" w:type="pct"/>
            <w:vAlign w:val="bottom"/>
          </w:tcPr>
          <w:p w14:paraId="4E8E204D" w14:textId="77777777" w:rsidR="0014153E" w:rsidRPr="00F43653" w:rsidRDefault="0014153E" w:rsidP="0014153E">
            <w:pPr>
              <w:keepNext/>
              <w:keepLines/>
              <w:tabs>
                <w:tab w:val="left" w:pos="1202"/>
              </w:tabs>
              <w:suppressAutoHyphens/>
              <w:autoSpaceDN w:val="0"/>
              <w:spacing w:line="240" w:lineRule="exact"/>
              <w:jc w:val="center"/>
              <w:rPr>
                <w:rFonts w:ascii="Arial" w:eastAsia="Times New Roman" w:hAnsi="Arial" w:cs="Arial"/>
                <w:b/>
                <w:color w:val="000000" w:themeColor="text1"/>
                <w:position w:val="4"/>
                <w:sz w:val="20"/>
                <w:szCs w:val="20"/>
                <w:u w:val="thick"/>
              </w:rPr>
            </w:pPr>
          </w:p>
        </w:tc>
        <w:tc>
          <w:tcPr>
            <w:tcW w:w="665" w:type="pct"/>
            <w:tcBorders>
              <w:top w:val="single" w:sz="12" w:space="0" w:color="auto"/>
            </w:tcBorders>
            <w:vAlign w:val="bottom"/>
          </w:tcPr>
          <w:p w14:paraId="6D6854CC" w14:textId="77777777" w:rsidR="0014153E" w:rsidRPr="00B26970" w:rsidRDefault="0014153E" w:rsidP="0014153E">
            <w:pPr>
              <w:keepNext/>
              <w:keepLines/>
              <w:suppressAutoHyphens/>
              <w:autoSpaceDN w:val="0"/>
              <w:spacing w:line="240" w:lineRule="exact"/>
              <w:jc w:val="right"/>
              <w:rPr>
                <w:rFonts w:ascii="Arial" w:eastAsia="Times New Roman" w:hAnsi="Arial" w:cs="Arial"/>
                <w:b/>
                <w:color w:val="000000" w:themeColor="text1"/>
                <w:position w:val="4"/>
                <w:sz w:val="20"/>
                <w:szCs w:val="20"/>
                <w:u w:val="thick"/>
              </w:rPr>
            </w:pPr>
          </w:p>
        </w:tc>
        <w:tc>
          <w:tcPr>
            <w:tcW w:w="718" w:type="pct"/>
            <w:tcBorders>
              <w:top w:val="single" w:sz="12" w:space="0" w:color="auto"/>
            </w:tcBorders>
            <w:vAlign w:val="bottom"/>
          </w:tcPr>
          <w:p w14:paraId="568A00BB" w14:textId="77777777" w:rsidR="0014153E" w:rsidRPr="00B26970" w:rsidRDefault="0014153E" w:rsidP="0014153E">
            <w:pPr>
              <w:keepNext/>
              <w:keepLines/>
              <w:suppressAutoHyphens/>
              <w:autoSpaceDN w:val="0"/>
              <w:spacing w:line="240" w:lineRule="exact"/>
              <w:jc w:val="right"/>
              <w:rPr>
                <w:rFonts w:ascii="Arial" w:eastAsia="Times New Roman" w:hAnsi="Arial" w:cs="Arial"/>
                <w:b/>
                <w:color w:val="000000" w:themeColor="text1"/>
                <w:position w:val="4"/>
                <w:sz w:val="20"/>
                <w:szCs w:val="20"/>
                <w:u w:val="thick"/>
              </w:rPr>
            </w:pPr>
          </w:p>
        </w:tc>
        <w:tc>
          <w:tcPr>
            <w:tcW w:w="666" w:type="pct"/>
            <w:tcBorders>
              <w:top w:val="single" w:sz="12" w:space="0" w:color="auto"/>
            </w:tcBorders>
            <w:vAlign w:val="bottom"/>
          </w:tcPr>
          <w:p w14:paraId="3D79FC78" w14:textId="08959456" w:rsidR="0014153E" w:rsidRPr="00B26970" w:rsidRDefault="0014153E" w:rsidP="0014153E">
            <w:pPr>
              <w:keepNext/>
              <w:keepLines/>
              <w:suppressAutoHyphens/>
              <w:autoSpaceDN w:val="0"/>
              <w:spacing w:line="240" w:lineRule="exact"/>
              <w:jc w:val="right"/>
              <w:rPr>
                <w:rFonts w:ascii="Arial" w:eastAsia="Times New Roman" w:hAnsi="Arial" w:cs="Arial"/>
                <w:b/>
                <w:color w:val="000000" w:themeColor="text1"/>
                <w:position w:val="4"/>
                <w:sz w:val="20"/>
                <w:szCs w:val="20"/>
                <w:u w:val="thick"/>
              </w:rPr>
            </w:pPr>
          </w:p>
        </w:tc>
        <w:tc>
          <w:tcPr>
            <w:tcW w:w="718" w:type="pct"/>
            <w:tcBorders>
              <w:top w:val="single" w:sz="12" w:space="0" w:color="auto"/>
            </w:tcBorders>
            <w:vAlign w:val="bottom"/>
          </w:tcPr>
          <w:p w14:paraId="0BD760E9" w14:textId="77777777" w:rsidR="0014153E" w:rsidRPr="00B26970" w:rsidRDefault="0014153E" w:rsidP="0014153E">
            <w:pPr>
              <w:keepNext/>
              <w:keepLines/>
              <w:suppressAutoHyphens/>
              <w:autoSpaceDN w:val="0"/>
              <w:spacing w:line="240" w:lineRule="exact"/>
              <w:jc w:val="right"/>
              <w:rPr>
                <w:rFonts w:ascii="Arial" w:eastAsia="Times New Roman" w:hAnsi="Arial" w:cs="Arial"/>
                <w:b/>
                <w:color w:val="000000" w:themeColor="text1"/>
                <w:position w:val="4"/>
                <w:sz w:val="20"/>
                <w:szCs w:val="20"/>
                <w:u w:val="thick"/>
              </w:rPr>
            </w:pPr>
          </w:p>
        </w:tc>
      </w:tr>
      <w:tr w:rsidR="0014153E" w:rsidRPr="00F43653" w14:paraId="7665E4E4" w14:textId="77777777" w:rsidTr="00264ADA">
        <w:trPr>
          <w:trHeight w:val="70"/>
        </w:trPr>
        <w:tc>
          <w:tcPr>
            <w:tcW w:w="1689" w:type="pct"/>
            <w:vAlign w:val="bottom"/>
          </w:tcPr>
          <w:p w14:paraId="7DC31ACA" w14:textId="77777777" w:rsidR="0014153E" w:rsidRPr="00F43653" w:rsidRDefault="0014153E" w:rsidP="0014153E">
            <w:pPr>
              <w:keepNext/>
              <w:keepLines/>
              <w:tabs>
                <w:tab w:val="left" w:pos="1202"/>
              </w:tabs>
              <w:suppressAutoHyphens/>
              <w:autoSpaceDN w:val="0"/>
              <w:spacing w:line="240" w:lineRule="exact"/>
              <w:rPr>
                <w:rFonts w:ascii="Arial" w:eastAsia="Times New Roman" w:hAnsi="Arial" w:cs="Arial"/>
                <w:b/>
                <w:color w:val="000000" w:themeColor="text1"/>
                <w:position w:val="4"/>
                <w:sz w:val="20"/>
                <w:szCs w:val="20"/>
                <w:u w:val="thick"/>
              </w:rPr>
            </w:pPr>
          </w:p>
        </w:tc>
        <w:tc>
          <w:tcPr>
            <w:tcW w:w="544" w:type="pct"/>
            <w:vAlign w:val="bottom"/>
          </w:tcPr>
          <w:p w14:paraId="40E7A959" w14:textId="77777777" w:rsidR="0014153E" w:rsidRPr="00F43653" w:rsidRDefault="0014153E" w:rsidP="0014153E">
            <w:pPr>
              <w:keepNext/>
              <w:keepLines/>
              <w:tabs>
                <w:tab w:val="left" w:pos="1202"/>
              </w:tabs>
              <w:suppressAutoHyphens/>
              <w:autoSpaceDN w:val="0"/>
              <w:spacing w:line="240" w:lineRule="exact"/>
              <w:jc w:val="center"/>
              <w:rPr>
                <w:rFonts w:ascii="Arial" w:eastAsia="Times New Roman" w:hAnsi="Arial" w:cs="Arial"/>
                <w:b/>
                <w:color w:val="000000" w:themeColor="text1"/>
                <w:position w:val="4"/>
                <w:sz w:val="20"/>
                <w:szCs w:val="20"/>
                <w:u w:val="thick"/>
              </w:rPr>
            </w:pPr>
          </w:p>
        </w:tc>
        <w:tc>
          <w:tcPr>
            <w:tcW w:w="665" w:type="pct"/>
            <w:vAlign w:val="bottom"/>
          </w:tcPr>
          <w:p w14:paraId="6134E10B" w14:textId="77777777" w:rsidR="0014153E" w:rsidRPr="00B26970" w:rsidRDefault="0014153E" w:rsidP="0014153E">
            <w:pPr>
              <w:keepNext/>
              <w:keepLines/>
              <w:suppressAutoHyphens/>
              <w:autoSpaceDN w:val="0"/>
              <w:spacing w:line="240" w:lineRule="exact"/>
              <w:jc w:val="right"/>
              <w:rPr>
                <w:rFonts w:ascii="Arial" w:eastAsia="Times New Roman" w:hAnsi="Arial" w:cs="Arial"/>
                <w:b/>
                <w:color w:val="000000" w:themeColor="text1"/>
                <w:position w:val="4"/>
                <w:sz w:val="20"/>
                <w:szCs w:val="20"/>
                <w:u w:val="thick"/>
              </w:rPr>
            </w:pPr>
          </w:p>
        </w:tc>
        <w:tc>
          <w:tcPr>
            <w:tcW w:w="718" w:type="pct"/>
            <w:vAlign w:val="bottom"/>
          </w:tcPr>
          <w:p w14:paraId="44AA5AA8" w14:textId="77777777" w:rsidR="0014153E" w:rsidRPr="00B26970" w:rsidRDefault="0014153E" w:rsidP="0014153E">
            <w:pPr>
              <w:keepNext/>
              <w:keepLines/>
              <w:suppressAutoHyphens/>
              <w:autoSpaceDN w:val="0"/>
              <w:spacing w:line="240" w:lineRule="exact"/>
              <w:jc w:val="right"/>
              <w:rPr>
                <w:rFonts w:ascii="Arial" w:eastAsia="Times New Roman" w:hAnsi="Arial" w:cs="Arial"/>
                <w:b/>
                <w:color w:val="000000" w:themeColor="text1"/>
                <w:position w:val="4"/>
                <w:sz w:val="20"/>
                <w:szCs w:val="20"/>
                <w:u w:val="thick"/>
              </w:rPr>
            </w:pPr>
          </w:p>
        </w:tc>
        <w:tc>
          <w:tcPr>
            <w:tcW w:w="666" w:type="pct"/>
            <w:vAlign w:val="bottom"/>
          </w:tcPr>
          <w:p w14:paraId="12589FD0" w14:textId="074AF20F" w:rsidR="0014153E" w:rsidRPr="00B26970" w:rsidRDefault="0014153E" w:rsidP="0014153E">
            <w:pPr>
              <w:keepNext/>
              <w:keepLines/>
              <w:suppressAutoHyphens/>
              <w:autoSpaceDN w:val="0"/>
              <w:spacing w:line="240" w:lineRule="exact"/>
              <w:jc w:val="right"/>
              <w:rPr>
                <w:rFonts w:ascii="Arial" w:eastAsia="Times New Roman" w:hAnsi="Arial" w:cs="Arial"/>
                <w:b/>
                <w:color w:val="000000" w:themeColor="text1"/>
                <w:position w:val="4"/>
                <w:sz w:val="20"/>
                <w:szCs w:val="20"/>
                <w:u w:val="thick"/>
              </w:rPr>
            </w:pPr>
          </w:p>
        </w:tc>
        <w:tc>
          <w:tcPr>
            <w:tcW w:w="718" w:type="pct"/>
            <w:vAlign w:val="bottom"/>
          </w:tcPr>
          <w:p w14:paraId="6CF7B84A" w14:textId="77777777" w:rsidR="0014153E" w:rsidRPr="00B26970" w:rsidRDefault="0014153E" w:rsidP="0014153E">
            <w:pPr>
              <w:keepNext/>
              <w:keepLines/>
              <w:suppressAutoHyphens/>
              <w:autoSpaceDN w:val="0"/>
              <w:spacing w:line="240" w:lineRule="exact"/>
              <w:jc w:val="right"/>
              <w:rPr>
                <w:rFonts w:ascii="Arial" w:eastAsia="Times New Roman" w:hAnsi="Arial" w:cs="Arial"/>
                <w:b/>
                <w:color w:val="000000" w:themeColor="text1"/>
                <w:position w:val="4"/>
                <w:sz w:val="20"/>
                <w:szCs w:val="20"/>
                <w:u w:val="thick"/>
              </w:rPr>
            </w:pPr>
          </w:p>
        </w:tc>
      </w:tr>
      <w:tr w:rsidR="0014153E" w:rsidRPr="00F43653" w14:paraId="7FDC10AA" w14:textId="77777777" w:rsidTr="00BE1AD0">
        <w:trPr>
          <w:trHeight w:hRule="exact" w:val="284"/>
        </w:trPr>
        <w:tc>
          <w:tcPr>
            <w:tcW w:w="1689" w:type="pct"/>
            <w:vAlign w:val="bottom"/>
          </w:tcPr>
          <w:p w14:paraId="3E0B0254" w14:textId="77777777" w:rsidR="0014153E" w:rsidRPr="00F43653" w:rsidRDefault="0014153E" w:rsidP="0014153E">
            <w:pPr>
              <w:keepNext/>
              <w:keepLines/>
              <w:tabs>
                <w:tab w:val="left" w:pos="1202"/>
              </w:tabs>
              <w:suppressAutoHyphens/>
              <w:autoSpaceDN w:val="0"/>
              <w:spacing w:line="301" w:lineRule="exact"/>
              <w:rPr>
                <w:rFonts w:ascii="Arial" w:eastAsia="Times New Roman" w:hAnsi="Arial" w:cs="Arial"/>
                <w:b/>
                <w:color w:val="000000" w:themeColor="text1"/>
                <w:position w:val="4"/>
                <w:sz w:val="20"/>
                <w:szCs w:val="20"/>
              </w:rPr>
            </w:pPr>
            <w:r w:rsidRPr="00F43653">
              <w:rPr>
                <w:rFonts w:ascii="Arial" w:eastAsia="Times New Roman" w:hAnsi="Arial" w:cs="Arial"/>
                <w:b/>
                <w:color w:val="000000" w:themeColor="text1"/>
                <w:position w:val="4"/>
                <w:sz w:val="20"/>
                <w:szCs w:val="20"/>
              </w:rPr>
              <w:t>Dobit za raspodjelu:</w:t>
            </w:r>
          </w:p>
        </w:tc>
        <w:tc>
          <w:tcPr>
            <w:tcW w:w="544" w:type="pct"/>
            <w:vAlign w:val="bottom"/>
          </w:tcPr>
          <w:p w14:paraId="476521F6" w14:textId="77777777" w:rsidR="0014153E" w:rsidRPr="00F43653" w:rsidRDefault="0014153E" w:rsidP="0014153E">
            <w:pPr>
              <w:keepNext/>
              <w:keepLines/>
              <w:tabs>
                <w:tab w:val="left" w:pos="1202"/>
              </w:tabs>
              <w:suppressAutoHyphens/>
              <w:autoSpaceDN w:val="0"/>
              <w:spacing w:line="301" w:lineRule="exact"/>
              <w:jc w:val="center"/>
              <w:rPr>
                <w:rFonts w:ascii="Arial" w:eastAsia="Times New Roman" w:hAnsi="Arial" w:cs="Arial"/>
                <w:b/>
                <w:color w:val="000000" w:themeColor="text1"/>
                <w:position w:val="4"/>
                <w:sz w:val="20"/>
                <w:szCs w:val="20"/>
                <w:u w:val="thick"/>
              </w:rPr>
            </w:pPr>
          </w:p>
        </w:tc>
        <w:tc>
          <w:tcPr>
            <w:tcW w:w="665" w:type="pct"/>
            <w:vAlign w:val="bottom"/>
          </w:tcPr>
          <w:p w14:paraId="718AEF61" w14:textId="77777777" w:rsidR="0014153E" w:rsidRPr="00B26970" w:rsidRDefault="0014153E" w:rsidP="0014153E">
            <w:pPr>
              <w:keepNext/>
              <w:keepLines/>
              <w:suppressAutoHyphens/>
              <w:autoSpaceDN w:val="0"/>
              <w:spacing w:line="301" w:lineRule="exact"/>
              <w:jc w:val="right"/>
              <w:rPr>
                <w:rFonts w:ascii="Arial" w:eastAsia="Times New Roman" w:hAnsi="Arial" w:cs="Arial"/>
                <w:b/>
                <w:color w:val="000000" w:themeColor="text1"/>
                <w:position w:val="4"/>
                <w:sz w:val="20"/>
                <w:szCs w:val="20"/>
                <w:u w:val="thick"/>
              </w:rPr>
            </w:pPr>
          </w:p>
        </w:tc>
        <w:tc>
          <w:tcPr>
            <w:tcW w:w="718" w:type="pct"/>
            <w:vAlign w:val="bottom"/>
          </w:tcPr>
          <w:p w14:paraId="7A0E4C7A" w14:textId="77777777" w:rsidR="0014153E" w:rsidRPr="00B26970" w:rsidRDefault="0014153E" w:rsidP="0014153E">
            <w:pPr>
              <w:keepNext/>
              <w:keepLines/>
              <w:suppressAutoHyphens/>
              <w:autoSpaceDN w:val="0"/>
              <w:spacing w:line="301" w:lineRule="exact"/>
              <w:jc w:val="right"/>
              <w:rPr>
                <w:rFonts w:ascii="Arial" w:eastAsia="Times New Roman" w:hAnsi="Arial" w:cs="Arial"/>
                <w:b/>
                <w:color w:val="000000" w:themeColor="text1"/>
                <w:position w:val="4"/>
                <w:sz w:val="20"/>
                <w:szCs w:val="20"/>
                <w:u w:val="thick"/>
              </w:rPr>
            </w:pPr>
          </w:p>
        </w:tc>
        <w:tc>
          <w:tcPr>
            <w:tcW w:w="666" w:type="pct"/>
            <w:vAlign w:val="bottom"/>
          </w:tcPr>
          <w:p w14:paraId="0DD4C538" w14:textId="5664BBF1" w:rsidR="0014153E" w:rsidRPr="00B26970" w:rsidRDefault="0014153E" w:rsidP="0014153E">
            <w:pPr>
              <w:keepNext/>
              <w:keepLines/>
              <w:suppressAutoHyphens/>
              <w:autoSpaceDN w:val="0"/>
              <w:spacing w:line="301" w:lineRule="exact"/>
              <w:jc w:val="right"/>
              <w:rPr>
                <w:rFonts w:ascii="Arial" w:eastAsia="Times New Roman" w:hAnsi="Arial" w:cs="Arial"/>
                <w:b/>
                <w:color w:val="000000" w:themeColor="text1"/>
                <w:position w:val="4"/>
                <w:sz w:val="20"/>
                <w:szCs w:val="20"/>
                <w:u w:val="thick"/>
              </w:rPr>
            </w:pPr>
          </w:p>
        </w:tc>
        <w:tc>
          <w:tcPr>
            <w:tcW w:w="718" w:type="pct"/>
            <w:vAlign w:val="bottom"/>
          </w:tcPr>
          <w:p w14:paraId="369EA992" w14:textId="77777777" w:rsidR="0014153E" w:rsidRPr="00B26970" w:rsidRDefault="0014153E" w:rsidP="0014153E">
            <w:pPr>
              <w:keepNext/>
              <w:keepLines/>
              <w:suppressAutoHyphens/>
              <w:autoSpaceDN w:val="0"/>
              <w:spacing w:line="301" w:lineRule="exact"/>
              <w:jc w:val="right"/>
              <w:rPr>
                <w:rFonts w:ascii="Arial" w:eastAsia="Times New Roman" w:hAnsi="Arial" w:cs="Arial"/>
                <w:b/>
                <w:color w:val="000000" w:themeColor="text1"/>
                <w:position w:val="4"/>
                <w:sz w:val="20"/>
                <w:szCs w:val="20"/>
                <w:u w:val="thick"/>
              </w:rPr>
            </w:pPr>
          </w:p>
        </w:tc>
      </w:tr>
      <w:tr w:rsidR="003D4F6D" w:rsidRPr="00F43653" w14:paraId="49B7B63E" w14:textId="77777777" w:rsidTr="003D4F6D">
        <w:trPr>
          <w:trHeight w:hRule="exact" w:val="284"/>
        </w:trPr>
        <w:tc>
          <w:tcPr>
            <w:tcW w:w="1689" w:type="pct"/>
            <w:vAlign w:val="bottom"/>
          </w:tcPr>
          <w:p w14:paraId="387846AA" w14:textId="77777777" w:rsidR="003D4F6D" w:rsidRPr="00F43653" w:rsidRDefault="003D4F6D" w:rsidP="003D4F6D">
            <w:pPr>
              <w:keepNext/>
              <w:keepLines/>
              <w:tabs>
                <w:tab w:val="left" w:pos="1202"/>
              </w:tabs>
              <w:suppressAutoHyphens/>
              <w:autoSpaceDN w:val="0"/>
              <w:rPr>
                <w:rFonts w:ascii="Arial" w:eastAsia="Times New Roman" w:hAnsi="Arial" w:cs="Arial"/>
                <w:b/>
                <w:color w:val="000000" w:themeColor="text1"/>
                <w:position w:val="4"/>
                <w:sz w:val="20"/>
                <w:szCs w:val="20"/>
              </w:rPr>
            </w:pPr>
            <w:r w:rsidRPr="00F43653">
              <w:rPr>
                <w:rFonts w:ascii="Arial" w:eastAsia="Times New Roman" w:hAnsi="Arial" w:cs="Arial"/>
                <w:b/>
                <w:color w:val="000000" w:themeColor="text1"/>
                <w:position w:val="4"/>
                <w:sz w:val="20"/>
                <w:szCs w:val="20"/>
              </w:rPr>
              <w:t>Vlasniku društva</w:t>
            </w:r>
          </w:p>
        </w:tc>
        <w:tc>
          <w:tcPr>
            <w:tcW w:w="544" w:type="pct"/>
            <w:vAlign w:val="bottom"/>
          </w:tcPr>
          <w:p w14:paraId="793BB9CD" w14:textId="77777777" w:rsidR="003D4F6D" w:rsidRPr="00F43653" w:rsidRDefault="003D4F6D" w:rsidP="003D4F6D">
            <w:pPr>
              <w:keepNext/>
              <w:keepLines/>
              <w:tabs>
                <w:tab w:val="left" w:pos="1202"/>
              </w:tabs>
              <w:suppressAutoHyphens/>
              <w:autoSpaceDN w:val="0"/>
              <w:jc w:val="center"/>
              <w:rPr>
                <w:rFonts w:ascii="Arial" w:eastAsia="Times New Roman" w:hAnsi="Arial" w:cs="Arial"/>
                <w:b/>
                <w:color w:val="000000" w:themeColor="text1"/>
                <w:position w:val="4"/>
                <w:sz w:val="20"/>
                <w:szCs w:val="20"/>
                <w:u w:val="thick"/>
              </w:rPr>
            </w:pPr>
          </w:p>
        </w:tc>
        <w:tc>
          <w:tcPr>
            <w:tcW w:w="665" w:type="pct"/>
            <w:tcBorders>
              <w:bottom w:val="single" w:sz="12" w:space="0" w:color="auto"/>
            </w:tcBorders>
            <w:vAlign w:val="bottom"/>
          </w:tcPr>
          <w:p w14:paraId="321933B4" w14:textId="6CE34BFB" w:rsidR="003D4F6D" w:rsidRPr="00B26970" w:rsidRDefault="003D4F6D" w:rsidP="003D4F6D">
            <w:pPr>
              <w:tabs>
                <w:tab w:val="right" w:pos="1202"/>
              </w:tabs>
              <w:suppressAutoHyphens/>
              <w:autoSpaceDN w:val="0"/>
              <w:jc w:val="right"/>
              <w:outlineLvl w:val="0"/>
              <w:rPr>
                <w:rFonts w:ascii="Arial" w:hAnsi="Arial" w:cs="Arial"/>
                <w:b/>
                <w:bCs/>
                <w:sz w:val="20"/>
                <w:szCs w:val="20"/>
              </w:rPr>
            </w:pPr>
            <w:r w:rsidRPr="00B26970">
              <w:rPr>
                <w:rFonts w:ascii="Arial" w:hAnsi="Arial" w:cs="Arial"/>
                <w:b/>
                <w:bCs/>
                <w:sz w:val="20"/>
                <w:szCs w:val="20"/>
              </w:rPr>
              <w:t xml:space="preserve"> 5.138 </w:t>
            </w:r>
          </w:p>
        </w:tc>
        <w:tc>
          <w:tcPr>
            <w:tcW w:w="718" w:type="pct"/>
            <w:tcBorders>
              <w:bottom w:val="single" w:sz="12" w:space="0" w:color="auto"/>
            </w:tcBorders>
            <w:vAlign w:val="bottom"/>
          </w:tcPr>
          <w:p w14:paraId="0BE14A46" w14:textId="66E6C528" w:rsidR="003D4F6D" w:rsidRPr="00B26970" w:rsidRDefault="003D4F6D" w:rsidP="003D4F6D">
            <w:pPr>
              <w:tabs>
                <w:tab w:val="right" w:pos="1202"/>
              </w:tabs>
              <w:suppressAutoHyphens/>
              <w:autoSpaceDN w:val="0"/>
              <w:jc w:val="right"/>
              <w:outlineLvl w:val="0"/>
              <w:rPr>
                <w:rFonts w:ascii="Arial" w:hAnsi="Arial" w:cs="Arial"/>
                <w:b/>
                <w:bCs/>
                <w:sz w:val="20"/>
                <w:szCs w:val="20"/>
              </w:rPr>
            </w:pPr>
            <w:r w:rsidRPr="00B26970">
              <w:rPr>
                <w:rFonts w:ascii="Arial" w:hAnsi="Arial" w:cs="Arial"/>
                <w:b/>
                <w:bCs/>
                <w:sz w:val="20"/>
                <w:szCs w:val="20"/>
              </w:rPr>
              <w:t xml:space="preserve"> 43.565 </w:t>
            </w:r>
          </w:p>
        </w:tc>
        <w:tc>
          <w:tcPr>
            <w:tcW w:w="666" w:type="pct"/>
            <w:tcBorders>
              <w:bottom w:val="single" w:sz="12" w:space="0" w:color="auto"/>
            </w:tcBorders>
            <w:vAlign w:val="bottom"/>
          </w:tcPr>
          <w:p w14:paraId="0353E9B5" w14:textId="2F6A1294" w:rsidR="003D4F6D" w:rsidRPr="00B26970" w:rsidRDefault="003D4F6D" w:rsidP="003D4F6D">
            <w:pPr>
              <w:tabs>
                <w:tab w:val="right" w:pos="1202"/>
              </w:tabs>
              <w:suppressAutoHyphens/>
              <w:autoSpaceDN w:val="0"/>
              <w:jc w:val="right"/>
              <w:outlineLvl w:val="0"/>
              <w:rPr>
                <w:rFonts w:ascii="Arial" w:hAnsi="Arial" w:cs="Arial"/>
                <w:b/>
                <w:bCs/>
                <w:sz w:val="20"/>
                <w:szCs w:val="20"/>
              </w:rPr>
            </w:pPr>
            <w:r w:rsidRPr="00B26970">
              <w:rPr>
                <w:rFonts w:ascii="Arial" w:hAnsi="Arial" w:cs="Arial"/>
                <w:b/>
                <w:bCs/>
                <w:sz w:val="20"/>
                <w:szCs w:val="20"/>
              </w:rPr>
              <w:t xml:space="preserve"> 20.931 </w:t>
            </w:r>
          </w:p>
        </w:tc>
        <w:tc>
          <w:tcPr>
            <w:tcW w:w="718" w:type="pct"/>
            <w:tcBorders>
              <w:bottom w:val="single" w:sz="12" w:space="0" w:color="auto"/>
            </w:tcBorders>
            <w:vAlign w:val="bottom"/>
          </w:tcPr>
          <w:p w14:paraId="45397E86" w14:textId="21F8334B" w:rsidR="003D4F6D" w:rsidRPr="00B26970" w:rsidRDefault="003D4F6D" w:rsidP="003D4F6D">
            <w:pPr>
              <w:tabs>
                <w:tab w:val="right" w:pos="1202"/>
              </w:tabs>
              <w:suppressAutoHyphens/>
              <w:autoSpaceDN w:val="0"/>
              <w:jc w:val="right"/>
              <w:outlineLvl w:val="0"/>
              <w:rPr>
                <w:rFonts w:ascii="Arial" w:hAnsi="Arial" w:cs="Arial"/>
                <w:b/>
                <w:bCs/>
                <w:sz w:val="20"/>
                <w:szCs w:val="20"/>
              </w:rPr>
            </w:pPr>
            <w:r w:rsidRPr="00B26970">
              <w:rPr>
                <w:rFonts w:ascii="Arial" w:hAnsi="Arial" w:cs="Arial"/>
                <w:b/>
                <w:bCs/>
                <w:sz w:val="20"/>
                <w:szCs w:val="20"/>
              </w:rPr>
              <w:t xml:space="preserve"> 50.386 </w:t>
            </w:r>
          </w:p>
        </w:tc>
      </w:tr>
    </w:tbl>
    <w:p w14:paraId="7E00BC17" w14:textId="77777777" w:rsidR="00937724" w:rsidRPr="005C7D23" w:rsidRDefault="00937724" w:rsidP="00A56428">
      <w:pPr>
        <w:rPr>
          <w:rFonts w:ascii="Arial" w:eastAsia="Times New Roman" w:hAnsi="Arial" w:cs="Arial"/>
          <w:sz w:val="10"/>
          <w:szCs w:val="10"/>
        </w:rPr>
      </w:pPr>
    </w:p>
    <w:p w14:paraId="6048A9F2" w14:textId="77777777" w:rsidR="005C7D23" w:rsidRDefault="005C7D23" w:rsidP="00A56428">
      <w:pPr>
        <w:rPr>
          <w:rFonts w:ascii="Arial" w:eastAsia="Times New Roman" w:hAnsi="Arial" w:cs="Arial"/>
          <w:sz w:val="20"/>
          <w:szCs w:val="20"/>
        </w:rPr>
      </w:pPr>
    </w:p>
    <w:p w14:paraId="1F3188F9" w14:textId="77777777" w:rsidR="005C7D23" w:rsidRDefault="005C7D23" w:rsidP="00A56428">
      <w:pPr>
        <w:rPr>
          <w:rFonts w:ascii="Arial" w:eastAsia="Times New Roman" w:hAnsi="Arial" w:cs="Arial"/>
          <w:sz w:val="16"/>
          <w:szCs w:val="16"/>
        </w:rPr>
      </w:pPr>
    </w:p>
    <w:p w14:paraId="024F5CEE" w14:textId="77777777" w:rsidR="00BE1AD0" w:rsidRDefault="00BE1AD0" w:rsidP="00A56428">
      <w:pPr>
        <w:rPr>
          <w:rFonts w:ascii="Arial" w:eastAsia="Times New Roman" w:hAnsi="Arial" w:cs="Arial"/>
          <w:sz w:val="16"/>
          <w:szCs w:val="16"/>
        </w:rPr>
      </w:pPr>
    </w:p>
    <w:p w14:paraId="09EF6846" w14:textId="5EAC9DE0" w:rsidR="00A56428" w:rsidRPr="003D1614" w:rsidRDefault="00A56428" w:rsidP="00A56428">
      <w:pPr>
        <w:rPr>
          <w:rFonts w:ascii="Arial" w:eastAsia="Times New Roman" w:hAnsi="Arial" w:cs="Arial"/>
          <w:sz w:val="20"/>
          <w:szCs w:val="20"/>
        </w:rPr>
      </w:pPr>
      <w:r w:rsidRPr="003D1614">
        <w:rPr>
          <w:rFonts w:ascii="Arial" w:eastAsia="Times New Roman" w:hAnsi="Arial" w:cs="Arial"/>
          <w:sz w:val="20"/>
          <w:szCs w:val="20"/>
        </w:rPr>
        <w:t>Priložene računovodstvene politike i bilješke sastavni su dio ovih financijskih izvještaja.</w:t>
      </w:r>
    </w:p>
    <w:p w14:paraId="7CD4914C" w14:textId="77777777" w:rsidR="00A56428" w:rsidRPr="003D1614" w:rsidRDefault="00A56428" w:rsidP="00A56428">
      <w:pPr>
        <w:rPr>
          <w:rFonts w:ascii="Arial" w:eastAsia="Times New Roman" w:hAnsi="Arial" w:cs="Arial"/>
          <w:sz w:val="20"/>
          <w:szCs w:val="20"/>
        </w:rPr>
        <w:sectPr w:rsidR="00A56428" w:rsidRPr="003D1614">
          <w:headerReference w:type="default" r:id="rId16"/>
          <w:pgSz w:w="11906" w:h="16838"/>
          <w:pgMar w:top="1417" w:right="1417" w:bottom="1417" w:left="1417" w:header="708" w:footer="708" w:gutter="0"/>
          <w:cols w:space="708"/>
          <w:docGrid w:linePitch="360"/>
        </w:sectPr>
      </w:pPr>
    </w:p>
    <w:p w14:paraId="3EF29F43" w14:textId="19415978" w:rsidR="00A56428" w:rsidRPr="003D1614" w:rsidRDefault="00A56428" w:rsidP="00A56428">
      <w:pPr>
        <w:rPr>
          <w:rFonts w:ascii="Arial" w:eastAsia="Times New Roman" w:hAnsi="Arial" w:cs="Arial"/>
          <w:sz w:val="20"/>
          <w:szCs w:val="20"/>
        </w:rPr>
      </w:pPr>
    </w:p>
    <w:p w14:paraId="7B1200EB" w14:textId="7CBA3DA4" w:rsidR="00295417" w:rsidRPr="003D1614" w:rsidRDefault="00295417" w:rsidP="00A56428">
      <w:pPr>
        <w:rPr>
          <w:rFonts w:ascii="Arial" w:eastAsia="Times New Roman" w:hAnsi="Arial" w:cs="Arial"/>
          <w:sz w:val="20"/>
          <w:szCs w:val="20"/>
        </w:rPr>
      </w:pPr>
    </w:p>
    <w:tbl>
      <w:tblPr>
        <w:tblW w:w="5000" w:type="pct"/>
        <w:tblCellMar>
          <w:left w:w="119" w:type="dxa"/>
          <w:right w:w="119" w:type="dxa"/>
        </w:tblCellMar>
        <w:tblLook w:val="0000" w:firstRow="0" w:lastRow="0" w:firstColumn="0" w:lastColumn="0" w:noHBand="0" w:noVBand="0"/>
      </w:tblPr>
      <w:tblGrid>
        <w:gridCol w:w="3438"/>
        <w:gridCol w:w="1410"/>
        <w:gridCol w:w="1408"/>
        <w:gridCol w:w="1408"/>
        <w:gridCol w:w="1408"/>
      </w:tblGrid>
      <w:tr w:rsidR="006826A0" w:rsidRPr="00F43653" w14:paraId="2D525BD7" w14:textId="77777777" w:rsidTr="007478FB">
        <w:trPr>
          <w:trHeight w:val="355"/>
        </w:trPr>
        <w:tc>
          <w:tcPr>
            <w:tcW w:w="1895" w:type="pct"/>
            <w:vAlign w:val="bottom"/>
          </w:tcPr>
          <w:p w14:paraId="56E6F7C8" w14:textId="77777777" w:rsidR="006826A0" w:rsidRPr="00F43653" w:rsidRDefault="006826A0" w:rsidP="006826A0">
            <w:pPr>
              <w:tabs>
                <w:tab w:val="right" w:pos="1202"/>
              </w:tabs>
              <w:spacing w:line="301" w:lineRule="exact"/>
              <w:jc w:val="center"/>
              <w:outlineLvl w:val="0"/>
              <w:rPr>
                <w:rFonts w:ascii="Arial" w:eastAsia="Times New Roman" w:hAnsi="Arial" w:cs="Arial"/>
                <w:b/>
                <w:bCs/>
                <w:color w:val="000000" w:themeColor="text1"/>
                <w:sz w:val="20"/>
                <w:szCs w:val="20"/>
              </w:rPr>
            </w:pPr>
            <w:bookmarkStart w:id="148" w:name="_Hlk141866765"/>
          </w:p>
        </w:tc>
        <w:tc>
          <w:tcPr>
            <w:tcW w:w="1553" w:type="pct"/>
            <w:gridSpan w:val="2"/>
            <w:vAlign w:val="bottom"/>
          </w:tcPr>
          <w:p w14:paraId="3C8A77A6" w14:textId="0CE249A5" w:rsidR="006826A0" w:rsidRPr="00F43653" w:rsidRDefault="006826A0" w:rsidP="007478FB">
            <w:pPr>
              <w:spacing w:line="301" w:lineRule="exact"/>
              <w:jc w:val="center"/>
              <w:outlineLvl w:val="0"/>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202</w:t>
            </w:r>
            <w:r w:rsidR="00226B12">
              <w:rPr>
                <w:rFonts w:ascii="Arial" w:eastAsia="Times New Roman" w:hAnsi="Arial" w:cs="Arial"/>
                <w:b/>
                <w:bCs/>
                <w:color w:val="000000" w:themeColor="text1"/>
                <w:sz w:val="20"/>
                <w:szCs w:val="20"/>
              </w:rPr>
              <w:t>4</w:t>
            </w:r>
            <w:r w:rsidRPr="00F43653">
              <w:rPr>
                <w:rFonts w:ascii="Arial" w:eastAsia="Times New Roman" w:hAnsi="Arial" w:cs="Arial"/>
                <w:b/>
                <w:bCs/>
                <w:color w:val="000000" w:themeColor="text1"/>
                <w:sz w:val="20"/>
                <w:szCs w:val="20"/>
              </w:rPr>
              <w:t>.</w:t>
            </w:r>
          </w:p>
        </w:tc>
        <w:tc>
          <w:tcPr>
            <w:tcW w:w="1552" w:type="pct"/>
            <w:gridSpan w:val="2"/>
            <w:vAlign w:val="bottom"/>
          </w:tcPr>
          <w:p w14:paraId="5EA9A601" w14:textId="2DF1BC53" w:rsidR="006826A0" w:rsidRPr="00F43653" w:rsidRDefault="006826A0" w:rsidP="007478FB">
            <w:pPr>
              <w:spacing w:line="301" w:lineRule="exact"/>
              <w:jc w:val="center"/>
              <w:outlineLvl w:val="0"/>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202</w:t>
            </w:r>
            <w:r w:rsidR="00226B12">
              <w:rPr>
                <w:rFonts w:ascii="Arial" w:eastAsia="Times New Roman" w:hAnsi="Arial" w:cs="Arial"/>
                <w:b/>
                <w:bCs/>
                <w:color w:val="000000" w:themeColor="text1"/>
                <w:sz w:val="20"/>
                <w:szCs w:val="20"/>
              </w:rPr>
              <w:t>3</w:t>
            </w:r>
            <w:r w:rsidRPr="00F43653">
              <w:rPr>
                <w:rFonts w:ascii="Arial" w:eastAsia="Times New Roman" w:hAnsi="Arial" w:cs="Arial"/>
                <w:b/>
                <w:bCs/>
                <w:color w:val="000000" w:themeColor="text1"/>
                <w:sz w:val="20"/>
                <w:szCs w:val="20"/>
              </w:rPr>
              <w:t>.</w:t>
            </w:r>
          </w:p>
        </w:tc>
      </w:tr>
      <w:tr w:rsidR="006826A0" w:rsidRPr="00F43653" w14:paraId="500A929E" w14:textId="77777777" w:rsidTr="007478FB">
        <w:trPr>
          <w:trHeight w:val="355"/>
        </w:trPr>
        <w:tc>
          <w:tcPr>
            <w:tcW w:w="1895" w:type="pct"/>
            <w:vAlign w:val="bottom"/>
          </w:tcPr>
          <w:p w14:paraId="021937C3" w14:textId="77777777" w:rsidR="006826A0" w:rsidRPr="00F43653" w:rsidRDefault="006826A0" w:rsidP="006826A0">
            <w:pPr>
              <w:tabs>
                <w:tab w:val="right" w:pos="1202"/>
              </w:tabs>
              <w:spacing w:line="301" w:lineRule="exact"/>
              <w:jc w:val="center"/>
              <w:outlineLvl w:val="0"/>
              <w:rPr>
                <w:rFonts w:ascii="Arial" w:eastAsia="Times New Roman" w:hAnsi="Arial" w:cs="Arial"/>
                <w:b/>
                <w:bCs/>
                <w:color w:val="000000" w:themeColor="text1"/>
                <w:sz w:val="20"/>
                <w:szCs w:val="20"/>
              </w:rPr>
            </w:pPr>
          </w:p>
        </w:tc>
        <w:tc>
          <w:tcPr>
            <w:tcW w:w="777" w:type="pct"/>
            <w:vAlign w:val="bottom"/>
          </w:tcPr>
          <w:p w14:paraId="1C7CF51B" w14:textId="06B0FC6C" w:rsidR="006826A0" w:rsidRPr="00F43653" w:rsidRDefault="006826A0" w:rsidP="006826A0">
            <w:pPr>
              <w:spacing w:line="301" w:lineRule="exact"/>
              <w:jc w:val="right"/>
              <w:outlineLvl w:val="0"/>
              <w:rPr>
                <w:rFonts w:ascii="Arial" w:eastAsia="Times New Roman" w:hAnsi="Arial" w:cs="Arial"/>
                <w:b/>
                <w:bCs/>
                <w:color w:val="000000" w:themeColor="text1"/>
                <w:sz w:val="20"/>
                <w:szCs w:val="20"/>
              </w:rPr>
            </w:pPr>
            <w:r w:rsidRPr="007478FB">
              <w:rPr>
                <w:rFonts w:ascii="Arial" w:hAnsi="Arial" w:cs="Arial"/>
                <w:b/>
                <w:bCs/>
                <w:sz w:val="20"/>
              </w:rPr>
              <w:t>Tekuće razdoblje</w:t>
            </w:r>
          </w:p>
        </w:tc>
        <w:tc>
          <w:tcPr>
            <w:tcW w:w="776" w:type="pct"/>
            <w:vAlign w:val="bottom"/>
          </w:tcPr>
          <w:p w14:paraId="00D3C84F" w14:textId="4ED06DBC" w:rsidR="006826A0" w:rsidRPr="00F43653" w:rsidRDefault="006826A0" w:rsidP="006826A0">
            <w:pPr>
              <w:spacing w:line="301" w:lineRule="exact"/>
              <w:jc w:val="right"/>
              <w:outlineLvl w:val="0"/>
              <w:rPr>
                <w:rFonts w:ascii="Arial" w:eastAsia="Times New Roman" w:hAnsi="Arial" w:cs="Arial"/>
                <w:b/>
                <w:bCs/>
                <w:color w:val="000000" w:themeColor="text1"/>
                <w:sz w:val="20"/>
                <w:szCs w:val="20"/>
              </w:rPr>
            </w:pPr>
            <w:r w:rsidRPr="007478FB">
              <w:rPr>
                <w:rFonts w:ascii="Arial" w:hAnsi="Arial" w:cs="Arial"/>
                <w:b/>
                <w:bCs/>
                <w:sz w:val="20"/>
              </w:rPr>
              <w:t>Kumulativ</w:t>
            </w:r>
          </w:p>
        </w:tc>
        <w:tc>
          <w:tcPr>
            <w:tcW w:w="776" w:type="pct"/>
            <w:vAlign w:val="bottom"/>
          </w:tcPr>
          <w:p w14:paraId="57B82B5B" w14:textId="2D0EAF79" w:rsidR="006826A0" w:rsidRPr="00F43653" w:rsidRDefault="006826A0" w:rsidP="006826A0">
            <w:pPr>
              <w:spacing w:line="301" w:lineRule="exact"/>
              <w:jc w:val="right"/>
              <w:outlineLvl w:val="0"/>
              <w:rPr>
                <w:rFonts w:ascii="Arial" w:eastAsia="Times New Roman" w:hAnsi="Arial" w:cs="Arial"/>
                <w:b/>
                <w:bCs/>
                <w:color w:val="000000" w:themeColor="text1"/>
                <w:sz w:val="20"/>
                <w:szCs w:val="20"/>
              </w:rPr>
            </w:pPr>
            <w:r w:rsidRPr="007478FB">
              <w:rPr>
                <w:rFonts w:ascii="Arial" w:hAnsi="Arial" w:cs="Arial"/>
                <w:b/>
                <w:bCs/>
                <w:sz w:val="20"/>
              </w:rPr>
              <w:t>Tekuće razdoblje</w:t>
            </w:r>
          </w:p>
        </w:tc>
        <w:tc>
          <w:tcPr>
            <w:tcW w:w="776" w:type="pct"/>
            <w:vAlign w:val="bottom"/>
          </w:tcPr>
          <w:p w14:paraId="4F6425CA" w14:textId="276E7732" w:rsidR="006826A0" w:rsidRPr="00F43653" w:rsidRDefault="006826A0" w:rsidP="006826A0">
            <w:pPr>
              <w:spacing w:line="301" w:lineRule="exact"/>
              <w:jc w:val="right"/>
              <w:outlineLvl w:val="0"/>
              <w:rPr>
                <w:rFonts w:ascii="Arial" w:eastAsia="Times New Roman" w:hAnsi="Arial" w:cs="Arial"/>
                <w:b/>
                <w:bCs/>
                <w:color w:val="000000" w:themeColor="text1"/>
                <w:sz w:val="20"/>
                <w:szCs w:val="20"/>
              </w:rPr>
            </w:pPr>
            <w:r w:rsidRPr="007478FB">
              <w:rPr>
                <w:rFonts w:ascii="Arial" w:hAnsi="Arial" w:cs="Arial"/>
                <w:b/>
                <w:bCs/>
                <w:sz w:val="20"/>
              </w:rPr>
              <w:t>Kumulativ</w:t>
            </w:r>
          </w:p>
        </w:tc>
      </w:tr>
      <w:tr w:rsidR="006826A0" w:rsidRPr="00F43653" w14:paraId="0D5F58AF" w14:textId="77777777" w:rsidTr="007478FB">
        <w:trPr>
          <w:trHeight w:val="355"/>
        </w:trPr>
        <w:tc>
          <w:tcPr>
            <w:tcW w:w="1895" w:type="pct"/>
            <w:vAlign w:val="bottom"/>
          </w:tcPr>
          <w:p w14:paraId="18885BF4" w14:textId="77777777" w:rsidR="006826A0" w:rsidRPr="00F43653" w:rsidRDefault="006826A0" w:rsidP="006826A0">
            <w:pPr>
              <w:tabs>
                <w:tab w:val="right" w:pos="1202"/>
              </w:tabs>
              <w:spacing w:line="301" w:lineRule="exact"/>
              <w:jc w:val="center"/>
              <w:outlineLvl w:val="0"/>
              <w:rPr>
                <w:rFonts w:ascii="Arial" w:eastAsia="Times New Roman" w:hAnsi="Arial" w:cs="Arial"/>
                <w:b/>
                <w:bCs/>
                <w:color w:val="000000" w:themeColor="text1"/>
                <w:sz w:val="20"/>
                <w:szCs w:val="20"/>
              </w:rPr>
            </w:pPr>
          </w:p>
        </w:tc>
        <w:tc>
          <w:tcPr>
            <w:tcW w:w="777" w:type="pct"/>
            <w:vAlign w:val="bottom"/>
          </w:tcPr>
          <w:p w14:paraId="423C5298" w14:textId="15259A5D" w:rsidR="006826A0" w:rsidRPr="00F43653" w:rsidRDefault="006826A0" w:rsidP="006826A0">
            <w:pPr>
              <w:spacing w:line="301" w:lineRule="exact"/>
              <w:jc w:val="right"/>
              <w:outlineLvl w:val="0"/>
              <w:rPr>
                <w:rFonts w:ascii="Arial" w:eastAsia="Times New Roman" w:hAnsi="Arial" w:cs="Arial"/>
                <w:b/>
                <w:bCs/>
                <w:color w:val="000000" w:themeColor="text1"/>
                <w:sz w:val="20"/>
                <w:szCs w:val="20"/>
              </w:rPr>
            </w:pPr>
            <w:r w:rsidRPr="007478FB">
              <w:rPr>
                <w:rFonts w:ascii="Arial" w:hAnsi="Arial" w:cs="Arial"/>
                <w:b/>
                <w:bCs/>
                <w:sz w:val="20"/>
              </w:rPr>
              <w:t>1.</w:t>
            </w:r>
            <w:r w:rsidR="00FB136F">
              <w:rPr>
                <w:rFonts w:ascii="Arial" w:hAnsi="Arial" w:cs="Arial"/>
                <w:b/>
                <w:bCs/>
                <w:sz w:val="20"/>
              </w:rPr>
              <w:t>7</w:t>
            </w:r>
            <w:r w:rsidRPr="007478FB">
              <w:rPr>
                <w:rFonts w:ascii="Arial" w:hAnsi="Arial" w:cs="Arial"/>
                <w:b/>
                <w:bCs/>
                <w:sz w:val="20"/>
              </w:rPr>
              <w:t>. - 30.</w:t>
            </w:r>
            <w:r w:rsidR="00FB136F">
              <w:rPr>
                <w:rFonts w:ascii="Arial" w:hAnsi="Arial" w:cs="Arial"/>
                <w:b/>
                <w:bCs/>
                <w:sz w:val="20"/>
              </w:rPr>
              <w:t>9</w:t>
            </w:r>
            <w:r w:rsidRPr="007478FB">
              <w:rPr>
                <w:rFonts w:ascii="Arial" w:hAnsi="Arial" w:cs="Arial"/>
                <w:b/>
                <w:bCs/>
                <w:sz w:val="20"/>
              </w:rPr>
              <w:t>.</w:t>
            </w:r>
          </w:p>
        </w:tc>
        <w:tc>
          <w:tcPr>
            <w:tcW w:w="776" w:type="pct"/>
            <w:vAlign w:val="bottom"/>
          </w:tcPr>
          <w:p w14:paraId="1F39587A" w14:textId="2D0567CE" w:rsidR="006826A0" w:rsidRPr="00F43653" w:rsidRDefault="006826A0" w:rsidP="006826A0">
            <w:pPr>
              <w:spacing w:line="301" w:lineRule="exact"/>
              <w:jc w:val="right"/>
              <w:outlineLvl w:val="0"/>
              <w:rPr>
                <w:rFonts w:ascii="Arial" w:eastAsia="Times New Roman" w:hAnsi="Arial" w:cs="Arial"/>
                <w:b/>
                <w:bCs/>
                <w:color w:val="000000" w:themeColor="text1"/>
                <w:sz w:val="20"/>
                <w:szCs w:val="20"/>
              </w:rPr>
            </w:pPr>
            <w:r w:rsidRPr="007478FB">
              <w:rPr>
                <w:rFonts w:ascii="Arial" w:hAnsi="Arial" w:cs="Arial"/>
                <w:b/>
                <w:bCs/>
                <w:sz w:val="20"/>
              </w:rPr>
              <w:t>1.1. - 30.</w:t>
            </w:r>
            <w:r w:rsidR="00FB136F">
              <w:rPr>
                <w:rFonts w:ascii="Arial" w:hAnsi="Arial" w:cs="Arial"/>
                <w:b/>
                <w:bCs/>
                <w:sz w:val="20"/>
              </w:rPr>
              <w:t>9</w:t>
            </w:r>
            <w:r w:rsidRPr="007478FB">
              <w:rPr>
                <w:rFonts w:ascii="Arial" w:hAnsi="Arial" w:cs="Arial"/>
                <w:b/>
                <w:bCs/>
                <w:sz w:val="20"/>
              </w:rPr>
              <w:t>.</w:t>
            </w:r>
          </w:p>
        </w:tc>
        <w:tc>
          <w:tcPr>
            <w:tcW w:w="776" w:type="pct"/>
            <w:vAlign w:val="bottom"/>
          </w:tcPr>
          <w:p w14:paraId="76041031" w14:textId="2303DF2A" w:rsidR="006826A0" w:rsidRPr="00F43653" w:rsidRDefault="006826A0" w:rsidP="006826A0">
            <w:pPr>
              <w:spacing w:line="301" w:lineRule="exact"/>
              <w:jc w:val="right"/>
              <w:outlineLvl w:val="0"/>
              <w:rPr>
                <w:rFonts w:ascii="Arial" w:eastAsia="Times New Roman" w:hAnsi="Arial" w:cs="Arial"/>
                <w:b/>
                <w:bCs/>
                <w:color w:val="000000" w:themeColor="text1"/>
                <w:sz w:val="20"/>
                <w:szCs w:val="20"/>
              </w:rPr>
            </w:pPr>
            <w:r w:rsidRPr="007478FB">
              <w:rPr>
                <w:rFonts w:ascii="Arial" w:hAnsi="Arial" w:cs="Arial"/>
                <w:b/>
                <w:bCs/>
                <w:sz w:val="20"/>
              </w:rPr>
              <w:t>1.</w:t>
            </w:r>
            <w:r w:rsidR="00FB136F">
              <w:rPr>
                <w:rFonts w:ascii="Arial" w:hAnsi="Arial" w:cs="Arial"/>
                <w:b/>
                <w:bCs/>
                <w:sz w:val="20"/>
              </w:rPr>
              <w:t>7</w:t>
            </w:r>
            <w:r w:rsidRPr="007478FB">
              <w:rPr>
                <w:rFonts w:ascii="Arial" w:hAnsi="Arial" w:cs="Arial"/>
                <w:b/>
                <w:bCs/>
                <w:sz w:val="20"/>
              </w:rPr>
              <w:t>. - 30.</w:t>
            </w:r>
            <w:r w:rsidR="00FB136F">
              <w:rPr>
                <w:rFonts w:ascii="Arial" w:hAnsi="Arial" w:cs="Arial"/>
                <w:b/>
                <w:bCs/>
                <w:sz w:val="20"/>
              </w:rPr>
              <w:t>9</w:t>
            </w:r>
            <w:r w:rsidRPr="007478FB">
              <w:rPr>
                <w:rFonts w:ascii="Arial" w:hAnsi="Arial" w:cs="Arial"/>
                <w:b/>
                <w:bCs/>
                <w:sz w:val="20"/>
              </w:rPr>
              <w:t>.</w:t>
            </w:r>
          </w:p>
        </w:tc>
        <w:tc>
          <w:tcPr>
            <w:tcW w:w="776" w:type="pct"/>
            <w:vAlign w:val="bottom"/>
          </w:tcPr>
          <w:p w14:paraId="14EE19C5" w14:textId="00C334B1" w:rsidR="006826A0" w:rsidRPr="00F43653" w:rsidRDefault="006826A0" w:rsidP="006826A0">
            <w:pPr>
              <w:spacing w:line="301" w:lineRule="exact"/>
              <w:jc w:val="right"/>
              <w:outlineLvl w:val="0"/>
              <w:rPr>
                <w:rFonts w:ascii="Arial" w:eastAsia="Times New Roman" w:hAnsi="Arial" w:cs="Arial"/>
                <w:b/>
                <w:bCs/>
                <w:color w:val="000000" w:themeColor="text1"/>
                <w:sz w:val="20"/>
                <w:szCs w:val="20"/>
              </w:rPr>
            </w:pPr>
            <w:r w:rsidRPr="007478FB">
              <w:rPr>
                <w:rFonts w:ascii="Arial" w:hAnsi="Arial" w:cs="Arial"/>
                <w:b/>
                <w:bCs/>
                <w:sz w:val="20"/>
              </w:rPr>
              <w:t>1.1. - 30.</w:t>
            </w:r>
            <w:r w:rsidR="00FB136F">
              <w:rPr>
                <w:rFonts w:ascii="Arial" w:hAnsi="Arial" w:cs="Arial"/>
                <w:b/>
                <w:bCs/>
                <w:sz w:val="20"/>
              </w:rPr>
              <w:t>9</w:t>
            </w:r>
            <w:r w:rsidRPr="007478FB">
              <w:rPr>
                <w:rFonts w:ascii="Arial" w:hAnsi="Arial" w:cs="Arial"/>
                <w:b/>
                <w:bCs/>
                <w:sz w:val="20"/>
              </w:rPr>
              <w:t>.</w:t>
            </w:r>
          </w:p>
        </w:tc>
      </w:tr>
      <w:tr w:rsidR="006826A0" w:rsidRPr="00F43653" w14:paraId="34D63076" w14:textId="77777777" w:rsidTr="007478FB">
        <w:trPr>
          <w:trHeight w:val="351"/>
        </w:trPr>
        <w:tc>
          <w:tcPr>
            <w:tcW w:w="1895" w:type="pct"/>
            <w:vAlign w:val="bottom"/>
          </w:tcPr>
          <w:p w14:paraId="4B9A1B06" w14:textId="77777777" w:rsidR="006826A0" w:rsidRPr="00F43653" w:rsidRDefault="006826A0" w:rsidP="006826A0">
            <w:pPr>
              <w:tabs>
                <w:tab w:val="right" w:pos="1202"/>
              </w:tabs>
              <w:spacing w:line="301" w:lineRule="exact"/>
              <w:jc w:val="center"/>
              <w:outlineLvl w:val="0"/>
              <w:rPr>
                <w:rFonts w:ascii="Arial" w:eastAsia="Times New Roman" w:hAnsi="Arial" w:cs="Arial"/>
                <w:b/>
                <w:bCs/>
                <w:color w:val="000000" w:themeColor="text1"/>
                <w:sz w:val="20"/>
                <w:szCs w:val="20"/>
              </w:rPr>
            </w:pPr>
          </w:p>
        </w:tc>
        <w:tc>
          <w:tcPr>
            <w:tcW w:w="777" w:type="pct"/>
            <w:vAlign w:val="bottom"/>
          </w:tcPr>
          <w:p w14:paraId="1AB3981C" w14:textId="123208E0" w:rsidR="006826A0" w:rsidRPr="00F43653" w:rsidRDefault="006826A0" w:rsidP="006826A0">
            <w:pPr>
              <w:spacing w:line="301" w:lineRule="exact"/>
              <w:jc w:val="right"/>
              <w:outlineLvl w:val="0"/>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000 eura</w:t>
            </w:r>
          </w:p>
        </w:tc>
        <w:tc>
          <w:tcPr>
            <w:tcW w:w="776" w:type="pct"/>
            <w:vAlign w:val="bottom"/>
          </w:tcPr>
          <w:p w14:paraId="76DF33E6" w14:textId="248B22E3" w:rsidR="006826A0" w:rsidRPr="00F43653" w:rsidRDefault="006826A0" w:rsidP="006826A0">
            <w:pPr>
              <w:spacing w:line="301" w:lineRule="exact"/>
              <w:jc w:val="right"/>
              <w:outlineLvl w:val="0"/>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000 eura</w:t>
            </w:r>
          </w:p>
        </w:tc>
        <w:tc>
          <w:tcPr>
            <w:tcW w:w="776" w:type="pct"/>
            <w:vAlign w:val="bottom"/>
          </w:tcPr>
          <w:p w14:paraId="720B9FCD" w14:textId="271CE616" w:rsidR="006826A0" w:rsidRPr="00F43653" w:rsidRDefault="006826A0" w:rsidP="006826A0">
            <w:pPr>
              <w:spacing w:line="301" w:lineRule="exact"/>
              <w:jc w:val="right"/>
              <w:outlineLvl w:val="0"/>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000 eura</w:t>
            </w:r>
          </w:p>
        </w:tc>
        <w:tc>
          <w:tcPr>
            <w:tcW w:w="776" w:type="pct"/>
            <w:vAlign w:val="bottom"/>
          </w:tcPr>
          <w:p w14:paraId="42FE6785" w14:textId="02D88F4E" w:rsidR="006826A0" w:rsidRPr="00F43653" w:rsidRDefault="006826A0" w:rsidP="006826A0">
            <w:pPr>
              <w:spacing w:line="301" w:lineRule="exact"/>
              <w:jc w:val="right"/>
              <w:outlineLvl w:val="0"/>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000 eura</w:t>
            </w:r>
          </w:p>
        </w:tc>
      </w:tr>
      <w:tr w:rsidR="006826A0" w:rsidRPr="00F43653" w14:paraId="3C2AE112" w14:textId="77777777" w:rsidTr="007478FB">
        <w:trPr>
          <w:trHeight w:hRule="exact" w:val="295"/>
        </w:trPr>
        <w:tc>
          <w:tcPr>
            <w:tcW w:w="1895" w:type="pct"/>
            <w:vAlign w:val="bottom"/>
          </w:tcPr>
          <w:p w14:paraId="180DDBDD" w14:textId="77777777" w:rsidR="006826A0" w:rsidRPr="00F43653" w:rsidRDefault="006826A0" w:rsidP="006826A0">
            <w:pPr>
              <w:tabs>
                <w:tab w:val="right" w:pos="1202"/>
              </w:tabs>
              <w:spacing w:line="301" w:lineRule="exact"/>
              <w:jc w:val="center"/>
              <w:outlineLvl w:val="0"/>
              <w:rPr>
                <w:rFonts w:ascii="Arial" w:eastAsia="Times New Roman" w:hAnsi="Arial" w:cs="Arial"/>
                <w:b/>
                <w:bCs/>
                <w:color w:val="000000" w:themeColor="text1"/>
                <w:sz w:val="20"/>
                <w:szCs w:val="20"/>
              </w:rPr>
            </w:pPr>
          </w:p>
        </w:tc>
        <w:tc>
          <w:tcPr>
            <w:tcW w:w="777" w:type="pct"/>
            <w:vAlign w:val="bottom"/>
          </w:tcPr>
          <w:p w14:paraId="30713BD0" w14:textId="77777777" w:rsidR="006826A0" w:rsidRPr="00F43653" w:rsidRDefault="006826A0" w:rsidP="006826A0">
            <w:pPr>
              <w:spacing w:line="301" w:lineRule="exact"/>
              <w:jc w:val="right"/>
              <w:outlineLvl w:val="0"/>
              <w:rPr>
                <w:rFonts w:ascii="Arial" w:eastAsia="Times New Roman" w:hAnsi="Arial" w:cs="Arial"/>
                <w:b/>
                <w:bCs/>
                <w:color w:val="000000" w:themeColor="text1"/>
                <w:sz w:val="20"/>
                <w:szCs w:val="20"/>
              </w:rPr>
            </w:pPr>
          </w:p>
        </w:tc>
        <w:tc>
          <w:tcPr>
            <w:tcW w:w="776" w:type="pct"/>
            <w:vAlign w:val="bottom"/>
          </w:tcPr>
          <w:p w14:paraId="03106C03" w14:textId="77777777" w:rsidR="006826A0" w:rsidRPr="00F43653" w:rsidRDefault="006826A0" w:rsidP="006826A0">
            <w:pPr>
              <w:spacing w:line="301" w:lineRule="exact"/>
              <w:jc w:val="right"/>
              <w:outlineLvl w:val="0"/>
              <w:rPr>
                <w:rFonts w:ascii="Arial" w:eastAsia="Times New Roman" w:hAnsi="Arial" w:cs="Arial"/>
                <w:b/>
                <w:bCs/>
                <w:color w:val="000000" w:themeColor="text1"/>
                <w:sz w:val="20"/>
                <w:szCs w:val="20"/>
              </w:rPr>
            </w:pPr>
          </w:p>
        </w:tc>
        <w:tc>
          <w:tcPr>
            <w:tcW w:w="776" w:type="pct"/>
            <w:vAlign w:val="bottom"/>
          </w:tcPr>
          <w:p w14:paraId="66B85B37" w14:textId="6BD6F490" w:rsidR="006826A0" w:rsidRPr="00F43653" w:rsidRDefault="006826A0" w:rsidP="006826A0">
            <w:pPr>
              <w:spacing w:line="301" w:lineRule="exact"/>
              <w:jc w:val="right"/>
              <w:outlineLvl w:val="0"/>
              <w:rPr>
                <w:rFonts w:ascii="Arial" w:eastAsia="Times New Roman" w:hAnsi="Arial" w:cs="Arial"/>
                <w:b/>
                <w:bCs/>
                <w:color w:val="000000" w:themeColor="text1"/>
                <w:sz w:val="20"/>
                <w:szCs w:val="20"/>
              </w:rPr>
            </w:pPr>
          </w:p>
        </w:tc>
        <w:tc>
          <w:tcPr>
            <w:tcW w:w="776" w:type="pct"/>
            <w:vAlign w:val="bottom"/>
          </w:tcPr>
          <w:p w14:paraId="49903415" w14:textId="77777777" w:rsidR="006826A0" w:rsidRPr="00F43653" w:rsidRDefault="006826A0" w:rsidP="006826A0">
            <w:pPr>
              <w:spacing w:line="301" w:lineRule="exact"/>
              <w:jc w:val="right"/>
              <w:outlineLvl w:val="0"/>
              <w:rPr>
                <w:rFonts w:ascii="Arial" w:eastAsia="Times New Roman" w:hAnsi="Arial" w:cs="Arial"/>
                <w:b/>
                <w:bCs/>
                <w:color w:val="000000" w:themeColor="text1"/>
                <w:sz w:val="20"/>
                <w:szCs w:val="20"/>
              </w:rPr>
            </w:pPr>
          </w:p>
        </w:tc>
      </w:tr>
      <w:tr w:rsidR="00430656" w:rsidRPr="00F43653" w14:paraId="17C25FDD" w14:textId="77777777" w:rsidTr="00087A40">
        <w:trPr>
          <w:trHeight w:val="348"/>
        </w:trPr>
        <w:tc>
          <w:tcPr>
            <w:tcW w:w="1895" w:type="pct"/>
            <w:vAlign w:val="bottom"/>
          </w:tcPr>
          <w:p w14:paraId="54094867" w14:textId="77777777" w:rsidR="00430656" w:rsidRPr="00F43653" w:rsidRDefault="00430656" w:rsidP="00430656">
            <w:pPr>
              <w:tabs>
                <w:tab w:val="right" w:pos="1202"/>
              </w:tabs>
              <w:spacing w:line="240" w:lineRule="exact"/>
              <w:outlineLvl w:val="0"/>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Dobit tekućeg razdoblja</w:t>
            </w:r>
          </w:p>
        </w:tc>
        <w:tc>
          <w:tcPr>
            <w:tcW w:w="777" w:type="pct"/>
            <w:tcBorders>
              <w:bottom w:val="single" w:sz="12" w:space="0" w:color="auto"/>
            </w:tcBorders>
          </w:tcPr>
          <w:p w14:paraId="00BAA8FF" w14:textId="39046801" w:rsidR="00430656" w:rsidRPr="00965B69" w:rsidRDefault="00430656" w:rsidP="00430656">
            <w:pPr>
              <w:tabs>
                <w:tab w:val="right" w:pos="1202"/>
              </w:tabs>
              <w:spacing w:line="340" w:lineRule="exact"/>
              <w:jc w:val="right"/>
              <w:outlineLvl w:val="0"/>
              <w:rPr>
                <w:rFonts w:ascii="Arial" w:eastAsia="Times New Roman" w:hAnsi="Arial" w:cs="Arial"/>
                <w:b/>
                <w:bCs/>
                <w:color w:val="000000" w:themeColor="text1"/>
                <w:sz w:val="20"/>
                <w:szCs w:val="20"/>
              </w:rPr>
            </w:pPr>
            <w:r w:rsidRPr="00965B69">
              <w:rPr>
                <w:rFonts w:ascii="Arial" w:hAnsi="Arial" w:cs="Arial"/>
                <w:b/>
                <w:bCs/>
                <w:sz w:val="20"/>
                <w:szCs w:val="20"/>
              </w:rPr>
              <w:t>5.138</w:t>
            </w:r>
          </w:p>
        </w:tc>
        <w:tc>
          <w:tcPr>
            <w:tcW w:w="776" w:type="pct"/>
            <w:tcBorders>
              <w:bottom w:val="single" w:sz="12" w:space="0" w:color="auto"/>
            </w:tcBorders>
          </w:tcPr>
          <w:p w14:paraId="13F1F9E8" w14:textId="7916BB03" w:rsidR="00430656" w:rsidRPr="00965B69" w:rsidRDefault="00430656" w:rsidP="00430656">
            <w:pPr>
              <w:tabs>
                <w:tab w:val="right" w:pos="1202"/>
              </w:tabs>
              <w:spacing w:line="340" w:lineRule="exact"/>
              <w:jc w:val="right"/>
              <w:outlineLvl w:val="0"/>
              <w:rPr>
                <w:rFonts w:ascii="Arial" w:eastAsia="Times New Roman" w:hAnsi="Arial" w:cs="Arial"/>
                <w:b/>
                <w:bCs/>
                <w:color w:val="000000" w:themeColor="text1"/>
                <w:sz w:val="20"/>
                <w:szCs w:val="20"/>
              </w:rPr>
            </w:pPr>
            <w:r w:rsidRPr="00965B69">
              <w:rPr>
                <w:rFonts w:ascii="Arial" w:hAnsi="Arial" w:cs="Arial"/>
                <w:b/>
                <w:bCs/>
                <w:sz w:val="20"/>
                <w:szCs w:val="20"/>
              </w:rPr>
              <w:t>43.565</w:t>
            </w:r>
          </w:p>
        </w:tc>
        <w:tc>
          <w:tcPr>
            <w:tcW w:w="776" w:type="pct"/>
            <w:tcBorders>
              <w:bottom w:val="single" w:sz="12" w:space="0" w:color="auto"/>
            </w:tcBorders>
            <w:vAlign w:val="bottom"/>
          </w:tcPr>
          <w:p w14:paraId="032B8198" w14:textId="6E829BA9" w:rsidR="00430656" w:rsidRPr="00F43653" w:rsidRDefault="00430656" w:rsidP="00430656">
            <w:pPr>
              <w:tabs>
                <w:tab w:val="right" w:pos="1202"/>
              </w:tabs>
              <w:spacing w:line="340" w:lineRule="exact"/>
              <w:jc w:val="right"/>
              <w:outlineLvl w:val="0"/>
              <w:rPr>
                <w:rFonts w:ascii="Arial" w:eastAsia="Times New Roman" w:hAnsi="Arial" w:cs="Arial"/>
                <w:b/>
                <w:bCs/>
                <w:color w:val="000000" w:themeColor="text1"/>
                <w:sz w:val="20"/>
                <w:szCs w:val="20"/>
              </w:rPr>
            </w:pPr>
            <w:r w:rsidRPr="00264ADA">
              <w:rPr>
                <w:rFonts w:ascii="Arial" w:eastAsia="Times New Roman" w:hAnsi="Arial" w:cs="Arial"/>
                <w:b/>
                <w:bCs/>
                <w:color w:val="000000" w:themeColor="text1"/>
                <w:sz w:val="20"/>
                <w:szCs w:val="20"/>
              </w:rPr>
              <w:t xml:space="preserve"> 20.931 </w:t>
            </w:r>
          </w:p>
        </w:tc>
        <w:tc>
          <w:tcPr>
            <w:tcW w:w="776" w:type="pct"/>
            <w:tcBorders>
              <w:bottom w:val="single" w:sz="12" w:space="0" w:color="auto"/>
            </w:tcBorders>
            <w:vAlign w:val="bottom"/>
          </w:tcPr>
          <w:p w14:paraId="37176675" w14:textId="7A4EE816" w:rsidR="00430656" w:rsidRPr="00F43653" w:rsidRDefault="00430656" w:rsidP="00430656">
            <w:pPr>
              <w:tabs>
                <w:tab w:val="right" w:pos="1202"/>
              </w:tabs>
              <w:spacing w:line="340" w:lineRule="exact"/>
              <w:jc w:val="right"/>
              <w:outlineLvl w:val="0"/>
              <w:rPr>
                <w:rFonts w:ascii="Arial" w:eastAsia="Times New Roman" w:hAnsi="Arial" w:cs="Arial"/>
                <w:b/>
                <w:bCs/>
                <w:color w:val="000000" w:themeColor="text1"/>
                <w:sz w:val="20"/>
                <w:szCs w:val="20"/>
              </w:rPr>
            </w:pPr>
            <w:r w:rsidRPr="00264ADA">
              <w:rPr>
                <w:rFonts w:ascii="Arial" w:eastAsia="Times New Roman" w:hAnsi="Arial" w:cs="Arial"/>
                <w:b/>
                <w:bCs/>
                <w:color w:val="000000" w:themeColor="text1"/>
                <w:sz w:val="20"/>
                <w:szCs w:val="20"/>
              </w:rPr>
              <w:t xml:space="preserve"> 50.386 </w:t>
            </w:r>
          </w:p>
        </w:tc>
      </w:tr>
      <w:tr w:rsidR="00226B12" w:rsidRPr="00F43653" w14:paraId="7A90879C" w14:textId="77777777" w:rsidTr="00264ADA">
        <w:trPr>
          <w:trHeight w:val="336"/>
        </w:trPr>
        <w:tc>
          <w:tcPr>
            <w:tcW w:w="1895" w:type="pct"/>
            <w:vAlign w:val="bottom"/>
          </w:tcPr>
          <w:p w14:paraId="16E46519" w14:textId="77777777" w:rsidR="00226B12" w:rsidRPr="00F43653" w:rsidRDefault="00226B12" w:rsidP="00226B12">
            <w:pPr>
              <w:tabs>
                <w:tab w:val="right" w:pos="1202"/>
              </w:tabs>
              <w:spacing w:line="240" w:lineRule="exact"/>
              <w:outlineLvl w:val="0"/>
              <w:rPr>
                <w:rFonts w:ascii="Arial" w:hAnsi="Arial" w:cs="Arial"/>
                <w:b/>
                <w:bCs/>
                <w:color w:val="000000" w:themeColor="text1"/>
                <w:sz w:val="20"/>
                <w:szCs w:val="20"/>
              </w:rPr>
            </w:pPr>
            <w:r w:rsidRPr="00F43653">
              <w:rPr>
                <w:rFonts w:ascii="Arial" w:hAnsi="Arial" w:cs="Arial"/>
                <w:b/>
                <w:bCs/>
                <w:color w:val="000000" w:themeColor="text1"/>
                <w:sz w:val="20"/>
                <w:szCs w:val="20"/>
              </w:rPr>
              <w:t>Ostala sveobuhvatna dobit</w:t>
            </w:r>
          </w:p>
        </w:tc>
        <w:tc>
          <w:tcPr>
            <w:tcW w:w="777" w:type="pct"/>
            <w:vAlign w:val="bottom"/>
          </w:tcPr>
          <w:p w14:paraId="1FC91EC7" w14:textId="77777777" w:rsidR="00226B12" w:rsidRPr="00965B69" w:rsidRDefault="00226B12" w:rsidP="00226B12">
            <w:pPr>
              <w:tabs>
                <w:tab w:val="right" w:pos="1202"/>
              </w:tabs>
              <w:spacing w:line="340" w:lineRule="exact"/>
              <w:jc w:val="right"/>
              <w:outlineLvl w:val="0"/>
              <w:rPr>
                <w:rFonts w:ascii="Arial" w:eastAsia="Times New Roman" w:hAnsi="Arial" w:cs="Arial"/>
                <w:b/>
                <w:bCs/>
                <w:color w:val="000000" w:themeColor="text1"/>
                <w:sz w:val="20"/>
                <w:szCs w:val="20"/>
              </w:rPr>
            </w:pPr>
          </w:p>
        </w:tc>
        <w:tc>
          <w:tcPr>
            <w:tcW w:w="776" w:type="pct"/>
            <w:vAlign w:val="bottom"/>
          </w:tcPr>
          <w:p w14:paraId="01AE6F72" w14:textId="77777777" w:rsidR="00226B12" w:rsidRPr="00965B69" w:rsidRDefault="00226B12" w:rsidP="00226B12">
            <w:pPr>
              <w:tabs>
                <w:tab w:val="right" w:pos="1202"/>
              </w:tabs>
              <w:spacing w:line="340" w:lineRule="exact"/>
              <w:jc w:val="right"/>
              <w:outlineLvl w:val="0"/>
              <w:rPr>
                <w:rFonts w:ascii="Arial" w:eastAsia="Times New Roman" w:hAnsi="Arial" w:cs="Arial"/>
                <w:b/>
                <w:bCs/>
                <w:color w:val="000000" w:themeColor="text1"/>
                <w:sz w:val="20"/>
                <w:szCs w:val="20"/>
              </w:rPr>
            </w:pPr>
          </w:p>
        </w:tc>
        <w:tc>
          <w:tcPr>
            <w:tcW w:w="776" w:type="pct"/>
            <w:vAlign w:val="bottom"/>
          </w:tcPr>
          <w:p w14:paraId="53073251" w14:textId="450D06C2" w:rsidR="00226B12" w:rsidRPr="00F43653" w:rsidRDefault="00226B12" w:rsidP="00226B12">
            <w:pPr>
              <w:tabs>
                <w:tab w:val="right" w:pos="1202"/>
              </w:tabs>
              <w:spacing w:line="340" w:lineRule="exact"/>
              <w:jc w:val="right"/>
              <w:outlineLvl w:val="0"/>
              <w:rPr>
                <w:rFonts w:ascii="Arial" w:eastAsia="Times New Roman" w:hAnsi="Arial" w:cs="Arial"/>
                <w:b/>
                <w:bCs/>
                <w:color w:val="000000" w:themeColor="text1"/>
                <w:sz w:val="20"/>
                <w:szCs w:val="20"/>
              </w:rPr>
            </w:pPr>
          </w:p>
        </w:tc>
        <w:tc>
          <w:tcPr>
            <w:tcW w:w="776" w:type="pct"/>
            <w:vAlign w:val="bottom"/>
          </w:tcPr>
          <w:p w14:paraId="56223D25" w14:textId="77777777" w:rsidR="00226B12" w:rsidRPr="00F43653" w:rsidRDefault="00226B12" w:rsidP="00226B12">
            <w:pPr>
              <w:tabs>
                <w:tab w:val="right" w:pos="1202"/>
              </w:tabs>
              <w:spacing w:line="340" w:lineRule="exact"/>
              <w:jc w:val="right"/>
              <w:outlineLvl w:val="0"/>
              <w:rPr>
                <w:rFonts w:ascii="Arial" w:eastAsia="Times New Roman" w:hAnsi="Arial" w:cs="Arial"/>
                <w:b/>
                <w:bCs/>
                <w:color w:val="000000" w:themeColor="text1"/>
                <w:sz w:val="20"/>
                <w:szCs w:val="20"/>
              </w:rPr>
            </w:pPr>
          </w:p>
        </w:tc>
      </w:tr>
      <w:tr w:rsidR="00226B12" w:rsidRPr="00F43653" w14:paraId="26F2F988" w14:textId="77777777" w:rsidTr="00264ADA">
        <w:trPr>
          <w:trHeight w:hRule="exact" w:val="558"/>
        </w:trPr>
        <w:tc>
          <w:tcPr>
            <w:tcW w:w="1895" w:type="pct"/>
            <w:vAlign w:val="bottom"/>
          </w:tcPr>
          <w:p w14:paraId="15AF5D57" w14:textId="77777777" w:rsidR="00226B12" w:rsidRPr="00F43653" w:rsidRDefault="00226B12" w:rsidP="00226B12">
            <w:pPr>
              <w:tabs>
                <w:tab w:val="right" w:pos="1202"/>
              </w:tabs>
              <w:spacing w:line="240" w:lineRule="exact"/>
              <w:outlineLvl w:val="0"/>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Stavke koje se kasnije mogu uračunati u dobit ili gubitak:</w:t>
            </w:r>
          </w:p>
        </w:tc>
        <w:tc>
          <w:tcPr>
            <w:tcW w:w="777" w:type="pct"/>
            <w:vAlign w:val="bottom"/>
          </w:tcPr>
          <w:p w14:paraId="49CCE032" w14:textId="77777777" w:rsidR="00226B12" w:rsidRPr="00965B69" w:rsidRDefault="00226B12" w:rsidP="00226B12">
            <w:pPr>
              <w:tabs>
                <w:tab w:val="right" w:pos="1202"/>
              </w:tabs>
              <w:spacing w:line="340" w:lineRule="exact"/>
              <w:jc w:val="right"/>
              <w:outlineLvl w:val="0"/>
              <w:rPr>
                <w:rFonts w:ascii="Arial" w:eastAsia="Times New Roman" w:hAnsi="Arial" w:cs="Arial"/>
                <w:b/>
                <w:bCs/>
                <w:color w:val="000000" w:themeColor="text1"/>
                <w:sz w:val="20"/>
                <w:szCs w:val="20"/>
              </w:rPr>
            </w:pPr>
          </w:p>
        </w:tc>
        <w:tc>
          <w:tcPr>
            <w:tcW w:w="776" w:type="pct"/>
            <w:vAlign w:val="bottom"/>
          </w:tcPr>
          <w:p w14:paraId="53C1AF63" w14:textId="77777777" w:rsidR="00226B12" w:rsidRPr="00965B69" w:rsidRDefault="00226B12" w:rsidP="00226B12">
            <w:pPr>
              <w:tabs>
                <w:tab w:val="right" w:pos="1202"/>
              </w:tabs>
              <w:spacing w:line="340" w:lineRule="exact"/>
              <w:jc w:val="right"/>
              <w:outlineLvl w:val="0"/>
              <w:rPr>
                <w:rFonts w:ascii="Arial" w:eastAsia="Times New Roman" w:hAnsi="Arial" w:cs="Arial"/>
                <w:b/>
                <w:bCs/>
                <w:color w:val="000000" w:themeColor="text1"/>
                <w:sz w:val="20"/>
                <w:szCs w:val="20"/>
              </w:rPr>
            </w:pPr>
          </w:p>
        </w:tc>
        <w:tc>
          <w:tcPr>
            <w:tcW w:w="776" w:type="pct"/>
            <w:vAlign w:val="bottom"/>
          </w:tcPr>
          <w:p w14:paraId="039C9B37" w14:textId="1BF60FE7" w:rsidR="00226B12" w:rsidRPr="00F43653" w:rsidRDefault="00226B12" w:rsidP="00226B12">
            <w:pPr>
              <w:tabs>
                <w:tab w:val="right" w:pos="1202"/>
              </w:tabs>
              <w:spacing w:line="340" w:lineRule="exact"/>
              <w:jc w:val="right"/>
              <w:outlineLvl w:val="0"/>
              <w:rPr>
                <w:rFonts w:ascii="Arial" w:eastAsia="Times New Roman" w:hAnsi="Arial" w:cs="Arial"/>
                <w:b/>
                <w:bCs/>
                <w:color w:val="000000" w:themeColor="text1"/>
                <w:sz w:val="20"/>
                <w:szCs w:val="20"/>
              </w:rPr>
            </w:pPr>
          </w:p>
        </w:tc>
        <w:tc>
          <w:tcPr>
            <w:tcW w:w="776" w:type="pct"/>
            <w:vAlign w:val="bottom"/>
          </w:tcPr>
          <w:p w14:paraId="29FB40D5" w14:textId="77777777" w:rsidR="00226B12" w:rsidRPr="00F43653" w:rsidRDefault="00226B12" w:rsidP="00226B12">
            <w:pPr>
              <w:tabs>
                <w:tab w:val="right" w:pos="1202"/>
              </w:tabs>
              <w:spacing w:line="340" w:lineRule="exact"/>
              <w:jc w:val="right"/>
              <w:outlineLvl w:val="0"/>
              <w:rPr>
                <w:rFonts w:ascii="Arial" w:eastAsia="Times New Roman" w:hAnsi="Arial" w:cs="Arial"/>
                <w:b/>
                <w:bCs/>
                <w:color w:val="000000" w:themeColor="text1"/>
                <w:sz w:val="20"/>
                <w:szCs w:val="20"/>
              </w:rPr>
            </w:pPr>
          </w:p>
        </w:tc>
      </w:tr>
      <w:tr w:rsidR="00226B12" w:rsidRPr="00F43653" w14:paraId="2CD1DBDB" w14:textId="77777777" w:rsidTr="00264ADA">
        <w:trPr>
          <w:trHeight w:val="354"/>
        </w:trPr>
        <w:tc>
          <w:tcPr>
            <w:tcW w:w="1895" w:type="pct"/>
            <w:tcBorders>
              <w:top w:val="nil"/>
              <w:left w:val="nil"/>
              <w:bottom w:val="nil"/>
              <w:right w:val="nil"/>
            </w:tcBorders>
            <w:shd w:val="clear" w:color="auto" w:fill="auto"/>
            <w:vAlign w:val="bottom"/>
          </w:tcPr>
          <w:p w14:paraId="525B9B31" w14:textId="77777777" w:rsidR="00226B12" w:rsidRPr="00F43653" w:rsidRDefault="00226B12" w:rsidP="00226B12">
            <w:pPr>
              <w:tabs>
                <w:tab w:val="right" w:pos="1202"/>
              </w:tabs>
              <w:spacing w:line="340" w:lineRule="exact"/>
              <w:outlineLvl w:val="0"/>
              <w:rPr>
                <w:rFonts w:ascii="Arial" w:eastAsia="Times New Roman" w:hAnsi="Arial" w:cs="Arial"/>
                <w:bCs/>
                <w:color w:val="000000" w:themeColor="text1"/>
                <w:sz w:val="20"/>
                <w:szCs w:val="20"/>
              </w:rPr>
            </w:pPr>
            <w:r w:rsidRPr="00F43653">
              <w:rPr>
                <w:rFonts w:ascii="Arial" w:eastAsia="Times New Roman" w:hAnsi="Arial" w:cs="Arial"/>
                <w:bCs/>
                <w:color w:val="000000" w:themeColor="text1"/>
                <w:sz w:val="20"/>
                <w:szCs w:val="20"/>
              </w:rPr>
              <w:t>Neto promjene financijske imovine po fer vrijednosti kroz ostalu sveobuhvatnu dobit</w:t>
            </w:r>
          </w:p>
        </w:tc>
        <w:tc>
          <w:tcPr>
            <w:tcW w:w="777" w:type="pct"/>
            <w:tcBorders>
              <w:top w:val="nil"/>
              <w:left w:val="nil"/>
              <w:bottom w:val="nil"/>
              <w:right w:val="nil"/>
            </w:tcBorders>
            <w:shd w:val="clear" w:color="auto" w:fill="auto"/>
            <w:vAlign w:val="bottom"/>
          </w:tcPr>
          <w:p w14:paraId="61E4313B" w14:textId="5378516E" w:rsidR="00226B12" w:rsidRPr="00965B69" w:rsidRDefault="00AE64F5" w:rsidP="00226B12">
            <w:pPr>
              <w:tabs>
                <w:tab w:val="right" w:pos="1202"/>
              </w:tabs>
              <w:spacing w:line="340" w:lineRule="exact"/>
              <w:jc w:val="right"/>
              <w:outlineLvl w:val="0"/>
              <w:rPr>
                <w:rFonts w:ascii="Arial" w:hAnsi="Arial" w:cs="Arial"/>
                <w:sz w:val="20"/>
                <w:szCs w:val="20"/>
              </w:rPr>
            </w:pPr>
            <w:r w:rsidRPr="00965B69">
              <w:rPr>
                <w:rFonts w:ascii="Arial" w:hAnsi="Arial" w:cs="Arial"/>
                <w:sz w:val="20"/>
                <w:szCs w:val="20"/>
              </w:rPr>
              <w:t>2.447</w:t>
            </w:r>
          </w:p>
        </w:tc>
        <w:tc>
          <w:tcPr>
            <w:tcW w:w="776" w:type="pct"/>
            <w:tcBorders>
              <w:top w:val="nil"/>
              <w:left w:val="nil"/>
              <w:bottom w:val="nil"/>
              <w:right w:val="nil"/>
            </w:tcBorders>
            <w:shd w:val="clear" w:color="auto" w:fill="auto"/>
            <w:vAlign w:val="bottom"/>
          </w:tcPr>
          <w:p w14:paraId="0A41944E" w14:textId="256A41CB" w:rsidR="00226B12" w:rsidRPr="00965B69" w:rsidRDefault="00AE64F5" w:rsidP="00226B12">
            <w:pPr>
              <w:tabs>
                <w:tab w:val="right" w:pos="1202"/>
              </w:tabs>
              <w:spacing w:line="340" w:lineRule="exact"/>
              <w:jc w:val="right"/>
              <w:outlineLvl w:val="0"/>
              <w:rPr>
                <w:rFonts w:ascii="Arial" w:hAnsi="Arial" w:cs="Arial"/>
                <w:sz w:val="20"/>
                <w:szCs w:val="20"/>
              </w:rPr>
            </w:pPr>
            <w:r w:rsidRPr="00965B69">
              <w:rPr>
                <w:rFonts w:ascii="Arial" w:hAnsi="Arial" w:cs="Arial"/>
                <w:sz w:val="20"/>
                <w:szCs w:val="20"/>
              </w:rPr>
              <w:t>2.706</w:t>
            </w:r>
          </w:p>
        </w:tc>
        <w:tc>
          <w:tcPr>
            <w:tcW w:w="776" w:type="pct"/>
            <w:tcBorders>
              <w:top w:val="nil"/>
              <w:left w:val="nil"/>
              <w:bottom w:val="nil"/>
              <w:right w:val="nil"/>
            </w:tcBorders>
            <w:shd w:val="clear" w:color="auto" w:fill="auto"/>
            <w:vAlign w:val="bottom"/>
          </w:tcPr>
          <w:p w14:paraId="1F5D76E7" w14:textId="3D44AB52" w:rsidR="00226B12" w:rsidRPr="007478FB" w:rsidRDefault="00226B12" w:rsidP="00226B12">
            <w:pPr>
              <w:tabs>
                <w:tab w:val="right" w:pos="1202"/>
              </w:tabs>
              <w:spacing w:line="340" w:lineRule="exact"/>
              <w:jc w:val="right"/>
              <w:outlineLvl w:val="0"/>
              <w:rPr>
                <w:rFonts w:ascii="Arial" w:hAnsi="Arial" w:cs="Arial"/>
                <w:sz w:val="20"/>
                <w:szCs w:val="20"/>
              </w:rPr>
            </w:pPr>
            <w:r>
              <w:rPr>
                <w:rFonts w:ascii="Arial" w:hAnsi="Arial" w:cs="Arial"/>
                <w:sz w:val="20"/>
                <w:szCs w:val="20"/>
              </w:rPr>
              <w:t>367</w:t>
            </w:r>
          </w:p>
        </w:tc>
        <w:tc>
          <w:tcPr>
            <w:tcW w:w="776" w:type="pct"/>
            <w:tcBorders>
              <w:top w:val="nil"/>
              <w:left w:val="nil"/>
              <w:bottom w:val="nil"/>
              <w:right w:val="nil"/>
            </w:tcBorders>
            <w:shd w:val="clear" w:color="auto" w:fill="auto"/>
            <w:vAlign w:val="bottom"/>
          </w:tcPr>
          <w:p w14:paraId="5FA73610" w14:textId="118501F2" w:rsidR="00226B12" w:rsidRPr="007478FB" w:rsidRDefault="00226B12" w:rsidP="00226B12">
            <w:pPr>
              <w:tabs>
                <w:tab w:val="right" w:pos="1202"/>
              </w:tabs>
              <w:spacing w:line="340" w:lineRule="exact"/>
              <w:jc w:val="right"/>
              <w:outlineLvl w:val="0"/>
              <w:rPr>
                <w:rFonts w:ascii="Arial" w:hAnsi="Arial" w:cs="Arial"/>
                <w:sz w:val="20"/>
                <w:szCs w:val="20"/>
              </w:rPr>
            </w:pPr>
            <w:r w:rsidRPr="00264ADA">
              <w:rPr>
                <w:rFonts w:ascii="Arial" w:hAnsi="Arial" w:cs="Arial"/>
                <w:sz w:val="20"/>
                <w:szCs w:val="20"/>
              </w:rPr>
              <w:t>698</w:t>
            </w:r>
          </w:p>
        </w:tc>
      </w:tr>
      <w:tr w:rsidR="00AE3EDE" w:rsidRPr="00F43653" w14:paraId="3065874E" w14:textId="77777777" w:rsidTr="00AE3EDE">
        <w:trPr>
          <w:trHeight w:val="332"/>
        </w:trPr>
        <w:tc>
          <w:tcPr>
            <w:tcW w:w="1895" w:type="pct"/>
            <w:vAlign w:val="bottom"/>
          </w:tcPr>
          <w:p w14:paraId="3F5886DB" w14:textId="77777777" w:rsidR="00AE3EDE" w:rsidRPr="00F43653" w:rsidRDefault="00AE3EDE" w:rsidP="00AE3EDE">
            <w:pPr>
              <w:tabs>
                <w:tab w:val="right" w:pos="1202"/>
              </w:tabs>
              <w:spacing w:line="240" w:lineRule="exact"/>
              <w:outlineLvl w:val="0"/>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Ukupno stavke koje se kasnije mogu uračunati u dobit ili gubitak</w:t>
            </w:r>
          </w:p>
        </w:tc>
        <w:tc>
          <w:tcPr>
            <w:tcW w:w="777" w:type="pct"/>
            <w:tcBorders>
              <w:top w:val="single" w:sz="4" w:space="0" w:color="auto"/>
              <w:bottom w:val="single" w:sz="12" w:space="0" w:color="auto"/>
            </w:tcBorders>
            <w:vAlign w:val="bottom"/>
          </w:tcPr>
          <w:p w14:paraId="33C3DA0C" w14:textId="7A31C713" w:rsidR="00AE3EDE" w:rsidRPr="00965B69" w:rsidRDefault="00AE3EDE" w:rsidP="00AE3EDE">
            <w:pPr>
              <w:tabs>
                <w:tab w:val="right" w:pos="1202"/>
              </w:tabs>
              <w:spacing w:line="340" w:lineRule="exact"/>
              <w:jc w:val="right"/>
              <w:outlineLvl w:val="0"/>
              <w:rPr>
                <w:rFonts w:ascii="Arial" w:eastAsia="Times New Roman" w:hAnsi="Arial" w:cs="Arial"/>
                <w:b/>
                <w:bCs/>
                <w:color w:val="000000" w:themeColor="text1"/>
                <w:sz w:val="20"/>
                <w:szCs w:val="20"/>
              </w:rPr>
            </w:pPr>
            <w:r w:rsidRPr="00965B69">
              <w:rPr>
                <w:rFonts w:ascii="Arial" w:hAnsi="Arial" w:cs="Arial"/>
                <w:b/>
                <w:bCs/>
                <w:sz w:val="20"/>
                <w:szCs w:val="20"/>
              </w:rPr>
              <w:t>2.447</w:t>
            </w:r>
          </w:p>
        </w:tc>
        <w:tc>
          <w:tcPr>
            <w:tcW w:w="776" w:type="pct"/>
            <w:tcBorders>
              <w:top w:val="single" w:sz="4" w:space="0" w:color="auto"/>
              <w:bottom w:val="single" w:sz="12" w:space="0" w:color="auto"/>
            </w:tcBorders>
            <w:vAlign w:val="bottom"/>
          </w:tcPr>
          <w:p w14:paraId="7B90BE6B" w14:textId="62AF2228" w:rsidR="00AE3EDE" w:rsidRPr="00965B69" w:rsidRDefault="00AE3EDE" w:rsidP="00AE3EDE">
            <w:pPr>
              <w:tabs>
                <w:tab w:val="right" w:pos="1202"/>
              </w:tabs>
              <w:spacing w:line="340" w:lineRule="exact"/>
              <w:jc w:val="right"/>
              <w:outlineLvl w:val="0"/>
              <w:rPr>
                <w:rFonts w:ascii="Arial" w:eastAsia="Times New Roman" w:hAnsi="Arial" w:cs="Arial"/>
                <w:b/>
                <w:bCs/>
                <w:color w:val="000000" w:themeColor="text1"/>
                <w:sz w:val="20"/>
                <w:szCs w:val="20"/>
              </w:rPr>
            </w:pPr>
            <w:r w:rsidRPr="00965B69">
              <w:rPr>
                <w:rFonts w:ascii="Arial" w:hAnsi="Arial" w:cs="Arial"/>
                <w:b/>
                <w:bCs/>
                <w:sz w:val="20"/>
                <w:szCs w:val="20"/>
              </w:rPr>
              <w:t>2.706</w:t>
            </w:r>
          </w:p>
        </w:tc>
        <w:tc>
          <w:tcPr>
            <w:tcW w:w="776" w:type="pct"/>
            <w:tcBorders>
              <w:top w:val="single" w:sz="4" w:space="0" w:color="auto"/>
              <w:bottom w:val="single" w:sz="12" w:space="0" w:color="auto"/>
            </w:tcBorders>
            <w:vAlign w:val="bottom"/>
          </w:tcPr>
          <w:p w14:paraId="423A59D9" w14:textId="60598478" w:rsidR="00AE3EDE" w:rsidRPr="00F43653" w:rsidRDefault="00AE3EDE" w:rsidP="00AE3EDE">
            <w:pPr>
              <w:tabs>
                <w:tab w:val="right" w:pos="1202"/>
              </w:tabs>
              <w:spacing w:line="340" w:lineRule="exact"/>
              <w:jc w:val="right"/>
              <w:outlineLvl w:val="0"/>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367</w:t>
            </w:r>
          </w:p>
        </w:tc>
        <w:tc>
          <w:tcPr>
            <w:tcW w:w="776" w:type="pct"/>
            <w:tcBorders>
              <w:top w:val="single" w:sz="4" w:space="0" w:color="auto"/>
              <w:bottom w:val="single" w:sz="12" w:space="0" w:color="auto"/>
            </w:tcBorders>
            <w:vAlign w:val="bottom"/>
          </w:tcPr>
          <w:p w14:paraId="5395AEF3" w14:textId="4255115E" w:rsidR="00AE3EDE" w:rsidRPr="00F43653" w:rsidRDefault="00AE3EDE" w:rsidP="00AE3EDE">
            <w:pPr>
              <w:tabs>
                <w:tab w:val="right" w:pos="1202"/>
              </w:tabs>
              <w:spacing w:line="340" w:lineRule="exact"/>
              <w:jc w:val="right"/>
              <w:outlineLvl w:val="0"/>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698</w:t>
            </w:r>
          </w:p>
        </w:tc>
      </w:tr>
      <w:tr w:rsidR="00AE3EDE" w:rsidRPr="00F43653" w14:paraId="28A32423" w14:textId="77777777" w:rsidTr="00AE3EDE">
        <w:trPr>
          <w:trHeight w:val="336"/>
        </w:trPr>
        <w:tc>
          <w:tcPr>
            <w:tcW w:w="1895" w:type="pct"/>
            <w:vAlign w:val="bottom"/>
          </w:tcPr>
          <w:p w14:paraId="42048BCF" w14:textId="77777777" w:rsidR="00AE3EDE" w:rsidRPr="00F43653" w:rsidRDefault="00AE3EDE" w:rsidP="00AE3EDE">
            <w:pPr>
              <w:tabs>
                <w:tab w:val="right" w:pos="1202"/>
              </w:tabs>
              <w:spacing w:line="240" w:lineRule="exact"/>
              <w:outlineLvl w:val="0"/>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Ostala sveobuhvatna dobit nakon oporezivanja</w:t>
            </w:r>
          </w:p>
        </w:tc>
        <w:tc>
          <w:tcPr>
            <w:tcW w:w="777" w:type="pct"/>
            <w:tcBorders>
              <w:top w:val="single" w:sz="4" w:space="0" w:color="auto"/>
              <w:bottom w:val="single" w:sz="12" w:space="0" w:color="auto"/>
            </w:tcBorders>
            <w:vAlign w:val="bottom"/>
          </w:tcPr>
          <w:p w14:paraId="689AA9AD" w14:textId="31F872B1" w:rsidR="00AE3EDE" w:rsidRPr="00965B69" w:rsidRDefault="00AE3EDE" w:rsidP="00AE3EDE">
            <w:pPr>
              <w:tabs>
                <w:tab w:val="right" w:pos="1202"/>
              </w:tabs>
              <w:spacing w:line="340" w:lineRule="exact"/>
              <w:jc w:val="right"/>
              <w:outlineLvl w:val="0"/>
              <w:rPr>
                <w:rFonts w:ascii="Arial" w:hAnsi="Arial" w:cs="Arial"/>
                <w:b/>
                <w:bCs/>
                <w:sz w:val="20"/>
                <w:szCs w:val="20"/>
              </w:rPr>
            </w:pPr>
            <w:r w:rsidRPr="00965B69">
              <w:rPr>
                <w:rFonts w:ascii="Arial" w:hAnsi="Arial" w:cs="Arial"/>
                <w:b/>
                <w:bCs/>
                <w:sz w:val="20"/>
                <w:szCs w:val="20"/>
              </w:rPr>
              <w:t>2.447</w:t>
            </w:r>
          </w:p>
        </w:tc>
        <w:tc>
          <w:tcPr>
            <w:tcW w:w="776" w:type="pct"/>
            <w:tcBorders>
              <w:bottom w:val="single" w:sz="12" w:space="0" w:color="auto"/>
            </w:tcBorders>
            <w:vAlign w:val="bottom"/>
          </w:tcPr>
          <w:p w14:paraId="106C46AA" w14:textId="2354BEC1" w:rsidR="00AE3EDE" w:rsidRPr="00965B69" w:rsidRDefault="00AE3EDE" w:rsidP="00AE3EDE">
            <w:pPr>
              <w:tabs>
                <w:tab w:val="right" w:pos="1202"/>
              </w:tabs>
              <w:spacing w:line="340" w:lineRule="exact"/>
              <w:jc w:val="right"/>
              <w:outlineLvl w:val="0"/>
              <w:rPr>
                <w:rFonts w:ascii="Arial" w:eastAsia="Times New Roman" w:hAnsi="Arial" w:cs="Arial"/>
                <w:b/>
                <w:bCs/>
                <w:color w:val="000000" w:themeColor="text1"/>
                <w:sz w:val="20"/>
                <w:szCs w:val="20"/>
              </w:rPr>
            </w:pPr>
            <w:r w:rsidRPr="00965B69">
              <w:rPr>
                <w:rFonts w:ascii="Arial" w:hAnsi="Arial" w:cs="Arial"/>
                <w:b/>
                <w:bCs/>
                <w:sz w:val="20"/>
                <w:szCs w:val="20"/>
              </w:rPr>
              <w:t>2.706</w:t>
            </w:r>
          </w:p>
        </w:tc>
        <w:tc>
          <w:tcPr>
            <w:tcW w:w="776" w:type="pct"/>
            <w:tcBorders>
              <w:top w:val="single" w:sz="4" w:space="0" w:color="auto"/>
              <w:bottom w:val="single" w:sz="12" w:space="0" w:color="auto"/>
            </w:tcBorders>
            <w:vAlign w:val="bottom"/>
          </w:tcPr>
          <w:p w14:paraId="4374612F" w14:textId="02CA5EBC" w:rsidR="00AE3EDE" w:rsidRPr="00F43653" w:rsidRDefault="00AE3EDE" w:rsidP="00AE3EDE">
            <w:pPr>
              <w:tabs>
                <w:tab w:val="right" w:pos="1202"/>
              </w:tabs>
              <w:spacing w:line="340" w:lineRule="exact"/>
              <w:jc w:val="right"/>
              <w:outlineLvl w:val="0"/>
              <w:rPr>
                <w:rFonts w:ascii="Arial" w:eastAsia="Times New Roman" w:hAnsi="Arial" w:cs="Arial"/>
                <w:b/>
                <w:bCs/>
                <w:color w:val="000000" w:themeColor="text1"/>
                <w:sz w:val="20"/>
                <w:szCs w:val="20"/>
              </w:rPr>
            </w:pPr>
            <w:r>
              <w:rPr>
                <w:rFonts w:ascii="Arial" w:hAnsi="Arial" w:cs="Arial"/>
                <w:b/>
                <w:bCs/>
                <w:sz w:val="20"/>
                <w:szCs w:val="20"/>
              </w:rPr>
              <w:t>367</w:t>
            </w:r>
          </w:p>
        </w:tc>
        <w:tc>
          <w:tcPr>
            <w:tcW w:w="776" w:type="pct"/>
            <w:tcBorders>
              <w:bottom w:val="single" w:sz="12" w:space="0" w:color="auto"/>
            </w:tcBorders>
            <w:vAlign w:val="bottom"/>
          </w:tcPr>
          <w:p w14:paraId="62C131DF" w14:textId="45A66040" w:rsidR="00AE3EDE" w:rsidRPr="00F43653" w:rsidRDefault="00AE3EDE" w:rsidP="00AE3EDE">
            <w:pPr>
              <w:tabs>
                <w:tab w:val="right" w:pos="1202"/>
              </w:tabs>
              <w:spacing w:line="340" w:lineRule="exact"/>
              <w:jc w:val="right"/>
              <w:outlineLvl w:val="0"/>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698</w:t>
            </w:r>
          </w:p>
        </w:tc>
      </w:tr>
      <w:tr w:rsidR="00104770" w:rsidRPr="00F43653" w14:paraId="5331DDB5" w14:textId="77777777" w:rsidTr="00104770">
        <w:trPr>
          <w:trHeight w:hRule="exact" w:val="496"/>
        </w:trPr>
        <w:tc>
          <w:tcPr>
            <w:tcW w:w="1895" w:type="pct"/>
            <w:vAlign w:val="bottom"/>
          </w:tcPr>
          <w:p w14:paraId="15AE0A51" w14:textId="77777777" w:rsidR="00104770" w:rsidRPr="00F43653" w:rsidRDefault="00104770" w:rsidP="00104770">
            <w:pPr>
              <w:tabs>
                <w:tab w:val="right" w:pos="1202"/>
              </w:tabs>
              <w:spacing w:line="240" w:lineRule="exact"/>
              <w:outlineLvl w:val="0"/>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Ukupna sveobuhvatna dobit nakon oporezivanja</w:t>
            </w:r>
          </w:p>
        </w:tc>
        <w:tc>
          <w:tcPr>
            <w:tcW w:w="777" w:type="pct"/>
            <w:tcBorders>
              <w:bottom w:val="single" w:sz="12" w:space="0" w:color="auto"/>
            </w:tcBorders>
            <w:vAlign w:val="bottom"/>
          </w:tcPr>
          <w:p w14:paraId="3258B2B4" w14:textId="492BD8E2" w:rsidR="00104770" w:rsidRPr="00965B69" w:rsidRDefault="00104770" w:rsidP="00104770">
            <w:pPr>
              <w:tabs>
                <w:tab w:val="right" w:pos="1202"/>
              </w:tabs>
              <w:spacing w:line="340" w:lineRule="exact"/>
              <w:jc w:val="right"/>
              <w:outlineLvl w:val="0"/>
              <w:rPr>
                <w:rFonts w:ascii="Arial" w:eastAsia="Times New Roman" w:hAnsi="Arial" w:cs="Arial"/>
                <w:b/>
                <w:bCs/>
                <w:color w:val="000000" w:themeColor="text1"/>
                <w:sz w:val="20"/>
                <w:szCs w:val="20"/>
              </w:rPr>
            </w:pPr>
            <w:r w:rsidRPr="00965B69">
              <w:rPr>
                <w:rFonts w:ascii="Arial" w:hAnsi="Arial" w:cs="Arial"/>
                <w:b/>
                <w:bCs/>
                <w:sz w:val="20"/>
                <w:szCs w:val="20"/>
              </w:rPr>
              <w:t>7.585</w:t>
            </w:r>
          </w:p>
        </w:tc>
        <w:tc>
          <w:tcPr>
            <w:tcW w:w="776" w:type="pct"/>
            <w:tcBorders>
              <w:top w:val="single" w:sz="12" w:space="0" w:color="auto"/>
              <w:bottom w:val="single" w:sz="12" w:space="0" w:color="auto"/>
            </w:tcBorders>
            <w:vAlign w:val="bottom"/>
          </w:tcPr>
          <w:p w14:paraId="0FCC5F09" w14:textId="322C424D" w:rsidR="00104770" w:rsidRPr="00965B69" w:rsidRDefault="00104770" w:rsidP="00104770">
            <w:pPr>
              <w:tabs>
                <w:tab w:val="right" w:pos="1202"/>
              </w:tabs>
              <w:spacing w:line="340" w:lineRule="exact"/>
              <w:jc w:val="right"/>
              <w:outlineLvl w:val="0"/>
              <w:rPr>
                <w:rFonts w:ascii="Arial" w:eastAsia="Times New Roman" w:hAnsi="Arial" w:cs="Arial"/>
                <w:b/>
                <w:bCs/>
                <w:color w:val="000000" w:themeColor="text1"/>
                <w:sz w:val="20"/>
                <w:szCs w:val="20"/>
              </w:rPr>
            </w:pPr>
            <w:r w:rsidRPr="00965B69">
              <w:rPr>
                <w:rFonts w:ascii="Arial" w:hAnsi="Arial" w:cs="Arial"/>
                <w:b/>
                <w:bCs/>
                <w:sz w:val="20"/>
                <w:szCs w:val="20"/>
              </w:rPr>
              <w:t xml:space="preserve"> 46.271 </w:t>
            </w:r>
          </w:p>
        </w:tc>
        <w:tc>
          <w:tcPr>
            <w:tcW w:w="776" w:type="pct"/>
            <w:tcBorders>
              <w:bottom w:val="single" w:sz="12" w:space="0" w:color="auto"/>
            </w:tcBorders>
            <w:vAlign w:val="bottom"/>
          </w:tcPr>
          <w:p w14:paraId="50CE705C" w14:textId="69904745" w:rsidR="00104770" w:rsidRPr="00F43653" w:rsidRDefault="00104770" w:rsidP="00104770">
            <w:pPr>
              <w:tabs>
                <w:tab w:val="right" w:pos="1202"/>
              </w:tabs>
              <w:spacing w:line="340" w:lineRule="exact"/>
              <w:jc w:val="right"/>
              <w:outlineLvl w:val="0"/>
              <w:rPr>
                <w:rFonts w:ascii="Arial" w:eastAsia="Times New Roman" w:hAnsi="Arial" w:cs="Arial"/>
                <w:b/>
                <w:bCs/>
                <w:color w:val="000000" w:themeColor="text1"/>
                <w:sz w:val="20"/>
                <w:szCs w:val="20"/>
              </w:rPr>
            </w:pPr>
            <w:r w:rsidRPr="00264ADA">
              <w:rPr>
                <w:rFonts w:ascii="Arial" w:eastAsia="Times New Roman" w:hAnsi="Arial" w:cs="Arial"/>
                <w:b/>
                <w:bCs/>
                <w:color w:val="000000" w:themeColor="text1"/>
                <w:sz w:val="20"/>
                <w:szCs w:val="20"/>
              </w:rPr>
              <w:t>2</w:t>
            </w:r>
            <w:r>
              <w:rPr>
                <w:rFonts w:ascii="Arial" w:eastAsia="Times New Roman" w:hAnsi="Arial" w:cs="Arial"/>
                <w:b/>
                <w:bCs/>
                <w:color w:val="000000" w:themeColor="text1"/>
                <w:sz w:val="20"/>
                <w:szCs w:val="20"/>
              </w:rPr>
              <w:t>1.298</w:t>
            </w:r>
          </w:p>
        </w:tc>
        <w:tc>
          <w:tcPr>
            <w:tcW w:w="776" w:type="pct"/>
            <w:tcBorders>
              <w:top w:val="single" w:sz="12" w:space="0" w:color="auto"/>
              <w:bottom w:val="single" w:sz="12" w:space="0" w:color="auto"/>
            </w:tcBorders>
            <w:vAlign w:val="bottom"/>
          </w:tcPr>
          <w:p w14:paraId="1AB95656" w14:textId="461AE62C" w:rsidR="00104770" w:rsidRPr="00F43653" w:rsidRDefault="00104770" w:rsidP="00104770">
            <w:pPr>
              <w:tabs>
                <w:tab w:val="right" w:pos="1202"/>
              </w:tabs>
              <w:spacing w:line="340" w:lineRule="exact"/>
              <w:jc w:val="right"/>
              <w:outlineLvl w:val="0"/>
              <w:rPr>
                <w:rFonts w:ascii="Arial" w:eastAsia="Times New Roman" w:hAnsi="Arial" w:cs="Arial"/>
                <w:b/>
                <w:bCs/>
                <w:color w:val="000000" w:themeColor="text1"/>
                <w:sz w:val="20"/>
                <w:szCs w:val="20"/>
              </w:rPr>
            </w:pPr>
            <w:r w:rsidRPr="00264ADA">
              <w:rPr>
                <w:rFonts w:ascii="Arial" w:eastAsia="Times New Roman" w:hAnsi="Arial" w:cs="Arial"/>
                <w:b/>
                <w:bCs/>
                <w:color w:val="000000" w:themeColor="text1"/>
                <w:sz w:val="20"/>
                <w:szCs w:val="20"/>
              </w:rPr>
              <w:t>51.084</w:t>
            </w:r>
          </w:p>
        </w:tc>
      </w:tr>
      <w:tr w:rsidR="00226B12" w:rsidRPr="00F43653" w14:paraId="66FDF532" w14:textId="77777777" w:rsidTr="00264ADA">
        <w:trPr>
          <w:trHeight w:val="348"/>
        </w:trPr>
        <w:tc>
          <w:tcPr>
            <w:tcW w:w="1895" w:type="pct"/>
            <w:vAlign w:val="bottom"/>
          </w:tcPr>
          <w:p w14:paraId="3B1358FF" w14:textId="77777777" w:rsidR="00226B12" w:rsidRPr="00F43653" w:rsidRDefault="00226B12" w:rsidP="00226B12">
            <w:pPr>
              <w:tabs>
                <w:tab w:val="right" w:pos="1202"/>
              </w:tabs>
              <w:spacing w:line="240" w:lineRule="exact"/>
              <w:outlineLvl w:val="0"/>
              <w:rPr>
                <w:rFonts w:ascii="Arial" w:eastAsia="Times New Roman" w:hAnsi="Arial" w:cs="Arial"/>
                <w:b/>
                <w:bCs/>
                <w:color w:val="000000" w:themeColor="text1"/>
                <w:sz w:val="20"/>
                <w:szCs w:val="20"/>
              </w:rPr>
            </w:pPr>
          </w:p>
        </w:tc>
        <w:tc>
          <w:tcPr>
            <w:tcW w:w="777" w:type="pct"/>
            <w:vAlign w:val="bottom"/>
          </w:tcPr>
          <w:p w14:paraId="3303BD43" w14:textId="77777777" w:rsidR="00226B12" w:rsidRPr="00965B69" w:rsidRDefault="00226B12" w:rsidP="00226B12">
            <w:pPr>
              <w:tabs>
                <w:tab w:val="right" w:pos="1202"/>
              </w:tabs>
              <w:spacing w:line="340" w:lineRule="exact"/>
              <w:jc w:val="right"/>
              <w:outlineLvl w:val="0"/>
              <w:rPr>
                <w:rFonts w:ascii="Arial" w:eastAsia="Times New Roman" w:hAnsi="Arial" w:cs="Arial"/>
                <w:b/>
                <w:bCs/>
                <w:color w:val="000000" w:themeColor="text1"/>
                <w:sz w:val="20"/>
                <w:szCs w:val="20"/>
              </w:rPr>
            </w:pPr>
          </w:p>
        </w:tc>
        <w:tc>
          <w:tcPr>
            <w:tcW w:w="776" w:type="pct"/>
            <w:vAlign w:val="bottom"/>
          </w:tcPr>
          <w:p w14:paraId="3180840A" w14:textId="77777777" w:rsidR="00226B12" w:rsidRPr="00965B69" w:rsidRDefault="00226B12" w:rsidP="00226B12">
            <w:pPr>
              <w:tabs>
                <w:tab w:val="right" w:pos="1202"/>
              </w:tabs>
              <w:spacing w:line="340" w:lineRule="exact"/>
              <w:jc w:val="right"/>
              <w:outlineLvl w:val="0"/>
              <w:rPr>
                <w:rFonts w:ascii="Arial" w:eastAsia="Times New Roman" w:hAnsi="Arial" w:cs="Arial"/>
                <w:b/>
                <w:bCs/>
                <w:color w:val="000000" w:themeColor="text1"/>
                <w:sz w:val="20"/>
                <w:szCs w:val="20"/>
              </w:rPr>
            </w:pPr>
          </w:p>
        </w:tc>
        <w:tc>
          <w:tcPr>
            <w:tcW w:w="776" w:type="pct"/>
            <w:vAlign w:val="bottom"/>
          </w:tcPr>
          <w:p w14:paraId="704A0C38" w14:textId="2E66A63A" w:rsidR="00226B12" w:rsidRPr="00F43653" w:rsidRDefault="00226B12" w:rsidP="00226B12">
            <w:pPr>
              <w:tabs>
                <w:tab w:val="right" w:pos="1202"/>
              </w:tabs>
              <w:spacing w:line="340" w:lineRule="exact"/>
              <w:jc w:val="right"/>
              <w:outlineLvl w:val="0"/>
              <w:rPr>
                <w:rFonts w:ascii="Arial" w:eastAsia="Times New Roman" w:hAnsi="Arial" w:cs="Arial"/>
                <w:b/>
                <w:bCs/>
                <w:color w:val="000000" w:themeColor="text1"/>
                <w:sz w:val="20"/>
                <w:szCs w:val="20"/>
              </w:rPr>
            </w:pPr>
          </w:p>
        </w:tc>
        <w:tc>
          <w:tcPr>
            <w:tcW w:w="776" w:type="pct"/>
            <w:vAlign w:val="bottom"/>
          </w:tcPr>
          <w:p w14:paraId="63C3BB86" w14:textId="77777777" w:rsidR="00226B12" w:rsidRPr="00F43653" w:rsidRDefault="00226B12" w:rsidP="00226B12">
            <w:pPr>
              <w:tabs>
                <w:tab w:val="right" w:pos="1202"/>
              </w:tabs>
              <w:spacing w:line="340" w:lineRule="exact"/>
              <w:jc w:val="right"/>
              <w:outlineLvl w:val="0"/>
              <w:rPr>
                <w:rFonts w:ascii="Arial" w:eastAsia="Times New Roman" w:hAnsi="Arial" w:cs="Arial"/>
                <w:b/>
                <w:bCs/>
                <w:color w:val="000000" w:themeColor="text1"/>
                <w:sz w:val="20"/>
                <w:szCs w:val="20"/>
              </w:rPr>
            </w:pPr>
          </w:p>
        </w:tc>
      </w:tr>
      <w:tr w:rsidR="00226B12" w:rsidRPr="00F43653" w14:paraId="736083E1" w14:textId="77777777" w:rsidTr="00264ADA">
        <w:trPr>
          <w:trHeight w:val="370"/>
        </w:trPr>
        <w:tc>
          <w:tcPr>
            <w:tcW w:w="1895" w:type="pct"/>
            <w:vAlign w:val="bottom"/>
          </w:tcPr>
          <w:p w14:paraId="37B4601F" w14:textId="77777777" w:rsidR="00226B12" w:rsidRPr="00F43653" w:rsidRDefault="00226B12" w:rsidP="00226B12">
            <w:pPr>
              <w:tabs>
                <w:tab w:val="right" w:pos="1202"/>
              </w:tabs>
              <w:spacing w:line="240" w:lineRule="exact"/>
              <w:outlineLvl w:val="0"/>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Ukupna sveobuhvatna dobit:</w:t>
            </w:r>
          </w:p>
        </w:tc>
        <w:tc>
          <w:tcPr>
            <w:tcW w:w="777" w:type="pct"/>
            <w:vAlign w:val="bottom"/>
          </w:tcPr>
          <w:p w14:paraId="49C1E554" w14:textId="77777777" w:rsidR="00226B12" w:rsidRPr="00965B69" w:rsidRDefault="00226B12" w:rsidP="00226B12">
            <w:pPr>
              <w:tabs>
                <w:tab w:val="right" w:pos="1202"/>
              </w:tabs>
              <w:spacing w:line="340" w:lineRule="exact"/>
              <w:jc w:val="right"/>
              <w:outlineLvl w:val="0"/>
              <w:rPr>
                <w:rFonts w:ascii="Arial" w:eastAsia="Times New Roman" w:hAnsi="Arial" w:cs="Arial"/>
                <w:b/>
                <w:bCs/>
                <w:color w:val="000000" w:themeColor="text1"/>
                <w:sz w:val="20"/>
                <w:szCs w:val="20"/>
              </w:rPr>
            </w:pPr>
          </w:p>
        </w:tc>
        <w:tc>
          <w:tcPr>
            <w:tcW w:w="776" w:type="pct"/>
            <w:vAlign w:val="bottom"/>
          </w:tcPr>
          <w:p w14:paraId="2E87B4C3" w14:textId="77777777" w:rsidR="00226B12" w:rsidRPr="00965B69" w:rsidRDefault="00226B12" w:rsidP="00226B12">
            <w:pPr>
              <w:tabs>
                <w:tab w:val="right" w:pos="1202"/>
              </w:tabs>
              <w:spacing w:line="340" w:lineRule="exact"/>
              <w:jc w:val="right"/>
              <w:outlineLvl w:val="0"/>
              <w:rPr>
                <w:rFonts w:ascii="Arial" w:eastAsia="Times New Roman" w:hAnsi="Arial" w:cs="Arial"/>
                <w:b/>
                <w:bCs/>
                <w:color w:val="000000" w:themeColor="text1"/>
                <w:sz w:val="20"/>
                <w:szCs w:val="20"/>
              </w:rPr>
            </w:pPr>
          </w:p>
        </w:tc>
        <w:tc>
          <w:tcPr>
            <w:tcW w:w="776" w:type="pct"/>
            <w:vAlign w:val="bottom"/>
          </w:tcPr>
          <w:p w14:paraId="1DD860C0" w14:textId="2A563F2A" w:rsidR="00226B12" w:rsidRPr="00F43653" w:rsidRDefault="00226B12" w:rsidP="00226B12">
            <w:pPr>
              <w:tabs>
                <w:tab w:val="right" w:pos="1202"/>
              </w:tabs>
              <w:spacing w:line="340" w:lineRule="exact"/>
              <w:jc w:val="right"/>
              <w:outlineLvl w:val="0"/>
              <w:rPr>
                <w:rFonts w:ascii="Arial" w:eastAsia="Times New Roman" w:hAnsi="Arial" w:cs="Arial"/>
                <w:b/>
                <w:bCs/>
                <w:color w:val="000000" w:themeColor="text1"/>
                <w:sz w:val="20"/>
                <w:szCs w:val="20"/>
              </w:rPr>
            </w:pPr>
          </w:p>
        </w:tc>
        <w:tc>
          <w:tcPr>
            <w:tcW w:w="776" w:type="pct"/>
            <w:vAlign w:val="bottom"/>
          </w:tcPr>
          <w:p w14:paraId="11047746" w14:textId="77777777" w:rsidR="00226B12" w:rsidRPr="00F43653" w:rsidRDefault="00226B12" w:rsidP="00226B12">
            <w:pPr>
              <w:tabs>
                <w:tab w:val="right" w:pos="1202"/>
              </w:tabs>
              <w:spacing w:line="340" w:lineRule="exact"/>
              <w:jc w:val="right"/>
              <w:outlineLvl w:val="0"/>
              <w:rPr>
                <w:rFonts w:ascii="Arial" w:eastAsia="Times New Roman" w:hAnsi="Arial" w:cs="Arial"/>
                <w:b/>
                <w:bCs/>
                <w:color w:val="000000" w:themeColor="text1"/>
                <w:sz w:val="20"/>
                <w:szCs w:val="20"/>
              </w:rPr>
            </w:pPr>
          </w:p>
        </w:tc>
      </w:tr>
      <w:tr w:rsidR="00104770" w:rsidRPr="00F43653" w14:paraId="7410C91C" w14:textId="77777777" w:rsidTr="00104770">
        <w:trPr>
          <w:trHeight w:val="372"/>
        </w:trPr>
        <w:tc>
          <w:tcPr>
            <w:tcW w:w="1895" w:type="pct"/>
            <w:vAlign w:val="bottom"/>
          </w:tcPr>
          <w:p w14:paraId="58B04B91" w14:textId="77777777" w:rsidR="00104770" w:rsidRPr="00F43653" w:rsidRDefault="00104770" w:rsidP="00104770">
            <w:pPr>
              <w:tabs>
                <w:tab w:val="right" w:pos="1202"/>
              </w:tabs>
              <w:spacing w:line="240" w:lineRule="exact"/>
              <w:outlineLvl w:val="0"/>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Vlasniku društva</w:t>
            </w:r>
          </w:p>
        </w:tc>
        <w:tc>
          <w:tcPr>
            <w:tcW w:w="777" w:type="pct"/>
            <w:tcBorders>
              <w:bottom w:val="single" w:sz="12" w:space="0" w:color="auto"/>
            </w:tcBorders>
            <w:vAlign w:val="bottom"/>
          </w:tcPr>
          <w:p w14:paraId="3B948E01" w14:textId="306F6A1F" w:rsidR="00104770" w:rsidRPr="00965B69" w:rsidRDefault="00104770" w:rsidP="00104770">
            <w:pPr>
              <w:tabs>
                <w:tab w:val="right" w:pos="1202"/>
              </w:tabs>
              <w:spacing w:line="340" w:lineRule="exact"/>
              <w:jc w:val="right"/>
              <w:outlineLvl w:val="0"/>
              <w:rPr>
                <w:rFonts w:ascii="Arial" w:hAnsi="Arial" w:cs="Arial"/>
                <w:b/>
                <w:bCs/>
                <w:sz w:val="20"/>
                <w:szCs w:val="20"/>
              </w:rPr>
            </w:pPr>
            <w:r w:rsidRPr="00965B69">
              <w:rPr>
                <w:rFonts w:ascii="Arial" w:hAnsi="Arial" w:cs="Arial"/>
                <w:b/>
                <w:bCs/>
                <w:sz w:val="20"/>
                <w:szCs w:val="20"/>
              </w:rPr>
              <w:t>7.585</w:t>
            </w:r>
          </w:p>
        </w:tc>
        <w:tc>
          <w:tcPr>
            <w:tcW w:w="776" w:type="pct"/>
            <w:tcBorders>
              <w:bottom w:val="single" w:sz="12" w:space="0" w:color="auto"/>
            </w:tcBorders>
            <w:vAlign w:val="bottom"/>
          </w:tcPr>
          <w:p w14:paraId="4D189EE5" w14:textId="3D46FE2E" w:rsidR="00104770" w:rsidRPr="00965B69" w:rsidRDefault="00104770" w:rsidP="00104770">
            <w:pPr>
              <w:tabs>
                <w:tab w:val="right" w:pos="1202"/>
              </w:tabs>
              <w:spacing w:line="340" w:lineRule="exact"/>
              <w:jc w:val="right"/>
              <w:outlineLvl w:val="0"/>
              <w:rPr>
                <w:rFonts w:ascii="Arial" w:hAnsi="Arial" w:cs="Arial"/>
                <w:b/>
                <w:bCs/>
                <w:sz w:val="20"/>
                <w:szCs w:val="20"/>
              </w:rPr>
            </w:pPr>
            <w:r w:rsidRPr="00965B69">
              <w:rPr>
                <w:rFonts w:ascii="Arial" w:hAnsi="Arial" w:cs="Arial"/>
                <w:b/>
                <w:bCs/>
                <w:sz w:val="20"/>
                <w:szCs w:val="20"/>
              </w:rPr>
              <w:t xml:space="preserve"> 46.271 </w:t>
            </w:r>
          </w:p>
        </w:tc>
        <w:tc>
          <w:tcPr>
            <w:tcW w:w="776" w:type="pct"/>
            <w:tcBorders>
              <w:bottom w:val="single" w:sz="12" w:space="0" w:color="auto"/>
            </w:tcBorders>
            <w:vAlign w:val="bottom"/>
          </w:tcPr>
          <w:p w14:paraId="7E4FEB30" w14:textId="575BF764" w:rsidR="00104770" w:rsidRPr="00F43653" w:rsidRDefault="00104770" w:rsidP="00104770">
            <w:pPr>
              <w:tabs>
                <w:tab w:val="right" w:pos="1202"/>
              </w:tabs>
              <w:spacing w:line="340" w:lineRule="exact"/>
              <w:jc w:val="right"/>
              <w:outlineLvl w:val="0"/>
              <w:rPr>
                <w:rFonts w:ascii="Arial" w:eastAsia="Times New Roman" w:hAnsi="Arial" w:cs="Arial"/>
                <w:b/>
                <w:bCs/>
                <w:color w:val="000000" w:themeColor="text1"/>
                <w:sz w:val="20"/>
                <w:szCs w:val="20"/>
              </w:rPr>
            </w:pPr>
            <w:r w:rsidRPr="00264ADA">
              <w:rPr>
                <w:rFonts w:ascii="Arial" w:hAnsi="Arial" w:cs="Arial"/>
                <w:b/>
                <w:bCs/>
                <w:sz w:val="20"/>
                <w:szCs w:val="20"/>
              </w:rPr>
              <w:t>2</w:t>
            </w:r>
            <w:r>
              <w:rPr>
                <w:rFonts w:ascii="Arial" w:hAnsi="Arial" w:cs="Arial"/>
                <w:b/>
                <w:bCs/>
                <w:sz w:val="20"/>
                <w:szCs w:val="20"/>
              </w:rPr>
              <w:t>1.298</w:t>
            </w:r>
          </w:p>
        </w:tc>
        <w:tc>
          <w:tcPr>
            <w:tcW w:w="776" w:type="pct"/>
            <w:tcBorders>
              <w:bottom w:val="single" w:sz="12" w:space="0" w:color="auto"/>
            </w:tcBorders>
            <w:vAlign w:val="bottom"/>
          </w:tcPr>
          <w:p w14:paraId="5AFE97C2" w14:textId="5A47BE84" w:rsidR="00104770" w:rsidRPr="00F43653" w:rsidRDefault="00104770" w:rsidP="00104770">
            <w:pPr>
              <w:tabs>
                <w:tab w:val="right" w:pos="1202"/>
              </w:tabs>
              <w:spacing w:line="340" w:lineRule="exact"/>
              <w:jc w:val="right"/>
              <w:outlineLvl w:val="0"/>
              <w:rPr>
                <w:rFonts w:ascii="Arial" w:eastAsia="Times New Roman" w:hAnsi="Arial" w:cs="Arial"/>
                <w:b/>
                <w:bCs/>
                <w:color w:val="000000" w:themeColor="text1"/>
                <w:sz w:val="20"/>
                <w:szCs w:val="20"/>
              </w:rPr>
            </w:pPr>
            <w:r w:rsidRPr="00264ADA">
              <w:rPr>
                <w:rFonts w:ascii="Arial" w:hAnsi="Arial" w:cs="Arial"/>
                <w:b/>
                <w:bCs/>
                <w:sz w:val="20"/>
                <w:szCs w:val="20"/>
              </w:rPr>
              <w:t>51.084</w:t>
            </w:r>
          </w:p>
        </w:tc>
      </w:tr>
      <w:bookmarkEnd w:id="148"/>
    </w:tbl>
    <w:p w14:paraId="0FDBA99A" w14:textId="1C91E209" w:rsidR="00295417" w:rsidRPr="003D1614" w:rsidRDefault="00295417" w:rsidP="00A56428">
      <w:pPr>
        <w:rPr>
          <w:rFonts w:ascii="Arial" w:eastAsia="Times New Roman" w:hAnsi="Arial" w:cs="Arial"/>
          <w:sz w:val="20"/>
          <w:szCs w:val="20"/>
        </w:rPr>
      </w:pPr>
    </w:p>
    <w:p w14:paraId="23993F2D" w14:textId="491954E6" w:rsidR="00295417" w:rsidRPr="003D1614" w:rsidRDefault="00295417" w:rsidP="00A56428">
      <w:pPr>
        <w:rPr>
          <w:rFonts w:ascii="Arial" w:eastAsia="Times New Roman" w:hAnsi="Arial" w:cs="Arial"/>
          <w:sz w:val="20"/>
          <w:szCs w:val="20"/>
        </w:rPr>
      </w:pPr>
    </w:p>
    <w:p w14:paraId="6DA29804" w14:textId="77777777" w:rsidR="00295417" w:rsidRPr="003D1614" w:rsidRDefault="00295417" w:rsidP="00A56428">
      <w:pPr>
        <w:rPr>
          <w:rFonts w:ascii="Arial" w:eastAsia="Times New Roman" w:hAnsi="Arial" w:cs="Arial"/>
          <w:sz w:val="20"/>
          <w:szCs w:val="20"/>
        </w:rPr>
      </w:pPr>
    </w:p>
    <w:p w14:paraId="5F260C13" w14:textId="1ADD5472" w:rsidR="00295417" w:rsidRPr="003D1614" w:rsidRDefault="00295417" w:rsidP="00A56428">
      <w:pPr>
        <w:rPr>
          <w:rFonts w:ascii="Arial" w:eastAsia="Times New Roman" w:hAnsi="Arial" w:cs="Arial"/>
          <w:sz w:val="20"/>
          <w:szCs w:val="20"/>
        </w:rPr>
      </w:pPr>
      <w:r w:rsidRPr="003D1614">
        <w:rPr>
          <w:rFonts w:ascii="Arial" w:eastAsia="Times New Roman" w:hAnsi="Arial" w:cs="Arial"/>
          <w:sz w:val="20"/>
          <w:szCs w:val="20"/>
        </w:rPr>
        <w:t>Priložene računovodstvene politike i bilješke sastavni su dio ovih financijskih izvještaja.</w:t>
      </w:r>
    </w:p>
    <w:p w14:paraId="37FD4EB0" w14:textId="77777777" w:rsidR="00295417" w:rsidRPr="003D1614" w:rsidRDefault="00295417" w:rsidP="00A56428">
      <w:pPr>
        <w:rPr>
          <w:rFonts w:ascii="Arial" w:eastAsia="Times New Roman" w:hAnsi="Arial" w:cs="Arial"/>
          <w:sz w:val="20"/>
          <w:szCs w:val="20"/>
        </w:rPr>
      </w:pPr>
    </w:p>
    <w:p w14:paraId="6F08385B" w14:textId="77777777" w:rsidR="00295417" w:rsidRPr="003D1614" w:rsidRDefault="00295417" w:rsidP="00A56428">
      <w:pPr>
        <w:rPr>
          <w:rFonts w:ascii="Arial" w:eastAsia="Times New Roman" w:hAnsi="Arial" w:cs="Arial"/>
          <w:sz w:val="20"/>
          <w:szCs w:val="20"/>
        </w:rPr>
        <w:sectPr w:rsidR="00295417" w:rsidRPr="003D1614">
          <w:headerReference w:type="default" r:id="rId17"/>
          <w:pgSz w:w="11906" w:h="16838"/>
          <w:pgMar w:top="1417" w:right="1417" w:bottom="1417" w:left="1417" w:header="708" w:footer="708" w:gutter="0"/>
          <w:cols w:space="708"/>
          <w:docGrid w:linePitch="360"/>
        </w:sectPr>
      </w:pPr>
    </w:p>
    <w:p w14:paraId="3FFE3D2D" w14:textId="275FD13D" w:rsidR="00295417" w:rsidRPr="003D1614" w:rsidRDefault="00295417" w:rsidP="00A56428">
      <w:pPr>
        <w:rPr>
          <w:rFonts w:ascii="Arial" w:eastAsia="Times New Roman" w:hAnsi="Arial" w:cs="Arial"/>
          <w:sz w:val="20"/>
          <w:szCs w:val="20"/>
        </w:rPr>
      </w:pPr>
    </w:p>
    <w:p w14:paraId="21EAD379" w14:textId="48BF9948" w:rsidR="00764509" w:rsidRPr="003D1614" w:rsidRDefault="00764509" w:rsidP="00A56428">
      <w:pPr>
        <w:rPr>
          <w:rFonts w:ascii="Arial" w:eastAsia="Times New Roman" w:hAnsi="Arial" w:cs="Arial"/>
          <w:sz w:val="20"/>
          <w:szCs w:val="20"/>
        </w:rPr>
      </w:pPr>
    </w:p>
    <w:tbl>
      <w:tblPr>
        <w:tblW w:w="5040" w:type="pct"/>
        <w:tblInd w:w="-142" w:type="dxa"/>
        <w:tblLayout w:type="fixed"/>
        <w:tblLook w:val="0000" w:firstRow="0" w:lastRow="0" w:firstColumn="0" w:lastColumn="0" w:noHBand="0" w:noVBand="0"/>
      </w:tblPr>
      <w:tblGrid>
        <w:gridCol w:w="5281"/>
        <w:gridCol w:w="1021"/>
        <w:gridCol w:w="1352"/>
        <w:gridCol w:w="1491"/>
      </w:tblGrid>
      <w:tr w:rsidR="00764509" w:rsidRPr="00F43653" w14:paraId="278ECC36" w14:textId="77777777" w:rsidTr="007478FB">
        <w:trPr>
          <w:trHeight w:val="407"/>
        </w:trPr>
        <w:tc>
          <w:tcPr>
            <w:tcW w:w="2887" w:type="pct"/>
            <w:vAlign w:val="bottom"/>
          </w:tcPr>
          <w:p w14:paraId="1462FFFC" w14:textId="77777777" w:rsidR="00764509" w:rsidRPr="00F43653" w:rsidRDefault="00764509" w:rsidP="005A346D">
            <w:pPr>
              <w:rPr>
                <w:rFonts w:ascii="Arial" w:hAnsi="Arial" w:cs="Arial"/>
                <w:color w:val="000000" w:themeColor="text1"/>
                <w:sz w:val="20"/>
                <w:szCs w:val="20"/>
              </w:rPr>
            </w:pPr>
          </w:p>
        </w:tc>
        <w:tc>
          <w:tcPr>
            <w:tcW w:w="558" w:type="pct"/>
            <w:vAlign w:val="bottom"/>
          </w:tcPr>
          <w:p w14:paraId="35033320" w14:textId="77777777" w:rsidR="00764509" w:rsidRPr="00F43653" w:rsidRDefault="00764509" w:rsidP="005A346D">
            <w:pPr>
              <w:jc w:val="center"/>
              <w:rPr>
                <w:rFonts w:ascii="Arial" w:hAnsi="Arial" w:cs="Arial"/>
                <w:b/>
                <w:color w:val="000000" w:themeColor="text1"/>
                <w:sz w:val="20"/>
                <w:szCs w:val="20"/>
              </w:rPr>
            </w:pPr>
            <w:r w:rsidRPr="00F43653">
              <w:rPr>
                <w:rFonts w:ascii="Arial" w:hAnsi="Arial" w:cs="Arial"/>
                <w:b/>
                <w:color w:val="000000" w:themeColor="text1"/>
                <w:sz w:val="20"/>
                <w:szCs w:val="20"/>
              </w:rPr>
              <w:t>Bilješka</w:t>
            </w:r>
          </w:p>
        </w:tc>
        <w:tc>
          <w:tcPr>
            <w:tcW w:w="739" w:type="pct"/>
            <w:vAlign w:val="bottom"/>
          </w:tcPr>
          <w:p w14:paraId="1618FAF6" w14:textId="1B9A0AE4" w:rsidR="00764509" w:rsidRPr="00F43653" w:rsidRDefault="006826A0" w:rsidP="00531D68">
            <w:pPr>
              <w:jc w:val="right"/>
              <w:rPr>
                <w:rFonts w:ascii="Arial" w:hAnsi="Arial" w:cs="Arial"/>
                <w:b/>
                <w:color w:val="000000" w:themeColor="text1"/>
                <w:sz w:val="20"/>
                <w:szCs w:val="20"/>
              </w:rPr>
            </w:pPr>
            <w:r w:rsidRPr="00F43653">
              <w:rPr>
                <w:rFonts w:ascii="Arial" w:hAnsi="Arial" w:cs="Arial"/>
                <w:b/>
                <w:color w:val="000000" w:themeColor="text1"/>
                <w:sz w:val="20"/>
                <w:szCs w:val="20"/>
              </w:rPr>
              <w:t>30</w:t>
            </w:r>
            <w:r w:rsidR="00764509" w:rsidRPr="00F43653">
              <w:rPr>
                <w:rFonts w:ascii="Arial" w:hAnsi="Arial" w:cs="Arial"/>
                <w:b/>
                <w:color w:val="000000" w:themeColor="text1"/>
                <w:sz w:val="20"/>
                <w:szCs w:val="20"/>
              </w:rPr>
              <w:t>.</w:t>
            </w:r>
            <w:r w:rsidR="00FB136F">
              <w:rPr>
                <w:rFonts w:ascii="Arial" w:hAnsi="Arial" w:cs="Arial"/>
                <w:b/>
                <w:color w:val="000000" w:themeColor="text1"/>
                <w:sz w:val="20"/>
                <w:szCs w:val="20"/>
              </w:rPr>
              <w:t>9</w:t>
            </w:r>
            <w:r w:rsidR="00764509" w:rsidRPr="00F43653">
              <w:rPr>
                <w:rFonts w:ascii="Arial" w:hAnsi="Arial" w:cs="Arial"/>
                <w:b/>
                <w:color w:val="000000" w:themeColor="text1"/>
                <w:sz w:val="20"/>
                <w:szCs w:val="20"/>
              </w:rPr>
              <w:t>.202</w:t>
            </w:r>
            <w:r w:rsidR="00291CCF">
              <w:rPr>
                <w:rFonts w:ascii="Arial" w:hAnsi="Arial" w:cs="Arial"/>
                <w:b/>
                <w:color w:val="000000" w:themeColor="text1"/>
                <w:sz w:val="20"/>
                <w:szCs w:val="20"/>
              </w:rPr>
              <w:t>4</w:t>
            </w:r>
            <w:r w:rsidR="00764509" w:rsidRPr="00F43653">
              <w:rPr>
                <w:rFonts w:ascii="Arial" w:hAnsi="Arial" w:cs="Arial"/>
                <w:b/>
                <w:color w:val="000000" w:themeColor="text1"/>
                <w:sz w:val="20"/>
                <w:szCs w:val="20"/>
              </w:rPr>
              <w:t>.</w:t>
            </w:r>
          </w:p>
        </w:tc>
        <w:tc>
          <w:tcPr>
            <w:tcW w:w="815" w:type="pct"/>
            <w:vAlign w:val="bottom"/>
          </w:tcPr>
          <w:p w14:paraId="576061A5" w14:textId="4E526062" w:rsidR="00764509" w:rsidRPr="00F43653" w:rsidRDefault="00764509" w:rsidP="005A346D">
            <w:pPr>
              <w:jc w:val="right"/>
              <w:rPr>
                <w:rFonts w:ascii="Arial" w:hAnsi="Arial" w:cs="Arial"/>
                <w:b/>
                <w:color w:val="000000" w:themeColor="text1"/>
                <w:sz w:val="20"/>
                <w:szCs w:val="20"/>
              </w:rPr>
            </w:pPr>
            <w:r w:rsidRPr="00F43653">
              <w:rPr>
                <w:rFonts w:ascii="Arial" w:hAnsi="Arial" w:cs="Arial"/>
                <w:b/>
                <w:color w:val="000000" w:themeColor="text1"/>
                <w:sz w:val="20"/>
                <w:szCs w:val="20"/>
              </w:rPr>
              <w:t>31.12.202</w:t>
            </w:r>
            <w:r w:rsidR="00291CCF">
              <w:rPr>
                <w:rFonts w:ascii="Arial" w:hAnsi="Arial" w:cs="Arial"/>
                <w:b/>
                <w:color w:val="000000" w:themeColor="text1"/>
                <w:sz w:val="20"/>
                <w:szCs w:val="20"/>
              </w:rPr>
              <w:t>3</w:t>
            </w:r>
            <w:r w:rsidRPr="00F43653">
              <w:rPr>
                <w:rFonts w:ascii="Arial" w:hAnsi="Arial" w:cs="Arial"/>
                <w:b/>
                <w:color w:val="000000" w:themeColor="text1"/>
                <w:sz w:val="20"/>
                <w:szCs w:val="20"/>
              </w:rPr>
              <w:t>.</w:t>
            </w:r>
          </w:p>
        </w:tc>
      </w:tr>
      <w:tr w:rsidR="00764509" w:rsidRPr="00F43653" w14:paraId="4D782CDE" w14:textId="77777777" w:rsidTr="007478FB">
        <w:trPr>
          <w:trHeight w:val="248"/>
        </w:trPr>
        <w:tc>
          <w:tcPr>
            <w:tcW w:w="2887" w:type="pct"/>
            <w:vAlign w:val="bottom"/>
          </w:tcPr>
          <w:p w14:paraId="2C3D0238" w14:textId="77777777" w:rsidR="00764509" w:rsidRPr="00F43653" w:rsidRDefault="00764509" w:rsidP="005A346D">
            <w:pPr>
              <w:rPr>
                <w:rFonts w:ascii="Arial" w:hAnsi="Arial" w:cs="Arial"/>
                <w:color w:val="000000" w:themeColor="text1"/>
                <w:sz w:val="20"/>
                <w:szCs w:val="20"/>
              </w:rPr>
            </w:pPr>
          </w:p>
        </w:tc>
        <w:tc>
          <w:tcPr>
            <w:tcW w:w="558" w:type="pct"/>
            <w:vAlign w:val="bottom"/>
          </w:tcPr>
          <w:p w14:paraId="3B8AE693" w14:textId="77777777" w:rsidR="00764509" w:rsidRPr="00F43653" w:rsidRDefault="00764509" w:rsidP="005A346D">
            <w:pPr>
              <w:jc w:val="center"/>
              <w:rPr>
                <w:rFonts w:ascii="Arial" w:hAnsi="Arial" w:cs="Arial"/>
                <w:b/>
                <w:color w:val="000000" w:themeColor="text1"/>
                <w:sz w:val="20"/>
                <w:szCs w:val="20"/>
              </w:rPr>
            </w:pPr>
          </w:p>
        </w:tc>
        <w:tc>
          <w:tcPr>
            <w:tcW w:w="739" w:type="pct"/>
            <w:vAlign w:val="bottom"/>
          </w:tcPr>
          <w:p w14:paraId="5ABC7323" w14:textId="7C08333D" w:rsidR="00764509" w:rsidRPr="00F43653" w:rsidRDefault="00764509" w:rsidP="005A346D">
            <w:pPr>
              <w:jc w:val="right"/>
              <w:rPr>
                <w:rFonts w:ascii="Arial" w:hAnsi="Arial" w:cs="Arial"/>
                <w:b/>
                <w:color w:val="000000" w:themeColor="text1"/>
                <w:sz w:val="20"/>
                <w:szCs w:val="20"/>
              </w:rPr>
            </w:pPr>
            <w:r w:rsidRPr="00F43653">
              <w:rPr>
                <w:rFonts w:ascii="Arial" w:hAnsi="Arial" w:cs="Arial"/>
                <w:b/>
                <w:color w:val="000000" w:themeColor="text1"/>
                <w:sz w:val="20"/>
                <w:szCs w:val="20"/>
              </w:rPr>
              <w:t>000 eura</w:t>
            </w:r>
          </w:p>
        </w:tc>
        <w:tc>
          <w:tcPr>
            <w:tcW w:w="815" w:type="pct"/>
            <w:vAlign w:val="bottom"/>
          </w:tcPr>
          <w:p w14:paraId="0A99E879" w14:textId="5FE7C3B6" w:rsidR="00764509" w:rsidRPr="00F43653" w:rsidRDefault="00764509" w:rsidP="005A346D">
            <w:pPr>
              <w:jc w:val="right"/>
              <w:rPr>
                <w:rFonts w:ascii="Arial" w:hAnsi="Arial" w:cs="Arial"/>
                <w:b/>
                <w:color w:val="000000" w:themeColor="text1"/>
                <w:sz w:val="20"/>
                <w:szCs w:val="20"/>
              </w:rPr>
            </w:pPr>
            <w:r w:rsidRPr="00F43653">
              <w:rPr>
                <w:rFonts w:ascii="Arial" w:hAnsi="Arial" w:cs="Arial"/>
                <w:b/>
                <w:color w:val="000000" w:themeColor="text1"/>
                <w:sz w:val="20"/>
                <w:szCs w:val="20"/>
              </w:rPr>
              <w:t>000 eura</w:t>
            </w:r>
          </w:p>
        </w:tc>
      </w:tr>
      <w:tr w:rsidR="00764509" w:rsidRPr="00F43653" w14:paraId="3DE88F7E" w14:textId="77777777" w:rsidTr="007478FB">
        <w:trPr>
          <w:trHeight w:val="285"/>
        </w:trPr>
        <w:tc>
          <w:tcPr>
            <w:tcW w:w="2887" w:type="pct"/>
            <w:vAlign w:val="bottom"/>
          </w:tcPr>
          <w:p w14:paraId="165E225C" w14:textId="735CAC4C" w:rsidR="00764509" w:rsidRPr="00F43653" w:rsidRDefault="00764509" w:rsidP="005A346D">
            <w:pPr>
              <w:pStyle w:val="TT"/>
              <w:rPr>
                <w:rFonts w:cs="Arial"/>
                <w:b/>
                <w:bCs/>
                <w:color w:val="000000" w:themeColor="text1"/>
                <w:sz w:val="20"/>
                <w:lang w:val="hr-HR"/>
              </w:rPr>
            </w:pPr>
            <w:bookmarkStart w:id="149" w:name="_Toc67327059"/>
            <w:r w:rsidRPr="00F43653">
              <w:rPr>
                <w:rFonts w:cs="Arial"/>
                <w:b/>
                <w:bCs/>
                <w:color w:val="000000" w:themeColor="text1"/>
                <w:sz w:val="20"/>
                <w:lang w:val="hr-HR"/>
              </w:rPr>
              <w:t>Imovina</w:t>
            </w:r>
            <w:bookmarkEnd w:id="149"/>
          </w:p>
        </w:tc>
        <w:tc>
          <w:tcPr>
            <w:tcW w:w="558" w:type="pct"/>
            <w:vAlign w:val="bottom"/>
          </w:tcPr>
          <w:p w14:paraId="3458D181" w14:textId="77777777" w:rsidR="00764509" w:rsidRPr="00F43653" w:rsidRDefault="00764509" w:rsidP="005A346D">
            <w:pPr>
              <w:pStyle w:val="TT"/>
              <w:rPr>
                <w:rFonts w:cs="Arial"/>
                <w:b/>
                <w:bCs/>
                <w:color w:val="000000" w:themeColor="text1"/>
                <w:sz w:val="20"/>
                <w:lang w:val="hr-HR"/>
              </w:rPr>
            </w:pPr>
          </w:p>
        </w:tc>
        <w:tc>
          <w:tcPr>
            <w:tcW w:w="739" w:type="pct"/>
            <w:vAlign w:val="bottom"/>
          </w:tcPr>
          <w:p w14:paraId="4E6A108A" w14:textId="77777777" w:rsidR="00764509" w:rsidRPr="00F43653" w:rsidRDefault="00764509" w:rsidP="005A346D">
            <w:pPr>
              <w:pStyle w:val="TT"/>
              <w:rPr>
                <w:rFonts w:cs="Arial"/>
                <w:b/>
                <w:bCs/>
                <w:color w:val="000000" w:themeColor="text1"/>
                <w:sz w:val="20"/>
                <w:lang w:val="hr-HR"/>
              </w:rPr>
            </w:pPr>
          </w:p>
        </w:tc>
        <w:tc>
          <w:tcPr>
            <w:tcW w:w="815" w:type="pct"/>
            <w:vAlign w:val="bottom"/>
          </w:tcPr>
          <w:p w14:paraId="56094D55" w14:textId="77777777" w:rsidR="00764509" w:rsidRPr="00F43653" w:rsidRDefault="00764509" w:rsidP="005A346D">
            <w:pPr>
              <w:pStyle w:val="TT"/>
              <w:rPr>
                <w:rFonts w:cs="Arial"/>
                <w:b/>
                <w:bCs/>
                <w:color w:val="000000" w:themeColor="text1"/>
                <w:sz w:val="20"/>
                <w:lang w:val="hr-HR"/>
              </w:rPr>
            </w:pPr>
          </w:p>
        </w:tc>
      </w:tr>
      <w:tr w:rsidR="003A08DF" w:rsidRPr="00F43653" w14:paraId="051159A2" w14:textId="77777777" w:rsidTr="00B753E9">
        <w:trPr>
          <w:trHeight w:val="285"/>
        </w:trPr>
        <w:tc>
          <w:tcPr>
            <w:tcW w:w="2887" w:type="pct"/>
            <w:vAlign w:val="bottom"/>
          </w:tcPr>
          <w:p w14:paraId="1DD5B7E8" w14:textId="09E8BB5E" w:rsidR="003A08DF" w:rsidRPr="00F43653" w:rsidRDefault="003A08DF" w:rsidP="003A08DF">
            <w:pPr>
              <w:pStyle w:val="TT"/>
              <w:rPr>
                <w:rFonts w:cs="Arial"/>
                <w:color w:val="000000" w:themeColor="text1"/>
                <w:sz w:val="20"/>
                <w:lang w:val="hr-HR"/>
              </w:rPr>
            </w:pPr>
            <w:bookmarkStart w:id="150" w:name="_Toc67327060"/>
            <w:r w:rsidRPr="00F43653">
              <w:rPr>
                <w:rFonts w:cs="Arial"/>
                <w:color w:val="000000" w:themeColor="text1"/>
                <w:sz w:val="20"/>
                <w:lang w:val="hr-HR"/>
              </w:rPr>
              <w:t>Novčana sredstva i računi kod banaka</w:t>
            </w:r>
            <w:bookmarkEnd w:id="150"/>
          </w:p>
        </w:tc>
        <w:tc>
          <w:tcPr>
            <w:tcW w:w="558" w:type="pct"/>
            <w:vAlign w:val="bottom"/>
          </w:tcPr>
          <w:p w14:paraId="2AFCFEAC" w14:textId="77777777" w:rsidR="003A08DF" w:rsidRPr="00CC7FB0" w:rsidRDefault="003A08DF" w:rsidP="003A08DF">
            <w:pPr>
              <w:pStyle w:val="TT"/>
              <w:jc w:val="center"/>
              <w:rPr>
                <w:rFonts w:cs="Arial"/>
                <w:color w:val="000000" w:themeColor="text1"/>
                <w:sz w:val="20"/>
                <w:lang w:val="hr-HR"/>
              </w:rPr>
            </w:pPr>
            <w:r w:rsidRPr="00CC7FB0">
              <w:rPr>
                <w:rFonts w:cs="Arial"/>
                <w:color w:val="000000" w:themeColor="text1"/>
                <w:sz w:val="20"/>
                <w:lang w:val="hr-HR"/>
              </w:rPr>
              <w:t>9</w:t>
            </w:r>
          </w:p>
        </w:tc>
        <w:tc>
          <w:tcPr>
            <w:tcW w:w="739" w:type="pct"/>
            <w:tcBorders>
              <w:top w:val="nil"/>
              <w:left w:val="nil"/>
              <w:bottom w:val="nil"/>
              <w:right w:val="nil"/>
            </w:tcBorders>
            <w:shd w:val="clear" w:color="auto" w:fill="auto"/>
            <w:vAlign w:val="bottom"/>
          </w:tcPr>
          <w:p w14:paraId="46C2D996" w14:textId="64C25412" w:rsidR="003A08DF" w:rsidRPr="00B753E9" w:rsidRDefault="003A08DF" w:rsidP="003A08DF">
            <w:pPr>
              <w:pStyle w:val="TT"/>
              <w:jc w:val="right"/>
              <w:rPr>
                <w:rFonts w:cs="Arial"/>
                <w:sz w:val="20"/>
              </w:rPr>
            </w:pPr>
            <w:r w:rsidRPr="00B753E9">
              <w:rPr>
                <w:sz w:val="20"/>
              </w:rPr>
              <w:t>34.087</w:t>
            </w:r>
          </w:p>
        </w:tc>
        <w:tc>
          <w:tcPr>
            <w:tcW w:w="815" w:type="pct"/>
            <w:tcBorders>
              <w:top w:val="nil"/>
              <w:left w:val="nil"/>
              <w:bottom w:val="nil"/>
              <w:right w:val="nil"/>
            </w:tcBorders>
            <w:shd w:val="clear" w:color="auto" w:fill="auto"/>
            <w:vAlign w:val="bottom"/>
          </w:tcPr>
          <w:p w14:paraId="3C2225CF" w14:textId="6BC261BC" w:rsidR="003A08DF" w:rsidRPr="00F43653" w:rsidRDefault="003A08DF" w:rsidP="003A08DF">
            <w:pPr>
              <w:pStyle w:val="TT"/>
              <w:jc w:val="right"/>
              <w:rPr>
                <w:rFonts w:cs="Arial"/>
                <w:color w:val="000000" w:themeColor="text1"/>
                <w:sz w:val="20"/>
                <w:lang w:val="hr-HR"/>
              </w:rPr>
            </w:pPr>
            <w:r w:rsidRPr="00F959D0">
              <w:rPr>
                <w:sz w:val="20"/>
              </w:rPr>
              <w:t>41.543</w:t>
            </w:r>
          </w:p>
        </w:tc>
      </w:tr>
      <w:tr w:rsidR="003A08DF" w:rsidRPr="00F43653" w14:paraId="6917DA49" w14:textId="77777777" w:rsidTr="00B753E9">
        <w:trPr>
          <w:trHeight w:val="285"/>
        </w:trPr>
        <w:tc>
          <w:tcPr>
            <w:tcW w:w="2887" w:type="pct"/>
            <w:vAlign w:val="bottom"/>
          </w:tcPr>
          <w:p w14:paraId="05A850C1" w14:textId="18B75E15" w:rsidR="003A08DF" w:rsidRPr="00F43653" w:rsidRDefault="003A08DF" w:rsidP="003A08DF">
            <w:pPr>
              <w:pStyle w:val="TT"/>
              <w:rPr>
                <w:rFonts w:cs="Arial"/>
                <w:color w:val="000000" w:themeColor="text1"/>
                <w:sz w:val="20"/>
                <w:lang w:val="hr-HR"/>
              </w:rPr>
            </w:pPr>
            <w:bookmarkStart w:id="151" w:name="_Toc67327064"/>
            <w:r w:rsidRPr="00F43653">
              <w:rPr>
                <w:rFonts w:cs="Arial"/>
                <w:color w:val="000000" w:themeColor="text1"/>
                <w:sz w:val="20"/>
                <w:lang w:val="hr-HR"/>
              </w:rPr>
              <w:t>Depoziti kod drugih banaka</w:t>
            </w:r>
            <w:bookmarkEnd w:id="151"/>
          </w:p>
        </w:tc>
        <w:tc>
          <w:tcPr>
            <w:tcW w:w="558" w:type="pct"/>
            <w:vAlign w:val="bottom"/>
          </w:tcPr>
          <w:p w14:paraId="252EB8BB" w14:textId="77777777" w:rsidR="003A08DF" w:rsidRPr="00CC7FB0" w:rsidRDefault="003A08DF" w:rsidP="003A08DF">
            <w:pPr>
              <w:pStyle w:val="TT"/>
              <w:jc w:val="center"/>
              <w:rPr>
                <w:rFonts w:cs="Arial"/>
                <w:color w:val="000000" w:themeColor="text1"/>
                <w:sz w:val="20"/>
                <w:lang w:val="hr-HR"/>
              </w:rPr>
            </w:pPr>
            <w:bookmarkStart w:id="152" w:name="_Toc67327065"/>
            <w:r w:rsidRPr="00CC7FB0">
              <w:rPr>
                <w:rFonts w:cs="Arial"/>
                <w:color w:val="000000" w:themeColor="text1"/>
                <w:sz w:val="20"/>
                <w:lang w:val="hr-HR"/>
              </w:rPr>
              <w:t>1</w:t>
            </w:r>
            <w:bookmarkEnd w:id="152"/>
            <w:r w:rsidRPr="00CC7FB0">
              <w:rPr>
                <w:rFonts w:cs="Arial"/>
                <w:color w:val="000000" w:themeColor="text1"/>
                <w:sz w:val="20"/>
                <w:lang w:val="hr-HR"/>
              </w:rPr>
              <w:t>0</w:t>
            </w:r>
          </w:p>
        </w:tc>
        <w:tc>
          <w:tcPr>
            <w:tcW w:w="739" w:type="pct"/>
            <w:tcBorders>
              <w:top w:val="nil"/>
              <w:left w:val="nil"/>
              <w:bottom w:val="nil"/>
              <w:right w:val="nil"/>
            </w:tcBorders>
            <w:shd w:val="clear" w:color="auto" w:fill="auto"/>
            <w:vAlign w:val="bottom"/>
          </w:tcPr>
          <w:p w14:paraId="0C71B5C1" w14:textId="0E201B19" w:rsidR="003A08DF" w:rsidRPr="00B753E9" w:rsidRDefault="003A08DF" w:rsidP="003A08DF">
            <w:pPr>
              <w:pStyle w:val="TT"/>
              <w:jc w:val="right"/>
              <w:rPr>
                <w:rFonts w:cs="Arial"/>
                <w:sz w:val="20"/>
              </w:rPr>
            </w:pPr>
            <w:r w:rsidRPr="00B753E9">
              <w:rPr>
                <w:sz w:val="20"/>
              </w:rPr>
              <w:t>120.610</w:t>
            </w:r>
          </w:p>
        </w:tc>
        <w:tc>
          <w:tcPr>
            <w:tcW w:w="815" w:type="pct"/>
            <w:tcBorders>
              <w:top w:val="nil"/>
              <w:left w:val="nil"/>
              <w:bottom w:val="nil"/>
              <w:right w:val="nil"/>
            </w:tcBorders>
            <w:shd w:val="clear" w:color="auto" w:fill="auto"/>
            <w:vAlign w:val="bottom"/>
          </w:tcPr>
          <w:p w14:paraId="01565C19" w14:textId="1B2C5A5E" w:rsidR="003A08DF" w:rsidRPr="00F43653" w:rsidRDefault="003A08DF" w:rsidP="003A08DF">
            <w:pPr>
              <w:pStyle w:val="TT"/>
              <w:jc w:val="right"/>
              <w:rPr>
                <w:rFonts w:cs="Arial"/>
                <w:color w:val="000000" w:themeColor="text1"/>
                <w:sz w:val="20"/>
                <w:lang w:val="hr-HR"/>
              </w:rPr>
            </w:pPr>
            <w:r w:rsidRPr="00F959D0">
              <w:rPr>
                <w:sz w:val="20"/>
              </w:rPr>
              <w:t>69.456</w:t>
            </w:r>
          </w:p>
        </w:tc>
      </w:tr>
      <w:tr w:rsidR="003A08DF" w:rsidRPr="00F43653" w14:paraId="1DEF0CD3" w14:textId="77777777" w:rsidTr="00B753E9">
        <w:trPr>
          <w:trHeight w:val="285"/>
        </w:trPr>
        <w:tc>
          <w:tcPr>
            <w:tcW w:w="2887" w:type="pct"/>
            <w:vAlign w:val="bottom"/>
          </w:tcPr>
          <w:p w14:paraId="531E0CFE" w14:textId="6F381A89" w:rsidR="003A08DF" w:rsidRPr="00F43653" w:rsidRDefault="003A08DF" w:rsidP="003A08DF">
            <w:pPr>
              <w:pStyle w:val="TT"/>
              <w:rPr>
                <w:rFonts w:cs="Arial"/>
                <w:color w:val="000000" w:themeColor="text1"/>
                <w:sz w:val="20"/>
                <w:lang w:val="hr-HR"/>
              </w:rPr>
            </w:pPr>
            <w:bookmarkStart w:id="153" w:name="_Toc67327068"/>
            <w:r w:rsidRPr="00F43653">
              <w:rPr>
                <w:rFonts w:cs="Arial"/>
                <w:color w:val="000000" w:themeColor="text1"/>
                <w:sz w:val="20"/>
                <w:lang w:val="hr-HR"/>
              </w:rPr>
              <w:t>Krediti financijskim institucijama</w:t>
            </w:r>
            <w:bookmarkEnd w:id="153"/>
          </w:p>
        </w:tc>
        <w:tc>
          <w:tcPr>
            <w:tcW w:w="558" w:type="pct"/>
            <w:vAlign w:val="bottom"/>
          </w:tcPr>
          <w:p w14:paraId="42E555D9" w14:textId="77777777" w:rsidR="003A08DF" w:rsidRPr="00CC7FB0" w:rsidRDefault="003A08DF" w:rsidP="003A08DF">
            <w:pPr>
              <w:pStyle w:val="TT"/>
              <w:jc w:val="center"/>
              <w:rPr>
                <w:rFonts w:cs="Arial"/>
                <w:color w:val="000000" w:themeColor="text1"/>
                <w:sz w:val="20"/>
                <w:lang w:val="hr-HR"/>
              </w:rPr>
            </w:pPr>
            <w:bookmarkStart w:id="154" w:name="_Toc67327069"/>
            <w:r w:rsidRPr="00CC7FB0">
              <w:rPr>
                <w:rFonts w:cs="Arial"/>
                <w:color w:val="000000" w:themeColor="text1"/>
                <w:sz w:val="20"/>
                <w:lang w:val="hr-HR"/>
              </w:rPr>
              <w:t>1</w:t>
            </w:r>
            <w:bookmarkEnd w:id="154"/>
            <w:r w:rsidRPr="00CC7FB0">
              <w:rPr>
                <w:rFonts w:cs="Arial"/>
                <w:color w:val="000000" w:themeColor="text1"/>
                <w:sz w:val="20"/>
                <w:lang w:val="hr-HR"/>
              </w:rPr>
              <w:t>1</w:t>
            </w:r>
          </w:p>
        </w:tc>
        <w:tc>
          <w:tcPr>
            <w:tcW w:w="739" w:type="pct"/>
            <w:tcBorders>
              <w:top w:val="nil"/>
              <w:left w:val="nil"/>
              <w:bottom w:val="nil"/>
              <w:right w:val="nil"/>
            </w:tcBorders>
            <w:shd w:val="clear" w:color="auto" w:fill="auto"/>
            <w:vAlign w:val="bottom"/>
          </w:tcPr>
          <w:p w14:paraId="731B3D0C" w14:textId="00BC386C" w:rsidR="003A08DF" w:rsidRPr="00B753E9" w:rsidRDefault="003A08DF" w:rsidP="003A08DF">
            <w:pPr>
              <w:pStyle w:val="TT"/>
              <w:jc w:val="right"/>
              <w:rPr>
                <w:rFonts w:cs="Arial"/>
                <w:sz w:val="20"/>
              </w:rPr>
            </w:pPr>
            <w:r w:rsidRPr="00B753E9">
              <w:rPr>
                <w:sz w:val="20"/>
              </w:rPr>
              <w:t>1.167.204</w:t>
            </w:r>
          </w:p>
        </w:tc>
        <w:tc>
          <w:tcPr>
            <w:tcW w:w="815" w:type="pct"/>
            <w:tcBorders>
              <w:top w:val="nil"/>
              <w:left w:val="nil"/>
              <w:bottom w:val="nil"/>
              <w:right w:val="nil"/>
            </w:tcBorders>
            <w:shd w:val="clear" w:color="auto" w:fill="auto"/>
            <w:vAlign w:val="bottom"/>
          </w:tcPr>
          <w:p w14:paraId="7701DFAE" w14:textId="0F937F60" w:rsidR="003A08DF" w:rsidRPr="00F43653" w:rsidRDefault="003A08DF" w:rsidP="003A08DF">
            <w:pPr>
              <w:pStyle w:val="TT"/>
              <w:jc w:val="right"/>
              <w:rPr>
                <w:rFonts w:cs="Arial"/>
                <w:color w:val="000000" w:themeColor="text1"/>
                <w:sz w:val="20"/>
                <w:lang w:val="hr-HR"/>
              </w:rPr>
            </w:pPr>
            <w:r w:rsidRPr="00F959D0">
              <w:rPr>
                <w:sz w:val="20"/>
              </w:rPr>
              <w:t>1.248.881</w:t>
            </w:r>
          </w:p>
        </w:tc>
      </w:tr>
      <w:tr w:rsidR="003A08DF" w:rsidRPr="00F43653" w14:paraId="7E41DB56" w14:textId="77777777" w:rsidTr="00B753E9">
        <w:trPr>
          <w:trHeight w:val="297"/>
        </w:trPr>
        <w:tc>
          <w:tcPr>
            <w:tcW w:w="2887" w:type="pct"/>
            <w:vAlign w:val="bottom"/>
          </w:tcPr>
          <w:p w14:paraId="76CBC2CE" w14:textId="304F5A17" w:rsidR="003A08DF" w:rsidRPr="00F43653" w:rsidRDefault="003A08DF" w:rsidP="003A08DF">
            <w:pPr>
              <w:pStyle w:val="TT"/>
              <w:rPr>
                <w:rFonts w:cs="Arial"/>
                <w:color w:val="000000" w:themeColor="text1"/>
                <w:sz w:val="20"/>
                <w:lang w:val="hr-HR"/>
              </w:rPr>
            </w:pPr>
            <w:bookmarkStart w:id="155" w:name="_Toc67327072"/>
            <w:r w:rsidRPr="00F43653">
              <w:rPr>
                <w:rFonts w:cs="Arial"/>
                <w:color w:val="000000" w:themeColor="text1"/>
                <w:sz w:val="20"/>
                <w:lang w:val="hr-HR"/>
              </w:rPr>
              <w:t>Krediti ostalim korisnicima</w:t>
            </w:r>
            <w:bookmarkEnd w:id="155"/>
          </w:p>
        </w:tc>
        <w:tc>
          <w:tcPr>
            <w:tcW w:w="558" w:type="pct"/>
            <w:vAlign w:val="bottom"/>
          </w:tcPr>
          <w:p w14:paraId="01FD55F8" w14:textId="77777777" w:rsidR="003A08DF" w:rsidRPr="00CC7FB0" w:rsidRDefault="003A08DF" w:rsidP="003A08DF">
            <w:pPr>
              <w:pStyle w:val="TT"/>
              <w:jc w:val="center"/>
              <w:rPr>
                <w:rFonts w:cs="Arial"/>
                <w:color w:val="000000" w:themeColor="text1"/>
                <w:sz w:val="20"/>
                <w:lang w:val="hr-HR"/>
              </w:rPr>
            </w:pPr>
            <w:bookmarkStart w:id="156" w:name="_Toc67327073"/>
            <w:r w:rsidRPr="00CC7FB0">
              <w:rPr>
                <w:rFonts w:cs="Arial"/>
                <w:color w:val="000000" w:themeColor="text1"/>
                <w:sz w:val="20"/>
                <w:lang w:val="hr-HR"/>
              </w:rPr>
              <w:t>1</w:t>
            </w:r>
            <w:bookmarkEnd w:id="156"/>
            <w:r w:rsidRPr="00CC7FB0">
              <w:rPr>
                <w:rFonts w:cs="Arial"/>
                <w:color w:val="000000" w:themeColor="text1"/>
                <w:sz w:val="20"/>
                <w:lang w:val="hr-HR"/>
              </w:rPr>
              <w:t>2</w:t>
            </w:r>
          </w:p>
        </w:tc>
        <w:tc>
          <w:tcPr>
            <w:tcW w:w="739" w:type="pct"/>
            <w:tcBorders>
              <w:top w:val="nil"/>
              <w:left w:val="nil"/>
              <w:bottom w:val="nil"/>
              <w:right w:val="nil"/>
            </w:tcBorders>
            <w:shd w:val="clear" w:color="auto" w:fill="auto"/>
            <w:vAlign w:val="bottom"/>
          </w:tcPr>
          <w:p w14:paraId="6ED7CBC1" w14:textId="4FCD2C66" w:rsidR="003A08DF" w:rsidRPr="00B753E9" w:rsidRDefault="003A08DF" w:rsidP="003A08DF">
            <w:pPr>
              <w:pStyle w:val="TT"/>
              <w:jc w:val="right"/>
              <w:rPr>
                <w:rFonts w:cs="Arial"/>
                <w:sz w:val="20"/>
              </w:rPr>
            </w:pPr>
            <w:r w:rsidRPr="00B753E9">
              <w:rPr>
                <w:sz w:val="20"/>
              </w:rPr>
              <w:t>2.361.477</w:t>
            </w:r>
          </w:p>
        </w:tc>
        <w:tc>
          <w:tcPr>
            <w:tcW w:w="815" w:type="pct"/>
            <w:tcBorders>
              <w:top w:val="nil"/>
              <w:left w:val="nil"/>
              <w:bottom w:val="nil"/>
              <w:right w:val="nil"/>
            </w:tcBorders>
            <w:shd w:val="clear" w:color="auto" w:fill="auto"/>
            <w:vAlign w:val="bottom"/>
          </w:tcPr>
          <w:p w14:paraId="67B0A1F3" w14:textId="288A3455" w:rsidR="003A08DF" w:rsidRPr="00F43653" w:rsidRDefault="003A08DF" w:rsidP="003A08DF">
            <w:pPr>
              <w:pStyle w:val="TT"/>
              <w:jc w:val="right"/>
              <w:rPr>
                <w:rFonts w:cs="Arial"/>
                <w:color w:val="000000" w:themeColor="text1"/>
                <w:sz w:val="20"/>
                <w:lang w:val="hr-HR"/>
              </w:rPr>
            </w:pPr>
            <w:r w:rsidRPr="00F959D0">
              <w:rPr>
                <w:sz w:val="20"/>
              </w:rPr>
              <w:t>2.351.196</w:t>
            </w:r>
          </w:p>
        </w:tc>
      </w:tr>
      <w:tr w:rsidR="004A7D5D" w:rsidRPr="00F43653" w14:paraId="6646FEC6" w14:textId="77777777" w:rsidTr="00B753E9">
        <w:trPr>
          <w:trHeight w:val="297"/>
        </w:trPr>
        <w:tc>
          <w:tcPr>
            <w:tcW w:w="2887" w:type="pct"/>
            <w:tcBorders>
              <w:top w:val="nil"/>
              <w:left w:val="nil"/>
              <w:bottom w:val="nil"/>
              <w:right w:val="nil"/>
            </w:tcBorders>
            <w:shd w:val="clear" w:color="auto" w:fill="auto"/>
            <w:vAlign w:val="bottom"/>
          </w:tcPr>
          <w:p w14:paraId="3F88804E" w14:textId="02D80D1A" w:rsidR="004A7D5D" w:rsidRPr="00F43653" w:rsidRDefault="004A7D5D" w:rsidP="004A7D5D">
            <w:pPr>
              <w:pStyle w:val="TT"/>
              <w:rPr>
                <w:rFonts w:cs="Arial"/>
                <w:color w:val="000000" w:themeColor="text1"/>
                <w:sz w:val="20"/>
                <w:lang w:val="hr-HR"/>
              </w:rPr>
            </w:pPr>
            <w:bookmarkStart w:id="157" w:name="_Toc67327076"/>
            <w:r w:rsidRPr="00F43653">
              <w:rPr>
                <w:rFonts w:cs="Arial"/>
                <w:color w:val="000000" w:themeColor="text1"/>
                <w:sz w:val="20"/>
                <w:lang w:val="hr-HR"/>
              </w:rPr>
              <w:t>Financijska imovina po fer vrijednosti kroz dobit ili gubitak</w:t>
            </w:r>
            <w:bookmarkEnd w:id="157"/>
          </w:p>
        </w:tc>
        <w:tc>
          <w:tcPr>
            <w:tcW w:w="558" w:type="pct"/>
            <w:vAlign w:val="bottom"/>
          </w:tcPr>
          <w:p w14:paraId="72AF1928" w14:textId="77777777" w:rsidR="004A7D5D" w:rsidRPr="00CC7FB0" w:rsidRDefault="004A7D5D" w:rsidP="004A7D5D">
            <w:pPr>
              <w:pStyle w:val="TT"/>
              <w:jc w:val="center"/>
              <w:rPr>
                <w:rFonts w:cs="Arial"/>
                <w:color w:val="000000" w:themeColor="text1"/>
                <w:sz w:val="20"/>
                <w:lang w:val="hr-HR"/>
              </w:rPr>
            </w:pPr>
            <w:bookmarkStart w:id="158" w:name="_Toc67327077"/>
            <w:r w:rsidRPr="00CC7FB0">
              <w:rPr>
                <w:rFonts w:cs="Arial"/>
                <w:color w:val="000000" w:themeColor="text1"/>
                <w:sz w:val="20"/>
                <w:lang w:val="hr-HR"/>
              </w:rPr>
              <w:t>1</w:t>
            </w:r>
            <w:bookmarkEnd w:id="158"/>
            <w:r w:rsidRPr="00CC7FB0">
              <w:rPr>
                <w:rFonts w:cs="Arial"/>
                <w:color w:val="000000" w:themeColor="text1"/>
                <w:sz w:val="20"/>
                <w:lang w:val="hr-HR"/>
              </w:rPr>
              <w:t>3</w:t>
            </w:r>
          </w:p>
        </w:tc>
        <w:tc>
          <w:tcPr>
            <w:tcW w:w="739" w:type="pct"/>
            <w:tcBorders>
              <w:top w:val="nil"/>
              <w:left w:val="nil"/>
              <w:bottom w:val="nil"/>
              <w:right w:val="nil"/>
            </w:tcBorders>
            <w:shd w:val="clear" w:color="auto" w:fill="auto"/>
            <w:vAlign w:val="bottom"/>
          </w:tcPr>
          <w:p w14:paraId="42651828" w14:textId="2B8B3D19" w:rsidR="004A7D5D" w:rsidRPr="00B753E9" w:rsidRDefault="004A7D5D" w:rsidP="004A7D5D">
            <w:pPr>
              <w:pStyle w:val="TT"/>
              <w:jc w:val="right"/>
              <w:rPr>
                <w:rFonts w:cs="Arial"/>
                <w:sz w:val="20"/>
              </w:rPr>
            </w:pPr>
            <w:r w:rsidRPr="00B753E9">
              <w:rPr>
                <w:sz w:val="20"/>
              </w:rPr>
              <w:t>66.032</w:t>
            </w:r>
          </w:p>
        </w:tc>
        <w:tc>
          <w:tcPr>
            <w:tcW w:w="815" w:type="pct"/>
            <w:tcBorders>
              <w:top w:val="nil"/>
              <w:left w:val="nil"/>
              <w:bottom w:val="nil"/>
              <w:right w:val="nil"/>
            </w:tcBorders>
            <w:shd w:val="clear" w:color="auto" w:fill="auto"/>
            <w:vAlign w:val="bottom"/>
          </w:tcPr>
          <w:p w14:paraId="3B5C7D7D" w14:textId="59066C08" w:rsidR="004A7D5D" w:rsidRPr="00F43653" w:rsidRDefault="004A7D5D" w:rsidP="004A7D5D">
            <w:pPr>
              <w:pStyle w:val="TT"/>
              <w:jc w:val="right"/>
              <w:rPr>
                <w:rFonts w:cs="Arial"/>
                <w:color w:val="000000" w:themeColor="text1"/>
                <w:sz w:val="20"/>
                <w:lang w:val="hr-HR"/>
              </w:rPr>
            </w:pPr>
            <w:r w:rsidRPr="00F959D0">
              <w:rPr>
                <w:sz w:val="20"/>
              </w:rPr>
              <w:t>52.922</w:t>
            </w:r>
          </w:p>
        </w:tc>
      </w:tr>
      <w:tr w:rsidR="004A7D5D" w:rsidRPr="00F43653" w14:paraId="3A1841AE" w14:textId="77777777" w:rsidTr="00B753E9">
        <w:trPr>
          <w:trHeight w:val="297"/>
        </w:trPr>
        <w:tc>
          <w:tcPr>
            <w:tcW w:w="2887" w:type="pct"/>
            <w:tcBorders>
              <w:top w:val="nil"/>
              <w:left w:val="nil"/>
              <w:bottom w:val="nil"/>
              <w:right w:val="nil"/>
            </w:tcBorders>
            <w:shd w:val="clear" w:color="auto" w:fill="auto"/>
            <w:vAlign w:val="bottom"/>
          </w:tcPr>
          <w:p w14:paraId="4CA8CE04" w14:textId="528CAD81" w:rsidR="004A7D5D" w:rsidRPr="00F43653" w:rsidRDefault="004A7D5D" w:rsidP="004A7D5D">
            <w:pPr>
              <w:pStyle w:val="TT"/>
              <w:rPr>
                <w:rFonts w:cs="Arial"/>
                <w:color w:val="000000" w:themeColor="text1"/>
                <w:sz w:val="20"/>
                <w:lang w:val="hr-HR"/>
              </w:rPr>
            </w:pPr>
            <w:bookmarkStart w:id="159" w:name="_Toc67327080"/>
            <w:r w:rsidRPr="00F43653">
              <w:rPr>
                <w:rFonts w:cs="Arial"/>
                <w:color w:val="000000" w:themeColor="text1"/>
                <w:sz w:val="20"/>
                <w:lang w:val="hr-HR"/>
              </w:rPr>
              <w:t>Financijska imovina po fer vrijednosti kroz ostalu sveobuhvatnu dobit</w:t>
            </w:r>
            <w:bookmarkEnd w:id="159"/>
          </w:p>
        </w:tc>
        <w:tc>
          <w:tcPr>
            <w:tcW w:w="558" w:type="pct"/>
            <w:vAlign w:val="bottom"/>
          </w:tcPr>
          <w:p w14:paraId="02F4525D" w14:textId="77777777" w:rsidR="004A7D5D" w:rsidRPr="00CC7FB0" w:rsidRDefault="004A7D5D" w:rsidP="004A7D5D">
            <w:pPr>
              <w:pStyle w:val="TT"/>
              <w:jc w:val="center"/>
              <w:rPr>
                <w:rFonts w:cs="Arial"/>
                <w:color w:val="000000" w:themeColor="text1"/>
                <w:sz w:val="20"/>
                <w:lang w:val="hr-HR"/>
              </w:rPr>
            </w:pPr>
            <w:bookmarkStart w:id="160" w:name="_Toc67327081"/>
            <w:r w:rsidRPr="00CC7FB0">
              <w:rPr>
                <w:rFonts w:cs="Arial"/>
                <w:color w:val="000000" w:themeColor="text1"/>
                <w:sz w:val="20"/>
                <w:lang w:val="hr-HR"/>
              </w:rPr>
              <w:t>1</w:t>
            </w:r>
            <w:bookmarkEnd w:id="160"/>
            <w:r w:rsidRPr="00CC7FB0">
              <w:rPr>
                <w:rFonts w:cs="Arial"/>
                <w:color w:val="000000" w:themeColor="text1"/>
                <w:sz w:val="20"/>
                <w:lang w:val="hr-HR"/>
              </w:rPr>
              <w:t>4</w:t>
            </w:r>
          </w:p>
        </w:tc>
        <w:tc>
          <w:tcPr>
            <w:tcW w:w="739" w:type="pct"/>
            <w:tcBorders>
              <w:top w:val="nil"/>
              <w:left w:val="nil"/>
              <w:bottom w:val="nil"/>
              <w:right w:val="nil"/>
            </w:tcBorders>
            <w:shd w:val="clear" w:color="auto" w:fill="auto"/>
            <w:vAlign w:val="bottom"/>
          </w:tcPr>
          <w:p w14:paraId="72086444" w14:textId="17B3C465" w:rsidR="004A7D5D" w:rsidRPr="00B753E9" w:rsidRDefault="004A7D5D" w:rsidP="004A7D5D">
            <w:pPr>
              <w:pStyle w:val="TT"/>
              <w:jc w:val="right"/>
              <w:rPr>
                <w:rFonts w:cs="Arial"/>
                <w:sz w:val="20"/>
              </w:rPr>
            </w:pPr>
            <w:r w:rsidRPr="00B753E9">
              <w:rPr>
                <w:sz w:val="20"/>
              </w:rPr>
              <w:t>246.774</w:t>
            </w:r>
          </w:p>
        </w:tc>
        <w:tc>
          <w:tcPr>
            <w:tcW w:w="815" w:type="pct"/>
            <w:tcBorders>
              <w:top w:val="nil"/>
              <w:left w:val="nil"/>
              <w:bottom w:val="nil"/>
              <w:right w:val="nil"/>
            </w:tcBorders>
            <w:shd w:val="clear" w:color="auto" w:fill="auto"/>
            <w:vAlign w:val="bottom"/>
          </w:tcPr>
          <w:p w14:paraId="46FB8488" w14:textId="666B4FDD" w:rsidR="004A7D5D" w:rsidRPr="00F43653" w:rsidRDefault="004A7D5D" w:rsidP="004A7D5D">
            <w:pPr>
              <w:pStyle w:val="TT"/>
              <w:jc w:val="right"/>
              <w:rPr>
                <w:rFonts w:cs="Arial"/>
                <w:color w:val="000000" w:themeColor="text1"/>
                <w:sz w:val="20"/>
                <w:lang w:val="hr-HR"/>
              </w:rPr>
            </w:pPr>
            <w:r w:rsidRPr="00F959D0">
              <w:rPr>
                <w:sz w:val="20"/>
              </w:rPr>
              <w:t>228.858</w:t>
            </w:r>
          </w:p>
        </w:tc>
      </w:tr>
      <w:tr w:rsidR="004A7D5D" w:rsidRPr="00F43653" w14:paraId="16884164" w14:textId="77777777" w:rsidTr="00B753E9">
        <w:trPr>
          <w:trHeight w:val="285"/>
        </w:trPr>
        <w:tc>
          <w:tcPr>
            <w:tcW w:w="2887" w:type="pct"/>
            <w:vAlign w:val="bottom"/>
          </w:tcPr>
          <w:p w14:paraId="4F9C75BE" w14:textId="5FFAD5FD" w:rsidR="004A7D5D" w:rsidRPr="00F43653" w:rsidRDefault="004A7D5D" w:rsidP="004A7D5D">
            <w:pPr>
              <w:pStyle w:val="TT"/>
              <w:rPr>
                <w:rFonts w:cs="Arial"/>
                <w:color w:val="000000" w:themeColor="text1"/>
                <w:sz w:val="20"/>
                <w:lang w:val="hr-HR"/>
              </w:rPr>
            </w:pPr>
            <w:bookmarkStart w:id="161" w:name="_Toc67327084"/>
            <w:r w:rsidRPr="00F43653">
              <w:rPr>
                <w:rFonts w:cs="Arial"/>
                <w:color w:val="000000" w:themeColor="text1"/>
                <w:sz w:val="20"/>
                <w:lang w:val="hr-HR"/>
              </w:rPr>
              <w:t>Ulaganja u ovisna društva</w:t>
            </w:r>
            <w:bookmarkEnd w:id="161"/>
          </w:p>
        </w:tc>
        <w:tc>
          <w:tcPr>
            <w:tcW w:w="558" w:type="pct"/>
            <w:vAlign w:val="bottom"/>
          </w:tcPr>
          <w:p w14:paraId="405DE971" w14:textId="77777777" w:rsidR="004A7D5D" w:rsidRPr="00CC7FB0" w:rsidRDefault="004A7D5D" w:rsidP="004A7D5D">
            <w:pPr>
              <w:pStyle w:val="TT"/>
              <w:jc w:val="center"/>
              <w:rPr>
                <w:rFonts w:cs="Arial"/>
                <w:color w:val="000000" w:themeColor="text1"/>
                <w:sz w:val="20"/>
                <w:lang w:val="hr-HR"/>
              </w:rPr>
            </w:pPr>
          </w:p>
        </w:tc>
        <w:tc>
          <w:tcPr>
            <w:tcW w:w="739" w:type="pct"/>
            <w:tcBorders>
              <w:top w:val="nil"/>
              <w:left w:val="nil"/>
              <w:bottom w:val="nil"/>
              <w:right w:val="nil"/>
            </w:tcBorders>
            <w:shd w:val="clear" w:color="auto" w:fill="auto"/>
            <w:vAlign w:val="bottom"/>
          </w:tcPr>
          <w:p w14:paraId="6DD171B5" w14:textId="66822823" w:rsidR="004A7D5D" w:rsidRPr="00B753E9" w:rsidRDefault="004A7D5D" w:rsidP="004A7D5D">
            <w:pPr>
              <w:pStyle w:val="TT"/>
              <w:jc w:val="right"/>
              <w:rPr>
                <w:rFonts w:cs="Arial"/>
                <w:sz w:val="20"/>
              </w:rPr>
            </w:pPr>
            <w:r w:rsidRPr="00B753E9">
              <w:rPr>
                <w:sz w:val="20"/>
              </w:rPr>
              <w:t>7.449</w:t>
            </w:r>
          </w:p>
        </w:tc>
        <w:tc>
          <w:tcPr>
            <w:tcW w:w="815" w:type="pct"/>
            <w:tcBorders>
              <w:top w:val="nil"/>
              <w:left w:val="nil"/>
              <w:bottom w:val="nil"/>
              <w:right w:val="nil"/>
            </w:tcBorders>
            <w:shd w:val="clear" w:color="auto" w:fill="auto"/>
            <w:vAlign w:val="bottom"/>
          </w:tcPr>
          <w:p w14:paraId="17042EE8" w14:textId="3DE3ACC6" w:rsidR="004A7D5D" w:rsidRPr="00F43653" w:rsidRDefault="004A7D5D" w:rsidP="004A7D5D">
            <w:pPr>
              <w:pStyle w:val="TT"/>
              <w:jc w:val="right"/>
              <w:rPr>
                <w:rFonts w:cs="Arial"/>
                <w:snapToGrid w:val="0"/>
                <w:color w:val="000000" w:themeColor="text1"/>
                <w:sz w:val="20"/>
                <w:lang w:val="hr-HR"/>
              </w:rPr>
            </w:pPr>
            <w:r w:rsidRPr="00F959D0">
              <w:rPr>
                <w:sz w:val="20"/>
              </w:rPr>
              <w:t>7.449</w:t>
            </w:r>
          </w:p>
        </w:tc>
      </w:tr>
      <w:tr w:rsidR="004A7D5D" w:rsidRPr="00F43653" w14:paraId="2F8D4318" w14:textId="77777777" w:rsidTr="00B753E9">
        <w:trPr>
          <w:trHeight w:val="253"/>
        </w:trPr>
        <w:tc>
          <w:tcPr>
            <w:tcW w:w="2887" w:type="pct"/>
            <w:vAlign w:val="bottom"/>
          </w:tcPr>
          <w:p w14:paraId="04415B45" w14:textId="79F8BED5" w:rsidR="004A7D5D" w:rsidRPr="00F43653" w:rsidRDefault="004A7D5D" w:rsidP="004A7D5D">
            <w:pPr>
              <w:pStyle w:val="TT"/>
              <w:rPr>
                <w:rFonts w:cs="Arial"/>
                <w:color w:val="000000" w:themeColor="text1"/>
                <w:sz w:val="20"/>
                <w:lang w:val="hr-HR"/>
              </w:rPr>
            </w:pPr>
            <w:bookmarkStart w:id="162" w:name="_Toc67327092"/>
            <w:r w:rsidRPr="00F43653">
              <w:rPr>
                <w:rFonts w:cs="Arial"/>
                <w:color w:val="000000" w:themeColor="text1"/>
                <w:sz w:val="20"/>
                <w:lang w:val="hr-HR"/>
              </w:rPr>
              <w:t>Nekretnine, postrojenja i oprema i nematerijalna imovina</w:t>
            </w:r>
            <w:bookmarkEnd w:id="162"/>
          </w:p>
        </w:tc>
        <w:tc>
          <w:tcPr>
            <w:tcW w:w="558" w:type="pct"/>
            <w:vAlign w:val="bottom"/>
          </w:tcPr>
          <w:p w14:paraId="5A57138C" w14:textId="77777777" w:rsidR="004A7D5D" w:rsidRPr="00CC7FB0" w:rsidRDefault="004A7D5D" w:rsidP="004A7D5D">
            <w:pPr>
              <w:pStyle w:val="TT"/>
              <w:jc w:val="center"/>
              <w:rPr>
                <w:rFonts w:cs="Arial"/>
                <w:color w:val="000000" w:themeColor="text1"/>
                <w:sz w:val="20"/>
                <w:lang w:val="hr-HR"/>
              </w:rPr>
            </w:pPr>
          </w:p>
        </w:tc>
        <w:tc>
          <w:tcPr>
            <w:tcW w:w="739" w:type="pct"/>
            <w:tcBorders>
              <w:top w:val="nil"/>
              <w:left w:val="nil"/>
              <w:bottom w:val="nil"/>
              <w:right w:val="nil"/>
            </w:tcBorders>
            <w:shd w:val="clear" w:color="auto" w:fill="auto"/>
            <w:vAlign w:val="bottom"/>
          </w:tcPr>
          <w:p w14:paraId="5995C583" w14:textId="2A4AB190" w:rsidR="004A7D5D" w:rsidRPr="00B753E9" w:rsidRDefault="004A7D5D" w:rsidP="004A7D5D">
            <w:pPr>
              <w:pStyle w:val="TT"/>
              <w:jc w:val="right"/>
              <w:rPr>
                <w:rFonts w:cs="Arial"/>
                <w:sz w:val="20"/>
              </w:rPr>
            </w:pPr>
            <w:r w:rsidRPr="00B753E9">
              <w:rPr>
                <w:sz w:val="20"/>
              </w:rPr>
              <w:t>5.007</w:t>
            </w:r>
          </w:p>
        </w:tc>
        <w:tc>
          <w:tcPr>
            <w:tcW w:w="815" w:type="pct"/>
            <w:tcBorders>
              <w:top w:val="nil"/>
              <w:left w:val="nil"/>
              <w:bottom w:val="nil"/>
              <w:right w:val="nil"/>
            </w:tcBorders>
            <w:shd w:val="clear" w:color="auto" w:fill="auto"/>
            <w:vAlign w:val="bottom"/>
          </w:tcPr>
          <w:p w14:paraId="61C722C1" w14:textId="6267F973" w:rsidR="004A7D5D" w:rsidRPr="00F43653" w:rsidRDefault="004A7D5D" w:rsidP="004A7D5D">
            <w:pPr>
              <w:pStyle w:val="TT"/>
              <w:jc w:val="right"/>
              <w:rPr>
                <w:rFonts w:cs="Arial"/>
                <w:color w:val="000000" w:themeColor="text1"/>
                <w:sz w:val="20"/>
                <w:lang w:val="hr-HR"/>
              </w:rPr>
            </w:pPr>
            <w:r w:rsidRPr="00F959D0">
              <w:rPr>
                <w:sz w:val="20"/>
              </w:rPr>
              <w:t>4.723</w:t>
            </w:r>
          </w:p>
        </w:tc>
      </w:tr>
      <w:tr w:rsidR="004A7D5D" w:rsidRPr="00F43653" w14:paraId="55AD2CE3" w14:textId="77777777" w:rsidTr="00B753E9">
        <w:trPr>
          <w:trHeight w:val="285"/>
        </w:trPr>
        <w:tc>
          <w:tcPr>
            <w:tcW w:w="2887" w:type="pct"/>
            <w:vAlign w:val="bottom"/>
          </w:tcPr>
          <w:p w14:paraId="5953C8A8" w14:textId="2D6650C2" w:rsidR="004A7D5D" w:rsidRPr="00F43653" w:rsidRDefault="004A7D5D" w:rsidP="004A7D5D">
            <w:pPr>
              <w:pStyle w:val="TT"/>
              <w:rPr>
                <w:rFonts w:cs="Arial"/>
                <w:color w:val="000000" w:themeColor="text1"/>
                <w:sz w:val="20"/>
                <w:lang w:val="hr-HR"/>
              </w:rPr>
            </w:pPr>
            <w:bookmarkStart w:id="163" w:name="_Toc67327096"/>
            <w:r w:rsidRPr="00F43653">
              <w:rPr>
                <w:rFonts w:cs="Arial"/>
                <w:color w:val="000000" w:themeColor="text1"/>
                <w:sz w:val="20"/>
                <w:lang w:val="hr-HR"/>
              </w:rPr>
              <w:t>Preuzeta imovina</w:t>
            </w:r>
            <w:bookmarkEnd w:id="163"/>
          </w:p>
        </w:tc>
        <w:tc>
          <w:tcPr>
            <w:tcW w:w="558" w:type="pct"/>
            <w:vAlign w:val="bottom"/>
          </w:tcPr>
          <w:p w14:paraId="7E45C62B" w14:textId="77777777" w:rsidR="004A7D5D" w:rsidRPr="00CC7FB0" w:rsidRDefault="004A7D5D" w:rsidP="004A7D5D">
            <w:pPr>
              <w:pStyle w:val="TT"/>
              <w:jc w:val="center"/>
              <w:rPr>
                <w:rFonts w:cs="Arial"/>
                <w:color w:val="000000" w:themeColor="text1"/>
                <w:sz w:val="20"/>
                <w:lang w:val="hr-HR"/>
              </w:rPr>
            </w:pPr>
            <w:r w:rsidRPr="00CC7FB0">
              <w:rPr>
                <w:rFonts w:cs="Arial"/>
                <w:color w:val="000000" w:themeColor="text1"/>
                <w:sz w:val="20"/>
                <w:lang w:val="hr-HR"/>
              </w:rPr>
              <w:t>15</w:t>
            </w:r>
          </w:p>
        </w:tc>
        <w:tc>
          <w:tcPr>
            <w:tcW w:w="739" w:type="pct"/>
            <w:tcBorders>
              <w:top w:val="nil"/>
              <w:left w:val="nil"/>
              <w:bottom w:val="nil"/>
              <w:right w:val="nil"/>
            </w:tcBorders>
            <w:shd w:val="clear" w:color="auto" w:fill="auto"/>
            <w:vAlign w:val="bottom"/>
          </w:tcPr>
          <w:p w14:paraId="55D06A76" w14:textId="0E8ABBE7" w:rsidR="004A7D5D" w:rsidRPr="00B753E9" w:rsidRDefault="004A7D5D" w:rsidP="004A7D5D">
            <w:pPr>
              <w:pStyle w:val="TT"/>
              <w:jc w:val="right"/>
              <w:rPr>
                <w:rFonts w:cs="Arial"/>
                <w:sz w:val="20"/>
              </w:rPr>
            </w:pPr>
            <w:r w:rsidRPr="00B753E9">
              <w:rPr>
                <w:sz w:val="20"/>
              </w:rPr>
              <w:t>1.952</w:t>
            </w:r>
          </w:p>
        </w:tc>
        <w:tc>
          <w:tcPr>
            <w:tcW w:w="815" w:type="pct"/>
            <w:tcBorders>
              <w:top w:val="nil"/>
              <w:left w:val="nil"/>
              <w:bottom w:val="nil"/>
              <w:right w:val="nil"/>
            </w:tcBorders>
            <w:shd w:val="clear" w:color="auto" w:fill="auto"/>
            <w:vAlign w:val="bottom"/>
          </w:tcPr>
          <w:p w14:paraId="37912109" w14:textId="49D9A298" w:rsidR="004A7D5D" w:rsidRPr="00F43653" w:rsidRDefault="004A7D5D" w:rsidP="004A7D5D">
            <w:pPr>
              <w:pStyle w:val="TT"/>
              <w:jc w:val="right"/>
              <w:rPr>
                <w:rFonts w:cs="Arial"/>
                <w:color w:val="000000" w:themeColor="text1"/>
                <w:sz w:val="20"/>
                <w:lang w:val="hr-HR"/>
              </w:rPr>
            </w:pPr>
            <w:r w:rsidRPr="00F959D0">
              <w:rPr>
                <w:sz w:val="20"/>
              </w:rPr>
              <w:t>2.291</w:t>
            </w:r>
          </w:p>
        </w:tc>
      </w:tr>
      <w:tr w:rsidR="004A7D5D" w:rsidRPr="00F43653" w14:paraId="606DA5BB" w14:textId="77777777" w:rsidTr="00B753E9">
        <w:trPr>
          <w:trHeight w:val="285"/>
        </w:trPr>
        <w:tc>
          <w:tcPr>
            <w:tcW w:w="2887" w:type="pct"/>
            <w:vAlign w:val="bottom"/>
          </w:tcPr>
          <w:p w14:paraId="6F9FD967" w14:textId="2660DDAE" w:rsidR="004A7D5D" w:rsidRPr="00F43653" w:rsidRDefault="004A7D5D" w:rsidP="004A7D5D">
            <w:pPr>
              <w:pStyle w:val="TT"/>
              <w:rPr>
                <w:rFonts w:cs="Arial"/>
                <w:color w:val="000000" w:themeColor="text1"/>
                <w:sz w:val="20"/>
                <w:lang w:val="hr-HR"/>
              </w:rPr>
            </w:pPr>
            <w:bookmarkStart w:id="164" w:name="_Toc67327100"/>
            <w:r w:rsidRPr="00F43653">
              <w:rPr>
                <w:rFonts w:cs="Arial"/>
                <w:color w:val="000000" w:themeColor="text1"/>
                <w:sz w:val="20"/>
                <w:lang w:val="hr-HR"/>
              </w:rPr>
              <w:t>Ostala imovina</w:t>
            </w:r>
            <w:bookmarkEnd w:id="164"/>
          </w:p>
        </w:tc>
        <w:tc>
          <w:tcPr>
            <w:tcW w:w="558" w:type="pct"/>
            <w:vAlign w:val="bottom"/>
          </w:tcPr>
          <w:p w14:paraId="6264358F" w14:textId="77777777" w:rsidR="004A7D5D" w:rsidRPr="00CC7FB0" w:rsidRDefault="004A7D5D" w:rsidP="004A7D5D">
            <w:pPr>
              <w:pStyle w:val="TT"/>
              <w:jc w:val="center"/>
              <w:rPr>
                <w:rFonts w:cs="Arial"/>
                <w:color w:val="000000" w:themeColor="text1"/>
                <w:sz w:val="20"/>
                <w:lang w:val="hr-HR"/>
              </w:rPr>
            </w:pPr>
            <w:r w:rsidRPr="00CC7FB0">
              <w:rPr>
                <w:rFonts w:cs="Arial"/>
                <w:color w:val="000000" w:themeColor="text1"/>
                <w:sz w:val="20"/>
                <w:lang w:val="hr-HR"/>
              </w:rPr>
              <w:t>16</w:t>
            </w:r>
          </w:p>
        </w:tc>
        <w:tc>
          <w:tcPr>
            <w:tcW w:w="739" w:type="pct"/>
            <w:tcBorders>
              <w:top w:val="nil"/>
              <w:left w:val="nil"/>
              <w:bottom w:val="nil"/>
              <w:right w:val="nil"/>
            </w:tcBorders>
            <w:shd w:val="clear" w:color="auto" w:fill="auto"/>
            <w:vAlign w:val="bottom"/>
          </w:tcPr>
          <w:p w14:paraId="39679394" w14:textId="7B57578B" w:rsidR="004A7D5D" w:rsidRPr="00B753E9" w:rsidRDefault="004A7D5D" w:rsidP="004A7D5D">
            <w:pPr>
              <w:pStyle w:val="TT"/>
              <w:jc w:val="right"/>
              <w:rPr>
                <w:rFonts w:cs="Arial"/>
                <w:sz w:val="20"/>
              </w:rPr>
            </w:pPr>
            <w:r w:rsidRPr="00B753E9">
              <w:rPr>
                <w:sz w:val="20"/>
              </w:rPr>
              <w:t>7.149</w:t>
            </w:r>
          </w:p>
        </w:tc>
        <w:tc>
          <w:tcPr>
            <w:tcW w:w="815" w:type="pct"/>
            <w:tcBorders>
              <w:top w:val="nil"/>
              <w:left w:val="nil"/>
              <w:bottom w:val="nil"/>
              <w:right w:val="nil"/>
            </w:tcBorders>
            <w:shd w:val="clear" w:color="auto" w:fill="auto"/>
            <w:vAlign w:val="bottom"/>
          </w:tcPr>
          <w:p w14:paraId="55956C6E" w14:textId="3D3F77B0" w:rsidR="004A7D5D" w:rsidRPr="00F43653" w:rsidRDefault="004A7D5D" w:rsidP="004A7D5D">
            <w:pPr>
              <w:pStyle w:val="TT"/>
              <w:jc w:val="right"/>
              <w:rPr>
                <w:rFonts w:cs="Arial"/>
                <w:color w:val="000000" w:themeColor="text1"/>
                <w:sz w:val="20"/>
                <w:lang w:val="hr-HR"/>
              </w:rPr>
            </w:pPr>
            <w:r w:rsidRPr="00F959D0">
              <w:rPr>
                <w:sz w:val="20"/>
              </w:rPr>
              <w:t>11.365</w:t>
            </w:r>
          </w:p>
        </w:tc>
      </w:tr>
      <w:tr w:rsidR="00E13B6F" w:rsidRPr="00F43653" w14:paraId="7A7600E6" w14:textId="77777777" w:rsidTr="00B753E9">
        <w:trPr>
          <w:trHeight w:val="320"/>
        </w:trPr>
        <w:tc>
          <w:tcPr>
            <w:tcW w:w="2887" w:type="pct"/>
            <w:vAlign w:val="bottom"/>
          </w:tcPr>
          <w:p w14:paraId="697BD4BE" w14:textId="5D184C95" w:rsidR="00E13B6F" w:rsidRPr="00F43653" w:rsidRDefault="00E13B6F" w:rsidP="00E13B6F">
            <w:pPr>
              <w:pStyle w:val="Tot"/>
              <w:rPr>
                <w:rFonts w:cs="Arial"/>
                <w:b/>
                <w:bCs/>
                <w:color w:val="000000" w:themeColor="text1"/>
                <w:sz w:val="20"/>
                <w:lang w:val="hr-HR"/>
              </w:rPr>
            </w:pPr>
            <w:bookmarkStart w:id="165" w:name="_Toc67327104"/>
            <w:r w:rsidRPr="00F43653">
              <w:rPr>
                <w:rFonts w:cs="Arial"/>
                <w:b/>
                <w:bCs/>
                <w:color w:val="000000" w:themeColor="text1"/>
                <w:sz w:val="20"/>
                <w:lang w:val="hr-HR"/>
              </w:rPr>
              <w:t>Ukupna imovina</w:t>
            </w:r>
            <w:bookmarkEnd w:id="165"/>
          </w:p>
        </w:tc>
        <w:tc>
          <w:tcPr>
            <w:tcW w:w="558" w:type="pct"/>
            <w:vAlign w:val="bottom"/>
          </w:tcPr>
          <w:p w14:paraId="4E9D66BF" w14:textId="77777777" w:rsidR="00E13B6F" w:rsidRPr="00CC7FB0" w:rsidRDefault="00E13B6F" w:rsidP="00E13B6F">
            <w:pPr>
              <w:pStyle w:val="Tot"/>
              <w:jc w:val="center"/>
              <w:rPr>
                <w:rFonts w:cs="Arial"/>
                <w:b/>
                <w:bCs/>
                <w:color w:val="000000" w:themeColor="text1"/>
                <w:sz w:val="20"/>
                <w:lang w:val="hr-HR"/>
              </w:rPr>
            </w:pPr>
          </w:p>
        </w:tc>
        <w:tc>
          <w:tcPr>
            <w:tcW w:w="739" w:type="pct"/>
            <w:tcBorders>
              <w:top w:val="single" w:sz="4" w:space="0" w:color="auto"/>
              <w:left w:val="nil"/>
              <w:bottom w:val="single" w:sz="8" w:space="0" w:color="auto"/>
              <w:right w:val="nil"/>
            </w:tcBorders>
            <w:shd w:val="clear" w:color="auto" w:fill="auto"/>
            <w:vAlign w:val="bottom"/>
          </w:tcPr>
          <w:p w14:paraId="077B928B" w14:textId="4DA08495" w:rsidR="00E13B6F" w:rsidRPr="00B753E9" w:rsidRDefault="004A7D5D" w:rsidP="00E13B6F">
            <w:pPr>
              <w:pStyle w:val="Tot"/>
              <w:jc w:val="right"/>
              <w:rPr>
                <w:rFonts w:cs="Arial"/>
                <w:b/>
                <w:bCs/>
                <w:sz w:val="20"/>
              </w:rPr>
            </w:pPr>
            <w:r w:rsidRPr="00B753E9">
              <w:rPr>
                <w:rFonts w:cs="Arial"/>
                <w:b/>
                <w:bCs/>
                <w:sz w:val="20"/>
              </w:rPr>
              <w:t>4.017.741</w:t>
            </w:r>
          </w:p>
        </w:tc>
        <w:tc>
          <w:tcPr>
            <w:tcW w:w="815" w:type="pct"/>
            <w:tcBorders>
              <w:top w:val="single" w:sz="4" w:space="0" w:color="auto"/>
              <w:left w:val="nil"/>
              <w:bottom w:val="single" w:sz="8" w:space="0" w:color="auto"/>
              <w:right w:val="nil"/>
            </w:tcBorders>
            <w:shd w:val="clear" w:color="auto" w:fill="auto"/>
            <w:vAlign w:val="bottom"/>
          </w:tcPr>
          <w:p w14:paraId="2AB19A37" w14:textId="46DF65F1" w:rsidR="00E13B6F" w:rsidRPr="00F43653" w:rsidRDefault="00E13B6F" w:rsidP="00E13B6F">
            <w:pPr>
              <w:pStyle w:val="Tot"/>
              <w:jc w:val="right"/>
              <w:rPr>
                <w:rFonts w:cs="Arial"/>
                <w:b/>
                <w:bCs/>
                <w:color w:val="000000" w:themeColor="text1"/>
                <w:sz w:val="20"/>
                <w:lang w:val="hr-HR"/>
              </w:rPr>
            </w:pPr>
            <w:r w:rsidRPr="00C90C70">
              <w:rPr>
                <w:rFonts w:cs="Arial"/>
                <w:b/>
                <w:bCs/>
                <w:color w:val="000000" w:themeColor="text1"/>
                <w:sz w:val="20"/>
                <w:lang w:val="hr-HR"/>
              </w:rPr>
              <w:t>4.018.684</w:t>
            </w:r>
          </w:p>
        </w:tc>
      </w:tr>
      <w:tr w:rsidR="00E13B6F" w:rsidRPr="00F43653" w14:paraId="46587AC1" w14:textId="77777777" w:rsidTr="00264ADA">
        <w:trPr>
          <w:trHeight w:val="285"/>
        </w:trPr>
        <w:tc>
          <w:tcPr>
            <w:tcW w:w="2887" w:type="pct"/>
            <w:vAlign w:val="bottom"/>
          </w:tcPr>
          <w:p w14:paraId="1C0D7E5A" w14:textId="45940F8C" w:rsidR="00E13B6F" w:rsidRPr="00F43653" w:rsidRDefault="00E13B6F" w:rsidP="00E13B6F">
            <w:pPr>
              <w:pStyle w:val="TT"/>
              <w:rPr>
                <w:rFonts w:cs="Arial"/>
                <w:b/>
                <w:bCs/>
                <w:color w:val="000000" w:themeColor="text1"/>
                <w:sz w:val="20"/>
                <w:lang w:val="hr-HR"/>
              </w:rPr>
            </w:pPr>
            <w:bookmarkStart w:id="166" w:name="_Toc67327107"/>
            <w:r w:rsidRPr="00F43653">
              <w:rPr>
                <w:rFonts w:cs="Arial"/>
                <w:b/>
                <w:bCs/>
                <w:color w:val="000000" w:themeColor="text1"/>
                <w:sz w:val="20"/>
                <w:lang w:val="hr-HR"/>
              </w:rPr>
              <w:t>Obveze</w:t>
            </w:r>
            <w:bookmarkEnd w:id="166"/>
          </w:p>
        </w:tc>
        <w:tc>
          <w:tcPr>
            <w:tcW w:w="558" w:type="pct"/>
            <w:vAlign w:val="bottom"/>
          </w:tcPr>
          <w:p w14:paraId="4CB513D8" w14:textId="77777777" w:rsidR="00E13B6F" w:rsidRPr="00CC7FB0" w:rsidRDefault="00E13B6F" w:rsidP="00E13B6F">
            <w:pPr>
              <w:pStyle w:val="TT"/>
              <w:rPr>
                <w:rFonts w:cs="Arial"/>
                <w:b/>
                <w:bCs/>
                <w:color w:val="000000" w:themeColor="text1"/>
                <w:sz w:val="20"/>
                <w:lang w:val="hr-HR"/>
              </w:rPr>
            </w:pPr>
          </w:p>
        </w:tc>
        <w:tc>
          <w:tcPr>
            <w:tcW w:w="739" w:type="pct"/>
            <w:tcBorders>
              <w:top w:val="single" w:sz="12" w:space="0" w:color="auto"/>
            </w:tcBorders>
            <w:shd w:val="clear" w:color="auto" w:fill="auto"/>
            <w:vAlign w:val="bottom"/>
          </w:tcPr>
          <w:p w14:paraId="59C71471" w14:textId="77777777" w:rsidR="00E13B6F" w:rsidRPr="007478FB" w:rsidRDefault="00E13B6F" w:rsidP="00E13B6F">
            <w:pPr>
              <w:pStyle w:val="TT"/>
              <w:jc w:val="right"/>
              <w:rPr>
                <w:rFonts w:cs="Arial"/>
                <w:color w:val="000000"/>
                <w:sz w:val="20"/>
              </w:rPr>
            </w:pPr>
          </w:p>
        </w:tc>
        <w:tc>
          <w:tcPr>
            <w:tcW w:w="815" w:type="pct"/>
            <w:tcBorders>
              <w:top w:val="single" w:sz="12" w:space="0" w:color="auto"/>
            </w:tcBorders>
            <w:vAlign w:val="bottom"/>
          </w:tcPr>
          <w:p w14:paraId="45681E20" w14:textId="77777777" w:rsidR="00E13B6F" w:rsidRPr="00F43653" w:rsidRDefault="00E13B6F" w:rsidP="00E13B6F">
            <w:pPr>
              <w:pStyle w:val="TT"/>
              <w:jc w:val="right"/>
              <w:rPr>
                <w:rFonts w:cs="Arial"/>
                <w:b/>
                <w:bCs/>
                <w:color w:val="000000" w:themeColor="text1"/>
                <w:sz w:val="20"/>
                <w:lang w:val="hr-HR"/>
              </w:rPr>
            </w:pPr>
          </w:p>
        </w:tc>
      </w:tr>
      <w:tr w:rsidR="00CB2400" w:rsidRPr="00F43653" w14:paraId="748E2E09" w14:textId="77777777" w:rsidTr="001220D5">
        <w:trPr>
          <w:trHeight w:val="285"/>
        </w:trPr>
        <w:tc>
          <w:tcPr>
            <w:tcW w:w="2887" w:type="pct"/>
            <w:vAlign w:val="bottom"/>
          </w:tcPr>
          <w:p w14:paraId="4B6A22BE" w14:textId="78BD289E" w:rsidR="00CB2400" w:rsidRPr="00F43653" w:rsidRDefault="00CB2400" w:rsidP="00CB2400">
            <w:pPr>
              <w:pStyle w:val="TT"/>
              <w:rPr>
                <w:rFonts w:cs="Arial"/>
                <w:color w:val="000000" w:themeColor="text1"/>
                <w:sz w:val="20"/>
                <w:lang w:val="hr-HR"/>
              </w:rPr>
            </w:pPr>
            <w:bookmarkStart w:id="167" w:name="_Toc67327108"/>
            <w:r w:rsidRPr="00F43653">
              <w:rPr>
                <w:rFonts w:cs="Arial"/>
                <w:color w:val="000000" w:themeColor="text1"/>
                <w:sz w:val="20"/>
                <w:lang w:val="hr-HR"/>
              </w:rPr>
              <w:t>Obveze po depozitima</w:t>
            </w:r>
            <w:bookmarkEnd w:id="167"/>
          </w:p>
        </w:tc>
        <w:tc>
          <w:tcPr>
            <w:tcW w:w="558" w:type="pct"/>
            <w:vAlign w:val="bottom"/>
          </w:tcPr>
          <w:p w14:paraId="41C3AAB1" w14:textId="77777777" w:rsidR="00CB2400" w:rsidRPr="00CC7FB0" w:rsidRDefault="00CB2400" w:rsidP="00CB2400">
            <w:pPr>
              <w:pStyle w:val="TT"/>
              <w:jc w:val="center"/>
              <w:rPr>
                <w:rFonts w:cs="Arial"/>
                <w:color w:val="000000" w:themeColor="text1"/>
                <w:sz w:val="20"/>
                <w:lang w:val="hr-HR"/>
              </w:rPr>
            </w:pPr>
            <w:r w:rsidRPr="00CC7FB0">
              <w:rPr>
                <w:rFonts w:cs="Arial"/>
                <w:color w:val="000000" w:themeColor="text1"/>
                <w:sz w:val="20"/>
                <w:lang w:val="hr-HR"/>
              </w:rPr>
              <w:t>17</w:t>
            </w:r>
          </w:p>
        </w:tc>
        <w:tc>
          <w:tcPr>
            <w:tcW w:w="739" w:type="pct"/>
            <w:tcBorders>
              <w:top w:val="nil"/>
              <w:left w:val="nil"/>
              <w:bottom w:val="nil"/>
              <w:right w:val="nil"/>
            </w:tcBorders>
            <w:shd w:val="clear" w:color="auto" w:fill="auto"/>
            <w:vAlign w:val="bottom"/>
          </w:tcPr>
          <w:p w14:paraId="0A780FB6" w14:textId="1EE79379" w:rsidR="00CB2400" w:rsidRPr="001220D5" w:rsidRDefault="00CB2400" w:rsidP="00CB2400">
            <w:pPr>
              <w:pStyle w:val="TT"/>
              <w:jc w:val="right"/>
              <w:rPr>
                <w:rFonts w:cs="Arial"/>
                <w:sz w:val="20"/>
              </w:rPr>
            </w:pPr>
            <w:r w:rsidRPr="001220D5">
              <w:rPr>
                <w:sz w:val="20"/>
              </w:rPr>
              <w:t>223.067</w:t>
            </w:r>
          </w:p>
        </w:tc>
        <w:tc>
          <w:tcPr>
            <w:tcW w:w="815" w:type="pct"/>
            <w:tcBorders>
              <w:top w:val="nil"/>
              <w:left w:val="nil"/>
              <w:bottom w:val="nil"/>
              <w:right w:val="nil"/>
            </w:tcBorders>
            <w:shd w:val="clear" w:color="auto" w:fill="auto"/>
          </w:tcPr>
          <w:p w14:paraId="3AFF7091" w14:textId="72BAB151" w:rsidR="00CB2400" w:rsidRPr="00F43653" w:rsidRDefault="00CB2400" w:rsidP="00CB2400">
            <w:pPr>
              <w:pStyle w:val="TT"/>
              <w:jc w:val="right"/>
              <w:rPr>
                <w:rFonts w:cs="Arial"/>
                <w:color w:val="000000" w:themeColor="text1"/>
                <w:sz w:val="20"/>
                <w:lang w:val="hr-HR"/>
              </w:rPr>
            </w:pPr>
            <w:r w:rsidRPr="00F959D0">
              <w:rPr>
                <w:sz w:val="20"/>
              </w:rPr>
              <w:t>194.876</w:t>
            </w:r>
          </w:p>
        </w:tc>
      </w:tr>
      <w:tr w:rsidR="00CB2400" w:rsidRPr="00F43653" w14:paraId="03DC8BAF" w14:textId="77777777" w:rsidTr="001220D5">
        <w:trPr>
          <w:trHeight w:val="285"/>
        </w:trPr>
        <w:tc>
          <w:tcPr>
            <w:tcW w:w="2887" w:type="pct"/>
            <w:vAlign w:val="bottom"/>
          </w:tcPr>
          <w:p w14:paraId="0D88F46D" w14:textId="620DC0B0" w:rsidR="00CB2400" w:rsidRPr="00F43653" w:rsidRDefault="00CB2400" w:rsidP="00CB2400">
            <w:pPr>
              <w:pStyle w:val="TT"/>
              <w:rPr>
                <w:rFonts w:cs="Arial"/>
                <w:color w:val="000000" w:themeColor="text1"/>
                <w:sz w:val="20"/>
                <w:lang w:val="hr-HR"/>
              </w:rPr>
            </w:pPr>
            <w:bookmarkStart w:id="168" w:name="_Toc67327112"/>
            <w:r w:rsidRPr="00F43653">
              <w:rPr>
                <w:rFonts w:cs="Arial"/>
                <w:color w:val="000000" w:themeColor="text1"/>
                <w:sz w:val="20"/>
                <w:lang w:val="hr-HR"/>
              </w:rPr>
              <w:t>Obveze po kreditima</w:t>
            </w:r>
            <w:bookmarkEnd w:id="168"/>
          </w:p>
        </w:tc>
        <w:tc>
          <w:tcPr>
            <w:tcW w:w="558" w:type="pct"/>
            <w:vAlign w:val="bottom"/>
          </w:tcPr>
          <w:p w14:paraId="5A15B577" w14:textId="77777777" w:rsidR="00CB2400" w:rsidRPr="00CC7FB0" w:rsidRDefault="00CB2400" w:rsidP="00CB2400">
            <w:pPr>
              <w:pStyle w:val="TT"/>
              <w:jc w:val="center"/>
              <w:rPr>
                <w:rFonts w:cs="Arial"/>
                <w:color w:val="000000" w:themeColor="text1"/>
                <w:sz w:val="20"/>
                <w:lang w:val="hr-HR"/>
              </w:rPr>
            </w:pPr>
            <w:r w:rsidRPr="00CC7FB0">
              <w:rPr>
                <w:rFonts w:cs="Arial"/>
                <w:color w:val="000000" w:themeColor="text1"/>
                <w:sz w:val="20"/>
                <w:lang w:val="hr-HR"/>
              </w:rPr>
              <w:t>18</w:t>
            </w:r>
          </w:p>
        </w:tc>
        <w:tc>
          <w:tcPr>
            <w:tcW w:w="739" w:type="pct"/>
            <w:tcBorders>
              <w:top w:val="nil"/>
              <w:left w:val="nil"/>
              <w:bottom w:val="nil"/>
              <w:right w:val="nil"/>
            </w:tcBorders>
            <w:shd w:val="clear" w:color="auto" w:fill="auto"/>
            <w:vAlign w:val="bottom"/>
          </w:tcPr>
          <w:p w14:paraId="0DDF7518" w14:textId="351141E7" w:rsidR="00CB2400" w:rsidRPr="001220D5" w:rsidRDefault="00CB2400" w:rsidP="00CB2400">
            <w:pPr>
              <w:pStyle w:val="TT"/>
              <w:jc w:val="right"/>
              <w:rPr>
                <w:rFonts w:cs="Arial"/>
                <w:sz w:val="20"/>
              </w:rPr>
            </w:pPr>
            <w:r w:rsidRPr="001220D5">
              <w:rPr>
                <w:sz w:val="20"/>
              </w:rPr>
              <w:t>2.195.890</w:t>
            </w:r>
          </w:p>
        </w:tc>
        <w:tc>
          <w:tcPr>
            <w:tcW w:w="815" w:type="pct"/>
            <w:tcBorders>
              <w:top w:val="nil"/>
              <w:left w:val="nil"/>
              <w:bottom w:val="nil"/>
              <w:right w:val="nil"/>
            </w:tcBorders>
            <w:shd w:val="clear" w:color="auto" w:fill="auto"/>
          </w:tcPr>
          <w:p w14:paraId="509BCB8C" w14:textId="7F31592C" w:rsidR="00CB2400" w:rsidRPr="00F43653" w:rsidRDefault="00CB2400" w:rsidP="00CB2400">
            <w:pPr>
              <w:pStyle w:val="TT"/>
              <w:jc w:val="right"/>
              <w:rPr>
                <w:rFonts w:cs="Arial"/>
                <w:color w:val="000000" w:themeColor="text1"/>
                <w:sz w:val="20"/>
                <w:lang w:val="hr-HR"/>
              </w:rPr>
            </w:pPr>
            <w:r w:rsidRPr="00F959D0">
              <w:rPr>
                <w:sz w:val="20"/>
              </w:rPr>
              <w:t>2.251.176</w:t>
            </w:r>
          </w:p>
        </w:tc>
      </w:tr>
      <w:tr w:rsidR="00CB2400" w:rsidRPr="00F43653" w14:paraId="00F42EBC" w14:textId="77777777" w:rsidTr="001220D5">
        <w:trPr>
          <w:trHeight w:val="285"/>
        </w:trPr>
        <w:tc>
          <w:tcPr>
            <w:tcW w:w="2887" w:type="pct"/>
            <w:vAlign w:val="bottom"/>
          </w:tcPr>
          <w:p w14:paraId="3EE7798A" w14:textId="1C112581" w:rsidR="00CB2400" w:rsidRPr="00F43653" w:rsidRDefault="00CB2400" w:rsidP="00CB2400">
            <w:pPr>
              <w:pStyle w:val="TT"/>
              <w:rPr>
                <w:rFonts w:cs="Arial"/>
                <w:color w:val="000000" w:themeColor="text1"/>
                <w:sz w:val="20"/>
                <w:lang w:val="hr-HR"/>
              </w:rPr>
            </w:pPr>
            <w:bookmarkStart w:id="169" w:name="_Toc67327120"/>
            <w:r w:rsidRPr="00F43653">
              <w:rPr>
                <w:rFonts w:cs="Arial"/>
                <w:color w:val="000000" w:themeColor="text1"/>
                <w:sz w:val="20"/>
                <w:lang w:val="hr-HR"/>
              </w:rPr>
              <w:t>Rezerviranja za garancije, preuzete i ostale obveze</w:t>
            </w:r>
            <w:bookmarkEnd w:id="169"/>
          </w:p>
        </w:tc>
        <w:tc>
          <w:tcPr>
            <w:tcW w:w="558" w:type="pct"/>
            <w:vAlign w:val="bottom"/>
          </w:tcPr>
          <w:p w14:paraId="512E691D" w14:textId="77777777" w:rsidR="00CB2400" w:rsidRPr="00CC7FB0" w:rsidRDefault="00CB2400" w:rsidP="00CB2400">
            <w:pPr>
              <w:pStyle w:val="TT"/>
              <w:jc w:val="center"/>
              <w:rPr>
                <w:rFonts w:cs="Arial"/>
                <w:color w:val="000000" w:themeColor="text1"/>
                <w:sz w:val="20"/>
                <w:lang w:val="hr-HR"/>
              </w:rPr>
            </w:pPr>
            <w:r w:rsidRPr="00CC7FB0">
              <w:rPr>
                <w:rFonts w:cs="Arial"/>
                <w:color w:val="000000" w:themeColor="text1"/>
                <w:sz w:val="20"/>
                <w:lang w:val="hr-HR"/>
              </w:rPr>
              <w:t>19</w:t>
            </w:r>
          </w:p>
        </w:tc>
        <w:tc>
          <w:tcPr>
            <w:tcW w:w="739" w:type="pct"/>
            <w:tcBorders>
              <w:top w:val="nil"/>
              <w:left w:val="nil"/>
              <w:bottom w:val="nil"/>
              <w:right w:val="nil"/>
            </w:tcBorders>
            <w:shd w:val="clear" w:color="auto" w:fill="auto"/>
            <w:vAlign w:val="bottom"/>
          </w:tcPr>
          <w:p w14:paraId="7C837066" w14:textId="721A168D" w:rsidR="00CB2400" w:rsidRPr="001220D5" w:rsidDel="007003BC" w:rsidRDefault="00CB2400" w:rsidP="00CB2400">
            <w:pPr>
              <w:pStyle w:val="TT"/>
              <w:jc w:val="right"/>
              <w:rPr>
                <w:rFonts w:cs="Arial"/>
                <w:sz w:val="20"/>
              </w:rPr>
            </w:pPr>
            <w:r w:rsidRPr="001220D5">
              <w:rPr>
                <w:sz w:val="20"/>
              </w:rPr>
              <w:t>19.395</w:t>
            </w:r>
          </w:p>
        </w:tc>
        <w:tc>
          <w:tcPr>
            <w:tcW w:w="815" w:type="pct"/>
            <w:tcBorders>
              <w:top w:val="nil"/>
              <w:left w:val="nil"/>
              <w:bottom w:val="nil"/>
              <w:right w:val="nil"/>
            </w:tcBorders>
            <w:shd w:val="clear" w:color="auto" w:fill="auto"/>
          </w:tcPr>
          <w:p w14:paraId="597BE45A" w14:textId="2336EACB" w:rsidR="00CB2400" w:rsidRPr="00F43653" w:rsidRDefault="00CB2400" w:rsidP="00CB2400">
            <w:pPr>
              <w:pStyle w:val="TT"/>
              <w:jc w:val="right"/>
              <w:rPr>
                <w:rFonts w:cs="Arial"/>
                <w:color w:val="000000" w:themeColor="text1"/>
                <w:sz w:val="20"/>
                <w:lang w:val="hr-HR"/>
              </w:rPr>
            </w:pPr>
            <w:r w:rsidRPr="00F959D0">
              <w:rPr>
                <w:sz w:val="20"/>
              </w:rPr>
              <w:t>24.380</w:t>
            </w:r>
          </w:p>
        </w:tc>
      </w:tr>
      <w:tr w:rsidR="00CB2400" w:rsidRPr="00F43653" w14:paraId="3657A2E1" w14:textId="77777777" w:rsidTr="001220D5">
        <w:trPr>
          <w:trHeight w:val="285"/>
        </w:trPr>
        <w:tc>
          <w:tcPr>
            <w:tcW w:w="2887" w:type="pct"/>
            <w:vAlign w:val="bottom"/>
          </w:tcPr>
          <w:p w14:paraId="32B19433" w14:textId="6D707458" w:rsidR="00CB2400" w:rsidRPr="00F43653" w:rsidRDefault="00CB2400" w:rsidP="00CB2400">
            <w:pPr>
              <w:pStyle w:val="TT"/>
              <w:rPr>
                <w:rFonts w:cs="Arial"/>
                <w:color w:val="000000" w:themeColor="text1"/>
                <w:sz w:val="20"/>
                <w:lang w:val="hr-HR"/>
              </w:rPr>
            </w:pPr>
            <w:bookmarkStart w:id="170" w:name="_Toc67327124"/>
            <w:r w:rsidRPr="00F43653">
              <w:rPr>
                <w:rFonts w:cs="Arial"/>
                <w:color w:val="000000" w:themeColor="text1"/>
                <w:sz w:val="20"/>
                <w:lang w:val="hr-HR"/>
              </w:rPr>
              <w:t>Ostale obveze</w:t>
            </w:r>
            <w:bookmarkEnd w:id="170"/>
          </w:p>
        </w:tc>
        <w:tc>
          <w:tcPr>
            <w:tcW w:w="558" w:type="pct"/>
            <w:vAlign w:val="bottom"/>
          </w:tcPr>
          <w:p w14:paraId="618F4151" w14:textId="77777777" w:rsidR="00CB2400" w:rsidRPr="00CC7FB0" w:rsidRDefault="00CB2400" w:rsidP="00CB2400">
            <w:pPr>
              <w:pStyle w:val="TT"/>
              <w:jc w:val="center"/>
              <w:rPr>
                <w:rFonts w:cs="Arial"/>
                <w:color w:val="000000" w:themeColor="text1"/>
                <w:sz w:val="20"/>
                <w:lang w:val="hr-HR"/>
              </w:rPr>
            </w:pPr>
            <w:r w:rsidRPr="00CC7FB0">
              <w:rPr>
                <w:rFonts w:cs="Arial"/>
                <w:color w:val="000000" w:themeColor="text1"/>
                <w:sz w:val="20"/>
                <w:lang w:val="hr-HR"/>
              </w:rPr>
              <w:t>20</w:t>
            </w:r>
          </w:p>
        </w:tc>
        <w:tc>
          <w:tcPr>
            <w:tcW w:w="739" w:type="pct"/>
            <w:tcBorders>
              <w:top w:val="nil"/>
              <w:left w:val="nil"/>
              <w:bottom w:val="nil"/>
              <w:right w:val="nil"/>
            </w:tcBorders>
            <w:shd w:val="clear" w:color="auto" w:fill="auto"/>
            <w:vAlign w:val="bottom"/>
          </w:tcPr>
          <w:p w14:paraId="4FC9AF22" w14:textId="6DE0250B" w:rsidR="00CB2400" w:rsidRPr="001220D5" w:rsidRDefault="00CB2400" w:rsidP="00CB2400">
            <w:pPr>
              <w:pStyle w:val="TT"/>
              <w:jc w:val="right"/>
              <w:rPr>
                <w:rFonts w:cs="Arial"/>
                <w:sz w:val="20"/>
              </w:rPr>
            </w:pPr>
            <w:r w:rsidRPr="001220D5">
              <w:rPr>
                <w:sz w:val="20"/>
              </w:rPr>
              <w:t>75.595</w:t>
            </w:r>
          </w:p>
        </w:tc>
        <w:tc>
          <w:tcPr>
            <w:tcW w:w="815" w:type="pct"/>
            <w:tcBorders>
              <w:top w:val="nil"/>
              <w:left w:val="nil"/>
              <w:bottom w:val="nil"/>
              <w:right w:val="nil"/>
            </w:tcBorders>
            <w:shd w:val="clear" w:color="auto" w:fill="auto"/>
          </w:tcPr>
          <w:p w14:paraId="07508053" w14:textId="0CDA2053" w:rsidR="00CB2400" w:rsidRPr="00F43653" w:rsidRDefault="00CB2400" w:rsidP="00CB2400">
            <w:pPr>
              <w:pStyle w:val="TT"/>
              <w:jc w:val="right"/>
              <w:rPr>
                <w:rFonts w:cs="Arial"/>
                <w:color w:val="000000" w:themeColor="text1"/>
                <w:sz w:val="20"/>
                <w:lang w:val="hr-HR"/>
              </w:rPr>
            </w:pPr>
            <w:r w:rsidRPr="00F959D0">
              <w:rPr>
                <w:sz w:val="20"/>
              </w:rPr>
              <w:t>90.729</w:t>
            </w:r>
          </w:p>
        </w:tc>
      </w:tr>
      <w:tr w:rsidR="00737D16" w:rsidRPr="00F43653" w14:paraId="4D180FFE" w14:textId="77777777" w:rsidTr="001220D5">
        <w:trPr>
          <w:trHeight w:val="332"/>
        </w:trPr>
        <w:tc>
          <w:tcPr>
            <w:tcW w:w="2887" w:type="pct"/>
            <w:vAlign w:val="bottom"/>
          </w:tcPr>
          <w:p w14:paraId="5B106A74" w14:textId="15A9D2CC" w:rsidR="00737D16" w:rsidRPr="00F43653" w:rsidRDefault="00737D16" w:rsidP="00737D16">
            <w:pPr>
              <w:pStyle w:val="Tot"/>
              <w:rPr>
                <w:rFonts w:cs="Arial"/>
                <w:b/>
                <w:bCs/>
                <w:color w:val="000000" w:themeColor="text1"/>
                <w:sz w:val="20"/>
                <w:lang w:val="hr-HR"/>
              </w:rPr>
            </w:pPr>
            <w:bookmarkStart w:id="171" w:name="_Toc67327128"/>
            <w:r w:rsidRPr="00F43653">
              <w:rPr>
                <w:rFonts w:cs="Arial"/>
                <w:b/>
                <w:bCs/>
                <w:color w:val="000000" w:themeColor="text1"/>
                <w:sz w:val="20"/>
                <w:lang w:val="hr-HR"/>
              </w:rPr>
              <w:t>Ukupne obveze</w:t>
            </w:r>
            <w:bookmarkEnd w:id="171"/>
          </w:p>
        </w:tc>
        <w:tc>
          <w:tcPr>
            <w:tcW w:w="558" w:type="pct"/>
            <w:vAlign w:val="bottom"/>
          </w:tcPr>
          <w:p w14:paraId="1FD0C061" w14:textId="77777777" w:rsidR="00737D16" w:rsidRPr="00FB136F" w:rsidRDefault="00737D16" w:rsidP="00737D16">
            <w:pPr>
              <w:pStyle w:val="Tot"/>
              <w:rPr>
                <w:rFonts w:cs="Arial"/>
                <w:b/>
                <w:bCs/>
                <w:color w:val="000000" w:themeColor="text1"/>
                <w:sz w:val="20"/>
                <w:highlight w:val="yellow"/>
                <w:lang w:val="hr-HR"/>
              </w:rPr>
            </w:pPr>
          </w:p>
        </w:tc>
        <w:tc>
          <w:tcPr>
            <w:tcW w:w="739" w:type="pct"/>
            <w:tcBorders>
              <w:top w:val="single" w:sz="4" w:space="0" w:color="auto"/>
              <w:left w:val="nil"/>
              <w:bottom w:val="single" w:sz="8" w:space="0" w:color="auto"/>
              <w:right w:val="nil"/>
            </w:tcBorders>
            <w:shd w:val="clear" w:color="auto" w:fill="auto"/>
            <w:vAlign w:val="bottom"/>
          </w:tcPr>
          <w:p w14:paraId="267113B8" w14:textId="7A8B2A35" w:rsidR="00737D16" w:rsidRPr="001220D5" w:rsidRDefault="00CB2400" w:rsidP="00737D16">
            <w:pPr>
              <w:pStyle w:val="Tot"/>
              <w:jc w:val="right"/>
              <w:rPr>
                <w:rFonts w:cs="Arial"/>
                <w:b/>
                <w:bCs/>
                <w:sz w:val="20"/>
              </w:rPr>
            </w:pPr>
            <w:r w:rsidRPr="001220D5">
              <w:rPr>
                <w:rFonts w:cs="Arial"/>
                <w:b/>
                <w:bCs/>
                <w:sz w:val="20"/>
              </w:rPr>
              <w:t>2.513.947</w:t>
            </w:r>
          </w:p>
        </w:tc>
        <w:tc>
          <w:tcPr>
            <w:tcW w:w="815" w:type="pct"/>
            <w:tcBorders>
              <w:top w:val="single" w:sz="4" w:space="0" w:color="auto"/>
              <w:left w:val="nil"/>
              <w:bottom w:val="single" w:sz="8" w:space="0" w:color="auto"/>
              <w:right w:val="nil"/>
            </w:tcBorders>
            <w:shd w:val="clear" w:color="auto" w:fill="auto"/>
            <w:vAlign w:val="bottom"/>
          </w:tcPr>
          <w:p w14:paraId="5B0E4273" w14:textId="2716DAEF" w:rsidR="00737D16" w:rsidRPr="00F43653" w:rsidRDefault="00737D16" w:rsidP="00737D16">
            <w:pPr>
              <w:pStyle w:val="Tot"/>
              <w:jc w:val="right"/>
              <w:rPr>
                <w:rFonts w:cs="Arial"/>
                <w:b/>
                <w:bCs/>
                <w:color w:val="000000" w:themeColor="text1"/>
                <w:sz w:val="20"/>
                <w:lang w:val="hr-HR"/>
              </w:rPr>
            </w:pPr>
            <w:r w:rsidRPr="00C90C70">
              <w:rPr>
                <w:rFonts w:cs="Arial"/>
                <w:b/>
                <w:bCs/>
                <w:color w:val="000000" w:themeColor="text1"/>
                <w:sz w:val="20"/>
                <w:lang w:val="hr-HR"/>
              </w:rPr>
              <w:t>2.561.161</w:t>
            </w:r>
          </w:p>
        </w:tc>
      </w:tr>
      <w:tr w:rsidR="00737D16" w:rsidRPr="00F43653" w14:paraId="0D7DC0D0" w14:textId="77777777" w:rsidTr="001220D5">
        <w:trPr>
          <w:trHeight w:val="285"/>
        </w:trPr>
        <w:tc>
          <w:tcPr>
            <w:tcW w:w="2887" w:type="pct"/>
            <w:vAlign w:val="bottom"/>
          </w:tcPr>
          <w:p w14:paraId="2F2A516D" w14:textId="77DA543C" w:rsidR="00737D16" w:rsidRPr="00F43653" w:rsidRDefault="00737D16" w:rsidP="00737D16">
            <w:pPr>
              <w:pStyle w:val="TT"/>
              <w:rPr>
                <w:rFonts w:cs="Arial"/>
                <w:b/>
                <w:bCs/>
                <w:color w:val="000000" w:themeColor="text1"/>
                <w:sz w:val="20"/>
                <w:lang w:val="hr-HR"/>
              </w:rPr>
            </w:pPr>
            <w:bookmarkStart w:id="172" w:name="_Toc67327131"/>
            <w:r w:rsidRPr="00F43653">
              <w:rPr>
                <w:rFonts w:cs="Arial"/>
                <w:b/>
                <w:bCs/>
                <w:color w:val="000000" w:themeColor="text1"/>
                <w:sz w:val="20"/>
                <w:lang w:val="hr-HR"/>
              </w:rPr>
              <w:t>Kapital i rezerve</w:t>
            </w:r>
            <w:bookmarkEnd w:id="172"/>
          </w:p>
        </w:tc>
        <w:tc>
          <w:tcPr>
            <w:tcW w:w="558" w:type="pct"/>
            <w:vAlign w:val="bottom"/>
          </w:tcPr>
          <w:p w14:paraId="05828763" w14:textId="77777777" w:rsidR="00737D16" w:rsidRPr="00FB136F" w:rsidRDefault="00737D16" w:rsidP="00737D16">
            <w:pPr>
              <w:pStyle w:val="TT"/>
              <w:rPr>
                <w:rFonts w:cs="Arial"/>
                <w:b/>
                <w:bCs/>
                <w:color w:val="000000" w:themeColor="text1"/>
                <w:sz w:val="20"/>
                <w:highlight w:val="yellow"/>
                <w:lang w:val="hr-HR"/>
              </w:rPr>
            </w:pPr>
          </w:p>
        </w:tc>
        <w:tc>
          <w:tcPr>
            <w:tcW w:w="739" w:type="pct"/>
            <w:tcBorders>
              <w:top w:val="single" w:sz="12" w:space="0" w:color="auto"/>
            </w:tcBorders>
            <w:shd w:val="clear" w:color="auto" w:fill="auto"/>
            <w:vAlign w:val="bottom"/>
          </w:tcPr>
          <w:p w14:paraId="7B908AB2" w14:textId="77777777" w:rsidR="00737D16" w:rsidRPr="001220D5" w:rsidRDefault="00737D16" w:rsidP="00737D16">
            <w:pPr>
              <w:pStyle w:val="TT"/>
              <w:jc w:val="right"/>
              <w:rPr>
                <w:rFonts w:cs="Arial"/>
                <w:color w:val="000000"/>
                <w:sz w:val="20"/>
              </w:rPr>
            </w:pPr>
          </w:p>
        </w:tc>
        <w:tc>
          <w:tcPr>
            <w:tcW w:w="815" w:type="pct"/>
            <w:tcBorders>
              <w:top w:val="single" w:sz="12" w:space="0" w:color="auto"/>
            </w:tcBorders>
            <w:vAlign w:val="bottom"/>
          </w:tcPr>
          <w:p w14:paraId="7325D588" w14:textId="77777777" w:rsidR="00737D16" w:rsidRPr="00F43653" w:rsidRDefault="00737D16" w:rsidP="00737D16">
            <w:pPr>
              <w:pStyle w:val="TT"/>
              <w:jc w:val="right"/>
              <w:rPr>
                <w:rFonts w:cs="Arial"/>
                <w:b/>
                <w:bCs/>
                <w:color w:val="000000" w:themeColor="text1"/>
                <w:sz w:val="20"/>
                <w:lang w:val="hr-HR"/>
              </w:rPr>
            </w:pPr>
          </w:p>
        </w:tc>
      </w:tr>
      <w:tr w:rsidR="001220D5" w:rsidRPr="00F43653" w14:paraId="54C6410A" w14:textId="77777777" w:rsidTr="001220D5">
        <w:trPr>
          <w:trHeight w:val="285"/>
        </w:trPr>
        <w:tc>
          <w:tcPr>
            <w:tcW w:w="2887" w:type="pct"/>
            <w:vAlign w:val="bottom"/>
          </w:tcPr>
          <w:p w14:paraId="2C5AAF86" w14:textId="3E122591" w:rsidR="001220D5" w:rsidRPr="00F43653" w:rsidRDefault="001220D5" w:rsidP="001220D5">
            <w:pPr>
              <w:pStyle w:val="TT"/>
              <w:rPr>
                <w:rFonts w:cs="Arial"/>
                <w:color w:val="000000" w:themeColor="text1"/>
                <w:sz w:val="20"/>
                <w:lang w:val="hr-HR"/>
              </w:rPr>
            </w:pPr>
            <w:bookmarkStart w:id="173" w:name="_Toc67327132"/>
            <w:r w:rsidRPr="00F43653">
              <w:rPr>
                <w:rFonts w:cs="Arial"/>
                <w:color w:val="000000" w:themeColor="text1"/>
                <w:sz w:val="20"/>
                <w:lang w:val="hr-HR"/>
              </w:rPr>
              <w:t>Osnivački kapital</w:t>
            </w:r>
            <w:bookmarkEnd w:id="173"/>
          </w:p>
        </w:tc>
        <w:tc>
          <w:tcPr>
            <w:tcW w:w="558" w:type="pct"/>
            <w:vAlign w:val="bottom"/>
          </w:tcPr>
          <w:p w14:paraId="2E0C77DB" w14:textId="58A0ADF9" w:rsidR="001220D5" w:rsidRPr="00FB136F" w:rsidRDefault="001220D5" w:rsidP="001220D5">
            <w:pPr>
              <w:pStyle w:val="TT"/>
              <w:jc w:val="center"/>
              <w:rPr>
                <w:rFonts w:cs="Arial"/>
                <w:color w:val="000000" w:themeColor="text1"/>
                <w:sz w:val="20"/>
                <w:highlight w:val="yellow"/>
                <w:lang w:val="hr-HR"/>
              </w:rPr>
            </w:pPr>
          </w:p>
        </w:tc>
        <w:tc>
          <w:tcPr>
            <w:tcW w:w="739" w:type="pct"/>
            <w:tcBorders>
              <w:top w:val="nil"/>
              <w:left w:val="nil"/>
              <w:bottom w:val="nil"/>
              <w:right w:val="nil"/>
            </w:tcBorders>
            <w:shd w:val="clear" w:color="auto" w:fill="auto"/>
            <w:vAlign w:val="bottom"/>
          </w:tcPr>
          <w:p w14:paraId="2F5ECDAC" w14:textId="1E9583A2" w:rsidR="001220D5" w:rsidRPr="001220D5" w:rsidRDefault="001220D5" w:rsidP="001220D5">
            <w:pPr>
              <w:pStyle w:val="TT"/>
              <w:jc w:val="right"/>
              <w:rPr>
                <w:rFonts w:cs="Arial"/>
                <w:sz w:val="20"/>
              </w:rPr>
            </w:pPr>
            <w:r w:rsidRPr="001220D5">
              <w:rPr>
                <w:sz w:val="20"/>
              </w:rPr>
              <w:t>958.873</w:t>
            </w:r>
          </w:p>
        </w:tc>
        <w:tc>
          <w:tcPr>
            <w:tcW w:w="815" w:type="pct"/>
            <w:tcBorders>
              <w:top w:val="nil"/>
              <w:left w:val="nil"/>
              <w:bottom w:val="nil"/>
              <w:right w:val="nil"/>
            </w:tcBorders>
            <w:shd w:val="clear" w:color="auto" w:fill="auto"/>
          </w:tcPr>
          <w:p w14:paraId="63051367" w14:textId="2EC43285" w:rsidR="001220D5" w:rsidRPr="00F43653" w:rsidRDefault="001220D5" w:rsidP="001220D5">
            <w:pPr>
              <w:pStyle w:val="TT"/>
              <w:jc w:val="right"/>
              <w:rPr>
                <w:rFonts w:cs="Arial"/>
                <w:color w:val="000000" w:themeColor="text1"/>
                <w:sz w:val="20"/>
                <w:lang w:val="hr-HR"/>
              </w:rPr>
            </w:pPr>
            <w:r w:rsidRPr="006848BF">
              <w:rPr>
                <w:sz w:val="20"/>
              </w:rPr>
              <w:t>958.873</w:t>
            </w:r>
          </w:p>
        </w:tc>
      </w:tr>
      <w:tr w:rsidR="001220D5" w:rsidRPr="00F43653" w14:paraId="4C9DA526" w14:textId="77777777" w:rsidTr="001220D5">
        <w:trPr>
          <w:trHeight w:val="285"/>
        </w:trPr>
        <w:tc>
          <w:tcPr>
            <w:tcW w:w="2887" w:type="pct"/>
            <w:vAlign w:val="bottom"/>
          </w:tcPr>
          <w:p w14:paraId="54BA08AE" w14:textId="5EFB3C06" w:rsidR="001220D5" w:rsidRPr="00F43653" w:rsidRDefault="001220D5" w:rsidP="001220D5">
            <w:pPr>
              <w:pStyle w:val="TT"/>
              <w:rPr>
                <w:rFonts w:cs="Arial"/>
                <w:color w:val="000000" w:themeColor="text1"/>
                <w:sz w:val="20"/>
                <w:lang w:val="hr-HR"/>
              </w:rPr>
            </w:pPr>
            <w:bookmarkStart w:id="174" w:name="_Toc67327136"/>
            <w:r w:rsidRPr="00F43653">
              <w:rPr>
                <w:rFonts w:cs="Arial"/>
                <w:color w:val="000000" w:themeColor="text1"/>
                <w:sz w:val="20"/>
                <w:lang w:val="hr-HR"/>
              </w:rPr>
              <w:t>Zadržana dobit i rezerve</w:t>
            </w:r>
            <w:bookmarkEnd w:id="174"/>
          </w:p>
        </w:tc>
        <w:tc>
          <w:tcPr>
            <w:tcW w:w="558" w:type="pct"/>
            <w:vAlign w:val="bottom"/>
          </w:tcPr>
          <w:p w14:paraId="7FEBD233" w14:textId="77777777" w:rsidR="001220D5" w:rsidRPr="00FB136F" w:rsidRDefault="001220D5" w:rsidP="001220D5">
            <w:pPr>
              <w:pStyle w:val="TT"/>
              <w:jc w:val="center"/>
              <w:rPr>
                <w:rFonts w:cs="Arial"/>
                <w:color w:val="000000" w:themeColor="text1"/>
                <w:sz w:val="20"/>
                <w:highlight w:val="yellow"/>
                <w:lang w:val="hr-HR"/>
              </w:rPr>
            </w:pPr>
          </w:p>
        </w:tc>
        <w:tc>
          <w:tcPr>
            <w:tcW w:w="739" w:type="pct"/>
            <w:tcBorders>
              <w:top w:val="nil"/>
              <w:left w:val="nil"/>
              <w:bottom w:val="nil"/>
              <w:right w:val="nil"/>
            </w:tcBorders>
            <w:shd w:val="clear" w:color="auto" w:fill="auto"/>
            <w:vAlign w:val="bottom"/>
          </w:tcPr>
          <w:p w14:paraId="14EBEA50" w14:textId="68E7966C" w:rsidR="001220D5" w:rsidRPr="001220D5" w:rsidRDefault="001220D5" w:rsidP="001220D5">
            <w:pPr>
              <w:pStyle w:val="TT"/>
              <w:jc w:val="right"/>
              <w:rPr>
                <w:rFonts w:cs="Arial"/>
                <w:sz w:val="20"/>
              </w:rPr>
            </w:pPr>
            <w:r w:rsidRPr="001220D5">
              <w:rPr>
                <w:sz w:val="20"/>
              </w:rPr>
              <w:t>497.955</w:t>
            </w:r>
          </w:p>
        </w:tc>
        <w:tc>
          <w:tcPr>
            <w:tcW w:w="815" w:type="pct"/>
            <w:tcBorders>
              <w:top w:val="nil"/>
              <w:left w:val="nil"/>
              <w:bottom w:val="nil"/>
              <w:right w:val="nil"/>
            </w:tcBorders>
            <w:shd w:val="clear" w:color="auto" w:fill="auto"/>
          </w:tcPr>
          <w:p w14:paraId="3988B53D" w14:textId="37D2D8FB" w:rsidR="001220D5" w:rsidRPr="00F43653" w:rsidRDefault="001220D5" w:rsidP="001220D5">
            <w:pPr>
              <w:pStyle w:val="TT"/>
              <w:jc w:val="right"/>
              <w:rPr>
                <w:rFonts w:cs="Arial"/>
                <w:color w:val="000000" w:themeColor="text1"/>
                <w:sz w:val="20"/>
                <w:lang w:val="hr-HR"/>
              </w:rPr>
            </w:pPr>
            <w:r w:rsidRPr="006848BF">
              <w:rPr>
                <w:sz w:val="20"/>
              </w:rPr>
              <w:t>468.113</w:t>
            </w:r>
          </w:p>
        </w:tc>
      </w:tr>
      <w:tr w:rsidR="001220D5" w:rsidRPr="00F43653" w14:paraId="63D99D48" w14:textId="77777777" w:rsidTr="001220D5">
        <w:trPr>
          <w:trHeight w:val="285"/>
        </w:trPr>
        <w:tc>
          <w:tcPr>
            <w:tcW w:w="2887" w:type="pct"/>
            <w:vAlign w:val="bottom"/>
          </w:tcPr>
          <w:p w14:paraId="56D5814A" w14:textId="3ADE3677" w:rsidR="001220D5" w:rsidRPr="00F43653" w:rsidRDefault="001220D5" w:rsidP="001220D5">
            <w:pPr>
              <w:pStyle w:val="TT"/>
              <w:rPr>
                <w:rFonts w:cs="Arial"/>
                <w:color w:val="000000" w:themeColor="text1"/>
                <w:sz w:val="20"/>
                <w:lang w:val="hr-HR"/>
              </w:rPr>
            </w:pPr>
            <w:bookmarkStart w:id="175" w:name="_Toc67327139"/>
            <w:r w:rsidRPr="00F43653">
              <w:rPr>
                <w:rFonts w:cs="Arial"/>
                <w:color w:val="000000" w:themeColor="text1"/>
                <w:sz w:val="20"/>
                <w:lang w:val="hr-HR"/>
              </w:rPr>
              <w:t>Ostale rezerve</w:t>
            </w:r>
            <w:bookmarkEnd w:id="175"/>
          </w:p>
        </w:tc>
        <w:tc>
          <w:tcPr>
            <w:tcW w:w="558" w:type="pct"/>
            <w:vAlign w:val="bottom"/>
          </w:tcPr>
          <w:p w14:paraId="57CDCF98" w14:textId="77777777" w:rsidR="001220D5" w:rsidRPr="00FB136F" w:rsidRDefault="001220D5" w:rsidP="001220D5">
            <w:pPr>
              <w:pStyle w:val="TT"/>
              <w:jc w:val="center"/>
              <w:rPr>
                <w:rFonts w:cs="Arial"/>
                <w:color w:val="000000" w:themeColor="text1"/>
                <w:sz w:val="20"/>
                <w:highlight w:val="yellow"/>
                <w:lang w:val="hr-HR"/>
              </w:rPr>
            </w:pPr>
          </w:p>
        </w:tc>
        <w:tc>
          <w:tcPr>
            <w:tcW w:w="739" w:type="pct"/>
            <w:tcBorders>
              <w:top w:val="nil"/>
              <w:left w:val="nil"/>
              <w:bottom w:val="nil"/>
              <w:right w:val="nil"/>
            </w:tcBorders>
            <w:shd w:val="clear" w:color="auto" w:fill="auto"/>
            <w:vAlign w:val="bottom"/>
          </w:tcPr>
          <w:p w14:paraId="0DA1E0A6" w14:textId="17828C65" w:rsidR="001220D5" w:rsidRPr="001220D5" w:rsidRDefault="001220D5" w:rsidP="001220D5">
            <w:pPr>
              <w:pStyle w:val="TT"/>
              <w:jc w:val="right"/>
              <w:rPr>
                <w:rFonts w:cs="Arial"/>
                <w:sz w:val="20"/>
              </w:rPr>
            </w:pPr>
            <w:r w:rsidRPr="001220D5">
              <w:rPr>
                <w:sz w:val="20"/>
              </w:rPr>
              <w:t>1.763</w:t>
            </w:r>
          </w:p>
        </w:tc>
        <w:tc>
          <w:tcPr>
            <w:tcW w:w="815" w:type="pct"/>
            <w:tcBorders>
              <w:top w:val="nil"/>
              <w:left w:val="nil"/>
              <w:bottom w:val="nil"/>
              <w:right w:val="nil"/>
            </w:tcBorders>
            <w:shd w:val="clear" w:color="auto" w:fill="auto"/>
          </w:tcPr>
          <w:p w14:paraId="1633FF66" w14:textId="2EDAE5A8" w:rsidR="001220D5" w:rsidRPr="00F43653" w:rsidRDefault="001220D5" w:rsidP="001220D5">
            <w:pPr>
              <w:pStyle w:val="TT"/>
              <w:jc w:val="right"/>
              <w:rPr>
                <w:rFonts w:cs="Arial"/>
                <w:color w:val="000000" w:themeColor="text1"/>
                <w:sz w:val="20"/>
                <w:lang w:val="hr-HR"/>
              </w:rPr>
            </w:pPr>
            <w:r w:rsidRPr="006848BF">
              <w:rPr>
                <w:sz w:val="20"/>
              </w:rPr>
              <w:t>(943)</w:t>
            </w:r>
          </w:p>
        </w:tc>
      </w:tr>
      <w:tr w:rsidR="001220D5" w:rsidRPr="00F43653" w14:paraId="1970AEB8" w14:textId="77777777" w:rsidTr="001220D5">
        <w:trPr>
          <w:trHeight w:val="285"/>
        </w:trPr>
        <w:tc>
          <w:tcPr>
            <w:tcW w:w="2887" w:type="pct"/>
            <w:vAlign w:val="bottom"/>
          </w:tcPr>
          <w:p w14:paraId="2E73B9F6" w14:textId="4548AF27" w:rsidR="001220D5" w:rsidRPr="00F43653" w:rsidRDefault="001220D5" w:rsidP="001220D5">
            <w:pPr>
              <w:pStyle w:val="TT"/>
              <w:rPr>
                <w:rFonts w:cs="Arial"/>
                <w:color w:val="000000" w:themeColor="text1"/>
                <w:sz w:val="20"/>
                <w:lang w:val="hr-HR"/>
              </w:rPr>
            </w:pPr>
            <w:bookmarkStart w:id="176" w:name="_Toc67327142"/>
            <w:r w:rsidRPr="00F43653">
              <w:rPr>
                <w:rFonts w:cs="Arial"/>
                <w:color w:val="000000" w:themeColor="text1"/>
                <w:sz w:val="20"/>
                <w:lang w:val="hr-HR"/>
              </w:rPr>
              <w:t>Dobit tekućeg razdoblja</w:t>
            </w:r>
            <w:bookmarkEnd w:id="176"/>
          </w:p>
        </w:tc>
        <w:tc>
          <w:tcPr>
            <w:tcW w:w="558" w:type="pct"/>
            <w:vAlign w:val="bottom"/>
          </w:tcPr>
          <w:p w14:paraId="28B1CDF0" w14:textId="77777777" w:rsidR="001220D5" w:rsidRPr="00FB136F" w:rsidRDefault="001220D5" w:rsidP="001220D5">
            <w:pPr>
              <w:pStyle w:val="TT"/>
              <w:jc w:val="center"/>
              <w:rPr>
                <w:rFonts w:cs="Arial"/>
                <w:color w:val="000000" w:themeColor="text1"/>
                <w:sz w:val="20"/>
                <w:highlight w:val="yellow"/>
                <w:lang w:val="hr-HR"/>
              </w:rPr>
            </w:pPr>
          </w:p>
        </w:tc>
        <w:tc>
          <w:tcPr>
            <w:tcW w:w="739" w:type="pct"/>
            <w:tcBorders>
              <w:top w:val="nil"/>
              <w:left w:val="nil"/>
              <w:bottom w:val="nil"/>
              <w:right w:val="nil"/>
            </w:tcBorders>
            <w:shd w:val="clear" w:color="auto" w:fill="auto"/>
            <w:vAlign w:val="bottom"/>
          </w:tcPr>
          <w:p w14:paraId="4836332C" w14:textId="0650CC65" w:rsidR="001220D5" w:rsidRPr="001220D5" w:rsidRDefault="001220D5" w:rsidP="001220D5">
            <w:pPr>
              <w:pStyle w:val="TT"/>
              <w:jc w:val="right"/>
              <w:rPr>
                <w:rFonts w:cs="Arial"/>
                <w:sz w:val="20"/>
              </w:rPr>
            </w:pPr>
            <w:r w:rsidRPr="001220D5">
              <w:rPr>
                <w:sz w:val="20"/>
              </w:rPr>
              <w:t>43.565</w:t>
            </w:r>
          </w:p>
        </w:tc>
        <w:tc>
          <w:tcPr>
            <w:tcW w:w="815" w:type="pct"/>
            <w:tcBorders>
              <w:top w:val="nil"/>
              <w:left w:val="nil"/>
              <w:bottom w:val="nil"/>
              <w:right w:val="nil"/>
            </w:tcBorders>
            <w:shd w:val="clear" w:color="auto" w:fill="auto"/>
          </w:tcPr>
          <w:p w14:paraId="625607A8" w14:textId="1EA93B05" w:rsidR="001220D5" w:rsidRPr="00F43653" w:rsidRDefault="001220D5" w:rsidP="001220D5">
            <w:pPr>
              <w:pStyle w:val="TT"/>
              <w:jc w:val="right"/>
              <w:rPr>
                <w:rFonts w:cs="Arial"/>
                <w:color w:val="000000" w:themeColor="text1"/>
                <w:sz w:val="20"/>
                <w:lang w:val="hr-HR"/>
              </w:rPr>
            </w:pPr>
            <w:r w:rsidRPr="006848BF">
              <w:rPr>
                <w:sz w:val="20"/>
              </w:rPr>
              <w:t>29.842</w:t>
            </w:r>
          </w:p>
        </w:tc>
      </w:tr>
      <w:tr w:rsidR="001220D5" w:rsidRPr="00F43653" w14:paraId="3C124361" w14:textId="77777777" w:rsidTr="001220D5">
        <w:trPr>
          <w:trHeight w:val="285"/>
        </w:trPr>
        <w:tc>
          <w:tcPr>
            <w:tcW w:w="2887" w:type="pct"/>
            <w:vAlign w:val="bottom"/>
          </w:tcPr>
          <w:p w14:paraId="12EB97E5" w14:textId="38CD3008" w:rsidR="001220D5" w:rsidRPr="00F43653" w:rsidRDefault="001220D5" w:rsidP="001220D5">
            <w:pPr>
              <w:pStyle w:val="TT"/>
              <w:rPr>
                <w:rFonts w:cs="Arial"/>
                <w:color w:val="000000" w:themeColor="text1"/>
                <w:sz w:val="20"/>
                <w:lang w:val="hr-HR"/>
              </w:rPr>
            </w:pPr>
            <w:bookmarkStart w:id="177" w:name="_Toc67327145"/>
            <w:r w:rsidRPr="00F43653">
              <w:rPr>
                <w:rFonts w:cs="Arial"/>
                <w:color w:val="000000" w:themeColor="text1"/>
                <w:sz w:val="20"/>
                <w:lang w:val="hr-HR"/>
              </w:rPr>
              <w:t>Garantni fond</w:t>
            </w:r>
            <w:bookmarkEnd w:id="177"/>
          </w:p>
        </w:tc>
        <w:tc>
          <w:tcPr>
            <w:tcW w:w="558" w:type="pct"/>
            <w:vAlign w:val="bottom"/>
          </w:tcPr>
          <w:p w14:paraId="732EF7DE" w14:textId="77777777" w:rsidR="001220D5" w:rsidRPr="00FB136F" w:rsidRDefault="001220D5" w:rsidP="001220D5">
            <w:pPr>
              <w:pStyle w:val="TT"/>
              <w:jc w:val="center"/>
              <w:rPr>
                <w:rFonts w:cs="Arial"/>
                <w:color w:val="000000" w:themeColor="text1"/>
                <w:sz w:val="20"/>
                <w:highlight w:val="yellow"/>
                <w:lang w:val="hr-HR"/>
              </w:rPr>
            </w:pPr>
          </w:p>
        </w:tc>
        <w:tc>
          <w:tcPr>
            <w:tcW w:w="739" w:type="pct"/>
            <w:tcBorders>
              <w:top w:val="nil"/>
              <w:left w:val="nil"/>
              <w:bottom w:val="single" w:sz="4" w:space="0" w:color="auto"/>
              <w:right w:val="nil"/>
            </w:tcBorders>
            <w:shd w:val="clear" w:color="auto" w:fill="auto"/>
            <w:vAlign w:val="bottom"/>
          </w:tcPr>
          <w:p w14:paraId="6BE7EB05" w14:textId="64BE0007" w:rsidR="001220D5" w:rsidRPr="001220D5" w:rsidRDefault="001220D5" w:rsidP="001220D5">
            <w:pPr>
              <w:pStyle w:val="TT"/>
              <w:jc w:val="right"/>
              <w:rPr>
                <w:rFonts w:cs="Arial"/>
                <w:sz w:val="20"/>
              </w:rPr>
            </w:pPr>
            <w:r w:rsidRPr="001220D5">
              <w:rPr>
                <w:sz w:val="20"/>
              </w:rPr>
              <w:t>1.638</w:t>
            </w:r>
          </w:p>
        </w:tc>
        <w:tc>
          <w:tcPr>
            <w:tcW w:w="815" w:type="pct"/>
            <w:tcBorders>
              <w:top w:val="nil"/>
              <w:left w:val="nil"/>
              <w:bottom w:val="single" w:sz="4" w:space="0" w:color="auto"/>
              <w:right w:val="nil"/>
            </w:tcBorders>
            <w:shd w:val="clear" w:color="auto" w:fill="auto"/>
          </w:tcPr>
          <w:p w14:paraId="3B3003E5" w14:textId="5D49F240" w:rsidR="001220D5" w:rsidRPr="00F43653" w:rsidRDefault="001220D5" w:rsidP="001220D5">
            <w:pPr>
              <w:pStyle w:val="TT"/>
              <w:jc w:val="right"/>
              <w:rPr>
                <w:rFonts w:cs="Arial"/>
                <w:color w:val="000000" w:themeColor="text1"/>
                <w:sz w:val="20"/>
                <w:lang w:val="hr-HR"/>
              </w:rPr>
            </w:pPr>
            <w:r w:rsidRPr="006848BF">
              <w:rPr>
                <w:sz w:val="20"/>
              </w:rPr>
              <w:t>1.638</w:t>
            </w:r>
          </w:p>
        </w:tc>
      </w:tr>
      <w:tr w:rsidR="001220D5" w:rsidRPr="00F43653" w14:paraId="6361AABA" w14:textId="77777777" w:rsidTr="001220D5">
        <w:trPr>
          <w:trHeight w:val="285"/>
        </w:trPr>
        <w:tc>
          <w:tcPr>
            <w:tcW w:w="2887" w:type="pct"/>
            <w:vAlign w:val="bottom"/>
          </w:tcPr>
          <w:p w14:paraId="23AFBC41" w14:textId="26E0021E" w:rsidR="001220D5" w:rsidRPr="00F43653" w:rsidRDefault="001220D5" w:rsidP="001220D5">
            <w:pPr>
              <w:pStyle w:val="TT"/>
              <w:rPr>
                <w:rFonts w:cs="Arial"/>
                <w:color w:val="000000" w:themeColor="text1"/>
                <w:sz w:val="20"/>
                <w:lang w:val="hr-HR"/>
              </w:rPr>
            </w:pPr>
            <w:bookmarkStart w:id="178" w:name="_Toc67327149"/>
            <w:r w:rsidRPr="00F43653">
              <w:rPr>
                <w:rFonts w:cs="Arial"/>
                <w:b/>
                <w:bCs/>
                <w:color w:val="000000" w:themeColor="text1"/>
                <w:sz w:val="20"/>
                <w:lang w:val="hr-HR"/>
              </w:rPr>
              <w:t>Ukupni kapital i rezerve</w:t>
            </w:r>
            <w:bookmarkEnd w:id="178"/>
          </w:p>
        </w:tc>
        <w:tc>
          <w:tcPr>
            <w:tcW w:w="558" w:type="pct"/>
            <w:vAlign w:val="bottom"/>
          </w:tcPr>
          <w:p w14:paraId="27D5BF30" w14:textId="77777777" w:rsidR="001220D5" w:rsidRPr="00FB136F" w:rsidRDefault="001220D5" w:rsidP="001220D5">
            <w:pPr>
              <w:pStyle w:val="TT"/>
              <w:jc w:val="center"/>
              <w:rPr>
                <w:rFonts w:cs="Arial"/>
                <w:color w:val="000000" w:themeColor="text1"/>
                <w:sz w:val="20"/>
                <w:highlight w:val="yellow"/>
                <w:lang w:val="hr-HR"/>
              </w:rPr>
            </w:pPr>
          </w:p>
        </w:tc>
        <w:tc>
          <w:tcPr>
            <w:tcW w:w="739" w:type="pct"/>
            <w:tcBorders>
              <w:top w:val="single" w:sz="4" w:space="0" w:color="auto"/>
              <w:left w:val="nil"/>
              <w:bottom w:val="single" w:sz="12" w:space="0" w:color="auto"/>
              <w:right w:val="nil"/>
            </w:tcBorders>
            <w:shd w:val="clear" w:color="auto" w:fill="auto"/>
            <w:vAlign w:val="bottom"/>
          </w:tcPr>
          <w:p w14:paraId="4E146968" w14:textId="1B32AED8" w:rsidR="001220D5" w:rsidRPr="001220D5" w:rsidRDefault="001220D5" w:rsidP="001220D5">
            <w:pPr>
              <w:pStyle w:val="TT"/>
              <w:jc w:val="right"/>
              <w:rPr>
                <w:rFonts w:cs="Arial"/>
                <w:b/>
                <w:bCs/>
                <w:sz w:val="20"/>
              </w:rPr>
            </w:pPr>
            <w:r w:rsidRPr="001220D5">
              <w:rPr>
                <w:b/>
                <w:bCs/>
                <w:sz w:val="20"/>
              </w:rPr>
              <w:t>1.503.794</w:t>
            </w:r>
          </w:p>
        </w:tc>
        <w:tc>
          <w:tcPr>
            <w:tcW w:w="815" w:type="pct"/>
            <w:tcBorders>
              <w:top w:val="single" w:sz="4" w:space="0" w:color="auto"/>
              <w:left w:val="nil"/>
              <w:bottom w:val="single" w:sz="12" w:space="0" w:color="auto"/>
              <w:right w:val="nil"/>
            </w:tcBorders>
            <w:shd w:val="clear" w:color="auto" w:fill="auto"/>
            <w:vAlign w:val="bottom"/>
          </w:tcPr>
          <w:p w14:paraId="001C93E0" w14:textId="78DF6D5E" w:rsidR="001220D5" w:rsidRPr="00F43653" w:rsidRDefault="001220D5" w:rsidP="001220D5">
            <w:pPr>
              <w:pStyle w:val="TT"/>
              <w:jc w:val="right"/>
              <w:rPr>
                <w:rFonts w:cs="Arial"/>
                <w:b/>
                <w:bCs/>
                <w:color w:val="000000" w:themeColor="text1"/>
                <w:sz w:val="20"/>
                <w:lang w:val="hr-HR"/>
              </w:rPr>
            </w:pPr>
            <w:r w:rsidRPr="006848BF">
              <w:rPr>
                <w:rFonts w:cs="Arial"/>
                <w:b/>
                <w:color w:val="000000" w:themeColor="text1"/>
                <w:sz w:val="20"/>
                <w:lang w:val="hr-HR"/>
              </w:rPr>
              <w:t>1.457.523</w:t>
            </w:r>
          </w:p>
        </w:tc>
      </w:tr>
      <w:tr w:rsidR="001220D5" w:rsidRPr="00F43653" w14:paraId="7C694107" w14:textId="77777777" w:rsidTr="001220D5">
        <w:trPr>
          <w:trHeight w:val="386"/>
        </w:trPr>
        <w:tc>
          <w:tcPr>
            <w:tcW w:w="2887" w:type="pct"/>
            <w:vAlign w:val="bottom"/>
          </w:tcPr>
          <w:p w14:paraId="34DF7DCF" w14:textId="25B34C8A" w:rsidR="001220D5" w:rsidRPr="00F43653" w:rsidRDefault="001220D5" w:rsidP="001220D5">
            <w:pPr>
              <w:pStyle w:val="Tot"/>
              <w:rPr>
                <w:rFonts w:cs="Arial"/>
                <w:b/>
                <w:bCs/>
                <w:color w:val="000000" w:themeColor="text1"/>
                <w:sz w:val="20"/>
                <w:lang w:val="hr-HR"/>
              </w:rPr>
            </w:pPr>
            <w:bookmarkStart w:id="179" w:name="_Toc67327152"/>
            <w:r w:rsidRPr="00F43653">
              <w:rPr>
                <w:rFonts w:cs="Arial"/>
                <w:b/>
                <w:bCs/>
                <w:color w:val="000000" w:themeColor="text1"/>
                <w:sz w:val="20"/>
                <w:lang w:val="hr-HR"/>
              </w:rPr>
              <w:t>Ukupne obveze i kapital i rezerve</w:t>
            </w:r>
            <w:bookmarkEnd w:id="179"/>
          </w:p>
        </w:tc>
        <w:tc>
          <w:tcPr>
            <w:tcW w:w="558" w:type="pct"/>
            <w:vAlign w:val="bottom"/>
          </w:tcPr>
          <w:p w14:paraId="7CEA4710" w14:textId="77777777" w:rsidR="001220D5" w:rsidRPr="00FB136F" w:rsidRDefault="001220D5" w:rsidP="001220D5">
            <w:pPr>
              <w:pStyle w:val="Tot"/>
              <w:jc w:val="right"/>
              <w:rPr>
                <w:rFonts w:cs="Arial"/>
                <w:b/>
                <w:bCs/>
                <w:color w:val="000000" w:themeColor="text1"/>
                <w:sz w:val="20"/>
                <w:highlight w:val="yellow"/>
                <w:lang w:val="hr-HR"/>
              </w:rPr>
            </w:pPr>
          </w:p>
        </w:tc>
        <w:tc>
          <w:tcPr>
            <w:tcW w:w="739" w:type="pct"/>
            <w:tcBorders>
              <w:top w:val="single" w:sz="12" w:space="0" w:color="auto"/>
              <w:left w:val="nil"/>
              <w:bottom w:val="single" w:sz="12" w:space="0" w:color="auto"/>
              <w:right w:val="nil"/>
            </w:tcBorders>
            <w:shd w:val="clear" w:color="auto" w:fill="auto"/>
            <w:vAlign w:val="bottom"/>
          </w:tcPr>
          <w:p w14:paraId="42B51AFC" w14:textId="026A635F" w:rsidR="001220D5" w:rsidRPr="001220D5" w:rsidRDefault="001220D5" w:rsidP="001220D5">
            <w:pPr>
              <w:pStyle w:val="Tot"/>
              <w:jc w:val="right"/>
              <w:rPr>
                <w:rFonts w:cs="Arial"/>
                <w:b/>
                <w:bCs/>
                <w:sz w:val="20"/>
              </w:rPr>
            </w:pPr>
            <w:r w:rsidRPr="001220D5">
              <w:rPr>
                <w:b/>
                <w:bCs/>
                <w:sz w:val="20"/>
              </w:rPr>
              <w:t>4.017.741</w:t>
            </w:r>
          </w:p>
        </w:tc>
        <w:tc>
          <w:tcPr>
            <w:tcW w:w="815" w:type="pct"/>
            <w:tcBorders>
              <w:top w:val="single" w:sz="12" w:space="0" w:color="auto"/>
              <w:left w:val="nil"/>
              <w:bottom w:val="single" w:sz="12" w:space="0" w:color="auto"/>
              <w:right w:val="nil"/>
            </w:tcBorders>
            <w:shd w:val="clear" w:color="auto" w:fill="auto"/>
            <w:vAlign w:val="bottom"/>
          </w:tcPr>
          <w:p w14:paraId="38D91E39" w14:textId="2E73B379" w:rsidR="001220D5" w:rsidRPr="00F43653" w:rsidRDefault="001220D5" w:rsidP="001220D5">
            <w:pPr>
              <w:pStyle w:val="Tot"/>
              <w:jc w:val="right"/>
              <w:rPr>
                <w:rFonts w:cs="Arial"/>
                <w:b/>
                <w:bCs/>
                <w:color w:val="000000" w:themeColor="text1"/>
                <w:sz w:val="20"/>
                <w:lang w:val="hr-HR"/>
              </w:rPr>
            </w:pPr>
            <w:r w:rsidRPr="00C90C70">
              <w:rPr>
                <w:rFonts w:cs="Arial"/>
                <w:b/>
                <w:bCs/>
                <w:color w:val="000000" w:themeColor="text1"/>
                <w:sz w:val="20"/>
                <w:lang w:val="hr-HR"/>
              </w:rPr>
              <w:t>4.018.684</w:t>
            </w:r>
          </w:p>
        </w:tc>
      </w:tr>
    </w:tbl>
    <w:p w14:paraId="79682E34" w14:textId="5D0F4388" w:rsidR="00764509" w:rsidRPr="003D1614" w:rsidRDefault="00764509" w:rsidP="00A56428">
      <w:pPr>
        <w:rPr>
          <w:rFonts w:ascii="Arial" w:eastAsia="Times New Roman" w:hAnsi="Arial" w:cs="Arial"/>
          <w:sz w:val="20"/>
          <w:szCs w:val="20"/>
        </w:rPr>
      </w:pPr>
    </w:p>
    <w:p w14:paraId="2D9E92EC" w14:textId="37772B65" w:rsidR="00764509" w:rsidRPr="003D1614" w:rsidRDefault="00764509" w:rsidP="00A56428">
      <w:pPr>
        <w:rPr>
          <w:rFonts w:ascii="Arial" w:eastAsia="Times New Roman" w:hAnsi="Arial" w:cs="Arial"/>
          <w:sz w:val="20"/>
          <w:szCs w:val="20"/>
        </w:rPr>
      </w:pPr>
    </w:p>
    <w:p w14:paraId="71C89C5A" w14:textId="382320A8" w:rsidR="00764509" w:rsidRPr="003D1614" w:rsidRDefault="00764509" w:rsidP="00A56428">
      <w:pPr>
        <w:rPr>
          <w:rFonts w:ascii="Arial" w:eastAsia="Times New Roman" w:hAnsi="Arial" w:cs="Arial"/>
          <w:sz w:val="20"/>
          <w:szCs w:val="20"/>
        </w:rPr>
      </w:pPr>
    </w:p>
    <w:p w14:paraId="36A89F87" w14:textId="7DFCD75B" w:rsidR="00764509" w:rsidRPr="003D1614" w:rsidRDefault="00764509" w:rsidP="00A56428">
      <w:pPr>
        <w:rPr>
          <w:rFonts w:ascii="Arial" w:eastAsia="Times New Roman" w:hAnsi="Arial" w:cs="Arial"/>
          <w:sz w:val="20"/>
          <w:szCs w:val="20"/>
        </w:rPr>
      </w:pPr>
    </w:p>
    <w:p w14:paraId="67DEABAD" w14:textId="4C0BAE5C" w:rsidR="00764509" w:rsidRPr="003D1614" w:rsidRDefault="00764509" w:rsidP="00A56428">
      <w:pPr>
        <w:rPr>
          <w:rFonts w:ascii="Arial" w:eastAsia="Times New Roman" w:hAnsi="Arial" w:cs="Arial"/>
          <w:sz w:val="20"/>
          <w:szCs w:val="20"/>
        </w:rPr>
      </w:pPr>
      <w:r w:rsidRPr="003D1614">
        <w:rPr>
          <w:rFonts w:ascii="Arial" w:eastAsia="Times New Roman" w:hAnsi="Arial" w:cs="Arial"/>
          <w:sz w:val="20"/>
          <w:szCs w:val="20"/>
        </w:rPr>
        <w:t>Priložene računovodstvene politike i bilješke sastavni su dio ovih financijskih izvještaja.</w:t>
      </w:r>
    </w:p>
    <w:p w14:paraId="0C5E8A9F" w14:textId="77777777" w:rsidR="00764509" w:rsidRPr="003D1614" w:rsidRDefault="00764509" w:rsidP="00A56428">
      <w:pPr>
        <w:rPr>
          <w:rFonts w:ascii="Arial" w:eastAsia="Times New Roman" w:hAnsi="Arial" w:cs="Arial"/>
          <w:sz w:val="20"/>
          <w:szCs w:val="20"/>
        </w:rPr>
        <w:sectPr w:rsidR="00764509" w:rsidRPr="003D1614">
          <w:headerReference w:type="default" r:id="rId18"/>
          <w:pgSz w:w="11906" w:h="16838"/>
          <w:pgMar w:top="1417" w:right="1417" w:bottom="1417" w:left="1417" w:header="708" w:footer="708" w:gutter="0"/>
          <w:cols w:space="708"/>
          <w:docGrid w:linePitch="360"/>
        </w:sectPr>
      </w:pPr>
    </w:p>
    <w:p w14:paraId="772CCA6C" w14:textId="104D2978" w:rsidR="00764509" w:rsidRPr="003D1614" w:rsidRDefault="00764509" w:rsidP="00A56428">
      <w:pPr>
        <w:rPr>
          <w:rFonts w:ascii="Arial" w:eastAsia="Times New Roman" w:hAnsi="Arial" w:cs="Arial"/>
          <w:sz w:val="20"/>
          <w:szCs w:val="20"/>
        </w:rPr>
      </w:pPr>
    </w:p>
    <w:p w14:paraId="7B3C8A67" w14:textId="5C9678E4" w:rsidR="00764509" w:rsidRPr="003D1614" w:rsidRDefault="00764509" w:rsidP="00A56428">
      <w:pPr>
        <w:rPr>
          <w:rFonts w:ascii="Arial" w:eastAsia="Times New Roman" w:hAnsi="Arial" w:cs="Arial"/>
          <w:sz w:val="20"/>
          <w:szCs w:val="20"/>
        </w:rPr>
      </w:pPr>
    </w:p>
    <w:tbl>
      <w:tblPr>
        <w:tblpPr w:leftFromText="180" w:rightFromText="180" w:vertAnchor="page" w:horzAnchor="margin" w:tblpXSpec="center" w:tblpY="2292"/>
        <w:tblW w:w="5523" w:type="pct"/>
        <w:tblLayout w:type="fixed"/>
        <w:tblCellMar>
          <w:left w:w="119" w:type="dxa"/>
          <w:right w:w="119" w:type="dxa"/>
        </w:tblCellMar>
        <w:tblLook w:val="0000" w:firstRow="0" w:lastRow="0" w:firstColumn="0" w:lastColumn="0" w:noHBand="0" w:noVBand="0"/>
      </w:tblPr>
      <w:tblGrid>
        <w:gridCol w:w="7517"/>
        <w:gridCol w:w="1253"/>
        <w:gridCol w:w="1251"/>
      </w:tblGrid>
      <w:tr w:rsidR="00764509" w:rsidRPr="00F43653" w14:paraId="0AC905A9" w14:textId="77777777" w:rsidTr="007301FA">
        <w:trPr>
          <w:trHeight w:val="173"/>
        </w:trPr>
        <w:tc>
          <w:tcPr>
            <w:tcW w:w="3751" w:type="pct"/>
            <w:vAlign w:val="bottom"/>
          </w:tcPr>
          <w:p w14:paraId="601EBE19" w14:textId="77777777" w:rsidR="00764509" w:rsidRPr="00F43653" w:rsidRDefault="00764509" w:rsidP="00764509">
            <w:pPr>
              <w:keepLines/>
              <w:tabs>
                <w:tab w:val="right" w:pos="1202"/>
              </w:tabs>
              <w:spacing w:line="220" w:lineRule="exact"/>
              <w:jc w:val="right"/>
              <w:outlineLvl w:val="0"/>
              <w:rPr>
                <w:rFonts w:ascii="Arial" w:eastAsia="Times New Roman" w:hAnsi="Arial" w:cs="Arial"/>
                <w:b/>
                <w:color w:val="000000"/>
                <w:sz w:val="18"/>
                <w:szCs w:val="18"/>
              </w:rPr>
            </w:pPr>
            <w:bookmarkStart w:id="180" w:name="_Toc67327155"/>
            <w:bookmarkStart w:id="181" w:name="_Hlk141449961"/>
          </w:p>
          <w:p w14:paraId="166FB075" w14:textId="77777777" w:rsidR="00764509" w:rsidRPr="00F43653" w:rsidRDefault="00764509" w:rsidP="00764509">
            <w:pPr>
              <w:keepLines/>
              <w:tabs>
                <w:tab w:val="right" w:pos="1202"/>
              </w:tabs>
              <w:spacing w:line="220" w:lineRule="exact"/>
              <w:jc w:val="right"/>
              <w:outlineLvl w:val="0"/>
              <w:rPr>
                <w:rFonts w:ascii="Arial" w:eastAsia="Times New Roman" w:hAnsi="Arial" w:cs="Arial"/>
                <w:b/>
                <w:color w:val="000000"/>
                <w:sz w:val="18"/>
                <w:szCs w:val="18"/>
              </w:rPr>
            </w:pPr>
            <w:r w:rsidRPr="00F43653">
              <w:rPr>
                <w:rFonts w:ascii="Arial" w:eastAsia="Times New Roman" w:hAnsi="Arial" w:cs="Arial"/>
                <w:b/>
                <w:color w:val="000000"/>
                <w:sz w:val="18"/>
                <w:szCs w:val="18"/>
              </w:rPr>
              <w:t>Bilješka</w:t>
            </w:r>
            <w:bookmarkEnd w:id="180"/>
          </w:p>
        </w:tc>
        <w:tc>
          <w:tcPr>
            <w:tcW w:w="625" w:type="pct"/>
            <w:vAlign w:val="bottom"/>
          </w:tcPr>
          <w:p w14:paraId="55D13725" w14:textId="201BB3DB" w:rsidR="00764509" w:rsidRPr="00F43653" w:rsidRDefault="00764509" w:rsidP="00764509">
            <w:pPr>
              <w:keepLines/>
              <w:tabs>
                <w:tab w:val="right" w:pos="1202"/>
              </w:tabs>
              <w:spacing w:line="220" w:lineRule="exact"/>
              <w:jc w:val="right"/>
              <w:outlineLvl w:val="0"/>
              <w:rPr>
                <w:rFonts w:ascii="Arial" w:eastAsia="Times New Roman" w:hAnsi="Arial" w:cs="Arial"/>
                <w:b/>
                <w:bCs/>
                <w:color w:val="000000"/>
                <w:sz w:val="18"/>
                <w:szCs w:val="18"/>
              </w:rPr>
            </w:pPr>
            <w:r w:rsidRPr="00F43653">
              <w:rPr>
                <w:rFonts w:ascii="Arial" w:eastAsia="Times New Roman" w:hAnsi="Arial" w:cs="Arial"/>
                <w:b/>
                <w:bCs/>
                <w:color w:val="000000"/>
                <w:sz w:val="18"/>
                <w:szCs w:val="18"/>
              </w:rPr>
              <w:t>202</w:t>
            </w:r>
            <w:r w:rsidR="0068010E">
              <w:rPr>
                <w:rFonts w:ascii="Arial" w:eastAsia="Times New Roman" w:hAnsi="Arial" w:cs="Arial"/>
                <w:b/>
                <w:bCs/>
                <w:color w:val="000000"/>
                <w:sz w:val="18"/>
                <w:szCs w:val="18"/>
              </w:rPr>
              <w:t>4</w:t>
            </w:r>
            <w:r w:rsidRPr="00F43653">
              <w:rPr>
                <w:rFonts w:ascii="Arial" w:eastAsia="Times New Roman" w:hAnsi="Arial" w:cs="Arial"/>
                <w:b/>
                <w:bCs/>
                <w:color w:val="000000"/>
                <w:sz w:val="18"/>
                <w:szCs w:val="18"/>
              </w:rPr>
              <w:t>.</w:t>
            </w:r>
          </w:p>
        </w:tc>
        <w:tc>
          <w:tcPr>
            <w:tcW w:w="624" w:type="pct"/>
            <w:vAlign w:val="bottom"/>
          </w:tcPr>
          <w:p w14:paraId="563D5A96" w14:textId="75414426" w:rsidR="00764509" w:rsidRPr="00F43653" w:rsidRDefault="00764509" w:rsidP="00764509">
            <w:pPr>
              <w:keepLines/>
              <w:tabs>
                <w:tab w:val="right" w:pos="1202"/>
              </w:tabs>
              <w:spacing w:line="220" w:lineRule="exact"/>
              <w:jc w:val="right"/>
              <w:outlineLvl w:val="0"/>
              <w:rPr>
                <w:rFonts w:ascii="Arial" w:eastAsia="Times New Roman" w:hAnsi="Arial" w:cs="Arial"/>
                <w:b/>
                <w:bCs/>
                <w:color w:val="000000"/>
                <w:sz w:val="18"/>
                <w:szCs w:val="18"/>
              </w:rPr>
            </w:pPr>
            <w:bookmarkStart w:id="182" w:name="_Toc67327156"/>
            <w:r w:rsidRPr="00F43653">
              <w:rPr>
                <w:rFonts w:ascii="Arial" w:eastAsia="Times New Roman" w:hAnsi="Arial" w:cs="Arial"/>
                <w:b/>
                <w:bCs/>
                <w:color w:val="000000"/>
                <w:sz w:val="18"/>
                <w:szCs w:val="18"/>
              </w:rPr>
              <w:t>202</w:t>
            </w:r>
            <w:r w:rsidR="0068010E">
              <w:rPr>
                <w:rFonts w:ascii="Arial" w:eastAsia="Times New Roman" w:hAnsi="Arial" w:cs="Arial"/>
                <w:b/>
                <w:bCs/>
                <w:color w:val="000000"/>
                <w:sz w:val="18"/>
                <w:szCs w:val="18"/>
              </w:rPr>
              <w:t>3</w:t>
            </w:r>
            <w:r w:rsidRPr="00F43653">
              <w:rPr>
                <w:rFonts w:ascii="Arial" w:eastAsia="Times New Roman" w:hAnsi="Arial" w:cs="Arial"/>
                <w:b/>
                <w:bCs/>
                <w:color w:val="000000"/>
                <w:sz w:val="18"/>
                <w:szCs w:val="18"/>
              </w:rPr>
              <w:t>.</w:t>
            </w:r>
            <w:bookmarkEnd w:id="182"/>
          </w:p>
        </w:tc>
      </w:tr>
      <w:tr w:rsidR="00764509" w:rsidRPr="00F43653" w14:paraId="01771AC7" w14:textId="77777777" w:rsidTr="007301FA">
        <w:trPr>
          <w:trHeight w:val="176"/>
        </w:trPr>
        <w:tc>
          <w:tcPr>
            <w:tcW w:w="3751" w:type="pct"/>
            <w:vAlign w:val="bottom"/>
          </w:tcPr>
          <w:p w14:paraId="5CEADDB7" w14:textId="77777777" w:rsidR="00764509" w:rsidRPr="00F43653" w:rsidRDefault="00764509" w:rsidP="00764509">
            <w:pPr>
              <w:keepLines/>
              <w:tabs>
                <w:tab w:val="right" w:pos="1202"/>
              </w:tabs>
              <w:spacing w:line="220" w:lineRule="exact"/>
              <w:outlineLvl w:val="0"/>
              <w:rPr>
                <w:rFonts w:ascii="Arial" w:eastAsia="Times New Roman" w:hAnsi="Arial" w:cs="Arial"/>
                <w:b/>
                <w:color w:val="000000"/>
                <w:sz w:val="18"/>
                <w:szCs w:val="18"/>
              </w:rPr>
            </w:pPr>
            <w:r w:rsidRPr="00F43653">
              <w:rPr>
                <w:rFonts w:ascii="Arial" w:eastAsia="Times New Roman" w:hAnsi="Arial" w:cs="Arial"/>
                <w:b/>
                <w:color w:val="000000"/>
                <w:sz w:val="18"/>
                <w:szCs w:val="18"/>
              </w:rPr>
              <w:t xml:space="preserve">                                                                                                                          </w:t>
            </w:r>
          </w:p>
        </w:tc>
        <w:tc>
          <w:tcPr>
            <w:tcW w:w="625" w:type="pct"/>
            <w:vAlign w:val="bottom"/>
          </w:tcPr>
          <w:p w14:paraId="39488D99" w14:textId="39016BAB" w:rsidR="00764509" w:rsidRPr="00F43653" w:rsidRDefault="00764509" w:rsidP="00764509">
            <w:pPr>
              <w:keepLines/>
              <w:tabs>
                <w:tab w:val="right" w:pos="1202"/>
              </w:tabs>
              <w:spacing w:line="220" w:lineRule="exact"/>
              <w:jc w:val="right"/>
              <w:outlineLvl w:val="0"/>
              <w:rPr>
                <w:rFonts w:ascii="Arial" w:eastAsia="Times New Roman" w:hAnsi="Arial" w:cs="Arial"/>
                <w:b/>
                <w:bCs/>
                <w:color w:val="000000"/>
                <w:sz w:val="18"/>
                <w:szCs w:val="18"/>
              </w:rPr>
            </w:pPr>
            <w:bookmarkStart w:id="183" w:name="_Toc67327158"/>
            <w:r w:rsidRPr="00F43653">
              <w:rPr>
                <w:rFonts w:ascii="Arial" w:eastAsia="Times New Roman" w:hAnsi="Arial" w:cs="Arial"/>
                <w:b/>
                <w:bCs/>
                <w:color w:val="000000"/>
                <w:sz w:val="18"/>
                <w:szCs w:val="18"/>
              </w:rPr>
              <w:t xml:space="preserve">000 </w:t>
            </w:r>
            <w:r w:rsidR="00145D68" w:rsidRPr="00F43653">
              <w:rPr>
                <w:rFonts w:ascii="Arial" w:eastAsia="Times New Roman" w:hAnsi="Arial" w:cs="Arial"/>
                <w:b/>
                <w:bCs/>
                <w:color w:val="000000"/>
                <w:sz w:val="18"/>
                <w:szCs w:val="18"/>
              </w:rPr>
              <w:t>eura</w:t>
            </w:r>
            <w:bookmarkEnd w:id="183"/>
          </w:p>
        </w:tc>
        <w:tc>
          <w:tcPr>
            <w:tcW w:w="624" w:type="pct"/>
            <w:vAlign w:val="bottom"/>
          </w:tcPr>
          <w:p w14:paraId="2F6CF170" w14:textId="1B64643B" w:rsidR="00764509" w:rsidRPr="00F43653" w:rsidRDefault="00764509" w:rsidP="00764509">
            <w:pPr>
              <w:keepLines/>
              <w:tabs>
                <w:tab w:val="right" w:pos="1202"/>
              </w:tabs>
              <w:spacing w:line="220" w:lineRule="exact"/>
              <w:jc w:val="right"/>
              <w:outlineLvl w:val="0"/>
              <w:rPr>
                <w:rFonts w:ascii="Arial" w:eastAsia="Times New Roman" w:hAnsi="Arial" w:cs="Arial"/>
                <w:b/>
                <w:bCs/>
                <w:color w:val="000000"/>
                <w:sz w:val="18"/>
                <w:szCs w:val="18"/>
              </w:rPr>
            </w:pPr>
            <w:bookmarkStart w:id="184" w:name="_Toc67327159"/>
            <w:r w:rsidRPr="00F43653">
              <w:rPr>
                <w:rFonts w:ascii="Arial" w:eastAsia="Times New Roman" w:hAnsi="Arial" w:cs="Arial"/>
                <w:b/>
                <w:bCs/>
                <w:color w:val="000000"/>
                <w:sz w:val="18"/>
                <w:szCs w:val="18"/>
              </w:rPr>
              <w:t xml:space="preserve">000 </w:t>
            </w:r>
            <w:r w:rsidR="00145D68" w:rsidRPr="00F43653">
              <w:rPr>
                <w:rFonts w:ascii="Arial" w:eastAsia="Times New Roman" w:hAnsi="Arial" w:cs="Arial"/>
                <w:b/>
                <w:bCs/>
                <w:color w:val="000000"/>
                <w:sz w:val="18"/>
                <w:szCs w:val="18"/>
              </w:rPr>
              <w:t>eura</w:t>
            </w:r>
            <w:bookmarkEnd w:id="184"/>
          </w:p>
        </w:tc>
      </w:tr>
      <w:tr w:rsidR="00764509" w:rsidRPr="00F43653" w14:paraId="78D02FE9" w14:textId="77777777" w:rsidTr="007301FA">
        <w:tc>
          <w:tcPr>
            <w:tcW w:w="3751" w:type="pct"/>
            <w:vAlign w:val="bottom"/>
          </w:tcPr>
          <w:p w14:paraId="514AE38A" w14:textId="77777777" w:rsidR="00764509" w:rsidRPr="00F43653" w:rsidRDefault="00764509" w:rsidP="00764509">
            <w:pPr>
              <w:keepLines/>
              <w:tabs>
                <w:tab w:val="right" w:pos="1202"/>
              </w:tabs>
              <w:spacing w:line="220" w:lineRule="exact"/>
              <w:outlineLvl w:val="0"/>
              <w:rPr>
                <w:rFonts w:ascii="Arial" w:eastAsia="Times New Roman" w:hAnsi="Arial" w:cs="Arial"/>
                <w:b/>
                <w:bCs/>
                <w:color w:val="000000"/>
                <w:spacing w:val="-3"/>
                <w:sz w:val="18"/>
                <w:szCs w:val="18"/>
              </w:rPr>
            </w:pPr>
            <w:bookmarkStart w:id="185" w:name="_Toc67327160"/>
            <w:r w:rsidRPr="00F43653">
              <w:rPr>
                <w:rFonts w:ascii="Arial" w:eastAsia="Times New Roman" w:hAnsi="Arial" w:cs="Arial"/>
                <w:b/>
                <w:bCs/>
                <w:color w:val="000000"/>
                <w:sz w:val="18"/>
                <w:szCs w:val="18"/>
              </w:rPr>
              <w:t>Poslovne aktivnosti</w:t>
            </w:r>
            <w:bookmarkEnd w:id="185"/>
          </w:p>
        </w:tc>
        <w:tc>
          <w:tcPr>
            <w:tcW w:w="625" w:type="pct"/>
            <w:vAlign w:val="bottom"/>
          </w:tcPr>
          <w:p w14:paraId="4107F528" w14:textId="77777777" w:rsidR="00764509" w:rsidRPr="00F43653" w:rsidRDefault="00764509" w:rsidP="00764509">
            <w:pPr>
              <w:keepLines/>
              <w:tabs>
                <w:tab w:val="right" w:pos="1202"/>
              </w:tabs>
              <w:spacing w:line="220" w:lineRule="exact"/>
              <w:jc w:val="right"/>
              <w:outlineLvl w:val="0"/>
              <w:rPr>
                <w:rFonts w:ascii="Arial" w:eastAsia="Times New Roman" w:hAnsi="Arial" w:cs="Arial"/>
                <w:color w:val="000000"/>
                <w:sz w:val="18"/>
                <w:szCs w:val="18"/>
              </w:rPr>
            </w:pPr>
          </w:p>
        </w:tc>
        <w:tc>
          <w:tcPr>
            <w:tcW w:w="624" w:type="pct"/>
            <w:vAlign w:val="bottom"/>
          </w:tcPr>
          <w:p w14:paraId="6954E488" w14:textId="77777777" w:rsidR="00764509" w:rsidRPr="00F43653" w:rsidRDefault="00764509" w:rsidP="00764509">
            <w:pPr>
              <w:keepLines/>
              <w:tabs>
                <w:tab w:val="right" w:pos="1202"/>
              </w:tabs>
              <w:spacing w:line="220" w:lineRule="exact"/>
              <w:jc w:val="right"/>
              <w:outlineLvl w:val="0"/>
              <w:rPr>
                <w:rFonts w:ascii="Arial" w:eastAsia="Times New Roman" w:hAnsi="Arial" w:cs="Arial"/>
                <w:color w:val="000000"/>
                <w:sz w:val="18"/>
                <w:szCs w:val="18"/>
              </w:rPr>
            </w:pPr>
          </w:p>
        </w:tc>
      </w:tr>
      <w:tr w:rsidR="0068010E" w:rsidRPr="00F43653" w14:paraId="0E2EBACC" w14:textId="77777777" w:rsidTr="00E40F4A">
        <w:trPr>
          <w:trHeight w:hRule="exact" w:val="227"/>
        </w:trPr>
        <w:tc>
          <w:tcPr>
            <w:tcW w:w="3751" w:type="pct"/>
            <w:vAlign w:val="bottom"/>
          </w:tcPr>
          <w:p w14:paraId="65CAFD2C" w14:textId="77777777" w:rsidR="0068010E" w:rsidRPr="00F43653" w:rsidRDefault="0068010E" w:rsidP="0068010E">
            <w:pPr>
              <w:keepLines/>
              <w:tabs>
                <w:tab w:val="right" w:pos="1202"/>
              </w:tabs>
              <w:spacing w:line="220" w:lineRule="exact"/>
              <w:outlineLvl w:val="0"/>
              <w:rPr>
                <w:rFonts w:ascii="Arial" w:eastAsia="Times New Roman" w:hAnsi="Arial" w:cs="Arial"/>
                <w:color w:val="000000"/>
                <w:spacing w:val="-3"/>
                <w:sz w:val="18"/>
                <w:szCs w:val="18"/>
              </w:rPr>
            </w:pPr>
            <w:bookmarkStart w:id="186" w:name="_Toc67327161"/>
            <w:r w:rsidRPr="00F43653">
              <w:rPr>
                <w:rFonts w:ascii="Arial" w:eastAsia="Times New Roman" w:hAnsi="Arial" w:cs="Arial"/>
                <w:color w:val="000000"/>
                <w:sz w:val="18"/>
                <w:szCs w:val="18"/>
              </w:rPr>
              <w:t>Dobit prije oporezivanja</w:t>
            </w:r>
            <w:bookmarkEnd w:id="186"/>
          </w:p>
        </w:tc>
        <w:tc>
          <w:tcPr>
            <w:tcW w:w="625" w:type="pct"/>
            <w:vAlign w:val="bottom"/>
          </w:tcPr>
          <w:p w14:paraId="375F60D2" w14:textId="1764EFAB" w:rsidR="0068010E" w:rsidRPr="00F43653" w:rsidRDefault="002A3AE4" w:rsidP="0068010E">
            <w:pPr>
              <w:keepLines/>
              <w:tabs>
                <w:tab w:val="right" w:pos="1202"/>
              </w:tabs>
              <w:spacing w:line="220" w:lineRule="exact"/>
              <w:jc w:val="right"/>
              <w:outlineLvl w:val="0"/>
              <w:rPr>
                <w:rFonts w:ascii="Arial" w:eastAsia="Times New Roman" w:hAnsi="Arial" w:cs="Arial"/>
                <w:color w:val="000000"/>
                <w:sz w:val="18"/>
                <w:szCs w:val="18"/>
              </w:rPr>
            </w:pPr>
            <w:r>
              <w:rPr>
                <w:rFonts w:ascii="Arial" w:eastAsia="Times New Roman" w:hAnsi="Arial" w:cs="Arial"/>
                <w:color w:val="000000"/>
                <w:sz w:val="18"/>
                <w:szCs w:val="18"/>
              </w:rPr>
              <w:t>43.565</w:t>
            </w:r>
          </w:p>
        </w:tc>
        <w:tc>
          <w:tcPr>
            <w:tcW w:w="624" w:type="pct"/>
            <w:vAlign w:val="bottom"/>
          </w:tcPr>
          <w:p w14:paraId="611217FA" w14:textId="7DB389CA" w:rsidR="0068010E" w:rsidRPr="00F43653" w:rsidRDefault="0068010E" w:rsidP="0068010E">
            <w:pPr>
              <w:keepLines/>
              <w:tabs>
                <w:tab w:val="right" w:pos="1202"/>
              </w:tabs>
              <w:spacing w:line="220" w:lineRule="exact"/>
              <w:jc w:val="right"/>
              <w:outlineLvl w:val="0"/>
              <w:rPr>
                <w:rFonts w:ascii="Arial" w:eastAsia="Times New Roman" w:hAnsi="Arial" w:cs="Arial"/>
                <w:color w:val="000000"/>
                <w:sz w:val="18"/>
                <w:szCs w:val="18"/>
              </w:rPr>
            </w:pPr>
            <w:r w:rsidRPr="00C60384">
              <w:rPr>
                <w:rFonts w:ascii="Arial" w:eastAsia="Times New Roman" w:hAnsi="Arial" w:cs="Arial"/>
                <w:color w:val="000000"/>
                <w:sz w:val="18"/>
                <w:szCs w:val="18"/>
              </w:rPr>
              <w:t>50.386</w:t>
            </w:r>
          </w:p>
        </w:tc>
      </w:tr>
      <w:tr w:rsidR="0068010E" w:rsidRPr="00F43653" w14:paraId="58096335" w14:textId="77777777" w:rsidTr="00E40F4A">
        <w:trPr>
          <w:trHeight w:hRule="exact" w:val="227"/>
        </w:trPr>
        <w:tc>
          <w:tcPr>
            <w:tcW w:w="3751" w:type="pct"/>
            <w:vAlign w:val="bottom"/>
          </w:tcPr>
          <w:p w14:paraId="31C0E9F2" w14:textId="77777777" w:rsidR="0068010E" w:rsidRPr="00F43653" w:rsidRDefault="0068010E" w:rsidP="0068010E">
            <w:pPr>
              <w:keepLines/>
              <w:tabs>
                <w:tab w:val="right" w:pos="1202"/>
              </w:tabs>
              <w:spacing w:line="220" w:lineRule="exact"/>
              <w:outlineLvl w:val="0"/>
              <w:rPr>
                <w:rFonts w:ascii="Arial" w:eastAsia="Times New Roman" w:hAnsi="Arial" w:cs="Arial"/>
                <w:i/>
                <w:color w:val="000000"/>
                <w:sz w:val="18"/>
                <w:szCs w:val="18"/>
              </w:rPr>
            </w:pPr>
            <w:bookmarkStart w:id="187" w:name="_Toc67327164"/>
            <w:r w:rsidRPr="00F43653">
              <w:rPr>
                <w:rFonts w:ascii="Arial" w:eastAsia="Times New Roman" w:hAnsi="Arial" w:cs="Arial"/>
                <w:i/>
                <w:color w:val="000000"/>
                <w:sz w:val="18"/>
                <w:szCs w:val="18"/>
              </w:rPr>
              <w:t>Usklađenje na neto novčana sredstva ostvarena i uporabljena za poslovne aktivnosti:</w:t>
            </w:r>
            <w:bookmarkEnd w:id="187"/>
          </w:p>
        </w:tc>
        <w:tc>
          <w:tcPr>
            <w:tcW w:w="625" w:type="pct"/>
            <w:vAlign w:val="bottom"/>
          </w:tcPr>
          <w:p w14:paraId="50DBA77A" w14:textId="77777777" w:rsidR="0068010E" w:rsidRPr="00F43653" w:rsidRDefault="0068010E" w:rsidP="0068010E">
            <w:pPr>
              <w:keepLines/>
              <w:tabs>
                <w:tab w:val="right" w:pos="1202"/>
              </w:tabs>
              <w:spacing w:line="220" w:lineRule="exact"/>
              <w:jc w:val="right"/>
              <w:outlineLvl w:val="0"/>
              <w:rPr>
                <w:rFonts w:ascii="Arial" w:eastAsia="Times New Roman" w:hAnsi="Arial" w:cs="Arial"/>
                <w:i/>
                <w:color w:val="000000"/>
                <w:sz w:val="18"/>
                <w:szCs w:val="18"/>
              </w:rPr>
            </w:pPr>
          </w:p>
        </w:tc>
        <w:tc>
          <w:tcPr>
            <w:tcW w:w="624" w:type="pct"/>
            <w:vAlign w:val="bottom"/>
          </w:tcPr>
          <w:p w14:paraId="15B4E6DD" w14:textId="77777777" w:rsidR="0068010E" w:rsidRPr="00F43653" w:rsidRDefault="0068010E" w:rsidP="0068010E">
            <w:pPr>
              <w:keepLines/>
              <w:tabs>
                <w:tab w:val="right" w:pos="1202"/>
              </w:tabs>
              <w:spacing w:line="220" w:lineRule="exact"/>
              <w:jc w:val="right"/>
              <w:outlineLvl w:val="0"/>
              <w:rPr>
                <w:rFonts w:ascii="Arial" w:eastAsia="Times New Roman" w:hAnsi="Arial" w:cs="Arial"/>
                <w:i/>
                <w:color w:val="000000"/>
                <w:sz w:val="18"/>
                <w:szCs w:val="18"/>
              </w:rPr>
            </w:pPr>
          </w:p>
        </w:tc>
      </w:tr>
      <w:tr w:rsidR="0068010E" w:rsidRPr="00F43653" w14:paraId="184C84D2" w14:textId="77777777" w:rsidTr="007478FB">
        <w:trPr>
          <w:trHeight w:hRule="exact" w:val="227"/>
        </w:trPr>
        <w:tc>
          <w:tcPr>
            <w:tcW w:w="3751" w:type="pct"/>
            <w:vAlign w:val="bottom"/>
          </w:tcPr>
          <w:p w14:paraId="7B2FC78F" w14:textId="77777777" w:rsidR="0068010E" w:rsidRPr="00F43653" w:rsidRDefault="0068010E" w:rsidP="0068010E">
            <w:pPr>
              <w:keepLines/>
              <w:tabs>
                <w:tab w:val="right" w:pos="1202"/>
              </w:tabs>
              <w:spacing w:line="220" w:lineRule="exact"/>
              <w:outlineLvl w:val="0"/>
              <w:rPr>
                <w:rFonts w:ascii="Arial" w:eastAsia="Times New Roman" w:hAnsi="Arial" w:cs="Arial"/>
                <w:color w:val="000000"/>
                <w:spacing w:val="-3"/>
                <w:sz w:val="18"/>
                <w:szCs w:val="18"/>
              </w:rPr>
            </w:pPr>
            <w:bookmarkStart w:id="188" w:name="_Toc67327165"/>
            <w:r w:rsidRPr="00F43653">
              <w:rPr>
                <w:rFonts w:ascii="Arial" w:eastAsia="Times New Roman" w:hAnsi="Arial" w:cs="Arial"/>
                <w:color w:val="000000"/>
                <w:sz w:val="18"/>
                <w:szCs w:val="18"/>
              </w:rPr>
              <w:t>Amortizacija</w:t>
            </w:r>
            <w:bookmarkEnd w:id="188"/>
          </w:p>
        </w:tc>
        <w:tc>
          <w:tcPr>
            <w:tcW w:w="625" w:type="pct"/>
            <w:vAlign w:val="bottom"/>
          </w:tcPr>
          <w:p w14:paraId="7307BAF2" w14:textId="789A6B3B" w:rsidR="0068010E" w:rsidRPr="00F43653" w:rsidRDefault="00680EFD" w:rsidP="0068010E">
            <w:pPr>
              <w:keepLines/>
              <w:jc w:val="right"/>
              <w:rPr>
                <w:rFonts w:ascii="Arial" w:eastAsia="Times New Roman" w:hAnsi="Arial" w:cs="Arial"/>
                <w:color w:val="000000"/>
                <w:sz w:val="18"/>
                <w:szCs w:val="18"/>
              </w:rPr>
            </w:pPr>
            <w:r>
              <w:rPr>
                <w:rFonts w:ascii="Arial" w:eastAsia="Times New Roman" w:hAnsi="Arial" w:cs="Arial"/>
                <w:color w:val="000000"/>
                <w:sz w:val="18"/>
                <w:szCs w:val="18"/>
              </w:rPr>
              <w:t>1.434</w:t>
            </w:r>
          </w:p>
        </w:tc>
        <w:tc>
          <w:tcPr>
            <w:tcW w:w="624" w:type="pct"/>
            <w:vAlign w:val="bottom"/>
          </w:tcPr>
          <w:p w14:paraId="0A9BDBD1" w14:textId="5BFE252F" w:rsidR="0068010E" w:rsidRPr="00F43653" w:rsidRDefault="0068010E" w:rsidP="0068010E">
            <w:pPr>
              <w:keepLines/>
              <w:jc w:val="right"/>
              <w:rPr>
                <w:rFonts w:ascii="Arial" w:eastAsia="Times New Roman" w:hAnsi="Arial" w:cs="Arial"/>
                <w:color w:val="000000"/>
                <w:sz w:val="18"/>
                <w:szCs w:val="18"/>
              </w:rPr>
            </w:pPr>
            <w:r w:rsidRPr="00C60384">
              <w:rPr>
                <w:rFonts w:ascii="Arial" w:eastAsia="Times New Roman" w:hAnsi="Arial" w:cs="Arial"/>
                <w:color w:val="000000"/>
                <w:sz w:val="18"/>
                <w:szCs w:val="18"/>
              </w:rPr>
              <w:t>1.008</w:t>
            </w:r>
          </w:p>
        </w:tc>
      </w:tr>
      <w:tr w:rsidR="0068010E" w:rsidRPr="00F43653" w14:paraId="4C3FEB09" w14:textId="77777777" w:rsidTr="009E260C">
        <w:trPr>
          <w:trHeight w:hRule="exact" w:val="227"/>
        </w:trPr>
        <w:tc>
          <w:tcPr>
            <w:tcW w:w="3751" w:type="pct"/>
            <w:vAlign w:val="bottom"/>
          </w:tcPr>
          <w:p w14:paraId="4A901FFD" w14:textId="60CEB785" w:rsidR="0068010E" w:rsidRPr="00F43653" w:rsidRDefault="00C03B37" w:rsidP="0068010E">
            <w:pPr>
              <w:tabs>
                <w:tab w:val="right" w:pos="1202"/>
              </w:tabs>
              <w:spacing w:line="220" w:lineRule="exact"/>
              <w:outlineLvl w:val="0"/>
              <w:rPr>
                <w:rFonts w:ascii="Arial" w:eastAsia="Times New Roman" w:hAnsi="Arial" w:cs="Arial"/>
                <w:bCs/>
                <w:color w:val="000000"/>
                <w:spacing w:val="-2"/>
                <w:sz w:val="18"/>
                <w:szCs w:val="18"/>
              </w:rPr>
            </w:pPr>
            <w:bookmarkStart w:id="189" w:name="_Toc67327168"/>
            <w:r>
              <w:rPr>
                <w:rFonts w:ascii="Arial" w:eastAsia="Times New Roman" w:hAnsi="Arial" w:cs="Arial"/>
                <w:bCs/>
                <w:color w:val="000000"/>
                <w:spacing w:val="-2"/>
                <w:sz w:val="18"/>
                <w:szCs w:val="18"/>
              </w:rPr>
              <w:t>D</w:t>
            </w:r>
            <w:r w:rsidR="0068010E">
              <w:rPr>
                <w:rFonts w:ascii="Arial" w:eastAsia="Times New Roman" w:hAnsi="Arial" w:cs="Arial"/>
                <w:bCs/>
                <w:color w:val="000000"/>
                <w:spacing w:val="-2"/>
                <w:sz w:val="18"/>
                <w:szCs w:val="18"/>
              </w:rPr>
              <w:t>obitak</w:t>
            </w:r>
            <w:r w:rsidR="0068010E" w:rsidRPr="00F43653">
              <w:rPr>
                <w:rFonts w:ascii="Arial" w:eastAsia="Times New Roman" w:hAnsi="Arial" w:cs="Arial"/>
                <w:bCs/>
                <w:color w:val="000000"/>
                <w:spacing w:val="-2"/>
                <w:sz w:val="18"/>
                <w:szCs w:val="18"/>
              </w:rPr>
              <w:t xml:space="preserve"> od umanjenja vrijednosti i rezerviranja</w:t>
            </w:r>
            <w:bookmarkEnd w:id="189"/>
          </w:p>
        </w:tc>
        <w:tc>
          <w:tcPr>
            <w:tcW w:w="625" w:type="pct"/>
            <w:shd w:val="clear" w:color="auto" w:fill="auto"/>
            <w:vAlign w:val="bottom"/>
          </w:tcPr>
          <w:p w14:paraId="1628137D" w14:textId="75C13415" w:rsidR="0068010E" w:rsidRPr="00E72A09" w:rsidRDefault="00C03B37" w:rsidP="0068010E">
            <w:pPr>
              <w:keepLines/>
              <w:jc w:val="right"/>
              <w:rPr>
                <w:rFonts w:ascii="Arial" w:eastAsia="Times New Roman" w:hAnsi="Arial" w:cs="Arial"/>
                <w:color w:val="000000"/>
                <w:sz w:val="18"/>
                <w:szCs w:val="18"/>
              </w:rPr>
            </w:pPr>
            <w:r>
              <w:rPr>
                <w:rFonts w:ascii="Arial" w:eastAsia="Times New Roman" w:hAnsi="Arial" w:cs="Arial"/>
                <w:color w:val="000000"/>
                <w:sz w:val="18"/>
                <w:szCs w:val="18"/>
              </w:rPr>
              <w:t>(6.511)</w:t>
            </w:r>
          </w:p>
        </w:tc>
        <w:tc>
          <w:tcPr>
            <w:tcW w:w="624" w:type="pct"/>
            <w:shd w:val="clear" w:color="auto" w:fill="auto"/>
            <w:vAlign w:val="bottom"/>
          </w:tcPr>
          <w:p w14:paraId="1A806F70" w14:textId="5FDDD87C" w:rsidR="0068010E" w:rsidRPr="00E72A09" w:rsidRDefault="0068010E" w:rsidP="0068010E">
            <w:pPr>
              <w:keepLines/>
              <w:jc w:val="right"/>
              <w:rPr>
                <w:rFonts w:ascii="Arial" w:eastAsia="Times New Roman" w:hAnsi="Arial" w:cs="Arial"/>
                <w:color w:val="000000"/>
                <w:sz w:val="18"/>
                <w:szCs w:val="18"/>
              </w:rPr>
            </w:pPr>
            <w:r w:rsidRPr="00C60384">
              <w:rPr>
                <w:rFonts w:ascii="Arial" w:eastAsia="Times New Roman" w:hAnsi="Arial" w:cs="Arial"/>
                <w:color w:val="000000"/>
                <w:sz w:val="18"/>
                <w:szCs w:val="18"/>
              </w:rPr>
              <w:t>(17.034)</w:t>
            </w:r>
          </w:p>
        </w:tc>
      </w:tr>
      <w:tr w:rsidR="0068010E" w:rsidRPr="00F43653" w14:paraId="18BF4B42" w14:textId="77777777" w:rsidTr="009E260C">
        <w:trPr>
          <w:trHeight w:hRule="exact" w:val="227"/>
        </w:trPr>
        <w:tc>
          <w:tcPr>
            <w:tcW w:w="3751" w:type="pct"/>
            <w:vAlign w:val="bottom"/>
          </w:tcPr>
          <w:p w14:paraId="4B289FD2" w14:textId="77777777" w:rsidR="0068010E" w:rsidRPr="00F43653" w:rsidRDefault="0068010E" w:rsidP="0068010E">
            <w:pPr>
              <w:keepLines/>
              <w:tabs>
                <w:tab w:val="right" w:pos="1202"/>
              </w:tabs>
              <w:spacing w:line="220" w:lineRule="exact"/>
              <w:outlineLvl w:val="0"/>
              <w:rPr>
                <w:rFonts w:ascii="Arial" w:eastAsia="Times New Roman" w:hAnsi="Arial" w:cs="Arial"/>
                <w:iCs/>
                <w:color w:val="000000"/>
                <w:sz w:val="18"/>
                <w:szCs w:val="18"/>
              </w:rPr>
            </w:pPr>
            <w:bookmarkStart w:id="190" w:name="_Toc67327171"/>
            <w:r w:rsidRPr="00F43653">
              <w:rPr>
                <w:rFonts w:ascii="Arial" w:eastAsia="Times New Roman" w:hAnsi="Arial" w:cs="Arial"/>
                <w:iCs/>
                <w:color w:val="000000"/>
                <w:sz w:val="18"/>
                <w:szCs w:val="18"/>
              </w:rPr>
              <w:t>Obračunane kamate</w:t>
            </w:r>
            <w:bookmarkEnd w:id="190"/>
            <w:r w:rsidRPr="00F43653">
              <w:rPr>
                <w:rFonts w:ascii="Arial" w:eastAsia="Times New Roman" w:hAnsi="Arial" w:cs="Arial"/>
                <w:iCs/>
                <w:color w:val="000000"/>
                <w:sz w:val="18"/>
                <w:szCs w:val="18"/>
              </w:rPr>
              <w:t xml:space="preserve"> </w:t>
            </w:r>
          </w:p>
        </w:tc>
        <w:tc>
          <w:tcPr>
            <w:tcW w:w="625" w:type="pct"/>
            <w:shd w:val="clear" w:color="auto" w:fill="auto"/>
            <w:vAlign w:val="bottom"/>
          </w:tcPr>
          <w:p w14:paraId="7088162D" w14:textId="3E65FA7D" w:rsidR="0068010E" w:rsidRPr="00E40F4A" w:rsidRDefault="00C17D17" w:rsidP="0068010E">
            <w:pPr>
              <w:keepLines/>
              <w:jc w:val="right"/>
              <w:rPr>
                <w:rFonts w:ascii="Arial" w:eastAsia="Times New Roman" w:hAnsi="Arial" w:cs="Arial"/>
                <w:color w:val="000000"/>
                <w:sz w:val="18"/>
                <w:szCs w:val="18"/>
              </w:rPr>
            </w:pPr>
            <w:r>
              <w:rPr>
                <w:rFonts w:ascii="Arial" w:eastAsia="Times New Roman" w:hAnsi="Arial" w:cs="Arial"/>
                <w:color w:val="000000"/>
                <w:sz w:val="18"/>
                <w:szCs w:val="18"/>
              </w:rPr>
              <w:t>(732)</w:t>
            </w:r>
          </w:p>
        </w:tc>
        <w:tc>
          <w:tcPr>
            <w:tcW w:w="624" w:type="pct"/>
            <w:shd w:val="clear" w:color="auto" w:fill="auto"/>
            <w:vAlign w:val="bottom"/>
          </w:tcPr>
          <w:p w14:paraId="2FC7A2DA" w14:textId="56355CE5" w:rsidR="0068010E" w:rsidRPr="00E72A09" w:rsidRDefault="0068010E" w:rsidP="0068010E">
            <w:pPr>
              <w:keepLines/>
              <w:jc w:val="right"/>
              <w:rPr>
                <w:rFonts w:ascii="Arial" w:eastAsia="Times New Roman" w:hAnsi="Arial" w:cs="Arial"/>
                <w:color w:val="000000"/>
                <w:sz w:val="18"/>
                <w:szCs w:val="18"/>
              </w:rPr>
            </w:pPr>
            <w:r w:rsidRPr="009E260C">
              <w:rPr>
                <w:rFonts w:ascii="Arial" w:eastAsia="Times New Roman" w:hAnsi="Arial" w:cs="Arial"/>
                <w:color w:val="000000"/>
                <w:sz w:val="18"/>
                <w:szCs w:val="18"/>
              </w:rPr>
              <w:t xml:space="preserve"> (2.722)</w:t>
            </w:r>
          </w:p>
        </w:tc>
      </w:tr>
      <w:tr w:rsidR="0068010E" w:rsidRPr="00F43653" w14:paraId="3B924A80" w14:textId="77777777" w:rsidTr="009E260C">
        <w:trPr>
          <w:trHeight w:hRule="exact" w:val="227"/>
        </w:trPr>
        <w:tc>
          <w:tcPr>
            <w:tcW w:w="3751" w:type="pct"/>
            <w:vAlign w:val="bottom"/>
          </w:tcPr>
          <w:p w14:paraId="7DB6D014" w14:textId="77777777" w:rsidR="0068010E" w:rsidRPr="00F43653" w:rsidRDefault="0068010E" w:rsidP="0068010E">
            <w:pPr>
              <w:keepLines/>
              <w:tabs>
                <w:tab w:val="right" w:pos="1202"/>
              </w:tabs>
              <w:spacing w:line="220" w:lineRule="exact"/>
              <w:outlineLvl w:val="0"/>
              <w:rPr>
                <w:rFonts w:ascii="Arial" w:eastAsia="Times New Roman" w:hAnsi="Arial" w:cs="Arial"/>
                <w:i/>
                <w:iCs/>
                <w:color w:val="000000"/>
                <w:sz w:val="18"/>
                <w:szCs w:val="18"/>
              </w:rPr>
            </w:pPr>
            <w:bookmarkStart w:id="191" w:name="_Toc67327172"/>
            <w:r w:rsidRPr="00F43653">
              <w:rPr>
                <w:rFonts w:ascii="Arial" w:eastAsia="Times New Roman" w:hAnsi="Arial" w:cs="Arial"/>
                <w:iCs/>
                <w:color w:val="000000"/>
                <w:sz w:val="18"/>
                <w:szCs w:val="18"/>
              </w:rPr>
              <w:t>Odgođene naknade</w:t>
            </w:r>
            <w:bookmarkEnd w:id="191"/>
          </w:p>
        </w:tc>
        <w:tc>
          <w:tcPr>
            <w:tcW w:w="625" w:type="pct"/>
            <w:shd w:val="clear" w:color="auto" w:fill="auto"/>
            <w:vAlign w:val="bottom"/>
          </w:tcPr>
          <w:p w14:paraId="69599CCE" w14:textId="703FCBE4" w:rsidR="0068010E" w:rsidRPr="00E72A09" w:rsidRDefault="00C17D17" w:rsidP="0068010E">
            <w:pPr>
              <w:keepLines/>
              <w:jc w:val="right"/>
              <w:rPr>
                <w:rFonts w:ascii="Arial" w:eastAsia="Times New Roman" w:hAnsi="Arial" w:cs="Arial"/>
                <w:color w:val="000000"/>
                <w:sz w:val="18"/>
                <w:szCs w:val="18"/>
              </w:rPr>
            </w:pPr>
            <w:r>
              <w:rPr>
                <w:rFonts w:ascii="Arial" w:eastAsia="Times New Roman" w:hAnsi="Arial" w:cs="Arial"/>
                <w:color w:val="000000"/>
                <w:sz w:val="18"/>
                <w:szCs w:val="18"/>
              </w:rPr>
              <w:t>2.001</w:t>
            </w:r>
          </w:p>
        </w:tc>
        <w:tc>
          <w:tcPr>
            <w:tcW w:w="624" w:type="pct"/>
            <w:shd w:val="clear" w:color="auto" w:fill="auto"/>
            <w:vAlign w:val="bottom"/>
          </w:tcPr>
          <w:p w14:paraId="2DE16952" w14:textId="343BA164" w:rsidR="0068010E" w:rsidRPr="00E72A09" w:rsidRDefault="0068010E" w:rsidP="0068010E">
            <w:pPr>
              <w:keepLines/>
              <w:jc w:val="right"/>
              <w:rPr>
                <w:rFonts w:ascii="Arial" w:eastAsia="Times New Roman" w:hAnsi="Arial" w:cs="Arial"/>
                <w:color w:val="000000"/>
                <w:sz w:val="18"/>
                <w:szCs w:val="18"/>
              </w:rPr>
            </w:pPr>
            <w:r w:rsidRPr="009E260C">
              <w:rPr>
                <w:rFonts w:ascii="Arial" w:eastAsia="Times New Roman" w:hAnsi="Arial" w:cs="Arial"/>
                <w:color w:val="000000"/>
                <w:sz w:val="18"/>
                <w:szCs w:val="18"/>
              </w:rPr>
              <w:t xml:space="preserve"> (553)</w:t>
            </w:r>
          </w:p>
        </w:tc>
      </w:tr>
      <w:tr w:rsidR="0068010E" w:rsidRPr="00F43653" w14:paraId="4055291B" w14:textId="77777777" w:rsidTr="009E260C">
        <w:trPr>
          <w:trHeight w:hRule="exact" w:val="227"/>
        </w:trPr>
        <w:tc>
          <w:tcPr>
            <w:tcW w:w="3751" w:type="pct"/>
            <w:vAlign w:val="bottom"/>
          </w:tcPr>
          <w:p w14:paraId="7640F6ED" w14:textId="14E4329B" w:rsidR="0068010E" w:rsidRPr="00F43653" w:rsidRDefault="0068010E" w:rsidP="0068010E">
            <w:pPr>
              <w:keepLines/>
              <w:tabs>
                <w:tab w:val="right" w:pos="1202"/>
              </w:tabs>
              <w:spacing w:line="220" w:lineRule="exact"/>
              <w:outlineLvl w:val="0"/>
              <w:rPr>
                <w:rFonts w:ascii="Arial" w:eastAsia="Times New Roman" w:hAnsi="Arial" w:cs="Arial"/>
                <w:iCs/>
                <w:color w:val="000000"/>
                <w:sz w:val="18"/>
                <w:szCs w:val="18"/>
              </w:rPr>
            </w:pPr>
            <w:bookmarkStart w:id="192" w:name="_Toc67327173"/>
            <w:r w:rsidRPr="00F43653">
              <w:rPr>
                <w:rFonts w:ascii="Arial" w:eastAsia="Times New Roman" w:hAnsi="Arial" w:cs="Arial"/>
                <w:iCs/>
                <w:color w:val="000000"/>
                <w:sz w:val="18"/>
                <w:szCs w:val="18"/>
              </w:rPr>
              <w:t xml:space="preserve">Neto </w:t>
            </w:r>
            <w:r w:rsidRPr="00E72A09">
              <w:rPr>
                <w:rFonts w:ascii="Arial" w:eastAsia="Times New Roman" w:hAnsi="Arial" w:cs="Arial"/>
                <w:iCs/>
                <w:color w:val="000000"/>
                <w:sz w:val="18"/>
                <w:szCs w:val="18"/>
              </w:rPr>
              <w:t>(gubitak)</w:t>
            </w:r>
            <w:r>
              <w:rPr>
                <w:rFonts w:ascii="Arial" w:eastAsia="Times New Roman" w:hAnsi="Arial" w:cs="Arial"/>
                <w:iCs/>
                <w:color w:val="000000"/>
                <w:sz w:val="18"/>
                <w:szCs w:val="18"/>
              </w:rPr>
              <w:t>/dobitak</w:t>
            </w:r>
            <w:r w:rsidRPr="00F43653">
              <w:rPr>
                <w:rFonts w:ascii="Arial" w:eastAsia="Times New Roman" w:hAnsi="Arial" w:cs="Arial"/>
                <w:iCs/>
                <w:color w:val="000000"/>
                <w:sz w:val="18"/>
                <w:szCs w:val="18"/>
              </w:rPr>
              <w:t xml:space="preserve"> od trgovanja derivativnim financijskim instrumentima</w:t>
            </w:r>
            <w:bookmarkEnd w:id="192"/>
          </w:p>
        </w:tc>
        <w:tc>
          <w:tcPr>
            <w:tcW w:w="625" w:type="pct"/>
            <w:shd w:val="clear" w:color="auto" w:fill="auto"/>
            <w:vAlign w:val="bottom"/>
          </w:tcPr>
          <w:p w14:paraId="354DC78D" w14:textId="2604633B" w:rsidR="0068010E" w:rsidRPr="00E72A09" w:rsidRDefault="00975E47" w:rsidP="0068010E">
            <w:pPr>
              <w:keepLines/>
              <w:jc w:val="right"/>
              <w:rPr>
                <w:rFonts w:ascii="Arial" w:eastAsia="Times New Roman" w:hAnsi="Arial" w:cs="Arial"/>
                <w:color w:val="000000"/>
                <w:sz w:val="18"/>
                <w:szCs w:val="18"/>
              </w:rPr>
            </w:pPr>
            <w:r>
              <w:rPr>
                <w:rFonts w:ascii="Arial" w:eastAsia="Times New Roman" w:hAnsi="Arial" w:cs="Arial"/>
                <w:color w:val="000000"/>
                <w:sz w:val="18"/>
                <w:szCs w:val="18"/>
              </w:rPr>
              <w:t>297</w:t>
            </w:r>
          </w:p>
        </w:tc>
        <w:tc>
          <w:tcPr>
            <w:tcW w:w="624" w:type="pct"/>
            <w:shd w:val="clear" w:color="auto" w:fill="auto"/>
            <w:vAlign w:val="bottom"/>
          </w:tcPr>
          <w:p w14:paraId="03ED43F8" w14:textId="3AB70BEB" w:rsidR="0068010E" w:rsidRPr="00E72A09" w:rsidRDefault="0068010E" w:rsidP="0068010E">
            <w:pPr>
              <w:keepLines/>
              <w:jc w:val="right"/>
              <w:rPr>
                <w:rFonts w:ascii="Arial" w:eastAsia="Times New Roman" w:hAnsi="Arial" w:cs="Arial"/>
                <w:color w:val="000000"/>
                <w:sz w:val="18"/>
                <w:szCs w:val="18"/>
              </w:rPr>
            </w:pPr>
            <w:r w:rsidRPr="009E260C">
              <w:rPr>
                <w:rFonts w:ascii="Arial" w:eastAsia="Times New Roman" w:hAnsi="Arial" w:cs="Arial"/>
                <w:color w:val="000000"/>
                <w:sz w:val="18"/>
                <w:szCs w:val="18"/>
              </w:rPr>
              <w:t>(621)</w:t>
            </w:r>
          </w:p>
        </w:tc>
      </w:tr>
      <w:tr w:rsidR="0068010E" w:rsidRPr="00F43653" w14:paraId="032A4084" w14:textId="77777777" w:rsidTr="007478FB">
        <w:trPr>
          <w:trHeight w:hRule="exact" w:val="227"/>
        </w:trPr>
        <w:tc>
          <w:tcPr>
            <w:tcW w:w="3751" w:type="pct"/>
            <w:vAlign w:val="bottom"/>
          </w:tcPr>
          <w:p w14:paraId="1E16CA80" w14:textId="77777777" w:rsidR="0068010E" w:rsidRPr="007478FB" w:rsidRDefault="0068010E" w:rsidP="0068010E">
            <w:pPr>
              <w:keepLines/>
              <w:tabs>
                <w:tab w:val="right" w:pos="1202"/>
              </w:tabs>
              <w:spacing w:line="220" w:lineRule="exact"/>
              <w:outlineLvl w:val="0"/>
              <w:rPr>
                <w:rFonts w:ascii="Arial" w:eastAsia="Times New Roman" w:hAnsi="Arial" w:cs="Arial"/>
                <w:iCs/>
                <w:color w:val="000000"/>
                <w:sz w:val="18"/>
                <w:szCs w:val="18"/>
                <w:highlight w:val="green"/>
              </w:rPr>
            </w:pPr>
            <w:bookmarkStart w:id="193" w:name="_Toc67327174"/>
            <w:r w:rsidRPr="00425EA8">
              <w:rPr>
                <w:rFonts w:ascii="Arial" w:eastAsia="Times New Roman" w:hAnsi="Arial" w:cs="Arial"/>
                <w:iCs/>
                <w:color w:val="000000"/>
                <w:sz w:val="18"/>
                <w:szCs w:val="18"/>
              </w:rPr>
              <w:t>Ostale promjene po imovini po fer vrijednosti</w:t>
            </w:r>
            <w:bookmarkEnd w:id="193"/>
          </w:p>
        </w:tc>
        <w:tc>
          <w:tcPr>
            <w:tcW w:w="625" w:type="pct"/>
            <w:shd w:val="clear" w:color="auto" w:fill="auto"/>
            <w:vAlign w:val="bottom"/>
          </w:tcPr>
          <w:p w14:paraId="6B63543C" w14:textId="26D115AF" w:rsidR="0068010E" w:rsidRPr="007478FB" w:rsidRDefault="00975E47" w:rsidP="0068010E">
            <w:pPr>
              <w:keepLines/>
              <w:jc w:val="right"/>
              <w:rPr>
                <w:rFonts w:ascii="Arial" w:eastAsia="Times New Roman" w:hAnsi="Arial" w:cs="Arial"/>
                <w:color w:val="000000"/>
                <w:sz w:val="18"/>
                <w:szCs w:val="18"/>
                <w:highlight w:val="green"/>
              </w:rPr>
            </w:pPr>
            <w:r w:rsidRPr="00975E47">
              <w:rPr>
                <w:rFonts w:ascii="Arial" w:eastAsia="Times New Roman" w:hAnsi="Arial" w:cs="Arial"/>
                <w:color w:val="000000"/>
                <w:sz w:val="18"/>
                <w:szCs w:val="18"/>
              </w:rPr>
              <w:t>(445)</w:t>
            </w:r>
          </w:p>
        </w:tc>
        <w:tc>
          <w:tcPr>
            <w:tcW w:w="624" w:type="pct"/>
            <w:shd w:val="clear" w:color="auto" w:fill="auto"/>
            <w:vAlign w:val="bottom"/>
          </w:tcPr>
          <w:p w14:paraId="5CA3636D" w14:textId="0F74BE77" w:rsidR="0068010E" w:rsidRPr="007478FB" w:rsidRDefault="0068010E" w:rsidP="0068010E">
            <w:pPr>
              <w:keepLines/>
              <w:jc w:val="right"/>
              <w:rPr>
                <w:rFonts w:ascii="Arial" w:eastAsia="Times New Roman" w:hAnsi="Arial" w:cs="Arial"/>
                <w:color w:val="000000"/>
                <w:sz w:val="18"/>
                <w:szCs w:val="18"/>
                <w:highlight w:val="green"/>
              </w:rPr>
            </w:pPr>
            <w:r w:rsidRPr="009E260C">
              <w:rPr>
                <w:rFonts w:ascii="Arial" w:eastAsia="Times New Roman" w:hAnsi="Arial" w:cs="Arial"/>
                <w:color w:val="000000"/>
                <w:sz w:val="18"/>
                <w:szCs w:val="18"/>
              </w:rPr>
              <w:t>(25.447)</w:t>
            </w:r>
          </w:p>
        </w:tc>
      </w:tr>
      <w:tr w:rsidR="0068010E" w:rsidRPr="00F43653" w14:paraId="374BA0D5" w14:textId="77777777" w:rsidTr="00E40F4A">
        <w:trPr>
          <w:trHeight w:hRule="exact" w:val="227"/>
        </w:trPr>
        <w:tc>
          <w:tcPr>
            <w:tcW w:w="3751" w:type="pct"/>
            <w:vAlign w:val="bottom"/>
          </w:tcPr>
          <w:p w14:paraId="06F9BB5C" w14:textId="54F4E6A2" w:rsidR="0068010E" w:rsidRPr="00F43653" w:rsidRDefault="0068010E" w:rsidP="0068010E">
            <w:pPr>
              <w:keepLines/>
              <w:tabs>
                <w:tab w:val="right" w:pos="1202"/>
              </w:tabs>
              <w:spacing w:line="220" w:lineRule="exact"/>
              <w:outlineLvl w:val="0"/>
              <w:rPr>
                <w:rFonts w:ascii="Arial" w:eastAsia="Times New Roman" w:hAnsi="Arial" w:cs="Arial"/>
                <w:i/>
                <w:iCs/>
                <w:color w:val="000000"/>
                <w:sz w:val="18"/>
                <w:szCs w:val="18"/>
              </w:rPr>
            </w:pPr>
            <w:bookmarkStart w:id="194" w:name="_Toc67327175"/>
            <w:r w:rsidRPr="00F43653">
              <w:rPr>
                <w:rFonts w:ascii="Arial" w:eastAsia="Times New Roman" w:hAnsi="Arial" w:cs="Arial"/>
                <w:i/>
                <w:iCs/>
                <w:color w:val="000000"/>
                <w:sz w:val="18"/>
                <w:szCs w:val="18"/>
              </w:rPr>
              <w:t>Dobita</w:t>
            </w:r>
            <w:r>
              <w:rPr>
                <w:rFonts w:ascii="Arial" w:eastAsia="Times New Roman" w:hAnsi="Arial" w:cs="Arial"/>
                <w:i/>
                <w:iCs/>
                <w:color w:val="000000"/>
                <w:sz w:val="18"/>
                <w:szCs w:val="18"/>
              </w:rPr>
              <w:t>k i</w:t>
            </w:r>
            <w:r w:rsidRPr="00F43653">
              <w:rPr>
                <w:rFonts w:ascii="Arial" w:eastAsia="Times New Roman" w:hAnsi="Arial" w:cs="Arial"/>
                <w:i/>
                <w:iCs/>
                <w:color w:val="000000"/>
                <w:sz w:val="18"/>
                <w:szCs w:val="18"/>
              </w:rPr>
              <w:t>iz poslovnih aktivnosti prije promjena radnog kapitala</w:t>
            </w:r>
            <w:bookmarkEnd w:id="194"/>
          </w:p>
        </w:tc>
        <w:tc>
          <w:tcPr>
            <w:tcW w:w="625" w:type="pct"/>
            <w:vAlign w:val="bottom"/>
          </w:tcPr>
          <w:p w14:paraId="35955CC4" w14:textId="361E3E54" w:rsidR="0068010E" w:rsidRPr="00F43653" w:rsidRDefault="005B1563" w:rsidP="0068010E">
            <w:pPr>
              <w:keepLines/>
              <w:jc w:val="right"/>
              <w:rPr>
                <w:rFonts w:ascii="Arial" w:eastAsia="Times New Roman" w:hAnsi="Arial" w:cs="Arial"/>
                <w:i/>
                <w:iCs/>
                <w:color w:val="000000"/>
                <w:sz w:val="18"/>
                <w:szCs w:val="18"/>
              </w:rPr>
            </w:pPr>
            <w:r>
              <w:rPr>
                <w:rFonts w:ascii="Arial" w:eastAsia="Times New Roman" w:hAnsi="Arial" w:cs="Arial"/>
                <w:i/>
                <w:iCs/>
                <w:color w:val="000000"/>
                <w:sz w:val="18"/>
                <w:szCs w:val="18"/>
              </w:rPr>
              <w:t>39.609</w:t>
            </w:r>
          </w:p>
        </w:tc>
        <w:tc>
          <w:tcPr>
            <w:tcW w:w="624" w:type="pct"/>
            <w:vAlign w:val="bottom"/>
          </w:tcPr>
          <w:p w14:paraId="3E149958" w14:textId="1402348C" w:rsidR="0068010E" w:rsidRPr="00F43653" w:rsidRDefault="0068010E" w:rsidP="0068010E">
            <w:pPr>
              <w:keepLines/>
              <w:jc w:val="right"/>
              <w:rPr>
                <w:rFonts w:ascii="Arial" w:eastAsia="Times New Roman" w:hAnsi="Arial" w:cs="Arial"/>
                <w:i/>
                <w:iCs/>
                <w:color w:val="000000"/>
                <w:sz w:val="18"/>
                <w:szCs w:val="18"/>
              </w:rPr>
            </w:pPr>
            <w:r w:rsidRPr="009E260C">
              <w:rPr>
                <w:rFonts w:ascii="Arial" w:eastAsia="Times New Roman" w:hAnsi="Arial" w:cs="Arial"/>
                <w:i/>
                <w:iCs/>
                <w:color w:val="000000"/>
                <w:sz w:val="18"/>
                <w:szCs w:val="18"/>
              </w:rPr>
              <w:t>5.017</w:t>
            </w:r>
          </w:p>
        </w:tc>
      </w:tr>
      <w:tr w:rsidR="0068010E" w:rsidRPr="00F43653" w14:paraId="0E4CF5A9" w14:textId="77777777" w:rsidTr="00E40F4A">
        <w:trPr>
          <w:trHeight w:hRule="exact" w:val="227"/>
        </w:trPr>
        <w:tc>
          <w:tcPr>
            <w:tcW w:w="3751" w:type="pct"/>
            <w:vAlign w:val="bottom"/>
          </w:tcPr>
          <w:p w14:paraId="6B65D960" w14:textId="77777777" w:rsidR="0068010E" w:rsidRPr="00F43653" w:rsidRDefault="0068010E" w:rsidP="0068010E">
            <w:pPr>
              <w:keepLines/>
              <w:tabs>
                <w:tab w:val="right" w:pos="1202"/>
              </w:tabs>
              <w:spacing w:line="220" w:lineRule="exact"/>
              <w:outlineLvl w:val="0"/>
              <w:rPr>
                <w:rFonts w:ascii="Arial" w:eastAsia="Times New Roman" w:hAnsi="Arial" w:cs="Arial"/>
                <w:i/>
                <w:iCs/>
                <w:color w:val="000000"/>
                <w:sz w:val="18"/>
                <w:szCs w:val="18"/>
              </w:rPr>
            </w:pPr>
            <w:bookmarkStart w:id="195" w:name="_Toc67327176"/>
            <w:r w:rsidRPr="00F43653">
              <w:rPr>
                <w:rFonts w:ascii="Arial" w:eastAsia="Times New Roman" w:hAnsi="Arial" w:cs="Arial"/>
                <w:i/>
                <w:iCs/>
                <w:color w:val="000000"/>
                <w:sz w:val="18"/>
                <w:szCs w:val="18"/>
              </w:rPr>
              <w:t>Promjene u poslovnim sredstvima i izvorima:</w:t>
            </w:r>
            <w:bookmarkEnd w:id="195"/>
          </w:p>
        </w:tc>
        <w:tc>
          <w:tcPr>
            <w:tcW w:w="625" w:type="pct"/>
            <w:vAlign w:val="bottom"/>
          </w:tcPr>
          <w:p w14:paraId="3D513B73" w14:textId="77777777" w:rsidR="0068010E" w:rsidRPr="00F43653" w:rsidRDefault="0068010E" w:rsidP="0068010E">
            <w:pPr>
              <w:keepLines/>
              <w:jc w:val="right"/>
              <w:rPr>
                <w:rFonts w:ascii="Arial" w:eastAsia="Times New Roman" w:hAnsi="Arial" w:cs="Arial"/>
                <w:i/>
                <w:color w:val="000000"/>
                <w:sz w:val="18"/>
                <w:szCs w:val="18"/>
              </w:rPr>
            </w:pPr>
          </w:p>
        </w:tc>
        <w:tc>
          <w:tcPr>
            <w:tcW w:w="624" w:type="pct"/>
            <w:vAlign w:val="bottom"/>
          </w:tcPr>
          <w:p w14:paraId="7062831D" w14:textId="77777777" w:rsidR="0068010E" w:rsidRPr="00F43653" w:rsidRDefault="0068010E" w:rsidP="0068010E">
            <w:pPr>
              <w:keepLines/>
              <w:jc w:val="right"/>
              <w:rPr>
                <w:rFonts w:ascii="Arial" w:eastAsia="Times New Roman" w:hAnsi="Arial" w:cs="Arial"/>
                <w:i/>
                <w:color w:val="000000"/>
                <w:sz w:val="18"/>
                <w:szCs w:val="18"/>
              </w:rPr>
            </w:pPr>
          </w:p>
        </w:tc>
      </w:tr>
      <w:tr w:rsidR="0068010E" w:rsidRPr="00F43653" w14:paraId="61F429A1" w14:textId="77777777" w:rsidTr="009E260C">
        <w:trPr>
          <w:trHeight w:val="227"/>
        </w:trPr>
        <w:tc>
          <w:tcPr>
            <w:tcW w:w="3751" w:type="pct"/>
            <w:vAlign w:val="bottom"/>
          </w:tcPr>
          <w:p w14:paraId="39790D44" w14:textId="087D9EAB" w:rsidR="0068010E" w:rsidRPr="00E72A09" w:rsidRDefault="0068010E" w:rsidP="0068010E">
            <w:pPr>
              <w:keepLines/>
              <w:tabs>
                <w:tab w:val="right" w:pos="1202"/>
              </w:tabs>
              <w:spacing w:line="220" w:lineRule="exact"/>
              <w:outlineLvl w:val="0"/>
              <w:rPr>
                <w:rFonts w:ascii="Arial" w:eastAsia="Times New Roman" w:hAnsi="Arial" w:cs="Arial"/>
                <w:color w:val="000000"/>
                <w:sz w:val="18"/>
                <w:szCs w:val="18"/>
              </w:rPr>
            </w:pPr>
            <w:bookmarkStart w:id="196" w:name="_Toc67327177"/>
            <w:r w:rsidRPr="00E72A09">
              <w:rPr>
                <w:rFonts w:ascii="Arial" w:eastAsia="Times New Roman" w:hAnsi="Arial" w:cs="Arial"/>
                <w:color w:val="000000"/>
                <w:sz w:val="18"/>
                <w:szCs w:val="18"/>
              </w:rPr>
              <w:t>Neto (povećanje) depozita kod drugih banaka, prije rezerviranja za očekivane gubitke</w:t>
            </w:r>
            <w:bookmarkEnd w:id="196"/>
          </w:p>
        </w:tc>
        <w:tc>
          <w:tcPr>
            <w:tcW w:w="625" w:type="pct"/>
            <w:shd w:val="clear" w:color="auto" w:fill="auto"/>
            <w:vAlign w:val="bottom"/>
          </w:tcPr>
          <w:p w14:paraId="73FEBE5F" w14:textId="67EC27CE" w:rsidR="0068010E" w:rsidRPr="007478FB" w:rsidRDefault="00A06E7E" w:rsidP="0068010E">
            <w:pPr>
              <w:keepLines/>
              <w:tabs>
                <w:tab w:val="right" w:pos="1202"/>
              </w:tabs>
              <w:spacing w:line="220" w:lineRule="exact"/>
              <w:jc w:val="right"/>
              <w:outlineLvl w:val="0"/>
              <w:rPr>
                <w:rFonts w:ascii="Arial" w:eastAsia="Times New Roman" w:hAnsi="Arial" w:cs="Arial"/>
                <w:color w:val="000000"/>
                <w:sz w:val="18"/>
                <w:szCs w:val="18"/>
              </w:rPr>
            </w:pPr>
            <w:r>
              <w:rPr>
                <w:rFonts w:ascii="Arial" w:eastAsia="Times New Roman" w:hAnsi="Arial" w:cs="Arial"/>
                <w:color w:val="000000"/>
                <w:sz w:val="18"/>
                <w:szCs w:val="18"/>
              </w:rPr>
              <w:t>(51.030)</w:t>
            </w:r>
          </w:p>
        </w:tc>
        <w:tc>
          <w:tcPr>
            <w:tcW w:w="624" w:type="pct"/>
            <w:shd w:val="clear" w:color="auto" w:fill="auto"/>
            <w:vAlign w:val="bottom"/>
          </w:tcPr>
          <w:p w14:paraId="0EDA2618" w14:textId="1A092ABE" w:rsidR="0068010E" w:rsidRPr="00F43653" w:rsidRDefault="0068010E" w:rsidP="0068010E">
            <w:pPr>
              <w:keepLines/>
              <w:tabs>
                <w:tab w:val="right" w:pos="1202"/>
              </w:tabs>
              <w:spacing w:line="220" w:lineRule="exact"/>
              <w:jc w:val="right"/>
              <w:outlineLvl w:val="0"/>
              <w:rPr>
                <w:rFonts w:ascii="Arial" w:eastAsia="Times New Roman" w:hAnsi="Arial" w:cs="Arial"/>
                <w:color w:val="000000"/>
                <w:sz w:val="18"/>
                <w:szCs w:val="18"/>
              </w:rPr>
            </w:pPr>
            <w:r w:rsidRPr="009E260C">
              <w:rPr>
                <w:rFonts w:ascii="Arial" w:eastAsia="Times New Roman" w:hAnsi="Arial" w:cs="Arial"/>
                <w:color w:val="000000"/>
                <w:sz w:val="18"/>
                <w:szCs w:val="18"/>
              </w:rPr>
              <w:t xml:space="preserve"> (83.03</w:t>
            </w:r>
            <w:r>
              <w:rPr>
                <w:rFonts w:ascii="Arial" w:eastAsia="Times New Roman" w:hAnsi="Arial" w:cs="Arial"/>
                <w:color w:val="000000"/>
                <w:sz w:val="18"/>
                <w:szCs w:val="18"/>
              </w:rPr>
              <w:t>0</w:t>
            </w:r>
            <w:r w:rsidRPr="009E260C">
              <w:rPr>
                <w:rFonts w:ascii="Arial" w:eastAsia="Times New Roman" w:hAnsi="Arial" w:cs="Arial"/>
                <w:color w:val="000000"/>
                <w:sz w:val="18"/>
                <w:szCs w:val="18"/>
              </w:rPr>
              <w:t>)</w:t>
            </w:r>
          </w:p>
        </w:tc>
      </w:tr>
      <w:tr w:rsidR="0068010E" w:rsidRPr="00F43653" w14:paraId="33D7FD67" w14:textId="77777777" w:rsidTr="009E260C">
        <w:trPr>
          <w:trHeight w:val="227"/>
        </w:trPr>
        <w:tc>
          <w:tcPr>
            <w:tcW w:w="3751" w:type="pct"/>
            <w:vAlign w:val="bottom"/>
          </w:tcPr>
          <w:p w14:paraId="6EEDE731" w14:textId="7D9E6F38" w:rsidR="0068010E" w:rsidRPr="00E72A09" w:rsidRDefault="0068010E" w:rsidP="0068010E">
            <w:pPr>
              <w:keepLines/>
              <w:tabs>
                <w:tab w:val="right" w:pos="1202"/>
              </w:tabs>
              <w:spacing w:line="220" w:lineRule="exact"/>
              <w:outlineLvl w:val="0"/>
              <w:rPr>
                <w:rFonts w:ascii="Arial" w:eastAsia="Times New Roman" w:hAnsi="Arial" w:cs="Arial"/>
                <w:color w:val="000000"/>
                <w:sz w:val="18"/>
                <w:szCs w:val="18"/>
              </w:rPr>
            </w:pPr>
            <w:bookmarkStart w:id="197" w:name="_Toc67327178"/>
            <w:r w:rsidRPr="00E72A09">
              <w:rPr>
                <w:rFonts w:ascii="Arial" w:eastAsia="Times New Roman" w:hAnsi="Arial" w:cs="Arial"/>
                <w:color w:val="000000"/>
                <w:sz w:val="18"/>
                <w:szCs w:val="18"/>
              </w:rPr>
              <w:t>Neto smanjenje</w:t>
            </w:r>
            <w:r w:rsidR="00411E22">
              <w:rPr>
                <w:rFonts w:ascii="Arial" w:eastAsia="Times New Roman" w:hAnsi="Arial" w:cs="Arial"/>
                <w:color w:val="000000"/>
                <w:sz w:val="18"/>
                <w:szCs w:val="18"/>
              </w:rPr>
              <w:t>/</w:t>
            </w:r>
            <w:r w:rsidR="00411E22" w:rsidRPr="00E72A09">
              <w:rPr>
                <w:rFonts w:ascii="Arial" w:eastAsia="Times New Roman" w:hAnsi="Arial" w:cs="Arial"/>
                <w:color w:val="000000"/>
                <w:sz w:val="18"/>
                <w:szCs w:val="18"/>
              </w:rPr>
              <w:t>(povećanje)</w:t>
            </w:r>
            <w:r w:rsidRPr="00E72A09">
              <w:rPr>
                <w:rFonts w:ascii="Arial" w:eastAsia="Times New Roman" w:hAnsi="Arial" w:cs="Arial"/>
                <w:color w:val="000000"/>
                <w:sz w:val="18"/>
                <w:szCs w:val="18"/>
              </w:rPr>
              <w:t xml:space="preserve"> kredita financijskim institucijama, prije rezerviranja za očekivane gubitke</w:t>
            </w:r>
            <w:bookmarkEnd w:id="197"/>
          </w:p>
        </w:tc>
        <w:tc>
          <w:tcPr>
            <w:tcW w:w="625" w:type="pct"/>
            <w:shd w:val="clear" w:color="auto" w:fill="auto"/>
            <w:vAlign w:val="bottom"/>
          </w:tcPr>
          <w:p w14:paraId="37CB3D9C" w14:textId="393B7C3F" w:rsidR="0068010E" w:rsidRPr="007478FB" w:rsidRDefault="00411E22" w:rsidP="0068010E">
            <w:pPr>
              <w:keepLines/>
              <w:tabs>
                <w:tab w:val="right" w:pos="1202"/>
              </w:tabs>
              <w:spacing w:line="220" w:lineRule="exact"/>
              <w:jc w:val="right"/>
              <w:outlineLvl w:val="0"/>
              <w:rPr>
                <w:rFonts w:ascii="Arial" w:eastAsia="Times New Roman" w:hAnsi="Arial" w:cs="Arial"/>
                <w:color w:val="000000"/>
                <w:sz w:val="18"/>
                <w:szCs w:val="18"/>
              </w:rPr>
            </w:pPr>
            <w:r>
              <w:rPr>
                <w:rFonts w:ascii="Arial" w:eastAsia="Times New Roman" w:hAnsi="Arial" w:cs="Arial"/>
                <w:color w:val="000000"/>
                <w:sz w:val="18"/>
                <w:szCs w:val="18"/>
              </w:rPr>
              <w:t>80.162</w:t>
            </w:r>
          </w:p>
        </w:tc>
        <w:tc>
          <w:tcPr>
            <w:tcW w:w="624" w:type="pct"/>
            <w:shd w:val="clear" w:color="auto" w:fill="auto"/>
            <w:vAlign w:val="bottom"/>
          </w:tcPr>
          <w:p w14:paraId="0B07586D" w14:textId="222426EA" w:rsidR="0068010E" w:rsidRPr="00F43653" w:rsidRDefault="0068010E" w:rsidP="0068010E">
            <w:pPr>
              <w:keepLines/>
              <w:tabs>
                <w:tab w:val="right" w:pos="1202"/>
              </w:tabs>
              <w:spacing w:line="220" w:lineRule="exact"/>
              <w:jc w:val="right"/>
              <w:outlineLvl w:val="0"/>
              <w:rPr>
                <w:rFonts w:ascii="Arial" w:eastAsia="Times New Roman" w:hAnsi="Arial" w:cs="Arial"/>
                <w:color w:val="000000"/>
                <w:sz w:val="18"/>
                <w:szCs w:val="18"/>
              </w:rPr>
            </w:pPr>
            <w:r w:rsidRPr="009E260C">
              <w:rPr>
                <w:rFonts w:ascii="Arial" w:eastAsia="Times New Roman" w:hAnsi="Arial" w:cs="Arial"/>
                <w:color w:val="000000"/>
                <w:sz w:val="18"/>
                <w:szCs w:val="18"/>
              </w:rPr>
              <w:t xml:space="preserve"> (129.627)</w:t>
            </w:r>
          </w:p>
        </w:tc>
      </w:tr>
      <w:tr w:rsidR="0068010E" w:rsidRPr="00F43653" w14:paraId="0B32A980" w14:textId="77777777" w:rsidTr="009E260C">
        <w:trPr>
          <w:trHeight w:val="227"/>
        </w:trPr>
        <w:tc>
          <w:tcPr>
            <w:tcW w:w="3751" w:type="pct"/>
            <w:vAlign w:val="bottom"/>
          </w:tcPr>
          <w:p w14:paraId="00212DEA" w14:textId="7F872C8C" w:rsidR="0068010E" w:rsidRPr="00E72A09" w:rsidRDefault="0068010E" w:rsidP="0068010E">
            <w:pPr>
              <w:keepLines/>
              <w:tabs>
                <w:tab w:val="right" w:pos="1202"/>
              </w:tabs>
              <w:spacing w:line="220" w:lineRule="exact"/>
              <w:outlineLvl w:val="0"/>
              <w:rPr>
                <w:rFonts w:ascii="Arial" w:eastAsia="Times New Roman" w:hAnsi="Arial" w:cs="Arial"/>
                <w:color w:val="000000"/>
                <w:sz w:val="18"/>
                <w:szCs w:val="18"/>
              </w:rPr>
            </w:pPr>
            <w:bookmarkStart w:id="198" w:name="_Toc67327179"/>
            <w:r w:rsidRPr="00E72A09">
              <w:rPr>
                <w:rFonts w:ascii="Arial" w:eastAsia="Times New Roman" w:hAnsi="Arial" w:cs="Arial"/>
                <w:color w:val="000000"/>
                <w:sz w:val="18"/>
                <w:szCs w:val="18"/>
              </w:rPr>
              <w:t xml:space="preserve">Neto </w:t>
            </w:r>
            <w:r w:rsidR="00D076F3">
              <w:rPr>
                <w:rFonts w:ascii="Arial" w:eastAsia="Times New Roman" w:hAnsi="Arial" w:cs="Arial"/>
                <w:color w:val="000000"/>
                <w:sz w:val="18"/>
                <w:szCs w:val="18"/>
              </w:rPr>
              <w:t>smanjenje/</w:t>
            </w:r>
            <w:r w:rsidRPr="00E72A09">
              <w:rPr>
                <w:rFonts w:ascii="Arial" w:eastAsia="Times New Roman" w:hAnsi="Arial" w:cs="Arial"/>
                <w:color w:val="000000"/>
                <w:sz w:val="18"/>
                <w:szCs w:val="18"/>
              </w:rPr>
              <w:t>(povećanje) kredita ostalim korisnicima, prije rezerviranja za očekivane gubitke</w:t>
            </w:r>
            <w:bookmarkEnd w:id="198"/>
          </w:p>
        </w:tc>
        <w:tc>
          <w:tcPr>
            <w:tcW w:w="625" w:type="pct"/>
            <w:shd w:val="clear" w:color="auto" w:fill="auto"/>
            <w:vAlign w:val="bottom"/>
          </w:tcPr>
          <w:p w14:paraId="13EB2727" w14:textId="54EADD7D" w:rsidR="0068010E" w:rsidRPr="0022491C" w:rsidRDefault="00D076F3" w:rsidP="0068010E">
            <w:pPr>
              <w:keepLines/>
              <w:tabs>
                <w:tab w:val="right" w:pos="1202"/>
              </w:tabs>
              <w:spacing w:line="220" w:lineRule="exact"/>
              <w:jc w:val="right"/>
              <w:outlineLvl w:val="0"/>
              <w:rPr>
                <w:rFonts w:ascii="Arial" w:eastAsia="Times New Roman" w:hAnsi="Arial" w:cs="Arial"/>
                <w:color w:val="000000"/>
                <w:sz w:val="18"/>
                <w:szCs w:val="18"/>
              </w:rPr>
            </w:pPr>
            <w:r>
              <w:rPr>
                <w:rFonts w:ascii="Arial" w:eastAsia="Times New Roman" w:hAnsi="Arial" w:cs="Arial"/>
                <w:color w:val="000000"/>
                <w:sz w:val="18"/>
                <w:szCs w:val="18"/>
              </w:rPr>
              <w:t>2.141</w:t>
            </w:r>
          </w:p>
        </w:tc>
        <w:tc>
          <w:tcPr>
            <w:tcW w:w="624" w:type="pct"/>
            <w:shd w:val="clear" w:color="auto" w:fill="auto"/>
            <w:vAlign w:val="bottom"/>
          </w:tcPr>
          <w:p w14:paraId="3F49BF0A" w14:textId="6CCD5C06" w:rsidR="0068010E" w:rsidRPr="00F43653" w:rsidRDefault="0068010E" w:rsidP="0068010E">
            <w:pPr>
              <w:keepLines/>
              <w:tabs>
                <w:tab w:val="right" w:pos="1202"/>
              </w:tabs>
              <w:spacing w:line="220" w:lineRule="exact"/>
              <w:jc w:val="right"/>
              <w:outlineLvl w:val="0"/>
              <w:rPr>
                <w:rFonts w:ascii="Arial" w:eastAsia="Times New Roman" w:hAnsi="Arial" w:cs="Arial"/>
                <w:color w:val="000000"/>
                <w:sz w:val="18"/>
                <w:szCs w:val="18"/>
              </w:rPr>
            </w:pPr>
            <w:r w:rsidRPr="009E260C">
              <w:rPr>
                <w:rFonts w:ascii="Arial" w:eastAsia="Times New Roman" w:hAnsi="Arial" w:cs="Arial"/>
                <w:color w:val="000000"/>
                <w:sz w:val="18"/>
                <w:szCs w:val="18"/>
              </w:rPr>
              <w:t xml:space="preserve"> (35.522)</w:t>
            </w:r>
          </w:p>
        </w:tc>
      </w:tr>
      <w:tr w:rsidR="0068010E" w:rsidRPr="00F43653" w14:paraId="246AE256" w14:textId="77777777" w:rsidTr="009E260C">
        <w:trPr>
          <w:trHeight w:hRule="exact" w:val="227"/>
        </w:trPr>
        <w:tc>
          <w:tcPr>
            <w:tcW w:w="3751" w:type="pct"/>
            <w:vAlign w:val="bottom"/>
          </w:tcPr>
          <w:p w14:paraId="319D4867" w14:textId="2DB92C6E" w:rsidR="0068010E" w:rsidRPr="00E72A09" w:rsidRDefault="0068010E" w:rsidP="0068010E">
            <w:pPr>
              <w:keepLines/>
              <w:tabs>
                <w:tab w:val="right" w:pos="1202"/>
              </w:tabs>
              <w:spacing w:line="220" w:lineRule="exact"/>
              <w:outlineLvl w:val="0"/>
              <w:rPr>
                <w:rFonts w:ascii="Arial" w:eastAsia="Times New Roman" w:hAnsi="Arial" w:cs="Arial"/>
                <w:color w:val="000000"/>
                <w:sz w:val="18"/>
                <w:szCs w:val="18"/>
              </w:rPr>
            </w:pPr>
            <w:bookmarkStart w:id="199" w:name="_Toc67327181"/>
            <w:r w:rsidRPr="00E72A09">
              <w:rPr>
                <w:rFonts w:ascii="Arial" w:eastAsia="Times New Roman" w:hAnsi="Arial" w:cs="Arial"/>
                <w:color w:val="000000"/>
                <w:sz w:val="18"/>
                <w:szCs w:val="18"/>
              </w:rPr>
              <w:t xml:space="preserve">Neto </w:t>
            </w:r>
            <w:r w:rsidR="003F6D46">
              <w:rPr>
                <w:rFonts w:ascii="Arial" w:eastAsia="Times New Roman" w:hAnsi="Arial" w:cs="Arial"/>
                <w:color w:val="000000"/>
                <w:sz w:val="18"/>
                <w:szCs w:val="18"/>
              </w:rPr>
              <w:t>smanjenje/</w:t>
            </w:r>
            <w:r w:rsidRPr="00E72A09">
              <w:rPr>
                <w:rFonts w:ascii="Arial" w:eastAsia="Times New Roman" w:hAnsi="Arial" w:cs="Arial"/>
                <w:color w:val="000000"/>
                <w:sz w:val="18"/>
                <w:szCs w:val="18"/>
              </w:rPr>
              <w:t>(povećanje) preuzete imovine</w:t>
            </w:r>
            <w:bookmarkEnd w:id="199"/>
            <w:r w:rsidRPr="00E72A09">
              <w:rPr>
                <w:rFonts w:ascii="Arial" w:eastAsia="Times New Roman" w:hAnsi="Arial" w:cs="Arial"/>
                <w:color w:val="000000"/>
                <w:sz w:val="18"/>
                <w:szCs w:val="18"/>
              </w:rPr>
              <w:t xml:space="preserve"> </w:t>
            </w:r>
          </w:p>
        </w:tc>
        <w:tc>
          <w:tcPr>
            <w:tcW w:w="625" w:type="pct"/>
            <w:vAlign w:val="bottom"/>
          </w:tcPr>
          <w:p w14:paraId="79EF5408" w14:textId="77459E3F" w:rsidR="0068010E" w:rsidRPr="0022491C" w:rsidRDefault="003F6D46" w:rsidP="0068010E">
            <w:pPr>
              <w:keepLines/>
              <w:tabs>
                <w:tab w:val="right" w:pos="1202"/>
              </w:tabs>
              <w:spacing w:line="220" w:lineRule="exact"/>
              <w:jc w:val="right"/>
              <w:outlineLvl w:val="0"/>
              <w:rPr>
                <w:rFonts w:ascii="Arial" w:eastAsia="Times New Roman" w:hAnsi="Arial" w:cs="Arial"/>
                <w:color w:val="000000"/>
                <w:sz w:val="18"/>
                <w:szCs w:val="18"/>
              </w:rPr>
            </w:pPr>
            <w:r>
              <w:rPr>
                <w:rFonts w:ascii="Arial" w:eastAsia="Times New Roman" w:hAnsi="Arial" w:cs="Arial"/>
                <w:color w:val="000000"/>
                <w:sz w:val="18"/>
                <w:szCs w:val="18"/>
              </w:rPr>
              <w:t>339</w:t>
            </w:r>
          </w:p>
        </w:tc>
        <w:tc>
          <w:tcPr>
            <w:tcW w:w="624" w:type="pct"/>
            <w:vAlign w:val="bottom"/>
          </w:tcPr>
          <w:p w14:paraId="6D77B515" w14:textId="2C50188B" w:rsidR="0068010E" w:rsidRPr="00F43653" w:rsidRDefault="0068010E" w:rsidP="0068010E">
            <w:pPr>
              <w:keepLines/>
              <w:tabs>
                <w:tab w:val="right" w:pos="1202"/>
              </w:tabs>
              <w:spacing w:line="220" w:lineRule="exact"/>
              <w:jc w:val="right"/>
              <w:outlineLvl w:val="0"/>
              <w:rPr>
                <w:rFonts w:ascii="Arial" w:eastAsia="Times New Roman" w:hAnsi="Arial" w:cs="Arial"/>
                <w:color w:val="000000"/>
                <w:sz w:val="18"/>
                <w:szCs w:val="18"/>
              </w:rPr>
            </w:pPr>
            <w:r w:rsidRPr="009E260C">
              <w:rPr>
                <w:rFonts w:ascii="Arial" w:eastAsia="Times New Roman" w:hAnsi="Arial" w:cs="Arial"/>
                <w:color w:val="000000"/>
                <w:sz w:val="18"/>
                <w:szCs w:val="18"/>
              </w:rPr>
              <w:t xml:space="preserve"> (47)</w:t>
            </w:r>
          </w:p>
        </w:tc>
      </w:tr>
      <w:tr w:rsidR="0068010E" w:rsidRPr="00F43653" w14:paraId="11344BA9" w14:textId="77777777" w:rsidTr="009E260C">
        <w:trPr>
          <w:trHeight w:hRule="exact" w:val="227"/>
        </w:trPr>
        <w:tc>
          <w:tcPr>
            <w:tcW w:w="3751" w:type="pct"/>
            <w:vAlign w:val="bottom"/>
          </w:tcPr>
          <w:p w14:paraId="3379D2E3" w14:textId="50B73BB3" w:rsidR="0068010E" w:rsidRPr="00E72A09" w:rsidRDefault="0068010E" w:rsidP="0068010E">
            <w:pPr>
              <w:keepLines/>
              <w:tabs>
                <w:tab w:val="right" w:pos="1202"/>
              </w:tabs>
              <w:spacing w:line="220" w:lineRule="exact"/>
              <w:outlineLvl w:val="0"/>
              <w:rPr>
                <w:rFonts w:ascii="Arial" w:eastAsia="Times New Roman" w:hAnsi="Arial" w:cs="Arial"/>
                <w:color w:val="000000"/>
                <w:sz w:val="18"/>
                <w:szCs w:val="18"/>
              </w:rPr>
            </w:pPr>
            <w:bookmarkStart w:id="200" w:name="_Toc67327184"/>
            <w:r w:rsidRPr="00E72A09">
              <w:rPr>
                <w:rFonts w:ascii="Arial" w:eastAsia="Times New Roman" w:hAnsi="Arial" w:cs="Arial"/>
                <w:color w:val="000000"/>
                <w:sz w:val="18"/>
                <w:szCs w:val="18"/>
              </w:rPr>
              <w:t xml:space="preserve">Neto </w:t>
            </w:r>
            <w:r>
              <w:rPr>
                <w:rFonts w:ascii="Arial" w:eastAsia="Times New Roman" w:hAnsi="Arial" w:cs="Arial"/>
                <w:color w:val="000000"/>
                <w:sz w:val="18"/>
                <w:szCs w:val="18"/>
              </w:rPr>
              <w:t>smanjenje</w:t>
            </w:r>
            <w:r w:rsidR="008B1E91">
              <w:rPr>
                <w:rFonts w:ascii="Arial" w:eastAsia="Times New Roman" w:hAnsi="Arial" w:cs="Arial"/>
                <w:color w:val="000000"/>
                <w:sz w:val="18"/>
                <w:szCs w:val="18"/>
              </w:rPr>
              <w:t>/(povećanje)</w:t>
            </w:r>
            <w:r w:rsidRPr="00E72A09">
              <w:rPr>
                <w:rFonts w:ascii="Arial" w:eastAsia="Times New Roman" w:hAnsi="Arial" w:cs="Arial"/>
                <w:color w:val="000000"/>
                <w:sz w:val="18"/>
                <w:szCs w:val="18"/>
              </w:rPr>
              <w:t xml:space="preserve"> ostale imovine, prije rezerviranja za očekivane gubitke</w:t>
            </w:r>
            <w:bookmarkEnd w:id="200"/>
          </w:p>
        </w:tc>
        <w:tc>
          <w:tcPr>
            <w:tcW w:w="625" w:type="pct"/>
            <w:vAlign w:val="bottom"/>
          </w:tcPr>
          <w:p w14:paraId="639C198B" w14:textId="454F964C" w:rsidR="0068010E" w:rsidRPr="0022491C" w:rsidRDefault="003F6D46" w:rsidP="0068010E">
            <w:pPr>
              <w:keepLines/>
              <w:tabs>
                <w:tab w:val="right" w:pos="1202"/>
              </w:tabs>
              <w:spacing w:line="220" w:lineRule="exact"/>
              <w:jc w:val="right"/>
              <w:outlineLvl w:val="0"/>
              <w:rPr>
                <w:rFonts w:ascii="Arial" w:eastAsia="Times New Roman" w:hAnsi="Arial" w:cs="Arial"/>
                <w:color w:val="000000"/>
                <w:sz w:val="18"/>
                <w:szCs w:val="18"/>
              </w:rPr>
            </w:pPr>
            <w:r>
              <w:rPr>
                <w:rFonts w:ascii="Arial" w:eastAsia="Times New Roman" w:hAnsi="Arial" w:cs="Arial"/>
                <w:color w:val="000000"/>
                <w:sz w:val="18"/>
                <w:szCs w:val="18"/>
              </w:rPr>
              <w:t>3.253</w:t>
            </w:r>
          </w:p>
        </w:tc>
        <w:tc>
          <w:tcPr>
            <w:tcW w:w="624" w:type="pct"/>
            <w:vAlign w:val="bottom"/>
          </w:tcPr>
          <w:p w14:paraId="768CC37B" w14:textId="45BFDCB9" w:rsidR="0068010E" w:rsidRPr="00F43653" w:rsidRDefault="0068010E" w:rsidP="0068010E">
            <w:pPr>
              <w:keepLines/>
              <w:tabs>
                <w:tab w:val="right" w:pos="1202"/>
              </w:tabs>
              <w:spacing w:line="220" w:lineRule="exact"/>
              <w:jc w:val="right"/>
              <w:outlineLvl w:val="0"/>
              <w:rPr>
                <w:rFonts w:ascii="Arial" w:eastAsia="Times New Roman" w:hAnsi="Arial" w:cs="Arial"/>
                <w:color w:val="000000"/>
                <w:sz w:val="18"/>
                <w:szCs w:val="18"/>
              </w:rPr>
            </w:pPr>
            <w:r w:rsidRPr="009E260C">
              <w:rPr>
                <w:rFonts w:ascii="Arial" w:eastAsia="Times New Roman" w:hAnsi="Arial" w:cs="Arial"/>
                <w:color w:val="000000"/>
                <w:sz w:val="18"/>
                <w:szCs w:val="18"/>
              </w:rPr>
              <w:t xml:space="preserve"> (2.950)</w:t>
            </w:r>
          </w:p>
        </w:tc>
      </w:tr>
      <w:tr w:rsidR="0068010E" w:rsidRPr="00F43653" w14:paraId="28607970" w14:textId="77777777" w:rsidTr="009E260C">
        <w:trPr>
          <w:trHeight w:hRule="exact" w:val="227"/>
        </w:trPr>
        <w:tc>
          <w:tcPr>
            <w:tcW w:w="3751" w:type="pct"/>
            <w:vAlign w:val="bottom"/>
          </w:tcPr>
          <w:p w14:paraId="1E473D2E" w14:textId="6C8E3427" w:rsidR="0068010E" w:rsidRPr="00E72A09" w:rsidRDefault="0068010E" w:rsidP="0068010E">
            <w:pPr>
              <w:keepLines/>
              <w:tabs>
                <w:tab w:val="right" w:pos="1202"/>
              </w:tabs>
              <w:spacing w:line="220" w:lineRule="exact"/>
              <w:outlineLvl w:val="0"/>
              <w:rPr>
                <w:rFonts w:ascii="Arial" w:eastAsia="Times New Roman" w:hAnsi="Arial" w:cs="Arial"/>
                <w:color w:val="000000"/>
                <w:sz w:val="18"/>
                <w:szCs w:val="18"/>
              </w:rPr>
            </w:pPr>
            <w:bookmarkStart w:id="201" w:name="_Toc67327185"/>
            <w:r w:rsidRPr="00E72A09">
              <w:rPr>
                <w:rFonts w:ascii="Arial" w:eastAsia="Times New Roman" w:hAnsi="Arial" w:cs="Arial"/>
                <w:color w:val="000000"/>
                <w:sz w:val="18"/>
                <w:szCs w:val="18"/>
              </w:rPr>
              <w:t xml:space="preserve">Neto </w:t>
            </w:r>
            <w:r>
              <w:rPr>
                <w:rFonts w:ascii="Arial" w:eastAsia="Times New Roman" w:hAnsi="Arial" w:cs="Arial"/>
                <w:color w:val="000000"/>
                <w:sz w:val="18"/>
                <w:szCs w:val="18"/>
              </w:rPr>
              <w:t>povećanje</w:t>
            </w:r>
            <w:r w:rsidRPr="00E72A09">
              <w:rPr>
                <w:rFonts w:ascii="Arial" w:eastAsia="Times New Roman" w:hAnsi="Arial" w:cs="Arial"/>
                <w:color w:val="000000"/>
                <w:sz w:val="18"/>
                <w:szCs w:val="18"/>
              </w:rPr>
              <w:t xml:space="preserve"> depozita banaka i trgovačkih društava</w:t>
            </w:r>
            <w:bookmarkEnd w:id="201"/>
          </w:p>
        </w:tc>
        <w:tc>
          <w:tcPr>
            <w:tcW w:w="625" w:type="pct"/>
            <w:vAlign w:val="bottom"/>
          </w:tcPr>
          <w:p w14:paraId="2E02DCB0" w14:textId="648E9DDF" w:rsidR="0068010E" w:rsidRPr="0022491C" w:rsidRDefault="008B1E91" w:rsidP="0068010E">
            <w:pPr>
              <w:keepLines/>
              <w:tabs>
                <w:tab w:val="right" w:pos="1202"/>
              </w:tabs>
              <w:spacing w:line="220" w:lineRule="exact"/>
              <w:jc w:val="right"/>
              <w:outlineLvl w:val="0"/>
              <w:rPr>
                <w:rFonts w:ascii="Arial" w:eastAsia="Times New Roman" w:hAnsi="Arial" w:cs="Arial"/>
                <w:color w:val="000000"/>
                <w:sz w:val="18"/>
                <w:szCs w:val="18"/>
              </w:rPr>
            </w:pPr>
            <w:r>
              <w:rPr>
                <w:rFonts w:ascii="Arial" w:eastAsia="Times New Roman" w:hAnsi="Arial" w:cs="Arial"/>
                <w:color w:val="000000"/>
                <w:sz w:val="18"/>
                <w:szCs w:val="18"/>
              </w:rPr>
              <w:t>27.946</w:t>
            </w:r>
          </w:p>
        </w:tc>
        <w:tc>
          <w:tcPr>
            <w:tcW w:w="624" w:type="pct"/>
            <w:vAlign w:val="bottom"/>
          </w:tcPr>
          <w:p w14:paraId="3ED910A6" w14:textId="0BB660A6" w:rsidR="0068010E" w:rsidRPr="00F43653" w:rsidRDefault="0068010E" w:rsidP="0068010E">
            <w:pPr>
              <w:keepLines/>
              <w:tabs>
                <w:tab w:val="right" w:pos="1202"/>
              </w:tabs>
              <w:spacing w:line="220" w:lineRule="exact"/>
              <w:jc w:val="right"/>
              <w:outlineLvl w:val="0"/>
              <w:rPr>
                <w:rFonts w:ascii="Arial" w:eastAsia="Times New Roman" w:hAnsi="Arial" w:cs="Arial"/>
                <w:color w:val="000000"/>
                <w:sz w:val="18"/>
                <w:szCs w:val="18"/>
              </w:rPr>
            </w:pPr>
            <w:r w:rsidRPr="009E260C">
              <w:rPr>
                <w:rFonts w:ascii="Arial" w:eastAsia="Times New Roman" w:hAnsi="Arial" w:cs="Arial"/>
                <w:color w:val="000000"/>
                <w:sz w:val="18"/>
                <w:szCs w:val="18"/>
              </w:rPr>
              <w:t xml:space="preserve"> 42.914 </w:t>
            </w:r>
          </w:p>
        </w:tc>
      </w:tr>
      <w:tr w:rsidR="0068010E" w:rsidRPr="00F43653" w14:paraId="77BE5E9E" w14:textId="77777777" w:rsidTr="009E260C">
        <w:trPr>
          <w:trHeight w:hRule="exact" w:val="227"/>
        </w:trPr>
        <w:tc>
          <w:tcPr>
            <w:tcW w:w="3751" w:type="pct"/>
            <w:vAlign w:val="bottom"/>
          </w:tcPr>
          <w:p w14:paraId="181F7BF5" w14:textId="5147B55A" w:rsidR="0068010E" w:rsidRPr="00E72A09" w:rsidRDefault="0068010E" w:rsidP="0068010E">
            <w:pPr>
              <w:keepLines/>
              <w:tabs>
                <w:tab w:val="right" w:pos="1202"/>
              </w:tabs>
              <w:spacing w:line="220" w:lineRule="exact"/>
              <w:outlineLvl w:val="0"/>
              <w:rPr>
                <w:rFonts w:ascii="Arial" w:eastAsia="Times New Roman" w:hAnsi="Arial" w:cs="Arial"/>
                <w:color w:val="000000"/>
                <w:spacing w:val="-2"/>
                <w:sz w:val="18"/>
                <w:szCs w:val="18"/>
              </w:rPr>
            </w:pPr>
            <w:bookmarkStart w:id="202" w:name="_Toc67327186"/>
            <w:r w:rsidRPr="00E72A09">
              <w:rPr>
                <w:rFonts w:ascii="Arial" w:eastAsia="Times New Roman" w:hAnsi="Arial" w:cs="Arial"/>
                <w:color w:val="000000"/>
                <w:spacing w:val="-2"/>
                <w:sz w:val="18"/>
                <w:szCs w:val="18"/>
              </w:rPr>
              <w:t xml:space="preserve">Neto </w:t>
            </w:r>
            <w:r w:rsidR="003525B9">
              <w:rPr>
                <w:rFonts w:ascii="Arial" w:eastAsia="Times New Roman" w:hAnsi="Arial" w:cs="Arial"/>
                <w:color w:val="000000"/>
                <w:spacing w:val="-2"/>
                <w:sz w:val="18"/>
                <w:szCs w:val="18"/>
              </w:rPr>
              <w:t>(smanjenje)/</w:t>
            </w:r>
            <w:r w:rsidRPr="00E72A09">
              <w:rPr>
                <w:rFonts w:ascii="Arial" w:eastAsia="Times New Roman" w:hAnsi="Arial" w:cs="Arial"/>
                <w:color w:val="000000"/>
                <w:spacing w:val="-2"/>
                <w:sz w:val="18"/>
                <w:szCs w:val="18"/>
              </w:rPr>
              <w:t>povećanje ostalih obveza, prije rezerviranja</w:t>
            </w:r>
            <w:bookmarkEnd w:id="202"/>
          </w:p>
        </w:tc>
        <w:tc>
          <w:tcPr>
            <w:tcW w:w="625" w:type="pct"/>
            <w:tcBorders>
              <w:bottom w:val="single" w:sz="4" w:space="0" w:color="auto"/>
            </w:tcBorders>
            <w:vAlign w:val="bottom"/>
          </w:tcPr>
          <w:p w14:paraId="0AE3174F" w14:textId="3F41C48E" w:rsidR="0068010E" w:rsidRPr="0022491C" w:rsidRDefault="003525B9" w:rsidP="0068010E">
            <w:pPr>
              <w:keepLines/>
              <w:tabs>
                <w:tab w:val="right" w:pos="1202"/>
              </w:tabs>
              <w:spacing w:line="220" w:lineRule="exact"/>
              <w:jc w:val="right"/>
              <w:outlineLvl w:val="0"/>
              <w:rPr>
                <w:rFonts w:ascii="Arial" w:eastAsia="Times New Roman" w:hAnsi="Arial" w:cs="Arial"/>
                <w:color w:val="000000"/>
                <w:sz w:val="18"/>
                <w:szCs w:val="18"/>
              </w:rPr>
            </w:pPr>
            <w:r>
              <w:rPr>
                <w:rFonts w:ascii="Arial" w:eastAsia="Times New Roman" w:hAnsi="Arial" w:cs="Arial"/>
                <w:color w:val="000000"/>
                <w:sz w:val="18"/>
                <w:szCs w:val="18"/>
              </w:rPr>
              <w:t>(15.134)</w:t>
            </w:r>
          </w:p>
        </w:tc>
        <w:tc>
          <w:tcPr>
            <w:tcW w:w="624" w:type="pct"/>
            <w:tcBorders>
              <w:bottom w:val="single" w:sz="4" w:space="0" w:color="auto"/>
            </w:tcBorders>
            <w:vAlign w:val="bottom"/>
          </w:tcPr>
          <w:p w14:paraId="4501F91B" w14:textId="00CBE751" w:rsidR="0068010E" w:rsidRPr="00F43653" w:rsidRDefault="0068010E" w:rsidP="0068010E">
            <w:pPr>
              <w:keepLines/>
              <w:tabs>
                <w:tab w:val="right" w:pos="1202"/>
              </w:tabs>
              <w:spacing w:line="220" w:lineRule="exact"/>
              <w:jc w:val="right"/>
              <w:outlineLvl w:val="0"/>
              <w:rPr>
                <w:rFonts w:ascii="Arial" w:eastAsia="Times New Roman" w:hAnsi="Arial" w:cs="Arial"/>
                <w:color w:val="000000"/>
                <w:sz w:val="18"/>
                <w:szCs w:val="18"/>
              </w:rPr>
            </w:pPr>
            <w:r w:rsidRPr="009E260C">
              <w:rPr>
                <w:rFonts w:ascii="Arial" w:eastAsia="Times New Roman" w:hAnsi="Arial" w:cs="Arial"/>
                <w:color w:val="000000"/>
                <w:sz w:val="18"/>
                <w:szCs w:val="18"/>
              </w:rPr>
              <w:t xml:space="preserve"> 5.063 </w:t>
            </w:r>
          </w:p>
        </w:tc>
      </w:tr>
      <w:tr w:rsidR="0068010E" w:rsidRPr="00F43653" w14:paraId="7E881AAA" w14:textId="77777777" w:rsidTr="00E40F4A">
        <w:trPr>
          <w:trHeight w:val="228"/>
        </w:trPr>
        <w:tc>
          <w:tcPr>
            <w:tcW w:w="3751" w:type="pct"/>
            <w:vAlign w:val="bottom"/>
          </w:tcPr>
          <w:p w14:paraId="5D40BD1F" w14:textId="4ADD058D" w:rsidR="0068010E" w:rsidRPr="00E72A09" w:rsidRDefault="0068010E" w:rsidP="0068010E">
            <w:pPr>
              <w:keepLines/>
              <w:tabs>
                <w:tab w:val="right" w:pos="1202"/>
              </w:tabs>
              <w:spacing w:line="220" w:lineRule="exact"/>
              <w:outlineLvl w:val="0"/>
              <w:rPr>
                <w:rFonts w:ascii="Arial" w:eastAsia="Times New Roman" w:hAnsi="Arial" w:cs="Arial"/>
                <w:b/>
                <w:bCs/>
                <w:color w:val="000000"/>
                <w:spacing w:val="-3"/>
                <w:sz w:val="18"/>
                <w:szCs w:val="18"/>
              </w:rPr>
            </w:pPr>
            <w:bookmarkStart w:id="203" w:name="_Toc67327187"/>
            <w:r w:rsidRPr="00E72A09">
              <w:rPr>
                <w:rFonts w:ascii="Arial" w:eastAsia="Times New Roman" w:hAnsi="Arial" w:cs="Arial"/>
                <w:b/>
                <w:bCs/>
                <w:color w:val="000000"/>
                <w:sz w:val="18"/>
                <w:szCs w:val="18"/>
              </w:rPr>
              <w:t xml:space="preserve">Neto novčana sredstva </w:t>
            </w:r>
            <w:r w:rsidR="00E70494">
              <w:rPr>
                <w:rFonts w:ascii="Arial" w:eastAsia="Times New Roman" w:hAnsi="Arial" w:cs="Arial"/>
                <w:b/>
                <w:bCs/>
                <w:color w:val="000000"/>
                <w:sz w:val="18"/>
                <w:szCs w:val="18"/>
              </w:rPr>
              <w:t>ostvarena/</w:t>
            </w:r>
            <w:r w:rsidRPr="00E72A09">
              <w:rPr>
                <w:rFonts w:ascii="Arial" w:eastAsia="Times New Roman" w:hAnsi="Arial" w:cs="Arial"/>
                <w:b/>
                <w:bCs/>
                <w:color w:val="000000"/>
                <w:sz w:val="18"/>
                <w:szCs w:val="18"/>
              </w:rPr>
              <w:t>(uporabljena) u poslovnim aktivnostima</w:t>
            </w:r>
            <w:bookmarkEnd w:id="203"/>
            <w:r w:rsidRPr="00E72A09">
              <w:rPr>
                <w:rFonts w:ascii="Arial" w:eastAsia="Times New Roman" w:hAnsi="Arial" w:cs="Arial"/>
                <w:b/>
                <w:bCs/>
                <w:color w:val="000000"/>
                <w:sz w:val="18"/>
                <w:szCs w:val="18"/>
              </w:rPr>
              <w:t xml:space="preserve"> </w:t>
            </w:r>
          </w:p>
        </w:tc>
        <w:tc>
          <w:tcPr>
            <w:tcW w:w="625" w:type="pct"/>
            <w:tcBorders>
              <w:top w:val="single" w:sz="4" w:space="0" w:color="auto"/>
              <w:bottom w:val="single" w:sz="12" w:space="0" w:color="auto"/>
            </w:tcBorders>
            <w:vAlign w:val="bottom"/>
          </w:tcPr>
          <w:p w14:paraId="17A4337E" w14:textId="4ABE574A" w:rsidR="0068010E" w:rsidRPr="00F43653" w:rsidRDefault="003525B9" w:rsidP="0068010E">
            <w:pPr>
              <w:spacing w:line="220" w:lineRule="exact"/>
              <w:jc w:val="right"/>
              <w:rPr>
                <w:rFonts w:ascii="Arial" w:eastAsia="Times New Roman" w:hAnsi="Arial" w:cs="Arial"/>
                <w:b/>
                <w:bCs/>
                <w:color w:val="000000"/>
                <w:spacing w:val="-2"/>
                <w:sz w:val="18"/>
                <w:szCs w:val="18"/>
              </w:rPr>
            </w:pPr>
            <w:r>
              <w:rPr>
                <w:rFonts w:ascii="Arial" w:eastAsia="Times New Roman" w:hAnsi="Arial" w:cs="Arial"/>
                <w:b/>
                <w:bCs/>
                <w:color w:val="000000"/>
                <w:spacing w:val="-2"/>
                <w:sz w:val="18"/>
                <w:szCs w:val="18"/>
              </w:rPr>
              <w:t>87.286</w:t>
            </w:r>
          </w:p>
        </w:tc>
        <w:tc>
          <w:tcPr>
            <w:tcW w:w="624" w:type="pct"/>
            <w:tcBorders>
              <w:top w:val="single" w:sz="4" w:space="0" w:color="auto"/>
              <w:bottom w:val="single" w:sz="12" w:space="0" w:color="auto"/>
            </w:tcBorders>
            <w:vAlign w:val="bottom"/>
          </w:tcPr>
          <w:p w14:paraId="11582B76" w14:textId="270C7C0A" w:rsidR="0068010E" w:rsidRPr="00F43653" w:rsidRDefault="0068010E" w:rsidP="0068010E">
            <w:pPr>
              <w:spacing w:line="220" w:lineRule="exact"/>
              <w:jc w:val="right"/>
              <w:rPr>
                <w:rFonts w:ascii="Arial" w:eastAsia="Times New Roman" w:hAnsi="Arial" w:cs="Arial"/>
                <w:b/>
                <w:bCs/>
                <w:color w:val="000000"/>
                <w:spacing w:val="-2"/>
                <w:sz w:val="18"/>
                <w:szCs w:val="18"/>
              </w:rPr>
            </w:pPr>
            <w:r w:rsidRPr="009E260C">
              <w:rPr>
                <w:rFonts w:ascii="Arial" w:eastAsia="Times New Roman" w:hAnsi="Arial" w:cs="Arial"/>
                <w:b/>
                <w:bCs/>
                <w:color w:val="000000"/>
                <w:spacing w:val="-2"/>
                <w:sz w:val="18"/>
                <w:szCs w:val="18"/>
              </w:rPr>
              <w:t>(198.182)</w:t>
            </w:r>
          </w:p>
        </w:tc>
      </w:tr>
      <w:tr w:rsidR="0068010E" w:rsidRPr="00F43653" w14:paraId="7D442A42" w14:textId="77777777" w:rsidTr="00E40F4A">
        <w:trPr>
          <w:trHeight w:hRule="exact" w:val="113"/>
        </w:trPr>
        <w:tc>
          <w:tcPr>
            <w:tcW w:w="3751" w:type="pct"/>
            <w:vAlign w:val="bottom"/>
          </w:tcPr>
          <w:p w14:paraId="4673F2EE" w14:textId="77777777" w:rsidR="0068010E" w:rsidRPr="00E72A09" w:rsidRDefault="0068010E" w:rsidP="0068010E">
            <w:pPr>
              <w:keepLines/>
              <w:tabs>
                <w:tab w:val="right" w:pos="1202"/>
              </w:tabs>
              <w:spacing w:line="220" w:lineRule="exact"/>
              <w:outlineLvl w:val="0"/>
              <w:rPr>
                <w:rFonts w:ascii="Arial" w:eastAsia="Times New Roman" w:hAnsi="Arial" w:cs="Arial"/>
                <w:b/>
                <w:bCs/>
                <w:color w:val="000000"/>
                <w:sz w:val="18"/>
                <w:szCs w:val="18"/>
              </w:rPr>
            </w:pPr>
          </w:p>
        </w:tc>
        <w:tc>
          <w:tcPr>
            <w:tcW w:w="625" w:type="pct"/>
            <w:tcBorders>
              <w:top w:val="single" w:sz="12" w:space="0" w:color="auto"/>
            </w:tcBorders>
            <w:vAlign w:val="bottom"/>
          </w:tcPr>
          <w:p w14:paraId="693B6202" w14:textId="77777777" w:rsidR="0068010E" w:rsidRPr="00F43653" w:rsidRDefault="0068010E" w:rsidP="0068010E">
            <w:pPr>
              <w:keepLines/>
              <w:tabs>
                <w:tab w:val="right" w:pos="1202"/>
              </w:tabs>
              <w:spacing w:line="220" w:lineRule="exact"/>
              <w:jc w:val="right"/>
              <w:outlineLvl w:val="0"/>
              <w:rPr>
                <w:rFonts w:ascii="Arial" w:eastAsia="Times New Roman" w:hAnsi="Arial" w:cs="Arial"/>
                <w:b/>
                <w:bCs/>
                <w:color w:val="000000"/>
                <w:sz w:val="18"/>
                <w:szCs w:val="18"/>
              </w:rPr>
            </w:pPr>
          </w:p>
        </w:tc>
        <w:tc>
          <w:tcPr>
            <w:tcW w:w="624" w:type="pct"/>
            <w:tcBorders>
              <w:top w:val="single" w:sz="12" w:space="0" w:color="auto"/>
            </w:tcBorders>
            <w:vAlign w:val="bottom"/>
          </w:tcPr>
          <w:p w14:paraId="262BE6DB" w14:textId="77777777" w:rsidR="0068010E" w:rsidRPr="00F43653" w:rsidRDefault="0068010E" w:rsidP="0068010E">
            <w:pPr>
              <w:keepLines/>
              <w:tabs>
                <w:tab w:val="right" w:pos="1202"/>
              </w:tabs>
              <w:spacing w:line="220" w:lineRule="exact"/>
              <w:jc w:val="right"/>
              <w:outlineLvl w:val="0"/>
              <w:rPr>
                <w:rFonts w:ascii="Arial" w:eastAsia="Times New Roman" w:hAnsi="Arial" w:cs="Arial"/>
                <w:b/>
                <w:bCs/>
                <w:color w:val="000000"/>
                <w:sz w:val="18"/>
                <w:szCs w:val="18"/>
              </w:rPr>
            </w:pPr>
          </w:p>
        </w:tc>
      </w:tr>
      <w:tr w:rsidR="0068010E" w:rsidRPr="00F43653" w14:paraId="0CF54470" w14:textId="77777777" w:rsidTr="00E40F4A">
        <w:tc>
          <w:tcPr>
            <w:tcW w:w="3751" w:type="pct"/>
            <w:vAlign w:val="bottom"/>
          </w:tcPr>
          <w:p w14:paraId="3B1629DA" w14:textId="77777777" w:rsidR="0068010E" w:rsidRPr="00E72A09" w:rsidRDefault="0068010E" w:rsidP="0068010E">
            <w:pPr>
              <w:keepLines/>
              <w:tabs>
                <w:tab w:val="right" w:pos="1202"/>
              </w:tabs>
              <w:spacing w:line="220" w:lineRule="exact"/>
              <w:outlineLvl w:val="0"/>
              <w:rPr>
                <w:rFonts w:ascii="Arial" w:eastAsia="Times New Roman" w:hAnsi="Arial" w:cs="Arial"/>
                <w:b/>
                <w:bCs/>
                <w:color w:val="000000"/>
                <w:sz w:val="18"/>
                <w:szCs w:val="18"/>
              </w:rPr>
            </w:pPr>
            <w:bookmarkStart w:id="204" w:name="_Toc67327188"/>
            <w:r w:rsidRPr="00E72A09">
              <w:rPr>
                <w:rFonts w:ascii="Arial" w:eastAsia="Times New Roman" w:hAnsi="Arial" w:cs="Arial"/>
                <w:b/>
                <w:bCs/>
                <w:color w:val="000000"/>
                <w:sz w:val="18"/>
                <w:szCs w:val="18"/>
              </w:rPr>
              <w:t>Ulagateljske aktivnosti</w:t>
            </w:r>
            <w:bookmarkEnd w:id="204"/>
          </w:p>
        </w:tc>
        <w:tc>
          <w:tcPr>
            <w:tcW w:w="625" w:type="pct"/>
            <w:vAlign w:val="bottom"/>
          </w:tcPr>
          <w:p w14:paraId="5C505E0B" w14:textId="77777777" w:rsidR="0068010E" w:rsidRPr="00F43653" w:rsidRDefault="0068010E" w:rsidP="0068010E">
            <w:pPr>
              <w:keepLines/>
              <w:tabs>
                <w:tab w:val="right" w:pos="1202"/>
              </w:tabs>
              <w:spacing w:line="220" w:lineRule="exact"/>
              <w:jc w:val="right"/>
              <w:outlineLvl w:val="0"/>
              <w:rPr>
                <w:rFonts w:ascii="Arial" w:eastAsia="Times New Roman" w:hAnsi="Arial" w:cs="Arial"/>
                <w:b/>
                <w:bCs/>
                <w:color w:val="000000"/>
                <w:sz w:val="18"/>
                <w:szCs w:val="18"/>
              </w:rPr>
            </w:pPr>
          </w:p>
        </w:tc>
        <w:tc>
          <w:tcPr>
            <w:tcW w:w="624" w:type="pct"/>
            <w:vAlign w:val="bottom"/>
          </w:tcPr>
          <w:p w14:paraId="1234C1A3" w14:textId="77777777" w:rsidR="0068010E" w:rsidRPr="00F43653" w:rsidRDefault="0068010E" w:rsidP="0068010E">
            <w:pPr>
              <w:keepLines/>
              <w:tabs>
                <w:tab w:val="right" w:pos="1202"/>
              </w:tabs>
              <w:spacing w:line="220" w:lineRule="exact"/>
              <w:jc w:val="right"/>
              <w:outlineLvl w:val="0"/>
              <w:rPr>
                <w:rFonts w:ascii="Arial" w:eastAsia="Times New Roman" w:hAnsi="Arial" w:cs="Arial"/>
                <w:b/>
                <w:bCs/>
                <w:color w:val="000000"/>
                <w:sz w:val="18"/>
                <w:szCs w:val="18"/>
              </w:rPr>
            </w:pPr>
          </w:p>
        </w:tc>
      </w:tr>
      <w:tr w:rsidR="0068010E" w:rsidRPr="00F43653" w14:paraId="5B899A69" w14:textId="77777777" w:rsidTr="009E260C">
        <w:trPr>
          <w:trHeight w:hRule="exact" w:val="227"/>
        </w:trPr>
        <w:tc>
          <w:tcPr>
            <w:tcW w:w="3751" w:type="pct"/>
            <w:vAlign w:val="bottom"/>
          </w:tcPr>
          <w:p w14:paraId="384F3556" w14:textId="77777777" w:rsidR="0068010E" w:rsidRPr="00E72A09" w:rsidRDefault="0068010E" w:rsidP="0068010E">
            <w:pPr>
              <w:keepLines/>
              <w:tabs>
                <w:tab w:val="right" w:pos="1202"/>
              </w:tabs>
              <w:spacing w:line="220" w:lineRule="exact"/>
              <w:outlineLvl w:val="0"/>
              <w:rPr>
                <w:rFonts w:ascii="Arial" w:eastAsia="Times New Roman" w:hAnsi="Arial" w:cs="Arial"/>
                <w:color w:val="000000"/>
                <w:sz w:val="18"/>
                <w:szCs w:val="18"/>
              </w:rPr>
            </w:pPr>
            <w:bookmarkStart w:id="205" w:name="_Toc67327189"/>
            <w:r w:rsidRPr="00E72A09">
              <w:rPr>
                <w:rFonts w:ascii="Arial" w:eastAsia="Times New Roman" w:hAnsi="Arial" w:cs="Arial"/>
                <w:color w:val="000000"/>
                <w:sz w:val="18"/>
                <w:szCs w:val="18"/>
              </w:rPr>
              <w:t>Kupovina financijske imovine po fer vrijednosti kroz dobit ili gubitak</w:t>
            </w:r>
            <w:bookmarkEnd w:id="205"/>
          </w:p>
        </w:tc>
        <w:tc>
          <w:tcPr>
            <w:tcW w:w="625" w:type="pct"/>
            <w:shd w:val="clear" w:color="000000" w:fill="auto"/>
            <w:vAlign w:val="bottom"/>
          </w:tcPr>
          <w:p w14:paraId="51BDE401" w14:textId="3736CAB6" w:rsidR="0068010E" w:rsidRPr="007478FB" w:rsidRDefault="003525B9" w:rsidP="0068010E">
            <w:pPr>
              <w:keepLines/>
              <w:tabs>
                <w:tab w:val="right" w:pos="1202"/>
              </w:tabs>
              <w:spacing w:line="220" w:lineRule="exact"/>
              <w:jc w:val="right"/>
              <w:outlineLvl w:val="0"/>
              <w:rPr>
                <w:rFonts w:ascii="Arial" w:eastAsia="Times New Roman" w:hAnsi="Arial" w:cs="Arial"/>
                <w:color w:val="000000"/>
                <w:sz w:val="18"/>
                <w:szCs w:val="18"/>
              </w:rPr>
            </w:pPr>
            <w:r>
              <w:rPr>
                <w:rFonts w:ascii="Arial" w:eastAsia="Times New Roman" w:hAnsi="Arial" w:cs="Arial"/>
                <w:color w:val="000000"/>
                <w:sz w:val="18"/>
                <w:szCs w:val="18"/>
              </w:rPr>
              <w:t>(13.493)</w:t>
            </w:r>
          </w:p>
        </w:tc>
        <w:tc>
          <w:tcPr>
            <w:tcW w:w="624" w:type="pct"/>
            <w:shd w:val="clear" w:color="000000" w:fill="auto"/>
            <w:vAlign w:val="bottom"/>
          </w:tcPr>
          <w:p w14:paraId="7CE0EA4E" w14:textId="30296FE7" w:rsidR="0068010E" w:rsidRPr="007478FB" w:rsidRDefault="0068010E" w:rsidP="0068010E">
            <w:pPr>
              <w:keepLines/>
              <w:tabs>
                <w:tab w:val="right" w:pos="1202"/>
              </w:tabs>
              <w:spacing w:line="220" w:lineRule="exact"/>
              <w:jc w:val="right"/>
              <w:outlineLvl w:val="0"/>
              <w:rPr>
                <w:rFonts w:ascii="Arial" w:eastAsia="Times New Roman" w:hAnsi="Arial" w:cs="Arial"/>
                <w:color w:val="000000"/>
                <w:sz w:val="18"/>
                <w:szCs w:val="18"/>
              </w:rPr>
            </w:pPr>
            <w:r w:rsidRPr="009E260C">
              <w:rPr>
                <w:rFonts w:ascii="Arial" w:eastAsia="Times New Roman" w:hAnsi="Arial" w:cs="Arial"/>
                <w:color w:val="000000"/>
                <w:sz w:val="18"/>
                <w:szCs w:val="18"/>
              </w:rPr>
              <w:t xml:space="preserve"> (4.176)</w:t>
            </w:r>
          </w:p>
        </w:tc>
      </w:tr>
      <w:tr w:rsidR="0068010E" w:rsidRPr="00F43653" w14:paraId="75D202BF" w14:textId="77777777" w:rsidTr="009E260C">
        <w:trPr>
          <w:trHeight w:hRule="exact" w:val="227"/>
        </w:trPr>
        <w:tc>
          <w:tcPr>
            <w:tcW w:w="3751" w:type="pct"/>
            <w:vAlign w:val="bottom"/>
          </w:tcPr>
          <w:p w14:paraId="48F59386" w14:textId="77777777" w:rsidR="0068010E" w:rsidRPr="00E72A09" w:rsidRDefault="0068010E" w:rsidP="0068010E">
            <w:pPr>
              <w:keepLines/>
              <w:tabs>
                <w:tab w:val="right" w:pos="1202"/>
              </w:tabs>
              <w:spacing w:line="220" w:lineRule="exact"/>
              <w:outlineLvl w:val="0"/>
              <w:rPr>
                <w:rFonts w:ascii="Arial" w:eastAsia="Times New Roman" w:hAnsi="Arial" w:cs="Arial"/>
                <w:color w:val="000000"/>
                <w:sz w:val="18"/>
                <w:szCs w:val="18"/>
              </w:rPr>
            </w:pPr>
            <w:bookmarkStart w:id="206" w:name="_Toc67327192"/>
            <w:r w:rsidRPr="00E72A09">
              <w:rPr>
                <w:rFonts w:ascii="Arial" w:eastAsia="Times New Roman" w:hAnsi="Arial" w:cs="Arial"/>
                <w:color w:val="000000"/>
                <w:sz w:val="18"/>
                <w:szCs w:val="18"/>
              </w:rPr>
              <w:t>Prodaja financijske imovine po fer vrijednosti kroz dobit ili gubitak</w:t>
            </w:r>
            <w:bookmarkEnd w:id="206"/>
          </w:p>
        </w:tc>
        <w:tc>
          <w:tcPr>
            <w:tcW w:w="625" w:type="pct"/>
            <w:shd w:val="clear" w:color="000000" w:fill="auto"/>
            <w:vAlign w:val="bottom"/>
          </w:tcPr>
          <w:p w14:paraId="10294C4E" w14:textId="4C0B6CE7" w:rsidR="0068010E" w:rsidRPr="007478FB" w:rsidRDefault="003525B9" w:rsidP="0068010E">
            <w:pPr>
              <w:keepLines/>
              <w:tabs>
                <w:tab w:val="right" w:pos="1202"/>
              </w:tabs>
              <w:spacing w:line="220" w:lineRule="exact"/>
              <w:jc w:val="right"/>
              <w:outlineLvl w:val="0"/>
              <w:rPr>
                <w:rFonts w:ascii="Arial" w:eastAsia="Times New Roman" w:hAnsi="Arial" w:cs="Arial"/>
                <w:color w:val="000000"/>
                <w:sz w:val="18"/>
                <w:szCs w:val="18"/>
              </w:rPr>
            </w:pPr>
            <w:r>
              <w:rPr>
                <w:rFonts w:ascii="Arial" w:eastAsia="Times New Roman" w:hAnsi="Arial" w:cs="Arial"/>
                <w:color w:val="000000"/>
                <w:sz w:val="18"/>
                <w:szCs w:val="18"/>
              </w:rPr>
              <w:t>-</w:t>
            </w:r>
          </w:p>
        </w:tc>
        <w:tc>
          <w:tcPr>
            <w:tcW w:w="624" w:type="pct"/>
            <w:shd w:val="clear" w:color="000000" w:fill="auto"/>
            <w:vAlign w:val="bottom"/>
          </w:tcPr>
          <w:p w14:paraId="1B6110E6" w14:textId="402E3EE8" w:rsidR="0068010E" w:rsidRPr="007478FB" w:rsidRDefault="0068010E" w:rsidP="0068010E">
            <w:pPr>
              <w:keepLines/>
              <w:tabs>
                <w:tab w:val="right" w:pos="1202"/>
              </w:tabs>
              <w:spacing w:line="220" w:lineRule="exact"/>
              <w:jc w:val="right"/>
              <w:outlineLvl w:val="0"/>
              <w:rPr>
                <w:rFonts w:ascii="Arial" w:eastAsia="Times New Roman" w:hAnsi="Arial" w:cs="Arial"/>
                <w:color w:val="000000"/>
                <w:sz w:val="18"/>
                <w:szCs w:val="18"/>
              </w:rPr>
            </w:pPr>
            <w:r w:rsidRPr="009E260C">
              <w:rPr>
                <w:rFonts w:ascii="Arial" w:eastAsia="Times New Roman" w:hAnsi="Arial" w:cs="Arial"/>
                <w:color w:val="000000"/>
                <w:sz w:val="18"/>
                <w:szCs w:val="18"/>
              </w:rPr>
              <w:t xml:space="preserve"> - </w:t>
            </w:r>
          </w:p>
        </w:tc>
      </w:tr>
      <w:tr w:rsidR="0068010E" w:rsidRPr="00F43653" w14:paraId="0ABF8921" w14:textId="77777777" w:rsidTr="009E260C">
        <w:trPr>
          <w:trHeight w:hRule="exact" w:val="227"/>
        </w:trPr>
        <w:tc>
          <w:tcPr>
            <w:tcW w:w="3751" w:type="pct"/>
            <w:vAlign w:val="bottom"/>
          </w:tcPr>
          <w:p w14:paraId="14C04643" w14:textId="77777777" w:rsidR="0068010E" w:rsidRPr="00E72A09" w:rsidRDefault="0068010E" w:rsidP="0068010E">
            <w:pPr>
              <w:keepLines/>
              <w:tabs>
                <w:tab w:val="right" w:pos="1202"/>
              </w:tabs>
              <w:spacing w:line="220" w:lineRule="exact"/>
              <w:outlineLvl w:val="0"/>
              <w:rPr>
                <w:rFonts w:ascii="Arial" w:eastAsia="Times New Roman" w:hAnsi="Arial" w:cs="Arial"/>
                <w:color w:val="000000"/>
                <w:sz w:val="18"/>
                <w:szCs w:val="18"/>
              </w:rPr>
            </w:pPr>
            <w:bookmarkStart w:id="207" w:name="_Toc67327195"/>
            <w:r w:rsidRPr="00E72A09">
              <w:rPr>
                <w:rFonts w:ascii="Arial" w:eastAsia="Times New Roman" w:hAnsi="Arial" w:cs="Arial"/>
                <w:color w:val="000000"/>
                <w:sz w:val="18"/>
                <w:szCs w:val="18"/>
              </w:rPr>
              <w:t>Kupovina financijske imovine po fer vrijednosti kroz ostalu sveobuhvatnu dobit</w:t>
            </w:r>
            <w:bookmarkEnd w:id="207"/>
          </w:p>
        </w:tc>
        <w:tc>
          <w:tcPr>
            <w:tcW w:w="625" w:type="pct"/>
            <w:shd w:val="clear" w:color="000000" w:fill="auto"/>
            <w:vAlign w:val="bottom"/>
          </w:tcPr>
          <w:p w14:paraId="2F5428F8" w14:textId="62E9CFDD" w:rsidR="0068010E" w:rsidRPr="007478FB" w:rsidRDefault="003525B9" w:rsidP="0068010E">
            <w:pPr>
              <w:keepLines/>
              <w:tabs>
                <w:tab w:val="right" w:pos="1202"/>
              </w:tabs>
              <w:spacing w:line="220" w:lineRule="exact"/>
              <w:jc w:val="right"/>
              <w:outlineLvl w:val="0"/>
              <w:rPr>
                <w:rFonts w:ascii="Arial" w:eastAsia="Times New Roman" w:hAnsi="Arial" w:cs="Arial"/>
                <w:color w:val="000000"/>
                <w:sz w:val="18"/>
                <w:szCs w:val="18"/>
              </w:rPr>
            </w:pPr>
            <w:r>
              <w:rPr>
                <w:rFonts w:ascii="Arial" w:eastAsia="Times New Roman" w:hAnsi="Arial" w:cs="Arial"/>
                <w:color w:val="000000"/>
                <w:sz w:val="18"/>
                <w:szCs w:val="18"/>
              </w:rPr>
              <w:t>(105.386)</w:t>
            </w:r>
          </w:p>
        </w:tc>
        <w:tc>
          <w:tcPr>
            <w:tcW w:w="624" w:type="pct"/>
            <w:shd w:val="clear" w:color="000000" w:fill="auto"/>
            <w:vAlign w:val="bottom"/>
          </w:tcPr>
          <w:p w14:paraId="4AB48783" w14:textId="56BE4CBE" w:rsidR="0068010E" w:rsidRPr="007478FB" w:rsidRDefault="0068010E" w:rsidP="0068010E">
            <w:pPr>
              <w:keepLines/>
              <w:tabs>
                <w:tab w:val="right" w:pos="1202"/>
              </w:tabs>
              <w:spacing w:line="220" w:lineRule="exact"/>
              <w:jc w:val="right"/>
              <w:outlineLvl w:val="0"/>
              <w:rPr>
                <w:rFonts w:ascii="Arial" w:eastAsia="Times New Roman" w:hAnsi="Arial" w:cs="Arial"/>
                <w:color w:val="000000"/>
                <w:sz w:val="18"/>
                <w:szCs w:val="18"/>
              </w:rPr>
            </w:pPr>
            <w:r w:rsidRPr="009E260C">
              <w:rPr>
                <w:rFonts w:ascii="Arial" w:eastAsia="Times New Roman" w:hAnsi="Arial" w:cs="Arial"/>
                <w:color w:val="000000"/>
                <w:sz w:val="18"/>
                <w:szCs w:val="18"/>
              </w:rPr>
              <w:t xml:space="preserve"> (88.212)</w:t>
            </w:r>
          </w:p>
        </w:tc>
      </w:tr>
      <w:tr w:rsidR="0068010E" w:rsidRPr="00F43653" w14:paraId="392879A8" w14:textId="77777777" w:rsidTr="009E260C">
        <w:trPr>
          <w:trHeight w:hRule="exact" w:val="227"/>
        </w:trPr>
        <w:tc>
          <w:tcPr>
            <w:tcW w:w="3751" w:type="pct"/>
            <w:vAlign w:val="bottom"/>
          </w:tcPr>
          <w:p w14:paraId="70FC76F9" w14:textId="77777777" w:rsidR="0068010E" w:rsidRPr="00E72A09" w:rsidRDefault="0068010E" w:rsidP="0068010E">
            <w:pPr>
              <w:keepLines/>
              <w:tabs>
                <w:tab w:val="right" w:pos="1202"/>
              </w:tabs>
              <w:spacing w:line="220" w:lineRule="exact"/>
              <w:outlineLvl w:val="0"/>
              <w:rPr>
                <w:rFonts w:ascii="Arial" w:eastAsia="Times New Roman" w:hAnsi="Arial" w:cs="Arial"/>
                <w:color w:val="000000"/>
                <w:sz w:val="18"/>
                <w:szCs w:val="18"/>
              </w:rPr>
            </w:pPr>
            <w:bookmarkStart w:id="208" w:name="_Toc67327198"/>
            <w:r w:rsidRPr="00E72A09">
              <w:rPr>
                <w:rFonts w:ascii="Arial" w:eastAsia="Times New Roman" w:hAnsi="Arial" w:cs="Arial"/>
                <w:color w:val="000000"/>
                <w:sz w:val="18"/>
                <w:szCs w:val="18"/>
              </w:rPr>
              <w:t>Prodaja financijske imovine po fer vrijednosti kroz ostalu sveobuhvatnu dobit</w:t>
            </w:r>
            <w:bookmarkEnd w:id="208"/>
          </w:p>
        </w:tc>
        <w:tc>
          <w:tcPr>
            <w:tcW w:w="625" w:type="pct"/>
            <w:shd w:val="clear" w:color="000000" w:fill="auto"/>
            <w:vAlign w:val="bottom"/>
          </w:tcPr>
          <w:p w14:paraId="206D334F" w14:textId="74621B28" w:rsidR="0068010E" w:rsidRPr="007478FB" w:rsidRDefault="00943816" w:rsidP="0068010E">
            <w:pPr>
              <w:keepLines/>
              <w:tabs>
                <w:tab w:val="right" w:pos="1202"/>
              </w:tabs>
              <w:spacing w:line="220" w:lineRule="exact"/>
              <w:jc w:val="right"/>
              <w:outlineLvl w:val="0"/>
              <w:rPr>
                <w:rFonts w:ascii="Arial" w:eastAsia="Times New Roman" w:hAnsi="Arial" w:cs="Arial"/>
                <w:color w:val="000000"/>
                <w:sz w:val="18"/>
                <w:szCs w:val="18"/>
              </w:rPr>
            </w:pPr>
            <w:r>
              <w:rPr>
                <w:rFonts w:ascii="Arial" w:eastAsia="Times New Roman" w:hAnsi="Arial" w:cs="Arial"/>
                <w:color w:val="000000"/>
                <w:sz w:val="18"/>
                <w:szCs w:val="18"/>
              </w:rPr>
              <w:t>88.814</w:t>
            </w:r>
          </w:p>
        </w:tc>
        <w:tc>
          <w:tcPr>
            <w:tcW w:w="624" w:type="pct"/>
            <w:shd w:val="clear" w:color="000000" w:fill="auto"/>
            <w:vAlign w:val="bottom"/>
          </w:tcPr>
          <w:p w14:paraId="18561320" w14:textId="6BB6C55D" w:rsidR="0068010E" w:rsidRPr="007478FB" w:rsidRDefault="0068010E" w:rsidP="0068010E">
            <w:pPr>
              <w:keepLines/>
              <w:tabs>
                <w:tab w:val="right" w:pos="1202"/>
              </w:tabs>
              <w:spacing w:line="220" w:lineRule="exact"/>
              <w:jc w:val="right"/>
              <w:outlineLvl w:val="0"/>
              <w:rPr>
                <w:rFonts w:ascii="Arial" w:eastAsia="Times New Roman" w:hAnsi="Arial" w:cs="Arial"/>
                <w:color w:val="000000"/>
                <w:sz w:val="18"/>
                <w:szCs w:val="18"/>
              </w:rPr>
            </w:pPr>
            <w:r w:rsidRPr="009E260C">
              <w:rPr>
                <w:rFonts w:ascii="Arial" w:eastAsia="Times New Roman" w:hAnsi="Arial" w:cs="Arial"/>
                <w:color w:val="000000"/>
                <w:sz w:val="18"/>
                <w:szCs w:val="18"/>
              </w:rPr>
              <w:t xml:space="preserve"> 155.587 </w:t>
            </w:r>
          </w:p>
        </w:tc>
      </w:tr>
      <w:tr w:rsidR="0068010E" w:rsidRPr="00F43653" w14:paraId="1D5F0533" w14:textId="77777777" w:rsidTr="009E260C">
        <w:trPr>
          <w:trHeight w:hRule="exact" w:val="227"/>
        </w:trPr>
        <w:tc>
          <w:tcPr>
            <w:tcW w:w="3751" w:type="pct"/>
            <w:vAlign w:val="bottom"/>
          </w:tcPr>
          <w:p w14:paraId="632D1774" w14:textId="77777777" w:rsidR="0068010E" w:rsidRPr="00E72A09" w:rsidRDefault="0068010E" w:rsidP="0068010E">
            <w:pPr>
              <w:keepLines/>
              <w:tabs>
                <w:tab w:val="right" w:pos="1202"/>
              </w:tabs>
              <w:spacing w:line="220" w:lineRule="exact"/>
              <w:outlineLvl w:val="0"/>
              <w:rPr>
                <w:rFonts w:ascii="Arial" w:eastAsia="Times New Roman" w:hAnsi="Arial" w:cs="Arial"/>
                <w:color w:val="000000"/>
                <w:spacing w:val="-2"/>
                <w:sz w:val="18"/>
                <w:szCs w:val="18"/>
              </w:rPr>
            </w:pPr>
            <w:bookmarkStart w:id="209" w:name="_Toc67327204"/>
            <w:r w:rsidRPr="00E72A09">
              <w:rPr>
                <w:rFonts w:ascii="Arial" w:eastAsia="Times New Roman" w:hAnsi="Arial" w:cs="Arial"/>
                <w:color w:val="000000"/>
                <w:spacing w:val="-2"/>
                <w:sz w:val="18"/>
                <w:szCs w:val="18"/>
              </w:rPr>
              <w:t>Neto nabava nekretnina, postrojenja i opreme i nematerijalne imovine</w:t>
            </w:r>
            <w:bookmarkEnd w:id="209"/>
          </w:p>
        </w:tc>
        <w:tc>
          <w:tcPr>
            <w:tcW w:w="625" w:type="pct"/>
            <w:tcBorders>
              <w:bottom w:val="single" w:sz="4" w:space="0" w:color="auto"/>
            </w:tcBorders>
            <w:shd w:val="clear" w:color="000000" w:fill="auto"/>
            <w:vAlign w:val="bottom"/>
          </w:tcPr>
          <w:p w14:paraId="53E9982D" w14:textId="39123815" w:rsidR="0068010E" w:rsidRPr="007478FB" w:rsidRDefault="00943816" w:rsidP="0068010E">
            <w:pPr>
              <w:keepLines/>
              <w:tabs>
                <w:tab w:val="right" w:pos="1202"/>
              </w:tabs>
              <w:spacing w:line="220" w:lineRule="exact"/>
              <w:jc w:val="right"/>
              <w:outlineLvl w:val="0"/>
              <w:rPr>
                <w:rFonts w:ascii="Arial" w:eastAsia="Times New Roman" w:hAnsi="Arial" w:cs="Arial"/>
                <w:color w:val="000000"/>
                <w:sz w:val="18"/>
                <w:szCs w:val="18"/>
              </w:rPr>
            </w:pPr>
            <w:r>
              <w:rPr>
                <w:rFonts w:ascii="Arial" w:eastAsia="Times New Roman" w:hAnsi="Arial" w:cs="Arial"/>
                <w:color w:val="000000"/>
                <w:sz w:val="18"/>
                <w:szCs w:val="18"/>
              </w:rPr>
              <w:t>(1.091)</w:t>
            </w:r>
          </w:p>
        </w:tc>
        <w:tc>
          <w:tcPr>
            <w:tcW w:w="624" w:type="pct"/>
            <w:tcBorders>
              <w:bottom w:val="single" w:sz="4" w:space="0" w:color="auto"/>
            </w:tcBorders>
            <w:shd w:val="clear" w:color="000000" w:fill="auto"/>
            <w:vAlign w:val="bottom"/>
          </w:tcPr>
          <w:p w14:paraId="437FEAC9" w14:textId="6FEE8116" w:rsidR="0068010E" w:rsidRPr="007478FB" w:rsidRDefault="0068010E" w:rsidP="0068010E">
            <w:pPr>
              <w:keepLines/>
              <w:tabs>
                <w:tab w:val="right" w:pos="1202"/>
              </w:tabs>
              <w:spacing w:line="220" w:lineRule="exact"/>
              <w:jc w:val="right"/>
              <w:outlineLvl w:val="0"/>
              <w:rPr>
                <w:rFonts w:ascii="Arial" w:eastAsia="Times New Roman" w:hAnsi="Arial" w:cs="Arial"/>
                <w:color w:val="000000"/>
                <w:sz w:val="18"/>
                <w:szCs w:val="18"/>
              </w:rPr>
            </w:pPr>
            <w:r w:rsidRPr="009E260C">
              <w:rPr>
                <w:rFonts w:ascii="Arial" w:eastAsia="Times New Roman" w:hAnsi="Arial" w:cs="Arial"/>
                <w:color w:val="000000"/>
                <w:sz w:val="18"/>
                <w:szCs w:val="18"/>
              </w:rPr>
              <w:t xml:space="preserve"> (338)</w:t>
            </w:r>
          </w:p>
        </w:tc>
      </w:tr>
      <w:tr w:rsidR="0068010E" w:rsidRPr="00F43653" w14:paraId="4E01B961" w14:textId="77777777" w:rsidTr="00E40F4A">
        <w:trPr>
          <w:trHeight w:val="196"/>
        </w:trPr>
        <w:tc>
          <w:tcPr>
            <w:tcW w:w="3751" w:type="pct"/>
            <w:vAlign w:val="bottom"/>
          </w:tcPr>
          <w:p w14:paraId="615749BF" w14:textId="4AE54F08" w:rsidR="0068010E" w:rsidRPr="00E72A09" w:rsidRDefault="0068010E" w:rsidP="0068010E">
            <w:pPr>
              <w:keepLines/>
              <w:tabs>
                <w:tab w:val="right" w:pos="1202"/>
              </w:tabs>
              <w:spacing w:line="220" w:lineRule="exact"/>
              <w:outlineLvl w:val="0"/>
              <w:rPr>
                <w:rFonts w:ascii="Arial" w:eastAsia="Times New Roman" w:hAnsi="Arial" w:cs="Arial"/>
                <w:b/>
                <w:bCs/>
                <w:color w:val="000000"/>
                <w:sz w:val="18"/>
                <w:szCs w:val="18"/>
              </w:rPr>
            </w:pPr>
            <w:bookmarkStart w:id="210" w:name="_Toc67327205"/>
            <w:r w:rsidRPr="00E72A09">
              <w:rPr>
                <w:rFonts w:ascii="Arial" w:eastAsia="Times New Roman" w:hAnsi="Arial" w:cs="Arial"/>
                <w:b/>
                <w:bCs/>
                <w:color w:val="000000"/>
                <w:sz w:val="18"/>
                <w:szCs w:val="18"/>
              </w:rPr>
              <w:t xml:space="preserve">Neto novčana sredstva </w:t>
            </w:r>
            <w:r w:rsidR="0017655C">
              <w:rPr>
                <w:rFonts w:ascii="Arial" w:eastAsia="Times New Roman" w:hAnsi="Arial" w:cs="Arial"/>
                <w:b/>
                <w:bCs/>
                <w:color w:val="000000"/>
                <w:sz w:val="18"/>
                <w:szCs w:val="18"/>
              </w:rPr>
              <w:t>(uporabljena)/</w:t>
            </w:r>
            <w:r w:rsidRPr="00E72A09">
              <w:rPr>
                <w:rFonts w:ascii="Arial" w:eastAsia="Times New Roman" w:hAnsi="Arial" w:cs="Arial"/>
                <w:b/>
                <w:bCs/>
                <w:color w:val="000000"/>
                <w:sz w:val="18"/>
                <w:szCs w:val="18"/>
              </w:rPr>
              <w:t>ostvarena u ulagateljskim aktivnostima</w:t>
            </w:r>
            <w:bookmarkEnd w:id="210"/>
          </w:p>
        </w:tc>
        <w:tc>
          <w:tcPr>
            <w:tcW w:w="625" w:type="pct"/>
            <w:tcBorders>
              <w:top w:val="single" w:sz="4" w:space="0" w:color="auto"/>
              <w:bottom w:val="single" w:sz="12" w:space="0" w:color="auto"/>
            </w:tcBorders>
            <w:vAlign w:val="bottom"/>
          </w:tcPr>
          <w:p w14:paraId="6CB50484" w14:textId="3E9BAADB" w:rsidR="0068010E" w:rsidRPr="00F43653" w:rsidRDefault="00943816" w:rsidP="0068010E">
            <w:pPr>
              <w:spacing w:line="220" w:lineRule="exact"/>
              <w:jc w:val="right"/>
              <w:rPr>
                <w:rFonts w:ascii="Arial" w:eastAsia="Times New Roman" w:hAnsi="Arial" w:cs="Arial"/>
                <w:b/>
                <w:bCs/>
                <w:color w:val="000000"/>
                <w:spacing w:val="-2"/>
                <w:sz w:val="18"/>
                <w:szCs w:val="18"/>
              </w:rPr>
            </w:pPr>
            <w:r>
              <w:rPr>
                <w:rFonts w:ascii="Arial" w:eastAsia="Times New Roman" w:hAnsi="Arial" w:cs="Arial"/>
                <w:b/>
                <w:bCs/>
                <w:color w:val="000000"/>
                <w:spacing w:val="-2"/>
                <w:sz w:val="18"/>
                <w:szCs w:val="18"/>
              </w:rPr>
              <w:t>(31.156)</w:t>
            </w:r>
          </w:p>
        </w:tc>
        <w:tc>
          <w:tcPr>
            <w:tcW w:w="624" w:type="pct"/>
            <w:tcBorders>
              <w:top w:val="single" w:sz="4" w:space="0" w:color="auto"/>
              <w:bottom w:val="single" w:sz="12" w:space="0" w:color="auto"/>
            </w:tcBorders>
            <w:vAlign w:val="bottom"/>
          </w:tcPr>
          <w:p w14:paraId="777B3DE0" w14:textId="0FF3A9EB" w:rsidR="0068010E" w:rsidRPr="00F43653" w:rsidRDefault="0068010E" w:rsidP="0068010E">
            <w:pPr>
              <w:spacing w:line="220" w:lineRule="exact"/>
              <w:jc w:val="right"/>
              <w:rPr>
                <w:rFonts w:ascii="Arial" w:eastAsia="Times New Roman" w:hAnsi="Arial" w:cs="Arial"/>
                <w:b/>
                <w:bCs/>
                <w:color w:val="000000"/>
                <w:spacing w:val="-2"/>
                <w:sz w:val="18"/>
                <w:szCs w:val="18"/>
              </w:rPr>
            </w:pPr>
            <w:r w:rsidRPr="009E260C">
              <w:rPr>
                <w:rFonts w:ascii="Arial" w:eastAsia="Times New Roman" w:hAnsi="Arial" w:cs="Arial"/>
                <w:b/>
                <w:bCs/>
                <w:color w:val="000000"/>
                <w:spacing w:val="-2"/>
                <w:sz w:val="18"/>
                <w:szCs w:val="18"/>
              </w:rPr>
              <w:t>62.861</w:t>
            </w:r>
          </w:p>
        </w:tc>
      </w:tr>
      <w:tr w:rsidR="0068010E" w:rsidRPr="00F43653" w14:paraId="178E07D4" w14:textId="77777777" w:rsidTr="00E40F4A">
        <w:trPr>
          <w:trHeight w:hRule="exact" w:val="113"/>
        </w:trPr>
        <w:tc>
          <w:tcPr>
            <w:tcW w:w="3751" w:type="pct"/>
            <w:vAlign w:val="bottom"/>
          </w:tcPr>
          <w:p w14:paraId="33319395" w14:textId="77777777" w:rsidR="0068010E" w:rsidRPr="00F43653" w:rsidRDefault="0068010E" w:rsidP="0068010E">
            <w:pPr>
              <w:keepLines/>
              <w:tabs>
                <w:tab w:val="right" w:pos="1202"/>
              </w:tabs>
              <w:spacing w:line="220" w:lineRule="exact"/>
              <w:outlineLvl w:val="0"/>
              <w:rPr>
                <w:rFonts w:ascii="Arial" w:eastAsia="Times New Roman" w:hAnsi="Arial" w:cs="Arial"/>
                <w:b/>
                <w:bCs/>
                <w:color w:val="000000"/>
                <w:sz w:val="18"/>
                <w:szCs w:val="18"/>
              </w:rPr>
            </w:pPr>
          </w:p>
        </w:tc>
        <w:tc>
          <w:tcPr>
            <w:tcW w:w="625" w:type="pct"/>
            <w:tcBorders>
              <w:top w:val="single" w:sz="12" w:space="0" w:color="auto"/>
            </w:tcBorders>
            <w:vAlign w:val="bottom"/>
          </w:tcPr>
          <w:p w14:paraId="0FF790B3" w14:textId="77777777" w:rsidR="0068010E" w:rsidRPr="00F43653" w:rsidRDefault="0068010E" w:rsidP="0068010E">
            <w:pPr>
              <w:keepLines/>
              <w:tabs>
                <w:tab w:val="right" w:pos="1202"/>
              </w:tabs>
              <w:spacing w:line="220" w:lineRule="exact"/>
              <w:jc w:val="right"/>
              <w:outlineLvl w:val="0"/>
              <w:rPr>
                <w:rFonts w:ascii="Arial" w:eastAsia="Times New Roman" w:hAnsi="Arial" w:cs="Arial"/>
                <w:b/>
                <w:bCs/>
                <w:color w:val="000000"/>
                <w:sz w:val="18"/>
                <w:szCs w:val="18"/>
              </w:rPr>
            </w:pPr>
          </w:p>
        </w:tc>
        <w:tc>
          <w:tcPr>
            <w:tcW w:w="624" w:type="pct"/>
            <w:tcBorders>
              <w:top w:val="single" w:sz="12" w:space="0" w:color="auto"/>
            </w:tcBorders>
            <w:vAlign w:val="bottom"/>
          </w:tcPr>
          <w:p w14:paraId="2776E724" w14:textId="77777777" w:rsidR="0068010E" w:rsidRPr="00F43653" w:rsidRDefault="0068010E" w:rsidP="0068010E">
            <w:pPr>
              <w:keepLines/>
              <w:tabs>
                <w:tab w:val="right" w:pos="1202"/>
              </w:tabs>
              <w:spacing w:line="220" w:lineRule="exact"/>
              <w:jc w:val="right"/>
              <w:outlineLvl w:val="0"/>
              <w:rPr>
                <w:rFonts w:ascii="Arial" w:eastAsia="Times New Roman" w:hAnsi="Arial" w:cs="Arial"/>
                <w:b/>
                <w:bCs/>
                <w:color w:val="000000"/>
                <w:sz w:val="18"/>
                <w:szCs w:val="18"/>
              </w:rPr>
            </w:pPr>
          </w:p>
        </w:tc>
      </w:tr>
      <w:tr w:rsidR="0068010E" w:rsidRPr="00F43653" w14:paraId="01434BAA" w14:textId="77777777" w:rsidTr="00E40F4A">
        <w:tc>
          <w:tcPr>
            <w:tcW w:w="3751" w:type="pct"/>
            <w:vAlign w:val="bottom"/>
          </w:tcPr>
          <w:p w14:paraId="3ECF08E3" w14:textId="77777777" w:rsidR="0068010E" w:rsidRPr="00F43653" w:rsidRDefault="0068010E" w:rsidP="0068010E">
            <w:pPr>
              <w:keepLines/>
              <w:tabs>
                <w:tab w:val="right" w:pos="1202"/>
              </w:tabs>
              <w:spacing w:line="220" w:lineRule="exact"/>
              <w:outlineLvl w:val="0"/>
              <w:rPr>
                <w:rFonts w:ascii="Arial" w:eastAsia="Times New Roman" w:hAnsi="Arial" w:cs="Arial"/>
                <w:b/>
                <w:bCs/>
                <w:color w:val="000000"/>
                <w:spacing w:val="-3"/>
                <w:sz w:val="18"/>
                <w:szCs w:val="18"/>
              </w:rPr>
            </w:pPr>
            <w:bookmarkStart w:id="211" w:name="_Toc67327206"/>
            <w:r w:rsidRPr="00F43653">
              <w:rPr>
                <w:rFonts w:ascii="Arial" w:eastAsia="Times New Roman" w:hAnsi="Arial" w:cs="Arial"/>
                <w:b/>
                <w:bCs/>
                <w:color w:val="000000"/>
                <w:sz w:val="18"/>
                <w:szCs w:val="18"/>
              </w:rPr>
              <w:t>Financijske aktivnosti</w:t>
            </w:r>
            <w:bookmarkEnd w:id="211"/>
          </w:p>
        </w:tc>
        <w:tc>
          <w:tcPr>
            <w:tcW w:w="625" w:type="pct"/>
            <w:vAlign w:val="bottom"/>
          </w:tcPr>
          <w:p w14:paraId="2794C123" w14:textId="77777777" w:rsidR="0068010E" w:rsidRPr="00F43653" w:rsidRDefault="0068010E" w:rsidP="0068010E">
            <w:pPr>
              <w:keepLines/>
              <w:tabs>
                <w:tab w:val="right" w:pos="1202"/>
              </w:tabs>
              <w:spacing w:line="220" w:lineRule="exact"/>
              <w:jc w:val="right"/>
              <w:outlineLvl w:val="0"/>
              <w:rPr>
                <w:rFonts w:ascii="Arial" w:eastAsia="Times New Roman" w:hAnsi="Arial" w:cs="Arial"/>
                <w:b/>
                <w:bCs/>
                <w:color w:val="000000"/>
                <w:sz w:val="18"/>
                <w:szCs w:val="18"/>
              </w:rPr>
            </w:pPr>
          </w:p>
        </w:tc>
        <w:tc>
          <w:tcPr>
            <w:tcW w:w="624" w:type="pct"/>
            <w:vAlign w:val="bottom"/>
          </w:tcPr>
          <w:p w14:paraId="10C218EF" w14:textId="77777777" w:rsidR="0068010E" w:rsidRPr="00F43653" w:rsidRDefault="0068010E" w:rsidP="0068010E">
            <w:pPr>
              <w:keepLines/>
              <w:tabs>
                <w:tab w:val="right" w:pos="1202"/>
              </w:tabs>
              <w:spacing w:line="220" w:lineRule="exact"/>
              <w:jc w:val="right"/>
              <w:outlineLvl w:val="0"/>
              <w:rPr>
                <w:rFonts w:ascii="Arial" w:eastAsia="Times New Roman" w:hAnsi="Arial" w:cs="Arial"/>
                <w:b/>
                <w:bCs/>
                <w:color w:val="000000"/>
                <w:sz w:val="18"/>
                <w:szCs w:val="18"/>
              </w:rPr>
            </w:pPr>
          </w:p>
        </w:tc>
      </w:tr>
      <w:tr w:rsidR="0068010E" w:rsidRPr="00F43653" w14:paraId="6E213763" w14:textId="77777777" w:rsidTr="00E40F4A">
        <w:trPr>
          <w:trHeight w:hRule="exact" w:val="227"/>
        </w:trPr>
        <w:tc>
          <w:tcPr>
            <w:tcW w:w="3751" w:type="pct"/>
            <w:vAlign w:val="bottom"/>
          </w:tcPr>
          <w:p w14:paraId="0DBA6D23" w14:textId="77777777" w:rsidR="0068010E" w:rsidRPr="00F43653" w:rsidRDefault="0068010E" w:rsidP="0068010E">
            <w:pPr>
              <w:keepLines/>
              <w:tabs>
                <w:tab w:val="right" w:pos="1202"/>
              </w:tabs>
              <w:spacing w:line="220" w:lineRule="exact"/>
              <w:outlineLvl w:val="0"/>
              <w:rPr>
                <w:rFonts w:ascii="Arial" w:eastAsia="Times New Roman" w:hAnsi="Arial" w:cs="Arial"/>
                <w:color w:val="000000"/>
                <w:spacing w:val="-3"/>
                <w:sz w:val="18"/>
                <w:szCs w:val="18"/>
              </w:rPr>
            </w:pPr>
            <w:bookmarkStart w:id="212" w:name="_Toc67327207"/>
            <w:r w:rsidRPr="00F43653">
              <w:rPr>
                <w:rFonts w:ascii="Arial" w:eastAsia="Times New Roman" w:hAnsi="Arial" w:cs="Arial"/>
                <w:color w:val="000000"/>
                <w:spacing w:val="-3"/>
                <w:sz w:val="18"/>
                <w:szCs w:val="18"/>
              </w:rPr>
              <w:t>Povećanje osnivačkog kapitala</w:t>
            </w:r>
            <w:bookmarkEnd w:id="212"/>
          </w:p>
        </w:tc>
        <w:tc>
          <w:tcPr>
            <w:tcW w:w="625" w:type="pct"/>
            <w:shd w:val="clear" w:color="auto" w:fill="auto"/>
            <w:vAlign w:val="bottom"/>
          </w:tcPr>
          <w:p w14:paraId="43F989EB" w14:textId="74F670D7" w:rsidR="0068010E" w:rsidRPr="00F43653" w:rsidRDefault="00943816" w:rsidP="0068010E">
            <w:pPr>
              <w:keepLines/>
              <w:tabs>
                <w:tab w:val="right" w:pos="1202"/>
              </w:tabs>
              <w:spacing w:line="220" w:lineRule="exact"/>
              <w:jc w:val="right"/>
              <w:outlineLvl w:val="0"/>
              <w:rPr>
                <w:rFonts w:ascii="Arial" w:eastAsia="Times New Roman" w:hAnsi="Arial" w:cs="Arial"/>
                <w:color w:val="000000"/>
                <w:spacing w:val="-2"/>
                <w:sz w:val="18"/>
                <w:szCs w:val="18"/>
              </w:rPr>
            </w:pPr>
            <w:r>
              <w:rPr>
                <w:rFonts w:ascii="Arial" w:eastAsia="Times New Roman" w:hAnsi="Arial" w:cs="Arial"/>
                <w:color w:val="000000"/>
                <w:spacing w:val="-2"/>
                <w:sz w:val="18"/>
                <w:szCs w:val="18"/>
              </w:rPr>
              <w:t>-</w:t>
            </w:r>
          </w:p>
        </w:tc>
        <w:tc>
          <w:tcPr>
            <w:tcW w:w="624" w:type="pct"/>
            <w:shd w:val="clear" w:color="auto" w:fill="auto"/>
            <w:vAlign w:val="bottom"/>
          </w:tcPr>
          <w:p w14:paraId="572CD62C" w14:textId="570507C5" w:rsidR="0068010E" w:rsidRPr="00F43653" w:rsidRDefault="0068010E" w:rsidP="0068010E">
            <w:pPr>
              <w:keepLines/>
              <w:tabs>
                <w:tab w:val="right" w:pos="1202"/>
              </w:tabs>
              <w:spacing w:line="220" w:lineRule="exact"/>
              <w:jc w:val="right"/>
              <w:outlineLvl w:val="0"/>
              <w:rPr>
                <w:rFonts w:ascii="Arial" w:eastAsia="Times New Roman" w:hAnsi="Arial" w:cs="Arial"/>
                <w:color w:val="000000"/>
                <w:sz w:val="18"/>
                <w:szCs w:val="18"/>
              </w:rPr>
            </w:pPr>
            <w:r>
              <w:rPr>
                <w:rFonts w:ascii="Arial" w:eastAsia="Times New Roman" w:hAnsi="Arial" w:cs="Arial"/>
                <w:color w:val="000000"/>
                <w:spacing w:val="-2"/>
                <w:sz w:val="18"/>
                <w:szCs w:val="18"/>
              </w:rPr>
              <w:t>-</w:t>
            </w:r>
          </w:p>
        </w:tc>
      </w:tr>
      <w:tr w:rsidR="0068010E" w:rsidRPr="00F43653" w14:paraId="1B45A11F" w14:textId="77777777" w:rsidTr="009E260C">
        <w:trPr>
          <w:trHeight w:hRule="exact" w:val="227"/>
        </w:trPr>
        <w:tc>
          <w:tcPr>
            <w:tcW w:w="3751" w:type="pct"/>
            <w:vAlign w:val="bottom"/>
          </w:tcPr>
          <w:p w14:paraId="0B56D644" w14:textId="77777777" w:rsidR="0068010E" w:rsidRPr="00F43653" w:rsidRDefault="0068010E" w:rsidP="0068010E">
            <w:pPr>
              <w:keepLines/>
              <w:tabs>
                <w:tab w:val="right" w:pos="1202"/>
              </w:tabs>
              <w:spacing w:line="220" w:lineRule="exact"/>
              <w:outlineLvl w:val="0"/>
              <w:rPr>
                <w:rFonts w:ascii="Arial" w:eastAsia="Times New Roman" w:hAnsi="Arial" w:cs="Arial"/>
                <w:color w:val="000000"/>
                <w:spacing w:val="-3"/>
                <w:sz w:val="18"/>
                <w:szCs w:val="18"/>
              </w:rPr>
            </w:pPr>
            <w:bookmarkStart w:id="213" w:name="_Toc67327210"/>
            <w:r w:rsidRPr="00F43653">
              <w:rPr>
                <w:rFonts w:ascii="Arial" w:eastAsia="Times New Roman" w:hAnsi="Arial" w:cs="Arial"/>
                <w:color w:val="000000"/>
                <w:spacing w:val="-3"/>
                <w:sz w:val="18"/>
                <w:szCs w:val="18"/>
              </w:rPr>
              <w:t>Povećanje obveza po kreditima povlačenjem sredstava kredita</w:t>
            </w:r>
            <w:bookmarkEnd w:id="213"/>
          </w:p>
        </w:tc>
        <w:tc>
          <w:tcPr>
            <w:tcW w:w="625" w:type="pct"/>
            <w:shd w:val="clear" w:color="auto" w:fill="auto"/>
            <w:vAlign w:val="bottom"/>
          </w:tcPr>
          <w:p w14:paraId="1D66A793" w14:textId="2F1CF1B1" w:rsidR="0068010E" w:rsidRPr="007478FB" w:rsidRDefault="003D642D" w:rsidP="0068010E">
            <w:pPr>
              <w:keepLines/>
              <w:tabs>
                <w:tab w:val="right" w:pos="1202"/>
              </w:tabs>
              <w:spacing w:line="220" w:lineRule="exact"/>
              <w:jc w:val="right"/>
              <w:outlineLvl w:val="0"/>
              <w:rPr>
                <w:rFonts w:ascii="Arial" w:eastAsia="Times New Roman" w:hAnsi="Arial" w:cs="Arial"/>
                <w:color w:val="000000"/>
                <w:sz w:val="18"/>
                <w:szCs w:val="18"/>
              </w:rPr>
            </w:pPr>
            <w:r>
              <w:rPr>
                <w:rFonts w:ascii="Arial" w:eastAsia="Times New Roman" w:hAnsi="Arial" w:cs="Arial"/>
                <w:color w:val="000000"/>
                <w:sz w:val="18"/>
                <w:szCs w:val="18"/>
              </w:rPr>
              <w:t>457.220</w:t>
            </w:r>
          </w:p>
        </w:tc>
        <w:tc>
          <w:tcPr>
            <w:tcW w:w="624" w:type="pct"/>
            <w:shd w:val="clear" w:color="auto" w:fill="auto"/>
            <w:vAlign w:val="bottom"/>
          </w:tcPr>
          <w:p w14:paraId="06378713" w14:textId="0905836F" w:rsidR="0068010E" w:rsidRPr="00F43653" w:rsidRDefault="0068010E" w:rsidP="0068010E">
            <w:pPr>
              <w:keepLines/>
              <w:tabs>
                <w:tab w:val="right" w:pos="1202"/>
              </w:tabs>
              <w:spacing w:line="220" w:lineRule="exact"/>
              <w:jc w:val="right"/>
              <w:outlineLvl w:val="0"/>
              <w:rPr>
                <w:rFonts w:ascii="Arial" w:eastAsia="Times New Roman" w:hAnsi="Arial" w:cs="Arial"/>
                <w:color w:val="000000"/>
                <w:sz w:val="18"/>
                <w:szCs w:val="18"/>
              </w:rPr>
            </w:pPr>
            <w:r w:rsidRPr="009E260C">
              <w:rPr>
                <w:rFonts w:ascii="Arial" w:eastAsia="Times New Roman" w:hAnsi="Arial" w:cs="Arial"/>
                <w:color w:val="000000"/>
                <w:sz w:val="18"/>
                <w:szCs w:val="18"/>
              </w:rPr>
              <w:t xml:space="preserve"> 269.000 </w:t>
            </w:r>
          </w:p>
        </w:tc>
      </w:tr>
      <w:tr w:rsidR="0068010E" w:rsidRPr="00F43653" w14:paraId="765A4A01" w14:textId="77777777" w:rsidTr="009E260C">
        <w:trPr>
          <w:trHeight w:hRule="exact" w:val="227"/>
        </w:trPr>
        <w:tc>
          <w:tcPr>
            <w:tcW w:w="3751" w:type="pct"/>
            <w:vAlign w:val="bottom"/>
          </w:tcPr>
          <w:p w14:paraId="5942E519" w14:textId="77777777" w:rsidR="0068010E" w:rsidRPr="00F43653" w:rsidRDefault="0068010E" w:rsidP="0068010E">
            <w:pPr>
              <w:keepLines/>
              <w:tabs>
                <w:tab w:val="right" w:pos="1202"/>
              </w:tabs>
              <w:spacing w:line="220" w:lineRule="exact"/>
              <w:outlineLvl w:val="0"/>
              <w:rPr>
                <w:rFonts w:ascii="Arial" w:eastAsia="Times New Roman" w:hAnsi="Arial" w:cs="Arial"/>
                <w:color w:val="000000"/>
                <w:spacing w:val="-3"/>
                <w:sz w:val="18"/>
                <w:szCs w:val="18"/>
              </w:rPr>
            </w:pPr>
            <w:bookmarkStart w:id="214" w:name="_Toc67327213"/>
            <w:r w:rsidRPr="00F43653">
              <w:rPr>
                <w:rFonts w:ascii="Arial" w:eastAsia="Times New Roman" w:hAnsi="Arial" w:cs="Arial"/>
                <w:color w:val="000000"/>
                <w:spacing w:val="-3"/>
                <w:sz w:val="18"/>
                <w:szCs w:val="18"/>
              </w:rPr>
              <w:t>Smanjenje obveza po kreditima otplatom glavnice kredita</w:t>
            </w:r>
            <w:bookmarkEnd w:id="214"/>
          </w:p>
        </w:tc>
        <w:tc>
          <w:tcPr>
            <w:tcW w:w="625" w:type="pct"/>
            <w:shd w:val="clear" w:color="auto" w:fill="auto"/>
            <w:vAlign w:val="bottom"/>
          </w:tcPr>
          <w:p w14:paraId="765BCAD1" w14:textId="45A877F0" w:rsidR="0068010E" w:rsidRPr="007478FB" w:rsidRDefault="003D642D" w:rsidP="0068010E">
            <w:pPr>
              <w:keepLines/>
              <w:tabs>
                <w:tab w:val="right" w:pos="1202"/>
              </w:tabs>
              <w:spacing w:line="220" w:lineRule="exact"/>
              <w:jc w:val="right"/>
              <w:outlineLvl w:val="0"/>
              <w:rPr>
                <w:rFonts w:ascii="Arial" w:eastAsia="Times New Roman" w:hAnsi="Arial" w:cs="Arial"/>
                <w:color w:val="000000"/>
                <w:sz w:val="18"/>
                <w:szCs w:val="18"/>
              </w:rPr>
            </w:pPr>
            <w:r>
              <w:rPr>
                <w:rFonts w:ascii="Arial" w:eastAsia="Times New Roman" w:hAnsi="Arial" w:cs="Arial"/>
                <w:color w:val="000000"/>
                <w:sz w:val="18"/>
                <w:szCs w:val="18"/>
              </w:rPr>
              <w:t>(</w:t>
            </w:r>
            <w:r w:rsidR="00E70494">
              <w:rPr>
                <w:rFonts w:ascii="Arial" w:eastAsia="Times New Roman" w:hAnsi="Arial" w:cs="Arial"/>
                <w:color w:val="000000"/>
                <w:sz w:val="18"/>
                <w:szCs w:val="18"/>
              </w:rPr>
              <w:t>514.722)</w:t>
            </w:r>
          </w:p>
        </w:tc>
        <w:tc>
          <w:tcPr>
            <w:tcW w:w="624" w:type="pct"/>
            <w:shd w:val="clear" w:color="auto" w:fill="auto"/>
            <w:vAlign w:val="bottom"/>
          </w:tcPr>
          <w:p w14:paraId="3A80B2DB" w14:textId="35D22B3F" w:rsidR="0068010E" w:rsidRPr="00F43653" w:rsidRDefault="0068010E" w:rsidP="0068010E">
            <w:pPr>
              <w:keepLines/>
              <w:tabs>
                <w:tab w:val="right" w:pos="1202"/>
              </w:tabs>
              <w:spacing w:line="220" w:lineRule="exact"/>
              <w:jc w:val="right"/>
              <w:outlineLvl w:val="0"/>
              <w:rPr>
                <w:rFonts w:ascii="Arial" w:eastAsia="Times New Roman" w:hAnsi="Arial" w:cs="Arial"/>
                <w:color w:val="000000"/>
                <w:sz w:val="18"/>
                <w:szCs w:val="18"/>
              </w:rPr>
            </w:pPr>
            <w:r w:rsidRPr="009E260C">
              <w:rPr>
                <w:rFonts w:ascii="Arial" w:eastAsia="Times New Roman" w:hAnsi="Arial" w:cs="Arial"/>
                <w:color w:val="000000"/>
                <w:sz w:val="18"/>
                <w:szCs w:val="18"/>
              </w:rPr>
              <w:t xml:space="preserve"> (289.307)</w:t>
            </w:r>
          </w:p>
        </w:tc>
      </w:tr>
      <w:tr w:rsidR="0068010E" w:rsidRPr="00F43653" w14:paraId="753D102A" w14:textId="77777777" w:rsidTr="00E40F4A">
        <w:trPr>
          <w:trHeight w:hRule="exact" w:val="227"/>
        </w:trPr>
        <w:tc>
          <w:tcPr>
            <w:tcW w:w="3751" w:type="pct"/>
            <w:vAlign w:val="bottom"/>
          </w:tcPr>
          <w:p w14:paraId="00D60F63" w14:textId="77777777" w:rsidR="0068010E" w:rsidRPr="00F43653" w:rsidRDefault="0068010E" w:rsidP="0068010E">
            <w:pPr>
              <w:keepLines/>
              <w:tabs>
                <w:tab w:val="right" w:pos="1202"/>
              </w:tabs>
              <w:spacing w:line="220" w:lineRule="exact"/>
              <w:outlineLvl w:val="0"/>
              <w:rPr>
                <w:rFonts w:ascii="Arial" w:eastAsia="Times New Roman" w:hAnsi="Arial" w:cs="Arial"/>
                <w:color w:val="000000"/>
                <w:spacing w:val="-3"/>
                <w:sz w:val="18"/>
                <w:szCs w:val="18"/>
              </w:rPr>
            </w:pPr>
            <w:bookmarkStart w:id="215" w:name="_Toc67327217"/>
            <w:r w:rsidRPr="00F43653">
              <w:rPr>
                <w:rFonts w:ascii="Arial" w:eastAsia="Times New Roman" w:hAnsi="Arial" w:cs="Arial"/>
                <w:color w:val="000000"/>
                <w:spacing w:val="-3"/>
                <w:sz w:val="18"/>
                <w:szCs w:val="18"/>
              </w:rPr>
              <w:t>Ostalo</w:t>
            </w:r>
            <w:bookmarkEnd w:id="215"/>
          </w:p>
        </w:tc>
        <w:tc>
          <w:tcPr>
            <w:tcW w:w="625" w:type="pct"/>
            <w:tcBorders>
              <w:bottom w:val="single" w:sz="4" w:space="0" w:color="auto"/>
            </w:tcBorders>
            <w:vAlign w:val="bottom"/>
          </w:tcPr>
          <w:p w14:paraId="2F1908BB" w14:textId="65086A89" w:rsidR="0068010E" w:rsidRPr="007478FB" w:rsidRDefault="00E70494" w:rsidP="0068010E">
            <w:pPr>
              <w:keepLines/>
              <w:jc w:val="right"/>
              <w:rPr>
                <w:rFonts w:ascii="Arial" w:eastAsia="Times New Roman" w:hAnsi="Arial" w:cs="Arial"/>
                <w:color w:val="000000"/>
                <w:sz w:val="18"/>
                <w:szCs w:val="18"/>
              </w:rPr>
            </w:pPr>
            <w:r>
              <w:rPr>
                <w:rFonts w:ascii="Arial" w:eastAsia="Times New Roman" w:hAnsi="Arial" w:cs="Arial"/>
                <w:color w:val="000000"/>
                <w:sz w:val="18"/>
                <w:szCs w:val="18"/>
              </w:rPr>
              <w:t>(5.904)</w:t>
            </w:r>
          </w:p>
        </w:tc>
        <w:tc>
          <w:tcPr>
            <w:tcW w:w="624" w:type="pct"/>
            <w:tcBorders>
              <w:bottom w:val="single" w:sz="4" w:space="0" w:color="auto"/>
            </w:tcBorders>
            <w:vAlign w:val="bottom"/>
          </w:tcPr>
          <w:p w14:paraId="6E70B783" w14:textId="3FF52DC8" w:rsidR="0068010E" w:rsidRPr="007478FB" w:rsidRDefault="0068010E" w:rsidP="0068010E">
            <w:pPr>
              <w:keepLines/>
              <w:jc w:val="right"/>
              <w:rPr>
                <w:rFonts w:ascii="Arial" w:eastAsia="Times New Roman" w:hAnsi="Arial" w:cs="Arial"/>
                <w:color w:val="000000"/>
                <w:sz w:val="18"/>
                <w:szCs w:val="18"/>
              </w:rPr>
            </w:pPr>
            <w:r w:rsidRPr="009E260C">
              <w:rPr>
                <w:rFonts w:ascii="Arial" w:eastAsia="Times New Roman" w:hAnsi="Arial" w:cs="Arial"/>
                <w:color w:val="000000"/>
                <w:sz w:val="18"/>
                <w:szCs w:val="18"/>
              </w:rPr>
              <w:t>2.160</w:t>
            </w:r>
          </w:p>
        </w:tc>
      </w:tr>
      <w:tr w:rsidR="0068010E" w:rsidRPr="00F43653" w14:paraId="4B099DF2" w14:textId="77777777" w:rsidTr="00E40F4A">
        <w:tc>
          <w:tcPr>
            <w:tcW w:w="3751" w:type="pct"/>
            <w:vAlign w:val="bottom"/>
          </w:tcPr>
          <w:p w14:paraId="42A20F52" w14:textId="5939A5F8" w:rsidR="0068010E" w:rsidRPr="00F43653" w:rsidRDefault="0068010E" w:rsidP="0068010E">
            <w:pPr>
              <w:keepLines/>
              <w:tabs>
                <w:tab w:val="right" w:pos="1202"/>
              </w:tabs>
              <w:spacing w:line="220" w:lineRule="exact"/>
              <w:outlineLvl w:val="0"/>
              <w:rPr>
                <w:rFonts w:ascii="Arial" w:eastAsia="Times New Roman" w:hAnsi="Arial" w:cs="Arial"/>
                <w:b/>
                <w:bCs/>
                <w:color w:val="000000"/>
                <w:spacing w:val="-3"/>
                <w:sz w:val="18"/>
                <w:szCs w:val="18"/>
              </w:rPr>
            </w:pPr>
            <w:bookmarkStart w:id="216" w:name="_Toc67327218"/>
            <w:r w:rsidRPr="00F43653">
              <w:rPr>
                <w:rFonts w:ascii="Arial" w:eastAsia="Times New Roman" w:hAnsi="Arial" w:cs="Arial"/>
                <w:b/>
                <w:bCs/>
                <w:color w:val="000000"/>
                <w:sz w:val="18"/>
                <w:szCs w:val="18"/>
              </w:rPr>
              <w:t xml:space="preserve">Neto novčana </w:t>
            </w:r>
            <w:r w:rsidRPr="00E72A09">
              <w:rPr>
                <w:rFonts w:ascii="Arial" w:eastAsia="Times New Roman" w:hAnsi="Arial" w:cs="Arial"/>
                <w:b/>
                <w:bCs/>
                <w:color w:val="000000"/>
                <w:sz w:val="18"/>
                <w:szCs w:val="18"/>
              </w:rPr>
              <w:t>sredstva</w:t>
            </w:r>
            <w:r>
              <w:rPr>
                <w:rFonts w:ascii="Arial" w:eastAsia="Times New Roman" w:hAnsi="Arial" w:cs="Arial"/>
                <w:b/>
                <w:bCs/>
                <w:color w:val="000000"/>
                <w:sz w:val="18"/>
                <w:szCs w:val="18"/>
              </w:rPr>
              <w:t xml:space="preserve"> </w:t>
            </w:r>
            <w:r w:rsidRPr="00E72A09">
              <w:rPr>
                <w:rFonts w:ascii="Arial" w:eastAsia="Times New Roman" w:hAnsi="Arial" w:cs="Arial"/>
                <w:b/>
                <w:bCs/>
                <w:color w:val="000000"/>
                <w:sz w:val="18"/>
                <w:szCs w:val="18"/>
              </w:rPr>
              <w:t>(uporabljena)</w:t>
            </w:r>
            <w:r w:rsidRPr="00F43653">
              <w:rPr>
                <w:rFonts w:ascii="Arial" w:eastAsia="Times New Roman" w:hAnsi="Arial" w:cs="Arial"/>
                <w:b/>
                <w:bCs/>
                <w:color w:val="000000"/>
                <w:sz w:val="18"/>
                <w:szCs w:val="18"/>
              </w:rPr>
              <w:t xml:space="preserve"> u financijskim aktivnostima</w:t>
            </w:r>
            <w:bookmarkEnd w:id="216"/>
            <w:r w:rsidRPr="00F43653">
              <w:rPr>
                <w:rFonts w:ascii="Arial" w:eastAsia="Times New Roman" w:hAnsi="Arial" w:cs="Arial"/>
                <w:b/>
                <w:bCs/>
                <w:color w:val="000000"/>
                <w:sz w:val="18"/>
                <w:szCs w:val="18"/>
              </w:rPr>
              <w:t xml:space="preserve"> </w:t>
            </w:r>
          </w:p>
        </w:tc>
        <w:tc>
          <w:tcPr>
            <w:tcW w:w="625" w:type="pct"/>
            <w:tcBorders>
              <w:top w:val="single" w:sz="4" w:space="0" w:color="auto"/>
              <w:bottom w:val="single" w:sz="12" w:space="0" w:color="auto"/>
            </w:tcBorders>
            <w:vAlign w:val="bottom"/>
          </w:tcPr>
          <w:p w14:paraId="5E32A490" w14:textId="0087C835" w:rsidR="0068010E" w:rsidRPr="00F43653" w:rsidRDefault="00E70494" w:rsidP="0068010E">
            <w:pPr>
              <w:spacing w:line="220" w:lineRule="exact"/>
              <w:jc w:val="right"/>
              <w:rPr>
                <w:rFonts w:ascii="Arial" w:eastAsia="Times New Roman" w:hAnsi="Arial" w:cs="Arial"/>
                <w:b/>
                <w:bCs/>
                <w:color w:val="000000"/>
                <w:sz w:val="18"/>
                <w:szCs w:val="18"/>
              </w:rPr>
            </w:pPr>
            <w:r>
              <w:rPr>
                <w:rFonts w:ascii="Arial" w:eastAsia="Times New Roman" w:hAnsi="Arial" w:cs="Arial"/>
                <w:b/>
                <w:bCs/>
                <w:color w:val="000000"/>
                <w:sz w:val="18"/>
                <w:szCs w:val="18"/>
              </w:rPr>
              <w:t>(63.406)</w:t>
            </w:r>
          </w:p>
        </w:tc>
        <w:tc>
          <w:tcPr>
            <w:tcW w:w="624" w:type="pct"/>
            <w:tcBorders>
              <w:top w:val="single" w:sz="4" w:space="0" w:color="auto"/>
              <w:bottom w:val="single" w:sz="12" w:space="0" w:color="auto"/>
            </w:tcBorders>
            <w:vAlign w:val="bottom"/>
          </w:tcPr>
          <w:p w14:paraId="57E0181B" w14:textId="1EED1755" w:rsidR="0068010E" w:rsidRPr="00F43653" w:rsidRDefault="0068010E" w:rsidP="0068010E">
            <w:pPr>
              <w:spacing w:line="220" w:lineRule="exact"/>
              <w:jc w:val="right"/>
              <w:rPr>
                <w:rFonts w:ascii="Arial" w:eastAsia="Times New Roman" w:hAnsi="Arial" w:cs="Arial"/>
                <w:b/>
                <w:bCs/>
                <w:color w:val="000000"/>
                <w:sz w:val="18"/>
                <w:szCs w:val="18"/>
              </w:rPr>
            </w:pPr>
            <w:r w:rsidRPr="009E260C">
              <w:rPr>
                <w:rFonts w:ascii="Arial" w:eastAsia="Times New Roman" w:hAnsi="Arial" w:cs="Arial"/>
                <w:b/>
                <w:bCs/>
                <w:color w:val="000000"/>
                <w:sz w:val="18"/>
                <w:szCs w:val="18"/>
              </w:rPr>
              <w:t>(18.147)</w:t>
            </w:r>
          </w:p>
        </w:tc>
      </w:tr>
      <w:tr w:rsidR="0068010E" w:rsidRPr="00F43653" w14:paraId="73DF2AB2" w14:textId="77777777" w:rsidTr="00E40F4A">
        <w:trPr>
          <w:trHeight w:hRule="exact" w:val="113"/>
        </w:trPr>
        <w:tc>
          <w:tcPr>
            <w:tcW w:w="3751" w:type="pct"/>
            <w:vAlign w:val="bottom"/>
          </w:tcPr>
          <w:p w14:paraId="4AFD3A75" w14:textId="77777777" w:rsidR="0068010E" w:rsidRPr="00F43653" w:rsidRDefault="0068010E" w:rsidP="0068010E">
            <w:pPr>
              <w:keepLines/>
              <w:tabs>
                <w:tab w:val="right" w:pos="1202"/>
              </w:tabs>
              <w:spacing w:line="220" w:lineRule="exact"/>
              <w:outlineLvl w:val="0"/>
              <w:rPr>
                <w:rFonts w:ascii="Arial" w:eastAsia="Times New Roman" w:hAnsi="Arial" w:cs="Arial"/>
                <w:b/>
                <w:bCs/>
                <w:color w:val="000000"/>
                <w:sz w:val="18"/>
                <w:szCs w:val="18"/>
              </w:rPr>
            </w:pPr>
          </w:p>
        </w:tc>
        <w:tc>
          <w:tcPr>
            <w:tcW w:w="625" w:type="pct"/>
            <w:tcBorders>
              <w:top w:val="single" w:sz="12" w:space="0" w:color="auto"/>
            </w:tcBorders>
            <w:vAlign w:val="bottom"/>
          </w:tcPr>
          <w:p w14:paraId="6FB889C5" w14:textId="77777777" w:rsidR="0068010E" w:rsidRPr="00F43653" w:rsidRDefault="0068010E" w:rsidP="0068010E">
            <w:pPr>
              <w:spacing w:line="220" w:lineRule="exact"/>
              <w:jc w:val="right"/>
              <w:rPr>
                <w:rFonts w:ascii="Arial" w:eastAsia="Times New Roman" w:hAnsi="Arial" w:cs="Arial"/>
                <w:b/>
                <w:bCs/>
                <w:color w:val="000000"/>
                <w:sz w:val="18"/>
                <w:szCs w:val="18"/>
              </w:rPr>
            </w:pPr>
          </w:p>
        </w:tc>
        <w:tc>
          <w:tcPr>
            <w:tcW w:w="624" w:type="pct"/>
            <w:tcBorders>
              <w:top w:val="single" w:sz="12" w:space="0" w:color="auto"/>
            </w:tcBorders>
            <w:vAlign w:val="bottom"/>
          </w:tcPr>
          <w:p w14:paraId="158A40A8" w14:textId="77777777" w:rsidR="0068010E" w:rsidRPr="00F43653" w:rsidRDefault="0068010E" w:rsidP="0068010E">
            <w:pPr>
              <w:spacing w:line="220" w:lineRule="exact"/>
              <w:jc w:val="right"/>
              <w:rPr>
                <w:rFonts w:ascii="Arial" w:eastAsia="Times New Roman" w:hAnsi="Arial" w:cs="Arial"/>
                <w:b/>
                <w:bCs/>
                <w:color w:val="000000"/>
                <w:sz w:val="18"/>
                <w:szCs w:val="18"/>
              </w:rPr>
            </w:pPr>
          </w:p>
        </w:tc>
      </w:tr>
      <w:tr w:rsidR="0068010E" w:rsidRPr="00F43653" w14:paraId="62D164F2" w14:textId="77777777" w:rsidTr="001541F1">
        <w:tc>
          <w:tcPr>
            <w:tcW w:w="3751" w:type="pct"/>
            <w:vAlign w:val="bottom"/>
          </w:tcPr>
          <w:p w14:paraId="5375DB4F" w14:textId="77777777" w:rsidR="0068010E" w:rsidRPr="00F43653" w:rsidRDefault="0068010E" w:rsidP="0068010E">
            <w:pPr>
              <w:keepLines/>
              <w:tabs>
                <w:tab w:val="right" w:pos="1202"/>
              </w:tabs>
              <w:spacing w:line="220" w:lineRule="exact"/>
              <w:outlineLvl w:val="0"/>
              <w:rPr>
                <w:rFonts w:ascii="Arial" w:eastAsia="Times New Roman" w:hAnsi="Arial" w:cs="Arial"/>
                <w:b/>
                <w:bCs/>
                <w:color w:val="000000"/>
                <w:sz w:val="18"/>
                <w:szCs w:val="18"/>
              </w:rPr>
            </w:pPr>
            <w:bookmarkStart w:id="217" w:name="_Toc67327219"/>
            <w:r w:rsidRPr="00F43653">
              <w:rPr>
                <w:rFonts w:ascii="Arial" w:eastAsia="Times New Roman" w:hAnsi="Arial" w:cs="Arial"/>
                <w:b/>
                <w:bCs/>
                <w:color w:val="000000"/>
                <w:sz w:val="18"/>
                <w:szCs w:val="18"/>
              </w:rPr>
              <w:t>Učinci promjene tečajeva na novac i novčane ekvivalente</w:t>
            </w:r>
            <w:bookmarkEnd w:id="217"/>
          </w:p>
        </w:tc>
        <w:tc>
          <w:tcPr>
            <w:tcW w:w="625" w:type="pct"/>
            <w:vAlign w:val="bottom"/>
          </w:tcPr>
          <w:p w14:paraId="6B6B4E39" w14:textId="77777777" w:rsidR="0068010E" w:rsidRPr="00F43653" w:rsidRDefault="0068010E" w:rsidP="0068010E">
            <w:pPr>
              <w:spacing w:line="220" w:lineRule="exact"/>
              <w:jc w:val="right"/>
              <w:rPr>
                <w:rFonts w:ascii="Arial" w:eastAsia="Times New Roman" w:hAnsi="Arial" w:cs="Arial"/>
                <w:b/>
                <w:bCs/>
                <w:color w:val="000000"/>
                <w:sz w:val="18"/>
                <w:szCs w:val="18"/>
              </w:rPr>
            </w:pPr>
          </w:p>
        </w:tc>
        <w:tc>
          <w:tcPr>
            <w:tcW w:w="624" w:type="pct"/>
            <w:vAlign w:val="bottom"/>
          </w:tcPr>
          <w:p w14:paraId="0EA4C976" w14:textId="77777777" w:rsidR="0068010E" w:rsidRPr="00F43653" w:rsidRDefault="0068010E" w:rsidP="0068010E">
            <w:pPr>
              <w:spacing w:line="220" w:lineRule="exact"/>
              <w:jc w:val="right"/>
              <w:rPr>
                <w:rFonts w:ascii="Arial" w:eastAsia="Times New Roman" w:hAnsi="Arial" w:cs="Arial"/>
                <w:b/>
                <w:bCs/>
                <w:color w:val="000000"/>
                <w:sz w:val="18"/>
                <w:szCs w:val="18"/>
              </w:rPr>
            </w:pPr>
          </w:p>
        </w:tc>
      </w:tr>
      <w:tr w:rsidR="0068010E" w:rsidRPr="00F43653" w14:paraId="10C329BD" w14:textId="77777777" w:rsidTr="001541F1">
        <w:tc>
          <w:tcPr>
            <w:tcW w:w="3751" w:type="pct"/>
            <w:vAlign w:val="bottom"/>
          </w:tcPr>
          <w:p w14:paraId="161A70C8" w14:textId="77777777" w:rsidR="0068010E" w:rsidRPr="00F43653" w:rsidRDefault="0068010E" w:rsidP="0068010E">
            <w:pPr>
              <w:keepLines/>
              <w:tabs>
                <w:tab w:val="right" w:pos="1202"/>
              </w:tabs>
              <w:spacing w:line="220" w:lineRule="exact"/>
              <w:outlineLvl w:val="0"/>
              <w:rPr>
                <w:rFonts w:ascii="Arial" w:eastAsia="Times New Roman" w:hAnsi="Arial" w:cs="Arial"/>
                <w:bCs/>
                <w:color w:val="000000"/>
                <w:sz w:val="18"/>
                <w:szCs w:val="18"/>
              </w:rPr>
            </w:pPr>
            <w:bookmarkStart w:id="218" w:name="_Toc67327220"/>
            <w:r w:rsidRPr="00F43653">
              <w:rPr>
                <w:rFonts w:ascii="Arial" w:eastAsia="Times New Roman" w:hAnsi="Arial" w:cs="Arial"/>
                <w:bCs/>
                <w:color w:val="000000"/>
                <w:sz w:val="18"/>
                <w:szCs w:val="18"/>
              </w:rPr>
              <w:t>Neto tečajne razlike</w:t>
            </w:r>
            <w:bookmarkEnd w:id="218"/>
          </w:p>
        </w:tc>
        <w:tc>
          <w:tcPr>
            <w:tcW w:w="625" w:type="pct"/>
            <w:tcBorders>
              <w:bottom w:val="single" w:sz="4" w:space="0" w:color="auto"/>
            </w:tcBorders>
            <w:vAlign w:val="bottom"/>
          </w:tcPr>
          <w:p w14:paraId="0F656C78" w14:textId="3CB092F7" w:rsidR="0068010E" w:rsidRPr="00F43653" w:rsidRDefault="0017655C" w:rsidP="0068010E">
            <w:pPr>
              <w:spacing w:line="220" w:lineRule="exact"/>
              <w:jc w:val="right"/>
              <w:rPr>
                <w:rFonts w:ascii="Arial" w:eastAsia="Times New Roman" w:hAnsi="Arial" w:cs="Arial"/>
                <w:bCs/>
                <w:color w:val="000000"/>
                <w:sz w:val="18"/>
                <w:szCs w:val="18"/>
              </w:rPr>
            </w:pPr>
            <w:r>
              <w:rPr>
                <w:rFonts w:ascii="Arial" w:eastAsia="Times New Roman" w:hAnsi="Arial" w:cs="Arial"/>
                <w:bCs/>
                <w:color w:val="000000"/>
                <w:sz w:val="18"/>
                <w:szCs w:val="18"/>
              </w:rPr>
              <w:t>(199)</w:t>
            </w:r>
          </w:p>
        </w:tc>
        <w:tc>
          <w:tcPr>
            <w:tcW w:w="624" w:type="pct"/>
            <w:tcBorders>
              <w:bottom w:val="single" w:sz="4" w:space="0" w:color="auto"/>
            </w:tcBorders>
            <w:vAlign w:val="bottom"/>
          </w:tcPr>
          <w:p w14:paraId="40FEF9D5" w14:textId="110DB339" w:rsidR="0068010E" w:rsidRPr="00F43653" w:rsidRDefault="0068010E" w:rsidP="0068010E">
            <w:pPr>
              <w:spacing w:line="220" w:lineRule="exact"/>
              <w:jc w:val="right"/>
              <w:rPr>
                <w:rFonts w:ascii="Arial" w:eastAsia="Times New Roman" w:hAnsi="Arial" w:cs="Arial"/>
                <w:bCs/>
                <w:color w:val="000000"/>
                <w:sz w:val="18"/>
                <w:szCs w:val="18"/>
              </w:rPr>
            </w:pPr>
            <w:r>
              <w:rPr>
                <w:rFonts w:ascii="Arial" w:eastAsia="Times New Roman" w:hAnsi="Arial" w:cs="Arial"/>
                <w:bCs/>
                <w:color w:val="000000"/>
                <w:sz w:val="18"/>
                <w:szCs w:val="18"/>
              </w:rPr>
              <w:t>55</w:t>
            </w:r>
          </w:p>
        </w:tc>
      </w:tr>
      <w:tr w:rsidR="0068010E" w:rsidRPr="00F43653" w14:paraId="4CEA493D" w14:textId="77777777" w:rsidTr="001541F1">
        <w:trPr>
          <w:trHeight w:val="247"/>
        </w:trPr>
        <w:tc>
          <w:tcPr>
            <w:tcW w:w="3751" w:type="pct"/>
            <w:vAlign w:val="bottom"/>
          </w:tcPr>
          <w:p w14:paraId="2A24E478" w14:textId="77777777" w:rsidR="0068010E" w:rsidRPr="00F43653" w:rsidRDefault="0068010E" w:rsidP="0068010E">
            <w:pPr>
              <w:keepLines/>
              <w:tabs>
                <w:tab w:val="right" w:pos="1202"/>
              </w:tabs>
              <w:spacing w:line="220" w:lineRule="exact"/>
              <w:outlineLvl w:val="0"/>
              <w:rPr>
                <w:rFonts w:ascii="Arial" w:eastAsia="Times New Roman" w:hAnsi="Arial" w:cs="Arial"/>
                <w:b/>
                <w:color w:val="000000"/>
                <w:spacing w:val="-3"/>
                <w:sz w:val="18"/>
                <w:szCs w:val="18"/>
              </w:rPr>
            </w:pPr>
            <w:bookmarkStart w:id="219" w:name="_Toc67327221"/>
            <w:r w:rsidRPr="00F43653">
              <w:rPr>
                <w:rFonts w:ascii="Arial" w:eastAsia="Times New Roman" w:hAnsi="Arial" w:cs="Arial"/>
                <w:b/>
                <w:color w:val="000000"/>
                <w:spacing w:val="-3"/>
                <w:sz w:val="18"/>
                <w:szCs w:val="18"/>
              </w:rPr>
              <w:t>Neto učinak</w:t>
            </w:r>
            <w:bookmarkEnd w:id="219"/>
          </w:p>
        </w:tc>
        <w:tc>
          <w:tcPr>
            <w:tcW w:w="625" w:type="pct"/>
            <w:tcBorders>
              <w:top w:val="single" w:sz="4" w:space="0" w:color="auto"/>
              <w:bottom w:val="single" w:sz="12" w:space="0" w:color="auto"/>
            </w:tcBorders>
            <w:vAlign w:val="bottom"/>
          </w:tcPr>
          <w:p w14:paraId="645D9AE5" w14:textId="45A4174D" w:rsidR="0068010E" w:rsidRPr="00F43653" w:rsidRDefault="0017655C" w:rsidP="0068010E">
            <w:pPr>
              <w:keepLines/>
              <w:tabs>
                <w:tab w:val="right" w:pos="1202"/>
              </w:tabs>
              <w:spacing w:line="220" w:lineRule="exact"/>
              <w:jc w:val="right"/>
              <w:outlineLvl w:val="0"/>
              <w:rPr>
                <w:rFonts w:ascii="Arial" w:eastAsia="Times New Roman" w:hAnsi="Arial" w:cs="Arial"/>
                <w:b/>
                <w:bCs/>
                <w:color w:val="000000"/>
                <w:spacing w:val="-3"/>
                <w:sz w:val="18"/>
                <w:szCs w:val="18"/>
              </w:rPr>
            </w:pPr>
            <w:r>
              <w:rPr>
                <w:rFonts w:ascii="Arial" w:eastAsia="Times New Roman" w:hAnsi="Arial" w:cs="Arial"/>
                <w:b/>
                <w:bCs/>
                <w:color w:val="000000"/>
                <w:spacing w:val="-3"/>
                <w:sz w:val="18"/>
                <w:szCs w:val="18"/>
              </w:rPr>
              <w:t>(199)</w:t>
            </w:r>
          </w:p>
        </w:tc>
        <w:tc>
          <w:tcPr>
            <w:tcW w:w="624" w:type="pct"/>
            <w:tcBorders>
              <w:top w:val="single" w:sz="4" w:space="0" w:color="auto"/>
              <w:bottom w:val="single" w:sz="12" w:space="0" w:color="auto"/>
            </w:tcBorders>
            <w:vAlign w:val="bottom"/>
          </w:tcPr>
          <w:p w14:paraId="760C3215" w14:textId="2A0429ED" w:rsidR="0068010E" w:rsidRPr="00F43653" w:rsidRDefault="0068010E" w:rsidP="0068010E">
            <w:pPr>
              <w:keepLines/>
              <w:tabs>
                <w:tab w:val="right" w:pos="1202"/>
              </w:tabs>
              <w:spacing w:line="220" w:lineRule="exact"/>
              <w:jc w:val="right"/>
              <w:outlineLvl w:val="0"/>
              <w:rPr>
                <w:rFonts w:ascii="Arial" w:eastAsia="Times New Roman" w:hAnsi="Arial" w:cs="Arial"/>
                <w:b/>
                <w:bCs/>
                <w:color w:val="000000"/>
                <w:sz w:val="18"/>
                <w:szCs w:val="18"/>
              </w:rPr>
            </w:pPr>
            <w:r>
              <w:rPr>
                <w:rFonts w:ascii="Arial" w:eastAsia="Times New Roman" w:hAnsi="Arial" w:cs="Arial"/>
                <w:b/>
                <w:bCs/>
                <w:color w:val="000000"/>
                <w:spacing w:val="-3"/>
                <w:sz w:val="18"/>
                <w:szCs w:val="18"/>
              </w:rPr>
              <w:t>55</w:t>
            </w:r>
          </w:p>
        </w:tc>
      </w:tr>
      <w:tr w:rsidR="0068010E" w:rsidRPr="00F43653" w14:paraId="4AE07653" w14:textId="77777777" w:rsidTr="001541F1">
        <w:trPr>
          <w:trHeight w:hRule="exact" w:val="113"/>
        </w:trPr>
        <w:tc>
          <w:tcPr>
            <w:tcW w:w="3751" w:type="pct"/>
            <w:vAlign w:val="bottom"/>
          </w:tcPr>
          <w:p w14:paraId="53087B81" w14:textId="77777777" w:rsidR="0068010E" w:rsidRPr="00F43653" w:rsidRDefault="0068010E" w:rsidP="0068010E">
            <w:pPr>
              <w:keepLines/>
              <w:tabs>
                <w:tab w:val="right" w:pos="1202"/>
              </w:tabs>
              <w:spacing w:line="220" w:lineRule="exact"/>
              <w:outlineLvl w:val="0"/>
              <w:rPr>
                <w:rFonts w:ascii="Arial" w:eastAsia="Times New Roman" w:hAnsi="Arial" w:cs="Arial"/>
                <w:color w:val="000000"/>
                <w:sz w:val="18"/>
                <w:szCs w:val="18"/>
              </w:rPr>
            </w:pPr>
          </w:p>
        </w:tc>
        <w:tc>
          <w:tcPr>
            <w:tcW w:w="625" w:type="pct"/>
            <w:tcBorders>
              <w:top w:val="single" w:sz="12" w:space="0" w:color="auto"/>
            </w:tcBorders>
            <w:vAlign w:val="bottom"/>
          </w:tcPr>
          <w:p w14:paraId="0776F59C" w14:textId="77777777" w:rsidR="0068010E" w:rsidRPr="00F43653" w:rsidRDefault="0068010E" w:rsidP="0068010E">
            <w:pPr>
              <w:keepLines/>
              <w:jc w:val="right"/>
              <w:rPr>
                <w:rFonts w:ascii="Arial" w:eastAsia="Times New Roman" w:hAnsi="Arial" w:cs="Arial"/>
                <w:color w:val="000000"/>
                <w:spacing w:val="-2"/>
                <w:sz w:val="18"/>
                <w:szCs w:val="18"/>
              </w:rPr>
            </w:pPr>
          </w:p>
        </w:tc>
        <w:tc>
          <w:tcPr>
            <w:tcW w:w="624" w:type="pct"/>
            <w:tcBorders>
              <w:top w:val="single" w:sz="12" w:space="0" w:color="auto"/>
            </w:tcBorders>
            <w:vAlign w:val="bottom"/>
          </w:tcPr>
          <w:p w14:paraId="79B90ACE" w14:textId="77777777" w:rsidR="0068010E" w:rsidRPr="00F43653" w:rsidRDefault="0068010E" w:rsidP="0068010E">
            <w:pPr>
              <w:keepLines/>
              <w:jc w:val="right"/>
              <w:rPr>
                <w:rFonts w:ascii="Arial" w:eastAsia="Times New Roman" w:hAnsi="Arial" w:cs="Arial"/>
                <w:color w:val="000000"/>
                <w:spacing w:val="-2"/>
                <w:sz w:val="18"/>
                <w:szCs w:val="18"/>
              </w:rPr>
            </w:pPr>
          </w:p>
        </w:tc>
      </w:tr>
      <w:tr w:rsidR="0068010E" w:rsidRPr="00F43653" w14:paraId="77F06018" w14:textId="77777777" w:rsidTr="001541F1">
        <w:trPr>
          <w:trHeight w:val="122"/>
        </w:trPr>
        <w:tc>
          <w:tcPr>
            <w:tcW w:w="3751" w:type="pct"/>
            <w:vAlign w:val="bottom"/>
          </w:tcPr>
          <w:p w14:paraId="202820CD" w14:textId="3694DE94" w:rsidR="0068010E" w:rsidRPr="00E72A09" w:rsidRDefault="0068010E" w:rsidP="0068010E">
            <w:pPr>
              <w:keepLines/>
              <w:tabs>
                <w:tab w:val="right" w:pos="1202"/>
              </w:tabs>
              <w:spacing w:line="220" w:lineRule="exact"/>
              <w:outlineLvl w:val="0"/>
              <w:rPr>
                <w:rFonts w:ascii="Arial" w:eastAsia="Times New Roman" w:hAnsi="Arial" w:cs="Arial"/>
                <w:color w:val="000000"/>
                <w:sz w:val="18"/>
                <w:szCs w:val="18"/>
              </w:rPr>
            </w:pPr>
            <w:bookmarkStart w:id="220" w:name="_Toc67327224"/>
            <w:r w:rsidRPr="00E72A09">
              <w:rPr>
                <w:rFonts w:ascii="Arial" w:eastAsia="Times New Roman" w:hAnsi="Arial" w:cs="Arial"/>
                <w:color w:val="000000"/>
                <w:sz w:val="18"/>
                <w:szCs w:val="18"/>
              </w:rPr>
              <w:t>Neto (smanjenje) novca i novčanih ekvivalenata</w:t>
            </w:r>
            <w:bookmarkEnd w:id="220"/>
          </w:p>
        </w:tc>
        <w:tc>
          <w:tcPr>
            <w:tcW w:w="625" w:type="pct"/>
            <w:vAlign w:val="bottom"/>
          </w:tcPr>
          <w:p w14:paraId="3E7F195C" w14:textId="16107BA8" w:rsidR="0068010E" w:rsidRPr="001541F1" w:rsidRDefault="0017655C" w:rsidP="0068010E">
            <w:pPr>
              <w:keepLines/>
              <w:jc w:val="right"/>
              <w:rPr>
                <w:rFonts w:ascii="Arial" w:eastAsia="Times New Roman" w:hAnsi="Arial" w:cs="Arial"/>
                <w:color w:val="000000"/>
                <w:spacing w:val="-2"/>
                <w:sz w:val="18"/>
                <w:szCs w:val="18"/>
              </w:rPr>
            </w:pPr>
            <w:r w:rsidRPr="001541F1">
              <w:rPr>
                <w:rFonts w:ascii="Arial" w:eastAsia="Times New Roman" w:hAnsi="Arial" w:cs="Arial"/>
                <w:color w:val="000000"/>
                <w:spacing w:val="-2"/>
                <w:sz w:val="18"/>
                <w:szCs w:val="18"/>
              </w:rPr>
              <w:t>(7.475</w:t>
            </w:r>
            <w:r w:rsidR="00FC39F1" w:rsidRPr="001541F1">
              <w:rPr>
                <w:rFonts w:ascii="Arial" w:eastAsia="Times New Roman" w:hAnsi="Arial" w:cs="Arial"/>
                <w:color w:val="000000"/>
                <w:spacing w:val="-2"/>
                <w:sz w:val="18"/>
                <w:szCs w:val="18"/>
              </w:rPr>
              <w:t>)</w:t>
            </w:r>
          </w:p>
        </w:tc>
        <w:tc>
          <w:tcPr>
            <w:tcW w:w="624" w:type="pct"/>
            <w:vAlign w:val="bottom"/>
          </w:tcPr>
          <w:p w14:paraId="2CFCC3CD" w14:textId="4AB0B28C" w:rsidR="0068010E" w:rsidRPr="001541F1" w:rsidRDefault="0068010E" w:rsidP="0068010E">
            <w:pPr>
              <w:keepLines/>
              <w:jc w:val="right"/>
              <w:rPr>
                <w:rFonts w:ascii="Arial" w:eastAsia="Times New Roman" w:hAnsi="Arial" w:cs="Arial"/>
                <w:color w:val="000000"/>
                <w:spacing w:val="-2"/>
                <w:sz w:val="18"/>
                <w:szCs w:val="18"/>
              </w:rPr>
            </w:pPr>
            <w:r w:rsidRPr="001541F1">
              <w:rPr>
                <w:rFonts w:ascii="Arial" w:eastAsia="Times New Roman" w:hAnsi="Arial" w:cs="Arial"/>
                <w:color w:val="000000"/>
                <w:spacing w:val="-2"/>
                <w:sz w:val="18"/>
                <w:szCs w:val="18"/>
              </w:rPr>
              <w:t>(153.413)</w:t>
            </w:r>
          </w:p>
        </w:tc>
      </w:tr>
      <w:tr w:rsidR="0068010E" w:rsidRPr="00F43653" w14:paraId="56F86883" w14:textId="77777777" w:rsidTr="001541F1">
        <w:trPr>
          <w:trHeight w:hRule="exact" w:val="113"/>
        </w:trPr>
        <w:tc>
          <w:tcPr>
            <w:tcW w:w="3751" w:type="pct"/>
            <w:vAlign w:val="bottom"/>
          </w:tcPr>
          <w:p w14:paraId="5BA363A4" w14:textId="77777777" w:rsidR="0068010E" w:rsidRPr="00E72A09" w:rsidRDefault="0068010E" w:rsidP="0068010E">
            <w:pPr>
              <w:keepLines/>
              <w:tabs>
                <w:tab w:val="right" w:pos="1202"/>
              </w:tabs>
              <w:spacing w:line="140" w:lineRule="exact"/>
              <w:outlineLvl w:val="0"/>
              <w:rPr>
                <w:rFonts w:ascii="Arial" w:eastAsia="Times New Roman" w:hAnsi="Arial" w:cs="Arial"/>
                <w:color w:val="000000"/>
                <w:sz w:val="18"/>
                <w:szCs w:val="18"/>
              </w:rPr>
            </w:pPr>
          </w:p>
        </w:tc>
        <w:tc>
          <w:tcPr>
            <w:tcW w:w="625" w:type="pct"/>
            <w:vAlign w:val="bottom"/>
          </w:tcPr>
          <w:p w14:paraId="26326C36" w14:textId="77777777" w:rsidR="0068010E" w:rsidRPr="00F43653" w:rsidRDefault="0068010E" w:rsidP="0068010E">
            <w:pPr>
              <w:keepLines/>
              <w:spacing w:line="140" w:lineRule="exact"/>
              <w:jc w:val="center"/>
              <w:rPr>
                <w:rFonts w:ascii="Arial" w:eastAsia="Times New Roman" w:hAnsi="Arial" w:cs="Arial"/>
                <w:color w:val="000000"/>
                <w:spacing w:val="-2"/>
                <w:sz w:val="18"/>
                <w:szCs w:val="18"/>
              </w:rPr>
            </w:pPr>
          </w:p>
        </w:tc>
        <w:tc>
          <w:tcPr>
            <w:tcW w:w="624" w:type="pct"/>
            <w:vAlign w:val="bottom"/>
          </w:tcPr>
          <w:p w14:paraId="776E2117" w14:textId="77777777" w:rsidR="0068010E" w:rsidRPr="00F43653" w:rsidRDefault="0068010E" w:rsidP="0068010E">
            <w:pPr>
              <w:keepLines/>
              <w:spacing w:line="140" w:lineRule="exact"/>
              <w:jc w:val="right"/>
              <w:rPr>
                <w:rFonts w:ascii="Arial" w:eastAsia="Times New Roman" w:hAnsi="Arial" w:cs="Arial"/>
                <w:color w:val="000000"/>
                <w:spacing w:val="-2"/>
                <w:sz w:val="18"/>
                <w:szCs w:val="18"/>
              </w:rPr>
            </w:pPr>
          </w:p>
        </w:tc>
      </w:tr>
      <w:tr w:rsidR="0068010E" w:rsidRPr="00F43653" w14:paraId="4BA726F6" w14:textId="77777777" w:rsidTr="001541F1">
        <w:trPr>
          <w:trHeight w:hRule="exact" w:val="303"/>
        </w:trPr>
        <w:tc>
          <w:tcPr>
            <w:tcW w:w="3751" w:type="pct"/>
            <w:vAlign w:val="bottom"/>
          </w:tcPr>
          <w:p w14:paraId="12CE5EDB" w14:textId="77777777" w:rsidR="0068010E" w:rsidRPr="00E72A09" w:rsidRDefault="0068010E" w:rsidP="0068010E">
            <w:pPr>
              <w:keepLines/>
              <w:tabs>
                <w:tab w:val="right" w:pos="1202"/>
              </w:tabs>
              <w:spacing w:line="220" w:lineRule="exact"/>
              <w:outlineLvl w:val="0"/>
              <w:rPr>
                <w:rFonts w:ascii="Arial" w:eastAsia="Times New Roman" w:hAnsi="Arial" w:cs="Arial"/>
                <w:color w:val="000000"/>
                <w:sz w:val="18"/>
                <w:szCs w:val="18"/>
              </w:rPr>
            </w:pPr>
            <w:bookmarkStart w:id="221" w:name="_Toc67327225"/>
            <w:r w:rsidRPr="00E72A09">
              <w:rPr>
                <w:rFonts w:ascii="Arial" w:eastAsia="Times New Roman" w:hAnsi="Arial" w:cs="Arial"/>
                <w:color w:val="000000"/>
                <w:sz w:val="18"/>
                <w:szCs w:val="18"/>
              </w:rPr>
              <w:t>Novac i novčani ekvivalenti stanje na dan 1. siječnja, prije umanjenja vrijednosti</w:t>
            </w:r>
            <w:bookmarkEnd w:id="221"/>
            <w:r w:rsidRPr="00E72A09">
              <w:rPr>
                <w:rFonts w:ascii="Arial" w:eastAsia="Times New Roman" w:hAnsi="Arial" w:cs="Arial"/>
                <w:color w:val="000000"/>
                <w:sz w:val="18"/>
                <w:szCs w:val="18"/>
              </w:rPr>
              <w:t xml:space="preserve"> </w:t>
            </w:r>
          </w:p>
        </w:tc>
        <w:tc>
          <w:tcPr>
            <w:tcW w:w="625" w:type="pct"/>
            <w:shd w:val="clear" w:color="auto" w:fill="auto"/>
            <w:vAlign w:val="bottom"/>
          </w:tcPr>
          <w:p w14:paraId="1219B54D" w14:textId="5A33C475" w:rsidR="0068010E" w:rsidRPr="00F43653" w:rsidRDefault="00FC39F1" w:rsidP="0068010E">
            <w:pPr>
              <w:keepLines/>
              <w:jc w:val="right"/>
              <w:rPr>
                <w:rFonts w:ascii="Arial" w:eastAsia="Times New Roman" w:hAnsi="Arial" w:cs="Arial"/>
                <w:color w:val="000000"/>
                <w:spacing w:val="-2"/>
                <w:sz w:val="18"/>
                <w:szCs w:val="18"/>
              </w:rPr>
            </w:pPr>
            <w:r>
              <w:rPr>
                <w:rFonts w:ascii="Arial" w:eastAsia="Times New Roman" w:hAnsi="Arial" w:cs="Arial"/>
                <w:color w:val="000000"/>
                <w:spacing w:val="-2"/>
                <w:sz w:val="18"/>
                <w:szCs w:val="18"/>
              </w:rPr>
              <w:t>41.701</w:t>
            </w:r>
          </w:p>
        </w:tc>
        <w:tc>
          <w:tcPr>
            <w:tcW w:w="624" w:type="pct"/>
            <w:shd w:val="clear" w:color="auto" w:fill="auto"/>
            <w:vAlign w:val="bottom"/>
          </w:tcPr>
          <w:p w14:paraId="7F4D1838" w14:textId="3F1BBB61" w:rsidR="0068010E" w:rsidRPr="00F43653" w:rsidRDefault="0068010E" w:rsidP="0068010E">
            <w:pPr>
              <w:keepLines/>
              <w:jc w:val="right"/>
              <w:rPr>
                <w:rFonts w:ascii="Arial" w:eastAsia="Times New Roman" w:hAnsi="Arial" w:cs="Arial"/>
                <w:color w:val="000000"/>
                <w:sz w:val="18"/>
                <w:szCs w:val="18"/>
              </w:rPr>
            </w:pPr>
            <w:r w:rsidRPr="009E260C">
              <w:rPr>
                <w:rFonts w:ascii="Arial" w:eastAsia="Times New Roman" w:hAnsi="Arial" w:cs="Arial"/>
                <w:color w:val="000000"/>
                <w:spacing w:val="-2"/>
                <w:sz w:val="18"/>
                <w:szCs w:val="18"/>
              </w:rPr>
              <w:t>228.625</w:t>
            </w:r>
          </w:p>
        </w:tc>
      </w:tr>
      <w:tr w:rsidR="0068010E" w:rsidRPr="00F43653" w14:paraId="37AC81B1" w14:textId="77777777" w:rsidTr="00E40F4A">
        <w:trPr>
          <w:trHeight w:hRule="exact" w:val="227"/>
        </w:trPr>
        <w:tc>
          <w:tcPr>
            <w:tcW w:w="3751" w:type="pct"/>
            <w:vAlign w:val="bottom"/>
          </w:tcPr>
          <w:p w14:paraId="668E86B4" w14:textId="5FEB34D5" w:rsidR="0068010E" w:rsidRPr="00E72A09" w:rsidRDefault="0068010E" w:rsidP="0068010E">
            <w:pPr>
              <w:keepLines/>
              <w:tabs>
                <w:tab w:val="right" w:pos="1202"/>
              </w:tabs>
              <w:spacing w:line="220" w:lineRule="exact"/>
              <w:outlineLvl w:val="0"/>
              <w:rPr>
                <w:rFonts w:ascii="Arial" w:eastAsia="Times New Roman" w:hAnsi="Arial" w:cs="Arial"/>
                <w:color w:val="000000"/>
                <w:sz w:val="18"/>
                <w:szCs w:val="18"/>
              </w:rPr>
            </w:pPr>
            <w:bookmarkStart w:id="222" w:name="_Toc67327226"/>
            <w:r w:rsidRPr="00E72A09">
              <w:rPr>
                <w:rFonts w:ascii="Arial" w:eastAsia="Times New Roman" w:hAnsi="Arial" w:cs="Arial"/>
                <w:color w:val="000000"/>
                <w:sz w:val="18"/>
                <w:szCs w:val="18"/>
              </w:rPr>
              <w:t>Neto (smanjenje) novca</w:t>
            </w:r>
            <w:bookmarkEnd w:id="222"/>
          </w:p>
        </w:tc>
        <w:tc>
          <w:tcPr>
            <w:tcW w:w="625" w:type="pct"/>
            <w:tcBorders>
              <w:bottom w:val="single" w:sz="4" w:space="0" w:color="auto"/>
            </w:tcBorders>
            <w:shd w:val="clear" w:color="auto" w:fill="auto"/>
            <w:vAlign w:val="bottom"/>
          </w:tcPr>
          <w:p w14:paraId="04D29158" w14:textId="22321141" w:rsidR="0068010E" w:rsidRPr="00F43653" w:rsidRDefault="00EA5EC3" w:rsidP="0068010E">
            <w:pPr>
              <w:keepLines/>
              <w:jc w:val="right"/>
              <w:rPr>
                <w:rFonts w:ascii="Arial" w:eastAsia="Times New Roman" w:hAnsi="Arial" w:cs="Arial"/>
                <w:color w:val="000000"/>
                <w:spacing w:val="-2"/>
                <w:sz w:val="18"/>
                <w:szCs w:val="18"/>
              </w:rPr>
            </w:pPr>
            <w:r>
              <w:rPr>
                <w:rFonts w:ascii="Arial" w:eastAsia="Times New Roman" w:hAnsi="Arial" w:cs="Arial"/>
                <w:color w:val="000000"/>
                <w:spacing w:val="-2"/>
                <w:sz w:val="18"/>
                <w:szCs w:val="18"/>
              </w:rPr>
              <w:t>(7.475)</w:t>
            </w:r>
          </w:p>
        </w:tc>
        <w:tc>
          <w:tcPr>
            <w:tcW w:w="624" w:type="pct"/>
            <w:tcBorders>
              <w:bottom w:val="single" w:sz="4" w:space="0" w:color="auto"/>
            </w:tcBorders>
            <w:shd w:val="clear" w:color="auto" w:fill="auto"/>
            <w:vAlign w:val="bottom"/>
          </w:tcPr>
          <w:p w14:paraId="1D1E8A4E" w14:textId="113307CD" w:rsidR="0068010E" w:rsidRPr="00F43653" w:rsidRDefault="0068010E" w:rsidP="0068010E">
            <w:pPr>
              <w:keepLines/>
              <w:jc w:val="right"/>
              <w:rPr>
                <w:rFonts w:ascii="Arial" w:eastAsia="Times New Roman" w:hAnsi="Arial" w:cs="Arial"/>
                <w:color w:val="000000"/>
                <w:sz w:val="18"/>
                <w:szCs w:val="18"/>
              </w:rPr>
            </w:pPr>
            <w:r w:rsidRPr="009E260C">
              <w:rPr>
                <w:rFonts w:ascii="Arial" w:eastAsia="Times New Roman" w:hAnsi="Arial" w:cs="Arial"/>
                <w:color w:val="000000"/>
                <w:spacing w:val="-2"/>
                <w:sz w:val="18"/>
                <w:szCs w:val="18"/>
              </w:rPr>
              <w:t>(153.413)</w:t>
            </w:r>
          </w:p>
        </w:tc>
      </w:tr>
      <w:tr w:rsidR="0068010E" w:rsidRPr="00F43653" w14:paraId="337BB7F5" w14:textId="77777777" w:rsidTr="00E40F4A">
        <w:trPr>
          <w:trHeight w:val="122"/>
        </w:trPr>
        <w:tc>
          <w:tcPr>
            <w:tcW w:w="3751" w:type="pct"/>
            <w:vAlign w:val="bottom"/>
          </w:tcPr>
          <w:p w14:paraId="6FF83558" w14:textId="1DB68932" w:rsidR="0068010E" w:rsidRPr="00F43653" w:rsidRDefault="0068010E" w:rsidP="0068010E">
            <w:pPr>
              <w:keepLines/>
              <w:tabs>
                <w:tab w:val="right" w:pos="1202"/>
              </w:tabs>
              <w:spacing w:line="220" w:lineRule="exact"/>
              <w:outlineLvl w:val="0"/>
              <w:rPr>
                <w:rFonts w:ascii="Arial" w:eastAsia="Times New Roman" w:hAnsi="Arial" w:cs="Arial"/>
                <w:b/>
                <w:bCs/>
                <w:color w:val="000000"/>
                <w:sz w:val="18"/>
                <w:szCs w:val="18"/>
              </w:rPr>
            </w:pPr>
            <w:bookmarkStart w:id="223" w:name="_Toc67327227"/>
            <w:r w:rsidRPr="00F43653">
              <w:rPr>
                <w:rFonts w:ascii="Arial" w:eastAsia="Times New Roman" w:hAnsi="Arial" w:cs="Arial"/>
                <w:b/>
                <w:bCs/>
                <w:color w:val="000000"/>
                <w:sz w:val="18"/>
                <w:szCs w:val="18"/>
              </w:rPr>
              <w:t xml:space="preserve">Novac i novčani ekvivalenti stanje na dan 30. </w:t>
            </w:r>
            <w:r>
              <w:rPr>
                <w:rFonts w:ascii="Arial" w:eastAsia="Times New Roman" w:hAnsi="Arial" w:cs="Arial"/>
                <w:b/>
                <w:bCs/>
                <w:color w:val="000000"/>
                <w:sz w:val="18"/>
                <w:szCs w:val="18"/>
              </w:rPr>
              <w:t>rujna</w:t>
            </w:r>
            <w:r w:rsidRPr="00F43653">
              <w:rPr>
                <w:rFonts w:ascii="Arial" w:eastAsia="Times New Roman" w:hAnsi="Arial" w:cs="Arial"/>
                <w:b/>
                <w:bCs/>
                <w:color w:val="000000"/>
                <w:sz w:val="18"/>
                <w:szCs w:val="18"/>
              </w:rPr>
              <w:t xml:space="preserve">, prije umanjenja </w:t>
            </w:r>
            <w:r w:rsidRPr="00CC7FB0">
              <w:rPr>
                <w:rFonts w:ascii="Arial" w:eastAsia="Times New Roman" w:hAnsi="Arial" w:cs="Arial"/>
                <w:b/>
                <w:bCs/>
                <w:color w:val="000000"/>
                <w:sz w:val="18"/>
                <w:szCs w:val="18"/>
              </w:rPr>
              <w:t xml:space="preserve">vrijednosti  </w:t>
            </w:r>
            <w:bookmarkEnd w:id="223"/>
            <w:r w:rsidRPr="00CC7FB0">
              <w:rPr>
                <w:rFonts w:ascii="Arial" w:eastAsia="Times New Roman" w:hAnsi="Arial" w:cs="Arial"/>
                <w:b/>
                <w:bCs/>
                <w:color w:val="000000"/>
                <w:sz w:val="18"/>
                <w:szCs w:val="18"/>
              </w:rPr>
              <w:t xml:space="preserve">     9</w:t>
            </w:r>
          </w:p>
        </w:tc>
        <w:tc>
          <w:tcPr>
            <w:tcW w:w="625" w:type="pct"/>
            <w:tcBorders>
              <w:top w:val="single" w:sz="4" w:space="0" w:color="auto"/>
              <w:bottom w:val="single" w:sz="12" w:space="0" w:color="auto"/>
            </w:tcBorders>
            <w:vAlign w:val="bottom"/>
          </w:tcPr>
          <w:p w14:paraId="20236D34" w14:textId="08D1B4C3" w:rsidR="0068010E" w:rsidRPr="00F43653" w:rsidRDefault="005A72D5" w:rsidP="0068010E">
            <w:pPr>
              <w:spacing w:line="220" w:lineRule="exact"/>
              <w:jc w:val="right"/>
              <w:rPr>
                <w:rFonts w:ascii="Arial" w:eastAsia="Times New Roman" w:hAnsi="Arial" w:cs="Arial"/>
                <w:b/>
                <w:bCs/>
                <w:color w:val="000000"/>
                <w:spacing w:val="-2"/>
                <w:sz w:val="18"/>
                <w:szCs w:val="18"/>
              </w:rPr>
            </w:pPr>
            <w:r>
              <w:rPr>
                <w:rFonts w:ascii="Arial" w:eastAsia="Times New Roman" w:hAnsi="Arial" w:cs="Arial"/>
                <w:b/>
                <w:bCs/>
                <w:color w:val="000000"/>
                <w:spacing w:val="-2"/>
                <w:sz w:val="18"/>
                <w:szCs w:val="18"/>
              </w:rPr>
              <w:t>34.226</w:t>
            </w:r>
          </w:p>
        </w:tc>
        <w:tc>
          <w:tcPr>
            <w:tcW w:w="624" w:type="pct"/>
            <w:tcBorders>
              <w:top w:val="single" w:sz="4" w:space="0" w:color="auto"/>
              <w:bottom w:val="single" w:sz="12" w:space="0" w:color="auto"/>
            </w:tcBorders>
            <w:vAlign w:val="bottom"/>
          </w:tcPr>
          <w:p w14:paraId="0A211DAA" w14:textId="5298D400" w:rsidR="0068010E" w:rsidRPr="00F43653" w:rsidRDefault="0068010E" w:rsidP="0068010E">
            <w:pPr>
              <w:spacing w:line="220" w:lineRule="exact"/>
              <w:jc w:val="right"/>
              <w:rPr>
                <w:rFonts w:ascii="Arial" w:eastAsia="Times New Roman" w:hAnsi="Arial" w:cs="Arial"/>
                <w:b/>
                <w:bCs/>
                <w:color w:val="000000"/>
                <w:spacing w:val="-2"/>
                <w:sz w:val="18"/>
                <w:szCs w:val="18"/>
              </w:rPr>
            </w:pPr>
            <w:r w:rsidRPr="009E260C">
              <w:rPr>
                <w:rFonts w:ascii="Arial" w:eastAsia="Times New Roman" w:hAnsi="Arial" w:cs="Arial"/>
                <w:b/>
                <w:bCs/>
                <w:color w:val="000000"/>
                <w:spacing w:val="-2"/>
                <w:sz w:val="18"/>
                <w:szCs w:val="18"/>
              </w:rPr>
              <w:t>75.212</w:t>
            </w:r>
          </w:p>
        </w:tc>
      </w:tr>
      <w:tr w:rsidR="0068010E" w:rsidRPr="00F43653" w14:paraId="0C99932C" w14:textId="77777777" w:rsidTr="00E40F4A">
        <w:trPr>
          <w:trHeight w:hRule="exact" w:val="113"/>
        </w:trPr>
        <w:tc>
          <w:tcPr>
            <w:tcW w:w="3751" w:type="pct"/>
            <w:vAlign w:val="bottom"/>
          </w:tcPr>
          <w:p w14:paraId="2C4D0A7F" w14:textId="77777777" w:rsidR="0068010E" w:rsidRPr="00F43653" w:rsidRDefault="0068010E" w:rsidP="0068010E">
            <w:pPr>
              <w:keepLines/>
              <w:tabs>
                <w:tab w:val="decimal" w:pos="1202"/>
              </w:tabs>
              <w:spacing w:line="140" w:lineRule="exact"/>
              <w:rPr>
                <w:rFonts w:ascii="Arial" w:eastAsia="Times New Roman" w:hAnsi="Arial" w:cs="Arial"/>
                <w:b/>
                <w:color w:val="000000"/>
                <w:position w:val="4"/>
                <w:sz w:val="18"/>
                <w:szCs w:val="18"/>
                <w:u w:val="thick"/>
              </w:rPr>
            </w:pPr>
          </w:p>
        </w:tc>
        <w:tc>
          <w:tcPr>
            <w:tcW w:w="625" w:type="pct"/>
            <w:tcBorders>
              <w:top w:val="single" w:sz="12" w:space="0" w:color="auto"/>
            </w:tcBorders>
            <w:vAlign w:val="bottom"/>
          </w:tcPr>
          <w:p w14:paraId="22987178" w14:textId="77777777" w:rsidR="0068010E" w:rsidRPr="00F43653" w:rsidRDefault="0068010E" w:rsidP="0068010E">
            <w:pPr>
              <w:keepLines/>
              <w:spacing w:line="140" w:lineRule="exact"/>
              <w:jc w:val="right"/>
              <w:rPr>
                <w:rFonts w:ascii="Arial" w:eastAsia="Times New Roman" w:hAnsi="Arial" w:cs="Arial"/>
                <w:b/>
                <w:color w:val="000000"/>
                <w:position w:val="4"/>
                <w:sz w:val="18"/>
                <w:szCs w:val="18"/>
                <w:u w:val="thick"/>
              </w:rPr>
            </w:pPr>
          </w:p>
        </w:tc>
        <w:tc>
          <w:tcPr>
            <w:tcW w:w="624" w:type="pct"/>
            <w:tcBorders>
              <w:top w:val="single" w:sz="12" w:space="0" w:color="auto"/>
            </w:tcBorders>
            <w:vAlign w:val="bottom"/>
          </w:tcPr>
          <w:p w14:paraId="4D45DF6F" w14:textId="77777777" w:rsidR="0068010E" w:rsidRPr="00F43653" w:rsidRDefault="0068010E" w:rsidP="0068010E">
            <w:pPr>
              <w:keepLines/>
              <w:spacing w:line="140" w:lineRule="exact"/>
              <w:jc w:val="right"/>
              <w:rPr>
                <w:rFonts w:ascii="Arial" w:eastAsia="Times New Roman" w:hAnsi="Arial" w:cs="Arial"/>
                <w:b/>
                <w:color w:val="000000"/>
                <w:position w:val="4"/>
                <w:sz w:val="18"/>
                <w:szCs w:val="18"/>
                <w:u w:val="thick"/>
              </w:rPr>
            </w:pPr>
          </w:p>
        </w:tc>
      </w:tr>
      <w:tr w:rsidR="0068010E" w:rsidRPr="00F43653" w14:paraId="7FCFA581" w14:textId="77777777" w:rsidTr="00E40F4A">
        <w:trPr>
          <w:trHeight w:val="247"/>
        </w:trPr>
        <w:tc>
          <w:tcPr>
            <w:tcW w:w="3751" w:type="pct"/>
            <w:vAlign w:val="bottom"/>
          </w:tcPr>
          <w:p w14:paraId="7AAFBD65" w14:textId="77777777" w:rsidR="0068010E" w:rsidRPr="00F43653" w:rsidRDefault="0068010E" w:rsidP="0068010E">
            <w:pPr>
              <w:keepLines/>
              <w:tabs>
                <w:tab w:val="decimal" w:pos="1202"/>
              </w:tabs>
              <w:spacing w:line="220" w:lineRule="exact"/>
              <w:rPr>
                <w:rFonts w:ascii="Arial" w:eastAsia="Times New Roman" w:hAnsi="Arial" w:cs="Arial"/>
                <w:b/>
                <w:color w:val="000000"/>
                <w:position w:val="4"/>
                <w:sz w:val="18"/>
                <w:szCs w:val="18"/>
              </w:rPr>
            </w:pPr>
            <w:r w:rsidRPr="00F43653">
              <w:rPr>
                <w:rFonts w:ascii="Arial" w:eastAsia="Times New Roman" w:hAnsi="Arial" w:cs="Arial"/>
                <w:b/>
                <w:color w:val="000000"/>
                <w:position w:val="4"/>
                <w:sz w:val="18"/>
                <w:szCs w:val="18"/>
              </w:rPr>
              <w:t>Dopunski podaci – poslovne aktivnosti</w:t>
            </w:r>
          </w:p>
        </w:tc>
        <w:tc>
          <w:tcPr>
            <w:tcW w:w="625" w:type="pct"/>
            <w:vAlign w:val="bottom"/>
          </w:tcPr>
          <w:p w14:paraId="4301D7A8" w14:textId="77777777" w:rsidR="0068010E" w:rsidRPr="00F43653" w:rsidRDefault="0068010E" w:rsidP="0068010E">
            <w:pPr>
              <w:keepLines/>
              <w:spacing w:line="220" w:lineRule="exact"/>
              <w:jc w:val="right"/>
              <w:rPr>
                <w:rFonts w:ascii="Arial" w:eastAsia="Times New Roman" w:hAnsi="Arial" w:cs="Arial"/>
                <w:b/>
                <w:color w:val="000000"/>
                <w:position w:val="4"/>
                <w:sz w:val="18"/>
                <w:szCs w:val="18"/>
              </w:rPr>
            </w:pPr>
          </w:p>
        </w:tc>
        <w:tc>
          <w:tcPr>
            <w:tcW w:w="624" w:type="pct"/>
            <w:vAlign w:val="bottom"/>
          </w:tcPr>
          <w:p w14:paraId="38BB2D8F" w14:textId="77777777" w:rsidR="0068010E" w:rsidRPr="00F43653" w:rsidRDefault="0068010E" w:rsidP="0068010E">
            <w:pPr>
              <w:keepLines/>
              <w:spacing w:line="220" w:lineRule="exact"/>
              <w:jc w:val="right"/>
              <w:rPr>
                <w:rFonts w:ascii="Arial" w:eastAsia="Times New Roman" w:hAnsi="Arial" w:cs="Arial"/>
                <w:b/>
                <w:color w:val="000000"/>
                <w:position w:val="4"/>
                <w:sz w:val="18"/>
                <w:szCs w:val="18"/>
              </w:rPr>
            </w:pPr>
          </w:p>
        </w:tc>
      </w:tr>
      <w:tr w:rsidR="0068010E" w:rsidRPr="00F43653" w14:paraId="00A343C1" w14:textId="77777777" w:rsidTr="00E40F4A">
        <w:trPr>
          <w:trHeight w:val="68"/>
        </w:trPr>
        <w:tc>
          <w:tcPr>
            <w:tcW w:w="3751" w:type="pct"/>
            <w:vAlign w:val="bottom"/>
          </w:tcPr>
          <w:p w14:paraId="5C0D4EE8" w14:textId="77777777" w:rsidR="0068010E" w:rsidRPr="00F43653" w:rsidRDefault="0068010E" w:rsidP="0068010E">
            <w:pPr>
              <w:keepLines/>
              <w:tabs>
                <w:tab w:val="right" w:pos="1202"/>
              </w:tabs>
              <w:spacing w:line="220" w:lineRule="exact"/>
              <w:outlineLvl w:val="0"/>
              <w:rPr>
                <w:rFonts w:ascii="Arial" w:eastAsia="Times New Roman" w:hAnsi="Arial" w:cs="Arial"/>
                <w:color w:val="000000"/>
                <w:sz w:val="18"/>
                <w:szCs w:val="18"/>
              </w:rPr>
            </w:pPr>
            <w:bookmarkStart w:id="224" w:name="_Toc67327228"/>
            <w:r w:rsidRPr="00F43653">
              <w:rPr>
                <w:rFonts w:ascii="Arial" w:eastAsia="Times New Roman" w:hAnsi="Arial" w:cs="Arial"/>
                <w:color w:val="000000"/>
                <w:sz w:val="18"/>
                <w:szCs w:val="18"/>
              </w:rPr>
              <w:t>Plaćene kamate</w:t>
            </w:r>
            <w:bookmarkEnd w:id="224"/>
          </w:p>
        </w:tc>
        <w:tc>
          <w:tcPr>
            <w:tcW w:w="625" w:type="pct"/>
            <w:shd w:val="clear" w:color="auto" w:fill="auto"/>
            <w:vAlign w:val="bottom"/>
          </w:tcPr>
          <w:p w14:paraId="0598FCAA" w14:textId="3068C0E2" w:rsidR="0068010E" w:rsidRPr="00665B2A" w:rsidRDefault="00E167FF" w:rsidP="0068010E">
            <w:pPr>
              <w:spacing w:line="220" w:lineRule="exact"/>
              <w:jc w:val="right"/>
              <w:rPr>
                <w:rFonts w:ascii="Arial" w:eastAsia="Times New Roman" w:hAnsi="Arial" w:cs="Arial"/>
                <w:bCs/>
                <w:color w:val="000000"/>
                <w:sz w:val="18"/>
                <w:szCs w:val="18"/>
              </w:rPr>
            </w:pPr>
            <w:r>
              <w:rPr>
                <w:rFonts w:ascii="Arial" w:eastAsia="Times New Roman" w:hAnsi="Arial" w:cs="Arial"/>
                <w:bCs/>
                <w:color w:val="000000"/>
                <w:sz w:val="18"/>
                <w:szCs w:val="18"/>
              </w:rPr>
              <w:t>31.033</w:t>
            </w:r>
          </w:p>
        </w:tc>
        <w:tc>
          <w:tcPr>
            <w:tcW w:w="624" w:type="pct"/>
            <w:shd w:val="clear" w:color="auto" w:fill="auto"/>
            <w:vAlign w:val="bottom"/>
          </w:tcPr>
          <w:p w14:paraId="5921CC30" w14:textId="1D41EE54" w:rsidR="0068010E" w:rsidRPr="00665B2A" w:rsidRDefault="0068010E" w:rsidP="0068010E">
            <w:pPr>
              <w:spacing w:line="220" w:lineRule="exact"/>
              <w:jc w:val="right"/>
              <w:rPr>
                <w:rFonts w:ascii="Arial" w:eastAsia="Times New Roman" w:hAnsi="Arial" w:cs="Arial"/>
                <w:bCs/>
                <w:color w:val="000000"/>
                <w:sz w:val="18"/>
                <w:szCs w:val="18"/>
              </w:rPr>
            </w:pPr>
            <w:r w:rsidRPr="00665B2A">
              <w:rPr>
                <w:rFonts w:ascii="Arial" w:eastAsia="Times New Roman" w:hAnsi="Arial" w:cs="Arial"/>
                <w:bCs/>
                <w:color w:val="000000"/>
                <w:sz w:val="18"/>
                <w:szCs w:val="18"/>
              </w:rPr>
              <w:t>16.807</w:t>
            </w:r>
          </w:p>
        </w:tc>
      </w:tr>
      <w:tr w:rsidR="0068010E" w:rsidRPr="00F43653" w14:paraId="572DDD07" w14:textId="77777777" w:rsidTr="00E40F4A">
        <w:trPr>
          <w:trHeight w:val="68"/>
        </w:trPr>
        <w:tc>
          <w:tcPr>
            <w:tcW w:w="3751" w:type="pct"/>
            <w:vAlign w:val="bottom"/>
          </w:tcPr>
          <w:p w14:paraId="126AEF53" w14:textId="77777777" w:rsidR="0068010E" w:rsidRPr="00F43653" w:rsidRDefault="0068010E" w:rsidP="0068010E">
            <w:pPr>
              <w:keepLines/>
              <w:tabs>
                <w:tab w:val="right" w:pos="1202"/>
              </w:tabs>
              <w:spacing w:line="220" w:lineRule="exact"/>
              <w:outlineLvl w:val="0"/>
              <w:rPr>
                <w:rFonts w:ascii="Arial" w:eastAsia="Times New Roman" w:hAnsi="Arial" w:cs="Arial"/>
                <w:color w:val="000000"/>
                <w:sz w:val="18"/>
                <w:szCs w:val="18"/>
              </w:rPr>
            </w:pPr>
            <w:bookmarkStart w:id="225" w:name="_Toc67327230"/>
            <w:r w:rsidRPr="00F43653">
              <w:rPr>
                <w:rFonts w:ascii="Arial" w:eastAsia="Times New Roman" w:hAnsi="Arial" w:cs="Arial"/>
                <w:color w:val="000000"/>
                <w:sz w:val="18"/>
                <w:szCs w:val="18"/>
              </w:rPr>
              <w:t>Primljene kamate</w:t>
            </w:r>
            <w:bookmarkEnd w:id="225"/>
          </w:p>
        </w:tc>
        <w:tc>
          <w:tcPr>
            <w:tcW w:w="625" w:type="pct"/>
            <w:shd w:val="clear" w:color="auto" w:fill="auto"/>
            <w:vAlign w:val="bottom"/>
          </w:tcPr>
          <w:p w14:paraId="2B6BFD13" w14:textId="056626EB" w:rsidR="0068010E" w:rsidRPr="00665B2A" w:rsidRDefault="00CF03FA" w:rsidP="0068010E">
            <w:pPr>
              <w:spacing w:line="220" w:lineRule="exact"/>
              <w:jc w:val="right"/>
              <w:rPr>
                <w:rFonts w:ascii="Arial" w:eastAsia="Times New Roman" w:hAnsi="Arial" w:cs="Arial"/>
                <w:bCs/>
                <w:color w:val="000000"/>
                <w:sz w:val="18"/>
                <w:szCs w:val="18"/>
              </w:rPr>
            </w:pPr>
            <w:r>
              <w:rPr>
                <w:rFonts w:ascii="Arial" w:eastAsia="Times New Roman" w:hAnsi="Arial" w:cs="Arial"/>
                <w:bCs/>
                <w:color w:val="000000"/>
                <w:sz w:val="18"/>
                <w:szCs w:val="18"/>
              </w:rPr>
              <w:t>70.980</w:t>
            </w:r>
          </w:p>
        </w:tc>
        <w:tc>
          <w:tcPr>
            <w:tcW w:w="624" w:type="pct"/>
            <w:shd w:val="clear" w:color="auto" w:fill="auto"/>
            <w:vAlign w:val="bottom"/>
          </w:tcPr>
          <w:p w14:paraId="68D8908A" w14:textId="708C0D13" w:rsidR="0068010E" w:rsidRPr="00665B2A" w:rsidRDefault="0068010E" w:rsidP="0068010E">
            <w:pPr>
              <w:spacing w:line="220" w:lineRule="exact"/>
              <w:jc w:val="right"/>
              <w:rPr>
                <w:rFonts w:ascii="Arial" w:eastAsia="Times New Roman" w:hAnsi="Arial" w:cs="Arial"/>
                <w:bCs/>
                <w:color w:val="000000"/>
                <w:sz w:val="18"/>
                <w:szCs w:val="18"/>
              </w:rPr>
            </w:pPr>
            <w:r w:rsidRPr="00665B2A">
              <w:rPr>
                <w:rFonts w:ascii="Arial" w:eastAsia="Times New Roman" w:hAnsi="Arial" w:cs="Arial"/>
                <w:bCs/>
                <w:color w:val="000000"/>
                <w:sz w:val="18"/>
                <w:szCs w:val="18"/>
              </w:rPr>
              <w:t>53.181</w:t>
            </w:r>
          </w:p>
        </w:tc>
      </w:tr>
      <w:bookmarkEnd w:id="181"/>
    </w:tbl>
    <w:p w14:paraId="13A8BD30" w14:textId="62CFF5EA" w:rsidR="00764509" w:rsidRPr="003D1614" w:rsidRDefault="00764509" w:rsidP="00A56428">
      <w:pPr>
        <w:rPr>
          <w:rFonts w:ascii="Arial" w:eastAsia="Times New Roman" w:hAnsi="Arial" w:cs="Arial"/>
          <w:sz w:val="20"/>
          <w:szCs w:val="20"/>
        </w:rPr>
      </w:pPr>
    </w:p>
    <w:p w14:paraId="5F1A0818" w14:textId="4E6C2410" w:rsidR="003E2F5E" w:rsidRPr="003D1614" w:rsidRDefault="003E2F5E" w:rsidP="00A56428">
      <w:pPr>
        <w:rPr>
          <w:rFonts w:ascii="Arial" w:eastAsia="Times New Roman" w:hAnsi="Arial" w:cs="Arial"/>
          <w:sz w:val="20"/>
          <w:szCs w:val="20"/>
        </w:rPr>
      </w:pPr>
      <w:r w:rsidRPr="003D1614">
        <w:rPr>
          <w:rFonts w:ascii="Arial" w:eastAsia="Times New Roman" w:hAnsi="Arial" w:cs="Arial"/>
          <w:sz w:val="20"/>
          <w:szCs w:val="20"/>
        </w:rPr>
        <w:t>Priložene računovodstvene politike i bilješke sastavni su dio ovih financijskih izvještaja.</w:t>
      </w:r>
    </w:p>
    <w:p w14:paraId="25B066FC" w14:textId="7B6B9DF8" w:rsidR="003E2F5E" w:rsidRPr="003D1614" w:rsidRDefault="003E2F5E" w:rsidP="00A56428">
      <w:pPr>
        <w:rPr>
          <w:rFonts w:ascii="Arial" w:eastAsia="Times New Roman" w:hAnsi="Arial" w:cs="Arial"/>
          <w:sz w:val="20"/>
          <w:szCs w:val="20"/>
        </w:rPr>
      </w:pPr>
    </w:p>
    <w:p w14:paraId="6D872A40" w14:textId="77777777" w:rsidR="003E2F5E" w:rsidRPr="003D1614" w:rsidRDefault="003E2F5E" w:rsidP="00A56428">
      <w:pPr>
        <w:rPr>
          <w:rFonts w:ascii="Arial" w:eastAsia="Times New Roman" w:hAnsi="Arial" w:cs="Arial"/>
          <w:sz w:val="20"/>
          <w:szCs w:val="20"/>
        </w:rPr>
        <w:sectPr w:rsidR="003E2F5E" w:rsidRPr="003D1614">
          <w:headerReference w:type="default" r:id="rId19"/>
          <w:pgSz w:w="11906" w:h="16838"/>
          <w:pgMar w:top="1417" w:right="1417" w:bottom="1417" w:left="1417" w:header="708" w:footer="708" w:gutter="0"/>
          <w:cols w:space="708"/>
          <w:docGrid w:linePitch="360"/>
        </w:sectPr>
      </w:pPr>
    </w:p>
    <w:p w14:paraId="6A983DC9" w14:textId="65B99074" w:rsidR="003E2F5E" w:rsidRPr="003D1614" w:rsidRDefault="003E2F5E" w:rsidP="00A56428">
      <w:pPr>
        <w:rPr>
          <w:rFonts w:ascii="Arial" w:eastAsia="Times New Roman" w:hAnsi="Arial" w:cs="Arial"/>
          <w:sz w:val="20"/>
          <w:szCs w:val="20"/>
        </w:rPr>
      </w:pPr>
    </w:p>
    <w:p w14:paraId="1AE792E0" w14:textId="40FA61F5" w:rsidR="00145D68" w:rsidRPr="003D1614" w:rsidRDefault="00145D68" w:rsidP="00A56428">
      <w:pPr>
        <w:rPr>
          <w:rFonts w:ascii="Arial" w:eastAsia="Times New Roman" w:hAnsi="Arial" w:cs="Arial"/>
          <w:sz w:val="20"/>
          <w:szCs w:val="20"/>
        </w:rPr>
      </w:pPr>
    </w:p>
    <w:tbl>
      <w:tblPr>
        <w:tblpPr w:leftFromText="181" w:rightFromText="181" w:vertAnchor="text" w:horzAnchor="margin" w:tblpY="75"/>
        <w:tblW w:w="5161" w:type="pct"/>
        <w:tblLayout w:type="fixed"/>
        <w:tblCellMar>
          <w:left w:w="120" w:type="dxa"/>
          <w:right w:w="120" w:type="dxa"/>
        </w:tblCellMar>
        <w:tblLook w:val="0000" w:firstRow="0" w:lastRow="0" w:firstColumn="0" w:lastColumn="0" w:noHBand="0" w:noVBand="0"/>
      </w:tblPr>
      <w:tblGrid>
        <w:gridCol w:w="2704"/>
        <w:gridCol w:w="1109"/>
        <w:gridCol w:w="1111"/>
        <w:gridCol w:w="1109"/>
        <w:gridCol w:w="1111"/>
        <w:gridCol w:w="1109"/>
        <w:gridCol w:w="1111"/>
      </w:tblGrid>
      <w:tr w:rsidR="00145D68" w:rsidRPr="00F43653" w14:paraId="7673DCC4" w14:textId="77777777" w:rsidTr="007478FB">
        <w:trPr>
          <w:trHeight w:val="636"/>
        </w:trPr>
        <w:tc>
          <w:tcPr>
            <w:tcW w:w="1444" w:type="pct"/>
            <w:vAlign w:val="bottom"/>
          </w:tcPr>
          <w:p w14:paraId="6707B1F7" w14:textId="77777777" w:rsidR="00145D68" w:rsidRPr="00F43653" w:rsidRDefault="00145D68" w:rsidP="008513B6">
            <w:pPr>
              <w:tabs>
                <w:tab w:val="right" w:pos="1202"/>
              </w:tabs>
              <w:spacing w:line="301" w:lineRule="exact"/>
              <w:outlineLvl w:val="0"/>
              <w:rPr>
                <w:rFonts w:ascii="Arial" w:eastAsia="Times New Roman" w:hAnsi="Arial" w:cs="Arial"/>
                <w:iCs/>
                <w:color w:val="000000"/>
                <w:sz w:val="17"/>
                <w:szCs w:val="17"/>
              </w:rPr>
            </w:pPr>
          </w:p>
        </w:tc>
        <w:tc>
          <w:tcPr>
            <w:tcW w:w="592" w:type="pct"/>
            <w:vAlign w:val="bottom"/>
          </w:tcPr>
          <w:p w14:paraId="2D4342EC" w14:textId="77777777" w:rsidR="00145D68" w:rsidRPr="00F43653" w:rsidRDefault="00145D68" w:rsidP="008513B6">
            <w:pPr>
              <w:tabs>
                <w:tab w:val="right" w:pos="1202"/>
              </w:tabs>
              <w:spacing w:line="301" w:lineRule="exact"/>
              <w:jc w:val="right"/>
              <w:outlineLvl w:val="0"/>
              <w:rPr>
                <w:rFonts w:ascii="Arial" w:eastAsia="Times New Roman" w:hAnsi="Arial" w:cs="Arial"/>
                <w:b/>
                <w:iCs/>
                <w:color w:val="000000"/>
                <w:sz w:val="17"/>
                <w:szCs w:val="17"/>
              </w:rPr>
            </w:pPr>
            <w:bookmarkStart w:id="226" w:name="_Toc67327233"/>
            <w:r w:rsidRPr="00F43653">
              <w:rPr>
                <w:rFonts w:ascii="Arial" w:eastAsia="Times New Roman" w:hAnsi="Arial" w:cs="Arial"/>
                <w:b/>
                <w:iCs/>
                <w:color w:val="000000"/>
                <w:sz w:val="17"/>
                <w:szCs w:val="17"/>
              </w:rPr>
              <w:t>Osnivački</w:t>
            </w:r>
            <w:bookmarkEnd w:id="226"/>
            <w:r w:rsidRPr="00F43653">
              <w:rPr>
                <w:rFonts w:ascii="Arial" w:eastAsia="Times New Roman" w:hAnsi="Arial" w:cs="Arial"/>
                <w:b/>
                <w:iCs/>
                <w:color w:val="000000"/>
                <w:sz w:val="17"/>
                <w:szCs w:val="17"/>
              </w:rPr>
              <w:t xml:space="preserve"> </w:t>
            </w:r>
          </w:p>
          <w:p w14:paraId="086B2AAF" w14:textId="77777777" w:rsidR="00145D68" w:rsidRPr="00F43653" w:rsidRDefault="00145D68" w:rsidP="008513B6">
            <w:pPr>
              <w:tabs>
                <w:tab w:val="right" w:pos="1202"/>
              </w:tabs>
              <w:spacing w:line="301" w:lineRule="exact"/>
              <w:jc w:val="right"/>
              <w:outlineLvl w:val="0"/>
              <w:rPr>
                <w:rFonts w:ascii="Arial" w:eastAsia="Times New Roman" w:hAnsi="Arial" w:cs="Arial"/>
                <w:b/>
                <w:iCs/>
                <w:color w:val="000000"/>
                <w:sz w:val="17"/>
                <w:szCs w:val="17"/>
              </w:rPr>
            </w:pPr>
            <w:bookmarkStart w:id="227" w:name="_Toc67327234"/>
            <w:r w:rsidRPr="00F43653">
              <w:rPr>
                <w:rFonts w:ascii="Arial" w:eastAsia="Times New Roman" w:hAnsi="Arial" w:cs="Arial"/>
                <w:b/>
                <w:iCs/>
                <w:color w:val="000000"/>
                <w:sz w:val="17"/>
                <w:szCs w:val="17"/>
              </w:rPr>
              <w:t>kapital</w:t>
            </w:r>
            <w:bookmarkEnd w:id="227"/>
          </w:p>
        </w:tc>
        <w:tc>
          <w:tcPr>
            <w:tcW w:w="593" w:type="pct"/>
            <w:vAlign w:val="bottom"/>
          </w:tcPr>
          <w:p w14:paraId="125131FA" w14:textId="77777777" w:rsidR="00145D68" w:rsidRPr="00F43653" w:rsidRDefault="00145D68" w:rsidP="008513B6">
            <w:pPr>
              <w:tabs>
                <w:tab w:val="right" w:pos="1202"/>
              </w:tabs>
              <w:spacing w:line="301" w:lineRule="exact"/>
              <w:jc w:val="right"/>
              <w:outlineLvl w:val="0"/>
              <w:rPr>
                <w:rFonts w:ascii="Arial" w:eastAsia="Times New Roman" w:hAnsi="Arial" w:cs="Arial"/>
                <w:b/>
                <w:iCs/>
                <w:color w:val="000000"/>
                <w:sz w:val="17"/>
                <w:szCs w:val="17"/>
              </w:rPr>
            </w:pPr>
            <w:r w:rsidRPr="00F43653">
              <w:rPr>
                <w:rFonts w:ascii="Arial" w:eastAsia="Times New Roman" w:hAnsi="Arial" w:cs="Arial"/>
                <w:b/>
                <w:iCs/>
                <w:color w:val="000000"/>
                <w:sz w:val="17"/>
                <w:szCs w:val="17"/>
              </w:rPr>
              <w:t xml:space="preserve">  </w:t>
            </w:r>
            <w:bookmarkStart w:id="228" w:name="_Toc67327235"/>
            <w:r w:rsidRPr="00F43653">
              <w:rPr>
                <w:rFonts w:ascii="Arial" w:eastAsia="Times New Roman" w:hAnsi="Arial" w:cs="Arial"/>
                <w:b/>
                <w:iCs/>
                <w:color w:val="000000"/>
                <w:sz w:val="17"/>
                <w:szCs w:val="17"/>
              </w:rPr>
              <w:t>Zadržana</w:t>
            </w:r>
            <w:bookmarkEnd w:id="228"/>
            <w:r w:rsidRPr="00F43653">
              <w:rPr>
                <w:rFonts w:ascii="Arial" w:eastAsia="Times New Roman" w:hAnsi="Arial" w:cs="Arial"/>
                <w:b/>
                <w:iCs/>
                <w:color w:val="000000"/>
                <w:sz w:val="17"/>
                <w:szCs w:val="17"/>
              </w:rPr>
              <w:t xml:space="preserve"> </w:t>
            </w:r>
          </w:p>
          <w:p w14:paraId="4FF6F25A" w14:textId="77777777" w:rsidR="00145D68" w:rsidRPr="00F43653" w:rsidRDefault="00145D68" w:rsidP="008513B6">
            <w:pPr>
              <w:tabs>
                <w:tab w:val="right" w:pos="1202"/>
              </w:tabs>
              <w:spacing w:line="301" w:lineRule="exact"/>
              <w:jc w:val="right"/>
              <w:outlineLvl w:val="0"/>
              <w:rPr>
                <w:rFonts w:ascii="Arial" w:eastAsia="Times New Roman" w:hAnsi="Arial" w:cs="Arial"/>
                <w:b/>
                <w:iCs/>
                <w:color w:val="000000"/>
                <w:sz w:val="17"/>
                <w:szCs w:val="17"/>
              </w:rPr>
            </w:pPr>
            <w:bookmarkStart w:id="229" w:name="_Toc67327236"/>
            <w:r w:rsidRPr="00F43653">
              <w:rPr>
                <w:rFonts w:ascii="Arial" w:eastAsia="Times New Roman" w:hAnsi="Arial" w:cs="Arial"/>
                <w:b/>
                <w:iCs/>
                <w:color w:val="000000"/>
                <w:sz w:val="17"/>
                <w:szCs w:val="17"/>
              </w:rPr>
              <w:t>dobit i rezerve</w:t>
            </w:r>
            <w:bookmarkEnd w:id="229"/>
          </w:p>
        </w:tc>
        <w:tc>
          <w:tcPr>
            <w:tcW w:w="592" w:type="pct"/>
            <w:vAlign w:val="bottom"/>
          </w:tcPr>
          <w:p w14:paraId="4FBC38D1" w14:textId="77777777" w:rsidR="00145D68" w:rsidRPr="00F43653" w:rsidRDefault="00145D68" w:rsidP="008513B6">
            <w:pPr>
              <w:tabs>
                <w:tab w:val="right" w:pos="1202"/>
              </w:tabs>
              <w:spacing w:line="301" w:lineRule="exact"/>
              <w:jc w:val="right"/>
              <w:outlineLvl w:val="0"/>
              <w:rPr>
                <w:rFonts w:ascii="Arial" w:eastAsia="Times New Roman" w:hAnsi="Arial" w:cs="Arial"/>
                <w:b/>
                <w:iCs/>
                <w:color w:val="000000"/>
                <w:sz w:val="17"/>
                <w:szCs w:val="17"/>
              </w:rPr>
            </w:pPr>
            <w:bookmarkStart w:id="230" w:name="_Toc67327237"/>
            <w:r w:rsidRPr="00F43653">
              <w:rPr>
                <w:rFonts w:ascii="Arial" w:eastAsia="Times New Roman" w:hAnsi="Arial" w:cs="Arial"/>
                <w:b/>
                <w:iCs/>
                <w:color w:val="000000"/>
                <w:sz w:val="17"/>
                <w:szCs w:val="17"/>
              </w:rPr>
              <w:t>Ostale rezerve</w:t>
            </w:r>
            <w:bookmarkEnd w:id="230"/>
          </w:p>
        </w:tc>
        <w:tc>
          <w:tcPr>
            <w:tcW w:w="593" w:type="pct"/>
            <w:vAlign w:val="bottom"/>
          </w:tcPr>
          <w:p w14:paraId="02DC86C4" w14:textId="77777777" w:rsidR="00145D68" w:rsidRPr="00F43653" w:rsidRDefault="00145D68" w:rsidP="008513B6">
            <w:pPr>
              <w:tabs>
                <w:tab w:val="right" w:pos="1202"/>
              </w:tabs>
              <w:spacing w:line="301" w:lineRule="exact"/>
              <w:jc w:val="right"/>
              <w:outlineLvl w:val="0"/>
              <w:rPr>
                <w:rFonts w:ascii="Arial" w:eastAsia="Times New Roman" w:hAnsi="Arial" w:cs="Arial"/>
                <w:b/>
                <w:iCs/>
                <w:color w:val="000000"/>
                <w:sz w:val="17"/>
                <w:szCs w:val="17"/>
              </w:rPr>
            </w:pPr>
            <w:bookmarkStart w:id="231" w:name="_Toc67327238"/>
            <w:r w:rsidRPr="00F43653">
              <w:rPr>
                <w:rFonts w:ascii="Arial" w:eastAsia="Times New Roman" w:hAnsi="Arial" w:cs="Arial"/>
                <w:b/>
                <w:iCs/>
                <w:color w:val="000000"/>
                <w:sz w:val="17"/>
                <w:szCs w:val="17"/>
              </w:rPr>
              <w:t>Neto dobit</w:t>
            </w:r>
            <w:bookmarkEnd w:id="231"/>
            <w:r w:rsidRPr="00F43653">
              <w:rPr>
                <w:rFonts w:ascii="Arial" w:eastAsia="Times New Roman" w:hAnsi="Arial" w:cs="Arial"/>
                <w:b/>
                <w:iCs/>
                <w:color w:val="000000"/>
                <w:sz w:val="17"/>
                <w:szCs w:val="17"/>
              </w:rPr>
              <w:t xml:space="preserve"> </w:t>
            </w:r>
          </w:p>
          <w:p w14:paraId="612AC2B3" w14:textId="5F9DE9EF" w:rsidR="00145D68" w:rsidRPr="00F43653" w:rsidRDefault="0005132E" w:rsidP="008513B6">
            <w:pPr>
              <w:tabs>
                <w:tab w:val="right" w:pos="1202"/>
              </w:tabs>
              <w:spacing w:line="301" w:lineRule="exact"/>
              <w:jc w:val="right"/>
              <w:outlineLvl w:val="0"/>
              <w:rPr>
                <w:rFonts w:ascii="Arial" w:eastAsia="Times New Roman" w:hAnsi="Arial" w:cs="Arial"/>
                <w:b/>
                <w:iCs/>
                <w:color w:val="000000"/>
                <w:sz w:val="17"/>
                <w:szCs w:val="17"/>
              </w:rPr>
            </w:pPr>
            <w:bookmarkStart w:id="232" w:name="_Toc67327239"/>
            <w:r>
              <w:rPr>
                <w:rFonts w:ascii="Arial" w:eastAsia="Times New Roman" w:hAnsi="Arial" w:cs="Arial"/>
                <w:b/>
                <w:iCs/>
                <w:color w:val="000000"/>
                <w:sz w:val="17"/>
                <w:szCs w:val="17"/>
              </w:rPr>
              <w:t>t</w:t>
            </w:r>
            <w:r w:rsidR="00145D68" w:rsidRPr="00F43653">
              <w:rPr>
                <w:rFonts w:ascii="Arial" w:eastAsia="Times New Roman" w:hAnsi="Arial" w:cs="Arial"/>
                <w:b/>
                <w:iCs/>
                <w:color w:val="000000"/>
                <w:sz w:val="17"/>
                <w:szCs w:val="17"/>
              </w:rPr>
              <w:t>ekuć</w:t>
            </w:r>
            <w:bookmarkEnd w:id="232"/>
            <w:r w:rsidR="00145D68" w:rsidRPr="00F43653">
              <w:rPr>
                <w:rFonts w:ascii="Arial" w:eastAsia="Times New Roman" w:hAnsi="Arial" w:cs="Arial"/>
                <w:b/>
                <w:iCs/>
                <w:color w:val="000000"/>
                <w:sz w:val="17"/>
                <w:szCs w:val="17"/>
              </w:rPr>
              <w:t>eg razdoblja</w:t>
            </w:r>
          </w:p>
        </w:tc>
        <w:tc>
          <w:tcPr>
            <w:tcW w:w="592" w:type="pct"/>
            <w:vAlign w:val="bottom"/>
          </w:tcPr>
          <w:p w14:paraId="407C4165" w14:textId="77777777" w:rsidR="00145D68" w:rsidRPr="00F43653" w:rsidRDefault="00145D68" w:rsidP="008513B6">
            <w:pPr>
              <w:tabs>
                <w:tab w:val="right" w:pos="1202"/>
              </w:tabs>
              <w:spacing w:line="301" w:lineRule="exact"/>
              <w:jc w:val="right"/>
              <w:outlineLvl w:val="0"/>
              <w:rPr>
                <w:rFonts w:ascii="Arial" w:eastAsia="Times New Roman" w:hAnsi="Arial" w:cs="Arial"/>
                <w:b/>
                <w:iCs/>
                <w:color w:val="000000"/>
                <w:sz w:val="17"/>
                <w:szCs w:val="17"/>
              </w:rPr>
            </w:pPr>
            <w:bookmarkStart w:id="233" w:name="_Toc67327240"/>
            <w:r w:rsidRPr="00F43653">
              <w:rPr>
                <w:rFonts w:ascii="Arial" w:eastAsia="Times New Roman" w:hAnsi="Arial" w:cs="Arial"/>
                <w:b/>
                <w:iCs/>
                <w:color w:val="000000"/>
                <w:sz w:val="17"/>
                <w:szCs w:val="17"/>
              </w:rPr>
              <w:t>Garantni fond</w:t>
            </w:r>
            <w:bookmarkEnd w:id="233"/>
          </w:p>
        </w:tc>
        <w:tc>
          <w:tcPr>
            <w:tcW w:w="593" w:type="pct"/>
            <w:vAlign w:val="bottom"/>
          </w:tcPr>
          <w:p w14:paraId="79E58D8A" w14:textId="77777777" w:rsidR="00145D68" w:rsidRPr="00F43653" w:rsidRDefault="00145D68" w:rsidP="008513B6">
            <w:pPr>
              <w:tabs>
                <w:tab w:val="right" w:pos="1202"/>
              </w:tabs>
              <w:spacing w:line="301" w:lineRule="exact"/>
              <w:jc w:val="right"/>
              <w:outlineLvl w:val="0"/>
              <w:rPr>
                <w:rFonts w:ascii="Arial" w:eastAsia="Times New Roman" w:hAnsi="Arial" w:cs="Arial"/>
                <w:b/>
                <w:iCs/>
                <w:color w:val="000000"/>
                <w:sz w:val="17"/>
                <w:szCs w:val="17"/>
              </w:rPr>
            </w:pPr>
            <w:bookmarkStart w:id="234" w:name="_Toc67327241"/>
            <w:r w:rsidRPr="00F43653">
              <w:rPr>
                <w:rFonts w:ascii="Arial" w:eastAsia="Times New Roman" w:hAnsi="Arial" w:cs="Arial"/>
                <w:b/>
                <w:iCs/>
                <w:color w:val="000000"/>
                <w:sz w:val="17"/>
                <w:szCs w:val="17"/>
              </w:rPr>
              <w:t>Ukupni kapital</w:t>
            </w:r>
            <w:bookmarkEnd w:id="234"/>
            <w:r w:rsidRPr="00F43653">
              <w:rPr>
                <w:rFonts w:ascii="Arial" w:eastAsia="Times New Roman" w:hAnsi="Arial" w:cs="Arial"/>
                <w:b/>
                <w:iCs/>
                <w:color w:val="000000"/>
                <w:sz w:val="17"/>
                <w:szCs w:val="17"/>
              </w:rPr>
              <w:t xml:space="preserve"> </w:t>
            </w:r>
          </w:p>
        </w:tc>
      </w:tr>
      <w:tr w:rsidR="00145D68" w:rsidRPr="00F43653" w14:paraId="33E3C2D9" w14:textId="77777777" w:rsidTr="007478FB">
        <w:trPr>
          <w:trHeight w:val="241"/>
        </w:trPr>
        <w:tc>
          <w:tcPr>
            <w:tcW w:w="1444" w:type="pct"/>
            <w:vAlign w:val="bottom"/>
          </w:tcPr>
          <w:p w14:paraId="55E9524C" w14:textId="77777777" w:rsidR="00145D68" w:rsidRPr="00F43653" w:rsidRDefault="00145D68" w:rsidP="008513B6">
            <w:pPr>
              <w:tabs>
                <w:tab w:val="right" w:pos="1202"/>
              </w:tabs>
              <w:spacing w:line="301" w:lineRule="exact"/>
              <w:outlineLvl w:val="0"/>
              <w:rPr>
                <w:rFonts w:ascii="Arial" w:eastAsia="Times New Roman" w:hAnsi="Arial" w:cs="Arial"/>
                <w:iCs/>
                <w:color w:val="000000"/>
                <w:sz w:val="17"/>
                <w:szCs w:val="17"/>
              </w:rPr>
            </w:pPr>
          </w:p>
        </w:tc>
        <w:tc>
          <w:tcPr>
            <w:tcW w:w="592" w:type="pct"/>
            <w:vAlign w:val="bottom"/>
          </w:tcPr>
          <w:p w14:paraId="73071AA1" w14:textId="193C4C52" w:rsidR="00145D68" w:rsidRPr="00F43653" w:rsidRDefault="00145D68" w:rsidP="008513B6">
            <w:pPr>
              <w:keepLines/>
              <w:tabs>
                <w:tab w:val="right" w:pos="1202"/>
              </w:tabs>
              <w:spacing w:line="301" w:lineRule="exact"/>
              <w:jc w:val="right"/>
              <w:outlineLvl w:val="0"/>
              <w:rPr>
                <w:rFonts w:ascii="Arial" w:eastAsia="Times New Roman" w:hAnsi="Arial" w:cs="Arial"/>
                <w:b/>
                <w:bCs/>
                <w:color w:val="000000"/>
                <w:sz w:val="17"/>
                <w:szCs w:val="17"/>
              </w:rPr>
            </w:pPr>
            <w:bookmarkStart w:id="235" w:name="_Toc67327242"/>
            <w:r w:rsidRPr="00F43653">
              <w:rPr>
                <w:rFonts w:ascii="Arial" w:eastAsia="Times New Roman" w:hAnsi="Arial" w:cs="Arial"/>
                <w:b/>
                <w:bCs/>
                <w:color w:val="000000"/>
                <w:sz w:val="17"/>
                <w:szCs w:val="17"/>
              </w:rPr>
              <w:t>000 eura</w:t>
            </w:r>
            <w:bookmarkEnd w:id="235"/>
          </w:p>
        </w:tc>
        <w:tc>
          <w:tcPr>
            <w:tcW w:w="593" w:type="pct"/>
            <w:vAlign w:val="bottom"/>
          </w:tcPr>
          <w:p w14:paraId="72957757" w14:textId="2A2FAAD5" w:rsidR="00145D68" w:rsidRPr="00F43653" w:rsidRDefault="00145D68" w:rsidP="008513B6">
            <w:pPr>
              <w:keepLines/>
              <w:tabs>
                <w:tab w:val="right" w:pos="1202"/>
              </w:tabs>
              <w:spacing w:line="301" w:lineRule="exact"/>
              <w:jc w:val="right"/>
              <w:outlineLvl w:val="0"/>
              <w:rPr>
                <w:rFonts w:ascii="Arial" w:eastAsia="Times New Roman" w:hAnsi="Arial" w:cs="Arial"/>
                <w:b/>
                <w:bCs/>
                <w:color w:val="000000"/>
                <w:sz w:val="17"/>
                <w:szCs w:val="17"/>
              </w:rPr>
            </w:pPr>
            <w:bookmarkStart w:id="236" w:name="_Toc67327243"/>
            <w:r w:rsidRPr="00F43653">
              <w:rPr>
                <w:rFonts w:ascii="Arial" w:eastAsia="Times New Roman" w:hAnsi="Arial" w:cs="Arial"/>
                <w:b/>
                <w:bCs/>
                <w:color w:val="000000"/>
                <w:sz w:val="17"/>
                <w:szCs w:val="17"/>
              </w:rPr>
              <w:t>000 eura</w:t>
            </w:r>
            <w:bookmarkEnd w:id="236"/>
          </w:p>
        </w:tc>
        <w:tc>
          <w:tcPr>
            <w:tcW w:w="592" w:type="pct"/>
            <w:vAlign w:val="bottom"/>
          </w:tcPr>
          <w:p w14:paraId="6B103153" w14:textId="555ED00A" w:rsidR="00145D68" w:rsidRPr="00F43653" w:rsidRDefault="00145D68" w:rsidP="008513B6">
            <w:pPr>
              <w:keepLines/>
              <w:tabs>
                <w:tab w:val="right" w:pos="1202"/>
              </w:tabs>
              <w:spacing w:line="301" w:lineRule="exact"/>
              <w:jc w:val="right"/>
              <w:outlineLvl w:val="0"/>
              <w:rPr>
                <w:rFonts w:ascii="Arial" w:eastAsia="Times New Roman" w:hAnsi="Arial" w:cs="Arial"/>
                <w:b/>
                <w:bCs/>
                <w:color w:val="000000"/>
                <w:sz w:val="17"/>
                <w:szCs w:val="17"/>
              </w:rPr>
            </w:pPr>
            <w:bookmarkStart w:id="237" w:name="_Toc67327244"/>
            <w:r w:rsidRPr="00F43653">
              <w:rPr>
                <w:rFonts w:ascii="Arial" w:eastAsia="Times New Roman" w:hAnsi="Arial" w:cs="Arial"/>
                <w:b/>
                <w:bCs/>
                <w:color w:val="000000"/>
                <w:sz w:val="17"/>
                <w:szCs w:val="17"/>
              </w:rPr>
              <w:t>000 eura</w:t>
            </w:r>
            <w:bookmarkEnd w:id="237"/>
          </w:p>
        </w:tc>
        <w:tc>
          <w:tcPr>
            <w:tcW w:w="593" w:type="pct"/>
            <w:vAlign w:val="bottom"/>
          </w:tcPr>
          <w:p w14:paraId="67412C92" w14:textId="7D625E7F" w:rsidR="00145D68" w:rsidRPr="00F43653" w:rsidRDefault="00145D68" w:rsidP="008513B6">
            <w:pPr>
              <w:keepLines/>
              <w:tabs>
                <w:tab w:val="right" w:pos="1202"/>
              </w:tabs>
              <w:spacing w:line="301" w:lineRule="exact"/>
              <w:jc w:val="right"/>
              <w:outlineLvl w:val="0"/>
              <w:rPr>
                <w:rFonts w:ascii="Arial" w:eastAsia="Times New Roman" w:hAnsi="Arial" w:cs="Arial"/>
                <w:b/>
                <w:bCs/>
                <w:color w:val="000000"/>
                <w:sz w:val="17"/>
                <w:szCs w:val="17"/>
              </w:rPr>
            </w:pPr>
            <w:bookmarkStart w:id="238" w:name="_Toc67327245"/>
            <w:r w:rsidRPr="00F43653">
              <w:rPr>
                <w:rFonts w:ascii="Arial" w:eastAsia="Times New Roman" w:hAnsi="Arial" w:cs="Arial"/>
                <w:b/>
                <w:bCs/>
                <w:color w:val="000000"/>
                <w:sz w:val="17"/>
                <w:szCs w:val="17"/>
              </w:rPr>
              <w:t>000 eura</w:t>
            </w:r>
            <w:bookmarkEnd w:id="238"/>
          </w:p>
        </w:tc>
        <w:tc>
          <w:tcPr>
            <w:tcW w:w="592" w:type="pct"/>
            <w:vAlign w:val="bottom"/>
          </w:tcPr>
          <w:p w14:paraId="4A57BAC6" w14:textId="0837EC62" w:rsidR="00145D68" w:rsidRPr="00F43653" w:rsidRDefault="00145D68" w:rsidP="008513B6">
            <w:pPr>
              <w:keepLines/>
              <w:tabs>
                <w:tab w:val="right" w:pos="1202"/>
              </w:tabs>
              <w:spacing w:line="301" w:lineRule="exact"/>
              <w:jc w:val="right"/>
              <w:outlineLvl w:val="0"/>
              <w:rPr>
                <w:rFonts w:ascii="Arial" w:eastAsia="Times New Roman" w:hAnsi="Arial" w:cs="Arial"/>
                <w:b/>
                <w:bCs/>
                <w:color w:val="000000"/>
                <w:sz w:val="17"/>
                <w:szCs w:val="17"/>
              </w:rPr>
            </w:pPr>
            <w:bookmarkStart w:id="239" w:name="_Toc67327246"/>
            <w:r w:rsidRPr="00F43653">
              <w:rPr>
                <w:rFonts w:ascii="Arial" w:eastAsia="Times New Roman" w:hAnsi="Arial" w:cs="Arial"/>
                <w:b/>
                <w:bCs/>
                <w:color w:val="000000"/>
                <w:sz w:val="17"/>
                <w:szCs w:val="17"/>
              </w:rPr>
              <w:t>000 eura</w:t>
            </w:r>
            <w:bookmarkEnd w:id="239"/>
          </w:p>
        </w:tc>
        <w:tc>
          <w:tcPr>
            <w:tcW w:w="593" w:type="pct"/>
            <w:vAlign w:val="bottom"/>
          </w:tcPr>
          <w:p w14:paraId="22A520B0" w14:textId="3B9E6D23" w:rsidR="00145D68" w:rsidRPr="00F43653" w:rsidRDefault="00145D68" w:rsidP="008513B6">
            <w:pPr>
              <w:keepLines/>
              <w:tabs>
                <w:tab w:val="right" w:pos="1202"/>
              </w:tabs>
              <w:spacing w:line="301" w:lineRule="exact"/>
              <w:jc w:val="right"/>
              <w:outlineLvl w:val="0"/>
              <w:rPr>
                <w:rFonts w:ascii="Arial" w:eastAsia="Times New Roman" w:hAnsi="Arial" w:cs="Arial"/>
                <w:b/>
                <w:bCs/>
                <w:color w:val="000000"/>
                <w:sz w:val="17"/>
                <w:szCs w:val="17"/>
              </w:rPr>
            </w:pPr>
            <w:bookmarkStart w:id="240" w:name="_Toc67327247"/>
            <w:r w:rsidRPr="00F43653">
              <w:rPr>
                <w:rFonts w:ascii="Arial" w:eastAsia="Times New Roman" w:hAnsi="Arial" w:cs="Arial"/>
                <w:b/>
                <w:bCs/>
                <w:color w:val="000000"/>
                <w:sz w:val="17"/>
                <w:szCs w:val="17"/>
              </w:rPr>
              <w:t>000 eura</w:t>
            </w:r>
            <w:bookmarkEnd w:id="240"/>
          </w:p>
        </w:tc>
      </w:tr>
      <w:tr w:rsidR="00145D68" w:rsidRPr="00F43653" w14:paraId="03AD6CD1" w14:textId="77777777" w:rsidTr="007478FB">
        <w:trPr>
          <w:trHeight w:val="106"/>
        </w:trPr>
        <w:tc>
          <w:tcPr>
            <w:tcW w:w="1444" w:type="pct"/>
            <w:vAlign w:val="bottom"/>
          </w:tcPr>
          <w:p w14:paraId="43B6E08A" w14:textId="77777777" w:rsidR="00145D68" w:rsidRPr="00F43653" w:rsidRDefault="00145D68" w:rsidP="008513B6">
            <w:pPr>
              <w:tabs>
                <w:tab w:val="right" w:pos="1202"/>
              </w:tabs>
              <w:spacing w:line="140" w:lineRule="exact"/>
              <w:outlineLvl w:val="0"/>
              <w:rPr>
                <w:rFonts w:ascii="Arial" w:eastAsia="Times New Roman" w:hAnsi="Arial" w:cs="Arial"/>
                <w:iCs/>
                <w:color w:val="000000"/>
                <w:sz w:val="17"/>
                <w:szCs w:val="17"/>
              </w:rPr>
            </w:pPr>
          </w:p>
        </w:tc>
        <w:tc>
          <w:tcPr>
            <w:tcW w:w="592" w:type="pct"/>
            <w:vAlign w:val="bottom"/>
          </w:tcPr>
          <w:p w14:paraId="59D0E293" w14:textId="77777777" w:rsidR="00145D68" w:rsidRPr="00F43653" w:rsidRDefault="00145D68" w:rsidP="008513B6">
            <w:pPr>
              <w:tabs>
                <w:tab w:val="right" w:pos="1202"/>
              </w:tabs>
              <w:spacing w:line="140" w:lineRule="exact"/>
              <w:jc w:val="right"/>
              <w:outlineLvl w:val="0"/>
              <w:rPr>
                <w:rFonts w:ascii="Arial" w:eastAsia="Times New Roman" w:hAnsi="Arial" w:cs="Arial"/>
                <w:b/>
                <w:bCs/>
                <w:color w:val="000000"/>
                <w:sz w:val="17"/>
                <w:szCs w:val="17"/>
              </w:rPr>
            </w:pPr>
          </w:p>
        </w:tc>
        <w:tc>
          <w:tcPr>
            <w:tcW w:w="593" w:type="pct"/>
            <w:vAlign w:val="bottom"/>
          </w:tcPr>
          <w:p w14:paraId="3D911671" w14:textId="77777777" w:rsidR="00145D68" w:rsidRPr="00F43653" w:rsidRDefault="00145D68" w:rsidP="008513B6">
            <w:pPr>
              <w:tabs>
                <w:tab w:val="right" w:pos="1202"/>
              </w:tabs>
              <w:spacing w:line="140" w:lineRule="exact"/>
              <w:jc w:val="right"/>
              <w:outlineLvl w:val="0"/>
              <w:rPr>
                <w:rFonts w:ascii="Arial" w:eastAsia="Times New Roman" w:hAnsi="Arial" w:cs="Arial"/>
                <w:b/>
                <w:bCs/>
                <w:color w:val="000000"/>
                <w:sz w:val="17"/>
                <w:szCs w:val="17"/>
              </w:rPr>
            </w:pPr>
          </w:p>
        </w:tc>
        <w:tc>
          <w:tcPr>
            <w:tcW w:w="592" w:type="pct"/>
            <w:vAlign w:val="bottom"/>
          </w:tcPr>
          <w:p w14:paraId="0216BC41" w14:textId="77777777" w:rsidR="00145D68" w:rsidRPr="00F43653" w:rsidRDefault="00145D68" w:rsidP="008513B6">
            <w:pPr>
              <w:tabs>
                <w:tab w:val="right" w:pos="1202"/>
              </w:tabs>
              <w:spacing w:line="140" w:lineRule="exact"/>
              <w:jc w:val="right"/>
              <w:outlineLvl w:val="0"/>
              <w:rPr>
                <w:rFonts w:ascii="Arial" w:eastAsia="Times New Roman" w:hAnsi="Arial" w:cs="Arial"/>
                <w:b/>
                <w:bCs/>
                <w:color w:val="000000"/>
                <w:sz w:val="17"/>
                <w:szCs w:val="17"/>
              </w:rPr>
            </w:pPr>
          </w:p>
        </w:tc>
        <w:tc>
          <w:tcPr>
            <w:tcW w:w="593" w:type="pct"/>
            <w:vAlign w:val="bottom"/>
          </w:tcPr>
          <w:p w14:paraId="3D40BCDD" w14:textId="77777777" w:rsidR="00145D68" w:rsidRPr="00F43653" w:rsidRDefault="00145D68" w:rsidP="008513B6">
            <w:pPr>
              <w:tabs>
                <w:tab w:val="right" w:pos="1202"/>
              </w:tabs>
              <w:spacing w:line="140" w:lineRule="exact"/>
              <w:jc w:val="right"/>
              <w:outlineLvl w:val="0"/>
              <w:rPr>
                <w:rFonts w:ascii="Arial" w:eastAsia="Times New Roman" w:hAnsi="Arial" w:cs="Arial"/>
                <w:b/>
                <w:bCs/>
                <w:color w:val="000000"/>
                <w:sz w:val="17"/>
                <w:szCs w:val="17"/>
              </w:rPr>
            </w:pPr>
          </w:p>
        </w:tc>
        <w:tc>
          <w:tcPr>
            <w:tcW w:w="592" w:type="pct"/>
            <w:vAlign w:val="bottom"/>
          </w:tcPr>
          <w:p w14:paraId="779A4D6A" w14:textId="77777777" w:rsidR="00145D68" w:rsidRPr="00F43653" w:rsidRDefault="00145D68" w:rsidP="008513B6">
            <w:pPr>
              <w:tabs>
                <w:tab w:val="right" w:pos="1202"/>
              </w:tabs>
              <w:spacing w:line="140" w:lineRule="exact"/>
              <w:jc w:val="right"/>
              <w:outlineLvl w:val="0"/>
              <w:rPr>
                <w:rFonts w:ascii="Arial" w:eastAsia="Times New Roman" w:hAnsi="Arial" w:cs="Arial"/>
                <w:b/>
                <w:bCs/>
                <w:color w:val="000000"/>
                <w:sz w:val="17"/>
                <w:szCs w:val="17"/>
              </w:rPr>
            </w:pPr>
          </w:p>
        </w:tc>
        <w:tc>
          <w:tcPr>
            <w:tcW w:w="593" w:type="pct"/>
            <w:vAlign w:val="bottom"/>
          </w:tcPr>
          <w:p w14:paraId="7598D843" w14:textId="77777777" w:rsidR="00145D68" w:rsidRPr="00F43653" w:rsidRDefault="00145D68" w:rsidP="008513B6">
            <w:pPr>
              <w:tabs>
                <w:tab w:val="right" w:pos="1202"/>
              </w:tabs>
              <w:spacing w:line="140" w:lineRule="exact"/>
              <w:jc w:val="right"/>
              <w:outlineLvl w:val="0"/>
              <w:rPr>
                <w:rFonts w:ascii="Arial" w:eastAsia="Times New Roman" w:hAnsi="Arial" w:cs="Arial"/>
                <w:b/>
                <w:bCs/>
                <w:color w:val="000000"/>
                <w:sz w:val="17"/>
                <w:szCs w:val="17"/>
              </w:rPr>
            </w:pPr>
          </w:p>
        </w:tc>
      </w:tr>
      <w:tr w:rsidR="00C53534" w:rsidRPr="00F43653" w14:paraId="0D758179" w14:textId="77777777" w:rsidTr="00583CF3">
        <w:trPr>
          <w:trHeight w:val="367"/>
        </w:trPr>
        <w:tc>
          <w:tcPr>
            <w:tcW w:w="1444" w:type="pct"/>
            <w:vAlign w:val="bottom"/>
          </w:tcPr>
          <w:p w14:paraId="2F3445C0" w14:textId="4E67D432" w:rsidR="00C53534" w:rsidRPr="00F43653" w:rsidRDefault="00C53534" w:rsidP="00C53534">
            <w:pPr>
              <w:tabs>
                <w:tab w:val="right" w:pos="1202"/>
              </w:tabs>
              <w:spacing w:line="240" w:lineRule="exact"/>
              <w:outlineLvl w:val="0"/>
              <w:rPr>
                <w:rFonts w:ascii="Arial" w:eastAsia="Times New Roman" w:hAnsi="Arial" w:cs="Arial"/>
                <w:b/>
                <w:iCs/>
                <w:color w:val="000000"/>
                <w:sz w:val="17"/>
                <w:szCs w:val="17"/>
              </w:rPr>
            </w:pPr>
            <w:bookmarkStart w:id="241" w:name="_Toc67327248"/>
            <w:r w:rsidRPr="00F43653">
              <w:rPr>
                <w:rFonts w:ascii="Arial" w:eastAsia="Times New Roman" w:hAnsi="Arial" w:cs="Arial"/>
                <w:b/>
                <w:iCs/>
                <w:color w:val="000000"/>
                <w:sz w:val="17"/>
                <w:szCs w:val="17"/>
              </w:rPr>
              <w:t>Stanje 1. siječnja 202</w:t>
            </w:r>
            <w:r>
              <w:rPr>
                <w:rFonts w:ascii="Arial" w:eastAsia="Times New Roman" w:hAnsi="Arial" w:cs="Arial"/>
                <w:b/>
                <w:iCs/>
                <w:color w:val="000000"/>
                <w:sz w:val="17"/>
                <w:szCs w:val="17"/>
              </w:rPr>
              <w:t>3</w:t>
            </w:r>
            <w:r w:rsidRPr="00F43653">
              <w:rPr>
                <w:rFonts w:ascii="Arial" w:eastAsia="Times New Roman" w:hAnsi="Arial" w:cs="Arial"/>
                <w:b/>
                <w:iCs/>
                <w:color w:val="000000"/>
                <w:sz w:val="17"/>
                <w:szCs w:val="17"/>
              </w:rPr>
              <w:t>.</w:t>
            </w:r>
            <w:bookmarkEnd w:id="241"/>
            <w:r w:rsidRPr="00F43653">
              <w:rPr>
                <w:rFonts w:ascii="Arial" w:eastAsia="Times New Roman" w:hAnsi="Arial" w:cs="Arial"/>
                <w:b/>
                <w:iCs/>
                <w:color w:val="000000"/>
                <w:sz w:val="17"/>
                <w:szCs w:val="17"/>
              </w:rPr>
              <w:t xml:space="preserve"> </w:t>
            </w:r>
          </w:p>
        </w:tc>
        <w:tc>
          <w:tcPr>
            <w:tcW w:w="592" w:type="pct"/>
            <w:tcBorders>
              <w:left w:val="nil"/>
              <w:bottom w:val="single" w:sz="12" w:space="0" w:color="auto"/>
              <w:right w:val="nil"/>
            </w:tcBorders>
            <w:shd w:val="clear" w:color="auto" w:fill="auto"/>
            <w:vAlign w:val="bottom"/>
          </w:tcPr>
          <w:p w14:paraId="03649698" w14:textId="44C5D8CC" w:rsidR="00C53534" w:rsidRPr="00F43653" w:rsidRDefault="00C53534" w:rsidP="00C53534">
            <w:pPr>
              <w:tabs>
                <w:tab w:val="right" w:pos="1202"/>
              </w:tabs>
              <w:spacing w:line="301" w:lineRule="exact"/>
              <w:jc w:val="right"/>
              <w:outlineLvl w:val="0"/>
              <w:rPr>
                <w:rFonts w:ascii="Arial" w:eastAsia="Times New Roman" w:hAnsi="Arial" w:cs="Arial"/>
                <w:b/>
                <w:iCs/>
                <w:color w:val="000000"/>
                <w:sz w:val="17"/>
                <w:szCs w:val="17"/>
              </w:rPr>
            </w:pPr>
            <w:r w:rsidRPr="00F43653">
              <w:rPr>
                <w:rFonts w:ascii="Arial" w:hAnsi="Arial" w:cs="Arial"/>
                <w:b/>
                <w:bCs/>
                <w:sz w:val="17"/>
                <w:szCs w:val="17"/>
              </w:rPr>
              <w:t xml:space="preserve"> 956.219 </w:t>
            </w:r>
          </w:p>
        </w:tc>
        <w:tc>
          <w:tcPr>
            <w:tcW w:w="593" w:type="pct"/>
            <w:tcBorders>
              <w:left w:val="nil"/>
              <w:bottom w:val="single" w:sz="12" w:space="0" w:color="auto"/>
              <w:right w:val="nil"/>
            </w:tcBorders>
            <w:shd w:val="clear" w:color="auto" w:fill="auto"/>
            <w:vAlign w:val="bottom"/>
          </w:tcPr>
          <w:p w14:paraId="44F1EF67" w14:textId="222C4406" w:rsidR="00C53534" w:rsidRPr="00F43653" w:rsidRDefault="00C53534" w:rsidP="00C53534">
            <w:pPr>
              <w:tabs>
                <w:tab w:val="right" w:pos="1202"/>
              </w:tabs>
              <w:spacing w:line="301" w:lineRule="exact"/>
              <w:jc w:val="right"/>
              <w:outlineLvl w:val="0"/>
              <w:rPr>
                <w:rFonts w:ascii="Arial" w:eastAsia="Times New Roman" w:hAnsi="Arial" w:cs="Arial"/>
                <w:b/>
                <w:iCs/>
                <w:color w:val="000000"/>
                <w:sz w:val="17"/>
                <w:szCs w:val="17"/>
              </w:rPr>
            </w:pPr>
            <w:r w:rsidRPr="00F43653">
              <w:rPr>
                <w:rFonts w:ascii="Arial" w:hAnsi="Arial" w:cs="Arial"/>
                <w:b/>
                <w:bCs/>
                <w:sz w:val="17"/>
                <w:szCs w:val="17"/>
              </w:rPr>
              <w:t xml:space="preserve"> 443.404 </w:t>
            </w:r>
          </w:p>
        </w:tc>
        <w:tc>
          <w:tcPr>
            <w:tcW w:w="592" w:type="pct"/>
            <w:tcBorders>
              <w:left w:val="nil"/>
              <w:bottom w:val="single" w:sz="12" w:space="0" w:color="auto"/>
              <w:right w:val="nil"/>
            </w:tcBorders>
            <w:shd w:val="clear" w:color="auto" w:fill="auto"/>
            <w:vAlign w:val="bottom"/>
          </w:tcPr>
          <w:p w14:paraId="107A2660" w14:textId="33BEEC53" w:rsidR="00C53534" w:rsidRPr="00F43653" w:rsidRDefault="00C53534" w:rsidP="00C53534">
            <w:pPr>
              <w:tabs>
                <w:tab w:val="right" w:pos="1202"/>
              </w:tabs>
              <w:spacing w:line="301" w:lineRule="exact"/>
              <w:jc w:val="right"/>
              <w:outlineLvl w:val="0"/>
              <w:rPr>
                <w:rFonts w:ascii="Arial" w:eastAsia="Times New Roman" w:hAnsi="Arial" w:cs="Arial"/>
                <w:b/>
                <w:iCs/>
                <w:color w:val="000000"/>
                <w:sz w:val="17"/>
                <w:szCs w:val="17"/>
              </w:rPr>
            </w:pPr>
            <w:r w:rsidRPr="00F43653">
              <w:rPr>
                <w:rFonts w:ascii="Arial" w:hAnsi="Arial" w:cs="Arial"/>
                <w:b/>
                <w:bCs/>
                <w:sz w:val="17"/>
                <w:szCs w:val="17"/>
              </w:rPr>
              <w:t xml:space="preserve"> (4.429)</w:t>
            </w:r>
          </w:p>
        </w:tc>
        <w:tc>
          <w:tcPr>
            <w:tcW w:w="593" w:type="pct"/>
            <w:tcBorders>
              <w:left w:val="nil"/>
              <w:bottom w:val="single" w:sz="12" w:space="0" w:color="auto"/>
              <w:right w:val="nil"/>
            </w:tcBorders>
            <w:shd w:val="clear" w:color="auto" w:fill="auto"/>
            <w:vAlign w:val="bottom"/>
          </w:tcPr>
          <w:p w14:paraId="391EF031" w14:textId="5AAF91B9" w:rsidR="00C53534" w:rsidRPr="00F43653" w:rsidRDefault="00C53534" w:rsidP="00C53534">
            <w:pPr>
              <w:tabs>
                <w:tab w:val="right" w:pos="1202"/>
              </w:tabs>
              <w:spacing w:line="301" w:lineRule="exact"/>
              <w:jc w:val="right"/>
              <w:outlineLvl w:val="0"/>
              <w:rPr>
                <w:rFonts w:ascii="Arial" w:eastAsia="Times New Roman" w:hAnsi="Arial" w:cs="Arial"/>
                <w:b/>
                <w:iCs/>
                <w:color w:val="000000"/>
                <w:sz w:val="17"/>
                <w:szCs w:val="17"/>
              </w:rPr>
            </w:pPr>
            <w:r w:rsidRPr="00F43653">
              <w:rPr>
                <w:rFonts w:ascii="Arial" w:hAnsi="Arial" w:cs="Arial"/>
                <w:b/>
                <w:bCs/>
                <w:sz w:val="17"/>
                <w:szCs w:val="17"/>
              </w:rPr>
              <w:t xml:space="preserve"> 24.709 </w:t>
            </w:r>
          </w:p>
        </w:tc>
        <w:tc>
          <w:tcPr>
            <w:tcW w:w="592" w:type="pct"/>
            <w:tcBorders>
              <w:left w:val="nil"/>
              <w:bottom w:val="single" w:sz="12" w:space="0" w:color="auto"/>
              <w:right w:val="nil"/>
            </w:tcBorders>
            <w:shd w:val="clear" w:color="auto" w:fill="auto"/>
            <w:vAlign w:val="bottom"/>
          </w:tcPr>
          <w:p w14:paraId="72F14DEE" w14:textId="02B4394F" w:rsidR="00C53534" w:rsidRPr="00F43653" w:rsidRDefault="00C53534" w:rsidP="00C53534">
            <w:pPr>
              <w:tabs>
                <w:tab w:val="right" w:pos="1202"/>
              </w:tabs>
              <w:spacing w:line="301" w:lineRule="exact"/>
              <w:jc w:val="right"/>
              <w:outlineLvl w:val="0"/>
              <w:rPr>
                <w:rFonts w:ascii="Arial" w:eastAsia="Times New Roman" w:hAnsi="Arial" w:cs="Arial"/>
                <w:b/>
                <w:bCs/>
                <w:color w:val="000000"/>
                <w:sz w:val="17"/>
                <w:szCs w:val="17"/>
              </w:rPr>
            </w:pPr>
            <w:r w:rsidRPr="00F43653">
              <w:rPr>
                <w:rFonts w:ascii="Arial" w:hAnsi="Arial" w:cs="Arial"/>
                <w:b/>
                <w:bCs/>
                <w:sz w:val="17"/>
                <w:szCs w:val="17"/>
              </w:rPr>
              <w:t xml:space="preserve"> 1.638 </w:t>
            </w:r>
          </w:p>
        </w:tc>
        <w:tc>
          <w:tcPr>
            <w:tcW w:w="593" w:type="pct"/>
            <w:tcBorders>
              <w:left w:val="nil"/>
              <w:bottom w:val="single" w:sz="12" w:space="0" w:color="auto"/>
              <w:right w:val="nil"/>
            </w:tcBorders>
            <w:shd w:val="clear" w:color="auto" w:fill="auto"/>
            <w:vAlign w:val="bottom"/>
          </w:tcPr>
          <w:p w14:paraId="2E47A444" w14:textId="4912D56C" w:rsidR="00C53534" w:rsidRPr="00F43653" w:rsidRDefault="00C53534" w:rsidP="00C53534">
            <w:pPr>
              <w:tabs>
                <w:tab w:val="right" w:pos="1202"/>
              </w:tabs>
              <w:spacing w:line="301" w:lineRule="exact"/>
              <w:jc w:val="right"/>
              <w:outlineLvl w:val="0"/>
              <w:rPr>
                <w:rFonts w:ascii="Arial" w:eastAsia="Times New Roman" w:hAnsi="Arial" w:cs="Arial"/>
                <w:b/>
                <w:iCs/>
                <w:color w:val="000000"/>
                <w:sz w:val="17"/>
                <w:szCs w:val="17"/>
              </w:rPr>
            </w:pPr>
            <w:r w:rsidRPr="00F43653">
              <w:rPr>
                <w:rFonts w:ascii="Arial" w:hAnsi="Arial" w:cs="Arial"/>
                <w:b/>
                <w:bCs/>
                <w:sz w:val="17"/>
                <w:szCs w:val="17"/>
              </w:rPr>
              <w:t xml:space="preserve"> 1.421.541 </w:t>
            </w:r>
          </w:p>
        </w:tc>
      </w:tr>
      <w:tr w:rsidR="00C53534" w:rsidRPr="00F43653" w14:paraId="752B135B" w14:textId="77777777" w:rsidTr="007478FB">
        <w:trPr>
          <w:trHeight w:hRule="exact" w:val="331"/>
        </w:trPr>
        <w:tc>
          <w:tcPr>
            <w:tcW w:w="1444" w:type="pct"/>
            <w:vAlign w:val="bottom"/>
          </w:tcPr>
          <w:p w14:paraId="6FF4BE58" w14:textId="05CDABB0" w:rsidR="00C53534" w:rsidRPr="00F43653" w:rsidRDefault="00C53534" w:rsidP="00C53534">
            <w:pPr>
              <w:tabs>
                <w:tab w:val="right" w:pos="1202"/>
              </w:tabs>
              <w:spacing w:line="240" w:lineRule="exact"/>
              <w:outlineLvl w:val="0"/>
              <w:rPr>
                <w:rFonts w:ascii="Arial" w:eastAsia="Times New Roman" w:hAnsi="Arial" w:cs="Arial"/>
                <w:iCs/>
                <w:color w:val="000000"/>
                <w:sz w:val="17"/>
                <w:szCs w:val="17"/>
              </w:rPr>
            </w:pPr>
            <w:bookmarkStart w:id="242" w:name="_Toc67327255"/>
            <w:r w:rsidRPr="00F43653">
              <w:rPr>
                <w:rFonts w:ascii="Arial" w:eastAsia="Times New Roman" w:hAnsi="Arial" w:cs="Arial"/>
                <w:iCs/>
                <w:color w:val="000000"/>
                <w:sz w:val="17"/>
                <w:szCs w:val="17"/>
              </w:rPr>
              <w:t xml:space="preserve">Dobit tekućeg </w:t>
            </w:r>
            <w:bookmarkEnd w:id="242"/>
            <w:r w:rsidRPr="00F43653">
              <w:rPr>
                <w:rFonts w:ascii="Arial" w:eastAsia="Times New Roman" w:hAnsi="Arial" w:cs="Arial"/>
                <w:iCs/>
                <w:color w:val="000000"/>
                <w:sz w:val="17"/>
                <w:szCs w:val="17"/>
              </w:rPr>
              <w:t>razdoblja</w:t>
            </w:r>
          </w:p>
        </w:tc>
        <w:tc>
          <w:tcPr>
            <w:tcW w:w="592" w:type="pct"/>
            <w:tcBorders>
              <w:top w:val="single" w:sz="12" w:space="0" w:color="auto"/>
              <w:left w:val="nil"/>
              <w:bottom w:val="nil"/>
              <w:right w:val="nil"/>
            </w:tcBorders>
            <w:shd w:val="clear" w:color="auto" w:fill="auto"/>
            <w:vAlign w:val="bottom"/>
          </w:tcPr>
          <w:p w14:paraId="1B372970" w14:textId="76EAC1D6" w:rsidR="00C53534" w:rsidRPr="00F43653" w:rsidRDefault="00C53534" w:rsidP="00C53534">
            <w:pPr>
              <w:tabs>
                <w:tab w:val="right" w:pos="1202"/>
              </w:tabs>
              <w:spacing w:line="301" w:lineRule="exact"/>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93" w:type="pct"/>
            <w:tcBorders>
              <w:top w:val="single" w:sz="12" w:space="0" w:color="auto"/>
              <w:left w:val="nil"/>
              <w:bottom w:val="nil"/>
              <w:right w:val="nil"/>
            </w:tcBorders>
            <w:shd w:val="clear" w:color="auto" w:fill="auto"/>
            <w:vAlign w:val="bottom"/>
          </w:tcPr>
          <w:p w14:paraId="2E3D5DB8" w14:textId="595206BF" w:rsidR="00C53534" w:rsidRPr="00F43653" w:rsidRDefault="00C53534" w:rsidP="00C53534">
            <w:pPr>
              <w:tabs>
                <w:tab w:val="right" w:pos="1202"/>
              </w:tabs>
              <w:spacing w:line="301" w:lineRule="exact"/>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92" w:type="pct"/>
            <w:tcBorders>
              <w:top w:val="single" w:sz="12" w:space="0" w:color="auto"/>
              <w:left w:val="nil"/>
              <w:bottom w:val="nil"/>
              <w:right w:val="nil"/>
            </w:tcBorders>
            <w:shd w:val="clear" w:color="auto" w:fill="auto"/>
            <w:vAlign w:val="bottom"/>
          </w:tcPr>
          <w:p w14:paraId="03411FE2" w14:textId="4B7287EC" w:rsidR="00C53534" w:rsidRPr="00F43653" w:rsidRDefault="00C53534" w:rsidP="00C53534">
            <w:pPr>
              <w:tabs>
                <w:tab w:val="right" w:pos="1202"/>
              </w:tabs>
              <w:spacing w:line="301" w:lineRule="exact"/>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93" w:type="pct"/>
            <w:tcBorders>
              <w:top w:val="single" w:sz="12" w:space="0" w:color="auto"/>
              <w:left w:val="nil"/>
              <w:bottom w:val="nil"/>
              <w:right w:val="nil"/>
            </w:tcBorders>
            <w:shd w:val="clear" w:color="auto" w:fill="auto"/>
            <w:vAlign w:val="bottom"/>
          </w:tcPr>
          <w:p w14:paraId="7470D1E1" w14:textId="284AE8DC" w:rsidR="00C53534" w:rsidRPr="00F43653" w:rsidRDefault="00C53534" w:rsidP="00C53534">
            <w:pPr>
              <w:tabs>
                <w:tab w:val="right" w:pos="1202"/>
              </w:tabs>
              <w:spacing w:line="301" w:lineRule="exact"/>
              <w:jc w:val="right"/>
              <w:outlineLvl w:val="0"/>
              <w:rPr>
                <w:rFonts w:ascii="Arial" w:eastAsia="Times New Roman" w:hAnsi="Arial" w:cs="Arial"/>
                <w:iCs/>
                <w:color w:val="000000"/>
                <w:sz w:val="17"/>
                <w:szCs w:val="17"/>
              </w:rPr>
            </w:pPr>
            <w:r w:rsidRPr="00FF3B1A">
              <w:rPr>
                <w:rFonts w:ascii="Arial" w:eastAsia="Times New Roman" w:hAnsi="Arial" w:cs="Arial"/>
                <w:iCs/>
                <w:color w:val="000000"/>
                <w:sz w:val="17"/>
                <w:szCs w:val="17"/>
              </w:rPr>
              <w:t>50.386</w:t>
            </w:r>
          </w:p>
        </w:tc>
        <w:tc>
          <w:tcPr>
            <w:tcW w:w="592" w:type="pct"/>
            <w:tcBorders>
              <w:top w:val="single" w:sz="12" w:space="0" w:color="auto"/>
              <w:left w:val="nil"/>
              <w:bottom w:val="nil"/>
              <w:right w:val="nil"/>
            </w:tcBorders>
            <w:shd w:val="clear" w:color="auto" w:fill="auto"/>
            <w:vAlign w:val="bottom"/>
          </w:tcPr>
          <w:p w14:paraId="27308819" w14:textId="4D10207D" w:rsidR="00C53534" w:rsidRPr="00F43653" w:rsidRDefault="00C53534" w:rsidP="00C53534">
            <w:pPr>
              <w:tabs>
                <w:tab w:val="right" w:pos="1202"/>
              </w:tabs>
              <w:spacing w:line="301" w:lineRule="exact"/>
              <w:jc w:val="right"/>
              <w:outlineLvl w:val="0"/>
              <w:rPr>
                <w:rFonts w:ascii="Arial" w:eastAsia="Times New Roman" w:hAnsi="Arial" w:cs="Arial"/>
                <w:color w:val="000000"/>
                <w:sz w:val="17"/>
                <w:szCs w:val="17"/>
              </w:rPr>
            </w:pPr>
            <w:r>
              <w:rPr>
                <w:rFonts w:ascii="Arial" w:eastAsia="Times New Roman" w:hAnsi="Arial" w:cs="Arial"/>
                <w:iCs/>
                <w:color w:val="000000"/>
                <w:sz w:val="17"/>
                <w:szCs w:val="17"/>
              </w:rPr>
              <w:t>-</w:t>
            </w:r>
          </w:p>
        </w:tc>
        <w:tc>
          <w:tcPr>
            <w:tcW w:w="593" w:type="pct"/>
            <w:tcBorders>
              <w:top w:val="single" w:sz="12" w:space="0" w:color="auto"/>
              <w:left w:val="nil"/>
              <w:bottom w:val="nil"/>
              <w:right w:val="nil"/>
            </w:tcBorders>
            <w:shd w:val="clear" w:color="auto" w:fill="auto"/>
            <w:vAlign w:val="bottom"/>
          </w:tcPr>
          <w:p w14:paraId="0BE1EC18" w14:textId="712730B3" w:rsidR="00C53534" w:rsidRPr="00E40F4A" w:rsidRDefault="00C53534" w:rsidP="00C53534">
            <w:pPr>
              <w:tabs>
                <w:tab w:val="right" w:pos="1202"/>
              </w:tabs>
              <w:spacing w:line="301" w:lineRule="exact"/>
              <w:jc w:val="right"/>
              <w:outlineLvl w:val="0"/>
              <w:rPr>
                <w:rFonts w:ascii="Arial" w:eastAsia="Times New Roman" w:hAnsi="Arial" w:cs="Arial"/>
                <w:b/>
                <w:bCs/>
                <w:iCs/>
                <w:color w:val="000000"/>
                <w:sz w:val="17"/>
                <w:szCs w:val="17"/>
              </w:rPr>
            </w:pPr>
            <w:r w:rsidRPr="00FF3B1A">
              <w:rPr>
                <w:rFonts w:ascii="Arial" w:eastAsia="Times New Roman" w:hAnsi="Arial" w:cs="Arial"/>
                <w:b/>
                <w:iCs/>
                <w:color w:val="000000"/>
                <w:sz w:val="17"/>
                <w:szCs w:val="17"/>
              </w:rPr>
              <w:t>50.386</w:t>
            </w:r>
          </w:p>
        </w:tc>
      </w:tr>
      <w:tr w:rsidR="00C53534" w:rsidRPr="00F43653" w14:paraId="7D8D9BE6" w14:textId="77777777" w:rsidTr="007478FB">
        <w:trPr>
          <w:trHeight w:hRule="exact" w:val="343"/>
        </w:trPr>
        <w:tc>
          <w:tcPr>
            <w:tcW w:w="1444" w:type="pct"/>
            <w:vAlign w:val="bottom"/>
          </w:tcPr>
          <w:p w14:paraId="10928492" w14:textId="77777777" w:rsidR="00C53534" w:rsidRPr="00F43653" w:rsidRDefault="00C53534" w:rsidP="00C53534">
            <w:pPr>
              <w:tabs>
                <w:tab w:val="right" w:pos="1202"/>
              </w:tabs>
              <w:spacing w:line="240" w:lineRule="exact"/>
              <w:outlineLvl w:val="0"/>
              <w:rPr>
                <w:rFonts w:ascii="Arial" w:eastAsia="Times New Roman" w:hAnsi="Arial" w:cs="Arial"/>
                <w:iCs/>
                <w:color w:val="000000"/>
                <w:sz w:val="17"/>
                <w:szCs w:val="17"/>
              </w:rPr>
            </w:pPr>
            <w:bookmarkStart w:id="243" w:name="_Toc67327262"/>
            <w:r w:rsidRPr="00F43653">
              <w:rPr>
                <w:rFonts w:ascii="Arial" w:eastAsia="Times New Roman" w:hAnsi="Arial" w:cs="Arial"/>
                <w:iCs/>
                <w:color w:val="000000"/>
                <w:sz w:val="17"/>
                <w:szCs w:val="17"/>
              </w:rPr>
              <w:t>Ostala sveobuhvatna dobit</w:t>
            </w:r>
            <w:bookmarkEnd w:id="243"/>
          </w:p>
        </w:tc>
        <w:tc>
          <w:tcPr>
            <w:tcW w:w="592" w:type="pct"/>
            <w:tcBorders>
              <w:top w:val="nil"/>
              <w:left w:val="nil"/>
              <w:bottom w:val="single" w:sz="4" w:space="0" w:color="auto"/>
              <w:right w:val="nil"/>
            </w:tcBorders>
            <w:shd w:val="clear" w:color="auto" w:fill="auto"/>
            <w:vAlign w:val="bottom"/>
          </w:tcPr>
          <w:p w14:paraId="5FF487EA" w14:textId="78533D55" w:rsidR="00C53534" w:rsidRPr="00F43653" w:rsidRDefault="00C53534" w:rsidP="00C53534">
            <w:pPr>
              <w:tabs>
                <w:tab w:val="right" w:pos="1202"/>
              </w:tabs>
              <w:spacing w:line="301" w:lineRule="exact"/>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93" w:type="pct"/>
            <w:tcBorders>
              <w:top w:val="nil"/>
              <w:left w:val="nil"/>
              <w:bottom w:val="single" w:sz="4" w:space="0" w:color="auto"/>
              <w:right w:val="nil"/>
            </w:tcBorders>
            <w:shd w:val="clear" w:color="auto" w:fill="auto"/>
            <w:vAlign w:val="bottom"/>
          </w:tcPr>
          <w:p w14:paraId="430F02A9" w14:textId="34BEF21B" w:rsidR="00C53534" w:rsidRPr="00F43653" w:rsidRDefault="00C53534" w:rsidP="00C53534">
            <w:pPr>
              <w:tabs>
                <w:tab w:val="right" w:pos="1202"/>
              </w:tabs>
              <w:spacing w:line="301" w:lineRule="exact"/>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92" w:type="pct"/>
            <w:tcBorders>
              <w:top w:val="nil"/>
              <w:left w:val="nil"/>
              <w:bottom w:val="single" w:sz="4" w:space="0" w:color="auto"/>
              <w:right w:val="nil"/>
            </w:tcBorders>
            <w:shd w:val="clear" w:color="auto" w:fill="auto"/>
            <w:vAlign w:val="bottom"/>
          </w:tcPr>
          <w:p w14:paraId="31E5E164" w14:textId="60B21DEF" w:rsidR="00C53534" w:rsidRPr="00F43653" w:rsidRDefault="00C53534" w:rsidP="00C53534">
            <w:pPr>
              <w:tabs>
                <w:tab w:val="right" w:pos="1202"/>
              </w:tabs>
              <w:spacing w:line="301" w:lineRule="exact"/>
              <w:jc w:val="right"/>
              <w:outlineLvl w:val="0"/>
              <w:rPr>
                <w:rFonts w:ascii="Arial" w:eastAsia="Times New Roman" w:hAnsi="Arial" w:cs="Arial"/>
                <w:iCs/>
                <w:color w:val="000000"/>
                <w:sz w:val="17"/>
                <w:szCs w:val="17"/>
              </w:rPr>
            </w:pPr>
            <w:r w:rsidRPr="00FF3B1A">
              <w:rPr>
                <w:rFonts w:ascii="Arial" w:eastAsia="Times New Roman" w:hAnsi="Arial" w:cs="Arial"/>
                <w:iCs/>
                <w:color w:val="000000"/>
                <w:sz w:val="17"/>
                <w:szCs w:val="17"/>
              </w:rPr>
              <w:t>698</w:t>
            </w:r>
          </w:p>
        </w:tc>
        <w:tc>
          <w:tcPr>
            <w:tcW w:w="593" w:type="pct"/>
            <w:tcBorders>
              <w:top w:val="nil"/>
              <w:left w:val="nil"/>
              <w:bottom w:val="single" w:sz="4" w:space="0" w:color="auto"/>
              <w:right w:val="nil"/>
            </w:tcBorders>
            <w:shd w:val="clear" w:color="auto" w:fill="auto"/>
            <w:vAlign w:val="bottom"/>
          </w:tcPr>
          <w:p w14:paraId="5B04848E" w14:textId="477682B5" w:rsidR="00C53534" w:rsidRPr="00F43653" w:rsidRDefault="00C53534" w:rsidP="00C53534">
            <w:pPr>
              <w:tabs>
                <w:tab w:val="right" w:pos="1202"/>
              </w:tabs>
              <w:spacing w:line="301" w:lineRule="exact"/>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92" w:type="pct"/>
            <w:tcBorders>
              <w:top w:val="nil"/>
              <w:left w:val="nil"/>
              <w:bottom w:val="single" w:sz="4" w:space="0" w:color="auto"/>
              <w:right w:val="nil"/>
            </w:tcBorders>
            <w:shd w:val="clear" w:color="auto" w:fill="auto"/>
            <w:vAlign w:val="bottom"/>
          </w:tcPr>
          <w:p w14:paraId="575E2383" w14:textId="01A7A8BF" w:rsidR="00C53534" w:rsidRPr="00F43653" w:rsidRDefault="00C53534" w:rsidP="00C53534">
            <w:pPr>
              <w:tabs>
                <w:tab w:val="right" w:pos="1202"/>
              </w:tabs>
              <w:spacing w:line="301" w:lineRule="exact"/>
              <w:jc w:val="right"/>
              <w:outlineLvl w:val="0"/>
              <w:rPr>
                <w:rFonts w:ascii="Arial" w:eastAsia="Times New Roman" w:hAnsi="Arial" w:cs="Arial"/>
                <w:color w:val="000000"/>
                <w:sz w:val="17"/>
                <w:szCs w:val="17"/>
              </w:rPr>
            </w:pPr>
            <w:r>
              <w:rPr>
                <w:rFonts w:ascii="Arial" w:eastAsia="Times New Roman" w:hAnsi="Arial" w:cs="Arial"/>
                <w:iCs/>
                <w:color w:val="000000"/>
                <w:sz w:val="17"/>
                <w:szCs w:val="17"/>
              </w:rPr>
              <w:t>-</w:t>
            </w:r>
          </w:p>
        </w:tc>
        <w:tc>
          <w:tcPr>
            <w:tcW w:w="593" w:type="pct"/>
            <w:tcBorders>
              <w:top w:val="nil"/>
              <w:left w:val="nil"/>
              <w:bottom w:val="single" w:sz="4" w:space="0" w:color="auto"/>
              <w:right w:val="nil"/>
            </w:tcBorders>
            <w:shd w:val="clear" w:color="auto" w:fill="auto"/>
            <w:vAlign w:val="bottom"/>
          </w:tcPr>
          <w:p w14:paraId="51852FF5" w14:textId="05A611DE" w:rsidR="00C53534" w:rsidRPr="00E40F4A" w:rsidRDefault="00C53534" w:rsidP="00C53534">
            <w:pPr>
              <w:tabs>
                <w:tab w:val="right" w:pos="1202"/>
              </w:tabs>
              <w:spacing w:line="301" w:lineRule="exact"/>
              <w:jc w:val="right"/>
              <w:outlineLvl w:val="0"/>
              <w:rPr>
                <w:rFonts w:ascii="Arial" w:eastAsia="Times New Roman" w:hAnsi="Arial" w:cs="Arial"/>
                <w:b/>
                <w:bCs/>
                <w:iCs/>
                <w:color w:val="000000"/>
                <w:sz w:val="17"/>
                <w:szCs w:val="17"/>
              </w:rPr>
            </w:pPr>
            <w:r w:rsidRPr="00FF3B1A">
              <w:rPr>
                <w:rFonts w:ascii="Arial" w:eastAsia="Times New Roman" w:hAnsi="Arial" w:cs="Arial"/>
                <w:b/>
                <w:iCs/>
                <w:color w:val="000000"/>
                <w:sz w:val="17"/>
                <w:szCs w:val="17"/>
              </w:rPr>
              <w:t>698</w:t>
            </w:r>
          </w:p>
        </w:tc>
      </w:tr>
      <w:tr w:rsidR="00C53534" w:rsidRPr="00F43653" w14:paraId="6DFDE8B2" w14:textId="77777777" w:rsidTr="007478FB">
        <w:trPr>
          <w:trHeight w:val="227"/>
        </w:trPr>
        <w:tc>
          <w:tcPr>
            <w:tcW w:w="1444" w:type="pct"/>
            <w:vAlign w:val="bottom"/>
          </w:tcPr>
          <w:p w14:paraId="3CA2B4DA" w14:textId="77777777" w:rsidR="00C53534" w:rsidRPr="00F43653" w:rsidRDefault="00C53534" w:rsidP="00C53534">
            <w:pPr>
              <w:tabs>
                <w:tab w:val="right" w:pos="1202"/>
              </w:tabs>
              <w:spacing w:line="240" w:lineRule="exact"/>
              <w:outlineLvl w:val="0"/>
              <w:rPr>
                <w:rFonts w:ascii="Arial" w:eastAsia="Times New Roman" w:hAnsi="Arial" w:cs="Arial"/>
                <w:iCs/>
                <w:color w:val="000000"/>
                <w:sz w:val="17"/>
                <w:szCs w:val="17"/>
              </w:rPr>
            </w:pPr>
            <w:bookmarkStart w:id="244" w:name="_Toc67327269"/>
            <w:r w:rsidRPr="00F43653">
              <w:rPr>
                <w:rFonts w:ascii="Arial" w:eastAsia="Times New Roman" w:hAnsi="Arial" w:cs="Arial"/>
                <w:iCs/>
                <w:color w:val="000000"/>
                <w:sz w:val="17"/>
                <w:szCs w:val="17"/>
              </w:rPr>
              <w:t>Ukupna sveobuhvatna dobit</w:t>
            </w:r>
            <w:bookmarkEnd w:id="244"/>
          </w:p>
        </w:tc>
        <w:tc>
          <w:tcPr>
            <w:tcW w:w="592" w:type="pct"/>
            <w:tcBorders>
              <w:top w:val="nil"/>
              <w:left w:val="nil"/>
              <w:bottom w:val="single" w:sz="4" w:space="0" w:color="auto"/>
              <w:right w:val="nil"/>
            </w:tcBorders>
            <w:shd w:val="clear" w:color="auto" w:fill="auto"/>
            <w:vAlign w:val="bottom"/>
          </w:tcPr>
          <w:p w14:paraId="4900D10F" w14:textId="09665D21" w:rsidR="00C53534" w:rsidRPr="00F43653" w:rsidRDefault="00C53534" w:rsidP="00C53534">
            <w:pPr>
              <w:tabs>
                <w:tab w:val="right" w:pos="1202"/>
              </w:tabs>
              <w:spacing w:line="301" w:lineRule="exact"/>
              <w:jc w:val="right"/>
              <w:outlineLvl w:val="0"/>
              <w:rPr>
                <w:rFonts w:ascii="Arial" w:eastAsia="Times New Roman" w:hAnsi="Arial" w:cs="Arial"/>
                <w:b/>
                <w:bCs/>
                <w:iCs/>
                <w:color w:val="000000"/>
                <w:sz w:val="17"/>
                <w:szCs w:val="17"/>
              </w:rPr>
            </w:pPr>
            <w:r>
              <w:rPr>
                <w:rFonts w:ascii="Arial" w:eastAsia="Times New Roman" w:hAnsi="Arial" w:cs="Arial"/>
                <w:iCs/>
                <w:color w:val="000000"/>
                <w:sz w:val="17"/>
                <w:szCs w:val="17"/>
              </w:rPr>
              <w:t>-</w:t>
            </w:r>
          </w:p>
        </w:tc>
        <w:tc>
          <w:tcPr>
            <w:tcW w:w="593" w:type="pct"/>
            <w:tcBorders>
              <w:top w:val="nil"/>
              <w:left w:val="nil"/>
              <w:bottom w:val="single" w:sz="4" w:space="0" w:color="auto"/>
              <w:right w:val="nil"/>
            </w:tcBorders>
            <w:shd w:val="clear" w:color="auto" w:fill="auto"/>
            <w:vAlign w:val="bottom"/>
          </w:tcPr>
          <w:p w14:paraId="3F60F953" w14:textId="65AEC12B" w:rsidR="00C53534" w:rsidRPr="00F43653" w:rsidRDefault="00C53534" w:rsidP="00C53534">
            <w:pPr>
              <w:tabs>
                <w:tab w:val="right" w:pos="1202"/>
              </w:tabs>
              <w:spacing w:line="301" w:lineRule="exact"/>
              <w:jc w:val="right"/>
              <w:outlineLvl w:val="0"/>
              <w:rPr>
                <w:rFonts w:ascii="Arial" w:eastAsia="Times New Roman" w:hAnsi="Arial" w:cs="Arial"/>
                <w:b/>
                <w:bCs/>
                <w:iCs/>
                <w:color w:val="000000"/>
                <w:sz w:val="17"/>
                <w:szCs w:val="17"/>
              </w:rPr>
            </w:pPr>
            <w:r>
              <w:rPr>
                <w:rFonts w:ascii="Arial" w:eastAsia="Times New Roman" w:hAnsi="Arial" w:cs="Arial"/>
                <w:iCs/>
                <w:color w:val="000000"/>
                <w:sz w:val="17"/>
                <w:szCs w:val="17"/>
              </w:rPr>
              <w:t>-</w:t>
            </w:r>
          </w:p>
        </w:tc>
        <w:tc>
          <w:tcPr>
            <w:tcW w:w="592" w:type="pct"/>
            <w:tcBorders>
              <w:top w:val="nil"/>
              <w:left w:val="nil"/>
              <w:bottom w:val="single" w:sz="4" w:space="0" w:color="auto"/>
              <w:right w:val="nil"/>
            </w:tcBorders>
            <w:shd w:val="clear" w:color="auto" w:fill="auto"/>
            <w:vAlign w:val="bottom"/>
          </w:tcPr>
          <w:p w14:paraId="0649CCEF" w14:textId="2B06053C" w:rsidR="00C53534" w:rsidRPr="00F43653" w:rsidRDefault="00C53534" w:rsidP="00C53534">
            <w:pPr>
              <w:tabs>
                <w:tab w:val="right" w:pos="1202"/>
              </w:tabs>
              <w:spacing w:line="301" w:lineRule="exact"/>
              <w:jc w:val="right"/>
              <w:outlineLvl w:val="0"/>
              <w:rPr>
                <w:rFonts w:ascii="Arial" w:eastAsia="Times New Roman" w:hAnsi="Arial" w:cs="Arial"/>
                <w:b/>
                <w:bCs/>
                <w:iCs/>
                <w:color w:val="000000"/>
                <w:sz w:val="17"/>
                <w:szCs w:val="17"/>
              </w:rPr>
            </w:pPr>
            <w:r w:rsidRPr="00FF3B1A">
              <w:rPr>
                <w:rFonts w:ascii="Arial" w:eastAsia="Times New Roman" w:hAnsi="Arial" w:cs="Arial"/>
                <w:iCs/>
                <w:color w:val="000000"/>
                <w:sz w:val="17"/>
                <w:szCs w:val="17"/>
              </w:rPr>
              <w:t>698</w:t>
            </w:r>
          </w:p>
        </w:tc>
        <w:tc>
          <w:tcPr>
            <w:tcW w:w="593" w:type="pct"/>
            <w:tcBorders>
              <w:top w:val="nil"/>
              <w:left w:val="nil"/>
              <w:bottom w:val="single" w:sz="4" w:space="0" w:color="auto"/>
              <w:right w:val="nil"/>
            </w:tcBorders>
            <w:shd w:val="clear" w:color="auto" w:fill="auto"/>
            <w:vAlign w:val="bottom"/>
          </w:tcPr>
          <w:p w14:paraId="58478FE4" w14:textId="227ADD22" w:rsidR="00C53534" w:rsidRPr="00F43653" w:rsidRDefault="00C53534" w:rsidP="00C53534">
            <w:pPr>
              <w:tabs>
                <w:tab w:val="right" w:pos="1202"/>
              </w:tabs>
              <w:spacing w:line="301" w:lineRule="exact"/>
              <w:jc w:val="right"/>
              <w:outlineLvl w:val="0"/>
              <w:rPr>
                <w:rFonts w:ascii="Arial" w:eastAsia="Times New Roman" w:hAnsi="Arial" w:cs="Arial"/>
                <w:b/>
                <w:bCs/>
                <w:iCs/>
                <w:color w:val="000000"/>
                <w:sz w:val="17"/>
                <w:szCs w:val="17"/>
              </w:rPr>
            </w:pPr>
            <w:r w:rsidRPr="00FF3B1A">
              <w:rPr>
                <w:rFonts w:ascii="Arial" w:eastAsia="Times New Roman" w:hAnsi="Arial" w:cs="Arial"/>
                <w:iCs/>
                <w:color w:val="000000"/>
                <w:sz w:val="17"/>
                <w:szCs w:val="17"/>
              </w:rPr>
              <w:t>50.386</w:t>
            </w:r>
          </w:p>
        </w:tc>
        <w:tc>
          <w:tcPr>
            <w:tcW w:w="592" w:type="pct"/>
            <w:tcBorders>
              <w:top w:val="nil"/>
              <w:left w:val="nil"/>
              <w:bottom w:val="single" w:sz="4" w:space="0" w:color="auto"/>
              <w:right w:val="nil"/>
            </w:tcBorders>
            <w:shd w:val="clear" w:color="auto" w:fill="auto"/>
            <w:vAlign w:val="bottom"/>
          </w:tcPr>
          <w:p w14:paraId="4C67F7F7" w14:textId="4211FBE8" w:rsidR="00C53534" w:rsidRPr="00F43653" w:rsidRDefault="00C53534" w:rsidP="00C53534">
            <w:pPr>
              <w:tabs>
                <w:tab w:val="right" w:pos="1202"/>
              </w:tabs>
              <w:spacing w:line="301" w:lineRule="exact"/>
              <w:jc w:val="right"/>
              <w:outlineLvl w:val="0"/>
              <w:rPr>
                <w:rFonts w:ascii="Arial" w:eastAsia="Times New Roman" w:hAnsi="Arial" w:cs="Arial"/>
                <w:b/>
                <w:bCs/>
                <w:color w:val="000000"/>
                <w:sz w:val="17"/>
                <w:szCs w:val="17"/>
              </w:rPr>
            </w:pPr>
            <w:r>
              <w:rPr>
                <w:rFonts w:ascii="Arial" w:eastAsia="Times New Roman" w:hAnsi="Arial" w:cs="Arial"/>
                <w:iCs/>
                <w:color w:val="000000"/>
                <w:sz w:val="17"/>
                <w:szCs w:val="17"/>
              </w:rPr>
              <w:t>-</w:t>
            </w:r>
          </w:p>
        </w:tc>
        <w:tc>
          <w:tcPr>
            <w:tcW w:w="593" w:type="pct"/>
            <w:tcBorders>
              <w:top w:val="nil"/>
              <w:left w:val="nil"/>
              <w:bottom w:val="single" w:sz="4" w:space="0" w:color="auto"/>
              <w:right w:val="nil"/>
            </w:tcBorders>
            <w:shd w:val="clear" w:color="auto" w:fill="auto"/>
            <w:vAlign w:val="bottom"/>
          </w:tcPr>
          <w:p w14:paraId="4BA0AC46" w14:textId="7AABD3FF" w:rsidR="00C53534" w:rsidRPr="00196312" w:rsidRDefault="00C53534" w:rsidP="00C53534">
            <w:pPr>
              <w:tabs>
                <w:tab w:val="right" w:pos="1202"/>
              </w:tabs>
              <w:spacing w:line="301" w:lineRule="exact"/>
              <w:jc w:val="right"/>
              <w:outlineLvl w:val="0"/>
              <w:rPr>
                <w:rFonts w:ascii="Arial" w:eastAsia="Times New Roman" w:hAnsi="Arial" w:cs="Arial"/>
                <w:b/>
                <w:bCs/>
                <w:iCs/>
                <w:color w:val="000000"/>
                <w:sz w:val="17"/>
                <w:szCs w:val="17"/>
              </w:rPr>
            </w:pPr>
            <w:r w:rsidRPr="00FF3B1A">
              <w:rPr>
                <w:rFonts w:ascii="Arial" w:eastAsia="Times New Roman" w:hAnsi="Arial" w:cs="Arial"/>
                <w:b/>
                <w:bCs/>
                <w:iCs/>
                <w:color w:val="000000"/>
                <w:sz w:val="17"/>
                <w:szCs w:val="17"/>
              </w:rPr>
              <w:t>51.084</w:t>
            </w:r>
          </w:p>
        </w:tc>
      </w:tr>
      <w:tr w:rsidR="00C53534" w:rsidRPr="00F43653" w14:paraId="2F20E849" w14:textId="77777777" w:rsidTr="007478FB">
        <w:trPr>
          <w:trHeight w:val="565"/>
        </w:trPr>
        <w:tc>
          <w:tcPr>
            <w:tcW w:w="1444" w:type="pct"/>
            <w:vAlign w:val="bottom"/>
          </w:tcPr>
          <w:p w14:paraId="0CC4E557" w14:textId="77777777" w:rsidR="00C53534" w:rsidRPr="00F43653" w:rsidRDefault="00C53534" w:rsidP="00C53534">
            <w:pPr>
              <w:tabs>
                <w:tab w:val="right" w:pos="1202"/>
              </w:tabs>
              <w:spacing w:line="240" w:lineRule="exact"/>
              <w:outlineLvl w:val="0"/>
              <w:rPr>
                <w:rFonts w:ascii="Arial" w:eastAsia="Times New Roman" w:hAnsi="Arial" w:cs="Arial"/>
                <w:i/>
                <w:iCs/>
                <w:color w:val="000000"/>
                <w:sz w:val="17"/>
                <w:szCs w:val="17"/>
              </w:rPr>
            </w:pPr>
            <w:bookmarkStart w:id="245" w:name="_Toc67327283"/>
            <w:r w:rsidRPr="00F43653">
              <w:rPr>
                <w:rFonts w:ascii="Arial" w:eastAsia="Times New Roman" w:hAnsi="Arial" w:cs="Arial"/>
                <w:iCs/>
                <w:color w:val="000000"/>
                <w:sz w:val="17"/>
                <w:szCs w:val="17"/>
              </w:rPr>
              <w:t>Uplate u osnivački kapital iz državnog proračuna</w:t>
            </w:r>
            <w:bookmarkEnd w:id="245"/>
            <w:r w:rsidRPr="00F43653">
              <w:rPr>
                <w:rFonts w:ascii="Arial" w:eastAsia="Times New Roman" w:hAnsi="Arial" w:cs="Arial"/>
                <w:iCs/>
                <w:color w:val="000000"/>
                <w:sz w:val="17"/>
                <w:szCs w:val="17"/>
              </w:rPr>
              <w:t xml:space="preserve"> </w:t>
            </w:r>
          </w:p>
        </w:tc>
        <w:tc>
          <w:tcPr>
            <w:tcW w:w="592" w:type="pct"/>
            <w:tcBorders>
              <w:top w:val="nil"/>
              <w:left w:val="nil"/>
              <w:bottom w:val="nil"/>
              <w:right w:val="nil"/>
            </w:tcBorders>
            <w:shd w:val="clear" w:color="auto" w:fill="auto"/>
            <w:vAlign w:val="bottom"/>
          </w:tcPr>
          <w:p w14:paraId="789EE0E4" w14:textId="0A993056" w:rsidR="00C53534" w:rsidRPr="00F43653" w:rsidRDefault="00C53534" w:rsidP="00C53534">
            <w:pPr>
              <w:tabs>
                <w:tab w:val="right" w:pos="1202"/>
              </w:tabs>
              <w:spacing w:line="301" w:lineRule="exact"/>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93" w:type="pct"/>
            <w:tcBorders>
              <w:top w:val="nil"/>
              <w:left w:val="nil"/>
              <w:bottom w:val="nil"/>
              <w:right w:val="nil"/>
            </w:tcBorders>
            <w:shd w:val="clear" w:color="auto" w:fill="auto"/>
            <w:vAlign w:val="bottom"/>
          </w:tcPr>
          <w:p w14:paraId="02268411" w14:textId="574AA693" w:rsidR="00C53534" w:rsidRPr="00F43653" w:rsidRDefault="00C53534" w:rsidP="00C53534">
            <w:pPr>
              <w:tabs>
                <w:tab w:val="right" w:pos="1202"/>
              </w:tabs>
              <w:spacing w:line="301" w:lineRule="exact"/>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92" w:type="pct"/>
            <w:tcBorders>
              <w:top w:val="nil"/>
              <w:left w:val="nil"/>
              <w:bottom w:val="nil"/>
              <w:right w:val="nil"/>
            </w:tcBorders>
            <w:shd w:val="clear" w:color="auto" w:fill="auto"/>
            <w:vAlign w:val="bottom"/>
          </w:tcPr>
          <w:p w14:paraId="1AA52FC2" w14:textId="4EA93DA5" w:rsidR="00C53534" w:rsidRPr="00F43653" w:rsidRDefault="00C53534" w:rsidP="00C53534">
            <w:pPr>
              <w:tabs>
                <w:tab w:val="right" w:pos="1202"/>
              </w:tabs>
              <w:spacing w:line="301" w:lineRule="exact"/>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93" w:type="pct"/>
            <w:tcBorders>
              <w:top w:val="nil"/>
              <w:left w:val="nil"/>
              <w:bottom w:val="nil"/>
              <w:right w:val="nil"/>
            </w:tcBorders>
            <w:shd w:val="clear" w:color="auto" w:fill="auto"/>
            <w:vAlign w:val="bottom"/>
          </w:tcPr>
          <w:p w14:paraId="4E25E611" w14:textId="2FE03DC1" w:rsidR="00C53534" w:rsidRPr="00F43653" w:rsidRDefault="00C53534" w:rsidP="00C53534">
            <w:pPr>
              <w:tabs>
                <w:tab w:val="right" w:pos="1202"/>
              </w:tabs>
              <w:spacing w:line="301" w:lineRule="exact"/>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92" w:type="pct"/>
            <w:tcBorders>
              <w:top w:val="nil"/>
              <w:left w:val="nil"/>
              <w:bottom w:val="nil"/>
              <w:right w:val="nil"/>
            </w:tcBorders>
            <w:shd w:val="clear" w:color="auto" w:fill="auto"/>
            <w:vAlign w:val="bottom"/>
          </w:tcPr>
          <w:p w14:paraId="1EF7FAB0" w14:textId="7FE271F7" w:rsidR="00C53534" w:rsidRPr="00F43653" w:rsidRDefault="00C53534" w:rsidP="00C53534">
            <w:pPr>
              <w:tabs>
                <w:tab w:val="right" w:pos="1202"/>
              </w:tabs>
              <w:spacing w:line="301" w:lineRule="exact"/>
              <w:jc w:val="right"/>
              <w:outlineLvl w:val="0"/>
              <w:rPr>
                <w:rFonts w:ascii="Arial" w:eastAsia="Times New Roman" w:hAnsi="Arial" w:cs="Arial"/>
                <w:color w:val="000000"/>
                <w:sz w:val="17"/>
                <w:szCs w:val="17"/>
              </w:rPr>
            </w:pPr>
            <w:r>
              <w:rPr>
                <w:rFonts w:ascii="Arial" w:eastAsia="Times New Roman" w:hAnsi="Arial" w:cs="Arial"/>
                <w:color w:val="000000"/>
                <w:sz w:val="17"/>
                <w:szCs w:val="17"/>
              </w:rPr>
              <w:t>-</w:t>
            </w:r>
          </w:p>
        </w:tc>
        <w:tc>
          <w:tcPr>
            <w:tcW w:w="593" w:type="pct"/>
            <w:tcBorders>
              <w:top w:val="nil"/>
              <w:left w:val="nil"/>
              <w:bottom w:val="nil"/>
              <w:right w:val="nil"/>
            </w:tcBorders>
            <w:shd w:val="clear" w:color="auto" w:fill="auto"/>
            <w:vAlign w:val="bottom"/>
          </w:tcPr>
          <w:p w14:paraId="2A58E39E" w14:textId="01D7469C" w:rsidR="00C53534" w:rsidRPr="00E40F4A" w:rsidRDefault="00C53534" w:rsidP="00C53534">
            <w:pPr>
              <w:tabs>
                <w:tab w:val="right" w:pos="1202"/>
              </w:tabs>
              <w:spacing w:line="301" w:lineRule="exact"/>
              <w:jc w:val="right"/>
              <w:outlineLvl w:val="0"/>
              <w:rPr>
                <w:rFonts w:ascii="Arial" w:eastAsia="Times New Roman" w:hAnsi="Arial" w:cs="Arial"/>
                <w:b/>
                <w:bCs/>
                <w:iCs/>
                <w:color w:val="000000"/>
                <w:sz w:val="17"/>
                <w:szCs w:val="17"/>
              </w:rPr>
            </w:pPr>
            <w:r>
              <w:rPr>
                <w:rFonts w:ascii="Arial" w:eastAsia="Times New Roman" w:hAnsi="Arial" w:cs="Arial"/>
                <w:b/>
                <w:bCs/>
                <w:iCs/>
                <w:color w:val="000000"/>
                <w:sz w:val="17"/>
                <w:szCs w:val="17"/>
              </w:rPr>
              <w:t>-</w:t>
            </w:r>
          </w:p>
        </w:tc>
      </w:tr>
      <w:tr w:rsidR="00C53534" w:rsidRPr="00F43653" w14:paraId="4C301E06" w14:textId="77777777" w:rsidTr="007478FB">
        <w:trPr>
          <w:trHeight w:val="244"/>
        </w:trPr>
        <w:tc>
          <w:tcPr>
            <w:tcW w:w="1444" w:type="pct"/>
            <w:vAlign w:val="bottom"/>
          </w:tcPr>
          <w:p w14:paraId="1C7C01BA" w14:textId="5BDD6943" w:rsidR="00C53534" w:rsidRPr="00F43653" w:rsidRDefault="00C53534" w:rsidP="00C53534">
            <w:pPr>
              <w:tabs>
                <w:tab w:val="right" w:pos="1202"/>
              </w:tabs>
              <w:spacing w:line="240" w:lineRule="exact"/>
              <w:outlineLvl w:val="0"/>
              <w:rPr>
                <w:rFonts w:ascii="Arial" w:eastAsia="Times New Roman" w:hAnsi="Arial" w:cs="Arial"/>
                <w:i/>
                <w:iCs/>
                <w:color w:val="000000"/>
                <w:sz w:val="17"/>
                <w:szCs w:val="17"/>
              </w:rPr>
            </w:pPr>
            <w:bookmarkStart w:id="246" w:name="_Toc67327290"/>
            <w:r w:rsidRPr="00F43653">
              <w:rPr>
                <w:rFonts w:ascii="Arial" w:eastAsia="Times New Roman" w:hAnsi="Arial" w:cs="Arial"/>
                <w:iCs/>
                <w:color w:val="000000"/>
                <w:sz w:val="17"/>
                <w:szCs w:val="17"/>
              </w:rPr>
              <w:t>Prijenos dobiti iz 202</w:t>
            </w:r>
            <w:r>
              <w:rPr>
                <w:rFonts w:ascii="Arial" w:eastAsia="Times New Roman" w:hAnsi="Arial" w:cs="Arial"/>
                <w:iCs/>
                <w:color w:val="000000"/>
                <w:sz w:val="17"/>
                <w:szCs w:val="17"/>
              </w:rPr>
              <w:t>2</w:t>
            </w:r>
            <w:r w:rsidRPr="00F43653">
              <w:rPr>
                <w:rFonts w:ascii="Arial" w:eastAsia="Times New Roman" w:hAnsi="Arial" w:cs="Arial"/>
                <w:iCs/>
                <w:color w:val="000000"/>
                <w:sz w:val="17"/>
                <w:szCs w:val="17"/>
              </w:rPr>
              <w:t>. godine u zadržanu dobit</w:t>
            </w:r>
            <w:bookmarkEnd w:id="246"/>
            <w:r w:rsidRPr="00F43653">
              <w:rPr>
                <w:rFonts w:ascii="Arial" w:eastAsia="Times New Roman" w:hAnsi="Arial" w:cs="Arial"/>
                <w:iCs/>
                <w:color w:val="000000"/>
                <w:sz w:val="17"/>
                <w:szCs w:val="17"/>
              </w:rPr>
              <w:t xml:space="preserve"> </w:t>
            </w:r>
          </w:p>
        </w:tc>
        <w:tc>
          <w:tcPr>
            <w:tcW w:w="592" w:type="pct"/>
            <w:tcBorders>
              <w:top w:val="nil"/>
              <w:left w:val="nil"/>
              <w:bottom w:val="single" w:sz="4" w:space="0" w:color="auto"/>
              <w:right w:val="nil"/>
            </w:tcBorders>
            <w:shd w:val="clear" w:color="auto" w:fill="auto"/>
            <w:vAlign w:val="bottom"/>
          </w:tcPr>
          <w:p w14:paraId="5C5B01CD" w14:textId="24063948" w:rsidR="00C53534" w:rsidRPr="00F43653" w:rsidRDefault="00C53534" w:rsidP="00C53534">
            <w:pPr>
              <w:tabs>
                <w:tab w:val="right" w:pos="1202"/>
              </w:tabs>
              <w:spacing w:line="301" w:lineRule="exact"/>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93" w:type="pct"/>
            <w:tcBorders>
              <w:top w:val="nil"/>
              <w:left w:val="nil"/>
              <w:bottom w:val="single" w:sz="4" w:space="0" w:color="auto"/>
              <w:right w:val="nil"/>
            </w:tcBorders>
            <w:shd w:val="clear" w:color="auto" w:fill="auto"/>
            <w:vAlign w:val="bottom"/>
          </w:tcPr>
          <w:p w14:paraId="2A610F62" w14:textId="57D43B48" w:rsidR="00C53534" w:rsidRPr="00F43653" w:rsidRDefault="00C53534" w:rsidP="00C53534">
            <w:pPr>
              <w:tabs>
                <w:tab w:val="right" w:pos="1202"/>
              </w:tabs>
              <w:spacing w:line="301" w:lineRule="exact"/>
              <w:jc w:val="right"/>
              <w:outlineLvl w:val="0"/>
              <w:rPr>
                <w:rFonts w:ascii="Arial" w:eastAsia="Times New Roman" w:hAnsi="Arial" w:cs="Arial"/>
                <w:iCs/>
                <w:color w:val="000000"/>
                <w:sz w:val="17"/>
                <w:szCs w:val="17"/>
              </w:rPr>
            </w:pPr>
            <w:r w:rsidRPr="00FF3B1A">
              <w:rPr>
                <w:rFonts w:ascii="Arial" w:eastAsia="Times New Roman" w:hAnsi="Arial" w:cs="Arial"/>
                <w:iCs/>
                <w:color w:val="000000"/>
                <w:sz w:val="17"/>
                <w:szCs w:val="17"/>
              </w:rPr>
              <w:t>24.709</w:t>
            </w:r>
          </w:p>
        </w:tc>
        <w:tc>
          <w:tcPr>
            <w:tcW w:w="592" w:type="pct"/>
            <w:tcBorders>
              <w:top w:val="nil"/>
              <w:left w:val="nil"/>
              <w:bottom w:val="single" w:sz="4" w:space="0" w:color="auto"/>
              <w:right w:val="nil"/>
            </w:tcBorders>
            <w:shd w:val="clear" w:color="auto" w:fill="auto"/>
            <w:vAlign w:val="bottom"/>
          </w:tcPr>
          <w:p w14:paraId="6897EA61" w14:textId="1F04541F" w:rsidR="00C53534" w:rsidRPr="00F43653" w:rsidRDefault="00C53534" w:rsidP="00C53534">
            <w:pPr>
              <w:tabs>
                <w:tab w:val="right" w:pos="1202"/>
              </w:tabs>
              <w:spacing w:line="301" w:lineRule="exact"/>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93" w:type="pct"/>
            <w:tcBorders>
              <w:top w:val="nil"/>
              <w:left w:val="nil"/>
              <w:bottom w:val="single" w:sz="4" w:space="0" w:color="auto"/>
              <w:right w:val="nil"/>
            </w:tcBorders>
            <w:shd w:val="clear" w:color="auto" w:fill="auto"/>
            <w:vAlign w:val="bottom"/>
          </w:tcPr>
          <w:p w14:paraId="27078BE4" w14:textId="3EC46FBE" w:rsidR="00C53534" w:rsidRPr="00F43653" w:rsidRDefault="00C53534" w:rsidP="00C53534">
            <w:pPr>
              <w:tabs>
                <w:tab w:val="right" w:pos="1202"/>
              </w:tabs>
              <w:spacing w:line="301" w:lineRule="exact"/>
              <w:jc w:val="right"/>
              <w:outlineLvl w:val="0"/>
              <w:rPr>
                <w:rFonts w:ascii="Arial" w:eastAsia="Times New Roman" w:hAnsi="Arial" w:cs="Arial"/>
                <w:iCs/>
                <w:color w:val="000000"/>
                <w:sz w:val="17"/>
                <w:szCs w:val="17"/>
              </w:rPr>
            </w:pPr>
            <w:r w:rsidRPr="00FF3B1A">
              <w:rPr>
                <w:rFonts w:ascii="Arial" w:eastAsia="Times New Roman" w:hAnsi="Arial" w:cs="Arial"/>
                <w:iCs/>
                <w:color w:val="000000"/>
                <w:sz w:val="17"/>
                <w:szCs w:val="17"/>
              </w:rPr>
              <w:t>(24.709)</w:t>
            </w:r>
          </w:p>
        </w:tc>
        <w:tc>
          <w:tcPr>
            <w:tcW w:w="592" w:type="pct"/>
            <w:tcBorders>
              <w:top w:val="nil"/>
              <w:left w:val="nil"/>
              <w:bottom w:val="single" w:sz="4" w:space="0" w:color="auto"/>
              <w:right w:val="nil"/>
            </w:tcBorders>
            <w:shd w:val="clear" w:color="auto" w:fill="auto"/>
            <w:vAlign w:val="bottom"/>
          </w:tcPr>
          <w:p w14:paraId="678E7EF2" w14:textId="3A122664" w:rsidR="00C53534" w:rsidRPr="00F43653" w:rsidRDefault="00C53534" w:rsidP="00C53534">
            <w:pPr>
              <w:tabs>
                <w:tab w:val="right" w:pos="1202"/>
              </w:tabs>
              <w:spacing w:line="301" w:lineRule="exact"/>
              <w:jc w:val="right"/>
              <w:outlineLvl w:val="0"/>
              <w:rPr>
                <w:rFonts w:ascii="Arial" w:eastAsia="Times New Roman" w:hAnsi="Arial" w:cs="Arial"/>
                <w:color w:val="000000"/>
                <w:sz w:val="17"/>
                <w:szCs w:val="17"/>
              </w:rPr>
            </w:pPr>
            <w:r>
              <w:rPr>
                <w:rFonts w:ascii="Arial" w:eastAsia="Times New Roman" w:hAnsi="Arial" w:cs="Arial"/>
                <w:iCs/>
                <w:color w:val="000000"/>
                <w:sz w:val="17"/>
                <w:szCs w:val="17"/>
              </w:rPr>
              <w:t>-</w:t>
            </w:r>
          </w:p>
        </w:tc>
        <w:tc>
          <w:tcPr>
            <w:tcW w:w="593" w:type="pct"/>
            <w:tcBorders>
              <w:top w:val="nil"/>
              <w:left w:val="nil"/>
              <w:bottom w:val="single" w:sz="4" w:space="0" w:color="auto"/>
              <w:right w:val="nil"/>
            </w:tcBorders>
            <w:shd w:val="clear" w:color="auto" w:fill="auto"/>
            <w:vAlign w:val="bottom"/>
          </w:tcPr>
          <w:p w14:paraId="60A8F0F0" w14:textId="6B61F866" w:rsidR="00C53534" w:rsidRPr="00E40F4A" w:rsidRDefault="00C53534" w:rsidP="00C53534">
            <w:pPr>
              <w:tabs>
                <w:tab w:val="right" w:pos="1202"/>
              </w:tabs>
              <w:spacing w:line="301" w:lineRule="exact"/>
              <w:jc w:val="right"/>
              <w:outlineLvl w:val="0"/>
              <w:rPr>
                <w:rFonts w:ascii="Arial" w:eastAsia="Times New Roman" w:hAnsi="Arial" w:cs="Arial"/>
                <w:b/>
                <w:bCs/>
                <w:iCs/>
                <w:color w:val="000000"/>
                <w:sz w:val="17"/>
                <w:szCs w:val="17"/>
              </w:rPr>
            </w:pPr>
            <w:r>
              <w:rPr>
                <w:rFonts w:ascii="Arial" w:eastAsia="Times New Roman" w:hAnsi="Arial" w:cs="Arial"/>
                <w:b/>
                <w:bCs/>
                <w:iCs/>
                <w:color w:val="000000"/>
                <w:sz w:val="17"/>
                <w:szCs w:val="17"/>
              </w:rPr>
              <w:t>-</w:t>
            </w:r>
          </w:p>
        </w:tc>
      </w:tr>
      <w:tr w:rsidR="00C53534" w:rsidRPr="00F43653" w14:paraId="1E9523AB" w14:textId="77777777" w:rsidTr="006069DB">
        <w:trPr>
          <w:trHeight w:val="244"/>
        </w:trPr>
        <w:tc>
          <w:tcPr>
            <w:tcW w:w="1444" w:type="pct"/>
            <w:vAlign w:val="bottom"/>
          </w:tcPr>
          <w:p w14:paraId="6FF62DB5" w14:textId="4AEBB7FA" w:rsidR="00C53534" w:rsidRPr="00F43653" w:rsidRDefault="00C53534" w:rsidP="00C53534">
            <w:pPr>
              <w:tabs>
                <w:tab w:val="right" w:pos="1202"/>
              </w:tabs>
              <w:spacing w:line="240" w:lineRule="exact"/>
              <w:outlineLvl w:val="0"/>
              <w:rPr>
                <w:rFonts w:ascii="Arial" w:eastAsia="Times New Roman" w:hAnsi="Arial" w:cs="Arial"/>
                <w:b/>
                <w:bCs/>
                <w:iCs/>
                <w:color w:val="000000"/>
                <w:sz w:val="17"/>
                <w:szCs w:val="17"/>
              </w:rPr>
            </w:pPr>
            <w:r w:rsidRPr="00F43653">
              <w:rPr>
                <w:rFonts w:ascii="Arial" w:eastAsia="Times New Roman" w:hAnsi="Arial" w:cs="Arial"/>
                <w:b/>
                <w:bCs/>
                <w:iCs/>
                <w:color w:val="000000"/>
                <w:sz w:val="17"/>
                <w:szCs w:val="17"/>
              </w:rPr>
              <w:t xml:space="preserve">Stanje 30. </w:t>
            </w:r>
            <w:r>
              <w:rPr>
                <w:rFonts w:ascii="Arial" w:eastAsia="Times New Roman" w:hAnsi="Arial" w:cs="Arial"/>
                <w:b/>
                <w:bCs/>
                <w:iCs/>
                <w:color w:val="000000"/>
                <w:sz w:val="17"/>
                <w:szCs w:val="17"/>
              </w:rPr>
              <w:t>rujn</w:t>
            </w:r>
            <w:r w:rsidRPr="00F43653">
              <w:rPr>
                <w:rFonts w:ascii="Arial" w:eastAsia="Times New Roman" w:hAnsi="Arial" w:cs="Arial"/>
                <w:b/>
                <w:bCs/>
                <w:iCs/>
                <w:color w:val="000000"/>
                <w:sz w:val="17"/>
                <w:szCs w:val="17"/>
              </w:rPr>
              <w:t>a 202</w:t>
            </w:r>
            <w:r>
              <w:rPr>
                <w:rFonts w:ascii="Arial" w:eastAsia="Times New Roman" w:hAnsi="Arial" w:cs="Arial"/>
                <w:b/>
                <w:bCs/>
                <w:iCs/>
                <w:color w:val="000000"/>
                <w:sz w:val="17"/>
                <w:szCs w:val="17"/>
              </w:rPr>
              <w:t>3</w:t>
            </w:r>
            <w:r w:rsidRPr="00F43653">
              <w:rPr>
                <w:rFonts w:ascii="Arial" w:eastAsia="Times New Roman" w:hAnsi="Arial" w:cs="Arial"/>
                <w:b/>
                <w:bCs/>
                <w:iCs/>
                <w:color w:val="000000"/>
                <w:sz w:val="17"/>
                <w:szCs w:val="17"/>
              </w:rPr>
              <w:t>.</w:t>
            </w:r>
          </w:p>
        </w:tc>
        <w:tc>
          <w:tcPr>
            <w:tcW w:w="592" w:type="pct"/>
            <w:tcBorders>
              <w:top w:val="single" w:sz="8" w:space="0" w:color="auto"/>
              <w:left w:val="nil"/>
              <w:bottom w:val="single" w:sz="12" w:space="0" w:color="auto"/>
              <w:right w:val="nil"/>
            </w:tcBorders>
            <w:shd w:val="clear" w:color="auto" w:fill="auto"/>
            <w:vAlign w:val="bottom"/>
          </w:tcPr>
          <w:p w14:paraId="5244755C" w14:textId="5045D49B" w:rsidR="00C53534" w:rsidRPr="00F43653" w:rsidRDefault="00C53534" w:rsidP="00C53534">
            <w:pPr>
              <w:tabs>
                <w:tab w:val="right" w:pos="1202"/>
              </w:tabs>
              <w:spacing w:line="301" w:lineRule="exact"/>
              <w:jc w:val="right"/>
              <w:outlineLvl w:val="0"/>
              <w:rPr>
                <w:rFonts w:ascii="Arial" w:eastAsia="Times New Roman" w:hAnsi="Arial" w:cs="Arial"/>
                <w:b/>
                <w:bCs/>
                <w:iCs/>
                <w:color w:val="000000"/>
                <w:sz w:val="17"/>
                <w:szCs w:val="17"/>
              </w:rPr>
            </w:pPr>
            <w:r w:rsidRPr="00FF3B1A">
              <w:rPr>
                <w:rFonts w:ascii="Arial" w:hAnsi="Arial" w:cs="Arial"/>
                <w:b/>
                <w:bCs/>
                <w:sz w:val="17"/>
                <w:szCs w:val="17"/>
              </w:rPr>
              <w:t>956.219</w:t>
            </w:r>
          </w:p>
        </w:tc>
        <w:tc>
          <w:tcPr>
            <w:tcW w:w="593" w:type="pct"/>
            <w:tcBorders>
              <w:top w:val="single" w:sz="8" w:space="0" w:color="auto"/>
              <w:left w:val="nil"/>
              <w:bottom w:val="single" w:sz="12" w:space="0" w:color="auto"/>
              <w:right w:val="nil"/>
            </w:tcBorders>
            <w:shd w:val="clear" w:color="auto" w:fill="auto"/>
            <w:vAlign w:val="bottom"/>
          </w:tcPr>
          <w:p w14:paraId="275726F6" w14:textId="144C06A8" w:rsidR="00C53534" w:rsidRPr="00F43653" w:rsidRDefault="00C53534" w:rsidP="00C53534">
            <w:pPr>
              <w:tabs>
                <w:tab w:val="right" w:pos="1202"/>
              </w:tabs>
              <w:spacing w:line="301" w:lineRule="exact"/>
              <w:jc w:val="right"/>
              <w:outlineLvl w:val="0"/>
              <w:rPr>
                <w:rFonts w:ascii="Arial" w:eastAsia="Times New Roman" w:hAnsi="Arial" w:cs="Arial"/>
                <w:b/>
                <w:bCs/>
                <w:iCs/>
                <w:color w:val="000000"/>
                <w:sz w:val="17"/>
                <w:szCs w:val="17"/>
              </w:rPr>
            </w:pPr>
            <w:r w:rsidRPr="00FF3B1A">
              <w:rPr>
                <w:rFonts w:ascii="Arial" w:hAnsi="Arial" w:cs="Arial"/>
                <w:b/>
                <w:bCs/>
                <w:sz w:val="17"/>
                <w:szCs w:val="17"/>
              </w:rPr>
              <w:t>468.113</w:t>
            </w:r>
          </w:p>
        </w:tc>
        <w:tc>
          <w:tcPr>
            <w:tcW w:w="592" w:type="pct"/>
            <w:tcBorders>
              <w:top w:val="single" w:sz="8" w:space="0" w:color="auto"/>
              <w:left w:val="nil"/>
              <w:bottom w:val="single" w:sz="12" w:space="0" w:color="auto"/>
              <w:right w:val="nil"/>
            </w:tcBorders>
            <w:shd w:val="clear" w:color="auto" w:fill="auto"/>
            <w:vAlign w:val="bottom"/>
          </w:tcPr>
          <w:p w14:paraId="557E6B5B" w14:textId="253DD4FD" w:rsidR="00C53534" w:rsidRPr="00F43653" w:rsidRDefault="00C53534" w:rsidP="00C53534">
            <w:pPr>
              <w:tabs>
                <w:tab w:val="right" w:pos="1202"/>
              </w:tabs>
              <w:spacing w:line="301" w:lineRule="exact"/>
              <w:jc w:val="right"/>
              <w:outlineLvl w:val="0"/>
              <w:rPr>
                <w:rFonts w:ascii="Arial" w:eastAsia="Times New Roman" w:hAnsi="Arial" w:cs="Arial"/>
                <w:b/>
                <w:bCs/>
                <w:iCs/>
                <w:color w:val="000000"/>
                <w:sz w:val="17"/>
                <w:szCs w:val="17"/>
              </w:rPr>
            </w:pPr>
            <w:r w:rsidRPr="00FF3B1A">
              <w:rPr>
                <w:rFonts w:ascii="Arial" w:hAnsi="Arial" w:cs="Arial"/>
                <w:b/>
                <w:bCs/>
                <w:sz w:val="17"/>
                <w:szCs w:val="17"/>
              </w:rPr>
              <w:t>(3.731)</w:t>
            </w:r>
          </w:p>
        </w:tc>
        <w:tc>
          <w:tcPr>
            <w:tcW w:w="593" w:type="pct"/>
            <w:tcBorders>
              <w:top w:val="single" w:sz="8" w:space="0" w:color="auto"/>
              <w:left w:val="nil"/>
              <w:bottom w:val="single" w:sz="12" w:space="0" w:color="auto"/>
              <w:right w:val="nil"/>
            </w:tcBorders>
            <w:shd w:val="clear" w:color="auto" w:fill="auto"/>
            <w:vAlign w:val="bottom"/>
          </w:tcPr>
          <w:p w14:paraId="6DE9608A" w14:textId="13C44C20" w:rsidR="00C53534" w:rsidRPr="00F43653" w:rsidRDefault="00C53534" w:rsidP="00C53534">
            <w:pPr>
              <w:tabs>
                <w:tab w:val="right" w:pos="1202"/>
              </w:tabs>
              <w:spacing w:line="301" w:lineRule="exact"/>
              <w:jc w:val="right"/>
              <w:outlineLvl w:val="0"/>
              <w:rPr>
                <w:rFonts w:ascii="Arial" w:eastAsia="Times New Roman" w:hAnsi="Arial" w:cs="Arial"/>
                <w:b/>
                <w:bCs/>
                <w:iCs/>
                <w:color w:val="000000"/>
                <w:sz w:val="17"/>
                <w:szCs w:val="17"/>
              </w:rPr>
            </w:pPr>
            <w:r w:rsidRPr="00FF3B1A">
              <w:rPr>
                <w:rFonts w:ascii="Arial" w:hAnsi="Arial" w:cs="Arial"/>
                <w:b/>
                <w:bCs/>
                <w:sz w:val="17"/>
                <w:szCs w:val="17"/>
              </w:rPr>
              <w:t>50.386</w:t>
            </w:r>
          </w:p>
        </w:tc>
        <w:tc>
          <w:tcPr>
            <w:tcW w:w="592" w:type="pct"/>
            <w:tcBorders>
              <w:top w:val="single" w:sz="8" w:space="0" w:color="auto"/>
              <w:left w:val="nil"/>
              <w:bottom w:val="single" w:sz="12" w:space="0" w:color="auto"/>
              <w:right w:val="nil"/>
            </w:tcBorders>
            <w:shd w:val="clear" w:color="auto" w:fill="auto"/>
            <w:vAlign w:val="bottom"/>
          </w:tcPr>
          <w:p w14:paraId="2D299036" w14:textId="2EC3A325" w:rsidR="00C53534" w:rsidRPr="00F43653" w:rsidRDefault="00C53534" w:rsidP="00C53534">
            <w:pPr>
              <w:tabs>
                <w:tab w:val="right" w:pos="1202"/>
              </w:tabs>
              <w:spacing w:line="301" w:lineRule="exact"/>
              <w:jc w:val="right"/>
              <w:outlineLvl w:val="0"/>
              <w:rPr>
                <w:rFonts w:ascii="Arial" w:eastAsia="Times New Roman" w:hAnsi="Arial" w:cs="Arial"/>
                <w:b/>
                <w:bCs/>
                <w:iCs/>
                <w:color w:val="000000"/>
                <w:sz w:val="17"/>
                <w:szCs w:val="17"/>
              </w:rPr>
            </w:pPr>
            <w:r w:rsidRPr="00FF3B1A">
              <w:rPr>
                <w:rFonts w:ascii="Arial" w:hAnsi="Arial" w:cs="Arial"/>
                <w:b/>
                <w:bCs/>
                <w:sz w:val="17"/>
                <w:szCs w:val="17"/>
              </w:rPr>
              <w:t>1.638</w:t>
            </w:r>
          </w:p>
        </w:tc>
        <w:tc>
          <w:tcPr>
            <w:tcW w:w="593" w:type="pct"/>
            <w:tcBorders>
              <w:top w:val="single" w:sz="8" w:space="0" w:color="auto"/>
              <w:left w:val="nil"/>
              <w:bottom w:val="single" w:sz="12" w:space="0" w:color="auto"/>
              <w:right w:val="nil"/>
            </w:tcBorders>
            <w:shd w:val="clear" w:color="auto" w:fill="auto"/>
            <w:vAlign w:val="bottom"/>
          </w:tcPr>
          <w:p w14:paraId="2E8E27AF" w14:textId="6CF327A4" w:rsidR="00C53534" w:rsidRPr="00F43653" w:rsidRDefault="00C53534" w:rsidP="00C53534">
            <w:pPr>
              <w:tabs>
                <w:tab w:val="right" w:pos="1202"/>
              </w:tabs>
              <w:spacing w:line="301" w:lineRule="exact"/>
              <w:jc w:val="right"/>
              <w:outlineLvl w:val="0"/>
              <w:rPr>
                <w:rFonts w:ascii="Arial" w:eastAsia="Times New Roman" w:hAnsi="Arial" w:cs="Arial"/>
                <w:b/>
                <w:bCs/>
                <w:iCs/>
                <w:color w:val="000000"/>
                <w:sz w:val="17"/>
                <w:szCs w:val="17"/>
              </w:rPr>
            </w:pPr>
            <w:r w:rsidRPr="00FF3B1A">
              <w:rPr>
                <w:rFonts w:ascii="Arial" w:hAnsi="Arial" w:cs="Arial"/>
                <w:b/>
                <w:bCs/>
                <w:sz w:val="17"/>
                <w:szCs w:val="17"/>
              </w:rPr>
              <w:t>1.472.625</w:t>
            </w:r>
          </w:p>
        </w:tc>
      </w:tr>
      <w:tr w:rsidR="00C53534" w:rsidRPr="00F43653" w14:paraId="1396F9F9" w14:textId="77777777" w:rsidTr="007478FB">
        <w:trPr>
          <w:trHeight w:val="244"/>
        </w:trPr>
        <w:tc>
          <w:tcPr>
            <w:tcW w:w="1444" w:type="pct"/>
            <w:vAlign w:val="bottom"/>
          </w:tcPr>
          <w:p w14:paraId="272FE296" w14:textId="77777777" w:rsidR="00C53534" w:rsidRPr="00F43653" w:rsidRDefault="00C53534" w:rsidP="00C53534">
            <w:pPr>
              <w:tabs>
                <w:tab w:val="right" w:pos="1202"/>
              </w:tabs>
              <w:spacing w:line="240" w:lineRule="exact"/>
              <w:outlineLvl w:val="0"/>
              <w:rPr>
                <w:rFonts w:ascii="Arial" w:eastAsia="Times New Roman" w:hAnsi="Arial" w:cs="Arial"/>
                <w:iCs/>
                <w:color w:val="000000"/>
                <w:sz w:val="17"/>
                <w:szCs w:val="17"/>
              </w:rPr>
            </w:pPr>
          </w:p>
        </w:tc>
        <w:tc>
          <w:tcPr>
            <w:tcW w:w="592" w:type="pct"/>
            <w:tcBorders>
              <w:top w:val="single" w:sz="12" w:space="0" w:color="auto"/>
              <w:left w:val="nil"/>
              <w:right w:val="nil"/>
            </w:tcBorders>
            <w:shd w:val="clear" w:color="auto" w:fill="auto"/>
            <w:vAlign w:val="bottom"/>
          </w:tcPr>
          <w:p w14:paraId="73144964" w14:textId="77777777" w:rsidR="00C53534" w:rsidRPr="00F43653" w:rsidRDefault="00C53534" w:rsidP="00C53534">
            <w:pPr>
              <w:tabs>
                <w:tab w:val="right" w:pos="1202"/>
              </w:tabs>
              <w:spacing w:line="240" w:lineRule="exact"/>
              <w:outlineLvl w:val="0"/>
              <w:rPr>
                <w:rFonts w:ascii="Arial" w:eastAsia="Times New Roman" w:hAnsi="Arial" w:cs="Arial"/>
                <w:iCs/>
                <w:color w:val="000000"/>
                <w:sz w:val="17"/>
                <w:szCs w:val="17"/>
              </w:rPr>
            </w:pPr>
          </w:p>
        </w:tc>
        <w:tc>
          <w:tcPr>
            <w:tcW w:w="593" w:type="pct"/>
            <w:tcBorders>
              <w:top w:val="single" w:sz="12" w:space="0" w:color="auto"/>
              <w:left w:val="nil"/>
              <w:right w:val="nil"/>
            </w:tcBorders>
            <w:shd w:val="clear" w:color="auto" w:fill="auto"/>
            <w:vAlign w:val="bottom"/>
          </w:tcPr>
          <w:p w14:paraId="6C50644E" w14:textId="77777777" w:rsidR="00C53534" w:rsidRPr="00F43653" w:rsidRDefault="00C53534" w:rsidP="00C53534">
            <w:pPr>
              <w:tabs>
                <w:tab w:val="right" w:pos="1202"/>
              </w:tabs>
              <w:spacing w:line="240" w:lineRule="exact"/>
              <w:outlineLvl w:val="0"/>
              <w:rPr>
                <w:rFonts w:ascii="Arial" w:eastAsia="Times New Roman" w:hAnsi="Arial" w:cs="Arial"/>
                <w:iCs/>
                <w:color w:val="000000"/>
                <w:sz w:val="17"/>
                <w:szCs w:val="17"/>
              </w:rPr>
            </w:pPr>
          </w:p>
        </w:tc>
        <w:tc>
          <w:tcPr>
            <w:tcW w:w="592" w:type="pct"/>
            <w:tcBorders>
              <w:top w:val="single" w:sz="12" w:space="0" w:color="auto"/>
              <w:left w:val="nil"/>
              <w:right w:val="nil"/>
            </w:tcBorders>
            <w:shd w:val="clear" w:color="auto" w:fill="auto"/>
            <w:vAlign w:val="bottom"/>
          </w:tcPr>
          <w:p w14:paraId="63250297" w14:textId="77777777" w:rsidR="00C53534" w:rsidRPr="00F43653" w:rsidRDefault="00C53534" w:rsidP="00C53534">
            <w:pPr>
              <w:tabs>
                <w:tab w:val="right" w:pos="1202"/>
              </w:tabs>
              <w:spacing w:line="240" w:lineRule="exact"/>
              <w:outlineLvl w:val="0"/>
              <w:rPr>
                <w:rFonts w:ascii="Arial" w:eastAsia="Times New Roman" w:hAnsi="Arial" w:cs="Arial"/>
                <w:iCs/>
                <w:color w:val="000000"/>
                <w:sz w:val="17"/>
                <w:szCs w:val="17"/>
              </w:rPr>
            </w:pPr>
          </w:p>
        </w:tc>
        <w:tc>
          <w:tcPr>
            <w:tcW w:w="593" w:type="pct"/>
            <w:tcBorders>
              <w:top w:val="single" w:sz="12" w:space="0" w:color="auto"/>
              <w:left w:val="nil"/>
              <w:right w:val="nil"/>
            </w:tcBorders>
            <w:shd w:val="clear" w:color="auto" w:fill="auto"/>
            <w:vAlign w:val="bottom"/>
          </w:tcPr>
          <w:p w14:paraId="1DE1373F" w14:textId="77777777" w:rsidR="00C53534" w:rsidRPr="00F43653" w:rsidRDefault="00C53534" w:rsidP="00C53534">
            <w:pPr>
              <w:tabs>
                <w:tab w:val="right" w:pos="1202"/>
              </w:tabs>
              <w:spacing w:line="240" w:lineRule="exact"/>
              <w:outlineLvl w:val="0"/>
              <w:rPr>
                <w:rFonts w:ascii="Arial" w:eastAsia="Times New Roman" w:hAnsi="Arial" w:cs="Arial"/>
                <w:iCs/>
                <w:color w:val="000000"/>
                <w:sz w:val="17"/>
                <w:szCs w:val="17"/>
              </w:rPr>
            </w:pPr>
          </w:p>
        </w:tc>
        <w:tc>
          <w:tcPr>
            <w:tcW w:w="592" w:type="pct"/>
            <w:tcBorders>
              <w:top w:val="single" w:sz="12" w:space="0" w:color="auto"/>
              <w:left w:val="nil"/>
              <w:right w:val="nil"/>
            </w:tcBorders>
            <w:shd w:val="clear" w:color="auto" w:fill="auto"/>
            <w:vAlign w:val="bottom"/>
          </w:tcPr>
          <w:p w14:paraId="64111DF0" w14:textId="77777777" w:rsidR="00C53534" w:rsidRPr="00F43653" w:rsidRDefault="00C53534" w:rsidP="00C53534">
            <w:pPr>
              <w:tabs>
                <w:tab w:val="right" w:pos="1202"/>
              </w:tabs>
              <w:spacing w:line="240" w:lineRule="exact"/>
              <w:outlineLvl w:val="0"/>
              <w:rPr>
                <w:rFonts w:ascii="Arial" w:eastAsia="Times New Roman" w:hAnsi="Arial" w:cs="Arial"/>
                <w:iCs/>
                <w:color w:val="000000"/>
                <w:sz w:val="17"/>
                <w:szCs w:val="17"/>
              </w:rPr>
            </w:pPr>
          </w:p>
        </w:tc>
        <w:tc>
          <w:tcPr>
            <w:tcW w:w="593" w:type="pct"/>
            <w:tcBorders>
              <w:top w:val="single" w:sz="12" w:space="0" w:color="auto"/>
              <w:left w:val="nil"/>
              <w:right w:val="nil"/>
            </w:tcBorders>
            <w:shd w:val="clear" w:color="auto" w:fill="auto"/>
            <w:vAlign w:val="bottom"/>
          </w:tcPr>
          <w:p w14:paraId="7FB666E9" w14:textId="77777777" w:rsidR="00C53534" w:rsidRPr="00F43653" w:rsidRDefault="00C53534" w:rsidP="00C53534">
            <w:pPr>
              <w:tabs>
                <w:tab w:val="right" w:pos="1202"/>
              </w:tabs>
              <w:spacing w:line="240" w:lineRule="exact"/>
              <w:outlineLvl w:val="0"/>
              <w:rPr>
                <w:rFonts w:ascii="Arial" w:eastAsia="Times New Roman" w:hAnsi="Arial" w:cs="Arial"/>
                <w:iCs/>
                <w:color w:val="000000"/>
                <w:sz w:val="17"/>
                <w:szCs w:val="17"/>
              </w:rPr>
            </w:pPr>
          </w:p>
        </w:tc>
      </w:tr>
      <w:tr w:rsidR="009B5185" w:rsidRPr="00F43653" w14:paraId="56D6BFE2" w14:textId="77777777" w:rsidTr="00731D38">
        <w:trPr>
          <w:trHeight w:val="257"/>
        </w:trPr>
        <w:tc>
          <w:tcPr>
            <w:tcW w:w="1444" w:type="pct"/>
            <w:vAlign w:val="bottom"/>
          </w:tcPr>
          <w:p w14:paraId="6CFCA92A" w14:textId="59636292" w:rsidR="009B5185" w:rsidRPr="00F43653" w:rsidRDefault="009B5185" w:rsidP="009B5185">
            <w:pPr>
              <w:tabs>
                <w:tab w:val="right" w:pos="1202"/>
              </w:tabs>
              <w:spacing w:line="240" w:lineRule="exact"/>
              <w:outlineLvl w:val="0"/>
              <w:rPr>
                <w:rFonts w:ascii="Arial" w:eastAsia="Times New Roman" w:hAnsi="Arial" w:cs="Arial"/>
                <w:b/>
                <w:iCs/>
                <w:color w:val="000000"/>
                <w:sz w:val="17"/>
                <w:szCs w:val="17"/>
              </w:rPr>
            </w:pPr>
            <w:r w:rsidRPr="00F43653">
              <w:rPr>
                <w:rFonts w:ascii="Arial" w:eastAsia="Times New Roman" w:hAnsi="Arial" w:cs="Arial"/>
                <w:b/>
                <w:iCs/>
                <w:color w:val="000000"/>
                <w:sz w:val="17"/>
                <w:szCs w:val="17"/>
              </w:rPr>
              <w:t>Stanje 1. siječnja 202</w:t>
            </w:r>
            <w:r>
              <w:rPr>
                <w:rFonts w:ascii="Arial" w:eastAsia="Times New Roman" w:hAnsi="Arial" w:cs="Arial"/>
                <w:b/>
                <w:iCs/>
                <w:color w:val="000000"/>
                <w:sz w:val="17"/>
                <w:szCs w:val="17"/>
              </w:rPr>
              <w:t>4</w:t>
            </w:r>
            <w:r w:rsidRPr="00F43653">
              <w:rPr>
                <w:rFonts w:ascii="Arial" w:eastAsia="Times New Roman" w:hAnsi="Arial" w:cs="Arial"/>
                <w:b/>
                <w:iCs/>
                <w:color w:val="000000"/>
                <w:sz w:val="17"/>
                <w:szCs w:val="17"/>
              </w:rPr>
              <w:t>.</w:t>
            </w:r>
          </w:p>
        </w:tc>
        <w:tc>
          <w:tcPr>
            <w:tcW w:w="592" w:type="pct"/>
            <w:tcBorders>
              <w:top w:val="single" w:sz="8" w:space="0" w:color="auto"/>
              <w:left w:val="nil"/>
              <w:bottom w:val="single" w:sz="12" w:space="0" w:color="auto"/>
              <w:right w:val="nil"/>
            </w:tcBorders>
            <w:shd w:val="clear" w:color="auto" w:fill="auto"/>
            <w:vAlign w:val="bottom"/>
          </w:tcPr>
          <w:p w14:paraId="33F29A0F" w14:textId="5D9FDFB2" w:rsidR="009B5185" w:rsidRPr="00F43653" w:rsidRDefault="009B5185" w:rsidP="009B5185">
            <w:pPr>
              <w:tabs>
                <w:tab w:val="right" w:pos="1202"/>
              </w:tabs>
              <w:spacing w:line="301" w:lineRule="exact"/>
              <w:jc w:val="right"/>
              <w:outlineLvl w:val="0"/>
              <w:rPr>
                <w:rFonts w:ascii="Arial" w:eastAsia="Times New Roman" w:hAnsi="Arial" w:cs="Arial"/>
                <w:b/>
                <w:bCs/>
                <w:color w:val="000000"/>
                <w:sz w:val="17"/>
                <w:szCs w:val="17"/>
              </w:rPr>
            </w:pPr>
            <w:r w:rsidRPr="00CE1C5B">
              <w:rPr>
                <w:rFonts w:ascii="Arial" w:hAnsi="Arial" w:cs="Arial"/>
                <w:b/>
                <w:bCs/>
                <w:sz w:val="17"/>
                <w:szCs w:val="17"/>
              </w:rPr>
              <w:t xml:space="preserve"> 958.873 </w:t>
            </w:r>
          </w:p>
        </w:tc>
        <w:tc>
          <w:tcPr>
            <w:tcW w:w="593" w:type="pct"/>
            <w:tcBorders>
              <w:top w:val="single" w:sz="8" w:space="0" w:color="auto"/>
              <w:left w:val="nil"/>
              <w:bottom w:val="single" w:sz="12" w:space="0" w:color="auto"/>
              <w:right w:val="nil"/>
            </w:tcBorders>
            <w:shd w:val="clear" w:color="auto" w:fill="auto"/>
            <w:vAlign w:val="bottom"/>
          </w:tcPr>
          <w:p w14:paraId="7D0CF734" w14:textId="415DCD7A" w:rsidR="009B5185" w:rsidRPr="00F43653" w:rsidRDefault="009B5185" w:rsidP="009B5185">
            <w:pPr>
              <w:tabs>
                <w:tab w:val="right" w:pos="1202"/>
              </w:tabs>
              <w:spacing w:line="301" w:lineRule="exact"/>
              <w:jc w:val="right"/>
              <w:outlineLvl w:val="0"/>
              <w:rPr>
                <w:rFonts w:ascii="Arial" w:eastAsia="Times New Roman" w:hAnsi="Arial" w:cs="Arial"/>
                <w:b/>
                <w:bCs/>
                <w:color w:val="000000"/>
                <w:sz w:val="17"/>
                <w:szCs w:val="17"/>
              </w:rPr>
            </w:pPr>
            <w:r w:rsidRPr="00CE1C5B">
              <w:rPr>
                <w:rFonts w:ascii="Arial" w:hAnsi="Arial" w:cs="Arial"/>
                <w:b/>
                <w:bCs/>
                <w:sz w:val="17"/>
                <w:szCs w:val="17"/>
              </w:rPr>
              <w:t xml:space="preserve"> 468.113 </w:t>
            </w:r>
          </w:p>
        </w:tc>
        <w:tc>
          <w:tcPr>
            <w:tcW w:w="592" w:type="pct"/>
            <w:tcBorders>
              <w:top w:val="single" w:sz="8" w:space="0" w:color="auto"/>
              <w:left w:val="nil"/>
              <w:bottom w:val="single" w:sz="12" w:space="0" w:color="auto"/>
              <w:right w:val="nil"/>
            </w:tcBorders>
            <w:shd w:val="clear" w:color="auto" w:fill="auto"/>
            <w:vAlign w:val="bottom"/>
          </w:tcPr>
          <w:p w14:paraId="75748A36" w14:textId="18200015" w:rsidR="009B5185" w:rsidRPr="00F43653" w:rsidRDefault="009B5185" w:rsidP="009B5185">
            <w:pPr>
              <w:tabs>
                <w:tab w:val="right" w:pos="1202"/>
              </w:tabs>
              <w:spacing w:line="301" w:lineRule="exact"/>
              <w:jc w:val="right"/>
              <w:outlineLvl w:val="0"/>
              <w:rPr>
                <w:rFonts w:ascii="Arial" w:eastAsia="Times New Roman" w:hAnsi="Arial" w:cs="Arial"/>
                <w:b/>
                <w:bCs/>
                <w:color w:val="000000"/>
                <w:sz w:val="17"/>
                <w:szCs w:val="17"/>
              </w:rPr>
            </w:pPr>
            <w:r w:rsidRPr="00CE1C5B">
              <w:rPr>
                <w:rFonts w:ascii="Arial" w:hAnsi="Arial" w:cs="Arial"/>
                <w:b/>
                <w:bCs/>
                <w:sz w:val="17"/>
                <w:szCs w:val="17"/>
              </w:rPr>
              <w:t xml:space="preserve"> (943)</w:t>
            </w:r>
          </w:p>
        </w:tc>
        <w:tc>
          <w:tcPr>
            <w:tcW w:w="593" w:type="pct"/>
            <w:tcBorders>
              <w:top w:val="single" w:sz="8" w:space="0" w:color="auto"/>
              <w:left w:val="nil"/>
              <w:bottom w:val="single" w:sz="12" w:space="0" w:color="auto"/>
              <w:right w:val="nil"/>
            </w:tcBorders>
            <w:shd w:val="clear" w:color="auto" w:fill="auto"/>
            <w:vAlign w:val="bottom"/>
          </w:tcPr>
          <w:p w14:paraId="12E7316E" w14:textId="5B3711D5" w:rsidR="009B5185" w:rsidRPr="00F43653" w:rsidRDefault="009B5185" w:rsidP="009B5185">
            <w:pPr>
              <w:tabs>
                <w:tab w:val="right" w:pos="1202"/>
              </w:tabs>
              <w:spacing w:line="301" w:lineRule="exact"/>
              <w:jc w:val="right"/>
              <w:outlineLvl w:val="0"/>
              <w:rPr>
                <w:rFonts w:ascii="Arial" w:eastAsia="Times New Roman" w:hAnsi="Arial" w:cs="Arial"/>
                <w:b/>
                <w:bCs/>
                <w:color w:val="000000"/>
                <w:sz w:val="17"/>
                <w:szCs w:val="17"/>
              </w:rPr>
            </w:pPr>
            <w:r w:rsidRPr="00CE1C5B">
              <w:rPr>
                <w:rFonts w:ascii="Arial" w:hAnsi="Arial" w:cs="Arial"/>
                <w:b/>
                <w:bCs/>
                <w:sz w:val="17"/>
                <w:szCs w:val="17"/>
              </w:rPr>
              <w:t xml:space="preserve"> 29.842 </w:t>
            </w:r>
          </w:p>
        </w:tc>
        <w:tc>
          <w:tcPr>
            <w:tcW w:w="592" w:type="pct"/>
            <w:tcBorders>
              <w:top w:val="single" w:sz="8" w:space="0" w:color="auto"/>
              <w:left w:val="nil"/>
              <w:bottom w:val="single" w:sz="12" w:space="0" w:color="auto"/>
              <w:right w:val="nil"/>
            </w:tcBorders>
            <w:shd w:val="clear" w:color="auto" w:fill="auto"/>
            <w:vAlign w:val="bottom"/>
          </w:tcPr>
          <w:p w14:paraId="4A600D85" w14:textId="16F82225" w:rsidR="009B5185" w:rsidRPr="00F43653" w:rsidRDefault="009B5185" w:rsidP="009B5185">
            <w:pPr>
              <w:tabs>
                <w:tab w:val="right" w:pos="1202"/>
              </w:tabs>
              <w:spacing w:line="301" w:lineRule="exact"/>
              <w:jc w:val="right"/>
              <w:outlineLvl w:val="0"/>
              <w:rPr>
                <w:rFonts w:ascii="Arial" w:eastAsia="Times New Roman" w:hAnsi="Arial" w:cs="Arial"/>
                <w:b/>
                <w:bCs/>
                <w:color w:val="000000"/>
                <w:sz w:val="17"/>
                <w:szCs w:val="17"/>
              </w:rPr>
            </w:pPr>
            <w:r w:rsidRPr="00CE1C5B">
              <w:rPr>
                <w:rFonts w:ascii="Arial" w:hAnsi="Arial" w:cs="Arial"/>
                <w:b/>
                <w:bCs/>
                <w:sz w:val="17"/>
                <w:szCs w:val="17"/>
              </w:rPr>
              <w:t xml:space="preserve"> 1.638 </w:t>
            </w:r>
          </w:p>
        </w:tc>
        <w:tc>
          <w:tcPr>
            <w:tcW w:w="593" w:type="pct"/>
            <w:tcBorders>
              <w:top w:val="single" w:sz="8" w:space="0" w:color="auto"/>
              <w:left w:val="nil"/>
              <w:bottom w:val="single" w:sz="12" w:space="0" w:color="auto"/>
              <w:right w:val="nil"/>
            </w:tcBorders>
            <w:shd w:val="clear" w:color="auto" w:fill="auto"/>
            <w:vAlign w:val="bottom"/>
          </w:tcPr>
          <w:p w14:paraId="61F388DF" w14:textId="3EF11589" w:rsidR="009B5185" w:rsidRPr="00F43653" w:rsidRDefault="009B5185" w:rsidP="009B5185">
            <w:pPr>
              <w:tabs>
                <w:tab w:val="right" w:pos="1202"/>
              </w:tabs>
              <w:spacing w:line="301" w:lineRule="exact"/>
              <w:jc w:val="right"/>
              <w:outlineLvl w:val="0"/>
              <w:rPr>
                <w:rFonts w:ascii="Arial" w:eastAsia="Times New Roman" w:hAnsi="Arial" w:cs="Arial"/>
                <w:b/>
                <w:bCs/>
                <w:color w:val="000000"/>
                <w:sz w:val="17"/>
                <w:szCs w:val="17"/>
              </w:rPr>
            </w:pPr>
            <w:r w:rsidRPr="00CE1C5B">
              <w:rPr>
                <w:rFonts w:ascii="Arial" w:hAnsi="Arial" w:cs="Arial"/>
                <w:b/>
                <w:bCs/>
                <w:sz w:val="17"/>
                <w:szCs w:val="17"/>
              </w:rPr>
              <w:t xml:space="preserve"> 1.457.523 </w:t>
            </w:r>
          </w:p>
        </w:tc>
      </w:tr>
      <w:tr w:rsidR="009B5185" w:rsidRPr="00F43653" w14:paraId="56DB6A2C" w14:textId="77777777" w:rsidTr="007478FB">
        <w:trPr>
          <w:trHeight w:val="386"/>
        </w:trPr>
        <w:tc>
          <w:tcPr>
            <w:tcW w:w="1444" w:type="pct"/>
            <w:vAlign w:val="bottom"/>
          </w:tcPr>
          <w:p w14:paraId="078C1806" w14:textId="4A80A832" w:rsidR="009B5185" w:rsidRPr="00F43653" w:rsidRDefault="009B5185" w:rsidP="009B5185">
            <w:pPr>
              <w:tabs>
                <w:tab w:val="right" w:pos="1202"/>
              </w:tabs>
              <w:outlineLvl w:val="0"/>
              <w:rPr>
                <w:rFonts w:ascii="Arial" w:eastAsia="Times New Roman" w:hAnsi="Arial" w:cs="Arial"/>
                <w:iCs/>
                <w:color w:val="000000"/>
                <w:sz w:val="17"/>
                <w:szCs w:val="17"/>
              </w:rPr>
            </w:pPr>
            <w:r w:rsidRPr="00F43653">
              <w:rPr>
                <w:rFonts w:ascii="Arial" w:eastAsia="Times New Roman" w:hAnsi="Arial" w:cs="Arial"/>
                <w:iCs/>
                <w:color w:val="000000"/>
                <w:sz w:val="17"/>
                <w:szCs w:val="17"/>
              </w:rPr>
              <w:t>Dobit tekućeg razdoblja</w:t>
            </w:r>
          </w:p>
        </w:tc>
        <w:tc>
          <w:tcPr>
            <w:tcW w:w="592" w:type="pct"/>
            <w:tcBorders>
              <w:top w:val="single" w:sz="12" w:space="0" w:color="auto"/>
              <w:left w:val="nil"/>
              <w:bottom w:val="nil"/>
              <w:right w:val="nil"/>
            </w:tcBorders>
            <w:shd w:val="clear" w:color="auto" w:fill="auto"/>
            <w:vAlign w:val="bottom"/>
          </w:tcPr>
          <w:p w14:paraId="24824645" w14:textId="4FBBEA6F" w:rsidR="009B5185" w:rsidRPr="00F43653" w:rsidRDefault="00E63606" w:rsidP="009B5185">
            <w:pPr>
              <w:tabs>
                <w:tab w:val="right" w:pos="1202"/>
              </w:tabs>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93" w:type="pct"/>
            <w:tcBorders>
              <w:top w:val="single" w:sz="12" w:space="0" w:color="auto"/>
              <w:left w:val="nil"/>
              <w:bottom w:val="nil"/>
              <w:right w:val="nil"/>
            </w:tcBorders>
            <w:shd w:val="clear" w:color="auto" w:fill="auto"/>
            <w:vAlign w:val="bottom"/>
          </w:tcPr>
          <w:p w14:paraId="34CE7F5D" w14:textId="5DC1B96A" w:rsidR="009B5185" w:rsidRPr="00F43653" w:rsidRDefault="00E63606" w:rsidP="009B5185">
            <w:pPr>
              <w:tabs>
                <w:tab w:val="right" w:pos="1202"/>
              </w:tabs>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92" w:type="pct"/>
            <w:tcBorders>
              <w:top w:val="single" w:sz="12" w:space="0" w:color="auto"/>
              <w:left w:val="nil"/>
              <w:bottom w:val="nil"/>
              <w:right w:val="nil"/>
            </w:tcBorders>
            <w:shd w:val="clear" w:color="auto" w:fill="auto"/>
            <w:vAlign w:val="bottom"/>
          </w:tcPr>
          <w:p w14:paraId="70F8D266" w14:textId="5E970AD5" w:rsidR="009B5185" w:rsidRPr="00F43653" w:rsidRDefault="0034504A" w:rsidP="009B5185">
            <w:pPr>
              <w:tabs>
                <w:tab w:val="right" w:pos="1202"/>
              </w:tabs>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93" w:type="pct"/>
            <w:tcBorders>
              <w:top w:val="single" w:sz="12" w:space="0" w:color="auto"/>
              <w:left w:val="nil"/>
              <w:bottom w:val="nil"/>
              <w:right w:val="nil"/>
            </w:tcBorders>
            <w:shd w:val="clear" w:color="auto" w:fill="auto"/>
            <w:vAlign w:val="bottom"/>
          </w:tcPr>
          <w:p w14:paraId="14AC7510" w14:textId="1029CC65" w:rsidR="009B5185" w:rsidRPr="00F43653" w:rsidRDefault="00C85F6E" w:rsidP="009B5185">
            <w:pPr>
              <w:tabs>
                <w:tab w:val="right" w:pos="1202"/>
              </w:tabs>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43.565</w:t>
            </w:r>
          </w:p>
        </w:tc>
        <w:tc>
          <w:tcPr>
            <w:tcW w:w="592" w:type="pct"/>
            <w:tcBorders>
              <w:top w:val="single" w:sz="12" w:space="0" w:color="auto"/>
              <w:left w:val="nil"/>
              <w:bottom w:val="nil"/>
              <w:right w:val="nil"/>
            </w:tcBorders>
            <w:shd w:val="clear" w:color="auto" w:fill="auto"/>
            <w:vAlign w:val="bottom"/>
          </w:tcPr>
          <w:p w14:paraId="3713B0C5" w14:textId="5FFD636F" w:rsidR="009B5185" w:rsidRPr="00F43653" w:rsidRDefault="005159D3" w:rsidP="009B5185">
            <w:pPr>
              <w:tabs>
                <w:tab w:val="right" w:pos="1202"/>
              </w:tabs>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93" w:type="pct"/>
            <w:tcBorders>
              <w:top w:val="single" w:sz="12" w:space="0" w:color="auto"/>
              <w:left w:val="nil"/>
              <w:bottom w:val="nil"/>
              <w:right w:val="nil"/>
            </w:tcBorders>
            <w:shd w:val="clear" w:color="auto" w:fill="auto"/>
            <w:vAlign w:val="bottom"/>
          </w:tcPr>
          <w:p w14:paraId="097133C3" w14:textId="2C4AFE5A" w:rsidR="009B5185" w:rsidRPr="00F43653" w:rsidRDefault="005159D3" w:rsidP="009B5185">
            <w:pPr>
              <w:tabs>
                <w:tab w:val="right" w:pos="1202"/>
              </w:tabs>
              <w:jc w:val="right"/>
              <w:outlineLvl w:val="0"/>
              <w:rPr>
                <w:rFonts w:ascii="Arial" w:eastAsia="Times New Roman" w:hAnsi="Arial" w:cs="Arial"/>
                <w:b/>
                <w:iCs/>
                <w:color w:val="000000"/>
                <w:sz w:val="17"/>
                <w:szCs w:val="17"/>
              </w:rPr>
            </w:pPr>
            <w:r>
              <w:rPr>
                <w:rFonts w:ascii="Arial" w:eastAsia="Times New Roman" w:hAnsi="Arial" w:cs="Arial"/>
                <w:b/>
                <w:iCs/>
                <w:color w:val="000000"/>
                <w:sz w:val="17"/>
                <w:szCs w:val="17"/>
              </w:rPr>
              <w:t>43.565</w:t>
            </w:r>
          </w:p>
        </w:tc>
      </w:tr>
      <w:tr w:rsidR="009B5185" w:rsidRPr="00F43653" w14:paraId="013E1F09" w14:textId="77777777" w:rsidTr="007478FB">
        <w:trPr>
          <w:trHeight w:val="283"/>
        </w:trPr>
        <w:tc>
          <w:tcPr>
            <w:tcW w:w="1444" w:type="pct"/>
            <w:vAlign w:val="bottom"/>
          </w:tcPr>
          <w:p w14:paraId="3A850BE0" w14:textId="77777777" w:rsidR="009B5185" w:rsidRPr="00F43653" w:rsidRDefault="009B5185" w:rsidP="009B5185">
            <w:pPr>
              <w:tabs>
                <w:tab w:val="right" w:pos="1202"/>
              </w:tabs>
              <w:outlineLvl w:val="0"/>
              <w:rPr>
                <w:rFonts w:ascii="Arial" w:eastAsia="Times New Roman" w:hAnsi="Arial" w:cs="Arial"/>
                <w:iCs/>
                <w:color w:val="000000"/>
                <w:sz w:val="17"/>
                <w:szCs w:val="17"/>
              </w:rPr>
            </w:pPr>
            <w:bookmarkStart w:id="247" w:name="_Toc67327311"/>
            <w:r w:rsidRPr="00F43653">
              <w:rPr>
                <w:rFonts w:ascii="Arial" w:eastAsia="Times New Roman" w:hAnsi="Arial" w:cs="Arial"/>
                <w:iCs/>
                <w:color w:val="000000"/>
                <w:sz w:val="17"/>
                <w:szCs w:val="17"/>
              </w:rPr>
              <w:t>Ostala sveobuhvatna dobit</w:t>
            </w:r>
            <w:bookmarkEnd w:id="247"/>
          </w:p>
        </w:tc>
        <w:tc>
          <w:tcPr>
            <w:tcW w:w="592" w:type="pct"/>
            <w:tcBorders>
              <w:top w:val="nil"/>
              <w:left w:val="nil"/>
              <w:bottom w:val="single" w:sz="4" w:space="0" w:color="auto"/>
              <w:right w:val="nil"/>
            </w:tcBorders>
            <w:shd w:val="clear" w:color="auto" w:fill="auto"/>
            <w:vAlign w:val="bottom"/>
          </w:tcPr>
          <w:p w14:paraId="1D256DD0" w14:textId="771D9311" w:rsidR="009B5185" w:rsidRPr="00F43653" w:rsidRDefault="00E63606" w:rsidP="009B5185">
            <w:pPr>
              <w:tabs>
                <w:tab w:val="right" w:pos="1202"/>
              </w:tabs>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93" w:type="pct"/>
            <w:tcBorders>
              <w:top w:val="nil"/>
              <w:left w:val="nil"/>
              <w:bottom w:val="single" w:sz="4" w:space="0" w:color="auto"/>
              <w:right w:val="nil"/>
            </w:tcBorders>
            <w:shd w:val="clear" w:color="auto" w:fill="auto"/>
            <w:vAlign w:val="bottom"/>
          </w:tcPr>
          <w:p w14:paraId="3FF28B72" w14:textId="6BF2F371" w:rsidR="009B5185" w:rsidRPr="00F43653" w:rsidRDefault="00E63606" w:rsidP="009B5185">
            <w:pPr>
              <w:tabs>
                <w:tab w:val="right" w:pos="1202"/>
              </w:tabs>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92" w:type="pct"/>
            <w:tcBorders>
              <w:top w:val="nil"/>
              <w:left w:val="nil"/>
              <w:bottom w:val="single" w:sz="4" w:space="0" w:color="auto"/>
              <w:right w:val="nil"/>
            </w:tcBorders>
            <w:shd w:val="clear" w:color="auto" w:fill="auto"/>
            <w:vAlign w:val="bottom"/>
          </w:tcPr>
          <w:p w14:paraId="56DC67CF" w14:textId="4D5C3399" w:rsidR="009B5185" w:rsidRPr="00F43653" w:rsidRDefault="0034504A" w:rsidP="009B5185">
            <w:pPr>
              <w:tabs>
                <w:tab w:val="right" w:pos="1202"/>
              </w:tabs>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2.706</w:t>
            </w:r>
          </w:p>
        </w:tc>
        <w:tc>
          <w:tcPr>
            <w:tcW w:w="593" w:type="pct"/>
            <w:tcBorders>
              <w:top w:val="nil"/>
              <w:left w:val="nil"/>
              <w:bottom w:val="single" w:sz="4" w:space="0" w:color="auto"/>
              <w:right w:val="nil"/>
            </w:tcBorders>
            <w:shd w:val="clear" w:color="auto" w:fill="auto"/>
            <w:vAlign w:val="bottom"/>
          </w:tcPr>
          <w:p w14:paraId="60875068" w14:textId="2E93081F" w:rsidR="009B5185" w:rsidRPr="00F43653" w:rsidRDefault="00C85F6E" w:rsidP="009B5185">
            <w:pPr>
              <w:tabs>
                <w:tab w:val="right" w:pos="1202"/>
              </w:tabs>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92" w:type="pct"/>
            <w:tcBorders>
              <w:top w:val="nil"/>
              <w:left w:val="nil"/>
              <w:bottom w:val="single" w:sz="4" w:space="0" w:color="auto"/>
              <w:right w:val="nil"/>
            </w:tcBorders>
            <w:shd w:val="clear" w:color="auto" w:fill="auto"/>
            <w:vAlign w:val="bottom"/>
          </w:tcPr>
          <w:p w14:paraId="42248850" w14:textId="16DC884C" w:rsidR="009B5185" w:rsidRPr="00F43653" w:rsidRDefault="005159D3" w:rsidP="009B5185">
            <w:pPr>
              <w:tabs>
                <w:tab w:val="right" w:pos="1202"/>
              </w:tabs>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93" w:type="pct"/>
            <w:tcBorders>
              <w:top w:val="nil"/>
              <w:left w:val="nil"/>
              <w:bottom w:val="single" w:sz="4" w:space="0" w:color="auto"/>
              <w:right w:val="nil"/>
            </w:tcBorders>
            <w:shd w:val="clear" w:color="auto" w:fill="auto"/>
            <w:vAlign w:val="bottom"/>
          </w:tcPr>
          <w:p w14:paraId="0E8E396F" w14:textId="5623D6A0" w:rsidR="009B5185" w:rsidRPr="00F43653" w:rsidRDefault="005159D3" w:rsidP="009B5185">
            <w:pPr>
              <w:tabs>
                <w:tab w:val="right" w:pos="1202"/>
              </w:tabs>
              <w:jc w:val="right"/>
              <w:outlineLvl w:val="0"/>
              <w:rPr>
                <w:rFonts w:ascii="Arial" w:eastAsia="Times New Roman" w:hAnsi="Arial" w:cs="Arial"/>
                <w:b/>
                <w:iCs/>
                <w:color w:val="000000"/>
                <w:sz w:val="17"/>
                <w:szCs w:val="17"/>
              </w:rPr>
            </w:pPr>
            <w:r>
              <w:rPr>
                <w:rFonts w:ascii="Arial" w:eastAsia="Times New Roman" w:hAnsi="Arial" w:cs="Arial"/>
                <w:b/>
                <w:iCs/>
                <w:color w:val="000000"/>
                <w:sz w:val="17"/>
                <w:szCs w:val="17"/>
              </w:rPr>
              <w:t>2.706</w:t>
            </w:r>
          </w:p>
        </w:tc>
      </w:tr>
      <w:tr w:rsidR="009B5185" w:rsidRPr="00F43653" w14:paraId="212AB8D2" w14:textId="77777777" w:rsidTr="007478FB">
        <w:trPr>
          <w:trHeight w:val="62"/>
        </w:trPr>
        <w:tc>
          <w:tcPr>
            <w:tcW w:w="1444" w:type="pct"/>
            <w:vAlign w:val="bottom"/>
          </w:tcPr>
          <w:p w14:paraId="4739493A" w14:textId="77777777" w:rsidR="009B5185" w:rsidRPr="00F43653" w:rsidRDefault="009B5185" w:rsidP="009B5185">
            <w:pPr>
              <w:tabs>
                <w:tab w:val="right" w:pos="1202"/>
              </w:tabs>
              <w:spacing w:line="240" w:lineRule="exact"/>
              <w:outlineLvl w:val="0"/>
              <w:rPr>
                <w:rFonts w:ascii="Arial" w:eastAsia="Times New Roman" w:hAnsi="Arial" w:cs="Arial"/>
                <w:iCs/>
                <w:color w:val="000000"/>
                <w:sz w:val="17"/>
                <w:szCs w:val="17"/>
              </w:rPr>
            </w:pPr>
            <w:bookmarkStart w:id="248" w:name="_Toc67327318"/>
            <w:r w:rsidRPr="00F43653">
              <w:rPr>
                <w:rFonts w:ascii="Arial" w:eastAsia="Times New Roman" w:hAnsi="Arial" w:cs="Arial"/>
                <w:iCs/>
                <w:color w:val="000000"/>
                <w:sz w:val="17"/>
                <w:szCs w:val="17"/>
              </w:rPr>
              <w:t>Ukupna sveobuhvatna dobit</w:t>
            </w:r>
            <w:bookmarkEnd w:id="248"/>
          </w:p>
        </w:tc>
        <w:tc>
          <w:tcPr>
            <w:tcW w:w="592" w:type="pct"/>
            <w:tcBorders>
              <w:top w:val="nil"/>
              <w:left w:val="nil"/>
              <w:bottom w:val="single" w:sz="4" w:space="0" w:color="auto"/>
              <w:right w:val="nil"/>
            </w:tcBorders>
            <w:shd w:val="clear" w:color="auto" w:fill="auto"/>
            <w:vAlign w:val="bottom"/>
          </w:tcPr>
          <w:p w14:paraId="7BBB0F4F" w14:textId="449FDED9" w:rsidR="009B5185" w:rsidRPr="00F43653" w:rsidRDefault="00E63606" w:rsidP="009B5185">
            <w:pPr>
              <w:tabs>
                <w:tab w:val="right" w:pos="1202"/>
              </w:tabs>
              <w:spacing w:line="301" w:lineRule="exact"/>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93" w:type="pct"/>
            <w:tcBorders>
              <w:top w:val="nil"/>
              <w:left w:val="nil"/>
              <w:bottom w:val="single" w:sz="4" w:space="0" w:color="auto"/>
              <w:right w:val="nil"/>
            </w:tcBorders>
            <w:shd w:val="clear" w:color="auto" w:fill="auto"/>
            <w:vAlign w:val="bottom"/>
          </w:tcPr>
          <w:p w14:paraId="52473BD0" w14:textId="62723162" w:rsidR="009B5185" w:rsidRPr="00F43653" w:rsidRDefault="00E63606" w:rsidP="009B5185">
            <w:pPr>
              <w:tabs>
                <w:tab w:val="right" w:pos="1202"/>
              </w:tabs>
              <w:spacing w:line="301" w:lineRule="exact"/>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92" w:type="pct"/>
            <w:tcBorders>
              <w:top w:val="nil"/>
              <w:left w:val="nil"/>
              <w:bottom w:val="single" w:sz="4" w:space="0" w:color="auto"/>
              <w:right w:val="nil"/>
            </w:tcBorders>
            <w:shd w:val="clear" w:color="auto" w:fill="auto"/>
            <w:vAlign w:val="bottom"/>
          </w:tcPr>
          <w:p w14:paraId="11CE8CFB" w14:textId="59233EC6" w:rsidR="009B5185" w:rsidRPr="00F43653" w:rsidRDefault="0034504A" w:rsidP="009B5185">
            <w:pPr>
              <w:tabs>
                <w:tab w:val="right" w:pos="1202"/>
              </w:tabs>
              <w:spacing w:line="301" w:lineRule="exact"/>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2.706</w:t>
            </w:r>
          </w:p>
        </w:tc>
        <w:tc>
          <w:tcPr>
            <w:tcW w:w="593" w:type="pct"/>
            <w:tcBorders>
              <w:top w:val="nil"/>
              <w:left w:val="nil"/>
              <w:bottom w:val="single" w:sz="4" w:space="0" w:color="auto"/>
              <w:right w:val="nil"/>
            </w:tcBorders>
            <w:shd w:val="clear" w:color="auto" w:fill="auto"/>
            <w:vAlign w:val="bottom"/>
          </w:tcPr>
          <w:p w14:paraId="3C033AAC" w14:textId="10068BB4" w:rsidR="009B5185" w:rsidRPr="00F43653" w:rsidRDefault="00C85F6E" w:rsidP="009B5185">
            <w:pPr>
              <w:tabs>
                <w:tab w:val="right" w:pos="1202"/>
              </w:tabs>
              <w:spacing w:line="301" w:lineRule="exact"/>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43.565</w:t>
            </w:r>
          </w:p>
        </w:tc>
        <w:tc>
          <w:tcPr>
            <w:tcW w:w="592" w:type="pct"/>
            <w:tcBorders>
              <w:top w:val="nil"/>
              <w:left w:val="nil"/>
              <w:bottom w:val="single" w:sz="4" w:space="0" w:color="auto"/>
              <w:right w:val="nil"/>
            </w:tcBorders>
            <w:shd w:val="clear" w:color="auto" w:fill="auto"/>
            <w:vAlign w:val="bottom"/>
          </w:tcPr>
          <w:p w14:paraId="62EEA8E1" w14:textId="25657F76" w:rsidR="009B5185" w:rsidRPr="00F43653" w:rsidRDefault="005159D3" w:rsidP="009B5185">
            <w:pPr>
              <w:tabs>
                <w:tab w:val="right" w:pos="1202"/>
              </w:tabs>
              <w:spacing w:line="301" w:lineRule="exact"/>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93" w:type="pct"/>
            <w:tcBorders>
              <w:top w:val="nil"/>
              <w:left w:val="nil"/>
              <w:bottom w:val="single" w:sz="4" w:space="0" w:color="auto"/>
              <w:right w:val="nil"/>
            </w:tcBorders>
            <w:shd w:val="clear" w:color="auto" w:fill="auto"/>
            <w:vAlign w:val="bottom"/>
          </w:tcPr>
          <w:p w14:paraId="78D1BC1E" w14:textId="11948EFE" w:rsidR="009B5185" w:rsidRPr="00196312" w:rsidRDefault="00037E0B" w:rsidP="009B5185">
            <w:pPr>
              <w:tabs>
                <w:tab w:val="right" w:pos="1202"/>
              </w:tabs>
              <w:spacing w:line="301" w:lineRule="exact"/>
              <w:jc w:val="right"/>
              <w:outlineLvl w:val="0"/>
              <w:rPr>
                <w:rFonts w:ascii="Arial" w:eastAsia="Times New Roman" w:hAnsi="Arial" w:cs="Arial"/>
                <w:b/>
                <w:bCs/>
                <w:iCs/>
                <w:color w:val="000000"/>
                <w:sz w:val="17"/>
                <w:szCs w:val="17"/>
              </w:rPr>
            </w:pPr>
            <w:r>
              <w:rPr>
                <w:rFonts w:ascii="Arial" w:eastAsia="Times New Roman" w:hAnsi="Arial" w:cs="Arial"/>
                <w:b/>
                <w:bCs/>
                <w:iCs/>
                <w:color w:val="000000"/>
                <w:sz w:val="17"/>
                <w:szCs w:val="17"/>
              </w:rPr>
              <w:t>46.271</w:t>
            </w:r>
          </w:p>
        </w:tc>
      </w:tr>
      <w:tr w:rsidR="009B5185" w:rsidRPr="00F43653" w14:paraId="1BB9E532" w14:textId="77777777" w:rsidTr="007478FB">
        <w:trPr>
          <w:trHeight w:val="565"/>
        </w:trPr>
        <w:tc>
          <w:tcPr>
            <w:tcW w:w="1444" w:type="pct"/>
            <w:vAlign w:val="bottom"/>
          </w:tcPr>
          <w:p w14:paraId="048CC2C2" w14:textId="77777777" w:rsidR="009B5185" w:rsidRPr="00F43653" w:rsidRDefault="009B5185" w:rsidP="009B5185">
            <w:pPr>
              <w:tabs>
                <w:tab w:val="right" w:pos="1202"/>
              </w:tabs>
              <w:spacing w:line="240" w:lineRule="exact"/>
              <w:outlineLvl w:val="0"/>
              <w:rPr>
                <w:rFonts w:ascii="Arial" w:eastAsia="Times New Roman" w:hAnsi="Arial" w:cs="Arial"/>
                <w:i/>
                <w:iCs/>
                <w:color w:val="000000"/>
                <w:sz w:val="17"/>
                <w:szCs w:val="17"/>
              </w:rPr>
            </w:pPr>
            <w:bookmarkStart w:id="249" w:name="_Toc67327332"/>
            <w:r w:rsidRPr="00F43653">
              <w:rPr>
                <w:rFonts w:ascii="Arial" w:eastAsia="Times New Roman" w:hAnsi="Arial" w:cs="Arial"/>
                <w:iCs/>
                <w:color w:val="000000"/>
                <w:sz w:val="17"/>
                <w:szCs w:val="17"/>
              </w:rPr>
              <w:t>Uplate u osnivački kapital iz državnog proračuna</w:t>
            </w:r>
            <w:bookmarkEnd w:id="249"/>
            <w:r w:rsidRPr="00F43653">
              <w:rPr>
                <w:rFonts w:ascii="Arial" w:eastAsia="Times New Roman" w:hAnsi="Arial" w:cs="Arial"/>
                <w:iCs/>
                <w:color w:val="000000"/>
                <w:sz w:val="17"/>
                <w:szCs w:val="17"/>
              </w:rPr>
              <w:t xml:space="preserve"> </w:t>
            </w:r>
          </w:p>
        </w:tc>
        <w:tc>
          <w:tcPr>
            <w:tcW w:w="592" w:type="pct"/>
            <w:tcBorders>
              <w:top w:val="nil"/>
              <w:left w:val="nil"/>
              <w:bottom w:val="nil"/>
              <w:right w:val="nil"/>
            </w:tcBorders>
            <w:shd w:val="clear" w:color="auto" w:fill="auto"/>
            <w:vAlign w:val="bottom"/>
          </w:tcPr>
          <w:p w14:paraId="27184E91" w14:textId="4435056C" w:rsidR="009B5185" w:rsidRPr="00F43653" w:rsidRDefault="00E63606" w:rsidP="009B5185">
            <w:pPr>
              <w:tabs>
                <w:tab w:val="right" w:pos="1202"/>
              </w:tabs>
              <w:spacing w:line="301" w:lineRule="exact"/>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93" w:type="pct"/>
            <w:tcBorders>
              <w:top w:val="nil"/>
              <w:left w:val="nil"/>
              <w:bottom w:val="nil"/>
              <w:right w:val="nil"/>
            </w:tcBorders>
            <w:shd w:val="clear" w:color="auto" w:fill="auto"/>
            <w:vAlign w:val="bottom"/>
          </w:tcPr>
          <w:p w14:paraId="6A8ACC17" w14:textId="51DD55D7" w:rsidR="009B5185" w:rsidRPr="00F43653" w:rsidRDefault="00E63606" w:rsidP="009B5185">
            <w:pPr>
              <w:tabs>
                <w:tab w:val="right" w:pos="1202"/>
              </w:tabs>
              <w:spacing w:line="301" w:lineRule="exact"/>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92" w:type="pct"/>
            <w:tcBorders>
              <w:top w:val="nil"/>
              <w:left w:val="nil"/>
              <w:bottom w:val="nil"/>
              <w:right w:val="nil"/>
            </w:tcBorders>
            <w:shd w:val="clear" w:color="auto" w:fill="auto"/>
            <w:vAlign w:val="bottom"/>
          </w:tcPr>
          <w:p w14:paraId="69C49021" w14:textId="382C0D7E" w:rsidR="009B5185" w:rsidRPr="00F43653" w:rsidRDefault="0034504A" w:rsidP="009B5185">
            <w:pPr>
              <w:tabs>
                <w:tab w:val="right" w:pos="1202"/>
              </w:tabs>
              <w:spacing w:line="301" w:lineRule="exact"/>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93" w:type="pct"/>
            <w:tcBorders>
              <w:top w:val="nil"/>
              <w:left w:val="nil"/>
              <w:bottom w:val="nil"/>
              <w:right w:val="nil"/>
            </w:tcBorders>
            <w:shd w:val="clear" w:color="auto" w:fill="auto"/>
            <w:vAlign w:val="bottom"/>
          </w:tcPr>
          <w:p w14:paraId="34DA32E8" w14:textId="662A3A67" w:rsidR="009B5185" w:rsidRPr="00F43653" w:rsidRDefault="00C85F6E" w:rsidP="009B5185">
            <w:pPr>
              <w:tabs>
                <w:tab w:val="right" w:pos="1202"/>
              </w:tabs>
              <w:spacing w:line="301" w:lineRule="exact"/>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92" w:type="pct"/>
            <w:tcBorders>
              <w:top w:val="nil"/>
              <w:left w:val="nil"/>
              <w:bottom w:val="nil"/>
              <w:right w:val="nil"/>
            </w:tcBorders>
            <w:shd w:val="clear" w:color="auto" w:fill="auto"/>
            <w:vAlign w:val="bottom"/>
          </w:tcPr>
          <w:p w14:paraId="31DFBDDB" w14:textId="41D7A005" w:rsidR="009B5185" w:rsidRPr="00F43653" w:rsidRDefault="005159D3" w:rsidP="009B5185">
            <w:pPr>
              <w:tabs>
                <w:tab w:val="right" w:pos="1202"/>
              </w:tabs>
              <w:spacing w:line="301" w:lineRule="exact"/>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93" w:type="pct"/>
            <w:tcBorders>
              <w:top w:val="nil"/>
              <w:left w:val="nil"/>
              <w:bottom w:val="nil"/>
              <w:right w:val="nil"/>
            </w:tcBorders>
            <w:shd w:val="clear" w:color="auto" w:fill="auto"/>
            <w:vAlign w:val="bottom"/>
          </w:tcPr>
          <w:p w14:paraId="6F8350A6" w14:textId="0B3E5089" w:rsidR="009B5185" w:rsidRPr="00E40F4A" w:rsidRDefault="00037E0B" w:rsidP="009B5185">
            <w:pPr>
              <w:tabs>
                <w:tab w:val="right" w:pos="1202"/>
              </w:tabs>
              <w:spacing w:line="301" w:lineRule="exact"/>
              <w:jc w:val="right"/>
              <w:outlineLvl w:val="0"/>
              <w:rPr>
                <w:rFonts w:ascii="Arial" w:eastAsia="Times New Roman" w:hAnsi="Arial" w:cs="Arial"/>
                <w:b/>
                <w:bCs/>
                <w:iCs/>
                <w:color w:val="000000"/>
                <w:sz w:val="17"/>
                <w:szCs w:val="17"/>
              </w:rPr>
            </w:pPr>
            <w:r>
              <w:rPr>
                <w:rFonts w:ascii="Arial" w:eastAsia="Times New Roman" w:hAnsi="Arial" w:cs="Arial"/>
                <w:b/>
                <w:bCs/>
                <w:iCs/>
                <w:color w:val="000000"/>
                <w:sz w:val="17"/>
                <w:szCs w:val="17"/>
              </w:rPr>
              <w:t>-</w:t>
            </w:r>
          </w:p>
        </w:tc>
      </w:tr>
      <w:tr w:rsidR="009B5185" w:rsidRPr="00F43653" w14:paraId="3D4F2AB6" w14:textId="77777777" w:rsidTr="007478FB">
        <w:trPr>
          <w:trHeight w:val="385"/>
        </w:trPr>
        <w:tc>
          <w:tcPr>
            <w:tcW w:w="1444" w:type="pct"/>
            <w:vAlign w:val="bottom"/>
          </w:tcPr>
          <w:p w14:paraId="459A706D" w14:textId="4BBE626B" w:rsidR="009B5185" w:rsidRPr="00F43653" w:rsidRDefault="009B5185" w:rsidP="009B5185">
            <w:pPr>
              <w:tabs>
                <w:tab w:val="right" w:pos="1202"/>
              </w:tabs>
              <w:spacing w:line="240" w:lineRule="exact"/>
              <w:outlineLvl w:val="0"/>
              <w:rPr>
                <w:rFonts w:ascii="Arial" w:eastAsia="Times New Roman" w:hAnsi="Arial" w:cs="Arial"/>
                <w:i/>
                <w:iCs/>
                <w:color w:val="000000"/>
                <w:sz w:val="17"/>
                <w:szCs w:val="17"/>
              </w:rPr>
            </w:pPr>
            <w:bookmarkStart w:id="250" w:name="_Toc67327339"/>
            <w:r w:rsidRPr="00F43653">
              <w:rPr>
                <w:rFonts w:ascii="Arial" w:eastAsia="Times New Roman" w:hAnsi="Arial" w:cs="Arial"/>
                <w:iCs/>
                <w:color w:val="000000"/>
                <w:sz w:val="17"/>
                <w:szCs w:val="17"/>
              </w:rPr>
              <w:t>Prijenos dobiti iz 202</w:t>
            </w:r>
            <w:r>
              <w:rPr>
                <w:rFonts w:ascii="Arial" w:eastAsia="Times New Roman" w:hAnsi="Arial" w:cs="Arial"/>
                <w:iCs/>
                <w:color w:val="000000"/>
                <w:sz w:val="17"/>
                <w:szCs w:val="17"/>
              </w:rPr>
              <w:t>3</w:t>
            </w:r>
            <w:r w:rsidRPr="00F43653">
              <w:rPr>
                <w:rFonts w:ascii="Arial" w:eastAsia="Times New Roman" w:hAnsi="Arial" w:cs="Arial"/>
                <w:iCs/>
                <w:color w:val="000000"/>
                <w:sz w:val="17"/>
                <w:szCs w:val="17"/>
              </w:rPr>
              <w:t>. godine u zadržanu dobit</w:t>
            </w:r>
            <w:bookmarkEnd w:id="250"/>
          </w:p>
        </w:tc>
        <w:tc>
          <w:tcPr>
            <w:tcW w:w="592" w:type="pct"/>
            <w:tcBorders>
              <w:top w:val="nil"/>
              <w:left w:val="nil"/>
              <w:bottom w:val="single" w:sz="4" w:space="0" w:color="auto"/>
              <w:right w:val="nil"/>
            </w:tcBorders>
            <w:shd w:val="clear" w:color="auto" w:fill="auto"/>
            <w:vAlign w:val="bottom"/>
          </w:tcPr>
          <w:p w14:paraId="50D7E774" w14:textId="411DCADD" w:rsidR="009B5185" w:rsidRPr="00F43653" w:rsidRDefault="00E63606" w:rsidP="009B5185">
            <w:pPr>
              <w:tabs>
                <w:tab w:val="right" w:pos="1202"/>
              </w:tabs>
              <w:spacing w:line="301" w:lineRule="exact"/>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93" w:type="pct"/>
            <w:tcBorders>
              <w:top w:val="nil"/>
              <w:left w:val="nil"/>
              <w:bottom w:val="single" w:sz="4" w:space="0" w:color="auto"/>
              <w:right w:val="nil"/>
            </w:tcBorders>
            <w:shd w:val="clear" w:color="auto" w:fill="auto"/>
            <w:vAlign w:val="bottom"/>
          </w:tcPr>
          <w:p w14:paraId="05D72F86" w14:textId="1CBB4833" w:rsidR="009B5185" w:rsidRPr="00F43653" w:rsidRDefault="00E63606" w:rsidP="009B5185">
            <w:pPr>
              <w:tabs>
                <w:tab w:val="right" w:pos="1202"/>
              </w:tabs>
              <w:spacing w:line="301" w:lineRule="exact"/>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29.842</w:t>
            </w:r>
          </w:p>
        </w:tc>
        <w:tc>
          <w:tcPr>
            <w:tcW w:w="592" w:type="pct"/>
            <w:tcBorders>
              <w:top w:val="nil"/>
              <w:left w:val="nil"/>
              <w:bottom w:val="single" w:sz="4" w:space="0" w:color="auto"/>
              <w:right w:val="nil"/>
            </w:tcBorders>
            <w:shd w:val="clear" w:color="auto" w:fill="auto"/>
            <w:vAlign w:val="bottom"/>
          </w:tcPr>
          <w:p w14:paraId="2B46EE1D" w14:textId="0D0E7344" w:rsidR="009B5185" w:rsidRPr="00F43653" w:rsidRDefault="0034504A" w:rsidP="009B5185">
            <w:pPr>
              <w:tabs>
                <w:tab w:val="right" w:pos="1202"/>
              </w:tabs>
              <w:spacing w:line="301" w:lineRule="exact"/>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93" w:type="pct"/>
            <w:tcBorders>
              <w:top w:val="nil"/>
              <w:left w:val="nil"/>
              <w:bottom w:val="single" w:sz="4" w:space="0" w:color="auto"/>
              <w:right w:val="nil"/>
            </w:tcBorders>
            <w:shd w:val="clear" w:color="auto" w:fill="auto"/>
            <w:vAlign w:val="bottom"/>
          </w:tcPr>
          <w:p w14:paraId="5B299E7B" w14:textId="248E12BB" w:rsidR="009B5185" w:rsidRPr="00F43653" w:rsidRDefault="00C85F6E" w:rsidP="009B5185">
            <w:pPr>
              <w:tabs>
                <w:tab w:val="right" w:pos="1202"/>
              </w:tabs>
              <w:spacing w:line="301" w:lineRule="exact"/>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(29.842)</w:t>
            </w:r>
          </w:p>
        </w:tc>
        <w:tc>
          <w:tcPr>
            <w:tcW w:w="592" w:type="pct"/>
            <w:tcBorders>
              <w:top w:val="nil"/>
              <w:left w:val="nil"/>
              <w:bottom w:val="single" w:sz="4" w:space="0" w:color="auto"/>
              <w:right w:val="nil"/>
            </w:tcBorders>
            <w:shd w:val="clear" w:color="auto" w:fill="auto"/>
            <w:vAlign w:val="bottom"/>
          </w:tcPr>
          <w:p w14:paraId="66B1CD9E" w14:textId="0822A49B" w:rsidR="009B5185" w:rsidRPr="00F43653" w:rsidRDefault="005159D3" w:rsidP="009B5185">
            <w:pPr>
              <w:tabs>
                <w:tab w:val="right" w:pos="1202"/>
              </w:tabs>
              <w:spacing w:line="301" w:lineRule="exact"/>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93" w:type="pct"/>
            <w:tcBorders>
              <w:top w:val="nil"/>
              <w:left w:val="nil"/>
              <w:bottom w:val="single" w:sz="4" w:space="0" w:color="auto"/>
              <w:right w:val="nil"/>
            </w:tcBorders>
            <w:shd w:val="clear" w:color="auto" w:fill="auto"/>
            <w:vAlign w:val="bottom"/>
          </w:tcPr>
          <w:p w14:paraId="4E2A06AE" w14:textId="70A45C54" w:rsidR="009B5185" w:rsidRPr="00E40F4A" w:rsidRDefault="00037E0B" w:rsidP="009B5185">
            <w:pPr>
              <w:tabs>
                <w:tab w:val="right" w:pos="1202"/>
              </w:tabs>
              <w:spacing w:line="301" w:lineRule="exact"/>
              <w:jc w:val="right"/>
              <w:outlineLvl w:val="0"/>
              <w:rPr>
                <w:rFonts w:ascii="Arial" w:eastAsia="Times New Roman" w:hAnsi="Arial" w:cs="Arial"/>
                <w:b/>
                <w:bCs/>
                <w:iCs/>
                <w:color w:val="000000"/>
                <w:sz w:val="17"/>
                <w:szCs w:val="17"/>
              </w:rPr>
            </w:pPr>
            <w:r>
              <w:rPr>
                <w:rFonts w:ascii="Arial" w:eastAsia="Times New Roman" w:hAnsi="Arial" w:cs="Arial"/>
                <w:b/>
                <w:bCs/>
                <w:iCs/>
                <w:color w:val="000000"/>
                <w:sz w:val="17"/>
                <w:szCs w:val="17"/>
              </w:rPr>
              <w:t>-</w:t>
            </w:r>
          </w:p>
        </w:tc>
      </w:tr>
      <w:tr w:rsidR="009B5185" w:rsidRPr="00F43653" w14:paraId="19FA725A" w14:textId="77777777" w:rsidTr="007478FB">
        <w:trPr>
          <w:trHeight w:val="240"/>
        </w:trPr>
        <w:tc>
          <w:tcPr>
            <w:tcW w:w="1444" w:type="pct"/>
            <w:vAlign w:val="bottom"/>
          </w:tcPr>
          <w:p w14:paraId="2126585E" w14:textId="62354D3A" w:rsidR="009B5185" w:rsidRPr="00F43653" w:rsidRDefault="009B5185" w:rsidP="009B5185">
            <w:pPr>
              <w:tabs>
                <w:tab w:val="right" w:pos="1202"/>
              </w:tabs>
              <w:spacing w:line="240" w:lineRule="exact"/>
              <w:outlineLvl w:val="0"/>
              <w:rPr>
                <w:rFonts w:ascii="Arial" w:eastAsia="Times New Roman" w:hAnsi="Arial" w:cs="Arial"/>
                <w:b/>
                <w:iCs/>
                <w:color w:val="000000"/>
                <w:sz w:val="17"/>
                <w:szCs w:val="17"/>
              </w:rPr>
            </w:pPr>
            <w:bookmarkStart w:id="251" w:name="_Toc67327346"/>
            <w:r w:rsidRPr="00F43653">
              <w:rPr>
                <w:rFonts w:ascii="Arial" w:eastAsia="Times New Roman" w:hAnsi="Arial" w:cs="Arial"/>
                <w:b/>
                <w:iCs/>
                <w:color w:val="000000"/>
                <w:sz w:val="17"/>
                <w:szCs w:val="17"/>
              </w:rPr>
              <w:t xml:space="preserve">Stanje 30. </w:t>
            </w:r>
            <w:r>
              <w:rPr>
                <w:rFonts w:ascii="Arial" w:eastAsia="Times New Roman" w:hAnsi="Arial" w:cs="Arial"/>
                <w:b/>
                <w:iCs/>
                <w:color w:val="000000"/>
                <w:sz w:val="17"/>
                <w:szCs w:val="17"/>
              </w:rPr>
              <w:t>rujn</w:t>
            </w:r>
            <w:r w:rsidRPr="00F43653">
              <w:rPr>
                <w:rFonts w:ascii="Arial" w:eastAsia="Times New Roman" w:hAnsi="Arial" w:cs="Arial"/>
                <w:b/>
                <w:iCs/>
                <w:color w:val="000000"/>
                <w:sz w:val="17"/>
                <w:szCs w:val="17"/>
              </w:rPr>
              <w:t>a 202</w:t>
            </w:r>
            <w:r>
              <w:rPr>
                <w:rFonts w:ascii="Arial" w:eastAsia="Times New Roman" w:hAnsi="Arial" w:cs="Arial"/>
                <w:b/>
                <w:iCs/>
                <w:color w:val="000000"/>
                <w:sz w:val="17"/>
                <w:szCs w:val="17"/>
              </w:rPr>
              <w:t>4</w:t>
            </w:r>
            <w:r w:rsidRPr="00F43653">
              <w:rPr>
                <w:rFonts w:ascii="Arial" w:eastAsia="Times New Roman" w:hAnsi="Arial" w:cs="Arial"/>
                <w:b/>
                <w:iCs/>
                <w:color w:val="000000"/>
                <w:sz w:val="17"/>
                <w:szCs w:val="17"/>
              </w:rPr>
              <w:t>.</w:t>
            </w:r>
            <w:bookmarkEnd w:id="251"/>
            <w:r w:rsidRPr="00F43653">
              <w:rPr>
                <w:rFonts w:ascii="Arial" w:eastAsia="Times New Roman" w:hAnsi="Arial" w:cs="Arial"/>
                <w:b/>
                <w:iCs/>
                <w:color w:val="000000"/>
                <w:sz w:val="17"/>
                <w:szCs w:val="17"/>
              </w:rPr>
              <w:t xml:space="preserve"> </w:t>
            </w:r>
          </w:p>
        </w:tc>
        <w:tc>
          <w:tcPr>
            <w:tcW w:w="592" w:type="pct"/>
            <w:tcBorders>
              <w:top w:val="single" w:sz="8" w:space="0" w:color="auto"/>
              <w:left w:val="nil"/>
              <w:bottom w:val="single" w:sz="12" w:space="0" w:color="auto"/>
              <w:right w:val="nil"/>
            </w:tcBorders>
            <w:shd w:val="clear" w:color="auto" w:fill="auto"/>
            <w:vAlign w:val="bottom"/>
          </w:tcPr>
          <w:p w14:paraId="5718D63A" w14:textId="76C0CE92" w:rsidR="009B5185" w:rsidRPr="007478FB" w:rsidRDefault="00E63606" w:rsidP="009B5185">
            <w:pPr>
              <w:tabs>
                <w:tab w:val="right" w:pos="1202"/>
              </w:tabs>
              <w:spacing w:line="301" w:lineRule="exact"/>
              <w:jc w:val="right"/>
              <w:outlineLvl w:val="0"/>
              <w:rPr>
                <w:rFonts w:ascii="Arial" w:hAnsi="Arial" w:cs="Arial"/>
                <w:b/>
                <w:bCs/>
                <w:sz w:val="17"/>
                <w:szCs w:val="17"/>
              </w:rPr>
            </w:pPr>
            <w:r>
              <w:rPr>
                <w:rFonts w:ascii="Arial" w:hAnsi="Arial" w:cs="Arial"/>
                <w:b/>
                <w:bCs/>
                <w:sz w:val="17"/>
                <w:szCs w:val="17"/>
              </w:rPr>
              <w:t>958.873</w:t>
            </w:r>
          </w:p>
        </w:tc>
        <w:tc>
          <w:tcPr>
            <w:tcW w:w="593" w:type="pct"/>
            <w:tcBorders>
              <w:top w:val="single" w:sz="8" w:space="0" w:color="auto"/>
              <w:left w:val="nil"/>
              <w:bottom w:val="single" w:sz="12" w:space="0" w:color="auto"/>
              <w:right w:val="nil"/>
            </w:tcBorders>
            <w:shd w:val="clear" w:color="auto" w:fill="auto"/>
            <w:vAlign w:val="bottom"/>
          </w:tcPr>
          <w:p w14:paraId="6EDF653B" w14:textId="12A1056C" w:rsidR="009B5185" w:rsidRPr="007478FB" w:rsidRDefault="00701F0C" w:rsidP="009B5185">
            <w:pPr>
              <w:tabs>
                <w:tab w:val="right" w:pos="1202"/>
              </w:tabs>
              <w:spacing w:line="301" w:lineRule="exact"/>
              <w:jc w:val="right"/>
              <w:outlineLvl w:val="0"/>
              <w:rPr>
                <w:rFonts w:ascii="Arial" w:hAnsi="Arial" w:cs="Arial"/>
                <w:b/>
                <w:bCs/>
                <w:sz w:val="17"/>
                <w:szCs w:val="17"/>
              </w:rPr>
            </w:pPr>
            <w:r>
              <w:rPr>
                <w:rFonts w:ascii="Arial" w:hAnsi="Arial" w:cs="Arial"/>
                <w:b/>
                <w:bCs/>
                <w:sz w:val="17"/>
                <w:szCs w:val="17"/>
              </w:rPr>
              <w:t>497.955</w:t>
            </w:r>
          </w:p>
        </w:tc>
        <w:tc>
          <w:tcPr>
            <w:tcW w:w="592" w:type="pct"/>
            <w:tcBorders>
              <w:top w:val="single" w:sz="8" w:space="0" w:color="auto"/>
              <w:left w:val="nil"/>
              <w:bottom w:val="single" w:sz="12" w:space="0" w:color="auto"/>
              <w:right w:val="nil"/>
            </w:tcBorders>
            <w:shd w:val="clear" w:color="auto" w:fill="auto"/>
            <w:vAlign w:val="bottom"/>
          </w:tcPr>
          <w:p w14:paraId="0B3B736F" w14:textId="71589287" w:rsidR="009B5185" w:rsidRPr="007478FB" w:rsidRDefault="00577876" w:rsidP="009B5185">
            <w:pPr>
              <w:tabs>
                <w:tab w:val="right" w:pos="1202"/>
              </w:tabs>
              <w:spacing w:line="301" w:lineRule="exact"/>
              <w:jc w:val="right"/>
              <w:outlineLvl w:val="0"/>
              <w:rPr>
                <w:rFonts w:ascii="Arial" w:hAnsi="Arial" w:cs="Arial"/>
                <w:b/>
                <w:bCs/>
                <w:sz w:val="17"/>
                <w:szCs w:val="17"/>
              </w:rPr>
            </w:pPr>
            <w:r>
              <w:rPr>
                <w:rFonts w:ascii="Arial" w:hAnsi="Arial" w:cs="Arial"/>
                <w:b/>
                <w:bCs/>
                <w:sz w:val="17"/>
                <w:szCs w:val="17"/>
              </w:rPr>
              <w:t>1.763</w:t>
            </w:r>
          </w:p>
        </w:tc>
        <w:tc>
          <w:tcPr>
            <w:tcW w:w="593" w:type="pct"/>
            <w:tcBorders>
              <w:top w:val="single" w:sz="8" w:space="0" w:color="auto"/>
              <w:left w:val="nil"/>
              <w:bottom w:val="single" w:sz="12" w:space="0" w:color="auto"/>
              <w:right w:val="nil"/>
            </w:tcBorders>
            <w:shd w:val="clear" w:color="auto" w:fill="auto"/>
            <w:vAlign w:val="bottom"/>
          </w:tcPr>
          <w:p w14:paraId="02C82B7D" w14:textId="0CA2E379" w:rsidR="009B5185" w:rsidRPr="007478FB" w:rsidRDefault="005159D3" w:rsidP="009B5185">
            <w:pPr>
              <w:tabs>
                <w:tab w:val="right" w:pos="1202"/>
              </w:tabs>
              <w:spacing w:line="301" w:lineRule="exact"/>
              <w:jc w:val="right"/>
              <w:outlineLvl w:val="0"/>
              <w:rPr>
                <w:rFonts w:ascii="Arial" w:hAnsi="Arial" w:cs="Arial"/>
                <w:b/>
                <w:bCs/>
                <w:sz w:val="17"/>
                <w:szCs w:val="17"/>
              </w:rPr>
            </w:pPr>
            <w:r>
              <w:rPr>
                <w:rFonts w:ascii="Arial" w:hAnsi="Arial" w:cs="Arial"/>
                <w:b/>
                <w:bCs/>
                <w:sz w:val="17"/>
                <w:szCs w:val="17"/>
              </w:rPr>
              <w:t>43.565</w:t>
            </w:r>
          </w:p>
        </w:tc>
        <w:tc>
          <w:tcPr>
            <w:tcW w:w="592" w:type="pct"/>
            <w:tcBorders>
              <w:top w:val="single" w:sz="8" w:space="0" w:color="auto"/>
              <w:left w:val="nil"/>
              <w:bottom w:val="single" w:sz="12" w:space="0" w:color="auto"/>
              <w:right w:val="nil"/>
            </w:tcBorders>
            <w:shd w:val="clear" w:color="auto" w:fill="auto"/>
            <w:vAlign w:val="bottom"/>
          </w:tcPr>
          <w:p w14:paraId="54391CCC" w14:textId="45C9C4D3" w:rsidR="009B5185" w:rsidRPr="007478FB" w:rsidRDefault="005159D3" w:rsidP="009B5185">
            <w:pPr>
              <w:tabs>
                <w:tab w:val="right" w:pos="1202"/>
              </w:tabs>
              <w:spacing w:line="301" w:lineRule="exact"/>
              <w:jc w:val="right"/>
              <w:outlineLvl w:val="0"/>
              <w:rPr>
                <w:rFonts w:ascii="Arial" w:hAnsi="Arial" w:cs="Arial"/>
                <w:b/>
                <w:bCs/>
                <w:sz w:val="17"/>
                <w:szCs w:val="17"/>
              </w:rPr>
            </w:pPr>
            <w:r>
              <w:rPr>
                <w:rFonts w:ascii="Arial" w:hAnsi="Arial" w:cs="Arial"/>
                <w:b/>
                <w:bCs/>
                <w:sz w:val="17"/>
                <w:szCs w:val="17"/>
              </w:rPr>
              <w:t>1.638</w:t>
            </w:r>
          </w:p>
        </w:tc>
        <w:tc>
          <w:tcPr>
            <w:tcW w:w="593" w:type="pct"/>
            <w:tcBorders>
              <w:top w:val="single" w:sz="8" w:space="0" w:color="auto"/>
              <w:left w:val="nil"/>
              <w:bottom w:val="single" w:sz="12" w:space="0" w:color="auto"/>
              <w:right w:val="nil"/>
            </w:tcBorders>
            <w:shd w:val="clear" w:color="auto" w:fill="auto"/>
            <w:vAlign w:val="bottom"/>
          </w:tcPr>
          <w:p w14:paraId="2E129568" w14:textId="3C492344" w:rsidR="009B5185" w:rsidRPr="007478FB" w:rsidRDefault="00F05C93" w:rsidP="009B5185">
            <w:pPr>
              <w:tabs>
                <w:tab w:val="right" w:pos="1202"/>
              </w:tabs>
              <w:spacing w:line="301" w:lineRule="exact"/>
              <w:jc w:val="right"/>
              <w:outlineLvl w:val="0"/>
              <w:rPr>
                <w:rFonts w:ascii="Arial" w:hAnsi="Arial" w:cs="Arial"/>
                <w:b/>
                <w:bCs/>
                <w:sz w:val="17"/>
                <w:szCs w:val="17"/>
              </w:rPr>
            </w:pPr>
            <w:r>
              <w:rPr>
                <w:rFonts w:ascii="Arial" w:hAnsi="Arial" w:cs="Arial"/>
                <w:b/>
                <w:bCs/>
                <w:sz w:val="17"/>
                <w:szCs w:val="17"/>
              </w:rPr>
              <w:t>1.503.794</w:t>
            </w:r>
          </w:p>
        </w:tc>
      </w:tr>
    </w:tbl>
    <w:p w14:paraId="608CD1E3" w14:textId="3981786C" w:rsidR="00145D68" w:rsidRPr="000F2CE4" w:rsidRDefault="00145D68" w:rsidP="00A56428">
      <w:pPr>
        <w:rPr>
          <w:rFonts w:ascii="Arial" w:eastAsia="Times New Roman" w:hAnsi="Arial" w:cs="Arial"/>
          <w:sz w:val="17"/>
          <w:szCs w:val="17"/>
        </w:rPr>
      </w:pPr>
    </w:p>
    <w:p w14:paraId="36F5880C" w14:textId="77777777" w:rsidR="00145D68" w:rsidRPr="003D1614" w:rsidRDefault="00145D68" w:rsidP="00A56428">
      <w:pPr>
        <w:rPr>
          <w:rFonts w:ascii="Arial" w:eastAsia="Times New Roman" w:hAnsi="Arial" w:cs="Arial"/>
          <w:sz w:val="20"/>
          <w:szCs w:val="20"/>
        </w:rPr>
      </w:pPr>
    </w:p>
    <w:p w14:paraId="7F9A3E7C" w14:textId="5B5C12EE" w:rsidR="00145D68" w:rsidRPr="003D1614" w:rsidRDefault="00145D68" w:rsidP="00A56428">
      <w:pPr>
        <w:rPr>
          <w:rFonts w:ascii="Arial" w:eastAsia="Times New Roman" w:hAnsi="Arial" w:cs="Arial"/>
          <w:sz w:val="20"/>
          <w:szCs w:val="20"/>
        </w:rPr>
      </w:pPr>
    </w:p>
    <w:p w14:paraId="764F2646" w14:textId="387C7B80" w:rsidR="00145D68" w:rsidRPr="003D1614" w:rsidRDefault="00145D68" w:rsidP="00A56428">
      <w:pPr>
        <w:rPr>
          <w:rFonts w:ascii="Arial" w:eastAsia="Times New Roman" w:hAnsi="Arial" w:cs="Arial"/>
          <w:sz w:val="20"/>
          <w:szCs w:val="20"/>
        </w:rPr>
      </w:pPr>
      <w:r w:rsidRPr="003D1614">
        <w:rPr>
          <w:rFonts w:ascii="Arial" w:eastAsia="Times New Roman" w:hAnsi="Arial" w:cs="Arial"/>
          <w:sz w:val="20"/>
          <w:szCs w:val="20"/>
        </w:rPr>
        <w:t>Priložene računovodstvene politike i bilješke sastavni su dio ovih financijskih izvještaja.</w:t>
      </w:r>
    </w:p>
    <w:p w14:paraId="047112C6" w14:textId="77777777" w:rsidR="00145D68" w:rsidRPr="003D1614" w:rsidRDefault="00145D68" w:rsidP="00A56428">
      <w:pPr>
        <w:rPr>
          <w:rFonts w:ascii="Arial" w:eastAsia="Times New Roman" w:hAnsi="Arial" w:cs="Arial"/>
          <w:sz w:val="20"/>
          <w:szCs w:val="20"/>
        </w:rPr>
        <w:sectPr w:rsidR="00145D68" w:rsidRPr="003D1614">
          <w:headerReference w:type="default" r:id="rId20"/>
          <w:pgSz w:w="11906" w:h="16838"/>
          <w:pgMar w:top="1417" w:right="1417" w:bottom="1417" w:left="1417" w:header="708" w:footer="708" w:gutter="0"/>
          <w:cols w:space="708"/>
          <w:docGrid w:linePitch="360"/>
        </w:sectPr>
      </w:pPr>
    </w:p>
    <w:p w14:paraId="47568431" w14:textId="34994ED1" w:rsidR="00145D68" w:rsidRPr="003D1614" w:rsidRDefault="00145D68" w:rsidP="00A56428">
      <w:pPr>
        <w:rPr>
          <w:rFonts w:ascii="Arial" w:eastAsia="Times New Roman" w:hAnsi="Arial" w:cs="Arial"/>
          <w:sz w:val="20"/>
          <w:szCs w:val="20"/>
        </w:rPr>
      </w:pPr>
    </w:p>
    <w:p w14:paraId="2B0B1601" w14:textId="1BB56EDC" w:rsidR="00EA0684" w:rsidRPr="003D1614" w:rsidRDefault="003D1614" w:rsidP="00EA0684">
      <w:pPr>
        <w:keepNext/>
        <w:tabs>
          <w:tab w:val="left" w:pos="567"/>
        </w:tabs>
        <w:suppressAutoHyphens/>
        <w:autoSpaceDN w:val="0"/>
        <w:jc w:val="both"/>
        <w:outlineLvl w:val="0"/>
        <w:rPr>
          <w:rFonts w:ascii="Arial" w:eastAsia="Times New Roman" w:hAnsi="Arial" w:cs="Arial"/>
          <w:b/>
          <w:bCs/>
          <w:strike/>
          <w:color w:val="000000" w:themeColor="text1"/>
          <w:sz w:val="20"/>
          <w:szCs w:val="20"/>
        </w:rPr>
      </w:pPr>
      <w:r>
        <w:rPr>
          <w:rFonts w:ascii="Arial" w:eastAsia="Times New Roman" w:hAnsi="Arial" w:cs="Arial"/>
          <w:b/>
          <w:bCs/>
          <w:color w:val="000000" w:themeColor="text1"/>
          <w:sz w:val="20"/>
          <w:szCs w:val="20"/>
        </w:rPr>
        <w:t>1</w:t>
      </w:r>
      <w:r w:rsidR="00EA0684" w:rsidRPr="003D1614">
        <w:rPr>
          <w:rFonts w:ascii="Arial" w:eastAsia="Times New Roman" w:hAnsi="Arial" w:cs="Arial"/>
          <w:b/>
          <w:bCs/>
          <w:color w:val="000000" w:themeColor="text1"/>
          <w:sz w:val="20"/>
          <w:szCs w:val="20"/>
        </w:rPr>
        <w:t>.</w:t>
      </w:r>
      <w:r w:rsidR="00EA0684" w:rsidRPr="003D1614">
        <w:rPr>
          <w:rFonts w:ascii="Arial" w:eastAsia="Times New Roman" w:hAnsi="Arial" w:cs="Arial"/>
          <w:b/>
          <w:bCs/>
          <w:color w:val="000000" w:themeColor="text1"/>
          <w:sz w:val="20"/>
          <w:szCs w:val="20"/>
        </w:rPr>
        <w:tab/>
        <w:t>Opći podaci</w:t>
      </w:r>
    </w:p>
    <w:p w14:paraId="6357EBD8" w14:textId="77777777" w:rsidR="00EA0684" w:rsidRPr="003D1614" w:rsidRDefault="00EA0684" w:rsidP="00EA0684">
      <w:pPr>
        <w:tabs>
          <w:tab w:val="left" w:pos="567"/>
        </w:tabs>
        <w:jc w:val="both"/>
        <w:rPr>
          <w:rFonts w:ascii="Arial" w:eastAsia="Times New Roman" w:hAnsi="Arial" w:cs="Arial"/>
          <w:b/>
          <w:color w:val="000000" w:themeColor="text1"/>
          <w:sz w:val="18"/>
          <w:szCs w:val="18"/>
          <w:lang w:eastAsia="hr-HR"/>
        </w:rPr>
      </w:pPr>
    </w:p>
    <w:p w14:paraId="3EFFA23F" w14:textId="12F5BCAC" w:rsidR="00EA0684" w:rsidRPr="003D1614" w:rsidRDefault="00EA0684" w:rsidP="00C93090">
      <w:pPr>
        <w:pStyle w:val="ListParagraph"/>
        <w:numPr>
          <w:ilvl w:val="1"/>
          <w:numId w:val="6"/>
        </w:numPr>
        <w:tabs>
          <w:tab w:val="left" w:pos="567"/>
        </w:tabs>
        <w:jc w:val="both"/>
        <w:rPr>
          <w:rFonts w:ascii="Arial" w:hAnsi="Arial" w:cs="Arial"/>
          <w:b/>
          <w:color w:val="000000" w:themeColor="text1"/>
          <w:sz w:val="20"/>
          <w:szCs w:val="20"/>
          <w:lang w:val="hr-HR" w:eastAsia="hr-HR"/>
        </w:rPr>
      </w:pPr>
      <w:r w:rsidRPr="003D1614">
        <w:rPr>
          <w:rFonts w:ascii="Arial" w:hAnsi="Arial" w:cs="Arial"/>
          <w:b/>
          <w:color w:val="000000" w:themeColor="text1"/>
          <w:sz w:val="20"/>
          <w:szCs w:val="20"/>
          <w:lang w:val="hr-HR" w:eastAsia="hr-HR"/>
        </w:rPr>
        <w:t>Grupa:</w:t>
      </w:r>
    </w:p>
    <w:p w14:paraId="5366346B" w14:textId="77777777" w:rsidR="00C93090" w:rsidRPr="003D1614" w:rsidRDefault="00C93090" w:rsidP="00C93090">
      <w:pPr>
        <w:pStyle w:val="ListParagraph"/>
        <w:tabs>
          <w:tab w:val="left" w:pos="567"/>
        </w:tabs>
        <w:ind w:left="570"/>
        <w:jc w:val="both"/>
        <w:rPr>
          <w:rFonts w:ascii="Arial" w:hAnsi="Arial" w:cs="Arial"/>
          <w:b/>
          <w:color w:val="000000" w:themeColor="text1"/>
          <w:sz w:val="20"/>
          <w:szCs w:val="20"/>
          <w:lang w:val="hr-HR" w:eastAsia="hr-HR"/>
        </w:rPr>
      </w:pPr>
    </w:p>
    <w:p w14:paraId="7000307D" w14:textId="77777777" w:rsidR="00EA0684" w:rsidRPr="003D1614" w:rsidRDefault="00EA0684" w:rsidP="00C93090">
      <w:pPr>
        <w:suppressAutoHyphens/>
        <w:autoSpaceDN w:val="0"/>
        <w:jc w:val="both"/>
        <w:rPr>
          <w:rFonts w:ascii="Arial" w:eastAsia="Times New Roman" w:hAnsi="Arial" w:cs="Arial"/>
          <w:color w:val="000000" w:themeColor="text1"/>
          <w:sz w:val="20"/>
          <w:szCs w:val="20"/>
        </w:rPr>
      </w:pPr>
      <w:bookmarkStart w:id="252" w:name="_Toc67327353"/>
      <w:r w:rsidRPr="003D1614">
        <w:rPr>
          <w:rFonts w:ascii="Arial" w:eastAsia="Times New Roman" w:hAnsi="Arial" w:cs="Arial"/>
          <w:color w:val="000000" w:themeColor="text1"/>
          <w:sz w:val="20"/>
          <w:szCs w:val="20"/>
        </w:rPr>
        <w:t>Hrvatska banka za obnovu i razvitak („HBOR“ ili „Banka“) je matično društvo Grupe Hrvatska banka za obnovu i razvitak („Grupa“) koja posluje u Republici Hrvatskoj. Grupa obavlja u najvećem obimu bankarsko poslovanje, a u manjem osiguravateljske aktivnosti te procjenu kreditnih rizika. Ovi financijski izvještaji obuhvaćaju odvojene  i konsolidirane financijske izvještaje Banke i Grupe.</w:t>
      </w:r>
      <w:bookmarkEnd w:id="252"/>
    </w:p>
    <w:p w14:paraId="525110F0" w14:textId="77777777" w:rsidR="00EA0684" w:rsidRPr="003D1614" w:rsidRDefault="00EA0684" w:rsidP="00EA0684">
      <w:pPr>
        <w:suppressAutoHyphens/>
        <w:autoSpaceDN w:val="0"/>
        <w:jc w:val="both"/>
        <w:rPr>
          <w:rFonts w:ascii="Arial" w:eastAsia="Times New Roman" w:hAnsi="Arial" w:cs="Arial"/>
          <w:color w:val="000000" w:themeColor="text1"/>
          <w:sz w:val="20"/>
          <w:szCs w:val="20"/>
        </w:rPr>
      </w:pPr>
    </w:p>
    <w:p w14:paraId="0B03A5D3" w14:textId="77777777" w:rsidR="00EA0684" w:rsidRPr="003D1614" w:rsidRDefault="00EA0684" w:rsidP="00EA0684">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Sjedište Banke je u Zagrebu, Strossmayerov trg 9, Zagreb, Hrvatska.</w:t>
      </w:r>
    </w:p>
    <w:p w14:paraId="25FD52F1" w14:textId="77777777" w:rsidR="00EA0684" w:rsidRPr="003D1614" w:rsidRDefault="00EA0684" w:rsidP="00EA0684">
      <w:pPr>
        <w:suppressAutoHyphens/>
        <w:autoSpaceDN w:val="0"/>
        <w:jc w:val="both"/>
        <w:rPr>
          <w:rFonts w:ascii="Arial" w:eastAsia="Times New Roman" w:hAnsi="Arial" w:cs="Arial"/>
          <w:color w:val="000000" w:themeColor="text1"/>
          <w:sz w:val="20"/>
          <w:szCs w:val="20"/>
        </w:rPr>
      </w:pPr>
    </w:p>
    <w:p w14:paraId="02639F60" w14:textId="77777777" w:rsidR="00EA0684" w:rsidRPr="003D1614" w:rsidRDefault="00EA0684" w:rsidP="00EA0684">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Grupa je formirana tijekom 2010. godine, a ovisna društva Banke su Hrvatsko kreditno osiguranje d.d. i Poslovni info servis d.o.o. koji čine Grupu Hrvatsko kreditno osiguranje („Grupa HKO“). </w:t>
      </w:r>
    </w:p>
    <w:p w14:paraId="42E5E5B7" w14:textId="77777777" w:rsidR="00EA0684" w:rsidRPr="003D1614" w:rsidRDefault="00EA0684" w:rsidP="00EA0684">
      <w:pPr>
        <w:suppressAutoHyphens/>
        <w:autoSpaceDN w:val="0"/>
        <w:jc w:val="both"/>
        <w:rPr>
          <w:rFonts w:ascii="Arial" w:eastAsia="Times New Roman" w:hAnsi="Arial" w:cs="Arial"/>
          <w:color w:val="000000" w:themeColor="text1"/>
          <w:sz w:val="18"/>
          <w:szCs w:val="18"/>
        </w:rPr>
      </w:pPr>
    </w:p>
    <w:p w14:paraId="08AA6E09" w14:textId="77777777" w:rsidR="00EA0684" w:rsidRPr="003D1614" w:rsidRDefault="00EA0684" w:rsidP="00EA0684">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Hrvatska banka za obnovu i razvitak je 100%-tni vlasnik HKO-a, koji je 100%-tni vlasnik Poslovnog info servisa d.o.o.</w:t>
      </w:r>
    </w:p>
    <w:p w14:paraId="0D4BFD81" w14:textId="77777777" w:rsidR="00EA0684" w:rsidRPr="003D1614" w:rsidRDefault="00EA0684" w:rsidP="00EA0684">
      <w:pPr>
        <w:suppressAutoHyphens/>
        <w:autoSpaceDN w:val="0"/>
        <w:jc w:val="both"/>
        <w:rPr>
          <w:rFonts w:ascii="Arial" w:eastAsia="Times New Roman" w:hAnsi="Arial" w:cs="Arial"/>
          <w:color w:val="000000" w:themeColor="text1"/>
          <w:sz w:val="18"/>
          <w:szCs w:val="18"/>
        </w:rPr>
      </w:pPr>
    </w:p>
    <w:p w14:paraId="3748F41D" w14:textId="77777777" w:rsidR="00EA0684" w:rsidRPr="003D1614" w:rsidRDefault="00EA0684" w:rsidP="00EA0684">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Sjedište Grupe HKO je u Zagrebu, Bednjanska 12.</w:t>
      </w:r>
    </w:p>
    <w:p w14:paraId="04C9C37F" w14:textId="77777777" w:rsidR="00EA0684" w:rsidRPr="003D1614" w:rsidRDefault="00EA0684" w:rsidP="00EA0684">
      <w:pPr>
        <w:keepNext/>
        <w:suppressAutoHyphens/>
        <w:autoSpaceDN w:val="0"/>
        <w:jc w:val="both"/>
        <w:outlineLvl w:val="0"/>
        <w:rPr>
          <w:rFonts w:ascii="Arial" w:eastAsia="Times New Roman" w:hAnsi="Arial" w:cs="Arial"/>
          <w:color w:val="000000" w:themeColor="text1"/>
          <w:sz w:val="18"/>
          <w:szCs w:val="18"/>
        </w:rPr>
      </w:pPr>
    </w:p>
    <w:p w14:paraId="4B5D9323" w14:textId="39808E16" w:rsidR="00EA0684" w:rsidRPr="003D1614" w:rsidRDefault="00EA0684" w:rsidP="00EA0684">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Na dan </w:t>
      </w:r>
      <w:r w:rsidR="00B2599D" w:rsidRPr="003D1614">
        <w:rPr>
          <w:rFonts w:ascii="Arial" w:eastAsia="Times New Roman" w:hAnsi="Arial" w:cs="Arial"/>
          <w:color w:val="000000" w:themeColor="text1"/>
          <w:sz w:val="20"/>
          <w:szCs w:val="20"/>
        </w:rPr>
        <w:t>3</w:t>
      </w:r>
      <w:r w:rsidR="00B2599D">
        <w:rPr>
          <w:rFonts w:ascii="Arial" w:eastAsia="Times New Roman" w:hAnsi="Arial" w:cs="Arial"/>
          <w:color w:val="000000" w:themeColor="text1"/>
          <w:sz w:val="20"/>
          <w:szCs w:val="20"/>
        </w:rPr>
        <w:t>0</w:t>
      </w:r>
      <w:r w:rsidRPr="003D1614">
        <w:rPr>
          <w:rFonts w:ascii="Arial" w:eastAsia="Times New Roman" w:hAnsi="Arial" w:cs="Arial"/>
          <w:color w:val="000000" w:themeColor="text1"/>
          <w:sz w:val="20"/>
          <w:szCs w:val="20"/>
        </w:rPr>
        <w:t xml:space="preserve">. </w:t>
      </w:r>
      <w:r w:rsidR="00FB136F">
        <w:rPr>
          <w:rFonts w:ascii="Arial" w:eastAsia="Times New Roman" w:hAnsi="Arial" w:cs="Arial"/>
          <w:color w:val="000000" w:themeColor="text1"/>
          <w:sz w:val="20"/>
          <w:szCs w:val="20"/>
        </w:rPr>
        <w:t>rujn</w:t>
      </w:r>
      <w:r w:rsidR="00B2599D">
        <w:rPr>
          <w:rFonts w:ascii="Arial" w:eastAsia="Times New Roman" w:hAnsi="Arial" w:cs="Arial"/>
          <w:color w:val="000000" w:themeColor="text1"/>
          <w:sz w:val="20"/>
          <w:szCs w:val="20"/>
        </w:rPr>
        <w:t>a</w:t>
      </w:r>
      <w:r w:rsidR="00B2599D" w:rsidRPr="003D1614">
        <w:rPr>
          <w:rFonts w:ascii="Arial" w:eastAsia="Times New Roman" w:hAnsi="Arial" w:cs="Arial"/>
          <w:color w:val="000000" w:themeColor="text1"/>
          <w:sz w:val="20"/>
          <w:szCs w:val="20"/>
        </w:rPr>
        <w:t xml:space="preserve"> </w:t>
      </w:r>
      <w:r w:rsidRPr="003D1614">
        <w:rPr>
          <w:rFonts w:ascii="Arial" w:eastAsia="Times New Roman" w:hAnsi="Arial" w:cs="Arial"/>
          <w:color w:val="000000" w:themeColor="text1"/>
          <w:sz w:val="20"/>
          <w:szCs w:val="20"/>
        </w:rPr>
        <w:t>202</w:t>
      </w:r>
      <w:r w:rsidR="00950985">
        <w:rPr>
          <w:rFonts w:ascii="Arial" w:eastAsia="Times New Roman" w:hAnsi="Arial" w:cs="Arial"/>
          <w:color w:val="000000" w:themeColor="text1"/>
          <w:sz w:val="20"/>
          <w:szCs w:val="20"/>
        </w:rPr>
        <w:t>4</w:t>
      </w:r>
      <w:r w:rsidRPr="003D1614">
        <w:rPr>
          <w:rFonts w:ascii="Arial" w:eastAsia="Times New Roman" w:hAnsi="Arial" w:cs="Arial"/>
          <w:color w:val="000000" w:themeColor="text1"/>
          <w:sz w:val="20"/>
          <w:szCs w:val="20"/>
        </w:rPr>
        <w:t xml:space="preserve">. Grupa </w:t>
      </w:r>
      <w:r w:rsidRPr="000D12F2">
        <w:rPr>
          <w:rFonts w:ascii="Arial" w:eastAsia="Times New Roman" w:hAnsi="Arial" w:cs="Arial"/>
          <w:color w:val="000000" w:themeColor="text1"/>
          <w:sz w:val="20"/>
          <w:szCs w:val="20"/>
        </w:rPr>
        <w:t xml:space="preserve">ima </w:t>
      </w:r>
      <w:r w:rsidRPr="000E3412">
        <w:rPr>
          <w:rFonts w:ascii="Arial" w:eastAsia="Times New Roman" w:hAnsi="Arial" w:cs="Arial"/>
          <w:color w:val="000000" w:themeColor="text1"/>
          <w:sz w:val="20"/>
          <w:szCs w:val="20"/>
        </w:rPr>
        <w:t>4</w:t>
      </w:r>
      <w:r w:rsidR="000E3412" w:rsidRPr="000E3412">
        <w:rPr>
          <w:rFonts w:ascii="Arial" w:eastAsia="Times New Roman" w:hAnsi="Arial" w:cs="Arial"/>
          <w:color w:val="000000" w:themeColor="text1"/>
          <w:sz w:val="20"/>
          <w:szCs w:val="20"/>
        </w:rPr>
        <w:t>56</w:t>
      </w:r>
      <w:r w:rsidRPr="000E3412">
        <w:rPr>
          <w:rFonts w:ascii="Arial" w:eastAsia="Times New Roman" w:hAnsi="Arial" w:cs="Arial"/>
          <w:color w:val="000000" w:themeColor="text1"/>
          <w:sz w:val="20"/>
          <w:szCs w:val="20"/>
        </w:rPr>
        <w:t xml:space="preserve"> z</w:t>
      </w:r>
      <w:r w:rsidRPr="000D12F2">
        <w:rPr>
          <w:rFonts w:ascii="Arial" w:eastAsia="Times New Roman" w:hAnsi="Arial" w:cs="Arial"/>
          <w:color w:val="000000" w:themeColor="text1"/>
          <w:sz w:val="20"/>
          <w:szCs w:val="20"/>
        </w:rPr>
        <w:t>a</w:t>
      </w:r>
      <w:r w:rsidRPr="003D1614">
        <w:rPr>
          <w:rFonts w:ascii="Arial" w:eastAsia="Times New Roman" w:hAnsi="Arial" w:cs="Arial"/>
          <w:color w:val="000000" w:themeColor="text1"/>
          <w:sz w:val="20"/>
          <w:szCs w:val="20"/>
        </w:rPr>
        <w:t>poslenika (</w:t>
      </w:r>
      <w:r w:rsidR="00B2599D" w:rsidRPr="003D1614">
        <w:rPr>
          <w:rFonts w:ascii="Arial" w:eastAsia="Times New Roman" w:hAnsi="Arial" w:cs="Arial"/>
          <w:color w:val="000000" w:themeColor="text1"/>
          <w:sz w:val="20"/>
          <w:szCs w:val="20"/>
        </w:rPr>
        <w:t>3</w:t>
      </w:r>
      <w:r w:rsidR="00B2599D">
        <w:rPr>
          <w:rFonts w:ascii="Arial" w:eastAsia="Times New Roman" w:hAnsi="Arial" w:cs="Arial"/>
          <w:color w:val="000000" w:themeColor="text1"/>
          <w:sz w:val="20"/>
          <w:szCs w:val="20"/>
        </w:rPr>
        <w:t>0</w:t>
      </w:r>
      <w:r w:rsidRPr="003D1614">
        <w:rPr>
          <w:rFonts w:ascii="Arial" w:eastAsia="Times New Roman" w:hAnsi="Arial" w:cs="Arial"/>
          <w:color w:val="000000" w:themeColor="text1"/>
          <w:sz w:val="20"/>
          <w:szCs w:val="20"/>
        </w:rPr>
        <w:t xml:space="preserve">. </w:t>
      </w:r>
      <w:r w:rsidR="00FB136F">
        <w:rPr>
          <w:rFonts w:ascii="Arial" w:eastAsia="Times New Roman" w:hAnsi="Arial" w:cs="Arial"/>
          <w:color w:val="000000" w:themeColor="text1"/>
          <w:sz w:val="20"/>
          <w:szCs w:val="20"/>
        </w:rPr>
        <w:t xml:space="preserve">rujna </w:t>
      </w:r>
      <w:r w:rsidRPr="003D1614">
        <w:rPr>
          <w:rFonts w:ascii="Arial" w:eastAsia="Times New Roman" w:hAnsi="Arial" w:cs="Arial"/>
          <w:color w:val="000000" w:themeColor="text1"/>
          <w:sz w:val="20"/>
          <w:szCs w:val="20"/>
        </w:rPr>
        <w:t>202</w:t>
      </w:r>
      <w:r w:rsidR="00950985">
        <w:rPr>
          <w:rFonts w:ascii="Arial" w:eastAsia="Times New Roman" w:hAnsi="Arial" w:cs="Arial"/>
          <w:color w:val="000000" w:themeColor="text1"/>
          <w:sz w:val="20"/>
          <w:szCs w:val="20"/>
        </w:rPr>
        <w:t>3</w:t>
      </w:r>
      <w:r w:rsidRPr="003D1614">
        <w:rPr>
          <w:rFonts w:ascii="Arial" w:eastAsia="Times New Roman" w:hAnsi="Arial" w:cs="Arial"/>
          <w:color w:val="000000" w:themeColor="text1"/>
          <w:sz w:val="20"/>
          <w:szCs w:val="20"/>
        </w:rPr>
        <w:t xml:space="preserve">. bilo je </w:t>
      </w:r>
      <w:r w:rsidR="00950985">
        <w:rPr>
          <w:rFonts w:ascii="Arial" w:eastAsia="Times New Roman" w:hAnsi="Arial" w:cs="Arial"/>
          <w:color w:val="000000" w:themeColor="text1"/>
          <w:sz w:val="20"/>
          <w:szCs w:val="20"/>
        </w:rPr>
        <w:t>430</w:t>
      </w:r>
      <w:r w:rsidR="00B2599D" w:rsidRPr="003D1614">
        <w:rPr>
          <w:rFonts w:ascii="Arial" w:eastAsia="Times New Roman" w:hAnsi="Arial" w:cs="Arial"/>
          <w:color w:val="000000" w:themeColor="text1"/>
          <w:sz w:val="20"/>
          <w:szCs w:val="20"/>
        </w:rPr>
        <w:t xml:space="preserve"> </w:t>
      </w:r>
      <w:r w:rsidRPr="003D1614">
        <w:rPr>
          <w:rFonts w:ascii="Arial" w:eastAsia="Times New Roman" w:hAnsi="Arial" w:cs="Arial"/>
          <w:color w:val="000000" w:themeColor="text1"/>
          <w:sz w:val="20"/>
          <w:szCs w:val="20"/>
        </w:rPr>
        <w:t>zaposlenika).</w:t>
      </w:r>
    </w:p>
    <w:p w14:paraId="5FE281CD" w14:textId="77777777" w:rsidR="00EA0684" w:rsidRPr="003D1614" w:rsidRDefault="00EA0684" w:rsidP="00EA0684">
      <w:pPr>
        <w:tabs>
          <w:tab w:val="left" w:pos="567"/>
        </w:tabs>
        <w:jc w:val="both"/>
        <w:rPr>
          <w:rFonts w:ascii="Arial" w:eastAsia="Times New Roman" w:hAnsi="Arial" w:cs="Arial"/>
          <w:b/>
          <w:color w:val="000000" w:themeColor="text1"/>
          <w:sz w:val="20"/>
          <w:szCs w:val="20"/>
          <w:lang w:eastAsia="hr-HR"/>
        </w:rPr>
      </w:pPr>
    </w:p>
    <w:p w14:paraId="0F9A7862" w14:textId="77777777" w:rsidR="00EA0684" w:rsidRPr="003D1614" w:rsidRDefault="00EA0684" w:rsidP="00EA0684">
      <w:pPr>
        <w:tabs>
          <w:tab w:val="left" w:pos="567"/>
        </w:tabs>
        <w:jc w:val="both"/>
        <w:rPr>
          <w:rFonts w:ascii="Arial" w:eastAsia="Times New Roman" w:hAnsi="Arial" w:cs="Arial"/>
          <w:b/>
          <w:color w:val="000000" w:themeColor="text1"/>
          <w:sz w:val="20"/>
          <w:szCs w:val="20"/>
          <w:lang w:eastAsia="hr-HR"/>
        </w:rPr>
      </w:pPr>
      <w:r w:rsidRPr="003D1614">
        <w:rPr>
          <w:rFonts w:ascii="Arial" w:eastAsia="Times New Roman" w:hAnsi="Arial" w:cs="Arial"/>
          <w:b/>
          <w:color w:val="000000" w:themeColor="text1"/>
          <w:sz w:val="20"/>
          <w:szCs w:val="20"/>
          <w:lang w:eastAsia="hr-HR"/>
        </w:rPr>
        <w:t>1.2.</w:t>
      </w:r>
      <w:r w:rsidRPr="003D1614">
        <w:rPr>
          <w:rFonts w:ascii="Arial" w:eastAsia="Times New Roman" w:hAnsi="Arial" w:cs="Arial"/>
          <w:b/>
          <w:color w:val="000000" w:themeColor="text1"/>
          <w:sz w:val="20"/>
          <w:szCs w:val="20"/>
          <w:lang w:eastAsia="hr-HR"/>
        </w:rPr>
        <w:tab/>
        <w:t>Banka:</w:t>
      </w:r>
    </w:p>
    <w:p w14:paraId="3408F216" w14:textId="77777777" w:rsidR="00EA0684" w:rsidRPr="003D1614" w:rsidRDefault="00EA0684" w:rsidP="00EA0684">
      <w:pPr>
        <w:keepNext/>
        <w:suppressAutoHyphens/>
        <w:autoSpaceDN w:val="0"/>
        <w:jc w:val="both"/>
        <w:outlineLvl w:val="0"/>
        <w:rPr>
          <w:rFonts w:ascii="Arial" w:eastAsia="Times New Roman" w:hAnsi="Arial" w:cs="Arial"/>
          <w:color w:val="000000" w:themeColor="text1"/>
          <w:sz w:val="18"/>
          <w:szCs w:val="18"/>
        </w:rPr>
      </w:pPr>
    </w:p>
    <w:p w14:paraId="563C0F75" w14:textId="77777777" w:rsidR="00EA0684" w:rsidRPr="003D1614" w:rsidRDefault="00EA0684" w:rsidP="00EA0684">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Hrvatska banka za obnovu i razvitak (</w:t>
      </w:r>
      <w:r w:rsidRPr="003D1614">
        <w:rPr>
          <w:rFonts w:ascii="Arial" w:eastAsia="Times New Roman" w:hAnsi="Arial" w:cs="Arial"/>
          <w:bCs/>
          <w:color w:val="000000" w:themeColor="text1"/>
          <w:sz w:val="20"/>
          <w:szCs w:val="20"/>
        </w:rPr>
        <w:t>„</w:t>
      </w:r>
      <w:r w:rsidRPr="003D1614">
        <w:rPr>
          <w:rFonts w:ascii="Arial" w:eastAsia="Times New Roman" w:hAnsi="Arial" w:cs="Arial"/>
          <w:color w:val="000000" w:themeColor="text1"/>
          <w:sz w:val="20"/>
          <w:szCs w:val="20"/>
        </w:rPr>
        <w:t>HBOR</w:t>
      </w:r>
      <w:r w:rsidRPr="003D1614">
        <w:rPr>
          <w:rFonts w:ascii="Arial" w:eastAsia="Times New Roman" w:hAnsi="Arial" w:cs="Arial"/>
          <w:bCs/>
          <w:color w:val="000000" w:themeColor="text1"/>
          <w:sz w:val="20"/>
          <w:szCs w:val="20"/>
        </w:rPr>
        <w:t>“</w:t>
      </w:r>
      <w:r w:rsidRPr="003D1614">
        <w:rPr>
          <w:rFonts w:ascii="Arial" w:eastAsia="Times New Roman" w:hAnsi="Arial" w:cs="Arial"/>
          <w:color w:val="000000" w:themeColor="text1"/>
          <w:sz w:val="20"/>
          <w:szCs w:val="20"/>
        </w:rPr>
        <w:t xml:space="preserve"> ili </w:t>
      </w:r>
      <w:r w:rsidRPr="003D1614">
        <w:rPr>
          <w:rFonts w:ascii="Arial" w:eastAsia="Times New Roman" w:hAnsi="Arial" w:cs="Arial"/>
          <w:bCs/>
          <w:color w:val="000000" w:themeColor="text1"/>
          <w:sz w:val="20"/>
          <w:szCs w:val="20"/>
        </w:rPr>
        <w:t>„</w:t>
      </w:r>
      <w:r w:rsidRPr="003D1614">
        <w:rPr>
          <w:rFonts w:ascii="Arial" w:eastAsia="Times New Roman" w:hAnsi="Arial" w:cs="Arial"/>
          <w:color w:val="000000" w:themeColor="text1"/>
          <w:sz w:val="20"/>
          <w:szCs w:val="20"/>
        </w:rPr>
        <w:t>Banka</w:t>
      </w:r>
      <w:r w:rsidRPr="003D1614">
        <w:rPr>
          <w:rFonts w:ascii="Arial" w:eastAsia="Times New Roman" w:hAnsi="Arial" w:cs="Arial"/>
          <w:b/>
          <w:bCs/>
          <w:color w:val="000000" w:themeColor="text1"/>
          <w:sz w:val="20"/>
          <w:szCs w:val="20"/>
        </w:rPr>
        <w:t>“</w:t>
      </w:r>
      <w:r w:rsidRPr="003D1614">
        <w:rPr>
          <w:rFonts w:ascii="Arial" w:eastAsia="Times New Roman" w:hAnsi="Arial" w:cs="Arial"/>
          <w:color w:val="000000" w:themeColor="text1"/>
          <w:sz w:val="20"/>
          <w:szCs w:val="20"/>
        </w:rPr>
        <w:t xml:space="preserve">) osnovana je 12. lipnja 1992. donošenjem Zakona o Hrvatskoj kreditnoj banci za obnovu (HKBO). U prosincu 1995. godine, Banka mijenja naziv u Hrvatska banka za obnovu i razvitak. Osnivač i 100%-tni vlasnik HBOR-a je Republika Hrvatska. </w:t>
      </w:r>
    </w:p>
    <w:p w14:paraId="5929D0B2" w14:textId="77777777" w:rsidR="00EA0684" w:rsidRPr="003D1614" w:rsidRDefault="00EA0684" w:rsidP="00EA0684">
      <w:pPr>
        <w:keepNext/>
        <w:suppressAutoHyphens/>
        <w:autoSpaceDN w:val="0"/>
        <w:jc w:val="both"/>
        <w:outlineLvl w:val="0"/>
        <w:rPr>
          <w:rFonts w:ascii="Arial" w:eastAsia="Times New Roman" w:hAnsi="Arial" w:cs="Arial"/>
          <w:b/>
          <w:bCs/>
          <w:color w:val="000000" w:themeColor="text1"/>
          <w:sz w:val="20"/>
          <w:szCs w:val="20"/>
        </w:rPr>
      </w:pPr>
    </w:p>
    <w:p w14:paraId="34382AA9" w14:textId="77777777" w:rsidR="00EA0684" w:rsidRPr="003D1614" w:rsidRDefault="00EA0684" w:rsidP="00EA0684">
      <w:pPr>
        <w:jc w:val="both"/>
        <w:rPr>
          <w:rFonts w:ascii="Arial" w:eastAsia="Times New Roman" w:hAnsi="Arial" w:cs="Arial"/>
          <w:color w:val="000000" w:themeColor="text1"/>
          <w:sz w:val="20"/>
          <w:szCs w:val="20"/>
          <w:lang w:eastAsia="hr-HR"/>
        </w:rPr>
      </w:pPr>
      <w:r w:rsidRPr="003D1614">
        <w:rPr>
          <w:rFonts w:ascii="Arial" w:eastAsia="Times New Roman" w:hAnsi="Arial" w:cs="Arial"/>
          <w:color w:val="000000" w:themeColor="text1"/>
          <w:sz w:val="20"/>
          <w:szCs w:val="20"/>
          <w:lang w:eastAsia="hr-HR"/>
        </w:rPr>
        <w:t>Republika Hrvatska jamči za obveze Hrvatske banke za obnovu i razvitak bezuvjetno, neopozivo i na prvi poziv te bez izdavanja posebne jamstvene isprave. Odgovornost Republike Hrvatske kao jamca za obveze HBOR-a je solidarna i neograničena.</w:t>
      </w:r>
    </w:p>
    <w:p w14:paraId="69C961BF" w14:textId="77777777" w:rsidR="00EA0684" w:rsidRPr="003D1614" w:rsidRDefault="00EA0684" w:rsidP="00EA0684">
      <w:pPr>
        <w:jc w:val="both"/>
        <w:rPr>
          <w:rFonts w:ascii="Arial" w:eastAsia="Times New Roman" w:hAnsi="Arial" w:cs="Arial"/>
          <w:color w:val="000000" w:themeColor="text1"/>
          <w:sz w:val="18"/>
          <w:szCs w:val="18"/>
          <w:lang w:eastAsia="hr-HR"/>
        </w:rPr>
      </w:pPr>
    </w:p>
    <w:p w14:paraId="78717A6B" w14:textId="1BFD0050" w:rsidR="00145D68" w:rsidRPr="003D1614" w:rsidRDefault="00EA0684" w:rsidP="00EA0684">
      <w:pPr>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Zakonom o HBOR-u</w:t>
      </w:r>
      <w:r w:rsidRPr="003D1614">
        <w:rPr>
          <w:rFonts w:ascii="Arial" w:eastAsia="Times New Roman" w:hAnsi="Arial" w:cs="Arial"/>
          <w:b/>
          <w:color w:val="000000" w:themeColor="text1"/>
          <w:sz w:val="20"/>
          <w:szCs w:val="20"/>
        </w:rPr>
        <w:t xml:space="preserve"> </w:t>
      </w:r>
      <w:r w:rsidRPr="003D1614">
        <w:rPr>
          <w:rFonts w:ascii="Arial" w:eastAsia="Times New Roman" w:hAnsi="Arial" w:cs="Arial"/>
          <w:color w:val="000000" w:themeColor="text1"/>
          <w:sz w:val="20"/>
          <w:szCs w:val="20"/>
        </w:rPr>
        <w:t xml:space="preserve">iz prosinca 2006. godine temeljni kapital HBOR-a utvrđen je u visini od </w:t>
      </w:r>
      <w:r w:rsidR="0050050C">
        <w:rPr>
          <w:rFonts w:ascii="Arial" w:eastAsia="Times New Roman" w:hAnsi="Arial" w:cs="Arial"/>
          <w:color w:val="000000" w:themeColor="text1"/>
          <w:sz w:val="20"/>
          <w:szCs w:val="20"/>
        </w:rPr>
        <w:t>929,1 milijuna eura</w:t>
      </w:r>
      <w:r w:rsidRPr="003D1614">
        <w:rPr>
          <w:rFonts w:ascii="Arial" w:eastAsia="Times New Roman" w:hAnsi="Arial" w:cs="Arial"/>
          <w:color w:val="000000" w:themeColor="text1"/>
          <w:sz w:val="20"/>
          <w:szCs w:val="20"/>
        </w:rPr>
        <w:t xml:space="preserve"> čija se dinamika uplate za pojedinu godinu utvrđuje državnim proračunom.</w:t>
      </w:r>
    </w:p>
    <w:p w14:paraId="1A9FF063" w14:textId="77777777" w:rsidR="00C93090" w:rsidRPr="0050050C" w:rsidRDefault="00C93090" w:rsidP="00EA0684">
      <w:pPr>
        <w:jc w:val="both"/>
        <w:rPr>
          <w:rFonts w:ascii="Arial" w:eastAsia="Times New Roman" w:hAnsi="Arial" w:cs="Arial"/>
          <w:color w:val="000000" w:themeColor="text1"/>
          <w:sz w:val="20"/>
          <w:szCs w:val="20"/>
        </w:rPr>
      </w:pPr>
    </w:p>
    <w:p w14:paraId="30A9C32E" w14:textId="77777777" w:rsidR="00EA0684" w:rsidRPr="0050050C" w:rsidRDefault="00EA0684" w:rsidP="00EA0684">
      <w:pPr>
        <w:pStyle w:val="NormalWeb"/>
        <w:tabs>
          <w:tab w:val="left" w:pos="567"/>
        </w:tabs>
        <w:spacing w:before="0" w:beforeAutospacing="0" w:after="0" w:afterAutospacing="0"/>
        <w:jc w:val="both"/>
        <w:rPr>
          <w:rFonts w:ascii="Arial" w:hAnsi="Arial" w:cs="Arial"/>
          <w:i/>
          <w:color w:val="000000" w:themeColor="text1"/>
          <w:sz w:val="20"/>
          <w:szCs w:val="20"/>
          <w:lang w:val="hr-HR"/>
        </w:rPr>
      </w:pPr>
      <w:r w:rsidRPr="0050050C">
        <w:rPr>
          <w:rFonts w:ascii="Arial" w:hAnsi="Arial" w:cs="Arial"/>
          <w:i/>
          <w:color w:val="000000" w:themeColor="text1"/>
          <w:sz w:val="20"/>
          <w:szCs w:val="20"/>
          <w:lang w:val="hr-HR"/>
        </w:rPr>
        <w:t>Nadzorni odbor</w:t>
      </w:r>
    </w:p>
    <w:p w14:paraId="7BB1915A" w14:textId="4B7DFB0F" w:rsidR="00EA0684" w:rsidRPr="0050050C" w:rsidRDefault="00EA0684" w:rsidP="00EA0684">
      <w:pPr>
        <w:pStyle w:val="T1PARAGRAPH"/>
        <w:widowControl w:val="0"/>
        <w:numPr>
          <w:ilvl w:val="0"/>
          <w:numId w:val="0"/>
        </w:numPr>
        <w:spacing w:after="0" w:line="240" w:lineRule="auto"/>
        <w:rPr>
          <w:color w:val="000000" w:themeColor="text1"/>
          <w:sz w:val="20"/>
        </w:rPr>
      </w:pPr>
      <w:r w:rsidRPr="0050050C">
        <w:rPr>
          <w:color w:val="000000" w:themeColor="text1"/>
          <w:sz w:val="20"/>
        </w:rPr>
        <w:t xml:space="preserve">Na dan </w:t>
      </w:r>
      <w:r w:rsidR="00B2599D" w:rsidRPr="0050050C">
        <w:rPr>
          <w:color w:val="000000" w:themeColor="text1"/>
          <w:sz w:val="20"/>
        </w:rPr>
        <w:t>3</w:t>
      </w:r>
      <w:r w:rsidR="00B2599D">
        <w:rPr>
          <w:color w:val="000000" w:themeColor="text1"/>
          <w:sz w:val="20"/>
        </w:rPr>
        <w:t>0</w:t>
      </w:r>
      <w:r w:rsidRPr="0050050C">
        <w:rPr>
          <w:color w:val="000000" w:themeColor="text1"/>
          <w:sz w:val="20"/>
        </w:rPr>
        <w:t xml:space="preserve">. </w:t>
      </w:r>
      <w:r w:rsidR="00FB136F">
        <w:rPr>
          <w:color w:val="000000" w:themeColor="text1"/>
          <w:sz w:val="20"/>
        </w:rPr>
        <w:t>rujn</w:t>
      </w:r>
      <w:r w:rsidRPr="0050050C">
        <w:rPr>
          <w:color w:val="000000" w:themeColor="text1"/>
          <w:sz w:val="20"/>
        </w:rPr>
        <w:t>a 202</w:t>
      </w:r>
      <w:r w:rsidR="000E64ED">
        <w:rPr>
          <w:color w:val="000000" w:themeColor="text1"/>
          <w:sz w:val="20"/>
        </w:rPr>
        <w:t>4</w:t>
      </w:r>
      <w:r w:rsidRPr="0050050C">
        <w:rPr>
          <w:color w:val="000000" w:themeColor="text1"/>
          <w:sz w:val="20"/>
        </w:rPr>
        <w:t>. Nadzorni odbor djeluje u sljedećem sastavu:</w:t>
      </w:r>
    </w:p>
    <w:p w14:paraId="6B12C93C" w14:textId="75BB0886" w:rsidR="00EA0684" w:rsidRPr="00553C2D" w:rsidRDefault="00EA0684" w:rsidP="00B25D6F">
      <w:pPr>
        <w:pStyle w:val="ListParagraph"/>
        <w:numPr>
          <w:ilvl w:val="0"/>
          <w:numId w:val="2"/>
        </w:numPr>
        <w:suppressAutoHyphens w:val="0"/>
        <w:autoSpaceDN/>
        <w:ind w:left="851" w:hanging="284"/>
        <w:jc w:val="both"/>
        <w:rPr>
          <w:rFonts w:ascii="Arial" w:hAnsi="Arial" w:cs="Arial"/>
          <w:color w:val="000000" w:themeColor="text1"/>
          <w:sz w:val="20"/>
          <w:szCs w:val="20"/>
          <w:lang w:val="hr-HR"/>
        </w:rPr>
      </w:pPr>
      <w:r w:rsidRPr="00553C2D">
        <w:rPr>
          <w:rFonts w:ascii="Arial" w:hAnsi="Arial" w:cs="Arial"/>
          <w:color w:val="000000" w:themeColor="text1"/>
          <w:sz w:val="20"/>
          <w:szCs w:val="20"/>
          <w:lang w:val="hr-HR"/>
        </w:rPr>
        <w:t xml:space="preserve">izv. prof. dr. sc. Marko Primorac, </w:t>
      </w:r>
      <w:r w:rsidR="003933B3">
        <w:rPr>
          <w:rFonts w:ascii="Arial" w:hAnsi="Arial" w:cs="Arial"/>
          <w:color w:val="000000" w:themeColor="text1"/>
          <w:sz w:val="20"/>
          <w:szCs w:val="20"/>
          <w:lang w:val="hr-HR"/>
        </w:rPr>
        <w:t xml:space="preserve">potpredsjednik Vlade Republike Hrvatske i </w:t>
      </w:r>
      <w:r w:rsidRPr="00553C2D">
        <w:rPr>
          <w:rFonts w:ascii="Arial" w:hAnsi="Arial" w:cs="Arial"/>
          <w:color w:val="000000" w:themeColor="text1"/>
          <w:sz w:val="20"/>
          <w:szCs w:val="20"/>
          <w:lang w:val="hr-HR"/>
        </w:rPr>
        <w:t xml:space="preserve">ministar financija – po položaju predsjednik Nadzornog odbora, </w:t>
      </w:r>
    </w:p>
    <w:p w14:paraId="4ABF028D" w14:textId="1D504638" w:rsidR="00EA0684" w:rsidRDefault="00BB3485" w:rsidP="00B25D6F">
      <w:pPr>
        <w:pStyle w:val="ListParagraph"/>
        <w:numPr>
          <w:ilvl w:val="0"/>
          <w:numId w:val="2"/>
        </w:numPr>
        <w:suppressAutoHyphens w:val="0"/>
        <w:autoSpaceDN/>
        <w:ind w:left="851" w:hanging="284"/>
        <w:jc w:val="both"/>
        <w:rPr>
          <w:rFonts w:ascii="Arial" w:hAnsi="Arial" w:cs="Arial"/>
          <w:color w:val="000000" w:themeColor="text1"/>
          <w:sz w:val="20"/>
          <w:szCs w:val="20"/>
          <w:lang w:val="hr-HR"/>
        </w:rPr>
      </w:pPr>
      <w:r>
        <w:rPr>
          <w:rFonts w:ascii="Arial" w:hAnsi="Arial" w:cs="Arial"/>
          <w:color w:val="000000" w:themeColor="text1"/>
          <w:sz w:val="20"/>
          <w:szCs w:val="20"/>
          <w:lang w:val="hr-HR"/>
        </w:rPr>
        <w:t xml:space="preserve">Ante Šušnjar, </w:t>
      </w:r>
      <w:r w:rsidR="00EA0684" w:rsidRPr="00553C2D">
        <w:rPr>
          <w:rFonts w:ascii="Arial" w:hAnsi="Arial" w:cs="Arial"/>
          <w:color w:val="000000" w:themeColor="text1"/>
          <w:sz w:val="20"/>
          <w:szCs w:val="20"/>
          <w:lang w:val="hr-HR"/>
        </w:rPr>
        <w:t>ministar gospodarstva – po položaju zamjenik predsjednika Nadzornog odbora,</w:t>
      </w:r>
    </w:p>
    <w:p w14:paraId="7C5E1D2F" w14:textId="67AFAB9E" w:rsidR="00553C2D" w:rsidRPr="00553C2D" w:rsidRDefault="00553C2D" w:rsidP="00B25D6F">
      <w:pPr>
        <w:pStyle w:val="ListParagraph"/>
        <w:numPr>
          <w:ilvl w:val="0"/>
          <w:numId w:val="2"/>
        </w:numPr>
        <w:suppressAutoHyphens w:val="0"/>
        <w:autoSpaceDN/>
        <w:ind w:left="851" w:hanging="284"/>
        <w:jc w:val="both"/>
        <w:rPr>
          <w:rFonts w:ascii="Arial" w:hAnsi="Arial" w:cs="Arial"/>
          <w:color w:val="000000" w:themeColor="text1"/>
          <w:sz w:val="20"/>
          <w:szCs w:val="20"/>
          <w:lang w:val="hr-HR"/>
        </w:rPr>
      </w:pPr>
      <w:bookmarkStart w:id="253" w:name="_Hlk150432692"/>
      <w:r w:rsidRPr="00553C2D">
        <w:rPr>
          <w:rFonts w:ascii="Arial" w:hAnsi="Arial" w:cs="Arial"/>
          <w:color w:val="000000" w:themeColor="text1"/>
          <w:sz w:val="20"/>
          <w:szCs w:val="20"/>
          <w:lang w:val="hr-HR"/>
        </w:rPr>
        <w:t xml:space="preserve">Šime Erlić, </w:t>
      </w:r>
      <w:bookmarkEnd w:id="253"/>
      <w:r w:rsidRPr="00553C2D">
        <w:rPr>
          <w:rFonts w:ascii="Arial" w:hAnsi="Arial" w:cs="Arial"/>
          <w:color w:val="000000" w:themeColor="text1"/>
          <w:sz w:val="20"/>
          <w:szCs w:val="20"/>
          <w:lang w:val="hr-HR"/>
        </w:rPr>
        <w:t>ministar regionalnoga razvoja i fondova Europske unije,</w:t>
      </w:r>
    </w:p>
    <w:p w14:paraId="00FD629F" w14:textId="77777777" w:rsidR="000D0C29" w:rsidRPr="00553C2D" w:rsidRDefault="000D0C29" w:rsidP="00B25D6F">
      <w:pPr>
        <w:pStyle w:val="ListParagraph"/>
        <w:numPr>
          <w:ilvl w:val="0"/>
          <w:numId w:val="2"/>
        </w:numPr>
        <w:suppressAutoHyphens w:val="0"/>
        <w:autoSpaceDN/>
        <w:ind w:left="851" w:hanging="284"/>
        <w:jc w:val="both"/>
        <w:rPr>
          <w:rFonts w:ascii="Arial" w:hAnsi="Arial" w:cs="Arial"/>
          <w:color w:val="000000" w:themeColor="text1"/>
          <w:sz w:val="20"/>
          <w:szCs w:val="20"/>
          <w:lang w:val="hr-HR"/>
        </w:rPr>
      </w:pPr>
      <w:r w:rsidRPr="00553C2D">
        <w:rPr>
          <w:rFonts w:ascii="Arial" w:hAnsi="Arial" w:cs="Arial"/>
          <w:color w:val="000000"/>
          <w:sz w:val="20"/>
          <w:szCs w:val="20"/>
          <w:lang w:val="hr-HR"/>
        </w:rPr>
        <w:t>Branko Bačić, potpredsjednik Vlade Republike Hrvatske i ministar prostornoga uređenja, graditeljstva i državne imovine,</w:t>
      </w:r>
    </w:p>
    <w:p w14:paraId="59BCD346" w14:textId="7D702752" w:rsidR="00EA0684" w:rsidRPr="00553C2D" w:rsidRDefault="00EA0684" w:rsidP="00B25D6F">
      <w:pPr>
        <w:pStyle w:val="ListParagraph"/>
        <w:numPr>
          <w:ilvl w:val="0"/>
          <w:numId w:val="2"/>
        </w:numPr>
        <w:suppressAutoHyphens w:val="0"/>
        <w:autoSpaceDN/>
        <w:ind w:left="851" w:hanging="284"/>
        <w:jc w:val="both"/>
        <w:rPr>
          <w:rFonts w:ascii="Arial" w:hAnsi="Arial" w:cs="Arial"/>
          <w:color w:val="000000" w:themeColor="text1"/>
          <w:sz w:val="20"/>
          <w:szCs w:val="20"/>
          <w:lang w:val="hr-HR"/>
        </w:rPr>
      </w:pPr>
      <w:r w:rsidRPr="00553C2D">
        <w:rPr>
          <w:rFonts w:ascii="Arial" w:hAnsi="Arial" w:cs="Arial"/>
          <w:color w:val="000000" w:themeColor="text1"/>
          <w:sz w:val="20"/>
          <w:szCs w:val="20"/>
          <w:lang w:val="hr-HR"/>
        </w:rPr>
        <w:t xml:space="preserve">mr. sc. Marija Vučković, ministrica </w:t>
      </w:r>
      <w:r w:rsidR="000D0C29">
        <w:rPr>
          <w:rFonts w:ascii="Arial" w:hAnsi="Arial" w:cs="Arial"/>
          <w:color w:val="000000" w:themeColor="text1"/>
          <w:sz w:val="20"/>
          <w:szCs w:val="20"/>
          <w:lang w:val="hr-HR"/>
        </w:rPr>
        <w:t>zaštite okoliša i zelene tranzicije</w:t>
      </w:r>
      <w:r w:rsidR="00F03377">
        <w:rPr>
          <w:rFonts w:ascii="Arial" w:hAnsi="Arial" w:cs="Arial"/>
          <w:color w:val="000000" w:themeColor="text1"/>
          <w:sz w:val="20"/>
          <w:szCs w:val="20"/>
          <w:lang w:val="hr-HR"/>
        </w:rPr>
        <w:t>,</w:t>
      </w:r>
    </w:p>
    <w:p w14:paraId="7C0C37CB" w14:textId="77777777" w:rsidR="000D0C29" w:rsidRPr="000D0C29" w:rsidRDefault="000D0C29" w:rsidP="00B25D6F">
      <w:pPr>
        <w:pStyle w:val="ListParagraph"/>
        <w:numPr>
          <w:ilvl w:val="0"/>
          <w:numId w:val="2"/>
        </w:numPr>
        <w:suppressAutoHyphens w:val="0"/>
        <w:autoSpaceDN/>
        <w:ind w:left="851" w:hanging="284"/>
        <w:jc w:val="both"/>
        <w:rPr>
          <w:rFonts w:ascii="Arial" w:hAnsi="Arial" w:cs="Arial"/>
          <w:color w:val="000000" w:themeColor="text1"/>
          <w:sz w:val="20"/>
          <w:szCs w:val="20"/>
          <w:lang w:val="hr-HR"/>
        </w:rPr>
      </w:pPr>
      <w:r>
        <w:rPr>
          <w:rFonts w:ascii="Arial" w:hAnsi="Arial" w:cs="Arial"/>
          <w:color w:val="000000"/>
          <w:sz w:val="20"/>
          <w:szCs w:val="20"/>
          <w:lang w:val="hr-HR"/>
        </w:rPr>
        <w:t>Josip Dabro, potpredsjednik Vlade Republike Hrvatske i ministar poljoprivrede, šumarstva i ribarstva,</w:t>
      </w:r>
    </w:p>
    <w:p w14:paraId="34A101F0" w14:textId="0E194F84" w:rsidR="00EA0684" w:rsidRPr="00553C2D" w:rsidRDefault="00EA0684" w:rsidP="00B25D6F">
      <w:pPr>
        <w:pStyle w:val="ListParagraph"/>
        <w:numPr>
          <w:ilvl w:val="0"/>
          <w:numId w:val="2"/>
        </w:numPr>
        <w:suppressAutoHyphens w:val="0"/>
        <w:autoSpaceDN/>
        <w:ind w:left="851" w:hanging="284"/>
        <w:jc w:val="both"/>
        <w:rPr>
          <w:rFonts w:ascii="Arial" w:hAnsi="Arial" w:cs="Arial"/>
          <w:color w:val="000000" w:themeColor="text1"/>
          <w:sz w:val="20"/>
          <w:szCs w:val="20"/>
          <w:lang w:val="hr-HR"/>
        </w:rPr>
      </w:pPr>
      <w:r w:rsidRPr="00553C2D">
        <w:rPr>
          <w:rFonts w:ascii="Arial" w:hAnsi="Arial" w:cs="Arial"/>
          <w:color w:val="000000"/>
          <w:sz w:val="20"/>
          <w:szCs w:val="20"/>
          <w:lang w:val="hr-HR"/>
        </w:rPr>
        <w:t>dr. sc. Luka Burilović, predsjednik Hrvatske gospodarske komore – po položaju član Nadzornog odbora,</w:t>
      </w:r>
    </w:p>
    <w:p w14:paraId="1FD4153A" w14:textId="5D5CB703" w:rsidR="00EA0684" w:rsidRPr="003D1614" w:rsidRDefault="00CB7A9A" w:rsidP="00B25D6F">
      <w:pPr>
        <w:pStyle w:val="ListParagraph"/>
        <w:numPr>
          <w:ilvl w:val="0"/>
          <w:numId w:val="2"/>
        </w:numPr>
        <w:suppressAutoHyphens w:val="0"/>
        <w:autoSpaceDN/>
        <w:ind w:left="851" w:hanging="284"/>
        <w:jc w:val="both"/>
        <w:rPr>
          <w:rFonts w:ascii="Arial" w:hAnsi="Arial" w:cs="Arial"/>
          <w:color w:val="000000" w:themeColor="text1"/>
          <w:sz w:val="20"/>
          <w:szCs w:val="20"/>
          <w:lang w:val="hr-HR"/>
        </w:rPr>
      </w:pPr>
      <w:r>
        <w:rPr>
          <w:rFonts w:ascii="Arial" w:hAnsi="Arial" w:cs="Arial"/>
          <w:color w:val="000000"/>
          <w:sz w:val="20"/>
          <w:szCs w:val="20"/>
          <w:lang w:val="hr-HR"/>
        </w:rPr>
        <w:t>Branka Juričev-Martinčev</w:t>
      </w:r>
      <w:r w:rsidR="00EA0684" w:rsidRPr="003D1614">
        <w:rPr>
          <w:rFonts w:ascii="Arial" w:hAnsi="Arial" w:cs="Arial"/>
          <w:color w:val="000000"/>
          <w:sz w:val="20"/>
          <w:szCs w:val="20"/>
          <w:lang w:val="hr-HR"/>
        </w:rPr>
        <w:t>, saborsk</w:t>
      </w:r>
      <w:r>
        <w:rPr>
          <w:rFonts w:ascii="Arial" w:hAnsi="Arial" w:cs="Arial"/>
          <w:color w:val="000000"/>
          <w:sz w:val="20"/>
          <w:szCs w:val="20"/>
          <w:lang w:val="hr-HR"/>
        </w:rPr>
        <w:t>a</w:t>
      </w:r>
      <w:r w:rsidR="00EA0684" w:rsidRPr="003D1614">
        <w:rPr>
          <w:rFonts w:ascii="Arial" w:hAnsi="Arial" w:cs="Arial"/>
          <w:color w:val="000000"/>
          <w:sz w:val="20"/>
          <w:szCs w:val="20"/>
          <w:lang w:val="hr-HR"/>
        </w:rPr>
        <w:t xml:space="preserve"> zastupni</w:t>
      </w:r>
      <w:r>
        <w:rPr>
          <w:rFonts w:ascii="Arial" w:hAnsi="Arial" w:cs="Arial"/>
          <w:color w:val="000000"/>
          <w:sz w:val="20"/>
          <w:szCs w:val="20"/>
          <w:lang w:val="hr-HR"/>
        </w:rPr>
        <w:t>ca</w:t>
      </w:r>
      <w:r w:rsidR="00EA0684" w:rsidRPr="003D1614">
        <w:rPr>
          <w:rFonts w:ascii="Arial" w:hAnsi="Arial" w:cs="Arial"/>
          <w:color w:val="000000"/>
          <w:sz w:val="20"/>
          <w:szCs w:val="20"/>
          <w:lang w:val="hr-HR"/>
        </w:rPr>
        <w:t>,</w:t>
      </w:r>
    </w:p>
    <w:p w14:paraId="263F1F06" w14:textId="77777777" w:rsidR="00EA0684" w:rsidRPr="003D1614" w:rsidRDefault="00EA0684" w:rsidP="00B25D6F">
      <w:pPr>
        <w:pStyle w:val="ListParagraph"/>
        <w:numPr>
          <w:ilvl w:val="0"/>
          <w:numId w:val="2"/>
        </w:numPr>
        <w:suppressAutoHyphens w:val="0"/>
        <w:autoSpaceDN/>
        <w:ind w:left="851" w:hanging="284"/>
        <w:jc w:val="both"/>
        <w:rPr>
          <w:rFonts w:ascii="Arial" w:hAnsi="Arial" w:cs="Arial"/>
          <w:color w:val="000000" w:themeColor="text1"/>
          <w:sz w:val="20"/>
          <w:szCs w:val="20"/>
          <w:lang w:val="hr-HR"/>
        </w:rPr>
      </w:pPr>
      <w:r w:rsidRPr="003D1614">
        <w:rPr>
          <w:rFonts w:ascii="Arial" w:hAnsi="Arial" w:cs="Arial"/>
          <w:color w:val="000000"/>
          <w:sz w:val="20"/>
          <w:szCs w:val="20"/>
          <w:lang w:val="hr-HR"/>
        </w:rPr>
        <w:t>Predrag Štromar, saborski zastupnik,</w:t>
      </w:r>
    </w:p>
    <w:p w14:paraId="5E95F18F" w14:textId="12FD9E7A" w:rsidR="00EA0684" w:rsidRPr="003D1614" w:rsidRDefault="00CB7A9A" w:rsidP="00B25D6F">
      <w:pPr>
        <w:pStyle w:val="ListParagraph"/>
        <w:numPr>
          <w:ilvl w:val="0"/>
          <w:numId w:val="2"/>
        </w:numPr>
        <w:suppressAutoHyphens w:val="0"/>
        <w:autoSpaceDN/>
        <w:ind w:left="851" w:hanging="284"/>
        <w:jc w:val="both"/>
        <w:rPr>
          <w:rFonts w:ascii="Arial" w:hAnsi="Arial" w:cs="Arial"/>
          <w:color w:val="000000" w:themeColor="text1"/>
          <w:sz w:val="20"/>
          <w:szCs w:val="20"/>
          <w:lang w:val="hr-HR"/>
        </w:rPr>
      </w:pPr>
      <w:r>
        <w:rPr>
          <w:rFonts w:ascii="Arial" w:hAnsi="Arial" w:cs="Arial"/>
          <w:color w:val="000000"/>
          <w:sz w:val="20"/>
          <w:szCs w:val="20"/>
          <w:lang w:val="hr-HR"/>
        </w:rPr>
        <w:t xml:space="preserve">mr. </w:t>
      </w:r>
      <w:r w:rsidR="00EA0684" w:rsidRPr="003D1614">
        <w:rPr>
          <w:rFonts w:ascii="Arial" w:hAnsi="Arial" w:cs="Arial"/>
          <w:color w:val="000000"/>
          <w:sz w:val="20"/>
          <w:szCs w:val="20"/>
          <w:lang w:val="hr-HR"/>
        </w:rPr>
        <w:t xml:space="preserve">sc. </w:t>
      </w:r>
      <w:r>
        <w:rPr>
          <w:rFonts w:ascii="Arial" w:hAnsi="Arial" w:cs="Arial"/>
          <w:color w:val="000000"/>
          <w:sz w:val="20"/>
          <w:szCs w:val="20"/>
          <w:lang w:val="hr-HR"/>
        </w:rPr>
        <w:t>Boris Piližota,</w:t>
      </w:r>
      <w:r w:rsidR="00EA0684" w:rsidRPr="003D1614">
        <w:rPr>
          <w:rFonts w:ascii="Arial" w:hAnsi="Arial" w:cs="Arial"/>
          <w:color w:val="000000"/>
          <w:sz w:val="20"/>
          <w:szCs w:val="20"/>
          <w:lang w:val="hr-HR"/>
        </w:rPr>
        <w:t xml:space="preserve"> saborski zastupnik.</w:t>
      </w:r>
    </w:p>
    <w:p w14:paraId="65FC83CB" w14:textId="77777777" w:rsidR="00C93090" w:rsidRPr="003D1614" w:rsidRDefault="00C93090" w:rsidP="00C93090">
      <w:pPr>
        <w:jc w:val="both"/>
        <w:rPr>
          <w:rFonts w:ascii="Arial" w:hAnsi="Arial" w:cs="Arial"/>
          <w:color w:val="000000" w:themeColor="text1"/>
          <w:sz w:val="18"/>
          <w:szCs w:val="18"/>
        </w:rPr>
      </w:pPr>
    </w:p>
    <w:p w14:paraId="2358F085" w14:textId="77777777" w:rsidR="00C93090" w:rsidRPr="003D1614" w:rsidRDefault="00C93090" w:rsidP="00C93090">
      <w:pPr>
        <w:keepNext/>
        <w:tabs>
          <w:tab w:val="left" w:pos="567"/>
        </w:tabs>
        <w:suppressAutoHyphens/>
        <w:autoSpaceDN w:val="0"/>
        <w:jc w:val="both"/>
        <w:outlineLvl w:val="0"/>
        <w:rPr>
          <w:rFonts w:ascii="Arial" w:eastAsia="Times New Roman" w:hAnsi="Arial" w:cs="Arial"/>
          <w:i/>
          <w:caps/>
          <w:color w:val="000000" w:themeColor="text1"/>
          <w:sz w:val="20"/>
          <w:szCs w:val="20"/>
        </w:rPr>
      </w:pPr>
      <w:bookmarkStart w:id="254" w:name="_Toc67327354"/>
      <w:r w:rsidRPr="003D1614">
        <w:rPr>
          <w:rFonts w:ascii="Arial" w:eastAsia="Times New Roman" w:hAnsi="Arial" w:cs="Arial"/>
          <w:i/>
          <w:color w:val="000000" w:themeColor="text1"/>
          <w:sz w:val="20"/>
          <w:szCs w:val="20"/>
        </w:rPr>
        <w:t>Uprava</w:t>
      </w:r>
      <w:bookmarkEnd w:id="254"/>
      <w:r w:rsidRPr="003D1614">
        <w:rPr>
          <w:rFonts w:ascii="Arial" w:eastAsia="Times New Roman" w:hAnsi="Arial" w:cs="Arial"/>
          <w:i/>
          <w:caps/>
          <w:color w:val="000000" w:themeColor="text1"/>
          <w:sz w:val="20"/>
          <w:szCs w:val="20"/>
        </w:rPr>
        <w:t xml:space="preserve"> </w:t>
      </w:r>
    </w:p>
    <w:p w14:paraId="260FD5C4" w14:textId="77777777" w:rsidR="00C93090" w:rsidRPr="003D1614" w:rsidRDefault="00C93090" w:rsidP="00C93090">
      <w:pPr>
        <w:suppressAutoHyphens/>
        <w:autoSpaceDN w:val="0"/>
        <w:jc w:val="both"/>
        <w:rPr>
          <w:rFonts w:ascii="Arial" w:eastAsia="Times New Roman" w:hAnsi="Arial" w:cs="Arial"/>
          <w:color w:val="000000" w:themeColor="text1"/>
          <w:sz w:val="20"/>
          <w:szCs w:val="20"/>
          <w:lang w:eastAsia="hr-HR"/>
        </w:rPr>
      </w:pPr>
      <w:r w:rsidRPr="003D1614">
        <w:rPr>
          <w:rFonts w:ascii="Arial" w:eastAsia="Times New Roman" w:hAnsi="Arial" w:cs="Arial"/>
          <w:color w:val="000000" w:themeColor="text1"/>
          <w:sz w:val="20"/>
          <w:szCs w:val="20"/>
          <w:lang w:eastAsia="hr-HR"/>
        </w:rPr>
        <w:t>Na dan sastavljanja ovih izvještaja Uprava HBOR-a djeluje u sljedećem sastavu:</w:t>
      </w:r>
    </w:p>
    <w:p w14:paraId="48888390" w14:textId="77777777" w:rsidR="00C93090" w:rsidRPr="003D1614" w:rsidRDefault="00C93090" w:rsidP="00C93090">
      <w:pPr>
        <w:suppressAutoHyphens/>
        <w:autoSpaceDN w:val="0"/>
        <w:jc w:val="both"/>
        <w:rPr>
          <w:rFonts w:ascii="Arial" w:eastAsia="Times New Roman" w:hAnsi="Arial" w:cs="Arial"/>
          <w:color w:val="000000" w:themeColor="text1"/>
          <w:sz w:val="12"/>
          <w:szCs w:val="12"/>
          <w:lang w:eastAsia="hr-HR"/>
        </w:rPr>
      </w:pPr>
    </w:p>
    <w:p w14:paraId="382C1077" w14:textId="77777777" w:rsidR="00C93090" w:rsidRDefault="00C93090" w:rsidP="00C93090">
      <w:pPr>
        <w:numPr>
          <w:ilvl w:val="0"/>
          <w:numId w:val="3"/>
        </w:numPr>
        <w:suppressAutoHyphens/>
        <w:autoSpaceDN w:val="0"/>
        <w:ind w:left="709" w:hanging="283"/>
        <w:contextualSpacing/>
        <w:jc w:val="both"/>
        <w:rPr>
          <w:rFonts w:ascii="Arial" w:eastAsia="Times New Roman" w:hAnsi="Arial" w:cs="Arial"/>
          <w:color w:val="000000" w:themeColor="text1"/>
          <w:sz w:val="20"/>
          <w:szCs w:val="20"/>
          <w:lang w:eastAsia="hr-HR"/>
        </w:rPr>
      </w:pPr>
      <w:r w:rsidRPr="003D1614">
        <w:rPr>
          <w:rFonts w:ascii="Arial" w:eastAsia="Times New Roman" w:hAnsi="Arial" w:cs="Arial"/>
          <w:color w:val="000000" w:themeColor="text1"/>
          <w:sz w:val="20"/>
          <w:szCs w:val="20"/>
          <w:lang w:eastAsia="hr-HR"/>
        </w:rPr>
        <w:t>mr. sc. Hrvoje Čuvalo, predsjednik Uprave,</w:t>
      </w:r>
    </w:p>
    <w:p w14:paraId="7A7709A4" w14:textId="77777777" w:rsidR="00505134" w:rsidRDefault="00505134" w:rsidP="00C93090">
      <w:pPr>
        <w:numPr>
          <w:ilvl w:val="0"/>
          <w:numId w:val="3"/>
        </w:numPr>
        <w:suppressAutoHyphens/>
        <w:autoSpaceDN w:val="0"/>
        <w:ind w:left="709" w:hanging="283"/>
        <w:contextualSpacing/>
        <w:jc w:val="both"/>
        <w:rPr>
          <w:rFonts w:ascii="Arial" w:eastAsia="Times New Roman" w:hAnsi="Arial" w:cs="Arial"/>
          <w:color w:val="000000" w:themeColor="text1"/>
          <w:sz w:val="20"/>
          <w:szCs w:val="20"/>
          <w:lang w:eastAsia="hr-HR"/>
        </w:rPr>
      </w:pPr>
      <w:r w:rsidRPr="003D1614">
        <w:rPr>
          <w:rFonts w:ascii="Arial" w:eastAsia="Times New Roman" w:hAnsi="Arial" w:cs="Arial"/>
          <w:color w:val="000000" w:themeColor="text1"/>
          <w:sz w:val="20"/>
          <w:szCs w:val="20"/>
          <w:lang w:eastAsia="hr-HR"/>
        </w:rPr>
        <w:t>mr. sc. Alan Herjavec, član Uprave</w:t>
      </w:r>
      <w:r>
        <w:rPr>
          <w:rFonts w:ascii="Arial" w:eastAsia="Times New Roman" w:hAnsi="Arial" w:cs="Arial"/>
          <w:color w:val="000000" w:themeColor="text1"/>
          <w:sz w:val="20"/>
          <w:szCs w:val="20"/>
          <w:lang w:eastAsia="hr-HR"/>
        </w:rPr>
        <w:t xml:space="preserve"> i</w:t>
      </w:r>
    </w:p>
    <w:p w14:paraId="5BB0E20D" w14:textId="610EB9BA" w:rsidR="002D200D" w:rsidRPr="003D1614" w:rsidRDefault="002D200D" w:rsidP="00C93090">
      <w:pPr>
        <w:numPr>
          <w:ilvl w:val="0"/>
          <w:numId w:val="3"/>
        </w:numPr>
        <w:suppressAutoHyphens/>
        <w:autoSpaceDN w:val="0"/>
        <w:ind w:left="709" w:hanging="283"/>
        <w:contextualSpacing/>
        <w:jc w:val="both"/>
        <w:rPr>
          <w:rFonts w:ascii="Arial" w:eastAsia="Times New Roman" w:hAnsi="Arial" w:cs="Arial"/>
          <w:color w:val="000000" w:themeColor="text1"/>
          <w:sz w:val="20"/>
          <w:szCs w:val="20"/>
          <w:lang w:eastAsia="hr-HR"/>
        </w:rPr>
      </w:pPr>
      <w:r w:rsidRPr="003D1614">
        <w:rPr>
          <w:rFonts w:ascii="Arial" w:eastAsia="Times New Roman" w:hAnsi="Arial" w:cs="Arial"/>
          <w:color w:val="000000" w:themeColor="text1"/>
          <w:sz w:val="20"/>
          <w:szCs w:val="20"/>
          <w:lang w:eastAsia="hr-HR"/>
        </w:rPr>
        <w:t>Josip Pavković, član Uprav</w:t>
      </w:r>
      <w:r>
        <w:rPr>
          <w:rFonts w:ascii="Arial" w:eastAsia="Times New Roman" w:hAnsi="Arial" w:cs="Arial"/>
          <w:color w:val="000000" w:themeColor="text1"/>
          <w:sz w:val="20"/>
          <w:szCs w:val="20"/>
          <w:lang w:eastAsia="hr-HR"/>
        </w:rPr>
        <w:t>e</w:t>
      </w:r>
      <w:r w:rsidR="00505134">
        <w:rPr>
          <w:rFonts w:ascii="Arial" w:eastAsia="Times New Roman" w:hAnsi="Arial" w:cs="Arial"/>
          <w:color w:val="000000" w:themeColor="text1"/>
          <w:sz w:val="20"/>
          <w:szCs w:val="20"/>
          <w:lang w:eastAsia="hr-HR"/>
        </w:rPr>
        <w:t>.</w:t>
      </w:r>
    </w:p>
    <w:p w14:paraId="41A432BB" w14:textId="77777777" w:rsidR="00C93090" w:rsidRPr="003D1614" w:rsidRDefault="00C93090" w:rsidP="00C93090">
      <w:pPr>
        <w:suppressAutoHyphens/>
        <w:autoSpaceDN w:val="0"/>
        <w:contextualSpacing/>
        <w:jc w:val="both"/>
        <w:rPr>
          <w:rFonts w:ascii="Arial" w:eastAsia="Times New Roman" w:hAnsi="Arial" w:cs="Arial"/>
          <w:color w:val="000000" w:themeColor="text1"/>
          <w:sz w:val="16"/>
          <w:szCs w:val="16"/>
          <w:lang w:eastAsia="hr-HR"/>
        </w:rPr>
      </w:pPr>
    </w:p>
    <w:p w14:paraId="0224AAA0" w14:textId="08F7A959" w:rsidR="00C93090" w:rsidRPr="003D1614" w:rsidRDefault="00C93090" w:rsidP="00C93090">
      <w:pPr>
        <w:suppressAutoHyphens/>
        <w:autoSpaceDN w:val="0"/>
        <w:contextualSpacing/>
        <w:jc w:val="both"/>
        <w:rPr>
          <w:rFonts w:ascii="Arial" w:eastAsia="Times New Roman" w:hAnsi="Arial" w:cs="Arial"/>
          <w:color w:val="000000" w:themeColor="text1"/>
          <w:sz w:val="20"/>
          <w:szCs w:val="20"/>
          <w:lang w:eastAsia="hr-HR"/>
        </w:rPr>
      </w:pPr>
      <w:r w:rsidRPr="003D1614">
        <w:rPr>
          <w:rFonts w:ascii="Arial" w:eastAsia="Times New Roman" w:hAnsi="Arial" w:cs="Arial"/>
          <w:color w:val="000000" w:themeColor="text1"/>
          <w:sz w:val="20"/>
          <w:szCs w:val="20"/>
        </w:rPr>
        <w:t xml:space="preserve">Na dan </w:t>
      </w:r>
      <w:r w:rsidR="00B2599D" w:rsidRPr="003D1614">
        <w:rPr>
          <w:rFonts w:ascii="Arial" w:eastAsia="Times New Roman" w:hAnsi="Arial" w:cs="Arial"/>
          <w:color w:val="000000" w:themeColor="text1"/>
          <w:sz w:val="20"/>
          <w:szCs w:val="20"/>
        </w:rPr>
        <w:t>3</w:t>
      </w:r>
      <w:r w:rsidR="00B2599D">
        <w:rPr>
          <w:rFonts w:ascii="Arial" w:eastAsia="Times New Roman" w:hAnsi="Arial" w:cs="Arial"/>
          <w:color w:val="000000" w:themeColor="text1"/>
          <w:sz w:val="20"/>
          <w:szCs w:val="20"/>
        </w:rPr>
        <w:t>0</w:t>
      </w:r>
      <w:r w:rsidRPr="003D1614">
        <w:rPr>
          <w:rFonts w:ascii="Arial" w:eastAsia="Times New Roman" w:hAnsi="Arial" w:cs="Arial"/>
          <w:color w:val="000000" w:themeColor="text1"/>
          <w:sz w:val="20"/>
          <w:szCs w:val="20"/>
        </w:rPr>
        <w:t xml:space="preserve">. </w:t>
      </w:r>
      <w:r w:rsidR="00FB136F">
        <w:rPr>
          <w:rFonts w:ascii="Arial" w:eastAsia="Times New Roman" w:hAnsi="Arial" w:cs="Arial"/>
          <w:color w:val="000000" w:themeColor="text1"/>
          <w:sz w:val="20"/>
          <w:szCs w:val="20"/>
        </w:rPr>
        <w:t>rujna</w:t>
      </w:r>
      <w:r w:rsidR="00B2599D" w:rsidRPr="003D1614">
        <w:rPr>
          <w:rFonts w:ascii="Arial" w:eastAsia="Times New Roman" w:hAnsi="Arial" w:cs="Arial"/>
          <w:color w:val="000000" w:themeColor="text1"/>
          <w:sz w:val="20"/>
          <w:szCs w:val="20"/>
        </w:rPr>
        <w:t xml:space="preserve"> </w:t>
      </w:r>
      <w:r w:rsidRPr="003D1614">
        <w:rPr>
          <w:rFonts w:ascii="Arial" w:eastAsia="Times New Roman" w:hAnsi="Arial" w:cs="Arial"/>
          <w:color w:val="000000" w:themeColor="text1"/>
          <w:sz w:val="20"/>
          <w:szCs w:val="20"/>
        </w:rPr>
        <w:t>202</w:t>
      </w:r>
      <w:r w:rsidR="000E64ED">
        <w:rPr>
          <w:rFonts w:ascii="Arial" w:eastAsia="Times New Roman" w:hAnsi="Arial" w:cs="Arial"/>
          <w:color w:val="000000" w:themeColor="text1"/>
          <w:sz w:val="20"/>
          <w:szCs w:val="20"/>
        </w:rPr>
        <w:t>4</w:t>
      </w:r>
      <w:r w:rsidRPr="003D1614">
        <w:rPr>
          <w:rFonts w:ascii="Arial" w:eastAsia="Times New Roman" w:hAnsi="Arial" w:cs="Arial"/>
          <w:color w:val="000000" w:themeColor="text1"/>
          <w:sz w:val="20"/>
          <w:szCs w:val="20"/>
        </w:rPr>
        <w:t xml:space="preserve">. HBOR ima </w:t>
      </w:r>
      <w:r w:rsidR="00FF3B1A" w:rsidRPr="000D0C29">
        <w:rPr>
          <w:rFonts w:ascii="Arial" w:eastAsia="Times New Roman" w:hAnsi="Arial" w:cs="Arial"/>
          <w:color w:val="000000" w:themeColor="text1"/>
          <w:sz w:val="20"/>
          <w:szCs w:val="20"/>
        </w:rPr>
        <w:t>4</w:t>
      </w:r>
      <w:r w:rsidR="000D0C29" w:rsidRPr="000D0C29">
        <w:rPr>
          <w:rFonts w:ascii="Arial" w:eastAsia="Times New Roman" w:hAnsi="Arial" w:cs="Arial"/>
          <w:color w:val="000000" w:themeColor="text1"/>
          <w:sz w:val="20"/>
          <w:szCs w:val="20"/>
        </w:rPr>
        <w:t>36</w:t>
      </w:r>
      <w:r w:rsidR="00AB13EC">
        <w:rPr>
          <w:rFonts w:ascii="Arial" w:eastAsia="Times New Roman" w:hAnsi="Arial" w:cs="Arial"/>
          <w:color w:val="000000" w:themeColor="text1"/>
          <w:sz w:val="20"/>
          <w:szCs w:val="20"/>
        </w:rPr>
        <w:t xml:space="preserve"> </w:t>
      </w:r>
      <w:r w:rsidRPr="003D1614">
        <w:rPr>
          <w:rFonts w:ascii="Arial" w:eastAsia="Times New Roman" w:hAnsi="Arial" w:cs="Arial"/>
          <w:color w:val="000000" w:themeColor="text1"/>
          <w:sz w:val="20"/>
          <w:szCs w:val="20"/>
        </w:rPr>
        <w:t>zaposlenika (</w:t>
      </w:r>
      <w:r w:rsidR="00B2599D" w:rsidRPr="003D1614">
        <w:rPr>
          <w:rFonts w:ascii="Arial" w:eastAsia="Times New Roman" w:hAnsi="Arial" w:cs="Arial"/>
          <w:color w:val="000000" w:themeColor="text1"/>
          <w:sz w:val="20"/>
          <w:szCs w:val="20"/>
        </w:rPr>
        <w:t>3</w:t>
      </w:r>
      <w:r w:rsidR="00B2599D">
        <w:rPr>
          <w:rFonts w:ascii="Arial" w:eastAsia="Times New Roman" w:hAnsi="Arial" w:cs="Arial"/>
          <w:color w:val="000000" w:themeColor="text1"/>
          <w:sz w:val="20"/>
          <w:szCs w:val="20"/>
        </w:rPr>
        <w:t>0</w:t>
      </w:r>
      <w:r w:rsidRPr="003D1614">
        <w:rPr>
          <w:rFonts w:ascii="Arial" w:eastAsia="Times New Roman" w:hAnsi="Arial" w:cs="Arial"/>
          <w:color w:val="000000" w:themeColor="text1"/>
          <w:sz w:val="20"/>
          <w:szCs w:val="20"/>
        </w:rPr>
        <w:t xml:space="preserve">. </w:t>
      </w:r>
      <w:r w:rsidR="00FB136F">
        <w:rPr>
          <w:rFonts w:ascii="Arial" w:eastAsia="Times New Roman" w:hAnsi="Arial" w:cs="Arial"/>
          <w:color w:val="000000" w:themeColor="text1"/>
          <w:sz w:val="20"/>
          <w:szCs w:val="20"/>
        </w:rPr>
        <w:t>rujna</w:t>
      </w:r>
      <w:r w:rsidR="00B2599D" w:rsidRPr="003D1614">
        <w:rPr>
          <w:rFonts w:ascii="Arial" w:eastAsia="Times New Roman" w:hAnsi="Arial" w:cs="Arial"/>
          <w:color w:val="000000" w:themeColor="text1"/>
          <w:sz w:val="20"/>
          <w:szCs w:val="20"/>
        </w:rPr>
        <w:t xml:space="preserve"> </w:t>
      </w:r>
      <w:r w:rsidRPr="003D1614">
        <w:rPr>
          <w:rFonts w:ascii="Arial" w:eastAsia="Times New Roman" w:hAnsi="Arial" w:cs="Arial"/>
          <w:color w:val="000000" w:themeColor="text1"/>
          <w:sz w:val="20"/>
          <w:szCs w:val="20"/>
        </w:rPr>
        <w:t>202</w:t>
      </w:r>
      <w:r w:rsidR="000E64ED">
        <w:rPr>
          <w:rFonts w:ascii="Arial" w:eastAsia="Times New Roman" w:hAnsi="Arial" w:cs="Arial"/>
          <w:color w:val="000000" w:themeColor="text1"/>
          <w:sz w:val="20"/>
          <w:szCs w:val="20"/>
        </w:rPr>
        <w:t>3</w:t>
      </w:r>
      <w:r w:rsidRPr="003D1614">
        <w:rPr>
          <w:rFonts w:ascii="Arial" w:eastAsia="Times New Roman" w:hAnsi="Arial" w:cs="Arial"/>
          <w:color w:val="000000" w:themeColor="text1"/>
          <w:sz w:val="20"/>
          <w:szCs w:val="20"/>
        </w:rPr>
        <w:t xml:space="preserve">. bilo je </w:t>
      </w:r>
      <w:r w:rsidR="000E64ED">
        <w:rPr>
          <w:rFonts w:ascii="Arial" w:eastAsia="Times New Roman" w:hAnsi="Arial" w:cs="Arial"/>
          <w:color w:val="000000" w:themeColor="text1"/>
          <w:sz w:val="20"/>
          <w:szCs w:val="20"/>
        </w:rPr>
        <w:t>409</w:t>
      </w:r>
      <w:r w:rsidR="00B2599D" w:rsidRPr="003D1614">
        <w:rPr>
          <w:rFonts w:ascii="Arial" w:eastAsia="Times New Roman" w:hAnsi="Arial" w:cs="Arial"/>
          <w:color w:val="000000" w:themeColor="text1"/>
          <w:sz w:val="20"/>
          <w:szCs w:val="20"/>
        </w:rPr>
        <w:t xml:space="preserve"> </w:t>
      </w:r>
      <w:r w:rsidRPr="003D1614">
        <w:rPr>
          <w:rFonts w:ascii="Arial" w:eastAsia="Times New Roman" w:hAnsi="Arial" w:cs="Arial"/>
          <w:color w:val="000000" w:themeColor="text1"/>
          <w:sz w:val="20"/>
          <w:szCs w:val="20"/>
        </w:rPr>
        <w:t>zaposlenika).</w:t>
      </w:r>
    </w:p>
    <w:p w14:paraId="2E84E054" w14:textId="77777777" w:rsidR="00C93090" w:rsidRPr="003D1614" w:rsidRDefault="00C93090" w:rsidP="00EA0684">
      <w:pPr>
        <w:jc w:val="both"/>
        <w:rPr>
          <w:rFonts w:ascii="Arial" w:hAnsi="Arial" w:cs="Arial"/>
          <w:color w:val="000000" w:themeColor="text1"/>
          <w:sz w:val="20"/>
          <w:szCs w:val="20"/>
        </w:rPr>
        <w:sectPr w:rsidR="00C93090" w:rsidRPr="003D1614" w:rsidSect="00C93090">
          <w:headerReference w:type="default" r:id="rId21"/>
          <w:pgSz w:w="11906" w:h="16838"/>
          <w:pgMar w:top="1418" w:right="1418" w:bottom="1134" w:left="1418" w:header="709" w:footer="709" w:gutter="0"/>
          <w:cols w:space="708"/>
          <w:docGrid w:linePitch="360"/>
        </w:sectPr>
      </w:pPr>
    </w:p>
    <w:p w14:paraId="1C3E7EE1" w14:textId="04D5CEE0" w:rsidR="00EA0684" w:rsidRPr="003D1614" w:rsidRDefault="00EA0684" w:rsidP="00EA0684">
      <w:pPr>
        <w:jc w:val="both"/>
        <w:rPr>
          <w:rFonts w:ascii="Arial" w:hAnsi="Arial" w:cs="Arial"/>
          <w:color w:val="000000" w:themeColor="text1"/>
          <w:sz w:val="20"/>
          <w:szCs w:val="20"/>
        </w:rPr>
      </w:pPr>
    </w:p>
    <w:p w14:paraId="2BFD76AC" w14:textId="77777777" w:rsidR="00C93090" w:rsidRPr="003D1614" w:rsidRDefault="00C93090" w:rsidP="00C93090">
      <w:pPr>
        <w:pStyle w:val="T1"/>
        <w:tabs>
          <w:tab w:val="left" w:pos="567"/>
        </w:tabs>
        <w:spacing w:before="0" w:after="0" w:line="240" w:lineRule="exact"/>
        <w:rPr>
          <w:rFonts w:cs="Arial"/>
          <w:strike/>
          <w:color w:val="000000" w:themeColor="text1"/>
          <w:sz w:val="20"/>
          <w:lang w:val="hr-HR"/>
        </w:rPr>
      </w:pPr>
      <w:r w:rsidRPr="003D1614">
        <w:rPr>
          <w:rFonts w:cs="Arial"/>
          <w:color w:val="000000" w:themeColor="text1"/>
          <w:sz w:val="20"/>
          <w:lang w:val="hr-HR"/>
        </w:rPr>
        <w:t>1.</w:t>
      </w:r>
      <w:r w:rsidRPr="003D1614">
        <w:rPr>
          <w:rFonts w:cs="Arial"/>
          <w:color w:val="000000" w:themeColor="text1"/>
          <w:sz w:val="20"/>
          <w:lang w:val="hr-HR"/>
        </w:rPr>
        <w:tab/>
        <w:t>Opći podaci (nastavak)</w:t>
      </w:r>
    </w:p>
    <w:p w14:paraId="35BE68D2" w14:textId="77777777" w:rsidR="00C93090" w:rsidRPr="003D1614" w:rsidRDefault="00C93090" w:rsidP="00C93090">
      <w:pPr>
        <w:pStyle w:val="NormalWeb"/>
        <w:tabs>
          <w:tab w:val="left" w:pos="567"/>
        </w:tabs>
        <w:spacing w:before="0" w:beforeAutospacing="0" w:after="0" w:afterAutospacing="0" w:line="240" w:lineRule="exact"/>
        <w:jc w:val="both"/>
        <w:rPr>
          <w:rFonts w:ascii="Arial" w:hAnsi="Arial" w:cs="Arial"/>
          <w:b/>
          <w:color w:val="000000" w:themeColor="text1"/>
          <w:sz w:val="20"/>
          <w:szCs w:val="20"/>
          <w:lang w:val="hr-HR"/>
        </w:rPr>
      </w:pPr>
    </w:p>
    <w:p w14:paraId="64C80CF0" w14:textId="77777777" w:rsidR="00C93090" w:rsidRPr="003D1614" w:rsidRDefault="00C93090" w:rsidP="00C93090">
      <w:pPr>
        <w:pStyle w:val="NormalWeb"/>
        <w:tabs>
          <w:tab w:val="left" w:pos="567"/>
        </w:tabs>
        <w:spacing w:before="0" w:beforeAutospacing="0" w:after="0" w:afterAutospacing="0" w:line="240" w:lineRule="exact"/>
        <w:jc w:val="both"/>
        <w:rPr>
          <w:rFonts w:ascii="Arial" w:hAnsi="Arial" w:cs="Arial"/>
          <w:b/>
          <w:color w:val="000000" w:themeColor="text1"/>
          <w:sz w:val="20"/>
          <w:szCs w:val="20"/>
          <w:lang w:val="hr-HR"/>
        </w:rPr>
      </w:pPr>
      <w:r w:rsidRPr="003D1614">
        <w:rPr>
          <w:rFonts w:ascii="Arial" w:hAnsi="Arial" w:cs="Arial"/>
          <w:b/>
          <w:color w:val="000000" w:themeColor="text1"/>
          <w:sz w:val="20"/>
          <w:szCs w:val="20"/>
          <w:lang w:val="hr-HR"/>
        </w:rPr>
        <w:t>1.2.</w:t>
      </w:r>
      <w:r w:rsidRPr="003D1614">
        <w:rPr>
          <w:rFonts w:ascii="Arial" w:hAnsi="Arial" w:cs="Arial"/>
          <w:b/>
          <w:color w:val="000000" w:themeColor="text1"/>
          <w:sz w:val="20"/>
          <w:szCs w:val="20"/>
          <w:lang w:val="hr-HR"/>
        </w:rPr>
        <w:tab/>
        <w:t>Banka (nastavak):</w:t>
      </w:r>
    </w:p>
    <w:p w14:paraId="76027ACA" w14:textId="77777777" w:rsidR="00C93090" w:rsidRPr="003D1614" w:rsidRDefault="00C93090" w:rsidP="00EA0684">
      <w:pPr>
        <w:rPr>
          <w:rFonts w:ascii="Arial" w:eastAsia="Times New Roman" w:hAnsi="Arial" w:cs="Arial"/>
          <w:color w:val="000000" w:themeColor="text1"/>
          <w:sz w:val="20"/>
          <w:szCs w:val="20"/>
        </w:rPr>
      </w:pPr>
    </w:p>
    <w:p w14:paraId="0F339F69" w14:textId="77777777" w:rsidR="00C93090" w:rsidRPr="003D1614" w:rsidRDefault="00C93090" w:rsidP="00C93090">
      <w:pPr>
        <w:suppressAutoHyphens/>
        <w:autoSpaceDN w:val="0"/>
        <w:jc w:val="both"/>
        <w:rPr>
          <w:rFonts w:ascii="Arial" w:eastAsia="Times New Roman" w:hAnsi="Arial" w:cs="Arial"/>
          <w:i/>
          <w:color w:val="000000" w:themeColor="text1"/>
          <w:sz w:val="20"/>
          <w:szCs w:val="20"/>
        </w:rPr>
      </w:pPr>
      <w:r w:rsidRPr="003D1614">
        <w:rPr>
          <w:rFonts w:ascii="Arial" w:eastAsia="Times New Roman" w:hAnsi="Arial" w:cs="Arial"/>
          <w:i/>
          <w:color w:val="000000" w:themeColor="text1"/>
          <w:sz w:val="20"/>
          <w:szCs w:val="20"/>
        </w:rPr>
        <w:t>Revizijski odbor</w:t>
      </w:r>
    </w:p>
    <w:p w14:paraId="4A7741C2" w14:textId="1043F3C3" w:rsidR="00C93090" w:rsidRPr="003D1614" w:rsidRDefault="00C93090" w:rsidP="00C93090">
      <w:pPr>
        <w:tabs>
          <w:tab w:val="left" w:pos="426"/>
        </w:tabs>
        <w:suppressAutoHyphens/>
        <w:autoSpaceDN w:val="0"/>
        <w:jc w:val="both"/>
        <w:rPr>
          <w:rFonts w:ascii="Arial" w:eastAsia="Times New Roman" w:hAnsi="Arial" w:cs="Arial"/>
          <w:color w:val="000000" w:themeColor="text1"/>
          <w:sz w:val="20"/>
          <w:szCs w:val="20"/>
          <w:lang w:eastAsia="hr-HR"/>
        </w:rPr>
      </w:pPr>
      <w:r w:rsidRPr="003D1614">
        <w:rPr>
          <w:rFonts w:ascii="Arial" w:eastAsia="Times New Roman" w:hAnsi="Arial" w:cs="Arial"/>
          <w:color w:val="000000" w:themeColor="text1"/>
          <w:sz w:val="20"/>
          <w:szCs w:val="20"/>
          <w:lang w:eastAsia="hr-HR"/>
        </w:rPr>
        <w:t xml:space="preserve">Na dan </w:t>
      </w:r>
      <w:r w:rsidR="00B2599D" w:rsidRPr="003D1614">
        <w:rPr>
          <w:rFonts w:ascii="Arial" w:eastAsia="Times New Roman" w:hAnsi="Arial" w:cs="Arial"/>
          <w:color w:val="000000" w:themeColor="text1"/>
          <w:sz w:val="20"/>
          <w:szCs w:val="20"/>
          <w:lang w:eastAsia="hr-HR"/>
        </w:rPr>
        <w:t>3</w:t>
      </w:r>
      <w:r w:rsidR="00B2599D">
        <w:rPr>
          <w:rFonts w:ascii="Arial" w:eastAsia="Times New Roman" w:hAnsi="Arial" w:cs="Arial"/>
          <w:color w:val="000000" w:themeColor="text1"/>
          <w:sz w:val="20"/>
          <w:szCs w:val="20"/>
          <w:lang w:eastAsia="hr-HR"/>
        </w:rPr>
        <w:t>0</w:t>
      </w:r>
      <w:r w:rsidRPr="003D1614">
        <w:rPr>
          <w:rFonts w:ascii="Arial" w:eastAsia="Times New Roman" w:hAnsi="Arial" w:cs="Arial"/>
          <w:color w:val="000000" w:themeColor="text1"/>
          <w:sz w:val="20"/>
          <w:szCs w:val="20"/>
          <w:lang w:eastAsia="hr-HR"/>
        </w:rPr>
        <w:t>.</w:t>
      </w:r>
      <w:r w:rsidR="00FB136F">
        <w:rPr>
          <w:rFonts w:ascii="Arial" w:eastAsia="Times New Roman" w:hAnsi="Arial" w:cs="Arial"/>
          <w:color w:val="000000" w:themeColor="text1"/>
          <w:sz w:val="20"/>
          <w:szCs w:val="20"/>
          <w:lang w:eastAsia="hr-HR"/>
        </w:rPr>
        <w:t xml:space="preserve"> rujna</w:t>
      </w:r>
      <w:r w:rsidR="00B2599D" w:rsidRPr="003D1614">
        <w:rPr>
          <w:rFonts w:ascii="Arial" w:eastAsia="Times New Roman" w:hAnsi="Arial" w:cs="Arial"/>
          <w:color w:val="000000" w:themeColor="text1"/>
          <w:sz w:val="20"/>
          <w:szCs w:val="20"/>
          <w:lang w:eastAsia="hr-HR"/>
        </w:rPr>
        <w:t xml:space="preserve"> 202</w:t>
      </w:r>
      <w:r w:rsidR="0049229A">
        <w:rPr>
          <w:rFonts w:ascii="Arial" w:eastAsia="Times New Roman" w:hAnsi="Arial" w:cs="Arial"/>
          <w:color w:val="000000" w:themeColor="text1"/>
          <w:sz w:val="20"/>
          <w:szCs w:val="20"/>
          <w:lang w:eastAsia="hr-HR"/>
        </w:rPr>
        <w:t>4</w:t>
      </w:r>
      <w:r w:rsidRPr="003D1614">
        <w:rPr>
          <w:rFonts w:ascii="Arial" w:eastAsia="Times New Roman" w:hAnsi="Arial" w:cs="Arial"/>
          <w:color w:val="000000" w:themeColor="text1"/>
          <w:sz w:val="20"/>
          <w:szCs w:val="20"/>
          <w:lang w:eastAsia="hr-HR"/>
        </w:rPr>
        <w:t>. Revizijski odbor djeluje u sastavu:</w:t>
      </w:r>
    </w:p>
    <w:p w14:paraId="5C2280CF" w14:textId="77777777" w:rsidR="00C93090" w:rsidRPr="003D1614" w:rsidRDefault="00C93090" w:rsidP="00C93090">
      <w:pPr>
        <w:tabs>
          <w:tab w:val="left" w:pos="426"/>
        </w:tabs>
        <w:suppressAutoHyphens/>
        <w:autoSpaceDN w:val="0"/>
        <w:jc w:val="both"/>
        <w:rPr>
          <w:rFonts w:ascii="Arial" w:eastAsia="Times New Roman" w:hAnsi="Arial" w:cs="Arial"/>
          <w:color w:val="000000" w:themeColor="text1"/>
          <w:sz w:val="10"/>
          <w:szCs w:val="10"/>
          <w:lang w:eastAsia="hr-HR"/>
        </w:rPr>
      </w:pPr>
    </w:p>
    <w:p w14:paraId="32B478BD" w14:textId="77777777" w:rsidR="00C93090" w:rsidRPr="003D1614" w:rsidRDefault="00C93090" w:rsidP="00C93090">
      <w:pPr>
        <w:numPr>
          <w:ilvl w:val="0"/>
          <w:numId w:val="4"/>
        </w:numPr>
        <w:tabs>
          <w:tab w:val="num" w:pos="851"/>
        </w:tabs>
        <w:suppressAutoHyphens/>
        <w:autoSpaceDN w:val="0"/>
        <w:ind w:left="851"/>
        <w:contextualSpacing/>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prof. dr. sc. Lajoš Žager, redoviti profesor, Katedra za računovodstvo Ekonomskog fakulteta Sveučilišta u Zagrebu, u svojstvu predsjednika Revizijskog odbora,</w:t>
      </w:r>
    </w:p>
    <w:p w14:paraId="5088C7F2" w14:textId="77777777" w:rsidR="00C93090" w:rsidRPr="003D1614" w:rsidRDefault="00C93090" w:rsidP="00C93090">
      <w:pPr>
        <w:numPr>
          <w:ilvl w:val="0"/>
          <w:numId w:val="4"/>
        </w:numPr>
        <w:tabs>
          <w:tab w:val="num" w:pos="851"/>
        </w:tabs>
        <w:suppressAutoHyphens/>
        <w:autoSpaceDN w:val="0"/>
        <w:ind w:left="851"/>
        <w:contextualSpacing/>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prof. dr. sc. Boris Tušek, redoviti profesor, Katedra za računovodstvo Ekonomskog fakulteta Sveučilišta u Zagrebu, u svojstvu zamjenika predsjednika Revizijskog odbora,</w:t>
      </w:r>
    </w:p>
    <w:p w14:paraId="2A6B6E39" w14:textId="77777777" w:rsidR="00C93090" w:rsidRPr="003D1614" w:rsidRDefault="00C93090" w:rsidP="00C93090">
      <w:pPr>
        <w:numPr>
          <w:ilvl w:val="0"/>
          <w:numId w:val="4"/>
        </w:numPr>
        <w:tabs>
          <w:tab w:val="num" w:pos="993"/>
        </w:tabs>
        <w:suppressAutoHyphens/>
        <w:autoSpaceDN w:val="0"/>
        <w:ind w:left="851"/>
        <w:contextualSpacing/>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Predrag Štromar, predsjednik Odbora za prostorno uređenje i graditeljstvo u Hrvatskom saboru, u svojstvu člana Revizijskog odbora.</w:t>
      </w:r>
    </w:p>
    <w:p w14:paraId="02850876" w14:textId="582D9077" w:rsidR="00EA0684" w:rsidRPr="003D1614" w:rsidRDefault="00EA0684" w:rsidP="00EA0684">
      <w:pPr>
        <w:rPr>
          <w:rFonts w:ascii="Arial" w:eastAsia="Times New Roman" w:hAnsi="Arial" w:cs="Arial"/>
          <w:sz w:val="20"/>
          <w:szCs w:val="20"/>
        </w:rPr>
      </w:pPr>
    </w:p>
    <w:p w14:paraId="201F9716" w14:textId="77777777" w:rsidR="00C93090" w:rsidRPr="003D1614" w:rsidRDefault="00C93090" w:rsidP="00C93090">
      <w:pPr>
        <w:tabs>
          <w:tab w:val="left" w:pos="426"/>
        </w:tabs>
        <w:suppressAutoHyphens/>
        <w:autoSpaceDN w:val="0"/>
        <w:jc w:val="both"/>
        <w:rPr>
          <w:rFonts w:ascii="Arial" w:eastAsia="Times New Roman" w:hAnsi="Arial" w:cs="Arial"/>
          <w:b/>
          <w:color w:val="000000" w:themeColor="text1"/>
          <w:sz w:val="20"/>
          <w:szCs w:val="20"/>
          <w:lang w:eastAsia="hr-HR"/>
        </w:rPr>
      </w:pPr>
      <w:r w:rsidRPr="003D1614">
        <w:rPr>
          <w:rFonts w:ascii="Arial" w:eastAsia="Times New Roman" w:hAnsi="Arial" w:cs="Arial"/>
          <w:b/>
          <w:color w:val="000000" w:themeColor="text1"/>
          <w:sz w:val="20"/>
          <w:szCs w:val="20"/>
          <w:lang w:eastAsia="hr-HR"/>
        </w:rPr>
        <w:t>1.2.1. Djelatnost Banke:</w:t>
      </w:r>
    </w:p>
    <w:p w14:paraId="76F3F97C" w14:textId="77777777" w:rsidR="00C93090" w:rsidRPr="003D1614" w:rsidRDefault="00C93090" w:rsidP="00C93090">
      <w:pPr>
        <w:suppressAutoHyphens/>
        <w:autoSpaceDN w:val="0"/>
        <w:jc w:val="both"/>
        <w:rPr>
          <w:rFonts w:ascii="Arial" w:eastAsia="Times New Roman" w:hAnsi="Arial" w:cs="Arial"/>
          <w:b/>
          <w:color w:val="000000" w:themeColor="text1"/>
          <w:sz w:val="14"/>
          <w:szCs w:val="14"/>
          <w:lang w:eastAsia="hr-HR"/>
        </w:rPr>
      </w:pPr>
    </w:p>
    <w:p w14:paraId="08B709BA" w14:textId="77777777" w:rsidR="00C93090" w:rsidRPr="003D1614" w:rsidRDefault="00C93090" w:rsidP="00C93090">
      <w:pPr>
        <w:suppressAutoHyphens/>
        <w:autoSpaceDN w:val="0"/>
        <w:jc w:val="both"/>
        <w:rPr>
          <w:rFonts w:ascii="Arial" w:eastAsia="Times New Roman" w:hAnsi="Arial" w:cs="Arial"/>
          <w:color w:val="000000" w:themeColor="text1"/>
          <w:sz w:val="20"/>
          <w:szCs w:val="20"/>
          <w:lang w:eastAsia="hr-HR"/>
        </w:rPr>
      </w:pPr>
      <w:r w:rsidRPr="003D1614">
        <w:rPr>
          <w:rFonts w:ascii="Arial" w:eastAsia="Times New Roman" w:hAnsi="Arial" w:cs="Arial"/>
          <w:color w:val="000000" w:themeColor="text1"/>
          <w:sz w:val="20"/>
          <w:szCs w:val="20"/>
          <w:lang w:eastAsia="hr-HR"/>
        </w:rPr>
        <w:t xml:space="preserve">Glavne poslovne djelatnosti Banke odnose se na: </w:t>
      </w:r>
    </w:p>
    <w:p w14:paraId="70FCEBD3" w14:textId="77777777" w:rsidR="00C93090" w:rsidRPr="003D1614" w:rsidRDefault="00C93090" w:rsidP="00C93090">
      <w:pPr>
        <w:numPr>
          <w:ilvl w:val="0"/>
          <w:numId w:val="5"/>
        </w:numPr>
        <w:suppressAutoHyphens/>
        <w:autoSpaceDN w:val="0"/>
        <w:contextualSpacing/>
        <w:jc w:val="both"/>
        <w:rPr>
          <w:rFonts w:ascii="Arial" w:eastAsia="Times New Roman" w:hAnsi="Arial" w:cs="Arial"/>
          <w:color w:val="000000" w:themeColor="text1"/>
          <w:sz w:val="20"/>
          <w:szCs w:val="20"/>
          <w:lang w:eastAsia="hr-HR"/>
        </w:rPr>
      </w:pPr>
      <w:r w:rsidRPr="003D1614">
        <w:rPr>
          <w:rFonts w:ascii="Arial" w:eastAsia="Times New Roman" w:hAnsi="Arial" w:cs="Arial"/>
          <w:color w:val="000000" w:themeColor="text1"/>
          <w:sz w:val="20"/>
          <w:szCs w:val="20"/>
          <w:lang w:eastAsia="hr-HR"/>
        </w:rPr>
        <w:t xml:space="preserve">financiranje obnove i razvitka hrvatskoga gospodarstva, </w:t>
      </w:r>
    </w:p>
    <w:p w14:paraId="31EFF3E4" w14:textId="77777777" w:rsidR="00C93090" w:rsidRPr="003D1614" w:rsidRDefault="00C93090" w:rsidP="00C93090">
      <w:pPr>
        <w:numPr>
          <w:ilvl w:val="0"/>
          <w:numId w:val="5"/>
        </w:numPr>
        <w:suppressAutoHyphens/>
        <w:autoSpaceDN w:val="0"/>
        <w:jc w:val="both"/>
        <w:rPr>
          <w:rFonts w:ascii="Arial" w:eastAsia="Times New Roman" w:hAnsi="Arial" w:cs="Arial"/>
          <w:color w:val="000000" w:themeColor="text1"/>
          <w:sz w:val="20"/>
          <w:szCs w:val="20"/>
          <w:lang w:eastAsia="hr-HR"/>
        </w:rPr>
      </w:pPr>
      <w:r w:rsidRPr="003D1614">
        <w:rPr>
          <w:rFonts w:ascii="Arial" w:eastAsia="Times New Roman" w:hAnsi="Arial" w:cs="Arial"/>
          <w:color w:val="000000" w:themeColor="text1"/>
          <w:sz w:val="20"/>
          <w:szCs w:val="20"/>
          <w:lang w:eastAsia="hr-HR"/>
        </w:rPr>
        <w:t xml:space="preserve">financiranje infrastrukture, </w:t>
      </w:r>
    </w:p>
    <w:p w14:paraId="5D6C3D94" w14:textId="77777777" w:rsidR="00C93090" w:rsidRPr="003D1614" w:rsidRDefault="00C93090" w:rsidP="00C93090">
      <w:pPr>
        <w:numPr>
          <w:ilvl w:val="0"/>
          <w:numId w:val="5"/>
        </w:numPr>
        <w:suppressAutoHyphens/>
        <w:autoSpaceDN w:val="0"/>
        <w:jc w:val="both"/>
        <w:rPr>
          <w:rFonts w:ascii="Arial" w:eastAsia="Times New Roman" w:hAnsi="Arial" w:cs="Arial"/>
          <w:color w:val="000000" w:themeColor="text1"/>
          <w:sz w:val="20"/>
          <w:szCs w:val="20"/>
          <w:lang w:eastAsia="hr-HR"/>
        </w:rPr>
      </w:pPr>
      <w:r w:rsidRPr="003D1614">
        <w:rPr>
          <w:rFonts w:ascii="Arial" w:eastAsia="Times New Roman" w:hAnsi="Arial" w:cs="Arial"/>
          <w:color w:val="000000" w:themeColor="text1"/>
          <w:sz w:val="20"/>
          <w:szCs w:val="20"/>
          <w:lang w:eastAsia="hr-HR"/>
        </w:rPr>
        <w:t xml:space="preserve">poticanje izvoza, </w:t>
      </w:r>
    </w:p>
    <w:p w14:paraId="1C83491C" w14:textId="77777777" w:rsidR="00C93090" w:rsidRPr="003D1614" w:rsidRDefault="00C93090" w:rsidP="00C93090">
      <w:pPr>
        <w:numPr>
          <w:ilvl w:val="0"/>
          <w:numId w:val="5"/>
        </w:numPr>
        <w:suppressAutoHyphens/>
        <w:autoSpaceDN w:val="0"/>
        <w:jc w:val="both"/>
        <w:rPr>
          <w:rFonts w:ascii="Arial" w:eastAsia="Times New Roman" w:hAnsi="Arial" w:cs="Arial"/>
          <w:color w:val="000000" w:themeColor="text1"/>
          <w:sz w:val="20"/>
          <w:szCs w:val="20"/>
          <w:lang w:eastAsia="hr-HR"/>
        </w:rPr>
      </w:pPr>
      <w:r w:rsidRPr="003D1614">
        <w:rPr>
          <w:rFonts w:ascii="Arial" w:eastAsia="Times New Roman" w:hAnsi="Arial" w:cs="Arial"/>
          <w:color w:val="000000" w:themeColor="text1"/>
          <w:sz w:val="20"/>
          <w:szCs w:val="20"/>
          <w:lang w:eastAsia="hr-HR"/>
        </w:rPr>
        <w:t xml:space="preserve">potporu razvitku malog i srednjeg poduzetništva, </w:t>
      </w:r>
    </w:p>
    <w:p w14:paraId="739871B0" w14:textId="77777777" w:rsidR="00C93090" w:rsidRPr="003D1614" w:rsidRDefault="00C93090" w:rsidP="00C93090">
      <w:pPr>
        <w:numPr>
          <w:ilvl w:val="0"/>
          <w:numId w:val="5"/>
        </w:numPr>
        <w:suppressAutoHyphens/>
        <w:autoSpaceDN w:val="0"/>
        <w:jc w:val="both"/>
        <w:rPr>
          <w:rFonts w:ascii="Arial" w:eastAsia="Times New Roman" w:hAnsi="Arial" w:cs="Arial"/>
          <w:b/>
          <w:color w:val="000000" w:themeColor="text1"/>
          <w:spacing w:val="-3"/>
          <w:sz w:val="20"/>
          <w:szCs w:val="20"/>
          <w:lang w:eastAsia="hr-HR"/>
        </w:rPr>
      </w:pPr>
      <w:r w:rsidRPr="003D1614">
        <w:rPr>
          <w:rFonts w:ascii="Arial" w:eastAsia="Times New Roman" w:hAnsi="Arial" w:cs="Arial"/>
          <w:color w:val="000000" w:themeColor="text1"/>
          <w:sz w:val="20"/>
          <w:szCs w:val="20"/>
          <w:lang w:eastAsia="hr-HR"/>
        </w:rPr>
        <w:t>poticanje zaštite okoliša,</w:t>
      </w:r>
    </w:p>
    <w:p w14:paraId="3A4E67D2" w14:textId="77777777" w:rsidR="00C93090" w:rsidRPr="003D1614" w:rsidRDefault="00C93090" w:rsidP="00C93090">
      <w:pPr>
        <w:numPr>
          <w:ilvl w:val="0"/>
          <w:numId w:val="5"/>
        </w:numPr>
        <w:suppressAutoHyphens/>
        <w:autoSpaceDN w:val="0"/>
        <w:jc w:val="both"/>
        <w:rPr>
          <w:rFonts w:ascii="Arial" w:eastAsia="Times New Roman" w:hAnsi="Arial" w:cs="Arial"/>
          <w:b/>
          <w:color w:val="000000" w:themeColor="text1"/>
          <w:spacing w:val="-3"/>
          <w:sz w:val="20"/>
          <w:szCs w:val="20"/>
          <w:lang w:eastAsia="hr-HR"/>
        </w:rPr>
      </w:pPr>
      <w:r w:rsidRPr="003D1614">
        <w:rPr>
          <w:rFonts w:ascii="Arial" w:eastAsia="Times New Roman" w:hAnsi="Arial" w:cs="Arial"/>
          <w:color w:val="000000" w:themeColor="text1"/>
          <w:sz w:val="20"/>
          <w:szCs w:val="20"/>
          <w:lang w:eastAsia="hr-HR"/>
        </w:rPr>
        <w:t>kao i osiguranja izvoza hrvatskih roba i usluga od netržišnih rizika u ime i za račun Republike Hrvatske.</w:t>
      </w:r>
    </w:p>
    <w:p w14:paraId="6CF1B8EE" w14:textId="77777777" w:rsidR="00C93090" w:rsidRPr="003D1614" w:rsidRDefault="00C93090" w:rsidP="00C93090">
      <w:pPr>
        <w:suppressAutoHyphens/>
        <w:autoSpaceDN w:val="0"/>
        <w:ind w:left="720"/>
        <w:rPr>
          <w:rFonts w:ascii="Arial" w:eastAsia="Times New Roman" w:hAnsi="Arial" w:cs="Arial"/>
          <w:b/>
          <w:color w:val="000000" w:themeColor="text1"/>
          <w:spacing w:val="-3"/>
          <w:sz w:val="16"/>
          <w:szCs w:val="16"/>
          <w:lang w:eastAsia="hr-HR"/>
        </w:rPr>
      </w:pPr>
    </w:p>
    <w:p w14:paraId="105073E8" w14:textId="77777777" w:rsidR="00C93090" w:rsidRPr="003D1614" w:rsidRDefault="00C93090" w:rsidP="00C93090">
      <w:pPr>
        <w:suppressAutoHyphens/>
        <w:autoSpaceDN w:val="0"/>
        <w:jc w:val="both"/>
        <w:rPr>
          <w:rFonts w:ascii="Arial" w:eastAsia="Times New Roman" w:hAnsi="Arial" w:cs="Arial"/>
          <w:color w:val="000000" w:themeColor="text1"/>
          <w:sz w:val="20"/>
          <w:szCs w:val="20"/>
          <w:lang w:eastAsia="hr-HR"/>
        </w:rPr>
      </w:pPr>
      <w:r w:rsidRPr="003D1614">
        <w:rPr>
          <w:rFonts w:ascii="Arial" w:eastAsia="Times New Roman" w:hAnsi="Arial" w:cs="Arial"/>
          <w:color w:val="000000" w:themeColor="text1"/>
          <w:sz w:val="20"/>
          <w:szCs w:val="20"/>
          <w:lang w:eastAsia="hr-HR"/>
        </w:rPr>
        <w:t>HBOR može obavljati i druge financijske poslove sukladno odlukama Vlade Republike Hrvatske ako ona ocijeni da je to u interesu Republike Hrvatske.</w:t>
      </w:r>
    </w:p>
    <w:p w14:paraId="797B3F0E" w14:textId="77777777" w:rsidR="00C93090" w:rsidRPr="003D1614" w:rsidRDefault="00C93090" w:rsidP="00C93090">
      <w:pPr>
        <w:suppressAutoHyphens/>
        <w:autoSpaceDN w:val="0"/>
        <w:jc w:val="both"/>
        <w:rPr>
          <w:rFonts w:ascii="Arial" w:eastAsia="Times New Roman" w:hAnsi="Arial" w:cs="Arial"/>
          <w:color w:val="000000" w:themeColor="text1"/>
          <w:sz w:val="14"/>
          <w:szCs w:val="14"/>
          <w:lang w:eastAsia="hr-HR"/>
        </w:rPr>
      </w:pPr>
    </w:p>
    <w:p w14:paraId="082EE9A3" w14:textId="77777777" w:rsidR="00C93090" w:rsidRPr="00DA291B" w:rsidRDefault="00C93090" w:rsidP="00C93090">
      <w:pPr>
        <w:tabs>
          <w:tab w:val="left" w:pos="0"/>
        </w:tabs>
        <w:suppressAutoHyphens/>
        <w:autoSpaceDN w:val="0"/>
        <w:ind w:left="567" w:hanging="567"/>
        <w:jc w:val="both"/>
        <w:rPr>
          <w:rFonts w:ascii="Arial" w:eastAsia="Times New Roman" w:hAnsi="Arial" w:cs="Arial"/>
          <w:bCs/>
          <w:color w:val="222222"/>
          <w:sz w:val="20"/>
          <w:szCs w:val="20"/>
        </w:rPr>
      </w:pPr>
      <w:r w:rsidRPr="00DA291B">
        <w:rPr>
          <w:rFonts w:ascii="Arial" w:eastAsia="Times New Roman" w:hAnsi="Arial" w:cs="Arial"/>
          <w:b/>
          <w:bCs/>
          <w:color w:val="000000" w:themeColor="text1"/>
          <w:sz w:val="20"/>
          <w:szCs w:val="20"/>
          <w:lang w:eastAsia="hr-HR"/>
        </w:rPr>
        <w:t>1.3.</w:t>
      </w:r>
      <w:r w:rsidRPr="00DA291B">
        <w:rPr>
          <w:rFonts w:ascii="Arial" w:eastAsia="Times New Roman" w:hAnsi="Arial" w:cs="Arial"/>
          <w:b/>
          <w:bCs/>
          <w:color w:val="000000" w:themeColor="text1"/>
          <w:sz w:val="20"/>
          <w:szCs w:val="20"/>
          <w:lang w:eastAsia="hr-HR"/>
        </w:rPr>
        <w:tab/>
      </w:r>
      <w:r w:rsidRPr="00DA291B">
        <w:rPr>
          <w:rFonts w:ascii="Arial" w:eastAsia="Times New Roman" w:hAnsi="Arial" w:cs="Arial"/>
          <w:b/>
          <w:bCs/>
          <w:sz w:val="20"/>
          <w:szCs w:val="24"/>
        </w:rPr>
        <w:t xml:space="preserve">Utjecaj krize uzrokovane rusko-ukrajinskim ratom </w:t>
      </w:r>
      <w:r w:rsidRPr="00DA291B">
        <w:rPr>
          <w:rFonts w:ascii="Arial" w:eastAsia="Times New Roman" w:hAnsi="Arial" w:cs="Arial"/>
          <w:bCs/>
          <w:color w:val="222222"/>
          <w:sz w:val="20"/>
          <w:szCs w:val="20"/>
        </w:rPr>
        <w:t xml:space="preserve"> </w:t>
      </w:r>
    </w:p>
    <w:p w14:paraId="0AC5B4E9" w14:textId="77777777" w:rsidR="00C93090" w:rsidRPr="00DA291B" w:rsidRDefault="00C93090" w:rsidP="00C93090">
      <w:pPr>
        <w:jc w:val="both"/>
        <w:rPr>
          <w:rFonts w:ascii="Arial" w:eastAsia="Times New Roman" w:hAnsi="Arial" w:cs="Arial"/>
          <w:bCs/>
          <w:color w:val="222222"/>
          <w:sz w:val="14"/>
          <w:szCs w:val="14"/>
          <w:lang w:eastAsia="hr-HR"/>
        </w:rPr>
      </w:pPr>
    </w:p>
    <w:p w14:paraId="5DBA05F1" w14:textId="77777777" w:rsidR="00C93090" w:rsidRPr="00DA291B" w:rsidRDefault="00C93090" w:rsidP="00C93090">
      <w:pPr>
        <w:suppressAutoHyphens/>
        <w:autoSpaceDN w:val="0"/>
        <w:spacing w:line="240" w:lineRule="exact"/>
        <w:jc w:val="both"/>
        <w:rPr>
          <w:rFonts w:ascii="Arial" w:eastAsia="Times New Roman" w:hAnsi="Arial" w:cs="Arial"/>
          <w:sz w:val="20"/>
          <w:szCs w:val="24"/>
        </w:rPr>
      </w:pPr>
      <w:r w:rsidRPr="00DA291B">
        <w:rPr>
          <w:rFonts w:ascii="Arial" w:eastAsia="Times New Roman" w:hAnsi="Arial" w:cs="Arial"/>
          <w:sz w:val="20"/>
          <w:szCs w:val="24"/>
        </w:rPr>
        <w:t xml:space="preserve">Nakon ruske invazije na Ukrajinu 24. veljače 2022., Europska unija je donijela paket sankcija prema Ruskoj Federaciji i Republici Bjelorusiji, koje imaju gospodarske posljedice za cijelo EU tržište, pa tako i hrvatsko gospodarstvo. </w:t>
      </w:r>
    </w:p>
    <w:p w14:paraId="4482CA57" w14:textId="77777777" w:rsidR="00C93090" w:rsidRPr="00DA291B" w:rsidRDefault="00C93090" w:rsidP="00C93090">
      <w:pPr>
        <w:tabs>
          <w:tab w:val="left" w:pos="360"/>
        </w:tabs>
        <w:suppressAutoHyphens/>
        <w:autoSpaceDN w:val="0"/>
        <w:spacing w:line="240" w:lineRule="exact"/>
        <w:jc w:val="both"/>
        <w:rPr>
          <w:rFonts w:ascii="Arial" w:eastAsia="Times New Roman" w:hAnsi="Arial" w:cs="Arial"/>
          <w:sz w:val="20"/>
          <w:szCs w:val="24"/>
        </w:rPr>
      </w:pPr>
      <w:r w:rsidRPr="00DA291B">
        <w:rPr>
          <w:rFonts w:ascii="Arial" w:eastAsia="Times New Roman" w:hAnsi="Arial" w:cs="Arial"/>
          <w:sz w:val="20"/>
          <w:szCs w:val="24"/>
          <w:lang w:eastAsia="hr-HR"/>
        </w:rPr>
        <w:t>Poduzetnici su višestruko pogođeni, i izravno i neizravno, posebice u obliku smanjenja potražnje, prekida postojećih ugovora i projekata uz posljedični gubitak prometa, poremećaja u lancima opskrbe, posebno sirovina i poluproizvoda, cijene energenata ili drugih ulaznih materijala.</w:t>
      </w:r>
      <w:r w:rsidRPr="00DA291B">
        <w:rPr>
          <w:rFonts w:ascii="Arial" w:eastAsia="Times New Roman" w:hAnsi="Arial" w:cs="Arial"/>
          <w:sz w:val="20"/>
          <w:szCs w:val="24"/>
        </w:rPr>
        <w:t xml:space="preserve"> Kriza remeti opskrbne lance, utječući na izvoznike i uvoznike ruske, ukrajinske i bjeloruske robe i usluga. Negativan utjecaj povećanja cijena već se osjeća u cijelom hrvatskom gospodarstvu.</w:t>
      </w:r>
    </w:p>
    <w:p w14:paraId="689932A3" w14:textId="77777777" w:rsidR="00C93090" w:rsidRPr="00DA291B" w:rsidRDefault="00C93090" w:rsidP="00C93090">
      <w:pPr>
        <w:suppressAutoHyphens/>
        <w:autoSpaceDN w:val="0"/>
        <w:spacing w:line="200" w:lineRule="exact"/>
        <w:jc w:val="both"/>
        <w:rPr>
          <w:rFonts w:ascii="Arial" w:eastAsia="Times New Roman" w:hAnsi="Arial" w:cs="Arial"/>
          <w:sz w:val="12"/>
          <w:szCs w:val="12"/>
        </w:rPr>
      </w:pPr>
    </w:p>
    <w:p w14:paraId="5838788C" w14:textId="77777777" w:rsidR="00C93090" w:rsidRPr="00DA291B" w:rsidRDefault="00C93090" w:rsidP="00C93090">
      <w:pPr>
        <w:tabs>
          <w:tab w:val="left" w:pos="360"/>
        </w:tabs>
        <w:suppressAutoHyphens/>
        <w:autoSpaceDN w:val="0"/>
        <w:spacing w:line="240" w:lineRule="exact"/>
        <w:jc w:val="both"/>
        <w:rPr>
          <w:rFonts w:ascii="Arial" w:eastAsia="Times New Roman" w:hAnsi="Arial" w:cs="Arial"/>
          <w:sz w:val="20"/>
          <w:szCs w:val="24"/>
          <w:lang w:eastAsia="hr-HR"/>
        </w:rPr>
      </w:pPr>
      <w:r w:rsidRPr="00DA291B">
        <w:rPr>
          <w:rFonts w:ascii="Arial" w:eastAsia="Times New Roman" w:hAnsi="Arial" w:cs="Arial"/>
          <w:sz w:val="20"/>
          <w:szCs w:val="24"/>
          <w:lang w:eastAsia="hr-HR"/>
        </w:rPr>
        <w:t>Slijedom navedenog HBOR je započeo sa programom pomoći hrvatskom gospodarstvu pogođenom ovom novom krizom:</w:t>
      </w:r>
    </w:p>
    <w:p w14:paraId="09756AD4" w14:textId="77777777" w:rsidR="00C93090" w:rsidRPr="00DA291B" w:rsidRDefault="00C93090" w:rsidP="00C93090">
      <w:pPr>
        <w:numPr>
          <w:ilvl w:val="0"/>
          <w:numId w:val="5"/>
        </w:numPr>
        <w:suppressAutoHyphens/>
        <w:autoSpaceDN w:val="0"/>
        <w:spacing w:line="240" w:lineRule="exact"/>
        <w:jc w:val="both"/>
        <w:rPr>
          <w:rFonts w:ascii="Arial" w:eastAsia="Times New Roman" w:hAnsi="Arial" w:cs="Arial"/>
          <w:color w:val="000000" w:themeColor="text1"/>
          <w:sz w:val="20"/>
          <w:szCs w:val="24"/>
          <w:lang w:eastAsia="hr-HR"/>
        </w:rPr>
      </w:pPr>
      <w:bookmarkStart w:id="255" w:name="_Hlk104406035"/>
      <w:r w:rsidRPr="00DA291B">
        <w:rPr>
          <w:rFonts w:ascii="Arial" w:eastAsia="Times New Roman" w:hAnsi="Arial" w:cs="Arial"/>
          <w:color w:val="000000" w:themeColor="text1"/>
          <w:sz w:val="20"/>
          <w:szCs w:val="24"/>
          <w:lang w:eastAsia="hr-HR"/>
        </w:rPr>
        <w:t>Programom dodjele potpora HBOR-a usklađen s Privremenim kriznim okvirom za mjere državne potpore za potporu gospodarstvu nakon invazije Rusije na Ukrajinu - odjeljci „2.1. i 2.3.“</w:t>
      </w:r>
      <w:bookmarkEnd w:id="255"/>
      <w:r w:rsidRPr="00DA291B">
        <w:rPr>
          <w:rFonts w:ascii="Arial" w:eastAsia="Times New Roman" w:hAnsi="Arial" w:cs="Arial"/>
          <w:color w:val="000000" w:themeColor="text1"/>
          <w:sz w:val="20"/>
          <w:szCs w:val="24"/>
          <w:lang w:eastAsia="hr-HR"/>
        </w:rPr>
        <w:t>,</w:t>
      </w:r>
    </w:p>
    <w:p w14:paraId="789003EE" w14:textId="77777777" w:rsidR="00C93090" w:rsidRPr="00DA291B" w:rsidRDefault="00C93090" w:rsidP="00C93090">
      <w:pPr>
        <w:numPr>
          <w:ilvl w:val="0"/>
          <w:numId w:val="5"/>
        </w:numPr>
        <w:suppressAutoHyphens/>
        <w:autoSpaceDN w:val="0"/>
        <w:spacing w:line="240" w:lineRule="exact"/>
        <w:jc w:val="both"/>
        <w:rPr>
          <w:rFonts w:ascii="Arial" w:eastAsia="Times New Roman" w:hAnsi="Arial" w:cs="Arial"/>
          <w:color w:val="000000" w:themeColor="text1"/>
          <w:sz w:val="20"/>
          <w:szCs w:val="24"/>
          <w:lang w:eastAsia="hr-HR"/>
        </w:rPr>
      </w:pPr>
      <w:r w:rsidRPr="00DA291B">
        <w:rPr>
          <w:rFonts w:ascii="Arial" w:eastAsia="Times New Roman" w:hAnsi="Arial" w:cs="Arial"/>
          <w:color w:val="000000" w:themeColor="text1"/>
          <w:sz w:val="20"/>
          <w:szCs w:val="24"/>
          <w:lang w:eastAsia="hr-HR"/>
        </w:rPr>
        <w:t>Odlukom o donošenju privremene krizne mjere programa kreditiranja Obrtna sredstva: Obrtna sredstva KRIZA 2022 – mjera, čija provedba je produljena do 31. prosinca 2023. te</w:t>
      </w:r>
    </w:p>
    <w:p w14:paraId="47F3B526" w14:textId="77777777" w:rsidR="00C93090" w:rsidRPr="00DA291B" w:rsidRDefault="00C93090" w:rsidP="00C93090">
      <w:pPr>
        <w:numPr>
          <w:ilvl w:val="0"/>
          <w:numId w:val="5"/>
        </w:numPr>
        <w:suppressAutoHyphens/>
        <w:autoSpaceDN w:val="0"/>
        <w:spacing w:line="240" w:lineRule="exact"/>
        <w:jc w:val="both"/>
        <w:rPr>
          <w:rFonts w:ascii="Arial" w:eastAsia="Times New Roman" w:hAnsi="Arial" w:cs="Arial"/>
          <w:color w:val="000000" w:themeColor="text1"/>
          <w:sz w:val="20"/>
          <w:szCs w:val="24"/>
          <w:lang w:eastAsia="hr-HR"/>
        </w:rPr>
      </w:pPr>
      <w:r w:rsidRPr="00DA291B">
        <w:rPr>
          <w:rFonts w:ascii="Arial" w:eastAsia="Times New Roman" w:hAnsi="Arial" w:cs="Arial"/>
          <w:color w:val="000000" w:themeColor="text1"/>
          <w:sz w:val="20"/>
          <w:szCs w:val="24"/>
          <w:lang w:eastAsia="hr-HR"/>
        </w:rPr>
        <w:t>Pravilnikom o obradi zahtjeva za izravne kredite po programu Obrtna sredstva KRIZA 2022 – mjera, koji obuhvaća i financiranje modelom podjele rizika s financijskim institucijama.</w:t>
      </w:r>
    </w:p>
    <w:p w14:paraId="6B795E06" w14:textId="77777777" w:rsidR="00C93090" w:rsidRPr="00DA291B" w:rsidRDefault="00C93090" w:rsidP="00C93090">
      <w:pPr>
        <w:suppressAutoHyphens/>
        <w:autoSpaceDN w:val="0"/>
        <w:spacing w:line="200" w:lineRule="exact"/>
        <w:rPr>
          <w:rFonts w:ascii="Arial" w:eastAsia="Times New Roman" w:hAnsi="Arial" w:cs="Arial"/>
          <w:sz w:val="12"/>
          <w:szCs w:val="12"/>
        </w:rPr>
      </w:pPr>
    </w:p>
    <w:p w14:paraId="2A19099C" w14:textId="77777777" w:rsidR="00C93090" w:rsidRPr="00DA291B" w:rsidRDefault="00C93090" w:rsidP="00C93090">
      <w:pPr>
        <w:suppressAutoHyphens/>
        <w:autoSpaceDN w:val="0"/>
        <w:spacing w:line="240" w:lineRule="exact"/>
        <w:jc w:val="both"/>
        <w:rPr>
          <w:rFonts w:ascii="Arial" w:eastAsia="Times New Roman" w:hAnsi="Arial" w:cs="Arial"/>
          <w:bCs/>
          <w:color w:val="222222"/>
          <w:sz w:val="20"/>
          <w:szCs w:val="24"/>
          <w:lang w:eastAsia="hr-HR"/>
        </w:rPr>
      </w:pPr>
      <w:r w:rsidRPr="00DA291B">
        <w:rPr>
          <w:rFonts w:ascii="Arial" w:eastAsia="Times New Roman" w:hAnsi="Arial" w:cs="Arial"/>
          <w:bCs/>
          <w:color w:val="222222"/>
          <w:sz w:val="20"/>
          <w:szCs w:val="24"/>
          <w:lang w:eastAsia="hr-HR"/>
        </w:rPr>
        <w:t xml:space="preserve">Iako je dugoročnu razinu utjecaja ove krize na poslovanje Grupe trenutno teško kvantificirati, Grupa HBOR ima visoku kapitaliziranost i likvidnost kao i odgovarajuću razinu rezerviranja za izloženosti te Uprava procjenjuje da je kontinuitet poslovanja Grupe HBOR i HBOR-a neupitan. </w:t>
      </w:r>
    </w:p>
    <w:p w14:paraId="1D928236" w14:textId="77777777" w:rsidR="00C93090" w:rsidRPr="00DA291B" w:rsidRDefault="00C93090" w:rsidP="00C93090">
      <w:pPr>
        <w:suppressAutoHyphens/>
        <w:autoSpaceDN w:val="0"/>
        <w:spacing w:line="200" w:lineRule="exact"/>
        <w:jc w:val="both"/>
        <w:rPr>
          <w:rFonts w:ascii="Arial" w:eastAsia="Times New Roman" w:hAnsi="Arial" w:cs="Arial"/>
          <w:bCs/>
          <w:color w:val="222222"/>
          <w:sz w:val="10"/>
          <w:szCs w:val="10"/>
          <w:lang w:eastAsia="hr-HR"/>
        </w:rPr>
      </w:pPr>
    </w:p>
    <w:p w14:paraId="189A119C" w14:textId="77777777" w:rsidR="00C93090" w:rsidRPr="003D1614" w:rsidRDefault="00C93090" w:rsidP="00C93090">
      <w:pPr>
        <w:jc w:val="both"/>
        <w:rPr>
          <w:rFonts w:ascii="Arial" w:eastAsia="Times New Roman" w:hAnsi="Arial" w:cs="Arial"/>
          <w:bCs/>
          <w:spacing w:val="-3"/>
          <w:sz w:val="20"/>
          <w:szCs w:val="24"/>
          <w:lang w:eastAsia="hr-HR"/>
        </w:rPr>
      </w:pPr>
      <w:r w:rsidRPr="00DA291B">
        <w:rPr>
          <w:rFonts w:ascii="Arial" w:eastAsia="Times New Roman" w:hAnsi="Arial" w:cs="Arial"/>
          <w:bCs/>
          <w:spacing w:val="-3"/>
          <w:sz w:val="20"/>
          <w:szCs w:val="24"/>
          <w:lang w:eastAsia="hr-HR"/>
        </w:rPr>
        <w:t xml:space="preserve">Grupu HBOR čine HBOR kao matično društvo te ovisna društva: Hrvatsko kreditno osiguranje d.d. (u daljnjem tekstu HKO) i Poslovni info servis d.o.o. koja zajedno čine Grupu HKO, što </w:t>
      </w:r>
      <w:r w:rsidRPr="00B870BF">
        <w:rPr>
          <w:rFonts w:ascii="Arial" w:eastAsia="Times New Roman" w:hAnsi="Arial" w:cs="Arial"/>
          <w:bCs/>
          <w:spacing w:val="-3"/>
          <w:sz w:val="20"/>
          <w:szCs w:val="24"/>
          <w:lang w:eastAsia="hr-HR"/>
        </w:rPr>
        <w:t>iznosi 0,3% ukupne</w:t>
      </w:r>
      <w:r w:rsidRPr="00A17457">
        <w:rPr>
          <w:rFonts w:ascii="Arial" w:eastAsia="Times New Roman" w:hAnsi="Arial" w:cs="Arial"/>
          <w:bCs/>
          <w:spacing w:val="-3"/>
          <w:sz w:val="20"/>
          <w:szCs w:val="24"/>
          <w:lang w:eastAsia="hr-HR"/>
        </w:rPr>
        <w:t xml:space="preserve"> imovine matičnog društva. Uprava ovisnih društava poduzima potrebne mjere kako bi se smanjili negativni efekti invazije na Ukrajinu.</w:t>
      </w:r>
    </w:p>
    <w:p w14:paraId="32E94288" w14:textId="77777777" w:rsidR="00C93090" w:rsidRPr="003D1614" w:rsidRDefault="00C93090" w:rsidP="00EA0684">
      <w:pPr>
        <w:rPr>
          <w:rFonts w:ascii="Arial" w:eastAsia="Times New Roman" w:hAnsi="Arial" w:cs="Arial"/>
          <w:sz w:val="20"/>
          <w:szCs w:val="20"/>
        </w:rPr>
        <w:sectPr w:rsidR="00C93090" w:rsidRPr="003D1614">
          <w:headerReference w:type="default" r:id="rId22"/>
          <w:pgSz w:w="11906" w:h="16838"/>
          <w:pgMar w:top="1417" w:right="1417" w:bottom="1417" w:left="1417" w:header="708" w:footer="708" w:gutter="0"/>
          <w:cols w:space="708"/>
          <w:docGrid w:linePitch="360"/>
        </w:sectPr>
      </w:pPr>
    </w:p>
    <w:p w14:paraId="53849F6F" w14:textId="77777777" w:rsidR="00C93090" w:rsidRPr="003D1614" w:rsidRDefault="00C93090" w:rsidP="00C93090">
      <w:pPr>
        <w:tabs>
          <w:tab w:val="left" w:pos="567"/>
        </w:tabs>
        <w:jc w:val="both"/>
        <w:rPr>
          <w:rFonts w:ascii="Arial" w:hAnsi="Arial" w:cs="Arial"/>
          <w:b/>
          <w:color w:val="000000" w:themeColor="text1"/>
          <w:lang w:eastAsia="hr-HR"/>
        </w:rPr>
      </w:pPr>
    </w:p>
    <w:p w14:paraId="21E555A5" w14:textId="77777777" w:rsidR="00C93090" w:rsidRPr="003D1614" w:rsidRDefault="00C93090" w:rsidP="00C93090">
      <w:pPr>
        <w:tabs>
          <w:tab w:val="left" w:pos="567"/>
        </w:tabs>
        <w:spacing w:line="240" w:lineRule="exact"/>
        <w:jc w:val="both"/>
        <w:rPr>
          <w:rFonts w:ascii="Arial" w:hAnsi="Arial" w:cs="Arial"/>
          <w:b/>
          <w:color w:val="000000" w:themeColor="text1"/>
          <w:sz w:val="20"/>
          <w:szCs w:val="20"/>
          <w:lang w:eastAsia="hr-HR"/>
        </w:rPr>
      </w:pPr>
      <w:r w:rsidRPr="003D1614">
        <w:rPr>
          <w:rFonts w:ascii="Arial" w:hAnsi="Arial" w:cs="Arial"/>
          <w:b/>
          <w:color w:val="000000" w:themeColor="text1"/>
          <w:sz w:val="20"/>
          <w:szCs w:val="20"/>
          <w:lang w:eastAsia="hr-HR"/>
        </w:rPr>
        <w:t>2.</w:t>
      </w:r>
      <w:r w:rsidRPr="003D1614">
        <w:rPr>
          <w:rFonts w:ascii="Arial" w:hAnsi="Arial" w:cs="Arial"/>
          <w:b/>
          <w:color w:val="000000" w:themeColor="text1"/>
          <w:sz w:val="20"/>
          <w:szCs w:val="20"/>
          <w:lang w:eastAsia="hr-HR"/>
        </w:rPr>
        <w:tab/>
        <w:t xml:space="preserve">Temelj za sastavljanje financijskih izvještaja </w:t>
      </w:r>
    </w:p>
    <w:p w14:paraId="76135921" w14:textId="77777777" w:rsidR="00C93090" w:rsidRPr="003D1614" w:rsidRDefault="00C93090" w:rsidP="00C93090">
      <w:pPr>
        <w:spacing w:line="240" w:lineRule="exact"/>
        <w:jc w:val="both"/>
        <w:rPr>
          <w:rFonts w:ascii="Arial" w:hAnsi="Arial" w:cs="Arial"/>
          <w:b/>
          <w:color w:val="000000" w:themeColor="text1"/>
          <w:sz w:val="20"/>
          <w:szCs w:val="20"/>
          <w:lang w:eastAsia="hr-HR"/>
        </w:rPr>
      </w:pPr>
    </w:p>
    <w:p w14:paraId="5F4F3E0C" w14:textId="77777777" w:rsidR="00C93090" w:rsidRPr="003D1614" w:rsidRDefault="00C93090" w:rsidP="00C93090">
      <w:pPr>
        <w:spacing w:line="240" w:lineRule="exact"/>
        <w:jc w:val="both"/>
        <w:rPr>
          <w:rFonts w:ascii="Arial" w:hAnsi="Arial" w:cs="Arial"/>
          <w:b/>
          <w:color w:val="000000" w:themeColor="text1"/>
          <w:sz w:val="20"/>
          <w:szCs w:val="20"/>
          <w:lang w:eastAsia="hr-HR"/>
        </w:rPr>
      </w:pPr>
      <w:r w:rsidRPr="003D1614">
        <w:rPr>
          <w:rFonts w:ascii="Arial" w:hAnsi="Arial" w:cs="Arial"/>
          <w:b/>
          <w:color w:val="000000" w:themeColor="text1"/>
          <w:sz w:val="20"/>
          <w:szCs w:val="20"/>
          <w:lang w:eastAsia="hr-HR"/>
        </w:rPr>
        <w:t>2.1. Izjava o usklađenosti</w:t>
      </w:r>
    </w:p>
    <w:p w14:paraId="7E0C4452" w14:textId="77777777" w:rsidR="00C93090" w:rsidRPr="003D1614" w:rsidRDefault="00C93090" w:rsidP="00C93090">
      <w:pPr>
        <w:spacing w:line="240" w:lineRule="exact"/>
        <w:jc w:val="both"/>
        <w:rPr>
          <w:rFonts w:ascii="Arial" w:hAnsi="Arial" w:cs="Arial"/>
          <w:color w:val="000000" w:themeColor="text1"/>
          <w:sz w:val="20"/>
          <w:szCs w:val="20"/>
        </w:rPr>
      </w:pPr>
    </w:p>
    <w:p w14:paraId="37A6088F" w14:textId="045E7F11" w:rsidR="00C93090" w:rsidRPr="003D1614" w:rsidRDefault="00C93090" w:rsidP="00C93090">
      <w:pPr>
        <w:spacing w:line="240" w:lineRule="exact"/>
        <w:jc w:val="both"/>
        <w:rPr>
          <w:rFonts w:ascii="Arial" w:hAnsi="Arial" w:cs="Arial"/>
          <w:color w:val="000000" w:themeColor="text1"/>
          <w:sz w:val="20"/>
          <w:szCs w:val="20"/>
        </w:rPr>
      </w:pPr>
      <w:r w:rsidRPr="003D1614">
        <w:rPr>
          <w:rFonts w:ascii="Arial" w:hAnsi="Arial" w:cs="Arial"/>
          <w:color w:val="000000" w:themeColor="text1"/>
          <w:sz w:val="20"/>
          <w:szCs w:val="20"/>
        </w:rPr>
        <w:t xml:space="preserve">Skraćeni financijski izvještaji Banke i Grupe HBOR za razdoblje od 1. siječnja do </w:t>
      </w:r>
      <w:r w:rsidR="00B2599D" w:rsidRPr="003D1614">
        <w:rPr>
          <w:rFonts w:ascii="Arial" w:hAnsi="Arial" w:cs="Arial"/>
          <w:color w:val="000000" w:themeColor="text1"/>
          <w:sz w:val="20"/>
          <w:szCs w:val="20"/>
        </w:rPr>
        <w:t>3</w:t>
      </w:r>
      <w:r w:rsidR="00B2599D">
        <w:rPr>
          <w:rFonts w:ascii="Arial" w:hAnsi="Arial" w:cs="Arial"/>
          <w:color w:val="000000" w:themeColor="text1"/>
          <w:sz w:val="20"/>
          <w:szCs w:val="20"/>
        </w:rPr>
        <w:t>0</w:t>
      </w:r>
      <w:r w:rsidRPr="003D1614">
        <w:rPr>
          <w:rFonts w:ascii="Arial" w:hAnsi="Arial" w:cs="Arial"/>
          <w:color w:val="000000" w:themeColor="text1"/>
          <w:sz w:val="20"/>
          <w:szCs w:val="20"/>
        </w:rPr>
        <w:t xml:space="preserve">. </w:t>
      </w:r>
      <w:r w:rsidR="00FB136F">
        <w:rPr>
          <w:rFonts w:ascii="Arial" w:hAnsi="Arial" w:cs="Arial"/>
          <w:color w:val="000000" w:themeColor="text1"/>
          <w:sz w:val="20"/>
          <w:szCs w:val="20"/>
        </w:rPr>
        <w:t>rujn</w:t>
      </w:r>
      <w:r w:rsidR="00B2599D" w:rsidRPr="003D1614">
        <w:rPr>
          <w:rFonts w:ascii="Arial" w:hAnsi="Arial" w:cs="Arial"/>
          <w:color w:val="000000" w:themeColor="text1"/>
          <w:sz w:val="20"/>
          <w:szCs w:val="20"/>
        </w:rPr>
        <w:t xml:space="preserve">a </w:t>
      </w:r>
      <w:r w:rsidRPr="003D1614">
        <w:rPr>
          <w:rFonts w:ascii="Arial" w:hAnsi="Arial" w:cs="Arial"/>
          <w:color w:val="000000" w:themeColor="text1"/>
          <w:sz w:val="20"/>
          <w:szCs w:val="20"/>
        </w:rPr>
        <w:t>202</w:t>
      </w:r>
      <w:r w:rsidR="00BB3DE5">
        <w:rPr>
          <w:rFonts w:ascii="Arial" w:hAnsi="Arial" w:cs="Arial"/>
          <w:color w:val="000000" w:themeColor="text1"/>
          <w:sz w:val="20"/>
          <w:szCs w:val="20"/>
        </w:rPr>
        <w:t>4</w:t>
      </w:r>
      <w:r w:rsidRPr="003D1614">
        <w:rPr>
          <w:rFonts w:ascii="Arial" w:hAnsi="Arial" w:cs="Arial"/>
          <w:color w:val="000000" w:themeColor="text1"/>
          <w:sz w:val="20"/>
          <w:szCs w:val="20"/>
        </w:rPr>
        <w:t>. sastavljeni su primjenom Međunarodnog računovodstvenog standarda 34 Financijsko izvještavanje za razdoblja tijekom godine.</w:t>
      </w:r>
    </w:p>
    <w:p w14:paraId="77A318B5" w14:textId="77777777" w:rsidR="00C93090" w:rsidRPr="003D1614" w:rsidRDefault="00C93090" w:rsidP="00C93090">
      <w:pPr>
        <w:spacing w:line="240" w:lineRule="exact"/>
        <w:jc w:val="both"/>
        <w:rPr>
          <w:rFonts w:ascii="Arial" w:hAnsi="Arial" w:cs="Arial"/>
          <w:color w:val="000000" w:themeColor="text1"/>
          <w:sz w:val="20"/>
          <w:szCs w:val="20"/>
        </w:rPr>
      </w:pPr>
    </w:p>
    <w:p w14:paraId="46F7D1E3" w14:textId="0F3AED0E" w:rsidR="00C93090" w:rsidRPr="003D1614" w:rsidRDefault="00C93090" w:rsidP="00C93090">
      <w:pPr>
        <w:spacing w:line="240" w:lineRule="exact"/>
        <w:jc w:val="both"/>
        <w:rPr>
          <w:rFonts w:ascii="Arial" w:hAnsi="Arial" w:cs="Arial"/>
          <w:color w:val="000000" w:themeColor="text1"/>
          <w:sz w:val="20"/>
          <w:szCs w:val="20"/>
        </w:rPr>
      </w:pPr>
      <w:r w:rsidRPr="003D1614">
        <w:rPr>
          <w:rFonts w:ascii="Arial" w:hAnsi="Arial" w:cs="Arial"/>
          <w:color w:val="000000" w:themeColor="text1"/>
          <w:sz w:val="20"/>
          <w:szCs w:val="20"/>
        </w:rPr>
        <w:t xml:space="preserve">Skraćeni financijski izvještaji za razdoblje od 1. siječnja do </w:t>
      </w:r>
      <w:r w:rsidR="000B6EE4" w:rsidRPr="003D1614">
        <w:rPr>
          <w:rFonts w:ascii="Arial" w:hAnsi="Arial" w:cs="Arial"/>
          <w:color w:val="000000" w:themeColor="text1"/>
          <w:sz w:val="20"/>
          <w:szCs w:val="20"/>
        </w:rPr>
        <w:t>3</w:t>
      </w:r>
      <w:r w:rsidR="000B6EE4">
        <w:rPr>
          <w:rFonts w:ascii="Arial" w:hAnsi="Arial" w:cs="Arial"/>
          <w:color w:val="000000" w:themeColor="text1"/>
          <w:sz w:val="20"/>
          <w:szCs w:val="20"/>
        </w:rPr>
        <w:t>0</w:t>
      </w:r>
      <w:r w:rsidRPr="003D1614">
        <w:rPr>
          <w:rFonts w:ascii="Arial" w:hAnsi="Arial" w:cs="Arial"/>
          <w:color w:val="000000" w:themeColor="text1"/>
          <w:sz w:val="20"/>
          <w:szCs w:val="20"/>
        </w:rPr>
        <w:t xml:space="preserve">. </w:t>
      </w:r>
      <w:r w:rsidR="00FB136F">
        <w:rPr>
          <w:rFonts w:ascii="Arial" w:hAnsi="Arial" w:cs="Arial"/>
          <w:color w:val="000000" w:themeColor="text1"/>
          <w:sz w:val="20"/>
          <w:szCs w:val="20"/>
        </w:rPr>
        <w:t>rujna</w:t>
      </w:r>
      <w:r w:rsidR="00B2599D" w:rsidRPr="003D1614">
        <w:rPr>
          <w:rFonts w:ascii="Arial" w:hAnsi="Arial" w:cs="Arial"/>
          <w:color w:val="000000" w:themeColor="text1"/>
          <w:sz w:val="20"/>
          <w:szCs w:val="20"/>
        </w:rPr>
        <w:t xml:space="preserve"> </w:t>
      </w:r>
      <w:r w:rsidRPr="003D1614">
        <w:rPr>
          <w:rFonts w:ascii="Arial" w:hAnsi="Arial" w:cs="Arial"/>
          <w:color w:val="000000" w:themeColor="text1"/>
          <w:sz w:val="20"/>
          <w:szCs w:val="20"/>
        </w:rPr>
        <w:t>202</w:t>
      </w:r>
      <w:r w:rsidR="00FB5CA9">
        <w:rPr>
          <w:rFonts w:ascii="Arial" w:hAnsi="Arial" w:cs="Arial"/>
          <w:color w:val="000000" w:themeColor="text1"/>
          <w:sz w:val="20"/>
          <w:szCs w:val="20"/>
        </w:rPr>
        <w:t>4</w:t>
      </w:r>
      <w:r w:rsidRPr="003D1614">
        <w:rPr>
          <w:rFonts w:ascii="Arial" w:hAnsi="Arial" w:cs="Arial"/>
          <w:color w:val="000000" w:themeColor="text1"/>
          <w:sz w:val="20"/>
          <w:szCs w:val="20"/>
        </w:rPr>
        <w:t>. ne uključuju sve informacije i objave koje se zahtijevaju u godišnjim financijskim izvještajima i potrebno ih je čitati u kombinaciji s godišnjim financijskim izvještajima Grupe HBOR za godinu koja je završila 31. prosinca 202</w:t>
      </w:r>
      <w:r w:rsidR="00C9293B">
        <w:rPr>
          <w:rFonts w:ascii="Arial" w:hAnsi="Arial" w:cs="Arial"/>
          <w:color w:val="000000" w:themeColor="text1"/>
          <w:sz w:val="20"/>
          <w:szCs w:val="20"/>
        </w:rPr>
        <w:t>3</w:t>
      </w:r>
      <w:r w:rsidRPr="003D1614">
        <w:rPr>
          <w:rFonts w:ascii="Arial" w:hAnsi="Arial" w:cs="Arial"/>
          <w:color w:val="000000" w:themeColor="text1"/>
          <w:sz w:val="20"/>
          <w:szCs w:val="20"/>
        </w:rPr>
        <w:t>.</w:t>
      </w:r>
    </w:p>
    <w:p w14:paraId="2C3BCE4D" w14:textId="77777777" w:rsidR="00C93090" w:rsidRPr="003D1614" w:rsidRDefault="00C93090" w:rsidP="00C93090">
      <w:pPr>
        <w:spacing w:line="240" w:lineRule="exact"/>
        <w:jc w:val="both"/>
        <w:rPr>
          <w:rFonts w:ascii="Arial" w:hAnsi="Arial" w:cs="Arial"/>
          <w:color w:val="000000" w:themeColor="text1"/>
          <w:sz w:val="20"/>
          <w:szCs w:val="20"/>
          <w:lang w:eastAsia="hr-HR"/>
        </w:rPr>
      </w:pPr>
    </w:p>
    <w:p w14:paraId="0D663BD7" w14:textId="77777777" w:rsidR="00C93090" w:rsidRPr="003D1614" w:rsidRDefault="00C93090" w:rsidP="00C930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Arial" w:hAnsi="Arial" w:cs="Arial"/>
          <w:b/>
          <w:color w:val="000000" w:themeColor="text1"/>
          <w:sz w:val="20"/>
          <w:szCs w:val="20"/>
          <w:lang w:eastAsia="hr-HR"/>
        </w:rPr>
      </w:pPr>
      <w:r w:rsidRPr="003D1614">
        <w:rPr>
          <w:rFonts w:ascii="Arial" w:hAnsi="Arial" w:cs="Arial"/>
          <w:b/>
          <w:color w:val="000000" w:themeColor="text1"/>
          <w:sz w:val="20"/>
          <w:szCs w:val="20"/>
          <w:lang w:eastAsia="hr-HR"/>
        </w:rPr>
        <w:t>2.2 Mjerenje</w:t>
      </w:r>
    </w:p>
    <w:p w14:paraId="26124EBF" w14:textId="77777777" w:rsidR="00C93090" w:rsidRPr="003D1614" w:rsidRDefault="00C93090" w:rsidP="00C93090">
      <w:pPr>
        <w:spacing w:line="240" w:lineRule="exact"/>
        <w:jc w:val="both"/>
        <w:rPr>
          <w:rFonts w:ascii="Arial" w:hAnsi="Arial" w:cs="Arial"/>
          <w:color w:val="000000" w:themeColor="text1"/>
          <w:sz w:val="20"/>
          <w:szCs w:val="20"/>
          <w:lang w:eastAsia="hr-HR"/>
        </w:rPr>
      </w:pPr>
    </w:p>
    <w:p w14:paraId="2763AC3C" w14:textId="77777777" w:rsidR="00C93090" w:rsidRPr="003D1614" w:rsidRDefault="00C93090" w:rsidP="00C93090">
      <w:pPr>
        <w:spacing w:line="240" w:lineRule="exact"/>
        <w:jc w:val="both"/>
        <w:rPr>
          <w:rFonts w:ascii="Arial" w:hAnsi="Arial" w:cs="Arial"/>
          <w:color w:val="000000" w:themeColor="text1"/>
          <w:sz w:val="20"/>
          <w:szCs w:val="20"/>
        </w:rPr>
      </w:pPr>
      <w:r w:rsidRPr="003D1614">
        <w:rPr>
          <w:rFonts w:ascii="Arial" w:hAnsi="Arial" w:cs="Arial"/>
          <w:color w:val="000000" w:themeColor="text1"/>
          <w:sz w:val="20"/>
          <w:szCs w:val="20"/>
          <w:lang w:eastAsia="hr-HR"/>
        </w:rPr>
        <w:t>Financijski izvještaji sastavljeni su na osnovi fer vrijednosti financijske imovine i obveza po fer vrijednosti kroz dobit ili gubitak i financijske imovine po fer vrijednosti kroz ostalu sveobuhvatnu dobit. Ostala financijska imovina i obveze te nefinancijska imovina i obveze iskazani su po amortiziranom ili povijesnom trošku.</w:t>
      </w:r>
    </w:p>
    <w:p w14:paraId="35D35223" w14:textId="77777777" w:rsidR="00C93090" w:rsidRPr="003D1614" w:rsidRDefault="00C93090" w:rsidP="00C93090">
      <w:pPr>
        <w:spacing w:line="240" w:lineRule="exact"/>
        <w:ind w:right="27"/>
        <w:jc w:val="both"/>
        <w:rPr>
          <w:rFonts w:ascii="Arial" w:hAnsi="Arial" w:cs="Arial"/>
          <w:color w:val="000000" w:themeColor="text1"/>
          <w:sz w:val="20"/>
          <w:szCs w:val="20"/>
          <w:lang w:eastAsia="hr-HR"/>
        </w:rPr>
      </w:pPr>
    </w:p>
    <w:p w14:paraId="0702E87A" w14:textId="77777777" w:rsidR="00C93090" w:rsidRPr="003D1614" w:rsidRDefault="00C93090" w:rsidP="00C93090">
      <w:pPr>
        <w:spacing w:line="240" w:lineRule="exact"/>
        <w:ind w:right="27"/>
        <w:jc w:val="both"/>
        <w:rPr>
          <w:rFonts w:ascii="Arial" w:hAnsi="Arial" w:cs="Arial"/>
          <w:color w:val="000000" w:themeColor="text1"/>
          <w:sz w:val="20"/>
          <w:szCs w:val="20"/>
          <w:lang w:eastAsia="hr-HR"/>
        </w:rPr>
      </w:pPr>
      <w:r w:rsidRPr="003D1614">
        <w:rPr>
          <w:rFonts w:ascii="Arial" w:hAnsi="Arial" w:cs="Arial"/>
          <w:color w:val="000000" w:themeColor="text1"/>
          <w:sz w:val="20"/>
          <w:szCs w:val="20"/>
          <w:lang w:eastAsia="hr-HR"/>
        </w:rPr>
        <w:t>Financijski izvještaji sastavljeni su po načelu nastanka događaja kao i pod pretpostavkom vremenske neograničenosti poslovanja.</w:t>
      </w:r>
    </w:p>
    <w:p w14:paraId="159D490B" w14:textId="77777777" w:rsidR="00C93090" w:rsidRPr="003D1614" w:rsidRDefault="00C93090" w:rsidP="00C93090">
      <w:pPr>
        <w:spacing w:line="240" w:lineRule="exact"/>
        <w:ind w:right="27"/>
        <w:jc w:val="both"/>
        <w:rPr>
          <w:rFonts w:ascii="Arial" w:hAnsi="Arial" w:cs="Arial"/>
          <w:color w:val="000000" w:themeColor="text1"/>
          <w:sz w:val="20"/>
          <w:szCs w:val="20"/>
          <w:lang w:eastAsia="hr-HR"/>
        </w:rPr>
      </w:pPr>
    </w:p>
    <w:p w14:paraId="4E07F1BA" w14:textId="77777777" w:rsidR="00C93090" w:rsidRPr="0050050C" w:rsidRDefault="00C93090" w:rsidP="00C930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Arial" w:hAnsi="Arial" w:cs="Arial"/>
          <w:b/>
          <w:color w:val="000000" w:themeColor="text1"/>
          <w:sz w:val="20"/>
          <w:szCs w:val="20"/>
          <w:lang w:eastAsia="hr-HR"/>
        </w:rPr>
      </w:pPr>
      <w:r w:rsidRPr="0050050C">
        <w:rPr>
          <w:rFonts w:ascii="Arial" w:hAnsi="Arial" w:cs="Arial"/>
          <w:b/>
          <w:color w:val="000000" w:themeColor="text1"/>
          <w:sz w:val="20"/>
          <w:szCs w:val="20"/>
          <w:lang w:eastAsia="hr-HR"/>
        </w:rPr>
        <w:t>2.3. Funkcijska i prezentacijska valuta</w:t>
      </w:r>
    </w:p>
    <w:p w14:paraId="21D15865" w14:textId="77777777" w:rsidR="00C93090" w:rsidRPr="0050050C" w:rsidRDefault="00C93090" w:rsidP="00C930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Arial" w:hAnsi="Arial" w:cs="Arial"/>
          <w:b/>
          <w:color w:val="000000" w:themeColor="text1"/>
          <w:sz w:val="20"/>
          <w:szCs w:val="20"/>
          <w:lang w:eastAsia="hr-HR"/>
        </w:rPr>
      </w:pPr>
    </w:p>
    <w:p w14:paraId="71846662" w14:textId="77777777" w:rsidR="00A51698" w:rsidRDefault="00A51698" w:rsidP="00A51698">
      <w:pPr>
        <w:spacing w:line="240" w:lineRule="exact"/>
        <w:contextualSpacing/>
        <w:jc w:val="both"/>
        <w:rPr>
          <w:rFonts w:ascii="Arial" w:eastAsia="Times New Roman" w:hAnsi="Arial" w:cs="Arial"/>
          <w:color w:val="000000" w:themeColor="text1"/>
          <w:sz w:val="20"/>
          <w:szCs w:val="20"/>
        </w:rPr>
      </w:pPr>
      <w:bookmarkStart w:id="256" w:name="_Hlk135042663"/>
      <w:r w:rsidRPr="0050050C">
        <w:rPr>
          <w:rFonts w:ascii="Arial" w:eastAsia="Times New Roman" w:hAnsi="Arial" w:cs="Arial"/>
          <w:color w:val="000000" w:themeColor="text1"/>
          <w:sz w:val="20"/>
          <w:szCs w:val="20"/>
          <w:lang w:eastAsia="hr-HR"/>
        </w:rPr>
        <w:t xml:space="preserve">Ovi financijski izvještaji Banke i Grupe iskazani su u eurima, što je funkcionalna </w:t>
      </w:r>
      <w:r>
        <w:rPr>
          <w:rFonts w:ascii="Arial" w:eastAsia="Times New Roman" w:hAnsi="Arial" w:cs="Arial"/>
          <w:color w:val="000000" w:themeColor="text1"/>
          <w:sz w:val="20"/>
          <w:szCs w:val="20"/>
          <w:lang w:eastAsia="hr-HR"/>
        </w:rPr>
        <w:t xml:space="preserve">i prezentacijska </w:t>
      </w:r>
      <w:r w:rsidRPr="0050050C">
        <w:rPr>
          <w:rFonts w:ascii="Arial" w:eastAsia="Times New Roman" w:hAnsi="Arial" w:cs="Arial"/>
          <w:color w:val="000000" w:themeColor="text1"/>
          <w:sz w:val="20"/>
          <w:szCs w:val="20"/>
          <w:lang w:eastAsia="hr-HR"/>
        </w:rPr>
        <w:t xml:space="preserve">valuta Banke i Grupe. </w:t>
      </w:r>
      <w:bookmarkEnd w:id="256"/>
      <w:r w:rsidRPr="0050050C">
        <w:rPr>
          <w:rFonts w:ascii="Arial" w:eastAsia="Times New Roman" w:hAnsi="Arial" w:cs="Arial"/>
          <w:color w:val="000000" w:themeColor="text1"/>
          <w:sz w:val="20"/>
          <w:szCs w:val="20"/>
        </w:rPr>
        <w:t>Iznosi su zaokruženi na najbližu tisuću, osim ako nije drugačije navedeno.</w:t>
      </w:r>
      <w:r w:rsidRPr="003D1614">
        <w:rPr>
          <w:rFonts w:ascii="Arial" w:eastAsia="Times New Roman" w:hAnsi="Arial" w:cs="Arial"/>
          <w:color w:val="000000" w:themeColor="text1"/>
          <w:sz w:val="20"/>
          <w:szCs w:val="20"/>
        </w:rPr>
        <w:t xml:space="preserve"> </w:t>
      </w:r>
    </w:p>
    <w:p w14:paraId="6946A660" w14:textId="77777777" w:rsidR="00A51698" w:rsidRDefault="00A51698" w:rsidP="00C930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Arial" w:hAnsi="Arial" w:cs="Arial"/>
          <w:b/>
          <w:color w:val="000000" w:themeColor="text1"/>
          <w:sz w:val="20"/>
          <w:szCs w:val="20"/>
          <w:lang w:eastAsia="hr-HR"/>
        </w:rPr>
      </w:pPr>
    </w:p>
    <w:p w14:paraId="0A5BD465" w14:textId="13777816" w:rsidR="00C93090" w:rsidRPr="003D1614" w:rsidRDefault="00C93090" w:rsidP="00C930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Arial" w:hAnsi="Arial" w:cs="Arial"/>
          <w:b/>
          <w:color w:val="000000" w:themeColor="text1"/>
          <w:sz w:val="20"/>
          <w:szCs w:val="20"/>
          <w:lang w:eastAsia="hr-HR"/>
        </w:rPr>
      </w:pPr>
      <w:r w:rsidRPr="003D1614">
        <w:rPr>
          <w:rFonts w:ascii="Arial" w:hAnsi="Arial" w:cs="Arial"/>
          <w:b/>
          <w:color w:val="000000" w:themeColor="text1"/>
          <w:sz w:val="20"/>
          <w:szCs w:val="20"/>
          <w:lang w:eastAsia="hr-HR"/>
        </w:rPr>
        <w:t>3. Korištenje prosudbi i procjena</w:t>
      </w:r>
    </w:p>
    <w:p w14:paraId="7FEFD1D9" w14:textId="77777777" w:rsidR="00C93090" w:rsidRPr="003D1614" w:rsidRDefault="00C93090" w:rsidP="00C930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Arial" w:hAnsi="Arial" w:cs="Arial"/>
          <w:color w:val="000000" w:themeColor="text1"/>
          <w:sz w:val="20"/>
          <w:szCs w:val="20"/>
          <w:lang w:eastAsia="hr-HR"/>
        </w:rPr>
      </w:pPr>
    </w:p>
    <w:p w14:paraId="2E5263A6" w14:textId="77777777" w:rsidR="00C93090" w:rsidRPr="003D1614" w:rsidRDefault="00C93090" w:rsidP="00C93090">
      <w:pPr>
        <w:spacing w:line="240" w:lineRule="exact"/>
        <w:jc w:val="both"/>
        <w:rPr>
          <w:rFonts w:ascii="Arial" w:hAnsi="Arial" w:cs="Arial"/>
          <w:color w:val="000000" w:themeColor="text1"/>
          <w:sz w:val="20"/>
          <w:szCs w:val="20"/>
        </w:rPr>
      </w:pPr>
      <w:r w:rsidRPr="003D1614">
        <w:rPr>
          <w:rFonts w:ascii="Arial" w:hAnsi="Arial" w:cs="Arial"/>
          <w:color w:val="000000" w:themeColor="text1"/>
          <w:sz w:val="20"/>
          <w:szCs w:val="20"/>
        </w:rPr>
        <w:t>Prilikom pripreme konsolidiranih i odvojenih financijskih izvještaja u skladu s MSFI-jevima usvojenim od strane EU, poslovodstvo donosi prosudbe, procjene i pretpostavke koje utječu na primjenu politika i iskazane iznose imovine i obveza, objavu potencijalnih i preuzetih obveza na datum izvještavanja, kao i iznose prihoda i rashoda za razdoblje. Procjene i uz njih vezane pretpostavke zasnivaju se na povijesnom iskustvu i raznim drugim čimbenicima za koje se smatra da su razumni u danim uvjetima i uz raspoložive informacije na datum izrade financijskih izvještaja, a koji zajedno čine osnovu za prosuđivanje knjigovodstvene vrijednosti imovine i obveza koja nije lako utvrdiva iz drugih izvora. Stvarni rezultati mogu se razlikovati od ovih procjena. Procjene i uz njih vezane pretpostavke kontinuirano se pregledavaju. Izmjene računovodstvenih procjena priznaju se u razdoblju u kojem je procjena izmijenjena ukoliko izmjena utječe samo na to razdoblje, ili u razdoblju izmjene i budućim razdobljima ako izmjena utječe na tekuće i buduća razdoblja.</w:t>
      </w:r>
    </w:p>
    <w:p w14:paraId="29C5ADD9" w14:textId="77777777" w:rsidR="00C93090" w:rsidRPr="003D1614" w:rsidRDefault="00C93090" w:rsidP="00C93090">
      <w:pPr>
        <w:spacing w:line="240" w:lineRule="exact"/>
        <w:jc w:val="both"/>
        <w:rPr>
          <w:rFonts w:ascii="Arial" w:hAnsi="Arial" w:cs="Arial"/>
          <w:color w:val="000000" w:themeColor="text1"/>
          <w:sz w:val="20"/>
          <w:szCs w:val="20"/>
        </w:rPr>
      </w:pPr>
    </w:p>
    <w:p w14:paraId="1FAB2FCE" w14:textId="77777777" w:rsidR="00C93090" w:rsidRPr="003D1614" w:rsidRDefault="00C93090" w:rsidP="00C93090">
      <w:pPr>
        <w:spacing w:line="240" w:lineRule="exact"/>
        <w:jc w:val="both"/>
        <w:rPr>
          <w:rFonts w:ascii="Arial" w:hAnsi="Arial" w:cs="Arial"/>
          <w:color w:val="000000" w:themeColor="text1"/>
          <w:sz w:val="20"/>
          <w:szCs w:val="20"/>
        </w:rPr>
      </w:pPr>
      <w:r w:rsidRPr="003D1614">
        <w:rPr>
          <w:rFonts w:ascii="Arial" w:hAnsi="Arial" w:cs="Arial"/>
          <w:color w:val="000000" w:themeColor="text1"/>
          <w:sz w:val="20"/>
          <w:szCs w:val="20"/>
        </w:rPr>
        <w:t>Značajne računovodstvene prosudbe i procjene</w:t>
      </w:r>
      <w:r w:rsidRPr="003D1614" w:rsidDel="002A13F4">
        <w:rPr>
          <w:rFonts w:ascii="Arial" w:hAnsi="Arial" w:cs="Arial"/>
          <w:color w:val="000000" w:themeColor="text1"/>
          <w:sz w:val="20"/>
          <w:szCs w:val="20"/>
        </w:rPr>
        <w:t xml:space="preserve"> </w:t>
      </w:r>
      <w:r w:rsidRPr="003D1614">
        <w:rPr>
          <w:rFonts w:ascii="Arial" w:hAnsi="Arial" w:cs="Arial"/>
          <w:color w:val="000000" w:themeColor="text1"/>
          <w:sz w:val="20"/>
          <w:szCs w:val="20"/>
        </w:rPr>
        <w:t>bile su iste kao i one koje su opisane u zadnjim godišnjim financijskim izvještajima.</w:t>
      </w:r>
    </w:p>
    <w:p w14:paraId="670C1373" w14:textId="1B0CDC95" w:rsidR="00C93090" w:rsidRPr="003D1614" w:rsidRDefault="00C93090" w:rsidP="00EA0684">
      <w:pPr>
        <w:rPr>
          <w:rFonts w:ascii="Arial" w:eastAsia="Times New Roman" w:hAnsi="Arial" w:cs="Arial"/>
          <w:sz w:val="20"/>
          <w:szCs w:val="20"/>
        </w:rPr>
      </w:pPr>
    </w:p>
    <w:p w14:paraId="5776F51A" w14:textId="7FEC48DD" w:rsidR="00C93090" w:rsidRPr="003D1614" w:rsidRDefault="00C93090" w:rsidP="00EA0684">
      <w:pPr>
        <w:rPr>
          <w:rFonts w:ascii="Arial" w:eastAsia="Times New Roman" w:hAnsi="Arial" w:cs="Arial"/>
          <w:sz w:val="20"/>
          <w:szCs w:val="20"/>
        </w:rPr>
      </w:pPr>
    </w:p>
    <w:p w14:paraId="26B44A89" w14:textId="77777777" w:rsidR="00843998" w:rsidRPr="003D1614" w:rsidRDefault="00843998" w:rsidP="00EA0684">
      <w:pPr>
        <w:rPr>
          <w:rFonts w:ascii="Arial" w:eastAsia="Times New Roman" w:hAnsi="Arial" w:cs="Arial"/>
          <w:sz w:val="20"/>
          <w:szCs w:val="20"/>
        </w:rPr>
      </w:pPr>
    </w:p>
    <w:p w14:paraId="699F304D" w14:textId="77777777" w:rsidR="00C93090" w:rsidRPr="003D1614" w:rsidRDefault="00C93090" w:rsidP="00EA0684">
      <w:pPr>
        <w:rPr>
          <w:rFonts w:ascii="Arial" w:eastAsia="Times New Roman" w:hAnsi="Arial" w:cs="Arial"/>
          <w:sz w:val="20"/>
          <w:szCs w:val="20"/>
        </w:rPr>
        <w:sectPr w:rsidR="00C93090" w:rsidRPr="003D1614">
          <w:pgSz w:w="11906" w:h="16838"/>
          <w:pgMar w:top="1417" w:right="1417" w:bottom="1417" w:left="1417" w:header="708" w:footer="708" w:gutter="0"/>
          <w:cols w:space="708"/>
          <w:docGrid w:linePitch="360"/>
        </w:sectPr>
      </w:pPr>
    </w:p>
    <w:p w14:paraId="516D4FE7" w14:textId="6D9C342C" w:rsidR="00C93090" w:rsidRPr="003D1614" w:rsidRDefault="00C93090" w:rsidP="00EA0684">
      <w:pPr>
        <w:rPr>
          <w:rFonts w:ascii="Arial" w:eastAsia="Times New Roman" w:hAnsi="Arial" w:cs="Arial"/>
          <w:sz w:val="20"/>
          <w:szCs w:val="20"/>
        </w:rPr>
      </w:pPr>
    </w:p>
    <w:p w14:paraId="1C8A63FD" w14:textId="4717ED81" w:rsidR="00843998" w:rsidRPr="003D1614" w:rsidRDefault="00843998" w:rsidP="00EA0684">
      <w:pPr>
        <w:rPr>
          <w:rFonts w:ascii="Arial" w:hAnsi="Arial" w:cs="Arial"/>
          <w:b/>
          <w:color w:val="000000" w:themeColor="text1"/>
          <w:sz w:val="20"/>
          <w:szCs w:val="20"/>
        </w:rPr>
      </w:pPr>
      <w:r w:rsidRPr="003D1614">
        <w:rPr>
          <w:rFonts w:ascii="Arial" w:hAnsi="Arial" w:cs="Arial"/>
          <w:b/>
          <w:color w:val="000000" w:themeColor="text1"/>
          <w:sz w:val="20"/>
          <w:szCs w:val="20"/>
        </w:rPr>
        <w:t>4. Sažetak značajnih računovodstvenih politika</w:t>
      </w:r>
    </w:p>
    <w:p w14:paraId="7BFF5868" w14:textId="0DEF993A" w:rsidR="00843998" w:rsidRPr="003D1614" w:rsidRDefault="00843998" w:rsidP="00EA0684">
      <w:pPr>
        <w:rPr>
          <w:rFonts w:ascii="Arial" w:hAnsi="Arial" w:cs="Arial"/>
          <w:b/>
          <w:color w:val="000000" w:themeColor="text1"/>
          <w:sz w:val="20"/>
          <w:szCs w:val="20"/>
        </w:rPr>
      </w:pPr>
    </w:p>
    <w:p w14:paraId="2C5844EE" w14:textId="324D7692" w:rsidR="00843998" w:rsidRPr="003D1614" w:rsidRDefault="00843998" w:rsidP="00843998">
      <w:pPr>
        <w:suppressAutoHyphens/>
        <w:autoSpaceDN w:val="0"/>
        <w:ind w:left="567" w:hanging="567"/>
        <w:jc w:val="both"/>
        <w:rPr>
          <w:rFonts w:ascii="Arial" w:eastAsia="Times New Roman" w:hAnsi="Arial" w:cs="Arial"/>
          <w:b/>
          <w:color w:val="000000" w:themeColor="text1"/>
          <w:sz w:val="20"/>
          <w:szCs w:val="20"/>
        </w:rPr>
      </w:pPr>
      <w:bookmarkStart w:id="257" w:name="_Hlk99022739"/>
      <w:r w:rsidRPr="003D1614">
        <w:rPr>
          <w:rFonts w:ascii="Arial" w:eastAsia="Times New Roman" w:hAnsi="Arial" w:cs="Arial"/>
          <w:b/>
          <w:color w:val="000000" w:themeColor="text1"/>
          <w:sz w:val="20"/>
          <w:szCs w:val="20"/>
        </w:rPr>
        <w:t>4.1.</w:t>
      </w:r>
      <w:r w:rsidRPr="003D1614">
        <w:rPr>
          <w:rFonts w:ascii="Arial" w:eastAsia="Times New Roman" w:hAnsi="Arial" w:cs="Arial"/>
          <w:b/>
          <w:color w:val="000000" w:themeColor="text1"/>
          <w:sz w:val="20"/>
          <w:szCs w:val="20"/>
        </w:rPr>
        <w:tab/>
        <w:t>Usvajanje novih i izmijenjenih Međunarodnih standarda financijskog izvještavanja („MSFI“) i tumačenj</w:t>
      </w:r>
      <w:bookmarkEnd w:id="257"/>
      <w:r w:rsidRPr="003D1614">
        <w:rPr>
          <w:rFonts w:ascii="Arial" w:eastAsia="Times New Roman" w:hAnsi="Arial" w:cs="Arial"/>
          <w:b/>
          <w:color w:val="000000" w:themeColor="text1"/>
          <w:sz w:val="20"/>
          <w:szCs w:val="20"/>
        </w:rPr>
        <w:t>a</w:t>
      </w:r>
    </w:p>
    <w:p w14:paraId="5159348E" w14:textId="77777777" w:rsidR="00843998" w:rsidRPr="003D1614" w:rsidRDefault="00843998" w:rsidP="00843998">
      <w:pPr>
        <w:suppressAutoHyphens/>
        <w:autoSpaceDN w:val="0"/>
        <w:ind w:left="426" w:hanging="426"/>
        <w:jc w:val="both"/>
        <w:rPr>
          <w:rFonts w:ascii="Arial" w:eastAsia="Times New Roman" w:hAnsi="Arial" w:cs="Arial"/>
          <w:b/>
          <w:color w:val="000000" w:themeColor="text1"/>
          <w:sz w:val="20"/>
          <w:szCs w:val="20"/>
        </w:rPr>
      </w:pPr>
    </w:p>
    <w:p w14:paraId="6641FA1C" w14:textId="77777777" w:rsidR="00843998" w:rsidRPr="005F7F5C" w:rsidRDefault="00843998" w:rsidP="00843998">
      <w:pPr>
        <w:keepNext/>
        <w:tabs>
          <w:tab w:val="left" w:pos="284"/>
        </w:tabs>
        <w:suppressAutoHyphens/>
        <w:autoSpaceDN w:val="0"/>
        <w:spacing w:line="360" w:lineRule="auto"/>
        <w:jc w:val="both"/>
        <w:outlineLvl w:val="1"/>
        <w:rPr>
          <w:rFonts w:ascii="Arial" w:eastAsia="Times New Roman" w:hAnsi="Arial" w:cs="Arial"/>
          <w:b/>
          <w:sz w:val="20"/>
          <w:szCs w:val="20"/>
        </w:rPr>
      </w:pPr>
      <w:r w:rsidRPr="00D03F62">
        <w:rPr>
          <w:rFonts w:ascii="Arial" w:eastAsia="Times New Roman" w:hAnsi="Arial" w:cs="Arial"/>
          <w:b/>
          <w:i/>
          <w:sz w:val="20"/>
          <w:szCs w:val="20"/>
        </w:rPr>
        <w:t>Prva primjena novih i izmjena postojećih standarda na snazi za tekuće izvještajno razdoblje</w:t>
      </w:r>
    </w:p>
    <w:p w14:paraId="0C24EBCD" w14:textId="71E71477" w:rsidR="00843998" w:rsidRPr="005F7F5C" w:rsidRDefault="00843998" w:rsidP="008439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000000" w:themeColor="text1"/>
          <w:sz w:val="20"/>
          <w:szCs w:val="20"/>
          <w:lang w:eastAsia="hr-HR"/>
        </w:rPr>
      </w:pPr>
      <w:r w:rsidRPr="005F7F5C">
        <w:rPr>
          <w:rFonts w:ascii="Arial" w:eastAsia="Times New Roman" w:hAnsi="Arial" w:cs="Arial"/>
          <w:color w:val="000000" w:themeColor="text1"/>
          <w:sz w:val="20"/>
          <w:szCs w:val="20"/>
          <w:lang w:eastAsia="hr-HR"/>
        </w:rPr>
        <w:t>U tekućem izvještajnom razdoblju na snazi su sljedeće izmjene postojećih standarda koje je objavio Odbor za Međunarodne računovodstvene standarde („OMRS”) i usvojila Europska unija:</w:t>
      </w:r>
    </w:p>
    <w:p w14:paraId="49090CEB" w14:textId="191AFAB3" w:rsidR="005F7F5C" w:rsidRDefault="005F7F5C" w:rsidP="008439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000000" w:themeColor="text1"/>
          <w:sz w:val="20"/>
          <w:szCs w:val="20"/>
          <w:highlight w:val="yellow"/>
          <w:lang w:eastAsia="hr-HR"/>
        </w:rPr>
      </w:pPr>
    </w:p>
    <w:p w14:paraId="615669A0" w14:textId="77777777" w:rsidR="00D46190" w:rsidRPr="00241BA0" w:rsidRDefault="00D46190" w:rsidP="00D46190">
      <w:pPr>
        <w:numPr>
          <w:ilvl w:val="0"/>
          <w:numId w:val="5"/>
        </w:numPr>
        <w:tabs>
          <w:tab w:val="clear" w:pos="8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left="709" w:hanging="283"/>
        <w:jc w:val="both"/>
        <w:rPr>
          <w:rFonts w:ascii="Arial" w:eastAsia="Times New Roman" w:hAnsi="Arial" w:cs="Arial"/>
          <w:color w:val="000000" w:themeColor="text1"/>
          <w:sz w:val="20"/>
          <w:szCs w:val="20"/>
          <w:lang w:eastAsia="hr-HR"/>
        </w:rPr>
      </w:pPr>
      <w:r w:rsidRPr="00241BA0">
        <w:rPr>
          <w:rFonts w:ascii="Arial" w:eastAsia="Times New Roman" w:hAnsi="Arial" w:cs="Arial"/>
          <w:color w:val="000000" w:themeColor="text1"/>
          <w:sz w:val="20"/>
          <w:szCs w:val="20"/>
          <w:lang w:eastAsia="hr-HR"/>
        </w:rPr>
        <w:t>Izmjene i dopune MRS-a 1 Prezentacija financijskih izvještaja:</w:t>
      </w:r>
    </w:p>
    <w:p w14:paraId="1A637DCB" w14:textId="77777777" w:rsidR="00D46190" w:rsidRDefault="00D46190" w:rsidP="00D46190">
      <w:pPr>
        <w:suppressAutoHyphens/>
        <w:autoSpaceDN w:val="0"/>
        <w:ind w:left="426" w:firstLine="414"/>
        <w:contextualSpacing/>
        <w:jc w:val="both"/>
        <w:rPr>
          <w:rFonts w:ascii="Arial" w:hAnsi="Arial" w:cs="Arial"/>
          <w:color w:val="202124"/>
          <w:sz w:val="20"/>
          <w:szCs w:val="20"/>
          <w:lang w:eastAsia="hr-HR"/>
        </w:rPr>
      </w:pPr>
      <w:r w:rsidRPr="00994747">
        <w:rPr>
          <w:rFonts w:ascii="Arial" w:hAnsi="Arial" w:cs="Arial"/>
          <w:color w:val="202124"/>
          <w:sz w:val="20"/>
          <w:szCs w:val="20"/>
          <w:lang w:eastAsia="hr-HR"/>
        </w:rPr>
        <w:t xml:space="preserve"> • Klasifikacija obveza </w:t>
      </w:r>
      <w:r>
        <w:rPr>
          <w:rFonts w:ascii="Arial" w:hAnsi="Arial" w:cs="Arial"/>
          <w:color w:val="202124"/>
          <w:sz w:val="20"/>
          <w:szCs w:val="20"/>
          <w:lang w:eastAsia="hr-HR"/>
        </w:rPr>
        <w:t>na</w:t>
      </w:r>
      <w:r w:rsidRPr="00994747">
        <w:rPr>
          <w:rFonts w:ascii="Arial" w:hAnsi="Arial" w:cs="Arial"/>
          <w:color w:val="202124"/>
          <w:sz w:val="20"/>
          <w:szCs w:val="20"/>
          <w:lang w:eastAsia="hr-HR"/>
        </w:rPr>
        <w:t xml:space="preserve"> </w:t>
      </w:r>
      <w:r>
        <w:rPr>
          <w:rFonts w:ascii="Arial" w:hAnsi="Arial" w:cs="Arial"/>
          <w:color w:val="202124"/>
          <w:sz w:val="20"/>
          <w:szCs w:val="20"/>
          <w:lang w:eastAsia="hr-HR"/>
        </w:rPr>
        <w:t>kratkoročne i dugoročne</w:t>
      </w:r>
    </w:p>
    <w:p w14:paraId="4B1F082D" w14:textId="3FCEDC3B" w:rsidR="00D46190" w:rsidRPr="00082524" w:rsidRDefault="00082524" w:rsidP="00082524">
      <w:pPr>
        <w:suppressAutoHyphens/>
        <w:autoSpaceDN w:val="0"/>
        <w:ind w:left="426" w:firstLine="425"/>
        <w:contextualSpacing/>
        <w:jc w:val="both"/>
        <w:rPr>
          <w:rFonts w:ascii="Arial" w:hAnsi="Arial" w:cs="Arial"/>
          <w:color w:val="202124"/>
          <w:sz w:val="20"/>
          <w:szCs w:val="20"/>
          <w:lang w:eastAsia="hr-HR"/>
        </w:rPr>
      </w:pPr>
      <w:r>
        <w:rPr>
          <w:rFonts w:ascii="Arial" w:hAnsi="Arial" w:cs="Arial"/>
          <w:color w:val="202124"/>
          <w:sz w:val="20"/>
          <w:szCs w:val="20"/>
          <w:lang w:eastAsia="hr-HR"/>
        </w:rPr>
        <w:t xml:space="preserve"> </w:t>
      </w:r>
      <w:r w:rsidRPr="00994747">
        <w:rPr>
          <w:rFonts w:ascii="Arial" w:hAnsi="Arial" w:cs="Arial"/>
          <w:color w:val="202124"/>
          <w:sz w:val="20"/>
          <w:szCs w:val="20"/>
          <w:lang w:eastAsia="hr-HR"/>
        </w:rPr>
        <w:t xml:space="preserve">• Klasifikacija obveza </w:t>
      </w:r>
      <w:r>
        <w:rPr>
          <w:rFonts w:ascii="Arial" w:hAnsi="Arial" w:cs="Arial"/>
          <w:color w:val="202124"/>
          <w:sz w:val="20"/>
          <w:szCs w:val="20"/>
          <w:lang w:eastAsia="hr-HR"/>
        </w:rPr>
        <w:t>na</w:t>
      </w:r>
      <w:r w:rsidRPr="00994747">
        <w:rPr>
          <w:rFonts w:ascii="Arial" w:hAnsi="Arial" w:cs="Arial"/>
          <w:color w:val="202124"/>
          <w:sz w:val="20"/>
          <w:szCs w:val="20"/>
          <w:lang w:eastAsia="hr-HR"/>
        </w:rPr>
        <w:t xml:space="preserve"> </w:t>
      </w:r>
      <w:r>
        <w:rPr>
          <w:rFonts w:ascii="Arial" w:hAnsi="Arial" w:cs="Arial"/>
          <w:color w:val="202124"/>
          <w:sz w:val="20"/>
          <w:szCs w:val="20"/>
          <w:lang w:eastAsia="hr-HR"/>
        </w:rPr>
        <w:t>kratkoročne i dugoročne</w:t>
      </w:r>
      <w:r w:rsidR="00E444CB" w:rsidRPr="00082524">
        <w:rPr>
          <w:rFonts w:ascii="Arial" w:hAnsi="Arial" w:cs="Arial"/>
          <w:color w:val="202124"/>
          <w:sz w:val="20"/>
          <w:szCs w:val="20"/>
          <w:lang w:eastAsia="hr-HR"/>
        </w:rPr>
        <w:t xml:space="preserve"> - </w:t>
      </w:r>
      <w:r w:rsidR="00D46190" w:rsidRPr="00082524">
        <w:rPr>
          <w:rFonts w:ascii="Arial" w:hAnsi="Arial" w:cs="Arial"/>
          <w:color w:val="202124"/>
          <w:sz w:val="20"/>
          <w:szCs w:val="20"/>
          <w:lang w:eastAsia="hr-HR"/>
        </w:rPr>
        <w:t xml:space="preserve">odgoda datuma stupanja na snagu; i </w:t>
      </w:r>
    </w:p>
    <w:p w14:paraId="00897327" w14:textId="77777777" w:rsidR="00D46190" w:rsidRDefault="00D46190" w:rsidP="00D46190">
      <w:pPr>
        <w:suppressAutoHyphens/>
        <w:autoSpaceDN w:val="0"/>
        <w:ind w:left="426" w:firstLine="414"/>
        <w:contextualSpacing/>
        <w:jc w:val="both"/>
        <w:rPr>
          <w:rFonts w:ascii="Arial" w:eastAsia="Times New Roman" w:hAnsi="Arial" w:cs="Arial"/>
          <w:color w:val="202124"/>
          <w:sz w:val="20"/>
          <w:szCs w:val="20"/>
          <w:lang w:eastAsia="hr-HR"/>
        </w:rPr>
      </w:pPr>
      <w:r>
        <w:rPr>
          <w:rFonts w:ascii="Arial" w:eastAsia="Times New Roman" w:hAnsi="Arial" w:cs="Arial"/>
          <w:color w:val="202124"/>
          <w:sz w:val="20"/>
          <w:szCs w:val="20"/>
          <w:lang w:eastAsia="hr-HR"/>
        </w:rPr>
        <w:t xml:space="preserve"> </w:t>
      </w:r>
      <w:r w:rsidRPr="00DA7F0F">
        <w:rPr>
          <w:rFonts w:ascii="Arial" w:eastAsia="Times New Roman" w:hAnsi="Arial" w:cs="Arial"/>
          <w:color w:val="202124"/>
          <w:sz w:val="20"/>
          <w:szCs w:val="20"/>
          <w:lang w:eastAsia="hr-HR"/>
        </w:rPr>
        <w:t>• Dugo</w:t>
      </w:r>
      <w:r w:rsidRPr="00994747">
        <w:rPr>
          <w:rFonts w:ascii="Arial" w:hAnsi="Arial" w:cs="Arial"/>
          <w:color w:val="202124"/>
          <w:sz w:val="20"/>
          <w:szCs w:val="20"/>
          <w:lang w:eastAsia="hr-HR"/>
        </w:rPr>
        <w:t>ročne obveze s kovenantama</w:t>
      </w:r>
      <w:r w:rsidRPr="00DA7F0F">
        <w:rPr>
          <w:rFonts w:ascii="Arial" w:eastAsia="Times New Roman" w:hAnsi="Arial" w:cs="Arial"/>
          <w:color w:val="202124"/>
          <w:sz w:val="20"/>
          <w:szCs w:val="20"/>
          <w:lang w:eastAsia="hr-HR"/>
        </w:rPr>
        <w:t xml:space="preserve"> </w:t>
      </w:r>
    </w:p>
    <w:p w14:paraId="3413599D" w14:textId="77777777" w:rsidR="00D46190" w:rsidRPr="00994747" w:rsidRDefault="00D46190" w:rsidP="00D4619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left="709"/>
        <w:jc w:val="both"/>
        <w:rPr>
          <w:rFonts w:ascii="Arial" w:eastAsia="Times New Roman" w:hAnsi="Arial" w:cs="Arial"/>
          <w:color w:val="000000" w:themeColor="text1"/>
          <w:sz w:val="20"/>
          <w:szCs w:val="20"/>
          <w:lang w:eastAsia="hr-HR"/>
        </w:rPr>
      </w:pPr>
      <w:r w:rsidRPr="00994747">
        <w:rPr>
          <w:rFonts w:ascii="Arial" w:eastAsia="Times New Roman" w:hAnsi="Arial" w:cs="Arial"/>
          <w:color w:val="000000" w:themeColor="text1"/>
          <w:sz w:val="20"/>
          <w:szCs w:val="20"/>
          <w:lang w:eastAsia="hr-HR"/>
        </w:rPr>
        <w:t xml:space="preserve">  (na snazi za godišnja razdoblja koja počinju na dan ili nakon 1. siječnja 2024. godine)</w:t>
      </w:r>
      <w:r>
        <w:rPr>
          <w:rFonts w:ascii="Arial" w:eastAsia="Times New Roman" w:hAnsi="Arial" w:cs="Arial"/>
          <w:color w:val="000000" w:themeColor="text1"/>
          <w:sz w:val="20"/>
          <w:szCs w:val="20"/>
          <w:lang w:eastAsia="hr-HR"/>
        </w:rPr>
        <w:t>;</w:t>
      </w:r>
    </w:p>
    <w:p w14:paraId="6561A996" w14:textId="77777777" w:rsidR="00D46190" w:rsidRPr="00D71ADB" w:rsidRDefault="00D46190" w:rsidP="00D46190">
      <w:pPr>
        <w:suppressAutoHyphens/>
        <w:autoSpaceDN w:val="0"/>
        <w:ind w:left="426" w:firstLine="414"/>
        <w:contextualSpacing/>
        <w:jc w:val="both"/>
        <w:rPr>
          <w:rFonts w:ascii="Arial" w:eastAsia="Times New Roman" w:hAnsi="Arial" w:cs="Arial"/>
          <w:sz w:val="20"/>
          <w:szCs w:val="20"/>
          <w:highlight w:val="yellow"/>
        </w:rPr>
      </w:pPr>
    </w:p>
    <w:p w14:paraId="6EB3C4C1" w14:textId="77777777" w:rsidR="00D46190" w:rsidRDefault="00D46190" w:rsidP="00D46190">
      <w:pPr>
        <w:numPr>
          <w:ilvl w:val="0"/>
          <w:numId w:val="5"/>
        </w:numPr>
        <w:tabs>
          <w:tab w:val="clear" w:pos="8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left="709" w:hanging="283"/>
        <w:jc w:val="both"/>
        <w:rPr>
          <w:rFonts w:ascii="Arial" w:eastAsia="Times New Roman" w:hAnsi="Arial" w:cs="Arial"/>
          <w:color w:val="000000" w:themeColor="text1"/>
          <w:sz w:val="20"/>
          <w:szCs w:val="20"/>
          <w:lang w:eastAsia="hr-HR"/>
        </w:rPr>
      </w:pPr>
      <w:r w:rsidRPr="00994747">
        <w:rPr>
          <w:rFonts w:ascii="Arial" w:eastAsia="Times New Roman" w:hAnsi="Arial" w:cs="Arial"/>
          <w:color w:val="000000" w:themeColor="text1"/>
          <w:sz w:val="20"/>
          <w:szCs w:val="20"/>
          <w:lang w:eastAsia="hr-HR"/>
        </w:rPr>
        <w:t xml:space="preserve">Izmjene i dopune MSFI-ja 16 Najmovi: Obveza po najmu kod prodaje s povratnim najmom (na </w:t>
      </w:r>
      <w:r>
        <w:rPr>
          <w:rFonts w:ascii="Arial" w:eastAsia="Times New Roman" w:hAnsi="Arial" w:cs="Arial"/>
          <w:color w:val="000000" w:themeColor="text1"/>
          <w:sz w:val="20"/>
          <w:szCs w:val="20"/>
          <w:lang w:eastAsia="hr-HR"/>
        </w:rPr>
        <w:t xml:space="preserve">  </w:t>
      </w:r>
      <w:r w:rsidRPr="00994747">
        <w:rPr>
          <w:rFonts w:ascii="Arial" w:eastAsia="Times New Roman" w:hAnsi="Arial" w:cs="Arial"/>
          <w:color w:val="000000" w:themeColor="text1"/>
          <w:sz w:val="20"/>
          <w:szCs w:val="20"/>
          <w:lang w:eastAsia="hr-HR"/>
        </w:rPr>
        <w:t>snazi za godišnja razdoblja koja počinju na dan ili nakon 1. siječnja 2024. godine)</w:t>
      </w:r>
      <w:r>
        <w:rPr>
          <w:rFonts w:ascii="Arial" w:eastAsia="Times New Roman" w:hAnsi="Arial" w:cs="Arial"/>
          <w:color w:val="000000" w:themeColor="text1"/>
          <w:sz w:val="20"/>
          <w:szCs w:val="20"/>
          <w:lang w:eastAsia="hr-HR"/>
        </w:rPr>
        <w:t>,</w:t>
      </w:r>
    </w:p>
    <w:p w14:paraId="01901FCC" w14:textId="77777777" w:rsidR="00D46190" w:rsidRDefault="00D46190" w:rsidP="00D4619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jc w:val="both"/>
        <w:rPr>
          <w:rFonts w:ascii="Arial" w:eastAsia="Times New Roman" w:hAnsi="Arial" w:cs="Arial"/>
          <w:color w:val="000000" w:themeColor="text1"/>
          <w:sz w:val="20"/>
          <w:szCs w:val="20"/>
          <w:lang w:eastAsia="hr-HR"/>
        </w:rPr>
      </w:pPr>
    </w:p>
    <w:p w14:paraId="11207602" w14:textId="77777777" w:rsidR="00D46190" w:rsidRPr="007F2511" w:rsidRDefault="00D46190" w:rsidP="00D46190">
      <w:pPr>
        <w:pStyle w:val="ListParagraph"/>
        <w:numPr>
          <w:ilvl w:val="0"/>
          <w:numId w:val="5"/>
        </w:numPr>
        <w:tabs>
          <w:tab w:val="clear" w:pos="840"/>
          <w:tab w:val="num"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283"/>
        <w:jc w:val="both"/>
        <w:rPr>
          <w:rFonts w:ascii="Arial" w:hAnsi="Arial" w:cs="Arial"/>
          <w:color w:val="000000" w:themeColor="text1"/>
          <w:sz w:val="20"/>
          <w:szCs w:val="20"/>
          <w:lang w:eastAsia="hr-HR"/>
        </w:rPr>
      </w:pPr>
      <w:r w:rsidRPr="007F2511">
        <w:rPr>
          <w:rFonts w:ascii="Arial" w:hAnsi="Arial" w:cs="Arial"/>
          <w:color w:val="000000" w:themeColor="text1"/>
          <w:sz w:val="20"/>
          <w:szCs w:val="20"/>
          <w:lang w:val="hr-HR" w:eastAsia="hr-HR"/>
        </w:rPr>
        <w:t>Izmjene i dopune MRS-a 7 Izvještaj o novčanom toku i MSFI 7 Financijski instrumenti: Objavljivanja: Financijski aranžmani dobavljača (na snazi za godišnja razdoblja koja počinju na dan ili nakon 1. siječnja 2024. godine).</w:t>
      </w:r>
    </w:p>
    <w:p w14:paraId="255BD43D" w14:textId="77777777" w:rsidR="00D46190" w:rsidRPr="003D1614" w:rsidRDefault="00D46190" w:rsidP="00D4619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000000" w:themeColor="text1"/>
          <w:sz w:val="20"/>
          <w:szCs w:val="20"/>
          <w:highlight w:val="yellow"/>
          <w:lang w:eastAsia="hr-HR"/>
        </w:rPr>
      </w:pPr>
    </w:p>
    <w:p w14:paraId="4EE9FF44" w14:textId="77777777" w:rsidR="00D46190" w:rsidRPr="005F7F5C" w:rsidRDefault="00D46190" w:rsidP="00D46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000000" w:themeColor="text1"/>
          <w:sz w:val="20"/>
          <w:szCs w:val="20"/>
          <w:lang w:eastAsia="hr-HR"/>
        </w:rPr>
      </w:pPr>
      <w:r w:rsidRPr="00140901">
        <w:rPr>
          <w:rFonts w:ascii="Arial" w:eastAsia="Times New Roman" w:hAnsi="Arial" w:cs="Arial"/>
          <w:color w:val="000000" w:themeColor="text1"/>
          <w:sz w:val="20"/>
          <w:szCs w:val="20"/>
          <w:lang w:eastAsia="hr-HR"/>
        </w:rPr>
        <w:t>Usvajanje navedenih izmjena postojećih standarda nije dovelo do značajnih promjena u financijskim izvještajima Grupe.</w:t>
      </w:r>
      <w:r w:rsidRPr="005F7F5C">
        <w:rPr>
          <w:rFonts w:ascii="Arial" w:eastAsia="Times New Roman" w:hAnsi="Arial" w:cs="Arial"/>
          <w:color w:val="000000" w:themeColor="text1"/>
          <w:sz w:val="20"/>
          <w:szCs w:val="20"/>
          <w:lang w:eastAsia="hr-HR"/>
        </w:rPr>
        <w:t xml:space="preserve"> </w:t>
      </w:r>
    </w:p>
    <w:p w14:paraId="7257557A" w14:textId="623A774C" w:rsidR="00F86E23" w:rsidRDefault="00F86E23" w:rsidP="008439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000000" w:themeColor="text1"/>
          <w:sz w:val="20"/>
          <w:szCs w:val="20"/>
          <w:lang w:eastAsia="hr-HR"/>
        </w:rPr>
      </w:pPr>
    </w:p>
    <w:p w14:paraId="77FF76A6" w14:textId="77777777" w:rsidR="00F86E23" w:rsidRDefault="00F86E23" w:rsidP="008439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000000" w:themeColor="text1"/>
          <w:sz w:val="20"/>
          <w:szCs w:val="20"/>
          <w:lang w:eastAsia="hr-HR"/>
        </w:rPr>
      </w:pPr>
    </w:p>
    <w:p w14:paraId="301DD84E" w14:textId="273333AA" w:rsidR="00F86E23" w:rsidRDefault="00F86E23" w:rsidP="00F86E23">
      <w:pPr>
        <w:keepNext/>
        <w:tabs>
          <w:tab w:val="left" w:pos="284"/>
        </w:tabs>
        <w:spacing w:line="276" w:lineRule="auto"/>
        <w:jc w:val="both"/>
        <w:outlineLvl w:val="1"/>
        <w:rPr>
          <w:rFonts w:ascii="Arial" w:hAnsi="Arial" w:cs="Arial"/>
          <w:b/>
          <w:i/>
          <w:sz w:val="20"/>
          <w:szCs w:val="20"/>
        </w:rPr>
      </w:pPr>
      <w:r w:rsidRPr="004B4498">
        <w:rPr>
          <w:rFonts w:ascii="Arial" w:hAnsi="Arial" w:cs="Arial"/>
          <w:b/>
          <w:i/>
          <w:sz w:val="20"/>
          <w:szCs w:val="20"/>
        </w:rPr>
        <w:t>Novi standardi i izmjene postojećih standarda koje je objavio OMRS, ali još nisu usvojeni u Europskoj uniji</w:t>
      </w:r>
    </w:p>
    <w:p w14:paraId="23D1CCDF" w14:textId="61C76026" w:rsidR="00F86E23" w:rsidRDefault="00F86E23" w:rsidP="008439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000000" w:themeColor="text1"/>
          <w:sz w:val="20"/>
          <w:szCs w:val="20"/>
          <w:lang w:eastAsia="hr-HR"/>
        </w:rPr>
      </w:pPr>
    </w:p>
    <w:p w14:paraId="5E02977E" w14:textId="611A386D" w:rsidR="00171DF4" w:rsidRPr="00296A29" w:rsidRDefault="00171DF4" w:rsidP="00171DF4">
      <w:pPr>
        <w:suppressAutoHyphens/>
        <w:autoSpaceDN w:val="0"/>
        <w:spacing w:line="276" w:lineRule="auto"/>
        <w:contextualSpacing/>
        <w:jc w:val="both"/>
        <w:rPr>
          <w:rFonts w:ascii="Arial" w:eastAsia="Times New Roman" w:hAnsi="Arial" w:cs="Arial"/>
          <w:sz w:val="20"/>
          <w:szCs w:val="20"/>
        </w:rPr>
      </w:pPr>
      <w:r w:rsidRPr="00296A29">
        <w:rPr>
          <w:rFonts w:ascii="Arial" w:eastAsia="Times New Roman" w:hAnsi="Arial" w:cs="Arial"/>
          <w:sz w:val="20"/>
          <w:szCs w:val="20"/>
        </w:rPr>
        <w:t>MSFI-jevi trenutačno usvojeni u Europskoj uniji ne razlikuju se značajno od propisa koje je donio Odbor za Međunarodne računovodstvene standarde (OMRS), izuzev sljedećih novih standarda i izmjena postojećih standarda, o čijem usvajanju Europska unija dana 3</w:t>
      </w:r>
      <w:r>
        <w:rPr>
          <w:rFonts w:ascii="Arial" w:eastAsia="Times New Roman" w:hAnsi="Arial" w:cs="Arial"/>
          <w:sz w:val="20"/>
          <w:szCs w:val="20"/>
        </w:rPr>
        <w:t>0</w:t>
      </w:r>
      <w:r w:rsidRPr="00296A29">
        <w:rPr>
          <w:rFonts w:ascii="Arial" w:eastAsia="Times New Roman" w:hAnsi="Arial" w:cs="Arial"/>
          <w:sz w:val="20"/>
          <w:szCs w:val="20"/>
        </w:rPr>
        <w:t>.</w:t>
      </w:r>
      <w:r>
        <w:rPr>
          <w:rFonts w:ascii="Arial" w:eastAsia="Times New Roman" w:hAnsi="Arial" w:cs="Arial"/>
          <w:sz w:val="20"/>
          <w:szCs w:val="20"/>
        </w:rPr>
        <w:t xml:space="preserve"> </w:t>
      </w:r>
      <w:r w:rsidR="003A3F26">
        <w:rPr>
          <w:rFonts w:ascii="Arial" w:eastAsia="Times New Roman" w:hAnsi="Arial" w:cs="Arial"/>
          <w:sz w:val="20"/>
          <w:szCs w:val="20"/>
        </w:rPr>
        <w:t>rujna</w:t>
      </w:r>
      <w:r w:rsidRPr="00296A29">
        <w:rPr>
          <w:rFonts w:ascii="Arial" w:eastAsia="Times New Roman" w:hAnsi="Arial" w:cs="Arial"/>
          <w:sz w:val="20"/>
          <w:szCs w:val="20"/>
        </w:rPr>
        <w:t xml:space="preserve"> 202</w:t>
      </w:r>
      <w:r>
        <w:rPr>
          <w:rFonts w:ascii="Arial" w:eastAsia="Times New Roman" w:hAnsi="Arial" w:cs="Arial"/>
          <w:sz w:val="20"/>
          <w:szCs w:val="20"/>
        </w:rPr>
        <w:t>4</w:t>
      </w:r>
      <w:r w:rsidRPr="00296A29">
        <w:rPr>
          <w:rFonts w:ascii="Arial" w:eastAsia="Times New Roman" w:hAnsi="Arial" w:cs="Arial"/>
          <w:sz w:val="20"/>
          <w:szCs w:val="20"/>
        </w:rPr>
        <w:t>.</w:t>
      </w:r>
      <w:r w:rsidRPr="00296A29">
        <w:rPr>
          <w:rFonts w:ascii="Arial" w:eastAsia="Times New Roman" w:hAnsi="Arial" w:cs="Arial"/>
          <w:color w:val="FF0000"/>
          <w:sz w:val="20"/>
          <w:szCs w:val="20"/>
        </w:rPr>
        <w:t xml:space="preserve"> </w:t>
      </w:r>
      <w:r w:rsidRPr="00296A29">
        <w:rPr>
          <w:rFonts w:ascii="Arial" w:eastAsia="Times New Roman" w:hAnsi="Arial" w:cs="Arial"/>
          <w:sz w:val="20"/>
          <w:szCs w:val="20"/>
        </w:rPr>
        <w:t xml:space="preserve">još nije donijela odluku (datumi stupanja na snagu navedeni u nastavku odnose se na MSFI-jeve koje je izdao OMRS): </w:t>
      </w:r>
    </w:p>
    <w:p w14:paraId="38C08F76" w14:textId="67F65D75" w:rsidR="00F86E23" w:rsidRDefault="00F86E23" w:rsidP="008439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000000" w:themeColor="text1"/>
          <w:sz w:val="20"/>
          <w:szCs w:val="20"/>
          <w:lang w:eastAsia="hr-HR"/>
        </w:rPr>
      </w:pPr>
    </w:p>
    <w:p w14:paraId="35533928" w14:textId="77777777" w:rsidR="000D01B7" w:rsidRPr="007F2511" w:rsidRDefault="000D01B7" w:rsidP="000D01B7">
      <w:pPr>
        <w:pStyle w:val="ListParagraph"/>
        <w:numPr>
          <w:ilvl w:val="0"/>
          <w:numId w:val="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0"/>
          <w:szCs w:val="20"/>
          <w:lang w:val="hr-HR" w:eastAsia="hr-HR"/>
        </w:rPr>
      </w:pPr>
      <w:r w:rsidRPr="007F2511">
        <w:rPr>
          <w:rFonts w:ascii="Arial" w:hAnsi="Arial" w:cs="Arial"/>
          <w:color w:val="000000" w:themeColor="text1"/>
          <w:sz w:val="20"/>
          <w:szCs w:val="20"/>
          <w:lang w:val="hr-HR" w:eastAsia="hr-HR"/>
        </w:rPr>
        <w:t>Dopune MRS-a 21 Učinci promjena tečaja stranih valuta: nemogućnost konverzije (na snazi za godišnja razdoblja koja počinju na dan ili nakon 1. siječnja 2025. godine);</w:t>
      </w:r>
    </w:p>
    <w:p w14:paraId="54C472B2" w14:textId="77777777" w:rsidR="000D01B7" w:rsidRPr="007F2511" w:rsidRDefault="000D01B7" w:rsidP="000D01B7">
      <w:pPr>
        <w:pStyle w:val="ListParagraph"/>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40"/>
        <w:jc w:val="both"/>
        <w:rPr>
          <w:rFonts w:ascii="Arial" w:hAnsi="Arial" w:cs="Arial"/>
          <w:color w:val="000000" w:themeColor="text1"/>
          <w:sz w:val="20"/>
          <w:szCs w:val="20"/>
          <w:lang w:val="hr-HR" w:eastAsia="hr-HR"/>
        </w:rPr>
      </w:pPr>
    </w:p>
    <w:p w14:paraId="0F7100BA" w14:textId="77777777" w:rsidR="000D01B7" w:rsidRPr="007F2511" w:rsidRDefault="000D01B7" w:rsidP="000D01B7">
      <w:pPr>
        <w:pStyle w:val="ListParagraph"/>
        <w:numPr>
          <w:ilvl w:val="0"/>
          <w:numId w:val="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0"/>
          <w:szCs w:val="20"/>
          <w:lang w:val="hr-HR" w:eastAsia="hr-HR"/>
        </w:rPr>
      </w:pPr>
      <w:r w:rsidRPr="007F2511">
        <w:rPr>
          <w:rFonts w:ascii="Arial" w:hAnsi="Arial" w:cs="Arial"/>
          <w:color w:val="000000" w:themeColor="text1"/>
          <w:sz w:val="20"/>
          <w:szCs w:val="20"/>
          <w:lang w:val="hr-HR" w:eastAsia="hr-HR"/>
        </w:rPr>
        <w:t>Izmjene i dopune Klasifikacije i mjerenja financijskih instrumenata (Izmjene i dopune MSFI-ja 9 i MSFI-ja 7) (na snazi za godišnja razdoblja koja počinju na dan ili nakon 1. siječnja 2026. godine);</w:t>
      </w:r>
    </w:p>
    <w:p w14:paraId="7D35AA7F" w14:textId="77777777" w:rsidR="000D01B7" w:rsidRPr="007F2511" w:rsidRDefault="000D01B7" w:rsidP="000D01B7">
      <w:pPr>
        <w:pStyle w:val="ListParagraph"/>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40"/>
        <w:jc w:val="both"/>
        <w:rPr>
          <w:rFonts w:ascii="Arial" w:hAnsi="Arial" w:cs="Arial"/>
          <w:color w:val="000000" w:themeColor="text1"/>
          <w:sz w:val="20"/>
          <w:szCs w:val="20"/>
          <w:lang w:val="hr-HR" w:eastAsia="hr-HR"/>
        </w:rPr>
      </w:pPr>
    </w:p>
    <w:p w14:paraId="0EDABC8E" w14:textId="77777777" w:rsidR="000D01B7" w:rsidRPr="007F2511" w:rsidRDefault="000D01B7" w:rsidP="000D01B7">
      <w:pPr>
        <w:pStyle w:val="ListParagraph"/>
        <w:numPr>
          <w:ilvl w:val="0"/>
          <w:numId w:val="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0"/>
          <w:szCs w:val="20"/>
          <w:lang w:val="hr-HR" w:eastAsia="hr-HR"/>
        </w:rPr>
      </w:pPr>
      <w:r>
        <w:rPr>
          <w:rFonts w:ascii="Arial" w:hAnsi="Arial" w:cs="Arial"/>
          <w:color w:val="000000" w:themeColor="text1"/>
          <w:sz w:val="20"/>
          <w:szCs w:val="20"/>
          <w:lang w:val="hr-HR" w:eastAsia="hr-HR"/>
        </w:rPr>
        <w:t xml:space="preserve">Novi </w:t>
      </w:r>
      <w:r w:rsidRPr="007F2511">
        <w:rPr>
          <w:rFonts w:ascii="Arial" w:hAnsi="Arial" w:cs="Arial"/>
          <w:color w:val="000000" w:themeColor="text1"/>
          <w:sz w:val="20"/>
          <w:szCs w:val="20"/>
          <w:lang w:val="hr-HR" w:eastAsia="hr-HR"/>
        </w:rPr>
        <w:t>MSFI 18 Prezentacija i objavljivanje u financijskim izvještajima (na snazi za godišnja razdoblja koja počinju na dan ili nakon 1. siječnja 2027. godine);</w:t>
      </w:r>
    </w:p>
    <w:p w14:paraId="78805525" w14:textId="77777777" w:rsidR="000D01B7" w:rsidRPr="007F2511" w:rsidRDefault="000D01B7" w:rsidP="000D01B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0"/>
          <w:szCs w:val="20"/>
          <w:lang w:eastAsia="hr-HR"/>
        </w:rPr>
      </w:pPr>
    </w:p>
    <w:p w14:paraId="6E4F6A2B" w14:textId="26D93598" w:rsidR="000D01B7" w:rsidRDefault="000D01B7" w:rsidP="000D01B7">
      <w:pPr>
        <w:pStyle w:val="ListParagraph"/>
        <w:numPr>
          <w:ilvl w:val="0"/>
          <w:numId w:val="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0"/>
          <w:szCs w:val="20"/>
          <w:lang w:val="hr-HR" w:eastAsia="hr-HR"/>
        </w:rPr>
      </w:pPr>
      <w:r w:rsidRPr="007F2511">
        <w:rPr>
          <w:rFonts w:ascii="Arial" w:hAnsi="Arial" w:cs="Arial"/>
          <w:color w:val="202124"/>
          <w:sz w:val="20"/>
          <w:szCs w:val="20"/>
          <w:lang w:val="hr-HR" w:eastAsia="hr-HR"/>
        </w:rPr>
        <w:t>Novi MSFI 19 Podru</w:t>
      </w:r>
      <w:r w:rsidRPr="007F2511">
        <w:rPr>
          <w:rFonts w:ascii="Arial" w:hAnsi="Arial" w:cs="Arial" w:hint="eastAsia"/>
          <w:color w:val="202124"/>
          <w:sz w:val="20"/>
          <w:szCs w:val="20"/>
          <w:lang w:val="hr-HR" w:eastAsia="hr-HR"/>
        </w:rPr>
        <w:t>ž</w:t>
      </w:r>
      <w:r w:rsidRPr="007F2511">
        <w:rPr>
          <w:rFonts w:ascii="Arial" w:hAnsi="Arial" w:cs="Arial"/>
          <w:color w:val="202124"/>
          <w:sz w:val="20"/>
          <w:szCs w:val="20"/>
          <w:lang w:val="hr-HR" w:eastAsia="hr-HR"/>
        </w:rPr>
        <w:t xml:space="preserve">nice bez javne odgovornosti: Objave </w:t>
      </w:r>
      <w:r w:rsidRPr="007F2511">
        <w:rPr>
          <w:rFonts w:ascii="Arial" w:hAnsi="Arial" w:cs="Arial"/>
          <w:color w:val="000000" w:themeColor="text1"/>
          <w:sz w:val="20"/>
          <w:szCs w:val="20"/>
          <w:lang w:val="hr-HR" w:eastAsia="hr-HR"/>
        </w:rPr>
        <w:t>(na snazi za godišnja razdoblja koja počinju na dan ili nakon 1. siječnja 2027. godine)</w:t>
      </w:r>
      <w:r w:rsidR="002A03A2">
        <w:rPr>
          <w:rFonts w:ascii="Arial" w:hAnsi="Arial" w:cs="Arial"/>
          <w:color w:val="000000" w:themeColor="text1"/>
          <w:sz w:val="20"/>
          <w:szCs w:val="20"/>
          <w:lang w:val="hr-HR" w:eastAsia="hr-HR"/>
        </w:rPr>
        <w:t>;</w:t>
      </w:r>
    </w:p>
    <w:p w14:paraId="37DB9E48" w14:textId="77777777" w:rsidR="003D1981" w:rsidRPr="003D1981" w:rsidRDefault="003D1981" w:rsidP="003D1981">
      <w:pPr>
        <w:pStyle w:val="ListParagraph"/>
        <w:rPr>
          <w:rFonts w:ascii="Arial" w:hAnsi="Arial" w:cs="Arial"/>
          <w:color w:val="000000" w:themeColor="text1"/>
          <w:sz w:val="20"/>
          <w:szCs w:val="20"/>
          <w:lang w:val="hr-HR" w:eastAsia="hr-HR"/>
        </w:rPr>
      </w:pPr>
    </w:p>
    <w:p w14:paraId="43BCAA3C" w14:textId="2A3A211B" w:rsidR="003D1981" w:rsidRPr="006E5168" w:rsidRDefault="00E160D9" w:rsidP="006E5168">
      <w:pPr>
        <w:pStyle w:val="ListParagraph"/>
        <w:numPr>
          <w:ilvl w:val="0"/>
          <w:numId w:val="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0"/>
          <w:szCs w:val="20"/>
          <w:lang w:val="hr-HR" w:eastAsia="hr-HR"/>
        </w:rPr>
      </w:pPr>
      <w:r>
        <w:rPr>
          <w:rFonts w:ascii="Arial" w:hAnsi="Arial" w:cs="Arial"/>
          <w:color w:val="000000" w:themeColor="text1"/>
          <w:sz w:val="20"/>
          <w:szCs w:val="20"/>
          <w:lang w:val="hr-HR" w:eastAsia="hr-HR"/>
        </w:rPr>
        <w:t>Godišnja poboljšanja</w:t>
      </w:r>
      <w:r w:rsidR="00A35B56">
        <w:rPr>
          <w:rFonts w:ascii="Arial" w:hAnsi="Arial" w:cs="Arial"/>
          <w:color w:val="000000" w:themeColor="text1"/>
          <w:sz w:val="20"/>
          <w:szCs w:val="20"/>
          <w:lang w:val="hr-HR" w:eastAsia="hr-HR"/>
        </w:rPr>
        <w:t xml:space="preserve"> </w:t>
      </w:r>
      <w:r w:rsidR="00377258" w:rsidRPr="003D03DB">
        <w:rPr>
          <w:rFonts w:ascii="Arial" w:hAnsi="Arial" w:cs="Arial"/>
          <w:color w:val="000000" w:themeColor="text1"/>
          <w:sz w:val="20"/>
          <w:szCs w:val="20"/>
          <w:lang w:val="hr-HR" w:eastAsia="hr-HR"/>
        </w:rPr>
        <w:t>svezak</w:t>
      </w:r>
      <w:r w:rsidR="00377258">
        <w:rPr>
          <w:rFonts w:ascii="Arial" w:hAnsi="Arial" w:cs="Arial"/>
          <w:color w:val="000000" w:themeColor="text1"/>
          <w:sz w:val="20"/>
          <w:szCs w:val="20"/>
          <w:lang w:val="hr-HR" w:eastAsia="hr-HR"/>
        </w:rPr>
        <w:t xml:space="preserve"> </w:t>
      </w:r>
      <w:r w:rsidR="00A35B56">
        <w:rPr>
          <w:rFonts w:ascii="Arial" w:hAnsi="Arial" w:cs="Arial"/>
          <w:color w:val="000000" w:themeColor="text1"/>
          <w:sz w:val="20"/>
          <w:szCs w:val="20"/>
          <w:lang w:val="hr-HR" w:eastAsia="hr-HR"/>
        </w:rPr>
        <w:t xml:space="preserve">11 </w:t>
      </w:r>
      <w:r w:rsidR="006E5168" w:rsidRPr="007F2511">
        <w:rPr>
          <w:rFonts w:ascii="Arial" w:hAnsi="Arial" w:cs="Arial"/>
          <w:color w:val="000000" w:themeColor="text1"/>
          <w:sz w:val="20"/>
          <w:szCs w:val="20"/>
          <w:lang w:val="hr-HR" w:eastAsia="hr-HR"/>
        </w:rPr>
        <w:t>(na snazi za godišnja razdoblja koja počinju na dan ili nakon 1. siječnja 2026. godine)</w:t>
      </w:r>
      <w:r w:rsidR="006E5168">
        <w:rPr>
          <w:rFonts w:ascii="Arial" w:hAnsi="Arial" w:cs="Arial"/>
          <w:color w:val="000000" w:themeColor="text1"/>
          <w:sz w:val="20"/>
          <w:szCs w:val="20"/>
          <w:lang w:val="hr-HR" w:eastAsia="hr-HR"/>
        </w:rPr>
        <w:t>.</w:t>
      </w:r>
    </w:p>
    <w:p w14:paraId="77A8EC07" w14:textId="77777777" w:rsidR="000D01B7" w:rsidRPr="007F2511" w:rsidRDefault="000D01B7" w:rsidP="000D01B7">
      <w:pPr>
        <w:pStyle w:val="ListParagraph"/>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40"/>
        <w:jc w:val="both"/>
        <w:rPr>
          <w:rFonts w:ascii="Arial" w:hAnsi="Arial" w:cs="Arial"/>
          <w:color w:val="000000" w:themeColor="text1"/>
          <w:sz w:val="20"/>
          <w:szCs w:val="20"/>
          <w:lang w:val="hr-HR" w:eastAsia="hr-HR"/>
        </w:rPr>
      </w:pPr>
    </w:p>
    <w:p w14:paraId="2673C4DA" w14:textId="3473FE4B" w:rsidR="000D01B7" w:rsidRPr="003D1614" w:rsidRDefault="000D01B7" w:rsidP="000D01B7">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000000" w:themeColor="text1"/>
          <w:sz w:val="20"/>
          <w:szCs w:val="20"/>
          <w:lang w:eastAsia="hr-HR"/>
        </w:rPr>
      </w:pPr>
      <w:r w:rsidRPr="00994747">
        <w:rPr>
          <w:rFonts w:ascii="Arial" w:eastAsia="Times New Roman" w:hAnsi="Arial" w:cs="Arial"/>
          <w:color w:val="000000" w:themeColor="text1"/>
          <w:sz w:val="20"/>
          <w:szCs w:val="20"/>
          <w:lang w:eastAsia="hr-HR"/>
        </w:rPr>
        <w:t xml:space="preserve">Grupa očekuje da usvajanje </w:t>
      </w:r>
      <w:r w:rsidR="00746AF8">
        <w:rPr>
          <w:rFonts w:ascii="Arial" w:eastAsia="Times New Roman" w:hAnsi="Arial" w:cs="Arial"/>
          <w:color w:val="000000" w:themeColor="text1"/>
          <w:sz w:val="20"/>
          <w:szCs w:val="20"/>
          <w:lang w:eastAsia="hr-HR"/>
        </w:rPr>
        <w:t>novih standarda</w:t>
      </w:r>
      <w:r w:rsidR="00B46C8E">
        <w:rPr>
          <w:rFonts w:ascii="Arial" w:eastAsia="Times New Roman" w:hAnsi="Arial" w:cs="Arial"/>
          <w:color w:val="000000" w:themeColor="text1"/>
          <w:sz w:val="20"/>
          <w:szCs w:val="20"/>
          <w:lang w:eastAsia="hr-HR"/>
        </w:rPr>
        <w:t xml:space="preserve"> te </w:t>
      </w:r>
      <w:r w:rsidRPr="00994747">
        <w:rPr>
          <w:rFonts w:ascii="Arial" w:eastAsia="Times New Roman" w:hAnsi="Arial" w:cs="Arial"/>
          <w:color w:val="000000" w:themeColor="text1"/>
          <w:sz w:val="20"/>
          <w:szCs w:val="20"/>
          <w:lang w:eastAsia="hr-HR"/>
        </w:rPr>
        <w:t>izmjen</w:t>
      </w:r>
      <w:r w:rsidR="00B46C8E">
        <w:rPr>
          <w:rFonts w:ascii="Arial" w:eastAsia="Times New Roman" w:hAnsi="Arial" w:cs="Arial"/>
          <w:color w:val="000000" w:themeColor="text1"/>
          <w:sz w:val="20"/>
          <w:szCs w:val="20"/>
          <w:lang w:eastAsia="hr-HR"/>
        </w:rPr>
        <w:t>e</w:t>
      </w:r>
      <w:r w:rsidRPr="00994747">
        <w:rPr>
          <w:rFonts w:ascii="Arial" w:eastAsia="Times New Roman" w:hAnsi="Arial" w:cs="Arial"/>
          <w:color w:val="000000" w:themeColor="text1"/>
          <w:sz w:val="20"/>
          <w:szCs w:val="20"/>
          <w:lang w:eastAsia="hr-HR"/>
        </w:rPr>
        <w:t xml:space="preserve"> i dopun</w:t>
      </w:r>
      <w:r w:rsidR="00B46C8E">
        <w:rPr>
          <w:rFonts w:ascii="Arial" w:eastAsia="Times New Roman" w:hAnsi="Arial" w:cs="Arial"/>
          <w:color w:val="000000" w:themeColor="text1"/>
          <w:sz w:val="20"/>
          <w:szCs w:val="20"/>
          <w:lang w:eastAsia="hr-HR"/>
        </w:rPr>
        <w:t>e</w:t>
      </w:r>
      <w:r w:rsidRPr="00994747">
        <w:rPr>
          <w:rFonts w:ascii="Arial" w:eastAsia="Times New Roman" w:hAnsi="Arial" w:cs="Arial"/>
          <w:color w:val="000000" w:themeColor="text1"/>
          <w:sz w:val="20"/>
          <w:szCs w:val="20"/>
          <w:lang w:eastAsia="hr-HR"/>
        </w:rPr>
        <w:t xml:space="preserve"> postojećih standarda neće dovesti do značajnih promjena u financijskim izvještajima Grupe.</w:t>
      </w:r>
    </w:p>
    <w:p w14:paraId="42539FDC" w14:textId="77777777" w:rsidR="000D01B7" w:rsidRPr="003D1614" w:rsidRDefault="000D01B7" w:rsidP="000D01B7">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000000" w:themeColor="text1"/>
          <w:sz w:val="20"/>
          <w:szCs w:val="20"/>
          <w:lang w:eastAsia="hr-HR"/>
        </w:rPr>
      </w:pPr>
    </w:p>
    <w:p w14:paraId="716C342F" w14:textId="77777777" w:rsidR="00F86E23" w:rsidRPr="005F7F5C" w:rsidRDefault="00F86E23" w:rsidP="008439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000000" w:themeColor="text1"/>
          <w:sz w:val="20"/>
          <w:szCs w:val="20"/>
          <w:lang w:eastAsia="hr-HR"/>
        </w:rPr>
      </w:pPr>
    </w:p>
    <w:p w14:paraId="2FDE71E0" w14:textId="77777777" w:rsidR="00843998" w:rsidRPr="003D1614" w:rsidRDefault="00843998" w:rsidP="0084399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Arial" w:eastAsia="Times New Roman" w:hAnsi="Arial" w:cs="Arial"/>
          <w:color w:val="000000"/>
          <w:sz w:val="20"/>
          <w:szCs w:val="20"/>
          <w:highlight w:val="yellow"/>
          <w:lang w:eastAsia="hr-HR"/>
        </w:rPr>
      </w:pPr>
    </w:p>
    <w:p w14:paraId="04DE0AC5" w14:textId="77777777" w:rsidR="00843998" w:rsidRPr="003D1614" w:rsidRDefault="00843998" w:rsidP="0084399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000000" w:themeColor="text1"/>
          <w:sz w:val="20"/>
          <w:szCs w:val="20"/>
          <w:lang w:eastAsia="hr-HR"/>
        </w:rPr>
        <w:sectPr w:rsidR="00843998" w:rsidRPr="003D1614" w:rsidSect="00623DBA">
          <w:pgSz w:w="11907" w:h="16840" w:code="9"/>
          <w:pgMar w:top="1418" w:right="1134" w:bottom="1134" w:left="1418" w:header="851" w:footer="851" w:gutter="0"/>
          <w:cols w:space="720"/>
          <w:noEndnote/>
        </w:sectPr>
      </w:pPr>
    </w:p>
    <w:p w14:paraId="554FE109" w14:textId="77777777" w:rsidR="00843998" w:rsidRPr="003D1614" w:rsidRDefault="00843998" w:rsidP="0084399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000000" w:themeColor="text1"/>
          <w:sz w:val="20"/>
          <w:szCs w:val="20"/>
          <w:lang w:eastAsia="hr-HR"/>
        </w:rPr>
      </w:pPr>
    </w:p>
    <w:p w14:paraId="443EEE4F" w14:textId="77777777" w:rsidR="00843998" w:rsidRPr="003D1614" w:rsidRDefault="00843998" w:rsidP="00843998">
      <w:pPr>
        <w:keepNext/>
        <w:tabs>
          <w:tab w:val="left" w:pos="142"/>
          <w:tab w:val="left" w:pos="567"/>
        </w:tabs>
        <w:suppressAutoHyphens/>
        <w:autoSpaceDN w:val="0"/>
        <w:jc w:val="both"/>
        <w:outlineLvl w:val="0"/>
        <w:rPr>
          <w:rFonts w:ascii="Arial" w:eastAsia="Times New Roman" w:hAnsi="Arial" w:cs="Arial"/>
          <w:b/>
          <w:bCs/>
          <w:color w:val="000000" w:themeColor="text1"/>
          <w:sz w:val="20"/>
          <w:szCs w:val="20"/>
        </w:rPr>
      </w:pPr>
    </w:p>
    <w:p w14:paraId="3D4937C6" w14:textId="77777777" w:rsidR="00843998" w:rsidRPr="003D1614" w:rsidRDefault="00843998" w:rsidP="00843998">
      <w:pPr>
        <w:keepNext/>
        <w:tabs>
          <w:tab w:val="left" w:pos="142"/>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5.</w:t>
      </w:r>
      <w:r w:rsidRPr="003D1614">
        <w:rPr>
          <w:rFonts w:ascii="Arial" w:eastAsia="Times New Roman" w:hAnsi="Arial" w:cs="Arial"/>
          <w:b/>
          <w:bCs/>
          <w:color w:val="000000" w:themeColor="text1"/>
          <w:sz w:val="20"/>
          <w:szCs w:val="20"/>
        </w:rPr>
        <w:tab/>
        <w:t>Prihodi od kamata izračunati metodom efektivne kamatne stope</w:t>
      </w:r>
    </w:p>
    <w:p w14:paraId="3CED700F" w14:textId="77777777" w:rsidR="00843998" w:rsidRPr="003D1614" w:rsidRDefault="00843998" w:rsidP="00843998">
      <w:pPr>
        <w:keepNext/>
        <w:suppressAutoHyphens/>
        <w:autoSpaceDN w:val="0"/>
        <w:jc w:val="both"/>
        <w:outlineLvl w:val="0"/>
        <w:rPr>
          <w:rFonts w:ascii="Arial" w:eastAsia="Times New Roman" w:hAnsi="Arial" w:cs="Arial"/>
          <w:color w:val="000000" w:themeColor="text1"/>
          <w:sz w:val="20"/>
          <w:szCs w:val="20"/>
        </w:rPr>
      </w:pPr>
    </w:p>
    <w:p w14:paraId="7BF0D413" w14:textId="52C44376" w:rsidR="00843998" w:rsidRPr="003D1614" w:rsidRDefault="00843998" w:rsidP="00843998">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Prihodi od kamata po korisnicima:</w:t>
      </w:r>
    </w:p>
    <w:p w14:paraId="4E5CDECE" w14:textId="77777777" w:rsidR="00843998" w:rsidRPr="003D1614" w:rsidRDefault="00843998" w:rsidP="00843998">
      <w:pPr>
        <w:keepNext/>
        <w:suppressAutoHyphens/>
        <w:autoSpaceDN w:val="0"/>
        <w:jc w:val="both"/>
        <w:outlineLvl w:val="0"/>
        <w:rPr>
          <w:rFonts w:ascii="Arial" w:eastAsia="Times New Roman" w:hAnsi="Arial" w:cs="Arial"/>
          <w:color w:val="000000" w:themeColor="text1"/>
          <w:sz w:val="20"/>
          <w:szCs w:val="20"/>
        </w:rPr>
      </w:pPr>
    </w:p>
    <w:tbl>
      <w:tblPr>
        <w:tblW w:w="5000" w:type="pct"/>
        <w:tblLayout w:type="fixed"/>
        <w:tblCellMar>
          <w:right w:w="113" w:type="dxa"/>
        </w:tblCellMar>
        <w:tblLook w:val="0000" w:firstRow="0" w:lastRow="0" w:firstColumn="0" w:lastColumn="0" w:noHBand="0" w:noVBand="0"/>
      </w:tblPr>
      <w:tblGrid>
        <w:gridCol w:w="2928"/>
        <w:gridCol w:w="1387"/>
        <w:gridCol w:w="1387"/>
        <w:gridCol w:w="1386"/>
        <w:gridCol w:w="1386"/>
        <w:gridCol w:w="1386"/>
        <w:gridCol w:w="1386"/>
        <w:gridCol w:w="1386"/>
        <w:gridCol w:w="1372"/>
      </w:tblGrid>
      <w:tr w:rsidR="00B2599D" w:rsidRPr="00291152" w14:paraId="74C02862" w14:textId="77777777" w:rsidTr="007478FB">
        <w:trPr>
          <w:trHeight w:val="231"/>
        </w:trPr>
        <w:tc>
          <w:tcPr>
            <w:tcW w:w="1045" w:type="pct"/>
            <w:vAlign w:val="bottom"/>
          </w:tcPr>
          <w:p w14:paraId="60A001DD" w14:textId="77777777" w:rsidR="00B2599D" w:rsidRPr="007478FB" w:rsidRDefault="00B2599D" w:rsidP="00B2599D">
            <w:pPr>
              <w:tabs>
                <w:tab w:val="left" w:pos="-720"/>
              </w:tabs>
              <w:suppressAutoHyphens/>
              <w:autoSpaceDN w:val="0"/>
              <w:ind w:right="4144"/>
              <w:jc w:val="right"/>
              <w:rPr>
                <w:rFonts w:ascii="Arial" w:eastAsia="Times New Roman" w:hAnsi="Arial" w:cs="Arial"/>
                <w:color w:val="000000" w:themeColor="text1"/>
                <w:sz w:val="18"/>
                <w:szCs w:val="18"/>
              </w:rPr>
            </w:pPr>
            <w:bookmarkStart w:id="258" w:name="_Hlk141867913"/>
          </w:p>
        </w:tc>
        <w:tc>
          <w:tcPr>
            <w:tcW w:w="1980" w:type="pct"/>
            <w:gridSpan w:val="4"/>
            <w:vAlign w:val="bottom"/>
          </w:tcPr>
          <w:p w14:paraId="231B632A" w14:textId="4AF33D4F" w:rsidR="00B2599D" w:rsidRPr="007478FB" w:rsidRDefault="00B2599D" w:rsidP="00B2599D">
            <w:pPr>
              <w:tabs>
                <w:tab w:val="right" w:pos="1202"/>
              </w:tabs>
              <w:suppressAutoHyphens/>
              <w:autoSpaceDN w:val="0"/>
              <w:jc w:val="right"/>
              <w:outlineLvl w:val="0"/>
              <w:rPr>
                <w:rFonts w:ascii="Arial" w:eastAsia="Times New Roman" w:hAnsi="Arial" w:cs="Arial"/>
                <w:b/>
                <w:bCs/>
                <w:color w:val="000000" w:themeColor="text1"/>
                <w:sz w:val="18"/>
                <w:szCs w:val="18"/>
              </w:rPr>
            </w:pPr>
            <w:r w:rsidRPr="007478FB">
              <w:rPr>
                <w:rFonts w:ascii="Arial" w:hAnsi="Arial" w:cs="Arial"/>
                <w:b/>
                <w:bCs/>
                <w:sz w:val="18"/>
                <w:szCs w:val="18"/>
              </w:rPr>
              <w:t>Grupa</w:t>
            </w:r>
          </w:p>
        </w:tc>
        <w:tc>
          <w:tcPr>
            <w:tcW w:w="1974" w:type="pct"/>
            <w:gridSpan w:val="4"/>
            <w:vAlign w:val="bottom"/>
          </w:tcPr>
          <w:p w14:paraId="4457BB7B" w14:textId="7083EC1E" w:rsidR="00B2599D" w:rsidRPr="007478FB" w:rsidDel="00B2599D" w:rsidRDefault="00B2599D" w:rsidP="00B2599D">
            <w:pPr>
              <w:tabs>
                <w:tab w:val="right" w:pos="1202"/>
              </w:tabs>
              <w:suppressAutoHyphens/>
              <w:autoSpaceDN w:val="0"/>
              <w:jc w:val="right"/>
              <w:outlineLvl w:val="0"/>
              <w:rPr>
                <w:rFonts w:ascii="Arial" w:eastAsia="Times New Roman" w:hAnsi="Arial" w:cs="Arial"/>
                <w:b/>
                <w:bCs/>
                <w:color w:val="000000" w:themeColor="text1"/>
                <w:sz w:val="18"/>
                <w:szCs w:val="18"/>
              </w:rPr>
            </w:pPr>
            <w:r w:rsidRPr="007478FB">
              <w:rPr>
                <w:rFonts w:ascii="Arial" w:hAnsi="Arial" w:cs="Arial"/>
                <w:b/>
                <w:bCs/>
                <w:sz w:val="18"/>
                <w:szCs w:val="18"/>
              </w:rPr>
              <w:t>Banka</w:t>
            </w:r>
          </w:p>
        </w:tc>
      </w:tr>
      <w:tr w:rsidR="00B2599D" w:rsidRPr="00291152" w14:paraId="27991487" w14:textId="77777777" w:rsidTr="007478FB">
        <w:trPr>
          <w:trHeight w:val="231"/>
        </w:trPr>
        <w:tc>
          <w:tcPr>
            <w:tcW w:w="1045" w:type="pct"/>
            <w:vAlign w:val="bottom"/>
          </w:tcPr>
          <w:p w14:paraId="3DBF098C" w14:textId="77777777" w:rsidR="00B2599D" w:rsidRPr="007478FB" w:rsidRDefault="00B2599D" w:rsidP="00B2599D">
            <w:pPr>
              <w:tabs>
                <w:tab w:val="left" w:pos="-720"/>
              </w:tabs>
              <w:suppressAutoHyphens/>
              <w:autoSpaceDN w:val="0"/>
              <w:ind w:right="4144"/>
              <w:jc w:val="right"/>
              <w:rPr>
                <w:rFonts w:ascii="Arial" w:eastAsia="Times New Roman" w:hAnsi="Arial" w:cs="Arial"/>
                <w:color w:val="000000" w:themeColor="text1"/>
                <w:sz w:val="18"/>
                <w:szCs w:val="18"/>
              </w:rPr>
            </w:pPr>
          </w:p>
        </w:tc>
        <w:tc>
          <w:tcPr>
            <w:tcW w:w="990" w:type="pct"/>
            <w:gridSpan w:val="2"/>
            <w:vAlign w:val="bottom"/>
          </w:tcPr>
          <w:p w14:paraId="384A712A" w14:textId="0019DC60" w:rsidR="00B2599D" w:rsidRPr="007478FB" w:rsidRDefault="00B2599D" w:rsidP="007478FB">
            <w:pPr>
              <w:tabs>
                <w:tab w:val="right" w:pos="1202"/>
              </w:tabs>
              <w:suppressAutoHyphens/>
              <w:autoSpaceDN w:val="0"/>
              <w:jc w:val="center"/>
              <w:outlineLvl w:val="0"/>
              <w:rPr>
                <w:rFonts w:ascii="Arial" w:eastAsia="Times New Roman" w:hAnsi="Arial" w:cs="Arial"/>
                <w:b/>
                <w:bCs/>
                <w:color w:val="000000" w:themeColor="text1"/>
                <w:sz w:val="18"/>
                <w:szCs w:val="18"/>
              </w:rPr>
            </w:pPr>
            <w:r w:rsidRPr="007478FB">
              <w:rPr>
                <w:rFonts w:ascii="Arial" w:hAnsi="Arial" w:cs="Arial"/>
                <w:b/>
                <w:bCs/>
                <w:sz w:val="18"/>
                <w:szCs w:val="18"/>
              </w:rPr>
              <w:t>202</w:t>
            </w:r>
            <w:r w:rsidR="00161F4D">
              <w:rPr>
                <w:rFonts w:ascii="Arial" w:hAnsi="Arial" w:cs="Arial"/>
                <w:b/>
                <w:bCs/>
                <w:sz w:val="18"/>
                <w:szCs w:val="18"/>
              </w:rPr>
              <w:t>4</w:t>
            </w:r>
            <w:r w:rsidRPr="007478FB">
              <w:rPr>
                <w:rFonts w:ascii="Arial" w:hAnsi="Arial" w:cs="Arial"/>
                <w:b/>
                <w:bCs/>
                <w:sz w:val="18"/>
                <w:szCs w:val="18"/>
              </w:rPr>
              <w:t>.</w:t>
            </w:r>
          </w:p>
        </w:tc>
        <w:tc>
          <w:tcPr>
            <w:tcW w:w="990" w:type="pct"/>
            <w:gridSpan w:val="2"/>
            <w:vAlign w:val="bottom"/>
          </w:tcPr>
          <w:p w14:paraId="3ECD417B" w14:textId="5C8E2740" w:rsidR="00B2599D" w:rsidRPr="007478FB" w:rsidRDefault="00B2599D" w:rsidP="007478FB">
            <w:pPr>
              <w:tabs>
                <w:tab w:val="right" w:pos="1202"/>
              </w:tabs>
              <w:suppressAutoHyphens/>
              <w:autoSpaceDN w:val="0"/>
              <w:jc w:val="center"/>
              <w:outlineLvl w:val="0"/>
              <w:rPr>
                <w:rFonts w:ascii="Arial" w:eastAsia="Times New Roman" w:hAnsi="Arial" w:cs="Arial"/>
                <w:b/>
                <w:bCs/>
                <w:color w:val="000000" w:themeColor="text1"/>
                <w:sz w:val="18"/>
                <w:szCs w:val="18"/>
              </w:rPr>
            </w:pPr>
            <w:r w:rsidRPr="007478FB">
              <w:rPr>
                <w:rFonts w:ascii="Arial" w:hAnsi="Arial" w:cs="Arial"/>
                <w:b/>
                <w:bCs/>
                <w:sz w:val="18"/>
                <w:szCs w:val="18"/>
              </w:rPr>
              <w:t>202</w:t>
            </w:r>
            <w:r w:rsidR="00161F4D">
              <w:rPr>
                <w:rFonts w:ascii="Arial" w:hAnsi="Arial" w:cs="Arial"/>
                <w:b/>
                <w:bCs/>
                <w:sz w:val="18"/>
                <w:szCs w:val="18"/>
              </w:rPr>
              <w:t>3</w:t>
            </w:r>
            <w:r w:rsidRPr="007478FB">
              <w:rPr>
                <w:rFonts w:ascii="Arial" w:hAnsi="Arial" w:cs="Arial"/>
                <w:b/>
                <w:bCs/>
                <w:sz w:val="18"/>
                <w:szCs w:val="18"/>
              </w:rPr>
              <w:t>.</w:t>
            </w:r>
          </w:p>
        </w:tc>
        <w:tc>
          <w:tcPr>
            <w:tcW w:w="990" w:type="pct"/>
            <w:gridSpan w:val="2"/>
            <w:vAlign w:val="bottom"/>
          </w:tcPr>
          <w:p w14:paraId="6EE0738B" w14:textId="20C102F8" w:rsidR="00B2599D" w:rsidRPr="007478FB" w:rsidDel="00B2599D" w:rsidRDefault="00B2599D" w:rsidP="007478FB">
            <w:pPr>
              <w:tabs>
                <w:tab w:val="right" w:pos="1202"/>
              </w:tabs>
              <w:suppressAutoHyphens/>
              <w:autoSpaceDN w:val="0"/>
              <w:jc w:val="center"/>
              <w:outlineLvl w:val="0"/>
              <w:rPr>
                <w:rFonts w:ascii="Arial" w:eastAsia="Times New Roman" w:hAnsi="Arial" w:cs="Arial"/>
                <w:b/>
                <w:bCs/>
                <w:color w:val="000000" w:themeColor="text1"/>
                <w:sz w:val="18"/>
                <w:szCs w:val="18"/>
              </w:rPr>
            </w:pPr>
            <w:r w:rsidRPr="007478FB">
              <w:rPr>
                <w:rFonts w:ascii="Arial" w:hAnsi="Arial" w:cs="Arial"/>
                <w:b/>
                <w:bCs/>
                <w:sz w:val="18"/>
                <w:szCs w:val="18"/>
              </w:rPr>
              <w:t>202</w:t>
            </w:r>
            <w:r w:rsidR="00161F4D">
              <w:rPr>
                <w:rFonts w:ascii="Arial" w:hAnsi="Arial" w:cs="Arial"/>
                <w:b/>
                <w:bCs/>
                <w:sz w:val="18"/>
                <w:szCs w:val="18"/>
              </w:rPr>
              <w:t>4</w:t>
            </w:r>
            <w:r w:rsidRPr="007478FB">
              <w:rPr>
                <w:rFonts w:ascii="Arial" w:hAnsi="Arial" w:cs="Arial"/>
                <w:b/>
                <w:bCs/>
                <w:sz w:val="18"/>
                <w:szCs w:val="18"/>
              </w:rPr>
              <w:t>.</w:t>
            </w:r>
          </w:p>
        </w:tc>
        <w:tc>
          <w:tcPr>
            <w:tcW w:w="985" w:type="pct"/>
            <w:gridSpan w:val="2"/>
            <w:vAlign w:val="bottom"/>
          </w:tcPr>
          <w:p w14:paraId="08A11B18" w14:textId="17BC2615" w:rsidR="00B2599D" w:rsidRPr="007478FB" w:rsidDel="00B2599D" w:rsidRDefault="00B2599D" w:rsidP="007478FB">
            <w:pPr>
              <w:tabs>
                <w:tab w:val="right" w:pos="1202"/>
              </w:tabs>
              <w:suppressAutoHyphens/>
              <w:autoSpaceDN w:val="0"/>
              <w:jc w:val="center"/>
              <w:outlineLvl w:val="0"/>
              <w:rPr>
                <w:rFonts w:ascii="Arial" w:eastAsia="Times New Roman" w:hAnsi="Arial" w:cs="Arial"/>
                <w:b/>
                <w:bCs/>
                <w:color w:val="000000" w:themeColor="text1"/>
                <w:sz w:val="18"/>
                <w:szCs w:val="18"/>
              </w:rPr>
            </w:pPr>
            <w:r w:rsidRPr="007478FB">
              <w:rPr>
                <w:rFonts w:ascii="Arial" w:hAnsi="Arial" w:cs="Arial"/>
                <w:b/>
                <w:bCs/>
                <w:sz w:val="18"/>
                <w:szCs w:val="18"/>
              </w:rPr>
              <w:t>202</w:t>
            </w:r>
            <w:r w:rsidR="00161F4D">
              <w:rPr>
                <w:rFonts w:ascii="Arial" w:hAnsi="Arial" w:cs="Arial"/>
                <w:b/>
                <w:bCs/>
                <w:sz w:val="18"/>
                <w:szCs w:val="18"/>
              </w:rPr>
              <w:t>3</w:t>
            </w:r>
            <w:r w:rsidRPr="007478FB">
              <w:rPr>
                <w:rFonts w:ascii="Arial" w:hAnsi="Arial" w:cs="Arial"/>
                <w:b/>
                <w:bCs/>
                <w:sz w:val="18"/>
                <w:szCs w:val="18"/>
              </w:rPr>
              <w:t>.</w:t>
            </w:r>
          </w:p>
        </w:tc>
      </w:tr>
      <w:tr w:rsidR="00B2599D" w:rsidRPr="00291152" w14:paraId="32683612" w14:textId="77777777" w:rsidTr="007478FB">
        <w:trPr>
          <w:trHeight w:val="231"/>
        </w:trPr>
        <w:tc>
          <w:tcPr>
            <w:tcW w:w="1045" w:type="pct"/>
            <w:vAlign w:val="bottom"/>
          </w:tcPr>
          <w:p w14:paraId="4982E972" w14:textId="77777777" w:rsidR="00B2599D" w:rsidRPr="007478FB" w:rsidRDefault="00B2599D" w:rsidP="00B2599D">
            <w:pPr>
              <w:tabs>
                <w:tab w:val="left" w:pos="-720"/>
              </w:tabs>
              <w:suppressAutoHyphens/>
              <w:autoSpaceDN w:val="0"/>
              <w:ind w:right="4144"/>
              <w:jc w:val="right"/>
              <w:rPr>
                <w:rFonts w:ascii="Arial" w:eastAsia="Times New Roman" w:hAnsi="Arial" w:cs="Arial"/>
                <w:color w:val="000000" w:themeColor="text1"/>
                <w:sz w:val="18"/>
                <w:szCs w:val="18"/>
              </w:rPr>
            </w:pPr>
          </w:p>
        </w:tc>
        <w:tc>
          <w:tcPr>
            <w:tcW w:w="495" w:type="pct"/>
            <w:vAlign w:val="bottom"/>
          </w:tcPr>
          <w:p w14:paraId="11ABAC4F" w14:textId="0165BD54" w:rsidR="00B2599D" w:rsidRPr="007478FB" w:rsidRDefault="00B2599D" w:rsidP="00B2599D">
            <w:pPr>
              <w:tabs>
                <w:tab w:val="right" w:pos="1202"/>
              </w:tabs>
              <w:suppressAutoHyphens/>
              <w:autoSpaceDN w:val="0"/>
              <w:jc w:val="right"/>
              <w:outlineLvl w:val="0"/>
              <w:rPr>
                <w:rFonts w:ascii="Arial" w:eastAsia="Times New Roman" w:hAnsi="Arial" w:cs="Arial"/>
                <w:b/>
                <w:color w:val="000000" w:themeColor="text1"/>
                <w:sz w:val="18"/>
                <w:szCs w:val="18"/>
              </w:rPr>
            </w:pPr>
            <w:r w:rsidRPr="007478FB">
              <w:rPr>
                <w:rFonts w:ascii="Arial" w:hAnsi="Arial" w:cs="Arial"/>
                <w:b/>
                <w:bCs/>
                <w:sz w:val="18"/>
                <w:szCs w:val="18"/>
              </w:rPr>
              <w:t>Tekuće razdoblje</w:t>
            </w:r>
          </w:p>
        </w:tc>
        <w:tc>
          <w:tcPr>
            <w:tcW w:w="495" w:type="pct"/>
            <w:vAlign w:val="bottom"/>
          </w:tcPr>
          <w:p w14:paraId="01FE1850" w14:textId="371CE5A8" w:rsidR="00B2599D" w:rsidRPr="007478FB" w:rsidRDefault="00B2599D" w:rsidP="00B2599D">
            <w:pPr>
              <w:tabs>
                <w:tab w:val="right" w:pos="1202"/>
              </w:tabs>
              <w:suppressAutoHyphens/>
              <w:autoSpaceDN w:val="0"/>
              <w:jc w:val="right"/>
              <w:outlineLvl w:val="0"/>
              <w:rPr>
                <w:rFonts w:ascii="Arial" w:eastAsia="Times New Roman" w:hAnsi="Arial" w:cs="Arial"/>
                <w:b/>
                <w:color w:val="000000" w:themeColor="text1"/>
                <w:sz w:val="18"/>
                <w:szCs w:val="18"/>
              </w:rPr>
            </w:pPr>
            <w:r w:rsidRPr="007478FB">
              <w:rPr>
                <w:rFonts w:ascii="Arial" w:hAnsi="Arial" w:cs="Arial"/>
                <w:b/>
                <w:bCs/>
                <w:sz w:val="18"/>
                <w:szCs w:val="18"/>
              </w:rPr>
              <w:t>Kumulativ</w:t>
            </w:r>
          </w:p>
        </w:tc>
        <w:tc>
          <w:tcPr>
            <w:tcW w:w="495" w:type="pct"/>
            <w:vAlign w:val="bottom"/>
          </w:tcPr>
          <w:p w14:paraId="40F1F7D2" w14:textId="6D9672AE" w:rsidR="00B2599D" w:rsidRPr="007478FB" w:rsidRDefault="00B2599D" w:rsidP="00B2599D">
            <w:pPr>
              <w:tabs>
                <w:tab w:val="right" w:pos="1202"/>
              </w:tabs>
              <w:suppressAutoHyphens/>
              <w:autoSpaceDN w:val="0"/>
              <w:jc w:val="right"/>
              <w:outlineLvl w:val="0"/>
              <w:rPr>
                <w:rFonts w:ascii="Arial" w:eastAsia="Times New Roman" w:hAnsi="Arial" w:cs="Arial"/>
                <w:b/>
                <w:color w:val="000000" w:themeColor="text1"/>
                <w:sz w:val="18"/>
                <w:szCs w:val="18"/>
              </w:rPr>
            </w:pPr>
            <w:r w:rsidRPr="007478FB">
              <w:rPr>
                <w:rFonts w:ascii="Arial" w:hAnsi="Arial" w:cs="Arial"/>
                <w:b/>
                <w:bCs/>
                <w:sz w:val="18"/>
                <w:szCs w:val="18"/>
              </w:rPr>
              <w:t>Tekuće razdoblje</w:t>
            </w:r>
          </w:p>
        </w:tc>
        <w:tc>
          <w:tcPr>
            <w:tcW w:w="495" w:type="pct"/>
            <w:vAlign w:val="bottom"/>
          </w:tcPr>
          <w:p w14:paraId="1DBD19DE" w14:textId="3FBA6BA8" w:rsidR="00B2599D" w:rsidRPr="007478FB" w:rsidRDefault="00B2599D" w:rsidP="00B2599D">
            <w:pPr>
              <w:tabs>
                <w:tab w:val="right" w:pos="1202"/>
              </w:tabs>
              <w:suppressAutoHyphens/>
              <w:autoSpaceDN w:val="0"/>
              <w:jc w:val="right"/>
              <w:outlineLvl w:val="0"/>
              <w:rPr>
                <w:rFonts w:ascii="Arial" w:eastAsia="Times New Roman" w:hAnsi="Arial" w:cs="Arial"/>
                <w:b/>
                <w:color w:val="000000" w:themeColor="text1"/>
                <w:sz w:val="18"/>
                <w:szCs w:val="18"/>
              </w:rPr>
            </w:pPr>
            <w:r w:rsidRPr="007478FB">
              <w:rPr>
                <w:rFonts w:ascii="Arial" w:hAnsi="Arial" w:cs="Arial"/>
                <w:b/>
                <w:bCs/>
                <w:sz w:val="18"/>
                <w:szCs w:val="18"/>
              </w:rPr>
              <w:t>Kumulativ</w:t>
            </w:r>
          </w:p>
        </w:tc>
        <w:tc>
          <w:tcPr>
            <w:tcW w:w="495" w:type="pct"/>
            <w:vAlign w:val="bottom"/>
          </w:tcPr>
          <w:p w14:paraId="1B6C5138" w14:textId="5CCD1611" w:rsidR="00B2599D" w:rsidRPr="007478FB" w:rsidRDefault="00B2599D" w:rsidP="00B2599D">
            <w:pPr>
              <w:tabs>
                <w:tab w:val="right" w:pos="1202"/>
              </w:tabs>
              <w:suppressAutoHyphens/>
              <w:autoSpaceDN w:val="0"/>
              <w:jc w:val="right"/>
              <w:outlineLvl w:val="0"/>
              <w:rPr>
                <w:rFonts w:ascii="Arial" w:eastAsia="Times New Roman" w:hAnsi="Arial" w:cs="Arial"/>
                <w:b/>
                <w:color w:val="000000" w:themeColor="text1"/>
                <w:sz w:val="18"/>
                <w:szCs w:val="18"/>
              </w:rPr>
            </w:pPr>
            <w:r w:rsidRPr="007478FB">
              <w:rPr>
                <w:rFonts w:ascii="Arial" w:hAnsi="Arial" w:cs="Arial"/>
                <w:b/>
                <w:bCs/>
                <w:sz w:val="18"/>
                <w:szCs w:val="18"/>
              </w:rPr>
              <w:t>Tekuće razdoblje</w:t>
            </w:r>
          </w:p>
        </w:tc>
        <w:tc>
          <w:tcPr>
            <w:tcW w:w="495" w:type="pct"/>
            <w:vAlign w:val="bottom"/>
          </w:tcPr>
          <w:p w14:paraId="03A4EC1E" w14:textId="766CC225" w:rsidR="00B2599D" w:rsidRPr="007478FB" w:rsidRDefault="00B2599D" w:rsidP="00B2599D">
            <w:pPr>
              <w:tabs>
                <w:tab w:val="right" w:pos="1202"/>
              </w:tabs>
              <w:suppressAutoHyphens/>
              <w:autoSpaceDN w:val="0"/>
              <w:jc w:val="right"/>
              <w:outlineLvl w:val="0"/>
              <w:rPr>
                <w:rFonts w:ascii="Arial" w:eastAsia="Times New Roman" w:hAnsi="Arial" w:cs="Arial"/>
                <w:b/>
                <w:color w:val="000000" w:themeColor="text1"/>
                <w:sz w:val="18"/>
                <w:szCs w:val="18"/>
              </w:rPr>
            </w:pPr>
            <w:r w:rsidRPr="007478FB">
              <w:rPr>
                <w:rFonts w:ascii="Arial" w:hAnsi="Arial" w:cs="Arial"/>
                <w:b/>
                <w:bCs/>
                <w:sz w:val="18"/>
                <w:szCs w:val="18"/>
              </w:rPr>
              <w:t>Kumulativ</w:t>
            </w:r>
          </w:p>
        </w:tc>
        <w:tc>
          <w:tcPr>
            <w:tcW w:w="495" w:type="pct"/>
            <w:vAlign w:val="bottom"/>
          </w:tcPr>
          <w:p w14:paraId="31711FAF" w14:textId="32550BC2" w:rsidR="00B2599D" w:rsidRPr="007478FB" w:rsidRDefault="00B2599D" w:rsidP="00B2599D">
            <w:pPr>
              <w:tabs>
                <w:tab w:val="right" w:pos="1202"/>
              </w:tabs>
              <w:suppressAutoHyphens/>
              <w:autoSpaceDN w:val="0"/>
              <w:jc w:val="right"/>
              <w:outlineLvl w:val="0"/>
              <w:rPr>
                <w:rFonts w:ascii="Arial" w:eastAsia="Times New Roman" w:hAnsi="Arial" w:cs="Arial"/>
                <w:b/>
                <w:color w:val="000000" w:themeColor="text1"/>
                <w:sz w:val="18"/>
                <w:szCs w:val="18"/>
              </w:rPr>
            </w:pPr>
            <w:r w:rsidRPr="007478FB">
              <w:rPr>
                <w:rFonts w:ascii="Arial" w:hAnsi="Arial" w:cs="Arial"/>
                <w:b/>
                <w:bCs/>
                <w:sz w:val="18"/>
                <w:szCs w:val="18"/>
              </w:rPr>
              <w:t>Tekuće razdoblje</w:t>
            </w:r>
          </w:p>
        </w:tc>
        <w:tc>
          <w:tcPr>
            <w:tcW w:w="490" w:type="pct"/>
            <w:vAlign w:val="bottom"/>
          </w:tcPr>
          <w:p w14:paraId="3BA13482" w14:textId="42FFACC8" w:rsidR="00B2599D" w:rsidRPr="007478FB" w:rsidRDefault="00B2599D" w:rsidP="00B2599D">
            <w:pPr>
              <w:tabs>
                <w:tab w:val="right" w:pos="1202"/>
              </w:tabs>
              <w:suppressAutoHyphens/>
              <w:autoSpaceDN w:val="0"/>
              <w:jc w:val="right"/>
              <w:outlineLvl w:val="0"/>
              <w:rPr>
                <w:rFonts w:ascii="Arial" w:eastAsia="Times New Roman" w:hAnsi="Arial" w:cs="Arial"/>
                <w:b/>
                <w:color w:val="000000" w:themeColor="text1"/>
                <w:sz w:val="18"/>
                <w:szCs w:val="18"/>
              </w:rPr>
            </w:pPr>
            <w:r w:rsidRPr="007478FB">
              <w:rPr>
                <w:rFonts w:ascii="Arial" w:hAnsi="Arial" w:cs="Arial"/>
                <w:b/>
                <w:bCs/>
                <w:sz w:val="18"/>
                <w:szCs w:val="18"/>
              </w:rPr>
              <w:t>Kumulativ</w:t>
            </w:r>
          </w:p>
        </w:tc>
      </w:tr>
      <w:tr w:rsidR="00961CDB" w:rsidRPr="00291152" w14:paraId="271BF9AA" w14:textId="77777777" w:rsidTr="007478FB">
        <w:trPr>
          <w:trHeight w:val="231"/>
        </w:trPr>
        <w:tc>
          <w:tcPr>
            <w:tcW w:w="1045" w:type="pct"/>
            <w:vAlign w:val="bottom"/>
          </w:tcPr>
          <w:p w14:paraId="6890709B" w14:textId="77777777" w:rsidR="00961CDB" w:rsidRPr="007478FB" w:rsidRDefault="00961CDB" w:rsidP="00961CDB">
            <w:pPr>
              <w:tabs>
                <w:tab w:val="left" w:pos="-720"/>
              </w:tabs>
              <w:suppressAutoHyphens/>
              <w:autoSpaceDN w:val="0"/>
              <w:ind w:right="4144"/>
              <w:jc w:val="right"/>
              <w:rPr>
                <w:rFonts w:ascii="Arial" w:eastAsia="Times New Roman" w:hAnsi="Arial" w:cs="Arial"/>
                <w:color w:val="000000" w:themeColor="text1"/>
                <w:sz w:val="18"/>
                <w:szCs w:val="18"/>
              </w:rPr>
            </w:pPr>
          </w:p>
        </w:tc>
        <w:tc>
          <w:tcPr>
            <w:tcW w:w="495" w:type="pct"/>
            <w:vAlign w:val="bottom"/>
          </w:tcPr>
          <w:p w14:paraId="083CD310" w14:textId="59B37287" w:rsidR="00961CDB" w:rsidRPr="007478FB" w:rsidRDefault="00961CDB" w:rsidP="00961CDB">
            <w:pPr>
              <w:tabs>
                <w:tab w:val="right" w:pos="1202"/>
              </w:tabs>
              <w:suppressAutoHyphens/>
              <w:autoSpaceDN w:val="0"/>
              <w:jc w:val="right"/>
              <w:outlineLvl w:val="0"/>
              <w:rPr>
                <w:rFonts w:ascii="Arial" w:hAnsi="Arial" w:cs="Arial"/>
                <w:b/>
                <w:bCs/>
                <w:sz w:val="18"/>
                <w:szCs w:val="18"/>
              </w:rPr>
            </w:pPr>
            <w:r w:rsidRPr="007478FB">
              <w:rPr>
                <w:rFonts w:ascii="Arial" w:hAnsi="Arial" w:cs="Arial"/>
                <w:b/>
                <w:bCs/>
                <w:sz w:val="18"/>
                <w:szCs w:val="18"/>
              </w:rPr>
              <w:t>1.</w:t>
            </w:r>
            <w:r w:rsidR="00FB136F">
              <w:rPr>
                <w:rFonts w:ascii="Arial" w:hAnsi="Arial" w:cs="Arial"/>
                <w:b/>
                <w:bCs/>
                <w:sz w:val="18"/>
                <w:szCs w:val="18"/>
              </w:rPr>
              <w:t>7</w:t>
            </w:r>
            <w:r w:rsidRPr="007478FB">
              <w:rPr>
                <w:rFonts w:ascii="Arial" w:hAnsi="Arial" w:cs="Arial"/>
                <w:b/>
                <w:bCs/>
                <w:sz w:val="18"/>
                <w:szCs w:val="18"/>
              </w:rPr>
              <w:t>. - 30.</w:t>
            </w:r>
            <w:r w:rsidR="00FB136F">
              <w:rPr>
                <w:rFonts w:ascii="Arial" w:hAnsi="Arial" w:cs="Arial"/>
                <w:b/>
                <w:bCs/>
                <w:sz w:val="18"/>
                <w:szCs w:val="18"/>
              </w:rPr>
              <w:t>9</w:t>
            </w:r>
            <w:r w:rsidRPr="007478FB">
              <w:rPr>
                <w:rFonts w:ascii="Arial" w:hAnsi="Arial" w:cs="Arial"/>
                <w:b/>
                <w:bCs/>
                <w:sz w:val="18"/>
                <w:szCs w:val="18"/>
              </w:rPr>
              <w:t>.</w:t>
            </w:r>
          </w:p>
        </w:tc>
        <w:tc>
          <w:tcPr>
            <w:tcW w:w="495" w:type="pct"/>
            <w:vAlign w:val="bottom"/>
          </w:tcPr>
          <w:p w14:paraId="2079BDBE" w14:textId="648F071E" w:rsidR="00961CDB" w:rsidRPr="007478FB" w:rsidRDefault="00961CDB" w:rsidP="00961CDB">
            <w:pPr>
              <w:tabs>
                <w:tab w:val="right" w:pos="1202"/>
              </w:tabs>
              <w:suppressAutoHyphens/>
              <w:autoSpaceDN w:val="0"/>
              <w:jc w:val="right"/>
              <w:outlineLvl w:val="0"/>
              <w:rPr>
                <w:rFonts w:ascii="Arial" w:hAnsi="Arial" w:cs="Arial"/>
                <w:b/>
                <w:bCs/>
                <w:sz w:val="18"/>
                <w:szCs w:val="18"/>
              </w:rPr>
            </w:pPr>
            <w:r w:rsidRPr="007478FB">
              <w:rPr>
                <w:rFonts w:ascii="Arial" w:hAnsi="Arial" w:cs="Arial"/>
                <w:b/>
                <w:bCs/>
                <w:sz w:val="18"/>
                <w:szCs w:val="18"/>
              </w:rPr>
              <w:t>1.1. - 30.</w:t>
            </w:r>
            <w:r w:rsidR="00FB136F">
              <w:rPr>
                <w:rFonts w:ascii="Arial" w:hAnsi="Arial" w:cs="Arial"/>
                <w:b/>
                <w:bCs/>
                <w:sz w:val="18"/>
                <w:szCs w:val="18"/>
              </w:rPr>
              <w:t>9</w:t>
            </w:r>
            <w:r w:rsidRPr="007478FB">
              <w:rPr>
                <w:rFonts w:ascii="Arial" w:hAnsi="Arial" w:cs="Arial"/>
                <w:b/>
                <w:bCs/>
                <w:sz w:val="18"/>
                <w:szCs w:val="18"/>
              </w:rPr>
              <w:t>.</w:t>
            </w:r>
          </w:p>
        </w:tc>
        <w:tc>
          <w:tcPr>
            <w:tcW w:w="495" w:type="pct"/>
            <w:vAlign w:val="bottom"/>
          </w:tcPr>
          <w:p w14:paraId="7970ECF3" w14:textId="7830DBB9" w:rsidR="00961CDB" w:rsidRPr="007478FB" w:rsidRDefault="00961CDB" w:rsidP="00961CDB">
            <w:pPr>
              <w:tabs>
                <w:tab w:val="right" w:pos="1202"/>
              </w:tabs>
              <w:suppressAutoHyphens/>
              <w:autoSpaceDN w:val="0"/>
              <w:jc w:val="right"/>
              <w:outlineLvl w:val="0"/>
              <w:rPr>
                <w:rFonts w:ascii="Arial" w:hAnsi="Arial" w:cs="Arial"/>
                <w:b/>
                <w:bCs/>
                <w:sz w:val="18"/>
                <w:szCs w:val="18"/>
              </w:rPr>
            </w:pPr>
            <w:r w:rsidRPr="007478FB">
              <w:rPr>
                <w:rFonts w:ascii="Arial" w:hAnsi="Arial" w:cs="Arial"/>
                <w:b/>
                <w:bCs/>
                <w:sz w:val="18"/>
                <w:szCs w:val="18"/>
              </w:rPr>
              <w:t>1.</w:t>
            </w:r>
            <w:r w:rsidR="00FB136F">
              <w:rPr>
                <w:rFonts w:ascii="Arial" w:hAnsi="Arial" w:cs="Arial"/>
                <w:b/>
                <w:bCs/>
                <w:sz w:val="18"/>
                <w:szCs w:val="18"/>
              </w:rPr>
              <w:t>7</w:t>
            </w:r>
            <w:r w:rsidRPr="007478FB">
              <w:rPr>
                <w:rFonts w:ascii="Arial" w:hAnsi="Arial" w:cs="Arial"/>
                <w:b/>
                <w:bCs/>
                <w:sz w:val="18"/>
                <w:szCs w:val="18"/>
              </w:rPr>
              <w:t>. - 30.</w:t>
            </w:r>
            <w:r w:rsidR="00FB136F">
              <w:rPr>
                <w:rFonts w:ascii="Arial" w:hAnsi="Arial" w:cs="Arial"/>
                <w:b/>
                <w:bCs/>
                <w:sz w:val="18"/>
                <w:szCs w:val="18"/>
              </w:rPr>
              <w:t>9</w:t>
            </w:r>
            <w:r w:rsidRPr="007478FB">
              <w:rPr>
                <w:rFonts w:ascii="Arial" w:hAnsi="Arial" w:cs="Arial"/>
                <w:b/>
                <w:bCs/>
                <w:sz w:val="18"/>
                <w:szCs w:val="18"/>
              </w:rPr>
              <w:t>.</w:t>
            </w:r>
          </w:p>
        </w:tc>
        <w:tc>
          <w:tcPr>
            <w:tcW w:w="495" w:type="pct"/>
            <w:vAlign w:val="bottom"/>
          </w:tcPr>
          <w:p w14:paraId="7C3F18B1" w14:textId="42E89B2D" w:rsidR="00961CDB" w:rsidRPr="007478FB" w:rsidRDefault="00961CDB" w:rsidP="00961CDB">
            <w:pPr>
              <w:tabs>
                <w:tab w:val="right" w:pos="1202"/>
              </w:tabs>
              <w:suppressAutoHyphens/>
              <w:autoSpaceDN w:val="0"/>
              <w:jc w:val="right"/>
              <w:outlineLvl w:val="0"/>
              <w:rPr>
                <w:rFonts w:ascii="Arial" w:hAnsi="Arial" w:cs="Arial"/>
                <w:b/>
                <w:bCs/>
                <w:sz w:val="18"/>
                <w:szCs w:val="18"/>
              </w:rPr>
            </w:pPr>
            <w:r w:rsidRPr="007478FB">
              <w:rPr>
                <w:rFonts w:ascii="Arial" w:hAnsi="Arial" w:cs="Arial"/>
                <w:b/>
                <w:bCs/>
                <w:sz w:val="18"/>
                <w:szCs w:val="18"/>
              </w:rPr>
              <w:t>1.1. - 30.</w:t>
            </w:r>
            <w:r w:rsidR="00FB136F">
              <w:rPr>
                <w:rFonts w:ascii="Arial" w:hAnsi="Arial" w:cs="Arial"/>
                <w:b/>
                <w:bCs/>
                <w:sz w:val="18"/>
                <w:szCs w:val="18"/>
              </w:rPr>
              <w:t>9</w:t>
            </w:r>
            <w:r w:rsidRPr="007478FB">
              <w:rPr>
                <w:rFonts w:ascii="Arial" w:hAnsi="Arial" w:cs="Arial"/>
                <w:b/>
                <w:bCs/>
                <w:sz w:val="18"/>
                <w:szCs w:val="18"/>
              </w:rPr>
              <w:t>.</w:t>
            </w:r>
          </w:p>
        </w:tc>
        <w:tc>
          <w:tcPr>
            <w:tcW w:w="495" w:type="pct"/>
            <w:vAlign w:val="bottom"/>
          </w:tcPr>
          <w:p w14:paraId="1BA3263B" w14:textId="0CD941A3" w:rsidR="00961CDB" w:rsidRPr="007478FB" w:rsidRDefault="00961CDB" w:rsidP="00961CDB">
            <w:pPr>
              <w:tabs>
                <w:tab w:val="right" w:pos="1202"/>
              </w:tabs>
              <w:suppressAutoHyphens/>
              <w:autoSpaceDN w:val="0"/>
              <w:jc w:val="right"/>
              <w:outlineLvl w:val="0"/>
              <w:rPr>
                <w:rFonts w:ascii="Arial" w:hAnsi="Arial" w:cs="Arial"/>
                <w:b/>
                <w:bCs/>
                <w:sz w:val="18"/>
                <w:szCs w:val="18"/>
              </w:rPr>
            </w:pPr>
            <w:r w:rsidRPr="007478FB">
              <w:rPr>
                <w:rFonts w:ascii="Arial" w:hAnsi="Arial" w:cs="Arial"/>
                <w:b/>
                <w:bCs/>
                <w:sz w:val="18"/>
                <w:szCs w:val="18"/>
              </w:rPr>
              <w:t>1.</w:t>
            </w:r>
            <w:r w:rsidR="00FB136F">
              <w:rPr>
                <w:rFonts w:ascii="Arial" w:hAnsi="Arial" w:cs="Arial"/>
                <w:b/>
                <w:bCs/>
                <w:sz w:val="18"/>
                <w:szCs w:val="18"/>
              </w:rPr>
              <w:t>7</w:t>
            </w:r>
            <w:r w:rsidRPr="007478FB">
              <w:rPr>
                <w:rFonts w:ascii="Arial" w:hAnsi="Arial" w:cs="Arial"/>
                <w:b/>
                <w:bCs/>
                <w:sz w:val="18"/>
                <w:szCs w:val="18"/>
              </w:rPr>
              <w:t>. - 30.</w:t>
            </w:r>
            <w:r w:rsidR="00FB136F">
              <w:rPr>
                <w:rFonts w:ascii="Arial" w:hAnsi="Arial" w:cs="Arial"/>
                <w:b/>
                <w:bCs/>
                <w:sz w:val="18"/>
                <w:szCs w:val="18"/>
              </w:rPr>
              <w:t>9</w:t>
            </w:r>
            <w:r w:rsidRPr="007478FB">
              <w:rPr>
                <w:rFonts w:ascii="Arial" w:hAnsi="Arial" w:cs="Arial"/>
                <w:b/>
                <w:bCs/>
                <w:sz w:val="18"/>
                <w:szCs w:val="18"/>
              </w:rPr>
              <w:t>.</w:t>
            </w:r>
          </w:p>
        </w:tc>
        <w:tc>
          <w:tcPr>
            <w:tcW w:w="495" w:type="pct"/>
            <w:vAlign w:val="bottom"/>
          </w:tcPr>
          <w:p w14:paraId="5CFE5683" w14:textId="1E6BA1DD" w:rsidR="00961CDB" w:rsidRPr="007478FB" w:rsidRDefault="00961CDB" w:rsidP="00961CDB">
            <w:pPr>
              <w:tabs>
                <w:tab w:val="right" w:pos="1202"/>
              </w:tabs>
              <w:suppressAutoHyphens/>
              <w:autoSpaceDN w:val="0"/>
              <w:jc w:val="right"/>
              <w:outlineLvl w:val="0"/>
              <w:rPr>
                <w:rFonts w:ascii="Arial" w:hAnsi="Arial" w:cs="Arial"/>
                <w:b/>
                <w:bCs/>
                <w:sz w:val="18"/>
                <w:szCs w:val="18"/>
              </w:rPr>
            </w:pPr>
            <w:r w:rsidRPr="007478FB">
              <w:rPr>
                <w:rFonts w:ascii="Arial" w:hAnsi="Arial" w:cs="Arial"/>
                <w:b/>
                <w:bCs/>
                <w:sz w:val="18"/>
                <w:szCs w:val="18"/>
              </w:rPr>
              <w:t>1.1. - 30.</w:t>
            </w:r>
            <w:r w:rsidR="00FB136F">
              <w:rPr>
                <w:rFonts w:ascii="Arial" w:hAnsi="Arial" w:cs="Arial"/>
                <w:b/>
                <w:bCs/>
                <w:sz w:val="18"/>
                <w:szCs w:val="18"/>
              </w:rPr>
              <w:t>9</w:t>
            </w:r>
            <w:r w:rsidRPr="007478FB">
              <w:rPr>
                <w:rFonts w:ascii="Arial" w:hAnsi="Arial" w:cs="Arial"/>
                <w:b/>
                <w:bCs/>
                <w:sz w:val="18"/>
                <w:szCs w:val="18"/>
              </w:rPr>
              <w:t>.</w:t>
            </w:r>
          </w:p>
        </w:tc>
        <w:tc>
          <w:tcPr>
            <w:tcW w:w="495" w:type="pct"/>
            <w:vAlign w:val="bottom"/>
          </w:tcPr>
          <w:p w14:paraId="2449B875" w14:textId="35D6134D" w:rsidR="00961CDB" w:rsidRPr="007478FB" w:rsidRDefault="00961CDB" w:rsidP="00961CDB">
            <w:pPr>
              <w:tabs>
                <w:tab w:val="right" w:pos="1202"/>
              </w:tabs>
              <w:suppressAutoHyphens/>
              <w:autoSpaceDN w:val="0"/>
              <w:jc w:val="right"/>
              <w:outlineLvl w:val="0"/>
              <w:rPr>
                <w:rFonts w:ascii="Arial" w:hAnsi="Arial" w:cs="Arial"/>
                <w:b/>
                <w:bCs/>
                <w:sz w:val="18"/>
                <w:szCs w:val="18"/>
              </w:rPr>
            </w:pPr>
            <w:r w:rsidRPr="007478FB">
              <w:rPr>
                <w:rFonts w:ascii="Arial" w:hAnsi="Arial" w:cs="Arial"/>
                <w:b/>
                <w:bCs/>
                <w:sz w:val="18"/>
                <w:szCs w:val="18"/>
              </w:rPr>
              <w:t>1.</w:t>
            </w:r>
            <w:r w:rsidR="00FB136F">
              <w:rPr>
                <w:rFonts w:ascii="Arial" w:hAnsi="Arial" w:cs="Arial"/>
                <w:b/>
                <w:bCs/>
                <w:sz w:val="18"/>
                <w:szCs w:val="18"/>
              </w:rPr>
              <w:t>7</w:t>
            </w:r>
            <w:r w:rsidRPr="007478FB">
              <w:rPr>
                <w:rFonts w:ascii="Arial" w:hAnsi="Arial" w:cs="Arial"/>
                <w:b/>
                <w:bCs/>
                <w:sz w:val="18"/>
                <w:szCs w:val="18"/>
              </w:rPr>
              <w:t>. - 30.</w:t>
            </w:r>
            <w:r w:rsidR="00FB136F">
              <w:rPr>
                <w:rFonts w:ascii="Arial" w:hAnsi="Arial" w:cs="Arial"/>
                <w:b/>
                <w:bCs/>
                <w:sz w:val="18"/>
                <w:szCs w:val="18"/>
              </w:rPr>
              <w:t>9</w:t>
            </w:r>
            <w:r w:rsidRPr="007478FB">
              <w:rPr>
                <w:rFonts w:ascii="Arial" w:hAnsi="Arial" w:cs="Arial"/>
                <w:b/>
                <w:bCs/>
                <w:sz w:val="18"/>
                <w:szCs w:val="18"/>
              </w:rPr>
              <w:t>.</w:t>
            </w:r>
          </w:p>
        </w:tc>
        <w:tc>
          <w:tcPr>
            <w:tcW w:w="490" w:type="pct"/>
            <w:vAlign w:val="bottom"/>
          </w:tcPr>
          <w:p w14:paraId="3B362451" w14:textId="178CAF41" w:rsidR="00961CDB" w:rsidRPr="007478FB" w:rsidRDefault="00961CDB" w:rsidP="00961CDB">
            <w:pPr>
              <w:tabs>
                <w:tab w:val="right" w:pos="1202"/>
              </w:tabs>
              <w:suppressAutoHyphens/>
              <w:autoSpaceDN w:val="0"/>
              <w:jc w:val="right"/>
              <w:outlineLvl w:val="0"/>
              <w:rPr>
                <w:rFonts w:ascii="Arial" w:hAnsi="Arial" w:cs="Arial"/>
                <w:b/>
                <w:bCs/>
                <w:sz w:val="18"/>
                <w:szCs w:val="18"/>
              </w:rPr>
            </w:pPr>
            <w:r w:rsidRPr="007478FB">
              <w:rPr>
                <w:rFonts w:ascii="Arial" w:hAnsi="Arial" w:cs="Arial"/>
                <w:b/>
                <w:bCs/>
                <w:sz w:val="18"/>
                <w:szCs w:val="18"/>
              </w:rPr>
              <w:t>1.1. - 30.</w:t>
            </w:r>
            <w:r w:rsidR="00FB136F">
              <w:rPr>
                <w:rFonts w:ascii="Arial" w:hAnsi="Arial" w:cs="Arial"/>
                <w:b/>
                <w:bCs/>
                <w:sz w:val="18"/>
                <w:szCs w:val="18"/>
              </w:rPr>
              <w:t>9</w:t>
            </w:r>
            <w:r w:rsidRPr="007478FB">
              <w:rPr>
                <w:rFonts w:ascii="Arial" w:hAnsi="Arial" w:cs="Arial"/>
                <w:b/>
                <w:bCs/>
                <w:sz w:val="18"/>
                <w:szCs w:val="18"/>
              </w:rPr>
              <w:t>.</w:t>
            </w:r>
          </w:p>
        </w:tc>
      </w:tr>
      <w:tr w:rsidR="00B2599D" w:rsidRPr="00291152" w14:paraId="3CF564E1" w14:textId="77777777" w:rsidTr="007478FB">
        <w:trPr>
          <w:trHeight w:val="192"/>
        </w:trPr>
        <w:tc>
          <w:tcPr>
            <w:tcW w:w="1045" w:type="pct"/>
            <w:vAlign w:val="bottom"/>
          </w:tcPr>
          <w:p w14:paraId="62EF1805" w14:textId="77777777" w:rsidR="00B2599D" w:rsidRPr="007478FB" w:rsidRDefault="00B2599D" w:rsidP="00B2599D">
            <w:pPr>
              <w:tabs>
                <w:tab w:val="left" w:pos="-720"/>
              </w:tabs>
              <w:suppressAutoHyphens/>
              <w:autoSpaceDN w:val="0"/>
              <w:ind w:right="4144"/>
              <w:jc w:val="right"/>
              <w:rPr>
                <w:rFonts w:ascii="Arial" w:eastAsia="Times New Roman" w:hAnsi="Arial" w:cs="Arial"/>
                <w:color w:val="000000" w:themeColor="text1"/>
                <w:sz w:val="18"/>
                <w:szCs w:val="18"/>
              </w:rPr>
            </w:pPr>
          </w:p>
        </w:tc>
        <w:tc>
          <w:tcPr>
            <w:tcW w:w="495" w:type="pct"/>
            <w:vAlign w:val="bottom"/>
          </w:tcPr>
          <w:p w14:paraId="2BF9B8C0" w14:textId="327B061D" w:rsidR="00B2599D" w:rsidRPr="007478FB" w:rsidRDefault="00B2599D" w:rsidP="00B2599D">
            <w:pPr>
              <w:tabs>
                <w:tab w:val="right" w:pos="1202"/>
              </w:tabs>
              <w:suppressAutoHyphens/>
              <w:autoSpaceDN w:val="0"/>
              <w:jc w:val="right"/>
              <w:outlineLvl w:val="0"/>
              <w:rPr>
                <w:rFonts w:ascii="Arial" w:eastAsia="Times New Roman" w:hAnsi="Arial" w:cs="Arial"/>
                <w:b/>
                <w:color w:val="000000" w:themeColor="text1"/>
                <w:sz w:val="18"/>
                <w:szCs w:val="18"/>
              </w:rPr>
            </w:pPr>
            <w:r w:rsidRPr="007478FB">
              <w:rPr>
                <w:rFonts w:ascii="Arial" w:eastAsia="Times New Roman" w:hAnsi="Arial" w:cs="Arial"/>
                <w:b/>
                <w:color w:val="000000" w:themeColor="text1"/>
                <w:sz w:val="18"/>
                <w:szCs w:val="18"/>
              </w:rPr>
              <w:t>000 eura</w:t>
            </w:r>
          </w:p>
        </w:tc>
        <w:tc>
          <w:tcPr>
            <w:tcW w:w="495" w:type="pct"/>
            <w:vAlign w:val="bottom"/>
          </w:tcPr>
          <w:p w14:paraId="26316A8B" w14:textId="34A64AB9" w:rsidR="00B2599D" w:rsidRPr="007478FB" w:rsidRDefault="00B2599D" w:rsidP="00B2599D">
            <w:pPr>
              <w:tabs>
                <w:tab w:val="right" w:pos="1202"/>
              </w:tabs>
              <w:suppressAutoHyphens/>
              <w:autoSpaceDN w:val="0"/>
              <w:jc w:val="right"/>
              <w:outlineLvl w:val="0"/>
              <w:rPr>
                <w:rFonts w:ascii="Arial" w:eastAsia="Times New Roman" w:hAnsi="Arial" w:cs="Arial"/>
                <w:b/>
                <w:color w:val="000000" w:themeColor="text1"/>
                <w:sz w:val="18"/>
                <w:szCs w:val="18"/>
              </w:rPr>
            </w:pPr>
            <w:r w:rsidRPr="007478FB">
              <w:rPr>
                <w:rFonts w:ascii="Arial" w:eastAsia="Times New Roman" w:hAnsi="Arial" w:cs="Arial"/>
                <w:b/>
                <w:color w:val="000000" w:themeColor="text1"/>
                <w:sz w:val="18"/>
                <w:szCs w:val="18"/>
              </w:rPr>
              <w:t>000 eura</w:t>
            </w:r>
          </w:p>
        </w:tc>
        <w:tc>
          <w:tcPr>
            <w:tcW w:w="495" w:type="pct"/>
            <w:vAlign w:val="bottom"/>
          </w:tcPr>
          <w:p w14:paraId="6D568A32" w14:textId="6A8D59EB" w:rsidR="00B2599D" w:rsidRPr="007478FB" w:rsidRDefault="00B2599D" w:rsidP="00B2599D">
            <w:pPr>
              <w:tabs>
                <w:tab w:val="right" w:pos="1202"/>
              </w:tabs>
              <w:suppressAutoHyphens/>
              <w:autoSpaceDN w:val="0"/>
              <w:jc w:val="right"/>
              <w:outlineLvl w:val="0"/>
              <w:rPr>
                <w:rFonts w:ascii="Arial" w:eastAsia="Times New Roman" w:hAnsi="Arial" w:cs="Arial"/>
                <w:b/>
                <w:color w:val="000000" w:themeColor="text1"/>
                <w:sz w:val="18"/>
                <w:szCs w:val="18"/>
              </w:rPr>
            </w:pPr>
            <w:r w:rsidRPr="007478FB">
              <w:rPr>
                <w:rFonts w:ascii="Arial" w:eastAsia="Times New Roman" w:hAnsi="Arial" w:cs="Arial"/>
                <w:b/>
                <w:color w:val="000000" w:themeColor="text1"/>
                <w:sz w:val="18"/>
                <w:szCs w:val="18"/>
              </w:rPr>
              <w:t>000 eura</w:t>
            </w:r>
          </w:p>
        </w:tc>
        <w:tc>
          <w:tcPr>
            <w:tcW w:w="495" w:type="pct"/>
            <w:vAlign w:val="bottom"/>
          </w:tcPr>
          <w:p w14:paraId="2C0087CB" w14:textId="4BBF8DD9" w:rsidR="00B2599D" w:rsidRPr="007478FB" w:rsidRDefault="00B2599D" w:rsidP="00B2599D">
            <w:pPr>
              <w:tabs>
                <w:tab w:val="right" w:pos="1202"/>
              </w:tabs>
              <w:suppressAutoHyphens/>
              <w:autoSpaceDN w:val="0"/>
              <w:jc w:val="right"/>
              <w:outlineLvl w:val="0"/>
              <w:rPr>
                <w:rFonts w:ascii="Arial" w:eastAsia="Times New Roman" w:hAnsi="Arial" w:cs="Arial"/>
                <w:b/>
                <w:color w:val="000000" w:themeColor="text1"/>
                <w:sz w:val="18"/>
                <w:szCs w:val="18"/>
              </w:rPr>
            </w:pPr>
            <w:r w:rsidRPr="007478FB">
              <w:rPr>
                <w:rFonts w:ascii="Arial" w:eastAsia="Times New Roman" w:hAnsi="Arial" w:cs="Arial"/>
                <w:b/>
                <w:color w:val="000000" w:themeColor="text1"/>
                <w:sz w:val="18"/>
                <w:szCs w:val="18"/>
              </w:rPr>
              <w:t>000 eura</w:t>
            </w:r>
          </w:p>
        </w:tc>
        <w:tc>
          <w:tcPr>
            <w:tcW w:w="495" w:type="pct"/>
            <w:vAlign w:val="bottom"/>
          </w:tcPr>
          <w:p w14:paraId="09795C99" w14:textId="7A9626AC" w:rsidR="00B2599D" w:rsidRPr="007478FB" w:rsidRDefault="00B2599D" w:rsidP="00B2599D">
            <w:pPr>
              <w:tabs>
                <w:tab w:val="right" w:pos="1202"/>
              </w:tabs>
              <w:suppressAutoHyphens/>
              <w:autoSpaceDN w:val="0"/>
              <w:jc w:val="right"/>
              <w:outlineLvl w:val="0"/>
              <w:rPr>
                <w:rFonts w:ascii="Arial" w:eastAsia="Times New Roman" w:hAnsi="Arial" w:cs="Arial"/>
                <w:b/>
                <w:color w:val="000000" w:themeColor="text1"/>
                <w:sz w:val="18"/>
                <w:szCs w:val="18"/>
              </w:rPr>
            </w:pPr>
            <w:bookmarkStart w:id="259" w:name="_Toc67327397"/>
            <w:r w:rsidRPr="007478FB">
              <w:rPr>
                <w:rFonts w:ascii="Arial" w:eastAsia="Times New Roman" w:hAnsi="Arial" w:cs="Arial"/>
                <w:b/>
                <w:color w:val="000000" w:themeColor="text1"/>
                <w:sz w:val="18"/>
                <w:szCs w:val="18"/>
              </w:rPr>
              <w:t xml:space="preserve">000 </w:t>
            </w:r>
            <w:bookmarkEnd w:id="259"/>
            <w:r w:rsidRPr="007478FB">
              <w:rPr>
                <w:rFonts w:ascii="Arial" w:eastAsia="Times New Roman" w:hAnsi="Arial" w:cs="Arial"/>
                <w:b/>
                <w:color w:val="000000" w:themeColor="text1"/>
                <w:sz w:val="18"/>
                <w:szCs w:val="18"/>
              </w:rPr>
              <w:t>eura</w:t>
            </w:r>
          </w:p>
        </w:tc>
        <w:tc>
          <w:tcPr>
            <w:tcW w:w="495" w:type="pct"/>
            <w:vAlign w:val="bottom"/>
          </w:tcPr>
          <w:p w14:paraId="0FE218D3" w14:textId="36D9D7D4" w:rsidR="00B2599D" w:rsidRPr="007478FB" w:rsidRDefault="00B2599D" w:rsidP="00B2599D">
            <w:pPr>
              <w:tabs>
                <w:tab w:val="right" w:pos="1202"/>
              </w:tabs>
              <w:suppressAutoHyphens/>
              <w:autoSpaceDN w:val="0"/>
              <w:jc w:val="right"/>
              <w:outlineLvl w:val="0"/>
              <w:rPr>
                <w:rFonts w:ascii="Arial" w:eastAsia="Times New Roman" w:hAnsi="Arial" w:cs="Arial"/>
                <w:b/>
                <w:color w:val="000000" w:themeColor="text1"/>
                <w:sz w:val="18"/>
                <w:szCs w:val="18"/>
              </w:rPr>
            </w:pPr>
            <w:r w:rsidRPr="007478FB">
              <w:rPr>
                <w:rFonts w:ascii="Arial" w:eastAsia="Times New Roman" w:hAnsi="Arial" w:cs="Arial"/>
                <w:b/>
                <w:color w:val="000000" w:themeColor="text1"/>
                <w:sz w:val="18"/>
                <w:szCs w:val="18"/>
              </w:rPr>
              <w:t>000 eura</w:t>
            </w:r>
          </w:p>
        </w:tc>
        <w:tc>
          <w:tcPr>
            <w:tcW w:w="495" w:type="pct"/>
            <w:vAlign w:val="bottom"/>
          </w:tcPr>
          <w:p w14:paraId="6FDF15D0" w14:textId="64547DFE" w:rsidR="00B2599D" w:rsidRPr="007478FB" w:rsidRDefault="00B2599D" w:rsidP="00B2599D">
            <w:pPr>
              <w:tabs>
                <w:tab w:val="right" w:pos="1202"/>
              </w:tabs>
              <w:suppressAutoHyphens/>
              <w:autoSpaceDN w:val="0"/>
              <w:jc w:val="right"/>
              <w:outlineLvl w:val="0"/>
              <w:rPr>
                <w:rFonts w:ascii="Arial" w:eastAsia="Times New Roman" w:hAnsi="Arial" w:cs="Arial"/>
                <w:b/>
                <w:color w:val="000000" w:themeColor="text1"/>
                <w:sz w:val="18"/>
                <w:szCs w:val="18"/>
              </w:rPr>
            </w:pPr>
            <w:r w:rsidRPr="007478FB">
              <w:rPr>
                <w:rFonts w:ascii="Arial" w:eastAsia="Times New Roman" w:hAnsi="Arial" w:cs="Arial"/>
                <w:b/>
                <w:color w:val="000000" w:themeColor="text1"/>
                <w:sz w:val="18"/>
                <w:szCs w:val="18"/>
              </w:rPr>
              <w:t>000 eura</w:t>
            </w:r>
          </w:p>
        </w:tc>
        <w:tc>
          <w:tcPr>
            <w:tcW w:w="490" w:type="pct"/>
            <w:vAlign w:val="bottom"/>
          </w:tcPr>
          <w:p w14:paraId="5C54D17C" w14:textId="76F679AB" w:rsidR="00B2599D" w:rsidRPr="007478FB" w:rsidRDefault="00B2599D" w:rsidP="00B2599D">
            <w:pPr>
              <w:tabs>
                <w:tab w:val="right" w:pos="1202"/>
              </w:tabs>
              <w:suppressAutoHyphens/>
              <w:autoSpaceDN w:val="0"/>
              <w:jc w:val="right"/>
              <w:outlineLvl w:val="0"/>
              <w:rPr>
                <w:rFonts w:ascii="Arial" w:eastAsia="Times New Roman" w:hAnsi="Arial" w:cs="Arial"/>
                <w:b/>
                <w:color w:val="000000" w:themeColor="text1"/>
                <w:sz w:val="18"/>
                <w:szCs w:val="18"/>
              </w:rPr>
            </w:pPr>
            <w:r w:rsidRPr="007478FB">
              <w:rPr>
                <w:rFonts w:ascii="Arial" w:eastAsia="Times New Roman" w:hAnsi="Arial" w:cs="Arial"/>
                <w:b/>
                <w:color w:val="000000" w:themeColor="text1"/>
                <w:sz w:val="18"/>
                <w:szCs w:val="18"/>
              </w:rPr>
              <w:t>000 eura</w:t>
            </w:r>
          </w:p>
        </w:tc>
      </w:tr>
      <w:tr w:rsidR="00B2599D" w:rsidRPr="00291152" w14:paraId="4D1A8419" w14:textId="77777777" w:rsidTr="007478FB">
        <w:trPr>
          <w:trHeight w:val="192"/>
        </w:trPr>
        <w:tc>
          <w:tcPr>
            <w:tcW w:w="1045" w:type="pct"/>
            <w:vAlign w:val="bottom"/>
          </w:tcPr>
          <w:p w14:paraId="2D2BD59E" w14:textId="77777777" w:rsidR="00B2599D" w:rsidRPr="007478FB" w:rsidRDefault="00B2599D" w:rsidP="00B2599D">
            <w:pPr>
              <w:tabs>
                <w:tab w:val="left" w:pos="-720"/>
              </w:tabs>
              <w:suppressAutoHyphens/>
              <w:autoSpaceDN w:val="0"/>
              <w:ind w:right="4144"/>
              <w:jc w:val="right"/>
              <w:rPr>
                <w:rFonts w:ascii="Arial" w:eastAsia="Times New Roman" w:hAnsi="Arial" w:cs="Arial"/>
                <w:color w:val="000000" w:themeColor="text1"/>
                <w:sz w:val="18"/>
                <w:szCs w:val="18"/>
              </w:rPr>
            </w:pPr>
          </w:p>
        </w:tc>
        <w:tc>
          <w:tcPr>
            <w:tcW w:w="495" w:type="pct"/>
            <w:vAlign w:val="bottom"/>
          </w:tcPr>
          <w:p w14:paraId="02FA8335" w14:textId="77777777" w:rsidR="00B2599D" w:rsidRPr="007478FB" w:rsidRDefault="00B2599D" w:rsidP="00B2599D">
            <w:pPr>
              <w:suppressAutoHyphens/>
              <w:autoSpaceDN w:val="0"/>
              <w:jc w:val="right"/>
              <w:rPr>
                <w:rFonts w:ascii="Arial" w:eastAsia="Times New Roman" w:hAnsi="Arial" w:cs="Arial"/>
                <w:b/>
                <w:color w:val="000000" w:themeColor="text1"/>
                <w:sz w:val="18"/>
                <w:szCs w:val="18"/>
              </w:rPr>
            </w:pPr>
          </w:p>
        </w:tc>
        <w:tc>
          <w:tcPr>
            <w:tcW w:w="495" w:type="pct"/>
            <w:vAlign w:val="bottom"/>
          </w:tcPr>
          <w:p w14:paraId="5F884971" w14:textId="77777777" w:rsidR="00B2599D" w:rsidRPr="007478FB" w:rsidRDefault="00B2599D" w:rsidP="00B2599D">
            <w:pPr>
              <w:suppressAutoHyphens/>
              <w:autoSpaceDN w:val="0"/>
              <w:jc w:val="right"/>
              <w:rPr>
                <w:rFonts w:ascii="Arial" w:eastAsia="Times New Roman" w:hAnsi="Arial" w:cs="Arial"/>
                <w:b/>
                <w:color w:val="000000" w:themeColor="text1"/>
                <w:sz w:val="18"/>
                <w:szCs w:val="18"/>
              </w:rPr>
            </w:pPr>
          </w:p>
        </w:tc>
        <w:tc>
          <w:tcPr>
            <w:tcW w:w="495" w:type="pct"/>
            <w:vAlign w:val="bottom"/>
          </w:tcPr>
          <w:p w14:paraId="0AA5106A" w14:textId="50D1280E" w:rsidR="00B2599D" w:rsidRPr="007478FB" w:rsidRDefault="00B2599D" w:rsidP="00B2599D">
            <w:pPr>
              <w:suppressAutoHyphens/>
              <w:autoSpaceDN w:val="0"/>
              <w:jc w:val="right"/>
              <w:rPr>
                <w:rFonts w:ascii="Arial" w:eastAsia="Times New Roman" w:hAnsi="Arial" w:cs="Arial"/>
                <w:b/>
                <w:color w:val="000000" w:themeColor="text1"/>
                <w:sz w:val="18"/>
                <w:szCs w:val="18"/>
              </w:rPr>
            </w:pPr>
          </w:p>
        </w:tc>
        <w:tc>
          <w:tcPr>
            <w:tcW w:w="495" w:type="pct"/>
            <w:vAlign w:val="bottom"/>
          </w:tcPr>
          <w:p w14:paraId="797374D1" w14:textId="77777777" w:rsidR="00B2599D" w:rsidRPr="007478FB" w:rsidRDefault="00B2599D" w:rsidP="00B2599D">
            <w:pPr>
              <w:suppressAutoHyphens/>
              <w:autoSpaceDN w:val="0"/>
              <w:jc w:val="right"/>
              <w:rPr>
                <w:rFonts w:ascii="Arial" w:eastAsia="Times New Roman" w:hAnsi="Arial" w:cs="Arial"/>
                <w:b/>
                <w:color w:val="000000" w:themeColor="text1"/>
                <w:sz w:val="18"/>
                <w:szCs w:val="18"/>
              </w:rPr>
            </w:pPr>
          </w:p>
        </w:tc>
        <w:tc>
          <w:tcPr>
            <w:tcW w:w="495" w:type="pct"/>
            <w:vAlign w:val="bottom"/>
          </w:tcPr>
          <w:p w14:paraId="05AEEBFD" w14:textId="2B663251" w:rsidR="00B2599D" w:rsidRPr="007478FB" w:rsidRDefault="00B2599D" w:rsidP="00B2599D">
            <w:pPr>
              <w:suppressAutoHyphens/>
              <w:autoSpaceDN w:val="0"/>
              <w:jc w:val="right"/>
              <w:rPr>
                <w:rFonts w:ascii="Arial" w:eastAsia="Times New Roman" w:hAnsi="Arial" w:cs="Arial"/>
                <w:b/>
                <w:color w:val="000000" w:themeColor="text1"/>
                <w:sz w:val="18"/>
                <w:szCs w:val="18"/>
              </w:rPr>
            </w:pPr>
          </w:p>
        </w:tc>
        <w:tc>
          <w:tcPr>
            <w:tcW w:w="495" w:type="pct"/>
            <w:vAlign w:val="bottom"/>
          </w:tcPr>
          <w:p w14:paraId="229FF75E" w14:textId="77777777" w:rsidR="00B2599D" w:rsidRPr="007478FB" w:rsidRDefault="00B2599D" w:rsidP="00B2599D">
            <w:pPr>
              <w:suppressAutoHyphens/>
              <w:autoSpaceDN w:val="0"/>
              <w:jc w:val="right"/>
              <w:rPr>
                <w:rFonts w:ascii="Arial" w:eastAsia="Times New Roman" w:hAnsi="Arial" w:cs="Arial"/>
                <w:b/>
                <w:color w:val="000000" w:themeColor="text1"/>
                <w:sz w:val="18"/>
                <w:szCs w:val="18"/>
              </w:rPr>
            </w:pPr>
          </w:p>
        </w:tc>
        <w:tc>
          <w:tcPr>
            <w:tcW w:w="495" w:type="pct"/>
            <w:vAlign w:val="bottom"/>
          </w:tcPr>
          <w:p w14:paraId="6DE19C4D" w14:textId="77777777" w:rsidR="00B2599D" w:rsidRPr="007478FB" w:rsidRDefault="00B2599D" w:rsidP="00B2599D">
            <w:pPr>
              <w:suppressAutoHyphens/>
              <w:autoSpaceDN w:val="0"/>
              <w:jc w:val="right"/>
              <w:rPr>
                <w:rFonts w:ascii="Arial" w:eastAsia="Times New Roman" w:hAnsi="Arial" w:cs="Arial"/>
                <w:b/>
                <w:color w:val="000000" w:themeColor="text1"/>
                <w:sz w:val="18"/>
                <w:szCs w:val="18"/>
              </w:rPr>
            </w:pPr>
          </w:p>
        </w:tc>
        <w:tc>
          <w:tcPr>
            <w:tcW w:w="490" w:type="pct"/>
            <w:vAlign w:val="bottom"/>
          </w:tcPr>
          <w:p w14:paraId="033616EF" w14:textId="77777777" w:rsidR="00B2599D" w:rsidRPr="007478FB" w:rsidRDefault="00B2599D" w:rsidP="00B2599D">
            <w:pPr>
              <w:suppressAutoHyphens/>
              <w:autoSpaceDN w:val="0"/>
              <w:jc w:val="right"/>
              <w:rPr>
                <w:rFonts w:ascii="Arial" w:eastAsia="Times New Roman" w:hAnsi="Arial" w:cs="Arial"/>
                <w:b/>
                <w:color w:val="000000" w:themeColor="text1"/>
                <w:sz w:val="18"/>
                <w:szCs w:val="18"/>
              </w:rPr>
            </w:pPr>
          </w:p>
        </w:tc>
      </w:tr>
      <w:tr w:rsidR="000E6BEB" w:rsidRPr="00291152" w14:paraId="49D567F7" w14:textId="77777777" w:rsidTr="000E6BEB">
        <w:trPr>
          <w:trHeight w:val="283"/>
        </w:trPr>
        <w:tc>
          <w:tcPr>
            <w:tcW w:w="1045" w:type="pct"/>
            <w:vAlign w:val="bottom"/>
          </w:tcPr>
          <w:p w14:paraId="0D4A928C" w14:textId="77777777" w:rsidR="000E6BEB" w:rsidRPr="007478FB" w:rsidRDefault="000E6BEB" w:rsidP="000E6BEB">
            <w:pPr>
              <w:tabs>
                <w:tab w:val="right" w:pos="1202"/>
              </w:tabs>
              <w:suppressAutoHyphens/>
              <w:autoSpaceDN w:val="0"/>
              <w:outlineLvl w:val="0"/>
              <w:rPr>
                <w:rFonts w:ascii="Arial" w:eastAsia="Times New Roman" w:hAnsi="Arial" w:cs="Arial"/>
                <w:color w:val="000000" w:themeColor="text1"/>
                <w:sz w:val="18"/>
                <w:szCs w:val="18"/>
              </w:rPr>
            </w:pPr>
            <w:bookmarkStart w:id="260" w:name="_Toc67327401"/>
            <w:r w:rsidRPr="007478FB">
              <w:rPr>
                <w:rFonts w:ascii="Arial" w:eastAsia="Times New Roman" w:hAnsi="Arial" w:cs="Arial"/>
                <w:color w:val="000000" w:themeColor="text1"/>
                <w:sz w:val="18"/>
                <w:szCs w:val="18"/>
              </w:rPr>
              <w:t>Javni sektor</w:t>
            </w:r>
            <w:bookmarkEnd w:id="260"/>
          </w:p>
        </w:tc>
        <w:tc>
          <w:tcPr>
            <w:tcW w:w="495" w:type="pct"/>
            <w:tcBorders>
              <w:top w:val="nil"/>
              <w:left w:val="nil"/>
              <w:bottom w:val="nil"/>
              <w:right w:val="nil"/>
            </w:tcBorders>
            <w:shd w:val="clear" w:color="auto" w:fill="auto"/>
            <w:vAlign w:val="bottom"/>
          </w:tcPr>
          <w:p w14:paraId="77BF4AB0" w14:textId="20227DAB" w:rsidR="000E6BEB" w:rsidRPr="000E6BEB" w:rsidRDefault="000E6BEB" w:rsidP="000E6BEB">
            <w:pPr>
              <w:tabs>
                <w:tab w:val="right" w:pos="1202"/>
              </w:tabs>
              <w:suppressAutoHyphens/>
              <w:autoSpaceDN w:val="0"/>
              <w:jc w:val="right"/>
              <w:outlineLvl w:val="0"/>
              <w:rPr>
                <w:rFonts w:ascii="Arial" w:hAnsi="Arial" w:cs="Arial"/>
                <w:sz w:val="18"/>
                <w:szCs w:val="18"/>
              </w:rPr>
            </w:pPr>
            <w:r w:rsidRPr="000E6BEB">
              <w:rPr>
                <w:rFonts w:ascii="Arial" w:hAnsi="Arial" w:cs="Arial"/>
                <w:sz w:val="18"/>
                <w:szCs w:val="18"/>
              </w:rPr>
              <w:t xml:space="preserve"> 6.104 </w:t>
            </w:r>
          </w:p>
        </w:tc>
        <w:tc>
          <w:tcPr>
            <w:tcW w:w="495" w:type="pct"/>
            <w:tcBorders>
              <w:top w:val="nil"/>
              <w:left w:val="nil"/>
              <w:bottom w:val="nil"/>
              <w:right w:val="nil"/>
            </w:tcBorders>
            <w:shd w:val="clear" w:color="auto" w:fill="auto"/>
            <w:vAlign w:val="bottom"/>
          </w:tcPr>
          <w:p w14:paraId="00A14BA9" w14:textId="663BC776" w:rsidR="000E6BEB" w:rsidRPr="000E6BEB" w:rsidRDefault="000E6BEB" w:rsidP="000E6BEB">
            <w:pPr>
              <w:tabs>
                <w:tab w:val="right" w:pos="1202"/>
              </w:tabs>
              <w:suppressAutoHyphens/>
              <w:autoSpaceDN w:val="0"/>
              <w:jc w:val="right"/>
              <w:outlineLvl w:val="0"/>
              <w:rPr>
                <w:rFonts w:ascii="Arial" w:hAnsi="Arial" w:cs="Arial"/>
                <w:sz w:val="18"/>
                <w:szCs w:val="18"/>
              </w:rPr>
            </w:pPr>
            <w:r w:rsidRPr="000E6BEB">
              <w:rPr>
                <w:rFonts w:ascii="Arial" w:hAnsi="Arial" w:cs="Arial"/>
                <w:sz w:val="18"/>
                <w:szCs w:val="18"/>
              </w:rPr>
              <w:t xml:space="preserve"> 17.551 </w:t>
            </w:r>
          </w:p>
        </w:tc>
        <w:tc>
          <w:tcPr>
            <w:tcW w:w="495" w:type="pct"/>
            <w:tcBorders>
              <w:top w:val="nil"/>
              <w:left w:val="nil"/>
              <w:bottom w:val="nil"/>
              <w:right w:val="nil"/>
            </w:tcBorders>
            <w:shd w:val="clear" w:color="auto" w:fill="auto"/>
            <w:vAlign w:val="bottom"/>
          </w:tcPr>
          <w:p w14:paraId="31349216" w14:textId="6A78F7B9" w:rsidR="000E6BEB" w:rsidRPr="007478FB" w:rsidRDefault="000E6BEB" w:rsidP="000E6BEB">
            <w:pPr>
              <w:tabs>
                <w:tab w:val="right" w:pos="1202"/>
              </w:tabs>
              <w:suppressAutoHyphens/>
              <w:autoSpaceDN w:val="0"/>
              <w:jc w:val="right"/>
              <w:outlineLvl w:val="0"/>
              <w:rPr>
                <w:rFonts w:ascii="Arial" w:hAnsi="Arial" w:cs="Arial"/>
                <w:sz w:val="18"/>
                <w:szCs w:val="18"/>
              </w:rPr>
            </w:pPr>
            <w:r w:rsidRPr="00E70BE4">
              <w:rPr>
                <w:rFonts w:ascii="Arial" w:hAnsi="Arial" w:cs="Arial"/>
                <w:sz w:val="18"/>
                <w:szCs w:val="18"/>
              </w:rPr>
              <w:t xml:space="preserve"> 5.890 </w:t>
            </w:r>
          </w:p>
        </w:tc>
        <w:tc>
          <w:tcPr>
            <w:tcW w:w="495" w:type="pct"/>
            <w:tcBorders>
              <w:top w:val="nil"/>
              <w:left w:val="nil"/>
              <w:bottom w:val="nil"/>
              <w:right w:val="nil"/>
            </w:tcBorders>
            <w:shd w:val="clear" w:color="auto" w:fill="auto"/>
            <w:vAlign w:val="bottom"/>
          </w:tcPr>
          <w:p w14:paraId="48D521AB" w14:textId="3270EBD0" w:rsidR="000E6BEB" w:rsidRPr="007478FB" w:rsidRDefault="000E6BEB" w:rsidP="000E6BEB">
            <w:pPr>
              <w:tabs>
                <w:tab w:val="right" w:pos="1202"/>
              </w:tabs>
              <w:suppressAutoHyphens/>
              <w:autoSpaceDN w:val="0"/>
              <w:jc w:val="right"/>
              <w:outlineLvl w:val="0"/>
              <w:rPr>
                <w:rFonts w:ascii="Arial" w:hAnsi="Arial" w:cs="Arial"/>
                <w:sz w:val="18"/>
                <w:szCs w:val="18"/>
              </w:rPr>
            </w:pPr>
            <w:r w:rsidRPr="00E70BE4">
              <w:rPr>
                <w:rFonts w:ascii="Arial" w:hAnsi="Arial" w:cs="Arial"/>
                <w:sz w:val="18"/>
                <w:szCs w:val="18"/>
              </w:rPr>
              <w:t xml:space="preserve"> 16.388 </w:t>
            </w:r>
          </w:p>
        </w:tc>
        <w:tc>
          <w:tcPr>
            <w:tcW w:w="495" w:type="pct"/>
            <w:tcBorders>
              <w:top w:val="nil"/>
              <w:left w:val="nil"/>
              <w:bottom w:val="nil"/>
              <w:right w:val="nil"/>
            </w:tcBorders>
            <w:shd w:val="clear" w:color="auto" w:fill="auto"/>
            <w:vAlign w:val="bottom"/>
          </w:tcPr>
          <w:p w14:paraId="00E4B8B7" w14:textId="674A684A" w:rsidR="000E6BEB" w:rsidRPr="008518F6" w:rsidRDefault="000E6BEB" w:rsidP="000E6BEB">
            <w:pPr>
              <w:tabs>
                <w:tab w:val="right" w:pos="1202"/>
              </w:tabs>
              <w:suppressAutoHyphens/>
              <w:autoSpaceDN w:val="0"/>
              <w:jc w:val="right"/>
              <w:outlineLvl w:val="0"/>
              <w:rPr>
                <w:rFonts w:ascii="Arial" w:hAnsi="Arial" w:cs="Arial"/>
                <w:sz w:val="18"/>
                <w:szCs w:val="18"/>
              </w:rPr>
            </w:pPr>
            <w:r w:rsidRPr="008518F6">
              <w:rPr>
                <w:rFonts w:ascii="Arial" w:hAnsi="Arial" w:cs="Arial"/>
                <w:sz w:val="18"/>
                <w:szCs w:val="18"/>
              </w:rPr>
              <w:t>6.065</w:t>
            </w:r>
          </w:p>
        </w:tc>
        <w:tc>
          <w:tcPr>
            <w:tcW w:w="495" w:type="pct"/>
            <w:tcBorders>
              <w:top w:val="nil"/>
              <w:left w:val="nil"/>
              <w:bottom w:val="nil"/>
              <w:right w:val="nil"/>
            </w:tcBorders>
            <w:shd w:val="clear" w:color="auto" w:fill="auto"/>
            <w:vAlign w:val="bottom"/>
          </w:tcPr>
          <w:p w14:paraId="618EEC44" w14:textId="2C8FC53D" w:rsidR="000E6BEB" w:rsidRPr="008518F6" w:rsidRDefault="000E6BEB" w:rsidP="000E6BEB">
            <w:pPr>
              <w:tabs>
                <w:tab w:val="right" w:pos="1202"/>
              </w:tabs>
              <w:suppressAutoHyphens/>
              <w:autoSpaceDN w:val="0"/>
              <w:jc w:val="right"/>
              <w:outlineLvl w:val="0"/>
              <w:rPr>
                <w:rFonts w:ascii="Arial" w:hAnsi="Arial" w:cs="Arial"/>
                <w:sz w:val="18"/>
                <w:szCs w:val="18"/>
              </w:rPr>
            </w:pPr>
            <w:r w:rsidRPr="008518F6">
              <w:rPr>
                <w:rFonts w:ascii="Arial" w:hAnsi="Arial" w:cs="Arial"/>
                <w:sz w:val="18"/>
                <w:szCs w:val="18"/>
              </w:rPr>
              <w:t>17.430</w:t>
            </w:r>
          </w:p>
        </w:tc>
        <w:tc>
          <w:tcPr>
            <w:tcW w:w="495" w:type="pct"/>
            <w:tcBorders>
              <w:top w:val="nil"/>
              <w:left w:val="nil"/>
              <w:bottom w:val="nil"/>
              <w:right w:val="nil"/>
            </w:tcBorders>
            <w:shd w:val="clear" w:color="auto" w:fill="auto"/>
            <w:vAlign w:val="bottom"/>
          </w:tcPr>
          <w:p w14:paraId="430AD7DA" w14:textId="533DE520" w:rsidR="000E6BEB" w:rsidRPr="007478FB" w:rsidRDefault="000E6BEB" w:rsidP="000E6BEB">
            <w:pPr>
              <w:tabs>
                <w:tab w:val="right" w:pos="1202"/>
              </w:tabs>
              <w:suppressAutoHyphens/>
              <w:autoSpaceDN w:val="0"/>
              <w:jc w:val="right"/>
              <w:outlineLvl w:val="0"/>
              <w:rPr>
                <w:rFonts w:ascii="Arial" w:hAnsi="Arial" w:cs="Arial"/>
                <w:sz w:val="18"/>
                <w:szCs w:val="18"/>
              </w:rPr>
            </w:pPr>
            <w:r w:rsidRPr="00FF3B1A">
              <w:rPr>
                <w:rFonts w:ascii="Arial" w:hAnsi="Arial" w:cs="Arial"/>
                <w:sz w:val="18"/>
                <w:szCs w:val="18"/>
              </w:rPr>
              <w:t xml:space="preserve"> 5.847 </w:t>
            </w:r>
          </w:p>
        </w:tc>
        <w:tc>
          <w:tcPr>
            <w:tcW w:w="490" w:type="pct"/>
            <w:tcBorders>
              <w:top w:val="nil"/>
              <w:left w:val="nil"/>
              <w:bottom w:val="nil"/>
              <w:right w:val="nil"/>
            </w:tcBorders>
            <w:shd w:val="clear" w:color="auto" w:fill="auto"/>
            <w:vAlign w:val="bottom"/>
          </w:tcPr>
          <w:p w14:paraId="1207A1C3" w14:textId="78395EB1" w:rsidR="000E6BEB" w:rsidRPr="007478FB" w:rsidRDefault="000E6BEB" w:rsidP="000E6BEB">
            <w:pPr>
              <w:tabs>
                <w:tab w:val="right" w:pos="1202"/>
              </w:tabs>
              <w:suppressAutoHyphens/>
              <w:autoSpaceDN w:val="0"/>
              <w:jc w:val="right"/>
              <w:outlineLvl w:val="0"/>
              <w:rPr>
                <w:rFonts w:ascii="Arial" w:hAnsi="Arial" w:cs="Arial"/>
                <w:sz w:val="18"/>
                <w:szCs w:val="18"/>
              </w:rPr>
            </w:pPr>
            <w:r w:rsidRPr="00FF3B1A">
              <w:rPr>
                <w:rFonts w:ascii="Arial" w:hAnsi="Arial" w:cs="Arial"/>
                <w:sz w:val="18"/>
                <w:szCs w:val="18"/>
              </w:rPr>
              <w:t xml:space="preserve"> 16.259 </w:t>
            </w:r>
          </w:p>
        </w:tc>
      </w:tr>
      <w:tr w:rsidR="000E6BEB" w:rsidRPr="00291152" w14:paraId="62DB9E60" w14:textId="77777777" w:rsidTr="000E6BEB">
        <w:trPr>
          <w:trHeight w:val="283"/>
        </w:trPr>
        <w:tc>
          <w:tcPr>
            <w:tcW w:w="1045" w:type="pct"/>
            <w:vAlign w:val="bottom"/>
          </w:tcPr>
          <w:p w14:paraId="1B025C6E" w14:textId="77777777" w:rsidR="000E6BEB" w:rsidRPr="007478FB" w:rsidRDefault="000E6BEB" w:rsidP="000E6BEB">
            <w:pPr>
              <w:tabs>
                <w:tab w:val="right" w:pos="1202"/>
              </w:tabs>
              <w:suppressAutoHyphens/>
              <w:autoSpaceDN w:val="0"/>
              <w:outlineLvl w:val="0"/>
              <w:rPr>
                <w:rFonts w:ascii="Arial" w:eastAsia="Times New Roman" w:hAnsi="Arial" w:cs="Arial"/>
                <w:color w:val="000000" w:themeColor="text1"/>
                <w:sz w:val="18"/>
                <w:szCs w:val="18"/>
              </w:rPr>
            </w:pPr>
            <w:bookmarkStart w:id="261" w:name="_Toc67327406"/>
            <w:r w:rsidRPr="007478FB">
              <w:rPr>
                <w:rFonts w:ascii="Arial" w:eastAsia="Times New Roman" w:hAnsi="Arial" w:cs="Arial"/>
                <w:color w:val="000000" w:themeColor="text1"/>
                <w:sz w:val="18"/>
                <w:szCs w:val="18"/>
              </w:rPr>
              <w:t>Državna trgovačka društva</w:t>
            </w:r>
            <w:bookmarkEnd w:id="261"/>
          </w:p>
        </w:tc>
        <w:tc>
          <w:tcPr>
            <w:tcW w:w="495" w:type="pct"/>
            <w:tcBorders>
              <w:top w:val="nil"/>
              <w:left w:val="nil"/>
              <w:bottom w:val="nil"/>
              <w:right w:val="nil"/>
            </w:tcBorders>
            <w:shd w:val="clear" w:color="auto" w:fill="auto"/>
            <w:vAlign w:val="bottom"/>
          </w:tcPr>
          <w:p w14:paraId="24165700" w14:textId="1E5FD881" w:rsidR="000E6BEB" w:rsidRPr="000E6BEB" w:rsidRDefault="000E6BEB" w:rsidP="000E6BEB">
            <w:pPr>
              <w:tabs>
                <w:tab w:val="right" w:pos="1202"/>
              </w:tabs>
              <w:suppressAutoHyphens/>
              <w:autoSpaceDN w:val="0"/>
              <w:jc w:val="right"/>
              <w:outlineLvl w:val="0"/>
              <w:rPr>
                <w:rFonts w:ascii="Arial" w:hAnsi="Arial" w:cs="Arial"/>
                <w:sz w:val="18"/>
                <w:szCs w:val="18"/>
              </w:rPr>
            </w:pPr>
            <w:r w:rsidRPr="000E6BEB">
              <w:rPr>
                <w:rFonts w:ascii="Arial" w:hAnsi="Arial" w:cs="Arial"/>
                <w:sz w:val="18"/>
                <w:szCs w:val="18"/>
              </w:rPr>
              <w:t xml:space="preserve"> 1.785 </w:t>
            </w:r>
          </w:p>
        </w:tc>
        <w:tc>
          <w:tcPr>
            <w:tcW w:w="495" w:type="pct"/>
            <w:tcBorders>
              <w:top w:val="nil"/>
              <w:left w:val="nil"/>
              <w:bottom w:val="nil"/>
              <w:right w:val="nil"/>
            </w:tcBorders>
            <w:shd w:val="clear" w:color="auto" w:fill="auto"/>
            <w:vAlign w:val="bottom"/>
          </w:tcPr>
          <w:p w14:paraId="08144F4E" w14:textId="5E019026" w:rsidR="000E6BEB" w:rsidRPr="000E6BEB" w:rsidRDefault="000E6BEB" w:rsidP="000E6BEB">
            <w:pPr>
              <w:tabs>
                <w:tab w:val="right" w:pos="1202"/>
              </w:tabs>
              <w:suppressAutoHyphens/>
              <w:autoSpaceDN w:val="0"/>
              <w:jc w:val="right"/>
              <w:outlineLvl w:val="0"/>
              <w:rPr>
                <w:rFonts w:ascii="Arial" w:hAnsi="Arial" w:cs="Arial"/>
                <w:sz w:val="18"/>
                <w:szCs w:val="18"/>
              </w:rPr>
            </w:pPr>
            <w:r w:rsidRPr="000E6BEB">
              <w:rPr>
                <w:rFonts w:ascii="Arial" w:hAnsi="Arial" w:cs="Arial"/>
                <w:sz w:val="18"/>
                <w:szCs w:val="18"/>
              </w:rPr>
              <w:t xml:space="preserve"> 5.522 </w:t>
            </w:r>
          </w:p>
        </w:tc>
        <w:tc>
          <w:tcPr>
            <w:tcW w:w="495" w:type="pct"/>
            <w:tcBorders>
              <w:top w:val="nil"/>
              <w:left w:val="nil"/>
              <w:bottom w:val="nil"/>
              <w:right w:val="nil"/>
            </w:tcBorders>
            <w:shd w:val="clear" w:color="auto" w:fill="auto"/>
            <w:vAlign w:val="bottom"/>
          </w:tcPr>
          <w:p w14:paraId="58762EC7" w14:textId="4D9590E5" w:rsidR="000E6BEB" w:rsidRPr="007478FB" w:rsidRDefault="000E6BEB" w:rsidP="000E6BEB">
            <w:pPr>
              <w:tabs>
                <w:tab w:val="right" w:pos="1202"/>
              </w:tabs>
              <w:suppressAutoHyphens/>
              <w:autoSpaceDN w:val="0"/>
              <w:jc w:val="right"/>
              <w:outlineLvl w:val="0"/>
              <w:rPr>
                <w:rFonts w:ascii="Arial" w:hAnsi="Arial" w:cs="Arial"/>
                <w:sz w:val="18"/>
                <w:szCs w:val="18"/>
              </w:rPr>
            </w:pPr>
            <w:r w:rsidRPr="00E70BE4">
              <w:rPr>
                <w:rFonts w:ascii="Arial" w:hAnsi="Arial" w:cs="Arial"/>
                <w:sz w:val="18"/>
                <w:szCs w:val="18"/>
              </w:rPr>
              <w:t xml:space="preserve"> 2.053 </w:t>
            </w:r>
          </w:p>
        </w:tc>
        <w:tc>
          <w:tcPr>
            <w:tcW w:w="495" w:type="pct"/>
            <w:tcBorders>
              <w:top w:val="nil"/>
              <w:left w:val="nil"/>
              <w:bottom w:val="nil"/>
              <w:right w:val="nil"/>
            </w:tcBorders>
            <w:shd w:val="clear" w:color="auto" w:fill="auto"/>
            <w:vAlign w:val="bottom"/>
          </w:tcPr>
          <w:p w14:paraId="48ED5C70" w14:textId="41CC4E04" w:rsidR="000E6BEB" w:rsidRPr="007478FB" w:rsidRDefault="000E6BEB" w:rsidP="000E6BEB">
            <w:pPr>
              <w:tabs>
                <w:tab w:val="right" w:pos="1202"/>
              </w:tabs>
              <w:suppressAutoHyphens/>
              <w:autoSpaceDN w:val="0"/>
              <w:jc w:val="right"/>
              <w:outlineLvl w:val="0"/>
              <w:rPr>
                <w:rFonts w:ascii="Arial" w:hAnsi="Arial" w:cs="Arial"/>
                <w:sz w:val="18"/>
                <w:szCs w:val="18"/>
              </w:rPr>
            </w:pPr>
            <w:r w:rsidRPr="00E70BE4">
              <w:rPr>
                <w:rFonts w:ascii="Arial" w:hAnsi="Arial" w:cs="Arial"/>
                <w:sz w:val="18"/>
                <w:szCs w:val="18"/>
              </w:rPr>
              <w:t xml:space="preserve"> 5.887 </w:t>
            </w:r>
          </w:p>
        </w:tc>
        <w:tc>
          <w:tcPr>
            <w:tcW w:w="495" w:type="pct"/>
            <w:tcBorders>
              <w:top w:val="nil"/>
              <w:left w:val="nil"/>
              <w:bottom w:val="nil"/>
              <w:right w:val="nil"/>
            </w:tcBorders>
            <w:shd w:val="clear" w:color="auto" w:fill="auto"/>
            <w:vAlign w:val="bottom"/>
          </w:tcPr>
          <w:p w14:paraId="44A09871" w14:textId="228E7BAB" w:rsidR="000E6BEB" w:rsidRPr="008518F6" w:rsidRDefault="000E6BEB" w:rsidP="000E6BEB">
            <w:pPr>
              <w:tabs>
                <w:tab w:val="right" w:pos="1202"/>
              </w:tabs>
              <w:suppressAutoHyphens/>
              <w:autoSpaceDN w:val="0"/>
              <w:jc w:val="right"/>
              <w:outlineLvl w:val="0"/>
              <w:rPr>
                <w:rFonts w:ascii="Arial" w:hAnsi="Arial" w:cs="Arial"/>
                <w:sz w:val="18"/>
                <w:szCs w:val="18"/>
              </w:rPr>
            </w:pPr>
            <w:r w:rsidRPr="008518F6">
              <w:rPr>
                <w:rFonts w:ascii="Arial" w:hAnsi="Arial" w:cs="Arial"/>
                <w:sz w:val="18"/>
                <w:szCs w:val="18"/>
              </w:rPr>
              <w:t>1.785</w:t>
            </w:r>
          </w:p>
        </w:tc>
        <w:tc>
          <w:tcPr>
            <w:tcW w:w="495" w:type="pct"/>
            <w:tcBorders>
              <w:top w:val="nil"/>
              <w:left w:val="nil"/>
              <w:bottom w:val="nil"/>
              <w:right w:val="nil"/>
            </w:tcBorders>
            <w:shd w:val="clear" w:color="auto" w:fill="auto"/>
            <w:vAlign w:val="bottom"/>
          </w:tcPr>
          <w:p w14:paraId="6004EE88" w14:textId="4F2B260A" w:rsidR="000E6BEB" w:rsidRPr="008518F6" w:rsidRDefault="000E6BEB" w:rsidP="000E6BEB">
            <w:pPr>
              <w:tabs>
                <w:tab w:val="right" w:pos="1202"/>
              </w:tabs>
              <w:suppressAutoHyphens/>
              <w:autoSpaceDN w:val="0"/>
              <w:jc w:val="right"/>
              <w:outlineLvl w:val="0"/>
              <w:rPr>
                <w:rFonts w:ascii="Arial" w:hAnsi="Arial" w:cs="Arial"/>
                <w:sz w:val="18"/>
                <w:szCs w:val="18"/>
              </w:rPr>
            </w:pPr>
            <w:r w:rsidRPr="008518F6">
              <w:rPr>
                <w:rFonts w:ascii="Arial" w:hAnsi="Arial" w:cs="Arial"/>
                <w:sz w:val="18"/>
                <w:szCs w:val="18"/>
              </w:rPr>
              <w:t>5.522</w:t>
            </w:r>
          </w:p>
        </w:tc>
        <w:tc>
          <w:tcPr>
            <w:tcW w:w="495" w:type="pct"/>
            <w:tcBorders>
              <w:top w:val="nil"/>
              <w:left w:val="nil"/>
              <w:bottom w:val="nil"/>
              <w:right w:val="nil"/>
            </w:tcBorders>
            <w:shd w:val="clear" w:color="auto" w:fill="auto"/>
            <w:vAlign w:val="bottom"/>
          </w:tcPr>
          <w:p w14:paraId="383FBC30" w14:textId="36D96DBC" w:rsidR="000E6BEB" w:rsidRPr="007478FB" w:rsidRDefault="000E6BEB" w:rsidP="000E6BEB">
            <w:pPr>
              <w:tabs>
                <w:tab w:val="right" w:pos="1202"/>
              </w:tabs>
              <w:suppressAutoHyphens/>
              <w:autoSpaceDN w:val="0"/>
              <w:jc w:val="right"/>
              <w:outlineLvl w:val="0"/>
              <w:rPr>
                <w:rFonts w:ascii="Arial" w:hAnsi="Arial" w:cs="Arial"/>
                <w:sz w:val="18"/>
                <w:szCs w:val="18"/>
              </w:rPr>
            </w:pPr>
            <w:r w:rsidRPr="00FF3B1A">
              <w:rPr>
                <w:rFonts w:ascii="Arial" w:hAnsi="Arial" w:cs="Arial"/>
                <w:sz w:val="18"/>
                <w:szCs w:val="18"/>
              </w:rPr>
              <w:t xml:space="preserve"> 2.053 </w:t>
            </w:r>
          </w:p>
        </w:tc>
        <w:tc>
          <w:tcPr>
            <w:tcW w:w="490" w:type="pct"/>
            <w:tcBorders>
              <w:top w:val="nil"/>
              <w:left w:val="nil"/>
              <w:bottom w:val="nil"/>
              <w:right w:val="nil"/>
            </w:tcBorders>
            <w:shd w:val="clear" w:color="auto" w:fill="auto"/>
            <w:vAlign w:val="bottom"/>
          </w:tcPr>
          <w:p w14:paraId="00233CAE" w14:textId="75A5DA92" w:rsidR="000E6BEB" w:rsidRPr="007478FB" w:rsidRDefault="000E6BEB" w:rsidP="000E6BEB">
            <w:pPr>
              <w:tabs>
                <w:tab w:val="right" w:pos="1202"/>
              </w:tabs>
              <w:suppressAutoHyphens/>
              <w:autoSpaceDN w:val="0"/>
              <w:jc w:val="right"/>
              <w:outlineLvl w:val="0"/>
              <w:rPr>
                <w:rFonts w:ascii="Arial" w:hAnsi="Arial" w:cs="Arial"/>
                <w:sz w:val="18"/>
                <w:szCs w:val="18"/>
              </w:rPr>
            </w:pPr>
            <w:r w:rsidRPr="00FF3B1A">
              <w:rPr>
                <w:rFonts w:ascii="Arial" w:hAnsi="Arial" w:cs="Arial"/>
                <w:sz w:val="18"/>
                <w:szCs w:val="18"/>
              </w:rPr>
              <w:t xml:space="preserve"> 5.887 </w:t>
            </w:r>
          </w:p>
        </w:tc>
      </w:tr>
      <w:tr w:rsidR="000E6BEB" w:rsidRPr="00291152" w14:paraId="292CDA3F" w14:textId="77777777" w:rsidTr="000E6BEB">
        <w:trPr>
          <w:trHeight w:val="283"/>
        </w:trPr>
        <w:tc>
          <w:tcPr>
            <w:tcW w:w="1045" w:type="pct"/>
            <w:vAlign w:val="bottom"/>
          </w:tcPr>
          <w:p w14:paraId="1E57A770" w14:textId="77777777" w:rsidR="000E6BEB" w:rsidRPr="007478FB" w:rsidRDefault="000E6BEB" w:rsidP="000E6BEB">
            <w:pPr>
              <w:tabs>
                <w:tab w:val="right" w:pos="1202"/>
              </w:tabs>
              <w:suppressAutoHyphens/>
              <w:autoSpaceDN w:val="0"/>
              <w:outlineLvl w:val="0"/>
              <w:rPr>
                <w:rFonts w:ascii="Arial" w:eastAsia="Times New Roman" w:hAnsi="Arial" w:cs="Arial"/>
                <w:color w:val="000000" w:themeColor="text1"/>
                <w:sz w:val="18"/>
                <w:szCs w:val="18"/>
              </w:rPr>
            </w:pPr>
            <w:bookmarkStart w:id="262" w:name="_Toc67327411"/>
            <w:r w:rsidRPr="007478FB">
              <w:rPr>
                <w:rFonts w:ascii="Arial" w:eastAsia="Times New Roman" w:hAnsi="Arial" w:cs="Arial"/>
                <w:color w:val="000000" w:themeColor="text1"/>
                <w:sz w:val="18"/>
                <w:szCs w:val="18"/>
              </w:rPr>
              <w:t>Strane pravne osobe</w:t>
            </w:r>
            <w:bookmarkEnd w:id="262"/>
          </w:p>
        </w:tc>
        <w:tc>
          <w:tcPr>
            <w:tcW w:w="495" w:type="pct"/>
            <w:tcBorders>
              <w:top w:val="nil"/>
              <w:left w:val="nil"/>
              <w:bottom w:val="nil"/>
              <w:right w:val="nil"/>
            </w:tcBorders>
            <w:shd w:val="clear" w:color="auto" w:fill="auto"/>
            <w:vAlign w:val="bottom"/>
          </w:tcPr>
          <w:p w14:paraId="57C2C976" w14:textId="7D03DFFC" w:rsidR="000E6BEB" w:rsidRPr="000E6BEB" w:rsidRDefault="000E6BEB" w:rsidP="000E6BEB">
            <w:pPr>
              <w:tabs>
                <w:tab w:val="right" w:pos="1202"/>
              </w:tabs>
              <w:suppressAutoHyphens/>
              <w:autoSpaceDN w:val="0"/>
              <w:jc w:val="right"/>
              <w:outlineLvl w:val="0"/>
              <w:rPr>
                <w:rFonts w:ascii="Arial" w:hAnsi="Arial" w:cs="Arial"/>
                <w:sz w:val="18"/>
                <w:szCs w:val="18"/>
              </w:rPr>
            </w:pPr>
            <w:r w:rsidRPr="000E6BEB">
              <w:rPr>
                <w:rFonts w:ascii="Arial" w:hAnsi="Arial" w:cs="Arial"/>
                <w:sz w:val="18"/>
                <w:szCs w:val="18"/>
              </w:rPr>
              <w:t xml:space="preserve"> 103 </w:t>
            </w:r>
          </w:p>
        </w:tc>
        <w:tc>
          <w:tcPr>
            <w:tcW w:w="495" w:type="pct"/>
            <w:tcBorders>
              <w:top w:val="nil"/>
              <w:left w:val="nil"/>
              <w:bottom w:val="nil"/>
              <w:right w:val="nil"/>
            </w:tcBorders>
            <w:shd w:val="clear" w:color="auto" w:fill="auto"/>
            <w:vAlign w:val="bottom"/>
          </w:tcPr>
          <w:p w14:paraId="66B78636" w14:textId="18B4D31D" w:rsidR="000E6BEB" w:rsidRPr="000E6BEB" w:rsidRDefault="000E6BEB" w:rsidP="000E6BEB">
            <w:pPr>
              <w:tabs>
                <w:tab w:val="right" w:pos="1202"/>
              </w:tabs>
              <w:suppressAutoHyphens/>
              <w:autoSpaceDN w:val="0"/>
              <w:jc w:val="right"/>
              <w:outlineLvl w:val="0"/>
              <w:rPr>
                <w:rFonts w:ascii="Arial" w:hAnsi="Arial" w:cs="Arial"/>
                <w:sz w:val="18"/>
                <w:szCs w:val="18"/>
              </w:rPr>
            </w:pPr>
            <w:r w:rsidRPr="000E6BEB">
              <w:rPr>
                <w:rFonts w:ascii="Arial" w:hAnsi="Arial" w:cs="Arial"/>
                <w:sz w:val="18"/>
                <w:szCs w:val="18"/>
              </w:rPr>
              <w:t xml:space="preserve"> 234 </w:t>
            </w:r>
          </w:p>
        </w:tc>
        <w:tc>
          <w:tcPr>
            <w:tcW w:w="495" w:type="pct"/>
            <w:tcBorders>
              <w:top w:val="nil"/>
              <w:left w:val="nil"/>
              <w:bottom w:val="nil"/>
              <w:right w:val="nil"/>
            </w:tcBorders>
            <w:shd w:val="clear" w:color="auto" w:fill="auto"/>
            <w:vAlign w:val="bottom"/>
          </w:tcPr>
          <w:p w14:paraId="7E2043E0" w14:textId="212E3B59" w:rsidR="000E6BEB" w:rsidRPr="007478FB" w:rsidRDefault="000E6BEB" w:rsidP="000E6BEB">
            <w:pPr>
              <w:tabs>
                <w:tab w:val="right" w:pos="1202"/>
              </w:tabs>
              <w:suppressAutoHyphens/>
              <w:autoSpaceDN w:val="0"/>
              <w:jc w:val="right"/>
              <w:outlineLvl w:val="0"/>
              <w:rPr>
                <w:rFonts w:ascii="Arial" w:hAnsi="Arial" w:cs="Arial"/>
                <w:sz w:val="18"/>
                <w:szCs w:val="18"/>
              </w:rPr>
            </w:pPr>
            <w:r w:rsidRPr="00E70BE4">
              <w:rPr>
                <w:rFonts w:ascii="Arial" w:hAnsi="Arial" w:cs="Arial"/>
                <w:sz w:val="18"/>
                <w:szCs w:val="18"/>
              </w:rPr>
              <w:t xml:space="preserve"> - </w:t>
            </w:r>
          </w:p>
        </w:tc>
        <w:tc>
          <w:tcPr>
            <w:tcW w:w="495" w:type="pct"/>
            <w:tcBorders>
              <w:top w:val="nil"/>
              <w:left w:val="nil"/>
              <w:bottom w:val="nil"/>
              <w:right w:val="nil"/>
            </w:tcBorders>
            <w:shd w:val="clear" w:color="auto" w:fill="auto"/>
            <w:vAlign w:val="bottom"/>
          </w:tcPr>
          <w:p w14:paraId="36D8E6DB" w14:textId="08254898" w:rsidR="000E6BEB" w:rsidRPr="007478FB" w:rsidRDefault="000E6BEB" w:rsidP="000E6BEB">
            <w:pPr>
              <w:tabs>
                <w:tab w:val="right" w:pos="1202"/>
              </w:tabs>
              <w:suppressAutoHyphens/>
              <w:autoSpaceDN w:val="0"/>
              <w:jc w:val="right"/>
              <w:outlineLvl w:val="0"/>
              <w:rPr>
                <w:rFonts w:ascii="Arial" w:hAnsi="Arial" w:cs="Arial"/>
                <w:sz w:val="18"/>
                <w:szCs w:val="18"/>
              </w:rPr>
            </w:pPr>
            <w:r w:rsidRPr="00E70BE4">
              <w:rPr>
                <w:rFonts w:ascii="Arial" w:hAnsi="Arial" w:cs="Arial"/>
                <w:sz w:val="18"/>
                <w:szCs w:val="18"/>
              </w:rPr>
              <w:t xml:space="preserve"> 89 </w:t>
            </w:r>
          </w:p>
        </w:tc>
        <w:tc>
          <w:tcPr>
            <w:tcW w:w="495" w:type="pct"/>
            <w:tcBorders>
              <w:top w:val="nil"/>
              <w:left w:val="nil"/>
              <w:bottom w:val="nil"/>
              <w:right w:val="nil"/>
            </w:tcBorders>
            <w:shd w:val="clear" w:color="auto" w:fill="auto"/>
            <w:vAlign w:val="bottom"/>
          </w:tcPr>
          <w:p w14:paraId="23BF3E65" w14:textId="455F1C15" w:rsidR="000E6BEB" w:rsidRPr="008518F6" w:rsidRDefault="000E6BEB" w:rsidP="000E6BEB">
            <w:pPr>
              <w:tabs>
                <w:tab w:val="right" w:pos="1202"/>
              </w:tabs>
              <w:suppressAutoHyphens/>
              <w:autoSpaceDN w:val="0"/>
              <w:jc w:val="right"/>
              <w:outlineLvl w:val="0"/>
              <w:rPr>
                <w:rFonts w:ascii="Arial" w:hAnsi="Arial" w:cs="Arial"/>
                <w:sz w:val="18"/>
                <w:szCs w:val="18"/>
              </w:rPr>
            </w:pPr>
            <w:r w:rsidRPr="008518F6">
              <w:rPr>
                <w:rFonts w:ascii="Arial" w:hAnsi="Arial" w:cs="Arial"/>
                <w:sz w:val="18"/>
                <w:szCs w:val="18"/>
              </w:rPr>
              <w:t>103</w:t>
            </w:r>
          </w:p>
        </w:tc>
        <w:tc>
          <w:tcPr>
            <w:tcW w:w="495" w:type="pct"/>
            <w:tcBorders>
              <w:top w:val="nil"/>
              <w:left w:val="nil"/>
              <w:bottom w:val="nil"/>
              <w:right w:val="nil"/>
            </w:tcBorders>
            <w:shd w:val="clear" w:color="auto" w:fill="auto"/>
            <w:vAlign w:val="bottom"/>
          </w:tcPr>
          <w:p w14:paraId="7AC95FD6" w14:textId="6CC53249" w:rsidR="000E6BEB" w:rsidRPr="008518F6" w:rsidRDefault="000E6BEB" w:rsidP="000E6BEB">
            <w:pPr>
              <w:tabs>
                <w:tab w:val="right" w:pos="1202"/>
              </w:tabs>
              <w:suppressAutoHyphens/>
              <w:autoSpaceDN w:val="0"/>
              <w:jc w:val="right"/>
              <w:outlineLvl w:val="0"/>
              <w:rPr>
                <w:rFonts w:ascii="Arial" w:hAnsi="Arial" w:cs="Arial"/>
                <w:sz w:val="18"/>
                <w:szCs w:val="18"/>
              </w:rPr>
            </w:pPr>
            <w:r w:rsidRPr="008518F6">
              <w:rPr>
                <w:rFonts w:ascii="Arial" w:hAnsi="Arial" w:cs="Arial"/>
                <w:sz w:val="18"/>
                <w:szCs w:val="18"/>
              </w:rPr>
              <w:t>234</w:t>
            </w:r>
          </w:p>
        </w:tc>
        <w:tc>
          <w:tcPr>
            <w:tcW w:w="495" w:type="pct"/>
            <w:tcBorders>
              <w:top w:val="nil"/>
              <w:left w:val="nil"/>
              <w:bottom w:val="nil"/>
              <w:right w:val="nil"/>
            </w:tcBorders>
            <w:shd w:val="clear" w:color="auto" w:fill="auto"/>
            <w:vAlign w:val="bottom"/>
          </w:tcPr>
          <w:p w14:paraId="1A6E88F5" w14:textId="18A8C200" w:rsidR="000E6BEB" w:rsidRPr="007478FB" w:rsidRDefault="000E6BEB" w:rsidP="000E6BEB">
            <w:pPr>
              <w:tabs>
                <w:tab w:val="right" w:pos="1202"/>
              </w:tabs>
              <w:suppressAutoHyphens/>
              <w:autoSpaceDN w:val="0"/>
              <w:jc w:val="right"/>
              <w:outlineLvl w:val="0"/>
              <w:rPr>
                <w:rFonts w:ascii="Arial" w:hAnsi="Arial" w:cs="Arial"/>
                <w:sz w:val="18"/>
                <w:szCs w:val="18"/>
              </w:rPr>
            </w:pPr>
            <w:r w:rsidRPr="00FF3B1A">
              <w:rPr>
                <w:rFonts w:ascii="Arial" w:hAnsi="Arial" w:cs="Arial"/>
                <w:sz w:val="18"/>
                <w:szCs w:val="18"/>
              </w:rPr>
              <w:t xml:space="preserve"> - </w:t>
            </w:r>
          </w:p>
        </w:tc>
        <w:tc>
          <w:tcPr>
            <w:tcW w:w="490" w:type="pct"/>
            <w:tcBorders>
              <w:top w:val="nil"/>
              <w:left w:val="nil"/>
              <w:bottom w:val="nil"/>
              <w:right w:val="nil"/>
            </w:tcBorders>
            <w:shd w:val="clear" w:color="auto" w:fill="auto"/>
            <w:vAlign w:val="bottom"/>
          </w:tcPr>
          <w:p w14:paraId="1D88EE5B" w14:textId="01F47F69" w:rsidR="000E6BEB" w:rsidRPr="007478FB" w:rsidRDefault="000E6BEB" w:rsidP="000E6BEB">
            <w:pPr>
              <w:tabs>
                <w:tab w:val="right" w:pos="1202"/>
              </w:tabs>
              <w:suppressAutoHyphens/>
              <w:autoSpaceDN w:val="0"/>
              <w:jc w:val="right"/>
              <w:outlineLvl w:val="0"/>
              <w:rPr>
                <w:rFonts w:ascii="Arial" w:hAnsi="Arial" w:cs="Arial"/>
                <w:sz w:val="18"/>
                <w:szCs w:val="18"/>
              </w:rPr>
            </w:pPr>
            <w:r w:rsidRPr="00FF3B1A">
              <w:rPr>
                <w:rFonts w:ascii="Arial" w:hAnsi="Arial" w:cs="Arial"/>
                <w:sz w:val="18"/>
                <w:szCs w:val="18"/>
              </w:rPr>
              <w:t xml:space="preserve"> 89 </w:t>
            </w:r>
          </w:p>
        </w:tc>
      </w:tr>
      <w:tr w:rsidR="000E6BEB" w:rsidRPr="00291152" w14:paraId="0264BC48" w14:textId="77777777" w:rsidTr="000E6BEB">
        <w:trPr>
          <w:trHeight w:val="283"/>
        </w:trPr>
        <w:tc>
          <w:tcPr>
            <w:tcW w:w="1045" w:type="pct"/>
            <w:vAlign w:val="bottom"/>
          </w:tcPr>
          <w:p w14:paraId="38BD7DC7" w14:textId="77777777" w:rsidR="000E6BEB" w:rsidRPr="007478FB" w:rsidRDefault="000E6BEB" w:rsidP="000E6BEB">
            <w:pPr>
              <w:tabs>
                <w:tab w:val="right" w:pos="1202"/>
              </w:tabs>
              <w:suppressAutoHyphens/>
              <w:autoSpaceDN w:val="0"/>
              <w:outlineLvl w:val="0"/>
              <w:rPr>
                <w:rFonts w:ascii="Arial" w:eastAsia="Times New Roman" w:hAnsi="Arial" w:cs="Arial"/>
                <w:color w:val="000000" w:themeColor="text1"/>
                <w:sz w:val="18"/>
                <w:szCs w:val="18"/>
              </w:rPr>
            </w:pPr>
            <w:bookmarkStart w:id="263" w:name="_Toc67327416"/>
            <w:r w:rsidRPr="007478FB">
              <w:rPr>
                <w:rFonts w:ascii="Arial" w:eastAsia="Times New Roman" w:hAnsi="Arial" w:cs="Arial"/>
                <w:color w:val="000000" w:themeColor="text1"/>
                <w:sz w:val="18"/>
                <w:szCs w:val="18"/>
              </w:rPr>
              <w:t>Domaća trgovačka društva</w:t>
            </w:r>
            <w:bookmarkEnd w:id="263"/>
          </w:p>
        </w:tc>
        <w:tc>
          <w:tcPr>
            <w:tcW w:w="495" w:type="pct"/>
            <w:tcBorders>
              <w:top w:val="nil"/>
              <w:left w:val="nil"/>
              <w:bottom w:val="nil"/>
              <w:right w:val="nil"/>
            </w:tcBorders>
            <w:shd w:val="clear" w:color="auto" w:fill="auto"/>
            <w:vAlign w:val="bottom"/>
          </w:tcPr>
          <w:p w14:paraId="2F1B13EC" w14:textId="6C13D015" w:rsidR="000E6BEB" w:rsidRPr="000E6BEB" w:rsidRDefault="000E6BEB" w:rsidP="000E6BEB">
            <w:pPr>
              <w:tabs>
                <w:tab w:val="right" w:pos="1202"/>
              </w:tabs>
              <w:suppressAutoHyphens/>
              <w:autoSpaceDN w:val="0"/>
              <w:jc w:val="right"/>
              <w:outlineLvl w:val="0"/>
              <w:rPr>
                <w:rFonts w:ascii="Arial" w:hAnsi="Arial" w:cs="Arial"/>
                <w:sz w:val="18"/>
                <w:szCs w:val="18"/>
              </w:rPr>
            </w:pPr>
            <w:r w:rsidRPr="000E6BEB">
              <w:rPr>
                <w:rFonts w:ascii="Arial" w:hAnsi="Arial" w:cs="Arial"/>
                <w:sz w:val="18"/>
                <w:szCs w:val="18"/>
              </w:rPr>
              <w:t xml:space="preserve"> 16.888 </w:t>
            </w:r>
          </w:p>
        </w:tc>
        <w:tc>
          <w:tcPr>
            <w:tcW w:w="495" w:type="pct"/>
            <w:tcBorders>
              <w:top w:val="nil"/>
              <w:left w:val="nil"/>
              <w:bottom w:val="nil"/>
              <w:right w:val="nil"/>
            </w:tcBorders>
            <w:shd w:val="clear" w:color="auto" w:fill="auto"/>
            <w:vAlign w:val="bottom"/>
          </w:tcPr>
          <w:p w14:paraId="3CD813DC" w14:textId="4F229995" w:rsidR="000E6BEB" w:rsidRPr="000E6BEB" w:rsidRDefault="000E6BEB" w:rsidP="000E6BEB">
            <w:pPr>
              <w:tabs>
                <w:tab w:val="right" w:pos="1202"/>
              </w:tabs>
              <w:suppressAutoHyphens/>
              <w:autoSpaceDN w:val="0"/>
              <w:jc w:val="right"/>
              <w:outlineLvl w:val="0"/>
              <w:rPr>
                <w:rFonts w:ascii="Arial" w:hAnsi="Arial" w:cs="Arial"/>
                <w:sz w:val="18"/>
                <w:szCs w:val="18"/>
              </w:rPr>
            </w:pPr>
            <w:r w:rsidRPr="000E6BEB">
              <w:rPr>
                <w:rFonts w:ascii="Arial" w:hAnsi="Arial" w:cs="Arial"/>
                <w:sz w:val="18"/>
                <w:szCs w:val="18"/>
              </w:rPr>
              <w:t xml:space="preserve"> 42.313 </w:t>
            </w:r>
          </w:p>
        </w:tc>
        <w:tc>
          <w:tcPr>
            <w:tcW w:w="495" w:type="pct"/>
            <w:tcBorders>
              <w:top w:val="nil"/>
              <w:left w:val="nil"/>
              <w:bottom w:val="nil"/>
              <w:right w:val="nil"/>
            </w:tcBorders>
            <w:shd w:val="clear" w:color="auto" w:fill="auto"/>
            <w:vAlign w:val="bottom"/>
          </w:tcPr>
          <w:p w14:paraId="0BF0E998" w14:textId="5FAE0BA9" w:rsidR="000E6BEB" w:rsidRPr="007478FB" w:rsidRDefault="000E6BEB" w:rsidP="000E6BEB">
            <w:pPr>
              <w:tabs>
                <w:tab w:val="right" w:pos="1202"/>
              </w:tabs>
              <w:suppressAutoHyphens/>
              <w:autoSpaceDN w:val="0"/>
              <w:jc w:val="right"/>
              <w:outlineLvl w:val="0"/>
              <w:rPr>
                <w:rFonts w:ascii="Arial" w:hAnsi="Arial" w:cs="Arial"/>
                <w:sz w:val="18"/>
                <w:szCs w:val="18"/>
              </w:rPr>
            </w:pPr>
            <w:r w:rsidRPr="00E70BE4">
              <w:rPr>
                <w:rFonts w:ascii="Arial" w:hAnsi="Arial" w:cs="Arial"/>
                <w:sz w:val="18"/>
                <w:szCs w:val="18"/>
              </w:rPr>
              <w:t xml:space="preserve"> 11.012 </w:t>
            </w:r>
          </w:p>
        </w:tc>
        <w:tc>
          <w:tcPr>
            <w:tcW w:w="495" w:type="pct"/>
            <w:tcBorders>
              <w:top w:val="nil"/>
              <w:left w:val="nil"/>
              <w:bottom w:val="nil"/>
              <w:right w:val="nil"/>
            </w:tcBorders>
            <w:shd w:val="clear" w:color="auto" w:fill="auto"/>
            <w:vAlign w:val="bottom"/>
          </w:tcPr>
          <w:p w14:paraId="343E31D4" w14:textId="780E2CF2" w:rsidR="000E6BEB" w:rsidRPr="007478FB" w:rsidRDefault="000E6BEB" w:rsidP="000E6BEB">
            <w:pPr>
              <w:tabs>
                <w:tab w:val="right" w:pos="1202"/>
              </w:tabs>
              <w:suppressAutoHyphens/>
              <w:autoSpaceDN w:val="0"/>
              <w:jc w:val="right"/>
              <w:outlineLvl w:val="0"/>
              <w:rPr>
                <w:rFonts w:ascii="Arial" w:hAnsi="Arial" w:cs="Arial"/>
                <w:sz w:val="18"/>
                <w:szCs w:val="18"/>
              </w:rPr>
            </w:pPr>
            <w:r w:rsidRPr="00E70BE4">
              <w:rPr>
                <w:rFonts w:ascii="Arial" w:hAnsi="Arial" w:cs="Arial"/>
                <w:sz w:val="18"/>
                <w:szCs w:val="18"/>
              </w:rPr>
              <w:t xml:space="preserve"> 31.981 </w:t>
            </w:r>
          </w:p>
        </w:tc>
        <w:tc>
          <w:tcPr>
            <w:tcW w:w="495" w:type="pct"/>
            <w:tcBorders>
              <w:top w:val="nil"/>
              <w:left w:val="nil"/>
              <w:bottom w:val="nil"/>
              <w:right w:val="nil"/>
            </w:tcBorders>
            <w:shd w:val="clear" w:color="auto" w:fill="auto"/>
            <w:vAlign w:val="bottom"/>
          </w:tcPr>
          <w:p w14:paraId="588EFB6E" w14:textId="6427007F" w:rsidR="000E6BEB" w:rsidRPr="008518F6" w:rsidRDefault="000E6BEB" w:rsidP="000E6BEB">
            <w:pPr>
              <w:tabs>
                <w:tab w:val="right" w:pos="1202"/>
              </w:tabs>
              <w:suppressAutoHyphens/>
              <w:autoSpaceDN w:val="0"/>
              <w:jc w:val="right"/>
              <w:outlineLvl w:val="0"/>
              <w:rPr>
                <w:rFonts w:ascii="Arial" w:hAnsi="Arial" w:cs="Arial"/>
                <w:sz w:val="18"/>
                <w:szCs w:val="18"/>
              </w:rPr>
            </w:pPr>
            <w:r w:rsidRPr="008518F6">
              <w:rPr>
                <w:rFonts w:ascii="Arial" w:hAnsi="Arial" w:cs="Arial"/>
                <w:sz w:val="18"/>
                <w:szCs w:val="18"/>
              </w:rPr>
              <w:t>16.889</w:t>
            </w:r>
          </w:p>
        </w:tc>
        <w:tc>
          <w:tcPr>
            <w:tcW w:w="495" w:type="pct"/>
            <w:tcBorders>
              <w:top w:val="nil"/>
              <w:left w:val="nil"/>
              <w:bottom w:val="nil"/>
              <w:right w:val="nil"/>
            </w:tcBorders>
            <w:shd w:val="clear" w:color="auto" w:fill="auto"/>
            <w:vAlign w:val="bottom"/>
          </w:tcPr>
          <w:p w14:paraId="00509763" w14:textId="474AEA38" w:rsidR="000E6BEB" w:rsidRPr="008518F6" w:rsidRDefault="000E6BEB" w:rsidP="000E6BEB">
            <w:pPr>
              <w:tabs>
                <w:tab w:val="right" w:pos="1202"/>
              </w:tabs>
              <w:suppressAutoHyphens/>
              <w:autoSpaceDN w:val="0"/>
              <w:jc w:val="right"/>
              <w:outlineLvl w:val="0"/>
              <w:rPr>
                <w:rFonts w:ascii="Arial" w:hAnsi="Arial" w:cs="Arial"/>
                <w:sz w:val="18"/>
                <w:szCs w:val="18"/>
              </w:rPr>
            </w:pPr>
            <w:r w:rsidRPr="008518F6">
              <w:rPr>
                <w:rFonts w:ascii="Arial" w:hAnsi="Arial" w:cs="Arial"/>
                <w:sz w:val="18"/>
                <w:szCs w:val="18"/>
              </w:rPr>
              <w:t>42.310</w:t>
            </w:r>
          </w:p>
        </w:tc>
        <w:tc>
          <w:tcPr>
            <w:tcW w:w="495" w:type="pct"/>
            <w:tcBorders>
              <w:top w:val="nil"/>
              <w:left w:val="nil"/>
              <w:bottom w:val="nil"/>
              <w:right w:val="nil"/>
            </w:tcBorders>
            <w:shd w:val="clear" w:color="auto" w:fill="auto"/>
            <w:vAlign w:val="bottom"/>
          </w:tcPr>
          <w:p w14:paraId="2ECC5E13" w14:textId="7A685B84" w:rsidR="000E6BEB" w:rsidRPr="007478FB" w:rsidRDefault="000E6BEB" w:rsidP="000E6BEB">
            <w:pPr>
              <w:tabs>
                <w:tab w:val="right" w:pos="1202"/>
              </w:tabs>
              <w:suppressAutoHyphens/>
              <w:autoSpaceDN w:val="0"/>
              <w:jc w:val="right"/>
              <w:outlineLvl w:val="0"/>
              <w:rPr>
                <w:rFonts w:ascii="Arial" w:hAnsi="Arial" w:cs="Arial"/>
                <w:sz w:val="18"/>
                <w:szCs w:val="18"/>
              </w:rPr>
            </w:pPr>
            <w:r w:rsidRPr="00FF3B1A">
              <w:rPr>
                <w:rFonts w:ascii="Arial" w:hAnsi="Arial" w:cs="Arial"/>
                <w:sz w:val="18"/>
                <w:szCs w:val="18"/>
              </w:rPr>
              <w:t xml:space="preserve"> 11.012 </w:t>
            </w:r>
          </w:p>
        </w:tc>
        <w:tc>
          <w:tcPr>
            <w:tcW w:w="490" w:type="pct"/>
            <w:tcBorders>
              <w:top w:val="nil"/>
              <w:left w:val="nil"/>
              <w:bottom w:val="nil"/>
              <w:right w:val="nil"/>
            </w:tcBorders>
            <w:shd w:val="clear" w:color="auto" w:fill="auto"/>
            <w:vAlign w:val="bottom"/>
          </w:tcPr>
          <w:p w14:paraId="7141BFB7" w14:textId="600C0860" w:rsidR="000E6BEB" w:rsidRPr="007478FB" w:rsidRDefault="000E6BEB" w:rsidP="000E6BEB">
            <w:pPr>
              <w:tabs>
                <w:tab w:val="right" w:pos="1202"/>
              </w:tabs>
              <w:suppressAutoHyphens/>
              <w:autoSpaceDN w:val="0"/>
              <w:jc w:val="right"/>
              <w:outlineLvl w:val="0"/>
              <w:rPr>
                <w:rFonts w:ascii="Arial" w:hAnsi="Arial" w:cs="Arial"/>
                <w:sz w:val="18"/>
                <w:szCs w:val="18"/>
              </w:rPr>
            </w:pPr>
            <w:r w:rsidRPr="00FF3B1A">
              <w:rPr>
                <w:rFonts w:ascii="Arial" w:hAnsi="Arial" w:cs="Arial"/>
                <w:sz w:val="18"/>
                <w:szCs w:val="18"/>
              </w:rPr>
              <w:t xml:space="preserve"> 31.981 </w:t>
            </w:r>
          </w:p>
        </w:tc>
      </w:tr>
      <w:tr w:rsidR="000E6BEB" w:rsidRPr="00291152" w14:paraId="0A6D00AD" w14:textId="77777777" w:rsidTr="000E6BEB">
        <w:trPr>
          <w:trHeight w:val="283"/>
        </w:trPr>
        <w:tc>
          <w:tcPr>
            <w:tcW w:w="1045" w:type="pct"/>
            <w:vAlign w:val="bottom"/>
          </w:tcPr>
          <w:p w14:paraId="6D97BFBD" w14:textId="77777777" w:rsidR="000E6BEB" w:rsidRPr="007478FB" w:rsidRDefault="000E6BEB" w:rsidP="000E6BEB">
            <w:pPr>
              <w:tabs>
                <w:tab w:val="right" w:pos="1202"/>
              </w:tabs>
              <w:suppressAutoHyphens/>
              <w:autoSpaceDN w:val="0"/>
              <w:outlineLvl w:val="0"/>
              <w:rPr>
                <w:rFonts w:ascii="Arial" w:eastAsia="Times New Roman" w:hAnsi="Arial" w:cs="Arial"/>
                <w:color w:val="000000" w:themeColor="text1"/>
                <w:sz w:val="18"/>
                <w:szCs w:val="18"/>
              </w:rPr>
            </w:pPr>
            <w:bookmarkStart w:id="264" w:name="_Toc67327421"/>
            <w:r w:rsidRPr="007478FB">
              <w:rPr>
                <w:rFonts w:ascii="Arial" w:eastAsia="Times New Roman" w:hAnsi="Arial" w:cs="Arial"/>
                <w:color w:val="000000" w:themeColor="text1"/>
                <w:sz w:val="18"/>
                <w:szCs w:val="18"/>
              </w:rPr>
              <w:t>Domaće financijske institucije</w:t>
            </w:r>
            <w:bookmarkEnd w:id="264"/>
          </w:p>
        </w:tc>
        <w:tc>
          <w:tcPr>
            <w:tcW w:w="495" w:type="pct"/>
            <w:tcBorders>
              <w:top w:val="nil"/>
              <w:left w:val="nil"/>
              <w:bottom w:val="nil"/>
              <w:right w:val="nil"/>
            </w:tcBorders>
            <w:shd w:val="clear" w:color="auto" w:fill="auto"/>
            <w:vAlign w:val="bottom"/>
          </w:tcPr>
          <w:p w14:paraId="3F6EEEED" w14:textId="7D6ACEF4" w:rsidR="000E6BEB" w:rsidRPr="000E6BEB" w:rsidRDefault="000E6BEB" w:rsidP="000E6BEB">
            <w:pPr>
              <w:tabs>
                <w:tab w:val="right" w:pos="1202"/>
              </w:tabs>
              <w:suppressAutoHyphens/>
              <w:autoSpaceDN w:val="0"/>
              <w:jc w:val="right"/>
              <w:outlineLvl w:val="0"/>
              <w:rPr>
                <w:rFonts w:ascii="Arial" w:hAnsi="Arial" w:cs="Arial"/>
                <w:sz w:val="18"/>
                <w:szCs w:val="18"/>
              </w:rPr>
            </w:pPr>
            <w:r w:rsidRPr="000E6BEB">
              <w:rPr>
                <w:rFonts w:ascii="Arial" w:hAnsi="Arial" w:cs="Arial"/>
                <w:sz w:val="18"/>
                <w:szCs w:val="18"/>
              </w:rPr>
              <w:t xml:space="preserve"> 6.029 </w:t>
            </w:r>
          </w:p>
        </w:tc>
        <w:tc>
          <w:tcPr>
            <w:tcW w:w="495" w:type="pct"/>
            <w:tcBorders>
              <w:top w:val="nil"/>
              <w:left w:val="nil"/>
              <w:bottom w:val="nil"/>
              <w:right w:val="nil"/>
            </w:tcBorders>
            <w:shd w:val="clear" w:color="auto" w:fill="auto"/>
            <w:vAlign w:val="bottom"/>
          </w:tcPr>
          <w:p w14:paraId="1DD0DF7A" w14:textId="05926114" w:rsidR="000E6BEB" w:rsidRPr="000E6BEB" w:rsidRDefault="000E6BEB" w:rsidP="000E6BEB">
            <w:pPr>
              <w:tabs>
                <w:tab w:val="right" w:pos="1202"/>
              </w:tabs>
              <w:suppressAutoHyphens/>
              <w:autoSpaceDN w:val="0"/>
              <w:jc w:val="right"/>
              <w:outlineLvl w:val="0"/>
              <w:rPr>
                <w:rFonts w:ascii="Arial" w:hAnsi="Arial" w:cs="Arial"/>
                <w:sz w:val="18"/>
                <w:szCs w:val="18"/>
              </w:rPr>
            </w:pPr>
            <w:r w:rsidRPr="000E6BEB">
              <w:rPr>
                <w:rFonts w:ascii="Arial" w:hAnsi="Arial" w:cs="Arial"/>
                <w:sz w:val="18"/>
                <w:szCs w:val="18"/>
              </w:rPr>
              <w:t xml:space="preserve"> 17.764 </w:t>
            </w:r>
          </w:p>
        </w:tc>
        <w:tc>
          <w:tcPr>
            <w:tcW w:w="495" w:type="pct"/>
            <w:tcBorders>
              <w:top w:val="nil"/>
              <w:left w:val="nil"/>
              <w:bottom w:val="nil"/>
              <w:right w:val="nil"/>
            </w:tcBorders>
            <w:shd w:val="clear" w:color="auto" w:fill="auto"/>
            <w:vAlign w:val="bottom"/>
          </w:tcPr>
          <w:p w14:paraId="165FF32D" w14:textId="5794E8B3" w:rsidR="000E6BEB" w:rsidRPr="007478FB" w:rsidRDefault="000E6BEB" w:rsidP="000E6BEB">
            <w:pPr>
              <w:tabs>
                <w:tab w:val="right" w:pos="1202"/>
              </w:tabs>
              <w:suppressAutoHyphens/>
              <w:autoSpaceDN w:val="0"/>
              <w:jc w:val="right"/>
              <w:outlineLvl w:val="0"/>
              <w:rPr>
                <w:rFonts w:ascii="Arial" w:hAnsi="Arial" w:cs="Arial"/>
                <w:sz w:val="18"/>
                <w:szCs w:val="18"/>
              </w:rPr>
            </w:pPr>
            <w:r w:rsidRPr="00E70BE4">
              <w:rPr>
                <w:rFonts w:ascii="Arial" w:hAnsi="Arial" w:cs="Arial"/>
                <w:sz w:val="18"/>
                <w:szCs w:val="18"/>
              </w:rPr>
              <w:t xml:space="preserve"> 3.707 </w:t>
            </w:r>
          </w:p>
        </w:tc>
        <w:tc>
          <w:tcPr>
            <w:tcW w:w="495" w:type="pct"/>
            <w:tcBorders>
              <w:top w:val="nil"/>
              <w:left w:val="nil"/>
              <w:bottom w:val="nil"/>
              <w:right w:val="nil"/>
            </w:tcBorders>
            <w:shd w:val="clear" w:color="auto" w:fill="auto"/>
            <w:vAlign w:val="bottom"/>
          </w:tcPr>
          <w:p w14:paraId="7A00BB25" w14:textId="282F105D" w:rsidR="000E6BEB" w:rsidRPr="007478FB" w:rsidRDefault="000E6BEB" w:rsidP="000E6BEB">
            <w:pPr>
              <w:tabs>
                <w:tab w:val="right" w:pos="1202"/>
              </w:tabs>
              <w:suppressAutoHyphens/>
              <w:autoSpaceDN w:val="0"/>
              <w:jc w:val="right"/>
              <w:outlineLvl w:val="0"/>
              <w:rPr>
                <w:rFonts w:ascii="Arial" w:hAnsi="Arial" w:cs="Arial"/>
                <w:sz w:val="18"/>
                <w:szCs w:val="18"/>
              </w:rPr>
            </w:pPr>
            <w:r w:rsidRPr="00E70BE4">
              <w:rPr>
                <w:rFonts w:ascii="Arial" w:hAnsi="Arial" w:cs="Arial"/>
                <w:sz w:val="18"/>
                <w:szCs w:val="18"/>
              </w:rPr>
              <w:t xml:space="preserve"> 9.726 </w:t>
            </w:r>
          </w:p>
        </w:tc>
        <w:tc>
          <w:tcPr>
            <w:tcW w:w="495" w:type="pct"/>
            <w:tcBorders>
              <w:top w:val="nil"/>
              <w:left w:val="nil"/>
              <w:bottom w:val="nil"/>
              <w:right w:val="nil"/>
            </w:tcBorders>
            <w:shd w:val="clear" w:color="auto" w:fill="auto"/>
            <w:vAlign w:val="bottom"/>
          </w:tcPr>
          <w:p w14:paraId="71A3AE98" w14:textId="0B79F219" w:rsidR="000E6BEB" w:rsidRPr="008518F6" w:rsidRDefault="000E6BEB" w:rsidP="000E6BEB">
            <w:pPr>
              <w:tabs>
                <w:tab w:val="right" w:pos="1202"/>
              </w:tabs>
              <w:suppressAutoHyphens/>
              <w:autoSpaceDN w:val="0"/>
              <w:jc w:val="right"/>
              <w:outlineLvl w:val="0"/>
              <w:rPr>
                <w:rFonts w:ascii="Arial" w:hAnsi="Arial" w:cs="Arial"/>
                <w:sz w:val="18"/>
                <w:szCs w:val="18"/>
              </w:rPr>
            </w:pPr>
            <w:r w:rsidRPr="008518F6">
              <w:rPr>
                <w:rFonts w:ascii="Arial" w:hAnsi="Arial" w:cs="Arial"/>
                <w:sz w:val="18"/>
                <w:szCs w:val="18"/>
              </w:rPr>
              <w:t>6.003</w:t>
            </w:r>
          </w:p>
        </w:tc>
        <w:tc>
          <w:tcPr>
            <w:tcW w:w="495" w:type="pct"/>
            <w:tcBorders>
              <w:top w:val="nil"/>
              <w:left w:val="nil"/>
              <w:bottom w:val="nil"/>
              <w:right w:val="nil"/>
            </w:tcBorders>
            <w:shd w:val="clear" w:color="auto" w:fill="auto"/>
            <w:vAlign w:val="bottom"/>
          </w:tcPr>
          <w:p w14:paraId="2F6DF495" w14:textId="60497163" w:rsidR="000E6BEB" w:rsidRPr="008518F6" w:rsidRDefault="000E6BEB" w:rsidP="000E6BEB">
            <w:pPr>
              <w:tabs>
                <w:tab w:val="right" w:pos="1202"/>
              </w:tabs>
              <w:suppressAutoHyphens/>
              <w:autoSpaceDN w:val="0"/>
              <w:jc w:val="right"/>
              <w:outlineLvl w:val="0"/>
              <w:rPr>
                <w:rFonts w:ascii="Arial" w:hAnsi="Arial" w:cs="Arial"/>
                <w:sz w:val="18"/>
                <w:szCs w:val="18"/>
              </w:rPr>
            </w:pPr>
            <w:r w:rsidRPr="008518F6">
              <w:rPr>
                <w:rFonts w:ascii="Arial" w:hAnsi="Arial" w:cs="Arial"/>
                <w:sz w:val="18"/>
                <w:szCs w:val="18"/>
              </w:rPr>
              <w:t>17.696</w:t>
            </w:r>
          </w:p>
        </w:tc>
        <w:tc>
          <w:tcPr>
            <w:tcW w:w="495" w:type="pct"/>
            <w:tcBorders>
              <w:top w:val="nil"/>
              <w:left w:val="nil"/>
              <w:bottom w:val="nil"/>
              <w:right w:val="nil"/>
            </w:tcBorders>
            <w:shd w:val="clear" w:color="auto" w:fill="auto"/>
            <w:vAlign w:val="bottom"/>
          </w:tcPr>
          <w:p w14:paraId="284CB93E" w14:textId="475FB7D4" w:rsidR="000E6BEB" w:rsidRPr="007478FB" w:rsidRDefault="000E6BEB" w:rsidP="000E6BEB">
            <w:pPr>
              <w:tabs>
                <w:tab w:val="right" w:pos="1202"/>
              </w:tabs>
              <w:suppressAutoHyphens/>
              <w:autoSpaceDN w:val="0"/>
              <w:jc w:val="right"/>
              <w:outlineLvl w:val="0"/>
              <w:rPr>
                <w:rFonts w:ascii="Arial" w:hAnsi="Arial" w:cs="Arial"/>
                <w:sz w:val="18"/>
                <w:szCs w:val="18"/>
              </w:rPr>
            </w:pPr>
            <w:r w:rsidRPr="00FF3B1A">
              <w:rPr>
                <w:rFonts w:ascii="Arial" w:hAnsi="Arial" w:cs="Arial"/>
                <w:sz w:val="18"/>
                <w:szCs w:val="18"/>
              </w:rPr>
              <w:t xml:space="preserve"> 3.686 </w:t>
            </w:r>
          </w:p>
        </w:tc>
        <w:tc>
          <w:tcPr>
            <w:tcW w:w="490" w:type="pct"/>
            <w:tcBorders>
              <w:top w:val="nil"/>
              <w:left w:val="nil"/>
              <w:bottom w:val="nil"/>
              <w:right w:val="nil"/>
            </w:tcBorders>
            <w:shd w:val="clear" w:color="auto" w:fill="auto"/>
            <w:vAlign w:val="bottom"/>
          </w:tcPr>
          <w:p w14:paraId="226B5372" w14:textId="5475369F" w:rsidR="000E6BEB" w:rsidRPr="007478FB" w:rsidRDefault="000E6BEB" w:rsidP="000E6BEB">
            <w:pPr>
              <w:tabs>
                <w:tab w:val="right" w:pos="1202"/>
              </w:tabs>
              <w:suppressAutoHyphens/>
              <w:autoSpaceDN w:val="0"/>
              <w:jc w:val="right"/>
              <w:outlineLvl w:val="0"/>
              <w:rPr>
                <w:rFonts w:ascii="Arial" w:hAnsi="Arial" w:cs="Arial"/>
                <w:sz w:val="18"/>
                <w:szCs w:val="18"/>
              </w:rPr>
            </w:pPr>
            <w:r w:rsidRPr="00FF3B1A">
              <w:rPr>
                <w:rFonts w:ascii="Arial" w:hAnsi="Arial" w:cs="Arial"/>
                <w:sz w:val="18"/>
                <w:szCs w:val="18"/>
              </w:rPr>
              <w:t xml:space="preserve"> 9.683 </w:t>
            </w:r>
          </w:p>
        </w:tc>
      </w:tr>
      <w:tr w:rsidR="000E6BEB" w:rsidRPr="00291152" w14:paraId="36FEB7FB" w14:textId="77777777" w:rsidTr="000E6BEB">
        <w:trPr>
          <w:trHeight w:val="283"/>
        </w:trPr>
        <w:tc>
          <w:tcPr>
            <w:tcW w:w="1045" w:type="pct"/>
            <w:vAlign w:val="bottom"/>
          </w:tcPr>
          <w:p w14:paraId="12BFB289" w14:textId="77777777" w:rsidR="000E6BEB" w:rsidRPr="007478FB" w:rsidRDefault="000E6BEB" w:rsidP="000E6BEB">
            <w:pPr>
              <w:tabs>
                <w:tab w:val="right" w:pos="1202"/>
              </w:tabs>
              <w:suppressAutoHyphens/>
              <w:autoSpaceDN w:val="0"/>
              <w:outlineLvl w:val="0"/>
              <w:rPr>
                <w:rFonts w:ascii="Arial" w:eastAsia="Times New Roman" w:hAnsi="Arial" w:cs="Arial"/>
                <w:color w:val="000000" w:themeColor="text1"/>
                <w:sz w:val="18"/>
                <w:szCs w:val="18"/>
              </w:rPr>
            </w:pPr>
            <w:bookmarkStart w:id="265" w:name="_Toc67327426"/>
            <w:r w:rsidRPr="007478FB">
              <w:rPr>
                <w:rFonts w:ascii="Arial" w:eastAsia="Times New Roman" w:hAnsi="Arial" w:cs="Arial"/>
                <w:color w:val="000000" w:themeColor="text1"/>
                <w:sz w:val="18"/>
                <w:szCs w:val="18"/>
              </w:rPr>
              <w:t>Inozemne financijske institucije</w:t>
            </w:r>
            <w:bookmarkEnd w:id="265"/>
          </w:p>
        </w:tc>
        <w:tc>
          <w:tcPr>
            <w:tcW w:w="495" w:type="pct"/>
            <w:tcBorders>
              <w:top w:val="nil"/>
              <w:left w:val="nil"/>
              <w:bottom w:val="nil"/>
              <w:right w:val="nil"/>
            </w:tcBorders>
            <w:shd w:val="clear" w:color="auto" w:fill="auto"/>
            <w:vAlign w:val="bottom"/>
          </w:tcPr>
          <w:p w14:paraId="11AED77A" w14:textId="5BA2E83F" w:rsidR="000E6BEB" w:rsidRPr="000E6BEB" w:rsidRDefault="000E6BEB" w:rsidP="000E6BEB">
            <w:pPr>
              <w:tabs>
                <w:tab w:val="right" w:pos="1202"/>
              </w:tabs>
              <w:suppressAutoHyphens/>
              <w:autoSpaceDN w:val="0"/>
              <w:jc w:val="right"/>
              <w:outlineLvl w:val="0"/>
              <w:rPr>
                <w:rFonts w:ascii="Arial" w:hAnsi="Arial" w:cs="Arial"/>
                <w:sz w:val="18"/>
                <w:szCs w:val="18"/>
              </w:rPr>
            </w:pPr>
            <w:r w:rsidRPr="000E6BEB">
              <w:rPr>
                <w:rFonts w:ascii="Arial" w:hAnsi="Arial" w:cs="Arial"/>
                <w:sz w:val="18"/>
                <w:szCs w:val="18"/>
              </w:rPr>
              <w:t xml:space="preserve"> 560 </w:t>
            </w:r>
          </w:p>
        </w:tc>
        <w:tc>
          <w:tcPr>
            <w:tcW w:w="495" w:type="pct"/>
            <w:tcBorders>
              <w:top w:val="nil"/>
              <w:left w:val="nil"/>
              <w:bottom w:val="nil"/>
              <w:right w:val="nil"/>
            </w:tcBorders>
            <w:shd w:val="clear" w:color="auto" w:fill="auto"/>
            <w:vAlign w:val="bottom"/>
          </w:tcPr>
          <w:p w14:paraId="7B8D1E96" w14:textId="13B4AAA2" w:rsidR="000E6BEB" w:rsidRPr="000E6BEB" w:rsidRDefault="000E6BEB" w:rsidP="000E6BEB">
            <w:pPr>
              <w:tabs>
                <w:tab w:val="right" w:pos="1202"/>
              </w:tabs>
              <w:suppressAutoHyphens/>
              <w:autoSpaceDN w:val="0"/>
              <w:jc w:val="right"/>
              <w:outlineLvl w:val="0"/>
              <w:rPr>
                <w:rFonts w:ascii="Arial" w:hAnsi="Arial" w:cs="Arial"/>
                <w:sz w:val="18"/>
                <w:szCs w:val="18"/>
              </w:rPr>
            </w:pPr>
            <w:r w:rsidRPr="000E6BEB">
              <w:rPr>
                <w:rFonts w:ascii="Arial" w:hAnsi="Arial" w:cs="Arial"/>
                <w:sz w:val="18"/>
                <w:szCs w:val="18"/>
              </w:rPr>
              <w:t xml:space="preserve"> 1.585 </w:t>
            </w:r>
          </w:p>
        </w:tc>
        <w:tc>
          <w:tcPr>
            <w:tcW w:w="495" w:type="pct"/>
            <w:tcBorders>
              <w:top w:val="nil"/>
              <w:left w:val="nil"/>
              <w:bottom w:val="nil"/>
              <w:right w:val="nil"/>
            </w:tcBorders>
            <w:shd w:val="clear" w:color="auto" w:fill="auto"/>
            <w:vAlign w:val="bottom"/>
          </w:tcPr>
          <w:p w14:paraId="07CD443B" w14:textId="27D8938D" w:rsidR="000E6BEB" w:rsidRPr="007478FB" w:rsidRDefault="000E6BEB" w:rsidP="000E6BEB">
            <w:pPr>
              <w:tabs>
                <w:tab w:val="right" w:pos="1202"/>
              </w:tabs>
              <w:suppressAutoHyphens/>
              <w:autoSpaceDN w:val="0"/>
              <w:jc w:val="right"/>
              <w:outlineLvl w:val="0"/>
              <w:rPr>
                <w:rFonts w:ascii="Arial" w:hAnsi="Arial" w:cs="Arial"/>
                <w:sz w:val="18"/>
                <w:szCs w:val="18"/>
              </w:rPr>
            </w:pPr>
            <w:r w:rsidRPr="00E70BE4">
              <w:rPr>
                <w:rFonts w:ascii="Arial" w:hAnsi="Arial" w:cs="Arial"/>
                <w:sz w:val="18"/>
                <w:szCs w:val="18"/>
              </w:rPr>
              <w:t xml:space="preserve"> 776 </w:t>
            </w:r>
          </w:p>
        </w:tc>
        <w:tc>
          <w:tcPr>
            <w:tcW w:w="495" w:type="pct"/>
            <w:tcBorders>
              <w:top w:val="nil"/>
              <w:left w:val="nil"/>
              <w:bottom w:val="nil"/>
              <w:right w:val="nil"/>
            </w:tcBorders>
            <w:shd w:val="clear" w:color="auto" w:fill="auto"/>
            <w:vAlign w:val="bottom"/>
          </w:tcPr>
          <w:p w14:paraId="68BF45E0" w14:textId="59BACE53" w:rsidR="000E6BEB" w:rsidRPr="007478FB" w:rsidRDefault="000E6BEB" w:rsidP="000E6BEB">
            <w:pPr>
              <w:tabs>
                <w:tab w:val="right" w:pos="1202"/>
              </w:tabs>
              <w:suppressAutoHyphens/>
              <w:autoSpaceDN w:val="0"/>
              <w:jc w:val="right"/>
              <w:outlineLvl w:val="0"/>
              <w:rPr>
                <w:rFonts w:ascii="Arial" w:hAnsi="Arial" w:cs="Arial"/>
                <w:sz w:val="18"/>
                <w:szCs w:val="18"/>
              </w:rPr>
            </w:pPr>
            <w:r w:rsidRPr="00E70BE4">
              <w:rPr>
                <w:rFonts w:ascii="Arial" w:hAnsi="Arial" w:cs="Arial"/>
                <w:sz w:val="18"/>
                <w:szCs w:val="18"/>
              </w:rPr>
              <w:t xml:space="preserve"> 1.671 </w:t>
            </w:r>
          </w:p>
        </w:tc>
        <w:tc>
          <w:tcPr>
            <w:tcW w:w="495" w:type="pct"/>
            <w:tcBorders>
              <w:top w:val="nil"/>
              <w:left w:val="nil"/>
              <w:bottom w:val="nil"/>
              <w:right w:val="nil"/>
            </w:tcBorders>
            <w:shd w:val="clear" w:color="auto" w:fill="auto"/>
            <w:vAlign w:val="bottom"/>
          </w:tcPr>
          <w:p w14:paraId="5F30E265" w14:textId="7C8FC7AA" w:rsidR="000E6BEB" w:rsidRPr="008518F6" w:rsidRDefault="000E6BEB" w:rsidP="000E6BEB">
            <w:pPr>
              <w:tabs>
                <w:tab w:val="right" w:pos="1202"/>
              </w:tabs>
              <w:suppressAutoHyphens/>
              <w:autoSpaceDN w:val="0"/>
              <w:jc w:val="right"/>
              <w:outlineLvl w:val="0"/>
              <w:rPr>
                <w:rFonts w:ascii="Arial" w:hAnsi="Arial" w:cs="Arial"/>
                <w:sz w:val="18"/>
                <w:szCs w:val="18"/>
              </w:rPr>
            </w:pPr>
            <w:r w:rsidRPr="008518F6">
              <w:rPr>
                <w:rFonts w:ascii="Arial" w:hAnsi="Arial" w:cs="Arial"/>
                <w:sz w:val="18"/>
                <w:szCs w:val="18"/>
              </w:rPr>
              <w:t>560</w:t>
            </w:r>
          </w:p>
        </w:tc>
        <w:tc>
          <w:tcPr>
            <w:tcW w:w="495" w:type="pct"/>
            <w:tcBorders>
              <w:top w:val="nil"/>
              <w:left w:val="nil"/>
              <w:bottom w:val="nil"/>
              <w:right w:val="nil"/>
            </w:tcBorders>
            <w:shd w:val="clear" w:color="auto" w:fill="auto"/>
            <w:vAlign w:val="bottom"/>
          </w:tcPr>
          <w:p w14:paraId="716A3878" w14:textId="32EBC9C2" w:rsidR="000E6BEB" w:rsidRPr="008518F6" w:rsidRDefault="000E6BEB" w:rsidP="000E6BEB">
            <w:pPr>
              <w:tabs>
                <w:tab w:val="right" w:pos="1202"/>
              </w:tabs>
              <w:suppressAutoHyphens/>
              <w:autoSpaceDN w:val="0"/>
              <w:jc w:val="right"/>
              <w:outlineLvl w:val="0"/>
              <w:rPr>
                <w:rFonts w:ascii="Arial" w:hAnsi="Arial" w:cs="Arial"/>
                <w:sz w:val="18"/>
                <w:szCs w:val="18"/>
              </w:rPr>
            </w:pPr>
            <w:r w:rsidRPr="008518F6">
              <w:rPr>
                <w:rFonts w:ascii="Arial" w:hAnsi="Arial" w:cs="Arial"/>
                <w:sz w:val="18"/>
                <w:szCs w:val="18"/>
              </w:rPr>
              <w:t>1.585</w:t>
            </w:r>
          </w:p>
        </w:tc>
        <w:tc>
          <w:tcPr>
            <w:tcW w:w="495" w:type="pct"/>
            <w:tcBorders>
              <w:top w:val="nil"/>
              <w:left w:val="nil"/>
              <w:bottom w:val="nil"/>
              <w:right w:val="nil"/>
            </w:tcBorders>
            <w:shd w:val="clear" w:color="auto" w:fill="auto"/>
            <w:vAlign w:val="bottom"/>
          </w:tcPr>
          <w:p w14:paraId="1305567F" w14:textId="0D60353B" w:rsidR="000E6BEB" w:rsidRPr="007478FB" w:rsidRDefault="000E6BEB" w:rsidP="000E6BEB">
            <w:pPr>
              <w:tabs>
                <w:tab w:val="right" w:pos="1202"/>
              </w:tabs>
              <w:suppressAutoHyphens/>
              <w:autoSpaceDN w:val="0"/>
              <w:jc w:val="right"/>
              <w:outlineLvl w:val="0"/>
              <w:rPr>
                <w:rFonts w:ascii="Arial" w:hAnsi="Arial" w:cs="Arial"/>
                <w:sz w:val="18"/>
                <w:szCs w:val="18"/>
              </w:rPr>
            </w:pPr>
            <w:r w:rsidRPr="00FF3B1A">
              <w:rPr>
                <w:rFonts w:ascii="Arial" w:hAnsi="Arial" w:cs="Arial"/>
                <w:sz w:val="18"/>
                <w:szCs w:val="18"/>
              </w:rPr>
              <w:t xml:space="preserve"> 776 </w:t>
            </w:r>
          </w:p>
        </w:tc>
        <w:tc>
          <w:tcPr>
            <w:tcW w:w="490" w:type="pct"/>
            <w:tcBorders>
              <w:top w:val="nil"/>
              <w:left w:val="nil"/>
              <w:bottom w:val="nil"/>
              <w:right w:val="nil"/>
            </w:tcBorders>
            <w:shd w:val="clear" w:color="auto" w:fill="auto"/>
            <w:vAlign w:val="bottom"/>
          </w:tcPr>
          <w:p w14:paraId="4ED40633" w14:textId="38574DBD" w:rsidR="000E6BEB" w:rsidRPr="007478FB" w:rsidRDefault="000E6BEB" w:rsidP="000E6BEB">
            <w:pPr>
              <w:tabs>
                <w:tab w:val="right" w:pos="1202"/>
              </w:tabs>
              <w:suppressAutoHyphens/>
              <w:autoSpaceDN w:val="0"/>
              <w:jc w:val="right"/>
              <w:outlineLvl w:val="0"/>
              <w:rPr>
                <w:rFonts w:ascii="Arial" w:hAnsi="Arial" w:cs="Arial"/>
                <w:sz w:val="18"/>
                <w:szCs w:val="18"/>
              </w:rPr>
            </w:pPr>
            <w:r w:rsidRPr="00FF3B1A">
              <w:rPr>
                <w:rFonts w:ascii="Arial" w:hAnsi="Arial" w:cs="Arial"/>
                <w:sz w:val="18"/>
                <w:szCs w:val="18"/>
              </w:rPr>
              <w:t xml:space="preserve"> 1.671 </w:t>
            </w:r>
          </w:p>
        </w:tc>
      </w:tr>
      <w:tr w:rsidR="000E6BEB" w:rsidRPr="00291152" w14:paraId="7124955D" w14:textId="77777777" w:rsidTr="000E6BEB">
        <w:trPr>
          <w:trHeight w:val="283"/>
        </w:trPr>
        <w:tc>
          <w:tcPr>
            <w:tcW w:w="1045" w:type="pct"/>
            <w:vAlign w:val="bottom"/>
          </w:tcPr>
          <w:p w14:paraId="64E4EFC6" w14:textId="77777777" w:rsidR="000E6BEB" w:rsidRPr="007478FB" w:rsidRDefault="000E6BEB" w:rsidP="000E6BEB">
            <w:pPr>
              <w:tabs>
                <w:tab w:val="right" w:pos="1202"/>
              </w:tabs>
              <w:suppressAutoHyphens/>
              <w:autoSpaceDN w:val="0"/>
              <w:outlineLvl w:val="0"/>
              <w:rPr>
                <w:rFonts w:ascii="Arial" w:eastAsia="Times New Roman" w:hAnsi="Arial" w:cs="Arial"/>
                <w:color w:val="000000" w:themeColor="text1"/>
                <w:sz w:val="18"/>
                <w:szCs w:val="18"/>
              </w:rPr>
            </w:pPr>
            <w:bookmarkStart w:id="266" w:name="_Toc67327431"/>
            <w:r w:rsidRPr="007478FB">
              <w:rPr>
                <w:rFonts w:ascii="Arial" w:eastAsia="Times New Roman" w:hAnsi="Arial" w:cs="Arial"/>
                <w:color w:val="000000" w:themeColor="text1"/>
                <w:sz w:val="18"/>
                <w:szCs w:val="18"/>
              </w:rPr>
              <w:t>Zatezne kamate</w:t>
            </w:r>
            <w:bookmarkEnd w:id="266"/>
          </w:p>
        </w:tc>
        <w:tc>
          <w:tcPr>
            <w:tcW w:w="495" w:type="pct"/>
            <w:tcBorders>
              <w:top w:val="nil"/>
              <w:left w:val="nil"/>
              <w:bottom w:val="nil"/>
              <w:right w:val="nil"/>
            </w:tcBorders>
            <w:shd w:val="clear" w:color="auto" w:fill="auto"/>
            <w:vAlign w:val="bottom"/>
          </w:tcPr>
          <w:p w14:paraId="4C3F13D3" w14:textId="1502B1FD" w:rsidR="000E6BEB" w:rsidRPr="000E6BEB" w:rsidRDefault="000E6BEB" w:rsidP="000E6BEB">
            <w:pPr>
              <w:tabs>
                <w:tab w:val="right" w:pos="1202"/>
              </w:tabs>
              <w:suppressAutoHyphens/>
              <w:autoSpaceDN w:val="0"/>
              <w:jc w:val="right"/>
              <w:outlineLvl w:val="0"/>
              <w:rPr>
                <w:rFonts w:ascii="Arial" w:hAnsi="Arial" w:cs="Arial"/>
                <w:sz w:val="18"/>
                <w:szCs w:val="18"/>
              </w:rPr>
            </w:pPr>
            <w:r w:rsidRPr="000E6BEB">
              <w:rPr>
                <w:rFonts w:ascii="Arial" w:hAnsi="Arial" w:cs="Arial"/>
                <w:sz w:val="18"/>
                <w:szCs w:val="18"/>
              </w:rPr>
              <w:t xml:space="preserve"> 61 </w:t>
            </w:r>
          </w:p>
        </w:tc>
        <w:tc>
          <w:tcPr>
            <w:tcW w:w="495" w:type="pct"/>
            <w:tcBorders>
              <w:top w:val="nil"/>
              <w:left w:val="nil"/>
              <w:bottom w:val="nil"/>
              <w:right w:val="nil"/>
            </w:tcBorders>
            <w:shd w:val="clear" w:color="auto" w:fill="auto"/>
            <w:vAlign w:val="bottom"/>
          </w:tcPr>
          <w:p w14:paraId="2AE8627D" w14:textId="23730609" w:rsidR="000E6BEB" w:rsidRPr="000E6BEB" w:rsidRDefault="000E6BEB" w:rsidP="000E6BEB">
            <w:pPr>
              <w:tabs>
                <w:tab w:val="right" w:pos="1202"/>
              </w:tabs>
              <w:suppressAutoHyphens/>
              <w:autoSpaceDN w:val="0"/>
              <w:jc w:val="right"/>
              <w:outlineLvl w:val="0"/>
              <w:rPr>
                <w:rFonts w:ascii="Arial" w:hAnsi="Arial" w:cs="Arial"/>
                <w:sz w:val="18"/>
                <w:szCs w:val="18"/>
              </w:rPr>
            </w:pPr>
            <w:r w:rsidRPr="000E6BEB">
              <w:rPr>
                <w:rFonts w:ascii="Arial" w:hAnsi="Arial" w:cs="Arial"/>
                <w:sz w:val="18"/>
                <w:szCs w:val="18"/>
              </w:rPr>
              <w:t xml:space="preserve"> 1.743 </w:t>
            </w:r>
          </w:p>
        </w:tc>
        <w:tc>
          <w:tcPr>
            <w:tcW w:w="495" w:type="pct"/>
            <w:tcBorders>
              <w:top w:val="nil"/>
              <w:left w:val="nil"/>
              <w:bottom w:val="nil"/>
              <w:right w:val="nil"/>
            </w:tcBorders>
            <w:shd w:val="clear" w:color="auto" w:fill="auto"/>
            <w:vAlign w:val="bottom"/>
          </w:tcPr>
          <w:p w14:paraId="51DA6EA5" w14:textId="43A6C8B2" w:rsidR="000E6BEB" w:rsidRPr="007478FB" w:rsidRDefault="000E6BEB" w:rsidP="000E6BEB">
            <w:pPr>
              <w:tabs>
                <w:tab w:val="right" w:pos="1202"/>
              </w:tabs>
              <w:suppressAutoHyphens/>
              <w:autoSpaceDN w:val="0"/>
              <w:jc w:val="right"/>
              <w:outlineLvl w:val="0"/>
              <w:rPr>
                <w:rFonts w:ascii="Arial" w:hAnsi="Arial" w:cs="Arial"/>
                <w:sz w:val="18"/>
                <w:szCs w:val="18"/>
              </w:rPr>
            </w:pPr>
            <w:r w:rsidRPr="00E70BE4">
              <w:rPr>
                <w:rFonts w:ascii="Arial" w:hAnsi="Arial" w:cs="Arial"/>
                <w:sz w:val="18"/>
                <w:szCs w:val="18"/>
              </w:rPr>
              <w:t xml:space="preserve"> 124 </w:t>
            </w:r>
          </w:p>
        </w:tc>
        <w:tc>
          <w:tcPr>
            <w:tcW w:w="495" w:type="pct"/>
            <w:tcBorders>
              <w:top w:val="nil"/>
              <w:left w:val="nil"/>
              <w:bottom w:val="nil"/>
              <w:right w:val="nil"/>
            </w:tcBorders>
            <w:shd w:val="clear" w:color="auto" w:fill="auto"/>
            <w:vAlign w:val="bottom"/>
          </w:tcPr>
          <w:p w14:paraId="43D3A102" w14:textId="4E96158D" w:rsidR="000E6BEB" w:rsidRPr="007478FB" w:rsidRDefault="000E6BEB" w:rsidP="000E6BEB">
            <w:pPr>
              <w:tabs>
                <w:tab w:val="right" w:pos="1202"/>
              </w:tabs>
              <w:suppressAutoHyphens/>
              <w:autoSpaceDN w:val="0"/>
              <w:jc w:val="right"/>
              <w:outlineLvl w:val="0"/>
              <w:rPr>
                <w:rFonts w:ascii="Arial" w:hAnsi="Arial" w:cs="Arial"/>
                <w:sz w:val="18"/>
                <w:szCs w:val="18"/>
              </w:rPr>
            </w:pPr>
            <w:r w:rsidRPr="00E70BE4">
              <w:rPr>
                <w:rFonts w:ascii="Arial" w:hAnsi="Arial" w:cs="Arial"/>
                <w:sz w:val="18"/>
                <w:szCs w:val="18"/>
              </w:rPr>
              <w:t xml:space="preserve"> 1.334 </w:t>
            </w:r>
          </w:p>
        </w:tc>
        <w:tc>
          <w:tcPr>
            <w:tcW w:w="495" w:type="pct"/>
            <w:tcBorders>
              <w:top w:val="nil"/>
              <w:left w:val="nil"/>
              <w:bottom w:val="nil"/>
              <w:right w:val="nil"/>
            </w:tcBorders>
            <w:shd w:val="clear" w:color="auto" w:fill="auto"/>
            <w:vAlign w:val="bottom"/>
          </w:tcPr>
          <w:p w14:paraId="3DCF65BB" w14:textId="1AA7DAD7" w:rsidR="000E6BEB" w:rsidRPr="008518F6" w:rsidRDefault="000E6BEB" w:rsidP="000E6BEB">
            <w:pPr>
              <w:tabs>
                <w:tab w:val="right" w:pos="1202"/>
              </w:tabs>
              <w:suppressAutoHyphens/>
              <w:autoSpaceDN w:val="0"/>
              <w:jc w:val="right"/>
              <w:outlineLvl w:val="0"/>
              <w:rPr>
                <w:rFonts w:ascii="Arial" w:hAnsi="Arial" w:cs="Arial"/>
                <w:sz w:val="18"/>
                <w:szCs w:val="18"/>
              </w:rPr>
            </w:pPr>
            <w:r w:rsidRPr="008518F6">
              <w:rPr>
                <w:rFonts w:ascii="Arial" w:hAnsi="Arial" w:cs="Arial"/>
                <w:sz w:val="18"/>
                <w:szCs w:val="18"/>
              </w:rPr>
              <w:t>61</w:t>
            </w:r>
          </w:p>
        </w:tc>
        <w:tc>
          <w:tcPr>
            <w:tcW w:w="495" w:type="pct"/>
            <w:tcBorders>
              <w:top w:val="nil"/>
              <w:left w:val="nil"/>
              <w:bottom w:val="nil"/>
              <w:right w:val="nil"/>
            </w:tcBorders>
            <w:shd w:val="clear" w:color="auto" w:fill="auto"/>
            <w:vAlign w:val="bottom"/>
          </w:tcPr>
          <w:p w14:paraId="587E98DD" w14:textId="348328E5" w:rsidR="000E6BEB" w:rsidRPr="008518F6" w:rsidRDefault="000E6BEB" w:rsidP="000E6BEB">
            <w:pPr>
              <w:tabs>
                <w:tab w:val="right" w:pos="1202"/>
              </w:tabs>
              <w:suppressAutoHyphens/>
              <w:autoSpaceDN w:val="0"/>
              <w:jc w:val="right"/>
              <w:outlineLvl w:val="0"/>
              <w:rPr>
                <w:rFonts w:ascii="Arial" w:hAnsi="Arial" w:cs="Arial"/>
                <w:sz w:val="18"/>
                <w:szCs w:val="18"/>
              </w:rPr>
            </w:pPr>
            <w:r w:rsidRPr="008518F6">
              <w:rPr>
                <w:rFonts w:ascii="Arial" w:hAnsi="Arial" w:cs="Arial"/>
                <w:sz w:val="18"/>
                <w:szCs w:val="18"/>
              </w:rPr>
              <w:t>1.743</w:t>
            </w:r>
          </w:p>
        </w:tc>
        <w:tc>
          <w:tcPr>
            <w:tcW w:w="495" w:type="pct"/>
            <w:tcBorders>
              <w:top w:val="nil"/>
              <w:left w:val="nil"/>
              <w:bottom w:val="nil"/>
              <w:right w:val="nil"/>
            </w:tcBorders>
            <w:shd w:val="clear" w:color="auto" w:fill="auto"/>
            <w:vAlign w:val="bottom"/>
          </w:tcPr>
          <w:p w14:paraId="0BBB3FA3" w14:textId="37552471" w:rsidR="000E6BEB" w:rsidRPr="007478FB" w:rsidRDefault="000E6BEB" w:rsidP="000E6BEB">
            <w:pPr>
              <w:tabs>
                <w:tab w:val="right" w:pos="1202"/>
              </w:tabs>
              <w:suppressAutoHyphens/>
              <w:autoSpaceDN w:val="0"/>
              <w:jc w:val="right"/>
              <w:outlineLvl w:val="0"/>
              <w:rPr>
                <w:rFonts w:ascii="Arial" w:hAnsi="Arial" w:cs="Arial"/>
                <w:sz w:val="18"/>
                <w:szCs w:val="18"/>
              </w:rPr>
            </w:pPr>
            <w:r w:rsidRPr="00FF3B1A">
              <w:rPr>
                <w:rFonts w:ascii="Arial" w:hAnsi="Arial" w:cs="Arial"/>
                <w:sz w:val="18"/>
                <w:szCs w:val="18"/>
              </w:rPr>
              <w:t xml:space="preserve"> 124 </w:t>
            </w:r>
          </w:p>
        </w:tc>
        <w:tc>
          <w:tcPr>
            <w:tcW w:w="490" w:type="pct"/>
            <w:tcBorders>
              <w:top w:val="nil"/>
              <w:left w:val="nil"/>
              <w:bottom w:val="nil"/>
              <w:right w:val="nil"/>
            </w:tcBorders>
            <w:shd w:val="clear" w:color="auto" w:fill="auto"/>
            <w:vAlign w:val="bottom"/>
          </w:tcPr>
          <w:p w14:paraId="29851287" w14:textId="0A1548E4" w:rsidR="000E6BEB" w:rsidRPr="007478FB" w:rsidRDefault="000E6BEB" w:rsidP="000E6BEB">
            <w:pPr>
              <w:tabs>
                <w:tab w:val="right" w:pos="1202"/>
              </w:tabs>
              <w:suppressAutoHyphens/>
              <w:autoSpaceDN w:val="0"/>
              <w:jc w:val="right"/>
              <w:outlineLvl w:val="0"/>
              <w:rPr>
                <w:rFonts w:ascii="Arial" w:hAnsi="Arial" w:cs="Arial"/>
                <w:sz w:val="18"/>
                <w:szCs w:val="18"/>
              </w:rPr>
            </w:pPr>
            <w:r w:rsidRPr="00FF3B1A">
              <w:rPr>
                <w:rFonts w:ascii="Arial" w:hAnsi="Arial" w:cs="Arial"/>
                <w:sz w:val="18"/>
                <w:szCs w:val="18"/>
              </w:rPr>
              <w:t xml:space="preserve"> 1.334 </w:t>
            </w:r>
          </w:p>
        </w:tc>
      </w:tr>
      <w:tr w:rsidR="000E6BEB" w:rsidRPr="00291152" w14:paraId="70CA83D9" w14:textId="77777777" w:rsidTr="000E6BEB">
        <w:trPr>
          <w:trHeight w:val="283"/>
        </w:trPr>
        <w:tc>
          <w:tcPr>
            <w:tcW w:w="1045" w:type="pct"/>
            <w:vAlign w:val="bottom"/>
          </w:tcPr>
          <w:p w14:paraId="23830633" w14:textId="77777777" w:rsidR="000E6BEB" w:rsidRPr="007478FB" w:rsidRDefault="000E6BEB" w:rsidP="000E6BEB">
            <w:pPr>
              <w:tabs>
                <w:tab w:val="right" w:pos="1202"/>
              </w:tabs>
              <w:suppressAutoHyphens/>
              <w:autoSpaceDN w:val="0"/>
              <w:outlineLvl w:val="0"/>
              <w:rPr>
                <w:rFonts w:ascii="Arial" w:eastAsia="Times New Roman" w:hAnsi="Arial" w:cs="Arial"/>
                <w:color w:val="000000" w:themeColor="text1"/>
                <w:sz w:val="18"/>
                <w:szCs w:val="18"/>
              </w:rPr>
            </w:pPr>
            <w:bookmarkStart w:id="267" w:name="_Toc67327436"/>
            <w:r w:rsidRPr="007478FB">
              <w:rPr>
                <w:rFonts w:ascii="Arial" w:eastAsia="Times New Roman" w:hAnsi="Arial" w:cs="Arial"/>
                <w:color w:val="000000" w:themeColor="text1"/>
                <w:sz w:val="18"/>
                <w:szCs w:val="18"/>
              </w:rPr>
              <w:t>Ostalo</w:t>
            </w:r>
            <w:bookmarkEnd w:id="267"/>
          </w:p>
        </w:tc>
        <w:tc>
          <w:tcPr>
            <w:tcW w:w="495" w:type="pct"/>
            <w:tcBorders>
              <w:top w:val="nil"/>
              <w:left w:val="nil"/>
              <w:bottom w:val="single" w:sz="4" w:space="0" w:color="auto"/>
              <w:right w:val="nil"/>
            </w:tcBorders>
            <w:shd w:val="clear" w:color="auto" w:fill="auto"/>
            <w:vAlign w:val="bottom"/>
          </w:tcPr>
          <w:p w14:paraId="04CA186F" w14:textId="0EBB59EB" w:rsidR="000E6BEB" w:rsidRPr="000E6BEB" w:rsidRDefault="000E6BEB" w:rsidP="000E6BEB">
            <w:pPr>
              <w:tabs>
                <w:tab w:val="right" w:pos="1202"/>
              </w:tabs>
              <w:suppressAutoHyphens/>
              <w:autoSpaceDN w:val="0"/>
              <w:jc w:val="right"/>
              <w:outlineLvl w:val="0"/>
              <w:rPr>
                <w:rFonts w:ascii="Arial" w:hAnsi="Arial" w:cs="Arial"/>
                <w:sz w:val="18"/>
                <w:szCs w:val="18"/>
              </w:rPr>
            </w:pPr>
            <w:r w:rsidRPr="000E6BEB">
              <w:rPr>
                <w:rFonts w:ascii="Arial" w:hAnsi="Arial" w:cs="Arial"/>
                <w:sz w:val="18"/>
                <w:szCs w:val="18"/>
              </w:rPr>
              <w:t xml:space="preserve"> 419 </w:t>
            </w:r>
          </w:p>
        </w:tc>
        <w:tc>
          <w:tcPr>
            <w:tcW w:w="495" w:type="pct"/>
            <w:tcBorders>
              <w:top w:val="nil"/>
              <w:left w:val="nil"/>
              <w:bottom w:val="single" w:sz="4" w:space="0" w:color="auto"/>
              <w:right w:val="nil"/>
            </w:tcBorders>
            <w:shd w:val="clear" w:color="auto" w:fill="auto"/>
            <w:vAlign w:val="bottom"/>
          </w:tcPr>
          <w:p w14:paraId="5818112C" w14:textId="44754D42" w:rsidR="000E6BEB" w:rsidRPr="000E6BEB" w:rsidRDefault="000E6BEB" w:rsidP="000E6BEB">
            <w:pPr>
              <w:tabs>
                <w:tab w:val="right" w:pos="1202"/>
              </w:tabs>
              <w:suppressAutoHyphens/>
              <w:autoSpaceDN w:val="0"/>
              <w:jc w:val="right"/>
              <w:outlineLvl w:val="0"/>
              <w:rPr>
                <w:rFonts w:ascii="Arial" w:hAnsi="Arial" w:cs="Arial"/>
                <w:sz w:val="18"/>
                <w:szCs w:val="18"/>
              </w:rPr>
            </w:pPr>
            <w:r w:rsidRPr="000E6BEB">
              <w:rPr>
                <w:rFonts w:ascii="Arial" w:hAnsi="Arial" w:cs="Arial"/>
                <w:sz w:val="18"/>
                <w:szCs w:val="18"/>
              </w:rPr>
              <w:t xml:space="preserve"> 1.246 </w:t>
            </w:r>
          </w:p>
        </w:tc>
        <w:tc>
          <w:tcPr>
            <w:tcW w:w="495" w:type="pct"/>
            <w:tcBorders>
              <w:top w:val="nil"/>
              <w:left w:val="nil"/>
              <w:bottom w:val="single" w:sz="4" w:space="0" w:color="auto"/>
              <w:right w:val="nil"/>
            </w:tcBorders>
            <w:shd w:val="clear" w:color="auto" w:fill="auto"/>
            <w:vAlign w:val="bottom"/>
          </w:tcPr>
          <w:p w14:paraId="01209D04" w14:textId="2F14D712" w:rsidR="000E6BEB" w:rsidRPr="007478FB" w:rsidRDefault="000E6BEB" w:rsidP="000E6BEB">
            <w:pPr>
              <w:tabs>
                <w:tab w:val="right" w:pos="1202"/>
              </w:tabs>
              <w:suppressAutoHyphens/>
              <w:autoSpaceDN w:val="0"/>
              <w:jc w:val="right"/>
              <w:outlineLvl w:val="0"/>
              <w:rPr>
                <w:rFonts w:ascii="Arial" w:hAnsi="Arial" w:cs="Arial"/>
                <w:sz w:val="18"/>
                <w:szCs w:val="18"/>
              </w:rPr>
            </w:pPr>
            <w:r w:rsidRPr="00E70BE4">
              <w:rPr>
                <w:rFonts w:ascii="Arial" w:hAnsi="Arial" w:cs="Arial"/>
                <w:sz w:val="18"/>
                <w:szCs w:val="18"/>
              </w:rPr>
              <w:t xml:space="preserve"> 394 </w:t>
            </w:r>
          </w:p>
        </w:tc>
        <w:tc>
          <w:tcPr>
            <w:tcW w:w="495" w:type="pct"/>
            <w:tcBorders>
              <w:top w:val="nil"/>
              <w:left w:val="nil"/>
              <w:bottom w:val="single" w:sz="4" w:space="0" w:color="auto"/>
              <w:right w:val="nil"/>
            </w:tcBorders>
            <w:shd w:val="clear" w:color="auto" w:fill="auto"/>
            <w:vAlign w:val="bottom"/>
          </w:tcPr>
          <w:p w14:paraId="5B344B5D" w14:textId="7FC99B1E" w:rsidR="000E6BEB" w:rsidRPr="007478FB" w:rsidRDefault="000E6BEB" w:rsidP="000E6BEB">
            <w:pPr>
              <w:tabs>
                <w:tab w:val="right" w:pos="1202"/>
              </w:tabs>
              <w:suppressAutoHyphens/>
              <w:autoSpaceDN w:val="0"/>
              <w:jc w:val="right"/>
              <w:outlineLvl w:val="0"/>
              <w:rPr>
                <w:rFonts w:ascii="Arial" w:hAnsi="Arial" w:cs="Arial"/>
                <w:sz w:val="18"/>
                <w:szCs w:val="18"/>
              </w:rPr>
            </w:pPr>
            <w:r w:rsidRPr="00E70BE4">
              <w:rPr>
                <w:rFonts w:ascii="Arial" w:hAnsi="Arial" w:cs="Arial"/>
                <w:sz w:val="18"/>
                <w:szCs w:val="18"/>
              </w:rPr>
              <w:t xml:space="preserve"> 1.200 </w:t>
            </w:r>
          </w:p>
        </w:tc>
        <w:tc>
          <w:tcPr>
            <w:tcW w:w="495" w:type="pct"/>
            <w:tcBorders>
              <w:top w:val="nil"/>
              <w:left w:val="nil"/>
              <w:bottom w:val="single" w:sz="4" w:space="0" w:color="auto"/>
              <w:right w:val="nil"/>
            </w:tcBorders>
            <w:shd w:val="clear" w:color="auto" w:fill="auto"/>
            <w:vAlign w:val="bottom"/>
          </w:tcPr>
          <w:p w14:paraId="74919E47" w14:textId="26C4BB46" w:rsidR="000E6BEB" w:rsidRPr="008518F6" w:rsidRDefault="000E6BEB" w:rsidP="000E6BEB">
            <w:pPr>
              <w:tabs>
                <w:tab w:val="right" w:pos="1202"/>
              </w:tabs>
              <w:suppressAutoHyphens/>
              <w:autoSpaceDN w:val="0"/>
              <w:jc w:val="right"/>
              <w:outlineLvl w:val="0"/>
              <w:rPr>
                <w:rFonts w:ascii="Arial" w:hAnsi="Arial" w:cs="Arial"/>
                <w:sz w:val="18"/>
                <w:szCs w:val="18"/>
              </w:rPr>
            </w:pPr>
            <w:r w:rsidRPr="008518F6">
              <w:rPr>
                <w:rFonts w:ascii="Arial" w:hAnsi="Arial" w:cs="Arial"/>
                <w:sz w:val="18"/>
                <w:szCs w:val="18"/>
              </w:rPr>
              <w:t>419</w:t>
            </w:r>
          </w:p>
        </w:tc>
        <w:tc>
          <w:tcPr>
            <w:tcW w:w="495" w:type="pct"/>
            <w:tcBorders>
              <w:top w:val="nil"/>
              <w:left w:val="nil"/>
              <w:bottom w:val="single" w:sz="4" w:space="0" w:color="auto"/>
              <w:right w:val="nil"/>
            </w:tcBorders>
            <w:shd w:val="clear" w:color="auto" w:fill="auto"/>
            <w:vAlign w:val="bottom"/>
          </w:tcPr>
          <w:p w14:paraId="1171FC23" w14:textId="64513D5A" w:rsidR="000E6BEB" w:rsidRPr="008518F6" w:rsidRDefault="000E6BEB" w:rsidP="000E6BEB">
            <w:pPr>
              <w:tabs>
                <w:tab w:val="right" w:pos="1202"/>
              </w:tabs>
              <w:suppressAutoHyphens/>
              <w:autoSpaceDN w:val="0"/>
              <w:jc w:val="right"/>
              <w:outlineLvl w:val="0"/>
              <w:rPr>
                <w:rFonts w:ascii="Arial" w:hAnsi="Arial" w:cs="Arial"/>
                <w:sz w:val="18"/>
                <w:szCs w:val="18"/>
              </w:rPr>
            </w:pPr>
            <w:r w:rsidRPr="008518F6">
              <w:rPr>
                <w:rFonts w:ascii="Arial" w:hAnsi="Arial" w:cs="Arial"/>
                <w:sz w:val="18"/>
                <w:szCs w:val="18"/>
              </w:rPr>
              <w:t>1.246</w:t>
            </w:r>
          </w:p>
        </w:tc>
        <w:tc>
          <w:tcPr>
            <w:tcW w:w="495" w:type="pct"/>
            <w:tcBorders>
              <w:top w:val="nil"/>
              <w:left w:val="nil"/>
              <w:bottom w:val="single" w:sz="4" w:space="0" w:color="auto"/>
              <w:right w:val="nil"/>
            </w:tcBorders>
            <w:shd w:val="clear" w:color="auto" w:fill="auto"/>
            <w:vAlign w:val="bottom"/>
          </w:tcPr>
          <w:p w14:paraId="5CE28562" w14:textId="4AB9BB72" w:rsidR="000E6BEB" w:rsidRPr="007478FB" w:rsidRDefault="000E6BEB" w:rsidP="000E6BEB">
            <w:pPr>
              <w:tabs>
                <w:tab w:val="right" w:pos="1202"/>
              </w:tabs>
              <w:suppressAutoHyphens/>
              <w:autoSpaceDN w:val="0"/>
              <w:jc w:val="right"/>
              <w:outlineLvl w:val="0"/>
              <w:rPr>
                <w:rFonts w:ascii="Arial" w:hAnsi="Arial" w:cs="Arial"/>
                <w:sz w:val="18"/>
                <w:szCs w:val="18"/>
              </w:rPr>
            </w:pPr>
            <w:r w:rsidRPr="00FF3B1A">
              <w:rPr>
                <w:rFonts w:ascii="Arial" w:hAnsi="Arial" w:cs="Arial"/>
                <w:sz w:val="18"/>
                <w:szCs w:val="18"/>
              </w:rPr>
              <w:t xml:space="preserve"> 394 </w:t>
            </w:r>
          </w:p>
        </w:tc>
        <w:tc>
          <w:tcPr>
            <w:tcW w:w="490" w:type="pct"/>
            <w:tcBorders>
              <w:top w:val="nil"/>
              <w:left w:val="nil"/>
              <w:bottom w:val="single" w:sz="4" w:space="0" w:color="auto"/>
              <w:right w:val="nil"/>
            </w:tcBorders>
            <w:shd w:val="clear" w:color="auto" w:fill="auto"/>
            <w:vAlign w:val="bottom"/>
          </w:tcPr>
          <w:p w14:paraId="7923E30E" w14:textId="35CEFB3C" w:rsidR="000E6BEB" w:rsidRPr="007478FB" w:rsidRDefault="000E6BEB" w:rsidP="000E6BEB">
            <w:pPr>
              <w:tabs>
                <w:tab w:val="right" w:pos="1202"/>
              </w:tabs>
              <w:suppressAutoHyphens/>
              <w:autoSpaceDN w:val="0"/>
              <w:jc w:val="right"/>
              <w:outlineLvl w:val="0"/>
              <w:rPr>
                <w:rFonts w:ascii="Arial" w:hAnsi="Arial" w:cs="Arial"/>
                <w:sz w:val="18"/>
                <w:szCs w:val="18"/>
              </w:rPr>
            </w:pPr>
            <w:r w:rsidRPr="00FF3B1A">
              <w:rPr>
                <w:rFonts w:ascii="Arial" w:hAnsi="Arial" w:cs="Arial"/>
                <w:sz w:val="18"/>
                <w:szCs w:val="18"/>
              </w:rPr>
              <w:t xml:space="preserve"> 1.200 </w:t>
            </w:r>
          </w:p>
        </w:tc>
      </w:tr>
      <w:tr w:rsidR="000E6BEB" w:rsidRPr="00291152" w14:paraId="32DEA00E" w14:textId="77777777" w:rsidTr="000E6BEB">
        <w:trPr>
          <w:trHeight w:val="283"/>
        </w:trPr>
        <w:tc>
          <w:tcPr>
            <w:tcW w:w="1045" w:type="pct"/>
            <w:vAlign w:val="bottom"/>
          </w:tcPr>
          <w:p w14:paraId="24310E1A" w14:textId="77777777" w:rsidR="000E6BEB" w:rsidRPr="007478FB" w:rsidRDefault="000E6BEB" w:rsidP="000E6BEB">
            <w:pPr>
              <w:tabs>
                <w:tab w:val="right" w:pos="1202"/>
              </w:tabs>
              <w:suppressAutoHyphens/>
              <w:autoSpaceDN w:val="0"/>
              <w:outlineLvl w:val="0"/>
              <w:rPr>
                <w:rFonts w:ascii="Arial" w:eastAsia="Times New Roman" w:hAnsi="Arial" w:cs="Arial"/>
                <w:b/>
                <w:bCs/>
                <w:color w:val="000000" w:themeColor="text1"/>
                <w:sz w:val="18"/>
                <w:szCs w:val="18"/>
              </w:rPr>
            </w:pPr>
          </w:p>
        </w:tc>
        <w:tc>
          <w:tcPr>
            <w:tcW w:w="495" w:type="pct"/>
            <w:tcBorders>
              <w:top w:val="single" w:sz="4" w:space="0" w:color="auto"/>
              <w:bottom w:val="single" w:sz="12" w:space="0" w:color="auto"/>
            </w:tcBorders>
            <w:vAlign w:val="bottom"/>
          </w:tcPr>
          <w:p w14:paraId="723B58E8" w14:textId="6321C25A" w:rsidR="000E6BEB" w:rsidRPr="000E6BEB" w:rsidRDefault="000E6BEB" w:rsidP="000E6BEB">
            <w:pPr>
              <w:tabs>
                <w:tab w:val="right" w:pos="1202"/>
              </w:tabs>
              <w:suppressAutoHyphens/>
              <w:autoSpaceDN w:val="0"/>
              <w:jc w:val="right"/>
              <w:outlineLvl w:val="0"/>
              <w:rPr>
                <w:rFonts w:ascii="Arial" w:eastAsia="Times New Roman" w:hAnsi="Arial" w:cs="Arial"/>
                <w:b/>
                <w:bCs/>
                <w:color w:val="000000" w:themeColor="text1"/>
                <w:sz w:val="18"/>
                <w:szCs w:val="18"/>
              </w:rPr>
            </w:pPr>
            <w:r w:rsidRPr="000E6BEB">
              <w:rPr>
                <w:rFonts w:ascii="Arial" w:hAnsi="Arial" w:cs="Arial"/>
                <w:b/>
                <w:bCs/>
                <w:sz w:val="18"/>
                <w:szCs w:val="18"/>
              </w:rPr>
              <w:t xml:space="preserve"> 31.949 </w:t>
            </w:r>
          </w:p>
        </w:tc>
        <w:tc>
          <w:tcPr>
            <w:tcW w:w="495" w:type="pct"/>
            <w:tcBorders>
              <w:top w:val="single" w:sz="4" w:space="0" w:color="auto"/>
              <w:bottom w:val="single" w:sz="12" w:space="0" w:color="auto"/>
            </w:tcBorders>
            <w:vAlign w:val="bottom"/>
          </w:tcPr>
          <w:p w14:paraId="69CEC1BA" w14:textId="2129EDAF" w:rsidR="000E6BEB" w:rsidRPr="000E6BEB" w:rsidRDefault="000E6BEB" w:rsidP="000E6BEB">
            <w:pPr>
              <w:tabs>
                <w:tab w:val="right" w:pos="1202"/>
              </w:tabs>
              <w:suppressAutoHyphens/>
              <w:autoSpaceDN w:val="0"/>
              <w:jc w:val="right"/>
              <w:outlineLvl w:val="0"/>
              <w:rPr>
                <w:rFonts w:ascii="Arial" w:eastAsia="Times New Roman" w:hAnsi="Arial" w:cs="Arial"/>
                <w:b/>
                <w:bCs/>
                <w:color w:val="000000" w:themeColor="text1"/>
                <w:sz w:val="18"/>
                <w:szCs w:val="18"/>
              </w:rPr>
            </w:pPr>
            <w:r w:rsidRPr="000E6BEB">
              <w:rPr>
                <w:rFonts w:ascii="Arial" w:hAnsi="Arial" w:cs="Arial"/>
                <w:b/>
                <w:bCs/>
                <w:sz w:val="18"/>
                <w:szCs w:val="18"/>
              </w:rPr>
              <w:t xml:space="preserve"> 87.958 </w:t>
            </w:r>
          </w:p>
        </w:tc>
        <w:tc>
          <w:tcPr>
            <w:tcW w:w="495" w:type="pct"/>
            <w:tcBorders>
              <w:top w:val="single" w:sz="4" w:space="0" w:color="auto"/>
              <w:bottom w:val="single" w:sz="12" w:space="0" w:color="auto"/>
            </w:tcBorders>
            <w:vAlign w:val="bottom"/>
          </w:tcPr>
          <w:p w14:paraId="1B2673A0" w14:textId="58BAE751" w:rsidR="000E6BEB" w:rsidRPr="00E70BE4" w:rsidRDefault="000E6BEB" w:rsidP="000E6BEB">
            <w:pPr>
              <w:tabs>
                <w:tab w:val="right" w:pos="1202"/>
              </w:tabs>
              <w:suppressAutoHyphens/>
              <w:autoSpaceDN w:val="0"/>
              <w:jc w:val="right"/>
              <w:outlineLvl w:val="0"/>
              <w:rPr>
                <w:rFonts w:ascii="Arial" w:eastAsia="Times New Roman" w:hAnsi="Arial" w:cs="Arial"/>
                <w:b/>
                <w:bCs/>
                <w:color w:val="000000" w:themeColor="text1"/>
                <w:sz w:val="18"/>
                <w:szCs w:val="18"/>
              </w:rPr>
            </w:pPr>
            <w:r w:rsidRPr="00E70BE4">
              <w:rPr>
                <w:rFonts w:ascii="Arial" w:eastAsia="Times New Roman" w:hAnsi="Arial" w:cs="Arial"/>
                <w:b/>
                <w:bCs/>
                <w:color w:val="000000" w:themeColor="text1"/>
                <w:sz w:val="18"/>
                <w:szCs w:val="18"/>
              </w:rPr>
              <w:t xml:space="preserve"> 23.956 </w:t>
            </w:r>
          </w:p>
        </w:tc>
        <w:tc>
          <w:tcPr>
            <w:tcW w:w="495" w:type="pct"/>
            <w:tcBorders>
              <w:top w:val="single" w:sz="4" w:space="0" w:color="auto"/>
              <w:bottom w:val="single" w:sz="12" w:space="0" w:color="auto"/>
            </w:tcBorders>
            <w:vAlign w:val="bottom"/>
          </w:tcPr>
          <w:p w14:paraId="2D2E78E0" w14:textId="284592EA" w:rsidR="000E6BEB" w:rsidRPr="00E70BE4" w:rsidRDefault="000E6BEB" w:rsidP="000E6BEB">
            <w:pPr>
              <w:tabs>
                <w:tab w:val="right" w:pos="1202"/>
              </w:tabs>
              <w:suppressAutoHyphens/>
              <w:autoSpaceDN w:val="0"/>
              <w:jc w:val="right"/>
              <w:outlineLvl w:val="0"/>
              <w:rPr>
                <w:rFonts w:ascii="Arial" w:eastAsia="Times New Roman" w:hAnsi="Arial" w:cs="Arial"/>
                <w:b/>
                <w:bCs/>
                <w:color w:val="000000" w:themeColor="text1"/>
                <w:sz w:val="18"/>
                <w:szCs w:val="18"/>
              </w:rPr>
            </w:pPr>
            <w:r w:rsidRPr="00E70BE4">
              <w:rPr>
                <w:rFonts w:ascii="Arial" w:eastAsia="Times New Roman" w:hAnsi="Arial" w:cs="Arial"/>
                <w:b/>
                <w:bCs/>
                <w:color w:val="000000" w:themeColor="text1"/>
                <w:sz w:val="18"/>
                <w:szCs w:val="18"/>
              </w:rPr>
              <w:t xml:space="preserve"> 68.276 </w:t>
            </w:r>
          </w:p>
        </w:tc>
        <w:tc>
          <w:tcPr>
            <w:tcW w:w="495" w:type="pct"/>
            <w:tcBorders>
              <w:top w:val="single" w:sz="4" w:space="0" w:color="auto"/>
              <w:bottom w:val="single" w:sz="12" w:space="0" w:color="auto"/>
            </w:tcBorders>
            <w:vAlign w:val="bottom"/>
          </w:tcPr>
          <w:p w14:paraId="08F6AF13" w14:textId="28F57112" w:rsidR="000E6BEB" w:rsidRPr="008518F6" w:rsidRDefault="000E6BEB" w:rsidP="000E6BEB">
            <w:pPr>
              <w:tabs>
                <w:tab w:val="right" w:pos="1202"/>
              </w:tabs>
              <w:suppressAutoHyphens/>
              <w:autoSpaceDN w:val="0"/>
              <w:jc w:val="right"/>
              <w:outlineLvl w:val="0"/>
              <w:rPr>
                <w:rFonts w:ascii="Arial" w:hAnsi="Arial" w:cs="Arial"/>
                <w:b/>
                <w:bCs/>
                <w:sz w:val="18"/>
                <w:szCs w:val="18"/>
              </w:rPr>
            </w:pPr>
            <w:r w:rsidRPr="008518F6">
              <w:rPr>
                <w:rFonts w:ascii="Arial" w:hAnsi="Arial" w:cs="Arial"/>
                <w:b/>
                <w:bCs/>
                <w:sz w:val="18"/>
                <w:szCs w:val="18"/>
              </w:rPr>
              <w:t>31.885</w:t>
            </w:r>
          </w:p>
        </w:tc>
        <w:tc>
          <w:tcPr>
            <w:tcW w:w="495" w:type="pct"/>
            <w:tcBorders>
              <w:top w:val="single" w:sz="4" w:space="0" w:color="auto"/>
              <w:bottom w:val="single" w:sz="12" w:space="0" w:color="auto"/>
            </w:tcBorders>
            <w:vAlign w:val="bottom"/>
          </w:tcPr>
          <w:p w14:paraId="7AA72525" w14:textId="6AFF8273" w:rsidR="000E6BEB" w:rsidRPr="008518F6" w:rsidRDefault="000E6BEB" w:rsidP="000E6BEB">
            <w:pPr>
              <w:tabs>
                <w:tab w:val="right" w:pos="1202"/>
              </w:tabs>
              <w:suppressAutoHyphens/>
              <w:autoSpaceDN w:val="0"/>
              <w:jc w:val="right"/>
              <w:outlineLvl w:val="0"/>
              <w:rPr>
                <w:rFonts w:ascii="Arial" w:hAnsi="Arial" w:cs="Arial"/>
                <w:b/>
                <w:bCs/>
                <w:sz w:val="18"/>
                <w:szCs w:val="18"/>
              </w:rPr>
            </w:pPr>
            <w:r w:rsidRPr="008518F6">
              <w:rPr>
                <w:rFonts w:ascii="Arial" w:hAnsi="Arial" w:cs="Arial"/>
                <w:b/>
                <w:bCs/>
                <w:sz w:val="18"/>
                <w:szCs w:val="18"/>
              </w:rPr>
              <w:t>87.766</w:t>
            </w:r>
          </w:p>
        </w:tc>
        <w:tc>
          <w:tcPr>
            <w:tcW w:w="495" w:type="pct"/>
            <w:tcBorders>
              <w:top w:val="single" w:sz="4" w:space="0" w:color="auto"/>
              <w:bottom w:val="single" w:sz="12" w:space="0" w:color="auto"/>
            </w:tcBorders>
            <w:vAlign w:val="bottom"/>
          </w:tcPr>
          <w:p w14:paraId="7948F3F3" w14:textId="0368F18C" w:rsidR="000E6BEB" w:rsidRPr="007478FB" w:rsidRDefault="000E6BEB" w:rsidP="000E6BEB">
            <w:pPr>
              <w:tabs>
                <w:tab w:val="right" w:pos="1202"/>
              </w:tabs>
              <w:suppressAutoHyphens/>
              <w:autoSpaceDN w:val="0"/>
              <w:jc w:val="right"/>
              <w:outlineLvl w:val="0"/>
              <w:rPr>
                <w:rFonts w:ascii="Arial" w:hAnsi="Arial" w:cs="Arial"/>
                <w:b/>
                <w:bCs/>
                <w:sz w:val="18"/>
                <w:szCs w:val="18"/>
              </w:rPr>
            </w:pPr>
            <w:r w:rsidRPr="00FF3B1A">
              <w:rPr>
                <w:rFonts w:ascii="Arial" w:hAnsi="Arial" w:cs="Arial"/>
                <w:b/>
                <w:bCs/>
                <w:sz w:val="18"/>
                <w:szCs w:val="18"/>
              </w:rPr>
              <w:t xml:space="preserve"> 23.892 </w:t>
            </w:r>
          </w:p>
        </w:tc>
        <w:tc>
          <w:tcPr>
            <w:tcW w:w="490" w:type="pct"/>
            <w:tcBorders>
              <w:top w:val="single" w:sz="4" w:space="0" w:color="auto"/>
              <w:bottom w:val="single" w:sz="12" w:space="0" w:color="auto"/>
            </w:tcBorders>
            <w:vAlign w:val="bottom"/>
          </w:tcPr>
          <w:p w14:paraId="7EC3A6B0" w14:textId="6BA76D7B" w:rsidR="000E6BEB" w:rsidRPr="007478FB" w:rsidRDefault="000E6BEB" w:rsidP="000E6BEB">
            <w:pPr>
              <w:tabs>
                <w:tab w:val="right" w:pos="1202"/>
              </w:tabs>
              <w:suppressAutoHyphens/>
              <w:autoSpaceDN w:val="0"/>
              <w:jc w:val="right"/>
              <w:outlineLvl w:val="0"/>
              <w:rPr>
                <w:rFonts w:ascii="Arial" w:hAnsi="Arial" w:cs="Arial"/>
                <w:b/>
                <w:bCs/>
                <w:sz w:val="18"/>
                <w:szCs w:val="18"/>
              </w:rPr>
            </w:pPr>
            <w:r w:rsidRPr="00FF3B1A">
              <w:rPr>
                <w:rFonts w:ascii="Arial" w:hAnsi="Arial" w:cs="Arial"/>
                <w:b/>
                <w:bCs/>
                <w:sz w:val="18"/>
                <w:szCs w:val="18"/>
              </w:rPr>
              <w:t xml:space="preserve"> 68.104 </w:t>
            </w:r>
          </w:p>
        </w:tc>
      </w:tr>
      <w:bookmarkEnd w:id="258"/>
    </w:tbl>
    <w:p w14:paraId="21AF0524" w14:textId="77777777" w:rsidR="00843998" w:rsidRDefault="00843998" w:rsidP="00843998">
      <w:pPr>
        <w:keepNext/>
        <w:suppressAutoHyphens/>
        <w:autoSpaceDN w:val="0"/>
        <w:jc w:val="both"/>
        <w:outlineLvl w:val="0"/>
        <w:rPr>
          <w:rFonts w:ascii="Arial" w:eastAsia="Times New Roman" w:hAnsi="Arial" w:cs="Arial"/>
          <w:color w:val="000000" w:themeColor="text1"/>
          <w:sz w:val="20"/>
          <w:szCs w:val="20"/>
        </w:rPr>
      </w:pPr>
    </w:p>
    <w:p w14:paraId="1E7E8151" w14:textId="77777777" w:rsidR="00B2599D" w:rsidRDefault="00B2599D" w:rsidP="00843998">
      <w:pPr>
        <w:keepNext/>
        <w:suppressAutoHyphens/>
        <w:autoSpaceDN w:val="0"/>
        <w:jc w:val="both"/>
        <w:outlineLvl w:val="0"/>
        <w:rPr>
          <w:rFonts w:ascii="Arial" w:eastAsia="Times New Roman" w:hAnsi="Arial" w:cs="Arial"/>
          <w:color w:val="000000" w:themeColor="text1"/>
          <w:sz w:val="20"/>
          <w:szCs w:val="20"/>
        </w:rPr>
        <w:sectPr w:rsidR="00B2599D" w:rsidSect="00B2599D">
          <w:pgSz w:w="16838" w:h="11906" w:orient="landscape"/>
          <w:pgMar w:top="1417" w:right="1417" w:bottom="1417" w:left="1417" w:header="708" w:footer="708" w:gutter="0"/>
          <w:cols w:space="708"/>
          <w:docGrid w:linePitch="360"/>
        </w:sectPr>
      </w:pPr>
    </w:p>
    <w:p w14:paraId="78DAED86" w14:textId="77777777" w:rsidR="00B2599D" w:rsidRPr="003D1614" w:rsidRDefault="00B2599D" w:rsidP="00B2599D">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000000" w:themeColor="text1"/>
          <w:sz w:val="20"/>
          <w:szCs w:val="20"/>
          <w:lang w:eastAsia="hr-HR"/>
        </w:rPr>
      </w:pPr>
    </w:p>
    <w:p w14:paraId="01D71948" w14:textId="77777777" w:rsidR="00B2599D" w:rsidRPr="003D1614" w:rsidRDefault="00B2599D" w:rsidP="00B2599D">
      <w:pPr>
        <w:keepNext/>
        <w:tabs>
          <w:tab w:val="left" w:pos="142"/>
          <w:tab w:val="left" w:pos="567"/>
        </w:tabs>
        <w:suppressAutoHyphens/>
        <w:autoSpaceDN w:val="0"/>
        <w:jc w:val="both"/>
        <w:outlineLvl w:val="0"/>
        <w:rPr>
          <w:rFonts w:ascii="Arial" w:eastAsia="Times New Roman" w:hAnsi="Arial" w:cs="Arial"/>
          <w:b/>
          <w:bCs/>
          <w:color w:val="000000" w:themeColor="text1"/>
          <w:sz w:val="20"/>
          <w:szCs w:val="20"/>
        </w:rPr>
      </w:pPr>
    </w:p>
    <w:p w14:paraId="33F18C57" w14:textId="6EEF892B" w:rsidR="00B2599D" w:rsidRPr="003D1614" w:rsidRDefault="00B2599D" w:rsidP="00B2599D">
      <w:pPr>
        <w:keepNext/>
        <w:tabs>
          <w:tab w:val="left" w:pos="142"/>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5.</w:t>
      </w:r>
      <w:r w:rsidRPr="003D1614">
        <w:rPr>
          <w:rFonts w:ascii="Arial" w:eastAsia="Times New Roman" w:hAnsi="Arial" w:cs="Arial"/>
          <w:b/>
          <w:bCs/>
          <w:color w:val="000000" w:themeColor="text1"/>
          <w:sz w:val="20"/>
          <w:szCs w:val="20"/>
        </w:rPr>
        <w:tab/>
        <w:t>Prihodi od kamata izračunati metodom efektivne kamatne stope</w:t>
      </w:r>
      <w:r>
        <w:rPr>
          <w:rFonts w:ascii="Arial" w:eastAsia="Times New Roman" w:hAnsi="Arial" w:cs="Arial"/>
          <w:b/>
          <w:bCs/>
          <w:color w:val="000000" w:themeColor="text1"/>
          <w:sz w:val="20"/>
          <w:szCs w:val="20"/>
        </w:rPr>
        <w:t xml:space="preserve"> (nastavak)</w:t>
      </w:r>
    </w:p>
    <w:p w14:paraId="48BBFD86" w14:textId="77777777" w:rsidR="00B2599D" w:rsidRPr="003D1614" w:rsidRDefault="00B2599D" w:rsidP="00843998">
      <w:pPr>
        <w:keepNext/>
        <w:suppressAutoHyphens/>
        <w:autoSpaceDN w:val="0"/>
        <w:jc w:val="both"/>
        <w:outlineLvl w:val="0"/>
        <w:rPr>
          <w:rFonts w:ascii="Arial" w:eastAsia="Times New Roman" w:hAnsi="Arial" w:cs="Arial"/>
          <w:color w:val="000000" w:themeColor="text1"/>
          <w:sz w:val="20"/>
          <w:szCs w:val="20"/>
        </w:rPr>
      </w:pPr>
    </w:p>
    <w:p w14:paraId="5264F791" w14:textId="3C51F9D9" w:rsidR="00843998" w:rsidRPr="003D1614" w:rsidRDefault="00843998" w:rsidP="00843998">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Prihodi od kamata po vrstama plasmana:</w:t>
      </w:r>
    </w:p>
    <w:p w14:paraId="2FEABE65" w14:textId="77777777" w:rsidR="00843998" w:rsidRPr="003D1614" w:rsidRDefault="00843998" w:rsidP="00843998">
      <w:pPr>
        <w:keepNext/>
        <w:suppressAutoHyphens/>
        <w:autoSpaceDN w:val="0"/>
        <w:jc w:val="both"/>
        <w:outlineLvl w:val="0"/>
        <w:rPr>
          <w:rFonts w:ascii="Arial" w:eastAsia="Times New Roman" w:hAnsi="Arial" w:cs="Arial"/>
          <w:color w:val="000000" w:themeColor="text1"/>
          <w:sz w:val="20"/>
          <w:szCs w:val="20"/>
        </w:rPr>
      </w:pPr>
    </w:p>
    <w:tbl>
      <w:tblPr>
        <w:tblW w:w="5014" w:type="pct"/>
        <w:tblLayout w:type="fixed"/>
        <w:tblCellMar>
          <w:left w:w="122" w:type="dxa"/>
          <w:right w:w="122" w:type="dxa"/>
        </w:tblCellMar>
        <w:tblLook w:val="0000" w:firstRow="0" w:lastRow="0" w:firstColumn="0" w:lastColumn="0" w:noHBand="0" w:noVBand="0"/>
      </w:tblPr>
      <w:tblGrid>
        <w:gridCol w:w="2933"/>
        <w:gridCol w:w="1391"/>
        <w:gridCol w:w="1390"/>
        <w:gridCol w:w="1390"/>
        <w:gridCol w:w="1390"/>
        <w:gridCol w:w="1390"/>
        <w:gridCol w:w="1390"/>
        <w:gridCol w:w="1390"/>
        <w:gridCol w:w="1379"/>
      </w:tblGrid>
      <w:tr w:rsidR="001137B3" w:rsidRPr="00291152" w14:paraId="3C62E9CC" w14:textId="77777777" w:rsidTr="001137B3">
        <w:trPr>
          <w:trHeight w:val="300"/>
        </w:trPr>
        <w:tc>
          <w:tcPr>
            <w:tcW w:w="1044" w:type="pct"/>
            <w:vAlign w:val="bottom"/>
          </w:tcPr>
          <w:p w14:paraId="371AB9C2" w14:textId="77777777" w:rsidR="001137B3" w:rsidRPr="007478FB" w:rsidRDefault="001137B3" w:rsidP="001137B3">
            <w:pPr>
              <w:tabs>
                <w:tab w:val="right" w:pos="1202"/>
              </w:tabs>
              <w:suppressAutoHyphens/>
              <w:autoSpaceDN w:val="0"/>
              <w:jc w:val="right"/>
              <w:outlineLvl w:val="0"/>
              <w:rPr>
                <w:rFonts w:ascii="Arial" w:eastAsia="Times New Roman" w:hAnsi="Arial" w:cs="Arial"/>
                <w:b/>
                <w:color w:val="000000" w:themeColor="text1"/>
                <w:sz w:val="18"/>
                <w:szCs w:val="18"/>
              </w:rPr>
            </w:pPr>
            <w:bookmarkStart w:id="268" w:name="_Hlk141868036"/>
          </w:p>
        </w:tc>
        <w:tc>
          <w:tcPr>
            <w:tcW w:w="1980" w:type="pct"/>
            <w:gridSpan w:val="4"/>
            <w:vAlign w:val="bottom"/>
          </w:tcPr>
          <w:p w14:paraId="3107F4B1" w14:textId="6CADF333" w:rsidR="001137B3" w:rsidRPr="007478FB" w:rsidRDefault="001137B3" w:rsidP="001137B3">
            <w:pPr>
              <w:tabs>
                <w:tab w:val="right" w:pos="1202"/>
              </w:tabs>
              <w:suppressAutoHyphens/>
              <w:autoSpaceDN w:val="0"/>
              <w:jc w:val="right"/>
              <w:outlineLvl w:val="0"/>
              <w:rPr>
                <w:rFonts w:ascii="Arial" w:hAnsi="Arial" w:cs="Arial"/>
                <w:b/>
                <w:bCs/>
                <w:sz w:val="18"/>
                <w:szCs w:val="18"/>
              </w:rPr>
            </w:pPr>
            <w:r w:rsidRPr="007478FB">
              <w:rPr>
                <w:rFonts w:ascii="Arial" w:hAnsi="Arial" w:cs="Arial"/>
                <w:b/>
                <w:bCs/>
                <w:sz w:val="18"/>
                <w:szCs w:val="18"/>
              </w:rPr>
              <w:t>Grupa</w:t>
            </w:r>
          </w:p>
        </w:tc>
        <w:tc>
          <w:tcPr>
            <w:tcW w:w="1976" w:type="pct"/>
            <w:gridSpan w:val="4"/>
            <w:vAlign w:val="bottom"/>
          </w:tcPr>
          <w:p w14:paraId="16364E34" w14:textId="0C57E096" w:rsidR="001137B3" w:rsidRPr="007478FB" w:rsidRDefault="001137B3" w:rsidP="001137B3">
            <w:pPr>
              <w:tabs>
                <w:tab w:val="right" w:pos="1202"/>
              </w:tabs>
              <w:suppressAutoHyphens/>
              <w:autoSpaceDN w:val="0"/>
              <w:jc w:val="right"/>
              <w:outlineLvl w:val="0"/>
              <w:rPr>
                <w:rFonts w:ascii="Arial" w:hAnsi="Arial" w:cs="Arial"/>
                <w:b/>
                <w:bCs/>
                <w:sz w:val="18"/>
                <w:szCs w:val="18"/>
              </w:rPr>
            </w:pPr>
            <w:r w:rsidRPr="007478FB">
              <w:rPr>
                <w:rFonts w:ascii="Arial" w:hAnsi="Arial" w:cs="Arial"/>
                <w:b/>
                <w:bCs/>
                <w:sz w:val="18"/>
                <w:szCs w:val="18"/>
              </w:rPr>
              <w:t>Banka</w:t>
            </w:r>
          </w:p>
        </w:tc>
      </w:tr>
      <w:tr w:rsidR="001137B3" w:rsidRPr="00291152" w14:paraId="35E60750" w14:textId="77777777" w:rsidTr="001137B3">
        <w:trPr>
          <w:trHeight w:val="300"/>
        </w:trPr>
        <w:tc>
          <w:tcPr>
            <w:tcW w:w="1044" w:type="pct"/>
            <w:vAlign w:val="bottom"/>
          </w:tcPr>
          <w:p w14:paraId="05F66C55" w14:textId="77777777" w:rsidR="001137B3" w:rsidRPr="007478FB" w:rsidRDefault="001137B3" w:rsidP="001137B3">
            <w:pPr>
              <w:tabs>
                <w:tab w:val="right" w:pos="1202"/>
              </w:tabs>
              <w:suppressAutoHyphens/>
              <w:autoSpaceDN w:val="0"/>
              <w:jc w:val="right"/>
              <w:outlineLvl w:val="0"/>
              <w:rPr>
                <w:rFonts w:ascii="Arial" w:eastAsia="Times New Roman" w:hAnsi="Arial" w:cs="Arial"/>
                <w:b/>
                <w:color w:val="000000" w:themeColor="text1"/>
                <w:sz w:val="18"/>
                <w:szCs w:val="18"/>
              </w:rPr>
            </w:pPr>
          </w:p>
        </w:tc>
        <w:tc>
          <w:tcPr>
            <w:tcW w:w="990" w:type="pct"/>
            <w:gridSpan w:val="2"/>
            <w:vAlign w:val="bottom"/>
          </w:tcPr>
          <w:p w14:paraId="6B570368" w14:textId="7A567B10" w:rsidR="001137B3" w:rsidRPr="007478FB" w:rsidRDefault="001137B3" w:rsidP="007478FB">
            <w:pPr>
              <w:tabs>
                <w:tab w:val="right" w:pos="1202"/>
              </w:tabs>
              <w:suppressAutoHyphens/>
              <w:autoSpaceDN w:val="0"/>
              <w:jc w:val="center"/>
              <w:outlineLvl w:val="0"/>
              <w:rPr>
                <w:rFonts w:ascii="Arial" w:hAnsi="Arial" w:cs="Arial"/>
                <w:b/>
                <w:bCs/>
                <w:sz w:val="18"/>
                <w:szCs w:val="18"/>
              </w:rPr>
            </w:pPr>
            <w:r w:rsidRPr="007478FB">
              <w:rPr>
                <w:rFonts w:ascii="Arial" w:hAnsi="Arial" w:cs="Arial"/>
                <w:b/>
                <w:bCs/>
                <w:sz w:val="18"/>
                <w:szCs w:val="18"/>
              </w:rPr>
              <w:t>202</w:t>
            </w:r>
            <w:r w:rsidR="00161F4D">
              <w:rPr>
                <w:rFonts w:ascii="Arial" w:hAnsi="Arial" w:cs="Arial"/>
                <w:b/>
                <w:bCs/>
                <w:sz w:val="18"/>
                <w:szCs w:val="18"/>
              </w:rPr>
              <w:t>4</w:t>
            </w:r>
            <w:r w:rsidRPr="007478FB">
              <w:rPr>
                <w:rFonts w:ascii="Arial" w:hAnsi="Arial" w:cs="Arial"/>
                <w:b/>
                <w:bCs/>
                <w:sz w:val="18"/>
                <w:szCs w:val="18"/>
              </w:rPr>
              <w:t>.</w:t>
            </w:r>
          </w:p>
        </w:tc>
        <w:tc>
          <w:tcPr>
            <w:tcW w:w="990" w:type="pct"/>
            <w:gridSpan w:val="2"/>
            <w:vAlign w:val="bottom"/>
          </w:tcPr>
          <w:p w14:paraId="73CAF642" w14:textId="64344F8F" w:rsidR="001137B3" w:rsidRPr="007478FB" w:rsidRDefault="001137B3" w:rsidP="007478FB">
            <w:pPr>
              <w:tabs>
                <w:tab w:val="right" w:pos="1202"/>
              </w:tabs>
              <w:suppressAutoHyphens/>
              <w:autoSpaceDN w:val="0"/>
              <w:jc w:val="center"/>
              <w:outlineLvl w:val="0"/>
              <w:rPr>
                <w:rFonts w:ascii="Arial" w:hAnsi="Arial" w:cs="Arial"/>
                <w:b/>
                <w:bCs/>
                <w:sz w:val="18"/>
                <w:szCs w:val="18"/>
              </w:rPr>
            </w:pPr>
            <w:r w:rsidRPr="007478FB">
              <w:rPr>
                <w:rFonts w:ascii="Arial" w:hAnsi="Arial" w:cs="Arial"/>
                <w:b/>
                <w:bCs/>
                <w:sz w:val="18"/>
                <w:szCs w:val="18"/>
              </w:rPr>
              <w:t>202</w:t>
            </w:r>
            <w:r w:rsidR="00161F4D">
              <w:rPr>
                <w:rFonts w:ascii="Arial" w:hAnsi="Arial" w:cs="Arial"/>
                <w:b/>
                <w:bCs/>
                <w:sz w:val="18"/>
                <w:szCs w:val="18"/>
              </w:rPr>
              <w:t>3</w:t>
            </w:r>
            <w:r w:rsidRPr="007478FB">
              <w:rPr>
                <w:rFonts w:ascii="Arial" w:hAnsi="Arial" w:cs="Arial"/>
                <w:b/>
                <w:bCs/>
                <w:sz w:val="18"/>
                <w:szCs w:val="18"/>
              </w:rPr>
              <w:t>.</w:t>
            </w:r>
          </w:p>
        </w:tc>
        <w:tc>
          <w:tcPr>
            <w:tcW w:w="990" w:type="pct"/>
            <w:gridSpan w:val="2"/>
            <w:vAlign w:val="bottom"/>
          </w:tcPr>
          <w:p w14:paraId="253B44C4" w14:textId="4F17094C" w:rsidR="001137B3" w:rsidRPr="007478FB" w:rsidRDefault="001137B3" w:rsidP="007478FB">
            <w:pPr>
              <w:tabs>
                <w:tab w:val="right" w:pos="1202"/>
              </w:tabs>
              <w:suppressAutoHyphens/>
              <w:autoSpaceDN w:val="0"/>
              <w:jc w:val="center"/>
              <w:outlineLvl w:val="0"/>
              <w:rPr>
                <w:rFonts w:ascii="Arial" w:hAnsi="Arial" w:cs="Arial"/>
                <w:b/>
                <w:bCs/>
                <w:sz w:val="18"/>
                <w:szCs w:val="18"/>
              </w:rPr>
            </w:pPr>
            <w:r w:rsidRPr="007478FB">
              <w:rPr>
                <w:rFonts w:ascii="Arial" w:hAnsi="Arial" w:cs="Arial"/>
                <w:b/>
                <w:bCs/>
                <w:sz w:val="18"/>
                <w:szCs w:val="18"/>
              </w:rPr>
              <w:t>202</w:t>
            </w:r>
            <w:r w:rsidR="00161F4D">
              <w:rPr>
                <w:rFonts w:ascii="Arial" w:hAnsi="Arial" w:cs="Arial"/>
                <w:b/>
                <w:bCs/>
                <w:sz w:val="18"/>
                <w:szCs w:val="18"/>
              </w:rPr>
              <w:t>4</w:t>
            </w:r>
            <w:r w:rsidRPr="007478FB">
              <w:rPr>
                <w:rFonts w:ascii="Arial" w:hAnsi="Arial" w:cs="Arial"/>
                <w:b/>
                <w:bCs/>
                <w:sz w:val="18"/>
                <w:szCs w:val="18"/>
              </w:rPr>
              <w:t>.</w:t>
            </w:r>
          </w:p>
        </w:tc>
        <w:tc>
          <w:tcPr>
            <w:tcW w:w="986" w:type="pct"/>
            <w:gridSpan w:val="2"/>
            <w:vAlign w:val="bottom"/>
          </w:tcPr>
          <w:p w14:paraId="7427CCBB" w14:textId="5DE06582" w:rsidR="001137B3" w:rsidRPr="007478FB" w:rsidRDefault="001137B3" w:rsidP="007478FB">
            <w:pPr>
              <w:tabs>
                <w:tab w:val="right" w:pos="1202"/>
              </w:tabs>
              <w:suppressAutoHyphens/>
              <w:autoSpaceDN w:val="0"/>
              <w:jc w:val="center"/>
              <w:outlineLvl w:val="0"/>
              <w:rPr>
                <w:rFonts w:ascii="Arial" w:hAnsi="Arial" w:cs="Arial"/>
                <w:b/>
                <w:bCs/>
                <w:sz w:val="18"/>
                <w:szCs w:val="18"/>
              </w:rPr>
            </w:pPr>
            <w:r w:rsidRPr="007478FB">
              <w:rPr>
                <w:rFonts w:ascii="Arial" w:hAnsi="Arial" w:cs="Arial"/>
                <w:b/>
                <w:bCs/>
                <w:sz w:val="18"/>
                <w:szCs w:val="18"/>
              </w:rPr>
              <w:t>202</w:t>
            </w:r>
            <w:r w:rsidR="00161F4D">
              <w:rPr>
                <w:rFonts w:ascii="Arial" w:hAnsi="Arial" w:cs="Arial"/>
                <w:b/>
                <w:bCs/>
                <w:sz w:val="18"/>
                <w:szCs w:val="18"/>
              </w:rPr>
              <w:t>3</w:t>
            </w:r>
            <w:r w:rsidRPr="007478FB">
              <w:rPr>
                <w:rFonts w:ascii="Arial" w:hAnsi="Arial" w:cs="Arial"/>
                <w:b/>
                <w:bCs/>
                <w:sz w:val="18"/>
                <w:szCs w:val="18"/>
              </w:rPr>
              <w:t>.</w:t>
            </w:r>
          </w:p>
        </w:tc>
      </w:tr>
      <w:tr w:rsidR="001137B3" w:rsidRPr="00291152" w14:paraId="428AE43A" w14:textId="77777777" w:rsidTr="007478FB">
        <w:trPr>
          <w:trHeight w:val="300"/>
        </w:trPr>
        <w:tc>
          <w:tcPr>
            <w:tcW w:w="1044" w:type="pct"/>
            <w:vAlign w:val="bottom"/>
          </w:tcPr>
          <w:p w14:paraId="6F8354F8" w14:textId="77777777" w:rsidR="001137B3" w:rsidRPr="007478FB" w:rsidRDefault="001137B3" w:rsidP="001137B3">
            <w:pPr>
              <w:tabs>
                <w:tab w:val="right" w:pos="1202"/>
              </w:tabs>
              <w:suppressAutoHyphens/>
              <w:autoSpaceDN w:val="0"/>
              <w:jc w:val="right"/>
              <w:outlineLvl w:val="0"/>
              <w:rPr>
                <w:rFonts w:ascii="Arial" w:eastAsia="Times New Roman" w:hAnsi="Arial" w:cs="Arial"/>
                <w:b/>
                <w:color w:val="000000" w:themeColor="text1"/>
                <w:sz w:val="18"/>
                <w:szCs w:val="18"/>
              </w:rPr>
            </w:pPr>
          </w:p>
        </w:tc>
        <w:tc>
          <w:tcPr>
            <w:tcW w:w="495" w:type="pct"/>
            <w:vAlign w:val="bottom"/>
          </w:tcPr>
          <w:p w14:paraId="3E1A378E" w14:textId="32923BCF" w:rsidR="001137B3" w:rsidRPr="007478FB" w:rsidRDefault="001137B3" w:rsidP="001137B3">
            <w:pPr>
              <w:tabs>
                <w:tab w:val="right" w:pos="1202"/>
              </w:tabs>
              <w:suppressAutoHyphens/>
              <w:autoSpaceDN w:val="0"/>
              <w:jc w:val="right"/>
              <w:outlineLvl w:val="0"/>
              <w:rPr>
                <w:rFonts w:ascii="Arial" w:eastAsia="Times New Roman" w:hAnsi="Arial" w:cs="Arial"/>
                <w:b/>
                <w:color w:val="000000" w:themeColor="text1"/>
                <w:sz w:val="18"/>
                <w:szCs w:val="18"/>
              </w:rPr>
            </w:pPr>
            <w:r w:rsidRPr="007478FB">
              <w:rPr>
                <w:rFonts w:ascii="Arial" w:hAnsi="Arial" w:cs="Arial"/>
                <w:b/>
                <w:bCs/>
                <w:sz w:val="18"/>
                <w:szCs w:val="18"/>
              </w:rPr>
              <w:t>Tekuće razdoblje</w:t>
            </w:r>
          </w:p>
        </w:tc>
        <w:tc>
          <w:tcPr>
            <w:tcW w:w="495" w:type="pct"/>
            <w:vAlign w:val="bottom"/>
          </w:tcPr>
          <w:p w14:paraId="0ED20DAB" w14:textId="26C75FC6" w:rsidR="001137B3" w:rsidRPr="007478FB" w:rsidRDefault="001137B3" w:rsidP="001137B3">
            <w:pPr>
              <w:tabs>
                <w:tab w:val="right" w:pos="1202"/>
              </w:tabs>
              <w:suppressAutoHyphens/>
              <w:autoSpaceDN w:val="0"/>
              <w:jc w:val="right"/>
              <w:outlineLvl w:val="0"/>
              <w:rPr>
                <w:rFonts w:ascii="Arial" w:eastAsia="Times New Roman" w:hAnsi="Arial" w:cs="Arial"/>
                <w:b/>
                <w:color w:val="000000" w:themeColor="text1"/>
                <w:sz w:val="18"/>
                <w:szCs w:val="18"/>
              </w:rPr>
            </w:pPr>
            <w:r w:rsidRPr="007478FB">
              <w:rPr>
                <w:rFonts w:ascii="Arial" w:hAnsi="Arial" w:cs="Arial"/>
                <w:b/>
                <w:bCs/>
                <w:sz w:val="18"/>
                <w:szCs w:val="18"/>
              </w:rPr>
              <w:t>Kumulativ</w:t>
            </w:r>
          </w:p>
        </w:tc>
        <w:tc>
          <w:tcPr>
            <w:tcW w:w="495" w:type="pct"/>
            <w:vAlign w:val="bottom"/>
          </w:tcPr>
          <w:p w14:paraId="18B57035" w14:textId="720FF064" w:rsidR="001137B3" w:rsidRPr="007478FB" w:rsidRDefault="001137B3" w:rsidP="001137B3">
            <w:pPr>
              <w:tabs>
                <w:tab w:val="right" w:pos="1202"/>
              </w:tabs>
              <w:suppressAutoHyphens/>
              <w:autoSpaceDN w:val="0"/>
              <w:jc w:val="right"/>
              <w:outlineLvl w:val="0"/>
              <w:rPr>
                <w:rFonts w:ascii="Arial" w:eastAsia="Times New Roman" w:hAnsi="Arial" w:cs="Arial"/>
                <w:b/>
                <w:color w:val="000000" w:themeColor="text1"/>
                <w:sz w:val="18"/>
                <w:szCs w:val="18"/>
              </w:rPr>
            </w:pPr>
            <w:r w:rsidRPr="007478FB">
              <w:rPr>
                <w:rFonts w:ascii="Arial" w:hAnsi="Arial" w:cs="Arial"/>
                <w:b/>
                <w:bCs/>
                <w:sz w:val="18"/>
                <w:szCs w:val="18"/>
              </w:rPr>
              <w:t>Tekuće razdoblje</w:t>
            </w:r>
          </w:p>
        </w:tc>
        <w:tc>
          <w:tcPr>
            <w:tcW w:w="495" w:type="pct"/>
            <w:vAlign w:val="bottom"/>
          </w:tcPr>
          <w:p w14:paraId="039E68D0" w14:textId="634C9B5B" w:rsidR="001137B3" w:rsidRPr="007478FB" w:rsidRDefault="001137B3" w:rsidP="001137B3">
            <w:pPr>
              <w:tabs>
                <w:tab w:val="right" w:pos="1202"/>
              </w:tabs>
              <w:suppressAutoHyphens/>
              <w:autoSpaceDN w:val="0"/>
              <w:jc w:val="right"/>
              <w:outlineLvl w:val="0"/>
              <w:rPr>
                <w:rFonts w:ascii="Arial" w:eastAsia="Times New Roman" w:hAnsi="Arial" w:cs="Arial"/>
                <w:b/>
                <w:color w:val="000000" w:themeColor="text1"/>
                <w:sz w:val="18"/>
                <w:szCs w:val="18"/>
              </w:rPr>
            </w:pPr>
            <w:r w:rsidRPr="007478FB">
              <w:rPr>
                <w:rFonts w:ascii="Arial" w:hAnsi="Arial" w:cs="Arial"/>
                <w:b/>
                <w:bCs/>
                <w:sz w:val="18"/>
                <w:szCs w:val="18"/>
              </w:rPr>
              <w:t>Kumulativ</w:t>
            </w:r>
          </w:p>
        </w:tc>
        <w:tc>
          <w:tcPr>
            <w:tcW w:w="495" w:type="pct"/>
            <w:vAlign w:val="bottom"/>
          </w:tcPr>
          <w:p w14:paraId="1C5F9400" w14:textId="7BDB1811" w:rsidR="001137B3" w:rsidRPr="007478FB" w:rsidRDefault="001137B3" w:rsidP="001137B3">
            <w:pPr>
              <w:tabs>
                <w:tab w:val="right" w:pos="1202"/>
              </w:tabs>
              <w:suppressAutoHyphens/>
              <w:autoSpaceDN w:val="0"/>
              <w:jc w:val="right"/>
              <w:outlineLvl w:val="0"/>
              <w:rPr>
                <w:rFonts w:ascii="Arial" w:eastAsia="Times New Roman" w:hAnsi="Arial" w:cs="Arial"/>
                <w:b/>
                <w:color w:val="000000" w:themeColor="text1"/>
                <w:sz w:val="18"/>
                <w:szCs w:val="18"/>
              </w:rPr>
            </w:pPr>
            <w:r w:rsidRPr="007478FB">
              <w:rPr>
                <w:rFonts w:ascii="Arial" w:hAnsi="Arial" w:cs="Arial"/>
                <w:b/>
                <w:bCs/>
                <w:sz w:val="18"/>
                <w:szCs w:val="18"/>
              </w:rPr>
              <w:t>Tekuće razdoblje</w:t>
            </w:r>
          </w:p>
        </w:tc>
        <w:tc>
          <w:tcPr>
            <w:tcW w:w="495" w:type="pct"/>
            <w:vAlign w:val="bottom"/>
          </w:tcPr>
          <w:p w14:paraId="19BD78AD" w14:textId="739F5521" w:rsidR="001137B3" w:rsidRPr="007478FB" w:rsidRDefault="001137B3" w:rsidP="001137B3">
            <w:pPr>
              <w:tabs>
                <w:tab w:val="right" w:pos="1202"/>
              </w:tabs>
              <w:suppressAutoHyphens/>
              <w:autoSpaceDN w:val="0"/>
              <w:jc w:val="right"/>
              <w:outlineLvl w:val="0"/>
              <w:rPr>
                <w:rFonts w:ascii="Arial" w:eastAsia="Times New Roman" w:hAnsi="Arial" w:cs="Arial"/>
                <w:b/>
                <w:color w:val="000000" w:themeColor="text1"/>
                <w:sz w:val="18"/>
                <w:szCs w:val="18"/>
              </w:rPr>
            </w:pPr>
            <w:r w:rsidRPr="007478FB">
              <w:rPr>
                <w:rFonts w:ascii="Arial" w:hAnsi="Arial" w:cs="Arial"/>
                <w:b/>
                <w:bCs/>
                <w:sz w:val="18"/>
                <w:szCs w:val="18"/>
              </w:rPr>
              <w:t>Kumulativ</w:t>
            </w:r>
          </w:p>
        </w:tc>
        <w:tc>
          <w:tcPr>
            <w:tcW w:w="495" w:type="pct"/>
            <w:vAlign w:val="bottom"/>
          </w:tcPr>
          <w:p w14:paraId="14CB52ED" w14:textId="265D3F00" w:rsidR="001137B3" w:rsidRPr="007478FB" w:rsidRDefault="001137B3" w:rsidP="001137B3">
            <w:pPr>
              <w:tabs>
                <w:tab w:val="right" w:pos="1202"/>
              </w:tabs>
              <w:suppressAutoHyphens/>
              <w:autoSpaceDN w:val="0"/>
              <w:jc w:val="right"/>
              <w:outlineLvl w:val="0"/>
              <w:rPr>
                <w:rFonts w:ascii="Arial" w:eastAsia="Times New Roman" w:hAnsi="Arial" w:cs="Arial"/>
                <w:b/>
                <w:color w:val="000000" w:themeColor="text1"/>
                <w:sz w:val="18"/>
                <w:szCs w:val="18"/>
              </w:rPr>
            </w:pPr>
            <w:r w:rsidRPr="007478FB">
              <w:rPr>
                <w:rFonts w:ascii="Arial" w:hAnsi="Arial" w:cs="Arial"/>
                <w:b/>
                <w:bCs/>
                <w:sz w:val="18"/>
                <w:szCs w:val="18"/>
              </w:rPr>
              <w:t>Tekuće razdoblje</w:t>
            </w:r>
          </w:p>
        </w:tc>
        <w:tc>
          <w:tcPr>
            <w:tcW w:w="491" w:type="pct"/>
            <w:vAlign w:val="bottom"/>
          </w:tcPr>
          <w:p w14:paraId="57390BEA" w14:textId="292FD28D" w:rsidR="001137B3" w:rsidRPr="007478FB" w:rsidRDefault="001137B3" w:rsidP="001137B3">
            <w:pPr>
              <w:tabs>
                <w:tab w:val="right" w:pos="1202"/>
              </w:tabs>
              <w:suppressAutoHyphens/>
              <w:autoSpaceDN w:val="0"/>
              <w:jc w:val="right"/>
              <w:outlineLvl w:val="0"/>
              <w:rPr>
                <w:rFonts w:ascii="Arial" w:eastAsia="Times New Roman" w:hAnsi="Arial" w:cs="Arial"/>
                <w:b/>
                <w:color w:val="000000" w:themeColor="text1"/>
                <w:sz w:val="18"/>
                <w:szCs w:val="18"/>
              </w:rPr>
            </w:pPr>
            <w:r w:rsidRPr="007478FB">
              <w:rPr>
                <w:rFonts w:ascii="Arial" w:hAnsi="Arial" w:cs="Arial"/>
                <w:b/>
                <w:bCs/>
                <w:sz w:val="18"/>
                <w:szCs w:val="18"/>
              </w:rPr>
              <w:t>Kumulativ</w:t>
            </w:r>
          </w:p>
        </w:tc>
      </w:tr>
      <w:tr w:rsidR="00FB136F" w:rsidRPr="00291152" w14:paraId="3800EC73" w14:textId="77777777" w:rsidTr="001137B3">
        <w:trPr>
          <w:trHeight w:val="300"/>
        </w:trPr>
        <w:tc>
          <w:tcPr>
            <w:tcW w:w="1044" w:type="pct"/>
            <w:vAlign w:val="bottom"/>
          </w:tcPr>
          <w:p w14:paraId="775B16DA" w14:textId="77777777" w:rsidR="00FB136F" w:rsidRPr="007478FB" w:rsidRDefault="00FB136F" w:rsidP="00FB136F">
            <w:pPr>
              <w:tabs>
                <w:tab w:val="right" w:pos="1202"/>
              </w:tabs>
              <w:suppressAutoHyphens/>
              <w:autoSpaceDN w:val="0"/>
              <w:jc w:val="right"/>
              <w:outlineLvl w:val="0"/>
              <w:rPr>
                <w:rFonts w:ascii="Arial" w:eastAsia="Times New Roman" w:hAnsi="Arial" w:cs="Arial"/>
                <w:b/>
                <w:color w:val="000000" w:themeColor="text1"/>
                <w:sz w:val="18"/>
                <w:szCs w:val="18"/>
              </w:rPr>
            </w:pPr>
          </w:p>
        </w:tc>
        <w:tc>
          <w:tcPr>
            <w:tcW w:w="495" w:type="pct"/>
            <w:vAlign w:val="bottom"/>
          </w:tcPr>
          <w:p w14:paraId="7C88AE31" w14:textId="588E546E" w:rsidR="00FB136F" w:rsidRPr="007478FB" w:rsidRDefault="00FB136F" w:rsidP="00FB136F">
            <w:pPr>
              <w:tabs>
                <w:tab w:val="right" w:pos="1202"/>
              </w:tabs>
              <w:suppressAutoHyphens/>
              <w:autoSpaceDN w:val="0"/>
              <w:jc w:val="right"/>
              <w:outlineLvl w:val="0"/>
              <w:rPr>
                <w:rFonts w:ascii="Arial" w:hAnsi="Arial" w:cs="Arial"/>
                <w:b/>
                <w:bCs/>
                <w:sz w:val="18"/>
                <w:szCs w:val="18"/>
              </w:rPr>
            </w:pPr>
            <w:r w:rsidRPr="007478FB">
              <w:rPr>
                <w:rFonts w:ascii="Arial" w:hAnsi="Arial" w:cs="Arial"/>
                <w:b/>
                <w:bCs/>
                <w:sz w:val="18"/>
                <w:szCs w:val="18"/>
              </w:rPr>
              <w:t>1.</w:t>
            </w:r>
            <w:r>
              <w:rPr>
                <w:rFonts w:ascii="Arial" w:hAnsi="Arial" w:cs="Arial"/>
                <w:b/>
                <w:bCs/>
                <w:sz w:val="18"/>
                <w:szCs w:val="18"/>
              </w:rPr>
              <w:t>7</w:t>
            </w:r>
            <w:r w:rsidRPr="007478FB">
              <w:rPr>
                <w:rFonts w:ascii="Arial" w:hAnsi="Arial" w:cs="Arial"/>
                <w:b/>
                <w:bCs/>
                <w:sz w:val="18"/>
                <w:szCs w:val="18"/>
              </w:rPr>
              <w:t>. - 30.</w:t>
            </w:r>
            <w:r>
              <w:rPr>
                <w:rFonts w:ascii="Arial" w:hAnsi="Arial" w:cs="Arial"/>
                <w:b/>
                <w:bCs/>
                <w:sz w:val="18"/>
                <w:szCs w:val="18"/>
              </w:rPr>
              <w:t>9</w:t>
            </w:r>
            <w:r w:rsidRPr="007478FB">
              <w:rPr>
                <w:rFonts w:ascii="Arial" w:hAnsi="Arial" w:cs="Arial"/>
                <w:b/>
                <w:bCs/>
                <w:sz w:val="18"/>
                <w:szCs w:val="18"/>
              </w:rPr>
              <w:t>.</w:t>
            </w:r>
          </w:p>
        </w:tc>
        <w:tc>
          <w:tcPr>
            <w:tcW w:w="495" w:type="pct"/>
            <w:vAlign w:val="bottom"/>
          </w:tcPr>
          <w:p w14:paraId="228F7787" w14:textId="181B54CD" w:rsidR="00FB136F" w:rsidRPr="007478FB" w:rsidRDefault="00FB136F" w:rsidP="00FB136F">
            <w:pPr>
              <w:tabs>
                <w:tab w:val="right" w:pos="1202"/>
              </w:tabs>
              <w:suppressAutoHyphens/>
              <w:autoSpaceDN w:val="0"/>
              <w:jc w:val="right"/>
              <w:outlineLvl w:val="0"/>
              <w:rPr>
                <w:rFonts w:ascii="Arial" w:hAnsi="Arial" w:cs="Arial"/>
                <w:b/>
                <w:bCs/>
                <w:sz w:val="18"/>
                <w:szCs w:val="18"/>
              </w:rPr>
            </w:pPr>
            <w:r w:rsidRPr="007478FB">
              <w:rPr>
                <w:rFonts w:ascii="Arial" w:hAnsi="Arial" w:cs="Arial"/>
                <w:b/>
                <w:bCs/>
                <w:sz w:val="18"/>
                <w:szCs w:val="18"/>
              </w:rPr>
              <w:t>1.1. - 30.</w:t>
            </w:r>
            <w:r>
              <w:rPr>
                <w:rFonts w:ascii="Arial" w:hAnsi="Arial" w:cs="Arial"/>
                <w:b/>
                <w:bCs/>
                <w:sz w:val="18"/>
                <w:szCs w:val="18"/>
              </w:rPr>
              <w:t>9</w:t>
            </w:r>
            <w:r w:rsidRPr="007478FB">
              <w:rPr>
                <w:rFonts w:ascii="Arial" w:hAnsi="Arial" w:cs="Arial"/>
                <w:b/>
                <w:bCs/>
                <w:sz w:val="18"/>
                <w:szCs w:val="18"/>
              </w:rPr>
              <w:t>.</w:t>
            </w:r>
          </w:p>
        </w:tc>
        <w:tc>
          <w:tcPr>
            <w:tcW w:w="495" w:type="pct"/>
            <w:vAlign w:val="bottom"/>
          </w:tcPr>
          <w:p w14:paraId="74E934E8" w14:textId="3496B4D4" w:rsidR="00FB136F" w:rsidRPr="007478FB" w:rsidRDefault="00FB136F" w:rsidP="00FB136F">
            <w:pPr>
              <w:tabs>
                <w:tab w:val="right" w:pos="1202"/>
              </w:tabs>
              <w:suppressAutoHyphens/>
              <w:autoSpaceDN w:val="0"/>
              <w:jc w:val="right"/>
              <w:outlineLvl w:val="0"/>
              <w:rPr>
                <w:rFonts w:ascii="Arial" w:hAnsi="Arial" w:cs="Arial"/>
                <w:b/>
                <w:bCs/>
                <w:sz w:val="18"/>
                <w:szCs w:val="18"/>
              </w:rPr>
            </w:pPr>
            <w:r w:rsidRPr="007478FB">
              <w:rPr>
                <w:rFonts w:ascii="Arial" w:hAnsi="Arial" w:cs="Arial"/>
                <w:b/>
                <w:bCs/>
                <w:sz w:val="18"/>
                <w:szCs w:val="18"/>
              </w:rPr>
              <w:t>1.</w:t>
            </w:r>
            <w:r>
              <w:rPr>
                <w:rFonts w:ascii="Arial" w:hAnsi="Arial" w:cs="Arial"/>
                <w:b/>
                <w:bCs/>
                <w:sz w:val="18"/>
                <w:szCs w:val="18"/>
              </w:rPr>
              <w:t>7</w:t>
            </w:r>
            <w:r w:rsidRPr="007478FB">
              <w:rPr>
                <w:rFonts w:ascii="Arial" w:hAnsi="Arial" w:cs="Arial"/>
                <w:b/>
                <w:bCs/>
                <w:sz w:val="18"/>
                <w:szCs w:val="18"/>
              </w:rPr>
              <w:t>. - 30.</w:t>
            </w:r>
            <w:r>
              <w:rPr>
                <w:rFonts w:ascii="Arial" w:hAnsi="Arial" w:cs="Arial"/>
                <w:b/>
                <w:bCs/>
                <w:sz w:val="18"/>
                <w:szCs w:val="18"/>
              </w:rPr>
              <w:t>9</w:t>
            </w:r>
            <w:r w:rsidRPr="007478FB">
              <w:rPr>
                <w:rFonts w:ascii="Arial" w:hAnsi="Arial" w:cs="Arial"/>
                <w:b/>
                <w:bCs/>
                <w:sz w:val="18"/>
                <w:szCs w:val="18"/>
              </w:rPr>
              <w:t>.</w:t>
            </w:r>
          </w:p>
        </w:tc>
        <w:tc>
          <w:tcPr>
            <w:tcW w:w="495" w:type="pct"/>
            <w:vAlign w:val="bottom"/>
          </w:tcPr>
          <w:p w14:paraId="319F9155" w14:textId="6EF80C4D" w:rsidR="00FB136F" w:rsidRPr="007478FB" w:rsidRDefault="00FB136F" w:rsidP="00FB136F">
            <w:pPr>
              <w:tabs>
                <w:tab w:val="right" w:pos="1202"/>
              </w:tabs>
              <w:suppressAutoHyphens/>
              <w:autoSpaceDN w:val="0"/>
              <w:jc w:val="right"/>
              <w:outlineLvl w:val="0"/>
              <w:rPr>
                <w:rFonts w:ascii="Arial" w:hAnsi="Arial" w:cs="Arial"/>
                <w:b/>
                <w:bCs/>
                <w:sz w:val="18"/>
                <w:szCs w:val="18"/>
              </w:rPr>
            </w:pPr>
            <w:r w:rsidRPr="007478FB">
              <w:rPr>
                <w:rFonts w:ascii="Arial" w:hAnsi="Arial" w:cs="Arial"/>
                <w:b/>
                <w:bCs/>
                <w:sz w:val="18"/>
                <w:szCs w:val="18"/>
              </w:rPr>
              <w:t>1.1. - 30.</w:t>
            </w:r>
            <w:r>
              <w:rPr>
                <w:rFonts w:ascii="Arial" w:hAnsi="Arial" w:cs="Arial"/>
                <w:b/>
                <w:bCs/>
                <w:sz w:val="18"/>
                <w:szCs w:val="18"/>
              </w:rPr>
              <w:t>9</w:t>
            </w:r>
            <w:r w:rsidRPr="007478FB">
              <w:rPr>
                <w:rFonts w:ascii="Arial" w:hAnsi="Arial" w:cs="Arial"/>
                <w:b/>
                <w:bCs/>
                <w:sz w:val="18"/>
                <w:szCs w:val="18"/>
              </w:rPr>
              <w:t>.</w:t>
            </w:r>
          </w:p>
        </w:tc>
        <w:tc>
          <w:tcPr>
            <w:tcW w:w="495" w:type="pct"/>
            <w:vAlign w:val="bottom"/>
          </w:tcPr>
          <w:p w14:paraId="519736D4" w14:textId="4D9B5825" w:rsidR="00FB136F" w:rsidRPr="007478FB" w:rsidRDefault="00FB136F" w:rsidP="00FB136F">
            <w:pPr>
              <w:tabs>
                <w:tab w:val="right" w:pos="1202"/>
              </w:tabs>
              <w:suppressAutoHyphens/>
              <w:autoSpaceDN w:val="0"/>
              <w:jc w:val="right"/>
              <w:outlineLvl w:val="0"/>
              <w:rPr>
                <w:rFonts w:ascii="Arial" w:hAnsi="Arial" w:cs="Arial"/>
                <w:b/>
                <w:bCs/>
                <w:sz w:val="18"/>
                <w:szCs w:val="18"/>
              </w:rPr>
            </w:pPr>
            <w:r w:rsidRPr="007478FB">
              <w:rPr>
                <w:rFonts w:ascii="Arial" w:hAnsi="Arial" w:cs="Arial"/>
                <w:b/>
                <w:bCs/>
                <w:sz w:val="18"/>
                <w:szCs w:val="18"/>
              </w:rPr>
              <w:t>1.</w:t>
            </w:r>
            <w:r>
              <w:rPr>
                <w:rFonts w:ascii="Arial" w:hAnsi="Arial" w:cs="Arial"/>
                <w:b/>
                <w:bCs/>
                <w:sz w:val="18"/>
                <w:szCs w:val="18"/>
              </w:rPr>
              <w:t>7</w:t>
            </w:r>
            <w:r w:rsidRPr="007478FB">
              <w:rPr>
                <w:rFonts w:ascii="Arial" w:hAnsi="Arial" w:cs="Arial"/>
                <w:b/>
                <w:bCs/>
                <w:sz w:val="18"/>
                <w:szCs w:val="18"/>
              </w:rPr>
              <w:t>. - 30.</w:t>
            </w:r>
            <w:r>
              <w:rPr>
                <w:rFonts w:ascii="Arial" w:hAnsi="Arial" w:cs="Arial"/>
                <w:b/>
                <w:bCs/>
                <w:sz w:val="18"/>
                <w:szCs w:val="18"/>
              </w:rPr>
              <w:t>9</w:t>
            </w:r>
            <w:r w:rsidRPr="007478FB">
              <w:rPr>
                <w:rFonts w:ascii="Arial" w:hAnsi="Arial" w:cs="Arial"/>
                <w:b/>
                <w:bCs/>
                <w:sz w:val="18"/>
                <w:szCs w:val="18"/>
              </w:rPr>
              <w:t>.</w:t>
            </w:r>
          </w:p>
        </w:tc>
        <w:tc>
          <w:tcPr>
            <w:tcW w:w="495" w:type="pct"/>
            <w:vAlign w:val="bottom"/>
          </w:tcPr>
          <w:p w14:paraId="311F51C3" w14:textId="7404B5B2" w:rsidR="00FB136F" w:rsidRPr="007478FB" w:rsidRDefault="00FB136F" w:rsidP="00FB136F">
            <w:pPr>
              <w:tabs>
                <w:tab w:val="right" w:pos="1202"/>
              </w:tabs>
              <w:suppressAutoHyphens/>
              <w:autoSpaceDN w:val="0"/>
              <w:jc w:val="right"/>
              <w:outlineLvl w:val="0"/>
              <w:rPr>
                <w:rFonts w:ascii="Arial" w:hAnsi="Arial" w:cs="Arial"/>
                <w:b/>
                <w:bCs/>
                <w:sz w:val="18"/>
                <w:szCs w:val="18"/>
              </w:rPr>
            </w:pPr>
            <w:r w:rsidRPr="007478FB">
              <w:rPr>
                <w:rFonts w:ascii="Arial" w:hAnsi="Arial" w:cs="Arial"/>
                <w:b/>
                <w:bCs/>
                <w:sz w:val="18"/>
                <w:szCs w:val="18"/>
              </w:rPr>
              <w:t>1.1. - 30.</w:t>
            </w:r>
            <w:r>
              <w:rPr>
                <w:rFonts w:ascii="Arial" w:hAnsi="Arial" w:cs="Arial"/>
                <w:b/>
                <w:bCs/>
                <w:sz w:val="18"/>
                <w:szCs w:val="18"/>
              </w:rPr>
              <w:t>9</w:t>
            </w:r>
            <w:r w:rsidRPr="007478FB">
              <w:rPr>
                <w:rFonts w:ascii="Arial" w:hAnsi="Arial" w:cs="Arial"/>
                <w:b/>
                <w:bCs/>
                <w:sz w:val="18"/>
                <w:szCs w:val="18"/>
              </w:rPr>
              <w:t>.</w:t>
            </w:r>
          </w:p>
        </w:tc>
        <w:tc>
          <w:tcPr>
            <w:tcW w:w="495" w:type="pct"/>
            <w:vAlign w:val="bottom"/>
          </w:tcPr>
          <w:p w14:paraId="19906B27" w14:textId="751CF5E1" w:rsidR="00FB136F" w:rsidRPr="007478FB" w:rsidRDefault="00FB136F" w:rsidP="00FB136F">
            <w:pPr>
              <w:tabs>
                <w:tab w:val="right" w:pos="1202"/>
              </w:tabs>
              <w:suppressAutoHyphens/>
              <w:autoSpaceDN w:val="0"/>
              <w:jc w:val="right"/>
              <w:outlineLvl w:val="0"/>
              <w:rPr>
                <w:rFonts w:ascii="Arial" w:hAnsi="Arial" w:cs="Arial"/>
                <w:b/>
                <w:bCs/>
                <w:sz w:val="18"/>
                <w:szCs w:val="18"/>
              </w:rPr>
            </w:pPr>
            <w:r w:rsidRPr="007478FB">
              <w:rPr>
                <w:rFonts w:ascii="Arial" w:hAnsi="Arial" w:cs="Arial"/>
                <w:b/>
                <w:bCs/>
                <w:sz w:val="18"/>
                <w:szCs w:val="18"/>
              </w:rPr>
              <w:t>1.</w:t>
            </w:r>
            <w:r>
              <w:rPr>
                <w:rFonts w:ascii="Arial" w:hAnsi="Arial" w:cs="Arial"/>
                <w:b/>
                <w:bCs/>
                <w:sz w:val="18"/>
                <w:szCs w:val="18"/>
              </w:rPr>
              <w:t>7</w:t>
            </w:r>
            <w:r w:rsidRPr="007478FB">
              <w:rPr>
                <w:rFonts w:ascii="Arial" w:hAnsi="Arial" w:cs="Arial"/>
                <w:b/>
                <w:bCs/>
                <w:sz w:val="18"/>
                <w:szCs w:val="18"/>
              </w:rPr>
              <w:t>. - 30.</w:t>
            </w:r>
            <w:r>
              <w:rPr>
                <w:rFonts w:ascii="Arial" w:hAnsi="Arial" w:cs="Arial"/>
                <w:b/>
                <w:bCs/>
                <w:sz w:val="18"/>
                <w:szCs w:val="18"/>
              </w:rPr>
              <w:t>9</w:t>
            </w:r>
            <w:r w:rsidRPr="007478FB">
              <w:rPr>
                <w:rFonts w:ascii="Arial" w:hAnsi="Arial" w:cs="Arial"/>
                <w:b/>
                <w:bCs/>
                <w:sz w:val="18"/>
                <w:szCs w:val="18"/>
              </w:rPr>
              <w:t>.</w:t>
            </w:r>
          </w:p>
        </w:tc>
        <w:tc>
          <w:tcPr>
            <w:tcW w:w="491" w:type="pct"/>
            <w:vAlign w:val="bottom"/>
          </w:tcPr>
          <w:p w14:paraId="546B6B51" w14:textId="05AC7872" w:rsidR="00FB136F" w:rsidRPr="007478FB" w:rsidRDefault="00FB136F" w:rsidP="00FB136F">
            <w:pPr>
              <w:tabs>
                <w:tab w:val="right" w:pos="1202"/>
              </w:tabs>
              <w:suppressAutoHyphens/>
              <w:autoSpaceDN w:val="0"/>
              <w:jc w:val="right"/>
              <w:outlineLvl w:val="0"/>
              <w:rPr>
                <w:rFonts w:ascii="Arial" w:hAnsi="Arial" w:cs="Arial"/>
                <w:b/>
                <w:bCs/>
                <w:sz w:val="18"/>
                <w:szCs w:val="18"/>
              </w:rPr>
            </w:pPr>
            <w:r w:rsidRPr="007478FB">
              <w:rPr>
                <w:rFonts w:ascii="Arial" w:hAnsi="Arial" w:cs="Arial"/>
                <w:b/>
                <w:bCs/>
                <w:sz w:val="18"/>
                <w:szCs w:val="18"/>
              </w:rPr>
              <w:t>1.1. - 30.</w:t>
            </w:r>
            <w:r>
              <w:rPr>
                <w:rFonts w:ascii="Arial" w:hAnsi="Arial" w:cs="Arial"/>
                <w:b/>
                <w:bCs/>
                <w:sz w:val="18"/>
                <w:szCs w:val="18"/>
              </w:rPr>
              <w:t>9</w:t>
            </w:r>
            <w:r w:rsidRPr="007478FB">
              <w:rPr>
                <w:rFonts w:ascii="Arial" w:hAnsi="Arial" w:cs="Arial"/>
                <w:b/>
                <w:bCs/>
                <w:sz w:val="18"/>
                <w:szCs w:val="18"/>
              </w:rPr>
              <w:t>.</w:t>
            </w:r>
          </w:p>
        </w:tc>
      </w:tr>
      <w:tr w:rsidR="001137B3" w:rsidRPr="00291152" w14:paraId="640CE2DA" w14:textId="77777777" w:rsidTr="007478FB">
        <w:trPr>
          <w:trHeight w:val="187"/>
        </w:trPr>
        <w:tc>
          <w:tcPr>
            <w:tcW w:w="1044" w:type="pct"/>
            <w:vAlign w:val="bottom"/>
          </w:tcPr>
          <w:p w14:paraId="65626534" w14:textId="77777777" w:rsidR="001137B3" w:rsidRPr="007478FB" w:rsidRDefault="001137B3" w:rsidP="001137B3">
            <w:pPr>
              <w:tabs>
                <w:tab w:val="left" w:pos="-720"/>
              </w:tabs>
              <w:suppressAutoHyphens/>
              <w:autoSpaceDN w:val="0"/>
              <w:ind w:right="4144"/>
              <w:jc w:val="right"/>
              <w:rPr>
                <w:rFonts w:ascii="Arial" w:eastAsia="Times New Roman" w:hAnsi="Arial" w:cs="Arial"/>
                <w:color w:val="000000" w:themeColor="text1"/>
                <w:sz w:val="18"/>
                <w:szCs w:val="18"/>
              </w:rPr>
            </w:pPr>
          </w:p>
        </w:tc>
        <w:tc>
          <w:tcPr>
            <w:tcW w:w="495" w:type="pct"/>
            <w:vAlign w:val="bottom"/>
          </w:tcPr>
          <w:p w14:paraId="11ECDB00" w14:textId="18FE71B0" w:rsidR="001137B3" w:rsidRPr="007478FB" w:rsidRDefault="001137B3" w:rsidP="001137B3">
            <w:pPr>
              <w:tabs>
                <w:tab w:val="right" w:pos="1202"/>
              </w:tabs>
              <w:suppressAutoHyphens/>
              <w:autoSpaceDN w:val="0"/>
              <w:jc w:val="right"/>
              <w:outlineLvl w:val="0"/>
              <w:rPr>
                <w:rFonts w:ascii="Arial" w:eastAsia="Times New Roman" w:hAnsi="Arial" w:cs="Arial"/>
                <w:b/>
                <w:color w:val="000000" w:themeColor="text1"/>
                <w:sz w:val="18"/>
                <w:szCs w:val="18"/>
              </w:rPr>
            </w:pPr>
            <w:r w:rsidRPr="007478FB">
              <w:rPr>
                <w:rFonts w:ascii="Arial" w:eastAsia="Times New Roman" w:hAnsi="Arial" w:cs="Arial"/>
                <w:b/>
                <w:color w:val="000000" w:themeColor="text1"/>
                <w:sz w:val="18"/>
                <w:szCs w:val="18"/>
              </w:rPr>
              <w:t>000 eura</w:t>
            </w:r>
          </w:p>
        </w:tc>
        <w:tc>
          <w:tcPr>
            <w:tcW w:w="495" w:type="pct"/>
            <w:vAlign w:val="bottom"/>
          </w:tcPr>
          <w:p w14:paraId="469A39C9" w14:textId="745C2FB2" w:rsidR="001137B3" w:rsidRPr="007478FB" w:rsidRDefault="001137B3" w:rsidP="001137B3">
            <w:pPr>
              <w:tabs>
                <w:tab w:val="right" w:pos="1202"/>
              </w:tabs>
              <w:suppressAutoHyphens/>
              <w:autoSpaceDN w:val="0"/>
              <w:jc w:val="right"/>
              <w:outlineLvl w:val="0"/>
              <w:rPr>
                <w:rFonts w:ascii="Arial" w:eastAsia="Times New Roman" w:hAnsi="Arial" w:cs="Arial"/>
                <w:b/>
                <w:color w:val="000000" w:themeColor="text1"/>
                <w:sz w:val="18"/>
                <w:szCs w:val="18"/>
              </w:rPr>
            </w:pPr>
            <w:r w:rsidRPr="007478FB">
              <w:rPr>
                <w:rFonts w:ascii="Arial" w:eastAsia="Times New Roman" w:hAnsi="Arial" w:cs="Arial"/>
                <w:b/>
                <w:color w:val="000000" w:themeColor="text1"/>
                <w:sz w:val="18"/>
                <w:szCs w:val="18"/>
              </w:rPr>
              <w:t>000 eura</w:t>
            </w:r>
          </w:p>
        </w:tc>
        <w:tc>
          <w:tcPr>
            <w:tcW w:w="495" w:type="pct"/>
            <w:vAlign w:val="bottom"/>
          </w:tcPr>
          <w:p w14:paraId="61EEFD65" w14:textId="3C37C654" w:rsidR="001137B3" w:rsidRPr="007478FB" w:rsidRDefault="001137B3" w:rsidP="001137B3">
            <w:pPr>
              <w:tabs>
                <w:tab w:val="right" w:pos="1202"/>
              </w:tabs>
              <w:suppressAutoHyphens/>
              <w:autoSpaceDN w:val="0"/>
              <w:jc w:val="right"/>
              <w:outlineLvl w:val="0"/>
              <w:rPr>
                <w:rFonts w:ascii="Arial" w:eastAsia="Times New Roman" w:hAnsi="Arial" w:cs="Arial"/>
                <w:b/>
                <w:color w:val="000000" w:themeColor="text1"/>
                <w:sz w:val="18"/>
                <w:szCs w:val="18"/>
              </w:rPr>
            </w:pPr>
            <w:r w:rsidRPr="007478FB">
              <w:rPr>
                <w:rFonts w:ascii="Arial" w:eastAsia="Times New Roman" w:hAnsi="Arial" w:cs="Arial"/>
                <w:b/>
                <w:color w:val="000000" w:themeColor="text1"/>
                <w:sz w:val="18"/>
                <w:szCs w:val="18"/>
              </w:rPr>
              <w:t>000 eura</w:t>
            </w:r>
          </w:p>
        </w:tc>
        <w:tc>
          <w:tcPr>
            <w:tcW w:w="495" w:type="pct"/>
            <w:vAlign w:val="bottom"/>
          </w:tcPr>
          <w:p w14:paraId="287BF1AC" w14:textId="42C066AC" w:rsidR="001137B3" w:rsidRPr="007478FB" w:rsidRDefault="001137B3" w:rsidP="001137B3">
            <w:pPr>
              <w:tabs>
                <w:tab w:val="right" w:pos="1202"/>
              </w:tabs>
              <w:suppressAutoHyphens/>
              <w:autoSpaceDN w:val="0"/>
              <w:jc w:val="right"/>
              <w:outlineLvl w:val="0"/>
              <w:rPr>
                <w:rFonts w:ascii="Arial" w:eastAsia="Times New Roman" w:hAnsi="Arial" w:cs="Arial"/>
                <w:b/>
                <w:color w:val="000000" w:themeColor="text1"/>
                <w:sz w:val="18"/>
                <w:szCs w:val="18"/>
              </w:rPr>
            </w:pPr>
            <w:r w:rsidRPr="007478FB">
              <w:rPr>
                <w:rFonts w:ascii="Arial" w:eastAsia="Times New Roman" w:hAnsi="Arial" w:cs="Arial"/>
                <w:b/>
                <w:color w:val="000000" w:themeColor="text1"/>
                <w:sz w:val="18"/>
                <w:szCs w:val="18"/>
              </w:rPr>
              <w:t>000 eura</w:t>
            </w:r>
          </w:p>
        </w:tc>
        <w:tc>
          <w:tcPr>
            <w:tcW w:w="495" w:type="pct"/>
            <w:vAlign w:val="bottom"/>
          </w:tcPr>
          <w:p w14:paraId="0AD15775" w14:textId="6F27B8F2" w:rsidR="001137B3" w:rsidRPr="007478FB" w:rsidRDefault="001137B3" w:rsidP="001137B3">
            <w:pPr>
              <w:tabs>
                <w:tab w:val="right" w:pos="1202"/>
              </w:tabs>
              <w:suppressAutoHyphens/>
              <w:autoSpaceDN w:val="0"/>
              <w:jc w:val="right"/>
              <w:outlineLvl w:val="0"/>
              <w:rPr>
                <w:rFonts w:ascii="Arial" w:eastAsia="Times New Roman" w:hAnsi="Arial" w:cs="Arial"/>
                <w:b/>
                <w:color w:val="000000" w:themeColor="text1"/>
                <w:sz w:val="18"/>
                <w:szCs w:val="18"/>
              </w:rPr>
            </w:pPr>
            <w:r w:rsidRPr="007478FB">
              <w:rPr>
                <w:rFonts w:ascii="Arial" w:eastAsia="Times New Roman" w:hAnsi="Arial" w:cs="Arial"/>
                <w:b/>
                <w:color w:val="000000" w:themeColor="text1"/>
                <w:sz w:val="18"/>
                <w:szCs w:val="18"/>
              </w:rPr>
              <w:t>000 eura</w:t>
            </w:r>
          </w:p>
        </w:tc>
        <w:tc>
          <w:tcPr>
            <w:tcW w:w="495" w:type="pct"/>
            <w:vAlign w:val="bottom"/>
          </w:tcPr>
          <w:p w14:paraId="1C14D5A2" w14:textId="26CBD59D" w:rsidR="001137B3" w:rsidRPr="007478FB" w:rsidRDefault="001137B3" w:rsidP="001137B3">
            <w:pPr>
              <w:tabs>
                <w:tab w:val="right" w:pos="1202"/>
              </w:tabs>
              <w:suppressAutoHyphens/>
              <w:autoSpaceDN w:val="0"/>
              <w:jc w:val="right"/>
              <w:outlineLvl w:val="0"/>
              <w:rPr>
                <w:rFonts w:ascii="Arial" w:eastAsia="Times New Roman" w:hAnsi="Arial" w:cs="Arial"/>
                <w:b/>
                <w:color w:val="000000" w:themeColor="text1"/>
                <w:sz w:val="18"/>
                <w:szCs w:val="18"/>
              </w:rPr>
            </w:pPr>
            <w:r w:rsidRPr="007478FB">
              <w:rPr>
                <w:rFonts w:ascii="Arial" w:eastAsia="Times New Roman" w:hAnsi="Arial" w:cs="Arial"/>
                <w:b/>
                <w:color w:val="000000" w:themeColor="text1"/>
                <w:sz w:val="18"/>
                <w:szCs w:val="18"/>
              </w:rPr>
              <w:t>000 eura</w:t>
            </w:r>
          </w:p>
        </w:tc>
        <w:tc>
          <w:tcPr>
            <w:tcW w:w="495" w:type="pct"/>
            <w:vAlign w:val="bottom"/>
          </w:tcPr>
          <w:p w14:paraId="66546F2E" w14:textId="3AF0800C" w:rsidR="001137B3" w:rsidRPr="007478FB" w:rsidRDefault="001137B3" w:rsidP="001137B3">
            <w:pPr>
              <w:tabs>
                <w:tab w:val="right" w:pos="1202"/>
              </w:tabs>
              <w:suppressAutoHyphens/>
              <w:autoSpaceDN w:val="0"/>
              <w:jc w:val="right"/>
              <w:outlineLvl w:val="0"/>
              <w:rPr>
                <w:rFonts w:ascii="Arial" w:eastAsia="Times New Roman" w:hAnsi="Arial" w:cs="Arial"/>
                <w:b/>
                <w:color w:val="000000" w:themeColor="text1"/>
                <w:sz w:val="18"/>
                <w:szCs w:val="18"/>
              </w:rPr>
            </w:pPr>
            <w:r w:rsidRPr="007478FB">
              <w:rPr>
                <w:rFonts w:ascii="Arial" w:eastAsia="Times New Roman" w:hAnsi="Arial" w:cs="Arial"/>
                <w:b/>
                <w:color w:val="000000" w:themeColor="text1"/>
                <w:sz w:val="18"/>
                <w:szCs w:val="18"/>
              </w:rPr>
              <w:t>000 eura</w:t>
            </w:r>
          </w:p>
        </w:tc>
        <w:tc>
          <w:tcPr>
            <w:tcW w:w="491" w:type="pct"/>
            <w:vAlign w:val="bottom"/>
          </w:tcPr>
          <w:p w14:paraId="503A34EA" w14:textId="7153C4B7" w:rsidR="001137B3" w:rsidRPr="007478FB" w:rsidRDefault="001137B3" w:rsidP="001137B3">
            <w:pPr>
              <w:tabs>
                <w:tab w:val="right" w:pos="1202"/>
              </w:tabs>
              <w:suppressAutoHyphens/>
              <w:autoSpaceDN w:val="0"/>
              <w:jc w:val="right"/>
              <w:outlineLvl w:val="0"/>
              <w:rPr>
                <w:rFonts w:ascii="Arial" w:eastAsia="Times New Roman" w:hAnsi="Arial" w:cs="Arial"/>
                <w:b/>
                <w:color w:val="000000" w:themeColor="text1"/>
                <w:sz w:val="18"/>
                <w:szCs w:val="18"/>
              </w:rPr>
            </w:pPr>
            <w:r w:rsidRPr="007478FB">
              <w:rPr>
                <w:rFonts w:ascii="Arial" w:eastAsia="Times New Roman" w:hAnsi="Arial" w:cs="Arial"/>
                <w:b/>
                <w:color w:val="000000" w:themeColor="text1"/>
                <w:sz w:val="18"/>
                <w:szCs w:val="18"/>
              </w:rPr>
              <w:t>000 eura</w:t>
            </w:r>
          </w:p>
        </w:tc>
      </w:tr>
      <w:tr w:rsidR="001137B3" w:rsidRPr="00291152" w14:paraId="08CB5EB9" w14:textId="77777777" w:rsidTr="007478FB">
        <w:trPr>
          <w:trHeight w:val="283"/>
        </w:trPr>
        <w:tc>
          <w:tcPr>
            <w:tcW w:w="1044" w:type="pct"/>
            <w:vAlign w:val="bottom"/>
          </w:tcPr>
          <w:p w14:paraId="5D67A9F9" w14:textId="77777777" w:rsidR="001137B3" w:rsidRPr="007478FB" w:rsidRDefault="001137B3" w:rsidP="001137B3">
            <w:pPr>
              <w:tabs>
                <w:tab w:val="right" w:pos="1202"/>
              </w:tabs>
              <w:suppressAutoHyphens/>
              <w:autoSpaceDN w:val="0"/>
              <w:outlineLvl w:val="0"/>
              <w:rPr>
                <w:rFonts w:ascii="Arial" w:eastAsia="Times New Roman" w:hAnsi="Arial" w:cs="Arial"/>
                <w:color w:val="000000" w:themeColor="text1"/>
                <w:sz w:val="18"/>
                <w:szCs w:val="18"/>
              </w:rPr>
            </w:pPr>
            <w:bookmarkStart w:id="269" w:name="_Toc67327455"/>
            <w:r w:rsidRPr="007478FB">
              <w:rPr>
                <w:rFonts w:ascii="Arial" w:eastAsia="Times New Roman" w:hAnsi="Arial" w:cs="Arial"/>
                <w:color w:val="000000" w:themeColor="text1"/>
                <w:sz w:val="18"/>
                <w:szCs w:val="18"/>
              </w:rPr>
              <w:t>Kamate po kreditima</w:t>
            </w:r>
            <w:bookmarkEnd w:id="269"/>
          </w:p>
        </w:tc>
        <w:tc>
          <w:tcPr>
            <w:tcW w:w="495" w:type="pct"/>
            <w:vAlign w:val="bottom"/>
          </w:tcPr>
          <w:p w14:paraId="2B24D559" w14:textId="77777777" w:rsidR="001137B3" w:rsidRPr="007478FB" w:rsidRDefault="001137B3" w:rsidP="001137B3">
            <w:pPr>
              <w:tabs>
                <w:tab w:val="right" w:pos="1202"/>
              </w:tabs>
              <w:suppressAutoHyphens/>
              <w:autoSpaceDN w:val="0"/>
              <w:jc w:val="right"/>
              <w:outlineLvl w:val="0"/>
              <w:rPr>
                <w:rFonts w:ascii="Arial" w:eastAsia="Times New Roman" w:hAnsi="Arial" w:cs="Arial"/>
                <w:color w:val="000000" w:themeColor="text1"/>
                <w:spacing w:val="-2"/>
                <w:sz w:val="18"/>
                <w:szCs w:val="18"/>
              </w:rPr>
            </w:pPr>
          </w:p>
        </w:tc>
        <w:tc>
          <w:tcPr>
            <w:tcW w:w="495" w:type="pct"/>
            <w:vAlign w:val="bottom"/>
          </w:tcPr>
          <w:p w14:paraId="3F198076" w14:textId="77777777" w:rsidR="001137B3" w:rsidRPr="007478FB" w:rsidRDefault="001137B3" w:rsidP="001137B3">
            <w:pPr>
              <w:tabs>
                <w:tab w:val="right" w:pos="1202"/>
              </w:tabs>
              <w:suppressAutoHyphens/>
              <w:autoSpaceDN w:val="0"/>
              <w:jc w:val="right"/>
              <w:outlineLvl w:val="0"/>
              <w:rPr>
                <w:rFonts w:ascii="Arial" w:eastAsia="Times New Roman" w:hAnsi="Arial" w:cs="Arial"/>
                <w:color w:val="000000" w:themeColor="text1"/>
                <w:spacing w:val="-2"/>
                <w:sz w:val="18"/>
                <w:szCs w:val="18"/>
              </w:rPr>
            </w:pPr>
          </w:p>
        </w:tc>
        <w:tc>
          <w:tcPr>
            <w:tcW w:w="495" w:type="pct"/>
            <w:vAlign w:val="bottom"/>
          </w:tcPr>
          <w:p w14:paraId="48982EF1" w14:textId="25A7A2FF" w:rsidR="001137B3" w:rsidRPr="007478FB" w:rsidRDefault="001137B3" w:rsidP="001137B3">
            <w:pPr>
              <w:tabs>
                <w:tab w:val="right" w:pos="1202"/>
              </w:tabs>
              <w:suppressAutoHyphens/>
              <w:autoSpaceDN w:val="0"/>
              <w:jc w:val="right"/>
              <w:outlineLvl w:val="0"/>
              <w:rPr>
                <w:rFonts w:ascii="Arial" w:eastAsia="Times New Roman" w:hAnsi="Arial" w:cs="Arial"/>
                <w:color w:val="000000" w:themeColor="text1"/>
                <w:spacing w:val="-2"/>
                <w:sz w:val="18"/>
                <w:szCs w:val="18"/>
              </w:rPr>
            </w:pPr>
          </w:p>
        </w:tc>
        <w:tc>
          <w:tcPr>
            <w:tcW w:w="495" w:type="pct"/>
            <w:vAlign w:val="bottom"/>
          </w:tcPr>
          <w:p w14:paraId="114DB81C" w14:textId="77777777" w:rsidR="001137B3" w:rsidRPr="007478FB" w:rsidRDefault="001137B3" w:rsidP="001137B3">
            <w:pPr>
              <w:tabs>
                <w:tab w:val="right" w:pos="1202"/>
              </w:tabs>
              <w:suppressAutoHyphens/>
              <w:autoSpaceDN w:val="0"/>
              <w:jc w:val="right"/>
              <w:outlineLvl w:val="0"/>
              <w:rPr>
                <w:rFonts w:ascii="Arial" w:eastAsia="Times New Roman" w:hAnsi="Arial" w:cs="Arial"/>
                <w:color w:val="000000" w:themeColor="text1"/>
                <w:spacing w:val="-2"/>
                <w:sz w:val="18"/>
                <w:szCs w:val="18"/>
              </w:rPr>
            </w:pPr>
          </w:p>
        </w:tc>
        <w:tc>
          <w:tcPr>
            <w:tcW w:w="495" w:type="pct"/>
            <w:vAlign w:val="bottom"/>
          </w:tcPr>
          <w:p w14:paraId="6CF09B0F" w14:textId="35F30F21" w:rsidR="001137B3" w:rsidRPr="007478FB" w:rsidRDefault="001137B3" w:rsidP="001137B3">
            <w:pPr>
              <w:tabs>
                <w:tab w:val="right" w:pos="1202"/>
              </w:tabs>
              <w:suppressAutoHyphens/>
              <w:autoSpaceDN w:val="0"/>
              <w:jc w:val="right"/>
              <w:outlineLvl w:val="0"/>
              <w:rPr>
                <w:rFonts w:ascii="Arial" w:eastAsia="Times New Roman" w:hAnsi="Arial" w:cs="Arial"/>
                <w:color w:val="000000" w:themeColor="text1"/>
                <w:spacing w:val="-2"/>
                <w:sz w:val="18"/>
                <w:szCs w:val="18"/>
              </w:rPr>
            </w:pPr>
          </w:p>
        </w:tc>
        <w:tc>
          <w:tcPr>
            <w:tcW w:w="495" w:type="pct"/>
            <w:vAlign w:val="bottom"/>
          </w:tcPr>
          <w:p w14:paraId="657973FA" w14:textId="77777777" w:rsidR="001137B3" w:rsidRPr="007478FB" w:rsidRDefault="001137B3" w:rsidP="001137B3">
            <w:pPr>
              <w:tabs>
                <w:tab w:val="right" w:pos="1202"/>
              </w:tabs>
              <w:suppressAutoHyphens/>
              <w:autoSpaceDN w:val="0"/>
              <w:jc w:val="right"/>
              <w:outlineLvl w:val="0"/>
              <w:rPr>
                <w:rFonts w:ascii="Arial" w:eastAsia="Times New Roman" w:hAnsi="Arial" w:cs="Arial"/>
                <w:color w:val="000000" w:themeColor="text1"/>
                <w:spacing w:val="-2"/>
                <w:sz w:val="18"/>
                <w:szCs w:val="18"/>
              </w:rPr>
            </w:pPr>
          </w:p>
        </w:tc>
        <w:tc>
          <w:tcPr>
            <w:tcW w:w="495" w:type="pct"/>
            <w:vAlign w:val="bottom"/>
          </w:tcPr>
          <w:p w14:paraId="7F631C74" w14:textId="77777777" w:rsidR="001137B3" w:rsidRPr="007478FB" w:rsidRDefault="001137B3" w:rsidP="001137B3">
            <w:pPr>
              <w:tabs>
                <w:tab w:val="right" w:pos="1202"/>
              </w:tabs>
              <w:suppressAutoHyphens/>
              <w:autoSpaceDN w:val="0"/>
              <w:jc w:val="right"/>
              <w:outlineLvl w:val="0"/>
              <w:rPr>
                <w:rFonts w:ascii="Arial" w:eastAsia="Times New Roman" w:hAnsi="Arial" w:cs="Arial"/>
                <w:color w:val="000000" w:themeColor="text1"/>
                <w:spacing w:val="-2"/>
                <w:sz w:val="18"/>
                <w:szCs w:val="18"/>
              </w:rPr>
            </w:pPr>
          </w:p>
        </w:tc>
        <w:tc>
          <w:tcPr>
            <w:tcW w:w="491" w:type="pct"/>
            <w:vAlign w:val="bottom"/>
          </w:tcPr>
          <w:p w14:paraId="184777CB" w14:textId="77777777" w:rsidR="001137B3" w:rsidRPr="007478FB" w:rsidRDefault="001137B3" w:rsidP="001137B3">
            <w:pPr>
              <w:tabs>
                <w:tab w:val="right" w:pos="1202"/>
              </w:tabs>
              <w:suppressAutoHyphens/>
              <w:autoSpaceDN w:val="0"/>
              <w:jc w:val="right"/>
              <w:outlineLvl w:val="0"/>
              <w:rPr>
                <w:rFonts w:ascii="Arial" w:eastAsia="Times New Roman" w:hAnsi="Arial" w:cs="Arial"/>
                <w:color w:val="000000" w:themeColor="text1"/>
                <w:spacing w:val="-2"/>
                <w:sz w:val="18"/>
                <w:szCs w:val="18"/>
              </w:rPr>
            </w:pPr>
          </w:p>
        </w:tc>
      </w:tr>
      <w:tr w:rsidR="00D85B9B" w:rsidRPr="00291152" w14:paraId="68C38148" w14:textId="77777777" w:rsidTr="00A62310">
        <w:trPr>
          <w:trHeight w:val="283"/>
        </w:trPr>
        <w:tc>
          <w:tcPr>
            <w:tcW w:w="1044" w:type="pct"/>
            <w:vAlign w:val="bottom"/>
          </w:tcPr>
          <w:p w14:paraId="7CFD869E" w14:textId="77777777" w:rsidR="00D85B9B" w:rsidRPr="007478FB" w:rsidRDefault="00D85B9B" w:rsidP="00D85B9B">
            <w:pPr>
              <w:tabs>
                <w:tab w:val="right" w:pos="1202"/>
              </w:tabs>
              <w:suppressAutoHyphens/>
              <w:autoSpaceDN w:val="0"/>
              <w:outlineLvl w:val="0"/>
              <w:rPr>
                <w:rFonts w:ascii="Arial" w:eastAsia="Times New Roman" w:hAnsi="Arial" w:cs="Arial"/>
                <w:color w:val="000000" w:themeColor="text1"/>
                <w:sz w:val="18"/>
                <w:szCs w:val="18"/>
              </w:rPr>
            </w:pPr>
            <w:bookmarkStart w:id="270" w:name="_Toc67327456"/>
            <w:r w:rsidRPr="007478FB">
              <w:rPr>
                <w:rFonts w:ascii="Arial" w:eastAsia="Times New Roman" w:hAnsi="Arial" w:cs="Arial"/>
                <w:color w:val="000000" w:themeColor="text1"/>
                <w:sz w:val="18"/>
                <w:szCs w:val="18"/>
              </w:rPr>
              <w:t>- financijskim institucijama</w:t>
            </w:r>
            <w:bookmarkEnd w:id="270"/>
            <w:r w:rsidRPr="007478FB">
              <w:rPr>
                <w:rFonts w:ascii="Arial" w:eastAsia="Times New Roman" w:hAnsi="Arial" w:cs="Arial"/>
                <w:color w:val="000000" w:themeColor="text1"/>
                <w:sz w:val="18"/>
                <w:szCs w:val="18"/>
              </w:rPr>
              <w:t xml:space="preserve"> </w:t>
            </w:r>
          </w:p>
        </w:tc>
        <w:tc>
          <w:tcPr>
            <w:tcW w:w="495" w:type="pct"/>
            <w:tcBorders>
              <w:top w:val="nil"/>
              <w:left w:val="nil"/>
              <w:bottom w:val="nil"/>
              <w:right w:val="nil"/>
            </w:tcBorders>
            <w:shd w:val="clear" w:color="auto" w:fill="auto"/>
            <w:vAlign w:val="bottom"/>
          </w:tcPr>
          <w:p w14:paraId="5D92C6CD" w14:textId="68703332" w:rsidR="00D85B9B" w:rsidRPr="00A62310" w:rsidRDefault="00D85B9B" w:rsidP="00D85B9B">
            <w:pPr>
              <w:tabs>
                <w:tab w:val="right" w:pos="1202"/>
              </w:tabs>
              <w:suppressAutoHyphens/>
              <w:autoSpaceDN w:val="0"/>
              <w:jc w:val="right"/>
              <w:outlineLvl w:val="0"/>
              <w:rPr>
                <w:rFonts w:ascii="Arial" w:hAnsi="Arial" w:cs="Arial"/>
                <w:sz w:val="18"/>
                <w:szCs w:val="18"/>
              </w:rPr>
            </w:pPr>
            <w:r w:rsidRPr="00A62310">
              <w:rPr>
                <w:rFonts w:ascii="Arial" w:hAnsi="Arial" w:cs="Arial"/>
                <w:sz w:val="18"/>
                <w:szCs w:val="18"/>
              </w:rPr>
              <w:t xml:space="preserve"> 5.623 </w:t>
            </w:r>
          </w:p>
        </w:tc>
        <w:tc>
          <w:tcPr>
            <w:tcW w:w="495" w:type="pct"/>
            <w:tcBorders>
              <w:top w:val="nil"/>
              <w:left w:val="nil"/>
              <w:bottom w:val="nil"/>
              <w:right w:val="nil"/>
            </w:tcBorders>
            <w:shd w:val="clear" w:color="auto" w:fill="auto"/>
            <w:vAlign w:val="bottom"/>
          </w:tcPr>
          <w:p w14:paraId="62E1943E" w14:textId="3368E5BD" w:rsidR="00D85B9B" w:rsidRPr="00A62310" w:rsidRDefault="00D85B9B" w:rsidP="00D85B9B">
            <w:pPr>
              <w:tabs>
                <w:tab w:val="right" w:pos="1202"/>
              </w:tabs>
              <w:suppressAutoHyphens/>
              <w:autoSpaceDN w:val="0"/>
              <w:jc w:val="right"/>
              <w:outlineLvl w:val="0"/>
              <w:rPr>
                <w:rFonts w:ascii="Arial" w:hAnsi="Arial" w:cs="Arial"/>
                <w:sz w:val="18"/>
                <w:szCs w:val="18"/>
              </w:rPr>
            </w:pPr>
            <w:r w:rsidRPr="00A62310">
              <w:rPr>
                <w:rFonts w:ascii="Arial" w:hAnsi="Arial" w:cs="Arial"/>
                <w:sz w:val="18"/>
                <w:szCs w:val="18"/>
              </w:rPr>
              <w:t xml:space="preserve"> 16.739 </w:t>
            </w:r>
          </w:p>
        </w:tc>
        <w:tc>
          <w:tcPr>
            <w:tcW w:w="495" w:type="pct"/>
            <w:tcBorders>
              <w:top w:val="nil"/>
              <w:left w:val="nil"/>
              <w:bottom w:val="nil"/>
              <w:right w:val="nil"/>
            </w:tcBorders>
            <w:shd w:val="clear" w:color="auto" w:fill="auto"/>
            <w:vAlign w:val="bottom"/>
          </w:tcPr>
          <w:p w14:paraId="2FC5AAC1" w14:textId="4A697FE2" w:rsidR="00D85B9B" w:rsidRPr="007478FB" w:rsidRDefault="00D85B9B" w:rsidP="00D85B9B">
            <w:pPr>
              <w:tabs>
                <w:tab w:val="right" w:pos="1202"/>
              </w:tabs>
              <w:suppressAutoHyphens/>
              <w:autoSpaceDN w:val="0"/>
              <w:jc w:val="right"/>
              <w:outlineLvl w:val="0"/>
              <w:rPr>
                <w:rFonts w:ascii="Arial" w:hAnsi="Arial" w:cs="Arial"/>
                <w:sz w:val="18"/>
                <w:szCs w:val="18"/>
              </w:rPr>
            </w:pPr>
            <w:r w:rsidRPr="00E70BE4">
              <w:rPr>
                <w:rFonts w:ascii="Arial" w:hAnsi="Arial" w:cs="Arial"/>
                <w:sz w:val="18"/>
                <w:szCs w:val="18"/>
              </w:rPr>
              <w:t xml:space="preserve"> 3.686 </w:t>
            </w:r>
          </w:p>
        </w:tc>
        <w:tc>
          <w:tcPr>
            <w:tcW w:w="495" w:type="pct"/>
            <w:tcBorders>
              <w:top w:val="nil"/>
              <w:left w:val="nil"/>
              <w:bottom w:val="nil"/>
              <w:right w:val="nil"/>
            </w:tcBorders>
            <w:shd w:val="clear" w:color="auto" w:fill="auto"/>
            <w:vAlign w:val="bottom"/>
          </w:tcPr>
          <w:p w14:paraId="4D348B8C" w14:textId="799AD05A" w:rsidR="00D85B9B" w:rsidRPr="007478FB" w:rsidRDefault="00D85B9B" w:rsidP="00D85B9B">
            <w:pPr>
              <w:tabs>
                <w:tab w:val="right" w:pos="1202"/>
              </w:tabs>
              <w:suppressAutoHyphens/>
              <w:autoSpaceDN w:val="0"/>
              <w:jc w:val="right"/>
              <w:outlineLvl w:val="0"/>
              <w:rPr>
                <w:rFonts w:ascii="Arial" w:hAnsi="Arial" w:cs="Arial"/>
                <w:sz w:val="18"/>
                <w:szCs w:val="18"/>
              </w:rPr>
            </w:pPr>
            <w:r w:rsidRPr="00E70BE4">
              <w:rPr>
                <w:rFonts w:ascii="Arial" w:hAnsi="Arial" w:cs="Arial"/>
                <w:sz w:val="18"/>
                <w:szCs w:val="18"/>
              </w:rPr>
              <w:t xml:space="preserve"> 9.595 </w:t>
            </w:r>
          </w:p>
        </w:tc>
        <w:tc>
          <w:tcPr>
            <w:tcW w:w="495" w:type="pct"/>
            <w:tcBorders>
              <w:top w:val="nil"/>
              <w:left w:val="nil"/>
              <w:bottom w:val="nil"/>
              <w:right w:val="nil"/>
            </w:tcBorders>
            <w:shd w:val="clear" w:color="auto" w:fill="auto"/>
            <w:vAlign w:val="bottom"/>
          </w:tcPr>
          <w:p w14:paraId="25224A12" w14:textId="036ABAD2" w:rsidR="00D85B9B" w:rsidRPr="001041A5" w:rsidRDefault="00D85B9B" w:rsidP="00D85B9B">
            <w:pPr>
              <w:tabs>
                <w:tab w:val="right" w:pos="1202"/>
              </w:tabs>
              <w:suppressAutoHyphens/>
              <w:autoSpaceDN w:val="0"/>
              <w:jc w:val="right"/>
              <w:outlineLvl w:val="0"/>
              <w:rPr>
                <w:rFonts w:ascii="Arial" w:hAnsi="Arial" w:cs="Arial"/>
                <w:sz w:val="18"/>
                <w:szCs w:val="18"/>
              </w:rPr>
            </w:pPr>
            <w:r w:rsidRPr="001041A5">
              <w:rPr>
                <w:rFonts w:ascii="Arial" w:hAnsi="Arial" w:cs="Arial"/>
                <w:sz w:val="18"/>
                <w:szCs w:val="18"/>
              </w:rPr>
              <w:t>5.623</w:t>
            </w:r>
          </w:p>
        </w:tc>
        <w:tc>
          <w:tcPr>
            <w:tcW w:w="495" w:type="pct"/>
            <w:tcBorders>
              <w:top w:val="nil"/>
              <w:left w:val="nil"/>
              <w:bottom w:val="nil"/>
              <w:right w:val="nil"/>
            </w:tcBorders>
            <w:shd w:val="clear" w:color="auto" w:fill="auto"/>
            <w:vAlign w:val="bottom"/>
          </w:tcPr>
          <w:p w14:paraId="2F8052F5" w14:textId="308DC868" w:rsidR="00D85B9B" w:rsidRPr="001041A5" w:rsidRDefault="00D85B9B" w:rsidP="00D85B9B">
            <w:pPr>
              <w:tabs>
                <w:tab w:val="right" w:pos="1202"/>
              </w:tabs>
              <w:suppressAutoHyphens/>
              <w:autoSpaceDN w:val="0"/>
              <w:jc w:val="right"/>
              <w:outlineLvl w:val="0"/>
              <w:rPr>
                <w:rFonts w:ascii="Arial" w:hAnsi="Arial" w:cs="Arial"/>
                <w:sz w:val="18"/>
                <w:szCs w:val="18"/>
              </w:rPr>
            </w:pPr>
            <w:r w:rsidRPr="001041A5">
              <w:rPr>
                <w:rFonts w:ascii="Arial" w:hAnsi="Arial" w:cs="Arial"/>
                <w:sz w:val="18"/>
                <w:szCs w:val="18"/>
              </w:rPr>
              <w:t>16.739</w:t>
            </w:r>
          </w:p>
        </w:tc>
        <w:tc>
          <w:tcPr>
            <w:tcW w:w="495" w:type="pct"/>
            <w:tcBorders>
              <w:top w:val="nil"/>
              <w:left w:val="nil"/>
              <w:bottom w:val="nil"/>
              <w:right w:val="nil"/>
            </w:tcBorders>
            <w:shd w:val="clear" w:color="auto" w:fill="auto"/>
            <w:vAlign w:val="bottom"/>
          </w:tcPr>
          <w:p w14:paraId="68FB403E" w14:textId="4CE18797" w:rsidR="00D85B9B" w:rsidRPr="007478FB" w:rsidRDefault="00D85B9B" w:rsidP="00D85B9B">
            <w:pPr>
              <w:tabs>
                <w:tab w:val="right" w:pos="1202"/>
              </w:tabs>
              <w:suppressAutoHyphens/>
              <w:autoSpaceDN w:val="0"/>
              <w:jc w:val="right"/>
              <w:outlineLvl w:val="0"/>
              <w:rPr>
                <w:rFonts w:ascii="Arial" w:hAnsi="Arial" w:cs="Arial"/>
                <w:sz w:val="18"/>
                <w:szCs w:val="18"/>
              </w:rPr>
            </w:pPr>
            <w:r w:rsidRPr="00FF3B1A">
              <w:rPr>
                <w:rFonts w:ascii="Arial" w:hAnsi="Arial" w:cs="Arial"/>
                <w:sz w:val="18"/>
                <w:szCs w:val="18"/>
              </w:rPr>
              <w:t xml:space="preserve"> 3.686 </w:t>
            </w:r>
          </w:p>
        </w:tc>
        <w:tc>
          <w:tcPr>
            <w:tcW w:w="491" w:type="pct"/>
            <w:tcBorders>
              <w:top w:val="nil"/>
              <w:left w:val="nil"/>
              <w:bottom w:val="nil"/>
              <w:right w:val="nil"/>
            </w:tcBorders>
            <w:shd w:val="clear" w:color="auto" w:fill="auto"/>
            <w:vAlign w:val="bottom"/>
          </w:tcPr>
          <w:p w14:paraId="09DC700E" w14:textId="516934E5" w:rsidR="00D85B9B" w:rsidRPr="007478FB" w:rsidRDefault="00D85B9B" w:rsidP="00D85B9B">
            <w:pPr>
              <w:tabs>
                <w:tab w:val="right" w:pos="1202"/>
              </w:tabs>
              <w:suppressAutoHyphens/>
              <w:autoSpaceDN w:val="0"/>
              <w:jc w:val="right"/>
              <w:outlineLvl w:val="0"/>
              <w:rPr>
                <w:rFonts w:ascii="Arial" w:hAnsi="Arial" w:cs="Arial"/>
                <w:sz w:val="18"/>
                <w:szCs w:val="18"/>
              </w:rPr>
            </w:pPr>
            <w:r w:rsidRPr="00FF3B1A">
              <w:rPr>
                <w:rFonts w:ascii="Arial" w:hAnsi="Arial" w:cs="Arial"/>
                <w:sz w:val="18"/>
                <w:szCs w:val="18"/>
              </w:rPr>
              <w:t xml:space="preserve"> 9.595 </w:t>
            </w:r>
          </w:p>
        </w:tc>
      </w:tr>
      <w:tr w:rsidR="00D85B9B" w:rsidRPr="00291152" w14:paraId="7D0A7C09" w14:textId="77777777" w:rsidTr="00A62310">
        <w:trPr>
          <w:trHeight w:val="283"/>
        </w:trPr>
        <w:tc>
          <w:tcPr>
            <w:tcW w:w="1044" w:type="pct"/>
            <w:vAlign w:val="bottom"/>
          </w:tcPr>
          <w:p w14:paraId="2F4389D7" w14:textId="77777777" w:rsidR="00D85B9B" w:rsidRPr="007478FB" w:rsidRDefault="00D85B9B" w:rsidP="00D85B9B">
            <w:pPr>
              <w:tabs>
                <w:tab w:val="right" w:pos="1202"/>
              </w:tabs>
              <w:suppressAutoHyphens/>
              <w:autoSpaceDN w:val="0"/>
              <w:outlineLvl w:val="0"/>
              <w:rPr>
                <w:rFonts w:ascii="Arial" w:eastAsia="Times New Roman" w:hAnsi="Arial" w:cs="Arial"/>
                <w:color w:val="000000" w:themeColor="text1"/>
                <w:sz w:val="18"/>
                <w:szCs w:val="18"/>
              </w:rPr>
            </w:pPr>
            <w:bookmarkStart w:id="271" w:name="_Toc67327461"/>
            <w:r w:rsidRPr="007478FB">
              <w:rPr>
                <w:rFonts w:ascii="Arial" w:eastAsia="Times New Roman" w:hAnsi="Arial" w:cs="Arial"/>
                <w:color w:val="000000" w:themeColor="text1"/>
                <w:sz w:val="18"/>
                <w:szCs w:val="18"/>
              </w:rPr>
              <w:t>- ostalim korisnicima</w:t>
            </w:r>
            <w:bookmarkEnd w:id="271"/>
            <w:r w:rsidRPr="007478FB">
              <w:rPr>
                <w:rFonts w:ascii="Arial" w:eastAsia="Times New Roman" w:hAnsi="Arial" w:cs="Arial"/>
                <w:color w:val="000000" w:themeColor="text1"/>
                <w:sz w:val="18"/>
                <w:szCs w:val="18"/>
              </w:rPr>
              <w:t xml:space="preserve"> </w:t>
            </w:r>
          </w:p>
        </w:tc>
        <w:tc>
          <w:tcPr>
            <w:tcW w:w="495" w:type="pct"/>
            <w:tcBorders>
              <w:top w:val="nil"/>
              <w:left w:val="nil"/>
              <w:bottom w:val="nil"/>
              <w:right w:val="nil"/>
            </w:tcBorders>
            <w:shd w:val="clear" w:color="auto" w:fill="auto"/>
            <w:vAlign w:val="bottom"/>
          </w:tcPr>
          <w:p w14:paraId="5577629A" w14:textId="5A425362" w:rsidR="00D85B9B" w:rsidRPr="00A62310" w:rsidRDefault="00D85B9B" w:rsidP="00D85B9B">
            <w:pPr>
              <w:tabs>
                <w:tab w:val="right" w:pos="1202"/>
              </w:tabs>
              <w:suppressAutoHyphens/>
              <w:autoSpaceDN w:val="0"/>
              <w:jc w:val="right"/>
              <w:outlineLvl w:val="0"/>
              <w:rPr>
                <w:rFonts w:ascii="Arial" w:hAnsi="Arial" w:cs="Arial"/>
                <w:sz w:val="18"/>
                <w:szCs w:val="18"/>
              </w:rPr>
            </w:pPr>
            <w:r w:rsidRPr="00A62310">
              <w:rPr>
                <w:rFonts w:ascii="Arial" w:hAnsi="Arial" w:cs="Arial"/>
                <w:sz w:val="18"/>
                <w:szCs w:val="18"/>
              </w:rPr>
              <w:t xml:space="preserve"> 23.670 </w:t>
            </w:r>
          </w:p>
        </w:tc>
        <w:tc>
          <w:tcPr>
            <w:tcW w:w="495" w:type="pct"/>
            <w:tcBorders>
              <w:top w:val="nil"/>
              <w:left w:val="nil"/>
              <w:bottom w:val="nil"/>
              <w:right w:val="nil"/>
            </w:tcBorders>
            <w:shd w:val="clear" w:color="auto" w:fill="auto"/>
            <w:vAlign w:val="bottom"/>
          </w:tcPr>
          <w:p w14:paraId="600E9319" w14:textId="3D85BAA2" w:rsidR="00D85B9B" w:rsidRPr="00A62310" w:rsidRDefault="00D85B9B" w:rsidP="00D85B9B">
            <w:pPr>
              <w:tabs>
                <w:tab w:val="right" w:pos="1202"/>
              </w:tabs>
              <w:suppressAutoHyphens/>
              <w:autoSpaceDN w:val="0"/>
              <w:jc w:val="right"/>
              <w:outlineLvl w:val="0"/>
              <w:rPr>
                <w:rFonts w:ascii="Arial" w:hAnsi="Arial" w:cs="Arial"/>
                <w:sz w:val="18"/>
                <w:szCs w:val="18"/>
              </w:rPr>
            </w:pPr>
            <w:r w:rsidRPr="00A62310">
              <w:rPr>
                <w:rFonts w:ascii="Arial" w:hAnsi="Arial" w:cs="Arial"/>
                <w:sz w:val="18"/>
                <w:szCs w:val="18"/>
              </w:rPr>
              <w:t xml:space="preserve"> 63.974 </w:t>
            </w:r>
          </w:p>
        </w:tc>
        <w:tc>
          <w:tcPr>
            <w:tcW w:w="495" w:type="pct"/>
            <w:tcBorders>
              <w:top w:val="nil"/>
              <w:left w:val="nil"/>
              <w:bottom w:val="nil"/>
              <w:right w:val="nil"/>
            </w:tcBorders>
            <w:shd w:val="clear" w:color="auto" w:fill="auto"/>
            <w:vAlign w:val="bottom"/>
          </w:tcPr>
          <w:p w14:paraId="1CB24A35" w14:textId="55C72295" w:rsidR="00D85B9B" w:rsidRPr="007478FB" w:rsidRDefault="00D85B9B" w:rsidP="00D85B9B">
            <w:pPr>
              <w:tabs>
                <w:tab w:val="right" w:pos="1202"/>
              </w:tabs>
              <w:suppressAutoHyphens/>
              <w:autoSpaceDN w:val="0"/>
              <w:jc w:val="right"/>
              <w:outlineLvl w:val="0"/>
              <w:rPr>
                <w:rFonts w:ascii="Arial" w:hAnsi="Arial" w:cs="Arial"/>
                <w:sz w:val="18"/>
                <w:szCs w:val="18"/>
              </w:rPr>
            </w:pPr>
            <w:r w:rsidRPr="00E70BE4">
              <w:rPr>
                <w:rFonts w:ascii="Arial" w:hAnsi="Arial" w:cs="Arial"/>
                <w:sz w:val="18"/>
                <w:szCs w:val="18"/>
              </w:rPr>
              <w:t xml:space="preserve"> 18.242 </w:t>
            </w:r>
          </w:p>
        </w:tc>
        <w:tc>
          <w:tcPr>
            <w:tcW w:w="495" w:type="pct"/>
            <w:tcBorders>
              <w:top w:val="nil"/>
              <w:left w:val="nil"/>
              <w:bottom w:val="nil"/>
              <w:right w:val="nil"/>
            </w:tcBorders>
            <w:shd w:val="clear" w:color="auto" w:fill="auto"/>
            <w:vAlign w:val="bottom"/>
          </w:tcPr>
          <w:p w14:paraId="7ED58D2C" w14:textId="6D400E10" w:rsidR="00D85B9B" w:rsidRPr="007478FB" w:rsidRDefault="00D85B9B" w:rsidP="00D85B9B">
            <w:pPr>
              <w:tabs>
                <w:tab w:val="right" w:pos="1202"/>
              </w:tabs>
              <w:suppressAutoHyphens/>
              <w:autoSpaceDN w:val="0"/>
              <w:jc w:val="right"/>
              <w:outlineLvl w:val="0"/>
              <w:rPr>
                <w:rFonts w:ascii="Arial" w:hAnsi="Arial" w:cs="Arial"/>
                <w:sz w:val="18"/>
                <w:szCs w:val="18"/>
              </w:rPr>
            </w:pPr>
            <w:r w:rsidRPr="00E70BE4">
              <w:rPr>
                <w:rFonts w:ascii="Arial" w:hAnsi="Arial" w:cs="Arial"/>
                <w:sz w:val="18"/>
                <w:szCs w:val="18"/>
              </w:rPr>
              <w:t xml:space="preserve"> 53.620 </w:t>
            </w:r>
          </w:p>
        </w:tc>
        <w:tc>
          <w:tcPr>
            <w:tcW w:w="495" w:type="pct"/>
            <w:tcBorders>
              <w:top w:val="nil"/>
              <w:left w:val="nil"/>
              <w:bottom w:val="nil"/>
              <w:right w:val="nil"/>
            </w:tcBorders>
            <w:shd w:val="clear" w:color="auto" w:fill="auto"/>
            <w:vAlign w:val="bottom"/>
          </w:tcPr>
          <w:p w14:paraId="4D0BB90C" w14:textId="4A4E0783" w:rsidR="00D85B9B" w:rsidRPr="001041A5" w:rsidRDefault="00D85B9B" w:rsidP="00D85B9B">
            <w:pPr>
              <w:tabs>
                <w:tab w:val="right" w:pos="1202"/>
              </w:tabs>
              <w:suppressAutoHyphens/>
              <w:autoSpaceDN w:val="0"/>
              <w:jc w:val="right"/>
              <w:outlineLvl w:val="0"/>
              <w:rPr>
                <w:rFonts w:ascii="Arial" w:hAnsi="Arial" w:cs="Arial"/>
                <w:sz w:val="18"/>
                <w:szCs w:val="18"/>
              </w:rPr>
            </w:pPr>
            <w:r w:rsidRPr="001041A5">
              <w:rPr>
                <w:rFonts w:ascii="Arial" w:hAnsi="Arial" w:cs="Arial"/>
                <w:sz w:val="18"/>
                <w:szCs w:val="18"/>
              </w:rPr>
              <w:t>23.670</w:t>
            </w:r>
          </w:p>
        </w:tc>
        <w:tc>
          <w:tcPr>
            <w:tcW w:w="495" w:type="pct"/>
            <w:tcBorders>
              <w:top w:val="nil"/>
              <w:left w:val="nil"/>
              <w:bottom w:val="nil"/>
              <w:right w:val="nil"/>
            </w:tcBorders>
            <w:shd w:val="clear" w:color="auto" w:fill="auto"/>
            <w:vAlign w:val="bottom"/>
          </w:tcPr>
          <w:p w14:paraId="55C6E730" w14:textId="2E82FC3D" w:rsidR="00D85B9B" w:rsidRPr="001041A5" w:rsidRDefault="00D85B9B" w:rsidP="00D85B9B">
            <w:pPr>
              <w:tabs>
                <w:tab w:val="right" w:pos="1202"/>
              </w:tabs>
              <w:suppressAutoHyphens/>
              <w:autoSpaceDN w:val="0"/>
              <w:jc w:val="right"/>
              <w:outlineLvl w:val="0"/>
              <w:rPr>
                <w:rFonts w:ascii="Arial" w:hAnsi="Arial" w:cs="Arial"/>
                <w:sz w:val="18"/>
                <w:szCs w:val="18"/>
              </w:rPr>
            </w:pPr>
            <w:r w:rsidRPr="001041A5">
              <w:rPr>
                <w:rFonts w:ascii="Arial" w:hAnsi="Arial" w:cs="Arial"/>
                <w:sz w:val="18"/>
                <w:szCs w:val="18"/>
              </w:rPr>
              <w:t>63.974</w:t>
            </w:r>
          </w:p>
        </w:tc>
        <w:tc>
          <w:tcPr>
            <w:tcW w:w="495" w:type="pct"/>
            <w:tcBorders>
              <w:top w:val="nil"/>
              <w:left w:val="nil"/>
              <w:bottom w:val="nil"/>
              <w:right w:val="nil"/>
            </w:tcBorders>
            <w:shd w:val="clear" w:color="auto" w:fill="auto"/>
            <w:vAlign w:val="bottom"/>
          </w:tcPr>
          <w:p w14:paraId="4A9FF082" w14:textId="620E865C" w:rsidR="00D85B9B" w:rsidRPr="007478FB" w:rsidRDefault="00D85B9B" w:rsidP="00D85B9B">
            <w:pPr>
              <w:tabs>
                <w:tab w:val="right" w:pos="1202"/>
              </w:tabs>
              <w:suppressAutoHyphens/>
              <w:autoSpaceDN w:val="0"/>
              <w:jc w:val="right"/>
              <w:outlineLvl w:val="0"/>
              <w:rPr>
                <w:rFonts w:ascii="Arial" w:hAnsi="Arial" w:cs="Arial"/>
                <w:sz w:val="18"/>
                <w:szCs w:val="18"/>
              </w:rPr>
            </w:pPr>
            <w:r w:rsidRPr="00FF3B1A">
              <w:rPr>
                <w:rFonts w:ascii="Arial" w:hAnsi="Arial" w:cs="Arial"/>
                <w:sz w:val="18"/>
                <w:szCs w:val="18"/>
              </w:rPr>
              <w:t xml:space="preserve"> 18.242 </w:t>
            </w:r>
          </w:p>
        </w:tc>
        <w:tc>
          <w:tcPr>
            <w:tcW w:w="491" w:type="pct"/>
            <w:tcBorders>
              <w:top w:val="nil"/>
              <w:left w:val="nil"/>
              <w:bottom w:val="nil"/>
              <w:right w:val="nil"/>
            </w:tcBorders>
            <w:shd w:val="clear" w:color="auto" w:fill="auto"/>
            <w:vAlign w:val="bottom"/>
          </w:tcPr>
          <w:p w14:paraId="74DA7D6C" w14:textId="1A453241" w:rsidR="00D85B9B" w:rsidRPr="007478FB" w:rsidRDefault="00D85B9B" w:rsidP="00D85B9B">
            <w:pPr>
              <w:tabs>
                <w:tab w:val="right" w:pos="1202"/>
              </w:tabs>
              <w:suppressAutoHyphens/>
              <w:autoSpaceDN w:val="0"/>
              <w:jc w:val="right"/>
              <w:outlineLvl w:val="0"/>
              <w:rPr>
                <w:rFonts w:ascii="Arial" w:hAnsi="Arial" w:cs="Arial"/>
                <w:sz w:val="18"/>
                <w:szCs w:val="18"/>
              </w:rPr>
            </w:pPr>
            <w:r w:rsidRPr="00FF3B1A">
              <w:rPr>
                <w:rFonts w:ascii="Arial" w:hAnsi="Arial" w:cs="Arial"/>
                <w:sz w:val="18"/>
                <w:szCs w:val="18"/>
              </w:rPr>
              <w:t xml:space="preserve"> 53.620 </w:t>
            </w:r>
          </w:p>
        </w:tc>
      </w:tr>
      <w:tr w:rsidR="00D85B9B" w:rsidRPr="00291152" w14:paraId="1B5C1BCC" w14:textId="77777777" w:rsidTr="00A62310">
        <w:trPr>
          <w:trHeight w:val="283"/>
        </w:trPr>
        <w:tc>
          <w:tcPr>
            <w:tcW w:w="1044" w:type="pct"/>
            <w:vAlign w:val="bottom"/>
          </w:tcPr>
          <w:p w14:paraId="16456360" w14:textId="77777777" w:rsidR="00D85B9B" w:rsidRPr="007478FB" w:rsidRDefault="00D85B9B" w:rsidP="00D85B9B">
            <w:pPr>
              <w:tabs>
                <w:tab w:val="right" w:pos="1202"/>
              </w:tabs>
              <w:suppressAutoHyphens/>
              <w:autoSpaceDN w:val="0"/>
              <w:outlineLvl w:val="0"/>
              <w:rPr>
                <w:rFonts w:ascii="Arial" w:eastAsia="Times New Roman" w:hAnsi="Arial" w:cs="Arial"/>
                <w:color w:val="000000" w:themeColor="text1"/>
                <w:sz w:val="18"/>
                <w:szCs w:val="18"/>
              </w:rPr>
            </w:pPr>
          </w:p>
        </w:tc>
        <w:tc>
          <w:tcPr>
            <w:tcW w:w="495" w:type="pct"/>
            <w:tcBorders>
              <w:top w:val="single" w:sz="4" w:space="0" w:color="auto"/>
              <w:bottom w:val="single" w:sz="4" w:space="0" w:color="auto"/>
            </w:tcBorders>
            <w:vAlign w:val="bottom"/>
          </w:tcPr>
          <w:p w14:paraId="466E7C7A" w14:textId="4E559F22" w:rsidR="00D85B9B" w:rsidRPr="00A62310" w:rsidRDefault="00D85B9B" w:rsidP="00D85B9B">
            <w:pPr>
              <w:tabs>
                <w:tab w:val="right" w:pos="1202"/>
              </w:tabs>
              <w:suppressAutoHyphens/>
              <w:autoSpaceDN w:val="0"/>
              <w:jc w:val="right"/>
              <w:outlineLvl w:val="0"/>
              <w:rPr>
                <w:rFonts w:ascii="Arial" w:hAnsi="Arial" w:cs="Arial"/>
                <w:sz w:val="18"/>
                <w:szCs w:val="18"/>
              </w:rPr>
            </w:pPr>
            <w:r w:rsidRPr="00A62310">
              <w:rPr>
                <w:rFonts w:ascii="Arial" w:hAnsi="Arial" w:cs="Arial"/>
                <w:sz w:val="18"/>
                <w:szCs w:val="18"/>
              </w:rPr>
              <w:t xml:space="preserve"> 29.293 </w:t>
            </w:r>
          </w:p>
        </w:tc>
        <w:tc>
          <w:tcPr>
            <w:tcW w:w="495" w:type="pct"/>
            <w:tcBorders>
              <w:top w:val="single" w:sz="4" w:space="0" w:color="auto"/>
              <w:bottom w:val="single" w:sz="4" w:space="0" w:color="auto"/>
            </w:tcBorders>
            <w:vAlign w:val="bottom"/>
          </w:tcPr>
          <w:p w14:paraId="17AA3594" w14:textId="45C6C3BA" w:rsidR="00D85B9B" w:rsidRPr="00A62310" w:rsidRDefault="00D85B9B" w:rsidP="00D85B9B">
            <w:pPr>
              <w:tabs>
                <w:tab w:val="right" w:pos="1202"/>
              </w:tabs>
              <w:suppressAutoHyphens/>
              <w:autoSpaceDN w:val="0"/>
              <w:jc w:val="right"/>
              <w:outlineLvl w:val="0"/>
              <w:rPr>
                <w:rFonts w:ascii="Arial" w:hAnsi="Arial" w:cs="Arial"/>
                <w:sz w:val="18"/>
                <w:szCs w:val="18"/>
              </w:rPr>
            </w:pPr>
            <w:r w:rsidRPr="00A62310">
              <w:rPr>
                <w:rFonts w:ascii="Arial" w:hAnsi="Arial" w:cs="Arial"/>
                <w:sz w:val="18"/>
                <w:szCs w:val="18"/>
              </w:rPr>
              <w:t xml:space="preserve"> 80.713 </w:t>
            </w:r>
          </w:p>
        </w:tc>
        <w:tc>
          <w:tcPr>
            <w:tcW w:w="495" w:type="pct"/>
            <w:tcBorders>
              <w:top w:val="single" w:sz="4" w:space="0" w:color="auto"/>
              <w:bottom w:val="single" w:sz="4" w:space="0" w:color="auto"/>
            </w:tcBorders>
            <w:vAlign w:val="bottom"/>
          </w:tcPr>
          <w:p w14:paraId="481FF74B" w14:textId="395F7A2C" w:rsidR="00D85B9B" w:rsidRPr="007478FB" w:rsidRDefault="00D85B9B" w:rsidP="00D85B9B">
            <w:pPr>
              <w:tabs>
                <w:tab w:val="right" w:pos="1202"/>
              </w:tabs>
              <w:suppressAutoHyphens/>
              <w:autoSpaceDN w:val="0"/>
              <w:jc w:val="right"/>
              <w:outlineLvl w:val="0"/>
              <w:rPr>
                <w:rFonts w:ascii="Arial" w:hAnsi="Arial" w:cs="Arial"/>
                <w:sz w:val="18"/>
                <w:szCs w:val="18"/>
              </w:rPr>
            </w:pPr>
            <w:r w:rsidRPr="00E70BE4">
              <w:rPr>
                <w:rFonts w:ascii="Arial" w:hAnsi="Arial" w:cs="Arial"/>
                <w:sz w:val="18"/>
                <w:szCs w:val="18"/>
              </w:rPr>
              <w:t xml:space="preserve"> 21.928 </w:t>
            </w:r>
          </w:p>
        </w:tc>
        <w:tc>
          <w:tcPr>
            <w:tcW w:w="495" w:type="pct"/>
            <w:tcBorders>
              <w:top w:val="single" w:sz="4" w:space="0" w:color="auto"/>
              <w:bottom w:val="single" w:sz="4" w:space="0" w:color="auto"/>
            </w:tcBorders>
            <w:vAlign w:val="bottom"/>
          </w:tcPr>
          <w:p w14:paraId="0D5EE6B2" w14:textId="639DE0BA" w:rsidR="00D85B9B" w:rsidRPr="007478FB" w:rsidRDefault="00D85B9B" w:rsidP="00D85B9B">
            <w:pPr>
              <w:tabs>
                <w:tab w:val="right" w:pos="1202"/>
              </w:tabs>
              <w:suppressAutoHyphens/>
              <w:autoSpaceDN w:val="0"/>
              <w:jc w:val="right"/>
              <w:outlineLvl w:val="0"/>
              <w:rPr>
                <w:rFonts w:ascii="Arial" w:hAnsi="Arial" w:cs="Arial"/>
                <w:sz w:val="18"/>
                <w:szCs w:val="18"/>
              </w:rPr>
            </w:pPr>
            <w:r w:rsidRPr="00E70BE4">
              <w:rPr>
                <w:rFonts w:ascii="Arial" w:hAnsi="Arial" w:cs="Arial"/>
                <w:sz w:val="18"/>
                <w:szCs w:val="18"/>
              </w:rPr>
              <w:t xml:space="preserve"> 63.215 </w:t>
            </w:r>
          </w:p>
        </w:tc>
        <w:tc>
          <w:tcPr>
            <w:tcW w:w="495" w:type="pct"/>
            <w:tcBorders>
              <w:top w:val="single" w:sz="4" w:space="0" w:color="auto"/>
              <w:bottom w:val="single" w:sz="4" w:space="0" w:color="auto"/>
            </w:tcBorders>
            <w:vAlign w:val="bottom"/>
          </w:tcPr>
          <w:p w14:paraId="7F022852" w14:textId="72138D38" w:rsidR="00D85B9B" w:rsidRPr="001041A5" w:rsidRDefault="00D85B9B" w:rsidP="00D85B9B">
            <w:pPr>
              <w:tabs>
                <w:tab w:val="right" w:pos="1202"/>
              </w:tabs>
              <w:suppressAutoHyphens/>
              <w:autoSpaceDN w:val="0"/>
              <w:jc w:val="right"/>
              <w:outlineLvl w:val="0"/>
              <w:rPr>
                <w:rFonts w:ascii="Arial" w:hAnsi="Arial" w:cs="Arial"/>
                <w:sz w:val="18"/>
                <w:szCs w:val="18"/>
              </w:rPr>
            </w:pPr>
            <w:r w:rsidRPr="001041A5">
              <w:rPr>
                <w:rFonts w:ascii="Arial" w:hAnsi="Arial" w:cs="Arial"/>
                <w:sz w:val="18"/>
                <w:szCs w:val="18"/>
              </w:rPr>
              <w:t>29.293</w:t>
            </w:r>
          </w:p>
        </w:tc>
        <w:tc>
          <w:tcPr>
            <w:tcW w:w="495" w:type="pct"/>
            <w:tcBorders>
              <w:top w:val="single" w:sz="4" w:space="0" w:color="auto"/>
              <w:bottom w:val="single" w:sz="4" w:space="0" w:color="auto"/>
            </w:tcBorders>
            <w:vAlign w:val="bottom"/>
          </w:tcPr>
          <w:p w14:paraId="10D1D8D0" w14:textId="731D8E1C" w:rsidR="00D85B9B" w:rsidRPr="001041A5" w:rsidRDefault="00D85B9B" w:rsidP="00D85B9B">
            <w:pPr>
              <w:tabs>
                <w:tab w:val="right" w:pos="1202"/>
              </w:tabs>
              <w:suppressAutoHyphens/>
              <w:autoSpaceDN w:val="0"/>
              <w:jc w:val="right"/>
              <w:outlineLvl w:val="0"/>
              <w:rPr>
                <w:rFonts w:ascii="Arial" w:hAnsi="Arial" w:cs="Arial"/>
                <w:sz w:val="18"/>
                <w:szCs w:val="18"/>
              </w:rPr>
            </w:pPr>
            <w:r w:rsidRPr="001041A5">
              <w:rPr>
                <w:rFonts w:ascii="Arial" w:hAnsi="Arial" w:cs="Arial"/>
                <w:sz w:val="18"/>
                <w:szCs w:val="18"/>
              </w:rPr>
              <w:t>80.713</w:t>
            </w:r>
          </w:p>
        </w:tc>
        <w:tc>
          <w:tcPr>
            <w:tcW w:w="495" w:type="pct"/>
            <w:tcBorders>
              <w:top w:val="single" w:sz="4" w:space="0" w:color="auto"/>
              <w:bottom w:val="single" w:sz="4" w:space="0" w:color="auto"/>
            </w:tcBorders>
            <w:vAlign w:val="bottom"/>
          </w:tcPr>
          <w:p w14:paraId="5D776353" w14:textId="4BB44D98" w:rsidR="00D85B9B" w:rsidRPr="007478FB" w:rsidRDefault="00D85B9B" w:rsidP="00D85B9B">
            <w:pPr>
              <w:tabs>
                <w:tab w:val="right" w:pos="1202"/>
              </w:tabs>
              <w:suppressAutoHyphens/>
              <w:autoSpaceDN w:val="0"/>
              <w:jc w:val="right"/>
              <w:outlineLvl w:val="0"/>
              <w:rPr>
                <w:rFonts w:ascii="Arial" w:hAnsi="Arial" w:cs="Arial"/>
                <w:sz w:val="18"/>
                <w:szCs w:val="18"/>
              </w:rPr>
            </w:pPr>
            <w:r w:rsidRPr="00FF3B1A">
              <w:rPr>
                <w:rFonts w:ascii="Arial" w:hAnsi="Arial" w:cs="Arial"/>
                <w:sz w:val="18"/>
                <w:szCs w:val="18"/>
              </w:rPr>
              <w:t xml:space="preserve"> 21.928 </w:t>
            </w:r>
          </w:p>
        </w:tc>
        <w:tc>
          <w:tcPr>
            <w:tcW w:w="491" w:type="pct"/>
            <w:tcBorders>
              <w:top w:val="single" w:sz="4" w:space="0" w:color="auto"/>
              <w:bottom w:val="single" w:sz="4" w:space="0" w:color="auto"/>
            </w:tcBorders>
            <w:vAlign w:val="bottom"/>
          </w:tcPr>
          <w:p w14:paraId="482A5718" w14:textId="440D6391" w:rsidR="00D85B9B" w:rsidRPr="007478FB" w:rsidRDefault="00D85B9B" w:rsidP="00D85B9B">
            <w:pPr>
              <w:tabs>
                <w:tab w:val="right" w:pos="1202"/>
              </w:tabs>
              <w:suppressAutoHyphens/>
              <w:autoSpaceDN w:val="0"/>
              <w:jc w:val="right"/>
              <w:outlineLvl w:val="0"/>
              <w:rPr>
                <w:rFonts w:ascii="Arial" w:hAnsi="Arial" w:cs="Arial"/>
                <w:sz w:val="18"/>
                <w:szCs w:val="18"/>
              </w:rPr>
            </w:pPr>
            <w:r w:rsidRPr="00FF3B1A">
              <w:rPr>
                <w:rFonts w:ascii="Arial" w:hAnsi="Arial" w:cs="Arial"/>
                <w:sz w:val="18"/>
                <w:szCs w:val="18"/>
              </w:rPr>
              <w:t xml:space="preserve"> 63.215 </w:t>
            </w:r>
          </w:p>
        </w:tc>
      </w:tr>
      <w:tr w:rsidR="00161F4D" w:rsidRPr="00291152" w14:paraId="7B86288E" w14:textId="77777777" w:rsidTr="00A62310">
        <w:tblPrEx>
          <w:tblCellMar>
            <w:left w:w="119" w:type="dxa"/>
            <w:right w:w="119" w:type="dxa"/>
          </w:tblCellMar>
        </w:tblPrEx>
        <w:trPr>
          <w:trHeight w:val="283"/>
        </w:trPr>
        <w:tc>
          <w:tcPr>
            <w:tcW w:w="1044" w:type="pct"/>
            <w:vAlign w:val="bottom"/>
          </w:tcPr>
          <w:p w14:paraId="37A3200D" w14:textId="77777777" w:rsidR="00161F4D" w:rsidRPr="007478FB" w:rsidRDefault="00161F4D" w:rsidP="00161F4D">
            <w:pPr>
              <w:tabs>
                <w:tab w:val="right" w:pos="1202"/>
              </w:tabs>
              <w:suppressAutoHyphens/>
              <w:autoSpaceDN w:val="0"/>
              <w:outlineLvl w:val="0"/>
              <w:rPr>
                <w:rFonts w:ascii="Arial" w:eastAsia="Times New Roman" w:hAnsi="Arial" w:cs="Arial"/>
                <w:color w:val="000000" w:themeColor="text1"/>
                <w:sz w:val="18"/>
                <w:szCs w:val="18"/>
              </w:rPr>
            </w:pPr>
          </w:p>
        </w:tc>
        <w:tc>
          <w:tcPr>
            <w:tcW w:w="495" w:type="pct"/>
            <w:tcBorders>
              <w:top w:val="single" w:sz="4" w:space="0" w:color="auto"/>
            </w:tcBorders>
            <w:vAlign w:val="bottom"/>
          </w:tcPr>
          <w:p w14:paraId="7159033D" w14:textId="77777777" w:rsidR="00161F4D" w:rsidRPr="00A62310" w:rsidRDefault="00161F4D" w:rsidP="00161F4D">
            <w:pPr>
              <w:tabs>
                <w:tab w:val="right" w:pos="1202"/>
              </w:tabs>
              <w:suppressAutoHyphens/>
              <w:autoSpaceDN w:val="0"/>
              <w:outlineLvl w:val="0"/>
              <w:rPr>
                <w:rFonts w:ascii="Arial" w:eastAsia="Times New Roman" w:hAnsi="Arial" w:cs="Arial"/>
                <w:color w:val="000000" w:themeColor="text1"/>
                <w:sz w:val="18"/>
                <w:szCs w:val="18"/>
              </w:rPr>
            </w:pPr>
          </w:p>
        </w:tc>
        <w:tc>
          <w:tcPr>
            <w:tcW w:w="495" w:type="pct"/>
            <w:tcBorders>
              <w:top w:val="single" w:sz="4" w:space="0" w:color="auto"/>
            </w:tcBorders>
            <w:vAlign w:val="bottom"/>
          </w:tcPr>
          <w:p w14:paraId="7EDE2E79" w14:textId="77777777" w:rsidR="00161F4D" w:rsidRPr="00A62310" w:rsidRDefault="00161F4D" w:rsidP="00161F4D">
            <w:pPr>
              <w:tabs>
                <w:tab w:val="right" w:pos="1202"/>
              </w:tabs>
              <w:suppressAutoHyphens/>
              <w:autoSpaceDN w:val="0"/>
              <w:outlineLvl w:val="0"/>
              <w:rPr>
                <w:rFonts w:ascii="Arial" w:eastAsia="Times New Roman" w:hAnsi="Arial" w:cs="Arial"/>
                <w:color w:val="000000" w:themeColor="text1"/>
                <w:sz w:val="18"/>
                <w:szCs w:val="18"/>
              </w:rPr>
            </w:pPr>
          </w:p>
        </w:tc>
        <w:tc>
          <w:tcPr>
            <w:tcW w:w="495" w:type="pct"/>
            <w:tcBorders>
              <w:top w:val="single" w:sz="4" w:space="0" w:color="auto"/>
            </w:tcBorders>
            <w:vAlign w:val="bottom"/>
          </w:tcPr>
          <w:p w14:paraId="786F7E14" w14:textId="77D63FC3" w:rsidR="00161F4D" w:rsidRPr="007478FB" w:rsidRDefault="00161F4D" w:rsidP="00161F4D">
            <w:pPr>
              <w:tabs>
                <w:tab w:val="right" w:pos="1202"/>
              </w:tabs>
              <w:suppressAutoHyphens/>
              <w:autoSpaceDN w:val="0"/>
              <w:outlineLvl w:val="0"/>
              <w:rPr>
                <w:rFonts w:ascii="Arial" w:eastAsia="Times New Roman" w:hAnsi="Arial" w:cs="Arial"/>
                <w:color w:val="000000" w:themeColor="text1"/>
                <w:sz w:val="18"/>
                <w:szCs w:val="18"/>
              </w:rPr>
            </w:pPr>
          </w:p>
        </w:tc>
        <w:tc>
          <w:tcPr>
            <w:tcW w:w="495" w:type="pct"/>
            <w:tcBorders>
              <w:top w:val="single" w:sz="4" w:space="0" w:color="auto"/>
            </w:tcBorders>
            <w:vAlign w:val="bottom"/>
          </w:tcPr>
          <w:p w14:paraId="6844ADCA" w14:textId="77777777" w:rsidR="00161F4D" w:rsidRPr="007478FB" w:rsidRDefault="00161F4D" w:rsidP="00161F4D">
            <w:pPr>
              <w:tabs>
                <w:tab w:val="right" w:pos="1202"/>
              </w:tabs>
              <w:suppressAutoHyphens/>
              <w:autoSpaceDN w:val="0"/>
              <w:outlineLvl w:val="0"/>
              <w:rPr>
                <w:rFonts w:ascii="Arial" w:eastAsia="Times New Roman" w:hAnsi="Arial" w:cs="Arial"/>
                <w:color w:val="000000" w:themeColor="text1"/>
                <w:sz w:val="18"/>
                <w:szCs w:val="18"/>
              </w:rPr>
            </w:pPr>
          </w:p>
        </w:tc>
        <w:tc>
          <w:tcPr>
            <w:tcW w:w="495" w:type="pct"/>
            <w:tcBorders>
              <w:top w:val="single" w:sz="4" w:space="0" w:color="auto"/>
            </w:tcBorders>
            <w:vAlign w:val="bottom"/>
          </w:tcPr>
          <w:p w14:paraId="08115C62" w14:textId="0CC4E41A" w:rsidR="00161F4D" w:rsidRPr="001041A5" w:rsidRDefault="00161F4D" w:rsidP="00161F4D">
            <w:pPr>
              <w:tabs>
                <w:tab w:val="right" w:pos="1202"/>
              </w:tabs>
              <w:suppressAutoHyphens/>
              <w:autoSpaceDN w:val="0"/>
              <w:outlineLvl w:val="0"/>
              <w:rPr>
                <w:rFonts w:ascii="Arial" w:eastAsia="Times New Roman" w:hAnsi="Arial" w:cs="Arial"/>
                <w:color w:val="000000" w:themeColor="text1"/>
                <w:sz w:val="18"/>
                <w:szCs w:val="18"/>
              </w:rPr>
            </w:pPr>
          </w:p>
        </w:tc>
        <w:tc>
          <w:tcPr>
            <w:tcW w:w="495" w:type="pct"/>
            <w:tcBorders>
              <w:top w:val="single" w:sz="4" w:space="0" w:color="auto"/>
            </w:tcBorders>
            <w:vAlign w:val="bottom"/>
          </w:tcPr>
          <w:p w14:paraId="1D11BDEC" w14:textId="77777777" w:rsidR="00161F4D" w:rsidRPr="001041A5" w:rsidRDefault="00161F4D" w:rsidP="00161F4D">
            <w:pPr>
              <w:tabs>
                <w:tab w:val="right" w:pos="1202"/>
              </w:tabs>
              <w:suppressAutoHyphens/>
              <w:autoSpaceDN w:val="0"/>
              <w:outlineLvl w:val="0"/>
              <w:rPr>
                <w:rFonts w:ascii="Arial" w:eastAsia="Times New Roman" w:hAnsi="Arial" w:cs="Arial"/>
                <w:color w:val="000000" w:themeColor="text1"/>
                <w:sz w:val="18"/>
                <w:szCs w:val="18"/>
              </w:rPr>
            </w:pPr>
          </w:p>
        </w:tc>
        <w:tc>
          <w:tcPr>
            <w:tcW w:w="495" w:type="pct"/>
            <w:tcBorders>
              <w:top w:val="single" w:sz="4" w:space="0" w:color="auto"/>
            </w:tcBorders>
            <w:vAlign w:val="bottom"/>
          </w:tcPr>
          <w:p w14:paraId="4CAFC18D" w14:textId="77777777" w:rsidR="00161F4D" w:rsidRPr="007478FB" w:rsidRDefault="00161F4D" w:rsidP="00161F4D">
            <w:pPr>
              <w:tabs>
                <w:tab w:val="right" w:pos="1202"/>
              </w:tabs>
              <w:suppressAutoHyphens/>
              <w:autoSpaceDN w:val="0"/>
              <w:outlineLvl w:val="0"/>
              <w:rPr>
                <w:rFonts w:ascii="Arial" w:eastAsia="Times New Roman" w:hAnsi="Arial" w:cs="Arial"/>
                <w:color w:val="000000" w:themeColor="text1"/>
                <w:sz w:val="18"/>
                <w:szCs w:val="18"/>
              </w:rPr>
            </w:pPr>
          </w:p>
        </w:tc>
        <w:tc>
          <w:tcPr>
            <w:tcW w:w="491" w:type="pct"/>
            <w:tcBorders>
              <w:top w:val="single" w:sz="4" w:space="0" w:color="auto"/>
            </w:tcBorders>
            <w:vAlign w:val="bottom"/>
          </w:tcPr>
          <w:p w14:paraId="0DA12E9E" w14:textId="77777777" w:rsidR="00161F4D" w:rsidRPr="007478FB" w:rsidRDefault="00161F4D" w:rsidP="00161F4D">
            <w:pPr>
              <w:tabs>
                <w:tab w:val="right" w:pos="1202"/>
              </w:tabs>
              <w:suppressAutoHyphens/>
              <w:autoSpaceDN w:val="0"/>
              <w:outlineLvl w:val="0"/>
              <w:rPr>
                <w:rFonts w:ascii="Arial" w:eastAsia="Times New Roman" w:hAnsi="Arial" w:cs="Arial"/>
                <w:color w:val="000000" w:themeColor="text1"/>
                <w:sz w:val="18"/>
                <w:szCs w:val="18"/>
              </w:rPr>
            </w:pPr>
          </w:p>
        </w:tc>
      </w:tr>
      <w:tr w:rsidR="00D85B9B" w:rsidRPr="00291152" w14:paraId="71D0EB17" w14:textId="77777777" w:rsidTr="00A62310">
        <w:trPr>
          <w:trHeight w:val="283"/>
        </w:trPr>
        <w:tc>
          <w:tcPr>
            <w:tcW w:w="1044" w:type="pct"/>
            <w:vAlign w:val="bottom"/>
          </w:tcPr>
          <w:p w14:paraId="64CEC286" w14:textId="77777777" w:rsidR="00D85B9B" w:rsidRPr="007478FB" w:rsidRDefault="00D85B9B" w:rsidP="00D85B9B">
            <w:pPr>
              <w:tabs>
                <w:tab w:val="right" w:pos="1202"/>
              </w:tabs>
              <w:suppressAutoHyphens/>
              <w:autoSpaceDN w:val="0"/>
              <w:outlineLvl w:val="0"/>
              <w:rPr>
                <w:rFonts w:ascii="Arial" w:eastAsia="Times New Roman" w:hAnsi="Arial" w:cs="Arial"/>
                <w:color w:val="000000" w:themeColor="text1"/>
                <w:sz w:val="18"/>
                <w:szCs w:val="18"/>
              </w:rPr>
            </w:pPr>
            <w:bookmarkStart w:id="272" w:name="_Toc67327470"/>
            <w:r w:rsidRPr="007478FB">
              <w:rPr>
                <w:rFonts w:ascii="Arial" w:eastAsia="Times New Roman" w:hAnsi="Arial" w:cs="Arial"/>
                <w:color w:val="000000" w:themeColor="text1"/>
                <w:sz w:val="18"/>
                <w:szCs w:val="18"/>
              </w:rPr>
              <w:t>Plasmani u vrijednosne papire</w:t>
            </w:r>
            <w:bookmarkEnd w:id="272"/>
          </w:p>
        </w:tc>
        <w:tc>
          <w:tcPr>
            <w:tcW w:w="495" w:type="pct"/>
            <w:tcBorders>
              <w:top w:val="nil"/>
              <w:left w:val="nil"/>
              <w:bottom w:val="nil"/>
              <w:right w:val="nil"/>
            </w:tcBorders>
            <w:shd w:val="clear" w:color="auto" w:fill="auto"/>
            <w:vAlign w:val="bottom"/>
          </w:tcPr>
          <w:p w14:paraId="083B8CA6" w14:textId="089379AF" w:rsidR="00D85B9B" w:rsidRPr="00A62310" w:rsidRDefault="00D85B9B" w:rsidP="00D85B9B">
            <w:pPr>
              <w:tabs>
                <w:tab w:val="right" w:pos="1202"/>
              </w:tabs>
              <w:suppressAutoHyphens/>
              <w:autoSpaceDN w:val="0"/>
              <w:jc w:val="right"/>
              <w:outlineLvl w:val="0"/>
              <w:rPr>
                <w:rFonts w:ascii="Arial" w:hAnsi="Arial" w:cs="Arial"/>
                <w:sz w:val="18"/>
                <w:szCs w:val="18"/>
              </w:rPr>
            </w:pPr>
            <w:r w:rsidRPr="00A62310">
              <w:rPr>
                <w:rFonts w:ascii="Arial" w:hAnsi="Arial" w:cs="Arial"/>
                <w:sz w:val="18"/>
                <w:szCs w:val="18"/>
              </w:rPr>
              <w:t xml:space="preserve"> 1.689 </w:t>
            </w:r>
          </w:p>
        </w:tc>
        <w:tc>
          <w:tcPr>
            <w:tcW w:w="495" w:type="pct"/>
            <w:tcBorders>
              <w:top w:val="nil"/>
              <w:left w:val="nil"/>
              <w:bottom w:val="nil"/>
              <w:right w:val="nil"/>
            </w:tcBorders>
            <w:shd w:val="clear" w:color="auto" w:fill="auto"/>
            <w:vAlign w:val="bottom"/>
          </w:tcPr>
          <w:p w14:paraId="6F8F734D" w14:textId="1CAFF3F6" w:rsidR="00D85B9B" w:rsidRPr="00A62310" w:rsidRDefault="00D85B9B" w:rsidP="00D85B9B">
            <w:pPr>
              <w:tabs>
                <w:tab w:val="right" w:pos="1202"/>
              </w:tabs>
              <w:suppressAutoHyphens/>
              <w:autoSpaceDN w:val="0"/>
              <w:jc w:val="right"/>
              <w:outlineLvl w:val="0"/>
              <w:rPr>
                <w:rFonts w:ascii="Arial" w:hAnsi="Arial" w:cs="Arial"/>
                <w:sz w:val="18"/>
                <w:szCs w:val="18"/>
              </w:rPr>
            </w:pPr>
            <w:r w:rsidRPr="00A62310">
              <w:rPr>
                <w:rFonts w:ascii="Arial" w:hAnsi="Arial" w:cs="Arial"/>
                <w:sz w:val="18"/>
                <w:szCs w:val="18"/>
              </w:rPr>
              <w:t xml:space="preserve"> 4.634 </w:t>
            </w:r>
          </w:p>
        </w:tc>
        <w:tc>
          <w:tcPr>
            <w:tcW w:w="495" w:type="pct"/>
            <w:tcBorders>
              <w:top w:val="nil"/>
              <w:left w:val="nil"/>
              <w:bottom w:val="nil"/>
              <w:right w:val="nil"/>
            </w:tcBorders>
            <w:shd w:val="clear" w:color="auto" w:fill="auto"/>
            <w:vAlign w:val="bottom"/>
          </w:tcPr>
          <w:p w14:paraId="073D5A84" w14:textId="6CA0E10F" w:rsidR="00D85B9B" w:rsidRPr="00E70BE4" w:rsidRDefault="00D85B9B" w:rsidP="00D85B9B">
            <w:pPr>
              <w:tabs>
                <w:tab w:val="right" w:pos="1202"/>
              </w:tabs>
              <w:suppressAutoHyphens/>
              <w:autoSpaceDN w:val="0"/>
              <w:jc w:val="right"/>
              <w:outlineLvl w:val="0"/>
              <w:rPr>
                <w:rFonts w:ascii="Arial" w:hAnsi="Arial" w:cs="Arial"/>
                <w:sz w:val="18"/>
                <w:szCs w:val="18"/>
              </w:rPr>
            </w:pPr>
            <w:r w:rsidRPr="00E70BE4">
              <w:rPr>
                <w:rFonts w:ascii="Arial" w:hAnsi="Arial" w:cs="Arial"/>
                <w:sz w:val="18"/>
                <w:szCs w:val="18"/>
              </w:rPr>
              <w:t xml:space="preserve"> 1.229 </w:t>
            </w:r>
          </w:p>
        </w:tc>
        <w:tc>
          <w:tcPr>
            <w:tcW w:w="495" w:type="pct"/>
            <w:tcBorders>
              <w:top w:val="nil"/>
              <w:left w:val="nil"/>
              <w:bottom w:val="nil"/>
              <w:right w:val="nil"/>
            </w:tcBorders>
            <w:shd w:val="clear" w:color="auto" w:fill="auto"/>
            <w:vAlign w:val="bottom"/>
          </w:tcPr>
          <w:p w14:paraId="57C640C2" w14:textId="222F87BA" w:rsidR="00D85B9B" w:rsidRPr="007478FB" w:rsidRDefault="00D85B9B" w:rsidP="00D85B9B">
            <w:pPr>
              <w:tabs>
                <w:tab w:val="right" w:pos="1202"/>
              </w:tabs>
              <w:suppressAutoHyphens/>
              <w:autoSpaceDN w:val="0"/>
              <w:jc w:val="right"/>
              <w:outlineLvl w:val="0"/>
              <w:rPr>
                <w:rFonts w:ascii="Arial" w:hAnsi="Arial" w:cs="Arial"/>
                <w:sz w:val="18"/>
                <w:szCs w:val="18"/>
              </w:rPr>
            </w:pPr>
            <w:r w:rsidRPr="00E70BE4">
              <w:rPr>
                <w:rFonts w:ascii="Arial" w:hAnsi="Arial" w:cs="Arial"/>
                <w:sz w:val="18"/>
                <w:szCs w:val="18"/>
              </w:rPr>
              <w:t xml:space="preserve"> 3.253 </w:t>
            </w:r>
          </w:p>
        </w:tc>
        <w:tc>
          <w:tcPr>
            <w:tcW w:w="495" w:type="pct"/>
            <w:tcBorders>
              <w:top w:val="nil"/>
              <w:left w:val="nil"/>
              <w:bottom w:val="nil"/>
              <w:right w:val="nil"/>
            </w:tcBorders>
            <w:shd w:val="clear" w:color="auto" w:fill="auto"/>
            <w:vAlign w:val="bottom"/>
          </w:tcPr>
          <w:p w14:paraId="6B098118" w14:textId="7E0C2AE9" w:rsidR="00D85B9B" w:rsidRPr="001041A5" w:rsidRDefault="00D85B9B" w:rsidP="00D85B9B">
            <w:pPr>
              <w:tabs>
                <w:tab w:val="right" w:pos="1202"/>
              </w:tabs>
              <w:suppressAutoHyphens/>
              <w:autoSpaceDN w:val="0"/>
              <w:jc w:val="right"/>
              <w:outlineLvl w:val="0"/>
              <w:rPr>
                <w:rFonts w:ascii="Arial" w:hAnsi="Arial" w:cs="Arial"/>
                <w:sz w:val="18"/>
                <w:szCs w:val="18"/>
              </w:rPr>
            </w:pPr>
            <w:r w:rsidRPr="001041A5">
              <w:rPr>
                <w:rFonts w:ascii="Arial" w:hAnsi="Arial" w:cs="Arial"/>
                <w:sz w:val="18"/>
                <w:szCs w:val="18"/>
              </w:rPr>
              <w:t>1.651</w:t>
            </w:r>
          </w:p>
        </w:tc>
        <w:tc>
          <w:tcPr>
            <w:tcW w:w="495" w:type="pct"/>
            <w:tcBorders>
              <w:top w:val="nil"/>
              <w:left w:val="nil"/>
              <w:bottom w:val="nil"/>
              <w:right w:val="nil"/>
            </w:tcBorders>
            <w:shd w:val="clear" w:color="auto" w:fill="auto"/>
            <w:vAlign w:val="bottom"/>
          </w:tcPr>
          <w:p w14:paraId="66AA5D91" w14:textId="33D7274E" w:rsidR="00D85B9B" w:rsidRPr="001041A5" w:rsidRDefault="00D85B9B" w:rsidP="00D85B9B">
            <w:pPr>
              <w:tabs>
                <w:tab w:val="right" w:pos="1202"/>
              </w:tabs>
              <w:suppressAutoHyphens/>
              <w:autoSpaceDN w:val="0"/>
              <w:jc w:val="right"/>
              <w:outlineLvl w:val="0"/>
              <w:rPr>
                <w:rFonts w:ascii="Arial" w:hAnsi="Arial" w:cs="Arial"/>
                <w:sz w:val="18"/>
                <w:szCs w:val="18"/>
              </w:rPr>
            </w:pPr>
            <w:r w:rsidRPr="001041A5">
              <w:rPr>
                <w:rFonts w:ascii="Arial" w:hAnsi="Arial" w:cs="Arial"/>
                <w:sz w:val="18"/>
                <w:szCs w:val="18"/>
              </w:rPr>
              <w:t>4.510</w:t>
            </w:r>
          </w:p>
        </w:tc>
        <w:tc>
          <w:tcPr>
            <w:tcW w:w="495" w:type="pct"/>
            <w:tcBorders>
              <w:top w:val="nil"/>
              <w:left w:val="nil"/>
              <w:bottom w:val="nil"/>
              <w:right w:val="nil"/>
            </w:tcBorders>
            <w:shd w:val="clear" w:color="auto" w:fill="auto"/>
            <w:vAlign w:val="bottom"/>
          </w:tcPr>
          <w:p w14:paraId="30D47A97" w14:textId="44FA675E" w:rsidR="00D85B9B" w:rsidRPr="007478FB" w:rsidRDefault="00D85B9B" w:rsidP="00D85B9B">
            <w:pPr>
              <w:tabs>
                <w:tab w:val="right" w:pos="1202"/>
              </w:tabs>
              <w:suppressAutoHyphens/>
              <w:autoSpaceDN w:val="0"/>
              <w:jc w:val="right"/>
              <w:outlineLvl w:val="0"/>
              <w:rPr>
                <w:rFonts w:ascii="Arial" w:hAnsi="Arial" w:cs="Arial"/>
                <w:sz w:val="18"/>
                <w:szCs w:val="18"/>
              </w:rPr>
            </w:pPr>
            <w:r w:rsidRPr="00FF3B1A">
              <w:rPr>
                <w:rFonts w:ascii="Arial" w:hAnsi="Arial" w:cs="Arial"/>
                <w:sz w:val="18"/>
                <w:szCs w:val="18"/>
              </w:rPr>
              <w:t xml:space="preserve"> 1.187 </w:t>
            </w:r>
          </w:p>
        </w:tc>
        <w:tc>
          <w:tcPr>
            <w:tcW w:w="491" w:type="pct"/>
            <w:tcBorders>
              <w:top w:val="nil"/>
              <w:left w:val="nil"/>
              <w:bottom w:val="nil"/>
              <w:right w:val="nil"/>
            </w:tcBorders>
            <w:shd w:val="clear" w:color="auto" w:fill="auto"/>
            <w:vAlign w:val="bottom"/>
          </w:tcPr>
          <w:p w14:paraId="626FB072" w14:textId="54745E10" w:rsidR="00D85B9B" w:rsidRPr="007478FB" w:rsidRDefault="00D85B9B" w:rsidP="00D85B9B">
            <w:pPr>
              <w:tabs>
                <w:tab w:val="right" w:pos="1202"/>
              </w:tabs>
              <w:suppressAutoHyphens/>
              <w:autoSpaceDN w:val="0"/>
              <w:jc w:val="right"/>
              <w:outlineLvl w:val="0"/>
              <w:rPr>
                <w:rFonts w:ascii="Arial" w:hAnsi="Arial" w:cs="Arial"/>
                <w:sz w:val="18"/>
                <w:szCs w:val="18"/>
              </w:rPr>
            </w:pPr>
            <w:r w:rsidRPr="00FF3B1A">
              <w:rPr>
                <w:rFonts w:ascii="Arial" w:hAnsi="Arial" w:cs="Arial"/>
                <w:sz w:val="18"/>
                <w:szCs w:val="18"/>
              </w:rPr>
              <w:t xml:space="preserve"> 3.124 </w:t>
            </w:r>
          </w:p>
        </w:tc>
      </w:tr>
      <w:tr w:rsidR="00D85B9B" w:rsidRPr="00291152" w14:paraId="417D8E33" w14:textId="77777777" w:rsidTr="00A62310">
        <w:tc>
          <w:tcPr>
            <w:tcW w:w="1044" w:type="pct"/>
            <w:tcBorders>
              <w:top w:val="nil"/>
              <w:left w:val="nil"/>
              <w:bottom w:val="nil"/>
              <w:right w:val="nil"/>
            </w:tcBorders>
            <w:shd w:val="clear" w:color="auto" w:fill="auto"/>
            <w:vAlign w:val="bottom"/>
          </w:tcPr>
          <w:p w14:paraId="76D7BDD9" w14:textId="77777777" w:rsidR="00D85B9B" w:rsidRPr="007478FB" w:rsidRDefault="00D85B9B" w:rsidP="00D85B9B">
            <w:pPr>
              <w:tabs>
                <w:tab w:val="right" w:pos="1202"/>
              </w:tabs>
              <w:suppressAutoHyphens/>
              <w:autoSpaceDN w:val="0"/>
              <w:outlineLvl w:val="0"/>
              <w:rPr>
                <w:rFonts w:ascii="Arial" w:eastAsia="Times New Roman" w:hAnsi="Arial" w:cs="Arial"/>
                <w:color w:val="000000" w:themeColor="text1"/>
                <w:sz w:val="18"/>
                <w:szCs w:val="18"/>
              </w:rPr>
            </w:pPr>
            <w:bookmarkStart w:id="273" w:name="_Toc67327475"/>
            <w:r w:rsidRPr="007478FB">
              <w:rPr>
                <w:rFonts w:ascii="Arial" w:eastAsia="Times New Roman" w:hAnsi="Arial" w:cs="Arial"/>
                <w:i/>
                <w:iCs/>
                <w:color w:val="000000" w:themeColor="text1"/>
                <w:sz w:val="18"/>
                <w:szCs w:val="18"/>
              </w:rPr>
              <w:t>- obveznice Republike Hrvatske</w:t>
            </w:r>
            <w:bookmarkEnd w:id="273"/>
          </w:p>
        </w:tc>
        <w:tc>
          <w:tcPr>
            <w:tcW w:w="495" w:type="pct"/>
            <w:tcBorders>
              <w:top w:val="nil"/>
              <w:left w:val="nil"/>
              <w:bottom w:val="nil"/>
              <w:right w:val="nil"/>
            </w:tcBorders>
            <w:shd w:val="clear" w:color="auto" w:fill="auto"/>
            <w:vAlign w:val="bottom"/>
          </w:tcPr>
          <w:p w14:paraId="601F69D7" w14:textId="252EDF7D" w:rsidR="00D85B9B" w:rsidRPr="004A7D1E" w:rsidRDefault="00D85B9B" w:rsidP="00D85B9B">
            <w:pPr>
              <w:tabs>
                <w:tab w:val="right" w:pos="1202"/>
              </w:tabs>
              <w:suppressAutoHyphens/>
              <w:autoSpaceDN w:val="0"/>
              <w:jc w:val="right"/>
              <w:outlineLvl w:val="0"/>
              <w:rPr>
                <w:rFonts w:ascii="Arial" w:hAnsi="Arial" w:cs="Arial"/>
                <w:i/>
                <w:iCs/>
                <w:sz w:val="18"/>
                <w:szCs w:val="18"/>
              </w:rPr>
            </w:pPr>
            <w:r w:rsidRPr="001541F1">
              <w:rPr>
                <w:rFonts w:ascii="Arial" w:hAnsi="Arial" w:cs="Arial"/>
                <w:i/>
                <w:iCs/>
                <w:sz w:val="18"/>
                <w:szCs w:val="18"/>
              </w:rPr>
              <w:t xml:space="preserve"> 1.522 </w:t>
            </w:r>
          </w:p>
        </w:tc>
        <w:tc>
          <w:tcPr>
            <w:tcW w:w="495" w:type="pct"/>
            <w:tcBorders>
              <w:top w:val="nil"/>
              <w:left w:val="nil"/>
              <w:bottom w:val="nil"/>
              <w:right w:val="nil"/>
            </w:tcBorders>
            <w:shd w:val="clear" w:color="auto" w:fill="auto"/>
            <w:vAlign w:val="bottom"/>
          </w:tcPr>
          <w:p w14:paraId="302C43FC" w14:textId="12407DF4" w:rsidR="00D85B9B" w:rsidRPr="004A7D1E" w:rsidRDefault="00D85B9B" w:rsidP="00D85B9B">
            <w:pPr>
              <w:tabs>
                <w:tab w:val="right" w:pos="1202"/>
              </w:tabs>
              <w:suppressAutoHyphens/>
              <w:autoSpaceDN w:val="0"/>
              <w:jc w:val="right"/>
              <w:outlineLvl w:val="0"/>
              <w:rPr>
                <w:rFonts w:ascii="Arial" w:hAnsi="Arial" w:cs="Arial"/>
                <w:i/>
                <w:iCs/>
                <w:sz w:val="18"/>
                <w:szCs w:val="18"/>
              </w:rPr>
            </w:pPr>
            <w:r w:rsidRPr="001541F1">
              <w:rPr>
                <w:rFonts w:ascii="Arial" w:hAnsi="Arial" w:cs="Arial"/>
                <w:i/>
                <w:iCs/>
                <w:sz w:val="18"/>
                <w:szCs w:val="18"/>
              </w:rPr>
              <w:t xml:space="preserve"> 4.070 </w:t>
            </w:r>
          </w:p>
        </w:tc>
        <w:tc>
          <w:tcPr>
            <w:tcW w:w="495" w:type="pct"/>
            <w:tcBorders>
              <w:top w:val="nil"/>
              <w:left w:val="nil"/>
              <w:bottom w:val="nil"/>
              <w:right w:val="nil"/>
            </w:tcBorders>
            <w:shd w:val="clear" w:color="auto" w:fill="auto"/>
            <w:vAlign w:val="bottom"/>
          </w:tcPr>
          <w:p w14:paraId="3E012608" w14:textId="25D38172" w:rsidR="00D85B9B" w:rsidRPr="00E70BE4" w:rsidRDefault="00D85B9B" w:rsidP="00D85B9B">
            <w:pPr>
              <w:tabs>
                <w:tab w:val="right" w:pos="1202"/>
              </w:tabs>
              <w:suppressAutoHyphens/>
              <w:autoSpaceDN w:val="0"/>
              <w:jc w:val="right"/>
              <w:outlineLvl w:val="0"/>
              <w:rPr>
                <w:rFonts w:ascii="Arial" w:hAnsi="Arial" w:cs="Arial"/>
                <w:i/>
                <w:iCs/>
                <w:sz w:val="18"/>
                <w:szCs w:val="18"/>
              </w:rPr>
            </w:pPr>
            <w:r w:rsidRPr="00E70BE4">
              <w:rPr>
                <w:rFonts w:ascii="Arial" w:hAnsi="Arial" w:cs="Arial"/>
                <w:i/>
                <w:iCs/>
                <w:sz w:val="18"/>
                <w:szCs w:val="18"/>
              </w:rPr>
              <w:t xml:space="preserve"> 939 </w:t>
            </w:r>
          </w:p>
        </w:tc>
        <w:tc>
          <w:tcPr>
            <w:tcW w:w="495" w:type="pct"/>
            <w:tcBorders>
              <w:top w:val="nil"/>
              <w:left w:val="nil"/>
              <w:bottom w:val="nil"/>
              <w:right w:val="nil"/>
            </w:tcBorders>
            <w:shd w:val="clear" w:color="auto" w:fill="auto"/>
            <w:vAlign w:val="bottom"/>
          </w:tcPr>
          <w:p w14:paraId="4D1CE323" w14:textId="7DD1F5E3" w:rsidR="00D85B9B" w:rsidRPr="00E70BE4" w:rsidRDefault="00D85B9B" w:rsidP="00D85B9B">
            <w:pPr>
              <w:tabs>
                <w:tab w:val="right" w:pos="1202"/>
              </w:tabs>
              <w:suppressAutoHyphens/>
              <w:autoSpaceDN w:val="0"/>
              <w:jc w:val="right"/>
              <w:outlineLvl w:val="0"/>
              <w:rPr>
                <w:rFonts w:ascii="Arial" w:hAnsi="Arial" w:cs="Arial"/>
                <w:i/>
                <w:iCs/>
                <w:sz w:val="18"/>
                <w:szCs w:val="18"/>
              </w:rPr>
            </w:pPr>
            <w:r w:rsidRPr="00E70BE4">
              <w:rPr>
                <w:rFonts w:ascii="Arial" w:hAnsi="Arial" w:cs="Arial"/>
                <w:i/>
                <w:iCs/>
                <w:sz w:val="18"/>
                <w:szCs w:val="18"/>
              </w:rPr>
              <w:t xml:space="preserve"> 2.574 </w:t>
            </w:r>
          </w:p>
        </w:tc>
        <w:tc>
          <w:tcPr>
            <w:tcW w:w="495" w:type="pct"/>
            <w:tcBorders>
              <w:top w:val="nil"/>
              <w:left w:val="nil"/>
              <w:bottom w:val="nil"/>
              <w:right w:val="nil"/>
            </w:tcBorders>
            <w:shd w:val="clear" w:color="auto" w:fill="auto"/>
            <w:vAlign w:val="bottom"/>
          </w:tcPr>
          <w:p w14:paraId="4D9B2EA2" w14:textId="600B9C26" w:rsidR="00D85B9B" w:rsidRPr="004A7D1E" w:rsidRDefault="00D85B9B" w:rsidP="00D85B9B">
            <w:pPr>
              <w:tabs>
                <w:tab w:val="right" w:pos="1202"/>
              </w:tabs>
              <w:suppressAutoHyphens/>
              <w:autoSpaceDN w:val="0"/>
              <w:jc w:val="right"/>
              <w:outlineLvl w:val="0"/>
              <w:rPr>
                <w:rFonts w:ascii="Arial" w:hAnsi="Arial" w:cs="Arial"/>
                <w:i/>
                <w:iCs/>
                <w:sz w:val="18"/>
                <w:szCs w:val="18"/>
              </w:rPr>
            </w:pPr>
            <w:r w:rsidRPr="001541F1">
              <w:rPr>
                <w:rFonts w:ascii="Arial" w:hAnsi="Arial" w:cs="Arial"/>
                <w:i/>
                <w:iCs/>
                <w:sz w:val="18"/>
                <w:szCs w:val="18"/>
              </w:rPr>
              <w:t>1.483</w:t>
            </w:r>
          </w:p>
        </w:tc>
        <w:tc>
          <w:tcPr>
            <w:tcW w:w="495" w:type="pct"/>
            <w:tcBorders>
              <w:top w:val="nil"/>
              <w:left w:val="nil"/>
              <w:bottom w:val="nil"/>
              <w:right w:val="nil"/>
            </w:tcBorders>
            <w:shd w:val="clear" w:color="auto" w:fill="auto"/>
            <w:vAlign w:val="bottom"/>
          </w:tcPr>
          <w:p w14:paraId="5558DFFB" w14:textId="38723C37" w:rsidR="00D85B9B" w:rsidRPr="004A7D1E" w:rsidRDefault="00D85B9B" w:rsidP="00D85B9B">
            <w:pPr>
              <w:tabs>
                <w:tab w:val="right" w:pos="1202"/>
              </w:tabs>
              <w:suppressAutoHyphens/>
              <w:autoSpaceDN w:val="0"/>
              <w:jc w:val="right"/>
              <w:outlineLvl w:val="0"/>
              <w:rPr>
                <w:rFonts w:ascii="Arial" w:hAnsi="Arial" w:cs="Arial"/>
                <w:i/>
                <w:iCs/>
                <w:sz w:val="18"/>
                <w:szCs w:val="18"/>
              </w:rPr>
            </w:pPr>
            <w:r w:rsidRPr="001541F1">
              <w:rPr>
                <w:rFonts w:ascii="Arial" w:hAnsi="Arial" w:cs="Arial"/>
                <w:i/>
                <w:iCs/>
                <w:sz w:val="18"/>
                <w:szCs w:val="18"/>
              </w:rPr>
              <w:t>3.949</w:t>
            </w:r>
          </w:p>
        </w:tc>
        <w:tc>
          <w:tcPr>
            <w:tcW w:w="495" w:type="pct"/>
            <w:tcBorders>
              <w:top w:val="nil"/>
              <w:left w:val="nil"/>
              <w:bottom w:val="nil"/>
              <w:right w:val="nil"/>
            </w:tcBorders>
            <w:shd w:val="clear" w:color="auto" w:fill="auto"/>
            <w:vAlign w:val="bottom"/>
          </w:tcPr>
          <w:p w14:paraId="4D9585F0" w14:textId="0E5D42E0" w:rsidR="00D85B9B" w:rsidRPr="007478FB" w:rsidRDefault="00D85B9B" w:rsidP="00D85B9B">
            <w:pPr>
              <w:tabs>
                <w:tab w:val="right" w:pos="1202"/>
              </w:tabs>
              <w:suppressAutoHyphens/>
              <w:autoSpaceDN w:val="0"/>
              <w:jc w:val="right"/>
              <w:outlineLvl w:val="0"/>
              <w:rPr>
                <w:rFonts w:ascii="Arial" w:hAnsi="Arial" w:cs="Arial"/>
                <w:i/>
                <w:iCs/>
                <w:sz w:val="18"/>
                <w:szCs w:val="18"/>
              </w:rPr>
            </w:pPr>
            <w:r w:rsidRPr="00FF3B1A">
              <w:rPr>
                <w:rFonts w:ascii="Arial" w:hAnsi="Arial" w:cs="Arial"/>
                <w:i/>
                <w:iCs/>
                <w:sz w:val="18"/>
                <w:szCs w:val="18"/>
              </w:rPr>
              <w:t xml:space="preserve"> 898 </w:t>
            </w:r>
          </w:p>
        </w:tc>
        <w:tc>
          <w:tcPr>
            <w:tcW w:w="491" w:type="pct"/>
            <w:tcBorders>
              <w:top w:val="nil"/>
              <w:left w:val="nil"/>
              <w:bottom w:val="nil"/>
              <w:right w:val="nil"/>
            </w:tcBorders>
            <w:shd w:val="clear" w:color="auto" w:fill="auto"/>
            <w:vAlign w:val="bottom"/>
          </w:tcPr>
          <w:p w14:paraId="7C401549" w14:textId="3B935A00" w:rsidR="00D85B9B" w:rsidRPr="007478FB" w:rsidRDefault="00D85B9B" w:rsidP="00D85B9B">
            <w:pPr>
              <w:tabs>
                <w:tab w:val="right" w:pos="1202"/>
              </w:tabs>
              <w:suppressAutoHyphens/>
              <w:autoSpaceDN w:val="0"/>
              <w:jc w:val="right"/>
              <w:outlineLvl w:val="0"/>
              <w:rPr>
                <w:rFonts w:ascii="Arial" w:hAnsi="Arial" w:cs="Arial"/>
                <w:i/>
                <w:iCs/>
                <w:sz w:val="18"/>
                <w:szCs w:val="18"/>
              </w:rPr>
            </w:pPr>
            <w:r w:rsidRPr="00FF3B1A">
              <w:rPr>
                <w:rFonts w:ascii="Arial" w:hAnsi="Arial" w:cs="Arial"/>
                <w:i/>
                <w:iCs/>
                <w:sz w:val="18"/>
                <w:szCs w:val="18"/>
              </w:rPr>
              <w:t xml:space="preserve"> 2.449 </w:t>
            </w:r>
          </w:p>
        </w:tc>
      </w:tr>
      <w:tr w:rsidR="00D85B9B" w:rsidRPr="00291152" w14:paraId="1FCA4C0E" w14:textId="77777777" w:rsidTr="00A62310">
        <w:tc>
          <w:tcPr>
            <w:tcW w:w="1044" w:type="pct"/>
            <w:tcBorders>
              <w:top w:val="nil"/>
              <w:left w:val="nil"/>
              <w:bottom w:val="nil"/>
              <w:right w:val="nil"/>
            </w:tcBorders>
            <w:shd w:val="clear" w:color="auto" w:fill="auto"/>
            <w:vAlign w:val="bottom"/>
          </w:tcPr>
          <w:p w14:paraId="08C51DF6" w14:textId="77777777" w:rsidR="00D85B9B" w:rsidRPr="007478FB" w:rsidRDefault="00D85B9B" w:rsidP="00D85B9B">
            <w:pPr>
              <w:tabs>
                <w:tab w:val="right" w:pos="1202"/>
              </w:tabs>
              <w:suppressAutoHyphens/>
              <w:autoSpaceDN w:val="0"/>
              <w:outlineLvl w:val="0"/>
              <w:rPr>
                <w:rFonts w:ascii="Arial" w:eastAsia="Times New Roman" w:hAnsi="Arial" w:cs="Arial"/>
                <w:color w:val="000000" w:themeColor="text1"/>
                <w:sz w:val="18"/>
                <w:szCs w:val="18"/>
              </w:rPr>
            </w:pPr>
            <w:bookmarkStart w:id="274" w:name="_Toc67327480"/>
            <w:r w:rsidRPr="007478FB">
              <w:rPr>
                <w:rFonts w:ascii="Arial" w:eastAsia="Times New Roman" w:hAnsi="Arial" w:cs="Arial"/>
                <w:i/>
                <w:iCs/>
                <w:color w:val="000000" w:themeColor="text1"/>
                <w:sz w:val="18"/>
                <w:szCs w:val="18"/>
              </w:rPr>
              <w:t>- obveznice trgovačkih društava</w:t>
            </w:r>
            <w:bookmarkEnd w:id="274"/>
          </w:p>
        </w:tc>
        <w:tc>
          <w:tcPr>
            <w:tcW w:w="495" w:type="pct"/>
            <w:tcBorders>
              <w:top w:val="nil"/>
              <w:left w:val="nil"/>
              <w:bottom w:val="nil"/>
              <w:right w:val="nil"/>
            </w:tcBorders>
            <w:shd w:val="clear" w:color="auto" w:fill="auto"/>
            <w:vAlign w:val="bottom"/>
          </w:tcPr>
          <w:p w14:paraId="798653DB" w14:textId="4F2CAE51" w:rsidR="00D85B9B" w:rsidRPr="004A7D1E" w:rsidRDefault="00D85B9B" w:rsidP="00D85B9B">
            <w:pPr>
              <w:tabs>
                <w:tab w:val="right" w:pos="1202"/>
              </w:tabs>
              <w:suppressAutoHyphens/>
              <w:autoSpaceDN w:val="0"/>
              <w:jc w:val="right"/>
              <w:outlineLvl w:val="0"/>
              <w:rPr>
                <w:rFonts w:ascii="Arial" w:hAnsi="Arial" w:cs="Arial"/>
                <w:i/>
                <w:iCs/>
                <w:sz w:val="18"/>
                <w:szCs w:val="18"/>
              </w:rPr>
            </w:pPr>
            <w:r w:rsidRPr="001541F1">
              <w:rPr>
                <w:rFonts w:ascii="Arial" w:hAnsi="Arial" w:cs="Arial"/>
                <w:i/>
                <w:iCs/>
                <w:sz w:val="18"/>
                <w:szCs w:val="18"/>
              </w:rPr>
              <w:t xml:space="preserve"> 1 </w:t>
            </w:r>
          </w:p>
        </w:tc>
        <w:tc>
          <w:tcPr>
            <w:tcW w:w="495" w:type="pct"/>
            <w:tcBorders>
              <w:top w:val="nil"/>
              <w:left w:val="nil"/>
              <w:bottom w:val="nil"/>
              <w:right w:val="nil"/>
            </w:tcBorders>
            <w:shd w:val="clear" w:color="auto" w:fill="auto"/>
            <w:vAlign w:val="bottom"/>
          </w:tcPr>
          <w:p w14:paraId="314BE19C" w14:textId="00282781" w:rsidR="00D85B9B" w:rsidRPr="004A7D1E" w:rsidRDefault="00D85B9B" w:rsidP="00D85B9B">
            <w:pPr>
              <w:tabs>
                <w:tab w:val="right" w:pos="1202"/>
              </w:tabs>
              <w:suppressAutoHyphens/>
              <w:autoSpaceDN w:val="0"/>
              <w:jc w:val="right"/>
              <w:outlineLvl w:val="0"/>
              <w:rPr>
                <w:rFonts w:ascii="Arial" w:hAnsi="Arial" w:cs="Arial"/>
                <w:i/>
                <w:iCs/>
                <w:sz w:val="18"/>
                <w:szCs w:val="18"/>
              </w:rPr>
            </w:pPr>
            <w:r w:rsidRPr="001541F1">
              <w:rPr>
                <w:rFonts w:ascii="Arial" w:hAnsi="Arial" w:cs="Arial"/>
                <w:i/>
                <w:iCs/>
                <w:sz w:val="18"/>
                <w:szCs w:val="18"/>
              </w:rPr>
              <w:t xml:space="preserve"> 9 </w:t>
            </w:r>
          </w:p>
        </w:tc>
        <w:tc>
          <w:tcPr>
            <w:tcW w:w="495" w:type="pct"/>
            <w:tcBorders>
              <w:top w:val="nil"/>
              <w:left w:val="nil"/>
              <w:bottom w:val="nil"/>
              <w:right w:val="nil"/>
            </w:tcBorders>
            <w:shd w:val="clear" w:color="auto" w:fill="auto"/>
            <w:vAlign w:val="bottom"/>
          </w:tcPr>
          <w:p w14:paraId="5D4AA397" w14:textId="0B625052" w:rsidR="00D85B9B" w:rsidRPr="00E70BE4" w:rsidRDefault="00D85B9B" w:rsidP="00D85B9B">
            <w:pPr>
              <w:tabs>
                <w:tab w:val="right" w:pos="1202"/>
              </w:tabs>
              <w:suppressAutoHyphens/>
              <w:autoSpaceDN w:val="0"/>
              <w:jc w:val="right"/>
              <w:outlineLvl w:val="0"/>
              <w:rPr>
                <w:rFonts w:ascii="Arial" w:hAnsi="Arial" w:cs="Arial"/>
                <w:i/>
                <w:iCs/>
                <w:sz w:val="18"/>
                <w:szCs w:val="18"/>
              </w:rPr>
            </w:pPr>
            <w:r w:rsidRPr="00E70BE4">
              <w:rPr>
                <w:rFonts w:ascii="Arial" w:hAnsi="Arial" w:cs="Arial"/>
                <w:i/>
                <w:iCs/>
                <w:sz w:val="18"/>
                <w:szCs w:val="18"/>
              </w:rPr>
              <w:t xml:space="preserve"> 3 </w:t>
            </w:r>
          </w:p>
        </w:tc>
        <w:tc>
          <w:tcPr>
            <w:tcW w:w="495" w:type="pct"/>
            <w:tcBorders>
              <w:top w:val="nil"/>
              <w:left w:val="nil"/>
              <w:bottom w:val="nil"/>
              <w:right w:val="nil"/>
            </w:tcBorders>
            <w:shd w:val="clear" w:color="auto" w:fill="auto"/>
            <w:vAlign w:val="bottom"/>
          </w:tcPr>
          <w:p w14:paraId="1372D00B" w14:textId="5FF3A49D" w:rsidR="00D85B9B" w:rsidRPr="00E70BE4" w:rsidRDefault="00D85B9B" w:rsidP="00D85B9B">
            <w:pPr>
              <w:tabs>
                <w:tab w:val="right" w:pos="1202"/>
              </w:tabs>
              <w:suppressAutoHyphens/>
              <w:autoSpaceDN w:val="0"/>
              <w:jc w:val="right"/>
              <w:outlineLvl w:val="0"/>
              <w:rPr>
                <w:rFonts w:ascii="Arial" w:hAnsi="Arial" w:cs="Arial"/>
                <w:i/>
                <w:iCs/>
                <w:sz w:val="18"/>
                <w:szCs w:val="18"/>
              </w:rPr>
            </w:pPr>
            <w:r w:rsidRPr="00E70BE4">
              <w:rPr>
                <w:rFonts w:ascii="Arial" w:hAnsi="Arial" w:cs="Arial"/>
                <w:i/>
                <w:iCs/>
                <w:sz w:val="18"/>
                <w:szCs w:val="18"/>
              </w:rPr>
              <w:t xml:space="preserve"> 10 </w:t>
            </w:r>
          </w:p>
        </w:tc>
        <w:tc>
          <w:tcPr>
            <w:tcW w:w="495" w:type="pct"/>
            <w:tcBorders>
              <w:top w:val="nil"/>
              <w:left w:val="nil"/>
              <w:bottom w:val="nil"/>
              <w:right w:val="nil"/>
            </w:tcBorders>
            <w:shd w:val="clear" w:color="auto" w:fill="auto"/>
            <w:vAlign w:val="bottom"/>
          </w:tcPr>
          <w:p w14:paraId="0D1B1B45" w14:textId="117CDEBA" w:rsidR="00D85B9B" w:rsidRPr="004A7D1E" w:rsidRDefault="00D85B9B" w:rsidP="00D85B9B">
            <w:pPr>
              <w:tabs>
                <w:tab w:val="right" w:pos="1202"/>
              </w:tabs>
              <w:suppressAutoHyphens/>
              <w:autoSpaceDN w:val="0"/>
              <w:jc w:val="right"/>
              <w:outlineLvl w:val="0"/>
              <w:rPr>
                <w:rFonts w:ascii="Arial" w:hAnsi="Arial" w:cs="Arial"/>
                <w:i/>
                <w:iCs/>
                <w:sz w:val="18"/>
                <w:szCs w:val="18"/>
              </w:rPr>
            </w:pPr>
            <w:r w:rsidRPr="001541F1">
              <w:rPr>
                <w:rFonts w:ascii="Arial" w:hAnsi="Arial" w:cs="Arial"/>
                <w:i/>
                <w:iCs/>
                <w:sz w:val="18"/>
                <w:szCs w:val="18"/>
              </w:rPr>
              <w:t>2</w:t>
            </w:r>
          </w:p>
        </w:tc>
        <w:tc>
          <w:tcPr>
            <w:tcW w:w="495" w:type="pct"/>
            <w:tcBorders>
              <w:top w:val="nil"/>
              <w:left w:val="nil"/>
              <w:bottom w:val="nil"/>
              <w:right w:val="nil"/>
            </w:tcBorders>
            <w:shd w:val="clear" w:color="auto" w:fill="auto"/>
            <w:vAlign w:val="bottom"/>
          </w:tcPr>
          <w:p w14:paraId="63F1E2AE" w14:textId="7E7949C0" w:rsidR="00D85B9B" w:rsidRPr="004A7D1E" w:rsidRDefault="00D85B9B" w:rsidP="00D85B9B">
            <w:pPr>
              <w:tabs>
                <w:tab w:val="right" w:pos="1202"/>
              </w:tabs>
              <w:suppressAutoHyphens/>
              <w:autoSpaceDN w:val="0"/>
              <w:jc w:val="right"/>
              <w:outlineLvl w:val="0"/>
              <w:rPr>
                <w:rFonts w:ascii="Arial" w:hAnsi="Arial" w:cs="Arial"/>
                <w:i/>
                <w:iCs/>
                <w:sz w:val="18"/>
                <w:szCs w:val="18"/>
              </w:rPr>
            </w:pPr>
            <w:r w:rsidRPr="001541F1">
              <w:rPr>
                <w:rFonts w:ascii="Arial" w:hAnsi="Arial" w:cs="Arial"/>
                <w:i/>
                <w:iCs/>
                <w:sz w:val="18"/>
                <w:szCs w:val="18"/>
              </w:rPr>
              <w:t>6</w:t>
            </w:r>
          </w:p>
        </w:tc>
        <w:tc>
          <w:tcPr>
            <w:tcW w:w="495" w:type="pct"/>
            <w:tcBorders>
              <w:top w:val="nil"/>
              <w:left w:val="nil"/>
              <w:bottom w:val="nil"/>
              <w:right w:val="nil"/>
            </w:tcBorders>
            <w:shd w:val="clear" w:color="auto" w:fill="auto"/>
            <w:vAlign w:val="bottom"/>
          </w:tcPr>
          <w:p w14:paraId="51922B64" w14:textId="0D70C5F0" w:rsidR="00D85B9B" w:rsidRPr="007478FB" w:rsidRDefault="00D85B9B" w:rsidP="00D85B9B">
            <w:pPr>
              <w:tabs>
                <w:tab w:val="right" w:pos="1202"/>
              </w:tabs>
              <w:suppressAutoHyphens/>
              <w:autoSpaceDN w:val="0"/>
              <w:jc w:val="right"/>
              <w:outlineLvl w:val="0"/>
              <w:rPr>
                <w:rFonts w:ascii="Arial" w:hAnsi="Arial" w:cs="Arial"/>
                <w:i/>
                <w:iCs/>
                <w:sz w:val="18"/>
                <w:szCs w:val="18"/>
              </w:rPr>
            </w:pPr>
            <w:r w:rsidRPr="00FF3B1A">
              <w:rPr>
                <w:rFonts w:ascii="Arial" w:hAnsi="Arial" w:cs="Arial"/>
                <w:i/>
                <w:iCs/>
                <w:sz w:val="18"/>
                <w:szCs w:val="18"/>
              </w:rPr>
              <w:t xml:space="preserve"> 2 </w:t>
            </w:r>
          </w:p>
        </w:tc>
        <w:tc>
          <w:tcPr>
            <w:tcW w:w="491" w:type="pct"/>
            <w:tcBorders>
              <w:top w:val="nil"/>
              <w:left w:val="nil"/>
              <w:bottom w:val="nil"/>
              <w:right w:val="nil"/>
            </w:tcBorders>
            <w:shd w:val="clear" w:color="auto" w:fill="auto"/>
            <w:vAlign w:val="bottom"/>
          </w:tcPr>
          <w:p w14:paraId="6F9770AB" w14:textId="7CE3D342" w:rsidR="00D85B9B" w:rsidRPr="007478FB" w:rsidRDefault="00D85B9B" w:rsidP="00D85B9B">
            <w:pPr>
              <w:tabs>
                <w:tab w:val="right" w:pos="1202"/>
              </w:tabs>
              <w:suppressAutoHyphens/>
              <w:autoSpaceDN w:val="0"/>
              <w:jc w:val="right"/>
              <w:outlineLvl w:val="0"/>
              <w:rPr>
                <w:rFonts w:ascii="Arial" w:hAnsi="Arial" w:cs="Arial"/>
                <w:i/>
                <w:iCs/>
                <w:sz w:val="18"/>
                <w:szCs w:val="18"/>
              </w:rPr>
            </w:pPr>
            <w:r w:rsidRPr="00FF3B1A">
              <w:rPr>
                <w:rFonts w:ascii="Arial" w:hAnsi="Arial" w:cs="Arial"/>
                <w:i/>
                <w:iCs/>
                <w:sz w:val="18"/>
                <w:szCs w:val="18"/>
              </w:rPr>
              <w:t xml:space="preserve"> 6 </w:t>
            </w:r>
          </w:p>
        </w:tc>
      </w:tr>
      <w:tr w:rsidR="00D85B9B" w:rsidRPr="00291152" w14:paraId="30250D5C" w14:textId="77777777" w:rsidTr="00A62310">
        <w:tc>
          <w:tcPr>
            <w:tcW w:w="1044" w:type="pct"/>
            <w:tcBorders>
              <w:top w:val="nil"/>
              <w:left w:val="nil"/>
              <w:bottom w:val="nil"/>
              <w:right w:val="nil"/>
            </w:tcBorders>
            <w:shd w:val="clear" w:color="auto" w:fill="auto"/>
            <w:vAlign w:val="bottom"/>
          </w:tcPr>
          <w:p w14:paraId="2ED47959" w14:textId="77777777" w:rsidR="00D85B9B" w:rsidRPr="007478FB" w:rsidRDefault="00D85B9B" w:rsidP="00D85B9B">
            <w:pPr>
              <w:tabs>
                <w:tab w:val="right" w:pos="1202"/>
              </w:tabs>
              <w:suppressAutoHyphens/>
              <w:autoSpaceDN w:val="0"/>
              <w:outlineLvl w:val="0"/>
              <w:rPr>
                <w:rFonts w:ascii="Arial" w:eastAsia="Times New Roman" w:hAnsi="Arial" w:cs="Arial"/>
                <w:color w:val="000000" w:themeColor="text1"/>
                <w:sz w:val="18"/>
                <w:szCs w:val="18"/>
              </w:rPr>
            </w:pPr>
            <w:bookmarkStart w:id="275" w:name="_Toc67327485"/>
            <w:r w:rsidRPr="007478FB">
              <w:rPr>
                <w:rFonts w:ascii="Arial" w:eastAsia="Times New Roman" w:hAnsi="Arial" w:cs="Arial"/>
                <w:i/>
                <w:iCs/>
                <w:color w:val="000000" w:themeColor="text1"/>
                <w:sz w:val="18"/>
                <w:szCs w:val="18"/>
              </w:rPr>
              <w:t>- trezorski zapisi Ministarstva financija</w:t>
            </w:r>
            <w:bookmarkEnd w:id="275"/>
          </w:p>
        </w:tc>
        <w:tc>
          <w:tcPr>
            <w:tcW w:w="495" w:type="pct"/>
            <w:tcBorders>
              <w:top w:val="nil"/>
              <w:left w:val="nil"/>
              <w:bottom w:val="nil"/>
              <w:right w:val="nil"/>
            </w:tcBorders>
            <w:shd w:val="clear" w:color="auto" w:fill="auto"/>
            <w:vAlign w:val="bottom"/>
          </w:tcPr>
          <w:p w14:paraId="6EA7C481" w14:textId="1F803DAE" w:rsidR="00D85B9B" w:rsidRPr="004A7D1E" w:rsidRDefault="00D85B9B" w:rsidP="00D85B9B">
            <w:pPr>
              <w:tabs>
                <w:tab w:val="right" w:pos="1202"/>
              </w:tabs>
              <w:suppressAutoHyphens/>
              <w:autoSpaceDN w:val="0"/>
              <w:jc w:val="right"/>
              <w:outlineLvl w:val="0"/>
              <w:rPr>
                <w:rFonts w:ascii="Arial" w:hAnsi="Arial" w:cs="Arial"/>
                <w:i/>
                <w:iCs/>
                <w:sz w:val="18"/>
                <w:szCs w:val="18"/>
              </w:rPr>
            </w:pPr>
            <w:r w:rsidRPr="001541F1">
              <w:rPr>
                <w:rFonts w:ascii="Arial" w:hAnsi="Arial" w:cs="Arial"/>
                <w:i/>
                <w:iCs/>
                <w:sz w:val="18"/>
                <w:szCs w:val="18"/>
              </w:rPr>
              <w:t xml:space="preserve"> 166 </w:t>
            </w:r>
          </w:p>
        </w:tc>
        <w:tc>
          <w:tcPr>
            <w:tcW w:w="495" w:type="pct"/>
            <w:tcBorders>
              <w:top w:val="nil"/>
              <w:left w:val="nil"/>
              <w:bottom w:val="nil"/>
              <w:right w:val="nil"/>
            </w:tcBorders>
            <w:shd w:val="clear" w:color="auto" w:fill="auto"/>
            <w:vAlign w:val="bottom"/>
          </w:tcPr>
          <w:p w14:paraId="352A7489" w14:textId="15CB106F" w:rsidR="00D85B9B" w:rsidRPr="004A7D1E" w:rsidRDefault="00D85B9B" w:rsidP="00D85B9B">
            <w:pPr>
              <w:tabs>
                <w:tab w:val="right" w:pos="1202"/>
              </w:tabs>
              <w:suppressAutoHyphens/>
              <w:autoSpaceDN w:val="0"/>
              <w:jc w:val="right"/>
              <w:outlineLvl w:val="0"/>
              <w:rPr>
                <w:rFonts w:ascii="Arial" w:hAnsi="Arial" w:cs="Arial"/>
                <w:i/>
                <w:iCs/>
                <w:sz w:val="18"/>
                <w:szCs w:val="18"/>
              </w:rPr>
            </w:pPr>
            <w:r w:rsidRPr="001541F1">
              <w:rPr>
                <w:rFonts w:ascii="Arial" w:hAnsi="Arial" w:cs="Arial"/>
                <w:i/>
                <w:iCs/>
                <w:sz w:val="18"/>
                <w:szCs w:val="18"/>
              </w:rPr>
              <w:t xml:space="preserve"> 555 </w:t>
            </w:r>
          </w:p>
        </w:tc>
        <w:tc>
          <w:tcPr>
            <w:tcW w:w="495" w:type="pct"/>
            <w:tcBorders>
              <w:top w:val="nil"/>
              <w:left w:val="nil"/>
              <w:bottom w:val="nil"/>
              <w:right w:val="nil"/>
            </w:tcBorders>
            <w:shd w:val="clear" w:color="auto" w:fill="auto"/>
            <w:vAlign w:val="bottom"/>
          </w:tcPr>
          <w:p w14:paraId="4B46015A" w14:textId="707DC19D" w:rsidR="00D85B9B" w:rsidRPr="00E70BE4" w:rsidRDefault="00D85B9B" w:rsidP="00D85B9B">
            <w:pPr>
              <w:tabs>
                <w:tab w:val="right" w:pos="1202"/>
              </w:tabs>
              <w:suppressAutoHyphens/>
              <w:autoSpaceDN w:val="0"/>
              <w:jc w:val="right"/>
              <w:outlineLvl w:val="0"/>
              <w:rPr>
                <w:rFonts w:ascii="Arial" w:hAnsi="Arial" w:cs="Arial"/>
                <w:i/>
                <w:iCs/>
                <w:sz w:val="18"/>
                <w:szCs w:val="18"/>
              </w:rPr>
            </w:pPr>
            <w:r w:rsidRPr="00E70BE4">
              <w:rPr>
                <w:rFonts w:ascii="Arial" w:hAnsi="Arial" w:cs="Arial"/>
                <w:i/>
                <w:iCs/>
                <w:sz w:val="18"/>
                <w:szCs w:val="18"/>
              </w:rPr>
              <w:t xml:space="preserve"> 287 </w:t>
            </w:r>
          </w:p>
        </w:tc>
        <w:tc>
          <w:tcPr>
            <w:tcW w:w="495" w:type="pct"/>
            <w:tcBorders>
              <w:top w:val="nil"/>
              <w:left w:val="nil"/>
              <w:bottom w:val="nil"/>
              <w:right w:val="nil"/>
            </w:tcBorders>
            <w:shd w:val="clear" w:color="auto" w:fill="auto"/>
            <w:vAlign w:val="bottom"/>
          </w:tcPr>
          <w:p w14:paraId="57AEA632" w14:textId="099C2C92" w:rsidR="00D85B9B" w:rsidRPr="00E70BE4" w:rsidRDefault="00D85B9B" w:rsidP="00D85B9B">
            <w:pPr>
              <w:tabs>
                <w:tab w:val="right" w:pos="1202"/>
              </w:tabs>
              <w:suppressAutoHyphens/>
              <w:autoSpaceDN w:val="0"/>
              <w:jc w:val="right"/>
              <w:outlineLvl w:val="0"/>
              <w:rPr>
                <w:rFonts w:ascii="Arial" w:hAnsi="Arial" w:cs="Arial"/>
                <w:i/>
                <w:iCs/>
                <w:sz w:val="18"/>
                <w:szCs w:val="18"/>
              </w:rPr>
            </w:pPr>
            <w:r w:rsidRPr="00E70BE4">
              <w:rPr>
                <w:rFonts w:ascii="Arial" w:hAnsi="Arial" w:cs="Arial"/>
                <w:i/>
                <w:iCs/>
                <w:sz w:val="18"/>
                <w:szCs w:val="18"/>
              </w:rPr>
              <w:t xml:space="preserve"> 669 </w:t>
            </w:r>
          </w:p>
        </w:tc>
        <w:tc>
          <w:tcPr>
            <w:tcW w:w="495" w:type="pct"/>
            <w:tcBorders>
              <w:top w:val="nil"/>
              <w:left w:val="nil"/>
              <w:bottom w:val="nil"/>
              <w:right w:val="nil"/>
            </w:tcBorders>
            <w:shd w:val="clear" w:color="auto" w:fill="auto"/>
            <w:vAlign w:val="bottom"/>
          </w:tcPr>
          <w:p w14:paraId="28401104" w14:textId="0E0F5632" w:rsidR="00D85B9B" w:rsidRPr="004A7D1E" w:rsidRDefault="00D85B9B" w:rsidP="00D85B9B">
            <w:pPr>
              <w:tabs>
                <w:tab w:val="right" w:pos="1202"/>
              </w:tabs>
              <w:suppressAutoHyphens/>
              <w:autoSpaceDN w:val="0"/>
              <w:jc w:val="right"/>
              <w:outlineLvl w:val="0"/>
              <w:rPr>
                <w:rFonts w:ascii="Arial" w:hAnsi="Arial" w:cs="Arial"/>
                <w:i/>
                <w:iCs/>
                <w:sz w:val="18"/>
                <w:szCs w:val="18"/>
              </w:rPr>
            </w:pPr>
            <w:r w:rsidRPr="001541F1">
              <w:rPr>
                <w:rFonts w:ascii="Arial" w:hAnsi="Arial" w:cs="Arial"/>
                <w:i/>
                <w:iCs/>
                <w:sz w:val="18"/>
                <w:szCs w:val="18"/>
              </w:rPr>
              <w:t>166</w:t>
            </w:r>
          </w:p>
        </w:tc>
        <w:tc>
          <w:tcPr>
            <w:tcW w:w="495" w:type="pct"/>
            <w:tcBorders>
              <w:top w:val="nil"/>
              <w:left w:val="nil"/>
              <w:bottom w:val="nil"/>
              <w:right w:val="nil"/>
            </w:tcBorders>
            <w:shd w:val="clear" w:color="auto" w:fill="auto"/>
            <w:vAlign w:val="bottom"/>
          </w:tcPr>
          <w:p w14:paraId="3CD99D72" w14:textId="7D6A70FC" w:rsidR="00D85B9B" w:rsidRPr="004A7D1E" w:rsidRDefault="00D85B9B" w:rsidP="00D85B9B">
            <w:pPr>
              <w:tabs>
                <w:tab w:val="right" w:pos="1202"/>
              </w:tabs>
              <w:suppressAutoHyphens/>
              <w:autoSpaceDN w:val="0"/>
              <w:jc w:val="right"/>
              <w:outlineLvl w:val="0"/>
              <w:rPr>
                <w:rFonts w:ascii="Arial" w:hAnsi="Arial" w:cs="Arial"/>
                <w:i/>
                <w:iCs/>
                <w:sz w:val="18"/>
                <w:szCs w:val="18"/>
              </w:rPr>
            </w:pPr>
            <w:r w:rsidRPr="001541F1">
              <w:rPr>
                <w:rFonts w:ascii="Arial" w:hAnsi="Arial" w:cs="Arial"/>
                <w:i/>
                <w:iCs/>
                <w:sz w:val="18"/>
                <w:szCs w:val="18"/>
              </w:rPr>
              <w:t>555</w:t>
            </w:r>
          </w:p>
        </w:tc>
        <w:tc>
          <w:tcPr>
            <w:tcW w:w="495" w:type="pct"/>
            <w:tcBorders>
              <w:top w:val="nil"/>
              <w:left w:val="nil"/>
              <w:bottom w:val="nil"/>
              <w:right w:val="nil"/>
            </w:tcBorders>
            <w:shd w:val="clear" w:color="auto" w:fill="auto"/>
            <w:vAlign w:val="bottom"/>
          </w:tcPr>
          <w:p w14:paraId="0379F3D6" w14:textId="04AB0F11" w:rsidR="00D85B9B" w:rsidRPr="007478FB" w:rsidRDefault="00D85B9B" w:rsidP="00D85B9B">
            <w:pPr>
              <w:tabs>
                <w:tab w:val="right" w:pos="1202"/>
              </w:tabs>
              <w:suppressAutoHyphens/>
              <w:autoSpaceDN w:val="0"/>
              <w:jc w:val="right"/>
              <w:outlineLvl w:val="0"/>
              <w:rPr>
                <w:rFonts w:ascii="Arial" w:hAnsi="Arial" w:cs="Arial"/>
                <w:i/>
                <w:iCs/>
                <w:sz w:val="18"/>
                <w:szCs w:val="18"/>
              </w:rPr>
            </w:pPr>
            <w:r w:rsidRPr="00FF3B1A">
              <w:rPr>
                <w:rFonts w:ascii="Arial" w:hAnsi="Arial" w:cs="Arial"/>
                <w:i/>
                <w:iCs/>
                <w:sz w:val="18"/>
                <w:szCs w:val="18"/>
              </w:rPr>
              <w:t xml:space="preserve"> 287 </w:t>
            </w:r>
          </w:p>
        </w:tc>
        <w:tc>
          <w:tcPr>
            <w:tcW w:w="491" w:type="pct"/>
            <w:tcBorders>
              <w:top w:val="nil"/>
              <w:left w:val="nil"/>
              <w:bottom w:val="nil"/>
              <w:right w:val="nil"/>
            </w:tcBorders>
            <w:shd w:val="clear" w:color="auto" w:fill="auto"/>
            <w:vAlign w:val="bottom"/>
          </w:tcPr>
          <w:p w14:paraId="788C0EEA" w14:textId="5AF2453D" w:rsidR="00D85B9B" w:rsidRPr="007478FB" w:rsidRDefault="00D85B9B" w:rsidP="00D85B9B">
            <w:pPr>
              <w:tabs>
                <w:tab w:val="right" w:pos="1202"/>
              </w:tabs>
              <w:suppressAutoHyphens/>
              <w:autoSpaceDN w:val="0"/>
              <w:jc w:val="right"/>
              <w:outlineLvl w:val="0"/>
              <w:rPr>
                <w:rFonts w:ascii="Arial" w:hAnsi="Arial" w:cs="Arial"/>
                <w:i/>
                <w:iCs/>
                <w:sz w:val="18"/>
                <w:szCs w:val="18"/>
              </w:rPr>
            </w:pPr>
            <w:r w:rsidRPr="00FF3B1A">
              <w:rPr>
                <w:rFonts w:ascii="Arial" w:hAnsi="Arial" w:cs="Arial"/>
                <w:i/>
                <w:iCs/>
                <w:sz w:val="18"/>
                <w:szCs w:val="18"/>
              </w:rPr>
              <w:t xml:space="preserve"> 669 </w:t>
            </w:r>
          </w:p>
        </w:tc>
      </w:tr>
      <w:tr w:rsidR="00D85B9B" w:rsidRPr="00291152" w14:paraId="28334D0C" w14:textId="77777777" w:rsidTr="00A62310">
        <w:trPr>
          <w:trHeight w:val="283"/>
        </w:trPr>
        <w:tc>
          <w:tcPr>
            <w:tcW w:w="1044" w:type="pct"/>
            <w:vAlign w:val="bottom"/>
          </w:tcPr>
          <w:p w14:paraId="187E610F" w14:textId="77777777" w:rsidR="00D85B9B" w:rsidRPr="007478FB" w:rsidRDefault="00D85B9B" w:rsidP="00D85B9B">
            <w:pPr>
              <w:tabs>
                <w:tab w:val="right" w:pos="1202"/>
              </w:tabs>
              <w:suppressAutoHyphens/>
              <w:autoSpaceDN w:val="0"/>
              <w:outlineLvl w:val="0"/>
              <w:rPr>
                <w:rFonts w:ascii="Arial" w:eastAsia="Times New Roman" w:hAnsi="Arial" w:cs="Arial"/>
                <w:color w:val="000000" w:themeColor="text1"/>
                <w:sz w:val="18"/>
                <w:szCs w:val="18"/>
              </w:rPr>
            </w:pPr>
            <w:bookmarkStart w:id="276" w:name="_Toc67327490"/>
            <w:r w:rsidRPr="007478FB">
              <w:rPr>
                <w:rFonts w:ascii="Arial" w:eastAsia="Times New Roman" w:hAnsi="Arial" w:cs="Arial"/>
                <w:color w:val="000000" w:themeColor="text1"/>
                <w:sz w:val="18"/>
                <w:szCs w:val="18"/>
              </w:rPr>
              <w:t>Depoziti</w:t>
            </w:r>
            <w:bookmarkEnd w:id="276"/>
          </w:p>
        </w:tc>
        <w:tc>
          <w:tcPr>
            <w:tcW w:w="495" w:type="pct"/>
            <w:tcBorders>
              <w:top w:val="nil"/>
              <w:left w:val="nil"/>
              <w:bottom w:val="nil"/>
              <w:right w:val="nil"/>
            </w:tcBorders>
            <w:shd w:val="clear" w:color="auto" w:fill="auto"/>
            <w:vAlign w:val="bottom"/>
          </w:tcPr>
          <w:p w14:paraId="0CC0420E" w14:textId="2A423A7B" w:rsidR="00D85B9B" w:rsidRPr="00A62310" w:rsidRDefault="00D85B9B" w:rsidP="00D85B9B">
            <w:pPr>
              <w:tabs>
                <w:tab w:val="right" w:pos="1202"/>
              </w:tabs>
              <w:suppressAutoHyphens/>
              <w:autoSpaceDN w:val="0"/>
              <w:jc w:val="right"/>
              <w:outlineLvl w:val="0"/>
              <w:rPr>
                <w:rFonts w:ascii="Arial" w:hAnsi="Arial" w:cs="Arial"/>
                <w:sz w:val="18"/>
                <w:szCs w:val="18"/>
              </w:rPr>
            </w:pPr>
            <w:r w:rsidRPr="00A62310">
              <w:rPr>
                <w:rFonts w:ascii="Arial" w:hAnsi="Arial" w:cs="Arial"/>
                <w:sz w:val="18"/>
                <w:szCs w:val="18"/>
              </w:rPr>
              <w:t xml:space="preserve"> 967 </w:t>
            </w:r>
          </w:p>
        </w:tc>
        <w:tc>
          <w:tcPr>
            <w:tcW w:w="495" w:type="pct"/>
            <w:tcBorders>
              <w:top w:val="nil"/>
              <w:left w:val="nil"/>
              <w:bottom w:val="nil"/>
              <w:right w:val="nil"/>
            </w:tcBorders>
            <w:shd w:val="clear" w:color="auto" w:fill="auto"/>
            <w:vAlign w:val="bottom"/>
          </w:tcPr>
          <w:p w14:paraId="46B2C344" w14:textId="49CA5773" w:rsidR="00D85B9B" w:rsidRPr="00A62310" w:rsidRDefault="00D85B9B" w:rsidP="00D85B9B">
            <w:pPr>
              <w:tabs>
                <w:tab w:val="right" w:pos="1202"/>
              </w:tabs>
              <w:suppressAutoHyphens/>
              <w:autoSpaceDN w:val="0"/>
              <w:jc w:val="right"/>
              <w:outlineLvl w:val="0"/>
              <w:rPr>
                <w:rFonts w:ascii="Arial" w:hAnsi="Arial" w:cs="Arial"/>
                <w:sz w:val="18"/>
                <w:szCs w:val="18"/>
              </w:rPr>
            </w:pPr>
            <w:r w:rsidRPr="00A62310">
              <w:rPr>
                <w:rFonts w:ascii="Arial" w:hAnsi="Arial" w:cs="Arial"/>
                <w:sz w:val="18"/>
                <w:szCs w:val="18"/>
              </w:rPr>
              <w:t xml:space="preserve"> 2.611 </w:t>
            </w:r>
          </w:p>
        </w:tc>
        <w:tc>
          <w:tcPr>
            <w:tcW w:w="495" w:type="pct"/>
            <w:tcBorders>
              <w:top w:val="nil"/>
              <w:left w:val="nil"/>
              <w:bottom w:val="nil"/>
              <w:right w:val="nil"/>
            </w:tcBorders>
            <w:shd w:val="clear" w:color="auto" w:fill="auto"/>
            <w:vAlign w:val="bottom"/>
          </w:tcPr>
          <w:p w14:paraId="1BCD07E8" w14:textId="44868C57" w:rsidR="00D85B9B" w:rsidRPr="00E70BE4" w:rsidRDefault="00D85B9B" w:rsidP="00D85B9B">
            <w:pPr>
              <w:tabs>
                <w:tab w:val="right" w:pos="1202"/>
              </w:tabs>
              <w:suppressAutoHyphens/>
              <w:autoSpaceDN w:val="0"/>
              <w:jc w:val="right"/>
              <w:outlineLvl w:val="0"/>
              <w:rPr>
                <w:rFonts w:ascii="Arial" w:hAnsi="Arial" w:cs="Arial"/>
                <w:sz w:val="18"/>
                <w:szCs w:val="18"/>
              </w:rPr>
            </w:pPr>
            <w:r w:rsidRPr="00E70BE4">
              <w:rPr>
                <w:rFonts w:ascii="Arial" w:hAnsi="Arial" w:cs="Arial"/>
                <w:sz w:val="18"/>
                <w:szCs w:val="18"/>
              </w:rPr>
              <w:t xml:space="preserve"> 799 </w:t>
            </w:r>
          </w:p>
        </w:tc>
        <w:tc>
          <w:tcPr>
            <w:tcW w:w="495" w:type="pct"/>
            <w:tcBorders>
              <w:top w:val="nil"/>
              <w:left w:val="nil"/>
              <w:bottom w:val="nil"/>
              <w:right w:val="nil"/>
            </w:tcBorders>
            <w:shd w:val="clear" w:color="auto" w:fill="auto"/>
            <w:vAlign w:val="bottom"/>
          </w:tcPr>
          <w:p w14:paraId="23B50130" w14:textId="639E99EB" w:rsidR="00D85B9B" w:rsidRPr="007478FB" w:rsidRDefault="00D85B9B" w:rsidP="00D85B9B">
            <w:pPr>
              <w:tabs>
                <w:tab w:val="right" w:pos="1202"/>
              </w:tabs>
              <w:suppressAutoHyphens/>
              <w:autoSpaceDN w:val="0"/>
              <w:jc w:val="right"/>
              <w:outlineLvl w:val="0"/>
              <w:rPr>
                <w:rFonts w:ascii="Arial" w:hAnsi="Arial" w:cs="Arial"/>
                <w:sz w:val="18"/>
                <w:szCs w:val="18"/>
              </w:rPr>
            </w:pPr>
            <w:r w:rsidRPr="00E70BE4">
              <w:rPr>
                <w:rFonts w:ascii="Arial" w:hAnsi="Arial" w:cs="Arial"/>
                <w:sz w:val="18"/>
                <w:szCs w:val="18"/>
              </w:rPr>
              <w:t xml:space="preserve"> 1.808 </w:t>
            </w:r>
          </w:p>
        </w:tc>
        <w:tc>
          <w:tcPr>
            <w:tcW w:w="495" w:type="pct"/>
            <w:tcBorders>
              <w:top w:val="nil"/>
              <w:left w:val="nil"/>
              <w:bottom w:val="nil"/>
              <w:right w:val="nil"/>
            </w:tcBorders>
            <w:shd w:val="clear" w:color="auto" w:fill="auto"/>
            <w:vAlign w:val="bottom"/>
          </w:tcPr>
          <w:p w14:paraId="435E3FBC" w14:textId="777D75EB" w:rsidR="00D85B9B" w:rsidRPr="001041A5" w:rsidRDefault="00D85B9B" w:rsidP="00D85B9B">
            <w:pPr>
              <w:tabs>
                <w:tab w:val="right" w:pos="1202"/>
              </w:tabs>
              <w:suppressAutoHyphens/>
              <w:autoSpaceDN w:val="0"/>
              <w:jc w:val="right"/>
              <w:outlineLvl w:val="0"/>
              <w:rPr>
                <w:rFonts w:ascii="Arial" w:hAnsi="Arial" w:cs="Arial"/>
                <w:sz w:val="18"/>
                <w:szCs w:val="18"/>
              </w:rPr>
            </w:pPr>
            <w:r w:rsidRPr="001041A5">
              <w:rPr>
                <w:rFonts w:ascii="Arial" w:hAnsi="Arial" w:cs="Arial"/>
                <w:sz w:val="18"/>
                <w:szCs w:val="18"/>
              </w:rPr>
              <w:t>941</w:t>
            </w:r>
          </w:p>
        </w:tc>
        <w:tc>
          <w:tcPr>
            <w:tcW w:w="495" w:type="pct"/>
            <w:tcBorders>
              <w:top w:val="nil"/>
              <w:left w:val="nil"/>
              <w:bottom w:val="nil"/>
              <w:right w:val="nil"/>
            </w:tcBorders>
            <w:shd w:val="clear" w:color="auto" w:fill="auto"/>
            <w:vAlign w:val="bottom"/>
          </w:tcPr>
          <w:p w14:paraId="11BFED7C" w14:textId="2321BAAC" w:rsidR="00D85B9B" w:rsidRPr="001041A5" w:rsidRDefault="00D85B9B" w:rsidP="00D85B9B">
            <w:pPr>
              <w:tabs>
                <w:tab w:val="right" w:pos="1202"/>
              </w:tabs>
              <w:suppressAutoHyphens/>
              <w:autoSpaceDN w:val="0"/>
              <w:jc w:val="right"/>
              <w:outlineLvl w:val="0"/>
              <w:rPr>
                <w:rFonts w:ascii="Arial" w:hAnsi="Arial" w:cs="Arial"/>
                <w:sz w:val="18"/>
                <w:szCs w:val="18"/>
              </w:rPr>
            </w:pPr>
            <w:r w:rsidRPr="001041A5">
              <w:rPr>
                <w:rFonts w:ascii="Arial" w:hAnsi="Arial" w:cs="Arial"/>
                <w:sz w:val="18"/>
                <w:szCs w:val="18"/>
              </w:rPr>
              <w:t>2.543</w:t>
            </w:r>
          </w:p>
        </w:tc>
        <w:tc>
          <w:tcPr>
            <w:tcW w:w="495" w:type="pct"/>
            <w:tcBorders>
              <w:top w:val="nil"/>
              <w:left w:val="nil"/>
              <w:bottom w:val="nil"/>
              <w:right w:val="nil"/>
            </w:tcBorders>
            <w:shd w:val="clear" w:color="auto" w:fill="auto"/>
            <w:vAlign w:val="bottom"/>
          </w:tcPr>
          <w:p w14:paraId="0B066DE4" w14:textId="7A9BAE7B" w:rsidR="00D85B9B" w:rsidRPr="007478FB" w:rsidRDefault="00D85B9B" w:rsidP="00D85B9B">
            <w:pPr>
              <w:tabs>
                <w:tab w:val="right" w:pos="1202"/>
              </w:tabs>
              <w:suppressAutoHyphens/>
              <w:autoSpaceDN w:val="0"/>
              <w:jc w:val="right"/>
              <w:outlineLvl w:val="0"/>
              <w:rPr>
                <w:rFonts w:ascii="Arial" w:hAnsi="Arial" w:cs="Arial"/>
                <w:sz w:val="18"/>
                <w:szCs w:val="18"/>
              </w:rPr>
            </w:pPr>
            <w:r w:rsidRPr="00FF3B1A">
              <w:rPr>
                <w:rFonts w:ascii="Arial" w:hAnsi="Arial" w:cs="Arial"/>
                <w:sz w:val="18"/>
                <w:szCs w:val="18"/>
              </w:rPr>
              <w:t xml:space="preserve"> 777 </w:t>
            </w:r>
          </w:p>
        </w:tc>
        <w:tc>
          <w:tcPr>
            <w:tcW w:w="491" w:type="pct"/>
            <w:tcBorders>
              <w:top w:val="nil"/>
              <w:left w:val="nil"/>
              <w:bottom w:val="nil"/>
              <w:right w:val="nil"/>
            </w:tcBorders>
            <w:shd w:val="clear" w:color="auto" w:fill="auto"/>
            <w:vAlign w:val="bottom"/>
          </w:tcPr>
          <w:p w14:paraId="10B26E04" w14:textId="257FCB90" w:rsidR="00D85B9B" w:rsidRPr="007478FB" w:rsidRDefault="00D85B9B" w:rsidP="00D85B9B">
            <w:pPr>
              <w:tabs>
                <w:tab w:val="right" w:pos="1202"/>
              </w:tabs>
              <w:suppressAutoHyphens/>
              <w:autoSpaceDN w:val="0"/>
              <w:jc w:val="right"/>
              <w:outlineLvl w:val="0"/>
              <w:rPr>
                <w:rFonts w:ascii="Arial" w:hAnsi="Arial" w:cs="Arial"/>
                <w:sz w:val="18"/>
                <w:szCs w:val="18"/>
              </w:rPr>
            </w:pPr>
            <w:r w:rsidRPr="00FF3B1A">
              <w:rPr>
                <w:rFonts w:ascii="Arial" w:hAnsi="Arial" w:cs="Arial"/>
                <w:sz w:val="18"/>
                <w:szCs w:val="18"/>
              </w:rPr>
              <w:t xml:space="preserve"> 1.765 </w:t>
            </w:r>
          </w:p>
        </w:tc>
      </w:tr>
      <w:tr w:rsidR="00D85B9B" w:rsidRPr="00291152" w14:paraId="0313B03C" w14:textId="77777777" w:rsidTr="00A62310">
        <w:trPr>
          <w:trHeight w:val="283"/>
        </w:trPr>
        <w:tc>
          <w:tcPr>
            <w:tcW w:w="1044" w:type="pct"/>
            <w:vAlign w:val="bottom"/>
          </w:tcPr>
          <w:p w14:paraId="531F84AC" w14:textId="77777777" w:rsidR="00D85B9B" w:rsidRPr="007478FB" w:rsidRDefault="00D85B9B" w:rsidP="00D85B9B">
            <w:pPr>
              <w:tabs>
                <w:tab w:val="right" w:pos="1202"/>
              </w:tabs>
              <w:suppressAutoHyphens/>
              <w:autoSpaceDN w:val="0"/>
              <w:jc w:val="right"/>
              <w:outlineLvl w:val="0"/>
              <w:rPr>
                <w:rFonts w:ascii="Arial" w:eastAsia="Times New Roman" w:hAnsi="Arial" w:cs="Arial"/>
                <w:b/>
                <w:bCs/>
                <w:color w:val="000000" w:themeColor="text1"/>
                <w:spacing w:val="-2"/>
                <w:sz w:val="18"/>
                <w:szCs w:val="18"/>
              </w:rPr>
            </w:pPr>
          </w:p>
        </w:tc>
        <w:tc>
          <w:tcPr>
            <w:tcW w:w="495" w:type="pct"/>
            <w:tcBorders>
              <w:top w:val="single" w:sz="4" w:space="0" w:color="auto"/>
              <w:bottom w:val="single" w:sz="12" w:space="0" w:color="auto"/>
            </w:tcBorders>
            <w:vAlign w:val="bottom"/>
          </w:tcPr>
          <w:p w14:paraId="562090BF" w14:textId="7289BDA7" w:rsidR="00D85B9B" w:rsidRPr="00A62310" w:rsidRDefault="00D85B9B" w:rsidP="00D85B9B">
            <w:pPr>
              <w:tabs>
                <w:tab w:val="right" w:pos="1202"/>
              </w:tabs>
              <w:suppressAutoHyphens/>
              <w:autoSpaceDN w:val="0"/>
              <w:jc w:val="right"/>
              <w:outlineLvl w:val="0"/>
              <w:rPr>
                <w:rFonts w:ascii="Arial" w:hAnsi="Arial" w:cs="Arial"/>
                <w:b/>
                <w:bCs/>
                <w:sz w:val="18"/>
                <w:szCs w:val="18"/>
              </w:rPr>
            </w:pPr>
            <w:r w:rsidRPr="00A62310">
              <w:rPr>
                <w:rFonts w:ascii="Arial" w:hAnsi="Arial" w:cs="Arial"/>
                <w:b/>
                <w:bCs/>
                <w:sz w:val="18"/>
                <w:szCs w:val="18"/>
              </w:rPr>
              <w:t xml:space="preserve"> 31.949 </w:t>
            </w:r>
          </w:p>
        </w:tc>
        <w:tc>
          <w:tcPr>
            <w:tcW w:w="495" w:type="pct"/>
            <w:tcBorders>
              <w:top w:val="single" w:sz="4" w:space="0" w:color="auto"/>
              <w:bottom w:val="single" w:sz="12" w:space="0" w:color="auto"/>
            </w:tcBorders>
            <w:vAlign w:val="bottom"/>
          </w:tcPr>
          <w:p w14:paraId="3A5DD37E" w14:textId="293D9892" w:rsidR="00D85B9B" w:rsidRPr="00A62310" w:rsidRDefault="00D85B9B" w:rsidP="00D85B9B">
            <w:pPr>
              <w:tabs>
                <w:tab w:val="right" w:pos="1202"/>
              </w:tabs>
              <w:suppressAutoHyphens/>
              <w:autoSpaceDN w:val="0"/>
              <w:jc w:val="right"/>
              <w:outlineLvl w:val="0"/>
              <w:rPr>
                <w:rFonts w:ascii="Arial" w:hAnsi="Arial" w:cs="Arial"/>
                <w:b/>
                <w:bCs/>
                <w:sz w:val="18"/>
                <w:szCs w:val="18"/>
              </w:rPr>
            </w:pPr>
            <w:r w:rsidRPr="00A62310">
              <w:rPr>
                <w:rFonts w:ascii="Arial" w:hAnsi="Arial" w:cs="Arial"/>
                <w:b/>
                <w:bCs/>
                <w:sz w:val="18"/>
                <w:szCs w:val="18"/>
              </w:rPr>
              <w:t xml:space="preserve"> 87.958 </w:t>
            </w:r>
          </w:p>
        </w:tc>
        <w:tc>
          <w:tcPr>
            <w:tcW w:w="495" w:type="pct"/>
            <w:tcBorders>
              <w:top w:val="single" w:sz="4" w:space="0" w:color="auto"/>
              <w:bottom w:val="single" w:sz="12" w:space="0" w:color="auto"/>
            </w:tcBorders>
            <w:vAlign w:val="bottom"/>
          </w:tcPr>
          <w:p w14:paraId="4EF4417D" w14:textId="16C8120C" w:rsidR="00D85B9B" w:rsidRPr="00E70BE4" w:rsidRDefault="00D85B9B" w:rsidP="00D85B9B">
            <w:pPr>
              <w:tabs>
                <w:tab w:val="right" w:pos="1202"/>
              </w:tabs>
              <w:suppressAutoHyphens/>
              <w:autoSpaceDN w:val="0"/>
              <w:jc w:val="right"/>
              <w:outlineLvl w:val="0"/>
              <w:rPr>
                <w:rFonts w:ascii="Arial" w:hAnsi="Arial" w:cs="Arial"/>
                <w:b/>
                <w:bCs/>
                <w:sz w:val="18"/>
                <w:szCs w:val="18"/>
              </w:rPr>
            </w:pPr>
            <w:r w:rsidRPr="00E70BE4">
              <w:rPr>
                <w:rFonts w:ascii="Arial" w:hAnsi="Arial" w:cs="Arial"/>
                <w:b/>
                <w:bCs/>
                <w:sz w:val="18"/>
                <w:szCs w:val="18"/>
              </w:rPr>
              <w:t xml:space="preserve"> 23.956 </w:t>
            </w:r>
          </w:p>
        </w:tc>
        <w:tc>
          <w:tcPr>
            <w:tcW w:w="495" w:type="pct"/>
            <w:tcBorders>
              <w:top w:val="single" w:sz="4" w:space="0" w:color="auto"/>
              <w:bottom w:val="single" w:sz="12" w:space="0" w:color="auto"/>
            </w:tcBorders>
            <w:vAlign w:val="bottom"/>
          </w:tcPr>
          <w:p w14:paraId="0B814522" w14:textId="1CF5E50E" w:rsidR="00D85B9B" w:rsidRPr="00E70BE4" w:rsidRDefault="00D85B9B" w:rsidP="00D85B9B">
            <w:pPr>
              <w:tabs>
                <w:tab w:val="right" w:pos="1202"/>
              </w:tabs>
              <w:suppressAutoHyphens/>
              <w:autoSpaceDN w:val="0"/>
              <w:jc w:val="right"/>
              <w:outlineLvl w:val="0"/>
              <w:rPr>
                <w:rFonts w:ascii="Arial" w:hAnsi="Arial" w:cs="Arial"/>
                <w:b/>
                <w:bCs/>
                <w:sz w:val="18"/>
                <w:szCs w:val="18"/>
              </w:rPr>
            </w:pPr>
            <w:r w:rsidRPr="00E70BE4">
              <w:rPr>
                <w:rFonts w:ascii="Arial" w:hAnsi="Arial" w:cs="Arial"/>
                <w:b/>
                <w:bCs/>
                <w:sz w:val="18"/>
                <w:szCs w:val="18"/>
              </w:rPr>
              <w:t xml:space="preserve"> 68.276 </w:t>
            </w:r>
          </w:p>
        </w:tc>
        <w:tc>
          <w:tcPr>
            <w:tcW w:w="495" w:type="pct"/>
            <w:tcBorders>
              <w:top w:val="single" w:sz="4" w:space="0" w:color="auto"/>
              <w:bottom w:val="single" w:sz="12" w:space="0" w:color="auto"/>
            </w:tcBorders>
            <w:vAlign w:val="bottom"/>
          </w:tcPr>
          <w:p w14:paraId="7B31A6FA" w14:textId="1EFCADC2" w:rsidR="00D85B9B" w:rsidRPr="001041A5" w:rsidRDefault="00D85B9B" w:rsidP="00D85B9B">
            <w:pPr>
              <w:tabs>
                <w:tab w:val="right" w:pos="1202"/>
              </w:tabs>
              <w:suppressAutoHyphens/>
              <w:autoSpaceDN w:val="0"/>
              <w:jc w:val="right"/>
              <w:outlineLvl w:val="0"/>
              <w:rPr>
                <w:rFonts w:ascii="Arial" w:hAnsi="Arial" w:cs="Arial"/>
                <w:b/>
                <w:bCs/>
                <w:sz w:val="18"/>
                <w:szCs w:val="18"/>
              </w:rPr>
            </w:pPr>
            <w:r>
              <w:rPr>
                <w:rFonts w:ascii="Arial" w:hAnsi="Arial" w:cs="Arial"/>
                <w:b/>
                <w:bCs/>
                <w:sz w:val="18"/>
                <w:szCs w:val="18"/>
              </w:rPr>
              <w:t>31</w:t>
            </w:r>
            <w:r w:rsidRPr="001041A5">
              <w:rPr>
                <w:rFonts w:ascii="Arial" w:hAnsi="Arial" w:cs="Arial"/>
                <w:b/>
                <w:bCs/>
                <w:sz w:val="18"/>
                <w:szCs w:val="18"/>
              </w:rPr>
              <w:t>.</w:t>
            </w:r>
            <w:r>
              <w:rPr>
                <w:rFonts w:ascii="Arial" w:hAnsi="Arial" w:cs="Arial"/>
                <w:b/>
                <w:bCs/>
                <w:sz w:val="18"/>
                <w:szCs w:val="18"/>
              </w:rPr>
              <w:t>885</w:t>
            </w:r>
          </w:p>
        </w:tc>
        <w:tc>
          <w:tcPr>
            <w:tcW w:w="495" w:type="pct"/>
            <w:tcBorders>
              <w:top w:val="single" w:sz="4" w:space="0" w:color="auto"/>
              <w:bottom w:val="single" w:sz="12" w:space="0" w:color="auto"/>
            </w:tcBorders>
            <w:vAlign w:val="bottom"/>
          </w:tcPr>
          <w:p w14:paraId="3ADFC59F" w14:textId="30F3C363" w:rsidR="00D85B9B" w:rsidRPr="001041A5" w:rsidRDefault="00D85B9B" w:rsidP="00D85B9B">
            <w:pPr>
              <w:tabs>
                <w:tab w:val="right" w:pos="1202"/>
              </w:tabs>
              <w:suppressAutoHyphens/>
              <w:autoSpaceDN w:val="0"/>
              <w:jc w:val="right"/>
              <w:outlineLvl w:val="0"/>
              <w:rPr>
                <w:rFonts w:ascii="Arial" w:hAnsi="Arial" w:cs="Arial"/>
                <w:b/>
                <w:bCs/>
                <w:sz w:val="18"/>
                <w:szCs w:val="18"/>
              </w:rPr>
            </w:pPr>
            <w:r w:rsidRPr="001041A5">
              <w:rPr>
                <w:rFonts w:ascii="Arial" w:hAnsi="Arial" w:cs="Arial"/>
                <w:b/>
                <w:bCs/>
                <w:sz w:val="18"/>
                <w:szCs w:val="18"/>
              </w:rPr>
              <w:t>8</w:t>
            </w:r>
            <w:r>
              <w:rPr>
                <w:rFonts w:ascii="Arial" w:hAnsi="Arial" w:cs="Arial"/>
                <w:b/>
                <w:bCs/>
                <w:sz w:val="18"/>
                <w:szCs w:val="18"/>
              </w:rPr>
              <w:t>7</w:t>
            </w:r>
            <w:r w:rsidRPr="001041A5">
              <w:rPr>
                <w:rFonts w:ascii="Arial" w:hAnsi="Arial" w:cs="Arial"/>
                <w:b/>
                <w:bCs/>
                <w:sz w:val="18"/>
                <w:szCs w:val="18"/>
              </w:rPr>
              <w:t>.7</w:t>
            </w:r>
            <w:r>
              <w:rPr>
                <w:rFonts w:ascii="Arial" w:hAnsi="Arial" w:cs="Arial"/>
                <w:b/>
                <w:bCs/>
                <w:sz w:val="18"/>
                <w:szCs w:val="18"/>
              </w:rPr>
              <w:t>66</w:t>
            </w:r>
          </w:p>
        </w:tc>
        <w:tc>
          <w:tcPr>
            <w:tcW w:w="495" w:type="pct"/>
            <w:tcBorders>
              <w:top w:val="single" w:sz="4" w:space="0" w:color="auto"/>
              <w:bottom w:val="single" w:sz="12" w:space="0" w:color="auto"/>
            </w:tcBorders>
            <w:vAlign w:val="bottom"/>
          </w:tcPr>
          <w:p w14:paraId="35AD47E5" w14:textId="4D5859CE" w:rsidR="00D85B9B" w:rsidRPr="007478FB" w:rsidRDefault="00D85B9B" w:rsidP="00D85B9B">
            <w:pPr>
              <w:suppressAutoHyphens/>
              <w:autoSpaceDN w:val="0"/>
              <w:jc w:val="right"/>
              <w:rPr>
                <w:rFonts w:ascii="Arial" w:hAnsi="Arial" w:cs="Arial"/>
                <w:b/>
                <w:bCs/>
                <w:sz w:val="18"/>
                <w:szCs w:val="18"/>
              </w:rPr>
            </w:pPr>
            <w:r w:rsidRPr="00FF3B1A">
              <w:rPr>
                <w:rFonts w:ascii="Arial" w:hAnsi="Arial" w:cs="Arial"/>
                <w:b/>
                <w:bCs/>
                <w:sz w:val="18"/>
                <w:szCs w:val="18"/>
              </w:rPr>
              <w:t xml:space="preserve"> 23.892 </w:t>
            </w:r>
          </w:p>
        </w:tc>
        <w:tc>
          <w:tcPr>
            <w:tcW w:w="491" w:type="pct"/>
            <w:tcBorders>
              <w:top w:val="single" w:sz="4" w:space="0" w:color="auto"/>
              <w:bottom w:val="single" w:sz="12" w:space="0" w:color="auto"/>
            </w:tcBorders>
            <w:vAlign w:val="bottom"/>
          </w:tcPr>
          <w:p w14:paraId="53ABDB94" w14:textId="505D6F2F" w:rsidR="00D85B9B" w:rsidRPr="007478FB" w:rsidRDefault="00D85B9B" w:rsidP="00D85B9B">
            <w:pPr>
              <w:suppressAutoHyphens/>
              <w:autoSpaceDN w:val="0"/>
              <w:jc w:val="right"/>
              <w:rPr>
                <w:rFonts w:ascii="Arial" w:hAnsi="Arial" w:cs="Arial"/>
                <w:b/>
                <w:bCs/>
                <w:sz w:val="18"/>
                <w:szCs w:val="18"/>
              </w:rPr>
            </w:pPr>
            <w:r w:rsidRPr="00FF3B1A">
              <w:rPr>
                <w:rFonts w:ascii="Arial" w:hAnsi="Arial" w:cs="Arial"/>
                <w:b/>
                <w:bCs/>
                <w:sz w:val="18"/>
                <w:szCs w:val="18"/>
              </w:rPr>
              <w:t xml:space="preserve"> 68.104 </w:t>
            </w:r>
          </w:p>
        </w:tc>
      </w:tr>
      <w:bookmarkEnd w:id="268"/>
    </w:tbl>
    <w:p w14:paraId="255C9DC1" w14:textId="77777777" w:rsidR="00843998" w:rsidRPr="003D1614" w:rsidRDefault="00843998" w:rsidP="00843998">
      <w:pPr>
        <w:suppressAutoHyphens/>
        <w:autoSpaceDN w:val="0"/>
        <w:jc w:val="both"/>
        <w:outlineLvl w:val="0"/>
        <w:rPr>
          <w:rFonts w:ascii="Arial" w:eastAsia="Times New Roman" w:hAnsi="Arial" w:cs="Arial"/>
          <w:bCs/>
          <w:color w:val="000000" w:themeColor="text1"/>
          <w:sz w:val="20"/>
          <w:szCs w:val="20"/>
        </w:rPr>
      </w:pPr>
    </w:p>
    <w:p w14:paraId="00EC80FB" w14:textId="175B70B8" w:rsidR="00843998" w:rsidRPr="003D1614" w:rsidRDefault="00843998" w:rsidP="00843998">
      <w:pPr>
        <w:suppressAutoHyphens/>
        <w:autoSpaceDN w:val="0"/>
        <w:jc w:val="both"/>
        <w:outlineLvl w:val="0"/>
        <w:rPr>
          <w:rFonts w:ascii="Arial" w:eastAsia="Times New Roman" w:hAnsi="Arial" w:cs="Arial"/>
          <w:bCs/>
          <w:color w:val="000000" w:themeColor="text1"/>
        </w:rPr>
      </w:pPr>
      <w:r w:rsidRPr="003D1614">
        <w:rPr>
          <w:rFonts w:ascii="Arial" w:eastAsia="Times New Roman" w:hAnsi="Arial" w:cs="Arial"/>
          <w:bCs/>
          <w:color w:val="000000" w:themeColor="text1"/>
          <w:sz w:val="20"/>
          <w:szCs w:val="20"/>
        </w:rPr>
        <w:t xml:space="preserve">Glavna razlika između prihoda od kamata i primljenog odnosno naplaćenog iznosa kamatnih prihoda (vidi Izvještaj o novčanim tokovima) najvećim se dijelom odnosi na prihode s osnova subvencionirane kamatne stope čiji se tok novca bilježi u trenutku uplate. </w:t>
      </w:r>
      <w:r w:rsidRPr="003D1614">
        <w:rPr>
          <w:rFonts w:ascii="Arial" w:eastAsia="Times New Roman" w:hAnsi="Arial" w:cs="Arial"/>
          <w:color w:val="000000" w:themeColor="text1"/>
          <w:sz w:val="20"/>
          <w:szCs w:val="20"/>
        </w:rPr>
        <w:t xml:space="preserve">Diskontirani iznos subvencionirane kamate za krajnjeg korisnika iskazan je kao odgođeno priznavanje kamatnih prihoda </w:t>
      </w:r>
      <w:r w:rsidRPr="003D1614">
        <w:rPr>
          <w:rFonts w:ascii="Arial" w:eastAsia="Times New Roman" w:hAnsi="Arial" w:cs="Arial"/>
          <w:bCs/>
          <w:color w:val="000000" w:themeColor="text1"/>
          <w:sz w:val="20"/>
          <w:szCs w:val="20"/>
        </w:rPr>
        <w:t xml:space="preserve">(veza </w:t>
      </w:r>
      <w:r w:rsidRPr="0037442F">
        <w:rPr>
          <w:rFonts w:ascii="Arial" w:eastAsia="Times New Roman" w:hAnsi="Arial" w:cs="Arial"/>
          <w:bCs/>
          <w:color w:val="000000" w:themeColor="text1"/>
          <w:sz w:val="20"/>
          <w:szCs w:val="20"/>
        </w:rPr>
        <w:t xml:space="preserve">bilješka </w:t>
      </w:r>
      <w:r w:rsidRPr="003A5E68">
        <w:rPr>
          <w:rFonts w:ascii="Arial" w:eastAsia="Times New Roman" w:hAnsi="Arial" w:cs="Arial"/>
          <w:bCs/>
          <w:color w:val="000000" w:themeColor="text1"/>
          <w:sz w:val="20"/>
          <w:szCs w:val="20"/>
        </w:rPr>
        <w:t>2</w:t>
      </w:r>
      <w:r w:rsidR="004D43AA" w:rsidRPr="003A5E68">
        <w:rPr>
          <w:rFonts w:ascii="Arial" w:eastAsia="Times New Roman" w:hAnsi="Arial" w:cs="Arial"/>
          <w:bCs/>
          <w:color w:val="000000" w:themeColor="text1"/>
          <w:sz w:val="20"/>
          <w:szCs w:val="20"/>
        </w:rPr>
        <w:t>0</w:t>
      </w:r>
      <w:r w:rsidRPr="00546B61">
        <w:rPr>
          <w:rFonts w:ascii="Arial" w:eastAsia="Times New Roman" w:hAnsi="Arial" w:cs="Arial"/>
          <w:bCs/>
          <w:color w:val="000000" w:themeColor="text1"/>
          <w:sz w:val="20"/>
          <w:szCs w:val="20"/>
        </w:rPr>
        <w:t>. Ostale</w:t>
      </w:r>
      <w:r w:rsidRPr="003D1614">
        <w:rPr>
          <w:rFonts w:ascii="Arial" w:eastAsia="Times New Roman" w:hAnsi="Arial" w:cs="Arial"/>
          <w:bCs/>
          <w:color w:val="000000" w:themeColor="text1"/>
          <w:sz w:val="20"/>
          <w:szCs w:val="20"/>
        </w:rPr>
        <w:t xml:space="preserve"> obveze) </w:t>
      </w:r>
      <w:r w:rsidRPr="003D1614">
        <w:rPr>
          <w:rFonts w:ascii="Arial" w:eastAsia="Times New Roman" w:hAnsi="Arial" w:cs="Arial"/>
          <w:color w:val="000000" w:themeColor="text1"/>
          <w:sz w:val="20"/>
          <w:szCs w:val="20"/>
        </w:rPr>
        <w:t>i priznaje se u računu dobiti i gubitka na vremenskoj osnovi tijekom razdoblja otplate kredita.</w:t>
      </w:r>
      <w:r w:rsidRPr="003D1614">
        <w:rPr>
          <w:rFonts w:ascii="Arial" w:eastAsia="Times New Roman" w:hAnsi="Arial" w:cs="Arial"/>
          <w:bCs/>
          <w:color w:val="000000" w:themeColor="text1"/>
          <w:sz w:val="20"/>
          <w:szCs w:val="20"/>
        </w:rPr>
        <w:t xml:space="preserve"> Prihod od subvencionirane kamate za razdoblje od 1.1. do </w:t>
      </w:r>
      <w:r w:rsidR="00414A53" w:rsidRPr="003D1614">
        <w:rPr>
          <w:rFonts w:ascii="Arial" w:eastAsia="Times New Roman" w:hAnsi="Arial" w:cs="Arial"/>
          <w:bCs/>
          <w:color w:val="000000" w:themeColor="text1"/>
          <w:sz w:val="20"/>
          <w:szCs w:val="20"/>
        </w:rPr>
        <w:t>3</w:t>
      </w:r>
      <w:r w:rsidR="00414A53">
        <w:rPr>
          <w:rFonts w:ascii="Arial" w:eastAsia="Times New Roman" w:hAnsi="Arial" w:cs="Arial"/>
          <w:bCs/>
          <w:color w:val="000000" w:themeColor="text1"/>
          <w:sz w:val="20"/>
          <w:szCs w:val="20"/>
        </w:rPr>
        <w:t>0</w:t>
      </w:r>
      <w:r w:rsidRPr="003D1614">
        <w:rPr>
          <w:rFonts w:ascii="Arial" w:eastAsia="Times New Roman" w:hAnsi="Arial" w:cs="Arial"/>
          <w:bCs/>
          <w:color w:val="000000" w:themeColor="text1"/>
          <w:sz w:val="20"/>
          <w:szCs w:val="20"/>
        </w:rPr>
        <w:t>.</w:t>
      </w:r>
      <w:r w:rsidR="00FB136F">
        <w:rPr>
          <w:rFonts w:ascii="Arial" w:eastAsia="Times New Roman" w:hAnsi="Arial" w:cs="Arial"/>
          <w:bCs/>
          <w:color w:val="000000" w:themeColor="text1"/>
          <w:sz w:val="20"/>
          <w:szCs w:val="20"/>
        </w:rPr>
        <w:t>9</w:t>
      </w:r>
      <w:r w:rsidRPr="003D1614">
        <w:rPr>
          <w:rFonts w:ascii="Arial" w:eastAsia="Times New Roman" w:hAnsi="Arial" w:cs="Arial"/>
          <w:bCs/>
          <w:color w:val="000000" w:themeColor="text1"/>
          <w:sz w:val="20"/>
          <w:szCs w:val="20"/>
        </w:rPr>
        <w:t>.202</w:t>
      </w:r>
      <w:r w:rsidR="00395DB4">
        <w:rPr>
          <w:rFonts w:ascii="Arial" w:eastAsia="Times New Roman" w:hAnsi="Arial" w:cs="Arial"/>
          <w:bCs/>
          <w:color w:val="000000" w:themeColor="text1"/>
          <w:sz w:val="20"/>
          <w:szCs w:val="20"/>
        </w:rPr>
        <w:t>4</w:t>
      </w:r>
      <w:r w:rsidRPr="003D1614">
        <w:rPr>
          <w:rFonts w:ascii="Arial" w:eastAsia="Times New Roman" w:hAnsi="Arial" w:cs="Arial"/>
          <w:bCs/>
          <w:color w:val="000000" w:themeColor="text1"/>
          <w:sz w:val="20"/>
          <w:szCs w:val="20"/>
        </w:rPr>
        <w:t xml:space="preserve">. </w:t>
      </w:r>
      <w:r w:rsidRPr="00AB13EC">
        <w:rPr>
          <w:rFonts w:ascii="Arial" w:eastAsia="Times New Roman" w:hAnsi="Arial" w:cs="Arial"/>
          <w:bCs/>
          <w:color w:val="000000" w:themeColor="text1"/>
          <w:sz w:val="20"/>
          <w:szCs w:val="20"/>
        </w:rPr>
        <w:t xml:space="preserve">iznosi </w:t>
      </w:r>
      <w:r w:rsidR="006455A1" w:rsidRPr="006455A1">
        <w:rPr>
          <w:rFonts w:ascii="Arial" w:eastAsia="Times New Roman" w:hAnsi="Arial" w:cs="Arial"/>
          <w:bCs/>
          <w:color w:val="000000" w:themeColor="text1"/>
          <w:sz w:val="20"/>
          <w:szCs w:val="20"/>
        </w:rPr>
        <w:t>13</w:t>
      </w:r>
      <w:r w:rsidR="00626FB7" w:rsidRPr="006455A1">
        <w:rPr>
          <w:rFonts w:ascii="Arial" w:eastAsia="Times New Roman" w:hAnsi="Arial" w:cs="Arial"/>
          <w:bCs/>
          <w:color w:val="000000" w:themeColor="text1"/>
          <w:sz w:val="20"/>
          <w:szCs w:val="20"/>
        </w:rPr>
        <w:t>.</w:t>
      </w:r>
      <w:r w:rsidR="006455A1" w:rsidRPr="006455A1">
        <w:rPr>
          <w:rFonts w:ascii="Arial" w:eastAsia="Times New Roman" w:hAnsi="Arial" w:cs="Arial"/>
          <w:bCs/>
          <w:color w:val="000000" w:themeColor="text1"/>
          <w:sz w:val="20"/>
          <w:szCs w:val="20"/>
        </w:rPr>
        <w:t>125</w:t>
      </w:r>
      <w:r w:rsidR="00AB13EC" w:rsidRPr="006455A1">
        <w:rPr>
          <w:rFonts w:ascii="Arial" w:eastAsia="Times New Roman" w:hAnsi="Arial" w:cs="Arial"/>
          <w:bCs/>
          <w:color w:val="000000" w:themeColor="text1"/>
          <w:sz w:val="20"/>
          <w:szCs w:val="20"/>
        </w:rPr>
        <w:t xml:space="preserve"> </w:t>
      </w:r>
      <w:r w:rsidRPr="006455A1">
        <w:rPr>
          <w:rFonts w:ascii="Arial" w:eastAsia="Times New Roman" w:hAnsi="Arial" w:cs="Arial"/>
          <w:bCs/>
          <w:color w:val="000000" w:themeColor="text1"/>
          <w:sz w:val="20"/>
          <w:szCs w:val="20"/>
        </w:rPr>
        <w:t>tisuća</w:t>
      </w:r>
      <w:r w:rsidRPr="00FF3B1A">
        <w:rPr>
          <w:rFonts w:ascii="Arial" w:eastAsia="Times New Roman" w:hAnsi="Arial" w:cs="Arial"/>
          <w:bCs/>
          <w:color w:val="000000" w:themeColor="text1"/>
          <w:sz w:val="20"/>
          <w:szCs w:val="20"/>
        </w:rPr>
        <w:t xml:space="preserve"> eura (1.1. do 3</w:t>
      </w:r>
      <w:r w:rsidR="00414A53" w:rsidRPr="00FF3B1A">
        <w:rPr>
          <w:rFonts w:ascii="Arial" w:eastAsia="Times New Roman" w:hAnsi="Arial" w:cs="Arial"/>
          <w:bCs/>
          <w:color w:val="000000" w:themeColor="text1"/>
          <w:sz w:val="20"/>
          <w:szCs w:val="20"/>
        </w:rPr>
        <w:t>0</w:t>
      </w:r>
      <w:r w:rsidRPr="00FF3B1A">
        <w:rPr>
          <w:rFonts w:ascii="Arial" w:eastAsia="Times New Roman" w:hAnsi="Arial" w:cs="Arial"/>
          <w:bCs/>
          <w:color w:val="000000" w:themeColor="text1"/>
          <w:sz w:val="20"/>
          <w:szCs w:val="20"/>
        </w:rPr>
        <w:t>.</w:t>
      </w:r>
      <w:r w:rsidR="00FB136F" w:rsidRPr="00FF3B1A">
        <w:rPr>
          <w:rFonts w:ascii="Arial" w:eastAsia="Times New Roman" w:hAnsi="Arial" w:cs="Arial"/>
          <w:bCs/>
          <w:color w:val="000000" w:themeColor="text1"/>
          <w:sz w:val="20"/>
          <w:szCs w:val="20"/>
        </w:rPr>
        <w:t>9</w:t>
      </w:r>
      <w:r w:rsidRPr="00FF3B1A">
        <w:rPr>
          <w:rFonts w:ascii="Arial" w:eastAsia="Times New Roman" w:hAnsi="Arial" w:cs="Arial"/>
          <w:bCs/>
          <w:color w:val="000000" w:themeColor="text1"/>
          <w:sz w:val="20"/>
          <w:szCs w:val="20"/>
        </w:rPr>
        <w:t>.202</w:t>
      </w:r>
      <w:r w:rsidR="00E37D23">
        <w:rPr>
          <w:rFonts w:ascii="Arial" w:eastAsia="Times New Roman" w:hAnsi="Arial" w:cs="Arial"/>
          <w:bCs/>
          <w:color w:val="000000" w:themeColor="text1"/>
          <w:sz w:val="20"/>
          <w:szCs w:val="20"/>
        </w:rPr>
        <w:t>3</w:t>
      </w:r>
      <w:r w:rsidRPr="00FF3B1A">
        <w:rPr>
          <w:rFonts w:ascii="Arial" w:eastAsia="Times New Roman" w:hAnsi="Arial" w:cs="Arial"/>
          <w:bCs/>
          <w:color w:val="000000" w:themeColor="text1"/>
          <w:sz w:val="20"/>
          <w:szCs w:val="20"/>
        </w:rPr>
        <w:t xml:space="preserve">.: </w:t>
      </w:r>
      <w:r w:rsidR="00E37D23">
        <w:rPr>
          <w:rFonts w:ascii="Arial" w:eastAsia="Times New Roman" w:hAnsi="Arial" w:cs="Arial"/>
          <w:bCs/>
          <w:color w:val="000000" w:themeColor="text1"/>
          <w:sz w:val="20"/>
          <w:szCs w:val="20"/>
        </w:rPr>
        <w:t>9.233</w:t>
      </w:r>
      <w:r w:rsidRPr="00FF3B1A">
        <w:rPr>
          <w:rFonts w:ascii="Arial" w:eastAsia="Times New Roman" w:hAnsi="Arial" w:cs="Arial"/>
          <w:bCs/>
          <w:color w:val="000000" w:themeColor="text1"/>
          <w:sz w:val="20"/>
          <w:szCs w:val="20"/>
        </w:rPr>
        <w:t xml:space="preserve"> tisuća</w:t>
      </w:r>
      <w:r w:rsidRPr="003D1614">
        <w:rPr>
          <w:rFonts w:ascii="Arial" w:eastAsia="Times New Roman" w:hAnsi="Arial" w:cs="Arial"/>
          <w:bCs/>
          <w:color w:val="000000" w:themeColor="text1"/>
          <w:sz w:val="20"/>
          <w:szCs w:val="20"/>
        </w:rPr>
        <w:t xml:space="preserve"> eura).</w:t>
      </w:r>
    </w:p>
    <w:p w14:paraId="3BD5FAE5" w14:textId="6ADF79BF" w:rsidR="00843998" w:rsidRPr="003D1614" w:rsidRDefault="00843998" w:rsidP="00EA0684">
      <w:pPr>
        <w:rPr>
          <w:rFonts w:ascii="Arial" w:eastAsia="Times New Roman" w:hAnsi="Arial" w:cs="Arial"/>
          <w:sz w:val="20"/>
          <w:szCs w:val="20"/>
        </w:rPr>
      </w:pPr>
    </w:p>
    <w:p w14:paraId="529EC280" w14:textId="77777777" w:rsidR="00843998" w:rsidRPr="003D1614" w:rsidRDefault="00843998" w:rsidP="00EA0684">
      <w:pPr>
        <w:rPr>
          <w:rFonts w:ascii="Arial" w:eastAsia="Times New Roman" w:hAnsi="Arial" w:cs="Arial"/>
          <w:sz w:val="20"/>
          <w:szCs w:val="20"/>
        </w:rPr>
        <w:sectPr w:rsidR="00843998" w:rsidRPr="003D1614" w:rsidSect="007478FB">
          <w:pgSz w:w="16838" w:h="11906" w:orient="landscape"/>
          <w:pgMar w:top="1417" w:right="1417" w:bottom="1417" w:left="1417" w:header="708" w:footer="708" w:gutter="0"/>
          <w:cols w:space="708"/>
          <w:docGrid w:linePitch="360"/>
        </w:sectPr>
      </w:pPr>
    </w:p>
    <w:p w14:paraId="1A4E8DB3" w14:textId="545E92BA" w:rsidR="00843998" w:rsidRPr="003D1614" w:rsidRDefault="00843998" w:rsidP="00EA0684">
      <w:pPr>
        <w:rPr>
          <w:rFonts w:ascii="Arial" w:eastAsia="Times New Roman" w:hAnsi="Arial" w:cs="Arial"/>
          <w:sz w:val="20"/>
          <w:szCs w:val="20"/>
        </w:rPr>
      </w:pPr>
    </w:p>
    <w:p w14:paraId="04794D06" w14:textId="77777777" w:rsidR="00843998" w:rsidRPr="003D1614" w:rsidRDefault="00843998" w:rsidP="00843998">
      <w:pPr>
        <w:keepNext/>
        <w:tabs>
          <w:tab w:val="left" w:pos="567"/>
        </w:tabs>
        <w:suppressAutoHyphens/>
        <w:autoSpaceDN w:val="0"/>
        <w:jc w:val="both"/>
        <w:outlineLvl w:val="0"/>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6.</w:t>
      </w:r>
      <w:r w:rsidRPr="003D1614">
        <w:rPr>
          <w:rFonts w:ascii="Arial" w:eastAsia="Times New Roman" w:hAnsi="Arial" w:cs="Arial"/>
          <w:b/>
          <w:color w:val="000000" w:themeColor="text1"/>
          <w:sz w:val="20"/>
          <w:szCs w:val="20"/>
        </w:rPr>
        <w:tab/>
      </w:r>
      <w:bookmarkStart w:id="277" w:name="_Hlk141869271"/>
      <w:r w:rsidRPr="003D1614">
        <w:rPr>
          <w:rFonts w:ascii="Arial" w:eastAsia="Times New Roman" w:hAnsi="Arial" w:cs="Arial"/>
          <w:b/>
          <w:color w:val="000000" w:themeColor="text1"/>
          <w:sz w:val="20"/>
          <w:szCs w:val="20"/>
        </w:rPr>
        <w:t>Rashodi od kamata</w:t>
      </w:r>
    </w:p>
    <w:p w14:paraId="3C8C9B33" w14:textId="77777777" w:rsidR="00843998" w:rsidRPr="003D1614" w:rsidRDefault="00843998" w:rsidP="00843998">
      <w:pPr>
        <w:keepNext/>
        <w:suppressAutoHyphens/>
        <w:autoSpaceDN w:val="0"/>
        <w:jc w:val="both"/>
        <w:outlineLvl w:val="0"/>
        <w:rPr>
          <w:rFonts w:ascii="Arial" w:eastAsia="Times New Roman" w:hAnsi="Arial" w:cs="Arial"/>
          <w:b/>
          <w:color w:val="000000" w:themeColor="text1"/>
          <w:sz w:val="20"/>
          <w:szCs w:val="20"/>
        </w:rPr>
      </w:pPr>
    </w:p>
    <w:p w14:paraId="792AB9F5" w14:textId="613246C7" w:rsidR="00843998" w:rsidRPr="003D1614" w:rsidRDefault="00843998" w:rsidP="00843998">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Rashodi od kamata prema primateljima:</w:t>
      </w:r>
    </w:p>
    <w:p w14:paraId="60D23435" w14:textId="77777777" w:rsidR="00FD5DDF" w:rsidRPr="003D1614" w:rsidRDefault="00FD5DDF" w:rsidP="00843998">
      <w:pPr>
        <w:keepNext/>
        <w:suppressAutoHyphens/>
        <w:autoSpaceDN w:val="0"/>
        <w:jc w:val="both"/>
        <w:outlineLvl w:val="0"/>
        <w:rPr>
          <w:rFonts w:ascii="Arial" w:eastAsia="Times New Roman" w:hAnsi="Arial" w:cs="Arial"/>
          <w:color w:val="000000" w:themeColor="text1"/>
          <w:sz w:val="20"/>
          <w:szCs w:val="20"/>
        </w:rPr>
      </w:pPr>
    </w:p>
    <w:tbl>
      <w:tblPr>
        <w:tblW w:w="5000" w:type="pct"/>
        <w:tblLayout w:type="fixed"/>
        <w:tblCellMar>
          <w:left w:w="122" w:type="dxa"/>
          <w:right w:w="122" w:type="dxa"/>
        </w:tblCellMar>
        <w:tblLook w:val="0000" w:firstRow="0" w:lastRow="0" w:firstColumn="0" w:lastColumn="0" w:noHBand="0" w:noVBand="0"/>
      </w:tblPr>
      <w:tblGrid>
        <w:gridCol w:w="2922"/>
        <w:gridCol w:w="1387"/>
        <w:gridCol w:w="1386"/>
        <w:gridCol w:w="1386"/>
        <w:gridCol w:w="1386"/>
        <w:gridCol w:w="1386"/>
        <w:gridCol w:w="1386"/>
        <w:gridCol w:w="1384"/>
        <w:gridCol w:w="1381"/>
      </w:tblGrid>
      <w:tr w:rsidR="00054850" w:rsidRPr="00544134" w14:paraId="2582D6CF" w14:textId="77777777" w:rsidTr="007478FB">
        <w:trPr>
          <w:trHeight w:val="300"/>
        </w:trPr>
        <w:tc>
          <w:tcPr>
            <w:tcW w:w="1043" w:type="pct"/>
            <w:vAlign w:val="bottom"/>
          </w:tcPr>
          <w:p w14:paraId="5E5D977E" w14:textId="77777777" w:rsidR="00054850" w:rsidRPr="00F43653" w:rsidRDefault="00054850" w:rsidP="00054850">
            <w:pPr>
              <w:tabs>
                <w:tab w:val="left" w:pos="-720"/>
              </w:tabs>
              <w:suppressAutoHyphens/>
              <w:autoSpaceDN w:val="0"/>
              <w:jc w:val="right"/>
              <w:rPr>
                <w:rFonts w:ascii="Arial" w:eastAsia="Times New Roman" w:hAnsi="Arial" w:cs="Arial"/>
                <w:color w:val="000000" w:themeColor="text1"/>
                <w:spacing w:val="-3"/>
                <w:sz w:val="20"/>
                <w:szCs w:val="20"/>
              </w:rPr>
            </w:pPr>
          </w:p>
        </w:tc>
        <w:tc>
          <w:tcPr>
            <w:tcW w:w="1980" w:type="pct"/>
            <w:gridSpan w:val="4"/>
            <w:vAlign w:val="bottom"/>
          </w:tcPr>
          <w:p w14:paraId="359DF50C" w14:textId="4A5F12BD" w:rsidR="00054850" w:rsidRPr="00F43653" w:rsidRDefault="00054850" w:rsidP="00054850">
            <w:pPr>
              <w:tabs>
                <w:tab w:val="right" w:pos="1202"/>
              </w:tabs>
              <w:suppressAutoHyphens/>
              <w:autoSpaceDN w:val="0"/>
              <w:jc w:val="right"/>
              <w:outlineLvl w:val="0"/>
              <w:rPr>
                <w:rFonts w:ascii="Arial" w:eastAsia="Times New Roman" w:hAnsi="Arial" w:cs="Arial"/>
                <w:b/>
                <w:bCs/>
                <w:color w:val="000000" w:themeColor="text1"/>
                <w:sz w:val="20"/>
                <w:szCs w:val="20"/>
              </w:rPr>
            </w:pPr>
            <w:r w:rsidRPr="007478FB">
              <w:rPr>
                <w:rFonts w:ascii="Arial" w:hAnsi="Arial" w:cs="Arial"/>
                <w:b/>
                <w:bCs/>
                <w:sz w:val="20"/>
                <w:szCs w:val="20"/>
              </w:rPr>
              <w:t>Grupa</w:t>
            </w:r>
          </w:p>
        </w:tc>
        <w:tc>
          <w:tcPr>
            <w:tcW w:w="1977" w:type="pct"/>
            <w:gridSpan w:val="4"/>
            <w:vAlign w:val="bottom"/>
          </w:tcPr>
          <w:p w14:paraId="277A9A6C" w14:textId="1C6117DE" w:rsidR="00054850" w:rsidRPr="00F43653" w:rsidRDefault="00054850" w:rsidP="00054850">
            <w:pPr>
              <w:tabs>
                <w:tab w:val="right" w:pos="1202"/>
              </w:tabs>
              <w:suppressAutoHyphens/>
              <w:autoSpaceDN w:val="0"/>
              <w:jc w:val="right"/>
              <w:outlineLvl w:val="0"/>
              <w:rPr>
                <w:rFonts w:ascii="Arial" w:eastAsia="Times New Roman" w:hAnsi="Arial" w:cs="Arial"/>
                <w:b/>
                <w:bCs/>
                <w:color w:val="000000" w:themeColor="text1"/>
                <w:sz w:val="20"/>
                <w:szCs w:val="20"/>
              </w:rPr>
            </w:pPr>
            <w:r w:rsidRPr="007478FB">
              <w:rPr>
                <w:rFonts w:ascii="Arial" w:hAnsi="Arial" w:cs="Arial"/>
                <w:b/>
                <w:bCs/>
                <w:sz w:val="20"/>
                <w:szCs w:val="20"/>
              </w:rPr>
              <w:t>Banka</w:t>
            </w:r>
          </w:p>
        </w:tc>
      </w:tr>
      <w:tr w:rsidR="00054850" w:rsidRPr="00544134" w14:paraId="32F640DE" w14:textId="77777777" w:rsidTr="007478FB">
        <w:trPr>
          <w:trHeight w:val="300"/>
        </w:trPr>
        <w:tc>
          <w:tcPr>
            <w:tcW w:w="1043" w:type="pct"/>
            <w:vAlign w:val="bottom"/>
          </w:tcPr>
          <w:p w14:paraId="6B834F70" w14:textId="77777777" w:rsidR="00054850" w:rsidRPr="00F43653" w:rsidRDefault="00054850" w:rsidP="00054850">
            <w:pPr>
              <w:tabs>
                <w:tab w:val="left" w:pos="-720"/>
              </w:tabs>
              <w:suppressAutoHyphens/>
              <w:autoSpaceDN w:val="0"/>
              <w:jc w:val="right"/>
              <w:rPr>
                <w:rFonts w:ascii="Arial" w:eastAsia="Times New Roman" w:hAnsi="Arial" w:cs="Arial"/>
                <w:color w:val="000000" w:themeColor="text1"/>
                <w:spacing w:val="-3"/>
                <w:sz w:val="20"/>
                <w:szCs w:val="20"/>
              </w:rPr>
            </w:pPr>
          </w:p>
        </w:tc>
        <w:tc>
          <w:tcPr>
            <w:tcW w:w="990" w:type="pct"/>
            <w:gridSpan w:val="2"/>
            <w:vAlign w:val="bottom"/>
          </w:tcPr>
          <w:p w14:paraId="2D7E672E" w14:textId="067857BB" w:rsidR="00054850" w:rsidRPr="00F43653" w:rsidRDefault="00054850" w:rsidP="007478FB">
            <w:pPr>
              <w:tabs>
                <w:tab w:val="right" w:pos="1202"/>
              </w:tabs>
              <w:suppressAutoHyphens/>
              <w:autoSpaceDN w:val="0"/>
              <w:jc w:val="center"/>
              <w:outlineLvl w:val="0"/>
              <w:rPr>
                <w:rFonts w:ascii="Arial" w:eastAsia="Times New Roman" w:hAnsi="Arial" w:cs="Arial"/>
                <w:b/>
                <w:bCs/>
                <w:color w:val="000000" w:themeColor="text1"/>
                <w:sz w:val="20"/>
                <w:szCs w:val="20"/>
              </w:rPr>
            </w:pPr>
            <w:r w:rsidRPr="007478FB">
              <w:rPr>
                <w:rFonts w:ascii="Arial" w:hAnsi="Arial" w:cs="Arial"/>
                <w:b/>
                <w:bCs/>
                <w:sz w:val="20"/>
                <w:szCs w:val="20"/>
              </w:rPr>
              <w:t>202</w:t>
            </w:r>
            <w:r w:rsidR="00E37D23">
              <w:rPr>
                <w:rFonts w:ascii="Arial" w:hAnsi="Arial" w:cs="Arial"/>
                <w:b/>
                <w:bCs/>
                <w:sz w:val="20"/>
                <w:szCs w:val="20"/>
              </w:rPr>
              <w:t>4</w:t>
            </w:r>
            <w:r w:rsidRPr="007478FB">
              <w:rPr>
                <w:rFonts w:ascii="Arial" w:hAnsi="Arial" w:cs="Arial"/>
                <w:b/>
                <w:bCs/>
                <w:sz w:val="20"/>
                <w:szCs w:val="20"/>
              </w:rPr>
              <w:t>.</w:t>
            </w:r>
          </w:p>
        </w:tc>
        <w:tc>
          <w:tcPr>
            <w:tcW w:w="990" w:type="pct"/>
            <w:gridSpan w:val="2"/>
            <w:vAlign w:val="bottom"/>
          </w:tcPr>
          <w:p w14:paraId="4005D7D7" w14:textId="5AD5A926" w:rsidR="00054850" w:rsidRPr="00F43653" w:rsidRDefault="00054850" w:rsidP="007478FB">
            <w:pPr>
              <w:tabs>
                <w:tab w:val="right" w:pos="1202"/>
              </w:tabs>
              <w:suppressAutoHyphens/>
              <w:autoSpaceDN w:val="0"/>
              <w:jc w:val="center"/>
              <w:outlineLvl w:val="0"/>
              <w:rPr>
                <w:rFonts w:ascii="Arial" w:eastAsia="Times New Roman" w:hAnsi="Arial" w:cs="Arial"/>
                <w:b/>
                <w:bCs/>
                <w:color w:val="000000" w:themeColor="text1"/>
                <w:sz w:val="20"/>
                <w:szCs w:val="20"/>
              </w:rPr>
            </w:pPr>
            <w:r w:rsidRPr="007478FB">
              <w:rPr>
                <w:rFonts w:ascii="Arial" w:hAnsi="Arial" w:cs="Arial"/>
                <w:b/>
                <w:bCs/>
                <w:sz w:val="20"/>
                <w:szCs w:val="20"/>
              </w:rPr>
              <w:t>202</w:t>
            </w:r>
            <w:r w:rsidR="00E37D23">
              <w:rPr>
                <w:rFonts w:ascii="Arial" w:hAnsi="Arial" w:cs="Arial"/>
                <w:b/>
                <w:bCs/>
                <w:sz w:val="20"/>
                <w:szCs w:val="20"/>
              </w:rPr>
              <w:t>3</w:t>
            </w:r>
            <w:r w:rsidRPr="007478FB">
              <w:rPr>
                <w:rFonts w:ascii="Arial" w:hAnsi="Arial" w:cs="Arial"/>
                <w:b/>
                <w:bCs/>
                <w:sz w:val="20"/>
                <w:szCs w:val="20"/>
              </w:rPr>
              <w:t>.</w:t>
            </w:r>
          </w:p>
        </w:tc>
        <w:tc>
          <w:tcPr>
            <w:tcW w:w="990" w:type="pct"/>
            <w:gridSpan w:val="2"/>
            <w:vAlign w:val="bottom"/>
          </w:tcPr>
          <w:p w14:paraId="25A6D146" w14:textId="5C96E73C" w:rsidR="00054850" w:rsidRPr="00F43653" w:rsidRDefault="00054850" w:rsidP="007478FB">
            <w:pPr>
              <w:tabs>
                <w:tab w:val="right" w:pos="1202"/>
              </w:tabs>
              <w:suppressAutoHyphens/>
              <w:autoSpaceDN w:val="0"/>
              <w:jc w:val="center"/>
              <w:outlineLvl w:val="0"/>
              <w:rPr>
                <w:rFonts w:ascii="Arial" w:eastAsia="Times New Roman" w:hAnsi="Arial" w:cs="Arial"/>
                <w:b/>
                <w:bCs/>
                <w:color w:val="000000" w:themeColor="text1"/>
                <w:sz w:val="20"/>
                <w:szCs w:val="20"/>
              </w:rPr>
            </w:pPr>
            <w:r w:rsidRPr="007478FB">
              <w:rPr>
                <w:rFonts w:ascii="Arial" w:hAnsi="Arial" w:cs="Arial"/>
                <w:b/>
                <w:bCs/>
                <w:sz w:val="20"/>
                <w:szCs w:val="20"/>
              </w:rPr>
              <w:t>202</w:t>
            </w:r>
            <w:r w:rsidR="00E37D23">
              <w:rPr>
                <w:rFonts w:ascii="Arial" w:hAnsi="Arial" w:cs="Arial"/>
                <w:b/>
                <w:bCs/>
                <w:sz w:val="20"/>
                <w:szCs w:val="20"/>
              </w:rPr>
              <w:t>4</w:t>
            </w:r>
            <w:r w:rsidRPr="007478FB">
              <w:rPr>
                <w:rFonts w:ascii="Arial" w:hAnsi="Arial" w:cs="Arial"/>
                <w:b/>
                <w:bCs/>
                <w:sz w:val="20"/>
                <w:szCs w:val="20"/>
              </w:rPr>
              <w:t>.</w:t>
            </w:r>
          </w:p>
        </w:tc>
        <w:tc>
          <w:tcPr>
            <w:tcW w:w="987" w:type="pct"/>
            <w:gridSpan w:val="2"/>
            <w:vAlign w:val="bottom"/>
          </w:tcPr>
          <w:p w14:paraId="0CC66AA7" w14:textId="26CAB8F2" w:rsidR="00054850" w:rsidRPr="00F43653" w:rsidRDefault="00054850" w:rsidP="007478FB">
            <w:pPr>
              <w:tabs>
                <w:tab w:val="right" w:pos="1202"/>
              </w:tabs>
              <w:suppressAutoHyphens/>
              <w:autoSpaceDN w:val="0"/>
              <w:jc w:val="center"/>
              <w:outlineLvl w:val="0"/>
              <w:rPr>
                <w:rFonts w:ascii="Arial" w:eastAsia="Times New Roman" w:hAnsi="Arial" w:cs="Arial"/>
                <w:b/>
                <w:bCs/>
                <w:color w:val="000000" w:themeColor="text1"/>
                <w:sz w:val="20"/>
                <w:szCs w:val="20"/>
              </w:rPr>
            </w:pPr>
            <w:r w:rsidRPr="007478FB">
              <w:rPr>
                <w:rFonts w:ascii="Arial" w:hAnsi="Arial" w:cs="Arial"/>
                <w:b/>
                <w:bCs/>
                <w:sz w:val="20"/>
                <w:szCs w:val="20"/>
              </w:rPr>
              <w:t>202</w:t>
            </w:r>
            <w:r w:rsidR="00E37D23">
              <w:rPr>
                <w:rFonts w:ascii="Arial" w:hAnsi="Arial" w:cs="Arial"/>
                <w:b/>
                <w:bCs/>
                <w:sz w:val="20"/>
                <w:szCs w:val="20"/>
              </w:rPr>
              <w:t>3</w:t>
            </w:r>
            <w:r w:rsidRPr="007478FB">
              <w:rPr>
                <w:rFonts w:ascii="Arial" w:hAnsi="Arial" w:cs="Arial"/>
                <w:b/>
                <w:bCs/>
                <w:sz w:val="20"/>
                <w:szCs w:val="20"/>
              </w:rPr>
              <w:t>.</w:t>
            </w:r>
          </w:p>
        </w:tc>
      </w:tr>
      <w:tr w:rsidR="00054850" w:rsidRPr="00544134" w14:paraId="5D1F0D1D" w14:textId="77777777" w:rsidTr="007478FB">
        <w:trPr>
          <w:trHeight w:val="300"/>
        </w:trPr>
        <w:tc>
          <w:tcPr>
            <w:tcW w:w="1043" w:type="pct"/>
            <w:vAlign w:val="bottom"/>
          </w:tcPr>
          <w:p w14:paraId="15526A81" w14:textId="77777777" w:rsidR="00054850" w:rsidRPr="00F43653" w:rsidRDefault="00054850" w:rsidP="00054850">
            <w:pPr>
              <w:tabs>
                <w:tab w:val="left" w:pos="-720"/>
              </w:tabs>
              <w:suppressAutoHyphens/>
              <w:autoSpaceDN w:val="0"/>
              <w:jc w:val="right"/>
              <w:rPr>
                <w:rFonts w:ascii="Arial" w:eastAsia="Times New Roman" w:hAnsi="Arial" w:cs="Arial"/>
                <w:color w:val="000000" w:themeColor="text1"/>
                <w:spacing w:val="-3"/>
                <w:sz w:val="20"/>
                <w:szCs w:val="20"/>
              </w:rPr>
            </w:pPr>
          </w:p>
        </w:tc>
        <w:tc>
          <w:tcPr>
            <w:tcW w:w="495" w:type="pct"/>
            <w:vAlign w:val="bottom"/>
          </w:tcPr>
          <w:p w14:paraId="1E24DEE0" w14:textId="605D5749" w:rsidR="00054850" w:rsidRPr="00F43653" w:rsidRDefault="00054850" w:rsidP="00054850">
            <w:pPr>
              <w:tabs>
                <w:tab w:val="right" w:pos="1202"/>
              </w:tabs>
              <w:suppressAutoHyphens/>
              <w:autoSpaceDN w:val="0"/>
              <w:jc w:val="right"/>
              <w:outlineLvl w:val="0"/>
              <w:rPr>
                <w:rFonts w:ascii="Arial" w:eastAsia="Times New Roman" w:hAnsi="Arial" w:cs="Arial"/>
                <w:b/>
                <w:color w:val="000000" w:themeColor="text1"/>
                <w:sz w:val="20"/>
                <w:szCs w:val="20"/>
              </w:rPr>
            </w:pPr>
            <w:r w:rsidRPr="007478FB">
              <w:rPr>
                <w:rFonts w:ascii="Arial" w:hAnsi="Arial" w:cs="Arial"/>
                <w:b/>
                <w:bCs/>
                <w:sz w:val="20"/>
                <w:szCs w:val="20"/>
              </w:rPr>
              <w:t>Tekuće razdoblje</w:t>
            </w:r>
          </w:p>
        </w:tc>
        <w:tc>
          <w:tcPr>
            <w:tcW w:w="495" w:type="pct"/>
            <w:vAlign w:val="bottom"/>
          </w:tcPr>
          <w:p w14:paraId="0786ECF4" w14:textId="77EA79D0" w:rsidR="00054850" w:rsidRPr="00F43653" w:rsidRDefault="00054850" w:rsidP="00054850">
            <w:pPr>
              <w:tabs>
                <w:tab w:val="right" w:pos="1202"/>
              </w:tabs>
              <w:suppressAutoHyphens/>
              <w:autoSpaceDN w:val="0"/>
              <w:jc w:val="right"/>
              <w:outlineLvl w:val="0"/>
              <w:rPr>
                <w:rFonts w:ascii="Arial" w:eastAsia="Times New Roman" w:hAnsi="Arial" w:cs="Arial"/>
                <w:b/>
                <w:color w:val="000000" w:themeColor="text1"/>
                <w:sz w:val="20"/>
                <w:szCs w:val="20"/>
              </w:rPr>
            </w:pPr>
            <w:r w:rsidRPr="007478FB">
              <w:rPr>
                <w:rFonts w:ascii="Arial" w:hAnsi="Arial" w:cs="Arial"/>
                <w:b/>
                <w:bCs/>
                <w:sz w:val="20"/>
                <w:szCs w:val="20"/>
              </w:rPr>
              <w:t>Kumulativ</w:t>
            </w:r>
          </w:p>
        </w:tc>
        <w:tc>
          <w:tcPr>
            <w:tcW w:w="495" w:type="pct"/>
            <w:vAlign w:val="bottom"/>
          </w:tcPr>
          <w:p w14:paraId="5E3CFB3F" w14:textId="61220536" w:rsidR="00054850" w:rsidRPr="00F43653" w:rsidRDefault="00054850" w:rsidP="00054850">
            <w:pPr>
              <w:tabs>
                <w:tab w:val="right" w:pos="1202"/>
              </w:tabs>
              <w:suppressAutoHyphens/>
              <w:autoSpaceDN w:val="0"/>
              <w:jc w:val="right"/>
              <w:outlineLvl w:val="0"/>
              <w:rPr>
                <w:rFonts w:ascii="Arial" w:eastAsia="Times New Roman" w:hAnsi="Arial" w:cs="Arial"/>
                <w:b/>
                <w:color w:val="000000" w:themeColor="text1"/>
                <w:sz w:val="20"/>
                <w:szCs w:val="20"/>
              </w:rPr>
            </w:pPr>
            <w:r w:rsidRPr="007478FB">
              <w:rPr>
                <w:rFonts w:ascii="Arial" w:hAnsi="Arial" w:cs="Arial"/>
                <w:b/>
                <w:bCs/>
                <w:sz w:val="20"/>
                <w:szCs w:val="20"/>
              </w:rPr>
              <w:t>Tekuće razdoblje</w:t>
            </w:r>
          </w:p>
        </w:tc>
        <w:tc>
          <w:tcPr>
            <w:tcW w:w="495" w:type="pct"/>
            <w:vAlign w:val="bottom"/>
          </w:tcPr>
          <w:p w14:paraId="647F78F9" w14:textId="712ED39D" w:rsidR="00054850" w:rsidRPr="00F43653" w:rsidRDefault="00054850" w:rsidP="00054850">
            <w:pPr>
              <w:tabs>
                <w:tab w:val="right" w:pos="1202"/>
              </w:tabs>
              <w:suppressAutoHyphens/>
              <w:autoSpaceDN w:val="0"/>
              <w:jc w:val="right"/>
              <w:outlineLvl w:val="0"/>
              <w:rPr>
                <w:rFonts w:ascii="Arial" w:eastAsia="Times New Roman" w:hAnsi="Arial" w:cs="Arial"/>
                <w:b/>
                <w:color w:val="000000" w:themeColor="text1"/>
                <w:sz w:val="20"/>
                <w:szCs w:val="20"/>
              </w:rPr>
            </w:pPr>
            <w:r w:rsidRPr="007478FB">
              <w:rPr>
                <w:rFonts w:ascii="Arial" w:hAnsi="Arial" w:cs="Arial"/>
                <w:b/>
                <w:bCs/>
                <w:sz w:val="20"/>
                <w:szCs w:val="20"/>
              </w:rPr>
              <w:t>Kumulativ</w:t>
            </w:r>
          </w:p>
        </w:tc>
        <w:tc>
          <w:tcPr>
            <w:tcW w:w="495" w:type="pct"/>
            <w:vAlign w:val="bottom"/>
          </w:tcPr>
          <w:p w14:paraId="15CCA192" w14:textId="23C0111A" w:rsidR="00054850" w:rsidRPr="00F43653" w:rsidRDefault="00054850" w:rsidP="00054850">
            <w:pPr>
              <w:tabs>
                <w:tab w:val="right" w:pos="1202"/>
              </w:tabs>
              <w:suppressAutoHyphens/>
              <w:autoSpaceDN w:val="0"/>
              <w:jc w:val="right"/>
              <w:outlineLvl w:val="0"/>
              <w:rPr>
                <w:rFonts w:ascii="Arial" w:eastAsia="Times New Roman" w:hAnsi="Arial" w:cs="Arial"/>
                <w:b/>
                <w:color w:val="000000" w:themeColor="text1"/>
                <w:sz w:val="20"/>
                <w:szCs w:val="20"/>
              </w:rPr>
            </w:pPr>
            <w:r w:rsidRPr="007478FB">
              <w:rPr>
                <w:rFonts w:ascii="Arial" w:hAnsi="Arial" w:cs="Arial"/>
                <w:b/>
                <w:bCs/>
                <w:sz w:val="20"/>
                <w:szCs w:val="20"/>
              </w:rPr>
              <w:t>Tekuće razdoblje</w:t>
            </w:r>
          </w:p>
        </w:tc>
        <w:tc>
          <w:tcPr>
            <w:tcW w:w="495" w:type="pct"/>
            <w:vAlign w:val="bottom"/>
          </w:tcPr>
          <w:p w14:paraId="665F152F" w14:textId="1A5CD06A" w:rsidR="00054850" w:rsidRPr="00F43653" w:rsidRDefault="00054850" w:rsidP="00054850">
            <w:pPr>
              <w:tabs>
                <w:tab w:val="right" w:pos="1202"/>
              </w:tabs>
              <w:suppressAutoHyphens/>
              <w:autoSpaceDN w:val="0"/>
              <w:jc w:val="right"/>
              <w:outlineLvl w:val="0"/>
              <w:rPr>
                <w:rFonts w:ascii="Arial" w:eastAsia="Times New Roman" w:hAnsi="Arial" w:cs="Arial"/>
                <w:b/>
                <w:color w:val="000000" w:themeColor="text1"/>
                <w:sz w:val="20"/>
                <w:szCs w:val="20"/>
              </w:rPr>
            </w:pPr>
            <w:r w:rsidRPr="007478FB">
              <w:rPr>
                <w:rFonts w:ascii="Arial" w:hAnsi="Arial" w:cs="Arial"/>
                <w:b/>
                <w:bCs/>
                <w:sz w:val="20"/>
                <w:szCs w:val="20"/>
              </w:rPr>
              <w:t>Kumulativ</w:t>
            </w:r>
          </w:p>
        </w:tc>
        <w:tc>
          <w:tcPr>
            <w:tcW w:w="494" w:type="pct"/>
            <w:vAlign w:val="bottom"/>
          </w:tcPr>
          <w:p w14:paraId="68BCA049" w14:textId="5F338148" w:rsidR="00054850" w:rsidRPr="00F43653" w:rsidRDefault="00054850" w:rsidP="00054850">
            <w:pPr>
              <w:tabs>
                <w:tab w:val="right" w:pos="1202"/>
              </w:tabs>
              <w:suppressAutoHyphens/>
              <w:autoSpaceDN w:val="0"/>
              <w:jc w:val="right"/>
              <w:outlineLvl w:val="0"/>
              <w:rPr>
                <w:rFonts w:ascii="Arial" w:eastAsia="Times New Roman" w:hAnsi="Arial" w:cs="Arial"/>
                <w:b/>
                <w:color w:val="000000" w:themeColor="text1"/>
                <w:sz w:val="20"/>
                <w:szCs w:val="20"/>
              </w:rPr>
            </w:pPr>
            <w:r w:rsidRPr="007478FB">
              <w:rPr>
                <w:rFonts w:ascii="Arial" w:hAnsi="Arial" w:cs="Arial"/>
                <w:b/>
                <w:bCs/>
                <w:sz w:val="20"/>
                <w:szCs w:val="20"/>
              </w:rPr>
              <w:t>Tekuće razdoblje</w:t>
            </w:r>
          </w:p>
        </w:tc>
        <w:tc>
          <w:tcPr>
            <w:tcW w:w="493" w:type="pct"/>
            <w:vAlign w:val="bottom"/>
          </w:tcPr>
          <w:p w14:paraId="275E0629" w14:textId="55F38231" w:rsidR="00054850" w:rsidRPr="00F43653" w:rsidRDefault="00054850" w:rsidP="00054850">
            <w:pPr>
              <w:tabs>
                <w:tab w:val="right" w:pos="1202"/>
              </w:tabs>
              <w:suppressAutoHyphens/>
              <w:autoSpaceDN w:val="0"/>
              <w:jc w:val="right"/>
              <w:outlineLvl w:val="0"/>
              <w:rPr>
                <w:rFonts w:ascii="Arial" w:eastAsia="Times New Roman" w:hAnsi="Arial" w:cs="Arial"/>
                <w:b/>
                <w:color w:val="000000" w:themeColor="text1"/>
                <w:sz w:val="20"/>
                <w:szCs w:val="20"/>
              </w:rPr>
            </w:pPr>
            <w:r w:rsidRPr="007478FB">
              <w:rPr>
                <w:rFonts w:ascii="Arial" w:hAnsi="Arial" w:cs="Arial"/>
                <w:b/>
                <w:bCs/>
                <w:sz w:val="20"/>
                <w:szCs w:val="20"/>
              </w:rPr>
              <w:t>Kumulativ</w:t>
            </w:r>
          </w:p>
        </w:tc>
      </w:tr>
      <w:tr w:rsidR="002F4581" w:rsidRPr="00544134" w14:paraId="1D37CC56" w14:textId="77777777" w:rsidTr="007478FB">
        <w:trPr>
          <w:trHeight w:val="300"/>
        </w:trPr>
        <w:tc>
          <w:tcPr>
            <w:tcW w:w="1043" w:type="pct"/>
            <w:vAlign w:val="bottom"/>
          </w:tcPr>
          <w:p w14:paraId="1ECE2681" w14:textId="77777777" w:rsidR="002F4581" w:rsidRPr="00F43653" w:rsidRDefault="002F4581" w:rsidP="002F4581">
            <w:pPr>
              <w:tabs>
                <w:tab w:val="left" w:pos="-720"/>
              </w:tabs>
              <w:suppressAutoHyphens/>
              <w:autoSpaceDN w:val="0"/>
              <w:jc w:val="right"/>
              <w:rPr>
                <w:rFonts w:ascii="Arial" w:eastAsia="Times New Roman" w:hAnsi="Arial" w:cs="Arial"/>
                <w:color w:val="000000" w:themeColor="text1"/>
                <w:spacing w:val="-3"/>
                <w:sz w:val="20"/>
                <w:szCs w:val="20"/>
              </w:rPr>
            </w:pPr>
          </w:p>
        </w:tc>
        <w:tc>
          <w:tcPr>
            <w:tcW w:w="495" w:type="pct"/>
            <w:vAlign w:val="bottom"/>
          </w:tcPr>
          <w:p w14:paraId="7FCF4F01" w14:textId="78A1BD90" w:rsidR="002F4581" w:rsidRPr="002F4581" w:rsidRDefault="002F4581" w:rsidP="002F4581">
            <w:pPr>
              <w:tabs>
                <w:tab w:val="right" w:pos="1202"/>
              </w:tabs>
              <w:suppressAutoHyphens/>
              <w:autoSpaceDN w:val="0"/>
              <w:jc w:val="right"/>
              <w:outlineLvl w:val="0"/>
              <w:rPr>
                <w:rFonts w:ascii="Arial" w:eastAsia="Times New Roman" w:hAnsi="Arial" w:cs="Arial"/>
                <w:b/>
                <w:color w:val="000000" w:themeColor="text1"/>
                <w:sz w:val="20"/>
                <w:szCs w:val="20"/>
              </w:rPr>
            </w:pPr>
            <w:r w:rsidRPr="002F4581">
              <w:rPr>
                <w:rFonts w:ascii="Arial" w:hAnsi="Arial" w:cs="Arial"/>
                <w:b/>
                <w:bCs/>
                <w:sz w:val="20"/>
                <w:szCs w:val="20"/>
              </w:rPr>
              <w:t>1.7. - 30.9.</w:t>
            </w:r>
          </w:p>
        </w:tc>
        <w:tc>
          <w:tcPr>
            <w:tcW w:w="495" w:type="pct"/>
            <w:vAlign w:val="bottom"/>
          </w:tcPr>
          <w:p w14:paraId="4F16CA34" w14:textId="3A2C0E57" w:rsidR="002F4581" w:rsidRPr="002F4581" w:rsidRDefault="002F4581" w:rsidP="002F4581">
            <w:pPr>
              <w:tabs>
                <w:tab w:val="right" w:pos="1202"/>
              </w:tabs>
              <w:suppressAutoHyphens/>
              <w:autoSpaceDN w:val="0"/>
              <w:jc w:val="right"/>
              <w:outlineLvl w:val="0"/>
              <w:rPr>
                <w:rFonts w:ascii="Arial" w:eastAsia="Times New Roman" w:hAnsi="Arial" w:cs="Arial"/>
                <w:b/>
                <w:color w:val="000000" w:themeColor="text1"/>
                <w:sz w:val="20"/>
                <w:szCs w:val="20"/>
              </w:rPr>
            </w:pPr>
            <w:r w:rsidRPr="002F4581">
              <w:rPr>
                <w:rFonts w:ascii="Arial" w:hAnsi="Arial" w:cs="Arial"/>
                <w:b/>
                <w:bCs/>
                <w:sz w:val="20"/>
                <w:szCs w:val="20"/>
              </w:rPr>
              <w:t>1.1. - 30.9.</w:t>
            </w:r>
          </w:p>
        </w:tc>
        <w:tc>
          <w:tcPr>
            <w:tcW w:w="495" w:type="pct"/>
            <w:vAlign w:val="bottom"/>
          </w:tcPr>
          <w:p w14:paraId="38581C03" w14:textId="6F38A6B0" w:rsidR="002F4581" w:rsidRPr="002F4581" w:rsidRDefault="002F4581" w:rsidP="002F4581">
            <w:pPr>
              <w:tabs>
                <w:tab w:val="right" w:pos="1202"/>
              </w:tabs>
              <w:suppressAutoHyphens/>
              <w:autoSpaceDN w:val="0"/>
              <w:jc w:val="right"/>
              <w:outlineLvl w:val="0"/>
              <w:rPr>
                <w:rFonts w:ascii="Arial" w:eastAsia="Times New Roman" w:hAnsi="Arial" w:cs="Arial"/>
                <w:b/>
                <w:color w:val="000000" w:themeColor="text1"/>
                <w:sz w:val="20"/>
                <w:szCs w:val="20"/>
              </w:rPr>
            </w:pPr>
            <w:r w:rsidRPr="002F4581">
              <w:rPr>
                <w:rFonts w:ascii="Arial" w:hAnsi="Arial" w:cs="Arial"/>
                <w:b/>
                <w:bCs/>
                <w:sz w:val="20"/>
                <w:szCs w:val="20"/>
              </w:rPr>
              <w:t>1.7. - 30.9.</w:t>
            </w:r>
          </w:p>
        </w:tc>
        <w:tc>
          <w:tcPr>
            <w:tcW w:w="495" w:type="pct"/>
            <w:vAlign w:val="bottom"/>
          </w:tcPr>
          <w:p w14:paraId="273760E1" w14:textId="4F7D7A46" w:rsidR="002F4581" w:rsidRPr="002F4581" w:rsidRDefault="002F4581" w:rsidP="002F4581">
            <w:pPr>
              <w:tabs>
                <w:tab w:val="right" w:pos="1202"/>
              </w:tabs>
              <w:suppressAutoHyphens/>
              <w:autoSpaceDN w:val="0"/>
              <w:jc w:val="right"/>
              <w:outlineLvl w:val="0"/>
              <w:rPr>
                <w:rFonts w:ascii="Arial" w:eastAsia="Times New Roman" w:hAnsi="Arial" w:cs="Arial"/>
                <w:b/>
                <w:color w:val="000000" w:themeColor="text1"/>
                <w:sz w:val="20"/>
                <w:szCs w:val="20"/>
              </w:rPr>
            </w:pPr>
            <w:r w:rsidRPr="002F4581">
              <w:rPr>
                <w:rFonts w:ascii="Arial" w:hAnsi="Arial" w:cs="Arial"/>
                <w:b/>
                <w:bCs/>
                <w:sz w:val="20"/>
                <w:szCs w:val="20"/>
              </w:rPr>
              <w:t>1.1. - 30.9.</w:t>
            </w:r>
          </w:p>
        </w:tc>
        <w:tc>
          <w:tcPr>
            <w:tcW w:w="495" w:type="pct"/>
            <w:vAlign w:val="bottom"/>
          </w:tcPr>
          <w:p w14:paraId="65A7F5BB" w14:textId="7E0C76F9" w:rsidR="002F4581" w:rsidRPr="002F4581" w:rsidRDefault="002F4581" w:rsidP="002F4581">
            <w:pPr>
              <w:tabs>
                <w:tab w:val="right" w:pos="1202"/>
              </w:tabs>
              <w:suppressAutoHyphens/>
              <w:autoSpaceDN w:val="0"/>
              <w:jc w:val="right"/>
              <w:outlineLvl w:val="0"/>
              <w:rPr>
                <w:rFonts w:ascii="Arial" w:eastAsia="Times New Roman" w:hAnsi="Arial" w:cs="Arial"/>
                <w:b/>
                <w:color w:val="000000" w:themeColor="text1"/>
                <w:sz w:val="20"/>
                <w:szCs w:val="20"/>
              </w:rPr>
            </w:pPr>
            <w:r w:rsidRPr="002F4581">
              <w:rPr>
                <w:rFonts w:ascii="Arial" w:hAnsi="Arial" w:cs="Arial"/>
                <w:b/>
                <w:bCs/>
                <w:sz w:val="20"/>
                <w:szCs w:val="20"/>
              </w:rPr>
              <w:t>1.7. - 30.9.</w:t>
            </w:r>
          </w:p>
        </w:tc>
        <w:tc>
          <w:tcPr>
            <w:tcW w:w="495" w:type="pct"/>
            <w:vAlign w:val="bottom"/>
          </w:tcPr>
          <w:p w14:paraId="778B0316" w14:textId="29AC95B6" w:rsidR="002F4581" w:rsidRPr="002F4581" w:rsidRDefault="002F4581" w:rsidP="002F4581">
            <w:pPr>
              <w:tabs>
                <w:tab w:val="right" w:pos="1202"/>
              </w:tabs>
              <w:suppressAutoHyphens/>
              <w:autoSpaceDN w:val="0"/>
              <w:jc w:val="right"/>
              <w:outlineLvl w:val="0"/>
              <w:rPr>
                <w:rFonts w:ascii="Arial" w:eastAsia="Times New Roman" w:hAnsi="Arial" w:cs="Arial"/>
                <w:b/>
                <w:color w:val="000000" w:themeColor="text1"/>
                <w:sz w:val="20"/>
                <w:szCs w:val="20"/>
              </w:rPr>
            </w:pPr>
            <w:r w:rsidRPr="002F4581">
              <w:rPr>
                <w:rFonts w:ascii="Arial" w:hAnsi="Arial" w:cs="Arial"/>
                <w:b/>
                <w:bCs/>
                <w:sz w:val="20"/>
                <w:szCs w:val="20"/>
              </w:rPr>
              <w:t>1.1. - 30.9.</w:t>
            </w:r>
          </w:p>
        </w:tc>
        <w:tc>
          <w:tcPr>
            <w:tcW w:w="494" w:type="pct"/>
            <w:vAlign w:val="bottom"/>
          </w:tcPr>
          <w:p w14:paraId="2B02625F" w14:textId="38E9BF4F" w:rsidR="002F4581" w:rsidRPr="002F4581" w:rsidRDefault="002F4581" w:rsidP="002F4581">
            <w:pPr>
              <w:tabs>
                <w:tab w:val="right" w:pos="1202"/>
              </w:tabs>
              <w:suppressAutoHyphens/>
              <w:autoSpaceDN w:val="0"/>
              <w:jc w:val="right"/>
              <w:outlineLvl w:val="0"/>
              <w:rPr>
                <w:rFonts w:ascii="Arial" w:eastAsia="Times New Roman" w:hAnsi="Arial" w:cs="Arial"/>
                <w:b/>
                <w:color w:val="000000" w:themeColor="text1"/>
                <w:sz w:val="20"/>
                <w:szCs w:val="20"/>
              </w:rPr>
            </w:pPr>
            <w:r w:rsidRPr="002F4581">
              <w:rPr>
                <w:rFonts w:ascii="Arial" w:hAnsi="Arial" w:cs="Arial"/>
                <w:b/>
                <w:bCs/>
                <w:sz w:val="20"/>
                <w:szCs w:val="20"/>
              </w:rPr>
              <w:t>1.7. - 30.9.</w:t>
            </w:r>
          </w:p>
        </w:tc>
        <w:tc>
          <w:tcPr>
            <w:tcW w:w="493" w:type="pct"/>
            <w:vAlign w:val="bottom"/>
          </w:tcPr>
          <w:p w14:paraId="1584A843" w14:textId="5E8A14E6" w:rsidR="002F4581" w:rsidRPr="002F4581" w:rsidRDefault="002F4581" w:rsidP="002F4581">
            <w:pPr>
              <w:tabs>
                <w:tab w:val="right" w:pos="1202"/>
              </w:tabs>
              <w:suppressAutoHyphens/>
              <w:autoSpaceDN w:val="0"/>
              <w:jc w:val="right"/>
              <w:outlineLvl w:val="0"/>
              <w:rPr>
                <w:rFonts w:ascii="Arial" w:eastAsia="Times New Roman" w:hAnsi="Arial" w:cs="Arial"/>
                <w:b/>
                <w:color w:val="000000" w:themeColor="text1"/>
                <w:sz w:val="20"/>
                <w:szCs w:val="20"/>
              </w:rPr>
            </w:pPr>
            <w:r w:rsidRPr="002F4581">
              <w:rPr>
                <w:rFonts w:ascii="Arial" w:hAnsi="Arial" w:cs="Arial"/>
                <w:b/>
                <w:bCs/>
                <w:sz w:val="20"/>
                <w:szCs w:val="20"/>
              </w:rPr>
              <w:t>1.1. - 30.9.</w:t>
            </w:r>
          </w:p>
        </w:tc>
      </w:tr>
      <w:tr w:rsidR="00054850" w:rsidRPr="00544134" w14:paraId="1BDB6540" w14:textId="77777777" w:rsidTr="007478FB">
        <w:tblPrEx>
          <w:tblCellMar>
            <w:left w:w="108" w:type="dxa"/>
            <w:right w:w="108" w:type="dxa"/>
          </w:tblCellMar>
        </w:tblPrEx>
        <w:trPr>
          <w:trHeight w:val="187"/>
        </w:trPr>
        <w:tc>
          <w:tcPr>
            <w:tcW w:w="1043" w:type="pct"/>
            <w:vAlign w:val="bottom"/>
          </w:tcPr>
          <w:p w14:paraId="00A6C95A" w14:textId="77777777" w:rsidR="00054850" w:rsidRPr="00F43653" w:rsidRDefault="00054850" w:rsidP="00054850">
            <w:pPr>
              <w:tabs>
                <w:tab w:val="left" w:pos="-720"/>
              </w:tabs>
              <w:suppressAutoHyphens/>
              <w:autoSpaceDN w:val="0"/>
              <w:ind w:right="4144"/>
              <w:jc w:val="right"/>
              <w:rPr>
                <w:rFonts w:ascii="Arial" w:eastAsia="Times New Roman" w:hAnsi="Arial" w:cs="Arial"/>
                <w:color w:val="000000" w:themeColor="text1"/>
                <w:sz w:val="20"/>
                <w:szCs w:val="20"/>
              </w:rPr>
            </w:pPr>
          </w:p>
        </w:tc>
        <w:tc>
          <w:tcPr>
            <w:tcW w:w="495" w:type="pct"/>
            <w:vAlign w:val="bottom"/>
          </w:tcPr>
          <w:p w14:paraId="2DF16ED7" w14:textId="590ACDBA" w:rsidR="00054850" w:rsidRPr="00F43653" w:rsidRDefault="00054850" w:rsidP="00054850">
            <w:pPr>
              <w:tabs>
                <w:tab w:val="right" w:pos="1202"/>
              </w:tabs>
              <w:suppressAutoHyphens/>
              <w:autoSpaceDN w:val="0"/>
              <w:jc w:val="right"/>
              <w:outlineLvl w:val="0"/>
              <w:rPr>
                <w:rFonts w:ascii="Arial" w:eastAsia="Times New Roman" w:hAnsi="Arial" w:cs="Arial"/>
                <w:b/>
                <w:color w:val="000000" w:themeColor="text1"/>
                <w:sz w:val="20"/>
                <w:szCs w:val="20"/>
              </w:rPr>
            </w:pPr>
            <w:r w:rsidRPr="00F43653">
              <w:rPr>
                <w:rFonts w:ascii="Arial" w:eastAsia="Times New Roman" w:hAnsi="Arial" w:cs="Arial"/>
                <w:b/>
                <w:color w:val="000000" w:themeColor="text1"/>
                <w:sz w:val="20"/>
                <w:szCs w:val="20"/>
              </w:rPr>
              <w:t>000 eura</w:t>
            </w:r>
          </w:p>
        </w:tc>
        <w:tc>
          <w:tcPr>
            <w:tcW w:w="495" w:type="pct"/>
            <w:vAlign w:val="bottom"/>
          </w:tcPr>
          <w:p w14:paraId="2235F72A" w14:textId="0E833F86" w:rsidR="00054850" w:rsidRPr="00F43653" w:rsidRDefault="00054850" w:rsidP="00054850">
            <w:pPr>
              <w:tabs>
                <w:tab w:val="right" w:pos="1202"/>
              </w:tabs>
              <w:suppressAutoHyphens/>
              <w:autoSpaceDN w:val="0"/>
              <w:jc w:val="right"/>
              <w:outlineLvl w:val="0"/>
              <w:rPr>
                <w:rFonts w:ascii="Arial" w:eastAsia="Times New Roman" w:hAnsi="Arial" w:cs="Arial"/>
                <w:b/>
                <w:color w:val="000000" w:themeColor="text1"/>
                <w:sz w:val="20"/>
                <w:szCs w:val="20"/>
              </w:rPr>
            </w:pPr>
            <w:r w:rsidRPr="00F43653">
              <w:rPr>
                <w:rFonts w:ascii="Arial" w:eastAsia="Times New Roman" w:hAnsi="Arial" w:cs="Arial"/>
                <w:b/>
                <w:color w:val="000000" w:themeColor="text1"/>
                <w:sz w:val="20"/>
                <w:szCs w:val="20"/>
              </w:rPr>
              <w:t>000 eura</w:t>
            </w:r>
          </w:p>
        </w:tc>
        <w:tc>
          <w:tcPr>
            <w:tcW w:w="495" w:type="pct"/>
            <w:vAlign w:val="bottom"/>
          </w:tcPr>
          <w:p w14:paraId="0B57BD8F" w14:textId="5C28C12F" w:rsidR="00054850" w:rsidRPr="00F43653" w:rsidRDefault="00054850" w:rsidP="00054850">
            <w:pPr>
              <w:tabs>
                <w:tab w:val="right" w:pos="1202"/>
              </w:tabs>
              <w:suppressAutoHyphens/>
              <w:autoSpaceDN w:val="0"/>
              <w:jc w:val="right"/>
              <w:outlineLvl w:val="0"/>
              <w:rPr>
                <w:rFonts w:ascii="Arial" w:eastAsia="Times New Roman" w:hAnsi="Arial" w:cs="Arial"/>
                <w:b/>
                <w:color w:val="000000" w:themeColor="text1"/>
                <w:sz w:val="20"/>
                <w:szCs w:val="20"/>
              </w:rPr>
            </w:pPr>
            <w:r w:rsidRPr="00F43653">
              <w:rPr>
                <w:rFonts w:ascii="Arial" w:eastAsia="Times New Roman" w:hAnsi="Arial" w:cs="Arial"/>
                <w:b/>
                <w:color w:val="000000" w:themeColor="text1"/>
                <w:sz w:val="20"/>
                <w:szCs w:val="20"/>
              </w:rPr>
              <w:t>000 eura</w:t>
            </w:r>
          </w:p>
        </w:tc>
        <w:tc>
          <w:tcPr>
            <w:tcW w:w="495" w:type="pct"/>
            <w:vAlign w:val="bottom"/>
          </w:tcPr>
          <w:p w14:paraId="400FCC60" w14:textId="2288092F" w:rsidR="00054850" w:rsidRPr="00F43653" w:rsidRDefault="00054850" w:rsidP="00054850">
            <w:pPr>
              <w:tabs>
                <w:tab w:val="right" w:pos="1202"/>
              </w:tabs>
              <w:suppressAutoHyphens/>
              <w:autoSpaceDN w:val="0"/>
              <w:jc w:val="right"/>
              <w:outlineLvl w:val="0"/>
              <w:rPr>
                <w:rFonts w:ascii="Arial" w:eastAsia="Times New Roman" w:hAnsi="Arial" w:cs="Arial"/>
                <w:b/>
                <w:color w:val="000000" w:themeColor="text1"/>
                <w:sz w:val="20"/>
                <w:szCs w:val="20"/>
              </w:rPr>
            </w:pPr>
            <w:r w:rsidRPr="00F43653">
              <w:rPr>
                <w:rFonts w:ascii="Arial" w:eastAsia="Times New Roman" w:hAnsi="Arial" w:cs="Arial"/>
                <w:b/>
                <w:color w:val="000000" w:themeColor="text1"/>
                <w:sz w:val="20"/>
                <w:szCs w:val="20"/>
              </w:rPr>
              <w:t>000 eura</w:t>
            </w:r>
          </w:p>
        </w:tc>
        <w:tc>
          <w:tcPr>
            <w:tcW w:w="495" w:type="pct"/>
            <w:vAlign w:val="bottom"/>
          </w:tcPr>
          <w:p w14:paraId="19872776" w14:textId="128C5DA6" w:rsidR="00054850" w:rsidRPr="00F43653" w:rsidRDefault="00054850" w:rsidP="00054850">
            <w:pPr>
              <w:tabs>
                <w:tab w:val="right" w:pos="1202"/>
              </w:tabs>
              <w:suppressAutoHyphens/>
              <w:autoSpaceDN w:val="0"/>
              <w:jc w:val="right"/>
              <w:outlineLvl w:val="0"/>
              <w:rPr>
                <w:rFonts w:ascii="Arial" w:eastAsia="Times New Roman" w:hAnsi="Arial" w:cs="Arial"/>
                <w:b/>
                <w:color w:val="000000" w:themeColor="text1"/>
                <w:sz w:val="20"/>
                <w:szCs w:val="20"/>
              </w:rPr>
            </w:pPr>
            <w:r w:rsidRPr="00F43653">
              <w:rPr>
                <w:rFonts w:ascii="Arial" w:eastAsia="Times New Roman" w:hAnsi="Arial" w:cs="Arial"/>
                <w:b/>
                <w:color w:val="000000" w:themeColor="text1"/>
                <w:sz w:val="20"/>
                <w:szCs w:val="20"/>
              </w:rPr>
              <w:t>000 eura</w:t>
            </w:r>
          </w:p>
        </w:tc>
        <w:tc>
          <w:tcPr>
            <w:tcW w:w="495" w:type="pct"/>
            <w:vAlign w:val="bottom"/>
          </w:tcPr>
          <w:p w14:paraId="7101A252" w14:textId="504FA2EF" w:rsidR="00054850" w:rsidRPr="00F43653" w:rsidRDefault="00054850" w:rsidP="00054850">
            <w:pPr>
              <w:tabs>
                <w:tab w:val="right" w:pos="1202"/>
              </w:tabs>
              <w:suppressAutoHyphens/>
              <w:autoSpaceDN w:val="0"/>
              <w:jc w:val="right"/>
              <w:outlineLvl w:val="0"/>
              <w:rPr>
                <w:rFonts w:ascii="Arial" w:eastAsia="Times New Roman" w:hAnsi="Arial" w:cs="Arial"/>
                <w:b/>
                <w:color w:val="000000" w:themeColor="text1"/>
                <w:sz w:val="20"/>
                <w:szCs w:val="20"/>
              </w:rPr>
            </w:pPr>
            <w:r w:rsidRPr="00F43653">
              <w:rPr>
                <w:rFonts w:ascii="Arial" w:eastAsia="Times New Roman" w:hAnsi="Arial" w:cs="Arial"/>
                <w:b/>
                <w:color w:val="000000" w:themeColor="text1"/>
                <w:sz w:val="20"/>
                <w:szCs w:val="20"/>
              </w:rPr>
              <w:t>000 eura</w:t>
            </w:r>
          </w:p>
        </w:tc>
        <w:tc>
          <w:tcPr>
            <w:tcW w:w="494" w:type="pct"/>
            <w:vAlign w:val="bottom"/>
          </w:tcPr>
          <w:p w14:paraId="66BD21EE" w14:textId="6F271D49" w:rsidR="00054850" w:rsidRPr="00F43653" w:rsidRDefault="00054850" w:rsidP="00054850">
            <w:pPr>
              <w:tabs>
                <w:tab w:val="right" w:pos="1202"/>
              </w:tabs>
              <w:suppressAutoHyphens/>
              <w:autoSpaceDN w:val="0"/>
              <w:jc w:val="right"/>
              <w:outlineLvl w:val="0"/>
              <w:rPr>
                <w:rFonts w:ascii="Arial" w:eastAsia="Times New Roman" w:hAnsi="Arial" w:cs="Arial"/>
                <w:b/>
                <w:color w:val="000000" w:themeColor="text1"/>
                <w:sz w:val="20"/>
                <w:szCs w:val="20"/>
              </w:rPr>
            </w:pPr>
            <w:r w:rsidRPr="00F43653">
              <w:rPr>
                <w:rFonts w:ascii="Arial" w:eastAsia="Times New Roman" w:hAnsi="Arial" w:cs="Arial"/>
                <w:b/>
                <w:color w:val="000000" w:themeColor="text1"/>
                <w:sz w:val="20"/>
                <w:szCs w:val="20"/>
              </w:rPr>
              <w:t>000 eura</w:t>
            </w:r>
          </w:p>
        </w:tc>
        <w:tc>
          <w:tcPr>
            <w:tcW w:w="493" w:type="pct"/>
            <w:vAlign w:val="bottom"/>
          </w:tcPr>
          <w:p w14:paraId="00CB8C8B" w14:textId="47775887" w:rsidR="00054850" w:rsidRPr="00F43653" w:rsidRDefault="00054850" w:rsidP="00054850">
            <w:pPr>
              <w:tabs>
                <w:tab w:val="right" w:pos="1202"/>
              </w:tabs>
              <w:suppressAutoHyphens/>
              <w:autoSpaceDN w:val="0"/>
              <w:jc w:val="right"/>
              <w:outlineLvl w:val="0"/>
              <w:rPr>
                <w:rFonts w:ascii="Arial" w:eastAsia="Times New Roman" w:hAnsi="Arial" w:cs="Arial"/>
                <w:b/>
                <w:color w:val="000000" w:themeColor="text1"/>
                <w:sz w:val="20"/>
                <w:szCs w:val="20"/>
              </w:rPr>
            </w:pPr>
            <w:r w:rsidRPr="00F43653">
              <w:rPr>
                <w:rFonts w:ascii="Arial" w:eastAsia="Times New Roman" w:hAnsi="Arial" w:cs="Arial"/>
                <w:b/>
                <w:color w:val="000000" w:themeColor="text1"/>
                <w:sz w:val="20"/>
                <w:szCs w:val="20"/>
              </w:rPr>
              <w:t>000 eura</w:t>
            </w:r>
          </w:p>
        </w:tc>
      </w:tr>
      <w:tr w:rsidR="00054850" w:rsidRPr="00544134" w14:paraId="6602D93A" w14:textId="77777777" w:rsidTr="007478FB">
        <w:tblPrEx>
          <w:tblCellMar>
            <w:left w:w="108" w:type="dxa"/>
            <w:right w:w="108" w:type="dxa"/>
          </w:tblCellMar>
        </w:tblPrEx>
        <w:tc>
          <w:tcPr>
            <w:tcW w:w="1043" w:type="pct"/>
            <w:vAlign w:val="bottom"/>
          </w:tcPr>
          <w:p w14:paraId="4AC7F6EE" w14:textId="77777777" w:rsidR="00054850" w:rsidRPr="00F43653" w:rsidRDefault="00054850" w:rsidP="00054850">
            <w:pPr>
              <w:tabs>
                <w:tab w:val="left" w:pos="-720"/>
              </w:tabs>
              <w:suppressAutoHyphens/>
              <w:autoSpaceDN w:val="0"/>
              <w:rPr>
                <w:rFonts w:ascii="Arial" w:eastAsia="Times New Roman" w:hAnsi="Arial" w:cs="Arial"/>
                <w:color w:val="000000" w:themeColor="text1"/>
                <w:spacing w:val="-3"/>
                <w:sz w:val="20"/>
                <w:szCs w:val="20"/>
              </w:rPr>
            </w:pPr>
          </w:p>
        </w:tc>
        <w:tc>
          <w:tcPr>
            <w:tcW w:w="495" w:type="pct"/>
            <w:vAlign w:val="bottom"/>
          </w:tcPr>
          <w:p w14:paraId="2626B69D" w14:textId="77777777" w:rsidR="00054850" w:rsidRPr="00F43653" w:rsidRDefault="00054850" w:rsidP="00054850">
            <w:pPr>
              <w:tabs>
                <w:tab w:val="left" w:pos="-720"/>
              </w:tabs>
              <w:suppressAutoHyphens/>
              <w:autoSpaceDN w:val="0"/>
              <w:jc w:val="right"/>
              <w:rPr>
                <w:rFonts w:ascii="Arial" w:eastAsia="Times New Roman" w:hAnsi="Arial" w:cs="Arial"/>
                <w:b/>
                <w:color w:val="000000" w:themeColor="text1"/>
                <w:spacing w:val="-3"/>
                <w:sz w:val="20"/>
                <w:szCs w:val="20"/>
              </w:rPr>
            </w:pPr>
          </w:p>
        </w:tc>
        <w:tc>
          <w:tcPr>
            <w:tcW w:w="495" w:type="pct"/>
            <w:vAlign w:val="bottom"/>
          </w:tcPr>
          <w:p w14:paraId="36387D00" w14:textId="77777777" w:rsidR="00054850" w:rsidRPr="00F43653" w:rsidRDefault="00054850" w:rsidP="00054850">
            <w:pPr>
              <w:tabs>
                <w:tab w:val="left" w:pos="-720"/>
              </w:tabs>
              <w:suppressAutoHyphens/>
              <w:autoSpaceDN w:val="0"/>
              <w:jc w:val="right"/>
              <w:rPr>
                <w:rFonts w:ascii="Arial" w:eastAsia="Times New Roman" w:hAnsi="Arial" w:cs="Arial"/>
                <w:b/>
                <w:color w:val="000000" w:themeColor="text1"/>
                <w:spacing w:val="-3"/>
                <w:sz w:val="20"/>
                <w:szCs w:val="20"/>
              </w:rPr>
            </w:pPr>
          </w:p>
        </w:tc>
        <w:tc>
          <w:tcPr>
            <w:tcW w:w="495" w:type="pct"/>
            <w:vAlign w:val="bottom"/>
          </w:tcPr>
          <w:p w14:paraId="30204C48" w14:textId="77777777" w:rsidR="00054850" w:rsidRPr="00F43653" w:rsidRDefault="00054850" w:rsidP="00054850">
            <w:pPr>
              <w:tabs>
                <w:tab w:val="left" w:pos="-720"/>
              </w:tabs>
              <w:suppressAutoHyphens/>
              <w:autoSpaceDN w:val="0"/>
              <w:jc w:val="right"/>
              <w:rPr>
                <w:rFonts w:ascii="Arial" w:eastAsia="Times New Roman" w:hAnsi="Arial" w:cs="Arial"/>
                <w:b/>
                <w:color w:val="000000" w:themeColor="text1"/>
                <w:spacing w:val="-3"/>
                <w:sz w:val="20"/>
                <w:szCs w:val="20"/>
              </w:rPr>
            </w:pPr>
          </w:p>
        </w:tc>
        <w:tc>
          <w:tcPr>
            <w:tcW w:w="495" w:type="pct"/>
            <w:vAlign w:val="bottom"/>
          </w:tcPr>
          <w:p w14:paraId="621B337B" w14:textId="77777777" w:rsidR="00054850" w:rsidRPr="00F43653" w:rsidRDefault="00054850" w:rsidP="00054850">
            <w:pPr>
              <w:tabs>
                <w:tab w:val="left" w:pos="-720"/>
              </w:tabs>
              <w:suppressAutoHyphens/>
              <w:autoSpaceDN w:val="0"/>
              <w:jc w:val="right"/>
              <w:rPr>
                <w:rFonts w:ascii="Arial" w:eastAsia="Times New Roman" w:hAnsi="Arial" w:cs="Arial"/>
                <w:b/>
                <w:color w:val="000000" w:themeColor="text1"/>
                <w:spacing w:val="-3"/>
                <w:sz w:val="20"/>
                <w:szCs w:val="20"/>
              </w:rPr>
            </w:pPr>
          </w:p>
        </w:tc>
        <w:tc>
          <w:tcPr>
            <w:tcW w:w="495" w:type="pct"/>
            <w:vAlign w:val="bottom"/>
          </w:tcPr>
          <w:p w14:paraId="7458F405" w14:textId="392045E8" w:rsidR="00054850" w:rsidRPr="00F43653" w:rsidRDefault="00054850" w:rsidP="00054850">
            <w:pPr>
              <w:tabs>
                <w:tab w:val="left" w:pos="-720"/>
              </w:tabs>
              <w:suppressAutoHyphens/>
              <w:autoSpaceDN w:val="0"/>
              <w:jc w:val="right"/>
              <w:rPr>
                <w:rFonts w:ascii="Arial" w:eastAsia="Times New Roman" w:hAnsi="Arial" w:cs="Arial"/>
                <w:b/>
                <w:color w:val="000000" w:themeColor="text1"/>
                <w:spacing w:val="-3"/>
                <w:sz w:val="20"/>
                <w:szCs w:val="20"/>
              </w:rPr>
            </w:pPr>
          </w:p>
        </w:tc>
        <w:tc>
          <w:tcPr>
            <w:tcW w:w="495" w:type="pct"/>
            <w:vAlign w:val="bottom"/>
          </w:tcPr>
          <w:p w14:paraId="13964706" w14:textId="77777777" w:rsidR="00054850" w:rsidRPr="00F43653" w:rsidRDefault="00054850" w:rsidP="00054850">
            <w:pPr>
              <w:tabs>
                <w:tab w:val="left" w:pos="-720"/>
              </w:tabs>
              <w:suppressAutoHyphens/>
              <w:autoSpaceDN w:val="0"/>
              <w:jc w:val="right"/>
              <w:rPr>
                <w:rFonts w:ascii="Arial" w:eastAsia="Times New Roman" w:hAnsi="Arial" w:cs="Arial"/>
                <w:b/>
                <w:color w:val="000000" w:themeColor="text1"/>
                <w:spacing w:val="-3"/>
                <w:sz w:val="20"/>
                <w:szCs w:val="20"/>
              </w:rPr>
            </w:pPr>
          </w:p>
        </w:tc>
        <w:tc>
          <w:tcPr>
            <w:tcW w:w="494" w:type="pct"/>
            <w:vAlign w:val="bottom"/>
          </w:tcPr>
          <w:p w14:paraId="072F778B" w14:textId="77777777" w:rsidR="00054850" w:rsidRPr="00F43653" w:rsidRDefault="00054850" w:rsidP="00054850">
            <w:pPr>
              <w:tabs>
                <w:tab w:val="left" w:pos="-720"/>
              </w:tabs>
              <w:suppressAutoHyphens/>
              <w:autoSpaceDN w:val="0"/>
              <w:jc w:val="right"/>
              <w:rPr>
                <w:rFonts w:ascii="Arial" w:eastAsia="Times New Roman" w:hAnsi="Arial" w:cs="Arial"/>
                <w:b/>
                <w:color w:val="000000" w:themeColor="text1"/>
                <w:spacing w:val="-3"/>
                <w:sz w:val="20"/>
                <w:szCs w:val="20"/>
              </w:rPr>
            </w:pPr>
          </w:p>
        </w:tc>
        <w:tc>
          <w:tcPr>
            <w:tcW w:w="493" w:type="pct"/>
            <w:vAlign w:val="bottom"/>
          </w:tcPr>
          <w:p w14:paraId="4309B21D" w14:textId="77777777" w:rsidR="00054850" w:rsidRPr="00F43653" w:rsidRDefault="00054850" w:rsidP="00054850">
            <w:pPr>
              <w:tabs>
                <w:tab w:val="left" w:pos="-720"/>
              </w:tabs>
              <w:suppressAutoHyphens/>
              <w:autoSpaceDN w:val="0"/>
              <w:jc w:val="right"/>
              <w:rPr>
                <w:rFonts w:ascii="Arial" w:eastAsia="Times New Roman" w:hAnsi="Arial" w:cs="Arial"/>
                <w:b/>
                <w:color w:val="000000" w:themeColor="text1"/>
                <w:spacing w:val="-3"/>
                <w:sz w:val="20"/>
                <w:szCs w:val="20"/>
              </w:rPr>
            </w:pPr>
          </w:p>
        </w:tc>
      </w:tr>
      <w:tr w:rsidR="006435F7" w:rsidRPr="00544134" w14:paraId="41A10722" w14:textId="77777777" w:rsidTr="006435F7">
        <w:tc>
          <w:tcPr>
            <w:tcW w:w="1043" w:type="pct"/>
            <w:vAlign w:val="bottom"/>
          </w:tcPr>
          <w:p w14:paraId="165465FB" w14:textId="77777777" w:rsidR="006435F7" w:rsidRPr="00F43653" w:rsidRDefault="006435F7" w:rsidP="006435F7">
            <w:pPr>
              <w:tabs>
                <w:tab w:val="right" w:pos="1202"/>
              </w:tabs>
              <w:suppressAutoHyphens/>
              <w:autoSpaceDN w:val="0"/>
              <w:outlineLvl w:val="0"/>
              <w:rPr>
                <w:rFonts w:ascii="Arial" w:eastAsia="Times New Roman" w:hAnsi="Arial" w:cs="Arial"/>
                <w:color w:val="000000" w:themeColor="text1"/>
                <w:sz w:val="20"/>
                <w:szCs w:val="20"/>
              </w:rPr>
            </w:pPr>
            <w:bookmarkStart w:id="278" w:name="_Toc67327507"/>
            <w:r w:rsidRPr="00F43653">
              <w:rPr>
                <w:rFonts w:ascii="Arial" w:eastAsia="Times New Roman" w:hAnsi="Arial" w:cs="Arial"/>
                <w:color w:val="000000" w:themeColor="text1"/>
                <w:sz w:val="20"/>
                <w:szCs w:val="20"/>
              </w:rPr>
              <w:t>Domaće financijske institucije</w:t>
            </w:r>
            <w:bookmarkEnd w:id="278"/>
          </w:p>
        </w:tc>
        <w:tc>
          <w:tcPr>
            <w:tcW w:w="495" w:type="pct"/>
            <w:tcBorders>
              <w:top w:val="nil"/>
              <w:left w:val="nil"/>
              <w:bottom w:val="nil"/>
              <w:right w:val="nil"/>
            </w:tcBorders>
            <w:shd w:val="clear" w:color="auto" w:fill="auto"/>
            <w:vAlign w:val="bottom"/>
          </w:tcPr>
          <w:p w14:paraId="45CAFB59" w14:textId="55A05EC1" w:rsidR="006435F7" w:rsidRPr="006435F7" w:rsidRDefault="006435F7" w:rsidP="006435F7">
            <w:pPr>
              <w:tabs>
                <w:tab w:val="right" w:pos="1202"/>
              </w:tabs>
              <w:suppressAutoHyphens/>
              <w:autoSpaceDN w:val="0"/>
              <w:jc w:val="right"/>
              <w:outlineLvl w:val="0"/>
              <w:rPr>
                <w:rFonts w:ascii="Arial" w:hAnsi="Arial" w:cs="Arial"/>
                <w:sz w:val="20"/>
                <w:szCs w:val="20"/>
              </w:rPr>
            </w:pPr>
            <w:r w:rsidRPr="006435F7">
              <w:rPr>
                <w:rFonts w:ascii="Arial" w:hAnsi="Arial" w:cs="Arial"/>
                <w:sz w:val="20"/>
                <w:szCs w:val="20"/>
              </w:rPr>
              <w:t xml:space="preserve"> 664 </w:t>
            </w:r>
          </w:p>
        </w:tc>
        <w:tc>
          <w:tcPr>
            <w:tcW w:w="495" w:type="pct"/>
            <w:tcBorders>
              <w:top w:val="nil"/>
              <w:left w:val="nil"/>
              <w:bottom w:val="nil"/>
              <w:right w:val="nil"/>
            </w:tcBorders>
            <w:shd w:val="clear" w:color="auto" w:fill="auto"/>
            <w:vAlign w:val="bottom"/>
          </w:tcPr>
          <w:p w14:paraId="171961B9" w14:textId="0460019C" w:rsidR="006435F7" w:rsidRPr="006435F7" w:rsidRDefault="006435F7" w:rsidP="006435F7">
            <w:pPr>
              <w:tabs>
                <w:tab w:val="right" w:pos="1202"/>
              </w:tabs>
              <w:suppressAutoHyphens/>
              <w:autoSpaceDN w:val="0"/>
              <w:jc w:val="right"/>
              <w:outlineLvl w:val="0"/>
              <w:rPr>
                <w:rFonts w:ascii="Arial" w:hAnsi="Arial" w:cs="Arial"/>
                <w:sz w:val="20"/>
                <w:szCs w:val="20"/>
              </w:rPr>
            </w:pPr>
            <w:r w:rsidRPr="006435F7">
              <w:rPr>
                <w:rFonts w:ascii="Arial" w:hAnsi="Arial" w:cs="Arial"/>
                <w:sz w:val="20"/>
                <w:szCs w:val="20"/>
              </w:rPr>
              <w:t xml:space="preserve"> 1.843 </w:t>
            </w:r>
          </w:p>
        </w:tc>
        <w:tc>
          <w:tcPr>
            <w:tcW w:w="495" w:type="pct"/>
            <w:tcBorders>
              <w:top w:val="nil"/>
              <w:left w:val="nil"/>
              <w:bottom w:val="nil"/>
              <w:right w:val="nil"/>
            </w:tcBorders>
            <w:shd w:val="clear" w:color="auto" w:fill="auto"/>
            <w:vAlign w:val="bottom"/>
          </w:tcPr>
          <w:p w14:paraId="43C6A842" w14:textId="4F111DBF" w:rsidR="006435F7" w:rsidRPr="00F43653" w:rsidRDefault="006435F7" w:rsidP="006435F7">
            <w:pPr>
              <w:tabs>
                <w:tab w:val="right" w:pos="1202"/>
              </w:tabs>
              <w:suppressAutoHyphens/>
              <w:autoSpaceDN w:val="0"/>
              <w:jc w:val="right"/>
              <w:outlineLvl w:val="0"/>
              <w:rPr>
                <w:rFonts w:ascii="Arial" w:hAnsi="Arial" w:cs="Arial"/>
                <w:sz w:val="20"/>
                <w:szCs w:val="20"/>
              </w:rPr>
            </w:pPr>
            <w:r w:rsidRPr="00D86AF7">
              <w:rPr>
                <w:rFonts w:ascii="Arial" w:hAnsi="Arial" w:cs="Arial"/>
                <w:sz w:val="20"/>
                <w:szCs w:val="20"/>
              </w:rPr>
              <w:t xml:space="preserve"> 61 </w:t>
            </w:r>
          </w:p>
        </w:tc>
        <w:tc>
          <w:tcPr>
            <w:tcW w:w="495" w:type="pct"/>
            <w:tcBorders>
              <w:top w:val="nil"/>
              <w:left w:val="nil"/>
              <w:bottom w:val="nil"/>
              <w:right w:val="nil"/>
            </w:tcBorders>
            <w:shd w:val="clear" w:color="auto" w:fill="auto"/>
            <w:vAlign w:val="bottom"/>
          </w:tcPr>
          <w:p w14:paraId="3731D2B4" w14:textId="79D5C9AC" w:rsidR="006435F7" w:rsidRPr="00F43653" w:rsidRDefault="006435F7" w:rsidP="006435F7">
            <w:pPr>
              <w:tabs>
                <w:tab w:val="right" w:pos="1202"/>
              </w:tabs>
              <w:suppressAutoHyphens/>
              <w:autoSpaceDN w:val="0"/>
              <w:jc w:val="right"/>
              <w:outlineLvl w:val="0"/>
              <w:rPr>
                <w:rFonts w:ascii="Arial" w:hAnsi="Arial" w:cs="Arial"/>
                <w:sz w:val="20"/>
                <w:szCs w:val="20"/>
              </w:rPr>
            </w:pPr>
            <w:r w:rsidRPr="00D86AF7">
              <w:rPr>
                <w:rFonts w:ascii="Arial" w:hAnsi="Arial" w:cs="Arial"/>
                <w:sz w:val="20"/>
                <w:szCs w:val="20"/>
              </w:rPr>
              <w:t xml:space="preserve"> 90 </w:t>
            </w:r>
          </w:p>
        </w:tc>
        <w:tc>
          <w:tcPr>
            <w:tcW w:w="495" w:type="pct"/>
            <w:tcBorders>
              <w:top w:val="nil"/>
              <w:left w:val="nil"/>
              <w:bottom w:val="nil"/>
              <w:right w:val="nil"/>
            </w:tcBorders>
            <w:shd w:val="clear" w:color="auto" w:fill="auto"/>
            <w:vAlign w:val="bottom"/>
          </w:tcPr>
          <w:p w14:paraId="3ED914D7" w14:textId="12F71353" w:rsidR="006435F7" w:rsidRPr="0039413C" w:rsidRDefault="006435F7" w:rsidP="006435F7">
            <w:pPr>
              <w:tabs>
                <w:tab w:val="right" w:pos="1202"/>
              </w:tabs>
              <w:suppressAutoHyphens/>
              <w:autoSpaceDN w:val="0"/>
              <w:jc w:val="right"/>
              <w:outlineLvl w:val="0"/>
              <w:rPr>
                <w:rFonts w:ascii="Arial" w:hAnsi="Arial" w:cs="Arial"/>
                <w:sz w:val="20"/>
                <w:szCs w:val="20"/>
              </w:rPr>
            </w:pPr>
            <w:r w:rsidRPr="0039413C">
              <w:rPr>
                <w:rFonts w:ascii="Arial" w:hAnsi="Arial" w:cs="Arial"/>
                <w:sz w:val="20"/>
                <w:szCs w:val="20"/>
              </w:rPr>
              <w:t xml:space="preserve"> 664 </w:t>
            </w:r>
          </w:p>
        </w:tc>
        <w:tc>
          <w:tcPr>
            <w:tcW w:w="495" w:type="pct"/>
            <w:tcBorders>
              <w:top w:val="nil"/>
              <w:left w:val="nil"/>
              <w:bottom w:val="nil"/>
              <w:right w:val="nil"/>
            </w:tcBorders>
            <w:shd w:val="clear" w:color="auto" w:fill="auto"/>
            <w:vAlign w:val="bottom"/>
          </w:tcPr>
          <w:p w14:paraId="290160F6" w14:textId="2BAD05FC" w:rsidR="006435F7" w:rsidRPr="0039413C" w:rsidRDefault="006435F7" w:rsidP="006435F7">
            <w:pPr>
              <w:tabs>
                <w:tab w:val="right" w:pos="1202"/>
              </w:tabs>
              <w:suppressAutoHyphens/>
              <w:autoSpaceDN w:val="0"/>
              <w:jc w:val="right"/>
              <w:outlineLvl w:val="0"/>
              <w:rPr>
                <w:rFonts w:ascii="Arial" w:hAnsi="Arial" w:cs="Arial"/>
                <w:sz w:val="20"/>
                <w:szCs w:val="20"/>
              </w:rPr>
            </w:pPr>
            <w:r w:rsidRPr="0039413C">
              <w:rPr>
                <w:rFonts w:ascii="Arial" w:hAnsi="Arial" w:cs="Arial"/>
                <w:sz w:val="20"/>
                <w:szCs w:val="20"/>
              </w:rPr>
              <w:t xml:space="preserve"> 1.843 </w:t>
            </w:r>
          </w:p>
        </w:tc>
        <w:tc>
          <w:tcPr>
            <w:tcW w:w="494" w:type="pct"/>
            <w:tcBorders>
              <w:top w:val="nil"/>
              <w:left w:val="nil"/>
              <w:bottom w:val="nil"/>
              <w:right w:val="nil"/>
            </w:tcBorders>
            <w:shd w:val="clear" w:color="auto" w:fill="auto"/>
            <w:vAlign w:val="bottom"/>
          </w:tcPr>
          <w:p w14:paraId="34F18393" w14:textId="08C12789" w:rsidR="006435F7" w:rsidRPr="007478FB" w:rsidRDefault="006435F7" w:rsidP="006435F7">
            <w:pPr>
              <w:tabs>
                <w:tab w:val="right" w:pos="1202"/>
              </w:tabs>
              <w:suppressAutoHyphens/>
              <w:autoSpaceDN w:val="0"/>
              <w:jc w:val="right"/>
              <w:outlineLvl w:val="0"/>
              <w:rPr>
                <w:rFonts w:ascii="Arial" w:hAnsi="Arial" w:cs="Arial"/>
                <w:sz w:val="20"/>
                <w:szCs w:val="20"/>
              </w:rPr>
            </w:pPr>
            <w:r w:rsidRPr="00FF3B1A">
              <w:rPr>
                <w:rFonts w:ascii="Arial" w:hAnsi="Arial" w:cs="Arial"/>
                <w:sz w:val="20"/>
                <w:szCs w:val="20"/>
              </w:rPr>
              <w:t xml:space="preserve"> 61 </w:t>
            </w:r>
          </w:p>
        </w:tc>
        <w:tc>
          <w:tcPr>
            <w:tcW w:w="493" w:type="pct"/>
            <w:tcBorders>
              <w:top w:val="nil"/>
              <w:left w:val="nil"/>
              <w:bottom w:val="nil"/>
              <w:right w:val="nil"/>
            </w:tcBorders>
            <w:shd w:val="clear" w:color="auto" w:fill="auto"/>
            <w:vAlign w:val="bottom"/>
          </w:tcPr>
          <w:p w14:paraId="30517FCF" w14:textId="77E18A9B" w:rsidR="006435F7" w:rsidRPr="007478FB" w:rsidRDefault="006435F7" w:rsidP="006435F7">
            <w:pPr>
              <w:tabs>
                <w:tab w:val="right" w:pos="1202"/>
              </w:tabs>
              <w:suppressAutoHyphens/>
              <w:autoSpaceDN w:val="0"/>
              <w:jc w:val="right"/>
              <w:outlineLvl w:val="0"/>
              <w:rPr>
                <w:rFonts w:ascii="Arial" w:hAnsi="Arial" w:cs="Arial"/>
                <w:sz w:val="20"/>
                <w:szCs w:val="20"/>
              </w:rPr>
            </w:pPr>
            <w:r w:rsidRPr="00FF3B1A">
              <w:rPr>
                <w:rFonts w:ascii="Arial" w:hAnsi="Arial" w:cs="Arial"/>
                <w:sz w:val="20"/>
                <w:szCs w:val="20"/>
              </w:rPr>
              <w:t xml:space="preserve"> 90 </w:t>
            </w:r>
          </w:p>
        </w:tc>
      </w:tr>
      <w:tr w:rsidR="006435F7" w:rsidRPr="00544134" w14:paraId="1EEC45AC" w14:textId="77777777" w:rsidTr="006435F7">
        <w:tc>
          <w:tcPr>
            <w:tcW w:w="1043" w:type="pct"/>
            <w:vAlign w:val="bottom"/>
          </w:tcPr>
          <w:p w14:paraId="599B8282" w14:textId="77777777" w:rsidR="006435F7" w:rsidRPr="00F43653" w:rsidRDefault="006435F7" w:rsidP="006435F7">
            <w:pPr>
              <w:tabs>
                <w:tab w:val="right" w:pos="1202"/>
              </w:tabs>
              <w:suppressAutoHyphens/>
              <w:autoSpaceDN w:val="0"/>
              <w:outlineLvl w:val="0"/>
              <w:rPr>
                <w:rFonts w:ascii="Arial" w:eastAsia="Times New Roman" w:hAnsi="Arial" w:cs="Arial"/>
                <w:color w:val="000000" w:themeColor="text1"/>
                <w:sz w:val="20"/>
                <w:szCs w:val="20"/>
              </w:rPr>
            </w:pPr>
            <w:bookmarkStart w:id="279" w:name="_Toc67327512"/>
            <w:r w:rsidRPr="00F43653">
              <w:rPr>
                <w:rFonts w:ascii="Arial" w:eastAsia="Times New Roman" w:hAnsi="Arial" w:cs="Arial"/>
                <w:color w:val="000000" w:themeColor="text1"/>
                <w:sz w:val="20"/>
                <w:szCs w:val="20"/>
              </w:rPr>
              <w:t>Inozemne financijske institucije</w:t>
            </w:r>
            <w:bookmarkEnd w:id="279"/>
          </w:p>
        </w:tc>
        <w:tc>
          <w:tcPr>
            <w:tcW w:w="495" w:type="pct"/>
            <w:tcBorders>
              <w:top w:val="nil"/>
              <w:left w:val="nil"/>
              <w:bottom w:val="nil"/>
              <w:right w:val="nil"/>
            </w:tcBorders>
            <w:shd w:val="clear" w:color="auto" w:fill="auto"/>
            <w:vAlign w:val="bottom"/>
          </w:tcPr>
          <w:p w14:paraId="2E32502B" w14:textId="722A7BEF" w:rsidR="006435F7" w:rsidRPr="006435F7" w:rsidRDefault="006435F7" w:rsidP="006435F7">
            <w:pPr>
              <w:tabs>
                <w:tab w:val="right" w:pos="1202"/>
              </w:tabs>
              <w:suppressAutoHyphens/>
              <w:autoSpaceDN w:val="0"/>
              <w:jc w:val="right"/>
              <w:outlineLvl w:val="0"/>
              <w:rPr>
                <w:rFonts w:ascii="Arial" w:hAnsi="Arial" w:cs="Arial"/>
                <w:sz w:val="20"/>
                <w:szCs w:val="20"/>
              </w:rPr>
            </w:pPr>
            <w:r w:rsidRPr="006435F7">
              <w:rPr>
                <w:rFonts w:ascii="Arial" w:hAnsi="Arial" w:cs="Arial"/>
                <w:sz w:val="20"/>
                <w:szCs w:val="20"/>
              </w:rPr>
              <w:t xml:space="preserve"> 8.214 </w:t>
            </w:r>
          </w:p>
        </w:tc>
        <w:tc>
          <w:tcPr>
            <w:tcW w:w="495" w:type="pct"/>
            <w:tcBorders>
              <w:top w:val="nil"/>
              <w:left w:val="nil"/>
              <w:bottom w:val="nil"/>
              <w:right w:val="nil"/>
            </w:tcBorders>
            <w:shd w:val="clear" w:color="auto" w:fill="auto"/>
            <w:vAlign w:val="bottom"/>
          </w:tcPr>
          <w:p w14:paraId="5B3A438F" w14:textId="62E17DDA" w:rsidR="006435F7" w:rsidRPr="006435F7" w:rsidRDefault="006435F7" w:rsidP="006435F7">
            <w:pPr>
              <w:tabs>
                <w:tab w:val="right" w:pos="1202"/>
              </w:tabs>
              <w:suppressAutoHyphens/>
              <w:autoSpaceDN w:val="0"/>
              <w:jc w:val="right"/>
              <w:outlineLvl w:val="0"/>
              <w:rPr>
                <w:rFonts w:ascii="Arial" w:hAnsi="Arial" w:cs="Arial"/>
                <w:sz w:val="20"/>
                <w:szCs w:val="20"/>
              </w:rPr>
            </w:pPr>
            <w:r w:rsidRPr="006435F7">
              <w:rPr>
                <w:rFonts w:ascii="Arial" w:hAnsi="Arial" w:cs="Arial"/>
                <w:sz w:val="20"/>
                <w:szCs w:val="20"/>
              </w:rPr>
              <w:t xml:space="preserve"> 23.270 </w:t>
            </w:r>
          </w:p>
        </w:tc>
        <w:tc>
          <w:tcPr>
            <w:tcW w:w="495" w:type="pct"/>
            <w:tcBorders>
              <w:top w:val="nil"/>
              <w:left w:val="nil"/>
              <w:bottom w:val="nil"/>
              <w:right w:val="nil"/>
            </w:tcBorders>
            <w:shd w:val="clear" w:color="auto" w:fill="auto"/>
            <w:vAlign w:val="bottom"/>
          </w:tcPr>
          <w:p w14:paraId="653E98CB" w14:textId="2D544288" w:rsidR="006435F7" w:rsidRPr="00F43653" w:rsidRDefault="006435F7" w:rsidP="006435F7">
            <w:pPr>
              <w:tabs>
                <w:tab w:val="right" w:pos="1202"/>
              </w:tabs>
              <w:suppressAutoHyphens/>
              <w:autoSpaceDN w:val="0"/>
              <w:jc w:val="right"/>
              <w:outlineLvl w:val="0"/>
              <w:rPr>
                <w:rFonts w:ascii="Arial" w:hAnsi="Arial" w:cs="Arial"/>
                <w:sz w:val="20"/>
                <w:szCs w:val="20"/>
              </w:rPr>
            </w:pPr>
            <w:r w:rsidRPr="00D86AF7">
              <w:rPr>
                <w:rFonts w:ascii="Arial" w:hAnsi="Arial" w:cs="Arial"/>
                <w:sz w:val="20"/>
                <w:szCs w:val="20"/>
              </w:rPr>
              <w:t xml:space="preserve"> 6.406 </w:t>
            </w:r>
          </w:p>
        </w:tc>
        <w:tc>
          <w:tcPr>
            <w:tcW w:w="495" w:type="pct"/>
            <w:tcBorders>
              <w:top w:val="nil"/>
              <w:left w:val="nil"/>
              <w:bottom w:val="nil"/>
              <w:right w:val="nil"/>
            </w:tcBorders>
            <w:shd w:val="clear" w:color="auto" w:fill="auto"/>
            <w:vAlign w:val="bottom"/>
          </w:tcPr>
          <w:p w14:paraId="2D788767" w14:textId="6EC3E3F2" w:rsidR="006435F7" w:rsidRPr="00F43653" w:rsidRDefault="006435F7" w:rsidP="006435F7">
            <w:pPr>
              <w:tabs>
                <w:tab w:val="right" w:pos="1202"/>
              </w:tabs>
              <w:suppressAutoHyphens/>
              <w:autoSpaceDN w:val="0"/>
              <w:jc w:val="right"/>
              <w:outlineLvl w:val="0"/>
              <w:rPr>
                <w:rFonts w:ascii="Arial" w:hAnsi="Arial" w:cs="Arial"/>
                <w:sz w:val="20"/>
                <w:szCs w:val="20"/>
              </w:rPr>
            </w:pPr>
            <w:r w:rsidRPr="00D86AF7">
              <w:rPr>
                <w:rFonts w:ascii="Arial" w:hAnsi="Arial" w:cs="Arial"/>
                <w:sz w:val="20"/>
                <w:szCs w:val="20"/>
              </w:rPr>
              <w:t xml:space="preserve"> 17.338 </w:t>
            </w:r>
          </w:p>
        </w:tc>
        <w:tc>
          <w:tcPr>
            <w:tcW w:w="495" w:type="pct"/>
            <w:tcBorders>
              <w:top w:val="nil"/>
              <w:left w:val="nil"/>
              <w:bottom w:val="nil"/>
              <w:right w:val="nil"/>
            </w:tcBorders>
            <w:shd w:val="clear" w:color="auto" w:fill="auto"/>
            <w:vAlign w:val="bottom"/>
          </w:tcPr>
          <w:p w14:paraId="3DEAA94A" w14:textId="27CB5C2E" w:rsidR="006435F7" w:rsidRPr="0039413C" w:rsidRDefault="006435F7" w:rsidP="006435F7">
            <w:pPr>
              <w:tabs>
                <w:tab w:val="right" w:pos="1202"/>
              </w:tabs>
              <w:suppressAutoHyphens/>
              <w:autoSpaceDN w:val="0"/>
              <w:jc w:val="right"/>
              <w:outlineLvl w:val="0"/>
              <w:rPr>
                <w:rFonts w:ascii="Arial" w:hAnsi="Arial" w:cs="Arial"/>
                <w:sz w:val="20"/>
                <w:szCs w:val="20"/>
              </w:rPr>
            </w:pPr>
            <w:r w:rsidRPr="0039413C">
              <w:rPr>
                <w:rFonts w:ascii="Arial" w:hAnsi="Arial" w:cs="Arial"/>
                <w:sz w:val="20"/>
                <w:szCs w:val="20"/>
              </w:rPr>
              <w:t xml:space="preserve"> 8.214 </w:t>
            </w:r>
          </w:p>
        </w:tc>
        <w:tc>
          <w:tcPr>
            <w:tcW w:w="495" w:type="pct"/>
            <w:tcBorders>
              <w:top w:val="nil"/>
              <w:left w:val="nil"/>
              <w:bottom w:val="nil"/>
              <w:right w:val="nil"/>
            </w:tcBorders>
            <w:shd w:val="clear" w:color="auto" w:fill="auto"/>
            <w:vAlign w:val="bottom"/>
          </w:tcPr>
          <w:p w14:paraId="6E6D6395" w14:textId="3F9C1D10" w:rsidR="006435F7" w:rsidRPr="0039413C" w:rsidRDefault="006435F7" w:rsidP="006435F7">
            <w:pPr>
              <w:tabs>
                <w:tab w:val="right" w:pos="1202"/>
              </w:tabs>
              <w:suppressAutoHyphens/>
              <w:autoSpaceDN w:val="0"/>
              <w:jc w:val="right"/>
              <w:outlineLvl w:val="0"/>
              <w:rPr>
                <w:rFonts w:ascii="Arial" w:hAnsi="Arial" w:cs="Arial"/>
                <w:sz w:val="20"/>
                <w:szCs w:val="20"/>
              </w:rPr>
            </w:pPr>
            <w:r w:rsidRPr="0039413C">
              <w:rPr>
                <w:rFonts w:ascii="Arial" w:hAnsi="Arial" w:cs="Arial"/>
                <w:sz w:val="20"/>
                <w:szCs w:val="20"/>
              </w:rPr>
              <w:t xml:space="preserve"> 23.270 </w:t>
            </w:r>
          </w:p>
        </w:tc>
        <w:tc>
          <w:tcPr>
            <w:tcW w:w="494" w:type="pct"/>
            <w:tcBorders>
              <w:top w:val="nil"/>
              <w:left w:val="nil"/>
              <w:bottom w:val="nil"/>
              <w:right w:val="nil"/>
            </w:tcBorders>
            <w:shd w:val="clear" w:color="auto" w:fill="auto"/>
            <w:vAlign w:val="bottom"/>
          </w:tcPr>
          <w:p w14:paraId="759233F3" w14:textId="7121DC3B" w:rsidR="006435F7" w:rsidRPr="007478FB" w:rsidRDefault="006435F7" w:rsidP="006435F7">
            <w:pPr>
              <w:tabs>
                <w:tab w:val="right" w:pos="1202"/>
              </w:tabs>
              <w:suppressAutoHyphens/>
              <w:autoSpaceDN w:val="0"/>
              <w:jc w:val="right"/>
              <w:outlineLvl w:val="0"/>
              <w:rPr>
                <w:rFonts w:ascii="Arial" w:hAnsi="Arial" w:cs="Arial"/>
                <w:sz w:val="20"/>
                <w:szCs w:val="20"/>
              </w:rPr>
            </w:pPr>
            <w:r w:rsidRPr="00FF3B1A">
              <w:rPr>
                <w:rFonts w:ascii="Arial" w:hAnsi="Arial" w:cs="Arial"/>
                <w:sz w:val="20"/>
                <w:szCs w:val="20"/>
              </w:rPr>
              <w:t xml:space="preserve"> 6.406 </w:t>
            </w:r>
          </w:p>
        </w:tc>
        <w:tc>
          <w:tcPr>
            <w:tcW w:w="493" w:type="pct"/>
            <w:tcBorders>
              <w:top w:val="nil"/>
              <w:left w:val="nil"/>
              <w:bottom w:val="nil"/>
              <w:right w:val="nil"/>
            </w:tcBorders>
            <w:shd w:val="clear" w:color="auto" w:fill="auto"/>
            <w:vAlign w:val="bottom"/>
          </w:tcPr>
          <w:p w14:paraId="04DFF5FB" w14:textId="24A75111" w:rsidR="006435F7" w:rsidRPr="007478FB" w:rsidRDefault="006435F7" w:rsidP="006435F7">
            <w:pPr>
              <w:tabs>
                <w:tab w:val="right" w:pos="1202"/>
              </w:tabs>
              <w:suppressAutoHyphens/>
              <w:autoSpaceDN w:val="0"/>
              <w:jc w:val="right"/>
              <w:outlineLvl w:val="0"/>
              <w:rPr>
                <w:rFonts w:ascii="Arial" w:hAnsi="Arial" w:cs="Arial"/>
                <w:sz w:val="20"/>
                <w:szCs w:val="20"/>
              </w:rPr>
            </w:pPr>
            <w:r w:rsidRPr="00FF3B1A">
              <w:rPr>
                <w:rFonts w:ascii="Arial" w:hAnsi="Arial" w:cs="Arial"/>
                <w:sz w:val="20"/>
                <w:szCs w:val="20"/>
              </w:rPr>
              <w:t xml:space="preserve"> 17.338 </w:t>
            </w:r>
          </w:p>
        </w:tc>
      </w:tr>
      <w:tr w:rsidR="006435F7" w:rsidRPr="00544134" w14:paraId="5F153909" w14:textId="77777777" w:rsidTr="006435F7">
        <w:tc>
          <w:tcPr>
            <w:tcW w:w="1043" w:type="pct"/>
            <w:vAlign w:val="bottom"/>
          </w:tcPr>
          <w:p w14:paraId="6939A6C2" w14:textId="77777777" w:rsidR="006435F7" w:rsidRPr="00F43653" w:rsidRDefault="006435F7" w:rsidP="006435F7">
            <w:pPr>
              <w:tabs>
                <w:tab w:val="right" w:pos="1202"/>
              </w:tabs>
              <w:suppressAutoHyphens/>
              <w:autoSpaceDN w:val="0"/>
              <w:outlineLvl w:val="0"/>
              <w:rPr>
                <w:rFonts w:ascii="Arial" w:eastAsia="Times New Roman" w:hAnsi="Arial" w:cs="Arial"/>
                <w:color w:val="000000" w:themeColor="text1"/>
                <w:sz w:val="20"/>
                <w:szCs w:val="20"/>
              </w:rPr>
            </w:pPr>
            <w:bookmarkStart w:id="280" w:name="_Toc67327517"/>
            <w:r w:rsidRPr="00F43653">
              <w:rPr>
                <w:rFonts w:ascii="Arial" w:eastAsia="Times New Roman" w:hAnsi="Arial" w:cs="Arial"/>
                <w:color w:val="000000" w:themeColor="text1"/>
                <w:sz w:val="20"/>
                <w:szCs w:val="20"/>
              </w:rPr>
              <w:t>Državne jedinice</w:t>
            </w:r>
            <w:bookmarkEnd w:id="280"/>
          </w:p>
        </w:tc>
        <w:tc>
          <w:tcPr>
            <w:tcW w:w="495" w:type="pct"/>
            <w:tcBorders>
              <w:top w:val="nil"/>
              <w:left w:val="nil"/>
              <w:bottom w:val="nil"/>
              <w:right w:val="nil"/>
            </w:tcBorders>
            <w:shd w:val="clear" w:color="auto" w:fill="auto"/>
            <w:vAlign w:val="bottom"/>
          </w:tcPr>
          <w:p w14:paraId="0D191554" w14:textId="7FA6021D" w:rsidR="006435F7" w:rsidRPr="006435F7" w:rsidRDefault="006435F7" w:rsidP="006435F7">
            <w:pPr>
              <w:tabs>
                <w:tab w:val="right" w:pos="1202"/>
              </w:tabs>
              <w:suppressAutoHyphens/>
              <w:autoSpaceDN w:val="0"/>
              <w:jc w:val="right"/>
              <w:outlineLvl w:val="0"/>
              <w:rPr>
                <w:rFonts w:ascii="Arial" w:hAnsi="Arial" w:cs="Arial"/>
                <w:sz w:val="20"/>
                <w:szCs w:val="20"/>
              </w:rPr>
            </w:pPr>
            <w:r w:rsidRPr="006435F7">
              <w:rPr>
                <w:rFonts w:ascii="Arial" w:hAnsi="Arial" w:cs="Arial"/>
                <w:sz w:val="20"/>
                <w:szCs w:val="20"/>
              </w:rPr>
              <w:t xml:space="preserve"> 3.741 </w:t>
            </w:r>
          </w:p>
        </w:tc>
        <w:tc>
          <w:tcPr>
            <w:tcW w:w="495" w:type="pct"/>
            <w:tcBorders>
              <w:top w:val="nil"/>
              <w:left w:val="nil"/>
              <w:bottom w:val="nil"/>
              <w:right w:val="nil"/>
            </w:tcBorders>
            <w:shd w:val="clear" w:color="auto" w:fill="auto"/>
            <w:vAlign w:val="bottom"/>
          </w:tcPr>
          <w:p w14:paraId="1653EA18" w14:textId="1EABFE49" w:rsidR="006435F7" w:rsidRPr="006435F7" w:rsidRDefault="006435F7" w:rsidP="006435F7">
            <w:pPr>
              <w:tabs>
                <w:tab w:val="right" w:pos="1202"/>
              </w:tabs>
              <w:suppressAutoHyphens/>
              <w:autoSpaceDN w:val="0"/>
              <w:jc w:val="right"/>
              <w:outlineLvl w:val="0"/>
              <w:rPr>
                <w:rFonts w:ascii="Arial" w:hAnsi="Arial" w:cs="Arial"/>
                <w:sz w:val="20"/>
                <w:szCs w:val="20"/>
              </w:rPr>
            </w:pPr>
            <w:r w:rsidRPr="006435F7">
              <w:rPr>
                <w:rFonts w:ascii="Arial" w:hAnsi="Arial" w:cs="Arial"/>
                <w:sz w:val="20"/>
                <w:szCs w:val="20"/>
              </w:rPr>
              <w:t xml:space="preserve"> 9.543 </w:t>
            </w:r>
          </w:p>
        </w:tc>
        <w:tc>
          <w:tcPr>
            <w:tcW w:w="495" w:type="pct"/>
            <w:tcBorders>
              <w:top w:val="nil"/>
              <w:left w:val="nil"/>
              <w:bottom w:val="nil"/>
              <w:right w:val="nil"/>
            </w:tcBorders>
            <w:shd w:val="clear" w:color="auto" w:fill="auto"/>
            <w:vAlign w:val="bottom"/>
          </w:tcPr>
          <w:p w14:paraId="2C486580" w14:textId="3B7C8D5F" w:rsidR="006435F7" w:rsidRPr="00F43653" w:rsidRDefault="006435F7" w:rsidP="006435F7">
            <w:pPr>
              <w:tabs>
                <w:tab w:val="right" w:pos="1202"/>
              </w:tabs>
              <w:suppressAutoHyphens/>
              <w:autoSpaceDN w:val="0"/>
              <w:jc w:val="right"/>
              <w:outlineLvl w:val="0"/>
              <w:rPr>
                <w:rFonts w:ascii="Arial" w:hAnsi="Arial" w:cs="Arial"/>
                <w:sz w:val="20"/>
                <w:szCs w:val="20"/>
              </w:rPr>
            </w:pPr>
            <w:r w:rsidRPr="00D86AF7">
              <w:rPr>
                <w:rFonts w:ascii="Arial" w:hAnsi="Arial" w:cs="Arial"/>
                <w:sz w:val="20"/>
                <w:szCs w:val="20"/>
              </w:rPr>
              <w:t xml:space="preserve"> 785 </w:t>
            </w:r>
          </w:p>
        </w:tc>
        <w:tc>
          <w:tcPr>
            <w:tcW w:w="495" w:type="pct"/>
            <w:tcBorders>
              <w:top w:val="nil"/>
              <w:left w:val="nil"/>
              <w:bottom w:val="nil"/>
              <w:right w:val="nil"/>
            </w:tcBorders>
            <w:shd w:val="clear" w:color="auto" w:fill="auto"/>
            <w:vAlign w:val="bottom"/>
          </w:tcPr>
          <w:p w14:paraId="706A9D9D" w14:textId="56AB6F43" w:rsidR="006435F7" w:rsidRPr="00F43653" w:rsidRDefault="006435F7" w:rsidP="006435F7">
            <w:pPr>
              <w:tabs>
                <w:tab w:val="right" w:pos="1202"/>
              </w:tabs>
              <w:suppressAutoHyphens/>
              <w:autoSpaceDN w:val="0"/>
              <w:jc w:val="right"/>
              <w:outlineLvl w:val="0"/>
              <w:rPr>
                <w:rFonts w:ascii="Arial" w:hAnsi="Arial" w:cs="Arial"/>
                <w:sz w:val="20"/>
                <w:szCs w:val="20"/>
              </w:rPr>
            </w:pPr>
            <w:r w:rsidRPr="00D86AF7">
              <w:rPr>
                <w:rFonts w:ascii="Arial" w:hAnsi="Arial" w:cs="Arial"/>
                <w:sz w:val="20"/>
                <w:szCs w:val="20"/>
              </w:rPr>
              <w:t xml:space="preserve"> 2.166 </w:t>
            </w:r>
          </w:p>
        </w:tc>
        <w:tc>
          <w:tcPr>
            <w:tcW w:w="495" w:type="pct"/>
            <w:tcBorders>
              <w:top w:val="nil"/>
              <w:left w:val="nil"/>
              <w:bottom w:val="nil"/>
              <w:right w:val="nil"/>
            </w:tcBorders>
            <w:shd w:val="clear" w:color="auto" w:fill="auto"/>
            <w:vAlign w:val="bottom"/>
          </w:tcPr>
          <w:p w14:paraId="63BF410F" w14:textId="6313CC2C" w:rsidR="006435F7" w:rsidRPr="0039413C" w:rsidRDefault="006435F7" w:rsidP="006435F7">
            <w:pPr>
              <w:tabs>
                <w:tab w:val="right" w:pos="1202"/>
              </w:tabs>
              <w:suppressAutoHyphens/>
              <w:autoSpaceDN w:val="0"/>
              <w:jc w:val="right"/>
              <w:outlineLvl w:val="0"/>
              <w:rPr>
                <w:rFonts w:ascii="Arial" w:hAnsi="Arial" w:cs="Arial"/>
                <w:sz w:val="20"/>
                <w:szCs w:val="20"/>
              </w:rPr>
            </w:pPr>
            <w:r w:rsidRPr="0039413C">
              <w:rPr>
                <w:rFonts w:ascii="Arial" w:hAnsi="Arial" w:cs="Arial"/>
                <w:sz w:val="20"/>
                <w:szCs w:val="20"/>
              </w:rPr>
              <w:t xml:space="preserve"> 3.741 </w:t>
            </w:r>
          </w:p>
        </w:tc>
        <w:tc>
          <w:tcPr>
            <w:tcW w:w="495" w:type="pct"/>
            <w:tcBorders>
              <w:top w:val="nil"/>
              <w:left w:val="nil"/>
              <w:bottom w:val="nil"/>
              <w:right w:val="nil"/>
            </w:tcBorders>
            <w:shd w:val="clear" w:color="auto" w:fill="auto"/>
            <w:vAlign w:val="bottom"/>
          </w:tcPr>
          <w:p w14:paraId="3B2FBB75" w14:textId="098C9A44" w:rsidR="006435F7" w:rsidRPr="0039413C" w:rsidRDefault="006435F7" w:rsidP="006435F7">
            <w:pPr>
              <w:tabs>
                <w:tab w:val="right" w:pos="1202"/>
              </w:tabs>
              <w:suppressAutoHyphens/>
              <w:autoSpaceDN w:val="0"/>
              <w:jc w:val="right"/>
              <w:outlineLvl w:val="0"/>
              <w:rPr>
                <w:rFonts w:ascii="Arial" w:hAnsi="Arial" w:cs="Arial"/>
                <w:sz w:val="20"/>
                <w:szCs w:val="20"/>
              </w:rPr>
            </w:pPr>
            <w:r w:rsidRPr="0039413C">
              <w:rPr>
                <w:rFonts w:ascii="Arial" w:hAnsi="Arial" w:cs="Arial"/>
                <w:sz w:val="20"/>
                <w:szCs w:val="20"/>
              </w:rPr>
              <w:t xml:space="preserve"> 9.543 </w:t>
            </w:r>
          </w:p>
        </w:tc>
        <w:tc>
          <w:tcPr>
            <w:tcW w:w="494" w:type="pct"/>
            <w:tcBorders>
              <w:top w:val="nil"/>
              <w:left w:val="nil"/>
              <w:bottom w:val="nil"/>
              <w:right w:val="nil"/>
            </w:tcBorders>
            <w:shd w:val="clear" w:color="auto" w:fill="auto"/>
            <w:vAlign w:val="bottom"/>
          </w:tcPr>
          <w:p w14:paraId="31375DA2" w14:textId="74D2BF2F" w:rsidR="006435F7" w:rsidRPr="007478FB" w:rsidDel="00D241F2" w:rsidRDefault="006435F7" w:rsidP="006435F7">
            <w:pPr>
              <w:tabs>
                <w:tab w:val="right" w:pos="1202"/>
              </w:tabs>
              <w:suppressAutoHyphens/>
              <w:autoSpaceDN w:val="0"/>
              <w:jc w:val="right"/>
              <w:outlineLvl w:val="0"/>
              <w:rPr>
                <w:rFonts w:ascii="Arial" w:hAnsi="Arial" w:cs="Arial"/>
                <w:sz w:val="20"/>
                <w:szCs w:val="20"/>
              </w:rPr>
            </w:pPr>
            <w:r w:rsidRPr="00FF3B1A">
              <w:rPr>
                <w:rFonts w:ascii="Arial" w:hAnsi="Arial" w:cs="Arial"/>
                <w:sz w:val="20"/>
                <w:szCs w:val="20"/>
              </w:rPr>
              <w:t xml:space="preserve"> 785 </w:t>
            </w:r>
          </w:p>
        </w:tc>
        <w:tc>
          <w:tcPr>
            <w:tcW w:w="493" w:type="pct"/>
            <w:tcBorders>
              <w:top w:val="nil"/>
              <w:left w:val="nil"/>
              <w:bottom w:val="nil"/>
              <w:right w:val="nil"/>
            </w:tcBorders>
            <w:shd w:val="clear" w:color="auto" w:fill="auto"/>
            <w:vAlign w:val="bottom"/>
          </w:tcPr>
          <w:p w14:paraId="340FD96F" w14:textId="3B8DD633" w:rsidR="006435F7" w:rsidRPr="007478FB" w:rsidRDefault="006435F7" w:rsidP="006435F7">
            <w:pPr>
              <w:tabs>
                <w:tab w:val="right" w:pos="1202"/>
              </w:tabs>
              <w:suppressAutoHyphens/>
              <w:autoSpaceDN w:val="0"/>
              <w:jc w:val="right"/>
              <w:outlineLvl w:val="0"/>
              <w:rPr>
                <w:rFonts w:ascii="Arial" w:hAnsi="Arial" w:cs="Arial"/>
                <w:sz w:val="20"/>
                <w:szCs w:val="20"/>
              </w:rPr>
            </w:pPr>
            <w:r w:rsidRPr="00FF3B1A">
              <w:rPr>
                <w:rFonts w:ascii="Arial" w:hAnsi="Arial" w:cs="Arial"/>
                <w:sz w:val="20"/>
                <w:szCs w:val="20"/>
              </w:rPr>
              <w:t xml:space="preserve"> 2.166 </w:t>
            </w:r>
          </w:p>
        </w:tc>
      </w:tr>
      <w:tr w:rsidR="006435F7" w:rsidRPr="00544134" w14:paraId="1992639D" w14:textId="77777777" w:rsidTr="006435F7">
        <w:tc>
          <w:tcPr>
            <w:tcW w:w="1043" w:type="pct"/>
            <w:vAlign w:val="bottom"/>
          </w:tcPr>
          <w:p w14:paraId="4C39F392" w14:textId="77777777" w:rsidR="006435F7" w:rsidRPr="00F43653" w:rsidRDefault="006435F7" w:rsidP="006435F7">
            <w:pPr>
              <w:tabs>
                <w:tab w:val="right" w:pos="1202"/>
              </w:tabs>
              <w:suppressAutoHyphens/>
              <w:autoSpaceDN w:val="0"/>
              <w:outlineLvl w:val="0"/>
              <w:rPr>
                <w:rFonts w:ascii="Arial" w:eastAsia="Times New Roman" w:hAnsi="Arial" w:cs="Arial"/>
                <w:color w:val="000000" w:themeColor="text1"/>
                <w:sz w:val="20"/>
                <w:szCs w:val="20"/>
              </w:rPr>
            </w:pPr>
            <w:bookmarkStart w:id="281" w:name="_Toc67327522"/>
            <w:r w:rsidRPr="00F43653">
              <w:rPr>
                <w:rFonts w:ascii="Arial" w:eastAsia="Times New Roman" w:hAnsi="Arial" w:cs="Arial"/>
                <w:color w:val="000000" w:themeColor="text1"/>
                <w:sz w:val="20"/>
                <w:szCs w:val="20"/>
              </w:rPr>
              <w:t>Ostalo</w:t>
            </w:r>
            <w:bookmarkEnd w:id="281"/>
          </w:p>
        </w:tc>
        <w:tc>
          <w:tcPr>
            <w:tcW w:w="495" w:type="pct"/>
            <w:tcBorders>
              <w:top w:val="nil"/>
              <w:left w:val="nil"/>
              <w:bottom w:val="nil"/>
              <w:right w:val="nil"/>
            </w:tcBorders>
            <w:shd w:val="clear" w:color="auto" w:fill="auto"/>
            <w:vAlign w:val="bottom"/>
          </w:tcPr>
          <w:p w14:paraId="7D9941A2" w14:textId="4746F1CA" w:rsidR="006435F7" w:rsidRPr="006435F7" w:rsidRDefault="006435F7" w:rsidP="006435F7">
            <w:pPr>
              <w:tabs>
                <w:tab w:val="right" w:pos="1202"/>
              </w:tabs>
              <w:suppressAutoHyphens/>
              <w:autoSpaceDN w:val="0"/>
              <w:jc w:val="right"/>
              <w:outlineLvl w:val="0"/>
              <w:rPr>
                <w:rFonts w:ascii="Arial" w:hAnsi="Arial" w:cs="Arial"/>
                <w:sz w:val="20"/>
                <w:szCs w:val="20"/>
              </w:rPr>
            </w:pPr>
            <w:r w:rsidRPr="006435F7">
              <w:rPr>
                <w:rFonts w:ascii="Arial" w:hAnsi="Arial" w:cs="Arial"/>
                <w:sz w:val="20"/>
                <w:szCs w:val="20"/>
              </w:rPr>
              <w:t xml:space="preserve"> 11 </w:t>
            </w:r>
          </w:p>
        </w:tc>
        <w:tc>
          <w:tcPr>
            <w:tcW w:w="495" w:type="pct"/>
            <w:tcBorders>
              <w:top w:val="nil"/>
              <w:left w:val="nil"/>
              <w:bottom w:val="nil"/>
              <w:right w:val="nil"/>
            </w:tcBorders>
            <w:shd w:val="clear" w:color="auto" w:fill="auto"/>
            <w:vAlign w:val="bottom"/>
          </w:tcPr>
          <w:p w14:paraId="7B77E746" w14:textId="07B69FDD" w:rsidR="006435F7" w:rsidRPr="006435F7" w:rsidRDefault="006435F7" w:rsidP="006435F7">
            <w:pPr>
              <w:tabs>
                <w:tab w:val="right" w:pos="1202"/>
              </w:tabs>
              <w:suppressAutoHyphens/>
              <w:autoSpaceDN w:val="0"/>
              <w:jc w:val="right"/>
              <w:outlineLvl w:val="0"/>
              <w:rPr>
                <w:rFonts w:ascii="Arial" w:hAnsi="Arial" w:cs="Arial"/>
                <w:sz w:val="20"/>
                <w:szCs w:val="20"/>
              </w:rPr>
            </w:pPr>
            <w:r w:rsidRPr="006435F7">
              <w:rPr>
                <w:rFonts w:ascii="Arial" w:hAnsi="Arial" w:cs="Arial"/>
                <w:sz w:val="20"/>
                <w:szCs w:val="20"/>
              </w:rPr>
              <w:t xml:space="preserve"> 34 </w:t>
            </w:r>
          </w:p>
        </w:tc>
        <w:tc>
          <w:tcPr>
            <w:tcW w:w="495" w:type="pct"/>
            <w:tcBorders>
              <w:top w:val="nil"/>
              <w:left w:val="nil"/>
              <w:bottom w:val="nil"/>
              <w:right w:val="nil"/>
            </w:tcBorders>
            <w:shd w:val="clear" w:color="auto" w:fill="auto"/>
            <w:vAlign w:val="bottom"/>
          </w:tcPr>
          <w:p w14:paraId="41F05959" w14:textId="467EF4BF" w:rsidR="006435F7" w:rsidRPr="00F43653" w:rsidRDefault="006435F7" w:rsidP="006435F7">
            <w:pPr>
              <w:tabs>
                <w:tab w:val="right" w:pos="1202"/>
              </w:tabs>
              <w:suppressAutoHyphens/>
              <w:autoSpaceDN w:val="0"/>
              <w:jc w:val="right"/>
              <w:outlineLvl w:val="0"/>
              <w:rPr>
                <w:rFonts w:ascii="Arial" w:hAnsi="Arial" w:cs="Arial"/>
                <w:sz w:val="20"/>
                <w:szCs w:val="20"/>
              </w:rPr>
            </w:pPr>
            <w:r w:rsidRPr="00D86AF7">
              <w:rPr>
                <w:rFonts w:ascii="Arial" w:hAnsi="Arial" w:cs="Arial"/>
                <w:sz w:val="20"/>
                <w:szCs w:val="20"/>
              </w:rPr>
              <w:t xml:space="preserve"> 3 </w:t>
            </w:r>
          </w:p>
        </w:tc>
        <w:tc>
          <w:tcPr>
            <w:tcW w:w="495" w:type="pct"/>
            <w:tcBorders>
              <w:top w:val="nil"/>
              <w:left w:val="nil"/>
              <w:bottom w:val="nil"/>
              <w:right w:val="nil"/>
            </w:tcBorders>
            <w:shd w:val="clear" w:color="auto" w:fill="auto"/>
            <w:vAlign w:val="bottom"/>
          </w:tcPr>
          <w:p w14:paraId="3CA07AFB" w14:textId="3FAC1A3A" w:rsidR="006435F7" w:rsidRPr="00F43653" w:rsidRDefault="006435F7" w:rsidP="006435F7">
            <w:pPr>
              <w:tabs>
                <w:tab w:val="right" w:pos="1202"/>
              </w:tabs>
              <w:suppressAutoHyphens/>
              <w:autoSpaceDN w:val="0"/>
              <w:jc w:val="right"/>
              <w:outlineLvl w:val="0"/>
              <w:rPr>
                <w:rFonts w:ascii="Arial" w:hAnsi="Arial" w:cs="Arial"/>
                <w:sz w:val="20"/>
                <w:szCs w:val="20"/>
              </w:rPr>
            </w:pPr>
            <w:r w:rsidRPr="00D86AF7">
              <w:rPr>
                <w:rFonts w:ascii="Arial" w:hAnsi="Arial" w:cs="Arial"/>
                <w:sz w:val="20"/>
                <w:szCs w:val="20"/>
              </w:rPr>
              <w:t xml:space="preserve"> 11 </w:t>
            </w:r>
          </w:p>
        </w:tc>
        <w:tc>
          <w:tcPr>
            <w:tcW w:w="495" w:type="pct"/>
            <w:tcBorders>
              <w:top w:val="nil"/>
              <w:left w:val="nil"/>
              <w:bottom w:val="nil"/>
              <w:right w:val="nil"/>
            </w:tcBorders>
            <w:shd w:val="clear" w:color="auto" w:fill="auto"/>
            <w:vAlign w:val="bottom"/>
          </w:tcPr>
          <w:p w14:paraId="6642180E" w14:textId="7206D3DA" w:rsidR="006435F7" w:rsidRPr="0039413C" w:rsidDel="00D241F2" w:rsidRDefault="006435F7" w:rsidP="006435F7">
            <w:pPr>
              <w:tabs>
                <w:tab w:val="right" w:pos="1202"/>
              </w:tabs>
              <w:suppressAutoHyphens/>
              <w:autoSpaceDN w:val="0"/>
              <w:jc w:val="right"/>
              <w:outlineLvl w:val="0"/>
              <w:rPr>
                <w:rFonts w:ascii="Arial" w:hAnsi="Arial" w:cs="Arial"/>
                <w:sz w:val="20"/>
                <w:szCs w:val="20"/>
              </w:rPr>
            </w:pPr>
            <w:r w:rsidRPr="0039413C">
              <w:rPr>
                <w:rFonts w:ascii="Arial" w:hAnsi="Arial" w:cs="Arial"/>
                <w:sz w:val="20"/>
                <w:szCs w:val="20"/>
              </w:rPr>
              <w:t xml:space="preserve"> 9 </w:t>
            </w:r>
          </w:p>
        </w:tc>
        <w:tc>
          <w:tcPr>
            <w:tcW w:w="495" w:type="pct"/>
            <w:tcBorders>
              <w:top w:val="nil"/>
              <w:left w:val="nil"/>
              <w:bottom w:val="nil"/>
              <w:right w:val="nil"/>
            </w:tcBorders>
            <w:shd w:val="clear" w:color="auto" w:fill="auto"/>
            <w:vAlign w:val="bottom"/>
          </w:tcPr>
          <w:p w14:paraId="10A1C022" w14:textId="0AFA5865" w:rsidR="006435F7" w:rsidRPr="0039413C" w:rsidRDefault="006435F7" w:rsidP="006435F7">
            <w:pPr>
              <w:tabs>
                <w:tab w:val="right" w:pos="1202"/>
              </w:tabs>
              <w:suppressAutoHyphens/>
              <w:autoSpaceDN w:val="0"/>
              <w:jc w:val="right"/>
              <w:outlineLvl w:val="0"/>
              <w:rPr>
                <w:rFonts w:ascii="Arial" w:hAnsi="Arial" w:cs="Arial"/>
                <w:sz w:val="20"/>
                <w:szCs w:val="20"/>
              </w:rPr>
            </w:pPr>
            <w:r w:rsidRPr="0039413C">
              <w:rPr>
                <w:rFonts w:ascii="Arial" w:hAnsi="Arial" w:cs="Arial"/>
                <w:sz w:val="20"/>
                <w:szCs w:val="20"/>
              </w:rPr>
              <w:t xml:space="preserve"> 29 </w:t>
            </w:r>
          </w:p>
        </w:tc>
        <w:tc>
          <w:tcPr>
            <w:tcW w:w="494" w:type="pct"/>
            <w:tcBorders>
              <w:top w:val="nil"/>
              <w:left w:val="nil"/>
              <w:bottom w:val="nil"/>
              <w:right w:val="nil"/>
            </w:tcBorders>
            <w:shd w:val="clear" w:color="auto" w:fill="auto"/>
            <w:vAlign w:val="bottom"/>
          </w:tcPr>
          <w:p w14:paraId="2854932C" w14:textId="1F0EDA29" w:rsidR="006435F7" w:rsidRPr="007478FB" w:rsidDel="00D241F2" w:rsidRDefault="006435F7" w:rsidP="006435F7">
            <w:pPr>
              <w:tabs>
                <w:tab w:val="right" w:pos="1202"/>
              </w:tabs>
              <w:suppressAutoHyphens/>
              <w:autoSpaceDN w:val="0"/>
              <w:jc w:val="right"/>
              <w:outlineLvl w:val="0"/>
              <w:rPr>
                <w:rFonts w:ascii="Arial" w:hAnsi="Arial" w:cs="Arial"/>
                <w:sz w:val="20"/>
                <w:szCs w:val="20"/>
              </w:rPr>
            </w:pPr>
            <w:r w:rsidRPr="00FF3B1A">
              <w:rPr>
                <w:rFonts w:ascii="Arial" w:hAnsi="Arial" w:cs="Arial"/>
                <w:sz w:val="20"/>
                <w:szCs w:val="20"/>
              </w:rPr>
              <w:t xml:space="preserve"> 3 </w:t>
            </w:r>
          </w:p>
        </w:tc>
        <w:tc>
          <w:tcPr>
            <w:tcW w:w="493" w:type="pct"/>
            <w:tcBorders>
              <w:top w:val="nil"/>
              <w:left w:val="nil"/>
              <w:bottom w:val="nil"/>
              <w:right w:val="nil"/>
            </w:tcBorders>
            <w:shd w:val="clear" w:color="auto" w:fill="auto"/>
            <w:vAlign w:val="bottom"/>
          </w:tcPr>
          <w:p w14:paraId="4F9EC903" w14:textId="3E117F80" w:rsidR="006435F7" w:rsidRPr="007478FB" w:rsidRDefault="006435F7" w:rsidP="006435F7">
            <w:pPr>
              <w:tabs>
                <w:tab w:val="right" w:pos="1202"/>
              </w:tabs>
              <w:suppressAutoHyphens/>
              <w:autoSpaceDN w:val="0"/>
              <w:jc w:val="right"/>
              <w:outlineLvl w:val="0"/>
              <w:rPr>
                <w:rFonts w:ascii="Arial" w:hAnsi="Arial" w:cs="Arial"/>
                <w:sz w:val="20"/>
                <w:szCs w:val="20"/>
              </w:rPr>
            </w:pPr>
            <w:r w:rsidRPr="00FF3B1A">
              <w:rPr>
                <w:rFonts w:ascii="Arial" w:hAnsi="Arial" w:cs="Arial"/>
                <w:sz w:val="20"/>
                <w:szCs w:val="20"/>
              </w:rPr>
              <w:t xml:space="preserve"> 10 </w:t>
            </w:r>
          </w:p>
        </w:tc>
      </w:tr>
      <w:tr w:rsidR="006435F7" w:rsidRPr="00544134" w14:paraId="3D758CF1" w14:textId="77777777" w:rsidTr="006435F7">
        <w:tc>
          <w:tcPr>
            <w:tcW w:w="1043" w:type="pct"/>
            <w:vAlign w:val="bottom"/>
          </w:tcPr>
          <w:p w14:paraId="20044A9D" w14:textId="77777777" w:rsidR="006435F7" w:rsidRPr="00F43653" w:rsidRDefault="006435F7" w:rsidP="006435F7">
            <w:pPr>
              <w:tabs>
                <w:tab w:val="right" w:pos="1202"/>
              </w:tabs>
              <w:suppressAutoHyphens/>
              <w:autoSpaceDN w:val="0"/>
              <w:outlineLvl w:val="0"/>
              <w:rPr>
                <w:rFonts w:ascii="Arial" w:eastAsia="Times New Roman" w:hAnsi="Arial" w:cs="Arial"/>
                <w:b/>
                <w:bCs/>
                <w:color w:val="000000" w:themeColor="text1"/>
                <w:sz w:val="20"/>
                <w:szCs w:val="20"/>
              </w:rPr>
            </w:pPr>
          </w:p>
        </w:tc>
        <w:tc>
          <w:tcPr>
            <w:tcW w:w="495" w:type="pct"/>
            <w:tcBorders>
              <w:top w:val="single" w:sz="4" w:space="0" w:color="auto"/>
              <w:bottom w:val="single" w:sz="12" w:space="0" w:color="auto"/>
            </w:tcBorders>
            <w:vAlign w:val="bottom"/>
          </w:tcPr>
          <w:p w14:paraId="149A574B" w14:textId="041F8DB9" w:rsidR="006435F7" w:rsidRPr="006435F7" w:rsidRDefault="006435F7" w:rsidP="006435F7">
            <w:pPr>
              <w:tabs>
                <w:tab w:val="right" w:pos="1202"/>
              </w:tabs>
              <w:suppressAutoHyphens/>
              <w:autoSpaceDN w:val="0"/>
              <w:jc w:val="right"/>
              <w:outlineLvl w:val="0"/>
              <w:rPr>
                <w:rFonts w:ascii="Arial" w:hAnsi="Arial" w:cs="Arial"/>
                <w:b/>
                <w:bCs/>
                <w:sz w:val="20"/>
                <w:szCs w:val="20"/>
              </w:rPr>
            </w:pPr>
            <w:r w:rsidRPr="006435F7">
              <w:rPr>
                <w:rFonts w:ascii="Arial" w:hAnsi="Arial" w:cs="Arial"/>
                <w:b/>
                <w:bCs/>
                <w:sz w:val="20"/>
                <w:szCs w:val="20"/>
              </w:rPr>
              <w:t xml:space="preserve"> 12.630 </w:t>
            </w:r>
          </w:p>
        </w:tc>
        <w:tc>
          <w:tcPr>
            <w:tcW w:w="495" w:type="pct"/>
            <w:tcBorders>
              <w:top w:val="single" w:sz="4" w:space="0" w:color="auto"/>
              <w:bottom w:val="single" w:sz="12" w:space="0" w:color="auto"/>
            </w:tcBorders>
            <w:vAlign w:val="bottom"/>
          </w:tcPr>
          <w:p w14:paraId="001399F6" w14:textId="498C9AAB" w:rsidR="006435F7" w:rsidRPr="006435F7" w:rsidRDefault="006435F7" w:rsidP="006435F7">
            <w:pPr>
              <w:tabs>
                <w:tab w:val="right" w:pos="1202"/>
              </w:tabs>
              <w:suppressAutoHyphens/>
              <w:autoSpaceDN w:val="0"/>
              <w:jc w:val="right"/>
              <w:outlineLvl w:val="0"/>
              <w:rPr>
                <w:rFonts w:ascii="Arial" w:hAnsi="Arial" w:cs="Arial"/>
                <w:b/>
                <w:bCs/>
                <w:sz w:val="20"/>
                <w:szCs w:val="20"/>
              </w:rPr>
            </w:pPr>
            <w:r w:rsidRPr="006435F7">
              <w:rPr>
                <w:rFonts w:ascii="Arial" w:hAnsi="Arial" w:cs="Arial"/>
                <w:b/>
                <w:bCs/>
                <w:sz w:val="20"/>
                <w:szCs w:val="20"/>
              </w:rPr>
              <w:t xml:space="preserve"> 34.690 </w:t>
            </w:r>
          </w:p>
        </w:tc>
        <w:tc>
          <w:tcPr>
            <w:tcW w:w="495" w:type="pct"/>
            <w:tcBorders>
              <w:top w:val="single" w:sz="4" w:space="0" w:color="auto"/>
              <w:bottom w:val="single" w:sz="12" w:space="0" w:color="auto"/>
            </w:tcBorders>
            <w:vAlign w:val="bottom"/>
          </w:tcPr>
          <w:p w14:paraId="0B06314F" w14:textId="17EE0707" w:rsidR="006435F7" w:rsidRPr="00D86AF7" w:rsidRDefault="006435F7" w:rsidP="006435F7">
            <w:pPr>
              <w:tabs>
                <w:tab w:val="right" w:pos="1202"/>
              </w:tabs>
              <w:suppressAutoHyphens/>
              <w:autoSpaceDN w:val="0"/>
              <w:jc w:val="right"/>
              <w:outlineLvl w:val="0"/>
              <w:rPr>
                <w:rFonts w:ascii="Arial" w:hAnsi="Arial" w:cs="Arial"/>
                <w:b/>
                <w:bCs/>
                <w:sz w:val="20"/>
                <w:szCs w:val="20"/>
              </w:rPr>
            </w:pPr>
            <w:r w:rsidRPr="00D86AF7">
              <w:rPr>
                <w:rFonts w:ascii="Arial" w:hAnsi="Arial" w:cs="Arial"/>
                <w:b/>
                <w:bCs/>
                <w:sz w:val="20"/>
                <w:szCs w:val="20"/>
              </w:rPr>
              <w:t xml:space="preserve"> 7.255 </w:t>
            </w:r>
          </w:p>
        </w:tc>
        <w:tc>
          <w:tcPr>
            <w:tcW w:w="495" w:type="pct"/>
            <w:tcBorders>
              <w:top w:val="single" w:sz="4" w:space="0" w:color="auto"/>
              <w:bottom w:val="single" w:sz="12" w:space="0" w:color="auto"/>
            </w:tcBorders>
            <w:vAlign w:val="bottom"/>
          </w:tcPr>
          <w:p w14:paraId="079E6D5C" w14:textId="371C562E" w:rsidR="006435F7" w:rsidRPr="00D86AF7" w:rsidRDefault="006435F7" w:rsidP="006435F7">
            <w:pPr>
              <w:tabs>
                <w:tab w:val="right" w:pos="1202"/>
              </w:tabs>
              <w:suppressAutoHyphens/>
              <w:autoSpaceDN w:val="0"/>
              <w:jc w:val="right"/>
              <w:outlineLvl w:val="0"/>
              <w:rPr>
                <w:rFonts w:ascii="Arial" w:hAnsi="Arial" w:cs="Arial"/>
                <w:b/>
                <w:bCs/>
                <w:sz w:val="20"/>
                <w:szCs w:val="20"/>
              </w:rPr>
            </w:pPr>
            <w:r w:rsidRPr="00D86AF7">
              <w:rPr>
                <w:rFonts w:ascii="Arial" w:hAnsi="Arial" w:cs="Arial"/>
                <w:b/>
                <w:bCs/>
                <w:sz w:val="20"/>
                <w:szCs w:val="20"/>
              </w:rPr>
              <w:t xml:space="preserve"> 19.605 </w:t>
            </w:r>
          </w:p>
        </w:tc>
        <w:tc>
          <w:tcPr>
            <w:tcW w:w="495" w:type="pct"/>
            <w:tcBorders>
              <w:top w:val="single" w:sz="4" w:space="0" w:color="auto"/>
              <w:bottom w:val="single" w:sz="12" w:space="0" w:color="auto"/>
            </w:tcBorders>
            <w:vAlign w:val="bottom"/>
          </w:tcPr>
          <w:p w14:paraId="5FAF34F0" w14:textId="411DDA75" w:rsidR="006435F7" w:rsidRPr="0039413C" w:rsidRDefault="006435F7" w:rsidP="006435F7">
            <w:pPr>
              <w:tabs>
                <w:tab w:val="right" w:pos="1202"/>
              </w:tabs>
              <w:suppressAutoHyphens/>
              <w:autoSpaceDN w:val="0"/>
              <w:jc w:val="right"/>
              <w:outlineLvl w:val="0"/>
              <w:rPr>
                <w:rFonts w:ascii="Arial" w:hAnsi="Arial" w:cs="Arial"/>
                <w:b/>
                <w:bCs/>
                <w:sz w:val="20"/>
                <w:szCs w:val="20"/>
              </w:rPr>
            </w:pPr>
            <w:r w:rsidRPr="0039413C">
              <w:rPr>
                <w:rFonts w:ascii="Arial" w:hAnsi="Arial" w:cs="Arial"/>
                <w:b/>
                <w:bCs/>
                <w:sz w:val="20"/>
                <w:szCs w:val="20"/>
              </w:rPr>
              <w:t xml:space="preserve"> 12.628 </w:t>
            </w:r>
          </w:p>
        </w:tc>
        <w:tc>
          <w:tcPr>
            <w:tcW w:w="495" w:type="pct"/>
            <w:tcBorders>
              <w:top w:val="single" w:sz="4" w:space="0" w:color="auto"/>
              <w:bottom w:val="single" w:sz="12" w:space="0" w:color="auto"/>
            </w:tcBorders>
            <w:vAlign w:val="bottom"/>
          </w:tcPr>
          <w:p w14:paraId="5F8EB51A" w14:textId="31528416" w:rsidR="006435F7" w:rsidRPr="0039413C" w:rsidRDefault="006435F7" w:rsidP="006435F7">
            <w:pPr>
              <w:tabs>
                <w:tab w:val="right" w:pos="1202"/>
              </w:tabs>
              <w:suppressAutoHyphens/>
              <w:autoSpaceDN w:val="0"/>
              <w:jc w:val="right"/>
              <w:outlineLvl w:val="0"/>
              <w:rPr>
                <w:rFonts w:ascii="Arial" w:hAnsi="Arial" w:cs="Arial"/>
                <w:b/>
                <w:bCs/>
                <w:sz w:val="20"/>
                <w:szCs w:val="20"/>
              </w:rPr>
            </w:pPr>
            <w:r w:rsidRPr="0039413C">
              <w:rPr>
                <w:rFonts w:ascii="Arial" w:hAnsi="Arial" w:cs="Arial"/>
                <w:b/>
                <w:bCs/>
                <w:sz w:val="20"/>
                <w:szCs w:val="20"/>
              </w:rPr>
              <w:t xml:space="preserve"> 34.685 </w:t>
            </w:r>
          </w:p>
        </w:tc>
        <w:tc>
          <w:tcPr>
            <w:tcW w:w="494" w:type="pct"/>
            <w:tcBorders>
              <w:top w:val="single" w:sz="4" w:space="0" w:color="auto"/>
              <w:bottom w:val="single" w:sz="12" w:space="0" w:color="auto"/>
            </w:tcBorders>
            <w:vAlign w:val="bottom"/>
          </w:tcPr>
          <w:p w14:paraId="00C67F17" w14:textId="1F2D119D" w:rsidR="006435F7" w:rsidRPr="007478FB" w:rsidRDefault="006435F7" w:rsidP="006435F7">
            <w:pPr>
              <w:suppressAutoHyphens/>
              <w:autoSpaceDN w:val="0"/>
              <w:jc w:val="right"/>
              <w:rPr>
                <w:rFonts w:ascii="Arial" w:hAnsi="Arial" w:cs="Arial"/>
                <w:b/>
                <w:bCs/>
                <w:sz w:val="20"/>
                <w:szCs w:val="20"/>
              </w:rPr>
            </w:pPr>
            <w:r w:rsidRPr="00FF3B1A">
              <w:rPr>
                <w:rFonts w:ascii="Arial" w:hAnsi="Arial" w:cs="Arial"/>
                <w:b/>
                <w:bCs/>
                <w:sz w:val="20"/>
                <w:szCs w:val="20"/>
              </w:rPr>
              <w:t xml:space="preserve"> 7.255 </w:t>
            </w:r>
          </w:p>
        </w:tc>
        <w:tc>
          <w:tcPr>
            <w:tcW w:w="493" w:type="pct"/>
            <w:tcBorders>
              <w:top w:val="single" w:sz="4" w:space="0" w:color="auto"/>
              <w:bottom w:val="single" w:sz="12" w:space="0" w:color="auto"/>
            </w:tcBorders>
            <w:vAlign w:val="bottom"/>
          </w:tcPr>
          <w:p w14:paraId="5A064442" w14:textId="4B6109E2" w:rsidR="006435F7" w:rsidRPr="007478FB" w:rsidRDefault="006435F7" w:rsidP="006435F7">
            <w:pPr>
              <w:suppressAutoHyphens/>
              <w:autoSpaceDN w:val="0"/>
              <w:jc w:val="right"/>
              <w:rPr>
                <w:rFonts w:ascii="Arial" w:hAnsi="Arial" w:cs="Arial"/>
                <w:b/>
                <w:bCs/>
                <w:sz w:val="20"/>
                <w:szCs w:val="20"/>
              </w:rPr>
            </w:pPr>
            <w:r w:rsidRPr="00FF3B1A">
              <w:rPr>
                <w:rFonts w:ascii="Arial" w:hAnsi="Arial" w:cs="Arial"/>
                <w:b/>
                <w:bCs/>
                <w:sz w:val="20"/>
                <w:szCs w:val="20"/>
              </w:rPr>
              <w:t xml:space="preserve"> 19.604 </w:t>
            </w:r>
          </w:p>
        </w:tc>
      </w:tr>
    </w:tbl>
    <w:p w14:paraId="5C9A410F" w14:textId="77777777" w:rsidR="00FD5DDF" w:rsidRPr="00544134" w:rsidRDefault="00FD5DDF" w:rsidP="00843998">
      <w:pPr>
        <w:keepNext/>
        <w:suppressAutoHyphens/>
        <w:autoSpaceDN w:val="0"/>
        <w:jc w:val="both"/>
        <w:outlineLvl w:val="0"/>
        <w:rPr>
          <w:rFonts w:ascii="Arial" w:eastAsia="Times New Roman" w:hAnsi="Arial" w:cs="Arial"/>
          <w:color w:val="000000" w:themeColor="text1"/>
          <w:sz w:val="20"/>
          <w:szCs w:val="20"/>
        </w:rPr>
      </w:pPr>
    </w:p>
    <w:p w14:paraId="41537E24" w14:textId="77777777" w:rsidR="00544134" w:rsidRDefault="00544134" w:rsidP="00843998">
      <w:pPr>
        <w:keepNext/>
        <w:suppressAutoHyphens/>
        <w:autoSpaceDN w:val="0"/>
        <w:jc w:val="both"/>
        <w:outlineLvl w:val="0"/>
        <w:rPr>
          <w:rFonts w:ascii="Arial" w:eastAsia="Times New Roman" w:hAnsi="Arial" w:cs="Arial"/>
          <w:color w:val="000000" w:themeColor="text1"/>
          <w:sz w:val="20"/>
          <w:szCs w:val="20"/>
        </w:rPr>
      </w:pPr>
    </w:p>
    <w:p w14:paraId="26C523E1" w14:textId="77777777" w:rsidR="00544134" w:rsidRDefault="00544134" w:rsidP="00843998">
      <w:pPr>
        <w:keepNext/>
        <w:suppressAutoHyphens/>
        <w:autoSpaceDN w:val="0"/>
        <w:jc w:val="both"/>
        <w:outlineLvl w:val="0"/>
        <w:rPr>
          <w:rFonts w:ascii="Arial" w:eastAsia="Times New Roman" w:hAnsi="Arial" w:cs="Arial"/>
          <w:color w:val="000000" w:themeColor="text1"/>
          <w:sz w:val="20"/>
          <w:szCs w:val="20"/>
        </w:rPr>
      </w:pPr>
    </w:p>
    <w:p w14:paraId="19EC1023" w14:textId="77777777" w:rsidR="00544134" w:rsidRDefault="00544134" w:rsidP="00843998">
      <w:pPr>
        <w:keepNext/>
        <w:suppressAutoHyphens/>
        <w:autoSpaceDN w:val="0"/>
        <w:jc w:val="both"/>
        <w:outlineLvl w:val="0"/>
        <w:rPr>
          <w:rFonts w:ascii="Arial" w:eastAsia="Times New Roman" w:hAnsi="Arial" w:cs="Arial"/>
          <w:color w:val="000000" w:themeColor="text1"/>
          <w:sz w:val="20"/>
          <w:szCs w:val="20"/>
        </w:rPr>
      </w:pPr>
    </w:p>
    <w:p w14:paraId="64A71F4E" w14:textId="77777777" w:rsidR="00961CDB" w:rsidRDefault="00961CDB" w:rsidP="00843998">
      <w:pPr>
        <w:keepNext/>
        <w:suppressAutoHyphens/>
        <w:autoSpaceDN w:val="0"/>
        <w:jc w:val="both"/>
        <w:outlineLvl w:val="0"/>
        <w:rPr>
          <w:rFonts w:ascii="Arial" w:eastAsia="Times New Roman" w:hAnsi="Arial" w:cs="Arial"/>
          <w:color w:val="000000" w:themeColor="text1"/>
          <w:sz w:val="20"/>
          <w:szCs w:val="20"/>
        </w:rPr>
        <w:sectPr w:rsidR="00961CDB" w:rsidSect="00054850">
          <w:pgSz w:w="16838" w:h="11906" w:orient="landscape"/>
          <w:pgMar w:top="1417" w:right="1417" w:bottom="1417" w:left="1417" w:header="708" w:footer="708" w:gutter="0"/>
          <w:cols w:space="708"/>
          <w:docGrid w:linePitch="360"/>
        </w:sectPr>
      </w:pPr>
    </w:p>
    <w:p w14:paraId="70B28438" w14:textId="77777777" w:rsidR="00961CDB" w:rsidRDefault="00961CDB" w:rsidP="00843998">
      <w:pPr>
        <w:keepNext/>
        <w:suppressAutoHyphens/>
        <w:autoSpaceDN w:val="0"/>
        <w:jc w:val="both"/>
        <w:outlineLvl w:val="0"/>
        <w:rPr>
          <w:rFonts w:ascii="Arial" w:eastAsia="Times New Roman" w:hAnsi="Arial" w:cs="Arial"/>
          <w:color w:val="000000" w:themeColor="text1"/>
          <w:sz w:val="20"/>
          <w:szCs w:val="20"/>
        </w:rPr>
      </w:pPr>
    </w:p>
    <w:p w14:paraId="3E8B8B77" w14:textId="10E59FDB" w:rsidR="00961CDB" w:rsidRPr="007478FB" w:rsidRDefault="00961CDB" w:rsidP="007478FB">
      <w:pPr>
        <w:keepNext/>
        <w:tabs>
          <w:tab w:val="left" w:pos="567"/>
        </w:tabs>
        <w:suppressAutoHyphens/>
        <w:autoSpaceDN w:val="0"/>
        <w:jc w:val="both"/>
        <w:outlineLvl w:val="0"/>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6.</w:t>
      </w:r>
      <w:r w:rsidRPr="003D1614">
        <w:rPr>
          <w:rFonts w:ascii="Arial" w:eastAsia="Times New Roman" w:hAnsi="Arial" w:cs="Arial"/>
          <w:b/>
          <w:color w:val="000000" w:themeColor="text1"/>
          <w:sz w:val="20"/>
          <w:szCs w:val="20"/>
        </w:rPr>
        <w:tab/>
        <w:t>Rashodi od kamata</w:t>
      </w:r>
      <w:r>
        <w:rPr>
          <w:rFonts w:ascii="Arial" w:eastAsia="Times New Roman" w:hAnsi="Arial" w:cs="Arial"/>
          <w:b/>
          <w:color w:val="000000" w:themeColor="text1"/>
          <w:sz w:val="20"/>
          <w:szCs w:val="20"/>
        </w:rPr>
        <w:t xml:space="preserve"> (nastavak)</w:t>
      </w:r>
    </w:p>
    <w:p w14:paraId="49C2E72B" w14:textId="77777777" w:rsidR="00961CDB" w:rsidRPr="003D1614" w:rsidRDefault="00961CDB" w:rsidP="00843998">
      <w:pPr>
        <w:keepNext/>
        <w:suppressAutoHyphens/>
        <w:autoSpaceDN w:val="0"/>
        <w:jc w:val="both"/>
        <w:outlineLvl w:val="0"/>
        <w:rPr>
          <w:rFonts w:ascii="Arial" w:eastAsia="Times New Roman" w:hAnsi="Arial" w:cs="Arial"/>
          <w:color w:val="000000" w:themeColor="text1"/>
          <w:sz w:val="20"/>
          <w:szCs w:val="20"/>
        </w:rPr>
      </w:pPr>
    </w:p>
    <w:p w14:paraId="61ACCD3E" w14:textId="24BEC580" w:rsidR="00843998" w:rsidRPr="003D1614" w:rsidRDefault="00843998" w:rsidP="00843998">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Rashodi od kamata prema vrstama obveza:</w:t>
      </w:r>
    </w:p>
    <w:p w14:paraId="45AB8C4D" w14:textId="77777777" w:rsidR="00FD5DDF" w:rsidRPr="003D1614" w:rsidRDefault="00FD5DDF" w:rsidP="00843998">
      <w:pPr>
        <w:keepNext/>
        <w:suppressAutoHyphens/>
        <w:autoSpaceDN w:val="0"/>
        <w:jc w:val="both"/>
        <w:outlineLvl w:val="0"/>
        <w:rPr>
          <w:rFonts w:ascii="Arial" w:eastAsia="Times New Roman" w:hAnsi="Arial" w:cs="Arial"/>
          <w:color w:val="000000" w:themeColor="text1"/>
          <w:sz w:val="20"/>
          <w:szCs w:val="20"/>
        </w:rPr>
      </w:pPr>
    </w:p>
    <w:tbl>
      <w:tblPr>
        <w:tblW w:w="5000" w:type="pct"/>
        <w:tblLayout w:type="fixed"/>
        <w:tblCellMar>
          <w:left w:w="122" w:type="dxa"/>
          <w:right w:w="122" w:type="dxa"/>
        </w:tblCellMar>
        <w:tblLook w:val="0000" w:firstRow="0" w:lastRow="0" w:firstColumn="0" w:lastColumn="0" w:noHBand="0" w:noVBand="0"/>
      </w:tblPr>
      <w:tblGrid>
        <w:gridCol w:w="2925"/>
        <w:gridCol w:w="1386"/>
        <w:gridCol w:w="1386"/>
        <w:gridCol w:w="1386"/>
        <w:gridCol w:w="1384"/>
        <w:gridCol w:w="1384"/>
        <w:gridCol w:w="1386"/>
        <w:gridCol w:w="1386"/>
        <w:gridCol w:w="1381"/>
      </w:tblGrid>
      <w:tr w:rsidR="00961CDB" w:rsidRPr="003A3244" w14:paraId="67448F0C" w14:textId="77777777" w:rsidTr="007478FB">
        <w:trPr>
          <w:trHeight w:val="300"/>
        </w:trPr>
        <w:tc>
          <w:tcPr>
            <w:tcW w:w="1044" w:type="pct"/>
            <w:vAlign w:val="bottom"/>
          </w:tcPr>
          <w:p w14:paraId="77B8399A" w14:textId="77777777" w:rsidR="00961CDB" w:rsidRPr="00F43653" w:rsidRDefault="00961CDB" w:rsidP="00054850">
            <w:pPr>
              <w:tabs>
                <w:tab w:val="left" w:pos="-720"/>
              </w:tabs>
              <w:suppressAutoHyphens/>
              <w:autoSpaceDN w:val="0"/>
              <w:jc w:val="right"/>
              <w:rPr>
                <w:rFonts w:ascii="Arial" w:eastAsia="Times New Roman" w:hAnsi="Arial" w:cs="Arial"/>
                <w:color w:val="000000" w:themeColor="text1"/>
                <w:spacing w:val="-3"/>
                <w:sz w:val="20"/>
                <w:szCs w:val="20"/>
              </w:rPr>
            </w:pPr>
          </w:p>
        </w:tc>
        <w:tc>
          <w:tcPr>
            <w:tcW w:w="1979" w:type="pct"/>
            <w:gridSpan w:val="4"/>
            <w:vAlign w:val="bottom"/>
          </w:tcPr>
          <w:p w14:paraId="7CFFEA39" w14:textId="3266077C" w:rsidR="00961CDB" w:rsidRPr="00F43653" w:rsidRDefault="00961CDB" w:rsidP="00054850">
            <w:pPr>
              <w:tabs>
                <w:tab w:val="right" w:pos="1202"/>
              </w:tabs>
              <w:suppressAutoHyphens/>
              <w:autoSpaceDN w:val="0"/>
              <w:jc w:val="right"/>
              <w:outlineLvl w:val="0"/>
              <w:rPr>
                <w:rFonts w:ascii="Arial" w:eastAsia="Times New Roman" w:hAnsi="Arial" w:cs="Arial"/>
                <w:b/>
                <w:color w:val="000000" w:themeColor="text1"/>
                <w:sz w:val="20"/>
                <w:szCs w:val="20"/>
              </w:rPr>
            </w:pPr>
            <w:r w:rsidRPr="00F43653">
              <w:rPr>
                <w:rFonts w:ascii="Arial" w:hAnsi="Arial" w:cs="Arial"/>
                <w:b/>
                <w:bCs/>
                <w:sz w:val="20"/>
                <w:szCs w:val="20"/>
              </w:rPr>
              <w:t>Grupa</w:t>
            </w:r>
          </w:p>
        </w:tc>
        <w:tc>
          <w:tcPr>
            <w:tcW w:w="1977" w:type="pct"/>
            <w:gridSpan w:val="4"/>
            <w:vAlign w:val="bottom"/>
          </w:tcPr>
          <w:p w14:paraId="6CADEC06" w14:textId="559BFF04" w:rsidR="00961CDB" w:rsidRPr="00F43653" w:rsidRDefault="00961CDB" w:rsidP="00054850">
            <w:pPr>
              <w:tabs>
                <w:tab w:val="right" w:pos="1202"/>
              </w:tabs>
              <w:suppressAutoHyphens/>
              <w:autoSpaceDN w:val="0"/>
              <w:jc w:val="right"/>
              <w:outlineLvl w:val="0"/>
              <w:rPr>
                <w:rFonts w:ascii="Arial" w:eastAsia="Times New Roman" w:hAnsi="Arial" w:cs="Arial"/>
                <w:b/>
                <w:color w:val="000000" w:themeColor="text1"/>
                <w:sz w:val="20"/>
                <w:szCs w:val="20"/>
              </w:rPr>
            </w:pPr>
            <w:r w:rsidRPr="00F43653">
              <w:rPr>
                <w:rFonts w:ascii="Arial" w:hAnsi="Arial" w:cs="Arial"/>
                <w:b/>
                <w:bCs/>
                <w:sz w:val="20"/>
                <w:szCs w:val="20"/>
              </w:rPr>
              <w:t>Banka</w:t>
            </w:r>
          </w:p>
        </w:tc>
      </w:tr>
      <w:tr w:rsidR="00961CDB" w:rsidRPr="003A3244" w14:paraId="3D22E233" w14:textId="77777777" w:rsidTr="007478FB">
        <w:trPr>
          <w:trHeight w:val="300"/>
        </w:trPr>
        <w:tc>
          <w:tcPr>
            <w:tcW w:w="1044" w:type="pct"/>
            <w:vAlign w:val="bottom"/>
          </w:tcPr>
          <w:p w14:paraId="7F3AC85E" w14:textId="77777777" w:rsidR="00961CDB" w:rsidRPr="00F43653" w:rsidRDefault="00961CDB" w:rsidP="00054850">
            <w:pPr>
              <w:tabs>
                <w:tab w:val="left" w:pos="-720"/>
              </w:tabs>
              <w:suppressAutoHyphens/>
              <w:autoSpaceDN w:val="0"/>
              <w:jc w:val="right"/>
              <w:rPr>
                <w:rFonts w:ascii="Arial" w:eastAsia="Times New Roman" w:hAnsi="Arial" w:cs="Arial"/>
                <w:color w:val="000000" w:themeColor="text1"/>
                <w:spacing w:val="-3"/>
                <w:sz w:val="20"/>
                <w:szCs w:val="20"/>
              </w:rPr>
            </w:pPr>
          </w:p>
        </w:tc>
        <w:tc>
          <w:tcPr>
            <w:tcW w:w="990" w:type="pct"/>
            <w:gridSpan w:val="2"/>
            <w:vAlign w:val="bottom"/>
          </w:tcPr>
          <w:p w14:paraId="7D7CE392" w14:textId="77F93861" w:rsidR="00961CDB" w:rsidRPr="00F43653" w:rsidRDefault="00961CDB" w:rsidP="007478FB">
            <w:pPr>
              <w:tabs>
                <w:tab w:val="right" w:pos="1202"/>
              </w:tabs>
              <w:suppressAutoHyphens/>
              <w:autoSpaceDN w:val="0"/>
              <w:jc w:val="center"/>
              <w:outlineLvl w:val="0"/>
              <w:rPr>
                <w:rFonts w:ascii="Arial" w:eastAsia="Times New Roman" w:hAnsi="Arial" w:cs="Arial"/>
                <w:b/>
                <w:color w:val="000000" w:themeColor="text1"/>
                <w:sz w:val="20"/>
                <w:szCs w:val="20"/>
              </w:rPr>
            </w:pPr>
            <w:r w:rsidRPr="00F43653">
              <w:rPr>
                <w:rFonts w:ascii="Arial" w:hAnsi="Arial" w:cs="Arial"/>
                <w:b/>
                <w:bCs/>
                <w:sz w:val="20"/>
                <w:szCs w:val="20"/>
              </w:rPr>
              <w:t>202</w:t>
            </w:r>
            <w:r w:rsidR="004C5325">
              <w:rPr>
                <w:rFonts w:ascii="Arial" w:hAnsi="Arial" w:cs="Arial"/>
                <w:b/>
                <w:bCs/>
                <w:sz w:val="20"/>
                <w:szCs w:val="20"/>
              </w:rPr>
              <w:t>4</w:t>
            </w:r>
            <w:r w:rsidRPr="00F43653">
              <w:rPr>
                <w:rFonts w:ascii="Arial" w:hAnsi="Arial" w:cs="Arial"/>
                <w:b/>
                <w:bCs/>
                <w:sz w:val="20"/>
                <w:szCs w:val="20"/>
              </w:rPr>
              <w:t>.</w:t>
            </w:r>
          </w:p>
        </w:tc>
        <w:tc>
          <w:tcPr>
            <w:tcW w:w="989" w:type="pct"/>
            <w:gridSpan w:val="2"/>
            <w:vAlign w:val="bottom"/>
          </w:tcPr>
          <w:p w14:paraId="3D6821DA" w14:textId="013D7776" w:rsidR="00961CDB" w:rsidRPr="00F43653" w:rsidRDefault="00961CDB" w:rsidP="007478FB">
            <w:pPr>
              <w:tabs>
                <w:tab w:val="right" w:pos="1202"/>
              </w:tabs>
              <w:suppressAutoHyphens/>
              <w:autoSpaceDN w:val="0"/>
              <w:jc w:val="center"/>
              <w:outlineLvl w:val="0"/>
              <w:rPr>
                <w:rFonts w:ascii="Arial" w:eastAsia="Times New Roman" w:hAnsi="Arial" w:cs="Arial"/>
                <w:b/>
                <w:color w:val="000000" w:themeColor="text1"/>
                <w:sz w:val="20"/>
                <w:szCs w:val="20"/>
              </w:rPr>
            </w:pPr>
            <w:r w:rsidRPr="00F43653">
              <w:rPr>
                <w:rFonts w:ascii="Arial" w:hAnsi="Arial" w:cs="Arial"/>
                <w:b/>
                <w:bCs/>
                <w:sz w:val="20"/>
                <w:szCs w:val="20"/>
              </w:rPr>
              <w:t>202</w:t>
            </w:r>
            <w:r w:rsidR="004C5325">
              <w:rPr>
                <w:rFonts w:ascii="Arial" w:hAnsi="Arial" w:cs="Arial"/>
                <w:b/>
                <w:bCs/>
                <w:sz w:val="20"/>
                <w:szCs w:val="20"/>
              </w:rPr>
              <w:t>3</w:t>
            </w:r>
            <w:r w:rsidRPr="00F43653">
              <w:rPr>
                <w:rFonts w:ascii="Arial" w:hAnsi="Arial" w:cs="Arial"/>
                <w:b/>
                <w:bCs/>
                <w:sz w:val="20"/>
                <w:szCs w:val="20"/>
              </w:rPr>
              <w:t>.</w:t>
            </w:r>
          </w:p>
        </w:tc>
        <w:tc>
          <w:tcPr>
            <w:tcW w:w="989" w:type="pct"/>
            <w:gridSpan w:val="2"/>
            <w:vAlign w:val="bottom"/>
          </w:tcPr>
          <w:p w14:paraId="72660596" w14:textId="1CE69276" w:rsidR="00961CDB" w:rsidRPr="00F43653" w:rsidRDefault="00961CDB" w:rsidP="007478FB">
            <w:pPr>
              <w:tabs>
                <w:tab w:val="right" w:pos="1202"/>
              </w:tabs>
              <w:suppressAutoHyphens/>
              <w:autoSpaceDN w:val="0"/>
              <w:jc w:val="center"/>
              <w:outlineLvl w:val="0"/>
              <w:rPr>
                <w:rFonts w:ascii="Arial" w:eastAsia="Times New Roman" w:hAnsi="Arial" w:cs="Arial"/>
                <w:b/>
                <w:color w:val="000000" w:themeColor="text1"/>
                <w:sz w:val="20"/>
                <w:szCs w:val="20"/>
              </w:rPr>
            </w:pPr>
            <w:r w:rsidRPr="00F43653">
              <w:rPr>
                <w:rFonts w:ascii="Arial" w:hAnsi="Arial" w:cs="Arial"/>
                <w:b/>
                <w:bCs/>
                <w:sz w:val="20"/>
                <w:szCs w:val="20"/>
              </w:rPr>
              <w:t>202</w:t>
            </w:r>
            <w:r w:rsidR="004C5325">
              <w:rPr>
                <w:rFonts w:ascii="Arial" w:hAnsi="Arial" w:cs="Arial"/>
                <w:b/>
                <w:bCs/>
                <w:sz w:val="20"/>
                <w:szCs w:val="20"/>
              </w:rPr>
              <w:t>4</w:t>
            </w:r>
            <w:r w:rsidRPr="00F43653">
              <w:rPr>
                <w:rFonts w:ascii="Arial" w:hAnsi="Arial" w:cs="Arial"/>
                <w:b/>
                <w:bCs/>
                <w:sz w:val="20"/>
                <w:szCs w:val="20"/>
              </w:rPr>
              <w:t>.</w:t>
            </w:r>
          </w:p>
        </w:tc>
        <w:tc>
          <w:tcPr>
            <w:tcW w:w="988" w:type="pct"/>
            <w:gridSpan w:val="2"/>
            <w:vAlign w:val="bottom"/>
          </w:tcPr>
          <w:p w14:paraId="17373CC4" w14:textId="51A8E062" w:rsidR="00961CDB" w:rsidRPr="00F43653" w:rsidRDefault="00961CDB" w:rsidP="007478FB">
            <w:pPr>
              <w:tabs>
                <w:tab w:val="right" w:pos="1202"/>
              </w:tabs>
              <w:suppressAutoHyphens/>
              <w:autoSpaceDN w:val="0"/>
              <w:jc w:val="center"/>
              <w:outlineLvl w:val="0"/>
              <w:rPr>
                <w:rFonts w:ascii="Arial" w:eastAsia="Times New Roman" w:hAnsi="Arial" w:cs="Arial"/>
                <w:b/>
                <w:color w:val="000000" w:themeColor="text1"/>
                <w:sz w:val="20"/>
                <w:szCs w:val="20"/>
              </w:rPr>
            </w:pPr>
            <w:r w:rsidRPr="00F43653">
              <w:rPr>
                <w:rFonts w:ascii="Arial" w:hAnsi="Arial" w:cs="Arial"/>
                <w:b/>
                <w:bCs/>
                <w:sz w:val="20"/>
                <w:szCs w:val="20"/>
              </w:rPr>
              <w:t>202</w:t>
            </w:r>
            <w:r w:rsidR="004C5325">
              <w:rPr>
                <w:rFonts w:ascii="Arial" w:hAnsi="Arial" w:cs="Arial"/>
                <w:b/>
                <w:bCs/>
                <w:sz w:val="20"/>
                <w:szCs w:val="20"/>
              </w:rPr>
              <w:t>3</w:t>
            </w:r>
            <w:r w:rsidRPr="00F43653">
              <w:rPr>
                <w:rFonts w:ascii="Arial" w:hAnsi="Arial" w:cs="Arial"/>
                <w:b/>
                <w:bCs/>
                <w:sz w:val="20"/>
                <w:szCs w:val="20"/>
              </w:rPr>
              <w:t>.</w:t>
            </w:r>
          </w:p>
        </w:tc>
      </w:tr>
      <w:tr w:rsidR="00961CDB" w:rsidRPr="003A3244" w14:paraId="2A5DC575" w14:textId="77777777" w:rsidTr="007478FB">
        <w:trPr>
          <w:trHeight w:val="300"/>
        </w:trPr>
        <w:tc>
          <w:tcPr>
            <w:tcW w:w="1044" w:type="pct"/>
            <w:vAlign w:val="bottom"/>
          </w:tcPr>
          <w:p w14:paraId="17B41CE0" w14:textId="77777777" w:rsidR="00961CDB" w:rsidRPr="00F43653" w:rsidRDefault="00961CDB" w:rsidP="00961CDB">
            <w:pPr>
              <w:tabs>
                <w:tab w:val="left" w:pos="-720"/>
              </w:tabs>
              <w:suppressAutoHyphens/>
              <w:autoSpaceDN w:val="0"/>
              <w:jc w:val="right"/>
              <w:rPr>
                <w:rFonts w:ascii="Arial" w:eastAsia="Times New Roman" w:hAnsi="Arial" w:cs="Arial"/>
                <w:color w:val="000000" w:themeColor="text1"/>
                <w:spacing w:val="-3"/>
                <w:sz w:val="20"/>
                <w:szCs w:val="20"/>
              </w:rPr>
            </w:pPr>
          </w:p>
        </w:tc>
        <w:tc>
          <w:tcPr>
            <w:tcW w:w="495" w:type="pct"/>
            <w:vAlign w:val="bottom"/>
          </w:tcPr>
          <w:p w14:paraId="4F2CB898" w14:textId="6573CD72" w:rsidR="00961CDB" w:rsidRPr="00F43653" w:rsidRDefault="00961CDB" w:rsidP="00961CDB">
            <w:pPr>
              <w:tabs>
                <w:tab w:val="right" w:pos="1202"/>
              </w:tabs>
              <w:suppressAutoHyphens/>
              <w:autoSpaceDN w:val="0"/>
              <w:jc w:val="right"/>
              <w:outlineLvl w:val="0"/>
              <w:rPr>
                <w:rFonts w:ascii="Arial" w:eastAsia="Times New Roman" w:hAnsi="Arial" w:cs="Arial"/>
                <w:b/>
                <w:color w:val="000000" w:themeColor="text1"/>
                <w:sz w:val="20"/>
                <w:szCs w:val="20"/>
              </w:rPr>
            </w:pPr>
            <w:r w:rsidRPr="00F43653">
              <w:rPr>
                <w:rFonts w:ascii="Arial" w:hAnsi="Arial" w:cs="Arial"/>
                <w:b/>
                <w:bCs/>
                <w:sz w:val="20"/>
                <w:szCs w:val="20"/>
              </w:rPr>
              <w:t>Tekuće razdoblje</w:t>
            </w:r>
          </w:p>
        </w:tc>
        <w:tc>
          <w:tcPr>
            <w:tcW w:w="495" w:type="pct"/>
            <w:vAlign w:val="bottom"/>
          </w:tcPr>
          <w:p w14:paraId="01B28AAC" w14:textId="269D730B" w:rsidR="00961CDB" w:rsidRPr="00F43653" w:rsidRDefault="00961CDB" w:rsidP="00961CDB">
            <w:pPr>
              <w:tabs>
                <w:tab w:val="right" w:pos="1202"/>
              </w:tabs>
              <w:suppressAutoHyphens/>
              <w:autoSpaceDN w:val="0"/>
              <w:jc w:val="right"/>
              <w:outlineLvl w:val="0"/>
              <w:rPr>
                <w:rFonts w:ascii="Arial" w:eastAsia="Times New Roman" w:hAnsi="Arial" w:cs="Arial"/>
                <w:b/>
                <w:color w:val="000000" w:themeColor="text1"/>
                <w:sz w:val="20"/>
                <w:szCs w:val="20"/>
              </w:rPr>
            </w:pPr>
            <w:r w:rsidRPr="00F43653">
              <w:rPr>
                <w:rFonts w:ascii="Arial" w:hAnsi="Arial" w:cs="Arial"/>
                <w:b/>
                <w:bCs/>
                <w:sz w:val="20"/>
                <w:szCs w:val="20"/>
              </w:rPr>
              <w:t>Kumulativ</w:t>
            </w:r>
          </w:p>
        </w:tc>
        <w:tc>
          <w:tcPr>
            <w:tcW w:w="495" w:type="pct"/>
            <w:vAlign w:val="bottom"/>
          </w:tcPr>
          <w:p w14:paraId="397E9332" w14:textId="775CFC59" w:rsidR="00961CDB" w:rsidRPr="00F43653" w:rsidRDefault="00961CDB" w:rsidP="007478FB">
            <w:pPr>
              <w:tabs>
                <w:tab w:val="right" w:pos="1202"/>
              </w:tabs>
              <w:suppressAutoHyphens/>
              <w:autoSpaceDN w:val="0"/>
              <w:jc w:val="center"/>
              <w:outlineLvl w:val="0"/>
              <w:rPr>
                <w:rFonts w:ascii="Arial" w:eastAsia="Times New Roman" w:hAnsi="Arial" w:cs="Arial"/>
                <w:b/>
                <w:color w:val="000000" w:themeColor="text1"/>
                <w:sz w:val="20"/>
                <w:szCs w:val="20"/>
              </w:rPr>
            </w:pPr>
            <w:r w:rsidRPr="00F43653">
              <w:rPr>
                <w:rFonts w:ascii="Arial" w:hAnsi="Arial" w:cs="Arial"/>
                <w:b/>
                <w:bCs/>
                <w:sz w:val="20"/>
                <w:szCs w:val="20"/>
              </w:rPr>
              <w:t>Tekuće razdoblje</w:t>
            </w:r>
          </w:p>
        </w:tc>
        <w:tc>
          <w:tcPr>
            <w:tcW w:w="494" w:type="pct"/>
            <w:vAlign w:val="bottom"/>
          </w:tcPr>
          <w:p w14:paraId="47E1AD2C" w14:textId="72386AA0" w:rsidR="00961CDB" w:rsidRPr="00F43653" w:rsidRDefault="00961CDB" w:rsidP="00961CDB">
            <w:pPr>
              <w:tabs>
                <w:tab w:val="right" w:pos="1202"/>
              </w:tabs>
              <w:suppressAutoHyphens/>
              <w:autoSpaceDN w:val="0"/>
              <w:jc w:val="right"/>
              <w:outlineLvl w:val="0"/>
              <w:rPr>
                <w:rFonts w:ascii="Arial" w:eastAsia="Times New Roman" w:hAnsi="Arial" w:cs="Arial"/>
                <w:b/>
                <w:color w:val="000000" w:themeColor="text1"/>
                <w:sz w:val="20"/>
                <w:szCs w:val="20"/>
              </w:rPr>
            </w:pPr>
            <w:r w:rsidRPr="00F43653">
              <w:rPr>
                <w:rFonts w:ascii="Arial" w:hAnsi="Arial" w:cs="Arial"/>
                <w:b/>
                <w:bCs/>
                <w:sz w:val="20"/>
                <w:szCs w:val="20"/>
              </w:rPr>
              <w:t>Kumulativ</w:t>
            </w:r>
          </w:p>
        </w:tc>
        <w:tc>
          <w:tcPr>
            <w:tcW w:w="494" w:type="pct"/>
            <w:vAlign w:val="bottom"/>
          </w:tcPr>
          <w:p w14:paraId="73C476B1" w14:textId="547CC409" w:rsidR="00961CDB" w:rsidRPr="00F43653" w:rsidRDefault="00961CDB" w:rsidP="00961CDB">
            <w:pPr>
              <w:tabs>
                <w:tab w:val="right" w:pos="1202"/>
              </w:tabs>
              <w:suppressAutoHyphens/>
              <w:autoSpaceDN w:val="0"/>
              <w:jc w:val="right"/>
              <w:outlineLvl w:val="0"/>
              <w:rPr>
                <w:rFonts w:ascii="Arial" w:eastAsia="Times New Roman" w:hAnsi="Arial" w:cs="Arial"/>
                <w:b/>
                <w:color w:val="000000" w:themeColor="text1"/>
                <w:sz w:val="20"/>
                <w:szCs w:val="20"/>
              </w:rPr>
            </w:pPr>
            <w:r w:rsidRPr="00F43653">
              <w:rPr>
                <w:rFonts w:ascii="Arial" w:hAnsi="Arial" w:cs="Arial"/>
                <w:b/>
                <w:bCs/>
                <w:sz w:val="20"/>
                <w:szCs w:val="20"/>
              </w:rPr>
              <w:t>Tekuće razdoblje</w:t>
            </w:r>
          </w:p>
        </w:tc>
        <w:tc>
          <w:tcPr>
            <w:tcW w:w="495" w:type="pct"/>
            <w:vAlign w:val="bottom"/>
          </w:tcPr>
          <w:p w14:paraId="530A62C7" w14:textId="51796F20" w:rsidR="00961CDB" w:rsidRPr="00F43653" w:rsidRDefault="00961CDB" w:rsidP="00961CDB">
            <w:pPr>
              <w:tabs>
                <w:tab w:val="right" w:pos="1202"/>
              </w:tabs>
              <w:suppressAutoHyphens/>
              <w:autoSpaceDN w:val="0"/>
              <w:jc w:val="right"/>
              <w:outlineLvl w:val="0"/>
              <w:rPr>
                <w:rFonts w:ascii="Arial" w:eastAsia="Times New Roman" w:hAnsi="Arial" w:cs="Arial"/>
                <w:b/>
                <w:color w:val="000000" w:themeColor="text1"/>
                <w:sz w:val="20"/>
                <w:szCs w:val="20"/>
              </w:rPr>
            </w:pPr>
            <w:r w:rsidRPr="00F43653">
              <w:rPr>
                <w:rFonts w:ascii="Arial" w:hAnsi="Arial" w:cs="Arial"/>
                <w:b/>
                <w:bCs/>
                <w:sz w:val="20"/>
                <w:szCs w:val="20"/>
              </w:rPr>
              <w:t>Kumulativ</w:t>
            </w:r>
          </w:p>
        </w:tc>
        <w:tc>
          <w:tcPr>
            <w:tcW w:w="495" w:type="pct"/>
            <w:vAlign w:val="bottom"/>
          </w:tcPr>
          <w:p w14:paraId="507C5D82" w14:textId="33B56B97" w:rsidR="00961CDB" w:rsidRPr="00F43653" w:rsidRDefault="00961CDB" w:rsidP="00961CDB">
            <w:pPr>
              <w:tabs>
                <w:tab w:val="right" w:pos="1202"/>
              </w:tabs>
              <w:suppressAutoHyphens/>
              <w:autoSpaceDN w:val="0"/>
              <w:jc w:val="right"/>
              <w:outlineLvl w:val="0"/>
              <w:rPr>
                <w:rFonts w:ascii="Arial" w:eastAsia="Times New Roman" w:hAnsi="Arial" w:cs="Arial"/>
                <w:b/>
                <w:color w:val="000000" w:themeColor="text1"/>
                <w:sz w:val="20"/>
                <w:szCs w:val="20"/>
              </w:rPr>
            </w:pPr>
            <w:r w:rsidRPr="00F43653">
              <w:rPr>
                <w:rFonts w:ascii="Arial" w:hAnsi="Arial" w:cs="Arial"/>
                <w:b/>
                <w:bCs/>
                <w:sz w:val="20"/>
                <w:szCs w:val="20"/>
              </w:rPr>
              <w:t>Tekuće razdoblje</w:t>
            </w:r>
          </w:p>
        </w:tc>
        <w:tc>
          <w:tcPr>
            <w:tcW w:w="493" w:type="pct"/>
            <w:vAlign w:val="bottom"/>
          </w:tcPr>
          <w:p w14:paraId="4E1C2FAC" w14:textId="51ED58F2" w:rsidR="00961CDB" w:rsidRPr="00F43653" w:rsidRDefault="00961CDB" w:rsidP="00961CDB">
            <w:pPr>
              <w:tabs>
                <w:tab w:val="right" w:pos="1202"/>
              </w:tabs>
              <w:suppressAutoHyphens/>
              <w:autoSpaceDN w:val="0"/>
              <w:jc w:val="right"/>
              <w:outlineLvl w:val="0"/>
              <w:rPr>
                <w:rFonts w:ascii="Arial" w:eastAsia="Times New Roman" w:hAnsi="Arial" w:cs="Arial"/>
                <w:b/>
                <w:color w:val="000000" w:themeColor="text1"/>
                <w:sz w:val="20"/>
                <w:szCs w:val="20"/>
              </w:rPr>
            </w:pPr>
            <w:r w:rsidRPr="00F43653">
              <w:rPr>
                <w:rFonts w:ascii="Arial" w:hAnsi="Arial" w:cs="Arial"/>
                <w:b/>
                <w:bCs/>
                <w:sz w:val="20"/>
                <w:szCs w:val="20"/>
              </w:rPr>
              <w:t>Kumulativ</w:t>
            </w:r>
          </w:p>
        </w:tc>
      </w:tr>
      <w:tr w:rsidR="002F4581" w:rsidRPr="003A3244" w14:paraId="6044E8A8" w14:textId="77777777" w:rsidTr="007478FB">
        <w:trPr>
          <w:trHeight w:val="300"/>
        </w:trPr>
        <w:tc>
          <w:tcPr>
            <w:tcW w:w="1044" w:type="pct"/>
            <w:vAlign w:val="bottom"/>
          </w:tcPr>
          <w:p w14:paraId="16D56A00" w14:textId="77777777" w:rsidR="002F4581" w:rsidRPr="00F43653" w:rsidRDefault="002F4581" w:rsidP="002F4581">
            <w:pPr>
              <w:tabs>
                <w:tab w:val="left" w:pos="-720"/>
              </w:tabs>
              <w:suppressAutoHyphens/>
              <w:autoSpaceDN w:val="0"/>
              <w:jc w:val="right"/>
              <w:rPr>
                <w:rFonts w:ascii="Arial" w:eastAsia="Times New Roman" w:hAnsi="Arial" w:cs="Arial"/>
                <w:color w:val="000000" w:themeColor="text1"/>
                <w:spacing w:val="-3"/>
                <w:sz w:val="20"/>
                <w:szCs w:val="20"/>
              </w:rPr>
            </w:pPr>
          </w:p>
        </w:tc>
        <w:tc>
          <w:tcPr>
            <w:tcW w:w="495" w:type="pct"/>
            <w:vAlign w:val="bottom"/>
          </w:tcPr>
          <w:p w14:paraId="74D247FA" w14:textId="7FBF6487" w:rsidR="002F4581" w:rsidRPr="00F43653" w:rsidRDefault="002F4581" w:rsidP="002F4581">
            <w:pPr>
              <w:tabs>
                <w:tab w:val="right" w:pos="1202"/>
              </w:tabs>
              <w:suppressAutoHyphens/>
              <w:autoSpaceDN w:val="0"/>
              <w:jc w:val="right"/>
              <w:outlineLvl w:val="0"/>
              <w:rPr>
                <w:rFonts w:ascii="Arial" w:eastAsia="Times New Roman" w:hAnsi="Arial" w:cs="Arial"/>
                <w:b/>
                <w:color w:val="000000" w:themeColor="text1"/>
                <w:sz w:val="20"/>
                <w:szCs w:val="20"/>
              </w:rPr>
            </w:pPr>
            <w:r w:rsidRPr="002F4581">
              <w:rPr>
                <w:rFonts w:ascii="Arial" w:hAnsi="Arial" w:cs="Arial"/>
                <w:b/>
                <w:bCs/>
                <w:sz w:val="20"/>
                <w:szCs w:val="20"/>
              </w:rPr>
              <w:t>1.7. - 30.9.</w:t>
            </w:r>
          </w:p>
        </w:tc>
        <w:tc>
          <w:tcPr>
            <w:tcW w:w="495" w:type="pct"/>
            <w:vAlign w:val="bottom"/>
          </w:tcPr>
          <w:p w14:paraId="42202ACC" w14:textId="19664842" w:rsidR="002F4581" w:rsidRPr="00F43653" w:rsidRDefault="002F4581" w:rsidP="002F4581">
            <w:pPr>
              <w:tabs>
                <w:tab w:val="right" w:pos="1202"/>
              </w:tabs>
              <w:suppressAutoHyphens/>
              <w:autoSpaceDN w:val="0"/>
              <w:jc w:val="right"/>
              <w:outlineLvl w:val="0"/>
              <w:rPr>
                <w:rFonts w:ascii="Arial" w:eastAsia="Times New Roman" w:hAnsi="Arial" w:cs="Arial"/>
                <w:b/>
                <w:color w:val="000000" w:themeColor="text1"/>
                <w:sz w:val="20"/>
                <w:szCs w:val="20"/>
              </w:rPr>
            </w:pPr>
            <w:r w:rsidRPr="002F4581">
              <w:rPr>
                <w:rFonts w:ascii="Arial" w:hAnsi="Arial" w:cs="Arial"/>
                <w:b/>
                <w:bCs/>
                <w:sz w:val="20"/>
                <w:szCs w:val="20"/>
              </w:rPr>
              <w:t>1.1. - 30.9.</w:t>
            </w:r>
          </w:p>
        </w:tc>
        <w:tc>
          <w:tcPr>
            <w:tcW w:w="495" w:type="pct"/>
            <w:vAlign w:val="bottom"/>
          </w:tcPr>
          <w:p w14:paraId="67169A04" w14:textId="7CE26C64" w:rsidR="002F4581" w:rsidRPr="00F43653" w:rsidRDefault="002F4581" w:rsidP="002F4581">
            <w:pPr>
              <w:tabs>
                <w:tab w:val="right" w:pos="1202"/>
              </w:tabs>
              <w:suppressAutoHyphens/>
              <w:autoSpaceDN w:val="0"/>
              <w:jc w:val="right"/>
              <w:outlineLvl w:val="0"/>
              <w:rPr>
                <w:rFonts w:ascii="Arial" w:eastAsia="Times New Roman" w:hAnsi="Arial" w:cs="Arial"/>
                <w:b/>
                <w:color w:val="000000" w:themeColor="text1"/>
                <w:sz w:val="20"/>
                <w:szCs w:val="20"/>
              </w:rPr>
            </w:pPr>
            <w:r w:rsidRPr="002F4581">
              <w:rPr>
                <w:rFonts w:ascii="Arial" w:hAnsi="Arial" w:cs="Arial"/>
                <w:b/>
                <w:bCs/>
                <w:sz w:val="20"/>
                <w:szCs w:val="20"/>
              </w:rPr>
              <w:t>1.7. - 30.9.</w:t>
            </w:r>
          </w:p>
        </w:tc>
        <w:tc>
          <w:tcPr>
            <w:tcW w:w="494" w:type="pct"/>
            <w:vAlign w:val="bottom"/>
          </w:tcPr>
          <w:p w14:paraId="691F7759" w14:textId="65CC5B72" w:rsidR="002F4581" w:rsidRPr="00F43653" w:rsidRDefault="002F4581" w:rsidP="002F4581">
            <w:pPr>
              <w:tabs>
                <w:tab w:val="right" w:pos="1202"/>
              </w:tabs>
              <w:suppressAutoHyphens/>
              <w:autoSpaceDN w:val="0"/>
              <w:jc w:val="right"/>
              <w:outlineLvl w:val="0"/>
              <w:rPr>
                <w:rFonts w:ascii="Arial" w:eastAsia="Times New Roman" w:hAnsi="Arial" w:cs="Arial"/>
                <w:b/>
                <w:color w:val="000000" w:themeColor="text1"/>
                <w:sz w:val="20"/>
                <w:szCs w:val="20"/>
              </w:rPr>
            </w:pPr>
            <w:r w:rsidRPr="002F4581">
              <w:rPr>
                <w:rFonts w:ascii="Arial" w:hAnsi="Arial" w:cs="Arial"/>
                <w:b/>
                <w:bCs/>
                <w:sz w:val="20"/>
                <w:szCs w:val="20"/>
              </w:rPr>
              <w:t>1.1. - 30.9.</w:t>
            </w:r>
          </w:p>
        </w:tc>
        <w:tc>
          <w:tcPr>
            <w:tcW w:w="494" w:type="pct"/>
            <w:vAlign w:val="bottom"/>
          </w:tcPr>
          <w:p w14:paraId="14503421" w14:textId="1C20869A" w:rsidR="002F4581" w:rsidRPr="00F43653" w:rsidRDefault="002F4581" w:rsidP="002F4581">
            <w:pPr>
              <w:tabs>
                <w:tab w:val="right" w:pos="1202"/>
              </w:tabs>
              <w:suppressAutoHyphens/>
              <w:autoSpaceDN w:val="0"/>
              <w:jc w:val="right"/>
              <w:outlineLvl w:val="0"/>
              <w:rPr>
                <w:rFonts w:ascii="Arial" w:eastAsia="Times New Roman" w:hAnsi="Arial" w:cs="Arial"/>
                <w:b/>
                <w:color w:val="000000" w:themeColor="text1"/>
                <w:sz w:val="20"/>
                <w:szCs w:val="20"/>
              </w:rPr>
            </w:pPr>
            <w:r w:rsidRPr="002F4581">
              <w:rPr>
                <w:rFonts w:ascii="Arial" w:hAnsi="Arial" w:cs="Arial"/>
                <w:b/>
                <w:bCs/>
                <w:sz w:val="20"/>
                <w:szCs w:val="20"/>
              </w:rPr>
              <w:t>1.7. - 30.9.</w:t>
            </w:r>
          </w:p>
        </w:tc>
        <w:tc>
          <w:tcPr>
            <w:tcW w:w="495" w:type="pct"/>
            <w:vAlign w:val="bottom"/>
          </w:tcPr>
          <w:p w14:paraId="63EC9D51" w14:textId="5A53F3F0" w:rsidR="002F4581" w:rsidRPr="00F43653" w:rsidRDefault="002F4581" w:rsidP="002F4581">
            <w:pPr>
              <w:tabs>
                <w:tab w:val="right" w:pos="1202"/>
              </w:tabs>
              <w:suppressAutoHyphens/>
              <w:autoSpaceDN w:val="0"/>
              <w:jc w:val="right"/>
              <w:outlineLvl w:val="0"/>
              <w:rPr>
                <w:rFonts w:ascii="Arial" w:eastAsia="Times New Roman" w:hAnsi="Arial" w:cs="Arial"/>
                <w:b/>
                <w:color w:val="000000" w:themeColor="text1"/>
                <w:sz w:val="20"/>
                <w:szCs w:val="20"/>
              </w:rPr>
            </w:pPr>
            <w:r w:rsidRPr="002F4581">
              <w:rPr>
                <w:rFonts w:ascii="Arial" w:hAnsi="Arial" w:cs="Arial"/>
                <w:b/>
                <w:bCs/>
                <w:sz w:val="20"/>
                <w:szCs w:val="20"/>
              </w:rPr>
              <w:t>1.1. - 30.9.</w:t>
            </w:r>
          </w:p>
        </w:tc>
        <w:tc>
          <w:tcPr>
            <w:tcW w:w="495" w:type="pct"/>
            <w:vAlign w:val="bottom"/>
          </w:tcPr>
          <w:p w14:paraId="075C29A2" w14:textId="7059BC9B" w:rsidR="002F4581" w:rsidRPr="00F43653" w:rsidRDefault="002F4581" w:rsidP="002F4581">
            <w:pPr>
              <w:tabs>
                <w:tab w:val="right" w:pos="1202"/>
              </w:tabs>
              <w:suppressAutoHyphens/>
              <w:autoSpaceDN w:val="0"/>
              <w:jc w:val="right"/>
              <w:outlineLvl w:val="0"/>
              <w:rPr>
                <w:rFonts w:ascii="Arial" w:eastAsia="Times New Roman" w:hAnsi="Arial" w:cs="Arial"/>
                <w:b/>
                <w:color w:val="000000" w:themeColor="text1"/>
                <w:sz w:val="20"/>
                <w:szCs w:val="20"/>
              </w:rPr>
            </w:pPr>
            <w:r w:rsidRPr="002F4581">
              <w:rPr>
                <w:rFonts w:ascii="Arial" w:hAnsi="Arial" w:cs="Arial"/>
                <w:b/>
                <w:bCs/>
                <w:sz w:val="20"/>
                <w:szCs w:val="20"/>
              </w:rPr>
              <w:t>1.7. - 30.9.</w:t>
            </w:r>
          </w:p>
        </w:tc>
        <w:tc>
          <w:tcPr>
            <w:tcW w:w="493" w:type="pct"/>
            <w:vAlign w:val="bottom"/>
          </w:tcPr>
          <w:p w14:paraId="75B5F355" w14:textId="108833F6" w:rsidR="002F4581" w:rsidRPr="00F43653" w:rsidRDefault="002F4581" w:rsidP="002F4581">
            <w:pPr>
              <w:tabs>
                <w:tab w:val="right" w:pos="1202"/>
              </w:tabs>
              <w:suppressAutoHyphens/>
              <w:autoSpaceDN w:val="0"/>
              <w:jc w:val="right"/>
              <w:outlineLvl w:val="0"/>
              <w:rPr>
                <w:rFonts w:ascii="Arial" w:eastAsia="Times New Roman" w:hAnsi="Arial" w:cs="Arial"/>
                <w:b/>
                <w:color w:val="000000" w:themeColor="text1"/>
                <w:sz w:val="20"/>
                <w:szCs w:val="20"/>
              </w:rPr>
            </w:pPr>
            <w:r w:rsidRPr="002F4581">
              <w:rPr>
                <w:rFonts w:ascii="Arial" w:hAnsi="Arial" w:cs="Arial"/>
                <w:b/>
                <w:bCs/>
                <w:sz w:val="20"/>
                <w:szCs w:val="20"/>
              </w:rPr>
              <w:t>1.1. - 30.9.</w:t>
            </w:r>
          </w:p>
        </w:tc>
      </w:tr>
      <w:tr w:rsidR="00054850" w:rsidRPr="003A3244" w14:paraId="518608AC" w14:textId="77777777" w:rsidTr="007478FB">
        <w:tblPrEx>
          <w:tblCellMar>
            <w:left w:w="108" w:type="dxa"/>
            <w:right w:w="108" w:type="dxa"/>
          </w:tblCellMar>
        </w:tblPrEx>
        <w:trPr>
          <w:trHeight w:val="187"/>
        </w:trPr>
        <w:tc>
          <w:tcPr>
            <w:tcW w:w="1044" w:type="pct"/>
            <w:vAlign w:val="bottom"/>
          </w:tcPr>
          <w:p w14:paraId="4E9E5AB5" w14:textId="77777777" w:rsidR="00054850" w:rsidRPr="00F43653" w:rsidRDefault="00054850" w:rsidP="00054850">
            <w:pPr>
              <w:tabs>
                <w:tab w:val="left" w:pos="-720"/>
              </w:tabs>
              <w:suppressAutoHyphens/>
              <w:autoSpaceDN w:val="0"/>
              <w:ind w:right="4144"/>
              <w:jc w:val="right"/>
              <w:rPr>
                <w:rFonts w:ascii="Arial" w:eastAsia="Times New Roman" w:hAnsi="Arial" w:cs="Arial"/>
                <w:color w:val="000000" w:themeColor="text1"/>
                <w:sz w:val="20"/>
                <w:szCs w:val="20"/>
              </w:rPr>
            </w:pPr>
          </w:p>
        </w:tc>
        <w:tc>
          <w:tcPr>
            <w:tcW w:w="495" w:type="pct"/>
            <w:vAlign w:val="bottom"/>
          </w:tcPr>
          <w:p w14:paraId="67822369" w14:textId="537DAE76" w:rsidR="00054850" w:rsidRPr="00F43653" w:rsidRDefault="00054850" w:rsidP="00054850">
            <w:pPr>
              <w:tabs>
                <w:tab w:val="right" w:pos="1202"/>
              </w:tabs>
              <w:suppressAutoHyphens/>
              <w:autoSpaceDN w:val="0"/>
              <w:jc w:val="right"/>
              <w:outlineLvl w:val="0"/>
              <w:rPr>
                <w:rFonts w:ascii="Arial" w:eastAsia="Times New Roman" w:hAnsi="Arial" w:cs="Arial"/>
                <w:b/>
                <w:color w:val="000000" w:themeColor="text1"/>
                <w:sz w:val="20"/>
                <w:szCs w:val="20"/>
              </w:rPr>
            </w:pPr>
            <w:r w:rsidRPr="00F43653">
              <w:rPr>
                <w:rFonts w:ascii="Arial" w:eastAsia="Times New Roman" w:hAnsi="Arial" w:cs="Arial"/>
                <w:b/>
                <w:color w:val="000000" w:themeColor="text1"/>
                <w:sz w:val="20"/>
                <w:szCs w:val="20"/>
              </w:rPr>
              <w:t>000 eura</w:t>
            </w:r>
          </w:p>
        </w:tc>
        <w:tc>
          <w:tcPr>
            <w:tcW w:w="495" w:type="pct"/>
            <w:vAlign w:val="bottom"/>
          </w:tcPr>
          <w:p w14:paraId="06954F16" w14:textId="179AD915" w:rsidR="00054850" w:rsidRPr="00F43653" w:rsidRDefault="00054850" w:rsidP="00054850">
            <w:pPr>
              <w:tabs>
                <w:tab w:val="right" w:pos="1202"/>
              </w:tabs>
              <w:suppressAutoHyphens/>
              <w:autoSpaceDN w:val="0"/>
              <w:jc w:val="right"/>
              <w:outlineLvl w:val="0"/>
              <w:rPr>
                <w:rFonts w:ascii="Arial" w:eastAsia="Times New Roman" w:hAnsi="Arial" w:cs="Arial"/>
                <w:b/>
                <w:color w:val="000000" w:themeColor="text1"/>
                <w:sz w:val="20"/>
                <w:szCs w:val="20"/>
              </w:rPr>
            </w:pPr>
            <w:r w:rsidRPr="00F43653">
              <w:rPr>
                <w:rFonts w:ascii="Arial" w:eastAsia="Times New Roman" w:hAnsi="Arial" w:cs="Arial"/>
                <w:b/>
                <w:color w:val="000000" w:themeColor="text1"/>
                <w:sz w:val="20"/>
                <w:szCs w:val="20"/>
              </w:rPr>
              <w:t>000 eura</w:t>
            </w:r>
          </w:p>
        </w:tc>
        <w:tc>
          <w:tcPr>
            <w:tcW w:w="495" w:type="pct"/>
            <w:vAlign w:val="bottom"/>
          </w:tcPr>
          <w:p w14:paraId="2907AD99" w14:textId="2A86C9E8" w:rsidR="00054850" w:rsidRPr="00F43653" w:rsidRDefault="00054850" w:rsidP="00054850">
            <w:pPr>
              <w:tabs>
                <w:tab w:val="right" w:pos="1202"/>
              </w:tabs>
              <w:suppressAutoHyphens/>
              <w:autoSpaceDN w:val="0"/>
              <w:jc w:val="right"/>
              <w:outlineLvl w:val="0"/>
              <w:rPr>
                <w:rFonts w:ascii="Arial" w:eastAsia="Times New Roman" w:hAnsi="Arial" w:cs="Arial"/>
                <w:b/>
                <w:color w:val="000000" w:themeColor="text1"/>
                <w:sz w:val="20"/>
                <w:szCs w:val="20"/>
              </w:rPr>
            </w:pPr>
            <w:r w:rsidRPr="00F43653">
              <w:rPr>
                <w:rFonts w:ascii="Arial" w:eastAsia="Times New Roman" w:hAnsi="Arial" w:cs="Arial"/>
                <w:b/>
                <w:color w:val="000000" w:themeColor="text1"/>
                <w:sz w:val="20"/>
                <w:szCs w:val="20"/>
              </w:rPr>
              <w:t>000 eura</w:t>
            </w:r>
          </w:p>
        </w:tc>
        <w:tc>
          <w:tcPr>
            <w:tcW w:w="494" w:type="pct"/>
            <w:vAlign w:val="bottom"/>
          </w:tcPr>
          <w:p w14:paraId="269B9FAC" w14:textId="0FFC8381" w:rsidR="00054850" w:rsidRPr="00F43653" w:rsidRDefault="00054850" w:rsidP="00054850">
            <w:pPr>
              <w:tabs>
                <w:tab w:val="right" w:pos="1202"/>
              </w:tabs>
              <w:suppressAutoHyphens/>
              <w:autoSpaceDN w:val="0"/>
              <w:jc w:val="right"/>
              <w:outlineLvl w:val="0"/>
              <w:rPr>
                <w:rFonts w:ascii="Arial" w:eastAsia="Times New Roman" w:hAnsi="Arial" w:cs="Arial"/>
                <w:b/>
                <w:color w:val="000000" w:themeColor="text1"/>
                <w:sz w:val="20"/>
                <w:szCs w:val="20"/>
              </w:rPr>
            </w:pPr>
            <w:r w:rsidRPr="00F43653">
              <w:rPr>
                <w:rFonts w:ascii="Arial" w:eastAsia="Times New Roman" w:hAnsi="Arial" w:cs="Arial"/>
                <w:b/>
                <w:color w:val="000000" w:themeColor="text1"/>
                <w:sz w:val="20"/>
                <w:szCs w:val="20"/>
              </w:rPr>
              <w:t>000 eura</w:t>
            </w:r>
          </w:p>
        </w:tc>
        <w:tc>
          <w:tcPr>
            <w:tcW w:w="494" w:type="pct"/>
            <w:vAlign w:val="bottom"/>
          </w:tcPr>
          <w:p w14:paraId="2C0ABE40" w14:textId="773280BF" w:rsidR="00054850" w:rsidRPr="00F43653" w:rsidRDefault="00054850" w:rsidP="00054850">
            <w:pPr>
              <w:tabs>
                <w:tab w:val="right" w:pos="1202"/>
              </w:tabs>
              <w:suppressAutoHyphens/>
              <w:autoSpaceDN w:val="0"/>
              <w:jc w:val="right"/>
              <w:outlineLvl w:val="0"/>
              <w:rPr>
                <w:rFonts w:ascii="Arial" w:eastAsia="Times New Roman" w:hAnsi="Arial" w:cs="Arial"/>
                <w:b/>
                <w:color w:val="000000" w:themeColor="text1"/>
                <w:sz w:val="20"/>
                <w:szCs w:val="20"/>
              </w:rPr>
            </w:pPr>
            <w:r w:rsidRPr="00F43653">
              <w:rPr>
                <w:rFonts w:ascii="Arial" w:eastAsia="Times New Roman" w:hAnsi="Arial" w:cs="Arial"/>
                <w:b/>
                <w:color w:val="000000" w:themeColor="text1"/>
                <w:sz w:val="20"/>
                <w:szCs w:val="20"/>
              </w:rPr>
              <w:t>000 eura</w:t>
            </w:r>
          </w:p>
        </w:tc>
        <w:tc>
          <w:tcPr>
            <w:tcW w:w="495" w:type="pct"/>
            <w:vAlign w:val="bottom"/>
          </w:tcPr>
          <w:p w14:paraId="333177B1" w14:textId="29BC3DA1" w:rsidR="00054850" w:rsidRPr="00F43653" w:rsidRDefault="00054850" w:rsidP="00054850">
            <w:pPr>
              <w:tabs>
                <w:tab w:val="right" w:pos="1202"/>
              </w:tabs>
              <w:suppressAutoHyphens/>
              <w:autoSpaceDN w:val="0"/>
              <w:jc w:val="right"/>
              <w:outlineLvl w:val="0"/>
              <w:rPr>
                <w:rFonts w:ascii="Arial" w:eastAsia="Times New Roman" w:hAnsi="Arial" w:cs="Arial"/>
                <w:b/>
                <w:color w:val="000000" w:themeColor="text1"/>
                <w:sz w:val="20"/>
                <w:szCs w:val="20"/>
              </w:rPr>
            </w:pPr>
            <w:r w:rsidRPr="00F43653">
              <w:rPr>
                <w:rFonts w:ascii="Arial" w:eastAsia="Times New Roman" w:hAnsi="Arial" w:cs="Arial"/>
                <w:b/>
                <w:color w:val="000000" w:themeColor="text1"/>
                <w:sz w:val="20"/>
                <w:szCs w:val="20"/>
              </w:rPr>
              <w:t>000 eura</w:t>
            </w:r>
          </w:p>
        </w:tc>
        <w:tc>
          <w:tcPr>
            <w:tcW w:w="495" w:type="pct"/>
            <w:vAlign w:val="bottom"/>
          </w:tcPr>
          <w:p w14:paraId="0BC97DFF" w14:textId="323D446F" w:rsidR="00054850" w:rsidRPr="00F43653" w:rsidRDefault="00054850" w:rsidP="00054850">
            <w:pPr>
              <w:tabs>
                <w:tab w:val="right" w:pos="1202"/>
              </w:tabs>
              <w:suppressAutoHyphens/>
              <w:autoSpaceDN w:val="0"/>
              <w:jc w:val="right"/>
              <w:outlineLvl w:val="0"/>
              <w:rPr>
                <w:rFonts w:ascii="Arial" w:eastAsia="Times New Roman" w:hAnsi="Arial" w:cs="Arial"/>
                <w:b/>
                <w:color w:val="000000" w:themeColor="text1"/>
                <w:sz w:val="20"/>
                <w:szCs w:val="20"/>
              </w:rPr>
            </w:pPr>
            <w:r w:rsidRPr="00F43653">
              <w:rPr>
                <w:rFonts w:ascii="Arial" w:eastAsia="Times New Roman" w:hAnsi="Arial" w:cs="Arial"/>
                <w:b/>
                <w:color w:val="000000" w:themeColor="text1"/>
                <w:sz w:val="20"/>
                <w:szCs w:val="20"/>
              </w:rPr>
              <w:t>000 eura</w:t>
            </w:r>
          </w:p>
        </w:tc>
        <w:tc>
          <w:tcPr>
            <w:tcW w:w="493" w:type="pct"/>
            <w:vAlign w:val="bottom"/>
          </w:tcPr>
          <w:p w14:paraId="4BF3580F" w14:textId="3E1251D8" w:rsidR="00054850" w:rsidRPr="00F43653" w:rsidRDefault="00054850" w:rsidP="00054850">
            <w:pPr>
              <w:tabs>
                <w:tab w:val="right" w:pos="1202"/>
              </w:tabs>
              <w:suppressAutoHyphens/>
              <w:autoSpaceDN w:val="0"/>
              <w:jc w:val="right"/>
              <w:outlineLvl w:val="0"/>
              <w:rPr>
                <w:rFonts w:ascii="Arial" w:eastAsia="Times New Roman" w:hAnsi="Arial" w:cs="Arial"/>
                <w:b/>
                <w:color w:val="000000" w:themeColor="text1"/>
                <w:sz w:val="20"/>
                <w:szCs w:val="20"/>
              </w:rPr>
            </w:pPr>
            <w:r w:rsidRPr="00F43653">
              <w:rPr>
                <w:rFonts w:ascii="Arial" w:eastAsia="Times New Roman" w:hAnsi="Arial" w:cs="Arial"/>
                <w:b/>
                <w:color w:val="000000" w:themeColor="text1"/>
                <w:sz w:val="20"/>
                <w:szCs w:val="20"/>
              </w:rPr>
              <w:t>000 eura</w:t>
            </w:r>
          </w:p>
        </w:tc>
      </w:tr>
      <w:tr w:rsidR="00054850" w:rsidRPr="003A3244" w14:paraId="391686B6" w14:textId="77777777" w:rsidTr="007478FB">
        <w:trPr>
          <w:trHeight w:val="74"/>
        </w:trPr>
        <w:tc>
          <w:tcPr>
            <w:tcW w:w="1044" w:type="pct"/>
            <w:vAlign w:val="bottom"/>
          </w:tcPr>
          <w:p w14:paraId="1E07846E" w14:textId="77777777" w:rsidR="00054850" w:rsidRPr="00F43653" w:rsidRDefault="00054850" w:rsidP="00054850">
            <w:pPr>
              <w:tabs>
                <w:tab w:val="left" w:pos="-720"/>
              </w:tabs>
              <w:suppressAutoHyphens/>
              <w:autoSpaceDN w:val="0"/>
              <w:rPr>
                <w:rFonts w:ascii="Arial" w:eastAsia="Times New Roman" w:hAnsi="Arial" w:cs="Arial"/>
                <w:b/>
                <w:color w:val="000000" w:themeColor="text1"/>
                <w:spacing w:val="-3"/>
                <w:sz w:val="20"/>
                <w:szCs w:val="20"/>
              </w:rPr>
            </w:pPr>
          </w:p>
        </w:tc>
        <w:tc>
          <w:tcPr>
            <w:tcW w:w="495" w:type="pct"/>
            <w:vAlign w:val="bottom"/>
          </w:tcPr>
          <w:p w14:paraId="09491AC5" w14:textId="77777777" w:rsidR="00054850" w:rsidRPr="00F43653" w:rsidRDefault="00054850" w:rsidP="00054850">
            <w:pPr>
              <w:tabs>
                <w:tab w:val="left" w:pos="-720"/>
              </w:tabs>
              <w:suppressAutoHyphens/>
              <w:autoSpaceDN w:val="0"/>
              <w:jc w:val="right"/>
              <w:rPr>
                <w:rFonts w:ascii="Arial" w:eastAsia="Times New Roman" w:hAnsi="Arial" w:cs="Arial"/>
                <w:b/>
                <w:color w:val="000000" w:themeColor="text1"/>
                <w:spacing w:val="-3"/>
                <w:sz w:val="20"/>
                <w:szCs w:val="20"/>
              </w:rPr>
            </w:pPr>
          </w:p>
        </w:tc>
        <w:tc>
          <w:tcPr>
            <w:tcW w:w="495" w:type="pct"/>
            <w:vAlign w:val="bottom"/>
          </w:tcPr>
          <w:p w14:paraId="54949BAE" w14:textId="77777777" w:rsidR="00054850" w:rsidRPr="00F43653" w:rsidRDefault="00054850" w:rsidP="00054850">
            <w:pPr>
              <w:tabs>
                <w:tab w:val="left" w:pos="-720"/>
              </w:tabs>
              <w:suppressAutoHyphens/>
              <w:autoSpaceDN w:val="0"/>
              <w:jc w:val="right"/>
              <w:rPr>
                <w:rFonts w:ascii="Arial" w:eastAsia="Times New Roman" w:hAnsi="Arial" w:cs="Arial"/>
                <w:b/>
                <w:color w:val="000000" w:themeColor="text1"/>
                <w:spacing w:val="-3"/>
                <w:sz w:val="20"/>
                <w:szCs w:val="20"/>
              </w:rPr>
            </w:pPr>
          </w:p>
        </w:tc>
        <w:tc>
          <w:tcPr>
            <w:tcW w:w="495" w:type="pct"/>
            <w:vAlign w:val="bottom"/>
          </w:tcPr>
          <w:p w14:paraId="6425512E" w14:textId="77777777" w:rsidR="00054850" w:rsidRPr="00F43653" w:rsidRDefault="00054850" w:rsidP="00054850">
            <w:pPr>
              <w:tabs>
                <w:tab w:val="left" w:pos="-720"/>
              </w:tabs>
              <w:suppressAutoHyphens/>
              <w:autoSpaceDN w:val="0"/>
              <w:jc w:val="right"/>
              <w:rPr>
                <w:rFonts w:ascii="Arial" w:eastAsia="Times New Roman" w:hAnsi="Arial" w:cs="Arial"/>
                <w:b/>
                <w:color w:val="000000" w:themeColor="text1"/>
                <w:spacing w:val="-3"/>
                <w:sz w:val="20"/>
                <w:szCs w:val="20"/>
              </w:rPr>
            </w:pPr>
          </w:p>
        </w:tc>
        <w:tc>
          <w:tcPr>
            <w:tcW w:w="494" w:type="pct"/>
            <w:vAlign w:val="bottom"/>
          </w:tcPr>
          <w:p w14:paraId="06A82BEE" w14:textId="77777777" w:rsidR="00054850" w:rsidRPr="00F43653" w:rsidRDefault="00054850" w:rsidP="00054850">
            <w:pPr>
              <w:tabs>
                <w:tab w:val="left" w:pos="-720"/>
              </w:tabs>
              <w:suppressAutoHyphens/>
              <w:autoSpaceDN w:val="0"/>
              <w:jc w:val="right"/>
              <w:rPr>
                <w:rFonts w:ascii="Arial" w:eastAsia="Times New Roman" w:hAnsi="Arial" w:cs="Arial"/>
                <w:b/>
                <w:color w:val="000000" w:themeColor="text1"/>
                <w:spacing w:val="-3"/>
                <w:sz w:val="20"/>
                <w:szCs w:val="20"/>
              </w:rPr>
            </w:pPr>
          </w:p>
        </w:tc>
        <w:tc>
          <w:tcPr>
            <w:tcW w:w="494" w:type="pct"/>
            <w:vAlign w:val="bottom"/>
          </w:tcPr>
          <w:p w14:paraId="2170308D" w14:textId="3B496233" w:rsidR="00054850" w:rsidRPr="00F43653" w:rsidRDefault="00054850" w:rsidP="00054850">
            <w:pPr>
              <w:tabs>
                <w:tab w:val="left" w:pos="-720"/>
              </w:tabs>
              <w:suppressAutoHyphens/>
              <w:autoSpaceDN w:val="0"/>
              <w:jc w:val="right"/>
              <w:rPr>
                <w:rFonts w:ascii="Arial" w:eastAsia="Times New Roman" w:hAnsi="Arial" w:cs="Arial"/>
                <w:b/>
                <w:color w:val="000000" w:themeColor="text1"/>
                <w:spacing w:val="-3"/>
                <w:sz w:val="20"/>
                <w:szCs w:val="20"/>
              </w:rPr>
            </w:pPr>
          </w:p>
        </w:tc>
        <w:tc>
          <w:tcPr>
            <w:tcW w:w="495" w:type="pct"/>
            <w:vAlign w:val="bottom"/>
          </w:tcPr>
          <w:p w14:paraId="68035ABA" w14:textId="77777777" w:rsidR="00054850" w:rsidRPr="00F43653" w:rsidRDefault="00054850" w:rsidP="00054850">
            <w:pPr>
              <w:tabs>
                <w:tab w:val="left" w:pos="-720"/>
              </w:tabs>
              <w:suppressAutoHyphens/>
              <w:autoSpaceDN w:val="0"/>
              <w:jc w:val="right"/>
              <w:rPr>
                <w:rFonts w:ascii="Arial" w:eastAsia="Times New Roman" w:hAnsi="Arial" w:cs="Arial"/>
                <w:b/>
                <w:color w:val="000000" w:themeColor="text1"/>
                <w:spacing w:val="-3"/>
                <w:sz w:val="20"/>
                <w:szCs w:val="20"/>
              </w:rPr>
            </w:pPr>
          </w:p>
        </w:tc>
        <w:tc>
          <w:tcPr>
            <w:tcW w:w="495" w:type="pct"/>
            <w:vAlign w:val="bottom"/>
          </w:tcPr>
          <w:p w14:paraId="63BC72AD" w14:textId="77777777" w:rsidR="00054850" w:rsidRPr="00F43653" w:rsidRDefault="00054850" w:rsidP="00054850">
            <w:pPr>
              <w:tabs>
                <w:tab w:val="left" w:pos="-720"/>
              </w:tabs>
              <w:suppressAutoHyphens/>
              <w:autoSpaceDN w:val="0"/>
              <w:jc w:val="right"/>
              <w:rPr>
                <w:rFonts w:ascii="Arial" w:eastAsia="Times New Roman" w:hAnsi="Arial" w:cs="Arial"/>
                <w:b/>
                <w:color w:val="000000" w:themeColor="text1"/>
                <w:spacing w:val="-3"/>
                <w:sz w:val="20"/>
                <w:szCs w:val="20"/>
              </w:rPr>
            </w:pPr>
          </w:p>
        </w:tc>
        <w:tc>
          <w:tcPr>
            <w:tcW w:w="493" w:type="pct"/>
            <w:vAlign w:val="bottom"/>
          </w:tcPr>
          <w:p w14:paraId="4F884045" w14:textId="77777777" w:rsidR="00054850" w:rsidRPr="00F43653" w:rsidRDefault="00054850" w:rsidP="00054850">
            <w:pPr>
              <w:tabs>
                <w:tab w:val="left" w:pos="-720"/>
              </w:tabs>
              <w:suppressAutoHyphens/>
              <w:autoSpaceDN w:val="0"/>
              <w:jc w:val="right"/>
              <w:rPr>
                <w:rFonts w:ascii="Arial" w:eastAsia="Times New Roman" w:hAnsi="Arial" w:cs="Arial"/>
                <w:b/>
                <w:color w:val="000000" w:themeColor="text1"/>
                <w:spacing w:val="-3"/>
                <w:sz w:val="20"/>
                <w:szCs w:val="20"/>
              </w:rPr>
            </w:pPr>
          </w:p>
        </w:tc>
      </w:tr>
      <w:tr w:rsidR="00AA18CA" w:rsidRPr="003A3244" w14:paraId="6BDEFBD9" w14:textId="77777777" w:rsidTr="001D263B">
        <w:trPr>
          <w:trHeight w:val="120"/>
        </w:trPr>
        <w:tc>
          <w:tcPr>
            <w:tcW w:w="1044" w:type="pct"/>
            <w:vAlign w:val="bottom"/>
          </w:tcPr>
          <w:p w14:paraId="303AC052" w14:textId="77777777" w:rsidR="00AA18CA" w:rsidRPr="00F43653" w:rsidRDefault="00AA18CA" w:rsidP="00AA18CA">
            <w:pPr>
              <w:tabs>
                <w:tab w:val="right" w:pos="1202"/>
              </w:tabs>
              <w:suppressAutoHyphens/>
              <w:autoSpaceDN w:val="0"/>
              <w:outlineLvl w:val="0"/>
              <w:rPr>
                <w:rFonts w:ascii="Arial" w:eastAsia="Times New Roman" w:hAnsi="Arial" w:cs="Arial"/>
                <w:b/>
                <w:color w:val="000000" w:themeColor="text1"/>
                <w:sz w:val="20"/>
                <w:szCs w:val="20"/>
              </w:rPr>
            </w:pPr>
            <w:bookmarkStart w:id="282" w:name="_Toc67327539"/>
            <w:r w:rsidRPr="00F43653">
              <w:rPr>
                <w:rFonts w:ascii="Arial" w:eastAsia="Times New Roman" w:hAnsi="Arial" w:cs="Arial"/>
                <w:color w:val="000000" w:themeColor="text1"/>
                <w:sz w:val="20"/>
                <w:szCs w:val="20"/>
              </w:rPr>
              <w:t>Obveze po kreditima</w:t>
            </w:r>
            <w:bookmarkEnd w:id="282"/>
            <w:r w:rsidRPr="00F43653">
              <w:rPr>
                <w:rFonts w:ascii="Arial" w:eastAsia="Times New Roman" w:hAnsi="Arial" w:cs="Arial"/>
                <w:color w:val="000000" w:themeColor="text1"/>
                <w:sz w:val="20"/>
                <w:szCs w:val="20"/>
              </w:rPr>
              <w:t xml:space="preserve"> </w:t>
            </w:r>
          </w:p>
        </w:tc>
        <w:tc>
          <w:tcPr>
            <w:tcW w:w="495" w:type="pct"/>
            <w:tcBorders>
              <w:top w:val="nil"/>
              <w:left w:val="nil"/>
              <w:bottom w:val="nil"/>
              <w:right w:val="nil"/>
            </w:tcBorders>
            <w:shd w:val="clear" w:color="auto" w:fill="auto"/>
            <w:vAlign w:val="bottom"/>
          </w:tcPr>
          <w:p w14:paraId="1E98E909" w14:textId="0530805E" w:rsidR="00AA18CA" w:rsidRPr="001D263B" w:rsidRDefault="00AA18CA" w:rsidP="00AA18CA">
            <w:pPr>
              <w:tabs>
                <w:tab w:val="right" w:pos="1202"/>
              </w:tabs>
              <w:suppressAutoHyphens/>
              <w:autoSpaceDN w:val="0"/>
              <w:jc w:val="right"/>
              <w:outlineLvl w:val="0"/>
              <w:rPr>
                <w:rFonts w:ascii="Arial" w:hAnsi="Arial" w:cs="Arial"/>
                <w:sz w:val="20"/>
                <w:szCs w:val="20"/>
              </w:rPr>
            </w:pPr>
            <w:r w:rsidRPr="001D263B">
              <w:rPr>
                <w:rFonts w:ascii="Arial" w:hAnsi="Arial" w:cs="Arial"/>
                <w:sz w:val="20"/>
                <w:szCs w:val="20"/>
              </w:rPr>
              <w:t xml:space="preserve"> 11.248 </w:t>
            </w:r>
          </w:p>
        </w:tc>
        <w:tc>
          <w:tcPr>
            <w:tcW w:w="495" w:type="pct"/>
            <w:tcBorders>
              <w:top w:val="nil"/>
              <w:left w:val="nil"/>
              <w:bottom w:val="nil"/>
              <w:right w:val="nil"/>
            </w:tcBorders>
            <w:shd w:val="clear" w:color="auto" w:fill="auto"/>
            <w:vAlign w:val="bottom"/>
          </w:tcPr>
          <w:p w14:paraId="6B30CE84" w14:textId="30B945E1" w:rsidR="00AA18CA" w:rsidRPr="001D263B" w:rsidRDefault="00AA18CA" w:rsidP="00AA18CA">
            <w:pPr>
              <w:tabs>
                <w:tab w:val="right" w:pos="1202"/>
              </w:tabs>
              <w:suppressAutoHyphens/>
              <w:autoSpaceDN w:val="0"/>
              <w:jc w:val="right"/>
              <w:outlineLvl w:val="0"/>
              <w:rPr>
                <w:rFonts w:ascii="Arial" w:hAnsi="Arial" w:cs="Arial"/>
                <w:sz w:val="20"/>
                <w:szCs w:val="20"/>
              </w:rPr>
            </w:pPr>
            <w:r w:rsidRPr="001D263B">
              <w:rPr>
                <w:rFonts w:ascii="Arial" w:hAnsi="Arial" w:cs="Arial"/>
                <w:sz w:val="20"/>
                <w:szCs w:val="20"/>
              </w:rPr>
              <w:t xml:space="preserve"> 32.094 </w:t>
            </w:r>
          </w:p>
        </w:tc>
        <w:tc>
          <w:tcPr>
            <w:tcW w:w="495" w:type="pct"/>
            <w:tcBorders>
              <w:top w:val="nil"/>
              <w:left w:val="nil"/>
              <w:bottom w:val="nil"/>
              <w:right w:val="nil"/>
            </w:tcBorders>
            <w:shd w:val="clear" w:color="auto" w:fill="auto"/>
            <w:vAlign w:val="bottom"/>
          </w:tcPr>
          <w:p w14:paraId="4A6F8C66" w14:textId="5871B05E" w:rsidR="00AA18CA" w:rsidRPr="00F43653" w:rsidRDefault="00AA18CA" w:rsidP="00AA18CA">
            <w:pPr>
              <w:tabs>
                <w:tab w:val="right" w:pos="1202"/>
              </w:tabs>
              <w:suppressAutoHyphens/>
              <w:autoSpaceDN w:val="0"/>
              <w:jc w:val="right"/>
              <w:outlineLvl w:val="0"/>
              <w:rPr>
                <w:rFonts w:ascii="Arial" w:hAnsi="Arial" w:cs="Arial"/>
                <w:sz w:val="20"/>
                <w:szCs w:val="20"/>
              </w:rPr>
            </w:pPr>
            <w:r w:rsidRPr="00D86AF7">
              <w:rPr>
                <w:rFonts w:ascii="Arial" w:hAnsi="Arial" w:cs="Arial"/>
                <w:sz w:val="20"/>
                <w:szCs w:val="20"/>
              </w:rPr>
              <w:t xml:space="preserve"> 6.803 </w:t>
            </w:r>
          </w:p>
        </w:tc>
        <w:tc>
          <w:tcPr>
            <w:tcW w:w="494" w:type="pct"/>
            <w:tcBorders>
              <w:top w:val="nil"/>
              <w:left w:val="nil"/>
              <w:bottom w:val="nil"/>
              <w:right w:val="nil"/>
            </w:tcBorders>
            <w:shd w:val="clear" w:color="auto" w:fill="auto"/>
            <w:vAlign w:val="bottom"/>
          </w:tcPr>
          <w:p w14:paraId="3469F501" w14:textId="25AB476F" w:rsidR="00AA18CA" w:rsidRPr="00F43653" w:rsidRDefault="00AA18CA" w:rsidP="00AA18CA">
            <w:pPr>
              <w:tabs>
                <w:tab w:val="right" w:pos="1202"/>
              </w:tabs>
              <w:suppressAutoHyphens/>
              <w:autoSpaceDN w:val="0"/>
              <w:jc w:val="right"/>
              <w:outlineLvl w:val="0"/>
              <w:rPr>
                <w:rFonts w:ascii="Arial" w:hAnsi="Arial" w:cs="Arial"/>
                <w:sz w:val="20"/>
                <w:szCs w:val="20"/>
              </w:rPr>
            </w:pPr>
            <w:r w:rsidRPr="00D86AF7">
              <w:rPr>
                <w:rFonts w:ascii="Arial" w:hAnsi="Arial" w:cs="Arial"/>
                <w:sz w:val="20"/>
                <w:szCs w:val="20"/>
              </w:rPr>
              <w:t xml:space="preserve"> 18.882 </w:t>
            </w:r>
          </w:p>
        </w:tc>
        <w:tc>
          <w:tcPr>
            <w:tcW w:w="494" w:type="pct"/>
            <w:tcBorders>
              <w:top w:val="nil"/>
              <w:left w:val="nil"/>
              <w:bottom w:val="nil"/>
              <w:right w:val="nil"/>
            </w:tcBorders>
            <w:shd w:val="clear" w:color="auto" w:fill="auto"/>
            <w:vAlign w:val="bottom"/>
          </w:tcPr>
          <w:p w14:paraId="58F0D936" w14:textId="2C39ACE5" w:rsidR="00AA18CA" w:rsidRPr="007A7D63" w:rsidRDefault="00AA18CA" w:rsidP="00AA18CA">
            <w:pPr>
              <w:tabs>
                <w:tab w:val="right" w:pos="1202"/>
              </w:tabs>
              <w:suppressAutoHyphens/>
              <w:autoSpaceDN w:val="0"/>
              <w:jc w:val="right"/>
              <w:outlineLvl w:val="0"/>
              <w:rPr>
                <w:rFonts w:ascii="Arial" w:hAnsi="Arial" w:cs="Arial"/>
                <w:sz w:val="20"/>
                <w:szCs w:val="20"/>
              </w:rPr>
            </w:pPr>
            <w:r w:rsidRPr="007A7D63">
              <w:rPr>
                <w:rFonts w:ascii="Arial" w:hAnsi="Arial" w:cs="Arial"/>
                <w:sz w:val="20"/>
                <w:szCs w:val="20"/>
              </w:rPr>
              <w:t>11.248</w:t>
            </w:r>
          </w:p>
        </w:tc>
        <w:tc>
          <w:tcPr>
            <w:tcW w:w="495" w:type="pct"/>
            <w:tcBorders>
              <w:top w:val="nil"/>
              <w:left w:val="nil"/>
              <w:bottom w:val="nil"/>
              <w:right w:val="nil"/>
            </w:tcBorders>
            <w:shd w:val="clear" w:color="auto" w:fill="auto"/>
            <w:vAlign w:val="bottom"/>
          </w:tcPr>
          <w:p w14:paraId="2AC9DB23" w14:textId="3422473F" w:rsidR="00AA18CA" w:rsidRPr="007A7D63" w:rsidRDefault="00AA18CA" w:rsidP="00AA18CA">
            <w:pPr>
              <w:tabs>
                <w:tab w:val="right" w:pos="1202"/>
              </w:tabs>
              <w:suppressAutoHyphens/>
              <w:autoSpaceDN w:val="0"/>
              <w:ind w:left="65"/>
              <w:jc w:val="right"/>
              <w:outlineLvl w:val="0"/>
              <w:rPr>
                <w:rFonts w:ascii="Arial" w:hAnsi="Arial" w:cs="Arial"/>
                <w:sz w:val="20"/>
                <w:szCs w:val="20"/>
              </w:rPr>
            </w:pPr>
            <w:r w:rsidRPr="007A7D63">
              <w:rPr>
                <w:rFonts w:ascii="Arial" w:hAnsi="Arial" w:cs="Arial"/>
                <w:sz w:val="20"/>
                <w:szCs w:val="20"/>
              </w:rPr>
              <w:t>32.094</w:t>
            </w:r>
          </w:p>
        </w:tc>
        <w:tc>
          <w:tcPr>
            <w:tcW w:w="495" w:type="pct"/>
            <w:tcBorders>
              <w:top w:val="nil"/>
              <w:left w:val="nil"/>
              <w:bottom w:val="nil"/>
              <w:right w:val="nil"/>
            </w:tcBorders>
            <w:shd w:val="clear" w:color="auto" w:fill="auto"/>
            <w:vAlign w:val="bottom"/>
          </w:tcPr>
          <w:p w14:paraId="1CE8A47C" w14:textId="4EA63E5F" w:rsidR="00AA18CA" w:rsidRPr="007478FB" w:rsidRDefault="00AA18CA" w:rsidP="00AA18CA">
            <w:pPr>
              <w:tabs>
                <w:tab w:val="right" w:pos="1202"/>
              </w:tabs>
              <w:suppressAutoHyphens/>
              <w:autoSpaceDN w:val="0"/>
              <w:jc w:val="right"/>
              <w:outlineLvl w:val="0"/>
              <w:rPr>
                <w:rFonts w:ascii="Arial" w:hAnsi="Arial" w:cs="Arial"/>
                <w:sz w:val="20"/>
                <w:szCs w:val="20"/>
              </w:rPr>
            </w:pPr>
            <w:r w:rsidRPr="00FF3B1A">
              <w:rPr>
                <w:rFonts w:ascii="Arial" w:hAnsi="Arial" w:cs="Arial"/>
                <w:sz w:val="20"/>
                <w:szCs w:val="20"/>
              </w:rPr>
              <w:t xml:space="preserve"> 6.803 </w:t>
            </w:r>
          </w:p>
        </w:tc>
        <w:tc>
          <w:tcPr>
            <w:tcW w:w="493" w:type="pct"/>
            <w:tcBorders>
              <w:top w:val="nil"/>
              <w:left w:val="nil"/>
              <w:bottom w:val="nil"/>
              <w:right w:val="nil"/>
            </w:tcBorders>
            <w:shd w:val="clear" w:color="auto" w:fill="auto"/>
            <w:vAlign w:val="bottom"/>
          </w:tcPr>
          <w:p w14:paraId="23FAE990" w14:textId="3AD1F437" w:rsidR="00AA18CA" w:rsidRPr="007478FB" w:rsidRDefault="00AA18CA" w:rsidP="00AA18CA">
            <w:pPr>
              <w:tabs>
                <w:tab w:val="right" w:pos="1202"/>
              </w:tabs>
              <w:suppressAutoHyphens/>
              <w:autoSpaceDN w:val="0"/>
              <w:jc w:val="right"/>
              <w:outlineLvl w:val="0"/>
              <w:rPr>
                <w:rFonts w:ascii="Arial" w:hAnsi="Arial" w:cs="Arial"/>
                <w:sz w:val="20"/>
                <w:szCs w:val="20"/>
              </w:rPr>
            </w:pPr>
            <w:r w:rsidRPr="00FF3B1A">
              <w:rPr>
                <w:rFonts w:ascii="Arial" w:hAnsi="Arial" w:cs="Arial"/>
                <w:sz w:val="20"/>
                <w:szCs w:val="20"/>
              </w:rPr>
              <w:t xml:space="preserve"> 18.882 </w:t>
            </w:r>
          </w:p>
        </w:tc>
      </w:tr>
      <w:tr w:rsidR="001D263B" w:rsidRPr="003A3244" w14:paraId="3A4FF175" w14:textId="77777777" w:rsidTr="001D263B">
        <w:trPr>
          <w:trHeight w:val="120"/>
        </w:trPr>
        <w:tc>
          <w:tcPr>
            <w:tcW w:w="1044" w:type="pct"/>
            <w:vAlign w:val="bottom"/>
          </w:tcPr>
          <w:p w14:paraId="7500F86C" w14:textId="0B4B71CF" w:rsidR="001D263B" w:rsidRPr="00F43653" w:rsidRDefault="001D263B" w:rsidP="001D263B">
            <w:pPr>
              <w:tabs>
                <w:tab w:val="right" w:pos="1202"/>
              </w:tabs>
              <w:suppressAutoHyphens/>
              <w:autoSpaceDN w:val="0"/>
              <w:outlineLvl w:val="0"/>
              <w:rPr>
                <w:rFonts w:ascii="Arial" w:eastAsia="Times New Roman" w:hAnsi="Arial" w:cs="Arial"/>
                <w:color w:val="000000" w:themeColor="text1"/>
                <w:sz w:val="20"/>
                <w:szCs w:val="20"/>
              </w:rPr>
            </w:pPr>
            <w:bookmarkStart w:id="283" w:name="_Toc67327549"/>
            <w:r w:rsidRPr="00F43653">
              <w:rPr>
                <w:rFonts w:ascii="Arial" w:eastAsia="Times New Roman" w:hAnsi="Arial" w:cs="Arial"/>
                <w:color w:val="000000" w:themeColor="text1"/>
                <w:sz w:val="20"/>
                <w:szCs w:val="20"/>
              </w:rPr>
              <w:t>Depoziti</w:t>
            </w:r>
            <w:bookmarkEnd w:id="283"/>
          </w:p>
        </w:tc>
        <w:tc>
          <w:tcPr>
            <w:tcW w:w="495" w:type="pct"/>
            <w:tcBorders>
              <w:top w:val="nil"/>
              <w:left w:val="nil"/>
              <w:bottom w:val="nil"/>
              <w:right w:val="nil"/>
            </w:tcBorders>
            <w:shd w:val="clear" w:color="auto" w:fill="auto"/>
            <w:vAlign w:val="bottom"/>
          </w:tcPr>
          <w:p w14:paraId="47BB5715" w14:textId="13B05016" w:rsidR="001D263B" w:rsidRPr="001D263B" w:rsidRDefault="001D263B" w:rsidP="001D263B">
            <w:pPr>
              <w:tabs>
                <w:tab w:val="right" w:pos="1202"/>
              </w:tabs>
              <w:suppressAutoHyphens/>
              <w:autoSpaceDN w:val="0"/>
              <w:jc w:val="right"/>
              <w:outlineLvl w:val="0"/>
              <w:rPr>
                <w:rFonts w:ascii="Arial" w:hAnsi="Arial" w:cs="Arial"/>
                <w:sz w:val="20"/>
                <w:szCs w:val="20"/>
              </w:rPr>
            </w:pPr>
            <w:r w:rsidRPr="001D263B">
              <w:rPr>
                <w:rFonts w:ascii="Arial" w:hAnsi="Arial" w:cs="Arial"/>
                <w:sz w:val="20"/>
                <w:szCs w:val="20"/>
              </w:rPr>
              <w:t xml:space="preserve"> 1.372 </w:t>
            </w:r>
          </w:p>
        </w:tc>
        <w:tc>
          <w:tcPr>
            <w:tcW w:w="495" w:type="pct"/>
            <w:tcBorders>
              <w:top w:val="nil"/>
              <w:left w:val="nil"/>
              <w:bottom w:val="nil"/>
              <w:right w:val="nil"/>
            </w:tcBorders>
            <w:shd w:val="clear" w:color="auto" w:fill="auto"/>
            <w:vAlign w:val="bottom"/>
          </w:tcPr>
          <w:p w14:paraId="7908A0E9" w14:textId="6DFD0EDE" w:rsidR="001D263B" w:rsidRPr="001D263B" w:rsidRDefault="001D263B" w:rsidP="001D263B">
            <w:pPr>
              <w:tabs>
                <w:tab w:val="right" w:pos="1202"/>
              </w:tabs>
              <w:suppressAutoHyphens/>
              <w:autoSpaceDN w:val="0"/>
              <w:jc w:val="right"/>
              <w:outlineLvl w:val="0"/>
              <w:rPr>
                <w:rFonts w:ascii="Arial" w:hAnsi="Arial" w:cs="Arial"/>
                <w:sz w:val="20"/>
                <w:szCs w:val="20"/>
              </w:rPr>
            </w:pPr>
            <w:r w:rsidRPr="001D263B">
              <w:rPr>
                <w:rFonts w:ascii="Arial" w:hAnsi="Arial" w:cs="Arial"/>
                <w:sz w:val="20"/>
                <w:szCs w:val="20"/>
              </w:rPr>
              <w:t xml:space="preserve"> 2.562 </w:t>
            </w:r>
          </w:p>
        </w:tc>
        <w:tc>
          <w:tcPr>
            <w:tcW w:w="495" w:type="pct"/>
            <w:tcBorders>
              <w:top w:val="nil"/>
              <w:left w:val="nil"/>
              <w:bottom w:val="nil"/>
              <w:right w:val="nil"/>
            </w:tcBorders>
            <w:shd w:val="clear" w:color="auto" w:fill="auto"/>
            <w:vAlign w:val="bottom"/>
          </w:tcPr>
          <w:p w14:paraId="5B11F424" w14:textId="53B557D6" w:rsidR="001D263B" w:rsidRPr="00F43653" w:rsidRDefault="001D263B" w:rsidP="001D263B">
            <w:pPr>
              <w:tabs>
                <w:tab w:val="right" w:pos="1202"/>
              </w:tabs>
              <w:suppressAutoHyphens/>
              <w:autoSpaceDN w:val="0"/>
              <w:jc w:val="right"/>
              <w:outlineLvl w:val="0"/>
              <w:rPr>
                <w:rFonts w:ascii="Arial" w:hAnsi="Arial" w:cs="Arial"/>
                <w:sz w:val="20"/>
                <w:szCs w:val="20"/>
              </w:rPr>
            </w:pPr>
            <w:r w:rsidRPr="00D86AF7">
              <w:rPr>
                <w:rFonts w:ascii="Arial" w:hAnsi="Arial" w:cs="Arial"/>
                <w:sz w:val="20"/>
                <w:szCs w:val="20"/>
              </w:rPr>
              <w:t xml:space="preserve"> 449 </w:t>
            </w:r>
          </w:p>
        </w:tc>
        <w:tc>
          <w:tcPr>
            <w:tcW w:w="494" w:type="pct"/>
            <w:tcBorders>
              <w:top w:val="nil"/>
              <w:left w:val="nil"/>
              <w:bottom w:val="nil"/>
              <w:right w:val="nil"/>
            </w:tcBorders>
            <w:shd w:val="clear" w:color="auto" w:fill="auto"/>
            <w:vAlign w:val="bottom"/>
          </w:tcPr>
          <w:p w14:paraId="5ACFFFB0" w14:textId="2A1AE67B" w:rsidR="001D263B" w:rsidRPr="00F43653" w:rsidRDefault="001D263B" w:rsidP="001D263B">
            <w:pPr>
              <w:tabs>
                <w:tab w:val="right" w:pos="1202"/>
              </w:tabs>
              <w:suppressAutoHyphens/>
              <w:autoSpaceDN w:val="0"/>
              <w:jc w:val="right"/>
              <w:outlineLvl w:val="0"/>
              <w:rPr>
                <w:rFonts w:ascii="Arial" w:hAnsi="Arial" w:cs="Arial"/>
                <w:sz w:val="20"/>
                <w:szCs w:val="20"/>
              </w:rPr>
            </w:pPr>
            <w:r w:rsidRPr="00D86AF7">
              <w:rPr>
                <w:rFonts w:ascii="Arial" w:hAnsi="Arial" w:cs="Arial"/>
                <w:sz w:val="20"/>
                <w:szCs w:val="20"/>
              </w:rPr>
              <w:t xml:space="preserve"> 712 </w:t>
            </w:r>
          </w:p>
        </w:tc>
        <w:tc>
          <w:tcPr>
            <w:tcW w:w="494" w:type="pct"/>
            <w:tcBorders>
              <w:top w:val="nil"/>
              <w:left w:val="nil"/>
              <w:bottom w:val="nil"/>
              <w:right w:val="nil"/>
            </w:tcBorders>
            <w:shd w:val="clear" w:color="auto" w:fill="auto"/>
            <w:vAlign w:val="bottom"/>
          </w:tcPr>
          <w:p w14:paraId="41474D22" w14:textId="371C9C1F" w:rsidR="001D263B" w:rsidRPr="007A7D63" w:rsidRDefault="001D263B" w:rsidP="001D263B">
            <w:pPr>
              <w:tabs>
                <w:tab w:val="right" w:pos="1202"/>
              </w:tabs>
              <w:suppressAutoHyphens/>
              <w:autoSpaceDN w:val="0"/>
              <w:jc w:val="right"/>
              <w:outlineLvl w:val="0"/>
              <w:rPr>
                <w:rFonts w:ascii="Arial" w:hAnsi="Arial" w:cs="Arial"/>
                <w:sz w:val="20"/>
                <w:szCs w:val="20"/>
              </w:rPr>
            </w:pPr>
            <w:r w:rsidRPr="007A7D63">
              <w:rPr>
                <w:rFonts w:ascii="Arial" w:hAnsi="Arial" w:cs="Arial"/>
                <w:sz w:val="20"/>
                <w:szCs w:val="20"/>
              </w:rPr>
              <w:t>1.372</w:t>
            </w:r>
          </w:p>
        </w:tc>
        <w:tc>
          <w:tcPr>
            <w:tcW w:w="495" w:type="pct"/>
            <w:tcBorders>
              <w:top w:val="nil"/>
              <w:left w:val="nil"/>
              <w:bottom w:val="nil"/>
              <w:right w:val="nil"/>
            </w:tcBorders>
            <w:shd w:val="clear" w:color="auto" w:fill="auto"/>
            <w:vAlign w:val="bottom"/>
          </w:tcPr>
          <w:p w14:paraId="6766DB9A" w14:textId="12615FE3" w:rsidR="001D263B" w:rsidRPr="007A7D63" w:rsidRDefault="001D263B" w:rsidP="001D263B">
            <w:pPr>
              <w:tabs>
                <w:tab w:val="right" w:pos="1202"/>
              </w:tabs>
              <w:suppressAutoHyphens/>
              <w:autoSpaceDN w:val="0"/>
              <w:jc w:val="right"/>
              <w:outlineLvl w:val="0"/>
              <w:rPr>
                <w:rFonts w:ascii="Arial" w:hAnsi="Arial" w:cs="Arial"/>
                <w:sz w:val="20"/>
                <w:szCs w:val="20"/>
              </w:rPr>
            </w:pPr>
            <w:r w:rsidRPr="007A7D63">
              <w:rPr>
                <w:rFonts w:ascii="Arial" w:hAnsi="Arial" w:cs="Arial"/>
                <w:sz w:val="20"/>
                <w:szCs w:val="20"/>
              </w:rPr>
              <w:t>2</w:t>
            </w:r>
            <w:r w:rsidR="00394862">
              <w:rPr>
                <w:rFonts w:ascii="Arial" w:hAnsi="Arial" w:cs="Arial"/>
                <w:sz w:val="20"/>
                <w:szCs w:val="20"/>
              </w:rPr>
              <w:t>.</w:t>
            </w:r>
            <w:r w:rsidRPr="007A7D63">
              <w:rPr>
                <w:rFonts w:ascii="Arial" w:hAnsi="Arial" w:cs="Arial"/>
                <w:sz w:val="20"/>
                <w:szCs w:val="20"/>
              </w:rPr>
              <w:t>562</w:t>
            </w:r>
          </w:p>
        </w:tc>
        <w:tc>
          <w:tcPr>
            <w:tcW w:w="495" w:type="pct"/>
            <w:tcBorders>
              <w:top w:val="nil"/>
              <w:left w:val="nil"/>
              <w:bottom w:val="nil"/>
              <w:right w:val="nil"/>
            </w:tcBorders>
            <w:shd w:val="clear" w:color="auto" w:fill="auto"/>
            <w:vAlign w:val="bottom"/>
          </w:tcPr>
          <w:p w14:paraId="7003A35F" w14:textId="50F4052C" w:rsidR="001D263B" w:rsidRPr="007478FB" w:rsidRDefault="001D263B" w:rsidP="001D263B">
            <w:pPr>
              <w:tabs>
                <w:tab w:val="right" w:pos="1202"/>
              </w:tabs>
              <w:suppressAutoHyphens/>
              <w:autoSpaceDN w:val="0"/>
              <w:jc w:val="right"/>
              <w:outlineLvl w:val="0"/>
              <w:rPr>
                <w:rFonts w:ascii="Arial" w:hAnsi="Arial" w:cs="Arial"/>
                <w:sz w:val="20"/>
                <w:szCs w:val="20"/>
              </w:rPr>
            </w:pPr>
            <w:r w:rsidRPr="00FF3B1A">
              <w:rPr>
                <w:rFonts w:ascii="Arial" w:hAnsi="Arial" w:cs="Arial"/>
                <w:sz w:val="20"/>
                <w:szCs w:val="20"/>
              </w:rPr>
              <w:t xml:space="preserve"> 449 </w:t>
            </w:r>
          </w:p>
        </w:tc>
        <w:tc>
          <w:tcPr>
            <w:tcW w:w="493" w:type="pct"/>
            <w:tcBorders>
              <w:top w:val="nil"/>
              <w:left w:val="nil"/>
              <w:bottom w:val="nil"/>
              <w:right w:val="nil"/>
            </w:tcBorders>
            <w:shd w:val="clear" w:color="auto" w:fill="auto"/>
            <w:vAlign w:val="bottom"/>
          </w:tcPr>
          <w:p w14:paraId="569F5A16" w14:textId="4978E5BA" w:rsidR="001D263B" w:rsidRPr="007478FB" w:rsidRDefault="001D263B" w:rsidP="001D263B">
            <w:pPr>
              <w:tabs>
                <w:tab w:val="right" w:pos="1202"/>
              </w:tabs>
              <w:suppressAutoHyphens/>
              <w:autoSpaceDN w:val="0"/>
              <w:jc w:val="right"/>
              <w:outlineLvl w:val="0"/>
              <w:rPr>
                <w:rFonts w:ascii="Arial" w:hAnsi="Arial" w:cs="Arial"/>
                <w:sz w:val="20"/>
                <w:szCs w:val="20"/>
              </w:rPr>
            </w:pPr>
            <w:r w:rsidRPr="00FF3B1A">
              <w:rPr>
                <w:rFonts w:ascii="Arial" w:hAnsi="Arial" w:cs="Arial"/>
                <w:sz w:val="20"/>
                <w:szCs w:val="20"/>
              </w:rPr>
              <w:t xml:space="preserve"> 712 </w:t>
            </w:r>
          </w:p>
        </w:tc>
      </w:tr>
      <w:tr w:rsidR="001D263B" w:rsidRPr="003A3244" w14:paraId="085DE0E0" w14:textId="77777777" w:rsidTr="001D263B">
        <w:trPr>
          <w:trHeight w:val="120"/>
        </w:trPr>
        <w:tc>
          <w:tcPr>
            <w:tcW w:w="1044" w:type="pct"/>
            <w:vAlign w:val="bottom"/>
          </w:tcPr>
          <w:p w14:paraId="27EEEBD3" w14:textId="0F852C23" w:rsidR="001D263B" w:rsidRPr="00F43653" w:rsidRDefault="001D263B" w:rsidP="001D263B">
            <w:pPr>
              <w:tabs>
                <w:tab w:val="right" w:pos="1202"/>
              </w:tabs>
              <w:suppressAutoHyphens/>
              <w:autoSpaceDN w:val="0"/>
              <w:outlineLvl w:val="0"/>
              <w:rPr>
                <w:rFonts w:ascii="Arial" w:eastAsia="Times New Roman" w:hAnsi="Arial" w:cs="Arial"/>
                <w:color w:val="000000" w:themeColor="text1"/>
                <w:sz w:val="20"/>
                <w:szCs w:val="20"/>
              </w:rPr>
            </w:pPr>
            <w:bookmarkStart w:id="284" w:name="_Toc67327554"/>
            <w:r w:rsidRPr="00F43653">
              <w:rPr>
                <w:rFonts w:ascii="Arial" w:eastAsia="Times New Roman" w:hAnsi="Arial" w:cs="Arial"/>
                <w:color w:val="000000" w:themeColor="text1"/>
                <w:sz w:val="20"/>
                <w:szCs w:val="20"/>
              </w:rPr>
              <w:t>Najmovi – kamatni troškovi na dugoročne ugovore</w:t>
            </w:r>
            <w:bookmarkEnd w:id="284"/>
          </w:p>
        </w:tc>
        <w:tc>
          <w:tcPr>
            <w:tcW w:w="495" w:type="pct"/>
            <w:tcBorders>
              <w:top w:val="nil"/>
              <w:left w:val="nil"/>
              <w:bottom w:val="nil"/>
              <w:right w:val="nil"/>
            </w:tcBorders>
            <w:shd w:val="clear" w:color="auto" w:fill="auto"/>
            <w:vAlign w:val="bottom"/>
          </w:tcPr>
          <w:p w14:paraId="6B890C66" w14:textId="2030414D" w:rsidR="001D263B" w:rsidRPr="001D263B" w:rsidRDefault="001D263B" w:rsidP="001D263B">
            <w:pPr>
              <w:tabs>
                <w:tab w:val="right" w:pos="1202"/>
              </w:tabs>
              <w:suppressAutoHyphens/>
              <w:autoSpaceDN w:val="0"/>
              <w:jc w:val="right"/>
              <w:outlineLvl w:val="0"/>
              <w:rPr>
                <w:rFonts w:ascii="Arial" w:hAnsi="Arial" w:cs="Arial"/>
                <w:sz w:val="20"/>
                <w:szCs w:val="20"/>
              </w:rPr>
            </w:pPr>
            <w:r w:rsidRPr="001D263B">
              <w:rPr>
                <w:rFonts w:ascii="Arial" w:hAnsi="Arial" w:cs="Arial"/>
                <w:sz w:val="20"/>
                <w:szCs w:val="20"/>
              </w:rPr>
              <w:t xml:space="preserve"> 10 </w:t>
            </w:r>
          </w:p>
        </w:tc>
        <w:tc>
          <w:tcPr>
            <w:tcW w:w="495" w:type="pct"/>
            <w:tcBorders>
              <w:top w:val="nil"/>
              <w:left w:val="nil"/>
              <w:bottom w:val="nil"/>
              <w:right w:val="nil"/>
            </w:tcBorders>
            <w:shd w:val="clear" w:color="auto" w:fill="auto"/>
            <w:vAlign w:val="bottom"/>
          </w:tcPr>
          <w:p w14:paraId="03AD9022" w14:textId="7645FB1D" w:rsidR="001D263B" w:rsidRPr="001D263B" w:rsidRDefault="001D263B" w:rsidP="001D263B">
            <w:pPr>
              <w:tabs>
                <w:tab w:val="right" w:pos="1202"/>
              </w:tabs>
              <w:suppressAutoHyphens/>
              <w:autoSpaceDN w:val="0"/>
              <w:jc w:val="right"/>
              <w:outlineLvl w:val="0"/>
              <w:rPr>
                <w:rFonts w:ascii="Arial" w:hAnsi="Arial" w:cs="Arial"/>
                <w:sz w:val="20"/>
                <w:szCs w:val="20"/>
              </w:rPr>
            </w:pPr>
            <w:r w:rsidRPr="001D263B">
              <w:rPr>
                <w:rFonts w:ascii="Arial" w:hAnsi="Arial" w:cs="Arial"/>
                <w:sz w:val="20"/>
                <w:szCs w:val="20"/>
              </w:rPr>
              <w:t xml:space="preserve"> 34 </w:t>
            </w:r>
          </w:p>
        </w:tc>
        <w:tc>
          <w:tcPr>
            <w:tcW w:w="495" w:type="pct"/>
            <w:tcBorders>
              <w:top w:val="nil"/>
              <w:left w:val="nil"/>
              <w:bottom w:val="nil"/>
              <w:right w:val="nil"/>
            </w:tcBorders>
            <w:shd w:val="clear" w:color="auto" w:fill="auto"/>
            <w:vAlign w:val="bottom"/>
          </w:tcPr>
          <w:p w14:paraId="347F0B32" w14:textId="1EAD6945" w:rsidR="001D263B" w:rsidRPr="00F43653" w:rsidRDefault="001D263B" w:rsidP="001D263B">
            <w:pPr>
              <w:tabs>
                <w:tab w:val="right" w:pos="1202"/>
              </w:tabs>
              <w:suppressAutoHyphens/>
              <w:autoSpaceDN w:val="0"/>
              <w:jc w:val="right"/>
              <w:outlineLvl w:val="0"/>
              <w:rPr>
                <w:rFonts w:ascii="Arial" w:hAnsi="Arial" w:cs="Arial"/>
                <w:sz w:val="20"/>
                <w:szCs w:val="20"/>
              </w:rPr>
            </w:pPr>
            <w:r w:rsidRPr="00D86AF7">
              <w:rPr>
                <w:rFonts w:ascii="Arial" w:hAnsi="Arial" w:cs="Arial"/>
                <w:sz w:val="20"/>
                <w:szCs w:val="20"/>
              </w:rPr>
              <w:t xml:space="preserve"> 3 </w:t>
            </w:r>
          </w:p>
        </w:tc>
        <w:tc>
          <w:tcPr>
            <w:tcW w:w="494" w:type="pct"/>
            <w:tcBorders>
              <w:top w:val="nil"/>
              <w:left w:val="nil"/>
              <w:bottom w:val="nil"/>
              <w:right w:val="nil"/>
            </w:tcBorders>
            <w:shd w:val="clear" w:color="auto" w:fill="auto"/>
            <w:vAlign w:val="bottom"/>
          </w:tcPr>
          <w:p w14:paraId="08DD4267" w14:textId="52103483" w:rsidR="001D263B" w:rsidRPr="00F43653" w:rsidRDefault="001D263B" w:rsidP="001D263B">
            <w:pPr>
              <w:tabs>
                <w:tab w:val="right" w:pos="1202"/>
              </w:tabs>
              <w:suppressAutoHyphens/>
              <w:autoSpaceDN w:val="0"/>
              <w:jc w:val="right"/>
              <w:outlineLvl w:val="0"/>
              <w:rPr>
                <w:rFonts w:ascii="Arial" w:hAnsi="Arial" w:cs="Arial"/>
                <w:sz w:val="20"/>
                <w:szCs w:val="20"/>
              </w:rPr>
            </w:pPr>
            <w:r w:rsidRPr="00D86AF7">
              <w:rPr>
                <w:rFonts w:ascii="Arial" w:hAnsi="Arial" w:cs="Arial"/>
                <w:sz w:val="20"/>
                <w:szCs w:val="20"/>
              </w:rPr>
              <w:t xml:space="preserve"> 11 </w:t>
            </w:r>
          </w:p>
        </w:tc>
        <w:tc>
          <w:tcPr>
            <w:tcW w:w="494" w:type="pct"/>
            <w:tcBorders>
              <w:top w:val="nil"/>
              <w:left w:val="nil"/>
              <w:bottom w:val="nil"/>
              <w:right w:val="nil"/>
            </w:tcBorders>
            <w:shd w:val="clear" w:color="auto" w:fill="auto"/>
            <w:vAlign w:val="bottom"/>
          </w:tcPr>
          <w:p w14:paraId="13D9BAB9" w14:textId="51D9F6C3" w:rsidR="001D263B" w:rsidRPr="007A7D63" w:rsidDel="00D241F2" w:rsidRDefault="001D263B" w:rsidP="001D263B">
            <w:pPr>
              <w:tabs>
                <w:tab w:val="right" w:pos="1202"/>
              </w:tabs>
              <w:suppressAutoHyphens/>
              <w:autoSpaceDN w:val="0"/>
              <w:jc w:val="right"/>
              <w:outlineLvl w:val="0"/>
              <w:rPr>
                <w:rFonts w:ascii="Arial" w:hAnsi="Arial" w:cs="Arial"/>
                <w:sz w:val="20"/>
                <w:szCs w:val="20"/>
              </w:rPr>
            </w:pPr>
            <w:r w:rsidRPr="007A7D63">
              <w:rPr>
                <w:rFonts w:ascii="Arial" w:hAnsi="Arial" w:cs="Arial"/>
                <w:sz w:val="20"/>
                <w:szCs w:val="20"/>
              </w:rPr>
              <w:t>8</w:t>
            </w:r>
          </w:p>
        </w:tc>
        <w:tc>
          <w:tcPr>
            <w:tcW w:w="495" w:type="pct"/>
            <w:tcBorders>
              <w:top w:val="nil"/>
              <w:left w:val="nil"/>
              <w:bottom w:val="nil"/>
              <w:right w:val="nil"/>
            </w:tcBorders>
            <w:shd w:val="clear" w:color="auto" w:fill="auto"/>
            <w:vAlign w:val="bottom"/>
          </w:tcPr>
          <w:p w14:paraId="22DD001C" w14:textId="31DC84D6" w:rsidR="001D263B" w:rsidRPr="007A7D63" w:rsidRDefault="001D263B" w:rsidP="001D263B">
            <w:pPr>
              <w:tabs>
                <w:tab w:val="right" w:pos="1202"/>
              </w:tabs>
              <w:suppressAutoHyphens/>
              <w:autoSpaceDN w:val="0"/>
              <w:jc w:val="right"/>
              <w:outlineLvl w:val="0"/>
              <w:rPr>
                <w:rFonts w:ascii="Arial" w:hAnsi="Arial" w:cs="Arial"/>
                <w:sz w:val="20"/>
                <w:szCs w:val="20"/>
              </w:rPr>
            </w:pPr>
            <w:r w:rsidRPr="007A7D63">
              <w:rPr>
                <w:rFonts w:ascii="Arial" w:hAnsi="Arial" w:cs="Arial"/>
                <w:sz w:val="20"/>
                <w:szCs w:val="20"/>
              </w:rPr>
              <w:t>29</w:t>
            </w:r>
          </w:p>
        </w:tc>
        <w:tc>
          <w:tcPr>
            <w:tcW w:w="495" w:type="pct"/>
            <w:tcBorders>
              <w:top w:val="nil"/>
              <w:left w:val="nil"/>
              <w:bottom w:val="nil"/>
              <w:right w:val="nil"/>
            </w:tcBorders>
            <w:shd w:val="clear" w:color="auto" w:fill="auto"/>
            <w:vAlign w:val="bottom"/>
          </w:tcPr>
          <w:p w14:paraId="1359EECB" w14:textId="4DFC0B1B" w:rsidR="001D263B" w:rsidRPr="007478FB" w:rsidDel="00D241F2" w:rsidRDefault="001D263B" w:rsidP="001D263B">
            <w:pPr>
              <w:tabs>
                <w:tab w:val="right" w:pos="1202"/>
              </w:tabs>
              <w:suppressAutoHyphens/>
              <w:autoSpaceDN w:val="0"/>
              <w:jc w:val="right"/>
              <w:outlineLvl w:val="0"/>
              <w:rPr>
                <w:rFonts w:ascii="Arial" w:hAnsi="Arial" w:cs="Arial"/>
                <w:sz w:val="20"/>
                <w:szCs w:val="20"/>
              </w:rPr>
            </w:pPr>
            <w:r w:rsidRPr="00FF3B1A">
              <w:rPr>
                <w:rFonts w:ascii="Arial" w:hAnsi="Arial" w:cs="Arial"/>
                <w:sz w:val="20"/>
                <w:szCs w:val="20"/>
              </w:rPr>
              <w:t xml:space="preserve"> 3 </w:t>
            </w:r>
          </w:p>
        </w:tc>
        <w:tc>
          <w:tcPr>
            <w:tcW w:w="493" w:type="pct"/>
            <w:tcBorders>
              <w:top w:val="nil"/>
              <w:left w:val="nil"/>
              <w:bottom w:val="nil"/>
              <w:right w:val="nil"/>
            </w:tcBorders>
            <w:shd w:val="clear" w:color="auto" w:fill="auto"/>
            <w:vAlign w:val="bottom"/>
          </w:tcPr>
          <w:p w14:paraId="7C2A9332" w14:textId="744DBCDD" w:rsidR="001D263B" w:rsidRPr="007478FB" w:rsidRDefault="001D263B" w:rsidP="001D263B">
            <w:pPr>
              <w:tabs>
                <w:tab w:val="right" w:pos="1202"/>
              </w:tabs>
              <w:suppressAutoHyphens/>
              <w:autoSpaceDN w:val="0"/>
              <w:jc w:val="right"/>
              <w:outlineLvl w:val="0"/>
              <w:rPr>
                <w:rFonts w:ascii="Arial" w:hAnsi="Arial" w:cs="Arial"/>
                <w:sz w:val="20"/>
                <w:szCs w:val="20"/>
              </w:rPr>
            </w:pPr>
            <w:r w:rsidRPr="00FF3B1A">
              <w:rPr>
                <w:rFonts w:ascii="Arial" w:hAnsi="Arial" w:cs="Arial"/>
                <w:sz w:val="20"/>
                <w:szCs w:val="20"/>
              </w:rPr>
              <w:t xml:space="preserve"> 10 </w:t>
            </w:r>
          </w:p>
        </w:tc>
      </w:tr>
      <w:tr w:rsidR="001D263B" w:rsidRPr="003A3244" w14:paraId="48BA0810" w14:textId="77777777" w:rsidTr="001D263B">
        <w:trPr>
          <w:trHeight w:val="120"/>
        </w:trPr>
        <w:tc>
          <w:tcPr>
            <w:tcW w:w="1044" w:type="pct"/>
            <w:vAlign w:val="bottom"/>
          </w:tcPr>
          <w:p w14:paraId="1488A0A8" w14:textId="77777777" w:rsidR="001D263B" w:rsidRPr="00F43653" w:rsidRDefault="001D263B" w:rsidP="001D263B">
            <w:pPr>
              <w:tabs>
                <w:tab w:val="right" w:pos="1202"/>
              </w:tabs>
              <w:suppressAutoHyphens/>
              <w:autoSpaceDN w:val="0"/>
              <w:outlineLvl w:val="0"/>
              <w:rPr>
                <w:rFonts w:ascii="Arial" w:eastAsia="Times New Roman" w:hAnsi="Arial" w:cs="Arial"/>
                <w:b/>
                <w:bCs/>
                <w:color w:val="000000" w:themeColor="text1"/>
                <w:sz w:val="20"/>
                <w:szCs w:val="20"/>
              </w:rPr>
            </w:pPr>
          </w:p>
        </w:tc>
        <w:tc>
          <w:tcPr>
            <w:tcW w:w="495" w:type="pct"/>
            <w:tcBorders>
              <w:top w:val="single" w:sz="4" w:space="0" w:color="auto"/>
              <w:bottom w:val="single" w:sz="12" w:space="0" w:color="auto"/>
            </w:tcBorders>
            <w:vAlign w:val="bottom"/>
          </w:tcPr>
          <w:p w14:paraId="699ADDA2" w14:textId="75BF870F" w:rsidR="001D263B" w:rsidRPr="001D263B" w:rsidRDefault="001D263B" w:rsidP="001D263B">
            <w:pPr>
              <w:tabs>
                <w:tab w:val="right" w:pos="1202"/>
              </w:tabs>
              <w:suppressAutoHyphens/>
              <w:autoSpaceDN w:val="0"/>
              <w:jc w:val="right"/>
              <w:outlineLvl w:val="0"/>
              <w:rPr>
                <w:rFonts w:ascii="Arial" w:hAnsi="Arial" w:cs="Arial"/>
                <w:b/>
                <w:bCs/>
                <w:sz w:val="20"/>
                <w:szCs w:val="20"/>
              </w:rPr>
            </w:pPr>
            <w:r w:rsidRPr="001D263B">
              <w:rPr>
                <w:rFonts w:ascii="Arial" w:hAnsi="Arial" w:cs="Arial"/>
                <w:b/>
                <w:bCs/>
                <w:sz w:val="20"/>
                <w:szCs w:val="20"/>
              </w:rPr>
              <w:t xml:space="preserve"> 12.630 </w:t>
            </w:r>
          </w:p>
        </w:tc>
        <w:tc>
          <w:tcPr>
            <w:tcW w:w="495" w:type="pct"/>
            <w:tcBorders>
              <w:top w:val="single" w:sz="4" w:space="0" w:color="auto"/>
              <w:bottom w:val="single" w:sz="12" w:space="0" w:color="auto"/>
            </w:tcBorders>
            <w:vAlign w:val="bottom"/>
          </w:tcPr>
          <w:p w14:paraId="753579A6" w14:textId="4FAD50A5" w:rsidR="001D263B" w:rsidRPr="001D263B" w:rsidRDefault="001D263B" w:rsidP="001D263B">
            <w:pPr>
              <w:tabs>
                <w:tab w:val="right" w:pos="1202"/>
              </w:tabs>
              <w:suppressAutoHyphens/>
              <w:autoSpaceDN w:val="0"/>
              <w:jc w:val="right"/>
              <w:outlineLvl w:val="0"/>
              <w:rPr>
                <w:rFonts w:ascii="Arial" w:hAnsi="Arial" w:cs="Arial"/>
                <w:b/>
                <w:bCs/>
                <w:sz w:val="20"/>
                <w:szCs w:val="20"/>
              </w:rPr>
            </w:pPr>
            <w:r w:rsidRPr="001D263B">
              <w:rPr>
                <w:rFonts w:ascii="Arial" w:hAnsi="Arial" w:cs="Arial"/>
                <w:b/>
                <w:bCs/>
                <w:sz w:val="20"/>
                <w:szCs w:val="20"/>
              </w:rPr>
              <w:t xml:space="preserve"> 34.690 </w:t>
            </w:r>
          </w:p>
        </w:tc>
        <w:tc>
          <w:tcPr>
            <w:tcW w:w="495" w:type="pct"/>
            <w:tcBorders>
              <w:top w:val="single" w:sz="4" w:space="0" w:color="auto"/>
              <w:bottom w:val="single" w:sz="12" w:space="0" w:color="auto"/>
            </w:tcBorders>
            <w:vAlign w:val="bottom"/>
          </w:tcPr>
          <w:p w14:paraId="1F88C16E" w14:textId="618339BE" w:rsidR="001D263B" w:rsidRPr="00D86AF7" w:rsidRDefault="001D263B" w:rsidP="001D263B">
            <w:pPr>
              <w:tabs>
                <w:tab w:val="right" w:pos="1202"/>
              </w:tabs>
              <w:suppressAutoHyphens/>
              <w:autoSpaceDN w:val="0"/>
              <w:jc w:val="right"/>
              <w:outlineLvl w:val="0"/>
              <w:rPr>
                <w:rFonts w:ascii="Arial" w:hAnsi="Arial" w:cs="Arial"/>
                <w:b/>
                <w:bCs/>
                <w:sz w:val="20"/>
                <w:szCs w:val="20"/>
              </w:rPr>
            </w:pPr>
            <w:r w:rsidRPr="00D86AF7">
              <w:rPr>
                <w:rFonts w:ascii="Arial" w:hAnsi="Arial" w:cs="Arial"/>
                <w:b/>
                <w:bCs/>
                <w:sz w:val="20"/>
                <w:szCs w:val="20"/>
              </w:rPr>
              <w:t xml:space="preserve"> 7.255 </w:t>
            </w:r>
          </w:p>
        </w:tc>
        <w:tc>
          <w:tcPr>
            <w:tcW w:w="494" w:type="pct"/>
            <w:tcBorders>
              <w:top w:val="single" w:sz="4" w:space="0" w:color="auto"/>
              <w:bottom w:val="single" w:sz="12" w:space="0" w:color="auto"/>
            </w:tcBorders>
            <w:vAlign w:val="bottom"/>
          </w:tcPr>
          <w:p w14:paraId="5C7150A2" w14:textId="154E05E1" w:rsidR="001D263B" w:rsidRPr="00D86AF7" w:rsidRDefault="001D263B" w:rsidP="001D263B">
            <w:pPr>
              <w:tabs>
                <w:tab w:val="right" w:pos="1202"/>
              </w:tabs>
              <w:suppressAutoHyphens/>
              <w:autoSpaceDN w:val="0"/>
              <w:jc w:val="right"/>
              <w:outlineLvl w:val="0"/>
              <w:rPr>
                <w:rFonts w:ascii="Arial" w:hAnsi="Arial" w:cs="Arial"/>
                <w:b/>
                <w:bCs/>
                <w:sz w:val="20"/>
                <w:szCs w:val="20"/>
              </w:rPr>
            </w:pPr>
            <w:r w:rsidRPr="00D86AF7">
              <w:rPr>
                <w:rFonts w:ascii="Arial" w:hAnsi="Arial" w:cs="Arial"/>
                <w:b/>
                <w:bCs/>
                <w:sz w:val="20"/>
                <w:szCs w:val="20"/>
              </w:rPr>
              <w:t xml:space="preserve"> 19.605 </w:t>
            </w:r>
          </w:p>
        </w:tc>
        <w:tc>
          <w:tcPr>
            <w:tcW w:w="494" w:type="pct"/>
            <w:tcBorders>
              <w:top w:val="single" w:sz="4" w:space="0" w:color="auto"/>
              <w:bottom w:val="single" w:sz="12" w:space="0" w:color="auto"/>
            </w:tcBorders>
            <w:vAlign w:val="bottom"/>
          </w:tcPr>
          <w:p w14:paraId="5888181C" w14:textId="4C183BE1" w:rsidR="001D263B" w:rsidRPr="007A7D63" w:rsidRDefault="001D263B" w:rsidP="001D263B">
            <w:pPr>
              <w:tabs>
                <w:tab w:val="right" w:pos="1202"/>
              </w:tabs>
              <w:suppressAutoHyphens/>
              <w:autoSpaceDN w:val="0"/>
              <w:jc w:val="right"/>
              <w:outlineLvl w:val="0"/>
              <w:rPr>
                <w:rFonts w:ascii="Arial" w:hAnsi="Arial" w:cs="Arial"/>
                <w:b/>
                <w:bCs/>
                <w:sz w:val="20"/>
                <w:szCs w:val="20"/>
              </w:rPr>
            </w:pPr>
            <w:r w:rsidRPr="007A7D63">
              <w:rPr>
                <w:rFonts w:ascii="Arial" w:hAnsi="Arial" w:cs="Arial"/>
                <w:b/>
                <w:bCs/>
                <w:sz w:val="20"/>
                <w:szCs w:val="20"/>
              </w:rPr>
              <w:t>12.628</w:t>
            </w:r>
          </w:p>
        </w:tc>
        <w:tc>
          <w:tcPr>
            <w:tcW w:w="495" w:type="pct"/>
            <w:tcBorders>
              <w:top w:val="single" w:sz="4" w:space="0" w:color="auto"/>
              <w:bottom w:val="single" w:sz="12" w:space="0" w:color="auto"/>
            </w:tcBorders>
            <w:vAlign w:val="bottom"/>
          </w:tcPr>
          <w:p w14:paraId="7811C428" w14:textId="58BE07FE" w:rsidR="001D263B" w:rsidRPr="007A7D63" w:rsidRDefault="001D263B" w:rsidP="001D263B">
            <w:pPr>
              <w:tabs>
                <w:tab w:val="right" w:pos="1202"/>
              </w:tabs>
              <w:suppressAutoHyphens/>
              <w:autoSpaceDN w:val="0"/>
              <w:jc w:val="right"/>
              <w:outlineLvl w:val="0"/>
              <w:rPr>
                <w:rFonts w:ascii="Arial" w:hAnsi="Arial" w:cs="Arial"/>
                <w:b/>
                <w:bCs/>
                <w:sz w:val="20"/>
                <w:szCs w:val="20"/>
              </w:rPr>
            </w:pPr>
            <w:r w:rsidRPr="007A7D63">
              <w:rPr>
                <w:rFonts w:ascii="Arial" w:hAnsi="Arial" w:cs="Arial"/>
                <w:b/>
                <w:bCs/>
                <w:sz w:val="20"/>
                <w:szCs w:val="20"/>
              </w:rPr>
              <w:t>34.685</w:t>
            </w:r>
          </w:p>
        </w:tc>
        <w:tc>
          <w:tcPr>
            <w:tcW w:w="495" w:type="pct"/>
            <w:tcBorders>
              <w:top w:val="single" w:sz="4" w:space="0" w:color="auto"/>
              <w:bottom w:val="single" w:sz="12" w:space="0" w:color="auto"/>
            </w:tcBorders>
            <w:vAlign w:val="bottom"/>
          </w:tcPr>
          <w:p w14:paraId="5C9F3880" w14:textId="542599A2" w:rsidR="001D263B" w:rsidRPr="00FF3B1A" w:rsidRDefault="001D263B" w:rsidP="001D263B">
            <w:pPr>
              <w:tabs>
                <w:tab w:val="right" w:pos="1202"/>
              </w:tabs>
              <w:suppressAutoHyphens/>
              <w:autoSpaceDN w:val="0"/>
              <w:jc w:val="right"/>
              <w:outlineLvl w:val="0"/>
              <w:rPr>
                <w:rFonts w:ascii="Arial" w:hAnsi="Arial" w:cs="Arial"/>
                <w:b/>
                <w:bCs/>
                <w:sz w:val="20"/>
                <w:szCs w:val="20"/>
              </w:rPr>
            </w:pPr>
            <w:r w:rsidRPr="00FF3B1A">
              <w:rPr>
                <w:rFonts w:ascii="Arial" w:hAnsi="Arial" w:cs="Arial"/>
                <w:b/>
                <w:bCs/>
                <w:sz w:val="20"/>
                <w:szCs w:val="20"/>
              </w:rPr>
              <w:t xml:space="preserve"> 7.255 </w:t>
            </w:r>
          </w:p>
        </w:tc>
        <w:tc>
          <w:tcPr>
            <w:tcW w:w="493" w:type="pct"/>
            <w:tcBorders>
              <w:top w:val="single" w:sz="4" w:space="0" w:color="auto"/>
              <w:bottom w:val="single" w:sz="12" w:space="0" w:color="auto"/>
            </w:tcBorders>
            <w:vAlign w:val="bottom"/>
          </w:tcPr>
          <w:p w14:paraId="63477E02" w14:textId="76342994" w:rsidR="001D263B" w:rsidRPr="00FF3B1A" w:rsidRDefault="001D263B" w:rsidP="001D263B">
            <w:pPr>
              <w:tabs>
                <w:tab w:val="right" w:pos="1202"/>
              </w:tabs>
              <w:suppressAutoHyphens/>
              <w:autoSpaceDN w:val="0"/>
              <w:jc w:val="right"/>
              <w:outlineLvl w:val="0"/>
              <w:rPr>
                <w:rFonts w:ascii="Arial" w:hAnsi="Arial" w:cs="Arial"/>
                <w:b/>
                <w:bCs/>
                <w:sz w:val="20"/>
                <w:szCs w:val="20"/>
              </w:rPr>
            </w:pPr>
            <w:r w:rsidRPr="00FF3B1A">
              <w:rPr>
                <w:rFonts w:ascii="Arial" w:hAnsi="Arial" w:cs="Arial"/>
                <w:b/>
                <w:bCs/>
                <w:sz w:val="20"/>
                <w:szCs w:val="20"/>
              </w:rPr>
              <w:t xml:space="preserve"> 19.604 </w:t>
            </w:r>
          </w:p>
        </w:tc>
      </w:tr>
    </w:tbl>
    <w:p w14:paraId="23D438E3" w14:textId="77777777" w:rsidR="00843998" w:rsidRPr="003D1614" w:rsidRDefault="00843998" w:rsidP="00843998">
      <w:pPr>
        <w:keepNext/>
        <w:suppressAutoHyphens/>
        <w:autoSpaceDN w:val="0"/>
        <w:jc w:val="both"/>
        <w:outlineLvl w:val="0"/>
        <w:rPr>
          <w:rFonts w:ascii="Arial" w:eastAsia="Times New Roman" w:hAnsi="Arial" w:cs="Arial"/>
          <w:color w:val="000000" w:themeColor="text1"/>
          <w:sz w:val="20"/>
          <w:szCs w:val="20"/>
        </w:rPr>
      </w:pPr>
    </w:p>
    <w:p w14:paraId="4B2FD132" w14:textId="074BF250" w:rsidR="00843998" w:rsidRPr="003D1614" w:rsidRDefault="00843998" w:rsidP="00EA0684">
      <w:pPr>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Razlika između rashoda od kamata i plaćenih kamata (vidi Izvještaj o novčanim tokovima) najvećim se dijelom odnosi na promjenu iznosa nedospjele kamate u odnosu na prethodno razdoblje.</w:t>
      </w:r>
    </w:p>
    <w:p w14:paraId="079B95BF" w14:textId="76CC7A14" w:rsidR="00843998" w:rsidRPr="003D1614" w:rsidRDefault="00843998" w:rsidP="00EA0684">
      <w:pPr>
        <w:rPr>
          <w:rFonts w:ascii="Arial" w:eastAsia="Times New Roman" w:hAnsi="Arial" w:cs="Arial"/>
          <w:color w:val="000000" w:themeColor="text1"/>
          <w:sz w:val="20"/>
          <w:szCs w:val="20"/>
        </w:rPr>
      </w:pPr>
    </w:p>
    <w:p w14:paraId="1D744C3A" w14:textId="103F2DCE" w:rsidR="00843998" w:rsidRPr="003D1614" w:rsidRDefault="00843998" w:rsidP="00EA0684">
      <w:pPr>
        <w:rPr>
          <w:rFonts w:ascii="Arial" w:eastAsia="Times New Roman" w:hAnsi="Arial" w:cs="Arial"/>
          <w:sz w:val="20"/>
          <w:szCs w:val="20"/>
        </w:rPr>
      </w:pPr>
    </w:p>
    <w:bookmarkEnd w:id="277"/>
    <w:p w14:paraId="69A5D6A8" w14:textId="77777777" w:rsidR="00843998" w:rsidRPr="003D1614" w:rsidRDefault="00843998" w:rsidP="00EA0684">
      <w:pPr>
        <w:rPr>
          <w:rFonts w:ascii="Arial" w:eastAsia="Times New Roman" w:hAnsi="Arial" w:cs="Arial"/>
          <w:sz w:val="20"/>
          <w:szCs w:val="20"/>
        </w:rPr>
        <w:sectPr w:rsidR="00843998" w:rsidRPr="003D1614" w:rsidSect="007478FB">
          <w:pgSz w:w="16838" w:h="11906" w:orient="landscape"/>
          <w:pgMar w:top="1417" w:right="1417" w:bottom="1417" w:left="1417" w:header="708" w:footer="708" w:gutter="0"/>
          <w:cols w:space="708"/>
          <w:docGrid w:linePitch="360"/>
        </w:sectPr>
      </w:pPr>
    </w:p>
    <w:p w14:paraId="62CCE624" w14:textId="1FC1DBBD" w:rsidR="00843998" w:rsidRPr="003D1614" w:rsidRDefault="00843998" w:rsidP="00EA0684">
      <w:pPr>
        <w:rPr>
          <w:rFonts w:ascii="Arial" w:eastAsia="Times New Roman" w:hAnsi="Arial" w:cs="Arial"/>
          <w:sz w:val="20"/>
          <w:szCs w:val="20"/>
        </w:rPr>
      </w:pPr>
    </w:p>
    <w:p w14:paraId="04DAB935" w14:textId="1CD4F3BA" w:rsidR="00843998" w:rsidRPr="003D1614" w:rsidRDefault="00843998" w:rsidP="00843998">
      <w:pPr>
        <w:keepNext/>
        <w:tabs>
          <w:tab w:val="left" w:pos="567"/>
        </w:tabs>
        <w:suppressAutoHyphens/>
        <w:autoSpaceDN w:val="0"/>
        <w:jc w:val="both"/>
        <w:outlineLvl w:val="0"/>
        <w:rPr>
          <w:rFonts w:ascii="Arial" w:eastAsia="Times New Roman" w:hAnsi="Arial" w:cs="Arial"/>
          <w:b/>
          <w:bCs/>
          <w:color w:val="000000" w:themeColor="text1"/>
          <w:sz w:val="20"/>
          <w:szCs w:val="20"/>
        </w:rPr>
      </w:pPr>
      <w:bookmarkStart w:id="285" w:name="_Hlk2175999"/>
      <w:bookmarkStart w:id="286" w:name="_Hlk2179190"/>
      <w:r w:rsidRPr="003D1614">
        <w:rPr>
          <w:rFonts w:ascii="Arial" w:eastAsia="Times New Roman" w:hAnsi="Arial" w:cs="Arial"/>
          <w:b/>
          <w:bCs/>
          <w:color w:val="000000" w:themeColor="text1"/>
          <w:sz w:val="20"/>
          <w:szCs w:val="20"/>
        </w:rPr>
        <w:t>7.</w:t>
      </w:r>
      <w:r w:rsidRPr="003D1614">
        <w:rPr>
          <w:rFonts w:ascii="Arial" w:eastAsia="Times New Roman" w:hAnsi="Arial" w:cs="Arial"/>
          <w:b/>
          <w:bCs/>
          <w:color w:val="000000" w:themeColor="text1"/>
          <w:sz w:val="20"/>
          <w:szCs w:val="20"/>
        </w:rPr>
        <w:tab/>
        <w:t>Operativni troškovi</w:t>
      </w:r>
    </w:p>
    <w:p w14:paraId="55FFD5FB" w14:textId="77777777" w:rsidR="00843998" w:rsidRPr="003D1614" w:rsidRDefault="00843998" w:rsidP="00843998">
      <w:pPr>
        <w:tabs>
          <w:tab w:val="left" w:pos="-720"/>
          <w:tab w:val="left" w:pos="9600"/>
        </w:tabs>
        <w:suppressAutoHyphens/>
        <w:autoSpaceDN w:val="0"/>
        <w:rPr>
          <w:rFonts w:ascii="Arial" w:eastAsia="Times New Roman" w:hAnsi="Arial" w:cs="Arial"/>
          <w:color w:val="000000" w:themeColor="text1"/>
          <w:spacing w:val="-3"/>
          <w:sz w:val="20"/>
          <w:szCs w:val="20"/>
        </w:rPr>
      </w:pPr>
    </w:p>
    <w:p w14:paraId="52C0F312" w14:textId="77777777" w:rsidR="00843998" w:rsidRPr="003D1614" w:rsidRDefault="00843998" w:rsidP="00843998">
      <w:pPr>
        <w:tabs>
          <w:tab w:val="left" w:pos="-720"/>
          <w:tab w:val="left" w:pos="9600"/>
        </w:tabs>
        <w:suppressAutoHyphens/>
        <w:autoSpaceDN w:val="0"/>
        <w:rPr>
          <w:rFonts w:ascii="Arial" w:eastAsia="Times New Roman" w:hAnsi="Arial" w:cs="Arial"/>
          <w:color w:val="000000" w:themeColor="text1"/>
          <w:spacing w:val="-3"/>
          <w:sz w:val="20"/>
          <w:szCs w:val="20"/>
        </w:rPr>
      </w:pPr>
      <w:r w:rsidRPr="003D1614">
        <w:rPr>
          <w:rFonts w:ascii="Arial" w:eastAsia="Times New Roman" w:hAnsi="Arial" w:cs="Arial"/>
          <w:color w:val="000000" w:themeColor="text1"/>
          <w:spacing w:val="-3"/>
          <w:sz w:val="20"/>
          <w:szCs w:val="20"/>
        </w:rPr>
        <w:t>Operativni troškovi mogu se prikazati kako slijedi:</w:t>
      </w:r>
    </w:p>
    <w:p w14:paraId="4F39E12A" w14:textId="77777777" w:rsidR="00843998" w:rsidRPr="003D1614" w:rsidRDefault="00843998" w:rsidP="00843998">
      <w:pPr>
        <w:tabs>
          <w:tab w:val="left" w:pos="-720"/>
          <w:tab w:val="left" w:pos="9600"/>
        </w:tabs>
        <w:suppressAutoHyphens/>
        <w:autoSpaceDN w:val="0"/>
        <w:rPr>
          <w:rFonts w:ascii="Arial" w:eastAsia="Times New Roman" w:hAnsi="Arial" w:cs="Arial"/>
          <w:color w:val="000000" w:themeColor="text1"/>
          <w:spacing w:val="-3"/>
          <w:sz w:val="20"/>
          <w:szCs w:val="20"/>
        </w:rPr>
      </w:pPr>
    </w:p>
    <w:tbl>
      <w:tblPr>
        <w:tblW w:w="5000" w:type="pct"/>
        <w:tblLayout w:type="fixed"/>
        <w:tblLook w:val="0000" w:firstRow="0" w:lastRow="0" w:firstColumn="0" w:lastColumn="0" w:noHBand="0" w:noVBand="0"/>
      </w:tblPr>
      <w:tblGrid>
        <w:gridCol w:w="2919"/>
        <w:gridCol w:w="1387"/>
        <w:gridCol w:w="1387"/>
        <w:gridCol w:w="1386"/>
        <w:gridCol w:w="1386"/>
        <w:gridCol w:w="1386"/>
        <w:gridCol w:w="1386"/>
        <w:gridCol w:w="1386"/>
        <w:gridCol w:w="1381"/>
      </w:tblGrid>
      <w:tr w:rsidR="003E3A7E" w:rsidRPr="00627B08" w14:paraId="6394C89F" w14:textId="77777777" w:rsidTr="007478FB">
        <w:trPr>
          <w:trHeight w:val="57"/>
        </w:trPr>
        <w:tc>
          <w:tcPr>
            <w:tcW w:w="1042" w:type="pct"/>
            <w:vAlign w:val="bottom"/>
          </w:tcPr>
          <w:p w14:paraId="4E12003D" w14:textId="77777777" w:rsidR="003E3A7E" w:rsidRPr="00F43653" w:rsidRDefault="003E3A7E" w:rsidP="003E3A7E">
            <w:pPr>
              <w:tabs>
                <w:tab w:val="left" w:pos="-720"/>
              </w:tabs>
              <w:suppressAutoHyphens/>
              <w:autoSpaceDN w:val="0"/>
              <w:ind w:right="4144"/>
              <w:jc w:val="right"/>
              <w:rPr>
                <w:rFonts w:ascii="Arial" w:eastAsia="Times New Roman" w:hAnsi="Arial" w:cs="Arial"/>
                <w:color w:val="000000" w:themeColor="text1"/>
                <w:sz w:val="20"/>
                <w:szCs w:val="20"/>
              </w:rPr>
            </w:pPr>
            <w:bookmarkStart w:id="287" w:name="_Hlk2176042"/>
          </w:p>
        </w:tc>
        <w:tc>
          <w:tcPr>
            <w:tcW w:w="1980" w:type="pct"/>
            <w:gridSpan w:val="4"/>
            <w:vAlign w:val="bottom"/>
          </w:tcPr>
          <w:p w14:paraId="3A9D2AF0" w14:textId="1F274D14" w:rsidR="003E3A7E" w:rsidRPr="00F43653" w:rsidRDefault="003E3A7E" w:rsidP="007478FB">
            <w:pPr>
              <w:suppressAutoHyphens/>
              <w:autoSpaceDN w:val="0"/>
              <w:spacing w:line="240" w:lineRule="atLeast"/>
              <w:jc w:val="center"/>
              <w:outlineLvl w:val="0"/>
              <w:rPr>
                <w:rFonts w:ascii="Arial" w:eastAsia="Times New Roman" w:hAnsi="Arial" w:cs="Arial"/>
                <w:b/>
                <w:color w:val="000000" w:themeColor="text1"/>
                <w:sz w:val="20"/>
                <w:szCs w:val="20"/>
              </w:rPr>
            </w:pPr>
            <w:r w:rsidRPr="00F43653">
              <w:rPr>
                <w:rFonts w:ascii="Arial" w:hAnsi="Arial" w:cs="Arial"/>
                <w:b/>
                <w:bCs/>
                <w:sz w:val="20"/>
                <w:szCs w:val="20"/>
              </w:rPr>
              <w:t>Grupa</w:t>
            </w:r>
          </w:p>
        </w:tc>
        <w:tc>
          <w:tcPr>
            <w:tcW w:w="1978" w:type="pct"/>
            <w:gridSpan w:val="4"/>
            <w:vAlign w:val="bottom"/>
          </w:tcPr>
          <w:p w14:paraId="2A1786A2" w14:textId="7F2F2EE2" w:rsidR="003E3A7E" w:rsidRPr="00F43653" w:rsidRDefault="003E3A7E" w:rsidP="007478FB">
            <w:pPr>
              <w:suppressAutoHyphens/>
              <w:autoSpaceDN w:val="0"/>
              <w:spacing w:line="240" w:lineRule="atLeast"/>
              <w:jc w:val="center"/>
              <w:outlineLvl w:val="0"/>
              <w:rPr>
                <w:rFonts w:ascii="Arial" w:eastAsia="Times New Roman" w:hAnsi="Arial" w:cs="Arial"/>
                <w:b/>
                <w:color w:val="000000" w:themeColor="text1"/>
                <w:sz w:val="20"/>
                <w:szCs w:val="20"/>
              </w:rPr>
            </w:pPr>
            <w:r w:rsidRPr="00F43653">
              <w:rPr>
                <w:rFonts w:ascii="Arial" w:hAnsi="Arial" w:cs="Arial"/>
                <w:b/>
                <w:bCs/>
                <w:sz w:val="20"/>
                <w:szCs w:val="20"/>
              </w:rPr>
              <w:t>Banka</w:t>
            </w:r>
          </w:p>
        </w:tc>
      </w:tr>
      <w:tr w:rsidR="003E3A7E" w:rsidRPr="00627B08" w14:paraId="3203BBF2" w14:textId="77777777" w:rsidTr="007478FB">
        <w:trPr>
          <w:trHeight w:val="57"/>
        </w:trPr>
        <w:tc>
          <w:tcPr>
            <w:tcW w:w="1042" w:type="pct"/>
            <w:vAlign w:val="bottom"/>
          </w:tcPr>
          <w:p w14:paraId="27BE0479" w14:textId="77777777" w:rsidR="003E3A7E" w:rsidRPr="00F43653" w:rsidRDefault="003E3A7E" w:rsidP="003E3A7E">
            <w:pPr>
              <w:tabs>
                <w:tab w:val="left" w:pos="-720"/>
              </w:tabs>
              <w:suppressAutoHyphens/>
              <w:autoSpaceDN w:val="0"/>
              <w:ind w:right="4144"/>
              <w:jc w:val="right"/>
              <w:rPr>
                <w:rFonts w:ascii="Arial" w:eastAsia="Times New Roman" w:hAnsi="Arial" w:cs="Arial"/>
                <w:color w:val="000000" w:themeColor="text1"/>
                <w:sz w:val="20"/>
                <w:szCs w:val="20"/>
              </w:rPr>
            </w:pPr>
          </w:p>
        </w:tc>
        <w:tc>
          <w:tcPr>
            <w:tcW w:w="990" w:type="pct"/>
            <w:gridSpan w:val="2"/>
            <w:vAlign w:val="bottom"/>
          </w:tcPr>
          <w:p w14:paraId="6AA09375" w14:textId="7749CF41" w:rsidR="003E3A7E" w:rsidRPr="00F43653" w:rsidRDefault="003E3A7E" w:rsidP="007478FB">
            <w:pPr>
              <w:suppressAutoHyphens/>
              <w:autoSpaceDN w:val="0"/>
              <w:spacing w:line="240" w:lineRule="atLeast"/>
              <w:jc w:val="center"/>
              <w:outlineLvl w:val="0"/>
              <w:rPr>
                <w:rFonts w:ascii="Arial" w:eastAsia="Times New Roman" w:hAnsi="Arial" w:cs="Arial"/>
                <w:b/>
                <w:color w:val="000000" w:themeColor="text1"/>
                <w:sz w:val="20"/>
                <w:szCs w:val="20"/>
              </w:rPr>
            </w:pPr>
            <w:r w:rsidRPr="00F43653">
              <w:rPr>
                <w:rFonts w:ascii="Arial" w:hAnsi="Arial" w:cs="Arial"/>
                <w:b/>
                <w:bCs/>
                <w:sz w:val="20"/>
                <w:szCs w:val="20"/>
              </w:rPr>
              <w:t>202</w:t>
            </w:r>
            <w:r w:rsidR="00E93A41">
              <w:rPr>
                <w:rFonts w:ascii="Arial" w:hAnsi="Arial" w:cs="Arial"/>
                <w:b/>
                <w:bCs/>
                <w:sz w:val="20"/>
                <w:szCs w:val="20"/>
              </w:rPr>
              <w:t>4</w:t>
            </w:r>
            <w:r w:rsidRPr="00F43653">
              <w:rPr>
                <w:rFonts w:ascii="Arial" w:hAnsi="Arial" w:cs="Arial"/>
                <w:b/>
                <w:bCs/>
                <w:sz w:val="20"/>
                <w:szCs w:val="20"/>
              </w:rPr>
              <w:t>.</w:t>
            </w:r>
          </w:p>
        </w:tc>
        <w:tc>
          <w:tcPr>
            <w:tcW w:w="990" w:type="pct"/>
            <w:gridSpan w:val="2"/>
            <w:vAlign w:val="bottom"/>
          </w:tcPr>
          <w:p w14:paraId="6B4C8F7D" w14:textId="6785F33A" w:rsidR="003E3A7E" w:rsidRPr="00F43653" w:rsidRDefault="003E3A7E" w:rsidP="007478FB">
            <w:pPr>
              <w:suppressAutoHyphens/>
              <w:autoSpaceDN w:val="0"/>
              <w:spacing w:line="240" w:lineRule="atLeast"/>
              <w:jc w:val="center"/>
              <w:outlineLvl w:val="0"/>
              <w:rPr>
                <w:rFonts w:ascii="Arial" w:eastAsia="Times New Roman" w:hAnsi="Arial" w:cs="Arial"/>
                <w:b/>
                <w:color w:val="000000" w:themeColor="text1"/>
                <w:sz w:val="20"/>
                <w:szCs w:val="20"/>
              </w:rPr>
            </w:pPr>
            <w:r w:rsidRPr="00F43653">
              <w:rPr>
                <w:rFonts w:ascii="Arial" w:hAnsi="Arial" w:cs="Arial"/>
                <w:b/>
                <w:bCs/>
                <w:sz w:val="20"/>
                <w:szCs w:val="20"/>
              </w:rPr>
              <w:t>202</w:t>
            </w:r>
            <w:r w:rsidR="00E93A41">
              <w:rPr>
                <w:rFonts w:ascii="Arial" w:hAnsi="Arial" w:cs="Arial"/>
                <w:b/>
                <w:bCs/>
                <w:sz w:val="20"/>
                <w:szCs w:val="20"/>
              </w:rPr>
              <w:t>3</w:t>
            </w:r>
            <w:r w:rsidRPr="00F43653">
              <w:rPr>
                <w:rFonts w:ascii="Arial" w:hAnsi="Arial" w:cs="Arial"/>
                <w:b/>
                <w:bCs/>
                <w:sz w:val="20"/>
                <w:szCs w:val="20"/>
              </w:rPr>
              <w:t>.</w:t>
            </w:r>
          </w:p>
        </w:tc>
        <w:tc>
          <w:tcPr>
            <w:tcW w:w="990" w:type="pct"/>
            <w:gridSpan w:val="2"/>
            <w:vAlign w:val="bottom"/>
          </w:tcPr>
          <w:p w14:paraId="060D8B38" w14:textId="2042301A" w:rsidR="003E3A7E" w:rsidRPr="00F43653" w:rsidRDefault="003E3A7E" w:rsidP="007478FB">
            <w:pPr>
              <w:suppressAutoHyphens/>
              <w:autoSpaceDN w:val="0"/>
              <w:spacing w:line="240" w:lineRule="atLeast"/>
              <w:jc w:val="center"/>
              <w:outlineLvl w:val="0"/>
              <w:rPr>
                <w:rFonts w:ascii="Arial" w:eastAsia="Times New Roman" w:hAnsi="Arial" w:cs="Arial"/>
                <w:b/>
                <w:color w:val="000000" w:themeColor="text1"/>
                <w:sz w:val="20"/>
                <w:szCs w:val="20"/>
              </w:rPr>
            </w:pPr>
            <w:r w:rsidRPr="00F43653">
              <w:rPr>
                <w:rFonts w:ascii="Arial" w:hAnsi="Arial" w:cs="Arial"/>
                <w:b/>
                <w:bCs/>
                <w:sz w:val="20"/>
                <w:szCs w:val="20"/>
              </w:rPr>
              <w:t>202</w:t>
            </w:r>
            <w:r w:rsidR="00E93A41">
              <w:rPr>
                <w:rFonts w:ascii="Arial" w:hAnsi="Arial" w:cs="Arial"/>
                <w:b/>
                <w:bCs/>
                <w:sz w:val="20"/>
                <w:szCs w:val="20"/>
              </w:rPr>
              <w:t>4</w:t>
            </w:r>
            <w:r w:rsidRPr="00F43653">
              <w:rPr>
                <w:rFonts w:ascii="Arial" w:hAnsi="Arial" w:cs="Arial"/>
                <w:b/>
                <w:bCs/>
                <w:sz w:val="20"/>
                <w:szCs w:val="20"/>
              </w:rPr>
              <w:t>.</w:t>
            </w:r>
          </w:p>
        </w:tc>
        <w:tc>
          <w:tcPr>
            <w:tcW w:w="988" w:type="pct"/>
            <w:gridSpan w:val="2"/>
            <w:vAlign w:val="bottom"/>
          </w:tcPr>
          <w:p w14:paraId="08474A8D" w14:textId="686B74B0" w:rsidR="003E3A7E" w:rsidRPr="00F43653" w:rsidRDefault="003E3A7E" w:rsidP="007478FB">
            <w:pPr>
              <w:suppressAutoHyphens/>
              <w:autoSpaceDN w:val="0"/>
              <w:spacing w:line="240" w:lineRule="atLeast"/>
              <w:jc w:val="center"/>
              <w:outlineLvl w:val="0"/>
              <w:rPr>
                <w:rFonts w:ascii="Arial" w:eastAsia="Times New Roman" w:hAnsi="Arial" w:cs="Arial"/>
                <w:b/>
                <w:color w:val="000000" w:themeColor="text1"/>
                <w:sz w:val="20"/>
                <w:szCs w:val="20"/>
              </w:rPr>
            </w:pPr>
            <w:r w:rsidRPr="00F43653">
              <w:rPr>
                <w:rFonts w:ascii="Arial" w:hAnsi="Arial" w:cs="Arial"/>
                <w:b/>
                <w:bCs/>
                <w:sz w:val="20"/>
                <w:szCs w:val="20"/>
              </w:rPr>
              <w:t>202</w:t>
            </w:r>
            <w:r w:rsidR="00E93A41">
              <w:rPr>
                <w:rFonts w:ascii="Arial" w:hAnsi="Arial" w:cs="Arial"/>
                <w:b/>
                <w:bCs/>
                <w:sz w:val="20"/>
                <w:szCs w:val="20"/>
              </w:rPr>
              <w:t>3</w:t>
            </w:r>
            <w:r w:rsidRPr="00F43653">
              <w:rPr>
                <w:rFonts w:ascii="Arial" w:hAnsi="Arial" w:cs="Arial"/>
                <w:b/>
                <w:bCs/>
                <w:sz w:val="20"/>
                <w:szCs w:val="20"/>
              </w:rPr>
              <w:t>.</w:t>
            </w:r>
          </w:p>
        </w:tc>
      </w:tr>
      <w:tr w:rsidR="003E3A7E" w:rsidRPr="00627B08" w14:paraId="794A51F7" w14:textId="77777777" w:rsidTr="00AB13EC">
        <w:trPr>
          <w:trHeight w:val="57"/>
        </w:trPr>
        <w:tc>
          <w:tcPr>
            <w:tcW w:w="1042" w:type="pct"/>
            <w:vAlign w:val="bottom"/>
          </w:tcPr>
          <w:p w14:paraId="77F169B1" w14:textId="77777777" w:rsidR="003E3A7E" w:rsidRPr="00F43653" w:rsidRDefault="003E3A7E" w:rsidP="003E3A7E">
            <w:pPr>
              <w:tabs>
                <w:tab w:val="left" w:pos="-720"/>
              </w:tabs>
              <w:suppressAutoHyphens/>
              <w:autoSpaceDN w:val="0"/>
              <w:ind w:right="4144"/>
              <w:jc w:val="right"/>
              <w:rPr>
                <w:rFonts w:ascii="Arial" w:eastAsia="Times New Roman" w:hAnsi="Arial" w:cs="Arial"/>
                <w:color w:val="000000" w:themeColor="text1"/>
                <w:sz w:val="20"/>
                <w:szCs w:val="20"/>
              </w:rPr>
            </w:pPr>
          </w:p>
        </w:tc>
        <w:tc>
          <w:tcPr>
            <w:tcW w:w="495" w:type="pct"/>
            <w:vAlign w:val="bottom"/>
          </w:tcPr>
          <w:p w14:paraId="1FBAFE9E" w14:textId="1044E3D4" w:rsidR="003E3A7E" w:rsidRPr="00F43653" w:rsidRDefault="003E3A7E" w:rsidP="003E3A7E">
            <w:pPr>
              <w:suppressAutoHyphens/>
              <w:autoSpaceDN w:val="0"/>
              <w:spacing w:line="240" w:lineRule="atLeast"/>
              <w:jc w:val="right"/>
              <w:outlineLvl w:val="0"/>
              <w:rPr>
                <w:rFonts w:ascii="Arial" w:eastAsia="Times New Roman" w:hAnsi="Arial" w:cs="Arial"/>
                <w:b/>
                <w:color w:val="000000" w:themeColor="text1"/>
                <w:sz w:val="20"/>
                <w:szCs w:val="20"/>
              </w:rPr>
            </w:pPr>
            <w:r w:rsidRPr="00F43653">
              <w:rPr>
                <w:rFonts w:ascii="Arial" w:hAnsi="Arial" w:cs="Arial"/>
                <w:b/>
                <w:bCs/>
                <w:sz w:val="20"/>
                <w:szCs w:val="20"/>
              </w:rPr>
              <w:t>Tekuće razdoblje</w:t>
            </w:r>
          </w:p>
        </w:tc>
        <w:tc>
          <w:tcPr>
            <w:tcW w:w="495" w:type="pct"/>
            <w:vAlign w:val="bottom"/>
          </w:tcPr>
          <w:p w14:paraId="63C6AEAA" w14:textId="3DE502C0" w:rsidR="003E3A7E" w:rsidRPr="00F43653" w:rsidRDefault="003E3A7E" w:rsidP="003E3A7E">
            <w:pPr>
              <w:suppressAutoHyphens/>
              <w:autoSpaceDN w:val="0"/>
              <w:spacing w:line="240" w:lineRule="atLeast"/>
              <w:jc w:val="right"/>
              <w:outlineLvl w:val="0"/>
              <w:rPr>
                <w:rFonts w:ascii="Arial" w:eastAsia="Times New Roman" w:hAnsi="Arial" w:cs="Arial"/>
                <w:b/>
                <w:color w:val="000000" w:themeColor="text1"/>
                <w:sz w:val="20"/>
                <w:szCs w:val="20"/>
              </w:rPr>
            </w:pPr>
            <w:r w:rsidRPr="00F43653">
              <w:rPr>
                <w:rFonts w:ascii="Arial" w:hAnsi="Arial" w:cs="Arial"/>
                <w:b/>
                <w:bCs/>
                <w:sz w:val="20"/>
                <w:szCs w:val="20"/>
              </w:rPr>
              <w:t>Kumulativ</w:t>
            </w:r>
          </w:p>
        </w:tc>
        <w:tc>
          <w:tcPr>
            <w:tcW w:w="495" w:type="pct"/>
            <w:vAlign w:val="bottom"/>
          </w:tcPr>
          <w:p w14:paraId="5827A399" w14:textId="5ECEC646" w:rsidR="003E3A7E" w:rsidRPr="00F43653" w:rsidRDefault="003E3A7E" w:rsidP="003E3A7E">
            <w:pPr>
              <w:suppressAutoHyphens/>
              <w:autoSpaceDN w:val="0"/>
              <w:spacing w:line="240" w:lineRule="atLeast"/>
              <w:jc w:val="right"/>
              <w:outlineLvl w:val="0"/>
              <w:rPr>
                <w:rFonts w:ascii="Arial" w:eastAsia="Times New Roman" w:hAnsi="Arial" w:cs="Arial"/>
                <w:b/>
                <w:color w:val="000000" w:themeColor="text1"/>
                <w:sz w:val="20"/>
                <w:szCs w:val="20"/>
              </w:rPr>
            </w:pPr>
            <w:r w:rsidRPr="00F43653">
              <w:rPr>
                <w:rFonts w:ascii="Arial" w:hAnsi="Arial" w:cs="Arial"/>
                <w:b/>
                <w:bCs/>
                <w:sz w:val="20"/>
                <w:szCs w:val="20"/>
              </w:rPr>
              <w:t>Tekuće razdoblje</w:t>
            </w:r>
          </w:p>
        </w:tc>
        <w:tc>
          <w:tcPr>
            <w:tcW w:w="495" w:type="pct"/>
            <w:vAlign w:val="bottom"/>
          </w:tcPr>
          <w:p w14:paraId="03BBF762" w14:textId="3D996124" w:rsidR="003E3A7E" w:rsidRPr="00F43653" w:rsidRDefault="003E3A7E" w:rsidP="003E3A7E">
            <w:pPr>
              <w:suppressAutoHyphens/>
              <w:autoSpaceDN w:val="0"/>
              <w:spacing w:line="240" w:lineRule="atLeast"/>
              <w:jc w:val="right"/>
              <w:outlineLvl w:val="0"/>
              <w:rPr>
                <w:rFonts w:ascii="Arial" w:eastAsia="Times New Roman" w:hAnsi="Arial" w:cs="Arial"/>
                <w:b/>
                <w:color w:val="000000" w:themeColor="text1"/>
                <w:sz w:val="20"/>
                <w:szCs w:val="20"/>
              </w:rPr>
            </w:pPr>
            <w:r w:rsidRPr="00F43653">
              <w:rPr>
                <w:rFonts w:ascii="Arial" w:hAnsi="Arial" w:cs="Arial"/>
                <w:b/>
                <w:bCs/>
                <w:sz w:val="20"/>
                <w:szCs w:val="20"/>
              </w:rPr>
              <w:t>Kumulativ</w:t>
            </w:r>
          </w:p>
        </w:tc>
        <w:tc>
          <w:tcPr>
            <w:tcW w:w="495" w:type="pct"/>
            <w:vAlign w:val="bottom"/>
          </w:tcPr>
          <w:p w14:paraId="03709A46" w14:textId="76302E33" w:rsidR="003E3A7E" w:rsidRPr="00F43653" w:rsidRDefault="003E3A7E" w:rsidP="003E3A7E">
            <w:pPr>
              <w:suppressAutoHyphens/>
              <w:autoSpaceDN w:val="0"/>
              <w:spacing w:line="240" w:lineRule="atLeast"/>
              <w:jc w:val="right"/>
              <w:outlineLvl w:val="0"/>
              <w:rPr>
                <w:rFonts w:ascii="Arial" w:eastAsia="Times New Roman" w:hAnsi="Arial" w:cs="Arial"/>
                <w:b/>
                <w:color w:val="000000" w:themeColor="text1"/>
                <w:sz w:val="20"/>
                <w:szCs w:val="20"/>
              </w:rPr>
            </w:pPr>
            <w:r w:rsidRPr="00F43653">
              <w:rPr>
                <w:rFonts w:ascii="Arial" w:hAnsi="Arial" w:cs="Arial"/>
                <w:b/>
                <w:bCs/>
                <w:sz w:val="20"/>
                <w:szCs w:val="20"/>
              </w:rPr>
              <w:t>Tekuće razdoblje</w:t>
            </w:r>
          </w:p>
        </w:tc>
        <w:tc>
          <w:tcPr>
            <w:tcW w:w="495" w:type="pct"/>
            <w:vAlign w:val="bottom"/>
          </w:tcPr>
          <w:p w14:paraId="11DB235C" w14:textId="31694D65" w:rsidR="003E3A7E" w:rsidRPr="00F43653" w:rsidRDefault="003E3A7E" w:rsidP="003E3A7E">
            <w:pPr>
              <w:suppressAutoHyphens/>
              <w:autoSpaceDN w:val="0"/>
              <w:spacing w:line="240" w:lineRule="atLeast"/>
              <w:jc w:val="right"/>
              <w:outlineLvl w:val="0"/>
              <w:rPr>
                <w:rFonts w:ascii="Arial" w:eastAsia="Times New Roman" w:hAnsi="Arial" w:cs="Arial"/>
                <w:b/>
                <w:color w:val="000000" w:themeColor="text1"/>
                <w:sz w:val="20"/>
                <w:szCs w:val="20"/>
              </w:rPr>
            </w:pPr>
            <w:r w:rsidRPr="00F43653">
              <w:rPr>
                <w:rFonts w:ascii="Arial" w:hAnsi="Arial" w:cs="Arial"/>
                <w:b/>
                <w:bCs/>
                <w:sz w:val="20"/>
                <w:szCs w:val="20"/>
              </w:rPr>
              <w:t>Kumulativ</w:t>
            </w:r>
          </w:p>
        </w:tc>
        <w:tc>
          <w:tcPr>
            <w:tcW w:w="495" w:type="pct"/>
            <w:vAlign w:val="bottom"/>
          </w:tcPr>
          <w:p w14:paraId="1EE82F2E" w14:textId="0545B776" w:rsidR="003E3A7E" w:rsidRPr="00F43653" w:rsidRDefault="003E3A7E" w:rsidP="003E3A7E">
            <w:pPr>
              <w:suppressAutoHyphens/>
              <w:autoSpaceDN w:val="0"/>
              <w:spacing w:line="240" w:lineRule="atLeast"/>
              <w:jc w:val="right"/>
              <w:outlineLvl w:val="0"/>
              <w:rPr>
                <w:rFonts w:ascii="Arial" w:eastAsia="Times New Roman" w:hAnsi="Arial" w:cs="Arial"/>
                <w:b/>
                <w:color w:val="000000" w:themeColor="text1"/>
                <w:sz w:val="20"/>
                <w:szCs w:val="20"/>
              </w:rPr>
            </w:pPr>
            <w:r w:rsidRPr="00F43653">
              <w:rPr>
                <w:rFonts w:ascii="Arial" w:hAnsi="Arial" w:cs="Arial"/>
                <w:b/>
                <w:bCs/>
                <w:sz w:val="20"/>
                <w:szCs w:val="20"/>
              </w:rPr>
              <w:t>Tekuće razdoblje</w:t>
            </w:r>
          </w:p>
        </w:tc>
        <w:tc>
          <w:tcPr>
            <w:tcW w:w="493" w:type="pct"/>
            <w:vAlign w:val="bottom"/>
          </w:tcPr>
          <w:p w14:paraId="4C66B860" w14:textId="5E9BEAD4" w:rsidR="003E3A7E" w:rsidRPr="00F43653" w:rsidRDefault="003E3A7E" w:rsidP="003E3A7E">
            <w:pPr>
              <w:suppressAutoHyphens/>
              <w:autoSpaceDN w:val="0"/>
              <w:spacing w:line="240" w:lineRule="atLeast"/>
              <w:jc w:val="right"/>
              <w:outlineLvl w:val="0"/>
              <w:rPr>
                <w:rFonts w:ascii="Arial" w:eastAsia="Times New Roman" w:hAnsi="Arial" w:cs="Arial"/>
                <w:b/>
                <w:color w:val="000000" w:themeColor="text1"/>
                <w:sz w:val="20"/>
                <w:szCs w:val="20"/>
              </w:rPr>
            </w:pPr>
            <w:r w:rsidRPr="00F43653">
              <w:rPr>
                <w:rFonts w:ascii="Arial" w:hAnsi="Arial" w:cs="Arial"/>
                <w:b/>
                <w:bCs/>
                <w:sz w:val="20"/>
                <w:szCs w:val="20"/>
              </w:rPr>
              <w:t>Kumulativ</w:t>
            </w:r>
          </w:p>
        </w:tc>
      </w:tr>
      <w:tr w:rsidR="002F4581" w:rsidRPr="00627B08" w14:paraId="4404CFA3" w14:textId="77777777" w:rsidTr="00AB13EC">
        <w:trPr>
          <w:trHeight w:val="57"/>
        </w:trPr>
        <w:tc>
          <w:tcPr>
            <w:tcW w:w="1042" w:type="pct"/>
            <w:vAlign w:val="bottom"/>
          </w:tcPr>
          <w:p w14:paraId="2ADB534F" w14:textId="77777777" w:rsidR="002F4581" w:rsidRPr="00F43653" w:rsidRDefault="002F4581" w:rsidP="002F4581">
            <w:pPr>
              <w:tabs>
                <w:tab w:val="left" w:pos="-720"/>
              </w:tabs>
              <w:suppressAutoHyphens/>
              <w:autoSpaceDN w:val="0"/>
              <w:ind w:right="4144"/>
              <w:jc w:val="right"/>
              <w:rPr>
                <w:rFonts w:ascii="Arial" w:eastAsia="Times New Roman" w:hAnsi="Arial" w:cs="Arial"/>
                <w:color w:val="000000" w:themeColor="text1"/>
                <w:sz w:val="20"/>
                <w:szCs w:val="20"/>
              </w:rPr>
            </w:pPr>
          </w:p>
        </w:tc>
        <w:tc>
          <w:tcPr>
            <w:tcW w:w="495" w:type="pct"/>
            <w:vAlign w:val="bottom"/>
          </w:tcPr>
          <w:p w14:paraId="7FFE29F2" w14:textId="297B1B45" w:rsidR="002F4581" w:rsidRPr="00F43653" w:rsidRDefault="002F4581" w:rsidP="002F4581">
            <w:pPr>
              <w:suppressAutoHyphens/>
              <w:autoSpaceDN w:val="0"/>
              <w:spacing w:line="240" w:lineRule="atLeast"/>
              <w:jc w:val="right"/>
              <w:outlineLvl w:val="0"/>
              <w:rPr>
                <w:rFonts w:ascii="Arial" w:eastAsia="Times New Roman" w:hAnsi="Arial" w:cs="Arial"/>
                <w:b/>
                <w:color w:val="000000" w:themeColor="text1"/>
                <w:sz w:val="20"/>
                <w:szCs w:val="20"/>
              </w:rPr>
            </w:pPr>
            <w:r w:rsidRPr="002F4581">
              <w:rPr>
                <w:rFonts w:ascii="Arial" w:hAnsi="Arial" w:cs="Arial"/>
                <w:b/>
                <w:bCs/>
                <w:sz w:val="20"/>
                <w:szCs w:val="20"/>
              </w:rPr>
              <w:t>1.7. - 30.9.</w:t>
            </w:r>
          </w:p>
        </w:tc>
        <w:tc>
          <w:tcPr>
            <w:tcW w:w="495" w:type="pct"/>
            <w:vAlign w:val="bottom"/>
          </w:tcPr>
          <w:p w14:paraId="549C20A6" w14:textId="7AEEF47F" w:rsidR="002F4581" w:rsidRPr="00F43653" w:rsidRDefault="002F4581" w:rsidP="002F4581">
            <w:pPr>
              <w:suppressAutoHyphens/>
              <w:autoSpaceDN w:val="0"/>
              <w:spacing w:line="240" w:lineRule="atLeast"/>
              <w:jc w:val="right"/>
              <w:outlineLvl w:val="0"/>
              <w:rPr>
                <w:rFonts w:ascii="Arial" w:eastAsia="Times New Roman" w:hAnsi="Arial" w:cs="Arial"/>
                <w:b/>
                <w:color w:val="000000" w:themeColor="text1"/>
                <w:sz w:val="20"/>
                <w:szCs w:val="20"/>
              </w:rPr>
            </w:pPr>
            <w:r w:rsidRPr="002F4581">
              <w:rPr>
                <w:rFonts w:ascii="Arial" w:hAnsi="Arial" w:cs="Arial"/>
                <w:b/>
                <w:bCs/>
                <w:sz w:val="20"/>
                <w:szCs w:val="20"/>
              </w:rPr>
              <w:t>1.1. - 30.9.</w:t>
            </w:r>
          </w:p>
        </w:tc>
        <w:tc>
          <w:tcPr>
            <w:tcW w:w="495" w:type="pct"/>
            <w:vAlign w:val="bottom"/>
          </w:tcPr>
          <w:p w14:paraId="049D6457" w14:textId="31F09FE4" w:rsidR="002F4581" w:rsidRPr="00F43653" w:rsidRDefault="002F4581" w:rsidP="002F4581">
            <w:pPr>
              <w:suppressAutoHyphens/>
              <w:autoSpaceDN w:val="0"/>
              <w:spacing w:line="240" w:lineRule="atLeast"/>
              <w:jc w:val="right"/>
              <w:outlineLvl w:val="0"/>
              <w:rPr>
                <w:rFonts w:ascii="Arial" w:eastAsia="Times New Roman" w:hAnsi="Arial" w:cs="Arial"/>
                <w:b/>
                <w:color w:val="000000" w:themeColor="text1"/>
                <w:sz w:val="20"/>
                <w:szCs w:val="20"/>
              </w:rPr>
            </w:pPr>
            <w:r w:rsidRPr="002F4581">
              <w:rPr>
                <w:rFonts w:ascii="Arial" w:hAnsi="Arial" w:cs="Arial"/>
                <w:b/>
                <w:bCs/>
                <w:sz w:val="20"/>
                <w:szCs w:val="20"/>
              </w:rPr>
              <w:t>1.7. - 30.9.</w:t>
            </w:r>
          </w:p>
        </w:tc>
        <w:tc>
          <w:tcPr>
            <w:tcW w:w="495" w:type="pct"/>
            <w:vAlign w:val="bottom"/>
          </w:tcPr>
          <w:p w14:paraId="251EFD87" w14:textId="6DE14DCE" w:rsidR="002F4581" w:rsidRPr="00F43653" w:rsidRDefault="002F4581" w:rsidP="002F4581">
            <w:pPr>
              <w:suppressAutoHyphens/>
              <w:autoSpaceDN w:val="0"/>
              <w:spacing w:line="240" w:lineRule="atLeast"/>
              <w:jc w:val="right"/>
              <w:outlineLvl w:val="0"/>
              <w:rPr>
                <w:rFonts w:ascii="Arial" w:eastAsia="Times New Roman" w:hAnsi="Arial" w:cs="Arial"/>
                <w:b/>
                <w:color w:val="000000" w:themeColor="text1"/>
                <w:sz w:val="20"/>
                <w:szCs w:val="20"/>
              </w:rPr>
            </w:pPr>
            <w:r w:rsidRPr="002F4581">
              <w:rPr>
                <w:rFonts w:ascii="Arial" w:hAnsi="Arial" w:cs="Arial"/>
                <w:b/>
                <w:bCs/>
                <w:sz w:val="20"/>
                <w:szCs w:val="20"/>
              </w:rPr>
              <w:t>1.1. - 30.9.</w:t>
            </w:r>
          </w:p>
        </w:tc>
        <w:tc>
          <w:tcPr>
            <w:tcW w:w="495" w:type="pct"/>
            <w:vAlign w:val="bottom"/>
          </w:tcPr>
          <w:p w14:paraId="3B17C734" w14:textId="0A21DD0A" w:rsidR="002F4581" w:rsidRPr="00F43653" w:rsidRDefault="002F4581" w:rsidP="002F4581">
            <w:pPr>
              <w:suppressAutoHyphens/>
              <w:autoSpaceDN w:val="0"/>
              <w:spacing w:line="240" w:lineRule="atLeast"/>
              <w:jc w:val="right"/>
              <w:outlineLvl w:val="0"/>
              <w:rPr>
                <w:rFonts w:ascii="Arial" w:eastAsia="Times New Roman" w:hAnsi="Arial" w:cs="Arial"/>
                <w:b/>
                <w:color w:val="000000" w:themeColor="text1"/>
                <w:sz w:val="20"/>
                <w:szCs w:val="20"/>
              </w:rPr>
            </w:pPr>
            <w:r w:rsidRPr="002F4581">
              <w:rPr>
                <w:rFonts w:ascii="Arial" w:hAnsi="Arial" w:cs="Arial"/>
                <w:b/>
                <w:bCs/>
                <w:sz w:val="20"/>
                <w:szCs w:val="20"/>
              </w:rPr>
              <w:t>1.7. - 30.9.</w:t>
            </w:r>
          </w:p>
        </w:tc>
        <w:tc>
          <w:tcPr>
            <w:tcW w:w="495" w:type="pct"/>
            <w:vAlign w:val="bottom"/>
          </w:tcPr>
          <w:p w14:paraId="1A41F700" w14:textId="656AEEBC" w:rsidR="002F4581" w:rsidRPr="00F43653" w:rsidRDefault="002F4581" w:rsidP="002F4581">
            <w:pPr>
              <w:suppressAutoHyphens/>
              <w:autoSpaceDN w:val="0"/>
              <w:spacing w:line="240" w:lineRule="atLeast"/>
              <w:jc w:val="right"/>
              <w:outlineLvl w:val="0"/>
              <w:rPr>
                <w:rFonts w:ascii="Arial" w:eastAsia="Times New Roman" w:hAnsi="Arial" w:cs="Arial"/>
                <w:b/>
                <w:color w:val="000000" w:themeColor="text1"/>
                <w:sz w:val="20"/>
                <w:szCs w:val="20"/>
              </w:rPr>
            </w:pPr>
            <w:r w:rsidRPr="002F4581">
              <w:rPr>
                <w:rFonts w:ascii="Arial" w:hAnsi="Arial" w:cs="Arial"/>
                <w:b/>
                <w:bCs/>
                <w:sz w:val="20"/>
                <w:szCs w:val="20"/>
              </w:rPr>
              <w:t>1.1. - 30.9.</w:t>
            </w:r>
          </w:p>
        </w:tc>
        <w:tc>
          <w:tcPr>
            <w:tcW w:w="495" w:type="pct"/>
            <w:vAlign w:val="bottom"/>
          </w:tcPr>
          <w:p w14:paraId="6FAD7E0F" w14:textId="3756BC0E" w:rsidR="002F4581" w:rsidRPr="00F43653" w:rsidRDefault="002F4581" w:rsidP="002F4581">
            <w:pPr>
              <w:suppressAutoHyphens/>
              <w:autoSpaceDN w:val="0"/>
              <w:spacing w:line="240" w:lineRule="atLeast"/>
              <w:jc w:val="right"/>
              <w:outlineLvl w:val="0"/>
              <w:rPr>
                <w:rFonts w:ascii="Arial" w:eastAsia="Times New Roman" w:hAnsi="Arial" w:cs="Arial"/>
                <w:b/>
                <w:color w:val="000000" w:themeColor="text1"/>
                <w:sz w:val="20"/>
                <w:szCs w:val="20"/>
              </w:rPr>
            </w:pPr>
            <w:r w:rsidRPr="002F4581">
              <w:rPr>
                <w:rFonts w:ascii="Arial" w:hAnsi="Arial" w:cs="Arial"/>
                <w:b/>
                <w:bCs/>
                <w:sz w:val="20"/>
                <w:szCs w:val="20"/>
              </w:rPr>
              <w:t>1.7. - 30.9.</w:t>
            </w:r>
          </w:p>
        </w:tc>
        <w:tc>
          <w:tcPr>
            <w:tcW w:w="493" w:type="pct"/>
            <w:vAlign w:val="bottom"/>
          </w:tcPr>
          <w:p w14:paraId="6DC9F517" w14:textId="683352F9" w:rsidR="002F4581" w:rsidRPr="00F43653" w:rsidRDefault="002F4581" w:rsidP="002F4581">
            <w:pPr>
              <w:suppressAutoHyphens/>
              <w:autoSpaceDN w:val="0"/>
              <w:spacing w:line="240" w:lineRule="atLeast"/>
              <w:jc w:val="right"/>
              <w:outlineLvl w:val="0"/>
              <w:rPr>
                <w:rFonts w:ascii="Arial" w:eastAsia="Times New Roman" w:hAnsi="Arial" w:cs="Arial"/>
                <w:b/>
                <w:color w:val="000000" w:themeColor="text1"/>
                <w:sz w:val="20"/>
                <w:szCs w:val="20"/>
              </w:rPr>
            </w:pPr>
            <w:r w:rsidRPr="002F4581">
              <w:rPr>
                <w:rFonts w:ascii="Arial" w:hAnsi="Arial" w:cs="Arial"/>
                <w:b/>
                <w:bCs/>
                <w:sz w:val="20"/>
                <w:szCs w:val="20"/>
              </w:rPr>
              <w:t>1.1. - 30.9.</w:t>
            </w:r>
          </w:p>
        </w:tc>
      </w:tr>
      <w:tr w:rsidR="003E3A7E" w:rsidRPr="00627B08" w14:paraId="48995C09" w14:textId="77777777" w:rsidTr="007478FB">
        <w:trPr>
          <w:trHeight w:val="57"/>
        </w:trPr>
        <w:tc>
          <w:tcPr>
            <w:tcW w:w="1042" w:type="pct"/>
            <w:vAlign w:val="bottom"/>
          </w:tcPr>
          <w:p w14:paraId="27EDDA7D" w14:textId="77777777" w:rsidR="003E3A7E" w:rsidRPr="00F43653" w:rsidRDefault="003E3A7E" w:rsidP="003E3A7E">
            <w:pPr>
              <w:tabs>
                <w:tab w:val="left" w:pos="-720"/>
              </w:tabs>
              <w:suppressAutoHyphens/>
              <w:autoSpaceDN w:val="0"/>
              <w:ind w:right="4144"/>
              <w:jc w:val="right"/>
              <w:rPr>
                <w:rFonts w:ascii="Arial" w:eastAsia="Times New Roman" w:hAnsi="Arial" w:cs="Arial"/>
                <w:color w:val="000000" w:themeColor="text1"/>
                <w:sz w:val="20"/>
                <w:szCs w:val="20"/>
              </w:rPr>
            </w:pPr>
          </w:p>
        </w:tc>
        <w:tc>
          <w:tcPr>
            <w:tcW w:w="495" w:type="pct"/>
            <w:vAlign w:val="bottom"/>
          </w:tcPr>
          <w:p w14:paraId="24B681E7" w14:textId="0649070C" w:rsidR="003E3A7E" w:rsidRPr="00F43653" w:rsidRDefault="003E3A7E" w:rsidP="003E3A7E">
            <w:pPr>
              <w:suppressAutoHyphens/>
              <w:autoSpaceDN w:val="0"/>
              <w:spacing w:line="240" w:lineRule="atLeast"/>
              <w:jc w:val="right"/>
              <w:outlineLvl w:val="0"/>
              <w:rPr>
                <w:rFonts w:ascii="Arial" w:eastAsia="Times New Roman" w:hAnsi="Arial" w:cs="Arial"/>
                <w:b/>
                <w:color w:val="000000" w:themeColor="text1"/>
                <w:sz w:val="20"/>
                <w:szCs w:val="20"/>
              </w:rPr>
            </w:pPr>
            <w:r w:rsidRPr="00F43653">
              <w:rPr>
                <w:rFonts w:ascii="Arial" w:eastAsia="Times New Roman" w:hAnsi="Arial" w:cs="Arial"/>
                <w:b/>
                <w:color w:val="000000" w:themeColor="text1"/>
                <w:sz w:val="20"/>
                <w:szCs w:val="20"/>
              </w:rPr>
              <w:t>000 eura</w:t>
            </w:r>
          </w:p>
        </w:tc>
        <w:tc>
          <w:tcPr>
            <w:tcW w:w="495" w:type="pct"/>
            <w:vAlign w:val="bottom"/>
          </w:tcPr>
          <w:p w14:paraId="08A23418" w14:textId="3AA00A3D" w:rsidR="003E3A7E" w:rsidRPr="00F43653" w:rsidRDefault="003E3A7E" w:rsidP="003E3A7E">
            <w:pPr>
              <w:suppressAutoHyphens/>
              <w:autoSpaceDN w:val="0"/>
              <w:spacing w:line="240" w:lineRule="atLeast"/>
              <w:jc w:val="right"/>
              <w:outlineLvl w:val="0"/>
              <w:rPr>
                <w:rFonts w:ascii="Arial" w:eastAsia="Times New Roman" w:hAnsi="Arial" w:cs="Arial"/>
                <w:b/>
                <w:color w:val="000000" w:themeColor="text1"/>
                <w:sz w:val="20"/>
                <w:szCs w:val="20"/>
              </w:rPr>
            </w:pPr>
            <w:r w:rsidRPr="00F43653">
              <w:rPr>
                <w:rFonts w:ascii="Arial" w:eastAsia="Times New Roman" w:hAnsi="Arial" w:cs="Arial"/>
                <w:b/>
                <w:color w:val="000000" w:themeColor="text1"/>
                <w:sz w:val="20"/>
                <w:szCs w:val="20"/>
              </w:rPr>
              <w:t>000 eura</w:t>
            </w:r>
          </w:p>
        </w:tc>
        <w:tc>
          <w:tcPr>
            <w:tcW w:w="495" w:type="pct"/>
            <w:vAlign w:val="bottom"/>
          </w:tcPr>
          <w:p w14:paraId="51B52089" w14:textId="28B58673" w:rsidR="003E3A7E" w:rsidRPr="00F43653" w:rsidRDefault="003E3A7E" w:rsidP="003E3A7E">
            <w:pPr>
              <w:suppressAutoHyphens/>
              <w:autoSpaceDN w:val="0"/>
              <w:spacing w:line="240" w:lineRule="atLeast"/>
              <w:jc w:val="right"/>
              <w:outlineLvl w:val="0"/>
              <w:rPr>
                <w:rFonts w:ascii="Arial" w:eastAsia="Times New Roman" w:hAnsi="Arial" w:cs="Arial"/>
                <w:b/>
                <w:color w:val="000000" w:themeColor="text1"/>
                <w:sz w:val="20"/>
                <w:szCs w:val="20"/>
              </w:rPr>
            </w:pPr>
            <w:r w:rsidRPr="00F43653">
              <w:rPr>
                <w:rFonts w:ascii="Arial" w:eastAsia="Times New Roman" w:hAnsi="Arial" w:cs="Arial"/>
                <w:b/>
                <w:color w:val="000000" w:themeColor="text1"/>
                <w:sz w:val="20"/>
                <w:szCs w:val="20"/>
              </w:rPr>
              <w:t>000 eura</w:t>
            </w:r>
          </w:p>
        </w:tc>
        <w:tc>
          <w:tcPr>
            <w:tcW w:w="495" w:type="pct"/>
            <w:vAlign w:val="bottom"/>
          </w:tcPr>
          <w:p w14:paraId="2CADFADE" w14:textId="56F3BDC5" w:rsidR="003E3A7E" w:rsidRPr="00F43653" w:rsidRDefault="003E3A7E" w:rsidP="003E3A7E">
            <w:pPr>
              <w:suppressAutoHyphens/>
              <w:autoSpaceDN w:val="0"/>
              <w:spacing w:line="240" w:lineRule="atLeast"/>
              <w:jc w:val="right"/>
              <w:outlineLvl w:val="0"/>
              <w:rPr>
                <w:rFonts w:ascii="Arial" w:eastAsia="Times New Roman" w:hAnsi="Arial" w:cs="Arial"/>
                <w:b/>
                <w:color w:val="000000" w:themeColor="text1"/>
                <w:sz w:val="20"/>
                <w:szCs w:val="20"/>
              </w:rPr>
            </w:pPr>
            <w:r w:rsidRPr="00F43653">
              <w:rPr>
                <w:rFonts w:ascii="Arial" w:eastAsia="Times New Roman" w:hAnsi="Arial" w:cs="Arial"/>
                <w:b/>
                <w:color w:val="000000" w:themeColor="text1"/>
                <w:sz w:val="20"/>
                <w:szCs w:val="20"/>
              </w:rPr>
              <w:t>000 eura</w:t>
            </w:r>
          </w:p>
        </w:tc>
        <w:tc>
          <w:tcPr>
            <w:tcW w:w="495" w:type="pct"/>
            <w:vAlign w:val="bottom"/>
          </w:tcPr>
          <w:p w14:paraId="6AE3B291" w14:textId="30F0E60E" w:rsidR="003E3A7E" w:rsidRPr="00F43653" w:rsidRDefault="003E3A7E" w:rsidP="003E3A7E">
            <w:pPr>
              <w:suppressAutoHyphens/>
              <w:autoSpaceDN w:val="0"/>
              <w:spacing w:line="240" w:lineRule="atLeast"/>
              <w:jc w:val="right"/>
              <w:outlineLvl w:val="0"/>
              <w:rPr>
                <w:rFonts w:ascii="Arial" w:eastAsia="Times New Roman" w:hAnsi="Arial" w:cs="Arial"/>
                <w:b/>
                <w:color w:val="000000" w:themeColor="text1"/>
                <w:sz w:val="20"/>
                <w:szCs w:val="20"/>
              </w:rPr>
            </w:pPr>
            <w:r w:rsidRPr="00F43653">
              <w:rPr>
                <w:rFonts w:ascii="Arial" w:eastAsia="Times New Roman" w:hAnsi="Arial" w:cs="Arial"/>
                <w:b/>
                <w:color w:val="000000" w:themeColor="text1"/>
                <w:sz w:val="20"/>
                <w:szCs w:val="20"/>
              </w:rPr>
              <w:t>000 eura</w:t>
            </w:r>
          </w:p>
        </w:tc>
        <w:tc>
          <w:tcPr>
            <w:tcW w:w="495" w:type="pct"/>
            <w:vAlign w:val="bottom"/>
          </w:tcPr>
          <w:p w14:paraId="3C46579E" w14:textId="3ECFE27A" w:rsidR="003E3A7E" w:rsidRPr="00F43653" w:rsidRDefault="003E3A7E" w:rsidP="003E3A7E">
            <w:pPr>
              <w:suppressAutoHyphens/>
              <w:autoSpaceDN w:val="0"/>
              <w:spacing w:line="240" w:lineRule="atLeast"/>
              <w:jc w:val="right"/>
              <w:outlineLvl w:val="0"/>
              <w:rPr>
                <w:rFonts w:ascii="Arial" w:eastAsia="Times New Roman" w:hAnsi="Arial" w:cs="Arial"/>
                <w:b/>
                <w:color w:val="000000" w:themeColor="text1"/>
                <w:sz w:val="20"/>
                <w:szCs w:val="20"/>
              </w:rPr>
            </w:pPr>
            <w:r w:rsidRPr="00F43653">
              <w:rPr>
                <w:rFonts w:ascii="Arial" w:eastAsia="Times New Roman" w:hAnsi="Arial" w:cs="Arial"/>
                <w:b/>
                <w:color w:val="000000" w:themeColor="text1"/>
                <w:sz w:val="20"/>
                <w:szCs w:val="20"/>
              </w:rPr>
              <w:t>000 eura</w:t>
            </w:r>
          </w:p>
        </w:tc>
        <w:tc>
          <w:tcPr>
            <w:tcW w:w="495" w:type="pct"/>
            <w:vAlign w:val="bottom"/>
          </w:tcPr>
          <w:p w14:paraId="719C1473" w14:textId="7C7B39CC" w:rsidR="003E3A7E" w:rsidRPr="00F43653" w:rsidRDefault="003E3A7E" w:rsidP="003E3A7E">
            <w:pPr>
              <w:suppressAutoHyphens/>
              <w:autoSpaceDN w:val="0"/>
              <w:spacing w:line="240" w:lineRule="atLeast"/>
              <w:jc w:val="right"/>
              <w:outlineLvl w:val="0"/>
              <w:rPr>
                <w:rFonts w:ascii="Arial" w:eastAsia="Times New Roman" w:hAnsi="Arial" w:cs="Arial"/>
                <w:b/>
                <w:color w:val="000000" w:themeColor="text1"/>
                <w:sz w:val="20"/>
                <w:szCs w:val="20"/>
              </w:rPr>
            </w:pPr>
            <w:r w:rsidRPr="00F43653">
              <w:rPr>
                <w:rFonts w:ascii="Arial" w:eastAsia="Times New Roman" w:hAnsi="Arial" w:cs="Arial"/>
                <w:b/>
                <w:color w:val="000000" w:themeColor="text1"/>
                <w:sz w:val="20"/>
                <w:szCs w:val="20"/>
              </w:rPr>
              <w:t>000 eura</w:t>
            </w:r>
          </w:p>
        </w:tc>
        <w:tc>
          <w:tcPr>
            <w:tcW w:w="493" w:type="pct"/>
            <w:vAlign w:val="bottom"/>
          </w:tcPr>
          <w:p w14:paraId="0BC967A2" w14:textId="2BDE374C" w:rsidR="003E3A7E" w:rsidRPr="00F43653" w:rsidRDefault="003E3A7E" w:rsidP="003E3A7E">
            <w:pPr>
              <w:suppressAutoHyphens/>
              <w:autoSpaceDN w:val="0"/>
              <w:spacing w:line="240" w:lineRule="atLeast"/>
              <w:jc w:val="right"/>
              <w:outlineLvl w:val="0"/>
              <w:rPr>
                <w:rFonts w:ascii="Arial" w:eastAsia="Times New Roman" w:hAnsi="Arial" w:cs="Arial"/>
                <w:b/>
                <w:color w:val="000000" w:themeColor="text1"/>
                <w:sz w:val="20"/>
                <w:szCs w:val="20"/>
              </w:rPr>
            </w:pPr>
            <w:r w:rsidRPr="00F43653">
              <w:rPr>
                <w:rFonts w:ascii="Arial" w:eastAsia="Times New Roman" w:hAnsi="Arial" w:cs="Arial"/>
                <w:b/>
                <w:color w:val="000000" w:themeColor="text1"/>
                <w:sz w:val="20"/>
                <w:szCs w:val="20"/>
              </w:rPr>
              <w:t>000 eura</w:t>
            </w:r>
          </w:p>
        </w:tc>
      </w:tr>
      <w:tr w:rsidR="003E3A7E" w:rsidRPr="00627B08" w14:paraId="5BBBFA2A" w14:textId="77777777" w:rsidTr="007478FB">
        <w:tblPrEx>
          <w:tblCellMar>
            <w:left w:w="122" w:type="dxa"/>
            <w:right w:w="122" w:type="dxa"/>
          </w:tblCellMar>
        </w:tblPrEx>
        <w:trPr>
          <w:trHeight w:hRule="exact" w:val="171"/>
        </w:trPr>
        <w:tc>
          <w:tcPr>
            <w:tcW w:w="1042" w:type="pct"/>
            <w:vAlign w:val="bottom"/>
          </w:tcPr>
          <w:p w14:paraId="3E6CA939" w14:textId="77777777" w:rsidR="003E3A7E" w:rsidRPr="00F43653" w:rsidRDefault="003E3A7E" w:rsidP="003E3A7E">
            <w:pPr>
              <w:tabs>
                <w:tab w:val="left" w:pos="-720"/>
              </w:tabs>
              <w:suppressAutoHyphens/>
              <w:autoSpaceDN w:val="0"/>
              <w:rPr>
                <w:rFonts w:ascii="Arial" w:eastAsia="Times New Roman" w:hAnsi="Arial" w:cs="Arial"/>
                <w:bCs/>
                <w:color w:val="000000" w:themeColor="text1"/>
                <w:spacing w:val="-3"/>
                <w:sz w:val="20"/>
                <w:szCs w:val="20"/>
              </w:rPr>
            </w:pPr>
          </w:p>
        </w:tc>
        <w:tc>
          <w:tcPr>
            <w:tcW w:w="495" w:type="pct"/>
            <w:vAlign w:val="bottom"/>
          </w:tcPr>
          <w:p w14:paraId="5C46C232" w14:textId="77777777" w:rsidR="003E3A7E" w:rsidRPr="00F43653" w:rsidRDefault="003E3A7E" w:rsidP="003E3A7E">
            <w:pPr>
              <w:tabs>
                <w:tab w:val="left" w:pos="-720"/>
              </w:tabs>
              <w:suppressAutoHyphens/>
              <w:autoSpaceDN w:val="0"/>
              <w:jc w:val="right"/>
              <w:rPr>
                <w:rFonts w:ascii="Arial" w:eastAsia="Times New Roman" w:hAnsi="Arial" w:cs="Arial"/>
                <w:b/>
                <w:color w:val="000000" w:themeColor="text1"/>
                <w:spacing w:val="-3"/>
                <w:sz w:val="20"/>
                <w:szCs w:val="20"/>
              </w:rPr>
            </w:pPr>
          </w:p>
        </w:tc>
        <w:tc>
          <w:tcPr>
            <w:tcW w:w="495" w:type="pct"/>
            <w:vAlign w:val="bottom"/>
          </w:tcPr>
          <w:p w14:paraId="2194F166" w14:textId="77777777" w:rsidR="003E3A7E" w:rsidRPr="00F43653" w:rsidRDefault="003E3A7E" w:rsidP="003E3A7E">
            <w:pPr>
              <w:tabs>
                <w:tab w:val="left" w:pos="-720"/>
              </w:tabs>
              <w:suppressAutoHyphens/>
              <w:autoSpaceDN w:val="0"/>
              <w:jc w:val="right"/>
              <w:rPr>
                <w:rFonts w:ascii="Arial" w:eastAsia="Times New Roman" w:hAnsi="Arial" w:cs="Arial"/>
                <w:b/>
                <w:color w:val="000000" w:themeColor="text1"/>
                <w:spacing w:val="-3"/>
                <w:sz w:val="20"/>
                <w:szCs w:val="20"/>
              </w:rPr>
            </w:pPr>
          </w:p>
        </w:tc>
        <w:tc>
          <w:tcPr>
            <w:tcW w:w="495" w:type="pct"/>
            <w:vAlign w:val="bottom"/>
          </w:tcPr>
          <w:p w14:paraId="69FDABD8" w14:textId="77777777" w:rsidR="003E3A7E" w:rsidRPr="00F43653" w:rsidRDefault="003E3A7E" w:rsidP="003E3A7E">
            <w:pPr>
              <w:tabs>
                <w:tab w:val="left" w:pos="-720"/>
              </w:tabs>
              <w:suppressAutoHyphens/>
              <w:autoSpaceDN w:val="0"/>
              <w:jc w:val="right"/>
              <w:rPr>
                <w:rFonts w:ascii="Arial" w:eastAsia="Times New Roman" w:hAnsi="Arial" w:cs="Arial"/>
                <w:b/>
                <w:color w:val="000000" w:themeColor="text1"/>
                <w:spacing w:val="-3"/>
                <w:sz w:val="20"/>
                <w:szCs w:val="20"/>
              </w:rPr>
            </w:pPr>
          </w:p>
        </w:tc>
        <w:tc>
          <w:tcPr>
            <w:tcW w:w="495" w:type="pct"/>
            <w:vAlign w:val="bottom"/>
          </w:tcPr>
          <w:p w14:paraId="43B67CD9" w14:textId="77777777" w:rsidR="003E3A7E" w:rsidRPr="00F43653" w:rsidRDefault="003E3A7E" w:rsidP="003E3A7E">
            <w:pPr>
              <w:tabs>
                <w:tab w:val="left" w:pos="-720"/>
              </w:tabs>
              <w:suppressAutoHyphens/>
              <w:autoSpaceDN w:val="0"/>
              <w:jc w:val="right"/>
              <w:rPr>
                <w:rFonts w:ascii="Arial" w:eastAsia="Times New Roman" w:hAnsi="Arial" w:cs="Arial"/>
                <w:b/>
                <w:color w:val="000000" w:themeColor="text1"/>
                <w:spacing w:val="-3"/>
                <w:sz w:val="20"/>
                <w:szCs w:val="20"/>
              </w:rPr>
            </w:pPr>
          </w:p>
        </w:tc>
        <w:tc>
          <w:tcPr>
            <w:tcW w:w="495" w:type="pct"/>
            <w:vAlign w:val="bottom"/>
          </w:tcPr>
          <w:p w14:paraId="69A4D562" w14:textId="297DDAFC" w:rsidR="003E3A7E" w:rsidRPr="00F43653" w:rsidRDefault="003E3A7E" w:rsidP="003E3A7E">
            <w:pPr>
              <w:tabs>
                <w:tab w:val="left" w:pos="-720"/>
              </w:tabs>
              <w:suppressAutoHyphens/>
              <w:autoSpaceDN w:val="0"/>
              <w:jc w:val="right"/>
              <w:rPr>
                <w:rFonts w:ascii="Arial" w:eastAsia="Times New Roman" w:hAnsi="Arial" w:cs="Arial"/>
                <w:b/>
                <w:color w:val="000000" w:themeColor="text1"/>
                <w:spacing w:val="-3"/>
                <w:sz w:val="20"/>
                <w:szCs w:val="20"/>
              </w:rPr>
            </w:pPr>
          </w:p>
        </w:tc>
        <w:tc>
          <w:tcPr>
            <w:tcW w:w="495" w:type="pct"/>
            <w:vAlign w:val="bottom"/>
          </w:tcPr>
          <w:p w14:paraId="739AFD18" w14:textId="77777777" w:rsidR="003E3A7E" w:rsidRPr="00F43653" w:rsidRDefault="003E3A7E" w:rsidP="003E3A7E">
            <w:pPr>
              <w:tabs>
                <w:tab w:val="left" w:pos="-720"/>
              </w:tabs>
              <w:suppressAutoHyphens/>
              <w:autoSpaceDN w:val="0"/>
              <w:jc w:val="right"/>
              <w:rPr>
                <w:rFonts w:ascii="Arial" w:eastAsia="Times New Roman" w:hAnsi="Arial" w:cs="Arial"/>
                <w:b/>
                <w:color w:val="000000" w:themeColor="text1"/>
                <w:spacing w:val="-3"/>
                <w:sz w:val="20"/>
                <w:szCs w:val="20"/>
              </w:rPr>
            </w:pPr>
          </w:p>
        </w:tc>
        <w:tc>
          <w:tcPr>
            <w:tcW w:w="495" w:type="pct"/>
            <w:vAlign w:val="bottom"/>
          </w:tcPr>
          <w:p w14:paraId="1BEC8286" w14:textId="77777777" w:rsidR="003E3A7E" w:rsidRPr="00F43653" w:rsidRDefault="003E3A7E" w:rsidP="003E3A7E">
            <w:pPr>
              <w:tabs>
                <w:tab w:val="left" w:pos="-720"/>
              </w:tabs>
              <w:suppressAutoHyphens/>
              <w:autoSpaceDN w:val="0"/>
              <w:jc w:val="right"/>
              <w:rPr>
                <w:rFonts w:ascii="Arial" w:eastAsia="Times New Roman" w:hAnsi="Arial" w:cs="Arial"/>
                <w:b/>
                <w:color w:val="000000" w:themeColor="text1"/>
                <w:spacing w:val="-3"/>
                <w:sz w:val="20"/>
                <w:szCs w:val="20"/>
              </w:rPr>
            </w:pPr>
          </w:p>
        </w:tc>
        <w:tc>
          <w:tcPr>
            <w:tcW w:w="493" w:type="pct"/>
            <w:vAlign w:val="bottom"/>
          </w:tcPr>
          <w:p w14:paraId="5B580B72" w14:textId="77777777" w:rsidR="003E3A7E" w:rsidRPr="00F43653" w:rsidRDefault="003E3A7E" w:rsidP="003E3A7E">
            <w:pPr>
              <w:tabs>
                <w:tab w:val="left" w:pos="-720"/>
              </w:tabs>
              <w:suppressAutoHyphens/>
              <w:autoSpaceDN w:val="0"/>
              <w:jc w:val="right"/>
              <w:rPr>
                <w:rFonts w:ascii="Arial" w:eastAsia="Times New Roman" w:hAnsi="Arial" w:cs="Arial"/>
                <w:b/>
                <w:color w:val="000000" w:themeColor="text1"/>
                <w:spacing w:val="-3"/>
                <w:sz w:val="20"/>
                <w:szCs w:val="20"/>
              </w:rPr>
            </w:pPr>
          </w:p>
        </w:tc>
      </w:tr>
      <w:tr w:rsidR="003B3A72" w:rsidRPr="00627B08" w14:paraId="587034E4" w14:textId="77777777" w:rsidTr="00464ABA">
        <w:tblPrEx>
          <w:tblCellMar>
            <w:left w:w="122" w:type="dxa"/>
            <w:right w:w="122" w:type="dxa"/>
          </w:tblCellMar>
        </w:tblPrEx>
        <w:trPr>
          <w:trHeight w:val="20"/>
        </w:trPr>
        <w:tc>
          <w:tcPr>
            <w:tcW w:w="1042" w:type="pct"/>
            <w:vAlign w:val="bottom"/>
          </w:tcPr>
          <w:p w14:paraId="557910B9" w14:textId="1D234060" w:rsidR="003B3A72" w:rsidRPr="00F43653" w:rsidRDefault="003B3A72" w:rsidP="003B3A72">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288" w:name="_Toc67327646"/>
            <w:r w:rsidRPr="00F43653">
              <w:rPr>
                <w:rFonts w:ascii="Arial" w:eastAsia="Times New Roman" w:hAnsi="Arial" w:cs="Arial"/>
                <w:color w:val="000000" w:themeColor="text1"/>
                <w:sz w:val="20"/>
                <w:szCs w:val="20"/>
              </w:rPr>
              <w:t>7. a) Troškovi osoblja</w:t>
            </w:r>
            <w:bookmarkEnd w:id="288"/>
          </w:p>
        </w:tc>
        <w:tc>
          <w:tcPr>
            <w:tcW w:w="495" w:type="pct"/>
            <w:tcBorders>
              <w:top w:val="nil"/>
              <w:left w:val="nil"/>
              <w:bottom w:val="nil"/>
              <w:right w:val="nil"/>
            </w:tcBorders>
            <w:shd w:val="clear" w:color="auto" w:fill="auto"/>
            <w:vAlign w:val="bottom"/>
          </w:tcPr>
          <w:p w14:paraId="1D32A820" w14:textId="25C93390" w:rsidR="003B3A72" w:rsidRPr="00464ABA" w:rsidRDefault="003B3A72" w:rsidP="003B3A72">
            <w:pPr>
              <w:tabs>
                <w:tab w:val="right" w:pos="1202"/>
              </w:tabs>
              <w:suppressAutoHyphens/>
              <w:autoSpaceDN w:val="0"/>
              <w:spacing w:line="301" w:lineRule="exact"/>
              <w:jc w:val="right"/>
              <w:outlineLvl w:val="0"/>
              <w:rPr>
                <w:rFonts w:ascii="Arial" w:hAnsi="Arial" w:cs="Arial"/>
                <w:sz w:val="20"/>
                <w:szCs w:val="20"/>
              </w:rPr>
            </w:pPr>
            <w:r w:rsidRPr="00464ABA">
              <w:rPr>
                <w:rFonts w:ascii="Arial" w:hAnsi="Arial" w:cs="Arial"/>
                <w:sz w:val="20"/>
                <w:szCs w:val="20"/>
              </w:rPr>
              <w:t xml:space="preserve"> 4.640 </w:t>
            </w:r>
          </w:p>
        </w:tc>
        <w:tc>
          <w:tcPr>
            <w:tcW w:w="495" w:type="pct"/>
            <w:tcBorders>
              <w:top w:val="nil"/>
              <w:left w:val="nil"/>
              <w:bottom w:val="nil"/>
              <w:right w:val="nil"/>
            </w:tcBorders>
            <w:shd w:val="clear" w:color="auto" w:fill="auto"/>
            <w:vAlign w:val="bottom"/>
          </w:tcPr>
          <w:p w14:paraId="3B689DBB" w14:textId="32CBE498" w:rsidR="003B3A72" w:rsidRPr="00464ABA" w:rsidRDefault="003B3A72" w:rsidP="003B3A72">
            <w:pPr>
              <w:tabs>
                <w:tab w:val="right" w:pos="1202"/>
              </w:tabs>
              <w:suppressAutoHyphens/>
              <w:autoSpaceDN w:val="0"/>
              <w:spacing w:line="301" w:lineRule="exact"/>
              <w:jc w:val="right"/>
              <w:outlineLvl w:val="0"/>
              <w:rPr>
                <w:rFonts w:ascii="Arial" w:hAnsi="Arial" w:cs="Arial"/>
                <w:sz w:val="20"/>
                <w:szCs w:val="20"/>
              </w:rPr>
            </w:pPr>
            <w:r w:rsidRPr="00464ABA">
              <w:rPr>
                <w:rFonts w:ascii="Arial" w:hAnsi="Arial" w:cs="Arial"/>
                <w:sz w:val="20"/>
                <w:szCs w:val="20"/>
              </w:rPr>
              <w:t xml:space="preserve"> 13.380 </w:t>
            </w:r>
          </w:p>
        </w:tc>
        <w:tc>
          <w:tcPr>
            <w:tcW w:w="495" w:type="pct"/>
            <w:tcBorders>
              <w:top w:val="nil"/>
              <w:left w:val="nil"/>
              <w:bottom w:val="nil"/>
              <w:right w:val="nil"/>
            </w:tcBorders>
            <w:shd w:val="clear" w:color="auto" w:fill="auto"/>
            <w:vAlign w:val="bottom"/>
          </w:tcPr>
          <w:p w14:paraId="3777DB10" w14:textId="3DFF7FB5" w:rsidR="003B3A72" w:rsidRPr="00F43653" w:rsidRDefault="003B3A72" w:rsidP="003B3A72">
            <w:pPr>
              <w:tabs>
                <w:tab w:val="right" w:pos="1202"/>
              </w:tabs>
              <w:suppressAutoHyphens/>
              <w:autoSpaceDN w:val="0"/>
              <w:spacing w:line="301" w:lineRule="exact"/>
              <w:jc w:val="right"/>
              <w:outlineLvl w:val="0"/>
              <w:rPr>
                <w:rFonts w:ascii="Arial" w:hAnsi="Arial" w:cs="Arial"/>
                <w:sz w:val="20"/>
                <w:szCs w:val="20"/>
              </w:rPr>
            </w:pPr>
            <w:r w:rsidRPr="00D86AF7">
              <w:rPr>
                <w:rFonts w:ascii="Arial" w:hAnsi="Arial" w:cs="Arial"/>
                <w:sz w:val="20"/>
                <w:szCs w:val="20"/>
              </w:rPr>
              <w:t xml:space="preserve"> 4.009 </w:t>
            </w:r>
          </w:p>
        </w:tc>
        <w:tc>
          <w:tcPr>
            <w:tcW w:w="495" w:type="pct"/>
            <w:tcBorders>
              <w:top w:val="nil"/>
              <w:left w:val="nil"/>
              <w:bottom w:val="nil"/>
              <w:right w:val="nil"/>
            </w:tcBorders>
            <w:shd w:val="clear" w:color="auto" w:fill="auto"/>
            <w:vAlign w:val="bottom"/>
          </w:tcPr>
          <w:p w14:paraId="0C1BBD46" w14:textId="779ADDC6" w:rsidR="003B3A72" w:rsidRPr="00F43653" w:rsidRDefault="003B3A72" w:rsidP="003B3A72">
            <w:pPr>
              <w:tabs>
                <w:tab w:val="right" w:pos="1202"/>
              </w:tabs>
              <w:suppressAutoHyphens/>
              <w:autoSpaceDN w:val="0"/>
              <w:spacing w:line="301" w:lineRule="exact"/>
              <w:jc w:val="right"/>
              <w:outlineLvl w:val="0"/>
              <w:rPr>
                <w:rFonts w:ascii="Arial" w:hAnsi="Arial" w:cs="Arial"/>
                <w:sz w:val="20"/>
                <w:szCs w:val="20"/>
              </w:rPr>
            </w:pPr>
            <w:r w:rsidRPr="00D86AF7">
              <w:rPr>
                <w:rFonts w:ascii="Arial" w:hAnsi="Arial" w:cs="Arial"/>
                <w:sz w:val="20"/>
                <w:szCs w:val="20"/>
              </w:rPr>
              <w:t xml:space="preserve"> 11.661 </w:t>
            </w:r>
          </w:p>
        </w:tc>
        <w:tc>
          <w:tcPr>
            <w:tcW w:w="495" w:type="pct"/>
            <w:tcBorders>
              <w:top w:val="nil"/>
              <w:left w:val="nil"/>
              <w:bottom w:val="nil"/>
              <w:right w:val="nil"/>
            </w:tcBorders>
            <w:shd w:val="clear" w:color="auto" w:fill="auto"/>
            <w:vAlign w:val="bottom"/>
          </w:tcPr>
          <w:p w14:paraId="20835F87" w14:textId="6F2A2F86" w:rsidR="003B3A72" w:rsidRPr="00B2675F" w:rsidRDefault="003B3A72" w:rsidP="003B3A72">
            <w:pPr>
              <w:tabs>
                <w:tab w:val="right" w:pos="1202"/>
              </w:tabs>
              <w:suppressAutoHyphens/>
              <w:autoSpaceDN w:val="0"/>
              <w:spacing w:line="301" w:lineRule="exact"/>
              <w:jc w:val="right"/>
              <w:outlineLvl w:val="0"/>
              <w:rPr>
                <w:rFonts w:ascii="Arial" w:hAnsi="Arial" w:cs="Arial"/>
                <w:sz w:val="20"/>
                <w:szCs w:val="20"/>
              </w:rPr>
            </w:pPr>
            <w:r w:rsidRPr="00B2675F">
              <w:rPr>
                <w:rFonts w:ascii="Arial" w:hAnsi="Arial" w:cs="Arial"/>
                <w:sz w:val="20"/>
                <w:szCs w:val="20"/>
              </w:rPr>
              <w:t>4.482</w:t>
            </w:r>
          </w:p>
        </w:tc>
        <w:tc>
          <w:tcPr>
            <w:tcW w:w="495" w:type="pct"/>
            <w:tcBorders>
              <w:top w:val="nil"/>
              <w:left w:val="nil"/>
              <w:bottom w:val="nil"/>
              <w:right w:val="nil"/>
            </w:tcBorders>
            <w:shd w:val="clear" w:color="auto" w:fill="auto"/>
            <w:vAlign w:val="bottom"/>
          </w:tcPr>
          <w:p w14:paraId="6AF47B1B" w14:textId="406E2363" w:rsidR="003B3A72" w:rsidRPr="00B2675F" w:rsidRDefault="003B3A72" w:rsidP="003B3A72">
            <w:pPr>
              <w:tabs>
                <w:tab w:val="right" w:pos="1202"/>
              </w:tabs>
              <w:suppressAutoHyphens/>
              <w:autoSpaceDN w:val="0"/>
              <w:spacing w:line="301" w:lineRule="exact"/>
              <w:jc w:val="right"/>
              <w:outlineLvl w:val="0"/>
              <w:rPr>
                <w:rFonts w:ascii="Arial" w:hAnsi="Arial" w:cs="Arial"/>
                <w:sz w:val="20"/>
                <w:szCs w:val="20"/>
              </w:rPr>
            </w:pPr>
            <w:r w:rsidRPr="00B2675F">
              <w:rPr>
                <w:rFonts w:ascii="Arial" w:hAnsi="Arial" w:cs="Arial"/>
                <w:sz w:val="20"/>
                <w:szCs w:val="20"/>
              </w:rPr>
              <w:t>12.935</w:t>
            </w:r>
          </w:p>
        </w:tc>
        <w:tc>
          <w:tcPr>
            <w:tcW w:w="495" w:type="pct"/>
            <w:tcBorders>
              <w:top w:val="nil"/>
              <w:left w:val="nil"/>
              <w:bottom w:val="nil"/>
              <w:right w:val="nil"/>
            </w:tcBorders>
            <w:shd w:val="clear" w:color="auto" w:fill="auto"/>
            <w:vAlign w:val="bottom"/>
          </w:tcPr>
          <w:p w14:paraId="4023BC6F" w14:textId="146BDB9A" w:rsidR="003B3A72" w:rsidRPr="007478FB" w:rsidRDefault="003B3A72" w:rsidP="003B3A72">
            <w:pPr>
              <w:tabs>
                <w:tab w:val="right" w:pos="1202"/>
              </w:tabs>
              <w:suppressAutoHyphens/>
              <w:autoSpaceDN w:val="0"/>
              <w:spacing w:line="301" w:lineRule="exact"/>
              <w:jc w:val="right"/>
              <w:outlineLvl w:val="0"/>
              <w:rPr>
                <w:rFonts w:ascii="Arial" w:hAnsi="Arial" w:cs="Arial"/>
                <w:sz w:val="20"/>
                <w:szCs w:val="20"/>
              </w:rPr>
            </w:pPr>
            <w:r w:rsidRPr="0072101D">
              <w:rPr>
                <w:rFonts w:ascii="Arial" w:hAnsi="Arial" w:cs="Arial"/>
                <w:sz w:val="20"/>
                <w:szCs w:val="20"/>
              </w:rPr>
              <w:t xml:space="preserve"> 3.869 </w:t>
            </w:r>
          </w:p>
        </w:tc>
        <w:tc>
          <w:tcPr>
            <w:tcW w:w="493" w:type="pct"/>
            <w:tcBorders>
              <w:top w:val="nil"/>
              <w:left w:val="nil"/>
              <w:bottom w:val="nil"/>
              <w:right w:val="nil"/>
            </w:tcBorders>
            <w:shd w:val="clear" w:color="auto" w:fill="auto"/>
            <w:vAlign w:val="bottom"/>
          </w:tcPr>
          <w:p w14:paraId="3600D175" w14:textId="56600F42" w:rsidR="003B3A72" w:rsidRPr="007478FB" w:rsidRDefault="003B3A72" w:rsidP="003B3A72">
            <w:pPr>
              <w:tabs>
                <w:tab w:val="right" w:pos="1202"/>
              </w:tabs>
              <w:suppressAutoHyphens/>
              <w:autoSpaceDN w:val="0"/>
              <w:spacing w:line="301" w:lineRule="exact"/>
              <w:jc w:val="right"/>
              <w:outlineLvl w:val="0"/>
              <w:rPr>
                <w:rFonts w:ascii="Arial" w:hAnsi="Arial" w:cs="Arial"/>
                <w:sz w:val="20"/>
                <w:szCs w:val="20"/>
              </w:rPr>
            </w:pPr>
            <w:r w:rsidRPr="0072101D">
              <w:rPr>
                <w:rFonts w:ascii="Arial" w:hAnsi="Arial" w:cs="Arial"/>
                <w:sz w:val="20"/>
                <w:szCs w:val="20"/>
              </w:rPr>
              <w:t xml:space="preserve"> 11.253 </w:t>
            </w:r>
          </w:p>
        </w:tc>
      </w:tr>
      <w:tr w:rsidR="003B3A72" w:rsidRPr="00627B08" w14:paraId="305D5151" w14:textId="77777777" w:rsidTr="00464ABA">
        <w:tblPrEx>
          <w:tblCellMar>
            <w:left w:w="122" w:type="dxa"/>
            <w:right w:w="122" w:type="dxa"/>
          </w:tblCellMar>
        </w:tblPrEx>
        <w:trPr>
          <w:trHeight w:val="20"/>
        </w:trPr>
        <w:tc>
          <w:tcPr>
            <w:tcW w:w="1042" w:type="pct"/>
            <w:vAlign w:val="bottom"/>
          </w:tcPr>
          <w:p w14:paraId="63AA024A" w14:textId="77777777" w:rsidR="003B3A72" w:rsidRPr="00F43653" w:rsidRDefault="003B3A72" w:rsidP="003B3A72">
            <w:pPr>
              <w:tabs>
                <w:tab w:val="right" w:pos="1202"/>
              </w:tabs>
              <w:suppressAutoHyphens/>
              <w:autoSpaceDN w:val="0"/>
              <w:spacing w:line="301" w:lineRule="exact"/>
              <w:outlineLvl w:val="0"/>
              <w:rPr>
                <w:rFonts w:ascii="Arial" w:eastAsia="Times New Roman" w:hAnsi="Arial" w:cs="Arial"/>
                <w:color w:val="000000" w:themeColor="text1"/>
                <w:sz w:val="20"/>
                <w:szCs w:val="20"/>
              </w:rPr>
            </w:pPr>
          </w:p>
        </w:tc>
        <w:tc>
          <w:tcPr>
            <w:tcW w:w="495" w:type="pct"/>
            <w:tcBorders>
              <w:top w:val="nil"/>
              <w:left w:val="nil"/>
              <w:bottom w:val="nil"/>
              <w:right w:val="nil"/>
            </w:tcBorders>
            <w:shd w:val="clear" w:color="auto" w:fill="auto"/>
            <w:vAlign w:val="bottom"/>
          </w:tcPr>
          <w:p w14:paraId="6104225C" w14:textId="77777777" w:rsidR="003B3A72" w:rsidRPr="00464ABA" w:rsidRDefault="003B3A72" w:rsidP="003B3A72">
            <w:pPr>
              <w:tabs>
                <w:tab w:val="right" w:pos="1202"/>
              </w:tabs>
              <w:suppressAutoHyphens/>
              <w:autoSpaceDN w:val="0"/>
              <w:spacing w:line="301" w:lineRule="exact"/>
              <w:jc w:val="right"/>
              <w:outlineLvl w:val="0"/>
              <w:rPr>
                <w:rFonts w:ascii="Arial" w:hAnsi="Arial" w:cs="Arial"/>
                <w:sz w:val="20"/>
                <w:szCs w:val="20"/>
              </w:rPr>
            </w:pPr>
          </w:p>
        </w:tc>
        <w:tc>
          <w:tcPr>
            <w:tcW w:w="495" w:type="pct"/>
            <w:tcBorders>
              <w:top w:val="nil"/>
              <w:left w:val="nil"/>
              <w:bottom w:val="nil"/>
              <w:right w:val="nil"/>
            </w:tcBorders>
            <w:shd w:val="clear" w:color="auto" w:fill="auto"/>
            <w:vAlign w:val="bottom"/>
          </w:tcPr>
          <w:p w14:paraId="76A70DD1" w14:textId="77777777" w:rsidR="003B3A72" w:rsidRPr="00464ABA" w:rsidRDefault="003B3A72" w:rsidP="003B3A72">
            <w:pPr>
              <w:tabs>
                <w:tab w:val="right" w:pos="1202"/>
              </w:tabs>
              <w:suppressAutoHyphens/>
              <w:autoSpaceDN w:val="0"/>
              <w:spacing w:line="301" w:lineRule="exact"/>
              <w:jc w:val="right"/>
              <w:outlineLvl w:val="0"/>
              <w:rPr>
                <w:rFonts w:ascii="Arial" w:hAnsi="Arial" w:cs="Arial"/>
                <w:sz w:val="20"/>
                <w:szCs w:val="20"/>
              </w:rPr>
            </w:pPr>
          </w:p>
        </w:tc>
        <w:tc>
          <w:tcPr>
            <w:tcW w:w="495" w:type="pct"/>
            <w:tcBorders>
              <w:top w:val="nil"/>
              <w:left w:val="nil"/>
              <w:bottom w:val="nil"/>
              <w:right w:val="nil"/>
            </w:tcBorders>
            <w:shd w:val="clear" w:color="auto" w:fill="auto"/>
            <w:vAlign w:val="bottom"/>
          </w:tcPr>
          <w:p w14:paraId="01CA086F" w14:textId="77777777" w:rsidR="003B3A72" w:rsidRPr="00D86AF7" w:rsidRDefault="003B3A72" w:rsidP="003B3A72">
            <w:pPr>
              <w:tabs>
                <w:tab w:val="right" w:pos="1202"/>
              </w:tabs>
              <w:suppressAutoHyphens/>
              <w:autoSpaceDN w:val="0"/>
              <w:spacing w:line="301" w:lineRule="exact"/>
              <w:jc w:val="right"/>
              <w:outlineLvl w:val="0"/>
              <w:rPr>
                <w:rFonts w:ascii="Arial" w:hAnsi="Arial" w:cs="Arial"/>
                <w:sz w:val="20"/>
                <w:szCs w:val="20"/>
              </w:rPr>
            </w:pPr>
          </w:p>
        </w:tc>
        <w:tc>
          <w:tcPr>
            <w:tcW w:w="495" w:type="pct"/>
            <w:tcBorders>
              <w:top w:val="nil"/>
              <w:left w:val="nil"/>
              <w:bottom w:val="nil"/>
              <w:right w:val="nil"/>
            </w:tcBorders>
            <w:shd w:val="clear" w:color="auto" w:fill="auto"/>
            <w:vAlign w:val="bottom"/>
          </w:tcPr>
          <w:p w14:paraId="3EB24764" w14:textId="77777777" w:rsidR="003B3A72" w:rsidRPr="00D86AF7" w:rsidRDefault="003B3A72" w:rsidP="003B3A72">
            <w:pPr>
              <w:tabs>
                <w:tab w:val="right" w:pos="1202"/>
              </w:tabs>
              <w:suppressAutoHyphens/>
              <w:autoSpaceDN w:val="0"/>
              <w:spacing w:line="301" w:lineRule="exact"/>
              <w:jc w:val="right"/>
              <w:outlineLvl w:val="0"/>
              <w:rPr>
                <w:rFonts w:ascii="Arial" w:hAnsi="Arial" w:cs="Arial"/>
                <w:sz w:val="20"/>
                <w:szCs w:val="20"/>
              </w:rPr>
            </w:pPr>
          </w:p>
        </w:tc>
        <w:tc>
          <w:tcPr>
            <w:tcW w:w="495" w:type="pct"/>
            <w:tcBorders>
              <w:top w:val="nil"/>
              <w:left w:val="nil"/>
              <w:bottom w:val="nil"/>
              <w:right w:val="nil"/>
            </w:tcBorders>
            <w:shd w:val="clear" w:color="auto" w:fill="auto"/>
            <w:vAlign w:val="bottom"/>
          </w:tcPr>
          <w:p w14:paraId="0C26CD91" w14:textId="1F38CC59" w:rsidR="003B3A72" w:rsidRPr="00B2675F" w:rsidRDefault="003B3A72" w:rsidP="003B3A72">
            <w:pPr>
              <w:tabs>
                <w:tab w:val="right" w:pos="1202"/>
              </w:tabs>
              <w:suppressAutoHyphens/>
              <w:autoSpaceDN w:val="0"/>
              <w:spacing w:line="301" w:lineRule="exact"/>
              <w:jc w:val="right"/>
              <w:outlineLvl w:val="0"/>
              <w:rPr>
                <w:rFonts w:ascii="Arial" w:hAnsi="Arial" w:cs="Arial"/>
                <w:sz w:val="20"/>
                <w:szCs w:val="20"/>
              </w:rPr>
            </w:pPr>
          </w:p>
        </w:tc>
        <w:tc>
          <w:tcPr>
            <w:tcW w:w="495" w:type="pct"/>
            <w:tcBorders>
              <w:top w:val="nil"/>
              <w:left w:val="nil"/>
              <w:bottom w:val="nil"/>
              <w:right w:val="nil"/>
            </w:tcBorders>
            <w:shd w:val="clear" w:color="auto" w:fill="auto"/>
            <w:vAlign w:val="bottom"/>
          </w:tcPr>
          <w:p w14:paraId="47A8F0BE" w14:textId="77777777" w:rsidR="003B3A72" w:rsidRPr="00B2675F" w:rsidRDefault="003B3A72" w:rsidP="003B3A72">
            <w:pPr>
              <w:tabs>
                <w:tab w:val="right" w:pos="1202"/>
              </w:tabs>
              <w:suppressAutoHyphens/>
              <w:autoSpaceDN w:val="0"/>
              <w:spacing w:line="301" w:lineRule="exact"/>
              <w:jc w:val="right"/>
              <w:outlineLvl w:val="0"/>
              <w:rPr>
                <w:rFonts w:ascii="Arial" w:hAnsi="Arial" w:cs="Arial"/>
                <w:sz w:val="20"/>
                <w:szCs w:val="20"/>
              </w:rPr>
            </w:pPr>
          </w:p>
        </w:tc>
        <w:tc>
          <w:tcPr>
            <w:tcW w:w="495" w:type="pct"/>
            <w:tcBorders>
              <w:top w:val="nil"/>
              <w:left w:val="nil"/>
              <w:bottom w:val="nil"/>
              <w:right w:val="nil"/>
            </w:tcBorders>
            <w:shd w:val="clear" w:color="auto" w:fill="auto"/>
            <w:vAlign w:val="bottom"/>
          </w:tcPr>
          <w:p w14:paraId="37288449" w14:textId="77777777" w:rsidR="003B3A72" w:rsidRPr="007478FB" w:rsidRDefault="003B3A72" w:rsidP="003B3A72">
            <w:pPr>
              <w:tabs>
                <w:tab w:val="right" w:pos="1202"/>
              </w:tabs>
              <w:suppressAutoHyphens/>
              <w:autoSpaceDN w:val="0"/>
              <w:spacing w:line="301" w:lineRule="exact"/>
              <w:jc w:val="right"/>
              <w:outlineLvl w:val="0"/>
              <w:rPr>
                <w:rFonts w:ascii="Arial" w:hAnsi="Arial" w:cs="Arial"/>
                <w:sz w:val="20"/>
                <w:szCs w:val="20"/>
              </w:rPr>
            </w:pPr>
          </w:p>
        </w:tc>
        <w:tc>
          <w:tcPr>
            <w:tcW w:w="493" w:type="pct"/>
            <w:tcBorders>
              <w:top w:val="nil"/>
              <w:left w:val="nil"/>
              <w:bottom w:val="nil"/>
              <w:right w:val="nil"/>
            </w:tcBorders>
            <w:shd w:val="clear" w:color="auto" w:fill="auto"/>
            <w:vAlign w:val="bottom"/>
          </w:tcPr>
          <w:p w14:paraId="2867C780" w14:textId="77777777" w:rsidR="003B3A72" w:rsidRPr="007478FB" w:rsidRDefault="003B3A72" w:rsidP="003B3A72">
            <w:pPr>
              <w:tabs>
                <w:tab w:val="right" w:pos="1202"/>
              </w:tabs>
              <w:suppressAutoHyphens/>
              <w:autoSpaceDN w:val="0"/>
              <w:spacing w:line="301" w:lineRule="exact"/>
              <w:jc w:val="right"/>
              <w:outlineLvl w:val="0"/>
              <w:rPr>
                <w:rFonts w:ascii="Arial" w:hAnsi="Arial" w:cs="Arial"/>
                <w:sz w:val="20"/>
                <w:szCs w:val="20"/>
              </w:rPr>
            </w:pPr>
          </w:p>
        </w:tc>
      </w:tr>
      <w:tr w:rsidR="003B3A72" w:rsidRPr="00627B08" w14:paraId="4BF00176" w14:textId="77777777" w:rsidTr="00464ABA">
        <w:tblPrEx>
          <w:tblCellMar>
            <w:left w:w="122" w:type="dxa"/>
            <w:right w:w="122" w:type="dxa"/>
          </w:tblCellMar>
        </w:tblPrEx>
        <w:trPr>
          <w:trHeight w:val="20"/>
        </w:trPr>
        <w:tc>
          <w:tcPr>
            <w:tcW w:w="1042" w:type="pct"/>
            <w:vAlign w:val="bottom"/>
          </w:tcPr>
          <w:p w14:paraId="070565C6" w14:textId="1FDAAF9A" w:rsidR="003B3A72" w:rsidRPr="00F43653" w:rsidRDefault="003B3A72" w:rsidP="003B3A72">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289" w:name="_Toc67327651"/>
            <w:r w:rsidRPr="00F43653">
              <w:rPr>
                <w:rFonts w:ascii="Arial" w:eastAsia="Times New Roman" w:hAnsi="Arial" w:cs="Arial"/>
                <w:color w:val="000000" w:themeColor="text1"/>
                <w:sz w:val="20"/>
                <w:szCs w:val="20"/>
              </w:rPr>
              <w:t>7. b) Amortizacija</w:t>
            </w:r>
            <w:bookmarkEnd w:id="289"/>
          </w:p>
        </w:tc>
        <w:tc>
          <w:tcPr>
            <w:tcW w:w="495" w:type="pct"/>
            <w:tcBorders>
              <w:top w:val="nil"/>
              <w:left w:val="nil"/>
              <w:bottom w:val="nil"/>
              <w:right w:val="nil"/>
            </w:tcBorders>
            <w:shd w:val="clear" w:color="auto" w:fill="auto"/>
            <w:vAlign w:val="bottom"/>
          </w:tcPr>
          <w:p w14:paraId="678F74D6" w14:textId="530D676C" w:rsidR="003B3A72" w:rsidRPr="00464ABA" w:rsidRDefault="003B3A72" w:rsidP="003B3A72">
            <w:pPr>
              <w:tabs>
                <w:tab w:val="right" w:pos="1202"/>
              </w:tabs>
              <w:suppressAutoHyphens/>
              <w:autoSpaceDN w:val="0"/>
              <w:spacing w:line="301" w:lineRule="exact"/>
              <w:jc w:val="right"/>
              <w:outlineLvl w:val="0"/>
              <w:rPr>
                <w:rFonts w:ascii="Arial" w:hAnsi="Arial" w:cs="Arial"/>
                <w:sz w:val="20"/>
                <w:szCs w:val="20"/>
              </w:rPr>
            </w:pPr>
            <w:r w:rsidRPr="00464ABA">
              <w:rPr>
                <w:rFonts w:ascii="Arial" w:hAnsi="Arial" w:cs="Arial"/>
                <w:sz w:val="20"/>
                <w:szCs w:val="20"/>
              </w:rPr>
              <w:t xml:space="preserve"> 490 </w:t>
            </w:r>
          </w:p>
        </w:tc>
        <w:tc>
          <w:tcPr>
            <w:tcW w:w="495" w:type="pct"/>
            <w:tcBorders>
              <w:top w:val="nil"/>
              <w:left w:val="nil"/>
              <w:bottom w:val="nil"/>
              <w:right w:val="nil"/>
            </w:tcBorders>
            <w:shd w:val="clear" w:color="auto" w:fill="auto"/>
            <w:vAlign w:val="bottom"/>
          </w:tcPr>
          <w:p w14:paraId="05822ADC" w14:textId="444569A9" w:rsidR="003B3A72" w:rsidRPr="00464ABA" w:rsidRDefault="003B3A72" w:rsidP="003B3A72">
            <w:pPr>
              <w:tabs>
                <w:tab w:val="right" w:pos="1202"/>
              </w:tabs>
              <w:suppressAutoHyphens/>
              <w:autoSpaceDN w:val="0"/>
              <w:spacing w:line="301" w:lineRule="exact"/>
              <w:jc w:val="right"/>
              <w:outlineLvl w:val="0"/>
              <w:rPr>
                <w:rFonts w:ascii="Arial" w:hAnsi="Arial" w:cs="Arial"/>
                <w:sz w:val="20"/>
                <w:szCs w:val="20"/>
              </w:rPr>
            </w:pPr>
            <w:r w:rsidRPr="00464ABA">
              <w:rPr>
                <w:rFonts w:ascii="Arial" w:hAnsi="Arial" w:cs="Arial"/>
                <w:sz w:val="20"/>
                <w:szCs w:val="20"/>
              </w:rPr>
              <w:t xml:space="preserve"> 1.495 </w:t>
            </w:r>
          </w:p>
        </w:tc>
        <w:tc>
          <w:tcPr>
            <w:tcW w:w="495" w:type="pct"/>
            <w:tcBorders>
              <w:top w:val="nil"/>
              <w:left w:val="nil"/>
              <w:bottom w:val="nil"/>
              <w:right w:val="nil"/>
            </w:tcBorders>
            <w:shd w:val="clear" w:color="auto" w:fill="auto"/>
            <w:vAlign w:val="bottom"/>
          </w:tcPr>
          <w:p w14:paraId="6DB2E9B9" w14:textId="7050C5B8" w:rsidR="003B3A72" w:rsidRPr="00F43653" w:rsidRDefault="003B3A72" w:rsidP="003B3A72">
            <w:pPr>
              <w:tabs>
                <w:tab w:val="right" w:pos="1202"/>
              </w:tabs>
              <w:suppressAutoHyphens/>
              <w:autoSpaceDN w:val="0"/>
              <w:spacing w:line="301" w:lineRule="exact"/>
              <w:jc w:val="right"/>
              <w:outlineLvl w:val="0"/>
              <w:rPr>
                <w:rFonts w:ascii="Arial" w:hAnsi="Arial" w:cs="Arial"/>
                <w:sz w:val="20"/>
                <w:szCs w:val="20"/>
              </w:rPr>
            </w:pPr>
            <w:r w:rsidRPr="00D86AF7">
              <w:rPr>
                <w:rFonts w:ascii="Arial" w:hAnsi="Arial" w:cs="Arial"/>
                <w:sz w:val="20"/>
                <w:szCs w:val="20"/>
              </w:rPr>
              <w:t xml:space="preserve"> 356 </w:t>
            </w:r>
          </w:p>
        </w:tc>
        <w:tc>
          <w:tcPr>
            <w:tcW w:w="495" w:type="pct"/>
            <w:tcBorders>
              <w:top w:val="nil"/>
              <w:left w:val="nil"/>
              <w:bottom w:val="nil"/>
              <w:right w:val="nil"/>
            </w:tcBorders>
            <w:shd w:val="clear" w:color="auto" w:fill="auto"/>
            <w:vAlign w:val="bottom"/>
          </w:tcPr>
          <w:p w14:paraId="03BD5A11" w14:textId="48156DBA" w:rsidR="003B3A72" w:rsidRPr="00F43653" w:rsidRDefault="003B3A72" w:rsidP="003B3A72">
            <w:pPr>
              <w:tabs>
                <w:tab w:val="right" w:pos="1202"/>
              </w:tabs>
              <w:suppressAutoHyphens/>
              <w:autoSpaceDN w:val="0"/>
              <w:spacing w:line="301" w:lineRule="exact"/>
              <w:jc w:val="right"/>
              <w:outlineLvl w:val="0"/>
              <w:rPr>
                <w:rFonts w:ascii="Arial" w:hAnsi="Arial" w:cs="Arial"/>
                <w:sz w:val="20"/>
                <w:szCs w:val="20"/>
              </w:rPr>
            </w:pPr>
            <w:r w:rsidRPr="00D86AF7">
              <w:rPr>
                <w:rFonts w:ascii="Arial" w:hAnsi="Arial" w:cs="Arial"/>
                <w:sz w:val="20"/>
                <w:szCs w:val="20"/>
              </w:rPr>
              <w:t xml:space="preserve"> 1.050 </w:t>
            </w:r>
          </w:p>
        </w:tc>
        <w:tc>
          <w:tcPr>
            <w:tcW w:w="495" w:type="pct"/>
            <w:tcBorders>
              <w:top w:val="nil"/>
              <w:left w:val="nil"/>
              <w:bottom w:val="nil"/>
              <w:right w:val="nil"/>
            </w:tcBorders>
            <w:shd w:val="clear" w:color="auto" w:fill="auto"/>
            <w:vAlign w:val="bottom"/>
          </w:tcPr>
          <w:p w14:paraId="751E0C22" w14:textId="343808B5" w:rsidR="003B3A72" w:rsidRPr="00B2675F" w:rsidRDefault="003B3A72" w:rsidP="003B3A72">
            <w:pPr>
              <w:tabs>
                <w:tab w:val="right" w:pos="1202"/>
              </w:tabs>
              <w:suppressAutoHyphens/>
              <w:autoSpaceDN w:val="0"/>
              <w:spacing w:line="301" w:lineRule="exact"/>
              <w:jc w:val="right"/>
              <w:outlineLvl w:val="0"/>
              <w:rPr>
                <w:rFonts w:ascii="Arial" w:hAnsi="Arial" w:cs="Arial"/>
                <w:sz w:val="20"/>
                <w:szCs w:val="20"/>
              </w:rPr>
            </w:pPr>
            <w:r w:rsidRPr="00B2675F">
              <w:rPr>
                <w:rFonts w:ascii="Arial" w:hAnsi="Arial" w:cs="Arial"/>
                <w:sz w:val="20"/>
                <w:szCs w:val="20"/>
              </w:rPr>
              <w:t>470</w:t>
            </w:r>
          </w:p>
        </w:tc>
        <w:tc>
          <w:tcPr>
            <w:tcW w:w="495" w:type="pct"/>
            <w:tcBorders>
              <w:top w:val="nil"/>
              <w:left w:val="nil"/>
              <w:bottom w:val="nil"/>
              <w:right w:val="nil"/>
            </w:tcBorders>
            <w:shd w:val="clear" w:color="auto" w:fill="auto"/>
            <w:vAlign w:val="bottom"/>
          </w:tcPr>
          <w:p w14:paraId="1CC45ED4" w14:textId="64B2D11B" w:rsidR="003B3A72" w:rsidRPr="00B2675F" w:rsidRDefault="003B3A72" w:rsidP="003B3A72">
            <w:pPr>
              <w:tabs>
                <w:tab w:val="right" w:pos="1202"/>
              </w:tabs>
              <w:suppressAutoHyphens/>
              <w:autoSpaceDN w:val="0"/>
              <w:spacing w:line="301" w:lineRule="exact"/>
              <w:jc w:val="right"/>
              <w:outlineLvl w:val="0"/>
              <w:rPr>
                <w:rFonts w:ascii="Arial" w:hAnsi="Arial" w:cs="Arial"/>
                <w:sz w:val="20"/>
                <w:szCs w:val="20"/>
              </w:rPr>
            </w:pPr>
            <w:r w:rsidRPr="00B2675F">
              <w:rPr>
                <w:rFonts w:ascii="Arial" w:hAnsi="Arial" w:cs="Arial"/>
                <w:sz w:val="20"/>
                <w:szCs w:val="20"/>
              </w:rPr>
              <w:t>1.434</w:t>
            </w:r>
          </w:p>
        </w:tc>
        <w:tc>
          <w:tcPr>
            <w:tcW w:w="495" w:type="pct"/>
            <w:tcBorders>
              <w:top w:val="nil"/>
              <w:left w:val="nil"/>
              <w:bottom w:val="nil"/>
              <w:right w:val="nil"/>
            </w:tcBorders>
            <w:shd w:val="clear" w:color="auto" w:fill="auto"/>
            <w:vAlign w:val="bottom"/>
          </w:tcPr>
          <w:p w14:paraId="3476A2D7" w14:textId="3FED343F" w:rsidR="003B3A72" w:rsidRPr="007478FB" w:rsidRDefault="003B3A72" w:rsidP="003B3A72">
            <w:pPr>
              <w:tabs>
                <w:tab w:val="right" w:pos="1202"/>
              </w:tabs>
              <w:suppressAutoHyphens/>
              <w:autoSpaceDN w:val="0"/>
              <w:spacing w:line="301" w:lineRule="exact"/>
              <w:jc w:val="right"/>
              <w:outlineLvl w:val="0"/>
              <w:rPr>
                <w:rFonts w:ascii="Arial" w:hAnsi="Arial" w:cs="Arial"/>
                <w:sz w:val="20"/>
                <w:szCs w:val="20"/>
              </w:rPr>
            </w:pPr>
            <w:r w:rsidRPr="0072101D">
              <w:rPr>
                <w:rFonts w:ascii="Arial" w:hAnsi="Arial" w:cs="Arial"/>
                <w:sz w:val="20"/>
                <w:szCs w:val="20"/>
              </w:rPr>
              <w:t xml:space="preserve"> 337 </w:t>
            </w:r>
          </w:p>
        </w:tc>
        <w:tc>
          <w:tcPr>
            <w:tcW w:w="493" w:type="pct"/>
            <w:tcBorders>
              <w:top w:val="nil"/>
              <w:left w:val="nil"/>
              <w:bottom w:val="nil"/>
              <w:right w:val="nil"/>
            </w:tcBorders>
            <w:shd w:val="clear" w:color="auto" w:fill="auto"/>
            <w:vAlign w:val="bottom"/>
          </w:tcPr>
          <w:p w14:paraId="4651D1F2" w14:textId="5B24E6AB" w:rsidR="003B3A72" w:rsidRPr="007478FB" w:rsidRDefault="003B3A72" w:rsidP="003B3A72">
            <w:pPr>
              <w:tabs>
                <w:tab w:val="right" w:pos="1202"/>
              </w:tabs>
              <w:suppressAutoHyphens/>
              <w:autoSpaceDN w:val="0"/>
              <w:spacing w:line="301" w:lineRule="exact"/>
              <w:jc w:val="right"/>
              <w:outlineLvl w:val="0"/>
              <w:rPr>
                <w:rFonts w:ascii="Arial" w:hAnsi="Arial" w:cs="Arial"/>
                <w:sz w:val="20"/>
                <w:szCs w:val="20"/>
              </w:rPr>
            </w:pPr>
            <w:r w:rsidRPr="0072101D">
              <w:rPr>
                <w:rFonts w:ascii="Arial" w:hAnsi="Arial" w:cs="Arial"/>
                <w:sz w:val="20"/>
                <w:szCs w:val="20"/>
              </w:rPr>
              <w:t xml:space="preserve"> 1.008 </w:t>
            </w:r>
          </w:p>
        </w:tc>
      </w:tr>
      <w:tr w:rsidR="003B3A72" w:rsidRPr="00627B08" w14:paraId="6338D1F0" w14:textId="77777777" w:rsidTr="00464ABA">
        <w:tblPrEx>
          <w:tblCellMar>
            <w:left w:w="122" w:type="dxa"/>
            <w:right w:w="122" w:type="dxa"/>
          </w:tblCellMar>
        </w:tblPrEx>
        <w:trPr>
          <w:trHeight w:val="20"/>
        </w:trPr>
        <w:tc>
          <w:tcPr>
            <w:tcW w:w="1042" w:type="pct"/>
            <w:vAlign w:val="bottom"/>
          </w:tcPr>
          <w:p w14:paraId="5174EFD2" w14:textId="77777777" w:rsidR="003B3A72" w:rsidRPr="00F43653" w:rsidRDefault="003B3A72" w:rsidP="003B3A72">
            <w:pPr>
              <w:tabs>
                <w:tab w:val="right" w:pos="1202"/>
              </w:tabs>
              <w:suppressAutoHyphens/>
              <w:autoSpaceDN w:val="0"/>
              <w:spacing w:line="301" w:lineRule="exact"/>
              <w:outlineLvl w:val="0"/>
              <w:rPr>
                <w:rFonts w:ascii="Arial" w:eastAsia="Times New Roman" w:hAnsi="Arial" w:cs="Arial"/>
                <w:color w:val="000000" w:themeColor="text1"/>
                <w:sz w:val="20"/>
                <w:szCs w:val="20"/>
              </w:rPr>
            </w:pPr>
          </w:p>
        </w:tc>
        <w:tc>
          <w:tcPr>
            <w:tcW w:w="495" w:type="pct"/>
            <w:tcBorders>
              <w:top w:val="nil"/>
              <w:left w:val="nil"/>
              <w:bottom w:val="nil"/>
              <w:right w:val="nil"/>
            </w:tcBorders>
            <w:shd w:val="clear" w:color="auto" w:fill="auto"/>
            <w:vAlign w:val="bottom"/>
          </w:tcPr>
          <w:p w14:paraId="159D1488" w14:textId="77777777" w:rsidR="003B3A72" w:rsidRPr="00464ABA" w:rsidRDefault="003B3A72" w:rsidP="003B3A72">
            <w:pPr>
              <w:tabs>
                <w:tab w:val="right" w:pos="1202"/>
              </w:tabs>
              <w:suppressAutoHyphens/>
              <w:autoSpaceDN w:val="0"/>
              <w:spacing w:line="301" w:lineRule="exact"/>
              <w:jc w:val="right"/>
              <w:outlineLvl w:val="0"/>
              <w:rPr>
                <w:rFonts w:ascii="Arial" w:hAnsi="Arial" w:cs="Arial"/>
                <w:sz w:val="20"/>
                <w:szCs w:val="20"/>
              </w:rPr>
            </w:pPr>
          </w:p>
        </w:tc>
        <w:tc>
          <w:tcPr>
            <w:tcW w:w="495" w:type="pct"/>
            <w:tcBorders>
              <w:top w:val="nil"/>
              <w:left w:val="nil"/>
              <w:bottom w:val="nil"/>
              <w:right w:val="nil"/>
            </w:tcBorders>
            <w:shd w:val="clear" w:color="auto" w:fill="auto"/>
            <w:vAlign w:val="bottom"/>
          </w:tcPr>
          <w:p w14:paraId="462959C8" w14:textId="77777777" w:rsidR="003B3A72" w:rsidRPr="00464ABA" w:rsidRDefault="003B3A72" w:rsidP="003B3A72">
            <w:pPr>
              <w:tabs>
                <w:tab w:val="right" w:pos="1202"/>
              </w:tabs>
              <w:suppressAutoHyphens/>
              <w:autoSpaceDN w:val="0"/>
              <w:spacing w:line="301" w:lineRule="exact"/>
              <w:jc w:val="right"/>
              <w:outlineLvl w:val="0"/>
              <w:rPr>
                <w:rFonts w:ascii="Arial" w:hAnsi="Arial" w:cs="Arial"/>
                <w:sz w:val="20"/>
                <w:szCs w:val="20"/>
              </w:rPr>
            </w:pPr>
          </w:p>
        </w:tc>
        <w:tc>
          <w:tcPr>
            <w:tcW w:w="495" w:type="pct"/>
            <w:tcBorders>
              <w:top w:val="nil"/>
              <w:left w:val="nil"/>
              <w:bottom w:val="nil"/>
              <w:right w:val="nil"/>
            </w:tcBorders>
            <w:shd w:val="clear" w:color="auto" w:fill="auto"/>
            <w:vAlign w:val="bottom"/>
          </w:tcPr>
          <w:p w14:paraId="3B662639" w14:textId="77777777" w:rsidR="003B3A72" w:rsidRPr="00D86AF7" w:rsidRDefault="003B3A72" w:rsidP="003B3A72">
            <w:pPr>
              <w:tabs>
                <w:tab w:val="right" w:pos="1202"/>
              </w:tabs>
              <w:suppressAutoHyphens/>
              <w:autoSpaceDN w:val="0"/>
              <w:spacing w:line="301" w:lineRule="exact"/>
              <w:jc w:val="right"/>
              <w:outlineLvl w:val="0"/>
              <w:rPr>
                <w:rFonts w:ascii="Arial" w:hAnsi="Arial" w:cs="Arial"/>
                <w:sz w:val="20"/>
                <w:szCs w:val="20"/>
              </w:rPr>
            </w:pPr>
          </w:p>
        </w:tc>
        <w:tc>
          <w:tcPr>
            <w:tcW w:w="495" w:type="pct"/>
            <w:tcBorders>
              <w:top w:val="nil"/>
              <w:left w:val="nil"/>
              <w:bottom w:val="nil"/>
              <w:right w:val="nil"/>
            </w:tcBorders>
            <w:shd w:val="clear" w:color="auto" w:fill="auto"/>
            <w:vAlign w:val="bottom"/>
          </w:tcPr>
          <w:p w14:paraId="58D52702" w14:textId="77777777" w:rsidR="003B3A72" w:rsidRPr="00D86AF7" w:rsidRDefault="003B3A72" w:rsidP="003B3A72">
            <w:pPr>
              <w:tabs>
                <w:tab w:val="right" w:pos="1202"/>
              </w:tabs>
              <w:suppressAutoHyphens/>
              <w:autoSpaceDN w:val="0"/>
              <w:spacing w:line="301" w:lineRule="exact"/>
              <w:jc w:val="right"/>
              <w:outlineLvl w:val="0"/>
              <w:rPr>
                <w:rFonts w:ascii="Arial" w:hAnsi="Arial" w:cs="Arial"/>
                <w:sz w:val="20"/>
                <w:szCs w:val="20"/>
              </w:rPr>
            </w:pPr>
          </w:p>
        </w:tc>
        <w:tc>
          <w:tcPr>
            <w:tcW w:w="495" w:type="pct"/>
            <w:tcBorders>
              <w:top w:val="nil"/>
              <w:left w:val="nil"/>
              <w:bottom w:val="nil"/>
              <w:right w:val="nil"/>
            </w:tcBorders>
            <w:shd w:val="clear" w:color="auto" w:fill="auto"/>
            <w:vAlign w:val="bottom"/>
          </w:tcPr>
          <w:p w14:paraId="0E2130F8" w14:textId="1234FB65" w:rsidR="003B3A72" w:rsidRPr="00B2675F" w:rsidRDefault="003B3A72" w:rsidP="003B3A72">
            <w:pPr>
              <w:tabs>
                <w:tab w:val="right" w:pos="1202"/>
              </w:tabs>
              <w:suppressAutoHyphens/>
              <w:autoSpaceDN w:val="0"/>
              <w:spacing w:line="301" w:lineRule="exact"/>
              <w:jc w:val="right"/>
              <w:outlineLvl w:val="0"/>
              <w:rPr>
                <w:rFonts w:ascii="Arial" w:hAnsi="Arial" w:cs="Arial"/>
                <w:sz w:val="20"/>
                <w:szCs w:val="20"/>
              </w:rPr>
            </w:pPr>
          </w:p>
        </w:tc>
        <w:tc>
          <w:tcPr>
            <w:tcW w:w="495" w:type="pct"/>
            <w:tcBorders>
              <w:top w:val="nil"/>
              <w:left w:val="nil"/>
              <w:bottom w:val="nil"/>
              <w:right w:val="nil"/>
            </w:tcBorders>
            <w:shd w:val="clear" w:color="auto" w:fill="auto"/>
            <w:vAlign w:val="bottom"/>
          </w:tcPr>
          <w:p w14:paraId="2A60603A" w14:textId="77777777" w:rsidR="003B3A72" w:rsidRPr="00B2675F" w:rsidRDefault="003B3A72" w:rsidP="003B3A72">
            <w:pPr>
              <w:tabs>
                <w:tab w:val="right" w:pos="1202"/>
              </w:tabs>
              <w:suppressAutoHyphens/>
              <w:autoSpaceDN w:val="0"/>
              <w:spacing w:line="301" w:lineRule="exact"/>
              <w:jc w:val="right"/>
              <w:outlineLvl w:val="0"/>
              <w:rPr>
                <w:rFonts w:ascii="Arial" w:hAnsi="Arial" w:cs="Arial"/>
                <w:sz w:val="20"/>
                <w:szCs w:val="20"/>
              </w:rPr>
            </w:pPr>
          </w:p>
        </w:tc>
        <w:tc>
          <w:tcPr>
            <w:tcW w:w="495" w:type="pct"/>
            <w:tcBorders>
              <w:top w:val="nil"/>
              <w:left w:val="nil"/>
              <w:bottom w:val="nil"/>
              <w:right w:val="nil"/>
            </w:tcBorders>
            <w:shd w:val="clear" w:color="auto" w:fill="auto"/>
            <w:vAlign w:val="bottom"/>
          </w:tcPr>
          <w:p w14:paraId="4E586B82" w14:textId="77777777" w:rsidR="003B3A72" w:rsidRPr="007478FB" w:rsidRDefault="003B3A72" w:rsidP="003B3A72">
            <w:pPr>
              <w:tabs>
                <w:tab w:val="right" w:pos="1202"/>
              </w:tabs>
              <w:suppressAutoHyphens/>
              <w:autoSpaceDN w:val="0"/>
              <w:spacing w:line="301" w:lineRule="exact"/>
              <w:jc w:val="right"/>
              <w:outlineLvl w:val="0"/>
              <w:rPr>
                <w:rFonts w:ascii="Arial" w:hAnsi="Arial" w:cs="Arial"/>
                <w:sz w:val="20"/>
                <w:szCs w:val="20"/>
              </w:rPr>
            </w:pPr>
          </w:p>
        </w:tc>
        <w:tc>
          <w:tcPr>
            <w:tcW w:w="493" w:type="pct"/>
            <w:tcBorders>
              <w:top w:val="nil"/>
              <w:left w:val="nil"/>
              <w:bottom w:val="nil"/>
              <w:right w:val="nil"/>
            </w:tcBorders>
            <w:shd w:val="clear" w:color="auto" w:fill="auto"/>
            <w:vAlign w:val="bottom"/>
          </w:tcPr>
          <w:p w14:paraId="31213D48" w14:textId="77777777" w:rsidR="003B3A72" w:rsidRPr="007478FB" w:rsidRDefault="003B3A72" w:rsidP="003B3A72">
            <w:pPr>
              <w:tabs>
                <w:tab w:val="right" w:pos="1202"/>
              </w:tabs>
              <w:suppressAutoHyphens/>
              <w:autoSpaceDN w:val="0"/>
              <w:spacing w:line="301" w:lineRule="exact"/>
              <w:jc w:val="right"/>
              <w:outlineLvl w:val="0"/>
              <w:rPr>
                <w:rFonts w:ascii="Arial" w:hAnsi="Arial" w:cs="Arial"/>
                <w:sz w:val="20"/>
                <w:szCs w:val="20"/>
              </w:rPr>
            </w:pPr>
          </w:p>
        </w:tc>
      </w:tr>
      <w:tr w:rsidR="003B3A72" w:rsidRPr="00627B08" w14:paraId="72C2C757" w14:textId="77777777" w:rsidTr="00464ABA">
        <w:tblPrEx>
          <w:tblCellMar>
            <w:left w:w="122" w:type="dxa"/>
            <w:right w:w="122" w:type="dxa"/>
          </w:tblCellMar>
        </w:tblPrEx>
        <w:trPr>
          <w:trHeight w:val="20"/>
        </w:trPr>
        <w:tc>
          <w:tcPr>
            <w:tcW w:w="1042" w:type="pct"/>
            <w:vAlign w:val="bottom"/>
          </w:tcPr>
          <w:p w14:paraId="15DADBC7" w14:textId="516F4629" w:rsidR="003B3A72" w:rsidRPr="00F43653" w:rsidRDefault="003B3A72" w:rsidP="003B3A72">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290" w:name="_Toc67327656"/>
            <w:r w:rsidRPr="00F43653">
              <w:rPr>
                <w:rFonts w:ascii="Arial" w:eastAsia="Times New Roman" w:hAnsi="Arial" w:cs="Arial"/>
                <w:color w:val="000000" w:themeColor="text1"/>
                <w:sz w:val="20"/>
                <w:szCs w:val="20"/>
              </w:rPr>
              <w:t>7. c) Ostali troškovi</w:t>
            </w:r>
            <w:bookmarkEnd w:id="290"/>
          </w:p>
        </w:tc>
        <w:tc>
          <w:tcPr>
            <w:tcW w:w="495" w:type="pct"/>
            <w:tcBorders>
              <w:top w:val="nil"/>
              <w:left w:val="nil"/>
              <w:bottom w:val="nil"/>
              <w:right w:val="nil"/>
            </w:tcBorders>
            <w:shd w:val="clear" w:color="auto" w:fill="auto"/>
            <w:vAlign w:val="bottom"/>
          </w:tcPr>
          <w:p w14:paraId="17A2E5A3" w14:textId="35F3408D" w:rsidR="003B3A72" w:rsidRPr="00464ABA" w:rsidRDefault="003B3A72" w:rsidP="003B3A72">
            <w:pPr>
              <w:tabs>
                <w:tab w:val="right" w:pos="1202"/>
              </w:tabs>
              <w:suppressAutoHyphens/>
              <w:autoSpaceDN w:val="0"/>
              <w:spacing w:line="301" w:lineRule="exact"/>
              <w:jc w:val="right"/>
              <w:outlineLvl w:val="0"/>
              <w:rPr>
                <w:rFonts w:ascii="Arial" w:hAnsi="Arial" w:cs="Arial"/>
                <w:sz w:val="20"/>
                <w:szCs w:val="20"/>
              </w:rPr>
            </w:pPr>
            <w:r w:rsidRPr="00464ABA">
              <w:rPr>
                <w:rFonts w:ascii="Arial" w:hAnsi="Arial" w:cs="Arial"/>
                <w:sz w:val="20"/>
                <w:szCs w:val="20"/>
              </w:rPr>
              <w:t xml:space="preserve"> 1.910 </w:t>
            </w:r>
          </w:p>
        </w:tc>
        <w:tc>
          <w:tcPr>
            <w:tcW w:w="495" w:type="pct"/>
            <w:tcBorders>
              <w:top w:val="nil"/>
              <w:left w:val="nil"/>
              <w:bottom w:val="nil"/>
              <w:right w:val="nil"/>
            </w:tcBorders>
            <w:shd w:val="clear" w:color="auto" w:fill="auto"/>
            <w:vAlign w:val="bottom"/>
          </w:tcPr>
          <w:p w14:paraId="5F50591B" w14:textId="500037FD" w:rsidR="003B3A72" w:rsidRPr="00464ABA" w:rsidRDefault="003B3A72" w:rsidP="003B3A72">
            <w:pPr>
              <w:tabs>
                <w:tab w:val="right" w:pos="1202"/>
              </w:tabs>
              <w:suppressAutoHyphens/>
              <w:autoSpaceDN w:val="0"/>
              <w:spacing w:line="301" w:lineRule="exact"/>
              <w:jc w:val="right"/>
              <w:outlineLvl w:val="0"/>
              <w:rPr>
                <w:rFonts w:ascii="Arial" w:hAnsi="Arial" w:cs="Arial"/>
                <w:sz w:val="20"/>
                <w:szCs w:val="20"/>
              </w:rPr>
            </w:pPr>
            <w:r w:rsidRPr="00464ABA">
              <w:rPr>
                <w:rFonts w:ascii="Arial" w:hAnsi="Arial" w:cs="Arial"/>
                <w:sz w:val="20"/>
                <w:szCs w:val="20"/>
              </w:rPr>
              <w:t xml:space="preserve"> 7.505 </w:t>
            </w:r>
          </w:p>
        </w:tc>
        <w:tc>
          <w:tcPr>
            <w:tcW w:w="495" w:type="pct"/>
            <w:tcBorders>
              <w:top w:val="nil"/>
              <w:left w:val="nil"/>
              <w:bottom w:val="nil"/>
              <w:right w:val="nil"/>
            </w:tcBorders>
            <w:shd w:val="clear" w:color="auto" w:fill="auto"/>
            <w:vAlign w:val="bottom"/>
          </w:tcPr>
          <w:p w14:paraId="2877582C" w14:textId="42FF686D" w:rsidR="003B3A72" w:rsidRPr="00F43653" w:rsidRDefault="003B3A72" w:rsidP="003B3A72">
            <w:pPr>
              <w:tabs>
                <w:tab w:val="right" w:pos="1202"/>
              </w:tabs>
              <w:suppressAutoHyphens/>
              <w:autoSpaceDN w:val="0"/>
              <w:spacing w:line="301" w:lineRule="exact"/>
              <w:jc w:val="right"/>
              <w:outlineLvl w:val="0"/>
              <w:rPr>
                <w:rFonts w:ascii="Arial" w:hAnsi="Arial" w:cs="Arial"/>
                <w:sz w:val="20"/>
                <w:szCs w:val="20"/>
              </w:rPr>
            </w:pPr>
            <w:r w:rsidRPr="00D86AF7">
              <w:rPr>
                <w:rFonts w:ascii="Arial" w:hAnsi="Arial" w:cs="Arial"/>
                <w:sz w:val="20"/>
                <w:szCs w:val="20"/>
              </w:rPr>
              <w:t xml:space="preserve"> 1.890 </w:t>
            </w:r>
          </w:p>
        </w:tc>
        <w:tc>
          <w:tcPr>
            <w:tcW w:w="495" w:type="pct"/>
            <w:tcBorders>
              <w:top w:val="nil"/>
              <w:left w:val="nil"/>
              <w:bottom w:val="nil"/>
              <w:right w:val="nil"/>
            </w:tcBorders>
            <w:shd w:val="clear" w:color="auto" w:fill="auto"/>
            <w:vAlign w:val="bottom"/>
          </w:tcPr>
          <w:p w14:paraId="057E5107" w14:textId="0D3307A7" w:rsidR="003B3A72" w:rsidRPr="00F43653" w:rsidRDefault="003B3A72" w:rsidP="003B3A72">
            <w:pPr>
              <w:tabs>
                <w:tab w:val="right" w:pos="1202"/>
              </w:tabs>
              <w:suppressAutoHyphens/>
              <w:autoSpaceDN w:val="0"/>
              <w:spacing w:line="301" w:lineRule="exact"/>
              <w:jc w:val="right"/>
              <w:outlineLvl w:val="0"/>
              <w:rPr>
                <w:rFonts w:ascii="Arial" w:hAnsi="Arial" w:cs="Arial"/>
                <w:sz w:val="20"/>
                <w:szCs w:val="20"/>
              </w:rPr>
            </w:pPr>
            <w:r w:rsidRPr="00D86AF7">
              <w:rPr>
                <w:rFonts w:ascii="Arial" w:hAnsi="Arial" w:cs="Arial"/>
                <w:sz w:val="20"/>
                <w:szCs w:val="20"/>
              </w:rPr>
              <w:t xml:space="preserve"> 6.763 </w:t>
            </w:r>
          </w:p>
        </w:tc>
        <w:tc>
          <w:tcPr>
            <w:tcW w:w="495" w:type="pct"/>
            <w:tcBorders>
              <w:top w:val="nil"/>
              <w:left w:val="nil"/>
              <w:bottom w:val="nil"/>
              <w:right w:val="nil"/>
            </w:tcBorders>
            <w:shd w:val="clear" w:color="auto" w:fill="auto"/>
            <w:vAlign w:val="bottom"/>
          </w:tcPr>
          <w:p w14:paraId="082E10E0" w14:textId="5EE5A0E3" w:rsidR="003B3A72" w:rsidRPr="00B2675F" w:rsidRDefault="003B3A72" w:rsidP="003B3A72">
            <w:pPr>
              <w:tabs>
                <w:tab w:val="right" w:pos="1202"/>
              </w:tabs>
              <w:suppressAutoHyphens/>
              <w:autoSpaceDN w:val="0"/>
              <w:spacing w:line="301" w:lineRule="exact"/>
              <w:jc w:val="right"/>
              <w:outlineLvl w:val="0"/>
              <w:rPr>
                <w:rFonts w:ascii="Arial" w:hAnsi="Arial" w:cs="Arial"/>
                <w:sz w:val="20"/>
                <w:szCs w:val="20"/>
              </w:rPr>
            </w:pPr>
            <w:r w:rsidRPr="00B2675F">
              <w:rPr>
                <w:rFonts w:ascii="Arial" w:hAnsi="Arial" w:cs="Arial"/>
                <w:sz w:val="20"/>
                <w:szCs w:val="20"/>
              </w:rPr>
              <w:t>1.454</w:t>
            </w:r>
          </w:p>
        </w:tc>
        <w:tc>
          <w:tcPr>
            <w:tcW w:w="495" w:type="pct"/>
            <w:tcBorders>
              <w:top w:val="nil"/>
              <w:left w:val="nil"/>
              <w:bottom w:val="nil"/>
              <w:right w:val="nil"/>
            </w:tcBorders>
            <w:shd w:val="clear" w:color="auto" w:fill="auto"/>
            <w:vAlign w:val="bottom"/>
          </w:tcPr>
          <w:p w14:paraId="6A4A21F6" w14:textId="244302D5" w:rsidR="003B3A72" w:rsidRPr="00B2675F" w:rsidRDefault="003B3A72" w:rsidP="003B3A72">
            <w:pPr>
              <w:tabs>
                <w:tab w:val="right" w:pos="1202"/>
              </w:tabs>
              <w:suppressAutoHyphens/>
              <w:autoSpaceDN w:val="0"/>
              <w:spacing w:line="301" w:lineRule="exact"/>
              <w:jc w:val="right"/>
              <w:outlineLvl w:val="0"/>
              <w:rPr>
                <w:rFonts w:ascii="Arial" w:hAnsi="Arial" w:cs="Arial"/>
                <w:sz w:val="20"/>
                <w:szCs w:val="20"/>
              </w:rPr>
            </w:pPr>
            <w:r w:rsidRPr="00B2675F">
              <w:rPr>
                <w:rFonts w:ascii="Arial" w:hAnsi="Arial" w:cs="Arial"/>
                <w:sz w:val="20"/>
                <w:szCs w:val="20"/>
              </w:rPr>
              <w:t>5.934</w:t>
            </w:r>
          </w:p>
        </w:tc>
        <w:tc>
          <w:tcPr>
            <w:tcW w:w="495" w:type="pct"/>
            <w:tcBorders>
              <w:top w:val="nil"/>
              <w:left w:val="nil"/>
              <w:bottom w:val="nil"/>
              <w:right w:val="nil"/>
            </w:tcBorders>
            <w:shd w:val="clear" w:color="auto" w:fill="auto"/>
            <w:vAlign w:val="bottom"/>
          </w:tcPr>
          <w:p w14:paraId="3905CA3C" w14:textId="166F53F7" w:rsidR="003B3A72" w:rsidRPr="007478FB" w:rsidRDefault="003B3A72" w:rsidP="003B3A72">
            <w:pPr>
              <w:tabs>
                <w:tab w:val="right" w:pos="1202"/>
              </w:tabs>
              <w:suppressAutoHyphens/>
              <w:autoSpaceDN w:val="0"/>
              <w:spacing w:line="301" w:lineRule="exact"/>
              <w:jc w:val="right"/>
              <w:outlineLvl w:val="0"/>
              <w:rPr>
                <w:rFonts w:ascii="Arial" w:hAnsi="Arial" w:cs="Arial"/>
                <w:sz w:val="20"/>
                <w:szCs w:val="20"/>
              </w:rPr>
            </w:pPr>
            <w:r w:rsidRPr="0072101D">
              <w:rPr>
                <w:rFonts w:ascii="Arial" w:hAnsi="Arial" w:cs="Arial"/>
                <w:sz w:val="20"/>
                <w:szCs w:val="20"/>
              </w:rPr>
              <w:t xml:space="preserve"> 1.358 </w:t>
            </w:r>
          </w:p>
        </w:tc>
        <w:tc>
          <w:tcPr>
            <w:tcW w:w="493" w:type="pct"/>
            <w:tcBorders>
              <w:top w:val="nil"/>
              <w:left w:val="nil"/>
              <w:bottom w:val="nil"/>
              <w:right w:val="nil"/>
            </w:tcBorders>
            <w:shd w:val="clear" w:color="auto" w:fill="auto"/>
            <w:vAlign w:val="bottom"/>
          </w:tcPr>
          <w:p w14:paraId="2E2C40E8" w14:textId="17A44CF0" w:rsidR="003B3A72" w:rsidRPr="007478FB" w:rsidRDefault="003B3A72" w:rsidP="003B3A72">
            <w:pPr>
              <w:tabs>
                <w:tab w:val="right" w:pos="1202"/>
              </w:tabs>
              <w:suppressAutoHyphens/>
              <w:autoSpaceDN w:val="0"/>
              <w:spacing w:line="301" w:lineRule="exact"/>
              <w:jc w:val="right"/>
              <w:outlineLvl w:val="0"/>
              <w:rPr>
                <w:rFonts w:ascii="Arial" w:hAnsi="Arial" w:cs="Arial"/>
                <w:sz w:val="20"/>
                <w:szCs w:val="20"/>
              </w:rPr>
            </w:pPr>
            <w:r w:rsidRPr="0072101D">
              <w:rPr>
                <w:rFonts w:ascii="Arial" w:hAnsi="Arial" w:cs="Arial"/>
                <w:sz w:val="20"/>
                <w:szCs w:val="20"/>
              </w:rPr>
              <w:t xml:space="preserve"> 5.289 </w:t>
            </w:r>
          </w:p>
        </w:tc>
      </w:tr>
      <w:tr w:rsidR="00E93A41" w:rsidRPr="00627B08" w14:paraId="340F4901" w14:textId="77777777" w:rsidTr="00464ABA">
        <w:tblPrEx>
          <w:tblCellMar>
            <w:left w:w="122" w:type="dxa"/>
            <w:right w:w="122" w:type="dxa"/>
          </w:tblCellMar>
        </w:tblPrEx>
        <w:trPr>
          <w:trHeight w:hRule="exact" w:val="114"/>
        </w:trPr>
        <w:tc>
          <w:tcPr>
            <w:tcW w:w="1042" w:type="pct"/>
            <w:vAlign w:val="bottom"/>
          </w:tcPr>
          <w:p w14:paraId="35664440" w14:textId="77777777" w:rsidR="00E93A41" w:rsidRPr="00F43653" w:rsidRDefault="00E93A41" w:rsidP="00E93A41">
            <w:pPr>
              <w:tabs>
                <w:tab w:val="right" w:pos="1202"/>
              </w:tabs>
              <w:suppressAutoHyphens/>
              <w:autoSpaceDN w:val="0"/>
              <w:spacing w:line="301" w:lineRule="exact"/>
              <w:outlineLvl w:val="0"/>
              <w:rPr>
                <w:rFonts w:ascii="Arial" w:eastAsia="Times New Roman" w:hAnsi="Arial" w:cs="Arial"/>
                <w:color w:val="000000" w:themeColor="text1"/>
                <w:sz w:val="20"/>
                <w:szCs w:val="20"/>
              </w:rPr>
            </w:pPr>
          </w:p>
        </w:tc>
        <w:tc>
          <w:tcPr>
            <w:tcW w:w="495" w:type="pct"/>
            <w:tcBorders>
              <w:top w:val="nil"/>
              <w:left w:val="nil"/>
              <w:bottom w:val="nil"/>
              <w:right w:val="nil"/>
            </w:tcBorders>
            <w:shd w:val="clear" w:color="auto" w:fill="auto"/>
            <w:vAlign w:val="bottom"/>
          </w:tcPr>
          <w:p w14:paraId="789880BB" w14:textId="77777777" w:rsidR="00E93A41" w:rsidRPr="00464ABA" w:rsidRDefault="00E93A41" w:rsidP="00E93A41">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p>
        </w:tc>
        <w:tc>
          <w:tcPr>
            <w:tcW w:w="495" w:type="pct"/>
            <w:tcBorders>
              <w:top w:val="nil"/>
              <w:left w:val="nil"/>
              <w:bottom w:val="nil"/>
              <w:right w:val="nil"/>
            </w:tcBorders>
            <w:shd w:val="clear" w:color="auto" w:fill="auto"/>
            <w:vAlign w:val="bottom"/>
          </w:tcPr>
          <w:p w14:paraId="0D8F719C" w14:textId="77777777" w:rsidR="00E93A41" w:rsidRPr="00464ABA" w:rsidRDefault="00E93A41" w:rsidP="00E93A41">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p>
        </w:tc>
        <w:tc>
          <w:tcPr>
            <w:tcW w:w="495" w:type="pct"/>
            <w:tcBorders>
              <w:top w:val="nil"/>
              <w:left w:val="nil"/>
              <w:bottom w:val="nil"/>
              <w:right w:val="nil"/>
            </w:tcBorders>
            <w:shd w:val="clear" w:color="auto" w:fill="auto"/>
            <w:vAlign w:val="bottom"/>
          </w:tcPr>
          <w:p w14:paraId="530621E5" w14:textId="77777777" w:rsidR="00E93A41" w:rsidRPr="00F43653" w:rsidRDefault="00E93A41" w:rsidP="00E93A41">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p>
        </w:tc>
        <w:tc>
          <w:tcPr>
            <w:tcW w:w="495" w:type="pct"/>
            <w:tcBorders>
              <w:top w:val="nil"/>
              <w:left w:val="nil"/>
              <w:bottom w:val="nil"/>
              <w:right w:val="nil"/>
            </w:tcBorders>
            <w:shd w:val="clear" w:color="auto" w:fill="auto"/>
            <w:vAlign w:val="bottom"/>
          </w:tcPr>
          <w:p w14:paraId="2D4F3F2F" w14:textId="77777777" w:rsidR="00E93A41" w:rsidRPr="00F43653" w:rsidRDefault="00E93A41" w:rsidP="00E93A41">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p>
        </w:tc>
        <w:tc>
          <w:tcPr>
            <w:tcW w:w="495" w:type="pct"/>
            <w:tcBorders>
              <w:top w:val="nil"/>
              <w:left w:val="nil"/>
              <w:bottom w:val="nil"/>
              <w:right w:val="nil"/>
            </w:tcBorders>
            <w:shd w:val="clear" w:color="auto" w:fill="auto"/>
            <w:vAlign w:val="bottom"/>
          </w:tcPr>
          <w:p w14:paraId="2F55179A" w14:textId="59F72021" w:rsidR="00E93A41" w:rsidRPr="00B2675F" w:rsidRDefault="00E93A41" w:rsidP="00E93A41">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p>
        </w:tc>
        <w:tc>
          <w:tcPr>
            <w:tcW w:w="495" w:type="pct"/>
            <w:tcBorders>
              <w:top w:val="nil"/>
              <w:left w:val="nil"/>
              <w:bottom w:val="nil"/>
              <w:right w:val="nil"/>
            </w:tcBorders>
            <w:shd w:val="clear" w:color="auto" w:fill="auto"/>
            <w:vAlign w:val="bottom"/>
          </w:tcPr>
          <w:p w14:paraId="6E774C4E" w14:textId="77777777" w:rsidR="00E93A41" w:rsidRPr="00B2675F" w:rsidRDefault="00E93A41" w:rsidP="00E93A41">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p>
        </w:tc>
        <w:tc>
          <w:tcPr>
            <w:tcW w:w="495" w:type="pct"/>
            <w:tcBorders>
              <w:top w:val="nil"/>
              <w:left w:val="nil"/>
              <w:bottom w:val="nil"/>
              <w:right w:val="nil"/>
            </w:tcBorders>
            <w:shd w:val="clear" w:color="auto" w:fill="auto"/>
            <w:vAlign w:val="bottom"/>
          </w:tcPr>
          <w:p w14:paraId="71B7329C" w14:textId="77777777" w:rsidR="00E93A41" w:rsidRPr="00F43653" w:rsidRDefault="00E93A41" w:rsidP="00E93A41">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p>
        </w:tc>
        <w:tc>
          <w:tcPr>
            <w:tcW w:w="493" w:type="pct"/>
            <w:tcBorders>
              <w:top w:val="nil"/>
              <w:left w:val="nil"/>
              <w:bottom w:val="nil"/>
              <w:right w:val="nil"/>
            </w:tcBorders>
            <w:shd w:val="clear" w:color="auto" w:fill="auto"/>
            <w:vAlign w:val="bottom"/>
          </w:tcPr>
          <w:p w14:paraId="1C1D88A1" w14:textId="77777777" w:rsidR="00E93A41" w:rsidRPr="00F43653" w:rsidRDefault="00E93A41" w:rsidP="00E93A41">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p>
        </w:tc>
      </w:tr>
      <w:tr w:rsidR="00E93A41" w:rsidRPr="00627B08" w14:paraId="2205E1E5" w14:textId="77777777" w:rsidTr="00464ABA">
        <w:tblPrEx>
          <w:tblCellMar>
            <w:left w:w="122" w:type="dxa"/>
            <w:right w:w="122" w:type="dxa"/>
          </w:tblCellMar>
        </w:tblPrEx>
        <w:trPr>
          <w:trHeight w:val="20"/>
        </w:trPr>
        <w:tc>
          <w:tcPr>
            <w:tcW w:w="1042" w:type="pct"/>
            <w:vAlign w:val="bottom"/>
          </w:tcPr>
          <w:p w14:paraId="49706DE6" w14:textId="77777777" w:rsidR="00E93A41" w:rsidRPr="00F43653" w:rsidRDefault="00E93A41" w:rsidP="00E93A41">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291" w:name="_Toc67327661"/>
            <w:r w:rsidRPr="00F43653">
              <w:rPr>
                <w:rFonts w:ascii="Arial" w:eastAsia="Times New Roman" w:hAnsi="Arial" w:cs="Arial"/>
                <w:color w:val="000000" w:themeColor="text1"/>
                <w:sz w:val="20"/>
                <w:szCs w:val="20"/>
              </w:rPr>
              <w:t>Od čega:</w:t>
            </w:r>
            <w:bookmarkEnd w:id="291"/>
          </w:p>
        </w:tc>
        <w:tc>
          <w:tcPr>
            <w:tcW w:w="495" w:type="pct"/>
            <w:tcBorders>
              <w:top w:val="nil"/>
              <w:left w:val="nil"/>
              <w:bottom w:val="nil"/>
              <w:right w:val="nil"/>
            </w:tcBorders>
            <w:shd w:val="clear" w:color="auto" w:fill="auto"/>
            <w:vAlign w:val="bottom"/>
          </w:tcPr>
          <w:p w14:paraId="7A7EB35E" w14:textId="77777777" w:rsidR="00E93A41" w:rsidRPr="00464ABA" w:rsidRDefault="00E93A41" w:rsidP="00E93A41">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p>
        </w:tc>
        <w:tc>
          <w:tcPr>
            <w:tcW w:w="495" w:type="pct"/>
            <w:tcBorders>
              <w:top w:val="nil"/>
              <w:left w:val="nil"/>
              <w:bottom w:val="nil"/>
              <w:right w:val="nil"/>
            </w:tcBorders>
            <w:shd w:val="clear" w:color="auto" w:fill="auto"/>
            <w:vAlign w:val="bottom"/>
          </w:tcPr>
          <w:p w14:paraId="69B41269" w14:textId="77777777" w:rsidR="00E93A41" w:rsidRPr="00464ABA" w:rsidRDefault="00E93A41" w:rsidP="00E93A41">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p>
        </w:tc>
        <w:tc>
          <w:tcPr>
            <w:tcW w:w="495" w:type="pct"/>
            <w:tcBorders>
              <w:top w:val="nil"/>
              <w:left w:val="nil"/>
              <w:bottom w:val="nil"/>
              <w:right w:val="nil"/>
            </w:tcBorders>
            <w:shd w:val="clear" w:color="auto" w:fill="auto"/>
            <w:vAlign w:val="bottom"/>
          </w:tcPr>
          <w:p w14:paraId="3C332A53" w14:textId="77777777" w:rsidR="00E93A41" w:rsidRPr="00F43653" w:rsidRDefault="00E93A41" w:rsidP="00E93A41">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p>
        </w:tc>
        <w:tc>
          <w:tcPr>
            <w:tcW w:w="495" w:type="pct"/>
            <w:tcBorders>
              <w:top w:val="nil"/>
              <w:left w:val="nil"/>
              <w:bottom w:val="nil"/>
              <w:right w:val="nil"/>
            </w:tcBorders>
            <w:shd w:val="clear" w:color="auto" w:fill="auto"/>
            <w:vAlign w:val="bottom"/>
          </w:tcPr>
          <w:p w14:paraId="11EB8660" w14:textId="77777777" w:rsidR="00E93A41" w:rsidRPr="00F43653" w:rsidRDefault="00E93A41" w:rsidP="00E93A41">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p>
        </w:tc>
        <w:tc>
          <w:tcPr>
            <w:tcW w:w="495" w:type="pct"/>
            <w:tcBorders>
              <w:top w:val="nil"/>
              <w:left w:val="nil"/>
              <w:bottom w:val="nil"/>
              <w:right w:val="nil"/>
            </w:tcBorders>
            <w:shd w:val="clear" w:color="auto" w:fill="auto"/>
            <w:vAlign w:val="bottom"/>
          </w:tcPr>
          <w:p w14:paraId="7934F5C8" w14:textId="5437C49E" w:rsidR="00E93A41" w:rsidRPr="00B2675F" w:rsidRDefault="00E93A41" w:rsidP="00E93A41">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p>
        </w:tc>
        <w:tc>
          <w:tcPr>
            <w:tcW w:w="495" w:type="pct"/>
            <w:tcBorders>
              <w:top w:val="nil"/>
              <w:left w:val="nil"/>
              <w:bottom w:val="nil"/>
              <w:right w:val="nil"/>
            </w:tcBorders>
            <w:shd w:val="clear" w:color="auto" w:fill="auto"/>
            <w:vAlign w:val="bottom"/>
          </w:tcPr>
          <w:p w14:paraId="7FC5E2B4" w14:textId="77777777" w:rsidR="00E93A41" w:rsidRPr="00B2675F" w:rsidRDefault="00E93A41" w:rsidP="00E93A41">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p>
        </w:tc>
        <w:tc>
          <w:tcPr>
            <w:tcW w:w="495" w:type="pct"/>
            <w:tcBorders>
              <w:top w:val="nil"/>
              <w:left w:val="nil"/>
              <w:bottom w:val="nil"/>
              <w:right w:val="nil"/>
            </w:tcBorders>
            <w:shd w:val="clear" w:color="auto" w:fill="auto"/>
            <w:vAlign w:val="bottom"/>
          </w:tcPr>
          <w:p w14:paraId="659706B4" w14:textId="77777777" w:rsidR="00E93A41" w:rsidRPr="00F43653" w:rsidRDefault="00E93A41" w:rsidP="00E93A41">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p>
        </w:tc>
        <w:tc>
          <w:tcPr>
            <w:tcW w:w="493" w:type="pct"/>
            <w:tcBorders>
              <w:top w:val="nil"/>
              <w:left w:val="nil"/>
              <w:bottom w:val="nil"/>
              <w:right w:val="nil"/>
            </w:tcBorders>
            <w:shd w:val="clear" w:color="auto" w:fill="auto"/>
            <w:vAlign w:val="bottom"/>
          </w:tcPr>
          <w:p w14:paraId="6DE91635" w14:textId="77777777" w:rsidR="00E93A41" w:rsidRPr="00F43653" w:rsidRDefault="00E93A41" w:rsidP="00E93A41">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p>
        </w:tc>
      </w:tr>
      <w:tr w:rsidR="00464ABA" w:rsidRPr="00627B08" w14:paraId="7FE02486" w14:textId="77777777" w:rsidTr="00464ABA">
        <w:tblPrEx>
          <w:tblCellMar>
            <w:left w:w="122" w:type="dxa"/>
            <w:right w:w="122" w:type="dxa"/>
          </w:tblCellMar>
        </w:tblPrEx>
        <w:trPr>
          <w:trHeight w:val="20"/>
        </w:trPr>
        <w:tc>
          <w:tcPr>
            <w:tcW w:w="1042" w:type="pct"/>
            <w:vAlign w:val="bottom"/>
          </w:tcPr>
          <w:p w14:paraId="56B7E4BC" w14:textId="77777777" w:rsidR="00464ABA" w:rsidRPr="00F43653" w:rsidRDefault="00464ABA" w:rsidP="00464ABA">
            <w:pPr>
              <w:tabs>
                <w:tab w:val="right" w:pos="1202"/>
              </w:tabs>
              <w:suppressAutoHyphens/>
              <w:autoSpaceDN w:val="0"/>
              <w:spacing w:line="301" w:lineRule="exact"/>
              <w:outlineLvl w:val="0"/>
              <w:rPr>
                <w:rFonts w:ascii="Arial" w:eastAsia="Times New Roman" w:hAnsi="Arial" w:cs="Arial"/>
                <w:i/>
                <w:color w:val="000000" w:themeColor="text1"/>
                <w:sz w:val="20"/>
                <w:szCs w:val="20"/>
              </w:rPr>
            </w:pPr>
            <w:bookmarkStart w:id="292" w:name="_Toc67327662"/>
            <w:r w:rsidRPr="00F43653">
              <w:rPr>
                <w:rFonts w:ascii="Arial" w:eastAsia="Times New Roman" w:hAnsi="Arial" w:cs="Arial"/>
                <w:i/>
                <w:color w:val="000000" w:themeColor="text1"/>
                <w:sz w:val="20"/>
                <w:szCs w:val="20"/>
              </w:rPr>
              <w:t>Troškovi administracije</w:t>
            </w:r>
            <w:bookmarkEnd w:id="292"/>
            <w:r w:rsidRPr="00F43653">
              <w:rPr>
                <w:rFonts w:ascii="Arial" w:eastAsia="Times New Roman" w:hAnsi="Arial" w:cs="Arial"/>
                <w:i/>
                <w:color w:val="000000" w:themeColor="text1"/>
                <w:sz w:val="20"/>
                <w:szCs w:val="20"/>
              </w:rPr>
              <w:t xml:space="preserve"> </w:t>
            </w:r>
          </w:p>
        </w:tc>
        <w:tc>
          <w:tcPr>
            <w:tcW w:w="495" w:type="pct"/>
            <w:tcBorders>
              <w:top w:val="nil"/>
              <w:left w:val="nil"/>
              <w:bottom w:val="nil"/>
              <w:right w:val="nil"/>
            </w:tcBorders>
            <w:shd w:val="clear" w:color="auto" w:fill="auto"/>
            <w:vAlign w:val="bottom"/>
          </w:tcPr>
          <w:p w14:paraId="6800F780" w14:textId="7C67DDEF" w:rsidR="00464ABA" w:rsidRPr="001E373B" w:rsidRDefault="00464ABA" w:rsidP="00464ABA">
            <w:pPr>
              <w:tabs>
                <w:tab w:val="right" w:pos="1202"/>
              </w:tabs>
              <w:suppressAutoHyphens/>
              <w:autoSpaceDN w:val="0"/>
              <w:jc w:val="right"/>
              <w:outlineLvl w:val="0"/>
              <w:rPr>
                <w:rFonts w:ascii="Arial" w:hAnsi="Arial" w:cs="Arial"/>
                <w:i/>
                <w:iCs/>
                <w:sz w:val="20"/>
                <w:szCs w:val="20"/>
              </w:rPr>
            </w:pPr>
            <w:r w:rsidRPr="001E373B">
              <w:rPr>
                <w:rFonts w:ascii="Arial" w:hAnsi="Arial" w:cs="Arial"/>
                <w:i/>
                <w:iCs/>
                <w:sz w:val="20"/>
                <w:szCs w:val="20"/>
              </w:rPr>
              <w:t xml:space="preserve"> 430 </w:t>
            </w:r>
          </w:p>
        </w:tc>
        <w:tc>
          <w:tcPr>
            <w:tcW w:w="495" w:type="pct"/>
            <w:tcBorders>
              <w:top w:val="nil"/>
              <w:left w:val="nil"/>
              <w:bottom w:val="nil"/>
              <w:right w:val="nil"/>
            </w:tcBorders>
            <w:shd w:val="clear" w:color="auto" w:fill="auto"/>
            <w:vAlign w:val="bottom"/>
          </w:tcPr>
          <w:p w14:paraId="0823E85B" w14:textId="37BA01C0" w:rsidR="00464ABA" w:rsidRPr="001E373B" w:rsidRDefault="00464ABA" w:rsidP="00464ABA">
            <w:pPr>
              <w:tabs>
                <w:tab w:val="right" w:pos="1202"/>
              </w:tabs>
              <w:suppressAutoHyphens/>
              <w:autoSpaceDN w:val="0"/>
              <w:jc w:val="right"/>
              <w:outlineLvl w:val="0"/>
              <w:rPr>
                <w:rFonts w:ascii="Arial" w:hAnsi="Arial" w:cs="Arial"/>
                <w:i/>
                <w:iCs/>
                <w:sz w:val="20"/>
                <w:szCs w:val="20"/>
              </w:rPr>
            </w:pPr>
            <w:r w:rsidRPr="001E373B">
              <w:rPr>
                <w:rFonts w:ascii="Arial" w:hAnsi="Arial" w:cs="Arial"/>
                <w:i/>
                <w:iCs/>
                <w:sz w:val="20"/>
                <w:szCs w:val="20"/>
              </w:rPr>
              <w:t xml:space="preserve"> 2.316 </w:t>
            </w:r>
          </w:p>
        </w:tc>
        <w:tc>
          <w:tcPr>
            <w:tcW w:w="495" w:type="pct"/>
            <w:tcBorders>
              <w:top w:val="nil"/>
              <w:left w:val="nil"/>
              <w:bottom w:val="nil"/>
              <w:right w:val="nil"/>
            </w:tcBorders>
            <w:shd w:val="clear" w:color="auto" w:fill="auto"/>
            <w:vAlign w:val="bottom"/>
          </w:tcPr>
          <w:p w14:paraId="6495B263" w14:textId="5713C648" w:rsidR="00464ABA" w:rsidRPr="00F43653" w:rsidRDefault="00464ABA" w:rsidP="00464ABA">
            <w:pPr>
              <w:tabs>
                <w:tab w:val="right" w:pos="1202"/>
              </w:tabs>
              <w:suppressAutoHyphens/>
              <w:autoSpaceDN w:val="0"/>
              <w:jc w:val="right"/>
              <w:outlineLvl w:val="0"/>
              <w:rPr>
                <w:rFonts w:ascii="Arial" w:hAnsi="Arial" w:cs="Arial"/>
                <w:i/>
                <w:iCs/>
                <w:sz w:val="20"/>
                <w:szCs w:val="20"/>
              </w:rPr>
            </w:pPr>
            <w:r w:rsidRPr="00D86AF7">
              <w:rPr>
                <w:rFonts w:ascii="Arial" w:hAnsi="Arial" w:cs="Arial"/>
                <w:i/>
                <w:iCs/>
                <w:sz w:val="20"/>
                <w:szCs w:val="20"/>
              </w:rPr>
              <w:t xml:space="preserve"> 325 </w:t>
            </w:r>
          </w:p>
        </w:tc>
        <w:tc>
          <w:tcPr>
            <w:tcW w:w="495" w:type="pct"/>
            <w:tcBorders>
              <w:top w:val="nil"/>
              <w:left w:val="nil"/>
              <w:bottom w:val="nil"/>
              <w:right w:val="nil"/>
            </w:tcBorders>
            <w:shd w:val="clear" w:color="auto" w:fill="auto"/>
            <w:vAlign w:val="bottom"/>
          </w:tcPr>
          <w:p w14:paraId="5DE97D2B" w14:textId="2625BB85" w:rsidR="00464ABA" w:rsidRPr="00F43653" w:rsidRDefault="00464ABA" w:rsidP="00464ABA">
            <w:pPr>
              <w:tabs>
                <w:tab w:val="right" w:pos="1202"/>
              </w:tabs>
              <w:suppressAutoHyphens/>
              <w:autoSpaceDN w:val="0"/>
              <w:jc w:val="right"/>
              <w:outlineLvl w:val="0"/>
              <w:rPr>
                <w:rFonts w:ascii="Arial" w:hAnsi="Arial" w:cs="Arial"/>
                <w:i/>
                <w:iCs/>
                <w:sz w:val="20"/>
                <w:szCs w:val="20"/>
              </w:rPr>
            </w:pPr>
            <w:r w:rsidRPr="00D86AF7">
              <w:rPr>
                <w:rFonts w:ascii="Arial" w:hAnsi="Arial" w:cs="Arial"/>
                <w:i/>
                <w:iCs/>
                <w:sz w:val="20"/>
                <w:szCs w:val="20"/>
              </w:rPr>
              <w:t xml:space="preserve"> 1.568 </w:t>
            </w:r>
          </w:p>
        </w:tc>
        <w:tc>
          <w:tcPr>
            <w:tcW w:w="495" w:type="pct"/>
            <w:tcBorders>
              <w:top w:val="nil"/>
              <w:left w:val="nil"/>
              <w:bottom w:val="nil"/>
              <w:right w:val="nil"/>
            </w:tcBorders>
            <w:shd w:val="clear" w:color="auto" w:fill="auto"/>
            <w:vAlign w:val="bottom"/>
          </w:tcPr>
          <w:p w14:paraId="67CED244" w14:textId="48178979" w:rsidR="00464ABA" w:rsidRPr="00BF7DE7" w:rsidRDefault="00464ABA" w:rsidP="00464ABA">
            <w:pPr>
              <w:tabs>
                <w:tab w:val="right" w:pos="1202"/>
              </w:tabs>
              <w:suppressAutoHyphens/>
              <w:autoSpaceDN w:val="0"/>
              <w:jc w:val="right"/>
              <w:outlineLvl w:val="0"/>
              <w:rPr>
                <w:rFonts w:ascii="Arial" w:hAnsi="Arial" w:cs="Arial"/>
                <w:i/>
                <w:iCs/>
                <w:sz w:val="20"/>
                <w:szCs w:val="20"/>
              </w:rPr>
            </w:pPr>
            <w:r w:rsidRPr="00BF7DE7">
              <w:rPr>
                <w:rFonts w:ascii="Arial" w:hAnsi="Arial" w:cs="Arial"/>
                <w:i/>
                <w:iCs/>
                <w:sz w:val="20"/>
                <w:szCs w:val="20"/>
              </w:rPr>
              <w:t>419</w:t>
            </w:r>
          </w:p>
        </w:tc>
        <w:tc>
          <w:tcPr>
            <w:tcW w:w="495" w:type="pct"/>
            <w:tcBorders>
              <w:top w:val="nil"/>
              <w:left w:val="nil"/>
              <w:bottom w:val="nil"/>
              <w:right w:val="nil"/>
            </w:tcBorders>
            <w:shd w:val="clear" w:color="auto" w:fill="auto"/>
            <w:vAlign w:val="bottom"/>
          </w:tcPr>
          <w:p w14:paraId="04656FF8" w14:textId="4A01BE66" w:rsidR="00464ABA" w:rsidRPr="00BF7DE7" w:rsidRDefault="00464ABA" w:rsidP="00464ABA">
            <w:pPr>
              <w:tabs>
                <w:tab w:val="right" w:pos="1202"/>
              </w:tabs>
              <w:suppressAutoHyphens/>
              <w:autoSpaceDN w:val="0"/>
              <w:jc w:val="right"/>
              <w:outlineLvl w:val="0"/>
              <w:rPr>
                <w:rFonts w:ascii="Arial" w:hAnsi="Arial" w:cs="Arial"/>
                <w:i/>
                <w:iCs/>
                <w:sz w:val="20"/>
                <w:szCs w:val="20"/>
              </w:rPr>
            </w:pPr>
            <w:r w:rsidRPr="00BF7DE7">
              <w:rPr>
                <w:rFonts w:ascii="Arial" w:hAnsi="Arial" w:cs="Arial"/>
                <w:i/>
                <w:iCs/>
                <w:sz w:val="20"/>
                <w:szCs w:val="20"/>
              </w:rPr>
              <w:t>2.259</w:t>
            </w:r>
          </w:p>
        </w:tc>
        <w:tc>
          <w:tcPr>
            <w:tcW w:w="495" w:type="pct"/>
            <w:tcBorders>
              <w:top w:val="nil"/>
              <w:left w:val="nil"/>
              <w:bottom w:val="nil"/>
              <w:right w:val="nil"/>
            </w:tcBorders>
            <w:shd w:val="clear" w:color="auto" w:fill="auto"/>
            <w:vAlign w:val="bottom"/>
          </w:tcPr>
          <w:p w14:paraId="42853AD6" w14:textId="47004459" w:rsidR="00464ABA" w:rsidRPr="007478FB" w:rsidRDefault="00464ABA" w:rsidP="00464ABA">
            <w:pPr>
              <w:tabs>
                <w:tab w:val="right" w:pos="1202"/>
              </w:tabs>
              <w:suppressAutoHyphens/>
              <w:autoSpaceDN w:val="0"/>
              <w:jc w:val="right"/>
              <w:outlineLvl w:val="0"/>
              <w:rPr>
                <w:rFonts w:ascii="Arial" w:hAnsi="Arial" w:cs="Arial"/>
                <w:i/>
                <w:iCs/>
                <w:sz w:val="20"/>
                <w:szCs w:val="20"/>
              </w:rPr>
            </w:pPr>
            <w:r w:rsidRPr="0072101D">
              <w:rPr>
                <w:rFonts w:ascii="Arial" w:hAnsi="Arial" w:cs="Arial"/>
                <w:i/>
                <w:iCs/>
                <w:sz w:val="20"/>
                <w:szCs w:val="20"/>
              </w:rPr>
              <w:t xml:space="preserve"> 300 </w:t>
            </w:r>
          </w:p>
        </w:tc>
        <w:tc>
          <w:tcPr>
            <w:tcW w:w="493" w:type="pct"/>
            <w:tcBorders>
              <w:top w:val="nil"/>
              <w:left w:val="nil"/>
              <w:bottom w:val="nil"/>
              <w:right w:val="nil"/>
            </w:tcBorders>
            <w:shd w:val="clear" w:color="auto" w:fill="auto"/>
            <w:vAlign w:val="bottom"/>
          </w:tcPr>
          <w:p w14:paraId="0C2EF0FF" w14:textId="06E07DFA" w:rsidR="00464ABA" w:rsidRPr="007478FB" w:rsidRDefault="00464ABA" w:rsidP="00464ABA">
            <w:pPr>
              <w:tabs>
                <w:tab w:val="right" w:pos="1202"/>
              </w:tabs>
              <w:suppressAutoHyphens/>
              <w:autoSpaceDN w:val="0"/>
              <w:jc w:val="right"/>
              <w:outlineLvl w:val="0"/>
              <w:rPr>
                <w:rFonts w:ascii="Arial" w:hAnsi="Arial" w:cs="Arial"/>
                <w:i/>
                <w:iCs/>
                <w:sz w:val="20"/>
                <w:szCs w:val="20"/>
              </w:rPr>
            </w:pPr>
            <w:r w:rsidRPr="0072101D">
              <w:rPr>
                <w:rFonts w:ascii="Arial" w:hAnsi="Arial" w:cs="Arial"/>
                <w:i/>
                <w:iCs/>
                <w:sz w:val="20"/>
                <w:szCs w:val="20"/>
              </w:rPr>
              <w:t xml:space="preserve"> 1.496 </w:t>
            </w:r>
          </w:p>
        </w:tc>
      </w:tr>
      <w:tr w:rsidR="00464ABA" w:rsidRPr="00627B08" w14:paraId="45E351EB" w14:textId="77777777" w:rsidTr="00464ABA">
        <w:tblPrEx>
          <w:tblCellMar>
            <w:left w:w="122" w:type="dxa"/>
            <w:right w:w="122" w:type="dxa"/>
          </w:tblCellMar>
        </w:tblPrEx>
        <w:trPr>
          <w:trHeight w:val="20"/>
        </w:trPr>
        <w:tc>
          <w:tcPr>
            <w:tcW w:w="1042" w:type="pct"/>
            <w:vAlign w:val="bottom"/>
          </w:tcPr>
          <w:p w14:paraId="54E62A3B" w14:textId="77777777" w:rsidR="00464ABA" w:rsidRPr="00F43653" w:rsidRDefault="00464ABA" w:rsidP="00464ABA">
            <w:pPr>
              <w:tabs>
                <w:tab w:val="right" w:pos="1202"/>
              </w:tabs>
              <w:suppressAutoHyphens/>
              <w:autoSpaceDN w:val="0"/>
              <w:spacing w:line="301" w:lineRule="exact"/>
              <w:outlineLvl w:val="0"/>
              <w:rPr>
                <w:rFonts w:ascii="Arial" w:eastAsia="Times New Roman" w:hAnsi="Arial" w:cs="Arial"/>
                <w:i/>
                <w:color w:val="000000" w:themeColor="text1"/>
                <w:sz w:val="20"/>
                <w:szCs w:val="20"/>
              </w:rPr>
            </w:pPr>
            <w:bookmarkStart w:id="293" w:name="_Toc67327667"/>
            <w:r w:rsidRPr="00F43653">
              <w:rPr>
                <w:rFonts w:ascii="Arial" w:eastAsia="Times New Roman" w:hAnsi="Arial" w:cs="Arial"/>
                <w:i/>
                <w:color w:val="000000" w:themeColor="text1"/>
                <w:sz w:val="20"/>
                <w:szCs w:val="20"/>
              </w:rPr>
              <w:t>Utrošeni materijal i usluge</w:t>
            </w:r>
            <w:bookmarkEnd w:id="293"/>
          </w:p>
        </w:tc>
        <w:tc>
          <w:tcPr>
            <w:tcW w:w="495" w:type="pct"/>
            <w:tcBorders>
              <w:top w:val="nil"/>
              <w:left w:val="nil"/>
              <w:bottom w:val="nil"/>
              <w:right w:val="nil"/>
            </w:tcBorders>
            <w:shd w:val="clear" w:color="auto" w:fill="auto"/>
            <w:vAlign w:val="bottom"/>
          </w:tcPr>
          <w:p w14:paraId="31DE6203" w14:textId="75E1FA30" w:rsidR="00464ABA" w:rsidRPr="001E373B" w:rsidRDefault="00464ABA" w:rsidP="00464ABA">
            <w:pPr>
              <w:tabs>
                <w:tab w:val="right" w:pos="1202"/>
              </w:tabs>
              <w:suppressAutoHyphens/>
              <w:autoSpaceDN w:val="0"/>
              <w:jc w:val="right"/>
              <w:outlineLvl w:val="0"/>
              <w:rPr>
                <w:rFonts w:ascii="Arial" w:hAnsi="Arial" w:cs="Arial"/>
                <w:i/>
                <w:iCs/>
                <w:sz w:val="20"/>
                <w:szCs w:val="20"/>
              </w:rPr>
            </w:pPr>
            <w:r w:rsidRPr="001E373B">
              <w:rPr>
                <w:rFonts w:ascii="Arial" w:hAnsi="Arial" w:cs="Arial"/>
                <w:i/>
                <w:iCs/>
                <w:sz w:val="20"/>
                <w:szCs w:val="20"/>
              </w:rPr>
              <w:t xml:space="preserve"> 963 </w:t>
            </w:r>
          </w:p>
        </w:tc>
        <w:tc>
          <w:tcPr>
            <w:tcW w:w="495" w:type="pct"/>
            <w:tcBorders>
              <w:top w:val="nil"/>
              <w:left w:val="nil"/>
              <w:bottom w:val="nil"/>
              <w:right w:val="nil"/>
            </w:tcBorders>
            <w:shd w:val="clear" w:color="auto" w:fill="auto"/>
            <w:vAlign w:val="bottom"/>
          </w:tcPr>
          <w:p w14:paraId="3B62CC54" w14:textId="794802AA" w:rsidR="00464ABA" w:rsidRPr="001E373B" w:rsidRDefault="00464ABA" w:rsidP="00464ABA">
            <w:pPr>
              <w:tabs>
                <w:tab w:val="right" w:pos="1202"/>
              </w:tabs>
              <w:suppressAutoHyphens/>
              <w:autoSpaceDN w:val="0"/>
              <w:jc w:val="right"/>
              <w:outlineLvl w:val="0"/>
              <w:rPr>
                <w:rFonts w:ascii="Arial" w:hAnsi="Arial" w:cs="Arial"/>
                <w:i/>
                <w:iCs/>
                <w:sz w:val="20"/>
                <w:szCs w:val="20"/>
              </w:rPr>
            </w:pPr>
            <w:r w:rsidRPr="001E373B">
              <w:rPr>
                <w:rFonts w:ascii="Arial" w:hAnsi="Arial" w:cs="Arial"/>
                <w:i/>
                <w:iCs/>
                <w:sz w:val="20"/>
                <w:szCs w:val="20"/>
              </w:rPr>
              <w:t xml:space="preserve"> 3.231 </w:t>
            </w:r>
          </w:p>
        </w:tc>
        <w:tc>
          <w:tcPr>
            <w:tcW w:w="495" w:type="pct"/>
            <w:tcBorders>
              <w:top w:val="nil"/>
              <w:left w:val="nil"/>
              <w:bottom w:val="nil"/>
              <w:right w:val="nil"/>
            </w:tcBorders>
            <w:shd w:val="clear" w:color="auto" w:fill="auto"/>
            <w:vAlign w:val="bottom"/>
          </w:tcPr>
          <w:p w14:paraId="5845980B" w14:textId="226F43DA" w:rsidR="00464ABA" w:rsidRPr="00F43653" w:rsidRDefault="00464ABA" w:rsidP="00464ABA">
            <w:pPr>
              <w:tabs>
                <w:tab w:val="right" w:pos="1202"/>
              </w:tabs>
              <w:suppressAutoHyphens/>
              <w:autoSpaceDN w:val="0"/>
              <w:jc w:val="right"/>
              <w:outlineLvl w:val="0"/>
              <w:rPr>
                <w:rFonts w:ascii="Arial" w:hAnsi="Arial" w:cs="Arial"/>
                <w:i/>
                <w:iCs/>
                <w:sz w:val="20"/>
                <w:szCs w:val="20"/>
              </w:rPr>
            </w:pPr>
            <w:r w:rsidRPr="00D86AF7">
              <w:rPr>
                <w:rFonts w:ascii="Arial" w:hAnsi="Arial" w:cs="Arial"/>
                <w:i/>
                <w:iCs/>
                <w:sz w:val="20"/>
                <w:szCs w:val="20"/>
              </w:rPr>
              <w:t xml:space="preserve"> 1.075 </w:t>
            </w:r>
          </w:p>
        </w:tc>
        <w:tc>
          <w:tcPr>
            <w:tcW w:w="495" w:type="pct"/>
            <w:tcBorders>
              <w:top w:val="nil"/>
              <w:left w:val="nil"/>
              <w:bottom w:val="nil"/>
              <w:right w:val="nil"/>
            </w:tcBorders>
            <w:shd w:val="clear" w:color="auto" w:fill="auto"/>
            <w:vAlign w:val="bottom"/>
          </w:tcPr>
          <w:p w14:paraId="00E6BC8F" w14:textId="61A1D691" w:rsidR="00464ABA" w:rsidRPr="00F43653" w:rsidRDefault="00464ABA" w:rsidP="00464ABA">
            <w:pPr>
              <w:tabs>
                <w:tab w:val="right" w:pos="1202"/>
              </w:tabs>
              <w:suppressAutoHyphens/>
              <w:autoSpaceDN w:val="0"/>
              <w:jc w:val="right"/>
              <w:outlineLvl w:val="0"/>
              <w:rPr>
                <w:rFonts w:ascii="Arial" w:hAnsi="Arial" w:cs="Arial"/>
                <w:i/>
                <w:iCs/>
                <w:sz w:val="20"/>
                <w:szCs w:val="20"/>
              </w:rPr>
            </w:pPr>
            <w:r w:rsidRPr="00D86AF7">
              <w:rPr>
                <w:rFonts w:ascii="Arial" w:hAnsi="Arial" w:cs="Arial"/>
                <w:i/>
                <w:iCs/>
                <w:sz w:val="20"/>
                <w:szCs w:val="20"/>
              </w:rPr>
              <w:t xml:space="preserve"> 3.440 </w:t>
            </w:r>
          </w:p>
        </w:tc>
        <w:tc>
          <w:tcPr>
            <w:tcW w:w="495" w:type="pct"/>
            <w:tcBorders>
              <w:top w:val="nil"/>
              <w:left w:val="nil"/>
              <w:bottom w:val="nil"/>
              <w:right w:val="nil"/>
            </w:tcBorders>
            <w:shd w:val="clear" w:color="auto" w:fill="auto"/>
            <w:vAlign w:val="bottom"/>
          </w:tcPr>
          <w:p w14:paraId="1CEEF586" w14:textId="3FF227EC" w:rsidR="00464ABA" w:rsidRPr="00BF7DE7" w:rsidRDefault="00464ABA" w:rsidP="00464ABA">
            <w:pPr>
              <w:tabs>
                <w:tab w:val="right" w:pos="1202"/>
              </w:tabs>
              <w:suppressAutoHyphens/>
              <w:autoSpaceDN w:val="0"/>
              <w:jc w:val="right"/>
              <w:outlineLvl w:val="0"/>
              <w:rPr>
                <w:rFonts w:ascii="Arial" w:hAnsi="Arial" w:cs="Arial"/>
                <w:i/>
                <w:iCs/>
                <w:sz w:val="20"/>
                <w:szCs w:val="20"/>
              </w:rPr>
            </w:pPr>
            <w:r w:rsidRPr="00BF7DE7">
              <w:rPr>
                <w:rFonts w:ascii="Arial" w:hAnsi="Arial" w:cs="Arial"/>
                <w:i/>
                <w:iCs/>
                <w:sz w:val="20"/>
                <w:szCs w:val="20"/>
              </w:rPr>
              <w:t>884</w:t>
            </w:r>
          </w:p>
        </w:tc>
        <w:tc>
          <w:tcPr>
            <w:tcW w:w="495" w:type="pct"/>
            <w:tcBorders>
              <w:top w:val="nil"/>
              <w:left w:val="nil"/>
              <w:bottom w:val="nil"/>
              <w:right w:val="nil"/>
            </w:tcBorders>
            <w:shd w:val="clear" w:color="auto" w:fill="auto"/>
            <w:vAlign w:val="bottom"/>
          </w:tcPr>
          <w:p w14:paraId="164DD23A" w14:textId="47F24C8B" w:rsidR="00464ABA" w:rsidRPr="00BF7DE7" w:rsidRDefault="00464ABA" w:rsidP="00464ABA">
            <w:pPr>
              <w:tabs>
                <w:tab w:val="right" w:pos="1202"/>
              </w:tabs>
              <w:suppressAutoHyphens/>
              <w:autoSpaceDN w:val="0"/>
              <w:jc w:val="right"/>
              <w:outlineLvl w:val="0"/>
              <w:rPr>
                <w:rFonts w:ascii="Arial" w:hAnsi="Arial" w:cs="Arial"/>
                <w:i/>
                <w:iCs/>
                <w:sz w:val="20"/>
                <w:szCs w:val="20"/>
              </w:rPr>
            </w:pPr>
            <w:r w:rsidRPr="00BF7DE7">
              <w:rPr>
                <w:rFonts w:ascii="Arial" w:hAnsi="Arial" w:cs="Arial"/>
                <w:i/>
                <w:iCs/>
                <w:sz w:val="20"/>
                <w:szCs w:val="20"/>
              </w:rPr>
              <w:t>2.963</w:t>
            </w:r>
          </w:p>
        </w:tc>
        <w:tc>
          <w:tcPr>
            <w:tcW w:w="495" w:type="pct"/>
            <w:tcBorders>
              <w:top w:val="nil"/>
              <w:left w:val="nil"/>
              <w:bottom w:val="nil"/>
              <w:right w:val="nil"/>
            </w:tcBorders>
            <w:shd w:val="clear" w:color="auto" w:fill="auto"/>
            <w:vAlign w:val="bottom"/>
          </w:tcPr>
          <w:p w14:paraId="4286A58E" w14:textId="5235B202" w:rsidR="00464ABA" w:rsidRPr="007478FB" w:rsidRDefault="00464ABA" w:rsidP="00464ABA">
            <w:pPr>
              <w:tabs>
                <w:tab w:val="right" w:pos="1202"/>
              </w:tabs>
              <w:suppressAutoHyphens/>
              <w:autoSpaceDN w:val="0"/>
              <w:jc w:val="right"/>
              <w:outlineLvl w:val="0"/>
              <w:rPr>
                <w:rFonts w:ascii="Arial" w:hAnsi="Arial" w:cs="Arial"/>
                <w:i/>
                <w:iCs/>
                <w:sz w:val="20"/>
                <w:szCs w:val="20"/>
              </w:rPr>
            </w:pPr>
            <w:r w:rsidRPr="0072101D">
              <w:rPr>
                <w:rFonts w:ascii="Arial" w:hAnsi="Arial" w:cs="Arial"/>
                <w:i/>
                <w:iCs/>
                <w:sz w:val="20"/>
                <w:szCs w:val="20"/>
              </w:rPr>
              <w:t xml:space="preserve"> 1.005 </w:t>
            </w:r>
          </w:p>
        </w:tc>
        <w:tc>
          <w:tcPr>
            <w:tcW w:w="493" w:type="pct"/>
            <w:tcBorders>
              <w:top w:val="nil"/>
              <w:left w:val="nil"/>
              <w:bottom w:val="nil"/>
              <w:right w:val="nil"/>
            </w:tcBorders>
            <w:shd w:val="clear" w:color="auto" w:fill="auto"/>
            <w:vAlign w:val="bottom"/>
          </w:tcPr>
          <w:p w14:paraId="428A120D" w14:textId="615999C2" w:rsidR="00464ABA" w:rsidRPr="007478FB" w:rsidRDefault="00464ABA" w:rsidP="00464ABA">
            <w:pPr>
              <w:tabs>
                <w:tab w:val="right" w:pos="1202"/>
              </w:tabs>
              <w:suppressAutoHyphens/>
              <w:autoSpaceDN w:val="0"/>
              <w:jc w:val="right"/>
              <w:outlineLvl w:val="0"/>
              <w:rPr>
                <w:rFonts w:ascii="Arial" w:hAnsi="Arial" w:cs="Arial"/>
                <w:i/>
                <w:iCs/>
                <w:sz w:val="20"/>
                <w:szCs w:val="20"/>
              </w:rPr>
            </w:pPr>
            <w:r w:rsidRPr="0072101D">
              <w:rPr>
                <w:rFonts w:ascii="Arial" w:hAnsi="Arial" w:cs="Arial"/>
                <w:i/>
                <w:iCs/>
                <w:sz w:val="20"/>
                <w:szCs w:val="20"/>
              </w:rPr>
              <w:t xml:space="preserve"> 3.222 </w:t>
            </w:r>
          </w:p>
        </w:tc>
      </w:tr>
      <w:tr w:rsidR="00464ABA" w:rsidRPr="00627B08" w14:paraId="1F24F2BC" w14:textId="77777777" w:rsidTr="00464ABA">
        <w:tblPrEx>
          <w:tblCellMar>
            <w:left w:w="122" w:type="dxa"/>
            <w:right w:w="122" w:type="dxa"/>
          </w:tblCellMar>
        </w:tblPrEx>
        <w:trPr>
          <w:trHeight w:val="20"/>
        </w:trPr>
        <w:tc>
          <w:tcPr>
            <w:tcW w:w="1042" w:type="pct"/>
            <w:vAlign w:val="bottom"/>
          </w:tcPr>
          <w:p w14:paraId="3CCA6C01" w14:textId="77777777" w:rsidR="00464ABA" w:rsidRPr="00F43653" w:rsidRDefault="00464ABA" w:rsidP="00464ABA">
            <w:pPr>
              <w:tabs>
                <w:tab w:val="right" w:pos="1202"/>
              </w:tabs>
              <w:suppressAutoHyphens/>
              <w:autoSpaceDN w:val="0"/>
              <w:spacing w:line="301" w:lineRule="exact"/>
              <w:outlineLvl w:val="0"/>
              <w:rPr>
                <w:rFonts w:ascii="Arial" w:eastAsia="Times New Roman" w:hAnsi="Arial" w:cs="Arial"/>
                <w:i/>
                <w:color w:val="000000" w:themeColor="text1"/>
                <w:sz w:val="20"/>
                <w:szCs w:val="20"/>
              </w:rPr>
            </w:pPr>
            <w:bookmarkStart w:id="294" w:name="_Toc67327672"/>
            <w:r w:rsidRPr="00F43653">
              <w:rPr>
                <w:rFonts w:ascii="Arial" w:eastAsia="Times New Roman" w:hAnsi="Arial" w:cs="Arial"/>
                <w:i/>
                <w:color w:val="000000" w:themeColor="text1"/>
                <w:sz w:val="20"/>
                <w:szCs w:val="20"/>
              </w:rPr>
              <w:t>Ostali rashodi</w:t>
            </w:r>
            <w:bookmarkEnd w:id="294"/>
          </w:p>
        </w:tc>
        <w:tc>
          <w:tcPr>
            <w:tcW w:w="495" w:type="pct"/>
            <w:tcBorders>
              <w:top w:val="nil"/>
              <w:left w:val="nil"/>
              <w:bottom w:val="nil"/>
              <w:right w:val="nil"/>
            </w:tcBorders>
            <w:shd w:val="clear" w:color="auto" w:fill="auto"/>
            <w:vAlign w:val="bottom"/>
          </w:tcPr>
          <w:p w14:paraId="5AB1F102" w14:textId="5A9B1E14" w:rsidR="00464ABA" w:rsidRPr="001E373B" w:rsidRDefault="00464ABA" w:rsidP="00464ABA">
            <w:pPr>
              <w:tabs>
                <w:tab w:val="right" w:pos="1202"/>
              </w:tabs>
              <w:suppressAutoHyphens/>
              <w:autoSpaceDN w:val="0"/>
              <w:jc w:val="right"/>
              <w:outlineLvl w:val="0"/>
              <w:rPr>
                <w:rFonts w:ascii="Arial" w:hAnsi="Arial" w:cs="Arial"/>
                <w:i/>
                <w:iCs/>
                <w:sz w:val="20"/>
                <w:szCs w:val="20"/>
              </w:rPr>
            </w:pPr>
            <w:r w:rsidRPr="001E373B">
              <w:rPr>
                <w:rFonts w:ascii="Arial" w:hAnsi="Arial" w:cs="Arial"/>
                <w:i/>
                <w:iCs/>
                <w:sz w:val="20"/>
                <w:szCs w:val="20"/>
              </w:rPr>
              <w:t xml:space="preserve"> 517 </w:t>
            </w:r>
          </w:p>
        </w:tc>
        <w:tc>
          <w:tcPr>
            <w:tcW w:w="495" w:type="pct"/>
            <w:tcBorders>
              <w:top w:val="nil"/>
              <w:left w:val="nil"/>
              <w:bottom w:val="nil"/>
              <w:right w:val="nil"/>
            </w:tcBorders>
            <w:shd w:val="clear" w:color="auto" w:fill="auto"/>
            <w:vAlign w:val="bottom"/>
          </w:tcPr>
          <w:p w14:paraId="7777CB0D" w14:textId="0BDDDBE1" w:rsidR="00464ABA" w:rsidRPr="001E373B" w:rsidRDefault="00464ABA" w:rsidP="00464ABA">
            <w:pPr>
              <w:tabs>
                <w:tab w:val="right" w:pos="1202"/>
              </w:tabs>
              <w:suppressAutoHyphens/>
              <w:autoSpaceDN w:val="0"/>
              <w:jc w:val="right"/>
              <w:outlineLvl w:val="0"/>
              <w:rPr>
                <w:rFonts w:ascii="Arial" w:hAnsi="Arial" w:cs="Arial"/>
                <w:i/>
                <w:iCs/>
                <w:sz w:val="20"/>
                <w:szCs w:val="20"/>
              </w:rPr>
            </w:pPr>
            <w:r w:rsidRPr="001E373B">
              <w:rPr>
                <w:rFonts w:ascii="Arial" w:hAnsi="Arial" w:cs="Arial"/>
                <w:i/>
                <w:iCs/>
                <w:sz w:val="20"/>
                <w:szCs w:val="20"/>
              </w:rPr>
              <w:t xml:space="preserve"> 1.958 </w:t>
            </w:r>
          </w:p>
        </w:tc>
        <w:tc>
          <w:tcPr>
            <w:tcW w:w="495" w:type="pct"/>
            <w:tcBorders>
              <w:top w:val="nil"/>
              <w:left w:val="nil"/>
              <w:bottom w:val="nil"/>
              <w:right w:val="nil"/>
            </w:tcBorders>
            <w:shd w:val="clear" w:color="auto" w:fill="auto"/>
            <w:vAlign w:val="bottom"/>
          </w:tcPr>
          <w:p w14:paraId="49B5BAD7" w14:textId="6A8B6C03" w:rsidR="00464ABA" w:rsidRPr="00F43653" w:rsidRDefault="00464ABA" w:rsidP="00464ABA">
            <w:pPr>
              <w:tabs>
                <w:tab w:val="right" w:pos="1202"/>
              </w:tabs>
              <w:suppressAutoHyphens/>
              <w:autoSpaceDN w:val="0"/>
              <w:jc w:val="right"/>
              <w:outlineLvl w:val="0"/>
              <w:rPr>
                <w:rFonts w:ascii="Arial" w:hAnsi="Arial" w:cs="Arial"/>
                <w:i/>
                <w:iCs/>
                <w:sz w:val="20"/>
                <w:szCs w:val="20"/>
              </w:rPr>
            </w:pPr>
            <w:r w:rsidRPr="00D86AF7">
              <w:rPr>
                <w:rFonts w:ascii="Arial" w:hAnsi="Arial" w:cs="Arial"/>
                <w:i/>
                <w:iCs/>
                <w:sz w:val="20"/>
                <w:szCs w:val="20"/>
              </w:rPr>
              <w:t xml:space="preserve"> 490 </w:t>
            </w:r>
          </w:p>
        </w:tc>
        <w:tc>
          <w:tcPr>
            <w:tcW w:w="495" w:type="pct"/>
            <w:tcBorders>
              <w:top w:val="nil"/>
              <w:left w:val="nil"/>
              <w:bottom w:val="nil"/>
              <w:right w:val="nil"/>
            </w:tcBorders>
            <w:shd w:val="clear" w:color="auto" w:fill="auto"/>
            <w:vAlign w:val="bottom"/>
          </w:tcPr>
          <w:p w14:paraId="5BCDB387" w14:textId="1715AF5F" w:rsidR="00464ABA" w:rsidRPr="00F43653" w:rsidRDefault="00464ABA" w:rsidP="00464ABA">
            <w:pPr>
              <w:tabs>
                <w:tab w:val="right" w:pos="1202"/>
              </w:tabs>
              <w:suppressAutoHyphens/>
              <w:autoSpaceDN w:val="0"/>
              <w:jc w:val="right"/>
              <w:outlineLvl w:val="0"/>
              <w:rPr>
                <w:rFonts w:ascii="Arial" w:hAnsi="Arial" w:cs="Arial"/>
                <w:i/>
                <w:iCs/>
                <w:sz w:val="20"/>
                <w:szCs w:val="20"/>
              </w:rPr>
            </w:pPr>
            <w:r w:rsidRPr="00D86AF7">
              <w:rPr>
                <w:rFonts w:ascii="Arial" w:hAnsi="Arial" w:cs="Arial"/>
                <w:i/>
                <w:iCs/>
                <w:sz w:val="20"/>
                <w:szCs w:val="20"/>
              </w:rPr>
              <w:t xml:space="preserve"> 1.755 </w:t>
            </w:r>
          </w:p>
        </w:tc>
        <w:tc>
          <w:tcPr>
            <w:tcW w:w="495" w:type="pct"/>
            <w:tcBorders>
              <w:top w:val="nil"/>
              <w:left w:val="nil"/>
              <w:bottom w:val="nil"/>
              <w:right w:val="nil"/>
            </w:tcBorders>
            <w:shd w:val="clear" w:color="auto" w:fill="auto"/>
            <w:vAlign w:val="bottom"/>
          </w:tcPr>
          <w:p w14:paraId="3C9E2EB7" w14:textId="05CA5B4A" w:rsidR="00464ABA" w:rsidRPr="000D793D" w:rsidRDefault="00464ABA" w:rsidP="00464ABA">
            <w:pPr>
              <w:tabs>
                <w:tab w:val="right" w:pos="1202"/>
              </w:tabs>
              <w:suppressAutoHyphens/>
              <w:autoSpaceDN w:val="0"/>
              <w:jc w:val="right"/>
              <w:outlineLvl w:val="0"/>
              <w:rPr>
                <w:rFonts w:ascii="Arial" w:hAnsi="Arial" w:cs="Arial"/>
                <w:i/>
                <w:iCs/>
                <w:sz w:val="20"/>
                <w:szCs w:val="20"/>
              </w:rPr>
            </w:pPr>
            <w:r w:rsidRPr="000D793D">
              <w:rPr>
                <w:rFonts w:ascii="Arial" w:hAnsi="Arial" w:cs="Arial"/>
                <w:i/>
                <w:iCs/>
                <w:sz w:val="20"/>
                <w:szCs w:val="20"/>
              </w:rPr>
              <w:t>151</w:t>
            </w:r>
          </w:p>
        </w:tc>
        <w:tc>
          <w:tcPr>
            <w:tcW w:w="495" w:type="pct"/>
            <w:tcBorders>
              <w:top w:val="nil"/>
              <w:left w:val="nil"/>
              <w:bottom w:val="nil"/>
              <w:right w:val="nil"/>
            </w:tcBorders>
            <w:shd w:val="clear" w:color="auto" w:fill="auto"/>
            <w:vAlign w:val="bottom"/>
          </w:tcPr>
          <w:p w14:paraId="1B72FFD8" w14:textId="3F1CD743" w:rsidR="00464ABA" w:rsidRPr="000D793D" w:rsidRDefault="00464ABA" w:rsidP="00464ABA">
            <w:pPr>
              <w:tabs>
                <w:tab w:val="right" w:pos="1202"/>
              </w:tabs>
              <w:suppressAutoHyphens/>
              <w:autoSpaceDN w:val="0"/>
              <w:jc w:val="right"/>
              <w:outlineLvl w:val="0"/>
              <w:rPr>
                <w:rFonts w:ascii="Arial" w:hAnsi="Arial" w:cs="Arial"/>
                <w:i/>
                <w:iCs/>
                <w:sz w:val="20"/>
                <w:szCs w:val="20"/>
              </w:rPr>
            </w:pPr>
            <w:r w:rsidRPr="000D793D">
              <w:rPr>
                <w:rFonts w:ascii="Arial" w:hAnsi="Arial" w:cs="Arial"/>
                <w:i/>
                <w:iCs/>
                <w:sz w:val="20"/>
                <w:szCs w:val="20"/>
              </w:rPr>
              <w:t>712</w:t>
            </w:r>
          </w:p>
        </w:tc>
        <w:tc>
          <w:tcPr>
            <w:tcW w:w="495" w:type="pct"/>
            <w:tcBorders>
              <w:top w:val="nil"/>
              <w:left w:val="nil"/>
              <w:bottom w:val="nil"/>
              <w:right w:val="nil"/>
            </w:tcBorders>
            <w:shd w:val="clear" w:color="auto" w:fill="auto"/>
            <w:vAlign w:val="bottom"/>
          </w:tcPr>
          <w:p w14:paraId="25CDC162" w14:textId="73839A3A" w:rsidR="00464ABA" w:rsidRPr="007478FB" w:rsidRDefault="00464ABA" w:rsidP="00464ABA">
            <w:pPr>
              <w:tabs>
                <w:tab w:val="right" w:pos="1202"/>
              </w:tabs>
              <w:suppressAutoHyphens/>
              <w:autoSpaceDN w:val="0"/>
              <w:jc w:val="right"/>
              <w:outlineLvl w:val="0"/>
              <w:rPr>
                <w:rFonts w:ascii="Arial" w:hAnsi="Arial" w:cs="Arial"/>
                <w:i/>
                <w:iCs/>
                <w:sz w:val="20"/>
                <w:szCs w:val="20"/>
              </w:rPr>
            </w:pPr>
            <w:r w:rsidRPr="0072101D">
              <w:rPr>
                <w:rFonts w:ascii="Arial" w:hAnsi="Arial" w:cs="Arial"/>
                <w:i/>
                <w:iCs/>
                <w:sz w:val="20"/>
                <w:szCs w:val="20"/>
              </w:rPr>
              <w:t xml:space="preserve"> 53 </w:t>
            </w:r>
          </w:p>
        </w:tc>
        <w:tc>
          <w:tcPr>
            <w:tcW w:w="493" w:type="pct"/>
            <w:tcBorders>
              <w:top w:val="nil"/>
              <w:left w:val="nil"/>
              <w:bottom w:val="nil"/>
              <w:right w:val="nil"/>
            </w:tcBorders>
            <w:shd w:val="clear" w:color="auto" w:fill="auto"/>
            <w:vAlign w:val="bottom"/>
          </w:tcPr>
          <w:p w14:paraId="6180A41E" w14:textId="68DD61DA" w:rsidR="00464ABA" w:rsidRPr="007478FB" w:rsidRDefault="00464ABA" w:rsidP="00464ABA">
            <w:pPr>
              <w:tabs>
                <w:tab w:val="right" w:pos="1202"/>
              </w:tabs>
              <w:suppressAutoHyphens/>
              <w:autoSpaceDN w:val="0"/>
              <w:jc w:val="right"/>
              <w:outlineLvl w:val="0"/>
              <w:rPr>
                <w:rFonts w:ascii="Arial" w:hAnsi="Arial" w:cs="Arial"/>
                <w:i/>
                <w:iCs/>
                <w:sz w:val="20"/>
                <w:szCs w:val="20"/>
              </w:rPr>
            </w:pPr>
            <w:r w:rsidRPr="0072101D">
              <w:rPr>
                <w:rFonts w:ascii="Arial" w:hAnsi="Arial" w:cs="Arial"/>
                <w:i/>
                <w:iCs/>
                <w:sz w:val="20"/>
                <w:szCs w:val="20"/>
              </w:rPr>
              <w:t xml:space="preserve"> 571 </w:t>
            </w:r>
          </w:p>
        </w:tc>
      </w:tr>
      <w:tr w:rsidR="00464ABA" w:rsidRPr="00627B08" w14:paraId="4774C30F" w14:textId="77777777" w:rsidTr="00464ABA">
        <w:tblPrEx>
          <w:tblCellMar>
            <w:left w:w="122" w:type="dxa"/>
            <w:right w:w="122" w:type="dxa"/>
          </w:tblCellMar>
        </w:tblPrEx>
        <w:trPr>
          <w:trHeight w:val="20"/>
        </w:trPr>
        <w:tc>
          <w:tcPr>
            <w:tcW w:w="1042" w:type="pct"/>
            <w:vAlign w:val="bottom"/>
          </w:tcPr>
          <w:p w14:paraId="6780D5FC" w14:textId="77777777" w:rsidR="00464ABA" w:rsidRPr="00F43653" w:rsidRDefault="00464ABA" w:rsidP="00464ABA">
            <w:pPr>
              <w:tabs>
                <w:tab w:val="right" w:pos="1202"/>
              </w:tabs>
              <w:suppressAutoHyphens/>
              <w:autoSpaceDN w:val="0"/>
              <w:spacing w:line="301" w:lineRule="exact"/>
              <w:outlineLvl w:val="0"/>
              <w:rPr>
                <w:rFonts w:ascii="Arial" w:eastAsia="Times New Roman" w:hAnsi="Arial" w:cs="Arial"/>
                <w:color w:val="000000" w:themeColor="text1"/>
                <w:sz w:val="20"/>
                <w:szCs w:val="20"/>
              </w:rPr>
            </w:pPr>
          </w:p>
        </w:tc>
        <w:tc>
          <w:tcPr>
            <w:tcW w:w="495" w:type="pct"/>
            <w:tcBorders>
              <w:top w:val="single" w:sz="4" w:space="0" w:color="auto"/>
              <w:left w:val="nil"/>
              <w:bottom w:val="single" w:sz="12" w:space="0" w:color="auto"/>
              <w:right w:val="nil"/>
            </w:tcBorders>
            <w:shd w:val="clear" w:color="auto" w:fill="auto"/>
            <w:vAlign w:val="bottom"/>
          </w:tcPr>
          <w:p w14:paraId="6117F923" w14:textId="59490ED1" w:rsidR="00464ABA" w:rsidRPr="00464ABA" w:rsidRDefault="00464ABA" w:rsidP="00464ABA">
            <w:pPr>
              <w:tabs>
                <w:tab w:val="right" w:pos="1202"/>
              </w:tabs>
              <w:suppressAutoHyphens/>
              <w:autoSpaceDN w:val="0"/>
              <w:spacing w:line="301" w:lineRule="exact"/>
              <w:jc w:val="right"/>
              <w:outlineLvl w:val="0"/>
              <w:rPr>
                <w:rFonts w:ascii="Arial" w:hAnsi="Arial" w:cs="Arial"/>
                <w:b/>
                <w:bCs/>
                <w:sz w:val="20"/>
                <w:szCs w:val="20"/>
              </w:rPr>
            </w:pPr>
            <w:r w:rsidRPr="00464ABA">
              <w:rPr>
                <w:rFonts w:ascii="Arial" w:hAnsi="Arial" w:cs="Arial"/>
                <w:b/>
                <w:bCs/>
                <w:sz w:val="20"/>
                <w:szCs w:val="20"/>
              </w:rPr>
              <w:t xml:space="preserve"> 7.040 </w:t>
            </w:r>
          </w:p>
        </w:tc>
        <w:tc>
          <w:tcPr>
            <w:tcW w:w="495" w:type="pct"/>
            <w:tcBorders>
              <w:top w:val="single" w:sz="4" w:space="0" w:color="auto"/>
              <w:left w:val="nil"/>
              <w:bottom w:val="single" w:sz="12" w:space="0" w:color="auto"/>
              <w:right w:val="nil"/>
            </w:tcBorders>
            <w:shd w:val="clear" w:color="auto" w:fill="auto"/>
            <w:vAlign w:val="bottom"/>
          </w:tcPr>
          <w:p w14:paraId="6FBDA993" w14:textId="62CA5E16" w:rsidR="00464ABA" w:rsidRPr="00464ABA" w:rsidRDefault="00464ABA" w:rsidP="00464ABA">
            <w:pPr>
              <w:tabs>
                <w:tab w:val="right" w:pos="1202"/>
              </w:tabs>
              <w:suppressAutoHyphens/>
              <w:autoSpaceDN w:val="0"/>
              <w:spacing w:line="301" w:lineRule="exact"/>
              <w:jc w:val="right"/>
              <w:outlineLvl w:val="0"/>
              <w:rPr>
                <w:rFonts w:ascii="Arial" w:hAnsi="Arial" w:cs="Arial"/>
                <w:b/>
                <w:bCs/>
                <w:sz w:val="20"/>
                <w:szCs w:val="20"/>
              </w:rPr>
            </w:pPr>
            <w:r w:rsidRPr="00464ABA">
              <w:rPr>
                <w:rFonts w:ascii="Arial" w:hAnsi="Arial" w:cs="Arial"/>
                <w:b/>
                <w:bCs/>
                <w:sz w:val="20"/>
                <w:szCs w:val="20"/>
              </w:rPr>
              <w:t xml:space="preserve"> 22.380 </w:t>
            </w:r>
          </w:p>
        </w:tc>
        <w:tc>
          <w:tcPr>
            <w:tcW w:w="495" w:type="pct"/>
            <w:tcBorders>
              <w:top w:val="single" w:sz="4" w:space="0" w:color="auto"/>
              <w:left w:val="nil"/>
              <w:bottom w:val="single" w:sz="12" w:space="0" w:color="auto"/>
              <w:right w:val="nil"/>
            </w:tcBorders>
            <w:shd w:val="clear" w:color="auto" w:fill="auto"/>
            <w:vAlign w:val="bottom"/>
          </w:tcPr>
          <w:p w14:paraId="5A1F61E3" w14:textId="279AC1FB" w:rsidR="00464ABA" w:rsidRPr="00F43653" w:rsidRDefault="00464ABA" w:rsidP="00464ABA">
            <w:pPr>
              <w:tabs>
                <w:tab w:val="right" w:pos="1202"/>
              </w:tabs>
              <w:suppressAutoHyphens/>
              <w:autoSpaceDN w:val="0"/>
              <w:spacing w:line="301" w:lineRule="exact"/>
              <w:jc w:val="right"/>
              <w:outlineLvl w:val="0"/>
              <w:rPr>
                <w:rFonts w:ascii="Arial" w:hAnsi="Arial" w:cs="Arial"/>
                <w:b/>
                <w:bCs/>
                <w:sz w:val="20"/>
                <w:szCs w:val="20"/>
              </w:rPr>
            </w:pPr>
            <w:r w:rsidRPr="00D86AF7">
              <w:rPr>
                <w:rFonts w:ascii="Arial" w:hAnsi="Arial" w:cs="Arial"/>
                <w:b/>
                <w:bCs/>
                <w:sz w:val="20"/>
                <w:szCs w:val="20"/>
              </w:rPr>
              <w:t xml:space="preserve"> 6.255 </w:t>
            </w:r>
          </w:p>
        </w:tc>
        <w:tc>
          <w:tcPr>
            <w:tcW w:w="495" w:type="pct"/>
            <w:tcBorders>
              <w:top w:val="single" w:sz="4" w:space="0" w:color="auto"/>
              <w:left w:val="nil"/>
              <w:bottom w:val="single" w:sz="12" w:space="0" w:color="auto"/>
              <w:right w:val="nil"/>
            </w:tcBorders>
            <w:shd w:val="clear" w:color="auto" w:fill="auto"/>
            <w:vAlign w:val="bottom"/>
          </w:tcPr>
          <w:p w14:paraId="00FB3A7A" w14:textId="51B81F9A" w:rsidR="00464ABA" w:rsidRPr="00F43653" w:rsidRDefault="00464ABA" w:rsidP="00464ABA">
            <w:pPr>
              <w:tabs>
                <w:tab w:val="right" w:pos="1202"/>
              </w:tabs>
              <w:suppressAutoHyphens/>
              <w:autoSpaceDN w:val="0"/>
              <w:spacing w:line="301" w:lineRule="exact"/>
              <w:jc w:val="right"/>
              <w:outlineLvl w:val="0"/>
              <w:rPr>
                <w:rFonts w:ascii="Arial" w:hAnsi="Arial" w:cs="Arial"/>
                <w:b/>
                <w:bCs/>
                <w:sz w:val="20"/>
                <w:szCs w:val="20"/>
              </w:rPr>
            </w:pPr>
            <w:r w:rsidRPr="00D86AF7">
              <w:rPr>
                <w:rFonts w:ascii="Arial" w:hAnsi="Arial" w:cs="Arial"/>
                <w:b/>
                <w:bCs/>
                <w:sz w:val="20"/>
                <w:szCs w:val="20"/>
              </w:rPr>
              <w:t xml:space="preserve"> 19.474 </w:t>
            </w:r>
          </w:p>
        </w:tc>
        <w:tc>
          <w:tcPr>
            <w:tcW w:w="495" w:type="pct"/>
            <w:tcBorders>
              <w:top w:val="single" w:sz="4" w:space="0" w:color="auto"/>
              <w:left w:val="nil"/>
              <w:bottom w:val="single" w:sz="12" w:space="0" w:color="auto"/>
              <w:right w:val="nil"/>
            </w:tcBorders>
            <w:shd w:val="clear" w:color="auto" w:fill="auto"/>
            <w:vAlign w:val="bottom"/>
          </w:tcPr>
          <w:p w14:paraId="549E0D85" w14:textId="507AF3B7" w:rsidR="00464ABA" w:rsidRPr="00B2675F" w:rsidRDefault="00464ABA" w:rsidP="00464ABA">
            <w:pPr>
              <w:tabs>
                <w:tab w:val="right" w:pos="1202"/>
              </w:tabs>
              <w:suppressAutoHyphens/>
              <w:autoSpaceDN w:val="0"/>
              <w:spacing w:line="301" w:lineRule="exact"/>
              <w:jc w:val="right"/>
              <w:outlineLvl w:val="0"/>
              <w:rPr>
                <w:rFonts w:ascii="Arial" w:hAnsi="Arial" w:cs="Arial"/>
                <w:b/>
                <w:bCs/>
                <w:sz w:val="20"/>
                <w:szCs w:val="20"/>
              </w:rPr>
            </w:pPr>
            <w:r w:rsidRPr="00B2675F">
              <w:rPr>
                <w:rFonts w:ascii="Arial" w:hAnsi="Arial" w:cs="Arial"/>
                <w:b/>
                <w:bCs/>
                <w:sz w:val="20"/>
                <w:szCs w:val="20"/>
              </w:rPr>
              <w:t>6.406</w:t>
            </w:r>
          </w:p>
        </w:tc>
        <w:tc>
          <w:tcPr>
            <w:tcW w:w="495" w:type="pct"/>
            <w:tcBorders>
              <w:top w:val="single" w:sz="4" w:space="0" w:color="auto"/>
              <w:left w:val="nil"/>
              <w:bottom w:val="single" w:sz="12" w:space="0" w:color="auto"/>
              <w:right w:val="nil"/>
            </w:tcBorders>
            <w:shd w:val="clear" w:color="auto" w:fill="auto"/>
            <w:vAlign w:val="bottom"/>
          </w:tcPr>
          <w:p w14:paraId="4E799383" w14:textId="17E48D2C" w:rsidR="00464ABA" w:rsidRPr="00B2675F" w:rsidRDefault="00464ABA" w:rsidP="00464ABA">
            <w:pPr>
              <w:tabs>
                <w:tab w:val="right" w:pos="1202"/>
              </w:tabs>
              <w:suppressAutoHyphens/>
              <w:autoSpaceDN w:val="0"/>
              <w:spacing w:line="301" w:lineRule="exact"/>
              <w:jc w:val="right"/>
              <w:outlineLvl w:val="0"/>
              <w:rPr>
                <w:rFonts w:ascii="Arial" w:hAnsi="Arial" w:cs="Arial"/>
                <w:b/>
                <w:bCs/>
                <w:sz w:val="20"/>
                <w:szCs w:val="20"/>
              </w:rPr>
            </w:pPr>
            <w:r w:rsidRPr="00B2675F">
              <w:rPr>
                <w:rFonts w:ascii="Arial" w:hAnsi="Arial" w:cs="Arial"/>
                <w:b/>
                <w:bCs/>
                <w:sz w:val="20"/>
                <w:szCs w:val="20"/>
              </w:rPr>
              <w:t>20.303</w:t>
            </w:r>
          </w:p>
        </w:tc>
        <w:tc>
          <w:tcPr>
            <w:tcW w:w="495" w:type="pct"/>
            <w:tcBorders>
              <w:top w:val="single" w:sz="4" w:space="0" w:color="auto"/>
              <w:left w:val="nil"/>
              <w:bottom w:val="single" w:sz="12" w:space="0" w:color="auto"/>
              <w:right w:val="nil"/>
            </w:tcBorders>
            <w:shd w:val="clear" w:color="auto" w:fill="auto"/>
            <w:vAlign w:val="bottom"/>
          </w:tcPr>
          <w:p w14:paraId="291CED85" w14:textId="62AC7A77" w:rsidR="00464ABA" w:rsidRPr="007478FB" w:rsidRDefault="00464ABA" w:rsidP="00464ABA">
            <w:pPr>
              <w:tabs>
                <w:tab w:val="right" w:pos="1202"/>
              </w:tabs>
              <w:suppressAutoHyphens/>
              <w:autoSpaceDN w:val="0"/>
              <w:spacing w:line="301" w:lineRule="exact"/>
              <w:jc w:val="right"/>
              <w:outlineLvl w:val="0"/>
              <w:rPr>
                <w:rFonts w:ascii="Arial" w:hAnsi="Arial" w:cs="Arial"/>
                <w:b/>
                <w:bCs/>
                <w:sz w:val="20"/>
                <w:szCs w:val="20"/>
              </w:rPr>
            </w:pPr>
            <w:r w:rsidRPr="0072101D">
              <w:rPr>
                <w:rFonts w:ascii="Arial" w:hAnsi="Arial" w:cs="Arial"/>
                <w:b/>
                <w:bCs/>
                <w:sz w:val="20"/>
                <w:szCs w:val="20"/>
              </w:rPr>
              <w:t xml:space="preserve"> 5.564 </w:t>
            </w:r>
          </w:p>
        </w:tc>
        <w:tc>
          <w:tcPr>
            <w:tcW w:w="493" w:type="pct"/>
            <w:tcBorders>
              <w:top w:val="single" w:sz="4" w:space="0" w:color="auto"/>
              <w:left w:val="nil"/>
              <w:bottom w:val="single" w:sz="12" w:space="0" w:color="auto"/>
              <w:right w:val="nil"/>
            </w:tcBorders>
            <w:shd w:val="clear" w:color="auto" w:fill="auto"/>
            <w:vAlign w:val="bottom"/>
          </w:tcPr>
          <w:p w14:paraId="55D0D47E" w14:textId="5A536E33" w:rsidR="00464ABA" w:rsidRPr="007478FB" w:rsidRDefault="00464ABA" w:rsidP="00464ABA">
            <w:pPr>
              <w:tabs>
                <w:tab w:val="right" w:pos="1202"/>
              </w:tabs>
              <w:suppressAutoHyphens/>
              <w:autoSpaceDN w:val="0"/>
              <w:spacing w:line="301" w:lineRule="exact"/>
              <w:jc w:val="right"/>
              <w:outlineLvl w:val="0"/>
              <w:rPr>
                <w:rFonts w:ascii="Arial" w:hAnsi="Arial" w:cs="Arial"/>
                <w:b/>
                <w:bCs/>
                <w:sz w:val="20"/>
                <w:szCs w:val="20"/>
              </w:rPr>
            </w:pPr>
            <w:r w:rsidRPr="0072101D">
              <w:rPr>
                <w:rFonts w:ascii="Arial" w:hAnsi="Arial" w:cs="Arial"/>
                <w:b/>
                <w:bCs/>
                <w:sz w:val="20"/>
                <w:szCs w:val="20"/>
              </w:rPr>
              <w:t xml:space="preserve"> 17.550 </w:t>
            </w:r>
          </w:p>
        </w:tc>
      </w:tr>
      <w:bookmarkEnd w:id="285"/>
      <w:bookmarkEnd w:id="287"/>
    </w:tbl>
    <w:p w14:paraId="656BF5C2" w14:textId="77777777" w:rsidR="00843998" w:rsidRPr="003D1614" w:rsidRDefault="00843998" w:rsidP="00843998">
      <w:pPr>
        <w:suppressAutoHyphens/>
        <w:autoSpaceDN w:val="0"/>
        <w:rPr>
          <w:rFonts w:ascii="Arial" w:eastAsia="Times New Roman" w:hAnsi="Arial" w:cs="Arial"/>
          <w:color w:val="000000" w:themeColor="text1"/>
          <w:sz w:val="20"/>
          <w:szCs w:val="20"/>
        </w:rPr>
      </w:pPr>
    </w:p>
    <w:p w14:paraId="74F5D022" w14:textId="77777777" w:rsidR="00843998" w:rsidRPr="003D1614" w:rsidRDefault="00843998" w:rsidP="00843998">
      <w:pPr>
        <w:suppressAutoHyphens/>
        <w:autoSpaceDN w:val="0"/>
        <w:rPr>
          <w:rFonts w:ascii="Arial" w:eastAsia="Times New Roman" w:hAnsi="Arial" w:cs="Arial"/>
          <w:color w:val="000000" w:themeColor="text1"/>
          <w:sz w:val="20"/>
          <w:szCs w:val="20"/>
        </w:rPr>
      </w:pPr>
    </w:p>
    <w:bookmarkEnd w:id="286"/>
    <w:p w14:paraId="03732F8A" w14:textId="77777777" w:rsidR="00707B91" w:rsidRPr="003D1614" w:rsidRDefault="00707B91" w:rsidP="00843998">
      <w:pPr>
        <w:suppressAutoHyphens/>
        <w:autoSpaceDN w:val="0"/>
        <w:jc w:val="both"/>
        <w:rPr>
          <w:rFonts w:ascii="Arial" w:eastAsia="Times New Roman" w:hAnsi="Arial" w:cs="Arial"/>
          <w:bCs/>
          <w:iCs/>
          <w:color w:val="000000" w:themeColor="text1"/>
          <w:sz w:val="20"/>
          <w:szCs w:val="20"/>
        </w:rPr>
      </w:pPr>
    </w:p>
    <w:p w14:paraId="3A79FA18" w14:textId="77777777" w:rsidR="00707B91" w:rsidRPr="003D1614" w:rsidRDefault="00707B91" w:rsidP="00843998">
      <w:pPr>
        <w:suppressAutoHyphens/>
        <w:autoSpaceDN w:val="0"/>
        <w:jc w:val="both"/>
        <w:rPr>
          <w:rFonts w:ascii="Arial" w:eastAsia="Times New Roman" w:hAnsi="Arial" w:cs="Arial"/>
          <w:bCs/>
          <w:iCs/>
          <w:color w:val="000000" w:themeColor="text1"/>
          <w:sz w:val="20"/>
          <w:szCs w:val="20"/>
        </w:rPr>
      </w:pPr>
    </w:p>
    <w:p w14:paraId="4B6BECD2" w14:textId="77777777" w:rsidR="00707B91" w:rsidRPr="003D1614" w:rsidRDefault="00707B91" w:rsidP="00EA0684">
      <w:pPr>
        <w:rPr>
          <w:rFonts w:ascii="Arial" w:eastAsia="Times New Roman" w:hAnsi="Arial" w:cs="Arial"/>
          <w:sz w:val="20"/>
          <w:szCs w:val="20"/>
        </w:rPr>
        <w:sectPr w:rsidR="00707B91" w:rsidRPr="003D1614" w:rsidSect="007478FB">
          <w:pgSz w:w="16838" w:h="11906" w:orient="landscape"/>
          <w:pgMar w:top="1417" w:right="1417" w:bottom="1417" w:left="1417" w:header="708" w:footer="708" w:gutter="0"/>
          <w:cols w:space="708"/>
          <w:docGrid w:linePitch="360"/>
        </w:sectPr>
      </w:pPr>
    </w:p>
    <w:p w14:paraId="6B17A325" w14:textId="06691028" w:rsidR="00843998" w:rsidRPr="003D1614" w:rsidRDefault="00843998" w:rsidP="00EA0684">
      <w:pPr>
        <w:rPr>
          <w:rFonts w:ascii="Arial" w:eastAsia="Times New Roman" w:hAnsi="Arial" w:cs="Arial"/>
          <w:sz w:val="20"/>
          <w:szCs w:val="20"/>
        </w:rPr>
      </w:pPr>
    </w:p>
    <w:p w14:paraId="2C926090" w14:textId="1B8DC7C4" w:rsidR="0011144D" w:rsidRPr="00385485" w:rsidRDefault="0011144D" w:rsidP="0011144D">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8.</w:t>
      </w:r>
      <w:r w:rsidRPr="003D1614">
        <w:rPr>
          <w:rFonts w:ascii="Arial" w:eastAsia="Times New Roman" w:hAnsi="Arial" w:cs="Arial"/>
          <w:b/>
          <w:bCs/>
          <w:color w:val="000000" w:themeColor="text1"/>
          <w:sz w:val="20"/>
          <w:szCs w:val="20"/>
        </w:rPr>
        <w:tab/>
      </w:r>
      <w:r w:rsidR="00362077" w:rsidRPr="00385485">
        <w:rPr>
          <w:rFonts w:ascii="Arial" w:eastAsia="Times New Roman" w:hAnsi="Arial" w:cs="Arial"/>
          <w:b/>
          <w:bCs/>
          <w:color w:val="000000" w:themeColor="text1"/>
          <w:sz w:val="20"/>
          <w:szCs w:val="20"/>
        </w:rPr>
        <w:t>Dobitak</w:t>
      </w:r>
      <w:r w:rsidRPr="00385485">
        <w:rPr>
          <w:rFonts w:ascii="Arial" w:eastAsia="Times New Roman" w:hAnsi="Arial" w:cs="Arial"/>
          <w:b/>
          <w:bCs/>
          <w:color w:val="000000" w:themeColor="text1"/>
          <w:sz w:val="20"/>
          <w:szCs w:val="20"/>
        </w:rPr>
        <w:t xml:space="preserve"> od umanjenja vrijednosti i rezerviranja</w:t>
      </w:r>
    </w:p>
    <w:p w14:paraId="068F477D" w14:textId="77777777" w:rsidR="0011144D" w:rsidRPr="00385485" w:rsidRDefault="0011144D" w:rsidP="0011144D">
      <w:pPr>
        <w:keepNext/>
        <w:suppressAutoHyphens/>
        <w:autoSpaceDN w:val="0"/>
        <w:jc w:val="both"/>
        <w:outlineLvl w:val="0"/>
        <w:rPr>
          <w:rFonts w:ascii="Arial" w:eastAsia="Times New Roman" w:hAnsi="Arial" w:cs="Arial"/>
          <w:b/>
          <w:bCs/>
          <w:color w:val="000000" w:themeColor="text1"/>
          <w:sz w:val="20"/>
          <w:szCs w:val="20"/>
        </w:rPr>
      </w:pPr>
    </w:p>
    <w:p w14:paraId="41B62B5A" w14:textId="77777777" w:rsidR="0011144D" w:rsidRPr="00385485" w:rsidRDefault="0011144D" w:rsidP="0011144D">
      <w:pPr>
        <w:keepNext/>
        <w:suppressAutoHyphens/>
        <w:autoSpaceDN w:val="0"/>
        <w:jc w:val="both"/>
        <w:outlineLvl w:val="0"/>
        <w:rPr>
          <w:rFonts w:ascii="Arial" w:eastAsia="Times New Roman" w:hAnsi="Arial" w:cs="Arial"/>
          <w:color w:val="000000" w:themeColor="text1"/>
          <w:sz w:val="20"/>
          <w:szCs w:val="20"/>
        </w:rPr>
      </w:pPr>
      <w:r w:rsidRPr="00385485">
        <w:rPr>
          <w:rFonts w:ascii="Arial" w:eastAsia="Times New Roman" w:hAnsi="Arial" w:cs="Arial"/>
          <w:color w:val="000000" w:themeColor="text1"/>
          <w:sz w:val="20"/>
          <w:szCs w:val="20"/>
        </w:rPr>
        <w:t>Rezerviranja za gubitke po plasmanima mogu se prikazati kako slijedi:</w:t>
      </w:r>
    </w:p>
    <w:p w14:paraId="04A9E43B" w14:textId="77777777" w:rsidR="0011144D" w:rsidRPr="00385485" w:rsidRDefault="0011144D" w:rsidP="0011144D">
      <w:pPr>
        <w:keepNext/>
        <w:suppressAutoHyphens/>
        <w:autoSpaceDN w:val="0"/>
        <w:jc w:val="both"/>
        <w:outlineLvl w:val="0"/>
        <w:rPr>
          <w:rFonts w:ascii="Arial" w:eastAsia="Times New Roman" w:hAnsi="Arial" w:cs="Arial"/>
          <w:b/>
          <w:color w:val="000000" w:themeColor="text1"/>
          <w:sz w:val="20"/>
          <w:szCs w:val="20"/>
        </w:rPr>
      </w:pPr>
    </w:p>
    <w:p w14:paraId="04A55852" w14:textId="29355883" w:rsidR="0011144D" w:rsidRPr="003D1614" w:rsidRDefault="0011144D" w:rsidP="0011144D">
      <w:pPr>
        <w:keepNext/>
        <w:suppressAutoHyphens/>
        <w:autoSpaceDN w:val="0"/>
        <w:jc w:val="both"/>
        <w:outlineLvl w:val="0"/>
        <w:rPr>
          <w:rFonts w:ascii="Arial" w:eastAsia="Times New Roman" w:hAnsi="Arial" w:cs="Arial"/>
          <w:b/>
          <w:color w:val="000000" w:themeColor="text1"/>
          <w:sz w:val="20"/>
          <w:szCs w:val="20"/>
        </w:rPr>
      </w:pPr>
      <w:r w:rsidRPr="00385485">
        <w:rPr>
          <w:rFonts w:ascii="Arial" w:eastAsia="Times New Roman" w:hAnsi="Arial" w:cs="Arial"/>
          <w:b/>
          <w:color w:val="000000" w:themeColor="text1"/>
          <w:sz w:val="20"/>
          <w:szCs w:val="20"/>
        </w:rPr>
        <w:t xml:space="preserve">a) </w:t>
      </w:r>
      <w:r w:rsidR="00362077" w:rsidRPr="00385485">
        <w:rPr>
          <w:rFonts w:ascii="Arial" w:eastAsia="Times New Roman" w:hAnsi="Arial" w:cs="Arial"/>
          <w:b/>
          <w:color w:val="000000" w:themeColor="text1"/>
          <w:sz w:val="20"/>
          <w:szCs w:val="20"/>
        </w:rPr>
        <w:t>Dobitak</w:t>
      </w:r>
      <w:r w:rsidRPr="003D1614">
        <w:rPr>
          <w:rFonts w:ascii="Arial" w:eastAsia="Times New Roman" w:hAnsi="Arial" w:cs="Arial"/>
          <w:b/>
          <w:color w:val="000000" w:themeColor="text1"/>
          <w:sz w:val="20"/>
          <w:szCs w:val="20"/>
        </w:rPr>
        <w:t xml:space="preserve"> od umanjenja vrijednosti i rezerviranja financijskih instrumenata po MSFI-ju 9</w:t>
      </w:r>
    </w:p>
    <w:p w14:paraId="5639EDB2" w14:textId="77777777" w:rsidR="0011144D" w:rsidRPr="003D1614" w:rsidRDefault="0011144D" w:rsidP="0011144D">
      <w:pPr>
        <w:keepNext/>
        <w:suppressAutoHyphens/>
        <w:autoSpaceDN w:val="0"/>
        <w:jc w:val="both"/>
        <w:outlineLvl w:val="0"/>
        <w:rPr>
          <w:rFonts w:ascii="Arial" w:eastAsia="Times New Roman" w:hAnsi="Arial" w:cs="Arial"/>
          <w:b/>
          <w:bCs/>
          <w:color w:val="000000" w:themeColor="text1"/>
          <w:sz w:val="20"/>
          <w:szCs w:val="20"/>
        </w:rPr>
      </w:pPr>
    </w:p>
    <w:tbl>
      <w:tblPr>
        <w:tblW w:w="5197" w:type="pct"/>
        <w:tblLayout w:type="fixed"/>
        <w:tblCellMar>
          <w:left w:w="120" w:type="dxa"/>
          <w:right w:w="120" w:type="dxa"/>
        </w:tblCellMar>
        <w:tblLook w:val="0000" w:firstRow="0" w:lastRow="0" w:firstColumn="0" w:lastColumn="0" w:noHBand="0" w:noVBand="0"/>
      </w:tblPr>
      <w:tblGrid>
        <w:gridCol w:w="4877"/>
        <w:gridCol w:w="1237"/>
        <w:gridCol w:w="1229"/>
        <w:gridCol w:w="1214"/>
        <w:gridCol w:w="1226"/>
        <w:gridCol w:w="1211"/>
        <w:gridCol w:w="1231"/>
        <w:gridCol w:w="1199"/>
        <w:gridCol w:w="1132"/>
      </w:tblGrid>
      <w:tr w:rsidR="00F43653" w:rsidRPr="00C87657" w14:paraId="1344B1B2" w14:textId="77777777" w:rsidTr="007478FB">
        <w:trPr>
          <w:trHeight w:val="156"/>
        </w:trPr>
        <w:tc>
          <w:tcPr>
            <w:tcW w:w="1675" w:type="pct"/>
            <w:vAlign w:val="bottom"/>
          </w:tcPr>
          <w:p w14:paraId="0F65314B" w14:textId="77777777" w:rsidR="003E3A7E" w:rsidRPr="007478FB" w:rsidRDefault="003E3A7E" w:rsidP="003E3A7E">
            <w:pPr>
              <w:tabs>
                <w:tab w:val="right" w:pos="1202"/>
              </w:tabs>
              <w:suppressAutoHyphens/>
              <w:autoSpaceDN w:val="0"/>
              <w:spacing w:line="240" w:lineRule="atLeast"/>
              <w:outlineLvl w:val="0"/>
              <w:rPr>
                <w:rFonts w:ascii="Arial" w:eastAsia="Times New Roman" w:hAnsi="Arial" w:cs="Arial"/>
                <w:b/>
                <w:color w:val="000000" w:themeColor="text1"/>
                <w:sz w:val="17"/>
                <w:szCs w:val="17"/>
              </w:rPr>
            </w:pPr>
          </w:p>
        </w:tc>
        <w:tc>
          <w:tcPr>
            <w:tcW w:w="1685" w:type="pct"/>
            <w:gridSpan w:val="4"/>
            <w:vAlign w:val="bottom"/>
          </w:tcPr>
          <w:p w14:paraId="3820B807" w14:textId="389A4378" w:rsidR="003E3A7E" w:rsidRPr="007478FB" w:rsidRDefault="003E3A7E" w:rsidP="003E3A7E">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7478FB">
              <w:rPr>
                <w:rFonts w:ascii="Arial" w:hAnsi="Arial" w:cs="Arial"/>
                <w:b/>
                <w:bCs/>
                <w:sz w:val="17"/>
                <w:szCs w:val="17"/>
              </w:rPr>
              <w:t>Grupa</w:t>
            </w:r>
          </w:p>
        </w:tc>
        <w:tc>
          <w:tcPr>
            <w:tcW w:w="1640" w:type="pct"/>
            <w:gridSpan w:val="4"/>
            <w:vAlign w:val="bottom"/>
          </w:tcPr>
          <w:p w14:paraId="13DCA8CE" w14:textId="28D6D6B0" w:rsidR="003E3A7E" w:rsidRPr="007478FB" w:rsidRDefault="003E3A7E" w:rsidP="003E3A7E">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7478FB">
              <w:rPr>
                <w:rFonts w:ascii="Arial" w:hAnsi="Arial" w:cs="Arial"/>
                <w:b/>
                <w:bCs/>
                <w:sz w:val="17"/>
                <w:szCs w:val="17"/>
              </w:rPr>
              <w:t>Banka</w:t>
            </w:r>
          </w:p>
        </w:tc>
      </w:tr>
      <w:tr w:rsidR="00F43653" w:rsidRPr="00C87657" w14:paraId="34EE4092" w14:textId="77777777" w:rsidTr="007478FB">
        <w:trPr>
          <w:trHeight w:val="156"/>
        </w:trPr>
        <w:tc>
          <w:tcPr>
            <w:tcW w:w="1675" w:type="pct"/>
            <w:vAlign w:val="bottom"/>
          </w:tcPr>
          <w:p w14:paraId="6742B136" w14:textId="77777777" w:rsidR="003E3A7E" w:rsidRPr="007478FB" w:rsidRDefault="003E3A7E" w:rsidP="003E3A7E">
            <w:pPr>
              <w:tabs>
                <w:tab w:val="right" w:pos="1202"/>
              </w:tabs>
              <w:suppressAutoHyphens/>
              <w:autoSpaceDN w:val="0"/>
              <w:spacing w:line="240" w:lineRule="atLeast"/>
              <w:outlineLvl w:val="0"/>
              <w:rPr>
                <w:rFonts w:ascii="Arial" w:eastAsia="Times New Roman" w:hAnsi="Arial" w:cs="Arial"/>
                <w:b/>
                <w:color w:val="000000" w:themeColor="text1"/>
                <w:sz w:val="17"/>
                <w:szCs w:val="17"/>
              </w:rPr>
            </w:pPr>
          </w:p>
        </w:tc>
        <w:tc>
          <w:tcPr>
            <w:tcW w:w="847" w:type="pct"/>
            <w:gridSpan w:val="2"/>
            <w:vAlign w:val="bottom"/>
          </w:tcPr>
          <w:p w14:paraId="5CC9D757" w14:textId="17CACC7E" w:rsidR="003E3A7E" w:rsidRPr="007478FB" w:rsidRDefault="003E3A7E" w:rsidP="007478FB">
            <w:pPr>
              <w:tabs>
                <w:tab w:val="right" w:pos="1202"/>
              </w:tabs>
              <w:suppressAutoHyphens/>
              <w:autoSpaceDN w:val="0"/>
              <w:spacing w:line="240" w:lineRule="atLeast"/>
              <w:jc w:val="center"/>
              <w:outlineLvl w:val="0"/>
              <w:rPr>
                <w:rFonts w:ascii="Arial" w:eastAsia="Times New Roman" w:hAnsi="Arial" w:cs="Arial"/>
                <w:b/>
                <w:color w:val="000000" w:themeColor="text1"/>
                <w:sz w:val="17"/>
                <w:szCs w:val="17"/>
              </w:rPr>
            </w:pPr>
            <w:r w:rsidRPr="007478FB">
              <w:rPr>
                <w:rFonts w:ascii="Arial" w:hAnsi="Arial" w:cs="Arial"/>
                <w:b/>
                <w:bCs/>
                <w:sz w:val="17"/>
                <w:szCs w:val="17"/>
              </w:rPr>
              <w:t>202</w:t>
            </w:r>
            <w:r w:rsidR="00E93A41">
              <w:rPr>
                <w:rFonts w:ascii="Arial" w:hAnsi="Arial" w:cs="Arial"/>
                <w:b/>
                <w:bCs/>
                <w:sz w:val="17"/>
                <w:szCs w:val="17"/>
              </w:rPr>
              <w:t>4</w:t>
            </w:r>
            <w:r w:rsidRPr="007478FB">
              <w:rPr>
                <w:rFonts w:ascii="Arial" w:hAnsi="Arial" w:cs="Arial"/>
                <w:b/>
                <w:bCs/>
                <w:sz w:val="17"/>
                <w:szCs w:val="17"/>
              </w:rPr>
              <w:t>.</w:t>
            </w:r>
          </w:p>
        </w:tc>
        <w:tc>
          <w:tcPr>
            <w:tcW w:w="838" w:type="pct"/>
            <w:gridSpan w:val="2"/>
            <w:vAlign w:val="bottom"/>
          </w:tcPr>
          <w:p w14:paraId="04955AC8" w14:textId="423002A7" w:rsidR="003E3A7E" w:rsidRPr="007478FB" w:rsidRDefault="003E3A7E" w:rsidP="007478FB">
            <w:pPr>
              <w:tabs>
                <w:tab w:val="right" w:pos="1202"/>
              </w:tabs>
              <w:suppressAutoHyphens/>
              <w:autoSpaceDN w:val="0"/>
              <w:spacing w:line="240" w:lineRule="atLeast"/>
              <w:jc w:val="center"/>
              <w:outlineLvl w:val="0"/>
              <w:rPr>
                <w:rFonts w:ascii="Arial" w:eastAsia="Times New Roman" w:hAnsi="Arial" w:cs="Arial"/>
                <w:b/>
                <w:color w:val="000000" w:themeColor="text1"/>
                <w:sz w:val="17"/>
                <w:szCs w:val="17"/>
              </w:rPr>
            </w:pPr>
            <w:r w:rsidRPr="007478FB">
              <w:rPr>
                <w:rFonts w:ascii="Arial" w:hAnsi="Arial" w:cs="Arial"/>
                <w:b/>
                <w:bCs/>
                <w:sz w:val="17"/>
                <w:szCs w:val="17"/>
              </w:rPr>
              <w:t>202</w:t>
            </w:r>
            <w:r w:rsidR="00E93A41">
              <w:rPr>
                <w:rFonts w:ascii="Arial" w:hAnsi="Arial" w:cs="Arial"/>
                <w:b/>
                <w:bCs/>
                <w:sz w:val="17"/>
                <w:szCs w:val="17"/>
              </w:rPr>
              <w:t>3</w:t>
            </w:r>
            <w:r w:rsidRPr="007478FB">
              <w:rPr>
                <w:rFonts w:ascii="Arial" w:hAnsi="Arial" w:cs="Arial"/>
                <w:b/>
                <w:bCs/>
                <w:sz w:val="17"/>
                <w:szCs w:val="17"/>
              </w:rPr>
              <w:t>.</w:t>
            </w:r>
          </w:p>
        </w:tc>
        <w:tc>
          <w:tcPr>
            <w:tcW w:w="839" w:type="pct"/>
            <w:gridSpan w:val="2"/>
            <w:vAlign w:val="bottom"/>
          </w:tcPr>
          <w:p w14:paraId="54625268" w14:textId="7E34600F" w:rsidR="003E3A7E" w:rsidRPr="007478FB" w:rsidRDefault="003E3A7E" w:rsidP="007478FB">
            <w:pPr>
              <w:tabs>
                <w:tab w:val="right" w:pos="1202"/>
              </w:tabs>
              <w:suppressAutoHyphens/>
              <w:autoSpaceDN w:val="0"/>
              <w:spacing w:line="240" w:lineRule="atLeast"/>
              <w:jc w:val="center"/>
              <w:outlineLvl w:val="0"/>
              <w:rPr>
                <w:rFonts w:ascii="Arial" w:eastAsia="Times New Roman" w:hAnsi="Arial" w:cs="Arial"/>
                <w:b/>
                <w:color w:val="000000" w:themeColor="text1"/>
                <w:sz w:val="17"/>
                <w:szCs w:val="17"/>
              </w:rPr>
            </w:pPr>
            <w:r w:rsidRPr="007478FB">
              <w:rPr>
                <w:rFonts w:ascii="Arial" w:hAnsi="Arial" w:cs="Arial"/>
                <w:b/>
                <w:bCs/>
                <w:sz w:val="17"/>
                <w:szCs w:val="17"/>
              </w:rPr>
              <w:t>202</w:t>
            </w:r>
            <w:r w:rsidR="00E93A41">
              <w:rPr>
                <w:rFonts w:ascii="Arial" w:hAnsi="Arial" w:cs="Arial"/>
                <w:b/>
                <w:bCs/>
                <w:sz w:val="17"/>
                <w:szCs w:val="17"/>
              </w:rPr>
              <w:t>4</w:t>
            </w:r>
            <w:r w:rsidRPr="007478FB">
              <w:rPr>
                <w:rFonts w:ascii="Arial" w:hAnsi="Arial" w:cs="Arial"/>
                <w:b/>
                <w:bCs/>
                <w:sz w:val="17"/>
                <w:szCs w:val="17"/>
              </w:rPr>
              <w:t>.</w:t>
            </w:r>
          </w:p>
        </w:tc>
        <w:tc>
          <w:tcPr>
            <w:tcW w:w="801" w:type="pct"/>
            <w:gridSpan w:val="2"/>
            <w:vAlign w:val="bottom"/>
          </w:tcPr>
          <w:p w14:paraId="5B00489B" w14:textId="14C6FE51" w:rsidR="003E3A7E" w:rsidRPr="007478FB" w:rsidRDefault="003E3A7E" w:rsidP="007478FB">
            <w:pPr>
              <w:tabs>
                <w:tab w:val="right" w:pos="1202"/>
              </w:tabs>
              <w:suppressAutoHyphens/>
              <w:autoSpaceDN w:val="0"/>
              <w:spacing w:line="240" w:lineRule="atLeast"/>
              <w:jc w:val="center"/>
              <w:outlineLvl w:val="0"/>
              <w:rPr>
                <w:rFonts w:ascii="Arial" w:eastAsia="Times New Roman" w:hAnsi="Arial" w:cs="Arial"/>
                <w:b/>
                <w:color w:val="000000" w:themeColor="text1"/>
                <w:sz w:val="17"/>
                <w:szCs w:val="17"/>
              </w:rPr>
            </w:pPr>
            <w:r w:rsidRPr="007478FB">
              <w:rPr>
                <w:rFonts w:ascii="Arial" w:hAnsi="Arial" w:cs="Arial"/>
                <w:b/>
                <w:bCs/>
                <w:sz w:val="17"/>
                <w:szCs w:val="17"/>
              </w:rPr>
              <w:t>202</w:t>
            </w:r>
            <w:r w:rsidR="00E93A41">
              <w:rPr>
                <w:rFonts w:ascii="Arial" w:hAnsi="Arial" w:cs="Arial"/>
                <w:b/>
                <w:bCs/>
                <w:sz w:val="17"/>
                <w:szCs w:val="17"/>
              </w:rPr>
              <w:t>3</w:t>
            </w:r>
            <w:r w:rsidRPr="007478FB">
              <w:rPr>
                <w:rFonts w:ascii="Arial" w:hAnsi="Arial" w:cs="Arial"/>
                <w:b/>
                <w:bCs/>
                <w:sz w:val="17"/>
                <w:szCs w:val="17"/>
              </w:rPr>
              <w:t>.</w:t>
            </w:r>
          </w:p>
        </w:tc>
      </w:tr>
      <w:tr w:rsidR="00F43653" w:rsidRPr="00C87657" w14:paraId="66C1BB3A" w14:textId="77777777" w:rsidTr="007478FB">
        <w:trPr>
          <w:trHeight w:val="156"/>
        </w:trPr>
        <w:tc>
          <w:tcPr>
            <w:tcW w:w="1675" w:type="pct"/>
            <w:vAlign w:val="bottom"/>
          </w:tcPr>
          <w:p w14:paraId="584EA3F7" w14:textId="77777777" w:rsidR="003E3A7E" w:rsidRPr="007478FB" w:rsidRDefault="003E3A7E" w:rsidP="003E3A7E">
            <w:pPr>
              <w:tabs>
                <w:tab w:val="right" w:pos="1202"/>
              </w:tabs>
              <w:suppressAutoHyphens/>
              <w:autoSpaceDN w:val="0"/>
              <w:spacing w:line="240" w:lineRule="atLeast"/>
              <w:outlineLvl w:val="0"/>
              <w:rPr>
                <w:rFonts w:ascii="Arial" w:eastAsia="Times New Roman" w:hAnsi="Arial" w:cs="Arial"/>
                <w:b/>
                <w:color w:val="000000" w:themeColor="text1"/>
                <w:sz w:val="17"/>
                <w:szCs w:val="17"/>
              </w:rPr>
            </w:pPr>
          </w:p>
        </w:tc>
        <w:tc>
          <w:tcPr>
            <w:tcW w:w="425" w:type="pct"/>
            <w:vAlign w:val="bottom"/>
          </w:tcPr>
          <w:p w14:paraId="4ADA7504" w14:textId="0283A70C" w:rsidR="003E3A7E" w:rsidRPr="007478FB" w:rsidRDefault="003E3A7E" w:rsidP="003E3A7E">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7478FB">
              <w:rPr>
                <w:rFonts w:ascii="Arial" w:hAnsi="Arial" w:cs="Arial"/>
                <w:b/>
                <w:bCs/>
                <w:sz w:val="17"/>
                <w:szCs w:val="17"/>
              </w:rPr>
              <w:t>Tekuće razdoblje</w:t>
            </w:r>
          </w:p>
        </w:tc>
        <w:tc>
          <w:tcPr>
            <w:tcW w:w="422" w:type="pct"/>
            <w:vAlign w:val="bottom"/>
          </w:tcPr>
          <w:p w14:paraId="39C7F2DF" w14:textId="0FAC3685" w:rsidR="003E3A7E" w:rsidRPr="007478FB" w:rsidRDefault="003E3A7E" w:rsidP="003E3A7E">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7478FB">
              <w:rPr>
                <w:rFonts w:ascii="Arial" w:hAnsi="Arial" w:cs="Arial"/>
                <w:b/>
                <w:bCs/>
                <w:sz w:val="17"/>
                <w:szCs w:val="17"/>
              </w:rPr>
              <w:t>Kumulativ</w:t>
            </w:r>
          </w:p>
        </w:tc>
        <w:tc>
          <w:tcPr>
            <w:tcW w:w="417" w:type="pct"/>
            <w:vAlign w:val="bottom"/>
          </w:tcPr>
          <w:p w14:paraId="46BD1560" w14:textId="24B0CF1C" w:rsidR="003E3A7E" w:rsidRPr="007478FB" w:rsidRDefault="003E3A7E" w:rsidP="003E3A7E">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7478FB">
              <w:rPr>
                <w:rFonts w:ascii="Arial" w:hAnsi="Arial" w:cs="Arial"/>
                <w:b/>
                <w:bCs/>
                <w:sz w:val="17"/>
                <w:szCs w:val="17"/>
              </w:rPr>
              <w:t>Tekuće razdoblje</w:t>
            </w:r>
          </w:p>
        </w:tc>
        <w:tc>
          <w:tcPr>
            <w:tcW w:w="421" w:type="pct"/>
            <w:vAlign w:val="bottom"/>
          </w:tcPr>
          <w:p w14:paraId="5BF5105F" w14:textId="2E0618E0" w:rsidR="003E3A7E" w:rsidRPr="007478FB" w:rsidRDefault="003E3A7E" w:rsidP="003E3A7E">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7478FB">
              <w:rPr>
                <w:rFonts w:ascii="Arial" w:hAnsi="Arial" w:cs="Arial"/>
                <w:b/>
                <w:bCs/>
                <w:sz w:val="17"/>
                <w:szCs w:val="17"/>
              </w:rPr>
              <w:t>Kumulativ</w:t>
            </w:r>
          </w:p>
        </w:tc>
        <w:tc>
          <w:tcPr>
            <w:tcW w:w="416" w:type="pct"/>
            <w:vAlign w:val="bottom"/>
          </w:tcPr>
          <w:p w14:paraId="6381FDF4" w14:textId="4C3A73CB" w:rsidR="003E3A7E" w:rsidRPr="007478FB" w:rsidRDefault="003E3A7E" w:rsidP="003E3A7E">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7478FB">
              <w:rPr>
                <w:rFonts w:ascii="Arial" w:hAnsi="Arial" w:cs="Arial"/>
                <w:b/>
                <w:bCs/>
                <w:sz w:val="17"/>
                <w:szCs w:val="17"/>
              </w:rPr>
              <w:t>Tekuće razdoblje</w:t>
            </w:r>
          </w:p>
        </w:tc>
        <w:tc>
          <w:tcPr>
            <w:tcW w:w="423" w:type="pct"/>
            <w:vAlign w:val="bottom"/>
          </w:tcPr>
          <w:p w14:paraId="0CF853A2" w14:textId="79790637" w:rsidR="003E3A7E" w:rsidRPr="007478FB" w:rsidRDefault="003E3A7E" w:rsidP="003E3A7E">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7478FB">
              <w:rPr>
                <w:rFonts w:ascii="Arial" w:hAnsi="Arial" w:cs="Arial"/>
                <w:b/>
                <w:bCs/>
                <w:sz w:val="17"/>
                <w:szCs w:val="17"/>
              </w:rPr>
              <w:t>Kumulativ</w:t>
            </w:r>
          </w:p>
        </w:tc>
        <w:tc>
          <w:tcPr>
            <w:tcW w:w="412" w:type="pct"/>
            <w:vAlign w:val="bottom"/>
          </w:tcPr>
          <w:p w14:paraId="4CCDFC99" w14:textId="58F25827" w:rsidR="003E3A7E" w:rsidRPr="007478FB" w:rsidRDefault="003E3A7E" w:rsidP="003E3A7E">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7478FB">
              <w:rPr>
                <w:rFonts w:ascii="Arial" w:hAnsi="Arial" w:cs="Arial"/>
                <w:b/>
                <w:bCs/>
                <w:sz w:val="17"/>
                <w:szCs w:val="17"/>
              </w:rPr>
              <w:t>Tekuće razdoblje</w:t>
            </w:r>
          </w:p>
        </w:tc>
        <w:tc>
          <w:tcPr>
            <w:tcW w:w="389" w:type="pct"/>
            <w:vAlign w:val="bottom"/>
          </w:tcPr>
          <w:p w14:paraId="2DAD2719" w14:textId="642CB219" w:rsidR="003E3A7E" w:rsidRPr="007478FB" w:rsidRDefault="003E3A7E" w:rsidP="003E3A7E">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7478FB">
              <w:rPr>
                <w:rFonts w:ascii="Arial" w:hAnsi="Arial" w:cs="Arial"/>
                <w:b/>
                <w:bCs/>
                <w:sz w:val="17"/>
                <w:szCs w:val="17"/>
              </w:rPr>
              <w:t>Kumulativ</w:t>
            </w:r>
          </w:p>
        </w:tc>
      </w:tr>
      <w:tr w:rsidR="002F4581" w:rsidRPr="00C87657" w14:paraId="2C1EF686" w14:textId="77777777" w:rsidTr="007478FB">
        <w:trPr>
          <w:trHeight w:val="156"/>
        </w:trPr>
        <w:tc>
          <w:tcPr>
            <w:tcW w:w="1675" w:type="pct"/>
            <w:vAlign w:val="bottom"/>
          </w:tcPr>
          <w:p w14:paraId="582439C0" w14:textId="77777777" w:rsidR="002F4581" w:rsidRPr="007478FB" w:rsidRDefault="002F4581" w:rsidP="002F4581">
            <w:pPr>
              <w:tabs>
                <w:tab w:val="right" w:pos="1202"/>
              </w:tabs>
              <w:suppressAutoHyphens/>
              <w:autoSpaceDN w:val="0"/>
              <w:spacing w:line="240" w:lineRule="atLeast"/>
              <w:outlineLvl w:val="0"/>
              <w:rPr>
                <w:rFonts w:ascii="Arial" w:eastAsia="Times New Roman" w:hAnsi="Arial" w:cs="Arial"/>
                <w:b/>
                <w:color w:val="000000" w:themeColor="text1"/>
                <w:sz w:val="17"/>
                <w:szCs w:val="17"/>
              </w:rPr>
            </w:pPr>
          </w:p>
        </w:tc>
        <w:tc>
          <w:tcPr>
            <w:tcW w:w="425" w:type="pct"/>
            <w:vAlign w:val="bottom"/>
          </w:tcPr>
          <w:p w14:paraId="4D16A536" w14:textId="065D4A08" w:rsidR="002F4581" w:rsidRPr="002F4581" w:rsidRDefault="002F4581" w:rsidP="002F4581">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2F4581">
              <w:rPr>
                <w:rFonts w:ascii="Arial" w:hAnsi="Arial" w:cs="Arial"/>
                <w:b/>
                <w:bCs/>
                <w:sz w:val="17"/>
                <w:szCs w:val="17"/>
              </w:rPr>
              <w:t>1.7. - 30.9.</w:t>
            </w:r>
          </w:p>
        </w:tc>
        <w:tc>
          <w:tcPr>
            <w:tcW w:w="422" w:type="pct"/>
            <w:vAlign w:val="bottom"/>
          </w:tcPr>
          <w:p w14:paraId="78CCF0EA" w14:textId="15A5B856" w:rsidR="002F4581" w:rsidRPr="002F4581" w:rsidRDefault="002F4581" w:rsidP="002F4581">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2F4581">
              <w:rPr>
                <w:rFonts w:ascii="Arial" w:hAnsi="Arial" w:cs="Arial"/>
                <w:b/>
                <w:bCs/>
                <w:sz w:val="17"/>
                <w:szCs w:val="17"/>
              </w:rPr>
              <w:t>1.1. - 30.9.</w:t>
            </w:r>
          </w:p>
        </w:tc>
        <w:tc>
          <w:tcPr>
            <w:tcW w:w="417" w:type="pct"/>
            <w:vAlign w:val="bottom"/>
          </w:tcPr>
          <w:p w14:paraId="69433B37" w14:textId="5F31C013" w:rsidR="002F4581" w:rsidRPr="002F4581" w:rsidRDefault="002F4581" w:rsidP="002F4581">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2F4581">
              <w:rPr>
                <w:rFonts w:ascii="Arial" w:hAnsi="Arial" w:cs="Arial"/>
                <w:b/>
                <w:bCs/>
                <w:sz w:val="17"/>
                <w:szCs w:val="17"/>
              </w:rPr>
              <w:t>1.7. - 30.9.</w:t>
            </w:r>
          </w:p>
        </w:tc>
        <w:tc>
          <w:tcPr>
            <w:tcW w:w="421" w:type="pct"/>
            <w:vAlign w:val="bottom"/>
          </w:tcPr>
          <w:p w14:paraId="00C8654D" w14:textId="0096AC7B" w:rsidR="002F4581" w:rsidRPr="002F4581" w:rsidRDefault="002F4581" w:rsidP="002F4581">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2F4581">
              <w:rPr>
                <w:rFonts w:ascii="Arial" w:hAnsi="Arial" w:cs="Arial"/>
                <w:b/>
                <w:bCs/>
                <w:sz w:val="17"/>
                <w:szCs w:val="17"/>
              </w:rPr>
              <w:t>1.1. - 30.9.</w:t>
            </w:r>
          </w:p>
        </w:tc>
        <w:tc>
          <w:tcPr>
            <w:tcW w:w="416" w:type="pct"/>
            <w:vAlign w:val="bottom"/>
          </w:tcPr>
          <w:p w14:paraId="22E2F9B1" w14:textId="194D5860" w:rsidR="002F4581" w:rsidRPr="002F4581" w:rsidRDefault="002F4581" w:rsidP="002F4581">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2F4581">
              <w:rPr>
                <w:rFonts w:ascii="Arial" w:hAnsi="Arial" w:cs="Arial"/>
                <w:b/>
                <w:bCs/>
                <w:sz w:val="17"/>
                <w:szCs w:val="17"/>
              </w:rPr>
              <w:t>1.7. - 30.9.</w:t>
            </w:r>
          </w:p>
        </w:tc>
        <w:tc>
          <w:tcPr>
            <w:tcW w:w="423" w:type="pct"/>
            <w:vAlign w:val="bottom"/>
          </w:tcPr>
          <w:p w14:paraId="7891B00C" w14:textId="1B1C3AF5" w:rsidR="002F4581" w:rsidRPr="002F4581" w:rsidRDefault="002F4581" w:rsidP="002F4581">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2F4581">
              <w:rPr>
                <w:rFonts w:ascii="Arial" w:hAnsi="Arial" w:cs="Arial"/>
                <w:b/>
                <w:bCs/>
                <w:sz w:val="17"/>
                <w:szCs w:val="17"/>
              </w:rPr>
              <w:t>1.1. - 30.9.</w:t>
            </w:r>
          </w:p>
        </w:tc>
        <w:tc>
          <w:tcPr>
            <w:tcW w:w="412" w:type="pct"/>
            <w:vAlign w:val="bottom"/>
          </w:tcPr>
          <w:p w14:paraId="2D10D507" w14:textId="39FAD323" w:rsidR="002F4581" w:rsidRPr="002F4581" w:rsidRDefault="002F4581" w:rsidP="002F4581">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2F4581">
              <w:rPr>
                <w:rFonts w:ascii="Arial" w:hAnsi="Arial" w:cs="Arial"/>
                <w:b/>
                <w:bCs/>
                <w:sz w:val="17"/>
                <w:szCs w:val="17"/>
              </w:rPr>
              <w:t>1.7. - 30.9.</w:t>
            </w:r>
          </w:p>
        </w:tc>
        <w:tc>
          <w:tcPr>
            <w:tcW w:w="389" w:type="pct"/>
            <w:vAlign w:val="bottom"/>
          </w:tcPr>
          <w:p w14:paraId="081BC346" w14:textId="4137D98B" w:rsidR="002F4581" w:rsidRPr="002F4581" w:rsidRDefault="002F4581" w:rsidP="002F4581">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2F4581">
              <w:rPr>
                <w:rFonts w:ascii="Arial" w:hAnsi="Arial" w:cs="Arial"/>
                <w:b/>
                <w:bCs/>
                <w:sz w:val="17"/>
                <w:szCs w:val="17"/>
              </w:rPr>
              <w:t>1.1. - 30.9.</w:t>
            </w:r>
          </w:p>
        </w:tc>
      </w:tr>
      <w:tr w:rsidR="00F43653" w:rsidRPr="00C87657" w14:paraId="04844501" w14:textId="77777777" w:rsidTr="007478FB">
        <w:trPr>
          <w:trHeight w:val="156"/>
        </w:trPr>
        <w:tc>
          <w:tcPr>
            <w:tcW w:w="1675" w:type="pct"/>
            <w:vAlign w:val="bottom"/>
          </w:tcPr>
          <w:p w14:paraId="219B9D02" w14:textId="77777777" w:rsidR="003E3A7E" w:rsidRPr="007478FB" w:rsidRDefault="003E3A7E" w:rsidP="003E3A7E">
            <w:pPr>
              <w:tabs>
                <w:tab w:val="right" w:pos="1202"/>
              </w:tabs>
              <w:suppressAutoHyphens/>
              <w:autoSpaceDN w:val="0"/>
              <w:spacing w:line="240" w:lineRule="atLeast"/>
              <w:outlineLvl w:val="0"/>
              <w:rPr>
                <w:rFonts w:ascii="Arial" w:eastAsia="Times New Roman" w:hAnsi="Arial" w:cs="Arial"/>
                <w:b/>
                <w:color w:val="000000" w:themeColor="text1"/>
                <w:sz w:val="17"/>
                <w:szCs w:val="17"/>
              </w:rPr>
            </w:pPr>
          </w:p>
        </w:tc>
        <w:tc>
          <w:tcPr>
            <w:tcW w:w="425" w:type="pct"/>
            <w:vAlign w:val="bottom"/>
          </w:tcPr>
          <w:p w14:paraId="621366E3" w14:textId="32254891" w:rsidR="003E3A7E" w:rsidRPr="007478FB" w:rsidRDefault="003E3A7E" w:rsidP="003E3A7E">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7478FB">
              <w:rPr>
                <w:rFonts w:ascii="Arial" w:eastAsia="Times New Roman" w:hAnsi="Arial" w:cs="Arial"/>
                <w:b/>
                <w:color w:val="000000" w:themeColor="text1"/>
                <w:sz w:val="17"/>
                <w:szCs w:val="17"/>
              </w:rPr>
              <w:t>000 eura</w:t>
            </w:r>
          </w:p>
        </w:tc>
        <w:tc>
          <w:tcPr>
            <w:tcW w:w="422" w:type="pct"/>
            <w:vAlign w:val="bottom"/>
          </w:tcPr>
          <w:p w14:paraId="1D5F0B54" w14:textId="5B5DADAD" w:rsidR="003E3A7E" w:rsidRPr="007478FB" w:rsidRDefault="003E3A7E" w:rsidP="003E3A7E">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7478FB">
              <w:rPr>
                <w:rFonts w:ascii="Arial" w:eastAsia="Times New Roman" w:hAnsi="Arial" w:cs="Arial"/>
                <w:b/>
                <w:color w:val="000000" w:themeColor="text1"/>
                <w:sz w:val="17"/>
                <w:szCs w:val="17"/>
              </w:rPr>
              <w:t>000 eura</w:t>
            </w:r>
          </w:p>
        </w:tc>
        <w:tc>
          <w:tcPr>
            <w:tcW w:w="417" w:type="pct"/>
            <w:vAlign w:val="bottom"/>
          </w:tcPr>
          <w:p w14:paraId="62424877" w14:textId="33DCBF3C" w:rsidR="003E3A7E" w:rsidRPr="007478FB" w:rsidRDefault="003E3A7E" w:rsidP="003E3A7E">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7478FB">
              <w:rPr>
                <w:rFonts w:ascii="Arial" w:eastAsia="Times New Roman" w:hAnsi="Arial" w:cs="Arial"/>
                <w:b/>
                <w:color w:val="000000" w:themeColor="text1"/>
                <w:sz w:val="17"/>
                <w:szCs w:val="17"/>
              </w:rPr>
              <w:t>000 eura</w:t>
            </w:r>
          </w:p>
        </w:tc>
        <w:tc>
          <w:tcPr>
            <w:tcW w:w="421" w:type="pct"/>
            <w:vAlign w:val="bottom"/>
          </w:tcPr>
          <w:p w14:paraId="69E31796" w14:textId="534390B6" w:rsidR="003E3A7E" w:rsidRPr="007478FB" w:rsidRDefault="003E3A7E" w:rsidP="003E3A7E">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7478FB">
              <w:rPr>
                <w:rFonts w:ascii="Arial" w:eastAsia="Times New Roman" w:hAnsi="Arial" w:cs="Arial"/>
                <w:b/>
                <w:color w:val="000000" w:themeColor="text1"/>
                <w:sz w:val="17"/>
                <w:szCs w:val="17"/>
              </w:rPr>
              <w:t>000 eura</w:t>
            </w:r>
          </w:p>
        </w:tc>
        <w:tc>
          <w:tcPr>
            <w:tcW w:w="416" w:type="pct"/>
            <w:vAlign w:val="bottom"/>
          </w:tcPr>
          <w:p w14:paraId="480CC8BB" w14:textId="33EFA89A" w:rsidR="003E3A7E" w:rsidRPr="007478FB" w:rsidRDefault="003E3A7E" w:rsidP="003E3A7E">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7478FB">
              <w:rPr>
                <w:rFonts w:ascii="Arial" w:eastAsia="Times New Roman" w:hAnsi="Arial" w:cs="Arial"/>
                <w:b/>
                <w:color w:val="000000" w:themeColor="text1"/>
                <w:sz w:val="17"/>
                <w:szCs w:val="17"/>
              </w:rPr>
              <w:t>000 eura</w:t>
            </w:r>
          </w:p>
        </w:tc>
        <w:tc>
          <w:tcPr>
            <w:tcW w:w="423" w:type="pct"/>
            <w:vAlign w:val="bottom"/>
          </w:tcPr>
          <w:p w14:paraId="2D7D95B6" w14:textId="58FB0450" w:rsidR="003E3A7E" w:rsidRPr="007478FB" w:rsidRDefault="003E3A7E" w:rsidP="003E3A7E">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7478FB">
              <w:rPr>
                <w:rFonts w:ascii="Arial" w:eastAsia="Times New Roman" w:hAnsi="Arial" w:cs="Arial"/>
                <w:b/>
                <w:color w:val="000000" w:themeColor="text1"/>
                <w:sz w:val="17"/>
                <w:szCs w:val="17"/>
              </w:rPr>
              <w:t>000 eura</w:t>
            </w:r>
          </w:p>
        </w:tc>
        <w:tc>
          <w:tcPr>
            <w:tcW w:w="412" w:type="pct"/>
            <w:vAlign w:val="bottom"/>
          </w:tcPr>
          <w:p w14:paraId="35C4FA50" w14:textId="77D0C09B" w:rsidR="003E3A7E" w:rsidRPr="007478FB" w:rsidRDefault="003E3A7E" w:rsidP="003E3A7E">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7478FB">
              <w:rPr>
                <w:rFonts w:ascii="Arial" w:eastAsia="Times New Roman" w:hAnsi="Arial" w:cs="Arial"/>
                <w:b/>
                <w:color w:val="000000" w:themeColor="text1"/>
                <w:sz w:val="17"/>
                <w:szCs w:val="17"/>
              </w:rPr>
              <w:t>000 eura</w:t>
            </w:r>
          </w:p>
        </w:tc>
        <w:tc>
          <w:tcPr>
            <w:tcW w:w="389" w:type="pct"/>
            <w:vAlign w:val="bottom"/>
          </w:tcPr>
          <w:p w14:paraId="45E5308C" w14:textId="79C92CB4" w:rsidR="003E3A7E" w:rsidRPr="007478FB" w:rsidRDefault="003E3A7E" w:rsidP="003E3A7E">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7478FB">
              <w:rPr>
                <w:rFonts w:ascii="Arial" w:eastAsia="Times New Roman" w:hAnsi="Arial" w:cs="Arial"/>
                <w:b/>
                <w:color w:val="000000" w:themeColor="text1"/>
                <w:sz w:val="17"/>
                <w:szCs w:val="17"/>
              </w:rPr>
              <w:t>000 eura</w:t>
            </w:r>
          </w:p>
        </w:tc>
      </w:tr>
      <w:tr w:rsidR="00F43653" w:rsidRPr="00C87657" w14:paraId="5953A6A4" w14:textId="77777777" w:rsidTr="007478FB">
        <w:trPr>
          <w:trHeight w:hRule="exact" w:val="113"/>
        </w:trPr>
        <w:tc>
          <w:tcPr>
            <w:tcW w:w="1675" w:type="pct"/>
            <w:vAlign w:val="bottom"/>
          </w:tcPr>
          <w:p w14:paraId="6157D82E" w14:textId="77777777" w:rsidR="003E3A7E" w:rsidRPr="007478FB" w:rsidRDefault="003E3A7E" w:rsidP="003E3A7E">
            <w:pPr>
              <w:tabs>
                <w:tab w:val="right" w:pos="1202"/>
              </w:tabs>
              <w:suppressAutoHyphens/>
              <w:autoSpaceDN w:val="0"/>
              <w:spacing w:line="240" w:lineRule="atLeast"/>
              <w:outlineLvl w:val="0"/>
              <w:rPr>
                <w:rFonts w:ascii="Arial" w:eastAsia="Times New Roman" w:hAnsi="Arial" w:cs="Arial"/>
                <w:b/>
                <w:color w:val="000000" w:themeColor="text1"/>
                <w:sz w:val="17"/>
                <w:szCs w:val="17"/>
              </w:rPr>
            </w:pPr>
          </w:p>
        </w:tc>
        <w:tc>
          <w:tcPr>
            <w:tcW w:w="425" w:type="pct"/>
            <w:vAlign w:val="bottom"/>
          </w:tcPr>
          <w:p w14:paraId="53587D11" w14:textId="77777777" w:rsidR="003E3A7E" w:rsidRPr="007478FB" w:rsidRDefault="003E3A7E" w:rsidP="003E3A7E">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p>
        </w:tc>
        <w:tc>
          <w:tcPr>
            <w:tcW w:w="422" w:type="pct"/>
            <w:vAlign w:val="bottom"/>
          </w:tcPr>
          <w:p w14:paraId="04C2E725" w14:textId="77777777" w:rsidR="003E3A7E" w:rsidRPr="007478FB" w:rsidRDefault="003E3A7E" w:rsidP="003E3A7E">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p>
        </w:tc>
        <w:tc>
          <w:tcPr>
            <w:tcW w:w="417" w:type="pct"/>
            <w:vAlign w:val="bottom"/>
          </w:tcPr>
          <w:p w14:paraId="442A347B" w14:textId="77777777" w:rsidR="003E3A7E" w:rsidRPr="007478FB" w:rsidRDefault="003E3A7E" w:rsidP="003E3A7E">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p>
        </w:tc>
        <w:tc>
          <w:tcPr>
            <w:tcW w:w="421" w:type="pct"/>
            <w:vAlign w:val="bottom"/>
          </w:tcPr>
          <w:p w14:paraId="020D4BFC" w14:textId="23E2EADA" w:rsidR="003E3A7E" w:rsidRPr="007478FB" w:rsidRDefault="003E3A7E" w:rsidP="003E3A7E">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p>
        </w:tc>
        <w:tc>
          <w:tcPr>
            <w:tcW w:w="416" w:type="pct"/>
            <w:vAlign w:val="bottom"/>
          </w:tcPr>
          <w:p w14:paraId="5328ABE8" w14:textId="77777777" w:rsidR="003E3A7E" w:rsidRPr="007478FB" w:rsidRDefault="003E3A7E" w:rsidP="003E3A7E">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p>
        </w:tc>
        <w:tc>
          <w:tcPr>
            <w:tcW w:w="423" w:type="pct"/>
            <w:vAlign w:val="bottom"/>
          </w:tcPr>
          <w:p w14:paraId="5A57C750" w14:textId="77777777" w:rsidR="003E3A7E" w:rsidRPr="007478FB" w:rsidRDefault="003E3A7E" w:rsidP="003E3A7E">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p>
        </w:tc>
        <w:tc>
          <w:tcPr>
            <w:tcW w:w="412" w:type="pct"/>
            <w:vAlign w:val="bottom"/>
          </w:tcPr>
          <w:p w14:paraId="4E8C6812" w14:textId="77777777" w:rsidR="003E3A7E" w:rsidRPr="007478FB" w:rsidRDefault="003E3A7E" w:rsidP="003E3A7E">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p>
        </w:tc>
        <w:tc>
          <w:tcPr>
            <w:tcW w:w="389" w:type="pct"/>
            <w:vAlign w:val="bottom"/>
          </w:tcPr>
          <w:p w14:paraId="74862558" w14:textId="60C3B1E4" w:rsidR="003E3A7E" w:rsidRPr="007478FB" w:rsidRDefault="003E3A7E" w:rsidP="003E3A7E">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p>
        </w:tc>
      </w:tr>
      <w:tr w:rsidR="001D2B88" w:rsidRPr="00C87657" w14:paraId="4350F14C" w14:textId="77777777" w:rsidTr="00ED201E">
        <w:trPr>
          <w:trHeight w:val="20"/>
        </w:trPr>
        <w:tc>
          <w:tcPr>
            <w:tcW w:w="1675" w:type="pct"/>
            <w:vAlign w:val="bottom"/>
          </w:tcPr>
          <w:p w14:paraId="792CBD36" w14:textId="77777777" w:rsidR="001D2B88" w:rsidRPr="007478FB" w:rsidRDefault="001D2B88" w:rsidP="001D2B88">
            <w:pPr>
              <w:tabs>
                <w:tab w:val="right" w:pos="1202"/>
              </w:tabs>
              <w:suppressAutoHyphens/>
              <w:autoSpaceDN w:val="0"/>
              <w:spacing w:line="301" w:lineRule="exact"/>
              <w:outlineLvl w:val="0"/>
              <w:rPr>
                <w:rFonts w:ascii="Arial" w:eastAsia="Times New Roman" w:hAnsi="Arial" w:cs="Arial"/>
                <w:color w:val="000000" w:themeColor="text1"/>
                <w:sz w:val="17"/>
                <w:szCs w:val="17"/>
              </w:rPr>
            </w:pPr>
            <w:bookmarkStart w:id="295" w:name="_Toc67327740"/>
            <w:bookmarkStart w:id="296" w:name="_Hlk141870291"/>
            <w:r w:rsidRPr="007478FB">
              <w:rPr>
                <w:rFonts w:ascii="Arial" w:eastAsia="Times New Roman" w:hAnsi="Arial" w:cs="Arial"/>
                <w:color w:val="000000" w:themeColor="text1"/>
                <w:sz w:val="17"/>
                <w:szCs w:val="17"/>
              </w:rPr>
              <w:t>Rezerviranja za gubitke po računima kod financijskih institucija</w:t>
            </w:r>
            <w:bookmarkEnd w:id="295"/>
          </w:p>
        </w:tc>
        <w:tc>
          <w:tcPr>
            <w:tcW w:w="425" w:type="pct"/>
            <w:tcBorders>
              <w:top w:val="nil"/>
              <w:left w:val="nil"/>
              <w:bottom w:val="nil"/>
              <w:right w:val="nil"/>
            </w:tcBorders>
            <w:shd w:val="clear" w:color="auto" w:fill="auto"/>
            <w:vAlign w:val="bottom"/>
          </w:tcPr>
          <w:p w14:paraId="15FF47F9" w14:textId="4A03A5D1" w:rsidR="001D2B88" w:rsidRPr="00ED201E" w:rsidRDefault="001D2B88" w:rsidP="001D2B88">
            <w:pPr>
              <w:tabs>
                <w:tab w:val="right" w:pos="1202"/>
              </w:tabs>
              <w:suppressAutoHyphens/>
              <w:autoSpaceDN w:val="0"/>
              <w:spacing w:line="301" w:lineRule="exact"/>
              <w:jc w:val="right"/>
              <w:outlineLvl w:val="0"/>
              <w:rPr>
                <w:rFonts w:ascii="Arial" w:hAnsi="Arial" w:cs="Arial"/>
                <w:sz w:val="17"/>
                <w:szCs w:val="17"/>
              </w:rPr>
            </w:pPr>
            <w:r w:rsidRPr="00ED201E">
              <w:rPr>
                <w:rFonts w:ascii="Arial" w:hAnsi="Arial" w:cs="Arial"/>
                <w:sz w:val="17"/>
                <w:szCs w:val="17"/>
              </w:rPr>
              <w:t xml:space="preserve"> 69 </w:t>
            </w:r>
          </w:p>
        </w:tc>
        <w:tc>
          <w:tcPr>
            <w:tcW w:w="422" w:type="pct"/>
            <w:tcBorders>
              <w:top w:val="nil"/>
              <w:left w:val="nil"/>
              <w:bottom w:val="nil"/>
              <w:right w:val="nil"/>
            </w:tcBorders>
            <w:shd w:val="clear" w:color="auto" w:fill="auto"/>
            <w:vAlign w:val="bottom"/>
          </w:tcPr>
          <w:p w14:paraId="7D78D1C7" w14:textId="08FD2FE0" w:rsidR="001D2B88" w:rsidRPr="00ED201E" w:rsidRDefault="001D2B88" w:rsidP="001D2B88">
            <w:pPr>
              <w:tabs>
                <w:tab w:val="right" w:pos="1202"/>
              </w:tabs>
              <w:suppressAutoHyphens/>
              <w:autoSpaceDN w:val="0"/>
              <w:spacing w:line="301" w:lineRule="exact"/>
              <w:jc w:val="right"/>
              <w:outlineLvl w:val="0"/>
              <w:rPr>
                <w:rFonts w:ascii="Arial" w:hAnsi="Arial" w:cs="Arial"/>
                <w:sz w:val="17"/>
                <w:szCs w:val="17"/>
              </w:rPr>
            </w:pPr>
            <w:r w:rsidRPr="00ED201E">
              <w:rPr>
                <w:rFonts w:ascii="Arial" w:hAnsi="Arial" w:cs="Arial"/>
                <w:sz w:val="17"/>
                <w:szCs w:val="17"/>
              </w:rPr>
              <w:t xml:space="preserve"> (19)</w:t>
            </w:r>
          </w:p>
        </w:tc>
        <w:tc>
          <w:tcPr>
            <w:tcW w:w="417" w:type="pct"/>
            <w:tcBorders>
              <w:top w:val="nil"/>
              <w:left w:val="nil"/>
              <w:bottom w:val="nil"/>
              <w:right w:val="nil"/>
            </w:tcBorders>
            <w:shd w:val="clear" w:color="auto" w:fill="auto"/>
            <w:vAlign w:val="bottom"/>
          </w:tcPr>
          <w:p w14:paraId="1F14B396" w14:textId="6D7EAFAD" w:rsidR="001D2B88" w:rsidRPr="007478FB" w:rsidRDefault="001D2B88" w:rsidP="001D2B88">
            <w:pPr>
              <w:tabs>
                <w:tab w:val="right" w:pos="1202"/>
              </w:tabs>
              <w:suppressAutoHyphens/>
              <w:autoSpaceDN w:val="0"/>
              <w:spacing w:line="301" w:lineRule="exact"/>
              <w:jc w:val="right"/>
              <w:outlineLvl w:val="0"/>
              <w:rPr>
                <w:rFonts w:ascii="Arial" w:hAnsi="Arial" w:cs="Arial"/>
                <w:sz w:val="17"/>
                <w:szCs w:val="17"/>
              </w:rPr>
            </w:pPr>
            <w:r w:rsidRPr="00D86AF7">
              <w:rPr>
                <w:rFonts w:ascii="Arial" w:hAnsi="Arial" w:cs="Arial"/>
                <w:sz w:val="17"/>
                <w:szCs w:val="17"/>
              </w:rPr>
              <w:t xml:space="preserve"> (39)</w:t>
            </w:r>
          </w:p>
        </w:tc>
        <w:tc>
          <w:tcPr>
            <w:tcW w:w="421" w:type="pct"/>
            <w:tcBorders>
              <w:top w:val="nil"/>
              <w:left w:val="nil"/>
              <w:bottom w:val="nil"/>
              <w:right w:val="nil"/>
            </w:tcBorders>
            <w:shd w:val="clear" w:color="auto" w:fill="auto"/>
            <w:vAlign w:val="bottom"/>
          </w:tcPr>
          <w:p w14:paraId="4463C670" w14:textId="4DBDFF0E" w:rsidR="001D2B88" w:rsidRPr="007478FB" w:rsidRDefault="001D2B88" w:rsidP="001D2B88">
            <w:pPr>
              <w:tabs>
                <w:tab w:val="right" w:pos="1202"/>
              </w:tabs>
              <w:suppressAutoHyphens/>
              <w:autoSpaceDN w:val="0"/>
              <w:spacing w:line="301" w:lineRule="exact"/>
              <w:jc w:val="right"/>
              <w:outlineLvl w:val="0"/>
              <w:rPr>
                <w:rFonts w:ascii="Arial" w:hAnsi="Arial" w:cs="Arial"/>
                <w:sz w:val="17"/>
                <w:szCs w:val="17"/>
              </w:rPr>
            </w:pPr>
            <w:r w:rsidRPr="00D86AF7">
              <w:rPr>
                <w:rFonts w:ascii="Arial" w:hAnsi="Arial" w:cs="Arial"/>
                <w:sz w:val="17"/>
                <w:szCs w:val="17"/>
              </w:rPr>
              <w:t xml:space="preserve"> (586)</w:t>
            </w:r>
          </w:p>
        </w:tc>
        <w:tc>
          <w:tcPr>
            <w:tcW w:w="416" w:type="pct"/>
            <w:tcBorders>
              <w:top w:val="nil"/>
              <w:left w:val="nil"/>
              <w:bottom w:val="nil"/>
              <w:right w:val="nil"/>
            </w:tcBorders>
            <w:shd w:val="clear" w:color="auto" w:fill="auto"/>
            <w:vAlign w:val="bottom"/>
          </w:tcPr>
          <w:p w14:paraId="42C0A069" w14:textId="6CE8FD6B" w:rsidR="001D2B88" w:rsidRPr="00A410E3" w:rsidRDefault="001D2B88" w:rsidP="001D2B88">
            <w:pPr>
              <w:tabs>
                <w:tab w:val="right" w:pos="1202"/>
              </w:tabs>
              <w:suppressAutoHyphens/>
              <w:autoSpaceDN w:val="0"/>
              <w:spacing w:line="301" w:lineRule="exact"/>
              <w:jc w:val="right"/>
              <w:outlineLvl w:val="0"/>
              <w:rPr>
                <w:rFonts w:ascii="Arial" w:hAnsi="Arial" w:cs="Arial"/>
                <w:sz w:val="17"/>
                <w:szCs w:val="17"/>
              </w:rPr>
            </w:pPr>
            <w:r w:rsidRPr="00A410E3">
              <w:rPr>
                <w:rFonts w:ascii="Arial" w:hAnsi="Arial" w:cs="Arial"/>
                <w:sz w:val="17"/>
                <w:szCs w:val="17"/>
              </w:rPr>
              <w:t xml:space="preserve"> 68 </w:t>
            </w:r>
          </w:p>
        </w:tc>
        <w:tc>
          <w:tcPr>
            <w:tcW w:w="423" w:type="pct"/>
            <w:tcBorders>
              <w:top w:val="nil"/>
              <w:left w:val="nil"/>
              <w:bottom w:val="nil"/>
              <w:right w:val="nil"/>
            </w:tcBorders>
            <w:shd w:val="clear" w:color="auto" w:fill="auto"/>
            <w:vAlign w:val="bottom"/>
          </w:tcPr>
          <w:p w14:paraId="72D6C14C" w14:textId="414ED560" w:rsidR="001D2B88" w:rsidRPr="00A410E3" w:rsidRDefault="001D2B88" w:rsidP="001D2B88">
            <w:pPr>
              <w:tabs>
                <w:tab w:val="right" w:pos="1202"/>
              </w:tabs>
              <w:suppressAutoHyphens/>
              <w:autoSpaceDN w:val="0"/>
              <w:spacing w:line="301" w:lineRule="exact"/>
              <w:jc w:val="right"/>
              <w:outlineLvl w:val="0"/>
              <w:rPr>
                <w:rFonts w:ascii="Arial" w:hAnsi="Arial" w:cs="Arial"/>
                <w:sz w:val="17"/>
                <w:szCs w:val="17"/>
              </w:rPr>
            </w:pPr>
            <w:r w:rsidRPr="00A410E3">
              <w:rPr>
                <w:rFonts w:ascii="Arial" w:hAnsi="Arial" w:cs="Arial"/>
                <w:sz w:val="17"/>
                <w:szCs w:val="17"/>
              </w:rPr>
              <w:t xml:space="preserve"> (19)</w:t>
            </w:r>
          </w:p>
        </w:tc>
        <w:tc>
          <w:tcPr>
            <w:tcW w:w="412" w:type="pct"/>
            <w:tcBorders>
              <w:top w:val="nil"/>
              <w:left w:val="nil"/>
              <w:bottom w:val="nil"/>
              <w:right w:val="nil"/>
            </w:tcBorders>
            <w:vAlign w:val="bottom"/>
          </w:tcPr>
          <w:p w14:paraId="2C1E9872" w14:textId="57E7A1E2" w:rsidR="001D2B88" w:rsidRPr="007478FB" w:rsidRDefault="001D2B88" w:rsidP="001D2B88">
            <w:pPr>
              <w:tabs>
                <w:tab w:val="right" w:pos="1202"/>
              </w:tabs>
              <w:suppressAutoHyphens/>
              <w:autoSpaceDN w:val="0"/>
              <w:spacing w:line="301" w:lineRule="exact"/>
              <w:jc w:val="right"/>
              <w:outlineLvl w:val="0"/>
              <w:rPr>
                <w:rFonts w:ascii="Arial" w:hAnsi="Arial" w:cs="Arial"/>
                <w:sz w:val="17"/>
                <w:szCs w:val="17"/>
              </w:rPr>
            </w:pPr>
            <w:r w:rsidRPr="0072101D">
              <w:rPr>
                <w:rFonts w:ascii="Arial" w:hAnsi="Arial" w:cs="Arial"/>
                <w:sz w:val="17"/>
                <w:szCs w:val="17"/>
              </w:rPr>
              <w:t xml:space="preserve"> (39)</w:t>
            </w:r>
          </w:p>
        </w:tc>
        <w:tc>
          <w:tcPr>
            <w:tcW w:w="389" w:type="pct"/>
            <w:tcBorders>
              <w:top w:val="nil"/>
              <w:left w:val="nil"/>
              <w:bottom w:val="nil"/>
              <w:right w:val="nil"/>
            </w:tcBorders>
            <w:shd w:val="clear" w:color="auto" w:fill="auto"/>
            <w:vAlign w:val="bottom"/>
          </w:tcPr>
          <w:p w14:paraId="33C262B1" w14:textId="11DC9E68" w:rsidR="001D2B88" w:rsidRPr="007478FB" w:rsidRDefault="001D2B88" w:rsidP="001D2B88">
            <w:pPr>
              <w:tabs>
                <w:tab w:val="right" w:pos="1202"/>
              </w:tabs>
              <w:suppressAutoHyphens/>
              <w:autoSpaceDN w:val="0"/>
              <w:spacing w:line="301" w:lineRule="exact"/>
              <w:jc w:val="right"/>
              <w:outlineLvl w:val="0"/>
              <w:rPr>
                <w:rFonts w:ascii="Arial" w:hAnsi="Arial" w:cs="Arial"/>
                <w:sz w:val="17"/>
                <w:szCs w:val="17"/>
              </w:rPr>
            </w:pPr>
            <w:r w:rsidRPr="0072101D">
              <w:rPr>
                <w:rFonts w:ascii="Arial" w:hAnsi="Arial" w:cs="Arial"/>
                <w:sz w:val="17"/>
                <w:szCs w:val="17"/>
              </w:rPr>
              <w:t xml:space="preserve"> (586)</w:t>
            </w:r>
          </w:p>
        </w:tc>
      </w:tr>
      <w:tr w:rsidR="001D2B88" w:rsidRPr="00C87657" w14:paraId="4FA8F751" w14:textId="77777777" w:rsidTr="00ED201E">
        <w:trPr>
          <w:trHeight w:val="20"/>
        </w:trPr>
        <w:tc>
          <w:tcPr>
            <w:tcW w:w="1675" w:type="pct"/>
            <w:vAlign w:val="bottom"/>
          </w:tcPr>
          <w:p w14:paraId="1345D803" w14:textId="77777777" w:rsidR="001D2B88" w:rsidRPr="007478FB" w:rsidRDefault="001D2B88" w:rsidP="001D2B88">
            <w:pPr>
              <w:tabs>
                <w:tab w:val="right" w:pos="1202"/>
              </w:tabs>
              <w:suppressAutoHyphens/>
              <w:autoSpaceDN w:val="0"/>
              <w:spacing w:line="301" w:lineRule="exact"/>
              <w:outlineLvl w:val="0"/>
              <w:rPr>
                <w:rFonts w:ascii="Arial" w:eastAsia="Times New Roman" w:hAnsi="Arial" w:cs="Arial"/>
                <w:color w:val="000000" w:themeColor="text1"/>
                <w:spacing w:val="-2"/>
                <w:sz w:val="17"/>
                <w:szCs w:val="17"/>
              </w:rPr>
            </w:pPr>
            <w:bookmarkStart w:id="297" w:name="_Toc67327745"/>
            <w:r w:rsidRPr="007478FB">
              <w:rPr>
                <w:rFonts w:ascii="Arial" w:eastAsia="Times New Roman" w:hAnsi="Arial" w:cs="Arial"/>
                <w:color w:val="000000" w:themeColor="text1"/>
                <w:sz w:val="17"/>
                <w:szCs w:val="17"/>
              </w:rPr>
              <w:t>Rezerviranja za gubitke po depozitima kod drugih banaka</w:t>
            </w:r>
            <w:bookmarkEnd w:id="297"/>
          </w:p>
        </w:tc>
        <w:tc>
          <w:tcPr>
            <w:tcW w:w="425" w:type="pct"/>
            <w:tcBorders>
              <w:top w:val="nil"/>
              <w:left w:val="nil"/>
              <w:bottom w:val="nil"/>
              <w:right w:val="nil"/>
            </w:tcBorders>
            <w:shd w:val="clear" w:color="auto" w:fill="auto"/>
            <w:vAlign w:val="bottom"/>
          </w:tcPr>
          <w:p w14:paraId="6B84E5F9" w14:textId="74225BE5" w:rsidR="001D2B88" w:rsidRPr="00ED201E" w:rsidRDefault="001D2B88" w:rsidP="001D2B88">
            <w:pPr>
              <w:tabs>
                <w:tab w:val="right" w:pos="1202"/>
              </w:tabs>
              <w:suppressAutoHyphens/>
              <w:autoSpaceDN w:val="0"/>
              <w:spacing w:line="301" w:lineRule="exact"/>
              <w:jc w:val="right"/>
              <w:outlineLvl w:val="0"/>
              <w:rPr>
                <w:rFonts w:ascii="Arial" w:hAnsi="Arial" w:cs="Arial"/>
                <w:sz w:val="17"/>
                <w:szCs w:val="17"/>
              </w:rPr>
            </w:pPr>
            <w:r w:rsidRPr="00ED201E">
              <w:rPr>
                <w:rFonts w:ascii="Arial" w:hAnsi="Arial" w:cs="Arial"/>
                <w:sz w:val="17"/>
                <w:szCs w:val="17"/>
              </w:rPr>
              <w:t xml:space="preserve"> (101)</w:t>
            </w:r>
          </w:p>
        </w:tc>
        <w:tc>
          <w:tcPr>
            <w:tcW w:w="422" w:type="pct"/>
            <w:tcBorders>
              <w:top w:val="nil"/>
              <w:left w:val="nil"/>
              <w:bottom w:val="nil"/>
              <w:right w:val="nil"/>
            </w:tcBorders>
            <w:shd w:val="clear" w:color="auto" w:fill="auto"/>
            <w:vAlign w:val="bottom"/>
          </w:tcPr>
          <w:p w14:paraId="647760FD" w14:textId="652C50E2" w:rsidR="001D2B88" w:rsidRPr="00ED201E" w:rsidRDefault="001D2B88" w:rsidP="001D2B88">
            <w:pPr>
              <w:tabs>
                <w:tab w:val="right" w:pos="1202"/>
              </w:tabs>
              <w:suppressAutoHyphens/>
              <w:autoSpaceDN w:val="0"/>
              <w:spacing w:line="301" w:lineRule="exact"/>
              <w:jc w:val="right"/>
              <w:outlineLvl w:val="0"/>
              <w:rPr>
                <w:rFonts w:ascii="Arial" w:hAnsi="Arial" w:cs="Arial"/>
                <w:sz w:val="17"/>
                <w:szCs w:val="17"/>
              </w:rPr>
            </w:pPr>
            <w:r w:rsidRPr="00ED201E">
              <w:rPr>
                <w:rFonts w:ascii="Arial" w:hAnsi="Arial" w:cs="Arial"/>
                <w:sz w:val="17"/>
                <w:szCs w:val="17"/>
              </w:rPr>
              <w:t xml:space="preserve"> (92)</w:t>
            </w:r>
          </w:p>
        </w:tc>
        <w:tc>
          <w:tcPr>
            <w:tcW w:w="417" w:type="pct"/>
            <w:tcBorders>
              <w:top w:val="nil"/>
              <w:left w:val="nil"/>
              <w:bottom w:val="nil"/>
              <w:right w:val="nil"/>
            </w:tcBorders>
            <w:shd w:val="clear" w:color="auto" w:fill="auto"/>
            <w:vAlign w:val="bottom"/>
          </w:tcPr>
          <w:p w14:paraId="52D0BA87" w14:textId="3A1F7E12" w:rsidR="001D2B88" w:rsidRPr="007478FB" w:rsidRDefault="001D2B88" w:rsidP="001D2B88">
            <w:pPr>
              <w:tabs>
                <w:tab w:val="right" w:pos="1202"/>
              </w:tabs>
              <w:suppressAutoHyphens/>
              <w:autoSpaceDN w:val="0"/>
              <w:spacing w:line="301" w:lineRule="exact"/>
              <w:jc w:val="right"/>
              <w:outlineLvl w:val="0"/>
              <w:rPr>
                <w:rFonts w:ascii="Arial" w:hAnsi="Arial" w:cs="Arial"/>
                <w:sz w:val="17"/>
                <w:szCs w:val="17"/>
              </w:rPr>
            </w:pPr>
            <w:r w:rsidRPr="00D86AF7">
              <w:rPr>
                <w:rFonts w:ascii="Arial" w:hAnsi="Arial" w:cs="Arial"/>
                <w:sz w:val="17"/>
                <w:szCs w:val="17"/>
              </w:rPr>
              <w:t xml:space="preserve"> 9 </w:t>
            </w:r>
          </w:p>
        </w:tc>
        <w:tc>
          <w:tcPr>
            <w:tcW w:w="421" w:type="pct"/>
            <w:tcBorders>
              <w:top w:val="nil"/>
              <w:left w:val="nil"/>
              <w:bottom w:val="nil"/>
              <w:right w:val="nil"/>
            </w:tcBorders>
            <w:shd w:val="clear" w:color="auto" w:fill="auto"/>
            <w:vAlign w:val="bottom"/>
          </w:tcPr>
          <w:p w14:paraId="797CB80A" w14:textId="203E27F6" w:rsidR="001D2B88" w:rsidRPr="00D86AF7" w:rsidRDefault="001D2B88" w:rsidP="001D2B88">
            <w:pPr>
              <w:tabs>
                <w:tab w:val="right" w:pos="1202"/>
              </w:tabs>
              <w:suppressAutoHyphens/>
              <w:autoSpaceDN w:val="0"/>
              <w:spacing w:line="301" w:lineRule="exact"/>
              <w:jc w:val="right"/>
              <w:outlineLvl w:val="0"/>
              <w:rPr>
                <w:rFonts w:ascii="Arial" w:hAnsi="Arial" w:cs="Arial"/>
                <w:sz w:val="17"/>
                <w:szCs w:val="17"/>
              </w:rPr>
            </w:pPr>
            <w:r w:rsidRPr="00D86AF7">
              <w:rPr>
                <w:rFonts w:ascii="Arial" w:hAnsi="Arial" w:cs="Arial"/>
                <w:sz w:val="17"/>
                <w:szCs w:val="17"/>
              </w:rPr>
              <w:t xml:space="preserve"> 23 </w:t>
            </w:r>
          </w:p>
        </w:tc>
        <w:tc>
          <w:tcPr>
            <w:tcW w:w="416" w:type="pct"/>
            <w:tcBorders>
              <w:top w:val="nil"/>
              <w:left w:val="nil"/>
              <w:bottom w:val="nil"/>
              <w:right w:val="nil"/>
            </w:tcBorders>
            <w:shd w:val="clear" w:color="auto" w:fill="auto"/>
            <w:vAlign w:val="bottom"/>
          </w:tcPr>
          <w:p w14:paraId="40AD4661" w14:textId="085CA61C" w:rsidR="001D2B88" w:rsidRPr="00A410E3" w:rsidRDefault="001D2B88" w:rsidP="001D2B88">
            <w:pPr>
              <w:tabs>
                <w:tab w:val="right" w:pos="1202"/>
              </w:tabs>
              <w:suppressAutoHyphens/>
              <w:autoSpaceDN w:val="0"/>
              <w:spacing w:line="301" w:lineRule="exact"/>
              <w:jc w:val="right"/>
              <w:outlineLvl w:val="0"/>
              <w:rPr>
                <w:rFonts w:ascii="Arial" w:hAnsi="Arial" w:cs="Arial"/>
                <w:sz w:val="17"/>
                <w:szCs w:val="17"/>
              </w:rPr>
            </w:pPr>
            <w:r w:rsidRPr="00A410E3">
              <w:rPr>
                <w:rFonts w:ascii="Arial" w:hAnsi="Arial" w:cs="Arial"/>
                <w:sz w:val="17"/>
                <w:szCs w:val="17"/>
              </w:rPr>
              <w:t xml:space="preserve"> (104)</w:t>
            </w:r>
          </w:p>
        </w:tc>
        <w:tc>
          <w:tcPr>
            <w:tcW w:w="423" w:type="pct"/>
            <w:tcBorders>
              <w:top w:val="nil"/>
              <w:left w:val="nil"/>
              <w:bottom w:val="nil"/>
              <w:right w:val="nil"/>
            </w:tcBorders>
            <w:shd w:val="clear" w:color="auto" w:fill="auto"/>
            <w:vAlign w:val="bottom"/>
          </w:tcPr>
          <w:p w14:paraId="5271BCB2" w14:textId="655D38AA" w:rsidR="001D2B88" w:rsidRPr="00A410E3" w:rsidRDefault="001D2B88" w:rsidP="001D2B88">
            <w:pPr>
              <w:tabs>
                <w:tab w:val="right" w:pos="1202"/>
              </w:tabs>
              <w:suppressAutoHyphens/>
              <w:autoSpaceDN w:val="0"/>
              <w:spacing w:line="301" w:lineRule="exact"/>
              <w:jc w:val="right"/>
              <w:outlineLvl w:val="0"/>
              <w:rPr>
                <w:rFonts w:ascii="Arial" w:hAnsi="Arial" w:cs="Arial"/>
                <w:sz w:val="17"/>
                <w:szCs w:val="17"/>
              </w:rPr>
            </w:pPr>
            <w:r w:rsidRPr="00A410E3">
              <w:rPr>
                <w:rFonts w:ascii="Arial" w:hAnsi="Arial" w:cs="Arial"/>
                <w:sz w:val="17"/>
                <w:szCs w:val="17"/>
              </w:rPr>
              <w:t xml:space="preserve"> (95)</w:t>
            </w:r>
          </w:p>
        </w:tc>
        <w:tc>
          <w:tcPr>
            <w:tcW w:w="412" w:type="pct"/>
            <w:tcBorders>
              <w:top w:val="nil"/>
              <w:left w:val="nil"/>
              <w:bottom w:val="nil"/>
              <w:right w:val="nil"/>
            </w:tcBorders>
            <w:vAlign w:val="bottom"/>
          </w:tcPr>
          <w:p w14:paraId="067A53A3" w14:textId="6E50DCD2" w:rsidR="001D2B88" w:rsidRPr="007478FB" w:rsidRDefault="001D2B88" w:rsidP="001D2B88">
            <w:pPr>
              <w:tabs>
                <w:tab w:val="right" w:pos="1202"/>
              </w:tabs>
              <w:suppressAutoHyphens/>
              <w:autoSpaceDN w:val="0"/>
              <w:spacing w:line="301" w:lineRule="exact"/>
              <w:jc w:val="right"/>
              <w:outlineLvl w:val="0"/>
              <w:rPr>
                <w:rFonts w:ascii="Arial" w:hAnsi="Arial" w:cs="Arial"/>
                <w:sz w:val="17"/>
                <w:szCs w:val="17"/>
              </w:rPr>
            </w:pPr>
            <w:r w:rsidRPr="0072101D">
              <w:rPr>
                <w:rFonts w:ascii="Arial" w:hAnsi="Arial" w:cs="Arial"/>
                <w:sz w:val="17"/>
                <w:szCs w:val="17"/>
              </w:rPr>
              <w:t xml:space="preserve"> 8 </w:t>
            </w:r>
          </w:p>
        </w:tc>
        <w:tc>
          <w:tcPr>
            <w:tcW w:w="389" w:type="pct"/>
            <w:tcBorders>
              <w:top w:val="nil"/>
              <w:left w:val="nil"/>
              <w:bottom w:val="nil"/>
              <w:right w:val="nil"/>
            </w:tcBorders>
            <w:shd w:val="clear" w:color="auto" w:fill="auto"/>
            <w:vAlign w:val="bottom"/>
          </w:tcPr>
          <w:p w14:paraId="7060E11D" w14:textId="068A5856" w:rsidR="001D2B88" w:rsidRPr="007478FB" w:rsidRDefault="001D2B88" w:rsidP="001D2B88">
            <w:pPr>
              <w:tabs>
                <w:tab w:val="right" w:pos="1202"/>
              </w:tabs>
              <w:suppressAutoHyphens/>
              <w:autoSpaceDN w:val="0"/>
              <w:spacing w:line="301" w:lineRule="exact"/>
              <w:jc w:val="right"/>
              <w:outlineLvl w:val="0"/>
              <w:rPr>
                <w:rFonts w:ascii="Arial" w:hAnsi="Arial" w:cs="Arial"/>
                <w:sz w:val="17"/>
                <w:szCs w:val="17"/>
              </w:rPr>
            </w:pPr>
            <w:r w:rsidRPr="0072101D">
              <w:rPr>
                <w:rFonts w:ascii="Arial" w:hAnsi="Arial" w:cs="Arial"/>
                <w:sz w:val="17"/>
                <w:szCs w:val="17"/>
              </w:rPr>
              <w:t xml:space="preserve"> 23 </w:t>
            </w:r>
          </w:p>
        </w:tc>
      </w:tr>
      <w:tr w:rsidR="001D2B88" w:rsidRPr="00C87657" w14:paraId="51B3FBB7" w14:textId="77777777" w:rsidTr="00ED201E">
        <w:trPr>
          <w:trHeight w:val="20"/>
        </w:trPr>
        <w:tc>
          <w:tcPr>
            <w:tcW w:w="1675" w:type="pct"/>
            <w:vAlign w:val="bottom"/>
          </w:tcPr>
          <w:p w14:paraId="2024B9EA" w14:textId="77777777" w:rsidR="001D2B88" w:rsidRPr="007478FB" w:rsidRDefault="001D2B88" w:rsidP="001D2B88">
            <w:pPr>
              <w:tabs>
                <w:tab w:val="right" w:pos="1202"/>
              </w:tabs>
              <w:suppressAutoHyphens/>
              <w:autoSpaceDN w:val="0"/>
              <w:spacing w:line="301" w:lineRule="exact"/>
              <w:outlineLvl w:val="0"/>
              <w:rPr>
                <w:rFonts w:ascii="Arial" w:eastAsia="Times New Roman" w:hAnsi="Arial" w:cs="Arial"/>
                <w:color w:val="000000" w:themeColor="text1"/>
                <w:spacing w:val="-2"/>
                <w:sz w:val="17"/>
                <w:szCs w:val="17"/>
              </w:rPr>
            </w:pPr>
            <w:bookmarkStart w:id="298" w:name="_Toc67327750"/>
            <w:r w:rsidRPr="007478FB">
              <w:rPr>
                <w:rFonts w:ascii="Arial" w:eastAsia="Times New Roman" w:hAnsi="Arial" w:cs="Arial"/>
                <w:color w:val="000000" w:themeColor="text1"/>
                <w:sz w:val="17"/>
                <w:szCs w:val="17"/>
              </w:rPr>
              <w:t>Rezerviranja za gubitke po kreditima financijskim institucijama</w:t>
            </w:r>
            <w:bookmarkEnd w:id="298"/>
          </w:p>
        </w:tc>
        <w:tc>
          <w:tcPr>
            <w:tcW w:w="425" w:type="pct"/>
            <w:tcBorders>
              <w:top w:val="nil"/>
              <w:left w:val="nil"/>
              <w:bottom w:val="nil"/>
              <w:right w:val="nil"/>
            </w:tcBorders>
            <w:shd w:val="clear" w:color="auto" w:fill="auto"/>
            <w:vAlign w:val="bottom"/>
          </w:tcPr>
          <w:p w14:paraId="44679D63" w14:textId="7027CF22" w:rsidR="001D2B88" w:rsidRPr="00ED201E" w:rsidRDefault="001D2B88" w:rsidP="001D2B88">
            <w:pPr>
              <w:tabs>
                <w:tab w:val="right" w:pos="1202"/>
              </w:tabs>
              <w:suppressAutoHyphens/>
              <w:autoSpaceDN w:val="0"/>
              <w:spacing w:line="301" w:lineRule="exact"/>
              <w:jc w:val="right"/>
              <w:outlineLvl w:val="0"/>
              <w:rPr>
                <w:rFonts w:ascii="Arial" w:hAnsi="Arial" w:cs="Arial"/>
                <w:sz w:val="17"/>
                <w:szCs w:val="17"/>
              </w:rPr>
            </w:pPr>
            <w:r w:rsidRPr="00ED201E">
              <w:rPr>
                <w:rFonts w:ascii="Arial" w:hAnsi="Arial" w:cs="Arial"/>
                <w:sz w:val="17"/>
                <w:szCs w:val="17"/>
              </w:rPr>
              <w:t xml:space="preserve"> (271)</w:t>
            </w:r>
          </w:p>
        </w:tc>
        <w:tc>
          <w:tcPr>
            <w:tcW w:w="422" w:type="pct"/>
            <w:tcBorders>
              <w:top w:val="nil"/>
              <w:left w:val="nil"/>
              <w:bottom w:val="nil"/>
              <w:right w:val="nil"/>
            </w:tcBorders>
            <w:shd w:val="clear" w:color="auto" w:fill="auto"/>
            <w:vAlign w:val="bottom"/>
          </w:tcPr>
          <w:p w14:paraId="560DABFD" w14:textId="42422DCF" w:rsidR="001D2B88" w:rsidRPr="00ED201E" w:rsidRDefault="001D2B88" w:rsidP="001D2B88">
            <w:pPr>
              <w:tabs>
                <w:tab w:val="right" w:pos="1202"/>
              </w:tabs>
              <w:suppressAutoHyphens/>
              <w:autoSpaceDN w:val="0"/>
              <w:spacing w:line="301" w:lineRule="exact"/>
              <w:jc w:val="right"/>
              <w:outlineLvl w:val="0"/>
              <w:rPr>
                <w:rFonts w:ascii="Arial" w:hAnsi="Arial" w:cs="Arial"/>
                <w:sz w:val="17"/>
                <w:szCs w:val="17"/>
              </w:rPr>
            </w:pPr>
            <w:r w:rsidRPr="00ED201E">
              <w:rPr>
                <w:rFonts w:ascii="Arial" w:hAnsi="Arial" w:cs="Arial"/>
                <w:sz w:val="17"/>
                <w:szCs w:val="17"/>
              </w:rPr>
              <w:t xml:space="preserve"> (225)</w:t>
            </w:r>
          </w:p>
        </w:tc>
        <w:tc>
          <w:tcPr>
            <w:tcW w:w="417" w:type="pct"/>
            <w:tcBorders>
              <w:top w:val="nil"/>
              <w:left w:val="nil"/>
              <w:bottom w:val="nil"/>
              <w:right w:val="nil"/>
            </w:tcBorders>
            <w:shd w:val="clear" w:color="auto" w:fill="auto"/>
            <w:vAlign w:val="bottom"/>
          </w:tcPr>
          <w:p w14:paraId="658BFE9F" w14:textId="24B8B88C" w:rsidR="001D2B88" w:rsidRPr="007478FB" w:rsidRDefault="001D2B88" w:rsidP="001D2B88">
            <w:pPr>
              <w:tabs>
                <w:tab w:val="right" w:pos="1202"/>
              </w:tabs>
              <w:suppressAutoHyphens/>
              <w:autoSpaceDN w:val="0"/>
              <w:spacing w:line="301" w:lineRule="exact"/>
              <w:jc w:val="right"/>
              <w:outlineLvl w:val="0"/>
              <w:rPr>
                <w:rFonts w:ascii="Arial" w:hAnsi="Arial" w:cs="Arial"/>
                <w:sz w:val="17"/>
                <w:szCs w:val="17"/>
              </w:rPr>
            </w:pPr>
            <w:r w:rsidRPr="00D86AF7">
              <w:rPr>
                <w:rFonts w:ascii="Arial" w:hAnsi="Arial" w:cs="Arial"/>
                <w:sz w:val="17"/>
                <w:szCs w:val="17"/>
              </w:rPr>
              <w:t xml:space="preserve"> 351 </w:t>
            </w:r>
          </w:p>
        </w:tc>
        <w:tc>
          <w:tcPr>
            <w:tcW w:w="421" w:type="pct"/>
            <w:tcBorders>
              <w:top w:val="nil"/>
              <w:left w:val="nil"/>
              <w:bottom w:val="nil"/>
              <w:right w:val="nil"/>
            </w:tcBorders>
            <w:shd w:val="clear" w:color="auto" w:fill="auto"/>
            <w:vAlign w:val="bottom"/>
          </w:tcPr>
          <w:p w14:paraId="3BFD1788" w14:textId="75F8A128" w:rsidR="001D2B88" w:rsidRPr="00D86AF7" w:rsidRDefault="001D2B88" w:rsidP="001D2B88">
            <w:pPr>
              <w:tabs>
                <w:tab w:val="right" w:pos="1202"/>
              </w:tabs>
              <w:suppressAutoHyphens/>
              <w:autoSpaceDN w:val="0"/>
              <w:spacing w:line="301" w:lineRule="exact"/>
              <w:jc w:val="right"/>
              <w:outlineLvl w:val="0"/>
              <w:rPr>
                <w:rFonts w:ascii="Arial" w:hAnsi="Arial" w:cs="Arial"/>
                <w:sz w:val="17"/>
                <w:szCs w:val="17"/>
              </w:rPr>
            </w:pPr>
            <w:r w:rsidRPr="00D86AF7">
              <w:rPr>
                <w:rFonts w:ascii="Arial" w:hAnsi="Arial" w:cs="Arial"/>
                <w:sz w:val="17"/>
                <w:szCs w:val="17"/>
              </w:rPr>
              <w:t xml:space="preserve"> (24)</w:t>
            </w:r>
          </w:p>
        </w:tc>
        <w:tc>
          <w:tcPr>
            <w:tcW w:w="416" w:type="pct"/>
            <w:tcBorders>
              <w:top w:val="nil"/>
              <w:left w:val="nil"/>
              <w:bottom w:val="nil"/>
              <w:right w:val="nil"/>
            </w:tcBorders>
            <w:shd w:val="clear" w:color="auto" w:fill="auto"/>
            <w:vAlign w:val="bottom"/>
          </w:tcPr>
          <w:p w14:paraId="777C87DB" w14:textId="4453D050" w:rsidR="001D2B88" w:rsidRPr="00A410E3" w:rsidRDefault="001D2B88" w:rsidP="001D2B88">
            <w:pPr>
              <w:tabs>
                <w:tab w:val="right" w:pos="1202"/>
              </w:tabs>
              <w:suppressAutoHyphens/>
              <w:autoSpaceDN w:val="0"/>
              <w:spacing w:line="301" w:lineRule="exact"/>
              <w:jc w:val="right"/>
              <w:outlineLvl w:val="0"/>
              <w:rPr>
                <w:rFonts w:ascii="Arial" w:hAnsi="Arial" w:cs="Arial"/>
                <w:sz w:val="17"/>
                <w:szCs w:val="17"/>
              </w:rPr>
            </w:pPr>
            <w:r w:rsidRPr="00A410E3">
              <w:rPr>
                <w:rFonts w:ascii="Arial" w:hAnsi="Arial" w:cs="Arial"/>
                <w:sz w:val="17"/>
                <w:szCs w:val="17"/>
              </w:rPr>
              <w:t xml:space="preserve"> (271)</w:t>
            </w:r>
          </w:p>
        </w:tc>
        <w:tc>
          <w:tcPr>
            <w:tcW w:w="423" w:type="pct"/>
            <w:tcBorders>
              <w:top w:val="nil"/>
              <w:left w:val="nil"/>
              <w:bottom w:val="nil"/>
              <w:right w:val="nil"/>
            </w:tcBorders>
            <w:shd w:val="clear" w:color="auto" w:fill="auto"/>
            <w:vAlign w:val="bottom"/>
          </w:tcPr>
          <w:p w14:paraId="7F74D963" w14:textId="5E6B5EE2" w:rsidR="001D2B88" w:rsidRPr="00A410E3" w:rsidRDefault="001D2B88" w:rsidP="001D2B88">
            <w:pPr>
              <w:tabs>
                <w:tab w:val="right" w:pos="1202"/>
              </w:tabs>
              <w:suppressAutoHyphens/>
              <w:autoSpaceDN w:val="0"/>
              <w:spacing w:line="301" w:lineRule="exact"/>
              <w:jc w:val="right"/>
              <w:outlineLvl w:val="0"/>
              <w:rPr>
                <w:rFonts w:ascii="Arial" w:hAnsi="Arial" w:cs="Arial"/>
                <w:sz w:val="17"/>
                <w:szCs w:val="17"/>
              </w:rPr>
            </w:pPr>
            <w:r w:rsidRPr="00A410E3">
              <w:rPr>
                <w:rFonts w:ascii="Arial" w:hAnsi="Arial" w:cs="Arial"/>
                <w:sz w:val="17"/>
                <w:szCs w:val="17"/>
              </w:rPr>
              <w:t xml:space="preserve"> (225)</w:t>
            </w:r>
          </w:p>
        </w:tc>
        <w:tc>
          <w:tcPr>
            <w:tcW w:w="412" w:type="pct"/>
            <w:tcBorders>
              <w:top w:val="nil"/>
              <w:left w:val="nil"/>
              <w:bottom w:val="nil"/>
              <w:right w:val="nil"/>
            </w:tcBorders>
            <w:vAlign w:val="bottom"/>
          </w:tcPr>
          <w:p w14:paraId="4CF56021" w14:textId="2E155198" w:rsidR="001D2B88" w:rsidRPr="007478FB" w:rsidRDefault="001D2B88" w:rsidP="001D2B88">
            <w:pPr>
              <w:tabs>
                <w:tab w:val="right" w:pos="1202"/>
              </w:tabs>
              <w:suppressAutoHyphens/>
              <w:autoSpaceDN w:val="0"/>
              <w:spacing w:line="301" w:lineRule="exact"/>
              <w:jc w:val="right"/>
              <w:outlineLvl w:val="0"/>
              <w:rPr>
                <w:rFonts w:ascii="Arial" w:hAnsi="Arial" w:cs="Arial"/>
                <w:sz w:val="17"/>
                <w:szCs w:val="17"/>
              </w:rPr>
            </w:pPr>
            <w:r w:rsidRPr="0072101D">
              <w:rPr>
                <w:rFonts w:ascii="Arial" w:hAnsi="Arial" w:cs="Arial"/>
                <w:sz w:val="17"/>
                <w:szCs w:val="17"/>
              </w:rPr>
              <w:t xml:space="preserve"> 351 </w:t>
            </w:r>
          </w:p>
        </w:tc>
        <w:tc>
          <w:tcPr>
            <w:tcW w:w="389" w:type="pct"/>
            <w:tcBorders>
              <w:top w:val="nil"/>
              <w:left w:val="nil"/>
              <w:bottom w:val="nil"/>
              <w:right w:val="nil"/>
            </w:tcBorders>
            <w:shd w:val="clear" w:color="auto" w:fill="auto"/>
            <w:vAlign w:val="bottom"/>
          </w:tcPr>
          <w:p w14:paraId="40C49C7B" w14:textId="19006330" w:rsidR="001D2B88" w:rsidRPr="007478FB" w:rsidRDefault="001D2B88" w:rsidP="001D2B88">
            <w:pPr>
              <w:tabs>
                <w:tab w:val="right" w:pos="1202"/>
              </w:tabs>
              <w:suppressAutoHyphens/>
              <w:autoSpaceDN w:val="0"/>
              <w:spacing w:line="301" w:lineRule="exact"/>
              <w:jc w:val="right"/>
              <w:outlineLvl w:val="0"/>
              <w:rPr>
                <w:rFonts w:ascii="Arial" w:hAnsi="Arial" w:cs="Arial"/>
                <w:sz w:val="17"/>
                <w:szCs w:val="17"/>
              </w:rPr>
            </w:pPr>
            <w:r w:rsidRPr="0072101D">
              <w:rPr>
                <w:rFonts w:ascii="Arial" w:hAnsi="Arial" w:cs="Arial"/>
                <w:sz w:val="17"/>
                <w:szCs w:val="17"/>
              </w:rPr>
              <w:t xml:space="preserve"> (24)</w:t>
            </w:r>
          </w:p>
        </w:tc>
      </w:tr>
      <w:tr w:rsidR="001D2B88" w:rsidRPr="00C87657" w14:paraId="3E8E216E" w14:textId="77777777" w:rsidTr="00ED201E">
        <w:trPr>
          <w:trHeight w:val="20"/>
        </w:trPr>
        <w:tc>
          <w:tcPr>
            <w:tcW w:w="1675" w:type="pct"/>
            <w:vAlign w:val="bottom"/>
          </w:tcPr>
          <w:p w14:paraId="00CC7DF1" w14:textId="77777777" w:rsidR="001D2B88" w:rsidRPr="007478FB" w:rsidRDefault="001D2B88" w:rsidP="001D2B88">
            <w:pPr>
              <w:tabs>
                <w:tab w:val="right" w:pos="1202"/>
              </w:tabs>
              <w:suppressAutoHyphens/>
              <w:autoSpaceDN w:val="0"/>
              <w:spacing w:line="301" w:lineRule="exact"/>
              <w:outlineLvl w:val="0"/>
              <w:rPr>
                <w:rFonts w:ascii="Arial" w:eastAsia="Times New Roman" w:hAnsi="Arial" w:cs="Arial"/>
                <w:color w:val="000000" w:themeColor="text1"/>
                <w:sz w:val="17"/>
                <w:szCs w:val="17"/>
              </w:rPr>
            </w:pPr>
            <w:bookmarkStart w:id="299" w:name="_Toc67327755"/>
            <w:r w:rsidRPr="007478FB">
              <w:rPr>
                <w:rFonts w:ascii="Arial" w:eastAsia="Times New Roman" w:hAnsi="Arial" w:cs="Arial"/>
                <w:color w:val="000000" w:themeColor="text1"/>
                <w:sz w:val="17"/>
                <w:szCs w:val="17"/>
              </w:rPr>
              <w:t>Rezerviranja za gubitke po kreditima ostalim korisnicima i kamatama</w:t>
            </w:r>
            <w:bookmarkEnd w:id="299"/>
          </w:p>
        </w:tc>
        <w:tc>
          <w:tcPr>
            <w:tcW w:w="425" w:type="pct"/>
            <w:tcBorders>
              <w:top w:val="nil"/>
              <w:left w:val="nil"/>
              <w:bottom w:val="nil"/>
              <w:right w:val="nil"/>
            </w:tcBorders>
            <w:shd w:val="clear" w:color="auto" w:fill="auto"/>
            <w:vAlign w:val="bottom"/>
          </w:tcPr>
          <w:p w14:paraId="02A334F4" w14:textId="7FE42BBF" w:rsidR="001D2B88" w:rsidRPr="00ED201E" w:rsidRDefault="001D2B88" w:rsidP="001D2B88">
            <w:pPr>
              <w:tabs>
                <w:tab w:val="right" w:pos="1202"/>
              </w:tabs>
              <w:suppressAutoHyphens/>
              <w:autoSpaceDN w:val="0"/>
              <w:spacing w:line="301" w:lineRule="exact"/>
              <w:jc w:val="right"/>
              <w:outlineLvl w:val="0"/>
              <w:rPr>
                <w:rFonts w:ascii="Arial" w:hAnsi="Arial" w:cs="Arial"/>
                <w:sz w:val="17"/>
                <w:szCs w:val="17"/>
              </w:rPr>
            </w:pPr>
            <w:r w:rsidRPr="00ED201E">
              <w:rPr>
                <w:rFonts w:ascii="Arial" w:hAnsi="Arial" w:cs="Arial"/>
                <w:sz w:val="17"/>
                <w:szCs w:val="17"/>
              </w:rPr>
              <w:t xml:space="preserve"> 11.115 </w:t>
            </w:r>
          </w:p>
        </w:tc>
        <w:tc>
          <w:tcPr>
            <w:tcW w:w="422" w:type="pct"/>
            <w:tcBorders>
              <w:top w:val="nil"/>
              <w:left w:val="nil"/>
              <w:bottom w:val="nil"/>
              <w:right w:val="nil"/>
            </w:tcBorders>
            <w:shd w:val="clear" w:color="auto" w:fill="auto"/>
            <w:vAlign w:val="bottom"/>
          </w:tcPr>
          <w:p w14:paraId="4A3334C7" w14:textId="6F6F3E83" w:rsidR="001D2B88" w:rsidRPr="00ED201E" w:rsidRDefault="001D2B88" w:rsidP="001D2B88">
            <w:pPr>
              <w:tabs>
                <w:tab w:val="right" w:pos="1202"/>
              </w:tabs>
              <w:suppressAutoHyphens/>
              <w:autoSpaceDN w:val="0"/>
              <w:spacing w:line="301" w:lineRule="exact"/>
              <w:jc w:val="right"/>
              <w:outlineLvl w:val="0"/>
              <w:rPr>
                <w:rFonts w:ascii="Arial" w:hAnsi="Arial" w:cs="Arial"/>
                <w:sz w:val="17"/>
                <w:szCs w:val="17"/>
              </w:rPr>
            </w:pPr>
            <w:r w:rsidRPr="00ED201E">
              <w:rPr>
                <w:rFonts w:ascii="Arial" w:hAnsi="Arial" w:cs="Arial"/>
                <w:sz w:val="17"/>
                <w:szCs w:val="17"/>
              </w:rPr>
              <w:t xml:space="preserve"> (9.460)</w:t>
            </w:r>
          </w:p>
        </w:tc>
        <w:tc>
          <w:tcPr>
            <w:tcW w:w="417" w:type="pct"/>
            <w:tcBorders>
              <w:top w:val="nil"/>
              <w:left w:val="nil"/>
              <w:bottom w:val="nil"/>
              <w:right w:val="nil"/>
            </w:tcBorders>
            <w:shd w:val="clear" w:color="auto" w:fill="auto"/>
            <w:vAlign w:val="bottom"/>
          </w:tcPr>
          <w:p w14:paraId="297CA2B8" w14:textId="108ED05B" w:rsidR="001D2B88" w:rsidRPr="007478FB" w:rsidRDefault="001D2B88" w:rsidP="001D2B88">
            <w:pPr>
              <w:tabs>
                <w:tab w:val="right" w:pos="1202"/>
              </w:tabs>
              <w:suppressAutoHyphens/>
              <w:autoSpaceDN w:val="0"/>
              <w:spacing w:line="301" w:lineRule="exact"/>
              <w:jc w:val="right"/>
              <w:outlineLvl w:val="0"/>
              <w:rPr>
                <w:rFonts w:ascii="Arial" w:hAnsi="Arial" w:cs="Arial"/>
                <w:sz w:val="17"/>
                <w:szCs w:val="17"/>
              </w:rPr>
            </w:pPr>
            <w:r w:rsidRPr="00D86AF7">
              <w:rPr>
                <w:rFonts w:ascii="Arial" w:hAnsi="Arial" w:cs="Arial"/>
                <w:sz w:val="17"/>
                <w:szCs w:val="17"/>
              </w:rPr>
              <w:t xml:space="preserve"> (7.097)</w:t>
            </w:r>
          </w:p>
        </w:tc>
        <w:tc>
          <w:tcPr>
            <w:tcW w:w="421" w:type="pct"/>
            <w:tcBorders>
              <w:top w:val="nil"/>
              <w:left w:val="nil"/>
              <w:bottom w:val="nil"/>
              <w:right w:val="nil"/>
            </w:tcBorders>
            <w:shd w:val="clear" w:color="auto" w:fill="auto"/>
            <w:vAlign w:val="bottom"/>
          </w:tcPr>
          <w:p w14:paraId="40082D97" w14:textId="7C5E84FB" w:rsidR="001D2B88" w:rsidRPr="00D86AF7" w:rsidRDefault="001D2B88" w:rsidP="001D2B88">
            <w:pPr>
              <w:tabs>
                <w:tab w:val="right" w:pos="1202"/>
              </w:tabs>
              <w:suppressAutoHyphens/>
              <w:autoSpaceDN w:val="0"/>
              <w:spacing w:line="301" w:lineRule="exact"/>
              <w:jc w:val="right"/>
              <w:outlineLvl w:val="0"/>
              <w:rPr>
                <w:rFonts w:ascii="Arial" w:hAnsi="Arial" w:cs="Arial"/>
                <w:sz w:val="17"/>
                <w:szCs w:val="17"/>
              </w:rPr>
            </w:pPr>
            <w:r w:rsidRPr="00D86AF7">
              <w:rPr>
                <w:rFonts w:ascii="Arial" w:hAnsi="Arial" w:cs="Arial"/>
                <w:sz w:val="17"/>
                <w:szCs w:val="17"/>
              </w:rPr>
              <w:t xml:space="preserve"> (24.360)</w:t>
            </w:r>
          </w:p>
        </w:tc>
        <w:tc>
          <w:tcPr>
            <w:tcW w:w="416" w:type="pct"/>
            <w:tcBorders>
              <w:top w:val="nil"/>
              <w:left w:val="nil"/>
              <w:bottom w:val="nil"/>
              <w:right w:val="nil"/>
            </w:tcBorders>
            <w:shd w:val="clear" w:color="auto" w:fill="auto"/>
            <w:vAlign w:val="bottom"/>
          </w:tcPr>
          <w:p w14:paraId="14C9C5B0" w14:textId="5823EB6D" w:rsidR="001D2B88" w:rsidRPr="00A410E3" w:rsidRDefault="001D2B88" w:rsidP="001D2B88">
            <w:pPr>
              <w:tabs>
                <w:tab w:val="right" w:pos="1202"/>
              </w:tabs>
              <w:suppressAutoHyphens/>
              <w:autoSpaceDN w:val="0"/>
              <w:spacing w:line="301" w:lineRule="exact"/>
              <w:jc w:val="right"/>
              <w:outlineLvl w:val="0"/>
              <w:rPr>
                <w:rFonts w:ascii="Arial" w:hAnsi="Arial" w:cs="Arial"/>
                <w:sz w:val="17"/>
                <w:szCs w:val="17"/>
              </w:rPr>
            </w:pPr>
            <w:r w:rsidRPr="00A410E3">
              <w:rPr>
                <w:rFonts w:ascii="Arial" w:hAnsi="Arial" w:cs="Arial"/>
                <w:sz w:val="17"/>
                <w:szCs w:val="17"/>
              </w:rPr>
              <w:t xml:space="preserve"> 11.115 </w:t>
            </w:r>
          </w:p>
        </w:tc>
        <w:tc>
          <w:tcPr>
            <w:tcW w:w="423" w:type="pct"/>
            <w:tcBorders>
              <w:top w:val="nil"/>
              <w:left w:val="nil"/>
              <w:bottom w:val="nil"/>
              <w:right w:val="nil"/>
            </w:tcBorders>
            <w:shd w:val="clear" w:color="auto" w:fill="auto"/>
            <w:vAlign w:val="bottom"/>
          </w:tcPr>
          <w:p w14:paraId="1BB1A8FD" w14:textId="750BA0F1" w:rsidR="001D2B88" w:rsidRPr="00A410E3" w:rsidRDefault="001D2B88" w:rsidP="001D2B88">
            <w:pPr>
              <w:tabs>
                <w:tab w:val="right" w:pos="1202"/>
              </w:tabs>
              <w:suppressAutoHyphens/>
              <w:autoSpaceDN w:val="0"/>
              <w:spacing w:line="301" w:lineRule="exact"/>
              <w:jc w:val="right"/>
              <w:outlineLvl w:val="0"/>
              <w:rPr>
                <w:rFonts w:ascii="Arial" w:hAnsi="Arial" w:cs="Arial"/>
                <w:sz w:val="17"/>
                <w:szCs w:val="17"/>
              </w:rPr>
            </w:pPr>
            <w:r w:rsidRPr="00A410E3">
              <w:rPr>
                <w:rFonts w:ascii="Arial" w:hAnsi="Arial" w:cs="Arial"/>
                <w:sz w:val="17"/>
                <w:szCs w:val="17"/>
              </w:rPr>
              <w:t xml:space="preserve"> (9.460)</w:t>
            </w:r>
          </w:p>
        </w:tc>
        <w:tc>
          <w:tcPr>
            <w:tcW w:w="412" w:type="pct"/>
            <w:tcBorders>
              <w:top w:val="nil"/>
              <w:left w:val="nil"/>
              <w:bottom w:val="nil"/>
              <w:right w:val="nil"/>
            </w:tcBorders>
            <w:vAlign w:val="bottom"/>
          </w:tcPr>
          <w:p w14:paraId="4725CE85" w14:textId="2E5E54E6" w:rsidR="001D2B88" w:rsidRPr="007478FB" w:rsidRDefault="001D2B88" w:rsidP="001D2B88">
            <w:pPr>
              <w:tabs>
                <w:tab w:val="right" w:pos="1202"/>
              </w:tabs>
              <w:suppressAutoHyphens/>
              <w:autoSpaceDN w:val="0"/>
              <w:spacing w:line="301" w:lineRule="exact"/>
              <w:jc w:val="right"/>
              <w:outlineLvl w:val="0"/>
              <w:rPr>
                <w:rFonts w:ascii="Arial" w:hAnsi="Arial" w:cs="Arial"/>
                <w:sz w:val="17"/>
                <w:szCs w:val="17"/>
              </w:rPr>
            </w:pPr>
            <w:r w:rsidRPr="0072101D">
              <w:rPr>
                <w:rFonts w:ascii="Arial" w:hAnsi="Arial" w:cs="Arial"/>
                <w:sz w:val="17"/>
                <w:szCs w:val="17"/>
              </w:rPr>
              <w:t xml:space="preserve"> (7.097)</w:t>
            </w:r>
          </w:p>
        </w:tc>
        <w:tc>
          <w:tcPr>
            <w:tcW w:w="389" w:type="pct"/>
            <w:tcBorders>
              <w:top w:val="nil"/>
              <w:left w:val="nil"/>
              <w:bottom w:val="nil"/>
              <w:right w:val="nil"/>
            </w:tcBorders>
            <w:shd w:val="clear" w:color="auto" w:fill="auto"/>
            <w:vAlign w:val="bottom"/>
          </w:tcPr>
          <w:p w14:paraId="09ACA04B" w14:textId="357842A1" w:rsidR="001D2B88" w:rsidRPr="007478FB" w:rsidRDefault="001D2B88" w:rsidP="001D2B88">
            <w:pPr>
              <w:tabs>
                <w:tab w:val="right" w:pos="1202"/>
              </w:tabs>
              <w:suppressAutoHyphens/>
              <w:autoSpaceDN w:val="0"/>
              <w:spacing w:line="301" w:lineRule="exact"/>
              <w:jc w:val="right"/>
              <w:outlineLvl w:val="0"/>
              <w:rPr>
                <w:rFonts w:ascii="Arial" w:hAnsi="Arial" w:cs="Arial"/>
                <w:sz w:val="17"/>
                <w:szCs w:val="17"/>
              </w:rPr>
            </w:pPr>
            <w:r w:rsidRPr="0072101D">
              <w:rPr>
                <w:rFonts w:ascii="Arial" w:hAnsi="Arial" w:cs="Arial"/>
                <w:sz w:val="17"/>
                <w:szCs w:val="17"/>
              </w:rPr>
              <w:t xml:space="preserve"> (24.360)</w:t>
            </w:r>
          </w:p>
        </w:tc>
      </w:tr>
      <w:tr w:rsidR="007241DC" w:rsidRPr="00C87657" w14:paraId="76BFC6CB" w14:textId="77777777" w:rsidTr="00ED201E">
        <w:trPr>
          <w:trHeight w:val="20"/>
        </w:trPr>
        <w:tc>
          <w:tcPr>
            <w:tcW w:w="1675" w:type="pct"/>
            <w:vAlign w:val="bottom"/>
          </w:tcPr>
          <w:p w14:paraId="6DA55E09" w14:textId="77777777" w:rsidR="007241DC" w:rsidRPr="007478FB" w:rsidRDefault="007241DC" w:rsidP="007241DC">
            <w:pPr>
              <w:tabs>
                <w:tab w:val="right" w:pos="1202"/>
              </w:tabs>
              <w:suppressAutoHyphens/>
              <w:autoSpaceDN w:val="0"/>
              <w:spacing w:line="301" w:lineRule="exact"/>
              <w:outlineLvl w:val="0"/>
              <w:rPr>
                <w:rFonts w:ascii="Arial" w:eastAsia="Times New Roman" w:hAnsi="Arial" w:cs="Arial"/>
                <w:color w:val="000000" w:themeColor="text1"/>
                <w:sz w:val="17"/>
                <w:szCs w:val="17"/>
              </w:rPr>
            </w:pPr>
            <w:bookmarkStart w:id="300" w:name="_Toc67327760"/>
            <w:r w:rsidRPr="007478FB">
              <w:rPr>
                <w:rFonts w:ascii="Arial" w:eastAsia="Times New Roman" w:hAnsi="Arial" w:cs="Arial"/>
                <w:color w:val="000000" w:themeColor="text1"/>
                <w:sz w:val="17"/>
                <w:szCs w:val="17"/>
              </w:rPr>
              <w:t>Modifikacijski (dobitak)/gubitak po kreditima banaka</w:t>
            </w:r>
            <w:bookmarkEnd w:id="300"/>
          </w:p>
        </w:tc>
        <w:tc>
          <w:tcPr>
            <w:tcW w:w="425" w:type="pct"/>
            <w:tcBorders>
              <w:top w:val="nil"/>
              <w:left w:val="nil"/>
              <w:bottom w:val="nil"/>
              <w:right w:val="nil"/>
            </w:tcBorders>
            <w:shd w:val="clear" w:color="auto" w:fill="auto"/>
            <w:vAlign w:val="bottom"/>
          </w:tcPr>
          <w:p w14:paraId="6A11DEC0" w14:textId="0AEB69E1" w:rsidR="007241DC" w:rsidRPr="00ED201E" w:rsidRDefault="007241DC" w:rsidP="007241DC">
            <w:pPr>
              <w:tabs>
                <w:tab w:val="right" w:pos="1202"/>
              </w:tabs>
              <w:suppressAutoHyphens/>
              <w:autoSpaceDN w:val="0"/>
              <w:spacing w:line="301" w:lineRule="exact"/>
              <w:jc w:val="right"/>
              <w:outlineLvl w:val="0"/>
              <w:rPr>
                <w:rFonts w:ascii="Arial" w:hAnsi="Arial" w:cs="Arial"/>
                <w:sz w:val="17"/>
                <w:szCs w:val="17"/>
              </w:rPr>
            </w:pPr>
            <w:r w:rsidRPr="00ED201E">
              <w:rPr>
                <w:rFonts w:ascii="Arial" w:hAnsi="Arial" w:cs="Arial"/>
                <w:sz w:val="17"/>
                <w:szCs w:val="17"/>
              </w:rPr>
              <w:t xml:space="preserve"> (81)</w:t>
            </w:r>
          </w:p>
        </w:tc>
        <w:tc>
          <w:tcPr>
            <w:tcW w:w="422" w:type="pct"/>
            <w:tcBorders>
              <w:top w:val="nil"/>
              <w:left w:val="nil"/>
              <w:bottom w:val="nil"/>
              <w:right w:val="nil"/>
            </w:tcBorders>
            <w:shd w:val="clear" w:color="auto" w:fill="auto"/>
            <w:vAlign w:val="bottom"/>
          </w:tcPr>
          <w:p w14:paraId="4A9B4AFC" w14:textId="0449A426" w:rsidR="007241DC" w:rsidRPr="00ED201E" w:rsidRDefault="007241DC" w:rsidP="007241DC">
            <w:pPr>
              <w:tabs>
                <w:tab w:val="right" w:pos="1202"/>
              </w:tabs>
              <w:suppressAutoHyphens/>
              <w:autoSpaceDN w:val="0"/>
              <w:spacing w:line="301" w:lineRule="exact"/>
              <w:jc w:val="right"/>
              <w:outlineLvl w:val="0"/>
              <w:rPr>
                <w:rFonts w:ascii="Arial" w:hAnsi="Arial" w:cs="Arial"/>
                <w:sz w:val="17"/>
                <w:szCs w:val="17"/>
              </w:rPr>
            </w:pPr>
            <w:r w:rsidRPr="00ED201E">
              <w:rPr>
                <w:rFonts w:ascii="Arial" w:hAnsi="Arial" w:cs="Arial"/>
                <w:sz w:val="17"/>
                <w:szCs w:val="17"/>
              </w:rPr>
              <w:t xml:space="preserve"> (260)</w:t>
            </w:r>
          </w:p>
        </w:tc>
        <w:tc>
          <w:tcPr>
            <w:tcW w:w="417" w:type="pct"/>
            <w:tcBorders>
              <w:top w:val="nil"/>
              <w:left w:val="nil"/>
              <w:bottom w:val="nil"/>
              <w:right w:val="nil"/>
            </w:tcBorders>
            <w:shd w:val="clear" w:color="auto" w:fill="auto"/>
            <w:vAlign w:val="bottom"/>
          </w:tcPr>
          <w:p w14:paraId="42987A37" w14:textId="6928B820" w:rsidR="007241DC" w:rsidRPr="007478FB" w:rsidRDefault="007241DC" w:rsidP="007241DC">
            <w:pPr>
              <w:tabs>
                <w:tab w:val="right" w:pos="1202"/>
              </w:tabs>
              <w:suppressAutoHyphens/>
              <w:autoSpaceDN w:val="0"/>
              <w:spacing w:line="301" w:lineRule="exact"/>
              <w:jc w:val="right"/>
              <w:outlineLvl w:val="0"/>
              <w:rPr>
                <w:rFonts w:ascii="Arial" w:hAnsi="Arial" w:cs="Arial"/>
                <w:sz w:val="17"/>
                <w:szCs w:val="17"/>
              </w:rPr>
            </w:pPr>
            <w:r w:rsidRPr="00D86AF7">
              <w:rPr>
                <w:rFonts w:ascii="Arial" w:hAnsi="Arial" w:cs="Arial"/>
                <w:sz w:val="17"/>
                <w:szCs w:val="17"/>
              </w:rPr>
              <w:t xml:space="preserve"> (98)</w:t>
            </w:r>
          </w:p>
        </w:tc>
        <w:tc>
          <w:tcPr>
            <w:tcW w:w="421" w:type="pct"/>
            <w:tcBorders>
              <w:top w:val="nil"/>
              <w:left w:val="nil"/>
              <w:bottom w:val="nil"/>
              <w:right w:val="nil"/>
            </w:tcBorders>
            <w:shd w:val="clear" w:color="auto" w:fill="auto"/>
            <w:vAlign w:val="bottom"/>
          </w:tcPr>
          <w:p w14:paraId="7C1580BE" w14:textId="7CF1F50E" w:rsidR="007241DC" w:rsidRPr="00D86AF7" w:rsidRDefault="007241DC" w:rsidP="007241DC">
            <w:pPr>
              <w:tabs>
                <w:tab w:val="right" w:pos="1202"/>
              </w:tabs>
              <w:suppressAutoHyphens/>
              <w:autoSpaceDN w:val="0"/>
              <w:spacing w:line="301" w:lineRule="exact"/>
              <w:jc w:val="right"/>
              <w:outlineLvl w:val="0"/>
              <w:rPr>
                <w:rFonts w:ascii="Arial" w:hAnsi="Arial" w:cs="Arial"/>
                <w:sz w:val="17"/>
                <w:szCs w:val="17"/>
              </w:rPr>
            </w:pPr>
            <w:r w:rsidRPr="00D86AF7">
              <w:rPr>
                <w:rFonts w:ascii="Arial" w:hAnsi="Arial" w:cs="Arial"/>
                <w:sz w:val="17"/>
                <w:szCs w:val="17"/>
              </w:rPr>
              <w:t xml:space="preserve"> (345)</w:t>
            </w:r>
          </w:p>
        </w:tc>
        <w:tc>
          <w:tcPr>
            <w:tcW w:w="416" w:type="pct"/>
            <w:tcBorders>
              <w:top w:val="nil"/>
              <w:left w:val="nil"/>
              <w:bottom w:val="nil"/>
              <w:right w:val="nil"/>
            </w:tcBorders>
            <w:shd w:val="clear" w:color="auto" w:fill="auto"/>
            <w:vAlign w:val="bottom"/>
          </w:tcPr>
          <w:p w14:paraId="5FF8F46E" w14:textId="507882C9" w:rsidR="007241DC" w:rsidRPr="00A410E3" w:rsidRDefault="007241DC" w:rsidP="007241DC">
            <w:pPr>
              <w:tabs>
                <w:tab w:val="right" w:pos="1202"/>
              </w:tabs>
              <w:suppressAutoHyphens/>
              <w:autoSpaceDN w:val="0"/>
              <w:spacing w:line="301" w:lineRule="exact"/>
              <w:jc w:val="right"/>
              <w:outlineLvl w:val="0"/>
              <w:rPr>
                <w:rFonts w:ascii="Arial" w:hAnsi="Arial" w:cs="Arial"/>
                <w:sz w:val="17"/>
                <w:szCs w:val="17"/>
              </w:rPr>
            </w:pPr>
            <w:r w:rsidRPr="00A410E3">
              <w:rPr>
                <w:rFonts w:ascii="Arial" w:hAnsi="Arial" w:cs="Arial"/>
                <w:sz w:val="17"/>
                <w:szCs w:val="17"/>
              </w:rPr>
              <w:t xml:space="preserve"> (81)</w:t>
            </w:r>
          </w:p>
        </w:tc>
        <w:tc>
          <w:tcPr>
            <w:tcW w:w="423" w:type="pct"/>
            <w:tcBorders>
              <w:top w:val="nil"/>
              <w:left w:val="nil"/>
              <w:bottom w:val="nil"/>
              <w:right w:val="nil"/>
            </w:tcBorders>
            <w:shd w:val="clear" w:color="auto" w:fill="auto"/>
            <w:vAlign w:val="bottom"/>
          </w:tcPr>
          <w:p w14:paraId="6CC60017" w14:textId="3A3E3495" w:rsidR="007241DC" w:rsidRPr="00A410E3" w:rsidRDefault="007241DC" w:rsidP="007241DC">
            <w:pPr>
              <w:tabs>
                <w:tab w:val="right" w:pos="1202"/>
              </w:tabs>
              <w:suppressAutoHyphens/>
              <w:autoSpaceDN w:val="0"/>
              <w:spacing w:line="301" w:lineRule="exact"/>
              <w:jc w:val="right"/>
              <w:outlineLvl w:val="0"/>
              <w:rPr>
                <w:rFonts w:ascii="Arial" w:hAnsi="Arial" w:cs="Arial"/>
                <w:sz w:val="17"/>
                <w:szCs w:val="17"/>
              </w:rPr>
            </w:pPr>
            <w:r w:rsidRPr="00A410E3">
              <w:rPr>
                <w:rFonts w:ascii="Arial" w:hAnsi="Arial" w:cs="Arial"/>
                <w:sz w:val="17"/>
                <w:szCs w:val="17"/>
              </w:rPr>
              <w:t xml:space="preserve"> (260)</w:t>
            </w:r>
          </w:p>
        </w:tc>
        <w:tc>
          <w:tcPr>
            <w:tcW w:w="412" w:type="pct"/>
            <w:tcBorders>
              <w:top w:val="nil"/>
              <w:left w:val="nil"/>
              <w:bottom w:val="nil"/>
              <w:right w:val="nil"/>
            </w:tcBorders>
            <w:vAlign w:val="bottom"/>
          </w:tcPr>
          <w:p w14:paraId="493CCF8D" w14:textId="7468A79A" w:rsidR="007241DC" w:rsidRPr="007478FB" w:rsidRDefault="007241DC" w:rsidP="007241DC">
            <w:pPr>
              <w:tabs>
                <w:tab w:val="right" w:pos="1202"/>
              </w:tabs>
              <w:suppressAutoHyphens/>
              <w:autoSpaceDN w:val="0"/>
              <w:spacing w:line="301" w:lineRule="exact"/>
              <w:jc w:val="right"/>
              <w:outlineLvl w:val="0"/>
              <w:rPr>
                <w:rFonts w:ascii="Arial" w:hAnsi="Arial" w:cs="Arial"/>
                <w:sz w:val="17"/>
                <w:szCs w:val="17"/>
              </w:rPr>
            </w:pPr>
            <w:r w:rsidRPr="0072101D">
              <w:rPr>
                <w:rFonts w:ascii="Arial" w:hAnsi="Arial" w:cs="Arial"/>
                <w:sz w:val="17"/>
                <w:szCs w:val="17"/>
              </w:rPr>
              <w:t xml:space="preserve"> (98)</w:t>
            </w:r>
          </w:p>
        </w:tc>
        <w:tc>
          <w:tcPr>
            <w:tcW w:w="389" w:type="pct"/>
            <w:tcBorders>
              <w:top w:val="nil"/>
              <w:left w:val="nil"/>
              <w:bottom w:val="nil"/>
              <w:right w:val="nil"/>
            </w:tcBorders>
            <w:shd w:val="clear" w:color="auto" w:fill="auto"/>
            <w:vAlign w:val="bottom"/>
          </w:tcPr>
          <w:p w14:paraId="02FE7449" w14:textId="133D3655" w:rsidR="007241DC" w:rsidRPr="007478FB" w:rsidRDefault="007241DC" w:rsidP="007241DC">
            <w:pPr>
              <w:tabs>
                <w:tab w:val="right" w:pos="1202"/>
              </w:tabs>
              <w:suppressAutoHyphens/>
              <w:autoSpaceDN w:val="0"/>
              <w:spacing w:line="301" w:lineRule="exact"/>
              <w:jc w:val="right"/>
              <w:outlineLvl w:val="0"/>
              <w:rPr>
                <w:rFonts w:ascii="Arial" w:hAnsi="Arial" w:cs="Arial"/>
                <w:sz w:val="17"/>
                <w:szCs w:val="17"/>
              </w:rPr>
            </w:pPr>
            <w:r w:rsidRPr="0072101D">
              <w:rPr>
                <w:rFonts w:ascii="Arial" w:hAnsi="Arial" w:cs="Arial"/>
                <w:sz w:val="17"/>
                <w:szCs w:val="17"/>
              </w:rPr>
              <w:t xml:space="preserve"> (345)</w:t>
            </w:r>
          </w:p>
        </w:tc>
      </w:tr>
      <w:tr w:rsidR="007241DC" w:rsidRPr="00C87657" w14:paraId="7ABEDB53" w14:textId="77777777" w:rsidTr="00ED201E">
        <w:trPr>
          <w:trHeight w:val="20"/>
        </w:trPr>
        <w:tc>
          <w:tcPr>
            <w:tcW w:w="1675" w:type="pct"/>
            <w:vAlign w:val="bottom"/>
          </w:tcPr>
          <w:p w14:paraId="363A5562" w14:textId="77777777" w:rsidR="007241DC" w:rsidRPr="007478FB" w:rsidRDefault="007241DC" w:rsidP="007241DC">
            <w:pPr>
              <w:tabs>
                <w:tab w:val="right" w:pos="1202"/>
              </w:tabs>
              <w:suppressAutoHyphens/>
              <w:autoSpaceDN w:val="0"/>
              <w:spacing w:line="301" w:lineRule="exact"/>
              <w:outlineLvl w:val="0"/>
              <w:rPr>
                <w:rFonts w:ascii="Arial" w:eastAsia="Times New Roman" w:hAnsi="Arial" w:cs="Arial"/>
                <w:color w:val="000000" w:themeColor="text1"/>
                <w:sz w:val="17"/>
                <w:szCs w:val="17"/>
              </w:rPr>
            </w:pPr>
            <w:bookmarkStart w:id="301" w:name="_Toc67327765"/>
            <w:r w:rsidRPr="007478FB">
              <w:rPr>
                <w:rFonts w:ascii="Arial" w:eastAsia="Times New Roman" w:hAnsi="Arial" w:cs="Arial"/>
                <w:color w:val="000000" w:themeColor="text1"/>
                <w:sz w:val="17"/>
                <w:szCs w:val="17"/>
              </w:rPr>
              <w:t>Modifikacijski (dobitak)/gubitak po kreditima ostalim korisnicima</w:t>
            </w:r>
            <w:bookmarkEnd w:id="301"/>
          </w:p>
        </w:tc>
        <w:tc>
          <w:tcPr>
            <w:tcW w:w="425" w:type="pct"/>
            <w:tcBorders>
              <w:top w:val="nil"/>
              <w:left w:val="nil"/>
              <w:bottom w:val="nil"/>
              <w:right w:val="nil"/>
            </w:tcBorders>
            <w:shd w:val="clear" w:color="auto" w:fill="auto"/>
            <w:vAlign w:val="bottom"/>
          </w:tcPr>
          <w:p w14:paraId="767F1E25" w14:textId="182AFD41" w:rsidR="007241DC" w:rsidRPr="00ED201E" w:rsidRDefault="007241DC" w:rsidP="007241DC">
            <w:pPr>
              <w:tabs>
                <w:tab w:val="right" w:pos="1202"/>
              </w:tabs>
              <w:suppressAutoHyphens/>
              <w:autoSpaceDN w:val="0"/>
              <w:spacing w:line="301" w:lineRule="exact"/>
              <w:jc w:val="right"/>
              <w:outlineLvl w:val="0"/>
              <w:rPr>
                <w:rFonts w:ascii="Arial" w:hAnsi="Arial" w:cs="Arial"/>
                <w:sz w:val="17"/>
                <w:szCs w:val="17"/>
              </w:rPr>
            </w:pPr>
            <w:r w:rsidRPr="00ED201E">
              <w:rPr>
                <w:rFonts w:ascii="Arial" w:hAnsi="Arial" w:cs="Arial"/>
                <w:sz w:val="17"/>
                <w:szCs w:val="17"/>
              </w:rPr>
              <w:t xml:space="preserve"> (639)</w:t>
            </w:r>
          </w:p>
        </w:tc>
        <w:tc>
          <w:tcPr>
            <w:tcW w:w="422" w:type="pct"/>
            <w:tcBorders>
              <w:top w:val="nil"/>
              <w:left w:val="nil"/>
              <w:bottom w:val="nil"/>
              <w:right w:val="nil"/>
            </w:tcBorders>
            <w:shd w:val="clear" w:color="auto" w:fill="auto"/>
            <w:vAlign w:val="bottom"/>
          </w:tcPr>
          <w:p w14:paraId="05B4728C" w14:textId="444269F9" w:rsidR="007241DC" w:rsidRPr="00ED201E" w:rsidRDefault="007241DC" w:rsidP="007241DC">
            <w:pPr>
              <w:tabs>
                <w:tab w:val="right" w:pos="1202"/>
              </w:tabs>
              <w:suppressAutoHyphens/>
              <w:autoSpaceDN w:val="0"/>
              <w:spacing w:line="301" w:lineRule="exact"/>
              <w:jc w:val="right"/>
              <w:outlineLvl w:val="0"/>
              <w:rPr>
                <w:rFonts w:ascii="Arial" w:hAnsi="Arial" w:cs="Arial"/>
                <w:sz w:val="17"/>
                <w:szCs w:val="17"/>
              </w:rPr>
            </w:pPr>
            <w:r w:rsidRPr="00ED201E">
              <w:rPr>
                <w:rFonts w:ascii="Arial" w:hAnsi="Arial" w:cs="Arial"/>
                <w:sz w:val="17"/>
                <w:szCs w:val="17"/>
              </w:rPr>
              <w:t xml:space="preserve"> (468)</w:t>
            </w:r>
          </w:p>
        </w:tc>
        <w:tc>
          <w:tcPr>
            <w:tcW w:w="417" w:type="pct"/>
            <w:tcBorders>
              <w:top w:val="nil"/>
              <w:left w:val="nil"/>
              <w:bottom w:val="nil"/>
              <w:right w:val="nil"/>
            </w:tcBorders>
            <w:shd w:val="clear" w:color="auto" w:fill="auto"/>
            <w:vAlign w:val="bottom"/>
          </w:tcPr>
          <w:p w14:paraId="769B1722" w14:textId="34C8332F" w:rsidR="007241DC" w:rsidRPr="007478FB" w:rsidRDefault="007241DC" w:rsidP="007241DC">
            <w:pPr>
              <w:tabs>
                <w:tab w:val="right" w:pos="1202"/>
              </w:tabs>
              <w:suppressAutoHyphens/>
              <w:autoSpaceDN w:val="0"/>
              <w:spacing w:line="301" w:lineRule="exact"/>
              <w:jc w:val="right"/>
              <w:outlineLvl w:val="0"/>
              <w:rPr>
                <w:rFonts w:ascii="Arial" w:hAnsi="Arial" w:cs="Arial"/>
                <w:sz w:val="17"/>
                <w:szCs w:val="17"/>
              </w:rPr>
            </w:pPr>
            <w:r w:rsidRPr="00D86AF7">
              <w:rPr>
                <w:rFonts w:ascii="Arial" w:hAnsi="Arial" w:cs="Arial"/>
                <w:sz w:val="17"/>
                <w:szCs w:val="17"/>
              </w:rPr>
              <w:t xml:space="preserve"> (698)</w:t>
            </w:r>
          </w:p>
        </w:tc>
        <w:tc>
          <w:tcPr>
            <w:tcW w:w="421" w:type="pct"/>
            <w:tcBorders>
              <w:top w:val="nil"/>
              <w:left w:val="nil"/>
              <w:bottom w:val="nil"/>
              <w:right w:val="nil"/>
            </w:tcBorders>
            <w:shd w:val="clear" w:color="auto" w:fill="auto"/>
            <w:vAlign w:val="bottom"/>
          </w:tcPr>
          <w:p w14:paraId="76EA4FEA" w14:textId="30526A9B" w:rsidR="007241DC" w:rsidRPr="00D86AF7" w:rsidRDefault="007241DC" w:rsidP="007241DC">
            <w:pPr>
              <w:tabs>
                <w:tab w:val="right" w:pos="1202"/>
              </w:tabs>
              <w:suppressAutoHyphens/>
              <w:autoSpaceDN w:val="0"/>
              <w:spacing w:line="301" w:lineRule="exact"/>
              <w:jc w:val="right"/>
              <w:outlineLvl w:val="0"/>
              <w:rPr>
                <w:rFonts w:ascii="Arial" w:hAnsi="Arial" w:cs="Arial"/>
                <w:sz w:val="17"/>
                <w:szCs w:val="17"/>
              </w:rPr>
            </w:pPr>
            <w:r w:rsidRPr="00D86AF7">
              <w:rPr>
                <w:rFonts w:ascii="Arial" w:hAnsi="Arial" w:cs="Arial"/>
                <w:sz w:val="17"/>
                <w:szCs w:val="17"/>
              </w:rPr>
              <w:t xml:space="preserve"> (743)</w:t>
            </w:r>
          </w:p>
        </w:tc>
        <w:tc>
          <w:tcPr>
            <w:tcW w:w="416" w:type="pct"/>
            <w:tcBorders>
              <w:top w:val="nil"/>
              <w:left w:val="nil"/>
              <w:bottom w:val="nil"/>
              <w:right w:val="nil"/>
            </w:tcBorders>
            <w:shd w:val="clear" w:color="auto" w:fill="auto"/>
            <w:vAlign w:val="bottom"/>
          </w:tcPr>
          <w:p w14:paraId="1608B082" w14:textId="7F74109E" w:rsidR="007241DC" w:rsidRPr="00A410E3" w:rsidRDefault="007241DC" w:rsidP="007241DC">
            <w:pPr>
              <w:tabs>
                <w:tab w:val="right" w:pos="1202"/>
              </w:tabs>
              <w:suppressAutoHyphens/>
              <w:autoSpaceDN w:val="0"/>
              <w:spacing w:line="301" w:lineRule="exact"/>
              <w:jc w:val="right"/>
              <w:outlineLvl w:val="0"/>
              <w:rPr>
                <w:rFonts w:ascii="Arial" w:hAnsi="Arial" w:cs="Arial"/>
                <w:sz w:val="17"/>
                <w:szCs w:val="17"/>
              </w:rPr>
            </w:pPr>
            <w:r w:rsidRPr="00A410E3">
              <w:rPr>
                <w:rFonts w:ascii="Arial" w:hAnsi="Arial" w:cs="Arial"/>
                <w:sz w:val="17"/>
                <w:szCs w:val="17"/>
              </w:rPr>
              <w:t xml:space="preserve"> (639)</w:t>
            </w:r>
          </w:p>
        </w:tc>
        <w:tc>
          <w:tcPr>
            <w:tcW w:w="423" w:type="pct"/>
            <w:tcBorders>
              <w:top w:val="nil"/>
              <w:left w:val="nil"/>
              <w:bottom w:val="nil"/>
              <w:right w:val="nil"/>
            </w:tcBorders>
            <w:shd w:val="clear" w:color="auto" w:fill="auto"/>
            <w:vAlign w:val="bottom"/>
          </w:tcPr>
          <w:p w14:paraId="66681F4D" w14:textId="22AE6B18" w:rsidR="007241DC" w:rsidRPr="00A410E3" w:rsidRDefault="007241DC" w:rsidP="007241DC">
            <w:pPr>
              <w:tabs>
                <w:tab w:val="right" w:pos="1202"/>
              </w:tabs>
              <w:suppressAutoHyphens/>
              <w:autoSpaceDN w:val="0"/>
              <w:spacing w:line="301" w:lineRule="exact"/>
              <w:jc w:val="right"/>
              <w:outlineLvl w:val="0"/>
              <w:rPr>
                <w:rFonts w:ascii="Arial" w:hAnsi="Arial" w:cs="Arial"/>
                <w:sz w:val="17"/>
                <w:szCs w:val="17"/>
              </w:rPr>
            </w:pPr>
            <w:r w:rsidRPr="00A410E3">
              <w:rPr>
                <w:rFonts w:ascii="Arial" w:hAnsi="Arial" w:cs="Arial"/>
                <w:sz w:val="17"/>
                <w:szCs w:val="17"/>
              </w:rPr>
              <w:t xml:space="preserve"> (468)</w:t>
            </w:r>
          </w:p>
        </w:tc>
        <w:tc>
          <w:tcPr>
            <w:tcW w:w="412" w:type="pct"/>
            <w:tcBorders>
              <w:top w:val="nil"/>
              <w:left w:val="nil"/>
              <w:bottom w:val="nil"/>
              <w:right w:val="nil"/>
            </w:tcBorders>
            <w:vAlign w:val="bottom"/>
          </w:tcPr>
          <w:p w14:paraId="587A2AA3" w14:textId="517DB85E" w:rsidR="007241DC" w:rsidRPr="007478FB" w:rsidRDefault="007241DC" w:rsidP="007241DC">
            <w:pPr>
              <w:tabs>
                <w:tab w:val="right" w:pos="1202"/>
              </w:tabs>
              <w:suppressAutoHyphens/>
              <w:autoSpaceDN w:val="0"/>
              <w:spacing w:line="301" w:lineRule="exact"/>
              <w:jc w:val="right"/>
              <w:outlineLvl w:val="0"/>
              <w:rPr>
                <w:rFonts w:ascii="Arial" w:hAnsi="Arial" w:cs="Arial"/>
                <w:sz w:val="17"/>
                <w:szCs w:val="17"/>
              </w:rPr>
            </w:pPr>
            <w:r w:rsidRPr="0072101D">
              <w:rPr>
                <w:rFonts w:ascii="Arial" w:hAnsi="Arial" w:cs="Arial"/>
                <w:sz w:val="17"/>
                <w:szCs w:val="17"/>
              </w:rPr>
              <w:t xml:space="preserve"> (698)</w:t>
            </w:r>
          </w:p>
        </w:tc>
        <w:tc>
          <w:tcPr>
            <w:tcW w:w="389" w:type="pct"/>
            <w:tcBorders>
              <w:top w:val="nil"/>
              <w:left w:val="nil"/>
              <w:bottom w:val="nil"/>
              <w:right w:val="nil"/>
            </w:tcBorders>
            <w:shd w:val="clear" w:color="auto" w:fill="auto"/>
            <w:vAlign w:val="bottom"/>
          </w:tcPr>
          <w:p w14:paraId="4385B007" w14:textId="067C182D" w:rsidR="007241DC" w:rsidRPr="007478FB" w:rsidRDefault="007241DC" w:rsidP="007241DC">
            <w:pPr>
              <w:tabs>
                <w:tab w:val="right" w:pos="1202"/>
              </w:tabs>
              <w:suppressAutoHyphens/>
              <w:autoSpaceDN w:val="0"/>
              <w:spacing w:line="301" w:lineRule="exact"/>
              <w:jc w:val="right"/>
              <w:outlineLvl w:val="0"/>
              <w:rPr>
                <w:rFonts w:ascii="Arial" w:hAnsi="Arial" w:cs="Arial"/>
                <w:sz w:val="17"/>
                <w:szCs w:val="17"/>
              </w:rPr>
            </w:pPr>
            <w:r w:rsidRPr="0072101D">
              <w:rPr>
                <w:rFonts w:ascii="Arial" w:hAnsi="Arial" w:cs="Arial"/>
                <w:sz w:val="17"/>
                <w:szCs w:val="17"/>
              </w:rPr>
              <w:t xml:space="preserve"> (743)</w:t>
            </w:r>
          </w:p>
        </w:tc>
      </w:tr>
      <w:tr w:rsidR="007241DC" w:rsidRPr="00C87657" w14:paraId="6AEC01E1" w14:textId="77777777" w:rsidTr="00ED201E">
        <w:trPr>
          <w:trHeight w:val="20"/>
        </w:trPr>
        <w:tc>
          <w:tcPr>
            <w:tcW w:w="1675" w:type="pct"/>
            <w:vAlign w:val="bottom"/>
          </w:tcPr>
          <w:p w14:paraId="06F0F6BE" w14:textId="77777777" w:rsidR="007241DC" w:rsidRPr="007478FB" w:rsidRDefault="007241DC" w:rsidP="007241DC">
            <w:pPr>
              <w:tabs>
                <w:tab w:val="right" w:pos="1202"/>
              </w:tabs>
              <w:suppressAutoHyphens/>
              <w:autoSpaceDN w:val="0"/>
              <w:spacing w:line="301" w:lineRule="exact"/>
              <w:outlineLvl w:val="0"/>
              <w:rPr>
                <w:rFonts w:ascii="Arial" w:eastAsia="Times New Roman" w:hAnsi="Arial" w:cs="Arial"/>
                <w:color w:val="000000" w:themeColor="text1"/>
                <w:sz w:val="17"/>
                <w:szCs w:val="17"/>
              </w:rPr>
            </w:pPr>
            <w:bookmarkStart w:id="302" w:name="_Toc67327770"/>
            <w:r w:rsidRPr="007478FB">
              <w:rPr>
                <w:rFonts w:ascii="Arial" w:eastAsia="Times New Roman" w:hAnsi="Arial" w:cs="Arial"/>
                <w:color w:val="000000" w:themeColor="text1"/>
                <w:sz w:val="17"/>
                <w:szCs w:val="17"/>
              </w:rPr>
              <w:t>POCI imovina – usklađenje fer vrijednosti kod inicijalnog priznavanja</w:t>
            </w:r>
            <w:bookmarkEnd w:id="302"/>
          </w:p>
        </w:tc>
        <w:tc>
          <w:tcPr>
            <w:tcW w:w="425" w:type="pct"/>
            <w:tcBorders>
              <w:top w:val="nil"/>
              <w:left w:val="nil"/>
              <w:bottom w:val="nil"/>
              <w:right w:val="nil"/>
            </w:tcBorders>
            <w:shd w:val="clear" w:color="auto" w:fill="auto"/>
            <w:vAlign w:val="bottom"/>
          </w:tcPr>
          <w:p w14:paraId="6855884B" w14:textId="42E85A9C" w:rsidR="007241DC" w:rsidRPr="00ED201E" w:rsidRDefault="007241DC" w:rsidP="007241DC">
            <w:pPr>
              <w:tabs>
                <w:tab w:val="right" w:pos="1202"/>
              </w:tabs>
              <w:suppressAutoHyphens/>
              <w:autoSpaceDN w:val="0"/>
              <w:spacing w:line="301" w:lineRule="exact"/>
              <w:jc w:val="right"/>
              <w:outlineLvl w:val="0"/>
              <w:rPr>
                <w:rFonts w:ascii="Arial" w:hAnsi="Arial" w:cs="Arial"/>
                <w:sz w:val="17"/>
                <w:szCs w:val="17"/>
              </w:rPr>
            </w:pPr>
            <w:r w:rsidRPr="00ED201E">
              <w:rPr>
                <w:rFonts w:ascii="Arial" w:hAnsi="Arial" w:cs="Arial"/>
                <w:sz w:val="17"/>
                <w:szCs w:val="17"/>
              </w:rPr>
              <w:t xml:space="preserve"> 25 </w:t>
            </w:r>
          </w:p>
        </w:tc>
        <w:tc>
          <w:tcPr>
            <w:tcW w:w="422" w:type="pct"/>
            <w:tcBorders>
              <w:top w:val="nil"/>
              <w:left w:val="nil"/>
              <w:bottom w:val="nil"/>
              <w:right w:val="nil"/>
            </w:tcBorders>
            <w:shd w:val="clear" w:color="auto" w:fill="auto"/>
            <w:vAlign w:val="bottom"/>
          </w:tcPr>
          <w:p w14:paraId="345AA1C7" w14:textId="66E8F4C0" w:rsidR="007241DC" w:rsidRPr="00ED201E" w:rsidRDefault="007241DC" w:rsidP="007241DC">
            <w:pPr>
              <w:tabs>
                <w:tab w:val="right" w:pos="1202"/>
              </w:tabs>
              <w:suppressAutoHyphens/>
              <w:autoSpaceDN w:val="0"/>
              <w:spacing w:line="301" w:lineRule="exact"/>
              <w:jc w:val="right"/>
              <w:outlineLvl w:val="0"/>
              <w:rPr>
                <w:rFonts w:ascii="Arial" w:hAnsi="Arial" w:cs="Arial"/>
                <w:sz w:val="17"/>
                <w:szCs w:val="17"/>
              </w:rPr>
            </w:pPr>
            <w:r w:rsidRPr="00ED201E">
              <w:rPr>
                <w:rFonts w:ascii="Arial" w:hAnsi="Arial" w:cs="Arial"/>
                <w:sz w:val="17"/>
                <w:szCs w:val="17"/>
              </w:rPr>
              <w:t xml:space="preserve"> 8.686 </w:t>
            </w:r>
          </w:p>
        </w:tc>
        <w:tc>
          <w:tcPr>
            <w:tcW w:w="417" w:type="pct"/>
            <w:tcBorders>
              <w:top w:val="nil"/>
              <w:left w:val="nil"/>
              <w:bottom w:val="nil"/>
              <w:right w:val="nil"/>
            </w:tcBorders>
            <w:shd w:val="clear" w:color="auto" w:fill="auto"/>
            <w:vAlign w:val="bottom"/>
          </w:tcPr>
          <w:p w14:paraId="13FD24CA" w14:textId="2DAD690D" w:rsidR="007241DC" w:rsidRPr="007478FB" w:rsidRDefault="007241DC" w:rsidP="007241DC">
            <w:pPr>
              <w:tabs>
                <w:tab w:val="right" w:pos="1202"/>
              </w:tabs>
              <w:suppressAutoHyphens/>
              <w:autoSpaceDN w:val="0"/>
              <w:spacing w:line="301" w:lineRule="exact"/>
              <w:jc w:val="right"/>
              <w:outlineLvl w:val="0"/>
              <w:rPr>
                <w:rFonts w:ascii="Arial" w:hAnsi="Arial" w:cs="Arial"/>
                <w:sz w:val="17"/>
                <w:szCs w:val="17"/>
              </w:rPr>
            </w:pPr>
            <w:r w:rsidRPr="00D86AF7">
              <w:rPr>
                <w:rFonts w:ascii="Arial" w:hAnsi="Arial" w:cs="Arial"/>
                <w:sz w:val="17"/>
                <w:szCs w:val="17"/>
              </w:rPr>
              <w:t xml:space="preserve"> - </w:t>
            </w:r>
          </w:p>
        </w:tc>
        <w:tc>
          <w:tcPr>
            <w:tcW w:w="421" w:type="pct"/>
            <w:tcBorders>
              <w:top w:val="nil"/>
              <w:left w:val="nil"/>
              <w:bottom w:val="nil"/>
              <w:right w:val="nil"/>
            </w:tcBorders>
            <w:shd w:val="clear" w:color="auto" w:fill="auto"/>
            <w:vAlign w:val="bottom"/>
          </w:tcPr>
          <w:p w14:paraId="6536869A" w14:textId="5BA7FC4B" w:rsidR="007241DC" w:rsidRPr="00D86AF7" w:rsidRDefault="007241DC" w:rsidP="007241DC">
            <w:pPr>
              <w:tabs>
                <w:tab w:val="right" w:pos="1202"/>
              </w:tabs>
              <w:suppressAutoHyphens/>
              <w:autoSpaceDN w:val="0"/>
              <w:spacing w:line="301" w:lineRule="exact"/>
              <w:jc w:val="right"/>
              <w:outlineLvl w:val="0"/>
              <w:rPr>
                <w:rFonts w:ascii="Arial" w:hAnsi="Arial" w:cs="Arial"/>
                <w:sz w:val="17"/>
                <w:szCs w:val="17"/>
              </w:rPr>
            </w:pPr>
            <w:r w:rsidRPr="00D86AF7">
              <w:rPr>
                <w:rFonts w:ascii="Arial" w:hAnsi="Arial" w:cs="Arial"/>
                <w:sz w:val="17"/>
                <w:szCs w:val="17"/>
              </w:rPr>
              <w:t xml:space="preserve"> 5.602 </w:t>
            </w:r>
          </w:p>
        </w:tc>
        <w:tc>
          <w:tcPr>
            <w:tcW w:w="416" w:type="pct"/>
            <w:tcBorders>
              <w:top w:val="nil"/>
              <w:left w:val="nil"/>
              <w:bottom w:val="nil"/>
              <w:right w:val="nil"/>
            </w:tcBorders>
            <w:shd w:val="clear" w:color="auto" w:fill="auto"/>
            <w:vAlign w:val="bottom"/>
          </w:tcPr>
          <w:p w14:paraId="77D6A8E5" w14:textId="184F4E90" w:rsidR="007241DC" w:rsidRPr="00A410E3" w:rsidRDefault="007241DC" w:rsidP="007241DC">
            <w:pPr>
              <w:tabs>
                <w:tab w:val="right" w:pos="1202"/>
              </w:tabs>
              <w:suppressAutoHyphens/>
              <w:autoSpaceDN w:val="0"/>
              <w:spacing w:line="301" w:lineRule="exact"/>
              <w:jc w:val="right"/>
              <w:outlineLvl w:val="0"/>
              <w:rPr>
                <w:rFonts w:ascii="Arial" w:hAnsi="Arial" w:cs="Arial"/>
                <w:sz w:val="17"/>
                <w:szCs w:val="17"/>
              </w:rPr>
            </w:pPr>
            <w:r w:rsidRPr="00A410E3">
              <w:rPr>
                <w:rFonts w:ascii="Arial" w:hAnsi="Arial" w:cs="Arial"/>
                <w:sz w:val="17"/>
                <w:szCs w:val="17"/>
              </w:rPr>
              <w:t xml:space="preserve"> 25 </w:t>
            </w:r>
          </w:p>
        </w:tc>
        <w:tc>
          <w:tcPr>
            <w:tcW w:w="423" w:type="pct"/>
            <w:tcBorders>
              <w:top w:val="nil"/>
              <w:left w:val="nil"/>
              <w:bottom w:val="nil"/>
              <w:right w:val="nil"/>
            </w:tcBorders>
            <w:shd w:val="clear" w:color="auto" w:fill="auto"/>
            <w:vAlign w:val="bottom"/>
          </w:tcPr>
          <w:p w14:paraId="011A4910" w14:textId="3585B1CC" w:rsidR="007241DC" w:rsidRPr="00A410E3" w:rsidRDefault="007241DC" w:rsidP="007241DC">
            <w:pPr>
              <w:tabs>
                <w:tab w:val="right" w:pos="1202"/>
              </w:tabs>
              <w:suppressAutoHyphens/>
              <w:autoSpaceDN w:val="0"/>
              <w:spacing w:line="301" w:lineRule="exact"/>
              <w:jc w:val="right"/>
              <w:outlineLvl w:val="0"/>
              <w:rPr>
                <w:rFonts w:ascii="Arial" w:hAnsi="Arial" w:cs="Arial"/>
                <w:sz w:val="17"/>
                <w:szCs w:val="17"/>
              </w:rPr>
            </w:pPr>
            <w:r w:rsidRPr="00A410E3">
              <w:rPr>
                <w:rFonts w:ascii="Arial" w:hAnsi="Arial" w:cs="Arial"/>
                <w:sz w:val="17"/>
                <w:szCs w:val="17"/>
              </w:rPr>
              <w:t xml:space="preserve"> 8.686 </w:t>
            </w:r>
          </w:p>
        </w:tc>
        <w:tc>
          <w:tcPr>
            <w:tcW w:w="412" w:type="pct"/>
            <w:tcBorders>
              <w:top w:val="nil"/>
              <w:left w:val="nil"/>
              <w:bottom w:val="nil"/>
              <w:right w:val="nil"/>
            </w:tcBorders>
            <w:vAlign w:val="bottom"/>
          </w:tcPr>
          <w:p w14:paraId="02A88661" w14:textId="6ED92FF6" w:rsidR="007241DC" w:rsidRPr="007478FB" w:rsidRDefault="007241DC" w:rsidP="007241DC">
            <w:pPr>
              <w:tabs>
                <w:tab w:val="right" w:pos="1202"/>
              </w:tabs>
              <w:suppressAutoHyphens/>
              <w:autoSpaceDN w:val="0"/>
              <w:spacing w:line="301" w:lineRule="exact"/>
              <w:jc w:val="right"/>
              <w:outlineLvl w:val="0"/>
              <w:rPr>
                <w:rFonts w:ascii="Arial" w:hAnsi="Arial" w:cs="Arial"/>
                <w:sz w:val="17"/>
                <w:szCs w:val="17"/>
              </w:rPr>
            </w:pPr>
            <w:r w:rsidRPr="0072101D">
              <w:rPr>
                <w:rFonts w:ascii="Arial" w:hAnsi="Arial" w:cs="Arial"/>
                <w:sz w:val="17"/>
                <w:szCs w:val="17"/>
              </w:rPr>
              <w:t xml:space="preserve"> - </w:t>
            </w:r>
          </w:p>
        </w:tc>
        <w:tc>
          <w:tcPr>
            <w:tcW w:w="389" w:type="pct"/>
            <w:tcBorders>
              <w:top w:val="nil"/>
              <w:left w:val="nil"/>
              <w:bottom w:val="nil"/>
              <w:right w:val="nil"/>
            </w:tcBorders>
            <w:shd w:val="clear" w:color="auto" w:fill="auto"/>
            <w:vAlign w:val="bottom"/>
          </w:tcPr>
          <w:p w14:paraId="6871A5A1" w14:textId="54F35B06" w:rsidR="007241DC" w:rsidRPr="007478FB" w:rsidRDefault="007241DC" w:rsidP="007241DC">
            <w:pPr>
              <w:tabs>
                <w:tab w:val="right" w:pos="1202"/>
              </w:tabs>
              <w:suppressAutoHyphens/>
              <w:autoSpaceDN w:val="0"/>
              <w:spacing w:line="301" w:lineRule="exact"/>
              <w:jc w:val="right"/>
              <w:outlineLvl w:val="0"/>
              <w:rPr>
                <w:rFonts w:ascii="Arial" w:hAnsi="Arial" w:cs="Arial"/>
                <w:sz w:val="17"/>
                <w:szCs w:val="17"/>
              </w:rPr>
            </w:pPr>
            <w:r w:rsidRPr="0072101D">
              <w:rPr>
                <w:rFonts w:ascii="Arial" w:hAnsi="Arial" w:cs="Arial"/>
                <w:sz w:val="17"/>
                <w:szCs w:val="17"/>
              </w:rPr>
              <w:t xml:space="preserve"> 5.602 </w:t>
            </w:r>
          </w:p>
        </w:tc>
      </w:tr>
      <w:tr w:rsidR="007241DC" w:rsidRPr="00C87657" w14:paraId="7E8B3E91" w14:textId="77777777" w:rsidTr="00ED201E">
        <w:trPr>
          <w:trHeight w:val="20"/>
        </w:trPr>
        <w:tc>
          <w:tcPr>
            <w:tcW w:w="1675" w:type="pct"/>
            <w:vAlign w:val="bottom"/>
          </w:tcPr>
          <w:p w14:paraId="7B110BB9" w14:textId="77777777" w:rsidR="007241DC" w:rsidRPr="007478FB" w:rsidRDefault="007241DC" w:rsidP="007241DC">
            <w:pPr>
              <w:tabs>
                <w:tab w:val="right" w:pos="1202"/>
              </w:tabs>
              <w:suppressAutoHyphens/>
              <w:autoSpaceDN w:val="0"/>
              <w:spacing w:line="301" w:lineRule="exact"/>
              <w:outlineLvl w:val="0"/>
              <w:rPr>
                <w:rFonts w:ascii="Arial" w:eastAsia="Times New Roman" w:hAnsi="Arial" w:cs="Arial"/>
                <w:color w:val="000000" w:themeColor="text1"/>
                <w:sz w:val="17"/>
                <w:szCs w:val="17"/>
              </w:rPr>
            </w:pPr>
            <w:bookmarkStart w:id="303" w:name="_Toc67327775"/>
            <w:r w:rsidRPr="007478FB">
              <w:rPr>
                <w:rFonts w:ascii="Arial" w:eastAsia="Times New Roman" w:hAnsi="Arial" w:cs="Arial"/>
                <w:color w:val="000000" w:themeColor="text1"/>
                <w:sz w:val="17"/>
                <w:szCs w:val="17"/>
              </w:rPr>
              <w:t>Rezerviranja za gubitke financijske imovine po fer vrijednosti kroz ostalu sveobuhvatnu dobit</w:t>
            </w:r>
            <w:bookmarkEnd w:id="303"/>
          </w:p>
        </w:tc>
        <w:tc>
          <w:tcPr>
            <w:tcW w:w="425" w:type="pct"/>
            <w:tcBorders>
              <w:top w:val="nil"/>
              <w:left w:val="nil"/>
              <w:bottom w:val="nil"/>
              <w:right w:val="nil"/>
            </w:tcBorders>
            <w:shd w:val="clear" w:color="auto" w:fill="auto"/>
            <w:vAlign w:val="bottom"/>
          </w:tcPr>
          <w:p w14:paraId="4D61F4E9" w14:textId="1202610A" w:rsidR="007241DC" w:rsidRPr="00ED201E" w:rsidRDefault="007241DC" w:rsidP="007241DC">
            <w:pPr>
              <w:tabs>
                <w:tab w:val="right" w:pos="1202"/>
              </w:tabs>
              <w:suppressAutoHyphens/>
              <w:autoSpaceDN w:val="0"/>
              <w:spacing w:line="301" w:lineRule="exact"/>
              <w:jc w:val="right"/>
              <w:outlineLvl w:val="0"/>
              <w:rPr>
                <w:rFonts w:ascii="Arial" w:hAnsi="Arial" w:cs="Arial"/>
                <w:sz w:val="17"/>
                <w:szCs w:val="17"/>
              </w:rPr>
            </w:pPr>
            <w:r w:rsidRPr="00ED201E">
              <w:rPr>
                <w:rFonts w:ascii="Arial" w:hAnsi="Arial" w:cs="Arial"/>
                <w:sz w:val="17"/>
                <w:szCs w:val="17"/>
              </w:rPr>
              <w:t xml:space="preserve"> (37)</w:t>
            </w:r>
          </w:p>
        </w:tc>
        <w:tc>
          <w:tcPr>
            <w:tcW w:w="422" w:type="pct"/>
            <w:tcBorders>
              <w:top w:val="nil"/>
              <w:left w:val="nil"/>
              <w:bottom w:val="nil"/>
              <w:right w:val="nil"/>
            </w:tcBorders>
            <w:shd w:val="clear" w:color="auto" w:fill="auto"/>
            <w:vAlign w:val="bottom"/>
          </w:tcPr>
          <w:p w14:paraId="41FD6D94" w14:textId="005176B5" w:rsidR="007241DC" w:rsidRPr="00ED201E" w:rsidRDefault="007241DC" w:rsidP="007241DC">
            <w:pPr>
              <w:tabs>
                <w:tab w:val="right" w:pos="1202"/>
              </w:tabs>
              <w:suppressAutoHyphens/>
              <w:autoSpaceDN w:val="0"/>
              <w:spacing w:line="301" w:lineRule="exact"/>
              <w:jc w:val="right"/>
              <w:outlineLvl w:val="0"/>
              <w:rPr>
                <w:rFonts w:ascii="Arial" w:hAnsi="Arial" w:cs="Arial"/>
                <w:sz w:val="17"/>
                <w:szCs w:val="17"/>
              </w:rPr>
            </w:pPr>
            <w:r w:rsidRPr="00ED201E">
              <w:rPr>
                <w:rFonts w:ascii="Arial" w:hAnsi="Arial" w:cs="Arial"/>
                <w:sz w:val="17"/>
                <w:szCs w:val="17"/>
              </w:rPr>
              <w:t xml:space="preserve"> (21)</w:t>
            </w:r>
          </w:p>
        </w:tc>
        <w:tc>
          <w:tcPr>
            <w:tcW w:w="417" w:type="pct"/>
            <w:tcBorders>
              <w:top w:val="nil"/>
              <w:left w:val="nil"/>
              <w:bottom w:val="nil"/>
              <w:right w:val="nil"/>
            </w:tcBorders>
            <w:shd w:val="clear" w:color="auto" w:fill="auto"/>
            <w:vAlign w:val="bottom"/>
          </w:tcPr>
          <w:p w14:paraId="3261A5ED" w14:textId="0A58A48F" w:rsidR="007241DC" w:rsidRPr="007478FB" w:rsidRDefault="007241DC" w:rsidP="007241DC">
            <w:pPr>
              <w:tabs>
                <w:tab w:val="right" w:pos="1202"/>
              </w:tabs>
              <w:suppressAutoHyphens/>
              <w:autoSpaceDN w:val="0"/>
              <w:spacing w:line="301" w:lineRule="exact"/>
              <w:jc w:val="right"/>
              <w:outlineLvl w:val="0"/>
              <w:rPr>
                <w:rFonts w:ascii="Arial" w:hAnsi="Arial" w:cs="Arial"/>
                <w:sz w:val="17"/>
                <w:szCs w:val="17"/>
              </w:rPr>
            </w:pPr>
            <w:r w:rsidRPr="00D86AF7">
              <w:rPr>
                <w:rFonts w:ascii="Arial" w:hAnsi="Arial" w:cs="Arial"/>
                <w:sz w:val="17"/>
                <w:szCs w:val="17"/>
              </w:rPr>
              <w:t xml:space="preserve"> (64)</w:t>
            </w:r>
          </w:p>
        </w:tc>
        <w:tc>
          <w:tcPr>
            <w:tcW w:w="421" w:type="pct"/>
            <w:tcBorders>
              <w:top w:val="nil"/>
              <w:left w:val="nil"/>
              <w:bottom w:val="nil"/>
              <w:right w:val="nil"/>
            </w:tcBorders>
            <w:shd w:val="clear" w:color="auto" w:fill="auto"/>
            <w:vAlign w:val="bottom"/>
          </w:tcPr>
          <w:p w14:paraId="57FBA321" w14:textId="743E2675" w:rsidR="007241DC" w:rsidRPr="00D86AF7" w:rsidRDefault="007241DC" w:rsidP="007241DC">
            <w:pPr>
              <w:tabs>
                <w:tab w:val="right" w:pos="1202"/>
              </w:tabs>
              <w:suppressAutoHyphens/>
              <w:autoSpaceDN w:val="0"/>
              <w:spacing w:line="301" w:lineRule="exact"/>
              <w:jc w:val="right"/>
              <w:outlineLvl w:val="0"/>
              <w:rPr>
                <w:rFonts w:ascii="Arial" w:hAnsi="Arial" w:cs="Arial"/>
                <w:sz w:val="17"/>
                <w:szCs w:val="17"/>
              </w:rPr>
            </w:pPr>
            <w:r w:rsidRPr="00D86AF7">
              <w:rPr>
                <w:rFonts w:ascii="Arial" w:hAnsi="Arial" w:cs="Arial"/>
                <w:sz w:val="17"/>
                <w:szCs w:val="17"/>
              </w:rPr>
              <w:t xml:space="preserve"> (108)</w:t>
            </w:r>
          </w:p>
        </w:tc>
        <w:tc>
          <w:tcPr>
            <w:tcW w:w="416" w:type="pct"/>
            <w:tcBorders>
              <w:top w:val="nil"/>
              <w:left w:val="nil"/>
              <w:bottom w:val="nil"/>
              <w:right w:val="nil"/>
            </w:tcBorders>
            <w:shd w:val="clear" w:color="auto" w:fill="auto"/>
            <w:vAlign w:val="bottom"/>
          </w:tcPr>
          <w:p w14:paraId="6BAE0A9E" w14:textId="65029D86" w:rsidR="007241DC" w:rsidRPr="00A410E3" w:rsidRDefault="007241DC" w:rsidP="007241DC">
            <w:pPr>
              <w:tabs>
                <w:tab w:val="right" w:pos="1202"/>
              </w:tabs>
              <w:suppressAutoHyphens/>
              <w:autoSpaceDN w:val="0"/>
              <w:spacing w:line="301" w:lineRule="exact"/>
              <w:jc w:val="right"/>
              <w:outlineLvl w:val="0"/>
              <w:rPr>
                <w:rFonts w:ascii="Arial" w:hAnsi="Arial" w:cs="Arial"/>
                <w:sz w:val="17"/>
                <w:szCs w:val="17"/>
              </w:rPr>
            </w:pPr>
            <w:r w:rsidRPr="00A410E3">
              <w:rPr>
                <w:rFonts w:ascii="Arial" w:hAnsi="Arial" w:cs="Arial"/>
                <w:sz w:val="17"/>
                <w:szCs w:val="17"/>
              </w:rPr>
              <w:t xml:space="preserve"> (35)</w:t>
            </w:r>
          </w:p>
        </w:tc>
        <w:tc>
          <w:tcPr>
            <w:tcW w:w="423" w:type="pct"/>
            <w:tcBorders>
              <w:top w:val="nil"/>
              <w:left w:val="nil"/>
              <w:bottom w:val="nil"/>
              <w:right w:val="nil"/>
            </w:tcBorders>
            <w:shd w:val="clear" w:color="auto" w:fill="auto"/>
            <w:vAlign w:val="bottom"/>
          </w:tcPr>
          <w:p w14:paraId="0EDA433E" w14:textId="30620349" w:rsidR="007241DC" w:rsidRPr="00A410E3" w:rsidRDefault="007241DC" w:rsidP="007241DC">
            <w:pPr>
              <w:tabs>
                <w:tab w:val="right" w:pos="1202"/>
              </w:tabs>
              <w:suppressAutoHyphens/>
              <w:autoSpaceDN w:val="0"/>
              <w:spacing w:line="301" w:lineRule="exact"/>
              <w:jc w:val="right"/>
              <w:outlineLvl w:val="0"/>
              <w:rPr>
                <w:rFonts w:ascii="Arial" w:hAnsi="Arial" w:cs="Arial"/>
                <w:sz w:val="17"/>
                <w:szCs w:val="17"/>
              </w:rPr>
            </w:pPr>
            <w:r w:rsidRPr="00A410E3">
              <w:rPr>
                <w:rFonts w:ascii="Arial" w:hAnsi="Arial" w:cs="Arial"/>
                <w:sz w:val="17"/>
                <w:szCs w:val="17"/>
              </w:rPr>
              <w:t xml:space="preserve"> (19)</w:t>
            </w:r>
          </w:p>
        </w:tc>
        <w:tc>
          <w:tcPr>
            <w:tcW w:w="412" w:type="pct"/>
            <w:tcBorders>
              <w:top w:val="nil"/>
              <w:left w:val="nil"/>
              <w:bottom w:val="nil"/>
              <w:right w:val="nil"/>
            </w:tcBorders>
            <w:vAlign w:val="bottom"/>
          </w:tcPr>
          <w:p w14:paraId="77FB19C2" w14:textId="3FF83482" w:rsidR="007241DC" w:rsidRPr="007478FB" w:rsidRDefault="007241DC" w:rsidP="007241DC">
            <w:pPr>
              <w:tabs>
                <w:tab w:val="right" w:pos="1202"/>
              </w:tabs>
              <w:suppressAutoHyphens/>
              <w:autoSpaceDN w:val="0"/>
              <w:spacing w:line="301" w:lineRule="exact"/>
              <w:jc w:val="right"/>
              <w:outlineLvl w:val="0"/>
              <w:rPr>
                <w:rFonts w:ascii="Arial" w:hAnsi="Arial" w:cs="Arial"/>
                <w:sz w:val="17"/>
                <w:szCs w:val="17"/>
              </w:rPr>
            </w:pPr>
            <w:r w:rsidRPr="0072101D">
              <w:rPr>
                <w:rFonts w:ascii="Arial" w:hAnsi="Arial" w:cs="Arial"/>
                <w:sz w:val="17"/>
                <w:szCs w:val="17"/>
              </w:rPr>
              <w:t xml:space="preserve"> (62)</w:t>
            </w:r>
          </w:p>
        </w:tc>
        <w:tc>
          <w:tcPr>
            <w:tcW w:w="389" w:type="pct"/>
            <w:tcBorders>
              <w:top w:val="nil"/>
              <w:left w:val="nil"/>
              <w:bottom w:val="nil"/>
              <w:right w:val="nil"/>
            </w:tcBorders>
            <w:shd w:val="clear" w:color="auto" w:fill="auto"/>
            <w:vAlign w:val="bottom"/>
          </w:tcPr>
          <w:p w14:paraId="66524E1B" w14:textId="077769EE" w:rsidR="007241DC" w:rsidRPr="007478FB" w:rsidRDefault="007241DC" w:rsidP="007241DC">
            <w:pPr>
              <w:tabs>
                <w:tab w:val="right" w:pos="1202"/>
              </w:tabs>
              <w:suppressAutoHyphens/>
              <w:autoSpaceDN w:val="0"/>
              <w:spacing w:line="301" w:lineRule="exact"/>
              <w:jc w:val="right"/>
              <w:outlineLvl w:val="0"/>
              <w:rPr>
                <w:rFonts w:ascii="Arial" w:hAnsi="Arial" w:cs="Arial"/>
                <w:sz w:val="17"/>
                <w:szCs w:val="17"/>
              </w:rPr>
            </w:pPr>
            <w:r w:rsidRPr="0072101D">
              <w:rPr>
                <w:rFonts w:ascii="Arial" w:hAnsi="Arial" w:cs="Arial"/>
                <w:sz w:val="17"/>
                <w:szCs w:val="17"/>
              </w:rPr>
              <w:t xml:space="preserve"> (107)</w:t>
            </w:r>
          </w:p>
        </w:tc>
      </w:tr>
      <w:tr w:rsidR="00ED201E" w:rsidRPr="00C87657" w14:paraId="33EAD8DA" w14:textId="77777777" w:rsidTr="00ED201E">
        <w:trPr>
          <w:trHeight w:val="20"/>
        </w:trPr>
        <w:tc>
          <w:tcPr>
            <w:tcW w:w="1675" w:type="pct"/>
            <w:vAlign w:val="bottom"/>
          </w:tcPr>
          <w:p w14:paraId="3EEC3BEF" w14:textId="77777777" w:rsidR="00ED201E" w:rsidRPr="007478FB" w:rsidRDefault="00ED201E" w:rsidP="00ED201E">
            <w:pPr>
              <w:tabs>
                <w:tab w:val="right" w:pos="1202"/>
              </w:tabs>
              <w:suppressAutoHyphens/>
              <w:autoSpaceDN w:val="0"/>
              <w:spacing w:line="301" w:lineRule="exact"/>
              <w:outlineLvl w:val="0"/>
              <w:rPr>
                <w:rFonts w:ascii="Arial" w:eastAsia="Times New Roman" w:hAnsi="Arial" w:cs="Arial"/>
                <w:color w:val="000000" w:themeColor="text1"/>
                <w:spacing w:val="-2"/>
                <w:sz w:val="17"/>
                <w:szCs w:val="17"/>
              </w:rPr>
            </w:pPr>
            <w:bookmarkStart w:id="304" w:name="_Toc67327785"/>
            <w:r w:rsidRPr="007478FB">
              <w:rPr>
                <w:rFonts w:ascii="Arial" w:eastAsia="Times New Roman" w:hAnsi="Arial" w:cs="Arial"/>
                <w:color w:val="000000" w:themeColor="text1"/>
                <w:sz w:val="17"/>
                <w:szCs w:val="17"/>
              </w:rPr>
              <w:t>Rezerviranja za gubitke po ostaloj imovini</w:t>
            </w:r>
            <w:bookmarkEnd w:id="304"/>
          </w:p>
        </w:tc>
        <w:tc>
          <w:tcPr>
            <w:tcW w:w="425" w:type="pct"/>
            <w:tcBorders>
              <w:top w:val="nil"/>
              <w:left w:val="nil"/>
              <w:bottom w:val="nil"/>
              <w:right w:val="nil"/>
            </w:tcBorders>
            <w:shd w:val="clear" w:color="auto" w:fill="auto"/>
            <w:vAlign w:val="bottom"/>
          </w:tcPr>
          <w:p w14:paraId="683A73CF" w14:textId="733A305C" w:rsidR="00ED201E" w:rsidRPr="00ED201E" w:rsidRDefault="00ED201E" w:rsidP="00ED201E">
            <w:pPr>
              <w:tabs>
                <w:tab w:val="right" w:pos="1202"/>
              </w:tabs>
              <w:suppressAutoHyphens/>
              <w:autoSpaceDN w:val="0"/>
              <w:spacing w:line="301" w:lineRule="exact"/>
              <w:jc w:val="right"/>
              <w:outlineLvl w:val="0"/>
              <w:rPr>
                <w:rFonts w:ascii="Arial" w:hAnsi="Arial" w:cs="Arial"/>
                <w:sz w:val="17"/>
                <w:szCs w:val="17"/>
              </w:rPr>
            </w:pPr>
            <w:r w:rsidRPr="00ED201E">
              <w:rPr>
                <w:rFonts w:ascii="Arial" w:hAnsi="Arial" w:cs="Arial"/>
                <w:sz w:val="17"/>
                <w:szCs w:val="17"/>
              </w:rPr>
              <w:t xml:space="preserve"> 24 </w:t>
            </w:r>
          </w:p>
        </w:tc>
        <w:tc>
          <w:tcPr>
            <w:tcW w:w="422" w:type="pct"/>
            <w:tcBorders>
              <w:top w:val="nil"/>
              <w:left w:val="nil"/>
              <w:bottom w:val="nil"/>
              <w:right w:val="nil"/>
            </w:tcBorders>
            <w:shd w:val="clear" w:color="auto" w:fill="auto"/>
            <w:vAlign w:val="bottom"/>
          </w:tcPr>
          <w:p w14:paraId="2579B507" w14:textId="1A5E28C5" w:rsidR="00ED201E" w:rsidRPr="00ED201E" w:rsidRDefault="00ED201E" w:rsidP="00ED201E">
            <w:pPr>
              <w:tabs>
                <w:tab w:val="right" w:pos="1202"/>
              </w:tabs>
              <w:suppressAutoHyphens/>
              <w:autoSpaceDN w:val="0"/>
              <w:spacing w:line="301" w:lineRule="exact"/>
              <w:jc w:val="right"/>
              <w:outlineLvl w:val="0"/>
              <w:rPr>
                <w:rFonts w:ascii="Arial" w:hAnsi="Arial" w:cs="Arial"/>
                <w:sz w:val="17"/>
                <w:szCs w:val="17"/>
              </w:rPr>
            </w:pPr>
            <w:r w:rsidRPr="00ED201E">
              <w:rPr>
                <w:rFonts w:ascii="Arial" w:hAnsi="Arial" w:cs="Arial"/>
                <w:sz w:val="17"/>
                <w:szCs w:val="17"/>
              </w:rPr>
              <w:t xml:space="preserve"> 355 </w:t>
            </w:r>
          </w:p>
        </w:tc>
        <w:tc>
          <w:tcPr>
            <w:tcW w:w="417" w:type="pct"/>
            <w:tcBorders>
              <w:top w:val="nil"/>
              <w:left w:val="nil"/>
              <w:bottom w:val="nil"/>
              <w:right w:val="nil"/>
            </w:tcBorders>
            <w:shd w:val="clear" w:color="auto" w:fill="auto"/>
            <w:vAlign w:val="bottom"/>
          </w:tcPr>
          <w:p w14:paraId="49228570" w14:textId="7B5251A4" w:rsidR="00ED201E" w:rsidRPr="007478FB" w:rsidRDefault="00ED201E" w:rsidP="00ED201E">
            <w:pPr>
              <w:tabs>
                <w:tab w:val="right" w:pos="1202"/>
              </w:tabs>
              <w:suppressAutoHyphens/>
              <w:autoSpaceDN w:val="0"/>
              <w:spacing w:line="301" w:lineRule="exact"/>
              <w:jc w:val="right"/>
              <w:outlineLvl w:val="0"/>
              <w:rPr>
                <w:rFonts w:ascii="Arial" w:hAnsi="Arial" w:cs="Arial"/>
                <w:sz w:val="17"/>
                <w:szCs w:val="17"/>
              </w:rPr>
            </w:pPr>
            <w:r w:rsidRPr="00D86AF7">
              <w:rPr>
                <w:rFonts w:ascii="Arial" w:hAnsi="Arial" w:cs="Arial"/>
                <w:sz w:val="17"/>
                <w:szCs w:val="17"/>
              </w:rPr>
              <w:t xml:space="preserve"> 27 </w:t>
            </w:r>
          </w:p>
        </w:tc>
        <w:tc>
          <w:tcPr>
            <w:tcW w:w="421" w:type="pct"/>
            <w:tcBorders>
              <w:top w:val="nil"/>
              <w:left w:val="nil"/>
              <w:bottom w:val="nil"/>
              <w:right w:val="nil"/>
            </w:tcBorders>
            <w:shd w:val="clear" w:color="auto" w:fill="auto"/>
            <w:vAlign w:val="bottom"/>
          </w:tcPr>
          <w:p w14:paraId="07C41206" w14:textId="115D09A6" w:rsidR="00ED201E" w:rsidRPr="00D86AF7" w:rsidRDefault="00ED201E" w:rsidP="00ED201E">
            <w:pPr>
              <w:tabs>
                <w:tab w:val="right" w:pos="1202"/>
              </w:tabs>
              <w:suppressAutoHyphens/>
              <w:autoSpaceDN w:val="0"/>
              <w:spacing w:line="301" w:lineRule="exact"/>
              <w:jc w:val="right"/>
              <w:outlineLvl w:val="0"/>
              <w:rPr>
                <w:rFonts w:ascii="Arial" w:hAnsi="Arial" w:cs="Arial"/>
                <w:sz w:val="17"/>
                <w:szCs w:val="17"/>
              </w:rPr>
            </w:pPr>
            <w:r w:rsidRPr="00D86AF7">
              <w:rPr>
                <w:rFonts w:ascii="Arial" w:hAnsi="Arial" w:cs="Arial"/>
                <w:sz w:val="17"/>
                <w:szCs w:val="17"/>
              </w:rPr>
              <w:t xml:space="preserve"> (228)</w:t>
            </w:r>
          </w:p>
        </w:tc>
        <w:tc>
          <w:tcPr>
            <w:tcW w:w="416" w:type="pct"/>
            <w:tcBorders>
              <w:top w:val="nil"/>
              <w:left w:val="nil"/>
              <w:bottom w:val="nil"/>
              <w:right w:val="nil"/>
            </w:tcBorders>
            <w:shd w:val="clear" w:color="auto" w:fill="auto"/>
            <w:vAlign w:val="bottom"/>
          </w:tcPr>
          <w:p w14:paraId="07F42DA0" w14:textId="3B24C6AF" w:rsidR="00ED201E" w:rsidRPr="00A410E3" w:rsidRDefault="00ED201E" w:rsidP="00ED201E">
            <w:pPr>
              <w:tabs>
                <w:tab w:val="right" w:pos="1202"/>
              </w:tabs>
              <w:suppressAutoHyphens/>
              <w:autoSpaceDN w:val="0"/>
              <w:spacing w:line="301" w:lineRule="exact"/>
              <w:jc w:val="right"/>
              <w:outlineLvl w:val="0"/>
              <w:rPr>
                <w:rFonts w:ascii="Arial" w:hAnsi="Arial" w:cs="Arial"/>
                <w:sz w:val="17"/>
                <w:szCs w:val="17"/>
              </w:rPr>
            </w:pPr>
            <w:r w:rsidRPr="00A410E3">
              <w:rPr>
                <w:rFonts w:ascii="Arial" w:hAnsi="Arial" w:cs="Arial"/>
                <w:sz w:val="17"/>
                <w:szCs w:val="17"/>
              </w:rPr>
              <w:t xml:space="preserve"> 6 </w:t>
            </w:r>
          </w:p>
        </w:tc>
        <w:tc>
          <w:tcPr>
            <w:tcW w:w="423" w:type="pct"/>
            <w:tcBorders>
              <w:top w:val="nil"/>
              <w:left w:val="nil"/>
              <w:bottom w:val="nil"/>
              <w:right w:val="nil"/>
            </w:tcBorders>
            <w:shd w:val="clear" w:color="auto" w:fill="auto"/>
            <w:vAlign w:val="bottom"/>
          </w:tcPr>
          <w:p w14:paraId="3D870481" w14:textId="0CE70623" w:rsidR="00ED201E" w:rsidRPr="00A410E3" w:rsidRDefault="00ED201E" w:rsidP="00ED201E">
            <w:pPr>
              <w:tabs>
                <w:tab w:val="right" w:pos="1202"/>
              </w:tabs>
              <w:suppressAutoHyphens/>
              <w:autoSpaceDN w:val="0"/>
              <w:spacing w:line="301" w:lineRule="exact"/>
              <w:jc w:val="right"/>
              <w:outlineLvl w:val="0"/>
              <w:rPr>
                <w:rFonts w:ascii="Arial" w:hAnsi="Arial" w:cs="Arial"/>
                <w:sz w:val="17"/>
                <w:szCs w:val="17"/>
              </w:rPr>
            </w:pPr>
            <w:r w:rsidRPr="00A410E3">
              <w:rPr>
                <w:rFonts w:ascii="Arial" w:hAnsi="Arial" w:cs="Arial"/>
                <w:sz w:val="17"/>
                <w:szCs w:val="17"/>
              </w:rPr>
              <w:t xml:space="preserve"> 336 </w:t>
            </w:r>
          </w:p>
        </w:tc>
        <w:tc>
          <w:tcPr>
            <w:tcW w:w="412" w:type="pct"/>
            <w:tcBorders>
              <w:top w:val="nil"/>
              <w:left w:val="nil"/>
              <w:bottom w:val="nil"/>
              <w:right w:val="nil"/>
            </w:tcBorders>
            <w:vAlign w:val="bottom"/>
          </w:tcPr>
          <w:p w14:paraId="73E53978" w14:textId="03673EED" w:rsidR="00ED201E" w:rsidRPr="007478FB" w:rsidRDefault="00ED201E" w:rsidP="00ED201E">
            <w:pPr>
              <w:tabs>
                <w:tab w:val="right" w:pos="1202"/>
              </w:tabs>
              <w:suppressAutoHyphens/>
              <w:autoSpaceDN w:val="0"/>
              <w:spacing w:line="301" w:lineRule="exact"/>
              <w:jc w:val="right"/>
              <w:outlineLvl w:val="0"/>
              <w:rPr>
                <w:rFonts w:ascii="Arial" w:hAnsi="Arial" w:cs="Arial"/>
                <w:sz w:val="17"/>
                <w:szCs w:val="17"/>
              </w:rPr>
            </w:pPr>
            <w:r w:rsidRPr="0072101D">
              <w:rPr>
                <w:rFonts w:ascii="Arial" w:hAnsi="Arial" w:cs="Arial"/>
                <w:sz w:val="17"/>
                <w:szCs w:val="17"/>
              </w:rPr>
              <w:t xml:space="preserve"> 24 </w:t>
            </w:r>
          </w:p>
        </w:tc>
        <w:tc>
          <w:tcPr>
            <w:tcW w:w="389" w:type="pct"/>
            <w:tcBorders>
              <w:top w:val="nil"/>
              <w:left w:val="nil"/>
              <w:bottom w:val="nil"/>
              <w:right w:val="nil"/>
            </w:tcBorders>
            <w:shd w:val="clear" w:color="auto" w:fill="auto"/>
            <w:vAlign w:val="bottom"/>
          </w:tcPr>
          <w:p w14:paraId="7FC4973C" w14:textId="4C5E4E49" w:rsidR="00ED201E" w:rsidRPr="007478FB" w:rsidRDefault="00ED201E" w:rsidP="00ED201E">
            <w:pPr>
              <w:tabs>
                <w:tab w:val="right" w:pos="1202"/>
              </w:tabs>
              <w:suppressAutoHyphens/>
              <w:autoSpaceDN w:val="0"/>
              <w:spacing w:line="301" w:lineRule="exact"/>
              <w:jc w:val="right"/>
              <w:outlineLvl w:val="0"/>
              <w:rPr>
                <w:rFonts w:ascii="Arial" w:hAnsi="Arial" w:cs="Arial"/>
                <w:sz w:val="17"/>
                <w:szCs w:val="17"/>
              </w:rPr>
            </w:pPr>
            <w:r w:rsidRPr="0072101D">
              <w:rPr>
                <w:rFonts w:ascii="Arial" w:hAnsi="Arial" w:cs="Arial"/>
                <w:sz w:val="17"/>
                <w:szCs w:val="17"/>
              </w:rPr>
              <w:t xml:space="preserve"> (230)</w:t>
            </w:r>
          </w:p>
        </w:tc>
      </w:tr>
      <w:tr w:rsidR="00ED201E" w:rsidRPr="00C87657" w14:paraId="1D4EFBD8" w14:textId="77777777" w:rsidTr="00ED201E">
        <w:trPr>
          <w:trHeight w:val="20"/>
        </w:trPr>
        <w:tc>
          <w:tcPr>
            <w:tcW w:w="1675" w:type="pct"/>
            <w:vAlign w:val="bottom"/>
          </w:tcPr>
          <w:p w14:paraId="538DE701" w14:textId="77777777" w:rsidR="00ED201E" w:rsidRPr="007478FB" w:rsidRDefault="00ED201E" w:rsidP="00ED201E">
            <w:pPr>
              <w:tabs>
                <w:tab w:val="right" w:pos="1202"/>
              </w:tabs>
              <w:suppressAutoHyphens/>
              <w:autoSpaceDN w:val="0"/>
              <w:spacing w:line="301" w:lineRule="exact"/>
              <w:outlineLvl w:val="0"/>
              <w:rPr>
                <w:rFonts w:ascii="Arial" w:eastAsia="Times New Roman" w:hAnsi="Arial" w:cs="Arial"/>
                <w:color w:val="000000" w:themeColor="text1"/>
                <w:spacing w:val="-2"/>
                <w:sz w:val="17"/>
                <w:szCs w:val="17"/>
              </w:rPr>
            </w:pPr>
            <w:bookmarkStart w:id="305" w:name="_Toc67327790"/>
            <w:r w:rsidRPr="007478FB">
              <w:rPr>
                <w:rFonts w:ascii="Arial" w:eastAsia="Times New Roman" w:hAnsi="Arial" w:cs="Arial"/>
                <w:color w:val="000000" w:themeColor="text1"/>
                <w:sz w:val="17"/>
                <w:szCs w:val="17"/>
              </w:rPr>
              <w:t>Rezerviranja za gubitke po preuzetim obvezama po kreditima</w:t>
            </w:r>
            <w:bookmarkEnd w:id="305"/>
          </w:p>
        </w:tc>
        <w:tc>
          <w:tcPr>
            <w:tcW w:w="425" w:type="pct"/>
            <w:tcBorders>
              <w:top w:val="nil"/>
              <w:left w:val="nil"/>
              <w:right w:val="nil"/>
            </w:tcBorders>
            <w:shd w:val="clear" w:color="auto" w:fill="auto"/>
            <w:vAlign w:val="bottom"/>
          </w:tcPr>
          <w:p w14:paraId="0121F25A" w14:textId="294EBE0C" w:rsidR="00ED201E" w:rsidRPr="00ED201E" w:rsidRDefault="00ED201E" w:rsidP="00ED201E">
            <w:pPr>
              <w:tabs>
                <w:tab w:val="right" w:pos="1202"/>
              </w:tabs>
              <w:suppressAutoHyphens/>
              <w:autoSpaceDN w:val="0"/>
              <w:spacing w:line="301" w:lineRule="exact"/>
              <w:jc w:val="right"/>
              <w:outlineLvl w:val="0"/>
              <w:rPr>
                <w:rFonts w:ascii="Arial" w:hAnsi="Arial" w:cs="Arial"/>
                <w:sz w:val="17"/>
                <w:szCs w:val="17"/>
              </w:rPr>
            </w:pPr>
            <w:r w:rsidRPr="00ED201E">
              <w:rPr>
                <w:rFonts w:ascii="Arial" w:hAnsi="Arial" w:cs="Arial"/>
                <w:sz w:val="17"/>
                <w:szCs w:val="17"/>
              </w:rPr>
              <w:t xml:space="preserve"> (1.601)</w:t>
            </w:r>
          </w:p>
        </w:tc>
        <w:tc>
          <w:tcPr>
            <w:tcW w:w="422" w:type="pct"/>
            <w:tcBorders>
              <w:top w:val="nil"/>
              <w:left w:val="nil"/>
              <w:right w:val="nil"/>
            </w:tcBorders>
            <w:shd w:val="clear" w:color="auto" w:fill="auto"/>
            <w:vAlign w:val="bottom"/>
          </w:tcPr>
          <w:p w14:paraId="0E5B24AA" w14:textId="4CDD99D7" w:rsidR="00ED201E" w:rsidRPr="00ED201E" w:rsidRDefault="00ED201E" w:rsidP="00ED201E">
            <w:pPr>
              <w:tabs>
                <w:tab w:val="right" w:pos="1202"/>
              </w:tabs>
              <w:suppressAutoHyphens/>
              <w:autoSpaceDN w:val="0"/>
              <w:spacing w:line="301" w:lineRule="exact"/>
              <w:jc w:val="right"/>
              <w:outlineLvl w:val="0"/>
              <w:rPr>
                <w:rFonts w:ascii="Arial" w:hAnsi="Arial" w:cs="Arial"/>
                <w:sz w:val="17"/>
                <w:szCs w:val="17"/>
              </w:rPr>
            </w:pPr>
            <w:r w:rsidRPr="00ED201E">
              <w:rPr>
                <w:rFonts w:ascii="Arial" w:hAnsi="Arial" w:cs="Arial"/>
                <w:sz w:val="17"/>
                <w:szCs w:val="17"/>
              </w:rPr>
              <w:t xml:space="preserve"> (3.614)</w:t>
            </w:r>
          </w:p>
        </w:tc>
        <w:tc>
          <w:tcPr>
            <w:tcW w:w="417" w:type="pct"/>
            <w:tcBorders>
              <w:top w:val="nil"/>
              <w:left w:val="nil"/>
              <w:right w:val="nil"/>
            </w:tcBorders>
            <w:shd w:val="clear" w:color="auto" w:fill="auto"/>
            <w:vAlign w:val="bottom"/>
          </w:tcPr>
          <w:p w14:paraId="599A498D" w14:textId="15B5D26D" w:rsidR="00ED201E" w:rsidRPr="007478FB" w:rsidRDefault="00ED201E" w:rsidP="00ED201E">
            <w:pPr>
              <w:tabs>
                <w:tab w:val="right" w:pos="1202"/>
              </w:tabs>
              <w:suppressAutoHyphens/>
              <w:autoSpaceDN w:val="0"/>
              <w:spacing w:line="301" w:lineRule="exact"/>
              <w:jc w:val="right"/>
              <w:outlineLvl w:val="0"/>
              <w:rPr>
                <w:rFonts w:ascii="Arial" w:hAnsi="Arial" w:cs="Arial"/>
                <w:sz w:val="17"/>
                <w:szCs w:val="17"/>
              </w:rPr>
            </w:pPr>
            <w:r w:rsidRPr="00D86AF7">
              <w:rPr>
                <w:rFonts w:ascii="Arial" w:hAnsi="Arial" w:cs="Arial"/>
                <w:sz w:val="17"/>
                <w:szCs w:val="17"/>
              </w:rPr>
              <w:t xml:space="preserve"> 8 </w:t>
            </w:r>
          </w:p>
        </w:tc>
        <w:tc>
          <w:tcPr>
            <w:tcW w:w="421" w:type="pct"/>
            <w:tcBorders>
              <w:top w:val="nil"/>
              <w:left w:val="nil"/>
              <w:right w:val="nil"/>
            </w:tcBorders>
            <w:shd w:val="clear" w:color="auto" w:fill="auto"/>
            <w:vAlign w:val="bottom"/>
          </w:tcPr>
          <w:p w14:paraId="05E3F9F8" w14:textId="38734073" w:rsidR="00ED201E" w:rsidRPr="00D86AF7" w:rsidRDefault="00ED201E" w:rsidP="00ED201E">
            <w:pPr>
              <w:tabs>
                <w:tab w:val="right" w:pos="1202"/>
              </w:tabs>
              <w:suppressAutoHyphens/>
              <w:autoSpaceDN w:val="0"/>
              <w:spacing w:line="301" w:lineRule="exact"/>
              <w:jc w:val="right"/>
              <w:outlineLvl w:val="0"/>
              <w:rPr>
                <w:rFonts w:ascii="Arial" w:hAnsi="Arial" w:cs="Arial"/>
                <w:sz w:val="17"/>
                <w:szCs w:val="17"/>
              </w:rPr>
            </w:pPr>
            <w:r w:rsidRPr="00D86AF7">
              <w:rPr>
                <w:rFonts w:ascii="Arial" w:hAnsi="Arial" w:cs="Arial"/>
                <w:sz w:val="17"/>
                <w:szCs w:val="17"/>
              </w:rPr>
              <w:t xml:space="preserve"> 2.587 </w:t>
            </w:r>
          </w:p>
        </w:tc>
        <w:tc>
          <w:tcPr>
            <w:tcW w:w="416" w:type="pct"/>
            <w:tcBorders>
              <w:top w:val="nil"/>
              <w:left w:val="nil"/>
              <w:right w:val="nil"/>
            </w:tcBorders>
            <w:shd w:val="clear" w:color="auto" w:fill="auto"/>
            <w:vAlign w:val="bottom"/>
          </w:tcPr>
          <w:p w14:paraId="15F94217" w14:textId="5E911B4E" w:rsidR="00ED201E" w:rsidRPr="00A410E3" w:rsidRDefault="00ED201E" w:rsidP="00ED201E">
            <w:pPr>
              <w:tabs>
                <w:tab w:val="right" w:pos="1202"/>
              </w:tabs>
              <w:suppressAutoHyphens/>
              <w:autoSpaceDN w:val="0"/>
              <w:spacing w:line="301" w:lineRule="exact"/>
              <w:jc w:val="right"/>
              <w:outlineLvl w:val="0"/>
              <w:rPr>
                <w:rFonts w:ascii="Arial" w:hAnsi="Arial" w:cs="Arial"/>
                <w:sz w:val="17"/>
                <w:szCs w:val="17"/>
              </w:rPr>
            </w:pPr>
            <w:r>
              <w:rPr>
                <w:rFonts w:ascii="Arial" w:hAnsi="Arial" w:cs="Arial"/>
                <w:sz w:val="17"/>
                <w:szCs w:val="17"/>
              </w:rPr>
              <w:t>(</w:t>
            </w:r>
            <w:r w:rsidRPr="00A410E3">
              <w:rPr>
                <w:rFonts w:ascii="Arial" w:hAnsi="Arial" w:cs="Arial"/>
                <w:sz w:val="17"/>
                <w:szCs w:val="17"/>
              </w:rPr>
              <w:t>1.601</w:t>
            </w:r>
            <w:r>
              <w:rPr>
                <w:rFonts w:ascii="Arial" w:hAnsi="Arial" w:cs="Arial"/>
                <w:sz w:val="17"/>
                <w:szCs w:val="17"/>
              </w:rPr>
              <w:t>)</w:t>
            </w:r>
          </w:p>
        </w:tc>
        <w:tc>
          <w:tcPr>
            <w:tcW w:w="423" w:type="pct"/>
            <w:tcBorders>
              <w:top w:val="nil"/>
              <w:left w:val="nil"/>
              <w:right w:val="nil"/>
            </w:tcBorders>
            <w:shd w:val="clear" w:color="auto" w:fill="auto"/>
            <w:vAlign w:val="bottom"/>
          </w:tcPr>
          <w:p w14:paraId="1669192A" w14:textId="5E81DCC9" w:rsidR="00ED201E" w:rsidRPr="00A410E3" w:rsidRDefault="00ED201E" w:rsidP="00ED201E">
            <w:pPr>
              <w:tabs>
                <w:tab w:val="right" w:pos="1202"/>
              </w:tabs>
              <w:suppressAutoHyphens/>
              <w:autoSpaceDN w:val="0"/>
              <w:spacing w:line="301" w:lineRule="exact"/>
              <w:jc w:val="right"/>
              <w:outlineLvl w:val="0"/>
              <w:rPr>
                <w:rFonts w:ascii="Arial" w:hAnsi="Arial" w:cs="Arial"/>
                <w:sz w:val="17"/>
                <w:szCs w:val="17"/>
              </w:rPr>
            </w:pPr>
            <w:r>
              <w:rPr>
                <w:rFonts w:ascii="Arial" w:hAnsi="Arial" w:cs="Arial"/>
                <w:sz w:val="17"/>
                <w:szCs w:val="17"/>
              </w:rPr>
              <w:t>(</w:t>
            </w:r>
            <w:r w:rsidRPr="00A410E3">
              <w:rPr>
                <w:rFonts w:ascii="Arial" w:hAnsi="Arial" w:cs="Arial"/>
                <w:sz w:val="17"/>
                <w:szCs w:val="17"/>
              </w:rPr>
              <w:t>3.614</w:t>
            </w:r>
            <w:r>
              <w:rPr>
                <w:rFonts w:ascii="Arial" w:hAnsi="Arial" w:cs="Arial"/>
                <w:sz w:val="17"/>
                <w:szCs w:val="17"/>
              </w:rPr>
              <w:t>)</w:t>
            </w:r>
          </w:p>
        </w:tc>
        <w:tc>
          <w:tcPr>
            <w:tcW w:w="412" w:type="pct"/>
            <w:tcBorders>
              <w:top w:val="nil"/>
              <w:left w:val="nil"/>
              <w:right w:val="nil"/>
            </w:tcBorders>
            <w:vAlign w:val="bottom"/>
          </w:tcPr>
          <w:p w14:paraId="50DCC6EC" w14:textId="4589B67F" w:rsidR="00ED201E" w:rsidRPr="007478FB" w:rsidRDefault="00ED201E" w:rsidP="00ED201E">
            <w:pPr>
              <w:tabs>
                <w:tab w:val="right" w:pos="1202"/>
              </w:tabs>
              <w:suppressAutoHyphens/>
              <w:autoSpaceDN w:val="0"/>
              <w:spacing w:line="301" w:lineRule="exact"/>
              <w:jc w:val="right"/>
              <w:outlineLvl w:val="0"/>
              <w:rPr>
                <w:rFonts w:ascii="Arial" w:hAnsi="Arial" w:cs="Arial"/>
                <w:sz w:val="17"/>
                <w:szCs w:val="17"/>
              </w:rPr>
            </w:pPr>
            <w:r w:rsidRPr="0072101D">
              <w:rPr>
                <w:rFonts w:ascii="Arial" w:hAnsi="Arial" w:cs="Arial"/>
                <w:sz w:val="17"/>
                <w:szCs w:val="17"/>
              </w:rPr>
              <w:t xml:space="preserve"> 8 </w:t>
            </w:r>
          </w:p>
        </w:tc>
        <w:tc>
          <w:tcPr>
            <w:tcW w:w="389" w:type="pct"/>
            <w:tcBorders>
              <w:top w:val="nil"/>
              <w:left w:val="nil"/>
              <w:right w:val="nil"/>
            </w:tcBorders>
            <w:shd w:val="clear" w:color="auto" w:fill="auto"/>
            <w:vAlign w:val="bottom"/>
          </w:tcPr>
          <w:p w14:paraId="58F72B8F" w14:textId="3D4C66C8" w:rsidR="00ED201E" w:rsidRPr="007478FB" w:rsidRDefault="00ED201E" w:rsidP="00ED201E">
            <w:pPr>
              <w:tabs>
                <w:tab w:val="right" w:pos="1202"/>
              </w:tabs>
              <w:suppressAutoHyphens/>
              <w:autoSpaceDN w:val="0"/>
              <w:spacing w:line="301" w:lineRule="exact"/>
              <w:jc w:val="right"/>
              <w:outlineLvl w:val="0"/>
              <w:rPr>
                <w:rFonts w:ascii="Arial" w:hAnsi="Arial" w:cs="Arial"/>
                <w:sz w:val="17"/>
                <w:szCs w:val="17"/>
              </w:rPr>
            </w:pPr>
            <w:r w:rsidRPr="0072101D">
              <w:rPr>
                <w:rFonts w:ascii="Arial" w:hAnsi="Arial" w:cs="Arial"/>
                <w:sz w:val="17"/>
                <w:szCs w:val="17"/>
              </w:rPr>
              <w:t xml:space="preserve"> 2.587 </w:t>
            </w:r>
          </w:p>
        </w:tc>
      </w:tr>
      <w:tr w:rsidR="00ED201E" w:rsidRPr="00C87657" w14:paraId="235D3DC8" w14:textId="77777777" w:rsidTr="00ED201E">
        <w:trPr>
          <w:trHeight w:val="20"/>
        </w:trPr>
        <w:tc>
          <w:tcPr>
            <w:tcW w:w="1675" w:type="pct"/>
            <w:vAlign w:val="bottom"/>
          </w:tcPr>
          <w:p w14:paraId="7A2060B6" w14:textId="77777777" w:rsidR="00ED201E" w:rsidRPr="007478FB" w:rsidRDefault="00ED201E" w:rsidP="00ED201E">
            <w:pPr>
              <w:tabs>
                <w:tab w:val="right" w:pos="1202"/>
              </w:tabs>
              <w:suppressAutoHyphens/>
              <w:autoSpaceDN w:val="0"/>
              <w:spacing w:line="301" w:lineRule="exact"/>
              <w:outlineLvl w:val="0"/>
              <w:rPr>
                <w:rFonts w:ascii="Arial" w:eastAsia="Times New Roman" w:hAnsi="Arial" w:cs="Arial"/>
                <w:color w:val="000000" w:themeColor="text1"/>
                <w:sz w:val="17"/>
                <w:szCs w:val="17"/>
              </w:rPr>
            </w:pPr>
            <w:bookmarkStart w:id="306" w:name="_Toc67327795"/>
            <w:r w:rsidRPr="007478FB">
              <w:rPr>
                <w:rFonts w:ascii="Arial" w:eastAsia="Times New Roman" w:hAnsi="Arial" w:cs="Arial"/>
                <w:color w:val="000000" w:themeColor="text1"/>
                <w:sz w:val="17"/>
                <w:szCs w:val="17"/>
              </w:rPr>
              <w:t>Rezerviranja za gubitke po garancijama</w:t>
            </w:r>
            <w:bookmarkEnd w:id="306"/>
          </w:p>
        </w:tc>
        <w:tc>
          <w:tcPr>
            <w:tcW w:w="425" w:type="pct"/>
            <w:tcBorders>
              <w:top w:val="nil"/>
              <w:left w:val="nil"/>
              <w:bottom w:val="nil"/>
              <w:right w:val="nil"/>
            </w:tcBorders>
            <w:shd w:val="clear" w:color="auto" w:fill="auto"/>
            <w:vAlign w:val="bottom"/>
          </w:tcPr>
          <w:p w14:paraId="3C203709" w14:textId="6C63B1E2" w:rsidR="00ED201E" w:rsidRPr="00ED201E" w:rsidRDefault="00ED201E" w:rsidP="00ED201E">
            <w:pPr>
              <w:tabs>
                <w:tab w:val="right" w:pos="1202"/>
              </w:tabs>
              <w:suppressAutoHyphens/>
              <w:autoSpaceDN w:val="0"/>
              <w:spacing w:line="301" w:lineRule="exact"/>
              <w:jc w:val="right"/>
              <w:outlineLvl w:val="0"/>
              <w:rPr>
                <w:rFonts w:ascii="Arial" w:hAnsi="Arial" w:cs="Arial"/>
                <w:sz w:val="17"/>
                <w:szCs w:val="17"/>
              </w:rPr>
            </w:pPr>
            <w:r w:rsidRPr="00ED201E">
              <w:rPr>
                <w:rFonts w:ascii="Arial" w:hAnsi="Arial" w:cs="Arial"/>
                <w:sz w:val="17"/>
                <w:szCs w:val="17"/>
              </w:rPr>
              <w:t xml:space="preserve"> (117)</w:t>
            </w:r>
          </w:p>
        </w:tc>
        <w:tc>
          <w:tcPr>
            <w:tcW w:w="422" w:type="pct"/>
            <w:tcBorders>
              <w:top w:val="nil"/>
              <w:left w:val="nil"/>
              <w:bottom w:val="nil"/>
              <w:right w:val="nil"/>
            </w:tcBorders>
            <w:shd w:val="clear" w:color="auto" w:fill="auto"/>
            <w:vAlign w:val="bottom"/>
          </w:tcPr>
          <w:p w14:paraId="3AEC166F" w14:textId="47AC10B4" w:rsidR="00ED201E" w:rsidRPr="00ED201E" w:rsidRDefault="00ED201E" w:rsidP="00ED201E">
            <w:pPr>
              <w:tabs>
                <w:tab w:val="right" w:pos="1202"/>
              </w:tabs>
              <w:suppressAutoHyphens/>
              <w:autoSpaceDN w:val="0"/>
              <w:spacing w:line="301" w:lineRule="exact"/>
              <w:jc w:val="right"/>
              <w:outlineLvl w:val="0"/>
              <w:rPr>
                <w:rFonts w:ascii="Arial" w:hAnsi="Arial" w:cs="Arial"/>
                <w:sz w:val="17"/>
                <w:szCs w:val="17"/>
              </w:rPr>
            </w:pPr>
            <w:r w:rsidRPr="00ED201E">
              <w:rPr>
                <w:rFonts w:ascii="Arial" w:hAnsi="Arial" w:cs="Arial"/>
                <w:sz w:val="17"/>
                <w:szCs w:val="17"/>
              </w:rPr>
              <w:t xml:space="preserve"> (2.601)</w:t>
            </w:r>
          </w:p>
        </w:tc>
        <w:tc>
          <w:tcPr>
            <w:tcW w:w="417" w:type="pct"/>
            <w:tcBorders>
              <w:top w:val="nil"/>
              <w:left w:val="nil"/>
              <w:bottom w:val="nil"/>
              <w:right w:val="nil"/>
            </w:tcBorders>
            <w:shd w:val="clear" w:color="auto" w:fill="auto"/>
            <w:vAlign w:val="bottom"/>
          </w:tcPr>
          <w:p w14:paraId="0E2562B7" w14:textId="11278B87" w:rsidR="00ED201E" w:rsidRPr="007478FB" w:rsidRDefault="00ED201E" w:rsidP="00ED201E">
            <w:pPr>
              <w:tabs>
                <w:tab w:val="right" w:pos="1202"/>
              </w:tabs>
              <w:suppressAutoHyphens/>
              <w:autoSpaceDN w:val="0"/>
              <w:spacing w:line="301" w:lineRule="exact"/>
              <w:jc w:val="right"/>
              <w:outlineLvl w:val="0"/>
              <w:rPr>
                <w:rFonts w:ascii="Arial" w:hAnsi="Arial" w:cs="Arial"/>
                <w:sz w:val="17"/>
                <w:szCs w:val="17"/>
              </w:rPr>
            </w:pPr>
            <w:r w:rsidRPr="00D86AF7">
              <w:rPr>
                <w:rFonts w:ascii="Arial" w:hAnsi="Arial" w:cs="Arial"/>
                <w:sz w:val="17"/>
                <w:szCs w:val="17"/>
              </w:rPr>
              <w:t xml:space="preserve"> (403)</w:t>
            </w:r>
          </w:p>
        </w:tc>
        <w:tc>
          <w:tcPr>
            <w:tcW w:w="421" w:type="pct"/>
            <w:tcBorders>
              <w:top w:val="nil"/>
              <w:left w:val="nil"/>
              <w:bottom w:val="nil"/>
              <w:right w:val="nil"/>
            </w:tcBorders>
            <w:shd w:val="clear" w:color="auto" w:fill="auto"/>
            <w:vAlign w:val="bottom"/>
          </w:tcPr>
          <w:p w14:paraId="472B1EC0" w14:textId="388F138F" w:rsidR="00ED201E" w:rsidRPr="00D86AF7" w:rsidRDefault="00ED201E" w:rsidP="00ED201E">
            <w:pPr>
              <w:tabs>
                <w:tab w:val="right" w:pos="1202"/>
              </w:tabs>
              <w:suppressAutoHyphens/>
              <w:autoSpaceDN w:val="0"/>
              <w:spacing w:line="301" w:lineRule="exact"/>
              <w:jc w:val="right"/>
              <w:outlineLvl w:val="0"/>
              <w:rPr>
                <w:rFonts w:ascii="Arial" w:hAnsi="Arial" w:cs="Arial"/>
                <w:sz w:val="17"/>
                <w:szCs w:val="17"/>
              </w:rPr>
            </w:pPr>
            <w:r w:rsidRPr="00D86AF7">
              <w:rPr>
                <w:rFonts w:ascii="Arial" w:hAnsi="Arial" w:cs="Arial"/>
                <w:sz w:val="17"/>
                <w:szCs w:val="17"/>
              </w:rPr>
              <w:t xml:space="preserve"> 1.288 </w:t>
            </w:r>
          </w:p>
        </w:tc>
        <w:tc>
          <w:tcPr>
            <w:tcW w:w="416" w:type="pct"/>
            <w:tcBorders>
              <w:top w:val="nil"/>
              <w:left w:val="nil"/>
              <w:bottom w:val="nil"/>
              <w:right w:val="nil"/>
            </w:tcBorders>
            <w:shd w:val="clear" w:color="auto" w:fill="auto"/>
            <w:vAlign w:val="bottom"/>
          </w:tcPr>
          <w:p w14:paraId="5C4796AC" w14:textId="297DAD2D" w:rsidR="00ED201E" w:rsidRPr="00A410E3" w:rsidRDefault="00ED201E" w:rsidP="00ED201E">
            <w:pPr>
              <w:tabs>
                <w:tab w:val="right" w:pos="1202"/>
              </w:tabs>
              <w:suppressAutoHyphens/>
              <w:autoSpaceDN w:val="0"/>
              <w:spacing w:line="301" w:lineRule="exact"/>
              <w:jc w:val="right"/>
              <w:outlineLvl w:val="0"/>
              <w:rPr>
                <w:rFonts w:ascii="Arial" w:hAnsi="Arial" w:cs="Arial"/>
                <w:sz w:val="17"/>
                <w:szCs w:val="17"/>
              </w:rPr>
            </w:pPr>
            <w:r>
              <w:rPr>
                <w:rFonts w:ascii="Arial" w:hAnsi="Arial" w:cs="Arial"/>
                <w:sz w:val="17"/>
                <w:szCs w:val="17"/>
              </w:rPr>
              <w:t>(</w:t>
            </w:r>
            <w:r w:rsidRPr="00A410E3">
              <w:rPr>
                <w:rFonts w:ascii="Arial" w:hAnsi="Arial" w:cs="Arial"/>
                <w:sz w:val="17"/>
                <w:szCs w:val="17"/>
              </w:rPr>
              <w:t>117</w:t>
            </w:r>
            <w:r>
              <w:rPr>
                <w:rFonts w:ascii="Arial" w:hAnsi="Arial" w:cs="Arial"/>
                <w:sz w:val="17"/>
                <w:szCs w:val="17"/>
              </w:rPr>
              <w:t>)</w:t>
            </w:r>
          </w:p>
        </w:tc>
        <w:tc>
          <w:tcPr>
            <w:tcW w:w="423" w:type="pct"/>
            <w:tcBorders>
              <w:top w:val="nil"/>
              <w:left w:val="nil"/>
              <w:bottom w:val="nil"/>
              <w:right w:val="nil"/>
            </w:tcBorders>
            <w:shd w:val="clear" w:color="auto" w:fill="auto"/>
            <w:vAlign w:val="bottom"/>
          </w:tcPr>
          <w:p w14:paraId="416C260B" w14:textId="1241EABE" w:rsidR="00ED201E" w:rsidRPr="00A410E3" w:rsidRDefault="00ED201E" w:rsidP="00ED201E">
            <w:pPr>
              <w:tabs>
                <w:tab w:val="right" w:pos="1202"/>
              </w:tabs>
              <w:suppressAutoHyphens/>
              <w:autoSpaceDN w:val="0"/>
              <w:spacing w:line="301" w:lineRule="exact"/>
              <w:jc w:val="right"/>
              <w:outlineLvl w:val="0"/>
              <w:rPr>
                <w:rFonts w:ascii="Arial" w:hAnsi="Arial" w:cs="Arial"/>
                <w:sz w:val="17"/>
                <w:szCs w:val="17"/>
              </w:rPr>
            </w:pPr>
            <w:r>
              <w:rPr>
                <w:rFonts w:ascii="Arial" w:hAnsi="Arial" w:cs="Arial"/>
                <w:sz w:val="17"/>
                <w:szCs w:val="17"/>
              </w:rPr>
              <w:t>(</w:t>
            </w:r>
            <w:r w:rsidRPr="00A410E3">
              <w:rPr>
                <w:rFonts w:ascii="Arial" w:hAnsi="Arial" w:cs="Arial"/>
                <w:sz w:val="17"/>
                <w:szCs w:val="17"/>
              </w:rPr>
              <w:t>2.601</w:t>
            </w:r>
            <w:r>
              <w:rPr>
                <w:rFonts w:ascii="Arial" w:hAnsi="Arial" w:cs="Arial"/>
                <w:sz w:val="17"/>
                <w:szCs w:val="17"/>
              </w:rPr>
              <w:t>)</w:t>
            </w:r>
          </w:p>
        </w:tc>
        <w:tc>
          <w:tcPr>
            <w:tcW w:w="412" w:type="pct"/>
            <w:tcBorders>
              <w:top w:val="nil"/>
              <w:left w:val="nil"/>
              <w:bottom w:val="nil"/>
              <w:right w:val="nil"/>
            </w:tcBorders>
            <w:vAlign w:val="bottom"/>
          </w:tcPr>
          <w:p w14:paraId="5BCBCDC0" w14:textId="752770B2" w:rsidR="00ED201E" w:rsidRPr="007478FB" w:rsidRDefault="00ED201E" w:rsidP="00ED201E">
            <w:pPr>
              <w:tabs>
                <w:tab w:val="right" w:pos="1202"/>
              </w:tabs>
              <w:suppressAutoHyphens/>
              <w:autoSpaceDN w:val="0"/>
              <w:spacing w:line="301" w:lineRule="exact"/>
              <w:jc w:val="right"/>
              <w:outlineLvl w:val="0"/>
              <w:rPr>
                <w:rFonts w:ascii="Arial" w:hAnsi="Arial" w:cs="Arial"/>
                <w:sz w:val="17"/>
                <w:szCs w:val="17"/>
              </w:rPr>
            </w:pPr>
            <w:r w:rsidRPr="0072101D">
              <w:rPr>
                <w:rFonts w:ascii="Arial" w:hAnsi="Arial" w:cs="Arial"/>
                <w:sz w:val="17"/>
                <w:szCs w:val="17"/>
              </w:rPr>
              <w:t xml:space="preserve"> (403)</w:t>
            </w:r>
          </w:p>
        </w:tc>
        <w:tc>
          <w:tcPr>
            <w:tcW w:w="389" w:type="pct"/>
            <w:tcBorders>
              <w:top w:val="nil"/>
              <w:left w:val="nil"/>
              <w:bottom w:val="nil"/>
              <w:right w:val="nil"/>
            </w:tcBorders>
            <w:shd w:val="clear" w:color="auto" w:fill="auto"/>
            <w:vAlign w:val="bottom"/>
          </w:tcPr>
          <w:p w14:paraId="6CFC3A80" w14:textId="05C96232" w:rsidR="00ED201E" w:rsidRPr="007478FB" w:rsidRDefault="00ED201E" w:rsidP="00ED201E">
            <w:pPr>
              <w:tabs>
                <w:tab w:val="right" w:pos="1202"/>
              </w:tabs>
              <w:suppressAutoHyphens/>
              <w:autoSpaceDN w:val="0"/>
              <w:spacing w:line="301" w:lineRule="exact"/>
              <w:jc w:val="right"/>
              <w:outlineLvl w:val="0"/>
              <w:rPr>
                <w:rFonts w:ascii="Arial" w:hAnsi="Arial" w:cs="Arial"/>
                <w:sz w:val="17"/>
                <w:szCs w:val="17"/>
              </w:rPr>
            </w:pPr>
            <w:r w:rsidRPr="0072101D">
              <w:rPr>
                <w:rFonts w:ascii="Arial" w:hAnsi="Arial" w:cs="Arial"/>
                <w:sz w:val="17"/>
                <w:szCs w:val="17"/>
              </w:rPr>
              <w:t xml:space="preserve"> 1.288 </w:t>
            </w:r>
          </w:p>
        </w:tc>
      </w:tr>
      <w:tr w:rsidR="00ED201E" w:rsidRPr="00C87657" w14:paraId="2021BDB1" w14:textId="77777777" w:rsidTr="00ED201E">
        <w:trPr>
          <w:trHeight w:val="57"/>
        </w:trPr>
        <w:tc>
          <w:tcPr>
            <w:tcW w:w="1675" w:type="pct"/>
            <w:vAlign w:val="bottom"/>
          </w:tcPr>
          <w:p w14:paraId="4B17F01B" w14:textId="77777777" w:rsidR="00ED201E" w:rsidRPr="007478FB" w:rsidRDefault="00ED201E" w:rsidP="00ED201E">
            <w:pPr>
              <w:tabs>
                <w:tab w:val="right" w:pos="1202"/>
              </w:tabs>
              <w:suppressAutoHyphens/>
              <w:autoSpaceDN w:val="0"/>
              <w:spacing w:line="301" w:lineRule="exact"/>
              <w:outlineLvl w:val="0"/>
              <w:rPr>
                <w:rFonts w:ascii="Arial" w:eastAsia="Times New Roman" w:hAnsi="Arial" w:cs="Arial"/>
                <w:b/>
                <w:color w:val="000000" w:themeColor="text1"/>
                <w:sz w:val="17"/>
                <w:szCs w:val="17"/>
              </w:rPr>
            </w:pPr>
            <w:bookmarkStart w:id="307" w:name="_Toc67327800"/>
            <w:r w:rsidRPr="007478FB">
              <w:rPr>
                <w:rFonts w:ascii="Arial" w:eastAsia="Times New Roman" w:hAnsi="Arial" w:cs="Arial"/>
                <w:b/>
                <w:color w:val="000000" w:themeColor="text1"/>
                <w:sz w:val="17"/>
                <w:szCs w:val="17"/>
              </w:rPr>
              <w:t>Ukupno</w:t>
            </w:r>
            <w:bookmarkEnd w:id="307"/>
          </w:p>
        </w:tc>
        <w:tc>
          <w:tcPr>
            <w:tcW w:w="425" w:type="pct"/>
            <w:tcBorders>
              <w:top w:val="single" w:sz="6" w:space="0" w:color="auto"/>
              <w:left w:val="nil"/>
              <w:bottom w:val="single" w:sz="12" w:space="0" w:color="auto"/>
              <w:right w:val="nil"/>
            </w:tcBorders>
            <w:shd w:val="clear" w:color="auto" w:fill="auto"/>
            <w:vAlign w:val="bottom"/>
          </w:tcPr>
          <w:p w14:paraId="3FB10213" w14:textId="2F09AEEB" w:rsidR="00ED201E" w:rsidRPr="00ED201E" w:rsidRDefault="00ED201E" w:rsidP="00ED201E">
            <w:pPr>
              <w:tabs>
                <w:tab w:val="right" w:pos="1202"/>
              </w:tabs>
              <w:suppressAutoHyphens/>
              <w:autoSpaceDN w:val="0"/>
              <w:spacing w:line="301" w:lineRule="exact"/>
              <w:jc w:val="right"/>
              <w:outlineLvl w:val="0"/>
              <w:rPr>
                <w:rFonts w:ascii="Arial" w:eastAsia="Times New Roman" w:hAnsi="Arial" w:cs="Arial"/>
                <w:b/>
                <w:bCs/>
                <w:color w:val="000000" w:themeColor="text1"/>
                <w:sz w:val="17"/>
                <w:szCs w:val="17"/>
              </w:rPr>
            </w:pPr>
            <w:r w:rsidRPr="00ED201E">
              <w:rPr>
                <w:rFonts w:ascii="Arial" w:hAnsi="Arial" w:cs="Arial"/>
                <w:b/>
                <w:bCs/>
                <w:sz w:val="17"/>
                <w:szCs w:val="17"/>
              </w:rPr>
              <w:t xml:space="preserve"> 8.386 </w:t>
            </w:r>
          </w:p>
        </w:tc>
        <w:tc>
          <w:tcPr>
            <w:tcW w:w="422" w:type="pct"/>
            <w:tcBorders>
              <w:top w:val="single" w:sz="6" w:space="0" w:color="auto"/>
              <w:left w:val="nil"/>
              <w:bottom w:val="single" w:sz="12" w:space="0" w:color="auto"/>
              <w:right w:val="nil"/>
            </w:tcBorders>
            <w:shd w:val="clear" w:color="auto" w:fill="auto"/>
            <w:vAlign w:val="bottom"/>
          </w:tcPr>
          <w:p w14:paraId="04A95EF5" w14:textId="21884BEF" w:rsidR="00ED201E" w:rsidRPr="00ED201E" w:rsidRDefault="00ED201E" w:rsidP="00ED201E">
            <w:pPr>
              <w:tabs>
                <w:tab w:val="right" w:pos="1202"/>
              </w:tabs>
              <w:suppressAutoHyphens/>
              <w:autoSpaceDN w:val="0"/>
              <w:spacing w:line="301" w:lineRule="exact"/>
              <w:jc w:val="right"/>
              <w:outlineLvl w:val="0"/>
              <w:rPr>
                <w:rFonts w:ascii="Arial" w:eastAsia="Times New Roman" w:hAnsi="Arial" w:cs="Arial"/>
                <w:b/>
                <w:bCs/>
                <w:color w:val="000000" w:themeColor="text1"/>
                <w:sz w:val="17"/>
                <w:szCs w:val="17"/>
              </w:rPr>
            </w:pPr>
            <w:r w:rsidRPr="00ED201E">
              <w:rPr>
                <w:rFonts w:ascii="Arial" w:hAnsi="Arial" w:cs="Arial"/>
                <w:b/>
                <w:bCs/>
                <w:sz w:val="17"/>
                <w:szCs w:val="17"/>
              </w:rPr>
              <w:t xml:space="preserve"> (7.719)</w:t>
            </w:r>
          </w:p>
        </w:tc>
        <w:tc>
          <w:tcPr>
            <w:tcW w:w="417" w:type="pct"/>
            <w:tcBorders>
              <w:top w:val="single" w:sz="6" w:space="0" w:color="auto"/>
              <w:left w:val="nil"/>
              <w:bottom w:val="single" w:sz="12" w:space="0" w:color="auto"/>
              <w:right w:val="nil"/>
            </w:tcBorders>
            <w:shd w:val="clear" w:color="auto" w:fill="auto"/>
            <w:vAlign w:val="bottom"/>
          </w:tcPr>
          <w:p w14:paraId="70AC9E7D" w14:textId="40836FB7" w:rsidR="00ED201E" w:rsidRPr="00D86AF7" w:rsidRDefault="00ED201E" w:rsidP="00ED201E">
            <w:pPr>
              <w:tabs>
                <w:tab w:val="right" w:pos="1202"/>
              </w:tabs>
              <w:suppressAutoHyphens/>
              <w:autoSpaceDN w:val="0"/>
              <w:spacing w:line="301" w:lineRule="exact"/>
              <w:jc w:val="right"/>
              <w:outlineLvl w:val="0"/>
              <w:rPr>
                <w:rFonts w:ascii="Arial" w:eastAsia="Times New Roman" w:hAnsi="Arial" w:cs="Arial"/>
                <w:b/>
                <w:bCs/>
                <w:color w:val="000000" w:themeColor="text1"/>
                <w:sz w:val="17"/>
                <w:szCs w:val="17"/>
              </w:rPr>
            </w:pPr>
            <w:r w:rsidRPr="00D86AF7">
              <w:rPr>
                <w:rFonts w:ascii="Arial" w:eastAsia="Times New Roman" w:hAnsi="Arial" w:cs="Arial"/>
                <w:b/>
                <w:bCs/>
                <w:color w:val="000000" w:themeColor="text1"/>
                <w:sz w:val="17"/>
                <w:szCs w:val="17"/>
              </w:rPr>
              <w:t xml:space="preserve"> (8.004)</w:t>
            </w:r>
          </w:p>
        </w:tc>
        <w:tc>
          <w:tcPr>
            <w:tcW w:w="421" w:type="pct"/>
            <w:tcBorders>
              <w:top w:val="single" w:sz="6" w:space="0" w:color="auto"/>
              <w:left w:val="nil"/>
              <w:bottom w:val="single" w:sz="12" w:space="0" w:color="auto"/>
              <w:right w:val="nil"/>
            </w:tcBorders>
            <w:shd w:val="clear" w:color="auto" w:fill="auto"/>
            <w:vAlign w:val="bottom"/>
          </w:tcPr>
          <w:p w14:paraId="70631C77" w14:textId="72FBFF34" w:rsidR="00ED201E" w:rsidRPr="00D86AF7" w:rsidRDefault="00ED201E" w:rsidP="00ED201E">
            <w:pPr>
              <w:tabs>
                <w:tab w:val="right" w:pos="1202"/>
              </w:tabs>
              <w:suppressAutoHyphens/>
              <w:autoSpaceDN w:val="0"/>
              <w:spacing w:line="301" w:lineRule="exact"/>
              <w:jc w:val="right"/>
              <w:outlineLvl w:val="0"/>
              <w:rPr>
                <w:rFonts w:ascii="Arial" w:eastAsia="Times New Roman" w:hAnsi="Arial" w:cs="Arial"/>
                <w:b/>
                <w:bCs/>
                <w:color w:val="000000" w:themeColor="text1"/>
                <w:sz w:val="17"/>
                <w:szCs w:val="17"/>
              </w:rPr>
            </w:pPr>
            <w:r w:rsidRPr="00D86AF7">
              <w:rPr>
                <w:rFonts w:ascii="Arial" w:eastAsia="Times New Roman" w:hAnsi="Arial" w:cs="Arial"/>
                <w:b/>
                <w:bCs/>
                <w:color w:val="000000" w:themeColor="text1"/>
                <w:sz w:val="17"/>
                <w:szCs w:val="17"/>
              </w:rPr>
              <w:t xml:space="preserve"> (16.894)</w:t>
            </w:r>
          </w:p>
        </w:tc>
        <w:tc>
          <w:tcPr>
            <w:tcW w:w="416" w:type="pct"/>
            <w:tcBorders>
              <w:top w:val="single" w:sz="6" w:space="0" w:color="auto"/>
              <w:left w:val="nil"/>
              <w:bottom w:val="single" w:sz="12" w:space="0" w:color="auto"/>
              <w:right w:val="nil"/>
            </w:tcBorders>
            <w:shd w:val="clear" w:color="auto" w:fill="auto"/>
            <w:vAlign w:val="bottom"/>
          </w:tcPr>
          <w:p w14:paraId="2547E736" w14:textId="1F6F7073" w:rsidR="00ED201E" w:rsidRPr="00A410E3" w:rsidRDefault="00ED201E" w:rsidP="00ED201E">
            <w:pPr>
              <w:tabs>
                <w:tab w:val="right" w:pos="1202"/>
              </w:tabs>
              <w:suppressAutoHyphens/>
              <w:autoSpaceDN w:val="0"/>
              <w:spacing w:line="301" w:lineRule="exact"/>
              <w:jc w:val="right"/>
              <w:outlineLvl w:val="0"/>
              <w:rPr>
                <w:rFonts w:ascii="Arial" w:eastAsia="Times New Roman" w:hAnsi="Arial" w:cs="Arial"/>
                <w:b/>
                <w:bCs/>
                <w:color w:val="000000" w:themeColor="text1"/>
                <w:sz w:val="17"/>
                <w:szCs w:val="17"/>
              </w:rPr>
            </w:pPr>
            <w:r w:rsidRPr="00A410E3">
              <w:rPr>
                <w:rFonts w:ascii="Arial" w:hAnsi="Arial" w:cs="Arial"/>
                <w:b/>
                <w:bCs/>
                <w:sz w:val="17"/>
                <w:szCs w:val="17"/>
              </w:rPr>
              <w:t xml:space="preserve"> 8.366 </w:t>
            </w:r>
          </w:p>
        </w:tc>
        <w:tc>
          <w:tcPr>
            <w:tcW w:w="423" w:type="pct"/>
            <w:tcBorders>
              <w:top w:val="single" w:sz="6" w:space="0" w:color="auto"/>
              <w:left w:val="nil"/>
              <w:bottom w:val="single" w:sz="12" w:space="0" w:color="auto"/>
              <w:right w:val="nil"/>
            </w:tcBorders>
            <w:shd w:val="clear" w:color="auto" w:fill="auto"/>
            <w:vAlign w:val="bottom"/>
          </w:tcPr>
          <w:p w14:paraId="527DBE56" w14:textId="1139B6A2" w:rsidR="00ED201E" w:rsidRPr="00A410E3" w:rsidRDefault="00ED201E" w:rsidP="00ED201E">
            <w:pPr>
              <w:tabs>
                <w:tab w:val="right" w:pos="1202"/>
              </w:tabs>
              <w:suppressAutoHyphens/>
              <w:autoSpaceDN w:val="0"/>
              <w:spacing w:line="301" w:lineRule="exact"/>
              <w:jc w:val="right"/>
              <w:outlineLvl w:val="0"/>
              <w:rPr>
                <w:rFonts w:ascii="Arial" w:eastAsia="Times New Roman" w:hAnsi="Arial" w:cs="Arial"/>
                <w:b/>
                <w:bCs/>
                <w:color w:val="000000" w:themeColor="text1"/>
                <w:sz w:val="17"/>
                <w:szCs w:val="17"/>
              </w:rPr>
            </w:pPr>
            <w:r w:rsidRPr="00A410E3">
              <w:rPr>
                <w:rFonts w:ascii="Arial" w:hAnsi="Arial" w:cs="Arial"/>
                <w:b/>
                <w:bCs/>
                <w:sz w:val="17"/>
                <w:szCs w:val="17"/>
              </w:rPr>
              <w:t xml:space="preserve"> (7.739)</w:t>
            </w:r>
          </w:p>
        </w:tc>
        <w:tc>
          <w:tcPr>
            <w:tcW w:w="412" w:type="pct"/>
            <w:tcBorders>
              <w:top w:val="single" w:sz="6" w:space="0" w:color="auto"/>
              <w:left w:val="nil"/>
              <w:bottom w:val="single" w:sz="12" w:space="0" w:color="auto"/>
              <w:right w:val="nil"/>
            </w:tcBorders>
          </w:tcPr>
          <w:p w14:paraId="25E26BE1" w14:textId="4689CC24" w:rsidR="00ED201E" w:rsidRPr="007478FB" w:rsidRDefault="00ED201E" w:rsidP="00ED201E">
            <w:pPr>
              <w:tabs>
                <w:tab w:val="right" w:pos="1202"/>
              </w:tabs>
              <w:suppressAutoHyphens/>
              <w:autoSpaceDN w:val="0"/>
              <w:spacing w:line="301" w:lineRule="exact"/>
              <w:jc w:val="right"/>
              <w:outlineLvl w:val="0"/>
              <w:rPr>
                <w:rFonts w:ascii="Arial" w:eastAsia="Times New Roman" w:hAnsi="Arial" w:cs="Arial"/>
                <w:b/>
                <w:bCs/>
                <w:color w:val="000000" w:themeColor="text1"/>
                <w:sz w:val="17"/>
                <w:szCs w:val="17"/>
              </w:rPr>
            </w:pPr>
            <w:r w:rsidRPr="0072101D">
              <w:rPr>
                <w:rFonts w:ascii="Arial" w:eastAsia="Times New Roman" w:hAnsi="Arial" w:cs="Arial"/>
                <w:b/>
                <w:bCs/>
                <w:color w:val="000000" w:themeColor="text1"/>
                <w:sz w:val="17"/>
                <w:szCs w:val="17"/>
              </w:rPr>
              <w:t xml:space="preserve"> (8.006)</w:t>
            </w:r>
          </w:p>
        </w:tc>
        <w:tc>
          <w:tcPr>
            <w:tcW w:w="389" w:type="pct"/>
            <w:tcBorders>
              <w:top w:val="single" w:sz="6" w:space="0" w:color="auto"/>
              <w:left w:val="nil"/>
              <w:bottom w:val="single" w:sz="12" w:space="0" w:color="auto"/>
              <w:right w:val="nil"/>
            </w:tcBorders>
            <w:shd w:val="clear" w:color="auto" w:fill="auto"/>
          </w:tcPr>
          <w:p w14:paraId="3CFBBA2A" w14:textId="752E396E" w:rsidR="00ED201E" w:rsidRPr="007478FB" w:rsidRDefault="00ED201E" w:rsidP="00ED201E">
            <w:pPr>
              <w:tabs>
                <w:tab w:val="right" w:pos="1202"/>
              </w:tabs>
              <w:suppressAutoHyphens/>
              <w:autoSpaceDN w:val="0"/>
              <w:spacing w:line="301" w:lineRule="exact"/>
              <w:jc w:val="right"/>
              <w:outlineLvl w:val="0"/>
              <w:rPr>
                <w:rFonts w:ascii="Arial" w:eastAsia="Times New Roman" w:hAnsi="Arial" w:cs="Arial"/>
                <w:b/>
                <w:bCs/>
                <w:color w:val="000000" w:themeColor="text1"/>
                <w:sz w:val="17"/>
                <w:szCs w:val="17"/>
              </w:rPr>
            </w:pPr>
            <w:r w:rsidRPr="0072101D">
              <w:rPr>
                <w:rFonts w:ascii="Arial" w:eastAsia="Times New Roman" w:hAnsi="Arial" w:cs="Arial"/>
                <w:b/>
                <w:bCs/>
                <w:color w:val="000000" w:themeColor="text1"/>
                <w:sz w:val="17"/>
                <w:szCs w:val="17"/>
              </w:rPr>
              <w:t xml:space="preserve"> (16.895)</w:t>
            </w:r>
          </w:p>
        </w:tc>
      </w:tr>
    </w:tbl>
    <w:p w14:paraId="1976CD53" w14:textId="77777777" w:rsidR="00193DFB" w:rsidRDefault="00193DFB" w:rsidP="0011144D">
      <w:pPr>
        <w:suppressAutoHyphens/>
        <w:autoSpaceDN w:val="0"/>
        <w:rPr>
          <w:rFonts w:ascii="Arial" w:eastAsia="Times New Roman" w:hAnsi="Arial" w:cs="Arial"/>
          <w:color w:val="000000" w:themeColor="text1"/>
          <w:sz w:val="20"/>
          <w:szCs w:val="20"/>
        </w:rPr>
        <w:sectPr w:rsidR="00193DFB" w:rsidSect="003E3A7E">
          <w:pgSz w:w="16838" w:h="11906" w:orient="landscape"/>
          <w:pgMar w:top="1417" w:right="1417" w:bottom="1417" w:left="1417" w:header="708" w:footer="708" w:gutter="0"/>
          <w:cols w:space="708"/>
          <w:docGrid w:linePitch="360"/>
        </w:sectPr>
      </w:pPr>
    </w:p>
    <w:p w14:paraId="1B19BBE7" w14:textId="77777777" w:rsidR="00193DFB" w:rsidRPr="003D1614" w:rsidRDefault="00193DFB" w:rsidP="00193DFB">
      <w:pPr>
        <w:rPr>
          <w:rFonts w:ascii="Arial" w:eastAsia="Times New Roman" w:hAnsi="Arial" w:cs="Arial"/>
          <w:sz w:val="20"/>
          <w:szCs w:val="20"/>
        </w:rPr>
      </w:pPr>
    </w:p>
    <w:p w14:paraId="454A40D8" w14:textId="5C8EE715" w:rsidR="00193DFB" w:rsidRPr="003D1614" w:rsidRDefault="00193DFB" w:rsidP="00193DFB">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8.</w:t>
      </w:r>
      <w:r w:rsidRPr="003D1614">
        <w:rPr>
          <w:rFonts w:ascii="Arial" w:eastAsia="Times New Roman" w:hAnsi="Arial" w:cs="Arial"/>
          <w:b/>
          <w:bCs/>
          <w:color w:val="000000" w:themeColor="text1"/>
          <w:sz w:val="20"/>
          <w:szCs w:val="20"/>
        </w:rPr>
        <w:tab/>
      </w:r>
      <w:r w:rsidR="00362077">
        <w:rPr>
          <w:rFonts w:ascii="Arial" w:eastAsia="Times New Roman" w:hAnsi="Arial" w:cs="Arial"/>
          <w:b/>
          <w:bCs/>
          <w:color w:val="000000" w:themeColor="text1"/>
          <w:sz w:val="20"/>
          <w:szCs w:val="20"/>
        </w:rPr>
        <w:t>Dobitak</w:t>
      </w:r>
      <w:r w:rsidRPr="003D1614">
        <w:rPr>
          <w:rFonts w:ascii="Arial" w:eastAsia="Times New Roman" w:hAnsi="Arial" w:cs="Arial"/>
          <w:b/>
          <w:bCs/>
          <w:color w:val="000000" w:themeColor="text1"/>
          <w:sz w:val="20"/>
          <w:szCs w:val="20"/>
        </w:rPr>
        <w:t xml:space="preserve"> od umanjenja vrijednosti i rezerviranja</w:t>
      </w:r>
      <w:r>
        <w:rPr>
          <w:rFonts w:ascii="Arial" w:eastAsia="Times New Roman" w:hAnsi="Arial" w:cs="Arial"/>
          <w:b/>
          <w:bCs/>
          <w:color w:val="000000" w:themeColor="text1"/>
          <w:sz w:val="20"/>
          <w:szCs w:val="20"/>
        </w:rPr>
        <w:t xml:space="preserve"> (nastavak)</w:t>
      </w:r>
    </w:p>
    <w:p w14:paraId="2D5B523A" w14:textId="77777777" w:rsidR="00193DFB" w:rsidRDefault="00193DFB" w:rsidP="0011144D">
      <w:pPr>
        <w:suppressAutoHyphens/>
        <w:autoSpaceDN w:val="0"/>
        <w:rPr>
          <w:rFonts w:ascii="Arial" w:eastAsia="Times New Roman" w:hAnsi="Arial" w:cs="Arial"/>
          <w:color w:val="000000" w:themeColor="text1"/>
          <w:sz w:val="20"/>
          <w:szCs w:val="20"/>
        </w:rPr>
      </w:pPr>
    </w:p>
    <w:p w14:paraId="75562AE1" w14:textId="77777777" w:rsidR="0011144D" w:rsidRDefault="0011144D" w:rsidP="0011144D">
      <w:pPr>
        <w:suppressAutoHyphens/>
        <w:autoSpaceDN w:val="0"/>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b) Ostala umanjenja vrijednosti i rezerviranja</w:t>
      </w:r>
    </w:p>
    <w:p w14:paraId="16950F2A" w14:textId="77777777" w:rsidR="00193DFB" w:rsidRPr="003D1614" w:rsidRDefault="00193DFB" w:rsidP="0011144D">
      <w:pPr>
        <w:suppressAutoHyphens/>
        <w:autoSpaceDN w:val="0"/>
        <w:rPr>
          <w:rFonts w:ascii="Arial" w:eastAsia="Times New Roman" w:hAnsi="Arial" w:cs="Arial"/>
          <w:b/>
          <w:color w:val="000000" w:themeColor="text1"/>
          <w:sz w:val="20"/>
          <w:szCs w:val="20"/>
        </w:rPr>
      </w:pPr>
    </w:p>
    <w:p w14:paraId="4B11F891" w14:textId="77777777" w:rsidR="00FD5DDF" w:rsidRPr="003D1614" w:rsidRDefault="00FD5DDF" w:rsidP="00EA0684">
      <w:pPr>
        <w:rPr>
          <w:rFonts w:ascii="Arial" w:eastAsia="Times New Roman" w:hAnsi="Arial" w:cs="Arial"/>
          <w:sz w:val="20"/>
          <w:szCs w:val="20"/>
        </w:rPr>
      </w:pPr>
    </w:p>
    <w:tbl>
      <w:tblPr>
        <w:tblW w:w="5165" w:type="pct"/>
        <w:tblLayout w:type="fixed"/>
        <w:tblCellMar>
          <w:left w:w="120" w:type="dxa"/>
          <w:right w:w="120" w:type="dxa"/>
        </w:tblCellMar>
        <w:tblLook w:val="0000" w:firstRow="0" w:lastRow="0" w:firstColumn="0" w:lastColumn="0" w:noHBand="0" w:noVBand="0"/>
      </w:tblPr>
      <w:tblGrid>
        <w:gridCol w:w="4763"/>
        <w:gridCol w:w="1215"/>
        <w:gridCol w:w="1215"/>
        <w:gridCol w:w="1215"/>
        <w:gridCol w:w="1215"/>
        <w:gridCol w:w="1215"/>
        <w:gridCol w:w="1215"/>
        <w:gridCol w:w="1215"/>
        <w:gridCol w:w="1198"/>
      </w:tblGrid>
      <w:tr w:rsidR="00F43653" w:rsidRPr="00102FA1" w14:paraId="1B17ADB1" w14:textId="77777777" w:rsidTr="007478FB">
        <w:trPr>
          <w:trHeight w:hRule="exact" w:val="283"/>
        </w:trPr>
        <w:tc>
          <w:tcPr>
            <w:tcW w:w="1646" w:type="pct"/>
            <w:vAlign w:val="bottom"/>
          </w:tcPr>
          <w:p w14:paraId="74D9A2B8" w14:textId="77777777" w:rsidR="00193DFB" w:rsidRPr="00102FA1" w:rsidRDefault="00193DFB" w:rsidP="00264529">
            <w:pPr>
              <w:pStyle w:val="TT"/>
              <w:rPr>
                <w:rFonts w:cs="Arial"/>
                <w:sz w:val="17"/>
                <w:szCs w:val="17"/>
                <w:lang w:val="hr-HR"/>
              </w:rPr>
            </w:pPr>
          </w:p>
        </w:tc>
        <w:tc>
          <w:tcPr>
            <w:tcW w:w="1680" w:type="pct"/>
            <w:gridSpan w:val="4"/>
            <w:vAlign w:val="bottom"/>
          </w:tcPr>
          <w:p w14:paraId="5C446F84" w14:textId="77777777" w:rsidR="00193DFB" w:rsidRPr="00102FA1" w:rsidRDefault="00193DFB" w:rsidP="00264529">
            <w:pPr>
              <w:pStyle w:val="TH"/>
              <w:jc w:val="right"/>
              <w:rPr>
                <w:rFonts w:cs="Arial"/>
                <w:sz w:val="17"/>
                <w:szCs w:val="17"/>
                <w:lang w:val="hr-HR"/>
              </w:rPr>
            </w:pPr>
            <w:r w:rsidRPr="00102FA1">
              <w:rPr>
                <w:rFonts w:cs="Arial"/>
                <w:sz w:val="17"/>
                <w:szCs w:val="17"/>
                <w:lang w:val="hr-HR"/>
              </w:rPr>
              <w:t>Grupa</w:t>
            </w:r>
          </w:p>
        </w:tc>
        <w:tc>
          <w:tcPr>
            <w:tcW w:w="1674" w:type="pct"/>
            <w:gridSpan w:val="4"/>
            <w:vAlign w:val="bottom"/>
          </w:tcPr>
          <w:p w14:paraId="487712C3" w14:textId="77777777" w:rsidR="00193DFB" w:rsidRPr="00102FA1" w:rsidRDefault="00193DFB" w:rsidP="00264529">
            <w:pPr>
              <w:pStyle w:val="TH"/>
              <w:jc w:val="right"/>
              <w:rPr>
                <w:rFonts w:cs="Arial"/>
                <w:sz w:val="17"/>
                <w:szCs w:val="17"/>
                <w:lang w:val="hr-HR"/>
              </w:rPr>
            </w:pPr>
            <w:r w:rsidRPr="00102FA1">
              <w:rPr>
                <w:rFonts w:cs="Arial"/>
                <w:sz w:val="17"/>
                <w:szCs w:val="17"/>
                <w:lang w:val="hr-HR"/>
              </w:rPr>
              <w:t>Banka</w:t>
            </w:r>
          </w:p>
        </w:tc>
      </w:tr>
      <w:tr w:rsidR="00F43653" w:rsidRPr="00102FA1" w14:paraId="7AC58F6D" w14:textId="77777777" w:rsidTr="007478FB">
        <w:trPr>
          <w:trHeight w:hRule="exact" w:val="283"/>
        </w:trPr>
        <w:tc>
          <w:tcPr>
            <w:tcW w:w="1646" w:type="pct"/>
            <w:vAlign w:val="bottom"/>
          </w:tcPr>
          <w:p w14:paraId="766F1386" w14:textId="77777777" w:rsidR="00193DFB" w:rsidRPr="00102FA1" w:rsidRDefault="00193DFB" w:rsidP="00193DFB">
            <w:pPr>
              <w:pStyle w:val="TT"/>
              <w:rPr>
                <w:rFonts w:cs="Arial"/>
                <w:sz w:val="17"/>
                <w:szCs w:val="17"/>
                <w:lang w:val="hr-HR"/>
              </w:rPr>
            </w:pPr>
          </w:p>
        </w:tc>
        <w:tc>
          <w:tcPr>
            <w:tcW w:w="840" w:type="pct"/>
            <w:gridSpan w:val="2"/>
            <w:vAlign w:val="bottom"/>
          </w:tcPr>
          <w:p w14:paraId="1E4CECAD" w14:textId="79445BF8" w:rsidR="00193DFB" w:rsidRPr="00102FA1" w:rsidRDefault="00193DFB" w:rsidP="00193DFB">
            <w:pPr>
              <w:pStyle w:val="TH"/>
              <w:spacing w:line="240" w:lineRule="auto"/>
              <w:jc w:val="center"/>
              <w:rPr>
                <w:rFonts w:cs="Arial"/>
                <w:sz w:val="17"/>
                <w:szCs w:val="17"/>
                <w:lang w:val="hr-HR"/>
              </w:rPr>
            </w:pPr>
            <w:r w:rsidRPr="00102FA1">
              <w:rPr>
                <w:rFonts w:cs="Arial"/>
                <w:bCs/>
                <w:sz w:val="17"/>
                <w:szCs w:val="17"/>
                <w:lang w:val="hr-HR"/>
              </w:rPr>
              <w:t>202</w:t>
            </w:r>
            <w:r w:rsidR="004C07A7">
              <w:rPr>
                <w:rFonts w:cs="Arial"/>
                <w:bCs/>
                <w:sz w:val="17"/>
                <w:szCs w:val="17"/>
                <w:lang w:val="hr-HR"/>
              </w:rPr>
              <w:t>4</w:t>
            </w:r>
            <w:r w:rsidRPr="00102FA1">
              <w:rPr>
                <w:rFonts w:cs="Arial"/>
                <w:bCs/>
                <w:sz w:val="17"/>
                <w:szCs w:val="17"/>
                <w:lang w:val="hr-HR"/>
              </w:rPr>
              <w:t>.</w:t>
            </w:r>
          </w:p>
        </w:tc>
        <w:tc>
          <w:tcPr>
            <w:tcW w:w="840" w:type="pct"/>
            <w:gridSpan w:val="2"/>
            <w:vAlign w:val="bottom"/>
          </w:tcPr>
          <w:p w14:paraId="08205908" w14:textId="7FF23B2A" w:rsidR="00193DFB" w:rsidRPr="00102FA1" w:rsidRDefault="00193DFB" w:rsidP="00193DFB">
            <w:pPr>
              <w:pStyle w:val="TH"/>
              <w:spacing w:line="240" w:lineRule="auto"/>
              <w:jc w:val="center"/>
              <w:rPr>
                <w:rFonts w:cs="Arial"/>
                <w:sz w:val="17"/>
                <w:szCs w:val="17"/>
                <w:lang w:val="hr-HR"/>
              </w:rPr>
            </w:pPr>
            <w:r w:rsidRPr="00102FA1">
              <w:rPr>
                <w:rFonts w:cs="Arial"/>
                <w:bCs/>
                <w:sz w:val="17"/>
                <w:szCs w:val="17"/>
                <w:lang w:val="hr-HR"/>
              </w:rPr>
              <w:t>202</w:t>
            </w:r>
            <w:r w:rsidR="004C07A7">
              <w:rPr>
                <w:rFonts w:cs="Arial"/>
                <w:bCs/>
                <w:sz w:val="17"/>
                <w:szCs w:val="17"/>
                <w:lang w:val="hr-HR"/>
              </w:rPr>
              <w:t>3</w:t>
            </w:r>
            <w:r w:rsidRPr="00102FA1">
              <w:rPr>
                <w:rFonts w:cs="Arial"/>
                <w:bCs/>
                <w:sz w:val="17"/>
                <w:szCs w:val="17"/>
                <w:lang w:val="hr-HR"/>
              </w:rPr>
              <w:t>.</w:t>
            </w:r>
          </w:p>
        </w:tc>
        <w:tc>
          <w:tcPr>
            <w:tcW w:w="840" w:type="pct"/>
            <w:gridSpan w:val="2"/>
            <w:vAlign w:val="bottom"/>
          </w:tcPr>
          <w:p w14:paraId="5C043383" w14:textId="1EC8699E" w:rsidR="00193DFB" w:rsidRPr="00102FA1" w:rsidRDefault="00193DFB" w:rsidP="00193DFB">
            <w:pPr>
              <w:pStyle w:val="TH"/>
              <w:spacing w:line="240" w:lineRule="auto"/>
              <w:jc w:val="center"/>
              <w:rPr>
                <w:rFonts w:cs="Arial"/>
                <w:sz w:val="17"/>
                <w:szCs w:val="17"/>
                <w:lang w:val="hr-HR"/>
              </w:rPr>
            </w:pPr>
            <w:r w:rsidRPr="00102FA1">
              <w:rPr>
                <w:rFonts w:cs="Arial"/>
                <w:bCs/>
                <w:sz w:val="17"/>
                <w:szCs w:val="17"/>
                <w:lang w:val="hr-HR"/>
              </w:rPr>
              <w:t>202</w:t>
            </w:r>
            <w:r w:rsidR="004C07A7">
              <w:rPr>
                <w:rFonts w:cs="Arial"/>
                <w:bCs/>
                <w:sz w:val="17"/>
                <w:szCs w:val="17"/>
                <w:lang w:val="hr-HR"/>
              </w:rPr>
              <w:t>4</w:t>
            </w:r>
            <w:r w:rsidRPr="00102FA1">
              <w:rPr>
                <w:rFonts w:cs="Arial"/>
                <w:bCs/>
                <w:sz w:val="17"/>
                <w:szCs w:val="17"/>
                <w:lang w:val="hr-HR"/>
              </w:rPr>
              <w:t>.</w:t>
            </w:r>
          </w:p>
        </w:tc>
        <w:tc>
          <w:tcPr>
            <w:tcW w:w="834" w:type="pct"/>
            <w:gridSpan w:val="2"/>
            <w:vAlign w:val="bottom"/>
          </w:tcPr>
          <w:p w14:paraId="28391DDB" w14:textId="58D4ADE5" w:rsidR="00193DFB" w:rsidRPr="00102FA1" w:rsidRDefault="00193DFB" w:rsidP="00193DFB">
            <w:pPr>
              <w:pStyle w:val="TH"/>
              <w:spacing w:line="240" w:lineRule="auto"/>
              <w:jc w:val="center"/>
              <w:rPr>
                <w:rFonts w:cs="Arial"/>
                <w:sz w:val="17"/>
                <w:szCs w:val="17"/>
                <w:lang w:val="hr-HR"/>
              </w:rPr>
            </w:pPr>
            <w:r w:rsidRPr="00102FA1">
              <w:rPr>
                <w:rFonts w:cs="Arial"/>
                <w:bCs/>
                <w:sz w:val="17"/>
                <w:szCs w:val="17"/>
                <w:lang w:val="hr-HR"/>
              </w:rPr>
              <w:t>202</w:t>
            </w:r>
            <w:r w:rsidR="004C07A7">
              <w:rPr>
                <w:rFonts w:cs="Arial"/>
                <w:bCs/>
                <w:sz w:val="17"/>
                <w:szCs w:val="17"/>
                <w:lang w:val="hr-HR"/>
              </w:rPr>
              <w:t>3</w:t>
            </w:r>
            <w:r w:rsidRPr="00102FA1">
              <w:rPr>
                <w:rFonts w:cs="Arial"/>
                <w:bCs/>
                <w:sz w:val="17"/>
                <w:szCs w:val="17"/>
                <w:lang w:val="hr-HR"/>
              </w:rPr>
              <w:t>.</w:t>
            </w:r>
          </w:p>
        </w:tc>
      </w:tr>
      <w:tr w:rsidR="00F43653" w:rsidRPr="00102FA1" w14:paraId="7546754E" w14:textId="77777777" w:rsidTr="007478FB">
        <w:trPr>
          <w:trHeight w:hRule="exact" w:val="579"/>
        </w:trPr>
        <w:tc>
          <w:tcPr>
            <w:tcW w:w="1646" w:type="pct"/>
            <w:vAlign w:val="bottom"/>
          </w:tcPr>
          <w:p w14:paraId="20200F3A" w14:textId="77777777" w:rsidR="00193DFB" w:rsidRPr="00102FA1" w:rsidRDefault="00193DFB" w:rsidP="00193DFB">
            <w:pPr>
              <w:pStyle w:val="TT"/>
              <w:rPr>
                <w:rFonts w:cs="Arial"/>
                <w:sz w:val="17"/>
                <w:szCs w:val="17"/>
                <w:lang w:val="hr-HR"/>
              </w:rPr>
            </w:pPr>
          </w:p>
        </w:tc>
        <w:tc>
          <w:tcPr>
            <w:tcW w:w="420" w:type="pct"/>
            <w:vAlign w:val="bottom"/>
          </w:tcPr>
          <w:p w14:paraId="08F4E1F7" w14:textId="286A7E5A" w:rsidR="00193DFB" w:rsidRPr="00102FA1" w:rsidRDefault="00193DFB" w:rsidP="00193DFB">
            <w:pPr>
              <w:pStyle w:val="TT"/>
              <w:tabs>
                <w:tab w:val="clear" w:pos="1202"/>
              </w:tabs>
              <w:jc w:val="right"/>
              <w:rPr>
                <w:rFonts w:cs="Arial"/>
                <w:b/>
                <w:bCs/>
                <w:sz w:val="17"/>
                <w:szCs w:val="17"/>
                <w:lang w:val="hr-HR"/>
              </w:rPr>
            </w:pPr>
            <w:r w:rsidRPr="00102FA1">
              <w:rPr>
                <w:rFonts w:cs="Arial"/>
                <w:b/>
                <w:bCs/>
                <w:sz w:val="17"/>
                <w:szCs w:val="17"/>
                <w:lang w:val="hr-HR"/>
              </w:rPr>
              <w:t>Tekuće razdoblje</w:t>
            </w:r>
          </w:p>
        </w:tc>
        <w:tc>
          <w:tcPr>
            <w:tcW w:w="420" w:type="pct"/>
            <w:vAlign w:val="bottom"/>
          </w:tcPr>
          <w:p w14:paraId="358D758E" w14:textId="3764991A" w:rsidR="00193DFB" w:rsidRPr="00102FA1" w:rsidRDefault="00193DFB" w:rsidP="00193DFB">
            <w:pPr>
              <w:pStyle w:val="TT"/>
              <w:tabs>
                <w:tab w:val="clear" w:pos="1202"/>
              </w:tabs>
              <w:jc w:val="right"/>
              <w:rPr>
                <w:rFonts w:cs="Arial"/>
                <w:b/>
                <w:bCs/>
                <w:sz w:val="17"/>
                <w:szCs w:val="17"/>
                <w:lang w:val="hr-HR"/>
              </w:rPr>
            </w:pPr>
            <w:r w:rsidRPr="00102FA1">
              <w:rPr>
                <w:rFonts w:cs="Arial"/>
                <w:b/>
                <w:bCs/>
                <w:sz w:val="17"/>
                <w:szCs w:val="17"/>
                <w:lang w:val="hr-HR"/>
              </w:rPr>
              <w:t>Kumulativ</w:t>
            </w:r>
          </w:p>
        </w:tc>
        <w:tc>
          <w:tcPr>
            <w:tcW w:w="420" w:type="pct"/>
            <w:vAlign w:val="bottom"/>
          </w:tcPr>
          <w:p w14:paraId="0EE3A49A" w14:textId="528A3374" w:rsidR="00193DFB" w:rsidRPr="00102FA1" w:rsidRDefault="00193DFB" w:rsidP="00193DFB">
            <w:pPr>
              <w:pStyle w:val="TT"/>
              <w:tabs>
                <w:tab w:val="clear" w:pos="1202"/>
              </w:tabs>
              <w:jc w:val="right"/>
              <w:rPr>
                <w:rFonts w:cs="Arial"/>
                <w:b/>
                <w:bCs/>
                <w:sz w:val="17"/>
                <w:szCs w:val="17"/>
                <w:lang w:val="hr-HR"/>
              </w:rPr>
            </w:pPr>
            <w:r w:rsidRPr="00102FA1">
              <w:rPr>
                <w:rFonts w:cs="Arial"/>
                <w:b/>
                <w:bCs/>
                <w:sz w:val="17"/>
                <w:szCs w:val="17"/>
                <w:lang w:val="hr-HR"/>
              </w:rPr>
              <w:t>Tekuće razdoblje</w:t>
            </w:r>
          </w:p>
        </w:tc>
        <w:tc>
          <w:tcPr>
            <w:tcW w:w="420" w:type="pct"/>
            <w:vAlign w:val="bottom"/>
          </w:tcPr>
          <w:p w14:paraId="4E2E5D85" w14:textId="5877420E" w:rsidR="00193DFB" w:rsidRPr="00102FA1" w:rsidRDefault="00193DFB" w:rsidP="00193DFB">
            <w:pPr>
              <w:pStyle w:val="TT"/>
              <w:tabs>
                <w:tab w:val="clear" w:pos="1202"/>
              </w:tabs>
              <w:jc w:val="right"/>
              <w:rPr>
                <w:rFonts w:cs="Arial"/>
                <w:b/>
                <w:bCs/>
                <w:sz w:val="17"/>
                <w:szCs w:val="17"/>
                <w:lang w:val="hr-HR"/>
              </w:rPr>
            </w:pPr>
            <w:r w:rsidRPr="00102FA1">
              <w:rPr>
                <w:rFonts w:cs="Arial"/>
                <w:b/>
                <w:bCs/>
                <w:sz w:val="17"/>
                <w:szCs w:val="17"/>
                <w:lang w:val="hr-HR"/>
              </w:rPr>
              <w:t>Kumulativ</w:t>
            </w:r>
          </w:p>
        </w:tc>
        <w:tc>
          <w:tcPr>
            <w:tcW w:w="420" w:type="pct"/>
            <w:vAlign w:val="bottom"/>
          </w:tcPr>
          <w:p w14:paraId="63C68C49" w14:textId="6B481F55" w:rsidR="00193DFB" w:rsidRPr="00102FA1" w:rsidRDefault="00193DFB" w:rsidP="00193DFB">
            <w:pPr>
              <w:pStyle w:val="TT"/>
              <w:tabs>
                <w:tab w:val="clear" w:pos="1202"/>
              </w:tabs>
              <w:jc w:val="right"/>
              <w:rPr>
                <w:rFonts w:cs="Arial"/>
                <w:b/>
                <w:bCs/>
                <w:sz w:val="17"/>
                <w:szCs w:val="17"/>
                <w:lang w:val="hr-HR"/>
              </w:rPr>
            </w:pPr>
            <w:r w:rsidRPr="00102FA1">
              <w:rPr>
                <w:rFonts w:cs="Arial"/>
                <w:b/>
                <w:bCs/>
                <w:sz w:val="17"/>
                <w:szCs w:val="17"/>
                <w:lang w:val="hr-HR"/>
              </w:rPr>
              <w:t>Tekuće razdoblje</w:t>
            </w:r>
          </w:p>
        </w:tc>
        <w:tc>
          <w:tcPr>
            <w:tcW w:w="420" w:type="pct"/>
            <w:vAlign w:val="bottom"/>
          </w:tcPr>
          <w:p w14:paraId="5300A59C" w14:textId="5BC53362" w:rsidR="00193DFB" w:rsidRPr="00102FA1" w:rsidRDefault="00193DFB" w:rsidP="00193DFB">
            <w:pPr>
              <w:pStyle w:val="TT"/>
              <w:tabs>
                <w:tab w:val="clear" w:pos="1202"/>
              </w:tabs>
              <w:jc w:val="right"/>
              <w:rPr>
                <w:rFonts w:cs="Arial"/>
                <w:b/>
                <w:bCs/>
                <w:sz w:val="17"/>
                <w:szCs w:val="17"/>
                <w:lang w:val="hr-HR"/>
              </w:rPr>
            </w:pPr>
            <w:r w:rsidRPr="00102FA1">
              <w:rPr>
                <w:rFonts w:cs="Arial"/>
                <w:b/>
                <w:bCs/>
                <w:sz w:val="17"/>
                <w:szCs w:val="17"/>
                <w:lang w:val="hr-HR"/>
              </w:rPr>
              <w:t>Kumulativ</w:t>
            </w:r>
          </w:p>
        </w:tc>
        <w:tc>
          <w:tcPr>
            <w:tcW w:w="420" w:type="pct"/>
            <w:vAlign w:val="bottom"/>
          </w:tcPr>
          <w:p w14:paraId="5ADE2A63" w14:textId="3C04AFD1" w:rsidR="00193DFB" w:rsidRPr="00102FA1" w:rsidRDefault="00193DFB" w:rsidP="00193DFB">
            <w:pPr>
              <w:pStyle w:val="TT"/>
              <w:tabs>
                <w:tab w:val="clear" w:pos="1202"/>
              </w:tabs>
              <w:jc w:val="right"/>
              <w:rPr>
                <w:rFonts w:cs="Arial"/>
                <w:b/>
                <w:bCs/>
                <w:sz w:val="17"/>
                <w:szCs w:val="17"/>
                <w:lang w:val="hr-HR"/>
              </w:rPr>
            </w:pPr>
            <w:r w:rsidRPr="00102FA1">
              <w:rPr>
                <w:rFonts w:cs="Arial"/>
                <w:b/>
                <w:bCs/>
                <w:sz w:val="17"/>
                <w:szCs w:val="17"/>
                <w:lang w:val="hr-HR"/>
              </w:rPr>
              <w:t>Tekuće razdoblje</w:t>
            </w:r>
          </w:p>
        </w:tc>
        <w:tc>
          <w:tcPr>
            <w:tcW w:w="414" w:type="pct"/>
            <w:vAlign w:val="bottom"/>
          </w:tcPr>
          <w:p w14:paraId="180CF434" w14:textId="2FD4073A" w:rsidR="00193DFB" w:rsidRPr="00102FA1" w:rsidRDefault="00193DFB" w:rsidP="00193DFB">
            <w:pPr>
              <w:pStyle w:val="TT"/>
              <w:tabs>
                <w:tab w:val="clear" w:pos="1202"/>
              </w:tabs>
              <w:jc w:val="right"/>
              <w:rPr>
                <w:rFonts w:cs="Arial"/>
                <w:b/>
                <w:bCs/>
                <w:sz w:val="17"/>
                <w:szCs w:val="17"/>
                <w:lang w:val="hr-HR"/>
              </w:rPr>
            </w:pPr>
            <w:r w:rsidRPr="00102FA1">
              <w:rPr>
                <w:rFonts w:cs="Arial"/>
                <w:b/>
                <w:bCs/>
                <w:sz w:val="17"/>
                <w:szCs w:val="17"/>
                <w:lang w:val="hr-HR"/>
              </w:rPr>
              <w:t>Kumulativ</w:t>
            </w:r>
          </w:p>
        </w:tc>
      </w:tr>
      <w:tr w:rsidR="002F4581" w:rsidRPr="00102FA1" w14:paraId="2AEB2CE5" w14:textId="77777777" w:rsidTr="007478FB">
        <w:trPr>
          <w:trHeight w:hRule="exact" w:val="346"/>
        </w:trPr>
        <w:tc>
          <w:tcPr>
            <w:tcW w:w="1646" w:type="pct"/>
            <w:vAlign w:val="bottom"/>
          </w:tcPr>
          <w:p w14:paraId="7E02BA1D" w14:textId="77777777" w:rsidR="002F4581" w:rsidRPr="00102FA1" w:rsidRDefault="002F4581" w:rsidP="002F4581">
            <w:pPr>
              <w:pStyle w:val="TT"/>
              <w:rPr>
                <w:rFonts w:cs="Arial"/>
                <w:sz w:val="17"/>
                <w:szCs w:val="17"/>
                <w:lang w:val="hr-HR"/>
              </w:rPr>
            </w:pPr>
          </w:p>
        </w:tc>
        <w:tc>
          <w:tcPr>
            <w:tcW w:w="420" w:type="pct"/>
            <w:vAlign w:val="bottom"/>
          </w:tcPr>
          <w:p w14:paraId="49AAEB1D" w14:textId="12DFA0E7" w:rsidR="002F4581" w:rsidRPr="00102FA1" w:rsidRDefault="002F4581" w:rsidP="002F4581">
            <w:pPr>
              <w:pStyle w:val="TT"/>
              <w:tabs>
                <w:tab w:val="clear" w:pos="1202"/>
              </w:tabs>
              <w:jc w:val="right"/>
              <w:rPr>
                <w:rFonts w:cs="Arial"/>
                <w:b/>
                <w:bCs/>
                <w:sz w:val="17"/>
                <w:szCs w:val="17"/>
                <w:lang w:val="hr-HR"/>
              </w:rPr>
            </w:pPr>
            <w:r w:rsidRPr="00102FA1">
              <w:rPr>
                <w:rFonts w:cs="Arial"/>
                <w:b/>
                <w:bCs/>
                <w:sz w:val="17"/>
                <w:szCs w:val="17"/>
              </w:rPr>
              <w:t>1.7. - 30.9.</w:t>
            </w:r>
          </w:p>
        </w:tc>
        <w:tc>
          <w:tcPr>
            <w:tcW w:w="420" w:type="pct"/>
            <w:vAlign w:val="bottom"/>
          </w:tcPr>
          <w:p w14:paraId="3D0A85B0" w14:textId="4BEA42A8" w:rsidR="002F4581" w:rsidRPr="00102FA1" w:rsidRDefault="002F4581" w:rsidP="002F4581">
            <w:pPr>
              <w:pStyle w:val="TT"/>
              <w:tabs>
                <w:tab w:val="clear" w:pos="1202"/>
              </w:tabs>
              <w:jc w:val="right"/>
              <w:rPr>
                <w:rFonts w:cs="Arial"/>
                <w:b/>
                <w:bCs/>
                <w:sz w:val="17"/>
                <w:szCs w:val="17"/>
                <w:lang w:val="hr-HR"/>
              </w:rPr>
            </w:pPr>
            <w:r w:rsidRPr="00102FA1">
              <w:rPr>
                <w:rFonts w:cs="Arial"/>
                <w:b/>
                <w:bCs/>
                <w:sz w:val="17"/>
                <w:szCs w:val="17"/>
              </w:rPr>
              <w:t>1.1. - 30.9.</w:t>
            </w:r>
          </w:p>
        </w:tc>
        <w:tc>
          <w:tcPr>
            <w:tcW w:w="420" w:type="pct"/>
            <w:vAlign w:val="bottom"/>
          </w:tcPr>
          <w:p w14:paraId="57B775B8" w14:textId="68E6388B" w:rsidR="002F4581" w:rsidRPr="00102FA1" w:rsidRDefault="002F4581" w:rsidP="002F4581">
            <w:pPr>
              <w:pStyle w:val="TT"/>
              <w:tabs>
                <w:tab w:val="clear" w:pos="1202"/>
              </w:tabs>
              <w:jc w:val="right"/>
              <w:rPr>
                <w:rFonts w:cs="Arial"/>
                <w:b/>
                <w:bCs/>
                <w:sz w:val="17"/>
                <w:szCs w:val="17"/>
                <w:lang w:val="hr-HR"/>
              </w:rPr>
            </w:pPr>
            <w:r w:rsidRPr="00102FA1">
              <w:rPr>
                <w:rFonts w:cs="Arial"/>
                <w:b/>
                <w:bCs/>
                <w:sz w:val="17"/>
                <w:szCs w:val="17"/>
              </w:rPr>
              <w:t>1.7. - 30.9.</w:t>
            </w:r>
          </w:p>
        </w:tc>
        <w:tc>
          <w:tcPr>
            <w:tcW w:w="420" w:type="pct"/>
            <w:vAlign w:val="bottom"/>
          </w:tcPr>
          <w:p w14:paraId="342C0A4E" w14:textId="15743E30" w:rsidR="002F4581" w:rsidRPr="00102FA1" w:rsidRDefault="002F4581" w:rsidP="002F4581">
            <w:pPr>
              <w:pStyle w:val="TT"/>
              <w:tabs>
                <w:tab w:val="clear" w:pos="1202"/>
              </w:tabs>
              <w:jc w:val="right"/>
              <w:rPr>
                <w:rFonts w:cs="Arial"/>
                <w:b/>
                <w:bCs/>
                <w:sz w:val="17"/>
                <w:szCs w:val="17"/>
                <w:lang w:val="hr-HR"/>
              </w:rPr>
            </w:pPr>
            <w:r w:rsidRPr="00102FA1">
              <w:rPr>
                <w:rFonts w:cs="Arial"/>
                <w:b/>
                <w:bCs/>
                <w:sz w:val="17"/>
                <w:szCs w:val="17"/>
              </w:rPr>
              <w:t>1.1. - 30.9.</w:t>
            </w:r>
          </w:p>
        </w:tc>
        <w:tc>
          <w:tcPr>
            <w:tcW w:w="420" w:type="pct"/>
            <w:vAlign w:val="bottom"/>
          </w:tcPr>
          <w:p w14:paraId="189432D9" w14:textId="540F84DD" w:rsidR="002F4581" w:rsidRPr="00102FA1" w:rsidRDefault="002F4581" w:rsidP="002F4581">
            <w:pPr>
              <w:pStyle w:val="TT"/>
              <w:tabs>
                <w:tab w:val="clear" w:pos="1202"/>
              </w:tabs>
              <w:jc w:val="right"/>
              <w:rPr>
                <w:rFonts w:cs="Arial"/>
                <w:b/>
                <w:bCs/>
                <w:sz w:val="17"/>
                <w:szCs w:val="17"/>
                <w:lang w:val="hr-HR"/>
              </w:rPr>
            </w:pPr>
            <w:r w:rsidRPr="00102FA1">
              <w:rPr>
                <w:rFonts w:cs="Arial"/>
                <w:b/>
                <w:bCs/>
                <w:sz w:val="17"/>
                <w:szCs w:val="17"/>
              </w:rPr>
              <w:t>1.7. - 30.9.</w:t>
            </w:r>
          </w:p>
        </w:tc>
        <w:tc>
          <w:tcPr>
            <w:tcW w:w="420" w:type="pct"/>
            <w:vAlign w:val="bottom"/>
          </w:tcPr>
          <w:p w14:paraId="086F6083" w14:textId="4173340D" w:rsidR="002F4581" w:rsidRPr="00102FA1" w:rsidRDefault="002F4581" w:rsidP="002F4581">
            <w:pPr>
              <w:pStyle w:val="TT"/>
              <w:tabs>
                <w:tab w:val="clear" w:pos="1202"/>
              </w:tabs>
              <w:jc w:val="right"/>
              <w:rPr>
                <w:rFonts w:cs="Arial"/>
                <w:b/>
                <w:bCs/>
                <w:sz w:val="17"/>
                <w:szCs w:val="17"/>
                <w:lang w:val="hr-HR"/>
              </w:rPr>
            </w:pPr>
            <w:r w:rsidRPr="00102FA1">
              <w:rPr>
                <w:rFonts w:cs="Arial"/>
                <w:b/>
                <w:bCs/>
                <w:sz w:val="17"/>
                <w:szCs w:val="17"/>
              </w:rPr>
              <w:t>1.1. - 30.9.</w:t>
            </w:r>
          </w:p>
        </w:tc>
        <w:tc>
          <w:tcPr>
            <w:tcW w:w="420" w:type="pct"/>
            <w:vAlign w:val="bottom"/>
          </w:tcPr>
          <w:p w14:paraId="33D6457A" w14:textId="5EF2D25D" w:rsidR="002F4581" w:rsidRPr="00102FA1" w:rsidRDefault="002F4581" w:rsidP="002F4581">
            <w:pPr>
              <w:pStyle w:val="TT"/>
              <w:tabs>
                <w:tab w:val="clear" w:pos="1202"/>
              </w:tabs>
              <w:jc w:val="right"/>
              <w:rPr>
                <w:rFonts w:cs="Arial"/>
                <w:b/>
                <w:bCs/>
                <w:sz w:val="17"/>
                <w:szCs w:val="17"/>
                <w:lang w:val="hr-HR"/>
              </w:rPr>
            </w:pPr>
            <w:r w:rsidRPr="00102FA1">
              <w:rPr>
                <w:rFonts w:cs="Arial"/>
                <w:b/>
                <w:bCs/>
                <w:sz w:val="17"/>
                <w:szCs w:val="17"/>
              </w:rPr>
              <w:t>1.7. - 30.9.</w:t>
            </w:r>
          </w:p>
        </w:tc>
        <w:tc>
          <w:tcPr>
            <w:tcW w:w="414" w:type="pct"/>
            <w:vAlign w:val="bottom"/>
          </w:tcPr>
          <w:p w14:paraId="3E342287" w14:textId="6D4FB3D4" w:rsidR="002F4581" w:rsidRPr="00102FA1" w:rsidRDefault="002F4581" w:rsidP="002F4581">
            <w:pPr>
              <w:pStyle w:val="TT"/>
              <w:tabs>
                <w:tab w:val="clear" w:pos="1202"/>
              </w:tabs>
              <w:jc w:val="right"/>
              <w:rPr>
                <w:rFonts w:cs="Arial"/>
                <w:b/>
                <w:bCs/>
                <w:sz w:val="17"/>
                <w:szCs w:val="17"/>
                <w:lang w:val="hr-HR"/>
              </w:rPr>
            </w:pPr>
            <w:r w:rsidRPr="00102FA1">
              <w:rPr>
                <w:rFonts w:cs="Arial"/>
                <w:b/>
                <w:bCs/>
                <w:sz w:val="17"/>
                <w:szCs w:val="17"/>
              </w:rPr>
              <w:t>1.1. - 30.9.</w:t>
            </w:r>
          </w:p>
        </w:tc>
      </w:tr>
      <w:tr w:rsidR="006A5788" w:rsidRPr="00102FA1" w14:paraId="0CC023FF" w14:textId="77777777" w:rsidTr="006A5788">
        <w:trPr>
          <w:trHeight w:hRule="exact" w:val="346"/>
        </w:trPr>
        <w:tc>
          <w:tcPr>
            <w:tcW w:w="1646" w:type="pct"/>
            <w:vAlign w:val="bottom"/>
          </w:tcPr>
          <w:p w14:paraId="0E1D2957" w14:textId="77777777" w:rsidR="006A5788" w:rsidRPr="00102FA1" w:rsidRDefault="006A5788" w:rsidP="006A5788">
            <w:pPr>
              <w:pStyle w:val="TT"/>
              <w:rPr>
                <w:rFonts w:cs="Arial"/>
                <w:sz w:val="17"/>
                <w:szCs w:val="17"/>
                <w:lang w:val="hr-HR"/>
              </w:rPr>
            </w:pPr>
          </w:p>
        </w:tc>
        <w:tc>
          <w:tcPr>
            <w:tcW w:w="420" w:type="pct"/>
            <w:vAlign w:val="bottom"/>
          </w:tcPr>
          <w:p w14:paraId="0FC7B677" w14:textId="2FC5F3E6" w:rsidR="006A5788" w:rsidRPr="00102FA1" w:rsidRDefault="006A5788" w:rsidP="006A5788">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102FA1">
              <w:rPr>
                <w:rFonts w:ascii="Arial" w:eastAsia="Times New Roman" w:hAnsi="Arial" w:cs="Arial"/>
                <w:b/>
                <w:color w:val="000000" w:themeColor="text1"/>
                <w:sz w:val="17"/>
                <w:szCs w:val="17"/>
              </w:rPr>
              <w:t>000 eura</w:t>
            </w:r>
          </w:p>
        </w:tc>
        <w:tc>
          <w:tcPr>
            <w:tcW w:w="420" w:type="pct"/>
            <w:vAlign w:val="bottom"/>
          </w:tcPr>
          <w:p w14:paraId="7BAFAE1F" w14:textId="75A0C6CD" w:rsidR="006A5788" w:rsidRPr="00102FA1" w:rsidRDefault="006A5788" w:rsidP="006A5788">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102FA1">
              <w:rPr>
                <w:rFonts w:ascii="Arial" w:eastAsia="Times New Roman" w:hAnsi="Arial" w:cs="Arial"/>
                <w:b/>
                <w:color w:val="000000" w:themeColor="text1"/>
                <w:sz w:val="17"/>
                <w:szCs w:val="17"/>
              </w:rPr>
              <w:t>000 eura</w:t>
            </w:r>
          </w:p>
        </w:tc>
        <w:tc>
          <w:tcPr>
            <w:tcW w:w="420" w:type="pct"/>
            <w:vAlign w:val="bottom"/>
          </w:tcPr>
          <w:p w14:paraId="1DB7D2A0" w14:textId="3B21964B" w:rsidR="006A5788" w:rsidRPr="00102FA1" w:rsidRDefault="006A5788" w:rsidP="006A5788">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102FA1">
              <w:rPr>
                <w:rFonts w:ascii="Arial" w:eastAsia="Times New Roman" w:hAnsi="Arial" w:cs="Arial"/>
                <w:b/>
                <w:color w:val="000000" w:themeColor="text1"/>
                <w:sz w:val="17"/>
                <w:szCs w:val="17"/>
              </w:rPr>
              <w:t>000 eura</w:t>
            </w:r>
          </w:p>
        </w:tc>
        <w:tc>
          <w:tcPr>
            <w:tcW w:w="420" w:type="pct"/>
            <w:vAlign w:val="bottom"/>
          </w:tcPr>
          <w:p w14:paraId="3018053D" w14:textId="2788737D" w:rsidR="006A5788" w:rsidRPr="00102FA1" w:rsidRDefault="006A5788" w:rsidP="006A5788">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102FA1">
              <w:rPr>
                <w:rFonts w:ascii="Arial" w:eastAsia="Times New Roman" w:hAnsi="Arial" w:cs="Arial"/>
                <w:b/>
                <w:color w:val="000000" w:themeColor="text1"/>
                <w:sz w:val="17"/>
                <w:szCs w:val="17"/>
              </w:rPr>
              <w:t>000 eura</w:t>
            </w:r>
          </w:p>
        </w:tc>
        <w:tc>
          <w:tcPr>
            <w:tcW w:w="420" w:type="pct"/>
            <w:vAlign w:val="bottom"/>
          </w:tcPr>
          <w:p w14:paraId="248DC915" w14:textId="3597E463" w:rsidR="006A5788" w:rsidRPr="00102FA1" w:rsidRDefault="006A5788" w:rsidP="006A5788">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102FA1">
              <w:rPr>
                <w:rFonts w:ascii="Arial" w:eastAsia="Times New Roman" w:hAnsi="Arial" w:cs="Arial"/>
                <w:b/>
                <w:color w:val="000000" w:themeColor="text1"/>
                <w:sz w:val="17"/>
                <w:szCs w:val="17"/>
              </w:rPr>
              <w:t>000 eura</w:t>
            </w:r>
          </w:p>
        </w:tc>
        <w:tc>
          <w:tcPr>
            <w:tcW w:w="420" w:type="pct"/>
            <w:vAlign w:val="bottom"/>
          </w:tcPr>
          <w:p w14:paraId="6E67EEE3" w14:textId="60690E6F" w:rsidR="006A5788" w:rsidRPr="00102FA1" w:rsidRDefault="006A5788" w:rsidP="006A5788">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102FA1">
              <w:rPr>
                <w:rFonts w:ascii="Arial" w:eastAsia="Times New Roman" w:hAnsi="Arial" w:cs="Arial"/>
                <w:b/>
                <w:color w:val="000000" w:themeColor="text1"/>
                <w:sz w:val="17"/>
                <w:szCs w:val="17"/>
              </w:rPr>
              <w:t>000 eura</w:t>
            </w:r>
          </w:p>
        </w:tc>
        <w:tc>
          <w:tcPr>
            <w:tcW w:w="420" w:type="pct"/>
            <w:vAlign w:val="bottom"/>
          </w:tcPr>
          <w:p w14:paraId="24446683" w14:textId="0ADD7198" w:rsidR="006A5788" w:rsidRPr="00102FA1" w:rsidRDefault="006A5788" w:rsidP="006A5788">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102FA1">
              <w:rPr>
                <w:rFonts w:ascii="Arial" w:eastAsia="Times New Roman" w:hAnsi="Arial" w:cs="Arial"/>
                <w:b/>
                <w:color w:val="000000" w:themeColor="text1"/>
                <w:sz w:val="17"/>
                <w:szCs w:val="17"/>
              </w:rPr>
              <w:t>000 eura</w:t>
            </w:r>
          </w:p>
        </w:tc>
        <w:tc>
          <w:tcPr>
            <w:tcW w:w="414" w:type="pct"/>
            <w:vAlign w:val="bottom"/>
          </w:tcPr>
          <w:p w14:paraId="6F1D86BB" w14:textId="0FF597E1" w:rsidR="006A5788" w:rsidRPr="00102FA1" w:rsidRDefault="006A5788" w:rsidP="006A5788">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102FA1">
              <w:rPr>
                <w:rFonts w:ascii="Arial" w:eastAsia="Times New Roman" w:hAnsi="Arial" w:cs="Arial"/>
                <w:b/>
                <w:color w:val="000000" w:themeColor="text1"/>
                <w:sz w:val="17"/>
                <w:szCs w:val="17"/>
              </w:rPr>
              <w:t>000 eura</w:t>
            </w:r>
          </w:p>
        </w:tc>
      </w:tr>
      <w:tr w:rsidR="00F43653" w:rsidRPr="00102FA1" w14:paraId="4280E2A4" w14:textId="77777777" w:rsidTr="007478FB">
        <w:trPr>
          <w:trHeight w:hRule="exact" w:val="299"/>
        </w:trPr>
        <w:tc>
          <w:tcPr>
            <w:tcW w:w="1646" w:type="pct"/>
            <w:vAlign w:val="bottom"/>
          </w:tcPr>
          <w:p w14:paraId="0FA6C655" w14:textId="77777777" w:rsidR="00193DFB" w:rsidRPr="00102FA1" w:rsidRDefault="00193DFB" w:rsidP="00264529">
            <w:pPr>
              <w:pStyle w:val="TT"/>
              <w:rPr>
                <w:rFonts w:cs="Arial"/>
                <w:sz w:val="17"/>
                <w:szCs w:val="17"/>
                <w:lang w:val="hr-HR"/>
              </w:rPr>
            </w:pPr>
          </w:p>
        </w:tc>
        <w:tc>
          <w:tcPr>
            <w:tcW w:w="420" w:type="pct"/>
            <w:vAlign w:val="bottom"/>
          </w:tcPr>
          <w:p w14:paraId="0C135332" w14:textId="77777777" w:rsidR="00193DFB" w:rsidRPr="00102FA1" w:rsidRDefault="00193DFB" w:rsidP="00264529">
            <w:pPr>
              <w:pStyle w:val="TH"/>
              <w:jc w:val="right"/>
              <w:rPr>
                <w:rFonts w:cs="Arial"/>
                <w:sz w:val="17"/>
                <w:szCs w:val="17"/>
                <w:lang w:val="hr-HR"/>
              </w:rPr>
            </w:pPr>
          </w:p>
        </w:tc>
        <w:tc>
          <w:tcPr>
            <w:tcW w:w="420" w:type="pct"/>
            <w:vAlign w:val="bottom"/>
          </w:tcPr>
          <w:p w14:paraId="5C6B4E00" w14:textId="77777777" w:rsidR="00193DFB" w:rsidRPr="00102FA1" w:rsidRDefault="00193DFB" w:rsidP="00264529">
            <w:pPr>
              <w:pStyle w:val="TH"/>
              <w:jc w:val="right"/>
              <w:rPr>
                <w:rFonts w:cs="Arial"/>
                <w:sz w:val="17"/>
                <w:szCs w:val="17"/>
                <w:lang w:val="hr-HR"/>
              </w:rPr>
            </w:pPr>
          </w:p>
        </w:tc>
        <w:tc>
          <w:tcPr>
            <w:tcW w:w="420" w:type="pct"/>
            <w:vAlign w:val="bottom"/>
          </w:tcPr>
          <w:p w14:paraId="1B9C2F9E" w14:textId="77777777" w:rsidR="00193DFB" w:rsidRPr="00102FA1" w:rsidRDefault="00193DFB" w:rsidP="00264529">
            <w:pPr>
              <w:pStyle w:val="TH"/>
              <w:jc w:val="right"/>
              <w:rPr>
                <w:rFonts w:cs="Arial"/>
                <w:sz w:val="17"/>
                <w:szCs w:val="17"/>
                <w:lang w:val="hr-HR"/>
              </w:rPr>
            </w:pPr>
          </w:p>
        </w:tc>
        <w:tc>
          <w:tcPr>
            <w:tcW w:w="420" w:type="pct"/>
            <w:vAlign w:val="bottom"/>
          </w:tcPr>
          <w:p w14:paraId="51DB7D2A" w14:textId="77777777" w:rsidR="00193DFB" w:rsidRPr="00102FA1" w:rsidRDefault="00193DFB" w:rsidP="00264529">
            <w:pPr>
              <w:pStyle w:val="TH"/>
              <w:jc w:val="right"/>
              <w:rPr>
                <w:rFonts w:cs="Arial"/>
                <w:sz w:val="17"/>
                <w:szCs w:val="17"/>
                <w:lang w:val="hr-HR"/>
              </w:rPr>
            </w:pPr>
          </w:p>
        </w:tc>
        <w:tc>
          <w:tcPr>
            <w:tcW w:w="420" w:type="pct"/>
            <w:vAlign w:val="bottom"/>
          </w:tcPr>
          <w:p w14:paraId="6C5D9A02" w14:textId="77777777" w:rsidR="00193DFB" w:rsidRPr="00102FA1" w:rsidRDefault="00193DFB" w:rsidP="00264529">
            <w:pPr>
              <w:pStyle w:val="TH"/>
              <w:jc w:val="right"/>
              <w:rPr>
                <w:rFonts w:cs="Arial"/>
                <w:sz w:val="17"/>
                <w:szCs w:val="17"/>
                <w:lang w:val="hr-HR"/>
              </w:rPr>
            </w:pPr>
          </w:p>
        </w:tc>
        <w:tc>
          <w:tcPr>
            <w:tcW w:w="420" w:type="pct"/>
            <w:vAlign w:val="bottom"/>
          </w:tcPr>
          <w:p w14:paraId="5DEA3231" w14:textId="77777777" w:rsidR="00193DFB" w:rsidRPr="00102FA1" w:rsidRDefault="00193DFB" w:rsidP="00264529">
            <w:pPr>
              <w:pStyle w:val="TH"/>
              <w:jc w:val="right"/>
              <w:rPr>
                <w:rFonts w:cs="Arial"/>
                <w:sz w:val="17"/>
                <w:szCs w:val="17"/>
                <w:lang w:val="hr-HR"/>
              </w:rPr>
            </w:pPr>
          </w:p>
        </w:tc>
        <w:tc>
          <w:tcPr>
            <w:tcW w:w="420" w:type="pct"/>
            <w:vAlign w:val="bottom"/>
          </w:tcPr>
          <w:p w14:paraId="7C945831" w14:textId="77777777" w:rsidR="00193DFB" w:rsidRPr="00102FA1" w:rsidRDefault="00193DFB" w:rsidP="00264529">
            <w:pPr>
              <w:pStyle w:val="TH"/>
              <w:jc w:val="right"/>
              <w:rPr>
                <w:rFonts w:cs="Arial"/>
                <w:sz w:val="17"/>
                <w:szCs w:val="17"/>
                <w:lang w:val="hr-HR"/>
              </w:rPr>
            </w:pPr>
          </w:p>
        </w:tc>
        <w:tc>
          <w:tcPr>
            <w:tcW w:w="414" w:type="pct"/>
            <w:vAlign w:val="bottom"/>
          </w:tcPr>
          <w:p w14:paraId="62083A32" w14:textId="77777777" w:rsidR="00193DFB" w:rsidRPr="00102FA1" w:rsidRDefault="00193DFB" w:rsidP="00264529">
            <w:pPr>
              <w:pStyle w:val="TH"/>
              <w:jc w:val="right"/>
              <w:rPr>
                <w:rFonts w:cs="Arial"/>
                <w:sz w:val="17"/>
                <w:szCs w:val="17"/>
                <w:lang w:val="hr-HR"/>
              </w:rPr>
            </w:pPr>
          </w:p>
        </w:tc>
      </w:tr>
      <w:tr w:rsidR="00704BEA" w:rsidRPr="00102FA1" w14:paraId="51331F54" w14:textId="77777777" w:rsidTr="00704BEA">
        <w:trPr>
          <w:trHeight w:val="345"/>
        </w:trPr>
        <w:tc>
          <w:tcPr>
            <w:tcW w:w="1646" w:type="pct"/>
            <w:vAlign w:val="bottom"/>
          </w:tcPr>
          <w:p w14:paraId="4D20BC7A" w14:textId="77777777" w:rsidR="00704BEA" w:rsidRPr="00102FA1" w:rsidRDefault="00704BEA" w:rsidP="00704BEA">
            <w:pPr>
              <w:pStyle w:val="TT"/>
              <w:rPr>
                <w:rFonts w:cs="Arial"/>
                <w:sz w:val="17"/>
                <w:szCs w:val="17"/>
                <w:lang w:val="hr-HR"/>
              </w:rPr>
            </w:pPr>
            <w:r w:rsidRPr="00102FA1">
              <w:rPr>
                <w:rFonts w:cs="Arial"/>
                <w:sz w:val="17"/>
                <w:szCs w:val="17"/>
                <w:lang w:val="hr-HR"/>
              </w:rPr>
              <w:t>Rezerviranja za ostale obveze</w:t>
            </w:r>
          </w:p>
        </w:tc>
        <w:tc>
          <w:tcPr>
            <w:tcW w:w="420" w:type="pct"/>
            <w:tcBorders>
              <w:top w:val="nil"/>
              <w:left w:val="nil"/>
              <w:bottom w:val="nil"/>
              <w:right w:val="nil"/>
            </w:tcBorders>
            <w:shd w:val="clear" w:color="auto" w:fill="auto"/>
            <w:vAlign w:val="bottom"/>
          </w:tcPr>
          <w:p w14:paraId="7BEB68C3" w14:textId="5692BD4C" w:rsidR="00704BEA" w:rsidRPr="00704BEA" w:rsidRDefault="00704BEA" w:rsidP="00704BEA">
            <w:pPr>
              <w:pStyle w:val="TT"/>
              <w:jc w:val="right"/>
              <w:rPr>
                <w:rFonts w:cs="Arial"/>
                <w:sz w:val="17"/>
                <w:szCs w:val="17"/>
                <w:lang w:val="hr-HR"/>
              </w:rPr>
            </w:pPr>
            <w:r w:rsidRPr="00704BEA">
              <w:rPr>
                <w:rFonts w:cs="Arial"/>
                <w:sz w:val="17"/>
                <w:szCs w:val="17"/>
              </w:rPr>
              <w:t xml:space="preserve"> 431 </w:t>
            </w:r>
          </w:p>
        </w:tc>
        <w:tc>
          <w:tcPr>
            <w:tcW w:w="420" w:type="pct"/>
            <w:tcBorders>
              <w:top w:val="nil"/>
              <w:left w:val="nil"/>
              <w:right w:val="nil"/>
            </w:tcBorders>
            <w:shd w:val="clear" w:color="auto" w:fill="auto"/>
            <w:vAlign w:val="bottom"/>
          </w:tcPr>
          <w:p w14:paraId="111EF5E2" w14:textId="5674EAA5" w:rsidR="00704BEA" w:rsidRPr="00704BEA" w:rsidRDefault="00704BEA" w:rsidP="00704BEA">
            <w:pPr>
              <w:pStyle w:val="TT"/>
              <w:jc w:val="right"/>
              <w:rPr>
                <w:rFonts w:cs="Arial"/>
                <w:sz w:val="17"/>
                <w:szCs w:val="17"/>
                <w:lang w:val="hr-HR"/>
              </w:rPr>
            </w:pPr>
            <w:r w:rsidRPr="00704BEA">
              <w:rPr>
                <w:rFonts w:cs="Arial"/>
                <w:sz w:val="17"/>
                <w:szCs w:val="17"/>
              </w:rPr>
              <w:t xml:space="preserve"> 1.305 </w:t>
            </w:r>
          </w:p>
        </w:tc>
        <w:tc>
          <w:tcPr>
            <w:tcW w:w="420" w:type="pct"/>
            <w:tcBorders>
              <w:top w:val="nil"/>
              <w:left w:val="nil"/>
              <w:bottom w:val="nil"/>
              <w:right w:val="nil"/>
            </w:tcBorders>
            <w:shd w:val="clear" w:color="auto" w:fill="auto"/>
            <w:vAlign w:val="bottom"/>
          </w:tcPr>
          <w:p w14:paraId="6BCB8816" w14:textId="759552F4" w:rsidR="00704BEA" w:rsidRPr="00102FA1" w:rsidRDefault="00704BEA" w:rsidP="00704BEA">
            <w:pPr>
              <w:pStyle w:val="TT"/>
              <w:jc w:val="right"/>
              <w:rPr>
                <w:rFonts w:cs="Arial"/>
                <w:sz w:val="17"/>
                <w:szCs w:val="17"/>
                <w:lang w:val="hr-HR"/>
              </w:rPr>
            </w:pPr>
            <w:r w:rsidRPr="00102FA1">
              <w:rPr>
                <w:rFonts w:cs="Arial"/>
                <w:sz w:val="17"/>
                <w:szCs w:val="17"/>
                <w:lang w:val="hr-HR"/>
              </w:rPr>
              <w:t xml:space="preserve"> 109 </w:t>
            </w:r>
          </w:p>
        </w:tc>
        <w:tc>
          <w:tcPr>
            <w:tcW w:w="420" w:type="pct"/>
            <w:tcBorders>
              <w:top w:val="nil"/>
              <w:left w:val="nil"/>
              <w:right w:val="nil"/>
            </w:tcBorders>
            <w:shd w:val="clear" w:color="auto" w:fill="auto"/>
            <w:vAlign w:val="bottom"/>
          </w:tcPr>
          <w:p w14:paraId="7A309B8A" w14:textId="121167C7" w:rsidR="00704BEA" w:rsidRPr="00102FA1" w:rsidRDefault="00704BEA" w:rsidP="00704BEA">
            <w:pPr>
              <w:pStyle w:val="TT"/>
              <w:jc w:val="right"/>
              <w:rPr>
                <w:rFonts w:cs="Arial"/>
                <w:sz w:val="17"/>
                <w:szCs w:val="17"/>
                <w:lang w:val="hr-HR"/>
              </w:rPr>
            </w:pPr>
            <w:r w:rsidRPr="00102FA1">
              <w:rPr>
                <w:rFonts w:cs="Arial"/>
                <w:sz w:val="17"/>
                <w:szCs w:val="17"/>
                <w:lang w:val="hr-HR"/>
              </w:rPr>
              <w:t xml:space="preserve"> (142)</w:t>
            </w:r>
          </w:p>
        </w:tc>
        <w:tc>
          <w:tcPr>
            <w:tcW w:w="420" w:type="pct"/>
            <w:tcBorders>
              <w:top w:val="nil"/>
              <w:left w:val="nil"/>
              <w:bottom w:val="nil"/>
              <w:right w:val="nil"/>
            </w:tcBorders>
            <w:shd w:val="clear" w:color="auto" w:fill="auto"/>
            <w:vAlign w:val="bottom"/>
          </w:tcPr>
          <w:p w14:paraId="35CBFE89" w14:textId="25FFE013" w:rsidR="00704BEA" w:rsidRPr="0065220D" w:rsidRDefault="00704BEA" w:rsidP="00704BEA">
            <w:pPr>
              <w:pStyle w:val="TT"/>
              <w:jc w:val="right"/>
              <w:rPr>
                <w:rFonts w:cs="Arial"/>
                <w:sz w:val="17"/>
                <w:szCs w:val="17"/>
                <w:lang w:val="hr-HR"/>
              </w:rPr>
            </w:pPr>
            <w:r w:rsidRPr="0065220D">
              <w:rPr>
                <w:sz w:val="17"/>
                <w:szCs w:val="17"/>
              </w:rPr>
              <w:t xml:space="preserve"> 431 </w:t>
            </w:r>
          </w:p>
        </w:tc>
        <w:tc>
          <w:tcPr>
            <w:tcW w:w="420" w:type="pct"/>
            <w:tcBorders>
              <w:top w:val="nil"/>
              <w:left w:val="nil"/>
              <w:bottom w:val="nil"/>
              <w:right w:val="nil"/>
            </w:tcBorders>
            <w:shd w:val="clear" w:color="auto" w:fill="auto"/>
            <w:vAlign w:val="bottom"/>
          </w:tcPr>
          <w:p w14:paraId="6DF09BEB" w14:textId="6443FDD6" w:rsidR="00704BEA" w:rsidRPr="0065220D" w:rsidRDefault="00704BEA" w:rsidP="00704BEA">
            <w:pPr>
              <w:pStyle w:val="TT"/>
              <w:jc w:val="right"/>
              <w:rPr>
                <w:rFonts w:cs="Arial"/>
                <w:sz w:val="17"/>
                <w:szCs w:val="17"/>
                <w:lang w:val="hr-HR"/>
              </w:rPr>
            </w:pPr>
            <w:r w:rsidRPr="0065220D">
              <w:rPr>
                <w:sz w:val="17"/>
                <w:szCs w:val="17"/>
              </w:rPr>
              <w:t xml:space="preserve"> 1.305 </w:t>
            </w:r>
          </w:p>
        </w:tc>
        <w:tc>
          <w:tcPr>
            <w:tcW w:w="420" w:type="pct"/>
            <w:tcBorders>
              <w:top w:val="nil"/>
              <w:left w:val="nil"/>
              <w:bottom w:val="nil"/>
              <w:right w:val="nil"/>
            </w:tcBorders>
            <w:shd w:val="clear" w:color="auto" w:fill="auto"/>
            <w:vAlign w:val="bottom"/>
          </w:tcPr>
          <w:p w14:paraId="429A7185" w14:textId="60223866" w:rsidR="00704BEA" w:rsidRPr="00102FA1" w:rsidRDefault="00704BEA" w:rsidP="00704BEA">
            <w:pPr>
              <w:pStyle w:val="TT"/>
              <w:jc w:val="right"/>
              <w:rPr>
                <w:rFonts w:cs="Arial"/>
                <w:sz w:val="17"/>
                <w:szCs w:val="17"/>
                <w:lang w:val="hr-HR"/>
              </w:rPr>
            </w:pPr>
            <w:r w:rsidRPr="00102FA1">
              <w:rPr>
                <w:rFonts w:cs="Arial"/>
                <w:sz w:val="17"/>
                <w:szCs w:val="17"/>
                <w:lang w:val="hr-HR"/>
              </w:rPr>
              <w:t xml:space="preserve"> 109 </w:t>
            </w:r>
          </w:p>
        </w:tc>
        <w:tc>
          <w:tcPr>
            <w:tcW w:w="414" w:type="pct"/>
            <w:tcBorders>
              <w:top w:val="nil"/>
              <w:left w:val="nil"/>
              <w:right w:val="nil"/>
            </w:tcBorders>
            <w:shd w:val="clear" w:color="auto" w:fill="auto"/>
            <w:vAlign w:val="bottom"/>
          </w:tcPr>
          <w:p w14:paraId="3A01CB91" w14:textId="28336EA8" w:rsidR="00704BEA" w:rsidRPr="00102FA1" w:rsidRDefault="00704BEA" w:rsidP="00704BEA">
            <w:pPr>
              <w:pStyle w:val="TT"/>
              <w:jc w:val="right"/>
              <w:rPr>
                <w:rFonts w:cs="Arial"/>
                <w:sz w:val="17"/>
                <w:szCs w:val="17"/>
                <w:lang w:val="hr-HR"/>
              </w:rPr>
            </w:pPr>
            <w:r w:rsidRPr="00102FA1">
              <w:rPr>
                <w:rFonts w:cs="Arial"/>
                <w:sz w:val="17"/>
                <w:szCs w:val="17"/>
                <w:lang w:val="hr-HR"/>
              </w:rPr>
              <w:t xml:space="preserve"> (139)</w:t>
            </w:r>
          </w:p>
        </w:tc>
      </w:tr>
      <w:tr w:rsidR="00704BEA" w:rsidRPr="00102FA1" w14:paraId="2B37609D" w14:textId="77777777" w:rsidTr="00704BEA">
        <w:trPr>
          <w:trHeight w:val="345"/>
        </w:trPr>
        <w:tc>
          <w:tcPr>
            <w:tcW w:w="1646" w:type="pct"/>
            <w:vAlign w:val="bottom"/>
          </w:tcPr>
          <w:p w14:paraId="514383C2" w14:textId="2EB18A0D" w:rsidR="00704BEA" w:rsidRPr="00102FA1" w:rsidRDefault="00704BEA" w:rsidP="00704BEA">
            <w:pPr>
              <w:pStyle w:val="TT"/>
              <w:rPr>
                <w:rFonts w:cs="Arial"/>
                <w:sz w:val="17"/>
                <w:szCs w:val="17"/>
                <w:lang w:val="hr-HR"/>
              </w:rPr>
            </w:pPr>
            <w:r>
              <w:rPr>
                <w:rFonts w:cs="Arial"/>
                <w:sz w:val="17"/>
                <w:szCs w:val="17"/>
                <w:lang w:val="hr-HR"/>
              </w:rPr>
              <w:t>Ostala usklađenja</w:t>
            </w:r>
          </w:p>
        </w:tc>
        <w:tc>
          <w:tcPr>
            <w:tcW w:w="420" w:type="pct"/>
            <w:tcBorders>
              <w:top w:val="nil"/>
              <w:left w:val="nil"/>
              <w:bottom w:val="nil"/>
              <w:right w:val="nil"/>
            </w:tcBorders>
            <w:shd w:val="clear" w:color="auto" w:fill="auto"/>
            <w:vAlign w:val="bottom"/>
          </w:tcPr>
          <w:p w14:paraId="26227DFF" w14:textId="5E5A9435" w:rsidR="00704BEA" w:rsidRPr="00704BEA" w:rsidRDefault="00704BEA" w:rsidP="00704BEA">
            <w:pPr>
              <w:pStyle w:val="TT"/>
              <w:jc w:val="right"/>
              <w:rPr>
                <w:rFonts w:cs="Arial"/>
                <w:sz w:val="17"/>
                <w:szCs w:val="17"/>
                <w:lang w:val="hr-HR"/>
              </w:rPr>
            </w:pPr>
            <w:r w:rsidRPr="00704BEA">
              <w:rPr>
                <w:rFonts w:cs="Arial"/>
                <w:sz w:val="17"/>
                <w:szCs w:val="17"/>
              </w:rPr>
              <w:t xml:space="preserve"> (19)</w:t>
            </w:r>
          </w:p>
        </w:tc>
        <w:tc>
          <w:tcPr>
            <w:tcW w:w="420" w:type="pct"/>
            <w:tcBorders>
              <w:top w:val="nil"/>
              <w:left w:val="nil"/>
              <w:right w:val="nil"/>
            </w:tcBorders>
            <w:shd w:val="clear" w:color="auto" w:fill="auto"/>
            <w:vAlign w:val="bottom"/>
          </w:tcPr>
          <w:p w14:paraId="14487548" w14:textId="53F48E0B" w:rsidR="00704BEA" w:rsidRPr="00704BEA" w:rsidRDefault="00704BEA" w:rsidP="00704BEA">
            <w:pPr>
              <w:pStyle w:val="TT"/>
              <w:jc w:val="right"/>
              <w:rPr>
                <w:rFonts w:cs="Arial"/>
                <w:sz w:val="17"/>
                <w:szCs w:val="17"/>
                <w:lang w:val="hr-HR"/>
              </w:rPr>
            </w:pPr>
            <w:r w:rsidRPr="00704BEA">
              <w:rPr>
                <w:rFonts w:cs="Arial"/>
                <w:sz w:val="17"/>
                <w:szCs w:val="17"/>
              </w:rPr>
              <w:t xml:space="preserve"> (77)</w:t>
            </w:r>
          </w:p>
        </w:tc>
        <w:tc>
          <w:tcPr>
            <w:tcW w:w="420" w:type="pct"/>
            <w:tcBorders>
              <w:top w:val="nil"/>
              <w:left w:val="nil"/>
              <w:bottom w:val="nil"/>
              <w:right w:val="nil"/>
            </w:tcBorders>
            <w:shd w:val="clear" w:color="auto" w:fill="auto"/>
            <w:vAlign w:val="bottom"/>
          </w:tcPr>
          <w:p w14:paraId="3AC8163C" w14:textId="2C8AFBA9" w:rsidR="00704BEA" w:rsidRPr="00102FA1" w:rsidRDefault="006562F0" w:rsidP="00704BEA">
            <w:pPr>
              <w:pStyle w:val="TT"/>
              <w:jc w:val="right"/>
              <w:rPr>
                <w:rFonts w:cs="Arial"/>
                <w:sz w:val="17"/>
                <w:szCs w:val="17"/>
                <w:lang w:val="hr-HR"/>
              </w:rPr>
            </w:pPr>
            <w:r>
              <w:rPr>
                <w:rFonts w:cs="Arial"/>
                <w:sz w:val="17"/>
                <w:szCs w:val="17"/>
                <w:lang w:val="hr-HR"/>
              </w:rPr>
              <w:t>-</w:t>
            </w:r>
          </w:p>
        </w:tc>
        <w:tc>
          <w:tcPr>
            <w:tcW w:w="420" w:type="pct"/>
            <w:tcBorders>
              <w:top w:val="nil"/>
              <w:left w:val="nil"/>
              <w:right w:val="nil"/>
            </w:tcBorders>
            <w:shd w:val="clear" w:color="auto" w:fill="auto"/>
            <w:vAlign w:val="bottom"/>
          </w:tcPr>
          <w:p w14:paraId="2909D5CA" w14:textId="6AE5400F" w:rsidR="00704BEA" w:rsidRPr="00102FA1" w:rsidRDefault="006562F0" w:rsidP="00704BEA">
            <w:pPr>
              <w:pStyle w:val="TT"/>
              <w:jc w:val="right"/>
              <w:rPr>
                <w:rFonts w:cs="Arial"/>
                <w:sz w:val="17"/>
                <w:szCs w:val="17"/>
                <w:lang w:val="hr-HR"/>
              </w:rPr>
            </w:pPr>
            <w:r>
              <w:rPr>
                <w:rFonts w:cs="Arial"/>
                <w:sz w:val="17"/>
                <w:szCs w:val="17"/>
                <w:lang w:val="hr-HR"/>
              </w:rPr>
              <w:t>-</w:t>
            </w:r>
          </w:p>
        </w:tc>
        <w:tc>
          <w:tcPr>
            <w:tcW w:w="420" w:type="pct"/>
            <w:tcBorders>
              <w:top w:val="nil"/>
              <w:left w:val="nil"/>
              <w:bottom w:val="nil"/>
              <w:right w:val="nil"/>
            </w:tcBorders>
            <w:shd w:val="clear" w:color="auto" w:fill="auto"/>
            <w:vAlign w:val="bottom"/>
          </w:tcPr>
          <w:p w14:paraId="795B5FA0" w14:textId="1F6DD8C8" w:rsidR="00704BEA" w:rsidRPr="0065220D" w:rsidRDefault="00704BEA" w:rsidP="00704BEA">
            <w:pPr>
              <w:pStyle w:val="TT"/>
              <w:jc w:val="right"/>
              <w:rPr>
                <w:rFonts w:cs="Arial"/>
                <w:sz w:val="17"/>
                <w:szCs w:val="17"/>
                <w:lang w:val="hr-HR"/>
              </w:rPr>
            </w:pPr>
            <w:r w:rsidRPr="0065220D">
              <w:rPr>
                <w:sz w:val="17"/>
                <w:szCs w:val="17"/>
              </w:rPr>
              <w:t xml:space="preserve"> (19)</w:t>
            </w:r>
          </w:p>
        </w:tc>
        <w:tc>
          <w:tcPr>
            <w:tcW w:w="420" w:type="pct"/>
            <w:tcBorders>
              <w:top w:val="nil"/>
              <w:left w:val="nil"/>
              <w:bottom w:val="nil"/>
              <w:right w:val="nil"/>
            </w:tcBorders>
            <w:shd w:val="clear" w:color="auto" w:fill="auto"/>
            <w:vAlign w:val="bottom"/>
          </w:tcPr>
          <w:p w14:paraId="417074A3" w14:textId="5422228F" w:rsidR="00704BEA" w:rsidRPr="0065220D" w:rsidRDefault="00704BEA" w:rsidP="00704BEA">
            <w:pPr>
              <w:pStyle w:val="TT"/>
              <w:jc w:val="right"/>
              <w:rPr>
                <w:rFonts w:cs="Arial"/>
                <w:sz w:val="17"/>
                <w:szCs w:val="17"/>
                <w:lang w:val="hr-HR"/>
              </w:rPr>
            </w:pPr>
            <w:r w:rsidRPr="0065220D">
              <w:rPr>
                <w:sz w:val="17"/>
                <w:szCs w:val="17"/>
              </w:rPr>
              <w:t xml:space="preserve"> (77)</w:t>
            </w:r>
          </w:p>
        </w:tc>
        <w:tc>
          <w:tcPr>
            <w:tcW w:w="420" w:type="pct"/>
            <w:tcBorders>
              <w:top w:val="nil"/>
              <w:left w:val="nil"/>
              <w:bottom w:val="nil"/>
              <w:right w:val="nil"/>
            </w:tcBorders>
            <w:shd w:val="clear" w:color="auto" w:fill="auto"/>
            <w:vAlign w:val="bottom"/>
          </w:tcPr>
          <w:p w14:paraId="12376044" w14:textId="0B932D73" w:rsidR="00704BEA" w:rsidRPr="00102FA1" w:rsidRDefault="00704BEA" w:rsidP="00704BEA">
            <w:pPr>
              <w:pStyle w:val="TT"/>
              <w:jc w:val="right"/>
              <w:rPr>
                <w:rFonts w:cs="Arial"/>
                <w:sz w:val="17"/>
                <w:szCs w:val="17"/>
                <w:lang w:val="hr-HR"/>
              </w:rPr>
            </w:pPr>
            <w:r>
              <w:rPr>
                <w:rFonts w:cs="Arial"/>
                <w:sz w:val="17"/>
                <w:szCs w:val="17"/>
                <w:lang w:val="hr-HR"/>
              </w:rPr>
              <w:t>-</w:t>
            </w:r>
          </w:p>
        </w:tc>
        <w:tc>
          <w:tcPr>
            <w:tcW w:w="414" w:type="pct"/>
            <w:tcBorders>
              <w:top w:val="nil"/>
              <w:left w:val="nil"/>
              <w:right w:val="nil"/>
            </w:tcBorders>
            <w:shd w:val="clear" w:color="auto" w:fill="auto"/>
            <w:vAlign w:val="bottom"/>
          </w:tcPr>
          <w:p w14:paraId="7174DC61" w14:textId="28434F39" w:rsidR="00704BEA" w:rsidRPr="00102FA1" w:rsidRDefault="00704BEA" w:rsidP="00704BEA">
            <w:pPr>
              <w:pStyle w:val="TT"/>
              <w:jc w:val="right"/>
              <w:rPr>
                <w:rFonts w:cs="Arial"/>
                <w:sz w:val="17"/>
                <w:szCs w:val="17"/>
                <w:lang w:val="hr-HR"/>
              </w:rPr>
            </w:pPr>
            <w:r>
              <w:rPr>
                <w:rFonts w:cs="Arial"/>
                <w:sz w:val="17"/>
                <w:szCs w:val="17"/>
                <w:lang w:val="hr-HR"/>
              </w:rPr>
              <w:t>-</w:t>
            </w:r>
          </w:p>
        </w:tc>
      </w:tr>
      <w:tr w:rsidR="00704BEA" w:rsidRPr="00102FA1" w14:paraId="0EB47582" w14:textId="77777777" w:rsidTr="00704BEA">
        <w:trPr>
          <w:trHeight w:hRule="exact" w:val="359"/>
        </w:trPr>
        <w:tc>
          <w:tcPr>
            <w:tcW w:w="1646" w:type="pct"/>
            <w:vAlign w:val="bottom"/>
          </w:tcPr>
          <w:p w14:paraId="69467F46" w14:textId="77777777" w:rsidR="00704BEA" w:rsidRPr="00102FA1" w:rsidRDefault="00704BEA" w:rsidP="00704BEA">
            <w:pPr>
              <w:pStyle w:val="Tot"/>
              <w:rPr>
                <w:rFonts w:cs="Arial"/>
                <w:b/>
                <w:sz w:val="17"/>
                <w:szCs w:val="17"/>
                <w:lang w:val="hr-HR"/>
              </w:rPr>
            </w:pPr>
            <w:r w:rsidRPr="00102FA1">
              <w:rPr>
                <w:rFonts w:cs="Arial"/>
                <w:b/>
                <w:sz w:val="17"/>
                <w:szCs w:val="17"/>
                <w:lang w:val="hr-HR"/>
              </w:rPr>
              <w:t>Ukupno</w:t>
            </w:r>
          </w:p>
        </w:tc>
        <w:tc>
          <w:tcPr>
            <w:tcW w:w="420" w:type="pct"/>
            <w:tcBorders>
              <w:top w:val="single" w:sz="4" w:space="0" w:color="auto"/>
              <w:bottom w:val="single" w:sz="12" w:space="0" w:color="auto"/>
            </w:tcBorders>
            <w:vAlign w:val="bottom"/>
          </w:tcPr>
          <w:p w14:paraId="508D8B80" w14:textId="67FA1F33" w:rsidR="00704BEA" w:rsidRPr="00704BEA" w:rsidRDefault="00704BEA" w:rsidP="00704BEA">
            <w:pPr>
              <w:pStyle w:val="TT"/>
              <w:jc w:val="right"/>
              <w:rPr>
                <w:rFonts w:cs="Arial"/>
                <w:b/>
                <w:bCs/>
                <w:sz w:val="17"/>
                <w:szCs w:val="17"/>
                <w:lang w:val="hr-HR"/>
              </w:rPr>
            </w:pPr>
            <w:r w:rsidRPr="00704BEA">
              <w:rPr>
                <w:rFonts w:cs="Arial"/>
                <w:b/>
                <w:bCs/>
                <w:sz w:val="17"/>
                <w:szCs w:val="17"/>
              </w:rPr>
              <w:t xml:space="preserve"> 412 </w:t>
            </w:r>
          </w:p>
        </w:tc>
        <w:tc>
          <w:tcPr>
            <w:tcW w:w="420" w:type="pct"/>
            <w:tcBorders>
              <w:top w:val="single" w:sz="4" w:space="0" w:color="auto"/>
              <w:bottom w:val="single" w:sz="12" w:space="0" w:color="auto"/>
            </w:tcBorders>
            <w:vAlign w:val="bottom"/>
          </w:tcPr>
          <w:p w14:paraId="612D9CFE" w14:textId="018BD441" w:rsidR="00704BEA" w:rsidRPr="00704BEA" w:rsidRDefault="00704BEA" w:rsidP="00704BEA">
            <w:pPr>
              <w:pStyle w:val="TT"/>
              <w:jc w:val="right"/>
              <w:rPr>
                <w:rFonts w:cs="Arial"/>
                <w:b/>
                <w:bCs/>
                <w:sz w:val="17"/>
                <w:szCs w:val="17"/>
                <w:lang w:val="hr-HR"/>
              </w:rPr>
            </w:pPr>
            <w:r w:rsidRPr="00704BEA">
              <w:rPr>
                <w:rFonts w:cs="Arial"/>
                <w:b/>
                <w:bCs/>
                <w:sz w:val="17"/>
                <w:szCs w:val="17"/>
              </w:rPr>
              <w:t xml:space="preserve"> 1.228 </w:t>
            </w:r>
          </w:p>
        </w:tc>
        <w:tc>
          <w:tcPr>
            <w:tcW w:w="420" w:type="pct"/>
            <w:tcBorders>
              <w:top w:val="single" w:sz="4" w:space="0" w:color="auto"/>
              <w:bottom w:val="single" w:sz="12" w:space="0" w:color="auto"/>
            </w:tcBorders>
            <w:vAlign w:val="bottom"/>
          </w:tcPr>
          <w:p w14:paraId="2DECA0E7" w14:textId="2C7F76B0" w:rsidR="00704BEA" w:rsidRPr="00102FA1" w:rsidRDefault="00704BEA" w:rsidP="00704BEA">
            <w:pPr>
              <w:pStyle w:val="TT"/>
              <w:jc w:val="right"/>
              <w:rPr>
                <w:rFonts w:cs="Arial"/>
                <w:b/>
                <w:bCs/>
                <w:sz w:val="17"/>
                <w:szCs w:val="17"/>
                <w:lang w:val="hr-HR"/>
              </w:rPr>
            </w:pPr>
            <w:r w:rsidRPr="00102FA1">
              <w:rPr>
                <w:rFonts w:cs="Arial"/>
                <w:b/>
                <w:bCs/>
                <w:sz w:val="17"/>
                <w:szCs w:val="17"/>
                <w:lang w:val="hr-HR"/>
              </w:rPr>
              <w:t xml:space="preserve"> 109 </w:t>
            </w:r>
          </w:p>
        </w:tc>
        <w:tc>
          <w:tcPr>
            <w:tcW w:w="420" w:type="pct"/>
            <w:tcBorders>
              <w:top w:val="single" w:sz="4" w:space="0" w:color="auto"/>
              <w:bottom w:val="single" w:sz="12" w:space="0" w:color="auto"/>
            </w:tcBorders>
            <w:vAlign w:val="bottom"/>
          </w:tcPr>
          <w:p w14:paraId="69E59595" w14:textId="5AB0F167" w:rsidR="00704BEA" w:rsidRPr="00102FA1" w:rsidRDefault="00704BEA" w:rsidP="00704BEA">
            <w:pPr>
              <w:pStyle w:val="TT"/>
              <w:jc w:val="right"/>
              <w:rPr>
                <w:rFonts w:cs="Arial"/>
                <w:b/>
                <w:bCs/>
                <w:sz w:val="17"/>
                <w:szCs w:val="17"/>
                <w:lang w:val="hr-HR"/>
              </w:rPr>
            </w:pPr>
            <w:r w:rsidRPr="00102FA1">
              <w:rPr>
                <w:rFonts w:cs="Arial"/>
                <w:b/>
                <w:bCs/>
                <w:sz w:val="17"/>
                <w:szCs w:val="17"/>
                <w:lang w:val="hr-HR"/>
              </w:rPr>
              <w:t xml:space="preserve"> (142)</w:t>
            </w:r>
          </w:p>
        </w:tc>
        <w:tc>
          <w:tcPr>
            <w:tcW w:w="420" w:type="pct"/>
            <w:tcBorders>
              <w:top w:val="single" w:sz="4" w:space="0" w:color="auto"/>
              <w:bottom w:val="single" w:sz="12" w:space="0" w:color="auto"/>
            </w:tcBorders>
            <w:vAlign w:val="bottom"/>
          </w:tcPr>
          <w:p w14:paraId="27A862E7" w14:textId="547D43FB" w:rsidR="00704BEA" w:rsidRPr="009F4E11" w:rsidRDefault="00704BEA" w:rsidP="00704BEA">
            <w:pPr>
              <w:pStyle w:val="TT"/>
              <w:jc w:val="right"/>
              <w:rPr>
                <w:rFonts w:cs="Arial"/>
                <w:b/>
                <w:bCs/>
                <w:spacing w:val="-2"/>
                <w:sz w:val="17"/>
                <w:szCs w:val="17"/>
                <w:lang w:val="hr-HR"/>
              </w:rPr>
            </w:pPr>
            <w:r w:rsidRPr="009F4E11">
              <w:rPr>
                <w:b/>
                <w:bCs/>
                <w:sz w:val="17"/>
                <w:szCs w:val="17"/>
              </w:rPr>
              <w:t xml:space="preserve"> 412 </w:t>
            </w:r>
          </w:p>
        </w:tc>
        <w:tc>
          <w:tcPr>
            <w:tcW w:w="420" w:type="pct"/>
            <w:tcBorders>
              <w:top w:val="single" w:sz="4" w:space="0" w:color="auto"/>
              <w:bottom w:val="single" w:sz="12" w:space="0" w:color="auto"/>
            </w:tcBorders>
            <w:vAlign w:val="bottom"/>
          </w:tcPr>
          <w:p w14:paraId="01E6EF5E" w14:textId="64A5CF98" w:rsidR="00704BEA" w:rsidRPr="009F4E11" w:rsidRDefault="00704BEA" w:rsidP="00704BEA">
            <w:pPr>
              <w:pStyle w:val="TT"/>
              <w:jc w:val="right"/>
              <w:rPr>
                <w:rFonts w:cs="Arial"/>
                <w:b/>
                <w:bCs/>
                <w:spacing w:val="-2"/>
                <w:sz w:val="17"/>
                <w:szCs w:val="17"/>
                <w:lang w:val="hr-HR"/>
              </w:rPr>
            </w:pPr>
            <w:r w:rsidRPr="009F4E11">
              <w:rPr>
                <w:b/>
                <w:bCs/>
                <w:sz w:val="17"/>
                <w:szCs w:val="17"/>
              </w:rPr>
              <w:t xml:space="preserve"> 1.228 </w:t>
            </w:r>
          </w:p>
        </w:tc>
        <w:tc>
          <w:tcPr>
            <w:tcW w:w="420" w:type="pct"/>
            <w:tcBorders>
              <w:top w:val="single" w:sz="4" w:space="0" w:color="auto"/>
              <w:bottom w:val="single" w:sz="12" w:space="0" w:color="auto"/>
            </w:tcBorders>
            <w:vAlign w:val="bottom"/>
          </w:tcPr>
          <w:p w14:paraId="1379AC83" w14:textId="368293CE" w:rsidR="00704BEA" w:rsidRPr="00102FA1" w:rsidRDefault="00704BEA" w:rsidP="00704BEA">
            <w:pPr>
              <w:pStyle w:val="TT"/>
              <w:jc w:val="right"/>
              <w:rPr>
                <w:rFonts w:cs="Arial"/>
                <w:b/>
                <w:bCs/>
                <w:spacing w:val="-2"/>
                <w:sz w:val="17"/>
                <w:szCs w:val="17"/>
                <w:lang w:val="hr-HR"/>
              </w:rPr>
            </w:pPr>
            <w:r w:rsidRPr="00102FA1">
              <w:rPr>
                <w:rFonts w:cs="Arial"/>
                <w:b/>
                <w:bCs/>
                <w:spacing w:val="-2"/>
                <w:sz w:val="17"/>
                <w:szCs w:val="17"/>
                <w:lang w:val="hr-HR"/>
              </w:rPr>
              <w:t xml:space="preserve"> 109 </w:t>
            </w:r>
          </w:p>
        </w:tc>
        <w:tc>
          <w:tcPr>
            <w:tcW w:w="414" w:type="pct"/>
            <w:tcBorders>
              <w:top w:val="single" w:sz="4" w:space="0" w:color="auto"/>
              <w:bottom w:val="single" w:sz="12" w:space="0" w:color="auto"/>
            </w:tcBorders>
            <w:vAlign w:val="bottom"/>
          </w:tcPr>
          <w:p w14:paraId="3DDBDC62" w14:textId="58B27284" w:rsidR="00704BEA" w:rsidRPr="00102FA1" w:rsidRDefault="00704BEA" w:rsidP="00704BEA">
            <w:pPr>
              <w:pStyle w:val="TT"/>
              <w:jc w:val="right"/>
              <w:rPr>
                <w:rFonts w:cs="Arial"/>
                <w:b/>
                <w:bCs/>
                <w:spacing w:val="-2"/>
                <w:sz w:val="17"/>
                <w:szCs w:val="17"/>
                <w:lang w:val="hr-HR"/>
              </w:rPr>
            </w:pPr>
            <w:r w:rsidRPr="00102FA1">
              <w:rPr>
                <w:rFonts w:cs="Arial"/>
                <w:b/>
                <w:bCs/>
                <w:spacing w:val="-2"/>
                <w:sz w:val="17"/>
                <w:szCs w:val="17"/>
                <w:lang w:val="hr-HR"/>
              </w:rPr>
              <w:t xml:space="preserve"> (139)</w:t>
            </w:r>
          </w:p>
        </w:tc>
      </w:tr>
      <w:tr w:rsidR="004C07A7" w:rsidRPr="00102FA1" w14:paraId="7F628CAB" w14:textId="77777777" w:rsidTr="00704BEA">
        <w:trPr>
          <w:trHeight w:hRule="exact" w:val="179"/>
        </w:trPr>
        <w:tc>
          <w:tcPr>
            <w:tcW w:w="1646" w:type="pct"/>
            <w:vAlign w:val="bottom"/>
          </w:tcPr>
          <w:p w14:paraId="106F2E03" w14:textId="77777777" w:rsidR="004C07A7" w:rsidRPr="00102FA1" w:rsidRDefault="004C07A7" w:rsidP="004C07A7">
            <w:pPr>
              <w:pStyle w:val="Tot"/>
              <w:rPr>
                <w:rFonts w:cs="Arial"/>
                <w:sz w:val="17"/>
                <w:szCs w:val="17"/>
                <w:lang w:val="hr-HR"/>
              </w:rPr>
            </w:pPr>
          </w:p>
        </w:tc>
        <w:tc>
          <w:tcPr>
            <w:tcW w:w="420" w:type="pct"/>
            <w:tcBorders>
              <w:top w:val="single" w:sz="12" w:space="0" w:color="auto"/>
            </w:tcBorders>
            <w:vAlign w:val="bottom"/>
          </w:tcPr>
          <w:p w14:paraId="1444E3FD" w14:textId="77777777" w:rsidR="004C07A7" w:rsidRPr="00704BEA" w:rsidRDefault="004C07A7" w:rsidP="004C07A7">
            <w:pPr>
              <w:pStyle w:val="TT"/>
              <w:jc w:val="right"/>
              <w:rPr>
                <w:rFonts w:cs="Arial"/>
                <w:b/>
                <w:bCs/>
                <w:spacing w:val="-2"/>
                <w:sz w:val="17"/>
                <w:szCs w:val="17"/>
                <w:lang w:val="hr-HR"/>
              </w:rPr>
            </w:pPr>
          </w:p>
        </w:tc>
        <w:tc>
          <w:tcPr>
            <w:tcW w:w="420" w:type="pct"/>
            <w:tcBorders>
              <w:top w:val="single" w:sz="12" w:space="0" w:color="auto"/>
            </w:tcBorders>
            <w:vAlign w:val="bottom"/>
          </w:tcPr>
          <w:p w14:paraId="31EB0B8C" w14:textId="77777777" w:rsidR="004C07A7" w:rsidRPr="00704BEA" w:rsidRDefault="004C07A7" w:rsidP="004C07A7">
            <w:pPr>
              <w:pStyle w:val="TT"/>
              <w:jc w:val="right"/>
              <w:rPr>
                <w:rFonts w:cs="Arial"/>
                <w:b/>
                <w:bCs/>
                <w:spacing w:val="-2"/>
                <w:sz w:val="17"/>
                <w:szCs w:val="17"/>
                <w:lang w:val="hr-HR"/>
              </w:rPr>
            </w:pPr>
          </w:p>
        </w:tc>
        <w:tc>
          <w:tcPr>
            <w:tcW w:w="420" w:type="pct"/>
            <w:tcBorders>
              <w:top w:val="single" w:sz="12" w:space="0" w:color="auto"/>
            </w:tcBorders>
            <w:vAlign w:val="bottom"/>
          </w:tcPr>
          <w:p w14:paraId="2126BAE6" w14:textId="77777777" w:rsidR="004C07A7" w:rsidRPr="00102FA1" w:rsidRDefault="004C07A7" w:rsidP="004C07A7">
            <w:pPr>
              <w:pStyle w:val="TT"/>
              <w:jc w:val="right"/>
              <w:rPr>
                <w:rFonts w:cs="Arial"/>
                <w:spacing w:val="-2"/>
                <w:sz w:val="17"/>
                <w:szCs w:val="17"/>
                <w:lang w:val="hr-HR"/>
              </w:rPr>
            </w:pPr>
          </w:p>
        </w:tc>
        <w:tc>
          <w:tcPr>
            <w:tcW w:w="420" w:type="pct"/>
            <w:tcBorders>
              <w:top w:val="single" w:sz="12" w:space="0" w:color="auto"/>
            </w:tcBorders>
            <w:vAlign w:val="bottom"/>
          </w:tcPr>
          <w:p w14:paraId="65DCD681" w14:textId="77777777" w:rsidR="004C07A7" w:rsidRPr="00102FA1" w:rsidRDefault="004C07A7" w:rsidP="004C07A7">
            <w:pPr>
              <w:pStyle w:val="TT"/>
              <w:jc w:val="right"/>
              <w:rPr>
                <w:rFonts w:cs="Arial"/>
                <w:spacing w:val="-2"/>
                <w:sz w:val="17"/>
                <w:szCs w:val="17"/>
                <w:lang w:val="hr-HR"/>
              </w:rPr>
            </w:pPr>
          </w:p>
        </w:tc>
        <w:tc>
          <w:tcPr>
            <w:tcW w:w="420" w:type="pct"/>
            <w:tcBorders>
              <w:top w:val="single" w:sz="12" w:space="0" w:color="auto"/>
            </w:tcBorders>
            <w:vAlign w:val="bottom"/>
          </w:tcPr>
          <w:p w14:paraId="641E019B" w14:textId="77777777" w:rsidR="004C07A7" w:rsidRPr="0065220D" w:rsidRDefault="004C07A7" w:rsidP="004C07A7">
            <w:pPr>
              <w:pStyle w:val="TT"/>
              <w:jc w:val="right"/>
              <w:rPr>
                <w:rFonts w:cs="Arial"/>
                <w:spacing w:val="-2"/>
                <w:sz w:val="17"/>
                <w:szCs w:val="17"/>
                <w:lang w:val="hr-HR"/>
              </w:rPr>
            </w:pPr>
          </w:p>
        </w:tc>
        <w:tc>
          <w:tcPr>
            <w:tcW w:w="420" w:type="pct"/>
            <w:tcBorders>
              <w:top w:val="single" w:sz="12" w:space="0" w:color="auto"/>
            </w:tcBorders>
            <w:vAlign w:val="bottom"/>
          </w:tcPr>
          <w:p w14:paraId="6E3082FA" w14:textId="77777777" w:rsidR="004C07A7" w:rsidRPr="0065220D" w:rsidRDefault="004C07A7" w:rsidP="004C07A7">
            <w:pPr>
              <w:pStyle w:val="TT"/>
              <w:jc w:val="right"/>
              <w:rPr>
                <w:rFonts w:cs="Arial"/>
                <w:spacing w:val="-2"/>
                <w:sz w:val="17"/>
                <w:szCs w:val="17"/>
                <w:lang w:val="hr-HR"/>
              </w:rPr>
            </w:pPr>
          </w:p>
        </w:tc>
        <w:tc>
          <w:tcPr>
            <w:tcW w:w="420" w:type="pct"/>
            <w:tcBorders>
              <w:top w:val="single" w:sz="12" w:space="0" w:color="auto"/>
            </w:tcBorders>
            <w:vAlign w:val="bottom"/>
          </w:tcPr>
          <w:p w14:paraId="561DB1B2" w14:textId="77777777" w:rsidR="004C07A7" w:rsidRPr="00102FA1" w:rsidRDefault="004C07A7" w:rsidP="004C07A7">
            <w:pPr>
              <w:pStyle w:val="TT"/>
              <w:jc w:val="right"/>
              <w:rPr>
                <w:rFonts w:cs="Arial"/>
                <w:spacing w:val="-2"/>
                <w:sz w:val="17"/>
                <w:szCs w:val="17"/>
                <w:lang w:val="hr-HR"/>
              </w:rPr>
            </w:pPr>
          </w:p>
        </w:tc>
        <w:tc>
          <w:tcPr>
            <w:tcW w:w="414" w:type="pct"/>
            <w:tcBorders>
              <w:top w:val="single" w:sz="12" w:space="0" w:color="auto"/>
            </w:tcBorders>
            <w:vAlign w:val="bottom"/>
          </w:tcPr>
          <w:p w14:paraId="4C36E3B0" w14:textId="77777777" w:rsidR="004C07A7" w:rsidRPr="00102FA1" w:rsidRDefault="004C07A7" w:rsidP="004C07A7">
            <w:pPr>
              <w:pStyle w:val="TT"/>
              <w:jc w:val="right"/>
              <w:rPr>
                <w:rFonts w:cs="Arial"/>
                <w:spacing w:val="-2"/>
                <w:sz w:val="17"/>
                <w:szCs w:val="17"/>
                <w:lang w:val="hr-HR"/>
              </w:rPr>
            </w:pPr>
          </w:p>
        </w:tc>
      </w:tr>
      <w:tr w:rsidR="00704BEA" w:rsidRPr="00102FA1" w14:paraId="7FAAC3E2" w14:textId="77777777" w:rsidTr="00704BEA">
        <w:trPr>
          <w:trHeight w:val="353"/>
        </w:trPr>
        <w:tc>
          <w:tcPr>
            <w:tcW w:w="1646" w:type="pct"/>
            <w:vAlign w:val="bottom"/>
          </w:tcPr>
          <w:p w14:paraId="04AF328C" w14:textId="77777777" w:rsidR="00704BEA" w:rsidRPr="00102FA1" w:rsidRDefault="00704BEA" w:rsidP="00704BEA">
            <w:pPr>
              <w:pStyle w:val="Tot"/>
              <w:rPr>
                <w:rFonts w:cs="Arial"/>
                <w:b/>
                <w:bCs/>
                <w:spacing w:val="-2"/>
                <w:sz w:val="17"/>
                <w:szCs w:val="17"/>
                <w:lang w:val="hr-HR"/>
              </w:rPr>
            </w:pPr>
            <w:r w:rsidRPr="00102FA1">
              <w:rPr>
                <w:rFonts w:cs="Arial"/>
                <w:b/>
                <w:bCs/>
                <w:spacing w:val="-2"/>
                <w:sz w:val="17"/>
                <w:szCs w:val="17"/>
                <w:lang w:val="hr-HR"/>
              </w:rPr>
              <w:t>Sveukupno</w:t>
            </w:r>
          </w:p>
        </w:tc>
        <w:tc>
          <w:tcPr>
            <w:tcW w:w="420" w:type="pct"/>
            <w:tcBorders>
              <w:bottom w:val="single" w:sz="12" w:space="0" w:color="auto"/>
            </w:tcBorders>
            <w:vAlign w:val="bottom"/>
          </w:tcPr>
          <w:p w14:paraId="5032D0FE" w14:textId="7FF56401" w:rsidR="00704BEA" w:rsidRPr="00704BEA" w:rsidRDefault="00704BEA" w:rsidP="00704BEA">
            <w:pPr>
              <w:pStyle w:val="Tot"/>
              <w:jc w:val="right"/>
              <w:rPr>
                <w:rFonts w:cs="Arial"/>
                <w:b/>
                <w:bCs/>
                <w:spacing w:val="-2"/>
                <w:sz w:val="17"/>
                <w:szCs w:val="17"/>
                <w:lang w:val="hr-HR"/>
              </w:rPr>
            </w:pPr>
            <w:r w:rsidRPr="00704BEA">
              <w:rPr>
                <w:rFonts w:cs="Arial"/>
                <w:b/>
                <w:bCs/>
                <w:sz w:val="17"/>
                <w:szCs w:val="17"/>
              </w:rPr>
              <w:t xml:space="preserve"> 8.798 </w:t>
            </w:r>
          </w:p>
        </w:tc>
        <w:tc>
          <w:tcPr>
            <w:tcW w:w="420" w:type="pct"/>
            <w:tcBorders>
              <w:bottom w:val="single" w:sz="12" w:space="0" w:color="auto"/>
            </w:tcBorders>
            <w:vAlign w:val="bottom"/>
          </w:tcPr>
          <w:p w14:paraId="48887996" w14:textId="040A70C1" w:rsidR="00704BEA" w:rsidRPr="00704BEA" w:rsidRDefault="00704BEA" w:rsidP="00704BEA">
            <w:pPr>
              <w:pStyle w:val="Tot"/>
              <w:jc w:val="right"/>
              <w:rPr>
                <w:rFonts w:cs="Arial"/>
                <w:b/>
                <w:bCs/>
                <w:spacing w:val="-2"/>
                <w:sz w:val="17"/>
                <w:szCs w:val="17"/>
                <w:lang w:val="hr-HR"/>
              </w:rPr>
            </w:pPr>
            <w:r w:rsidRPr="00704BEA">
              <w:rPr>
                <w:rFonts w:cs="Arial"/>
                <w:b/>
                <w:bCs/>
                <w:sz w:val="17"/>
                <w:szCs w:val="17"/>
              </w:rPr>
              <w:t xml:space="preserve"> (6.491)</w:t>
            </w:r>
          </w:p>
        </w:tc>
        <w:tc>
          <w:tcPr>
            <w:tcW w:w="420" w:type="pct"/>
            <w:tcBorders>
              <w:bottom w:val="single" w:sz="12" w:space="0" w:color="auto"/>
            </w:tcBorders>
            <w:vAlign w:val="bottom"/>
          </w:tcPr>
          <w:p w14:paraId="36AD5D1D" w14:textId="4C60FB68" w:rsidR="00704BEA" w:rsidRPr="00102FA1" w:rsidRDefault="00704BEA" w:rsidP="00704BEA">
            <w:pPr>
              <w:pStyle w:val="Tot"/>
              <w:jc w:val="right"/>
              <w:rPr>
                <w:rFonts w:cs="Arial"/>
                <w:b/>
                <w:bCs/>
                <w:spacing w:val="-2"/>
                <w:sz w:val="17"/>
                <w:szCs w:val="17"/>
                <w:lang w:val="hr-HR"/>
              </w:rPr>
            </w:pPr>
            <w:r w:rsidRPr="00102FA1">
              <w:rPr>
                <w:rFonts w:cs="Arial"/>
                <w:b/>
                <w:bCs/>
                <w:spacing w:val="-2"/>
                <w:sz w:val="17"/>
                <w:szCs w:val="17"/>
                <w:lang w:val="hr-HR"/>
              </w:rPr>
              <w:t xml:space="preserve"> (7.895)</w:t>
            </w:r>
          </w:p>
        </w:tc>
        <w:tc>
          <w:tcPr>
            <w:tcW w:w="420" w:type="pct"/>
            <w:tcBorders>
              <w:bottom w:val="single" w:sz="12" w:space="0" w:color="auto"/>
            </w:tcBorders>
            <w:vAlign w:val="bottom"/>
          </w:tcPr>
          <w:p w14:paraId="33D9F169" w14:textId="05E52EBA" w:rsidR="00704BEA" w:rsidRPr="00102FA1" w:rsidRDefault="00704BEA" w:rsidP="00704BEA">
            <w:pPr>
              <w:pStyle w:val="Tot"/>
              <w:jc w:val="right"/>
              <w:rPr>
                <w:rFonts w:cs="Arial"/>
                <w:b/>
                <w:bCs/>
                <w:spacing w:val="-2"/>
                <w:sz w:val="17"/>
                <w:szCs w:val="17"/>
                <w:lang w:val="hr-HR"/>
              </w:rPr>
            </w:pPr>
            <w:r w:rsidRPr="00102FA1">
              <w:rPr>
                <w:rFonts w:cs="Arial"/>
                <w:b/>
                <w:bCs/>
                <w:spacing w:val="-2"/>
                <w:sz w:val="17"/>
                <w:szCs w:val="17"/>
                <w:lang w:val="hr-HR"/>
              </w:rPr>
              <w:t xml:space="preserve"> (17.036)</w:t>
            </w:r>
          </w:p>
        </w:tc>
        <w:tc>
          <w:tcPr>
            <w:tcW w:w="420" w:type="pct"/>
            <w:tcBorders>
              <w:bottom w:val="single" w:sz="12" w:space="0" w:color="auto"/>
            </w:tcBorders>
            <w:vAlign w:val="bottom"/>
          </w:tcPr>
          <w:p w14:paraId="4B0F14BF" w14:textId="60ABD1F2" w:rsidR="00704BEA" w:rsidRPr="00C52DB8" w:rsidRDefault="00704BEA" w:rsidP="00704BEA">
            <w:pPr>
              <w:pStyle w:val="Tot"/>
              <w:jc w:val="right"/>
              <w:rPr>
                <w:rFonts w:cs="Arial"/>
                <w:b/>
                <w:bCs/>
                <w:spacing w:val="-2"/>
                <w:sz w:val="17"/>
                <w:szCs w:val="17"/>
                <w:lang w:val="hr-HR"/>
              </w:rPr>
            </w:pPr>
            <w:r w:rsidRPr="00C52DB8">
              <w:rPr>
                <w:b/>
                <w:bCs/>
                <w:sz w:val="17"/>
                <w:szCs w:val="17"/>
              </w:rPr>
              <w:t xml:space="preserve"> 8.778 </w:t>
            </w:r>
          </w:p>
        </w:tc>
        <w:tc>
          <w:tcPr>
            <w:tcW w:w="420" w:type="pct"/>
            <w:tcBorders>
              <w:bottom w:val="single" w:sz="12" w:space="0" w:color="auto"/>
            </w:tcBorders>
            <w:vAlign w:val="bottom"/>
          </w:tcPr>
          <w:p w14:paraId="1C9BC7CB" w14:textId="3AA209B4" w:rsidR="00704BEA" w:rsidRPr="00C52DB8" w:rsidRDefault="00704BEA" w:rsidP="00704BEA">
            <w:pPr>
              <w:pStyle w:val="Tot"/>
              <w:jc w:val="right"/>
              <w:rPr>
                <w:rFonts w:cs="Arial"/>
                <w:b/>
                <w:bCs/>
                <w:spacing w:val="-2"/>
                <w:sz w:val="17"/>
                <w:szCs w:val="17"/>
                <w:lang w:val="hr-HR"/>
              </w:rPr>
            </w:pPr>
            <w:r w:rsidRPr="00C52DB8">
              <w:rPr>
                <w:b/>
                <w:bCs/>
                <w:sz w:val="17"/>
                <w:szCs w:val="17"/>
              </w:rPr>
              <w:t xml:space="preserve"> (6.511)</w:t>
            </w:r>
          </w:p>
        </w:tc>
        <w:tc>
          <w:tcPr>
            <w:tcW w:w="420" w:type="pct"/>
            <w:tcBorders>
              <w:bottom w:val="single" w:sz="12" w:space="0" w:color="auto"/>
            </w:tcBorders>
            <w:vAlign w:val="bottom"/>
          </w:tcPr>
          <w:p w14:paraId="1F4C7982" w14:textId="41395980" w:rsidR="00704BEA" w:rsidRPr="00102FA1" w:rsidRDefault="00704BEA" w:rsidP="00704BEA">
            <w:pPr>
              <w:pStyle w:val="Tot"/>
              <w:jc w:val="right"/>
              <w:rPr>
                <w:rFonts w:cs="Arial"/>
                <w:b/>
                <w:bCs/>
                <w:spacing w:val="-2"/>
                <w:sz w:val="17"/>
                <w:szCs w:val="17"/>
                <w:lang w:val="hr-HR"/>
              </w:rPr>
            </w:pPr>
            <w:r w:rsidRPr="00102FA1">
              <w:rPr>
                <w:rFonts w:cs="Arial"/>
                <w:b/>
                <w:bCs/>
                <w:spacing w:val="-2"/>
                <w:sz w:val="17"/>
                <w:szCs w:val="17"/>
                <w:lang w:val="hr-HR"/>
              </w:rPr>
              <w:t xml:space="preserve"> (7.897)</w:t>
            </w:r>
          </w:p>
        </w:tc>
        <w:tc>
          <w:tcPr>
            <w:tcW w:w="414" w:type="pct"/>
            <w:tcBorders>
              <w:bottom w:val="single" w:sz="12" w:space="0" w:color="auto"/>
            </w:tcBorders>
            <w:vAlign w:val="bottom"/>
          </w:tcPr>
          <w:p w14:paraId="53DE43FF" w14:textId="2A91A550" w:rsidR="00704BEA" w:rsidRPr="00102FA1" w:rsidRDefault="00704BEA" w:rsidP="00704BEA">
            <w:pPr>
              <w:pStyle w:val="Tot"/>
              <w:jc w:val="right"/>
              <w:rPr>
                <w:rFonts w:cs="Arial"/>
                <w:b/>
                <w:bCs/>
                <w:spacing w:val="-2"/>
                <w:sz w:val="17"/>
                <w:szCs w:val="17"/>
                <w:lang w:val="hr-HR"/>
              </w:rPr>
            </w:pPr>
            <w:r w:rsidRPr="00102FA1">
              <w:rPr>
                <w:rFonts w:cs="Arial"/>
                <w:b/>
                <w:bCs/>
                <w:spacing w:val="-2"/>
                <w:sz w:val="17"/>
                <w:szCs w:val="17"/>
                <w:lang w:val="hr-HR"/>
              </w:rPr>
              <w:t xml:space="preserve"> (17.034)</w:t>
            </w:r>
          </w:p>
        </w:tc>
      </w:tr>
      <w:bookmarkEnd w:id="296"/>
    </w:tbl>
    <w:p w14:paraId="20A57AE1" w14:textId="639AF766" w:rsidR="00FD5DDF" w:rsidRPr="003D1614" w:rsidRDefault="00FD5DDF" w:rsidP="00EA0684">
      <w:pPr>
        <w:rPr>
          <w:rFonts w:ascii="Arial" w:eastAsia="Times New Roman" w:hAnsi="Arial" w:cs="Arial"/>
          <w:sz w:val="20"/>
          <w:szCs w:val="20"/>
        </w:rPr>
        <w:sectPr w:rsidR="00FD5DDF" w:rsidRPr="003D1614" w:rsidSect="007478FB">
          <w:pgSz w:w="16838" w:h="11906" w:orient="landscape"/>
          <w:pgMar w:top="1417" w:right="1417" w:bottom="1417" w:left="1417" w:header="708" w:footer="708" w:gutter="0"/>
          <w:cols w:space="708"/>
          <w:docGrid w:linePitch="360"/>
        </w:sectPr>
      </w:pPr>
    </w:p>
    <w:p w14:paraId="676B7647" w14:textId="0767D199" w:rsidR="00FD5DDF" w:rsidRPr="003D1614" w:rsidRDefault="00FD5DDF" w:rsidP="00EA0684">
      <w:pPr>
        <w:rPr>
          <w:rFonts w:ascii="Arial" w:eastAsia="Times New Roman" w:hAnsi="Arial" w:cs="Arial"/>
          <w:sz w:val="20"/>
          <w:szCs w:val="20"/>
        </w:rPr>
      </w:pPr>
    </w:p>
    <w:p w14:paraId="746BD317" w14:textId="264F125F" w:rsidR="00DE4AC9" w:rsidRPr="003D1614" w:rsidRDefault="00DE4AC9" w:rsidP="00DE4AC9">
      <w:pPr>
        <w:keepNext/>
        <w:tabs>
          <w:tab w:val="left" w:pos="426"/>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9.</w:t>
      </w:r>
      <w:r w:rsidRPr="003D1614">
        <w:rPr>
          <w:rFonts w:ascii="Arial" w:eastAsia="Times New Roman" w:hAnsi="Arial" w:cs="Arial"/>
          <w:b/>
          <w:bCs/>
          <w:color w:val="000000" w:themeColor="text1"/>
          <w:sz w:val="20"/>
          <w:szCs w:val="20"/>
        </w:rPr>
        <w:tab/>
        <w:t>Novčana sredstva i računi kod banaka</w:t>
      </w:r>
    </w:p>
    <w:p w14:paraId="678E045A" w14:textId="77777777" w:rsidR="00DE4AC9" w:rsidRPr="003D1614" w:rsidRDefault="00DE4AC9" w:rsidP="00DE4AC9">
      <w:pPr>
        <w:keepNext/>
        <w:suppressAutoHyphens/>
        <w:autoSpaceDN w:val="0"/>
        <w:jc w:val="both"/>
        <w:outlineLvl w:val="0"/>
        <w:rPr>
          <w:rFonts w:ascii="Arial" w:eastAsia="Times New Roman" w:hAnsi="Arial" w:cs="Arial"/>
          <w:b/>
          <w:bCs/>
          <w:color w:val="000000" w:themeColor="text1"/>
          <w:sz w:val="20"/>
          <w:szCs w:val="20"/>
        </w:rPr>
      </w:pPr>
    </w:p>
    <w:tbl>
      <w:tblPr>
        <w:tblW w:w="5105" w:type="pct"/>
        <w:tblInd w:w="-142" w:type="dxa"/>
        <w:tblLayout w:type="fixed"/>
        <w:tblLook w:val="0000" w:firstRow="0" w:lastRow="0" w:firstColumn="0" w:lastColumn="0" w:noHBand="0" w:noVBand="0"/>
      </w:tblPr>
      <w:tblGrid>
        <w:gridCol w:w="3390"/>
        <w:gridCol w:w="1560"/>
        <w:gridCol w:w="1534"/>
        <w:gridCol w:w="1352"/>
        <w:gridCol w:w="1427"/>
      </w:tblGrid>
      <w:tr w:rsidR="00DE4AC9" w:rsidRPr="003D1614" w14:paraId="6531A005" w14:textId="77777777" w:rsidTr="00737443">
        <w:trPr>
          <w:trHeight w:val="341"/>
        </w:trPr>
        <w:tc>
          <w:tcPr>
            <w:tcW w:w="1830" w:type="pct"/>
            <w:vAlign w:val="bottom"/>
          </w:tcPr>
          <w:p w14:paraId="4E49D938" w14:textId="77777777" w:rsidR="00DE4AC9" w:rsidRPr="003D1614" w:rsidRDefault="00DE4AC9" w:rsidP="00DE4AC9">
            <w:pPr>
              <w:tabs>
                <w:tab w:val="left" w:pos="-720"/>
              </w:tabs>
              <w:suppressAutoHyphens/>
              <w:autoSpaceDN w:val="0"/>
              <w:rPr>
                <w:rFonts w:ascii="Arial" w:eastAsia="Times New Roman" w:hAnsi="Arial" w:cs="Arial"/>
                <w:color w:val="000000" w:themeColor="text1"/>
                <w:sz w:val="20"/>
                <w:szCs w:val="20"/>
              </w:rPr>
            </w:pPr>
            <w:bookmarkStart w:id="308" w:name="_Hlk141870942"/>
          </w:p>
        </w:tc>
        <w:tc>
          <w:tcPr>
            <w:tcW w:w="1670" w:type="pct"/>
            <w:gridSpan w:val="2"/>
            <w:vAlign w:val="bottom"/>
          </w:tcPr>
          <w:p w14:paraId="021F2219" w14:textId="77777777" w:rsidR="00DE4AC9" w:rsidRPr="003D1614" w:rsidRDefault="00DE4AC9" w:rsidP="00DE4AC9">
            <w:pPr>
              <w:tabs>
                <w:tab w:val="right" w:pos="1202"/>
              </w:tabs>
              <w:suppressAutoHyphens/>
              <w:autoSpaceDN w:val="0"/>
              <w:spacing w:line="220" w:lineRule="exact"/>
              <w:jc w:val="right"/>
              <w:outlineLvl w:val="0"/>
              <w:rPr>
                <w:rFonts w:ascii="Arial" w:eastAsia="Times New Roman" w:hAnsi="Arial" w:cs="Arial"/>
                <w:b/>
                <w:color w:val="000000" w:themeColor="text1"/>
                <w:sz w:val="20"/>
                <w:szCs w:val="20"/>
              </w:rPr>
            </w:pPr>
            <w:bookmarkStart w:id="309" w:name="_Toc67327872"/>
            <w:r w:rsidRPr="003D1614">
              <w:rPr>
                <w:rFonts w:ascii="Arial" w:eastAsia="Times New Roman" w:hAnsi="Arial" w:cs="Arial"/>
                <w:b/>
                <w:color w:val="000000" w:themeColor="text1"/>
                <w:sz w:val="20"/>
                <w:szCs w:val="20"/>
              </w:rPr>
              <w:t>Grupa</w:t>
            </w:r>
            <w:bookmarkEnd w:id="309"/>
          </w:p>
        </w:tc>
        <w:tc>
          <w:tcPr>
            <w:tcW w:w="1500" w:type="pct"/>
            <w:gridSpan w:val="2"/>
            <w:vAlign w:val="bottom"/>
          </w:tcPr>
          <w:p w14:paraId="7F6BCA02" w14:textId="77777777" w:rsidR="00DE4AC9" w:rsidRPr="003D1614" w:rsidRDefault="00DE4AC9" w:rsidP="00DE4AC9">
            <w:pPr>
              <w:tabs>
                <w:tab w:val="right" w:pos="1202"/>
              </w:tabs>
              <w:suppressAutoHyphens/>
              <w:autoSpaceDN w:val="0"/>
              <w:spacing w:line="220" w:lineRule="exact"/>
              <w:jc w:val="right"/>
              <w:outlineLvl w:val="0"/>
              <w:rPr>
                <w:rFonts w:ascii="Arial" w:eastAsia="Times New Roman" w:hAnsi="Arial" w:cs="Arial"/>
                <w:b/>
                <w:color w:val="000000" w:themeColor="text1"/>
                <w:sz w:val="20"/>
                <w:szCs w:val="20"/>
              </w:rPr>
            </w:pPr>
            <w:bookmarkStart w:id="310" w:name="_Toc67327873"/>
            <w:r w:rsidRPr="003D1614">
              <w:rPr>
                <w:rFonts w:ascii="Arial" w:eastAsia="Times New Roman" w:hAnsi="Arial" w:cs="Arial"/>
                <w:b/>
                <w:color w:val="000000" w:themeColor="text1"/>
                <w:sz w:val="20"/>
                <w:szCs w:val="20"/>
              </w:rPr>
              <w:t>Banka</w:t>
            </w:r>
            <w:bookmarkEnd w:id="310"/>
          </w:p>
        </w:tc>
      </w:tr>
      <w:tr w:rsidR="00DE4AC9" w:rsidRPr="003D1614" w14:paraId="51A207D3" w14:textId="77777777" w:rsidTr="00C367E0">
        <w:tc>
          <w:tcPr>
            <w:tcW w:w="1830" w:type="pct"/>
            <w:vAlign w:val="bottom"/>
          </w:tcPr>
          <w:p w14:paraId="3BD4C2F2" w14:textId="77777777" w:rsidR="00DE4AC9" w:rsidRPr="003D1614" w:rsidRDefault="00DE4AC9" w:rsidP="00DE4AC9">
            <w:pPr>
              <w:tabs>
                <w:tab w:val="left" w:pos="-720"/>
              </w:tabs>
              <w:suppressAutoHyphens/>
              <w:autoSpaceDN w:val="0"/>
              <w:rPr>
                <w:rFonts w:ascii="Arial" w:eastAsia="Times New Roman" w:hAnsi="Arial" w:cs="Arial"/>
                <w:color w:val="000000" w:themeColor="text1"/>
                <w:sz w:val="20"/>
                <w:szCs w:val="20"/>
              </w:rPr>
            </w:pPr>
          </w:p>
        </w:tc>
        <w:tc>
          <w:tcPr>
            <w:tcW w:w="842" w:type="pct"/>
            <w:vAlign w:val="bottom"/>
          </w:tcPr>
          <w:p w14:paraId="6C47A3AA" w14:textId="15CFDD4D" w:rsidR="00DE4AC9" w:rsidRPr="003D1614" w:rsidRDefault="00DD7AD0" w:rsidP="00DE4AC9">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 xml:space="preserve">30. </w:t>
            </w:r>
            <w:r w:rsidR="002F4581">
              <w:rPr>
                <w:rFonts w:ascii="Arial" w:eastAsia="Times New Roman" w:hAnsi="Arial" w:cs="Arial"/>
                <w:b/>
                <w:color w:val="000000" w:themeColor="text1"/>
                <w:sz w:val="20"/>
                <w:szCs w:val="20"/>
              </w:rPr>
              <w:t>rujna</w:t>
            </w:r>
            <w:r>
              <w:rPr>
                <w:rFonts w:ascii="Arial" w:eastAsia="Times New Roman" w:hAnsi="Arial" w:cs="Arial"/>
                <w:b/>
                <w:color w:val="000000" w:themeColor="text1"/>
                <w:sz w:val="20"/>
                <w:szCs w:val="20"/>
              </w:rPr>
              <w:t xml:space="preserve"> </w:t>
            </w:r>
            <w:r w:rsidR="00DE4AC9" w:rsidRPr="003D1614">
              <w:rPr>
                <w:rFonts w:ascii="Arial" w:eastAsia="Times New Roman" w:hAnsi="Arial" w:cs="Arial"/>
                <w:b/>
                <w:color w:val="000000" w:themeColor="text1"/>
                <w:sz w:val="20"/>
                <w:szCs w:val="20"/>
              </w:rPr>
              <w:t>202</w:t>
            </w:r>
            <w:r w:rsidR="00FE3F29">
              <w:rPr>
                <w:rFonts w:ascii="Arial" w:eastAsia="Times New Roman" w:hAnsi="Arial" w:cs="Arial"/>
                <w:b/>
                <w:color w:val="000000" w:themeColor="text1"/>
                <w:sz w:val="20"/>
                <w:szCs w:val="20"/>
              </w:rPr>
              <w:t>4</w:t>
            </w:r>
            <w:r w:rsidR="00DE4AC9" w:rsidRPr="003D1614">
              <w:rPr>
                <w:rFonts w:ascii="Arial" w:eastAsia="Times New Roman" w:hAnsi="Arial" w:cs="Arial"/>
                <w:b/>
                <w:color w:val="000000" w:themeColor="text1"/>
                <w:sz w:val="20"/>
                <w:szCs w:val="20"/>
              </w:rPr>
              <w:t>.</w:t>
            </w:r>
          </w:p>
        </w:tc>
        <w:tc>
          <w:tcPr>
            <w:tcW w:w="828" w:type="pct"/>
            <w:vAlign w:val="bottom"/>
          </w:tcPr>
          <w:p w14:paraId="135EA43A" w14:textId="536B2C56" w:rsidR="00DE4AC9" w:rsidRPr="003D1614" w:rsidRDefault="00DE4AC9" w:rsidP="00DE4AC9">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311" w:name="_Toc67327875"/>
            <w:r w:rsidRPr="003D1614">
              <w:rPr>
                <w:rFonts w:ascii="Arial" w:eastAsia="Times New Roman" w:hAnsi="Arial" w:cs="Arial"/>
                <w:b/>
                <w:color w:val="000000" w:themeColor="text1"/>
                <w:sz w:val="20"/>
                <w:szCs w:val="20"/>
              </w:rPr>
              <w:t>31. prosinca 202</w:t>
            </w:r>
            <w:r w:rsidR="00FE3F29">
              <w:rPr>
                <w:rFonts w:ascii="Arial" w:eastAsia="Times New Roman" w:hAnsi="Arial" w:cs="Arial"/>
                <w:b/>
                <w:color w:val="000000" w:themeColor="text1"/>
                <w:sz w:val="20"/>
                <w:szCs w:val="20"/>
              </w:rPr>
              <w:t>3</w:t>
            </w:r>
            <w:r w:rsidRPr="003D1614">
              <w:rPr>
                <w:rFonts w:ascii="Arial" w:eastAsia="Times New Roman" w:hAnsi="Arial" w:cs="Arial"/>
                <w:b/>
                <w:color w:val="000000" w:themeColor="text1"/>
                <w:sz w:val="20"/>
                <w:szCs w:val="20"/>
              </w:rPr>
              <w:t>.</w:t>
            </w:r>
            <w:bookmarkEnd w:id="311"/>
          </w:p>
        </w:tc>
        <w:tc>
          <w:tcPr>
            <w:tcW w:w="730" w:type="pct"/>
            <w:vAlign w:val="bottom"/>
          </w:tcPr>
          <w:p w14:paraId="30CEF51A" w14:textId="39891BBF" w:rsidR="00DE4AC9" w:rsidRPr="003D1614" w:rsidRDefault="002F4581" w:rsidP="00DE4AC9">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2F4581">
              <w:rPr>
                <w:rFonts w:ascii="Arial" w:eastAsia="Times New Roman" w:hAnsi="Arial" w:cs="Arial"/>
                <w:b/>
                <w:color w:val="000000" w:themeColor="text1"/>
                <w:sz w:val="20"/>
                <w:szCs w:val="20"/>
              </w:rPr>
              <w:t>30. rujna 202</w:t>
            </w:r>
            <w:r w:rsidR="00FE3F29">
              <w:rPr>
                <w:rFonts w:ascii="Arial" w:eastAsia="Times New Roman" w:hAnsi="Arial" w:cs="Arial"/>
                <w:b/>
                <w:color w:val="000000" w:themeColor="text1"/>
                <w:sz w:val="20"/>
                <w:szCs w:val="20"/>
              </w:rPr>
              <w:t>4</w:t>
            </w:r>
            <w:r w:rsidRPr="002F4581">
              <w:rPr>
                <w:rFonts w:ascii="Arial" w:eastAsia="Times New Roman" w:hAnsi="Arial" w:cs="Arial"/>
                <w:b/>
                <w:color w:val="000000" w:themeColor="text1"/>
                <w:sz w:val="20"/>
                <w:szCs w:val="20"/>
              </w:rPr>
              <w:t>.</w:t>
            </w:r>
          </w:p>
        </w:tc>
        <w:tc>
          <w:tcPr>
            <w:tcW w:w="770" w:type="pct"/>
            <w:vAlign w:val="bottom"/>
          </w:tcPr>
          <w:p w14:paraId="0E9DAA7C" w14:textId="2D105AF7" w:rsidR="00DE4AC9" w:rsidRPr="003D1614" w:rsidRDefault="00DE4AC9" w:rsidP="00DE4AC9">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31. prosinca 202</w:t>
            </w:r>
            <w:r w:rsidR="00FE3F29">
              <w:rPr>
                <w:rFonts w:ascii="Arial" w:eastAsia="Times New Roman" w:hAnsi="Arial" w:cs="Arial"/>
                <w:b/>
                <w:color w:val="000000" w:themeColor="text1"/>
                <w:sz w:val="20"/>
                <w:szCs w:val="20"/>
              </w:rPr>
              <w:t>3</w:t>
            </w:r>
            <w:r w:rsidRPr="003D1614">
              <w:rPr>
                <w:rFonts w:ascii="Arial" w:eastAsia="Times New Roman" w:hAnsi="Arial" w:cs="Arial"/>
                <w:b/>
                <w:color w:val="000000" w:themeColor="text1"/>
                <w:sz w:val="20"/>
                <w:szCs w:val="20"/>
              </w:rPr>
              <w:t>.</w:t>
            </w:r>
          </w:p>
        </w:tc>
      </w:tr>
      <w:tr w:rsidR="00DE4AC9" w:rsidRPr="003D1614" w14:paraId="3DE5E9C6" w14:textId="77777777" w:rsidTr="00C367E0">
        <w:tc>
          <w:tcPr>
            <w:tcW w:w="1830" w:type="pct"/>
            <w:vAlign w:val="bottom"/>
          </w:tcPr>
          <w:p w14:paraId="50130D02" w14:textId="77777777" w:rsidR="00DE4AC9" w:rsidRPr="003D1614" w:rsidRDefault="00DE4AC9" w:rsidP="00DE4AC9">
            <w:pPr>
              <w:tabs>
                <w:tab w:val="left" w:pos="-720"/>
              </w:tabs>
              <w:suppressAutoHyphens/>
              <w:autoSpaceDN w:val="0"/>
              <w:rPr>
                <w:rFonts w:ascii="Arial" w:eastAsia="Times New Roman" w:hAnsi="Arial" w:cs="Arial"/>
                <w:color w:val="000000" w:themeColor="text1"/>
                <w:sz w:val="20"/>
                <w:szCs w:val="20"/>
              </w:rPr>
            </w:pPr>
          </w:p>
        </w:tc>
        <w:tc>
          <w:tcPr>
            <w:tcW w:w="842" w:type="pct"/>
            <w:vAlign w:val="bottom"/>
          </w:tcPr>
          <w:p w14:paraId="05E6DA06" w14:textId="3EADC0BC" w:rsidR="00DE4AC9" w:rsidRPr="003D1614" w:rsidRDefault="00DE4AC9" w:rsidP="00DE4AC9">
            <w:pPr>
              <w:tabs>
                <w:tab w:val="right" w:pos="1202"/>
              </w:tabs>
              <w:suppressAutoHyphens/>
              <w:autoSpaceDN w:val="0"/>
              <w:spacing w:line="220" w:lineRule="exact"/>
              <w:jc w:val="right"/>
              <w:outlineLvl w:val="0"/>
              <w:rPr>
                <w:rFonts w:ascii="Arial" w:eastAsia="Times New Roman" w:hAnsi="Arial" w:cs="Arial"/>
                <w:b/>
                <w:color w:val="000000" w:themeColor="text1"/>
                <w:sz w:val="20"/>
                <w:szCs w:val="20"/>
              </w:rPr>
            </w:pPr>
            <w:bookmarkStart w:id="312" w:name="_Toc67327878"/>
            <w:r w:rsidRPr="003D1614">
              <w:rPr>
                <w:rFonts w:ascii="Arial" w:eastAsia="Times New Roman" w:hAnsi="Arial" w:cs="Arial"/>
                <w:b/>
                <w:color w:val="000000" w:themeColor="text1"/>
                <w:sz w:val="20"/>
                <w:szCs w:val="20"/>
              </w:rPr>
              <w:t xml:space="preserve">000 </w:t>
            </w:r>
            <w:bookmarkEnd w:id="312"/>
            <w:r w:rsidRPr="003D1614">
              <w:rPr>
                <w:rFonts w:ascii="Arial" w:eastAsia="Times New Roman" w:hAnsi="Arial" w:cs="Arial"/>
                <w:b/>
                <w:color w:val="000000" w:themeColor="text1"/>
                <w:sz w:val="20"/>
                <w:szCs w:val="20"/>
              </w:rPr>
              <w:t>eura</w:t>
            </w:r>
          </w:p>
        </w:tc>
        <w:tc>
          <w:tcPr>
            <w:tcW w:w="828" w:type="pct"/>
            <w:vAlign w:val="bottom"/>
          </w:tcPr>
          <w:p w14:paraId="0446D8EC" w14:textId="0247BCC7" w:rsidR="00DE4AC9" w:rsidRPr="003D1614" w:rsidRDefault="00DE4AC9" w:rsidP="00DE4AC9">
            <w:pPr>
              <w:tabs>
                <w:tab w:val="right" w:pos="1202"/>
              </w:tabs>
              <w:suppressAutoHyphens/>
              <w:autoSpaceDN w:val="0"/>
              <w:spacing w:line="220" w:lineRule="exact"/>
              <w:jc w:val="right"/>
              <w:outlineLvl w:val="0"/>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000 eura</w:t>
            </w:r>
          </w:p>
        </w:tc>
        <w:tc>
          <w:tcPr>
            <w:tcW w:w="730" w:type="pct"/>
            <w:vAlign w:val="bottom"/>
          </w:tcPr>
          <w:p w14:paraId="2CFC86D0" w14:textId="0FFB729D" w:rsidR="00DE4AC9" w:rsidRPr="003D1614" w:rsidRDefault="00DE4AC9" w:rsidP="00DE4AC9">
            <w:pPr>
              <w:tabs>
                <w:tab w:val="right" w:pos="1202"/>
              </w:tabs>
              <w:suppressAutoHyphens/>
              <w:autoSpaceDN w:val="0"/>
              <w:spacing w:line="220" w:lineRule="exact"/>
              <w:jc w:val="right"/>
              <w:outlineLvl w:val="0"/>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000 eura</w:t>
            </w:r>
          </w:p>
        </w:tc>
        <w:tc>
          <w:tcPr>
            <w:tcW w:w="770" w:type="pct"/>
            <w:vAlign w:val="bottom"/>
          </w:tcPr>
          <w:p w14:paraId="6ECCB26D" w14:textId="150917F0" w:rsidR="00DE4AC9" w:rsidRPr="003D1614" w:rsidRDefault="00DE4AC9" w:rsidP="00DE4AC9">
            <w:pPr>
              <w:tabs>
                <w:tab w:val="right" w:pos="1202"/>
              </w:tabs>
              <w:suppressAutoHyphens/>
              <w:autoSpaceDN w:val="0"/>
              <w:spacing w:line="220" w:lineRule="exact"/>
              <w:jc w:val="right"/>
              <w:outlineLvl w:val="0"/>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000 eura</w:t>
            </w:r>
          </w:p>
        </w:tc>
      </w:tr>
      <w:tr w:rsidR="002A34C6" w:rsidRPr="000F587E" w14:paraId="357892A7" w14:textId="77777777" w:rsidTr="00BA5A71">
        <w:trPr>
          <w:trHeight w:val="550"/>
        </w:trPr>
        <w:tc>
          <w:tcPr>
            <w:tcW w:w="1830" w:type="pct"/>
            <w:vAlign w:val="bottom"/>
          </w:tcPr>
          <w:p w14:paraId="3846133E" w14:textId="205F5480" w:rsidR="002A34C6" w:rsidRPr="000F587E" w:rsidRDefault="002A34C6" w:rsidP="002A34C6">
            <w:pPr>
              <w:tabs>
                <w:tab w:val="right" w:pos="1202"/>
              </w:tabs>
              <w:suppressAutoHyphens/>
              <w:autoSpaceDN w:val="0"/>
              <w:spacing w:line="240" w:lineRule="exact"/>
              <w:outlineLvl w:val="0"/>
              <w:rPr>
                <w:rFonts w:ascii="Arial" w:eastAsia="Times New Roman" w:hAnsi="Arial" w:cs="Arial"/>
                <w:color w:val="000000" w:themeColor="text1"/>
                <w:sz w:val="20"/>
                <w:szCs w:val="20"/>
              </w:rPr>
            </w:pPr>
            <w:bookmarkStart w:id="313" w:name="_Toc67327882"/>
            <w:r w:rsidRPr="000F587E">
              <w:rPr>
                <w:rFonts w:ascii="Arial" w:eastAsia="Times New Roman" w:hAnsi="Arial" w:cs="Arial"/>
                <w:color w:val="000000" w:themeColor="text1"/>
                <w:sz w:val="20"/>
                <w:szCs w:val="20"/>
              </w:rPr>
              <w:t>Sredstva izdvojena na računu kod Hrvatske narodne banke</w:t>
            </w:r>
            <w:bookmarkEnd w:id="313"/>
          </w:p>
        </w:tc>
        <w:tc>
          <w:tcPr>
            <w:tcW w:w="842" w:type="pct"/>
            <w:tcBorders>
              <w:top w:val="nil"/>
              <w:left w:val="nil"/>
              <w:bottom w:val="nil"/>
              <w:right w:val="nil"/>
            </w:tcBorders>
            <w:shd w:val="clear" w:color="auto" w:fill="auto"/>
            <w:vAlign w:val="bottom"/>
          </w:tcPr>
          <w:p w14:paraId="735D01D8" w14:textId="4BE81EE3" w:rsidR="002A34C6" w:rsidRPr="00BA5A71" w:rsidRDefault="002A34C6" w:rsidP="002A34C6">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sidRPr="00BA5A71">
              <w:rPr>
                <w:rFonts w:ascii="Arial" w:hAnsi="Arial" w:cs="Arial"/>
                <w:sz w:val="20"/>
                <w:szCs w:val="20"/>
              </w:rPr>
              <w:t xml:space="preserve"> 1 </w:t>
            </w:r>
          </w:p>
        </w:tc>
        <w:tc>
          <w:tcPr>
            <w:tcW w:w="828" w:type="pct"/>
            <w:tcBorders>
              <w:top w:val="nil"/>
              <w:left w:val="nil"/>
              <w:bottom w:val="nil"/>
              <w:right w:val="nil"/>
            </w:tcBorders>
            <w:shd w:val="clear" w:color="auto" w:fill="auto"/>
            <w:vAlign w:val="bottom"/>
          </w:tcPr>
          <w:p w14:paraId="521CB0E1" w14:textId="0B0A2443" w:rsidR="002A34C6" w:rsidRPr="00672AA1" w:rsidRDefault="002A34C6" w:rsidP="002A34C6">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Pr>
                <w:rFonts w:ascii="Arial" w:eastAsia="Calibri" w:hAnsi="Arial" w:cs="Arial"/>
                <w:sz w:val="20"/>
                <w:szCs w:val="20"/>
              </w:rPr>
              <w:t>286</w:t>
            </w:r>
          </w:p>
        </w:tc>
        <w:tc>
          <w:tcPr>
            <w:tcW w:w="730" w:type="pct"/>
            <w:tcBorders>
              <w:top w:val="nil"/>
              <w:left w:val="nil"/>
              <w:bottom w:val="nil"/>
              <w:right w:val="nil"/>
            </w:tcBorders>
            <w:shd w:val="clear" w:color="auto" w:fill="auto"/>
            <w:vAlign w:val="bottom"/>
          </w:tcPr>
          <w:p w14:paraId="31BA99DB" w14:textId="695345AD" w:rsidR="002A34C6" w:rsidRPr="0072101D" w:rsidRDefault="002A34C6" w:rsidP="002A34C6">
            <w:pPr>
              <w:tabs>
                <w:tab w:val="right" w:pos="1202"/>
              </w:tabs>
              <w:suppressAutoHyphens/>
              <w:autoSpaceDN w:val="0"/>
              <w:spacing w:line="240" w:lineRule="exact"/>
              <w:jc w:val="right"/>
              <w:outlineLvl w:val="0"/>
              <w:rPr>
                <w:rFonts w:ascii="Arial" w:hAnsi="Arial" w:cs="Arial"/>
                <w:sz w:val="20"/>
                <w:szCs w:val="20"/>
              </w:rPr>
            </w:pPr>
            <w:r>
              <w:rPr>
                <w:rFonts w:ascii="Arial" w:hAnsi="Arial" w:cs="Arial"/>
                <w:sz w:val="20"/>
                <w:szCs w:val="20"/>
              </w:rPr>
              <w:t>1</w:t>
            </w:r>
          </w:p>
        </w:tc>
        <w:tc>
          <w:tcPr>
            <w:tcW w:w="770" w:type="pct"/>
            <w:tcBorders>
              <w:top w:val="nil"/>
              <w:left w:val="nil"/>
              <w:bottom w:val="nil"/>
              <w:right w:val="nil"/>
            </w:tcBorders>
            <w:shd w:val="clear" w:color="auto" w:fill="auto"/>
            <w:vAlign w:val="bottom"/>
          </w:tcPr>
          <w:p w14:paraId="5EAD3289" w14:textId="410AA91F" w:rsidR="002A34C6" w:rsidRPr="000F587E" w:rsidRDefault="002A34C6" w:rsidP="002A34C6">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Pr>
                <w:rFonts w:ascii="Arial" w:eastAsia="Calibri" w:hAnsi="Arial" w:cs="Arial"/>
                <w:sz w:val="20"/>
                <w:szCs w:val="20"/>
              </w:rPr>
              <w:t>286</w:t>
            </w:r>
          </w:p>
        </w:tc>
      </w:tr>
      <w:tr w:rsidR="002A34C6" w:rsidRPr="000F587E" w14:paraId="62FE4933" w14:textId="77777777" w:rsidTr="00BA5A71">
        <w:trPr>
          <w:trHeight w:val="550"/>
        </w:trPr>
        <w:tc>
          <w:tcPr>
            <w:tcW w:w="1830" w:type="pct"/>
            <w:vAlign w:val="bottom"/>
          </w:tcPr>
          <w:p w14:paraId="6D9EE52F" w14:textId="77777777" w:rsidR="002A34C6" w:rsidRPr="000F587E" w:rsidRDefault="002A34C6" w:rsidP="002A34C6">
            <w:pPr>
              <w:tabs>
                <w:tab w:val="right" w:pos="1202"/>
              </w:tabs>
              <w:suppressAutoHyphens/>
              <w:autoSpaceDN w:val="0"/>
              <w:spacing w:line="240" w:lineRule="exact"/>
              <w:outlineLvl w:val="0"/>
              <w:rPr>
                <w:rFonts w:ascii="Arial" w:eastAsia="Times New Roman" w:hAnsi="Arial" w:cs="Arial"/>
                <w:color w:val="000000" w:themeColor="text1"/>
                <w:sz w:val="20"/>
                <w:szCs w:val="20"/>
              </w:rPr>
            </w:pPr>
            <w:r w:rsidRPr="000F587E">
              <w:rPr>
                <w:rFonts w:ascii="Arial" w:eastAsia="Times New Roman" w:hAnsi="Arial" w:cs="Arial"/>
                <w:color w:val="000000" w:themeColor="text1"/>
                <w:sz w:val="20"/>
                <w:szCs w:val="20"/>
              </w:rPr>
              <w:t>Sredstva izdvojena na računima domaćih banaka</w:t>
            </w:r>
          </w:p>
        </w:tc>
        <w:tc>
          <w:tcPr>
            <w:tcW w:w="842" w:type="pct"/>
            <w:tcBorders>
              <w:top w:val="nil"/>
              <w:left w:val="nil"/>
              <w:bottom w:val="nil"/>
              <w:right w:val="nil"/>
            </w:tcBorders>
            <w:shd w:val="clear" w:color="auto" w:fill="auto"/>
            <w:vAlign w:val="bottom"/>
          </w:tcPr>
          <w:p w14:paraId="03CB3816" w14:textId="22F5BA57" w:rsidR="002A34C6" w:rsidRPr="00BA5A71" w:rsidRDefault="002A34C6" w:rsidP="002A34C6">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sidRPr="00BA5A71">
              <w:rPr>
                <w:rFonts w:ascii="Arial" w:hAnsi="Arial" w:cs="Arial"/>
                <w:sz w:val="20"/>
                <w:szCs w:val="20"/>
              </w:rPr>
              <w:t xml:space="preserve"> 34.144 </w:t>
            </w:r>
          </w:p>
        </w:tc>
        <w:tc>
          <w:tcPr>
            <w:tcW w:w="828" w:type="pct"/>
            <w:tcBorders>
              <w:top w:val="nil"/>
              <w:left w:val="nil"/>
              <w:bottom w:val="nil"/>
              <w:right w:val="nil"/>
            </w:tcBorders>
            <w:shd w:val="clear" w:color="auto" w:fill="auto"/>
            <w:vAlign w:val="bottom"/>
          </w:tcPr>
          <w:p w14:paraId="263348C9" w14:textId="1F1DCA8D" w:rsidR="002A34C6" w:rsidRPr="00672AA1" w:rsidRDefault="002A34C6" w:rsidP="002A34C6">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sidRPr="00685407">
              <w:rPr>
                <w:rFonts w:ascii="Arial" w:hAnsi="Arial" w:cs="Arial"/>
                <w:color w:val="000000"/>
                <w:sz w:val="20"/>
                <w:szCs w:val="20"/>
              </w:rPr>
              <w:t>41.685</w:t>
            </w:r>
          </w:p>
        </w:tc>
        <w:tc>
          <w:tcPr>
            <w:tcW w:w="730" w:type="pct"/>
            <w:tcBorders>
              <w:top w:val="nil"/>
              <w:left w:val="nil"/>
              <w:bottom w:val="nil"/>
              <w:right w:val="nil"/>
            </w:tcBorders>
            <w:shd w:val="clear" w:color="auto" w:fill="auto"/>
            <w:vAlign w:val="bottom"/>
          </w:tcPr>
          <w:p w14:paraId="187C019E" w14:textId="68D14F4D" w:rsidR="002A34C6" w:rsidRPr="0072101D" w:rsidRDefault="002A34C6" w:rsidP="002A34C6">
            <w:pPr>
              <w:tabs>
                <w:tab w:val="right" w:pos="1202"/>
              </w:tabs>
              <w:suppressAutoHyphens/>
              <w:autoSpaceDN w:val="0"/>
              <w:spacing w:line="240" w:lineRule="exact"/>
              <w:jc w:val="right"/>
              <w:outlineLvl w:val="0"/>
              <w:rPr>
                <w:rFonts w:ascii="Arial" w:hAnsi="Arial" w:cs="Arial"/>
                <w:sz w:val="20"/>
                <w:szCs w:val="20"/>
              </w:rPr>
            </w:pPr>
            <w:r>
              <w:rPr>
                <w:rFonts w:ascii="Arial" w:hAnsi="Arial" w:cs="Arial"/>
                <w:sz w:val="20"/>
                <w:szCs w:val="20"/>
              </w:rPr>
              <w:t>33.980</w:t>
            </w:r>
          </w:p>
        </w:tc>
        <w:tc>
          <w:tcPr>
            <w:tcW w:w="770" w:type="pct"/>
            <w:tcBorders>
              <w:top w:val="nil"/>
              <w:left w:val="nil"/>
              <w:bottom w:val="nil"/>
              <w:right w:val="nil"/>
            </w:tcBorders>
            <w:shd w:val="clear" w:color="auto" w:fill="auto"/>
            <w:vAlign w:val="bottom"/>
          </w:tcPr>
          <w:p w14:paraId="6856BF85" w14:textId="5106EFDD" w:rsidR="002A34C6" w:rsidRPr="000F587E" w:rsidRDefault="002A34C6" w:rsidP="002A34C6">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Pr>
                <w:rFonts w:ascii="Arial" w:eastAsia="Calibri" w:hAnsi="Arial" w:cs="Arial"/>
                <w:sz w:val="20"/>
                <w:szCs w:val="20"/>
              </w:rPr>
              <w:t>41.094</w:t>
            </w:r>
          </w:p>
        </w:tc>
      </w:tr>
      <w:tr w:rsidR="002A34C6" w:rsidRPr="000F587E" w14:paraId="5F4806D9" w14:textId="77777777" w:rsidTr="00BA5A71">
        <w:trPr>
          <w:trHeight w:val="377"/>
        </w:trPr>
        <w:tc>
          <w:tcPr>
            <w:tcW w:w="1830" w:type="pct"/>
            <w:vAlign w:val="bottom"/>
          </w:tcPr>
          <w:p w14:paraId="504B1B58" w14:textId="0E999387" w:rsidR="002A34C6" w:rsidRPr="000F587E" w:rsidRDefault="002A34C6" w:rsidP="002A34C6">
            <w:pPr>
              <w:tabs>
                <w:tab w:val="right" w:pos="1202"/>
              </w:tabs>
              <w:suppressAutoHyphens/>
              <w:autoSpaceDN w:val="0"/>
              <w:spacing w:line="240" w:lineRule="exact"/>
              <w:outlineLvl w:val="0"/>
              <w:rPr>
                <w:rFonts w:ascii="Arial" w:eastAsia="Times New Roman" w:hAnsi="Arial" w:cs="Arial"/>
                <w:color w:val="000000" w:themeColor="text1"/>
                <w:sz w:val="20"/>
                <w:szCs w:val="20"/>
              </w:rPr>
            </w:pPr>
            <w:bookmarkStart w:id="314" w:name="_Toc67327887"/>
            <w:r w:rsidRPr="000F587E">
              <w:rPr>
                <w:rFonts w:ascii="Arial" w:eastAsia="Times New Roman" w:hAnsi="Arial" w:cs="Arial"/>
                <w:color w:val="000000" w:themeColor="text1"/>
                <w:sz w:val="20"/>
                <w:szCs w:val="20"/>
              </w:rPr>
              <w:t xml:space="preserve">Sredstva izdvojena na računima </w:t>
            </w:r>
            <w:r>
              <w:rPr>
                <w:rFonts w:ascii="Arial" w:eastAsia="Times New Roman" w:hAnsi="Arial" w:cs="Arial"/>
                <w:color w:val="000000" w:themeColor="text1"/>
                <w:sz w:val="20"/>
                <w:szCs w:val="20"/>
              </w:rPr>
              <w:t>stranih</w:t>
            </w:r>
            <w:r w:rsidRPr="000F587E">
              <w:rPr>
                <w:rFonts w:ascii="Arial" w:eastAsia="Times New Roman" w:hAnsi="Arial" w:cs="Arial"/>
                <w:color w:val="000000" w:themeColor="text1"/>
                <w:sz w:val="20"/>
                <w:szCs w:val="20"/>
              </w:rPr>
              <w:t xml:space="preserve"> banaka</w:t>
            </w:r>
            <w:bookmarkEnd w:id="314"/>
          </w:p>
        </w:tc>
        <w:tc>
          <w:tcPr>
            <w:tcW w:w="842" w:type="pct"/>
            <w:tcBorders>
              <w:top w:val="nil"/>
              <w:left w:val="nil"/>
              <w:bottom w:val="nil"/>
              <w:right w:val="nil"/>
            </w:tcBorders>
            <w:shd w:val="clear" w:color="auto" w:fill="auto"/>
            <w:vAlign w:val="bottom"/>
          </w:tcPr>
          <w:p w14:paraId="6C64D56F" w14:textId="47FA6735" w:rsidR="002A34C6" w:rsidRPr="00BA5A71" w:rsidRDefault="002A34C6" w:rsidP="002A34C6">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sidRPr="00BA5A71">
              <w:rPr>
                <w:rFonts w:ascii="Arial" w:hAnsi="Arial" w:cs="Arial"/>
                <w:sz w:val="20"/>
                <w:szCs w:val="20"/>
              </w:rPr>
              <w:t xml:space="preserve"> 135 </w:t>
            </w:r>
          </w:p>
        </w:tc>
        <w:tc>
          <w:tcPr>
            <w:tcW w:w="828" w:type="pct"/>
            <w:tcBorders>
              <w:top w:val="nil"/>
              <w:left w:val="nil"/>
              <w:bottom w:val="nil"/>
              <w:right w:val="nil"/>
            </w:tcBorders>
            <w:shd w:val="clear" w:color="auto" w:fill="auto"/>
            <w:vAlign w:val="bottom"/>
          </w:tcPr>
          <w:p w14:paraId="735CF4B0" w14:textId="54F03D24" w:rsidR="002A34C6" w:rsidRPr="00672AA1" w:rsidRDefault="002A34C6" w:rsidP="002A34C6">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Pr>
                <w:rFonts w:ascii="Arial" w:eastAsia="Calibri" w:hAnsi="Arial" w:cs="Arial"/>
                <w:sz w:val="20"/>
                <w:szCs w:val="20"/>
              </w:rPr>
              <w:t>210</w:t>
            </w:r>
          </w:p>
        </w:tc>
        <w:tc>
          <w:tcPr>
            <w:tcW w:w="730" w:type="pct"/>
            <w:tcBorders>
              <w:top w:val="nil"/>
              <w:left w:val="nil"/>
              <w:bottom w:val="nil"/>
              <w:right w:val="nil"/>
            </w:tcBorders>
            <w:shd w:val="clear" w:color="auto" w:fill="auto"/>
            <w:vAlign w:val="bottom"/>
          </w:tcPr>
          <w:p w14:paraId="5023FD65" w14:textId="3B8F8751" w:rsidR="002A34C6" w:rsidRPr="0072101D" w:rsidRDefault="002A34C6" w:rsidP="002A34C6">
            <w:pPr>
              <w:tabs>
                <w:tab w:val="right" w:pos="1202"/>
              </w:tabs>
              <w:suppressAutoHyphens/>
              <w:autoSpaceDN w:val="0"/>
              <w:spacing w:line="240" w:lineRule="exact"/>
              <w:jc w:val="right"/>
              <w:outlineLvl w:val="0"/>
              <w:rPr>
                <w:rFonts w:ascii="Arial" w:hAnsi="Arial" w:cs="Arial"/>
                <w:sz w:val="20"/>
                <w:szCs w:val="20"/>
              </w:rPr>
            </w:pPr>
            <w:r>
              <w:rPr>
                <w:rFonts w:ascii="Arial" w:hAnsi="Arial" w:cs="Arial"/>
                <w:sz w:val="20"/>
                <w:szCs w:val="20"/>
              </w:rPr>
              <w:t>135</w:t>
            </w:r>
          </w:p>
        </w:tc>
        <w:tc>
          <w:tcPr>
            <w:tcW w:w="770" w:type="pct"/>
            <w:tcBorders>
              <w:top w:val="nil"/>
              <w:left w:val="nil"/>
              <w:bottom w:val="nil"/>
              <w:right w:val="nil"/>
            </w:tcBorders>
            <w:shd w:val="clear" w:color="auto" w:fill="auto"/>
            <w:vAlign w:val="bottom"/>
          </w:tcPr>
          <w:p w14:paraId="0FBCF678" w14:textId="122CD6D1" w:rsidR="002A34C6" w:rsidRPr="000F587E" w:rsidRDefault="002A34C6" w:rsidP="002A34C6">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Pr>
                <w:rFonts w:ascii="Arial" w:eastAsia="Calibri" w:hAnsi="Arial" w:cs="Arial"/>
                <w:sz w:val="20"/>
                <w:szCs w:val="20"/>
              </w:rPr>
              <w:t>210</w:t>
            </w:r>
          </w:p>
        </w:tc>
      </w:tr>
      <w:tr w:rsidR="00BA5A71" w:rsidRPr="000F587E" w14:paraId="3F1AA22F" w14:textId="77777777" w:rsidTr="00CF64BB">
        <w:trPr>
          <w:trHeight w:val="377"/>
        </w:trPr>
        <w:tc>
          <w:tcPr>
            <w:tcW w:w="1830" w:type="pct"/>
            <w:vAlign w:val="bottom"/>
          </w:tcPr>
          <w:p w14:paraId="693BA7F1" w14:textId="77777777" w:rsidR="00BA5A71" w:rsidRPr="000F587E" w:rsidRDefault="00BA5A71" w:rsidP="00BA5A71">
            <w:pPr>
              <w:tabs>
                <w:tab w:val="right" w:pos="1202"/>
              </w:tabs>
              <w:suppressAutoHyphens/>
              <w:autoSpaceDN w:val="0"/>
              <w:spacing w:line="240" w:lineRule="exact"/>
              <w:outlineLvl w:val="0"/>
              <w:rPr>
                <w:rFonts w:ascii="Arial" w:eastAsia="Times New Roman" w:hAnsi="Arial" w:cs="Arial"/>
                <w:color w:val="000000" w:themeColor="text1"/>
                <w:sz w:val="20"/>
                <w:szCs w:val="20"/>
              </w:rPr>
            </w:pPr>
            <w:bookmarkStart w:id="315" w:name="_Toc67327892"/>
            <w:r w:rsidRPr="000F587E">
              <w:rPr>
                <w:rFonts w:ascii="Arial" w:eastAsia="Times New Roman" w:hAnsi="Arial" w:cs="Arial"/>
                <w:color w:val="000000" w:themeColor="text1"/>
                <w:sz w:val="20"/>
                <w:szCs w:val="20"/>
              </w:rPr>
              <w:t>Devizni tekući računi - domaće banke</w:t>
            </w:r>
            <w:bookmarkEnd w:id="315"/>
          </w:p>
        </w:tc>
        <w:tc>
          <w:tcPr>
            <w:tcW w:w="842" w:type="pct"/>
            <w:tcBorders>
              <w:top w:val="nil"/>
              <w:left w:val="nil"/>
              <w:right w:val="nil"/>
            </w:tcBorders>
            <w:shd w:val="clear" w:color="auto" w:fill="auto"/>
            <w:vAlign w:val="bottom"/>
          </w:tcPr>
          <w:p w14:paraId="30A6C515" w14:textId="2CFA603A" w:rsidR="00BA5A71" w:rsidRPr="00BA5A71" w:rsidRDefault="00BA5A71" w:rsidP="00BA5A71">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sidRPr="00BA5A71">
              <w:rPr>
                <w:rFonts w:ascii="Arial" w:hAnsi="Arial" w:cs="Arial"/>
                <w:sz w:val="20"/>
                <w:szCs w:val="20"/>
              </w:rPr>
              <w:t xml:space="preserve"> 17 </w:t>
            </w:r>
          </w:p>
        </w:tc>
        <w:tc>
          <w:tcPr>
            <w:tcW w:w="828" w:type="pct"/>
            <w:tcBorders>
              <w:top w:val="nil"/>
              <w:left w:val="nil"/>
              <w:right w:val="nil"/>
            </w:tcBorders>
            <w:shd w:val="clear" w:color="auto" w:fill="auto"/>
            <w:vAlign w:val="bottom"/>
          </w:tcPr>
          <w:p w14:paraId="08E38C20" w14:textId="1F667794" w:rsidR="00BA5A71" w:rsidRPr="00672AA1" w:rsidRDefault="00BA5A71" w:rsidP="00BA5A71">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Pr>
                <w:rFonts w:ascii="Arial" w:eastAsia="Calibri" w:hAnsi="Arial" w:cs="Arial"/>
                <w:sz w:val="20"/>
                <w:szCs w:val="20"/>
              </w:rPr>
              <w:t>16</w:t>
            </w:r>
          </w:p>
        </w:tc>
        <w:tc>
          <w:tcPr>
            <w:tcW w:w="730" w:type="pct"/>
            <w:tcBorders>
              <w:top w:val="nil"/>
              <w:left w:val="nil"/>
              <w:right w:val="nil"/>
            </w:tcBorders>
            <w:shd w:val="clear" w:color="auto" w:fill="auto"/>
            <w:vAlign w:val="bottom"/>
          </w:tcPr>
          <w:p w14:paraId="1C8364C5" w14:textId="79F94617" w:rsidR="00BA5A71" w:rsidRPr="0072101D" w:rsidRDefault="00BA5A71" w:rsidP="00BA5A71">
            <w:pPr>
              <w:tabs>
                <w:tab w:val="right" w:pos="1202"/>
              </w:tabs>
              <w:suppressAutoHyphens/>
              <w:autoSpaceDN w:val="0"/>
              <w:spacing w:line="240" w:lineRule="exact"/>
              <w:jc w:val="right"/>
              <w:outlineLvl w:val="0"/>
              <w:rPr>
                <w:rFonts w:ascii="Arial" w:hAnsi="Arial" w:cs="Arial"/>
                <w:sz w:val="20"/>
                <w:szCs w:val="20"/>
              </w:rPr>
            </w:pPr>
            <w:r>
              <w:rPr>
                <w:rFonts w:ascii="Arial" w:hAnsi="Arial" w:cs="Arial"/>
                <w:sz w:val="20"/>
                <w:szCs w:val="20"/>
              </w:rPr>
              <w:t>17</w:t>
            </w:r>
          </w:p>
        </w:tc>
        <w:tc>
          <w:tcPr>
            <w:tcW w:w="770" w:type="pct"/>
            <w:tcBorders>
              <w:top w:val="nil"/>
              <w:left w:val="nil"/>
              <w:right w:val="nil"/>
            </w:tcBorders>
            <w:shd w:val="clear" w:color="auto" w:fill="auto"/>
            <w:vAlign w:val="bottom"/>
          </w:tcPr>
          <w:p w14:paraId="77BD956E" w14:textId="5D39C81F" w:rsidR="00BA5A71" w:rsidRPr="000F587E" w:rsidRDefault="00BA5A71" w:rsidP="00BA5A71">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Pr>
                <w:rFonts w:ascii="Arial" w:eastAsia="Calibri" w:hAnsi="Arial" w:cs="Arial"/>
                <w:sz w:val="20"/>
                <w:szCs w:val="20"/>
              </w:rPr>
              <w:t>16</w:t>
            </w:r>
          </w:p>
        </w:tc>
      </w:tr>
      <w:tr w:rsidR="00BA5A71" w:rsidRPr="000F587E" w14:paraId="500A5BCE" w14:textId="77777777" w:rsidTr="00CF64BB">
        <w:trPr>
          <w:trHeight w:val="377"/>
        </w:trPr>
        <w:tc>
          <w:tcPr>
            <w:tcW w:w="1830" w:type="pct"/>
            <w:vAlign w:val="bottom"/>
          </w:tcPr>
          <w:p w14:paraId="7BCCBD69" w14:textId="77777777" w:rsidR="00BA5A71" w:rsidRPr="000F587E" w:rsidRDefault="00BA5A71" w:rsidP="00BA5A71">
            <w:pPr>
              <w:tabs>
                <w:tab w:val="right" w:pos="1202"/>
              </w:tabs>
              <w:suppressAutoHyphens/>
              <w:autoSpaceDN w:val="0"/>
              <w:spacing w:line="240" w:lineRule="exact"/>
              <w:outlineLvl w:val="0"/>
              <w:rPr>
                <w:rFonts w:ascii="Arial" w:eastAsia="Times New Roman" w:hAnsi="Arial" w:cs="Arial"/>
                <w:color w:val="000000" w:themeColor="text1"/>
                <w:sz w:val="20"/>
                <w:szCs w:val="20"/>
              </w:rPr>
            </w:pPr>
            <w:bookmarkStart w:id="316" w:name="_Toc67327897"/>
            <w:r w:rsidRPr="000F587E">
              <w:rPr>
                <w:rFonts w:ascii="Arial" w:eastAsia="Times New Roman" w:hAnsi="Arial" w:cs="Arial"/>
                <w:color w:val="000000" w:themeColor="text1"/>
                <w:sz w:val="20"/>
                <w:szCs w:val="20"/>
              </w:rPr>
              <w:t>Devizni tekući računi - inozemne banke</w:t>
            </w:r>
            <w:bookmarkEnd w:id="316"/>
          </w:p>
        </w:tc>
        <w:tc>
          <w:tcPr>
            <w:tcW w:w="842" w:type="pct"/>
            <w:tcBorders>
              <w:top w:val="nil"/>
              <w:left w:val="nil"/>
              <w:bottom w:val="single" w:sz="8" w:space="0" w:color="auto"/>
              <w:right w:val="nil"/>
            </w:tcBorders>
            <w:shd w:val="clear" w:color="auto" w:fill="auto"/>
            <w:vAlign w:val="bottom"/>
          </w:tcPr>
          <w:p w14:paraId="788B6B43" w14:textId="49DC78AC" w:rsidR="00BA5A71" w:rsidRPr="00BA5A71" w:rsidRDefault="00BA5A71" w:rsidP="00BA5A71">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sidRPr="00BA5A71">
              <w:rPr>
                <w:rFonts w:ascii="Arial" w:eastAsia="Times New Roman" w:hAnsi="Arial" w:cs="Arial"/>
                <w:color w:val="000000" w:themeColor="text1"/>
                <w:sz w:val="20"/>
                <w:szCs w:val="20"/>
              </w:rPr>
              <w:t>93</w:t>
            </w:r>
          </w:p>
        </w:tc>
        <w:tc>
          <w:tcPr>
            <w:tcW w:w="828" w:type="pct"/>
            <w:tcBorders>
              <w:top w:val="nil"/>
              <w:left w:val="nil"/>
              <w:bottom w:val="single" w:sz="8" w:space="0" w:color="auto"/>
              <w:right w:val="nil"/>
            </w:tcBorders>
            <w:shd w:val="clear" w:color="auto" w:fill="auto"/>
            <w:vAlign w:val="bottom"/>
          </w:tcPr>
          <w:p w14:paraId="179EEEF1" w14:textId="39063904" w:rsidR="00BA5A71" w:rsidRPr="00672AA1" w:rsidRDefault="00BA5A71" w:rsidP="00BA5A71">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Pr>
                <w:rFonts w:ascii="Arial" w:eastAsia="Calibri" w:hAnsi="Arial" w:cs="Arial"/>
                <w:sz w:val="20"/>
                <w:szCs w:val="20"/>
              </w:rPr>
              <w:t>95</w:t>
            </w:r>
          </w:p>
        </w:tc>
        <w:tc>
          <w:tcPr>
            <w:tcW w:w="730" w:type="pct"/>
            <w:tcBorders>
              <w:top w:val="nil"/>
              <w:left w:val="nil"/>
              <w:bottom w:val="single" w:sz="8" w:space="0" w:color="auto"/>
              <w:right w:val="nil"/>
            </w:tcBorders>
            <w:shd w:val="clear" w:color="auto" w:fill="auto"/>
            <w:vAlign w:val="bottom"/>
          </w:tcPr>
          <w:p w14:paraId="474141EE" w14:textId="65402438" w:rsidR="00BA5A71" w:rsidRPr="0072101D" w:rsidRDefault="00BA5A71" w:rsidP="00BA5A71">
            <w:pPr>
              <w:tabs>
                <w:tab w:val="right" w:pos="1202"/>
              </w:tabs>
              <w:suppressAutoHyphens/>
              <w:autoSpaceDN w:val="0"/>
              <w:spacing w:line="240" w:lineRule="exact"/>
              <w:jc w:val="right"/>
              <w:outlineLvl w:val="0"/>
              <w:rPr>
                <w:rFonts w:ascii="Arial" w:hAnsi="Arial" w:cs="Arial"/>
                <w:sz w:val="20"/>
                <w:szCs w:val="20"/>
              </w:rPr>
            </w:pPr>
            <w:r>
              <w:rPr>
                <w:rFonts w:ascii="Arial" w:hAnsi="Arial" w:cs="Arial"/>
                <w:sz w:val="20"/>
                <w:szCs w:val="20"/>
              </w:rPr>
              <w:t>93</w:t>
            </w:r>
          </w:p>
        </w:tc>
        <w:tc>
          <w:tcPr>
            <w:tcW w:w="770" w:type="pct"/>
            <w:tcBorders>
              <w:top w:val="nil"/>
              <w:left w:val="nil"/>
              <w:bottom w:val="single" w:sz="8" w:space="0" w:color="auto"/>
              <w:right w:val="nil"/>
            </w:tcBorders>
            <w:shd w:val="clear" w:color="auto" w:fill="auto"/>
            <w:vAlign w:val="bottom"/>
          </w:tcPr>
          <w:p w14:paraId="2D8B3203" w14:textId="0CBF2FF2" w:rsidR="00BA5A71" w:rsidRPr="000F587E" w:rsidRDefault="00BA5A71" w:rsidP="00BA5A71">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Pr>
                <w:rFonts w:ascii="Arial" w:eastAsia="Calibri" w:hAnsi="Arial" w:cs="Arial"/>
                <w:sz w:val="20"/>
                <w:szCs w:val="20"/>
              </w:rPr>
              <w:t>95</w:t>
            </w:r>
          </w:p>
        </w:tc>
      </w:tr>
      <w:tr w:rsidR="00BA5A71" w:rsidRPr="000F587E" w14:paraId="691F5CE5" w14:textId="77777777" w:rsidTr="00CF64BB">
        <w:trPr>
          <w:trHeight w:val="340"/>
        </w:trPr>
        <w:tc>
          <w:tcPr>
            <w:tcW w:w="1830" w:type="pct"/>
            <w:vAlign w:val="bottom"/>
          </w:tcPr>
          <w:p w14:paraId="1654DAC5" w14:textId="77777777" w:rsidR="00BA5A71" w:rsidRPr="000F587E" w:rsidRDefault="00BA5A71" w:rsidP="00BA5A71">
            <w:pPr>
              <w:tabs>
                <w:tab w:val="right" w:pos="1202"/>
              </w:tabs>
              <w:suppressAutoHyphens/>
              <w:autoSpaceDN w:val="0"/>
              <w:spacing w:line="240" w:lineRule="exact"/>
              <w:outlineLvl w:val="0"/>
              <w:rPr>
                <w:rFonts w:ascii="Arial" w:eastAsia="Times New Roman" w:hAnsi="Arial" w:cs="Arial"/>
                <w:iCs/>
                <w:color w:val="000000" w:themeColor="text1"/>
                <w:sz w:val="20"/>
                <w:szCs w:val="20"/>
              </w:rPr>
            </w:pPr>
          </w:p>
        </w:tc>
        <w:tc>
          <w:tcPr>
            <w:tcW w:w="842" w:type="pct"/>
            <w:tcBorders>
              <w:top w:val="single" w:sz="8" w:space="0" w:color="auto"/>
              <w:left w:val="nil"/>
              <w:bottom w:val="single" w:sz="12" w:space="0" w:color="auto"/>
              <w:right w:val="nil"/>
            </w:tcBorders>
            <w:shd w:val="clear" w:color="000000" w:fill="FFFFFF" w:themeFill="background1"/>
            <w:vAlign w:val="bottom"/>
          </w:tcPr>
          <w:p w14:paraId="50596D4A" w14:textId="32EAFBC1" w:rsidR="00BA5A71" w:rsidRPr="00E27C68" w:rsidRDefault="00BA5A71" w:rsidP="00BA5A71">
            <w:pPr>
              <w:tabs>
                <w:tab w:val="right" w:pos="1202"/>
              </w:tabs>
              <w:suppressAutoHyphens/>
              <w:autoSpaceDN w:val="0"/>
              <w:spacing w:line="240" w:lineRule="exact"/>
              <w:jc w:val="right"/>
              <w:outlineLvl w:val="0"/>
              <w:rPr>
                <w:rFonts w:ascii="Arial" w:hAnsi="Arial" w:cs="Arial"/>
                <w:color w:val="000000"/>
                <w:sz w:val="20"/>
                <w:szCs w:val="20"/>
              </w:rPr>
            </w:pPr>
            <w:r w:rsidRPr="00E27C68">
              <w:rPr>
                <w:rFonts w:ascii="Arial" w:hAnsi="Arial" w:cs="Arial"/>
                <w:sz w:val="20"/>
                <w:szCs w:val="20"/>
              </w:rPr>
              <w:t xml:space="preserve"> 34.390 </w:t>
            </w:r>
          </w:p>
        </w:tc>
        <w:tc>
          <w:tcPr>
            <w:tcW w:w="828" w:type="pct"/>
            <w:tcBorders>
              <w:top w:val="single" w:sz="8" w:space="0" w:color="auto"/>
              <w:bottom w:val="single" w:sz="12" w:space="0" w:color="auto"/>
            </w:tcBorders>
            <w:vAlign w:val="bottom"/>
          </w:tcPr>
          <w:p w14:paraId="11C292CB" w14:textId="3EC61689" w:rsidR="00BA5A71" w:rsidRPr="00E27C68" w:rsidRDefault="00BA5A71" w:rsidP="00BA5A71">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sidRPr="00E27C68">
              <w:rPr>
                <w:rFonts w:ascii="Arial" w:eastAsia="Calibri" w:hAnsi="Arial" w:cs="Arial"/>
                <w:color w:val="000000"/>
                <w:sz w:val="20"/>
                <w:szCs w:val="20"/>
              </w:rPr>
              <w:t>42.292</w:t>
            </w:r>
          </w:p>
        </w:tc>
        <w:tc>
          <w:tcPr>
            <w:tcW w:w="730" w:type="pct"/>
            <w:tcBorders>
              <w:top w:val="single" w:sz="8" w:space="0" w:color="auto"/>
              <w:bottom w:val="single" w:sz="12" w:space="0" w:color="auto"/>
            </w:tcBorders>
            <w:vAlign w:val="bottom"/>
          </w:tcPr>
          <w:p w14:paraId="7086203A" w14:textId="010AEAD0" w:rsidR="00BA5A71" w:rsidRPr="00E27C68" w:rsidRDefault="00BA5A71" w:rsidP="00BA5A71">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sidRPr="00E27C68">
              <w:rPr>
                <w:rFonts w:ascii="Arial" w:eastAsia="Times New Roman" w:hAnsi="Arial" w:cs="Arial"/>
                <w:color w:val="000000" w:themeColor="text1"/>
                <w:sz w:val="20"/>
                <w:szCs w:val="20"/>
              </w:rPr>
              <w:t>34.226</w:t>
            </w:r>
          </w:p>
        </w:tc>
        <w:tc>
          <w:tcPr>
            <w:tcW w:w="770" w:type="pct"/>
            <w:tcBorders>
              <w:top w:val="single" w:sz="8" w:space="0" w:color="auto"/>
              <w:bottom w:val="single" w:sz="12" w:space="0" w:color="auto"/>
            </w:tcBorders>
            <w:vAlign w:val="bottom"/>
          </w:tcPr>
          <w:p w14:paraId="648F50E5" w14:textId="1D9F12DC" w:rsidR="00BA5A71" w:rsidRPr="00E27C68" w:rsidRDefault="00BA5A71" w:rsidP="00BA5A71">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sidRPr="00E27C68">
              <w:rPr>
                <w:rFonts w:ascii="Arial" w:hAnsi="Arial" w:cs="Arial"/>
                <w:color w:val="000000"/>
                <w:sz w:val="20"/>
                <w:szCs w:val="20"/>
              </w:rPr>
              <w:t>41.701</w:t>
            </w:r>
          </w:p>
        </w:tc>
      </w:tr>
      <w:tr w:rsidR="00BA5A71" w:rsidRPr="000F587E" w14:paraId="2EEDE20C" w14:textId="77777777" w:rsidTr="00CF64BB">
        <w:trPr>
          <w:trHeight w:val="347"/>
        </w:trPr>
        <w:tc>
          <w:tcPr>
            <w:tcW w:w="1830" w:type="pct"/>
            <w:vAlign w:val="bottom"/>
          </w:tcPr>
          <w:p w14:paraId="733BB91F" w14:textId="104AA8A6" w:rsidR="00BA5A71" w:rsidRPr="000F587E" w:rsidRDefault="00BA5A71" w:rsidP="00BA5A71">
            <w:pPr>
              <w:tabs>
                <w:tab w:val="right" w:pos="1202"/>
              </w:tabs>
              <w:suppressAutoHyphens/>
              <w:autoSpaceDN w:val="0"/>
              <w:spacing w:line="240" w:lineRule="exact"/>
              <w:outlineLvl w:val="0"/>
              <w:rPr>
                <w:rFonts w:ascii="Arial" w:eastAsia="Times New Roman" w:hAnsi="Arial" w:cs="Arial"/>
                <w:color w:val="000000" w:themeColor="text1"/>
                <w:sz w:val="20"/>
                <w:szCs w:val="20"/>
              </w:rPr>
            </w:pPr>
            <w:bookmarkStart w:id="317" w:name="_Toc67327911"/>
            <w:r w:rsidRPr="000F587E">
              <w:rPr>
                <w:rFonts w:ascii="Arial" w:eastAsia="Times New Roman" w:hAnsi="Arial" w:cs="Arial"/>
                <w:color w:val="000000" w:themeColor="text1"/>
                <w:sz w:val="20"/>
                <w:szCs w:val="20"/>
              </w:rPr>
              <w:t>Rezerviranja za očekivane gubitke</w:t>
            </w:r>
            <w:bookmarkEnd w:id="317"/>
            <w:r w:rsidRPr="000F587E">
              <w:rPr>
                <w:rFonts w:ascii="Arial" w:eastAsia="Times New Roman" w:hAnsi="Arial" w:cs="Arial"/>
                <w:color w:val="000000" w:themeColor="text1"/>
                <w:sz w:val="20"/>
                <w:szCs w:val="20"/>
              </w:rPr>
              <w:t xml:space="preserve"> </w:t>
            </w:r>
          </w:p>
        </w:tc>
        <w:tc>
          <w:tcPr>
            <w:tcW w:w="842" w:type="pct"/>
            <w:tcBorders>
              <w:top w:val="single" w:sz="12" w:space="0" w:color="auto"/>
              <w:left w:val="nil"/>
              <w:bottom w:val="single" w:sz="8" w:space="0" w:color="auto"/>
              <w:right w:val="nil"/>
            </w:tcBorders>
            <w:shd w:val="clear" w:color="000000" w:fill="FFFFFF" w:themeFill="background1"/>
            <w:vAlign w:val="bottom"/>
          </w:tcPr>
          <w:p w14:paraId="5539C4BC" w14:textId="7BC8F746" w:rsidR="00BA5A71" w:rsidRPr="00BA5A71" w:rsidRDefault="00BA5A71" w:rsidP="00BA5A71">
            <w:pPr>
              <w:tabs>
                <w:tab w:val="right" w:pos="1202"/>
              </w:tabs>
              <w:suppressAutoHyphens/>
              <w:autoSpaceDN w:val="0"/>
              <w:spacing w:line="240" w:lineRule="exact"/>
              <w:jc w:val="right"/>
              <w:outlineLvl w:val="0"/>
              <w:rPr>
                <w:rFonts w:ascii="Arial" w:hAnsi="Arial" w:cs="Arial"/>
                <w:color w:val="000000"/>
                <w:sz w:val="20"/>
                <w:szCs w:val="20"/>
              </w:rPr>
            </w:pPr>
            <w:r w:rsidRPr="00BA5A71">
              <w:rPr>
                <w:rFonts w:ascii="Arial" w:hAnsi="Arial" w:cs="Arial"/>
                <w:sz w:val="20"/>
                <w:szCs w:val="20"/>
              </w:rPr>
              <w:t xml:space="preserve"> (140)</w:t>
            </w:r>
          </w:p>
        </w:tc>
        <w:tc>
          <w:tcPr>
            <w:tcW w:w="828" w:type="pct"/>
            <w:tcBorders>
              <w:top w:val="single" w:sz="12" w:space="0" w:color="auto"/>
              <w:bottom w:val="single" w:sz="4" w:space="0" w:color="auto"/>
            </w:tcBorders>
            <w:vAlign w:val="bottom"/>
          </w:tcPr>
          <w:p w14:paraId="243D3E7C" w14:textId="505B5591" w:rsidR="00BA5A71" w:rsidRPr="00672AA1" w:rsidRDefault="00BA5A71" w:rsidP="00BA5A71">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Pr>
                <w:rFonts w:ascii="Arial" w:hAnsi="Arial" w:cs="Arial"/>
                <w:color w:val="000000"/>
                <w:sz w:val="20"/>
                <w:szCs w:val="20"/>
              </w:rPr>
              <w:t>(159)</w:t>
            </w:r>
          </w:p>
        </w:tc>
        <w:tc>
          <w:tcPr>
            <w:tcW w:w="730" w:type="pct"/>
            <w:tcBorders>
              <w:top w:val="single" w:sz="12" w:space="0" w:color="auto"/>
              <w:bottom w:val="single" w:sz="8" w:space="0" w:color="auto"/>
            </w:tcBorders>
            <w:vAlign w:val="bottom"/>
          </w:tcPr>
          <w:p w14:paraId="5C92DAE2" w14:textId="23F350C6" w:rsidR="00BA5A71" w:rsidRPr="000F587E" w:rsidRDefault="00BA5A71" w:rsidP="00BA5A71">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(139)</w:t>
            </w:r>
          </w:p>
        </w:tc>
        <w:tc>
          <w:tcPr>
            <w:tcW w:w="770" w:type="pct"/>
            <w:tcBorders>
              <w:top w:val="single" w:sz="12" w:space="0" w:color="auto"/>
              <w:bottom w:val="single" w:sz="4" w:space="0" w:color="auto"/>
            </w:tcBorders>
            <w:vAlign w:val="bottom"/>
          </w:tcPr>
          <w:p w14:paraId="08E40704" w14:textId="7AA34162" w:rsidR="00BA5A71" w:rsidRPr="000F587E" w:rsidRDefault="00BA5A71" w:rsidP="00BA5A71">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Pr>
                <w:rFonts w:ascii="Arial" w:hAnsi="Arial" w:cs="Arial"/>
                <w:color w:val="000000"/>
                <w:sz w:val="20"/>
                <w:szCs w:val="20"/>
              </w:rPr>
              <w:t>(158)</w:t>
            </w:r>
          </w:p>
        </w:tc>
      </w:tr>
      <w:tr w:rsidR="00BA5A71" w:rsidRPr="000F587E" w14:paraId="3F1B9315" w14:textId="77777777" w:rsidTr="00BA5A71">
        <w:trPr>
          <w:trHeight w:val="345"/>
        </w:trPr>
        <w:tc>
          <w:tcPr>
            <w:tcW w:w="1830" w:type="pct"/>
            <w:vAlign w:val="bottom"/>
          </w:tcPr>
          <w:p w14:paraId="7705A5AC" w14:textId="77777777" w:rsidR="00BA5A71" w:rsidRPr="000F587E" w:rsidRDefault="00BA5A71" w:rsidP="00BA5A71">
            <w:pPr>
              <w:tabs>
                <w:tab w:val="right" w:pos="1202"/>
              </w:tabs>
              <w:suppressAutoHyphens/>
              <w:autoSpaceDN w:val="0"/>
              <w:spacing w:line="240" w:lineRule="exact"/>
              <w:outlineLvl w:val="0"/>
              <w:rPr>
                <w:rFonts w:ascii="Arial" w:eastAsia="Times New Roman" w:hAnsi="Arial" w:cs="Arial"/>
                <w:b/>
                <w:color w:val="000000" w:themeColor="text1"/>
                <w:sz w:val="20"/>
                <w:szCs w:val="20"/>
              </w:rPr>
            </w:pPr>
          </w:p>
        </w:tc>
        <w:tc>
          <w:tcPr>
            <w:tcW w:w="842" w:type="pct"/>
            <w:tcBorders>
              <w:top w:val="single" w:sz="8" w:space="0" w:color="auto"/>
              <w:bottom w:val="single" w:sz="12" w:space="0" w:color="auto"/>
            </w:tcBorders>
            <w:vAlign w:val="bottom"/>
          </w:tcPr>
          <w:p w14:paraId="2EB1A3FB" w14:textId="67C3394E" w:rsidR="00BA5A71" w:rsidRPr="00BA5A71" w:rsidRDefault="00BA5A71" w:rsidP="00BA5A71">
            <w:pPr>
              <w:tabs>
                <w:tab w:val="right" w:pos="1202"/>
              </w:tabs>
              <w:suppressAutoHyphens/>
              <w:autoSpaceDN w:val="0"/>
              <w:spacing w:line="240" w:lineRule="exact"/>
              <w:jc w:val="right"/>
              <w:outlineLvl w:val="0"/>
              <w:rPr>
                <w:rFonts w:ascii="Arial" w:hAnsi="Arial" w:cs="Arial"/>
                <w:b/>
                <w:bCs/>
                <w:sz w:val="20"/>
                <w:szCs w:val="20"/>
              </w:rPr>
            </w:pPr>
            <w:r w:rsidRPr="00BA5A71">
              <w:rPr>
                <w:rFonts w:ascii="Arial" w:hAnsi="Arial" w:cs="Arial"/>
                <w:b/>
                <w:bCs/>
                <w:sz w:val="20"/>
                <w:szCs w:val="20"/>
              </w:rPr>
              <w:t xml:space="preserve"> 34.250 </w:t>
            </w:r>
          </w:p>
        </w:tc>
        <w:tc>
          <w:tcPr>
            <w:tcW w:w="828" w:type="pct"/>
            <w:tcBorders>
              <w:top w:val="single" w:sz="4" w:space="0" w:color="auto"/>
              <w:bottom w:val="single" w:sz="12" w:space="0" w:color="auto"/>
            </w:tcBorders>
            <w:vAlign w:val="bottom"/>
          </w:tcPr>
          <w:p w14:paraId="6FECAE9F" w14:textId="5AEE86AC" w:rsidR="00BA5A71" w:rsidRPr="00672AA1" w:rsidRDefault="00BA5A71" w:rsidP="00BA5A71">
            <w:pPr>
              <w:tabs>
                <w:tab w:val="right" w:pos="1202"/>
              </w:tabs>
              <w:suppressAutoHyphens/>
              <w:autoSpaceDN w:val="0"/>
              <w:spacing w:line="240" w:lineRule="exact"/>
              <w:jc w:val="right"/>
              <w:outlineLvl w:val="0"/>
              <w:rPr>
                <w:rFonts w:ascii="Arial" w:eastAsia="Times New Roman" w:hAnsi="Arial" w:cs="Arial"/>
                <w:b/>
                <w:bCs/>
                <w:color w:val="000000" w:themeColor="text1"/>
                <w:sz w:val="20"/>
                <w:szCs w:val="20"/>
              </w:rPr>
            </w:pPr>
            <w:r w:rsidRPr="00685407">
              <w:rPr>
                <w:rFonts w:ascii="Arial" w:eastAsia="Calibri" w:hAnsi="Arial" w:cs="Arial"/>
                <w:b/>
                <w:bCs/>
                <w:sz w:val="20"/>
                <w:szCs w:val="20"/>
              </w:rPr>
              <w:t>42.133</w:t>
            </w:r>
          </w:p>
        </w:tc>
        <w:tc>
          <w:tcPr>
            <w:tcW w:w="730" w:type="pct"/>
            <w:tcBorders>
              <w:top w:val="single" w:sz="8" w:space="0" w:color="auto"/>
              <w:bottom w:val="single" w:sz="12" w:space="0" w:color="auto"/>
            </w:tcBorders>
            <w:vAlign w:val="bottom"/>
          </w:tcPr>
          <w:p w14:paraId="65F3ECD1" w14:textId="34599A77" w:rsidR="00BA5A71" w:rsidRPr="00E759CE" w:rsidRDefault="00BA5A71" w:rsidP="00BA5A71">
            <w:pPr>
              <w:tabs>
                <w:tab w:val="right" w:pos="1202"/>
              </w:tabs>
              <w:suppressAutoHyphens/>
              <w:autoSpaceDN w:val="0"/>
              <w:spacing w:line="240" w:lineRule="exact"/>
              <w:jc w:val="right"/>
              <w:outlineLvl w:val="0"/>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34.087</w:t>
            </w:r>
          </w:p>
        </w:tc>
        <w:tc>
          <w:tcPr>
            <w:tcW w:w="770" w:type="pct"/>
            <w:tcBorders>
              <w:top w:val="single" w:sz="4" w:space="0" w:color="auto"/>
              <w:bottom w:val="single" w:sz="12" w:space="0" w:color="auto"/>
            </w:tcBorders>
            <w:vAlign w:val="bottom"/>
          </w:tcPr>
          <w:p w14:paraId="59D0ECDC" w14:textId="64104708" w:rsidR="00BA5A71" w:rsidRPr="00E759CE" w:rsidRDefault="00BA5A71" w:rsidP="00BA5A71">
            <w:pPr>
              <w:tabs>
                <w:tab w:val="right" w:pos="1202"/>
              </w:tabs>
              <w:suppressAutoHyphens/>
              <w:autoSpaceDN w:val="0"/>
              <w:spacing w:line="240" w:lineRule="exact"/>
              <w:jc w:val="right"/>
              <w:outlineLvl w:val="0"/>
              <w:rPr>
                <w:rFonts w:ascii="Arial" w:eastAsia="Times New Roman" w:hAnsi="Arial" w:cs="Arial"/>
                <w:b/>
                <w:bCs/>
                <w:color w:val="000000" w:themeColor="text1"/>
                <w:sz w:val="20"/>
                <w:szCs w:val="20"/>
              </w:rPr>
            </w:pPr>
            <w:r>
              <w:rPr>
                <w:rFonts w:ascii="Arial" w:hAnsi="Arial" w:cs="Arial"/>
                <w:b/>
                <w:bCs/>
                <w:color w:val="000000"/>
                <w:sz w:val="20"/>
                <w:szCs w:val="20"/>
              </w:rPr>
              <w:t>41.543</w:t>
            </w:r>
          </w:p>
        </w:tc>
      </w:tr>
    </w:tbl>
    <w:p w14:paraId="1FE65A55" w14:textId="77777777" w:rsidR="00DE4AC9" w:rsidRPr="003D1614" w:rsidRDefault="00DE4AC9" w:rsidP="00DE4AC9">
      <w:pPr>
        <w:keepNext/>
        <w:suppressAutoHyphens/>
        <w:autoSpaceDN w:val="0"/>
        <w:jc w:val="both"/>
        <w:outlineLvl w:val="0"/>
        <w:rPr>
          <w:rFonts w:ascii="Arial" w:eastAsia="Times New Roman" w:hAnsi="Arial" w:cs="Arial"/>
          <w:b/>
          <w:color w:val="000000" w:themeColor="text1"/>
          <w:sz w:val="20"/>
          <w:szCs w:val="20"/>
        </w:rPr>
      </w:pPr>
    </w:p>
    <w:p w14:paraId="63243037" w14:textId="77777777" w:rsidR="00DE4AC9" w:rsidRPr="003D1614" w:rsidRDefault="00DE4AC9" w:rsidP="00DE4AC9">
      <w:pPr>
        <w:keepNext/>
        <w:suppressAutoHyphens/>
        <w:autoSpaceDN w:val="0"/>
        <w:jc w:val="both"/>
        <w:outlineLvl w:val="0"/>
        <w:rPr>
          <w:rFonts w:ascii="Arial" w:eastAsia="Times New Roman" w:hAnsi="Arial" w:cs="Arial"/>
          <w:bCs/>
          <w:color w:val="000000" w:themeColor="text1"/>
          <w:sz w:val="20"/>
          <w:szCs w:val="20"/>
        </w:rPr>
      </w:pPr>
      <w:bookmarkStart w:id="318" w:name="_Hlk506307924"/>
    </w:p>
    <w:p w14:paraId="7E5A96CD" w14:textId="77777777" w:rsidR="00DE4AC9" w:rsidRPr="003D1614" w:rsidRDefault="00DE4AC9" w:rsidP="00DE4AC9">
      <w:pPr>
        <w:keepNext/>
        <w:suppressAutoHyphens/>
        <w:autoSpaceDN w:val="0"/>
        <w:jc w:val="both"/>
        <w:outlineLvl w:val="0"/>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Sljedeće tablice prikazuju informacije o kreditnoj kvaliteti financijske imovine koja se mjeri po amortiziranom trošku. Iznosi u tablici predstavljaju bruto knjigovodstvene iznose:</w:t>
      </w:r>
    </w:p>
    <w:p w14:paraId="74583B18" w14:textId="77777777" w:rsidR="00DE4AC9" w:rsidRPr="003D1614" w:rsidRDefault="00DE4AC9" w:rsidP="00DE4AC9">
      <w:pPr>
        <w:keepNext/>
        <w:suppressAutoHyphens/>
        <w:autoSpaceDN w:val="0"/>
        <w:jc w:val="both"/>
        <w:outlineLvl w:val="0"/>
        <w:rPr>
          <w:rFonts w:ascii="Arial" w:eastAsia="Times New Roman" w:hAnsi="Arial" w:cs="Arial"/>
          <w:bCs/>
          <w:color w:val="000000" w:themeColor="text1"/>
          <w:sz w:val="20"/>
          <w:szCs w:val="20"/>
        </w:rPr>
      </w:pPr>
    </w:p>
    <w:tbl>
      <w:tblPr>
        <w:tblW w:w="10235" w:type="dxa"/>
        <w:tblInd w:w="-567" w:type="dxa"/>
        <w:tblLayout w:type="fixed"/>
        <w:tblLook w:val="04A0" w:firstRow="1" w:lastRow="0" w:firstColumn="1" w:lastColumn="0" w:noHBand="0" w:noVBand="1"/>
      </w:tblPr>
      <w:tblGrid>
        <w:gridCol w:w="1843"/>
        <w:gridCol w:w="1049"/>
        <w:gridCol w:w="1049"/>
        <w:gridCol w:w="1049"/>
        <w:gridCol w:w="1049"/>
        <w:gridCol w:w="1049"/>
        <w:gridCol w:w="1049"/>
        <w:gridCol w:w="1049"/>
        <w:gridCol w:w="1049"/>
      </w:tblGrid>
      <w:tr w:rsidR="00DE4AC9" w:rsidRPr="0045443F" w14:paraId="2D0A7533" w14:textId="77777777" w:rsidTr="0045443F">
        <w:trPr>
          <w:trHeight w:val="178"/>
        </w:trPr>
        <w:tc>
          <w:tcPr>
            <w:tcW w:w="1843" w:type="dxa"/>
            <w:tcBorders>
              <w:top w:val="nil"/>
              <w:left w:val="nil"/>
              <w:bottom w:val="nil"/>
              <w:right w:val="nil"/>
            </w:tcBorders>
            <w:shd w:val="clear" w:color="auto" w:fill="auto"/>
            <w:noWrap/>
            <w:vAlign w:val="bottom"/>
            <w:hideMark/>
          </w:tcPr>
          <w:p w14:paraId="77DFF509" w14:textId="1367D1E7" w:rsidR="00DE4AC9" w:rsidRPr="0045443F" w:rsidRDefault="002F4581" w:rsidP="00DE4AC9">
            <w:pPr>
              <w:suppressAutoHyphens/>
              <w:autoSpaceDN w:val="0"/>
              <w:rPr>
                <w:rFonts w:ascii="Arial" w:eastAsia="Times New Roman" w:hAnsi="Arial" w:cs="Arial"/>
                <w:b/>
                <w:color w:val="000000" w:themeColor="text1"/>
                <w:sz w:val="17"/>
                <w:szCs w:val="17"/>
              </w:rPr>
            </w:pPr>
            <w:r w:rsidRPr="002F4581">
              <w:rPr>
                <w:rFonts w:ascii="Arial" w:eastAsia="Times New Roman" w:hAnsi="Arial" w:cs="Arial"/>
                <w:b/>
                <w:color w:val="000000" w:themeColor="text1"/>
                <w:sz w:val="17"/>
                <w:szCs w:val="17"/>
              </w:rPr>
              <w:t>30. rujna 202</w:t>
            </w:r>
            <w:r w:rsidR="004B6CB0">
              <w:rPr>
                <w:rFonts w:ascii="Arial" w:eastAsia="Times New Roman" w:hAnsi="Arial" w:cs="Arial"/>
                <w:b/>
                <w:color w:val="000000" w:themeColor="text1"/>
                <w:sz w:val="17"/>
                <w:szCs w:val="17"/>
              </w:rPr>
              <w:t>4</w:t>
            </w:r>
            <w:r w:rsidRPr="002F4581">
              <w:rPr>
                <w:rFonts w:ascii="Arial" w:eastAsia="Times New Roman" w:hAnsi="Arial" w:cs="Arial"/>
                <w:b/>
                <w:color w:val="000000" w:themeColor="text1"/>
                <w:sz w:val="17"/>
                <w:szCs w:val="17"/>
              </w:rPr>
              <w:t>.</w:t>
            </w:r>
          </w:p>
        </w:tc>
        <w:tc>
          <w:tcPr>
            <w:tcW w:w="1049" w:type="dxa"/>
            <w:tcBorders>
              <w:top w:val="nil"/>
              <w:left w:val="nil"/>
              <w:bottom w:val="nil"/>
              <w:right w:val="nil"/>
            </w:tcBorders>
            <w:shd w:val="clear" w:color="auto" w:fill="auto"/>
            <w:noWrap/>
            <w:vAlign w:val="bottom"/>
            <w:hideMark/>
          </w:tcPr>
          <w:p w14:paraId="65C85B12" w14:textId="77777777" w:rsidR="00DE4AC9" w:rsidRPr="0045443F" w:rsidRDefault="00DE4AC9" w:rsidP="00DE4AC9">
            <w:pPr>
              <w:suppressAutoHyphens/>
              <w:autoSpaceDN w:val="0"/>
              <w:rPr>
                <w:rFonts w:ascii="Arial" w:eastAsia="Times New Roman" w:hAnsi="Arial" w:cs="Arial"/>
                <w:color w:val="000000" w:themeColor="text1"/>
                <w:sz w:val="17"/>
                <w:szCs w:val="17"/>
              </w:rPr>
            </w:pPr>
          </w:p>
        </w:tc>
        <w:tc>
          <w:tcPr>
            <w:tcW w:w="1049" w:type="dxa"/>
            <w:tcBorders>
              <w:top w:val="nil"/>
              <w:left w:val="nil"/>
              <w:bottom w:val="nil"/>
              <w:right w:val="nil"/>
            </w:tcBorders>
            <w:shd w:val="clear" w:color="auto" w:fill="auto"/>
            <w:noWrap/>
            <w:vAlign w:val="bottom"/>
            <w:hideMark/>
          </w:tcPr>
          <w:p w14:paraId="525AA4AB" w14:textId="77777777" w:rsidR="00DE4AC9" w:rsidRPr="0045443F" w:rsidRDefault="00DE4AC9" w:rsidP="00DE4AC9">
            <w:pPr>
              <w:suppressAutoHyphens/>
              <w:autoSpaceDN w:val="0"/>
              <w:jc w:val="right"/>
              <w:rPr>
                <w:rFonts w:ascii="Arial" w:eastAsia="Times New Roman" w:hAnsi="Arial" w:cs="Arial"/>
                <w:color w:val="000000" w:themeColor="text1"/>
                <w:sz w:val="17"/>
                <w:szCs w:val="17"/>
              </w:rPr>
            </w:pPr>
          </w:p>
        </w:tc>
        <w:tc>
          <w:tcPr>
            <w:tcW w:w="1049" w:type="dxa"/>
            <w:tcBorders>
              <w:top w:val="nil"/>
              <w:left w:val="nil"/>
              <w:bottom w:val="nil"/>
              <w:right w:val="nil"/>
            </w:tcBorders>
            <w:shd w:val="clear" w:color="auto" w:fill="auto"/>
            <w:noWrap/>
            <w:vAlign w:val="bottom"/>
            <w:hideMark/>
          </w:tcPr>
          <w:p w14:paraId="7A6C19DF" w14:textId="77777777" w:rsidR="00DE4AC9" w:rsidRPr="0045443F" w:rsidRDefault="00DE4AC9" w:rsidP="00DE4AC9">
            <w:pPr>
              <w:suppressAutoHyphens/>
              <w:autoSpaceDN w:val="0"/>
              <w:jc w:val="right"/>
              <w:rPr>
                <w:rFonts w:ascii="Arial" w:eastAsia="Times New Roman" w:hAnsi="Arial" w:cs="Arial"/>
                <w:color w:val="000000" w:themeColor="text1"/>
                <w:sz w:val="17"/>
                <w:szCs w:val="17"/>
              </w:rPr>
            </w:pPr>
          </w:p>
        </w:tc>
        <w:tc>
          <w:tcPr>
            <w:tcW w:w="1049" w:type="dxa"/>
            <w:tcBorders>
              <w:top w:val="nil"/>
              <w:left w:val="nil"/>
              <w:bottom w:val="nil"/>
              <w:right w:val="nil"/>
            </w:tcBorders>
            <w:shd w:val="clear" w:color="auto" w:fill="auto"/>
            <w:noWrap/>
            <w:vAlign w:val="bottom"/>
            <w:hideMark/>
          </w:tcPr>
          <w:p w14:paraId="2029737A"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Grupa</w:t>
            </w:r>
          </w:p>
        </w:tc>
        <w:tc>
          <w:tcPr>
            <w:tcW w:w="1049" w:type="dxa"/>
            <w:tcBorders>
              <w:top w:val="nil"/>
              <w:left w:val="nil"/>
              <w:bottom w:val="nil"/>
              <w:right w:val="nil"/>
            </w:tcBorders>
            <w:shd w:val="clear" w:color="auto" w:fill="auto"/>
            <w:noWrap/>
            <w:vAlign w:val="bottom"/>
            <w:hideMark/>
          </w:tcPr>
          <w:p w14:paraId="713FE5B6"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p>
        </w:tc>
        <w:tc>
          <w:tcPr>
            <w:tcW w:w="1049" w:type="dxa"/>
            <w:tcBorders>
              <w:top w:val="nil"/>
              <w:left w:val="nil"/>
              <w:bottom w:val="nil"/>
              <w:right w:val="nil"/>
            </w:tcBorders>
            <w:shd w:val="clear" w:color="auto" w:fill="auto"/>
            <w:noWrap/>
            <w:vAlign w:val="bottom"/>
            <w:hideMark/>
          </w:tcPr>
          <w:p w14:paraId="3B5C6184" w14:textId="77777777" w:rsidR="00DE4AC9" w:rsidRPr="0045443F" w:rsidRDefault="00DE4AC9" w:rsidP="00DE4AC9">
            <w:pPr>
              <w:suppressAutoHyphens/>
              <w:autoSpaceDN w:val="0"/>
              <w:jc w:val="right"/>
              <w:rPr>
                <w:rFonts w:ascii="Arial" w:eastAsia="Times New Roman" w:hAnsi="Arial" w:cs="Arial"/>
                <w:color w:val="000000" w:themeColor="text1"/>
                <w:sz w:val="17"/>
                <w:szCs w:val="17"/>
              </w:rPr>
            </w:pPr>
          </w:p>
        </w:tc>
        <w:tc>
          <w:tcPr>
            <w:tcW w:w="1049" w:type="dxa"/>
            <w:tcBorders>
              <w:top w:val="nil"/>
              <w:left w:val="nil"/>
              <w:bottom w:val="nil"/>
              <w:right w:val="nil"/>
            </w:tcBorders>
            <w:shd w:val="clear" w:color="auto" w:fill="auto"/>
            <w:noWrap/>
            <w:vAlign w:val="bottom"/>
            <w:hideMark/>
          </w:tcPr>
          <w:p w14:paraId="6215DC18" w14:textId="77777777" w:rsidR="00DE4AC9" w:rsidRPr="0045443F" w:rsidRDefault="00DE4AC9" w:rsidP="00DE4AC9">
            <w:pPr>
              <w:suppressAutoHyphens/>
              <w:autoSpaceDN w:val="0"/>
              <w:jc w:val="right"/>
              <w:rPr>
                <w:rFonts w:ascii="Arial" w:eastAsia="Times New Roman" w:hAnsi="Arial" w:cs="Arial"/>
                <w:color w:val="000000" w:themeColor="text1"/>
                <w:sz w:val="17"/>
                <w:szCs w:val="17"/>
              </w:rPr>
            </w:pPr>
          </w:p>
        </w:tc>
        <w:tc>
          <w:tcPr>
            <w:tcW w:w="1049" w:type="dxa"/>
            <w:tcBorders>
              <w:top w:val="nil"/>
              <w:left w:val="nil"/>
              <w:bottom w:val="nil"/>
              <w:right w:val="nil"/>
            </w:tcBorders>
            <w:shd w:val="clear" w:color="auto" w:fill="auto"/>
            <w:noWrap/>
            <w:vAlign w:val="bottom"/>
            <w:hideMark/>
          </w:tcPr>
          <w:p w14:paraId="7BA96812"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Banka</w:t>
            </w:r>
          </w:p>
        </w:tc>
      </w:tr>
      <w:tr w:rsidR="00DE4AC9" w:rsidRPr="0045443F" w14:paraId="4958FE7E" w14:textId="77777777" w:rsidTr="0045443F">
        <w:trPr>
          <w:trHeight w:val="310"/>
        </w:trPr>
        <w:tc>
          <w:tcPr>
            <w:tcW w:w="1843" w:type="dxa"/>
            <w:tcBorders>
              <w:top w:val="nil"/>
              <w:left w:val="nil"/>
              <w:bottom w:val="nil"/>
              <w:right w:val="nil"/>
            </w:tcBorders>
            <w:shd w:val="clear" w:color="auto" w:fill="auto"/>
            <w:noWrap/>
            <w:vAlign w:val="bottom"/>
            <w:hideMark/>
          </w:tcPr>
          <w:p w14:paraId="053EE658"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p>
        </w:tc>
        <w:tc>
          <w:tcPr>
            <w:tcW w:w="1049" w:type="dxa"/>
            <w:tcBorders>
              <w:top w:val="nil"/>
              <w:left w:val="nil"/>
              <w:bottom w:val="nil"/>
              <w:right w:val="nil"/>
            </w:tcBorders>
            <w:shd w:val="clear" w:color="auto" w:fill="auto"/>
            <w:noWrap/>
            <w:vAlign w:val="bottom"/>
            <w:hideMark/>
          </w:tcPr>
          <w:p w14:paraId="59177604"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Stupanj 1</w:t>
            </w:r>
          </w:p>
        </w:tc>
        <w:tc>
          <w:tcPr>
            <w:tcW w:w="1049" w:type="dxa"/>
            <w:tcBorders>
              <w:top w:val="nil"/>
              <w:left w:val="nil"/>
              <w:bottom w:val="nil"/>
              <w:right w:val="nil"/>
            </w:tcBorders>
            <w:shd w:val="clear" w:color="auto" w:fill="auto"/>
            <w:noWrap/>
            <w:vAlign w:val="bottom"/>
            <w:hideMark/>
          </w:tcPr>
          <w:p w14:paraId="74174C32"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Stupanj 2</w:t>
            </w:r>
          </w:p>
        </w:tc>
        <w:tc>
          <w:tcPr>
            <w:tcW w:w="1049" w:type="dxa"/>
            <w:tcBorders>
              <w:top w:val="nil"/>
              <w:left w:val="nil"/>
              <w:bottom w:val="nil"/>
              <w:right w:val="nil"/>
            </w:tcBorders>
            <w:shd w:val="clear" w:color="auto" w:fill="auto"/>
            <w:noWrap/>
            <w:vAlign w:val="bottom"/>
            <w:hideMark/>
          </w:tcPr>
          <w:p w14:paraId="3CD304B6"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Stupanj 3</w:t>
            </w:r>
          </w:p>
        </w:tc>
        <w:tc>
          <w:tcPr>
            <w:tcW w:w="1049" w:type="dxa"/>
            <w:tcBorders>
              <w:top w:val="nil"/>
              <w:left w:val="nil"/>
              <w:bottom w:val="nil"/>
              <w:right w:val="nil"/>
            </w:tcBorders>
            <w:shd w:val="clear" w:color="auto" w:fill="auto"/>
            <w:noWrap/>
            <w:vAlign w:val="bottom"/>
            <w:hideMark/>
          </w:tcPr>
          <w:p w14:paraId="06689F59"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Ukupno</w:t>
            </w:r>
          </w:p>
        </w:tc>
        <w:tc>
          <w:tcPr>
            <w:tcW w:w="1049" w:type="dxa"/>
            <w:tcBorders>
              <w:top w:val="nil"/>
              <w:left w:val="nil"/>
              <w:bottom w:val="nil"/>
              <w:right w:val="nil"/>
            </w:tcBorders>
            <w:shd w:val="clear" w:color="auto" w:fill="auto"/>
            <w:noWrap/>
            <w:vAlign w:val="bottom"/>
            <w:hideMark/>
          </w:tcPr>
          <w:p w14:paraId="76B5DC04"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Stupanj 1</w:t>
            </w:r>
          </w:p>
        </w:tc>
        <w:tc>
          <w:tcPr>
            <w:tcW w:w="1049" w:type="dxa"/>
            <w:tcBorders>
              <w:top w:val="nil"/>
              <w:left w:val="nil"/>
              <w:bottom w:val="nil"/>
              <w:right w:val="nil"/>
            </w:tcBorders>
            <w:shd w:val="clear" w:color="auto" w:fill="auto"/>
            <w:noWrap/>
            <w:vAlign w:val="bottom"/>
            <w:hideMark/>
          </w:tcPr>
          <w:p w14:paraId="39C6789E"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Stupanj 2</w:t>
            </w:r>
          </w:p>
        </w:tc>
        <w:tc>
          <w:tcPr>
            <w:tcW w:w="1049" w:type="dxa"/>
            <w:tcBorders>
              <w:top w:val="nil"/>
              <w:left w:val="nil"/>
              <w:bottom w:val="nil"/>
              <w:right w:val="nil"/>
            </w:tcBorders>
            <w:shd w:val="clear" w:color="auto" w:fill="auto"/>
            <w:noWrap/>
            <w:vAlign w:val="bottom"/>
            <w:hideMark/>
          </w:tcPr>
          <w:p w14:paraId="0E0E2649"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Stupanj 3</w:t>
            </w:r>
          </w:p>
        </w:tc>
        <w:tc>
          <w:tcPr>
            <w:tcW w:w="1049" w:type="dxa"/>
            <w:tcBorders>
              <w:top w:val="nil"/>
              <w:left w:val="nil"/>
              <w:bottom w:val="nil"/>
              <w:right w:val="nil"/>
            </w:tcBorders>
            <w:shd w:val="clear" w:color="auto" w:fill="auto"/>
            <w:noWrap/>
            <w:vAlign w:val="bottom"/>
            <w:hideMark/>
          </w:tcPr>
          <w:p w14:paraId="4FDF6CAD"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Ukupno</w:t>
            </w:r>
          </w:p>
        </w:tc>
      </w:tr>
      <w:tr w:rsidR="00DE4AC9" w:rsidRPr="0045443F" w14:paraId="0B1E49A2" w14:textId="77777777" w:rsidTr="0045443F">
        <w:trPr>
          <w:trHeight w:val="314"/>
        </w:trPr>
        <w:tc>
          <w:tcPr>
            <w:tcW w:w="1843" w:type="dxa"/>
            <w:tcBorders>
              <w:top w:val="nil"/>
              <w:left w:val="nil"/>
              <w:bottom w:val="nil"/>
              <w:right w:val="nil"/>
            </w:tcBorders>
            <w:shd w:val="clear" w:color="auto" w:fill="auto"/>
            <w:noWrap/>
            <w:vAlign w:val="bottom"/>
            <w:hideMark/>
          </w:tcPr>
          <w:p w14:paraId="7627F2D9"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p>
        </w:tc>
        <w:tc>
          <w:tcPr>
            <w:tcW w:w="1049" w:type="dxa"/>
            <w:tcBorders>
              <w:top w:val="nil"/>
              <w:left w:val="nil"/>
              <w:bottom w:val="nil"/>
              <w:right w:val="nil"/>
            </w:tcBorders>
            <w:shd w:val="clear" w:color="auto" w:fill="auto"/>
            <w:noWrap/>
            <w:vAlign w:val="bottom"/>
            <w:hideMark/>
          </w:tcPr>
          <w:p w14:paraId="759C6F2E" w14:textId="326BE340"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 xml:space="preserve">000 </w:t>
            </w:r>
            <w:r w:rsidR="00A73031" w:rsidRPr="0045443F">
              <w:rPr>
                <w:rFonts w:ascii="Arial" w:eastAsia="Times New Roman" w:hAnsi="Arial" w:cs="Arial"/>
                <w:b/>
                <w:bCs/>
                <w:color w:val="000000" w:themeColor="text1"/>
                <w:sz w:val="17"/>
                <w:szCs w:val="17"/>
              </w:rPr>
              <w:t>eura</w:t>
            </w:r>
          </w:p>
        </w:tc>
        <w:tc>
          <w:tcPr>
            <w:tcW w:w="1049" w:type="dxa"/>
            <w:tcBorders>
              <w:top w:val="nil"/>
              <w:left w:val="nil"/>
              <w:bottom w:val="nil"/>
              <w:right w:val="nil"/>
            </w:tcBorders>
            <w:shd w:val="clear" w:color="auto" w:fill="auto"/>
            <w:noWrap/>
            <w:vAlign w:val="bottom"/>
            <w:hideMark/>
          </w:tcPr>
          <w:p w14:paraId="0D623DC3" w14:textId="59FE95D6"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 xml:space="preserve">000 </w:t>
            </w:r>
            <w:r w:rsidR="00A73031" w:rsidRPr="0045443F">
              <w:rPr>
                <w:rFonts w:ascii="Arial" w:eastAsia="Times New Roman" w:hAnsi="Arial" w:cs="Arial"/>
                <w:b/>
                <w:bCs/>
                <w:color w:val="000000" w:themeColor="text1"/>
                <w:sz w:val="17"/>
                <w:szCs w:val="17"/>
              </w:rPr>
              <w:t>eura</w:t>
            </w:r>
          </w:p>
        </w:tc>
        <w:tc>
          <w:tcPr>
            <w:tcW w:w="1049" w:type="dxa"/>
            <w:tcBorders>
              <w:top w:val="nil"/>
              <w:left w:val="nil"/>
              <w:bottom w:val="nil"/>
              <w:right w:val="nil"/>
            </w:tcBorders>
            <w:shd w:val="clear" w:color="auto" w:fill="auto"/>
            <w:noWrap/>
            <w:vAlign w:val="bottom"/>
            <w:hideMark/>
          </w:tcPr>
          <w:p w14:paraId="0CE813AC" w14:textId="6E8512ED"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 xml:space="preserve">000 </w:t>
            </w:r>
            <w:r w:rsidR="00A73031" w:rsidRPr="0045443F">
              <w:rPr>
                <w:rFonts w:ascii="Arial" w:eastAsia="Times New Roman" w:hAnsi="Arial" w:cs="Arial"/>
                <w:b/>
                <w:bCs/>
                <w:color w:val="000000" w:themeColor="text1"/>
                <w:sz w:val="17"/>
                <w:szCs w:val="17"/>
              </w:rPr>
              <w:t>eura</w:t>
            </w:r>
          </w:p>
        </w:tc>
        <w:tc>
          <w:tcPr>
            <w:tcW w:w="1049" w:type="dxa"/>
            <w:tcBorders>
              <w:top w:val="nil"/>
              <w:left w:val="nil"/>
              <w:bottom w:val="nil"/>
              <w:right w:val="nil"/>
            </w:tcBorders>
            <w:shd w:val="clear" w:color="auto" w:fill="auto"/>
            <w:noWrap/>
            <w:vAlign w:val="bottom"/>
            <w:hideMark/>
          </w:tcPr>
          <w:p w14:paraId="3E4758F1" w14:textId="1FFBE9D5"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 xml:space="preserve">000 </w:t>
            </w:r>
            <w:r w:rsidR="00A73031" w:rsidRPr="0045443F">
              <w:rPr>
                <w:rFonts w:ascii="Arial" w:eastAsia="Times New Roman" w:hAnsi="Arial" w:cs="Arial"/>
                <w:b/>
                <w:bCs/>
                <w:color w:val="000000" w:themeColor="text1"/>
                <w:sz w:val="17"/>
                <w:szCs w:val="17"/>
              </w:rPr>
              <w:t>eura</w:t>
            </w:r>
          </w:p>
        </w:tc>
        <w:tc>
          <w:tcPr>
            <w:tcW w:w="1049" w:type="dxa"/>
            <w:tcBorders>
              <w:top w:val="nil"/>
              <w:left w:val="nil"/>
              <w:bottom w:val="nil"/>
              <w:right w:val="nil"/>
            </w:tcBorders>
            <w:shd w:val="clear" w:color="auto" w:fill="auto"/>
            <w:noWrap/>
            <w:vAlign w:val="bottom"/>
            <w:hideMark/>
          </w:tcPr>
          <w:p w14:paraId="522BFCE0" w14:textId="09162C32"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 xml:space="preserve">000 </w:t>
            </w:r>
            <w:r w:rsidR="00A73031" w:rsidRPr="0045443F">
              <w:rPr>
                <w:rFonts w:ascii="Arial" w:eastAsia="Times New Roman" w:hAnsi="Arial" w:cs="Arial"/>
                <w:b/>
                <w:bCs/>
                <w:color w:val="000000" w:themeColor="text1"/>
                <w:sz w:val="17"/>
                <w:szCs w:val="17"/>
              </w:rPr>
              <w:t>eura</w:t>
            </w:r>
          </w:p>
        </w:tc>
        <w:tc>
          <w:tcPr>
            <w:tcW w:w="1049" w:type="dxa"/>
            <w:tcBorders>
              <w:top w:val="nil"/>
              <w:left w:val="nil"/>
              <w:bottom w:val="nil"/>
              <w:right w:val="nil"/>
            </w:tcBorders>
            <w:shd w:val="clear" w:color="auto" w:fill="auto"/>
            <w:noWrap/>
            <w:vAlign w:val="bottom"/>
            <w:hideMark/>
          </w:tcPr>
          <w:p w14:paraId="7C9109B8" w14:textId="4321DB38"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 xml:space="preserve">000 </w:t>
            </w:r>
            <w:r w:rsidR="00A73031" w:rsidRPr="0045443F">
              <w:rPr>
                <w:rFonts w:ascii="Arial" w:eastAsia="Times New Roman" w:hAnsi="Arial" w:cs="Arial"/>
                <w:b/>
                <w:bCs/>
                <w:color w:val="000000" w:themeColor="text1"/>
                <w:sz w:val="17"/>
                <w:szCs w:val="17"/>
              </w:rPr>
              <w:t>eura</w:t>
            </w:r>
          </w:p>
        </w:tc>
        <w:tc>
          <w:tcPr>
            <w:tcW w:w="1049" w:type="dxa"/>
            <w:tcBorders>
              <w:top w:val="nil"/>
              <w:left w:val="nil"/>
              <w:bottom w:val="nil"/>
              <w:right w:val="nil"/>
            </w:tcBorders>
            <w:shd w:val="clear" w:color="auto" w:fill="auto"/>
            <w:noWrap/>
            <w:vAlign w:val="bottom"/>
            <w:hideMark/>
          </w:tcPr>
          <w:p w14:paraId="632ECAB5" w14:textId="328E1262"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 xml:space="preserve">000 </w:t>
            </w:r>
            <w:r w:rsidR="00A73031" w:rsidRPr="0045443F">
              <w:rPr>
                <w:rFonts w:ascii="Arial" w:eastAsia="Times New Roman" w:hAnsi="Arial" w:cs="Arial"/>
                <w:b/>
                <w:bCs/>
                <w:color w:val="000000" w:themeColor="text1"/>
                <w:sz w:val="17"/>
                <w:szCs w:val="17"/>
              </w:rPr>
              <w:t>eura</w:t>
            </w:r>
          </w:p>
        </w:tc>
        <w:tc>
          <w:tcPr>
            <w:tcW w:w="1049" w:type="dxa"/>
            <w:tcBorders>
              <w:top w:val="nil"/>
              <w:left w:val="nil"/>
              <w:bottom w:val="nil"/>
              <w:right w:val="nil"/>
            </w:tcBorders>
            <w:shd w:val="clear" w:color="auto" w:fill="auto"/>
            <w:noWrap/>
            <w:vAlign w:val="bottom"/>
            <w:hideMark/>
          </w:tcPr>
          <w:p w14:paraId="15236D21" w14:textId="0E6A1ACB"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 xml:space="preserve">000 </w:t>
            </w:r>
            <w:r w:rsidR="00A73031" w:rsidRPr="0045443F">
              <w:rPr>
                <w:rFonts w:ascii="Arial" w:eastAsia="Times New Roman" w:hAnsi="Arial" w:cs="Arial"/>
                <w:b/>
                <w:bCs/>
                <w:color w:val="000000" w:themeColor="text1"/>
                <w:sz w:val="17"/>
                <w:szCs w:val="17"/>
              </w:rPr>
              <w:t>eura</w:t>
            </w:r>
          </w:p>
        </w:tc>
      </w:tr>
      <w:tr w:rsidR="00DE4AC9" w:rsidRPr="0045443F" w14:paraId="0D230DC1" w14:textId="77777777" w:rsidTr="0045443F">
        <w:trPr>
          <w:trHeight w:val="184"/>
        </w:trPr>
        <w:tc>
          <w:tcPr>
            <w:tcW w:w="1843" w:type="dxa"/>
            <w:tcBorders>
              <w:top w:val="nil"/>
              <w:left w:val="nil"/>
              <w:bottom w:val="nil"/>
              <w:right w:val="nil"/>
            </w:tcBorders>
            <w:shd w:val="clear" w:color="auto" w:fill="auto"/>
            <w:noWrap/>
            <w:vAlign w:val="bottom"/>
          </w:tcPr>
          <w:p w14:paraId="23FB79A3"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p>
        </w:tc>
        <w:tc>
          <w:tcPr>
            <w:tcW w:w="1049" w:type="dxa"/>
            <w:tcBorders>
              <w:top w:val="nil"/>
              <w:left w:val="nil"/>
              <w:bottom w:val="nil"/>
              <w:right w:val="nil"/>
            </w:tcBorders>
            <w:shd w:val="clear" w:color="auto" w:fill="auto"/>
            <w:noWrap/>
            <w:vAlign w:val="bottom"/>
          </w:tcPr>
          <w:p w14:paraId="01761505"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p>
        </w:tc>
        <w:tc>
          <w:tcPr>
            <w:tcW w:w="1049" w:type="dxa"/>
            <w:tcBorders>
              <w:top w:val="nil"/>
              <w:left w:val="nil"/>
              <w:bottom w:val="nil"/>
              <w:right w:val="nil"/>
            </w:tcBorders>
            <w:shd w:val="clear" w:color="auto" w:fill="auto"/>
            <w:noWrap/>
            <w:vAlign w:val="bottom"/>
          </w:tcPr>
          <w:p w14:paraId="2A111A23"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p>
        </w:tc>
        <w:tc>
          <w:tcPr>
            <w:tcW w:w="1049" w:type="dxa"/>
            <w:tcBorders>
              <w:top w:val="nil"/>
              <w:left w:val="nil"/>
              <w:bottom w:val="nil"/>
              <w:right w:val="nil"/>
            </w:tcBorders>
            <w:shd w:val="clear" w:color="auto" w:fill="auto"/>
            <w:noWrap/>
            <w:vAlign w:val="bottom"/>
          </w:tcPr>
          <w:p w14:paraId="6D2488D4"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p>
        </w:tc>
        <w:tc>
          <w:tcPr>
            <w:tcW w:w="1049" w:type="dxa"/>
            <w:tcBorders>
              <w:top w:val="nil"/>
              <w:left w:val="nil"/>
              <w:bottom w:val="nil"/>
              <w:right w:val="nil"/>
            </w:tcBorders>
            <w:shd w:val="clear" w:color="auto" w:fill="auto"/>
            <w:noWrap/>
            <w:vAlign w:val="bottom"/>
          </w:tcPr>
          <w:p w14:paraId="2DA229BC"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p>
        </w:tc>
        <w:tc>
          <w:tcPr>
            <w:tcW w:w="1049" w:type="dxa"/>
            <w:tcBorders>
              <w:top w:val="nil"/>
              <w:left w:val="nil"/>
              <w:bottom w:val="nil"/>
              <w:right w:val="nil"/>
            </w:tcBorders>
            <w:shd w:val="clear" w:color="auto" w:fill="auto"/>
            <w:noWrap/>
            <w:vAlign w:val="bottom"/>
          </w:tcPr>
          <w:p w14:paraId="4127E524"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p>
        </w:tc>
        <w:tc>
          <w:tcPr>
            <w:tcW w:w="1049" w:type="dxa"/>
            <w:tcBorders>
              <w:top w:val="nil"/>
              <w:left w:val="nil"/>
              <w:bottom w:val="nil"/>
              <w:right w:val="nil"/>
            </w:tcBorders>
            <w:shd w:val="clear" w:color="auto" w:fill="auto"/>
            <w:noWrap/>
            <w:vAlign w:val="bottom"/>
          </w:tcPr>
          <w:p w14:paraId="328E79BC"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p>
        </w:tc>
        <w:tc>
          <w:tcPr>
            <w:tcW w:w="1049" w:type="dxa"/>
            <w:tcBorders>
              <w:top w:val="nil"/>
              <w:left w:val="nil"/>
              <w:bottom w:val="nil"/>
              <w:right w:val="nil"/>
            </w:tcBorders>
            <w:shd w:val="clear" w:color="auto" w:fill="auto"/>
            <w:noWrap/>
            <w:vAlign w:val="bottom"/>
          </w:tcPr>
          <w:p w14:paraId="1EE0EB1B"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p>
        </w:tc>
        <w:tc>
          <w:tcPr>
            <w:tcW w:w="1049" w:type="dxa"/>
            <w:tcBorders>
              <w:top w:val="nil"/>
              <w:left w:val="nil"/>
              <w:bottom w:val="nil"/>
              <w:right w:val="nil"/>
            </w:tcBorders>
            <w:shd w:val="clear" w:color="auto" w:fill="auto"/>
            <w:noWrap/>
            <w:vAlign w:val="bottom"/>
          </w:tcPr>
          <w:p w14:paraId="35A81B10"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p>
        </w:tc>
      </w:tr>
      <w:tr w:rsidR="00855D98" w:rsidRPr="0045443F" w14:paraId="51EE54FF" w14:textId="77777777" w:rsidTr="00855D98">
        <w:trPr>
          <w:trHeight w:val="319"/>
        </w:trPr>
        <w:tc>
          <w:tcPr>
            <w:tcW w:w="1843" w:type="dxa"/>
            <w:tcBorders>
              <w:top w:val="nil"/>
              <w:left w:val="nil"/>
              <w:bottom w:val="nil"/>
              <w:right w:val="nil"/>
            </w:tcBorders>
            <w:shd w:val="clear" w:color="auto" w:fill="auto"/>
            <w:noWrap/>
            <w:vAlign w:val="bottom"/>
            <w:hideMark/>
          </w:tcPr>
          <w:p w14:paraId="14D36FE5" w14:textId="77777777" w:rsidR="00855D98" w:rsidRPr="0045443F" w:rsidRDefault="00855D98" w:rsidP="00855D98">
            <w:pPr>
              <w:suppressAutoHyphens/>
              <w:autoSpaceDN w:val="0"/>
              <w:rPr>
                <w:rFonts w:ascii="Arial" w:eastAsia="Times New Roman" w:hAnsi="Arial" w:cs="Arial"/>
                <w:color w:val="000000" w:themeColor="text1"/>
                <w:sz w:val="17"/>
                <w:szCs w:val="17"/>
              </w:rPr>
            </w:pPr>
            <w:r w:rsidRPr="0045443F">
              <w:rPr>
                <w:rFonts w:ascii="Arial" w:eastAsia="Times New Roman" w:hAnsi="Arial" w:cs="Arial"/>
                <w:color w:val="000000" w:themeColor="text1"/>
                <w:sz w:val="17"/>
                <w:szCs w:val="17"/>
              </w:rPr>
              <w:t>Bruto iznos</w:t>
            </w:r>
          </w:p>
        </w:tc>
        <w:tc>
          <w:tcPr>
            <w:tcW w:w="1049" w:type="dxa"/>
            <w:tcBorders>
              <w:top w:val="nil"/>
              <w:left w:val="nil"/>
              <w:bottom w:val="nil"/>
              <w:right w:val="nil"/>
            </w:tcBorders>
            <w:shd w:val="clear" w:color="auto" w:fill="auto"/>
            <w:noWrap/>
            <w:vAlign w:val="bottom"/>
          </w:tcPr>
          <w:p w14:paraId="0E78624F" w14:textId="053E7C87" w:rsidR="00855D98" w:rsidRPr="00855D98" w:rsidRDefault="00855D98" w:rsidP="00855D98">
            <w:pPr>
              <w:suppressAutoHyphens/>
              <w:autoSpaceDN w:val="0"/>
              <w:jc w:val="right"/>
              <w:rPr>
                <w:rFonts w:ascii="Arial" w:eastAsia="Times New Roman" w:hAnsi="Arial" w:cs="Arial"/>
                <w:color w:val="000000" w:themeColor="text1"/>
                <w:sz w:val="17"/>
                <w:szCs w:val="17"/>
              </w:rPr>
            </w:pPr>
            <w:r w:rsidRPr="00855D98">
              <w:rPr>
                <w:rFonts w:ascii="Arial" w:hAnsi="Arial" w:cs="Arial"/>
                <w:sz w:val="17"/>
                <w:szCs w:val="17"/>
              </w:rPr>
              <w:t xml:space="preserve"> 34.390 </w:t>
            </w:r>
          </w:p>
        </w:tc>
        <w:tc>
          <w:tcPr>
            <w:tcW w:w="1049" w:type="dxa"/>
            <w:tcBorders>
              <w:top w:val="nil"/>
              <w:left w:val="nil"/>
              <w:bottom w:val="nil"/>
              <w:right w:val="nil"/>
            </w:tcBorders>
            <w:shd w:val="clear" w:color="auto" w:fill="auto"/>
            <w:noWrap/>
            <w:vAlign w:val="bottom"/>
          </w:tcPr>
          <w:p w14:paraId="3B603A6E" w14:textId="01087B13" w:rsidR="00855D98" w:rsidRPr="00855D98" w:rsidRDefault="00855D98" w:rsidP="00855D98">
            <w:pPr>
              <w:suppressAutoHyphens/>
              <w:autoSpaceDN w:val="0"/>
              <w:jc w:val="right"/>
              <w:rPr>
                <w:rFonts w:ascii="Arial" w:eastAsia="Times New Roman" w:hAnsi="Arial" w:cs="Arial"/>
                <w:color w:val="000000" w:themeColor="text1"/>
                <w:sz w:val="17"/>
                <w:szCs w:val="17"/>
              </w:rPr>
            </w:pPr>
            <w:r w:rsidRPr="00855D98">
              <w:rPr>
                <w:rFonts w:ascii="Arial" w:hAnsi="Arial" w:cs="Arial"/>
                <w:sz w:val="17"/>
                <w:szCs w:val="17"/>
              </w:rPr>
              <w:t>-</w:t>
            </w:r>
          </w:p>
        </w:tc>
        <w:tc>
          <w:tcPr>
            <w:tcW w:w="1049" w:type="dxa"/>
            <w:tcBorders>
              <w:top w:val="nil"/>
              <w:left w:val="nil"/>
              <w:bottom w:val="nil"/>
              <w:right w:val="nil"/>
            </w:tcBorders>
            <w:shd w:val="clear" w:color="auto" w:fill="auto"/>
            <w:noWrap/>
            <w:vAlign w:val="bottom"/>
          </w:tcPr>
          <w:p w14:paraId="75AE5D9B" w14:textId="3D6631A3" w:rsidR="00855D98" w:rsidRPr="00855D98" w:rsidRDefault="00855D98" w:rsidP="00855D98">
            <w:pPr>
              <w:suppressAutoHyphens/>
              <w:autoSpaceDN w:val="0"/>
              <w:jc w:val="right"/>
              <w:rPr>
                <w:rFonts w:ascii="Arial" w:eastAsia="Times New Roman" w:hAnsi="Arial" w:cs="Arial"/>
                <w:color w:val="000000" w:themeColor="text1"/>
                <w:sz w:val="17"/>
                <w:szCs w:val="17"/>
              </w:rPr>
            </w:pPr>
            <w:r w:rsidRPr="00855D98">
              <w:rPr>
                <w:rFonts w:ascii="Arial" w:hAnsi="Arial" w:cs="Arial"/>
                <w:sz w:val="17"/>
                <w:szCs w:val="17"/>
              </w:rPr>
              <w:t>-</w:t>
            </w:r>
          </w:p>
        </w:tc>
        <w:tc>
          <w:tcPr>
            <w:tcW w:w="1049" w:type="dxa"/>
            <w:tcBorders>
              <w:top w:val="nil"/>
              <w:left w:val="nil"/>
              <w:bottom w:val="nil"/>
              <w:right w:val="nil"/>
            </w:tcBorders>
            <w:shd w:val="clear" w:color="auto" w:fill="auto"/>
            <w:noWrap/>
            <w:vAlign w:val="bottom"/>
          </w:tcPr>
          <w:p w14:paraId="3D4A06BC" w14:textId="6B6325C6" w:rsidR="00855D98" w:rsidRPr="00855D98" w:rsidRDefault="00855D98" w:rsidP="00855D98">
            <w:pPr>
              <w:suppressAutoHyphens/>
              <w:autoSpaceDN w:val="0"/>
              <w:jc w:val="right"/>
              <w:rPr>
                <w:rFonts w:ascii="Arial" w:eastAsia="Times New Roman" w:hAnsi="Arial" w:cs="Arial"/>
                <w:b/>
                <w:bCs/>
                <w:color w:val="000000" w:themeColor="text1"/>
                <w:sz w:val="17"/>
                <w:szCs w:val="17"/>
              </w:rPr>
            </w:pPr>
            <w:r w:rsidRPr="00855D98">
              <w:rPr>
                <w:rFonts w:ascii="Arial" w:hAnsi="Arial" w:cs="Arial"/>
                <w:b/>
                <w:bCs/>
                <w:sz w:val="17"/>
                <w:szCs w:val="17"/>
              </w:rPr>
              <w:t xml:space="preserve"> 34.390 </w:t>
            </w:r>
          </w:p>
        </w:tc>
        <w:tc>
          <w:tcPr>
            <w:tcW w:w="1049" w:type="dxa"/>
            <w:tcBorders>
              <w:top w:val="nil"/>
              <w:left w:val="nil"/>
              <w:bottom w:val="nil"/>
              <w:right w:val="nil"/>
            </w:tcBorders>
            <w:shd w:val="clear" w:color="auto" w:fill="auto"/>
            <w:noWrap/>
            <w:vAlign w:val="bottom"/>
          </w:tcPr>
          <w:p w14:paraId="5BF124D9" w14:textId="1CA8C344" w:rsidR="00855D98" w:rsidRPr="00855D98" w:rsidRDefault="00855D98" w:rsidP="00855D98">
            <w:pPr>
              <w:suppressAutoHyphens/>
              <w:autoSpaceDN w:val="0"/>
              <w:jc w:val="right"/>
              <w:rPr>
                <w:rFonts w:ascii="Arial" w:eastAsia="Times New Roman" w:hAnsi="Arial" w:cs="Arial"/>
                <w:color w:val="000000" w:themeColor="text1"/>
                <w:sz w:val="17"/>
                <w:szCs w:val="17"/>
              </w:rPr>
            </w:pPr>
            <w:r w:rsidRPr="00855D98">
              <w:rPr>
                <w:rFonts w:ascii="Arial" w:hAnsi="Arial" w:cs="Arial"/>
                <w:sz w:val="17"/>
                <w:szCs w:val="17"/>
              </w:rPr>
              <w:t xml:space="preserve"> 34.226 </w:t>
            </w:r>
          </w:p>
        </w:tc>
        <w:tc>
          <w:tcPr>
            <w:tcW w:w="1049" w:type="dxa"/>
            <w:tcBorders>
              <w:top w:val="nil"/>
              <w:left w:val="nil"/>
              <w:bottom w:val="nil"/>
              <w:right w:val="nil"/>
            </w:tcBorders>
            <w:shd w:val="clear" w:color="auto" w:fill="auto"/>
            <w:noWrap/>
            <w:vAlign w:val="bottom"/>
          </w:tcPr>
          <w:p w14:paraId="4D1F8EC5" w14:textId="3DF7D579" w:rsidR="00855D98" w:rsidRPr="00855D98" w:rsidRDefault="00855D98" w:rsidP="00855D98">
            <w:pPr>
              <w:suppressAutoHyphens/>
              <w:autoSpaceDN w:val="0"/>
              <w:jc w:val="right"/>
              <w:rPr>
                <w:rFonts w:ascii="Arial" w:eastAsia="Times New Roman" w:hAnsi="Arial" w:cs="Arial"/>
                <w:color w:val="000000" w:themeColor="text1"/>
                <w:sz w:val="17"/>
                <w:szCs w:val="17"/>
              </w:rPr>
            </w:pPr>
            <w:r w:rsidRPr="00855D98">
              <w:rPr>
                <w:rFonts w:ascii="Arial" w:hAnsi="Arial" w:cs="Arial"/>
                <w:sz w:val="17"/>
                <w:szCs w:val="17"/>
              </w:rPr>
              <w:t xml:space="preserve"> - </w:t>
            </w:r>
          </w:p>
        </w:tc>
        <w:tc>
          <w:tcPr>
            <w:tcW w:w="1049" w:type="dxa"/>
            <w:tcBorders>
              <w:top w:val="nil"/>
              <w:left w:val="nil"/>
              <w:bottom w:val="nil"/>
              <w:right w:val="nil"/>
            </w:tcBorders>
            <w:shd w:val="clear" w:color="auto" w:fill="auto"/>
            <w:noWrap/>
            <w:vAlign w:val="bottom"/>
          </w:tcPr>
          <w:p w14:paraId="4EB4F1A9" w14:textId="67C55587" w:rsidR="00855D98" w:rsidRPr="00855D98" w:rsidRDefault="00855D98" w:rsidP="00855D98">
            <w:pPr>
              <w:suppressAutoHyphens/>
              <w:autoSpaceDN w:val="0"/>
              <w:jc w:val="right"/>
              <w:rPr>
                <w:rFonts w:ascii="Arial" w:eastAsia="Times New Roman" w:hAnsi="Arial" w:cs="Arial"/>
                <w:color w:val="000000" w:themeColor="text1"/>
                <w:sz w:val="17"/>
                <w:szCs w:val="17"/>
              </w:rPr>
            </w:pPr>
            <w:r w:rsidRPr="00855D98">
              <w:rPr>
                <w:rFonts w:ascii="Arial" w:hAnsi="Arial" w:cs="Arial"/>
                <w:sz w:val="17"/>
                <w:szCs w:val="17"/>
              </w:rPr>
              <w:t xml:space="preserve"> - </w:t>
            </w:r>
          </w:p>
        </w:tc>
        <w:tc>
          <w:tcPr>
            <w:tcW w:w="1049" w:type="dxa"/>
            <w:tcBorders>
              <w:top w:val="nil"/>
              <w:left w:val="nil"/>
              <w:bottom w:val="nil"/>
              <w:right w:val="nil"/>
            </w:tcBorders>
            <w:shd w:val="clear" w:color="auto" w:fill="auto"/>
            <w:noWrap/>
            <w:vAlign w:val="bottom"/>
          </w:tcPr>
          <w:p w14:paraId="0EA7AEEC" w14:textId="446A7E61" w:rsidR="00855D98" w:rsidRPr="00855D98" w:rsidRDefault="00855D98" w:rsidP="00855D98">
            <w:pPr>
              <w:suppressAutoHyphens/>
              <w:autoSpaceDN w:val="0"/>
              <w:jc w:val="right"/>
              <w:rPr>
                <w:rFonts w:ascii="Arial" w:eastAsia="Times New Roman" w:hAnsi="Arial" w:cs="Arial"/>
                <w:b/>
                <w:bCs/>
                <w:color w:val="000000" w:themeColor="text1"/>
                <w:sz w:val="17"/>
                <w:szCs w:val="17"/>
              </w:rPr>
            </w:pPr>
            <w:r w:rsidRPr="00855D98">
              <w:rPr>
                <w:rFonts w:ascii="Arial" w:hAnsi="Arial" w:cs="Arial"/>
                <w:b/>
                <w:bCs/>
                <w:sz w:val="17"/>
                <w:szCs w:val="17"/>
              </w:rPr>
              <w:t xml:space="preserve"> 34.226 </w:t>
            </w:r>
          </w:p>
        </w:tc>
      </w:tr>
      <w:tr w:rsidR="00855D98" w:rsidRPr="0045443F" w14:paraId="33EEBB1E" w14:textId="77777777" w:rsidTr="00855D98">
        <w:trPr>
          <w:trHeight w:val="324"/>
        </w:trPr>
        <w:tc>
          <w:tcPr>
            <w:tcW w:w="1843" w:type="dxa"/>
            <w:tcBorders>
              <w:top w:val="nil"/>
              <w:left w:val="nil"/>
              <w:bottom w:val="nil"/>
              <w:right w:val="nil"/>
            </w:tcBorders>
            <w:shd w:val="clear" w:color="auto" w:fill="auto"/>
            <w:noWrap/>
            <w:vAlign w:val="bottom"/>
            <w:hideMark/>
          </w:tcPr>
          <w:p w14:paraId="3F3F9C7E" w14:textId="77777777" w:rsidR="00855D98" w:rsidRPr="0045443F" w:rsidRDefault="00855D98" w:rsidP="00855D98">
            <w:pPr>
              <w:suppressAutoHyphens/>
              <w:autoSpaceDN w:val="0"/>
              <w:rPr>
                <w:rFonts w:ascii="Arial" w:eastAsia="Times New Roman" w:hAnsi="Arial" w:cs="Arial"/>
                <w:color w:val="000000" w:themeColor="text1"/>
                <w:sz w:val="17"/>
                <w:szCs w:val="17"/>
              </w:rPr>
            </w:pPr>
            <w:r w:rsidRPr="0045443F">
              <w:rPr>
                <w:rFonts w:ascii="Arial" w:eastAsia="Times New Roman" w:hAnsi="Arial" w:cs="Arial"/>
                <w:color w:val="000000" w:themeColor="text1"/>
                <w:sz w:val="17"/>
                <w:szCs w:val="17"/>
              </w:rPr>
              <w:t>Rezerviranja</w:t>
            </w:r>
          </w:p>
        </w:tc>
        <w:tc>
          <w:tcPr>
            <w:tcW w:w="1049" w:type="dxa"/>
            <w:tcBorders>
              <w:top w:val="nil"/>
              <w:left w:val="nil"/>
              <w:bottom w:val="single" w:sz="4" w:space="0" w:color="auto"/>
              <w:right w:val="nil"/>
            </w:tcBorders>
            <w:shd w:val="clear" w:color="auto" w:fill="auto"/>
            <w:noWrap/>
            <w:vAlign w:val="bottom"/>
          </w:tcPr>
          <w:p w14:paraId="06637028" w14:textId="493BF1E7" w:rsidR="00855D98" w:rsidRPr="00855D98" w:rsidRDefault="00855D98" w:rsidP="00855D98">
            <w:pPr>
              <w:suppressAutoHyphens/>
              <w:autoSpaceDN w:val="0"/>
              <w:jc w:val="right"/>
              <w:rPr>
                <w:rFonts w:ascii="Arial" w:eastAsia="Times New Roman" w:hAnsi="Arial" w:cs="Arial"/>
                <w:color w:val="000000" w:themeColor="text1"/>
                <w:sz w:val="17"/>
                <w:szCs w:val="17"/>
              </w:rPr>
            </w:pPr>
            <w:r w:rsidRPr="00855D98">
              <w:rPr>
                <w:rFonts w:ascii="Arial" w:hAnsi="Arial" w:cs="Arial"/>
                <w:sz w:val="17"/>
                <w:szCs w:val="17"/>
              </w:rPr>
              <w:t xml:space="preserve"> (140)</w:t>
            </w:r>
          </w:p>
        </w:tc>
        <w:tc>
          <w:tcPr>
            <w:tcW w:w="1049" w:type="dxa"/>
            <w:tcBorders>
              <w:top w:val="nil"/>
              <w:left w:val="nil"/>
              <w:bottom w:val="single" w:sz="4" w:space="0" w:color="auto"/>
              <w:right w:val="nil"/>
            </w:tcBorders>
            <w:shd w:val="clear" w:color="auto" w:fill="auto"/>
            <w:noWrap/>
            <w:vAlign w:val="bottom"/>
          </w:tcPr>
          <w:p w14:paraId="2FD274F7" w14:textId="148B1ABA" w:rsidR="00855D98" w:rsidRPr="00855D98" w:rsidRDefault="00855D98" w:rsidP="00855D98">
            <w:pPr>
              <w:suppressAutoHyphens/>
              <w:autoSpaceDN w:val="0"/>
              <w:jc w:val="right"/>
              <w:rPr>
                <w:rFonts w:ascii="Arial" w:eastAsia="Times New Roman" w:hAnsi="Arial" w:cs="Arial"/>
                <w:color w:val="000000" w:themeColor="text1"/>
                <w:sz w:val="17"/>
                <w:szCs w:val="17"/>
              </w:rPr>
            </w:pPr>
            <w:r w:rsidRPr="00855D98">
              <w:rPr>
                <w:rFonts w:ascii="Arial" w:hAnsi="Arial" w:cs="Arial"/>
                <w:sz w:val="17"/>
                <w:szCs w:val="17"/>
              </w:rPr>
              <w:t>-</w:t>
            </w:r>
          </w:p>
        </w:tc>
        <w:tc>
          <w:tcPr>
            <w:tcW w:w="1049" w:type="dxa"/>
            <w:tcBorders>
              <w:top w:val="nil"/>
              <w:left w:val="nil"/>
              <w:bottom w:val="single" w:sz="4" w:space="0" w:color="auto"/>
              <w:right w:val="nil"/>
            </w:tcBorders>
            <w:shd w:val="clear" w:color="auto" w:fill="auto"/>
            <w:noWrap/>
            <w:vAlign w:val="bottom"/>
          </w:tcPr>
          <w:p w14:paraId="37DDF7AE" w14:textId="378D0EB6" w:rsidR="00855D98" w:rsidRPr="00855D98" w:rsidRDefault="00855D98" w:rsidP="00855D98">
            <w:pPr>
              <w:suppressAutoHyphens/>
              <w:autoSpaceDN w:val="0"/>
              <w:jc w:val="right"/>
              <w:rPr>
                <w:rFonts w:ascii="Arial" w:eastAsia="Times New Roman" w:hAnsi="Arial" w:cs="Arial"/>
                <w:color w:val="000000" w:themeColor="text1"/>
                <w:sz w:val="17"/>
                <w:szCs w:val="17"/>
              </w:rPr>
            </w:pPr>
            <w:r w:rsidRPr="00855D98">
              <w:rPr>
                <w:rFonts w:ascii="Arial" w:hAnsi="Arial" w:cs="Arial"/>
                <w:sz w:val="17"/>
                <w:szCs w:val="17"/>
              </w:rPr>
              <w:t>-</w:t>
            </w:r>
          </w:p>
        </w:tc>
        <w:tc>
          <w:tcPr>
            <w:tcW w:w="1049" w:type="dxa"/>
            <w:tcBorders>
              <w:top w:val="nil"/>
              <w:left w:val="nil"/>
              <w:bottom w:val="single" w:sz="4" w:space="0" w:color="auto"/>
              <w:right w:val="nil"/>
            </w:tcBorders>
            <w:shd w:val="clear" w:color="auto" w:fill="auto"/>
            <w:noWrap/>
            <w:vAlign w:val="bottom"/>
          </w:tcPr>
          <w:p w14:paraId="5973A0C8" w14:textId="55AD0767" w:rsidR="00855D98" w:rsidRPr="00855D98" w:rsidRDefault="00855D98" w:rsidP="00855D98">
            <w:pPr>
              <w:suppressAutoHyphens/>
              <w:autoSpaceDN w:val="0"/>
              <w:jc w:val="right"/>
              <w:rPr>
                <w:rFonts w:ascii="Arial" w:eastAsia="Times New Roman" w:hAnsi="Arial" w:cs="Arial"/>
                <w:b/>
                <w:bCs/>
                <w:color w:val="000000" w:themeColor="text1"/>
                <w:sz w:val="17"/>
                <w:szCs w:val="17"/>
              </w:rPr>
            </w:pPr>
            <w:r w:rsidRPr="00855D98">
              <w:rPr>
                <w:rFonts w:ascii="Arial" w:hAnsi="Arial" w:cs="Arial"/>
                <w:b/>
                <w:bCs/>
                <w:sz w:val="17"/>
                <w:szCs w:val="17"/>
              </w:rPr>
              <w:t xml:space="preserve"> (140)</w:t>
            </w:r>
          </w:p>
        </w:tc>
        <w:tc>
          <w:tcPr>
            <w:tcW w:w="1049" w:type="dxa"/>
            <w:tcBorders>
              <w:top w:val="nil"/>
              <w:left w:val="nil"/>
              <w:bottom w:val="single" w:sz="4" w:space="0" w:color="auto"/>
              <w:right w:val="nil"/>
            </w:tcBorders>
            <w:shd w:val="clear" w:color="auto" w:fill="auto"/>
            <w:noWrap/>
            <w:vAlign w:val="bottom"/>
          </w:tcPr>
          <w:p w14:paraId="43EBF8F0" w14:textId="1157BD5B" w:rsidR="00855D98" w:rsidRPr="00855D98" w:rsidRDefault="00855D98" w:rsidP="00855D98">
            <w:pPr>
              <w:suppressAutoHyphens/>
              <w:autoSpaceDN w:val="0"/>
              <w:jc w:val="right"/>
              <w:rPr>
                <w:rFonts w:ascii="Arial" w:eastAsia="Times New Roman" w:hAnsi="Arial" w:cs="Arial"/>
                <w:color w:val="000000" w:themeColor="text1"/>
                <w:sz w:val="17"/>
                <w:szCs w:val="17"/>
              </w:rPr>
            </w:pPr>
            <w:r w:rsidRPr="00855D98">
              <w:rPr>
                <w:rFonts w:ascii="Arial" w:hAnsi="Arial" w:cs="Arial"/>
                <w:sz w:val="17"/>
                <w:szCs w:val="17"/>
              </w:rPr>
              <w:t xml:space="preserve"> (139)</w:t>
            </w:r>
          </w:p>
        </w:tc>
        <w:tc>
          <w:tcPr>
            <w:tcW w:w="1049" w:type="dxa"/>
            <w:tcBorders>
              <w:top w:val="nil"/>
              <w:left w:val="nil"/>
              <w:bottom w:val="single" w:sz="4" w:space="0" w:color="auto"/>
              <w:right w:val="nil"/>
            </w:tcBorders>
            <w:shd w:val="clear" w:color="auto" w:fill="auto"/>
            <w:noWrap/>
            <w:vAlign w:val="bottom"/>
          </w:tcPr>
          <w:p w14:paraId="4EB9F8B0" w14:textId="186EFC54" w:rsidR="00855D98" w:rsidRPr="00855D98" w:rsidRDefault="00855D98" w:rsidP="00855D98">
            <w:pPr>
              <w:suppressAutoHyphens/>
              <w:autoSpaceDN w:val="0"/>
              <w:jc w:val="right"/>
              <w:rPr>
                <w:rFonts w:ascii="Arial" w:eastAsia="Times New Roman" w:hAnsi="Arial" w:cs="Arial"/>
                <w:color w:val="000000" w:themeColor="text1"/>
                <w:sz w:val="17"/>
                <w:szCs w:val="17"/>
              </w:rPr>
            </w:pPr>
            <w:r w:rsidRPr="00855D98">
              <w:rPr>
                <w:rFonts w:ascii="Arial" w:hAnsi="Arial" w:cs="Arial"/>
                <w:sz w:val="17"/>
                <w:szCs w:val="17"/>
              </w:rPr>
              <w:t xml:space="preserve"> - </w:t>
            </w:r>
          </w:p>
        </w:tc>
        <w:tc>
          <w:tcPr>
            <w:tcW w:w="1049" w:type="dxa"/>
            <w:tcBorders>
              <w:top w:val="nil"/>
              <w:left w:val="nil"/>
              <w:bottom w:val="single" w:sz="4" w:space="0" w:color="auto"/>
              <w:right w:val="nil"/>
            </w:tcBorders>
            <w:shd w:val="clear" w:color="auto" w:fill="auto"/>
            <w:noWrap/>
            <w:vAlign w:val="bottom"/>
          </w:tcPr>
          <w:p w14:paraId="4F86482F" w14:textId="74D2E5A6" w:rsidR="00855D98" w:rsidRPr="00855D98" w:rsidRDefault="00855D98" w:rsidP="00855D98">
            <w:pPr>
              <w:suppressAutoHyphens/>
              <w:autoSpaceDN w:val="0"/>
              <w:jc w:val="right"/>
              <w:rPr>
                <w:rFonts w:ascii="Arial" w:eastAsia="Times New Roman" w:hAnsi="Arial" w:cs="Arial"/>
                <w:color w:val="000000" w:themeColor="text1"/>
                <w:sz w:val="17"/>
                <w:szCs w:val="17"/>
              </w:rPr>
            </w:pPr>
            <w:r w:rsidRPr="00855D98">
              <w:rPr>
                <w:rFonts w:ascii="Arial" w:hAnsi="Arial" w:cs="Arial"/>
                <w:sz w:val="17"/>
                <w:szCs w:val="17"/>
              </w:rPr>
              <w:t xml:space="preserve"> - </w:t>
            </w:r>
          </w:p>
        </w:tc>
        <w:tc>
          <w:tcPr>
            <w:tcW w:w="1049" w:type="dxa"/>
            <w:tcBorders>
              <w:top w:val="nil"/>
              <w:left w:val="nil"/>
              <w:bottom w:val="single" w:sz="4" w:space="0" w:color="auto"/>
              <w:right w:val="nil"/>
            </w:tcBorders>
            <w:shd w:val="clear" w:color="auto" w:fill="auto"/>
            <w:noWrap/>
            <w:vAlign w:val="bottom"/>
          </w:tcPr>
          <w:p w14:paraId="6D8C2184" w14:textId="447F239C" w:rsidR="00855D98" w:rsidRPr="00855D98" w:rsidRDefault="00855D98" w:rsidP="00855D98">
            <w:pPr>
              <w:suppressAutoHyphens/>
              <w:autoSpaceDN w:val="0"/>
              <w:jc w:val="right"/>
              <w:rPr>
                <w:rFonts w:ascii="Arial" w:eastAsia="Times New Roman" w:hAnsi="Arial" w:cs="Arial"/>
                <w:b/>
                <w:bCs/>
                <w:color w:val="000000" w:themeColor="text1"/>
                <w:sz w:val="17"/>
                <w:szCs w:val="17"/>
              </w:rPr>
            </w:pPr>
            <w:r w:rsidRPr="00855D98">
              <w:rPr>
                <w:rFonts w:ascii="Arial" w:hAnsi="Arial" w:cs="Arial"/>
                <w:b/>
                <w:bCs/>
                <w:sz w:val="17"/>
                <w:szCs w:val="17"/>
              </w:rPr>
              <w:t xml:space="preserve"> (139)</w:t>
            </w:r>
          </w:p>
        </w:tc>
      </w:tr>
      <w:tr w:rsidR="00855D98" w:rsidRPr="0045443F" w14:paraId="547F9E79" w14:textId="77777777" w:rsidTr="00855D98">
        <w:trPr>
          <w:trHeight w:val="548"/>
        </w:trPr>
        <w:tc>
          <w:tcPr>
            <w:tcW w:w="1843" w:type="dxa"/>
            <w:tcBorders>
              <w:top w:val="nil"/>
              <w:left w:val="nil"/>
              <w:bottom w:val="nil"/>
              <w:right w:val="nil"/>
            </w:tcBorders>
            <w:shd w:val="clear" w:color="auto" w:fill="auto"/>
            <w:noWrap/>
            <w:vAlign w:val="bottom"/>
            <w:hideMark/>
          </w:tcPr>
          <w:p w14:paraId="688D329B" w14:textId="77777777" w:rsidR="00855D98" w:rsidRPr="0045443F" w:rsidRDefault="00855D98" w:rsidP="00855D98">
            <w:pPr>
              <w:suppressAutoHyphens/>
              <w:autoSpaceDN w:val="0"/>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 xml:space="preserve">Stanje na dan </w:t>
            </w:r>
          </w:p>
          <w:p w14:paraId="0BDB53CE" w14:textId="50C3CA24" w:rsidR="00855D98" w:rsidRPr="0045443F" w:rsidRDefault="00855D98" w:rsidP="00855D98">
            <w:pPr>
              <w:suppressAutoHyphens/>
              <w:autoSpaceDN w:val="0"/>
              <w:rPr>
                <w:rFonts w:ascii="Arial" w:eastAsia="Times New Roman" w:hAnsi="Arial" w:cs="Arial"/>
                <w:b/>
                <w:bCs/>
                <w:color w:val="000000" w:themeColor="text1"/>
                <w:sz w:val="17"/>
                <w:szCs w:val="17"/>
              </w:rPr>
            </w:pPr>
            <w:r w:rsidRPr="002F4581">
              <w:rPr>
                <w:rFonts w:ascii="Arial" w:eastAsia="Times New Roman" w:hAnsi="Arial" w:cs="Arial"/>
                <w:b/>
                <w:bCs/>
                <w:color w:val="000000" w:themeColor="text1"/>
                <w:sz w:val="17"/>
                <w:szCs w:val="17"/>
              </w:rPr>
              <w:t>30. rujna 202</w:t>
            </w:r>
            <w:r>
              <w:rPr>
                <w:rFonts w:ascii="Arial" w:eastAsia="Times New Roman" w:hAnsi="Arial" w:cs="Arial"/>
                <w:b/>
                <w:bCs/>
                <w:color w:val="000000" w:themeColor="text1"/>
                <w:sz w:val="17"/>
                <w:szCs w:val="17"/>
              </w:rPr>
              <w:t>4</w:t>
            </w:r>
            <w:r w:rsidRPr="002F4581">
              <w:rPr>
                <w:rFonts w:ascii="Arial" w:eastAsia="Times New Roman" w:hAnsi="Arial" w:cs="Arial"/>
                <w:b/>
                <w:bCs/>
                <w:color w:val="000000" w:themeColor="text1"/>
                <w:sz w:val="17"/>
                <w:szCs w:val="17"/>
              </w:rPr>
              <w:t>.</w:t>
            </w:r>
          </w:p>
        </w:tc>
        <w:tc>
          <w:tcPr>
            <w:tcW w:w="1049" w:type="dxa"/>
            <w:tcBorders>
              <w:top w:val="single" w:sz="4" w:space="0" w:color="auto"/>
              <w:left w:val="nil"/>
              <w:bottom w:val="single" w:sz="12" w:space="0" w:color="auto"/>
              <w:right w:val="nil"/>
            </w:tcBorders>
            <w:shd w:val="clear" w:color="auto" w:fill="auto"/>
            <w:noWrap/>
            <w:vAlign w:val="bottom"/>
          </w:tcPr>
          <w:p w14:paraId="782AC419" w14:textId="1BBC00DD" w:rsidR="00855D98" w:rsidRPr="00855D98" w:rsidRDefault="00855D98" w:rsidP="00855D98">
            <w:pPr>
              <w:jc w:val="right"/>
              <w:rPr>
                <w:rFonts w:ascii="Arial" w:eastAsia="Times New Roman" w:hAnsi="Arial" w:cs="Arial"/>
                <w:b/>
                <w:bCs/>
                <w:color w:val="000000" w:themeColor="text1"/>
                <w:sz w:val="17"/>
                <w:szCs w:val="17"/>
              </w:rPr>
            </w:pPr>
            <w:r w:rsidRPr="00855D98">
              <w:rPr>
                <w:rFonts w:ascii="Arial" w:hAnsi="Arial" w:cs="Arial"/>
                <w:b/>
                <w:bCs/>
                <w:sz w:val="17"/>
                <w:szCs w:val="17"/>
              </w:rPr>
              <w:t xml:space="preserve"> 34.250 </w:t>
            </w:r>
          </w:p>
        </w:tc>
        <w:tc>
          <w:tcPr>
            <w:tcW w:w="1049" w:type="dxa"/>
            <w:tcBorders>
              <w:top w:val="single" w:sz="4" w:space="0" w:color="auto"/>
              <w:left w:val="nil"/>
              <w:bottom w:val="single" w:sz="12" w:space="0" w:color="auto"/>
              <w:right w:val="nil"/>
            </w:tcBorders>
            <w:shd w:val="clear" w:color="auto" w:fill="auto"/>
            <w:noWrap/>
            <w:vAlign w:val="bottom"/>
          </w:tcPr>
          <w:p w14:paraId="1BB1F11D" w14:textId="397A3E59" w:rsidR="00855D98" w:rsidRPr="00855D98" w:rsidRDefault="00855D98" w:rsidP="00855D98">
            <w:pPr>
              <w:suppressAutoHyphens/>
              <w:autoSpaceDN w:val="0"/>
              <w:jc w:val="right"/>
              <w:rPr>
                <w:rFonts w:ascii="Arial" w:eastAsia="Times New Roman" w:hAnsi="Arial" w:cs="Arial"/>
                <w:b/>
                <w:bCs/>
                <w:color w:val="000000" w:themeColor="text1"/>
                <w:sz w:val="17"/>
                <w:szCs w:val="17"/>
              </w:rPr>
            </w:pPr>
            <w:r w:rsidRPr="00855D98">
              <w:rPr>
                <w:rFonts w:ascii="Arial" w:hAnsi="Arial" w:cs="Arial"/>
                <w:b/>
                <w:bCs/>
                <w:sz w:val="17"/>
                <w:szCs w:val="17"/>
              </w:rPr>
              <w:t>-</w:t>
            </w:r>
          </w:p>
        </w:tc>
        <w:tc>
          <w:tcPr>
            <w:tcW w:w="1049" w:type="dxa"/>
            <w:tcBorders>
              <w:top w:val="single" w:sz="4" w:space="0" w:color="auto"/>
              <w:left w:val="nil"/>
              <w:bottom w:val="single" w:sz="12" w:space="0" w:color="auto"/>
              <w:right w:val="nil"/>
            </w:tcBorders>
            <w:shd w:val="clear" w:color="auto" w:fill="auto"/>
            <w:noWrap/>
            <w:vAlign w:val="bottom"/>
          </w:tcPr>
          <w:p w14:paraId="147BAD18" w14:textId="21B6BB32" w:rsidR="00855D98" w:rsidRPr="00855D98" w:rsidRDefault="00855D98" w:rsidP="00855D98">
            <w:pPr>
              <w:suppressAutoHyphens/>
              <w:autoSpaceDN w:val="0"/>
              <w:jc w:val="right"/>
              <w:rPr>
                <w:rFonts w:ascii="Arial" w:eastAsia="Times New Roman" w:hAnsi="Arial" w:cs="Arial"/>
                <w:b/>
                <w:bCs/>
                <w:color w:val="000000" w:themeColor="text1"/>
                <w:sz w:val="17"/>
                <w:szCs w:val="17"/>
              </w:rPr>
            </w:pPr>
            <w:r w:rsidRPr="00855D98">
              <w:rPr>
                <w:rFonts w:ascii="Arial" w:hAnsi="Arial" w:cs="Arial"/>
                <w:b/>
                <w:bCs/>
                <w:sz w:val="17"/>
                <w:szCs w:val="17"/>
              </w:rPr>
              <w:t>-</w:t>
            </w:r>
          </w:p>
        </w:tc>
        <w:tc>
          <w:tcPr>
            <w:tcW w:w="1049" w:type="dxa"/>
            <w:tcBorders>
              <w:top w:val="single" w:sz="4" w:space="0" w:color="auto"/>
              <w:left w:val="nil"/>
              <w:bottom w:val="single" w:sz="12" w:space="0" w:color="auto"/>
              <w:right w:val="nil"/>
            </w:tcBorders>
            <w:shd w:val="clear" w:color="auto" w:fill="auto"/>
            <w:noWrap/>
            <w:vAlign w:val="bottom"/>
          </w:tcPr>
          <w:p w14:paraId="67AC371A" w14:textId="6A01D89A" w:rsidR="00855D98" w:rsidRPr="00855D98" w:rsidRDefault="00855D98" w:rsidP="00855D98">
            <w:pPr>
              <w:jc w:val="right"/>
              <w:rPr>
                <w:rFonts w:ascii="Arial" w:eastAsia="Times New Roman" w:hAnsi="Arial" w:cs="Arial"/>
                <w:b/>
                <w:bCs/>
                <w:color w:val="000000" w:themeColor="text1"/>
                <w:sz w:val="17"/>
                <w:szCs w:val="17"/>
              </w:rPr>
            </w:pPr>
            <w:r w:rsidRPr="00855D98">
              <w:rPr>
                <w:rFonts w:ascii="Arial" w:hAnsi="Arial" w:cs="Arial"/>
                <w:b/>
                <w:bCs/>
                <w:sz w:val="17"/>
                <w:szCs w:val="17"/>
              </w:rPr>
              <w:t xml:space="preserve"> 34.250 </w:t>
            </w:r>
          </w:p>
        </w:tc>
        <w:tc>
          <w:tcPr>
            <w:tcW w:w="1049" w:type="dxa"/>
            <w:tcBorders>
              <w:top w:val="single" w:sz="4" w:space="0" w:color="auto"/>
              <w:left w:val="nil"/>
              <w:bottom w:val="single" w:sz="12" w:space="0" w:color="auto"/>
              <w:right w:val="nil"/>
            </w:tcBorders>
            <w:shd w:val="clear" w:color="auto" w:fill="auto"/>
            <w:noWrap/>
            <w:vAlign w:val="bottom"/>
          </w:tcPr>
          <w:p w14:paraId="54CAC1ED" w14:textId="6E0801A1" w:rsidR="00855D98" w:rsidRPr="00855D98" w:rsidRDefault="00855D98" w:rsidP="00855D98">
            <w:pPr>
              <w:suppressAutoHyphens/>
              <w:autoSpaceDN w:val="0"/>
              <w:jc w:val="right"/>
              <w:rPr>
                <w:rFonts w:ascii="Arial" w:eastAsia="Times New Roman" w:hAnsi="Arial" w:cs="Arial"/>
                <w:b/>
                <w:bCs/>
                <w:color w:val="000000" w:themeColor="text1"/>
                <w:sz w:val="17"/>
                <w:szCs w:val="17"/>
              </w:rPr>
            </w:pPr>
            <w:r w:rsidRPr="00855D98">
              <w:rPr>
                <w:rFonts w:ascii="Arial" w:hAnsi="Arial" w:cs="Arial"/>
                <w:b/>
                <w:bCs/>
                <w:sz w:val="17"/>
                <w:szCs w:val="17"/>
              </w:rPr>
              <w:t xml:space="preserve"> 34.087 </w:t>
            </w:r>
          </w:p>
        </w:tc>
        <w:tc>
          <w:tcPr>
            <w:tcW w:w="1049" w:type="dxa"/>
            <w:tcBorders>
              <w:top w:val="single" w:sz="4" w:space="0" w:color="auto"/>
              <w:left w:val="nil"/>
              <w:bottom w:val="single" w:sz="12" w:space="0" w:color="auto"/>
              <w:right w:val="nil"/>
            </w:tcBorders>
            <w:shd w:val="clear" w:color="auto" w:fill="auto"/>
            <w:noWrap/>
            <w:vAlign w:val="bottom"/>
          </w:tcPr>
          <w:p w14:paraId="017E8701" w14:textId="59C107EA" w:rsidR="00855D98" w:rsidRPr="00855D98" w:rsidRDefault="00855D98" w:rsidP="00855D98">
            <w:pPr>
              <w:suppressAutoHyphens/>
              <w:autoSpaceDN w:val="0"/>
              <w:jc w:val="right"/>
              <w:rPr>
                <w:rFonts w:ascii="Arial" w:eastAsia="Times New Roman" w:hAnsi="Arial" w:cs="Arial"/>
                <w:b/>
                <w:bCs/>
                <w:color w:val="000000" w:themeColor="text1"/>
                <w:sz w:val="17"/>
                <w:szCs w:val="17"/>
              </w:rPr>
            </w:pPr>
            <w:r w:rsidRPr="00855D98">
              <w:rPr>
                <w:rFonts w:ascii="Arial" w:hAnsi="Arial" w:cs="Arial"/>
                <w:b/>
                <w:bCs/>
                <w:sz w:val="17"/>
                <w:szCs w:val="17"/>
              </w:rPr>
              <w:t>-</w:t>
            </w:r>
          </w:p>
        </w:tc>
        <w:tc>
          <w:tcPr>
            <w:tcW w:w="1049" w:type="dxa"/>
            <w:tcBorders>
              <w:top w:val="single" w:sz="4" w:space="0" w:color="auto"/>
              <w:left w:val="nil"/>
              <w:bottom w:val="single" w:sz="12" w:space="0" w:color="auto"/>
              <w:right w:val="nil"/>
            </w:tcBorders>
            <w:shd w:val="clear" w:color="auto" w:fill="auto"/>
            <w:noWrap/>
            <w:vAlign w:val="bottom"/>
          </w:tcPr>
          <w:p w14:paraId="6E0DE609" w14:textId="5D598A87" w:rsidR="00855D98" w:rsidRPr="00855D98" w:rsidRDefault="00855D98" w:rsidP="00855D98">
            <w:pPr>
              <w:suppressAutoHyphens/>
              <w:autoSpaceDN w:val="0"/>
              <w:jc w:val="right"/>
              <w:rPr>
                <w:rFonts w:ascii="Arial" w:eastAsia="Times New Roman" w:hAnsi="Arial" w:cs="Arial"/>
                <w:b/>
                <w:bCs/>
                <w:color w:val="000000" w:themeColor="text1"/>
                <w:sz w:val="17"/>
                <w:szCs w:val="17"/>
              </w:rPr>
            </w:pPr>
            <w:r w:rsidRPr="00855D98">
              <w:rPr>
                <w:rFonts w:ascii="Arial" w:hAnsi="Arial" w:cs="Arial"/>
                <w:b/>
                <w:bCs/>
                <w:sz w:val="17"/>
                <w:szCs w:val="17"/>
              </w:rPr>
              <w:t>-</w:t>
            </w:r>
          </w:p>
        </w:tc>
        <w:tc>
          <w:tcPr>
            <w:tcW w:w="1049" w:type="dxa"/>
            <w:tcBorders>
              <w:top w:val="single" w:sz="4" w:space="0" w:color="auto"/>
              <w:left w:val="nil"/>
              <w:bottom w:val="single" w:sz="12" w:space="0" w:color="auto"/>
              <w:right w:val="nil"/>
            </w:tcBorders>
            <w:shd w:val="clear" w:color="auto" w:fill="auto"/>
            <w:noWrap/>
            <w:vAlign w:val="bottom"/>
          </w:tcPr>
          <w:p w14:paraId="263EDBB6" w14:textId="5C85DF60" w:rsidR="00855D98" w:rsidRPr="00855D98" w:rsidRDefault="00855D98" w:rsidP="00855D98">
            <w:pPr>
              <w:suppressAutoHyphens/>
              <w:autoSpaceDN w:val="0"/>
              <w:jc w:val="right"/>
              <w:rPr>
                <w:rFonts w:ascii="Arial" w:eastAsia="Times New Roman" w:hAnsi="Arial" w:cs="Arial"/>
                <w:b/>
                <w:bCs/>
                <w:color w:val="000000" w:themeColor="text1"/>
                <w:sz w:val="17"/>
                <w:szCs w:val="17"/>
              </w:rPr>
            </w:pPr>
            <w:r w:rsidRPr="00855D98">
              <w:rPr>
                <w:rFonts w:ascii="Arial" w:hAnsi="Arial" w:cs="Arial"/>
                <w:b/>
                <w:bCs/>
                <w:sz w:val="17"/>
                <w:szCs w:val="17"/>
              </w:rPr>
              <w:t xml:space="preserve"> 34.087 </w:t>
            </w:r>
          </w:p>
        </w:tc>
      </w:tr>
    </w:tbl>
    <w:p w14:paraId="3EEF5B21" w14:textId="77777777" w:rsidR="00DE4AC9" w:rsidRPr="003D1614" w:rsidRDefault="00DE4AC9" w:rsidP="00DE4AC9">
      <w:pPr>
        <w:keepNext/>
        <w:suppressAutoHyphens/>
        <w:autoSpaceDN w:val="0"/>
        <w:jc w:val="both"/>
        <w:outlineLvl w:val="0"/>
        <w:rPr>
          <w:rFonts w:ascii="Arial" w:eastAsia="Times New Roman" w:hAnsi="Arial" w:cs="Arial"/>
          <w:bCs/>
          <w:color w:val="000000" w:themeColor="text1"/>
          <w:sz w:val="20"/>
          <w:szCs w:val="20"/>
        </w:rPr>
      </w:pPr>
    </w:p>
    <w:bookmarkEnd w:id="318"/>
    <w:p w14:paraId="7F87CC4A" w14:textId="77777777" w:rsidR="00DE4AC9" w:rsidRPr="003D1614" w:rsidRDefault="00DE4AC9" w:rsidP="00DE4AC9">
      <w:pPr>
        <w:keepNext/>
        <w:suppressAutoHyphens/>
        <w:autoSpaceDN w:val="0"/>
        <w:jc w:val="both"/>
        <w:outlineLvl w:val="0"/>
        <w:rPr>
          <w:rFonts w:ascii="Arial" w:eastAsia="Times New Roman" w:hAnsi="Arial" w:cs="Arial"/>
          <w:bCs/>
          <w:color w:val="000000" w:themeColor="text1"/>
          <w:sz w:val="20"/>
          <w:szCs w:val="20"/>
        </w:rPr>
      </w:pPr>
    </w:p>
    <w:tbl>
      <w:tblPr>
        <w:tblW w:w="10235" w:type="dxa"/>
        <w:tblInd w:w="-567" w:type="dxa"/>
        <w:tblLayout w:type="fixed"/>
        <w:tblLook w:val="04A0" w:firstRow="1" w:lastRow="0" w:firstColumn="1" w:lastColumn="0" w:noHBand="0" w:noVBand="1"/>
      </w:tblPr>
      <w:tblGrid>
        <w:gridCol w:w="1843"/>
        <w:gridCol w:w="1049"/>
        <w:gridCol w:w="1049"/>
        <w:gridCol w:w="1049"/>
        <w:gridCol w:w="1049"/>
        <w:gridCol w:w="1049"/>
        <w:gridCol w:w="1049"/>
        <w:gridCol w:w="1049"/>
        <w:gridCol w:w="1049"/>
      </w:tblGrid>
      <w:tr w:rsidR="004F0FEC" w:rsidRPr="00B44A61" w14:paraId="62A89B4A" w14:textId="77777777" w:rsidTr="00DD2D50">
        <w:trPr>
          <w:trHeight w:val="178"/>
        </w:trPr>
        <w:tc>
          <w:tcPr>
            <w:tcW w:w="1843" w:type="dxa"/>
            <w:tcBorders>
              <w:top w:val="nil"/>
              <w:left w:val="nil"/>
              <w:bottom w:val="nil"/>
              <w:right w:val="nil"/>
            </w:tcBorders>
            <w:shd w:val="clear" w:color="auto" w:fill="auto"/>
            <w:noWrap/>
            <w:vAlign w:val="bottom"/>
            <w:hideMark/>
          </w:tcPr>
          <w:p w14:paraId="4A2C2757" w14:textId="77777777" w:rsidR="004F0FEC" w:rsidRPr="004B4498" w:rsidRDefault="004F0FEC" w:rsidP="00DD2D50">
            <w:pPr>
              <w:rPr>
                <w:rFonts w:ascii="Arial" w:hAnsi="Arial" w:cs="Arial"/>
                <w:b/>
                <w:color w:val="000000" w:themeColor="text1"/>
                <w:sz w:val="17"/>
                <w:szCs w:val="17"/>
              </w:rPr>
            </w:pPr>
            <w:r w:rsidRPr="004B4498">
              <w:rPr>
                <w:rFonts w:ascii="Arial" w:hAnsi="Arial" w:cs="Arial"/>
                <w:b/>
                <w:color w:val="000000" w:themeColor="text1"/>
                <w:sz w:val="17"/>
                <w:szCs w:val="17"/>
              </w:rPr>
              <w:t>31. prosinca 202</w:t>
            </w:r>
            <w:r>
              <w:rPr>
                <w:rFonts w:ascii="Arial" w:hAnsi="Arial" w:cs="Arial"/>
                <w:b/>
                <w:color w:val="000000" w:themeColor="text1"/>
                <w:sz w:val="17"/>
                <w:szCs w:val="17"/>
              </w:rPr>
              <w:t>3</w:t>
            </w:r>
            <w:r w:rsidRPr="004B4498">
              <w:rPr>
                <w:rFonts w:ascii="Arial" w:hAnsi="Arial" w:cs="Arial"/>
                <w:b/>
                <w:color w:val="000000" w:themeColor="text1"/>
                <w:sz w:val="17"/>
                <w:szCs w:val="17"/>
              </w:rPr>
              <w:t>.</w:t>
            </w:r>
          </w:p>
        </w:tc>
        <w:tc>
          <w:tcPr>
            <w:tcW w:w="1049" w:type="dxa"/>
            <w:tcBorders>
              <w:top w:val="nil"/>
              <w:left w:val="nil"/>
              <w:bottom w:val="nil"/>
              <w:right w:val="nil"/>
            </w:tcBorders>
            <w:shd w:val="clear" w:color="auto" w:fill="auto"/>
            <w:noWrap/>
            <w:vAlign w:val="bottom"/>
            <w:hideMark/>
          </w:tcPr>
          <w:p w14:paraId="1AEE0F7F" w14:textId="77777777" w:rsidR="004F0FEC" w:rsidRPr="004B4498" w:rsidRDefault="004F0FEC" w:rsidP="00DD2D50">
            <w:pPr>
              <w:rPr>
                <w:rFonts w:ascii="Arial" w:hAnsi="Arial" w:cs="Arial"/>
                <w:color w:val="000000" w:themeColor="text1"/>
                <w:sz w:val="17"/>
                <w:szCs w:val="17"/>
              </w:rPr>
            </w:pPr>
          </w:p>
        </w:tc>
        <w:tc>
          <w:tcPr>
            <w:tcW w:w="1049" w:type="dxa"/>
            <w:tcBorders>
              <w:top w:val="nil"/>
              <w:left w:val="nil"/>
              <w:bottom w:val="nil"/>
              <w:right w:val="nil"/>
            </w:tcBorders>
            <w:shd w:val="clear" w:color="auto" w:fill="auto"/>
            <w:noWrap/>
            <w:vAlign w:val="bottom"/>
            <w:hideMark/>
          </w:tcPr>
          <w:p w14:paraId="39D53B47" w14:textId="77777777" w:rsidR="004F0FEC" w:rsidRPr="004B4498" w:rsidRDefault="004F0FEC" w:rsidP="00DD2D50">
            <w:pPr>
              <w:jc w:val="right"/>
              <w:rPr>
                <w:rFonts w:ascii="Arial" w:hAnsi="Arial" w:cs="Arial"/>
                <w:color w:val="000000" w:themeColor="text1"/>
                <w:sz w:val="17"/>
                <w:szCs w:val="17"/>
              </w:rPr>
            </w:pPr>
          </w:p>
        </w:tc>
        <w:tc>
          <w:tcPr>
            <w:tcW w:w="1049" w:type="dxa"/>
            <w:tcBorders>
              <w:top w:val="nil"/>
              <w:left w:val="nil"/>
              <w:bottom w:val="nil"/>
              <w:right w:val="nil"/>
            </w:tcBorders>
            <w:shd w:val="clear" w:color="auto" w:fill="auto"/>
            <w:noWrap/>
            <w:vAlign w:val="bottom"/>
            <w:hideMark/>
          </w:tcPr>
          <w:p w14:paraId="444FD8DA" w14:textId="77777777" w:rsidR="004F0FEC" w:rsidRPr="004B4498" w:rsidRDefault="004F0FEC" w:rsidP="00DD2D50">
            <w:pPr>
              <w:jc w:val="right"/>
              <w:rPr>
                <w:rFonts w:ascii="Arial" w:hAnsi="Arial" w:cs="Arial"/>
                <w:color w:val="000000" w:themeColor="text1"/>
                <w:sz w:val="17"/>
                <w:szCs w:val="17"/>
              </w:rPr>
            </w:pPr>
          </w:p>
        </w:tc>
        <w:tc>
          <w:tcPr>
            <w:tcW w:w="1049" w:type="dxa"/>
            <w:tcBorders>
              <w:top w:val="nil"/>
              <w:left w:val="nil"/>
              <w:bottom w:val="nil"/>
              <w:right w:val="nil"/>
            </w:tcBorders>
            <w:shd w:val="clear" w:color="auto" w:fill="auto"/>
            <w:noWrap/>
            <w:vAlign w:val="bottom"/>
            <w:hideMark/>
          </w:tcPr>
          <w:p w14:paraId="463EF6AA" w14:textId="77777777" w:rsidR="004F0FEC" w:rsidRPr="004B4498" w:rsidRDefault="004F0FEC" w:rsidP="00DD2D50">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Grupa</w:t>
            </w:r>
          </w:p>
        </w:tc>
        <w:tc>
          <w:tcPr>
            <w:tcW w:w="1049" w:type="dxa"/>
            <w:tcBorders>
              <w:top w:val="nil"/>
              <w:left w:val="nil"/>
              <w:bottom w:val="nil"/>
              <w:right w:val="nil"/>
            </w:tcBorders>
            <w:shd w:val="clear" w:color="auto" w:fill="auto"/>
            <w:noWrap/>
            <w:vAlign w:val="bottom"/>
            <w:hideMark/>
          </w:tcPr>
          <w:p w14:paraId="7889BEEE" w14:textId="77777777" w:rsidR="004F0FEC" w:rsidRPr="004B4498" w:rsidRDefault="004F0FEC" w:rsidP="00DD2D50">
            <w:pPr>
              <w:jc w:val="right"/>
              <w:rPr>
                <w:rFonts w:ascii="Arial" w:hAnsi="Arial" w:cs="Arial"/>
                <w:b/>
                <w:bCs/>
                <w:color w:val="000000" w:themeColor="text1"/>
                <w:sz w:val="17"/>
                <w:szCs w:val="17"/>
              </w:rPr>
            </w:pPr>
          </w:p>
        </w:tc>
        <w:tc>
          <w:tcPr>
            <w:tcW w:w="1049" w:type="dxa"/>
            <w:tcBorders>
              <w:top w:val="nil"/>
              <w:left w:val="nil"/>
              <w:bottom w:val="nil"/>
              <w:right w:val="nil"/>
            </w:tcBorders>
            <w:shd w:val="clear" w:color="auto" w:fill="auto"/>
            <w:noWrap/>
            <w:vAlign w:val="bottom"/>
            <w:hideMark/>
          </w:tcPr>
          <w:p w14:paraId="576EB53C" w14:textId="77777777" w:rsidR="004F0FEC" w:rsidRPr="004B4498" w:rsidRDefault="004F0FEC" w:rsidP="00DD2D50">
            <w:pPr>
              <w:jc w:val="right"/>
              <w:rPr>
                <w:rFonts w:ascii="Arial" w:hAnsi="Arial" w:cs="Arial"/>
                <w:color w:val="000000" w:themeColor="text1"/>
                <w:sz w:val="17"/>
                <w:szCs w:val="17"/>
              </w:rPr>
            </w:pPr>
          </w:p>
        </w:tc>
        <w:tc>
          <w:tcPr>
            <w:tcW w:w="1049" w:type="dxa"/>
            <w:tcBorders>
              <w:top w:val="nil"/>
              <w:left w:val="nil"/>
              <w:bottom w:val="nil"/>
              <w:right w:val="nil"/>
            </w:tcBorders>
            <w:shd w:val="clear" w:color="auto" w:fill="auto"/>
            <w:noWrap/>
            <w:vAlign w:val="bottom"/>
            <w:hideMark/>
          </w:tcPr>
          <w:p w14:paraId="4D2B938A" w14:textId="77777777" w:rsidR="004F0FEC" w:rsidRPr="004B4498" w:rsidRDefault="004F0FEC" w:rsidP="00DD2D50">
            <w:pPr>
              <w:jc w:val="right"/>
              <w:rPr>
                <w:rFonts w:ascii="Arial" w:hAnsi="Arial" w:cs="Arial"/>
                <w:color w:val="000000" w:themeColor="text1"/>
                <w:sz w:val="17"/>
                <w:szCs w:val="17"/>
              </w:rPr>
            </w:pPr>
          </w:p>
        </w:tc>
        <w:tc>
          <w:tcPr>
            <w:tcW w:w="1049" w:type="dxa"/>
            <w:tcBorders>
              <w:top w:val="nil"/>
              <w:left w:val="nil"/>
              <w:bottom w:val="nil"/>
              <w:right w:val="nil"/>
            </w:tcBorders>
            <w:shd w:val="clear" w:color="auto" w:fill="auto"/>
            <w:noWrap/>
            <w:vAlign w:val="bottom"/>
            <w:hideMark/>
          </w:tcPr>
          <w:p w14:paraId="1BC7FFAF" w14:textId="77777777" w:rsidR="004F0FEC" w:rsidRPr="004B4498" w:rsidRDefault="004F0FEC" w:rsidP="00DD2D50">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Banka</w:t>
            </w:r>
          </w:p>
        </w:tc>
      </w:tr>
      <w:tr w:rsidR="004F0FEC" w:rsidRPr="00B44A61" w14:paraId="6A608B03" w14:textId="77777777" w:rsidTr="00DD2D50">
        <w:trPr>
          <w:trHeight w:val="310"/>
        </w:trPr>
        <w:tc>
          <w:tcPr>
            <w:tcW w:w="1843" w:type="dxa"/>
            <w:tcBorders>
              <w:top w:val="nil"/>
              <w:left w:val="nil"/>
              <w:bottom w:val="nil"/>
              <w:right w:val="nil"/>
            </w:tcBorders>
            <w:shd w:val="clear" w:color="auto" w:fill="auto"/>
            <w:noWrap/>
            <w:vAlign w:val="bottom"/>
            <w:hideMark/>
          </w:tcPr>
          <w:p w14:paraId="795A40FE" w14:textId="77777777" w:rsidR="004F0FEC" w:rsidRPr="004B4498" w:rsidRDefault="004F0FEC" w:rsidP="00DD2D50">
            <w:pPr>
              <w:jc w:val="right"/>
              <w:rPr>
                <w:rFonts w:ascii="Arial" w:hAnsi="Arial" w:cs="Arial"/>
                <w:b/>
                <w:bCs/>
                <w:color w:val="000000" w:themeColor="text1"/>
                <w:sz w:val="17"/>
                <w:szCs w:val="17"/>
              </w:rPr>
            </w:pPr>
          </w:p>
        </w:tc>
        <w:tc>
          <w:tcPr>
            <w:tcW w:w="1049" w:type="dxa"/>
            <w:tcBorders>
              <w:top w:val="nil"/>
              <w:left w:val="nil"/>
              <w:bottom w:val="nil"/>
              <w:right w:val="nil"/>
            </w:tcBorders>
            <w:shd w:val="clear" w:color="auto" w:fill="auto"/>
            <w:noWrap/>
            <w:vAlign w:val="bottom"/>
            <w:hideMark/>
          </w:tcPr>
          <w:p w14:paraId="167C4BAF" w14:textId="77777777" w:rsidR="004F0FEC" w:rsidRPr="004B4498" w:rsidRDefault="004F0FEC" w:rsidP="00DD2D50">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Stupanj 1</w:t>
            </w:r>
          </w:p>
        </w:tc>
        <w:tc>
          <w:tcPr>
            <w:tcW w:w="1049" w:type="dxa"/>
            <w:tcBorders>
              <w:top w:val="nil"/>
              <w:left w:val="nil"/>
              <w:bottom w:val="nil"/>
              <w:right w:val="nil"/>
            </w:tcBorders>
            <w:shd w:val="clear" w:color="auto" w:fill="auto"/>
            <w:noWrap/>
            <w:vAlign w:val="bottom"/>
            <w:hideMark/>
          </w:tcPr>
          <w:p w14:paraId="39703258" w14:textId="77777777" w:rsidR="004F0FEC" w:rsidRPr="004B4498" w:rsidRDefault="004F0FEC" w:rsidP="00DD2D50">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Stupanj 2</w:t>
            </w:r>
          </w:p>
        </w:tc>
        <w:tc>
          <w:tcPr>
            <w:tcW w:w="1049" w:type="dxa"/>
            <w:tcBorders>
              <w:top w:val="nil"/>
              <w:left w:val="nil"/>
              <w:bottom w:val="nil"/>
              <w:right w:val="nil"/>
            </w:tcBorders>
            <w:shd w:val="clear" w:color="auto" w:fill="auto"/>
            <w:noWrap/>
            <w:vAlign w:val="bottom"/>
            <w:hideMark/>
          </w:tcPr>
          <w:p w14:paraId="20483589" w14:textId="77777777" w:rsidR="004F0FEC" w:rsidRPr="004B4498" w:rsidRDefault="004F0FEC" w:rsidP="00DD2D50">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Stupanj 3</w:t>
            </w:r>
          </w:p>
        </w:tc>
        <w:tc>
          <w:tcPr>
            <w:tcW w:w="1049" w:type="dxa"/>
            <w:tcBorders>
              <w:top w:val="nil"/>
              <w:left w:val="nil"/>
              <w:bottom w:val="nil"/>
              <w:right w:val="nil"/>
            </w:tcBorders>
            <w:shd w:val="clear" w:color="auto" w:fill="auto"/>
            <w:noWrap/>
            <w:vAlign w:val="bottom"/>
            <w:hideMark/>
          </w:tcPr>
          <w:p w14:paraId="0D3A7AE6" w14:textId="77777777" w:rsidR="004F0FEC" w:rsidRPr="004B4498" w:rsidRDefault="004F0FEC" w:rsidP="00DD2D50">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Ukupno</w:t>
            </w:r>
          </w:p>
        </w:tc>
        <w:tc>
          <w:tcPr>
            <w:tcW w:w="1049" w:type="dxa"/>
            <w:tcBorders>
              <w:top w:val="nil"/>
              <w:left w:val="nil"/>
              <w:bottom w:val="nil"/>
              <w:right w:val="nil"/>
            </w:tcBorders>
            <w:shd w:val="clear" w:color="auto" w:fill="auto"/>
            <w:noWrap/>
            <w:vAlign w:val="bottom"/>
            <w:hideMark/>
          </w:tcPr>
          <w:p w14:paraId="178990E4" w14:textId="77777777" w:rsidR="004F0FEC" w:rsidRPr="004B4498" w:rsidRDefault="004F0FEC" w:rsidP="00DD2D50">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Stupanj 1</w:t>
            </w:r>
          </w:p>
        </w:tc>
        <w:tc>
          <w:tcPr>
            <w:tcW w:w="1049" w:type="dxa"/>
            <w:tcBorders>
              <w:top w:val="nil"/>
              <w:left w:val="nil"/>
              <w:bottom w:val="nil"/>
              <w:right w:val="nil"/>
            </w:tcBorders>
            <w:shd w:val="clear" w:color="auto" w:fill="auto"/>
            <w:noWrap/>
            <w:vAlign w:val="bottom"/>
            <w:hideMark/>
          </w:tcPr>
          <w:p w14:paraId="13882B4F" w14:textId="77777777" w:rsidR="004F0FEC" w:rsidRPr="004B4498" w:rsidRDefault="004F0FEC" w:rsidP="00DD2D50">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Stupanj 2</w:t>
            </w:r>
          </w:p>
        </w:tc>
        <w:tc>
          <w:tcPr>
            <w:tcW w:w="1049" w:type="dxa"/>
            <w:tcBorders>
              <w:top w:val="nil"/>
              <w:left w:val="nil"/>
              <w:bottom w:val="nil"/>
              <w:right w:val="nil"/>
            </w:tcBorders>
            <w:shd w:val="clear" w:color="auto" w:fill="auto"/>
            <w:noWrap/>
            <w:vAlign w:val="bottom"/>
            <w:hideMark/>
          </w:tcPr>
          <w:p w14:paraId="69F23D2E" w14:textId="77777777" w:rsidR="004F0FEC" w:rsidRPr="004B4498" w:rsidRDefault="004F0FEC" w:rsidP="00DD2D50">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Stupanj 3</w:t>
            </w:r>
          </w:p>
        </w:tc>
        <w:tc>
          <w:tcPr>
            <w:tcW w:w="1049" w:type="dxa"/>
            <w:tcBorders>
              <w:top w:val="nil"/>
              <w:left w:val="nil"/>
              <w:bottom w:val="nil"/>
              <w:right w:val="nil"/>
            </w:tcBorders>
            <w:shd w:val="clear" w:color="auto" w:fill="auto"/>
            <w:noWrap/>
            <w:vAlign w:val="bottom"/>
            <w:hideMark/>
          </w:tcPr>
          <w:p w14:paraId="0D21F27E" w14:textId="77777777" w:rsidR="004F0FEC" w:rsidRPr="004B4498" w:rsidRDefault="004F0FEC" w:rsidP="00DD2D50">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Ukupno</w:t>
            </w:r>
          </w:p>
        </w:tc>
      </w:tr>
      <w:tr w:rsidR="004F0FEC" w:rsidRPr="00B44A61" w14:paraId="472065FD" w14:textId="77777777" w:rsidTr="00DD2D50">
        <w:trPr>
          <w:trHeight w:val="314"/>
        </w:trPr>
        <w:tc>
          <w:tcPr>
            <w:tcW w:w="1843" w:type="dxa"/>
            <w:tcBorders>
              <w:top w:val="nil"/>
              <w:left w:val="nil"/>
              <w:bottom w:val="nil"/>
              <w:right w:val="nil"/>
            </w:tcBorders>
            <w:shd w:val="clear" w:color="auto" w:fill="auto"/>
            <w:noWrap/>
            <w:vAlign w:val="bottom"/>
            <w:hideMark/>
          </w:tcPr>
          <w:p w14:paraId="14C1D79F" w14:textId="77777777" w:rsidR="004F0FEC" w:rsidRPr="004B4498" w:rsidRDefault="004F0FEC" w:rsidP="00DD2D50">
            <w:pPr>
              <w:jc w:val="right"/>
              <w:rPr>
                <w:rFonts w:ascii="Arial" w:hAnsi="Arial" w:cs="Arial"/>
                <w:b/>
                <w:bCs/>
                <w:color w:val="000000" w:themeColor="text1"/>
                <w:sz w:val="17"/>
                <w:szCs w:val="17"/>
              </w:rPr>
            </w:pPr>
          </w:p>
        </w:tc>
        <w:tc>
          <w:tcPr>
            <w:tcW w:w="1049" w:type="dxa"/>
            <w:tcBorders>
              <w:top w:val="nil"/>
              <w:left w:val="nil"/>
              <w:bottom w:val="nil"/>
              <w:right w:val="nil"/>
            </w:tcBorders>
            <w:shd w:val="clear" w:color="auto" w:fill="auto"/>
            <w:noWrap/>
            <w:vAlign w:val="bottom"/>
            <w:hideMark/>
          </w:tcPr>
          <w:p w14:paraId="6B79A6F5" w14:textId="77777777" w:rsidR="004F0FEC" w:rsidRPr="004B4498" w:rsidRDefault="004F0FEC" w:rsidP="00DD2D50">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 xml:space="preserve">000 </w:t>
            </w:r>
            <w:r>
              <w:rPr>
                <w:rFonts w:ascii="Arial" w:hAnsi="Arial" w:cs="Arial"/>
                <w:b/>
                <w:bCs/>
                <w:color w:val="000000" w:themeColor="text1"/>
                <w:sz w:val="17"/>
                <w:szCs w:val="17"/>
              </w:rPr>
              <w:t>eura</w:t>
            </w:r>
          </w:p>
        </w:tc>
        <w:tc>
          <w:tcPr>
            <w:tcW w:w="1049" w:type="dxa"/>
            <w:tcBorders>
              <w:top w:val="nil"/>
              <w:left w:val="nil"/>
              <w:bottom w:val="nil"/>
              <w:right w:val="nil"/>
            </w:tcBorders>
            <w:shd w:val="clear" w:color="auto" w:fill="auto"/>
            <w:noWrap/>
            <w:vAlign w:val="bottom"/>
            <w:hideMark/>
          </w:tcPr>
          <w:p w14:paraId="3506E7AF" w14:textId="77777777" w:rsidR="004F0FEC" w:rsidRPr="004B4498" w:rsidRDefault="004F0FEC" w:rsidP="00DD2D50">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 xml:space="preserve">000 </w:t>
            </w:r>
            <w:r>
              <w:rPr>
                <w:rFonts w:ascii="Arial" w:hAnsi="Arial" w:cs="Arial"/>
                <w:b/>
                <w:bCs/>
                <w:color w:val="000000" w:themeColor="text1"/>
                <w:sz w:val="17"/>
                <w:szCs w:val="17"/>
              </w:rPr>
              <w:t>eura</w:t>
            </w:r>
          </w:p>
        </w:tc>
        <w:tc>
          <w:tcPr>
            <w:tcW w:w="1049" w:type="dxa"/>
            <w:tcBorders>
              <w:top w:val="nil"/>
              <w:left w:val="nil"/>
              <w:bottom w:val="nil"/>
              <w:right w:val="nil"/>
            </w:tcBorders>
            <w:shd w:val="clear" w:color="auto" w:fill="auto"/>
            <w:noWrap/>
            <w:vAlign w:val="bottom"/>
            <w:hideMark/>
          </w:tcPr>
          <w:p w14:paraId="64F306F4" w14:textId="77777777" w:rsidR="004F0FEC" w:rsidRPr="004B4498" w:rsidRDefault="004F0FEC" w:rsidP="00DD2D50">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 xml:space="preserve">000 </w:t>
            </w:r>
            <w:r>
              <w:rPr>
                <w:rFonts w:ascii="Arial" w:hAnsi="Arial" w:cs="Arial"/>
                <w:b/>
                <w:bCs/>
                <w:color w:val="000000" w:themeColor="text1"/>
                <w:sz w:val="17"/>
                <w:szCs w:val="17"/>
              </w:rPr>
              <w:t>eura</w:t>
            </w:r>
          </w:p>
        </w:tc>
        <w:tc>
          <w:tcPr>
            <w:tcW w:w="1049" w:type="dxa"/>
            <w:tcBorders>
              <w:top w:val="nil"/>
              <w:left w:val="nil"/>
              <w:bottom w:val="nil"/>
              <w:right w:val="nil"/>
            </w:tcBorders>
            <w:shd w:val="clear" w:color="auto" w:fill="auto"/>
            <w:noWrap/>
            <w:vAlign w:val="bottom"/>
            <w:hideMark/>
          </w:tcPr>
          <w:p w14:paraId="5A5EAB6F" w14:textId="77777777" w:rsidR="004F0FEC" w:rsidRPr="004B4498" w:rsidRDefault="004F0FEC" w:rsidP="00DD2D50">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 xml:space="preserve">000 </w:t>
            </w:r>
            <w:r>
              <w:rPr>
                <w:rFonts w:ascii="Arial" w:hAnsi="Arial" w:cs="Arial"/>
                <w:b/>
                <w:bCs/>
                <w:color w:val="000000" w:themeColor="text1"/>
                <w:sz w:val="17"/>
                <w:szCs w:val="17"/>
              </w:rPr>
              <w:t>eura</w:t>
            </w:r>
          </w:p>
        </w:tc>
        <w:tc>
          <w:tcPr>
            <w:tcW w:w="1049" w:type="dxa"/>
            <w:tcBorders>
              <w:top w:val="nil"/>
              <w:left w:val="nil"/>
              <w:bottom w:val="nil"/>
              <w:right w:val="nil"/>
            </w:tcBorders>
            <w:shd w:val="clear" w:color="auto" w:fill="auto"/>
            <w:noWrap/>
            <w:vAlign w:val="bottom"/>
            <w:hideMark/>
          </w:tcPr>
          <w:p w14:paraId="7CE3B7A2" w14:textId="77777777" w:rsidR="004F0FEC" w:rsidRPr="004B4498" w:rsidRDefault="004F0FEC" w:rsidP="00DD2D50">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 xml:space="preserve">000 </w:t>
            </w:r>
            <w:r>
              <w:rPr>
                <w:rFonts w:ascii="Arial" w:hAnsi="Arial" w:cs="Arial"/>
                <w:b/>
                <w:bCs/>
                <w:color w:val="000000" w:themeColor="text1"/>
                <w:sz w:val="17"/>
                <w:szCs w:val="17"/>
              </w:rPr>
              <w:t>eura</w:t>
            </w:r>
          </w:p>
        </w:tc>
        <w:tc>
          <w:tcPr>
            <w:tcW w:w="1049" w:type="dxa"/>
            <w:tcBorders>
              <w:top w:val="nil"/>
              <w:left w:val="nil"/>
              <w:bottom w:val="nil"/>
              <w:right w:val="nil"/>
            </w:tcBorders>
            <w:shd w:val="clear" w:color="auto" w:fill="auto"/>
            <w:noWrap/>
            <w:vAlign w:val="bottom"/>
            <w:hideMark/>
          </w:tcPr>
          <w:p w14:paraId="4708BAC9" w14:textId="77777777" w:rsidR="004F0FEC" w:rsidRPr="004B4498" w:rsidRDefault="004F0FEC" w:rsidP="00DD2D50">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 xml:space="preserve">000 </w:t>
            </w:r>
            <w:r>
              <w:rPr>
                <w:rFonts w:ascii="Arial" w:hAnsi="Arial" w:cs="Arial"/>
                <w:b/>
                <w:bCs/>
                <w:color w:val="000000" w:themeColor="text1"/>
                <w:sz w:val="17"/>
                <w:szCs w:val="17"/>
              </w:rPr>
              <w:t>eura</w:t>
            </w:r>
          </w:p>
        </w:tc>
        <w:tc>
          <w:tcPr>
            <w:tcW w:w="1049" w:type="dxa"/>
            <w:tcBorders>
              <w:top w:val="nil"/>
              <w:left w:val="nil"/>
              <w:bottom w:val="nil"/>
              <w:right w:val="nil"/>
            </w:tcBorders>
            <w:shd w:val="clear" w:color="auto" w:fill="auto"/>
            <w:noWrap/>
            <w:vAlign w:val="bottom"/>
            <w:hideMark/>
          </w:tcPr>
          <w:p w14:paraId="34F29174" w14:textId="77777777" w:rsidR="004F0FEC" w:rsidRPr="004B4498" w:rsidRDefault="004F0FEC" w:rsidP="00DD2D50">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 xml:space="preserve">000 </w:t>
            </w:r>
            <w:r>
              <w:rPr>
                <w:rFonts w:ascii="Arial" w:hAnsi="Arial" w:cs="Arial"/>
                <w:b/>
                <w:bCs/>
                <w:color w:val="000000" w:themeColor="text1"/>
                <w:sz w:val="17"/>
                <w:szCs w:val="17"/>
              </w:rPr>
              <w:t>eura</w:t>
            </w:r>
          </w:p>
        </w:tc>
        <w:tc>
          <w:tcPr>
            <w:tcW w:w="1049" w:type="dxa"/>
            <w:tcBorders>
              <w:top w:val="nil"/>
              <w:left w:val="nil"/>
              <w:bottom w:val="nil"/>
              <w:right w:val="nil"/>
            </w:tcBorders>
            <w:shd w:val="clear" w:color="auto" w:fill="auto"/>
            <w:noWrap/>
            <w:vAlign w:val="bottom"/>
            <w:hideMark/>
          </w:tcPr>
          <w:p w14:paraId="58C2E036" w14:textId="77777777" w:rsidR="004F0FEC" w:rsidRPr="004B4498" w:rsidRDefault="004F0FEC" w:rsidP="00DD2D50">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 xml:space="preserve">000 </w:t>
            </w:r>
            <w:r>
              <w:rPr>
                <w:rFonts w:ascii="Arial" w:hAnsi="Arial" w:cs="Arial"/>
                <w:b/>
                <w:bCs/>
                <w:color w:val="000000" w:themeColor="text1"/>
                <w:sz w:val="17"/>
                <w:szCs w:val="17"/>
              </w:rPr>
              <w:t>eura</w:t>
            </w:r>
          </w:p>
        </w:tc>
      </w:tr>
      <w:tr w:rsidR="004F0FEC" w:rsidRPr="00B44A61" w14:paraId="6A150304" w14:textId="77777777" w:rsidTr="00DD2D50">
        <w:trPr>
          <w:trHeight w:val="184"/>
        </w:trPr>
        <w:tc>
          <w:tcPr>
            <w:tcW w:w="1843" w:type="dxa"/>
            <w:tcBorders>
              <w:top w:val="nil"/>
              <w:left w:val="nil"/>
              <w:bottom w:val="nil"/>
              <w:right w:val="nil"/>
            </w:tcBorders>
            <w:shd w:val="clear" w:color="auto" w:fill="auto"/>
            <w:noWrap/>
            <w:vAlign w:val="bottom"/>
          </w:tcPr>
          <w:p w14:paraId="40F563BE" w14:textId="77777777" w:rsidR="004F0FEC" w:rsidRPr="004B4498" w:rsidRDefault="004F0FEC" w:rsidP="00DD2D50">
            <w:pPr>
              <w:jc w:val="right"/>
              <w:rPr>
                <w:rFonts w:ascii="Arial" w:hAnsi="Arial" w:cs="Arial"/>
                <w:b/>
                <w:bCs/>
                <w:color w:val="000000" w:themeColor="text1"/>
                <w:sz w:val="17"/>
                <w:szCs w:val="17"/>
              </w:rPr>
            </w:pPr>
          </w:p>
        </w:tc>
        <w:tc>
          <w:tcPr>
            <w:tcW w:w="1049" w:type="dxa"/>
            <w:tcBorders>
              <w:top w:val="nil"/>
              <w:left w:val="nil"/>
              <w:bottom w:val="nil"/>
              <w:right w:val="nil"/>
            </w:tcBorders>
            <w:shd w:val="clear" w:color="auto" w:fill="auto"/>
            <w:noWrap/>
            <w:vAlign w:val="bottom"/>
          </w:tcPr>
          <w:p w14:paraId="210038C8" w14:textId="77777777" w:rsidR="004F0FEC" w:rsidRPr="004B4498" w:rsidRDefault="004F0FEC" w:rsidP="00DD2D50">
            <w:pPr>
              <w:jc w:val="right"/>
              <w:rPr>
                <w:rFonts w:ascii="Arial" w:hAnsi="Arial" w:cs="Arial"/>
                <w:b/>
                <w:bCs/>
                <w:color w:val="000000" w:themeColor="text1"/>
                <w:sz w:val="17"/>
                <w:szCs w:val="17"/>
              </w:rPr>
            </w:pPr>
          </w:p>
        </w:tc>
        <w:tc>
          <w:tcPr>
            <w:tcW w:w="1049" w:type="dxa"/>
            <w:tcBorders>
              <w:top w:val="nil"/>
              <w:left w:val="nil"/>
              <w:bottom w:val="nil"/>
              <w:right w:val="nil"/>
            </w:tcBorders>
            <w:shd w:val="clear" w:color="auto" w:fill="auto"/>
            <w:noWrap/>
            <w:vAlign w:val="bottom"/>
          </w:tcPr>
          <w:p w14:paraId="208F1272" w14:textId="77777777" w:rsidR="004F0FEC" w:rsidRPr="004B4498" w:rsidRDefault="004F0FEC" w:rsidP="00DD2D50">
            <w:pPr>
              <w:jc w:val="right"/>
              <w:rPr>
                <w:rFonts w:ascii="Arial" w:hAnsi="Arial" w:cs="Arial"/>
                <w:b/>
                <w:bCs/>
                <w:color w:val="000000" w:themeColor="text1"/>
                <w:sz w:val="17"/>
                <w:szCs w:val="17"/>
              </w:rPr>
            </w:pPr>
          </w:p>
        </w:tc>
        <w:tc>
          <w:tcPr>
            <w:tcW w:w="1049" w:type="dxa"/>
            <w:tcBorders>
              <w:top w:val="nil"/>
              <w:left w:val="nil"/>
              <w:bottom w:val="nil"/>
              <w:right w:val="nil"/>
            </w:tcBorders>
            <w:shd w:val="clear" w:color="auto" w:fill="auto"/>
            <w:noWrap/>
            <w:vAlign w:val="bottom"/>
          </w:tcPr>
          <w:p w14:paraId="2BC36553" w14:textId="77777777" w:rsidR="004F0FEC" w:rsidRPr="004B4498" w:rsidRDefault="004F0FEC" w:rsidP="00DD2D50">
            <w:pPr>
              <w:jc w:val="right"/>
              <w:rPr>
                <w:rFonts w:ascii="Arial" w:hAnsi="Arial" w:cs="Arial"/>
                <w:b/>
                <w:bCs/>
                <w:color w:val="000000" w:themeColor="text1"/>
                <w:sz w:val="17"/>
                <w:szCs w:val="17"/>
              </w:rPr>
            </w:pPr>
          </w:p>
        </w:tc>
        <w:tc>
          <w:tcPr>
            <w:tcW w:w="1049" w:type="dxa"/>
            <w:tcBorders>
              <w:top w:val="nil"/>
              <w:left w:val="nil"/>
              <w:bottom w:val="nil"/>
              <w:right w:val="nil"/>
            </w:tcBorders>
            <w:shd w:val="clear" w:color="auto" w:fill="auto"/>
            <w:noWrap/>
            <w:vAlign w:val="bottom"/>
          </w:tcPr>
          <w:p w14:paraId="0212E6B1" w14:textId="77777777" w:rsidR="004F0FEC" w:rsidRPr="004B4498" w:rsidRDefault="004F0FEC" w:rsidP="00DD2D50">
            <w:pPr>
              <w:jc w:val="right"/>
              <w:rPr>
                <w:rFonts w:ascii="Arial" w:hAnsi="Arial" w:cs="Arial"/>
                <w:b/>
                <w:bCs/>
                <w:color w:val="000000" w:themeColor="text1"/>
                <w:sz w:val="17"/>
                <w:szCs w:val="17"/>
              </w:rPr>
            </w:pPr>
          </w:p>
        </w:tc>
        <w:tc>
          <w:tcPr>
            <w:tcW w:w="1049" w:type="dxa"/>
            <w:tcBorders>
              <w:top w:val="nil"/>
              <w:left w:val="nil"/>
              <w:bottom w:val="nil"/>
              <w:right w:val="nil"/>
            </w:tcBorders>
            <w:shd w:val="clear" w:color="auto" w:fill="auto"/>
            <w:noWrap/>
            <w:vAlign w:val="bottom"/>
          </w:tcPr>
          <w:p w14:paraId="2A28B6FF" w14:textId="77777777" w:rsidR="004F0FEC" w:rsidRPr="004B4498" w:rsidRDefault="004F0FEC" w:rsidP="00DD2D50">
            <w:pPr>
              <w:jc w:val="right"/>
              <w:rPr>
                <w:rFonts w:ascii="Arial" w:hAnsi="Arial" w:cs="Arial"/>
                <w:b/>
                <w:bCs/>
                <w:color w:val="000000" w:themeColor="text1"/>
                <w:sz w:val="17"/>
                <w:szCs w:val="17"/>
              </w:rPr>
            </w:pPr>
          </w:p>
        </w:tc>
        <w:tc>
          <w:tcPr>
            <w:tcW w:w="1049" w:type="dxa"/>
            <w:tcBorders>
              <w:top w:val="nil"/>
              <w:left w:val="nil"/>
              <w:bottom w:val="nil"/>
              <w:right w:val="nil"/>
            </w:tcBorders>
            <w:shd w:val="clear" w:color="auto" w:fill="auto"/>
            <w:noWrap/>
            <w:vAlign w:val="bottom"/>
          </w:tcPr>
          <w:p w14:paraId="77010BEF" w14:textId="77777777" w:rsidR="004F0FEC" w:rsidRPr="004B4498" w:rsidRDefault="004F0FEC" w:rsidP="00DD2D50">
            <w:pPr>
              <w:jc w:val="right"/>
              <w:rPr>
                <w:rFonts w:ascii="Arial" w:hAnsi="Arial" w:cs="Arial"/>
                <w:b/>
                <w:bCs/>
                <w:color w:val="000000" w:themeColor="text1"/>
                <w:sz w:val="17"/>
                <w:szCs w:val="17"/>
              </w:rPr>
            </w:pPr>
          </w:p>
        </w:tc>
        <w:tc>
          <w:tcPr>
            <w:tcW w:w="1049" w:type="dxa"/>
            <w:tcBorders>
              <w:top w:val="nil"/>
              <w:left w:val="nil"/>
              <w:bottom w:val="nil"/>
              <w:right w:val="nil"/>
            </w:tcBorders>
            <w:shd w:val="clear" w:color="auto" w:fill="auto"/>
            <w:noWrap/>
            <w:vAlign w:val="bottom"/>
          </w:tcPr>
          <w:p w14:paraId="7E33C29C" w14:textId="77777777" w:rsidR="004F0FEC" w:rsidRPr="004B4498" w:rsidRDefault="004F0FEC" w:rsidP="00DD2D50">
            <w:pPr>
              <w:jc w:val="right"/>
              <w:rPr>
                <w:rFonts w:ascii="Arial" w:hAnsi="Arial" w:cs="Arial"/>
                <w:b/>
                <w:bCs/>
                <w:color w:val="000000" w:themeColor="text1"/>
                <w:sz w:val="17"/>
                <w:szCs w:val="17"/>
              </w:rPr>
            </w:pPr>
          </w:p>
        </w:tc>
        <w:tc>
          <w:tcPr>
            <w:tcW w:w="1049" w:type="dxa"/>
            <w:tcBorders>
              <w:top w:val="nil"/>
              <w:left w:val="nil"/>
              <w:bottom w:val="nil"/>
              <w:right w:val="nil"/>
            </w:tcBorders>
            <w:shd w:val="clear" w:color="auto" w:fill="auto"/>
            <w:noWrap/>
            <w:vAlign w:val="bottom"/>
          </w:tcPr>
          <w:p w14:paraId="22BDE55E" w14:textId="77777777" w:rsidR="004F0FEC" w:rsidRPr="004B4498" w:rsidRDefault="004F0FEC" w:rsidP="00DD2D50">
            <w:pPr>
              <w:jc w:val="right"/>
              <w:rPr>
                <w:rFonts w:ascii="Arial" w:hAnsi="Arial" w:cs="Arial"/>
                <w:b/>
                <w:bCs/>
                <w:color w:val="000000" w:themeColor="text1"/>
                <w:sz w:val="17"/>
                <w:szCs w:val="17"/>
              </w:rPr>
            </w:pPr>
          </w:p>
        </w:tc>
      </w:tr>
      <w:tr w:rsidR="004F0FEC" w:rsidRPr="00B44A61" w14:paraId="1E9AE727" w14:textId="77777777" w:rsidTr="00DD2D50">
        <w:trPr>
          <w:trHeight w:val="319"/>
        </w:trPr>
        <w:tc>
          <w:tcPr>
            <w:tcW w:w="1843" w:type="dxa"/>
            <w:tcBorders>
              <w:top w:val="nil"/>
              <w:left w:val="nil"/>
              <w:bottom w:val="nil"/>
              <w:right w:val="nil"/>
            </w:tcBorders>
            <w:shd w:val="clear" w:color="auto" w:fill="auto"/>
            <w:noWrap/>
            <w:vAlign w:val="bottom"/>
            <w:hideMark/>
          </w:tcPr>
          <w:p w14:paraId="43218F50" w14:textId="77777777" w:rsidR="004F0FEC" w:rsidRPr="004B4498" w:rsidRDefault="004F0FEC" w:rsidP="00DD2D50">
            <w:pPr>
              <w:rPr>
                <w:rFonts w:ascii="Arial" w:hAnsi="Arial" w:cs="Arial"/>
                <w:color w:val="000000" w:themeColor="text1"/>
                <w:sz w:val="17"/>
                <w:szCs w:val="17"/>
              </w:rPr>
            </w:pPr>
            <w:r w:rsidRPr="004B4498">
              <w:rPr>
                <w:rFonts w:ascii="Arial" w:hAnsi="Arial" w:cs="Arial"/>
                <w:color w:val="000000" w:themeColor="text1"/>
                <w:sz w:val="17"/>
                <w:szCs w:val="17"/>
              </w:rPr>
              <w:t>Bruto iznos</w:t>
            </w:r>
          </w:p>
        </w:tc>
        <w:tc>
          <w:tcPr>
            <w:tcW w:w="1049" w:type="dxa"/>
            <w:tcBorders>
              <w:top w:val="nil"/>
              <w:left w:val="nil"/>
              <w:bottom w:val="nil"/>
              <w:right w:val="nil"/>
            </w:tcBorders>
            <w:shd w:val="clear" w:color="auto" w:fill="auto"/>
            <w:noWrap/>
            <w:vAlign w:val="bottom"/>
          </w:tcPr>
          <w:p w14:paraId="7983C840" w14:textId="77777777" w:rsidR="004F0FEC" w:rsidRPr="004B4498" w:rsidRDefault="004F0FEC" w:rsidP="00DD2D50">
            <w:pPr>
              <w:jc w:val="right"/>
              <w:rPr>
                <w:rFonts w:ascii="Arial" w:hAnsi="Arial" w:cs="Arial"/>
                <w:color w:val="000000" w:themeColor="text1"/>
                <w:sz w:val="17"/>
                <w:szCs w:val="17"/>
              </w:rPr>
            </w:pPr>
            <w:r w:rsidRPr="0091098E">
              <w:rPr>
                <w:rFonts w:ascii="Arial" w:hAnsi="Arial" w:cs="Arial"/>
                <w:color w:val="000000" w:themeColor="text1"/>
                <w:sz w:val="17"/>
                <w:szCs w:val="17"/>
              </w:rPr>
              <w:t>42.292</w:t>
            </w:r>
          </w:p>
        </w:tc>
        <w:tc>
          <w:tcPr>
            <w:tcW w:w="1049" w:type="dxa"/>
            <w:tcBorders>
              <w:top w:val="nil"/>
              <w:left w:val="nil"/>
              <w:bottom w:val="nil"/>
              <w:right w:val="nil"/>
            </w:tcBorders>
            <w:shd w:val="clear" w:color="auto" w:fill="auto"/>
            <w:noWrap/>
            <w:vAlign w:val="bottom"/>
          </w:tcPr>
          <w:p w14:paraId="4FA6376F" w14:textId="77777777" w:rsidR="004F0FEC" w:rsidRPr="004B4498" w:rsidRDefault="004F0FEC" w:rsidP="00DD2D50">
            <w:pPr>
              <w:jc w:val="right"/>
              <w:rPr>
                <w:rFonts w:ascii="Arial" w:hAnsi="Arial" w:cs="Arial"/>
                <w:color w:val="000000" w:themeColor="text1"/>
                <w:sz w:val="17"/>
                <w:szCs w:val="17"/>
              </w:rPr>
            </w:pPr>
            <w:r>
              <w:rPr>
                <w:rFonts w:ascii="Arial" w:hAnsi="Arial" w:cs="Arial"/>
                <w:color w:val="000000" w:themeColor="text1"/>
                <w:sz w:val="17"/>
                <w:szCs w:val="17"/>
              </w:rPr>
              <w:t>-</w:t>
            </w:r>
          </w:p>
        </w:tc>
        <w:tc>
          <w:tcPr>
            <w:tcW w:w="1049" w:type="dxa"/>
            <w:tcBorders>
              <w:top w:val="nil"/>
              <w:left w:val="nil"/>
              <w:bottom w:val="nil"/>
              <w:right w:val="nil"/>
            </w:tcBorders>
            <w:shd w:val="clear" w:color="auto" w:fill="auto"/>
            <w:noWrap/>
            <w:vAlign w:val="bottom"/>
          </w:tcPr>
          <w:p w14:paraId="36A984A7" w14:textId="77777777" w:rsidR="004F0FEC" w:rsidRPr="004B4498" w:rsidRDefault="004F0FEC" w:rsidP="00DD2D50">
            <w:pPr>
              <w:jc w:val="right"/>
              <w:rPr>
                <w:rFonts w:ascii="Arial" w:hAnsi="Arial" w:cs="Arial"/>
                <w:color w:val="000000" w:themeColor="text1"/>
                <w:sz w:val="17"/>
                <w:szCs w:val="17"/>
              </w:rPr>
            </w:pPr>
            <w:r>
              <w:rPr>
                <w:rFonts w:ascii="Arial" w:hAnsi="Arial" w:cs="Arial"/>
                <w:color w:val="000000" w:themeColor="text1"/>
                <w:sz w:val="17"/>
                <w:szCs w:val="17"/>
              </w:rPr>
              <w:t>-</w:t>
            </w:r>
          </w:p>
        </w:tc>
        <w:tc>
          <w:tcPr>
            <w:tcW w:w="1049" w:type="dxa"/>
            <w:tcBorders>
              <w:top w:val="nil"/>
              <w:left w:val="nil"/>
              <w:bottom w:val="nil"/>
              <w:right w:val="nil"/>
            </w:tcBorders>
            <w:shd w:val="clear" w:color="auto" w:fill="auto"/>
            <w:noWrap/>
            <w:vAlign w:val="bottom"/>
          </w:tcPr>
          <w:p w14:paraId="2052C0A7" w14:textId="77777777" w:rsidR="004F0FEC" w:rsidRPr="00A3731F" w:rsidRDefault="004F0FEC" w:rsidP="00DD2D50">
            <w:pPr>
              <w:jc w:val="right"/>
              <w:rPr>
                <w:rFonts w:ascii="Arial" w:hAnsi="Arial" w:cs="Arial"/>
                <w:b/>
                <w:bCs/>
                <w:color w:val="000000" w:themeColor="text1"/>
                <w:sz w:val="17"/>
                <w:szCs w:val="17"/>
              </w:rPr>
            </w:pPr>
            <w:r w:rsidRPr="0091098E">
              <w:rPr>
                <w:rFonts w:ascii="Arial" w:hAnsi="Arial" w:cs="Arial"/>
                <w:b/>
                <w:bCs/>
                <w:color w:val="000000" w:themeColor="text1"/>
                <w:sz w:val="17"/>
                <w:szCs w:val="17"/>
              </w:rPr>
              <w:t>42.292</w:t>
            </w:r>
          </w:p>
        </w:tc>
        <w:tc>
          <w:tcPr>
            <w:tcW w:w="1049" w:type="dxa"/>
            <w:tcBorders>
              <w:top w:val="nil"/>
              <w:left w:val="nil"/>
              <w:bottom w:val="nil"/>
              <w:right w:val="nil"/>
            </w:tcBorders>
            <w:shd w:val="clear" w:color="auto" w:fill="auto"/>
            <w:noWrap/>
            <w:vAlign w:val="bottom"/>
          </w:tcPr>
          <w:p w14:paraId="21B5932C" w14:textId="77777777" w:rsidR="004F0FEC" w:rsidRPr="0020460F" w:rsidRDefault="004F0FEC" w:rsidP="00DD2D50">
            <w:pPr>
              <w:jc w:val="right"/>
              <w:rPr>
                <w:rFonts w:ascii="Arial" w:hAnsi="Arial" w:cs="Arial"/>
                <w:color w:val="000000" w:themeColor="text1"/>
                <w:sz w:val="17"/>
                <w:szCs w:val="17"/>
              </w:rPr>
            </w:pPr>
            <w:r w:rsidRPr="00F959D0">
              <w:rPr>
                <w:rFonts w:ascii="Arial" w:hAnsi="Arial" w:cs="Arial"/>
                <w:color w:val="000000" w:themeColor="text1"/>
                <w:sz w:val="17"/>
                <w:szCs w:val="17"/>
              </w:rPr>
              <w:t xml:space="preserve"> 41.701 </w:t>
            </w:r>
          </w:p>
        </w:tc>
        <w:tc>
          <w:tcPr>
            <w:tcW w:w="1049" w:type="dxa"/>
            <w:tcBorders>
              <w:top w:val="nil"/>
              <w:left w:val="nil"/>
              <w:bottom w:val="nil"/>
              <w:right w:val="nil"/>
            </w:tcBorders>
            <w:shd w:val="clear" w:color="auto" w:fill="auto"/>
            <w:noWrap/>
            <w:vAlign w:val="bottom"/>
          </w:tcPr>
          <w:p w14:paraId="4DDBC3EB" w14:textId="77777777" w:rsidR="004F0FEC" w:rsidRPr="0020460F" w:rsidRDefault="004F0FEC" w:rsidP="00DD2D50">
            <w:pPr>
              <w:jc w:val="right"/>
              <w:rPr>
                <w:rFonts w:ascii="Arial" w:hAnsi="Arial" w:cs="Arial"/>
                <w:color w:val="000000" w:themeColor="text1"/>
                <w:sz w:val="17"/>
                <w:szCs w:val="17"/>
              </w:rPr>
            </w:pPr>
            <w:r w:rsidRPr="00F959D0">
              <w:rPr>
                <w:rFonts w:ascii="Arial" w:hAnsi="Arial" w:cs="Arial"/>
                <w:color w:val="000000" w:themeColor="text1"/>
                <w:sz w:val="17"/>
                <w:szCs w:val="17"/>
              </w:rPr>
              <w:t xml:space="preserve"> - </w:t>
            </w:r>
          </w:p>
        </w:tc>
        <w:tc>
          <w:tcPr>
            <w:tcW w:w="1049" w:type="dxa"/>
            <w:tcBorders>
              <w:top w:val="nil"/>
              <w:left w:val="nil"/>
              <w:bottom w:val="nil"/>
              <w:right w:val="nil"/>
            </w:tcBorders>
            <w:shd w:val="clear" w:color="auto" w:fill="auto"/>
            <w:noWrap/>
            <w:vAlign w:val="bottom"/>
          </w:tcPr>
          <w:p w14:paraId="02F7EC69" w14:textId="77777777" w:rsidR="004F0FEC" w:rsidRPr="0020460F" w:rsidRDefault="004F0FEC" w:rsidP="00DD2D50">
            <w:pPr>
              <w:jc w:val="right"/>
              <w:rPr>
                <w:rFonts w:ascii="Arial" w:hAnsi="Arial" w:cs="Arial"/>
                <w:color w:val="000000" w:themeColor="text1"/>
                <w:sz w:val="17"/>
                <w:szCs w:val="17"/>
              </w:rPr>
            </w:pPr>
            <w:r w:rsidRPr="00F959D0">
              <w:rPr>
                <w:rFonts w:ascii="Arial" w:hAnsi="Arial" w:cs="Arial"/>
                <w:color w:val="000000" w:themeColor="text1"/>
                <w:sz w:val="17"/>
                <w:szCs w:val="17"/>
              </w:rPr>
              <w:t xml:space="preserve"> - </w:t>
            </w:r>
          </w:p>
        </w:tc>
        <w:tc>
          <w:tcPr>
            <w:tcW w:w="1049" w:type="dxa"/>
            <w:tcBorders>
              <w:top w:val="nil"/>
              <w:left w:val="nil"/>
              <w:bottom w:val="nil"/>
              <w:right w:val="nil"/>
            </w:tcBorders>
            <w:shd w:val="clear" w:color="auto" w:fill="auto"/>
            <w:noWrap/>
            <w:vAlign w:val="bottom"/>
          </w:tcPr>
          <w:p w14:paraId="7C352A0B" w14:textId="77777777" w:rsidR="004F0FEC" w:rsidRPr="008F0B09" w:rsidRDefault="004F0FEC" w:rsidP="00DD2D50">
            <w:pPr>
              <w:jc w:val="right"/>
              <w:rPr>
                <w:rFonts w:ascii="Arial" w:hAnsi="Arial" w:cs="Arial"/>
                <w:b/>
                <w:bCs/>
                <w:color w:val="000000" w:themeColor="text1"/>
                <w:sz w:val="17"/>
                <w:szCs w:val="17"/>
              </w:rPr>
            </w:pPr>
            <w:r w:rsidRPr="00F959D0">
              <w:rPr>
                <w:rFonts w:ascii="Arial" w:hAnsi="Arial" w:cs="Arial"/>
                <w:b/>
                <w:bCs/>
                <w:color w:val="000000" w:themeColor="text1"/>
                <w:sz w:val="17"/>
                <w:szCs w:val="17"/>
              </w:rPr>
              <w:t xml:space="preserve"> 41.701 </w:t>
            </w:r>
          </w:p>
        </w:tc>
      </w:tr>
      <w:tr w:rsidR="004F0FEC" w:rsidRPr="00B44A61" w14:paraId="1EBBE8B9" w14:textId="77777777" w:rsidTr="00DD2D50">
        <w:trPr>
          <w:trHeight w:val="324"/>
        </w:trPr>
        <w:tc>
          <w:tcPr>
            <w:tcW w:w="1843" w:type="dxa"/>
            <w:tcBorders>
              <w:top w:val="nil"/>
              <w:left w:val="nil"/>
              <w:bottom w:val="nil"/>
              <w:right w:val="nil"/>
            </w:tcBorders>
            <w:shd w:val="clear" w:color="auto" w:fill="auto"/>
            <w:noWrap/>
            <w:vAlign w:val="bottom"/>
            <w:hideMark/>
          </w:tcPr>
          <w:p w14:paraId="37A29703" w14:textId="77777777" w:rsidR="004F0FEC" w:rsidRPr="004B4498" w:rsidRDefault="004F0FEC" w:rsidP="00DD2D50">
            <w:pPr>
              <w:rPr>
                <w:rFonts w:ascii="Arial" w:hAnsi="Arial" w:cs="Arial"/>
                <w:color w:val="000000" w:themeColor="text1"/>
                <w:sz w:val="17"/>
                <w:szCs w:val="17"/>
              </w:rPr>
            </w:pPr>
            <w:r w:rsidRPr="004B4498">
              <w:rPr>
                <w:rFonts w:ascii="Arial" w:hAnsi="Arial" w:cs="Arial"/>
                <w:color w:val="000000" w:themeColor="text1"/>
                <w:sz w:val="17"/>
                <w:szCs w:val="17"/>
              </w:rPr>
              <w:t>Rezerviranja</w:t>
            </w:r>
          </w:p>
        </w:tc>
        <w:tc>
          <w:tcPr>
            <w:tcW w:w="1049" w:type="dxa"/>
            <w:tcBorders>
              <w:top w:val="nil"/>
              <w:left w:val="nil"/>
              <w:bottom w:val="nil"/>
              <w:right w:val="nil"/>
            </w:tcBorders>
            <w:shd w:val="clear" w:color="auto" w:fill="auto"/>
            <w:noWrap/>
            <w:vAlign w:val="bottom"/>
          </w:tcPr>
          <w:p w14:paraId="738831BE" w14:textId="77777777" w:rsidR="004F0FEC" w:rsidRPr="004B4498" w:rsidRDefault="004F0FEC" w:rsidP="00DD2D50">
            <w:pPr>
              <w:jc w:val="right"/>
              <w:rPr>
                <w:rFonts w:ascii="Arial" w:hAnsi="Arial" w:cs="Arial"/>
                <w:color w:val="000000" w:themeColor="text1"/>
                <w:sz w:val="17"/>
                <w:szCs w:val="17"/>
              </w:rPr>
            </w:pPr>
            <w:r w:rsidRPr="0091098E">
              <w:rPr>
                <w:rFonts w:ascii="Arial" w:hAnsi="Arial" w:cs="Arial"/>
                <w:color w:val="000000" w:themeColor="text1"/>
                <w:sz w:val="17"/>
                <w:szCs w:val="17"/>
              </w:rPr>
              <w:t>(159)</w:t>
            </w:r>
          </w:p>
        </w:tc>
        <w:tc>
          <w:tcPr>
            <w:tcW w:w="1049" w:type="dxa"/>
            <w:tcBorders>
              <w:top w:val="nil"/>
              <w:left w:val="nil"/>
              <w:bottom w:val="nil"/>
              <w:right w:val="nil"/>
            </w:tcBorders>
            <w:shd w:val="clear" w:color="auto" w:fill="auto"/>
            <w:noWrap/>
            <w:vAlign w:val="bottom"/>
          </w:tcPr>
          <w:p w14:paraId="4AE93631" w14:textId="77777777" w:rsidR="004F0FEC" w:rsidRPr="004B4498" w:rsidRDefault="004F0FEC" w:rsidP="00DD2D50">
            <w:pPr>
              <w:jc w:val="right"/>
              <w:rPr>
                <w:rFonts w:ascii="Arial" w:hAnsi="Arial" w:cs="Arial"/>
                <w:color w:val="000000" w:themeColor="text1"/>
                <w:sz w:val="17"/>
                <w:szCs w:val="17"/>
              </w:rPr>
            </w:pPr>
            <w:r>
              <w:rPr>
                <w:rFonts w:ascii="Arial" w:hAnsi="Arial" w:cs="Arial"/>
                <w:color w:val="000000" w:themeColor="text1"/>
                <w:sz w:val="17"/>
                <w:szCs w:val="17"/>
              </w:rPr>
              <w:t>-</w:t>
            </w:r>
          </w:p>
        </w:tc>
        <w:tc>
          <w:tcPr>
            <w:tcW w:w="1049" w:type="dxa"/>
            <w:tcBorders>
              <w:top w:val="nil"/>
              <w:left w:val="nil"/>
              <w:bottom w:val="nil"/>
              <w:right w:val="nil"/>
            </w:tcBorders>
            <w:shd w:val="clear" w:color="auto" w:fill="auto"/>
            <w:noWrap/>
            <w:vAlign w:val="bottom"/>
          </w:tcPr>
          <w:p w14:paraId="6FD0CC7D" w14:textId="77777777" w:rsidR="004F0FEC" w:rsidRPr="004B4498" w:rsidRDefault="004F0FEC" w:rsidP="00DD2D50">
            <w:pPr>
              <w:jc w:val="right"/>
              <w:rPr>
                <w:rFonts w:ascii="Arial" w:hAnsi="Arial" w:cs="Arial"/>
                <w:color w:val="000000" w:themeColor="text1"/>
                <w:sz w:val="17"/>
                <w:szCs w:val="17"/>
              </w:rPr>
            </w:pPr>
            <w:r>
              <w:rPr>
                <w:rFonts w:ascii="Arial" w:hAnsi="Arial" w:cs="Arial"/>
                <w:color w:val="000000" w:themeColor="text1"/>
                <w:sz w:val="17"/>
                <w:szCs w:val="17"/>
              </w:rPr>
              <w:t>-</w:t>
            </w:r>
          </w:p>
        </w:tc>
        <w:tc>
          <w:tcPr>
            <w:tcW w:w="1049" w:type="dxa"/>
            <w:tcBorders>
              <w:top w:val="nil"/>
              <w:left w:val="nil"/>
              <w:bottom w:val="nil"/>
              <w:right w:val="nil"/>
            </w:tcBorders>
            <w:shd w:val="clear" w:color="auto" w:fill="auto"/>
            <w:noWrap/>
            <w:vAlign w:val="bottom"/>
          </w:tcPr>
          <w:p w14:paraId="3841DDAF" w14:textId="77777777" w:rsidR="004F0FEC" w:rsidRPr="00A3731F" w:rsidRDefault="004F0FEC" w:rsidP="00DD2D50">
            <w:pPr>
              <w:jc w:val="right"/>
              <w:rPr>
                <w:rFonts w:ascii="Arial" w:hAnsi="Arial" w:cs="Arial"/>
                <w:b/>
                <w:bCs/>
                <w:color w:val="000000" w:themeColor="text1"/>
                <w:sz w:val="17"/>
                <w:szCs w:val="17"/>
              </w:rPr>
            </w:pPr>
            <w:r w:rsidRPr="0091098E">
              <w:rPr>
                <w:rFonts w:ascii="Arial" w:hAnsi="Arial" w:cs="Arial"/>
                <w:b/>
                <w:bCs/>
                <w:color w:val="000000" w:themeColor="text1"/>
                <w:sz w:val="17"/>
                <w:szCs w:val="17"/>
              </w:rPr>
              <w:t>(159)</w:t>
            </w:r>
          </w:p>
        </w:tc>
        <w:tc>
          <w:tcPr>
            <w:tcW w:w="1049" w:type="dxa"/>
            <w:tcBorders>
              <w:top w:val="nil"/>
              <w:left w:val="nil"/>
              <w:bottom w:val="nil"/>
              <w:right w:val="nil"/>
            </w:tcBorders>
            <w:shd w:val="clear" w:color="auto" w:fill="auto"/>
            <w:noWrap/>
            <w:vAlign w:val="bottom"/>
          </w:tcPr>
          <w:p w14:paraId="51E2493B" w14:textId="77777777" w:rsidR="004F0FEC" w:rsidRPr="0020460F" w:rsidRDefault="004F0FEC" w:rsidP="00DD2D50">
            <w:pPr>
              <w:jc w:val="right"/>
              <w:rPr>
                <w:rFonts w:ascii="Arial" w:hAnsi="Arial" w:cs="Arial"/>
                <w:color w:val="000000" w:themeColor="text1"/>
                <w:sz w:val="17"/>
                <w:szCs w:val="17"/>
              </w:rPr>
            </w:pPr>
            <w:r w:rsidRPr="00F959D0">
              <w:rPr>
                <w:rFonts w:ascii="Arial" w:hAnsi="Arial" w:cs="Arial"/>
                <w:color w:val="000000" w:themeColor="text1"/>
                <w:sz w:val="17"/>
                <w:szCs w:val="17"/>
              </w:rPr>
              <w:t xml:space="preserve"> (158)</w:t>
            </w:r>
          </w:p>
        </w:tc>
        <w:tc>
          <w:tcPr>
            <w:tcW w:w="1049" w:type="dxa"/>
            <w:tcBorders>
              <w:top w:val="nil"/>
              <w:left w:val="nil"/>
              <w:bottom w:val="nil"/>
              <w:right w:val="nil"/>
            </w:tcBorders>
            <w:shd w:val="clear" w:color="auto" w:fill="auto"/>
            <w:noWrap/>
            <w:vAlign w:val="bottom"/>
          </w:tcPr>
          <w:p w14:paraId="71204149" w14:textId="77777777" w:rsidR="004F0FEC" w:rsidRPr="0020460F" w:rsidRDefault="004F0FEC" w:rsidP="00DD2D50">
            <w:pPr>
              <w:jc w:val="right"/>
              <w:rPr>
                <w:rFonts w:ascii="Arial" w:hAnsi="Arial" w:cs="Arial"/>
                <w:color w:val="000000" w:themeColor="text1"/>
                <w:sz w:val="17"/>
                <w:szCs w:val="17"/>
              </w:rPr>
            </w:pPr>
            <w:r w:rsidRPr="00F959D0">
              <w:rPr>
                <w:rFonts w:ascii="Arial" w:hAnsi="Arial" w:cs="Arial"/>
                <w:color w:val="000000" w:themeColor="text1"/>
                <w:sz w:val="17"/>
                <w:szCs w:val="17"/>
              </w:rPr>
              <w:t xml:space="preserve"> - </w:t>
            </w:r>
          </w:p>
        </w:tc>
        <w:tc>
          <w:tcPr>
            <w:tcW w:w="1049" w:type="dxa"/>
            <w:tcBorders>
              <w:top w:val="nil"/>
              <w:left w:val="nil"/>
              <w:bottom w:val="nil"/>
              <w:right w:val="nil"/>
            </w:tcBorders>
            <w:shd w:val="clear" w:color="auto" w:fill="auto"/>
            <w:noWrap/>
            <w:vAlign w:val="bottom"/>
          </w:tcPr>
          <w:p w14:paraId="7D757A16" w14:textId="77777777" w:rsidR="004F0FEC" w:rsidRPr="0020460F" w:rsidRDefault="004F0FEC" w:rsidP="00DD2D50">
            <w:pPr>
              <w:jc w:val="right"/>
              <w:rPr>
                <w:rFonts w:ascii="Arial" w:hAnsi="Arial" w:cs="Arial"/>
                <w:color w:val="000000" w:themeColor="text1"/>
                <w:sz w:val="17"/>
                <w:szCs w:val="17"/>
              </w:rPr>
            </w:pPr>
            <w:r w:rsidRPr="00F959D0">
              <w:rPr>
                <w:rFonts w:ascii="Arial" w:hAnsi="Arial" w:cs="Arial"/>
                <w:color w:val="000000" w:themeColor="text1"/>
                <w:sz w:val="17"/>
                <w:szCs w:val="17"/>
              </w:rPr>
              <w:t xml:space="preserve"> - </w:t>
            </w:r>
          </w:p>
        </w:tc>
        <w:tc>
          <w:tcPr>
            <w:tcW w:w="1049" w:type="dxa"/>
            <w:tcBorders>
              <w:top w:val="nil"/>
              <w:left w:val="nil"/>
              <w:bottom w:val="nil"/>
              <w:right w:val="nil"/>
            </w:tcBorders>
            <w:shd w:val="clear" w:color="auto" w:fill="auto"/>
            <w:noWrap/>
            <w:vAlign w:val="bottom"/>
          </w:tcPr>
          <w:p w14:paraId="1ED9A5D7" w14:textId="77777777" w:rsidR="004F0FEC" w:rsidRPr="008F0B09" w:rsidRDefault="004F0FEC" w:rsidP="00DD2D50">
            <w:pPr>
              <w:jc w:val="right"/>
              <w:rPr>
                <w:rFonts w:ascii="Arial" w:hAnsi="Arial" w:cs="Arial"/>
                <w:b/>
                <w:bCs/>
                <w:color w:val="000000" w:themeColor="text1"/>
                <w:sz w:val="17"/>
                <w:szCs w:val="17"/>
              </w:rPr>
            </w:pPr>
            <w:r w:rsidRPr="00F959D0">
              <w:rPr>
                <w:rFonts w:ascii="Arial" w:hAnsi="Arial" w:cs="Arial"/>
                <w:b/>
                <w:bCs/>
                <w:color w:val="000000" w:themeColor="text1"/>
                <w:sz w:val="17"/>
                <w:szCs w:val="17"/>
              </w:rPr>
              <w:t xml:space="preserve"> (158)</w:t>
            </w:r>
          </w:p>
        </w:tc>
      </w:tr>
      <w:tr w:rsidR="004F0FEC" w:rsidRPr="00B44A61" w14:paraId="3C2C82DF" w14:textId="77777777" w:rsidTr="00DD2D50">
        <w:trPr>
          <w:trHeight w:val="548"/>
        </w:trPr>
        <w:tc>
          <w:tcPr>
            <w:tcW w:w="1843" w:type="dxa"/>
            <w:tcBorders>
              <w:top w:val="nil"/>
              <w:left w:val="nil"/>
              <w:bottom w:val="nil"/>
              <w:right w:val="nil"/>
            </w:tcBorders>
            <w:shd w:val="clear" w:color="auto" w:fill="auto"/>
            <w:noWrap/>
            <w:vAlign w:val="bottom"/>
            <w:hideMark/>
          </w:tcPr>
          <w:p w14:paraId="29DBBCDA" w14:textId="77777777" w:rsidR="004F0FEC" w:rsidRPr="004B4498" w:rsidRDefault="004F0FEC" w:rsidP="00DD2D50">
            <w:pPr>
              <w:rPr>
                <w:rFonts w:ascii="Arial" w:hAnsi="Arial" w:cs="Arial"/>
                <w:b/>
                <w:bCs/>
                <w:color w:val="000000" w:themeColor="text1"/>
                <w:sz w:val="17"/>
                <w:szCs w:val="17"/>
              </w:rPr>
            </w:pPr>
            <w:r w:rsidRPr="004B4498">
              <w:rPr>
                <w:rFonts w:ascii="Arial" w:hAnsi="Arial" w:cs="Arial"/>
                <w:b/>
                <w:bCs/>
                <w:color w:val="000000" w:themeColor="text1"/>
                <w:sz w:val="17"/>
                <w:szCs w:val="17"/>
              </w:rPr>
              <w:t xml:space="preserve">Stanje na dan </w:t>
            </w:r>
          </w:p>
          <w:p w14:paraId="6DE8C126" w14:textId="77777777" w:rsidR="004F0FEC" w:rsidRPr="004B4498" w:rsidRDefault="004F0FEC" w:rsidP="00DD2D50">
            <w:pPr>
              <w:rPr>
                <w:rFonts w:ascii="Arial" w:hAnsi="Arial" w:cs="Arial"/>
                <w:b/>
                <w:bCs/>
                <w:color w:val="000000" w:themeColor="text1"/>
                <w:sz w:val="17"/>
                <w:szCs w:val="17"/>
              </w:rPr>
            </w:pPr>
            <w:r w:rsidRPr="004B4498">
              <w:rPr>
                <w:rFonts w:ascii="Arial" w:hAnsi="Arial" w:cs="Arial"/>
                <w:b/>
                <w:bCs/>
                <w:color w:val="000000" w:themeColor="text1"/>
                <w:sz w:val="17"/>
                <w:szCs w:val="17"/>
              </w:rPr>
              <w:t>31. prosinca 202</w:t>
            </w:r>
            <w:r>
              <w:rPr>
                <w:rFonts w:ascii="Arial" w:hAnsi="Arial" w:cs="Arial"/>
                <w:b/>
                <w:bCs/>
                <w:color w:val="000000" w:themeColor="text1"/>
                <w:sz w:val="17"/>
                <w:szCs w:val="17"/>
              </w:rPr>
              <w:t>3</w:t>
            </w:r>
            <w:r w:rsidRPr="004B4498">
              <w:rPr>
                <w:rFonts w:ascii="Arial" w:hAnsi="Arial" w:cs="Arial"/>
                <w:b/>
                <w:bCs/>
                <w:color w:val="000000" w:themeColor="text1"/>
                <w:sz w:val="17"/>
                <w:szCs w:val="17"/>
              </w:rPr>
              <w:t xml:space="preserve">.   </w:t>
            </w:r>
          </w:p>
        </w:tc>
        <w:tc>
          <w:tcPr>
            <w:tcW w:w="1049" w:type="dxa"/>
            <w:tcBorders>
              <w:top w:val="single" w:sz="4" w:space="0" w:color="auto"/>
              <w:left w:val="nil"/>
              <w:bottom w:val="single" w:sz="12" w:space="0" w:color="auto"/>
              <w:right w:val="nil"/>
            </w:tcBorders>
            <w:shd w:val="clear" w:color="auto" w:fill="auto"/>
            <w:noWrap/>
            <w:vAlign w:val="bottom"/>
          </w:tcPr>
          <w:p w14:paraId="1546B35D" w14:textId="77777777" w:rsidR="004F0FEC" w:rsidRPr="004B4498" w:rsidRDefault="004F0FEC" w:rsidP="00DD2D50">
            <w:pPr>
              <w:jc w:val="right"/>
              <w:rPr>
                <w:rFonts w:ascii="Arial" w:hAnsi="Arial" w:cs="Arial"/>
                <w:b/>
                <w:bCs/>
                <w:color w:val="000000" w:themeColor="text1"/>
                <w:sz w:val="17"/>
                <w:szCs w:val="17"/>
              </w:rPr>
            </w:pPr>
            <w:r w:rsidRPr="0091098E">
              <w:rPr>
                <w:rFonts w:ascii="Arial" w:hAnsi="Arial" w:cs="Arial"/>
                <w:b/>
                <w:bCs/>
                <w:color w:val="000000" w:themeColor="text1"/>
                <w:sz w:val="17"/>
                <w:szCs w:val="17"/>
              </w:rPr>
              <w:t xml:space="preserve">42.133 </w:t>
            </w:r>
          </w:p>
        </w:tc>
        <w:tc>
          <w:tcPr>
            <w:tcW w:w="1049" w:type="dxa"/>
            <w:tcBorders>
              <w:top w:val="single" w:sz="4" w:space="0" w:color="auto"/>
              <w:left w:val="nil"/>
              <w:bottom w:val="single" w:sz="12" w:space="0" w:color="auto"/>
              <w:right w:val="nil"/>
            </w:tcBorders>
            <w:shd w:val="clear" w:color="auto" w:fill="auto"/>
            <w:noWrap/>
            <w:vAlign w:val="bottom"/>
          </w:tcPr>
          <w:p w14:paraId="545BA145" w14:textId="77777777" w:rsidR="004F0FEC" w:rsidRPr="004B4498" w:rsidRDefault="004F0FEC" w:rsidP="00DD2D50">
            <w:pPr>
              <w:jc w:val="right"/>
              <w:rPr>
                <w:rFonts w:ascii="Arial" w:hAnsi="Arial" w:cs="Arial"/>
                <w:b/>
                <w:bCs/>
                <w:color w:val="000000" w:themeColor="text1"/>
                <w:sz w:val="17"/>
                <w:szCs w:val="17"/>
              </w:rPr>
            </w:pPr>
            <w:r>
              <w:rPr>
                <w:rFonts w:ascii="Arial" w:hAnsi="Arial" w:cs="Arial"/>
                <w:b/>
                <w:bCs/>
                <w:color w:val="000000" w:themeColor="text1"/>
                <w:sz w:val="17"/>
                <w:szCs w:val="17"/>
              </w:rPr>
              <w:t>-</w:t>
            </w:r>
          </w:p>
        </w:tc>
        <w:tc>
          <w:tcPr>
            <w:tcW w:w="1049" w:type="dxa"/>
            <w:tcBorders>
              <w:top w:val="single" w:sz="4" w:space="0" w:color="auto"/>
              <w:left w:val="nil"/>
              <w:bottom w:val="single" w:sz="12" w:space="0" w:color="auto"/>
              <w:right w:val="nil"/>
            </w:tcBorders>
            <w:shd w:val="clear" w:color="auto" w:fill="auto"/>
            <w:noWrap/>
            <w:vAlign w:val="bottom"/>
          </w:tcPr>
          <w:p w14:paraId="5A46AD88" w14:textId="77777777" w:rsidR="004F0FEC" w:rsidRPr="004B4498" w:rsidRDefault="004F0FEC" w:rsidP="00DD2D50">
            <w:pPr>
              <w:jc w:val="right"/>
              <w:rPr>
                <w:rFonts w:ascii="Arial" w:hAnsi="Arial" w:cs="Arial"/>
                <w:b/>
                <w:bCs/>
                <w:color w:val="000000" w:themeColor="text1"/>
                <w:sz w:val="17"/>
                <w:szCs w:val="17"/>
              </w:rPr>
            </w:pPr>
            <w:r>
              <w:rPr>
                <w:rFonts w:ascii="Arial" w:hAnsi="Arial" w:cs="Arial"/>
                <w:b/>
                <w:bCs/>
                <w:color w:val="000000" w:themeColor="text1"/>
                <w:sz w:val="17"/>
                <w:szCs w:val="17"/>
              </w:rPr>
              <w:t>-</w:t>
            </w:r>
          </w:p>
        </w:tc>
        <w:tc>
          <w:tcPr>
            <w:tcW w:w="1049" w:type="dxa"/>
            <w:tcBorders>
              <w:top w:val="single" w:sz="4" w:space="0" w:color="auto"/>
              <w:left w:val="nil"/>
              <w:bottom w:val="single" w:sz="12" w:space="0" w:color="auto"/>
              <w:right w:val="nil"/>
            </w:tcBorders>
            <w:shd w:val="clear" w:color="auto" w:fill="auto"/>
            <w:noWrap/>
            <w:vAlign w:val="bottom"/>
          </w:tcPr>
          <w:p w14:paraId="647C0F99" w14:textId="77777777" w:rsidR="004F0FEC" w:rsidRPr="00A3731F" w:rsidRDefault="004F0FEC" w:rsidP="00DD2D50">
            <w:pPr>
              <w:jc w:val="right"/>
              <w:rPr>
                <w:rFonts w:ascii="Arial" w:hAnsi="Arial" w:cs="Arial"/>
                <w:b/>
                <w:bCs/>
                <w:color w:val="000000" w:themeColor="text1"/>
                <w:sz w:val="17"/>
                <w:szCs w:val="17"/>
              </w:rPr>
            </w:pPr>
            <w:r w:rsidRPr="0091098E">
              <w:rPr>
                <w:rFonts w:ascii="Arial" w:hAnsi="Arial" w:cs="Arial"/>
                <w:b/>
                <w:bCs/>
                <w:color w:val="000000" w:themeColor="text1"/>
                <w:sz w:val="17"/>
                <w:szCs w:val="17"/>
              </w:rPr>
              <w:t>42.133</w:t>
            </w:r>
          </w:p>
        </w:tc>
        <w:tc>
          <w:tcPr>
            <w:tcW w:w="1049" w:type="dxa"/>
            <w:tcBorders>
              <w:top w:val="single" w:sz="4" w:space="0" w:color="auto"/>
              <w:left w:val="nil"/>
              <w:bottom w:val="single" w:sz="12" w:space="0" w:color="auto"/>
              <w:right w:val="nil"/>
            </w:tcBorders>
            <w:shd w:val="clear" w:color="auto" w:fill="auto"/>
            <w:noWrap/>
            <w:vAlign w:val="bottom"/>
          </w:tcPr>
          <w:p w14:paraId="066F4E95" w14:textId="77777777" w:rsidR="004F0FEC" w:rsidRPr="004B4498" w:rsidRDefault="004F0FEC" w:rsidP="00DD2D50">
            <w:pPr>
              <w:jc w:val="right"/>
              <w:rPr>
                <w:rFonts w:ascii="Arial" w:hAnsi="Arial" w:cs="Arial"/>
                <w:b/>
                <w:bCs/>
                <w:color w:val="000000" w:themeColor="text1"/>
                <w:sz w:val="17"/>
                <w:szCs w:val="17"/>
              </w:rPr>
            </w:pPr>
            <w:r w:rsidRPr="0020460F">
              <w:rPr>
                <w:rFonts w:ascii="Arial" w:hAnsi="Arial" w:cs="Arial"/>
                <w:b/>
                <w:bCs/>
                <w:color w:val="000000" w:themeColor="text1"/>
                <w:sz w:val="17"/>
                <w:szCs w:val="17"/>
              </w:rPr>
              <w:t xml:space="preserve">41.543 </w:t>
            </w:r>
          </w:p>
        </w:tc>
        <w:tc>
          <w:tcPr>
            <w:tcW w:w="1049" w:type="dxa"/>
            <w:tcBorders>
              <w:top w:val="single" w:sz="4" w:space="0" w:color="auto"/>
              <w:left w:val="nil"/>
              <w:bottom w:val="single" w:sz="12" w:space="0" w:color="auto"/>
              <w:right w:val="nil"/>
            </w:tcBorders>
            <w:shd w:val="clear" w:color="auto" w:fill="auto"/>
            <w:noWrap/>
            <w:vAlign w:val="bottom"/>
          </w:tcPr>
          <w:p w14:paraId="7726501D" w14:textId="77777777" w:rsidR="004F0FEC" w:rsidRPr="004B4498" w:rsidRDefault="004F0FEC" w:rsidP="00DD2D50">
            <w:pPr>
              <w:jc w:val="right"/>
              <w:rPr>
                <w:rFonts w:ascii="Arial" w:hAnsi="Arial" w:cs="Arial"/>
                <w:b/>
                <w:bCs/>
                <w:color w:val="000000" w:themeColor="text1"/>
                <w:sz w:val="17"/>
                <w:szCs w:val="17"/>
              </w:rPr>
            </w:pPr>
            <w:r>
              <w:rPr>
                <w:rFonts w:ascii="Arial" w:hAnsi="Arial" w:cs="Arial"/>
                <w:b/>
                <w:bCs/>
                <w:color w:val="000000" w:themeColor="text1"/>
                <w:sz w:val="17"/>
                <w:szCs w:val="17"/>
              </w:rPr>
              <w:t>-</w:t>
            </w:r>
          </w:p>
        </w:tc>
        <w:tc>
          <w:tcPr>
            <w:tcW w:w="1049" w:type="dxa"/>
            <w:tcBorders>
              <w:top w:val="single" w:sz="4" w:space="0" w:color="auto"/>
              <w:left w:val="nil"/>
              <w:bottom w:val="single" w:sz="12" w:space="0" w:color="auto"/>
              <w:right w:val="nil"/>
            </w:tcBorders>
            <w:shd w:val="clear" w:color="auto" w:fill="auto"/>
            <w:noWrap/>
            <w:vAlign w:val="bottom"/>
          </w:tcPr>
          <w:p w14:paraId="13DC6C43" w14:textId="77777777" w:rsidR="004F0FEC" w:rsidRPr="004B4498" w:rsidRDefault="004F0FEC" w:rsidP="00DD2D50">
            <w:pPr>
              <w:jc w:val="right"/>
              <w:rPr>
                <w:rFonts w:ascii="Arial" w:hAnsi="Arial" w:cs="Arial"/>
                <w:b/>
                <w:bCs/>
                <w:color w:val="000000" w:themeColor="text1"/>
                <w:sz w:val="17"/>
                <w:szCs w:val="17"/>
              </w:rPr>
            </w:pPr>
            <w:r>
              <w:rPr>
                <w:rFonts w:ascii="Arial" w:hAnsi="Arial" w:cs="Arial"/>
                <w:b/>
                <w:bCs/>
                <w:color w:val="000000" w:themeColor="text1"/>
                <w:sz w:val="17"/>
                <w:szCs w:val="17"/>
              </w:rPr>
              <w:t>-</w:t>
            </w:r>
          </w:p>
        </w:tc>
        <w:tc>
          <w:tcPr>
            <w:tcW w:w="1049" w:type="dxa"/>
            <w:tcBorders>
              <w:top w:val="single" w:sz="4" w:space="0" w:color="auto"/>
              <w:left w:val="nil"/>
              <w:bottom w:val="single" w:sz="12" w:space="0" w:color="auto"/>
              <w:right w:val="nil"/>
            </w:tcBorders>
            <w:shd w:val="clear" w:color="auto" w:fill="auto"/>
            <w:noWrap/>
            <w:vAlign w:val="bottom"/>
          </w:tcPr>
          <w:p w14:paraId="0A320668" w14:textId="77777777" w:rsidR="004F0FEC" w:rsidRPr="00A3731F" w:rsidRDefault="004F0FEC" w:rsidP="00DD2D50">
            <w:pPr>
              <w:jc w:val="right"/>
              <w:rPr>
                <w:rFonts w:ascii="Arial" w:hAnsi="Arial" w:cs="Arial"/>
                <w:b/>
                <w:bCs/>
                <w:color w:val="000000" w:themeColor="text1"/>
                <w:sz w:val="17"/>
                <w:szCs w:val="17"/>
              </w:rPr>
            </w:pPr>
            <w:r w:rsidRPr="0020460F">
              <w:rPr>
                <w:rFonts w:ascii="Arial" w:hAnsi="Arial" w:cs="Arial"/>
                <w:b/>
                <w:bCs/>
                <w:color w:val="000000" w:themeColor="text1"/>
                <w:sz w:val="17"/>
                <w:szCs w:val="17"/>
              </w:rPr>
              <w:t xml:space="preserve">41.543 </w:t>
            </w:r>
          </w:p>
        </w:tc>
      </w:tr>
    </w:tbl>
    <w:p w14:paraId="223E7CA1" w14:textId="77777777" w:rsidR="00DE4AC9" w:rsidRPr="003D1614" w:rsidRDefault="00DE4AC9" w:rsidP="00DE4AC9">
      <w:pPr>
        <w:keepNext/>
        <w:suppressAutoHyphens/>
        <w:autoSpaceDN w:val="0"/>
        <w:jc w:val="both"/>
        <w:outlineLvl w:val="0"/>
        <w:rPr>
          <w:rFonts w:ascii="Arial" w:eastAsia="Times New Roman" w:hAnsi="Arial" w:cs="Arial"/>
          <w:bCs/>
          <w:color w:val="000000" w:themeColor="text1"/>
          <w:sz w:val="20"/>
          <w:szCs w:val="20"/>
        </w:rPr>
      </w:pPr>
    </w:p>
    <w:p w14:paraId="07B7FF07" w14:textId="77777777" w:rsidR="00DE4AC9" w:rsidRPr="003D1614" w:rsidRDefault="00DE4AC9" w:rsidP="00DE4AC9">
      <w:pPr>
        <w:keepNext/>
        <w:suppressAutoHyphens/>
        <w:autoSpaceDN w:val="0"/>
        <w:jc w:val="both"/>
        <w:outlineLvl w:val="0"/>
        <w:rPr>
          <w:rFonts w:ascii="Arial" w:eastAsia="Times New Roman" w:hAnsi="Arial" w:cs="Arial"/>
          <w:bCs/>
          <w:color w:val="000000" w:themeColor="text1"/>
          <w:sz w:val="20"/>
          <w:szCs w:val="20"/>
        </w:rPr>
        <w:sectPr w:rsidR="00DE4AC9" w:rsidRPr="003D1614">
          <w:pgSz w:w="11906" w:h="16838"/>
          <w:pgMar w:top="1417" w:right="1417" w:bottom="1417" w:left="1417" w:header="708" w:footer="708" w:gutter="0"/>
          <w:cols w:space="708"/>
          <w:docGrid w:linePitch="360"/>
        </w:sectPr>
      </w:pPr>
    </w:p>
    <w:p w14:paraId="045A71C1" w14:textId="77777777" w:rsidR="00A73031" w:rsidRPr="003D1614" w:rsidRDefault="00A73031" w:rsidP="00A73031">
      <w:pPr>
        <w:suppressAutoHyphens/>
        <w:autoSpaceDN w:val="0"/>
        <w:rPr>
          <w:rFonts w:ascii="Arial" w:eastAsia="Times New Roman" w:hAnsi="Arial" w:cs="Arial"/>
          <w:bCs/>
          <w:color w:val="000000" w:themeColor="text1"/>
        </w:rPr>
      </w:pPr>
    </w:p>
    <w:p w14:paraId="1CCAAD6A" w14:textId="4EFE0C4C" w:rsidR="00A73031" w:rsidRPr="003D1614" w:rsidRDefault="00A73031" w:rsidP="00A73031">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9.</w:t>
      </w:r>
      <w:r w:rsidRPr="003D1614">
        <w:rPr>
          <w:rFonts w:ascii="Arial" w:eastAsia="Times New Roman" w:hAnsi="Arial" w:cs="Arial"/>
          <w:b/>
          <w:bCs/>
          <w:color w:val="000000" w:themeColor="text1"/>
          <w:sz w:val="20"/>
          <w:szCs w:val="20"/>
        </w:rPr>
        <w:tab/>
        <w:t>Novčana sredstva i računi kod banaka (nastavak)</w:t>
      </w:r>
    </w:p>
    <w:p w14:paraId="266B8D1B" w14:textId="77777777" w:rsidR="00A73031" w:rsidRPr="003D1614" w:rsidRDefault="00A73031" w:rsidP="00A73031">
      <w:pPr>
        <w:keepNext/>
        <w:suppressAutoHyphens/>
        <w:autoSpaceDN w:val="0"/>
        <w:jc w:val="both"/>
        <w:outlineLvl w:val="0"/>
        <w:rPr>
          <w:rFonts w:ascii="Arial" w:eastAsia="Times New Roman" w:hAnsi="Arial" w:cs="Arial"/>
          <w:bCs/>
          <w:color w:val="000000" w:themeColor="text1"/>
          <w:sz w:val="20"/>
          <w:szCs w:val="20"/>
        </w:rPr>
      </w:pPr>
    </w:p>
    <w:p w14:paraId="0711173C" w14:textId="77777777" w:rsidR="00A73031" w:rsidRPr="003D1614" w:rsidRDefault="00A73031" w:rsidP="00A73031">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Promjene na rezerviranjima za očekivane</w:t>
      </w:r>
      <w:r w:rsidRPr="003D1614" w:rsidDel="00640BE0">
        <w:rPr>
          <w:rFonts w:ascii="Arial" w:eastAsia="Times New Roman" w:hAnsi="Arial" w:cs="Arial"/>
          <w:color w:val="000000" w:themeColor="text1"/>
          <w:sz w:val="20"/>
          <w:szCs w:val="20"/>
        </w:rPr>
        <w:t xml:space="preserve"> </w:t>
      </w:r>
      <w:r w:rsidRPr="003D1614">
        <w:rPr>
          <w:rFonts w:ascii="Arial" w:eastAsia="Times New Roman" w:hAnsi="Arial" w:cs="Arial"/>
          <w:color w:val="000000" w:themeColor="text1"/>
          <w:sz w:val="20"/>
          <w:szCs w:val="20"/>
        </w:rPr>
        <w:t>gubitke po računima kod banaka mogu se prikazati kako slijedi:</w:t>
      </w:r>
    </w:p>
    <w:p w14:paraId="35B504C8" w14:textId="77777777" w:rsidR="00A73031" w:rsidRPr="003D1614" w:rsidRDefault="00A73031" w:rsidP="00A73031">
      <w:pPr>
        <w:keepNext/>
        <w:suppressAutoHyphens/>
        <w:autoSpaceDN w:val="0"/>
        <w:jc w:val="both"/>
        <w:outlineLvl w:val="0"/>
        <w:rPr>
          <w:rFonts w:ascii="Arial" w:eastAsia="Times New Roman" w:hAnsi="Arial" w:cs="Arial"/>
          <w:color w:val="000000" w:themeColor="text1"/>
          <w:sz w:val="20"/>
          <w:szCs w:val="20"/>
        </w:rPr>
      </w:pPr>
    </w:p>
    <w:tbl>
      <w:tblPr>
        <w:tblW w:w="5094" w:type="pct"/>
        <w:tblInd w:w="-142" w:type="dxa"/>
        <w:tblLook w:val="04A0" w:firstRow="1" w:lastRow="0" w:firstColumn="1" w:lastColumn="0" w:noHBand="0" w:noVBand="1"/>
      </w:tblPr>
      <w:tblGrid>
        <w:gridCol w:w="4707"/>
        <w:gridCol w:w="1134"/>
        <w:gridCol w:w="1134"/>
        <w:gridCol w:w="1134"/>
        <w:gridCol w:w="1134"/>
      </w:tblGrid>
      <w:tr w:rsidR="00A73031" w:rsidRPr="009D681D" w14:paraId="76023CD0" w14:textId="77777777" w:rsidTr="009D681D">
        <w:trPr>
          <w:trHeight w:val="237"/>
        </w:trPr>
        <w:tc>
          <w:tcPr>
            <w:tcW w:w="4707" w:type="dxa"/>
            <w:tcBorders>
              <w:top w:val="nil"/>
              <w:left w:val="nil"/>
              <w:bottom w:val="nil"/>
              <w:right w:val="nil"/>
            </w:tcBorders>
            <w:shd w:val="clear" w:color="auto" w:fill="auto"/>
            <w:noWrap/>
            <w:vAlign w:val="bottom"/>
            <w:hideMark/>
          </w:tcPr>
          <w:p w14:paraId="7C853808" w14:textId="77777777" w:rsidR="00A73031" w:rsidRPr="009D681D" w:rsidRDefault="00A73031" w:rsidP="00A73031">
            <w:pPr>
              <w:suppressAutoHyphens/>
              <w:autoSpaceDN w:val="0"/>
              <w:rPr>
                <w:rFonts w:ascii="Arial" w:eastAsia="Times New Roman" w:hAnsi="Arial" w:cs="Arial"/>
                <w:color w:val="000000" w:themeColor="text1"/>
                <w:sz w:val="18"/>
                <w:szCs w:val="18"/>
              </w:rPr>
            </w:pPr>
          </w:p>
        </w:tc>
        <w:tc>
          <w:tcPr>
            <w:tcW w:w="2268" w:type="dxa"/>
            <w:gridSpan w:val="2"/>
            <w:tcBorders>
              <w:top w:val="nil"/>
              <w:left w:val="nil"/>
              <w:bottom w:val="nil"/>
              <w:right w:val="nil"/>
            </w:tcBorders>
            <w:shd w:val="clear" w:color="auto" w:fill="auto"/>
            <w:vAlign w:val="bottom"/>
            <w:hideMark/>
          </w:tcPr>
          <w:p w14:paraId="1DC380C5" w14:textId="77777777" w:rsidR="00A73031" w:rsidRPr="009D681D" w:rsidRDefault="00A73031" w:rsidP="00A73031">
            <w:pPr>
              <w:suppressAutoHyphens/>
              <w:autoSpaceDN w:val="0"/>
              <w:jc w:val="right"/>
              <w:rPr>
                <w:rFonts w:ascii="Arial" w:eastAsia="Times New Roman" w:hAnsi="Arial" w:cs="Arial"/>
                <w:b/>
                <w:bCs/>
                <w:color w:val="000000" w:themeColor="text1"/>
                <w:sz w:val="18"/>
                <w:szCs w:val="18"/>
              </w:rPr>
            </w:pPr>
            <w:r w:rsidRPr="009D681D">
              <w:rPr>
                <w:rFonts w:ascii="Arial" w:eastAsia="Times New Roman" w:hAnsi="Arial" w:cs="Arial"/>
                <w:b/>
                <w:bCs/>
                <w:color w:val="000000" w:themeColor="text1"/>
                <w:sz w:val="18"/>
                <w:szCs w:val="18"/>
              </w:rPr>
              <w:t>Grupa</w:t>
            </w:r>
          </w:p>
        </w:tc>
        <w:tc>
          <w:tcPr>
            <w:tcW w:w="2268" w:type="dxa"/>
            <w:gridSpan w:val="2"/>
            <w:tcBorders>
              <w:top w:val="nil"/>
              <w:left w:val="nil"/>
              <w:bottom w:val="nil"/>
              <w:right w:val="nil"/>
            </w:tcBorders>
            <w:shd w:val="clear" w:color="auto" w:fill="auto"/>
            <w:vAlign w:val="bottom"/>
            <w:hideMark/>
          </w:tcPr>
          <w:p w14:paraId="702FD4C3" w14:textId="77777777" w:rsidR="00A73031" w:rsidRPr="009D681D" w:rsidRDefault="00A73031" w:rsidP="00A73031">
            <w:pPr>
              <w:suppressAutoHyphens/>
              <w:autoSpaceDN w:val="0"/>
              <w:jc w:val="right"/>
              <w:rPr>
                <w:rFonts w:ascii="Arial" w:eastAsia="Times New Roman" w:hAnsi="Arial" w:cs="Arial"/>
                <w:b/>
                <w:bCs/>
                <w:color w:val="000000" w:themeColor="text1"/>
                <w:sz w:val="18"/>
                <w:szCs w:val="18"/>
              </w:rPr>
            </w:pPr>
            <w:r w:rsidRPr="009D681D">
              <w:rPr>
                <w:rFonts w:ascii="Arial" w:eastAsia="Times New Roman" w:hAnsi="Arial" w:cs="Arial"/>
                <w:b/>
                <w:bCs/>
                <w:color w:val="000000" w:themeColor="text1"/>
                <w:sz w:val="18"/>
                <w:szCs w:val="18"/>
              </w:rPr>
              <w:t>Banka</w:t>
            </w:r>
          </w:p>
        </w:tc>
      </w:tr>
      <w:tr w:rsidR="00A73031" w:rsidRPr="009D681D" w14:paraId="21CAA021" w14:textId="77777777" w:rsidTr="009D681D">
        <w:trPr>
          <w:trHeight w:val="237"/>
        </w:trPr>
        <w:tc>
          <w:tcPr>
            <w:tcW w:w="4707" w:type="dxa"/>
            <w:tcBorders>
              <w:top w:val="nil"/>
              <w:left w:val="nil"/>
              <w:bottom w:val="nil"/>
              <w:right w:val="nil"/>
            </w:tcBorders>
            <w:shd w:val="clear" w:color="auto" w:fill="auto"/>
            <w:noWrap/>
            <w:vAlign w:val="bottom"/>
          </w:tcPr>
          <w:p w14:paraId="4EE4010E" w14:textId="77777777" w:rsidR="00A73031" w:rsidRPr="009D681D" w:rsidRDefault="00A73031" w:rsidP="00A73031">
            <w:pPr>
              <w:suppressAutoHyphens/>
              <w:autoSpaceDN w:val="0"/>
              <w:rPr>
                <w:rFonts w:ascii="Arial" w:eastAsia="Times New Roman" w:hAnsi="Arial" w:cs="Arial"/>
                <w:color w:val="000000" w:themeColor="text1"/>
                <w:sz w:val="18"/>
                <w:szCs w:val="18"/>
              </w:rPr>
            </w:pPr>
          </w:p>
        </w:tc>
        <w:tc>
          <w:tcPr>
            <w:tcW w:w="1134" w:type="dxa"/>
            <w:vAlign w:val="bottom"/>
          </w:tcPr>
          <w:p w14:paraId="1C095BEA" w14:textId="30D29904" w:rsidR="00A73031" w:rsidRPr="009D681D" w:rsidRDefault="00A73031" w:rsidP="00A73031">
            <w:pPr>
              <w:tabs>
                <w:tab w:val="right" w:pos="1202"/>
              </w:tabs>
              <w:suppressAutoHyphens/>
              <w:autoSpaceDN w:val="0"/>
              <w:jc w:val="right"/>
              <w:outlineLvl w:val="0"/>
              <w:rPr>
                <w:rFonts w:ascii="Arial" w:eastAsia="Times New Roman" w:hAnsi="Arial" w:cs="Arial"/>
                <w:b/>
                <w:color w:val="000000" w:themeColor="text1"/>
                <w:sz w:val="18"/>
                <w:szCs w:val="18"/>
              </w:rPr>
            </w:pPr>
            <w:bookmarkStart w:id="319" w:name="_Toc67327920"/>
            <w:r w:rsidRPr="009D681D">
              <w:rPr>
                <w:rFonts w:ascii="Arial" w:eastAsia="Times New Roman" w:hAnsi="Arial" w:cs="Arial"/>
                <w:b/>
                <w:color w:val="000000" w:themeColor="text1"/>
                <w:sz w:val="18"/>
                <w:szCs w:val="18"/>
              </w:rPr>
              <w:t>1.1.-</w:t>
            </w:r>
            <w:r w:rsidR="00DD7AD0" w:rsidRPr="009D681D">
              <w:rPr>
                <w:rFonts w:ascii="Arial" w:eastAsia="Times New Roman" w:hAnsi="Arial" w:cs="Arial"/>
                <w:b/>
                <w:color w:val="000000" w:themeColor="text1"/>
                <w:sz w:val="18"/>
                <w:szCs w:val="18"/>
              </w:rPr>
              <w:t>3</w:t>
            </w:r>
            <w:r w:rsidR="00DD7AD0">
              <w:rPr>
                <w:rFonts w:ascii="Arial" w:eastAsia="Times New Roman" w:hAnsi="Arial" w:cs="Arial"/>
                <w:b/>
                <w:color w:val="000000" w:themeColor="text1"/>
                <w:sz w:val="18"/>
                <w:szCs w:val="18"/>
              </w:rPr>
              <w:t>0</w:t>
            </w:r>
            <w:r w:rsidRPr="009D681D">
              <w:rPr>
                <w:rFonts w:ascii="Arial" w:eastAsia="Times New Roman" w:hAnsi="Arial" w:cs="Arial"/>
                <w:b/>
                <w:color w:val="000000" w:themeColor="text1"/>
                <w:sz w:val="18"/>
                <w:szCs w:val="18"/>
              </w:rPr>
              <w:t>.</w:t>
            </w:r>
            <w:r w:rsidR="002F4581">
              <w:rPr>
                <w:rFonts w:ascii="Arial" w:eastAsia="Times New Roman" w:hAnsi="Arial" w:cs="Arial"/>
                <w:b/>
                <w:color w:val="000000" w:themeColor="text1"/>
                <w:sz w:val="18"/>
                <w:szCs w:val="18"/>
              </w:rPr>
              <w:t>9</w:t>
            </w:r>
            <w:r w:rsidRPr="009D681D">
              <w:rPr>
                <w:rFonts w:ascii="Arial" w:eastAsia="Times New Roman" w:hAnsi="Arial" w:cs="Arial"/>
                <w:b/>
                <w:color w:val="000000" w:themeColor="text1"/>
                <w:sz w:val="18"/>
                <w:szCs w:val="18"/>
              </w:rPr>
              <w:t>.</w:t>
            </w:r>
            <w:bookmarkEnd w:id="319"/>
          </w:p>
          <w:p w14:paraId="2E17F414" w14:textId="3ACFFBBD" w:rsidR="00A73031" w:rsidRPr="009D681D" w:rsidRDefault="00A73031" w:rsidP="00A73031">
            <w:pPr>
              <w:tabs>
                <w:tab w:val="right" w:pos="1202"/>
              </w:tabs>
              <w:suppressAutoHyphens/>
              <w:autoSpaceDN w:val="0"/>
              <w:jc w:val="right"/>
              <w:outlineLvl w:val="0"/>
              <w:rPr>
                <w:rFonts w:ascii="Arial" w:eastAsia="Times New Roman" w:hAnsi="Arial" w:cs="Arial"/>
                <w:b/>
                <w:color w:val="000000" w:themeColor="text1"/>
                <w:sz w:val="18"/>
                <w:szCs w:val="18"/>
              </w:rPr>
            </w:pPr>
            <w:bookmarkStart w:id="320" w:name="_Toc67327921"/>
            <w:r w:rsidRPr="009D681D">
              <w:rPr>
                <w:rFonts w:ascii="Arial" w:eastAsia="Times New Roman" w:hAnsi="Arial" w:cs="Arial"/>
                <w:b/>
                <w:color w:val="000000" w:themeColor="text1"/>
                <w:sz w:val="18"/>
                <w:szCs w:val="18"/>
              </w:rPr>
              <w:t>202</w:t>
            </w:r>
            <w:r w:rsidR="004F0FEC">
              <w:rPr>
                <w:rFonts w:ascii="Arial" w:eastAsia="Times New Roman" w:hAnsi="Arial" w:cs="Arial"/>
                <w:b/>
                <w:color w:val="000000" w:themeColor="text1"/>
                <w:sz w:val="18"/>
                <w:szCs w:val="18"/>
              </w:rPr>
              <w:t>4</w:t>
            </w:r>
            <w:r w:rsidRPr="009D681D">
              <w:rPr>
                <w:rFonts w:ascii="Arial" w:eastAsia="Times New Roman" w:hAnsi="Arial" w:cs="Arial"/>
                <w:b/>
                <w:color w:val="000000" w:themeColor="text1"/>
                <w:sz w:val="18"/>
                <w:szCs w:val="18"/>
              </w:rPr>
              <w:t>.</w:t>
            </w:r>
            <w:bookmarkEnd w:id="320"/>
          </w:p>
        </w:tc>
        <w:tc>
          <w:tcPr>
            <w:tcW w:w="1134" w:type="dxa"/>
            <w:vAlign w:val="bottom"/>
          </w:tcPr>
          <w:p w14:paraId="39D04183" w14:textId="4E0D452C" w:rsidR="00A73031" w:rsidRPr="009D681D" w:rsidRDefault="00A73031" w:rsidP="00A73031">
            <w:pPr>
              <w:tabs>
                <w:tab w:val="right" w:pos="1202"/>
              </w:tabs>
              <w:suppressAutoHyphens/>
              <w:autoSpaceDN w:val="0"/>
              <w:jc w:val="right"/>
              <w:outlineLvl w:val="0"/>
              <w:rPr>
                <w:rFonts w:ascii="Arial" w:eastAsia="Times New Roman" w:hAnsi="Arial" w:cs="Arial"/>
                <w:b/>
                <w:color w:val="000000" w:themeColor="text1"/>
                <w:sz w:val="18"/>
                <w:szCs w:val="18"/>
              </w:rPr>
            </w:pPr>
            <w:r w:rsidRPr="009D681D">
              <w:rPr>
                <w:rFonts w:ascii="Arial" w:eastAsia="Times New Roman" w:hAnsi="Arial" w:cs="Arial"/>
                <w:b/>
                <w:color w:val="000000" w:themeColor="text1"/>
                <w:sz w:val="18"/>
                <w:szCs w:val="18"/>
              </w:rPr>
              <w:t>1.1.-31.12.</w:t>
            </w:r>
          </w:p>
          <w:p w14:paraId="34D613AC" w14:textId="160F79F7" w:rsidR="00A73031" w:rsidRPr="009D681D" w:rsidRDefault="00A73031" w:rsidP="00A73031">
            <w:pPr>
              <w:tabs>
                <w:tab w:val="right" w:pos="1202"/>
              </w:tabs>
              <w:suppressAutoHyphens/>
              <w:autoSpaceDN w:val="0"/>
              <w:jc w:val="right"/>
              <w:outlineLvl w:val="0"/>
              <w:rPr>
                <w:rFonts w:ascii="Arial" w:eastAsia="Times New Roman" w:hAnsi="Arial" w:cs="Arial"/>
                <w:b/>
                <w:color w:val="000000" w:themeColor="text1"/>
                <w:sz w:val="18"/>
                <w:szCs w:val="18"/>
              </w:rPr>
            </w:pPr>
            <w:r w:rsidRPr="009D681D">
              <w:rPr>
                <w:rFonts w:ascii="Arial" w:eastAsia="Times New Roman" w:hAnsi="Arial" w:cs="Arial"/>
                <w:b/>
                <w:color w:val="000000" w:themeColor="text1"/>
                <w:sz w:val="18"/>
                <w:szCs w:val="18"/>
              </w:rPr>
              <w:t>202</w:t>
            </w:r>
            <w:r w:rsidR="004F0FEC">
              <w:rPr>
                <w:rFonts w:ascii="Arial" w:eastAsia="Times New Roman" w:hAnsi="Arial" w:cs="Arial"/>
                <w:b/>
                <w:color w:val="000000" w:themeColor="text1"/>
                <w:sz w:val="18"/>
                <w:szCs w:val="18"/>
              </w:rPr>
              <w:t>3</w:t>
            </w:r>
            <w:r w:rsidRPr="009D681D">
              <w:rPr>
                <w:rFonts w:ascii="Arial" w:eastAsia="Times New Roman" w:hAnsi="Arial" w:cs="Arial"/>
                <w:b/>
                <w:color w:val="000000" w:themeColor="text1"/>
                <w:sz w:val="18"/>
                <w:szCs w:val="18"/>
              </w:rPr>
              <w:t>.</w:t>
            </w:r>
          </w:p>
        </w:tc>
        <w:tc>
          <w:tcPr>
            <w:tcW w:w="1134" w:type="dxa"/>
            <w:vAlign w:val="bottom"/>
          </w:tcPr>
          <w:p w14:paraId="13BD853A" w14:textId="1B9CCF34" w:rsidR="00A73031" w:rsidRPr="009D681D" w:rsidRDefault="00A73031" w:rsidP="00A73031">
            <w:pPr>
              <w:tabs>
                <w:tab w:val="right" w:pos="1202"/>
              </w:tabs>
              <w:suppressAutoHyphens/>
              <w:autoSpaceDN w:val="0"/>
              <w:jc w:val="right"/>
              <w:outlineLvl w:val="0"/>
              <w:rPr>
                <w:rFonts w:ascii="Arial" w:eastAsia="Times New Roman" w:hAnsi="Arial" w:cs="Arial"/>
                <w:b/>
                <w:color w:val="000000" w:themeColor="text1"/>
                <w:sz w:val="18"/>
                <w:szCs w:val="18"/>
              </w:rPr>
            </w:pPr>
            <w:bookmarkStart w:id="321" w:name="_Toc67327924"/>
            <w:r w:rsidRPr="009D681D">
              <w:rPr>
                <w:rFonts w:ascii="Arial" w:eastAsia="Times New Roman" w:hAnsi="Arial" w:cs="Arial"/>
                <w:b/>
                <w:color w:val="000000" w:themeColor="text1"/>
                <w:sz w:val="18"/>
                <w:szCs w:val="18"/>
              </w:rPr>
              <w:t>1.1.-</w:t>
            </w:r>
            <w:r w:rsidR="00DD7AD0" w:rsidRPr="009D681D">
              <w:rPr>
                <w:rFonts w:ascii="Arial" w:eastAsia="Times New Roman" w:hAnsi="Arial" w:cs="Arial"/>
                <w:b/>
                <w:color w:val="000000" w:themeColor="text1"/>
                <w:sz w:val="18"/>
                <w:szCs w:val="18"/>
              </w:rPr>
              <w:t>3</w:t>
            </w:r>
            <w:r w:rsidR="00DD7AD0">
              <w:rPr>
                <w:rFonts w:ascii="Arial" w:eastAsia="Times New Roman" w:hAnsi="Arial" w:cs="Arial"/>
                <w:b/>
                <w:color w:val="000000" w:themeColor="text1"/>
                <w:sz w:val="18"/>
                <w:szCs w:val="18"/>
              </w:rPr>
              <w:t>0</w:t>
            </w:r>
            <w:r w:rsidRPr="009D681D">
              <w:rPr>
                <w:rFonts w:ascii="Arial" w:eastAsia="Times New Roman" w:hAnsi="Arial" w:cs="Arial"/>
                <w:b/>
                <w:color w:val="000000" w:themeColor="text1"/>
                <w:sz w:val="18"/>
                <w:szCs w:val="18"/>
              </w:rPr>
              <w:t>.</w:t>
            </w:r>
            <w:r w:rsidR="002F4581">
              <w:rPr>
                <w:rFonts w:ascii="Arial" w:eastAsia="Times New Roman" w:hAnsi="Arial" w:cs="Arial"/>
                <w:b/>
                <w:color w:val="000000" w:themeColor="text1"/>
                <w:sz w:val="18"/>
                <w:szCs w:val="18"/>
              </w:rPr>
              <w:t>9</w:t>
            </w:r>
            <w:r w:rsidRPr="009D681D">
              <w:rPr>
                <w:rFonts w:ascii="Arial" w:eastAsia="Times New Roman" w:hAnsi="Arial" w:cs="Arial"/>
                <w:b/>
                <w:color w:val="000000" w:themeColor="text1"/>
                <w:sz w:val="18"/>
                <w:szCs w:val="18"/>
              </w:rPr>
              <w:t>.</w:t>
            </w:r>
            <w:bookmarkEnd w:id="321"/>
          </w:p>
          <w:p w14:paraId="68ACD071" w14:textId="64EB665A" w:rsidR="00A73031" w:rsidRPr="009D681D" w:rsidRDefault="00A73031" w:rsidP="00A73031">
            <w:pPr>
              <w:tabs>
                <w:tab w:val="right" w:pos="1202"/>
              </w:tabs>
              <w:suppressAutoHyphens/>
              <w:autoSpaceDN w:val="0"/>
              <w:jc w:val="right"/>
              <w:outlineLvl w:val="0"/>
              <w:rPr>
                <w:rFonts w:ascii="Arial" w:eastAsia="Times New Roman" w:hAnsi="Arial" w:cs="Arial"/>
                <w:b/>
                <w:color w:val="000000" w:themeColor="text1"/>
                <w:sz w:val="18"/>
                <w:szCs w:val="18"/>
              </w:rPr>
            </w:pPr>
            <w:bookmarkStart w:id="322" w:name="_Toc67327925"/>
            <w:r w:rsidRPr="009D681D">
              <w:rPr>
                <w:rFonts w:ascii="Arial" w:eastAsia="Times New Roman" w:hAnsi="Arial" w:cs="Arial"/>
                <w:b/>
                <w:color w:val="000000" w:themeColor="text1"/>
                <w:sz w:val="18"/>
                <w:szCs w:val="18"/>
              </w:rPr>
              <w:t>202</w:t>
            </w:r>
            <w:r w:rsidR="004F0FEC">
              <w:rPr>
                <w:rFonts w:ascii="Arial" w:eastAsia="Times New Roman" w:hAnsi="Arial" w:cs="Arial"/>
                <w:b/>
                <w:color w:val="000000" w:themeColor="text1"/>
                <w:sz w:val="18"/>
                <w:szCs w:val="18"/>
              </w:rPr>
              <w:t>4</w:t>
            </w:r>
            <w:r w:rsidRPr="009D681D">
              <w:rPr>
                <w:rFonts w:ascii="Arial" w:eastAsia="Times New Roman" w:hAnsi="Arial" w:cs="Arial"/>
                <w:b/>
                <w:color w:val="000000" w:themeColor="text1"/>
                <w:sz w:val="18"/>
                <w:szCs w:val="18"/>
              </w:rPr>
              <w:t>.</w:t>
            </w:r>
            <w:bookmarkEnd w:id="322"/>
          </w:p>
        </w:tc>
        <w:tc>
          <w:tcPr>
            <w:tcW w:w="1134" w:type="dxa"/>
            <w:vAlign w:val="bottom"/>
          </w:tcPr>
          <w:p w14:paraId="06ECCCE9" w14:textId="7451BDD4" w:rsidR="00A73031" w:rsidRPr="009D681D" w:rsidRDefault="00A73031" w:rsidP="00A73031">
            <w:pPr>
              <w:tabs>
                <w:tab w:val="right" w:pos="1202"/>
              </w:tabs>
              <w:suppressAutoHyphens/>
              <w:autoSpaceDN w:val="0"/>
              <w:jc w:val="right"/>
              <w:outlineLvl w:val="0"/>
              <w:rPr>
                <w:rFonts w:ascii="Arial" w:eastAsia="Times New Roman" w:hAnsi="Arial" w:cs="Arial"/>
                <w:b/>
                <w:color w:val="000000" w:themeColor="text1"/>
                <w:sz w:val="18"/>
                <w:szCs w:val="18"/>
              </w:rPr>
            </w:pPr>
            <w:r w:rsidRPr="009D681D">
              <w:rPr>
                <w:rFonts w:ascii="Arial" w:eastAsia="Times New Roman" w:hAnsi="Arial" w:cs="Arial"/>
                <w:b/>
                <w:color w:val="000000" w:themeColor="text1"/>
                <w:sz w:val="18"/>
                <w:szCs w:val="18"/>
              </w:rPr>
              <w:t>1.1.-31.12.</w:t>
            </w:r>
          </w:p>
          <w:p w14:paraId="5BA9F28B" w14:textId="00EA872A" w:rsidR="00A73031" w:rsidRPr="009D681D" w:rsidRDefault="00A73031" w:rsidP="00A73031">
            <w:pPr>
              <w:tabs>
                <w:tab w:val="right" w:pos="1202"/>
              </w:tabs>
              <w:suppressAutoHyphens/>
              <w:autoSpaceDN w:val="0"/>
              <w:jc w:val="right"/>
              <w:outlineLvl w:val="0"/>
              <w:rPr>
                <w:rFonts w:ascii="Arial" w:eastAsia="Times New Roman" w:hAnsi="Arial" w:cs="Arial"/>
                <w:b/>
                <w:color w:val="000000" w:themeColor="text1"/>
                <w:sz w:val="18"/>
                <w:szCs w:val="18"/>
              </w:rPr>
            </w:pPr>
            <w:r w:rsidRPr="009D681D">
              <w:rPr>
                <w:rFonts w:ascii="Arial" w:eastAsia="Times New Roman" w:hAnsi="Arial" w:cs="Arial"/>
                <w:b/>
                <w:color w:val="000000" w:themeColor="text1"/>
                <w:sz w:val="18"/>
                <w:szCs w:val="18"/>
              </w:rPr>
              <w:t>202</w:t>
            </w:r>
            <w:r w:rsidR="004F0FEC">
              <w:rPr>
                <w:rFonts w:ascii="Arial" w:eastAsia="Times New Roman" w:hAnsi="Arial" w:cs="Arial"/>
                <w:b/>
                <w:color w:val="000000" w:themeColor="text1"/>
                <w:sz w:val="18"/>
                <w:szCs w:val="18"/>
              </w:rPr>
              <w:t>3</w:t>
            </w:r>
            <w:r w:rsidRPr="009D681D">
              <w:rPr>
                <w:rFonts w:ascii="Arial" w:eastAsia="Times New Roman" w:hAnsi="Arial" w:cs="Arial"/>
                <w:b/>
                <w:color w:val="000000" w:themeColor="text1"/>
                <w:sz w:val="18"/>
                <w:szCs w:val="18"/>
              </w:rPr>
              <w:t>.</w:t>
            </w:r>
          </w:p>
        </w:tc>
      </w:tr>
      <w:tr w:rsidR="00A73031" w:rsidRPr="009D681D" w14:paraId="44CA28E9" w14:textId="77777777" w:rsidTr="009D681D">
        <w:trPr>
          <w:trHeight w:val="226"/>
        </w:trPr>
        <w:tc>
          <w:tcPr>
            <w:tcW w:w="4707" w:type="dxa"/>
            <w:tcBorders>
              <w:top w:val="nil"/>
              <w:left w:val="nil"/>
              <w:bottom w:val="nil"/>
              <w:right w:val="nil"/>
            </w:tcBorders>
            <w:shd w:val="clear" w:color="auto" w:fill="auto"/>
            <w:vAlign w:val="bottom"/>
            <w:hideMark/>
          </w:tcPr>
          <w:p w14:paraId="756DDF76" w14:textId="77777777" w:rsidR="00A73031" w:rsidRPr="009D681D" w:rsidRDefault="00A73031" w:rsidP="00A73031">
            <w:pPr>
              <w:suppressAutoHyphens/>
              <w:autoSpaceDN w:val="0"/>
              <w:jc w:val="right"/>
              <w:rPr>
                <w:rFonts w:ascii="Arial" w:eastAsia="Times New Roman" w:hAnsi="Arial" w:cs="Arial"/>
                <w:b/>
                <w:bCs/>
                <w:color w:val="000000" w:themeColor="text1"/>
                <w:sz w:val="18"/>
                <w:szCs w:val="18"/>
              </w:rPr>
            </w:pPr>
          </w:p>
        </w:tc>
        <w:tc>
          <w:tcPr>
            <w:tcW w:w="1134" w:type="dxa"/>
            <w:tcBorders>
              <w:top w:val="nil"/>
              <w:left w:val="nil"/>
              <w:bottom w:val="nil"/>
              <w:right w:val="nil"/>
            </w:tcBorders>
            <w:shd w:val="clear" w:color="auto" w:fill="auto"/>
            <w:vAlign w:val="bottom"/>
            <w:hideMark/>
          </w:tcPr>
          <w:p w14:paraId="1322AB08" w14:textId="5E0DB146" w:rsidR="00A73031" w:rsidRPr="009D681D" w:rsidRDefault="00A73031" w:rsidP="00A73031">
            <w:pPr>
              <w:suppressAutoHyphens/>
              <w:autoSpaceDN w:val="0"/>
              <w:jc w:val="right"/>
              <w:rPr>
                <w:rFonts w:ascii="Arial" w:eastAsia="Times New Roman" w:hAnsi="Arial" w:cs="Arial"/>
                <w:b/>
                <w:bCs/>
                <w:color w:val="000000" w:themeColor="text1"/>
                <w:sz w:val="18"/>
                <w:szCs w:val="18"/>
              </w:rPr>
            </w:pPr>
            <w:r w:rsidRPr="009D681D">
              <w:rPr>
                <w:rFonts w:ascii="Arial" w:eastAsia="Times New Roman" w:hAnsi="Arial" w:cs="Arial"/>
                <w:b/>
                <w:bCs/>
                <w:color w:val="000000" w:themeColor="text1"/>
                <w:sz w:val="18"/>
                <w:szCs w:val="18"/>
              </w:rPr>
              <w:t>000 eura</w:t>
            </w:r>
          </w:p>
        </w:tc>
        <w:tc>
          <w:tcPr>
            <w:tcW w:w="1134" w:type="dxa"/>
            <w:tcBorders>
              <w:top w:val="nil"/>
              <w:left w:val="nil"/>
              <w:bottom w:val="nil"/>
              <w:right w:val="nil"/>
            </w:tcBorders>
            <w:shd w:val="clear" w:color="auto" w:fill="auto"/>
            <w:vAlign w:val="bottom"/>
          </w:tcPr>
          <w:p w14:paraId="3407FA72" w14:textId="6C814164" w:rsidR="00A73031" w:rsidRPr="009D681D" w:rsidRDefault="00A73031" w:rsidP="00A73031">
            <w:pPr>
              <w:suppressAutoHyphens/>
              <w:autoSpaceDN w:val="0"/>
              <w:jc w:val="right"/>
              <w:rPr>
                <w:rFonts w:ascii="Arial" w:eastAsia="Times New Roman" w:hAnsi="Arial" w:cs="Arial"/>
                <w:b/>
                <w:bCs/>
                <w:color w:val="000000" w:themeColor="text1"/>
                <w:sz w:val="18"/>
                <w:szCs w:val="18"/>
              </w:rPr>
            </w:pPr>
            <w:r w:rsidRPr="009D681D">
              <w:rPr>
                <w:rFonts w:ascii="Arial" w:eastAsia="Times New Roman" w:hAnsi="Arial" w:cs="Arial"/>
                <w:b/>
                <w:bCs/>
                <w:color w:val="000000" w:themeColor="text1"/>
                <w:sz w:val="18"/>
                <w:szCs w:val="18"/>
              </w:rPr>
              <w:t>000 eura</w:t>
            </w:r>
          </w:p>
        </w:tc>
        <w:tc>
          <w:tcPr>
            <w:tcW w:w="1134" w:type="dxa"/>
            <w:tcBorders>
              <w:top w:val="nil"/>
              <w:left w:val="nil"/>
              <w:bottom w:val="nil"/>
              <w:right w:val="nil"/>
            </w:tcBorders>
            <w:shd w:val="clear" w:color="auto" w:fill="auto"/>
            <w:vAlign w:val="bottom"/>
            <w:hideMark/>
          </w:tcPr>
          <w:p w14:paraId="311FA528" w14:textId="385811B9" w:rsidR="00A73031" w:rsidRPr="009D681D" w:rsidRDefault="00A73031" w:rsidP="00A73031">
            <w:pPr>
              <w:suppressAutoHyphens/>
              <w:autoSpaceDN w:val="0"/>
              <w:jc w:val="right"/>
              <w:rPr>
                <w:rFonts w:ascii="Arial" w:eastAsia="Times New Roman" w:hAnsi="Arial" w:cs="Arial"/>
                <w:b/>
                <w:bCs/>
                <w:color w:val="000000" w:themeColor="text1"/>
                <w:sz w:val="18"/>
                <w:szCs w:val="18"/>
              </w:rPr>
            </w:pPr>
            <w:r w:rsidRPr="009D681D">
              <w:rPr>
                <w:rFonts w:ascii="Arial" w:eastAsia="Times New Roman" w:hAnsi="Arial" w:cs="Arial"/>
                <w:b/>
                <w:bCs/>
                <w:color w:val="000000" w:themeColor="text1"/>
                <w:sz w:val="18"/>
                <w:szCs w:val="18"/>
              </w:rPr>
              <w:t>000 eura</w:t>
            </w:r>
          </w:p>
        </w:tc>
        <w:tc>
          <w:tcPr>
            <w:tcW w:w="1134" w:type="dxa"/>
            <w:tcBorders>
              <w:top w:val="nil"/>
              <w:left w:val="nil"/>
              <w:bottom w:val="nil"/>
              <w:right w:val="nil"/>
            </w:tcBorders>
            <w:shd w:val="clear" w:color="auto" w:fill="auto"/>
            <w:vAlign w:val="bottom"/>
          </w:tcPr>
          <w:p w14:paraId="260FBCC9" w14:textId="6FFFB624" w:rsidR="00A73031" w:rsidRPr="009D681D" w:rsidRDefault="00A73031" w:rsidP="00A73031">
            <w:pPr>
              <w:suppressAutoHyphens/>
              <w:autoSpaceDN w:val="0"/>
              <w:jc w:val="right"/>
              <w:rPr>
                <w:rFonts w:ascii="Arial" w:eastAsia="Times New Roman" w:hAnsi="Arial" w:cs="Arial"/>
                <w:b/>
                <w:bCs/>
                <w:color w:val="000000" w:themeColor="text1"/>
                <w:sz w:val="18"/>
                <w:szCs w:val="18"/>
              </w:rPr>
            </w:pPr>
            <w:r w:rsidRPr="009D681D">
              <w:rPr>
                <w:rFonts w:ascii="Arial" w:eastAsia="Times New Roman" w:hAnsi="Arial" w:cs="Arial"/>
                <w:b/>
                <w:bCs/>
                <w:color w:val="000000" w:themeColor="text1"/>
                <w:sz w:val="18"/>
                <w:szCs w:val="18"/>
              </w:rPr>
              <w:t>000 eura</w:t>
            </w:r>
          </w:p>
        </w:tc>
      </w:tr>
      <w:tr w:rsidR="002164C7" w:rsidRPr="009D681D" w14:paraId="7C9C47DB" w14:textId="77777777" w:rsidTr="001C4EC0">
        <w:trPr>
          <w:trHeight w:val="371"/>
        </w:trPr>
        <w:tc>
          <w:tcPr>
            <w:tcW w:w="4707" w:type="dxa"/>
            <w:tcBorders>
              <w:top w:val="nil"/>
              <w:left w:val="nil"/>
              <w:bottom w:val="nil"/>
              <w:right w:val="nil"/>
            </w:tcBorders>
            <w:shd w:val="clear" w:color="auto" w:fill="auto"/>
            <w:vAlign w:val="bottom"/>
          </w:tcPr>
          <w:p w14:paraId="1A904DD6" w14:textId="77777777" w:rsidR="002164C7" w:rsidRPr="009D681D" w:rsidRDefault="002164C7" w:rsidP="002164C7">
            <w:pPr>
              <w:suppressAutoHyphens/>
              <w:autoSpaceDN w:val="0"/>
              <w:rPr>
                <w:rFonts w:ascii="Arial" w:eastAsia="Times New Roman" w:hAnsi="Arial" w:cs="Arial"/>
                <w:color w:val="000000" w:themeColor="text1"/>
                <w:sz w:val="18"/>
                <w:szCs w:val="18"/>
              </w:rPr>
            </w:pPr>
            <w:r w:rsidRPr="009D681D">
              <w:rPr>
                <w:rFonts w:ascii="Arial" w:eastAsia="Times New Roman" w:hAnsi="Arial" w:cs="Arial"/>
                <w:color w:val="000000" w:themeColor="text1"/>
                <w:sz w:val="18"/>
                <w:szCs w:val="18"/>
              </w:rPr>
              <w:t>Stanje 1. siječnja</w:t>
            </w:r>
          </w:p>
        </w:tc>
        <w:tc>
          <w:tcPr>
            <w:tcW w:w="1134" w:type="dxa"/>
            <w:tcBorders>
              <w:top w:val="nil"/>
              <w:left w:val="nil"/>
              <w:bottom w:val="nil"/>
              <w:right w:val="nil"/>
            </w:tcBorders>
            <w:shd w:val="clear" w:color="auto" w:fill="auto"/>
            <w:noWrap/>
            <w:vAlign w:val="bottom"/>
          </w:tcPr>
          <w:p w14:paraId="2D06C064" w14:textId="546B7B11" w:rsidR="002164C7" w:rsidRPr="001C4EC0" w:rsidRDefault="002164C7" w:rsidP="002164C7">
            <w:pPr>
              <w:suppressAutoHyphens/>
              <w:autoSpaceDN w:val="0"/>
              <w:jc w:val="right"/>
              <w:rPr>
                <w:rFonts w:ascii="Arial" w:eastAsia="Times New Roman" w:hAnsi="Arial" w:cs="Arial"/>
                <w:color w:val="000000" w:themeColor="text1"/>
                <w:sz w:val="18"/>
                <w:szCs w:val="18"/>
              </w:rPr>
            </w:pPr>
            <w:r w:rsidRPr="001C4EC0">
              <w:rPr>
                <w:rFonts w:ascii="Arial" w:hAnsi="Arial" w:cs="Arial"/>
                <w:sz w:val="18"/>
                <w:szCs w:val="18"/>
              </w:rPr>
              <w:t>159</w:t>
            </w:r>
          </w:p>
        </w:tc>
        <w:tc>
          <w:tcPr>
            <w:tcW w:w="1134" w:type="dxa"/>
            <w:tcBorders>
              <w:top w:val="nil"/>
              <w:left w:val="nil"/>
              <w:bottom w:val="nil"/>
              <w:right w:val="nil"/>
            </w:tcBorders>
            <w:shd w:val="clear" w:color="auto" w:fill="auto"/>
            <w:vAlign w:val="bottom"/>
          </w:tcPr>
          <w:p w14:paraId="770F9843" w14:textId="53618CBD" w:rsidR="002164C7" w:rsidRPr="009D681D" w:rsidRDefault="002164C7" w:rsidP="002164C7">
            <w:pPr>
              <w:suppressAutoHyphens/>
              <w:autoSpaceDN w:val="0"/>
              <w:jc w:val="right"/>
              <w:rPr>
                <w:rFonts w:ascii="Arial" w:eastAsia="Times New Roman" w:hAnsi="Arial" w:cs="Arial"/>
                <w:color w:val="000000" w:themeColor="text1"/>
                <w:sz w:val="18"/>
                <w:szCs w:val="18"/>
              </w:rPr>
            </w:pPr>
            <w:r>
              <w:rPr>
                <w:rFonts w:ascii="Arial" w:hAnsi="Arial" w:cs="Arial"/>
                <w:color w:val="000000" w:themeColor="text1"/>
                <w:sz w:val="18"/>
                <w:szCs w:val="18"/>
              </w:rPr>
              <w:t>805</w:t>
            </w:r>
          </w:p>
        </w:tc>
        <w:tc>
          <w:tcPr>
            <w:tcW w:w="1134" w:type="dxa"/>
            <w:tcBorders>
              <w:top w:val="nil"/>
              <w:left w:val="nil"/>
              <w:bottom w:val="nil"/>
              <w:right w:val="nil"/>
            </w:tcBorders>
            <w:shd w:val="clear" w:color="auto" w:fill="auto"/>
            <w:vAlign w:val="bottom"/>
          </w:tcPr>
          <w:p w14:paraId="2C513DAC" w14:textId="6C4DFED7" w:rsidR="002164C7" w:rsidRPr="009D681D" w:rsidRDefault="002164C7" w:rsidP="002164C7">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158</w:t>
            </w:r>
          </w:p>
        </w:tc>
        <w:tc>
          <w:tcPr>
            <w:tcW w:w="1134" w:type="dxa"/>
            <w:tcBorders>
              <w:top w:val="nil"/>
              <w:left w:val="nil"/>
              <w:bottom w:val="nil"/>
              <w:right w:val="nil"/>
            </w:tcBorders>
            <w:shd w:val="clear" w:color="auto" w:fill="auto"/>
            <w:vAlign w:val="bottom"/>
          </w:tcPr>
          <w:p w14:paraId="43B7C8B9" w14:textId="3B784911" w:rsidR="002164C7" w:rsidRPr="009D681D" w:rsidRDefault="002164C7" w:rsidP="002164C7">
            <w:pPr>
              <w:suppressAutoHyphens/>
              <w:autoSpaceDN w:val="0"/>
              <w:jc w:val="right"/>
              <w:rPr>
                <w:rFonts w:ascii="Arial" w:eastAsia="Times New Roman" w:hAnsi="Arial" w:cs="Arial"/>
                <w:color w:val="000000" w:themeColor="text1"/>
                <w:sz w:val="18"/>
                <w:szCs w:val="18"/>
              </w:rPr>
            </w:pPr>
            <w:r>
              <w:rPr>
                <w:rFonts w:ascii="Arial" w:hAnsi="Arial" w:cs="Arial"/>
                <w:color w:val="000000" w:themeColor="text1"/>
                <w:sz w:val="18"/>
                <w:szCs w:val="18"/>
              </w:rPr>
              <w:t>804</w:t>
            </w:r>
          </w:p>
        </w:tc>
      </w:tr>
      <w:tr w:rsidR="002164C7" w:rsidRPr="009D681D" w14:paraId="41C7BE33" w14:textId="77777777" w:rsidTr="001C4EC0">
        <w:trPr>
          <w:trHeight w:val="371"/>
        </w:trPr>
        <w:tc>
          <w:tcPr>
            <w:tcW w:w="4707" w:type="dxa"/>
            <w:tcBorders>
              <w:top w:val="nil"/>
              <w:left w:val="nil"/>
              <w:bottom w:val="nil"/>
              <w:right w:val="nil"/>
            </w:tcBorders>
            <w:shd w:val="clear" w:color="auto" w:fill="auto"/>
            <w:vAlign w:val="bottom"/>
          </w:tcPr>
          <w:p w14:paraId="127D96EB" w14:textId="5DEB25F4" w:rsidR="002164C7" w:rsidRPr="009D681D" w:rsidRDefault="002164C7" w:rsidP="002164C7">
            <w:pPr>
              <w:suppressAutoHyphens/>
              <w:autoSpaceDN w:val="0"/>
              <w:rPr>
                <w:rFonts w:ascii="Arial" w:eastAsia="Times New Roman" w:hAnsi="Arial" w:cs="Arial"/>
                <w:color w:val="000000" w:themeColor="text1"/>
                <w:sz w:val="18"/>
                <w:szCs w:val="18"/>
              </w:rPr>
            </w:pPr>
            <w:r w:rsidRPr="009D681D">
              <w:rPr>
                <w:rFonts w:ascii="Arial" w:eastAsia="Times New Roman" w:hAnsi="Arial" w:cs="Arial"/>
                <w:color w:val="000000" w:themeColor="text1"/>
                <w:sz w:val="18"/>
                <w:szCs w:val="18"/>
              </w:rPr>
              <w:t>Neto (</w:t>
            </w:r>
            <w:r w:rsidRPr="003A16D6">
              <w:rPr>
                <w:rFonts w:ascii="Arial" w:eastAsia="Times New Roman" w:hAnsi="Arial" w:cs="Arial"/>
                <w:color w:val="000000" w:themeColor="text1"/>
                <w:sz w:val="18"/>
                <w:szCs w:val="18"/>
              </w:rPr>
              <w:t>smanjenje)</w:t>
            </w:r>
            <w:r>
              <w:rPr>
                <w:rFonts w:ascii="Arial" w:eastAsia="Times New Roman" w:hAnsi="Arial" w:cs="Arial"/>
                <w:color w:val="000000" w:themeColor="text1"/>
                <w:sz w:val="18"/>
                <w:szCs w:val="18"/>
              </w:rPr>
              <w:t xml:space="preserve"> </w:t>
            </w:r>
            <w:r w:rsidRPr="007A3831">
              <w:rPr>
                <w:rFonts w:ascii="Arial" w:eastAsia="Times New Roman" w:hAnsi="Arial" w:cs="Arial"/>
                <w:color w:val="000000" w:themeColor="text1"/>
                <w:sz w:val="18"/>
                <w:szCs w:val="18"/>
              </w:rPr>
              <w:t>rezerviranja za očekivane gubitke po računima kod banaka</w:t>
            </w:r>
          </w:p>
        </w:tc>
        <w:tc>
          <w:tcPr>
            <w:tcW w:w="1134" w:type="dxa"/>
            <w:tcBorders>
              <w:top w:val="nil"/>
              <w:left w:val="nil"/>
              <w:right w:val="nil"/>
            </w:tcBorders>
            <w:shd w:val="clear" w:color="auto" w:fill="auto"/>
            <w:vAlign w:val="bottom"/>
          </w:tcPr>
          <w:p w14:paraId="771380AC" w14:textId="438367F8" w:rsidR="002164C7" w:rsidRPr="001C4EC0" w:rsidRDefault="002164C7" w:rsidP="002164C7">
            <w:pPr>
              <w:suppressAutoHyphens/>
              <w:autoSpaceDN w:val="0"/>
              <w:jc w:val="right"/>
              <w:rPr>
                <w:rFonts w:ascii="Arial" w:eastAsia="Times New Roman" w:hAnsi="Arial" w:cs="Arial"/>
                <w:color w:val="000000" w:themeColor="text1"/>
                <w:sz w:val="18"/>
                <w:szCs w:val="18"/>
              </w:rPr>
            </w:pPr>
            <w:r w:rsidRPr="001C4EC0">
              <w:rPr>
                <w:rFonts w:ascii="Arial" w:hAnsi="Arial" w:cs="Arial"/>
                <w:sz w:val="18"/>
                <w:szCs w:val="18"/>
              </w:rPr>
              <w:t>(19)</w:t>
            </w:r>
          </w:p>
        </w:tc>
        <w:tc>
          <w:tcPr>
            <w:tcW w:w="1134" w:type="dxa"/>
            <w:tcBorders>
              <w:top w:val="nil"/>
              <w:left w:val="nil"/>
              <w:right w:val="nil"/>
            </w:tcBorders>
            <w:shd w:val="clear" w:color="auto" w:fill="auto"/>
            <w:vAlign w:val="bottom"/>
          </w:tcPr>
          <w:p w14:paraId="423C3561" w14:textId="60610BF2" w:rsidR="002164C7" w:rsidRPr="009D681D" w:rsidRDefault="002164C7" w:rsidP="002164C7">
            <w:pPr>
              <w:suppressAutoHyphens/>
              <w:autoSpaceDN w:val="0"/>
              <w:jc w:val="right"/>
              <w:rPr>
                <w:rFonts w:ascii="Arial" w:eastAsia="Times New Roman" w:hAnsi="Arial" w:cs="Arial"/>
                <w:color w:val="000000" w:themeColor="text1"/>
                <w:sz w:val="18"/>
                <w:szCs w:val="18"/>
              </w:rPr>
            </w:pPr>
            <w:r w:rsidRPr="0091098E">
              <w:rPr>
                <w:rFonts w:ascii="Arial" w:hAnsi="Arial" w:cs="Arial"/>
                <w:color w:val="000000" w:themeColor="text1"/>
                <w:sz w:val="18"/>
                <w:szCs w:val="18"/>
              </w:rPr>
              <w:t>(646)</w:t>
            </w:r>
          </w:p>
        </w:tc>
        <w:tc>
          <w:tcPr>
            <w:tcW w:w="1134" w:type="dxa"/>
            <w:tcBorders>
              <w:top w:val="nil"/>
              <w:left w:val="nil"/>
              <w:right w:val="nil"/>
            </w:tcBorders>
            <w:shd w:val="clear" w:color="auto" w:fill="auto"/>
            <w:vAlign w:val="bottom"/>
          </w:tcPr>
          <w:p w14:paraId="1AD89D7C" w14:textId="4838ECE4" w:rsidR="002164C7" w:rsidRPr="009D681D" w:rsidRDefault="002164C7" w:rsidP="002164C7">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(19)</w:t>
            </w:r>
          </w:p>
        </w:tc>
        <w:tc>
          <w:tcPr>
            <w:tcW w:w="1134" w:type="dxa"/>
            <w:tcBorders>
              <w:top w:val="nil"/>
              <w:left w:val="nil"/>
              <w:right w:val="nil"/>
            </w:tcBorders>
            <w:shd w:val="clear" w:color="auto" w:fill="auto"/>
            <w:vAlign w:val="bottom"/>
          </w:tcPr>
          <w:p w14:paraId="031E7052" w14:textId="1097D7E9" w:rsidR="002164C7" w:rsidRPr="009D681D" w:rsidRDefault="002164C7" w:rsidP="002164C7">
            <w:pPr>
              <w:suppressAutoHyphens/>
              <w:autoSpaceDN w:val="0"/>
              <w:jc w:val="right"/>
              <w:rPr>
                <w:rFonts w:ascii="Arial" w:eastAsia="Times New Roman" w:hAnsi="Arial" w:cs="Arial"/>
                <w:color w:val="000000" w:themeColor="text1"/>
                <w:sz w:val="18"/>
                <w:szCs w:val="18"/>
              </w:rPr>
            </w:pPr>
            <w:r>
              <w:rPr>
                <w:rFonts w:ascii="Arial" w:hAnsi="Arial" w:cs="Arial"/>
                <w:color w:val="000000" w:themeColor="text1"/>
                <w:sz w:val="18"/>
                <w:szCs w:val="18"/>
              </w:rPr>
              <w:t>(646)</w:t>
            </w:r>
          </w:p>
        </w:tc>
      </w:tr>
      <w:tr w:rsidR="002164C7" w:rsidRPr="009D681D" w14:paraId="24A21D27" w14:textId="77777777" w:rsidTr="001C4EC0">
        <w:trPr>
          <w:trHeight w:val="371"/>
        </w:trPr>
        <w:tc>
          <w:tcPr>
            <w:tcW w:w="4707" w:type="dxa"/>
            <w:tcBorders>
              <w:top w:val="nil"/>
              <w:left w:val="nil"/>
              <w:bottom w:val="nil"/>
              <w:right w:val="nil"/>
            </w:tcBorders>
            <w:shd w:val="clear" w:color="auto" w:fill="auto"/>
            <w:vAlign w:val="bottom"/>
          </w:tcPr>
          <w:p w14:paraId="26D87E27" w14:textId="02B54BE0" w:rsidR="002164C7" w:rsidRPr="009D681D" w:rsidRDefault="002164C7" w:rsidP="002164C7">
            <w:pPr>
              <w:suppressAutoHyphens/>
              <w:autoSpaceDN w:val="0"/>
              <w:rPr>
                <w:rFonts w:ascii="Arial" w:eastAsia="Times New Roman" w:hAnsi="Arial" w:cs="Arial"/>
                <w:i/>
                <w:iCs/>
                <w:color w:val="000000" w:themeColor="text1"/>
                <w:sz w:val="18"/>
                <w:szCs w:val="18"/>
              </w:rPr>
            </w:pPr>
            <w:r w:rsidRPr="009D681D">
              <w:rPr>
                <w:rFonts w:ascii="Arial" w:eastAsia="Times New Roman" w:hAnsi="Arial" w:cs="Arial"/>
                <w:i/>
                <w:iCs/>
                <w:color w:val="000000" w:themeColor="text1"/>
                <w:sz w:val="18"/>
                <w:szCs w:val="18"/>
              </w:rPr>
              <w:t xml:space="preserve">Ukupno </w:t>
            </w:r>
            <w:r w:rsidRPr="007A3831">
              <w:rPr>
                <w:rFonts w:ascii="Arial" w:eastAsia="Times New Roman" w:hAnsi="Arial" w:cs="Arial"/>
                <w:i/>
                <w:iCs/>
                <w:color w:val="000000" w:themeColor="text1"/>
                <w:sz w:val="18"/>
                <w:szCs w:val="18"/>
              </w:rPr>
              <w:t>kroz dobit ili gubitak (</w:t>
            </w:r>
            <w:r w:rsidRPr="00CC7FB0">
              <w:rPr>
                <w:rFonts w:ascii="Arial" w:eastAsia="Times New Roman" w:hAnsi="Arial" w:cs="Arial"/>
                <w:i/>
                <w:iCs/>
                <w:color w:val="000000" w:themeColor="text1"/>
                <w:sz w:val="18"/>
                <w:szCs w:val="18"/>
              </w:rPr>
              <w:t>bilješka 8)</w:t>
            </w:r>
          </w:p>
        </w:tc>
        <w:tc>
          <w:tcPr>
            <w:tcW w:w="1134" w:type="dxa"/>
            <w:tcBorders>
              <w:top w:val="single" w:sz="4" w:space="0" w:color="auto"/>
              <w:left w:val="nil"/>
              <w:bottom w:val="single" w:sz="4" w:space="0" w:color="auto"/>
              <w:right w:val="nil"/>
            </w:tcBorders>
            <w:shd w:val="clear" w:color="auto" w:fill="auto"/>
            <w:vAlign w:val="bottom"/>
          </w:tcPr>
          <w:p w14:paraId="5A6C5D8E" w14:textId="233877ED" w:rsidR="002164C7" w:rsidRPr="001C4EC0" w:rsidRDefault="002164C7" w:rsidP="002164C7">
            <w:pPr>
              <w:suppressAutoHyphens/>
              <w:autoSpaceDN w:val="0"/>
              <w:jc w:val="right"/>
              <w:rPr>
                <w:rFonts w:ascii="Arial" w:eastAsia="Times New Roman" w:hAnsi="Arial" w:cs="Arial"/>
                <w:bCs/>
                <w:i/>
                <w:iCs/>
                <w:color w:val="000000" w:themeColor="text1"/>
                <w:sz w:val="18"/>
                <w:szCs w:val="18"/>
              </w:rPr>
            </w:pPr>
            <w:r w:rsidRPr="001C4EC0">
              <w:rPr>
                <w:rFonts w:ascii="Arial" w:hAnsi="Arial" w:cs="Arial"/>
                <w:i/>
                <w:iCs/>
                <w:sz w:val="18"/>
                <w:szCs w:val="18"/>
              </w:rPr>
              <w:t>(19)</w:t>
            </w:r>
          </w:p>
        </w:tc>
        <w:tc>
          <w:tcPr>
            <w:tcW w:w="1134" w:type="dxa"/>
            <w:tcBorders>
              <w:top w:val="single" w:sz="4" w:space="0" w:color="auto"/>
              <w:left w:val="nil"/>
              <w:bottom w:val="single" w:sz="4" w:space="0" w:color="auto"/>
              <w:right w:val="nil"/>
            </w:tcBorders>
            <w:shd w:val="clear" w:color="auto" w:fill="auto"/>
            <w:vAlign w:val="bottom"/>
          </w:tcPr>
          <w:p w14:paraId="0A4E040E" w14:textId="0614223A" w:rsidR="002164C7" w:rsidRPr="009D681D" w:rsidRDefault="002164C7" w:rsidP="002164C7">
            <w:pPr>
              <w:suppressAutoHyphens/>
              <w:autoSpaceDN w:val="0"/>
              <w:jc w:val="right"/>
              <w:rPr>
                <w:rFonts w:ascii="Arial" w:eastAsia="Times New Roman" w:hAnsi="Arial" w:cs="Arial"/>
                <w:bCs/>
                <w:i/>
                <w:color w:val="000000" w:themeColor="text1"/>
                <w:sz w:val="18"/>
                <w:szCs w:val="18"/>
              </w:rPr>
            </w:pPr>
            <w:r w:rsidRPr="0091098E">
              <w:rPr>
                <w:rFonts w:ascii="Arial" w:hAnsi="Arial" w:cs="Arial"/>
                <w:bCs/>
                <w:i/>
                <w:color w:val="000000" w:themeColor="text1"/>
                <w:sz w:val="18"/>
                <w:szCs w:val="18"/>
              </w:rPr>
              <w:t>(646)</w:t>
            </w:r>
          </w:p>
        </w:tc>
        <w:tc>
          <w:tcPr>
            <w:tcW w:w="1134" w:type="dxa"/>
            <w:tcBorders>
              <w:top w:val="single" w:sz="4" w:space="0" w:color="auto"/>
              <w:left w:val="nil"/>
              <w:bottom w:val="single" w:sz="4" w:space="0" w:color="auto"/>
              <w:right w:val="nil"/>
            </w:tcBorders>
            <w:shd w:val="clear" w:color="auto" w:fill="auto"/>
            <w:vAlign w:val="bottom"/>
          </w:tcPr>
          <w:p w14:paraId="6DFE3D0A" w14:textId="7C24589D" w:rsidR="002164C7" w:rsidRPr="009D681D" w:rsidRDefault="002164C7" w:rsidP="002164C7">
            <w:pPr>
              <w:suppressAutoHyphens/>
              <w:autoSpaceDN w:val="0"/>
              <w:jc w:val="right"/>
              <w:rPr>
                <w:rFonts w:ascii="Arial" w:eastAsia="Times New Roman" w:hAnsi="Arial" w:cs="Arial"/>
                <w:bCs/>
                <w:i/>
                <w:iCs/>
                <w:color w:val="000000" w:themeColor="text1"/>
                <w:sz w:val="18"/>
                <w:szCs w:val="18"/>
              </w:rPr>
            </w:pPr>
            <w:r>
              <w:rPr>
                <w:rFonts w:ascii="Arial" w:eastAsia="Times New Roman" w:hAnsi="Arial" w:cs="Arial"/>
                <w:bCs/>
                <w:i/>
                <w:iCs/>
                <w:color w:val="000000" w:themeColor="text1"/>
                <w:sz w:val="18"/>
                <w:szCs w:val="18"/>
              </w:rPr>
              <w:t>(19)</w:t>
            </w:r>
          </w:p>
        </w:tc>
        <w:tc>
          <w:tcPr>
            <w:tcW w:w="1134" w:type="dxa"/>
            <w:tcBorders>
              <w:top w:val="single" w:sz="4" w:space="0" w:color="auto"/>
              <w:left w:val="nil"/>
              <w:bottom w:val="single" w:sz="4" w:space="0" w:color="auto"/>
              <w:right w:val="nil"/>
            </w:tcBorders>
            <w:shd w:val="clear" w:color="auto" w:fill="auto"/>
            <w:vAlign w:val="bottom"/>
          </w:tcPr>
          <w:p w14:paraId="4D788C10" w14:textId="2C42CB1B" w:rsidR="002164C7" w:rsidRPr="009D681D" w:rsidRDefault="002164C7" w:rsidP="002164C7">
            <w:pPr>
              <w:suppressAutoHyphens/>
              <w:autoSpaceDN w:val="0"/>
              <w:jc w:val="right"/>
              <w:rPr>
                <w:rFonts w:ascii="Arial" w:eastAsia="Times New Roman" w:hAnsi="Arial" w:cs="Arial"/>
                <w:bCs/>
                <w:i/>
                <w:iCs/>
                <w:color w:val="000000" w:themeColor="text1"/>
                <w:sz w:val="18"/>
                <w:szCs w:val="18"/>
              </w:rPr>
            </w:pPr>
            <w:r w:rsidRPr="00E21596">
              <w:rPr>
                <w:rFonts w:ascii="Arial" w:hAnsi="Arial" w:cs="Arial"/>
                <w:bCs/>
                <w:i/>
                <w:color w:val="000000" w:themeColor="text1"/>
                <w:sz w:val="18"/>
                <w:szCs w:val="18"/>
              </w:rPr>
              <w:t>(646)</w:t>
            </w:r>
          </w:p>
        </w:tc>
      </w:tr>
      <w:tr w:rsidR="002164C7" w:rsidRPr="009D681D" w14:paraId="355F95E3" w14:textId="77777777" w:rsidTr="001C4EC0">
        <w:trPr>
          <w:trHeight w:val="371"/>
        </w:trPr>
        <w:tc>
          <w:tcPr>
            <w:tcW w:w="4707" w:type="dxa"/>
            <w:tcBorders>
              <w:top w:val="nil"/>
              <w:left w:val="nil"/>
              <w:bottom w:val="nil"/>
              <w:right w:val="nil"/>
            </w:tcBorders>
            <w:shd w:val="clear" w:color="auto" w:fill="auto"/>
            <w:vAlign w:val="bottom"/>
          </w:tcPr>
          <w:p w14:paraId="581F54EF" w14:textId="77777777" w:rsidR="002164C7" w:rsidRPr="009D681D" w:rsidRDefault="002164C7" w:rsidP="002164C7">
            <w:pPr>
              <w:suppressAutoHyphens/>
              <w:autoSpaceDN w:val="0"/>
              <w:rPr>
                <w:rFonts w:ascii="Arial" w:eastAsia="Times New Roman" w:hAnsi="Arial" w:cs="Arial"/>
                <w:b/>
                <w:bCs/>
                <w:color w:val="000000" w:themeColor="text1"/>
                <w:sz w:val="18"/>
                <w:szCs w:val="18"/>
              </w:rPr>
            </w:pPr>
            <w:r w:rsidRPr="009D681D">
              <w:rPr>
                <w:rFonts w:ascii="Arial" w:eastAsia="Times New Roman" w:hAnsi="Arial" w:cs="Arial"/>
                <w:b/>
                <w:bCs/>
                <w:color w:val="000000" w:themeColor="text1"/>
                <w:sz w:val="18"/>
                <w:szCs w:val="18"/>
              </w:rPr>
              <w:t>Stanje na kraju izvještajnog razdoblja</w:t>
            </w:r>
          </w:p>
        </w:tc>
        <w:tc>
          <w:tcPr>
            <w:tcW w:w="1134" w:type="dxa"/>
            <w:tcBorders>
              <w:top w:val="single" w:sz="4" w:space="0" w:color="auto"/>
              <w:left w:val="nil"/>
              <w:bottom w:val="single" w:sz="12" w:space="0" w:color="auto"/>
              <w:right w:val="nil"/>
            </w:tcBorders>
            <w:shd w:val="clear" w:color="auto" w:fill="auto"/>
            <w:noWrap/>
            <w:vAlign w:val="bottom"/>
          </w:tcPr>
          <w:p w14:paraId="450A4751" w14:textId="18EEAEA9" w:rsidR="002164C7" w:rsidRPr="001C4EC0" w:rsidRDefault="002164C7" w:rsidP="002164C7">
            <w:pPr>
              <w:suppressAutoHyphens/>
              <w:autoSpaceDN w:val="0"/>
              <w:jc w:val="right"/>
              <w:rPr>
                <w:rFonts w:ascii="Arial" w:eastAsia="Times New Roman" w:hAnsi="Arial" w:cs="Arial"/>
                <w:b/>
                <w:bCs/>
                <w:color w:val="000000" w:themeColor="text1"/>
                <w:sz w:val="18"/>
                <w:szCs w:val="18"/>
              </w:rPr>
            </w:pPr>
            <w:r w:rsidRPr="001C4EC0">
              <w:rPr>
                <w:rFonts w:ascii="Arial" w:hAnsi="Arial" w:cs="Arial"/>
                <w:b/>
                <w:bCs/>
                <w:sz w:val="18"/>
                <w:szCs w:val="18"/>
              </w:rPr>
              <w:t>1</w:t>
            </w:r>
            <w:r w:rsidR="001C4EC0" w:rsidRPr="001C4EC0">
              <w:rPr>
                <w:rFonts w:ascii="Arial" w:hAnsi="Arial" w:cs="Arial"/>
                <w:b/>
                <w:bCs/>
                <w:sz w:val="18"/>
                <w:szCs w:val="18"/>
              </w:rPr>
              <w:t>40</w:t>
            </w:r>
          </w:p>
        </w:tc>
        <w:tc>
          <w:tcPr>
            <w:tcW w:w="1134" w:type="dxa"/>
            <w:tcBorders>
              <w:top w:val="single" w:sz="4" w:space="0" w:color="auto"/>
              <w:left w:val="nil"/>
              <w:bottom w:val="single" w:sz="12" w:space="0" w:color="auto"/>
              <w:right w:val="nil"/>
            </w:tcBorders>
            <w:shd w:val="clear" w:color="auto" w:fill="auto"/>
            <w:vAlign w:val="bottom"/>
          </w:tcPr>
          <w:p w14:paraId="365EB6E2" w14:textId="4D71C058" w:rsidR="002164C7" w:rsidRPr="009D681D" w:rsidRDefault="002164C7" w:rsidP="002164C7">
            <w:pPr>
              <w:suppressAutoHyphens/>
              <w:autoSpaceDN w:val="0"/>
              <w:jc w:val="right"/>
              <w:rPr>
                <w:rFonts w:ascii="Arial" w:eastAsia="Times New Roman" w:hAnsi="Arial" w:cs="Arial"/>
                <w:b/>
                <w:bCs/>
                <w:color w:val="000000" w:themeColor="text1"/>
                <w:sz w:val="18"/>
                <w:szCs w:val="18"/>
              </w:rPr>
            </w:pPr>
            <w:r>
              <w:rPr>
                <w:rFonts w:ascii="Arial" w:hAnsi="Arial" w:cs="Arial"/>
                <w:b/>
                <w:color w:val="000000" w:themeColor="text1"/>
                <w:sz w:val="18"/>
                <w:szCs w:val="18"/>
              </w:rPr>
              <w:t>159</w:t>
            </w:r>
          </w:p>
        </w:tc>
        <w:tc>
          <w:tcPr>
            <w:tcW w:w="1134" w:type="dxa"/>
            <w:tcBorders>
              <w:top w:val="single" w:sz="4" w:space="0" w:color="auto"/>
              <w:left w:val="nil"/>
              <w:bottom w:val="single" w:sz="12" w:space="0" w:color="auto"/>
              <w:right w:val="nil"/>
            </w:tcBorders>
            <w:shd w:val="clear" w:color="auto" w:fill="auto"/>
            <w:vAlign w:val="bottom"/>
          </w:tcPr>
          <w:p w14:paraId="6A9AC860" w14:textId="0067AECA" w:rsidR="002164C7" w:rsidRPr="009D681D" w:rsidRDefault="002164C7" w:rsidP="002164C7">
            <w:pPr>
              <w:suppressAutoHyphens/>
              <w:autoSpaceDN w:val="0"/>
              <w:jc w:val="right"/>
              <w:rPr>
                <w:rFonts w:ascii="Arial" w:eastAsia="Times New Roman" w:hAnsi="Arial" w:cs="Arial"/>
                <w:b/>
                <w:color w:val="000000" w:themeColor="text1"/>
                <w:sz w:val="18"/>
                <w:szCs w:val="18"/>
              </w:rPr>
            </w:pPr>
            <w:r>
              <w:rPr>
                <w:rFonts w:ascii="Arial" w:eastAsia="Times New Roman" w:hAnsi="Arial" w:cs="Arial"/>
                <w:b/>
                <w:color w:val="000000" w:themeColor="text1"/>
                <w:sz w:val="18"/>
                <w:szCs w:val="18"/>
              </w:rPr>
              <w:t>139</w:t>
            </w:r>
          </w:p>
        </w:tc>
        <w:tc>
          <w:tcPr>
            <w:tcW w:w="1134" w:type="dxa"/>
            <w:tcBorders>
              <w:top w:val="single" w:sz="4" w:space="0" w:color="auto"/>
              <w:left w:val="nil"/>
              <w:bottom w:val="single" w:sz="12" w:space="0" w:color="auto"/>
              <w:right w:val="nil"/>
            </w:tcBorders>
            <w:shd w:val="clear" w:color="auto" w:fill="auto"/>
            <w:vAlign w:val="bottom"/>
          </w:tcPr>
          <w:p w14:paraId="4F0607A1" w14:textId="19768CE6" w:rsidR="002164C7" w:rsidRPr="009D681D" w:rsidRDefault="002164C7" w:rsidP="002164C7">
            <w:pPr>
              <w:suppressAutoHyphens/>
              <w:autoSpaceDN w:val="0"/>
              <w:jc w:val="right"/>
              <w:rPr>
                <w:rFonts w:ascii="Arial" w:eastAsia="Times New Roman" w:hAnsi="Arial" w:cs="Arial"/>
                <w:b/>
                <w:color w:val="000000" w:themeColor="text1"/>
                <w:sz w:val="18"/>
                <w:szCs w:val="18"/>
              </w:rPr>
            </w:pPr>
            <w:r>
              <w:rPr>
                <w:rFonts w:ascii="Arial" w:hAnsi="Arial" w:cs="Arial"/>
                <w:b/>
                <w:color w:val="000000" w:themeColor="text1"/>
                <w:sz w:val="18"/>
                <w:szCs w:val="18"/>
              </w:rPr>
              <w:t>158</w:t>
            </w:r>
          </w:p>
        </w:tc>
      </w:tr>
    </w:tbl>
    <w:p w14:paraId="2F05FC9C" w14:textId="77777777" w:rsidR="00A73031" w:rsidRPr="003D1614" w:rsidRDefault="00A73031" w:rsidP="00A73031">
      <w:pPr>
        <w:keepNext/>
        <w:suppressAutoHyphens/>
        <w:autoSpaceDN w:val="0"/>
        <w:jc w:val="both"/>
        <w:outlineLvl w:val="0"/>
        <w:rPr>
          <w:rFonts w:ascii="Arial" w:eastAsia="Times New Roman" w:hAnsi="Arial" w:cs="Arial"/>
          <w:b/>
          <w:bCs/>
          <w:color w:val="000000" w:themeColor="text1"/>
          <w:sz w:val="20"/>
          <w:szCs w:val="20"/>
        </w:rPr>
      </w:pPr>
    </w:p>
    <w:bookmarkEnd w:id="308"/>
    <w:p w14:paraId="4DD87702" w14:textId="28D7C52A" w:rsidR="00A73031" w:rsidRPr="003D1614" w:rsidRDefault="00A73031" w:rsidP="00DE4AC9">
      <w:pPr>
        <w:keepNext/>
        <w:suppressAutoHyphens/>
        <w:autoSpaceDN w:val="0"/>
        <w:jc w:val="both"/>
        <w:outlineLvl w:val="0"/>
        <w:rPr>
          <w:rFonts w:ascii="Arial" w:eastAsia="Times New Roman" w:hAnsi="Arial" w:cs="Arial"/>
          <w:bCs/>
          <w:color w:val="000000" w:themeColor="text1"/>
          <w:sz w:val="20"/>
          <w:szCs w:val="20"/>
        </w:rPr>
      </w:pPr>
    </w:p>
    <w:p w14:paraId="240BFCC0" w14:textId="77777777" w:rsidR="00A73031" w:rsidRPr="003D1614" w:rsidRDefault="00A73031" w:rsidP="00DE4AC9">
      <w:pPr>
        <w:keepNext/>
        <w:suppressAutoHyphens/>
        <w:autoSpaceDN w:val="0"/>
        <w:jc w:val="both"/>
        <w:outlineLvl w:val="0"/>
        <w:rPr>
          <w:rFonts w:ascii="Arial" w:eastAsia="Times New Roman" w:hAnsi="Arial" w:cs="Arial"/>
          <w:bCs/>
          <w:color w:val="000000" w:themeColor="text1"/>
          <w:sz w:val="20"/>
          <w:szCs w:val="20"/>
        </w:rPr>
        <w:sectPr w:rsidR="00A73031" w:rsidRPr="003D1614">
          <w:pgSz w:w="11906" w:h="16838"/>
          <w:pgMar w:top="1417" w:right="1417" w:bottom="1417" w:left="1417" w:header="708" w:footer="708" w:gutter="0"/>
          <w:cols w:space="708"/>
          <w:docGrid w:linePitch="360"/>
        </w:sectPr>
      </w:pPr>
    </w:p>
    <w:p w14:paraId="23B81CE8" w14:textId="77777777" w:rsidR="00A73031" w:rsidRPr="003D1614" w:rsidRDefault="00A73031" w:rsidP="00A73031">
      <w:pPr>
        <w:keepNext/>
        <w:suppressAutoHyphens/>
        <w:autoSpaceDN w:val="0"/>
        <w:jc w:val="both"/>
        <w:outlineLvl w:val="0"/>
        <w:rPr>
          <w:rFonts w:ascii="Arial" w:eastAsia="Times New Roman" w:hAnsi="Arial" w:cs="Arial"/>
          <w:b/>
          <w:bCs/>
          <w:color w:val="000000" w:themeColor="text1"/>
        </w:rPr>
      </w:pPr>
    </w:p>
    <w:p w14:paraId="6939C7CC" w14:textId="0005838B" w:rsidR="00A73031" w:rsidRPr="003D1614" w:rsidRDefault="00A73031" w:rsidP="00A73031">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10.</w:t>
      </w:r>
      <w:r w:rsidRPr="003D1614">
        <w:rPr>
          <w:rFonts w:ascii="Arial" w:eastAsia="Times New Roman" w:hAnsi="Arial" w:cs="Arial"/>
          <w:b/>
          <w:bCs/>
          <w:color w:val="000000" w:themeColor="text1"/>
          <w:sz w:val="20"/>
          <w:szCs w:val="20"/>
        </w:rPr>
        <w:tab/>
        <w:t>Depoziti kod drugih banaka</w:t>
      </w:r>
    </w:p>
    <w:p w14:paraId="68B2BCF1" w14:textId="77777777" w:rsidR="00A73031" w:rsidRPr="003D1614" w:rsidRDefault="00A73031" w:rsidP="00A73031">
      <w:pPr>
        <w:tabs>
          <w:tab w:val="left" w:pos="-720"/>
        </w:tabs>
        <w:suppressAutoHyphens/>
        <w:autoSpaceDN w:val="0"/>
        <w:rPr>
          <w:rFonts w:ascii="Arial" w:eastAsia="Times New Roman" w:hAnsi="Arial" w:cs="Arial"/>
          <w:color w:val="000000" w:themeColor="text1"/>
          <w:sz w:val="20"/>
          <w:szCs w:val="20"/>
        </w:rPr>
      </w:pPr>
    </w:p>
    <w:tbl>
      <w:tblPr>
        <w:tblW w:w="4951" w:type="pct"/>
        <w:tblCellMar>
          <w:left w:w="122" w:type="dxa"/>
          <w:right w:w="122" w:type="dxa"/>
        </w:tblCellMar>
        <w:tblLook w:val="0000" w:firstRow="0" w:lastRow="0" w:firstColumn="0" w:lastColumn="0" w:noHBand="0" w:noVBand="0"/>
      </w:tblPr>
      <w:tblGrid>
        <w:gridCol w:w="3396"/>
        <w:gridCol w:w="1376"/>
        <w:gridCol w:w="1419"/>
        <w:gridCol w:w="1374"/>
        <w:gridCol w:w="1418"/>
      </w:tblGrid>
      <w:tr w:rsidR="00A73031" w:rsidRPr="00335A18" w14:paraId="33FABD9B" w14:textId="77777777" w:rsidTr="00335A18">
        <w:trPr>
          <w:trHeight w:val="112"/>
        </w:trPr>
        <w:tc>
          <w:tcPr>
            <w:tcW w:w="1890" w:type="pct"/>
            <w:vAlign w:val="bottom"/>
          </w:tcPr>
          <w:p w14:paraId="2C074F9B" w14:textId="77777777" w:rsidR="00A73031" w:rsidRPr="00335A18" w:rsidRDefault="00A73031" w:rsidP="00A73031">
            <w:pPr>
              <w:tabs>
                <w:tab w:val="left" w:pos="-720"/>
              </w:tabs>
              <w:suppressAutoHyphens/>
              <w:autoSpaceDN w:val="0"/>
              <w:rPr>
                <w:rFonts w:ascii="Arial" w:eastAsia="Times New Roman" w:hAnsi="Arial" w:cs="Arial"/>
                <w:b/>
                <w:color w:val="000000" w:themeColor="text1"/>
                <w:sz w:val="20"/>
                <w:szCs w:val="20"/>
              </w:rPr>
            </w:pPr>
          </w:p>
        </w:tc>
        <w:tc>
          <w:tcPr>
            <w:tcW w:w="1556" w:type="pct"/>
            <w:gridSpan w:val="2"/>
            <w:vAlign w:val="bottom"/>
          </w:tcPr>
          <w:p w14:paraId="2F85AFEC" w14:textId="77777777" w:rsidR="00A73031" w:rsidRPr="00335A18" w:rsidRDefault="00A73031" w:rsidP="00A73031">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335A18">
              <w:rPr>
                <w:rFonts w:ascii="Arial" w:eastAsia="Times New Roman" w:hAnsi="Arial" w:cs="Arial"/>
                <w:b/>
                <w:color w:val="000000" w:themeColor="text1"/>
                <w:sz w:val="20"/>
                <w:szCs w:val="20"/>
              </w:rPr>
              <w:t xml:space="preserve">Grupa </w:t>
            </w:r>
          </w:p>
        </w:tc>
        <w:tc>
          <w:tcPr>
            <w:tcW w:w="1554" w:type="pct"/>
            <w:gridSpan w:val="2"/>
            <w:vAlign w:val="bottom"/>
          </w:tcPr>
          <w:p w14:paraId="36BAB692" w14:textId="77777777" w:rsidR="00A73031" w:rsidRPr="00335A18" w:rsidRDefault="00A73031" w:rsidP="00A73031">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323" w:name="_Toc67327929"/>
            <w:r w:rsidRPr="00335A18">
              <w:rPr>
                <w:rFonts w:ascii="Arial" w:eastAsia="Times New Roman" w:hAnsi="Arial" w:cs="Arial"/>
                <w:b/>
                <w:color w:val="000000" w:themeColor="text1"/>
                <w:sz w:val="20"/>
                <w:szCs w:val="20"/>
              </w:rPr>
              <w:t>Banka</w:t>
            </w:r>
            <w:bookmarkEnd w:id="323"/>
          </w:p>
        </w:tc>
      </w:tr>
      <w:tr w:rsidR="00A73031" w:rsidRPr="00335A18" w14:paraId="33EDF0BF" w14:textId="77777777" w:rsidTr="00335A18">
        <w:trPr>
          <w:trHeight w:val="112"/>
        </w:trPr>
        <w:tc>
          <w:tcPr>
            <w:tcW w:w="1890" w:type="pct"/>
            <w:vAlign w:val="bottom"/>
          </w:tcPr>
          <w:p w14:paraId="3548B07C" w14:textId="77777777" w:rsidR="00A73031" w:rsidRPr="00335A18" w:rsidRDefault="00A73031" w:rsidP="00A73031">
            <w:pPr>
              <w:tabs>
                <w:tab w:val="left" w:pos="-720"/>
              </w:tabs>
              <w:suppressAutoHyphens/>
              <w:autoSpaceDN w:val="0"/>
              <w:rPr>
                <w:rFonts w:ascii="Arial" w:eastAsia="Times New Roman" w:hAnsi="Arial" w:cs="Arial"/>
                <w:b/>
                <w:color w:val="000000" w:themeColor="text1"/>
                <w:sz w:val="20"/>
                <w:szCs w:val="20"/>
              </w:rPr>
            </w:pPr>
          </w:p>
        </w:tc>
        <w:tc>
          <w:tcPr>
            <w:tcW w:w="766" w:type="pct"/>
            <w:vAlign w:val="bottom"/>
          </w:tcPr>
          <w:p w14:paraId="40A76255" w14:textId="583D44D0" w:rsidR="00A73031" w:rsidRPr="00335A18" w:rsidRDefault="002F4581" w:rsidP="00A73031">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2F4581">
              <w:rPr>
                <w:rFonts w:ascii="Arial" w:eastAsia="Times New Roman" w:hAnsi="Arial" w:cs="Arial"/>
                <w:b/>
                <w:color w:val="000000" w:themeColor="text1"/>
                <w:sz w:val="20"/>
                <w:szCs w:val="20"/>
              </w:rPr>
              <w:t>30. rujna 202</w:t>
            </w:r>
            <w:r w:rsidR="00CC37D7">
              <w:rPr>
                <w:rFonts w:ascii="Arial" w:eastAsia="Times New Roman" w:hAnsi="Arial" w:cs="Arial"/>
                <w:b/>
                <w:color w:val="000000" w:themeColor="text1"/>
                <w:sz w:val="20"/>
                <w:szCs w:val="20"/>
              </w:rPr>
              <w:t>4</w:t>
            </w:r>
            <w:r w:rsidRPr="002F4581">
              <w:rPr>
                <w:rFonts w:ascii="Arial" w:eastAsia="Times New Roman" w:hAnsi="Arial" w:cs="Arial"/>
                <w:b/>
                <w:color w:val="000000" w:themeColor="text1"/>
                <w:sz w:val="20"/>
                <w:szCs w:val="20"/>
              </w:rPr>
              <w:t>.</w:t>
            </w:r>
          </w:p>
        </w:tc>
        <w:tc>
          <w:tcPr>
            <w:tcW w:w="790" w:type="pct"/>
            <w:vAlign w:val="bottom"/>
          </w:tcPr>
          <w:p w14:paraId="7074362F" w14:textId="42F84CA6" w:rsidR="00A73031" w:rsidRPr="00335A18" w:rsidRDefault="00A73031" w:rsidP="00A73031">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335A18">
              <w:rPr>
                <w:rFonts w:ascii="Arial" w:eastAsia="Times New Roman" w:hAnsi="Arial" w:cs="Arial"/>
                <w:b/>
                <w:color w:val="000000" w:themeColor="text1"/>
                <w:sz w:val="20"/>
                <w:szCs w:val="20"/>
              </w:rPr>
              <w:t>31. prosinca 202</w:t>
            </w:r>
            <w:r w:rsidR="00CC37D7">
              <w:rPr>
                <w:rFonts w:ascii="Arial" w:eastAsia="Times New Roman" w:hAnsi="Arial" w:cs="Arial"/>
                <w:b/>
                <w:color w:val="000000" w:themeColor="text1"/>
                <w:sz w:val="20"/>
                <w:szCs w:val="20"/>
              </w:rPr>
              <w:t>3</w:t>
            </w:r>
            <w:r w:rsidRPr="00335A18">
              <w:rPr>
                <w:rFonts w:ascii="Arial" w:eastAsia="Times New Roman" w:hAnsi="Arial" w:cs="Arial"/>
                <w:b/>
                <w:color w:val="000000" w:themeColor="text1"/>
                <w:sz w:val="20"/>
                <w:szCs w:val="20"/>
              </w:rPr>
              <w:t>.</w:t>
            </w:r>
          </w:p>
        </w:tc>
        <w:tc>
          <w:tcPr>
            <w:tcW w:w="765" w:type="pct"/>
            <w:vAlign w:val="bottom"/>
          </w:tcPr>
          <w:p w14:paraId="354FAB13" w14:textId="2B4A316A" w:rsidR="00A73031" w:rsidRPr="00335A18" w:rsidRDefault="002F4581" w:rsidP="00A73031">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2F4581">
              <w:rPr>
                <w:rFonts w:ascii="Arial" w:eastAsia="Times New Roman" w:hAnsi="Arial" w:cs="Arial"/>
                <w:b/>
                <w:color w:val="000000" w:themeColor="text1"/>
                <w:sz w:val="20"/>
                <w:szCs w:val="20"/>
              </w:rPr>
              <w:t>30. rujna 202</w:t>
            </w:r>
            <w:r w:rsidR="00CC37D7">
              <w:rPr>
                <w:rFonts w:ascii="Arial" w:eastAsia="Times New Roman" w:hAnsi="Arial" w:cs="Arial"/>
                <w:b/>
                <w:color w:val="000000" w:themeColor="text1"/>
                <w:sz w:val="20"/>
                <w:szCs w:val="20"/>
              </w:rPr>
              <w:t>4</w:t>
            </w:r>
            <w:r w:rsidRPr="002F4581">
              <w:rPr>
                <w:rFonts w:ascii="Arial" w:eastAsia="Times New Roman" w:hAnsi="Arial" w:cs="Arial"/>
                <w:b/>
                <w:color w:val="000000" w:themeColor="text1"/>
                <w:sz w:val="20"/>
                <w:szCs w:val="20"/>
              </w:rPr>
              <w:t>.</w:t>
            </w:r>
          </w:p>
        </w:tc>
        <w:tc>
          <w:tcPr>
            <w:tcW w:w="789" w:type="pct"/>
            <w:vAlign w:val="bottom"/>
          </w:tcPr>
          <w:p w14:paraId="06EFADDF" w14:textId="0A7B5189" w:rsidR="00A73031" w:rsidRPr="00335A18" w:rsidRDefault="00A73031" w:rsidP="00A73031">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335A18">
              <w:rPr>
                <w:rFonts w:ascii="Arial" w:eastAsia="Times New Roman" w:hAnsi="Arial" w:cs="Arial"/>
                <w:b/>
                <w:color w:val="000000" w:themeColor="text1"/>
                <w:sz w:val="20"/>
                <w:szCs w:val="20"/>
              </w:rPr>
              <w:t>31. prosinca 202</w:t>
            </w:r>
            <w:r w:rsidR="00CC37D7">
              <w:rPr>
                <w:rFonts w:ascii="Arial" w:eastAsia="Times New Roman" w:hAnsi="Arial" w:cs="Arial"/>
                <w:b/>
                <w:color w:val="000000" w:themeColor="text1"/>
                <w:sz w:val="20"/>
                <w:szCs w:val="20"/>
              </w:rPr>
              <w:t>3</w:t>
            </w:r>
            <w:r w:rsidRPr="00335A18">
              <w:rPr>
                <w:rFonts w:ascii="Arial" w:eastAsia="Times New Roman" w:hAnsi="Arial" w:cs="Arial"/>
                <w:b/>
                <w:color w:val="000000" w:themeColor="text1"/>
                <w:sz w:val="20"/>
                <w:szCs w:val="20"/>
              </w:rPr>
              <w:t>.</w:t>
            </w:r>
          </w:p>
        </w:tc>
      </w:tr>
      <w:tr w:rsidR="00A73031" w:rsidRPr="00335A18" w14:paraId="01CE156D" w14:textId="77777777" w:rsidTr="00335A18">
        <w:trPr>
          <w:trHeight w:val="229"/>
        </w:trPr>
        <w:tc>
          <w:tcPr>
            <w:tcW w:w="1890" w:type="pct"/>
            <w:vAlign w:val="bottom"/>
          </w:tcPr>
          <w:p w14:paraId="4A3993B9" w14:textId="77777777" w:rsidR="00A73031" w:rsidRPr="00335A18" w:rsidRDefault="00A73031" w:rsidP="00A73031">
            <w:pPr>
              <w:tabs>
                <w:tab w:val="left" w:pos="-720"/>
              </w:tabs>
              <w:suppressAutoHyphens/>
              <w:autoSpaceDN w:val="0"/>
              <w:rPr>
                <w:rFonts w:ascii="Arial" w:eastAsia="Times New Roman" w:hAnsi="Arial" w:cs="Arial"/>
                <w:b/>
                <w:color w:val="000000" w:themeColor="text1"/>
                <w:sz w:val="20"/>
                <w:szCs w:val="20"/>
              </w:rPr>
            </w:pPr>
          </w:p>
        </w:tc>
        <w:tc>
          <w:tcPr>
            <w:tcW w:w="766" w:type="pct"/>
            <w:vAlign w:val="bottom"/>
          </w:tcPr>
          <w:p w14:paraId="1DE4ECDC" w14:textId="7FCAB04E" w:rsidR="00A73031" w:rsidRPr="00335A18" w:rsidRDefault="00A73031" w:rsidP="00A73031">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335A18">
              <w:rPr>
                <w:rFonts w:ascii="Arial" w:eastAsia="Times New Roman" w:hAnsi="Arial" w:cs="Arial"/>
                <w:b/>
                <w:color w:val="000000" w:themeColor="text1"/>
                <w:sz w:val="20"/>
                <w:szCs w:val="20"/>
              </w:rPr>
              <w:t>000 eura</w:t>
            </w:r>
          </w:p>
        </w:tc>
        <w:tc>
          <w:tcPr>
            <w:tcW w:w="790" w:type="pct"/>
            <w:vAlign w:val="bottom"/>
          </w:tcPr>
          <w:p w14:paraId="725F86CA" w14:textId="6650AB42" w:rsidR="00A73031" w:rsidRPr="00335A18" w:rsidRDefault="00A73031" w:rsidP="00A73031">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335A18">
              <w:rPr>
                <w:rFonts w:ascii="Arial" w:eastAsia="Times New Roman" w:hAnsi="Arial" w:cs="Arial"/>
                <w:b/>
                <w:color w:val="000000" w:themeColor="text1"/>
                <w:sz w:val="20"/>
                <w:szCs w:val="20"/>
              </w:rPr>
              <w:t>000 eura</w:t>
            </w:r>
          </w:p>
        </w:tc>
        <w:tc>
          <w:tcPr>
            <w:tcW w:w="765" w:type="pct"/>
            <w:vAlign w:val="bottom"/>
          </w:tcPr>
          <w:p w14:paraId="55C2EF8A" w14:textId="4EA70658" w:rsidR="00A73031" w:rsidRPr="00335A18" w:rsidRDefault="00A73031" w:rsidP="00A73031">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335A18">
              <w:rPr>
                <w:rFonts w:ascii="Arial" w:eastAsia="Times New Roman" w:hAnsi="Arial" w:cs="Arial"/>
                <w:b/>
                <w:color w:val="000000" w:themeColor="text1"/>
                <w:sz w:val="20"/>
                <w:szCs w:val="20"/>
              </w:rPr>
              <w:t>000 eura</w:t>
            </w:r>
          </w:p>
        </w:tc>
        <w:tc>
          <w:tcPr>
            <w:tcW w:w="789" w:type="pct"/>
            <w:vAlign w:val="bottom"/>
          </w:tcPr>
          <w:p w14:paraId="326C5A39" w14:textId="59EDC45D" w:rsidR="00A73031" w:rsidRPr="00335A18" w:rsidRDefault="00A73031" w:rsidP="00A73031">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335A18">
              <w:rPr>
                <w:rFonts w:ascii="Arial" w:eastAsia="Times New Roman" w:hAnsi="Arial" w:cs="Arial"/>
                <w:b/>
                <w:color w:val="000000" w:themeColor="text1"/>
                <w:sz w:val="20"/>
                <w:szCs w:val="20"/>
              </w:rPr>
              <w:t>000 eura</w:t>
            </w:r>
          </w:p>
        </w:tc>
      </w:tr>
      <w:tr w:rsidR="00A73031" w:rsidRPr="00335A18" w14:paraId="504DE7D9" w14:textId="77777777" w:rsidTr="00335A18">
        <w:tc>
          <w:tcPr>
            <w:tcW w:w="1890" w:type="pct"/>
            <w:vAlign w:val="bottom"/>
          </w:tcPr>
          <w:p w14:paraId="5A18AC78" w14:textId="77777777" w:rsidR="00A73031" w:rsidRPr="00335A18" w:rsidRDefault="00A73031" w:rsidP="00A73031">
            <w:pPr>
              <w:tabs>
                <w:tab w:val="left" w:pos="-720"/>
              </w:tabs>
              <w:suppressAutoHyphens/>
              <w:autoSpaceDN w:val="0"/>
              <w:rPr>
                <w:rFonts w:ascii="Arial" w:eastAsia="Times New Roman" w:hAnsi="Arial" w:cs="Arial"/>
                <w:color w:val="000000" w:themeColor="text1"/>
                <w:sz w:val="20"/>
                <w:szCs w:val="20"/>
              </w:rPr>
            </w:pPr>
          </w:p>
        </w:tc>
        <w:tc>
          <w:tcPr>
            <w:tcW w:w="766" w:type="pct"/>
            <w:vAlign w:val="bottom"/>
          </w:tcPr>
          <w:p w14:paraId="7F9D686F" w14:textId="77777777" w:rsidR="00A73031" w:rsidRPr="00335A18" w:rsidRDefault="00A73031" w:rsidP="00A73031">
            <w:pPr>
              <w:tabs>
                <w:tab w:val="left" w:pos="-720"/>
              </w:tabs>
              <w:suppressAutoHyphens/>
              <w:autoSpaceDN w:val="0"/>
              <w:jc w:val="right"/>
              <w:rPr>
                <w:rFonts w:ascii="Arial" w:eastAsia="Times New Roman" w:hAnsi="Arial" w:cs="Arial"/>
                <w:color w:val="000000" w:themeColor="text1"/>
                <w:sz w:val="20"/>
                <w:szCs w:val="20"/>
              </w:rPr>
            </w:pPr>
          </w:p>
        </w:tc>
        <w:tc>
          <w:tcPr>
            <w:tcW w:w="790" w:type="pct"/>
            <w:vAlign w:val="bottom"/>
          </w:tcPr>
          <w:p w14:paraId="54BC704C" w14:textId="77777777" w:rsidR="00A73031" w:rsidRPr="00335A18" w:rsidRDefault="00A73031" w:rsidP="00A73031">
            <w:pPr>
              <w:tabs>
                <w:tab w:val="left" w:pos="-720"/>
              </w:tabs>
              <w:suppressAutoHyphens/>
              <w:autoSpaceDN w:val="0"/>
              <w:jc w:val="right"/>
              <w:rPr>
                <w:rFonts w:ascii="Arial" w:eastAsia="Times New Roman" w:hAnsi="Arial" w:cs="Arial"/>
                <w:color w:val="000000" w:themeColor="text1"/>
                <w:sz w:val="20"/>
                <w:szCs w:val="20"/>
              </w:rPr>
            </w:pPr>
          </w:p>
        </w:tc>
        <w:tc>
          <w:tcPr>
            <w:tcW w:w="765" w:type="pct"/>
            <w:vAlign w:val="bottom"/>
          </w:tcPr>
          <w:p w14:paraId="5C2CE4C1" w14:textId="77777777" w:rsidR="00A73031" w:rsidRPr="00335A18" w:rsidRDefault="00A73031" w:rsidP="00A73031">
            <w:pPr>
              <w:tabs>
                <w:tab w:val="left" w:pos="-720"/>
              </w:tabs>
              <w:suppressAutoHyphens/>
              <w:autoSpaceDN w:val="0"/>
              <w:jc w:val="right"/>
              <w:rPr>
                <w:rFonts w:ascii="Arial" w:eastAsia="Times New Roman" w:hAnsi="Arial" w:cs="Arial"/>
                <w:color w:val="000000" w:themeColor="text1"/>
                <w:sz w:val="20"/>
                <w:szCs w:val="20"/>
              </w:rPr>
            </w:pPr>
          </w:p>
        </w:tc>
        <w:tc>
          <w:tcPr>
            <w:tcW w:w="789" w:type="pct"/>
            <w:vAlign w:val="bottom"/>
          </w:tcPr>
          <w:p w14:paraId="4150B574" w14:textId="77777777" w:rsidR="00A73031" w:rsidRPr="00335A18" w:rsidRDefault="00A73031" w:rsidP="00A73031">
            <w:pPr>
              <w:tabs>
                <w:tab w:val="left" w:pos="-720"/>
              </w:tabs>
              <w:suppressAutoHyphens/>
              <w:autoSpaceDN w:val="0"/>
              <w:jc w:val="right"/>
              <w:rPr>
                <w:rFonts w:ascii="Arial" w:eastAsia="Times New Roman" w:hAnsi="Arial" w:cs="Arial"/>
                <w:color w:val="000000" w:themeColor="text1"/>
                <w:sz w:val="20"/>
                <w:szCs w:val="20"/>
              </w:rPr>
            </w:pPr>
          </w:p>
        </w:tc>
      </w:tr>
      <w:tr w:rsidR="007E02F6" w:rsidRPr="00335A18" w14:paraId="3E8AE112" w14:textId="77777777" w:rsidTr="00F82030">
        <w:tc>
          <w:tcPr>
            <w:tcW w:w="1890" w:type="pct"/>
            <w:vAlign w:val="bottom"/>
          </w:tcPr>
          <w:p w14:paraId="57C45F53" w14:textId="77777777" w:rsidR="007E02F6" w:rsidRPr="00335A18" w:rsidRDefault="007E02F6" w:rsidP="007E02F6">
            <w:pPr>
              <w:tabs>
                <w:tab w:val="left" w:pos="-720"/>
              </w:tabs>
              <w:suppressAutoHyphens/>
              <w:autoSpaceDN w:val="0"/>
              <w:rPr>
                <w:rFonts w:ascii="Arial" w:eastAsia="Times New Roman" w:hAnsi="Arial" w:cs="Arial"/>
                <w:color w:val="000000" w:themeColor="text1"/>
                <w:sz w:val="20"/>
                <w:szCs w:val="20"/>
              </w:rPr>
            </w:pPr>
            <w:r w:rsidRPr="00335A18">
              <w:rPr>
                <w:rFonts w:ascii="Arial" w:eastAsia="Times New Roman" w:hAnsi="Arial" w:cs="Arial"/>
                <w:color w:val="000000" w:themeColor="text1"/>
                <w:sz w:val="20"/>
                <w:szCs w:val="20"/>
              </w:rPr>
              <w:t>Depoziti kod stranih banaka</w:t>
            </w:r>
          </w:p>
        </w:tc>
        <w:tc>
          <w:tcPr>
            <w:tcW w:w="766" w:type="pct"/>
            <w:tcBorders>
              <w:top w:val="nil"/>
              <w:left w:val="nil"/>
              <w:bottom w:val="nil"/>
              <w:right w:val="nil"/>
            </w:tcBorders>
            <w:shd w:val="clear" w:color="auto" w:fill="auto"/>
            <w:vAlign w:val="bottom"/>
          </w:tcPr>
          <w:p w14:paraId="2389D7C8" w14:textId="7CBE32F9" w:rsidR="007E02F6" w:rsidRPr="00F82030" w:rsidRDefault="007E02F6" w:rsidP="007E02F6">
            <w:pPr>
              <w:tabs>
                <w:tab w:val="left" w:pos="-720"/>
              </w:tabs>
              <w:suppressAutoHyphens/>
              <w:autoSpaceDN w:val="0"/>
              <w:jc w:val="right"/>
              <w:rPr>
                <w:rFonts w:ascii="Arial" w:eastAsia="Times New Roman" w:hAnsi="Arial" w:cs="Arial"/>
                <w:color w:val="000000" w:themeColor="text1"/>
                <w:sz w:val="20"/>
                <w:szCs w:val="20"/>
              </w:rPr>
            </w:pPr>
            <w:r w:rsidRPr="00F82030">
              <w:rPr>
                <w:rFonts w:ascii="Arial" w:hAnsi="Arial" w:cs="Arial"/>
                <w:sz w:val="20"/>
                <w:szCs w:val="20"/>
              </w:rPr>
              <w:t xml:space="preserve"> 66.861 </w:t>
            </w:r>
          </w:p>
        </w:tc>
        <w:tc>
          <w:tcPr>
            <w:tcW w:w="790" w:type="pct"/>
            <w:tcBorders>
              <w:top w:val="nil"/>
              <w:left w:val="nil"/>
              <w:bottom w:val="nil"/>
              <w:right w:val="nil"/>
            </w:tcBorders>
            <w:shd w:val="clear" w:color="auto" w:fill="auto"/>
            <w:vAlign w:val="bottom"/>
          </w:tcPr>
          <w:p w14:paraId="7A27EB52" w14:textId="580BB29D" w:rsidR="007E02F6" w:rsidRPr="00335A18" w:rsidRDefault="007E02F6" w:rsidP="007E02F6">
            <w:pPr>
              <w:tabs>
                <w:tab w:val="left" w:pos="-720"/>
              </w:tabs>
              <w:suppressAutoHyphens/>
              <w:autoSpaceDN w:val="0"/>
              <w:jc w:val="right"/>
              <w:rPr>
                <w:rFonts w:ascii="Arial" w:eastAsia="Times New Roman" w:hAnsi="Arial" w:cs="Arial"/>
                <w:color w:val="000000" w:themeColor="text1"/>
                <w:sz w:val="20"/>
                <w:szCs w:val="20"/>
              </w:rPr>
            </w:pPr>
            <w:r w:rsidRPr="00236A5E">
              <w:rPr>
                <w:rFonts w:ascii="Arial" w:hAnsi="Arial" w:cs="Arial"/>
                <w:color w:val="000000" w:themeColor="text1"/>
                <w:sz w:val="20"/>
                <w:szCs w:val="20"/>
              </w:rPr>
              <w:t>33.647</w:t>
            </w:r>
          </w:p>
        </w:tc>
        <w:tc>
          <w:tcPr>
            <w:tcW w:w="765" w:type="pct"/>
            <w:tcBorders>
              <w:top w:val="nil"/>
              <w:left w:val="nil"/>
              <w:bottom w:val="nil"/>
              <w:right w:val="nil"/>
            </w:tcBorders>
            <w:shd w:val="clear" w:color="auto" w:fill="auto"/>
          </w:tcPr>
          <w:p w14:paraId="687B968F" w14:textId="228BF449" w:rsidR="007E02F6" w:rsidRPr="005228BE" w:rsidRDefault="007E02F6" w:rsidP="007E02F6">
            <w:pPr>
              <w:tabs>
                <w:tab w:val="left" w:pos="-720"/>
              </w:tabs>
              <w:suppressAutoHyphens/>
              <w:autoSpaceDN w:val="0"/>
              <w:jc w:val="right"/>
              <w:rPr>
                <w:rFonts w:ascii="Arial" w:eastAsia="Times New Roman" w:hAnsi="Arial" w:cs="Arial"/>
                <w:color w:val="000000" w:themeColor="text1"/>
                <w:sz w:val="20"/>
                <w:szCs w:val="20"/>
              </w:rPr>
            </w:pPr>
            <w:r w:rsidRPr="005228BE">
              <w:rPr>
                <w:rFonts w:ascii="Arial" w:hAnsi="Arial" w:cs="Arial"/>
                <w:sz w:val="20"/>
                <w:szCs w:val="20"/>
              </w:rPr>
              <w:t xml:space="preserve"> 66.861 </w:t>
            </w:r>
          </w:p>
        </w:tc>
        <w:tc>
          <w:tcPr>
            <w:tcW w:w="789" w:type="pct"/>
            <w:tcBorders>
              <w:top w:val="nil"/>
              <w:left w:val="nil"/>
              <w:bottom w:val="nil"/>
              <w:right w:val="nil"/>
            </w:tcBorders>
            <w:shd w:val="clear" w:color="auto" w:fill="auto"/>
            <w:vAlign w:val="bottom"/>
          </w:tcPr>
          <w:p w14:paraId="684BC9D5" w14:textId="3CB110E7" w:rsidR="007E02F6" w:rsidRPr="00335A18" w:rsidRDefault="007E02F6" w:rsidP="007E02F6">
            <w:pPr>
              <w:tabs>
                <w:tab w:val="left" w:pos="-720"/>
              </w:tabs>
              <w:suppressAutoHyphens/>
              <w:autoSpaceDN w:val="0"/>
              <w:jc w:val="right"/>
              <w:rPr>
                <w:rFonts w:ascii="Arial" w:eastAsia="Times New Roman" w:hAnsi="Arial" w:cs="Arial"/>
                <w:color w:val="000000" w:themeColor="text1"/>
                <w:sz w:val="20"/>
                <w:szCs w:val="20"/>
              </w:rPr>
            </w:pPr>
            <w:r w:rsidRPr="00236A5E">
              <w:rPr>
                <w:rFonts w:ascii="Arial" w:hAnsi="Arial" w:cs="Arial"/>
                <w:color w:val="000000" w:themeColor="text1"/>
                <w:sz w:val="20"/>
                <w:szCs w:val="20"/>
              </w:rPr>
              <w:t xml:space="preserve"> 33.647 </w:t>
            </w:r>
          </w:p>
        </w:tc>
      </w:tr>
      <w:tr w:rsidR="007E02F6" w:rsidRPr="00335A18" w14:paraId="6517D73A" w14:textId="77777777" w:rsidTr="00F82030">
        <w:tc>
          <w:tcPr>
            <w:tcW w:w="1890" w:type="pct"/>
            <w:vAlign w:val="bottom"/>
          </w:tcPr>
          <w:p w14:paraId="70E95092" w14:textId="77777777" w:rsidR="007E02F6" w:rsidRPr="00335A18" w:rsidRDefault="007E02F6" w:rsidP="007E02F6">
            <w:pPr>
              <w:tabs>
                <w:tab w:val="left" w:pos="-720"/>
              </w:tabs>
              <w:suppressAutoHyphens/>
              <w:autoSpaceDN w:val="0"/>
              <w:rPr>
                <w:rFonts w:ascii="Arial" w:eastAsia="Times New Roman" w:hAnsi="Arial" w:cs="Arial"/>
                <w:color w:val="000000" w:themeColor="text1"/>
                <w:sz w:val="20"/>
                <w:szCs w:val="20"/>
              </w:rPr>
            </w:pPr>
            <w:r w:rsidRPr="00335A18">
              <w:rPr>
                <w:rFonts w:ascii="Arial" w:eastAsia="Times New Roman" w:hAnsi="Arial" w:cs="Arial"/>
                <w:color w:val="000000" w:themeColor="text1"/>
                <w:sz w:val="20"/>
                <w:szCs w:val="20"/>
              </w:rPr>
              <w:t>Depoziti kod domaćih banaka</w:t>
            </w:r>
          </w:p>
        </w:tc>
        <w:tc>
          <w:tcPr>
            <w:tcW w:w="766" w:type="pct"/>
            <w:tcBorders>
              <w:top w:val="nil"/>
              <w:left w:val="nil"/>
              <w:bottom w:val="nil"/>
              <w:right w:val="nil"/>
            </w:tcBorders>
            <w:shd w:val="clear" w:color="auto" w:fill="auto"/>
            <w:vAlign w:val="bottom"/>
          </w:tcPr>
          <w:p w14:paraId="41C4D37F" w14:textId="27B67351" w:rsidR="007E02F6" w:rsidRPr="00F82030" w:rsidRDefault="007E02F6" w:rsidP="007E02F6">
            <w:pPr>
              <w:tabs>
                <w:tab w:val="left" w:pos="-720"/>
              </w:tabs>
              <w:suppressAutoHyphens/>
              <w:autoSpaceDN w:val="0"/>
              <w:jc w:val="right"/>
              <w:rPr>
                <w:rFonts w:ascii="Arial" w:eastAsia="Times New Roman" w:hAnsi="Arial" w:cs="Arial"/>
                <w:color w:val="000000" w:themeColor="text1"/>
                <w:sz w:val="20"/>
                <w:szCs w:val="20"/>
              </w:rPr>
            </w:pPr>
            <w:r w:rsidRPr="00F82030">
              <w:rPr>
                <w:rFonts w:ascii="Arial" w:hAnsi="Arial" w:cs="Arial"/>
                <w:sz w:val="20"/>
                <w:szCs w:val="20"/>
              </w:rPr>
              <w:t xml:space="preserve"> 57.694 </w:t>
            </w:r>
          </w:p>
        </w:tc>
        <w:tc>
          <w:tcPr>
            <w:tcW w:w="790" w:type="pct"/>
            <w:tcBorders>
              <w:top w:val="nil"/>
              <w:left w:val="nil"/>
              <w:bottom w:val="nil"/>
              <w:right w:val="nil"/>
            </w:tcBorders>
            <w:shd w:val="clear" w:color="auto" w:fill="auto"/>
            <w:vAlign w:val="bottom"/>
          </w:tcPr>
          <w:p w14:paraId="36F27CB0" w14:textId="53D02579" w:rsidR="007E02F6" w:rsidRPr="00335A18" w:rsidRDefault="007E02F6" w:rsidP="007E02F6">
            <w:pPr>
              <w:tabs>
                <w:tab w:val="left" w:pos="-720"/>
              </w:tabs>
              <w:suppressAutoHyphens/>
              <w:autoSpaceDN w:val="0"/>
              <w:jc w:val="right"/>
              <w:rPr>
                <w:rFonts w:ascii="Arial" w:eastAsia="Times New Roman" w:hAnsi="Arial" w:cs="Arial"/>
                <w:color w:val="000000" w:themeColor="text1"/>
                <w:sz w:val="20"/>
                <w:szCs w:val="20"/>
              </w:rPr>
            </w:pPr>
            <w:r w:rsidRPr="00236A5E">
              <w:rPr>
                <w:rFonts w:ascii="Arial" w:hAnsi="Arial" w:cs="Arial"/>
                <w:color w:val="000000" w:themeColor="text1"/>
                <w:sz w:val="20"/>
                <w:szCs w:val="20"/>
              </w:rPr>
              <w:t>38.300</w:t>
            </w:r>
          </w:p>
        </w:tc>
        <w:tc>
          <w:tcPr>
            <w:tcW w:w="765" w:type="pct"/>
            <w:tcBorders>
              <w:top w:val="nil"/>
              <w:left w:val="nil"/>
              <w:bottom w:val="nil"/>
              <w:right w:val="nil"/>
            </w:tcBorders>
            <w:shd w:val="clear" w:color="auto" w:fill="auto"/>
          </w:tcPr>
          <w:p w14:paraId="0FA645B4" w14:textId="6E275F72" w:rsidR="007E02F6" w:rsidRPr="005228BE" w:rsidRDefault="007E02F6" w:rsidP="007E02F6">
            <w:pPr>
              <w:tabs>
                <w:tab w:val="left" w:pos="-720"/>
              </w:tabs>
              <w:suppressAutoHyphens/>
              <w:autoSpaceDN w:val="0"/>
              <w:jc w:val="right"/>
              <w:rPr>
                <w:rFonts w:ascii="Arial" w:eastAsia="Times New Roman" w:hAnsi="Arial" w:cs="Arial"/>
                <w:color w:val="000000" w:themeColor="text1"/>
                <w:sz w:val="20"/>
                <w:szCs w:val="20"/>
              </w:rPr>
            </w:pPr>
            <w:r w:rsidRPr="005228BE">
              <w:rPr>
                <w:rFonts w:ascii="Arial" w:hAnsi="Arial" w:cs="Arial"/>
                <w:sz w:val="20"/>
                <w:szCs w:val="20"/>
              </w:rPr>
              <w:t xml:space="preserve"> 53.844 </w:t>
            </w:r>
          </w:p>
        </w:tc>
        <w:tc>
          <w:tcPr>
            <w:tcW w:w="789" w:type="pct"/>
            <w:tcBorders>
              <w:top w:val="nil"/>
              <w:left w:val="nil"/>
              <w:bottom w:val="nil"/>
              <w:right w:val="nil"/>
            </w:tcBorders>
            <w:shd w:val="clear" w:color="auto" w:fill="auto"/>
            <w:vAlign w:val="bottom"/>
          </w:tcPr>
          <w:p w14:paraId="78CCD517" w14:textId="6FE2394B" w:rsidR="007E02F6" w:rsidRPr="00335A18" w:rsidRDefault="007E02F6" w:rsidP="007E02F6">
            <w:pPr>
              <w:tabs>
                <w:tab w:val="left" w:pos="-720"/>
              </w:tabs>
              <w:suppressAutoHyphens/>
              <w:autoSpaceDN w:val="0"/>
              <w:jc w:val="right"/>
              <w:rPr>
                <w:rFonts w:ascii="Arial" w:eastAsia="Times New Roman" w:hAnsi="Arial" w:cs="Arial"/>
                <w:color w:val="000000" w:themeColor="text1"/>
                <w:sz w:val="20"/>
                <w:szCs w:val="20"/>
              </w:rPr>
            </w:pPr>
            <w:r w:rsidRPr="00236A5E">
              <w:rPr>
                <w:rFonts w:ascii="Arial" w:hAnsi="Arial" w:cs="Arial"/>
                <w:color w:val="000000" w:themeColor="text1"/>
                <w:sz w:val="20"/>
                <w:szCs w:val="20"/>
              </w:rPr>
              <w:t xml:space="preserve"> 36.000 </w:t>
            </w:r>
          </w:p>
        </w:tc>
      </w:tr>
      <w:tr w:rsidR="007E02F6" w:rsidRPr="00335A18" w14:paraId="534EA8C7" w14:textId="77777777" w:rsidTr="00F82030">
        <w:tc>
          <w:tcPr>
            <w:tcW w:w="1890" w:type="pct"/>
            <w:vAlign w:val="bottom"/>
          </w:tcPr>
          <w:p w14:paraId="5EA8C048" w14:textId="3E2D1BB5" w:rsidR="007E02F6" w:rsidRPr="00335A18" w:rsidRDefault="007E02F6" w:rsidP="007E02F6">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24" w:name="_Toc67327943"/>
            <w:r w:rsidRPr="00335A18">
              <w:rPr>
                <w:rFonts w:ascii="Arial" w:eastAsia="Times New Roman" w:hAnsi="Arial" w:cs="Arial"/>
                <w:color w:val="000000" w:themeColor="text1"/>
                <w:sz w:val="20"/>
                <w:szCs w:val="20"/>
              </w:rPr>
              <w:t>Obračunata kamata</w:t>
            </w:r>
            <w:bookmarkEnd w:id="324"/>
          </w:p>
        </w:tc>
        <w:tc>
          <w:tcPr>
            <w:tcW w:w="766" w:type="pct"/>
            <w:tcBorders>
              <w:top w:val="nil"/>
              <w:left w:val="nil"/>
              <w:bottom w:val="single" w:sz="4" w:space="0" w:color="auto"/>
              <w:right w:val="nil"/>
            </w:tcBorders>
            <w:shd w:val="clear" w:color="auto" w:fill="auto"/>
            <w:vAlign w:val="bottom"/>
          </w:tcPr>
          <w:p w14:paraId="0AE57FCC" w14:textId="1D72C3D1" w:rsidR="007E02F6" w:rsidRPr="00F82030" w:rsidRDefault="007E02F6" w:rsidP="007E02F6">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F82030">
              <w:rPr>
                <w:rFonts w:ascii="Arial" w:hAnsi="Arial" w:cs="Arial"/>
                <w:sz w:val="20"/>
                <w:szCs w:val="20"/>
              </w:rPr>
              <w:t xml:space="preserve"> 47 </w:t>
            </w:r>
          </w:p>
        </w:tc>
        <w:tc>
          <w:tcPr>
            <w:tcW w:w="790" w:type="pct"/>
            <w:tcBorders>
              <w:top w:val="nil"/>
              <w:left w:val="nil"/>
              <w:bottom w:val="single" w:sz="4" w:space="0" w:color="auto"/>
              <w:right w:val="nil"/>
            </w:tcBorders>
            <w:shd w:val="clear" w:color="auto" w:fill="auto"/>
            <w:vAlign w:val="bottom"/>
          </w:tcPr>
          <w:p w14:paraId="21646F55" w14:textId="733A7722" w:rsidR="007E02F6" w:rsidRPr="00335A18" w:rsidRDefault="007E02F6" w:rsidP="007E02F6">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236A5E">
              <w:rPr>
                <w:rFonts w:ascii="Arial" w:hAnsi="Arial" w:cs="Arial"/>
                <w:color w:val="000000" w:themeColor="text1"/>
                <w:sz w:val="20"/>
              </w:rPr>
              <w:t>35</w:t>
            </w:r>
          </w:p>
        </w:tc>
        <w:tc>
          <w:tcPr>
            <w:tcW w:w="765" w:type="pct"/>
            <w:tcBorders>
              <w:top w:val="nil"/>
              <w:left w:val="nil"/>
              <w:bottom w:val="single" w:sz="4" w:space="0" w:color="auto"/>
              <w:right w:val="nil"/>
            </w:tcBorders>
            <w:shd w:val="clear" w:color="auto" w:fill="auto"/>
          </w:tcPr>
          <w:p w14:paraId="250FC887" w14:textId="77858AD4" w:rsidR="007E02F6" w:rsidRPr="005228BE" w:rsidRDefault="007E02F6" w:rsidP="007E02F6">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5228BE">
              <w:rPr>
                <w:rFonts w:ascii="Arial" w:hAnsi="Arial" w:cs="Arial"/>
                <w:sz w:val="20"/>
                <w:szCs w:val="20"/>
              </w:rPr>
              <w:t xml:space="preserve"> 28 </w:t>
            </w:r>
          </w:p>
        </w:tc>
        <w:tc>
          <w:tcPr>
            <w:tcW w:w="789" w:type="pct"/>
            <w:tcBorders>
              <w:top w:val="nil"/>
              <w:left w:val="nil"/>
              <w:bottom w:val="single" w:sz="4" w:space="0" w:color="auto"/>
              <w:right w:val="nil"/>
            </w:tcBorders>
            <w:shd w:val="clear" w:color="auto" w:fill="auto"/>
            <w:vAlign w:val="bottom"/>
          </w:tcPr>
          <w:p w14:paraId="698CA2CE" w14:textId="54BCF392" w:rsidR="007E02F6" w:rsidRPr="00335A18" w:rsidRDefault="007E02F6" w:rsidP="007E02F6">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236A5E">
              <w:rPr>
                <w:rFonts w:ascii="Arial" w:hAnsi="Arial" w:cs="Arial"/>
                <w:color w:val="000000" w:themeColor="text1"/>
                <w:sz w:val="20"/>
                <w:szCs w:val="20"/>
              </w:rPr>
              <w:t xml:space="preserve"> 27 </w:t>
            </w:r>
          </w:p>
        </w:tc>
      </w:tr>
      <w:tr w:rsidR="007E02F6" w:rsidRPr="00335A18" w14:paraId="0A7658B5" w14:textId="77777777" w:rsidTr="00F82030">
        <w:tc>
          <w:tcPr>
            <w:tcW w:w="1890" w:type="pct"/>
            <w:vAlign w:val="bottom"/>
          </w:tcPr>
          <w:p w14:paraId="0BADC25F" w14:textId="77777777" w:rsidR="007E02F6" w:rsidRPr="00335A18" w:rsidRDefault="007E02F6" w:rsidP="007E02F6">
            <w:pPr>
              <w:tabs>
                <w:tab w:val="right" w:pos="1202"/>
              </w:tabs>
              <w:suppressAutoHyphens/>
              <w:autoSpaceDN w:val="0"/>
              <w:spacing w:line="340" w:lineRule="exact"/>
              <w:outlineLvl w:val="0"/>
              <w:rPr>
                <w:rFonts w:ascii="Arial" w:eastAsia="Times New Roman" w:hAnsi="Arial" w:cs="Arial"/>
                <w:color w:val="000000" w:themeColor="text1"/>
                <w:sz w:val="20"/>
                <w:szCs w:val="20"/>
              </w:rPr>
            </w:pPr>
          </w:p>
        </w:tc>
        <w:tc>
          <w:tcPr>
            <w:tcW w:w="766" w:type="pct"/>
            <w:tcBorders>
              <w:top w:val="single" w:sz="4" w:space="0" w:color="auto"/>
              <w:left w:val="nil"/>
              <w:bottom w:val="single" w:sz="12" w:space="0" w:color="auto"/>
              <w:right w:val="nil"/>
            </w:tcBorders>
            <w:shd w:val="clear" w:color="auto" w:fill="auto"/>
            <w:vAlign w:val="bottom"/>
          </w:tcPr>
          <w:p w14:paraId="24067574" w14:textId="56CEF726" w:rsidR="007E02F6" w:rsidRPr="00E27C68" w:rsidRDefault="007E02F6" w:rsidP="007E02F6">
            <w:pPr>
              <w:tabs>
                <w:tab w:val="right" w:pos="1202"/>
              </w:tabs>
              <w:suppressAutoHyphens/>
              <w:autoSpaceDN w:val="0"/>
              <w:spacing w:line="340" w:lineRule="exact"/>
              <w:jc w:val="right"/>
              <w:outlineLvl w:val="0"/>
              <w:rPr>
                <w:rFonts w:ascii="Arial" w:eastAsia="Times New Roman" w:hAnsi="Arial" w:cs="Arial"/>
                <w:color w:val="000000" w:themeColor="text1"/>
                <w:sz w:val="20"/>
                <w:szCs w:val="20"/>
              </w:rPr>
            </w:pPr>
            <w:r w:rsidRPr="00E27C68">
              <w:rPr>
                <w:rFonts w:ascii="Arial" w:hAnsi="Arial" w:cs="Arial"/>
                <w:sz w:val="20"/>
                <w:szCs w:val="20"/>
              </w:rPr>
              <w:t xml:space="preserve"> 124.602 </w:t>
            </w:r>
          </w:p>
        </w:tc>
        <w:tc>
          <w:tcPr>
            <w:tcW w:w="790" w:type="pct"/>
            <w:tcBorders>
              <w:top w:val="single" w:sz="4" w:space="0" w:color="auto"/>
              <w:left w:val="nil"/>
              <w:bottom w:val="single" w:sz="12" w:space="0" w:color="auto"/>
              <w:right w:val="nil"/>
            </w:tcBorders>
            <w:shd w:val="clear" w:color="auto" w:fill="auto"/>
            <w:vAlign w:val="bottom"/>
          </w:tcPr>
          <w:p w14:paraId="26D4ACCC" w14:textId="24F94DF0" w:rsidR="007E02F6" w:rsidRPr="00E27C68" w:rsidRDefault="007E02F6" w:rsidP="007E02F6">
            <w:pPr>
              <w:tabs>
                <w:tab w:val="right" w:pos="1202"/>
              </w:tabs>
              <w:suppressAutoHyphens/>
              <w:autoSpaceDN w:val="0"/>
              <w:spacing w:line="340" w:lineRule="exact"/>
              <w:jc w:val="right"/>
              <w:outlineLvl w:val="0"/>
              <w:rPr>
                <w:rFonts w:ascii="Arial" w:eastAsia="Times New Roman" w:hAnsi="Arial" w:cs="Arial"/>
                <w:color w:val="000000" w:themeColor="text1"/>
                <w:sz w:val="20"/>
                <w:szCs w:val="20"/>
              </w:rPr>
            </w:pPr>
            <w:r w:rsidRPr="00E27C68">
              <w:rPr>
                <w:rFonts w:ascii="Arial" w:hAnsi="Arial" w:cs="Arial"/>
                <w:color w:val="000000" w:themeColor="text1"/>
                <w:sz w:val="20"/>
              </w:rPr>
              <w:t>71.982</w:t>
            </w:r>
          </w:p>
        </w:tc>
        <w:tc>
          <w:tcPr>
            <w:tcW w:w="765" w:type="pct"/>
            <w:tcBorders>
              <w:top w:val="single" w:sz="4" w:space="0" w:color="auto"/>
              <w:left w:val="nil"/>
              <w:bottom w:val="single" w:sz="12" w:space="0" w:color="auto"/>
              <w:right w:val="nil"/>
            </w:tcBorders>
            <w:shd w:val="clear" w:color="auto" w:fill="auto"/>
          </w:tcPr>
          <w:p w14:paraId="47F5D6CA" w14:textId="592BCEF1" w:rsidR="007E02F6" w:rsidRPr="00E27C68" w:rsidRDefault="007E02F6" w:rsidP="007E02F6">
            <w:pPr>
              <w:tabs>
                <w:tab w:val="right" w:pos="1202"/>
              </w:tabs>
              <w:suppressAutoHyphens/>
              <w:autoSpaceDN w:val="0"/>
              <w:spacing w:line="340" w:lineRule="exact"/>
              <w:jc w:val="right"/>
              <w:outlineLvl w:val="0"/>
              <w:rPr>
                <w:rFonts w:ascii="Arial" w:eastAsia="Times New Roman" w:hAnsi="Arial" w:cs="Arial"/>
                <w:color w:val="000000" w:themeColor="text1"/>
                <w:sz w:val="20"/>
                <w:szCs w:val="20"/>
              </w:rPr>
            </w:pPr>
            <w:r w:rsidRPr="00E27C68">
              <w:rPr>
                <w:rFonts w:ascii="Arial" w:hAnsi="Arial" w:cs="Arial"/>
                <w:sz w:val="20"/>
                <w:szCs w:val="20"/>
              </w:rPr>
              <w:t xml:space="preserve"> 120.733 </w:t>
            </w:r>
          </w:p>
        </w:tc>
        <w:tc>
          <w:tcPr>
            <w:tcW w:w="789" w:type="pct"/>
            <w:tcBorders>
              <w:top w:val="single" w:sz="4" w:space="0" w:color="auto"/>
              <w:left w:val="nil"/>
              <w:bottom w:val="single" w:sz="12" w:space="0" w:color="auto"/>
              <w:right w:val="nil"/>
            </w:tcBorders>
            <w:shd w:val="clear" w:color="auto" w:fill="auto"/>
            <w:vAlign w:val="bottom"/>
          </w:tcPr>
          <w:p w14:paraId="3D3DE491" w14:textId="6FD915A8" w:rsidR="007E02F6" w:rsidRPr="00E27C68" w:rsidRDefault="007E02F6" w:rsidP="007E02F6">
            <w:pPr>
              <w:tabs>
                <w:tab w:val="right" w:pos="1202"/>
              </w:tabs>
              <w:suppressAutoHyphens/>
              <w:autoSpaceDN w:val="0"/>
              <w:spacing w:line="340" w:lineRule="exact"/>
              <w:jc w:val="right"/>
              <w:outlineLvl w:val="0"/>
              <w:rPr>
                <w:rFonts w:ascii="Arial" w:eastAsia="Times New Roman" w:hAnsi="Arial" w:cs="Arial"/>
                <w:color w:val="000000" w:themeColor="text1"/>
                <w:sz w:val="20"/>
                <w:szCs w:val="20"/>
              </w:rPr>
            </w:pPr>
            <w:r w:rsidRPr="00E27C68">
              <w:rPr>
                <w:rFonts w:ascii="Arial" w:hAnsi="Arial" w:cs="Arial"/>
                <w:color w:val="000000" w:themeColor="text1"/>
                <w:sz w:val="20"/>
              </w:rPr>
              <w:t>69.674</w:t>
            </w:r>
          </w:p>
        </w:tc>
      </w:tr>
      <w:tr w:rsidR="00C26FEE" w:rsidRPr="00335A18" w14:paraId="7760BCF3" w14:textId="77777777" w:rsidTr="00F82030">
        <w:tc>
          <w:tcPr>
            <w:tcW w:w="1890" w:type="pct"/>
            <w:vAlign w:val="bottom"/>
          </w:tcPr>
          <w:p w14:paraId="7935DCE9" w14:textId="77777777" w:rsidR="00C26FEE" w:rsidRPr="00335A18" w:rsidRDefault="00C26FEE" w:rsidP="00C26FEE">
            <w:pPr>
              <w:tabs>
                <w:tab w:val="left" w:pos="-720"/>
              </w:tabs>
              <w:suppressAutoHyphens/>
              <w:autoSpaceDN w:val="0"/>
              <w:rPr>
                <w:rFonts w:ascii="Arial" w:eastAsia="Times New Roman" w:hAnsi="Arial" w:cs="Arial"/>
                <w:color w:val="000000" w:themeColor="text1"/>
                <w:spacing w:val="-2"/>
                <w:sz w:val="20"/>
                <w:szCs w:val="20"/>
              </w:rPr>
            </w:pPr>
          </w:p>
        </w:tc>
        <w:tc>
          <w:tcPr>
            <w:tcW w:w="766" w:type="pct"/>
            <w:tcBorders>
              <w:top w:val="nil"/>
              <w:left w:val="nil"/>
              <w:right w:val="nil"/>
            </w:tcBorders>
            <w:shd w:val="clear" w:color="auto" w:fill="auto"/>
            <w:vAlign w:val="bottom"/>
          </w:tcPr>
          <w:p w14:paraId="2268C996" w14:textId="77777777" w:rsidR="00C26FEE" w:rsidRPr="00F82030" w:rsidRDefault="00C26FEE" w:rsidP="00C26FEE">
            <w:pPr>
              <w:suppressAutoHyphens/>
              <w:autoSpaceDN w:val="0"/>
              <w:jc w:val="right"/>
              <w:rPr>
                <w:rFonts w:ascii="Arial" w:eastAsia="Times New Roman" w:hAnsi="Arial" w:cs="Arial"/>
                <w:color w:val="000000" w:themeColor="text1"/>
                <w:spacing w:val="-2"/>
                <w:sz w:val="20"/>
                <w:szCs w:val="20"/>
              </w:rPr>
            </w:pPr>
          </w:p>
        </w:tc>
        <w:tc>
          <w:tcPr>
            <w:tcW w:w="790" w:type="pct"/>
            <w:tcBorders>
              <w:top w:val="nil"/>
              <w:left w:val="nil"/>
              <w:right w:val="nil"/>
            </w:tcBorders>
            <w:shd w:val="clear" w:color="auto" w:fill="auto"/>
            <w:vAlign w:val="bottom"/>
          </w:tcPr>
          <w:p w14:paraId="290A4B8C" w14:textId="77777777" w:rsidR="00C26FEE" w:rsidRPr="00335A18" w:rsidRDefault="00C26FEE" w:rsidP="00C26FEE">
            <w:pPr>
              <w:suppressAutoHyphens/>
              <w:autoSpaceDN w:val="0"/>
              <w:jc w:val="right"/>
              <w:rPr>
                <w:rFonts w:ascii="Arial" w:eastAsia="Times New Roman" w:hAnsi="Arial" w:cs="Arial"/>
                <w:color w:val="000000" w:themeColor="text1"/>
                <w:spacing w:val="-2"/>
                <w:sz w:val="20"/>
                <w:szCs w:val="20"/>
              </w:rPr>
            </w:pPr>
          </w:p>
        </w:tc>
        <w:tc>
          <w:tcPr>
            <w:tcW w:w="765" w:type="pct"/>
            <w:tcBorders>
              <w:top w:val="nil"/>
              <w:left w:val="nil"/>
              <w:right w:val="nil"/>
            </w:tcBorders>
            <w:shd w:val="clear" w:color="auto" w:fill="auto"/>
            <w:vAlign w:val="bottom"/>
          </w:tcPr>
          <w:p w14:paraId="0B00FB5A" w14:textId="77777777" w:rsidR="00C26FEE" w:rsidRPr="005228BE" w:rsidRDefault="00C26FEE" w:rsidP="00C26FEE">
            <w:pPr>
              <w:suppressAutoHyphens/>
              <w:autoSpaceDN w:val="0"/>
              <w:jc w:val="right"/>
              <w:rPr>
                <w:rFonts w:ascii="Arial" w:eastAsia="Times New Roman" w:hAnsi="Arial" w:cs="Arial"/>
                <w:color w:val="000000" w:themeColor="text1"/>
                <w:spacing w:val="-2"/>
                <w:sz w:val="20"/>
                <w:szCs w:val="20"/>
              </w:rPr>
            </w:pPr>
          </w:p>
        </w:tc>
        <w:tc>
          <w:tcPr>
            <w:tcW w:w="789" w:type="pct"/>
            <w:tcBorders>
              <w:top w:val="nil"/>
              <w:left w:val="nil"/>
              <w:right w:val="nil"/>
            </w:tcBorders>
            <w:shd w:val="clear" w:color="auto" w:fill="auto"/>
            <w:vAlign w:val="bottom"/>
          </w:tcPr>
          <w:p w14:paraId="3FB755BB" w14:textId="77777777" w:rsidR="00C26FEE" w:rsidRPr="00335A18" w:rsidRDefault="00C26FEE" w:rsidP="00C26FEE">
            <w:pPr>
              <w:suppressAutoHyphens/>
              <w:autoSpaceDN w:val="0"/>
              <w:jc w:val="right"/>
              <w:rPr>
                <w:rFonts w:ascii="Arial" w:eastAsia="Times New Roman" w:hAnsi="Arial" w:cs="Arial"/>
                <w:color w:val="000000" w:themeColor="text1"/>
                <w:spacing w:val="-2"/>
                <w:sz w:val="20"/>
                <w:szCs w:val="20"/>
              </w:rPr>
            </w:pPr>
          </w:p>
        </w:tc>
      </w:tr>
      <w:tr w:rsidR="00F82030" w:rsidRPr="00335A18" w14:paraId="61434B12" w14:textId="77777777" w:rsidTr="00F82030">
        <w:tc>
          <w:tcPr>
            <w:tcW w:w="1890" w:type="pct"/>
            <w:vAlign w:val="bottom"/>
          </w:tcPr>
          <w:p w14:paraId="553DA432" w14:textId="7895DA6B" w:rsidR="00F82030" w:rsidRPr="00335A18" w:rsidRDefault="00F82030" w:rsidP="00F82030">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25" w:name="_Toc67327952"/>
            <w:r w:rsidRPr="00335A18">
              <w:rPr>
                <w:rFonts w:ascii="Arial" w:eastAsia="Times New Roman" w:hAnsi="Arial" w:cs="Arial"/>
                <w:color w:val="000000" w:themeColor="text1"/>
                <w:sz w:val="20"/>
                <w:szCs w:val="20"/>
              </w:rPr>
              <w:t>Rezerviranja za očekivane gubitke</w:t>
            </w:r>
            <w:bookmarkEnd w:id="325"/>
          </w:p>
        </w:tc>
        <w:tc>
          <w:tcPr>
            <w:tcW w:w="766" w:type="pct"/>
            <w:tcBorders>
              <w:top w:val="nil"/>
              <w:left w:val="nil"/>
              <w:bottom w:val="single" w:sz="4" w:space="0" w:color="auto"/>
              <w:right w:val="nil"/>
            </w:tcBorders>
            <w:shd w:val="clear" w:color="auto" w:fill="auto"/>
            <w:vAlign w:val="bottom"/>
          </w:tcPr>
          <w:p w14:paraId="38D0FDFD" w14:textId="078E4378" w:rsidR="00F82030" w:rsidRPr="00F82030" w:rsidRDefault="00F82030" w:rsidP="00F82030">
            <w:pPr>
              <w:suppressAutoHyphens/>
              <w:autoSpaceDN w:val="0"/>
              <w:spacing w:line="301" w:lineRule="exact"/>
              <w:jc w:val="right"/>
              <w:outlineLvl w:val="0"/>
              <w:rPr>
                <w:rFonts w:ascii="Arial" w:eastAsia="Times New Roman" w:hAnsi="Arial" w:cs="Arial"/>
                <w:color w:val="000000" w:themeColor="text1"/>
                <w:sz w:val="20"/>
                <w:szCs w:val="20"/>
              </w:rPr>
            </w:pPr>
            <w:r w:rsidRPr="00F82030">
              <w:rPr>
                <w:rFonts w:ascii="Arial" w:hAnsi="Arial" w:cs="Arial"/>
                <w:sz w:val="20"/>
                <w:szCs w:val="20"/>
              </w:rPr>
              <w:t xml:space="preserve"> (129)</w:t>
            </w:r>
          </w:p>
        </w:tc>
        <w:tc>
          <w:tcPr>
            <w:tcW w:w="790" w:type="pct"/>
            <w:tcBorders>
              <w:top w:val="nil"/>
              <w:left w:val="nil"/>
              <w:bottom w:val="single" w:sz="4" w:space="0" w:color="auto"/>
              <w:right w:val="nil"/>
            </w:tcBorders>
            <w:shd w:val="clear" w:color="auto" w:fill="auto"/>
            <w:vAlign w:val="bottom"/>
          </w:tcPr>
          <w:p w14:paraId="44AC94FF" w14:textId="0B2FA9F6" w:rsidR="00F82030" w:rsidRPr="00335A18" w:rsidRDefault="00F82030" w:rsidP="00F82030">
            <w:pPr>
              <w:suppressAutoHyphens/>
              <w:autoSpaceDN w:val="0"/>
              <w:spacing w:line="301" w:lineRule="exact"/>
              <w:jc w:val="right"/>
              <w:outlineLvl w:val="0"/>
              <w:rPr>
                <w:rFonts w:ascii="Arial" w:eastAsia="Times New Roman" w:hAnsi="Arial" w:cs="Arial"/>
                <w:color w:val="000000" w:themeColor="text1"/>
                <w:sz w:val="20"/>
                <w:szCs w:val="20"/>
              </w:rPr>
            </w:pPr>
            <w:r w:rsidRPr="00236A5E">
              <w:rPr>
                <w:rFonts w:ascii="Arial" w:hAnsi="Arial" w:cs="Arial"/>
                <w:color w:val="000000" w:themeColor="text1"/>
                <w:sz w:val="20"/>
              </w:rPr>
              <w:t>(221)</w:t>
            </w:r>
          </w:p>
        </w:tc>
        <w:tc>
          <w:tcPr>
            <w:tcW w:w="765" w:type="pct"/>
            <w:tcBorders>
              <w:top w:val="nil"/>
              <w:left w:val="nil"/>
              <w:bottom w:val="single" w:sz="4" w:space="0" w:color="auto"/>
              <w:right w:val="nil"/>
            </w:tcBorders>
            <w:shd w:val="clear" w:color="auto" w:fill="auto"/>
            <w:vAlign w:val="bottom"/>
          </w:tcPr>
          <w:p w14:paraId="2BDCDC6B" w14:textId="2C22BD62" w:rsidR="00F82030" w:rsidRPr="005228BE" w:rsidRDefault="00F82030" w:rsidP="00F82030">
            <w:pPr>
              <w:suppressAutoHyphens/>
              <w:autoSpaceDN w:val="0"/>
              <w:spacing w:line="301" w:lineRule="exact"/>
              <w:jc w:val="right"/>
              <w:outlineLvl w:val="0"/>
              <w:rPr>
                <w:rFonts w:ascii="Arial" w:eastAsia="Times New Roman" w:hAnsi="Arial" w:cs="Arial"/>
                <w:color w:val="000000" w:themeColor="text1"/>
                <w:sz w:val="20"/>
                <w:szCs w:val="20"/>
              </w:rPr>
            </w:pPr>
            <w:r w:rsidRPr="005228BE">
              <w:rPr>
                <w:rFonts w:ascii="Arial" w:eastAsia="Times New Roman" w:hAnsi="Arial" w:cs="Arial"/>
                <w:color w:val="000000" w:themeColor="text1"/>
                <w:sz w:val="20"/>
                <w:szCs w:val="20"/>
              </w:rPr>
              <w:t>(123)</w:t>
            </w:r>
          </w:p>
        </w:tc>
        <w:tc>
          <w:tcPr>
            <w:tcW w:w="789" w:type="pct"/>
            <w:tcBorders>
              <w:top w:val="nil"/>
              <w:left w:val="nil"/>
              <w:bottom w:val="single" w:sz="4" w:space="0" w:color="auto"/>
              <w:right w:val="nil"/>
            </w:tcBorders>
            <w:shd w:val="clear" w:color="auto" w:fill="auto"/>
            <w:vAlign w:val="bottom"/>
          </w:tcPr>
          <w:p w14:paraId="5300D048" w14:textId="7620C444" w:rsidR="00F82030" w:rsidRPr="00335A18" w:rsidRDefault="00F82030" w:rsidP="00F82030">
            <w:pPr>
              <w:suppressAutoHyphens/>
              <w:autoSpaceDN w:val="0"/>
              <w:spacing w:line="301" w:lineRule="exact"/>
              <w:jc w:val="right"/>
              <w:outlineLvl w:val="0"/>
              <w:rPr>
                <w:rFonts w:ascii="Arial" w:eastAsia="Times New Roman" w:hAnsi="Arial" w:cs="Arial"/>
                <w:color w:val="000000" w:themeColor="text1"/>
                <w:sz w:val="20"/>
                <w:szCs w:val="20"/>
              </w:rPr>
            </w:pPr>
            <w:r w:rsidRPr="00236A5E">
              <w:rPr>
                <w:rFonts w:ascii="Arial" w:hAnsi="Arial" w:cs="Arial"/>
                <w:color w:val="000000" w:themeColor="text1"/>
                <w:sz w:val="20"/>
              </w:rPr>
              <w:t>(218)</w:t>
            </w:r>
          </w:p>
        </w:tc>
      </w:tr>
      <w:tr w:rsidR="00F82030" w:rsidRPr="00335A18" w14:paraId="1560CC00" w14:textId="77777777" w:rsidTr="00F82030">
        <w:tc>
          <w:tcPr>
            <w:tcW w:w="1890" w:type="pct"/>
            <w:vAlign w:val="bottom"/>
          </w:tcPr>
          <w:p w14:paraId="6DA3E779" w14:textId="77777777" w:rsidR="00F82030" w:rsidRPr="00335A18" w:rsidRDefault="00F82030" w:rsidP="00F82030">
            <w:pPr>
              <w:tabs>
                <w:tab w:val="left" w:pos="-720"/>
              </w:tabs>
              <w:suppressAutoHyphens/>
              <w:autoSpaceDN w:val="0"/>
              <w:rPr>
                <w:rFonts w:ascii="Arial" w:eastAsia="Times New Roman" w:hAnsi="Arial" w:cs="Arial"/>
                <w:b/>
                <w:bCs/>
                <w:color w:val="000000" w:themeColor="text1"/>
                <w:spacing w:val="-2"/>
                <w:sz w:val="20"/>
                <w:szCs w:val="20"/>
              </w:rPr>
            </w:pPr>
          </w:p>
        </w:tc>
        <w:tc>
          <w:tcPr>
            <w:tcW w:w="766" w:type="pct"/>
            <w:tcBorders>
              <w:top w:val="single" w:sz="4" w:space="0" w:color="auto"/>
              <w:left w:val="nil"/>
              <w:bottom w:val="single" w:sz="12" w:space="0" w:color="auto"/>
              <w:right w:val="nil"/>
            </w:tcBorders>
            <w:shd w:val="clear" w:color="auto" w:fill="auto"/>
            <w:vAlign w:val="bottom"/>
          </w:tcPr>
          <w:p w14:paraId="43F4096A" w14:textId="77BF14C1" w:rsidR="00F82030" w:rsidRPr="00F82030" w:rsidRDefault="00F82030" w:rsidP="00F82030">
            <w:pPr>
              <w:suppressAutoHyphens/>
              <w:autoSpaceDN w:val="0"/>
              <w:spacing w:line="301" w:lineRule="exact"/>
              <w:jc w:val="right"/>
              <w:outlineLvl w:val="0"/>
              <w:rPr>
                <w:rFonts w:ascii="Arial" w:eastAsia="Times New Roman" w:hAnsi="Arial" w:cs="Arial"/>
                <w:b/>
                <w:bCs/>
                <w:color w:val="000000" w:themeColor="text1"/>
                <w:sz w:val="20"/>
                <w:szCs w:val="20"/>
              </w:rPr>
            </w:pPr>
            <w:r w:rsidRPr="00F82030">
              <w:rPr>
                <w:rFonts w:ascii="Arial" w:hAnsi="Arial" w:cs="Arial"/>
                <w:b/>
                <w:bCs/>
                <w:sz w:val="20"/>
                <w:szCs w:val="20"/>
              </w:rPr>
              <w:t xml:space="preserve"> 124.473 </w:t>
            </w:r>
          </w:p>
        </w:tc>
        <w:tc>
          <w:tcPr>
            <w:tcW w:w="790" w:type="pct"/>
            <w:tcBorders>
              <w:top w:val="single" w:sz="4" w:space="0" w:color="auto"/>
              <w:left w:val="nil"/>
              <w:bottom w:val="single" w:sz="12" w:space="0" w:color="auto"/>
              <w:right w:val="nil"/>
            </w:tcBorders>
            <w:shd w:val="clear" w:color="auto" w:fill="auto"/>
            <w:vAlign w:val="bottom"/>
          </w:tcPr>
          <w:p w14:paraId="0419F61D" w14:textId="3E97F791" w:rsidR="00F82030" w:rsidRPr="00335A18" w:rsidRDefault="00F82030" w:rsidP="00F82030">
            <w:pPr>
              <w:suppressAutoHyphens/>
              <w:autoSpaceDN w:val="0"/>
              <w:spacing w:line="301" w:lineRule="exact"/>
              <w:jc w:val="right"/>
              <w:outlineLvl w:val="0"/>
              <w:rPr>
                <w:rFonts w:ascii="Arial" w:eastAsia="Times New Roman" w:hAnsi="Arial" w:cs="Arial"/>
                <w:b/>
                <w:bCs/>
                <w:color w:val="000000" w:themeColor="text1"/>
                <w:sz w:val="20"/>
                <w:szCs w:val="20"/>
              </w:rPr>
            </w:pPr>
            <w:r w:rsidRPr="00236A5E">
              <w:rPr>
                <w:rFonts w:ascii="Arial" w:hAnsi="Arial" w:cs="Arial"/>
                <w:b/>
                <w:bCs/>
                <w:color w:val="000000" w:themeColor="text1"/>
                <w:sz w:val="20"/>
              </w:rPr>
              <w:t>71.761</w:t>
            </w:r>
          </w:p>
        </w:tc>
        <w:tc>
          <w:tcPr>
            <w:tcW w:w="765" w:type="pct"/>
            <w:tcBorders>
              <w:top w:val="single" w:sz="4" w:space="0" w:color="auto"/>
              <w:left w:val="nil"/>
              <w:bottom w:val="single" w:sz="12" w:space="0" w:color="auto"/>
              <w:right w:val="nil"/>
            </w:tcBorders>
            <w:shd w:val="clear" w:color="auto" w:fill="auto"/>
            <w:vAlign w:val="bottom"/>
          </w:tcPr>
          <w:p w14:paraId="73035866" w14:textId="3981C91F" w:rsidR="00F82030" w:rsidRPr="005228BE" w:rsidRDefault="00F82030" w:rsidP="00F82030">
            <w:pPr>
              <w:jc w:val="right"/>
              <w:rPr>
                <w:rFonts w:ascii="Arial" w:eastAsia="Times New Roman" w:hAnsi="Arial" w:cs="Arial"/>
                <w:b/>
                <w:bCs/>
                <w:color w:val="000000" w:themeColor="text1"/>
                <w:sz w:val="20"/>
                <w:szCs w:val="20"/>
              </w:rPr>
            </w:pPr>
            <w:r w:rsidRPr="005228BE">
              <w:rPr>
                <w:rFonts w:ascii="Arial" w:eastAsia="Times New Roman" w:hAnsi="Arial" w:cs="Arial"/>
                <w:b/>
                <w:bCs/>
                <w:color w:val="000000" w:themeColor="text1"/>
                <w:sz w:val="20"/>
                <w:szCs w:val="20"/>
              </w:rPr>
              <w:t>120.610</w:t>
            </w:r>
          </w:p>
        </w:tc>
        <w:tc>
          <w:tcPr>
            <w:tcW w:w="789" w:type="pct"/>
            <w:tcBorders>
              <w:top w:val="single" w:sz="4" w:space="0" w:color="auto"/>
              <w:left w:val="nil"/>
              <w:bottom w:val="single" w:sz="12" w:space="0" w:color="auto"/>
              <w:right w:val="nil"/>
            </w:tcBorders>
            <w:shd w:val="clear" w:color="auto" w:fill="auto"/>
            <w:vAlign w:val="bottom"/>
          </w:tcPr>
          <w:p w14:paraId="62634527" w14:textId="621656D1" w:rsidR="00F82030" w:rsidRPr="00335A18" w:rsidRDefault="00F82030" w:rsidP="00F82030">
            <w:pPr>
              <w:suppressAutoHyphens/>
              <w:autoSpaceDN w:val="0"/>
              <w:spacing w:line="301" w:lineRule="exact"/>
              <w:jc w:val="right"/>
              <w:outlineLvl w:val="0"/>
              <w:rPr>
                <w:rFonts w:ascii="Arial" w:eastAsia="Times New Roman" w:hAnsi="Arial" w:cs="Arial"/>
                <w:b/>
                <w:bCs/>
                <w:color w:val="000000" w:themeColor="text1"/>
                <w:sz w:val="20"/>
                <w:szCs w:val="20"/>
              </w:rPr>
            </w:pPr>
            <w:r w:rsidRPr="00236A5E">
              <w:rPr>
                <w:rFonts w:ascii="Arial" w:hAnsi="Arial" w:cs="Arial"/>
                <w:b/>
                <w:bCs/>
                <w:color w:val="000000" w:themeColor="text1"/>
                <w:sz w:val="20"/>
              </w:rPr>
              <w:t>69.456</w:t>
            </w:r>
          </w:p>
        </w:tc>
      </w:tr>
    </w:tbl>
    <w:p w14:paraId="4845C653" w14:textId="77777777" w:rsidR="00A73031" w:rsidRPr="003D1614" w:rsidRDefault="00A73031" w:rsidP="00A73031">
      <w:pPr>
        <w:suppressAutoHyphens/>
        <w:autoSpaceDN w:val="0"/>
        <w:jc w:val="both"/>
        <w:rPr>
          <w:rFonts w:ascii="Arial" w:eastAsia="Times New Roman" w:hAnsi="Arial" w:cs="Arial"/>
          <w:color w:val="000000" w:themeColor="text1"/>
          <w:sz w:val="20"/>
          <w:szCs w:val="20"/>
        </w:rPr>
      </w:pPr>
    </w:p>
    <w:p w14:paraId="37D632F9" w14:textId="77777777" w:rsidR="00A73031" w:rsidRPr="003D1614" w:rsidRDefault="00A73031" w:rsidP="00A73031">
      <w:pPr>
        <w:keepNext/>
        <w:suppressAutoHyphens/>
        <w:autoSpaceDN w:val="0"/>
        <w:jc w:val="both"/>
        <w:outlineLvl w:val="0"/>
        <w:rPr>
          <w:rFonts w:ascii="Arial" w:eastAsia="Times New Roman" w:hAnsi="Arial" w:cs="Arial"/>
          <w:bCs/>
          <w:color w:val="000000" w:themeColor="text1"/>
          <w:sz w:val="20"/>
          <w:szCs w:val="20"/>
        </w:rPr>
      </w:pPr>
    </w:p>
    <w:p w14:paraId="2F6E459D" w14:textId="77777777" w:rsidR="00A73031" w:rsidRPr="003D1614" w:rsidRDefault="00A73031" w:rsidP="00A73031">
      <w:pPr>
        <w:keepNext/>
        <w:suppressAutoHyphens/>
        <w:autoSpaceDN w:val="0"/>
        <w:jc w:val="both"/>
        <w:outlineLvl w:val="0"/>
        <w:rPr>
          <w:rFonts w:ascii="Arial" w:eastAsia="Times New Roman" w:hAnsi="Arial" w:cs="Arial"/>
          <w:bCs/>
          <w:color w:val="000000" w:themeColor="text1"/>
          <w:sz w:val="20"/>
          <w:szCs w:val="20"/>
        </w:rPr>
      </w:pPr>
      <w:bookmarkStart w:id="326" w:name="_Hlk1476286"/>
      <w:r w:rsidRPr="003D1614">
        <w:rPr>
          <w:rFonts w:ascii="Arial" w:eastAsia="Times New Roman" w:hAnsi="Arial" w:cs="Arial"/>
          <w:bCs/>
          <w:color w:val="000000" w:themeColor="text1"/>
          <w:sz w:val="20"/>
          <w:szCs w:val="20"/>
        </w:rPr>
        <w:t>Sljedeće tablice prikazuju informacije o kreditnoj kvaliteti financijske imovine koja se mjeri po amortiziranom trošku. Iznosi u tablici predstavljaju bruto knjigovodstvene iznose:</w:t>
      </w:r>
      <w:bookmarkEnd w:id="326"/>
    </w:p>
    <w:p w14:paraId="347152A1" w14:textId="77777777" w:rsidR="00A73031" w:rsidRPr="003D1614" w:rsidRDefault="00A73031" w:rsidP="00A73031">
      <w:pPr>
        <w:suppressAutoHyphens/>
        <w:autoSpaceDN w:val="0"/>
        <w:spacing w:after="120"/>
        <w:jc w:val="both"/>
        <w:rPr>
          <w:rFonts w:ascii="Arial" w:eastAsia="Times New Roman" w:hAnsi="Arial" w:cs="Arial"/>
          <w:color w:val="000000" w:themeColor="text1"/>
          <w:sz w:val="20"/>
          <w:szCs w:val="20"/>
        </w:rPr>
      </w:pPr>
    </w:p>
    <w:tbl>
      <w:tblPr>
        <w:tblW w:w="9779" w:type="dxa"/>
        <w:tblLayout w:type="fixed"/>
        <w:tblLook w:val="04A0" w:firstRow="1" w:lastRow="0" w:firstColumn="1" w:lastColumn="0" w:noHBand="0" w:noVBand="1"/>
      </w:tblPr>
      <w:tblGrid>
        <w:gridCol w:w="1843"/>
        <w:gridCol w:w="992"/>
        <w:gridCol w:w="992"/>
        <w:gridCol w:w="992"/>
        <w:gridCol w:w="992"/>
        <w:gridCol w:w="992"/>
        <w:gridCol w:w="992"/>
        <w:gridCol w:w="992"/>
        <w:gridCol w:w="992"/>
      </w:tblGrid>
      <w:tr w:rsidR="00A73031" w:rsidRPr="004135C2" w14:paraId="3ABA7E95" w14:textId="77777777" w:rsidTr="004135C2">
        <w:trPr>
          <w:trHeight w:val="178"/>
        </w:trPr>
        <w:tc>
          <w:tcPr>
            <w:tcW w:w="1843" w:type="dxa"/>
            <w:tcBorders>
              <w:top w:val="nil"/>
              <w:left w:val="nil"/>
              <w:bottom w:val="nil"/>
              <w:right w:val="nil"/>
            </w:tcBorders>
            <w:shd w:val="clear" w:color="auto" w:fill="auto"/>
            <w:noWrap/>
            <w:vAlign w:val="bottom"/>
            <w:hideMark/>
          </w:tcPr>
          <w:p w14:paraId="7A7BC5F9" w14:textId="3EFCD483" w:rsidR="00A73031" w:rsidRPr="004135C2" w:rsidRDefault="002F4581" w:rsidP="00A73031">
            <w:pPr>
              <w:suppressAutoHyphens/>
              <w:autoSpaceDN w:val="0"/>
              <w:rPr>
                <w:rFonts w:ascii="Arial" w:eastAsia="Times New Roman" w:hAnsi="Arial" w:cs="Arial"/>
                <w:b/>
                <w:color w:val="000000" w:themeColor="text1"/>
                <w:sz w:val="17"/>
                <w:szCs w:val="17"/>
              </w:rPr>
            </w:pPr>
            <w:r w:rsidRPr="002F4581">
              <w:rPr>
                <w:rFonts w:ascii="Arial" w:eastAsia="Times New Roman" w:hAnsi="Arial" w:cs="Arial"/>
                <w:b/>
                <w:color w:val="000000" w:themeColor="text1"/>
                <w:sz w:val="17"/>
                <w:szCs w:val="17"/>
              </w:rPr>
              <w:t>30. rujna 202</w:t>
            </w:r>
            <w:r w:rsidR="00C26FEE">
              <w:rPr>
                <w:rFonts w:ascii="Arial" w:eastAsia="Times New Roman" w:hAnsi="Arial" w:cs="Arial"/>
                <w:b/>
                <w:color w:val="000000" w:themeColor="text1"/>
                <w:sz w:val="17"/>
                <w:szCs w:val="17"/>
              </w:rPr>
              <w:t>4</w:t>
            </w:r>
            <w:r w:rsidRPr="002F4581">
              <w:rPr>
                <w:rFonts w:ascii="Arial" w:eastAsia="Times New Roman" w:hAnsi="Arial" w:cs="Arial"/>
                <w:b/>
                <w:color w:val="000000" w:themeColor="text1"/>
                <w:sz w:val="17"/>
                <w:szCs w:val="17"/>
              </w:rPr>
              <w:t>.</w:t>
            </w:r>
          </w:p>
        </w:tc>
        <w:tc>
          <w:tcPr>
            <w:tcW w:w="992" w:type="dxa"/>
            <w:tcBorders>
              <w:top w:val="nil"/>
              <w:left w:val="nil"/>
              <w:bottom w:val="nil"/>
              <w:right w:val="nil"/>
            </w:tcBorders>
            <w:shd w:val="clear" w:color="auto" w:fill="auto"/>
            <w:noWrap/>
            <w:vAlign w:val="bottom"/>
            <w:hideMark/>
          </w:tcPr>
          <w:p w14:paraId="7966D957" w14:textId="77777777" w:rsidR="00A73031" w:rsidRPr="004135C2" w:rsidRDefault="00A73031" w:rsidP="00A73031">
            <w:pPr>
              <w:suppressAutoHyphens/>
              <w:autoSpaceDN w:val="0"/>
              <w:rPr>
                <w:rFonts w:ascii="Arial" w:eastAsia="Times New Roman" w:hAnsi="Arial" w:cs="Arial"/>
                <w:color w:val="000000" w:themeColor="text1"/>
                <w:sz w:val="17"/>
                <w:szCs w:val="17"/>
              </w:rPr>
            </w:pPr>
          </w:p>
        </w:tc>
        <w:tc>
          <w:tcPr>
            <w:tcW w:w="992" w:type="dxa"/>
            <w:tcBorders>
              <w:top w:val="nil"/>
              <w:left w:val="nil"/>
              <w:bottom w:val="nil"/>
              <w:right w:val="nil"/>
            </w:tcBorders>
            <w:shd w:val="clear" w:color="auto" w:fill="auto"/>
            <w:noWrap/>
            <w:vAlign w:val="bottom"/>
            <w:hideMark/>
          </w:tcPr>
          <w:p w14:paraId="79ACD06B" w14:textId="77777777" w:rsidR="00A73031" w:rsidRPr="004135C2" w:rsidRDefault="00A73031" w:rsidP="00A73031">
            <w:pPr>
              <w:suppressAutoHyphens/>
              <w:autoSpaceDN w:val="0"/>
              <w:jc w:val="right"/>
              <w:rPr>
                <w:rFonts w:ascii="Arial" w:eastAsia="Times New Roman" w:hAnsi="Arial" w:cs="Arial"/>
                <w:color w:val="000000" w:themeColor="text1"/>
                <w:sz w:val="17"/>
                <w:szCs w:val="17"/>
              </w:rPr>
            </w:pPr>
          </w:p>
        </w:tc>
        <w:tc>
          <w:tcPr>
            <w:tcW w:w="992" w:type="dxa"/>
            <w:tcBorders>
              <w:top w:val="nil"/>
              <w:left w:val="nil"/>
              <w:bottom w:val="nil"/>
              <w:right w:val="nil"/>
            </w:tcBorders>
            <w:shd w:val="clear" w:color="auto" w:fill="auto"/>
            <w:noWrap/>
            <w:vAlign w:val="bottom"/>
            <w:hideMark/>
          </w:tcPr>
          <w:p w14:paraId="75C495C6" w14:textId="77777777" w:rsidR="00A73031" w:rsidRPr="004135C2" w:rsidRDefault="00A73031" w:rsidP="00A73031">
            <w:pPr>
              <w:suppressAutoHyphens/>
              <w:autoSpaceDN w:val="0"/>
              <w:jc w:val="right"/>
              <w:rPr>
                <w:rFonts w:ascii="Arial" w:eastAsia="Times New Roman" w:hAnsi="Arial" w:cs="Arial"/>
                <w:color w:val="000000" w:themeColor="text1"/>
                <w:sz w:val="17"/>
                <w:szCs w:val="17"/>
              </w:rPr>
            </w:pPr>
          </w:p>
        </w:tc>
        <w:tc>
          <w:tcPr>
            <w:tcW w:w="992" w:type="dxa"/>
            <w:tcBorders>
              <w:top w:val="nil"/>
              <w:left w:val="nil"/>
              <w:bottom w:val="nil"/>
              <w:right w:val="nil"/>
            </w:tcBorders>
            <w:shd w:val="clear" w:color="auto" w:fill="auto"/>
            <w:noWrap/>
            <w:vAlign w:val="bottom"/>
            <w:hideMark/>
          </w:tcPr>
          <w:p w14:paraId="11B2C558"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r w:rsidRPr="004135C2">
              <w:rPr>
                <w:rFonts w:ascii="Arial" w:eastAsia="Times New Roman" w:hAnsi="Arial" w:cs="Arial"/>
                <w:b/>
                <w:bCs/>
                <w:color w:val="000000" w:themeColor="text1"/>
                <w:sz w:val="17"/>
                <w:szCs w:val="17"/>
              </w:rPr>
              <w:t>Grupa</w:t>
            </w:r>
          </w:p>
        </w:tc>
        <w:tc>
          <w:tcPr>
            <w:tcW w:w="992" w:type="dxa"/>
            <w:tcBorders>
              <w:top w:val="nil"/>
              <w:left w:val="nil"/>
              <w:bottom w:val="nil"/>
              <w:right w:val="nil"/>
            </w:tcBorders>
            <w:shd w:val="clear" w:color="auto" w:fill="auto"/>
            <w:noWrap/>
            <w:vAlign w:val="bottom"/>
            <w:hideMark/>
          </w:tcPr>
          <w:p w14:paraId="1249708D"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hideMark/>
          </w:tcPr>
          <w:p w14:paraId="266F91D0" w14:textId="77777777" w:rsidR="00A73031" w:rsidRPr="004135C2" w:rsidRDefault="00A73031" w:rsidP="00A73031">
            <w:pPr>
              <w:suppressAutoHyphens/>
              <w:autoSpaceDN w:val="0"/>
              <w:jc w:val="right"/>
              <w:rPr>
                <w:rFonts w:ascii="Arial" w:eastAsia="Times New Roman" w:hAnsi="Arial" w:cs="Arial"/>
                <w:color w:val="000000" w:themeColor="text1"/>
                <w:sz w:val="17"/>
                <w:szCs w:val="17"/>
              </w:rPr>
            </w:pPr>
          </w:p>
        </w:tc>
        <w:tc>
          <w:tcPr>
            <w:tcW w:w="992" w:type="dxa"/>
            <w:tcBorders>
              <w:top w:val="nil"/>
              <w:left w:val="nil"/>
              <w:bottom w:val="nil"/>
              <w:right w:val="nil"/>
            </w:tcBorders>
            <w:shd w:val="clear" w:color="auto" w:fill="auto"/>
            <w:noWrap/>
            <w:vAlign w:val="bottom"/>
            <w:hideMark/>
          </w:tcPr>
          <w:p w14:paraId="2139A212" w14:textId="77777777" w:rsidR="00A73031" w:rsidRPr="004135C2" w:rsidRDefault="00A73031" w:rsidP="00A73031">
            <w:pPr>
              <w:suppressAutoHyphens/>
              <w:autoSpaceDN w:val="0"/>
              <w:jc w:val="right"/>
              <w:rPr>
                <w:rFonts w:ascii="Arial" w:eastAsia="Times New Roman" w:hAnsi="Arial" w:cs="Arial"/>
                <w:color w:val="000000" w:themeColor="text1"/>
                <w:sz w:val="17"/>
                <w:szCs w:val="17"/>
              </w:rPr>
            </w:pPr>
          </w:p>
        </w:tc>
        <w:tc>
          <w:tcPr>
            <w:tcW w:w="992" w:type="dxa"/>
            <w:tcBorders>
              <w:top w:val="nil"/>
              <w:left w:val="nil"/>
              <w:bottom w:val="nil"/>
              <w:right w:val="nil"/>
            </w:tcBorders>
            <w:shd w:val="clear" w:color="auto" w:fill="auto"/>
            <w:noWrap/>
            <w:vAlign w:val="bottom"/>
            <w:hideMark/>
          </w:tcPr>
          <w:p w14:paraId="3B0B4749"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r w:rsidRPr="004135C2">
              <w:rPr>
                <w:rFonts w:ascii="Arial" w:eastAsia="Times New Roman" w:hAnsi="Arial" w:cs="Arial"/>
                <w:b/>
                <w:bCs/>
                <w:color w:val="000000" w:themeColor="text1"/>
                <w:sz w:val="17"/>
                <w:szCs w:val="17"/>
              </w:rPr>
              <w:t>Banka</w:t>
            </w:r>
          </w:p>
        </w:tc>
      </w:tr>
      <w:tr w:rsidR="00A73031" w:rsidRPr="004135C2" w14:paraId="74972FDA" w14:textId="77777777" w:rsidTr="004135C2">
        <w:trPr>
          <w:trHeight w:val="310"/>
        </w:trPr>
        <w:tc>
          <w:tcPr>
            <w:tcW w:w="1843" w:type="dxa"/>
            <w:tcBorders>
              <w:top w:val="nil"/>
              <w:left w:val="nil"/>
              <w:bottom w:val="nil"/>
              <w:right w:val="nil"/>
            </w:tcBorders>
            <w:shd w:val="clear" w:color="auto" w:fill="auto"/>
            <w:noWrap/>
            <w:vAlign w:val="bottom"/>
            <w:hideMark/>
          </w:tcPr>
          <w:p w14:paraId="1F96E369"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hideMark/>
          </w:tcPr>
          <w:p w14:paraId="7A9EFF58"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r w:rsidRPr="004135C2">
              <w:rPr>
                <w:rFonts w:ascii="Arial" w:eastAsia="Times New Roman" w:hAnsi="Arial" w:cs="Arial"/>
                <w:b/>
                <w:bCs/>
                <w:color w:val="000000" w:themeColor="text1"/>
                <w:sz w:val="17"/>
                <w:szCs w:val="17"/>
              </w:rPr>
              <w:t>Stupanj 1</w:t>
            </w:r>
          </w:p>
        </w:tc>
        <w:tc>
          <w:tcPr>
            <w:tcW w:w="992" w:type="dxa"/>
            <w:tcBorders>
              <w:top w:val="nil"/>
              <w:left w:val="nil"/>
              <w:bottom w:val="nil"/>
              <w:right w:val="nil"/>
            </w:tcBorders>
            <w:shd w:val="clear" w:color="auto" w:fill="auto"/>
            <w:noWrap/>
            <w:vAlign w:val="bottom"/>
            <w:hideMark/>
          </w:tcPr>
          <w:p w14:paraId="40B6C8C2"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r w:rsidRPr="004135C2">
              <w:rPr>
                <w:rFonts w:ascii="Arial" w:eastAsia="Times New Roman" w:hAnsi="Arial" w:cs="Arial"/>
                <w:b/>
                <w:bCs/>
                <w:color w:val="000000" w:themeColor="text1"/>
                <w:sz w:val="17"/>
                <w:szCs w:val="17"/>
              </w:rPr>
              <w:t>Stupanj 2</w:t>
            </w:r>
          </w:p>
        </w:tc>
        <w:tc>
          <w:tcPr>
            <w:tcW w:w="992" w:type="dxa"/>
            <w:tcBorders>
              <w:top w:val="nil"/>
              <w:left w:val="nil"/>
              <w:bottom w:val="nil"/>
              <w:right w:val="nil"/>
            </w:tcBorders>
            <w:shd w:val="clear" w:color="auto" w:fill="auto"/>
            <w:noWrap/>
            <w:vAlign w:val="bottom"/>
            <w:hideMark/>
          </w:tcPr>
          <w:p w14:paraId="3F4082A2"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r w:rsidRPr="004135C2">
              <w:rPr>
                <w:rFonts w:ascii="Arial" w:eastAsia="Times New Roman" w:hAnsi="Arial" w:cs="Arial"/>
                <w:b/>
                <w:bCs/>
                <w:color w:val="000000" w:themeColor="text1"/>
                <w:sz w:val="17"/>
                <w:szCs w:val="17"/>
              </w:rPr>
              <w:t>Stupanj 3</w:t>
            </w:r>
          </w:p>
        </w:tc>
        <w:tc>
          <w:tcPr>
            <w:tcW w:w="992" w:type="dxa"/>
            <w:tcBorders>
              <w:top w:val="nil"/>
              <w:left w:val="nil"/>
              <w:bottom w:val="nil"/>
              <w:right w:val="nil"/>
            </w:tcBorders>
            <w:shd w:val="clear" w:color="auto" w:fill="auto"/>
            <w:noWrap/>
            <w:vAlign w:val="bottom"/>
            <w:hideMark/>
          </w:tcPr>
          <w:p w14:paraId="28E0579F"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r w:rsidRPr="004135C2">
              <w:rPr>
                <w:rFonts w:ascii="Arial" w:eastAsia="Times New Roman" w:hAnsi="Arial" w:cs="Arial"/>
                <w:b/>
                <w:bCs/>
                <w:color w:val="000000" w:themeColor="text1"/>
                <w:sz w:val="17"/>
                <w:szCs w:val="17"/>
              </w:rPr>
              <w:t>Ukupno</w:t>
            </w:r>
          </w:p>
        </w:tc>
        <w:tc>
          <w:tcPr>
            <w:tcW w:w="992" w:type="dxa"/>
            <w:tcBorders>
              <w:top w:val="nil"/>
              <w:left w:val="nil"/>
              <w:bottom w:val="nil"/>
              <w:right w:val="nil"/>
            </w:tcBorders>
            <w:shd w:val="clear" w:color="auto" w:fill="auto"/>
            <w:noWrap/>
            <w:vAlign w:val="bottom"/>
            <w:hideMark/>
          </w:tcPr>
          <w:p w14:paraId="418E2F46"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r w:rsidRPr="004135C2">
              <w:rPr>
                <w:rFonts w:ascii="Arial" w:eastAsia="Times New Roman" w:hAnsi="Arial" w:cs="Arial"/>
                <w:b/>
                <w:bCs/>
                <w:color w:val="000000" w:themeColor="text1"/>
                <w:sz w:val="17"/>
                <w:szCs w:val="17"/>
              </w:rPr>
              <w:t>Stupanj 1</w:t>
            </w:r>
          </w:p>
        </w:tc>
        <w:tc>
          <w:tcPr>
            <w:tcW w:w="992" w:type="dxa"/>
            <w:tcBorders>
              <w:top w:val="nil"/>
              <w:left w:val="nil"/>
              <w:bottom w:val="nil"/>
              <w:right w:val="nil"/>
            </w:tcBorders>
            <w:shd w:val="clear" w:color="auto" w:fill="auto"/>
            <w:noWrap/>
            <w:vAlign w:val="bottom"/>
            <w:hideMark/>
          </w:tcPr>
          <w:p w14:paraId="06B87955"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r w:rsidRPr="004135C2">
              <w:rPr>
                <w:rFonts w:ascii="Arial" w:eastAsia="Times New Roman" w:hAnsi="Arial" w:cs="Arial"/>
                <w:b/>
                <w:bCs/>
                <w:color w:val="000000" w:themeColor="text1"/>
                <w:sz w:val="17"/>
                <w:szCs w:val="17"/>
              </w:rPr>
              <w:t>Stupanj 2</w:t>
            </w:r>
          </w:p>
        </w:tc>
        <w:tc>
          <w:tcPr>
            <w:tcW w:w="992" w:type="dxa"/>
            <w:tcBorders>
              <w:top w:val="nil"/>
              <w:left w:val="nil"/>
              <w:bottom w:val="nil"/>
              <w:right w:val="nil"/>
            </w:tcBorders>
            <w:shd w:val="clear" w:color="auto" w:fill="auto"/>
            <w:noWrap/>
            <w:vAlign w:val="bottom"/>
            <w:hideMark/>
          </w:tcPr>
          <w:p w14:paraId="6E1370BE"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r w:rsidRPr="004135C2">
              <w:rPr>
                <w:rFonts w:ascii="Arial" w:eastAsia="Times New Roman" w:hAnsi="Arial" w:cs="Arial"/>
                <w:b/>
                <w:bCs/>
                <w:color w:val="000000" w:themeColor="text1"/>
                <w:sz w:val="17"/>
                <w:szCs w:val="17"/>
              </w:rPr>
              <w:t>Stupanj 3</w:t>
            </w:r>
          </w:p>
        </w:tc>
        <w:tc>
          <w:tcPr>
            <w:tcW w:w="992" w:type="dxa"/>
            <w:tcBorders>
              <w:top w:val="nil"/>
              <w:left w:val="nil"/>
              <w:bottom w:val="nil"/>
              <w:right w:val="nil"/>
            </w:tcBorders>
            <w:shd w:val="clear" w:color="auto" w:fill="auto"/>
            <w:noWrap/>
            <w:vAlign w:val="bottom"/>
            <w:hideMark/>
          </w:tcPr>
          <w:p w14:paraId="7AD91212"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r w:rsidRPr="004135C2">
              <w:rPr>
                <w:rFonts w:ascii="Arial" w:eastAsia="Times New Roman" w:hAnsi="Arial" w:cs="Arial"/>
                <w:b/>
                <w:bCs/>
                <w:color w:val="000000" w:themeColor="text1"/>
                <w:sz w:val="17"/>
                <w:szCs w:val="17"/>
              </w:rPr>
              <w:t>Ukupno</w:t>
            </w:r>
          </w:p>
        </w:tc>
      </w:tr>
      <w:tr w:rsidR="00A73031" w:rsidRPr="004135C2" w14:paraId="4B0D0E91" w14:textId="77777777" w:rsidTr="004135C2">
        <w:trPr>
          <w:trHeight w:val="314"/>
        </w:trPr>
        <w:tc>
          <w:tcPr>
            <w:tcW w:w="1843" w:type="dxa"/>
            <w:tcBorders>
              <w:top w:val="nil"/>
              <w:left w:val="nil"/>
              <w:bottom w:val="nil"/>
              <w:right w:val="nil"/>
            </w:tcBorders>
            <w:shd w:val="clear" w:color="auto" w:fill="auto"/>
            <w:noWrap/>
            <w:vAlign w:val="bottom"/>
            <w:hideMark/>
          </w:tcPr>
          <w:p w14:paraId="6713AD03"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hideMark/>
          </w:tcPr>
          <w:p w14:paraId="78E13ECD" w14:textId="7AEB1C60" w:rsidR="00A73031" w:rsidRPr="004135C2" w:rsidRDefault="00A73031" w:rsidP="00A73031">
            <w:pPr>
              <w:suppressAutoHyphens/>
              <w:autoSpaceDN w:val="0"/>
              <w:jc w:val="right"/>
              <w:rPr>
                <w:rFonts w:ascii="Arial" w:eastAsia="Times New Roman" w:hAnsi="Arial" w:cs="Arial"/>
                <w:b/>
                <w:bCs/>
                <w:color w:val="000000" w:themeColor="text1"/>
                <w:sz w:val="17"/>
                <w:szCs w:val="17"/>
              </w:rPr>
            </w:pPr>
            <w:r w:rsidRPr="004135C2">
              <w:rPr>
                <w:rFonts w:ascii="Arial" w:eastAsia="Times New Roman" w:hAnsi="Arial" w:cs="Arial"/>
                <w:b/>
                <w:bCs/>
                <w:color w:val="000000" w:themeColor="text1"/>
                <w:sz w:val="17"/>
                <w:szCs w:val="17"/>
              </w:rPr>
              <w:t>000 eura</w:t>
            </w:r>
          </w:p>
        </w:tc>
        <w:tc>
          <w:tcPr>
            <w:tcW w:w="992" w:type="dxa"/>
            <w:tcBorders>
              <w:top w:val="nil"/>
              <w:left w:val="nil"/>
              <w:bottom w:val="nil"/>
              <w:right w:val="nil"/>
            </w:tcBorders>
            <w:shd w:val="clear" w:color="auto" w:fill="auto"/>
            <w:noWrap/>
            <w:vAlign w:val="bottom"/>
            <w:hideMark/>
          </w:tcPr>
          <w:p w14:paraId="74334232" w14:textId="7DD1B141" w:rsidR="00A73031" w:rsidRPr="004135C2" w:rsidRDefault="00A73031" w:rsidP="00A73031">
            <w:pPr>
              <w:suppressAutoHyphens/>
              <w:autoSpaceDN w:val="0"/>
              <w:jc w:val="right"/>
              <w:rPr>
                <w:rFonts w:ascii="Arial" w:eastAsia="Times New Roman" w:hAnsi="Arial" w:cs="Arial"/>
                <w:b/>
                <w:bCs/>
                <w:color w:val="000000" w:themeColor="text1"/>
                <w:sz w:val="17"/>
                <w:szCs w:val="17"/>
              </w:rPr>
            </w:pPr>
            <w:r w:rsidRPr="004135C2">
              <w:rPr>
                <w:rFonts w:ascii="Arial" w:eastAsia="Times New Roman" w:hAnsi="Arial" w:cs="Arial"/>
                <w:b/>
                <w:bCs/>
                <w:color w:val="000000" w:themeColor="text1"/>
                <w:sz w:val="17"/>
                <w:szCs w:val="17"/>
              </w:rPr>
              <w:t>000 eura</w:t>
            </w:r>
          </w:p>
        </w:tc>
        <w:tc>
          <w:tcPr>
            <w:tcW w:w="992" w:type="dxa"/>
            <w:tcBorders>
              <w:top w:val="nil"/>
              <w:left w:val="nil"/>
              <w:bottom w:val="nil"/>
              <w:right w:val="nil"/>
            </w:tcBorders>
            <w:shd w:val="clear" w:color="auto" w:fill="auto"/>
            <w:noWrap/>
            <w:vAlign w:val="bottom"/>
            <w:hideMark/>
          </w:tcPr>
          <w:p w14:paraId="6D7F5E97" w14:textId="7B1B6241" w:rsidR="00A73031" w:rsidRPr="004135C2" w:rsidRDefault="00A73031" w:rsidP="00A73031">
            <w:pPr>
              <w:suppressAutoHyphens/>
              <w:autoSpaceDN w:val="0"/>
              <w:jc w:val="right"/>
              <w:rPr>
                <w:rFonts w:ascii="Arial" w:eastAsia="Times New Roman" w:hAnsi="Arial" w:cs="Arial"/>
                <w:b/>
                <w:bCs/>
                <w:color w:val="000000" w:themeColor="text1"/>
                <w:sz w:val="17"/>
                <w:szCs w:val="17"/>
              </w:rPr>
            </w:pPr>
            <w:r w:rsidRPr="004135C2">
              <w:rPr>
                <w:rFonts w:ascii="Arial" w:eastAsia="Times New Roman" w:hAnsi="Arial" w:cs="Arial"/>
                <w:b/>
                <w:bCs/>
                <w:color w:val="000000" w:themeColor="text1"/>
                <w:sz w:val="17"/>
                <w:szCs w:val="17"/>
              </w:rPr>
              <w:t>000 eura</w:t>
            </w:r>
          </w:p>
        </w:tc>
        <w:tc>
          <w:tcPr>
            <w:tcW w:w="992" w:type="dxa"/>
            <w:tcBorders>
              <w:top w:val="nil"/>
              <w:left w:val="nil"/>
              <w:bottom w:val="nil"/>
              <w:right w:val="nil"/>
            </w:tcBorders>
            <w:shd w:val="clear" w:color="auto" w:fill="auto"/>
            <w:noWrap/>
            <w:vAlign w:val="bottom"/>
            <w:hideMark/>
          </w:tcPr>
          <w:p w14:paraId="4A5CAC62" w14:textId="4D31E2E2" w:rsidR="00A73031" w:rsidRPr="004135C2" w:rsidRDefault="00A73031" w:rsidP="00A73031">
            <w:pPr>
              <w:suppressAutoHyphens/>
              <w:autoSpaceDN w:val="0"/>
              <w:jc w:val="right"/>
              <w:rPr>
                <w:rFonts w:ascii="Arial" w:eastAsia="Times New Roman" w:hAnsi="Arial" w:cs="Arial"/>
                <w:b/>
                <w:bCs/>
                <w:color w:val="000000" w:themeColor="text1"/>
                <w:sz w:val="17"/>
                <w:szCs w:val="17"/>
              </w:rPr>
            </w:pPr>
            <w:r w:rsidRPr="004135C2">
              <w:rPr>
                <w:rFonts w:ascii="Arial" w:eastAsia="Times New Roman" w:hAnsi="Arial" w:cs="Arial"/>
                <w:b/>
                <w:bCs/>
                <w:color w:val="000000" w:themeColor="text1"/>
                <w:sz w:val="17"/>
                <w:szCs w:val="17"/>
              </w:rPr>
              <w:t>000 eura</w:t>
            </w:r>
          </w:p>
        </w:tc>
        <w:tc>
          <w:tcPr>
            <w:tcW w:w="992" w:type="dxa"/>
            <w:tcBorders>
              <w:top w:val="nil"/>
              <w:left w:val="nil"/>
              <w:bottom w:val="nil"/>
              <w:right w:val="nil"/>
            </w:tcBorders>
            <w:shd w:val="clear" w:color="auto" w:fill="auto"/>
            <w:noWrap/>
            <w:vAlign w:val="bottom"/>
            <w:hideMark/>
          </w:tcPr>
          <w:p w14:paraId="604E0A3C" w14:textId="79C4EBCC" w:rsidR="00A73031" w:rsidRPr="004135C2" w:rsidRDefault="00A73031" w:rsidP="00A73031">
            <w:pPr>
              <w:suppressAutoHyphens/>
              <w:autoSpaceDN w:val="0"/>
              <w:jc w:val="right"/>
              <w:rPr>
                <w:rFonts w:ascii="Arial" w:eastAsia="Times New Roman" w:hAnsi="Arial" w:cs="Arial"/>
                <w:b/>
                <w:bCs/>
                <w:color w:val="000000" w:themeColor="text1"/>
                <w:sz w:val="17"/>
                <w:szCs w:val="17"/>
              </w:rPr>
            </w:pPr>
            <w:r w:rsidRPr="004135C2">
              <w:rPr>
                <w:rFonts w:ascii="Arial" w:eastAsia="Times New Roman" w:hAnsi="Arial" w:cs="Arial"/>
                <w:b/>
                <w:bCs/>
                <w:color w:val="000000" w:themeColor="text1"/>
                <w:sz w:val="17"/>
                <w:szCs w:val="17"/>
              </w:rPr>
              <w:t>000 eura</w:t>
            </w:r>
          </w:p>
        </w:tc>
        <w:tc>
          <w:tcPr>
            <w:tcW w:w="992" w:type="dxa"/>
            <w:tcBorders>
              <w:top w:val="nil"/>
              <w:left w:val="nil"/>
              <w:bottom w:val="nil"/>
              <w:right w:val="nil"/>
            </w:tcBorders>
            <w:shd w:val="clear" w:color="auto" w:fill="auto"/>
            <w:noWrap/>
            <w:vAlign w:val="bottom"/>
            <w:hideMark/>
          </w:tcPr>
          <w:p w14:paraId="2CEB8972" w14:textId="3FF1670F" w:rsidR="00A73031" w:rsidRPr="004135C2" w:rsidRDefault="00A73031" w:rsidP="00A73031">
            <w:pPr>
              <w:suppressAutoHyphens/>
              <w:autoSpaceDN w:val="0"/>
              <w:jc w:val="right"/>
              <w:rPr>
                <w:rFonts w:ascii="Arial" w:eastAsia="Times New Roman" w:hAnsi="Arial" w:cs="Arial"/>
                <w:b/>
                <w:bCs/>
                <w:color w:val="000000" w:themeColor="text1"/>
                <w:sz w:val="17"/>
                <w:szCs w:val="17"/>
              </w:rPr>
            </w:pPr>
            <w:r w:rsidRPr="004135C2">
              <w:rPr>
                <w:rFonts w:ascii="Arial" w:eastAsia="Times New Roman" w:hAnsi="Arial" w:cs="Arial"/>
                <w:b/>
                <w:bCs/>
                <w:color w:val="000000" w:themeColor="text1"/>
                <w:sz w:val="17"/>
                <w:szCs w:val="17"/>
              </w:rPr>
              <w:t>000 eura</w:t>
            </w:r>
          </w:p>
        </w:tc>
        <w:tc>
          <w:tcPr>
            <w:tcW w:w="992" w:type="dxa"/>
            <w:tcBorders>
              <w:top w:val="nil"/>
              <w:left w:val="nil"/>
              <w:bottom w:val="nil"/>
              <w:right w:val="nil"/>
            </w:tcBorders>
            <w:shd w:val="clear" w:color="auto" w:fill="auto"/>
            <w:noWrap/>
            <w:vAlign w:val="bottom"/>
            <w:hideMark/>
          </w:tcPr>
          <w:p w14:paraId="6304B899" w14:textId="73B97E3C" w:rsidR="00A73031" w:rsidRPr="004135C2" w:rsidRDefault="00A73031" w:rsidP="00A73031">
            <w:pPr>
              <w:suppressAutoHyphens/>
              <w:autoSpaceDN w:val="0"/>
              <w:jc w:val="right"/>
              <w:rPr>
                <w:rFonts w:ascii="Arial" w:eastAsia="Times New Roman" w:hAnsi="Arial" w:cs="Arial"/>
                <w:b/>
                <w:bCs/>
                <w:color w:val="000000" w:themeColor="text1"/>
                <w:sz w:val="17"/>
                <w:szCs w:val="17"/>
              </w:rPr>
            </w:pPr>
            <w:r w:rsidRPr="004135C2">
              <w:rPr>
                <w:rFonts w:ascii="Arial" w:eastAsia="Times New Roman" w:hAnsi="Arial" w:cs="Arial"/>
                <w:b/>
                <w:bCs/>
                <w:color w:val="000000" w:themeColor="text1"/>
                <w:sz w:val="17"/>
                <w:szCs w:val="17"/>
              </w:rPr>
              <w:t>000 eura</w:t>
            </w:r>
          </w:p>
        </w:tc>
        <w:tc>
          <w:tcPr>
            <w:tcW w:w="992" w:type="dxa"/>
            <w:tcBorders>
              <w:top w:val="nil"/>
              <w:left w:val="nil"/>
              <w:bottom w:val="nil"/>
              <w:right w:val="nil"/>
            </w:tcBorders>
            <w:shd w:val="clear" w:color="auto" w:fill="auto"/>
            <w:noWrap/>
            <w:vAlign w:val="bottom"/>
            <w:hideMark/>
          </w:tcPr>
          <w:p w14:paraId="472AABC9" w14:textId="02DE8E6A" w:rsidR="00A73031" w:rsidRPr="004135C2" w:rsidRDefault="00A73031" w:rsidP="00A73031">
            <w:pPr>
              <w:suppressAutoHyphens/>
              <w:autoSpaceDN w:val="0"/>
              <w:jc w:val="right"/>
              <w:rPr>
                <w:rFonts w:ascii="Arial" w:eastAsia="Times New Roman" w:hAnsi="Arial" w:cs="Arial"/>
                <w:b/>
                <w:bCs/>
                <w:color w:val="000000" w:themeColor="text1"/>
                <w:sz w:val="17"/>
                <w:szCs w:val="17"/>
              </w:rPr>
            </w:pPr>
            <w:r w:rsidRPr="004135C2">
              <w:rPr>
                <w:rFonts w:ascii="Arial" w:eastAsia="Times New Roman" w:hAnsi="Arial" w:cs="Arial"/>
                <w:b/>
                <w:bCs/>
                <w:color w:val="000000" w:themeColor="text1"/>
                <w:sz w:val="17"/>
                <w:szCs w:val="17"/>
              </w:rPr>
              <w:t>000 eura</w:t>
            </w:r>
          </w:p>
        </w:tc>
      </w:tr>
      <w:tr w:rsidR="00A73031" w:rsidRPr="004135C2" w14:paraId="14F6CA41" w14:textId="77777777" w:rsidTr="004135C2">
        <w:trPr>
          <w:trHeight w:val="184"/>
        </w:trPr>
        <w:tc>
          <w:tcPr>
            <w:tcW w:w="1843" w:type="dxa"/>
            <w:tcBorders>
              <w:top w:val="nil"/>
              <w:left w:val="nil"/>
              <w:bottom w:val="nil"/>
              <w:right w:val="nil"/>
            </w:tcBorders>
            <w:shd w:val="clear" w:color="auto" w:fill="auto"/>
            <w:noWrap/>
            <w:vAlign w:val="bottom"/>
          </w:tcPr>
          <w:p w14:paraId="4EF4B4A1"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tcPr>
          <w:p w14:paraId="1CC26A2B"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tcPr>
          <w:p w14:paraId="696FB9C0"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tcPr>
          <w:p w14:paraId="7E35FB8C"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tcPr>
          <w:p w14:paraId="78003346"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tcPr>
          <w:p w14:paraId="3ABC09BA"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tcPr>
          <w:p w14:paraId="5ACE03CE"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tcPr>
          <w:p w14:paraId="2C74CA82"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tcPr>
          <w:p w14:paraId="17899A72"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p>
        </w:tc>
      </w:tr>
      <w:tr w:rsidR="004304EF" w:rsidRPr="004135C2" w14:paraId="79F6CB8A" w14:textId="77777777" w:rsidTr="004304EF">
        <w:trPr>
          <w:trHeight w:val="319"/>
        </w:trPr>
        <w:tc>
          <w:tcPr>
            <w:tcW w:w="1843" w:type="dxa"/>
            <w:tcBorders>
              <w:top w:val="nil"/>
              <w:left w:val="nil"/>
              <w:bottom w:val="nil"/>
              <w:right w:val="nil"/>
            </w:tcBorders>
            <w:shd w:val="clear" w:color="auto" w:fill="auto"/>
            <w:noWrap/>
            <w:vAlign w:val="bottom"/>
            <w:hideMark/>
          </w:tcPr>
          <w:p w14:paraId="5AB9D3FD" w14:textId="77777777" w:rsidR="004304EF" w:rsidRPr="004135C2" w:rsidRDefault="004304EF" w:rsidP="004304EF">
            <w:pPr>
              <w:suppressAutoHyphens/>
              <w:autoSpaceDN w:val="0"/>
              <w:rPr>
                <w:rFonts w:ascii="Arial" w:eastAsia="Times New Roman" w:hAnsi="Arial" w:cs="Arial"/>
                <w:color w:val="000000" w:themeColor="text1"/>
                <w:sz w:val="17"/>
                <w:szCs w:val="17"/>
              </w:rPr>
            </w:pPr>
            <w:r w:rsidRPr="004135C2">
              <w:rPr>
                <w:rFonts w:ascii="Arial" w:eastAsia="Times New Roman" w:hAnsi="Arial" w:cs="Arial"/>
                <w:color w:val="000000" w:themeColor="text1"/>
                <w:sz w:val="17"/>
                <w:szCs w:val="17"/>
              </w:rPr>
              <w:t>Bruto iznos</w:t>
            </w:r>
          </w:p>
        </w:tc>
        <w:tc>
          <w:tcPr>
            <w:tcW w:w="992" w:type="dxa"/>
            <w:tcBorders>
              <w:top w:val="nil"/>
              <w:left w:val="nil"/>
              <w:bottom w:val="nil"/>
              <w:right w:val="nil"/>
            </w:tcBorders>
            <w:shd w:val="clear" w:color="auto" w:fill="auto"/>
            <w:noWrap/>
            <w:vAlign w:val="bottom"/>
          </w:tcPr>
          <w:p w14:paraId="2606697A" w14:textId="64CA827A" w:rsidR="004304EF" w:rsidRPr="004304EF" w:rsidRDefault="004304EF" w:rsidP="004304EF">
            <w:pPr>
              <w:suppressAutoHyphens/>
              <w:autoSpaceDN w:val="0"/>
              <w:jc w:val="right"/>
              <w:rPr>
                <w:rFonts w:ascii="Arial" w:eastAsia="Times New Roman" w:hAnsi="Arial" w:cs="Arial"/>
                <w:color w:val="000000" w:themeColor="text1"/>
                <w:sz w:val="17"/>
                <w:szCs w:val="17"/>
              </w:rPr>
            </w:pPr>
            <w:r w:rsidRPr="004304EF">
              <w:rPr>
                <w:rFonts w:ascii="Arial" w:hAnsi="Arial" w:cs="Arial"/>
                <w:sz w:val="17"/>
                <w:szCs w:val="17"/>
              </w:rPr>
              <w:t xml:space="preserve"> 124.602 </w:t>
            </w:r>
          </w:p>
        </w:tc>
        <w:tc>
          <w:tcPr>
            <w:tcW w:w="992" w:type="dxa"/>
            <w:tcBorders>
              <w:top w:val="nil"/>
              <w:left w:val="nil"/>
              <w:bottom w:val="nil"/>
              <w:right w:val="nil"/>
            </w:tcBorders>
            <w:shd w:val="clear" w:color="auto" w:fill="auto"/>
            <w:noWrap/>
            <w:vAlign w:val="bottom"/>
          </w:tcPr>
          <w:p w14:paraId="5F093B9E" w14:textId="715BF267" w:rsidR="004304EF" w:rsidRPr="004304EF" w:rsidRDefault="004304EF" w:rsidP="004304EF">
            <w:pPr>
              <w:suppressAutoHyphens/>
              <w:autoSpaceDN w:val="0"/>
              <w:jc w:val="right"/>
              <w:rPr>
                <w:rFonts w:ascii="Arial" w:eastAsia="Times New Roman" w:hAnsi="Arial" w:cs="Arial"/>
                <w:color w:val="000000" w:themeColor="text1"/>
                <w:sz w:val="17"/>
                <w:szCs w:val="17"/>
              </w:rPr>
            </w:pPr>
            <w:r w:rsidRPr="004304EF">
              <w:rPr>
                <w:rFonts w:ascii="Arial" w:hAnsi="Arial" w:cs="Arial"/>
                <w:sz w:val="17"/>
                <w:szCs w:val="17"/>
              </w:rPr>
              <w:t>-</w:t>
            </w:r>
          </w:p>
        </w:tc>
        <w:tc>
          <w:tcPr>
            <w:tcW w:w="992" w:type="dxa"/>
            <w:tcBorders>
              <w:top w:val="nil"/>
              <w:left w:val="nil"/>
              <w:bottom w:val="nil"/>
              <w:right w:val="nil"/>
            </w:tcBorders>
            <w:shd w:val="clear" w:color="auto" w:fill="auto"/>
            <w:noWrap/>
            <w:vAlign w:val="bottom"/>
          </w:tcPr>
          <w:p w14:paraId="0041157D" w14:textId="6F6F3A99" w:rsidR="004304EF" w:rsidRPr="004304EF" w:rsidRDefault="004304EF" w:rsidP="004304EF">
            <w:pPr>
              <w:suppressAutoHyphens/>
              <w:autoSpaceDN w:val="0"/>
              <w:jc w:val="right"/>
              <w:rPr>
                <w:rFonts w:ascii="Arial" w:eastAsia="Times New Roman" w:hAnsi="Arial" w:cs="Arial"/>
                <w:color w:val="000000" w:themeColor="text1"/>
                <w:sz w:val="17"/>
                <w:szCs w:val="17"/>
              </w:rPr>
            </w:pPr>
            <w:r w:rsidRPr="004304EF">
              <w:rPr>
                <w:rFonts w:ascii="Arial" w:hAnsi="Arial" w:cs="Arial"/>
                <w:sz w:val="17"/>
                <w:szCs w:val="17"/>
              </w:rPr>
              <w:t>-</w:t>
            </w:r>
          </w:p>
        </w:tc>
        <w:tc>
          <w:tcPr>
            <w:tcW w:w="992" w:type="dxa"/>
            <w:tcBorders>
              <w:top w:val="nil"/>
              <w:left w:val="nil"/>
              <w:bottom w:val="nil"/>
              <w:right w:val="nil"/>
            </w:tcBorders>
            <w:shd w:val="clear" w:color="auto" w:fill="auto"/>
            <w:noWrap/>
            <w:vAlign w:val="bottom"/>
          </w:tcPr>
          <w:p w14:paraId="5BE1FDE7" w14:textId="4E5B8598" w:rsidR="004304EF" w:rsidRPr="004304EF" w:rsidRDefault="004304EF" w:rsidP="004304EF">
            <w:pPr>
              <w:suppressAutoHyphens/>
              <w:autoSpaceDN w:val="0"/>
              <w:jc w:val="right"/>
              <w:rPr>
                <w:rFonts w:ascii="Arial" w:eastAsia="Times New Roman" w:hAnsi="Arial" w:cs="Arial"/>
                <w:b/>
                <w:bCs/>
                <w:color w:val="000000" w:themeColor="text1"/>
                <w:sz w:val="17"/>
                <w:szCs w:val="17"/>
              </w:rPr>
            </w:pPr>
            <w:r w:rsidRPr="004304EF">
              <w:rPr>
                <w:rFonts w:ascii="Arial" w:hAnsi="Arial" w:cs="Arial"/>
                <w:b/>
                <w:bCs/>
                <w:sz w:val="17"/>
                <w:szCs w:val="17"/>
              </w:rPr>
              <w:t xml:space="preserve"> 124.602 </w:t>
            </w:r>
          </w:p>
        </w:tc>
        <w:tc>
          <w:tcPr>
            <w:tcW w:w="992" w:type="dxa"/>
            <w:tcBorders>
              <w:top w:val="nil"/>
              <w:left w:val="nil"/>
              <w:bottom w:val="nil"/>
              <w:right w:val="nil"/>
            </w:tcBorders>
            <w:shd w:val="clear" w:color="auto" w:fill="auto"/>
            <w:noWrap/>
            <w:vAlign w:val="bottom"/>
          </w:tcPr>
          <w:p w14:paraId="07D6682E" w14:textId="2820ED44" w:rsidR="004304EF" w:rsidRPr="004304EF" w:rsidRDefault="004304EF" w:rsidP="004304EF">
            <w:pPr>
              <w:suppressAutoHyphens/>
              <w:autoSpaceDN w:val="0"/>
              <w:jc w:val="right"/>
              <w:rPr>
                <w:rFonts w:ascii="Arial" w:eastAsia="Times New Roman" w:hAnsi="Arial" w:cs="Arial"/>
                <w:color w:val="000000" w:themeColor="text1"/>
                <w:sz w:val="17"/>
                <w:szCs w:val="17"/>
              </w:rPr>
            </w:pPr>
            <w:r w:rsidRPr="004304EF">
              <w:rPr>
                <w:rFonts w:ascii="Arial" w:hAnsi="Arial" w:cs="Arial"/>
                <w:sz w:val="17"/>
                <w:szCs w:val="17"/>
              </w:rPr>
              <w:t xml:space="preserve"> 120.733 </w:t>
            </w:r>
          </w:p>
        </w:tc>
        <w:tc>
          <w:tcPr>
            <w:tcW w:w="992" w:type="dxa"/>
            <w:tcBorders>
              <w:top w:val="nil"/>
              <w:left w:val="nil"/>
              <w:bottom w:val="nil"/>
              <w:right w:val="nil"/>
            </w:tcBorders>
            <w:shd w:val="clear" w:color="auto" w:fill="auto"/>
            <w:noWrap/>
            <w:vAlign w:val="bottom"/>
          </w:tcPr>
          <w:p w14:paraId="476765BB" w14:textId="4C112F29" w:rsidR="004304EF" w:rsidRPr="004304EF" w:rsidRDefault="004304EF" w:rsidP="004304EF">
            <w:pPr>
              <w:suppressAutoHyphens/>
              <w:autoSpaceDN w:val="0"/>
              <w:jc w:val="right"/>
              <w:rPr>
                <w:rFonts w:ascii="Arial" w:eastAsia="Times New Roman" w:hAnsi="Arial" w:cs="Arial"/>
                <w:color w:val="000000" w:themeColor="text1"/>
                <w:sz w:val="17"/>
                <w:szCs w:val="17"/>
              </w:rPr>
            </w:pPr>
            <w:r w:rsidRPr="004304EF">
              <w:rPr>
                <w:rFonts w:ascii="Arial" w:hAnsi="Arial" w:cs="Arial"/>
                <w:sz w:val="17"/>
                <w:szCs w:val="17"/>
              </w:rPr>
              <w:t>-</w:t>
            </w:r>
          </w:p>
        </w:tc>
        <w:tc>
          <w:tcPr>
            <w:tcW w:w="992" w:type="dxa"/>
            <w:tcBorders>
              <w:top w:val="nil"/>
              <w:left w:val="nil"/>
              <w:bottom w:val="nil"/>
              <w:right w:val="nil"/>
            </w:tcBorders>
            <w:shd w:val="clear" w:color="auto" w:fill="auto"/>
            <w:noWrap/>
            <w:vAlign w:val="bottom"/>
          </w:tcPr>
          <w:p w14:paraId="64B6998A" w14:textId="4A4B0778" w:rsidR="004304EF" w:rsidRPr="004304EF" w:rsidRDefault="004304EF" w:rsidP="004304EF">
            <w:pPr>
              <w:suppressAutoHyphens/>
              <w:autoSpaceDN w:val="0"/>
              <w:jc w:val="right"/>
              <w:rPr>
                <w:rFonts w:ascii="Arial" w:eastAsia="Times New Roman" w:hAnsi="Arial" w:cs="Arial"/>
                <w:color w:val="000000" w:themeColor="text1"/>
                <w:sz w:val="17"/>
                <w:szCs w:val="17"/>
              </w:rPr>
            </w:pPr>
            <w:r w:rsidRPr="004304EF">
              <w:rPr>
                <w:rFonts w:ascii="Arial" w:hAnsi="Arial" w:cs="Arial"/>
                <w:sz w:val="17"/>
                <w:szCs w:val="17"/>
              </w:rPr>
              <w:t>-</w:t>
            </w:r>
          </w:p>
        </w:tc>
        <w:tc>
          <w:tcPr>
            <w:tcW w:w="992" w:type="dxa"/>
            <w:tcBorders>
              <w:top w:val="nil"/>
              <w:left w:val="nil"/>
              <w:bottom w:val="nil"/>
              <w:right w:val="nil"/>
            </w:tcBorders>
            <w:shd w:val="clear" w:color="auto" w:fill="auto"/>
            <w:noWrap/>
            <w:vAlign w:val="bottom"/>
          </w:tcPr>
          <w:p w14:paraId="4C2D1E78" w14:textId="2332757C" w:rsidR="004304EF" w:rsidRPr="004304EF" w:rsidRDefault="004304EF" w:rsidP="004304EF">
            <w:pPr>
              <w:suppressAutoHyphens/>
              <w:autoSpaceDN w:val="0"/>
              <w:jc w:val="right"/>
              <w:rPr>
                <w:rFonts w:ascii="Arial" w:eastAsia="Times New Roman" w:hAnsi="Arial" w:cs="Arial"/>
                <w:b/>
                <w:bCs/>
                <w:color w:val="000000" w:themeColor="text1"/>
                <w:sz w:val="17"/>
                <w:szCs w:val="17"/>
              </w:rPr>
            </w:pPr>
            <w:r w:rsidRPr="004304EF">
              <w:rPr>
                <w:rFonts w:ascii="Arial" w:hAnsi="Arial" w:cs="Arial"/>
                <w:b/>
                <w:bCs/>
                <w:sz w:val="17"/>
                <w:szCs w:val="17"/>
              </w:rPr>
              <w:t xml:space="preserve"> 120.733 </w:t>
            </w:r>
          </w:p>
        </w:tc>
      </w:tr>
      <w:tr w:rsidR="004304EF" w:rsidRPr="004135C2" w14:paraId="068B7164" w14:textId="77777777" w:rsidTr="004304EF">
        <w:trPr>
          <w:trHeight w:val="324"/>
        </w:trPr>
        <w:tc>
          <w:tcPr>
            <w:tcW w:w="1843" w:type="dxa"/>
            <w:tcBorders>
              <w:top w:val="nil"/>
              <w:left w:val="nil"/>
              <w:bottom w:val="nil"/>
              <w:right w:val="nil"/>
            </w:tcBorders>
            <w:shd w:val="clear" w:color="auto" w:fill="auto"/>
            <w:noWrap/>
            <w:vAlign w:val="bottom"/>
            <w:hideMark/>
          </w:tcPr>
          <w:p w14:paraId="0BEB6732" w14:textId="77777777" w:rsidR="004304EF" w:rsidRPr="004135C2" w:rsidRDefault="004304EF" w:rsidP="004304EF">
            <w:pPr>
              <w:suppressAutoHyphens/>
              <w:autoSpaceDN w:val="0"/>
              <w:rPr>
                <w:rFonts w:ascii="Arial" w:eastAsia="Times New Roman" w:hAnsi="Arial" w:cs="Arial"/>
                <w:color w:val="000000" w:themeColor="text1"/>
                <w:sz w:val="17"/>
                <w:szCs w:val="17"/>
              </w:rPr>
            </w:pPr>
            <w:r w:rsidRPr="004135C2">
              <w:rPr>
                <w:rFonts w:ascii="Arial" w:eastAsia="Times New Roman" w:hAnsi="Arial" w:cs="Arial"/>
                <w:color w:val="000000" w:themeColor="text1"/>
                <w:sz w:val="17"/>
                <w:szCs w:val="17"/>
              </w:rPr>
              <w:t>Rezerviranja</w:t>
            </w:r>
          </w:p>
        </w:tc>
        <w:tc>
          <w:tcPr>
            <w:tcW w:w="992" w:type="dxa"/>
            <w:tcBorders>
              <w:top w:val="nil"/>
              <w:left w:val="nil"/>
              <w:bottom w:val="nil"/>
              <w:right w:val="nil"/>
            </w:tcBorders>
            <w:shd w:val="clear" w:color="auto" w:fill="auto"/>
            <w:noWrap/>
            <w:vAlign w:val="bottom"/>
          </w:tcPr>
          <w:p w14:paraId="60E29898" w14:textId="47FC6680" w:rsidR="004304EF" w:rsidRPr="004304EF" w:rsidRDefault="004304EF" w:rsidP="004304EF">
            <w:pPr>
              <w:suppressAutoHyphens/>
              <w:autoSpaceDN w:val="0"/>
              <w:jc w:val="right"/>
              <w:rPr>
                <w:rFonts w:ascii="Arial" w:eastAsia="Times New Roman" w:hAnsi="Arial" w:cs="Arial"/>
                <w:color w:val="000000" w:themeColor="text1"/>
                <w:sz w:val="17"/>
                <w:szCs w:val="17"/>
              </w:rPr>
            </w:pPr>
            <w:r w:rsidRPr="004304EF">
              <w:rPr>
                <w:rFonts w:ascii="Arial" w:hAnsi="Arial" w:cs="Arial"/>
                <w:sz w:val="17"/>
                <w:szCs w:val="17"/>
              </w:rPr>
              <w:t xml:space="preserve"> (129)</w:t>
            </w:r>
          </w:p>
        </w:tc>
        <w:tc>
          <w:tcPr>
            <w:tcW w:w="992" w:type="dxa"/>
            <w:tcBorders>
              <w:top w:val="nil"/>
              <w:left w:val="nil"/>
              <w:bottom w:val="nil"/>
              <w:right w:val="nil"/>
            </w:tcBorders>
            <w:shd w:val="clear" w:color="auto" w:fill="auto"/>
            <w:noWrap/>
            <w:vAlign w:val="bottom"/>
          </w:tcPr>
          <w:p w14:paraId="7004D83B" w14:textId="1927F00D" w:rsidR="004304EF" w:rsidRPr="004304EF" w:rsidRDefault="004304EF" w:rsidP="004304EF">
            <w:pPr>
              <w:suppressAutoHyphens/>
              <w:autoSpaceDN w:val="0"/>
              <w:jc w:val="right"/>
              <w:rPr>
                <w:rFonts w:ascii="Arial" w:eastAsia="Times New Roman" w:hAnsi="Arial" w:cs="Arial"/>
                <w:color w:val="000000" w:themeColor="text1"/>
                <w:sz w:val="17"/>
                <w:szCs w:val="17"/>
              </w:rPr>
            </w:pPr>
            <w:r w:rsidRPr="004304EF">
              <w:rPr>
                <w:rFonts w:ascii="Arial" w:hAnsi="Arial" w:cs="Arial"/>
                <w:sz w:val="17"/>
                <w:szCs w:val="17"/>
              </w:rPr>
              <w:t>-</w:t>
            </w:r>
          </w:p>
        </w:tc>
        <w:tc>
          <w:tcPr>
            <w:tcW w:w="992" w:type="dxa"/>
            <w:tcBorders>
              <w:top w:val="nil"/>
              <w:left w:val="nil"/>
              <w:bottom w:val="nil"/>
              <w:right w:val="nil"/>
            </w:tcBorders>
            <w:shd w:val="clear" w:color="auto" w:fill="auto"/>
            <w:noWrap/>
            <w:vAlign w:val="bottom"/>
          </w:tcPr>
          <w:p w14:paraId="04E8478C" w14:textId="2C30EEED" w:rsidR="004304EF" w:rsidRPr="004304EF" w:rsidRDefault="004304EF" w:rsidP="004304EF">
            <w:pPr>
              <w:suppressAutoHyphens/>
              <w:autoSpaceDN w:val="0"/>
              <w:jc w:val="right"/>
              <w:rPr>
                <w:rFonts w:ascii="Arial" w:eastAsia="Times New Roman" w:hAnsi="Arial" w:cs="Arial"/>
                <w:color w:val="000000" w:themeColor="text1"/>
                <w:sz w:val="17"/>
                <w:szCs w:val="17"/>
              </w:rPr>
            </w:pPr>
            <w:r w:rsidRPr="004304EF">
              <w:rPr>
                <w:rFonts w:ascii="Arial" w:hAnsi="Arial" w:cs="Arial"/>
                <w:sz w:val="17"/>
                <w:szCs w:val="17"/>
              </w:rPr>
              <w:t>-</w:t>
            </w:r>
          </w:p>
        </w:tc>
        <w:tc>
          <w:tcPr>
            <w:tcW w:w="992" w:type="dxa"/>
            <w:tcBorders>
              <w:top w:val="nil"/>
              <w:left w:val="nil"/>
              <w:bottom w:val="nil"/>
              <w:right w:val="nil"/>
            </w:tcBorders>
            <w:shd w:val="clear" w:color="auto" w:fill="auto"/>
            <w:noWrap/>
            <w:vAlign w:val="bottom"/>
          </w:tcPr>
          <w:p w14:paraId="5E0D7FED" w14:textId="123B0367" w:rsidR="004304EF" w:rsidRPr="004304EF" w:rsidRDefault="004304EF" w:rsidP="004304EF">
            <w:pPr>
              <w:suppressAutoHyphens/>
              <w:autoSpaceDN w:val="0"/>
              <w:jc w:val="right"/>
              <w:rPr>
                <w:rFonts w:ascii="Arial" w:eastAsia="Times New Roman" w:hAnsi="Arial" w:cs="Arial"/>
                <w:b/>
                <w:bCs/>
                <w:color w:val="000000" w:themeColor="text1"/>
                <w:sz w:val="17"/>
                <w:szCs w:val="17"/>
              </w:rPr>
            </w:pPr>
            <w:r w:rsidRPr="004304EF">
              <w:rPr>
                <w:rFonts w:ascii="Arial" w:hAnsi="Arial" w:cs="Arial"/>
                <w:b/>
                <w:bCs/>
                <w:sz w:val="17"/>
                <w:szCs w:val="17"/>
              </w:rPr>
              <w:t xml:space="preserve"> (129)</w:t>
            </w:r>
          </w:p>
        </w:tc>
        <w:tc>
          <w:tcPr>
            <w:tcW w:w="992" w:type="dxa"/>
            <w:tcBorders>
              <w:top w:val="nil"/>
              <w:left w:val="nil"/>
              <w:bottom w:val="nil"/>
              <w:right w:val="nil"/>
            </w:tcBorders>
            <w:shd w:val="clear" w:color="auto" w:fill="auto"/>
            <w:noWrap/>
            <w:vAlign w:val="bottom"/>
          </w:tcPr>
          <w:p w14:paraId="46F19E89" w14:textId="7CFE34A5" w:rsidR="004304EF" w:rsidRPr="004304EF" w:rsidRDefault="004304EF" w:rsidP="004304EF">
            <w:pPr>
              <w:suppressAutoHyphens/>
              <w:autoSpaceDN w:val="0"/>
              <w:jc w:val="right"/>
              <w:rPr>
                <w:rFonts w:ascii="Arial" w:eastAsia="Times New Roman" w:hAnsi="Arial" w:cs="Arial"/>
                <w:color w:val="000000" w:themeColor="text1"/>
                <w:sz w:val="17"/>
                <w:szCs w:val="17"/>
              </w:rPr>
            </w:pPr>
            <w:r w:rsidRPr="004304EF">
              <w:rPr>
                <w:rFonts w:ascii="Arial" w:hAnsi="Arial" w:cs="Arial"/>
                <w:sz w:val="17"/>
                <w:szCs w:val="17"/>
              </w:rPr>
              <w:t xml:space="preserve"> (123)</w:t>
            </w:r>
          </w:p>
        </w:tc>
        <w:tc>
          <w:tcPr>
            <w:tcW w:w="992" w:type="dxa"/>
            <w:tcBorders>
              <w:top w:val="nil"/>
              <w:left w:val="nil"/>
              <w:bottom w:val="nil"/>
              <w:right w:val="nil"/>
            </w:tcBorders>
            <w:shd w:val="clear" w:color="auto" w:fill="auto"/>
            <w:noWrap/>
            <w:vAlign w:val="bottom"/>
          </w:tcPr>
          <w:p w14:paraId="3E5BB5C7" w14:textId="3B6A5CB0" w:rsidR="004304EF" w:rsidRPr="004304EF" w:rsidRDefault="004304EF" w:rsidP="004304EF">
            <w:pPr>
              <w:suppressAutoHyphens/>
              <w:autoSpaceDN w:val="0"/>
              <w:jc w:val="right"/>
              <w:rPr>
                <w:rFonts w:ascii="Arial" w:eastAsia="Times New Roman" w:hAnsi="Arial" w:cs="Arial"/>
                <w:color w:val="000000" w:themeColor="text1"/>
                <w:sz w:val="17"/>
                <w:szCs w:val="17"/>
              </w:rPr>
            </w:pPr>
            <w:r w:rsidRPr="004304EF">
              <w:rPr>
                <w:rFonts w:ascii="Arial" w:hAnsi="Arial" w:cs="Arial"/>
                <w:sz w:val="17"/>
                <w:szCs w:val="17"/>
              </w:rPr>
              <w:t>-</w:t>
            </w:r>
          </w:p>
        </w:tc>
        <w:tc>
          <w:tcPr>
            <w:tcW w:w="992" w:type="dxa"/>
            <w:tcBorders>
              <w:top w:val="nil"/>
              <w:left w:val="nil"/>
              <w:bottom w:val="nil"/>
              <w:right w:val="nil"/>
            </w:tcBorders>
            <w:shd w:val="clear" w:color="auto" w:fill="auto"/>
            <w:noWrap/>
            <w:vAlign w:val="bottom"/>
          </w:tcPr>
          <w:p w14:paraId="5F595C1F" w14:textId="7A729A76" w:rsidR="004304EF" w:rsidRPr="004304EF" w:rsidRDefault="004304EF" w:rsidP="004304EF">
            <w:pPr>
              <w:suppressAutoHyphens/>
              <w:autoSpaceDN w:val="0"/>
              <w:jc w:val="right"/>
              <w:rPr>
                <w:rFonts w:ascii="Arial" w:eastAsia="Times New Roman" w:hAnsi="Arial" w:cs="Arial"/>
                <w:color w:val="000000" w:themeColor="text1"/>
                <w:sz w:val="17"/>
                <w:szCs w:val="17"/>
              </w:rPr>
            </w:pPr>
            <w:r w:rsidRPr="004304EF">
              <w:rPr>
                <w:rFonts w:ascii="Arial" w:hAnsi="Arial" w:cs="Arial"/>
                <w:sz w:val="17"/>
                <w:szCs w:val="17"/>
              </w:rPr>
              <w:t>-</w:t>
            </w:r>
          </w:p>
        </w:tc>
        <w:tc>
          <w:tcPr>
            <w:tcW w:w="992" w:type="dxa"/>
            <w:tcBorders>
              <w:top w:val="nil"/>
              <w:left w:val="nil"/>
              <w:bottom w:val="nil"/>
              <w:right w:val="nil"/>
            </w:tcBorders>
            <w:shd w:val="clear" w:color="auto" w:fill="auto"/>
            <w:noWrap/>
            <w:vAlign w:val="bottom"/>
          </w:tcPr>
          <w:p w14:paraId="02300062" w14:textId="61D1D6EF" w:rsidR="004304EF" w:rsidRPr="004304EF" w:rsidRDefault="004304EF" w:rsidP="004304EF">
            <w:pPr>
              <w:suppressAutoHyphens/>
              <w:autoSpaceDN w:val="0"/>
              <w:jc w:val="right"/>
              <w:rPr>
                <w:rFonts w:ascii="Arial" w:eastAsia="Times New Roman" w:hAnsi="Arial" w:cs="Arial"/>
                <w:b/>
                <w:bCs/>
                <w:color w:val="000000" w:themeColor="text1"/>
                <w:sz w:val="17"/>
                <w:szCs w:val="17"/>
              </w:rPr>
            </w:pPr>
            <w:r w:rsidRPr="004304EF">
              <w:rPr>
                <w:rFonts w:ascii="Arial" w:hAnsi="Arial" w:cs="Arial"/>
                <w:b/>
                <w:bCs/>
                <w:sz w:val="17"/>
                <w:szCs w:val="17"/>
              </w:rPr>
              <w:t xml:space="preserve"> (123)</w:t>
            </w:r>
          </w:p>
        </w:tc>
      </w:tr>
      <w:tr w:rsidR="004304EF" w:rsidRPr="004135C2" w14:paraId="62DA83C5" w14:textId="77777777" w:rsidTr="004304EF">
        <w:trPr>
          <w:trHeight w:val="548"/>
        </w:trPr>
        <w:tc>
          <w:tcPr>
            <w:tcW w:w="1843" w:type="dxa"/>
            <w:tcBorders>
              <w:top w:val="nil"/>
              <w:left w:val="nil"/>
              <w:bottom w:val="nil"/>
              <w:right w:val="nil"/>
            </w:tcBorders>
            <w:shd w:val="clear" w:color="auto" w:fill="auto"/>
            <w:noWrap/>
            <w:vAlign w:val="bottom"/>
            <w:hideMark/>
          </w:tcPr>
          <w:p w14:paraId="1BF5B1BD" w14:textId="77777777" w:rsidR="004304EF" w:rsidRPr="004135C2" w:rsidRDefault="004304EF" w:rsidP="004304EF">
            <w:pPr>
              <w:suppressAutoHyphens/>
              <w:autoSpaceDN w:val="0"/>
              <w:rPr>
                <w:rFonts w:ascii="Arial" w:eastAsia="Times New Roman" w:hAnsi="Arial" w:cs="Arial"/>
                <w:b/>
                <w:bCs/>
                <w:color w:val="000000" w:themeColor="text1"/>
                <w:sz w:val="17"/>
                <w:szCs w:val="17"/>
              </w:rPr>
            </w:pPr>
            <w:r w:rsidRPr="004135C2">
              <w:rPr>
                <w:rFonts w:ascii="Arial" w:eastAsia="Times New Roman" w:hAnsi="Arial" w:cs="Arial"/>
                <w:b/>
                <w:bCs/>
                <w:color w:val="000000" w:themeColor="text1"/>
                <w:sz w:val="17"/>
                <w:szCs w:val="17"/>
              </w:rPr>
              <w:t xml:space="preserve">Stanje na dan </w:t>
            </w:r>
          </w:p>
          <w:p w14:paraId="77E033AF" w14:textId="0ED10C0E" w:rsidR="004304EF" w:rsidRPr="004135C2" w:rsidRDefault="004304EF" w:rsidP="004304EF">
            <w:pPr>
              <w:suppressAutoHyphens/>
              <w:autoSpaceDN w:val="0"/>
              <w:rPr>
                <w:rFonts w:ascii="Arial" w:eastAsia="Times New Roman" w:hAnsi="Arial" w:cs="Arial"/>
                <w:b/>
                <w:bCs/>
                <w:color w:val="000000" w:themeColor="text1"/>
                <w:sz w:val="17"/>
                <w:szCs w:val="17"/>
              </w:rPr>
            </w:pPr>
            <w:r w:rsidRPr="002F4581">
              <w:rPr>
                <w:rFonts w:ascii="Arial" w:eastAsia="Times New Roman" w:hAnsi="Arial" w:cs="Arial"/>
                <w:b/>
                <w:bCs/>
                <w:color w:val="000000" w:themeColor="text1"/>
                <w:sz w:val="17"/>
                <w:szCs w:val="17"/>
              </w:rPr>
              <w:t>30. rujna 202</w:t>
            </w:r>
            <w:r>
              <w:rPr>
                <w:rFonts w:ascii="Arial" w:eastAsia="Times New Roman" w:hAnsi="Arial" w:cs="Arial"/>
                <w:b/>
                <w:bCs/>
                <w:color w:val="000000" w:themeColor="text1"/>
                <w:sz w:val="17"/>
                <w:szCs w:val="17"/>
              </w:rPr>
              <w:t>4</w:t>
            </w:r>
            <w:r w:rsidRPr="002F4581">
              <w:rPr>
                <w:rFonts w:ascii="Arial" w:eastAsia="Times New Roman" w:hAnsi="Arial" w:cs="Arial"/>
                <w:b/>
                <w:bCs/>
                <w:color w:val="000000" w:themeColor="text1"/>
                <w:sz w:val="17"/>
                <w:szCs w:val="17"/>
              </w:rPr>
              <w:t>.</w:t>
            </w:r>
          </w:p>
        </w:tc>
        <w:tc>
          <w:tcPr>
            <w:tcW w:w="992" w:type="dxa"/>
            <w:tcBorders>
              <w:top w:val="single" w:sz="4" w:space="0" w:color="auto"/>
              <w:left w:val="nil"/>
              <w:bottom w:val="single" w:sz="12" w:space="0" w:color="auto"/>
              <w:right w:val="nil"/>
            </w:tcBorders>
            <w:shd w:val="clear" w:color="auto" w:fill="auto"/>
            <w:noWrap/>
            <w:vAlign w:val="bottom"/>
          </w:tcPr>
          <w:p w14:paraId="6F2BBE0A" w14:textId="38F510B8" w:rsidR="004304EF" w:rsidRPr="004304EF" w:rsidRDefault="004304EF" w:rsidP="004304EF">
            <w:pPr>
              <w:suppressAutoHyphens/>
              <w:autoSpaceDN w:val="0"/>
              <w:jc w:val="right"/>
              <w:rPr>
                <w:rFonts w:ascii="Arial" w:eastAsia="Times New Roman" w:hAnsi="Arial" w:cs="Arial"/>
                <w:b/>
                <w:bCs/>
                <w:color w:val="000000" w:themeColor="text1"/>
                <w:sz w:val="17"/>
                <w:szCs w:val="17"/>
              </w:rPr>
            </w:pPr>
            <w:r w:rsidRPr="004304EF">
              <w:rPr>
                <w:rFonts w:ascii="Arial" w:hAnsi="Arial" w:cs="Arial"/>
                <w:b/>
                <w:bCs/>
                <w:sz w:val="17"/>
                <w:szCs w:val="17"/>
              </w:rPr>
              <w:t xml:space="preserve"> 124.473 </w:t>
            </w:r>
          </w:p>
        </w:tc>
        <w:tc>
          <w:tcPr>
            <w:tcW w:w="992" w:type="dxa"/>
            <w:tcBorders>
              <w:top w:val="single" w:sz="4" w:space="0" w:color="auto"/>
              <w:left w:val="nil"/>
              <w:bottom w:val="single" w:sz="12" w:space="0" w:color="auto"/>
              <w:right w:val="nil"/>
            </w:tcBorders>
            <w:shd w:val="clear" w:color="auto" w:fill="auto"/>
            <w:noWrap/>
            <w:vAlign w:val="bottom"/>
          </w:tcPr>
          <w:p w14:paraId="7C2678CB" w14:textId="6C4AC985" w:rsidR="004304EF" w:rsidRPr="004304EF" w:rsidRDefault="004304EF" w:rsidP="004304EF">
            <w:pPr>
              <w:suppressAutoHyphens/>
              <w:autoSpaceDN w:val="0"/>
              <w:jc w:val="right"/>
              <w:rPr>
                <w:rFonts w:ascii="Arial" w:eastAsia="Times New Roman" w:hAnsi="Arial" w:cs="Arial"/>
                <w:b/>
                <w:bCs/>
                <w:color w:val="000000" w:themeColor="text1"/>
                <w:sz w:val="17"/>
                <w:szCs w:val="17"/>
              </w:rPr>
            </w:pPr>
            <w:r w:rsidRPr="004304EF">
              <w:rPr>
                <w:rFonts w:ascii="Arial" w:hAnsi="Arial" w:cs="Arial"/>
                <w:b/>
                <w:bCs/>
                <w:sz w:val="17"/>
                <w:szCs w:val="17"/>
              </w:rPr>
              <w:t>-</w:t>
            </w:r>
          </w:p>
        </w:tc>
        <w:tc>
          <w:tcPr>
            <w:tcW w:w="992" w:type="dxa"/>
            <w:tcBorders>
              <w:top w:val="single" w:sz="4" w:space="0" w:color="auto"/>
              <w:left w:val="nil"/>
              <w:bottom w:val="single" w:sz="12" w:space="0" w:color="auto"/>
              <w:right w:val="nil"/>
            </w:tcBorders>
            <w:shd w:val="clear" w:color="auto" w:fill="auto"/>
            <w:noWrap/>
            <w:vAlign w:val="bottom"/>
          </w:tcPr>
          <w:p w14:paraId="6AF50AFD" w14:textId="0C21E1D7" w:rsidR="004304EF" w:rsidRPr="004304EF" w:rsidRDefault="004304EF" w:rsidP="004304EF">
            <w:pPr>
              <w:suppressAutoHyphens/>
              <w:autoSpaceDN w:val="0"/>
              <w:jc w:val="right"/>
              <w:rPr>
                <w:rFonts w:ascii="Arial" w:eastAsia="Times New Roman" w:hAnsi="Arial" w:cs="Arial"/>
                <w:b/>
                <w:bCs/>
                <w:color w:val="000000" w:themeColor="text1"/>
                <w:sz w:val="17"/>
                <w:szCs w:val="17"/>
              </w:rPr>
            </w:pPr>
            <w:r w:rsidRPr="004304EF">
              <w:rPr>
                <w:rFonts w:ascii="Arial" w:hAnsi="Arial" w:cs="Arial"/>
                <w:b/>
                <w:bCs/>
                <w:sz w:val="17"/>
                <w:szCs w:val="17"/>
              </w:rPr>
              <w:t>-</w:t>
            </w:r>
          </w:p>
        </w:tc>
        <w:tc>
          <w:tcPr>
            <w:tcW w:w="992" w:type="dxa"/>
            <w:tcBorders>
              <w:top w:val="single" w:sz="4" w:space="0" w:color="auto"/>
              <w:left w:val="nil"/>
              <w:bottom w:val="single" w:sz="12" w:space="0" w:color="auto"/>
              <w:right w:val="nil"/>
            </w:tcBorders>
            <w:shd w:val="clear" w:color="auto" w:fill="auto"/>
            <w:noWrap/>
            <w:vAlign w:val="bottom"/>
          </w:tcPr>
          <w:p w14:paraId="55B386DE" w14:textId="3F36A0EB" w:rsidR="004304EF" w:rsidRPr="004304EF" w:rsidRDefault="004304EF" w:rsidP="004304EF">
            <w:pPr>
              <w:suppressAutoHyphens/>
              <w:autoSpaceDN w:val="0"/>
              <w:jc w:val="right"/>
              <w:rPr>
                <w:rFonts w:ascii="Arial" w:eastAsia="Times New Roman" w:hAnsi="Arial" w:cs="Arial"/>
                <w:b/>
                <w:bCs/>
                <w:color w:val="000000" w:themeColor="text1"/>
                <w:sz w:val="17"/>
                <w:szCs w:val="17"/>
              </w:rPr>
            </w:pPr>
            <w:r w:rsidRPr="004304EF">
              <w:rPr>
                <w:rFonts w:ascii="Arial" w:hAnsi="Arial" w:cs="Arial"/>
                <w:b/>
                <w:bCs/>
                <w:sz w:val="17"/>
                <w:szCs w:val="17"/>
              </w:rPr>
              <w:t xml:space="preserve"> 124.473 </w:t>
            </w:r>
          </w:p>
        </w:tc>
        <w:tc>
          <w:tcPr>
            <w:tcW w:w="992" w:type="dxa"/>
            <w:tcBorders>
              <w:top w:val="single" w:sz="4" w:space="0" w:color="auto"/>
              <w:left w:val="nil"/>
              <w:bottom w:val="single" w:sz="12" w:space="0" w:color="auto"/>
              <w:right w:val="nil"/>
            </w:tcBorders>
            <w:shd w:val="clear" w:color="auto" w:fill="auto"/>
            <w:noWrap/>
            <w:vAlign w:val="bottom"/>
          </w:tcPr>
          <w:p w14:paraId="6349CF55" w14:textId="2DC81E54" w:rsidR="004304EF" w:rsidRPr="004304EF" w:rsidRDefault="004304EF" w:rsidP="004304EF">
            <w:pPr>
              <w:suppressAutoHyphens/>
              <w:autoSpaceDN w:val="0"/>
              <w:jc w:val="right"/>
              <w:rPr>
                <w:rFonts w:ascii="Arial" w:eastAsia="Times New Roman" w:hAnsi="Arial" w:cs="Arial"/>
                <w:b/>
                <w:bCs/>
                <w:color w:val="000000" w:themeColor="text1"/>
                <w:sz w:val="17"/>
                <w:szCs w:val="17"/>
              </w:rPr>
            </w:pPr>
            <w:r w:rsidRPr="004304EF">
              <w:rPr>
                <w:rFonts w:ascii="Arial" w:hAnsi="Arial" w:cs="Arial"/>
                <w:b/>
                <w:bCs/>
                <w:sz w:val="17"/>
                <w:szCs w:val="17"/>
              </w:rPr>
              <w:t xml:space="preserve"> 120.610 </w:t>
            </w:r>
          </w:p>
        </w:tc>
        <w:tc>
          <w:tcPr>
            <w:tcW w:w="992" w:type="dxa"/>
            <w:tcBorders>
              <w:top w:val="single" w:sz="4" w:space="0" w:color="auto"/>
              <w:left w:val="nil"/>
              <w:bottom w:val="single" w:sz="12" w:space="0" w:color="auto"/>
              <w:right w:val="nil"/>
            </w:tcBorders>
            <w:shd w:val="clear" w:color="auto" w:fill="auto"/>
            <w:noWrap/>
            <w:vAlign w:val="bottom"/>
          </w:tcPr>
          <w:p w14:paraId="21A3E42B" w14:textId="199C887F" w:rsidR="004304EF" w:rsidRPr="004304EF" w:rsidRDefault="004304EF" w:rsidP="004304EF">
            <w:pPr>
              <w:suppressAutoHyphens/>
              <w:autoSpaceDN w:val="0"/>
              <w:jc w:val="right"/>
              <w:rPr>
                <w:rFonts w:ascii="Arial" w:eastAsia="Times New Roman" w:hAnsi="Arial" w:cs="Arial"/>
                <w:b/>
                <w:bCs/>
                <w:color w:val="000000" w:themeColor="text1"/>
                <w:sz w:val="17"/>
                <w:szCs w:val="17"/>
              </w:rPr>
            </w:pPr>
            <w:r w:rsidRPr="004304EF">
              <w:rPr>
                <w:rFonts w:ascii="Arial" w:hAnsi="Arial" w:cs="Arial"/>
                <w:b/>
                <w:bCs/>
                <w:sz w:val="17"/>
                <w:szCs w:val="17"/>
              </w:rPr>
              <w:t>-</w:t>
            </w:r>
          </w:p>
        </w:tc>
        <w:tc>
          <w:tcPr>
            <w:tcW w:w="992" w:type="dxa"/>
            <w:tcBorders>
              <w:top w:val="single" w:sz="4" w:space="0" w:color="auto"/>
              <w:left w:val="nil"/>
              <w:bottom w:val="single" w:sz="12" w:space="0" w:color="auto"/>
              <w:right w:val="nil"/>
            </w:tcBorders>
            <w:shd w:val="clear" w:color="auto" w:fill="auto"/>
            <w:noWrap/>
            <w:vAlign w:val="bottom"/>
          </w:tcPr>
          <w:p w14:paraId="27751BDE" w14:textId="252D2BB5" w:rsidR="004304EF" w:rsidRPr="004304EF" w:rsidRDefault="004304EF" w:rsidP="004304EF">
            <w:pPr>
              <w:suppressAutoHyphens/>
              <w:autoSpaceDN w:val="0"/>
              <w:jc w:val="right"/>
              <w:rPr>
                <w:rFonts w:ascii="Arial" w:eastAsia="Times New Roman" w:hAnsi="Arial" w:cs="Arial"/>
                <w:b/>
                <w:bCs/>
                <w:color w:val="000000" w:themeColor="text1"/>
                <w:sz w:val="17"/>
                <w:szCs w:val="17"/>
              </w:rPr>
            </w:pPr>
            <w:r w:rsidRPr="004304EF">
              <w:rPr>
                <w:rFonts w:ascii="Arial" w:hAnsi="Arial" w:cs="Arial"/>
                <w:b/>
                <w:bCs/>
                <w:sz w:val="17"/>
                <w:szCs w:val="17"/>
              </w:rPr>
              <w:t>-</w:t>
            </w:r>
          </w:p>
        </w:tc>
        <w:tc>
          <w:tcPr>
            <w:tcW w:w="992" w:type="dxa"/>
            <w:tcBorders>
              <w:top w:val="single" w:sz="4" w:space="0" w:color="auto"/>
              <w:left w:val="nil"/>
              <w:bottom w:val="single" w:sz="12" w:space="0" w:color="auto"/>
              <w:right w:val="nil"/>
            </w:tcBorders>
            <w:shd w:val="clear" w:color="auto" w:fill="auto"/>
            <w:noWrap/>
            <w:vAlign w:val="bottom"/>
          </w:tcPr>
          <w:p w14:paraId="52BAC9BF" w14:textId="4A2F7434" w:rsidR="004304EF" w:rsidRPr="004304EF" w:rsidRDefault="004304EF" w:rsidP="004304EF">
            <w:pPr>
              <w:suppressAutoHyphens/>
              <w:autoSpaceDN w:val="0"/>
              <w:jc w:val="right"/>
              <w:rPr>
                <w:rFonts w:ascii="Arial" w:eastAsia="Times New Roman" w:hAnsi="Arial" w:cs="Arial"/>
                <w:b/>
                <w:bCs/>
                <w:color w:val="000000" w:themeColor="text1"/>
                <w:sz w:val="17"/>
                <w:szCs w:val="17"/>
              </w:rPr>
            </w:pPr>
            <w:r w:rsidRPr="004304EF">
              <w:rPr>
                <w:rFonts w:ascii="Arial" w:hAnsi="Arial" w:cs="Arial"/>
                <w:b/>
                <w:bCs/>
                <w:sz w:val="17"/>
                <w:szCs w:val="17"/>
              </w:rPr>
              <w:t xml:space="preserve"> 120.610 </w:t>
            </w:r>
          </w:p>
        </w:tc>
      </w:tr>
    </w:tbl>
    <w:p w14:paraId="73FDFF2B" w14:textId="77777777" w:rsidR="00A73031" w:rsidRPr="003D1614" w:rsidRDefault="00A73031" w:rsidP="00A73031">
      <w:pPr>
        <w:keepNext/>
        <w:suppressAutoHyphens/>
        <w:autoSpaceDN w:val="0"/>
        <w:jc w:val="both"/>
        <w:outlineLvl w:val="0"/>
        <w:rPr>
          <w:rFonts w:ascii="Arial" w:eastAsia="Times New Roman" w:hAnsi="Arial" w:cs="Arial"/>
          <w:b/>
          <w:bCs/>
          <w:color w:val="000000" w:themeColor="text1"/>
          <w:sz w:val="20"/>
          <w:szCs w:val="20"/>
        </w:rPr>
      </w:pPr>
    </w:p>
    <w:p w14:paraId="72331652" w14:textId="77777777" w:rsidR="00A73031" w:rsidRPr="003D1614" w:rsidRDefault="00A73031" w:rsidP="00A73031">
      <w:pPr>
        <w:keepNext/>
        <w:suppressAutoHyphens/>
        <w:autoSpaceDN w:val="0"/>
        <w:jc w:val="both"/>
        <w:outlineLvl w:val="0"/>
        <w:rPr>
          <w:rFonts w:ascii="Arial" w:eastAsia="Times New Roman" w:hAnsi="Arial" w:cs="Arial"/>
          <w:b/>
          <w:bCs/>
          <w:color w:val="000000" w:themeColor="text1"/>
          <w:sz w:val="20"/>
          <w:szCs w:val="20"/>
        </w:rPr>
      </w:pPr>
    </w:p>
    <w:p w14:paraId="2CEC31D0" w14:textId="77777777" w:rsidR="00A73031" w:rsidRPr="003D1614" w:rsidRDefault="00A73031" w:rsidP="00A73031">
      <w:pPr>
        <w:keepNext/>
        <w:suppressAutoHyphens/>
        <w:autoSpaceDN w:val="0"/>
        <w:jc w:val="both"/>
        <w:outlineLvl w:val="0"/>
        <w:rPr>
          <w:rFonts w:ascii="Arial" w:eastAsia="Times New Roman" w:hAnsi="Arial" w:cs="Arial"/>
          <w:b/>
          <w:bCs/>
          <w:color w:val="000000" w:themeColor="text1"/>
          <w:sz w:val="20"/>
          <w:szCs w:val="20"/>
        </w:rPr>
      </w:pPr>
    </w:p>
    <w:tbl>
      <w:tblPr>
        <w:tblW w:w="9779" w:type="dxa"/>
        <w:tblLayout w:type="fixed"/>
        <w:tblLook w:val="04A0" w:firstRow="1" w:lastRow="0" w:firstColumn="1" w:lastColumn="0" w:noHBand="0" w:noVBand="1"/>
      </w:tblPr>
      <w:tblGrid>
        <w:gridCol w:w="1843"/>
        <w:gridCol w:w="992"/>
        <w:gridCol w:w="992"/>
        <w:gridCol w:w="992"/>
        <w:gridCol w:w="992"/>
        <w:gridCol w:w="992"/>
        <w:gridCol w:w="992"/>
        <w:gridCol w:w="992"/>
        <w:gridCol w:w="992"/>
      </w:tblGrid>
      <w:tr w:rsidR="00D10286" w:rsidRPr="00B44A61" w14:paraId="519AE636" w14:textId="77777777" w:rsidTr="00DD2D50">
        <w:trPr>
          <w:trHeight w:val="178"/>
        </w:trPr>
        <w:tc>
          <w:tcPr>
            <w:tcW w:w="1843" w:type="dxa"/>
            <w:tcBorders>
              <w:top w:val="nil"/>
              <w:left w:val="nil"/>
              <w:bottom w:val="nil"/>
              <w:right w:val="nil"/>
            </w:tcBorders>
            <w:shd w:val="clear" w:color="auto" w:fill="auto"/>
            <w:noWrap/>
            <w:vAlign w:val="bottom"/>
            <w:hideMark/>
          </w:tcPr>
          <w:p w14:paraId="036B6CF0" w14:textId="77777777" w:rsidR="00D10286" w:rsidRPr="004B4498" w:rsidRDefault="00D10286" w:rsidP="00DD2D50">
            <w:pPr>
              <w:rPr>
                <w:rFonts w:ascii="Arial" w:hAnsi="Arial" w:cs="Arial"/>
                <w:b/>
                <w:color w:val="000000" w:themeColor="text1"/>
                <w:sz w:val="17"/>
                <w:szCs w:val="17"/>
              </w:rPr>
            </w:pPr>
            <w:r w:rsidRPr="004B4498">
              <w:rPr>
                <w:rFonts w:ascii="Arial" w:hAnsi="Arial" w:cs="Arial"/>
                <w:b/>
                <w:color w:val="000000" w:themeColor="text1"/>
                <w:sz w:val="17"/>
                <w:szCs w:val="17"/>
              </w:rPr>
              <w:t>31. prosinca 202</w:t>
            </w:r>
            <w:r>
              <w:rPr>
                <w:rFonts w:ascii="Arial" w:hAnsi="Arial" w:cs="Arial"/>
                <w:b/>
                <w:color w:val="000000" w:themeColor="text1"/>
                <w:sz w:val="17"/>
                <w:szCs w:val="17"/>
              </w:rPr>
              <w:t>3</w:t>
            </w:r>
            <w:r w:rsidRPr="004B4498">
              <w:rPr>
                <w:rFonts w:ascii="Arial" w:hAnsi="Arial" w:cs="Arial"/>
                <w:b/>
                <w:color w:val="000000" w:themeColor="text1"/>
                <w:sz w:val="17"/>
                <w:szCs w:val="17"/>
              </w:rPr>
              <w:t>.</w:t>
            </w:r>
          </w:p>
        </w:tc>
        <w:tc>
          <w:tcPr>
            <w:tcW w:w="992" w:type="dxa"/>
            <w:tcBorders>
              <w:top w:val="nil"/>
              <w:left w:val="nil"/>
              <w:bottom w:val="nil"/>
              <w:right w:val="nil"/>
            </w:tcBorders>
            <w:shd w:val="clear" w:color="auto" w:fill="auto"/>
            <w:noWrap/>
            <w:vAlign w:val="bottom"/>
            <w:hideMark/>
          </w:tcPr>
          <w:p w14:paraId="4B3EDBBA" w14:textId="77777777" w:rsidR="00D10286" w:rsidRPr="004B4498" w:rsidRDefault="00D10286" w:rsidP="00DD2D50">
            <w:pPr>
              <w:rPr>
                <w:rFonts w:ascii="Arial" w:hAnsi="Arial" w:cs="Arial"/>
                <w:color w:val="000000" w:themeColor="text1"/>
                <w:sz w:val="17"/>
                <w:szCs w:val="17"/>
              </w:rPr>
            </w:pPr>
          </w:p>
        </w:tc>
        <w:tc>
          <w:tcPr>
            <w:tcW w:w="992" w:type="dxa"/>
            <w:tcBorders>
              <w:top w:val="nil"/>
              <w:left w:val="nil"/>
              <w:bottom w:val="nil"/>
              <w:right w:val="nil"/>
            </w:tcBorders>
            <w:shd w:val="clear" w:color="auto" w:fill="auto"/>
            <w:noWrap/>
            <w:vAlign w:val="bottom"/>
            <w:hideMark/>
          </w:tcPr>
          <w:p w14:paraId="4580434E" w14:textId="77777777" w:rsidR="00D10286" w:rsidRPr="004B4498" w:rsidRDefault="00D10286" w:rsidP="00DD2D50">
            <w:pPr>
              <w:jc w:val="right"/>
              <w:rPr>
                <w:rFonts w:ascii="Arial" w:hAnsi="Arial" w:cs="Arial"/>
                <w:color w:val="000000" w:themeColor="text1"/>
                <w:sz w:val="17"/>
                <w:szCs w:val="17"/>
              </w:rPr>
            </w:pPr>
          </w:p>
        </w:tc>
        <w:tc>
          <w:tcPr>
            <w:tcW w:w="992" w:type="dxa"/>
            <w:tcBorders>
              <w:top w:val="nil"/>
              <w:left w:val="nil"/>
              <w:bottom w:val="nil"/>
              <w:right w:val="nil"/>
            </w:tcBorders>
            <w:shd w:val="clear" w:color="auto" w:fill="auto"/>
            <w:noWrap/>
            <w:vAlign w:val="bottom"/>
            <w:hideMark/>
          </w:tcPr>
          <w:p w14:paraId="64A2E299" w14:textId="77777777" w:rsidR="00D10286" w:rsidRPr="004B4498" w:rsidRDefault="00D10286" w:rsidP="00DD2D50">
            <w:pPr>
              <w:jc w:val="right"/>
              <w:rPr>
                <w:rFonts w:ascii="Arial" w:hAnsi="Arial" w:cs="Arial"/>
                <w:color w:val="000000" w:themeColor="text1"/>
                <w:sz w:val="17"/>
                <w:szCs w:val="17"/>
              </w:rPr>
            </w:pPr>
          </w:p>
        </w:tc>
        <w:tc>
          <w:tcPr>
            <w:tcW w:w="992" w:type="dxa"/>
            <w:tcBorders>
              <w:top w:val="nil"/>
              <w:left w:val="nil"/>
              <w:bottom w:val="nil"/>
              <w:right w:val="nil"/>
            </w:tcBorders>
            <w:shd w:val="clear" w:color="auto" w:fill="auto"/>
            <w:noWrap/>
            <w:vAlign w:val="bottom"/>
            <w:hideMark/>
          </w:tcPr>
          <w:p w14:paraId="57DBEA90" w14:textId="77777777" w:rsidR="00D10286" w:rsidRPr="004B4498" w:rsidRDefault="00D10286" w:rsidP="00DD2D50">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Grupa</w:t>
            </w:r>
          </w:p>
        </w:tc>
        <w:tc>
          <w:tcPr>
            <w:tcW w:w="992" w:type="dxa"/>
            <w:tcBorders>
              <w:top w:val="nil"/>
              <w:left w:val="nil"/>
              <w:bottom w:val="nil"/>
              <w:right w:val="nil"/>
            </w:tcBorders>
            <w:shd w:val="clear" w:color="auto" w:fill="auto"/>
            <w:noWrap/>
            <w:vAlign w:val="bottom"/>
            <w:hideMark/>
          </w:tcPr>
          <w:p w14:paraId="2AC26E21" w14:textId="77777777" w:rsidR="00D10286" w:rsidRPr="004B4498" w:rsidRDefault="00D10286" w:rsidP="00DD2D50">
            <w:pPr>
              <w:jc w:val="right"/>
              <w:rPr>
                <w:rFonts w:ascii="Arial"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hideMark/>
          </w:tcPr>
          <w:p w14:paraId="0007BD56" w14:textId="77777777" w:rsidR="00D10286" w:rsidRPr="004B4498" w:rsidRDefault="00D10286" w:rsidP="00DD2D50">
            <w:pPr>
              <w:jc w:val="right"/>
              <w:rPr>
                <w:rFonts w:ascii="Arial" w:hAnsi="Arial" w:cs="Arial"/>
                <w:color w:val="000000" w:themeColor="text1"/>
                <w:sz w:val="17"/>
                <w:szCs w:val="17"/>
              </w:rPr>
            </w:pPr>
          </w:p>
        </w:tc>
        <w:tc>
          <w:tcPr>
            <w:tcW w:w="992" w:type="dxa"/>
            <w:tcBorders>
              <w:top w:val="nil"/>
              <w:left w:val="nil"/>
              <w:bottom w:val="nil"/>
              <w:right w:val="nil"/>
            </w:tcBorders>
            <w:shd w:val="clear" w:color="auto" w:fill="auto"/>
            <w:noWrap/>
            <w:vAlign w:val="bottom"/>
            <w:hideMark/>
          </w:tcPr>
          <w:p w14:paraId="43F73B72" w14:textId="77777777" w:rsidR="00D10286" w:rsidRPr="004B4498" w:rsidRDefault="00D10286" w:rsidP="00DD2D50">
            <w:pPr>
              <w:jc w:val="right"/>
              <w:rPr>
                <w:rFonts w:ascii="Arial" w:hAnsi="Arial" w:cs="Arial"/>
                <w:color w:val="000000" w:themeColor="text1"/>
                <w:sz w:val="17"/>
                <w:szCs w:val="17"/>
              </w:rPr>
            </w:pPr>
          </w:p>
        </w:tc>
        <w:tc>
          <w:tcPr>
            <w:tcW w:w="992" w:type="dxa"/>
            <w:tcBorders>
              <w:top w:val="nil"/>
              <w:left w:val="nil"/>
              <w:bottom w:val="nil"/>
              <w:right w:val="nil"/>
            </w:tcBorders>
            <w:shd w:val="clear" w:color="auto" w:fill="auto"/>
            <w:noWrap/>
            <w:vAlign w:val="bottom"/>
            <w:hideMark/>
          </w:tcPr>
          <w:p w14:paraId="7EB06EE3" w14:textId="77777777" w:rsidR="00D10286" w:rsidRPr="004B4498" w:rsidRDefault="00D10286" w:rsidP="00DD2D50">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Banka</w:t>
            </w:r>
          </w:p>
        </w:tc>
      </w:tr>
      <w:tr w:rsidR="00D10286" w:rsidRPr="00B44A61" w14:paraId="7DA2313F" w14:textId="77777777" w:rsidTr="00DD2D50">
        <w:trPr>
          <w:trHeight w:val="310"/>
        </w:trPr>
        <w:tc>
          <w:tcPr>
            <w:tcW w:w="1843" w:type="dxa"/>
            <w:tcBorders>
              <w:top w:val="nil"/>
              <w:left w:val="nil"/>
              <w:bottom w:val="nil"/>
              <w:right w:val="nil"/>
            </w:tcBorders>
            <w:shd w:val="clear" w:color="auto" w:fill="auto"/>
            <w:noWrap/>
            <w:vAlign w:val="bottom"/>
            <w:hideMark/>
          </w:tcPr>
          <w:p w14:paraId="3E7E8740" w14:textId="77777777" w:rsidR="00D10286" w:rsidRPr="004B4498" w:rsidRDefault="00D10286" w:rsidP="00DD2D50">
            <w:pPr>
              <w:jc w:val="right"/>
              <w:rPr>
                <w:rFonts w:ascii="Arial"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hideMark/>
          </w:tcPr>
          <w:p w14:paraId="17176FBB" w14:textId="77777777" w:rsidR="00D10286" w:rsidRPr="004B4498" w:rsidRDefault="00D10286" w:rsidP="00DD2D50">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Stupanj 1</w:t>
            </w:r>
          </w:p>
        </w:tc>
        <w:tc>
          <w:tcPr>
            <w:tcW w:w="992" w:type="dxa"/>
            <w:tcBorders>
              <w:top w:val="nil"/>
              <w:left w:val="nil"/>
              <w:bottom w:val="nil"/>
              <w:right w:val="nil"/>
            </w:tcBorders>
            <w:shd w:val="clear" w:color="auto" w:fill="auto"/>
            <w:noWrap/>
            <w:vAlign w:val="bottom"/>
            <w:hideMark/>
          </w:tcPr>
          <w:p w14:paraId="7926055D" w14:textId="77777777" w:rsidR="00D10286" w:rsidRPr="004B4498" w:rsidRDefault="00D10286" w:rsidP="00DD2D50">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Stupanj 2</w:t>
            </w:r>
          </w:p>
        </w:tc>
        <w:tc>
          <w:tcPr>
            <w:tcW w:w="992" w:type="dxa"/>
            <w:tcBorders>
              <w:top w:val="nil"/>
              <w:left w:val="nil"/>
              <w:bottom w:val="nil"/>
              <w:right w:val="nil"/>
            </w:tcBorders>
            <w:shd w:val="clear" w:color="auto" w:fill="auto"/>
            <w:noWrap/>
            <w:vAlign w:val="bottom"/>
            <w:hideMark/>
          </w:tcPr>
          <w:p w14:paraId="42A8B5F9" w14:textId="77777777" w:rsidR="00D10286" w:rsidRPr="004B4498" w:rsidRDefault="00D10286" w:rsidP="00DD2D50">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Stupanj 3</w:t>
            </w:r>
          </w:p>
        </w:tc>
        <w:tc>
          <w:tcPr>
            <w:tcW w:w="992" w:type="dxa"/>
            <w:tcBorders>
              <w:top w:val="nil"/>
              <w:left w:val="nil"/>
              <w:bottom w:val="nil"/>
              <w:right w:val="nil"/>
            </w:tcBorders>
            <w:shd w:val="clear" w:color="auto" w:fill="auto"/>
            <w:noWrap/>
            <w:vAlign w:val="bottom"/>
            <w:hideMark/>
          </w:tcPr>
          <w:p w14:paraId="5D59EE97" w14:textId="77777777" w:rsidR="00D10286" w:rsidRPr="004B4498" w:rsidRDefault="00D10286" w:rsidP="00DD2D50">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Ukupno</w:t>
            </w:r>
          </w:p>
        </w:tc>
        <w:tc>
          <w:tcPr>
            <w:tcW w:w="992" w:type="dxa"/>
            <w:tcBorders>
              <w:top w:val="nil"/>
              <w:left w:val="nil"/>
              <w:bottom w:val="nil"/>
              <w:right w:val="nil"/>
            </w:tcBorders>
            <w:shd w:val="clear" w:color="auto" w:fill="auto"/>
            <w:noWrap/>
            <w:vAlign w:val="bottom"/>
            <w:hideMark/>
          </w:tcPr>
          <w:p w14:paraId="5E230E97" w14:textId="77777777" w:rsidR="00D10286" w:rsidRPr="004B4498" w:rsidRDefault="00D10286" w:rsidP="00DD2D50">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Stupanj 1</w:t>
            </w:r>
          </w:p>
        </w:tc>
        <w:tc>
          <w:tcPr>
            <w:tcW w:w="992" w:type="dxa"/>
            <w:tcBorders>
              <w:top w:val="nil"/>
              <w:left w:val="nil"/>
              <w:bottom w:val="nil"/>
              <w:right w:val="nil"/>
            </w:tcBorders>
            <w:shd w:val="clear" w:color="auto" w:fill="auto"/>
            <w:noWrap/>
            <w:vAlign w:val="bottom"/>
            <w:hideMark/>
          </w:tcPr>
          <w:p w14:paraId="01F39ABD" w14:textId="77777777" w:rsidR="00D10286" w:rsidRPr="004B4498" w:rsidRDefault="00D10286" w:rsidP="00DD2D50">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Stupanj 2</w:t>
            </w:r>
          </w:p>
        </w:tc>
        <w:tc>
          <w:tcPr>
            <w:tcW w:w="992" w:type="dxa"/>
            <w:tcBorders>
              <w:top w:val="nil"/>
              <w:left w:val="nil"/>
              <w:bottom w:val="nil"/>
              <w:right w:val="nil"/>
            </w:tcBorders>
            <w:shd w:val="clear" w:color="auto" w:fill="auto"/>
            <w:noWrap/>
            <w:vAlign w:val="bottom"/>
            <w:hideMark/>
          </w:tcPr>
          <w:p w14:paraId="7983FD01" w14:textId="77777777" w:rsidR="00D10286" w:rsidRPr="004B4498" w:rsidRDefault="00D10286" w:rsidP="00DD2D50">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Stupanj 3</w:t>
            </w:r>
          </w:p>
        </w:tc>
        <w:tc>
          <w:tcPr>
            <w:tcW w:w="992" w:type="dxa"/>
            <w:tcBorders>
              <w:top w:val="nil"/>
              <w:left w:val="nil"/>
              <w:bottom w:val="nil"/>
              <w:right w:val="nil"/>
            </w:tcBorders>
            <w:shd w:val="clear" w:color="auto" w:fill="auto"/>
            <w:noWrap/>
            <w:vAlign w:val="bottom"/>
            <w:hideMark/>
          </w:tcPr>
          <w:p w14:paraId="578DFFFB" w14:textId="77777777" w:rsidR="00D10286" w:rsidRPr="004B4498" w:rsidRDefault="00D10286" w:rsidP="00DD2D50">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Ukupno</w:t>
            </w:r>
          </w:p>
        </w:tc>
      </w:tr>
      <w:tr w:rsidR="00D10286" w:rsidRPr="00B44A61" w14:paraId="551E4522" w14:textId="77777777" w:rsidTr="00DD2D50">
        <w:trPr>
          <w:trHeight w:val="314"/>
        </w:trPr>
        <w:tc>
          <w:tcPr>
            <w:tcW w:w="1843" w:type="dxa"/>
            <w:tcBorders>
              <w:top w:val="nil"/>
              <w:left w:val="nil"/>
              <w:bottom w:val="nil"/>
              <w:right w:val="nil"/>
            </w:tcBorders>
            <w:shd w:val="clear" w:color="auto" w:fill="auto"/>
            <w:noWrap/>
            <w:vAlign w:val="bottom"/>
            <w:hideMark/>
          </w:tcPr>
          <w:p w14:paraId="524841C2" w14:textId="77777777" w:rsidR="00D10286" w:rsidRPr="004B4498" w:rsidRDefault="00D10286" w:rsidP="00DD2D50">
            <w:pPr>
              <w:jc w:val="right"/>
              <w:rPr>
                <w:rFonts w:ascii="Arial"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hideMark/>
          </w:tcPr>
          <w:p w14:paraId="390FA3B1" w14:textId="77777777" w:rsidR="00D10286" w:rsidRPr="004B4498" w:rsidRDefault="00D10286" w:rsidP="00DD2D50">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 xml:space="preserve">000 </w:t>
            </w:r>
            <w:r>
              <w:rPr>
                <w:rFonts w:ascii="Arial" w:hAnsi="Arial" w:cs="Arial"/>
                <w:b/>
                <w:bCs/>
                <w:color w:val="000000" w:themeColor="text1"/>
                <w:sz w:val="17"/>
                <w:szCs w:val="17"/>
              </w:rPr>
              <w:t>eura</w:t>
            </w:r>
          </w:p>
        </w:tc>
        <w:tc>
          <w:tcPr>
            <w:tcW w:w="992" w:type="dxa"/>
            <w:tcBorders>
              <w:top w:val="nil"/>
              <w:left w:val="nil"/>
              <w:bottom w:val="nil"/>
              <w:right w:val="nil"/>
            </w:tcBorders>
            <w:shd w:val="clear" w:color="auto" w:fill="auto"/>
            <w:noWrap/>
            <w:vAlign w:val="bottom"/>
            <w:hideMark/>
          </w:tcPr>
          <w:p w14:paraId="28078C94" w14:textId="77777777" w:rsidR="00D10286" w:rsidRPr="004B4498" w:rsidRDefault="00D10286" w:rsidP="00DD2D50">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 xml:space="preserve">000 </w:t>
            </w:r>
            <w:r>
              <w:rPr>
                <w:rFonts w:ascii="Arial" w:hAnsi="Arial" w:cs="Arial"/>
                <w:b/>
                <w:bCs/>
                <w:color w:val="000000" w:themeColor="text1"/>
                <w:sz w:val="17"/>
                <w:szCs w:val="17"/>
              </w:rPr>
              <w:t>eura</w:t>
            </w:r>
          </w:p>
        </w:tc>
        <w:tc>
          <w:tcPr>
            <w:tcW w:w="992" w:type="dxa"/>
            <w:tcBorders>
              <w:top w:val="nil"/>
              <w:left w:val="nil"/>
              <w:bottom w:val="nil"/>
              <w:right w:val="nil"/>
            </w:tcBorders>
            <w:shd w:val="clear" w:color="auto" w:fill="auto"/>
            <w:noWrap/>
            <w:vAlign w:val="bottom"/>
            <w:hideMark/>
          </w:tcPr>
          <w:p w14:paraId="44A8C3FC" w14:textId="77777777" w:rsidR="00D10286" w:rsidRPr="004B4498" w:rsidRDefault="00D10286" w:rsidP="00DD2D50">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 xml:space="preserve">000 </w:t>
            </w:r>
            <w:r>
              <w:rPr>
                <w:rFonts w:ascii="Arial" w:hAnsi="Arial" w:cs="Arial"/>
                <w:b/>
                <w:bCs/>
                <w:color w:val="000000" w:themeColor="text1"/>
                <w:sz w:val="17"/>
                <w:szCs w:val="17"/>
              </w:rPr>
              <w:t>eura</w:t>
            </w:r>
          </w:p>
        </w:tc>
        <w:tc>
          <w:tcPr>
            <w:tcW w:w="992" w:type="dxa"/>
            <w:tcBorders>
              <w:top w:val="nil"/>
              <w:left w:val="nil"/>
              <w:bottom w:val="nil"/>
              <w:right w:val="nil"/>
            </w:tcBorders>
            <w:shd w:val="clear" w:color="auto" w:fill="auto"/>
            <w:noWrap/>
            <w:vAlign w:val="bottom"/>
            <w:hideMark/>
          </w:tcPr>
          <w:p w14:paraId="1973798F" w14:textId="77777777" w:rsidR="00D10286" w:rsidRPr="004B4498" w:rsidRDefault="00D10286" w:rsidP="00DD2D50">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 xml:space="preserve">000 </w:t>
            </w:r>
            <w:r>
              <w:rPr>
                <w:rFonts w:ascii="Arial" w:hAnsi="Arial" w:cs="Arial"/>
                <w:b/>
                <w:bCs/>
                <w:color w:val="000000" w:themeColor="text1"/>
                <w:sz w:val="17"/>
                <w:szCs w:val="17"/>
              </w:rPr>
              <w:t>eura</w:t>
            </w:r>
          </w:p>
        </w:tc>
        <w:tc>
          <w:tcPr>
            <w:tcW w:w="992" w:type="dxa"/>
            <w:tcBorders>
              <w:top w:val="nil"/>
              <w:left w:val="nil"/>
              <w:bottom w:val="nil"/>
              <w:right w:val="nil"/>
            </w:tcBorders>
            <w:shd w:val="clear" w:color="auto" w:fill="auto"/>
            <w:noWrap/>
            <w:vAlign w:val="bottom"/>
            <w:hideMark/>
          </w:tcPr>
          <w:p w14:paraId="7E0B22B6" w14:textId="77777777" w:rsidR="00D10286" w:rsidRPr="004B4498" w:rsidRDefault="00D10286" w:rsidP="00DD2D50">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 xml:space="preserve">000 </w:t>
            </w:r>
            <w:r>
              <w:rPr>
                <w:rFonts w:ascii="Arial" w:hAnsi="Arial" w:cs="Arial"/>
                <w:b/>
                <w:bCs/>
                <w:color w:val="000000" w:themeColor="text1"/>
                <w:sz w:val="17"/>
                <w:szCs w:val="17"/>
              </w:rPr>
              <w:t>eura</w:t>
            </w:r>
          </w:p>
        </w:tc>
        <w:tc>
          <w:tcPr>
            <w:tcW w:w="992" w:type="dxa"/>
            <w:tcBorders>
              <w:top w:val="nil"/>
              <w:left w:val="nil"/>
              <w:bottom w:val="nil"/>
              <w:right w:val="nil"/>
            </w:tcBorders>
            <w:shd w:val="clear" w:color="auto" w:fill="auto"/>
            <w:noWrap/>
            <w:vAlign w:val="bottom"/>
            <w:hideMark/>
          </w:tcPr>
          <w:p w14:paraId="0C3F9010" w14:textId="77777777" w:rsidR="00D10286" w:rsidRPr="004B4498" w:rsidRDefault="00D10286" w:rsidP="00DD2D50">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 xml:space="preserve">000 </w:t>
            </w:r>
            <w:r>
              <w:rPr>
                <w:rFonts w:ascii="Arial" w:hAnsi="Arial" w:cs="Arial"/>
                <w:b/>
                <w:bCs/>
                <w:color w:val="000000" w:themeColor="text1"/>
                <w:sz w:val="17"/>
                <w:szCs w:val="17"/>
              </w:rPr>
              <w:t>eura</w:t>
            </w:r>
          </w:p>
        </w:tc>
        <w:tc>
          <w:tcPr>
            <w:tcW w:w="992" w:type="dxa"/>
            <w:tcBorders>
              <w:top w:val="nil"/>
              <w:left w:val="nil"/>
              <w:bottom w:val="nil"/>
              <w:right w:val="nil"/>
            </w:tcBorders>
            <w:shd w:val="clear" w:color="auto" w:fill="auto"/>
            <w:noWrap/>
            <w:vAlign w:val="bottom"/>
            <w:hideMark/>
          </w:tcPr>
          <w:p w14:paraId="7D8677AC" w14:textId="77777777" w:rsidR="00D10286" w:rsidRPr="004B4498" w:rsidRDefault="00D10286" w:rsidP="00DD2D50">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 xml:space="preserve">000 </w:t>
            </w:r>
            <w:r>
              <w:rPr>
                <w:rFonts w:ascii="Arial" w:hAnsi="Arial" w:cs="Arial"/>
                <w:b/>
                <w:bCs/>
                <w:color w:val="000000" w:themeColor="text1"/>
                <w:sz w:val="17"/>
                <w:szCs w:val="17"/>
              </w:rPr>
              <w:t>eura</w:t>
            </w:r>
          </w:p>
        </w:tc>
        <w:tc>
          <w:tcPr>
            <w:tcW w:w="992" w:type="dxa"/>
            <w:tcBorders>
              <w:top w:val="nil"/>
              <w:left w:val="nil"/>
              <w:bottom w:val="nil"/>
              <w:right w:val="nil"/>
            </w:tcBorders>
            <w:shd w:val="clear" w:color="auto" w:fill="auto"/>
            <w:noWrap/>
            <w:vAlign w:val="bottom"/>
            <w:hideMark/>
          </w:tcPr>
          <w:p w14:paraId="2AA9F4BA" w14:textId="77777777" w:rsidR="00D10286" w:rsidRPr="004B4498" w:rsidRDefault="00D10286" w:rsidP="00DD2D50">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 xml:space="preserve">000 </w:t>
            </w:r>
            <w:r>
              <w:rPr>
                <w:rFonts w:ascii="Arial" w:hAnsi="Arial" w:cs="Arial"/>
                <w:b/>
                <w:bCs/>
                <w:color w:val="000000" w:themeColor="text1"/>
                <w:sz w:val="17"/>
                <w:szCs w:val="17"/>
              </w:rPr>
              <w:t>eura</w:t>
            </w:r>
          </w:p>
        </w:tc>
      </w:tr>
      <w:tr w:rsidR="00D10286" w:rsidRPr="00B44A61" w14:paraId="501C834D" w14:textId="77777777" w:rsidTr="00DD2D50">
        <w:trPr>
          <w:trHeight w:val="184"/>
        </w:trPr>
        <w:tc>
          <w:tcPr>
            <w:tcW w:w="1843" w:type="dxa"/>
            <w:tcBorders>
              <w:top w:val="nil"/>
              <w:left w:val="nil"/>
              <w:bottom w:val="nil"/>
              <w:right w:val="nil"/>
            </w:tcBorders>
            <w:shd w:val="clear" w:color="auto" w:fill="auto"/>
            <w:noWrap/>
            <w:vAlign w:val="bottom"/>
          </w:tcPr>
          <w:p w14:paraId="054F00B9" w14:textId="77777777" w:rsidR="00D10286" w:rsidRPr="004B4498" w:rsidRDefault="00D10286" w:rsidP="00DD2D50">
            <w:pPr>
              <w:jc w:val="right"/>
              <w:rPr>
                <w:rFonts w:ascii="Arial"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tcPr>
          <w:p w14:paraId="42DB64BE" w14:textId="77777777" w:rsidR="00D10286" w:rsidRPr="004B4498" w:rsidRDefault="00D10286" w:rsidP="00DD2D50">
            <w:pPr>
              <w:jc w:val="right"/>
              <w:rPr>
                <w:rFonts w:ascii="Arial"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tcPr>
          <w:p w14:paraId="75B494F4" w14:textId="77777777" w:rsidR="00D10286" w:rsidRPr="004B4498" w:rsidRDefault="00D10286" w:rsidP="00DD2D50">
            <w:pPr>
              <w:jc w:val="right"/>
              <w:rPr>
                <w:rFonts w:ascii="Arial"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tcPr>
          <w:p w14:paraId="2BC33CDE" w14:textId="77777777" w:rsidR="00D10286" w:rsidRPr="004B4498" w:rsidRDefault="00D10286" w:rsidP="00DD2D50">
            <w:pPr>
              <w:jc w:val="right"/>
              <w:rPr>
                <w:rFonts w:ascii="Arial"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tcPr>
          <w:p w14:paraId="7C02DD99" w14:textId="77777777" w:rsidR="00D10286" w:rsidRPr="004B4498" w:rsidRDefault="00D10286" w:rsidP="00DD2D50">
            <w:pPr>
              <w:jc w:val="right"/>
              <w:rPr>
                <w:rFonts w:ascii="Arial"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tcPr>
          <w:p w14:paraId="14FC2554" w14:textId="77777777" w:rsidR="00D10286" w:rsidRPr="004B4498" w:rsidRDefault="00D10286" w:rsidP="00DD2D50">
            <w:pPr>
              <w:jc w:val="right"/>
              <w:rPr>
                <w:rFonts w:ascii="Arial"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tcPr>
          <w:p w14:paraId="2830CCFA" w14:textId="77777777" w:rsidR="00D10286" w:rsidRPr="004B4498" w:rsidRDefault="00D10286" w:rsidP="00DD2D50">
            <w:pPr>
              <w:jc w:val="right"/>
              <w:rPr>
                <w:rFonts w:ascii="Arial"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tcPr>
          <w:p w14:paraId="733454E7" w14:textId="77777777" w:rsidR="00D10286" w:rsidRPr="004B4498" w:rsidRDefault="00D10286" w:rsidP="00DD2D50">
            <w:pPr>
              <w:jc w:val="right"/>
              <w:rPr>
                <w:rFonts w:ascii="Arial"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tcPr>
          <w:p w14:paraId="39AA2A10" w14:textId="77777777" w:rsidR="00D10286" w:rsidRPr="004B4498" w:rsidRDefault="00D10286" w:rsidP="00DD2D50">
            <w:pPr>
              <w:jc w:val="right"/>
              <w:rPr>
                <w:rFonts w:ascii="Arial" w:hAnsi="Arial" w:cs="Arial"/>
                <w:b/>
                <w:bCs/>
                <w:color w:val="000000" w:themeColor="text1"/>
                <w:sz w:val="17"/>
                <w:szCs w:val="17"/>
              </w:rPr>
            </w:pPr>
          </w:p>
        </w:tc>
      </w:tr>
      <w:tr w:rsidR="00D10286" w:rsidRPr="00E21596" w14:paraId="4D075064" w14:textId="77777777" w:rsidTr="00DD2D50">
        <w:trPr>
          <w:trHeight w:val="319"/>
        </w:trPr>
        <w:tc>
          <w:tcPr>
            <w:tcW w:w="1843" w:type="dxa"/>
            <w:tcBorders>
              <w:top w:val="nil"/>
              <w:left w:val="nil"/>
              <w:bottom w:val="nil"/>
              <w:right w:val="nil"/>
            </w:tcBorders>
            <w:shd w:val="clear" w:color="auto" w:fill="auto"/>
            <w:noWrap/>
            <w:vAlign w:val="bottom"/>
            <w:hideMark/>
          </w:tcPr>
          <w:p w14:paraId="70E5F27E" w14:textId="77777777" w:rsidR="00D10286" w:rsidRPr="004B4498" w:rsidRDefault="00D10286" w:rsidP="00DD2D50">
            <w:pPr>
              <w:rPr>
                <w:rFonts w:ascii="Arial" w:hAnsi="Arial" w:cs="Arial"/>
                <w:color w:val="000000" w:themeColor="text1"/>
                <w:sz w:val="17"/>
                <w:szCs w:val="17"/>
              </w:rPr>
            </w:pPr>
            <w:r w:rsidRPr="004B4498">
              <w:rPr>
                <w:rFonts w:ascii="Arial" w:hAnsi="Arial" w:cs="Arial"/>
                <w:color w:val="000000" w:themeColor="text1"/>
                <w:sz w:val="17"/>
                <w:szCs w:val="17"/>
              </w:rPr>
              <w:t>Bruto iznos</w:t>
            </w:r>
          </w:p>
        </w:tc>
        <w:tc>
          <w:tcPr>
            <w:tcW w:w="992" w:type="dxa"/>
            <w:tcBorders>
              <w:top w:val="nil"/>
              <w:left w:val="nil"/>
              <w:bottom w:val="nil"/>
              <w:right w:val="nil"/>
            </w:tcBorders>
            <w:shd w:val="clear" w:color="auto" w:fill="auto"/>
            <w:noWrap/>
            <w:vAlign w:val="bottom"/>
          </w:tcPr>
          <w:p w14:paraId="4094BD97" w14:textId="77777777" w:rsidR="00D10286" w:rsidRPr="004B4498" w:rsidRDefault="00D10286" w:rsidP="00DD2D50">
            <w:pPr>
              <w:jc w:val="right"/>
              <w:rPr>
                <w:rFonts w:ascii="Arial" w:hAnsi="Arial" w:cs="Arial"/>
                <w:color w:val="000000" w:themeColor="text1"/>
                <w:sz w:val="17"/>
                <w:szCs w:val="17"/>
              </w:rPr>
            </w:pPr>
            <w:r w:rsidRPr="0091098E">
              <w:rPr>
                <w:rFonts w:ascii="Arial" w:hAnsi="Arial" w:cs="Arial"/>
                <w:color w:val="000000" w:themeColor="text1"/>
                <w:sz w:val="17"/>
                <w:szCs w:val="17"/>
              </w:rPr>
              <w:t>71.982</w:t>
            </w:r>
          </w:p>
        </w:tc>
        <w:tc>
          <w:tcPr>
            <w:tcW w:w="992" w:type="dxa"/>
            <w:tcBorders>
              <w:top w:val="nil"/>
              <w:left w:val="nil"/>
              <w:bottom w:val="nil"/>
              <w:right w:val="nil"/>
            </w:tcBorders>
            <w:shd w:val="clear" w:color="auto" w:fill="auto"/>
            <w:noWrap/>
            <w:vAlign w:val="bottom"/>
          </w:tcPr>
          <w:p w14:paraId="253A2066" w14:textId="77777777" w:rsidR="00D10286" w:rsidRPr="004B4498" w:rsidRDefault="00D10286" w:rsidP="00DD2D50">
            <w:pPr>
              <w:jc w:val="right"/>
              <w:rPr>
                <w:rFonts w:ascii="Arial" w:hAnsi="Arial" w:cs="Arial"/>
                <w:color w:val="000000" w:themeColor="text1"/>
                <w:sz w:val="17"/>
                <w:szCs w:val="17"/>
              </w:rPr>
            </w:pPr>
            <w:r>
              <w:rPr>
                <w:rFonts w:ascii="Arial" w:hAnsi="Arial" w:cs="Arial"/>
                <w:color w:val="000000" w:themeColor="text1"/>
                <w:sz w:val="17"/>
                <w:szCs w:val="17"/>
              </w:rPr>
              <w:t>-</w:t>
            </w:r>
          </w:p>
        </w:tc>
        <w:tc>
          <w:tcPr>
            <w:tcW w:w="992" w:type="dxa"/>
            <w:tcBorders>
              <w:top w:val="nil"/>
              <w:left w:val="nil"/>
              <w:bottom w:val="nil"/>
              <w:right w:val="nil"/>
            </w:tcBorders>
            <w:shd w:val="clear" w:color="auto" w:fill="auto"/>
            <w:noWrap/>
            <w:vAlign w:val="bottom"/>
          </w:tcPr>
          <w:p w14:paraId="41F9BB07" w14:textId="77777777" w:rsidR="00D10286" w:rsidRPr="004B4498" w:rsidRDefault="00D10286" w:rsidP="00DD2D50">
            <w:pPr>
              <w:jc w:val="right"/>
              <w:rPr>
                <w:rFonts w:ascii="Arial" w:hAnsi="Arial" w:cs="Arial"/>
                <w:color w:val="000000" w:themeColor="text1"/>
                <w:sz w:val="17"/>
                <w:szCs w:val="17"/>
              </w:rPr>
            </w:pPr>
            <w:r>
              <w:rPr>
                <w:rFonts w:ascii="Arial" w:hAnsi="Arial" w:cs="Arial"/>
                <w:color w:val="000000" w:themeColor="text1"/>
                <w:sz w:val="17"/>
                <w:szCs w:val="17"/>
              </w:rPr>
              <w:t>-</w:t>
            </w:r>
          </w:p>
        </w:tc>
        <w:tc>
          <w:tcPr>
            <w:tcW w:w="992" w:type="dxa"/>
            <w:tcBorders>
              <w:top w:val="nil"/>
              <w:left w:val="nil"/>
              <w:bottom w:val="nil"/>
              <w:right w:val="nil"/>
            </w:tcBorders>
            <w:shd w:val="clear" w:color="auto" w:fill="auto"/>
            <w:noWrap/>
            <w:vAlign w:val="bottom"/>
          </w:tcPr>
          <w:p w14:paraId="2488CA72" w14:textId="77777777" w:rsidR="00D10286" w:rsidRPr="0091098E" w:rsidRDefault="00D10286" w:rsidP="00DD2D50">
            <w:pPr>
              <w:jc w:val="right"/>
              <w:rPr>
                <w:rFonts w:ascii="Arial" w:hAnsi="Arial" w:cs="Arial"/>
                <w:b/>
                <w:bCs/>
                <w:color w:val="000000" w:themeColor="text1"/>
                <w:sz w:val="17"/>
                <w:szCs w:val="17"/>
              </w:rPr>
            </w:pPr>
            <w:r w:rsidRPr="00F959D0">
              <w:rPr>
                <w:rFonts w:ascii="Arial" w:hAnsi="Arial" w:cs="Arial"/>
                <w:b/>
                <w:bCs/>
                <w:color w:val="000000" w:themeColor="text1"/>
                <w:sz w:val="17"/>
                <w:szCs w:val="17"/>
              </w:rPr>
              <w:t>71.982</w:t>
            </w:r>
          </w:p>
        </w:tc>
        <w:tc>
          <w:tcPr>
            <w:tcW w:w="992" w:type="dxa"/>
            <w:tcBorders>
              <w:top w:val="nil"/>
              <w:left w:val="nil"/>
              <w:bottom w:val="nil"/>
              <w:right w:val="nil"/>
            </w:tcBorders>
            <w:shd w:val="clear" w:color="auto" w:fill="auto"/>
            <w:noWrap/>
            <w:vAlign w:val="bottom"/>
          </w:tcPr>
          <w:p w14:paraId="2ECB3528" w14:textId="77777777" w:rsidR="00D10286" w:rsidRPr="004B4498" w:rsidRDefault="00D10286" w:rsidP="00DD2D50">
            <w:pPr>
              <w:jc w:val="right"/>
              <w:rPr>
                <w:rFonts w:ascii="Arial" w:hAnsi="Arial" w:cs="Arial"/>
                <w:color w:val="000000" w:themeColor="text1"/>
                <w:sz w:val="17"/>
                <w:szCs w:val="17"/>
              </w:rPr>
            </w:pPr>
            <w:r w:rsidRPr="00F959D0">
              <w:rPr>
                <w:rFonts w:ascii="Arial" w:hAnsi="Arial" w:cs="Arial"/>
                <w:color w:val="000000" w:themeColor="text1"/>
                <w:sz w:val="17"/>
                <w:szCs w:val="17"/>
              </w:rPr>
              <w:t xml:space="preserve"> 69.674 </w:t>
            </w:r>
          </w:p>
        </w:tc>
        <w:tc>
          <w:tcPr>
            <w:tcW w:w="992" w:type="dxa"/>
            <w:tcBorders>
              <w:top w:val="nil"/>
              <w:left w:val="nil"/>
              <w:bottom w:val="nil"/>
              <w:right w:val="nil"/>
            </w:tcBorders>
            <w:shd w:val="clear" w:color="auto" w:fill="auto"/>
            <w:noWrap/>
            <w:vAlign w:val="bottom"/>
          </w:tcPr>
          <w:p w14:paraId="44C30CC8" w14:textId="77777777" w:rsidR="00D10286" w:rsidRPr="004B4498" w:rsidRDefault="00D10286" w:rsidP="00DD2D50">
            <w:pPr>
              <w:jc w:val="right"/>
              <w:rPr>
                <w:rFonts w:ascii="Arial" w:hAnsi="Arial" w:cs="Arial"/>
                <w:color w:val="000000" w:themeColor="text1"/>
                <w:sz w:val="17"/>
                <w:szCs w:val="17"/>
              </w:rPr>
            </w:pPr>
            <w:r w:rsidRPr="00F959D0">
              <w:rPr>
                <w:rFonts w:ascii="Arial" w:hAnsi="Arial" w:cs="Arial"/>
                <w:color w:val="000000" w:themeColor="text1"/>
                <w:sz w:val="17"/>
                <w:szCs w:val="17"/>
              </w:rPr>
              <w:t xml:space="preserve"> - </w:t>
            </w:r>
          </w:p>
        </w:tc>
        <w:tc>
          <w:tcPr>
            <w:tcW w:w="992" w:type="dxa"/>
            <w:tcBorders>
              <w:top w:val="nil"/>
              <w:left w:val="nil"/>
              <w:bottom w:val="nil"/>
              <w:right w:val="nil"/>
            </w:tcBorders>
            <w:shd w:val="clear" w:color="auto" w:fill="auto"/>
            <w:noWrap/>
            <w:vAlign w:val="bottom"/>
          </w:tcPr>
          <w:p w14:paraId="09CE38EA" w14:textId="77777777" w:rsidR="00D10286" w:rsidRPr="004B4498" w:rsidRDefault="00D10286" w:rsidP="00DD2D50">
            <w:pPr>
              <w:jc w:val="right"/>
              <w:rPr>
                <w:rFonts w:ascii="Arial" w:hAnsi="Arial" w:cs="Arial"/>
                <w:color w:val="000000" w:themeColor="text1"/>
                <w:sz w:val="17"/>
                <w:szCs w:val="17"/>
              </w:rPr>
            </w:pPr>
            <w:r w:rsidRPr="00F959D0">
              <w:rPr>
                <w:rFonts w:ascii="Arial" w:hAnsi="Arial" w:cs="Arial"/>
                <w:color w:val="000000" w:themeColor="text1"/>
                <w:sz w:val="17"/>
                <w:szCs w:val="17"/>
              </w:rPr>
              <w:t xml:space="preserve"> - </w:t>
            </w:r>
          </w:p>
        </w:tc>
        <w:tc>
          <w:tcPr>
            <w:tcW w:w="992" w:type="dxa"/>
            <w:tcBorders>
              <w:top w:val="nil"/>
              <w:left w:val="nil"/>
              <w:bottom w:val="nil"/>
              <w:right w:val="nil"/>
            </w:tcBorders>
            <w:shd w:val="clear" w:color="auto" w:fill="auto"/>
            <w:noWrap/>
            <w:vAlign w:val="bottom"/>
          </w:tcPr>
          <w:p w14:paraId="476A1DD5" w14:textId="77777777" w:rsidR="00D10286" w:rsidRPr="008F0B09" w:rsidRDefault="00D10286" w:rsidP="00DD2D50">
            <w:pPr>
              <w:jc w:val="right"/>
              <w:rPr>
                <w:rFonts w:ascii="Arial" w:hAnsi="Arial" w:cs="Arial"/>
                <w:b/>
                <w:bCs/>
                <w:color w:val="000000" w:themeColor="text1"/>
                <w:sz w:val="17"/>
                <w:szCs w:val="17"/>
              </w:rPr>
            </w:pPr>
            <w:r w:rsidRPr="00F959D0">
              <w:rPr>
                <w:rFonts w:ascii="Arial" w:hAnsi="Arial" w:cs="Arial"/>
                <w:b/>
                <w:bCs/>
                <w:color w:val="000000" w:themeColor="text1"/>
                <w:sz w:val="17"/>
                <w:szCs w:val="17"/>
              </w:rPr>
              <w:t xml:space="preserve"> 69.674 </w:t>
            </w:r>
          </w:p>
        </w:tc>
      </w:tr>
      <w:tr w:rsidR="00D10286" w:rsidRPr="00E21596" w14:paraId="4DF2A872" w14:textId="77777777" w:rsidTr="00DD2D50">
        <w:trPr>
          <w:trHeight w:val="324"/>
        </w:trPr>
        <w:tc>
          <w:tcPr>
            <w:tcW w:w="1843" w:type="dxa"/>
            <w:tcBorders>
              <w:top w:val="nil"/>
              <w:left w:val="nil"/>
              <w:bottom w:val="nil"/>
              <w:right w:val="nil"/>
            </w:tcBorders>
            <w:shd w:val="clear" w:color="auto" w:fill="auto"/>
            <w:noWrap/>
            <w:vAlign w:val="bottom"/>
            <w:hideMark/>
          </w:tcPr>
          <w:p w14:paraId="2CA3E844" w14:textId="77777777" w:rsidR="00D10286" w:rsidRPr="004B4498" w:rsidRDefault="00D10286" w:rsidP="00DD2D50">
            <w:pPr>
              <w:rPr>
                <w:rFonts w:ascii="Arial" w:hAnsi="Arial" w:cs="Arial"/>
                <w:color w:val="000000" w:themeColor="text1"/>
                <w:sz w:val="17"/>
                <w:szCs w:val="17"/>
              </w:rPr>
            </w:pPr>
            <w:r w:rsidRPr="004B4498">
              <w:rPr>
                <w:rFonts w:ascii="Arial" w:hAnsi="Arial" w:cs="Arial"/>
                <w:color w:val="000000" w:themeColor="text1"/>
                <w:sz w:val="17"/>
                <w:szCs w:val="17"/>
              </w:rPr>
              <w:t>Rezerviranja</w:t>
            </w:r>
          </w:p>
        </w:tc>
        <w:tc>
          <w:tcPr>
            <w:tcW w:w="992" w:type="dxa"/>
            <w:tcBorders>
              <w:top w:val="nil"/>
              <w:left w:val="nil"/>
              <w:bottom w:val="nil"/>
              <w:right w:val="nil"/>
            </w:tcBorders>
            <w:shd w:val="clear" w:color="auto" w:fill="auto"/>
            <w:noWrap/>
            <w:vAlign w:val="bottom"/>
          </w:tcPr>
          <w:p w14:paraId="27124DAC" w14:textId="77777777" w:rsidR="00D10286" w:rsidRPr="004B4498" w:rsidRDefault="00D10286" w:rsidP="00DD2D50">
            <w:pPr>
              <w:jc w:val="right"/>
              <w:rPr>
                <w:rFonts w:ascii="Arial" w:hAnsi="Arial" w:cs="Arial"/>
                <w:color w:val="000000" w:themeColor="text1"/>
                <w:sz w:val="17"/>
                <w:szCs w:val="17"/>
              </w:rPr>
            </w:pPr>
            <w:r w:rsidRPr="0091098E">
              <w:rPr>
                <w:rFonts w:ascii="Arial" w:hAnsi="Arial" w:cs="Arial"/>
                <w:color w:val="000000" w:themeColor="text1"/>
                <w:sz w:val="17"/>
                <w:szCs w:val="17"/>
              </w:rPr>
              <w:t>(221)</w:t>
            </w:r>
          </w:p>
        </w:tc>
        <w:tc>
          <w:tcPr>
            <w:tcW w:w="992" w:type="dxa"/>
            <w:tcBorders>
              <w:top w:val="nil"/>
              <w:left w:val="nil"/>
              <w:bottom w:val="nil"/>
              <w:right w:val="nil"/>
            </w:tcBorders>
            <w:shd w:val="clear" w:color="auto" w:fill="auto"/>
            <w:noWrap/>
            <w:vAlign w:val="bottom"/>
          </w:tcPr>
          <w:p w14:paraId="043A9894" w14:textId="77777777" w:rsidR="00D10286" w:rsidRPr="004B4498" w:rsidRDefault="00D10286" w:rsidP="00DD2D50">
            <w:pPr>
              <w:jc w:val="right"/>
              <w:rPr>
                <w:rFonts w:ascii="Arial" w:hAnsi="Arial" w:cs="Arial"/>
                <w:color w:val="000000" w:themeColor="text1"/>
                <w:sz w:val="17"/>
                <w:szCs w:val="17"/>
              </w:rPr>
            </w:pPr>
            <w:r>
              <w:rPr>
                <w:rFonts w:ascii="Arial" w:hAnsi="Arial" w:cs="Arial"/>
                <w:color w:val="000000" w:themeColor="text1"/>
                <w:sz w:val="17"/>
                <w:szCs w:val="17"/>
              </w:rPr>
              <w:t>-</w:t>
            </w:r>
          </w:p>
        </w:tc>
        <w:tc>
          <w:tcPr>
            <w:tcW w:w="992" w:type="dxa"/>
            <w:tcBorders>
              <w:top w:val="nil"/>
              <w:left w:val="nil"/>
              <w:bottom w:val="nil"/>
              <w:right w:val="nil"/>
            </w:tcBorders>
            <w:shd w:val="clear" w:color="auto" w:fill="auto"/>
            <w:noWrap/>
            <w:vAlign w:val="bottom"/>
          </w:tcPr>
          <w:p w14:paraId="56FC181E" w14:textId="77777777" w:rsidR="00D10286" w:rsidRPr="004B4498" w:rsidRDefault="00D10286" w:rsidP="00DD2D50">
            <w:pPr>
              <w:jc w:val="right"/>
              <w:rPr>
                <w:rFonts w:ascii="Arial" w:hAnsi="Arial" w:cs="Arial"/>
                <w:color w:val="000000" w:themeColor="text1"/>
                <w:sz w:val="17"/>
                <w:szCs w:val="17"/>
              </w:rPr>
            </w:pPr>
            <w:r>
              <w:rPr>
                <w:rFonts w:ascii="Arial" w:hAnsi="Arial" w:cs="Arial"/>
                <w:color w:val="000000" w:themeColor="text1"/>
                <w:sz w:val="17"/>
                <w:szCs w:val="17"/>
              </w:rPr>
              <w:t>-</w:t>
            </w:r>
          </w:p>
        </w:tc>
        <w:tc>
          <w:tcPr>
            <w:tcW w:w="992" w:type="dxa"/>
            <w:tcBorders>
              <w:top w:val="nil"/>
              <w:left w:val="nil"/>
              <w:bottom w:val="nil"/>
              <w:right w:val="nil"/>
            </w:tcBorders>
            <w:shd w:val="clear" w:color="auto" w:fill="auto"/>
            <w:noWrap/>
            <w:vAlign w:val="bottom"/>
          </w:tcPr>
          <w:p w14:paraId="20361323" w14:textId="77777777" w:rsidR="00D10286" w:rsidRPr="0091098E" w:rsidRDefault="00D10286" w:rsidP="00DD2D50">
            <w:pPr>
              <w:jc w:val="right"/>
              <w:rPr>
                <w:rFonts w:ascii="Arial" w:hAnsi="Arial" w:cs="Arial"/>
                <w:b/>
                <w:bCs/>
                <w:color w:val="000000" w:themeColor="text1"/>
                <w:sz w:val="17"/>
                <w:szCs w:val="17"/>
              </w:rPr>
            </w:pPr>
            <w:r w:rsidRPr="00F959D0">
              <w:rPr>
                <w:rFonts w:ascii="Arial" w:hAnsi="Arial" w:cs="Arial"/>
                <w:b/>
                <w:bCs/>
                <w:color w:val="000000" w:themeColor="text1"/>
                <w:sz w:val="17"/>
                <w:szCs w:val="17"/>
              </w:rPr>
              <w:t>(221)</w:t>
            </w:r>
          </w:p>
        </w:tc>
        <w:tc>
          <w:tcPr>
            <w:tcW w:w="992" w:type="dxa"/>
            <w:tcBorders>
              <w:top w:val="nil"/>
              <w:left w:val="nil"/>
              <w:bottom w:val="nil"/>
              <w:right w:val="nil"/>
            </w:tcBorders>
            <w:shd w:val="clear" w:color="auto" w:fill="auto"/>
            <w:noWrap/>
            <w:vAlign w:val="bottom"/>
          </w:tcPr>
          <w:p w14:paraId="5588F031" w14:textId="77777777" w:rsidR="00D10286" w:rsidRPr="004B4498" w:rsidRDefault="00D10286" w:rsidP="00DD2D50">
            <w:pPr>
              <w:jc w:val="right"/>
              <w:rPr>
                <w:rFonts w:ascii="Arial" w:hAnsi="Arial" w:cs="Arial"/>
                <w:color w:val="000000" w:themeColor="text1"/>
                <w:sz w:val="17"/>
                <w:szCs w:val="17"/>
              </w:rPr>
            </w:pPr>
            <w:r w:rsidRPr="00F959D0">
              <w:rPr>
                <w:rFonts w:ascii="Arial" w:hAnsi="Arial" w:cs="Arial"/>
                <w:color w:val="000000" w:themeColor="text1"/>
                <w:sz w:val="17"/>
                <w:szCs w:val="17"/>
              </w:rPr>
              <w:t xml:space="preserve"> (218)</w:t>
            </w:r>
          </w:p>
        </w:tc>
        <w:tc>
          <w:tcPr>
            <w:tcW w:w="992" w:type="dxa"/>
            <w:tcBorders>
              <w:top w:val="nil"/>
              <w:left w:val="nil"/>
              <w:bottom w:val="nil"/>
              <w:right w:val="nil"/>
            </w:tcBorders>
            <w:shd w:val="clear" w:color="auto" w:fill="auto"/>
            <w:noWrap/>
            <w:vAlign w:val="bottom"/>
          </w:tcPr>
          <w:p w14:paraId="017376C6" w14:textId="77777777" w:rsidR="00D10286" w:rsidRPr="004B4498" w:rsidRDefault="00D10286" w:rsidP="00DD2D50">
            <w:pPr>
              <w:jc w:val="right"/>
              <w:rPr>
                <w:rFonts w:ascii="Arial" w:hAnsi="Arial" w:cs="Arial"/>
                <w:color w:val="000000" w:themeColor="text1"/>
                <w:sz w:val="17"/>
                <w:szCs w:val="17"/>
              </w:rPr>
            </w:pPr>
            <w:r w:rsidRPr="00F959D0">
              <w:rPr>
                <w:rFonts w:ascii="Arial" w:hAnsi="Arial" w:cs="Arial"/>
                <w:color w:val="000000" w:themeColor="text1"/>
                <w:sz w:val="17"/>
                <w:szCs w:val="17"/>
              </w:rPr>
              <w:t xml:space="preserve"> - </w:t>
            </w:r>
          </w:p>
        </w:tc>
        <w:tc>
          <w:tcPr>
            <w:tcW w:w="992" w:type="dxa"/>
            <w:tcBorders>
              <w:top w:val="nil"/>
              <w:left w:val="nil"/>
              <w:bottom w:val="nil"/>
              <w:right w:val="nil"/>
            </w:tcBorders>
            <w:shd w:val="clear" w:color="auto" w:fill="auto"/>
            <w:noWrap/>
            <w:vAlign w:val="bottom"/>
          </w:tcPr>
          <w:p w14:paraId="45A03DC8" w14:textId="77777777" w:rsidR="00D10286" w:rsidRPr="004B4498" w:rsidRDefault="00D10286" w:rsidP="00DD2D50">
            <w:pPr>
              <w:jc w:val="right"/>
              <w:rPr>
                <w:rFonts w:ascii="Arial" w:hAnsi="Arial" w:cs="Arial"/>
                <w:color w:val="000000" w:themeColor="text1"/>
                <w:sz w:val="17"/>
                <w:szCs w:val="17"/>
              </w:rPr>
            </w:pPr>
            <w:r w:rsidRPr="00F959D0">
              <w:rPr>
                <w:rFonts w:ascii="Arial" w:hAnsi="Arial" w:cs="Arial"/>
                <w:color w:val="000000" w:themeColor="text1"/>
                <w:sz w:val="17"/>
                <w:szCs w:val="17"/>
              </w:rPr>
              <w:t xml:space="preserve"> - </w:t>
            </w:r>
          </w:p>
        </w:tc>
        <w:tc>
          <w:tcPr>
            <w:tcW w:w="992" w:type="dxa"/>
            <w:tcBorders>
              <w:top w:val="nil"/>
              <w:left w:val="nil"/>
              <w:bottom w:val="nil"/>
              <w:right w:val="nil"/>
            </w:tcBorders>
            <w:shd w:val="clear" w:color="auto" w:fill="auto"/>
            <w:noWrap/>
            <w:vAlign w:val="bottom"/>
          </w:tcPr>
          <w:p w14:paraId="2F6EEFCF" w14:textId="77777777" w:rsidR="00D10286" w:rsidRPr="008F0B09" w:rsidRDefault="00D10286" w:rsidP="00DD2D50">
            <w:pPr>
              <w:jc w:val="right"/>
              <w:rPr>
                <w:rFonts w:ascii="Arial" w:hAnsi="Arial" w:cs="Arial"/>
                <w:b/>
                <w:bCs/>
                <w:color w:val="000000" w:themeColor="text1"/>
                <w:sz w:val="17"/>
                <w:szCs w:val="17"/>
              </w:rPr>
            </w:pPr>
            <w:r w:rsidRPr="00F959D0">
              <w:rPr>
                <w:rFonts w:ascii="Arial" w:hAnsi="Arial" w:cs="Arial"/>
                <w:b/>
                <w:bCs/>
                <w:color w:val="000000" w:themeColor="text1"/>
                <w:sz w:val="17"/>
                <w:szCs w:val="17"/>
              </w:rPr>
              <w:t xml:space="preserve"> (218)</w:t>
            </w:r>
          </w:p>
        </w:tc>
      </w:tr>
      <w:tr w:rsidR="00D10286" w:rsidRPr="00E21596" w14:paraId="0C2FC9DC" w14:textId="77777777" w:rsidTr="00DD2D50">
        <w:trPr>
          <w:trHeight w:val="548"/>
        </w:trPr>
        <w:tc>
          <w:tcPr>
            <w:tcW w:w="1843" w:type="dxa"/>
            <w:tcBorders>
              <w:top w:val="nil"/>
              <w:left w:val="nil"/>
              <w:bottom w:val="nil"/>
              <w:right w:val="nil"/>
            </w:tcBorders>
            <w:shd w:val="clear" w:color="auto" w:fill="auto"/>
            <w:noWrap/>
            <w:vAlign w:val="bottom"/>
            <w:hideMark/>
          </w:tcPr>
          <w:p w14:paraId="71350BDB" w14:textId="77777777" w:rsidR="00D10286" w:rsidRPr="004B4498" w:rsidRDefault="00D10286" w:rsidP="00DD2D50">
            <w:pPr>
              <w:rPr>
                <w:rFonts w:ascii="Arial" w:hAnsi="Arial" w:cs="Arial"/>
                <w:b/>
                <w:bCs/>
                <w:color w:val="000000" w:themeColor="text1"/>
                <w:sz w:val="17"/>
                <w:szCs w:val="17"/>
              </w:rPr>
            </w:pPr>
            <w:r w:rsidRPr="004B4498">
              <w:rPr>
                <w:rFonts w:ascii="Arial" w:hAnsi="Arial" w:cs="Arial"/>
                <w:b/>
                <w:bCs/>
                <w:color w:val="000000" w:themeColor="text1"/>
                <w:sz w:val="17"/>
                <w:szCs w:val="17"/>
              </w:rPr>
              <w:t xml:space="preserve">Stanje na dan </w:t>
            </w:r>
          </w:p>
          <w:p w14:paraId="1B14C6B9" w14:textId="77777777" w:rsidR="00D10286" w:rsidRPr="004B4498" w:rsidRDefault="00D10286" w:rsidP="00DD2D50">
            <w:pPr>
              <w:rPr>
                <w:rFonts w:ascii="Arial" w:hAnsi="Arial" w:cs="Arial"/>
                <w:b/>
                <w:bCs/>
                <w:color w:val="000000" w:themeColor="text1"/>
                <w:sz w:val="17"/>
                <w:szCs w:val="17"/>
              </w:rPr>
            </w:pPr>
            <w:r w:rsidRPr="004B4498">
              <w:rPr>
                <w:rFonts w:ascii="Arial" w:hAnsi="Arial" w:cs="Arial"/>
                <w:b/>
                <w:bCs/>
                <w:color w:val="000000" w:themeColor="text1"/>
                <w:sz w:val="17"/>
                <w:szCs w:val="17"/>
              </w:rPr>
              <w:t>31. prosinca 202</w:t>
            </w:r>
            <w:r>
              <w:rPr>
                <w:rFonts w:ascii="Arial" w:hAnsi="Arial" w:cs="Arial"/>
                <w:b/>
                <w:bCs/>
                <w:color w:val="000000" w:themeColor="text1"/>
                <w:sz w:val="17"/>
                <w:szCs w:val="17"/>
              </w:rPr>
              <w:t>3</w:t>
            </w:r>
            <w:r w:rsidRPr="004B4498">
              <w:rPr>
                <w:rFonts w:ascii="Arial" w:hAnsi="Arial" w:cs="Arial"/>
                <w:b/>
                <w:bCs/>
                <w:color w:val="000000" w:themeColor="text1"/>
                <w:sz w:val="17"/>
                <w:szCs w:val="17"/>
              </w:rPr>
              <w:t xml:space="preserve">.   </w:t>
            </w:r>
          </w:p>
        </w:tc>
        <w:tc>
          <w:tcPr>
            <w:tcW w:w="992" w:type="dxa"/>
            <w:tcBorders>
              <w:top w:val="single" w:sz="4" w:space="0" w:color="auto"/>
              <w:left w:val="nil"/>
              <w:bottom w:val="single" w:sz="12" w:space="0" w:color="auto"/>
              <w:right w:val="nil"/>
            </w:tcBorders>
            <w:shd w:val="clear" w:color="auto" w:fill="auto"/>
            <w:noWrap/>
            <w:vAlign w:val="bottom"/>
          </w:tcPr>
          <w:p w14:paraId="07186BEC" w14:textId="77777777" w:rsidR="00D10286" w:rsidRPr="00A3731F" w:rsidRDefault="00D10286" w:rsidP="00DD2D50">
            <w:pPr>
              <w:jc w:val="right"/>
              <w:rPr>
                <w:rFonts w:ascii="Arial" w:hAnsi="Arial" w:cs="Arial"/>
                <w:b/>
                <w:bCs/>
                <w:color w:val="000000" w:themeColor="text1"/>
                <w:sz w:val="17"/>
                <w:szCs w:val="17"/>
              </w:rPr>
            </w:pPr>
            <w:r w:rsidRPr="0091098E">
              <w:rPr>
                <w:rFonts w:ascii="Arial" w:hAnsi="Arial" w:cs="Arial"/>
                <w:b/>
                <w:bCs/>
                <w:color w:val="000000" w:themeColor="text1"/>
                <w:sz w:val="17"/>
                <w:szCs w:val="17"/>
              </w:rPr>
              <w:t>71.761</w:t>
            </w:r>
          </w:p>
        </w:tc>
        <w:tc>
          <w:tcPr>
            <w:tcW w:w="992" w:type="dxa"/>
            <w:tcBorders>
              <w:top w:val="single" w:sz="4" w:space="0" w:color="auto"/>
              <w:left w:val="nil"/>
              <w:bottom w:val="single" w:sz="12" w:space="0" w:color="auto"/>
              <w:right w:val="nil"/>
            </w:tcBorders>
            <w:shd w:val="clear" w:color="auto" w:fill="auto"/>
            <w:noWrap/>
            <w:vAlign w:val="bottom"/>
          </w:tcPr>
          <w:p w14:paraId="4EF0DF80" w14:textId="77777777" w:rsidR="00D10286" w:rsidRPr="004B4498" w:rsidRDefault="00D10286" w:rsidP="00DD2D50">
            <w:pPr>
              <w:jc w:val="right"/>
              <w:rPr>
                <w:rFonts w:ascii="Arial" w:hAnsi="Arial" w:cs="Arial"/>
                <w:b/>
                <w:bCs/>
                <w:color w:val="000000" w:themeColor="text1"/>
                <w:sz w:val="17"/>
                <w:szCs w:val="17"/>
              </w:rPr>
            </w:pPr>
            <w:r>
              <w:rPr>
                <w:rFonts w:ascii="Arial" w:hAnsi="Arial" w:cs="Arial"/>
                <w:b/>
                <w:bCs/>
                <w:color w:val="000000" w:themeColor="text1"/>
                <w:sz w:val="17"/>
                <w:szCs w:val="17"/>
              </w:rPr>
              <w:t>-</w:t>
            </w:r>
          </w:p>
        </w:tc>
        <w:tc>
          <w:tcPr>
            <w:tcW w:w="992" w:type="dxa"/>
            <w:tcBorders>
              <w:top w:val="single" w:sz="4" w:space="0" w:color="auto"/>
              <w:left w:val="nil"/>
              <w:bottom w:val="single" w:sz="12" w:space="0" w:color="auto"/>
              <w:right w:val="nil"/>
            </w:tcBorders>
            <w:shd w:val="clear" w:color="auto" w:fill="auto"/>
            <w:noWrap/>
            <w:vAlign w:val="bottom"/>
          </w:tcPr>
          <w:p w14:paraId="09BB1622" w14:textId="77777777" w:rsidR="00D10286" w:rsidRPr="004B4498" w:rsidRDefault="00D10286" w:rsidP="00DD2D50">
            <w:pPr>
              <w:jc w:val="right"/>
              <w:rPr>
                <w:rFonts w:ascii="Arial" w:hAnsi="Arial" w:cs="Arial"/>
                <w:b/>
                <w:bCs/>
                <w:color w:val="000000" w:themeColor="text1"/>
                <w:sz w:val="17"/>
                <w:szCs w:val="17"/>
              </w:rPr>
            </w:pPr>
            <w:r>
              <w:rPr>
                <w:rFonts w:ascii="Arial" w:hAnsi="Arial" w:cs="Arial"/>
                <w:b/>
                <w:bCs/>
                <w:color w:val="000000" w:themeColor="text1"/>
                <w:sz w:val="17"/>
                <w:szCs w:val="17"/>
              </w:rPr>
              <w:t>-</w:t>
            </w:r>
          </w:p>
        </w:tc>
        <w:tc>
          <w:tcPr>
            <w:tcW w:w="992" w:type="dxa"/>
            <w:tcBorders>
              <w:top w:val="single" w:sz="4" w:space="0" w:color="auto"/>
              <w:left w:val="nil"/>
              <w:bottom w:val="single" w:sz="12" w:space="0" w:color="auto"/>
              <w:right w:val="nil"/>
            </w:tcBorders>
            <w:shd w:val="clear" w:color="auto" w:fill="auto"/>
            <w:noWrap/>
            <w:vAlign w:val="bottom"/>
          </w:tcPr>
          <w:p w14:paraId="694CC7A7" w14:textId="77777777" w:rsidR="00D10286" w:rsidRPr="0091098E" w:rsidRDefault="00D10286" w:rsidP="00DD2D50">
            <w:pPr>
              <w:jc w:val="right"/>
              <w:rPr>
                <w:rFonts w:ascii="Arial" w:hAnsi="Arial" w:cs="Arial"/>
                <w:b/>
                <w:bCs/>
                <w:color w:val="000000" w:themeColor="text1"/>
                <w:sz w:val="17"/>
                <w:szCs w:val="17"/>
              </w:rPr>
            </w:pPr>
            <w:r w:rsidRPr="0091098E">
              <w:rPr>
                <w:rFonts w:ascii="Arial" w:hAnsi="Arial" w:cs="Arial"/>
                <w:b/>
                <w:bCs/>
                <w:color w:val="000000" w:themeColor="text1"/>
                <w:sz w:val="17"/>
                <w:szCs w:val="17"/>
              </w:rPr>
              <w:t>71.761</w:t>
            </w:r>
          </w:p>
        </w:tc>
        <w:tc>
          <w:tcPr>
            <w:tcW w:w="992" w:type="dxa"/>
            <w:tcBorders>
              <w:top w:val="single" w:sz="4" w:space="0" w:color="auto"/>
              <w:left w:val="nil"/>
              <w:bottom w:val="single" w:sz="12" w:space="0" w:color="auto"/>
              <w:right w:val="nil"/>
            </w:tcBorders>
            <w:shd w:val="clear" w:color="auto" w:fill="auto"/>
            <w:noWrap/>
            <w:vAlign w:val="bottom"/>
          </w:tcPr>
          <w:p w14:paraId="41943F70" w14:textId="77777777" w:rsidR="00D10286" w:rsidRPr="00E21596" w:rsidRDefault="00D10286" w:rsidP="00DD2D50">
            <w:pPr>
              <w:jc w:val="right"/>
              <w:rPr>
                <w:rFonts w:ascii="Arial" w:hAnsi="Arial" w:cs="Arial"/>
                <w:b/>
                <w:bCs/>
                <w:color w:val="000000" w:themeColor="text1"/>
                <w:sz w:val="17"/>
                <w:szCs w:val="17"/>
              </w:rPr>
            </w:pPr>
            <w:r w:rsidRPr="00F959D0">
              <w:rPr>
                <w:rFonts w:ascii="Arial" w:hAnsi="Arial" w:cs="Arial"/>
                <w:b/>
                <w:bCs/>
                <w:color w:val="000000" w:themeColor="text1"/>
                <w:sz w:val="17"/>
                <w:szCs w:val="17"/>
              </w:rPr>
              <w:t xml:space="preserve"> 69.456 </w:t>
            </w:r>
          </w:p>
        </w:tc>
        <w:tc>
          <w:tcPr>
            <w:tcW w:w="992" w:type="dxa"/>
            <w:tcBorders>
              <w:top w:val="single" w:sz="4" w:space="0" w:color="auto"/>
              <w:left w:val="nil"/>
              <w:bottom w:val="single" w:sz="12" w:space="0" w:color="auto"/>
              <w:right w:val="nil"/>
            </w:tcBorders>
            <w:shd w:val="clear" w:color="auto" w:fill="auto"/>
            <w:noWrap/>
            <w:vAlign w:val="bottom"/>
          </w:tcPr>
          <w:p w14:paraId="6F52897F" w14:textId="77777777" w:rsidR="00D10286" w:rsidRPr="00E21596" w:rsidRDefault="00D10286" w:rsidP="00DD2D50">
            <w:pPr>
              <w:jc w:val="right"/>
              <w:rPr>
                <w:rFonts w:ascii="Arial" w:hAnsi="Arial" w:cs="Arial"/>
                <w:b/>
                <w:bCs/>
                <w:color w:val="000000" w:themeColor="text1"/>
                <w:sz w:val="17"/>
                <w:szCs w:val="17"/>
              </w:rPr>
            </w:pPr>
            <w:r w:rsidRPr="00F959D0">
              <w:rPr>
                <w:rFonts w:ascii="Arial" w:hAnsi="Arial" w:cs="Arial"/>
                <w:b/>
                <w:bCs/>
                <w:color w:val="000000" w:themeColor="text1"/>
                <w:sz w:val="17"/>
                <w:szCs w:val="17"/>
              </w:rPr>
              <w:t xml:space="preserve"> - </w:t>
            </w:r>
          </w:p>
        </w:tc>
        <w:tc>
          <w:tcPr>
            <w:tcW w:w="992" w:type="dxa"/>
            <w:tcBorders>
              <w:top w:val="single" w:sz="4" w:space="0" w:color="auto"/>
              <w:left w:val="nil"/>
              <w:bottom w:val="single" w:sz="12" w:space="0" w:color="auto"/>
              <w:right w:val="nil"/>
            </w:tcBorders>
            <w:shd w:val="clear" w:color="auto" w:fill="auto"/>
            <w:noWrap/>
            <w:vAlign w:val="bottom"/>
          </w:tcPr>
          <w:p w14:paraId="4C71B6DC" w14:textId="77777777" w:rsidR="00D10286" w:rsidRPr="00E21596" w:rsidRDefault="00D10286" w:rsidP="00DD2D50">
            <w:pPr>
              <w:jc w:val="right"/>
              <w:rPr>
                <w:rFonts w:ascii="Arial" w:hAnsi="Arial" w:cs="Arial"/>
                <w:b/>
                <w:bCs/>
                <w:color w:val="000000" w:themeColor="text1"/>
                <w:sz w:val="17"/>
                <w:szCs w:val="17"/>
              </w:rPr>
            </w:pPr>
            <w:r w:rsidRPr="00F959D0">
              <w:rPr>
                <w:rFonts w:ascii="Arial" w:hAnsi="Arial" w:cs="Arial"/>
                <w:b/>
                <w:bCs/>
                <w:color w:val="000000" w:themeColor="text1"/>
                <w:sz w:val="17"/>
                <w:szCs w:val="17"/>
              </w:rPr>
              <w:t xml:space="preserve"> - </w:t>
            </w:r>
          </w:p>
        </w:tc>
        <w:tc>
          <w:tcPr>
            <w:tcW w:w="992" w:type="dxa"/>
            <w:tcBorders>
              <w:top w:val="single" w:sz="4" w:space="0" w:color="auto"/>
              <w:left w:val="nil"/>
              <w:bottom w:val="single" w:sz="12" w:space="0" w:color="auto"/>
              <w:right w:val="nil"/>
            </w:tcBorders>
            <w:shd w:val="clear" w:color="auto" w:fill="auto"/>
            <w:noWrap/>
            <w:vAlign w:val="bottom"/>
          </w:tcPr>
          <w:p w14:paraId="4180FB26" w14:textId="77777777" w:rsidR="00D10286" w:rsidRPr="00E21596" w:rsidRDefault="00D10286" w:rsidP="00DD2D50">
            <w:pPr>
              <w:jc w:val="right"/>
              <w:rPr>
                <w:rFonts w:ascii="Arial" w:hAnsi="Arial" w:cs="Arial"/>
                <w:b/>
                <w:bCs/>
                <w:color w:val="000000" w:themeColor="text1"/>
                <w:sz w:val="17"/>
                <w:szCs w:val="17"/>
              </w:rPr>
            </w:pPr>
            <w:r w:rsidRPr="00F959D0">
              <w:rPr>
                <w:rFonts w:ascii="Arial" w:hAnsi="Arial" w:cs="Arial"/>
                <w:b/>
                <w:bCs/>
                <w:color w:val="000000" w:themeColor="text1"/>
                <w:sz w:val="17"/>
                <w:szCs w:val="17"/>
              </w:rPr>
              <w:t xml:space="preserve"> 69.456 </w:t>
            </w:r>
          </w:p>
        </w:tc>
      </w:tr>
    </w:tbl>
    <w:p w14:paraId="78B3B3EC" w14:textId="3FAF2BFA" w:rsidR="00A73031" w:rsidRPr="00E759CE" w:rsidRDefault="00A73031" w:rsidP="00DE4AC9">
      <w:pPr>
        <w:keepNext/>
        <w:suppressAutoHyphens/>
        <w:autoSpaceDN w:val="0"/>
        <w:jc w:val="both"/>
        <w:outlineLvl w:val="0"/>
        <w:rPr>
          <w:rFonts w:ascii="Arial" w:eastAsia="Times New Roman" w:hAnsi="Arial" w:cs="Arial"/>
          <w:b/>
          <w:bCs/>
          <w:color w:val="000000" w:themeColor="text1"/>
          <w:sz w:val="20"/>
          <w:szCs w:val="20"/>
        </w:rPr>
      </w:pPr>
    </w:p>
    <w:p w14:paraId="3E36E745" w14:textId="7B63DB30" w:rsidR="005D5085" w:rsidRPr="003D1614" w:rsidRDefault="005D5085" w:rsidP="00DE4AC9">
      <w:pPr>
        <w:keepNext/>
        <w:suppressAutoHyphens/>
        <w:autoSpaceDN w:val="0"/>
        <w:jc w:val="both"/>
        <w:outlineLvl w:val="0"/>
        <w:rPr>
          <w:rFonts w:ascii="Arial" w:eastAsia="Times New Roman" w:hAnsi="Arial" w:cs="Arial"/>
          <w:bCs/>
          <w:color w:val="000000" w:themeColor="text1"/>
          <w:sz w:val="20"/>
          <w:szCs w:val="20"/>
        </w:rPr>
      </w:pPr>
    </w:p>
    <w:p w14:paraId="6F58AB03" w14:textId="77777777" w:rsidR="005D5085" w:rsidRPr="003D1614" w:rsidRDefault="005D5085" w:rsidP="00DE4AC9">
      <w:pPr>
        <w:keepNext/>
        <w:suppressAutoHyphens/>
        <w:autoSpaceDN w:val="0"/>
        <w:jc w:val="both"/>
        <w:outlineLvl w:val="0"/>
        <w:rPr>
          <w:rFonts w:ascii="Arial" w:eastAsia="Times New Roman" w:hAnsi="Arial" w:cs="Arial"/>
          <w:bCs/>
          <w:color w:val="000000" w:themeColor="text1"/>
          <w:sz w:val="20"/>
          <w:szCs w:val="20"/>
        </w:rPr>
        <w:sectPr w:rsidR="005D5085" w:rsidRPr="003D1614">
          <w:pgSz w:w="11906" w:h="16838"/>
          <w:pgMar w:top="1417" w:right="1417" w:bottom="1417" w:left="1417" w:header="708" w:footer="708" w:gutter="0"/>
          <w:cols w:space="708"/>
          <w:docGrid w:linePitch="360"/>
        </w:sectPr>
      </w:pPr>
    </w:p>
    <w:p w14:paraId="6CFE2752" w14:textId="77777777" w:rsidR="005D5085" w:rsidRPr="003D1614" w:rsidRDefault="005D5085" w:rsidP="005D5085">
      <w:pPr>
        <w:keepNext/>
        <w:suppressAutoHyphens/>
        <w:autoSpaceDN w:val="0"/>
        <w:jc w:val="both"/>
        <w:outlineLvl w:val="0"/>
        <w:rPr>
          <w:rFonts w:ascii="Arial" w:eastAsia="Times New Roman" w:hAnsi="Arial" w:cs="Arial"/>
          <w:b/>
          <w:bCs/>
          <w:color w:val="000000" w:themeColor="text1"/>
        </w:rPr>
      </w:pPr>
    </w:p>
    <w:p w14:paraId="6D37687A" w14:textId="4235EACE" w:rsidR="005D5085" w:rsidRPr="003D1614" w:rsidRDefault="005D5085" w:rsidP="005D5085">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10.</w:t>
      </w:r>
      <w:r w:rsidRPr="003D1614">
        <w:rPr>
          <w:rFonts w:ascii="Arial" w:eastAsia="Times New Roman" w:hAnsi="Arial" w:cs="Arial"/>
          <w:b/>
          <w:bCs/>
          <w:color w:val="000000" w:themeColor="text1"/>
          <w:sz w:val="20"/>
          <w:szCs w:val="20"/>
        </w:rPr>
        <w:tab/>
        <w:t>Depoziti kod drugih banaka (nastavak)</w:t>
      </w:r>
    </w:p>
    <w:p w14:paraId="01AFFB8C" w14:textId="77777777" w:rsidR="005D5085" w:rsidRPr="003D1614" w:rsidRDefault="005D5085" w:rsidP="005D5085">
      <w:pPr>
        <w:keepNext/>
        <w:suppressAutoHyphens/>
        <w:autoSpaceDN w:val="0"/>
        <w:jc w:val="both"/>
        <w:outlineLvl w:val="0"/>
        <w:rPr>
          <w:rFonts w:ascii="Arial" w:eastAsia="Times New Roman" w:hAnsi="Arial" w:cs="Arial"/>
          <w:b/>
          <w:bCs/>
          <w:color w:val="000000" w:themeColor="text1"/>
          <w:sz w:val="20"/>
          <w:szCs w:val="20"/>
        </w:rPr>
      </w:pPr>
    </w:p>
    <w:p w14:paraId="5751DAA3" w14:textId="77777777" w:rsidR="005D5085" w:rsidRPr="003D1614" w:rsidRDefault="005D5085" w:rsidP="005D5085">
      <w:pPr>
        <w:keepNext/>
        <w:suppressAutoHyphens/>
        <w:autoSpaceDN w:val="0"/>
        <w:spacing w:after="12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Promjene na rezerviranjima za očekivane gubitke po depozitima kod drugih banaka mogu se prikazati kako slijedi:</w:t>
      </w:r>
    </w:p>
    <w:tbl>
      <w:tblPr>
        <w:tblW w:w="5094" w:type="pct"/>
        <w:tblInd w:w="-142" w:type="dxa"/>
        <w:tblLook w:val="04A0" w:firstRow="1" w:lastRow="0" w:firstColumn="1" w:lastColumn="0" w:noHBand="0" w:noVBand="1"/>
      </w:tblPr>
      <w:tblGrid>
        <w:gridCol w:w="4707"/>
        <w:gridCol w:w="1134"/>
        <w:gridCol w:w="1134"/>
        <w:gridCol w:w="1134"/>
        <w:gridCol w:w="1134"/>
      </w:tblGrid>
      <w:tr w:rsidR="005D5085" w:rsidRPr="000116C5" w14:paraId="5F47CB3D" w14:textId="30ECFD1B" w:rsidTr="00D37128">
        <w:trPr>
          <w:trHeight w:val="243"/>
        </w:trPr>
        <w:tc>
          <w:tcPr>
            <w:tcW w:w="4707" w:type="dxa"/>
            <w:tcBorders>
              <w:top w:val="nil"/>
              <w:left w:val="nil"/>
              <w:bottom w:val="nil"/>
              <w:right w:val="nil"/>
            </w:tcBorders>
            <w:shd w:val="clear" w:color="auto" w:fill="auto"/>
            <w:noWrap/>
            <w:vAlign w:val="bottom"/>
            <w:hideMark/>
          </w:tcPr>
          <w:p w14:paraId="7A3D8292" w14:textId="77777777" w:rsidR="005D5085" w:rsidRPr="000116C5" w:rsidRDefault="005D5085" w:rsidP="005D5085">
            <w:pPr>
              <w:suppressAutoHyphens/>
              <w:autoSpaceDN w:val="0"/>
              <w:rPr>
                <w:rFonts w:ascii="Arial" w:eastAsia="Times New Roman" w:hAnsi="Arial" w:cs="Arial"/>
                <w:color w:val="000000" w:themeColor="text1"/>
                <w:sz w:val="18"/>
                <w:szCs w:val="18"/>
              </w:rPr>
            </w:pPr>
          </w:p>
        </w:tc>
        <w:tc>
          <w:tcPr>
            <w:tcW w:w="1134" w:type="dxa"/>
            <w:tcBorders>
              <w:top w:val="nil"/>
              <w:left w:val="nil"/>
              <w:bottom w:val="nil"/>
              <w:right w:val="nil"/>
            </w:tcBorders>
            <w:vAlign w:val="bottom"/>
          </w:tcPr>
          <w:p w14:paraId="24C70657" w14:textId="77777777" w:rsidR="005D5085" w:rsidRPr="000116C5" w:rsidRDefault="005D5085" w:rsidP="005D5085">
            <w:pPr>
              <w:suppressAutoHyphens/>
              <w:autoSpaceDN w:val="0"/>
              <w:jc w:val="right"/>
              <w:rPr>
                <w:rFonts w:ascii="Arial" w:eastAsia="Times New Roman" w:hAnsi="Arial" w:cs="Arial"/>
                <w:b/>
                <w:bCs/>
                <w:color w:val="000000" w:themeColor="text1"/>
                <w:sz w:val="18"/>
                <w:szCs w:val="18"/>
              </w:rPr>
            </w:pPr>
          </w:p>
        </w:tc>
        <w:tc>
          <w:tcPr>
            <w:tcW w:w="1134" w:type="dxa"/>
            <w:tcBorders>
              <w:top w:val="nil"/>
              <w:left w:val="nil"/>
              <w:bottom w:val="nil"/>
              <w:right w:val="nil"/>
            </w:tcBorders>
            <w:vAlign w:val="bottom"/>
          </w:tcPr>
          <w:p w14:paraId="024AEF48" w14:textId="77777777" w:rsidR="005D5085" w:rsidRPr="000116C5" w:rsidRDefault="005D5085" w:rsidP="005D5085">
            <w:pPr>
              <w:suppressAutoHyphens/>
              <w:autoSpaceDN w:val="0"/>
              <w:jc w:val="right"/>
              <w:rPr>
                <w:rFonts w:ascii="Arial" w:eastAsia="Times New Roman" w:hAnsi="Arial" w:cs="Arial"/>
                <w:b/>
                <w:bCs/>
                <w:color w:val="000000" w:themeColor="text1"/>
                <w:sz w:val="18"/>
                <w:szCs w:val="18"/>
              </w:rPr>
            </w:pPr>
            <w:r w:rsidRPr="000116C5">
              <w:rPr>
                <w:rFonts w:ascii="Arial" w:eastAsia="Times New Roman" w:hAnsi="Arial" w:cs="Arial"/>
                <w:b/>
                <w:bCs/>
                <w:color w:val="000000" w:themeColor="text1"/>
                <w:sz w:val="18"/>
                <w:szCs w:val="18"/>
              </w:rPr>
              <w:t>Grupa</w:t>
            </w:r>
          </w:p>
        </w:tc>
        <w:tc>
          <w:tcPr>
            <w:tcW w:w="1134" w:type="dxa"/>
            <w:tcBorders>
              <w:top w:val="nil"/>
              <w:left w:val="nil"/>
              <w:bottom w:val="nil"/>
              <w:right w:val="nil"/>
            </w:tcBorders>
            <w:shd w:val="clear" w:color="auto" w:fill="auto"/>
            <w:vAlign w:val="bottom"/>
          </w:tcPr>
          <w:p w14:paraId="0FCA4F10" w14:textId="4320CF3D" w:rsidR="005D5085" w:rsidRPr="000116C5" w:rsidRDefault="005D5085" w:rsidP="005D5085">
            <w:pPr>
              <w:suppressAutoHyphens/>
              <w:autoSpaceDN w:val="0"/>
              <w:jc w:val="right"/>
              <w:rPr>
                <w:rFonts w:ascii="Arial" w:eastAsia="Times New Roman" w:hAnsi="Arial" w:cs="Arial"/>
                <w:b/>
                <w:bCs/>
                <w:color w:val="000000" w:themeColor="text1"/>
                <w:sz w:val="18"/>
                <w:szCs w:val="18"/>
              </w:rPr>
            </w:pPr>
          </w:p>
        </w:tc>
        <w:tc>
          <w:tcPr>
            <w:tcW w:w="1134" w:type="dxa"/>
            <w:vAlign w:val="bottom"/>
          </w:tcPr>
          <w:p w14:paraId="0EB6B0C1" w14:textId="11A79B95" w:rsidR="005D5085" w:rsidRPr="000116C5" w:rsidRDefault="005D5085" w:rsidP="005D5085">
            <w:pPr>
              <w:suppressAutoHyphens/>
              <w:autoSpaceDN w:val="0"/>
              <w:jc w:val="right"/>
              <w:rPr>
                <w:rFonts w:ascii="Arial" w:eastAsia="Times New Roman" w:hAnsi="Arial" w:cs="Arial"/>
                <w:sz w:val="18"/>
                <w:szCs w:val="18"/>
              </w:rPr>
            </w:pPr>
            <w:r w:rsidRPr="000116C5">
              <w:rPr>
                <w:rFonts w:ascii="Arial" w:eastAsia="Times New Roman" w:hAnsi="Arial" w:cs="Arial"/>
                <w:b/>
                <w:bCs/>
                <w:color w:val="000000" w:themeColor="text1"/>
                <w:sz w:val="18"/>
                <w:szCs w:val="18"/>
              </w:rPr>
              <w:t>Banka</w:t>
            </w:r>
          </w:p>
        </w:tc>
      </w:tr>
      <w:tr w:rsidR="005D5085" w:rsidRPr="000116C5" w14:paraId="0397035A" w14:textId="77777777" w:rsidTr="00D37128">
        <w:trPr>
          <w:trHeight w:val="243"/>
        </w:trPr>
        <w:tc>
          <w:tcPr>
            <w:tcW w:w="4707" w:type="dxa"/>
            <w:tcBorders>
              <w:top w:val="nil"/>
              <w:left w:val="nil"/>
              <w:bottom w:val="nil"/>
              <w:right w:val="nil"/>
            </w:tcBorders>
            <w:shd w:val="clear" w:color="auto" w:fill="auto"/>
            <w:noWrap/>
            <w:vAlign w:val="bottom"/>
          </w:tcPr>
          <w:p w14:paraId="604CDD5E" w14:textId="77777777" w:rsidR="005D5085" w:rsidRPr="000116C5" w:rsidRDefault="005D5085" w:rsidP="005D5085">
            <w:pPr>
              <w:suppressAutoHyphens/>
              <w:autoSpaceDN w:val="0"/>
              <w:rPr>
                <w:rFonts w:ascii="Arial" w:eastAsia="Times New Roman" w:hAnsi="Arial" w:cs="Arial"/>
                <w:color w:val="000000" w:themeColor="text1"/>
                <w:sz w:val="18"/>
                <w:szCs w:val="18"/>
              </w:rPr>
            </w:pPr>
          </w:p>
        </w:tc>
        <w:tc>
          <w:tcPr>
            <w:tcW w:w="1134" w:type="dxa"/>
            <w:vAlign w:val="bottom"/>
          </w:tcPr>
          <w:p w14:paraId="4EBB1EEE" w14:textId="063A1123" w:rsidR="005D5085" w:rsidRPr="000116C5" w:rsidRDefault="005D5085" w:rsidP="005D5085">
            <w:pPr>
              <w:tabs>
                <w:tab w:val="right" w:pos="1202"/>
              </w:tabs>
              <w:suppressAutoHyphens/>
              <w:autoSpaceDN w:val="0"/>
              <w:jc w:val="right"/>
              <w:outlineLvl w:val="0"/>
              <w:rPr>
                <w:rFonts w:ascii="Arial" w:eastAsia="Times New Roman" w:hAnsi="Arial" w:cs="Arial"/>
                <w:b/>
                <w:color w:val="000000" w:themeColor="text1"/>
                <w:sz w:val="18"/>
                <w:szCs w:val="18"/>
              </w:rPr>
            </w:pPr>
            <w:r w:rsidRPr="000116C5">
              <w:rPr>
                <w:rFonts w:ascii="Arial" w:eastAsia="Times New Roman" w:hAnsi="Arial" w:cs="Arial"/>
                <w:b/>
                <w:color w:val="000000" w:themeColor="text1"/>
                <w:sz w:val="18"/>
                <w:szCs w:val="18"/>
              </w:rPr>
              <w:t>1.1.-</w:t>
            </w:r>
            <w:r w:rsidR="00432E8C" w:rsidRPr="000116C5">
              <w:rPr>
                <w:rFonts w:ascii="Arial" w:eastAsia="Times New Roman" w:hAnsi="Arial" w:cs="Arial"/>
                <w:b/>
                <w:color w:val="000000" w:themeColor="text1"/>
                <w:sz w:val="18"/>
                <w:szCs w:val="18"/>
              </w:rPr>
              <w:t>3</w:t>
            </w:r>
            <w:r w:rsidR="00432E8C">
              <w:rPr>
                <w:rFonts w:ascii="Arial" w:eastAsia="Times New Roman" w:hAnsi="Arial" w:cs="Arial"/>
                <w:b/>
                <w:color w:val="000000" w:themeColor="text1"/>
                <w:sz w:val="18"/>
                <w:szCs w:val="18"/>
              </w:rPr>
              <w:t>0</w:t>
            </w:r>
            <w:r w:rsidRPr="000116C5">
              <w:rPr>
                <w:rFonts w:ascii="Arial" w:eastAsia="Times New Roman" w:hAnsi="Arial" w:cs="Arial"/>
                <w:b/>
                <w:color w:val="000000" w:themeColor="text1"/>
                <w:sz w:val="18"/>
                <w:szCs w:val="18"/>
              </w:rPr>
              <w:t>.</w:t>
            </w:r>
            <w:r w:rsidR="002F4581">
              <w:rPr>
                <w:rFonts w:ascii="Arial" w:eastAsia="Times New Roman" w:hAnsi="Arial" w:cs="Arial"/>
                <w:b/>
                <w:color w:val="000000" w:themeColor="text1"/>
                <w:sz w:val="18"/>
                <w:szCs w:val="18"/>
              </w:rPr>
              <w:t>9</w:t>
            </w:r>
            <w:r w:rsidRPr="000116C5">
              <w:rPr>
                <w:rFonts w:ascii="Arial" w:eastAsia="Times New Roman" w:hAnsi="Arial" w:cs="Arial"/>
                <w:b/>
                <w:color w:val="000000" w:themeColor="text1"/>
                <w:sz w:val="18"/>
                <w:szCs w:val="18"/>
              </w:rPr>
              <w:t>.</w:t>
            </w:r>
          </w:p>
          <w:p w14:paraId="3370A2A4" w14:textId="20BA3369" w:rsidR="005D5085" w:rsidRPr="000116C5" w:rsidRDefault="005D5085" w:rsidP="005D5085">
            <w:pPr>
              <w:tabs>
                <w:tab w:val="right" w:pos="1202"/>
              </w:tabs>
              <w:suppressAutoHyphens/>
              <w:autoSpaceDN w:val="0"/>
              <w:jc w:val="right"/>
              <w:outlineLvl w:val="0"/>
              <w:rPr>
                <w:rFonts w:ascii="Arial" w:eastAsia="Times New Roman" w:hAnsi="Arial" w:cs="Arial"/>
                <w:b/>
                <w:color w:val="000000" w:themeColor="text1"/>
                <w:sz w:val="18"/>
                <w:szCs w:val="18"/>
              </w:rPr>
            </w:pPr>
            <w:r w:rsidRPr="000116C5">
              <w:rPr>
                <w:rFonts w:ascii="Arial" w:eastAsia="Times New Roman" w:hAnsi="Arial" w:cs="Arial"/>
                <w:b/>
                <w:color w:val="000000" w:themeColor="text1"/>
                <w:sz w:val="18"/>
                <w:szCs w:val="18"/>
              </w:rPr>
              <w:t>202</w:t>
            </w:r>
            <w:r w:rsidR="006D2926">
              <w:rPr>
                <w:rFonts w:ascii="Arial" w:eastAsia="Times New Roman" w:hAnsi="Arial" w:cs="Arial"/>
                <w:b/>
                <w:color w:val="000000" w:themeColor="text1"/>
                <w:sz w:val="18"/>
                <w:szCs w:val="18"/>
              </w:rPr>
              <w:t>4</w:t>
            </w:r>
            <w:r w:rsidRPr="000116C5">
              <w:rPr>
                <w:rFonts w:ascii="Arial" w:eastAsia="Times New Roman" w:hAnsi="Arial" w:cs="Arial"/>
                <w:b/>
                <w:color w:val="000000" w:themeColor="text1"/>
                <w:sz w:val="18"/>
                <w:szCs w:val="18"/>
              </w:rPr>
              <w:t>.</w:t>
            </w:r>
          </w:p>
        </w:tc>
        <w:tc>
          <w:tcPr>
            <w:tcW w:w="1134" w:type="dxa"/>
            <w:vAlign w:val="bottom"/>
          </w:tcPr>
          <w:p w14:paraId="4D58CE7C" w14:textId="77777777" w:rsidR="005D5085" w:rsidRPr="000116C5" w:rsidRDefault="005D5085" w:rsidP="005D5085">
            <w:pPr>
              <w:tabs>
                <w:tab w:val="right" w:pos="1202"/>
              </w:tabs>
              <w:suppressAutoHyphens/>
              <w:autoSpaceDN w:val="0"/>
              <w:jc w:val="right"/>
              <w:outlineLvl w:val="0"/>
              <w:rPr>
                <w:rFonts w:ascii="Arial" w:eastAsia="Times New Roman" w:hAnsi="Arial" w:cs="Arial"/>
                <w:b/>
                <w:color w:val="000000" w:themeColor="text1"/>
                <w:sz w:val="18"/>
                <w:szCs w:val="18"/>
              </w:rPr>
            </w:pPr>
            <w:r w:rsidRPr="000116C5">
              <w:rPr>
                <w:rFonts w:ascii="Arial" w:eastAsia="Times New Roman" w:hAnsi="Arial" w:cs="Arial"/>
                <w:b/>
                <w:color w:val="000000" w:themeColor="text1"/>
                <w:sz w:val="18"/>
                <w:szCs w:val="18"/>
              </w:rPr>
              <w:t>1.1.-31.12.</w:t>
            </w:r>
          </w:p>
          <w:p w14:paraId="6E73EAF9" w14:textId="673B9BDC" w:rsidR="005D5085" w:rsidRPr="000116C5" w:rsidRDefault="005D5085" w:rsidP="005D5085">
            <w:pPr>
              <w:tabs>
                <w:tab w:val="right" w:pos="1202"/>
              </w:tabs>
              <w:suppressAutoHyphens/>
              <w:autoSpaceDN w:val="0"/>
              <w:jc w:val="right"/>
              <w:outlineLvl w:val="0"/>
              <w:rPr>
                <w:rFonts w:ascii="Arial" w:eastAsia="Times New Roman" w:hAnsi="Arial" w:cs="Arial"/>
                <w:b/>
                <w:color w:val="000000" w:themeColor="text1"/>
                <w:sz w:val="18"/>
                <w:szCs w:val="18"/>
              </w:rPr>
            </w:pPr>
            <w:r w:rsidRPr="000116C5">
              <w:rPr>
                <w:rFonts w:ascii="Arial" w:eastAsia="Times New Roman" w:hAnsi="Arial" w:cs="Arial"/>
                <w:b/>
                <w:color w:val="000000" w:themeColor="text1"/>
                <w:sz w:val="18"/>
                <w:szCs w:val="18"/>
              </w:rPr>
              <w:t>202</w:t>
            </w:r>
            <w:r w:rsidR="006D2926">
              <w:rPr>
                <w:rFonts w:ascii="Arial" w:eastAsia="Times New Roman" w:hAnsi="Arial" w:cs="Arial"/>
                <w:b/>
                <w:color w:val="000000" w:themeColor="text1"/>
                <w:sz w:val="18"/>
                <w:szCs w:val="18"/>
              </w:rPr>
              <w:t>3</w:t>
            </w:r>
            <w:r w:rsidRPr="000116C5">
              <w:rPr>
                <w:rFonts w:ascii="Arial" w:eastAsia="Times New Roman" w:hAnsi="Arial" w:cs="Arial"/>
                <w:b/>
                <w:color w:val="000000" w:themeColor="text1"/>
                <w:sz w:val="18"/>
                <w:szCs w:val="18"/>
              </w:rPr>
              <w:t>.</w:t>
            </w:r>
          </w:p>
        </w:tc>
        <w:tc>
          <w:tcPr>
            <w:tcW w:w="1134" w:type="dxa"/>
            <w:vAlign w:val="bottom"/>
          </w:tcPr>
          <w:p w14:paraId="2C24FEB9" w14:textId="0B618FB6" w:rsidR="005D5085" w:rsidRPr="000116C5" w:rsidRDefault="005D5085" w:rsidP="005D5085">
            <w:pPr>
              <w:tabs>
                <w:tab w:val="right" w:pos="1202"/>
              </w:tabs>
              <w:suppressAutoHyphens/>
              <w:autoSpaceDN w:val="0"/>
              <w:jc w:val="right"/>
              <w:outlineLvl w:val="0"/>
              <w:rPr>
                <w:rFonts w:ascii="Arial" w:eastAsia="Times New Roman" w:hAnsi="Arial" w:cs="Arial"/>
                <w:b/>
                <w:color w:val="000000" w:themeColor="text1"/>
                <w:sz w:val="18"/>
                <w:szCs w:val="18"/>
              </w:rPr>
            </w:pPr>
            <w:r w:rsidRPr="000116C5">
              <w:rPr>
                <w:rFonts w:ascii="Arial" w:eastAsia="Times New Roman" w:hAnsi="Arial" w:cs="Arial"/>
                <w:b/>
                <w:color w:val="000000" w:themeColor="text1"/>
                <w:sz w:val="18"/>
                <w:szCs w:val="18"/>
              </w:rPr>
              <w:t>1.1.-</w:t>
            </w:r>
            <w:r w:rsidR="00432E8C" w:rsidRPr="000116C5">
              <w:rPr>
                <w:rFonts w:ascii="Arial" w:eastAsia="Times New Roman" w:hAnsi="Arial" w:cs="Arial"/>
                <w:b/>
                <w:color w:val="000000" w:themeColor="text1"/>
                <w:sz w:val="18"/>
                <w:szCs w:val="18"/>
              </w:rPr>
              <w:t>3</w:t>
            </w:r>
            <w:r w:rsidR="00432E8C">
              <w:rPr>
                <w:rFonts w:ascii="Arial" w:eastAsia="Times New Roman" w:hAnsi="Arial" w:cs="Arial"/>
                <w:b/>
                <w:color w:val="000000" w:themeColor="text1"/>
                <w:sz w:val="18"/>
                <w:szCs w:val="18"/>
              </w:rPr>
              <w:t>0</w:t>
            </w:r>
            <w:r w:rsidRPr="000116C5">
              <w:rPr>
                <w:rFonts w:ascii="Arial" w:eastAsia="Times New Roman" w:hAnsi="Arial" w:cs="Arial"/>
                <w:b/>
                <w:color w:val="000000" w:themeColor="text1"/>
                <w:sz w:val="18"/>
                <w:szCs w:val="18"/>
              </w:rPr>
              <w:t>.</w:t>
            </w:r>
            <w:r w:rsidR="002F4581">
              <w:rPr>
                <w:rFonts w:ascii="Arial" w:eastAsia="Times New Roman" w:hAnsi="Arial" w:cs="Arial"/>
                <w:b/>
                <w:color w:val="000000" w:themeColor="text1"/>
                <w:sz w:val="18"/>
                <w:szCs w:val="18"/>
              </w:rPr>
              <w:t>9</w:t>
            </w:r>
            <w:r w:rsidRPr="000116C5">
              <w:rPr>
                <w:rFonts w:ascii="Arial" w:eastAsia="Times New Roman" w:hAnsi="Arial" w:cs="Arial"/>
                <w:b/>
                <w:color w:val="000000" w:themeColor="text1"/>
                <w:sz w:val="18"/>
                <w:szCs w:val="18"/>
              </w:rPr>
              <w:t>.</w:t>
            </w:r>
          </w:p>
          <w:p w14:paraId="5432272D" w14:textId="7CBD22C0" w:rsidR="005D5085" w:rsidRPr="000116C5" w:rsidRDefault="005D5085" w:rsidP="005D5085">
            <w:pPr>
              <w:tabs>
                <w:tab w:val="right" w:pos="1202"/>
              </w:tabs>
              <w:suppressAutoHyphens/>
              <w:autoSpaceDN w:val="0"/>
              <w:jc w:val="right"/>
              <w:outlineLvl w:val="0"/>
              <w:rPr>
                <w:rFonts w:ascii="Arial" w:eastAsia="Times New Roman" w:hAnsi="Arial" w:cs="Arial"/>
                <w:b/>
                <w:color w:val="000000" w:themeColor="text1"/>
                <w:sz w:val="18"/>
                <w:szCs w:val="18"/>
              </w:rPr>
            </w:pPr>
            <w:r w:rsidRPr="000116C5">
              <w:rPr>
                <w:rFonts w:ascii="Arial" w:eastAsia="Times New Roman" w:hAnsi="Arial" w:cs="Arial"/>
                <w:b/>
                <w:color w:val="000000" w:themeColor="text1"/>
                <w:sz w:val="18"/>
                <w:szCs w:val="18"/>
              </w:rPr>
              <w:t>202</w:t>
            </w:r>
            <w:r w:rsidR="006D2926">
              <w:rPr>
                <w:rFonts w:ascii="Arial" w:eastAsia="Times New Roman" w:hAnsi="Arial" w:cs="Arial"/>
                <w:b/>
                <w:color w:val="000000" w:themeColor="text1"/>
                <w:sz w:val="18"/>
                <w:szCs w:val="18"/>
              </w:rPr>
              <w:t>4</w:t>
            </w:r>
            <w:r w:rsidRPr="000116C5">
              <w:rPr>
                <w:rFonts w:ascii="Arial" w:eastAsia="Times New Roman" w:hAnsi="Arial" w:cs="Arial"/>
                <w:b/>
                <w:color w:val="000000" w:themeColor="text1"/>
                <w:sz w:val="18"/>
                <w:szCs w:val="18"/>
              </w:rPr>
              <w:t>.</w:t>
            </w:r>
          </w:p>
        </w:tc>
        <w:tc>
          <w:tcPr>
            <w:tcW w:w="1134" w:type="dxa"/>
            <w:vAlign w:val="bottom"/>
          </w:tcPr>
          <w:p w14:paraId="42BDFD48" w14:textId="77777777" w:rsidR="005D5085" w:rsidRPr="000116C5" w:rsidRDefault="005D5085" w:rsidP="005D5085">
            <w:pPr>
              <w:tabs>
                <w:tab w:val="right" w:pos="1202"/>
              </w:tabs>
              <w:suppressAutoHyphens/>
              <w:autoSpaceDN w:val="0"/>
              <w:jc w:val="right"/>
              <w:outlineLvl w:val="0"/>
              <w:rPr>
                <w:rFonts w:ascii="Arial" w:eastAsia="Times New Roman" w:hAnsi="Arial" w:cs="Arial"/>
                <w:b/>
                <w:color w:val="000000" w:themeColor="text1"/>
                <w:sz w:val="18"/>
                <w:szCs w:val="18"/>
              </w:rPr>
            </w:pPr>
            <w:r w:rsidRPr="000116C5">
              <w:rPr>
                <w:rFonts w:ascii="Arial" w:eastAsia="Times New Roman" w:hAnsi="Arial" w:cs="Arial"/>
                <w:b/>
                <w:color w:val="000000" w:themeColor="text1"/>
                <w:sz w:val="18"/>
                <w:szCs w:val="18"/>
              </w:rPr>
              <w:t>1.1.-31.12.</w:t>
            </w:r>
          </w:p>
          <w:p w14:paraId="1663894D" w14:textId="1A9AC365" w:rsidR="005D5085" w:rsidRPr="000116C5" w:rsidRDefault="005D5085" w:rsidP="005D5085">
            <w:pPr>
              <w:tabs>
                <w:tab w:val="right" w:pos="1202"/>
              </w:tabs>
              <w:suppressAutoHyphens/>
              <w:autoSpaceDN w:val="0"/>
              <w:jc w:val="right"/>
              <w:outlineLvl w:val="0"/>
              <w:rPr>
                <w:rFonts w:ascii="Arial" w:eastAsia="Times New Roman" w:hAnsi="Arial" w:cs="Arial"/>
                <w:b/>
                <w:color w:val="000000" w:themeColor="text1"/>
                <w:sz w:val="18"/>
                <w:szCs w:val="18"/>
              </w:rPr>
            </w:pPr>
            <w:r w:rsidRPr="000116C5">
              <w:rPr>
                <w:rFonts w:ascii="Arial" w:eastAsia="Times New Roman" w:hAnsi="Arial" w:cs="Arial"/>
                <w:b/>
                <w:color w:val="000000" w:themeColor="text1"/>
                <w:sz w:val="18"/>
                <w:szCs w:val="18"/>
              </w:rPr>
              <w:t>202</w:t>
            </w:r>
            <w:r w:rsidR="006D2926">
              <w:rPr>
                <w:rFonts w:ascii="Arial" w:eastAsia="Times New Roman" w:hAnsi="Arial" w:cs="Arial"/>
                <w:b/>
                <w:color w:val="000000" w:themeColor="text1"/>
                <w:sz w:val="18"/>
                <w:szCs w:val="18"/>
              </w:rPr>
              <w:t>3</w:t>
            </w:r>
            <w:r w:rsidRPr="000116C5">
              <w:rPr>
                <w:rFonts w:ascii="Arial" w:eastAsia="Times New Roman" w:hAnsi="Arial" w:cs="Arial"/>
                <w:b/>
                <w:color w:val="000000" w:themeColor="text1"/>
                <w:sz w:val="18"/>
                <w:szCs w:val="18"/>
              </w:rPr>
              <w:t>.</w:t>
            </w:r>
          </w:p>
        </w:tc>
      </w:tr>
      <w:tr w:rsidR="005D5085" w:rsidRPr="000116C5" w14:paraId="664A9746" w14:textId="77777777" w:rsidTr="00D37128">
        <w:trPr>
          <w:trHeight w:val="231"/>
        </w:trPr>
        <w:tc>
          <w:tcPr>
            <w:tcW w:w="4707" w:type="dxa"/>
            <w:tcBorders>
              <w:top w:val="nil"/>
              <w:left w:val="nil"/>
              <w:bottom w:val="nil"/>
              <w:right w:val="nil"/>
            </w:tcBorders>
            <w:shd w:val="clear" w:color="auto" w:fill="auto"/>
            <w:vAlign w:val="bottom"/>
            <w:hideMark/>
          </w:tcPr>
          <w:p w14:paraId="536845E5" w14:textId="77777777" w:rsidR="005D5085" w:rsidRPr="000116C5" w:rsidRDefault="005D5085" w:rsidP="005D5085">
            <w:pPr>
              <w:suppressAutoHyphens/>
              <w:autoSpaceDN w:val="0"/>
              <w:jc w:val="right"/>
              <w:rPr>
                <w:rFonts w:ascii="Arial" w:eastAsia="Times New Roman" w:hAnsi="Arial" w:cs="Arial"/>
                <w:b/>
                <w:bCs/>
                <w:color w:val="000000" w:themeColor="text1"/>
                <w:sz w:val="18"/>
                <w:szCs w:val="18"/>
              </w:rPr>
            </w:pPr>
          </w:p>
        </w:tc>
        <w:tc>
          <w:tcPr>
            <w:tcW w:w="1134" w:type="dxa"/>
            <w:tcBorders>
              <w:top w:val="nil"/>
              <w:left w:val="nil"/>
              <w:bottom w:val="nil"/>
              <w:right w:val="nil"/>
            </w:tcBorders>
            <w:shd w:val="clear" w:color="auto" w:fill="auto"/>
            <w:vAlign w:val="bottom"/>
          </w:tcPr>
          <w:p w14:paraId="624E56DA" w14:textId="74EFC2EE" w:rsidR="005D5085" w:rsidRPr="000116C5" w:rsidRDefault="005D5085" w:rsidP="005D5085">
            <w:pPr>
              <w:suppressAutoHyphens/>
              <w:autoSpaceDN w:val="0"/>
              <w:jc w:val="right"/>
              <w:rPr>
                <w:rFonts w:ascii="Arial" w:eastAsia="Times New Roman" w:hAnsi="Arial" w:cs="Arial"/>
                <w:b/>
                <w:bCs/>
                <w:color w:val="000000" w:themeColor="text1"/>
                <w:sz w:val="18"/>
                <w:szCs w:val="18"/>
              </w:rPr>
            </w:pPr>
            <w:r w:rsidRPr="000116C5">
              <w:rPr>
                <w:rFonts w:ascii="Arial" w:eastAsia="Times New Roman" w:hAnsi="Arial" w:cs="Arial"/>
                <w:b/>
                <w:bCs/>
                <w:color w:val="000000" w:themeColor="text1"/>
                <w:sz w:val="18"/>
                <w:szCs w:val="18"/>
              </w:rPr>
              <w:t>000 eura</w:t>
            </w:r>
          </w:p>
        </w:tc>
        <w:tc>
          <w:tcPr>
            <w:tcW w:w="1134" w:type="dxa"/>
            <w:tcBorders>
              <w:top w:val="nil"/>
              <w:left w:val="nil"/>
              <w:bottom w:val="nil"/>
              <w:right w:val="nil"/>
            </w:tcBorders>
            <w:shd w:val="clear" w:color="auto" w:fill="auto"/>
            <w:vAlign w:val="bottom"/>
          </w:tcPr>
          <w:p w14:paraId="7266E247" w14:textId="42562470" w:rsidR="005D5085" w:rsidRPr="000116C5" w:rsidRDefault="005D5085" w:rsidP="005D5085">
            <w:pPr>
              <w:suppressAutoHyphens/>
              <w:autoSpaceDN w:val="0"/>
              <w:jc w:val="right"/>
              <w:rPr>
                <w:rFonts w:ascii="Arial" w:eastAsia="Times New Roman" w:hAnsi="Arial" w:cs="Arial"/>
                <w:b/>
                <w:bCs/>
                <w:color w:val="000000" w:themeColor="text1"/>
                <w:sz w:val="18"/>
                <w:szCs w:val="18"/>
              </w:rPr>
            </w:pPr>
            <w:r w:rsidRPr="000116C5">
              <w:rPr>
                <w:rFonts w:ascii="Arial" w:eastAsia="Times New Roman" w:hAnsi="Arial" w:cs="Arial"/>
                <w:b/>
                <w:bCs/>
                <w:color w:val="000000" w:themeColor="text1"/>
                <w:sz w:val="18"/>
                <w:szCs w:val="18"/>
              </w:rPr>
              <w:t>000 eura</w:t>
            </w:r>
          </w:p>
        </w:tc>
        <w:tc>
          <w:tcPr>
            <w:tcW w:w="1134" w:type="dxa"/>
            <w:tcBorders>
              <w:top w:val="nil"/>
              <w:left w:val="nil"/>
              <w:bottom w:val="nil"/>
              <w:right w:val="nil"/>
            </w:tcBorders>
            <w:shd w:val="clear" w:color="auto" w:fill="auto"/>
            <w:vAlign w:val="bottom"/>
            <w:hideMark/>
          </w:tcPr>
          <w:p w14:paraId="7003AC03" w14:textId="64F64CE9" w:rsidR="005D5085" w:rsidRPr="000116C5" w:rsidRDefault="005D5085" w:rsidP="005D5085">
            <w:pPr>
              <w:suppressAutoHyphens/>
              <w:autoSpaceDN w:val="0"/>
              <w:jc w:val="right"/>
              <w:rPr>
                <w:rFonts w:ascii="Arial" w:eastAsia="Times New Roman" w:hAnsi="Arial" w:cs="Arial"/>
                <w:b/>
                <w:bCs/>
                <w:color w:val="000000" w:themeColor="text1"/>
                <w:sz w:val="18"/>
                <w:szCs w:val="18"/>
              </w:rPr>
            </w:pPr>
            <w:r w:rsidRPr="000116C5">
              <w:rPr>
                <w:rFonts w:ascii="Arial" w:eastAsia="Times New Roman" w:hAnsi="Arial" w:cs="Arial"/>
                <w:b/>
                <w:bCs/>
                <w:color w:val="000000" w:themeColor="text1"/>
                <w:sz w:val="18"/>
                <w:szCs w:val="18"/>
              </w:rPr>
              <w:t>000 eura</w:t>
            </w:r>
          </w:p>
        </w:tc>
        <w:tc>
          <w:tcPr>
            <w:tcW w:w="1134" w:type="dxa"/>
            <w:tcBorders>
              <w:top w:val="nil"/>
              <w:left w:val="nil"/>
              <w:bottom w:val="nil"/>
              <w:right w:val="nil"/>
            </w:tcBorders>
            <w:shd w:val="clear" w:color="auto" w:fill="auto"/>
            <w:vAlign w:val="bottom"/>
          </w:tcPr>
          <w:p w14:paraId="57EAD06C" w14:textId="66C0D0A9" w:rsidR="005D5085" w:rsidRPr="000116C5" w:rsidRDefault="005D5085" w:rsidP="005D5085">
            <w:pPr>
              <w:suppressAutoHyphens/>
              <w:autoSpaceDN w:val="0"/>
              <w:jc w:val="right"/>
              <w:rPr>
                <w:rFonts w:ascii="Arial" w:eastAsia="Times New Roman" w:hAnsi="Arial" w:cs="Arial"/>
                <w:b/>
                <w:bCs/>
                <w:color w:val="000000" w:themeColor="text1"/>
                <w:sz w:val="18"/>
                <w:szCs w:val="18"/>
              </w:rPr>
            </w:pPr>
            <w:r w:rsidRPr="000116C5">
              <w:rPr>
                <w:rFonts w:ascii="Arial" w:eastAsia="Times New Roman" w:hAnsi="Arial" w:cs="Arial"/>
                <w:b/>
                <w:bCs/>
                <w:color w:val="000000" w:themeColor="text1"/>
                <w:sz w:val="18"/>
                <w:szCs w:val="18"/>
              </w:rPr>
              <w:t>000 eura</w:t>
            </w:r>
          </w:p>
        </w:tc>
      </w:tr>
      <w:tr w:rsidR="00BE4876" w:rsidRPr="000116C5" w14:paraId="6668678B" w14:textId="77777777" w:rsidTr="000116C5">
        <w:trPr>
          <w:trHeight w:val="379"/>
        </w:trPr>
        <w:tc>
          <w:tcPr>
            <w:tcW w:w="4707" w:type="dxa"/>
            <w:tcBorders>
              <w:top w:val="nil"/>
              <w:left w:val="nil"/>
              <w:bottom w:val="nil"/>
              <w:right w:val="nil"/>
            </w:tcBorders>
            <w:shd w:val="clear" w:color="auto" w:fill="auto"/>
            <w:vAlign w:val="bottom"/>
          </w:tcPr>
          <w:p w14:paraId="569A42AD" w14:textId="77777777" w:rsidR="00BE4876" w:rsidRPr="000116C5" w:rsidRDefault="00BE4876" w:rsidP="00BE4876">
            <w:pPr>
              <w:suppressAutoHyphens/>
              <w:autoSpaceDN w:val="0"/>
              <w:rPr>
                <w:rFonts w:ascii="Arial" w:eastAsia="Times New Roman" w:hAnsi="Arial" w:cs="Arial"/>
                <w:color w:val="000000" w:themeColor="text1"/>
                <w:sz w:val="18"/>
                <w:szCs w:val="18"/>
              </w:rPr>
            </w:pPr>
            <w:r w:rsidRPr="000116C5">
              <w:rPr>
                <w:rFonts w:ascii="Arial" w:eastAsia="Times New Roman" w:hAnsi="Arial" w:cs="Arial"/>
                <w:color w:val="000000" w:themeColor="text1"/>
                <w:sz w:val="18"/>
                <w:szCs w:val="18"/>
              </w:rPr>
              <w:t>Stanje 1. siječnja</w:t>
            </w:r>
          </w:p>
        </w:tc>
        <w:tc>
          <w:tcPr>
            <w:tcW w:w="1134" w:type="dxa"/>
            <w:tcBorders>
              <w:top w:val="nil"/>
              <w:left w:val="nil"/>
              <w:bottom w:val="nil"/>
              <w:right w:val="nil"/>
            </w:tcBorders>
            <w:shd w:val="clear" w:color="auto" w:fill="auto"/>
            <w:vAlign w:val="bottom"/>
          </w:tcPr>
          <w:p w14:paraId="76FCD66A" w14:textId="73999F4E" w:rsidR="00BE4876" w:rsidRPr="000116C5" w:rsidRDefault="00232FE4" w:rsidP="00BE4876">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221</w:t>
            </w:r>
          </w:p>
        </w:tc>
        <w:tc>
          <w:tcPr>
            <w:tcW w:w="1134" w:type="dxa"/>
            <w:tcBorders>
              <w:top w:val="nil"/>
              <w:left w:val="nil"/>
              <w:bottom w:val="nil"/>
              <w:right w:val="nil"/>
            </w:tcBorders>
            <w:shd w:val="clear" w:color="auto" w:fill="auto"/>
            <w:vAlign w:val="bottom"/>
          </w:tcPr>
          <w:p w14:paraId="5CBA8C1A" w14:textId="33C6F7FB" w:rsidR="00BE4876" w:rsidRPr="000116C5" w:rsidRDefault="00BE4876" w:rsidP="00BE4876">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5</w:t>
            </w:r>
          </w:p>
        </w:tc>
        <w:tc>
          <w:tcPr>
            <w:tcW w:w="1134" w:type="dxa"/>
            <w:tcBorders>
              <w:top w:val="nil"/>
              <w:left w:val="nil"/>
              <w:bottom w:val="nil"/>
              <w:right w:val="nil"/>
            </w:tcBorders>
            <w:shd w:val="clear" w:color="auto" w:fill="auto"/>
            <w:vAlign w:val="bottom"/>
          </w:tcPr>
          <w:p w14:paraId="7B9DBB5A" w14:textId="26EE814E" w:rsidR="00BE4876" w:rsidRPr="000116C5" w:rsidRDefault="005228BE" w:rsidP="00BE4876">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218</w:t>
            </w:r>
          </w:p>
        </w:tc>
        <w:tc>
          <w:tcPr>
            <w:tcW w:w="1134" w:type="dxa"/>
            <w:tcBorders>
              <w:top w:val="nil"/>
              <w:left w:val="nil"/>
              <w:bottom w:val="nil"/>
              <w:right w:val="nil"/>
            </w:tcBorders>
            <w:shd w:val="clear" w:color="auto" w:fill="auto"/>
            <w:vAlign w:val="bottom"/>
          </w:tcPr>
          <w:p w14:paraId="6D2959D6" w14:textId="302F0803" w:rsidR="00BE4876" w:rsidRPr="000116C5" w:rsidRDefault="00BE4876" w:rsidP="00BE4876">
            <w:pPr>
              <w:suppressAutoHyphens/>
              <w:autoSpaceDN w:val="0"/>
              <w:jc w:val="right"/>
              <w:rPr>
                <w:rFonts w:ascii="Arial" w:eastAsia="Times New Roman" w:hAnsi="Arial" w:cs="Arial"/>
                <w:color w:val="000000" w:themeColor="text1"/>
                <w:sz w:val="18"/>
                <w:szCs w:val="18"/>
              </w:rPr>
            </w:pPr>
            <w:r w:rsidRPr="000116C5">
              <w:rPr>
                <w:rFonts w:ascii="Arial" w:eastAsia="Times New Roman" w:hAnsi="Arial" w:cs="Arial"/>
                <w:color w:val="000000" w:themeColor="text1"/>
                <w:sz w:val="18"/>
                <w:szCs w:val="18"/>
              </w:rPr>
              <w:t>-</w:t>
            </w:r>
          </w:p>
        </w:tc>
      </w:tr>
      <w:tr w:rsidR="00BE4876" w:rsidRPr="000116C5" w14:paraId="746FFA18" w14:textId="77777777" w:rsidTr="000116C5">
        <w:trPr>
          <w:trHeight w:val="379"/>
        </w:trPr>
        <w:tc>
          <w:tcPr>
            <w:tcW w:w="4707" w:type="dxa"/>
            <w:tcBorders>
              <w:top w:val="nil"/>
              <w:left w:val="nil"/>
              <w:bottom w:val="nil"/>
              <w:right w:val="nil"/>
            </w:tcBorders>
            <w:shd w:val="clear" w:color="auto" w:fill="auto"/>
            <w:vAlign w:val="bottom"/>
          </w:tcPr>
          <w:p w14:paraId="4E5922A0" w14:textId="70E18606" w:rsidR="00BE4876" w:rsidRPr="000116C5" w:rsidRDefault="00BE4876" w:rsidP="00BE4876">
            <w:pPr>
              <w:suppressAutoHyphens/>
              <w:autoSpaceDN w:val="0"/>
              <w:rPr>
                <w:rFonts w:ascii="Arial" w:eastAsia="Times New Roman" w:hAnsi="Arial" w:cs="Arial"/>
                <w:color w:val="000000" w:themeColor="text1"/>
                <w:sz w:val="18"/>
                <w:szCs w:val="18"/>
              </w:rPr>
            </w:pPr>
            <w:r w:rsidRPr="005C53CD">
              <w:rPr>
                <w:rFonts w:ascii="Arial" w:eastAsia="Times New Roman" w:hAnsi="Arial" w:cs="Arial"/>
                <w:color w:val="000000" w:themeColor="text1"/>
                <w:sz w:val="18"/>
                <w:szCs w:val="18"/>
              </w:rPr>
              <w:t xml:space="preserve">Neto </w:t>
            </w:r>
            <w:r w:rsidR="002667B6">
              <w:rPr>
                <w:rFonts w:ascii="Arial" w:eastAsia="Times New Roman" w:hAnsi="Arial" w:cs="Arial"/>
                <w:color w:val="000000" w:themeColor="text1"/>
                <w:sz w:val="18"/>
                <w:szCs w:val="18"/>
              </w:rPr>
              <w:t>(smanjenje)/</w:t>
            </w:r>
            <w:r w:rsidRPr="003A16D6">
              <w:rPr>
                <w:rFonts w:ascii="Arial" w:eastAsia="Times New Roman" w:hAnsi="Arial" w:cs="Arial"/>
                <w:color w:val="000000" w:themeColor="text1"/>
                <w:sz w:val="18"/>
                <w:szCs w:val="18"/>
              </w:rPr>
              <w:t>povećanje</w:t>
            </w:r>
            <w:r w:rsidRPr="005C53CD">
              <w:rPr>
                <w:rFonts w:ascii="Arial" w:eastAsia="Times New Roman" w:hAnsi="Arial" w:cs="Arial"/>
                <w:color w:val="000000" w:themeColor="text1"/>
                <w:sz w:val="18"/>
                <w:szCs w:val="18"/>
              </w:rPr>
              <w:t xml:space="preserve"> rezerviranja za očekivane gubitke po depozitima kod drugih banaka</w:t>
            </w:r>
          </w:p>
        </w:tc>
        <w:tc>
          <w:tcPr>
            <w:tcW w:w="1134" w:type="dxa"/>
            <w:tcBorders>
              <w:top w:val="nil"/>
              <w:left w:val="nil"/>
              <w:bottom w:val="nil"/>
              <w:right w:val="nil"/>
            </w:tcBorders>
            <w:shd w:val="clear" w:color="auto" w:fill="auto"/>
            <w:vAlign w:val="bottom"/>
          </w:tcPr>
          <w:p w14:paraId="4C9239E1" w14:textId="2C3262DE" w:rsidR="00BE4876" w:rsidRPr="000116C5" w:rsidRDefault="00232FE4" w:rsidP="00BE4876">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(92)</w:t>
            </w:r>
          </w:p>
        </w:tc>
        <w:tc>
          <w:tcPr>
            <w:tcW w:w="1134" w:type="dxa"/>
            <w:tcBorders>
              <w:top w:val="nil"/>
              <w:left w:val="nil"/>
              <w:bottom w:val="nil"/>
              <w:right w:val="nil"/>
            </w:tcBorders>
            <w:shd w:val="clear" w:color="auto" w:fill="auto"/>
            <w:vAlign w:val="bottom"/>
          </w:tcPr>
          <w:p w14:paraId="20C339D7" w14:textId="7324291A" w:rsidR="00BE4876" w:rsidRPr="000116C5" w:rsidRDefault="00BE4876" w:rsidP="00BE4876">
            <w:pPr>
              <w:suppressAutoHyphens/>
              <w:autoSpaceDN w:val="0"/>
              <w:jc w:val="right"/>
              <w:rPr>
                <w:rFonts w:ascii="Arial" w:eastAsia="Times New Roman" w:hAnsi="Arial" w:cs="Arial"/>
                <w:color w:val="000000" w:themeColor="text1"/>
                <w:sz w:val="18"/>
                <w:szCs w:val="18"/>
              </w:rPr>
            </w:pPr>
            <w:r>
              <w:rPr>
                <w:rFonts w:ascii="Arial" w:hAnsi="Arial" w:cs="Arial"/>
                <w:sz w:val="18"/>
                <w:szCs w:val="18"/>
              </w:rPr>
              <w:t>216</w:t>
            </w:r>
          </w:p>
        </w:tc>
        <w:tc>
          <w:tcPr>
            <w:tcW w:w="1134" w:type="dxa"/>
            <w:tcBorders>
              <w:top w:val="nil"/>
              <w:left w:val="nil"/>
              <w:bottom w:val="nil"/>
              <w:right w:val="nil"/>
            </w:tcBorders>
            <w:shd w:val="clear" w:color="auto" w:fill="auto"/>
            <w:vAlign w:val="bottom"/>
          </w:tcPr>
          <w:p w14:paraId="7C8EC36B" w14:textId="2DFEA45E" w:rsidR="00BE4876" w:rsidRPr="000116C5" w:rsidRDefault="005228BE" w:rsidP="00BE4876">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(95)</w:t>
            </w:r>
          </w:p>
        </w:tc>
        <w:tc>
          <w:tcPr>
            <w:tcW w:w="1134" w:type="dxa"/>
            <w:tcBorders>
              <w:top w:val="nil"/>
              <w:left w:val="nil"/>
              <w:bottom w:val="nil"/>
              <w:right w:val="nil"/>
            </w:tcBorders>
            <w:shd w:val="clear" w:color="auto" w:fill="auto"/>
            <w:vAlign w:val="bottom"/>
          </w:tcPr>
          <w:p w14:paraId="0BEBE9AB" w14:textId="17531AEE" w:rsidR="00BE4876" w:rsidRPr="000116C5" w:rsidRDefault="00BE4876" w:rsidP="00BE4876">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218</w:t>
            </w:r>
          </w:p>
        </w:tc>
      </w:tr>
      <w:tr w:rsidR="00BE4876" w:rsidRPr="000116C5" w14:paraId="44D41D3A" w14:textId="77777777" w:rsidTr="000116C5">
        <w:trPr>
          <w:trHeight w:val="379"/>
        </w:trPr>
        <w:tc>
          <w:tcPr>
            <w:tcW w:w="4707" w:type="dxa"/>
            <w:tcBorders>
              <w:top w:val="nil"/>
              <w:left w:val="nil"/>
              <w:bottom w:val="nil"/>
              <w:right w:val="nil"/>
            </w:tcBorders>
            <w:shd w:val="clear" w:color="auto" w:fill="auto"/>
            <w:vAlign w:val="bottom"/>
          </w:tcPr>
          <w:p w14:paraId="06DA54AC" w14:textId="5D24277A" w:rsidR="00BE4876" w:rsidRPr="000116C5" w:rsidRDefault="00BE4876" w:rsidP="00BE4876">
            <w:pPr>
              <w:suppressAutoHyphens/>
              <w:autoSpaceDN w:val="0"/>
              <w:rPr>
                <w:rFonts w:ascii="Arial" w:eastAsia="Times New Roman" w:hAnsi="Arial" w:cs="Arial"/>
                <w:i/>
                <w:iCs/>
                <w:color w:val="000000" w:themeColor="text1"/>
                <w:sz w:val="18"/>
                <w:szCs w:val="18"/>
              </w:rPr>
            </w:pPr>
            <w:r w:rsidRPr="000116C5">
              <w:rPr>
                <w:rFonts w:ascii="Arial" w:eastAsia="Times New Roman" w:hAnsi="Arial" w:cs="Arial"/>
                <w:i/>
                <w:iCs/>
                <w:color w:val="000000" w:themeColor="text1"/>
                <w:sz w:val="18"/>
                <w:szCs w:val="18"/>
              </w:rPr>
              <w:t xml:space="preserve">Ukupno kroz dobit ili </w:t>
            </w:r>
            <w:r w:rsidRPr="005C53CD">
              <w:rPr>
                <w:rFonts w:ascii="Arial" w:eastAsia="Times New Roman" w:hAnsi="Arial" w:cs="Arial"/>
                <w:i/>
                <w:iCs/>
                <w:color w:val="000000" w:themeColor="text1"/>
                <w:sz w:val="18"/>
                <w:szCs w:val="18"/>
              </w:rPr>
              <w:t xml:space="preserve">gubitak </w:t>
            </w:r>
            <w:r w:rsidRPr="00CC7FB0">
              <w:rPr>
                <w:rFonts w:ascii="Arial" w:eastAsia="Times New Roman" w:hAnsi="Arial" w:cs="Arial"/>
                <w:i/>
                <w:iCs/>
                <w:color w:val="000000" w:themeColor="text1"/>
                <w:sz w:val="18"/>
                <w:szCs w:val="18"/>
              </w:rPr>
              <w:t>(bilješka 8)</w:t>
            </w:r>
          </w:p>
        </w:tc>
        <w:tc>
          <w:tcPr>
            <w:tcW w:w="1134" w:type="dxa"/>
            <w:tcBorders>
              <w:top w:val="single" w:sz="4" w:space="0" w:color="auto"/>
              <w:left w:val="nil"/>
              <w:bottom w:val="single" w:sz="4" w:space="0" w:color="auto"/>
              <w:right w:val="nil"/>
            </w:tcBorders>
            <w:shd w:val="clear" w:color="auto" w:fill="auto"/>
            <w:vAlign w:val="bottom"/>
          </w:tcPr>
          <w:p w14:paraId="00EEF7F8" w14:textId="2EF53116" w:rsidR="00BE4876" w:rsidRPr="00232FE4" w:rsidRDefault="00232FE4" w:rsidP="00BE4876">
            <w:pPr>
              <w:suppressAutoHyphens/>
              <w:autoSpaceDN w:val="0"/>
              <w:jc w:val="right"/>
              <w:rPr>
                <w:rFonts w:ascii="Arial" w:eastAsia="Times New Roman" w:hAnsi="Arial" w:cs="Arial"/>
                <w:bCs/>
                <w:i/>
                <w:color w:val="000000" w:themeColor="text1"/>
                <w:sz w:val="18"/>
                <w:szCs w:val="18"/>
              </w:rPr>
            </w:pPr>
            <w:r w:rsidRPr="00232FE4">
              <w:rPr>
                <w:rFonts w:ascii="Arial" w:eastAsia="Times New Roman" w:hAnsi="Arial" w:cs="Arial"/>
                <w:bCs/>
                <w:i/>
                <w:color w:val="000000" w:themeColor="text1"/>
                <w:sz w:val="18"/>
                <w:szCs w:val="18"/>
              </w:rPr>
              <w:t>(92)</w:t>
            </w:r>
          </w:p>
        </w:tc>
        <w:tc>
          <w:tcPr>
            <w:tcW w:w="1134" w:type="dxa"/>
            <w:tcBorders>
              <w:top w:val="single" w:sz="4" w:space="0" w:color="auto"/>
              <w:left w:val="nil"/>
              <w:bottom w:val="single" w:sz="4" w:space="0" w:color="auto"/>
              <w:right w:val="nil"/>
            </w:tcBorders>
            <w:shd w:val="clear" w:color="auto" w:fill="auto"/>
            <w:vAlign w:val="bottom"/>
          </w:tcPr>
          <w:p w14:paraId="6AABA262" w14:textId="4D49D13E" w:rsidR="00BE4876" w:rsidRPr="00232FE4" w:rsidRDefault="00BE4876" w:rsidP="00BE4876">
            <w:pPr>
              <w:suppressAutoHyphens/>
              <w:autoSpaceDN w:val="0"/>
              <w:jc w:val="right"/>
              <w:rPr>
                <w:rFonts w:ascii="Arial" w:eastAsia="Times New Roman" w:hAnsi="Arial" w:cs="Arial"/>
                <w:bCs/>
                <w:i/>
                <w:color w:val="000000" w:themeColor="text1"/>
                <w:sz w:val="18"/>
                <w:szCs w:val="18"/>
              </w:rPr>
            </w:pPr>
            <w:r w:rsidRPr="00232FE4">
              <w:rPr>
                <w:rFonts w:ascii="Arial" w:hAnsi="Arial" w:cs="Arial"/>
                <w:i/>
                <w:sz w:val="18"/>
                <w:szCs w:val="18"/>
              </w:rPr>
              <w:t xml:space="preserve"> 216 </w:t>
            </w:r>
          </w:p>
        </w:tc>
        <w:tc>
          <w:tcPr>
            <w:tcW w:w="1134" w:type="dxa"/>
            <w:tcBorders>
              <w:top w:val="single" w:sz="4" w:space="0" w:color="auto"/>
              <w:left w:val="nil"/>
              <w:bottom w:val="single" w:sz="4" w:space="0" w:color="auto"/>
              <w:right w:val="nil"/>
            </w:tcBorders>
            <w:shd w:val="clear" w:color="auto" w:fill="auto"/>
            <w:vAlign w:val="bottom"/>
          </w:tcPr>
          <w:p w14:paraId="558179C5" w14:textId="355F0A24" w:rsidR="00BE4876" w:rsidRPr="00232FE4" w:rsidRDefault="005228BE" w:rsidP="00BE4876">
            <w:pPr>
              <w:suppressAutoHyphens/>
              <w:autoSpaceDN w:val="0"/>
              <w:jc w:val="right"/>
              <w:rPr>
                <w:rFonts w:ascii="Arial" w:eastAsia="Times New Roman" w:hAnsi="Arial" w:cs="Arial"/>
                <w:bCs/>
                <w:i/>
                <w:color w:val="000000" w:themeColor="text1"/>
                <w:sz w:val="18"/>
                <w:szCs w:val="18"/>
              </w:rPr>
            </w:pPr>
            <w:r w:rsidRPr="00232FE4">
              <w:rPr>
                <w:rFonts w:ascii="Arial" w:eastAsia="Times New Roman" w:hAnsi="Arial" w:cs="Arial"/>
                <w:bCs/>
                <w:i/>
                <w:color w:val="000000" w:themeColor="text1"/>
                <w:sz w:val="18"/>
                <w:szCs w:val="18"/>
              </w:rPr>
              <w:t>(95)</w:t>
            </w:r>
          </w:p>
        </w:tc>
        <w:tc>
          <w:tcPr>
            <w:tcW w:w="1134" w:type="dxa"/>
            <w:tcBorders>
              <w:top w:val="single" w:sz="4" w:space="0" w:color="auto"/>
              <w:left w:val="nil"/>
              <w:bottom w:val="single" w:sz="4" w:space="0" w:color="auto"/>
              <w:right w:val="nil"/>
            </w:tcBorders>
            <w:shd w:val="clear" w:color="auto" w:fill="auto"/>
            <w:vAlign w:val="bottom"/>
          </w:tcPr>
          <w:p w14:paraId="63295CA5" w14:textId="6A3CED02" w:rsidR="00BE4876" w:rsidRPr="00232FE4" w:rsidRDefault="00BE4876" w:rsidP="00BE4876">
            <w:pPr>
              <w:suppressAutoHyphens/>
              <w:autoSpaceDN w:val="0"/>
              <w:jc w:val="right"/>
              <w:rPr>
                <w:rFonts w:ascii="Arial" w:eastAsia="Times New Roman" w:hAnsi="Arial" w:cs="Arial"/>
                <w:i/>
                <w:color w:val="000000" w:themeColor="text1"/>
                <w:sz w:val="18"/>
                <w:szCs w:val="18"/>
              </w:rPr>
            </w:pPr>
            <w:r w:rsidRPr="00232FE4">
              <w:rPr>
                <w:rFonts w:ascii="Arial" w:eastAsia="Times New Roman" w:hAnsi="Arial" w:cs="Arial"/>
                <w:i/>
                <w:color w:val="000000" w:themeColor="text1"/>
                <w:sz w:val="18"/>
                <w:szCs w:val="18"/>
              </w:rPr>
              <w:t>218</w:t>
            </w:r>
          </w:p>
        </w:tc>
      </w:tr>
      <w:tr w:rsidR="00BE4876" w:rsidRPr="000116C5" w14:paraId="10BC48BF" w14:textId="77777777" w:rsidTr="000116C5">
        <w:trPr>
          <w:trHeight w:val="379"/>
        </w:trPr>
        <w:tc>
          <w:tcPr>
            <w:tcW w:w="4707" w:type="dxa"/>
            <w:tcBorders>
              <w:top w:val="nil"/>
              <w:left w:val="nil"/>
              <w:bottom w:val="nil"/>
              <w:right w:val="nil"/>
            </w:tcBorders>
            <w:shd w:val="clear" w:color="auto" w:fill="auto"/>
            <w:vAlign w:val="bottom"/>
          </w:tcPr>
          <w:p w14:paraId="159FA7CC" w14:textId="77777777" w:rsidR="00BE4876" w:rsidRPr="000116C5" w:rsidRDefault="00BE4876" w:rsidP="00BE4876">
            <w:pPr>
              <w:suppressAutoHyphens/>
              <w:autoSpaceDN w:val="0"/>
              <w:rPr>
                <w:rFonts w:ascii="Arial" w:eastAsia="Times New Roman" w:hAnsi="Arial" w:cs="Arial"/>
                <w:b/>
                <w:bCs/>
                <w:color w:val="000000" w:themeColor="text1"/>
                <w:sz w:val="18"/>
                <w:szCs w:val="18"/>
              </w:rPr>
            </w:pPr>
            <w:r w:rsidRPr="000116C5">
              <w:rPr>
                <w:rFonts w:ascii="Arial" w:eastAsia="Times New Roman" w:hAnsi="Arial" w:cs="Arial"/>
                <w:b/>
                <w:bCs/>
                <w:color w:val="000000" w:themeColor="text1"/>
                <w:sz w:val="18"/>
                <w:szCs w:val="18"/>
              </w:rPr>
              <w:t>Stanje na kraju izvještajnog razdoblja</w:t>
            </w:r>
          </w:p>
        </w:tc>
        <w:tc>
          <w:tcPr>
            <w:tcW w:w="1134" w:type="dxa"/>
            <w:tcBorders>
              <w:top w:val="single" w:sz="4" w:space="0" w:color="auto"/>
              <w:left w:val="nil"/>
              <w:bottom w:val="single" w:sz="12" w:space="0" w:color="auto"/>
              <w:right w:val="nil"/>
            </w:tcBorders>
            <w:vAlign w:val="bottom"/>
          </w:tcPr>
          <w:p w14:paraId="28F4FF1F" w14:textId="21A1DEC6" w:rsidR="00BE4876" w:rsidRPr="000116C5" w:rsidRDefault="00232FE4" w:rsidP="00BE4876">
            <w:pPr>
              <w:suppressAutoHyphens/>
              <w:autoSpaceDN w:val="0"/>
              <w:jc w:val="right"/>
              <w:rPr>
                <w:rFonts w:ascii="Arial" w:eastAsia="Times New Roman" w:hAnsi="Arial" w:cs="Arial"/>
                <w:b/>
                <w:color w:val="000000" w:themeColor="text1"/>
                <w:sz w:val="18"/>
                <w:szCs w:val="18"/>
              </w:rPr>
            </w:pPr>
            <w:r>
              <w:rPr>
                <w:rFonts w:ascii="Arial" w:eastAsia="Times New Roman" w:hAnsi="Arial" w:cs="Arial"/>
                <w:b/>
                <w:color w:val="000000" w:themeColor="text1"/>
                <w:sz w:val="18"/>
                <w:szCs w:val="18"/>
              </w:rPr>
              <w:t>129</w:t>
            </w:r>
          </w:p>
        </w:tc>
        <w:tc>
          <w:tcPr>
            <w:tcW w:w="1134" w:type="dxa"/>
            <w:tcBorders>
              <w:top w:val="single" w:sz="4" w:space="0" w:color="auto"/>
              <w:left w:val="nil"/>
              <w:bottom w:val="single" w:sz="12" w:space="0" w:color="auto"/>
              <w:right w:val="nil"/>
            </w:tcBorders>
            <w:vAlign w:val="bottom"/>
          </w:tcPr>
          <w:p w14:paraId="59EC2313" w14:textId="23ED08AC" w:rsidR="00BE4876" w:rsidRPr="000116C5" w:rsidRDefault="00BE4876" w:rsidP="00BE4876">
            <w:pPr>
              <w:suppressAutoHyphens/>
              <w:autoSpaceDN w:val="0"/>
              <w:jc w:val="right"/>
              <w:rPr>
                <w:rFonts w:ascii="Arial" w:eastAsia="Times New Roman" w:hAnsi="Arial" w:cs="Arial"/>
                <w:b/>
                <w:color w:val="000000" w:themeColor="text1"/>
                <w:sz w:val="18"/>
                <w:szCs w:val="18"/>
              </w:rPr>
            </w:pPr>
            <w:r>
              <w:rPr>
                <w:rFonts w:ascii="Arial" w:eastAsia="Times New Roman" w:hAnsi="Arial" w:cs="Arial"/>
                <w:b/>
                <w:color w:val="000000" w:themeColor="text1"/>
                <w:sz w:val="18"/>
                <w:szCs w:val="18"/>
              </w:rPr>
              <w:t>221</w:t>
            </w:r>
          </w:p>
        </w:tc>
        <w:tc>
          <w:tcPr>
            <w:tcW w:w="1134" w:type="dxa"/>
            <w:tcBorders>
              <w:top w:val="single" w:sz="4" w:space="0" w:color="auto"/>
              <w:left w:val="nil"/>
              <w:bottom w:val="single" w:sz="12" w:space="0" w:color="auto"/>
              <w:right w:val="nil"/>
            </w:tcBorders>
            <w:vAlign w:val="bottom"/>
          </w:tcPr>
          <w:p w14:paraId="530A6F6F" w14:textId="6AB67770" w:rsidR="00BE4876" w:rsidRPr="000116C5" w:rsidRDefault="00F634FE" w:rsidP="00BE4876">
            <w:pPr>
              <w:suppressAutoHyphens/>
              <w:autoSpaceDN w:val="0"/>
              <w:jc w:val="right"/>
              <w:rPr>
                <w:rFonts w:ascii="Arial" w:eastAsia="Times New Roman" w:hAnsi="Arial" w:cs="Arial"/>
                <w:b/>
                <w:color w:val="000000" w:themeColor="text1"/>
                <w:sz w:val="18"/>
                <w:szCs w:val="18"/>
              </w:rPr>
            </w:pPr>
            <w:r>
              <w:rPr>
                <w:rFonts w:ascii="Arial" w:eastAsia="Times New Roman" w:hAnsi="Arial" w:cs="Arial"/>
                <w:b/>
                <w:color w:val="000000" w:themeColor="text1"/>
                <w:sz w:val="18"/>
                <w:szCs w:val="18"/>
              </w:rPr>
              <w:t>123</w:t>
            </w:r>
          </w:p>
        </w:tc>
        <w:tc>
          <w:tcPr>
            <w:tcW w:w="1134" w:type="dxa"/>
            <w:tcBorders>
              <w:top w:val="single" w:sz="4" w:space="0" w:color="auto"/>
              <w:left w:val="nil"/>
              <w:bottom w:val="single" w:sz="12" w:space="0" w:color="auto"/>
              <w:right w:val="nil"/>
            </w:tcBorders>
            <w:vAlign w:val="bottom"/>
          </w:tcPr>
          <w:p w14:paraId="5261E5DE" w14:textId="3E5D49AE" w:rsidR="00BE4876" w:rsidRPr="000116C5" w:rsidRDefault="00BE4876" w:rsidP="00BE4876">
            <w:pPr>
              <w:suppressAutoHyphens/>
              <w:autoSpaceDN w:val="0"/>
              <w:jc w:val="right"/>
              <w:rPr>
                <w:rFonts w:ascii="Arial" w:eastAsia="Times New Roman" w:hAnsi="Arial" w:cs="Arial"/>
                <w:b/>
                <w:color w:val="000000" w:themeColor="text1"/>
                <w:sz w:val="18"/>
                <w:szCs w:val="18"/>
              </w:rPr>
            </w:pPr>
            <w:r>
              <w:rPr>
                <w:rFonts w:ascii="Arial" w:eastAsia="Times New Roman" w:hAnsi="Arial" w:cs="Arial"/>
                <w:b/>
                <w:color w:val="000000" w:themeColor="text1"/>
                <w:sz w:val="18"/>
                <w:szCs w:val="18"/>
              </w:rPr>
              <w:t>218</w:t>
            </w:r>
          </w:p>
        </w:tc>
      </w:tr>
    </w:tbl>
    <w:p w14:paraId="67D731AD" w14:textId="719E6B09" w:rsidR="005D5085" w:rsidRPr="003D1614" w:rsidRDefault="005D5085" w:rsidP="005D5085">
      <w:pPr>
        <w:keepNext/>
        <w:suppressAutoHyphens/>
        <w:autoSpaceDN w:val="0"/>
        <w:spacing w:after="120"/>
        <w:jc w:val="both"/>
        <w:outlineLvl w:val="0"/>
        <w:rPr>
          <w:rFonts w:ascii="Arial" w:eastAsia="Times New Roman" w:hAnsi="Arial" w:cs="Arial"/>
          <w:color w:val="000000" w:themeColor="text1"/>
          <w:sz w:val="20"/>
          <w:szCs w:val="20"/>
        </w:rPr>
      </w:pPr>
    </w:p>
    <w:p w14:paraId="0C7413BE" w14:textId="77777777" w:rsidR="005D5085" w:rsidRPr="003D1614" w:rsidRDefault="005D5085" w:rsidP="005D5085">
      <w:pPr>
        <w:keepNext/>
        <w:suppressAutoHyphens/>
        <w:autoSpaceDN w:val="0"/>
        <w:spacing w:after="120"/>
        <w:jc w:val="both"/>
        <w:outlineLvl w:val="0"/>
        <w:rPr>
          <w:rFonts w:ascii="Arial" w:eastAsia="Times New Roman" w:hAnsi="Arial" w:cs="Arial"/>
          <w:color w:val="000000" w:themeColor="text1"/>
          <w:sz w:val="20"/>
          <w:szCs w:val="20"/>
        </w:rPr>
        <w:sectPr w:rsidR="005D5085" w:rsidRPr="003D1614">
          <w:pgSz w:w="11906" w:h="16838"/>
          <w:pgMar w:top="1417" w:right="1417" w:bottom="1417" w:left="1417" w:header="708" w:footer="708" w:gutter="0"/>
          <w:cols w:space="708"/>
          <w:docGrid w:linePitch="360"/>
        </w:sectPr>
      </w:pPr>
    </w:p>
    <w:p w14:paraId="5634A219" w14:textId="77777777" w:rsidR="005D5085" w:rsidRPr="003D1614" w:rsidRDefault="005D5085" w:rsidP="005D5085">
      <w:pPr>
        <w:keepNext/>
        <w:suppressAutoHyphens/>
        <w:autoSpaceDN w:val="0"/>
        <w:jc w:val="both"/>
        <w:outlineLvl w:val="0"/>
        <w:rPr>
          <w:rFonts w:ascii="Arial" w:eastAsia="Times New Roman" w:hAnsi="Arial" w:cs="Arial"/>
          <w:b/>
          <w:bCs/>
          <w:color w:val="000000" w:themeColor="text1"/>
          <w:sz w:val="20"/>
          <w:szCs w:val="20"/>
        </w:rPr>
      </w:pPr>
    </w:p>
    <w:p w14:paraId="3C3B70AC" w14:textId="6D25887F" w:rsidR="005D5085" w:rsidRPr="003D1614" w:rsidRDefault="005D5085" w:rsidP="005D5085">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11.</w:t>
      </w:r>
      <w:r w:rsidRPr="003D1614">
        <w:rPr>
          <w:rFonts w:ascii="Arial" w:eastAsia="Times New Roman" w:hAnsi="Arial" w:cs="Arial"/>
          <w:b/>
          <w:bCs/>
          <w:color w:val="000000" w:themeColor="text1"/>
          <w:sz w:val="20"/>
          <w:szCs w:val="20"/>
        </w:rPr>
        <w:tab/>
        <w:t>Krediti financijskim institucijama</w:t>
      </w:r>
    </w:p>
    <w:p w14:paraId="4F5E5D49" w14:textId="77777777" w:rsidR="005D5085" w:rsidRPr="003D1614" w:rsidRDefault="005D5085" w:rsidP="005D5085">
      <w:pPr>
        <w:tabs>
          <w:tab w:val="left" w:pos="-720"/>
        </w:tabs>
        <w:suppressAutoHyphens/>
        <w:autoSpaceDN w:val="0"/>
        <w:rPr>
          <w:rFonts w:ascii="Arial" w:eastAsia="Times New Roman" w:hAnsi="Arial" w:cs="Arial"/>
          <w:color w:val="000000" w:themeColor="text1"/>
          <w:sz w:val="20"/>
          <w:szCs w:val="20"/>
        </w:rPr>
      </w:pPr>
    </w:p>
    <w:tbl>
      <w:tblPr>
        <w:tblW w:w="4789" w:type="pct"/>
        <w:tblLayout w:type="fixed"/>
        <w:tblCellMar>
          <w:left w:w="119" w:type="dxa"/>
          <w:right w:w="119" w:type="dxa"/>
        </w:tblCellMar>
        <w:tblLook w:val="0000" w:firstRow="0" w:lastRow="0" w:firstColumn="0" w:lastColumn="0" w:noHBand="0" w:noVBand="0"/>
      </w:tblPr>
      <w:tblGrid>
        <w:gridCol w:w="5408"/>
        <w:gridCol w:w="1639"/>
        <w:gridCol w:w="1642"/>
      </w:tblGrid>
      <w:tr w:rsidR="005D5085" w:rsidRPr="00E002E0" w14:paraId="64C0D873" w14:textId="77777777" w:rsidTr="007478FB">
        <w:trPr>
          <w:trHeight w:val="249"/>
        </w:trPr>
        <w:tc>
          <w:tcPr>
            <w:tcW w:w="3112" w:type="pct"/>
            <w:vAlign w:val="bottom"/>
          </w:tcPr>
          <w:p w14:paraId="722D9B73" w14:textId="77777777" w:rsidR="005D5085" w:rsidRPr="00E002E0" w:rsidRDefault="005D5085" w:rsidP="005D5085">
            <w:pPr>
              <w:tabs>
                <w:tab w:val="left" w:pos="-720"/>
              </w:tabs>
              <w:suppressAutoHyphens/>
              <w:autoSpaceDN w:val="0"/>
              <w:jc w:val="right"/>
              <w:rPr>
                <w:rFonts w:ascii="Arial" w:eastAsia="Times New Roman" w:hAnsi="Arial" w:cs="Arial"/>
                <w:color w:val="000000" w:themeColor="text1"/>
                <w:spacing w:val="-3"/>
                <w:sz w:val="20"/>
                <w:szCs w:val="20"/>
              </w:rPr>
            </w:pPr>
          </w:p>
        </w:tc>
        <w:tc>
          <w:tcPr>
            <w:tcW w:w="1888" w:type="pct"/>
            <w:gridSpan w:val="2"/>
            <w:vAlign w:val="bottom"/>
          </w:tcPr>
          <w:p w14:paraId="5AB17420" w14:textId="77777777" w:rsidR="005D5085" w:rsidRPr="00E002E0" w:rsidRDefault="005D5085" w:rsidP="005D5085">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327" w:name="_Toc67327969"/>
            <w:r w:rsidRPr="00E002E0">
              <w:rPr>
                <w:rFonts w:ascii="Arial" w:eastAsia="Times New Roman" w:hAnsi="Arial" w:cs="Arial"/>
                <w:b/>
                <w:color w:val="000000" w:themeColor="text1"/>
                <w:sz w:val="20"/>
                <w:szCs w:val="20"/>
              </w:rPr>
              <w:t>Grupa i Banka</w:t>
            </w:r>
            <w:bookmarkEnd w:id="327"/>
          </w:p>
        </w:tc>
      </w:tr>
      <w:tr w:rsidR="005D5085" w:rsidRPr="00E002E0" w14:paraId="32CFEBA7" w14:textId="77777777" w:rsidTr="007478FB">
        <w:trPr>
          <w:trHeight w:val="152"/>
        </w:trPr>
        <w:tc>
          <w:tcPr>
            <w:tcW w:w="3112" w:type="pct"/>
            <w:vAlign w:val="bottom"/>
          </w:tcPr>
          <w:p w14:paraId="553C9209" w14:textId="77777777" w:rsidR="005D5085" w:rsidRPr="00E002E0" w:rsidRDefault="005D5085" w:rsidP="005D5085">
            <w:pPr>
              <w:tabs>
                <w:tab w:val="left" w:pos="-720"/>
              </w:tabs>
              <w:suppressAutoHyphens/>
              <w:autoSpaceDN w:val="0"/>
              <w:jc w:val="right"/>
              <w:rPr>
                <w:rFonts w:ascii="Arial" w:eastAsia="Times New Roman" w:hAnsi="Arial" w:cs="Arial"/>
                <w:color w:val="000000" w:themeColor="text1"/>
                <w:spacing w:val="-3"/>
                <w:sz w:val="20"/>
                <w:szCs w:val="20"/>
              </w:rPr>
            </w:pPr>
          </w:p>
        </w:tc>
        <w:tc>
          <w:tcPr>
            <w:tcW w:w="943" w:type="pct"/>
            <w:vAlign w:val="bottom"/>
          </w:tcPr>
          <w:p w14:paraId="620CD2CE" w14:textId="77777777" w:rsidR="002F4581" w:rsidRDefault="002F4581" w:rsidP="005D5085">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328" w:name="_Toc67327970"/>
            <w:r w:rsidRPr="002F4581">
              <w:rPr>
                <w:rFonts w:ascii="Arial" w:eastAsia="Times New Roman" w:hAnsi="Arial" w:cs="Arial"/>
                <w:b/>
                <w:color w:val="000000" w:themeColor="text1"/>
                <w:sz w:val="20"/>
                <w:szCs w:val="20"/>
              </w:rPr>
              <w:t xml:space="preserve">30. rujna </w:t>
            </w:r>
          </w:p>
          <w:p w14:paraId="0FBB5071" w14:textId="7431D6D4" w:rsidR="005D5085" w:rsidRPr="00E002E0" w:rsidRDefault="002F4581" w:rsidP="005D5085">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2F4581">
              <w:rPr>
                <w:rFonts w:ascii="Arial" w:eastAsia="Times New Roman" w:hAnsi="Arial" w:cs="Arial"/>
                <w:b/>
                <w:color w:val="000000" w:themeColor="text1"/>
                <w:sz w:val="20"/>
                <w:szCs w:val="20"/>
              </w:rPr>
              <w:t>202</w:t>
            </w:r>
            <w:r w:rsidR="00307AB5">
              <w:rPr>
                <w:rFonts w:ascii="Arial" w:eastAsia="Times New Roman" w:hAnsi="Arial" w:cs="Arial"/>
                <w:b/>
                <w:color w:val="000000" w:themeColor="text1"/>
                <w:sz w:val="20"/>
                <w:szCs w:val="20"/>
              </w:rPr>
              <w:t>4</w:t>
            </w:r>
            <w:r w:rsidRPr="002F4581">
              <w:rPr>
                <w:rFonts w:ascii="Arial" w:eastAsia="Times New Roman" w:hAnsi="Arial" w:cs="Arial"/>
                <w:b/>
                <w:color w:val="000000" w:themeColor="text1"/>
                <w:sz w:val="20"/>
                <w:szCs w:val="20"/>
              </w:rPr>
              <w:t>.</w:t>
            </w:r>
            <w:bookmarkEnd w:id="328"/>
          </w:p>
        </w:tc>
        <w:tc>
          <w:tcPr>
            <w:tcW w:w="945" w:type="pct"/>
            <w:vAlign w:val="bottom"/>
          </w:tcPr>
          <w:p w14:paraId="2009CB7B" w14:textId="4DD00305" w:rsidR="005D5085" w:rsidRPr="00E002E0" w:rsidRDefault="005D5085" w:rsidP="005D5085">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329" w:name="_Toc67327971"/>
            <w:r w:rsidRPr="00E002E0">
              <w:rPr>
                <w:rFonts w:ascii="Arial" w:eastAsia="Times New Roman" w:hAnsi="Arial" w:cs="Arial"/>
                <w:b/>
                <w:color w:val="000000" w:themeColor="text1"/>
                <w:sz w:val="20"/>
                <w:szCs w:val="20"/>
              </w:rPr>
              <w:t>31. prosinca 202</w:t>
            </w:r>
            <w:r w:rsidR="00307AB5">
              <w:rPr>
                <w:rFonts w:ascii="Arial" w:eastAsia="Times New Roman" w:hAnsi="Arial" w:cs="Arial"/>
                <w:b/>
                <w:color w:val="000000" w:themeColor="text1"/>
                <w:sz w:val="20"/>
                <w:szCs w:val="20"/>
              </w:rPr>
              <w:t>3</w:t>
            </w:r>
            <w:r w:rsidRPr="00E002E0">
              <w:rPr>
                <w:rFonts w:ascii="Arial" w:eastAsia="Times New Roman" w:hAnsi="Arial" w:cs="Arial"/>
                <w:b/>
                <w:color w:val="000000" w:themeColor="text1"/>
                <w:sz w:val="20"/>
                <w:szCs w:val="20"/>
              </w:rPr>
              <w:t>.</w:t>
            </w:r>
            <w:bookmarkEnd w:id="329"/>
          </w:p>
        </w:tc>
      </w:tr>
      <w:tr w:rsidR="005D5085" w:rsidRPr="00E002E0" w14:paraId="713B47B3" w14:textId="77777777" w:rsidTr="007478FB">
        <w:trPr>
          <w:trHeight w:val="249"/>
        </w:trPr>
        <w:tc>
          <w:tcPr>
            <w:tcW w:w="3112" w:type="pct"/>
            <w:vAlign w:val="bottom"/>
          </w:tcPr>
          <w:p w14:paraId="6D902175" w14:textId="77777777" w:rsidR="005D5085" w:rsidRPr="00E002E0" w:rsidRDefault="005D5085" w:rsidP="005D5085">
            <w:pPr>
              <w:tabs>
                <w:tab w:val="left" w:pos="-720"/>
              </w:tabs>
              <w:suppressAutoHyphens/>
              <w:autoSpaceDN w:val="0"/>
              <w:jc w:val="right"/>
              <w:rPr>
                <w:rFonts w:ascii="Arial" w:eastAsia="Times New Roman" w:hAnsi="Arial" w:cs="Arial"/>
                <w:color w:val="000000" w:themeColor="text1"/>
                <w:spacing w:val="-3"/>
                <w:sz w:val="20"/>
                <w:szCs w:val="20"/>
              </w:rPr>
            </w:pPr>
          </w:p>
        </w:tc>
        <w:tc>
          <w:tcPr>
            <w:tcW w:w="943" w:type="pct"/>
            <w:vAlign w:val="bottom"/>
          </w:tcPr>
          <w:p w14:paraId="4D6083C2" w14:textId="3E7857BE" w:rsidR="005D5085" w:rsidRPr="00E002E0" w:rsidRDefault="005D5085" w:rsidP="005D5085">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330" w:name="_Toc67327972"/>
            <w:r w:rsidRPr="00E002E0">
              <w:rPr>
                <w:rFonts w:ascii="Arial" w:eastAsia="Times New Roman" w:hAnsi="Arial" w:cs="Arial"/>
                <w:b/>
                <w:color w:val="000000" w:themeColor="text1"/>
                <w:sz w:val="20"/>
                <w:szCs w:val="20"/>
              </w:rPr>
              <w:t>000 eura</w:t>
            </w:r>
            <w:bookmarkEnd w:id="330"/>
          </w:p>
        </w:tc>
        <w:tc>
          <w:tcPr>
            <w:tcW w:w="945" w:type="pct"/>
            <w:vAlign w:val="bottom"/>
          </w:tcPr>
          <w:p w14:paraId="0AAB85DE" w14:textId="65DF060A" w:rsidR="005D5085" w:rsidRPr="00E002E0" w:rsidRDefault="005D5085" w:rsidP="005D5085">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331" w:name="_Toc67327973"/>
            <w:r w:rsidRPr="00E002E0">
              <w:rPr>
                <w:rFonts w:ascii="Arial" w:eastAsia="Times New Roman" w:hAnsi="Arial" w:cs="Arial"/>
                <w:b/>
                <w:color w:val="000000" w:themeColor="text1"/>
                <w:sz w:val="20"/>
                <w:szCs w:val="20"/>
              </w:rPr>
              <w:t>000 eura</w:t>
            </w:r>
            <w:bookmarkEnd w:id="331"/>
          </w:p>
        </w:tc>
      </w:tr>
      <w:tr w:rsidR="005D5085" w:rsidRPr="00E002E0" w14:paraId="107D4FB5" w14:textId="77777777" w:rsidTr="007478FB">
        <w:trPr>
          <w:trHeight w:val="288"/>
        </w:trPr>
        <w:tc>
          <w:tcPr>
            <w:tcW w:w="3112" w:type="pct"/>
            <w:vAlign w:val="bottom"/>
          </w:tcPr>
          <w:p w14:paraId="0A3A84C2" w14:textId="77777777" w:rsidR="005D5085" w:rsidRPr="00E002E0" w:rsidRDefault="005D5085" w:rsidP="005D5085">
            <w:pPr>
              <w:tabs>
                <w:tab w:val="left" w:pos="-720"/>
              </w:tabs>
              <w:suppressAutoHyphens/>
              <w:autoSpaceDN w:val="0"/>
              <w:rPr>
                <w:rFonts w:ascii="Arial" w:eastAsia="Times New Roman" w:hAnsi="Arial" w:cs="Arial"/>
                <w:color w:val="000000" w:themeColor="text1"/>
                <w:spacing w:val="-2"/>
                <w:sz w:val="20"/>
                <w:szCs w:val="20"/>
              </w:rPr>
            </w:pPr>
          </w:p>
        </w:tc>
        <w:tc>
          <w:tcPr>
            <w:tcW w:w="943" w:type="pct"/>
            <w:vAlign w:val="bottom"/>
          </w:tcPr>
          <w:p w14:paraId="0203BB28" w14:textId="77777777" w:rsidR="005D5085" w:rsidRPr="00E002E0" w:rsidRDefault="005D5085" w:rsidP="005D5085">
            <w:pPr>
              <w:tabs>
                <w:tab w:val="left" w:pos="-720"/>
              </w:tabs>
              <w:suppressAutoHyphens/>
              <w:autoSpaceDN w:val="0"/>
              <w:jc w:val="right"/>
              <w:rPr>
                <w:rFonts w:ascii="Arial" w:eastAsia="Times New Roman" w:hAnsi="Arial" w:cs="Arial"/>
                <w:color w:val="000000" w:themeColor="text1"/>
                <w:spacing w:val="-2"/>
                <w:sz w:val="20"/>
                <w:szCs w:val="20"/>
              </w:rPr>
            </w:pPr>
          </w:p>
        </w:tc>
        <w:tc>
          <w:tcPr>
            <w:tcW w:w="945" w:type="pct"/>
            <w:vAlign w:val="bottom"/>
          </w:tcPr>
          <w:p w14:paraId="642F953E" w14:textId="77777777" w:rsidR="005D5085" w:rsidRPr="00E002E0" w:rsidRDefault="005D5085" w:rsidP="005D5085">
            <w:pPr>
              <w:tabs>
                <w:tab w:val="left" w:pos="-720"/>
              </w:tabs>
              <w:suppressAutoHyphens/>
              <w:autoSpaceDN w:val="0"/>
              <w:jc w:val="right"/>
              <w:rPr>
                <w:rFonts w:ascii="Arial" w:eastAsia="Times New Roman" w:hAnsi="Arial" w:cs="Arial"/>
                <w:color w:val="000000" w:themeColor="text1"/>
                <w:spacing w:val="-2"/>
                <w:sz w:val="20"/>
                <w:szCs w:val="20"/>
              </w:rPr>
            </w:pPr>
          </w:p>
        </w:tc>
      </w:tr>
      <w:tr w:rsidR="00895046" w:rsidRPr="00E002E0" w14:paraId="16DAA1CC" w14:textId="77777777" w:rsidTr="00894E47">
        <w:trPr>
          <w:trHeight w:val="259"/>
        </w:trPr>
        <w:tc>
          <w:tcPr>
            <w:tcW w:w="3112" w:type="pct"/>
            <w:vAlign w:val="bottom"/>
          </w:tcPr>
          <w:p w14:paraId="3267979D" w14:textId="77777777" w:rsidR="00895046" w:rsidRPr="00E002E0" w:rsidRDefault="00895046" w:rsidP="00895046">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32" w:name="_Toc67327974"/>
            <w:r w:rsidRPr="00E002E0">
              <w:rPr>
                <w:rFonts w:ascii="Arial" w:eastAsia="Times New Roman" w:hAnsi="Arial" w:cs="Arial"/>
                <w:color w:val="000000" w:themeColor="text1"/>
                <w:sz w:val="20"/>
                <w:szCs w:val="20"/>
              </w:rPr>
              <w:t>Dugoročni krediti po kreditnim programima</w:t>
            </w:r>
            <w:bookmarkEnd w:id="332"/>
          </w:p>
        </w:tc>
        <w:tc>
          <w:tcPr>
            <w:tcW w:w="943" w:type="pct"/>
            <w:tcBorders>
              <w:top w:val="nil"/>
              <w:left w:val="nil"/>
              <w:bottom w:val="nil"/>
              <w:right w:val="nil"/>
            </w:tcBorders>
            <w:shd w:val="clear" w:color="auto" w:fill="auto"/>
            <w:vAlign w:val="bottom"/>
          </w:tcPr>
          <w:p w14:paraId="4B30391A" w14:textId="54F23ADC" w:rsidR="00895046" w:rsidRPr="00894E47" w:rsidRDefault="00895046" w:rsidP="00895046">
            <w:pPr>
              <w:tabs>
                <w:tab w:val="right" w:pos="1202"/>
              </w:tabs>
              <w:suppressAutoHyphens/>
              <w:autoSpaceDN w:val="0"/>
              <w:spacing w:line="301" w:lineRule="exact"/>
              <w:jc w:val="right"/>
              <w:outlineLvl w:val="0"/>
              <w:rPr>
                <w:rFonts w:ascii="Arial" w:hAnsi="Arial" w:cs="Arial"/>
                <w:sz w:val="20"/>
                <w:szCs w:val="20"/>
              </w:rPr>
            </w:pPr>
            <w:r w:rsidRPr="00894E47">
              <w:rPr>
                <w:rFonts w:ascii="Arial" w:hAnsi="Arial" w:cs="Arial"/>
                <w:sz w:val="20"/>
                <w:szCs w:val="20"/>
              </w:rPr>
              <w:t xml:space="preserve"> 1.135.669 </w:t>
            </w:r>
          </w:p>
        </w:tc>
        <w:tc>
          <w:tcPr>
            <w:tcW w:w="945" w:type="pct"/>
            <w:tcBorders>
              <w:top w:val="nil"/>
              <w:left w:val="nil"/>
              <w:bottom w:val="nil"/>
              <w:right w:val="nil"/>
            </w:tcBorders>
            <w:shd w:val="clear" w:color="auto" w:fill="auto"/>
            <w:vAlign w:val="bottom"/>
          </w:tcPr>
          <w:p w14:paraId="140B76D6" w14:textId="41CC44C8" w:rsidR="00895046" w:rsidRPr="00E002E0" w:rsidRDefault="00895046" w:rsidP="00895046">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FB1EEB">
              <w:rPr>
                <w:rFonts w:ascii="Arial" w:hAnsi="Arial" w:cs="Arial"/>
                <w:color w:val="000000" w:themeColor="text1"/>
                <w:sz w:val="20"/>
              </w:rPr>
              <w:t xml:space="preserve"> 1.062.831 </w:t>
            </w:r>
          </w:p>
        </w:tc>
      </w:tr>
      <w:tr w:rsidR="00895046" w:rsidRPr="00E002E0" w14:paraId="058F1B69" w14:textId="77777777" w:rsidTr="00894E47">
        <w:trPr>
          <w:trHeight w:val="248"/>
        </w:trPr>
        <w:tc>
          <w:tcPr>
            <w:tcW w:w="3112" w:type="pct"/>
            <w:vAlign w:val="bottom"/>
          </w:tcPr>
          <w:p w14:paraId="5C7DCF79" w14:textId="77777777" w:rsidR="00895046" w:rsidRPr="00E002E0" w:rsidRDefault="00895046" w:rsidP="00895046">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33" w:name="_Toc67327977"/>
            <w:r w:rsidRPr="00E002E0">
              <w:rPr>
                <w:rFonts w:ascii="Arial" w:eastAsia="Times New Roman" w:hAnsi="Arial" w:cs="Arial"/>
                <w:color w:val="000000" w:themeColor="text1"/>
                <w:sz w:val="20"/>
                <w:szCs w:val="20"/>
              </w:rPr>
              <w:t>Kratkoročni plasmani i obrnuti repo poslovi</w:t>
            </w:r>
            <w:bookmarkEnd w:id="333"/>
          </w:p>
        </w:tc>
        <w:tc>
          <w:tcPr>
            <w:tcW w:w="943" w:type="pct"/>
            <w:tcBorders>
              <w:top w:val="nil"/>
              <w:left w:val="nil"/>
              <w:bottom w:val="nil"/>
              <w:right w:val="nil"/>
            </w:tcBorders>
            <w:shd w:val="clear" w:color="auto" w:fill="auto"/>
            <w:vAlign w:val="bottom"/>
          </w:tcPr>
          <w:p w14:paraId="618D2FEB" w14:textId="6BC8F810" w:rsidR="00895046" w:rsidRPr="00894E47" w:rsidRDefault="00895046" w:rsidP="00895046">
            <w:pPr>
              <w:tabs>
                <w:tab w:val="right" w:pos="1202"/>
              </w:tabs>
              <w:suppressAutoHyphens/>
              <w:autoSpaceDN w:val="0"/>
              <w:spacing w:line="301" w:lineRule="exact"/>
              <w:jc w:val="right"/>
              <w:outlineLvl w:val="0"/>
              <w:rPr>
                <w:rFonts w:ascii="Arial" w:hAnsi="Arial" w:cs="Arial"/>
                <w:sz w:val="20"/>
                <w:szCs w:val="20"/>
              </w:rPr>
            </w:pPr>
            <w:r w:rsidRPr="00894E47">
              <w:rPr>
                <w:rFonts w:ascii="Arial" w:hAnsi="Arial" w:cs="Arial"/>
                <w:sz w:val="20"/>
                <w:szCs w:val="20"/>
              </w:rPr>
              <w:t xml:space="preserve"> 40.000 </w:t>
            </w:r>
          </w:p>
        </w:tc>
        <w:tc>
          <w:tcPr>
            <w:tcW w:w="945" w:type="pct"/>
            <w:tcBorders>
              <w:top w:val="nil"/>
              <w:left w:val="nil"/>
              <w:bottom w:val="nil"/>
              <w:right w:val="nil"/>
            </w:tcBorders>
            <w:shd w:val="clear" w:color="auto" w:fill="auto"/>
            <w:vAlign w:val="bottom"/>
          </w:tcPr>
          <w:p w14:paraId="007437D8" w14:textId="54779195" w:rsidR="00895046" w:rsidRPr="00E002E0" w:rsidRDefault="00895046" w:rsidP="00895046">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FB1EEB">
              <w:rPr>
                <w:rFonts w:ascii="Arial" w:hAnsi="Arial" w:cs="Arial"/>
                <w:color w:val="000000" w:themeColor="text1"/>
                <w:sz w:val="20"/>
              </w:rPr>
              <w:t xml:space="preserve"> 193.000 </w:t>
            </w:r>
          </w:p>
        </w:tc>
      </w:tr>
      <w:tr w:rsidR="00895046" w:rsidRPr="00E002E0" w14:paraId="172A9A0C" w14:textId="77777777" w:rsidTr="00894E47">
        <w:trPr>
          <w:trHeight w:val="248"/>
        </w:trPr>
        <w:tc>
          <w:tcPr>
            <w:tcW w:w="3112" w:type="pct"/>
            <w:vAlign w:val="bottom"/>
          </w:tcPr>
          <w:p w14:paraId="5E1B38A0" w14:textId="77777777" w:rsidR="00895046" w:rsidRPr="00E002E0" w:rsidRDefault="00895046" w:rsidP="00895046">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34" w:name="_Toc67327980"/>
            <w:r w:rsidRPr="00E002E0">
              <w:rPr>
                <w:rFonts w:ascii="Arial" w:eastAsia="Times New Roman" w:hAnsi="Arial" w:cs="Arial"/>
                <w:color w:val="000000" w:themeColor="text1"/>
                <w:sz w:val="20"/>
                <w:szCs w:val="20"/>
              </w:rPr>
              <w:t>Obračunata kamata</w:t>
            </w:r>
            <w:bookmarkEnd w:id="334"/>
          </w:p>
        </w:tc>
        <w:tc>
          <w:tcPr>
            <w:tcW w:w="943" w:type="pct"/>
            <w:tcBorders>
              <w:top w:val="nil"/>
              <w:left w:val="nil"/>
              <w:bottom w:val="nil"/>
              <w:right w:val="nil"/>
            </w:tcBorders>
            <w:shd w:val="clear" w:color="auto" w:fill="auto"/>
            <w:vAlign w:val="bottom"/>
          </w:tcPr>
          <w:p w14:paraId="55584147" w14:textId="17E17E78" w:rsidR="00895046" w:rsidRPr="00894E47" w:rsidRDefault="00895046" w:rsidP="00895046">
            <w:pPr>
              <w:tabs>
                <w:tab w:val="right" w:pos="1202"/>
              </w:tabs>
              <w:suppressAutoHyphens/>
              <w:autoSpaceDN w:val="0"/>
              <w:spacing w:line="301" w:lineRule="exact"/>
              <w:jc w:val="right"/>
              <w:outlineLvl w:val="0"/>
              <w:rPr>
                <w:rFonts w:ascii="Arial" w:hAnsi="Arial" w:cs="Arial"/>
                <w:sz w:val="20"/>
                <w:szCs w:val="20"/>
              </w:rPr>
            </w:pPr>
            <w:r w:rsidRPr="00894E47">
              <w:rPr>
                <w:rFonts w:ascii="Arial" w:hAnsi="Arial" w:cs="Arial"/>
                <w:sz w:val="20"/>
                <w:szCs w:val="20"/>
              </w:rPr>
              <w:t xml:space="preserve"> 973 </w:t>
            </w:r>
          </w:p>
        </w:tc>
        <w:tc>
          <w:tcPr>
            <w:tcW w:w="945" w:type="pct"/>
            <w:tcBorders>
              <w:top w:val="nil"/>
              <w:left w:val="nil"/>
              <w:bottom w:val="nil"/>
              <w:right w:val="nil"/>
            </w:tcBorders>
            <w:shd w:val="clear" w:color="auto" w:fill="auto"/>
            <w:vAlign w:val="bottom"/>
          </w:tcPr>
          <w:p w14:paraId="35CD11A4" w14:textId="0A18F4AC" w:rsidR="00895046" w:rsidRPr="00E002E0" w:rsidRDefault="00895046" w:rsidP="00895046">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FB1EEB">
              <w:rPr>
                <w:rFonts w:ascii="Arial" w:hAnsi="Arial" w:cs="Arial"/>
                <w:color w:val="000000" w:themeColor="text1"/>
                <w:sz w:val="20"/>
              </w:rPr>
              <w:t xml:space="preserve"> 2.384 </w:t>
            </w:r>
          </w:p>
        </w:tc>
      </w:tr>
      <w:tr w:rsidR="00895046" w:rsidRPr="00E002E0" w14:paraId="17F93836" w14:textId="77777777" w:rsidTr="00894E47">
        <w:trPr>
          <w:trHeight w:val="152"/>
        </w:trPr>
        <w:tc>
          <w:tcPr>
            <w:tcW w:w="3112" w:type="pct"/>
            <w:vAlign w:val="bottom"/>
          </w:tcPr>
          <w:p w14:paraId="58646D30" w14:textId="77777777" w:rsidR="00895046" w:rsidRPr="00E002E0" w:rsidRDefault="00895046" w:rsidP="00895046">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35" w:name="_Toc67327983"/>
            <w:r w:rsidRPr="00E002E0">
              <w:rPr>
                <w:rFonts w:ascii="Arial" w:eastAsia="Times New Roman" w:hAnsi="Arial" w:cs="Arial"/>
                <w:color w:val="000000" w:themeColor="text1"/>
                <w:sz w:val="20"/>
                <w:szCs w:val="20"/>
              </w:rPr>
              <w:t>Odgođena naknada po kreditima</w:t>
            </w:r>
            <w:bookmarkEnd w:id="335"/>
          </w:p>
        </w:tc>
        <w:tc>
          <w:tcPr>
            <w:tcW w:w="943" w:type="pct"/>
            <w:tcBorders>
              <w:top w:val="nil"/>
              <w:left w:val="nil"/>
              <w:right w:val="nil"/>
            </w:tcBorders>
            <w:shd w:val="clear" w:color="auto" w:fill="auto"/>
            <w:vAlign w:val="bottom"/>
          </w:tcPr>
          <w:p w14:paraId="1FBDB86F" w14:textId="40BD706D" w:rsidR="00895046" w:rsidRPr="00894E47" w:rsidRDefault="00895046" w:rsidP="00895046">
            <w:pPr>
              <w:tabs>
                <w:tab w:val="right" w:pos="1202"/>
              </w:tabs>
              <w:suppressAutoHyphens/>
              <w:autoSpaceDN w:val="0"/>
              <w:spacing w:line="301" w:lineRule="exact"/>
              <w:jc w:val="right"/>
              <w:outlineLvl w:val="0"/>
              <w:rPr>
                <w:rFonts w:ascii="Arial" w:hAnsi="Arial" w:cs="Arial"/>
                <w:sz w:val="20"/>
                <w:szCs w:val="20"/>
              </w:rPr>
            </w:pPr>
            <w:r w:rsidRPr="00894E47">
              <w:rPr>
                <w:rFonts w:ascii="Arial" w:hAnsi="Arial" w:cs="Arial"/>
                <w:sz w:val="20"/>
                <w:szCs w:val="20"/>
              </w:rPr>
              <w:t xml:space="preserve"> (2.936)</w:t>
            </w:r>
          </w:p>
        </w:tc>
        <w:tc>
          <w:tcPr>
            <w:tcW w:w="945" w:type="pct"/>
            <w:tcBorders>
              <w:top w:val="nil"/>
              <w:left w:val="nil"/>
              <w:right w:val="nil"/>
            </w:tcBorders>
            <w:shd w:val="clear" w:color="auto" w:fill="auto"/>
            <w:vAlign w:val="bottom"/>
          </w:tcPr>
          <w:p w14:paraId="4C5946AD" w14:textId="7A6F2167" w:rsidR="00895046" w:rsidRPr="00E002E0" w:rsidRDefault="00895046" w:rsidP="00895046">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FB1EEB">
              <w:rPr>
                <w:rFonts w:ascii="Arial" w:hAnsi="Arial" w:cs="Arial"/>
                <w:color w:val="000000" w:themeColor="text1"/>
                <w:sz w:val="20"/>
              </w:rPr>
              <w:t xml:space="preserve"> (2.607)</w:t>
            </w:r>
          </w:p>
        </w:tc>
      </w:tr>
      <w:tr w:rsidR="00895046" w:rsidRPr="00E002E0" w14:paraId="1C82ACBB" w14:textId="77777777" w:rsidTr="00894E47">
        <w:trPr>
          <w:trHeight w:val="282"/>
        </w:trPr>
        <w:tc>
          <w:tcPr>
            <w:tcW w:w="3112" w:type="pct"/>
            <w:vAlign w:val="bottom"/>
          </w:tcPr>
          <w:p w14:paraId="4EEE2F88" w14:textId="77777777" w:rsidR="00895046" w:rsidRPr="00E002E0" w:rsidRDefault="00895046" w:rsidP="00895046">
            <w:pPr>
              <w:tabs>
                <w:tab w:val="left" w:pos="-720"/>
              </w:tabs>
              <w:suppressAutoHyphens/>
              <w:autoSpaceDN w:val="0"/>
              <w:rPr>
                <w:rFonts w:ascii="Arial" w:eastAsia="Times New Roman" w:hAnsi="Arial" w:cs="Arial"/>
                <w:iCs/>
                <w:color w:val="000000" w:themeColor="text1"/>
                <w:spacing w:val="-2"/>
                <w:sz w:val="20"/>
                <w:szCs w:val="20"/>
              </w:rPr>
            </w:pPr>
          </w:p>
        </w:tc>
        <w:tc>
          <w:tcPr>
            <w:tcW w:w="943" w:type="pct"/>
            <w:tcBorders>
              <w:top w:val="single" w:sz="4" w:space="0" w:color="auto"/>
              <w:bottom w:val="single" w:sz="4" w:space="0" w:color="auto"/>
            </w:tcBorders>
            <w:vAlign w:val="bottom"/>
          </w:tcPr>
          <w:p w14:paraId="22A24BED" w14:textId="3E8ECD3B" w:rsidR="00895046" w:rsidRPr="00894E47" w:rsidRDefault="00895046" w:rsidP="00895046">
            <w:pPr>
              <w:tabs>
                <w:tab w:val="right" w:pos="1202"/>
              </w:tabs>
              <w:suppressAutoHyphens/>
              <w:autoSpaceDN w:val="0"/>
              <w:spacing w:line="340" w:lineRule="exact"/>
              <w:jc w:val="right"/>
              <w:outlineLvl w:val="0"/>
              <w:rPr>
                <w:rFonts w:ascii="Arial" w:eastAsia="Times New Roman" w:hAnsi="Arial" w:cs="Arial"/>
                <w:color w:val="000000" w:themeColor="text1"/>
                <w:sz w:val="20"/>
                <w:szCs w:val="20"/>
              </w:rPr>
            </w:pPr>
            <w:r w:rsidRPr="00894E47">
              <w:rPr>
                <w:rFonts w:ascii="Arial" w:hAnsi="Arial" w:cs="Arial"/>
                <w:sz w:val="20"/>
                <w:szCs w:val="20"/>
              </w:rPr>
              <w:t xml:space="preserve"> 1.173.706 </w:t>
            </w:r>
          </w:p>
        </w:tc>
        <w:tc>
          <w:tcPr>
            <w:tcW w:w="945" w:type="pct"/>
            <w:tcBorders>
              <w:top w:val="single" w:sz="4" w:space="0" w:color="auto"/>
              <w:bottom w:val="single" w:sz="4" w:space="0" w:color="auto"/>
            </w:tcBorders>
            <w:vAlign w:val="bottom"/>
          </w:tcPr>
          <w:p w14:paraId="47477C91" w14:textId="14617218" w:rsidR="00895046" w:rsidRPr="00E002E0" w:rsidRDefault="00895046" w:rsidP="00895046">
            <w:pPr>
              <w:tabs>
                <w:tab w:val="right" w:pos="1202"/>
              </w:tabs>
              <w:suppressAutoHyphens/>
              <w:autoSpaceDN w:val="0"/>
              <w:spacing w:line="340" w:lineRule="exact"/>
              <w:jc w:val="right"/>
              <w:outlineLvl w:val="0"/>
              <w:rPr>
                <w:rFonts w:ascii="Arial" w:eastAsia="Times New Roman" w:hAnsi="Arial" w:cs="Arial"/>
                <w:color w:val="000000" w:themeColor="text1"/>
                <w:sz w:val="20"/>
                <w:szCs w:val="20"/>
              </w:rPr>
            </w:pPr>
            <w:r w:rsidRPr="00FB1EEB">
              <w:rPr>
                <w:rFonts w:ascii="Arial" w:hAnsi="Arial" w:cs="Arial"/>
                <w:color w:val="000000" w:themeColor="text1"/>
                <w:sz w:val="20"/>
              </w:rPr>
              <w:t>1.255.608</w:t>
            </w:r>
          </w:p>
        </w:tc>
      </w:tr>
      <w:tr w:rsidR="00EE0936" w:rsidRPr="00E002E0" w14:paraId="6077979C" w14:textId="77777777" w:rsidTr="00894E47">
        <w:trPr>
          <w:trHeight w:val="112"/>
        </w:trPr>
        <w:tc>
          <w:tcPr>
            <w:tcW w:w="3112" w:type="pct"/>
            <w:vAlign w:val="bottom"/>
          </w:tcPr>
          <w:p w14:paraId="5C29448B" w14:textId="77777777" w:rsidR="00EE0936" w:rsidRPr="00E002E0" w:rsidRDefault="00EE0936" w:rsidP="00EE0936">
            <w:pPr>
              <w:tabs>
                <w:tab w:val="left" w:pos="-720"/>
              </w:tabs>
              <w:suppressAutoHyphens/>
              <w:autoSpaceDN w:val="0"/>
              <w:rPr>
                <w:rFonts w:ascii="Arial" w:eastAsia="Times New Roman" w:hAnsi="Arial" w:cs="Arial"/>
                <w:iCs/>
                <w:color w:val="000000" w:themeColor="text1"/>
                <w:spacing w:val="-2"/>
                <w:sz w:val="20"/>
                <w:szCs w:val="20"/>
              </w:rPr>
            </w:pPr>
          </w:p>
        </w:tc>
        <w:tc>
          <w:tcPr>
            <w:tcW w:w="943" w:type="pct"/>
            <w:tcBorders>
              <w:top w:val="single" w:sz="4" w:space="0" w:color="auto"/>
            </w:tcBorders>
            <w:vAlign w:val="bottom"/>
          </w:tcPr>
          <w:p w14:paraId="363774B2" w14:textId="77777777" w:rsidR="00EE0936" w:rsidRPr="00894E47" w:rsidRDefault="00EE0936" w:rsidP="00EE0936">
            <w:pPr>
              <w:suppressAutoHyphens/>
              <w:autoSpaceDN w:val="0"/>
              <w:jc w:val="right"/>
              <w:rPr>
                <w:rFonts w:ascii="Arial" w:eastAsia="Times New Roman" w:hAnsi="Arial" w:cs="Arial"/>
                <w:iCs/>
                <w:color w:val="000000" w:themeColor="text1"/>
                <w:spacing w:val="-2"/>
                <w:sz w:val="20"/>
                <w:szCs w:val="20"/>
              </w:rPr>
            </w:pPr>
          </w:p>
        </w:tc>
        <w:tc>
          <w:tcPr>
            <w:tcW w:w="945" w:type="pct"/>
            <w:tcBorders>
              <w:top w:val="single" w:sz="4" w:space="0" w:color="auto"/>
            </w:tcBorders>
            <w:vAlign w:val="bottom"/>
          </w:tcPr>
          <w:p w14:paraId="08848F3C" w14:textId="77777777" w:rsidR="00EE0936" w:rsidRPr="00E002E0" w:rsidRDefault="00EE0936" w:rsidP="00EE0936">
            <w:pPr>
              <w:suppressAutoHyphens/>
              <w:autoSpaceDN w:val="0"/>
              <w:jc w:val="right"/>
              <w:rPr>
                <w:rFonts w:ascii="Arial" w:eastAsia="Times New Roman" w:hAnsi="Arial" w:cs="Arial"/>
                <w:iCs/>
                <w:color w:val="000000" w:themeColor="text1"/>
                <w:spacing w:val="-2"/>
                <w:sz w:val="20"/>
                <w:szCs w:val="20"/>
              </w:rPr>
            </w:pPr>
          </w:p>
        </w:tc>
      </w:tr>
      <w:tr w:rsidR="00894E47" w:rsidRPr="00E002E0" w14:paraId="60AB687C" w14:textId="77777777" w:rsidTr="00894E47">
        <w:trPr>
          <w:trHeight w:val="248"/>
        </w:trPr>
        <w:tc>
          <w:tcPr>
            <w:tcW w:w="3112" w:type="pct"/>
            <w:vAlign w:val="bottom"/>
          </w:tcPr>
          <w:p w14:paraId="670018F5" w14:textId="77777777" w:rsidR="00894E47" w:rsidRPr="00E002E0" w:rsidRDefault="00894E47" w:rsidP="00894E47">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36" w:name="_Toc67327988"/>
            <w:r w:rsidRPr="00E002E0">
              <w:rPr>
                <w:rFonts w:ascii="Arial" w:eastAsia="Times New Roman" w:hAnsi="Arial" w:cs="Arial"/>
                <w:color w:val="000000" w:themeColor="text1"/>
                <w:sz w:val="20"/>
                <w:szCs w:val="20"/>
              </w:rPr>
              <w:t>Rezerviranja za očekivane gubitke</w:t>
            </w:r>
            <w:bookmarkEnd w:id="336"/>
          </w:p>
        </w:tc>
        <w:tc>
          <w:tcPr>
            <w:tcW w:w="943" w:type="pct"/>
            <w:tcBorders>
              <w:bottom w:val="single" w:sz="4" w:space="0" w:color="auto"/>
            </w:tcBorders>
            <w:vAlign w:val="bottom"/>
          </w:tcPr>
          <w:p w14:paraId="09CA4E51" w14:textId="1D6F0041" w:rsidR="00894E47" w:rsidRPr="00894E47" w:rsidRDefault="00894E47" w:rsidP="00894E47">
            <w:pPr>
              <w:tabs>
                <w:tab w:val="left" w:pos="-720"/>
              </w:tabs>
              <w:suppressAutoHyphens/>
              <w:autoSpaceDN w:val="0"/>
              <w:jc w:val="right"/>
              <w:rPr>
                <w:rFonts w:ascii="Arial" w:eastAsia="Times New Roman" w:hAnsi="Arial" w:cs="Arial"/>
                <w:color w:val="000000" w:themeColor="text1"/>
                <w:sz w:val="20"/>
                <w:szCs w:val="20"/>
              </w:rPr>
            </w:pPr>
            <w:r w:rsidRPr="00894E47">
              <w:rPr>
                <w:rFonts w:ascii="Arial" w:hAnsi="Arial" w:cs="Arial"/>
                <w:sz w:val="20"/>
                <w:szCs w:val="20"/>
              </w:rPr>
              <w:t xml:space="preserve"> (6.502)</w:t>
            </w:r>
          </w:p>
        </w:tc>
        <w:tc>
          <w:tcPr>
            <w:tcW w:w="945" w:type="pct"/>
            <w:tcBorders>
              <w:bottom w:val="single" w:sz="4" w:space="0" w:color="auto"/>
            </w:tcBorders>
            <w:vAlign w:val="bottom"/>
          </w:tcPr>
          <w:p w14:paraId="312B2EB3" w14:textId="7962B7FD" w:rsidR="00894E47" w:rsidRPr="00E002E0" w:rsidRDefault="00894E47" w:rsidP="00894E47">
            <w:pPr>
              <w:tabs>
                <w:tab w:val="left" w:pos="-720"/>
              </w:tabs>
              <w:suppressAutoHyphens/>
              <w:autoSpaceDN w:val="0"/>
              <w:jc w:val="right"/>
              <w:rPr>
                <w:rFonts w:ascii="Arial" w:eastAsia="Times New Roman" w:hAnsi="Arial" w:cs="Arial"/>
                <w:color w:val="000000" w:themeColor="text1"/>
                <w:sz w:val="20"/>
                <w:szCs w:val="20"/>
              </w:rPr>
            </w:pPr>
            <w:r w:rsidRPr="00FB1EEB">
              <w:rPr>
                <w:rFonts w:ascii="Arial" w:hAnsi="Arial" w:cs="Arial"/>
                <w:color w:val="000000" w:themeColor="text1"/>
                <w:sz w:val="20"/>
                <w:szCs w:val="20"/>
              </w:rPr>
              <w:t>(6.727)</w:t>
            </w:r>
          </w:p>
        </w:tc>
      </w:tr>
      <w:tr w:rsidR="00894E47" w:rsidRPr="00E002E0" w14:paraId="0CE6709E" w14:textId="77777777" w:rsidTr="00894E47">
        <w:trPr>
          <w:trHeight w:val="70"/>
        </w:trPr>
        <w:tc>
          <w:tcPr>
            <w:tcW w:w="3112" w:type="pct"/>
            <w:vAlign w:val="bottom"/>
          </w:tcPr>
          <w:p w14:paraId="2AD4469F" w14:textId="77777777" w:rsidR="00894E47" w:rsidRPr="00E002E0" w:rsidRDefault="00894E47" w:rsidP="00894E47">
            <w:pPr>
              <w:tabs>
                <w:tab w:val="left" w:pos="-720"/>
              </w:tabs>
              <w:suppressAutoHyphens/>
              <w:autoSpaceDN w:val="0"/>
              <w:rPr>
                <w:rFonts w:ascii="Arial" w:eastAsia="Times New Roman" w:hAnsi="Arial" w:cs="Arial"/>
                <w:b/>
                <w:bCs/>
                <w:color w:val="000000" w:themeColor="text1"/>
                <w:sz w:val="20"/>
                <w:szCs w:val="20"/>
              </w:rPr>
            </w:pPr>
          </w:p>
        </w:tc>
        <w:tc>
          <w:tcPr>
            <w:tcW w:w="943" w:type="pct"/>
            <w:tcBorders>
              <w:top w:val="single" w:sz="4" w:space="0" w:color="auto"/>
              <w:bottom w:val="single" w:sz="12" w:space="0" w:color="auto"/>
            </w:tcBorders>
            <w:vAlign w:val="bottom"/>
          </w:tcPr>
          <w:p w14:paraId="2CA618FB" w14:textId="466988FE" w:rsidR="00894E47" w:rsidRPr="00894E47" w:rsidRDefault="00894E47" w:rsidP="00894E47">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894E47">
              <w:rPr>
                <w:rFonts w:ascii="Arial" w:hAnsi="Arial" w:cs="Arial"/>
                <w:b/>
                <w:bCs/>
                <w:sz w:val="20"/>
                <w:szCs w:val="20"/>
              </w:rPr>
              <w:t xml:space="preserve"> 1.167.204 </w:t>
            </w:r>
          </w:p>
        </w:tc>
        <w:tc>
          <w:tcPr>
            <w:tcW w:w="945" w:type="pct"/>
            <w:tcBorders>
              <w:top w:val="single" w:sz="4" w:space="0" w:color="auto"/>
              <w:bottom w:val="single" w:sz="12" w:space="0" w:color="auto"/>
            </w:tcBorders>
            <w:vAlign w:val="bottom"/>
          </w:tcPr>
          <w:p w14:paraId="7B191924" w14:textId="5B396ABB" w:rsidR="00894E47" w:rsidRPr="00E002E0" w:rsidRDefault="00894E47" w:rsidP="00894E47">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FB1EEB">
              <w:rPr>
                <w:rFonts w:ascii="Arial" w:hAnsi="Arial" w:cs="Arial"/>
                <w:b/>
                <w:bCs/>
                <w:color w:val="000000" w:themeColor="text1"/>
                <w:sz w:val="20"/>
              </w:rPr>
              <w:t>1.248.881</w:t>
            </w:r>
          </w:p>
        </w:tc>
      </w:tr>
    </w:tbl>
    <w:p w14:paraId="7F7B1EA8" w14:textId="77777777" w:rsidR="005D5085" w:rsidRPr="003D1614" w:rsidRDefault="005D5085" w:rsidP="005D5085">
      <w:pPr>
        <w:suppressAutoHyphens/>
        <w:autoSpaceDN w:val="0"/>
        <w:jc w:val="both"/>
        <w:rPr>
          <w:rFonts w:ascii="Arial" w:eastAsia="Times New Roman" w:hAnsi="Arial" w:cs="Arial"/>
          <w:color w:val="000000" w:themeColor="text1"/>
          <w:sz w:val="20"/>
          <w:szCs w:val="20"/>
        </w:rPr>
      </w:pPr>
    </w:p>
    <w:p w14:paraId="31541B41" w14:textId="77777777" w:rsidR="005D5085" w:rsidRPr="003D1614" w:rsidRDefault="005D5085" w:rsidP="005D5085">
      <w:pPr>
        <w:suppressAutoHyphens/>
        <w:autoSpaceDN w:val="0"/>
        <w:jc w:val="both"/>
        <w:rPr>
          <w:rFonts w:ascii="Arial" w:eastAsia="Times New Roman" w:hAnsi="Arial" w:cs="Arial"/>
          <w:color w:val="000000" w:themeColor="text1"/>
          <w:sz w:val="20"/>
          <w:szCs w:val="20"/>
        </w:rPr>
      </w:pPr>
    </w:p>
    <w:p w14:paraId="02A648C9" w14:textId="77777777" w:rsidR="005D5085" w:rsidRPr="003D1614" w:rsidRDefault="005D5085" w:rsidP="005D5085">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Sljedeće tablice prikazuju informacije o kreditnoj kvaliteti financijske imovine koja se mjeri po amortiziranom trošku. Iznosi u tablici predstavljaju bruto knjigovodstvene iznose:</w:t>
      </w:r>
    </w:p>
    <w:p w14:paraId="4042F507" w14:textId="77777777" w:rsidR="005D5085" w:rsidRPr="003D1614" w:rsidRDefault="005D5085" w:rsidP="005D5085">
      <w:pPr>
        <w:suppressAutoHyphens/>
        <w:autoSpaceDN w:val="0"/>
        <w:jc w:val="both"/>
        <w:rPr>
          <w:rFonts w:ascii="Arial" w:eastAsia="Times New Roman" w:hAnsi="Arial" w:cs="Arial"/>
          <w:color w:val="000000" w:themeColor="text1"/>
          <w:sz w:val="20"/>
          <w:szCs w:val="20"/>
        </w:rPr>
      </w:pPr>
    </w:p>
    <w:tbl>
      <w:tblPr>
        <w:tblpPr w:leftFromText="180" w:rightFromText="180" w:vertAnchor="text" w:horzAnchor="margin" w:tblpY="53"/>
        <w:tblW w:w="8976" w:type="dxa"/>
        <w:tblLayout w:type="fixed"/>
        <w:tblLook w:val="04A0" w:firstRow="1" w:lastRow="0" w:firstColumn="1" w:lastColumn="0" w:noHBand="0" w:noVBand="1"/>
      </w:tblPr>
      <w:tblGrid>
        <w:gridCol w:w="2671"/>
        <w:gridCol w:w="1623"/>
        <w:gridCol w:w="1521"/>
        <w:gridCol w:w="1521"/>
        <w:gridCol w:w="1640"/>
      </w:tblGrid>
      <w:tr w:rsidR="005D5085" w:rsidRPr="002172AF" w14:paraId="0FD729A8" w14:textId="77777777" w:rsidTr="002172AF">
        <w:trPr>
          <w:trHeight w:val="323"/>
        </w:trPr>
        <w:tc>
          <w:tcPr>
            <w:tcW w:w="2671" w:type="dxa"/>
            <w:tcBorders>
              <w:top w:val="nil"/>
              <w:left w:val="nil"/>
              <w:bottom w:val="nil"/>
              <w:right w:val="nil"/>
            </w:tcBorders>
            <w:shd w:val="clear" w:color="auto" w:fill="auto"/>
            <w:noWrap/>
            <w:vAlign w:val="bottom"/>
            <w:hideMark/>
          </w:tcPr>
          <w:p w14:paraId="63BED540" w14:textId="4ABEDDA0" w:rsidR="005D5085" w:rsidRPr="002172AF" w:rsidRDefault="002F4581" w:rsidP="005D5085">
            <w:pPr>
              <w:suppressAutoHyphens/>
              <w:autoSpaceDN w:val="0"/>
              <w:rPr>
                <w:rFonts w:ascii="Arial" w:eastAsia="Times New Roman" w:hAnsi="Arial" w:cs="Arial"/>
                <w:b/>
                <w:color w:val="000000" w:themeColor="text1"/>
                <w:sz w:val="18"/>
                <w:szCs w:val="18"/>
              </w:rPr>
            </w:pPr>
            <w:r w:rsidRPr="002F4581">
              <w:rPr>
                <w:rFonts w:ascii="Arial" w:eastAsia="Times New Roman" w:hAnsi="Arial" w:cs="Arial"/>
                <w:b/>
                <w:color w:val="000000" w:themeColor="text1"/>
                <w:sz w:val="18"/>
                <w:szCs w:val="18"/>
              </w:rPr>
              <w:t>30. rujna 202</w:t>
            </w:r>
            <w:r w:rsidR="00EE0936">
              <w:rPr>
                <w:rFonts w:ascii="Arial" w:eastAsia="Times New Roman" w:hAnsi="Arial" w:cs="Arial"/>
                <w:b/>
                <w:color w:val="000000" w:themeColor="text1"/>
                <w:sz w:val="18"/>
                <w:szCs w:val="18"/>
              </w:rPr>
              <w:t>4</w:t>
            </w:r>
            <w:r w:rsidRPr="002F4581">
              <w:rPr>
                <w:rFonts w:ascii="Arial" w:eastAsia="Times New Roman" w:hAnsi="Arial" w:cs="Arial"/>
                <w:b/>
                <w:color w:val="000000" w:themeColor="text1"/>
                <w:sz w:val="18"/>
                <w:szCs w:val="18"/>
              </w:rPr>
              <w:t>.</w:t>
            </w:r>
          </w:p>
        </w:tc>
        <w:tc>
          <w:tcPr>
            <w:tcW w:w="1623" w:type="dxa"/>
            <w:tcBorders>
              <w:top w:val="nil"/>
              <w:left w:val="nil"/>
              <w:bottom w:val="nil"/>
              <w:right w:val="nil"/>
            </w:tcBorders>
            <w:shd w:val="clear" w:color="auto" w:fill="auto"/>
            <w:noWrap/>
            <w:vAlign w:val="bottom"/>
            <w:hideMark/>
          </w:tcPr>
          <w:p w14:paraId="2B07E293" w14:textId="77777777" w:rsidR="005D5085" w:rsidRPr="002172AF" w:rsidRDefault="005D5085" w:rsidP="005D5085">
            <w:pPr>
              <w:suppressAutoHyphens/>
              <w:autoSpaceDN w:val="0"/>
              <w:rPr>
                <w:rFonts w:ascii="Arial" w:eastAsia="Times New Roman" w:hAnsi="Arial" w:cs="Arial"/>
                <w:color w:val="000000" w:themeColor="text1"/>
                <w:sz w:val="18"/>
                <w:szCs w:val="18"/>
              </w:rPr>
            </w:pPr>
          </w:p>
        </w:tc>
        <w:tc>
          <w:tcPr>
            <w:tcW w:w="1521" w:type="dxa"/>
            <w:tcBorders>
              <w:top w:val="nil"/>
              <w:left w:val="nil"/>
              <w:bottom w:val="nil"/>
              <w:right w:val="nil"/>
            </w:tcBorders>
            <w:shd w:val="clear" w:color="auto" w:fill="auto"/>
            <w:noWrap/>
            <w:vAlign w:val="bottom"/>
            <w:hideMark/>
          </w:tcPr>
          <w:p w14:paraId="688BF193" w14:textId="77777777" w:rsidR="005D5085" w:rsidRPr="002172AF" w:rsidRDefault="005D5085" w:rsidP="005D5085">
            <w:pPr>
              <w:suppressAutoHyphens/>
              <w:autoSpaceDN w:val="0"/>
              <w:jc w:val="right"/>
              <w:rPr>
                <w:rFonts w:ascii="Arial" w:eastAsia="Times New Roman" w:hAnsi="Arial" w:cs="Arial"/>
                <w:color w:val="000000" w:themeColor="text1"/>
                <w:sz w:val="18"/>
                <w:szCs w:val="18"/>
              </w:rPr>
            </w:pPr>
          </w:p>
        </w:tc>
        <w:tc>
          <w:tcPr>
            <w:tcW w:w="1521" w:type="dxa"/>
            <w:tcBorders>
              <w:top w:val="nil"/>
              <w:left w:val="nil"/>
              <w:bottom w:val="nil"/>
              <w:right w:val="nil"/>
            </w:tcBorders>
            <w:shd w:val="clear" w:color="auto" w:fill="auto"/>
            <w:noWrap/>
            <w:vAlign w:val="bottom"/>
            <w:hideMark/>
          </w:tcPr>
          <w:p w14:paraId="5BBF7BE0" w14:textId="77777777" w:rsidR="005D5085" w:rsidRPr="002172AF" w:rsidRDefault="005D5085" w:rsidP="005D5085">
            <w:pPr>
              <w:suppressAutoHyphens/>
              <w:autoSpaceDN w:val="0"/>
              <w:jc w:val="right"/>
              <w:rPr>
                <w:rFonts w:ascii="Arial" w:eastAsia="Times New Roman" w:hAnsi="Arial" w:cs="Arial"/>
                <w:color w:val="000000" w:themeColor="text1"/>
                <w:sz w:val="18"/>
                <w:szCs w:val="18"/>
              </w:rPr>
            </w:pPr>
          </w:p>
        </w:tc>
        <w:tc>
          <w:tcPr>
            <w:tcW w:w="1640" w:type="dxa"/>
            <w:tcBorders>
              <w:top w:val="nil"/>
              <w:left w:val="nil"/>
              <w:bottom w:val="nil"/>
              <w:right w:val="nil"/>
            </w:tcBorders>
            <w:shd w:val="clear" w:color="auto" w:fill="auto"/>
            <w:noWrap/>
            <w:vAlign w:val="bottom"/>
            <w:hideMark/>
          </w:tcPr>
          <w:p w14:paraId="5C003AA8" w14:textId="77777777" w:rsidR="005D5085" w:rsidRPr="002172AF" w:rsidRDefault="005D5085" w:rsidP="005D5085">
            <w:pPr>
              <w:suppressAutoHyphens/>
              <w:autoSpaceDN w:val="0"/>
              <w:jc w:val="right"/>
              <w:rPr>
                <w:rFonts w:ascii="Arial" w:eastAsia="Times New Roman" w:hAnsi="Arial" w:cs="Arial"/>
                <w:b/>
                <w:bCs/>
                <w:color w:val="000000" w:themeColor="text1"/>
                <w:sz w:val="18"/>
                <w:szCs w:val="18"/>
              </w:rPr>
            </w:pPr>
            <w:r w:rsidRPr="002172AF">
              <w:rPr>
                <w:rFonts w:ascii="Arial" w:eastAsia="Times New Roman" w:hAnsi="Arial" w:cs="Arial"/>
                <w:b/>
                <w:bCs/>
                <w:color w:val="000000" w:themeColor="text1"/>
                <w:sz w:val="18"/>
                <w:szCs w:val="18"/>
              </w:rPr>
              <w:t>Grupa i Banka</w:t>
            </w:r>
          </w:p>
        </w:tc>
      </w:tr>
      <w:tr w:rsidR="005D5085" w:rsidRPr="002172AF" w14:paraId="4E0CC89F" w14:textId="77777777" w:rsidTr="002172AF">
        <w:trPr>
          <w:trHeight w:val="323"/>
        </w:trPr>
        <w:tc>
          <w:tcPr>
            <w:tcW w:w="2671" w:type="dxa"/>
            <w:tcBorders>
              <w:top w:val="nil"/>
              <w:left w:val="nil"/>
              <w:bottom w:val="nil"/>
              <w:right w:val="nil"/>
            </w:tcBorders>
            <w:shd w:val="clear" w:color="auto" w:fill="auto"/>
            <w:noWrap/>
            <w:vAlign w:val="bottom"/>
            <w:hideMark/>
          </w:tcPr>
          <w:p w14:paraId="4C65D7B7" w14:textId="77777777" w:rsidR="005D5085" w:rsidRPr="002172AF" w:rsidRDefault="005D5085" w:rsidP="005D5085">
            <w:pPr>
              <w:suppressAutoHyphens/>
              <w:autoSpaceDN w:val="0"/>
              <w:jc w:val="right"/>
              <w:rPr>
                <w:rFonts w:ascii="Arial" w:eastAsia="Times New Roman" w:hAnsi="Arial" w:cs="Arial"/>
                <w:b/>
                <w:bCs/>
                <w:color w:val="000000" w:themeColor="text1"/>
                <w:sz w:val="18"/>
                <w:szCs w:val="18"/>
              </w:rPr>
            </w:pPr>
          </w:p>
        </w:tc>
        <w:tc>
          <w:tcPr>
            <w:tcW w:w="1623" w:type="dxa"/>
            <w:tcBorders>
              <w:top w:val="nil"/>
              <w:left w:val="nil"/>
              <w:bottom w:val="nil"/>
              <w:right w:val="nil"/>
            </w:tcBorders>
            <w:shd w:val="clear" w:color="auto" w:fill="auto"/>
            <w:noWrap/>
            <w:vAlign w:val="bottom"/>
            <w:hideMark/>
          </w:tcPr>
          <w:p w14:paraId="7A115E78" w14:textId="77777777" w:rsidR="005D5085" w:rsidRPr="002172AF" w:rsidRDefault="005D5085" w:rsidP="005D5085">
            <w:pPr>
              <w:suppressAutoHyphens/>
              <w:autoSpaceDN w:val="0"/>
              <w:jc w:val="right"/>
              <w:rPr>
                <w:rFonts w:ascii="Arial" w:eastAsia="Times New Roman" w:hAnsi="Arial" w:cs="Arial"/>
                <w:b/>
                <w:bCs/>
                <w:color w:val="000000" w:themeColor="text1"/>
                <w:sz w:val="18"/>
                <w:szCs w:val="18"/>
              </w:rPr>
            </w:pPr>
            <w:r w:rsidRPr="002172AF">
              <w:rPr>
                <w:rFonts w:ascii="Arial" w:eastAsia="Times New Roman" w:hAnsi="Arial" w:cs="Arial"/>
                <w:b/>
                <w:bCs/>
                <w:color w:val="000000" w:themeColor="text1"/>
                <w:sz w:val="18"/>
                <w:szCs w:val="18"/>
              </w:rPr>
              <w:t>Stupanj 1</w:t>
            </w:r>
          </w:p>
        </w:tc>
        <w:tc>
          <w:tcPr>
            <w:tcW w:w="1521" w:type="dxa"/>
            <w:tcBorders>
              <w:top w:val="nil"/>
              <w:left w:val="nil"/>
              <w:bottom w:val="nil"/>
              <w:right w:val="nil"/>
            </w:tcBorders>
            <w:shd w:val="clear" w:color="auto" w:fill="auto"/>
            <w:noWrap/>
            <w:vAlign w:val="bottom"/>
            <w:hideMark/>
          </w:tcPr>
          <w:p w14:paraId="07621D61" w14:textId="77777777" w:rsidR="005D5085" w:rsidRPr="002172AF" w:rsidRDefault="005D5085" w:rsidP="005D5085">
            <w:pPr>
              <w:suppressAutoHyphens/>
              <w:autoSpaceDN w:val="0"/>
              <w:jc w:val="right"/>
              <w:rPr>
                <w:rFonts w:ascii="Arial" w:eastAsia="Times New Roman" w:hAnsi="Arial" w:cs="Arial"/>
                <w:b/>
                <w:bCs/>
                <w:color w:val="000000" w:themeColor="text1"/>
                <w:sz w:val="18"/>
                <w:szCs w:val="18"/>
              </w:rPr>
            </w:pPr>
            <w:r w:rsidRPr="002172AF">
              <w:rPr>
                <w:rFonts w:ascii="Arial" w:eastAsia="Times New Roman" w:hAnsi="Arial" w:cs="Arial"/>
                <w:b/>
                <w:bCs/>
                <w:color w:val="000000" w:themeColor="text1"/>
                <w:sz w:val="18"/>
                <w:szCs w:val="18"/>
              </w:rPr>
              <w:t>Stupanj 2</w:t>
            </w:r>
          </w:p>
        </w:tc>
        <w:tc>
          <w:tcPr>
            <w:tcW w:w="1521" w:type="dxa"/>
            <w:tcBorders>
              <w:top w:val="nil"/>
              <w:left w:val="nil"/>
              <w:bottom w:val="nil"/>
              <w:right w:val="nil"/>
            </w:tcBorders>
            <w:shd w:val="clear" w:color="auto" w:fill="auto"/>
            <w:noWrap/>
            <w:vAlign w:val="bottom"/>
            <w:hideMark/>
          </w:tcPr>
          <w:p w14:paraId="5A0DC869" w14:textId="77777777" w:rsidR="005D5085" w:rsidRPr="002172AF" w:rsidRDefault="005D5085" w:rsidP="005D5085">
            <w:pPr>
              <w:suppressAutoHyphens/>
              <w:autoSpaceDN w:val="0"/>
              <w:jc w:val="right"/>
              <w:rPr>
                <w:rFonts w:ascii="Arial" w:eastAsia="Times New Roman" w:hAnsi="Arial" w:cs="Arial"/>
                <w:b/>
                <w:bCs/>
                <w:color w:val="000000" w:themeColor="text1"/>
                <w:sz w:val="18"/>
                <w:szCs w:val="18"/>
              </w:rPr>
            </w:pPr>
            <w:r w:rsidRPr="002172AF">
              <w:rPr>
                <w:rFonts w:ascii="Arial" w:eastAsia="Times New Roman" w:hAnsi="Arial" w:cs="Arial"/>
                <w:b/>
                <w:bCs/>
                <w:color w:val="000000" w:themeColor="text1"/>
                <w:sz w:val="18"/>
                <w:szCs w:val="18"/>
              </w:rPr>
              <w:t>Stupanj 3</w:t>
            </w:r>
          </w:p>
        </w:tc>
        <w:tc>
          <w:tcPr>
            <w:tcW w:w="1640" w:type="dxa"/>
            <w:tcBorders>
              <w:top w:val="nil"/>
              <w:left w:val="nil"/>
              <w:bottom w:val="nil"/>
              <w:right w:val="nil"/>
            </w:tcBorders>
            <w:shd w:val="clear" w:color="auto" w:fill="auto"/>
            <w:noWrap/>
            <w:vAlign w:val="bottom"/>
            <w:hideMark/>
          </w:tcPr>
          <w:p w14:paraId="5DCE4A7F" w14:textId="77777777" w:rsidR="005D5085" w:rsidRPr="002172AF" w:rsidRDefault="005D5085" w:rsidP="005D5085">
            <w:pPr>
              <w:suppressAutoHyphens/>
              <w:autoSpaceDN w:val="0"/>
              <w:jc w:val="right"/>
              <w:rPr>
                <w:rFonts w:ascii="Arial" w:eastAsia="Times New Roman" w:hAnsi="Arial" w:cs="Arial"/>
                <w:b/>
                <w:bCs/>
                <w:color w:val="000000" w:themeColor="text1"/>
                <w:sz w:val="18"/>
                <w:szCs w:val="18"/>
              </w:rPr>
            </w:pPr>
            <w:r w:rsidRPr="002172AF">
              <w:rPr>
                <w:rFonts w:ascii="Arial" w:eastAsia="Times New Roman" w:hAnsi="Arial" w:cs="Arial"/>
                <w:b/>
                <w:bCs/>
                <w:color w:val="000000" w:themeColor="text1"/>
                <w:sz w:val="18"/>
                <w:szCs w:val="18"/>
              </w:rPr>
              <w:t>Ukupno</w:t>
            </w:r>
          </w:p>
        </w:tc>
      </w:tr>
      <w:tr w:rsidR="005D5085" w:rsidRPr="002172AF" w14:paraId="0235D53E" w14:textId="77777777" w:rsidTr="002172AF">
        <w:trPr>
          <w:trHeight w:val="323"/>
        </w:trPr>
        <w:tc>
          <w:tcPr>
            <w:tcW w:w="2671" w:type="dxa"/>
            <w:tcBorders>
              <w:top w:val="nil"/>
              <w:left w:val="nil"/>
              <w:bottom w:val="nil"/>
              <w:right w:val="nil"/>
            </w:tcBorders>
            <w:shd w:val="clear" w:color="auto" w:fill="auto"/>
            <w:noWrap/>
            <w:vAlign w:val="bottom"/>
            <w:hideMark/>
          </w:tcPr>
          <w:p w14:paraId="5B795779" w14:textId="77777777" w:rsidR="005D5085" w:rsidRPr="002172AF" w:rsidRDefault="005D5085" w:rsidP="005D5085">
            <w:pPr>
              <w:suppressAutoHyphens/>
              <w:autoSpaceDN w:val="0"/>
              <w:jc w:val="right"/>
              <w:rPr>
                <w:rFonts w:ascii="Arial" w:eastAsia="Times New Roman" w:hAnsi="Arial" w:cs="Arial"/>
                <w:b/>
                <w:bCs/>
                <w:color w:val="000000" w:themeColor="text1"/>
                <w:sz w:val="18"/>
                <w:szCs w:val="18"/>
              </w:rPr>
            </w:pPr>
          </w:p>
        </w:tc>
        <w:tc>
          <w:tcPr>
            <w:tcW w:w="1623" w:type="dxa"/>
            <w:tcBorders>
              <w:top w:val="nil"/>
              <w:left w:val="nil"/>
              <w:bottom w:val="nil"/>
              <w:right w:val="nil"/>
            </w:tcBorders>
            <w:shd w:val="clear" w:color="auto" w:fill="auto"/>
            <w:noWrap/>
            <w:vAlign w:val="bottom"/>
            <w:hideMark/>
          </w:tcPr>
          <w:p w14:paraId="591DA362" w14:textId="32D4F650" w:rsidR="005D5085" w:rsidRPr="002172AF" w:rsidRDefault="005D5085" w:rsidP="005D5085">
            <w:pPr>
              <w:suppressAutoHyphens/>
              <w:autoSpaceDN w:val="0"/>
              <w:jc w:val="right"/>
              <w:rPr>
                <w:rFonts w:ascii="Arial" w:eastAsia="Times New Roman" w:hAnsi="Arial" w:cs="Arial"/>
                <w:b/>
                <w:bCs/>
                <w:color w:val="000000" w:themeColor="text1"/>
                <w:sz w:val="18"/>
                <w:szCs w:val="18"/>
              </w:rPr>
            </w:pPr>
            <w:r w:rsidRPr="002172AF">
              <w:rPr>
                <w:rFonts w:ascii="Arial" w:eastAsia="Times New Roman" w:hAnsi="Arial" w:cs="Arial"/>
                <w:b/>
                <w:bCs/>
                <w:color w:val="000000" w:themeColor="text1"/>
                <w:sz w:val="18"/>
                <w:szCs w:val="18"/>
              </w:rPr>
              <w:t>000 eura</w:t>
            </w:r>
          </w:p>
        </w:tc>
        <w:tc>
          <w:tcPr>
            <w:tcW w:w="1521" w:type="dxa"/>
            <w:tcBorders>
              <w:top w:val="nil"/>
              <w:left w:val="nil"/>
              <w:bottom w:val="nil"/>
              <w:right w:val="nil"/>
            </w:tcBorders>
            <w:shd w:val="clear" w:color="auto" w:fill="auto"/>
            <w:noWrap/>
            <w:vAlign w:val="bottom"/>
            <w:hideMark/>
          </w:tcPr>
          <w:p w14:paraId="6111CC0E" w14:textId="4C7C59BE" w:rsidR="005D5085" w:rsidRPr="002172AF" w:rsidRDefault="005D5085" w:rsidP="005D5085">
            <w:pPr>
              <w:suppressAutoHyphens/>
              <w:autoSpaceDN w:val="0"/>
              <w:jc w:val="right"/>
              <w:rPr>
                <w:rFonts w:ascii="Arial" w:eastAsia="Times New Roman" w:hAnsi="Arial" w:cs="Arial"/>
                <w:b/>
                <w:bCs/>
                <w:color w:val="000000" w:themeColor="text1"/>
                <w:sz w:val="18"/>
                <w:szCs w:val="18"/>
              </w:rPr>
            </w:pPr>
            <w:r w:rsidRPr="002172AF">
              <w:rPr>
                <w:rFonts w:ascii="Arial" w:eastAsia="Times New Roman" w:hAnsi="Arial" w:cs="Arial"/>
                <w:b/>
                <w:bCs/>
                <w:color w:val="000000" w:themeColor="text1"/>
                <w:sz w:val="18"/>
                <w:szCs w:val="18"/>
              </w:rPr>
              <w:t>000 eura</w:t>
            </w:r>
          </w:p>
        </w:tc>
        <w:tc>
          <w:tcPr>
            <w:tcW w:w="1521" w:type="dxa"/>
            <w:tcBorders>
              <w:top w:val="nil"/>
              <w:left w:val="nil"/>
              <w:bottom w:val="nil"/>
              <w:right w:val="nil"/>
            </w:tcBorders>
            <w:shd w:val="clear" w:color="auto" w:fill="auto"/>
            <w:noWrap/>
            <w:vAlign w:val="bottom"/>
            <w:hideMark/>
          </w:tcPr>
          <w:p w14:paraId="02CE0CAE" w14:textId="5BD9504B" w:rsidR="005D5085" w:rsidRPr="002172AF" w:rsidRDefault="005D5085" w:rsidP="005D5085">
            <w:pPr>
              <w:suppressAutoHyphens/>
              <w:autoSpaceDN w:val="0"/>
              <w:jc w:val="right"/>
              <w:rPr>
                <w:rFonts w:ascii="Arial" w:eastAsia="Times New Roman" w:hAnsi="Arial" w:cs="Arial"/>
                <w:b/>
                <w:bCs/>
                <w:color w:val="000000" w:themeColor="text1"/>
                <w:sz w:val="18"/>
                <w:szCs w:val="18"/>
              </w:rPr>
            </w:pPr>
            <w:r w:rsidRPr="002172AF">
              <w:rPr>
                <w:rFonts w:ascii="Arial" w:eastAsia="Times New Roman" w:hAnsi="Arial" w:cs="Arial"/>
                <w:b/>
                <w:bCs/>
                <w:color w:val="000000" w:themeColor="text1"/>
                <w:sz w:val="18"/>
                <w:szCs w:val="18"/>
              </w:rPr>
              <w:t>000 eura</w:t>
            </w:r>
          </w:p>
        </w:tc>
        <w:tc>
          <w:tcPr>
            <w:tcW w:w="1640" w:type="dxa"/>
            <w:tcBorders>
              <w:top w:val="nil"/>
              <w:left w:val="nil"/>
              <w:bottom w:val="nil"/>
              <w:right w:val="nil"/>
            </w:tcBorders>
            <w:shd w:val="clear" w:color="auto" w:fill="auto"/>
            <w:noWrap/>
            <w:vAlign w:val="bottom"/>
            <w:hideMark/>
          </w:tcPr>
          <w:p w14:paraId="35C92FA6" w14:textId="48037976" w:rsidR="005D5085" w:rsidRPr="002172AF" w:rsidRDefault="005D5085" w:rsidP="005D5085">
            <w:pPr>
              <w:suppressAutoHyphens/>
              <w:autoSpaceDN w:val="0"/>
              <w:jc w:val="right"/>
              <w:rPr>
                <w:rFonts w:ascii="Arial" w:eastAsia="Times New Roman" w:hAnsi="Arial" w:cs="Arial"/>
                <w:b/>
                <w:bCs/>
                <w:color w:val="000000" w:themeColor="text1"/>
                <w:sz w:val="18"/>
                <w:szCs w:val="18"/>
              </w:rPr>
            </w:pPr>
            <w:r w:rsidRPr="002172AF">
              <w:rPr>
                <w:rFonts w:ascii="Arial" w:eastAsia="Times New Roman" w:hAnsi="Arial" w:cs="Arial"/>
                <w:b/>
                <w:bCs/>
                <w:color w:val="000000" w:themeColor="text1"/>
                <w:sz w:val="18"/>
                <w:szCs w:val="18"/>
              </w:rPr>
              <w:t>000 eura</w:t>
            </w:r>
          </w:p>
        </w:tc>
      </w:tr>
      <w:tr w:rsidR="005D5085" w:rsidRPr="002172AF" w14:paraId="5DE29C11" w14:textId="77777777" w:rsidTr="002172AF">
        <w:trPr>
          <w:trHeight w:val="210"/>
        </w:trPr>
        <w:tc>
          <w:tcPr>
            <w:tcW w:w="2671" w:type="dxa"/>
            <w:tcBorders>
              <w:top w:val="nil"/>
              <w:left w:val="nil"/>
              <w:bottom w:val="nil"/>
              <w:right w:val="nil"/>
            </w:tcBorders>
            <w:shd w:val="clear" w:color="auto" w:fill="auto"/>
            <w:noWrap/>
            <w:vAlign w:val="bottom"/>
          </w:tcPr>
          <w:p w14:paraId="66425F26" w14:textId="77777777" w:rsidR="005D5085" w:rsidRPr="002172AF" w:rsidRDefault="005D5085" w:rsidP="005D5085">
            <w:pPr>
              <w:suppressAutoHyphens/>
              <w:autoSpaceDN w:val="0"/>
              <w:jc w:val="right"/>
              <w:rPr>
                <w:rFonts w:ascii="Arial" w:eastAsia="Times New Roman" w:hAnsi="Arial" w:cs="Arial"/>
                <w:b/>
                <w:bCs/>
                <w:color w:val="000000" w:themeColor="text1"/>
                <w:sz w:val="18"/>
                <w:szCs w:val="18"/>
              </w:rPr>
            </w:pPr>
          </w:p>
        </w:tc>
        <w:tc>
          <w:tcPr>
            <w:tcW w:w="1623" w:type="dxa"/>
            <w:tcBorders>
              <w:top w:val="nil"/>
              <w:left w:val="nil"/>
              <w:bottom w:val="nil"/>
              <w:right w:val="nil"/>
            </w:tcBorders>
            <w:shd w:val="clear" w:color="auto" w:fill="auto"/>
            <w:noWrap/>
            <w:vAlign w:val="bottom"/>
          </w:tcPr>
          <w:p w14:paraId="1B49146B" w14:textId="77777777" w:rsidR="005D5085" w:rsidRPr="002172AF" w:rsidRDefault="005D5085" w:rsidP="005D5085">
            <w:pPr>
              <w:suppressAutoHyphens/>
              <w:autoSpaceDN w:val="0"/>
              <w:jc w:val="right"/>
              <w:rPr>
                <w:rFonts w:ascii="Arial" w:eastAsia="Times New Roman" w:hAnsi="Arial" w:cs="Arial"/>
                <w:b/>
                <w:bCs/>
                <w:color w:val="000000" w:themeColor="text1"/>
                <w:sz w:val="18"/>
                <w:szCs w:val="18"/>
              </w:rPr>
            </w:pPr>
          </w:p>
        </w:tc>
        <w:tc>
          <w:tcPr>
            <w:tcW w:w="1521" w:type="dxa"/>
            <w:tcBorders>
              <w:top w:val="nil"/>
              <w:left w:val="nil"/>
              <w:bottom w:val="nil"/>
              <w:right w:val="nil"/>
            </w:tcBorders>
            <w:shd w:val="clear" w:color="auto" w:fill="auto"/>
            <w:noWrap/>
            <w:vAlign w:val="bottom"/>
          </w:tcPr>
          <w:p w14:paraId="5DA10EA8" w14:textId="77777777" w:rsidR="005D5085" w:rsidRPr="002172AF" w:rsidRDefault="005D5085" w:rsidP="005D5085">
            <w:pPr>
              <w:suppressAutoHyphens/>
              <w:autoSpaceDN w:val="0"/>
              <w:jc w:val="right"/>
              <w:rPr>
                <w:rFonts w:ascii="Arial" w:eastAsia="Times New Roman" w:hAnsi="Arial" w:cs="Arial"/>
                <w:b/>
                <w:bCs/>
                <w:color w:val="000000" w:themeColor="text1"/>
                <w:sz w:val="18"/>
                <w:szCs w:val="18"/>
              </w:rPr>
            </w:pPr>
          </w:p>
        </w:tc>
        <w:tc>
          <w:tcPr>
            <w:tcW w:w="1521" w:type="dxa"/>
            <w:tcBorders>
              <w:top w:val="nil"/>
              <w:left w:val="nil"/>
              <w:bottom w:val="nil"/>
              <w:right w:val="nil"/>
            </w:tcBorders>
            <w:shd w:val="clear" w:color="auto" w:fill="auto"/>
            <w:noWrap/>
            <w:vAlign w:val="bottom"/>
          </w:tcPr>
          <w:p w14:paraId="06BC2F4E" w14:textId="77777777" w:rsidR="005D5085" w:rsidRPr="002172AF" w:rsidRDefault="005D5085" w:rsidP="005D5085">
            <w:pPr>
              <w:suppressAutoHyphens/>
              <w:autoSpaceDN w:val="0"/>
              <w:jc w:val="right"/>
              <w:rPr>
                <w:rFonts w:ascii="Arial" w:eastAsia="Times New Roman" w:hAnsi="Arial" w:cs="Arial"/>
                <w:b/>
                <w:bCs/>
                <w:color w:val="000000" w:themeColor="text1"/>
                <w:sz w:val="18"/>
                <w:szCs w:val="18"/>
              </w:rPr>
            </w:pPr>
          </w:p>
        </w:tc>
        <w:tc>
          <w:tcPr>
            <w:tcW w:w="1640" w:type="dxa"/>
            <w:tcBorders>
              <w:top w:val="nil"/>
              <w:left w:val="nil"/>
              <w:bottom w:val="nil"/>
              <w:right w:val="nil"/>
            </w:tcBorders>
            <w:shd w:val="clear" w:color="auto" w:fill="auto"/>
            <w:noWrap/>
            <w:vAlign w:val="bottom"/>
          </w:tcPr>
          <w:p w14:paraId="7C6F88DE" w14:textId="77777777" w:rsidR="005D5085" w:rsidRPr="002172AF" w:rsidRDefault="005D5085" w:rsidP="005D5085">
            <w:pPr>
              <w:suppressAutoHyphens/>
              <w:autoSpaceDN w:val="0"/>
              <w:jc w:val="right"/>
              <w:rPr>
                <w:rFonts w:ascii="Arial" w:eastAsia="Times New Roman" w:hAnsi="Arial" w:cs="Arial"/>
                <w:b/>
                <w:bCs/>
                <w:color w:val="000000" w:themeColor="text1"/>
                <w:sz w:val="18"/>
                <w:szCs w:val="18"/>
              </w:rPr>
            </w:pPr>
          </w:p>
        </w:tc>
      </w:tr>
      <w:tr w:rsidR="0063682A" w:rsidRPr="002172AF" w14:paraId="1EE729D8" w14:textId="77777777" w:rsidTr="00B11268">
        <w:trPr>
          <w:trHeight w:val="323"/>
        </w:trPr>
        <w:tc>
          <w:tcPr>
            <w:tcW w:w="2671" w:type="dxa"/>
            <w:tcBorders>
              <w:top w:val="nil"/>
              <w:left w:val="nil"/>
              <w:bottom w:val="nil"/>
              <w:right w:val="nil"/>
            </w:tcBorders>
            <w:shd w:val="clear" w:color="auto" w:fill="auto"/>
            <w:noWrap/>
            <w:vAlign w:val="bottom"/>
            <w:hideMark/>
          </w:tcPr>
          <w:p w14:paraId="598A15E9" w14:textId="77777777" w:rsidR="0063682A" w:rsidRPr="002172AF" w:rsidRDefault="0063682A" w:rsidP="0063682A">
            <w:pPr>
              <w:suppressAutoHyphens/>
              <w:autoSpaceDN w:val="0"/>
              <w:rPr>
                <w:rFonts w:ascii="Arial" w:eastAsia="Times New Roman" w:hAnsi="Arial" w:cs="Arial"/>
                <w:color w:val="000000" w:themeColor="text1"/>
                <w:sz w:val="18"/>
                <w:szCs w:val="18"/>
              </w:rPr>
            </w:pPr>
            <w:r w:rsidRPr="002172AF">
              <w:rPr>
                <w:rFonts w:ascii="Arial" w:eastAsia="Times New Roman" w:hAnsi="Arial" w:cs="Arial"/>
                <w:color w:val="000000" w:themeColor="text1"/>
                <w:sz w:val="18"/>
                <w:szCs w:val="18"/>
              </w:rPr>
              <w:t>Bruto iznos</w:t>
            </w:r>
          </w:p>
        </w:tc>
        <w:tc>
          <w:tcPr>
            <w:tcW w:w="1623" w:type="dxa"/>
            <w:tcBorders>
              <w:top w:val="nil"/>
              <w:left w:val="nil"/>
              <w:bottom w:val="nil"/>
              <w:right w:val="nil"/>
            </w:tcBorders>
            <w:shd w:val="clear" w:color="auto" w:fill="auto"/>
            <w:noWrap/>
            <w:vAlign w:val="bottom"/>
          </w:tcPr>
          <w:p w14:paraId="21776E67" w14:textId="54C9C51D" w:rsidR="0063682A" w:rsidRPr="00B11268" w:rsidRDefault="0063682A" w:rsidP="0063682A">
            <w:pPr>
              <w:suppressAutoHyphens/>
              <w:autoSpaceDN w:val="0"/>
              <w:jc w:val="right"/>
              <w:rPr>
                <w:rFonts w:ascii="Arial" w:hAnsi="Arial" w:cs="Arial"/>
                <w:sz w:val="18"/>
                <w:szCs w:val="18"/>
              </w:rPr>
            </w:pPr>
            <w:r w:rsidRPr="00B11268">
              <w:rPr>
                <w:rFonts w:ascii="Arial" w:hAnsi="Arial" w:cs="Arial"/>
                <w:sz w:val="18"/>
                <w:szCs w:val="18"/>
              </w:rPr>
              <w:t>1.156.873</w:t>
            </w:r>
          </w:p>
        </w:tc>
        <w:tc>
          <w:tcPr>
            <w:tcW w:w="1521" w:type="dxa"/>
            <w:tcBorders>
              <w:top w:val="nil"/>
              <w:left w:val="nil"/>
              <w:bottom w:val="nil"/>
              <w:right w:val="nil"/>
            </w:tcBorders>
            <w:shd w:val="clear" w:color="auto" w:fill="auto"/>
            <w:noWrap/>
            <w:vAlign w:val="bottom"/>
          </w:tcPr>
          <w:p w14:paraId="7DD32853" w14:textId="5B9BC4A6" w:rsidR="0063682A" w:rsidRPr="00B11268" w:rsidRDefault="0063682A" w:rsidP="0063682A">
            <w:pPr>
              <w:suppressAutoHyphens/>
              <w:autoSpaceDN w:val="0"/>
              <w:jc w:val="right"/>
              <w:rPr>
                <w:rFonts w:ascii="Arial" w:hAnsi="Arial" w:cs="Arial"/>
                <w:sz w:val="18"/>
                <w:szCs w:val="18"/>
              </w:rPr>
            </w:pPr>
            <w:r w:rsidRPr="00B11268">
              <w:rPr>
                <w:rFonts w:ascii="Arial" w:hAnsi="Arial" w:cs="Arial"/>
                <w:sz w:val="18"/>
                <w:szCs w:val="18"/>
              </w:rPr>
              <w:t>15.732</w:t>
            </w:r>
          </w:p>
        </w:tc>
        <w:tc>
          <w:tcPr>
            <w:tcW w:w="1521" w:type="dxa"/>
            <w:tcBorders>
              <w:top w:val="nil"/>
              <w:left w:val="nil"/>
              <w:bottom w:val="nil"/>
              <w:right w:val="nil"/>
            </w:tcBorders>
            <w:shd w:val="clear" w:color="auto" w:fill="auto"/>
            <w:noWrap/>
            <w:vAlign w:val="bottom"/>
          </w:tcPr>
          <w:p w14:paraId="28BF0039" w14:textId="01D3E95A" w:rsidR="0063682A" w:rsidRPr="00B11268" w:rsidRDefault="0063682A" w:rsidP="0063682A">
            <w:pPr>
              <w:suppressAutoHyphens/>
              <w:autoSpaceDN w:val="0"/>
              <w:jc w:val="right"/>
              <w:rPr>
                <w:rFonts w:ascii="Arial" w:hAnsi="Arial" w:cs="Arial"/>
                <w:sz w:val="18"/>
                <w:szCs w:val="18"/>
              </w:rPr>
            </w:pPr>
            <w:r w:rsidRPr="00B11268">
              <w:rPr>
                <w:rFonts w:ascii="Arial" w:hAnsi="Arial" w:cs="Arial"/>
                <w:sz w:val="18"/>
                <w:szCs w:val="18"/>
              </w:rPr>
              <w:t>1.101</w:t>
            </w:r>
          </w:p>
        </w:tc>
        <w:tc>
          <w:tcPr>
            <w:tcW w:w="1640" w:type="dxa"/>
            <w:tcBorders>
              <w:top w:val="nil"/>
              <w:left w:val="nil"/>
              <w:bottom w:val="nil"/>
              <w:right w:val="nil"/>
            </w:tcBorders>
            <w:shd w:val="clear" w:color="auto" w:fill="auto"/>
            <w:noWrap/>
            <w:vAlign w:val="bottom"/>
          </w:tcPr>
          <w:p w14:paraId="42785F27" w14:textId="39ABDB64" w:rsidR="0063682A" w:rsidRPr="00B11268" w:rsidRDefault="0063682A" w:rsidP="0063682A">
            <w:pPr>
              <w:suppressAutoHyphens/>
              <w:autoSpaceDN w:val="0"/>
              <w:jc w:val="right"/>
              <w:rPr>
                <w:rFonts w:ascii="Arial" w:hAnsi="Arial" w:cs="Arial"/>
                <w:b/>
                <w:bCs/>
                <w:sz w:val="18"/>
                <w:szCs w:val="18"/>
              </w:rPr>
            </w:pPr>
            <w:r w:rsidRPr="00B11268">
              <w:rPr>
                <w:rFonts w:ascii="Arial" w:hAnsi="Arial" w:cs="Arial"/>
                <w:b/>
                <w:bCs/>
                <w:sz w:val="18"/>
                <w:szCs w:val="18"/>
              </w:rPr>
              <w:t xml:space="preserve"> 1.173.706 </w:t>
            </w:r>
          </w:p>
        </w:tc>
      </w:tr>
      <w:tr w:rsidR="0063682A" w:rsidRPr="002172AF" w14:paraId="0A74BE2C" w14:textId="77777777" w:rsidTr="00B11268">
        <w:trPr>
          <w:trHeight w:val="281"/>
        </w:trPr>
        <w:tc>
          <w:tcPr>
            <w:tcW w:w="2671" w:type="dxa"/>
            <w:tcBorders>
              <w:top w:val="nil"/>
              <w:left w:val="nil"/>
              <w:bottom w:val="nil"/>
              <w:right w:val="nil"/>
            </w:tcBorders>
            <w:shd w:val="clear" w:color="auto" w:fill="auto"/>
            <w:noWrap/>
            <w:vAlign w:val="bottom"/>
            <w:hideMark/>
          </w:tcPr>
          <w:p w14:paraId="253D12AB" w14:textId="77777777" w:rsidR="0063682A" w:rsidRPr="002172AF" w:rsidRDefault="0063682A" w:rsidP="0063682A">
            <w:pPr>
              <w:suppressAutoHyphens/>
              <w:autoSpaceDN w:val="0"/>
              <w:rPr>
                <w:rFonts w:ascii="Arial" w:eastAsia="Times New Roman" w:hAnsi="Arial" w:cs="Arial"/>
                <w:color w:val="000000" w:themeColor="text1"/>
                <w:sz w:val="18"/>
                <w:szCs w:val="18"/>
              </w:rPr>
            </w:pPr>
            <w:r w:rsidRPr="002172AF">
              <w:rPr>
                <w:rFonts w:ascii="Arial" w:eastAsia="Times New Roman" w:hAnsi="Arial" w:cs="Arial"/>
                <w:color w:val="000000" w:themeColor="text1"/>
                <w:sz w:val="18"/>
                <w:szCs w:val="18"/>
              </w:rPr>
              <w:t>Rezerviranja</w:t>
            </w:r>
          </w:p>
        </w:tc>
        <w:tc>
          <w:tcPr>
            <w:tcW w:w="1623" w:type="dxa"/>
            <w:tcBorders>
              <w:top w:val="nil"/>
              <w:left w:val="nil"/>
              <w:bottom w:val="nil"/>
              <w:right w:val="nil"/>
            </w:tcBorders>
            <w:shd w:val="clear" w:color="auto" w:fill="auto"/>
            <w:noWrap/>
            <w:vAlign w:val="bottom"/>
          </w:tcPr>
          <w:p w14:paraId="330203BD" w14:textId="110C5FED" w:rsidR="0063682A" w:rsidRPr="00B11268" w:rsidRDefault="0063682A" w:rsidP="0063682A">
            <w:pPr>
              <w:suppressAutoHyphens/>
              <w:autoSpaceDN w:val="0"/>
              <w:jc w:val="right"/>
              <w:rPr>
                <w:rFonts w:ascii="Arial" w:hAnsi="Arial" w:cs="Arial"/>
                <w:sz w:val="18"/>
                <w:szCs w:val="18"/>
              </w:rPr>
            </w:pPr>
            <w:r w:rsidRPr="00B11268">
              <w:rPr>
                <w:rFonts w:ascii="Arial" w:hAnsi="Arial" w:cs="Arial"/>
                <w:sz w:val="18"/>
                <w:szCs w:val="18"/>
              </w:rPr>
              <w:t xml:space="preserve"> (3.944)</w:t>
            </w:r>
          </w:p>
        </w:tc>
        <w:tc>
          <w:tcPr>
            <w:tcW w:w="1521" w:type="dxa"/>
            <w:tcBorders>
              <w:top w:val="nil"/>
              <w:left w:val="nil"/>
              <w:bottom w:val="nil"/>
              <w:right w:val="nil"/>
            </w:tcBorders>
            <w:shd w:val="clear" w:color="auto" w:fill="auto"/>
            <w:noWrap/>
            <w:vAlign w:val="bottom"/>
          </w:tcPr>
          <w:p w14:paraId="6F56266D" w14:textId="22C8D45A" w:rsidR="0063682A" w:rsidRPr="00B11268" w:rsidRDefault="0063682A" w:rsidP="0063682A">
            <w:pPr>
              <w:suppressAutoHyphens/>
              <w:autoSpaceDN w:val="0"/>
              <w:jc w:val="right"/>
              <w:rPr>
                <w:rFonts w:ascii="Arial" w:hAnsi="Arial" w:cs="Arial"/>
                <w:sz w:val="18"/>
                <w:szCs w:val="18"/>
              </w:rPr>
            </w:pPr>
            <w:r w:rsidRPr="00B11268">
              <w:rPr>
                <w:rFonts w:ascii="Arial" w:hAnsi="Arial" w:cs="Arial"/>
                <w:sz w:val="18"/>
                <w:szCs w:val="18"/>
              </w:rPr>
              <w:t xml:space="preserve"> (1.720)</w:t>
            </w:r>
          </w:p>
        </w:tc>
        <w:tc>
          <w:tcPr>
            <w:tcW w:w="1521" w:type="dxa"/>
            <w:tcBorders>
              <w:top w:val="nil"/>
              <w:left w:val="nil"/>
              <w:bottom w:val="nil"/>
              <w:right w:val="nil"/>
            </w:tcBorders>
            <w:shd w:val="clear" w:color="auto" w:fill="auto"/>
            <w:noWrap/>
            <w:vAlign w:val="bottom"/>
          </w:tcPr>
          <w:p w14:paraId="570D0959" w14:textId="0D873E97" w:rsidR="0063682A" w:rsidRPr="00B11268" w:rsidRDefault="0063682A" w:rsidP="0063682A">
            <w:pPr>
              <w:suppressAutoHyphens/>
              <w:autoSpaceDN w:val="0"/>
              <w:jc w:val="right"/>
              <w:rPr>
                <w:rFonts w:ascii="Arial" w:hAnsi="Arial" w:cs="Arial"/>
                <w:sz w:val="18"/>
                <w:szCs w:val="18"/>
              </w:rPr>
            </w:pPr>
            <w:r w:rsidRPr="00B11268">
              <w:rPr>
                <w:rFonts w:ascii="Arial" w:hAnsi="Arial" w:cs="Arial"/>
                <w:sz w:val="18"/>
                <w:szCs w:val="18"/>
              </w:rPr>
              <w:t xml:space="preserve"> (838)</w:t>
            </w:r>
          </w:p>
        </w:tc>
        <w:tc>
          <w:tcPr>
            <w:tcW w:w="1640" w:type="dxa"/>
            <w:tcBorders>
              <w:top w:val="nil"/>
              <w:left w:val="nil"/>
              <w:bottom w:val="nil"/>
              <w:right w:val="nil"/>
            </w:tcBorders>
            <w:shd w:val="clear" w:color="auto" w:fill="auto"/>
            <w:noWrap/>
            <w:vAlign w:val="bottom"/>
          </w:tcPr>
          <w:p w14:paraId="2A2C8EF3" w14:textId="1878DBAF" w:rsidR="0063682A" w:rsidRPr="00B11268" w:rsidRDefault="0063682A" w:rsidP="0063682A">
            <w:pPr>
              <w:suppressAutoHyphens/>
              <w:autoSpaceDN w:val="0"/>
              <w:jc w:val="right"/>
              <w:rPr>
                <w:rFonts w:ascii="Arial" w:hAnsi="Arial" w:cs="Arial"/>
                <w:b/>
                <w:bCs/>
                <w:sz w:val="18"/>
                <w:szCs w:val="18"/>
              </w:rPr>
            </w:pPr>
            <w:r w:rsidRPr="00B11268">
              <w:rPr>
                <w:rFonts w:ascii="Arial" w:hAnsi="Arial" w:cs="Arial"/>
                <w:b/>
                <w:bCs/>
                <w:sz w:val="18"/>
                <w:szCs w:val="18"/>
              </w:rPr>
              <w:t xml:space="preserve"> (6.502)</w:t>
            </w:r>
          </w:p>
        </w:tc>
      </w:tr>
      <w:tr w:rsidR="00B11268" w:rsidRPr="002172AF" w14:paraId="474AAFC0" w14:textId="77777777" w:rsidTr="00B11268">
        <w:trPr>
          <w:trHeight w:val="510"/>
        </w:trPr>
        <w:tc>
          <w:tcPr>
            <w:tcW w:w="2671" w:type="dxa"/>
            <w:tcBorders>
              <w:top w:val="nil"/>
              <w:left w:val="nil"/>
              <w:bottom w:val="nil"/>
              <w:right w:val="nil"/>
            </w:tcBorders>
            <w:shd w:val="clear" w:color="auto" w:fill="auto"/>
            <w:noWrap/>
            <w:vAlign w:val="bottom"/>
            <w:hideMark/>
          </w:tcPr>
          <w:p w14:paraId="3BB052CF" w14:textId="77777777" w:rsidR="00B11268" w:rsidRPr="002172AF" w:rsidRDefault="00B11268" w:rsidP="00B11268">
            <w:pPr>
              <w:suppressAutoHyphens/>
              <w:autoSpaceDN w:val="0"/>
              <w:rPr>
                <w:rFonts w:ascii="Arial" w:eastAsia="Times New Roman" w:hAnsi="Arial" w:cs="Arial"/>
                <w:b/>
                <w:bCs/>
                <w:color w:val="000000" w:themeColor="text1"/>
                <w:sz w:val="18"/>
                <w:szCs w:val="18"/>
              </w:rPr>
            </w:pPr>
            <w:r w:rsidRPr="002172AF">
              <w:rPr>
                <w:rFonts w:ascii="Arial" w:eastAsia="Times New Roman" w:hAnsi="Arial" w:cs="Arial"/>
                <w:b/>
                <w:bCs/>
                <w:color w:val="000000" w:themeColor="text1"/>
                <w:sz w:val="18"/>
                <w:szCs w:val="18"/>
              </w:rPr>
              <w:t xml:space="preserve">Stanje na dan </w:t>
            </w:r>
          </w:p>
          <w:p w14:paraId="7665AB35" w14:textId="6C47B19F" w:rsidR="00B11268" w:rsidRPr="002172AF" w:rsidRDefault="00B11268" w:rsidP="00B11268">
            <w:pPr>
              <w:suppressAutoHyphens/>
              <w:autoSpaceDN w:val="0"/>
              <w:rPr>
                <w:rFonts w:ascii="Arial" w:eastAsia="Times New Roman" w:hAnsi="Arial" w:cs="Arial"/>
                <w:b/>
                <w:bCs/>
                <w:color w:val="000000" w:themeColor="text1"/>
                <w:sz w:val="18"/>
                <w:szCs w:val="18"/>
              </w:rPr>
            </w:pPr>
            <w:r w:rsidRPr="002F4581">
              <w:rPr>
                <w:rFonts w:ascii="Arial" w:eastAsia="Times New Roman" w:hAnsi="Arial" w:cs="Arial"/>
                <w:b/>
                <w:bCs/>
                <w:color w:val="000000" w:themeColor="text1"/>
                <w:sz w:val="18"/>
                <w:szCs w:val="18"/>
              </w:rPr>
              <w:t>30. rujna 202</w:t>
            </w:r>
            <w:r>
              <w:rPr>
                <w:rFonts w:ascii="Arial" w:eastAsia="Times New Roman" w:hAnsi="Arial" w:cs="Arial"/>
                <w:b/>
                <w:bCs/>
                <w:color w:val="000000" w:themeColor="text1"/>
                <w:sz w:val="18"/>
                <w:szCs w:val="18"/>
              </w:rPr>
              <w:t>4</w:t>
            </w:r>
            <w:r w:rsidRPr="002F4581">
              <w:rPr>
                <w:rFonts w:ascii="Arial" w:eastAsia="Times New Roman" w:hAnsi="Arial" w:cs="Arial"/>
                <w:b/>
                <w:bCs/>
                <w:color w:val="000000" w:themeColor="text1"/>
                <w:sz w:val="18"/>
                <w:szCs w:val="18"/>
              </w:rPr>
              <w:t>.</w:t>
            </w:r>
          </w:p>
        </w:tc>
        <w:tc>
          <w:tcPr>
            <w:tcW w:w="1623" w:type="dxa"/>
            <w:tcBorders>
              <w:top w:val="single" w:sz="8" w:space="0" w:color="auto"/>
              <w:left w:val="nil"/>
              <w:bottom w:val="single" w:sz="12" w:space="0" w:color="000000"/>
              <w:right w:val="nil"/>
            </w:tcBorders>
            <w:shd w:val="clear" w:color="auto" w:fill="auto"/>
            <w:noWrap/>
            <w:vAlign w:val="bottom"/>
          </w:tcPr>
          <w:p w14:paraId="3566128E" w14:textId="2EF83BDC" w:rsidR="00B11268" w:rsidRPr="00B11268" w:rsidRDefault="00B11268" w:rsidP="00B11268">
            <w:pPr>
              <w:suppressAutoHyphens/>
              <w:autoSpaceDN w:val="0"/>
              <w:jc w:val="right"/>
              <w:rPr>
                <w:rFonts w:ascii="Arial" w:hAnsi="Arial" w:cs="Arial"/>
                <w:b/>
                <w:bCs/>
                <w:sz w:val="18"/>
                <w:szCs w:val="18"/>
              </w:rPr>
            </w:pPr>
            <w:r w:rsidRPr="00B11268">
              <w:rPr>
                <w:rFonts w:ascii="Arial" w:hAnsi="Arial" w:cs="Arial"/>
                <w:b/>
                <w:bCs/>
                <w:sz w:val="18"/>
                <w:szCs w:val="18"/>
              </w:rPr>
              <w:t xml:space="preserve"> 1.152.929 </w:t>
            </w:r>
          </w:p>
        </w:tc>
        <w:tc>
          <w:tcPr>
            <w:tcW w:w="1521" w:type="dxa"/>
            <w:tcBorders>
              <w:top w:val="single" w:sz="8" w:space="0" w:color="auto"/>
              <w:left w:val="nil"/>
              <w:bottom w:val="single" w:sz="12" w:space="0" w:color="000000"/>
              <w:right w:val="nil"/>
            </w:tcBorders>
            <w:shd w:val="clear" w:color="auto" w:fill="auto"/>
            <w:noWrap/>
            <w:vAlign w:val="bottom"/>
          </w:tcPr>
          <w:p w14:paraId="27E2A6A2" w14:textId="041D3946" w:rsidR="00B11268" w:rsidRPr="00B11268" w:rsidRDefault="00B11268" w:rsidP="00B11268">
            <w:pPr>
              <w:suppressAutoHyphens/>
              <w:autoSpaceDN w:val="0"/>
              <w:jc w:val="right"/>
              <w:rPr>
                <w:rFonts w:ascii="Arial" w:hAnsi="Arial" w:cs="Arial"/>
                <w:b/>
                <w:bCs/>
                <w:sz w:val="18"/>
                <w:szCs w:val="18"/>
              </w:rPr>
            </w:pPr>
            <w:r w:rsidRPr="00B11268">
              <w:rPr>
                <w:rFonts w:ascii="Arial" w:hAnsi="Arial" w:cs="Arial"/>
                <w:b/>
                <w:bCs/>
                <w:sz w:val="18"/>
                <w:szCs w:val="18"/>
              </w:rPr>
              <w:t xml:space="preserve"> 14.012 </w:t>
            </w:r>
          </w:p>
        </w:tc>
        <w:tc>
          <w:tcPr>
            <w:tcW w:w="1521" w:type="dxa"/>
            <w:tcBorders>
              <w:top w:val="single" w:sz="8" w:space="0" w:color="auto"/>
              <w:left w:val="nil"/>
              <w:bottom w:val="single" w:sz="12" w:space="0" w:color="000000"/>
              <w:right w:val="nil"/>
            </w:tcBorders>
            <w:shd w:val="clear" w:color="auto" w:fill="auto"/>
            <w:noWrap/>
            <w:vAlign w:val="bottom"/>
          </w:tcPr>
          <w:p w14:paraId="3D1F4E8C" w14:textId="702AD771" w:rsidR="00B11268" w:rsidRPr="00B11268" w:rsidRDefault="00B11268" w:rsidP="00B11268">
            <w:pPr>
              <w:suppressAutoHyphens/>
              <w:autoSpaceDN w:val="0"/>
              <w:jc w:val="right"/>
              <w:rPr>
                <w:rFonts w:ascii="Arial" w:hAnsi="Arial" w:cs="Arial"/>
                <w:b/>
                <w:bCs/>
                <w:sz w:val="18"/>
                <w:szCs w:val="18"/>
              </w:rPr>
            </w:pPr>
            <w:r w:rsidRPr="00B11268">
              <w:rPr>
                <w:rFonts w:ascii="Arial" w:hAnsi="Arial" w:cs="Arial"/>
                <w:b/>
                <w:bCs/>
                <w:sz w:val="18"/>
                <w:szCs w:val="18"/>
              </w:rPr>
              <w:t xml:space="preserve"> 263 </w:t>
            </w:r>
          </w:p>
        </w:tc>
        <w:tc>
          <w:tcPr>
            <w:tcW w:w="1640" w:type="dxa"/>
            <w:tcBorders>
              <w:top w:val="single" w:sz="8" w:space="0" w:color="auto"/>
              <w:left w:val="nil"/>
              <w:bottom w:val="single" w:sz="12" w:space="0" w:color="000000"/>
              <w:right w:val="nil"/>
            </w:tcBorders>
            <w:shd w:val="clear" w:color="auto" w:fill="auto"/>
            <w:noWrap/>
            <w:vAlign w:val="bottom"/>
          </w:tcPr>
          <w:p w14:paraId="75152573" w14:textId="3697FFEA" w:rsidR="00B11268" w:rsidRPr="00B11268" w:rsidRDefault="00B11268" w:rsidP="00B11268">
            <w:pPr>
              <w:suppressAutoHyphens/>
              <w:autoSpaceDN w:val="0"/>
              <w:jc w:val="right"/>
              <w:rPr>
                <w:rFonts w:ascii="Arial" w:hAnsi="Arial" w:cs="Arial"/>
                <w:b/>
                <w:bCs/>
                <w:sz w:val="18"/>
                <w:szCs w:val="18"/>
              </w:rPr>
            </w:pPr>
            <w:r w:rsidRPr="00B11268">
              <w:rPr>
                <w:rFonts w:ascii="Arial" w:hAnsi="Arial" w:cs="Arial"/>
                <w:b/>
                <w:bCs/>
                <w:sz w:val="18"/>
                <w:szCs w:val="18"/>
              </w:rPr>
              <w:t xml:space="preserve"> 1.167.204 </w:t>
            </w:r>
          </w:p>
        </w:tc>
      </w:tr>
    </w:tbl>
    <w:p w14:paraId="17454613" w14:textId="77777777" w:rsidR="005D5085" w:rsidRPr="003D1614" w:rsidRDefault="005D5085" w:rsidP="005D5085">
      <w:pPr>
        <w:keepNext/>
        <w:tabs>
          <w:tab w:val="left" w:pos="1134"/>
        </w:tabs>
        <w:suppressAutoHyphens/>
        <w:autoSpaceDN w:val="0"/>
        <w:jc w:val="both"/>
        <w:outlineLvl w:val="0"/>
        <w:rPr>
          <w:rFonts w:ascii="Arial" w:eastAsia="Times New Roman" w:hAnsi="Arial" w:cs="Arial"/>
          <w:color w:val="000000" w:themeColor="text1"/>
          <w:sz w:val="20"/>
          <w:szCs w:val="20"/>
        </w:rPr>
      </w:pPr>
    </w:p>
    <w:p w14:paraId="579DFAE7" w14:textId="77777777" w:rsidR="005D5085" w:rsidRPr="003D1614" w:rsidRDefault="005D5085" w:rsidP="005D5085">
      <w:pPr>
        <w:keepNext/>
        <w:tabs>
          <w:tab w:val="left" w:pos="1134"/>
        </w:tabs>
        <w:suppressAutoHyphens/>
        <w:autoSpaceDN w:val="0"/>
        <w:jc w:val="both"/>
        <w:outlineLvl w:val="0"/>
        <w:rPr>
          <w:rFonts w:ascii="Arial" w:eastAsia="Times New Roman" w:hAnsi="Arial" w:cs="Arial"/>
          <w:color w:val="000000" w:themeColor="text1"/>
          <w:sz w:val="20"/>
          <w:szCs w:val="20"/>
        </w:rPr>
      </w:pPr>
    </w:p>
    <w:tbl>
      <w:tblPr>
        <w:tblpPr w:leftFromText="180" w:rightFromText="180" w:vertAnchor="text" w:horzAnchor="margin" w:tblpY="53"/>
        <w:tblW w:w="8976" w:type="dxa"/>
        <w:tblLayout w:type="fixed"/>
        <w:tblLook w:val="04A0" w:firstRow="1" w:lastRow="0" w:firstColumn="1" w:lastColumn="0" w:noHBand="0" w:noVBand="1"/>
      </w:tblPr>
      <w:tblGrid>
        <w:gridCol w:w="2671"/>
        <w:gridCol w:w="1623"/>
        <w:gridCol w:w="1521"/>
        <w:gridCol w:w="1521"/>
        <w:gridCol w:w="1640"/>
      </w:tblGrid>
      <w:tr w:rsidR="002B5609" w:rsidRPr="007E675A" w14:paraId="7A76131D" w14:textId="77777777" w:rsidTr="00DD2D50">
        <w:trPr>
          <w:trHeight w:val="323"/>
        </w:trPr>
        <w:tc>
          <w:tcPr>
            <w:tcW w:w="2671" w:type="dxa"/>
            <w:tcBorders>
              <w:top w:val="nil"/>
              <w:left w:val="nil"/>
              <w:bottom w:val="nil"/>
              <w:right w:val="nil"/>
            </w:tcBorders>
            <w:shd w:val="clear" w:color="auto" w:fill="auto"/>
            <w:noWrap/>
            <w:vAlign w:val="bottom"/>
            <w:hideMark/>
          </w:tcPr>
          <w:p w14:paraId="38270F8F" w14:textId="77777777" w:rsidR="002B5609" w:rsidRPr="004B4498" w:rsidRDefault="002B5609" w:rsidP="00DD2D50">
            <w:pPr>
              <w:rPr>
                <w:rFonts w:ascii="Arial" w:hAnsi="Arial" w:cs="Arial"/>
                <w:b/>
                <w:color w:val="000000" w:themeColor="text1"/>
                <w:sz w:val="18"/>
                <w:szCs w:val="18"/>
              </w:rPr>
            </w:pPr>
            <w:r w:rsidRPr="004B4498">
              <w:rPr>
                <w:rFonts w:ascii="Arial" w:hAnsi="Arial" w:cs="Arial"/>
                <w:b/>
                <w:color w:val="000000" w:themeColor="text1"/>
                <w:sz w:val="18"/>
                <w:szCs w:val="18"/>
              </w:rPr>
              <w:t>31. prosinca 202</w:t>
            </w:r>
            <w:r>
              <w:rPr>
                <w:rFonts w:ascii="Arial" w:hAnsi="Arial" w:cs="Arial"/>
                <w:b/>
                <w:color w:val="000000" w:themeColor="text1"/>
                <w:sz w:val="18"/>
                <w:szCs w:val="18"/>
              </w:rPr>
              <w:t>3</w:t>
            </w:r>
            <w:r w:rsidRPr="004B4498">
              <w:rPr>
                <w:rFonts w:ascii="Arial" w:hAnsi="Arial" w:cs="Arial"/>
                <w:b/>
                <w:color w:val="000000" w:themeColor="text1"/>
                <w:sz w:val="18"/>
                <w:szCs w:val="18"/>
              </w:rPr>
              <w:t xml:space="preserve">.    </w:t>
            </w:r>
          </w:p>
        </w:tc>
        <w:tc>
          <w:tcPr>
            <w:tcW w:w="1623" w:type="dxa"/>
            <w:tcBorders>
              <w:top w:val="nil"/>
              <w:left w:val="nil"/>
              <w:bottom w:val="nil"/>
              <w:right w:val="nil"/>
            </w:tcBorders>
            <w:shd w:val="clear" w:color="auto" w:fill="auto"/>
            <w:noWrap/>
            <w:vAlign w:val="bottom"/>
            <w:hideMark/>
          </w:tcPr>
          <w:p w14:paraId="4D8CB159" w14:textId="77777777" w:rsidR="002B5609" w:rsidRPr="004B4498" w:rsidRDefault="002B5609" w:rsidP="00DD2D50">
            <w:pPr>
              <w:rPr>
                <w:rFonts w:ascii="Arial" w:hAnsi="Arial" w:cs="Arial"/>
                <w:color w:val="000000" w:themeColor="text1"/>
                <w:sz w:val="18"/>
                <w:szCs w:val="18"/>
              </w:rPr>
            </w:pPr>
          </w:p>
        </w:tc>
        <w:tc>
          <w:tcPr>
            <w:tcW w:w="1521" w:type="dxa"/>
            <w:tcBorders>
              <w:top w:val="nil"/>
              <w:left w:val="nil"/>
              <w:bottom w:val="nil"/>
              <w:right w:val="nil"/>
            </w:tcBorders>
            <w:shd w:val="clear" w:color="auto" w:fill="auto"/>
            <w:noWrap/>
            <w:vAlign w:val="bottom"/>
            <w:hideMark/>
          </w:tcPr>
          <w:p w14:paraId="297C795A" w14:textId="77777777" w:rsidR="002B5609" w:rsidRPr="004B4498" w:rsidRDefault="002B5609" w:rsidP="00DD2D50">
            <w:pPr>
              <w:jc w:val="right"/>
              <w:rPr>
                <w:rFonts w:ascii="Arial" w:hAnsi="Arial" w:cs="Arial"/>
                <w:color w:val="000000" w:themeColor="text1"/>
                <w:sz w:val="18"/>
                <w:szCs w:val="18"/>
              </w:rPr>
            </w:pPr>
          </w:p>
        </w:tc>
        <w:tc>
          <w:tcPr>
            <w:tcW w:w="1521" w:type="dxa"/>
            <w:tcBorders>
              <w:top w:val="nil"/>
              <w:left w:val="nil"/>
              <w:bottom w:val="nil"/>
              <w:right w:val="nil"/>
            </w:tcBorders>
            <w:shd w:val="clear" w:color="auto" w:fill="auto"/>
            <w:noWrap/>
            <w:vAlign w:val="bottom"/>
            <w:hideMark/>
          </w:tcPr>
          <w:p w14:paraId="27483941" w14:textId="77777777" w:rsidR="002B5609" w:rsidRPr="004B4498" w:rsidRDefault="002B5609" w:rsidP="00DD2D50">
            <w:pPr>
              <w:jc w:val="right"/>
              <w:rPr>
                <w:rFonts w:ascii="Arial" w:hAnsi="Arial" w:cs="Arial"/>
                <w:color w:val="000000" w:themeColor="text1"/>
                <w:sz w:val="18"/>
                <w:szCs w:val="18"/>
              </w:rPr>
            </w:pPr>
          </w:p>
        </w:tc>
        <w:tc>
          <w:tcPr>
            <w:tcW w:w="1640" w:type="dxa"/>
            <w:tcBorders>
              <w:top w:val="nil"/>
              <w:left w:val="nil"/>
              <w:bottom w:val="nil"/>
              <w:right w:val="nil"/>
            </w:tcBorders>
            <w:shd w:val="clear" w:color="auto" w:fill="auto"/>
            <w:noWrap/>
            <w:vAlign w:val="bottom"/>
            <w:hideMark/>
          </w:tcPr>
          <w:p w14:paraId="18C93800" w14:textId="77777777" w:rsidR="002B5609" w:rsidRPr="004B4498" w:rsidRDefault="002B5609" w:rsidP="00DD2D50">
            <w:pPr>
              <w:jc w:val="right"/>
              <w:rPr>
                <w:rFonts w:ascii="Arial" w:hAnsi="Arial" w:cs="Arial"/>
                <w:b/>
                <w:bCs/>
                <w:color w:val="000000" w:themeColor="text1"/>
                <w:sz w:val="18"/>
                <w:szCs w:val="18"/>
              </w:rPr>
            </w:pPr>
            <w:r w:rsidRPr="004B4498">
              <w:rPr>
                <w:rFonts w:ascii="Arial" w:hAnsi="Arial" w:cs="Arial"/>
                <w:b/>
                <w:bCs/>
                <w:color w:val="000000" w:themeColor="text1"/>
                <w:sz w:val="18"/>
                <w:szCs w:val="18"/>
              </w:rPr>
              <w:t>Grupa i Banka</w:t>
            </w:r>
          </w:p>
        </w:tc>
      </w:tr>
      <w:tr w:rsidR="002B5609" w:rsidRPr="007E675A" w14:paraId="4356B6C9" w14:textId="77777777" w:rsidTr="00DD2D50">
        <w:trPr>
          <w:trHeight w:val="323"/>
        </w:trPr>
        <w:tc>
          <w:tcPr>
            <w:tcW w:w="2671" w:type="dxa"/>
            <w:tcBorders>
              <w:top w:val="nil"/>
              <w:left w:val="nil"/>
              <w:bottom w:val="nil"/>
              <w:right w:val="nil"/>
            </w:tcBorders>
            <w:shd w:val="clear" w:color="auto" w:fill="auto"/>
            <w:noWrap/>
            <w:vAlign w:val="bottom"/>
            <w:hideMark/>
          </w:tcPr>
          <w:p w14:paraId="1EC84BCE" w14:textId="77777777" w:rsidR="002B5609" w:rsidRPr="004B4498" w:rsidRDefault="002B5609" w:rsidP="00DD2D50">
            <w:pPr>
              <w:jc w:val="right"/>
              <w:rPr>
                <w:rFonts w:ascii="Arial" w:hAnsi="Arial" w:cs="Arial"/>
                <w:b/>
                <w:bCs/>
                <w:color w:val="000000" w:themeColor="text1"/>
                <w:sz w:val="18"/>
                <w:szCs w:val="18"/>
              </w:rPr>
            </w:pPr>
          </w:p>
        </w:tc>
        <w:tc>
          <w:tcPr>
            <w:tcW w:w="1623" w:type="dxa"/>
            <w:tcBorders>
              <w:top w:val="nil"/>
              <w:left w:val="nil"/>
              <w:bottom w:val="nil"/>
              <w:right w:val="nil"/>
            </w:tcBorders>
            <w:shd w:val="clear" w:color="auto" w:fill="auto"/>
            <w:noWrap/>
            <w:vAlign w:val="bottom"/>
            <w:hideMark/>
          </w:tcPr>
          <w:p w14:paraId="0510D284" w14:textId="77777777" w:rsidR="002B5609" w:rsidRPr="004B4498" w:rsidRDefault="002B5609" w:rsidP="00DD2D50">
            <w:pPr>
              <w:jc w:val="right"/>
              <w:rPr>
                <w:rFonts w:ascii="Arial" w:hAnsi="Arial" w:cs="Arial"/>
                <w:b/>
                <w:bCs/>
                <w:color w:val="000000" w:themeColor="text1"/>
                <w:sz w:val="18"/>
                <w:szCs w:val="18"/>
              </w:rPr>
            </w:pPr>
            <w:r w:rsidRPr="004B4498">
              <w:rPr>
                <w:rFonts w:ascii="Arial" w:hAnsi="Arial" w:cs="Arial"/>
                <w:b/>
                <w:bCs/>
                <w:color w:val="000000" w:themeColor="text1"/>
                <w:sz w:val="18"/>
                <w:szCs w:val="18"/>
              </w:rPr>
              <w:t>Stupanj 1</w:t>
            </w:r>
          </w:p>
        </w:tc>
        <w:tc>
          <w:tcPr>
            <w:tcW w:w="1521" w:type="dxa"/>
            <w:tcBorders>
              <w:top w:val="nil"/>
              <w:left w:val="nil"/>
              <w:bottom w:val="nil"/>
              <w:right w:val="nil"/>
            </w:tcBorders>
            <w:shd w:val="clear" w:color="auto" w:fill="auto"/>
            <w:noWrap/>
            <w:vAlign w:val="bottom"/>
            <w:hideMark/>
          </w:tcPr>
          <w:p w14:paraId="7168B9AA" w14:textId="77777777" w:rsidR="002B5609" w:rsidRPr="004B4498" w:rsidRDefault="002B5609" w:rsidP="00DD2D50">
            <w:pPr>
              <w:jc w:val="right"/>
              <w:rPr>
                <w:rFonts w:ascii="Arial" w:hAnsi="Arial" w:cs="Arial"/>
                <w:b/>
                <w:bCs/>
                <w:color w:val="000000" w:themeColor="text1"/>
                <w:sz w:val="18"/>
                <w:szCs w:val="18"/>
              </w:rPr>
            </w:pPr>
            <w:r w:rsidRPr="004B4498">
              <w:rPr>
                <w:rFonts w:ascii="Arial" w:hAnsi="Arial" w:cs="Arial"/>
                <w:b/>
                <w:bCs/>
                <w:color w:val="000000" w:themeColor="text1"/>
                <w:sz w:val="18"/>
                <w:szCs w:val="18"/>
              </w:rPr>
              <w:t>Stupanj 2</w:t>
            </w:r>
          </w:p>
        </w:tc>
        <w:tc>
          <w:tcPr>
            <w:tcW w:w="1521" w:type="dxa"/>
            <w:tcBorders>
              <w:top w:val="nil"/>
              <w:left w:val="nil"/>
              <w:bottom w:val="nil"/>
              <w:right w:val="nil"/>
            </w:tcBorders>
            <w:shd w:val="clear" w:color="auto" w:fill="auto"/>
            <w:noWrap/>
            <w:vAlign w:val="bottom"/>
            <w:hideMark/>
          </w:tcPr>
          <w:p w14:paraId="59A792F0" w14:textId="77777777" w:rsidR="002B5609" w:rsidRPr="004B4498" w:rsidRDefault="002B5609" w:rsidP="00DD2D50">
            <w:pPr>
              <w:jc w:val="right"/>
              <w:rPr>
                <w:rFonts w:ascii="Arial" w:hAnsi="Arial" w:cs="Arial"/>
                <w:b/>
                <w:bCs/>
                <w:color w:val="000000" w:themeColor="text1"/>
                <w:sz w:val="18"/>
                <w:szCs w:val="18"/>
              </w:rPr>
            </w:pPr>
            <w:r w:rsidRPr="004B4498">
              <w:rPr>
                <w:rFonts w:ascii="Arial" w:hAnsi="Arial" w:cs="Arial"/>
                <w:b/>
                <w:bCs/>
                <w:color w:val="000000" w:themeColor="text1"/>
                <w:sz w:val="18"/>
                <w:szCs w:val="18"/>
              </w:rPr>
              <w:t>Stupanj 3</w:t>
            </w:r>
          </w:p>
        </w:tc>
        <w:tc>
          <w:tcPr>
            <w:tcW w:w="1640" w:type="dxa"/>
            <w:tcBorders>
              <w:top w:val="nil"/>
              <w:left w:val="nil"/>
              <w:bottom w:val="nil"/>
              <w:right w:val="nil"/>
            </w:tcBorders>
            <w:shd w:val="clear" w:color="auto" w:fill="auto"/>
            <w:noWrap/>
            <w:vAlign w:val="bottom"/>
            <w:hideMark/>
          </w:tcPr>
          <w:p w14:paraId="0CBCD57C" w14:textId="77777777" w:rsidR="002B5609" w:rsidRPr="004B4498" w:rsidRDefault="002B5609" w:rsidP="00DD2D50">
            <w:pPr>
              <w:jc w:val="right"/>
              <w:rPr>
                <w:rFonts w:ascii="Arial" w:hAnsi="Arial" w:cs="Arial"/>
                <w:b/>
                <w:bCs/>
                <w:color w:val="000000" w:themeColor="text1"/>
                <w:sz w:val="18"/>
                <w:szCs w:val="18"/>
              </w:rPr>
            </w:pPr>
            <w:r w:rsidRPr="004B4498">
              <w:rPr>
                <w:rFonts w:ascii="Arial" w:hAnsi="Arial" w:cs="Arial"/>
                <w:b/>
                <w:bCs/>
                <w:color w:val="000000" w:themeColor="text1"/>
                <w:sz w:val="18"/>
                <w:szCs w:val="18"/>
              </w:rPr>
              <w:t>Ukupno</w:t>
            </w:r>
          </w:p>
        </w:tc>
      </w:tr>
      <w:tr w:rsidR="002B5609" w:rsidRPr="007E675A" w14:paraId="2395F214" w14:textId="77777777" w:rsidTr="00DD2D50">
        <w:trPr>
          <w:trHeight w:val="323"/>
        </w:trPr>
        <w:tc>
          <w:tcPr>
            <w:tcW w:w="2671" w:type="dxa"/>
            <w:tcBorders>
              <w:top w:val="nil"/>
              <w:left w:val="nil"/>
              <w:bottom w:val="nil"/>
              <w:right w:val="nil"/>
            </w:tcBorders>
            <w:shd w:val="clear" w:color="auto" w:fill="auto"/>
            <w:noWrap/>
            <w:vAlign w:val="bottom"/>
            <w:hideMark/>
          </w:tcPr>
          <w:p w14:paraId="70AF1475" w14:textId="77777777" w:rsidR="002B5609" w:rsidRPr="004B4498" w:rsidRDefault="002B5609" w:rsidP="00DD2D50">
            <w:pPr>
              <w:jc w:val="right"/>
              <w:rPr>
                <w:rFonts w:ascii="Arial" w:hAnsi="Arial" w:cs="Arial"/>
                <w:b/>
                <w:bCs/>
                <w:color w:val="000000" w:themeColor="text1"/>
                <w:sz w:val="18"/>
                <w:szCs w:val="18"/>
              </w:rPr>
            </w:pPr>
          </w:p>
        </w:tc>
        <w:tc>
          <w:tcPr>
            <w:tcW w:w="1623" w:type="dxa"/>
            <w:tcBorders>
              <w:top w:val="nil"/>
              <w:left w:val="nil"/>
              <w:bottom w:val="nil"/>
              <w:right w:val="nil"/>
            </w:tcBorders>
            <w:shd w:val="clear" w:color="auto" w:fill="auto"/>
            <w:noWrap/>
            <w:vAlign w:val="bottom"/>
            <w:hideMark/>
          </w:tcPr>
          <w:p w14:paraId="07B0CBBC" w14:textId="77777777" w:rsidR="002B5609" w:rsidRPr="004B4498" w:rsidRDefault="002B5609" w:rsidP="00DD2D50">
            <w:pPr>
              <w:jc w:val="right"/>
              <w:rPr>
                <w:rFonts w:ascii="Arial" w:hAnsi="Arial" w:cs="Arial"/>
                <w:b/>
                <w:bCs/>
                <w:color w:val="000000" w:themeColor="text1"/>
                <w:sz w:val="18"/>
                <w:szCs w:val="18"/>
              </w:rPr>
            </w:pPr>
            <w:r w:rsidRPr="004B4498">
              <w:rPr>
                <w:rFonts w:ascii="Arial" w:hAnsi="Arial" w:cs="Arial"/>
                <w:b/>
                <w:bCs/>
                <w:color w:val="000000" w:themeColor="text1"/>
                <w:sz w:val="18"/>
                <w:szCs w:val="18"/>
              </w:rPr>
              <w:t xml:space="preserve">000 </w:t>
            </w:r>
            <w:r>
              <w:rPr>
                <w:rFonts w:ascii="Arial" w:hAnsi="Arial" w:cs="Arial"/>
                <w:b/>
                <w:bCs/>
                <w:color w:val="000000" w:themeColor="text1"/>
                <w:sz w:val="18"/>
                <w:szCs w:val="18"/>
              </w:rPr>
              <w:t>eura</w:t>
            </w:r>
          </w:p>
        </w:tc>
        <w:tc>
          <w:tcPr>
            <w:tcW w:w="1521" w:type="dxa"/>
            <w:tcBorders>
              <w:top w:val="nil"/>
              <w:left w:val="nil"/>
              <w:bottom w:val="nil"/>
              <w:right w:val="nil"/>
            </w:tcBorders>
            <w:shd w:val="clear" w:color="auto" w:fill="auto"/>
            <w:noWrap/>
            <w:vAlign w:val="bottom"/>
            <w:hideMark/>
          </w:tcPr>
          <w:p w14:paraId="2484AF42" w14:textId="77777777" w:rsidR="002B5609" w:rsidRPr="004B4498" w:rsidRDefault="002B5609" w:rsidP="00DD2D50">
            <w:pPr>
              <w:jc w:val="right"/>
              <w:rPr>
                <w:rFonts w:ascii="Arial" w:hAnsi="Arial" w:cs="Arial"/>
                <w:b/>
                <w:bCs/>
                <w:color w:val="000000" w:themeColor="text1"/>
                <w:sz w:val="18"/>
                <w:szCs w:val="18"/>
              </w:rPr>
            </w:pPr>
            <w:r w:rsidRPr="004B4498">
              <w:rPr>
                <w:rFonts w:ascii="Arial" w:hAnsi="Arial" w:cs="Arial"/>
                <w:b/>
                <w:bCs/>
                <w:color w:val="000000" w:themeColor="text1"/>
                <w:sz w:val="18"/>
                <w:szCs w:val="18"/>
              </w:rPr>
              <w:t xml:space="preserve">000 </w:t>
            </w:r>
            <w:r>
              <w:rPr>
                <w:rFonts w:ascii="Arial" w:hAnsi="Arial" w:cs="Arial"/>
                <w:b/>
                <w:bCs/>
                <w:color w:val="000000" w:themeColor="text1"/>
                <w:sz w:val="18"/>
                <w:szCs w:val="18"/>
              </w:rPr>
              <w:t>eura</w:t>
            </w:r>
          </w:p>
        </w:tc>
        <w:tc>
          <w:tcPr>
            <w:tcW w:w="1521" w:type="dxa"/>
            <w:tcBorders>
              <w:top w:val="nil"/>
              <w:left w:val="nil"/>
              <w:bottom w:val="nil"/>
              <w:right w:val="nil"/>
            </w:tcBorders>
            <w:shd w:val="clear" w:color="auto" w:fill="auto"/>
            <w:noWrap/>
            <w:vAlign w:val="bottom"/>
            <w:hideMark/>
          </w:tcPr>
          <w:p w14:paraId="11444727" w14:textId="77777777" w:rsidR="002B5609" w:rsidRPr="004B4498" w:rsidRDefault="002B5609" w:rsidP="00DD2D50">
            <w:pPr>
              <w:jc w:val="right"/>
              <w:rPr>
                <w:rFonts w:ascii="Arial" w:hAnsi="Arial" w:cs="Arial"/>
                <w:b/>
                <w:bCs/>
                <w:color w:val="000000" w:themeColor="text1"/>
                <w:sz w:val="18"/>
                <w:szCs w:val="18"/>
              </w:rPr>
            </w:pPr>
            <w:r w:rsidRPr="004B4498">
              <w:rPr>
                <w:rFonts w:ascii="Arial" w:hAnsi="Arial" w:cs="Arial"/>
                <w:b/>
                <w:bCs/>
                <w:color w:val="000000" w:themeColor="text1"/>
                <w:sz w:val="18"/>
                <w:szCs w:val="18"/>
              </w:rPr>
              <w:t xml:space="preserve">000 </w:t>
            </w:r>
            <w:r>
              <w:rPr>
                <w:rFonts w:ascii="Arial" w:hAnsi="Arial" w:cs="Arial"/>
                <w:b/>
                <w:bCs/>
                <w:color w:val="000000" w:themeColor="text1"/>
                <w:sz w:val="18"/>
                <w:szCs w:val="18"/>
              </w:rPr>
              <w:t>eura</w:t>
            </w:r>
          </w:p>
        </w:tc>
        <w:tc>
          <w:tcPr>
            <w:tcW w:w="1640" w:type="dxa"/>
            <w:tcBorders>
              <w:top w:val="nil"/>
              <w:left w:val="nil"/>
              <w:bottom w:val="nil"/>
              <w:right w:val="nil"/>
            </w:tcBorders>
            <w:shd w:val="clear" w:color="auto" w:fill="auto"/>
            <w:noWrap/>
            <w:vAlign w:val="bottom"/>
            <w:hideMark/>
          </w:tcPr>
          <w:p w14:paraId="036A6449" w14:textId="77777777" w:rsidR="002B5609" w:rsidRPr="004B4498" w:rsidRDefault="002B5609" w:rsidP="00DD2D50">
            <w:pPr>
              <w:jc w:val="right"/>
              <w:rPr>
                <w:rFonts w:ascii="Arial" w:hAnsi="Arial" w:cs="Arial"/>
                <w:b/>
                <w:bCs/>
                <w:color w:val="000000" w:themeColor="text1"/>
                <w:sz w:val="18"/>
                <w:szCs w:val="18"/>
              </w:rPr>
            </w:pPr>
            <w:r w:rsidRPr="004B4498">
              <w:rPr>
                <w:rFonts w:ascii="Arial" w:hAnsi="Arial" w:cs="Arial"/>
                <w:b/>
                <w:bCs/>
                <w:color w:val="000000" w:themeColor="text1"/>
                <w:sz w:val="18"/>
                <w:szCs w:val="18"/>
              </w:rPr>
              <w:t xml:space="preserve">000 </w:t>
            </w:r>
            <w:r>
              <w:rPr>
                <w:rFonts w:ascii="Arial" w:hAnsi="Arial" w:cs="Arial"/>
                <w:b/>
                <w:bCs/>
                <w:color w:val="000000" w:themeColor="text1"/>
                <w:sz w:val="18"/>
                <w:szCs w:val="18"/>
              </w:rPr>
              <w:t>eura</w:t>
            </w:r>
          </w:p>
        </w:tc>
      </w:tr>
      <w:tr w:rsidR="002B5609" w:rsidRPr="007E675A" w14:paraId="7D518DD5" w14:textId="77777777" w:rsidTr="00DD2D50">
        <w:trPr>
          <w:trHeight w:val="210"/>
        </w:trPr>
        <w:tc>
          <w:tcPr>
            <w:tcW w:w="2671" w:type="dxa"/>
            <w:tcBorders>
              <w:top w:val="nil"/>
              <w:left w:val="nil"/>
              <w:bottom w:val="nil"/>
              <w:right w:val="nil"/>
            </w:tcBorders>
            <w:shd w:val="clear" w:color="auto" w:fill="auto"/>
            <w:noWrap/>
            <w:vAlign w:val="bottom"/>
          </w:tcPr>
          <w:p w14:paraId="4A74AD86" w14:textId="77777777" w:rsidR="002B5609" w:rsidRPr="004B4498" w:rsidRDefault="002B5609" w:rsidP="00DD2D50">
            <w:pPr>
              <w:jc w:val="right"/>
              <w:rPr>
                <w:rFonts w:ascii="Arial" w:hAnsi="Arial" w:cs="Arial"/>
                <w:b/>
                <w:bCs/>
                <w:color w:val="000000" w:themeColor="text1"/>
                <w:sz w:val="18"/>
                <w:szCs w:val="18"/>
              </w:rPr>
            </w:pPr>
          </w:p>
        </w:tc>
        <w:tc>
          <w:tcPr>
            <w:tcW w:w="1623" w:type="dxa"/>
            <w:tcBorders>
              <w:top w:val="nil"/>
              <w:left w:val="nil"/>
              <w:bottom w:val="nil"/>
              <w:right w:val="nil"/>
            </w:tcBorders>
            <w:shd w:val="clear" w:color="auto" w:fill="auto"/>
            <w:noWrap/>
            <w:vAlign w:val="bottom"/>
          </w:tcPr>
          <w:p w14:paraId="7931D9B9" w14:textId="77777777" w:rsidR="002B5609" w:rsidRPr="004B4498" w:rsidRDefault="002B5609" w:rsidP="00DD2D50">
            <w:pPr>
              <w:jc w:val="right"/>
              <w:rPr>
                <w:rFonts w:ascii="Arial" w:hAnsi="Arial" w:cs="Arial"/>
                <w:b/>
                <w:bCs/>
                <w:color w:val="000000" w:themeColor="text1"/>
                <w:sz w:val="18"/>
                <w:szCs w:val="18"/>
              </w:rPr>
            </w:pPr>
          </w:p>
        </w:tc>
        <w:tc>
          <w:tcPr>
            <w:tcW w:w="1521" w:type="dxa"/>
            <w:tcBorders>
              <w:top w:val="nil"/>
              <w:left w:val="nil"/>
              <w:bottom w:val="nil"/>
              <w:right w:val="nil"/>
            </w:tcBorders>
            <w:shd w:val="clear" w:color="auto" w:fill="auto"/>
            <w:noWrap/>
            <w:vAlign w:val="bottom"/>
          </w:tcPr>
          <w:p w14:paraId="087A8B91" w14:textId="77777777" w:rsidR="002B5609" w:rsidRPr="004B4498" w:rsidRDefault="002B5609" w:rsidP="00DD2D50">
            <w:pPr>
              <w:jc w:val="right"/>
              <w:rPr>
                <w:rFonts w:ascii="Arial" w:hAnsi="Arial" w:cs="Arial"/>
                <w:b/>
                <w:bCs/>
                <w:color w:val="000000" w:themeColor="text1"/>
                <w:sz w:val="18"/>
                <w:szCs w:val="18"/>
              </w:rPr>
            </w:pPr>
          </w:p>
        </w:tc>
        <w:tc>
          <w:tcPr>
            <w:tcW w:w="1521" w:type="dxa"/>
            <w:tcBorders>
              <w:top w:val="nil"/>
              <w:left w:val="nil"/>
              <w:bottom w:val="nil"/>
              <w:right w:val="nil"/>
            </w:tcBorders>
            <w:shd w:val="clear" w:color="auto" w:fill="auto"/>
            <w:noWrap/>
            <w:vAlign w:val="bottom"/>
          </w:tcPr>
          <w:p w14:paraId="6048E8CE" w14:textId="77777777" w:rsidR="002B5609" w:rsidRPr="004B4498" w:rsidRDefault="002B5609" w:rsidP="00DD2D50">
            <w:pPr>
              <w:jc w:val="right"/>
              <w:rPr>
                <w:rFonts w:ascii="Arial" w:hAnsi="Arial" w:cs="Arial"/>
                <w:b/>
                <w:bCs/>
                <w:color w:val="000000" w:themeColor="text1"/>
                <w:sz w:val="18"/>
                <w:szCs w:val="18"/>
              </w:rPr>
            </w:pPr>
          </w:p>
        </w:tc>
        <w:tc>
          <w:tcPr>
            <w:tcW w:w="1640" w:type="dxa"/>
            <w:tcBorders>
              <w:top w:val="nil"/>
              <w:left w:val="nil"/>
              <w:bottom w:val="nil"/>
              <w:right w:val="nil"/>
            </w:tcBorders>
            <w:shd w:val="clear" w:color="auto" w:fill="auto"/>
            <w:noWrap/>
            <w:vAlign w:val="bottom"/>
          </w:tcPr>
          <w:p w14:paraId="68180A57" w14:textId="77777777" w:rsidR="002B5609" w:rsidRPr="004B4498" w:rsidRDefault="002B5609" w:rsidP="00DD2D50">
            <w:pPr>
              <w:jc w:val="right"/>
              <w:rPr>
                <w:rFonts w:ascii="Arial" w:hAnsi="Arial" w:cs="Arial"/>
                <w:b/>
                <w:bCs/>
                <w:color w:val="000000" w:themeColor="text1"/>
                <w:sz w:val="18"/>
                <w:szCs w:val="18"/>
              </w:rPr>
            </w:pPr>
          </w:p>
        </w:tc>
      </w:tr>
      <w:tr w:rsidR="002B5609" w:rsidRPr="007E675A" w14:paraId="14524433" w14:textId="77777777" w:rsidTr="00DD2D50">
        <w:trPr>
          <w:trHeight w:val="323"/>
        </w:trPr>
        <w:tc>
          <w:tcPr>
            <w:tcW w:w="2671" w:type="dxa"/>
            <w:tcBorders>
              <w:top w:val="nil"/>
              <w:left w:val="nil"/>
              <w:bottom w:val="nil"/>
              <w:right w:val="nil"/>
            </w:tcBorders>
            <w:shd w:val="clear" w:color="auto" w:fill="auto"/>
            <w:noWrap/>
            <w:vAlign w:val="bottom"/>
            <w:hideMark/>
          </w:tcPr>
          <w:p w14:paraId="3CBB299A" w14:textId="77777777" w:rsidR="002B5609" w:rsidRPr="004B4498" w:rsidRDefault="002B5609" w:rsidP="00DD2D50">
            <w:pPr>
              <w:rPr>
                <w:rFonts w:ascii="Arial" w:hAnsi="Arial" w:cs="Arial"/>
                <w:color w:val="000000" w:themeColor="text1"/>
                <w:sz w:val="18"/>
                <w:szCs w:val="18"/>
              </w:rPr>
            </w:pPr>
            <w:r w:rsidRPr="004B4498">
              <w:rPr>
                <w:rFonts w:ascii="Arial" w:hAnsi="Arial" w:cs="Arial"/>
                <w:color w:val="000000" w:themeColor="text1"/>
                <w:sz w:val="18"/>
                <w:szCs w:val="18"/>
              </w:rPr>
              <w:t>Bruto iznos</w:t>
            </w:r>
          </w:p>
        </w:tc>
        <w:tc>
          <w:tcPr>
            <w:tcW w:w="1623" w:type="dxa"/>
            <w:tcBorders>
              <w:top w:val="nil"/>
              <w:left w:val="nil"/>
              <w:bottom w:val="nil"/>
              <w:right w:val="nil"/>
            </w:tcBorders>
            <w:shd w:val="clear" w:color="auto" w:fill="auto"/>
            <w:noWrap/>
            <w:vAlign w:val="bottom"/>
          </w:tcPr>
          <w:p w14:paraId="7337D148" w14:textId="77777777" w:rsidR="002B5609" w:rsidRPr="00E21596" w:rsidRDefault="002B5609" w:rsidP="00DD2D50">
            <w:pPr>
              <w:jc w:val="right"/>
              <w:rPr>
                <w:rFonts w:ascii="Arial" w:hAnsi="Arial" w:cs="Arial"/>
                <w:sz w:val="18"/>
                <w:szCs w:val="18"/>
              </w:rPr>
            </w:pPr>
            <w:r w:rsidRPr="00F959D0">
              <w:rPr>
                <w:rFonts w:ascii="Arial" w:hAnsi="Arial" w:cs="Arial"/>
                <w:sz w:val="18"/>
                <w:szCs w:val="18"/>
              </w:rPr>
              <w:t>1.238.052</w:t>
            </w:r>
          </w:p>
        </w:tc>
        <w:tc>
          <w:tcPr>
            <w:tcW w:w="1521" w:type="dxa"/>
            <w:tcBorders>
              <w:top w:val="nil"/>
              <w:left w:val="nil"/>
              <w:bottom w:val="nil"/>
              <w:right w:val="nil"/>
            </w:tcBorders>
            <w:shd w:val="clear" w:color="auto" w:fill="auto"/>
            <w:noWrap/>
            <w:vAlign w:val="bottom"/>
          </w:tcPr>
          <w:p w14:paraId="3F64BD47" w14:textId="77777777" w:rsidR="002B5609" w:rsidRPr="00E21596" w:rsidRDefault="002B5609" w:rsidP="00DD2D50">
            <w:pPr>
              <w:jc w:val="right"/>
              <w:rPr>
                <w:rFonts w:ascii="Arial" w:hAnsi="Arial" w:cs="Arial"/>
                <w:sz w:val="18"/>
                <w:szCs w:val="18"/>
              </w:rPr>
            </w:pPr>
            <w:r w:rsidRPr="00F959D0">
              <w:rPr>
                <w:rFonts w:ascii="Arial" w:hAnsi="Arial" w:cs="Arial"/>
                <w:sz w:val="18"/>
                <w:szCs w:val="18"/>
              </w:rPr>
              <w:t>16.420</w:t>
            </w:r>
          </w:p>
        </w:tc>
        <w:tc>
          <w:tcPr>
            <w:tcW w:w="1521" w:type="dxa"/>
            <w:tcBorders>
              <w:top w:val="nil"/>
              <w:left w:val="nil"/>
              <w:bottom w:val="nil"/>
              <w:right w:val="nil"/>
            </w:tcBorders>
            <w:shd w:val="clear" w:color="auto" w:fill="auto"/>
            <w:noWrap/>
            <w:vAlign w:val="bottom"/>
          </w:tcPr>
          <w:p w14:paraId="16BE2C08" w14:textId="77777777" w:rsidR="002B5609" w:rsidRPr="00E21596" w:rsidRDefault="002B5609" w:rsidP="00DD2D50">
            <w:pPr>
              <w:jc w:val="right"/>
              <w:rPr>
                <w:rFonts w:ascii="Arial" w:hAnsi="Arial" w:cs="Arial"/>
                <w:sz w:val="18"/>
                <w:szCs w:val="18"/>
              </w:rPr>
            </w:pPr>
            <w:r w:rsidRPr="00F959D0">
              <w:rPr>
                <w:rFonts w:ascii="Arial" w:hAnsi="Arial" w:cs="Arial"/>
                <w:sz w:val="18"/>
                <w:szCs w:val="18"/>
              </w:rPr>
              <w:t>1.136</w:t>
            </w:r>
          </w:p>
        </w:tc>
        <w:tc>
          <w:tcPr>
            <w:tcW w:w="1640" w:type="dxa"/>
            <w:tcBorders>
              <w:top w:val="nil"/>
              <w:left w:val="nil"/>
              <w:bottom w:val="nil"/>
              <w:right w:val="nil"/>
            </w:tcBorders>
            <w:shd w:val="clear" w:color="auto" w:fill="auto"/>
            <w:noWrap/>
            <w:vAlign w:val="bottom"/>
          </w:tcPr>
          <w:p w14:paraId="18ABDD37" w14:textId="77777777" w:rsidR="002B5609" w:rsidRPr="008F0B09" w:rsidRDefault="002B5609" w:rsidP="00DD2D50">
            <w:pPr>
              <w:jc w:val="right"/>
              <w:rPr>
                <w:rFonts w:ascii="Arial" w:hAnsi="Arial" w:cs="Arial"/>
                <w:b/>
                <w:bCs/>
                <w:sz w:val="18"/>
                <w:szCs w:val="18"/>
              </w:rPr>
            </w:pPr>
            <w:r w:rsidRPr="00F959D0">
              <w:rPr>
                <w:rFonts w:ascii="Arial" w:hAnsi="Arial" w:cs="Arial"/>
                <w:b/>
                <w:bCs/>
                <w:sz w:val="18"/>
                <w:szCs w:val="18"/>
              </w:rPr>
              <w:t xml:space="preserve"> 1.255.608 </w:t>
            </w:r>
          </w:p>
        </w:tc>
      </w:tr>
      <w:tr w:rsidR="002B5609" w:rsidRPr="007E675A" w14:paraId="12AC61C1" w14:textId="77777777" w:rsidTr="00DD2D50">
        <w:trPr>
          <w:trHeight w:val="281"/>
        </w:trPr>
        <w:tc>
          <w:tcPr>
            <w:tcW w:w="2671" w:type="dxa"/>
            <w:tcBorders>
              <w:top w:val="nil"/>
              <w:left w:val="nil"/>
              <w:bottom w:val="nil"/>
              <w:right w:val="nil"/>
            </w:tcBorders>
            <w:shd w:val="clear" w:color="auto" w:fill="auto"/>
            <w:noWrap/>
            <w:vAlign w:val="bottom"/>
            <w:hideMark/>
          </w:tcPr>
          <w:p w14:paraId="330F1B5D" w14:textId="77777777" w:rsidR="002B5609" w:rsidRPr="004B4498" w:rsidRDefault="002B5609" w:rsidP="00DD2D50">
            <w:pPr>
              <w:rPr>
                <w:rFonts w:ascii="Arial" w:hAnsi="Arial" w:cs="Arial"/>
                <w:color w:val="000000" w:themeColor="text1"/>
                <w:sz w:val="18"/>
                <w:szCs w:val="18"/>
              </w:rPr>
            </w:pPr>
            <w:r w:rsidRPr="004B4498">
              <w:rPr>
                <w:rFonts w:ascii="Arial" w:hAnsi="Arial" w:cs="Arial"/>
                <w:color w:val="000000" w:themeColor="text1"/>
                <w:sz w:val="18"/>
                <w:szCs w:val="18"/>
              </w:rPr>
              <w:t>Rezerviranja</w:t>
            </w:r>
          </w:p>
        </w:tc>
        <w:tc>
          <w:tcPr>
            <w:tcW w:w="1623" w:type="dxa"/>
            <w:tcBorders>
              <w:top w:val="nil"/>
              <w:left w:val="nil"/>
              <w:bottom w:val="nil"/>
              <w:right w:val="nil"/>
            </w:tcBorders>
            <w:shd w:val="clear" w:color="auto" w:fill="auto"/>
            <w:noWrap/>
            <w:vAlign w:val="bottom"/>
          </w:tcPr>
          <w:p w14:paraId="65999985" w14:textId="77777777" w:rsidR="002B5609" w:rsidRPr="00E21596" w:rsidRDefault="002B5609" w:rsidP="00DD2D50">
            <w:pPr>
              <w:jc w:val="right"/>
              <w:rPr>
                <w:rFonts w:ascii="Arial" w:hAnsi="Arial" w:cs="Arial"/>
                <w:sz w:val="18"/>
                <w:szCs w:val="18"/>
              </w:rPr>
            </w:pPr>
            <w:r w:rsidRPr="00F959D0">
              <w:rPr>
                <w:rFonts w:ascii="Arial" w:hAnsi="Arial" w:cs="Arial"/>
                <w:sz w:val="18"/>
                <w:szCs w:val="18"/>
              </w:rPr>
              <w:t xml:space="preserve"> (4.163)</w:t>
            </w:r>
          </w:p>
        </w:tc>
        <w:tc>
          <w:tcPr>
            <w:tcW w:w="1521" w:type="dxa"/>
            <w:tcBorders>
              <w:top w:val="nil"/>
              <w:left w:val="nil"/>
              <w:bottom w:val="nil"/>
              <w:right w:val="nil"/>
            </w:tcBorders>
            <w:shd w:val="clear" w:color="auto" w:fill="auto"/>
            <w:noWrap/>
            <w:vAlign w:val="bottom"/>
          </w:tcPr>
          <w:p w14:paraId="50A3823F" w14:textId="77777777" w:rsidR="002B5609" w:rsidRPr="00E21596" w:rsidRDefault="002B5609" w:rsidP="00DD2D50">
            <w:pPr>
              <w:jc w:val="right"/>
              <w:rPr>
                <w:rFonts w:ascii="Arial" w:hAnsi="Arial" w:cs="Arial"/>
                <w:sz w:val="18"/>
                <w:szCs w:val="18"/>
              </w:rPr>
            </w:pPr>
            <w:r w:rsidRPr="00F959D0">
              <w:rPr>
                <w:rFonts w:ascii="Arial" w:hAnsi="Arial" w:cs="Arial"/>
                <w:sz w:val="18"/>
                <w:szCs w:val="18"/>
              </w:rPr>
              <w:t xml:space="preserve"> (1.707)</w:t>
            </w:r>
          </w:p>
        </w:tc>
        <w:tc>
          <w:tcPr>
            <w:tcW w:w="1521" w:type="dxa"/>
            <w:tcBorders>
              <w:top w:val="nil"/>
              <w:left w:val="nil"/>
              <w:bottom w:val="nil"/>
              <w:right w:val="nil"/>
            </w:tcBorders>
            <w:shd w:val="clear" w:color="auto" w:fill="auto"/>
            <w:noWrap/>
            <w:vAlign w:val="bottom"/>
          </w:tcPr>
          <w:p w14:paraId="2BC87930" w14:textId="77777777" w:rsidR="002B5609" w:rsidRPr="00E21596" w:rsidRDefault="002B5609" w:rsidP="00DD2D50">
            <w:pPr>
              <w:jc w:val="right"/>
              <w:rPr>
                <w:rFonts w:ascii="Arial" w:hAnsi="Arial" w:cs="Arial"/>
                <w:sz w:val="18"/>
                <w:szCs w:val="18"/>
              </w:rPr>
            </w:pPr>
            <w:r w:rsidRPr="00F959D0">
              <w:rPr>
                <w:rFonts w:ascii="Arial" w:hAnsi="Arial" w:cs="Arial"/>
                <w:sz w:val="18"/>
                <w:szCs w:val="18"/>
              </w:rPr>
              <w:t xml:space="preserve"> (857)</w:t>
            </w:r>
          </w:p>
        </w:tc>
        <w:tc>
          <w:tcPr>
            <w:tcW w:w="1640" w:type="dxa"/>
            <w:tcBorders>
              <w:top w:val="nil"/>
              <w:left w:val="nil"/>
              <w:bottom w:val="nil"/>
              <w:right w:val="nil"/>
            </w:tcBorders>
            <w:shd w:val="clear" w:color="auto" w:fill="auto"/>
            <w:noWrap/>
            <w:vAlign w:val="bottom"/>
          </w:tcPr>
          <w:p w14:paraId="44DDF929" w14:textId="77777777" w:rsidR="002B5609" w:rsidRPr="008F0B09" w:rsidRDefault="002B5609" w:rsidP="00DD2D50">
            <w:pPr>
              <w:jc w:val="right"/>
              <w:rPr>
                <w:rFonts w:ascii="Arial" w:hAnsi="Arial" w:cs="Arial"/>
                <w:b/>
                <w:bCs/>
                <w:sz w:val="18"/>
                <w:szCs w:val="18"/>
              </w:rPr>
            </w:pPr>
            <w:r w:rsidRPr="00F959D0">
              <w:rPr>
                <w:rFonts w:ascii="Arial" w:hAnsi="Arial" w:cs="Arial"/>
                <w:b/>
                <w:bCs/>
                <w:sz w:val="18"/>
                <w:szCs w:val="18"/>
              </w:rPr>
              <w:t xml:space="preserve"> (6.727)</w:t>
            </w:r>
          </w:p>
        </w:tc>
      </w:tr>
      <w:tr w:rsidR="002B5609" w:rsidRPr="007E675A" w14:paraId="3F07C83E" w14:textId="77777777" w:rsidTr="00DD2D50">
        <w:trPr>
          <w:trHeight w:val="607"/>
        </w:trPr>
        <w:tc>
          <w:tcPr>
            <w:tcW w:w="2671" w:type="dxa"/>
            <w:tcBorders>
              <w:top w:val="nil"/>
              <w:left w:val="nil"/>
              <w:bottom w:val="nil"/>
              <w:right w:val="nil"/>
            </w:tcBorders>
            <w:shd w:val="clear" w:color="auto" w:fill="auto"/>
            <w:noWrap/>
            <w:vAlign w:val="bottom"/>
            <w:hideMark/>
          </w:tcPr>
          <w:p w14:paraId="7A2EE401" w14:textId="77777777" w:rsidR="002B5609" w:rsidRPr="004B4498" w:rsidRDefault="002B5609" w:rsidP="00DD2D50">
            <w:pPr>
              <w:rPr>
                <w:rFonts w:ascii="Arial" w:hAnsi="Arial" w:cs="Arial"/>
                <w:b/>
                <w:bCs/>
                <w:color w:val="000000" w:themeColor="text1"/>
                <w:sz w:val="18"/>
                <w:szCs w:val="18"/>
              </w:rPr>
            </w:pPr>
            <w:r w:rsidRPr="004B4498">
              <w:rPr>
                <w:rFonts w:ascii="Arial" w:hAnsi="Arial" w:cs="Arial"/>
                <w:b/>
                <w:bCs/>
                <w:color w:val="000000" w:themeColor="text1"/>
                <w:sz w:val="18"/>
                <w:szCs w:val="18"/>
              </w:rPr>
              <w:t xml:space="preserve">Stanje na dan </w:t>
            </w:r>
          </w:p>
          <w:p w14:paraId="73EDF1B9" w14:textId="77777777" w:rsidR="002B5609" w:rsidRPr="004B4498" w:rsidRDefault="002B5609" w:rsidP="00DD2D50">
            <w:pPr>
              <w:rPr>
                <w:rFonts w:ascii="Arial" w:hAnsi="Arial" w:cs="Arial"/>
                <w:b/>
                <w:bCs/>
                <w:color w:val="000000" w:themeColor="text1"/>
                <w:sz w:val="18"/>
                <w:szCs w:val="18"/>
              </w:rPr>
            </w:pPr>
            <w:r w:rsidRPr="004B4498">
              <w:rPr>
                <w:rFonts w:ascii="Arial" w:hAnsi="Arial" w:cs="Arial"/>
                <w:b/>
                <w:bCs/>
                <w:color w:val="000000" w:themeColor="text1"/>
                <w:sz w:val="18"/>
                <w:szCs w:val="18"/>
              </w:rPr>
              <w:t>31. prosinca 202</w:t>
            </w:r>
            <w:r>
              <w:rPr>
                <w:rFonts w:ascii="Arial" w:hAnsi="Arial" w:cs="Arial"/>
                <w:b/>
                <w:bCs/>
                <w:color w:val="000000" w:themeColor="text1"/>
                <w:sz w:val="18"/>
                <w:szCs w:val="18"/>
              </w:rPr>
              <w:t>3</w:t>
            </w:r>
            <w:r w:rsidRPr="004B4498">
              <w:rPr>
                <w:rFonts w:ascii="Arial" w:hAnsi="Arial" w:cs="Arial"/>
                <w:b/>
                <w:bCs/>
                <w:color w:val="000000" w:themeColor="text1"/>
                <w:sz w:val="18"/>
                <w:szCs w:val="18"/>
              </w:rPr>
              <w:t xml:space="preserve">.    </w:t>
            </w:r>
          </w:p>
        </w:tc>
        <w:tc>
          <w:tcPr>
            <w:tcW w:w="1623" w:type="dxa"/>
            <w:tcBorders>
              <w:top w:val="single" w:sz="8" w:space="0" w:color="auto"/>
              <w:left w:val="nil"/>
              <w:bottom w:val="single" w:sz="12" w:space="0" w:color="000000"/>
              <w:right w:val="nil"/>
            </w:tcBorders>
            <w:shd w:val="clear" w:color="auto" w:fill="auto"/>
            <w:noWrap/>
            <w:vAlign w:val="bottom"/>
          </w:tcPr>
          <w:p w14:paraId="0A5F2DB0" w14:textId="77777777" w:rsidR="002B5609" w:rsidRPr="00E21596" w:rsidRDefault="002B5609" w:rsidP="00DD2D50">
            <w:pPr>
              <w:jc w:val="right"/>
              <w:rPr>
                <w:rFonts w:ascii="Arial" w:hAnsi="Arial" w:cs="Arial"/>
                <w:b/>
                <w:bCs/>
                <w:sz w:val="18"/>
                <w:szCs w:val="18"/>
              </w:rPr>
            </w:pPr>
            <w:r w:rsidRPr="00F959D0">
              <w:rPr>
                <w:rFonts w:ascii="Arial" w:hAnsi="Arial" w:cs="Arial"/>
                <w:b/>
                <w:bCs/>
                <w:sz w:val="18"/>
                <w:szCs w:val="18"/>
              </w:rPr>
              <w:t xml:space="preserve"> 1.233.889 </w:t>
            </w:r>
          </w:p>
        </w:tc>
        <w:tc>
          <w:tcPr>
            <w:tcW w:w="1521" w:type="dxa"/>
            <w:tcBorders>
              <w:top w:val="single" w:sz="8" w:space="0" w:color="auto"/>
              <w:left w:val="nil"/>
              <w:bottom w:val="single" w:sz="12" w:space="0" w:color="000000"/>
              <w:right w:val="nil"/>
            </w:tcBorders>
            <w:shd w:val="clear" w:color="auto" w:fill="auto"/>
            <w:noWrap/>
            <w:vAlign w:val="bottom"/>
          </w:tcPr>
          <w:p w14:paraId="00686693" w14:textId="77777777" w:rsidR="002B5609" w:rsidRPr="00E21596" w:rsidRDefault="002B5609" w:rsidP="00DD2D50">
            <w:pPr>
              <w:jc w:val="right"/>
              <w:rPr>
                <w:rFonts w:ascii="Arial" w:hAnsi="Arial" w:cs="Arial"/>
                <w:b/>
                <w:bCs/>
                <w:sz w:val="18"/>
                <w:szCs w:val="18"/>
              </w:rPr>
            </w:pPr>
            <w:r w:rsidRPr="00F959D0">
              <w:rPr>
                <w:rFonts w:ascii="Arial" w:hAnsi="Arial" w:cs="Arial"/>
                <w:b/>
                <w:bCs/>
                <w:sz w:val="18"/>
                <w:szCs w:val="18"/>
              </w:rPr>
              <w:t xml:space="preserve"> 14.713 </w:t>
            </w:r>
          </w:p>
        </w:tc>
        <w:tc>
          <w:tcPr>
            <w:tcW w:w="1521" w:type="dxa"/>
            <w:tcBorders>
              <w:top w:val="single" w:sz="8" w:space="0" w:color="auto"/>
              <w:left w:val="nil"/>
              <w:bottom w:val="single" w:sz="12" w:space="0" w:color="000000"/>
              <w:right w:val="nil"/>
            </w:tcBorders>
            <w:shd w:val="clear" w:color="auto" w:fill="auto"/>
            <w:noWrap/>
            <w:vAlign w:val="bottom"/>
          </w:tcPr>
          <w:p w14:paraId="4033BA44" w14:textId="77777777" w:rsidR="002B5609" w:rsidRPr="00E21596" w:rsidRDefault="002B5609" w:rsidP="00DD2D50">
            <w:pPr>
              <w:jc w:val="right"/>
              <w:rPr>
                <w:rFonts w:ascii="Arial" w:hAnsi="Arial" w:cs="Arial"/>
                <w:b/>
                <w:bCs/>
                <w:sz w:val="18"/>
                <w:szCs w:val="18"/>
              </w:rPr>
            </w:pPr>
            <w:r w:rsidRPr="00F959D0">
              <w:rPr>
                <w:rFonts w:ascii="Arial" w:hAnsi="Arial" w:cs="Arial"/>
                <w:b/>
                <w:bCs/>
                <w:sz w:val="18"/>
                <w:szCs w:val="18"/>
              </w:rPr>
              <w:t xml:space="preserve"> 279 </w:t>
            </w:r>
          </w:p>
        </w:tc>
        <w:tc>
          <w:tcPr>
            <w:tcW w:w="1640" w:type="dxa"/>
            <w:tcBorders>
              <w:top w:val="single" w:sz="8" w:space="0" w:color="auto"/>
              <w:left w:val="nil"/>
              <w:bottom w:val="single" w:sz="12" w:space="0" w:color="000000"/>
              <w:right w:val="nil"/>
            </w:tcBorders>
            <w:shd w:val="clear" w:color="auto" w:fill="auto"/>
            <w:noWrap/>
            <w:vAlign w:val="bottom"/>
          </w:tcPr>
          <w:p w14:paraId="1B7DAAA2" w14:textId="77777777" w:rsidR="002B5609" w:rsidRPr="008F0B09" w:rsidRDefault="002B5609" w:rsidP="00DD2D50">
            <w:pPr>
              <w:jc w:val="right"/>
              <w:rPr>
                <w:rFonts w:ascii="Arial" w:hAnsi="Arial" w:cs="Arial"/>
                <w:b/>
                <w:bCs/>
                <w:sz w:val="18"/>
                <w:szCs w:val="18"/>
              </w:rPr>
            </w:pPr>
            <w:r w:rsidRPr="00F959D0">
              <w:rPr>
                <w:rFonts w:ascii="Arial" w:hAnsi="Arial" w:cs="Arial"/>
                <w:b/>
                <w:bCs/>
                <w:sz w:val="18"/>
                <w:szCs w:val="18"/>
              </w:rPr>
              <w:t xml:space="preserve"> 1.248.881 </w:t>
            </w:r>
          </w:p>
        </w:tc>
      </w:tr>
    </w:tbl>
    <w:p w14:paraId="657D2151" w14:textId="3AEF33C1" w:rsidR="005D5085" w:rsidRPr="003D1614" w:rsidRDefault="005D5085" w:rsidP="005D5085">
      <w:pPr>
        <w:keepNext/>
        <w:suppressAutoHyphens/>
        <w:autoSpaceDN w:val="0"/>
        <w:spacing w:after="120"/>
        <w:jc w:val="both"/>
        <w:outlineLvl w:val="0"/>
        <w:rPr>
          <w:rFonts w:ascii="Arial" w:eastAsia="Times New Roman" w:hAnsi="Arial" w:cs="Arial"/>
          <w:color w:val="000000" w:themeColor="text1"/>
          <w:sz w:val="20"/>
          <w:szCs w:val="20"/>
        </w:rPr>
      </w:pPr>
    </w:p>
    <w:p w14:paraId="151B2075" w14:textId="77777777" w:rsidR="005D5085" w:rsidRPr="003D1614" w:rsidRDefault="005D5085" w:rsidP="005D5085">
      <w:pPr>
        <w:keepNext/>
        <w:suppressAutoHyphens/>
        <w:autoSpaceDN w:val="0"/>
        <w:spacing w:after="120"/>
        <w:jc w:val="both"/>
        <w:outlineLvl w:val="0"/>
        <w:rPr>
          <w:rFonts w:ascii="Arial" w:eastAsia="Times New Roman" w:hAnsi="Arial" w:cs="Arial"/>
          <w:color w:val="000000" w:themeColor="text1"/>
          <w:sz w:val="20"/>
          <w:szCs w:val="20"/>
        </w:rPr>
        <w:sectPr w:rsidR="005D5085" w:rsidRPr="003D1614">
          <w:pgSz w:w="11906" w:h="16838"/>
          <w:pgMar w:top="1417" w:right="1417" w:bottom="1417" w:left="1417" w:header="708" w:footer="708" w:gutter="0"/>
          <w:cols w:space="708"/>
          <w:docGrid w:linePitch="360"/>
        </w:sectPr>
      </w:pPr>
    </w:p>
    <w:p w14:paraId="2552F7E2" w14:textId="77777777" w:rsidR="005D5085" w:rsidRPr="003D1614" w:rsidRDefault="005D5085" w:rsidP="005D5085">
      <w:pPr>
        <w:keepNext/>
        <w:tabs>
          <w:tab w:val="left" w:pos="1134"/>
        </w:tabs>
        <w:suppressAutoHyphens/>
        <w:autoSpaceDN w:val="0"/>
        <w:jc w:val="both"/>
        <w:outlineLvl w:val="0"/>
        <w:rPr>
          <w:rFonts w:ascii="Arial" w:eastAsia="Times New Roman" w:hAnsi="Arial" w:cs="Arial"/>
          <w:color w:val="000000" w:themeColor="text1"/>
        </w:rPr>
      </w:pPr>
    </w:p>
    <w:p w14:paraId="7AFC6F91" w14:textId="3E22919C" w:rsidR="005D5085" w:rsidRPr="003D1614" w:rsidRDefault="005D5085" w:rsidP="005D5085">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1</w:t>
      </w:r>
      <w:r w:rsidR="003D1614">
        <w:rPr>
          <w:rFonts w:ascii="Arial" w:eastAsia="Times New Roman" w:hAnsi="Arial" w:cs="Arial"/>
          <w:b/>
          <w:bCs/>
          <w:color w:val="000000" w:themeColor="text1"/>
          <w:sz w:val="20"/>
          <w:szCs w:val="20"/>
        </w:rPr>
        <w:t>1</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Krediti financijskim institucijama (nastavak)</w:t>
      </w:r>
    </w:p>
    <w:p w14:paraId="4150FF0B" w14:textId="77777777" w:rsidR="005D5085" w:rsidRPr="003D1614" w:rsidRDefault="005D5085" w:rsidP="005D5085">
      <w:pPr>
        <w:keepNext/>
        <w:tabs>
          <w:tab w:val="left" w:pos="1134"/>
        </w:tabs>
        <w:suppressAutoHyphens/>
        <w:autoSpaceDN w:val="0"/>
        <w:jc w:val="both"/>
        <w:outlineLvl w:val="0"/>
        <w:rPr>
          <w:rFonts w:ascii="Arial" w:eastAsia="Times New Roman" w:hAnsi="Arial" w:cs="Arial"/>
          <w:color w:val="000000" w:themeColor="text1"/>
          <w:sz w:val="20"/>
          <w:szCs w:val="20"/>
        </w:rPr>
      </w:pPr>
    </w:p>
    <w:p w14:paraId="5B551C17" w14:textId="77777777" w:rsidR="005D5085" w:rsidRPr="003D1614" w:rsidRDefault="005D5085" w:rsidP="005D5085">
      <w:pPr>
        <w:keepNext/>
        <w:tabs>
          <w:tab w:val="left" w:pos="1134"/>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color w:val="000000" w:themeColor="text1"/>
          <w:sz w:val="20"/>
          <w:szCs w:val="20"/>
        </w:rPr>
        <w:t>Promjene na rezerviranjima za očekivane gubitke po kreditima financijskim institucijama mogu se prikazati kako slijedi:</w:t>
      </w:r>
    </w:p>
    <w:p w14:paraId="6B23890D" w14:textId="77777777" w:rsidR="005D5085" w:rsidRPr="003D1614" w:rsidRDefault="005D5085" w:rsidP="005D5085">
      <w:pPr>
        <w:tabs>
          <w:tab w:val="left" w:pos="-720"/>
        </w:tabs>
        <w:suppressAutoHyphens/>
        <w:autoSpaceDN w:val="0"/>
        <w:rPr>
          <w:rFonts w:ascii="Arial" w:eastAsia="Times New Roman" w:hAnsi="Arial" w:cs="Arial"/>
          <w:color w:val="000000" w:themeColor="text1"/>
          <w:sz w:val="20"/>
          <w:szCs w:val="20"/>
        </w:rPr>
      </w:pPr>
    </w:p>
    <w:tbl>
      <w:tblPr>
        <w:tblW w:w="9212" w:type="dxa"/>
        <w:tblLayout w:type="fixed"/>
        <w:tblLook w:val="04A0" w:firstRow="1" w:lastRow="0" w:firstColumn="1" w:lastColumn="0" w:noHBand="0" w:noVBand="1"/>
      </w:tblPr>
      <w:tblGrid>
        <w:gridCol w:w="6382"/>
        <w:gridCol w:w="1371"/>
        <w:gridCol w:w="1459"/>
      </w:tblGrid>
      <w:tr w:rsidR="005D5085" w:rsidRPr="00935EE7" w14:paraId="73110211" w14:textId="77777777" w:rsidTr="00935EE7">
        <w:trPr>
          <w:trHeight w:val="234"/>
        </w:trPr>
        <w:tc>
          <w:tcPr>
            <w:tcW w:w="6382" w:type="dxa"/>
            <w:tcBorders>
              <w:top w:val="nil"/>
              <w:left w:val="nil"/>
              <w:bottom w:val="nil"/>
              <w:right w:val="nil"/>
            </w:tcBorders>
            <w:shd w:val="clear" w:color="auto" w:fill="auto"/>
            <w:noWrap/>
            <w:vAlign w:val="bottom"/>
            <w:hideMark/>
          </w:tcPr>
          <w:p w14:paraId="4D4DAABD" w14:textId="77777777" w:rsidR="005D5085" w:rsidRPr="00935EE7" w:rsidRDefault="005D5085" w:rsidP="005D5085">
            <w:pPr>
              <w:suppressAutoHyphens/>
              <w:autoSpaceDN w:val="0"/>
              <w:rPr>
                <w:rFonts w:ascii="Arial" w:eastAsia="Times New Roman" w:hAnsi="Arial" w:cs="Arial"/>
                <w:color w:val="000000" w:themeColor="text1"/>
                <w:sz w:val="20"/>
                <w:szCs w:val="20"/>
              </w:rPr>
            </w:pPr>
          </w:p>
        </w:tc>
        <w:tc>
          <w:tcPr>
            <w:tcW w:w="2830" w:type="dxa"/>
            <w:gridSpan w:val="2"/>
            <w:tcBorders>
              <w:top w:val="nil"/>
              <w:left w:val="nil"/>
              <w:bottom w:val="nil"/>
              <w:right w:val="nil"/>
            </w:tcBorders>
            <w:shd w:val="clear" w:color="auto" w:fill="auto"/>
            <w:vAlign w:val="bottom"/>
            <w:hideMark/>
          </w:tcPr>
          <w:p w14:paraId="379BE79B" w14:textId="77777777" w:rsidR="005D5085" w:rsidRPr="00935EE7" w:rsidRDefault="005D5085" w:rsidP="005D5085">
            <w:pPr>
              <w:suppressAutoHyphens/>
              <w:autoSpaceDN w:val="0"/>
              <w:jc w:val="right"/>
              <w:rPr>
                <w:rFonts w:ascii="Arial" w:eastAsia="Times New Roman" w:hAnsi="Arial" w:cs="Arial"/>
                <w:b/>
                <w:bCs/>
                <w:color w:val="000000" w:themeColor="text1"/>
                <w:sz w:val="20"/>
                <w:szCs w:val="20"/>
              </w:rPr>
            </w:pPr>
            <w:r w:rsidRPr="00935EE7">
              <w:rPr>
                <w:rFonts w:ascii="Arial" w:eastAsia="Times New Roman" w:hAnsi="Arial" w:cs="Arial"/>
                <w:b/>
                <w:bCs/>
                <w:color w:val="000000" w:themeColor="text1"/>
                <w:sz w:val="20"/>
                <w:szCs w:val="20"/>
              </w:rPr>
              <w:t>Grupa i Banka</w:t>
            </w:r>
          </w:p>
        </w:tc>
      </w:tr>
      <w:tr w:rsidR="005D5085" w:rsidRPr="00935EE7" w14:paraId="589F408D" w14:textId="77777777" w:rsidTr="00935EE7">
        <w:trPr>
          <w:trHeight w:val="234"/>
        </w:trPr>
        <w:tc>
          <w:tcPr>
            <w:tcW w:w="6382" w:type="dxa"/>
            <w:tcBorders>
              <w:top w:val="nil"/>
              <w:left w:val="nil"/>
              <w:bottom w:val="nil"/>
              <w:right w:val="nil"/>
            </w:tcBorders>
            <w:shd w:val="clear" w:color="auto" w:fill="auto"/>
            <w:noWrap/>
            <w:vAlign w:val="bottom"/>
          </w:tcPr>
          <w:p w14:paraId="6E89416E" w14:textId="77777777" w:rsidR="005D5085" w:rsidRPr="00935EE7" w:rsidRDefault="005D5085" w:rsidP="005D5085">
            <w:pPr>
              <w:suppressAutoHyphens/>
              <w:autoSpaceDN w:val="0"/>
              <w:rPr>
                <w:rFonts w:ascii="Arial" w:eastAsia="Times New Roman" w:hAnsi="Arial" w:cs="Arial"/>
                <w:color w:val="000000" w:themeColor="text1"/>
                <w:sz w:val="20"/>
                <w:szCs w:val="20"/>
              </w:rPr>
            </w:pPr>
          </w:p>
        </w:tc>
        <w:tc>
          <w:tcPr>
            <w:tcW w:w="1371" w:type="dxa"/>
            <w:vAlign w:val="bottom"/>
          </w:tcPr>
          <w:p w14:paraId="22A01186" w14:textId="7AFD9B3D" w:rsidR="005D5085" w:rsidRPr="00935EE7" w:rsidRDefault="005D5085" w:rsidP="005D5085">
            <w:pPr>
              <w:tabs>
                <w:tab w:val="right" w:pos="1202"/>
              </w:tabs>
              <w:suppressAutoHyphens/>
              <w:autoSpaceDN w:val="0"/>
              <w:jc w:val="right"/>
              <w:outlineLvl w:val="0"/>
              <w:rPr>
                <w:rFonts w:ascii="Arial" w:eastAsia="Times New Roman" w:hAnsi="Arial" w:cs="Arial"/>
                <w:b/>
                <w:color w:val="000000" w:themeColor="text1"/>
                <w:sz w:val="20"/>
                <w:szCs w:val="20"/>
              </w:rPr>
            </w:pPr>
            <w:bookmarkStart w:id="337" w:name="_Toc67327991"/>
            <w:r w:rsidRPr="00935EE7">
              <w:rPr>
                <w:rFonts w:ascii="Arial" w:eastAsia="Times New Roman" w:hAnsi="Arial" w:cs="Arial"/>
                <w:b/>
                <w:color w:val="000000" w:themeColor="text1"/>
                <w:sz w:val="20"/>
                <w:szCs w:val="20"/>
              </w:rPr>
              <w:t>1.1.-</w:t>
            </w:r>
            <w:r w:rsidR="00432E8C" w:rsidRPr="00935EE7">
              <w:rPr>
                <w:rFonts w:ascii="Arial" w:eastAsia="Times New Roman" w:hAnsi="Arial" w:cs="Arial"/>
                <w:b/>
                <w:color w:val="000000" w:themeColor="text1"/>
                <w:sz w:val="20"/>
                <w:szCs w:val="20"/>
              </w:rPr>
              <w:t>3</w:t>
            </w:r>
            <w:r w:rsidR="00432E8C">
              <w:rPr>
                <w:rFonts w:ascii="Arial" w:eastAsia="Times New Roman" w:hAnsi="Arial" w:cs="Arial"/>
                <w:b/>
                <w:color w:val="000000" w:themeColor="text1"/>
                <w:sz w:val="20"/>
                <w:szCs w:val="20"/>
              </w:rPr>
              <w:t>0</w:t>
            </w:r>
            <w:r w:rsidRPr="00935EE7">
              <w:rPr>
                <w:rFonts w:ascii="Arial" w:eastAsia="Times New Roman" w:hAnsi="Arial" w:cs="Arial"/>
                <w:b/>
                <w:color w:val="000000" w:themeColor="text1"/>
                <w:sz w:val="20"/>
                <w:szCs w:val="20"/>
              </w:rPr>
              <w:t>.</w:t>
            </w:r>
            <w:r w:rsidR="002F4581">
              <w:rPr>
                <w:rFonts w:ascii="Arial" w:eastAsia="Times New Roman" w:hAnsi="Arial" w:cs="Arial"/>
                <w:b/>
                <w:color w:val="000000" w:themeColor="text1"/>
                <w:sz w:val="20"/>
                <w:szCs w:val="20"/>
              </w:rPr>
              <w:t>9</w:t>
            </w:r>
            <w:r w:rsidRPr="00935EE7">
              <w:rPr>
                <w:rFonts w:ascii="Arial" w:eastAsia="Times New Roman" w:hAnsi="Arial" w:cs="Arial"/>
                <w:b/>
                <w:color w:val="000000" w:themeColor="text1"/>
                <w:sz w:val="20"/>
                <w:szCs w:val="20"/>
              </w:rPr>
              <w:t>.</w:t>
            </w:r>
            <w:bookmarkEnd w:id="337"/>
          </w:p>
          <w:p w14:paraId="71CCFF31" w14:textId="1DF67FC6" w:rsidR="005D5085" w:rsidRPr="00935EE7" w:rsidRDefault="005D5085" w:rsidP="005D5085">
            <w:pPr>
              <w:tabs>
                <w:tab w:val="right" w:pos="1202"/>
              </w:tabs>
              <w:suppressAutoHyphens/>
              <w:autoSpaceDN w:val="0"/>
              <w:jc w:val="right"/>
              <w:outlineLvl w:val="0"/>
              <w:rPr>
                <w:rFonts w:ascii="Arial" w:eastAsia="Times New Roman" w:hAnsi="Arial" w:cs="Arial"/>
                <w:b/>
                <w:color w:val="000000" w:themeColor="text1"/>
                <w:sz w:val="20"/>
                <w:szCs w:val="20"/>
              </w:rPr>
            </w:pPr>
            <w:bookmarkStart w:id="338" w:name="_Toc67327992"/>
            <w:r w:rsidRPr="00935EE7">
              <w:rPr>
                <w:rFonts w:ascii="Arial" w:eastAsia="Times New Roman" w:hAnsi="Arial" w:cs="Arial"/>
                <w:b/>
                <w:color w:val="000000" w:themeColor="text1"/>
                <w:sz w:val="20"/>
                <w:szCs w:val="20"/>
              </w:rPr>
              <w:t>202</w:t>
            </w:r>
            <w:r w:rsidR="002B5609">
              <w:rPr>
                <w:rFonts w:ascii="Arial" w:eastAsia="Times New Roman" w:hAnsi="Arial" w:cs="Arial"/>
                <w:b/>
                <w:color w:val="000000" w:themeColor="text1"/>
                <w:sz w:val="20"/>
                <w:szCs w:val="20"/>
              </w:rPr>
              <w:t>4</w:t>
            </w:r>
            <w:r w:rsidRPr="00935EE7">
              <w:rPr>
                <w:rFonts w:ascii="Arial" w:eastAsia="Times New Roman" w:hAnsi="Arial" w:cs="Arial"/>
                <w:b/>
                <w:color w:val="000000" w:themeColor="text1"/>
                <w:sz w:val="20"/>
                <w:szCs w:val="20"/>
              </w:rPr>
              <w:t>.</w:t>
            </w:r>
            <w:bookmarkEnd w:id="338"/>
          </w:p>
        </w:tc>
        <w:tc>
          <w:tcPr>
            <w:tcW w:w="1459" w:type="dxa"/>
            <w:vAlign w:val="bottom"/>
          </w:tcPr>
          <w:p w14:paraId="6066FFDF" w14:textId="77777777" w:rsidR="005D5085" w:rsidRPr="00935EE7" w:rsidRDefault="005D5085" w:rsidP="005D5085">
            <w:pPr>
              <w:tabs>
                <w:tab w:val="right" w:pos="1202"/>
              </w:tabs>
              <w:suppressAutoHyphens/>
              <w:autoSpaceDN w:val="0"/>
              <w:jc w:val="right"/>
              <w:outlineLvl w:val="0"/>
              <w:rPr>
                <w:rFonts w:ascii="Arial" w:eastAsia="Times New Roman" w:hAnsi="Arial" w:cs="Arial"/>
                <w:b/>
                <w:color w:val="000000" w:themeColor="text1"/>
                <w:sz w:val="20"/>
                <w:szCs w:val="20"/>
              </w:rPr>
            </w:pPr>
            <w:bookmarkStart w:id="339" w:name="_Toc67327993"/>
            <w:r w:rsidRPr="00935EE7">
              <w:rPr>
                <w:rFonts w:ascii="Arial" w:eastAsia="Times New Roman" w:hAnsi="Arial" w:cs="Arial"/>
                <w:b/>
                <w:color w:val="000000" w:themeColor="text1"/>
                <w:sz w:val="20"/>
                <w:szCs w:val="20"/>
              </w:rPr>
              <w:t>1.1.-31.12.</w:t>
            </w:r>
            <w:bookmarkEnd w:id="339"/>
          </w:p>
          <w:p w14:paraId="6A72FEA0" w14:textId="08EFEA0C" w:rsidR="005D5085" w:rsidRPr="00935EE7" w:rsidRDefault="005D5085" w:rsidP="005D5085">
            <w:pPr>
              <w:tabs>
                <w:tab w:val="right" w:pos="1202"/>
              </w:tabs>
              <w:suppressAutoHyphens/>
              <w:autoSpaceDN w:val="0"/>
              <w:jc w:val="right"/>
              <w:outlineLvl w:val="0"/>
              <w:rPr>
                <w:rFonts w:ascii="Arial" w:eastAsia="Times New Roman" w:hAnsi="Arial" w:cs="Arial"/>
                <w:b/>
                <w:color w:val="000000" w:themeColor="text1"/>
                <w:sz w:val="20"/>
                <w:szCs w:val="20"/>
              </w:rPr>
            </w:pPr>
            <w:bookmarkStart w:id="340" w:name="_Toc67327994"/>
            <w:r w:rsidRPr="00935EE7">
              <w:rPr>
                <w:rFonts w:ascii="Arial" w:eastAsia="Times New Roman" w:hAnsi="Arial" w:cs="Arial"/>
                <w:b/>
                <w:color w:val="000000" w:themeColor="text1"/>
                <w:sz w:val="20"/>
                <w:szCs w:val="20"/>
              </w:rPr>
              <w:t>202</w:t>
            </w:r>
            <w:r w:rsidR="002B5609">
              <w:rPr>
                <w:rFonts w:ascii="Arial" w:eastAsia="Times New Roman" w:hAnsi="Arial" w:cs="Arial"/>
                <w:b/>
                <w:color w:val="000000" w:themeColor="text1"/>
                <w:sz w:val="20"/>
                <w:szCs w:val="20"/>
              </w:rPr>
              <w:t>3</w:t>
            </w:r>
            <w:r w:rsidRPr="00935EE7">
              <w:rPr>
                <w:rFonts w:ascii="Arial" w:eastAsia="Times New Roman" w:hAnsi="Arial" w:cs="Arial"/>
                <w:b/>
                <w:color w:val="000000" w:themeColor="text1"/>
                <w:sz w:val="20"/>
                <w:szCs w:val="20"/>
              </w:rPr>
              <w:t>.</w:t>
            </w:r>
            <w:bookmarkEnd w:id="340"/>
          </w:p>
        </w:tc>
      </w:tr>
      <w:tr w:rsidR="005D5085" w:rsidRPr="00935EE7" w14:paraId="359C2575" w14:textId="77777777" w:rsidTr="00935EE7">
        <w:trPr>
          <w:trHeight w:val="223"/>
        </w:trPr>
        <w:tc>
          <w:tcPr>
            <w:tcW w:w="6382" w:type="dxa"/>
            <w:tcBorders>
              <w:top w:val="nil"/>
              <w:left w:val="nil"/>
              <w:bottom w:val="nil"/>
              <w:right w:val="nil"/>
            </w:tcBorders>
            <w:shd w:val="clear" w:color="auto" w:fill="auto"/>
            <w:vAlign w:val="bottom"/>
            <w:hideMark/>
          </w:tcPr>
          <w:p w14:paraId="707C47CC" w14:textId="77777777" w:rsidR="005D5085" w:rsidRPr="00935EE7" w:rsidRDefault="005D5085" w:rsidP="005D5085">
            <w:pPr>
              <w:suppressAutoHyphens/>
              <w:autoSpaceDN w:val="0"/>
              <w:jc w:val="right"/>
              <w:rPr>
                <w:rFonts w:ascii="Arial" w:eastAsia="Times New Roman" w:hAnsi="Arial" w:cs="Arial"/>
                <w:b/>
                <w:bCs/>
                <w:color w:val="000000" w:themeColor="text1"/>
                <w:sz w:val="20"/>
                <w:szCs w:val="20"/>
              </w:rPr>
            </w:pPr>
          </w:p>
        </w:tc>
        <w:tc>
          <w:tcPr>
            <w:tcW w:w="1371" w:type="dxa"/>
            <w:tcBorders>
              <w:top w:val="nil"/>
              <w:left w:val="nil"/>
              <w:bottom w:val="nil"/>
              <w:right w:val="nil"/>
            </w:tcBorders>
            <w:shd w:val="clear" w:color="auto" w:fill="auto"/>
            <w:vAlign w:val="bottom"/>
            <w:hideMark/>
          </w:tcPr>
          <w:p w14:paraId="6ADB507F" w14:textId="7B7724D8" w:rsidR="005D5085" w:rsidRPr="00935EE7" w:rsidRDefault="005D5085" w:rsidP="005D5085">
            <w:pPr>
              <w:suppressAutoHyphens/>
              <w:autoSpaceDN w:val="0"/>
              <w:jc w:val="right"/>
              <w:rPr>
                <w:rFonts w:ascii="Arial" w:eastAsia="Times New Roman" w:hAnsi="Arial" w:cs="Arial"/>
                <w:b/>
                <w:bCs/>
                <w:color w:val="000000" w:themeColor="text1"/>
                <w:sz w:val="20"/>
                <w:szCs w:val="20"/>
              </w:rPr>
            </w:pPr>
            <w:r w:rsidRPr="00935EE7">
              <w:rPr>
                <w:rFonts w:ascii="Arial" w:eastAsia="Times New Roman" w:hAnsi="Arial" w:cs="Arial"/>
                <w:b/>
                <w:bCs/>
                <w:color w:val="000000" w:themeColor="text1"/>
                <w:sz w:val="20"/>
                <w:szCs w:val="20"/>
              </w:rPr>
              <w:t xml:space="preserve">000 </w:t>
            </w:r>
            <w:r w:rsidR="00DE0295" w:rsidRPr="00935EE7">
              <w:rPr>
                <w:rFonts w:ascii="Arial" w:eastAsia="Times New Roman" w:hAnsi="Arial" w:cs="Arial"/>
                <w:b/>
                <w:bCs/>
                <w:color w:val="000000" w:themeColor="text1"/>
                <w:sz w:val="20"/>
                <w:szCs w:val="20"/>
              </w:rPr>
              <w:t>eura</w:t>
            </w:r>
          </w:p>
        </w:tc>
        <w:tc>
          <w:tcPr>
            <w:tcW w:w="1459" w:type="dxa"/>
            <w:tcBorders>
              <w:top w:val="nil"/>
              <w:left w:val="nil"/>
              <w:bottom w:val="nil"/>
              <w:right w:val="nil"/>
            </w:tcBorders>
            <w:shd w:val="clear" w:color="auto" w:fill="auto"/>
            <w:vAlign w:val="bottom"/>
          </w:tcPr>
          <w:p w14:paraId="7AAC0DD9" w14:textId="79B1F6D9" w:rsidR="005D5085" w:rsidRPr="00935EE7" w:rsidRDefault="005D5085" w:rsidP="005D5085">
            <w:pPr>
              <w:suppressAutoHyphens/>
              <w:autoSpaceDN w:val="0"/>
              <w:jc w:val="right"/>
              <w:rPr>
                <w:rFonts w:ascii="Arial" w:eastAsia="Times New Roman" w:hAnsi="Arial" w:cs="Arial"/>
                <w:b/>
                <w:bCs/>
                <w:color w:val="000000" w:themeColor="text1"/>
                <w:sz w:val="20"/>
                <w:szCs w:val="20"/>
              </w:rPr>
            </w:pPr>
            <w:r w:rsidRPr="00935EE7">
              <w:rPr>
                <w:rFonts w:ascii="Arial" w:eastAsia="Times New Roman" w:hAnsi="Arial" w:cs="Arial"/>
                <w:b/>
                <w:bCs/>
                <w:color w:val="000000" w:themeColor="text1"/>
                <w:sz w:val="20"/>
                <w:szCs w:val="20"/>
              </w:rPr>
              <w:t xml:space="preserve">000 </w:t>
            </w:r>
            <w:r w:rsidR="00DE0295" w:rsidRPr="00935EE7">
              <w:rPr>
                <w:rFonts w:ascii="Arial" w:eastAsia="Times New Roman" w:hAnsi="Arial" w:cs="Arial"/>
                <w:b/>
                <w:bCs/>
                <w:color w:val="000000" w:themeColor="text1"/>
                <w:sz w:val="20"/>
                <w:szCs w:val="20"/>
              </w:rPr>
              <w:t>eura</w:t>
            </w:r>
          </w:p>
        </w:tc>
      </w:tr>
      <w:tr w:rsidR="005C64E7" w:rsidRPr="00935EE7" w14:paraId="64B0F24A" w14:textId="77777777" w:rsidTr="00935EE7">
        <w:trPr>
          <w:trHeight w:val="365"/>
        </w:trPr>
        <w:tc>
          <w:tcPr>
            <w:tcW w:w="6382" w:type="dxa"/>
            <w:tcBorders>
              <w:top w:val="nil"/>
              <w:left w:val="nil"/>
              <w:bottom w:val="nil"/>
              <w:right w:val="nil"/>
            </w:tcBorders>
            <w:shd w:val="clear" w:color="auto" w:fill="auto"/>
            <w:vAlign w:val="bottom"/>
          </w:tcPr>
          <w:p w14:paraId="4255DB6F" w14:textId="77777777" w:rsidR="005C64E7" w:rsidRPr="00935EE7" w:rsidRDefault="005C64E7" w:rsidP="005C64E7">
            <w:pPr>
              <w:suppressAutoHyphens/>
              <w:autoSpaceDN w:val="0"/>
              <w:rPr>
                <w:rFonts w:ascii="Arial" w:eastAsia="Times New Roman" w:hAnsi="Arial" w:cs="Arial"/>
                <w:color w:val="000000" w:themeColor="text1"/>
                <w:sz w:val="20"/>
                <w:szCs w:val="20"/>
              </w:rPr>
            </w:pPr>
            <w:r w:rsidRPr="00935EE7">
              <w:rPr>
                <w:rFonts w:ascii="Arial" w:eastAsia="Times New Roman" w:hAnsi="Arial" w:cs="Arial"/>
                <w:color w:val="000000" w:themeColor="text1"/>
                <w:sz w:val="20"/>
                <w:szCs w:val="20"/>
              </w:rPr>
              <w:t>Stanje 1. siječnja</w:t>
            </w:r>
          </w:p>
        </w:tc>
        <w:tc>
          <w:tcPr>
            <w:tcW w:w="1371" w:type="dxa"/>
            <w:tcBorders>
              <w:top w:val="nil"/>
              <w:left w:val="nil"/>
              <w:right w:val="nil"/>
            </w:tcBorders>
            <w:shd w:val="clear" w:color="auto" w:fill="auto"/>
            <w:vAlign w:val="bottom"/>
          </w:tcPr>
          <w:p w14:paraId="72D01AAC" w14:textId="6CFFA0F9" w:rsidR="005C64E7" w:rsidRPr="00935EE7" w:rsidRDefault="006E5391" w:rsidP="005C64E7">
            <w:pPr>
              <w:suppressAutoHyphens/>
              <w:autoSpaceDN w:val="0"/>
              <w:jc w:val="right"/>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6.727</w:t>
            </w:r>
          </w:p>
        </w:tc>
        <w:tc>
          <w:tcPr>
            <w:tcW w:w="1459" w:type="dxa"/>
            <w:tcBorders>
              <w:top w:val="nil"/>
              <w:left w:val="nil"/>
              <w:right w:val="nil"/>
            </w:tcBorders>
            <w:shd w:val="clear" w:color="auto" w:fill="auto"/>
            <w:vAlign w:val="bottom"/>
          </w:tcPr>
          <w:p w14:paraId="349C2129" w14:textId="7ED74E55" w:rsidR="005C64E7" w:rsidRPr="00935EE7" w:rsidRDefault="005C64E7" w:rsidP="005C64E7">
            <w:pPr>
              <w:suppressAutoHyphens/>
              <w:autoSpaceDN w:val="0"/>
              <w:jc w:val="right"/>
              <w:rPr>
                <w:rFonts w:ascii="Arial" w:eastAsia="Times New Roman" w:hAnsi="Arial" w:cs="Arial"/>
                <w:color w:val="000000" w:themeColor="text1"/>
                <w:sz w:val="20"/>
                <w:szCs w:val="20"/>
              </w:rPr>
            </w:pPr>
            <w:r w:rsidRPr="00E21596">
              <w:rPr>
                <w:rFonts w:ascii="Arial" w:hAnsi="Arial" w:cs="Arial"/>
                <w:color w:val="000000" w:themeColor="text1"/>
                <w:sz w:val="20"/>
                <w:szCs w:val="20"/>
              </w:rPr>
              <w:t>8.078</w:t>
            </w:r>
          </w:p>
        </w:tc>
      </w:tr>
      <w:tr w:rsidR="005C64E7" w:rsidRPr="00935EE7" w14:paraId="41DA1AC7" w14:textId="77777777" w:rsidTr="007478FB">
        <w:trPr>
          <w:trHeight w:val="283"/>
        </w:trPr>
        <w:tc>
          <w:tcPr>
            <w:tcW w:w="6382" w:type="dxa"/>
            <w:tcBorders>
              <w:top w:val="nil"/>
              <w:left w:val="nil"/>
              <w:bottom w:val="nil"/>
              <w:right w:val="nil"/>
            </w:tcBorders>
            <w:shd w:val="clear" w:color="auto" w:fill="auto"/>
            <w:vAlign w:val="bottom"/>
          </w:tcPr>
          <w:p w14:paraId="6CD1EA2E" w14:textId="1CE84D45" w:rsidR="005C64E7" w:rsidRPr="00B74BDE" w:rsidRDefault="005C64E7" w:rsidP="005C64E7">
            <w:pPr>
              <w:suppressAutoHyphens/>
              <w:autoSpaceDN w:val="0"/>
              <w:rPr>
                <w:rFonts w:ascii="Arial" w:eastAsia="Times New Roman" w:hAnsi="Arial" w:cs="Arial"/>
                <w:color w:val="000000" w:themeColor="text1"/>
                <w:sz w:val="20"/>
                <w:szCs w:val="20"/>
              </w:rPr>
            </w:pPr>
            <w:r w:rsidRPr="00B74BDE">
              <w:rPr>
                <w:rFonts w:ascii="Arial" w:eastAsia="Times New Roman" w:hAnsi="Arial" w:cs="Arial"/>
                <w:color w:val="000000" w:themeColor="text1"/>
                <w:sz w:val="20"/>
                <w:szCs w:val="20"/>
              </w:rPr>
              <w:t>Usklađenje početnog stanja</w:t>
            </w:r>
          </w:p>
        </w:tc>
        <w:tc>
          <w:tcPr>
            <w:tcW w:w="1371" w:type="dxa"/>
            <w:tcBorders>
              <w:top w:val="nil"/>
              <w:left w:val="nil"/>
              <w:right w:val="nil"/>
            </w:tcBorders>
            <w:shd w:val="clear" w:color="auto" w:fill="auto"/>
            <w:vAlign w:val="bottom"/>
          </w:tcPr>
          <w:p w14:paraId="4C11D7A1" w14:textId="15F1999D" w:rsidR="005C64E7" w:rsidRPr="00935EE7" w:rsidRDefault="00BA6F42" w:rsidP="005C64E7">
            <w:pPr>
              <w:suppressAutoHyphens/>
              <w:autoSpaceDN w:val="0"/>
              <w:jc w:val="right"/>
              <w:rPr>
                <w:rFonts w:ascii="Arial" w:hAnsi="Arial" w:cs="Arial"/>
                <w:sz w:val="20"/>
                <w:szCs w:val="20"/>
              </w:rPr>
            </w:pPr>
            <w:r>
              <w:rPr>
                <w:rFonts w:ascii="Arial" w:hAnsi="Arial" w:cs="Arial"/>
                <w:sz w:val="20"/>
                <w:szCs w:val="20"/>
              </w:rPr>
              <w:t>-</w:t>
            </w:r>
          </w:p>
        </w:tc>
        <w:tc>
          <w:tcPr>
            <w:tcW w:w="1459" w:type="dxa"/>
            <w:tcBorders>
              <w:top w:val="nil"/>
              <w:left w:val="nil"/>
              <w:right w:val="nil"/>
            </w:tcBorders>
            <w:shd w:val="clear" w:color="auto" w:fill="auto"/>
            <w:vAlign w:val="bottom"/>
          </w:tcPr>
          <w:p w14:paraId="638A0B23" w14:textId="24E50E96" w:rsidR="005C64E7" w:rsidRPr="00935EE7" w:rsidRDefault="005C64E7" w:rsidP="005C64E7">
            <w:pPr>
              <w:suppressAutoHyphens/>
              <w:autoSpaceDN w:val="0"/>
              <w:jc w:val="right"/>
              <w:rPr>
                <w:rFonts w:ascii="Arial" w:hAnsi="Arial" w:cs="Arial"/>
                <w:sz w:val="20"/>
                <w:szCs w:val="20"/>
              </w:rPr>
            </w:pPr>
            <w:r w:rsidRPr="00E21596">
              <w:rPr>
                <w:rFonts w:ascii="Arial" w:hAnsi="Arial" w:cs="Arial"/>
                <w:color w:val="000000" w:themeColor="text1"/>
                <w:sz w:val="20"/>
                <w:szCs w:val="20"/>
              </w:rPr>
              <w:t>(5)</w:t>
            </w:r>
          </w:p>
        </w:tc>
      </w:tr>
      <w:tr w:rsidR="005C64E7" w:rsidRPr="00935EE7" w14:paraId="3C73568F" w14:textId="77777777" w:rsidTr="00935EE7">
        <w:trPr>
          <w:trHeight w:val="365"/>
        </w:trPr>
        <w:tc>
          <w:tcPr>
            <w:tcW w:w="6382" w:type="dxa"/>
            <w:tcBorders>
              <w:top w:val="nil"/>
              <w:left w:val="nil"/>
              <w:bottom w:val="nil"/>
              <w:right w:val="nil"/>
            </w:tcBorders>
            <w:shd w:val="clear" w:color="auto" w:fill="auto"/>
            <w:vAlign w:val="bottom"/>
          </w:tcPr>
          <w:p w14:paraId="734BFD43" w14:textId="314A7FD4" w:rsidR="005C64E7" w:rsidRPr="00B74BDE" w:rsidRDefault="005C64E7" w:rsidP="005C64E7">
            <w:pPr>
              <w:suppressAutoHyphens/>
              <w:autoSpaceDN w:val="0"/>
              <w:rPr>
                <w:rFonts w:ascii="Arial" w:eastAsia="Times New Roman" w:hAnsi="Arial" w:cs="Arial"/>
                <w:color w:val="000000" w:themeColor="text1"/>
                <w:sz w:val="20"/>
                <w:szCs w:val="20"/>
              </w:rPr>
            </w:pPr>
            <w:r w:rsidRPr="00B74BDE">
              <w:rPr>
                <w:rFonts w:ascii="Arial" w:eastAsia="Times New Roman" w:hAnsi="Arial" w:cs="Arial"/>
                <w:color w:val="000000" w:themeColor="text1"/>
                <w:sz w:val="20"/>
                <w:szCs w:val="20"/>
              </w:rPr>
              <w:t>Neto (smanjenje) rezerviranja za očekivane gubitke po kreditima financijskim institucijama</w:t>
            </w:r>
          </w:p>
        </w:tc>
        <w:tc>
          <w:tcPr>
            <w:tcW w:w="1371" w:type="dxa"/>
            <w:tcBorders>
              <w:left w:val="nil"/>
              <w:bottom w:val="single" w:sz="4" w:space="0" w:color="auto"/>
              <w:right w:val="nil"/>
            </w:tcBorders>
            <w:shd w:val="clear" w:color="auto" w:fill="auto"/>
            <w:vAlign w:val="bottom"/>
          </w:tcPr>
          <w:p w14:paraId="453FE142" w14:textId="2A413D58" w:rsidR="005C64E7" w:rsidRPr="00935EE7" w:rsidRDefault="00BA6F42" w:rsidP="005C64E7">
            <w:pPr>
              <w:suppressAutoHyphens/>
              <w:autoSpaceDN w:val="0"/>
              <w:jc w:val="right"/>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(225)</w:t>
            </w:r>
          </w:p>
        </w:tc>
        <w:tc>
          <w:tcPr>
            <w:tcW w:w="1459" w:type="dxa"/>
            <w:tcBorders>
              <w:left w:val="nil"/>
              <w:bottom w:val="single" w:sz="4" w:space="0" w:color="auto"/>
              <w:right w:val="nil"/>
            </w:tcBorders>
            <w:shd w:val="clear" w:color="auto" w:fill="auto"/>
            <w:vAlign w:val="bottom"/>
          </w:tcPr>
          <w:p w14:paraId="3EB18CCC" w14:textId="026D6624" w:rsidR="005C64E7" w:rsidRPr="00935EE7" w:rsidRDefault="005C64E7" w:rsidP="005C64E7">
            <w:pPr>
              <w:suppressAutoHyphens/>
              <w:autoSpaceDN w:val="0"/>
              <w:jc w:val="right"/>
              <w:rPr>
                <w:rFonts w:ascii="Arial" w:eastAsia="Times New Roman" w:hAnsi="Arial" w:cs="Arial"/>
                <w:color w:val="000000" w:themeColor="text1"/>
                <w:sz w:val="20"/>
                <w:szCs w:val="20"/>
              </w:rPr>
            </w:pPr>
            <w:r w:rsidRPr="00E21596">
              <w:rPr>
                <w:rFonts w:ascii="Arial" w:hAnsi="Arial" w:cs="Arial"/>
                <w:color w:val="000000" w:themeColor="text1"/>
                <w:sz w:val="20"/>
                <w:szCs w:val="20"/>
              </w:rPr>
              <w:t>(1.346)</w:t>
            </w:r>
          </w:p>
        </w:tc>
      </w:tr>
      <w:tr w:rsidR="005C64E7" w:rsidRPr="00935EE7" w14:paraId="28C8DE0A" w14:textId="77777777" w:rsidTr="00935EE7">
        <w:trPr>
          <w:trHeight w:val="365"/>
        </w:trPr>
        <w:tc>
          <w:tcPr>
            <w:tcW w:w="6382" w:type="dxa"/>
            <w:tcBorders>
              <w:top w:val="nil"/>
              <w:left w:val="nil"/>
              <w:bottom w:val="nil"/>
              <w:right w:val="nil"/>
            </w:tcBorders>
            <w:shd w:val="clear" w:color="auto" w:fill="auto"/>
            <w:vAlign w:val="bottom"/>
          </w:tcPr>
          <w:p w14:paraId="2FCC8DBB" w14:textId="0C291D60" w:rsidR="005C64E7" w:rsidRPr="00CC7FB0" w:rsidRDefault="005C64E7" w:rsidP="005C64E7">
            <w:pPr>
              <w:suppressAutoHyphens/>
              <w:autoSpaceDN w:val="0"/>
              <w:rPr>
                <w:rFonts w:ascii="Arial" w:eastAsia="Times New Roman" w:hAnsi="Arial" w:cs="Arial"/>
                <w:i/>
                <w:iCs/>
                <w:color w:val="000000" w:themeColor="text1"/>
                <w:sz w:val="20"/>
                <w:szCs w:val="20"/>
              </w:rPr>
            </w:pPr>
            <w:r w:rsidRPr="00CC7FB0">
              <w:rPr>
                <w:rFonts w:ascii="Arial" w:eastAsia="Times New Roman" w:hAnsi="Arial" w:cs="Arial"/>
                <w:i/>
                <w:iCs/>
                <w:color w:val="000000" w:themeColor="text1"/>
                <w:sz w:val="20"/>
                <w:szCs w:val="20"/>
              </w:rPr>
              <w:t>Ukupno kroz dobit ili gubitak (bilješka 8)</w:t>
            </w:r>
          </w:p>
        </w:tc>
        <w:tc>
          <w:tcPr>
            <w:tcW w:w="1371" w:type="dxa"/>
            <w:tcBorders>
              <w:top w:val="single" w:sz="4" w:space="0" w:color="auto"/>
              <w:left w:val="nil"/>
              <w:bottom w:val="single" w:sz="4" w:space="0" w:color="auto"/>
              <w:right w:val="nil"/>
            </w:tcBorders>
            <w:shd w:val="clear" w:color="auto" w:fill="auto"/>
            <w:vAlign w:val="bottom"/>
          </w:tcPr>
          <w:p w14:paraId="55661A58" w14:textId="2BE52A62" w:rsidR="005C64E7" w:rsidRPr="002B241F" w:rsidRDefault="00BA6F42" w:rsidP="005C64E7">
            <w:pPr>
              <w:suppressAutoHyphens/>
              <w:autoSpaceDN w:val="0"/>
              <w:jc w:val="right"/>
              <w:rPr>
                <w:rFonts w:ascii="Arial" w:eastAsia="Times New Roman" w:hAnsi="Arial" w:cs="Arial"/>
                <w:bCs/>
                <w:i/>
                <w:iCs/>
                <w:color w:val="000000" w:themeColor="text1"/>
                <w:sz w:val="20"/>
                <w:szCs w:val="20"/>
              </w:rPr>
            </w:pPr>
            <w:r>
              <w:rPr>
                <w:rFonts w:ascii="Arial" w:eastAsia="Times New Roman" w:hAnsi="Arial" w:cs="Arial"/>
                <w:bCs/>
                <w:i/>
                <w:iCs/>
                <w:color w:val="000000" w:themeColor="text1"/>
                <w:sz w:val="20"/>
                <w:szCs w:val="20"/>
              </w:rPr>
              <w:t>(225)</w:t>
            </w:r>
          </w:p>
        </w:tc>
        <w:tc>
          <w:tcPr>
            <w:tcW w:w="1459" w:type="dxa"/>
            <w:tcBorders>
              <w:top w:val="single" w:sz="4" w:space="0" w:color="auto"/>
              <w:left w:val="nil"/>
              <w:bottom w:val="single" w:sz="4" w:space="0" w:color="auto"/>
              <w:right w:val="nil"/>
            </w:tcBorders>
            <w:shd w:val="clear" w:color="auto" w:fill="auto"/>
            <w:vAlign w:val="bottom"/>
          </w:tcPr>
          <w:p w14:paraId="490D92E3" w14:textId="39F417CB" w:rsidR="005C64E7" w:rsidRPr="002B241F" w:rsidRDefault="005C64E7" w:rsidP="005C64E7">
            <w:pPr>
              <w:suppressAutoHyphens/>
              <w:autoSpaceDN w:val="0"/>
              <w:jc w:val="right"/>
              <w:rPr>
                <w:rFonts w:ascii="Arial" w:eastAsia="Times New Roman" w:hAnsi="Arial" w:cs="Arial"/>
                <w:i/>
                <w:iCs/>
                <w:color w:val="000000" w:themeColor="text1"/>
                <w:sz w:val="20"/>
                <w:szCs w:val="20"/>
              </w:rPr>
            </w:pPr>
            <w:r w:rsidRPr="00E21596">
              <w:rPr>
                <w:rFonts w:ascii="Arial" w:hAnsi="Arial" w:cs="Arial"/>
                <w:bCs/>
                <w:i/>
                <w:color w:val="000000" w:themeColor="text1"/>
                <w:sz w:val="20"/>
                <w:szCs w:val="20"/>
              </w:rPr>
              <w:t>(1.346)</w:t>
            </w:r>
          </w:p>
        </w:tc>
      </w:tr>
      <w:tr w:rsidR="005C64E7" w:rsidRPr="00935EE7" w14:paraId="45E7465D" w14:textId="77777777" w:rsidTr="00935EE7">
        <w:trPr>
          <w:trHeight w:val="365"/>
        </w:trPr>
        <w:tc>
          <w:tcPr>
            <w:tcW w:w="6382" w:type="dxa"/>
            <w:tcBorders>
              <w:top w:val="nil"/>
              <w:left w:val="nil"/>
              <w:bottom w:val="nil"/>
              <w:right w:val="nil"/>
            </w:tcBorders>
            <w:shd w:val="clear" w:color="auto" w:fill="auto"/>
            <w:vAlign w:val="bottom"/>
          </w:tcPr>
          <w:p w14:paraId="2533BA37" w14:textId="77777777" w:rsidR="005C64E7" w:rsidRPr="00935EE7" w:rsidRDefault="005C64E7" w:rsidP="005C64E7">
            <w:pPr>
              <w:suppressAutoHyphens/>
              <w:autoSpaceDN w:val="0"/>
              <w:rPr>
                <w:rFonts w:ascii="Arial" w:eastAsia="Times New Roman" w:hAnsi="Arial" w:cs="Arial"/>
                <w:b/>
                <w:bCs/>
                <w:color w:val="000000" w:themeColor="text1"/>
                <w:sz w:val="20"/>
                <w:szCs w:val="20"/>
              </w:rPr>
            </w:pPr>
            <w:r w:rsidRPr="00935EE7">
              <w:rPr>
                <w:rFonts w:ascii="Arial" w:eastAsia="Times New Roman" w:hAnsi="Arial" w:cs="Arial"/>
                <w:b/>
                <w:bCs/>
                <w:color w:val="000000" w:themeColor="text1"/>
                <w:sz w:val="20"/>
                <w:szCs w:val="20"/>
              </w:rPr>
              <w:t>Stanje na kraju izvještajnog razdoblja</w:t>
            </w:r>
          </w:p>
        </w:tc>
        <w:tc>
          <w:tcPr>
            <w:tcW w:w="1371" w:type="dxa"/>
            <w:tcBorders>
              <w:top w:val="single" w:sz="4" w:space="0" w:color="auto"/>
              <w:left w:val="nil"/>
              <w:bottom w:val="single" w:sz="12" w:space="0" w:color="auto"/>
              <w:right w:val="nil"/>
            </w:tcBorders>
            <w:shd w:val="clear" w:color="auto" w:fill="auto"/>
            <w:vAlign w:val="bottom"/>
          </w:tcPr>
          <w:p w14:paraId="4C7BA759" w14:textId="6C7DAB9A" w:rsidR="005C64E7" w:rsidRPr="00935EE7" w:rsidRDefault="00BA6F42" w:rsidP="005C64E7">
            <w:pPr>
              <w:suppressAutoHyphens/>
              <w:autoSpaceDN w:val="0"/>
              <w:jc w:val="right"/>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6.502</w:t>
            </w:r>
          </w:p>
        </w:tc>
        <w:tc>
          <w:tcPr>
            <w:tcW w:w="1459" w:type="dxa"/>
            <w:tcBorders>
              <w:top w:val="single" w:sz="4" w:space="0" w:color="auto"/>
              <w:left w:val="nil"/>
              <w:bottom w:val="single" w:sz="12" w:space="0" w:color="auto"/>
              <w:right w:val="nil"/>
            </w:tcBorders>
            <w:shd w:val="clear" w:color="auto" w:fill="auto"/>
            <w:vAlign w:val="bottom"/>
          </w:tcPr>
          <w:p w14:paraId="3ECFD33B" w14:textId="6441A0BC" w:rsidR="005C64E7" w:rsidRPr="00935EE7" w:rsidRDefault="005C64E7" w:rsidP="005C64E7">
            <w:pPr>
              <w:suppressAutoHyphens/>
              <w:autoSpaceDN w:val="0"/>
              <w:jc w:val="right"/>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6</w:t>
            </w:r>
            <w:r w:rsidRPr="00935EE7">
              <w:rPr>
                <w:rFonts w:ascii="Arial" w:eastAsia="Times New Roman" w:hAnsi="Arial" w:cs="Arial"/>
                <w:b/>
                <w:color w:val="000000" w:themeColor="text1"/>
                <w:sz w:val="20"/>
                <w:szCs w:val="20"/>
              </w:rPr>
              <w:t>.</w:t>
            </w:r>
            <w:r>
              <w:rPr>
                <w:rFonts w:ascii="Arial" w:eastAsia="Times New Roman" w:hAnsi="Arial" w:cs="Arial"/>
                <w:b/>
                <w:color w:val="000000" w:themeColor="text1"/>
                <w:sz w:val="20"/>
                <w:szCs w:val="20"/>
              </w:rPr>
              <w:t>727</w:t>
            </w:r>
          </w:p>
        </w:tc>
      </w:tr>
    </w:tbl>
    <w:p w14:paraId="54834602" w14:textId="77777777" w:rsidR="005D5085" w:rsidRPr="003D1614" w:rsidRDefault="005D5085" w:rsidP="005D5085">
      <w:pPr>
        <w:tabs>
          <w:tab w:val="left" w:pos="-720"/>
        </w:tabs>
        <w:suppressAutoHyphens/>
        <w:autoSpaceDN w:val="0"/>
        <w:rPr>
          <w:rFonts w:ascii="Arial" w:eastAsia="Times New Roman" w:hAnsi="Arial" w:cs="Arial"/>
          <w:color w:val="000000" w:themeColor="text1"/>
          <w:sz w:val="20"/>
          <w:szCs w:val="20"/>
        </w:rPr>
      </w:pPr>
    </w:p>
    <w:p w14:paraId="4B21ADF7" w14:textId="77777777" w:rsidR="005D5085" w:rsidRPr="003D1614" w:rsidRDefault="005D5085" w:rsidP="005D5085">
      <w:pPr>
        <w:tabs>
          <w:tab w:val="left" w:pos="-720"/>
        </w:tabs>
        <w:suppressAutoHyphens/>
        <w:autoSpaceDN w:val="0"/>
        <w:rPr>
          <w:rFonts w:ascii="Arial" w:eastAsia="Times New Roman" w:hAnsi="Arial" w:cs="Arial"/>
          <w:color w:val="000000" w:themeColor="text1"/>
          <w:sz w:val="20"/>
          <w:szCs w:val="20"/>
        </w:rPr>
      </w:pPr>
    </w:p>
    <w:p w14:paraId="20FA9345" w14:textId="47F074D7" w:rsidR="005D5085" w:rsidRPr="003D1614" w:rsidRDefault="005D5085" w:rsidP="005D5085">
      <w:pPr>
        <w:keepNext/>
        <w:suppressAutoHyphens/>
        <w:autoSpaceDN w:val="0"/>
        <w:spacing w:after="120"/>
        <w:jc w:val="both"/>
        <w:outlineLvl w:val="0"/>
        <w:rPr>
          <w:rFonts w:ascii="Arial" w:eastAsia="Times New Roman" w:hAnsi="Arial" w:cs="Arial"/>
          <w:color w:val="000000" w:themeColor="text1"/>
          <w:sz w:val="20"/>
          <w:szCs w:val="20"/>
        </w:rPr>
      </w:pPr>
    </w:p>
    <w:p w14:paraId="37408533" w14:textId="77777777" w:rsidR="005D5085" w:rsidRPr="003D1614" w:rsidRDefault="005D5085" w:rsidP="005D5085">
      <w:pPr>
        <w:keepNext/>
        <w:suppressAutoHyphens/>
        <w:autoSpaceDN w:val="0"/>
        <w:spacing w:after="120"/>
        <w:jc w:val="both"/>
        <w:outlineLvl w:val="0"/>
        <w:rPr>
          <w:rFonts w:ascii="Arial" w:eastAsia="Times New Roman" w:hAnsi="Arial" w:cs="Arial"/>
          <w:color w:val="000000" w:themeColor="text1"/>
          <w:sz w:val="20"/>
          <w:szCs w:val="20"/>
        </w:rPr>
        <w:sectPr w:rsidR="005D5085" w:rsidRPr="003D1614">
          <w:pgSz w:w="11906" w:h="16838"/>
          <w:pgMar w:top="1417" w:right="1417" w:bottom="1417" w:left="1417" w:header="708" w:footer="708" w:gutter="0"/>
          <w:cols w:space="708"/>
          <w:docGrid w:linePitch="360"/>
        </w:sectPr>
      </w:pPr>
    </w:p>
    <w:p w14:paraId="13BBD603" w14:textId="77777777" w:rsidR="005D5085" w:rsidRPr="003D1614" w:rsidRDefault="005D5085" w:rsidP="005D5085">
      <w:pPr>
        <w:keepNext/>
        <w:suppressAutoHyphens/>
        <w:autoSpaceDN w:val="0"/>
        <w:jc w:val="both"/>
        <w:outlineLvl w:val="0"/>
        <w:rPr>
          <w:rFonts w:ascii="Arial" w:eastAsia="Times New Roman" w:hAnsi="Arial" w:cs="Arial"/>
          <w:b/>
          <w:bCs/>
          <w:color w:val="000000" w:themeColor="text1"/>
        </w:rPr>
      </w:pPr>
    </w:p>
    <w:p w14:paraId="280DEB00" w14:textId="524D7E55" w:rsidR="005D5085" w:rsidRPr="003D1614" w:rsidRDefault="005D5085" w:rsidP="005D5085">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1</w:t>
      </w:r>
      <w:r w:rsidR="003D1614">
        <w:rPr>
          <w:rFonts w:ascii="Arial" w:eastAsia="Times New Roman" w:hAnsi="Arial" w:cs="Arial"/>
          <w:b/>
          <w:bCs/>
          <w:color w:val="000000" w:themeColor="text1"/>
          <w:sz w:val="20"/>
          <w:szCs w:val="20"/>
        </w:rPr>
        <w:t>1</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Krediti financijskim institucijama (nastavak)</w:t>
      </w:r>
    </w:p>
    <w:p w14:paraId="38FD3940" w14:textId="77777777" w:rsidR="005D5085" w:rsidRPr="003D1614" w:rsidRDefault="005D5085" w:rsidP="005D5085">
      <w:pPr>
        <w:keepNext/>
        <w:suppressAutoHyphens/>
        <w:autoSpaceDN w:val="0"/>
        <w:jc w:val="both"/>
        <w:outlineLvl w:val="0"/>
        <w:rPr>
          <w:rFonts w:ascii="Arial" w:eastAsia="Times New Roman" w:hAnsi="Arial" w:cs="Arial"/>
          <w:color w:val="000000" w:themeColor="text1"/>
          <w:sz w:val="20"/>
          <w:szCs w:val="20"/>
        </w:rPr>
      </w:pPr>
    </w:p>
    <w:p w14:paraId="658A3110" w14:textId="11B180B6" w:rsidR="005D5085" w:rsidRPr="003D1614" w:rsidRDefault="005D5085" w:rsidP="005D5085">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Krediti financijskim institucijama, umanjeni za rezerviranja za očekivane gubitke, prema namjeni kreditnih programa dani su kako slijedi:</w:t>
      </w:r>
    </w:p>
    <w:p w14:paraId="61A36DD4" w14:textId="77777777" w:rsidR="005D5085" w:rsidRPr="003D1614" w:rsidRDefault="005D5085" w:rsidP="005D5085">
      <w:pPr>
        <w:keepNext/>
        <w:suppressAutoHyphens/>
        <w:autoSpaceDN w:val="0"/>
        <w:jc w:val="both"/>
        <w:outlineLvl w:val="0"/>
        <w:rPr>
          <w:rFonts w:ascii="Arial" w:eastAsia="Times New Roman" w:hAnsi="Arial" w:cs="Arial"/>
          <w:color w:val="000000" w:themeColor="text1"/>
          <w:sz w:val="20"/>
          <w:szCs w:val="20"/>
        </w:rPr>
      </w:pPr>
    </w:p>
    <w:tbl>
      <w:tblPr>
        <w:tblW w:w="5029" w:type="pct"/>
        <w:tblLayout w:type="fixed"/>
        <w:tblCellMar>
          <w:left w:w="107" w:type="dxa"/>
          <w:right w:w="107" w:type="dxa"/>
        </w:tblCellMar>
        <w:tblLook w:val="0000" w:firstRow="0" w:lastRow="0" w:firstColumn="0" w:lastColumn="0" w:noHBand="0" w:noVBand="0"/>
      </w:tblPr>
      <w:tblGrid>
        <w:gridCol w:w="5801"/>
        <w:gridCol w:w="1661"/>
        <w:gridCol w:w="1663"/>
      </w:tblGrid>
      <w:tr w:rsidR="005D5085" w:rsidRPr="003D1614" w14:paraId="249FA2D0" w14:textId="77777777" w:rsidTr="00737443">
        <w:trPr>
          <w:trHeight w:val="111"/>
        </w:trPr>
        <w:tc>
          <w:tcPr>
            <w:tcW w:w="3179" w:type="pct"/>
            <w:vAlign w:val="bottom"/>
          </w:tcPr>
          <w:p w14:paraId="01892F0C" w14:textId="77777777" w:rsidR="005D5085" w:rsidRPr="003D1614" w:rsidRDefault="005D5085" w:rsidP="005D5085">
            <w:pPr>
              <w:tabs>
                <w:tab w:val="left" w:pos="-720"/>
              </w:tabs>
              <w:suppressAutoHyphens/>
              <w:autoSpaceDN w:val="0"/>
              <w:ind w:firstLine="35"/>
              <w:rPr>
                <w:rFonts w:ascii="Arial" w:eastAsia="Times New Roman" w:hAnsi="Arial" w:cs="Arial"/>
                <w:color w:val="000000" w:themeColor="text1"/>
                <w:spacing w:val="-3"/>
                <w:sz w:val="20"/>
                <w:szCs w:val="20"/>
              </w:rPr>
            </w:pPr>
          </w:p>
        </w:tc>
        <w:tc>
          <w:tcPr>
            <w:tcW w:w="1821" w:type="pct"/>
            <w:gridSpan w:val="2"/>
            <w:vAlign w:val="bottom"/>
          </w:tcPr>
          <w:p w14:paraId="06DE98FC" w14:textId="77777777" w:rsidR="005D5085" w:rsidRPr="003D1614" w:rsidRDefault="005D5085" w:rsidP="005D5085">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341" w:name="_Toc67327995"/>
            <w:r w:rsidRPr="003D1614">
              <w:rPr>
                <w:rFonts w:ascii="Arial" w:eastAsia="Times New Roman" w:hAnsi="Arial" w:cs="Arial"/>
                <w:b/>
                <w:color w:val="000000" w:themeColor="text1"/>
                <w:sz w:val="20"/>
                <w:szCs w:val="20"/>
              </w:rPr>
              <w:t>Grupa i Banka</w:t>
            </w:r>
            <w:bookmarkEnd w:id="341"/>
          </w:p>
        </w:tc>
      </w:tr>
      <w:tr w:rsidR="005D5085" w:rsidRPr="003D1614" w14:paraId="3BB692B0" w14:textId="77777777" w:rsidTr="00737443">
        <w:trPr>
          <w:trHeight w:val="111"/>
        </w:trPr>
        <w:tc>
          <w:tcPr>
            <w:tcW w:w="3179" w:type="pct"/>
            <w:vAlign w:val="bottom"/>
          </w:tcPr>
          <w:p w14:paraId="1B35CB70" w14:textId="77777777" w:rsidR="005D5085" w:rsidRPr="003D1614" w:rsidRDefault="005D5085" w:rsidP="005D5085">
            <w:pPr>
              <w:tabs>
                <w:tab w:val="left" w:pos="-720"/>
              </w:tabs>
              <w:suppressAutoHyphens/>
              <w:autoSpaceDN w:val="0"/>
              <w:ind w:firstLine="35"/>
              <w:rPr>
                <w:rFonts w:ascii="Arial" w:eastAsia="Times New Roman" w:hAnsi="Arial" w:cs="Arial"/>
                <w:color w:val="000000" w:themeColor="text1"/>
                <w:spacing w:val="-3"/>
                <w:sz w:val="20"/>
                <w:szCs w:val="20"/>
              </w:rPr>
            </w:pPr>
          </w:p>
        </w:tc>
        <w:tc>
          <w:tcPr>
            <w:tcW w:w="910" w:type="pct"/>
            <w:vAlign w:val="bottom"/>
          </w:tcPr>
          <w:p w14:paraId="388C15E1" w14:textId="77777777" w:rsidR="002F4581" w:rsidRDefault="002F4581" w:rsidP="005D5085">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342" w:name="_Toc67327996"/>
            <w:r w:rsidRPr="002F4581">
              <w:rPr>
                <w:rFonts w:ascii="Arial" w:eastAsia="Times New Roman" w:hAnsi="Arial" w:cs="Arial"/>
                <w:b/>
                <w:color w:val="000000" w:themeColor="text1"/>
                <w:sz w:val="20"/>
                <w:szCs w:val="20"/>
              </w:rPr>
              <w:t xml:space="preserve">30. rujna </w:t>
            </w:r>
          </w:p>
          <w:p w14:paraId="79CA368D" w14:textId="0D03CAB0" w:rsidR="005D5085" w:rsidRPr="003D1614" w:rsidRDefault="002F4581" w:rsidP="005D5085">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2F4581">
              <w:rPr>
                <w:rFonts w:ascii="Arial" w:eastAsia="Times New Roman" w:hAnsi="Arial" w:cs="Arial"/>
                <w:b/>
                <w:color w:val="000000" w:themeColor="text1"/>
                <w:sz w:val="20"/>
                <w:szCs w:val="20"/>
              </w:rPr>
              <w:t>202</w:t>
            </w:r>
            <w:r w:rsidR="00FE3761">
              <w:rPr>
                <w:rFonts w:ascii="Arial" w:eastAsia="Times New Roman" w:hAnsi="Arial" w:cs="Arial"/>
                <w:b/>
                <w:color w:val="000000" w:themeColor="text1"/>
                <w:sz w:val="20"/>
                <w:szCs w:val="20"/>
              </w:rPr>
              <w:t>4</w:t>
            </w:r>
            <w:r w:rsidR="005D5085" w:rsidRPr="003D1614">
              <w:rPr>
                <w:rFonts w:ascii="Arial" w:eastAsia="Times New Roman" w:hAnsi="Arial" w:cs="Arial"/>
                <w:b/>
                <w:color w:val="000000" w:themeColor="text1"/>
                <w:sz w:val="20"/>
                <w:szCs w:val="20"/>
              </w:rPr>
              <w:t>.</w:t>
            </w:r>
            <w:bookmarkEnd w:id="342"/>
          </w:p>
        </w:tc>
        <w:tc>
          <w:tcPr>
            <w:tcW w:w="911" w:type="pct"/>
            <w:vAlign w:val="bottom"/>
          </w:tcPr>
          <w:p w14:paraId="5D9BC3E2" w14:textId="027DCFAE" w:rsidR="005D5085" w:rsidRPr="003D1614" w:rsidRDefault="005D5085" w:rsidP="005D5085">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343" w:name="_Toc67327997"/>
            <w:r w:rsidRPr="003D1614">
              <w:rPr>
                <w:rFonts w:ascii="Arial" w:eastAsia="Times New Roman" w:hAnsi="Arial" w:cs="Arial"/>
                <w:b/>
                <w:color w:val="000000" w:themeColor="text1"/>
                <w:sz w:val="20"/>
                <w:szCs w:val="20"/>
              </w:rPr>
              <w:t>31. prosinca 202</w:t>
            </w:r>
            <w:r w:rsidR="00FE3761">
              <w:rPr>
                <w:rFonts w:ascii="Arial" w:eastAsia="Times New Roman" w:hAnsi="Arial" w:cs="Arial"/>
                <w:b/>
                <w:color w:val="000000" w:themeColor="text1"/>
                <w:sz w:val="20"/>
                <w:szCs w:val="20"/>
              </w:rPr>
              <w:t>3</w:t>
            </w:r>
            <w:r w:rsidRPr="003D1614">
              <w:rPr>
                <w:rFonts w:ascii="Arial" w:eastAsia="Times New Roman" w:hAnsi="Arial" w:cs="Arial"/>
                <w:b/>
                <w:color w:val="000000" w:themeColor="text1"/>
                <w:sz w:val="20"/>
                <w:szCs w:val="20"/>
              </w:rPr>
              <w:t>.</w:t>
            </w:r>
            <w:bookmarkEnd w:id="343"/>
          </w:p>
        </w:tc>
      </w:tr>
      <w:tr w:rsidR="005D5085" w:rsidRPr="003D1614" w14:paraId="0DEC08E8" w14:textId="77777777" w:rsidTr="00737443">
        <w:trPr>
          <w:trHeight w:val="104"/>
        </w:trPr>
        <w:tc>
          <w:tcPr>
            <w:tcW w:w="3179" w:type="pct"/>
            <w:vAlign w:val="bottom"/>
          </w:tcPr>
          <w:p w14:paraId="66263EC1" w14:textId="77777777" w:rsidR="005D5085" w:rsidRPr="003D1614" w:rsidRDefault="005D5085" w:rsidP="005D5085">
            <w:pPr>
              <w:tabs>
                <w:tab w:val="left" w:pos="-720"/>
              </w:tabs>
              <w:suppressAutoHyphens/>
              <w:autoSpaceDN w:val="0"/>
              <w:ind w:firstLine="35"/>
              <w:rPr>
                <w:rFonts w:ascii="Arial" w:eastAsia="Times New Roman" w:hAnsi="Arial" w:cs="Arial"/>
                <w:color w:val="000000" w:themeColor="text1"/>
                <w:spacing w:val="-3"/>
                <w:sz w:val="20"/>
                <w:szCs w:val="20"/>
              </w:rPr>
            </w:pPr>
          </w:p>
        </w:tc>
        <w:tc>
          <w:tcPr>
            <w:tcW w:w="910" w:type="pct"/>
            <w:vAlign w:val="bottom"/>
          </w:tcPr>
          <w:p w14:paraId="644263A1" w14:textId="340CD4D8" w:rsidR="005D5085" w:rsidRPr="003D1614" w:rsidRDefault="005D5085" w:rsidP="005D5085">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344" w:name="_Toc67327998"/>
            <w:r w:rsidRPr="003D1614">
              <w:rPr>
                <w:rFonts w:ascii="Arial" w:eastAsia="Times New Roman" w:hAnsi="Arial" w:cs="Arial"/>
                <w:b/>
                <w:color w:val="000000" w:themeColor="text1"/>
                <w:sz w:val="20"/>
                <w:szCs w:val="20"/>
              </w:rPr>
              <w:t xml:space="preserve">000 </w:t>
            </w:r>
            <w:r w:rsidR="00DE0295" w:rsidRPr="003D1614">
              <w:rPr>
                <w:rFonts w:ascii="Arial" w:eastAsia="Times New Roman" w:hAnsi="Arial" w:cs="Arial"/>
                <w:b/>
                <w:color w:val="000000" w:themeColor="text1"/>
                <w:sz w:val="20"/>
                <w:szCs w:val="20"/>
              </w:rPr>
              <w:t>eura</w:t>
            </w:r>
            <w:bookmarkEnd w:id="344"/>
          </w:p>
        </w:tc>
        <w:tc>
          <w:tcPr>
            <w:tcW w:w="911" w:type="pct"/>
            <w:vAlign w:val="bottom"/>
          </w:tcPr>
          <w:p w14:paraId="61F4F872" w14:textId="424A72E2" w:rsidR="005D5085" w:rsidRPr="003D1614" w:rsidRDefault="005D5085" w:rsidP="005D5085">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345" w:name="_Toc67327999"/>
            <w:r w:rsidRPr="003D1614">
              <w:rPr>
                <w:rFonts w:ascii="Arial" w:eastAsia="Times New Roman" w:hAnsi="Arial" w:cs="Arial"/>
                <w:b/>
                <w:color w:val="000000" w:themeColor="text1"/>
                <w:sz w:val="20"/>
                <w:szCs w:val="20"/>
              </w:rPr>
              <w:t xml:space="preserve">000 </w:t>
            </w:r>
            <w:r w:rsidR="00DE0295" w:rsidRPr="003D1614">
              <w:rPr>
                <w:rFonts w:ascii="Arial" w:eastAsia="Times New Roman" w:hAnsi="Arial" w:cs="Arial"/>
                <w:b/>
                <w:color w:val="000000" w:themeColor="text1"/>
                <w:sz w:val="20"/>
                <w:szCs w:val="20"/>
              </w:rPr>
              <w:t>eura</w:t>
            </w:r>
            <w:bookmarkEnd w:id="345"/>
          </w:p>
        </w:tc>
      </w:tr>
      <w:tr w:rsidR="005D5085" w:rsidRPr="003D1614" w14:paraId="2763E3E2" w14:textId="77777777" w:rsidTr="00737443">
        <w:trPr>
          <w:trHeight w:val="87"/>
        </w:trPr>
        <w:tc>
          <w:tcPr>
            <w:tcW w:w="3179" w:type="pct"/>
            <w:vAlign w:val="bottom"/>
          </w:tcPr>
          <w:p w14:paraId="331E5771" w14:textId="77777777" w:rsidR="005D5085" w:rsidRPr="003D1614" w:rsidRDefault="005D5085" w:rsidP="005D5085">
            <w:pPr>
              <w:tabs>
                <w:tab w:val="left" w:pos="-720"/>
              </w:tabs>
              <w:suppressAutoHyphens/>
              <w:autoSpaceDN w:val="0"/>
              <w:ind w:firstLine="35"/>
              <w:rPr>
                <w:rFonts w:ascii="Arial" w:eastAsia="Times New Roman" w:hAnsi="Arial" w:cs="Arial"/>
                <w:color w:val="000000" w:themeColor="text1"/>
                <w:spacing w:val="-3"/>
                <w:sz w:val="20"/>
                <w:szCs w:val="20"/>
              </w:rPr>
            </w:pPr>
          </w:p>
        </w:tc>
        <w:tc>
          <w:tcPr>
            <w:tcW w:w="910" w:type="pct"/>
            <w:vAlign w:val="bottom"/>
          </w:tcPr>
          <w:p w14:paraId="2E0D5581" w14:textId="77777777" w:rsidR="005D5085" w:rsidRPr="003D1614" w:rsidRDefault="005D5085" w:rsidP="005D5085">
            <w:pPr>
              <w:tabs>
                <w:tab w:val="left" w:pos="-720"/>
              </w:tabs>
              <w:suppressAutoHyphens/>
              <w:autoSpaceDN w:val="0"/>
              <w:jc w:val="right"/>
              <w:rPr>
                <w:rFonts w:ascii="Arial" w:eastAsia="Times New Roman" w:hAnsi="Arial" w:cs="Arial"/>
                <w:b/>
                <w:color w:val="000000" w:themeColor="text1"/>
                <w:spacing w:val="-3"/>
                <w:sz w:val="20"/>
                <w:szCs w:val="20"/>
              </w:rPr>
            </w:pPr>
          </w:p>
        </w:tc>
        <w:tc>
          <w:tcPr>
            <w:tcW w:w="911" w:type="pct"/>
            <w:vAlign w:val="bottom"/>
          </w:tcPr>
          <w:p w14:paraId="50960C54" w14:textId="77777777" w:rsidR="005D5085" w:rsidRPr="003D1614" w:rsidRDefault="005D5085" w:rsidP="005D5085">
            <w:pPr>
              <w:tabs>
                <w:tab w:val="left" w:pos="-720"/>
              </w:tabs>
              <w:suppressAutoHyphens/>
              <w:autoSpaceDN w:val="0"/>
              <w:jc w:val="right"/>
              <w:rPr>
                <w:rFonts w:ascii="Arial" w:eastAsia="Times New Roman" w:hAnsi="Arial" w:cs="Arial"/>
                <w:b/>
                <w:color w:val="000000" w:themeColor="text1"/>
                <w:spacing w:val="-3"/>
                <w:sz w:val="20"/>
                <w:szCs w:val="20"/>
              </w:rPr>
            </w:pPr>
          </w:p>
        </w:tc>
      </w:tr>
      <w:tr w:rsidR="007B3502" w:rsidRPr="00935EE7" w14:paraId="522EEC01" w14:textId="77777777" w:rsidTr="00296571">
        <w:trPr>
          <w:trHeight w:hRule="exact" w:val="284"/>
        </w:trPr>
        <w:tc>
          <w:tcPr>
            <w:tcW w:w="3179" w:type="pct"/>
            <w:vAlign w:val="bottom"/>
          </w:tcPr>
          <w:p w14:paraId="3E2A281F" w14:textId="77777777" w:rsidR="007B3502" w:rsidRPr="00935EE7" w:rsidRDefault="007B3502" w:rsidP="007B3502">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46" w:name="_Toc67328000"/>
            <w:bookmarkStart w:id="347" w:name="_Hlk141871830"/>
            <w:bookmarkStart w:id="348" w:name="_Hlk141872686"/>
            <w:r w:rsidRPr="00935EE7">
              <w:rPr>
                <w:rFonts w:ascii="Arial" w:eastAsia="Times New Roman" w:hAnsi="Arial" w:cs="Arial"/>
                <w:color w:val="000000" w:themeColor="text1"/>
                <w:spacing w:val="-3"/>
                <w:sz w:val="20"/>
                <w:szCs w:val="20"/>
              </w:rPr>
              <w:t>EU projekti</w:t>
            </w:r>
            <w:bookmarkEnd w:id="346"/>
          </w:p>
        </w:tc>
        <w:tc>
          <w:tcPr>
            <w:tcW w:w="910" w:type="pct"/>
            <w:tcBorders>
              <w:top w:val="nil"/>
              <w:left w:val="nil"/>
              <w:bottom w:val="nil"/>
              <w:right w:val="nil"/>
            </w:tcBorders>
            <w:shd w:val="clear" w:color="auto" w:fill="auto"/>
            <w:vAlign w:val="bottom"/>
          </w:tcPr>
          <w:p w14:paraId="725210FD" w14:textId="2EF4A6C9" w:rsidR="007B3502" w:rsidRPr="008C6203" w:rsidRDefault="007B3502" w:rsidP="007B3502">
            <w:pPr>
              <w:tabs>
                <w:tab w:val="right" w:pos="1202"/>
              </w:tabs>
              <w:suppressAutoHyphens/>
              <w:autoSpaceDN w:val="0"/>
              <w:spacing w:line="301" w:lineRule="exact"/>
              <w:jc w:val="right"/>
              <w:outlineLvl w:val="0"/>
              <w:rPr>
                <w:rFonts w:ascii="Arial" w:hAnsi="Arial" w:cs="Arial"/>
                <w:sz w:val="20"/>
                <w:szCs w:val="20"/>
              </w:rPr>
            </w:pPr>
            <w:r w:rsidRPr="008C6203">
              <w:rPr>
                <w:rFonts w:ascii="Arial" w:hAnsi="Arial" w:cs="Arial"/>
                <w:sz w:val="20"/>
                <w:szCs w:val="20"/>
              </w:rPr>
              <w:t xml:space="preserve"> 53.354 </w:t>
            </w:r>
          </w:p>
        </w:tc>
        <w:tc>
          <w:tcPr>
            <w:tcW w:w="911" w:type="pct"/>
            <w:tcBorders>
              <w:top w:val="nil"/>
              <w:left w:val="nil"/>
              <w:bottom w:val="nil"/>
              <w:right w:val="nil"/>
            </w:tcBorders>
            <w:shd w:val="clear" w:color="auto" w:fill="auto"/>
            <w:vAlign w:val="bottom"/>
          </w:tcPr>
          <w:p w14:paraId="5162B10C" w14:textId="44770B9B" w:rsidR="007B3502" w:rsidRPr="00935EE7" w:rsidRDefault="007B3502" w:rsidP="007B3502">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B5188C">
              <w:rPr>
                <w:rFonts w:ascii="Arial" w:hAnsi="Arial" w:cs="Arial"/>
                <w:color w:val="000000" w:themeColor="text1"/>
                <w:sz w:val="20"/>
              </w:rPr>
              <w:t xml:space="preserve"> 54.217 </w:t>
            </w:r>
          </w:p>
        </w:tc>
      </w:tr>
      <w:tr w:rsidR="007B3502" w:rsidRPr="00935EE7" w14:paraId="68147CC8" w14:textId="77777777" w:rsidTr="00296571">
        <w:trPr>
          <w:trHeight w:hRule="exact" w:val="284"/>
        </w:trPr>
        <w:tc>
          <w:tcPr>
            <w:tcW w:w="3179" w:type="pct"/>
            <w:vAlign w:val="bottom"/>
          </w:tcPr>
          <w:p w14:paraId="6D20C99D" w14:textId="77777777" w:rsidR="007B3502" w:rsidRPr="00935EE7" w:rsidRDefault="007B3502" w:rsidP="007B3502">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49" w:name="_Toc67328003"/>
            <w:r w:rsidRPr="00935EE7">
              <w:rPr>
                <w:rFonts w:ascii="Arial" w:eastAsia="Times New Roman" w:hAnsi="Arial" w:cs="Arial"/>
                <w:color w:val="000000" w:themeColor="text1"/>
                <w:spacing w:val="-3"/>
                <w:sz w:val="20"/>
                <w:szCs w:val="20"/>
              </w:rPr>
              <w:t>Financijsko restrukturiranje</w:t>
            </w:r>
            <w:bookmarkEnd w:id="349"/>
          </w:p>
        </w:tc>
        <w:tc>
          <w:tcPr>
            <w:tcW w:w="910" w:type="pct"/>
            <w:tcBorders>
              <w:top w:val="nil"/>
              <w:left w:val="nil"/>
              <w:bottom w:val="nil"/>
              <w:right w:val="nil"/>
            </w:tcBorders>
            <w:shd w:val="clear" w:color="auto" w:fill="auto"/>
            <w:vAlign w:val="bottom"/>
          </w:tcPr>
          <w:p w14:paraId="1DE3716A" w14:textId="7AAF3ACB" w:rsidR="007B3502" w:rsidRPr="008C6203" w:rsidRDefault="007B3502" w:rsidP="007B3502">
            <w:pPr>
              <w:tabs>
                <w:tab w:val="right" w:pos="1202"/>
              </w:tabs>
              <w:suppressAutoHyphens/>
              <w:autoSpaceDN w:val="0"/>
              <w:spacing w:line="301" w:lineRule="exact"/>
              <w:jc w:val="right"/>
              <w:outlineLvl w:val="0"/>
              <w:rPr>
                <w:rFonts w:ascii="Arial" w:hAnsi="Arial" w:cs="Arial"/>
                <w:sz w:val="20"/>
                <w:szCs w:val="20"/>
              </w:rPr>
            </w:pPr>
            <w:r w:rsidRPr="008C6203">
              <w:rPr>
                <w:rFonts w:ascii="Arial" w:hAnsi="Arial" w:cs="Arial"/>
                <w:sz w:val="20"/>
                <w:szCs w:val="20"/>
              </w:rPr>
              <w:t xml:space="preserve"> 3.097 </w:t>
            </w:r>
          </w:p>
        </w:tc>
        <w:tc>
          <w:tcPr>
            <w:tcW w:w="911" w:type="pct"/>
            <w:tcBorders>
              <w:top w:val="nil"/>
              <w:left w:val="nil"/>
              <w:bottom w:val="nil"/>
              <w:right w:val="nil"/>
            </w:tcBorders>
            <w:shd w:val="clear" w:color="auto" w:fill="auto"/>
            <w:vAlign w:val="bottom"/>
          </w:tcPr>
          <w:p w14:paraId="3982C035" w14:textId="26051074" w:rsidR="007B3502" w:rsidRPr="00935EE7" w:rsidRDefault="007B3502" w:rsidP="007B3502">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B5188C">
              <w:rPr>
                <w:rFonts w:ascii="Arial" w:hAnsi="Arial" w:cs="Arial"/>
                <w:color w:val="000000" w:themeColor="text1"/>
                <w:sz w:val="20"/>
              </w:rPr>
              <w:t xml:space="preserve"> 3.429 </w:t>
            </w:r>
          </w:p>
        </w:tc>
      </w:tr>
      <w:tr w:rsidR="007B3502" w:rsidRPr="00935EE7" w14:paraId="1A15958F" w14:textId="77777777" w:rsidTr="00296571">
        <w:trPr>
          <w:trHeight w:hRule="exact" w:val="284"/>
        </w:trPr>
        <w:tc>
          <w:tcPr>
            <w:tcW w:w="3179" w:type="pct"/>
            <w:vAlign w:val="bottom"/>
          </w:tcPr>
          <w:p w14:paraId="7503E217" w14:textId="77777777" w:rsidR="007B3502" w:rsidRPr="00935EE7" w:rsidRDefault="007B3502" w:rsidP="007B3502">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50" w:name="_Toc67328006"/>
            <w:r w:rsidRPr="00935EE7">
              <w:rPr>
                <w:rFonts w:ascii="Arial" w:eastAsia="Times New Roman" w:hAnsi="Arial" w:cs="Arial"/>
                <w:color w:val="000000" w:themeColor="text1"/>
                <w:spacing w:val="-3"/>
                <w:sz w:val="20"/>
                <w:szCs w:val="20"/>
              </w:rPr>
              <w:t>Priprema izvoza</w:t>
            </w:r>
            <w:bookmarkEnd w:id="350"/>
          </w:p>
        </w:tc>
        <w:tc>
          <w:tcPr>
            <w:tcW w:w="910" w:type="pct"/>
            <w:tcBorders>
              <w:top w:val="nil"/>
              <w:left w:val="nil"/>
              <w:bottom w:val="nil"/>
              <w:right w:val="nil"/>
            </w:tcBorders>
            <w:shd w:val="clear" w:color="auto" w:fill="auto"/>
            <w:vAlign w:val="bottom"/>
          </w:tcPr>
          <w:p w14:paraId="3105799A" w14:textId="2F6F6C6B" w:rsidR="007B3502" w:rsidRPr="008C6203" w:rsidRDefault="007B3502" w:rsidP="007B3502">
            <w:pPr>
              <w:tabs>
                <w:tab w:val="right" w:pos="1202"/>
              </w:tabs>
              <w:suppressAutoHyphens/>
              <w:autoSpaceDN w:val="0"/>
              <w:spacing w:line="301" w:lineRule="exact"/>
              <w:jc w:val="right"/>
              <w:outlineLvl w:val="0"/>
              <w:rPr>
                <w:rFonts w:ascii="Arial" w:hAnsi="Arial" w:cs="Arial"/>
                <w:sz w:val="20"/>
                <w:szCs w:val="20"/>
              </w:rPr>
            </w:pPr>
            <w:r w:rsidRPr="008C6203">
              <w:rPr>
                <w:rFonts w:ascii="Arial" w:hAnsi="Arial" w:cs="Arial"/>
                <w:sz w:val="20"/>
                <w:szCs w:val="20"/>
              </w:rPr>
              <w:t xml:space="preserve"> 135 </w:t>
            </w:r>
          </w:p>
        </w:tc>
        <w:tc>
          <w:tcPr>
            <w:tcW w:w="911" w:type="pct"/>
            <w:tcBorders>
              <w:top w:val="nil"/>
              <w:left w:val="nil"/>
              <w:bottom w:val="nil"/>
              <w:right w:val="nil"/>
            </w:tcBorders>
            <w:shd w:val="clear" w:color="auto" w:fill="auto"/>
            <w:vAlign w:val="bottom"/>
          </w:tcPr>
          <w:p w14:paraId="3A16DC7E" w14:textId="2B54EF22" w:rsidR="007B3502" w:rsidRPr="00935EE7" w:rsidRDefault="007B3502" w:rsidP="007B3502">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B5188C">
              <w:rPr>
                <w:rFonts w:ascii="Arial" w:hAnsi="Arial" w:cs="Arial"/>
                <w:color w:val="000000" w:themeColor="text1"/>
                <w:sz w:val="20"/>
              </w:rPr>
              <w:t xml:space="preserve"> 1.535 </w:t>
            </w:r>
          </w:p>
        </w:tc>
      </w:tr>
      <w:tr w:rsidR="007B3502" w:rsidRPr="00935EE7" w14:paraId="5F2790F2" w14:textId="77777777" w:rsidTr="00296571">
        <w:trPr>
          <w:trHeight w:hRule="exact" w:val="284"/>
        </w:trPr>
        <w:tc>
          <w:tcPr>
            <w:tcW w:w="3179" w:type="pct"/>
            <w:vAlign w:val="bottom"/>
          </w:tcPr>
          <w:p w14:paraId="491742E0" w14:textId="77777777" w:rsidR="007B3502" w:rsidRPr="00935EE7" w:rsidRDefault="007B3502" w:rsidP="007B3502">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51" w:name="_Toc67328009"/>
            <w:r w:rsidRPr="00935EE7">
              <w:rPr>
                <w:rFonts w:ascii="Arial" w:eastAsia="Times New Roman" w:hAnsi="Arial" w:cs="Arial"/>
                <w:color w:val="000000" w:themeColor="text1"/>
                <w:spacing w:val="-3"/>
                <w:sz w:val="20"/>
                <w:szCs w:val="20"/>
              </w:rPr>
              <w:t>Investicije javnog sektora</w:t>
            </w:r>
            <w:bookmarkEnd w:id="351"/>
          </w:p>
        </w:tc>
        <w:tc>
          <w:tcPr>
            <w:tcW w:w="910" w:type="pct"/>
            <w:tcBorders>
              <w:top w:val="nil"/>
              <w:left w:val="nil"/>
              <w:bottom w:val="nil"/>
              <w:right w:val="nil"/>
            </w:tcBorders>
            <w:shd w:val="clear" w:color="auto" w:fill="auto"/>
            <w:vAlign w:val="bottom"/>
          </w:tcPr>
          <w:p w14:paraId="1C6D607F" w14:textId="609F0349" w:rsidR="007B3502" w:rsidRPr="008C6203" w:rsidRDefault="007B3502" w:rsidP="007B3502">
            <w:pPr>
              <w:tabs>
                <w:tab w:val="right" w:pos="1202"/>
              </w:tabs>
              <w:suppressAutoHyphens/>
              <w:autoSpaceDN w:val="0"/>
              <w:spacing w:line="301" w:lineRule="exact"/>
              <w:jc w:val="right"/>
              <w:outlineLvl w:val="0"/>
              <w:rPr>
                <w:rFonts w:ascii="Arial" w:hAnsi="Arial" w:cs="Arial"/>
                <w:sz w:val="20"/>
                <w:szCs w:val="20"/>
              </w:rPr>
            </w:pPr>
            <w:r w:rsidRPr="008C6203">
              <w:rPr>
                <w:rFonts w:ascii="Arial" w:hAnsi="Arial" w:cs="Arial"/>
                <w:sz w:val="20"/>
                <w:szCs w:val="20"/>
              </w:rPr>
              <w:t xml:space="preserve"> 168.740 </w:t>
            </w:r>
          </w:p>
        </w:tc>
        <w:tc>
          <w:tcPr>
            <w:tcW w:w="911" w:type="pct"/>
            <w:tcBorders>
              <w:top w:val="nil"/>
              <w:left w:val="nil"/>
              <w:bottom w:val="nil"/>
              <w:right w:val="nil"/>
            </w:tcBorders>
            <w:shd w:val="clear" w:color="auto" w:fill="auto"/>
            <w:vAlign w:val="bottom"/>
          </w:tcPr>
          <w:p w14:paraId="2B1BA8CD" w14:textId="7466BFA5" w:rsidR="007B3502" w:rsidRPr="00935EE7" w:rsidRDefault="007B3502" w:rsidP="007B3502">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B5188C">
              <w:rPr>
                <w:rFonts w:ascii="Arial" w:hAnsi="Arial" w:cs="Arial"/>
                <w:color w:val="000000" w:themeColor="text1"/>
                <w:sz w:val="20"/>
              </w:rPr>
              <w:t xml:space="preserve"> 147.368 </w:t>
            </w:r>
          </w:p>
        </w:tc>
      </w:tr>
      <w:tr w:rsidR="007B3502" w:rsidRPr="00935EE7" w14:paraId="743650E2" w14:textId="77777777" w:rsidTr="00296571">
        <w:trPr>
          <w:trHeight w:hRule="exact" w:val="284"/>
        </w:trPr>
        <w:tc>
          <w:tcPr>
            <w:tcW w:w="3179" w:type="pct"/>
            <w:vAlign w:val="bottom"/>
          </w:tcPr>
          <w:p w14:paraId="0BF070E7" w14:textId="77777777" w:rsidR="007B3502" w:rsidRPr="00935EE7" w:rsidRDefault="007B3502" w:rsidP="007B3502">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52" w:name="_Toc67328012"/>
            <w:r w:rsidRPr="00935EE7">
              <w:rPr>
                <w:rFonts w:ascii="Arial" w:eastAsia="Times New Roman" w:hAnsi="Arial" w:cs="Arial"/>
                <w:color w:val="000000" w:themeColor="text1"/>
                <w:spacing w:val="-3"/>
                <w:sz w:val="20"/>
                <w:szCs w:val="20"/>
              </w:rPr>
              <w:t>Investicije privatnog sektora</w:t>
            </w:r>
            <w:bookmarkEnd w:id="352"/>
          </w:p>
        </w:tc>
        <w:tc>
          <w:tcPr>
            <w:tcW w:w="910" w:type="pct"/>
            <w:tcBorders>
              <w:top w:val="nil"/>
              <w:left w:val="nil"/>
              <w:bottom w:val="nil"/>
              <w:right w:val="nil"/>
            </w:tcBorders>
            <w:shd w:val="clear" w:color="auto" w:fill="auto"/>
            <w:vAlign w:val="bottom"/>
          </w:tcPr>
          <w:p w14:paraId="2228115B" w14:textId="4F4DED1F" w:rsidR="007B3502" w:rsidRPr="008C6203" w:rsidRDefault="007B3502" w:rsidP="007B3502">
            <w:pPr>
              <w:tabs>
                <w:tab w:val="right" w:pos="1202"/>
              </w:tabs>
              <w:suppressAutoHyphens/>
              <w:autoSpaceDN w:val="0"/>
              <w:spacing w:line="301" w:lineRule="exact"/>
              <w:jc w:val="right"/>
              <w:outlineLvl w:val="0"/>
              <w:rPr>
                <w:rFonts w:ascii="Arial" w:hAnsi="Arial" w:cs="Arial"/>
                <w:sz w:val="20"/>
                <w:szCs w:val="20"/>
              </w:rPr>
            </w:pPr>
            <w:r w:rsidRPr="008C6203">
              <w:rPr>
                <w:rFonts w:ascii="Arial" w:hAnsi="Arial" w:cs="Arial"/>
                <w:sz w:val="20"/>
                <w:szCs w:val="20"/>
              </w:rPr>
              <w:t xml:space="preserve"> 187.995 </w:t>
            </w:r>
          </w:p>
        </w:tc>
        <w:tc>
          <w:tcPr>
            <w:tcW w:w="911" w:type="pct"/>
            <w:tcBorders>
              <w:top w:val="nil"/>
              <w:left w:val="nil"/>
              <w:bottom w:val="nil"/>
              <w:right w:val="nil"/>
            </w:tcBorders>
            <w:shd w:val="clear" w:color="auto" w:fill="auto"/>
            <w:vAlign w:val="bottom"/>
          </w:tcPr>
          <w:p w14:paraId="762E95D0" w14:textId="24D3040B" w:rsidR="007B3502" w:rsidRPr="00935EE7" w:rsidRDefault="007B3502" w:rsidP="007B3502">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B5188C">
              <w:rPr>
                <w:rFonts w:ascii="Arial" w:hAnsi="Arial" w:cs="Arial"/>
                <w:color w:val="000000" w:themeColor="text1"/>
                <w:sz w:val="20"/>
              </w:rPr>
              <w:t xml:space="preserve"> 114.438 </w:t>
            </w:r>
          </w:p>
        </w:tc>
      </w:tr>
      <w:tr w:rsidR="007B3502" w:rsidRPr="00935EE7" w14:paraId="15792675" w14:textId="77777777" w:rsidTr="00296571">
        <w:trPr>
          <w:trHeight w:hRule="exact" w:val="284"/>
        </w:trPr>
        <w:tc>
          <w:tcPr>
            <w:tcW w:w="3179" w:type="pct"/>
            <w:vAlign w:val="bottom"/>
          </w:tcPr>
          <w:p w14:paraId="62C9E5E9" w14:textId="77777777" w:rsidR="007B3502" w:rsidRPr="00935EE7" w:rsidRDefault="007B3502" w:rsidP="007B3502">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53" w:name="_Toc67328015"/>
            <w:r w:rsidRPr="00935EE7">
              <w:rPr>
                <w:rFonts w:ascii="Arial" w:eastAsia="Times New Roman" w:hAnsi="Arial" w:cs="Arial"/>
                <w:color w:val="000000" w:themeColor="text1"/>
                <w:spacing w:val="-3"/>
                <w:sz w:val="20"/>
                <w:szCs w:val="20"/>
              </w:rPr>
              <w:t>Poduzetništvo mladih, žena i početnika</w:t>
            </w:r>
            <w:bookmarkEnd w:id="353"/>
          </w:p>
        </w:tc>
        <w:tc>
          <w:tcPr>
            <w:tcW w:w="910" w:type="pct"/>
            <w:tcBorders>
              <w:top w:val="nil"/>
              <w:left w:val="nil"/>
              <w:bottom w:val="nil"/>
              <w:right w:val="nil"/>
            </w:tcBorders>
            <w:shd w:val="clear" w:color="auto" w:fill="auto"/>
            <w:vAlign w:val="bottom"/>
          </w:tcPr>
          <w:p w14:paraId="76860690" w14:textId="7B8EA3C9" w:rsidR="007B3502" w:rsidRPr="008C6203" w:rsidRDefault="007B3502" w:rsidP="007B3502">
            <w:pPr>
              <w:tabs>
                <w:tab w:val="right" w:pos="1202"/>
              </w:tabs>
              <w:suppressAutoHyphens/>
              <w:autoSpaceDN w:val="0"/>
              <w:spacing w:line="301" w:lineRule="exact"/>
              <w:jc w:val="right"/>
              <w:outlineLvl w:val="0"/>
              <w:rPr>
                <w:rFonts w:ascii="Arial" w:hAnsi="Arial" w:cs="Arial"/>
                <w:sz w:val="20"/>
                <w:szCs w:val="20"/>
              </w:rPr>
            </w:pPr>
            <w:r w:rsidRPr="008C6203">
              <w:rPr>
                <w:rFonts w:ascii="Arial" w:hAnsi="Arial" w:cs="Arial"/>
                <w:sz w:val="20"/>
                <w:szCs w:val="20"/>
              </w:rPr>
              <w:t xml:space="preserve"> 12.431 </w:t>
            </w:r>
          </w:p>
        </w:tc>
        <w:tc>
          <w:tcPr>
            <w:tcW w:w="911" w:type="pct"/>
            <w:tcBorders>
              <w:top w:val="nil"/>
              <w:left w:val="nil"/>
              <w:bottom w:val="nil"/>
              <w:right w:val="nil"/>
            </w:tcBorders>
            <w:shd w:val="clear" w:color="auto" w:fill="auto"/>
            <w:vAlign w:val="bottom"/>
          </w:tcPr>
          <w:p w14:paraId="0EB6CA3C" w14:textId="4E4EF170" w:rsidR="007B3502" w:rsidRPr="00935EE7" w:rsidRDefault="007B3502" w:rsidP="007B3502">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B5188C">
              <w:rPr>
                <w:rFonts w:ascii="Arial" w:hAnsi="Arial" w:cs="Arial"/>
                <w:color w:val="000000" w:themeColor="text1"/>
                <w:sz w:val="20"/>
              </w:rPr>
              <w:t xml:space="preserve"> 11.619 </w:t>
            </w:r>
          </w:p>
        </w:tc>
      </w:tr>
      <w:tr w:rsidR="007B3502" w:rsidRPr="00935EE7" w14:paraId="1B859350" w14:textId="77777777" w:rsidTr="00296571">
        <w:trPr>
          <w:trHeight w:hRule="exact" w:val="284"/>
        </w:trPr>
        <w:tc>
          <w:tcPr>
            <w:tcW w:w="3179" w:type="pct"/>
            <w:vAlign w:val="bottom"/>
          </w:tcPr>
          <w:p w14:paraId="63C514FE" w14:textId="77777777" w:rsidR="007B3502" w:rsidRPr="00935EE7" w:rsidRDefault="007B3502" w:rsidP="007B3502">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54" w:name="_Toc67328018"/>
            <w:r w:rsidRPr="00935EE7">
              <w:rPr>
                <w:rFonts w:ascii="Arial" w:eastAsia="Times New Roman" w:hAnsi="Arial" w:cs="Arial"/>
                <w:color w:val="000000" w:themeColor="text1"/>
                <w:spacing w:val="-3"/>
                <w:sz w:val="20"/>
                <w:szCs w:val="20"/>
              </w:rPr>
              <w:t>Obrtna sredstva</w:t>
            </w:r>
            <w:bookmarkEnd w:id="354"/>
          </w:p>
        </w:tc>
        <w:tc>
          <w:tcPr>
            <w:tcW w:w="910" w:type="pct"/>
            <w:tcBorders>
              <w:top w:val="nil"/>
              <w:left w:val="nil"/>
              <w:bottom w:val="nil"/>
              <w:right w:val="nil"/>
            </w:tcBorders>
            <w:shd w:val="clear" w:color="auto" w:fill="auto"/>
            <w:vAlign w:val="bottom"/>
          </w:tcPr>
          <w:p w14:paraId="1AC340D9" w14:textId="2A2E5AF2" w:rsidR="007B3502" w:rsidRPr="008C6203" w:rsidRDefault="007B3502" w:rsidP="007B3502">
            <w:pPr>
              <w:tabs>
                <w:tab w:val="right" w:pos="1202"/>
              </w:tabs>
              <w:suppressAutoHyphens/>
              <w:autoSpaceDN w:val="0"/>
              <w:spacing w:line="301" w:lineRule="exact"/>
              <w:jc w:val="right"/>
              <w:outlineLvl w:val="0"/>
              <w:rPr>
                <w:rFonts w:ascii="Arial" w:hAnsi="Arial" w:cs="Arial"/>
                <w:sz w:val="20"/>
                <w:szCs w:val="20"/>
              </w:rPr>
            </w:pPr>
            <w:r w:rsidRPr="008C6203">
              <w:rPr>
                <w:rFonts w:ascii="Arial" w:hAnsi="Arial" w:cs="Arial"/>
                <w:sz w:val="20"/>
                <w:szCs w:val="20"/>
              </w:rPr>
              <w:t xml:space="preserve"> 9.794 </w:t>
            </w:r>
          </w:p>
        </w:tc>
        <w:tc>
          <w:tcPr>
            <w:tcW w:w="911" w:type="pct"/>
            <w:tcBorders>
              <w:top w:val="nil"/>
              <w:left w:val="nil"/>
              <w:bottom w:val="nil"/>
              <w:right w:val="nil"/>
            </w:tcBorders>
            <w:shd w:val="clear" w:color="auto" w:fill="auto"/>
            <w:vAlign w:val="bottom"/>
          </w:tcPr>
          <w:p w14:paraId="4F9B7FE0" w14:textId="45912E8D" w:rsidR="007B3502" w:rsidRPr="00935EE7" w:rsidRDefault="007B3502" w:rsidP="007B3502">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B5188C">
              <w:rPr>
                <w:rFonts w:ascii="Arial" w:hAnsi="Arial" w:cs="Arial"/>
                <w:color w:val="000000" w:themeColor="text1"/>
                <w:sz w:val="20"/>
              </w:rPr>
              <w:t xml:space="preserve"> 5.904 </w:t>
            </w:r>
          </w:p>
        </w:tc>
      </w:tr>
      <w:tr w:rsidR="00D04E33" w:rsidRPr="00935EE7" w14:paraId="21B19F91" w14:textId="77777777" w:rsidTr="00296571">
        <w:trPr>
          <w:trHeight w:hRule="exact" w:val="284"/>
        </w:trPr>
        <w:tc>
          <w:tcPr>
            <w:tcW w:w="3179" w:type="pct"/>
            <w:vAlign w:val="bottom"/>
          </w:tcPr>
          <w:p w14:paraId="6E711CDB" w14:textId="0F5530E9" w:rsidR="00D04E33" w:rsidRPr="00AF6D82" w:rsidRDefault="00D04E33" w:rsidP="00D04E33">
            <w:pPr>
              <w:tabs>
                <w:tab w:val="right" w:pos="1202"/>
              </w:tabs>
              <w:suppressAutoHyphens/>
              <w:autoSpaceDN w:val="0"/>
              <w:spacing w:line="301" w:lineRule="exact"/>
              <w:outlineLvl w:val="0"/>
              <w:rPr>
                <w:rFonts w:ascii="Arial" w:eastAsia="Times New Roman" w:hAnsi="Arial" w:cs="Arial"/>
                <w:sz w:val="20"/>
                <w:szCs w:val="20"/>
              </w:rPr>
            </w:pPr>
            <w:bookmarkStart w:id="355" w:name="_Toc67328021"/>
            <w:r w:rsidRPr="00AF6D82">
              <w:rPr>
                <w:rFonts w:ascii="Arial" w:eastAsia="Times New Roman" w:hAnsi="Arial" w:cs="Arial"/>
                <w:sz w:val="20"/>
                <w:szCs w:val="20"/>
              </w:rPr>
              <w:t>Obrtna sredstva – Mjere COVID 19</w:t>
            </w:r>
            <w:bookmarkEnd w:id="355"/>
            <w:r w:rsidRPr="00AF6D82">
              <w:rPr>
                <w:rFonts w:ascii="Arial" w:eastAsia="Times New Roman" w:hAnsi="Arial" w:cs="Arial"/>
                <w:sz w:val="20"/>
                <w:szCs w:val="20"/>
              </w:rPr>
              <w:t xml:space="preserve"> i Kriza 2022</w:t>
            </w:r>
          </w:p>
        </w:tc>
        <w:tc>
          <w:tcPr>
            <w:tcW w:w="910" w:type="pct"/>
            <w:tcBorders>
              <w:top w:val="nil"/>
              <w:left w:val="nil"/>
              <w:bottom w:val="nil"/>
              <w:right w:val="nil"/>
            </w:tcBorders>
            <w:shd w:val="clear" w:color="auto" w:fill="auto"/>
            <w:vAlign w:val="bottom"/>
          </w:tcPr>
          <w:p w14:paraId="046CF1A0" w14:textId="48DE1113" w:rsidR="00D04E33" w:rsidRPr="008C6203" w:rsidRDefault="00E16837" w:rsidP="00D04E33">
            <w:pPr>
              <w:tabs>
                <w:tab w:val="right" w:pos="1202"/>
              </w:tabs>
              <w:suppressAutoHyphens/>
              <w:autoSpaceDN w:val="0"/>
              <w:spacing w:line="301" w:lineRule="exact"/>
              <w:jc w:val="right"/>
              <w:outlineLvl w:val="0"/>
              <w:rPr>
                <w:rFonts w:ascii="Arial" w:hAnsi="Arial" w:cs="Arial"/>
                <w:sz w:val="20"/>
                <w:szCs w:val="20"/>
              </w:rPr>
            </w:pPr>
            <w:r w:rsidRPr="008C6203">
              <w:rPr>
                <w:rFonts w:ascii="Arial" w:hAnsi="Arial" w:cs="Arial"/>
                <w:sz w:val="20"/>
                <w:szCs w:val="20"/>
              </w:rPr>
              <w:t>3.500</w:t>
            </w:r>
          </w:p>
        </w:tc>
        <w:tc>
          <w:tcPr>
            <w:tcW w:w="911" w:type="pct"/>
            <w:tcBorders>
              <w:top w:val="nil"/>
              <w:left w:val="nil"/>
              <w:bottom w:val="nil"/>
              <w:right w:val="nil"/>
            </w:tcBorders>
            <w:shd w:val="clear" w:color="auto" w:fill="auto"/>
            <w:vAlign w:val="bottom"/>
          </w:tcPr>
          <w:p w14:paraId="627E4889" w14:textId="6DB3C165" w:rsidR="00D04E33" w:rsidRPr="00935EE7" w:rsidRDefault="00D04E33" w:rsidP="00D04E33">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B5188C">
              <w:rPr>
                <w:rFonts w:ascii="Arial" w:hAnsi="Arial" w:cs="Arial"/>
                <w:color w:val="000000" w:themeColor="text1"/>
                <w:sz w:val="20"/>
              </w:rPr>
              <w:t>4.942</w:t>
            </w:r>
          </w:p>
        </w:tc>
      </w:tr>
      <w:tr w:rsidR="007040BB" w:rsidRPr="00935EE7" w14:paraId="4839EA2C" w14:textId="77777777" w:rsidTr="00296571">
        <w:trPr>
          <w:trHeight w:hRule="exact" w:val="284"/>
        </w:trPr>
        <w:tc>
          <w:tcPr>
            <w:tcW w:w="3179" w:type="pct"/>
            <w:vAlign w:val="bottom"/>
          </w:tcPr>
          <w:p w14:paraId="36433174" w14:textId="77777777" w:rsidR="007040BB" w:rsidRPr="00935EE7" w:rsidRDefault="007040BB" w:rsidP="007040BB">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56" w:name="_Toc67328024"/>
            <w:r w:rsidRPr="00935EE7">
              <w:rPr>
                <w:rFonts w:ascii="Arial" w:eastAsia="Times New Roman" w:hAnsi="Arial" w:cs="Arial"/>
                <w:color w:val="000000" w:themeColor="text1"/>
                <w:sz w:val="20"/>
                <w:szCs w:val="20"/>
              </w:rPr>
              <w:t>Program kreditiranja obnove i razvitka gospodarskih djelatnosti</w:t>
            </w:r>
            <w:bookmarkEnd w:id="356"/>
          </w:p>
        </w:tc>
        <w:tc>
          <w:tcPr>
            <w:tcW w:w="910" w:type="pct"/>
            <w:tcBorders>
              <w:top w:val="nil"/>
              <w:left w:val="nil"/>
              <w:bottom w:val="nil"/>
              <w:right w:val="nil"/>
            </w:tcBorders>
            <w:shd w:val="clear" w:color="auto" w:fill="auto"/>
            <w:vAlign w:val="bottom"/>
          </w:tcPr>
          <w:p w14:paraId="4ACCF652" w14:textId="739047D6" w:rsidR="007040BB" w:rsidRPr="008C6203" w:rsidRDefault="007040BB" w:rsidP="007040BB">
            <w:pPr>
              <w:tabs>
                <w:tab w:val="right" w:pos="1202"/>
              </w:tabs>
              <w:suppressAutoHyphens/>
              <w:autoSpaceDN w:val="0"/>
              <w:spacing w:line="301" w:lineRule="exact"/>
              <w:jc w:val="right"/>
              <w:outlineLvl w:val="0"/>
              <w:rPr>
                <w:rFonts w:ascii="Arial" w:hAnsi="Arial" w:cs="Arial"/>
                <w:sz w:val="20"/>
                <w:szCs w:val="20"/>
              </w:rPr>
            </w:pPr>
            <w:r w:rsidRPr="008C6203">
              <w:rPr>
                <w:rFonts w:ascii="Arial" w:hAnsi="Arial" w:cs="Arial"/>
                <w:sz w:val="20"/>
                <w:szCs w:val="20"/>
              </w:rPr>
              <w:t xml:space="preserve"> 59.761 </w:t>
            </w:r>
          </w:p>
        </w:tc>
        <w:tc>
          <w:tcPr>
            <w:tcW w:w="911" w:type="pct"/>
            <w:tcBorders>
              <w:top w:val="nil"/>
              <w:left w:val="nil"/>
              <w:bottom w:val="nil"/>
              <w:right w:val="nil"/>
            </w:tcBorders>
            <w:shd w:val="clear" w:color="auto" w:fill="auto"/>
            <w:vAlign w:val="bottom"/>
          </w:tcPr>
          <w:p w14:paraId="3412970F" w14:textId="240F284B" w:rsidR="007040BB" w:rsidRPr="00935EE7" w:rsidRDefault="007040BB" w:rsidP="007040BB">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B5188C">
              <w:rPr>
                <w:rFonts w:ascii="Arial" w:hAnsi="Arial" w:cs="Arial"/>
                <w:color w:val="000000" w:themeColor="text1"/>
                <w:sz w:val="20"/>
              </w:rPr>
              <w:t xml:space="preserve"> 76.634 </w:t>
            </w:r>
          </w:p>
        </w:tc>
      </w:tr>
      <w:tr w:rsidR="007040BB" w:rsidRPr="00935EE7" w14:paraId="0862B20B" w14:textId="77777777" w:rsidTr="00296571">
        <w:trPr>
          <w:trHeight w:hRule="exact" w:val="284"/>
        </w:trPr>
        <w:tc>
          <w:tcPr>
            <w:tcW w:w="3179" w:type="pct"/>
            <w:vAlign w:val="bottom"/>
          </w:tcPr>
          <w:p w14:paraId="70D97E03" w14:textId="77777777" w:rsidR="007040BB" w:rsidRPr="00935EE7" w:rsidRDefault="007040BB" w:rsidP="007040BB">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57" w:name="_Toc67328027"/>
            <w:r w:rsidRPr="00935EE7">
              <w:rPr>
                <w:rFonts w:ascii="Arial" w:eastAsia="Times New Roman" w:hAnsi="Arial" w:cs="Arial"/>
                <w:color w:val="000000" w:themeColor="text1"/>
                <w:sz w:val="20"/>
                <w:szCs w:val="20"/>
              </w:rPr>
              <w:t>Financiranje izvoza</w:t>
            </w:r>
            <w:bookmarkEnd w:id="357"/>
          </w:p>
        </w:tc>
        <w:tc>
          <w:tcPr>
            <w:tcW w:w="910" w:type="pct"/>
            <w:tcBorders>
              <w:top w:val="nil"/>
              <w:left w:val="nil"/>
              <w:bottom w:val="nil"/>
              <w:right w:val="nil"/>
            </w:tcBorders>
            <w:shd w:val="clear" w:color="auto" w:fill="auto"/>
            <w:vAlign w:val="bottom"/>
          </w:tcPr>
          <w:p w14:paraId="62C425BC" w14:textId="0120E26B" w:rsidR="007040BB" w:rsidRPr="008C6203" w:rsidRDefault="007040BB" w:rsidP="007040BB">
            <w:pPr>
              <w:tabs>
                <w:tab w:val="right" w:pos="1202"/>
              </w:tabs>
              <w:suppressAutoHyphens/>
              <w:autoSpaceDN w:val="0"/>
              <w:spacing w:line="301" w:lineRule="exact"/>
              <w:jc w:val="right"/>
              <w:outlineLvl w:val="0"/>
              <w:rPr>
                <w:rFonts w:ascii="Arial" w:hAnsi="Arial" w:cs="Arial"/>
                <w:sz w:val="20"/>
                <w:szCs w:val="20"/>
              </w:rPr>
            </w:pPr>
            <w:r w:rsidRPr="008C6203">
              <w:rPr>
                <w:rFonts w:ascii="Arial" w:hAnsi="Arial" w:cs="Arial"/>
                <w:sz w:val="20"/>
                <w:szCs w:val="20"/>
              </w:rPr>
              <w:t xml:space="preserve"> 127.199 </w:t>
            </w:r>
          </w:p>
        </w:tc>
        <w:tc>
          <w:tcPr>
            <w:tcW w:w="911" w:type="pct"/>
            <w:tcBorders>
              <w:top w:val="nil"/>
              <w:left w:val="nil"/>
              <w:bottom w:val="nil"/>
              <w:right w:val="nil"/>
            </w:tcBorders>
            <w:shd w:val="clear" w:color="auto" w:fill="auto"/>
            <w:vAlign w:val="bottom"/>
          </w:tcPr>
          <w:p w14:paraId="19E885D3" w14:textId="74898E99" w:rsidR="007040BB" w:rsidRPr="00935EE7" w:rsidRDefault="007040BB" w:rsidP="007040BB">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B5188C">
              <w:rPr>
                <w:rFonts w:ascii="Arial" w:hAnsi="Arial" w:cs="Arial"/>
                <w:color w:val="000000" w:themeColor="text1"/>
                <w:sz w:val="20"/>
              </w:rPr>
              <w:t xml:space="preserve"> 144.858 </w:t>
            </w:r>
          </w:p>
        </w:tc>
      </w:tr>
      <w:tr w:rsidR="007040BB" w:rsidRPr="00935EE7" w14:paraId="5C252E11" w14:textId="77777777" w:rsidTr="00296571">
        <w:trPr>
          <w:trHeight w:hRule="exact" w:val="284"/>
        </w:trPr>
        <w:tc>
          <w:tcPr>
            <w:tcW w:w="3179" w:type="pct"/>
            <w:vAlign w:val="bottom"/>
          </w:tcPr>
          <w:p w14:paraId="4D5500EC" w14:textId="77777777" w:rsidR="007040BB" w:rsidRPr="00935EE7" w:rsidRDefault="007040BB" w:rsidP="007040BB">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58" w:name="_Toc67328030"/>
            <w:r w:rsidRPr="00935EE7">
              <w:rPr>
                <w:rFonts w:ascii="Arial" w:eastAsia="Times New Roman" w:hAnsi="Arial" w:cs="Arial"/>
                <w:color w:val="000000" w:themeColor="text1"/>
                <w:sz w:val="20"/>
                <w:szCs w:val="20"/>
              </w:rPr>
              <w:t>Program obnove i razvitka infrastrukture u Republici Hrvatskoj</w:t>
            </w:r>
            <w:bookmarkEnd w:id="358"/>
          </w:p>
        </w:tc>
        <w:tc>
          <w:tcPr>
            <w:tcW w:w="910" w:type="pct"/>
            <w:tcBorders>
              <w:top w:val="nil"/>
              <w:left w:val="nil"/>
              <w:bottom w:val="nil"/>
              <w:right w:val="nil"/>
            </w:tcBorders>
            <w:shd w:val="clear" w:color="auto" w:fill="auto"/>
            <w:vAlign w:val="bottom"/>
          </w:tcPr>
          <w:p w14:paraId="51114F06" w14:textId="659AD825" w:rsidR="007040BB" w:rsidRPr="008C6203" w:rsidRDefault="007040BB" w:rsidP="007040BB">
            <w:pPr>
              <w:tabs>
                <w:tab w:val="right" w:pos="1202"/>
              </w:tabs>
              <w:suppressAutoHyphens/>
              <w:autoSpaceDN w:val="0"/>
              <w:spacing w:line="301" w:lineRule="exact"/>
              <w:jc w:val="right"/>
              <w:outlineLvl w:val="0"/>
              <w:rPr>
                <w:rFonts w:ascii="Arial" w:hAnsi="Arial" w:cs="Arial"/>
                <w:sz w:val="20"/>
                <w:szCs w:val="20"/>
              </w:rPr>
            </w:pPr>
            <w:r w:rsidRPr="008C6203">
              <w:rPr>
                <w:rFonts w:ascii="Arial" w:hAnsi="Arial" w:cs="Arial"/>
                <w:sz w:val="20"/>
                <w:szCs w:val="20"/>
              </w:rPr>
              <w:t xml:space="preserve"> 81.003 </w:t>
            </w:r>
          </w:p>
        </w:tc>
        <w:tc>
          <w:tcPr>
            <w:tcW w:w="911" w:type="pct"/>
            <w:tcBorders>
              <w:top w:val="nil"/>
              <w:left w:val="nil"/>
              <w:bottom w:val="nil"/>
              <w:right w:val="nil"/>
            </w:tcBorders>
            <w:shd w:val="clear" w:color="auto" w:fill="auto"/>
            <w:vAlign w:val="bottom"/>
          </w:tcPr>
          <w:p w14:paraId="20118B99" w14:textId="5C307D1D" w:rsidR="007040BB" w:rsidRPr="00935EE7" w:rsidRDefault="007040BB" w:rsidP="007040BB">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B5188C">
              <w:rPr>
                <w:rFonts w:ascii="Arial" w:hAnsi="Arial" w:cs="Arial"/>
                <w:color w:val="000000" w:themeColor="text1"/>
                <w:sz w:val="20"/>
              </w:rPr>
              <w:t xml:space="preserve"> 96.535 </w:t>
            </w:r>
          </w:p>
        </w:tc>
      </w:tr>
      <w:tr w:rsidR="007040BB" w:rsidRPr="00935EE7" w14:paraId="1366D5F3" w14:textId="77777777" w:rsidTr="00296571">
        <w:trPr>
          <w:trHeight w:hRule="exact" w:val="284"/>
        </w:trPr>
        <w:tc>
          <w:tcPr>
            <w:tcW w:w="3179" w:type="pct"/>
            <w:vAlign w:val="bottom"/>
          </w:tcPr>
          <w:p w14:paraId="196538F1" w14:textId="77777777" w:rsidR="007040BB" w:rsidRPr="00935EE7" w:rsidRDefault="007040BB" w:rsidP="007040BB">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59" w:name="_Toc67328033"/>
            <w:r w:rsidRPr="00935EE7">
              <w:rPr>
                <w:rFonts w:ascii="Arial" w:eastAsia="Times New Roman" w:hAnsi="Arial" w:cs="Arial"/>
                <w:color w:val="000000" w:themeColor="text1"/>
                <w:sz w:val="20"/>
                <w:szCs w:val="20"/>
              </w:rPr>
              <w:t>Program kreditiranja malog i srednjeg poduzetništva</w:t>
            </w:r>
            <w:bookmarkEnd w:id="359"/>
          </w:p>
        </w:tc>
        <w:tc>
          <w:tcPr>
            <w:tcW w:w="910" w:type="pct"/>
            <w:tcBorders>
              <w:top w:val="nil"/>
              <w:left w:val="nil"/>
              <w:bottom w:val="nil"/>
              <w:right w:val="nil"/>
            </w:tcBorders>
            <w:shd w:val="clear" w:color="auto" w:fill="auto"/>
            <w:vAlign w:val="bottom"/>
          </w:tcPr>
          <w:p w14:paraId="5B462534" w14:textId="0062E2E8" w:rsidR="007040BB" w:rsidRPr="008C6203" w:rsidRDefault="007040BB" w:rsidP="007040BB">
            <w:pPr>
              <w:tabs>
                <w:tab w:val="right" w:pos="1202"/>
              </w:tabs>
              <w:suppressAutoHyphens/>
              <w:autoSpaceDN w:val="0"/>
              <w:spacing w:line="301" w:lineRule="exact"/>
              <w:jc w:val="right"/>
              <w:outlineLvl w:val="0"/>
              <w:rPr>
                <w:rFonts w:ascii="Arial" w:hAnsi="Arial" w:cs="Arial"/>
                <w:sz w:val="20"/>
                <w:szCs w:val="20"/>
              </w:rPr>
            </w:pPr>
            <w:r w:rsidRPr="008C6203">
              <w:rPr>
                <w:rFonts w:ascii="Arial" w:hAnsi="Arial" w:cs="Arial"/>
                <w:sz w:val="20"/>
                <w:szCs w:val="20"/>
              </w:rPr>
              <w:t xml:space="preserve"> 428.501 </w:t>
            </w:r>
          </w:p>
        </w:tc>
        <w:tc>
          <w:tcPr>
            <w:tcW w:w="911" w:type="pct"/>
            <w:tcBorders>
              <w:top w:val="nil"/>
              <w:left w:val="nil"/>
              <w:bottom w:val="nil"/>
              <w:right w:val="nil"/>
            </w:tcBorders>
            <w:shd w:val="clear" w:color="auto" w:fill="auto"/>
            <w:vAlign w:val="bottom"/>
          </w:tcPr>
          <w:p w14:paraId="2D0E29D0" w14:textId="4B3CB35A" w:rsidR="007040BB" w:rsidRPr="00935EE7" w:rsidRDefault="007040BB" w:rsidP="007040BB">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B5188C">
              <w:rPr>
                <w:rFonts w:ascii="Arial" w:hAnsi="Arial" w:cs="Arial"/>
                <w:color w:val="000000" w:themeColor="text1"/>
                <w:sz w:val="20"/>
              </w:rPr>
              <w:t xml:space="preserve"> 401.093 </w:t>
            </w:r>
          </w:p>
        </w:tc>
      </w:tr>
      <w:tr w:rsidR="00D04E33" w:rsidRPr="00935EE7" w14:paraId="7683720D" w14:textId="77777777" w:rsidTr="00296571">
        <w:trPr>
          <w:trHeight w:hRule="exact" w:val="542"/>
        </w:trPr>
        <w:tc>
          <w:tcPr>
            <w:tcW w:w="3179" w:type="pct"/>
            <w:vAlign w:val="bottom"/>
          </w:tcPr>
          <w:p w14:paraId="6B2A8665" w14:textId="77777777" w:rsidR="00D04E33" w:rsidRPr="00935EE7" w:rsidRDefault="00D04E33" w:rsidP="00575164">
            <w:pPr>
              <w:tabs>
                <w:tab w:val="right" w:pos="1202"/>
              </w:tabs>
              <w:suppressAutoHyphens/>
              <w:autoSpaceDN w:val="0"/>
              <w:outlineLvl w:val="0"/>
              <w:rPr>
                <w:rFonts w:ascii="Arial" w:eastAsia="Times New Roman" w:hAnsi="Arial" w:cs="Arial"/>
                <w:color w:val="000000" w:themeColor="text1"/>
                <w:sz w:val="20"/>
                <w:szCs w:val="20"/>
              </w:rPr>
            </w:pPr>
            <w:bookmarkStart w:id="360" w:name="_Toc67328036"/>
            <w:r w:rsidRPr="00935EE7">
              <w:rPr>
                <w:rFonts w:ascii="Arial" w:eastAsia="Times New Roman" w:hAnsi="Arial" w:cs="Arial"/>
                <w:color w:val="000000" w:themeColor="text1"/>
                <w:sz w:val="20"/>
                <w:szCs w:val="20"/>
              </w:rPr>
              <w:t>Program kreditiranja ratom oštećenih i razrušenih stambenih i gospodarskih objekata</w:t>
            </w:r>
            <w:bookmarkEnd w:id="360"/>
          </w:p>
        </w:tc>
        <w:tc>
          <w:tcPr>
            <w:tcW w:w="910" w:type="pct"/>
            <w:tcBorders>
              <w:top w:val="nil"/>
              <w:left w:val="nil"/>
              <w:bottom w:val="nil"/>
              <w:right w:val="nil"/>
            </w:tcBorders>
            <w:shd w:val="clear" w:color="auto" w:fill="auto"/>
            <w:vAlign w:val="bottom"/>
          </w:tcPr>
          <w:p w14:paraId="5972B698" w14:textId="158E0706" w:rsidR="00D04E33" w:rsidRPr="008C6203" w:rsidRDefault="00EC02F6" w:rsidP="00D04E33">
            <w:pPr>
              <w:tabs>
                <w:tab w:val="right" w:pos="1202"/>
              </w:tabs>
              <w:suppressAutoHyphens/>
              <w:autoSpaceDN w:val="0"/>
              <w:spacing w:line="301" w:lineRule="exact"/>
              <w:jc w:val="right"/>
              <w:outlineLvl w:val="0"/>
              <w:rPr>
                <w:rFonts w:ascii="Arial" w:hAnsi="Arial" w:cs="Arial"/>
                <w:sz w:val="20"/>
                <w:szCs w:val="20"/>
              </w:rPr>
            </w:pPr>
            <w:r w:rsidRPr="008C6203">
              <w:rPr>
                <w:rFonts w:ascii="Arial" w:hAnsi="Arial" w:cs="Arial"/>
                <w:sz w:val="20"/>
                <w:szCs w:val="20"/>
              </w:rPr>
              <w:t>159</w:t>
            </w:r>
          </w:p>
        </w:tc>
        <w:tc>
          <w:tcPr>
            <w:tcW w:w="911" w:type="pct"/>
            <w:tcBorders>
              <w:top w:val="nil"/>
              <w:left w:val="nil"/>
              <w:bottom w:val="nil"/>
              <w:right w:val="nil"/>
            </w:tcBorders>
            <w:shd w:val="clear" w:color="auto" w:fill="auto"/>
            <w:vAlign w:val="bottom"/>
          </w:tcPr>
          <w:p w14:paraId="20D3C042" w14:textId="72B95A29" w:rsidR="00D04E33" w:rsidRPr="00935EE7" w:rsidRDefault="00D04E33" w:rsidP="00D04E33">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B5188C">
              <w:rPr>
                <w:rFonts w:ascii="Arial" w:hAnsi="Arial" w:cs="Arial"/>
                <w:color w:val="000000" w:themeColor="text1"/>
                <w:sz w:val="20"/>
              </w:rPr>
              <w:t xml:space="preserve"> 259 </w:t>
            </w:r>
          </w:p>
        </w:tc>
      </w:tr>
      <w:tr w:rsidR="00D04E33" w:rsidRPr="00935EE7" w14:paraId="618F7249" w14:textId="77777777" w:rsidTr="00296571">
        <w:trPr>
          <w:trHeight w:hRule="exact" w:val="284"/>
        </w:trPr>
        <w:tc>
          <w:tcPr>
            <w:tcW w:w="3179" w:type="pct"/>
            <w:vAlign w:val="bottom"/>
          </w:tcPr>
          <w:p w14:paraId="2BBB40E7" w14:textId="77777777" w:rsidR="00D04E33" w:rsidRPr="00935EE7" w:rsidRDefault="00D04E33" w:rsidP="00D04E33">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61" w:name="_Toc67328039"/>
            <w:r w:rsidRPr="00935EE7">
              <w:rPr>
                <w:rFonts w:ascii="Arial" w:eastAsia="Times New Roman" w:hAnsi="Arial" w:cs="Arial"/>
                <w:color w:val="000000" w:themeColor="text1"/>
                <w:sz w:val="20"/>
                <w:szCs w:val="20"/>
              </w:rPr>
              <w:t>Ostalo</w:t>
            </w:r>
            <w:bookmarkEnd w:id="361"/>
          </w:p>
        </w:tc>
        <w:tc>
          <w:tcPr>
            <w:tcW w:w="910" w:type="pct"/>
            <w:tcBorders>
              <w:top w:val="nil"/>
              <w:left w:val="nil"/>
              <w:bottom w:val="nil"/>
              <w:right w:val="nil"/>
            </w:tcBorders>
            <w:shd w:val="clear" w:color="auto" w:fill="auto"/>
            <w:vAlign w:val="bottom"/>
          </w:tcPr>
          <w:p w14:paraId="49B5B236" w14:textId="47DD8BC8" w:rsidR="00D04E33" w:rsidRPr="008C6203" w:rsidRDefault="00EC02F6" w:rsidP="00D04E33">
            <w:pPr>
              <w:tabs>
                <w:tab w:val="right" w:pos="1202"/>
              </w:tabs>
              <w:suppressAutoHyphens/>
              <w:autoSpaceDN w:val="0"/>
              <w:spacing w:line="301" w:lineRule="exact"/>
              <w:jc w:val="right"/>
              <w:outlineLvl w:val="0"/>
              <w:rPr>
                <w:rFonts w:ascii="Arial" w:hAnsi="Arial" w:cs="Arial"/>
                <w:sz w:val="20"/>
                <w:szCs w:val="20"/>
              </w:rPr>
            </w:pPr>
            <w:r w:rsidRPr="008C6203">
              <w:rPr>
                <w:rFonts w:ascii="Arial" w:hAnsi="Arial" w:cs="Arial"/>
                <w:sz w:val="20"/>
                <w:szCs w:val="20"/>
              </w:rPr>
              <w:t>40.000</w:t>
            </w:r>
          </w:p>
        </w:tc>
        <w:tc>
          <w:tcPr>
            <w:tcW w:w="911" w:type="pct"/>
            <w:tcBorders>
              <w:top w:val="nil"/>
              <w:left w:val="nil"/>
              <w:bottom w:val="nil"/>
              <w:right w:val="nil"/>
            </w:tcBorders>
            <w:shd w:val="clear" w:color="auto" w:fill="auto"/>
            <w:vAlign w:val="bottom"/>
          </w:tcPr>
          <w:p w14:paraId="5A82A8B8" w14:textId="4BC4C843" w:rsidR="00D04E33" w:rsidRPr="00935EE7" w:rsidRDefault="00D04E33" w:rsidP="00D04E33">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B5188C">
              <w:rPr>
                <w:rFonts w:ascii="Arial" w:hAnsi="Arial" w:cs="Arial"/>
                <w:color w:val="000000" w:themeColor="text1"/>
                <w:sz w:val="20"/>
              </w:rPr>
              <w:t xml:space="preserve"> 193.000 </w:t>
            </w:r>
          </w:p>
        </w:tc>
      </w:tr>
      <w:tr w:rsidR="00D04E33" w:rsidRPr="00935EE7" w14:paraId="7FAA0EC2" w14:textId="77777777" w:rsidTr="00296571">
        <w:trPr>
          <w:trHeight w:hRule="exact" w:val="284"/>
        </w:trPr>
        <w:tc>
          <w:tcPr>
            <w:tcW w:w="3179" w:type="pct"/>
            <w:vAlign w:val="bottom"/>
          </w:tcPr>
          <w:p w14:paraId="57203362" w14:textId="77777777" w:rsidR="00D04E33" w:rsidRPr="00935EE7" w:rsidRDefault="00D04E33" w:rsidP="00D04E33">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62" w:name="_Toc67328042"/>
            <w:r w:rsidRPr="00935EE7">
              <w:rPr>
                <w:rFonts w:ascii="Arial" w:eastAsia="Times New Roman" w:hAnsi="Arial" w:cs="Arial"/>
                <w:color w:val="000000" w:themeColor="text1"/>
                <w:sz w:val="20"/>
                <w:szCs w:val="20"/>
              </w:rPr>
              <w:t>Obračunata kamata</w:t>
            </w:r>
            <w:bookmarkEnd w:id="362"/>
          </w:p>
        </w:tc>
        <w:tc>
          <w:tcPr>
            <w:tcW w:w="910" w:type="pct"/>
            <w:tcBorders>
              <w:top w:val="nil"/>
              <w:left w:val="nil"/>
              <w:bottom w:val="nil"/>
              <w:right w:val="nil"/>
            </w:tcBorders>
            <w:shd w:val="clear" w:color="auto" w:fill="auto"/>
            <w:vAlign w:val="bottom"/>
          </w:tcPr>
          <w:p w14:paraId="096020C7" w14:textId="5A441134" w:rsidR="00D04E33" w:rsidRPr="008C6203" w:rsidRDefault="00EC02F6" w:rsidP="00D04E33">
            <w:pPr>
              <w:tabs>
                <w:tab w:val="right" w:pos="1202"/>
              </w:tabs>
              <w:suppressAutoHyphens/>
              <w:autoSpaceDN w:val="0"/>
              <w:spacing w:line="301" w:lineRule="exact"/>
              <w:jc w:val="right"/>
              <w:outlineLvl w:val="0"/>
              <w:rPr>
                <w:rFonts w:ascii="Arial" w:hAnsi="Arial" w:cs="Arial"/>
                <w:sz w:val="20"/>
                <w:szCs w:val="20"/>
              </w:rPr>
            </w:pPr>
            <w:r w:rsidRPr="008C6203">
              <w:rPr>
                <w:rFonts w:ascii="Arial" w:hAnsi="Arial" w:cs="Arial"/>
                <w:sz w:val="20"/>
                <w:szCs w:val="20"/>
              </w:rPr>
              <w:t>973</w:t>
            </w:r>
          </w:p>
        </w:tc>
        <w:tc>
          <w:tcPr>
            <w:tcW w:w="911" w:type="pct"/>
            <w:tcBorders>
              <w:top w:val="nil"/>
              <w:left w:val="nil"/>
              <w:bottom w:val="nil"/>
              <w:right w:val="nil"/>
            </w:tcBorders>
            <w:shd w:val="clear" w:color="auto" w:fill="auto"/>
            <w:vAlign w:val="bottom"/>
          </w:tcPr>
          <w:p w14:paraId="47D63488" w14:textId="5743856F" w:rsidR="00D04E33" w:rsidRPr="00935EE7" w:rsidRDefault="00D04E33" w:rsidP="00D04E33">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B5188C">
              <w:rPr>
                <w:rFonts w:ascii="Arial" w:hAnsi="Arial" w:cs="Arial"/>
                <w:color w:val="000000" w:themeColor="text1"/>
                <w:sz w:val="20"/>
              </w:rPr>
              <w:t xml:space="preserve"> 2.384 </w:t>
            </w:r>
          </w:p>
        </w:tc>
      </w:tr>
      <w:tr w:rsidR="00D04E33" w:rsidRPr="00935EE7" w14:paraId="667DE8E2" w14:textId="77777777" w:rsidTr="00296571">
        <w:trPr>
          <w:trHeight w:hRule="exact" w:val="284"/>
        </w:trPr>
        <w:tc>
          <w:tcPr>
            <w:tcW w:w="3179" w:type="pct"/>
            <w:vAlign w:val="bottom"/>
          </w:tcPr>
          <w:p w14:paraId="3A052203" w14:textId="77777777" w:rsidR="00D04E33" w:rsidRPr="00935EE7" w:rsidRDefault="00D04E33" w:rsidP="00D04E33">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63" w:name="_Toc67328045"/>
            <w:r w:rsidRPr="00935EE7">
              <w:rPr>
                <w:rFonts w:ascii="Arial" w:eastAsia="Times New Roman" w:hAnsi="Arial" w:cs="Arial"/>
                <w:color w:val="000000" w:themeColor="text1"/>
                <w:sz w:val="20"/>
                <w:szCs w:val="20"/>
              </w:rPr>
              <w:t>Odgođena naknada po kreditima</w:t>
            </w:r>
            <w:bookmarkEnd w:id="363"/>
          </w:p>
        </w:tc>
        <w:tc>
          <w:tcPr>
            <w:tcW w:w="910" w:type="pct"/>
            <w:tcBorders>
              <w:top w:val="nil"/>
              <w:left w:val="nil"/>
              <w:bottom w:val="nil"/>
              <w:right w:val="nil"/>
            </w:tcBorders>
            <w:shd w:val="clear" w:color="auto" w:fill="auto"/>
            <w:vAlign w:val="bottom"/>
          </w:tcPr>
          <w:p w14:paraId="71F6988A" w14:textId="438544B4" w:rsidR="00D04E33" w:rsidRPr="008C6203" w:rsidRDefault="008C6203" w:rsidP="00D04E33">
            <w:pPr>
              <w:tabs>
                <w:tab w:val="right" w:pos="1202"/>
              </w:tabs>
              <w:suppressAutoHyphens/>
              <w:autoSpaceDN w:val="0"/>
              <w:spacing w:line="301" w:lineRule="exact"/>
              <w:jc w:val="right"/>
              <w:outlineLvl w:val="0"/>
              <w:rPr>
                <w:rFonts w:ascii="Arial" w:hAnsi="Arial" w:cs="Arial"/>
                <w:sz w:val="20"/>
                <w:szCs w:val="20"/>
              </w:rPr>
            </w:pPr>
            <w:r w:rsidRPr="008C6203">
              <w:rPr>
                <w:rFonts w:ascii="Arial" w:hAnsi="Arial" w:cs="Arial"/>
                <w:sz w:val="20"/>
                <w:szCs w:val="20"/>
              </w:rPr>
              <w:t>(2.936)</w:t>
            </w:r>
          </w:p>
        </w:tc>
        <w:tc>
          <w:tcPr>
            <w:tcW w:w="911" w:type="pct"/>
            <w:tcBorders>
              <w:top w:val="nil"/>
              <w:left w:val="nil"/>
              <w:bottom w:val="nil"/>
              <w:right w:val="nil"/>
            </w:tcBorders>
            <w:shd w:val="clear" w:color="auto" w:fill="auto"/>
            <w:vAlign w:val="bottom"/>
          </w:tcPr>
          <w:p w14:paraId="1C46E2F7" w14:textId="5462DE05" w:rsidR="00D04E33" w:rsidRPr="00935EE7" w:rsidRDefault="00D04E33" w:rsidP="00D04E33">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B5188C">
              <w:rPr>
                <w:rFonts w:ascii="Arial" w:hAnsi="Arial" w:cs="Arial"/>
                <w:color w:val="000000" w:themeColor="text1"/>
                <w:sz w:val="20"/>
              </w:rPr>
              <w:t xml:space="preserve"> (2.607)</w:t>
            </w:r>
          </w:p>
        </w:tc>
      </w:tr>
      <w:tr w:rsidR="008C6203" w:rsidRPr="00935EE7" w14:paraId="53E24692" w14:textId="77777777" w:rsidTr="00296571">
        <w:trPr>
          <w:trHeight w:val="196"/>
        </w:trPr>
        <w:tc>
          <w:tcPr>
            <w:tcW w:w="3179" w:type="pct"/>
            <w:vAlign w:val="bottom"/>
          </w:tcPr>
          <w:p w14:paraId="075C0710" w14:textId="77777777" w:rsidR="008C6203" w:rsidRPr="00935EE7" w:rsidRDefault="008C6203" w:rsidP="008C6203">
            <w:pPr>
              <w:tabs>
                <w:tab w:val="right" w:pos="1202"/>
              </w:tabs>
              <w:suppressAutoHyphens/>
              <w:autoSpaceDN w:val="0"/>
              <w:spacing w:line="340" w:lineRule="exact"/>
              <w:outlineLvl w:val="0"/>
              <w:rPr>
                <w:rFonts w:ascii="Arial" w:eastAsia="Times New Roman" w:hAnsi="Arial" w:cs="Arial"/>
                <w:color w:val="000000" w:themeColor="text1"/>
                <w:sz w:val="20"/>
                <w:szCs w:val="20"/>
              </w:rPr>
            </w:pPr>
          </w:p>
        </w:tc>
        <w:tc>
          <w:tcPr>
            <w:tcW w:w="910" w:type="pct"/>
            <w:tcBorders>
              <w:top w:val="single" w:sz="4" w:space="0" w:color="auto"/>
              <w:bottom w:val="single" w:sz="4" w:space="0" w:color="auto"/>
            </w:tcBorders>
            <w:vAlign w:val="bottom"/>
          </w:tcPr>
          <w:p w14:paraId="7087A5EF" w14:textId="72A14222" w:rsidR="008C6203" w:rsidRPr="008C6203" w:rsidRDefault="008C6203" w:rsidP="008C6203">
            <w:pPr>
              <w:tabs>
                <w:tab w:val="right" w:pos="1202"/>
              </w:tabs>
              <w:suppressAutoHyphens/>
              <w:autoSpaceDN w:val="0"/>
              <w:spacing w:line="340" w:lineRule="exact"/>
              <w:jc w:val="right"/>
              <w:outlineLvl w:val="0"/>
              <w:rPr>
                <w:rFonts w:ascii="Arial" w:hAnsi="Arial" w:cs="Arial"/>
                <w:sz w:val="20"/>
                <w:szCs w:val="20"/>
              </w:rPr>
            </w:pPr>
            <w:r w:rsidRPr="008C6203">
              <w:rPr>
                <w:rFonts w:ascii="Arial" w:hAnsi="Arial" w:cs="Arial"/>
                <w:sz w:val="20"/>
                <w:szCs w:val="20"/>
              </w:rPr>
              <w:t xml:space="preserve"> 1.173.706 </w:t>
            </w:r>
          </w:p>
        </w:tc>
        <w:tc>
          <w:tcPr>
            <w:tcW w:w="911" w:type="pct"/>
            <w:tcBorders>
              <w:top w:val="single" w:sz="4" w:space="0" w:color="auto"/>
              <w:bottom w:val="single" w:sz="4" w:space="0" w:color="auto"/>
            </w:tcBorders>
            <w:vAlign w:val="bottom"/>
          </w:tcPr>
          <w:p w14:paraId="1EF5B9B6" w14:textId="6FEC58D4" w:rsidR="008C6203" w:rsidRPr="00935EE7" w:rsidRDefault="008C6203" w:rsidP="008C6203">
            <w:pPr>
              <w:tabs>
                <w:tab w:val="right" w:pos="1202"/>
              </w:tabs>
              <w:suppressAutoHyphens/>
              <w:autoSpaceDN w:val="0"/>
              <w:spacing w:line="340" w:lineRule="exact"/>
              <w:jc w:val="right"/>
              <w:outlineLvl w:val="0"/>
              <w:rPr>
                <w:rFonts w:ascii="Arial" w:eastAsia="Times New Roman" w:hAnsi="Arial" w:cs="Arial"/>
                <w:color w:val="000000" w:themeColor="text1"/>
                <w:sz w:val="20"/>
                <w:szCs w:val="20"/>
              </w:rPr>
            </w:pPr>
            <w:r w:rsidRPr="00B5188C">
              <w:rPr>
                <w:rFonts w:ascii="Arial" w:hAnsi="Arial" w:cs="Arial"/>
                <w:color w:val="000000" w:themeColor="text1"/>
                <w:sz w:val="20"/>
              </w:rPr>
              <w:t>1.255.608</w:t>
            </w:r>
          </w:p>
        </w:tc>
      </w:tr>
      <w:tr w:rsidR="008C6203" w:rsidRPr="00935EE7" w14:paraId="44C8B6DF" w14:textId="77777777" w:rsidTr="00296571">
        <w:trPr>
          <w:trHeight w:val="205"/>
        </w:trPr>
        <w:tc>
          <w:tcPr>
            <w:tcW w:w="3179" w:type="pct"/>
            <w:vAlign w:val="bottom"/>
          </w:tcPr>
          <w:p w14:paraId="2ABA2582" w14:textId="77777777" w:rsidR="008C6203" w:rsidRPr="00935EE7" w:rsidRDefault="008C6203" w:rsidP="008C6203">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64" w:name="_Toc67328050"/>
            <w:r w:rsidRPr="00935EE7">
              <w:rPr>
                <w:rFonts w:ascii="Arial" w:eastAsia="Times New Roman" w:hAnsi="Arial" w:cs="Arial"/>
                <w:color w:val="000000" w:themeColor="text1"/>
                <w:sz w:val="20"/>
                <w:szCs w:val="20"/>
              </w:rPr>
              <w:t>Rezerviranja za očekivane gubitke</w:t>
            </w:r>
            <w:bookmarkEnd w:id="364"/>
          </w:p>
        </w:tc>
        <w:tc>
          <w:tcPr>
            <w:tcW w:w="910" w:type="pct"/>
            <w:tcBorders>
              <w:top w:val="single" w:sz="4" w:space="0" w:color="auto"/>
              <w:bottom w:val="single" w:sz="4" w:space="0" w:color="auto"/>
            </w:tcBorders>
            <w:vAlign w:val="bottom"/>
          </w:tcPr>
          <w:p w14:paraId="423DB73B" w14:textId="2F72FA94" w:rsidR="008C6203" w:rsidRPr="008C6203" w:rsidRDefault="008C6203" w:rsidP="008C6203">
            <w:pPr>
              <w:tabs>
                <w:tab w:val="right" w:pos="1202"/>
              </w:tabs>
              <w:suppressAutoHyphens/>
              <w:autoSpaceDN w:val="0"/>
              <w:spacing w:line="301" w:lineRule="exact"/>
              <w:jc w:val="right"/>
              <w:outlineLvl w:val="0"/>
              <w:rPr>
                <w:rFonts w:ascii="Arial" w:hAnsi="Arial" w:cs="Arial"/>
                <w:sz w:val="20"/>
                <w:szCs w:val="20"/>
              </w:rPr>
            </w:pPr>
            <w:r w:rsidRPr="008C6203">
              <w:rPr>
                <w:rFonts w:ascii="Arial" w:hAnsi="Arial" w:cs="Arial"/>
                <w:sz w:val="20"/>
                <w:szCs w:val="20"/>
              </w:rPr>
              <w:t xml:space="preserve"> (6.502)</w:t>
            </w:r>
          </w:p>
        </w:tc>
        <w:tc>
          <w:tcPr>
            <w:tcW w:w="911" w:type="pct"/>
            <w:tcBorders>
              <w:top w:val="single" w:sz="4" w:space="0" w:color="auto"/>
              <w:bottom w:val="single" w:sz="4" w:space="0" w:color="auto"/>
            </w:tcBorders>
            <w:vAlign w:val="bottom"/>
          </w:tcPr>
          <w:p w14:paraId="54AB2574" w14:textId="5918B640" w:rsidR="008C6203" w:rsidRPr="00935EE7" w:rsidRDefault="008C6203" w:rsidP="008C6203">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B5188C">
              <w:rPr>
                <w:rFonts w:ascii="Arial" w:hAnsi="Arial" w:cs="Arial"/>
                <w:color w:val="000000" w:themeColor="text1"/>
                <w:sz w:val="20"/>
              </w:rPr>
              <w:t>(6.727)</w:t>
            </w:r>
          </w:p>
        </w:tc>
      </w:tr>
      <w:tr w:rsidR="008C6203" w:rsidRPr="00935EE7" w14:paraId="15919153" w14:textId="77777777" w:rsidTr="00296571">
        <w:trPr>
          <w:trHeight w:val="235"/>
        </w:trPr>
        <w:tc>
          <w:tcPr>
            <w:tcW w:w="3179" w:type="pct"/>
            <w:vAlign w:val="bottom"/>
          </w:tcPr>
          <w:p w14:paraId="631C59C8" w14:textId="77777777" w:rsidR="008C6203" w:rsidRPr="00935EE7" w:rsidRDefault="008C6203" w:rsidP="008C6203">
            <w:pPr>
              <w:tabs>
                <w:tab w:val="right" w:pos="1202"/>
              </w:tabs>
              <w:suppressAutoHyphens/>
              <w:autoSpaceDN w:val="0"/>
              <w:spacing w:line="340" w:lineRule="exact"/>
              <w:outlineLvl w:val="0"/>
              <w:rPr>
                <w:rFonts w:ascii="Arial" w:eastAsia="Times New Roman" w:hAnsi="Arial" w:cs="Arial"/>
                <w:b/>
                <w:bCs/>
                <w:color w:val="000000" w:themeColor="text1"/>
                <w:sz w:val="20"/>
                <w:szCs w:val="20"/>
              </w:rPr>
            </w:pPr>
          </w:p>
        </w:tc>
        <w:tc>
          <w:tcPr>
            <w:tcW w:w="910" w:type="pct"/>
            <w:tcBorders>
              <w:top w:val="single" w:sz="4" w:space="0" w:color="auto"/>
              <w:bottom w:val="single" w:sz="12" w:space="0" w:color="auto"/>
            </w:tcBorders>
            <w:vAlign w:val="bottom"/>
          </w:tcPr>
          <w:p w14:paraId="51AD4684" w14:textId="6903CCB7" w:rsidR="008C6203" w:rsidRPr="008C6203" w:rsidRDefault="008C6203" w:rsidP="008C6203">
            <w:pPr>
              <w:tabs>
                <w:tab w:val="right" w:pos="1202"/>
              </w:tabs>
              <w:suppressAutoHyphens/>
              <w:autoSpaceDN w:val="0"/>
              <w:spacing w:line="340" w:lineRule="exact"/>
              <w:jc w:val="right"/>
              <w:outlineLvl w:val="0"/>
              <w:rPr>
                <w:rFonts w:ascii="Arial" w:hAnsi="Arial" w:cs="Arial"/>
                <w:b/>
                <w:bCs/>
                <w:sz w:val="20"/>
                <w:szCs w:val="20"/>
              </w:rPr>
            </w:pPr>
            <w:r w:rsidRPr="008C6203">
              <w:rPr>
                <w:rFonts w:ascii="Arial" w:hAnsi="Arial" w:cs="Arial"/>
                <w:b/>
                <w:bCs/>
                <w:sz w:val="20"/>
                <w:szCs w:val="20"/>
              </w:rPr>
              <w:t xml:space="preserve"> 1.167.204 </w:t>
            </w:r>
          </w:p>
        </w:tc>
        <w:tc>
          <w:tcPr>
            <w:tcW w:w="911" w:type="pct"/>
            <w:tcBorders>
              <w:top w:val="single" w:sz="4" w:space="0" w:color="auto"/>
              <w:bottom w:val="single" w:sz="12" w:space="0" w:color="auto"/>
            </w:tcBorders>
            <w:vAlign w:val="bottom"/>
          </w:tcPr>
          <w:p w14:paraId="7F770F44" w14:textId="24148B32" w:rsidR="008C6203" w:rsidRPr="00935EE7" w:rsidRDefault="008C6203" w:rsidP="008C6203">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B5188C">
              <w:rPr>
                <w:rFonts w:ascii="Arial" w:hAnsi="Arial" w:cs="Arial"/>
                <w:b/>
                <w:bCs/>
                <w:color w:val="000000" w:themeColor="text1"/>
                <w:sz w:val="20"/>
              </w:rPr>
              <w:t>1.248.881</w:t>
            </w:r>
          </w:p>
        </w:tc>
      </w:tr>
      <w:bookmarkEnd w:id="347"/>
    </w:tbl>
    <w:p w14:paraId="0C80ED1B" w14:textId="77777777" w:rsidR="005D5085" w:rsidRPr="003D1614" w:rsidRDefault="005D5085" w:rsidP="005D5085">
      <w:pPr>
        <w:suppressAutoHyphens/>
        <w:autoSpaceDN w:val="0"/>
        <w:jc w:val="both"/>
        <w:outlineLvl w:val="0"/>
        <w:rPr>
          <w:rFonts w:ascii="Arial" w:eastAsia="Times New Roman" w:hAnsi="Arial" w:cs="Arial"/>
          <w:color w:val="000000" w:themeColor="text1"/>
          <w:sz w:val="20"/>
          <w:szCs w:val="20"/>
        </w:rPr>
      </w:pPr>
    </w:p>
    <w:p w14:paraId="4914D104" w14:textId="3E90228D" w:rsidR="005D5085" w:rsidRPr="003D1614" w:rsidRDefault="005D5085" w:rsidP="005D5085">
      <w:pPr>
        <w:suppressAutoHyphens/>
        <w:autoSpaceDN w:val="0"/>
        <w:jc w:val="both"/>
        <w:outlineLvl w:val="0"/>
        <w:rPr>
          <w:rFonts w:ascii="Arial" w:eastAsia="Times New Roman" w:hAnsi="Arial" w:cs="Arial"/>
          <w:color w:val="000000" w:themeColor="text1"/>
          <w:sz w:val="20"/>
          <w:szCs w:val="20"/>
        </w:rPr>
      </w:pPr>
      <w:r w:rsidRPr="009106C1">
        <w:rPr>
          <w:rFonts w:ascii="Arial" w:eastAsia="Times New Roman" w:hAnsi="Arial" w:cs="Arial"/>
          <w:color w:val="000000" w:themeColor="text1"/>
          <w:sz w:val="20"/>
          <w:szCs w:val="20"/>
        </w:rPr>
        <w:t xml:space="preserve">Prosječne kamatne stope na ukupne kredite financijskim institucijama iskazane su u visini od </w:t>
      </w:r>
      <w:r w:rsidR="00815314" w:rsidRPr="009106C1">
        <w:rPr>
          <w:rFonts w:ascii="Arial" w:eastAsia="Times New Roman" w:hAnsi="Arial" w:cs="Arial"/>
          <w:color w:val="000000" w:themeColor="text1"/>
          <w:sz w:val="20"/>
          <w:szCs w:val="20"/>
        </w:rPr>
        <w:t>0,</w:t>
      </w:r>
      <w:r w:rsidR="0044511A" w:rsidRPr="009106C1">
        <w:rPr>
          <w:rFonts w:ascii="Arial" w:eastAsia="Times New Roman" w:hAnsi="Arial" w:cs="Arial"/>
          <w:color w:val="000000" w:themeColor="text1"/>
          <w:sz w:val="20"/>
          <w:szCs w:val="20"/>
        </w:rPr>
        <w:t>56</w:t>
      </w:r>
      <w:r w:rsidRPr="009106C1">
        <w:rPr>
          <w:rFonts w:ascii="Arial" w:eastAsia="Times New Roman" w:hAnsi="Arial" w:cs="Arial"/>
          <w:color w:val="000000" w:themeColor="text1"/>
          <w:sz w:val="20"/>
          <w:szCs w:val="20"/>
        </w:rPr>
        <w:t xml:space="preserve">% (1. 1. do </w:t>
      </w:r>
      <w:r w:rsidR="00432E8C" w:rsidRPr="009106C1">
        <w:rPr>
          <w:rFonts w:ascii="Arial" w:eastAsia="Times New Roman" w:hAnsi="Arial" w:cs="Arial"/>
          <w:color w:val="000000" w:themeColor="text1"/>
          <w:sz w:val="20"/>
          <w:szCs w:val="20"/>
        </w:rPr>
        <w:t>30</w:t>
      </w:r>
      <w:r w:rsidRPr="009106C1">
        <w:rPr>
          <w:rFonts w:ascii="Arial" w:eastAsia="Times New Roman" w:hAnsi="Arial" w:cs="Arial"/>
          <w:color w:val="000000" w:themeColor="text1"/>
          <w:sz w:val="20"/>
          <w:szCs w:val="20"/>
        </w:rPr>
        <w:t>.</w:t>
      </w:r>
      <w:r w:rsidR="002F4581" w:rsidRPr="009106C1">
        <w:rPr>
          <w:rFonts w:ascii="Arial" w:eastAsia="Times New Roman" w:hAnsi="Arial" w:cs="Arial"/>
          <w:color w:val="000000" w:themeColor="text1"/>
          <w:sz w:val="20"/>
          <w:szCs w:val="20"/>
        </w:rPr>
        <w:t>9</w:t>
      </w:r>
      <w:r w:rsidRPr="009106C1">
        <w:rPr>
          <w:rFonts w:ascii="Arial" w:eastAsia="Times New Roman" w:hAnsi="Arial" w:cs="Arial"/>
          <w:color w:val="000000" w:themeColor="text1"/>
          <w:sz w:val="20"/>
          <w:szCs w:val="20"/>
        </w:rPr>
        <w:t>.202</w:t>
      </w:r>
      <w:r w:rsidR="00D04E33" w:rsidRPr="009106C1">
        <w:rPr>
          <w:rFonts w:ascii="Arial" w:eastAsia="Times New Roman" w:hAnsi="Arial" w:cs="Arial"/>
          <w:color w:val="000000" w:themeColor="text1"/>
          <w:sz w:val="20"/>
          <w:szCs w:val="20"/>
        </w:rPr>
        <w:t>3</w:t>
      </w:r>
      <w:r w:rsidRPr="009106C1">
        <w:rPr>
          <w:rFonts w:ascii="Arial" w:eastAsia="Times New Roman" w:hAnsi="Arial" w:cs="Arial"/>
          <w:color w:val="000000" w:themeColor="text1"/>
          <w:sz w:val="20"/>
          <w:szCs w:val="20"/>
        </w:rPr>
        <w:t>.: 0,3</w:t>
      </w:r>
      <w:r w:rsidR="009106C1" w:rsidRPr="009106C1">
        <w:rPr>
          <w:rFonts w:ascii="Arial" w:eastAsia="Times New Roman" w:hAnsi="Arial" w:cs="Arial"/>
          <w:color w:val="000000" w:themeColor="text1"/>
          <w:sz w:val="20"/>
          <w:szCs w:val="20"/>
        </w:rPr>
        <w:t>3</w:t>
      </w:r>
      <w:r w:rsidRPr="009106C1">
        <w:rPr>
          <w:rFonts w:ascii="Arial" w:eastAsia="Times New Roman" w:hAnsi="Arial" w:cs="Arial"/>
          <w:color w:val="000000" w:themeColor="text1"/>
          <w:sz w:val="20"/>
          <w:szCs w:val="20"/>
        </w:rPr>
        <w:t>%)</w:t>
      </w:r>
      <w:r w:rsidR="00DC73BF" w:rsidRPr="009106C1">
        <w:rPr>
          <w:rFonts w:ascii="Arial" w:eastAsia="Times New Roman" w:hAnsi="Arial" w:cs="Arial"/>
          <w:color w:val="000000" w:themeColor="text1"/>
          <w:sz w:val="20"/>
          <w:szCs w:val="20"/>
        </w:rPr>
        <w:t xml:space="preserve">, </w:t>
      </w:r>
      <w:bookmarkStart w:id="365" w:name="_Hlk135740637"/>
      <w:r w:rsidR="00DC73BF" w:rsidRPr="009106C1">
        <w:rPr>
          <w:rFonts w:ascii="Arial" w:eastAsia="Times New Roman" w:hAnsi="Arial" w:cs="Arial"/>
          <w:color w:val="000000" w:themeColor="text1"/>
          <w:sz w:val="20"/>
          <w:szCs w:val="20"/>
        </w:rPr>
        <w:t xml:space="preserve">a bez rezerve likvidnosti su iskazane u visini </w:t>
      </w:r>
      <w:bookmarkEnd w:id="348"/>
      <w:r w:rsidR="00DC73BF" w:rsidRPr="009106C1">
        <w:rPr>
          <w:rFonts w:ascii="Arial" w:eastAsia="Times New Roman" w:hAnsi="Arial" w:cs="Arial"/>
          <w:color w:val="000000" w:themeColor="text1"/>
          <w:sz w:val="20"/>
          <w:szCs w:val="20"/>
        </w:rPr>
        <w:t>od 0</w:t>
      </w:r>
      <w:r w:rsidR="007573D6" w:rsidRPr="009106C1">
        <w:rPr>
          <w:rFonts w:ascii="Arial" w:eastAsia="Times New Roman" w:hAnsi="Arial" w:cs="Arial"/>
          <w:color w:val="000000" w:themeColor="text1"/>
          <w:sz w:val="20"/>
          <w:szCs w:val="20"/>
        </w:rPr>
        <w:t>,</w:t>
      </w:r>
      <w:r w:rsidR="009106C1" w:rsidRPr="009106C1">
        <w:rPr>
          <w:rFonts w:ascii="Arial" w:eastAsia="Times New Roman" w:hAnsi="Arial" w:cs="Arial"/>
          <w:color w:val="000000" w:themeColor="text1"/>
          <w:sz w:val="20"/>
          <w:szCs w:val="20"/>
        </w:rPr>
        <w:t>48</w:t>
      </w:r>
      <w:r w:rsidR="00DC73BF" w:rsidRPr="009106C1">
        <w:rPr>
          <w:rFonts w:ascii="Arial" w:eastAsia="Times New Roman" w:hAnsi="Arial" w:cs="Arial"/>
          <w:color w:val="000000" w:themeColor="text1"/>
          <w:sz w:val="20"/>
          <w:szCs w:val="20"/>
        </w:rPr>
        <w:t>% (</w:t>
      </w:r>
      <w:r w:rsidR="009F4E11" w:rsidRPr="009106C1">
        <w:rPr>
          <w:rFonts w:ascii="Arial" w:eastAsia="Times New Roman" w:hAnsi="Arial" w:cs="Arial"/>
          <w:color w:val="000000" w:themeColor="text1"/>
          <w:sz w:val="20"/>
          <w:szCs w:val="20"/>
        </w:rPr>
        <w:t>1. 1. do 30.9</w:t>
      </w:r>
      <w:r w:rsidR="009F4E11">
        <w:rPr>
          <w:rFonts w:ascii="Arial" w:eastAsia="Times New Roman" w:hAnsi="Arial" w:cs="Arial"/>
          <w:color w:val="000000" w:themeColor="text1"/>
          <w:sz w:val="20"/>
          <w:szCs w:val="20"/>
        </w:rPr>
        <w:t>.2023.</w:t>
      </w:r>
      <w:r w:rsidR="00DC73BF" w:rsidRPr="009106C1">
        <w:rPr>
          <w:rFonts w:ascii="Arial" w:eastAsia="Times New Roman" w:hAnsi="Arial" w:cs="Arial"/>
          <w:color w:val="000000" w:themeColor="text1"/>
          <w:sz w:val="20"/>
          <w:szCs w:val="20"/>
        </w:rPr>
        <w:t>: 0,3</w:t>
      </w:r>
      <w:r w:rsidR="009106C1" w:rsidRPr="009106C1">
        <w:rPr>
          <w:rFonts w:ascii="Arial" w:eastAsia="Times New Roman" w:hAnsi="Arial" w:cs="Arial"/>
          <w:color w:val="000000" w:themeColor="text1"/>
          <w:sz w:val="20"/>
          <w:szCs w:val="20"/>
        </w:rPr>
        <w:t>0</w:t>
      </w:r>
      <w:r w:rsidR="00DC73BF" w:rsidRPr="009106C1">
        <w:rPr>
          <w:rFonts w:ascii="Arial" w:eastAsia="Times New Roman" w:hAnsi="Arial" w:cs="Arial"/>
          <w:color w:val="000000" w:themeColor="text1"/>
          <w:sz w:val="20"/>
          <w:szCs w:val="20"/>
        </w:rPr>
        <w:t>%).</w:t>
      </w:r>
    </w:p>
    <w:bookmarkEnd w:id="365"/>
    <w:p w14:paraId="3EA366BD" w14:textId="77777777" w:rsidR="005D5085" w:rsidRPr="003D1614" w:rsidRDefault="005D5085" w:rsidP="005D5085">
      <w:pPr>
        <w:suppressAutoHyphens/>
        <w:autoSpaceDN w:val="0"/>
        <w:jc w:val="both"/>
        <w:outlineLvl w:val="0"/>
        <w:rPr>
          <w:rFonts w:ascii="Arial" w:eastAsia="Times New Roman" w:hAnsi="Arial" w:cs="Arial"/>
          <w:color w:val="000000" w:themeColor="text1"/>
          <w:sz w:val="20"/>
          <w:szCs w:val="20"/>
          <w:highlight w:val="yellow"/>
        </w:rPr>
      </w:pPr>
    </w:p>
    <w:p w14:paraId="1DA923CC" w14:textId="77777777" w:rsidR="005D5085" w:rsidRPr="003D1614" w:rsidRDefault="005D5085" w:rsidP="005D5085">
      <w:pPr>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Prosječne kamatne stope odražavaju omjer kamatnih prihoda na navedene plasmane i prosječne imovine.</w:t>
      </w:r>
    </w:p>
    <w:p w14:paraId="7CCF195B" w14:textId="77777777" w:rsidR="005D5085" w:rsidRPr="003D1614" w:rsidRDefault="005D5085" w:rsidP="005D5085">
      <w:pPr>
        <w:suppressAutoHyphens/>
        <w:autoSpaceDN w:val="0"/>
        <w:jc w:val="both"/>
        <w:outlineLvl w:val="0"/>
        <w:rPr>
          <w:rFonts w:ascii="Arial" w:eastAsia="Times New Roman" w:hAnsi="Arial" w:cs="Arial"/>
          <w:color w:val="000000" w:themeColor="text1"/>
          <w:sz w:val="20"/>
          <w:szCs w:val="20"/>
          <w:highlight w:val="yellow"/>
        </w:rPr>
      </w:pPr>
    </w:p>
    <w:p w14:paraId="300CA681" w14:textId="6F68A592" w:rsidR="005D5085" w:rsidRPr="003D1614" w:rsidRDefault="005D5085" w:rsidP="005D5085">
      <w:pPr>
        <w:suppressAutoHyphens/>
        <w:autoSpaceDN w:val="0"/>
        <w:jc w:val="both"/>
        <w:outlineLvl w:val="0"/>
        <w:rPr>
          <w:rFonts w:ascii="Arial" w:eastAsia="Times New Roman" w:hAnsi="Arial" w:cs="Arial"/>
          <w:bCs/>
          <w:color w:val="000000" w:themeColor="text1"/>
          <w:sz w:val="20"/>
          <w:szCs w:val="20"/>
        </w:rPr>
      </w:pPr>
      <w:r w:rsidRPr="00BF76B5">
        <w:rPr>
          <w:rFonts w:ascii="Arial" w:eastAsia="Times New Roman" w:hAnsi="Arial" w:cs="Arial"/>
          <w:color w:val="000000" w:themeColor="text1"/>
          <w:sz w:val="20"/>
          <w:szCs w:val="20"/>
        </w:rPr>
        <w:t xml:space="preserve">Stavka „Ostalo“ sadrži obrnute repo plasmane u ukupnom iznosu </w:t>
      </w:r>
      <w:r w:rsidR="001A2418" w:rsidRPr="00BF76B5">
        <w:rPr>
          <w:rFonts w:ascii="Arial" w:eastAsia="Times New Roman" w:hAnsi="Arial" w:cs="Arial"/>
          <w:color w:val="000000" w:themeColor="text1"/>
          <w:sz w:val="20"/>
          <w:szCs w:val="20"/>
        </w:rPr>
        <w:t>40</w:t>
      </w:r>
      <w:r w:rsidR="00130392" w:rsidRPr="00BF76B5">
        <w:rPr>
          <w:rFonts w:ascii="Arial" w:eastAsia="Times New Roman" w:hAnsi="Arial" w:cs="Arial"/>
          <w:color w:val="000000" w:themeColor="text1"/>
          <w:sz w:val="20"/>
          <w:szCs w:val="20"/>
        </w:rPr>
        <w:t>.</w:t>
      </w:r>
      <w:r w:rsidR="00815314" w:rsidRPr="00BF76B5">
        <w:rPr>
          <w:rFonts w:ascii="Arial" w:eastAsia="Times New Roman" w:hAnsi="Arial" w:cs="Arial"/>
          <w:color w:val="000000" w:themeColor="text1"/>
          <w:sz w:val="20"/>
          <w:szCs w:val="20"/>
        </w:rPr>
        <w:t>000</w:t>
      </w:r>
      <w:r w:rsidRPr="00BF76B5">
        <w:rPr>
          <w:rFonts w:ascii="Arial" w:eastAsia="Times New Roman" w:hAnsi="Arial" w:cs="Arial"/>
          <w:color w:val="000000" w:themeColor="text1"/>
          <w:sz w:val="20"/>
          <w:szCs w:val="20"/>
        </w:rPr>
        <w:t xml:space="preserve"> tisuća eura (31. prosinca 202</w:t>
      </w:r>
      <w:r w:rsidR="006421FD" w:rsidRPr="00BF76B5">
        <w:rPr>
          <w:rFonts w:ascii="Arial" w:eastAsia="Times New Roman" w:hAnsi="Arial" w:cs="Arial"/>
          <w:color w:val="000000" w:themeColor="text1"/>
          <w:sz w:val="20"/>
          <w:szCs w:val="20"/>
        </w:rPr>
        <w:t>3</w:t>
      </w:r>
      <w:r w:rsidRPr="00BF76B5">
        <w:rPr>
          <w:rFonts w:ascii="Arial" w:eastAsia="Times New Roman" w:hAnsi="Arial" w:cs="Arial"/>
          <w:color w:val="000000" w:themeColor="text1"/>
          <w:sz w:val="20"/>
          <w:szCs w:val="20"/>
        </w:rPr>
        <w:t xml:space="preserve">.: </w:t>
      </w:r>
      <w:r w:rsidR="006421FD" w:rsidRPr="00BF76B5">
        <w:rPr>
          <w:rFonts w:ascii="Arial" w:eastAsia="Times New Roman" w:hAnsi="Arial" w:cs="Arial"/>
          <w:color w:val="000000" w:themeColor="text1"/>
          <w:sz w:val="20"/>
          <w:szCs w:val="20"/>
        </w:rPr>
        <w:t>193.00</w:t>
      </w:r>
      <w:r w:rsidRPr="00BF76B5">
        <w:rPr>
          <w:rFonts w:ascii="Arial" w:eastAsia="Times New Roman" w:hAnsi="Arial" w:cs="Arial"/>
          <w:color w:val="000000" w:themeColor="text1"/>
          <w:sz w:val="20"/>
          <w:szCs w:val="20"/>
        </w:rPr>
        <w:t>0  tisuća eura). Ovi su plasmani osigurani vrijednosnim papirima u</w:t>
      </w:r>
      <w:r w:rsidRPr="00BF76B5">
        <w:rPr>
          <w:rFonts w:ascii="Arial" w:eastAsia="Times New Roman" w:hAnsi="Arial" w:cs="Arial"/>
          <w:bCs/>
          <w:color w:val="000000" w:themeColor="text1"/>
          <w:sz w:val="20"/>
          <w:szCs w:val="20"/>
        </w:rPr>
        <w:t xml:space="preserve"> iznosu od </w:t>
      </w:r>
      <w:r w:rsidR="00BB443C" w:rsidRPr="00BF76B5">
        <w:rPr>
          <w:rFonts w:ascii="Arial" w:eastAsia="Times New Roman" w:hAnsi="Arial" w:cs="Arial"/>
          <w:bCs/>
          <w:color w:val="000000" w:themeColor="text1"/>
          <w:sz w:val="20"/>
          <w:szCs w:val="20"/>
        </w:rPr>
        <w:t>42</w:t>
      </w:r>
      <w:r w:rsidR="004878DE" w:rsidRPr="00BF76B5">
        <w:rPr>
          <w:rFonts w:ascii="Arial" w:eastAsia="Times New Roman" w:hAnsi="Arial" w:cs="Arial"/>
          <w:bCs/>
          <w:color w:val="000000" w:themeColor="text1"/>
          <w:sz w:val="20"/>
          <w:szCs w:val="20"/>
        </w:rPr>
        <w:t>.</w:t>
      </w:r>
      <w:r w:rsidR="00BB443C" w:rsidRPr="00BF76B5">
        <w:rPr>
          <w:rFonts w:ascii="Arial" w:eastAsia="Times New Roman" w:hAnsi="Arial" w:cs="Arial"/>
          <w:bCs/>
          <w:color w:val="000000" w:themeColor="text1"/>
          <w:sz w:val="20"/>
          <w:szCs w:val="20"/>
        </w:rPr>
        <w:t>194</w:t>
      </w:r>
      <w:r w:rsidR="00130392" w:rsidRPr="00BF76B5">
        <w:rPr>
          <w:rFonts w:ascii="Arial" w:eastAsia="Times New Roman" w:hAnsi="Arial" w:cs="Arial"/>
          <w:bCs/>
          <w:color w:val="000000" w:themeColor="text1"/>
          <w:sz w:val="20"/>
          <w:szCs w:val="20"/>
        </w:rPr>
        <w:t xml:space="preserve"> </w:t>
      </w:r>
      <w:r w:rsidRPr="00BF76B5">
        <w:rPr>
          <w:rFonts w:ascii="Arial" w:eastAsia="Times New Roman" w:hAnsi="Arial" w:cs="Arial"/>
          <w:bCs/>
          <w:color w:val="000000" w:themeColor="text1"/>
          <w:sz w:val="20"/>
          <w:szCs w:val="20"/>
        </w:rPr>
        <w:t>tisuća eura (31. prosinca 202</w:t>
      </w:r>
      <w:r w:rsidR="006421FD" w:rsidRPr="00BF76B5">
        <w:rPr>
          <w:rFonts w:ascii="Arial" w:eastAsia="Times New Roman" w:hAnsi="Arial" w:cs="Arial"/>
          <w:bCs/>
          <w:color w:val="000000" w:themeColor="text1"/>
          <w:sz w:val="20"/>
          <w:szCs w:val="20"/>
        </w:rPr>
        <w:t>3</w:t>
      </w:r>
      <w:r w:rsidRPr="00BF76B5">
        <w:rPr>
          <w:rFonts w:ascii="Arial" w:eastAsia="Times New Roman" w:hAnsi="Arial" w:cs="Arial"/>
          <w:bCs/>
          <w:color w:val="000000" w:themeColor="text1"/>
          <w:sz w:val="20"/>
          <w:szCs w:val="20"/>
        </w:rPr>
        <w:t xml:space="preserve">.: </w:t>
      </w:r>
      <w:r w:rsidR="006421FD" w:rsidRPr="00BF76B5">
        <w:rPr>
          <w:rFonts w:ascii="Arial" w:eastAsia="Times New Roman" w:hAnsi="Arial" w:cs="Arial"/>
          <w:bCs/>
          <w:color w:val="000000" w:themeColor="text1"/>
          <w:sz w:val="20"/>
          <w:szCs w:val="20"/>
        </w:rPr>
        <w:t>2</w:t>
      </w:r>
      <w:r w:rsidRPr="00BF76B5">
        <w:rPr>
          <w:rFonts w:ascii="Arial" w:eastAsia="Times New Roman" w:hAnsi="Arial" w:cs="Arial"/>
          <w:bCs/>
          <w:color w:val="000000" w:themeColor="text1"/>
          <w:sz w:val="20"/>
          <w:szCs w:val="20"/>
        </w:rPr>
        <w:t>0</w:t>
      </w:r>
      <w:r w:rsidR="006421FD" w:rsidRPr="00BF76B5">
        <w:rPr>
          <w:rFonts w:ascii="Arial" w:eastAsia="Times New Roman" w:hAnsi="Arial" w:cs="Arial"/>
          <w:bCs/>
          <w:color w:val="000000" w:themeColor="text1"/>
          <w:sz w:val="20"/>
          <w:szCs w:val="20"/>
        </w:rPr>
        <w:t>7.190</w:t>
      </w:r>
      <w:r w:rsidRPr="00BF76B5">
        <w:rPr>
          <w:rFonts w:ascii="Arial" w:eastAsia="Times New Roman" w:hAnsi="Arial" w:cs="Arial"/>
          <w:bCs/>
          <w:color w:val="000000" w:themeColor="text1"/>
          <w:sz w:val="20"/>
          <w:szCs w:val="20"/>
        </w:rPr>
        <w:t xml:space="preserve"> tisuća eura).</w:t>
      </w:r>
    </w:p>
    <w:p w14:paraId="62A0BCD8" w14:textId="4B79A893" w:rsidR="001B5068" w:rsidRPr="003D1614" w:rsidRDefault="001B5068" w:rsidP="005D5085">
      <w:pPr>
        <w:suppressAutoHyphens/>
        <w:autoSpaceDN w:val="0"/>
        <w:jc w:val="both"/>
        <w:outlineLvl w:val="0"/>
        <w:rPr>
          <w:rFonts w:ascii="Arial" w:eastAsia="Times New Roman" w:hAnsi="Arial" w:cs="Arial"/>
          <w:bCs/>
          <w:color w:val="000000" w:themeColor="text1"/>
          <w:sz w:val="20"/>
          <w:szCs w:val="20"/>
        </w:rPr>
      </w:pPr>
    </w:p>
    <w:p w14:paraId="0DFCF4FC" w14:textId="77777777" w:rsidR="001B5068" w:rsidRPr="003D1614" w:rsidRDefault="001B5068" w:rsidP="005D5085">
      <w:pPr>
        <w:suppressAutoHyphens/>
        <w:autoSpaceDN w:val="0"/>
        <w:jc w:val="both"/>
        <w:outlineLvl w:val="0"/>
        <w:rPr>
          <w:rFonts w:ascii="Arial" w:eastAsia="Times New Roman" w:hAnsi="Arial" w:cs="Arial"/>
          <w:bCs/>
          <w:color w:val="000000" w:themeColor="text1"/>
          <w:sz w:val="20"/>
          <w:szCs w:val="20"/>
        </w:rPr>
        <w:sectPr w:rsidR="001B5068" w:rsidRPr="003D1614">
          <w:pgSz w:w="11906" w:h="16838"/>
          <w:pgMar w:top="1417" w:right="1417" w:bottom="1417" w:left="1417" w:header="708" w:footer="708" w:gutter="0"/>
          <w:cols w:space="708"/>
          <w:docGrid w:linePitch="360"/>
        </w:sectPr>
      </w:pPr>
    </w:p>
    <w:p w14:paraId="3E1E2441" w14:textId="77777777" w:rsidR="001B5068" w:rsidRPr="003D1614" w:rsidRDefault="001B5068" w:rsidP="001B5068">
      <w:pPr>
        <w:keepNext/>
        <w:suppressAutoHyphens/>
        <w:autoSpaceDN w:val="0"/>
        <w:jc w:val="both"/>
        <w:outlineLvl w:val="0"/>
        <w:rPr>
          <w:rFonts w:ascii="Arial" w:eastAsia="Times New Roman" w:hAnsi="Arial" w:cs="Arial"/>
          <w:b/>
          <w:bCs/>
          <w:color w:val="000000" w:themeColor="text1"/>
          <w:sz w:val="18"/>
          <w:szCs w:val="18"/>
        </w:rPr>
      </w:pPr>
    </w:p>
    <w:p w14:paraId="25619DE4" w14:textId="1A3366E0" w:rsidR="001B5068" w:rsidRPr="003D1614" w:rsidRDefault="001B5068" w:rsidP="001B5068">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1</w:t>
      </w:r>
      <w:r w:rsidR="003D1614">
        <w:rPr>
          <w:rFonts w:ascii="Arial" w:eastAsia="Times New Roman" w:hAnsi="Arial" w:cs="Arial"/>
          <w:b/>
          <w:bCs/>
          <w:color w:val="000000" w:themeColor="text1"/>
          <w:sz w:val="20"/>
          <w:szCs w:val="20"/>
        </w:rPr>
        <w:t>2</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 xml:space="preserve">Krediti ostalim korisnicima </w:t>
      </w:r>
    </w:p>
    <w:p w14:paraId="2CF30A39" w14:textId="77777777" w:rsidR="001B5068" w:rsidRPr="003D1614" w:rsidRDefault="001B5068" w:rsidP="001B5068">
      <w:pPr>
        <w:keepNext/>
        <w:suppressAutoHyphens/>
        <w:autoSpaceDN w:val="0"/>
        <w:jc w:val="both"/>
        <w:outlineLvl w:val="0"/>
        <w:rPr>
          <w:rFonts w:ascii="Arial" w:eastAsia="Times New Roman" w:hAnsi="Arial" w:cs="Arial"/>
          <w:color w:val="000000" w:themeColor="text1"/>
          <w:sz w:val="20"/>
          <w:szCs w:val="20"/>
        </w:rPr>
      </w:pPr>
    </w:p>
    <w:p w14:paraId="02DBF0BF" w14:textId="77777777" w:rsidR="001B5068" w:rsidRPr="003D1614" w:rsidRDefault="001B5068" w:rsidP="001B5068">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Krediti ostalim korisnicima umanjeni za rezerviranja za očekivane gubitke mogu se prikazati po sektorizaciji kako slijedi:</w:t>
      </w:r>
    </w:p>
    <w:p w14:paraId="4AAF802A" w14:textId="77777777" w:rsidR="001B5068" w:rsidRPr="003D1614" w:rsidRDefault="001B5068" w:rsidP="001B5068">
      <w:pPr>
        <w:keepNext/>
        <w:suppressAutoHyphens/>
        <w:autoSpaceDN w:val="0"/>
        <w:jc w:val="both"/>
        <w:outlineLvl w:val="0"/>
        <w:rPr>
          <w:rFonts w:ascii="Arial" w:eastAsia="Times New Roman" w:hAnsi="Arial" w:cs="Arial"/>
          <w:color w:val="000000" w:themeColor="text1"/>
          <w:sz w:val="20"/>
          <w:szCs w:val="20"/>
        </w:rPr>
      </w:pPr>
    </w:p>
    <w:tbl>
      <w:tblPr>
        <w:tblW w:w="4927" w:type="pct"/>
        <w:tblLayout w:type="fixed"/>
        <w:tblCellMar>
          <w:left w:w="119" w:type="dxa"/>
          <w:right w:w="119" w:type="dxa"/>
        </w:tblCellMar>
        <w:tblLook w:val="0000" w:firstRow="0" w:lastRow="0" w:firstColumn="0" w:lastColumn="0" w:noHBand="0" w:noVBand="0"/>
      </w:tblPr>
      <w:tblGrid>
        <w:gridCol w:w="5584"/>
        <w:gridCol w:w="1731"/>
        <w:gridCol w:w="1625"/>
      </w:tblGrid>
      <w:tr w:rsidR="001B5068" w:rsidRPr="00836315" w14:paraId="2EB5A2EA" w14:textId="77777777" w:rsidTr="00836315">
        <w:trPr>
          <w:trHeight w:val="314"/>
        </w:trPr>
        <w:tc>
          <w:tcPr>
            <w:tcW w:w="3123" w:type="pct"/>
            <w:vAlign w:val="bottom"/>
          </w:tcPr>
          <w:p w14:paraId="49D4AE9D" w14:textId="77777777" w:rsidR="001B5068" w:rsidRPr="00836315" w:rsidRDefault="001B5068" w:rsidP="001B5068">
            <w:pPr>
              <w:tabs>
                <w:tab w:val="left" w:pos="-720"/>
              </w:tabs>
              <w:suppressAutoHyphens/>
              <w:autoSpaceDN w:val="0"/>
              <w:spacing w:line="200" w:lineRule="exact"/>
              <w:rPr>
                <w:rFonts w:ascii="Arial" w:eastAsia="Times New Roman" w:hAnsi="Arial" w:cs="Arial"/>
                <w:color w:val="000000" w:themeColor="text1"/>
                <w:spacing w:val="-2"/>
                <w:sz w:val="20"/>
                <w:szCs w:val="20"/>
              </w:rPr>
            </w:pPr>
          </w:p>
        </w:tc>
        <w:tc>
          <w:tcPr>
            <w:tcW w:w="1877" w:type="pct"/>
            <w:gridSpan w:val="2"/>
            <w:vAlign w:val="bottom"/>
          </w:tcPr>
          <w:p w14:paraId="7F3BA854" w14:textId="77777777" w:rsidR="001B5068" w:rsidRPr="00836315" w:rsidRDefault="001B5068" w:rsidP="001B5068">
            <w:pPr>
              <w:tabs>
                <w:tab w:val="right" w:pos="1202"/>
              </w:tabs>
              <w:suppressAutoHyphens/>
              <w:autoSpaceDN w:val="0"/>
              <w:spacing w:line="200" w:lineRule="exact"/>
              <w:jc w:val="right"/>
              <w:outlineLvl w:val="0"/>
              <w:rPr>
                <w:rFonts w:ascii="Arial" w:eastAsia="Times New Roman" w:hAnsi="Arial" w:cs="Arial"/>
                <w:b/>
                <w:color w:val="000000" w:themeColor="text1"/>
                <w:sz w:val="20"/>
                <w:szCs w:val="20"/>
              </w:rPr>
            </w:pPr>
            <w:bookmarkStart w:id="366" w:name="_Toc67328055"/>
            <w:r w:rsidRPr="00836315">
              <w:rPr>
                <w:rFonts w:ascii="Arial" w:eastAsia="Times New Roman" w:hAnsi="Arial" w:cs="Arial"/>
                <w:b/>
                <w:color w:val="000000" w:themeColor="text1"/>
                <w:sz w:val="20"/>
                <w:szCs w:val="20"/>
              </w:rPr>
              <w:t>Grupa i Banka</w:t>
            </w:r>
            <w:bookmarkEnd w:id="366"/>
          </w:p>
        </w:tc>
      </w:tr>
      <w:tr w:rsidR="001B5068" w:rsidRPr="00836315" w14:paraId="3EF257C9" w14:textId="77777777" w:rsidTr="00836315">
        <w:trPr>
          <w:trHeight w:val="314"/>
        </w:trPr>
        <w:tc>
          <w:tcPr>
            <w:tcW w:w="3123" w:type="pct"/>
            <w:vAlign w:val="bottom"/>
          </w:tcPr>
          <w:p w14:paraId="0937C35A" w14:textId="77777777" w:rsidR="001B5068" w:rsidRPr="00836315" w:rsidRDefault="001B5068" w:rsidP="001B5068">
            <w:pPr>
              <w:tabs>
                <w:tab w:val="left" w:pos="-720"/>
              </w:tabs>
              <w:suppressAutoHyphens/>
              <w:autoSpaceDN w:val="0"/>
              <w:spacing w:line="200" w:lineRule="exact"/>
              <w:rPr>
                <w:rFonts w:ascii="Arial" w:eastAsia="Times New Roman" w:hAnsi="Arial" w:cs="Arial"/>
                <w:color w:val="000000" w:themeColor="text1"/>
                <w:spacing w:val="-2"/>
                <w:sz w:val="20"/>
                <w:szCs w:val="20"/>
              </w:rPr>
            </w:pPr>
          </w:p>
        </w:tc>
        <w:tc>
          <w:tcPr>
            <w:tcW w:w="968" w:type="pct"/>
            <w:vAlign w:val="bottom"/>
          </w:tcPr>
          <w:p w14:paraId="0742133E" w14:textId="77777777" w:rsidR="002F4581" w:rsidRDefault="002F4581" w:rsidP="001B5068">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2F4581">
              <w:rPr>
                <w:rFonts w:ascii="Arial" w:eastAsia="Times New Roman" w:hAnsi="Arial" w:cs="Arial"/>
                <w:b/>
                <w:color w:val="000000" w:themeColor="text1"/>
                <w:sz w:val="20"/>
                <w:szCs w:val="20"/>
              </w:rPr>
              <w:t xml:space="preserve">30. rujna </w:t>
            </w:r>
          </w:p>
          <w:p w14:paraId="3B4E0D17" w14:textId="18980A5D" w:rsidR="001B5068" w:rsidRPr="00836315" w:rsidRDefault="002F4581" w:rsidP="001B5068">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2F4581">
              <w:rPr>
                <w:rFonts w:ascii="Arial" w:eastAsia="Times New Roman" w:hAnsi="Arial" w:cs="Arial"/>
                <w:b/>
                <w:color w:val="000000" w:themeColor="text1"/>
                <w:sz w:val="20"/>
                <w:szCs w:val="20"/>
              </w:rPr>
              <w:t>202</w:t>
            </w:r>
            <w:r w:rsidR="000C16F0">
              <w:rPr>
                <w:rFonts w:ascii="Arial" w:eastAsia="Times New Roman" w:hAnsi="Arial" w:cs="Arial"/>
                <w:b/>
                <w:color w:val="000000" w:themeColor="text1"/>
                <w:sz w:val="20"/>
                <w:szCs w:val="20"/>
              </w:rPr>
              <w:t>4</w:t>
            </w:r>
            <w:r w:rsidRPr="002F4581">
              <w:rPr>
                <w:rFonts w:ascii="Arial" w:eastAsia="Times New Roman" w:hAnsi="Arial" w:cs="Arial"/>
                <w:b/>
                <w:color w:val="000000" w:themeColor="text1"/>
                <w:sz w:val="20"/>
                <w:szCs w:val="20"/>
              </w:rPr>
              <w:t>.</w:t>
            </w:r>
          </w:p>
        </w:tc>
        <w:tc>
          <w:tcPr>
            <w:tcW w:w="909" w:type="pct"/>
            <w:vAlign w:val="bottom"/>
          </w:tcPr>
          <w:p w14:paraId="3C590A71" w14:textId="708C20E9" w:rsidR="001B5068" w:rsidRPr="00836315" w:rsidRDefault="001B5068" w:rsidP="001B5068">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367" w:name="_Toc67328057"/>
            <w:r w:rsidRPr="00836315">
              <w:rPr>
                <w:rFonts w:ascii="Arial" w:eastAsia="Times New Roman" w:hAnsi="Arial" w:cs="Arial"/>
                <w:b/>
                <w:color w:val="000000" w:themeColor="text1"/>
                <w:sz w:val="20"/>
                <w:szCs w:val="20"/>
              </w:rPr>
              <w:t>31. prosinca 202</w:t>
            </w:r>
            <w:r w:rsidR="000C16F0">
              <w:rPr>
                <w:rFonts w:ascii="Arial" w:eastAsia="Times New Roman" w:hAnsi="Arial" w:cs="Arial"/>
                <w:b/>
                <w:color w:val="000000" w:themeColor="text1"/>
                <w:sz w:val="20"/>
                <w:szCs w:val="20"/>
              </w:rPr>
              <w:t>3</w:t>
            </w:r>
            <w:r w:rsidRPr="00836315">
              <w:rPr>
                <w:rFonts w:ascii="Arial" w:eastAsia="Times New Roman" w:hAnsi="Arial" w:cs="Arial"/>
                <w:b/>
                <w:color w:val="000000" w:themeColor="text1"/>
                <w:sz w:val="20"/>
                <w:szCs w:val="20"/>
              </w:rPr>
              <w:t>.</w:t>
            </w:r>
            <w:bookmarkEnd w:id="367"/>
          </w:p>
        </w:tc>
      </w:tr>
      <w:tr w:rsidR="001B5068" w:rsidRPr="00836315" w14:paraId="218E877D" w14:textId="77777777" w:rsidTr="00836315">
        <w:trPr>
          <w:trHeight w:val="314"/>
        </w:trPr>
        <w:tc>
          <w:tcPr>
            <w:tcW w:w="3123" w:type="pct"/>
            <w:vAlign w:val="bottom"/>
          </w:tcPr>
          <w:p w14:paraId="721E7F7A" w14:textId="77777777" w:rsidR="001B5068" w:rsidRPr="00836315" w:rsidRDefault="001B5068" w:rsidP="001B5068">
            <w:pPr>
              <w:tabs>
                <w:tab w:val="left" w:pos="-720"/>
              </w:tabs>
              <w:suppressAutoHyphens/>
              <w:autoSpaceDN w:val="0"/>
              <w:spacing w:line="200" w:lineRule="exact"/>
              <w:rPr>
                <w:rFonts w:ascii="Arial" w:eastAsia="Times New Roman" w:hAnsi="Arial" w:cs="Arial"/>
                <w:color w:val="000000" w:themeColor="text1"/>
                <w:spacing w:val="-2"/>
                <w:sz w:val="20"/>
                <w:szCs w:val="20"/>
              </w:rPr>
            </w:pPr>
          </w:p>
        </w:tc>
        <w:tc>
          <w:tcPr>
            <w:tcW w:w="968" w:type="pct"/>
            <w:vAlign w:val="bottom"/>
          </w:tcPr>
          <w:p w14:paraId="170D53C6" w14:textId="7FCFFA7A" w:rsidR="001B5068" w:rsidRPr="00836315" w:rsidRDefault="001B5068" w:rsidP="001B5068">
            <w:pPr>
              <w:tabs>
                <w:tab w:val="right" w:pos="1202"/>
              </w:tabs>
              <w:suppressAutoHyphens/>
              <w:autoSpaceDN w:val="0"/>
              <w:spacing w:line="200" w:lineRule="exact"/>
              <w:jc w:val="right"/>
              <w:outlineLvl w:val="0"/>
              <w:rPr>
                <w:rFonts w:ascii="Arial" w:eastAsia="Times New Roman" w:hAnsi="Arial" w:cs="Arial"/>
                <w:b/>
                <w:color w:val="000000" w:themeColor="text1"/>
                <w:sz w:val="20"/>
                <w:szCs w:val="20"/>
              </w:rPr>
            </w:pPr>
            <w:bookmarkStart w:id="368" w:name="_Toc67328058"/>
            <w:r w:rsidRPr="00836315">
              <w:rPr>
                <w:rFonts w:ascii="Arial" w:eastAsia="Times New Roman" w:hAnsi="Arial" w:cs="Arial"/>
                <w:b/>
                <w:color w:val="000000" w:themeColor="text1"/>
                <w:sz w:val="20"/>
                <w:szCs w:val="20"/>
              </w:rPr>
              <w:t>000 eura</w:t>
            </w:r>
            <w:bookmarkEnd w:id="368"/>
          </w:p>
        </w:tc>
        <w:tc>
          <w:tcPr>
            <w:tcW w:w="909" w:type="pct"/>
            <w:vAlign w:val="bottom"/>
          </w:tcPr>
          <w:p w14:paraId="75538E7F" w14:textId="0778CBDA" w:rsidR="001B5068" w:rsidRPr="00836315" w:rsidRDefault="001B5068" w:rsidP="001B5068">
            <w:pPr>
              <w:tabs>
                <w:tab w:val="right" w:pos="1202"/>
              </w:tabs>
              <w:suppressAutoHyphens/>
              <w:autoSpaceDN w:val="0"/>
              <w:spacing w:line="200" w:lineRule="exact"/>
              <w:jc w:val="right"/>
              <w:outlineLvl w:val="0"/>
              <w:rPr>
                <w:rFonts w:ascii="Arial" w:eastAsia="Times New Roman" w:hAnsi="Arial" w:cs="Arial"/>
                <w:b/>
                <w:color w:val="000000" w:themeColor="text1"/>
                <w:sz w:val="20"/>
                <w:szCs w:val="20"/>
              </w:rPr>
            </w:pPr>
            <w:bookmarkStart w:id="369" w:name="_Toc67328059"/>
            <w:r w:rsidRPr="00836315">
              <w:rPr>
                <w:rFonts w:ascii="Arial" w:eastAsia="Times New Roman" w:hAnsi="Arial" w:cs="Arial"/>
                <w:b/>
                <w:color w:val="000000" w:themeColor="text1"/>
                <w:sz w:val="20"/>
                <w:szCs w:val="20"/>
              </w:rPr>
              <w:t>000 eura</w:t>
            </w:r>
            <w:bookmarkEnd w:id="369"/>
          </w:p>
        </w:tc>
      </w:tr>
      <w:tr w:rsidR="001B5068" w:rsidRPr="00836315" w14:paraId="26D65D68" w14:textId="77777777" w:rsidTr="00836315">
        <w:trPr>
          <w:trHeight w:hRule="exact" w:val="187"/>
        </w:trPr>
        <w:tc>
          <w:tcPr>
            <w:tcW w:w="3123" w:type="pct"/>
            <w:vAlign w:val="bottom"/>
          </w:tcPr>
          <w:p w14:paraId="73F088DE" w14:textId="77777777" w:rsidR="001B5068" w:rsidRPr="00836315" w:rsidRDefault="001B5068" w:rsidP="001B5068">
            <w:pPr>
              <w:tabs>
                <w:tab w:val="left" w:pos="-720"/>
              </w:tabs>
              <w:suppressAutoHyphens/>
              <w:autoSpaceDN w:val="0"/>
              <w:spacing w:line="200" w:lineRule="exact"/>
              <w:jc w:val="right"/>
              <w:rPr>
                <w:rFonts w:ascii="Arial" w:eastAsia="Times New Roman" w:hAnsi="Arial" w:cs="Arial"/>
                <w:color w:val="000000" w:themeColor="text1"/>
                <w:spacing w:val="-2"/>
                <w:sz w:val="20"/>
                <w:szCs w:val="20"/>
              </w:rPr>
            </w:pPr>
          </w:p>
        </w:tc>
        <w:tc>
          <w:tcPr>
            <w:tcW w:w="968" w:type="pct"/>
            <w:vAlign w:val="bottom"/>
          </w:tcPr>
          <w:p w14:paraId="6DBFB145" w14:textId="77777777" w:rsidR="001B5068" w:rsidRPr="00836315" w:rsidRDefault="001B5068" w:rsidP="001B5068">
            <w:pPr>
              <w:tabs>
                <w:tab w:val="left" w:pos="-720"/>
              </w:tabs>
              <w:suppressAutoHyphens/>
              <w:autoSpaceDN w:val="0"/>
              <w:spacing w:line="200" w:lineRule="exact"/>
              <w:rPr>
                <w:rFonts w:ascii="Arial" w:eastAsia="Times New Roman" w:hAnsi="Arial" w:cs="Arial"/>
                <w:b/>
                <w:color w:val="000000" w:themeColor="text1"/>
                <w:spacing w:val="-2"/>
                <w:sz w:val="20"/>
                <w:szCs w:val="20"/>
              </w:rPr>
            </w:pPr>
          </w:p>
        </w:tc>
        <w:tc>
          <w:tcPr>
            <w:tcW w:w="909" w:type="pct"/>
            <w:vAlign w:val="bottom"/>
          </w:tcPr>
          <w:p w14:paraId="6E009162" w14:textId="77777777" w:rsidR="001B5068" w:rsidRPr="00836315" w:rsidRDefault="001B5068" w:rsidP="001B5068">
            <w:pPr>
              <w:tabs>
                <w:tab w:val="left" w:pos="-720"/>
              </w:tabs>
              <w:suppressAutoHyphens/>
              <w:autoSpaceDN w:val="0"/>
              <w:spacing w:line="200" w:lineRule="exact"/>
              <w:jc w:val="right"/>
              <w:rPr>
                <w:rFonts w:ascii="Arial" w:eastAsia="Times New Roman" w:hAnsi="Arial" w:cs="Arial"/>
                <w:b/>
                <w:color w:val="000000" w:themeColor="text1"/>
                <w:spacing w:val="-2"/>
                <w:sz w:val="20"/>
                <w:szCs w:val="20"/>
              </w:rPr>
            </w:pPr>
          </w:p>
        </w:tc>
      </w:tr>
      <w:tr w:rsidR="002A26B6" w:rsidRPr="00836315" w14:paraId="1DC00009" w14:textId="77777777" w:rsidTr="00296571">
        <w:trPr>
          <w:trHeight w:val="283"/>
        </w:trPr>
        <w:tc>
          <w:tcPr>
            <w:tcW w:w="3123" w:type="pct"/>
            <w:vAlign w:val="bottom"/>
          </w:tcPr>
          <w:p w14:paraId="08CA1B8D" w14:textId="77777777" w:rsidR="002A26B6" w:rsidRPr="00836315" w:rsidRDefault="002A26B6" w:rsidP="002A26B6">
            <w:pPr>
              <w:tabs>
                <w:tab w:val="right" w:pos="1202"/>
              </w:tabs>
              <w:suppressAutoHyphens/>
              <w:autoSpaceDN w:val="0"/>
              <w:spacing w:line="301" w:lineRule="exact"/>
              <w:outlineLvl w:val="0"/>
              <w:rPr>
                <w:rFonts w:ascii="Arial" w:eastAsia="Times New Roman" w:hAnsi="Arial" w:cs="Arial"/>
                <w:sz w:val="20"/>
                <w:szCs w:val="20"/>
              </w:rPr>
            </w:pPr>
            <w:bookmarkStart w:id="370" w:name="_Toc67328060"/>
            <w:r w:rsidRPr="00836315">
              <w:rPr>
                <w:rFonts w:ascii="Arial" w:eastAsia="Times New Roman" w:hAnsi="Arial" w:cs="Arial"/>
                <w:sz w:val="20"/>
                <w:szCs w:val="20"/>
              </w:rPr>
              <w:t>Domaća trgovačka društva</w:t>
            </w:r>
            <w:bookmarkEnd w:id="370"/>
          </w:p>
        </w:tc>
        <w:tc>
          <w:tcPr>
            <w:tcW w:w="968" w:type="pct"/>
            <w:tcBorders>
              <w:top w:val="nil"/>
              <w:left w:val="nil"/>
              <w:bottom w:val="nil"/>
              <w:right w:val="nil"/>
            </w:tcBorders>
            <w:shd w:val="clear" w:color="auto" w:fill="auto"/>
            <w:vAlign w:val="bottom"/>
          </w:tcPr>
          <w:p w14:paraId="4C8FAF9D" w14:textId="2DD2AA2E" w:rsidR="002A26B6" w:rsidRPr="00296571" w:rsidRDefault="002A26B6" w:rsidP="002A26B6">
            <w:pPr>
              <w:tabs>
                <w:tab w:val="right" w:pos="1202"/>
              </w:tabs>
              <w:suppressAutoHyphens/>
              <w:autoSpaceDN w:val="0"/>
              <w:spacing w:line="301" w:lineRule="exact"/>
              <w:jc w:val="right"/>
              <w:outlineLvl w:val="0"/>
              <w:rPr>
                <w:rFonts w:ascii="Arial" w:hAnsi="Arial" w:cs="Arial"/>
                <w:sz w:val="20"/>
                <w:szCs w:val="20"/>
              </w:rPr>
            </w:pPr>
            <w:r w:rsidRPr="00296571">
              <w:rPr>
                <w:rFonts w:ascii="Arial" w:hAnsi="Arial" w:cs="Arial"/>
                <w:sz w:val="20"/>
                <w:szCs w:val="20"/>
              </w:rPr>
              <w:t xml:space="preserve"> 1.805.541 </w:t>
            </w:r>
          </w:p>
        </w:tc>
        <w:tc>
          <w:tcPr>
            <w:tcW w:w="909" w:type="pct"/>
            <w:tcBorders>
              <w:top w:val="nil"/>
              <w:left w:val="nil"/>
              <w:bottom w:val="nil"/>
              <w:right w:val="nil"/>
            </w:tcBorders>
            <w:shd w:val="clear" w:color="auto" w:fill="auto"/>
            <w:vAlign w:val="bottom"/>
          </w:tcPr>
          <w:p w14:paraId="3F50E723" w14:textId="26DBFA9D" w:rsidR="002A26B6" w:rsidRPr="00836315" w:rsidRDefault="002A26B6" w:rsidP="002A26B6">
            <w:pPr>
              <w:tabs>
                <w:tab w:val="right" w:pos="1202"/>
              </w:tabs>
              <w:suppressAutoHyphens/>
              <w:autoSpaceDN w:val="0"/>
              <w:spacing w:line="301" w:lineRule="exact"/>
              <w:jc w:val="right"/>
              <w:outlineLvl w:val="0"/>
              <w:rPr>
                <w:rFonts w:ascii="Arial" w:eastAsia="Times New Roman" w:hAnsi="Arial" w:cs="Arial"/>
                <w:sz w:val="20"/>
                <w:szCs w:val="20"/>
              </w:rPr>
            </w:pPr>
            <w:r w:rsidRPr="00EB26D5">
              <w:rPr>
                <w:rFonts w:ascii="Arial" w:hAnsi="Arial" w:cs="Arial"/>
                <w:sz w:val="20"/>
              </w:rPr>
              <w:t xml:space="preserve"> 1.777.568 </w:t>
            </w:r>
          </w:p>
        </w:tc>
      </w:tr>
      <w:tr w:rsidR="002A26B6" w:rsidRPr="00836315" w14:paraId="7CBDCD48" w14:textId="77777777" w:rsidTr="00296571">
        <w:trPr>
          <w:trHeight w:val="283"/>
        </w:trPr>
        <w:tc>
          <w:tcPr>
            <w:tcW w:w="3123" w:type="pct"/>
            <w:vAlign w:val="bottom"/>
          </w:tcPr>
          <w:p w14:paraId="69CE1655" w14:textId="77777777" w:rsidR="002A26B6" w:rsidRPr="00836315" w:rsidRDefault="002A26B6" w:rsidP="002A26B6">
            <w:pPr>
              <w:tabs>
                <w:tab w:val="right" w:pos="1202"/>
              </w:tabs>
              <w:suppressAutoHyphens/>
              <w:autoSpaceDN w:val="0"/>
              <w:spacing w:line="301" w:lineRule="exact"/>
              <w:outlineLvl w:val="0"/>
              <w:rPr>
                <w:rFonts w:ascii="Arial" w:eastAsia="Times New Roman" w:hAnsi="Arial" w:cs="Arial"/>
                <w:sz w:val="20"/>
                <w:szCs w:val="20"/>
              </w:rPr>
            </w:pPr>
            <w:bookmarkStart w:id="371" w:name="_Toc67328063"/>
            <w:r w:rsidRPr="00836315">
              <w:rPr>
                <w:rFonts w:ascii="Arial" w:eastAsia="Times New Roman" w:hAnsi="Arial" w:cs="Arial"/>
                <w:sz w:val="20"/>
                <w:szCs w:val="20"/>
              </w:rPr>
              <w:t>Državna trgovačka društva</w:t>
            </w:r>
            <w:bookmarkEnd w:id="371"/>
          </w:p>
        </w:tc>
        <w:tc>
          <w:tcPr>
            <w:tcW w:w="968" w:type="pct"/>
            <w:tcBorders>
              <w:top w:val="nil"/>
              <w:left w:val="nil"/>
              <w:bottom w:val="nil"/>
              <w:right w:val="nil"/>
            </w:tcBorders>
            <w:shd w:val="clear" w:color="auto" w:fill="auto"/>
            <w:vAlign w:val="bottom"/>
          </w:tcPr>
          <w:p w14:paraId="223BBC82" w14:textId="05D77910" w:rsidR="002A26B6" w:rsidRPr="00296571" w:rsidRDefault="002A26B6" w:rsidP="002A26B6">
            <w:pPr>
              <w:tabs>
                <w:tab w:val="right" w:pos="1202"/>
              </w:tabs>
              <w:suppressAutoHyphens/>
              <w:autoSpaceDN w:val="0"/>
              <w:spacing w:line="301" w:lineRule="exact"/>
              <w:jc w:val="right"/>
              <w:outlineLvl w:val="0"/>
              <w:rPr>
                <w:rFonts w:ascii="Arial" w:hAnsi="Arial" w:cs="Arial"/>
                <w:sz w:val="20"/>
                <w:szCs w:val="20"/>
              </w:rPr>
            </w:pPr>
            <w:r w:rsidRPr="00296571">
              <w:rPr>
                <w:rFonts w:ascii="Arial" w:hAnsi="Arial" w:cs="Arial"/>
                <w:sz w:val="20"/>
                <w:szCs w:val="20"/>
              </w:rPr>
              <w:t xml:space="preserve"> 176.495 </w:t>
            </w:r>
          </w:p>
        </w:tc>
        <w:tc>
          <w:tcPr>
            <w:tcW w:w="909" w:type="pct"/>
            <w:tcBorders>
              <w:top w:val="nil"/>
              <w:left w:val="nil"/>
              <w:bottom w:val="nil"/>
              <w:right w:val="nil"/>
            </w:tcBorders>
            <w:shd w:val="clear" w:color="auto" w:fill="auto"/>
            <w:vAlign w:val="bottom"/>
          </w:tcPr>
          <w:p w14:paraId="68BB83D7" w14:textId="602A11E7" w:rsidR="002A26B6" w:rsidRPr="00836315" w:rsidRDefault="002A26B6" w:rsidP="002A26B6">
            <w:pPr>
              <w:tabs>
                <w:tab w:val="right" w:pos="1202"/>
              </w:tabs>
              <w:suppressAutoHyphens/>
              <w:autoSpaceDN w:val="0"/>
              <w:spacing w:line="301" w:lineRule="exact"/>
              <w:jc w:val="right"/>
              <w:outlineLvl w:val="0"/>
              <w:rPr>
                <w:rFonts w:ascii="Arial" w:eastAsia="Times New Roman" w:hAnsi="Arial" w:cs="Arial"/>
                <w:sz w:val="20"/>
                <w:szCs w:val="20"/>
              </w:rPr>
            </w:pPr>
            <w:r w:rsidRPr="00EB26D5">
              <w:rPr>
                <w:rFonts w:ascii="Arial" w:hAnsi="Arial" w:cs="Arial"/>
                <w:sz w:val="20"/>
              </w:rPr>
              <w:t xml:space="preserve"> 217.424 </w:t>
            </w:r>
          </w:p>
        </w:tc>
      </w:tr>
      <w:tr w:rsidR="002A26B6" w:rsidRPr="00836315" w14:paraId="0A630A46" w14:textId="77777777" w:rsidTr="00296571">
        <w:trPr>
          <w:trHeight w:val="283"/>
        </w:trPr>
        <w:tc>
          <w:tcPr>
            <w:tcW w:w="3123" w:type="pct"/>
            <w:vAlign w:val="bottom"/>
          </w:tcPr>
          <w:p w14:paraId="18793EDE" w14:textId="77777777" w:rsidR="002A26B6" w:rsidRPr="00836315" w:rsidRDefault="002A26B6" w:rsidP="002A26B6">
            <w:pPr>
              <w:tabs>
                <w:tab w:val="right" w:pos="1202"/>
              </w:tabs>
              <w:suppressAutoHyphens/>
              <w:autoSpaceDN w:val="0"/>
              <w:spacing w:line="301" w:lineRule="exact"/>
              <w:outlineLvl w:val="0"/>
              <w:rPr>
                <w:rFonts w:ascii="Arial" w:eastAsia="Times New Roman" w:hAnsi="Arial" w:cs="Arial"/>
                <w:sz w:val="20"/>
                <w:szCs w:val="20"/>
              </w:rPr>
            </w:pPr>
            <w:bookmarkStart w:id="372" w:name="_Toc67328066"/>
            <w:r w:rsidRPr="00836315">
              <w:rPr>
                <w:rFonts w:ascii="Arial" w:eastAsia="Times New Roman" w:hAnsi="Arial" w:cs="Arial"/>
                <w:sz w:val="20"/>
                <w:szCs w:val="20"/>
              </w:rPr>
              <w:t>Javni sektor</w:t>
            </w:r>
            <w:bookmarkEnd w:id="372"/>
          </w:p>
        </w:tc>
        <w:tc>
          <w:tcPr>
            <w:tcW w:w="968" w:type="pct"/>
            <w:tcBorders>
              <w:top w:val="nil"/>
              <w:left w:val="nil"/>
              <w:bottom w:val="nil"/>
              <w:right w:val="nil"/>
            </w:tcBorders>
            <w:shd w:val="clear" w:color="auto" w:fill="auto"/>
            <w:vAlign w:val="bottom"/>
          </w:tcPr>
          <w:p w14:paraId="7E6D79ED" w14:textId="364BFFD4" w:rsidR="002A26B6" w:rsidRPr="00296571" w:rsidRDefault="002A26B6" w:rsidP="002A26B6">
            <w:pPr>
              <w:tabs>
                <w:tab w:val="right" w:pos="1202"/>
              </w:tabs>
              <w:suppressAutoHyphens/>
              <w:autoSpaceDN w:val="0"/>
              <w:spacing w:line="301" w:lineRule="exact"/>
              <w:jc w:val="right"/>
              <w:outlineLvl w:val="0"/>
              <w:rPr>
                <w:rFonts w:ascii="Arial" w:hAnsi="Arial" w:cs="Arial"/>
                <w:sz w:val="20"/>
                <w:szCs w:val="20"/>
              </w:rPr>
            </w:pPr>
            <w:r w:rsidRPr="00296571">
              <w:rPr>
                <w:rFonts w:ascii="Arial" w:hAnsi="Arial" w:cs="Arial"/>
                <w:sz w:val="20"/>
                <w:szCs w:val="20"/>
              </w:rPr>
              <w:t xml:space="preserve"> 737.411 </w:t>
            </w:r>
          </w:p>
        </w:tc>
        <w:tc>
          <w:tcPr>
            <w:tcW w:w="909" w:type="pct"/>
            <w:tcBorders>
              <w:top w:val="nil"/>
              <w:left w:val="nil"/>
              <w:bottom w:val="nil"/>
              <w:right w:val="nil"/>
            </w:tcBorders>
            <w:shd w:val="clear" w:color="auto" w:fill="auto"/>
            <w:vAlign w:val="bottom"/>
          </w:tcPr>
          <w:p w14:paraId="48EB6A8A" w14:textId="48FDC5F3" w:rsidR="002A26B6" w:rsidRPr="00836315" w:rsidRDefault="002A26B6" w:rsidP="002A26B6">
            <w:pPr>
              <w:tabs>
                <w:tab w:val="right" w:pos="1202"/>
              </w:tabs>
              <w:suppressAutoHyphens/>
              <w:autoSpaceDN w:val="0"/>
              <w:spacing w:line="301" w:lineRule="exact"/>
              <w:jc w:val="right"/>
              <w:outlineLvl w:val="0"/>
              <w:rPr>
                <w:rFonts w:ascii="Arial" w:eastAsia="Times New Roman" w:hAnsi="Arial" w:cs="Arial"/>
                <w:sz w:val="20"/>
                <w:szCs w:val="20"/>
              </w:rPr>
            </w:pPr>
            <w:r w:rsidRPr="00EB26D5">
              <w:rPr>
                <w:rFonts w:ascii="Arial" w:hAnsi="Arial" w:cs="Arial"/>
                <w:sz w:val="20"/>
              </w:rPr>
              <w:t xml:space="preserve"> 726.253 </w:t>
            </w:r>
          </w:p>
        </w:tc>
      </w:tr>
      <w:tr w:rsidR="002A26B6" w:rsidRPr="00836315" w14:paraId="2255FF76" w14:textId="77777777" w:rsidTr="00296571">
        <w:trPr>
          <w:trHeight w:val="283"/>
        </w:trPr>
        <w:tc>
          <w:tcPr>
            <w:tcW w:w="3123" w:type="pct"/>
            <w:vAlign w:val="bottom"/>
          </w:tcPr>
          <w:p w14:paraId="148DE69D" w14:textId="77777777" w:rsidR="002A26B6" w:rsidRPr="00836315" w:rsidRDefault="002A26B6" w:rsidP="002A26B6">
            <w:pPr>
              <w:tabs>
                <w:tab w:val="right" w:pos="1202"/>
              </w:tabs>
              <w:suppressAutoHyphens/>
              <w:autoSpaceDN w:val="0"/>
              <w:spacing w:line="301" w:lineRule="exact"/>
              <w:outlineLvl w:val="0"/>
              <w:rPr>
                <w:rFonts w:ascii="Arial" w:eastAsia="Times New Roman" w:hAnsi="Arial" w:cs="Arial"/>
                <w:sz w:val="20"/>
                <w:szCs w:val="20"/>
              </w:rPr>
            </w:pPr>
            <w:bookmarkStart w:id="373" w:name="_Toc67328069"/>
            <w:r w:rsidRPr="00836315">
              <w:rPr>
                <w:rFonts w:ascii="Arial" w:eastAsia="Times New Roman" w:hAnsi="Arial" w:cs="Arial"/>
                <w:sz w:val="20"/>
                <w:szCs w:val="20"/>
              </w:rPr>
              <w:t>Strane pravne osobe</w:t>
            </w:r>
            <w:bookmarkEnd w:id="373"/>
          </w:p>
        </w:tc>
        <w:tc>
          <w:tcPr>
            <w:tcW w:w="968" w:type="pct"/>
            <w:tcBorders>
              <w:top w:val="nil"/>
              <w:left w:val="nil"/>
              <w:bottom w:val="nil"/>
              <w:right w:val="nil"/>
            </w:tcBorders>
            <w:shd w:val="clear" w:color="auto" w:fill="auto"/>
            <w:vAlign w:val="bottom"/>
          </w:tcPr>
          <w:p w14:paraId="22D4DDF1" w14:textId="1CA23784" w:rsidR="002A26B6" w:rsidRPr="00296571" w:rsidRDefault="002A26B6" w:rsidP="002A26B6">
            <w:pPr>
              <w:tabs>
                <w:tab w:val="right" w:pos="1202"/>
              </w:tabs>
              <w:suppressAutoHyphens/>
              <w:autoSpaceDN w:val="0"/>
              <w:spacing w:line="301" w:lineRule="exact"/>
              <w:jc w:val="right"/>
              <w:outlineLvl w:val="0"/>
              <w:rPr>
                <w:rFonts w:ascii="Arial" w:hAnsi="Arial" w:cs="Arial"/>
                <w:sz w:val="20"/>
                <w:szCs w:val="20"/>
              </w:rPr>
            </w:pPr>
            <w:r w:rsidRPr="00296571">
              <w:rPr>
                <w:rFonts w:ascii="Arial" w:hAnsi="Arial" w:cs="Arial"/>
                <w:sz w:val="20"/>
                <w:szCs w:val="20"/>
              </w:rPr>
              <w:t xml:space="preserve"> 6.657 </w:t>
            </w:r>
          </w:p>
        </w:tc>
        <w:tc>
          <w:tcPr>
            <w:tcW w:w="909" w:type="pct"/>
            <w:tcBorders>
              <w:top w:val="nil"/>
              <w:left w:val="nil"/>
              <w:bottom w:val="nil"/>
              <w:right w:val="nil"/>
            </w:tcBorders>
            <w:shd w:val="clear" w:color="auto" w:fill="auto"/>
            <w:vAlign w:val="bottom"/>
          </w:tcPr>
          <w:p w14:paraId="5B533646" w14:textId="4A9FDEDB" w:rsidR="002A26B6" w:rsidRPr="00836315" w:rsidRDefault="002A26B6" w:rsidP="002A26B6">
            <w:pPr>
              <w:tabs>
                <w:tab w:val="right" w:pos="1202"/>
              </w:tabs>
              <w:suppressAutoHyphens/>
              <w:autoSpaceDN w:val="0"/>
              <w:spacing w:line="301" w:lineRule="exact"/>
              <w:jc w:val="right"/>
              <w:outlineLvl w:val="0"/>
              <w:rPr>
                <w:rFonts w:ascii="Arial" w:eastAsia="Times New Roman" w:hAnsi="Arial" w:cs="Arial"/>
                <w:sz w:val="20"/>
                <w:szCs w:val="20"/>
              </w:rPr>
            </w:pPr>
            <w:r w:rsidRPr="00EB26D5">
              <w:rPr>
                <w:rFonts w:ascii="Arial" w:hAnsi="Arial" w:cs="Arial"/>
                <w:sz w:val="20"/>
              </w:rPr>
              <w:t xml:space="preserve"> -    </w:t>
            </w:r>
          </w:p>
        </w:tc>
      </w:tr>
      <w:tr w:rsidR="00296571" w:rsidRPr="00836315" w14:paraId="06C2B938" w14:textId="77777777" w:rsidTr="00296571">
        <w:trPr>
          <w:trHeight w:val="283"/>
        </w:trPr>
        <w:tc>
          <w:tcPr>
            <w:tcW w:w="3123" w:type="pct"/>
            <w:vAlign w:val="bottom"/>
          </w:tcPr>
          <w:p w14:paraId="58361826" w14:textId="77777777" w:rsidR="00296571" w:rsidRPr="00836315" w:rsidRDefault="00296571" w:rsidP="00296571">
            <w:pPr>
              <w:tabs>
                <w:tab w:val="right" w:pos="1202"/>
              </w:tabs>
              <w:suppressAutoHyphens/>
              <w:autoSpaceDN w:val="0"/>
              <w:spacing w:line="301" w:lineRule="exact"/>
              <w:outlineLvl w:val="0"/>
              <w:rPr>
                <w:rFonts w:ascii="Arial" w:eastAsia="Times New Roman" w:hAnsi="Arial" w:cs="Arial"/>
                <w:sz w:val="20"/>
                <w:szCs w:val="20"/>
              </w:rPr>
            </w:pPr>
            <w:bookmarkStart w:id="374" w:name="_Toc67328075"/>
            <w:r w:rsidRPr="00836315">
              <w:rPr>
                <w:rFonts w:ascii="Arial" w:eastAsia="Times New Roman" w:hAnsi="Arial" w:cs="Arial"/>
                <w:sz w:val="20"/>
                <w:szCs w:val="20"/>
              </w:rPr>
              <w:t>Ostali</w:t>
            </w:r>
            <w:bookmarkEnd w:id="374"/>
          </w:p>
        </w:tc>
        <w:tc>
          <w:tcPr>
            <w:tcW w:w="968" w:type="pct"/>
            <w:tcBorders>
              <w:top w:val="nil"/>
              <w:left w:val="nil"/>
              <w:bottom w:val="nil"/>
              <w:right w:val="nil"/>
            </w:tcBorders>
            <w:shd w:val="clear" w:color="auto" w:fill="auto"/>
            <w:vAlign w:val="bottom"/>
          </w:tcPr>
          <w:p w14:paraId="2E49522E" w14:textId="3012CFCE" w:rsidR="00296571" w:rsidRPr="00296571" w:rsidRDefault="00296571" w:rsidP="00296571">
            <w:pPr>
              <w:tabs>
                <w:tab w:val="right" w:pos="1202"/>
              </w:tabs>
              <w:suppressAutoHyphens/>
              <w:autoSpaceDN w:val="0"/>
              <w:spacing w:line="301" w:lineRule="exact"/>
              <w:jc w:val="right"/>
              <w:outlineLvl w:val="0"/>
              <w:rPr>
                <w:rFonts w:ascii="Arial" w:hAnsi="Arial" w:cs="Arial"/>
                <w:sz w:val="20"/>
                <w:szCs w:val="20"/>
              </w:rPr>
            </w:pPr>
            <w:r w:rsidRPr="00296571">
              <w:rPr>
                <w:rFonts w:ascii="Arial" w:hAnsi="Arial" w:cs="Arial"/>
                <w:sz w:val="20"/>
                <w:szCs w:val="20"/>
              </w:rPr>
              <w:t xml:space="preserve"> 57.079 </w:t>
            </w:r>
          </w:p>
        </w:tc>
        <w:tc>
          <w:tcPr>
            <w:tcW w:w="909" w:type="pct"/>
            <w:tcBorders>
              <w:top w:val="nil"/>
              <w:left w:val="nil"/>
              <w:bottom w:val="nil"/>
              <w:right w:val="nil"/>
            </w:tcBorders>
            <w:shd w:val="clear" w:color="auto" w:fill="auto"/>
            <w:vAlign w:val="bottom"/>
          </w:tcPr>
          <w:p w14:paraId="4DE28986" w14:textId="723560C1" w:rsidR="00296571" w:rsidRPr="00836315" w:rsidRDefault="00296571" w:rsidP="00296571">
            <w:pPr>
              <w:tabs>
                <w:tab w:val="right" w:pos="1202"/>
              </w:tabs>
              <w:suppressAutoHyphens/>
              <w:autoSpaceDN w:val="0"/>
              <w:spacing w:line="301" w:lineRule="exact"/>
              <w:jc w:val="right"/>
              <w:outlineLvl w:val="0"/>
              <w:rPr>
                <w:rFonts w:ascii="Arial" w:eastAsia="Times New Roman" w:hAnsi="Arial" w:cs="Arial"/>
                <w:sz w:val="20"/>
                <w:szCs w:val="20"/>
              </w:rPr>
            </w:pPr>
            <w:r w:rsidRPr="00EB26D5">
              <w:rPr>
                <w:rFonts w:ascii="Arial" w:hAnsi="Arial" w:cs="Arial"/>
                <w:sz w:val="20"/>
              </w:rPr>
              <w:t xml:space="preserve"> 62.307 </w:t>
            </w:r>
          </w:p>
        </w:tc>
      </w:tr>
      <w:tr w:rsidR="00296571" w:rsidRPr="00836315" w14:paraId="1E663132" w14:textId="77777777" w:rsidTr="00296571">
        <w:trPr>
          <w:trHeight w:val="283"/>
        </w:trPr>
        <w:tc>
          <w:tcPr>
            <w:tcW w:w="3123" w:type="pct"/>
            <w:vAlign w:val="bottom"/>
          </w:tcPr>
          <w:p w14:paraId="77483D28" w14:textId="77777777" w:rsidR="00296571" w:rsidRPr="00836315" w:rsidRDefault="00296571" w:rsidP="00296571">
            <w:pPr>
              <w:tabs>
                <w:tab w:val="right" w:pos="1202"/>
              </w:tabs>
              <w:suppressAutoHyphens/>
              <w:autoSpaceDN w:val="0"/>
              <w:spacing w:line="301" w:lineRule="exact"/>
              <w:outlineLvl w:val="0"/>
              <w:rPr>
                <w:rFonts w:ascii="Arial" w:eastAsia="Times New Roman" w:hAnsi="Arial" w:cs="Arial"/>
                <w:sz w:val="20"/>
                <w:szCs w:val="20"/>
              </w:rPr>
            </w:pPr>
            <w:bookmarkStart w:id="375" w:name="_Toc67328078"/>
            <w:r w:rsidRPr="00836315">
              <w:rPr>
                <w:rFonts w:ascii="Arial" w:eastAsia="Times New Roman" w:hAnsi="Arial" w:cs="Arial"/>
                <w:sz w:val="20"/>
                <w:szCs w:val="20"/>
              </w:rPr>
              <w:t>Obračunata kamata</w:t>
            </w:r>
            <w:bookmarkEnd w:id="375"/>
          </w:p>
        </w:tc>
        <w:tc>
          <w:tcPr>
            <w:tcW w:w="968" w:type="pct"/>
            <w:tcBorders>
              <w:top w:val="nil"/>
              <w:left w:val="nil"/>
              <w:right w:val="nil"/>
            </w:tcBorders>
            <w:shd w:val="clear" w:color="auto" w:fill="auto"/>
            <w:vAlign w:val="bottom"/>
          </w:tcPr>
          <w:p w14:paraId="295F20FE" w14:textId="5CBAE4A1" w:rsidR="00296571" w:rsidRPr="00296571" w:rsidRDefault="00296571" w:rsidP="00296571">
            <w:pPr>
              <w:tabs>
                <w:tab w:val="right" w:pos="1202"/>
              </w:tabs>
              <w:suppressAutoHyphens/>
              <w:autoSpaceDN w:val="0"/>
              <w:spacing w:line="301" w:lineRule="exact"/>
              <w:jc w:val="right"/>
              <w:outlineLvl w:val="0"/>
              <w:rPr>
                <w:rFonts w:ascii="Arial" w:hAnsi="Arial" w:cs="Arial"/>
                <w:sz w:val="20"/>
                <w:szCs w:val="20"/>
              </w:rPr>
            </w:pPr>
            <w:r w:rsidRPr="00296571">
              <w:rPr>
                <w:rFonts w:ascii="Arial" w:hAnsi="Arial" w:cs="Arial"/>
                <w:sz w:val="20"/>
                <w:szCs w:val="20"/>
              </w:rPr>
              <w:t xml:space="preserve"> 52.693 </w:t>
            </w:r>
          </w:p>
        </w:tc>
        <w:tc>
          <w:tcPr>
            <w:tcW w:w="909" w:type="pct"/>
            <w:tcBorders>
              <w:top w:val="nil"/>
              <w:left w:val="nil"/>
              <w:right w:val="nil"/>
            </w:tcBorders>
            <w:shd w:val="clear" w:color="auto" w:fill="auto"/>
            <w:vAlign w:val="bottom"/>
          </w:tcPr>
          <w:p w14:paraId="418174AF" w14:textId="04CDCD38" w:rsidR="00296571" w:rsidRPr="00836315" w:rsidRDefault="00296571" w:rsidP="00296571">
            <w:pPr>
              <w:tabs>
                <w:tab w:val="right" w:pos="1202"/>
              </w:tabs>
              <w:suppressAutoHyphens/>
              <w:autoSpaceDN w:val="0"/>
              <w:spacing w:line="301" w:lineRule="exact"/>
              <w:jc w:val="right"/>
              <w:outlineLvl w:val="0"/>
              <w:rPr>
                <w:rFonts w:ascii="Arial" w:eastAsia="Times New Roman" w:hAnsi="Arial" w:cs="Arial"/>
                <w:sz w:val="20"/>
                <w:szCs w:val="20"/>
              </w:rPr>
            </w:pPr>
            <w:r w:rsidRPr="00EB26D5">
              <w:rPr>
                <w:rFonts w:ascii="Arial" w:hAnsi="Arial" w:cs="Arial"/>
                <w:sz w:val="20"/>
              </w:rPr>
              <w:t xml:space="preserve"> 47.646 </w:t>
            </w:r>
          </w:p>
        </w:tc>
      </w:tr>
      <w:tr w:rsidR="00296571" w:rsidRPr="00836315" w14:paraId="7E2D5E9B" w14:textId="77777777" w:rsidTr="00296571">
        <w:trPr>
          <w:trHeight w:val="283"/>
        </w:trPr>
        <w:tc>
          <w:tcPr>
            <w:tcW w:w="3123" w:type="pct"/>
            <w:vAlign w:val="bottom"/>
          </w:tcPr>
          <w:p w14:paraId="517A19EA" w14:textId="77777777" w:rsidR="00296571" w:rsidRPr="00836315" w:rsidRDefault="00296571" w:rsidP="00296571">
            <w:pPr>
              <w:tabs>
                <w:tab w:val="right" w:pos="1202"/>
              </w:tabs>
              <w:suppressAutoHyphens/>
              <w:autoSpaceDN w:val="0"/>
              <w:spacing w:line="301" w:lineRule="exact"/>
              <w:outlineLvl w:val="0"/>
              <w:rPr>
                <w:rFonts w:ascii="Arial" w:eastAsia="Times New Roman" w:hAnsi="Arial" w:cs="Arial"/>
                <w:sz w:val="20"/>
                <w:szCs w:val="20"/>
              </w:rPr>
            </w:pPr>
            <w:bookmarkStart w:id="376" w:name="_Toc67328081"/>
            <w:r w:rsidRPr="00836315">
              <w:rPr>
                <w:rFonts w:ascii="Arial" w:eastAsia="Times New Roman" w:hAnsi="Arial" w:cs="Arial"/>
                <w:sz w:val="20"/>
                <w:szCs w:val="20"/>
              </w:rPr>
              <w:t>Odgođena naknada po kreditima</w:t>
            </w:r>
            <w:bookmarkEnd w:id="376"/>
          </w:p>
        </w:tc>
        <w:tc>
          <w:tcPr>
            <w:tcW w:w="968" w:type="pct"/>
            <w:tcBorders>
              <w:top w:val="nil"/>
              <w:left w:val="nil"/>
              <w:right w:val="nil"/>
            </w:tcBorders>
            <w:shd w:val="clear" w:color="auto" w:fill="auto"/>
            <w:vAlign w:val="bottom"/>
          </w:tcPr>
          <w:p w14:paraId="5440FC2D" w14:textId="08E1E9AE" w:rsidR="00296571" w:rsidRPr="00296571" w:rsidRDefault="00296571" w:rsidP="00296571">
            <w:pPr>
              <w:tabs>
                <w:tab w:val="right" w:pos="1202"/>
              </w:tabs>
              <w:suppressAutoHyphens/>
              <w:autoSpaceDN w:val="0"/>
              <w:spacing w:line="301" w:lineRule="exact"/>
              <w:jc w:val="right"/>
              <w:outlineLvl w:val="0"/>
              <w:rPr>
                <w:rFonts w:ascii="Arial" w:hAnsi="Arial" w:cs="Arial"/>
                <w:sz w:val="20"/>
                <w:szCs w:val="20"/>
              </w:rPr>
            </w:pPr>
            <w:r w:rsidRPr="00296571">
              <w:rPr>
                <w:rFonts w:ascii="Arial" w:hAnsi="Arial" w:cs="Arial"/>
                <w:sz w:val="20"/>
                <w:szCs w:val="20"/>
              </w:rPr>
              <w:t xml:space="preserve"> (10.575)</w:t>
            </w:r>
          </w:p>
        </w:tc>
        <w:tc>
          <w:tcPr>
            <w:tcW w:w="909" w:type="pct"/>
            <w:tcBorders>
              <w:top w:val="nil"/>
              <w:left w:val="nil"/>
              <w:right w:val="nil"/>
            </w:tcBorders>
            <w:shd w:val="clear" w:color="auto" w:fill="auto"/>
            <w:vAlign w:val="bottom"/>
          </w:tcPr>
          <w:p w14:paraId="5C171FD7" w14:textId="66468F9E" w:rsidR="00296571" w:rsidRPr="00836315" w:rsidRDefault="00296571" w:rsidP="00296571">
            <w:pPr>
              <w:tabs>
                <w:tab w:val="right" w:pos="1202"/>
              </w:tabs>
              <w:suppressAutoHyphens/>
              <w:autoSpaceDN w:val="0"/>
              <w:spacing w:line="301" w:lineRule="exact"/>
              <w:jc w:val="right"/>
              <w:outlineLvl w:val="0"/>
              <w:rPr>
                <w:rFonts w:ascii="Arial" w:eastAsia="Times New Roman" w:hAnsi="Arial" w:cs="Arial"/>
                <w:sz w:val="20"/>
                <w:szCs w:val="20"/>
              </w:rPr>
            </w:pPr>
            <w:r w:rsidRPr="00EB26D5">
              <w:rPr>
                <w:rFonts w:ascii="Arial" w:hAnsi="Arial" w:cs="Arial"/>
                <w:sz w:val="20"/>
              </w:rPr>
              <w:t>(9.245)</w:t>
            </w:r>
          </w:p>
        </w:tc>
      </w:tr>
      <w:tr w:rsidR="00296571" w:rsidRPr="00836315" w14:paraId="6D16F6C2" w14:textId="77777777" w:rsidTr="00296571">
        <w:trPr>
          <w:trHeight w:val="283"/>
        </w:trPr>
        <w:tc>
          <w:tcPr>
            <w:tcW w:w="3123" w:type="pct"/>
            <w:vAlign w:val="bottom"/>
          </w:tcPr>
          <w:p w14:paraId="2D9368E8" w14:textId="77777777" w:rsidR="00296571" w:rsidRPr="00836315" w:rsidRDefault="00296571" w:rsidP="00296571">
            <w:pPr>
              <w:tabs>
                <w:tab w:val="right" w:pos="1202"/>
              </w:tabs>
              <w:suppressAutoHyphens/>
              <w:autoSpaceDN w:val="0"/>
              <w:spacing w:line="200" w:lineRule="exact"/>
              <w:outlineLvl w:val="0"/>
              <w:rPr>
                <w:rFonts w:ascii="Arial" w:eastAsia="Times New Roman" w:hAnsi="Arial" w:cs="Arial"/>
                <w:color w:val="000000" w:themeColor="text1"/>
                <w:spacing w:val="-3"/>
                <w:sz w:val="20"/>
                <w:szCs w:val="20"/>
              </w:rPr>
            </w:pPr>
          </w:p>
        </w:tc>
        <w:tc>
          <w:tcPr>
            <w:tcW w:w="968" w:type="pct"/>
            <w:tcBorders>
              <w:top w:val="single" w:sz="4" w:space="0" w:color="auto"/>
              <w:bottom w:val="single" w:sz="4" w:space="0" w:color="auto"/>
            </w:tcBorders>
            <w:vAlign w:val="bottom"/>
          </w:tcPr>
          <w:p w14:paraId="0B2C44DB" w14:textId="61FDD324" w:rsidR="00296571" w:rsidRPr="00296571" w:rsidRDefault="00296571" w:rsidP="00296571">
            <w:pPr>
              <w:tabs>
                <w:tab w:val="right" w:pos="1202"/>
              </w:tabs>
              <w:suppressAutoHyphens/>
              <w:autoSpaceDN w:val="0"/>
              <w:spacing w:line="301" w:lineRule="exact"/>
              <w:jc w:val="right"/>
              <w:outlineLvl w:val="0"/>
              <w:rPr>
                <w:rFonts w:ascii="Arial" w:hAnsi="Arial" w:cs="Arial"/>
                <w:sz w:val="20"/>
                <w:szCs w:val="20"/>
              </w:rPr>
            </w:pPr>
            <w:r w:rsidRPr="00296571">
              <w:rPr>
                <w:rFonts w:ascii="Arial" w:hAnsi="Arial" w:cs="Arial"/>
                <w:sz w:val="20"/>
                <w:szCs w:val="20"/>
              </w:rPr>
              <w:t xml:space="preserve"> 2.825.301 </w:t>
            </w:r>
          </w:p>
        </w:tc>
        <w:tc>
          <w:tcPr>
            <w:tcW w:w="909" w:type="pct"/>
            <w:tcBorders>
              <w:top w:val="single" w:sz="4" w:space="0" w:color="auto"/>
              <w:bottom w:val="single" w:sz="4" w:space="0" w:color="auto"/>
            </w:tcBorders>
            <w:vAlign w:val="bottom"/>
          </w:tcPr>
          <w:p w14:paraId="3C5A3E5B" w14:textId="3C009C08" w:rsidR="00296571" w:rsidRPr="00836315" w:rsidRDefault="00296571" w:rsidP="00296571">
            <w:pPr>
              <w:tabs>
                <w:tab w:val="right" w:pos="1202"/>
              </w:tabs>
              <w:suppressAutoHyphens/>
              <w:autoSpaceDN w:val="0"/>
              <w:spacing w:line="301" w:lineRule="exact"/>
              <w:jc w:val="right"/>
              <w:outlineLvl w:val="0"/>
              <w:rPr>
                <w:rFonts w:ascii="Arial" w:eastAsia="Times New Roman" w:hAnsi="Arial" w:cs="Arial"/>
                <w:sz w:val="20"/>
                <w:szCs w:val="20"/>
              </w:rPr>
            </w:pPr>
            <w:r w:rsidRPr="00EB26D5">
              <w:rPr>
                <w:rFonts w:ascii="Arial" w:hAnsi="Arial" w:cs="Arial"/>
                <w:sz w:val="20"/>
                <w:lang w:val="en-US"/>
              </w:rPr>
              <w:t>2.821.953</w:t>
            </w:r>
          </w:p>
        </w:tc>
      </w:tr>
      <w:tr w:rsidR="00296571" w:rsidRPr="00836315" w14:paraId="203FECB2" w14:textId="77777777" w:rsidTr="00296571">
        <w:trPr>
          <w:trHeight w:val="283"/>
        </w:trPr>
        <w:tc>
          <w:tcPr>
            <w:tcW w:w="3123" w:type="pct"/>
            <w:vAlign w:val="bottom"/>
          </w:tcPr>
          <w:p w14:paraId="2505582E" w14:textId="77777777" w:rsidR="00296571" w:rsidRPr="00836315" w:rsidRDefault="00296571" w:rsidP="00296571">
            <w:pPr>
              <w:tabs>
                <w:tab w:val="right" w:pos="1202"/>
              </w:tabs>
              <w:suppressAutoHyphens/>
              <w:autoSpaceDN w:val="0"/>
              <w:spacing w:line="200" w:lineRule="exact"/>
              <w:outlineLvl w:val="0"/>
              <w:rPr>
                <w:rFonts w:ascii="Arial" w:eastAsia="Times New Roman" w:hAnsi="Arial" w:cs="Arial"/>
                <w:color w:val="000000" w:themeColor="text1"/>
                <w:sz w:val="20"/>
                <w:szCs w:val="20"/>
              </w:rPr>
            </w:pPr>
            <w:bookmarkStart w:id="377" w:name="_Toc67328086"/>
            <w:r w:rsidRPr="00836315">
              <w:rPr>
                <w:rFonts w:ascii="Arial" w:eastAsia="Times New Roman" w:hAnsi="Arial" w:cs="Arial"/>
                <w:color w:val="000000" w:themeColor="text1"/>
                <w:sz w:val="20"/>
                <w:szCs w:val="20"/>
              </w:rPr>
              <w:t>Rezerviranja za očekivane gubitke</w:t>
            </w:r>
            <w:bookmarkEnd w:id="377"/>
          </w:p>
        </w:tc>
        <w:tc>
          <w:tcPr>
            <w:tcW w:w="968" w:type="pct"/>
            <w:tcBorders>
              <w:top w:val="single" w:sz="4" w:space="0" w:color="auto"/>
              <w:bottom w:val="single" w:sz="4" w:space="0" w:color="auto"/>
            </w:tcBorders>
            <w:vAlign w:val="bottom"/>
          </w:tcPr>
          <w:p w14:paraId="59149F2C" w14:textId="6199FB92" w:rsidR="00296571" w:rsidRPr="00296571" w:rsidRDefault="00296571" w:rsidP="00296571">
            <w:pPr>
              <w:tabs>
                <w:tab w:val="right" w:pos="1202"/>
              </w:tabs>
              <w:suppressAutoHyphens/>
              <w:autoSpaceDN w:val="0"/>
              <w:spacing w:line="301" w:lineRule="exact"/>
              <w:jc w:val="right"/>
              <w:outlineLvl w:val="0"/>
              <w:rPr>
                <w:rFonts w:ascii="Arial" w:hAnsi="Arial" w:cs="Arial"/>
                <w:sz w:val="20"/>
                <w:szCs w:val="20"/>
              </w:rPr>
            </w:pPr>
            <w:r w:rsidRPr="00296571">
              <w:rPr>
                <w:rFonts w:ascii="Arial" w:hAnsi="Arial" w:cs="Arial"/>
                <w:sz w:val="20"/>
                <w:szCs w:val="20"/>
              </w:rPr>
              <w:t xml:space="preserve"> (463.824)</w:t>
            </w:r>
          </w:p>
        </w:tc>
        <w:tc>
          <w:tcPr>
            <w:tcW w:w="909" w:type="pct"/>
            <w:tcBorders>
              <w:top w:val="single" w:sz="4" w:space="0" w:color="auto"/>
              <w:bottom w:val="single" w:sz="4" w:space="0" w:color="auto"/>
            </w:tcBorders>
            <w:vAlign w:val="bottom"/>
          </w:tcPr>
          <w:p w14:paraId="072B393F" w14:textId="7E6EAD81" w:rsidR="00296571" w:rsidRPr="007478FB" w:rsidRDefault="00296571" w:rsidP="00296571">
            <w:pPr>
              <w:tabs>
                <w:tab w:val="right" w:pos="1202"/>
              </w:tabs>
              <w:suppressAutoHyphens/>
              <w:autoSpaceDN w:val="0"/>
              <w:spacing w:line="301" w:lineRule="exact"/>
              <w:jc w:val="right"/>
              <w:outlineLvl w:val="0"/>
              <w:rPr>
                <w:rFonts w:ascii="Arial" w:hAnsi="Arial" w:cs="Arial"/>
                <w:sz w:val="20"/>
                <w:szCs w:val="20"/>
              </w:rPr>
            </w:pPr>
            <w:r w:rsidRPr="00EB26D5">
              <w:rPr>
                <w:rFonts w:ascii="Arial" w:hAnsi="Arial" w:cs="Arial"/>
                <w:sz w:val="20"/>
                <w:lang w:val="en-US"/>
              </w:rPr>
              <w:t>(470.757)</w:t>
            </w:r>
          </w:p>
        </w:tc>
      </w:tr>
      <w:tr w:rsidR="00296571" w:rsidRPr="00836315" w14:paraId="65223BF9" w14:textId="77777777" w:rsidTr="00296571">
        <w:trPr>
          <w:trHeight w:val="340"/>
        </w:trPr>
        <w:tc>
          <w:tcPr>
            <w:tcW w:w="3123" w:type="pct"/>
            <w:vAlign w:val="bottom"/>
          </w:tcPr>
          <w:p w14:paraId="4F683517" w14:textId="77777777" w:rsidR="00296571" w:rsidRPr="00836315" w:rsidRDefault="00296571" w:rsidP="00296571">
            <w:pPr>
              <w:tabs>
                <w:tab w:val="right" w:pos="1202"/>
              </w:tabs>
              <w:suppressAutoHyphens/>
              <w:autoSpaceDN w:val="0"/>
              <w:spacing w:line="200" w:lineRule="exact"/>
              <w:outlineLvl w:val="0"/>
              <w:rPr>
                <w:rFonts w:ascii="Arial" w:eastAsia="Times New Roman" w:hAnsi="Arial" w:cs="Arial"/>
                <w:b/>
                <w:bCs/>
                <w:color w:val="000000" w:themeColor="text1"/>
                <w:sz w:val="20"/>
                <w:szCs w:val="20"/>
              </w:rPr>
            </w:pPr>
          </w:p>
        </w:tc>
        <w:tc>
          <w:tcPr>
            <w:tcW w:w="968" w:type="pct"/>
            <w:tcBorders>
              <w:top w:val="single" w:sz="4" w:space="0" w:color="auto"/>
              <w:bottom w:val="single" w:sz="12" w:space="0" w:color="auto"/>
            </w:tcBorders>
            <w:vAlign w:val="bottom"/>
          </w:tcPr>
          <w:p w14:paraId="6BC997AF" w14:textId="6B54F4AA" w:rsidR="00296571" w:rsidRPr="00296571" w:rsidRDefault="00296571" w:rsidP="00296571">
            <w:pPr>
              <w:tabs>
                <w:tab w:val="right" w:pos="1202"/>
              </w:tabs>
              <w:suppressAutoHyphens/>
              <w:autoSpaceDN w:val="0"/>
              <w:spacing w:line="301" w:lineRule="exact"/>
              <w:jc w:val="right"/>
              <w:outlineLvl w:val="0"/>
              <w:rPr>
                <w:rFonts w:ascii="Arial" w:hAnsi="Arial" w:cs="Arial"/>
                <w:b/>
                <w:bCs/>
                <w:sz w:val="20"/>
                <w:szCs w:val="20"/>
              </w:rPr>
            </w:pPr>
            <w:r w:rsidRPr="00296571">
              <w:rPr>
                <w:rFonts w:ascii="Arial" w:hAnsi="Arial" w:cs="Arial"/>
                <w:b/>
                <w:bCs/>
                <w:sz w:val="20"/>
                <w:szCs w:val="20"/>
              </w:rPr>
              <w:t xml:space="preserve"> 2.361.477 </w:t>
            </w:r>
          </w:p>
        </w:tc>
        <w:tc>
          <w:tcPr>
            <w:tcW w:w="909" w:type="pct"/>
            <w:tcBorders>
              <w:top w:val="single" w:sz="4" w:space="0" w:color="auto"/>
              <w:bottom w:val="single" w:sz="12" w:space="0" w:color="auto"/>
            </w:tcBorders>
            <w:vAlign w:val="bottom"/>
          </w:tcPr>
          <w:p w14:paraId="2FCCF6BB" w14:textId="77031C74" w:rsidR="00296571" w:rsidRPr="00836315" w:rsidRDefault="00296571" w:rsidP="00296571">
            <w:pPr>
              <w:tabs>
                <w:tab w:val="right" w:pos="1202"/>
              </w:tabs>
              <w:suppressAutoHyphens/>
              <w:autoSpaceDN w:val="0"/>
              <w:spacing w:line="301" w:lineRule="exact"/>
              <w:jc w:val="right"/>
              <w:outlineLvl w:val="0"/>
              <w:rPr>
                <w:rFonts w:ascii="Arial" w:eastAsia="Times New Roman" w:hAnsi="Arial" w:cs="Arial"/>
                <w:b/>
                <w:bCs/>
                <w:sz w:val="20"/>
                <w:szCs w:val="20"/>
              </w:rPr>
            </w:pPr>
            <w:r w:rsidRPr="00EB26D5">
              <w:rPr>
                <w:rFonts w:ascii="Arial" w:hAnsi="Arial" w:cs="Arial"/>
                <w:b/>
                <w:bCs/>
                <w:sz w:val="20"/>
                <w:lang w:val="en-US"/>
              </w:rPr>
              <w:t>2.351.196</w:t>
            </w:r>
          </w:p>
        </w:tc>
      </w:tr>
    </w:tbl>
    <w:p w14:paraId="6D63A9B4" w14:textId="77777777" w:rsidR="001B5068" w:rsidRPr="003D1614" w:rsidRDefault="001B5068" w:rsidP="001B5068">
      <w:pPr>
        <w:keepNext/>
        <w:suppressAutoHyphens/>
        <w:autoSpaceDN w:val="0"/>
        <w:jc w:val="both"/>
        <w:outlineLvl w:val="0"/>
        <w:rPr>
          <w:rFonts w:ascii="Arial" w:eastAsia="Times New Roman" w:hAnsi="Arial" w:cs="Arial"/>
          <w:color w:val="000000" w:themeColor="text1"/>
          <w:sz w:val="20"/>
          <w:szCs w:val="20"/>
        </w:rPr>
      </w:pPr>
    </w:p>
    <w:p w14:paraId="23724DF6" w14:textId="77777777" w:rsidR="001B5068" w:rsidRPr="003D1614" w:rsidRDefault="001B5068" w:rsidP="001B5068">
      <w:pPr>
        <w:keepNext/>
        <w:suppressAutoHyphens/>
        <w:autoSpaceDN w:val="0"/>
        <w:jc w:val="both"/>
        <w:outlineLvl w:val="0"/>
        <w:rPr>
          <w:rFonts w:ascii="Arial" w:eastAsia="Times New Roman" w:hAnsi="Arial" w:cs="Arial"/>
          <w:color w:val="000000" w:themeColor="text1"/>
          <w:sz w:val="20"/>
          <w:szCs w:val="20"/>
        </w:rPr>
      </w:pPr>
    </w:p>
    <w:p w14:paraId="73259BAC" w14:textId="77777777" w:rsidR="001B5068" w:rsidRPr="003D1614" w:rsidRDefault="001B5068" w:rsidP="001B5068">
      <w:pPr>
        <w:suppressAutoHyphens/>
        <w:autoSpaceDN w:val="0"/>
        <w:jc w:val="both"/>
        <w:rPr>
          <w:rFonts w:ascii="Arial" w:eastAsia="Times New Roman" w:hAnsi="Arial" w:cs="Arial"/>
          <w:color w:val="000000" w:themeColor="text1"/>
          <w:sz w:val="20"/>
          <w:szCs w:val="20"/>
        </w:rPr>
      </w:pPr>
      <w:bookmarkStart w:id="378" w:name="_Hlk1482692"/>
      <w:r w:rsidRPr="003D1614">
        <w:rPr>
          <w:rFonts w:ascii="Arial" w:eastAsia="Times New Roman" w:hAnsi="Arial" w:cs="Arial"/>
          <w:color w:val="000000" w:themeColor="text1"/>
          <w:sz w:val="20"/>
          <w:szCs w:val="20"/>
        </w:rPr>
        <w:t>Sljedeće tablice prikazuju informacije o kreditnoj kvaliteti financijske imovine koja se mjeri po amortiziranom trošku. Iznosi u tablici predstavljaju bruto knjigovodstvene iznose:</w:t>
      </w:r>
      <w:bookmarkEnd w:id="378"/>
    </w:p>
    <w:p w14:paraId="04D2165D" w14:textId="77777777" w:rsidR="001B5068" w:rsidRDefault="001B5068" w:rsidP="001B5068">
      <w:pPr>
        <w:suppressAutoHyphens/>
        <w:autoSpaceDN w:val="0"/>
        <w:jc w:val="both"/>
        <w:rPr>
          <w:rFonts w:ascii="Arial" w:eastAsia="Times New Roman" w:hAnsi="Arial" w:cs="Arial"/>
          <w:color w:val="000000" w:themeColor="text1"/>
          <w:sz w:val="20"/>
          <w:szCs w:val="20"/>
        </w:rPr>
      </w:pPr>
    </w:p>
    <w:tbl>
      <w:tblPr>
        <w:tblpPr w:leftFromText="180" w:rightFromText="180" w:vertAnchor="text" w:horzAnchor="margin" w:tblpY="23"/>
        <w:tblW w:w="9499" w:type="dxa"/>
        <w:tblLayout w:type="fixed"/>
        <w:tblLook w:val="04A0" w:firstRow="1" w:lastRow="0" w:firstColumn="1" w:lastColumn="0" w:noHBand="0" w:noVBand="1"/>
      </w:tblPr>
      <w:tblGrid>
        <w:gridCol w:w="1843"/>
        <w:gridCol w:w="1276"/>
        <w:gridCol w:w="1276"/>
        <w:gridCol w:w="1276"/>
        <w:gridCol w:w="1276"/>
        <w:gridCol w:w="1276"/>
        <w:gridCol w:w="1276"/>
      </w:tblGrid>
      <w:tr w:rsidR="007E383D" w:rsidRPr="00C51439" w14:paraId="2EF81851" w14:textId="77777777" w:rsidTr="005E77F6">
        <w:trPr>
          <w:trHeight w:val="50"/>
        </w:trPr>
        <w:tc>
          <w:tcPr>
            <w:tcW w:w="1843" w:type="dxa"/>
            <w:tcBorders>
              <w:top w:val="nil"/>
              <w:left w:val="nil"/>
              <w:bottom w:val="nil"/>
              <w:right w:val="nil"/>
            </w:tcBorders>
            <w:shd w:val="clear" w:color="auto" w:fill="auto"/>
            <w:noWrap/>
            <w:vAlign w:val="bottom"/>
            <w:hideMark/>
          </w:tcPr>
          <w:p w14:paraId="5E2B6F1E" w14:textId="0FA6AC07" w:rsidR="007E383D" w:rsidRPr="00C51439" w:rsidRDefault="007E383D" w:rsidP="005E77F6">
            <w:pPr>
              <w:rPr>
                <w:rFonts w:ascii="Arial" w:hAnsi="Arial" w:cs="Arial"/>
                <w:b/>
                <w:color w:val="000000" w:themeColor="text1"/>
                <w:sz w:val="18"/>
                <w:szCs w:val="18"/>
              </w:rPr>
            </w:pPr>
            <w:r w:rsidRPr="00C51439">
              <w:rPr>
                <w:rFonts w:ascii="Arial" w:hAnsi="Arial" w:cs="Arial"/>
                <w:b/>
                <w:color w:val="000000" w:themeColor="text1"/>
                <w:sz w:val="18"/>
                <w:szCs w:val="18"/>
              </w:rPr>
              <w:t>3</w:t>
            </w:r>
            <w:r>
              <w:rPr>
                <w:rFonts w:ascii="Arial" w:hAnsi="Arial" w:cs="Arial"/>
                <w:b/>
                <w:color w:val="000000" w:themeColor="text1"/>
                <w:sz w:val="18"/>
                <w:szCs w:val="18"/>
              </w:rPr>
              <w:t>0</w:t>
            </w:r>
            <w:r w:rsidRPr="00C51439">
              <w:rPr>
                <w:rFonts w:ascii="Arial" w:hAnsi="Arial" w:cs="Arial"/>
                <w:b/>
                <w:color w:val="000000" w:themeColor="text1"/>
                <w:sz w:val="18"/>
                <w:szCs w:val="18"/>
              </w:rPr>
              <w:t xml:space="preserve">. </w:t>
            </w:r>
            <w:r w:rsidR="00BE6959">
              <w:rPr>
                <w:rFonts w:ascii="Arial" w:hAnsi="Arial" w:cs="Arial"/>
                <w:b/>
                <w:color w:val="000000" w:themeColor="text1"/>
                <w:sz w:val="18"/>
                <w:szCs w:val="18"/>
              </w:rPr>
              <w:t>rujna</w:t>
            </w:r>
            <w:r w:rsidRPr="00C51439">
              <w:rPr>
                <w:rFonts w:ascii="Arial" w:hAnsi="Arial" w:cs="Arial"/>
                <w:b/>
                <w:color w:val="000000" w:themeColor="text1"/>
                <w:sz w:val="18"/>
                <w:szCs w:val="18"/>
              </w:rPr>
              <w:t xml:space="preserve"> 202</w:t>
            </w:r>
            <w:r w:rsidR="00BE6959">
              <w:rPr>
                <w:rFonts w:ascii="Arial" w:hAnsi="Arial" w:cs="Arial"/>
                <w:b/>
                <w:color w:val="000000" w:themeColor="text1"/>
                <w:sz w:val="18"/>
                <w:szCs w:val="18"/>
              </w:rPr>
              <w:t>4</w:t>
            </w:r>
            <w:r w:rsidRPr="00C51439">
              <w:rPr>
                <w:rFonts w:ascii="Arial" w:hAnsi="Arial" w:cs="Arial"/>
                <w:b/>
                <w:color w:val="000000" w:themeColor="text1"/>
                <w:sz w:val="18"/>
                <w:szCs w:val="18"/>
              </w:rPr>
              <w:t xml:space="preserve">.    </w:t>
            </w:r>
          </w:p>
        </w:tc>
        <w:tc>
          <w:tcPr>
            <w:tcW w:w="1276" w:type="dxa"/>
            <w:tcBorders>
              <w:top w:val="nil"/>
              <w:left w:val="nil"/>
              <w:bottom w:val="nil"/>
              <w:right w:val="nil"/>
            </w:tcBorders>
          </w:tcPr>
          <w:p w14:paraId="4352ADC3" w14:textId="77777777" w:rsidR="007E383D" w:rsidRPr="00C51439" w:rsidRDefault="007E383D" w:rsidP="005E77F6">
            <w:pPr>
              <w:jc w:val="right"/>
              <w:rPr>
                <w:rFonts w:ascii="Arial" w:hAnsi="Arial" w:cs="Arial"/>
                <w:b/>
                <w:bCs/>
                <w:color w:val="000000" w:themeColor="text1"/>
                <w:sz w:val="18"/>
                <w:szCs w:val="18"/>
              </w:rPr>
            </w:pPr>
          </w:p>
        </w:tc>
        <w:tc>
          <w:tcPr>
            <w:tcW w:w="6380" w:type="dxa"/>
            <w:gridSpan w:val="5"/>
            <w:tcBorders>
              <w:top w:val="nil"/>
              <w:left w:val="nil"/>
              <w:bottom w:val="nil"/>
              <w:right w:val="nil"/>
            </w:tcBorders>
            <w:shd w:val="clear" w:color="auto" w:fill="auto"/>
            <w:noWrap/>
            <w:vAlign w:val="bottom"/>
            <w:hideMark/>
          </w:tcPr>
          <w:p w14:paraId="55E0DFD7" w14:textId="77777777" w:rsidR="007E383D" w:rsidRPr="00C51439" w:rsidRDefault="007E383D" w:rsidP="005E77F6">
            <w:pPr>
              <w:jc w:val="right"/>
              <w:rPr>
                <w:rFonts w:ascii="Arial" w:hAnsi="Arial" w:cs="Arial"/>
                <w:b/>
                <w:bCs/>
                <w:color w:val="000000" w:themeColor="text1"/>
                <w:sz w:val="18"/>
                <w:szCs w:val="18"/>
              </w:rPr>
            </w:pPr>
            <w:r w:rsidRPr="00C51439">
              <w:rPr>
                <w:rFonts w:ascii="Arial" w:hAnsi="Arial" w:cs="Arial"/>
                <w:b/>
                <w:bCs/>
                <w:color w:val="000000" w:themeColor="text1"/>
                <w:sz w:val="18"/>
                <w:szCs w:val="18"/>
              </w:rPr>
              <w:t>Grupa i Banka</w:t>
            </w:r>
          </w:p>
        </w:tc>
      </w:tr>
      <w:tr w:rsidR="007E383D" w:rsidRPr="00C51439" w14:paraId="3CC3A789" w14:textId="77777777" w:rsidTr="005E77F6">
        <w:trPr>
          <w:trHeight w:val="50"/>
        </w:trPr>
        <w:tc>
          <w:tcPr>
            <w:tcW w:w="1843" w:type="dxa"/>
            <w:tcBorders>
              <w:top w:val="nil"/>
              <w:left w:val="nil"/>
              <w:bottom w:val="nil"/>
              <w:right w:val="nil"/>
            </w:tcBorders>
            <w:shd w:val="clear" w:color="auto" w:fill="auto"/>
            <w:noWrap/>
            <w:vAlign w:val="bottom"/>
            <w:hideMark/>
          </w:tcPr>
          <w:p w14:paraId="7EC9B3C3" w14:textId="77777777" w:rsidR="007E383D" w:rsidRPr="00C51439" w:rsidRDefault="007E383D" w:rsidP="005E77F6">
            <w:pPr>
              <w:jc w:val="right"/>
              <w:rPr>
                <w:rFonts w:ascii="Arial" w:hAnsi="Arial" w:cs="Arial"/>
                <w:b/>
                <w:bCs/>
                <w:color w:val="000000" w:themeColor="text1"/>
                <w:sz w:val="18"/>
                <w:szCs w:val="18"/>
              </w:rPr>
            </w:pPr>
          </w:p>
        </w:tc>
        <w:tc>
          <w:tcPr>
            <w:tcW w:w="1276" w:type="dxa"/>
            <w:tcBorders>
              <w:top w:val="nil"/>
              <w:left w:val="nil"/>
              <w:bottom w:val="nil"/>
              <w:right w:val="nil"/>
            </w:tcBorders>
            <w:shd w:val="clear" w:color="auto" w:fill="auto"/>
            <w:noWrap/>
            <w:vAlign w:val="bottom"/>
            <w:hideMark/>
          </w:tcPr>
          <w:p w14:paraId="1B0245F7" w14:textId="77777777" w:rsidR="007E383D" w:rsidRPr="00C51439" w:rsidRDefault="007E383D" w:rsidP="005E77F6">
            <w:pPr>
              <w:jc w:val="right"/>
              <w:rPr>
                <w:rFonts w:ascii="Arial" w:hAnsi="Arial" w:cs="Arial"/>
                <w:b/>
                <w:bCs/>
                <w:color w:val="000000" w:themeColor="text1"/>
                <w:sz w:val="18"/>
                <w:szCs w:val="18"/>
              </w:rPr>
            </w:pPr>
            <w:r w:rsidRPr="00C51439">
              <w:rPr>
                <w:rFonts w:ascii="Arial" w:hAnsi="Arial" w:cs="Arial"/>
                <w:b/>
                <w:bCs/>
                <w:color w:val="000000" w:themeColor="text1"/>
                <w:sz w:val="18"/>
                <w:szCs w:val="18"/>
              </w:rPr>
              <w:t>Stupanj 1</w:t>
            </w:r>
          </w:p>
        </w:tc>
        <w:tc>
          <w:tcPr>
            <w:tcW w:w="1276" w:type="dxa"/>
            <w:tcBorders>
              <w:top w:val="nil"/>
              <w:left w:val="nil"/>
              <w:bottom w:val="nil"/>
              <w:right w:val="nil"/>
            </w:tcBorders>
            <w:shd w:val="clear" w:color="auto" w:fill="auto"/>
            <w:noWrap/>
            <w:vAlign w:val="bottom"/>
            <w:hideMark/>
          </w:tcPr>
          <w:p w14:paraId="4142CD9A" w14:textId="77777777" w:rsidR="007E383D" w:rsidRPr="00C51439" w:rsidRDefault="007E383D" w:rsidP="005E77F6">
            <w:pPr>
              <w:jc w:val="right"/>
              <w:rPr>
                <w:rFonts w:ascii="Arial" w:hAnsi="Arial" w:cs="Arial"/>
                <w:b/>
                <w:bCs/>
                <w:color w:val="000000" w:themeColor="text1"/>
                <w:sz w:val="18"/>
                <w:szCs w:val="18"/>
              </w:rPr>
            </w:pPr>
            <w:r w:rsidRPr="00C51439">
              <w:rPr>
                <w:rFonts w:ascii="Arial" w:hAnsi="Arial" w:cs="Arial"/>
                <w:b/>
                <w:bCs/>
                <w:color w:val="000000" w:themeColor="text1"/>
                <w:sz w:val="18"/>
                <w:szCs w:val="18"/>
              </w:rPr>
              <w:t>Stupanj 2</w:t>
            </w:r>
          </w:p>
        </w:tc>
        <w:tc>
          <w:tcPr>
            <w:tcW w:w="1276" w:type="dxa"/>
            <w:tcBorders>
              <w:top w:val="nil"/>
              <w:left w:val="nil"/>
              <w:bottom w:val="nil"/>
              <w:right w:val="nil"/>
            </w:tcBorders>
            <w:shd w:val="clear" w:color="auto" w:fill="auto"/>
            <w:noWrap/>
            <w:vAlign w:val="bottom"/>
            <w:hideMark/>
          </w:tcPr>
          <w:p w14:paraId="3AD6619D" w14:textId="77777777" w:rsidR="007E383D" w:rsidRPr="00C51439" w:rsidRDefault="007E383D" w:rsidP="005E77F6">
            <w:pPr>
              <w:jc w:val="right"/>
              <w:rPr>
                <w:rFonts w:ascii="Arial" w:hAnsi="Arial" w:cs="Arial"/>
                <w:b/>
                <w:bCs/>
                <w:color w:val="000000" w:themeColor="text1"/>
                <w:sz w:val="18"/>
                <w:szCs w:val="18"/>
              </w:rPr>
            </w:pPr>
            <w:r w:rsidRPr="00C51439">
              <w:rPr>
                <w:rFonts w:ascii="Arial" w:hAnsi="Arial" w:cs="Arial"/>
                <w:b/>
                <w:bCs/>
                <w:color w:val="000000" w:themeColor="text1"/>
                <w:sz w:val="18"/>
                <w:szCs w:val="18"/>
              </w:rPr>
              <w:t>Stupanj 3</w:t>
            </w:r>
          </w:p>
        </w:tc>
        <w:tc>
          <w:tcPr>
            <w:tcW w:w="2552" w:type="dxa"/>
            <w:gridSpan w:val="2"/>
            <w:tcBorders>
              <w:top w:val="nil"/>
              <w:left w:val="nil"/>
              <w:bottom w:val="nil"/>
              <w:right w:val="nil"/>
            </w:tcBorders>
          </w:tcPr>
          <w:p w14:paraId="4D6BA79D" w14:textId="77777777" w:rsidR="007E383D" w:rsidRPr="008A2337" w:rsidRDefault="007E383D" w:rsidP="005E77F6">
            <w:pPr>
              <w:jc w:val="center"/>
              <w:rPr>
                <w:rFonts w:ascii="Arial" w:hAnsi="Arial" w:cs="Arial"/>
                <w:b/>
                <w:bCs/>
                <w:color w:val="000000" w:themeColor="text1"/>
                <w:sz w:val="18"/>
                <w:szCs w:val="18"/>
              </w:rPr>
            </w:pPr>
            <w:r w:rsidRPr="008A2337">
              <w:rPr>
                <w:rFonts w:ascii="Arial" w:hAnsi="Arial" w:cs="Arial"/>
                <w:b/>
                <w:bCs/>
                <w:color w:val="000000" w:themeColor="text1"/>
                <w:sz w:val="18"/>
                <w:szCs w:val="18"/>
              </w:rPr>
              <w:t>POCI</w:t>
            </w:r>
          </w:p>
        </w:tc>
        <w:tc>
          <w:tcPr>
            <w:tcW w:w="1276" w:type="dxa"/>
            <w:tcBorders>
              <w:top w:val="nil"/>
              <w:left w:val="nil"/>
              <w:bottom w:val="nil"/>
              <w:right w:val="nil"/>
            </w:tcBorders>
            <w:shd w:val="clear" w:color="auto" w:fill="auto"/>
            <w:noWrap/>
            <w:vAlign w:val="bottom"/>
            <w:hideMark/>
          </w:tcPr>
          <w:p w14:paraId="360A1B3C" w14:textId="77777777" w:rsidR="007E383D" w:rsidRPr="00C51439" w:rsidRDefault="007E383D" w:rsidP="005E77F6">
            <w:pPr>
              <w:jc w:val="right"/>
              <w:rPr>
                <w:rFonts w:ascii="Arial" w:hAnsi="Arial" w:cs="Arial"/>
                <w:b/>
                <w:bCs/>
                <w:color w:val="000000" w:themeColor="text1"/>
                <w:sz w:val="18"/>
                <w:szCs w:val="18"/>
              </w:rPr>
            </w:pPr>
            <w:r w:rsidRPr="00C51439">
              <w:rPr>
                <w:rFonts w:ascii="Arial" w:hAnsi="Arial" w:cs="Arial"/>
                <w:b/>
                <w:bCs/>
                <w:color w:val="000000" w:themeColor="text1"/>
                <w:sz w:val="18"/>
                <w:szCs w:val="18"/>
              </w:rPr>
              <w:t>Ukupno</w:t>
            </w:r>
          </w:p>
        </w:tc>
      </w:tr>
      <w:tr w:rsidR="007E383D" w:rsidRPr="00C51439" w14:paraId="09B5DE83" w14:textId="77777777" w:rsidTr="005E77F6">
        <w:trPr>
          <w:trHeight w:val="50"/>
        </w:trPr>
        <w:tc>
          <w:tcPr>
            <w:tcW w:w="1843" w:type="dxa"/>
            <w:tcBorders>
              <w:top w:val="nil"/>
              <w:left w:val="nil"/>
              <w:bottom w:val="nil"/>
              <w:right w:val="nil"/>
            </w:tcBorders>
            <w:shd w:val="clear" w:color="auto" w:fill="auto"/>
            <w:noWrap/>
            <w:vAlign w:val="bottom"/>
          </w:tcPr>
          <w:p w14:paraId="38FF0B56" w14:textId="77777777" w:rsidR="007E383D" w:rsidRPr="00C51439" w:rsidRDefault="007E383D" w:rsidP="005E77F6">
            <w:pPr>
              <w:jc w:val="right"/>
              <w:rPr>
                <w:rFonts w:ascii="Arial" w:hAnsi="Arial" w:cs="Arial"/>
                <w:b/>
                <w:bCs/>
                <w:color w:val="000000" w:themeColor="text1"/>
                <w:sz w:val="18"/>
                <w:szCs w:val="18"/>
              </w:rPr>
            </w:pPr>
          </w:p>
        </w:tc>
        <w:tc>
          <w:tcPr>
            <w:tcW w:w="1276" w:type="dxa"/>
            <w:tcBorders>
              <w:top w:val="nil"/>
              <w:left w:val="nil"/>
              <w:bottom w:val="nil"/>
              <w:right w:val="nil"/>
            </w:tcBorders>
            <w:shd w:val="clear" w:color="auto" w:fill="auto"/>
            <w:noWrap/>
            <w:vAlign w:val="bottom"/>
          </w:tcPr>
          <w:p w14:paraId="2B62B08B" w14:textId="77777777" w:rsidR="007E383D" w:rsidRPr="00C51439" w:rsidRDefault="007E383D" w:rsidP="005E77F6">
            <w:pPr>
              <w:jc w:val="right"/>
              <w:rPr>
                <w:rFonts w:ascii="Arial" w:hAnsi="Arial" w:cs="Arial"/>
                <w:b/>
                <w:bCs/>
                <w:color w:val="000000" w:themeColor="text1"/>
                <w:sz w:val="18"/>
                <w:szCs w:val="18"/>
              </w:rPr>
            </w:pPr>
          </w:p>
        </w:tc>
        <w:tc>
          <w:tcPr>
            <w:tcW w:w="1276" w:type="dxa"/>
            <w:tcBorders>
              <w:top w:val="nil"/>
              <w:left w:val="nil"/>
              <w:bottom w:val="nil"/>
              <w:right w:val="nil"/>
            </w:tcBorders>
            <w:shd w:val="clear" w:color="auto" w:fill="auto"/>
            <w:noWrap/>
            <w:vAlign w:val="bottom"/>
          </w:tcPr>
          <w:p w14:paraId="041B9739" w14:textId="77777777" w:rsidR="007E383D" w:rsidRPr="00C51439" w:rsidRDefault="007E383D" w:rsidP="005E77F6">
            <w:pPr>
              <w:jc w:val="right"/>
              <w:rPr>
                <w:rFonts w:ascii="Arial" w:hAnsi="Arial" w:cs="Arial"/>
                <w:b/>
                <w:bCs/>
                <w:color w:val="000000" w:themeColor="text1"/>
                <w:sz w:val="18"/>
                <w:szCs w:val="18"/>
              </w:rPr>
            </w:pPr>
          </w:p>
        </w:tc>
        <w:tc>
          <w:tcPr>
            <w:tcW w:w="1276" w:type="dxa"/>
            <w:tcBorders>
              <w:top w:val="nil"/>
              <w:left w:val="nil"/>
              <w:bottom w:val="nil"/>
              <w:right w:val="nil"/>
            </w:tcBorders>
            <w:shd w:val="clear" w:color="auto" w:fill="auto"/>
            <w:noWrap/>
            <w:vAlign w:val="bottom"/>
          </w:tcPr>
          <w:p w14:paraId="31850734" w14:textId="77777777" w:rsidR="007E383D" w:rsidRPr="00C51439" w:rsidRDefault="007E383D" w:rsidP="005E77F6">
            <w:pPr>
              <w:jc w:val="right"/>
              <w:rPr>
                <w:rFonts w:ascii="Arial" w:hAnsi="Arial" w:cs="Arial"/>
                <w:b/>
                <w:bCs/>
                <w:color w:val="000000" w:themeColor="text1"/>
                <w:sz w:val="18"/>
                <w:szCs w:val="18"/>
              </w:rPr>
            </w:pPr>
          </w:p>
        </w:tc>
        <w:tc>
          <w:tcPr>
            <w:tcW w:w="1276" w:type="dxa"/>
            <w:tcBorders>
              <w:top w:val="nil"/>
              <w:left w:val="nil"/>
              <w:bottom w:val="nil"/>
              <w:right w:val="nil"/>
            </w:tcBorders>
            <w:shd w:val="clear" w:color="auto" w:fill="auto"/>
            <w:vAlign w:val="bottom"/>
          </w:tcPr>
          <w:p w14:paraId="577210C8" w14:textId="77777777" w:rsidR="007E383D" w:rsidRPr="00F959D0" w:rsidRDefault="007E383D" w:rsidP="005E77F6">
            <w:pPr>
              <w:jc w:val="right"/>
              <w:rPr>
                <w:rFonts w:ascii="Arial" w:hAnsi="Arial" w:cs="Arial"/>
                <w:b/>
                <w:bCs/>
                <w:color w:val="000000" w:themeColor="text1"/>
                <w:sz w:val="18"/>
                <w:szCs w:val="18"/>
              </w:rPr>
            </w:pPr>
            <w:r w:rsidRPr="008A2337">
              <w:rPr>
                <w:rFonts w:ascii="Arial" w:hAnsi="Arial" w:cs="Arial"/>
                <w:b/>
                <w:bCs/>
                <w:color w:val="000000" w:themeColor="text1"/>
                <w:sz w:val="18"/>
                <w:szCs w:val="18"/>
              </w:rPr>
              <w:t>Stupanj 2</w:t>
            </w:r>
          </w:p>
        </w:tc>
        <w:tc>
          <w:tcPr>
            <w:tcW w:w="1276" w:type="dxa"/>
            <w:tcBorders>
              <w:top w:val="nil"/>
              <w:left w:val="nil"/>
              <w:bottom w:val="nil"/>
              <w:right w:val="nil"/>
            </w:tcBorders>
            <w:shd w:val="clear" w:color="auto" w:fill="auto"/>
            <w:vAlign w:val="bottom"/>
          </w:tcPr>
          <w:p w14:paraId="4DFAC004" w14:textId="77777777" w:rsidR="007E383D" w:rsidRPr="00F959D0" w:rsidRDefault="007E383D" w:rsidP="005E77F6">
            <w:pPr>
              <w:jc w:val="right"/>
              <w:rPr>
                <w:rFonts w:ascii="Arial" w:hAnsi="Arial" w:cs="Arial"/>
                <w:b/>
                <w:bCs/>
                <w:color w:val="000000" w:themeColor="text1"/>
                <w:sz w:val="18"/>
                <w:szCs w:val="18"/>
              </w:rPr>
            </w:pPr>
            <w:r w:rsidRPr="008A2337">
              <w:rPr>
                <w:rFonts w:ascii="Arial" w:hAnsi="Arial" w:cs="Arial"/>
                <w:b/>
                <w:bCs/>
                <w:color w:val="000000" w:themeColor="text1"/>
                <w:sz w:val="18"/>
                <w:szCs w:val="18"/>
              </w:rPr>
              <w:t>Stupanj 3</w:t>
            </w:r>
          </w:p>
        </w:tc>
        <w:tc>
          <w:tcPr>
            <w:tcW w:w="1276" w:type="dxa"/>
            <w:tcBorders>
              <w:top w:val="nil"/>
              <w:left w:val="nil"/>
              <w:bottom w:val="nil"/>
              <w:right w:val="nil"/>
            </w:tcBorders>
            <w:shd w:val="clear" w:color="auto" w:fill="auto"/>
            <w:noWrap/>
            <w:vAlign w:val="bottom"/>
          </w:tcPr>
          <w:p w14:paraId="27A540DB" w14:textId="77777777" w:rsidR="007E383D" w:rsidRPr="00C51439" w:rsidRDefault="007E383D" w:rsidP="005E77F6">
            <w:pPr>
              <w:jc w:val="right"/>
              <w:rPr>
                <w:rFonts w:ascii="Arial" w:hAnsi="Arial" w:cs="Arial"/>
                <w:b/>
                <w:bCs/>
                <w:color w:val="000000" w:themeColor="text1"/>
                <w:sz w:val="18"/>
                <w:szCs w:val="18"/>
              </w:rPr>
            </w:pPr>
          </w:p>
        </w:tc>
      </w:tr>
      <w:tr w:rsidR="007E383D" w:rsidRPr="00C51439" w14:paraId="36AA4E21" w14:textId="77777777" w:rsidTr="005E77F6">
        <w:trPr>
          <w:trHeight w:val="50"/>
        </w:trPr>
        <w:tc>
          <w:tcPr>
            <w:tcW w:w="1843" w:type="dxa"/>
            <w:tcBorders>
              <w:top w:val="nil"/>
              <w:left w:val="nil"/>
              <w:bottom w:val="nil"/>
              <w:right w:val="nil"/>
            </w:tcBorders>
            <w:shd w:val="clear" w:color="auto" w:fill="auto"/>
            <w:noWrap/>
            <w:vAlign w:val="bottom"/>
            <w:hideMark/>
          </w:tcPr>
          <w:p w14:paraId="21260FF9" w14:textId="77777777" w:rsidR="007E383D" w:rsidRPr="00C51439" w:rsidRDefault="007E383D" w:rsidP="005E77F6">
            <w:pPr>
              <w:jc w:val="right"/>
              <w:rPr>
                <w:rFonts w:ascii="Arial" w:hAnsi="Arial" w:cs="Arial"/>
                <w:b/>
                <w:bCs/>
                <w:color w:val="000000" w:themeColor="text1"/>
                <w:sz w:val="18"/>
                <w:szCs w:val="18"/>
              </w:rPr>
            </w:pPr>
          </w:p>
        </w:tc>
        <w:tc>
          <w:tcPr>
            <w:tcW w:w="1276" w:type="dxa"/>
            <w:tcBorders>
              <w:top w:val="nil"/>
              <w:left w:val="nil"/>
              <w:bottom w:val="nil"/>
              <w:right w:val="nil"/>
            </w:tcBorders>
            <w:shd w:val="clear" w:color="auto" w:fill="auto"/>
            <w:noWrap/>
            <w:vAlign w:val="bottom"/>
            <w:hideMark/>
          </w:tcPr>
          <w:p w14:paraId="4C3F88C4" w14:textId="77777777" w:rsidR="007E383D" w:rsidRPr="00C51439" w:rsidRDefault="007E383D" w:rsidP="005E77F6">
            <w:pPr>
              <w:jc w:val="right"/>
              <w:rPr>
                <w:rFonts w:ascii="Arial" w:hAnsi="Arial" w:cs="Arial"/>
                <w:b/>
                <w:bCs/>
                <w:color w:val="000000" w:themeColor="text1"/>
                <w:sz w:val="18"/>
                <w:szCs w:val="18"/>
              </w:rPr>
            </w:pPr>
            <w:r w:rsidRPr="00C51439">
              <w:rPr>
                <w:rFonts w:ascii="Arial" w:hAnsi="Arial" w:cs="Arial"/>
                <w:b/>
                <w:bCs/>
                <w:color w:val="000000" w:themeColor="text1"/>
                <w:sz w:val="18"/>
                <w:szCs w:val="18"/>
              </w:rPr>
              <w:t xml:space="preserve">000 </w:t>
            </w:r>
            <w:r>
              <w:rPr>
                <w:rFonts w:ascii="Arial" w:hAnsi="Arial" w:cs="Arial"/>
                <w:b/>
                <w:bCs/>
                <w:color w:val="000000" w:themeColor="text1"/>
                <w:sz w:val="18"/>
                <w:szCs w:val="18"/>
              </w:rPr>
              <w:t>eura</w:t>
            </w:r>
          </w:p>
        </w:tc>
        <w:tc>
          <w:tcPr>
            <w:tcW w:w="1276" w:type="dxa"/>
            <w:tcBorders>
              <w:top w:val="nil"/>
              <w:left w:val="nil"/>
              <w:bottom w:val="nil"/>
              <w:right w:val="nil"/>
            </w:tcBorders>
            <w:shd w:val="clear" w:color="auto" w:fill="auto"/>
            <w:noWrap/>
            <w:vAlign w:val="bottom"/>
            <w:hideMark/>
          </w:tcPr>
          <w:p w14:paraId="3C6EA1B8" w14:textId="77777777" w:rsidR="007E383D" w:rsidRPr="00C51439" w:rsidRDefault="007E383D" w:rsidP="005E77F6">
            <w:pPr>
              <w:jc w:val="right"/>
              <w:rPr>
                <w:rFonts w:ascii="Arial" w:hAnsi="Arial" w:cs="Arial"/>
                <w:b/>
                <w:bCs/>
                <w:color w:val="000000" w:themeColor="text1"/>
                <w:sz w:val="18"/>
                <w:szCs w:val="18"/>
              </w:rPr>
            </w:pPr>
            <w:r w:rsidRPr="00C51439">
              <w:rPr>
                <w:rFonts w:ascii="Arial" w:hAnsi="Arial" w:cs="Arial"/>
                <w:b/>
                <w:bCs/>
                <w:color w:val="000000" w:themeColor="text1"/>
                <w:sz w:val="18"/>
                <w:szCs w:val="18"/>
              </w:rPr>
              <w:t xml:space="preserve">000 </w:t>
            </w:r>
            <w:r>
              <w:rPr>
                <w:rFonts w:ascii="Arial" w:hAnsi="Arial" w:cs="Arial"/>
                <w:b/>
                <w:bCs/>
                <w:color w:val="000000" w:themeColor="text1"/>
                <w:sz w:val="18"/>
                <w:szCs w:val="18"/>
              </w:rPr>
              <w:t>eura</w:t>
            </w:r>
          </w:p>
        </w:tc>
        <w:tc>
          <w:tcPr>
            <w:tcW w:w="1276" w:type="dxa"/>
            <w:tcBorders>
              <w:top w:val="nil"/>
              <w:left w:val="nil"/>
              <w:bottom w:val="nil"/>
              <w:right w:val="nil"/>
            </w:tcBorders>
            <w:shd w:val="clear" w:color="auto" w:fill="auto"/>
            <w:noWrap/>
            <w:vAlign w:val="bottom"/>
            <w:hideMark/>
          </w:tcPr>
          <w:p w14:paraId="7B3ED380" w14:textId="77777777" w:rsidR="007E383D" w:rsidRPr="00C51439" w:rsidRDefault="007E383D" w:rsidP="005E77F6">
            <w:pPr>
              <w:jc w:val="right"/>
              <w:rPr>
                <w:rFonts w:ascii="Arial" w:hAnsi="Arial" w:cs="Arial"/>
                <w:b/>
                <w:bCs/>
                <w:color w:val="000000" w:themeColor="text1"/>
                <w:sz w:val="18"/>
                <w:szCs w:val="18"/>
              </w:rPr>
            </w:pPr>
            <w:r w:rsidRPr="00C51439">
              <w:rPr>
                <w:rFonts w:ascii="Arial" w:hAnsi="Arial" w:cs="Arial"/>
                <w:b/>
                <w:bCs/>
                <w:color w:val="000000" w:themeColor="text1"/>
                <w:sz w:val="18"/>
                <w:szCs w:val="18"/>
              </w:rPr>
              <w:t xml:space="preserve">000 </w:t>
            </w:r>
            <w:r>
              <w:rPr>
                <w:rFonts w:ascii="Arial" w:hAnsi="Arial" w:cs="Arial"/>
                <w:b/>
                <w:bCs/>
                <w:color w:val="000000" w:themeColor="text1"/>
                <w:sz w:val="18"/>
                <w:szCs w:val="18"/>
              </w:rPr>
              <w:t>eura</w:t>
            </w:r>
          </w:p>
        </w:tc>
        <w:tc>
          <w:tcPr>
            <w:tcW w:w="1276" w:type="dxa"/>
            <w:tcBorders>
              <w:top w:val="nil"/>
              <w:left w:val="nil"/>
              <w:bottom w:val="nil"/>
              <w:right w:val="nil"/>
            </w:tcBorders>
          </w:tcPr>
          <w:p w14:paraId="3444D687" w14:textId="77777777" w:rsidR="007E383D" w:rsidRPr="00F959D0" w:rsidRDefault="007E383D" w:rsidP="005E77F6">
            <w:pPr>
              <w:jc w:val="right"/>
              <w:rPr>
                <w:rFonts w:ascii="Arial" w:hAnsi="Arial" w:cs="Arial"/>
                <w:b/>
                <w:bCs/>
                <w:color w:val="000000" w:themeColor="text1"/>
                <w:sz w:val="18"/>
                <w:szCs w:val="18"/>
              </w:rPr>
            </w:pPr>
            <w:r w:rsidRPr="008A2337">
              <w:rPr>
                <w:rFonts w:ascii="Arial" w:hAnsi="Arial" w:cs="Arial"/>
                <w:b/>
                <w:bCs/>
                <w:color w:val="000000" w:themeColor="text1"/>
                <w:sz w:val="18"/>
                <w:szCs w:val="18"/>
              </w:rPr>
              <w:t>000 eura</w:t>
            </w:r>
          </w:p>
        </w:tc>
        <w:tc>
          <w:tcPr>
            <w:tcW w:w="1276" w:type="dxa"/>
            <w:tcBorders>
              <w:top w:val="nil"/>
              <w:left w:val="nil"/>
              <w:bottom w:val="nil"/>
              <w:right w:val="nil"/>
            </w:tcBorders>
            <w:shd w:val="clear" w:color="auto" w:fill="auto"/>
            <w:vAlign w:val="bottom"/>
          </w:tcPr>
          <w:p w14:paraId="4FE6CACA" w14:textId="77777777" w:rsidR="007E383D" w:rsidRPr="008A2337" w:rsidRDefault="007E383D" w:rsidP="005E77F6">
            <w:pPr>
              <w:jc w:val="right"/>
              <w:rPr>
                <w:rFonts w:ascii="Arial" w:hAnsi="Arial" w:cs="Arial"/>
                <w:b/>
                <w:bCs/>
                <w:color w:val="000000" w:themeColor="text1"/>
                <w:sz w:val="18"/>
                <w:szCs w:val="18"/>
              </w:rPr>
            </w:pPr>
            <w:r w:rsidRPr="008A2337">
              <w:rPr>
                <w:rFonts w:ascii="Arial" w:hAnsi="Arial" w:cs="Arial"/>
                <w:b/>
                <w:bCs/>
                <w:color w:val="000000" w:themeColor="text1"/>
                <w:sz w:val="18"/>
                <w:szCs w:val="18"/>
              </w:rPr>
              <w:t>000 eura</w:t>
            </w:r>
          </w:p>
        </w:tc>
        <w:tc>
          <w:tcPr>
            <w:tcW w:w="1276" w:type="dxa"/>
            <w:tcBorders>
              <w:top w:val="nil"/>
              <w:left w:val="nil"/>
              <w:bottom w:val="nil"/>
              <w:right w:val="nil"/>
            </w:tcBorders>
            <w:shd w:val="clear" w:color="auto" w:fill="auto"/>
            <w:noWrap/>
            <w:vAlign w:val="bottom"/>
            <w:hideMark/>
          </w:tcPr>
          <w:p w14:paraId="63FE87BD" w14:textId="77777777" w:rsidR="007E383D" w:rsidRPr="00C51439" w:rsidRDefault="007E383D" w:rsidP="005E77F6">
            <w:pPr>
              <w:jc w:val="right"/>
              <w:rPr>
                <w:rFonts w:ascii="Arial" w:hAnsi="Arial" w:cs="Arial"/>
                <w:b/>
                <w:bCs/>
                <w:color w:val="000000" w:themeColor="text1"/>
                <w:sz w:val="18"/>
                <w:szCs w:val="18"/>
              </w:rPr>
            </w:pPr>
            <w:r w:rsidRPr="00C51439">
              <w:rPr>
                <w:rFonts w:ascii="Arial" w:hAnsi="Arial" w:cs="Arial"/>
                <w:b/>
                <w:bCs/>
                <w:color w:val="000000" w:themeColor="text1"/>
                <w:sz w:val="18"/>
                <w:szCs w:val="18"/>
              </w:rPr>
              <w:t xml:space="preserve">000 </w:t>
            </w:r>
            <w:r>
              <w:rPr>
                <w:rFonts w:ascii="Arial" w:hAnsi="Arial" w:cs="Arial"/>
                <w:b/>
                <w:bCs/>
                <w:color w:val="000000" w:themeColor="text1"/>
                <w:sz w:val="18"/>
                <w:szCs w:val="18"/>
              </w:rPr>
              <w:t>eura</w:t>
            </w:r>
          </w:p>
        </w:tc>
      </w:tr>
      <w:tr w:rsidR="007E383D" w:rsidRPr="00C51439" w14:paraId="0444719C" w14:textId="77777777" w:rsidTr="005E77F6">
        <w:trPr>
          <w:trHeight w:val="155"/>
        </w:trPr>
        <w:tc>
          <w:tcPr>
            <w:tcW w:w="1843" w:type="dxa"/>
            <w:tcBorders>
              <w:top w:val="nil"/>
              <w:left w:val="nil"/>
              <w:bottom w:val="nil"/>
              <w:right w:val="nil"/>
            </w:tcBorders>
            <w:shd w:val="clear" w:color="auto" w:fill="auto"/>
            <w:noWrap/>
            <w:vAlign w:val="bottom"/>
          </w:tcPr>
          <w:p w14:paraId="3E84141E" w14:textId="77777777" w:rsidR="007E383D" w:rsidRPr="00C51439" w:rsidRDefault="007E383D" w:rsidP="005E77F6">
            <w:pPr>
              <w:jc w:val="right"/>
              <w:rPr>
                <w:rFonts w:ascii="Arial" w:hAnsi="Arial" w:cs="Arial"/>
                <w:b/>
                <w:bCs/>
                <w:color w:val="000000" w:themeColor="text1"/>
                <w:sz w:val="18"/>
                <w:szCs w:val="18"/>
              </w:rPr>
            </w:pPr>
          </w:p>
        </w:tc>
        <w:tc>
          <w:tcPr>
            <w:tcW w:w="1276" w:type="dxa"/>
            <w:tcBorders>
              <w:top w:val="nil"/>
              <w:left w:val="nil"/>
              <w:bottom w:val="nil"/>
              <w:right w:val="nil"/>
            </w:tcBorders>
            <w:shd w:val="clear" w:color="auto" w:fill="auto"/>
            <w:noWrap/>
            <w:vAlign w:val="bottom"/>
          </w:tcPr>
          <w:p w14:paraId="6C048B5A" w14:textId="77777777" w:rsidR="007E383D" w:rsidRPr="00C51439" w:rsidRDefault="007E383D" w:rsidP="005E77F6">
            <w:pPr>
              <w:jc w:val="right"/>
              <w:rPr>
                <w:rFonts w:ascii="Arial" w:hAnsi="Arial" w:cs="Arial"/>
                <w:b/>
                <w:bCs/>
                <w:color w:val="000000" w:themeColor="text1"/>
                <w:sz w:val="18"/>
                <w:szCs w:val="18"/>
              </w:rPr>
            </w:pPr>
          </w:p>
        </w:tc>
        <w:tc>
          <w:tcPr>
            <w:tcW w:w="1276" w:type="dxa"/>
            <w:tcBorders>
              <w:top w:val="nil"/>
              <w:left w:val="nil"/>
              <w:bottom w:val="nil"/>
              <w:right w:val="nil"/>
            </w:tcBorders>
            <w:shd w:val="clear" w:color="auto" w:fill="auto"/>
            <w:noWrap/>
            <w:vAlign w:val="bottom"/>
          </w:tcPr>
          <w:p w14:paraId="0562EE57" w14:textId="77777777" w:rsidR="007E383D" w:rsidRPr="00C51439" w:rsidRDefault="007E383D" w:rsidP="005E77F6">
            <w:pPr>
              <w:jc w:val="right"/>
              <w:rPr>
                <w:rFonts w:ascii="Arial" w:hAnsi="Arial" w:cs="Arial"/>
                <w:b/>
                <w:bCs/>
                <w:color w:val="000000" w:themeColor="text1"/>
                <w:sz w:val="18"/>
                <w:szCs w:val="18"/>
              </w:rPr>
            </w:pPr>
          </w:p>
        </w:tc>
        <w:tc>
          <w:tcPr>
            <w:tcW w:w="1276" w:type="dxa"/>
            <w:tcBorders>
              <w:top w:val="nil"/>
              <w:left w:val="nil"/>
              <w:bottom w:val="nil"/>
              <w:right w:val="nil"/>
            </w:tcBorders>
            <w:shd w:val="clear" w:color="auto" w:fill="auto"/>
            <w:noWrap/>
            <w:vAlign w:val="bottom"/>
          </w:tcPr>
          <w:p w14:paraId="3F5E2FC9" w14:textId="77777777" w:rsidR="007E383D" w:rsidRPr="00C51439" w:rsidRDefault="007E383D" w:rsidP="005E77F6">
            <w:pPr>
              <w:jc w:val="right"/>
              <w:rPr>
                <w:rFonts w:ascii="Arial" w:hAnsi="Arial" w:cs="Arial"/>
                <w:b/>
                <w:bCs/>
                <w:color w:val="000000" w:themeColor="text1"/>
                <w:sz w:val="18"/>
                <w:szCs w:val="18"/>
              </w:rPr>
            </w:pPr>
          </w:p>
        </w:tc>
        <w:tc>
          <w:tcPr>
            <w:tcW w:w="1276" w:type="dxa"/>
            <w:tcBorders>
              <w:top w:val="nil"/>
              <w:left w:val="nil"/>
              <w:bottom w:val="nil"/>
              <w:right w:val="nil"/>
            </w:tcBorders>
          </w:tcPr>
          <w:p w14:paraId="1B5C03FE" w14:textId="77777777" w:rsidR="007E383D" w:rsidRPr="00B97AA5" w:rsidRDefault="007E383D" w:rsidP="005E77F6">
            <w:pPr>
              <w:jc w:val="right"/>
              <w:rPr>
                <w:rFonts w:ascii="Arial" w:hAnsi="Arial" w:cs="Arial"/>
                <w:b/>
                <w:bCs/>
                <w:color w:val="000000" w:themeColor="text1"/>
                <w:sz w:val="18"/>
                <w:szCs w:val="18"/>
                <w:highlight w:val="yellow"/>
              </w:rPr>
            </w:pPr>
          </w:p>
        </w:tc>
        <w:tc>
          <w:tcPr>
            <w:tcW w:w="1276" w:type="dxa"/>
            <w:tcBorders>
              <w:top w:val="nil"/>
              <w:left w:val="nil"/>
              <w:bottom w:val="nil"/>
              <w:right w:val="nil"/>
            </w:tcBorders>
          </w:tcPr>
          <w:p w14:paraId="3411F62D" w14:textId="77777777" w:rsidR="007E383D" w:rsidRPr="00F959D0" w:rsidRDefault="007E383D" w:rsidP="005E77F6">
            <w:pPr>
              <w:jc w:val="right"/>
              <w:rPr>
                <w:rFonts w:ascii="Arial" w:hAnsi="Arial" w:cs="Arial"/>
                <w:b/>
                <w:bCs/>
                <w:color w:val="000000" w:themeColor="text1"/>
                <w:sz w:val="18"/>
                <w:szCs w:val="18"/>
                <w:highlight w:val="yellow"/>
              </w:rPr>
            </w:pPr>
          </w:p>
        </w:tc>
        <w:tc>
          <w:tcPr>
            <w:tcW w:w="1276" w:type="dxa"/>
            <w:tcBorders>
              <w:top w:val="nil"/>
              <w:left w:val="nil"/>
              <w:bottom w:val="nil"/>
              <w:right w:val="nil"/>
            </w:tcBorders>
            <w:shd w:val="clear" w:color="auto" w:fill="auto"/>
            <w:noWrap/>
            <w:vAlign w:val="bottom"/>
          </w:tcPr>
          <w:p w14:paraId="301DDA17" w14:textId="77777777" w:rsidR="007E383D" w:rsidRPr="00C51439" w:rsidRDefault="007E383D" w:rsidP="005E77F6">
            <w:pPr>
              <w:jc w:val="right"/>
              <w:rPr>
                <w:rFonts w:ascii="Arial" w:hAnsi="Arial" w:cs="Arial"/>
                <w:b/>
                <w:bCs/>
                <w:color w:val="000000" w:themeColor="text1"/>
                <w:sz w:val="18"/>
                <w:szCs w:val="18"/>
              </w:rPr>
            </w:pPr>
          </w:p>
        </w:tc>
      </w:tr>
      <w:tr w:rsidR="002B5267" w:rsidRPr="00C51439" w14:paraId="580383D5" w14:textId="77777777" w:rsidTr="002B5267">
        <w:trPr>
          <w:trHeight w:val="340"/>
        </w:trPr>
        <w:tc>
          <w:tcPr>
            <w:tcW w:w="1843" w:type="dxa"/>
            <w:tcBorders>
              <w:top w:val="nil"/>
              <w:left w:val="nil"/>
              <w:bottom w:val="nil"/>
              <w:right w:val="nil"/>
            </w:tcBorders>
            <w:shd w:val="clear" w:color="auto" w:fill="auto"/>
            <w:noWrap/>
            <w:vAlign w:val="bottom"/>
            <w:hideMark/>
          </w:tcPr>
          <w:p w14:paraId="50C72B90" w14:textId="77777777" w:rsidR="002B5267" w:rsidRPr="00C51439" w:rsidRDefault="002B5267" w:rsidP="002B5267">
            <w:pPr>
              <w:rPr>
                <w:rFonts w:ascii="Arial" w:hAnsi="Arial" w:cs="Arial"/>
                <w:color w:val="000000" w:themeColor="text1"/>
                <w:sz w:val="18"/>
                <w:szCs w:val="18"/>
              </w:rPr>
            </w:pPr>
            <w:r w:rsidRPr="00C51439">
              <w:rPr>
                <w:rFonts w:ascii="Arial" w:hAnsi="Arial" w:cs="Arial"/>
                <w:color w:val="000000" w:themeColor="text1"/>
                <w:sz w:val="18"/>
                <w:szCs w:val="18"/>
              </w:rPr>
              <w:t>Bruto iznos</w:t>
            </w:r>
          </w:p>
        </w:tc>
        <w:tc>
          <w:tcPr>
            <w:tcW w:w="1276" w:type="dxa"/>
            <w:tcBorders>
              <w:top w:val="nil"/>
              <w:left w:val="nil"/>
              <w:bottom w:val="nil"/>
              <w:right w:val="nil"/>
            </w:tcBorders>
            <w:shd w:val="clear" w:color="auto" w:fill="auto"/>
            <w:noWrap/>
            <w:vAlign w:val="bottom"/>
          </w:tcPr>
          <w:p w14:paraId="03DF0E81" w14:textId="47E5B32E" w:rsidR="002B5267" w:rsidRPr="002B5267" w:rsidRDefault="002B5267" w:rsidP="002B5267">
            <w:pPr>
              <w:jc w:val="right"/>
              <w:rPr>
                <w:rFonts w:ascii="Arial" w:hAnsi="Arial" w:cs="Arial"/>
                <w:sz w:val="18"/>
                <w:szCs w:val="18"/>
              </w:rPr>
            </w:pPr>
            <w:r w:rsidRPr="002B5267">
              <w:rPr>
                <w:rFonts w:ascii="Arial" w:hAnsi="Arial" w:cs="Arial"/>
                <w:sz w:val="18"/>
                <w:szCs w:val="18"/>
              </w:rPr>
              <w:t>1.806.423</w:t>
            </w:r>
          </w:p>
        </w:tc>
        <w:tc>
          <w:tcPr>
            <w:tcW w:w="1276" w:type="dxa"/>
            <w:tcBorders>
              <w:top w:val="nil"/>
              <w:left w:val="nil"/>
              <w:bottom w:val="nil"/>
              <w:right w:val="nil"/>
            </w:tcBorders>
            <w:shd w:val="clear" w:color="auto" w:fill="auto"/>
            <w:noWrap/>
            <w:vAlign w:val="bottom"/>
          </w:tcPr>
          <w:p w14:paraId="1F3C2084" w14:textId="40F205FC" w:rsidR="002B5267" w:rsidRPr="002B5267" w:rsidRDefault="002B5267" w:rsidP="002B5267">
            <w:pPr>
              <w:jc w:val="right"/>
              <w:rPr>
                <w:rFonts w:ascii="Arial" w:hAnsi="Arial" w:cs="Arial"/>
                <w:sz w:val="18"/>
                <w:szCs w:val="18"/>
              </w:rPr>
            </w:pPr>
            <w:r w:rsidRPr="002B5267">
              <w:rPr>
                <w:rFonts w:ascii="Arial" w:hAnsi="Arial" w:cs="Arial"/>
                <w:sz w:val="18"/>
                <w:szCs w:val="18"/>
              </w:rPr>
              <w:t>358.814</w:t>
            </w:r>
          </w:p>
        </w:tc>
        <w:tc>
          <w:tcPr>
            <w:tcW w:w="1276" w:type="dxa"/>
            <w:tcBorders>
              <w:top w:val="nil"/>
              <w:left w:val="nil"/>
              <w:bottom w:val="nil"/>
              <w:right w:val="nil"/>
            </w:tcBorders>
            <w:shd w:val="clear" w:color="auto" w:fill="auto"/>
            <w:noWrap/>
            <w:vAlign w:val="bottom"/>
          </w:tcPr>
          <w:p w14:paraId="60B81D86" w14:textId="1FDC797A" w:rsidR="002B5267" w:rsidRPr="002B5267" w:rsidRDefault="002B5267" w:rsidP="002B5267">
            <w:pPr>
              <w:jc w:val="right"/>
              <w:rPr>
                <w:rFonts w:ascii="Arial" w:hAnsi="Arial" w:cs="Arial"/>
                <w:sz w:val="18"/>
                <w:szCs w:val="18"/>
              </w:rPr>
            </w:pPr>
            <w:r w:rsidRPr="002B5267">
              <w:rPr>
                <w:rFonts w:ascii="Arial" w:hAnsi="Arial" w:cs="Arial"/>
                <w:sz w:val="18"/>
                <w:szCs w:val="18"/>
              </w:rPr>
              <w:t>430.373</w:t>
            </w:r>
          </w:p>
        </w:tc>
        <w:tc>
          <w:tcPr>
            <w:tcW w:w="1276" w:type="dxa"/>
            <w:tcBorders>
              <w:top w:val="nil"/>
              <w:left w:val="nil"/>
              <w:bottom w:val="nil"/>
              <w:right w:val="nil"/>
            </w:tcBorders>
            <w:shd w:val="clear" w:color="auto" w:fill="auto"/>
            <w:vAlign w:val="bottom"/>
          </w:tcPr>
          <w:p w14:paraId="12519904" w14:textId="495E14A4" w:rsidR="002B5267" w:rsidRPr="002B5267" w:rsidRDefault="002B5267" w:rsidP="002B5267">
            <w:pPr>
              <w:jc w:val="right"/>
              <w:rPr>
                <w:rFonts w:ascii="Arial" w:hAnsi="Arial" w:cs="Arial"/>
                <w:sz w:val="18"/>
                <w:szCs w:val="18"/>
              </w:rPr>
            </w:pPr>
            <w:r w:rsidRPr="002B5267">
              <w:rPr>
                <w:rFonts w:ascii="Arial" w:hAnsi="Arial" w:cs="Arial"/>
                <w:sz w:val="18"/>
                <w:szCs w:val="18"/>
              </w:rPr>
              <w:t>44.243</w:t>
            </w:r>
          </w:p>
        </w:tc>
        <w:tc>
          <w:tcPr>
            <w:tcW w:w="1276" w:type="dxa"/>
            <w:tcBorders>
              <w:top w:val="nil"/>
              <w:left w:val="nil"/>
              <w:bottom w:val="nil"/>
              <w:right w:val="nil"/>
            </w:tcBorders>
            <w:shd w:val="clear" w:color="auto" w:fill="auto"/>
            <w:vAlign w:val="bottom"/>
          </w:tcPr>
          <w:p w14:paraId="5F67E12E" w14:textId="394AA4AE" w:rsidR="002B5267" w:rsidRPr="002B5267" w:rsidRDefault="002B5267" w:rsidP="002B5267">
            <w:pPr>
              <w:jc w:val="right"/>
              <w:rPr>
                <w:rFonts w:ascii="Arial" w:hAnsi="Arial" w:cs="Arial"/>
                <w:sz w:val="18"/>
                <w:szCs w:val="18"/>
              </w:rPr>
            </w:pPr>
            <w:r w:rsidRPr="002B5267">
              <w:rPr>
                <w:rFonts w:ascii="Arial" w:hAnsi="Arial" w:cs="Arial"/>
                <w:sz w:val="18"/>
                <w:szCs w:val="18"/>
              </w:rPr>
              <w:t>185.448</w:t>
            </w:r>
          </w:p>
        </w:tc>
        <w:tc>
          <w:tcPr>
            <w:tcW w:w="1276" w:type="dxa"/>
            <w:tcBorders>
              <w:top w:val="nil"/>
              <w:left w:val="nil"/>
              <w:bottom w:val="nil"/>
              <w:right w:val="nil"/>
            </w:tcBorders>
            <w:shd w:val="clear" w:color="auto" w:fill="auto"/>
            <w:noWrap/>
            <w:vAlign w:val="bottom"/>
          </w:tcPr>
          <w:p w14:paraId="2F367A6D" w14:textId="30FCD7EF" w:rsidR="002B5267" w:rsidRPr="002B5267" w:rsidRDefault="002B5267" w:rsidP="002B5267">
            <w:pPr>
              <w:jc w:val="right"/>
              <w:rPr>
                <w:rFonts w:ascii="Arial" w:hAnsi="Arial" w:cs="Arial"/>
                <w:b/>
                <w:bCs/>
                <w:sz w:val="18"/>
                <w:szCs w:val="18"/>
              </w:rPr>
            </w:pPr>
            <w:r w:rsidRPr="002B5267">
              <w:rPr>
                <w:rFonts w:ascii="Arial" w:hAnsi="Arial" w:cs="Arial"/>
                <w:b/>
                <w:bCs/>
                <w:sz w:val="18"/>
                <w:szCs w:val="18"/>
              </w:rPr>
              <w:t xml:space="preserve"> 2.825.301 </w:t>
            </w:r>
          </w:p>
        </w:tc>
      </w:tr>
      <w:tr w:rsidR="002B5267" w:rsidRPr="00C51439" w14:paraId="59026564" w14:textId="77777777" w:rsidTr="002B5267">
        <w:trPr>
          <w:trHeight w:val="340"/>
        </w:trPr>
        <w:tc>
          <w:tcPr>
            <w:tcW w:w="1843" w:type="dxa"/>
            <w:tcBorders>
              <w:top w:val="nil"/>
              <w:left w:val="nil"/>
              <w:bottom w:val="nil"/>
              <w:right w:val="nil"/>
            </w:tcBorders>
            <w:shd w:val="clear" w:color="auto" w:fill="auto"/>
            <w:noWrap/>
            <w:vAlign w:val="bottom"/>
            <w:hideMark/>
          </w:tcPr>
          <w:p w14:paraId="19E57339" w14:textId="77777777" w:rsidR="002B5267" w:rsidRPr="00C51439" w:rsidRDefault="002B5267" w:rsidP="002B5267">
            <w:pPr>
              <w:rPr>
                <w:rFonts w:ascii="Arial" w:hAnsi="Arial" w:cs="Arial"/>
                <w:color w:val="000000" w:themeColor="text1"/>
                <w:sz w:val="18"/>
                <w:szCs w:val="18"/>
              </w:rPr>
            </w:pPr>
            <w:r w:rsidRPr="00C51439">
              <w:rPr>
                <w:rFonts w:ascii="Arial" w:hAnsi="Arial" w:cs="Arial"/>
                <w:color w:val="000000" w:themeColor="text1"/>
                <w:sz w:val="18"/>
                <w:szCs w:val="18"/>
              </w:rPr>
              <w:t>Rezerviranja</w:t>
            </w:r>
          </w:p>
        </w:tc>
        <w:tc>
          <w:tcPr>
            <w:tcW w:w="1276" w:type="dxa"/>
            <w:tcBorders>
              <w:top w:val="nil"/>
              <w:left w:val="nil"/>
              <w:bottom w:val="nil"/>
              <w:right w:val="nil"/>
            </w:tcBorders>
            <w:shd w:val="clear" w:color="auto" w:fill="auto"/>
            <w:noWrap/>
            <w:vAlign w:val="bottom"/>
          </w:tcPr>
          <w:p w14:paraId="12821A51" w14:textId="5217CF11" w:rsidR="002B5267" w:rsidRPr="002B5267" w:rsidRDefault="002B5267" w:rsidP="002B5267">
            <w:pPr>
              <w:jc w:val="right"/>
              <w:rPr>
                <w:rFonts w:ascii="Arial" w:hAnsi="Arial" w:cs="Arial"/>
                <w:sz w:val="18"/>
                <w:szCs w:val="18"/>
              </w:rPr>
            </w:pPr>
            <w:r w:rsidRPr="002B5267">
              <w:rPr>
                <w:rFonts w:ascii="Arial" w:hAnsi="Arial" w:cs="Arial"/>
                <w:sz w:val="18"/>
                <w:szCs w:val="18"/>
              </w:rPr>
              <w:t xml:space="preserve"> (44.562)</w:t>
            </w:r>
          </w:p>
        </w:tc>
        <w:tc>
          <w:tcPr>
            <w:tcW w:w="1276" w:type="dxa"/>
            <w:tcBorders>
              <w:top w:val="nil"/>
              <w:left w:val="nil"/>
              <w:bottom w:val="nil"/>
              <w:right w:val="nil"/>
            </w:tcBorders>
            <w:shd w:val="clear" w:color="auto" w:fill="auto"/>
            <w:noWrap/>
            <w:vAlign w:val="bottom"/>
          </w:tcPr>
          <w:p w14:paraId="24384947" w14:textId="682D0A7F" w:rsidR="002B5267" w:rsidRPr="002B5267" w:rsidRDefault="002B5267" w:rsidP="002B5267">
            <w:pPr>
              <w:jc w:val="right"/>
              <w:rPr>
                <w:rFonts w:ascii="Arial" w:hAnsi="Arial" w:cs="Arial"/>
                <w:sz w:val="18"/>
                <w:szCs w:val="18"/>
              </w:rPr>
            </w:pPr>
            <w:r w:rsidRPr="002B5267">
              <w:rPr>
                <w:rFonts w:ascii="Arial" w:hAnsi="Arial" w:cs="Arial"/>
                <w:sz w:val="18"/>
                <w:szCs w:val="18"/>
              </w:rPr>
              <w:t xml:space="preserve"> (109.650)</w:t>
            </w:r>
          </w:p>
        </w:tc>
        <w:tc>
          <w:tcPr>
            <w:tcW w:w="1276" w:type="dxa"/>
            <w:tcBorders>
              <w:top w:val="nil"/>
              <w:left w:val="nil"/>
              <w:bottom w:val="nil"/>
              <w:right w:val="nil"/>
            </w:tcBorders>
            <w:shd w:val="clear" w:color="auto" w:fill="auto"/>
            <w:noWrap/>
            <w:vAlign w:val="bottom"/>
          </w:tcPr>
          <w:p w14:paraId="1E5FF6F2" w14:textId="22F8876D" w:rsidR="002B5267" w:rsidRPr="002B5267" w:rsidRDefault="002B5267" w:rsidP="002B5267">
            <w:pPr>
              <w:jc w:val="right"/>
              <w:rPr>
                <w:rFonts w:ascii="Arial" w:hAnsi="Arial" w:cs="Arial"/>
                <w:sz w:val="18"/>
                <w:szCs w:val="18"/>
              </w:rPr>
            </w:pPr>
            <w:r w:rsidRPr="002B5267">
              <w:rPr>
                <w:rFonts w:ascii="Arial" w:hAnsi="Arial" w:cs="Arial"/>
                <w:sz w:val="18"/>
                <w:szCs w:val="18"/>
              </w:rPr>
              <w:t xml:space="preserve"> (275.734)</w:t>
            </w:r>
          </w:p>
        </w:tc>
        <w:tc>
          <w:tcPr>
            <w:tcW w:w="1276" w:type="dxa"/>
            <w:tcBorders>
              <w:top w:val="nil"/>
              <w:left w:val="nil"/>
              <w:bottom w:val="nil"/>
              <w:right w:val="nil"/>
            </w:tcBorders>
            <w:shd w:val="clear" w:color="auto" w:fill="auto"/>
            <w:vAlign w:val="bottom"/>
          </w:tcPr>
          <w:p w14:paraId="629166B2" w14:textId="7F9C7D86" w:rsidR="002B5267" w:rsidRPr="002B5267" w:rsidRDefault="002B5267" w:rsidP="002B5267">
            <w:pPr>
              <w:jc w:val="right"/>
              <w:rPr>
                <w:rFonts w:ascii="Arial" w:hAnsi="Arial" w:cs="Arial"/>
                <w:sz w:val="18"/>
                <w:szCs w:val="18"/>
              </w:rPr>
            </w:pPr>
            <w:r w:rsidRPr="002B5267">
              <w:rPr>
                <w:rFonts w:ascii="Arial" w:hAnsi="Arial" w:cs="Arial"/>
                <w:sz w:val="18"/>
                <w:szCs w:val="18"/>
              </w:rPr>
              <w:t xml:space="preserve"> (1.562)</w:t>
            </w:r>
          </w:p>
        </w:tc>
        <w:tc>
          <w:tcPr>
            <w:tcW w:w="1276" w:type="dxa"/>
            <w:tcBorders>
              <w:top w:val="nil"/>
              <w:left w:val="nil"/>
              <w:bottom w:val="nil"/>
              <w:right w:val="nil"/>
            </w:tcBorders>
            <w:shd w:val="clear" w:color="auto" w:fill="auto"/>
            <w:vAlign w:val="bottom"/>
          </w:tcPr>
          <w:p w14:paraId="7F1DB11F" w14:textId="31888779" w:rsidR="002B5267" w:rsidRPr="002B5267" w:rsidRDefault="002B5267" w:rsidP="002B5267">
            <w:pPr>
              <w:jc w:val="right"/>
              <w:rPr>
                <w:rFonts w:ascii="Arial" w:hAnsi="Arial" w:cs="Arial"/>
                <w:sz w:val="18"/>
                <w:szCs w:val="18"/>
              </w:rPr>
            </w:pPr>
            <w:r w:rsidRPr="002B5267">
              <w:rPr>
                <w:rFonts w:ascii="Arial" w:hAnsi="Arial" w:cs="Arial"/>
                <w:sz w:val="18"/>
                <w:szCs w:val="18"/>
              </w:rPr>
              <w:t xml:space="preserve"> (32.316)</w:t>
            </w:r>
          </w:p>
        </w:tc>
        <w:tc>
          <w:tcPr>
            <w:tcW w:w="1276" w:type="dxa"/>
            <w:tcBorders>
              <w:top w:val="nil"/>
              <w:left w:val="nil"/>
              <w:bottom w:val="nil"/>
              <w:right w:val="nil"/>
            </w:tcBorders>
            <w:shd w:val="clear" w:color="auto" w:fill="auto"/>
            <w:noWrap/>
            <w:vAlign w:val="bottom"/>
          </w:tcPr>
          <w:p w14:paraId="3120F922" w14:textId="6EF4BDB8" w:rsidR="002B5267" w:rsidRPr="002B5267" w:rsidRDefault="002B5267" w:rsidP="002B5267">
            <w:pPr>
              <w:jc w:val="right"/>
              <w:rPr>
                <w:rFonts w:ascii="Arial" w:hAnsi="Arial" w:cs="Arial"/>
                <w:b/>
                <w:bCs/>
                <w:sz w:val="18"/>
                <w:szCs w:val="18"/>
              </w:rPr>
            </w:pPr>
            <w:r w:rsidRPr="002B5267">
              <w:rPr>
                <w:rFonts w:ascii="Arial" w:hAnsi="Arial" w:cs="Arial"/>
                <w:b/>
                <w:bCs/>
                <w:sz w:val="18"/>
                <w:szCs w:val="18"/>
              </w:rPr>
              <w:t xml:space="preserve"> (463.824)</w:t>
            </w:r>
          </w:p>
        </w:tc>
      </w:tr>
      <w:tr w:rsidR="002B5267" w:rsidRPr="00C51439" w14:paraId="78735B6E" w14:textId="77777777" w:rsidTr="002B5267">
        <w:trPr>
          <w:trHeight w:val="510"/>
        </w:trPr>
        <w:tc>
          <w:tcPr>
            <w:tcW w:w="1843" w:type="dxa"/>
            <w:tcBorders>
              <w:top w:val="nil"/>
              <w:left w:val="nil"/>
              <w:bottom w:val="nil"/>
              <w:right w:val="nil"/>
            </w:tcBorders>
            <w:shd w:val="clear" w:color="auto" w:fill="auto"/>
            <w:noWrap/>
            <w:vAlign w:val="bottom"/>
            <w:hideMark/>
          </w:tcPr>
          <w:p w14:paraId="4BF89793" w14:textId="77777777" w:rsidR="002B5267" w:rsidRPr="00C51439" w:rsidRDefault="002B5267" w:rsidP="002B5267">
            <w:pPr>
              <w:rPr>
                <w:rFonts w:ascii="Arial" w:hAnsi="Arial" w:cs="Arial"/>
                <w:b/>
                <w:bCs/>
                <w:color w:val="000000" w:themeColor="text1"/>
                <w:sz w:val="18"/>
                <w:szCs w:val="18"/>
              </w:rPr>
            </w:pPr>
            <w:r w:rsidRPr="00C51439">
              <w:rPr>
                <w:rFonts w:ascii="Arial" w:hAnsi="Arial" w:cs="Arial"/>
                <w:b/>
                <w:bCs/>
                <w:color w:val="000000" w:themeColor="text1"/>
                <w:sz w:val="18"/>
                <w:szCs w:val="18"/>
              </w:rPr>
              <w:t xml:space="preserve">Stanje na dan </w:t>
            </w:r>
          </w:p>
          <w:p w14:paraId="1ADBD1F9" w14:textId="4688C94B" w:rsidR="002B5267" w:rsidRPr="00C51439" w:rsidRDefault="002B5267" w:rsidP="002B5267">
            <w:pPr>
              <w:rPr>
                <w:rFonts w:ascii="Arial" w:hAnsi="Arial" w:cs="Arial"/>
                <w:b/>
                <w:bCs/>
                <w:color w:val="000000" w:themeColor="text1"/>
                <w:sz w:val="18"/>
                <w:szCs w:val="18"/>
              </w:rPr>
            </w:pPr>
            <w:r w:rsidRPr="00C51439">
              <w:rPr>
                <w:rFonts w:ascii="Arial" w:hAnsi="Arial" w:cs="Arial"/>
                <w:b/>
                <w:bCs/>
                <w:color w:val="000000" w:themeColor="text1"/>
                <w:sz w:val="18"/>
                <w:szCs w:val="18"/>
              </w:rPr>
              <w:t>3</w:t>
            </w:r>
            <w:r>
              <w:rPr>
                <w:rFonts w:ascii="Arial" w:hAnsi="Arial" w:cs="Arial"/>
                <w:b/>
                <w:bCs/>
                <w:color w:val="000000" w:themeColor="text1"/>
                <w:sz w:val="18"/>
                <w:szCs w:val="18"/>
              </w:rPr>
              <w:t>0</w:t>
            </w:r>
            <w:r w:rsidRPr="00C51439">
              <w:rPr>
                <w:rFonts w:ascii="Arial" w:hAnsi="Arial" w:cs="Arial"/>
                <w:b/>
                <w:bCs/>
                <w:color w:val="000000" w:themeColor="text1"/>
                <w:sz w:val="18"/>
                <w:szCs w:val="18"/>
              </w:rPr>
              <w:t xml:space="preserve">. </w:t>
            </w:r>
            <w:r>
              <w:rPr>
                <w:rFonts w:ascii="Arial" w:hAnsi="Arial" w:cs="Arial"/>
                <w:b/>
                <w:bCs/>
                <w:color w:val="000000" w:themeColor="text1"/>
                <w:sz w:val="18"/>
                <w:szCs w:val="18"/>
              </w:rPr>
              <w:t>rujna</w:t>
            </w:r>
            <w:r w:rsidRPr="00C51439">
              <w:rPr>
                <w:rFonts w:ascii="Arial" w:hAnsi="Arial" w:cs="Arial"/>
                <w:b/>
                <w:bCs/>
                <w:color w:val="000000" w:themeColor="text1"/>
                <w:sz w:val="18"/>
                <w:szCs w:val="18"/>
              </w:rPr>
              <w:t xml:space="preserve"> 202</w:t>
            </w:r>
            <w:r>
              <w:rPr>
                <w:rFonts w:ascii="Arial" w:hAnsi="Arial" w:cs="Arial"/>
                <w:b/>
                <w:bCs/>
                <w:color w:val="000000" w:themeColor="text1"/>
                <w:sz w:val="18"/>
                <w:szCs w:val="18"/>
              </w:rPr>
              <w:t>4</w:t>
            </w:r>
            <w:r w:rsidRPr="00C51439">
              <w:rPr>
                <w:rFonts w:ascii="Arial" w:hAnsi="Arial" w:cs="Arial"/>
                <w:b/>
                <w:bCs/>
                <w:color w:val="000000" w:themeColor="text1"/>
                <w:sz w:val="18"/>
                <w:szCs w:val="18"/>
              </w:rPr>
              <w:t xml:space="preserve">.    </w:t>
            </w:r>
          </w:p>
        </w:tc>
        <w:tc>
          <w:tcPr>
            <w:tcW w:w="1276" w:type="dxa"/>
            <w:tcBorders>
              <w:top w:val="single" w:sz="8" w:space="0" w:color="auto"/>
              <w:left w:val="nil"/>
              <w:bottom w:val="single" w:sz="12" w:space="0" w:color="000000"/>
              <w:right w:val="nil"/>
            </w:tcBorders>
            <w:shd w:val="clear" w:color="auto" w:fill="auto"/>
            <w:noWrap/>
            <w:vAlign w:val="bottom"/>
          </w:tcPr>
          <w:p w14:paraId="7E1302B0" w14:textId="766F9378" w:rsidR="002B5267" w:rsidRPr="002B5267" w:rsidRDefault="002B5267" w:rsidP="002B5267">
            <w:pPr>
              <w:jc w:val="right"/>
              <w:rPr>
                <w:rFonts w:ascii="Arial" w:hAnsi="Arial" w:cs="Arial"/>
                <w:b/>
                <w:bCs/>
                <w:sz w:val="18"/>
                <w:szCs w:val="18"/>
              </w:rPr>
            </w:pPr>
            <w:r w:rsidRPr="002B5267">
              <w:rPr>
                <w:rFonts w:ascii="Arial" w:hAnsi="Arial" w:cs="Arial"/>
                <w:b/>
                <w:bCs/>
                <w:sz w:val="18"/>
                <w:szCs w:val="18"/>
              </w:rPr>
              <w:t xml:space="preserve"> 1.761.861 </w:t>
            </w:r>
          </w:p>
        </w:tc>
        <w:tc>
          <w:tcPr>
            <w:tcW w:w="1276" w:type="dxa"/>
            <w:tcBorders>
              <w:top w:val="single" w:sz="8" w:space="0" w:color="auto"/>
              <w:left w:val="nil"/>
              <w:bottom w:val="single" w:sz="12" w:space="0" w:color="000000"/>
              <w:right w:val="nil"/>
            </w:tcBorders>
            <w:shd w:val="clear" w:color="auto" w:fill="auto"/>
            <w:noWrap/>
            <w:vAlign w:val="bottom"/>
          </w:tcPr>
          <w:p w14:paraId="3A5B13D9" w14:textId="3370198B" w:rsidR="002B5267" w:rsidRPr="002B5267" w:rsidRDefault="002B5267" w:rsidP="002B5267">
            <w:pPr>
              <w:jc w:val="right"/>
              <w:rPr>
                <w:rFonts w:ascii="Arial" w:hAnsi="Arial" w:cs="Arial"/>
                <w:b/>
                <w:bCs/>
                <w:sz w:val="18"/>
                <w:szCs w:val="18"/>
              </w:rPr>
            </w:pPr>
            <w:r w:rsidRPr="002B5267">
              <w:rPr>
                <w:rFonts w:ascii="Arial" w:hAnsi="Arial" w:cs="Arial"/>
                <w:b/>
                <w:bCs/>
                <w:sz w:val="18"/>
                <w:szCs w:val="18"/>
              </w:rPr>
              <w:t xml:space="preserve"> 249.164 </w:t>
            </w:r>
          </w:p>
        </w:tc>
        <w:tc>
          <w:tcPr>
            <w:tcW w:w="1276" w:type="dxa"/>
            <w:tcBorders>
              <w:top w:val="single" w:sz="8" w:space="0" w:color="auto"/>
              <w:left w:val="nil"/>
              <w:bottom w:val="single" w:sz="12" w:space="0" w:color="000000"/>
              <w:right w:val="nil"/>
            </w:tcBorders>
            <w:shd w:val="clear" w:color="auto" w:fill="auto"/>
            <w:noWrap/>
            <w:vAlign w:val="bottom"/>
          </w:tcPr>
          <w:p w14:paraId="531533B0" w14:textId="6E90C522" w:rsidR="002B5267" w:rsidRPr="002B5267" w:rsidRDefault="002B5267" w:rsidP="002B5267">
            <w:pPr>
              <w:jc w:val="right"/>
              <w:rPr>
                <w:rFonts w:ascii="Arial" w:hAnsi="Arial" w:cs="Arial"/>
                <w:b/>
                <w:bCs/>
                <w:sz w:val="18"/>
                <w:szCs w:val="18"/>
              </w:rPr>
            </w:pPr>
            <w:r w:rsidRPr="002B5267">
              <w:rPr>
                <w:rFonts w:ascii="Arial" w:hAnsi="Arial" w:cs="Arial"/>
                <w:b/>
                <w:bCs/>
                <w:sz w:val="18"/>
                <w:szCs w:val="18"/>
              </w:rPr>
              <w:t xml:space="preserve"> 154.639 </w:t>
            </w:r>
          </w:p>
        </w:tc>
        <w:tc>
          <w:tcPr>
            <w:tcW w:w="1276" w:type="dxa"/>
            <w:tcBorders>
              <w:top w:val="single" w:sz="8" w:space="0" w:color="auto"/>
              <w:left w:val="nil"/>
              <w:bottom w:val="single" w:sz="12" w:space="0" w:color="000000"/>
              <w:right w:val="nil"/>
            </w:tcBorders>
            <w:shd w:val="clear" w:color="auto" w:fill="auto"/>
            <w:vAlign w:val="bottom"/>
          </w:tcPr>
          <w:p w14:paraId="6F6CC831" w14:textId="5DC2084B" w:rsidR="002B5267" w:rsidRPr="002B5267" w:rsidRDefault="002B5267" w:rsidP="002B5267">
            <w:pPr>
              <w:jc w:val="right"/>
              <w:rPr>
                <w:rFonts w:ascii="Arial" w:hAnsi="Arial" w:cs="Arial"/>
                <w:b/>
                <w:bCs/>
                <w:sz w:val="18"/>
                <w:szCs w:val="18"/>
              </w:rPr>
            </w:pPr>
            <w:r w:rsidRPr="002B5267">
              <w:rPr>
                <w:rFonts w:ascii="Arial" w:hAnsi="Arial" w:cs="Arial"/>
                <w:b/>
                <w:bCs/>
                <w:sz w:val="18"/>
                <w:szCs w:val="18"/>
              </w:rPr>
              <w:t xml:space="preserve"> 42.681 </w:t>
            </w:r>
          </w:p>
        </w:tc>
        <w:tc>
          <w:tcPr>
            <w:tcW w:w="1276" w:type="dxa"/>
            <w:tcBorders>
              <w:top w:val="single" w:sz="8" w:space="0" w:color="auto"/>
              <w:left w:val="nil"/>
              <w:bottom w:val="single" w:sz="12" w:space="0" w:color="000000"/>
              <w:right w:val="nil"/>
            </w:tcBorders>
            <w:shd w:val="clear" w:color="auto" w:fill="auto"/>
            <w:vAlign w:val="bottom"/>
          </w:tcPr>
          <w:p w14:paraId="3B48F72A" w14:textId="77C50F31" w:rsidR="002B5267" w:rsidRPr="002B5267" w:rsidRDefault="002B5267" w:rsidP="002B5267">
            <w:pPr>
              <w:jc w:val="right"/>
              <w:rPr>
                <w:rFonts w:ascii="Arial" w:hAnsi="Arial" w:cs="Arial"/>
                <w:b/>
                <w:bCs/>
                <w:sz w:val="18"/>
                <w:szCs w:val="18"/>
              </w:rPr>
            </w:pPr>
            <w:r w:rsidRPr="002B5267">
              <w:rPr>
                <w:rFonts w:ascii="Arial" w:hAnsi="Arial" w:cs="Arial"/>
                <w:b/>
                <w:bCs/>
                <w:sz w:val="18"/>
                <w:szCs w:val="18"/>
              </w:rPr>
              <w:t xml:space="preserve"> 153.132 </w:t>
            </w:r>
          </w:p>
        </w:tc>
        <w:tc>
          <w:tcPr>
            <w:tcW w:w="1276" w:type="dxa"/>
            <w:tcBorders>
              <w:top w:val="single" w:sz="8" w:space="0" w:color="auto"/>
              <w:left w:val="nil"/>
              <w:bottom w:val="single" w:sz="12" w:space="0" w:color="000000"/>
              <w:right w:val="nil"/>
            </w:tcBorders>
            <w:shd w:val="clear" w:color="auto" w:fill="auto"/>
            <w:noWrap/>
            <w:vAlign w:val="bottom"/>
          </w:tcPr>
          <w:p w14:paraId="793EC75E" w14:textId="3E1F2A23" w:rsidR="002B5267" w:rsidRPr="002B5267" w:rsidRDefault="002B5267" w:rsidP="002B5267">
            <w:pPr>
              <w:jc w:val="right"/>
              <w:rPr>
                <w:rFonts w:ascii="Arial" w:hAnsi="Arial" w:cs="Arial"/>
                <w:b/>
                <w:bCs/>
                <w:sz w:val="18"/>
                <w:szCs w:val="18"/>
              </w:rPr>
            </w:pPr>
            <w:r w:rsidRPr="002B5267">
              <w:rPr>
                <w:rFonts w:ascii="Arial" w:hAnsi="Arial" w:cs="Arial"/>
                <w:b/>
                <w:bCs/>
                <w:sz w:val="18"/>
                <w:szCs w:val="18"/>
              </w:rPr>
              <w:t xml:space="preserve"> 2.361.477 </w:t>
            </w:r>
          </w:p>
        </w:tc>
      </w:tr>
    </w:tbl>
    <w:p w14:paraId="09D226E9" w14:textId="77777777" w:rsidR="007E383D" w:rsidRPr="003D1614" w:rsidRDefault="007E383D" w:rsidP="001B5068">
      <w:pPr>
        <w:suppressAutoHyphens/>
        <w:autoSpaceDN w:val="0"/>
        <w:jc w:val="both"/>
        <w:rPr>
          <w:rFonts w:ascii="Arial" w:eastAsia="Times New Roman" w:hAnsi="Arial" w:cs="Arial"/>
          <w:color w:val="000000" w:themeColor="text1"/>
          <w:sz w:val="20"/>
          <w:szCs w:val="20"/>
        </w:rPr>
      </w:pPr>
    </w:p>
    <w:p w14:paraId="213BD89F" w14:textId="77777777" w:rsidR="001B5068" w:rsidRPr="003D1614" w:rsidRDefault="001B5068" w:rsidP="001B5068">
      <w:pPr>
        <w:suppressAutoHyphens/>
        <w:autoSpaceDN w:val="0"/>
        <w:jc w:val="both"/>
        <w:rPr>
          <w:rFonts w:ascii="Arial" w:eastAsia="Times New Roman" w:hAnsi="Arial" w:cs="Arial"/>
          <w:color w:val="000000" w:themeColor="text1"/>
          <w:sz w:val="20"/>
          <w:szCs w:val="20"/>
        </w:rPr>
      </w:pPr>
    </w:p>
    <w:p w14:paraId="0FF1FF51" w14:textId="77777777" w:rsidR="001B5068" w:rsidRPr="003D1614" w:rsidRDefault="001B5068" w:rsidP="001B5068">
      <w:pPr>
        <w:suppressAutoHyphens/>
        <w:autoSpaceDN w:val="0"/>
        <w:jc w:val="both"/>
        <w:rPr>
          <w:rFonts w:ascii="Arial" w:eastAsia="Times New Roman" w:hAnsi="Arial" w:cs="Arial"/>
          <w:color w:val="000000" w:themeColor="text1"/>
          <w:sz w:val="20"/>
          <w:szCs w:val="20"/>
        </w:rPr>
      </w:pPr>
    </w:p>
    <w:tbl>
      <w:tblPr>
        <w:tblpPr w:leftFromText="180" w:rightFromText="180" w:vertAnchor="text" w:horzAnchor="margin" w:tblpY="23"/>
        <w:tblW w:w="9499" w:type="dxa"/>
        <w:tblLayout w:type="fixed"/>
        <w:tblLook w:val="04A0" w:firstRow="1" w:lastRow="0" w:firstColumn="1" w:lastColumn="0" w:noHBand="0" w:noVBand="1"/>
      </w:tblPr>
      <w:tblGrid>
        <w:gridCol w:w="1843"/>
        <w:gridCol w:w="1276"/>
        <w:gridCol w:w="1276"/>
        <w:gridCol w:w="1276"/>
        <w:gridCol w:w="1276"/>
        <w:gridCol w:w="1276"/>
        <w:gridCol w:w="1276"/>
      </w:tblGrid>
      <w:tr w:rsidR="003678EA" w:rsidRPr="00C51439" w14:paraId="0CF0FEAC" w14:textId="77777777" w:rsidTr="00DD2D50">
        <w:trPr>
          <w:trHeight w:val="50"/>
        </w:trPr>
        <w:tc>
          <w:tcPr>
            <w:tcW w:w="1843" w:type="dxa"/>
            <w:tcBorders>
              <w:top w:val="nil"/>
              <w:left w:val="nil"/>
              <w:bottom w:val="nil"/>
              <w:right w:val="nil"/>
            </w:tcBorders>
            <w:shd w:val="clear" w:color="auto" w:fill="auto"/>
            <w:noWrap/>
            <w:vAlign w:val="bottom"/>
            <w:hideMark/>
          </w:tcPr>
          <w:p w14:paraId="6C4C049C" w14:textId="77777777" w:rsidR="003678EA" w:rsidRPr="00C51439" w:rsidRDefault="003678EA" w:rsidP="00DD2D50">
            <w:pPr>
              <w:rPr>
                <w:rFonts w:ascii="Arial" w:hAnsi="Arial" w:cs="Arial"/>
                <w:b/>
                <w:color w:val="000000" w:themeColor="text1"/>
                <w:sz w:val="18"/>
                <w:szCs w:val="18"/>
              </w:rPr>
            </w:pPr>
            <w:r w:rsidRPr="00C51439">
              <w:rPr>
                <w:rFonts w:ascii="Arial" w:hAnsi="Arial" w:cs="Arial"/>
                <w:b/>
                <w:color w:val="000000" w:themeColor="text1"/>
                <w:sz w:val="18"/>
                <w:szCs w:val="18"/>
              </w:rPr>
              <w:t>31. prosinca 202</w:t>
            </w:r>
            <w:r>
              <w:rPr>
                <w:rFonts w:ascii="Arial" w:hAnsi="Arial" w:cs="Arial"/>
                <w:b/>
                <w:color w:val="000000" w:themeColor="text1"/>
                <w:sz w:val="18"/>
                <w:szCs w:val="18"/>
              </w:rPr>
              <w:t>3</w:t>
            </w:r>
            <w:r w:rsidRPr="00C51439">
              <w:rPr>
                <w:rFonts w:ascii="Arial" w:hAnsi="Arial" w:cs="Arial"/>
                <w:b/>
                <w:color w:val="000000" w:themeColor="text1"/>
                <w:sz w:val="18"/>
                <w:szCs w:val="18"/>
              </w:rPr>
              <w:t xml:space="preserve">.    </w:t>
            </w:r>
          </w:p>
        </w:tc>
        <w:tc>
          <w:tcPr>
            <w:tcW w:w="1276" w:type="dxa"/>
            <w:tcBorders>
              <w:top w:val="nil"/>
              <w:left w:val="nil"/>
              <w:bottom w:val="nil"/>
              <w:right w:val="nil"/>
            </w:tcBorders>
          </w:tcPr>
          <w:p w14:paraId="3B59BACD" w14:textId="77777777" w:rsidR="003678EA" w:rsidRPr="00C51439" w:rsidRDefault="003678EA" w:rsidP="00DD2D50">
            <w:pPr>
              <w:jc w:val="right"/>
              <w:rPr>
                <w:rFonts w:ascii="Arial" w:hAnsi="Arial" w:cs="Arial"/>
                <w:b/>
                <w:bCs/>
                <w:color w:val="000000" w:themeColor="text1"/>
                <w:sz w:val="18"/>
                <w:szCs w:val="18"/>
              </w:rPr>
            </w:pPr>
          </w:p>
        </w:tc>
        <w:tc>
          <w:tcPr>
            <w:tcW w:w="6380" w:type="dxa"/>
            <w:gridSpan w:val="5"/>
            <w:tcBorders>
              <w:top w:val="nil"/>
              <w:left w:val="nil"/>
              <w:bottom w:val="nil"/>
              <w:right w:val="nil"/>
            </w:tcBorders>
            <w:shd w:val="clear" w:color="auto" w:fill="auto"/>
            <w:noWrap/>
            <w:vAlign w:val="bottom"/>
            <w:hideMark/>
          </w:tcPr>
          <w:p w14:paraId="7C601420" w14:textId="77777777" w:rsidR="003678EA" w:rsidRPr="00C51439" w:rsidRDefault="003678EA" w:rsidP="00DD2D50">
            <w:pPr>
              <w:jc w:val="right"/>
              <w:rPr>
                <w:rFonts w:ascii="Arial" w:hAnsi="Arial" w:cs="Arial"/>
                <w:b/>
                <w:bCs/>
                <w:color w:val="000000" w:themeColor="text1"/>
                <w:sz w:val="18"/>
                <w:szCs w:val="18"/>
              </w:rPr>
            </w:pPr>
            <w:r w:rsidRPr="00C51439">
              <w:rPr>
                <w:rFonts w:ascii="Arial" w:hAnsi="Arial" w:cs="Arial"/>
                <w:b/>
                <w:bCs/>
                <w:color w:val="000000" w:themeColor="text1"/>
                <w:sz w:val="18"/>
                <w:szCs w:val="18"/>
              </w:rPr>
              <w:t>Grupa i Banka</w:t>
            </w:r>
          </w:p>
        </w:tc>
      </w:tr>
      <w:tr w:rsidR="003678EA" w:rsidRPr="00C51439" w14:paraId="7CBCB6B6" w14:textId="77777777" w:rsidTr="00DD2D50">
        <w:trPr>
          <w:trHeight w:val="50"/>
        </w:trPr>
        <w:tc>
          <w:tcPr>
            <w:tcW w:w="1843" w:type="dxa"/>
            <w:tcBorders>
              <w:top w:val="nil"/>
              <w:left w:val="nil"/>
              <w:bottom w:val="nil"/>
              <w:right w:val="nil"/>
            </w:tcBorders>
            <w:shd w:val="clear" w:color="auto" w:fill="auto"/>
            <w:noWrap/>
            <w:vAlign w:val="bottom"/>
            <w:hideMark/>
          </w:tcPr>
          <w:p w14:paraId="1466C775" w14:textId="77777777" w:rsidR="003678EA" w:rsidRPr="00C51439" w:rsidRDefault="003678EA" w:rsidP="00DD2D50">
            <w:pPr>
              <w:jc w:val="right"/>
              <w:rPr>
                <w:rFonts w:ascii="Arial" w:hAnsi="Arial" w:cs="Arial"/>
                <w:b/>
                <w:bCs/>
                <w:color w:val="000000" w:themeColor="text1"/>
                <w:sz w:val="18"/>
                <w:szCs w:val="18"/>
              </w:rPr>
            </w:pPr>
          </w:p>
        </w:tc>
        <w:tc>
          <w:tcPr>
            <w:tcW w:w="1276" w:type="dxa"/>
            <w:tcBorders>
              <w:top w:val="nil"/>
              <w:left w:val="nil"/>
              <w:bottom w:val="nil"/>
              <w:right w:val="nil"/>
            </w:tcBorders>
            <w:shd w:val="clear" w:color="auto" w:fill="auto"/>
            <w:noWrap/>
            <w:vAlign w:val="bottom"/>
            <w:hideMark/>
          </w:tcPr>
          <w:p w14:paraId="45FE851B" w14:textId="77777777" w:rsidR="003678EA" w:rsidRPr="00C51439" w:rsidRDefault="003678EA" w:rsidP="00DD2D50">
            <w:pPr>
              <w:jc w:val="right"/>
              <w:rPr>
                <w:rFonts w:ascii="Arial" w:hAnsi="Arial" w:cs="Arial"/>
                <w:b/>
                <w:bCs/>
                <w:color w:val="000000" w:themeColor="text1"/>
                <w:sz w:val="18"/>
                <w:szCs w:val="18"/>
              </w:rPr>
            </w:pPr>
            <w:r w:rsidRPr="00C51439">
              <w:rPr>
                <w:rFonts w:ascii="Arial" w:hAnsi="Arial" w:cs="Arial"/>
                <w:b/>
                <w:bCs/>
                <w:color w:val="000000" w:themeColor="text1"/>
                <w:sz w:val="18"/>
                <w:szCs w:val="18"/>
              </w:rPr>
              <w:t>Stupanj 1</w:t>
            </w:r>
          </w:p>
        </w:tc>
        <w:tc>
          <w:tcPr>
            <w:tcW w:w="1276" w:type="dxa"/>
            <w:tcBorders>
              <w:top w:val="nil"/>
              <w:left w:val="nil"/>
              <w:bottom w:val="nil"/>
              <w:right w:val="nil"/>
            </w:tcBorders>
            <w:shd w:val="clear" w:color="auto" w:fill="auto"/>
            <w:noWrap/>
            <w:vAlign w:val="bottom"/>
            <w:hideMark/>
          </w:tcPr>
          <w:p w14:paraId="50454017" w14:textId="77777777" w:rsidR="003678EA" w:rsidRPr="00C51439" w:rsidRDefault="003678EA" w:rsidP="00DD2D50">
            <w:pPr>
              <w:jc w:val="right"/>
              <w:rPr>
                <w:rFonts w:ascii="Arial" w:hAnsi="Arial" w:cs="Arial"/>
                <w:b/>
                <w:bCs/>
                <w:color w:val="000000" w:themeColor="text1"/>
                <w:sz w:val="18"/>
                <w:szCs w:val="18"/>
              </w:rPr>
            </w:pPr>
            <w:r w:rsidRPr="00C51439">
              <w:rPr>
                <w:rFonts w:ascii="Arial" w:hAnsi="Arial" w:cs="Arial"/>
                <w:b/>
                <w:bCs/>
                <w:color w:val="000000" w:themeColor="text1"/>
                <w:sz w:val="18"/>
                <w:szCs w:val="18"/>
              </w:rPr>
              <w:t>Stupanj 2</w:t>
            </w:r>
          </w:p>
        </w:tc>
        <w:tc>
          <w:tcPr>
            <w:tcW w:w="1276" w:type="dxa"/>
            <w:tcBorders>
              <w:top w:val="nil"/>
              <w:left w:val="nil"/>
              <w:bottom w:val="nil"/>
              <w:right w:val="nil"/>
            </w:tcBorders>
            <w:shd w:val="clear" w:color="auto" w:fill="auto"/>
            <w:noWrap/>
            <w:vAlign w:val="bottom"/>
            <w:hideMark/>
          </w:tcPr>
          <w:p w14:paraId="0BB87FAF" w14:textId="77777777" w:rsidR="003678EA" w:rsidRPr="00C51439" w:rsidRDefault="003678EA" w:rsidP="00DD2D50">
            <w:pPr>
              <w:jc w:val="right"/>
              <w:rPr>
                <w:rFonts w:ascii="Arial" w:hAnsi="Arial" w:cs="Arial"/>
                <w:b/>
                <w:bCs/>
                <w:color w:val="000000" w:themeColor="text1"/>
                <w:sz w:val="18"/>
                <w:szCs w:val="18"/>
              </w:rPr>
            </w:pPr>
            <w:r w:rsidRPr="00C51439">
              <w:rPr>
                <w:rFonts w:ascii="Arial" w:hAnsi="Arial" w:cs="Arial"/>
                <w:b/>
                <w:bCs/>
                <w:color w:val="000000" w:themeColor="text1"/>
                <w:sz w:val="18"/>
                <w:szCs w:val="18"/>
              </w:rPr>
              <w:t>Stupanj 3</w:t>
            </w:r>
          </w:p>
        </w:tc>
        <w:tc>
          <w:tcPr>
            <w:tcW w:w="2552" w:type="dxa"/>
            <w:gridSpan w:val="2"/>
            <w:tcBorders>
              <w:top w:val="nil"/>
              <w:left w:val="nil"/>
              <w:bottom w:val="nil"/>
              <w:right w:val="nil"/>
            </w:tcBorders>
          </w:tcPr>
          <w:p w14:paraId="4007216F" w14:textId="77777777" w:rsidR="003678EA" w:rsidRPr="008A2337" w:rsidRDefault="003678EA" w:rsidP="00DD2D50">
            <w:pPr>
              <w:jc w:val="center"/>
              <w:rPr>
                <w:rFonts w:ascii="Arial" w:hAnsi="Arial" w:cs="Arial"/>
                <w:b/>
                <w:bCs/>
                <w:color w:val="000000" w:themeColor="text1"/>
                <w:sz w:val="18"/>
                <w:szCs w:val="18"/>
              </w:rPr>
            </w:pPr>
            <w:r w:rsidRPr="008A2337">
              <w:rPr>
                <w:rFonts w:ascii="Arial" w:hAnsi="Arial" w:cs="Arial"/>
                <w:b/>
                <w:bCs/>
                <w:color w:val="000000" w:themeColor="text1"/>
                <w:sz w:val="18"/>
                <w:szCs w:val="18"/>
              </w:rPr>
              <w:t>POCI</w:t>
            </w:r>
          </w:p>
        </w:tc>
        <w:tc>
          <w:tcPr>
            <w:tcW w:w="1276" w:type="dxa"/>
            <w:tcBorders>
              <w:top w:val="nil"/>
              <w:left w:val="nil"/>
              <w:bottom w:val="nil"/>
              <w:right w:val="nil"/>
            </w:tcBorders>
            <w:shd w:val="clear" w:color="auto" w:fill="auto"/>
            <w:noWrap/>
            <w:vAlign w:val="bottom"/>
            <w:hideMark/>
          </w:tcPr>
          <w:p w14:paraId="6C9A7663" w14:textId="77777777" w:rsidR="003678EA" w:rsidRPr="00C51439" w:rsidRDefault="003678EA" w:rsidP="00DD2D50">
            <w:pPr>
              <w:jc w:val="right"/>
              <w:rPr>
                <w:rFonts w:ascii="Arial" w:hAnsi="Arial" w:cs="Arial"/>
                <w:b/>
                <w:bCs/>
                <w:color w:val="000000" w:themeColor="text1"/>
                <w:sz w:val="18"/>
                <w:szCs w:val="18"/>
              </w:rPr>
            </w:pPr>
            <w:r w:rsidRPr="00C51439">
              <w:rPr>
                <w:rFonts w:ascii="Arial" w:hAnsi="Arial" w:cs="Arial"/>
                <w:b/>
                <w:bCs/>
                <w:color w:val="000000" w:themeColor="text1"/>
                <w:sz w:val="18"/>
                <w:szCs w:val="18"/>
              </w:rPr>
              <w:t>Ukupno</w:t>
            </w:r>
          </w:p>
        </w:tc>
      </w:tr>
      <w:tr w:rsidR="003678EA" w:rsidRPr="00C51439" w14:paraId="423167F2" w14:textId="77777777" w:rsidTr="00DD2D50">
        <w:trPr>
          <w:trHeight w:val="50"/>
        </w:trPr>
        <w:tc>
          <w:tcPr>
            <w:tcW w:w="1843" w:type="dxa"/>
            <w:tcBorders>
              <w:top w:val="nil"/>
              <w:left w:val="nil"/>
              <w:bottom w:val="nil"/>
              <w:right w:val="nil"/>
            </w:tcBorders>
            <w:shd w:val="clear" w:color="auto" w:fill="auto"/>
            <w:noWrap/>
            <w:vAlign w:val="bottom"/>
          </w:tcPr>
          <w:p w14:paraId="6EBA62F8" w14:textId="77777777" w:rsidR="003678EA" w:rsidRPr="00C51439" w:rsidRDefault="003678EA" w:rsidP="00DD2D50">
            <w:pPr>
              <w:jc w:val="right"/>
              <w:rPr>
                <w:rFonts w:ascii="Arial" w:hAnsi="Arial" w:cs="Arial"/>
                <w:b/>
                <w:bCs/>
                <w:color w:val="000000" w:themeColor="text1"/>
                <w:sz w:val="18"/>
                <w:szCs w:val="18"/>
              </w:rPr>
            </w:pPr>
          </w:p>
        </w:tc>
        <w:tc>
          <w:tcPr>
            <w:tcW w:w="1276" w:type="dxa"/>
            <w:tcBorders>
              <w:top w:val="nil"/>
              <w:left w:val="nil"/>
              <w:bottom w:val="nil"/>
              <w:right w:val="nil"/>
            </w:tcBorders>
            <w:shd w:val="clear" w:color="auto" w:fill="auto"/>
            <w:noWrap/>
            <w:vAlign w:val="bottom"/>
          </w:tcPr>
          <w:p w14:paraId="7F73B1DC" w14:textId="77777777" w:rsidR="003678EA" w:rsidRPr="00C51439" w:rsidRDefault="003678EA" w:rsidP="00DD2D50">
            <w:pPr>
              <w:jc w:val="right"/>
              <w:rPr>
                <w:rFonts w:ascii="Arial" w:hAnsi="Arial" w:cs="Arial"/>
                <w:b/>
                <w:bCs/>
                <w:color w:val="000000" w:themeColor="text1"/>
                <w:sz w:val="18"/>
                <w:szCs w:val="18"/>
              </w:rPr>
            </w:pPr>
          </w:p>
        </w:tc>
        <w:tc>
          <w:tcPr>
            <w:tcW w:w="1276" w:type="dxa"/>
            <w:tcBorders>
              <w:top w:val="nil"/>
              <w:left w:val="nil"/>
              <w:bottom w:val="nil"/>
              <w:right w:val="nil"/>
            </w:tcBorders>
            <w:shd w:val="clear" w:color="auto" w:fill="auto"/>
            <w:noWrap/>
            <w:vAlign w:val="bottom"/>
          </w:tcPr>
          <w:p w14:paraId="147B492C" w14:textId="77777777" w:rsidR="003678EA" w:rsidRPr="00C51439" w:rsidRDefault="003678EA" w:rsidP="00DD2D50">
            <w:pPr>
              <w:jc w:val="right"/>
              <w:rPr>
                <w:rFonts w:ascii="Arial" w:hAnsi="Arial" w:cs="Arial"/>
                <w:b/>
                <w:bCs/>
                <w:color w:val="000000" w:themeColor="text1"/>
                <w:sz w:val="18"/>
                <w:szCs w:val="18"/>
              </w:rPr>
            </w:pPr>
          </w:p>
        </w:tc>
        <w:tc>
          <w:tcPr>
            <w:tcW w:w="1276" w:type="dxa"/>
            <w:tcBorders>
              <w:top w:val="nil"/>
              <w:left w:val="nil"/>
              <w:bottom w:val="nil"/>
              <w:right w:val="nil"/>
            </w:tcBorders>
            <w:shd w:val="clear" w:color="auto" w:fill="auto"/>
            <w:noWrap/>
            <w:vAlign w:val="bottom"/>
          </w:tcPr>
          <w:p w14:paraId="58B2E763" w14:textId="77777777" w:rsidR="003678EA" w:rsidRPr="00C51439" w:rsidRDefault="003678EA" w:rsidP="00DD2D50">
            <w:pPr>
              <w:jc w:val="right"/>
              <w:rPr>
                <w:rFonts w:ascii="Arial" w:hAnsi="Arial" w:cs="Arial"/>
                <w:b/>
                <w:bCs/>
                <w:color w:val="000000" w:themeColor="text1"/>
                <w:sz w:val="18"/>
                <w:szCs w:val="18"/>
              </w:rPr>
            </w:pPr>
          </w:p>
        </w:tc>
        <w:tc>
          <w:tcPr>
            <w:tcW w:w="1276" w:type="dxa"/>
            <w:tcBorders>
              <w:top w:val="nil"/>
              <w:left w:val="nil"/>
              <w:bottom w:val="nil"/>
              <w:right w:val="nil"/>
            </w:tcBorders>
            <w:shd w:val="clear" w:color="auto" w:fill="auto"/>
            <w:vAlign w:val="bottom"/>
          </w:tcPr>
          <w:p w14:paraId="6263A8F7" w14:textId="77777777" w:rsidR="003678EA" w:rsidRPr="00F959D0" w:rsidRDefault="003678EA" w:rsidP="00DD2D50">
            <w:pPr>
              <w:jc w:val="right"/>
              <w:rPr>
                <w:rFonts w:ascii="Arial" w:hAnsi="Arial" w:cs="Arial"/>
                <w:b/>
                <w:bCs/>
                <w:color w:val="000000" w:themeColor="text1"/>
                <w:sz w:val="18"/>
                <w:szCs w:val="18"/>
              </w:rPr>
            </w:pPr>
            <w:r w:rsidRPr="008A2337">
              <w:rPr>
                <w:rFonts w:ascii="Arial" w:hAnsi="Arial" w:cs="Arial"/>
                <w:b/>
                <w:bCs/>
                <w:color w:val="000000" w:themeColor="text1"/>
                <w:sz w:val="18"/>
                <w:szCs w:val="18"/>
              </w:rPr>
              <w:t>Stupanj 2</w:t>
            </w:r>
          </w:p>
        </w:tc>
        <w:tc>
          <w:tcPr>
            <w:tcW w:w="1276" w:type="dxa"/>
            <w:tcBorders>
              <w:top w:val="nil"/>
              <w:left w:val="nil"/>
              <w:bottom w:val="nil"/>
              <w:right w:val="nil"/>
            </w:tcBorders>
            <w:shd w:val="clear" w:color="auto" w:fill="auto"/>
            <w:vAlign w:val="bottom"/>
          </w:tcPr>
          <w:p w14:paraId="2455EA11" w14:textId="77777777" w:rsidR="003678EA" w:rsidRPr="00F959D0" w:rsidRDefault="003678EA" w:rsidP="00DD2D50">
            <w:pPr>
              <w:jc w:val="right"/>
              <w:rPr>
                <w:rFonts w:ascii="Arial" w:hAnsi="Arial" w:cs="Arial"/>
                <w:b/>
                <w:bCs/>
                <w:color w:val="000000" w:themeColor="text1"/>
                <w:sz w:val="18"/>
                <w:szCs w:val="18"/>
              </w:rPr>
            </w:pPr>
            <w:r w:rsidRPr="008A2337">
              <w:rPr>
                <w:rFonts w:ascii="Arial" w:hAnsi="Arial" w:cs="Arial"/>
                <w:b/>
                <w:bCs/>
                <w:color w:val="000000" w:themeColor="text1"/>
                <w:sz w:val="18"/>
                <w:szCs w:val="18"/>
              </w:rPr>
              <w:t>Stupanj 3</w:t>
            </w:r>
          </w:p>
        </w:tc>
        <w:tc>
          <w:tcPr>
            <w:tcW w:w="1276" w:type="dxa"/>
            <w:tcBorders>
              <w:top w:val="nil"/>
              <w:left w:val="nil"/>
              <w:bottom w:val="nil"/>
              <w:right w:val="nil"/>
            </w:tcBorders>
            <w:shd w:val="clear" w:color="auto" w:fill="auto"/>
            <w:noWrap/>
            <w:vAlign w:val="bottom"/>
          </w:tcPr>
          <w:p w14:paraId="0F015BF4" w14:textId="77777777" w:rsidR="003678EA" w:rsidRPr="00C51439" w:rsidRDefault="003678EA" w:rsidP="00DD2D50">
            <w:pPr>
              <w:jc w:val="right"/>
              <w:rPr>
                <w:rFonts w:ascii="Arial" w:hAnsi="Arial" w:cs="Arial"/>
                <w:b/>
                <w:bCs/>
                <w:color w:val="000000" w:themeColor="text1"/>
                <w:sz w:val="18"/>
                <w:szCs w:val="18"/>
              </w:rPr>
            </w:pPr>
          </w:p>
        </w:tc>
      </w:tr>
      <w:tr w:rsidR="003678EA" w:rsidRPr="00C51439" w14:paraId="602D92E2" w14:textId="77777777" w:rsidTr="00DD2D50">
        <w:trPr>
          <w:trHeight w:val="50"/>
        </w:trPr>
        <w:tc>
          <w:tcPr>
            <w:tcW w:w="1843" w:type="dxa"/>
            <w:tcBorders>
              <w:top w:val="nil"/>
              <w:left w:val="nil"/>
              <w:bottom w:val="nil"/>
              <w:right w:val="nil"/>
            </w:tcBorders>
            <w:shd w:val="clear" w:color="auto" w:fill="auto"/>
            <w:noWrap/>
            <w:vAlign w:val="bottom"/>
            <w:hideMark/>
          </w:tcPr>
          <w:p w14:paraId="7C6D939D" w14:textId="77777777" w:rsidR="003678EA" w:rsidRPr="00C51439" w:rsidRDefault="003678EA" w:rsidP="00DD2D50">
            <w:pPr>
              <w:jc w:val="right"/>
              <w:rPr>
                <w:rFonts w:ascii="Arial" w:hAnsi="Arial" w:cs="Arial"/>
                <w:b/>
                <w:bCs/>
                <w:color w:val="000000" w:themeColor="text1"/>
                <w:sz w:val="18"/>
                <w:szCs w:val="18"/>
              </w:rPr>
            </w:pPr>
          </w:p>
        </w:tc>
        <w:tc>
          <w:tcPr>
            <w:tcW w:w="1276" w:type="dxa"/>
            <w:tcBorders>
              <w:top w:val="nil"/>
              <w:left w:val="nil"/>
              <w:bottom w:val="nil"/>
              <w:right w:val="nil"/>
            </w:tcBorders>
            <w:shd w:val="clear" w:color="auto" w:fill="auto"/>
            <w:noWrap/>
            <w:vAlign w:val="bottom"/>
            <w:hideMark/>
          </w:tcPr>
          <w:p w14:paraId="12C4F309" w14:textId="77777777" w:rsidR="003678EA" w:rsidRPr="00C51439" w:rsidRDefault="003678EA" w:rsidP="00DD2D50">
            <w:pPr>
              <w:jc w:val="right"/>
              <w:rPr>
                <w:rFonts w:ascii="Arial" w:hAnsi="Arial" w:cs="Arial"/>
                <w:b/>
                <w:bCs/>
                <w:color w:val="000000" w:themeColor="text1"/>
                <w:sz w:val="18"/>
                <w:szCs w:val="18"/>
              </w:rPr>
            </w:pPr>
            <w:r w:rsidRPr="00C51439">
              <w:rPr>
                <w:rFonts w:ascii="Arial" w:hAnsi="Arial" w:cs="Arial"/>
                <w:b/>
                <w:bCs/>
                <w:color w:val="000000" w:themeColor="text1"/>
                <w:sz w:val="18"/>
                <w:szCs w:val="18"/>
              </w:rPr>
              <w:t xml:space="preserve">000 </w:t>
            </w:r>
            <w:r>
              <w:rPr>
                <w:rFonts w:ascii="Arial" w:hAnsi="Arial" w:cs="Arial"/>
                <w:b/>
                <w:bCs/>
                <w:color w:val="000000" w:themeColor="text1"/>
                <w:sz w:val="18"/>
                <w:szCs w:val="18"/>
              </w:rPr>
              <w:t>eura</w:t>
            </w:r>
          </w:p>
        </w:tc>
        <w:tc>
          <w:tcPr>
            <w:tcW w:w="1276" w:type="dxa"/>
            <w:tcBorders>
              <w:top w:val="nil"/>
              <w:left w:val="nil"/>
              <w:bottom w:val="nil"/>
              <w:right w:val="nil"/>
            </w:tcBorders>
            <w:shd w:val="clear" w:color="auto" w:fill="auto"/>
            <w:noWrap/>
            <w:vAlign w:val="bottom"/>
            <w:hideMark/>
          </w:tcPr>
          <w:p w14:paraId="28AC63A2" w14:textId="77777777" w:rsidR="003678EA" w:rsidRPr="00C51439" w:rsidRDefault="003678EA" w:rsidP="00DD2D50">
            <w:pPr>
              <w:jc w:val="right"/>
              <w:rPr>
                <w:rFonts w:ascii="Arial" w:hAnsi="Arial" w:cs="Arial"/>
                <w:b/>
                <w:bCs/>
                <w:color w:val="000000" w:themeColor="text1"/>
                <w:sz w:val="18"/>
                <w:szCs w:val="18"/>
              </w:rPr>
            </w:pPr>
            <w:r w:rsidRPr="00C51439">
              <w:rPr>
                <w:rFonts w:ascii="Arial" w:hAnsi="Arial" w:cs="Arial"/>
                <w:b/>
                <w:bCs/>
                <w:color w:val="000000" w:themeColor="text1"/>
                <w:sz w:val="18"/>
                <w:szCs w:val="18"/>
              </w:rPr>
              <w:t xml:space="preserve">000 </w:t>
            </w:r>
            <w:r>
              <w:rPr>
                <w:rFonts w:ascii="Arial" w:hAnsi="Arial" w:cs="Arial"/>
                <w:b/>
                <w:bCs/>
                <w:color w:val="000000" w:themeColor="text1"/>
                <w:sz w:val="18"/>
                <w:szCs w:val="18"/>
              </w:rPr>
              <w:t>eura</w:t>
            </w:r>
          </w:p>
        </w:tc>
        <w:tc>
          <w:tcPr>
            <w:tcW w:w="1276" w:type="dxa"/>
            <w:tcBorders>
              <w:top w:val="nil"/>
              <w:left w:val="nil"/>
              <w:bottom w:val="nil"/>
              <w:right w:val="nil"/>
            </w:tcBorders>
            <w:shd w:val="clear" w:color="auto" w:fill="auto"/>
            <w:noWrap/>
            <w:vAlign w:val="bottom"/>
            <w:hideMark/>
          </w:tcPr>
          <w:p w14:paraId="7876FCA3" w14:textId="77777777" w:rsidR="003678EA" w:rsidRPr="00C51439" w:rsidRDefault="003678EA" w:rsidP="00DD2D50">
            <w:pPr>
              <w:jc w:val="right"/>
              <w:rPr>
                <w:rFonts w:ascii="Arial" w:hAnsi="Arial" w:cs="Arial"/>
                <w:b/>
                <w:bCs/>
                <w:color w:val="000000" w:themeColor="text1"/>
                <w:sz w:val="18"/>
                <w:szCs w:val="18"/>
              </w:rPr>
            </w:pPr>
            <w:r w:rsidRPr="00C51439">
              <w:rPr>
                <w:rFonts w:ascii="Arial" w:hAnsi="Arial" w:cs="Arial"/>
                <w:b/>
                <w:bCs/>
                <w:color w:val="000000" w:themeColor="text1"/>
                <w:sz w:val="18"/>
                <w:szCs w:val="18"/>
              </w:rPr>
              <w:t xml:space="preserve">000 </w:t>
            </w:r>
            <w:r>
              <w:rPr>
                <w:rFonts w:ascii="Arial" w:hAnsi="Arial" w:cs="Arial"/>
                <w:b/>
                <w:bCs/>
                <w:color w:val="000000" w:themeColor="text1"/>
                <w:sz w:val="18"/>
                <w:szCs w:val="18"/>
              </w:rPr>
              <w:t>eura</w:t>
            </w:r>
          </w:p>
        </w:tc>
        <w:tc>
          <w:tcPr>
            <w:tcW w:w="1276" w:type="dxa"/>
            <w:tcBorders>
              <w:top w:val="nil"/>
              <w:left w:val="nil"/>
              <w:bottom w:val="nil"/>
              <w:right w:val="nil"/>
            </w:tcBorders>
          </w:tcPr>
          <w:p w14:paraId="07C701AA" w14:textId="77777777" w:rsidR="003678EA" w:rsidRPr="00F959D0" w:rsidRDefault="003678EA" w:rsidP="00DD2D50">
            <w:pPr>
              <w:jc w:val="right"/>
              <w:rPr>
                <w:rFonts w:ascii="Arial" w:hAnsi="Arial" w:cs="Arial"/>
                <w:b/>
                <w:bCs/>
                <w:color w:val="000000" w:themeColor="text1"/>
                <w:sz w:val="18"/>
                <w:szCs w:val="18"/>
              </w:rPr>
            </w:pPr>
            <w:r w:rsidRPr="008A2337">
              <w:rPr>
                <w:rFonts w:ascii="Arial" w:hAnsi="Arial" w:cs="Arial"/>
                <w:b/>
                <w:bCs/>
                <w:color w:val="000000" w:themeColor="text1"/>
                <w:sz w:val="18"/>
                <w:szCs w:val="18"/>
              </w:rPr>
              <w:t>000 eura</w:t>
            </w:r>
          </w:p>
        </w:tc>
        <w:tc>
          <w:tcPr>
            <w:tcW w:w="1276" w:type="dxa"/>
            <w:tcBorders>
              <w:top w:val="nil"/>
              <w:left w:val="nil"/>
              <w:bottom w:val="nil"/>
              <w:right w:val="nil"/>
            </w:tcBorders>
            <w:shd w:val="clear" w:color="auto" w:fill="auto"/>
            <w:vAlign w:val="bottom"/>
          </w:tcPr>
          <w:p w14:paraId="78978164" w14:textId="77777777" w:rsidR="003678EA" w:rsidRPr="008A2337" w:rsidRDefault="003678EA" w:rsidP="00DD2D50">
            <w:pPr>
              <w:jc w:val="right"/>
              <w:rPr>
                <w:rFonts w:ascii="Arial" w:hAnsi="Arial" w:cs="Arial"/>
                <w:b/>
                <w:bCs/>
                <w:color w:val="000000" w:themeColor="text1"/>
                <w:sz w:val="18"/>
                <w:szCs w:val="18"/>
              </w:rPr>
            </w:pPr>
            <w:r w:rsidRPr="008A2337">
              <w:rPr>
                <w:rFonts w:ascii="Arial" w:hAnsi="Arial" w:cs="Arial"/>
                <w:b/>
                <w:bCs/>
                <w:color w:val="000000" w:themeColor="text1"/>
                <w:sz w:val="18"/>
                <w:szCs w:val="18"/>
              </w:rPr>
              <w:t>000 eura</w:t>
            </w:r>
          </w:p>
        </w:tc>
        <w:tc>
          <w:tcPr>
            <w:tcW w:w="1276" w:type="dxa"/>
            <w:tcBorders>
              <w:top w:val="nil"/>
              <w:left w:val="nil"/>
              <w:bottom w:val="nil"/>
              <w:right w:val="nil"/>
            </w:tcBorders>
            <w:shd w:val="clear" w:color="auto" w:fill="auto"/>
            <w:noWrap/>
            <w:vAlign w:val="bottom"/>
            <w:hideMark/>
          </w:tcPr>
          <w:p w14:paraId="674BC0BA" w14:textId="77777777" w:rsidR="003678EA" w:rsidRPr="00C51439" w:rsidRDefault="003678EA" w:rsidP="00DD2D50">
            <w:pPr>
              <w:jc w:val="right"/>
              <w:rPr>
                <w:rFonts w:ascii="Arial" w:hAnsi="Arial" w:cs="Arial"/>
                <w:b/>
                <w:bCs/>
                <w:color w:val="000000" w:themeColor="text1"/>
                <w:sz w:val="18"/>
                <w:szCs w:val="18"/>
              </w:rPr>
            </w:pPr>
            <w:r w:rsidRPr="00C51439">
              <w:rPr>
                <w:rFonts w:ascii="Arial" w:hAnsi="Arial" w:cs="Arial"/>
                <w:b/>
                <w:bCs/>
                <w:color w:val="000000" w:themeColor="text1"/>
                <w:sz w:val="18"/>
                <w:szCs w:val="18"/>
              </w:rPr>
              <w:t xml:space="preserve">000 </w:t>
            </w:r>
            <w:r>
              <w:rPr>
                <w:rFonts w:ascii="Arial" w:hAnsi="Arial" w:cs="Arial"/>
                <w:b/>
                <w:bCs/>
                <w:color w:val="000000" w:themeColor="text1"/>
                <w:sz w:val="18"/>
                <w:szCs w:val="18"/>
              </w:rPr>
              <w:t>eura</w:t>
            </w:r>
          </w:p>
        </w:tc>
      </w:tr>
      <w:tr w:rsidR="003678EA" w:rsidRPr="00C51439" w14:paraId="6D83BE80" w14:textId="77777777" w:rsidTr="00DD2D50">
        <w:trPr>
          <w:trHeight w:val="155"/>
        </w:trPr>
        <w:tc>
          <w:tcPr>
            <w:tcW w:w="1843" w:type="dxa"/>
            <w:tcBorders>
              <w:top w:val="nil"/>
              <w:left w:val="nil"/>
              <w:bottom w:val="nil"/>
              <w:right w:val="nil"/>
            </w:tcBorders>
            <w:shd w:val="clear" w:color="auto" w:fill="auto"/>
            <w:noWrap/>
            <w:vAlign w:val="bottom"/>
          </w:tcPr>
          <w:p w14:paraId="4F68D6D8" w14:textId="77777777" w:rsidR="003678EA" w:rsidRPr="00C51439" w:rsidRDefault="003678EA" w:rsidP="00DD2D50">
            <w:pPr>
              <w:jc w:val="right"/>
              <w:rPr>
                <w:rFonts w:ascii="Arial" w:hAnsi="Arial" w:cs="Arial"/>
                <w:b/>
                <w:bCs/>
                <w:color w:val="000000" w:themeColor="text1"/>
                <w:sz w:val="18"/>
                <w:szCs w:val="18"/>
              </w:rPr>
            </w:pPr>
          </w:p>
        </w:tc>
        <w:tc>
          <w:tcPr>
            <w:tcW w:w="1276" w:type="dxa"/>
            <w:tcBorders>
              <w:top w:val="nil"/>
              <w:left w:val="nil"/>
              <w:bottom w:val="nil"/>
              <w:right w:val="nil"/>
            </w:tcBorders>
            <w:shd w:val="clear" w:color="auto" w:fill="auto"/>
            <w:noWrap/>
            <w:vAlign w:val="bottom"/>
          </w:tcPr>
          <w:p w14:paraId="04070825" w14:textId="77777777" w:rsidR="003678EA" w:rsidRPr="00C51439" w:rsidRDefault="003678EA" w:rsidP="00DD2D50">
            <w:pPr>
              <w:jc w:val="right"/>
              <w:rPr>
                <w:rFonts w:ascii="Arial" w:hAnsi="Arial" w:cs="Arial"/>
                <w:b/>
                <w:bCs/>
                <w:color w:val="000000" w:themeColor="text1"/>
                <w:sz w:val="18"/>
                <w:szCs w:val="18"/>
              </w:rPr>
            </w:pPr>
          </w:p>
        </w:tc>
        <w:tc>
          <w:tcPr>
            <w:tcW w:w="1276" w:type="dxa"/>
            <w:tcBorders>
              <w:top w:val="nil"/>
              <w:left w:val="nil"/>
              <w:bottom w:val="nil"/>
              <w:right w:val="nil"/>
            </w:tcBorders>
            <w:shd w:val="clear" w:color="auto" w:fill="auto"/>
            <w:noWrap/>
            <w:vAlign w:val="bottom"/>
          </w:tcPr>
          <w:p w14:paraId="1CD02798" w14:textId="77777777" w:rsidR="003678EA" w:rsidRPr="00C51439" w:rsidRDefault="003678EA" w:rsidP="00DD2D50">
            <w:pPr>
              <w:jc w:val="right"/>
              <w:rPr>
                <w:rFonts w:ascii="Arial" w:hAnsi="Arial" w:cs="Arial"/>
                <w:b/>
                <w:bCs/>
                <w:color w:val="000000" w:themeColor="text1"/>
                <w:sz w:val="18"/>
                <w:szCs w:val="18"/>
              </w:rPr>
            </w:pPr>
          </w:p>
        </w:tc>
        <w:tc>
          <w:tcPr>
            <w:tcW w:w="1276" w:type="dxa"/>
            <w:tcBorders>
              <w:top w:val="nil"/>
              <w:left w:val="nil"/>
              <w:bottom w:val="nil"/>
              <w:right w:val="nil"/>
            </w:tcBorders>
            <w:shd w:val="clear" w:color="auto" w:fill="auto"/>
            <w:noWrap/>
            <w:vAlign w:val="bottom"/>
          </w:tcPr>
          <w:p w14:paraId="788BB5E0" w14:textId="77777777" w:rsidR="003678EA" w:rsidRPr="00C51439" w:rsidRDefault="003678EA" w:rsidP="00DD2D50">
            <w:pPr>
              <w:jc w:val="right"/>
              <w:rPr>
                <w:rFonts w:ascii="Arial" w:hAnsi="Arial" w:cs="Arial"/>
                <w:b/>
                <w:bCs/>
                <w:color w:val="000000" w:themeColor="text1"/>
                <w:sz w:val="18"/>
                <w:szCs w:val="18"/>
              </w:rPr>
            </w:pPr>
          </w:p>
        </w:tc>
        <w:tc>
          <w:tcPr>
            <w:tcW w:w="1276" w:type="dxa"/>
            <w:tcBorders>
              <w:top w:val="nil"/>
              <w:left w:val="nil"/>
              <w:bottom w:val="nil"/>
              <w:right w:val="nil"/>
            </w:tcBorders>
          </w:tcPr>
          <w:p w14:paraId="22CD5367" w14:textId="77777777" w:rsidR="003678EA" w:rsidRPr="00B97AA5" w:rsidRDefault="003678EA" w:rsidP="00DD2D50">
            <w:pPr>
              <w:jc w:val="right"/>
              <w:rPr>
                <w:rFonts w:ascii="Arial" w:hAnsi="Arial" w:cs="Arial"/>
                <w:b/>
                <w:bCs/>
                <w:color w:val="000000" w:themeColor="text1"/>
                <w:sz w:val="18"/>
                <w:szCs w:val="18"/>
                <w:highlight w:val="yellow"/>
              </w:rPr>
            </w:pPr>
          </w:p>
        </w:tc>
        <w:tc>
          <w:tcPr>
            <w:tcW w:w="1276" w:type="dxa"/>
            <w:tcBorders>
              <w:top w:val="nil"/>
              <w:left w:val="nil"/>
              <w:bottom w:val="nil"/>
              <w:right w:val="nil"/>
            </w:tcBorders>
          </w:tcPr>
          <w:p w14:paraId="3A05682A" w14:textId="77777777" w:rsidR="003678EA" w:rsidRPr="00F959D0" w:rsidRDefault="003678EA" w:rsidP="00DD2D50">
            <w:pPr>
              <w:jc w:val="right"/>
              <w:rPr>
                <w:rFonts w:ascii="Arial" w:hAnsi="Arial" w:cs="Arial"/>
                <w:b/>
                <w:bCs/>
                <w:color w:val="000000" w:themeColor="text1"/>
                <w:sz w:val="18"/>
                <w:szCs w:val="18"/>
                <w:highlight w:val="yellow"/>
              </w:rPr>
            </w:pPr>
          </w:p>
        </w:tc>
        <w:tc>
          <w:tcPr>
            <w:tcW w:w="1276" w:type="dxa"/>
            <w:tcBorders>
              <w:top w:val="nil"/>
              <w:left w:val="nil"/>
              <w:bottom w:val="nil"/>
              <w:right w:val="nil"/>
            </w:tcBorders>
            <w:shd w:val="clear" w:color="auto" w:fill="auto"/>
            <w:noWrap/>
            <w:vAlign w:val="bottom"/>
          </w:tcPr>
          <w:p w14:paraId="7C79F39D" w14:textId="77777777" w:rsidR="003678EA" w:rsidRPr="00C51439" w:rsidRDefault="003678EA" w:rsidP="00DD2D50">
            <w:pPr>
              <w:jc w:val="right"/>
              <w:rPr>
                <w:rFonts w:ascii="Arial" w:hAnsi="Arial" w:cs="Arial"/>
                <w:b/>
                <w:bCs/>
                <w:color w:val="000000" w:themeColor="text1"/>
                <w:sz w:val="18"/>
                <w:szCs w:val="18"/>
              </w:rPr>
            </w:pPr>
          </w:p>
        </w:tc>
      </w:tr>
      <w:tr w:rsidR="003678EA" w:rsidRPr="00C51439" w14:paraId="2C7E1F3B" w14:textId="77777777" w:rsidTr="00DD2D50">
        <w:trPr>
          <w:trHeight w:val="340"/>
        </w:trPr>
        <w:tc>
          <w:tcPr>
            <w:tcW w:w="1843" w:type="dxa"/>
            <w:tcBorders>
              <w:top w:val="nil"/>
              <w:left w:val="nil"/>
              <w:bottom w:val="nil"/>
              <w:right w:val="nil"/>
            </w:tcBorders>
            <w:shd w:val="clear" w:color="auto" w:fill="auto"/>
            <w:noWrap/>
            <w:vAlign w:val="bottom"/>
            <w:hideMark/>
          </w:tcPr>
          <w:p w14:paraId="72302710" w14:textId="77777777" w:rsidR="003678EA" w:rsidRPr="00C51439" w:rsidRDefault="003678EA" w:rsidP="00DD2D50">
            <w:pPr>
              <w:rPr>
                <w:rFonts w:ascii="Arial" w:hAnsi="Arial" w:cs="Arial"/>
                <w:color w:val="000000" w:themeColor="text1"/>
                <w:sz w:val="18"/>
                <w:szCs w:val="18"/>
              </w:rPr>
            </w:pPr>
            <w:r w:rsidRPr="00C51439">
              <w:rPr>
                <w:rFonts w:ascii="Arial" w:hAnsi="Arial" w:cs="Arial"/>
                <w:color w:val="000000" w:themeColor="text1"/>
                <w:sz w:val="18"/>
                <w:szCs w:val="18"/>
              </w:rPr>
              <w:t>Bruto iznos</w:t>
            </w:r>
          </w:p>
        </w:tc>
        <w:tc>
          <w:tcPr>
            <w:tcW w:w="1276" w:type="dxa"/>
            <w:tcBorders>
              <w:top w:val="nil"/>
              <w:left w:val="nil"/>
              <w:bottom w:val="nil"/>
              <w:right w:val="nil"/>
            </w:tcBorders>
            <w:shd w:val="clear" w:color="auto" w:fill="auto"/>
            <w:noWrap/>
            <w:vAlign w:val="bottom"/>
          </w:tcPr>
          <w:p w14:paraId="3C5786AD" w14:textId="77777777" w:rsidR="003678EA" w:rsidRPr="00DA3A0E" w:rsidRDefault="003678EA" w:rsidP="00DD2D50">
            <w:pPr>
              <w:jc w:val="right"/>
              <w:rPr>
                <w:rFonts w:ascii="Arial" w:hAnsi="Arial" w:cs="Arial"/>
                <w:sz w:val="18"/>
                <w:szCs w:val="18"/>
              </w:rPr>
            </w:pPr>
            <w:r w:rsidRPr="00F959D0">
              <w:rPr>
                <w:rFonts w:ascii="Arial" w:hAnsi="Arial" w:cs="Arial"/>
                <w:sz w:val="18"/>
                <w:szCs w:val="18"/>
              </w:rPr>
              <w:t>1.816.277</w:t>
            </w:r>
          </w:p>
        </w:tc>
        <w:tc>
          <w:tcPr>
            <w:tcW w:w="1276" w:type="dxa"/>
            <w:tcBorders>
              <w:top w:val="nil"/>
              <w:left w:val="nil"/>
              <w:bottom w:val="nil"/>
              <w:right w:val="nil"/>
            </w:tcBorders>
            <w:shd w:val="clear" w:color="auto" w:fill="auto"/>
            <w:noWrap/>
            <w:vAlign w:val="bottom"/>
          </w:tcPr>
          <w:p w14:paraId="04D66A0D" w14:textId="77777777" w:rsidR="003678EA" w:rsidRPr="00DA3A0E" w:rsidRDefault="003678EA" w:rsidP="00DD2D50">
            <w:pPr>
              <w:jc w:val="right"/>
              <w:rPr>
                <w:rFonts w:ascii="Arial" w:hAnsi="Arial" w:cs="Arial"/>
                <w:sz w:val="18"/>
                <w:szCs w:val="18"/>
              </w:rPr>
            </w:pPr>
            <w:r w:rsidRPr="00F959D0">
              <w:rPr>
                <w:rFonts w:ascii="Arial" w:hAnsi="Arial" w:cs="Arial"/>
                <w:sz w:val="18"/>
                <w:szCs w:val="18"/>
              </w:rPr>
              <w:t>388.593</w:t>
            </w:r>
          </w:p>
        </w:tc>
        <w:tc>
          <w:tcPr>
            <w:tcW w:w="1276" w:type="dxa"/>
            <w:tcBorders>
              <w:top w:val="nil"/>
              <w:left w:val="nil"/>
              <w:bottom w:val="nil"/>
              <w:right w:val="nil"/>
            </w:tcBorders>
            <w:shd w:val="clear" w:color="auto" w:fill="auto"/>
            <w:noWrap/>
            <w:vAlign w:val="bottom"/>
          </w:tcPr>
          <w:p w14:paraId="30AF27FA" w14:textId="77777777" w:rsidR="003678EA" w:rsidRPr="00DA3A0E" w:rsidRDefault="003678EA" w:rsidP="00DD2D50">
            <w:pPr>
              <w:jc w:val="right"/>
              <w:rPr>
                <w:rFonts w:ascii="Arial" w:hAnsi="Arial" w:cs="Arial"/>
                <w:sz w:val="18"/>
                <w:szCs w:val="18"/>
              </w:rPr>
            </w:pPr>
            <w:r w:rsidRPr="00F959D0">
              <w:rPr>
                <w:rFonts w:ascii="Arial" w:hAnsi="Arial" w:cs="Arial"/>
                <w:sz w:val="18"/>
                <w:szCs w:val="18"/>
              </w:rPr>
              <w:t>400.035</w:t>
            </w:r>
          </w:p>
        </w:tc>
        <w:tc>
          <w:tcPr>
            <w:tcW w:w="1276" w:type="dxa"/>
            <w:tcBorders>
              <w:top w:val="nil"/>
              <w:left w:val="nil"/>
              <w:bottom w:val="nil"/>
              <w:right w:val="nil"/>
            </w:tcBorders>
            <w:shd w:val="clear" w:color="auto" w:fill="auto"/>
            <w:vAlign w:val="bottom"/>
          </w:tcPr>
          <w:p w14:paraId="4A9D5E96" w14:textId="77777777" w:rsidR="003678EA" w:rsidRPr="00F959D0" w:rsidRDefault="003678EA" w:rsidP="00DD2D50">
            <w:pPr>
              <w:jc w:val="right"/>
              <w:rPr>
                <w:rFonts w:ascii="Arial" w:hAnsi="Arial" w:cs="Arial"/>
                <w:sz w:val="18"/>
                <w:szCs w:val="18"/>
              </w:rPr>
            </w:pPr>
            <w:r w:rsidRPr="00F959D0">
              <w:rPr>
                <w:rFonts w:ascii="Arial" w:hAnsi="Arial" w:cs="Arial"/>
                <w:sz w:val="18"/>
                <w:szCs w:val="18"/>
              </w:rPr>
              <w:t>6.213</w:t>
            </w:r>
          </w:p>
        </w:tc>
        <w:tc>
          <w:tcPr>
            <w:tcW w:w="1276" w:type="dxa"/>
            <w:tcBorders>
              <w:top w:val="nil"/>
              <w:left w:val="nil"/>
              <w:bottom w:val="nil"/>
              <w:right w:val="nil"/>
            </w:tcBorders>
            <w:shd w:val="clear" w:color="auto" w:fill="auto"/>
            <w:vAlign w:val="bottom"/>
          </w:tcPr>
          <w:p w14:paraId="1242863F" w14:textId="77777777" w:rsidR="003678EA" w:rsidRPr="008A2337" w:rsidRDefault="003678EA" w:rsidP="00DD2D50">
            <w:pPr>
              <w:jc w:val="right"/>
              <w:rPr>
                <w:rFonts w:ascii="Arial" w:hAnsi="Arial" w:cs="Arial"/>
                <w:sz w:val="18"/>
                <w:szCs w:val="18"/>
              </w:rPr>
            </w:pPr>
            <w:r w:rsidRPr="00F959D0">
              <w:rPr>
                <w:rFonts w:ascii="Arial" w:hAnsi="Arial" w:cs="Arial"/>
                <w:sz w:val="18"/>
                <w:szCs w:val="18"/>
              </w:rPr>
              <w:t>210.835</w:t>
            </w:r>
          </w:p>
        </w:tc>
        <w:tc>
          <w:tcPr>
            <w:tcW w:w="1276" w:type="dxa"/>
            <w:tcBorders>
              <w:top w:val="nil"/>
              <w:left w:val="nil"/>
              <w:bottom w:val="nil"/>
              <w:right w:val="nil"/>
            </w:tcBorders>
            <w:shd w:val="clear" w:color="auto" w:fill="auto"/>
            <w:noWrap/>
            <w:vAlign w:val="bottom"/>
          </w:tcPr>
          <w:p w14:paraId="1D24EBFE" w14:textId="77777777" w:rsidR="003678EA" w:rsidRPr="008F0B09" w:rsidRDefault="003678EA" w:rsidP="00DD2D50">
            <w:pPr>
              <w:jc w:val="right"/>
              <w:rPr>
                <w:rFonts w:ascii="Arial" w:hAnsi="Arial" w:cs="Arial"/>
                <w:b/>
                <w:bCs/>
                <w:sz w:val="18"/>
                <w:szCs w:val="18"/>
              </w:rPr>
            </w:pPr>
            <w:r w:rsidRPr="00F959D0">
              <w:rPr>
                <w:rFonts w:ascii="Arial" w:hAnsi="Arial" w:cs="Arial"/>
                <w:b/>
                <w:bCs/>
                <w:sz w:val="18"/>
                <w:szCs w:val="18"/>
              </w:rPr>
              <w:t xml:space="preserve"> 2.821.953 </w:t>
            </w:r>
          </w:p>
        </w:tc>
      </w:tr>
      <w:tr w:rsidR="003678EA" w:rsidRPr="00C51439" w14:paraId="432EF490" w14:textId="77777777" w:rsidTr="00DD2D50">
        <w:trPr>
          <w:trHeight w:val="340"/>
        </w:trPr>
        <w:tc>
          <w:tcPr>
            <w:tcW w:w="1843" w:type="dxa"/>
            <w:tcBorders>
              <w:top w:val="nil"/>
              <w:left w:val="nil"/>
              <w:bottom w:val="nil"/>
              <w:right w:val="nil"/>
            </w:tcBorders>
            <w:shd w:val="clear" w:color="auto" w:fill="auto"/>
            <w:noWrap/>
            <w:vAlign w:val="bottom"/>
            <w:hideMark/>
          </w:tcPr>
          <w:p w14:paraId="7D80D77F" w14:textId="77777777" w:rsidR="003678EA" w:rsidRPr="00C51439" w:rsidRDefault="003678EA" w:rsidP="00DD2D50">
            <w:pPr>
              <w:rPr>
                <w:rFonts w:ascii="Arial" w:hAnsi="Arial" w:cs="Arial"/>
                <w:color w:val="000000" w:themeColor="text1"/>
                <w:sz w:val="18"/>
                <w:szCs w:val="18"/>
              </w:rPr>
            </w:pPr>
            <w:r w:rsidRPr="00C51439">
              <w:rPr>
                <w:rFonts w:ascii="Arial" w:hAnsi="Arial" w:cs="Arial"/>
                <w:color w:val="000000" w:themeColor="text1"/>
                <w:sz w:val="18"/>
                <w:szCs w:val="18"/>
              </w:rPr>
              <w:t>Rezerviranja</w:t>
            </w:r>
          </w:p>
        </w:tc>
        <w:tc>
          <w:tcPr>
            <w:tcW w:w="1276" w:type="dxa"/>
            <w:tcBorders>
              <w:top w:val="nil"/>
              <w:left w:val="nil"/>
              <w:bottom w:val="nil"/>
              <w:right w:val="nil"/>
            </w:tcBorders>
            <w:shd w:val="clear" w:color="auto" w:fill="auto"/>
            <w:noWrap/>
            <w:vAlign w:val="bottom"/>
          </w:tcPr>
          <w:p w14:paraId="52D824C3" w14:textId="77777777" w:rsidR="003678EA" w:rsidRPr="00DA3A0E" w:rsidRDefault="003678EA" w:rsidP="00DD2D50">
            <w:pPr>
              <w:jc w:val="right"/>
              <w:rPr>
                <w:rFonts w:ascii="Arial" w:hAnsi="Arial" w:cs="Arial"/>
                <w:sz w:val="18"/>
                <w:szCs w:val="18"/>
              </w:rPr>
            </w:pPr>
            <w:r w:rsidRPr="00F959D0">
              <w:rPr>
                <w:rFonts w:ascii="Arial" w:hAnsi="Arial" w:cs="Arial"/>
                <w:sz w:val="18"/>
                <w:szCs w:val="18"/>
              </w:rPr>
              <w:t xml:space="preserve"> (42.543)</w:t>
            </w:r>
          </w:p>
        </w:tc>
        <w:tc>
          <w:tcPr>
            <w:tcW w:w="1276" w:type="dxa"/>
            <w:tcBorders>
              <w:top w:val="nil"/>
              <w:left w:val="nil"/>
              <w:bottom w:val="nil"/>
              <w:right w:val="nil"/>
            </w:tcBorders>
            <w:shd w:val="clear" w:color="auto" w:fill="auto"/>
            <w:noWrap/>
            <w:vAlign w:val="bottom"/>
          </w:tcPr>
          <w:p w14:paraId="49072FF8" w14:textId="77777777" w:rsidR="003678EA" w:rsidRPr="00DA3A0E" w:rsidRDefault="003678EA" w:rsidP="00DD2D50">
            <w:pPr>
              <w:jc w:val="right"/>
              <w:rPr>
                <w:rFonts w:ascii="Arial" w:hAnsi="Arial" w:cs="Arial"/>
                <w:sz w:val="18"/>
                <w:szCs w:val="18"/>
              </w:rPr>
            </w:pPr>
            <w:r w:rsidRPr="00F959D0">
              <w:rPr>
                <w:rFonts w:ascii="Arial" w:hAnsi="Arial" w:cs="Arial"/>
                <w:sz w:val="18"/>
                <w:szCs w:val="18"/>
              </w:rPr>
              <w:t xml:space="preserve"> (128.588)</w:t>
            </w:r>
          </w:p>
        </w:tc>
        <w:tc>
          <w:tcPr>
            <w:tcW w:w="1276" w:type="dxa"/>
            <w:tcBorders>
              <w:top w:val="nil"/>
              <w:left w:val="nil"/>
              <w:bottom w:val="nil"/>
              <w:right w:val="nil"/>
            </w:tcBorders>
            <w:shd w:val="clear" w:color="auto" w:fill="auto"/>
            <w:noWrap/>
            <w:vAlign w:val="bottom"/>
          </w:tcPr>
          <w:p w14:paraId="33C822D9" w14:textId="77777777" w:rsidR="003678EA" w:rsidRPr="00DA3A0E" w:rsidRDefault="003678EA" w:rsidP="00DD2D50">
            <w:pPr>
              <w:jc w:val="right"/>
              <w:rPr>
                <w:rFonts w:ascii="Arial" w:hAnsi="Arial" w:cs="Arial"/>
                <w:sz w:val="18"/>
                <w:szCs w:val="18"/>
              </w:rPr>
            </w:pPr>
            <w:r w:rsidRPr="00F959D0">
              <w:rPr>
                <w:rFonts w:ascii="Arial" w:hAnsi="Arial" w:cs="Arial"/>
                <w:sz w:val="18"/>
                <w:szCs w:val="18"/>
              </w:rPr>
              <w:t xml:space="preserve"> (267.359)</w:t>
            </w:r>
          </w:p>
        </w:tc>
        <w:tc>
          <w:tcPr>
            <w:tcW w:w="1276" w:type="dxa"/>
            <w:tcBorders>
              <w:top w:val="nil"/>
              <w:left w:val="nil"/>
              <w:bottom w:val="nil"/>
              <w:right w:val="nil"/>
            </w:tcBorders>
            <w:shd w:val="clear" w:color="auto" w:fill="auto"/>
            <w:vAlign w:val="bottom"/>
          </w:tcPr>
          <w:p w14:paraId="1FEDABEF" w14:textId="77777777" w:rsidR="003678EA" w:rsidRPr="00F959D0" w:rsidRDefault="003678EA" w:rsidP="00DD2D50">
            <w:pPr>
              <w:jc w:val="right"/>
              <w:rPr>
                <w:rFonts w:ascii="Arial" w:hAnsi="Arial" w:cs="Arial"/>
                <w:sz w:val="18"/>
                <w:szCs w:val="18"/>
              </w:rPr>
            </w:pPr>
            <w:r w:rsidRPr="00F959D0">
              <w:rPr>
                <w:rFonts w:ascii="Arial" w:hAnsi="Arial" w:cs="Arial"/>
                <w:sz w:val="18"/>
                <w:szCs w:val="18"/>
              </w:rPr>
              <w:t xml:space="preserve"> (750)</w:t>
            </w:r>
          </w:p>
        </w:tc>
        <w:tc>
          <w:tcPr>
            <w:tcW w:w="1276" w:type="dxa"/>
            <w:tcBorders>
              <w:top w:val="nil"/>
              <w:left w:val="nil"/>
              <w:bottom w:val="nil"/>
              <w:right w:val="nil"/>
            </w:tcBorders>
            <w:shd w:val="clear" w:color="auto" w:fill="auto"/>
            <w:vAlign w:val="bottom"/>
          </w:tcPr>
          <w:p w14:paraId="7BE9C623" w14:textId="77777777" w:rsidR="003678EA" w:rsidRPr="008A2337" w:rsidRDefault="003678EA" w:rsidP="00DD2D50">
            <w:pPr>
              <w:jc w:val="right"/>
              <w:rPr>
                <w:rFonts w:ascii="Arial" w:hAnsi="Arial" w:cs="Arial"/>
                <w:sz w:val="18"/>
                <w:szCs w:val="18"/>
              </w:rPr>
            </w:pPr>
            <w:r w:rsidRPr="00F959D0">
              <w:rPr>
                <w:rFonts w:ascii="Arial" w:hAnsi="Arial" w:cs="Arial"/>
                <w:sz w:val="18"/>
                <w:szCs w:val="18"/>
              </w:rPr>
              <w:t xml:space="preserve"> (31.517)</w:t>
            </w:r>
          </w:p>
        </w:tc>
        <w:tc>
          <w:tcPr>
            <w:tcW w:w="1276" w:type="dxa"/>
            <w:tcBorders>
              <w:top w:val="nil"/>
              <w:left w:val="nil"/>
              <w:bottom w:val="nil"/>
              <w:right w:val="nil"/>
            </w:tcBorders>
            <w:shd w:val="clear" w:color="auto" w:fill="auto"/>
            <w:noWrap/>
            <w:vAlign w:val="bottom"/>
          </w:tcPr>
          <w:p w14:paraId="52633682" w14:textId="77777777" w:rsidR="003678EA" w:rsidRPr="008F0B09" w:rsidRDefault="003678EA" w:rsidP="00DD2D50">
            <w:pPr>
              <w:jc w:val="right"/>
              <w:rPr>
                <w:rFonts w:ascii="Arial" w:hAnsi="Arial" w:cs="Arial"/>
                <w:b/>
                <w:bCs/>
                <w:sz w:val="18"/>
                <w:szCs w:val="18"/>
              </w:rPr>
            </w:pPr>
            <w:r w:rsidRPr="00F959D0">
              <w:rPr>
                <w:rFonts w:ascii="Arial" w:hAnsi="Arial" w:cs="Arial"/>
                <w:b/>
                <w:bCs/>
                <w:sz w:val="18"/>
                <w:szCs w:val="18"/>
              </w:rPr>
              <w:t xml:space="preserve"> (470.757)</w:t>
            </w:r>
          </w:p>
        </w:tc>
      </w:tr>
      <w:tr w:rsidR="003678EA" w:rsidRPr="00C51439" w14:paraId="2C18D5A4" w14:textId="77777777" w:rsidTr="00DD2D50">
        <w:trPr>
          <w:trHeight w:val="510"/>
        </w:trPr>
        <w:tc>
          <w:tcPr>
            <w:tcW w:w="1843" w:type="dxa"/>
            <w:tcBorders>
              <w:top w:val="nil"/>
              <w:left w:val="nil"/>
              <w:bottom w:val="nil"/>
              <w:right w:val="nil"/>
            </w:tcBorders>
            <w:shd w:val="clear" w:color="auto" w:fill="auto"/>
            <w:noWrap/>
            <w:vAlign w:val="bottom"/>
            <w:hideMark/>
          </w:tcPr>
          <w:p w14:paraId="7B692242" w14:textId="77777777" w:rsidR="003678EA" w:rsidRPr="00C51439" w:rsidRDefault="003678EA" w:rsidP="00DD2D50">
            <w:pPr>
              <w:rPr>
                <w:rFonts w:ascii="Arial" w:hAnsi="Arial" w:cs="Arial"/>
                <w:b/>
                <w:bCs/>
                <w:color w:val="000000" w:themeColor="text1"/>
                <w:sz w:val="18"/>
                <w:szCs w:val="18"/>
              </w:rPr>
            </w:pPr>
            <w:r w:rsidRPr="00C51439">
              <w:rPr>
                <w:rFonts w:ascii="Arial" w:hAnsi="Arial" w:cs="Arial"/>
                <w:b/>
                <w:bCs/>
                <w:color w:val="000000" w:themeColor="text1"/>
                <w:sz w:val="18"/>
                <w:szCs w:val="18"/>
              </w:rPr>
              <w:t xml:space="preserve">Stanje na dan </w:t>
            </w:r>
          </w:p>
          <w:p w14:paraId="0B54380A" w14:textId="77777777" w:rsidR="003678EA" w:rsidRPr="00C51439" w:rsidRDefault="003678EA" w:rsidP="00DD2D50">
            <w:pPr>
              <w:rPr>
                <w:rFonts w:ascii="Arial" w:hAnsi="Arial" w:cs="Arial"/>
                <w:b/>
                <w:bCs/>
                <w:color w:val="000000" w:themeColor="text1"/>
                <w:sz w:val="18"/>
                <w:szCs w:val="18"/>
              </w:rPr>
            </w:pPr>
            <w:r w:rsidRPr="00C51439">
              <w:rPr>
                <w:rFonts w:ascii="Arial" w:hAnsi="Arial" w:cs="Arial"/>
                <w:b/>
                <w:bCs/>
                <w:color w:val="000000" w:themeColor="text1"/>
                <w:sz w:val="18"/>
                <w:szCs w:val="18"/>
              </w:rPr>
              <w:t>31. prosinca 202</w:t>
            </w:r>
            <w:r>
              <w:rPr>
                <w:rFonts w:ascii="Arial" w:hAnsi="Arial" w:cs="Arial"/>
                <w:b/>
                <w:bCs/>
                <w:color w:val="000000" w:themeColor="text1"/>
                <w:sz w:val="18"/>
                <w:szCs w:val="18"/>
              </w:rPr>
              <w:t>3</w:t>
            </w:r>
            <w:r w:rsidRPr="00C51439">
              <w:rPr>
                <w:rFonts w:ascii="Arial" w:hAnsi="Arial" w:cs="Arial"/>
                <w:b/>
                <w:bCs/>
                <w:color w:val="000000" w:themeColor="text1"/>
                <w:sz w:val="18"/>
                <w:szCs w:val="18"/>
              </w:rPr>
              <w:t xml:space="preserve">.    </w:t>
            </w:r>
          </w:p>
        </w:tc>
        <w:tc>
          <w:tcPr>
            <w:tcW w:w="1276" w:type="dxa"/>
            <w:tcBorders>
              <w:top w:val="single" w:sz="8" w:space="0" w:color="auto"/>
              <w:left w:val="nil"/>
              <w:bottom w:val="single" w:sz="12" w:space="0" w:color="000000"/>
              <w:right w:val="nil"/>
            </w:tcBorders>
            <w:shd w:val="clear" w:color="auto" w:fill="auto"/>
            <w:noWrap/>
            <w:vAlign w:val="bottom"/>
          </w:tcPr>
          <w:p w14:paraId="38F68710" w14:textId="77777777" w:rsidR="003678EA" w:rsidRPr="008F0B09" w:rsidRDefault="003678EA" w:rsidP="00DD2D50">
            <w:pPr>
              <w:jc w:val="right"/>
              <w:rPr>
                <w:rFonts w:ascii="Arial" w:hAnsi="Arial" w:cs="Arial"/>
                <w:b/>
                <w:bCs/>
                <w:sz w:val="18"/>
                <w:szCs w:val="18"/>
              </w:rPr>
            </w:pPr>
            <w:r w:rsidRPr="00F959D0">
              <w:rPr>
                <w:rFonts w:ascii="Arial" w:hAnsi="Arial" w:cs="Arial"/>
                <w:b/>
                <w:bCs/>
                <w:sz w:val="18"/>
                <w:szCs w:val="18"/>
              </w:rPr>
              <w:t xml:space="preserve"> 1.773.734 </w:t>
            </w:r>
          </w:p>
        </w:tc>
        <w:tc>
          <w:tcPr>
            <w:tcW w:w="1276" w:type="dxa"/>
            <w:tcBorders>
              <w:top w:val="single" w:sz="8" w:space="0" w:color="auto"/>
              <w:left w:val="nil"/>
              <w:bottom w:val="single" w:sz="12" w:space="0" w:color="000000"/>
              <w:right w:val="nil"/>
            </w:tcBorders>
            <w:shd w:val="clear" w:color="auto" w:fill="auto"/>
            <w:noWrap/>
            <w:vAlign w:val="bottom"/>
          </w:tcPr>
          <w:p w14:paraId="64A849D3" w14:textId="77777777" w:rsidR="003678EA" w:rsidRPr="008F0B09" w:rsidRDefault="003678EA" w:rsidP="00DD2D50">
            <w:pPr>
              <w:jc w:val="right"/>
              <w:rPr>
                <w:rFonts w:ascii="Arial" w:hAnsi="Arial" w:cs="Arial"/>
                <w:b/>
                <w:bCs/>
                <w:sz w:val="18"/>
                <w:szCs w:val="18"/>
              </w:rPr>
            </w:pPr>
            <w:r w:rsidRPr="00F959D0">
              <w:rPr>
                <w:rFonts w:ascii="Arial" w:hAnsi="Arial" w:cs="Arial"/>
                <w:b/>
                <w:bCs/>
                <w:sz w:val="18"/>
                <w:szCs w:val="18"/>
              </w:rPr>
              <w:t xml:space="preserve"> 260.005 </w:t>
            </w:r>
          </w:p>
        </w:tc>
        <w:tc>
          <w:tcPr>
            <w:tcW w:w="1276" w:type="dxa"/>
            <w:tcBorders>
              <w:top w:val="single" w:sz="8" w:space="0" w:color="auto"/>
              <w:left w:val="nil"/>
              <w:bottom w:val="single" w:sz="12" w:space="0" w:color="000000"/>
              <w:right w:val="nil"/>
            </w:tcBorders>
            <w:shd w:val="clear" w:color="auto" w:fill="auto"/>
            <w:noWrap/>
            <w:vAlign w:val="bottom"/>
          </w:tcPr>
          <w:p w14:paraId="27251BC4" w14:textId="77777777" w:rsidR="003678EA" w:rsidRPr="008F0B09" w:rsidRDefault="003678EA" w:rsidP="00DD2D50">
            <w:pPr>
              <w:jc w:val="right"/>
              <w:rPr>
                <w:rFonts w:ascii="Arial" w:hAnsi="Arial" w:cs="Arial"/>
                <w:b/>
                <w:bCs/>
                <w:sz w:val="18"/>
                <w:szCs w:val="18"/>
              </w:rPr>
            </w:pPr>
            <w:r w:rsidRPr="00F959D0">
              <w:rPr>
                <w:rFonts w:ascii="Arial" w:hAnsi="Arial" w:cs="Arial"/>
                <w:b/>
                <w:bCs/>
                <w:sz w:val="18"/>
                <w:szCs w:val="18"/>
              </w:rPr>
              <w:t xml:space="preserve"> 132.676 </w:t>
            </w:r>
          </w:p>
        </w:tc>
        <w:tc>
          <w:tcPr>
            <w:tcW w:w="1276" w:type="dxa"/>
            <w:tcBorders>
              <w:top w:val="single" w:sz="8" w:space="0" w:color="auto"/>
              <w:left w:val="nil"/>
              <w:bottom w:val="single" w:sz="12" w:space="0" w:color="000000"/>
              <w:right w:val="nil"/>
            </w:tcBorders>
            <w:shd w:val="clear" w:color="auto" w:fill="auto"/>
            <w:vAlign w:val="bottom"/>
          </w:tcPr>
          <w:p w14:paraId="55A6E832" w14:textId="77777777" w:rsidR="003678EA" w:rsidRPr="00F959D0" w:rsidRDefault="003678EA" w:rsidP="00DD2D50">
            <w:pPr>
              <w:jc w:val="right"/>
              <w:rPr>
                <w:rFonts w:ascii="Arial" w:hAnsi="Arial" w:cs="Arial"/>
                <w:b/>
                <w:bCs/>
                <w:sz w:val="18"/>
                <w:szCs w:val="18"/>
              </w:rPr>
            </w:pPr>
            <w:r w:rsidRPr="00F959D0">
              <w:rPr>
                <w:rFonts w:ascii="Arial" w:hAnsi="Arial" w:cs="Arial"/>
                <w:b/>
                <w:bCs/>
                <w:sz w:val="18"/>
                <w:szCs w:val="18"/>
              </w:rPr>
              <w:t xml:space="preserve"> 5.463 </w:t>
            </w:r>
          </w:p>
        </w:tc>
        <w:tc>
          <w:tcPr>
            <w:tcW w:w="1276" w:type="dxa"/>
            <w:tcBorders>
              <w:top w:val="single" w:sz="8" w:space="0" w:color="auto"/>
              <w:left w:val="nil"/>
              <w:bottom w:val="single" w:sz="12" w:space="0" w:color="000000"/>
              <w:right w:val="nil"/>
            </w:tcBorders>
            <w:shd w:val="clear" w:color="auto" w:fill="auto"/>
            <w:vAlign w:val="bottom"/>
          </w:tcPr>
          <w:p w14:paraId="7F26B6A1" w14:textId="77777777" w:rsidR="003678EA" w:rsidRPr="008A2337" w:rsidRDefault="003678EA" w:rsidP="00DD2D50">
            <w:pPr>
              <w:jc w:val="right"/>
              <w:rPr>
                <w:rFonts w:ascii="Arial" w:hAnsi="Arial" w:cs="Arial"/>
                <w:b/>
                <w:bCs/>
                <w:sz w:val="18"/>
                <w:szCs w:val="18"/>
              </w:rPr>
            </w:pPr>
            <w:r w:rsidRPr="00F959D0">
              <w:rPr>
                <w:rFonts w:ascii="Arial" w:hAnsi="Arial" w:cs="Arial"/>
                <w:b/>
                <w:bCs/>
                <w:sz w:val="18"/>
                <w:szCs w:val="18"/>
              </w:rPr>
              <w:t xml:space="preserve">179.318 </w:t>
            </w:r>
          </w:p>
        </w:tc>
        <w:tc>
          <w:tcPr>
            <w:tcW w:w="1276" w:type="dxa"/>
            <w:tcBorders>
              <w:top w:val="single" w:sz="8" w:space="0" w:color="auto"/>
              <w:left w:val="nil"/>
              <w:bottom w:val="single" w:sz="12" w:space="0" w:color="000000"/>
              <w:right w:val="nil"/>
            </w:tcBorders>
            <w:shd w:val="clear" w:color="auto" w:fill="auto"/>
            <w:noWrap/>
            <w:vAlign w:val="bottom"/>
          </w:tcPr>
          <w:p w14:paraId="0B3930FB" w14:textId="77777777" w:rsidR="003678EA" w:rsidRPr="008F0B09" w:rsidRDefault="003678EA" w:rsidP="00DD2D50">
            <w:pPr>
              <w:jc w:val="right"/>
              <w:rPr>
                <w:rFonts w:ascii="Arial" w:hAnsi="Arial" w:cs="Arial"/>
                <w:b/>
                <w:bCs/>
                <w:sz w:val="18"/>
                <w:szCs w:val="18"/>
              </w:rPr>
            </w:pPr>
            <w:r w:rsidRPr="00F959D0">
              <w:rPr>
                <w:rFonts w:ascii="Arial" w:hAnsi="Arial" w:cs="Arial"/>
                <w:b/>
                <w:bCs/>
                <w:sz w:val="18"/>
                <w:szCs w:val="18"/>
              </w:rPr>
              <w:t xml:space="preserve"> 2.351.196 </w:t>
            </w:r>
          </w:p>
        </w:tc>
      </w:tr>
    </w:tbl>
    <w:p w14:paraId="1544DDC8" w14:textId="3EC397CF" w:rsidR="001B5068" w:rsidRPr="003D1614" w:rsidRDefault="001B5068" w:rsidP="005D5085">
      <w:pPr>
        <w:suppressAutoHyphens/>
        <w:autoSpaceDN w:val="0"/>
        <w:jc w:val="both"/>
        <w:outlineLvl w:val="0"/>
        <w:rPr>
          <w:rFonts w:ascii="Arial" w:eastAsia="Times New Roman" w:hAnsi="Arial" w:cs="Arial"/>
          <w:bCs/>
          <w:color w:val="000000" w:themeColor="text1"/>
          <w:sz w:val="20"/>
          <w:szCs w:val="20"/>
        </w:rPr>
      </w:pPr>
    </w:p>
    <w:p w14:paraId="557DD3C9" w14:textId="77777777" w:rsidR="001B5068" w:rsidRPr="003D1614" w:rsidRDefault="001B5068" w:rsidP="005D5085">
      <w:pPr>
        <w:suppressAutoHyphens/>
        <w:autoSpaceDN w:val="0"/>
        <w:jc w:val="both"/>
        <w:outlineLvl w:val="0"/>
        <w:rPr>
          <w:rFonts w:ascii="Arial" w:eastAsia="Times New Roman" w:hAnsi="Arial" w:cs="Arial"/>
          <w:bCs/>
          <w:color w:val="000000" w:themeColor="text1"/>
          <w:sz w:val="20"/>
          <w:szCs w:val="20"/>
        </w:rPr>
        <w:sectPr w:rsidR="001B5068" w:rsidRPr="003D1614">
          <w:pgSz w:w="11906" w:h="16838"/>
          <w:pgMar w:top="1417" w:right="1417" w:bottom="1417" w:left="1417" w:header="708" w:footer="708" w:gutter="0"/>
          <w:cols w:space="708"/>
          <w:docGrid w:linePitch="360"/>
        </w:sectPr>
      </w:pPr>
    </w:p>
    <w:p w14:paraId="408773AE" w14:textId="77777777" w:rsidR="001B5068" w:rsidRPr="003D1614" w:rsidRDefault="001B5068" w:rsidP="001B5068">
      <w:pPr>
        <w:keepNext/>
        <w:tabs>
          <w:tab w:val="left" w:pos="567"/>
        </w:tabs>
        <w:suppressAutoHyphens/>
        <w:autoSpaceDN w:val="0"/>
        <w:jc w:val="both"/>
        <w:outlineLvl w:val="0"/>
        <w:rPr>
          <w:rFonts w:ascii="Arial" w:eastAsia="Times New Roman" w:hAnsi="Arial" w:cs="Arial"/>
          <w:color w:val="000000" w:themeColor="text1"/>
        </w:rPr>
      </w:pPr>
    </w:p>
    <w:p w14:paraId="276DAFB5" w14:textId="7A07C37C" w:rsidR="001B5068" w:rsidRPr="003D1614" w:rsidRDefault="001B5068" w:rsidP="001B5068">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1</w:t>
      </w:r>
      <w:r w:rsidR="003D1614">
        <w:rPr>
          <w:rFonts w:ascii="Arial" w:eastAsia="Times New Roman" w:hAnsi="Arial" w:cs="Arial"/>
          <w:b/>
          <w:bCs/>
          <w:color w:val="000000" w:themeColor="text1"/>
          <w:sz w:val="20"/>
          <w:szCs w:val="20"/>
        </w:rPr>
        <w:t>2</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Krediti ostalim korisnicima (nastavak)</w:t>
      </w:r>
    </w:p>
    <w:p w14:paraId="35FA6FE5" w14:textId="77777777" w:rsidR="001B5068" w:rsidRPr="003D1614" w:rsidRDefault="001B5068" w:rsidP="001B5068">
      <w:pPr>
        <w:keepNext/>
        <w:suppressAutoHyphens/>
        <w:autoSpaceDN w:val="0"/>
        <w:jc w:val="both"/>
        <w:outlineLvl w:val="0"/>
        <w:rPr>
          <w:rFonts w:ascii="Arial" w:eastAsia="Times New Roman" w:hAnsi="Arial" w:cs="Arial"/>
          <w:color w:val="000000" w:themeColor="text1"/>
          <w:sz w:val="20"/>
          <w:szCs w:val="20"/>
        </w:rPr>
      </w:pPr>
    </w:p>
    <w:p w14:paraId="63A3866C" w14:textId="77777777" w:rsidR="001B5068" w:rsidRPr="003D1614" w:rsidRDefault="001B5068" w:rsidP="001B5068">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Promjene na rezerviranjima za očekivane gubitke po kreditima ostalim korisnicima i kamatama mogu se prikazati kako slijedi:</w:t>
      </w:r>
    </w:p>
    <w:p w14:paraId="1368BC19" w14:textId="77777777" w:rsidR="001B5068" w:rsidRPr="003D1614" w:rsidRDefault="001B5068" w:rsidP="001B5068">
      <w:pPr>
        <w:keepNext/>
        <w:suppressAutoHyphens/>
        <w:autoSpaceDN w:val="0"/>
        <w:jc w:val="both"/>
        <w:outlineLvl w:val="0"/>
        <w:rPr>
          <w:rFonts w:ascii="Arial" w:eastAsia="Times New Roman" w:hAnsi="Arial" w:cs="Arial"/>
          <w:color w:val="000000" w:themeColor="text1"/>
          <w:sz w:val="20"/>
          <w:szCs w:val="20"/>
        </w:rPr>
      </w:pPr>
    </w:p>
    <w:tbl>
      <w:tblPr>
        <w:tblW w:w="4953" w:type="pct"/>
        <w:tblLayout w:type="fixed"/>
        <w:tblLook w:val="04A0" w:firstRow="1" w:lastRow="0" w:firstColumn="1" w:lastColumn="0" w:noHBand="0" w:noVBand="1"/>
      </w:tblPr>
      <w:tblGrid>
        <w:gridCol w:w="5398"/>
        <w:gridCol w:w="1889"/>
        <w:gridCol w:w="1700"/>
      </w:tblGrid>
      <w:tr w:rsidR="001B5068" w:rsidRPr="00815314" w14:paraId="2BE1A48F" w14:textId="77777777" w:rsidTr="00815314">
        <w:trPr>
          <w:trHeight w:val="216"/>
        </w:trPr>
        <w:tc>
          <w:tcPr>
            <w:tcW w:w="3003" w:type="pct"/>
            <w:tcBorders>
              <w:top w:val="nil"/>
              <w:left w:val="nil"/>
              <w:bottom w:val="nil"/>
              <w:right w:val="nil"/>
            </w:tcBorders>
            <w:shd w:val="clear" w:color="auto" w:fill="auto"/>
            <w:noWrap/>
            <w:vAlign w:val="bottom"/>
            <w:hideMark/>
          </w:tcPr>
          <w:p w14:paraId="3404BCE9" w14:textId="77777777" w:rsidR="001B5068" w:rsidRPr="00815314" w:rsidRDefault="001B5068" w:rsidP="001B5068">
            <w:pPr>
              <w:suppressAutoHyphens/>
              <w:autoSpaceDN w:val="0"/>
              <w:rPr>
                <w:rFonts w:ascii="Arial" w:eastAsia="Times New Roman" w:hAnsi="Arial" w:cs="Arial"/>
                <w:color w:val="000000" w:themeColor="text1"/>
                <w:sz w:val="20"/>
                <w:szCs w:val="20"/>
              </w:rPr>
            </w:pPr>
            <w:bookmarkStart w:id="379" w:name="_Hlk28355762"/>
          </w:p>
        </w:tc>
        <w:tc>
          <w:tcPr>
            <w:tcW w:w="1997" w:type="pct"/>
            <w:gridSpan w:val="2"/>
            <w:tcBorders>
              <w:top w:val="nil"/>
              <w:left w:val="nil"/>
              <w:bottom w:val="nil"/>
              <w:right w:val="nil"/>
            </w:tcBorders>
            <w:shd w:val="clear" w:color="auto" w:fill="auto"/>
            <w:vAlign w:val="bottom"/>
            <w:hideMark/>
          </w:tcPr>
          <w:p w14:paraId="34D00878" w14:textId="77777777" w:rsidR="001B5068" w:rsidRPr="00815314" w:rsidRDefault="001B5068" w:rsidP="001B5068">
            <w:pPr>
              <w:suppressAutoHyphens/>
              <w:autoSpaceDN w:val="0"/>
              <w:jc w:val="right"/>
              <w:rPr>
                <w:rFonts w:ascii="Arial" w:eastAsia="Times New Roman" w:hAnsi="Arial" w:cs="Arial"/>
                <w:b/>
                <w:bCs/>
                <w:color w:val="000000" w:themeColor="text1"/>
                <w:sz w:val="20"/>
                <w:szCs w:val="20"/>
              </w:rPr>
            </w:pPr>
            <w:r w:rsidRPr="00815314">
              <w:rPr>
                <w:rFonts w:ascii="Arial" w:eastAsia="Times New Roman" w:hAnsi="Arial" w:cs="Arial"/>
                <w:b/>
                <w:bCs/>
                <w:color w:val="000000" w:themeColor="text1"/>
                <w:sz w:val="20"/>
                <w:szCs w:val="20"/>
              </w:rPr>
              <w:t>Grupa i Banka</w:t>
            </w:r>
          </w:p>
        </w:tc>
      </w:tr>
      <w:tr w:rsidR="001B5068" w:rsidRPr="00815314" w14:paraId="1E8A84F5" w14:textId="77777777" w:rsidTr="00815314">
        <w:trPr>
          <w:trHeight w:val="216"/>
        </w:trPr>
        <w:tc>
          <w:tcPr>
            <w:tcW w:w="3003" w:type="pct"/>
            <w:tcBorders>
              <w:top w:val="nil"/>
              <w:left w:val="nil"/>
              <w:bottom w:val="nil"/>
              <w:right w:val="nil"/>
            </w:tcBorders>
            <w:shd w:val="clear" w:color="auto" w:fill="auto"/>
            <w:noWrap/>
            <w:vAlign w:val="bottom"/>
          </w:tcPr>
          <w:p w14:paraId="0A72C7F0" w14:textId="77777777" w:rsidR="001B5068" w:rsidRPr="00815314" w:rsidRDefault="001B5068" w:rsidP="001B5068">
            <w:pPr>
              <w:suppressAutoHyphens/>
              <w:autoSpaceDN w:val="0"/>
              <w:rPr>
                <w:rFonts w:ascii="Arial" w:eastAsia="Times New Roman" w:hAnsi="Arial" w:cs="Arial"/>
                <w:color w:val="000000" w:themeColor="text1"/>
                <w:sz w:val="20"/>
                <w:szCs w:val="20"/>
              </w:rPr>
            </w:pPr>
          </w:p>
        </w:tc>
        <w:tc>
          <w:tcPr>
            <w:tcW w:w="1051" w:type="pct"/>
            <w:vAlign w:val="bottom"/>
          </w:tcPr>
          <w:p w14:paraId="706CE853" w14:textId="1AD26203" w:rsidR="001B5068" w:rsidRPr="00815314" w:rsidRDefault="001B5068" w:rsidP="001B5068">
            <w:pPr>
              <w:tabs>
                <w:tab w:val="right" w:pos="1202"/>
              </w:tabs>
              <w:suppressAutoHyphens/>
              <w:autoSpaceDN w:val="0"/>
              <w:jc w:val="right"/>
              <w:outlineLvl w:val="0"/>
              <w:rPr>
                <w:rFonts w:ascii="Arial" w:eastAsia="Times New Roman" w:hAnsi="Arial" w:cs="Arial"/>
                <w:b/>
                <w:color w:val="000000" w:themeColor="text1"/>
                <w:sz w:val="20"/>
                <w:szCs w:val="20"/>
              </w:rPr>
            </w:pPr>
            <w:bookmarkStart w:id="380" w:name="_Toc67328091"/>
            <w:r w:rsidRPr="00815314">
              <w:rPr>
                <w:rFonts w:ascii="Arial" w:eastAsia="Times New Roman" w:hAnsi="Arial" w:cs="Arial"/>
                <w:b/>
                <w:color w:val="000000" w:themeColor="text1"/>
                <w:sz w:val="20"/>
                <w:szCs w:val="20"/>
              </w:rPr>
              <w:t>1.1.-3</w:t>
            </w:r>
            <w:r w:rsidR="00CE7087">
              <w:rPr>
                <w:rFonts w:ascii="Arial" w:eastAsia="Times New Roman" w:hAnsi="Arial" w:cs="Arial"/>
                <w:b/>
                <w:color w:val="000000" w:themeColor="text1"/>
                <w:sz w:val="20"/>
                <w:szCs w:val="20"/>
              </w:rPr>
              <w:t>0</w:t>
            </w:r>
            <w:r w:rsidRPr="00815314">
              <w:rPr>
                <w:rFonts w:ascii="Arial" w:eastAsia="Times New Roman" w:hAnsi="Arial" w:cs="Arial"/>
                <w:b/>
                <w:color w:val="000000" w:themeColor="text1"/>
                <w:sz w:val="20"/>
                <w:szCs w:val="20"/>
              </w:rPr>
              <w:t>.</w:t>
            </w:r>
            <w:r w:rsidR="00CE7087">
              <w:rPr>
                <w:rFonts w:ascii="Arial" w:eastAsia="Times New Roman" w:hAnsi="Arial" w:cs="Arial"/>
                <w:b/>
                <w:color w:val="000000" w:themeColor="text1"/>
                <w:sz w:val="20"/>
                <w:szCs w:val="20"/>
              </w:rPr>
              <w:t>9</w:t>
            </w:r>
            <w:r w:rsidRPr="00815314">
              <w:rPr>
                <w:rFonts w:ascii="Arial" w:eastAsia="Times New Roman" w:hAnsi="Arial" w:cs="Arial"/>
                <w:b/>
                <w:color w:val="000000" w:themeColor="text1"/>
                <w:sz w:val="20"/>
                <w:szCs w:val="20"/>
              </w:rPr>
              <w:t>.</w:t>
            </w:r>
            <w:bookmarkEnd w:id="380"/>
          </w:p>
          <w:p w14:paraId="1D19A374" w14:textId="46148F64" w:rsidR="001B5068" w:rsidRPr="00815314" w:rsidRDefault="001B5068" w:rsidP="001B5068">
            <w:pPr>
              <w:tabs>
                <w:tab w:val="right" w:pos="1202"/>
              </w:tabs>
              <w:suppressAutoHyphens/>
              <w:autoSpaceDN w:val="0"/>
              <w:jc w:val="right"/>
              <w:outlineLvl w:val="0"/>
              <w:rPr>
                <w:rFonts w:ascii="Arial" w:eastAsia="Times New Roman" w:hAnsi="Arial" w:cs="Arial"/>
                <w:b/>
                <w:color w:val="000000" w:themeColor="text1"/>
                <w:sz w:val="20"/>
                <w:szCs w:val="20"/>
              </w:rPr>
            </w:pPr>
            <w:bookmarkStart w:id="381" w:name="_Toc67328092"/>
            <w:r w:rsidRPr="00815314">
              <w:rPr>
                <w:rFonts w:ascii="Arial" w:eastAsia="Times New Roman" w:hAnsi="Arial" w:cs="Arial"/>
                <w:b/>
                <w:color w:val="000000" w:themeColor="text1"/>
                <w:sz w:val="20"/>
                <w:szCs w:val="20"/>
              </w:rPr>
              <w:t>202</w:t>
            </w:r>
            <w:r w:rsidR="00F939F1">
              <w:rPr>
                <w:rFonts w:ascii="Arial" w:eastAsia="Times New Roman" w:hAnsi="Arial" w:cs="Arial"/>
                <w:b/>
                <w:color w:val="000000" w:themeColor="text1"/>
                <w:sz w:val="20"/>
                <w:szCs w:val="20"/>
              </w:rPr>
              <w:t>4</w:t>
            </w:r>
            <w:r w:rsidRPr="00815314">
              <w:rPr>
                <w:rFonts w:ascii="Arial" w:eastAsia="Times New Roman" w:hAnsi="Arial" w:cs="Arial"/>
                <w:b/>
                <w:color w:val="000000" w:themeColor="text1"/>
                <w:sz w:val="20"/>
                <w:szCs w:val="20"/>
              </w:rPr>
              <w:t>.</w:t>
            </w:r>
            <w:bookmarkEnd w:id="381"/>
          </w:p>
        </w:tc>
        <w:tc>
          <w:tcPr>
            <w:tcW w:w="946" w:type="pct"/>
            <w:vAlign w:val="bottom"/>
          </w:tcPr>
          <w:p w14:paraId="7BA050CF" w14:textId="77777777" w:rsidR="001B5068" w:rsidRPr="00815314" w:rsidRDefault="001B5068" w:rsidP="001B5068">
            <w:pPr>
              <w:tabs>
                <w:tab w:val="right" w:pos="1202"/>
              </w:tabs>
              <w:suppressAutoHyphens/>
              <w:autoSpaceDN w:val="0"/>
              <w:jc w:val="right"/>
              <w:outlineLvl w:val="0"/>
              <w:rPr>
                <w:rFonts w:ascii="Arial" w:eastAsia="Times New Roman" w:hAnsi="Arial" w:cs="Arial"/>
                <w:b/>
                <w:color w:val="000000" w:themeColor="text1"/>
                <w:sz w:val="20"/>
                <w:szCs w:val="20"/>
              </w:rPr>
            </w:pPr>
            <w:bookmarkStart w:id="382" w:name="_Toc67328093"/>
            <w:r w:rsidRPr="00815314">
              <w:rPr>
                <w:rFonts w:ascii="Arial" w:eastAsia="Times New Roman" w:hAnsi="Arial" w:cs="Arial"/>
                <w:b/>
                <w:color w:val="000000" w:themeColor="text1"/>
                <w:sz w:val="20"/>
                <w:szCs w:val="20"/>
              </w:rPr>
              <w:t>1.1.-31.12.</w:t>
            </w:r>
            <w:bookmarkEnd w:id="382"/>
          </w:p>
          <w:p w14:paraId="504913D4" w14:textId="7AEA8572" w:rsidR="001B5068" w:rsidRPr="00815314" w:rsidRDefault="001B5068" w:rsidP="001B5068">
            <w:pPr>
              <w:tabs>
                <w:tab w:val="right" w:pos="1202"/>
              </w:tabs>
              <w:suppressAutoHyphens/>
              <w:autoSpaceDN w:val="0"/>
              <w:jc w:val="right"/>
              <w:outlineLvl w:val="0"/>
              <w:rPr>
                <w:rFonts w:ascii="Arial" w:eastAsia="Times New Roman" w:hAnsi="Arial" w:cs="Arial"/>
                <w:b/>
                <w:color w:val="000000" w:themeColor="text1"/>
                <w:sz w:val="20"/>
                <w:szCs w:val="20"/>
              </w:rPr>
            </w:pPr>
            <w:bookmarkStart w:id="383" w:name="_Toc67328094"/>
            <w:r w:rsidRPr="00815314">
              <w:rPr>
                <w:rFonts w:ascii="Arial" w:eastAsia="Times New Roman" w:hAnsi="Arial" w:cs="Arial"/>
                <w:b/>
                <w:color w:val="000000" w:themeColor="text1"/>
                <w:sz w:val="20"/>
                <w:szCs w:val="20"/>
              </w:rPr>
              <w:t>202</w:t>
            </w:r>
            <w:r w:rsidR="00F939F1">
              <w:rPr>
                <w:rFonts w:ascii="Arial" w:eastAsia="Times New Roman" w:hAnsi="Arial" w:cs="Arial"/>
                <w:b/>
                <w:color w:val="000000" w:themeColor="text1"/>
                <w:sz w:val="20"/>
                <w:szCs w:val="20"/>
              </w:rPr>
              <w:t>3</w:t>
            </w:r>
            <w:r w:rsidRPr="00815314">
              <w:rPr>
                <w:rFonts w:ascii="Arial" w:eastAsia="Times New Roman" w:hAnsi="Arial" w:cs="Arial"/>
                <w:b/>
                <w:color w:val="000000" w:themeColor="text1"/>
                <w:sz w:val="20"/>
                <w:szCs w:val="20"/>
              </w:rPr>
              <w:t>.</w:t>
            </w:r>
            <w:bookmarkEnd w:id="383"/>
          </w:p>
        </w:tc>
      </w:tr>
      <w:tr w:rsidR="001B5068" w:rsidRPr="00815314" w14:paraId="2C9C9B10" w14:textId="77777777" w:rsidTr="00815314">
        <w:trPr>
          <w:trHeight w:val="206"/>
        </w:trPr>
        <w:tc>
          <w:tcPr>
            <w:tcW w:w="3003" w:type="pct"/>
            <w:tcBorders>
              <w:top w:val="nil"/>
              <w:left w:val="nil"/>
              <w:bottom w:val="nil"/>
              <w:right w:val="nil"/>
            </w:tcBorders>
            <w:shd w:val="clear" w:color="auto" w:fill="auto"/>
            <w:vAlign w:val="bottom"/>
            <w:hideMark/>
          </w:tcPr>
          <w:p w14:paraId="431B75C8" w14:textId="77777777" w:rsidR="001B5068" w:rsidRPr="00815314" w:rsidRDefault="001B5068" w:rsidP="001B5068">
            <w:pPr>
              <w:suppressAutoHyphens/>
              <w:autoSpaceDN w:val="0"/>
              <w:jc w:val="right"/>
              <w:rPr>
                <w:rFonts w:ascii="Arial" w:eastAsia="Times New Roman" w:hAnsi="Arial" w:cs="Arial"/>
                <w:b/>
                <w:bCs/>
                <w:color w:val="000000" w:themeColor="text1"/>
                <w:sz w:val="20"/>
                <w:szCs w:val="20"/>
              </w:rPr>
            </w:pPr>
          </w:p>
        </w:tc>
        <w:tc>
          <w:tcPr>
            <w:tcW w:w="1051" w:type="pct"/>
            <w:tcBorders>
              <w:top w:val="nil"/>
              <w:left w:val="nil"/>
              <w:bottom w:val="nil"/>
              <w:right w:val="nil"/>
            </w:tcBorders>
            <w:shd w:val="clear" w:color="auto" w:fill="auto"/>
            <w:vAlign w:val="bottom"/>
            <w:hideMark/>
          </w:tcPr>
          <w:p w14:paraId="0F825E23" w14:textId="326C7556" w:rsidR="001B5068" w:rsidRPr="00815314" w:rsidRDefault="001B5068" w:rsidP="001B5068">
            <w:pPr>
              <w:suppressAutoHyphens/>
              <w:autoSpaceDN w:val="0"/>
              <w:jc w:val="right"/>
              <w:rPr>
                <w:rFonts w:ascii="Arial" w:eastAsia="Times New Roman" w:hAnsi="Arial" w:cs="Arial"/>
                <w:b/>
                <w:bCs/>
                <w:color w:val="000000" w:themeColor="text1"/>
                <w:sz w:val="20"/>
                <w:szCs w:val="20"/>
              </w:rPr>
            </w:pPr>
            <w:r w:rsidRPr="00815314">
              <w:rPr>
                <w:rFonts w:ascii="Arial" w:eastAsia="Times New Roman" w:hAnsi="Arial" w:cs="Arial"/>
                <w:b/>
                <w:bCs/>
                <w:color w:val="000000" w:themeColor="text1"/>
                <w:sz w:val="20"/>
                <w:szCs w:val="20"/>
              </w:rPr>
              <w:t xml:space="preserve">000 </w:t>
            </w:r>
            <w:r w:rsidR="00DC1558" w:rsidRPr="00815314">
              <w:rPr>
                <w:rFonts w:ascii="Arial" w:eastAsia="Times New Roman" w:hAnsi="Arial" w:cs="Arial"/>
                <w:b/>
                <w:bCs/>
                <w:color w:val="000000" w:themeColor="text1"/>
                <w:sz w:val="20"/>
                <w:szCs w:val="20"/>
              </w:rPr>
              <w:t>eura</w:t>
            </w:r>
          </w:p>
        </w:tc>
        <w:tc>
          <w:tcPr>
            <w:tcW w:w="946" w:type="pct"/>
            <w:tcBorders>
              <w:top w:val="nil"/>
              <w:left w:val="nil"/>
              <w:right w:val="nil"/>
            </w:tcBorders>
            <w:shd w:val="clear" w:color="auto" w:fill="auto"/>
            <w:vAlign w:val="bottom"/>
          </w:tcPr>
          <w:p w14:paraId="17622E72" w14:textId="299C6326" w:rsidR="001B5068" w:rsidRPr="00815314" w:rsidRDefault="001B5068" w:rsidP="001B5068">
            <w:pPr>
              <w:suppressAutoHyphens/>
              <w:autoSpaceDN w:val="0"/>
              <w:jc w:val="right"/>
              <w:rPr>
                <w:rFonts w:ascii="Arial" w:eastAsia="Times New Roman" w:hAnsi="Arial" w:cs="Arial"/>
                <w:b/>
                <w:bCs/>
                <w:color w:val="000000" w:themeColor="text1"/>
                <w:sz w:val="20"/>
                <w:szCs w:val="20"/>
              </w:rPr>
            </w:pPr>
            <w:r w:rsidRPr="00815314">
              <w:rPr>
                <w:rFonts w:ascii="Arial" w:eastAsia="Times New Roman" w:hAnsi="Arial" w:cs="Arial"/>
                <w:b/>
                <w:bCs/>
                <w:color w:val="000000" w:themeColor="text1"/>
                <w:sz w:val="20"/>
                <w:szCs w:val="20"/>
              </w:rPr>
              <w:t xml:space="preserve">000 </w:t>
            </w:r>
            <w:r w:rsidR="00DC1558" w:rsidRPr="00815314">
              <w:rPr>
                <w:rFonts w:ascii="Arial" w:eastAsia="Times New Roman" w:hAnsi="Arial" w:cs="Arial"/>
                <w:b/>
                <w:bCs/>
                <w:color w:val="000000" w:themeColor="text1"/>
                <w:sz w:val="20"/>
                <w:szCs w:val="20"/>
              </w:rPr>
              <w:t>eura</w:t>
            </w:r>
          </w:p>
        </w:tc>
      </w:tr>
      <w:tr w:rsidR="00553E1D" w:rsidRPr="00815314" w14:paraId="6DE1F594" w14:textId="77777777" w:rsidTr="00815314">
        <w:trPr>
          <w:trHeight w:val="397"/>
        </w:trPr>
        <w:tc>
          <w:tcPr>
            <w:tcW w:w="3003" w:type="pct"/>
            <w:tcBorders>
              <w:top w:val="nil"/>
              <w:left w:val="nil"/>
              <w:bottom w:val="nil"/>
              <w:right w:val="nil"/>
            </w:tcBorders>
            <w:shd w:val="clear" w:color="auto" w:fill="auto"/>
            <w:vAlign w:val="bottom"/>
          </w:tcPr>
          <w:p w14:paraId="0EF591E0" w14:textId="77777777" w:rsidR="00553E1D" w:rsidRPr="00815314" w:rsidRDefault="00553E1D" w:rsidP="00553E1D">
            <w:pPr>
              <w:suppressAutoHyphens/>
              <w:autoSpaceDN w:val="0"/>
              <w:rPr>
                <w:rFonts w:ascii="Arial" w:eastAsia="Times New Roman" w:hAnsi="Arial" w:cs="Arial"/>
                <w:color w:val="000000" w:themeColor="text1"/>
                <w:sz w:val="20"/>
                <w:szCs w:val="20"/>
              </w:rPr>
            </w:pPr>
            <w:r w:rsidRPr="00815314">
              <w:rPr>
                <w:rFonts w:ascii="Arial" w:eastAsia="Times New Roman" w:hAnsi="Arial" w:cs="Arial"/>
                <w:color w:val="000000" w:themeColor="text1"/>
                <w:sz w:val="20"/>
                <w:szCs w:val="20"/>
              </w:rPr>
              <w:t>Stanje 1. siječnja</w:t>
            </w:r>
          </w:p>
        </w:tc>
        <w:tc>
          <w:tcPr>
            <w:tcW w:w="1051" w:type="pct"/>
            <w:tcBorders>
              <w:top w:val="nil"/>
              <w:left w:val="nil"/>
              <w:right w:val="nil"/>
            </w:tcBorders>
            <w:shd w:val="clear" w:color="auto" w:fill="auto"/>
            <w:noWrap/>
            <w:vAlign w:val="bottom"/>
          </w:tcPr>
          <w:p w14:paraId="7DEA08C6" w14:textId="2781CF99" w:rsidR="00553E1D" w:rsidRPr="00815314" w:rsidRDefault="00485EF9" w:rsidP="00553E1D">
            <w:pPr>
              <w:suppressAutoHyphens/>
              <w:autoSpaceDN w:val="0"/>
              <w:jc w:val="right"/>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470</w:t>
            </w:r>
            <w:r w:rsidR="00080D27">
              <w:rPr>
                <w:rFonts w:ascii="Arial" w:eastAsia="Times New Roman" w:hAnsi="Arial" w:cs="Arial"/>
                <w:color w:val="000000" w:themeColor="text1"/>
                <w:sz w:val="20"/>
                <w:szCs w:val="20"/>
              </w:rPr>
              <w:t>.757</w:t>
            </w:r>
          </w:p>
        </w:tc>
        <w:tc>
          <w:tcPr>
            <w:tcW w:w="946" w:type="pct"/>
            <w:tcBorders>
              <w:top w:val="nil"/>
              <w:left w:val="nil"/>
              <w:right w:val="nil"/>
            </w:tcBorders>
            <w:shd w:val="clear" w:color="auto" w:fill="auto"/>
            <w:vAlign w:val="bottom"/>
          </w:tcPr>
          <w:p w14:paraId="165FA24C" w14:textId="38D0A233" w:rsidR="00553E1D" w:rsidRPr="00815314" w:rsidRDefault="00553E1D" w:rsidP="00553E1D">
            <w:pPr>
              <w:suppressAutoHyphens/>
              <w:autoSpaceDN w:val="0"/>
              <w:jc w:val="right"/>
              <w:rPr>
                <w:rFonts w:ascii="Arial" w:eastAsia="Times New Roman" w:hAnsi="Arial" w:cs="Arial"/>
                <w:color w:val="000000" w:themeColor="text1"/>
                <w:sz w:val="20"/>
                <w:szCs w:val="20"/>
              </w:rPr>
            </w:pPr>
            <w:r w:rsidRPr="008F0B09">
              <w:rPr>
                <w:rFonts w:ascii="Arial" w:hAnsi="Arial" w:cs="Arial"/>
                <w:color w:val="000000" w:themeColor="text1"/>
                <w:sz w:val="20"/>
                <w:szCs w:val="20"/>
              </w:rPr>
              <w:t>458.561</w:t>
            </w:r>
          </w:p>
        </w:tc>
      </w:tr>
      <w:tr w:rsidR="00553E1D" w:rsidRPr="00815314" w14:paraId="662C757D" w14:textId="77777777" w:rsidTr="00815314">
        <w:trPr>
          <w:trHeight w:val="268"/>
        </w:trPr>
        <w:tc>
          <w:tcPr>
            <w:tcW w:w="3003" w:type="pct"/>
            <w:tcBorders>
              <w:top w:val="nil"/>
              <w:left w:val="nil"/>
              <w:bottom w:val="nil"/>
              <w:right w:val="nil"/>
            </w:tcBorders>
            <w:shd w:val="clear" w:color="auto" w:fill="auto"/>
            <w:vAlign w:val="bottom"/>
          </w:tcPr>
          <w:p w14:paraId="6D3EA3A6" w14:textId="64E1E92C" w:rsidR="00553E1D" w:rsidRPr="00815314" w:rsidRDefault="00553E1D" w:rsidP="00553E1D">
            <w:pPr>
              <w:suppressAutoHyphens/>
              <w:autoSpaceDN w:val="0"/>
              <w:rPr>
                <w:rFonts w:ascii="Arial" w:eastAsia="Times New Roman" w:hAnsi="Arial" w:cs="Arial"/>
                <w:color w:val="000000" w:themeColor="text1"/>
                <w:sz w:val="20"/>
                <w:szCs w:val="20"/>
              </w:rPr>
            </w:pPr>
            <w:r w:rsidRPr="00815314">
              <w:rPr>
                <w:rFonts w:ascii="Arial" w:eastAsia="Times New Roman" w:hAnsi="Arial" w:cs="Arial"/>
                <w:color w:val="000000" w:themeColor="text1"/>
                <w:sz w:val="20"/>
                <w:szCs w:val="20"/>
              </w:rPr>
              <w:t>Usklađenje početnog stanja</w:t>
            </w:r>
          </w:p>
        </w:tc>
        <w:tc>
          <w:tcPr>
            <w:tcW w:w="1051" w:type="pct"/>
            <w:tcBorders>
              <w:top w:val="nil"/>
              <w:left w:val="nil"/>
              <w:right w:val="nil"/>
            </w:tcBorders>
            <w:shd w:val="clear" w:color="auto" w:fill="auto"/>
            <w:noWrap/>
            <w:vAlign w:val="bottom"/>
          </w:tcPr>
          <w:p w14:paraId="1719006F" w14:textId="4F19ED49" w:rsidR="00553E1D" w:rsidRPr="00815314" w:rsidRDefault="00AC0F95" w:rsidP="00553E1D">
            <w:pPr>
              <w:suppressAutoHyphens/>
              <w:autoSpaceDN w:val="0"/>
              <w:jc w:val="right"/>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w:t>
            </w:r>
          </w:p>
        </w:tc>
        <w:tc>
          <w:tcPr>
            <w:tcW w:w="946" w:type="pct"/>
            <w:tcBorders>
              <w:top w:val="nil"/>
              <w:left w:val="nil"/>
              <w:right w:val="nil"/>
            </w:tcBorders>
            <w:shd w:val="clear" w:color="auto" w:fill="auto"/>
            <w:vAlign w:val="bottom"/>
          </w:tcPr>
          <w:p w14:paraId="35324FCF" w14:textId="36EB4DCD" w:rsidR="00553E1D" w:rsidRPr="00815314" w:rsidRDefault="00553E1D" w:rsidP="00553E1D">
            <w:pPr>
              <w:suppressAutoHyphens/>
              <w:autoSpaceDN w:val="0"/>
              <w:jc w:val="right"/>
              <w:rPr>
                <w:rFonts w:ascii="Arial" w:eastAsia="Times New Roman" w:hAnsi="Arial" w:cs="Arial"/>
                <w:color w:val="000000" w:themeColor="text1"/>
                <w:sz w:val="20"/>
                <w:szCs w:val="20"/>
              </w:rPr>
            </w:pPr>
            <w:r w:rsidRPr="008F0B09">
              <w:rPr>
                <w:rFonts w:ascii="Arial" w:hAnsi="Arial" w:cs="Arial"/>
                <w:color w:val="000000" w:themeColor="text1"/>
                <w:sz w:val="20"/>
                <w:szCs w:val="20"/>
              </w:rPr>
              <w:t>489</w:t>
            </w:r>
          </w:p>
        </w:tc>
      </w:tr>
      <w:tr w:rsidR="00553E1D" w:rsidRPr="00815314" w14:paraId="65C94994" w14:textId="77777777" w:rsidTr="00815314">
        <w:trPr>
          <w:trHeight w:val="337"/>
        </w:trPr>
        <w:tc>
          <w:tcPr>
            <w:tcW w:w="3003" w:type="pct"/>
            <w:tcBorders>
              <w:top w:val="nil"/>
              <w:left w:val="nil"/>
              <w:bottom w:val="nil"/>
              <w:right w:val="nil"/>
            </w:tcBorders>
            <w:shd w:val="clear" w:color="auto" w:fill="auto"/>
            <w:vAlign w:val="bottom"/>
          </w:tcPr>
          <w:p w14:paraId="109722E8" w14:textId="2D2083A2" w:rsidR="00553E1D" w:rsidRPr="00815314" w:rsidRDefault="00553E1D" w:rsidP="00553E1D">
            <w:pPr>
              <w:suppressAutoHyphens/>
              <w:autoSpaceDN w:val="0"/>
              <w:rPr>
                <w:rFonts w:ascii="Arial" w:eastAsia="Times New Roman" w:hAnsi="Arial" w:cs="Arial"/>
                <w:color w:val="000000" w:themeColor="text1"/>
                <w:sz w:val="20"/>
                <w:szCs w:val="20"/>
              </w:rPr>
            </w:pPr>
            <w:r w:rsidRPr="00815314">
              <w:rPr>
                <w:rFonts w:ascii="Arial" w:eastAsia="Times New Roman" w:hAnsi="Arial" w:cs="Arial"/>
                <w:color w:val="000000" w:themeColor="text1"/>
                <w:sz w:val="20"/>
                <w:szCs w:val="20"/>
              </w:rPr>
              <w:t>Neto (</w:t>
            </w:r>
            <w:r w:rsidRPr="00B74BDE">
              <w:rPr>
                <w:rFonts w:ascii="Arial" w:eastAsia="Times New Roman" w:hAnsi="Arial" w:cs="Arial"/>
                <w:color w:val="000000" w:themeColor="text1"/>
                <w:sz w:val="20"/>
                <w:szCs w:val="20"/>
              </w:rPr>
              <w:t>smanjenje)/povećanje</w:t>
            </w:r>
            <w:r w:rsidRPr="00462313">
              <w:rPr>
                <w:rFonts w:ascii="Arial" w:eastAsia="Times New Roman" w:hAnsi="Arial" w:cs="Arial"/>
                <w:color w:val="000000" w:themeColor="text1"/>
                <w:sz w:val="20"/>
                <w:szCs w:val="20"/>
              </w:rPr>
              <w:t xml:space="preserve"> rezerviranja</w:t>
            </w:r>
            <w:r w:rsidRPr="00815314">
              <w:rPr>
                <w:rFonts w:ascii="Arial" w:eastAsia="Times New Roman" w:hAnsi="Arial" w:cs="Arial"/>
                <w:color w:val="000000" w:themeColor="text1"/>
                <w:sz w:val="20"/>
                <w:szCs w:val="20"/>
              </w:rPr>
              <w:t xml:space="preserve"> za očekivane gubitke po kreditima ostalim korisnicima i kamatama</w:t>
            </w:r>
          </w:p>
        </w:tc>
        <w:tc>
          <w:tcPr>
            <w:tcW w:w="1051" w:type="pct"/>
            <w:tcBorders>
              <w:left w:val="nil"/>
              <w:bottom w:val="single" w:sz="4" w:space="0" w:color="auto"/>
              <w:right w:val="nil"/>
            </w:tcBorders>
            <w:shd w:val="clear" w:color="auto" w:fill="auto"/>
            <w:vAlign w:val="bottom"/>
          </w:tcPr>
          <w:p w14:paraId="1122E6BD" w14:textId="6524C802" w:rsidR="00553E1D" w:rsidRPr="00815314" w:rsidRDefault="00AC0F95" w:rsidP="00AC0F95">
            <w:pPr>
              <w:suppressAutoHyphens/>
              <w:autoSpaceDN w:val="0"/>
              <w:jc w:val="right"/>
              <w:rPr>
                <w:rFonts w:ascii="Arial" w:eastAsia="Times New Roman" w:hAnsi="Arial" w:cs="Arial"/>
                <w:color w:val="000000" w:themeColor="text1"/>
                <w:sz w:val="20"/>
                <w:szCs w:val="20"/>
              </w:rPr>
            </w:pPr>
            <w:r w:rsidRPr="00AC0F95">
              <w:rPr>
                <w:rFonts w:ascii="Arial" w:eastAsia="Times New Roman" w:hAnsi="Arial" w:cs="Arial"/>
                <w:color w:val="000000" w:themeColor="text1"/>
                <w:sz w:val="20"/>
                <w:szCs w:val="20"/>
              </w:rPr>
              <w:t>(9.460)</w:t>
            </w:r>
          </w:p>
        </w:tc>
        <w:tc>
          <w:tcPr>
            <w:tcW w:w="946" w:type="pct"/>
            <w:tcBorders>
              <w:left w:val="nil"/>
              <w:bottom w:val="single" w:sz="4" w:space="0" w:color="auto"/>
              <w:right w:val="nil"/>
            </w:tcBorders>
            <w:shd w:val="clear" w:color="auto" w:fill="auto"/>
            <w:vAlign w:val="bottom"/>
          </w:tcPr>
          <w:p w14:paraId="02FAACF1" w14:textId="7C14920D" w:rsidR="00553E1D" w:rsidRPr="00815314" w:rsidRDefault="00553E1D" w:rsidP="00553E1D">
            <w:pPr>
              <w:suppressAutoHyphens/>
              <w:autoSpaceDN w:val="0"/>
              <w:jc w:val="right"/>
              <w:rPr>
                <w:rFonts w:ascii="Arial" w:eastAsia="Times New Roman" w:hAnsi="Arial" w:cs="Arial"/>
                <w:color w:val="000000" w:themeColor="text1"/>
                <w:sz w:val="20"/>
                <w:szCs w:val="20"/>
              </w:rPr>
            </w:pPr>
            <w:r w:rsidRPr="008F0B09">
              <w:rPr>
                <w:rFonts w:ascii="Arial" w:hAnsi="Arial" w:cs="Arial"/>
                <w:color w:val="000000" w:themeColor="text1"/>
                <w:sz w:val="20"/>
                <w:szCs w:val="20"/>
              </w:rPr>
              <w:t>5.360</w:t>
            </w:r>
          </w:p>
        </w:tc>
      </w:tr>
      <w:tr w:rsidR="00553E1D" w:rsidRPr="00815314" w14:paraId="119A0B9E" w14:textId="77777777" w:rsidTr="00815314">
        <w:trPr>
          <w:trHeight w:val="337"/>
        </w:trPr>
        <w:tc>
          <w:tcPr>
            <w:tcW w:w="3003" w:type="pct"/>
            <w:tcBorders>
              <w:top w:val="nil"/>
              <w:left w:val="nil"/>
              <w:bottom w:val="nil"/>
              <w:right w:val="nil"/>
            </w:tcBorders>
            <w:shd w:val="clear" w:color="auto" w:fill="auto"/>
            <w:vAlign w:val="bottom"/>
          </w:tcPr>
          <w:p w14:paraId="76189D2A" w14:textId="6F947E5F" w:rsidR="00553E1D" w:rsidRPr="00815314" w:rsidRDefault="00553E1D" w:rsidP="00553E1D">
            <w:pPr>
              <w:suppressAutoHyphens/>
              <w:autoSpaceDN w:val="0"/>
              <w:rPr>
                <w:rFonts w:ascii="Arial" w:eastAsia="Times New Roman" w:hAnsi="Arial" w:cs="Arial"/>
                <w:i/>
                <w:iCs/>
                <w:color w:val="000000" w:themeColor="text1"/>
                <w:sz w:val="20"/>
                <w:szCs w:val="20"/>
              </w:rPr>
            </w:pPr>
            <w:r w:rsidRPr="00815314">
              <w:rPr>
                <w:rFonts w:ascii="Arial" w:eastAsia="Times New Roman" w:hAnsi="Arial" w:cs="Arial"/>
                <w:i/>
                <w:iCs/>
                <w:color w:val="000000" w:themeColor="text1"/>
                <w:sz w:val="20"/>
                <w:szCs w:val="20"/>
              </w:rPr>
              <w:t>Ukupno kroz dobit ili gubita</w:t>
            </w:r>
            <w:r w:rsidRPr="00CC7FB0">
              <w:rPr>
                <w:rFonts w:ascii="Arial" w:eastAsia="Times New Roman" w:hAnsi="Arial" w:cs="Arial"/>
                <w:i/>
                <w:iCs/>
                <w:color w:val="000000" w:themeColor="text1"/>
                <w:sz w:val="20"/>
                <w:szCs w:val="20"/>
              </w:rPr>
              <w:t>k (bilješka 8)</w:t>
            </w:r>
          </w:p>
        </w:tc>
        <w:tc>
          <w:tcPr>
            <w:tcW w:w="1051" w:type="pct"/>
            <w:tcBorders>
              <w:top w:val="single" w:sz="4" w:space="0" w:color="auto"/>
              <w:left w:val="nil"/>
              <w:bottom w:val="single" w:sz="4" w:space="0" w:color="auto"/>
              <w:right w:val="nil"/>
            </w:tcBorders>
            <w:shd w:val="clear" w:color="auto" w:fill="auto"/>
            <w:vAlign w:val="bottom"/>
          </w:tcPr>
          <w:p w14:paraId="29524267" w14:textId="2C9E2A7C" w:rsidR="00553E1D" w:rsidRPr="00B429C8" w:rsidRDefault="00B429C8" w:rsidP="00B429C8">
            <w:pPr>
              <w:suppressAutoHyphens/>
              <w:autoSpaceDN w:val="0"/>
              <w:jc w:val="right"/>
              <w:rPr>
                <w:rFonts w:ascii="Arial" w:eastAsia="Times New Roman" w:hAnsi="Arial" w:cs="Arial"/>
                <w:i/>
                <w:iCs/>
                <w:color w:val="000000" w:themeColor="text1"/>
                <w:sz w:val="20"/>
                <w:szCs w:val="20"/>
              </w:rPr>
            </w:pPr>
            <w:r w:rsidRPr="00B429C8">
              <w:rPr>
                <w:rFonts w:ascii="Arial" w:eastAsia="Times New Roman" w:hAnsi="Arial" w:cs="Arial"/>
                <w:i/>
                <w:iCs/>
                <w:color w:val="000000" w:themeColor="text1"/>
                <w:sz w:val="20"/>
                <w:szCs w:val="20"/>
              </w:rPr>
              <w:t>(9.460)</w:t>
            </w:r>
          </w:p>
        </w:tc>
        <w:tc>
          <w:tcPr>
            <w:tcW w:w="946" w:type="pct"/>
            <w:tcBorders>
              <w:top w:val="single" w:sz="4" w:space="0" w:color="auto"/>
              <w:left w:val="nil"/>
              <w:bottom w:val="single" w:sz="4" w:space="0" w:color="auto"/>
              <w:right w:val="nil"/>
            </w:tcBorders>
            <w:shd w:val="clear" w:color="auto" w:fill="auto"/>
            <w:vAlign w:val="bottom"/>
          </w:tcPr>
          <w:p w14:paraId="53CA43DB" w14:textId="3C340218" w:rsidR="00553E1D" w:rsidRPr="00815314" w:rsidRDefault="00553E1D" w:rsidP="00553E1D">
            <w:pPr>
              <w:suppressAutoHyphens/>
              <w:autoSpaceDN w:val="0"/>
              <w:jc w:val="right"/>
              <w:rPr>
                <w:rFonts w:ascii="Arial" w:eastAsia="Times New Roman" w:hAnsi="Arial" w:cs="Arial"/>
                <w:i/>
                <w:iCs/>
                <w:color w:val="000000" w:themeColor="text1"/>
                <w:sz w:val="20"/>
                <w:szCs w:val="20"/>
              </w:rPr>
            </w:pPr>
            <w:r w:rsidRPr="008F0B09">
              <w:rPr>
                <w:rFonts w:ascii="Arial" w:hAnsi="Arial" w:cs="Arial"/>
                <w:bCs/>
                <w:i/>
                <w:color w:val="000000" w:themeColor="text1"/>
                <w:sz w:val="20"/>
                <w:szCs w:val="20"/>
              </w:rPr>
              <w:t>5.360</w:t>
            </w:r>
          </w:p>
        </w:tc>
      </w:tr>
      <w:tr w:rsidR="00553E1D" w:rsidRPr="00815314" w14:paraId="350EC85C" w14:textId="77777777" w:rsidTr="00815314">
        <w:trPr>
          <w:trHeight w:val="337"/>
        </w:trPr>
        <w:tc>
          <w:tcPr>
            <w:tcW w:w="3003" w:type="pct"/>
            <w:tcBorders>
              <w:top w:val="nil"/>
              <w:left w:val="nil"/>
              <w:bottom w:val="nil"/>
              <w:right w:val="nil"/>
            </w:tcBorders>
            <w:shd w:val="clear" w:color="auto" w:fill="auto"/>
            <w:vAlign w:val="bottom"/>
          </w:tcPr>
          <w:p w14:paraId="5DBC64D1" w14:textId="77777777" w:rsidR="00553E1D" w:rsidRPr="00815314" w:rsidRDefault="00553E1D" w:rsidP="00553E1D">
            <w:pPr>
              <w:suppressAutoHyphens/>
              <w:autoSpaceDN w:val="0"/>
              <w:rPr>
                <w:rFonts w:ascii="Arial" w:eastAsia="Times New Roman" w:hAnsi="Arial" w:cs="Arial"/>
                <w:color w:val="000000" w:themeColor="text1"/>
                <w:sz w:val="20"/>
                <w:szCs w:val="20"/>
              </w:rPr>
            </w:pPr>
            <w:r w:rsidRPr="00815314">
              <w:rPr>
                <w:rFonts w:ascii="Arial" w:eastAsia="Times New Roman" w:hAnsi="Arial" w:cs="Arial"/>
                <w:color w:val="000000" w:themeColor="text1"/>
                <w:sz w:val="20"/>
                <w:szCs w:val="20"/>
              </w:rPr>
              <w:t xml:space="preserve">Neto dobit/gubitak od tečajnih razlika po rezerviranjima za očekivane gubitke </w:t>
            </w:r>
          </w:p>
        </w:tc>
        <w:tc>
          <w:tcPr>
            <w:tcW w:w="1051" w:type="pct"/>
            <w:tcBorders>
              <w:top w:val="single" w:sz="4" w:space="0" w:color="auto"/>
              <w:left w:val="nil"/>
              <w:right w:val="nil"/>
            </w:tcBorders>
            <w:shd w:val="clear" w:color="auto" w:fill="auto"/>
            <w:vAlign w:val="bottom"/>
          </w:tcPr>
          <w:p w14:paraId="1F749D83" w14:textId="66CBE424" w:rsidR="00553E1D" w:rsidRPr="00815314" w:rsidRDefault="00B429C8" w:rsidP="00553E1D">
            <w:pPr>
              <w:suppressAutoHyphens/>
              <w:autoSpaceDN w:val="0"/>
              <w:jc w:val="right"/>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(132)</w:t>
            </w:r>
          </w:p>
        </w:tc>
        <w:tc>
          <w:tcPr>
            <w:tcW w:w="946" w:type="pct"/>
            <w:tcBorders>
              <w:top w:val="single" w:sz="4" w:space="0" w:color="auto"/>
              <w:left w:val="nil"/>
              <w:right w:val="nil"/>
            </w:tcBorders>
            <w:shd w:val="clear" w:color="auto" w:fill="auto"/>
            <w:vAlign w:val="bottom"/>
          </w:tcPr>
          <w:p w14:paraId="57CB8088" w14:textId="324138D9" w:rsidR="00553E1D" w:rsidRPr="00815314" w:rsidRDefault="00553E1D" w:rsidP="00553E1D">
            <w:pPr>
              <w:suppressAutoHyphens/>
              <w:autoSpaceDN w:val="0"/>
              <w:jc w:val="right"/>
              <w:rPr>
                <w:rFonts w:ascii="Arial" w:eastAsia="Times New Roman" w:hAnsi="Arial" w:cs="Arial"/>
                <w:color w:val="000000" w:themeColor="text1"/>
                <w:sz w:val="20"/>
                <w:szCs w:val="20"/>
              </w:rPr>
            </w:pPr>
            <w:r w:rsidRPr="008F0B09">
              <w:rPr>
                <w:rFonts w:ascii="Arial" w:hAnsi="Arial" w:cs="Arial"/>
                <w:color w:val="000000" w:themeColor="text1"/>
                <w:sz w:val="20"/>
                <w:szCs w:val="20"/>
              </w:rPr>
              <w:t>(353)</w:t>
            </w:r>
          </w:p>
        </w:tc>
      </w:tr>
      <w:tr w:rsidR="00553E1D" w:rsidRPr="00815314" w14:paraId="5604BFB4" w14:textId="77777777" w:rsidTr="00815314">
        <w:trPr>
          <w:trHeight w:val="337"/>
        </w:trPr>
        <w:tc>
          <w:tcPr>
            <w:tcW w:w="3003" w:type="pct"/>
            <w:tcBorders>
              <w:top w:val="nil"/>
              <w:left w:val="nil"/>
              <w:bottom w:val="nil"/>
              <w:right w:val="nil"/>
            </w:tcBorders>
            <w:shd w:val="clear" w:color="auto" w:fill="auto"/>
            <w:vAlign w:val="bottom"/>
          </w:tcPr>
          <w:p w14:paraId="13293AEE" w14:textId="77777777" w:rsidR="00553E1D" w:rsidRPr="00815314" w:rsidRDefault="00553E1D" w:rsidP="00553E1D">
            <w:pPr>
              <w:suppressAutoHyphens/>
              <w:autoSpaceDN w:val="0"/>
              <w:rPr>
                <w:rFonts w:ascii="Arial" w:eastAsia="Times New Roman" w:hAnsi="Arial" w:cs="Arial"/>
                <w:color w:val="000000" w:themeColor="text1"/>
                <w:sz w:val="20"/>
                <w:szCs w:val="20"/>
              </w:rPr>
            </w:pPr>
            <w:r w:rsidRPr="00815314">
              <w:rPr>
                <w:rFonts w:ascii="Arial" w:eastAsia="Times New Roman" w:hAnsi="Arial" w:cs="Arial"/>
                <w:color w:val="000000" w:themeColor="text1"/>
                <w:sz w:val="20"/>
                <w:szCs w:val="20"/>
              </w:rPr>
              <w:t>Otpis</w:t>
            </w:r>
          </w:p>
        </w:tc>
        <w:tc>
          <w:tcPr>
            <w:tcW w:w="1051" w:type="pct"/>
            <w:tcBorders>
              <w:left w:val="nil"/>
              <w:right w:val="nil"/>
            </w:tcBorders>
            <w:shd w:val="clear" w:color="auto" w:fill="auto"/>
            <w:vAlign w:val="bottom"/>
          </w:tcPr>
          <w:p w14:paraId="2FC67735" w14:textId="79959396" w:rsidR="00553E1D" w:rsidRPr="00815314" w:rsidRDefault="004F0CD6" w:rsidP="00553E1D">
            <w:pPr>
              <w:suppressAutoHyphens/>
              <w:autoSpaceDN w:val="0"/>
              <w:jc w:val="right"/>
              <w:rPr>
                <w:rFonts w:ascii="Arial" w:eastAsia="Times New Roman" w:hAnsi="Arial" w:cs="Arial"/>
                <w:color w:val="000000" w:themeColor="text1"/>
                <w:sz w:val="20"/>
                <w:szCs w:val="20"/>
              </w:rPr>
            </w:pPr>
            <w:r w:rsidRPr="004F0CD6">
              <w:rPr>
                <w:rFonts w:ascii="Arial" w:eastAsia="Times New Roman" w:hAnsi="Arial" w:cs="Arial"/>
                <w:color w:val="000000" w:themeColor="text1"/>
                <w:sz w:val="20"/>
                <w:szCs w:val="20"/>
              </w:rPr>
              <w:t>(1.968)</w:t>
            </w:r>
          </w:p>
        </w:tc>
        <w:tc>
          <w:tcPr>
            <w:tcW w:w="946" w:type="pct"/>
            <w:tcBorders>
              <w:left w:val="nil"/>
              <w:right w:val="nil"/>
            </w:tcBorders>
            <w:shd w:val="clear" w:color="auto" w:fill="auto"/>
            <w:vAlign w:val="bottom"/>
          </w:tcPr>
          <w:p w14:paraId="6BD7EF50" w14:textId="0B2EA66A" w:rsidR="00553E1D" w:rsidRPr="00815314" w:rsidRDefault="00553E1D" w:rsidP="00553E1D">
            <w:pPr>
              <w:suppressAutoHyphens/>
              <w:autoSpaceDN w:val="0"/>
              <w:jc w:val="right"/>
              <w:rPr>
                <w:rFonts w:ascii="Arial" w:eastAsia="Times New Roman" w:hAnsi="Arial" w:cs="Arial"/>
                <w:color w:val="000000" w:themeColor="text1"/>
                <w:sz w:val="20"/>
                <w:szCs w:val="20"/>
              </w:rPr>
            </w:pPr>
            <w:r w:rsidRPr="00F959D0">
              <w:rPr>
                <w:rFonts w:ascii="Arial" w:hAnsi="Arial" w:cs="Arial"/>
                <w:color w:val="000000" w:themeColor="text1"/>
                <w:sz w:val="20"/>
                <w:szCs w:val="20"/>
              </w:rPr>
              <w:t xml:space="preserve"> (3.392)</w:t>
            </w:r>
          </w:p>
        </w:tc>
      </w:tr>
      <w:tr w:rsidR="00553E1D" w:rsidRPr="00815314" w14:paraId="36F061F8" w14:textId="77777777" w:rsidTr="00815314">
        <w:trPr>
          <w:trHeight w:val="337"/>
        </w:trPr>
        <w:tc>
          <w:tcPr>
            <w:tcW w:w="3003" w:type="pct"/>
            <w:tcBorders>
              <w:top w:val="nil"/>
              <w:left w:val="nil"/>
              <w:bottom w:val="nil"/>
              <w:right w:val="nil"/>
            </w:tcBorders>
            <w:shd w:val="clear" w:color="auto" w:fill="auto"/>
            <w:vAlign w:val="bottom"/>
          </w:tcPr>
          <w:p w14:paraId="7896FE4D" w14:textId="138D6127" w:rsidR="00553E1D" w:rsidRPr="00815314" w:rsidRDefault="00553E1D" w:rsidP="00553E1D">
            <w:pPr>
              <w:suppressAutoHyphens/>
              <w:autoSpaceDN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Prijenos u izvanbilančnu evidenciju</w:t>
            </w:r>
          </w:p>
        </w:tc>
        <w:tc>
          <w:tcPr>
            <w:tcW w:w="1051" w:type="pct"/>
            <w:tcBorders>
              <w:left w:val="nil"/>
              <w:right w:val="nil"/>
            </w:tcBorders>
            <w:shd w:val="clear" w:color="auto" w:fill="auto"/>
            <w:vAlign w:val="bottom"/>
          </w:tcPr>
          <w:p w14:paraId="53A6C60F" w14:textId="3CA48709" w:rsidR="00553E1D" w:rsidRPr="00815314" w:rsidRDefault="00925F8C" w:rsidP="00553E1D">
            <w:pPr>
              <w:suppressAutoHyphens/>
              <w:autoSpaceDN w:val="0"/>
              <w:jc w:val="right"/>
              <w:rPr>
                <w:rFonts w:ascii="Arial" w:hAnsi="Arial" w:cs="Arial"/>
                <w:sz w:val="20"/>
                <w:szCs w:val="20"/>
              </w:rPr>
            </w:pPr>
            <w:r>
              <w:rPr>
                <w:rFonts w:ascii="Arial" w:hAnsi="Arial" w:cs="Arial"/>
                <w:sz w:val="20"/>
                <w:szCs w:val="20"/>
              </w:rPr>
              <w:t>-</w:t>
            </w:r>
          </w:p>
        </w:tc>
        <w:tc>
          <w:tcPr>
            <w:tcW w:w="946" w:type="pct"/>
            <w:tcBorders>
              <w:left w:val="nil"/>
              <w:right w:val="nil"/>
            </w:tcBorders>
            <w:shd w:val="clear" w:color="auto" w:fill="auto"/>
            <w:vAlign w:val="bottom"/>
          </w:tcPr>
          <w:p w14:paraId="4009117B" w14:textId="17B2F239" w:rsidR="00553E1D" w:rsidRPr="00815314" w:rsidRDefault="00553E1D" w:rsidP="00553E1D">
            <w:pPr>
              <w:suppressAutoHyphens/>
              <w:autoSpaceDN w:val="0"/>
              <w:jc w:val="right"/>
              <w:rPr>
                <w:rFonts w:ascii="Arial" w:hAnsi="Arial" w:cs="Arial"/>
                <w:sz w:val="20"/>
                <w:szCs w:val="20"/>
              </w:rPr>
            </w:pPr>
            <w:r w:rsidRPr="00F959D0">
              <w:rPr>
                <w:rFonts w:ascii="Arial" w:hAnsi="Arial" w:cs="Arial"/>
                <w:color w:val="000000" w:themeColor="text1"/>
                <w:sz w:val="20"/>
                <w:szCs w:val="20"/>
              </w:rPr>
              <w:t xml:space="preserve"> (2.311)</w:t>
            </w:r>
          </w:p>
        </w:tc>
      </w:tr>
      <w:tr w:rsidR="00553E1D" w:rsidRPr="00815314" w14:paraId="5E5431D8" w14:textId="77777777" w:rsidTr="00815314">
        <w:trPr>
          <w:trHeight w:val="337"/>
        </w:trPr>
        <w:tc>
          <w:tcPr>
            <w:tcW w:w="3003" w:type="pct"/>
            <w:tcBorders>
              <w:top w:val="nil"/>
              <w:left w:val="nil"/>
              <w:bottom w:val="nil"/>
              <w:right w:val="nil"/>
            </w:tcBorders>
            <w:shd w:val="clear" w:color="auto" w:fill="auto"/>
            <w:vAlign w:val="bottom"/>
          </w:tcPr>
          <w:p w14:paraId="337DFA0F" w14:textId="77777777" w:rsidR="00553E1D" w:rsidRPr="00815314" w:rsidRDefault="00553E1D" w:rsidP="00553E1D">
            <w:pPr>
              <w:suppressAutoHyphens/>
              <w:autoSpaceDN w:val="0"/>
              <w:rPr>
                <w:rFonts w:ascii="Arial" w:eastAsia="Times New Roman" w:hAnsi="Arial" w:cs="Arial"/>
                <w:color w:val="000000" w:themeColor="text1"/>
                <w:sz w:val="20"/>
                <w:szCs w:val="20"/>
              </w:rPr>
            </w:pPr>
            <w:r w:rsidRPr="00815314">
              <w:rPr>
                <w:rFonts w:ascii="Arial" w:eastAsia="Times New Roman" w:hAnsi="Arial" w:cs="Arial"/>
                <w:color w:val="000000" w:themeColor="text1"/>
                <w:sz w:val="20"/>
                <w:szCs w:val="20"/>
              </w:rPr>
              <w:t>Unwinding – promjena uslijed proteka vremena</w:t>
            </w:r>
          </w:p>
        </w:tc>
        <w:tc>
          <w:tcPr>
            <w:tcW w:w="1051" w:type="pct"/>
            <w:tcBorders>
              <w:left w:val="nil"/>
              <w:right w:val="nil"/>
            </w:tcBorders>
            <w:shd w:val="clear" w:color="auto" w:fill="auto"/>
            <w:vAlign w:val="bottom"/>
          </w:tcPr>
          <w:p w14:paraId="02EEDC4E" w14:textId="38373FC2" w:rsidR="00553E1D" w:rsidRPr="00815314" w:rsidRDefault="004F0CD6" w:rsidP="00553E1D">
            <w:pPr>
              <w:suppressAutoHyphens/>
              <w:autoSpaceDN w:val="0"/>
              <w:jc w:val="right"/>
              <w:rPr>
                <w:rFonts w:ascii="Arial" w:eastAsia="Times New Roman" w:hAnsi="Arial" w:cs="Arial"/>
                <w:color w:val="000000" w:themeColor="text1"/>
                <w:sz w:val="20"/>
                <w:szCs w:val="20"/>
              </w:rPr>
            </w:pPr>
            <w:r w:rsidRPr="004F0CD6">
              <w:rPr>
                <w:rFonts w:ascii="Arial" w:eastAsia="Times New Roman" w:hAnsi="Arial" w:cs="Arial"/>
                <w:color w:val="000000" w:themeColor="text1"/>
                <w:sz w:val="20"/>
                <w:szCs w:val="20"/>
              </w:rPr>
              <w:t>(528)</w:t>
            </w:r>
          </w:p>
        </w:tc>
        <w:tc>
          <w:tcPr>
            <w:tcW w:w="946" w:type="pct"/>
            <w:tcBorders>
              <w:left w:val="nil"/>
              <w:right w:val="nil"/>
            </w:tcBorders>
            <w:shd w:val="clear" w:color="auto" w:fill="auto"/>
            <w:vAlign w:val="bottom"/>
          </w:tcPr>
          <w:p w14:paraId="2086616C" w14:textId="470333A6" w:rsidR="00553E1D" w:rsidRPr="00815314" w:rsidRDefault="00553E1D" w:rsidP="00553E1D">
            <w:pPr>
              <w:suppressAutoHyphens/>
              <w:autoSpaceDN w:val="0"/>
              <w:jc w:val="right"/>
              <w:rPr>
                <w:rFonts w:ascii="Arial" w:eastAsia="Times New Roman" w:hAnsi="Arial" w:cs="Arial"/>
                <w:color w:val="000000" w:themeColor="text1"/>
                <w:sz w:val="20"/>
                <w:szCs w:val="20"/>
              </w:rPr>
            </w:pPr>
            <w:r w:rsidRPr="00815314">
              <w:rPr>
                <w:rFonts w:ascii="Arial" w:hAnsi="Arial" w:cs="Arial"/>
                <w:sz w:val="20"/>
                <w:szCs w:val="20"/>
              </w:rPr>
              <w:t xml:space="preserve"> </w:t>
            </w:r>
            <w:r>
              <w:rPr>
                <w:rFonts w:ascii="Arial" w:hAnsi="Arial" w:cs="Arial"/>
                <w:sz w:val="20"/>
                <w:szCs w:val="20"/>
              </w:rPr>
              <w:t>3</w:t>
            </w:r>
            <w:r w:rsidRPr="00815314">
              <w:rPr>
                <w:rFonts w:ascii="Arial" w:hAnsi="Arial" w:cs="Arial"/>
                <w:sz w:val="20"/>
                <w:szCs w:val="20"/>
              </w:rPr>
              <w:t>.</w:t>
            </w:r>
            <w:r>
              <w:rPr>
                <w:rFonts w:ascii="Arial" w:hAnsi="Arial" w:cs="Arial"/>
                <w:sz w:val="20"/>
                <w:szCs w:val="20"/>
              </w:rPr>
              <w:t>996</w:t>
            </w:r>
            <w:r w:rsidRPr="00815314">
              <w:rPr>
                <w:rFonts w:ascii="Arial" w:hAnsi="Arial" w:cs="Arial"/>
                <w:sz w:val="20"/>
                <w:szCs w:val="20"/>
              </w:rPr>
              <w:t xml:space="preserve"> </w:t>
            </w:r>
          </w:p>
        </w:tc>
      </w:tr>
      <w:tr w:rsidR="00553E1D" w:rsidRPr="00815314" w14:paraId="618507EC" w14:textId="77777777" w:rsidTr="00815314">
        <w:trPr>
          <w:trHeight w:val="337"/>
        </w:trPr>
        <w:tc>
          <w:tcPr>
            <w:tcW w:w="3003" w:type="pct"/>
            <w:tcBorders>
              <w:top w:val="nil"/>
              <w:left w:val="nil"/>
              <w:bottom w:val="nil"/>
              <w:right w:val="nil"/>
            </w:tcBorders>
            <w:shd w:val="clear" w:color="auto" w:fill="auto"/>
            <w:vAlign w:val="bottom"/>
          </w:tcPr>
          <w:p w14:paraId="1FCB5E16" w14:textId="77777777" w:rsidR="00553E1D" w:rsidRPr="00815314" w:rsidRDefault="00553E1D" w:rsidP="00553E1D">
            <w:pPr>
              <w:suppressAutoHyphens/>
              <w:autoSpaceDN w:val="0"/>
              <w:rPr>
                <w:rFonts w:ascii="Arial" w:eastAsia="Times New Roman" w:hAnsi="Arial" w:cs="Arial"/>
                <w:color w:val="000000" w:themeColor="text1"/>
                <w:sz w:val="20"/>
                <w:szCs w:val="20"/>
              </w:rPr>
            </w:pPr>
            <w:r w:rsidRPr="00815314">
              <w:rPr>
                <w:rFonts w:ascii="Arial" w:eastAsia="Times New Roman" w:hAnsi="Arial" w:cs="Arial"/>
                <w:color w:val="000000" w:themeColor="text1"/>
                <w:sz w:val="20"/>
                <w:szCs w:val="20"/>
              </w:rPr>
              <w:t>Donos isključenih kamata i ostalo</w:t>
            </w:r>
          </w:p>
        </w:tc>
        <w:tc>
          <w:tcPr>
            <w:tcW w:w="1051" w:type="pct"/>
            <w:tcBorders>
              <w:left w:val="nil"/>
              <w:bottom w:val="single" w:sz="4" w:space="0" w:color="auto"/>
              <w:right w:val="nil"/>
            </w:tcBorders>
            <w:shd w:val="clear" w:color="auto" w:fill="auto"/>
            <w:vAlign w:val="bottom"/>
          </w:tcPr>
          <w:p w14:paraId="57E52C6F" w14:textId="71BB61D1" w:rsidR="00553E1D" w:rsidRPr="00815314" w:rsidRDefault="00925F8C" w:rsidP="00553E1D">
            <w:pPr>
              <w:suppressAutoHyphens/>
              <w:autoSpaceDN w:val="0"/>
              <w:jc w:val="right"/>
              <w:rPr>
                <w:rFonts w:ascii="Arial" w:eastAsia="Times New Roman" w:hAnsi="Arial" w:cs="Arial"/>
                <w:color w:val="000000" w:themeColor="text1"/>
                <w:sz w:val="20"/>
                <w:szCs w:val="20"/>
              </w:rPr>
            </w:pPr>
            <w:r w:rsidRPr="00925F8C">
              <w:rPr>
                <w:rFonts w:ascii="Arial" w:eastAsia="Times New Roman" w:hAnsi="Arial" w:cs="Arial"/>
                <w:color w:val="000000" w:themeColor="text1"/>
                <w:sz w:val="20"/>
                <w:szCs w:val="20"/>
              </w:rPr>
              <w:t>5.155</w:t>
            </w:r>
          </w:p>
        </w:tc>
        <w:tc>
          <w:tcPr>
            <w:tcW w:w="946" w:type="pct"/>
            <w:tcBorders>
              <w:left w:val="nil"/>
              <w:bottom w:val="single" w:sz="4" w:space="0" w:color="auto"/>
              <w:right w:val="nil"/>
            </w:tcBorders>
            <w:shd w:val="clear" w:color="auto" w:fill="auto"/>
            <w:vAlign w:val="bottom"/>
          </w:tcPr>
          <w:p w14:paraId="0DE6923E" w14:textId="60E130F5" w:rsidR="00553E1D" w:rsidRPr="00815314" w:rsidRDefault="00553E1D" w:rsidP="00553E1D">
            <w:pPr>
              <w:suppressAutoHyphens/>
              <w:autoSpaceDN w:val="0"/>
              <w:jc w:val="right"/>
              <w:rPr>
                <w:rFonts w:ascii="Arial" w:eastAsia="Times New Roman" w:hAnsi="Arial" w:cs="Arial"/>
                <w:color w:val="000000" w:themeColor="text1"/>
                <w:sz w:val="20"/>
                <w:szCs w:val="20"/>
              </w:rPr>
            </w:pPr>
            <w:r w:rsidRPr="00815314">
              <w:rPr>
                <w:rFonts w:ascii="Arial" w:hAnsi="Arial" w:cs="Arial"/>
                <w:sz w:val="20"/>
                <w:szCs w:val="20"/>
              </w:rPr>
              <w:t xml:space="preserve"> </w:t>
            </w:r>
            <w:r>
              <w:rPr>
                <w:rFonts w:ascii="Arial" w:hAnsi="Arial" w:cs="Arial"/>
                <w:sz w:val="20"/>
                <w:szCs w:val="20"/>
              </w:rPr>
              <w:t>8</w:t>
            </w:r>
            <w:r w:rsidRPr="00815314">
              <w:rPr>
                <w:rFonts w:ascii="Arial" w:hAnsi="Arial" w:cs="Arial"/>
                <w:sz w:val="20"/>
                <w:szCs w:val="20"/>
              </w:rPr>
              <w:t>.</w:t>
            </w:r>
            <w:r>
              <w:rPr>
                <w:rFonts w:ascii="Arial" w:hAnsi="Arial" w:cs="Arial"/>
                <w:sz w:val="20"/>
                <w:szCs w:val="20"/>
              </w:rPr>
              <w:t>407</w:t>
            </w:r>
            <w:r w:rsidRPr="00815314">
              <w:rPr>
                <w:rFonts w:ascii="Arial" w:hAnsi="Arial" w:cs="Arial"/>
                <w:sz w:val="20"/>
                <w:szCs w:val="20"/>
              </w:rPr>
              <w:t xml:space="preserve"> </w:t>
            </w:r>
          </w:p>
        </w:tc>
      </w:tr>
      <w:tr w:rsidR="00553E1D" w:rsidRPr="00815314" w14:paraId="3D86FF54" w14:textId="77777777" w:rsidTr="00815314">
        <w:trPr>
          <w:trHeight w:val="337"/>
        </w:trPr>
        <w:tc>
          <w:tcPr>
            <w:tcW w:w="3003" w:type="pct"/>
            <w:tcBorders>
              <w:top w:val="nil"/>
              <w:left w:val="nil"/>
              <w:bottom w:val="nil"/>
              <w:right w:val="nil"/>
            </w:tcBorders>
            <w:shd w:val="clear" w:color="auto" w:fill="auto"/>
            <w:vAlign w:val="bottom"/>
          </w:tcPr>
          <w:p w14:paraId="478DD9CD" w14:textId="77777777" w:rsidR="00553E1D" w:rsidRPr="00815314" w:rsidRDefault="00553E1D" w:rsidP="00553E1D">
            <w:pPr>
              <w:suppressAutoHyphens/>
              <w:autoSpaceDN w:val="0"/>
              <w:rPr>
                <w:rFonts w:ascii="Arial" w:eastAsia="Times New Roman" w:hAnsi="Arial" w:cs="Arial"/>
                <w:b/>
                <w:bCs/>
                <w:color w:val="000000" w:themeColor="text1"/>
                <w:sz w:val="20"/>
                <w:szCs w:val="20"/>
              </w:rPr>
            </w:pPr>
            <w:r w:rsidRPr="00815314">
              <w:rPr>
                <w:rFonts w:ascii="Arial" w:eastAsia="Times New Roman" w:hAnsi="Arial" w:cs="Arial"/>
                <w:b/>
                <w:bCs/>
                <w:color w:val="000000" w:themeColor="text1"/>
                <w:sz w:val="20"/>
                <w:szCs w:val="20"/>
              </w:rPr>
              <w:t>Stanje na kraju izvještajnog razdoblja</w:t>
            </w:r>
          </w:p>
        </w:tc>
        <w:tc>
          <w:tcPr>
            <w:tcW w:w="1051" w:type="pct"/>
            <w:tcBorders>
              <w:top w:val="single" w:sz="4" w:space="0" w:color="auto"/>
              <w:left w:val="nil"/>
              <w:bottom w:val="single" w:sz="12" w:space="0" w:color="auto"/>
              <w:right w:val="nil"/>
            </w:tcBorders>
            <w:shd w:val="clear" w:color="auto" w:fill="auto"/>
            <w:noWrap/>
            <w:vAlign w:val="bottom"/>
          </w:tcPr>
          <w:p w14:paraId="27E96AFC" w14:textId="4592E6B9" w:rsidR="00553E1D" w:rsidRPr="00815314" w:rsidRDefault="00925F8C" w:rsidP="00553E1D">
            <w:pPr>
              <w:suppressAutoHyphens/>
              <w:autoSpaceDN w:val="0"/>
              <w:jc w:val="right"/>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463.824</w:t>
            </w:r>
          </w:p>
        </w:tc>
        <w:tc>
          <w:tcPr>
            <w:tcW w:w="946" w:type="pct"/>
            <w:tcBorders>
              <w:top w:val="single" w:sz="4" w:space="0" w:color="auto"/>
              <w:left w:val="nil"/>
              <w:bottom w:val="single" w:sz="12" w:space="0" w:color="auto"/>
              <w:right w:val="nil"/>
            </w:tcBorders>
            <w:shd w:val="clear" w:color="auto" w:fill="auto"/>
            <w:vAlign w:val="bottom"/>
          </w:tcPr>
          <w:p w14:paraId="40BA1366" w14:textId="3A20160C" w:rsidR="00553E1D" w:rsidRPr="00815314" w:rsidRDefault="00553E1D" w:rsidP="00553E1D">
            <w:pPr>
              <w:suppressAutoHyphens/>
              <w:autoSpaceDN w:val="0"/>
              <w:jc w:val="right"/>
              <w:rPr>
                <w:rFonts w:ascii="Arial" w:eastAsia="Times New Roman" w:hAnsi="Arial" w:cs="Arial"/>
                <w:b/>
                <w:bCs/>
                <w:color w:val="000000" w:themeColor="text1"/>
                <w:sz w:val="20"/>
                <w:szCs w:val="20"/>
              </w:rPr>
            </w:pPr>
            <w:r w:rsidRPr="00815314">
              <w:rPr>
                <w:rFonts w:ascii="Arial" w:hAnsi="Arial" w:cs="Arial"/>
                <w:b/>
                <w:bCs/>
                <w:sz w:val="20"/>
                <w:szCs w:val="20"/>
              </w:rPr>
              <w:t xml:space="preserve"> 4</w:t>
            </w:r>
            <w:r>
              <w:rPr>
                <w:rFonts w:ascii="Arial" w:hAnsi="Arial" w:cs="Arial"/>
                <w:b/>
                <w:bCs/>
                <w:sz w:val="20"/>
                <w:szCs w:val="20"/>
              </w:rPr>
              <w:t>70</w:t>
            </w:r>
            <w:r w:rsidRPr="00815314">
              <w:rPr>
                <w:rFonts w:ascii="Arial" w:hAnsi="Arial" w:cs="Arial"/>
                <w:b/>
                <w:bCs/>
                <w:sz w:val="20"/>
                <w:szCs w:val="20"/>
              </w:rPr>
              <w:t>.</w:t>
            </w:r>
            <w:r>
              <w:rPr>
                <w:rFonts w:ascii="Arial" w:hAnsi="Arial" w:cs="Arial"/>
                <w:b/>
                <w:bCs/>
                <w:sz w:val="20"/>
                <w:szCs w:val="20"/>
              </w:rPr>
              <w:t>757</w:t>
            </w:r>
            <w:r w:rsidRPr="00815314">
              <w:rPr>
                <w:rFonts w:ascii="Arial" w:hAnsi="Arial" w:cs="Arial"/>
                <w:b/>
                <w:bCs/>
                <w:sz w:val="20"/>
                <w:szCs w:val="20"/>
              </w:rPr>
              <w:t xml:space="preserve"> </w:t>
            </w:r>
          </w:p>
        </w:tc>
      </w:tr>
      <w:bookmarkEnd w:id="379"/>
    </w:tbl>
    <w:p w14:paraId="7EFE1A18" w14:textId="77777777" w:rsidR="001B5068" w:rsidRPr="003D1614" w:rsidRDefault="001B5068" w:rsidP="001B5068">
      <w:pPr>
        <w:keepNext/>
        <w:suppressAutoHyphens/>
        <w:autoSpaceDN w:val="0"/>
        <w:jc w:val="both"/>
        <w:outlineLvl w:val="0"/>
        <w:rPr>
          <w:rFonts w:ascii="Arial" w:eastAsia="Times New Roman" w:hAnsi="Arial" w:cs="Arial"/>
          <w:color w:val="000000" w:themeColor="text1"/>
          <w:sz w:val="20"/>
          <w:szCs w:val="20"/>
        </w:rPr>
      </w:pPr>
    </w:p>
    <w:p w14:paraId="753C1017" w14:textId="77777777" w:rsidR="001B5068" w:rsidRPr="003D1614" w:rsidRDefault="001B5068" w:rsidP="001B5068">
      <w:pPr>
        <w:keepNext/>
        <w:suppressAutoHyphens/>
        <w:autoSpaceDN w:val="0"/>
        <w:jc w:val="both"/>
        <w:outlineLvl w:val="0"/>
        <w:rPr>
          <w:rFonts w:ascii="Arial" w:eastAsia="Times New Roman" w:hAnsi="Arial" w:cs="Arial"/>
          <w:color w:val="000000" w:themeColor="text1"/>
          <w:sz w:val="20"/>
          <w:szCs w:val="20"/>
        </w:rPr>
      </w:pPr>
    </w:p>
    <w:p w14:paraId="1C42287C" w14:textId="77777777" w:rsidR="001B5068" w:rsidRPr="003D1614" w:rsidRDefault="001B5068" w:rsidP="001B5068">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Neto dobit/gubitak od tečajnih razlika po rezerviranjima za očekivane gubitke prikazan je unutar Neto prihoda/(rashoda) od financijskih aktivnosti u Računu dobiti i gubitka.</w:t>
      </w:r>
    </w:p>
    <w:p w14:paraId="3117E6B4" w14:textId="77777777" w:rsidR="001B5068" w:rsidRPr="003D1614" w:rsidRDefault="001B5068" w:rsidP="001B5068">
      <w:pPr>
        <w:suppressAutoHyphens/>
        <w:autoSpaceDN w:val="0"/>
        <w:jc w:val="both"/>
        <w:rPr>
          <w:rFonts w:ascii="Arial" w:eastAsia="Times New Roman" w:hAnsi="Arial" w:cs="Arial"/>
          <w:color w:val="000000" w:themeColor="text1"/>
          <w:sz w:val="20"/>
          <w:szCs w:val="20"/>
        </w:rPr>
      </w:pPr>
    </w:p>
    <w:p w14:paraId="7CFA5011" w14:textId="2057A41B" w:rsidR="001B5068" w:rsidRPr="002B7056" w:rsidRDefault="001B5068" w:rsidP="001B5068">
      <w:pPr>
        <w:suppressAutoHyphens/>
        <w:autoSpaceDN w:val="0"/>
        <w:jc w:val="both"/>
        <w:rPr>
          <w:rFonts w:ascii="Arial" w:eastAsia="Times New Roman" w:hAnsi="Arial" w:cs="Arial"/>
          <w:color w:val="000000" w:themeColor="text1"/>
          <w:sz w:val="20"/>
          <w:szCs w:val="20"/>
        </w:rPr>
      </w:pPr>
      <w:bookmarkStart w:id="384" w:name="_Hlk141948499"/>
      <w:r w:rsidRPr="002B7056">
        <w:rPr>
          <w:rFonts w:ascii="Arial" w:eastAsia="Times New Roman" w:hAnsi="Arial" w:cs="Arial"/>
          <w:color w:val="000000" w:themeColor="text1"/>
          <w:sz w:val="20"/>
          <w:szCs w:val="20"/>
        </w:rPr>
        <w:t xml:space="preserve">Otpis potraživanja u iznosu od </w:t>
      </w:r>
      <w:r w:rsidR="003B17E9" w:rsidRPr="002B7056">
        <w:rPr>
          <w:rFonts w:ascii="Arial" w:eastAsia="Times New Roman" w:hAnsi="Arial" w:cs="Arial"/>
          <w:color w:val="000000" w:themeColor="text1"/>
          <w:sz w:val="20"/>
          <w:szCs w:val="20"/>
        </w:rPr>
        <w:t>1.968</w:t>
      </w:r>
      <w:r w:rsidR="006C51FB" w:rsidRPr="002B7056">
        <w:rPr>
          <w:rFonts w:ascii="Arial" w:eastAsia="Times New Roman" w:hAnsi="Arial" w:cs="Arial"/>
          <w:color w:val="000000" w:themeColor="text1"/>
          <w:sz w:val="20"/>
          <w:szCs w:val="20"/>
        </w:rPr>
        <w:t xml:space="preserve"> </w:t>
      </w:r>
      <w:r w:rsidRPr="002B7056">
        <w:rPr>
          <w:rFonts w:ascii="Arial" w:eastAsia="Times New Roman" w:hAnsi="Arial" w:cs="Arial"/>
          <w:color w:val="000000" w:themeColor="text1"/>
          <w:sz w:val="20"/>
          <w:szCs w:val="20"/>
        </w:rPr>
        <w:t xml:space="preserve">tisuća </w:t>
      </w:r>
      <w:r w:rsidR="00DC1558" w:rsidRPr="002B7056">
        <w:rPr>
          <w:rFonts w:ascii="Arial" w:eastAsia="Times New Roman" w:hAnsi="Arial" w:cs="Arial"/>
          <w:color w:val="000000" w:themeColor="text1"/>
          <w:sz w:val="20"/>
          <w:szCs w:val="20"/>
        </w:rPr>
        <w:t>eura (31. prosinca 202</w:t>
      </w:r>
      <w:r w:rsidR="00553E1D" w:rsidRPr="002B7056">
        <w:rPr>
          <w:rFonts w:ascii="Arial" w:eastAsia="Times New Roman" w:hAnsi="Arial" w:cs="Arial"/>
          <w:color w:val="000000" w:themeColor="text1"/>
          <w:sz w:val="20"/>
          <w:szCs w:val="20"/>
        </w:rPr>
        <w:t>3</w:t>
      </w:r>
      <w:r w:rsidR="00DC1558" w:rsidRPr="002B7056">
        <w:rPr>
          <w:rFonts w:ascii="Arial" w:eastAsia="Times New Roman" w:hAnsi="Arial" w:cs="Arial"/>
          <w:color w:val="000000" w:themeColor="text1"/>
          <w:sz w:val="20"/>
          <w:szCs w:val="20"/>
        </w:rPr>
        <w:t>.:</w:t>
      </w:r>
      <w:r w:rsidR="00041ABB" w:rsidRPr="002B7056">
        <w:rPr>
          <w:rFonts w:ascii="Arial" w:eastAsia="Times New Roman" w:hAnsi="Arial" w:cs="Arial"/>
          <w:color w:val="000000" w:themeColor="text1"/>
          <w:sz w:val="20"/>
          <w:szCs w:val="20"/>
        </w:rPr>
        <w:t xml:space="preserve"> </w:t>
      </w:r>
      <w:r w:rsidR="00DC73BF" w:rsidRPr="002B7056">
        <w:rPr>
          <w:rFonts w:ascii="Arial" w:eastAsia="Times New Roman" w:hAnsi="Arial" w:cs="Arial"/>
          <w:color w:val="000000" w:themeColor="text1"/>
          <w:sz w:val="20"/>
          <w:szCs w:val="20"/>
        </w:rPr>
        <w:t>3.</w:t>
      </w:r>
      <w:r w:rsidR="00553E1D" w:rsidRPr="002B7056">
        <w:rPr>
          <w:rFonts w:ascii="Arial" w:eastAsia="Times New Roman" w:hAnsi="Arial" w:cs="Arial"/>
          <w:color w:val="000000" w:themeColor="text1"/>
          <w:sz w:val="20"/>
          <w:szCs w:val="20"/>
        </w:rPr>
        <w:t>392</w:t>
      </w:r>
      <w:r w:rsidR="00DC1558" w:rsidRPr="002B7056">
        <w:rPr>
          <w:rFonts w:ascii="Arial" w:eastAsia="Times New Roman" w:hAnsi="Arial" w:cs="Arial"/>
          <w:color w:val="000000" w:themeColor="text1"/>
          <w:sz w:val="20"/>
          <w:szCs w:val="20"/>
        </w:rPr>
        <w:t xml:space="preserve"> </w:t>
      </w:r>
      <w:r w:rsidR="004E641C" w:rsidRPr="002B7056">
        <w:rPr>
          <w:rFonts w:ascii="Arial" w:eastAsia="Times New Roman" w:hAnsi="Arial" w:cs="Arial"/>
          <w:color w:val="000000" w:themeColor="text1"/>
          <w:sz w:val="20"/>
          <w:szCs w:val="20"/>
        </w:rPr>
        <w:t xml:space="preserve">tisuća </w:t>
      </w:r>
      <w:r w:rsidR="00DC1558" w:rsidRPr="002B7056">
        <w:rPr>
          <w:rFonts w:ascii="Arial" w:eastAsia="Times New Roman" w:hAnsi="Arial" w:cs="Arial"/>
          <w:color w:val="000000" w:themeColor="text1"/>
          <w:sz w:val="20"/>
          <w:szCs w:val="20"/>
        </w:rPr>
        <w:t>eura)</w:t>
      </w:r>
      <w:r w:rsidRPr="002B7056">
        <w:rPr>
          <w:rFonts w:ascii="Arial" w:eastAsia="Times New Roman" w:hAnsi="Arial" w:cs="Arial"/>
          <w:color w:val="000000" w:themeColor="text1"/>
          <w:sz w:val="20"/>
          <w:szCs w:val="20"/>
        </w:rPr>
        <w:t xml:space="preserve"> najvećim se dijelom odnosi na trajno isknjiženje iz poslovnih knjiga</w:t>
      </w:r>
      <w:r w:rsidR="009B6237" w:rsidRPr="002B7056">
        <w:rPr>
          <w:rFonts w:ascii="Arial" w:eastAsia="Times New Roman" w:hAnsi="Arial" w:cs="Arial"/>
          <w:color w:val="000000" w:themeColor="text1"/>
          <w:sz w:val="20"/>
          <w:szCs w:val="20"/>
        </w:rPr>
        <w:t>,</w:t>
      </w:r>
      <w:r w:rsidRPr="002B7056">
        <w:rPr>
          <w:rFonts w:ascii="Arial" w:eastAsia="Times New Roman" w:hAnsi="Arial" w:cs="Arial"/>
          <w:color w:val="000000" w:themeColor="text1"/>
          <w:sz w:val="20"/>
          <w:szCs w:val="20"/>
        </w:rPr>
        <w:t xml:space="preserve"> </w:t>
      </w:r>
      <w:r w:rsidR="009B6237" w:rsidRPr="002B7056">
        <w:rPr>
          <w:rFonts w:ascii="Arial" w:eastAsia="Times New Roman" w:hAnsi="Arial" w:cs="Arial"/>
          <w:color w:val="000000" w:themeColor="text1"/>
          <w:sz w:val="20"/>
          <w:szCs w:val="20"/>
        </w:rPr>
        <w:t xml:space="preserve">djelomičan otpust duga </w:t>
      </w:r>
      <w:r w:rsidR="00D8251E" w:rsidRPr="002B7056">
        <w:rPr>
          <w:rFonts w:ascii="Arial" w:eastAsia="Times New Roman" w:hAnsi="Arial" w:cs="Arial"/>
          <w:color w:val="000000" w:themeColor="text1"/>
          <w:sz w:val="20"/>
          <w:szCs w:val="20"/>
        </w:rPr>
        <w:t xml:space="preserve">i na ostvarivanje nagodbe </w:t>
      </w:r>
      <w:r w:rsidR="009B6237" w:rsidRPr="002B7056">
        <w:rPr>
          <w:rFonts w:ascii="Arial" w:eastAsia="Times New Roman" w:hAnsi="Arial" w:cs="Arial"/>
          <w:color w:val="000000" w:themeColor="text1"/>
          <w:sz w:val="20"/>
          <w:szCs w:val="20"/>
        </w:rPr>
        <w:t>sukladno Metodologiji otpisa potraživanja te na otpust dijela zatezne kamate.</w:t>
      </w:r>
    </w:p>
    <w:bookmarkEnd w:id="384"/>
    <w:p w14:paraId="29DEA3B9" w14:textId="77777777" w:rsidR="001B5068" w:rsidRPr="00E636F7" w:rsidRDefault="001B5068" w:rsidP="001B5068">
      <w:pPr>
        <w:suppressAutoHyphens/>
        <w:autoSpaceDN w:val="0"/>
        <w:jc w:val="both"/>
        <w:rPr>
          <w:rFonts w:ascii="Arial" w:eastAsia="Times New Roman" w:hAnsi="Arial" w:cs="Arial"/>
          <w:color w:val="000000" w:themeColor="text1"/>
          <w:sz w:val="20"/>
          <w:szCs w:val="20"/>
          <w:highlight w:val="cyan"/>
        </w:rPr>
      </w:pPr>
    </w:p>
    <w:p w14:paraId="5D3BBA4F" w14:textId="77F1D202" w:rsidR="001B5068" w:rsidRPr="003D1614" w:rsidRDefault="001B5068" w:rsidP="001B5068">
      <w:pPr>
        <w:suppressAutoHyphens/>
        <w:autoSpaceDN w:val="0"/>
        <w:jc w:val="both"/>
        <w:rPr>
          <w:rFonts w:ascii="Arial" w:eastAsia="Times New Roman" w:hAnsi="Arial" w:cs="Arial"/>
          <w:color w:val="000000" w:themeColor="text1"/>
          <w:sz w:val="20"/>
          <w:szCs w:val="20"/>
        </w:rPr>
      </w:pPr>
      <w:r w:rsidRPr="008910C5">
        <w:rPr>
          <w:rFonts w:ascii="Arial" w:eastAsia="Times New Roman" w:hAnsi="Arial" w:cs="Arial"/>
          <w:color w:val="000000" w:themeColor="text1"/>
          <w:sz w:val="20"/>
          <w:szCs w:val="20"/>
        </w:rPr>
        <w:t xml:space="preserve">Prijenos u izvanbilančnu evidenciju u visini od </w:t>
      </w:r>
      <w:r w:rsidR="00DC73BF" w:rsidRPr="008910C5">
        <w:rPr>
          <w:rFonts w:ascii="Arial" w:eastAsia="Times New Roman" w:hAnsi="Arial" w:cs="Arial"/>
          <w:color w:val="000000" w:themeColor="text1"/>
          <w:sz w:val="20"/>
          <w:szCs w:val="20"/>
        </w:rPr>
        <w:t>0</w:t>
      </w:r>
      <w:r w:rsidRPr="008910C5">
        <w:rPr>
          <w:rFonts w:ascii="Arial" w:eastAsia="Times New Roman" w:hAnsi="Arial" w:cs="Arial"/>
          <w:color w:val="000000" w:themeColor="text1"/>
          <w:sz w:val="20"/>
          <w:szCs w:val="20"/>
        </w:rPr>
        <w:t xml:space="preserve"> tisuća </w:t>
      </w:r>
      <w:r w:rsidR="00DC1558" w:rsidRPr="008910C5">
        <w:rPr>
          <w:rFonts w:ascii="Arial" w:eastAsia="Times New Roman" w:hAnsi="Arial" w:cs="Arial"/>
          <w:color w:val="000000" w:themeColor="text1"/>
          <w:sz w:val="20"/>
          <w:szCs w:val="20"/>
        </w:rPr>
        <w:t>eura</w:t>
      </w:r>
      <w:r w:rsidRPr="008910C5">
        <w:rPr>
          <w:rFonts w:ascii="Arial" w:eastAsia="Times New Roman" w:hAnsi="Arial" w:cs="Arial"/>
          <w:color w:val="000000" w:themeColor="text1"/>
          <w:sz w:val="20"/>
          <w:szCs w:val="20"/>
        </w:rPr>
        <w:t xml:space="preserve"> </w:t>
      </w:r>
      <w:r w:rsidR="00DC1558" w:rsidRPr="008910C5">
        <w:rPr>
          <w:rFonts w:ascii="Arial" w:eastAsia="Times New Roman" w:hAnsi="Arial" w:cs="Arial"/>
          <w:color w:val="000000" w:themeColor="text1"/>
          <w:sz w:val="20"/>
          <w:szCs w:val="20"/>
        </w:rPr>
        <w:t>(31. prosinca 202</w:t>
      </w:r>
      <w:r w:rsidR="00553E1D" w:rsidRPr="008910C5">
        <w:rPr>
          <w:rFonts w:ascii="Arial" w:eastAsia="Times New Roman" w:hAnsi="Arial" w:cs="Arial"/>
          <w:color w:val="000000" w:themeColor="text1"/>
          <w:sz w:val="20"/>
          <w:szCs w:val="20"/>
        </w:rPr>
        <w:t>3</w:t>
      </w:r>
      <w:r w:rsidR="00DC1558" w:rsidRPr="008910C5">
        <w:rPr>
          <w:rFonts w:ascii="Arial" w:eastAsia="Times New Roman" w:hAnsi="Arial" w:cs="Arial"/>
          <w:color w:val="000000" w:themeColor="text1"/>
          <w:sz w:val="20"/>
          <w:szCs w:val="20"/>
        </w:rPr>
        <w:t>.:</w:t>
      </w:r>
      <w:r w:rsidR="00041ABB" w:rsidRPr="008910C5">
        <w:rPr>
          <w:rFonts w:ascii="Arial" w:eastAsia="Times New Roman" w:hAnsi="Arial" w:cs="Arial"/>
          <w:color w:val="000000" w:themeColor="text1"/>
          <w:sz w:val="20"/>
          <w:szCs w:val="20"/>
        </w:rPr>
        <w:t xml:space="preserve"> </w:t>
      </w:r>
      <w:r w:rsidR="00DC73BF" w:rsidRPr="008910C5">
        <w:rPr>
          <w:rFonts w:ascii="Arial" w:eastAsia="Times New Roman" w:hAnsi="Arial" w:cs="Arial"/>
          <w:color w:val="000000" w:themeColor="text1"/>
          <w:sz w:val="20"/>
          <w:szCs w:val="20"/>
        </w:rPr>
        <w:t>2.</w:t>
      </w:r>
      <w:r w:rsidR="00553E1D" w:rsidRPr="008910C5">
        <w:rPr>
          <w:rFonts w:ascii="Arial" w:eastAsia="Times New Roman" w:hAnsi="Arial" w:cs="Arial"/>
          <w:color w:val="000000" w:themeColor="text1"/>
          <w:sz w:val="20"/>
          <w:szCs w:val="20"/>
        </w:rPr>
        <w:t>311</w:t>
      </w:r>
      <w:r w:rsidR="00DC1558" w:rsidRPr="008910C5">
        <w:rPr>
          <w:rFonts w:ascii="Arial" w:eastAsia="Times New Roman" w:hAnsi="Arial" w:cs="Arial"/>
          <w:color w:val="000000" w:themeColor="text1"/>
          <w:sz w:val="20"/>
          <w:szCs w:val="20"/>
        </w:rPr>
        <w:t xml:space="preserve"> </w:t>
      </w:r>
      <w:r w:rsidR="004E641C" w:rsidRPr="008910C5">
        <w:rPr>
          <w:rFonts w:ascii="Arial" w:eastAsia="Times New Roman" w:hAnsi="Arial" w:cs="Arial"/>
          <w:color w:val="000000" w:themeColor="text1"/>
          <w:sz w:val="20"/>
          <w:szCs w:val="20"/>
        </w:rPr>
        <w:t xml:space="preserve">tisuća </w:t>
      </w:r>
      <w:r w:rsidR="00DC1558" w:rsidRPr="008910C5">
        <w:rPr>
          <w:rFonts w:ascii="Arial" w:eastAsia="Times New Roman" w:hAnsi="Arial" w:cs="Arial"/>
          <w:color w:val="000000" w:themeColor="text1"/>
          <w:sz w:val="20"/>
          <w:szCs w:val="20"/>
        </w:rPr>
        <w:t xml:space="preserve">eura) </w:t>
      </w:r>
      <w:r w:rsidRPr="008910C5">
        <w:rPr>
          <w:rFonts w:ascii="Arial" w:eastAsia="Times New Roman" w:hAnsi="Arial" w:cs="Arial"/>
          <w:color w:val="000000" w:themeColor="text1"/>
          <w:sz w:val="20"/>
          <w:szCs w:val="20"/>
        </w:rPr>
        <w:t>proveden je temeljem propisanih kriterija u Metodologiji otpisa potraživanja.</w:t>
      </w:r>
    </w:p>
    <w:p w14:paraId="57675B30" w14:textId="77777777" w:rsidR="001B5068" w:rsidRPr="003D1614" w:rsidRDefault="001B5068" w:rsidP="001B5068">
      <w:pPr>
        <w:suppressAutoHyphens/>
        <w:autoSpaceDN w:val="0"/>
        <w:jc w:val="both"/>
        <w:rPr>
          <w:rFonts w:ascii="Arial" w:eastAsia="Times New Roman" w:hAnsi="Arial" w:cs="Arial"/>
          <w:color w:val="000000" w:themeColor="text1"/>
          <w:sz w:val="20"/>
          <w:szCs w:val="20"/>
        </w:rPr>
      </w:pPr>
    </w:p>
    <w:p w14:paraId="6EBF2D7A" w14:textId="61FB8B1E" w:rsidR="005D5085" w:rsidRPr="003D1614" w:rsidRDefault="005D5085" w:rsidP="005D5085">
      <w:pPr>
        <w:keepNext/>
        <w:suppressAutoHyphens/>
        <w:autoSpaceDN w:val="0"/>
        <w:spacing w:after="120"/>
        <w:jc w:val="both"/>
        <w:outlineLvl w:val="0"/>
        <w:rPr>
          <w:rFonts w:ascii="Arial" w:eastAsia="Times New Roman" w:hAnsi="Arial" w:cs="Arial"/>
          <w:color w:val="000000" w:themeColor="text1"/>
          <w:sz w:val="20"/>
          <w:szCs w:val="20"/>
        </w:rPr>
      </w:pPr>
    </w:p>
    <w:p w14:paraId="5D37D8BC" w14:textId="77777777" w:rsidR="00DC1558" w:rsidRPr="003D1614" w:rsidRDefault="00DC1558" w:rsidP="005D5085">
      <w:pPr>
        <w:keepNext/>
        <w:suppressAutoHyphens/>
        <w:autoSpaceDN w:val="0"/>
        <w:spacing w:after="120"/>
        <w:jc w:val="both"/>
        <w:outlineLvl w:val="0"/>
        <w:rPr>
          <w:rFonts w:ascii="Arial" w:eastAsia="Times New Roman" w:hAnsi="Arial" w:cs="Arial"/>
          <w:color w:val="000000" w:themeColor="text1"/>
          <w:sz w:val="20"/>
          <w:szCs w:val="20"/>
        </w:rPr>
        <w:sectPr w:rsidR="00DC1558" w:rsidRPr="003D1614">
          <w:pgSz w:w="11906" w:h="16838"/>
          <w:pgMar w:top="1417" w:right="1417" w:bottom="1417" w:left="1417" w:header="708" w:footer="708" w:gutter="0"/>
          <w:cols w:space="708"/>
          <w:docGrid w:linePitch="360"/>
        </w:sectPr>
      </w:pPr>
    </w:p>
    <w:p w14:paraId="43FA6912" w14:textId="77777777" w:rsidR="00DC1558" w:rsidRPr="003D1614" w:rsidRDefault="00DC1558" w:rsidP="00DC1558">
      <w:pPr>
        <w:keepNext/>
        <w:suppressAutoHyphens/>
        <w:autoSpaceDN w:val="0"/>
        <w:jc w:val="both"/>
        <w:outlineLvl w:val="0"/>
        <w:rPr>
          <w:rFonts w:ascii="Arial" w:eastAsia="Times New Roman" w:hAnsi="Arial" w:cs="Arial"/>
          <w:b/>
          <w:bCs/>
          <w:color w:val="000000" w:themeColor="text1"/>
          <w:sz w:val="20"/>
          <w:szCs w:val="20"/>
        </w:rPr>
      </w:pPr>
    </w:p>
    <w:p w14:paraId="789DB978" w14:textId="2CCE0FA8" w:rsidR="00DC1558" w:rsidRPr="003D1614" w:rsidRDefault="00DC1558" w:rsidP="00DC1558">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1</w:t>
      </w:r>
      <w:r w:rsidR="003D1614">
        <w:rPr>
          <w:rFonts w:ascii="Arial" w:eastAsia="Times New Roman" w:hAnsi="Arial" w:cs="Arial"/>
          <w:b/>
          <w:bCs/>
          <w:color w:val="000000" w:themeColor="text1"/>
          <w:sz w:val="20"/>
          <w:szCs w:val="20"/>
        </w:rPr>
        <w:t>2</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Krediti ostalim korisnicima (nastavak)</w:t>
      </w:r>
    </w:p>
    <w:p w14:paraId="55E119F1" w14:textId="77777777" w:rsidR="00DC1558" w:rsidRPr="003D1614" w:rsidRDefault="00DC1558" w:rsidP="00DC1558">
      <w:pPr>
        <w:keepNext/>
        <w:suppressAutoHyphens/>
        <w:autoSpaceDN w:val="0"/>
        <w:jc w:val="both"/>
        <w:outlineLvl w:val="0"/>
        <w:rPr>
          <w:rFonts w:ascii="Arial" w:eastAsia="Times New Roman" w:hAnsi="Arial" w:cs="Arial"/>
          <w:color w:val="000000" w:themeColor="text1"/>
          <w:sz w:val="20"/>
          <w:szCs w:val="20"/>
        </w:rPr>
      </w:pPr>
    </w:p>
    <w:p w14:paraId="37AD1B60" w14:textId="77777777" w:rsidR="00DC1558" w:rsidRPr="003D1614" w:rsidRDefault="00DC1558" w:rsidP="00DC1558">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Krediti ostalim korisnicima, umanjeni za rezerviranja za očekivane gubitke, prema namjeni kreditnih programa dani su kako slijedi:</w:t>
      </w:r>
    </w:p>
    <w:p w14:paraId="07001023" w14:textId="77777777" w:rsidR="00DC1558" w:rsidRPr="003D1614" w:rsidRDefault="00DC1558" w:rsidP="00DC1558">
      <w:pPr>
        <w:keepNext/>
        <w:suppressAutoHyphens/>
        <w:autoSpaceDN w:val="0"/>
        <w:jc w:val="both"/>
        <w:outlineLvl w:val="0"/>
        <w:rPr>
          <w:rFonts w:ascii="Arial" w:eastAsia="Times New Roman" w:hAnsi="Arial" w:cs="Arial"/>
          <w:b/>
          <w:bCs/>
          <w:color w:val="000000" w:themeColor="text1"/>
          <w:sz w:val="20"/>
          <w:szCs w:val="20"/>
        </w:rPr>
      </w:pPr>
    </w:p>
    <w:tbl>
      <w:tblPr>
        <w:tblW w:w="5000" w:type="pct"/>
        <w:tblLayout w:type="fixed"/>
        <w:tblCellMar>
          <w:left w:w="107" w:type="dxa"/>
          <w:right w:w="107" w:type="dxa"/>
        </w:tblCellMar>
        <w:tblLook w:val="0000" w:firstRow="0" w:lastRow="0" w:firstColumn="0" w:lastColumn="0" w:noHBand="0" w:noVBand="0"/>
      </w:tblPr>
      <w:tblGrid>
        <w:gridCol w:w="6004"/>
        <w:gridCol w:w="1535"/>
        <w:gridCol w:w="1533"/>
      </w:tblGrid>
      <w:tr w:rsidR="00DC1558" w:rsidRPr="00881602" w14:paraId="00BFEA24" w14:textId="77777777" w:rsidTr="007478FB">
        <w:trPr>
          <w:trHeight w:val="124"/>
        </w:trPr>
        <w:tc>
          <w:tcPr>
            <w:tcW w:w="3309" w:type="pct"/>
            <w:vAlign w:val="bottom"/>
          </w:tcPr>
          <w:p w14:paraId="2877D586" w14:textId="77777777" w:rsidR="00DC1558" w:rsidRPr="00881602" w:rsidRDefault="00DC1558" w:rsidP="00DC1558">
            <w:pPr>
              <w:tabs>
                <w:tab w:val="left" w:pos="-720"/>
              </w:tabs>
              <w:suppressAutoHyphens/>
              <w:autoSpaceDN w:val="0"/>
              <w:rPr>
                <w:rFonts w:ascii="Arial" w:eastAsia="Times New Roman" w:hAnsi="Arial" w:cs="Arial"/>
                <w:color w:val="000000" w:themeColor="text1"/>
                <w:spacing w:val="-3"/>
                <w:sz w:val="20"/>
                <w:szCs w:val="20"/>
              </w:rPr>
            </w:pPr>
          </w:p>
        </w:tc>
        <w:tc>
          <w:tcPr>
            <w:tcW w:w="1691" w:type="pct"/>
            <w:gridSpan w:val="2"/>
            <w:vAlign w:val="bottom"/>
          </w:tcPr>
          <w:p w14:paraId="1847421C" w14:textId="77777777" w:rsidR="00DC1558" w:rsidRPr="00881602" w:rsidRDefault="00DC1558" w:rsidP="00DC1558">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385" w:name="_Toc67328095"/>
            <w:r w:rsidRPr="00881602">
              <w:rPr>
                <w:rFonts w:ascii="Arial" w:eastAsia="Times New Roman" w:hAnsi="Arial" w:cs="Arial"/>
                <w:b/>
                <w:color w:val="000000" w:themeColor="text1"/>
                <w:sz w:val="20"/>
                <w:szCs w:val="20"/>
              </w:rPr>
              <w:t>Grupa i Banka</w:t>
            </w:r>
            <w:bookmarkEnd w:id="385"/>
          </w:p>
        </w:tc>
      </w:tr>
      <w:tr w:rsidR="00DC1558" w:rsidRPr="00881602" w14:paraId="6963432B" w14:textId="77777777" w:rsidTr="007478FB">
        <w:trPr>
          <w:trHeight w:val="124"/>
        </w:trPr>
        <w:tc>
          <w:tcPr>
            <w:tcW w:w="3309" w:type="pct"/>
            <w:vAlign w:val="bottom"/>
          </w:tcPr>
          <w:p w14:paraId="5D8622DF" w14:textId="77777777" w:rsidR="00DC1558" w:rsidRPr="00881602" w:rsidRDefault="00DC1558" w:rsidP="00DC1558">
            <w:pPr>
              <w:tabs>
                <w:tab w:val="left" w:pos="-720"/>
              </w:tabs>
              <w:suppressAutoHyphens/>
              <w:autoSpaceDN w:val="0"/>
              <w:rPr>
                <w:rFonts w:ascii="Arial" w:eastAsia="Times New Roman" w:hAnsi="Arial" w:cs="Arial"/>
                <w:color w:val="000000" w:themeColor="text1"/>
                <w:spacing w:val="-3"/>
                <w:sz w:val="20"/>
                <w:szCs w:val="20"/>
              </w:rPr>
            </w:pPr>
            <w:bookmarkStart w:id="386" w:name="_Hlk141874362"/>
          </w:p>
        </w:tc>
        <w:tc>
          <w:tcPr>
            <w:tcW w:w="846" w:type="pct"/>
            <w:vAlign w:val="bottom"/>
          </w:tcPr>
          <w:p w14:paraId="7DF49CE6" w14:textId="5D9602BD" w:rsidR="00DC1558" w:rsidRPr="00881602" w:rsidRDefault="002F4581" w:rsidP="00DC1558">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2F4581">
              <w:rPr>
                <w:rFonts w:ascii="Arial" w:eastAsia="Times New Roman" w:hAnsi="Arial" w:cs="Arial"/>
                <w:b/>
                <w:color w:val="000000" w:themeColor="text1"/>
                <w:sz w:val="20"/>
                <w:szCs w:val="20"/>
              </w:rPr>
              <w:t>30. rujna 202</w:t>
            </w:r>
            <w:r w:rsidR="00696BAA">
              <w:rPr>
                <w:rFonts w:ascii="Arial" w:eastAsia="Times New Roman" w:hAnsi="Arial" w:cs="Arial"/>
                <w:b/>
                <w:color w:val="000000" w:themeColor="text1"/>
                <w:sz w:val="20"/>
                <w:szCs w:val="20"/>
              </w:rPr>
              <w:t>4</w:t>
            </w:r>
            <w:r w:rsidRPr="002F4581">
              <w:rPr>
                <w:rFonts w:ascii="Arial" w:eastAsia="Times New Roman" w:hAnsi="Arial" w:cs="Arial"/>
                <w:b/>
                <w:color w:val="000000" w:themeColor="text1"/>
                <w:sz w:val="20"/>
                <w:szCs w:val="20"/>
              </w:rPr>
              <w:t>.</w:t>
            </w:r>
          </w:p>
        </w:tc>
        <w:tc>
          <w:tcPr>
            <w:tcW w:w="845" w:type="pct"/>
            <w:vAlign w:val="bottom"/>
          </w:tcPr>
          <w:p w14:paraId="2C3431B2" w14:textId="4FE9B6A2" w:rsidR="00DC1558" w:rsidRPr="00881602" w:rsidRDefault="00DC1558" w:rsidP="00DC1558">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387" w:name="_Toc67328097"/>
            <w:r w:rsidRPr="00881602">
              <w:rPr>
                <w:rFonts w:ascii="Arial" w:eastAsia="Times New Roman" w:hAnsi="Arial" w:cs="Arial"/>
                <w:b/>
                <w:color w:val="000000" w:themeColor="text1"/>
                <w:sz w:val="20"/>
                <w:szCs w:val="20"/>
              </w:rPr>
              <w:t>31. prosinca 202</w:t>
            </w:r>
            <w:r w:rsidR="00696BAA">
              <w:rPr>
                <w:rFonts w:ascii="Arial" w:eastAsia="Times New Roman" w:hAnsi="Arial" w:cs="Arial"/>
                <w:b/>
                <w:color w:val="000000" w:themeColor="text1"/>
                <w:sz w:val="20"/>
                <w:szCs w:val="20"/>
              </w:rPr>
              <w:t>3</w:t>
            </w:r>
            <w:r w:rsidRPr="00881602">
              <w:rPr>
                <w:rFonts w:ascii="Arial" w:eastAsia="Times New Roman" w:hAnsi="Arial" w:cs="Arial"/>
                <w:b/>
                <w:color w:val="000000" w:themeColor="text1"/>
                <w:sz w:val="20"/>
                <w:szCs w:val="20"/>
              </w:rPr>
              <w:t>.</w:t>
            </w:r>
            <w:bookmarkEnd w:id="387"/>
          </w:p>
        </w:tc>
      </w:tr>
      <w:tr w:rsidR="00DC1558" w:rsidRPr="00881602" w14:paraId="44ACFB93" w14:textId="77777777" w:rsidTr="007478FB">
        <w:trPr>
          <w:trHeight w:val="99"/>
        </w:trPr>
        <w:tc>
          <w:tcPr>
            <w:tcW w:w="3309" w:type="pct"/>
            <w:vAlign w:val="bottom"/>
          </w:tcPr>
          <w:p w14:paraId="2014A9BB" w14:textId="77777777" w:rsidR="00DC1558" w:rsidRPr="00881602" w:rsidRDefault="00DC1558" w:rsidP="00DC1558">
            <w:pPr>
              <w:tabs>
                <w:tab w:val="left" w:pos="-720"/>
              </w:tabs>
              <w:suppressAutoHyphens/>
              <w:autoSpaceDN w:val="0"/>
              <w:rPr>
                <w:rFonts w:ascii="Arial" w:eastAsia="Times New Roman" w:hAnsi="Arial" w:cs="Arial"/>
                <w:color w:val="000000" w:themeColor="text1"/>
                <w:spacing w:val="-3"/>
                <w:sz w:val="20"/>
                <w:szCs w:val="20"/>
              </w:rPr>
            </w:pPr>
          </w:p>
        </w:tc>
        <w:tc>
          <w:tcPr>
            <w:tcW w:w="846" w:type="pct"/>
            <w:vAlign w:val="bottom"/>
          </w:tcPr>
          <w:p w14:paraId="53C02DFE" w14:textId="1E32B5A7" w:rsidR="00DC1558" w:rsidRPr="00881602" w:rsidRDefault="00DC1558" w:rsidP="00DC1558">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388" w:name="_Toc67328098"/>
            <w:r w:rsidRPr="00881602">
              <w:rPr>
                <w:rFonts w:ascii="Arial" w:eastAsia="Times New Roman" w:hAnsi="Arial" w:cs="Arial"/>
                <w:b/>
                <w:color w:val="000000" w:themeColor="text1"/>
                <w:sz w:val="20"/>
                <w:szCs w:val="20"/>
              </w:rPr>
              <w:t xml:space="preserve">000 </w:t>
            </w:r>
            <w:bookmarkEnd w:id="388"/>
            <w:r w:rsidRPr="00881602">
              <w:rPr>
                <w:rFonts w:ascii="Arial" w:eastAsia="Times New Roman" w:hAnsi="Arial" w:cs="Arial"/>
                <w:b/>
                <w:color w:val="000000" w:themeColor="text1"/>
                <w:sz w:val="20"/>
                <w:szCs w:val="20"/>
              </w:rPr>
              <w:t>eura</w:t>
            </w:r>
          </w:p>
        </w:tc>
        <w:tc>
          <w:tcPr>
            <w:tcW w:w="845" w:type="pct"/>
            <w:vAlign w:val="bottom"/>
          </w:tcPr>
          <w:p w14:paraId="0EB158EC" w14:textId="68C45A6D" w:rsidR="00DC1558" w:rsidRPr="00881602" w:rsidRDefault="00DC1558" w:rsidP="00DC1558">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389" w:name="_Toc67328099"/>
            <w:r w:rsidRPr="00881602">
              <w:rPr>
                <w:rFonts w:ascii="Arial" w:eastAsia="Times New Roman" w:hAnsi="Arial" w:cs="Arial"/>
                <w:b/>
                <w:color w:val="000000" w:themeColor="text1"/>
                <w:sz w:val="20"/>
                <w:szCs w:val="20"/>
              </w:rPr>
              <w:t xml:space="preserve">000 </w:t>
            </w:r>
            <w:bookmarkEnd w:id="389"/>
            <w:r w:rsidRPr="00881602">
              <w:rPr>
                <w:rFonts w:ascii="Arial" w:eastAsia="Times New Roman" w:hAnsi="Arial" w:cs="Arial"/>
                <w:b/>
                <w:color w:val="000000" w:themeColor="text1"/>
                <w:sz w:val="20"/>
                <w:szCs w:val="20"/>
              </w:rPr>
              <w:t>eura</w:t>
            </w:r>
          </w:p>
        </w:tc>
      </w:tr>
      <w:tr w:rsidR="00DC1558" w:rsidRPr="00881602" w14:paraId="6BB470A0" w14:textId="77777777" w:rsidTr="007478FB">
        <w:trPr>
          <w:trHeight w:hRule="exact" w:val="166"/>
        </w:trPr>
        <w:tc>
          <w:tcPr>
            <w:tcW w:w="3309" w:type="pct"/>
            <w:vAlign w:val="bottom"/>
          </w:tcPr>
          <w:p w14:paraId="3B3C05D4" w14:textId="77777777" w:rsidR="00DC1558" w:rsidRPr="00881602" w:rsidRDefault="00DC1558" w:rsidP="00DC1558">
            <w:pPr>
              <w:tabs>
                <w:tab w:val="left" w:pos="-720"/>
              </w:tabs>
              <w:suppressAutoHyphens/>
              <w:autoSpaceDN w:val="0"/>
              <w:rPr>
                <w:rFonts w:ascii="Arial" w:eastAsia="Times New Roman" w:hAnsi="Arial" w:cs="Arial"/>
                <w:color w:val="000000" w:themeColor="text1"/>
                <w:spacing w:val="-3"/>
                <w:sz w:val="20"/>
                <w:szCs w:val="20"/>
              </w:rPr>
            </w:pPr>
          </w:p>
        </w:tc>
        <w:tc>
          <w:tcPr>
            <w:tcW w:w="846" w:type="pct"/>
            <w:vAlign w:val="bottom"/>
          </w:tcPr>
          <w:p w14:paraId="08B85E2D" w14:textId="77777777" w:rsidR="00DC1558" w:rsidRPr="00881602" w:rsidRDefault="00DC1558" w:rsidP="00DC1558">
            <w:pPr>
              <w:suppressAutoHyphens/>
              <w:autoSpaceDN w:val="0"/>
              <w:jc w:val="right"/>
              <w:rPr>
                <w:rFonts w:ascii="Arial" w:eastAsia="Times New Roman" w:hAnsi="Arial" w:cs="Arial"/>
                <w:b/>
                <w:color w:val="000000" w:themeColor="text1"/>
                <w:spacing w:val="-3"/>
                <w:sz w:val="20"/>
                <w:szCs w:val="20"/>
              </w:rPr>
            </w:pPr>
          </w:p>
        </w:tc>
        <w:tc>
          <w:tcPr>
            <w:tcW w:w="845" w:type="pct"/>
            <w:vAlign w:val="bottom"/>
          </w:tcPr>
          <w:p w14:paraId="240194C1" w14:textId="77777777" w:rsidR="00DC1558" w:rsidRPr="00881602" w:rsidRDefault="00DC1558" w:rsidP="00DC1558">
            <w:pPr>
              <w:suppressAutoHyphens/>
              <w:autoSpaceDN w:val="0"/>
              <w:jc w:val="right"/>
              <w:rPr>
                <w:rFonts w:ascii="Arial" w:eastAsia="Times New Roman" w:hAnsi="Arial" w:cs="Arial"/>
                <w:b/>
                <w:color w:val="000000" w:themeColor="text1"/>
                <w:spacing w:val="-3"/>
                <w:sz w:val="20"/>
                <w:szCs w:val="20"/>
              </w:rPr>
            </w:pPr>
          </w:p>
        </w:tc>
      </w:tr>
      <w:tr w:rsidR="00005B4D" w:rsidRPr="00881602" w14:paraId="0A5DC02F" w14:textId="77777777" w:rsidTr="00AB6FFC">
        <w:trPr>
          <w:trHeight w:hRule="exact" w:val="284"/>
        </w:trPr>
        <w:tc>
          <w:tcPr>
            <w:tcW w:w="3309" w:type="pct"/>
            <w:vAlign w:val="bottom"/>
          </w:tcPr>
          <w:p w14:paraId="04519307" w14:textId="77777777" w:rsidR="00005B4D" w:rsidRPr="00881602" w:rsidRDefault="00005B4D" w:rsidP="00005B4D">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90" w:name="_Toc67328100"/>
            <w:r w:rsidRPr="00881602">
              <w:rPr>
                <w:rFonts w:ascii="Arial" w:eastAsia="Times New Roman" w:hAnsi="Arial" w:cs="Arial"/>
                <w:color w:val="000000" w:themeColor="text1"/>
                <w:sz w:val="20"/>
                <w:szCs w:val="20"/>
              </w:rPr>
              <w:t>EU projekti</w:t>
            </w:r>
            <w:bookmarkEnd w:id="390"/>
          </w:p>
        </w:tc>
        <w:tc>
          <w:tcPr>
            <w:tcW w:w="846" w:type="pct"/>
            <w:tcBorders>
              <w:top w:val="nil"/>
              <w:left w:val="nil"/>
              <w:bottom w:val="nil"/>
              <w:right w:val="nil"/>
            </w:tcBorders>
            <w:shd w:val="clear" w:color="auto" w:fill="auto"/>
            <w:vAlign w:val="bottom"/>
          </w:tcPr>
          <w:p w14:paraId="48823268" w14:textId="594A587C" w:rsidR="00005B4D" w:rsidRPr="00AB6FFC" w:rsidRDefault="00005B4D" w:rsidP="00005B4D">
            <w:pPr>
              <w:tabs>
                <w:tab w:val="right" w:pos="1202"/>
              </w:tabs>
              <w:suppressAutoHyphens/>
              <w:autoSpaceDN w:val="0"/>
              <w:spacing w:line="301" w:lineRule="exact"/>
              <w:jc w:val="right"/>
              <w:outlineLvl w:val="0"/>
              <w:rPr>
                <w:rFonts w:ascii="Arial" w:hAnsi="Arial" w:cs="Arial"/>
                <w:sz w:val="20"/>
                <w:szCs w:val="20"/>
              </w:rPr>
            </w:pPr>
            <w:r w:rsidRPr="00AB6FFC">
              <w:rPr>
                <w:rFonts w:ascii="Arial" w:hAnsi="Arial" w:cs="Arial"/>
                <w:sz w:val="20"/>
                <w:szCs w:val="20"/>
              </w:rPr>
              <w:t>85.978</w:t>
            </w:r>
          </w:p>
        </w:tc>
        <w:tc>
          <w:tcPr>
            <w:tcW w:w="845" w:type="pct"/>
            <w:tcBorders>
              <w:top w:val="nil"/>
              <w:left w:val="nil"/>
              <w:bottom w:val="nil"/>
              <w:right w:val="nil"/>
            </w:tcBorders>
            <w:shd w:val="clear" w:color="auto" w:fill="auto"/>
            <w:vAlign w:val="bottom"/>
          </w:tcPr>
          <w:p w14:paraId="45D4A8D5" w14:textId="20F9B8B5" w:rsidR="00005B4D" w:rsidRPr="00881602" w:rsidRDefault="00005B4D" w:rsidP="00005B4D">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9013CC">
              <w:rPr>
                <w:rFonts w:ascii="Arial" w:hAnsi="Arial" w:cs="Arial"/>
                <w:sz w:val="20"/>
              </w:rPr>
              <w:t>72.901</w:t>
            </w:r>
          </w:p>
        </w:tc>
      </w:tr>
      <w:tr w:rsidR="00005B4D" w:rsidRPr="00881602" w14:paraId="5627FF5C" w14:textId="77777777" w:rsidTr="00AB6FFC">
        <w:trPr>
          <w:trHeight w:hRule="exact" w:val="284"/>
        </w:trPr>
        <w:tc>
          <w:tcPr>
            <w:tcW w:w="3309" w:type="pct"/>
            <w:vAlign w:val="bottom"/>
          </w:tcPr>
          <w:p w14:paraId="49A28585" w14:textId="77777777" w:rsidR="00005B4D" w:rsidRPr="00881602" w:rsidRDefault="00005B4D" w:rsidP="00005B4D">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91" w:name="_Toc67328103"/>
            <w:r w:rsidRPr="00881602">
              <w:rPr>
                <w:rFonts w:ascii="Arial" w:eastAsia="Times New Roman" w:hAnsi="Arial" w:cs="Arial"/>
                <w:color w:val="000000" w:themeColor="text1"/>
                <w:sz w:val="20"/>
                <w:szCs w:val="20"/>
              </w:rPr>
              <w:t>Financijsko restrukturiranje</w:t>
            </w:r>
            <w:bookmarkEnd w:id="391"/>
          </w:p>
        </w:tc>
        <w:tc>
          <w:tcPr>
            <w:tcW w:w="846" w:type="pct"/>
            <w:tcBorders>
              <w:top w:val="nil"/>
              <w:left w:val="nil"/>
              <w:bottom w:val="nil"/>
              <w:right w:val="nil"/>
            </w:tcBorders>
            <w:shd w:val="clear" w:color="auto" w:fill="auto"/>
            <w:vAlign w:val="bottom"/>
          </w:tcPr>
          <w:p w14:paraId="7AE90CDD" w14:textId="14316AC9" w:rsidR="00005B4D" w:rsidRPr="00AB6FFC" w:rsidRDefault="00005B4D" w:rsidP="00005B4D">
            <w:pPr>
              <w:tabs>
                <w:tab w:val="right" w:pos="1202"/>
              </w:tabs>
              <w:suppressAutoHyphens/>
              <w:autoSpaceDN w:val="0"/>
              <w:spacing w:line="301" w:lineRule="exact"/>
              <w:jc w:val="right"/>
              <w:outlineLvl w:val="0"/>
              <w:rPr>
                <w:rFonts w:ascii="Arial" w:hAnsi="Arial" w:cs="Arial"/>
                <w:sz w:val="20"/>
                <w:szCs w:val="20"/>
              </w:rPr>
            </w:pPr>
            <w:r w:rsidRPr="00AB6FFC">
              <w:rPr>
                <w:rFonts w:ascii="Arial" w:hAnsi="Arial" w:cs="Arial"/>
                <w:sz w:val="20"/>
                <w:szCs w:val="20"/>
              </w:rPr>
              <w:t>111.941</w:t>
            </w:r>
          </w:p>
        </w:tc>
        <w:tc>
          <w:tcPr>
            <w:tcW w:w="845" w:type="pct"/>
            <w:tcBorders>
              <w:top w:val="nil"/>
              <w:left w:val="nil"/>
              <w:bottom w:val="nil"/>
              <w:right w:val="nil"/>
            </w:tcBorders>
            <w:shd w:val="clear" w:color="auto" w:fill="auto"/>
            <w:vAlign w:val="bottom"/>
          </w:tcPr>
          <w:p w14:paraId="599F7A69" w14:textId="272FAE27" w:rsidR="00005B4D" w:rsidRPr="00881602" w:rsidRDefault="00005B4D" w:rsidP="00005B4D">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9013CC">
              <w:rPr>
                <w:rFonts w:ascii="Arial" w:hAnsi="Arial" w:cs="Arial"/>
                <w:sz w:val="20"/>
              </w:rPr>
              <w:t>121.229</w:t>
            </w:r>
          </w:p>
        </w:tc>
      </w:tr>
      <w:tr w:rsidR="00005B4D" w:rsidRPr="00881602" w14:paraId="36C5928F" w14:textId="77777777" w:rsidTr="00AB6FFC">
        <w:trPr>
          <w:trHeight w:hRule="exact" w:val="284"/>
        </w:trPr>
        <w:tc>
          <w:tcPr>
            <w:tcW w:w="3309" w:type="pct"/>
            <w:vAlign w:val="bottom"/>
          </w:tcPr>
          <w:p w14:paraId="577C57DE" w14:textId="77777777" w:rsidR="00005B4D" w:rsidRPr="00881602" w:rsidRDefault="00005B4D" w:rsidP="00005B4D">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92" w:name="_Toc67328106"/>
            <w:r w:rsidRPr="00881602">
              <w:rPr>
                <w:rFonts w:ascii="Arial" w:eastAsia="Times New Roman" w:hAnsi="Arial" w:cs="Arial"/>
                <w:color w:val="000000" w:themeColor="text1"/>
                <w:sz w:val="20"/>
                <w:szCs w:val="20"/>
              </w:rPr>
              <w:t>Priprema izvoza</w:t>
            </w:r>
            <w:bookmarkEnd w:id="392"/>
          </w:p>
        </w:tc>
        <w:tc>
          <w:tcPr>
            <w:tcW w:w="846" w:type="pct"/>
            <w:tcBorders>
              <w:top w:val="nil"/>
              <w:left w:val="nil"/>
              <w:bottom w:val="nil"/>
              <w:right w:val="nil"/>
            </w:tcBorders>
            <w:shd w:val="clear" w:color="auto" w:fill="auto"/>
            <w:vAlign w:val="bottom"/>
          </w:tcPr>
          <w:p w14:paraId="5843CB9E" w14:textId="46DA5D69" w:rsidR="00005B4D" w:rsidRPr="00AB6FFC" w:rsidRDefault="00005B4D" w:rsidP="00005B4D">
            <w:pPr>
              <w:tabs>
                <w:tab w:val="right" w:pos="1202"/>
              </w:tabs>
              <w:suppressAutoHyphens/>
              <w:autoSpaceDN w:val="0"/>
              <w:spacing w:line="301" w:lineRule="exact"/>
              <w:jc w:val="right"/>
              <w:outlineLvl w:val="0"/>
              <w:rPr>
                <w:rFonts w:ascii="Arial" w:hAnsi="Arial" w:cs="Arial"/>
                <w:sz w:val="20"/>
                <w:szCs w:val="20"/>
              </w:rPr>
            </w:pPr>
            <w:r w:rsidRPr="00AB6FFC">
              <w:rPr>
                <w:rFonts w:ascii="Arial" w:hAnsi="Arial" w:cs="Arial"/>
                <w:sz w:val="20"/>
                <w:szCs w:val="20"/>
              </w:rPr>
              <w:t>2.299</w:t>
            </w:r>
          </w:p>
        </w:tc>
        <w:tc>
          <w:tcPr>
            <w:tcW w:w="845" w:type="pct"/>
            <w:tcBorders>
              <w:top w:val="nil"/>
              <w:left w:val="nil"/>
              <w:bottom w:val="nil"/>
              <w:right w:val="nil"/>
            </w:tcBorders>
            <w:shd w:val="clear" w:color="auto" w:fill="auto"/>
            <w:vAlign w:val="bottom"/>
          </w:tcPr>
          <w:p w14:paraId="3BE762C9" w14:textId="6B38E30F" w:rsidR="00005B4D" w:rsidRPr="00881602" w:rsidRDefault="00005B4D" w:rsidP="00005B4D">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9013CC">
              <w:rPr>
                <w:rFonts w:ascii="Arial" w:hAnsi="Arial" w:cs="Arial"/>
                <w:sz w:val="20"/>
              </w:rPr>
              <w:t>1.827</w:t>
            </w:r>
          </w:p>
        </w:tc>
      </w:tr>
      <w:tr w:rsidR="00005B4D" w:rsidRPr="00881602" w14:paraId="24B45AD5" w14:textId="77777777" w:rsidTr="00AB6FFC">
        <w:trPr>
          <w:trHeight w:hRule="exact" w:val="284"/>
        </w:trPr>
        <w:tc>
          <w:tcPr>
            <w:tcW w:w="3309" w:type="pct"/>
            <w:vAlign w:val="bottom"/>
          </w:tcPr>
          <w:p w14:paraId="5494541C" w14:textId="77777777" w:rsidR="00005B4D" w:rsidRPr="00881602" w:rsidRDefault="00005B4D" w:rsidP="00005B4D">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93" w:name="_Toc67328109"/>
            <w:r w:rsidRPr="00881602">
              <w:rPr>
                <w:rFonts w:ascii="Arial" w:eastAsia="Times New Roman" w:hAnsi="Arial" w:cs="Arial"/>
                <w:color w:val="000000" w:themeColor="text1"/>
                <w:sz w:val="20"/>
                <w:szCs w:val="20"/>
              </w:rPr>
              <w:t>Investicije javnog sektora</w:t>
            </w:r>
            <w:bookmarkEnd w:id="393"/>
          </w:p>
        </w:tc>
        <w:tc>
          <w:tcPr>
            <w:tcW w:w="846" w:type="pct"/>
            <w:tcBorders>
              <w:top w:val="nil"/>
              <w:left w:val="nil"/>
              <w:bottom w:val="nil"/>
              <w:right w:val="nil"/>
            </w:tcBorders>
            <w:shd w:val="clear" w:color="auto" w:fill="auto"/>
            <w:vAlign w:val="bottom"/>
          </w:tcPr>
          <w:p w14:paraId="596BA00B" w14:textId="423E6E6B" w:rsidR="00005B4D" w:rsidRPr="00AB6FFC" w:rsidRDefault="00005B4D" w:rsidP="00005B4D">
            <w:pPr>
              <w:tabs>
                <w:tab w:val="right" w:pos="1202"/>
              </w:tabs>
              <w:suppressAutoHyphens/>
              <w:autoSpaceDN w:val="0"/>
              <w:spacing w:line="301" w:lineRule="exact"/>
              <w:jc w:val="right"/>
              <w:outlineLvl w:val="0"/>
              <w:rPr>
                <w:rFonts w:ascii="Arial" w:hAnsi="Arial" w:cs="Arial"/>
                <w:sz w:val="20"/>
                <w:szCs w:val="20"/>
              </w:rPr>
            </w:pPr>
            <w:r w:rsidRPr="00AB6FFC">
              <w:rPr>
                <w:rFonts w:ascii="Arial" w:hAnsi="Arial" w:cs="Arial"/>
                <w:sz w:val="20"/>
                <w:szCs w:val="20"/>
              </w:rPr>
              <w:t>330.714</w:t>
            </w:r>
          </w:p>
        </w:tc>
        <w:tc>
          <w:tcPr>
            <w:tcW w:w="845" w:type="pct"/>
            <w:tcBorders>
              <w:top w:val="nil"/>
              <w:left w:val="nil"/>
              <w:bottom w:val="nil"/>
              <w:right w:val="nil"/>
            </w:tcBorders>
            <w:shd w:val="clear" w:color="auto" w:fill="auto"/>
            <w:vAlign w:val="bottom"/>
          </w:tcPr>
          <w:p w14:paraId="10E7B917" w14:textId="006BAEF0" w:rsidR="00005B4D" w:rsidRPr="00881602" w:rsidRDefault="00005B4D" w:rsidP="00005B4D">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9013CC">
              <w:rPr>
                <w:rFonts w:ascii="Arial" w:hAnsi="Arial" w:cs="Arial"/>
                <w:sz w:val="20"/>
              </w:rPr>
              <w:t>292.790</w:t>
            </w:r>
          </w:p>
        </w:tc>
      </w:tr>
      <w:tr w:rsidR="00005B4D" w:rsidRPr="00881602" w14:paraId="653E2997" w14:textId="77777777" w:rsidTr="00AB6FFC">
        <w:trPr>
          <w:trHeight w:hRule="exact" w:val="284"/>
        </w:trPr>
        <w:tc>
          <w:tcPr>
            <w:tcW w:w="3309" w:type="pct"/>
            <w:vAlign w:val="bottom"/>
          </w:tcPr>
          <w:p w14:paraId="360D6F0D" w14:textId="77777777" w:rsidR="00005B4D" w:rsidRPr="00881602" w:rsidRDefault="00005B4D" w:rsidP="00005B4D">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94" w:name="_Toc67328112"/>
            <w:r w:rsidRPr="00881602">
              <w:rPr>
                <w:rFonts w:ascii="Arial" w:eastAsia="Times New Roman" w:hAnsi="Arial" w:cs="Arial"/>
                <w:color w:val="000000" w:themeColor="text1"/>
                <w:sz w:val="20"/>
                <w:szCs w:val="20"/>
              </w:rPr>
              <w:t>Investicije privatnog sektora</w:t>
            </w:r>
            <w:bookmarkEnd w:id="394"/>
          </w:p>
        </w:tc>
        <w:tc>
          <w:tcPr>
            <w:tcW w:w="846" w:type="pct"/>
            <w:tcBorders>
              <w:top w:val="nil"/>
              <w:left w:val="nil"/>
              <w:bottom w:val="nil"/>
              <w:right w:val="nil"/>
            </w:tcBorders>
            <w:shd w:val="clear" w:color="auto" w:fill="auto"/>
            <w:vAlign w:val="bottom"/>
          </w:tcPr>
          <w:p w14:paraId="3C6A1F1D" w14:textId="701EE093" w:rsidR="00005B4D" w:rsidRPr="00AB6FFC" w:rsidRDefault="00005B4D" w:rsidP="00005B4D">
            <w:pPr>
              <w:tabs>
                <w:tab w:val="right" w:pos="1202"/>
              </w:tabs>
              <w:suppressAutoHyphens/>
              <w:autoSpaceDN w:val="0"/>
              <w:spacing w:line="301" w:lineRule="exact"/>
              <w:jc w:val="right"/>
              <w:outlineLvl w:val="0"/>
              <w:rPr>
                <w:rFonts w:ascii="Arial" w:hAnsi="Arial" w:cs="Arial"/>
                <w:sz w:val="20"/>
                <w:szCs w:val="20"/>
              </w:rPr>
            </w:pPr>
            <w:r w:rsidRPr="00AB6FFC">
              <w:rPr>
                <w:rFonts w:ascii="Arial" w:hAnsi="Arial" w:cs="Arial"/>
                <w:sz w:val="20"/>
                <w:szCs w:val="20"/>
              </w:rPr>
              <w:t>371.739</w:t>
            </w:r>
          </w:p>
        </w:tc>
        <w:tc>
          <w:tcPr>
            <w:tcW w:w="845" w:type="pct"/>
            <w:tcBorders>
              <w:top w:val="nil"/>
              <w:left w:val="nil"/>
              <w:bottom w:val="nil"/>
              <w:right w:val="nil"/>
            </w:tcBorders>
            <w:shd w:val="clear" w:color="auto" w:fill="auto"/>
            <w:vAlign w:val="bottom"/>
          </w:tcPr>
          <w:p w14:paraId="4E3869C2" w14:textId="3E22E3A9" w:rsidR="00005B4D" w:rsidRPr="00881602" w:rsidRDefault="00005B4D" w:rsidP="00005B4D">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9013CC">
              <w:rPr>
                <w:rFonts w:ascii="Arial" w:hAnsi="Arial" w:cs="Arial"/>
                <w:sz w:val="20"/>
              </w:rPr>
              <w:t>240.302</w:t>
            </w:r>
          </w:p>
        </w:tc>
      </w:tr>
      <w:tr w:rsidR="00005B4D" w:rsidRPr="00881602" w14:paraId="0F289C62" w14:textId="77777777" w:rsidTr="00AB6FFC">
        <w:trPr>
          <w:trHeight w:hRule="exact" w:val="284"/>
        </w:trPr>
        <w:tc>
          <w:tcPr>
            <w:tcW w:w="3309" w:type="pct"/>
            <w:vAlign w:val="bottom"/>
          </w:tcPr>
          <w:p w14:paraId="1CCE7833" w14:textId="77777777" w:rsidR="00005B4D" w:rsidRPr="00881602" w:rsidRDefault="00005B4D" w:rsidP="00005B4D">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95" w:name="_Toc67328115"/>
            <w:r w:rsidRPr="00881602">
              <w:rPr>
                <w:rFonts w:ascii="Arial" w:eastAsia="Times New Roman" w:hAnsi="Arial" w:cs="Arial"/>
                <w:color w:val="000000" w:themeColor="text1"/>
                <w:sz w:val="20"/>
                <w:szCs w:val="20"/>
              </w:rPr>
              <w:t>Poduzetništvo mladih, žena i početnika</w:t>
            </w:r>
            <w:bookmarkEnd w:id="395"/>
          </w:p>
        </w:tc>
        <w:tc>
          <w:tcPr>
            <w:tcW w:w="846" w:type="pct"/>
            <w:tcBorders>
              <w:top w:val="nil"/>
              <w:left w:val="nil"/>
              <w:bottom w:val="nil"/>
              <w:right w:val="nil"/>
            </w:tcBorders>
            <w:shd w:val="clear" w:color="auto" w:fill="auto"/>
            <w:vAlign w:val="bottom"/>
          </w:tcPr>
          <w:p w14:paraId="37E5F70C" w14:textId="6B9A6235" w:rsidR="00005B4D" w:rsidRPr="00AB6FFC" w:rsidRDefault="00005B4D" w:rsidP="00005B4D">
            <w:pPr>
              <w:tabs>
                <w:tab w:val="right" w:pos="1202"/>
              </w:tabs>
              <w:suppressAutoHyphens/>
              <w:autoSpaceDN w:val="0"/>
              <w:spacing w:line="301" w:lineRule="exact"/>
              <w:jc w:val="right"/>
              <w:outlineLvl w:val="0"/>
              <w:rPr>
                <w:rFonts w:ascii="Arial" w:hAnsi="Arial" w:cs="Arial"/>
                <w:sz w:val="20"/>
                <w:szCs w:val="20"/>
              </w:rPr>
            </w:pPr>
            <w:r w:rsidRPr="00AB6FFC">
              <w:rPr>
                <w:rFonts w:ascii="Arial" w:hAnsi="Arial" w:cs="Arial"/>
                <w:sz w:val="20"/>
                <w:szCs w:val="20"/>
              </w:rPr>
              <w:t>9.489</w:t>
            </w:r>
          </w:p>
        </w:tc>
        <w:tc>
          <w:tcPr>
            <w:tcW w:w="845" w:type="pct"/>
            <w:tcBorders>
              <w:top w:val="nil"/>
              <w:left w:val="nil"/>
              <w:bottom w:val="nil"/>
              <w:right w:val="nil"/>
            </w:tcBorders>
            <w:shd w:val="clear" w:color="auto" w:fill="auto"/>
            <w:vAlign w:val="bottom"/>
          </w:tcPr>
          <w:p w14:paraId="0C435BE2" w14:textId="5B84A642" w:rsidR="00005B4D" w:rsidRPr="00881602" w:rsidRDefault="00005B4D" w:rsidP="00005B4D">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9013CC">
              <w:rPr>
                <w:rFonts w:ascii="Arial" w:hAnsi="Arial" w:cs="Arial"/>
                <w:sz w:val="20"/>
              </w:rPr>
              <w:t>8.827</w:t>
            </w:r>
          </w:p>
        </w:tc>
      </w:tr>
      <w:tr w:rsidR="00005B4D" w:rsidRPr="00881602" w14:paraId="226BD6DD" w14:textId="77777777" w:rsidTr="00AB6FFC">
        <w:trPr>
          <w:trHeight w:hRule="exact" w:val="284"/>
        </w:trPr>
        <w:tc>
          <w:tcPr>
            <w:tcW w:w="3309" w:type="pct"/>
            <w:vAlign w:val="bottom"/>
          </w:tcPr>
          <w:p w14:paraId="240426AF" w14:textId="77777777" w:rsidR="00005B4D" w:rsidRPr="00881602" w:rsidRDefault="00005B4D" w:rsidP="00005B4D">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96" w:name="_Toc67328118"/>
            <w:r w:rsidRPr="00881602">
              <w:rPr>
                <w:rFonts w:ascii="Arial" w:eastAsia="Times New Roman" w:hAnsi="Arial" w:cs="Arial"/>
                <w:color w:val="000000" w:themeColor="text1"/>
                <w:sz w:val="20"/>
                <w:szCs w:val="20"/>
              </w:rPr>
              <w:t>Obrtna sredstva</w:t>
            </w:r>
            <w:bookmarkEnd w:id="396"/>
          </w:p>
        </w:tc>
        <w:tc>
          <w:tcPr>
            <w:tcW w:w="846" w:type="pct"/>
            <w:tcBorders>
              <w:top w:val="nil"/>
              <w:left w:val="nil"/>
              <w:bottom w:val="nil"/>
              <w:right w:val="nil"/>
            </w:tcBorders>
            <w:shd w:val="clear" w:color="auto" w:fill="auto"/>
            <w:vAlign w:val="bottom"/>
          </w:tcPr>
          <w:p w14:paraId="4E4CBB33" w14:textId="1CB6805F" w:rsidR="00005B4D" w:rsidRPr="00AB6FFC" w:rsidRDefault="00005B4D" w:rsidP="00005B4D">
            <w:pPr>
              <w:tabs>
                <w:tab w:val="right" w:pos="1202"/>
              </w:tabs>
              <w:suppressAutoHyphens/>
              <w:autoSpaceDN w:val="0"/>
              <w:spacing w:line="301" w:lineRule="exact"/>
              <w:jc w:val="right"/>
              <w:outlineLvl w:val="0"/>
              <w:rPr>
                <w:rFonts w:ascii="Arial" w:hAnsi="Arial" w:cs="Arial"/>
                <w:sz w:val="20"/>
                <w:szCs w:val="20"/>
              </w:rPr>
            </w:pPr>
            <w:r w:rsidRPr="00AB6FFC">
              <w:rPr>
                <w:rFonts w:ascii="Arial" w:hAnsi="Arial" w:cs="Arial"/>
                <w:sz w:val="20"/>
                <w:szCs w:val="20"/>
              </w:rPr>
              <w:t>214.836</w:t>
            </w:r>
          </w:p>
        </w:tc>
        <w:tc>
          <w:tcPr>
            <w:tcW w:w="845" w:type="pct"/>
            <w:tcBorders>
              <w:top w:val="nil"/>
              <w:left w:val="nil"/>
              <w:bottom w:val="nil"/>
              <w:right w:val="nil"/>
            </w:tcBorders>
            <w:shd w:val="clear" w:color="auto" w:fill="auto"/>
            <w:vAlign w:val="bottom"/>
          </w:tcPr>
          <w:p w14:paraId="70B67322" w14:textId="0AEB0B72" w:rsidR="00005B4D" w:rsidRPr="00881602" w:rsidRDefault="00005B4D" w:rsidP="00005B4D">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9013CC">
              <w:rPr>
                <w:rFonts w:ascii="Arial" w:hAnsi="Arial" w:cs="Arial"/>
                <w:sz w:val="20"/>
              </w:rPr>
              <w:t>220.501</w:t>
            </w:r>
          </w:p>
        </w:tc>
      </w:tr>
      <w:tr w:rsidR="00005B4D" w:rsidRPr="00881602" w14:paraId="2C82AD07" w14:textId="77777777" w:rsidTr="00AB6FFC">
        <w:trPr>
          <w:trHeight w:hRule="exact" w:val="284"/>
        </w:trPr>
        <w:tc>
          <w:tcPr>
            <w:tcW w:w="3309" w:type="pct"/>
            <w:vAlign w:val="bottom"/>
          </w:tcPr>
          <w:p w14:paraId="1E1EAB56" w14:textId="5EBFF5BB" w:rsidR="00005B4D" w:rsidRPr="00FE1D0D" w:rsidRDefault="00005B4D" w:rsidP="00005B4D">
            <w:pPr>
              <w:tabs>
                <w:tab w:val="right" w:pos="1202"/>
              </w:tabs>
              <w:suppressAutoHyphens/>
              <w:autoSpaceDN w:val="0"/>
              <w:spacing w:line="301" w:lineRule="exact"/>
              <w:outlineLvl w:val="0"/>
              <w:rPr>
                <w:rFonts w:ascii="Arial" w:eastAsia="Times New Roman" w:hAnsi="Arial" w:cs="Arial"/>
                <w:sz w:val="20"/>
                <w:szCs w:val="20"/>
              </w:rPr>
            </w:pPr>
            <w:r w:rsidRPr="00FE1D0D">
              <w:rPr>
                <w:rFonts w:ascii="Arial" w:eastAsia="Times New Roman" w:hAnsi="Arial" w:cs="Arial"/>
                <w:sz w:val="20"/>
                <w:szCs w:val="20"/>
              </w:rPr>
              <w:t>Obrtna sredstva – Mjere COVID 19 i Kriza 2022</w:t>
            </w:r>
          </w:p>
        </w:tc>
        <w:tc>
          <w:tcPr>
            <w:tcW w:w="846" w:type="pct"/>
            <w:tcBorders>
              <w:top w:val="nil"/>
              <w:left w:val="nil"/>
              <w:bottom w:val="nil"/>
              <w:right w:val="nil"/>
            </w:tcBorders>
            <w:shd w:val="clear" w:color="auto" w:fill="auto"/>
            <w:vAlign w:val="bottom"/>
          </w:tcPr>
          <w:p w14:paraId="199FCDEC" w14:textId="26E60FC9" w:rsidR="00005B4D" w:rsidRPr="00AB6FFC" w:rsidRDefault="003C6E63" w:rsidP="00005B4D">
            <w:pPr>
              <w:tabs>
                <w:tab w:val="right" w:pos="1202"/>
              </w:tabs>
              <w:suppressAutoHyphens/>
              <w:autoSpaceDN w:val="0"/>
              <w:spacing w:line="301" w:lineRule="exact"/>
              <w:jc w:val="right"/>
              <w:outlineLvl w:val="0"/>
              <w:rPr>
                <w:rFonts w:ascii="Arial" w:hAnsi="Arial" w:cs="Arial"/>
                <w:sz w:val="20"/>
                <w:szCs w:val="20"/>
              </w:rPr>
            </w:pPr>
            <w:r w:rsidRPr="00AB6FFC">
              <w:rPr>
                <w:rFonts w:ascii="Arial" w:hAnsi="Arial" w:cs="Arial"/>
                <w:sz w:val="20"/>
                <w:szCs w:val="20"/>
              </w:rPr>
              <w:t>465.158</w:t>
            </w:r>
          </w:p>
        </w:tc>
        <w:tc>
          <w:tcPr>
            <w:tcW w:w="845" w:type="pct"/>
            <w:tcBorders>
              <w:top w:val="nil"/>
              <w:left w:val="nil"/>
              <w:bottom w:val="nil"/>
              <w:right w:val="nil"/>
            </w:tcBorders>
            <w:shd w:val="clear" w:color="auto" w:fill="auto"/>
            <w:vAlign w:val="bottom"/>
          </w:tcPr>
          <w:p w14:paraId="22AB9BBF" w14:textId="7622C33E" w:rsidR="00005B4D" w:rsidRPr="00881602" w:rsidRDefault="00005B4D" w:rsidP="00005B4D">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9013CC">
              <w:rPr>
                <w:rFonts w:ascii="Arial" w:hAnsi="Arial" w:cs="Arial"/>
                <w:sz w:val="20"/>
              </w:rPr>
              <w:t>551.850</w:t>
            </w:r>
          </w:p>
        </w:tc>
      </w:tr>
      <w:tr w:rsidR="003C6E63" w:rsidRPr="00881602" w14:paraId="43D7B92E" w14:textId="77777777" w:rsidTr="00AB6FFC">
        <w:trPr>
          <w:trHeight w:hRule="exact" w:val="284"/>
        </w:trPr>
        <w:tc>
          <w:tcPr>
            <w:tcW w:w="3309" w:type="pct"/>
            <w:vAlign w:val="bottom"/>
          </w:tcPr>
          <w:p w14:paraId="2C34B9B0" w14:textId="77777777" w:rsidR="003C6E63" w:rsidRPr="00FE1D0D" w:rsidRDefault="003C6E63" w:rsidP="003C6E63">
            <w:pPr>
              <w:tabs>
                <w:tab w:val="right" w:pos="1202"/>
              </w:tabs>
              <w:suppressAutoHyphens/>
              <w:autoSpaceDN w:val="0"/>
              <w:spacing w:line="301" w:lineRule="exact"/>
              <w:outlineLvl w:val="0"/>
              <w:rPr>
                <w:rFonts w:ascii="Arial" w:eastAsia="Times New Roman" w:hAnsi="Arial" w:cs="Arial"/>
                <w:sz w:val="20"/>
                <w:szCs w:val="20"/>
              </w:rPr>
            </w:pPr>
            <w:bookmarkStart w:id="397" w:name="_Toc67328124"/>
            <w:r w:rsidRPr="00FE1D0D">
              <w:rPr>
                <w:rFonts w:ascii="Arial" w:eastAsia="Times New Roman" w:hAnsi="Arial" w:cs="Arial"/>
                <w:sz w:val="20"/>
                <w:szCs w:val="20"/>
              </w:rPr>
              <w:t>Program kreditiranja obnove i razvitka gospodarskih djelatnosti</w:t>
            </w:r>
            <w:bookmarkEnd w:id="397"/>
          </w:p>
        </w:tc>
        <w:tc>
          <w:tcPr>
            <w:tcW w:w="846" w:type="pct"/>
            <w:tcBorders>
              <w:top w:val="nil"/>
              <w:left w:val="nil"/>
              <w:bottom w:val="nil"/>
              <w:right w:val="nil"/>
            </w:tcBorders>
            <w:shd w:val="clear" w:color="auto" w:fill="auto"/>
            <w:vAlign w:val="bottom"/>
          </w:tcPr>
          <w:p w14:paraId="7DC46E19" w14:textId="6987FDF6" w:rsidR="003C6E63" w:rsidRPr="00AB6FFC" w:rsidRDefault="003C6E63" w:rsidP="003C6E63">
            <w:pPr>
              <w:tabs>
                <w:tab w:val="right" w:pos="1202"/>
              </w:tabs>
              <w:suppressAutoHyphens/>
              <w:autoSpaceDN w:val="0"/>
              <w:spacing w:line="301" w:lineRule="exact"/>
              <w:jc w:val="right"/>
              <w:outlineLvl w:val="0"/>
              <w:rPr>
                <w:rFonts w:ascii="Arial" w:hAnsi="Arial" w:cs="Arial"/>
                <w:sz w:val="20"/>
                <w:szCs w:val="20"/>
              </w:rPr>
            </w:pPr>
            <w:r w:rsidRPr="00AB6FFC">
              <w:rPr>
                <w:rFonts w:ascii="Arial" w:hAnsi="Arial" w:cs="Arial"/>
                <w:sz w:val="20"/>
                <w:szCs w:val="20"/>
              </w:rPr>
              <w:t xml:space="preserve"> 213.407 </w:t>
            </w:r>
          </w:p>
        </w:tc>
        <w:tc>
          <w:tcPr>
            <w:tcW w:w="845" w:type="pct"/>
            <w:tcBorders>
              <w:top w:val="nil"/>
              <w:left w:val="nil"/>
              <w:bottom w:val="nil"/>
              <w:right w:val="nil"/>
            </w:tcBorders>
            <w:shd w:val="clear" w:color="auto" w:fill="auto"/>
            <w:vAlign w:val="bottom"/>
          </w:tcPr>
          <w:p w14:paraId="73C0BB20" w14:textId="2EA90F85" w:rsidR="003C6E63" w:rsidRPr="00881602" w:rsidRDefault="003C6E63" w:rsidP="003C6E63">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9013CC">
              <w:rPr>
                <w:rFonts w:ascii="Arial" w:hAnsi="Arial" w:cs="Arial"/>
                <w:sz w:val="20"/>
              </w:rPr>
              <w:t xml:space="preserve"> 225.071 </w:t>
            </w:r>
          </w:p>
        </w:tc>
      </w:tr>
      <w:tr w:rsidR="003C6E63" w:rsidRPr="00881602" w14:paraId="6598EFEF" w14:textId="77777777" w:rsidTr="00AB6FFC">
        <w:trPr>
          <w:trHeight w:hRule="exact" w:val="284"/>
        </w:trPr>
        <w:tc>
          <w:tcPr>
            <w:tcW w:w="3309" w:type="pct"/>
            <w:vAlign w:val="bottom"/>
          </w:tcPr>
          <w:p w14:paraId="45E7EB9C" w14:textId="77777777" w:rsidR="003C6E63" w:rsidRPr="00FE1D0D" w:rsidRDefault="003C6E63" w:rsidP="003C6E63">
            <w:pPr>
              <w:tabs>
                <w:tab w:val="right" w:pos="1202"/>
              </w:tabs>
              <w:suppressAutoHyphens/>
              <w:autoSpaceDN w:val="0"/>
              <w:spacing w:line="301" w:lineRule="exact"/>
              <w:outlineLvl w:val="0"/>
              <w:rPr>
                <w:rFonts w:ascii="Arial" w:eastAsia="Times New Roman" w:hAnsi="Arial" w:cs="Arial"/>
                <w:sz w:val="20"/>
                <w:szCs w:val="20"/>
              </w:rPr>
            </w:pPr>
            <w:bookmarkStart w:id="398" w:name="_Toc67328127"/>
            <w:r w:rsidRPr="00FE1D0D">
              <w:rPr>
                <w:rFonts w:ascii="Arial" w:eastAsia="Times New Roman" w:hAnsi="Arial" w:cs="Arial"/>
                <w:sz w:val="20"/>
                <w:szCs w:val="20"/>
              </w:rPr>
              <w:t>Financiranje izvoza</w:t>
            </w:r>
            <w:bookmarkEnd w:id="398"/>
          </w:p>
        </w:tc>
        <w:tc>
          <w:tcPr>
            <w:tcW w:w="846" w:type="pct"/>
            <w:tcBorders>
              <w:top w:val="nil"/>
              <w:left w:val="nil"/>
              <w:bottom w:val="nil"/>
              <w:right w:val="nil"/>
            </w:tcBorders>
            <w:shd w:val="clear" w:color="auto" w:fill="auto"/>
            <w:vAlign w:val="bottom"/>
          </w:tcPr>
          <w:p w14:paraId="6D46879A" w14:textId="2126B065" w:rsidR="003C6E63" w:rsidRPr="00AB6FFC" w:rsidRDefault="003C6E63" w:rsidP="003C6E63">
            <w:pPr>
              <w:tabs>
                <w:tab w:val="right" w:pos="1202"/>
              </w:tabs>
              <w:suppressAutoHyphens/>
              <w:autoSpaceDN w:val="0"/>
              <w:spacing w:line="301" w:lineRule="exact"/>
              <w:jc w:val="right"/>
              <w:outlineLvl w:val="0"/>
              <w:rPr>
                <w:rFonts w:ascii="Arial" w:hAnsi="Arial" w:cs="Arial"/>
                <w:sz w:val="20"/>
                <w:szCs w:val="20"/>
              </w:rPr>
            </w:pPr>
            <w:r w:rsidRPr="00AB6FFC">
              <w:rPr>
                <w:rFonts w:ascii="Arial" w:hAnsi="Arial" w:cs="Arial"/>
                <w:sz w:val="20"/>
                <w:szCs w:val="20"/>
              </w:rPr>
              <w:t xml:space="preserve"> 389.990 </w:t>
            </w:r>
          </w:p>
        </w:tc>
        <w:tc>
          <w:tcPr>
            <w:tcW w:w="845" w:type="pct"/>
            <w:tcBorders>
              <w:top w:val="nil"/>
              <w:left w:val="nil"/>
              <w:bottom w:val="nil"/>
              <w:right w:val="nil"/>
            </w:tcBorders>
            <w:shd w:val="clear" w:color="auto" w:fill="auto"/>
            <w:vAlign w:val="bottom"/>
          </w:tcPr>
          <w:p w14:paraId="45CD072C" w14:textId="26C52DAC" w:rsidR="003C6E63" w:rsidRPr="00881602" w:rsidRDefault="003C6E63" w:rsidP="003C6E63">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9013CC">
              <w:rPr>
                <w:rFonts w:ascii="Arial" w:hAnsi="Arial" w:cs="Arial"/>
                <w:sz w:val="20"/>
              </w:rPr>
              <w:t xml:space="preserve"> 410.396 </w:t>
            </w:r>
          </w:p>
        </w:tc>
      </w:tr>
      <w:tr w:rsidR="003C6E63" w:rsidRPr="00881602" w14:paraId="77C2E87D" w14:textId="77777777" w:rsidTr="00AB6FFC">
        <w:trPr>
          <w:trHeight w:hRule="exact" w:val="284"/>
        </w:trPr>
        <w:tc>
          <w:tcPr>
            <w:tcW w:w="3309" w:type="pct"/>
            <w:vAlign w:val="bottom"/>
          </w:tcPr>
          <w:p w14:paraId="37399292" w14:textId="77777777" w:rsidR="003C6E63" w:rsidRPr="00FE1D0D" w:rsidRDefault="003C6E63" w:rsidP="003C6E63">
            <w:pPr>
              <w:tabs>
                <w:tab w:val="right" w:pos="1202"/>
              </w:tabs>
              <w:suppressAutoHyphens/>
              <w:autoSpaceDN w:val="0"/>
              <w:spacing w:line="301" w:lineRule="exact"/>
              <w:outlineLvl w:val="0"/>
              <w:rPr>
                <w:rFonts w:ascii="Arial" w:eastAsia="Times New Roman" w:hAnsi="Arial" w:cs="Arial"/>
                <w:sz w:val="20"/>
                <w:szCs w:val="20"/>
              </w:rPr>
            </w:pPr>
            <w:bookmarkStart w:id="399" w:name="_Toc67328130"/>
            <w:r w:rsidRPr="00FE1D0D">
              <w:rPr>
                <w:rFonts w:ascii="Arial" w:eastAsia="Times New Roman" w:hAnsi="Arial" w:cs="Arial"/>
                <w:sz w:val="20"/>
                <w:szCs w:val="20"/>
              </w:rPr>
              <w:t>Program obnove i razvitka infrastrukture u Republici Hrvatskoj</w:t>
            </w:r>
            <w:bookmarkEnd w:id="399"/>
          </w:p>
        </w:tc>
        <w:tc>
          <w:tcPr>
            <w:tcW w:w="846" w:type="pct"/>
            <w:tcBorders>
              <w:top w:val="nil"/>
              <w:left w:val="nil"/>
              <w:bottom w:val="nil"/>
              <w:right w:val="nil"/>
            </w:tcBorders>
            <w:shd w:val="clear" w:color="auto" w:fill="auto"/>
            <w:vAlign w:val="bottom"/>
          </w:tcPr>
          <w:p w14:paraId="36B8B059" w14:textId="6449C6FD" w:rsidR="003C6E63" w:rsidRPr="00AB6FFC" w:rsidRDefault="003C6E63" w:rsidP="003C6E63">
            <w:pPr>
              <w:tabs>
                <w:tab w:val="right" w:pos="1202"/>
              </w:tabs>
              <w:suppressAutoHyphens/>
              <w:autoSpaceDN w:val="0"/>
              <w:spacing w:line="301" w:lineRule="exact"/>
              <w:jc w:val="right"/>
              <w:outlineLvl w:val="0"/>
              <w:rPr>
                <w:rFonts w:ascii="Arial" w:hAnsi="Arial" w:cs="Arial"/>
                <w:sz w:val="20"/>
                <w:szCs w:val="20"/>
              </w:rPr>
            </w:pPr>
            <w:r w:rsidRPr="00AB6FFC">
              <w:rPr>
                <w:rFonts w:ascii="Arial" w:hAnsi="Arial" w:cs="Arial"/>
                <w:sz w:val="20"/>
                <w:szCs w:val="20"/>
              </w:rPr>
              <w:t xml:space="preserve"> 460.773 </w:t>
            </w:r>
          </w:p>
        </w:tc>
        <w:tc>
          <w:tcPr>
            <w:tcW w:w="845" w:type="pct"/>
            <w:tcBorders>
              <w:top w:val="nil"/>
              <w:left w:val="nil"/>
              <w:bottom w:val="nil"/>
              <w:right w:val="nil"/>
            </w:tcBorders>
            <w:shd w:val="clear" w:color="auto" w:fill="auto"/>
            <w:vAlign w:val="bottom"/>
          </w:tcPr>
          <w:p w14:paraId="665220D8" w14:textId="7575D67B" w:rsidR="003C6E63" w:rsidRPr="00881602" w:rsidRDefault="003C6E63" w:rsidP="003C6E63">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9013CC">
              <w:rPr>
                <w:rFonts w:ascii="Arial" w:hAnsi="Arial" w:cs="Arial"/>
                <w:sz w:val="20"/>
              </w:rPr>
              <w:t xml:space="preserve"> 505.595 </w:t>
            </w:r>
          </w:p>
        </w:tc>
      </w:tr>
      <w:tr w:rsidR="003C6E63" w:rsidRPr="00881602" w14:paraId="59113BAD" w14:textId="77777777" w:rsidTr="00AB6FFC">
        <w:trPr>
          <w:trHeight w:hRule="exact" w:val="284"/>
        </w:trPr>
        <w:tc>
          <w:tcPr>
            <w:tcW w:w="3309" w:type="pct"/>
            <w:vAlign w:val="bottom"/>
          </w:tcPr>
          <w:p w14:paraId="0B5E0471" w14:textId="77777777" w:rsidR="003C6E63" w:rsidRPr="00FE1D0D" w:rsidRDefault="003C6E63" w:rsidP="003C6E63">
            <w:pPr>
              <w:tabs>
                <w:tab w:val="right" w:pos="1202"/>
              </w:tabs>
              <w:suppressAutoHyphens/>
              <w:autoSpaceDN w:val="0"/>
              <w:spacing w:line="301" w:lineRule="exact"/>
              <w:outlineLvl w:val="0"/>
              <w:rPr>
                <w:rFonts w:ascii="Arial" w:eastAsia="Times New Roman" w:hAnsi="Arial" w:cs="Arial"/>
                <w:sz w:val="20"/>
                <w:szCs w:val="20"/>
              </w:rPr>
            </w:pPr>
            <w:bookmarkStart w:id="400" w:name="_Toc67328133"/>
            <w:r w:rsidRPr="00FE1D0D">
              <w:rPr>
                <w:rFonts w:ascii="Arial" w:eastAsia="Times New Roman" w:hAnsi="Arial" w:cs="Arial"/>
                <w:sz w:val="20"/>
                <w:szCs w:val="20"/>
              </w:rPr>
              <w:t>Program kreditiranja malog i srednjeg poduzetništva</w:t>
            </w:r>
            <w:bookmarkEnd w:id="400"/>
          </w:p>
        </w:tc>
        <w:tc>
          <w:tcPr>
            <w:tcW w:w="846" w:type="pct"/>
            <w:tcBorders>
              <w:top w:val="nil"/>
              <w:left w:val="nil"/>
              <w:bottom w:val="nil"/>
              <w:right w:val="nil"/>
            </w:tcBorders>
            <w:shd w:val="clear" w:color="auto" w:fill="auto"/>
            <w:vAlign w:val="bottom"/>
          </w:tcPr>
          <w:p w14:paraId="30DD0E6F" w14:textId="7D63CFDE" w:rsidR="003C6E63" w:rsidRPr="00AB6FFC" w:rsidRDefault="003C6E63" w:rsidP="003C6E63">
            <w:pPr>
              <w:tabs>
                <w:tab w:val="right" w:pos="1202"/>
              </w:tabs>
              <w:suppressAutoHyphens/>
              <w:autoSpaceDN w:val="0"/>
              <w:spacing w:line="301" w:lineRule="exact"/>
              <w:jc w:val="right"/>
              <w:outlineLvl w:val="0"/>
              <w:rPr>
                <w:rFonts w:ascii="Arial" w:hAnsi="Arial" w:cs="Arial"/>
                <w:sz w:val="20"/>
                <w:szCs w:val="20"/>
              </w:rPr>
            </w:pPr>
            <w:r w:rsidRPr="00AB6FFC">
              <w:rPr>
                <w:rFonts w:ascii="Arial" w:hAnsi="Arial" w:cs="Arial"/>
                <w:sz w:val="20"/>
                <w:szCs w:val="20"/>
              </w:rPr>
              <w:t>85.421</w:t>
            </w:r>
          </w:p>
        </w:tc>
        <w:tc>
          <w:tcPr>
            <w:tcW w:w="845" w:type="pct"/>
            <w:tcBorders>
              <w:top w:val="nil"/>
              <w:left w:val="nil"/>
              <w:bottom w:val="nil"/>
              <w:right w:val="nil"/>
            </w:tcBorders>
            <w:shd w:val="clear" w:color="auto" w:fill="auto"/>
            <w:vAlign w:val="bottom"/>
          </w:tcPr>
          <w:p w14:paraId="2B7F98AF" w14:textId="44B212F6" w:rsidR="003C6E63" w:rsidRPr="00881602" w:rsidRDefault="003C6E63" w:rsidP="003C6E63">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9013CC">
              <w:rPr>
                <w:rFonts w:ascii="Arial" w:hAnsi="Arial" w:cs="Arial"/>
                <w:sz w:val="20"/>
              </w:rPr>
              <w:t>97.821</w:t>
            </w:r>
          </w:p>
        </w:tc>
      </w:tr>
      <w:tr w:rsidR="00AB6FFC" w:rsidRPr="00881602" w14:paraId="6F19DABF" w14:textId="77777777" w:rsidTr="00AB6FFC">
        <w:trPr>
          <w:trHeight w:hRule="exact" w:val="284"/>
        </w:trPr>
        <w:tc>
          <w:tcPr>
            <w:tcW w:w="3309" w:type="pct"/>
            <w:vAlign w:val="bottom"/>
          </w:tcPr>
          <w:p w14:paraId="052B4E58" w14:textId="77777777" w:rsidR="00AB6FFC" w:rsidRPr="00881602" w:rsidRDefault="00AB6FFC" w:rsidP="00AB6FFC">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01" w:name="_Toc67328136"/>
            <w:r w:rsidRPr="00881602">
              <w:rPr>
                <w:rFonts w:ascii="Arial" w:eastAsia="Times New Roman" w:hAnsi="Arial" w:cs="Arial"/>
                <w:color w:val="000000" w:themeColor="text1"/>
                <w:sz w:val="20"/>
                <w:szCs w:val="20"/>
              </w:rPr>
              <w:t>Ostalo</w:t>
            </w:r>
            <w:bookmarkEnd w:id="401"/>
          </w:p>
        </w:tc>
        <w:tc>
          <w:tcPr>
            <w:tcW w:w="846" w:type="pct"/>
            <w:tcBorders>
              <w:top w:val="nil"/>
              <w:left w:val="nil"/>
              <w:bottom w:val="nil"/>
              <w:right w:val="nil"/>
            </w:tcBorders>
            <w:shd w:val="clear" w:color="auto" w:fill="auto"/>
            <w:vAlign w:val="bottom"/>
          </w:tcPr>
          <w:p w14:paraId="6969280F" w14:textId="772E45FA" w:rsidR="00AB6FFC" w:rsidRPr="00AB6FFC" w:rsidRDefault="00AB6FFC" w:rsidP="00AB6FFC">
            <w:pPr>
              <w:tabs>
                <w:tab w:val="right" w:pos="1202"/>
              </w:tabs>
              <w:suppressAutoHyphens/>
              <w:autoSpaceDN w:val="0"/>
              <w:spacing w:line="301" w:lineRule="exact"/>
              <w:jc w:val="right"/>
              <w:outlineLvl w:val="0"/>
              <w:rPr>
                <w:rFonts w:ascii="Arial" w:hAnsi="Arial" w:cs="Arial"/>
                <w:sz w:val="20"/>
                <w:szCs w:val="20"/>
              </w:rPr>
            </w:pPr>
            <w:r w:rsidRPr="00AB6FFC">
              <w:rPr>
                <w:rFonts w:ascii="Arial" w:hAnsi="Arial" w:cs="Arial"/>
                <w:sz w:val="20"/>
                <w:szCs w:val="20"/>
              </w:rPr>
              <w:t xml:space="preserve"> 41.438 </w:t>
            </w:r>
          </w:p>
        </w:tc>
        <w:tc>
          <w:tcPr>
            <w:tcW w:w="845" w:type="pct"/>
            <w:tcBorders>
              <w:top w:val="nil"/>
              <w:left w:val="nil"/>
              <w:bottom w:val="nil"/>
              <w:right w:val="nil"/>
            </w:tcBorders>
            <w:shd w:val="clear" w:color="auto" w:fill="auto"/>
            <w:vAlign w:val="bottom"/>
          </w:tcPr>
          <w:p w14:paraId="0232BA18" w14:textId="7E8E3EF4" w:rsidR="00AB6FFC" w:rsidRPr="00881602" w:rsidRDefault="00AB6FFC" w:rsidP="00AB6FF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9013CC">
              <w:rPr>
                <w:rFonts w:ascii="Arial" w:hAnsi="Arial" w:cs="Arial"/>
                <w:sz w:val="20"/>
              </w:rPr>
              <w:t xml:space="preserve"> 34.442 </w:t>
            </w:r>
          </w:p>
        </w:tc>
      </w:tr>
      <w:tr w:rsidR="00AB6FFC" w:rsidRPr="00881602" w14:paraId="47E986DE" w14:textId="77777777" w:rsidTr="00AB6FFC">
        <w:trPr>
          <w:trHeight w:hRule="exact" w:val="284"/>
        </w:trPr>
        <w:tc>
          <w:tcPr>
            <w:tcW w:w="3309" w:type="pct"/>
            <w:vAlign w:val="bottom"/>
          </w:tcPr>
          <w:p w14:paraId="4DE9BBC9" w14:textId="77777777" w:rsidR="00AB6FFC" w:rsidRPr="00881602" w:rsidRDefault="00AB6FFC" w:rsidP="00AB6FFC">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02" w:name="_Toc67328139"/>
            <w:r w:rsidRPr="00881602">
              <w:rPr>
                <w:rFonts w:ascii="Arial" w:eastAsia="Times New Roman" w:hAnsi="Arial" w:cs="Arial"/>
                <w:color w:val="000000" w:themeColor="text1"/>
                <w:sz w:val="20"/>
                <w:szCs w:val="20"/>
              </w:rPr>
              <w:t>Obračunata kamata</w:t>
            </w:r>
            <w:bookmarkEnd w:id="402"/>
          </w:p>
        </w:tc>
        <w:tc>
          <w:tcPr>
            <w:tcW w:w="846" w:type="pct"/>
            <w:tcBorders>
              <w:top w:val="nil"/>
              <w:left w:val="nil"/>
              <w:bottom w:val="nil"/>
              <w:right w:val="nil"/>
            </w:tcBorders>
            <w:shd w:val="clear" w:color="auto" w:fill="auto"/>
            <w:vAlign w:val="bottom"/>
          </w:tcPr>
          <w:p w14:paraId="1AD5FC3E" w14:textId="453F8C72" w:rsidR="00AB6FFC" w:rsidRPr="00AB6FFC" w:rsidRDefault="00AB6FFC" w:rsidP="00AB6FFC">
            <w:pPr>
              <w:tabs>
                <w:tab w:val="right" w:pos="1202"/>
              </w:tabs>
              <w:suppressAutoHyphens/>
              <w:autoSpaceDN w:val="0"/>
              <w:spacing w:line="301" w:lineRule="exact"/>
              <w:jc w:val="right"/>
              <w:outlineLvl w:val="0"/>
              <w:rPr>
                <w:rFonts w:ascii="Arial" w:hAnsi="Arial" w:cs="Arial"/>
                <w:sz w:val="20"/>
                <w:szCs w:val="20"/>
              </w:rPr>
            </w:pPr>
            <w:r w:rsidRPr="00AB6FFC">
              <w:rPr>
                <w:rFonts w:ascii="Arial" w:hAnsi="Arial" w:cs="Arial"/>
                <w:sz w:val="20"/>
                <w:szCs w:val="20"/>
              </w:rPr>
              <w:t xml:space="preserve"> 52.693 </w:t>
            </w:r>
          </w:p>
        </w:tc>
        <w:tc>
          <w:tcPr>
            <w:tcW w:w="845" w:type="pct"/>
            <w:tcBorders>
              <w:top w:val="nil"/>
              <w:left w:val="nil"/>
              <w:bottom w:val="nil"/>
              <w:right w:val="nil"/>
            </w:tcBorders>
            <w:shd w:val="clear" w:color="auto" w:fill="auto"/>
            <w:vAlign w:val="bottom"/>
          </w:tcPr>
          <w:p w14:paraId="1E3A916B" w14:textId="321223CF" w:rsidR="00AB6FFC" w:rsidRPr="00881602" w:rsidRDefault="00AB6FFC" w:rsidP="00AB6FF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9013CC">
              <w:rPr>
                <w:rFonts w:ascii="Arial" w:hAnsi="Arial" w:cs="Arial"/>
                <w:sz w:val="20"/>
              </w:rPr>
              <w:t xml:space="preserve"> 47.646 </w:t>
            </w:r>
          </w:p>
        </w:tc>
      </w:tr>
      <w:tr w:rsidR="00AB6FFC" w:rsidRPr="00881602" w14:paraId="227196BF" w14:textId="77777777" w:rsidTr="00AB6FFC">
        <w:trPr>
          <w:trHeight w:hRule="exact" w:val="284"/>
        </w:trPr>
        <w:tc>
          <w:tcPr>
            <w:tcW w:w="3309" w:type="pct"/>
            <w:vAlign w:val="bottom"/>
          </w:tcPr>
          <w:p w14:paraId="64E7DA0C" w14:textId="77777777" w:rsidR="00AB6FFC" w:rsidRPr="00881602" w:rsidRDefault="00AB6FFC" w:rsidP="00AB6FFC">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03" w:name="_Toc67328142"/>
            <w:r w:rsidRPr="00881602">
              <w:rPr>
                <w:rFonts w:ascii="Arial" w:eastAsia="Times New Roman" w:hAnsi="Arial" w:cs="Arial"/>
                <w:color w:val="000000" w:themeColor="text1"/>
                <w:sz w:val="20"/>
                <w:szCs w:val="20"/>
              </w:rPr>
              <w:t>Odgođena naknada po kreditima</w:t>
            </w:r>
            <w:bookmarkEnd w:id="403"/>
          </w:p>
        </w:tc>
        <w:tc>
          <w:tcPr>
            <w:tcW w:w="846" w:type="pct"/>
            <w:tcBorders>
              <w:top w:val="nil"/>
              <w:left w:val="nil"/>
              <w:right w:val="nil"/>
            </w:tcBorders>
            <w:shd w:val="clear" w:color="auto" w:fill="auto"/>
            <w:vAlign w:val="bottom"/>
          </w:tcPr>
          <w:p w14:paraId="2DA4F1AD" w14:textId="31FBB85F" w:rsidR="00AB6FFC" w:rsidRPr="00AB6FFC" w:rsidRDefault="00AB6FFC" w:rsidP="00AB6FFC">
            <w:pPr>
              <w:tabs>
                <w:tab w:val="right" w:pos="1202"/>
              </w:tabs>
              <w:suppressAutoHyphens/>
              <w:autoSpaceDN w:val="0"/>
              <w:spacing w:line="301" w:lineRule="exact"/>
              <w:jc w:val="right"/>
              <w:outlineLvl w:val="0"/>
              <w:rPr>
                <w:rFonts w:ascii="Arial" w:hAnsi="Arial" w:cs="Arial"/>
                <w:sz w:val="20"/>
                <w:szCs w:val="20"/>
              </w:rPr>
            </w:pPr>
            <w:r w:rsidRPr="00AB6FFC">
              <w:rPr>
                <w:rFonts w:ascii="Arial" w:hAnsi="Arial" w:cs="Arial"/>
                <w:sz w:val="20"/>
                <w:szCs w:val="20"/>
              </w:rPr>
              <w:t xml:space="preserve"> (10.575)</w:t>
            </w:r>
          </w:p>
        </w:tc>
        <w:tc>
          <w:tcPr>
            <w:tcW w:w="845" w:type="pct"/>
            <w:tcBorders>
              <w:top w:val="nil"/>
              <w:left w:val="nil"/>
              <w:right w:val="nil"/>
            </w:tcBorders>
            <w:shd w:val="clear" w:color="auto" w:fill="auto"/>
            <w:vAlign w:val="bottom"/>
          </w:tcPr>
          <w:p w14:paraId="2BD8423B" w14:textId="7CF477C4" w:rsidR="00AB6FFC" w:rsidRPr="00881602" w:rsidRDefault="00AB6FFC" w:rsidP="00AB6FFC">
            <w:pPr>
              <w:tabs>
                <w:tab w:val="right" w:pos="1202"/>
              </w:tabs>
              <w:suppressAutoHyphens/>
              <w:autoSpaceDN w:val="0"/>
              <w:spacing w:line="301" w:lineRule="exact"/>
              <w:jc w:val="right"/>
              <w:outlineLvl w:val="0"/>
              <w:rPr>
                <w:rFonts w:ascii="Arial" w:eastAsia="Times New Roman" w:hAnsi="Arial" w:cs="Arial"/>
                <w:color w:val="000000" w:themeColor="text1"/>
                <w:spacing w:val="-3"/>
                <w:sz w:val="20"/>
                <w:szCs w:val="20"/>
              </w:rPr>
            </w:pPr>
            <w:r w:rsidRPr="009013CC">
              <w:rPr>
                <w:rFonts w:ascii="Arial" w:hAnsi="Arial" w:cs="Arial"/>
                <w:sz w:val="20"/>
              </w:rPr>
              <w:t xml:space="preserve"> (9.245)</w:t>
            </w:r>
          </w:p>
        </w:tc>
      </w:tr>
      <w:tr w:rsidR="00AB6FFC" w:rsidRPr="00881602" w14:paraId="7EA6A9AF" w14:textId="77777777" w:rsidTr="00AB6FFC">
        <w:trPr>
          <w:trHeight w:val="322"/>
        </w:trPr>
        <w:tc>
          <w:tcPr>
            <w:tcW w:w="3309" w:type="pct"/>
            <w:vAlign w:val="bottom"/>
          </w:tcPr>
          <w:p w14:paraId="7AB0D189" w14:textId="77777777" w:rsidR="00AB6FFC" w:rsidRPr="00881602" w:rsidRDefault="00AB6FFC" w:rsidP="00AB6FFC">
            <w:pPr>
              <w:tabs>
                <w:tab w:val="right" w:pos="1202"/>
              </w:tabs>
              <w:suppressAutoHyphens/>
              <w:autoSpaceDN w:val="0"/>
              <w:spacing w:line="340" w:lineRule="exact"/>
              <w:outlineLvl w:val="0"/>
              <w:rPr>
                <w:rFonts w:ascii="Arial" w:eastAsia="Times New Roman" w:hAnsi="Arial" w:cs="Arial"/>
                <w:color w:val="000000" w:themeColor="text1"/>
                <w:spacing w:val="-3"/>
                <w:sz w:val="20"/>
                <w:szCs w:val="20"/>
              </w:rPr>
            </w:pPr>
          </w:p>
        </w:tc>
        <w:tc>
          <w:tcPr>
            <w:tcW w:w="846" w:type="pct"/>
            <w:tcBorders>
              <w:top w:val="single" w:sz="4" w:space="0" w:color="auto"/>
              <w:left w:val="nil"/>
              <w:bottom w:val="single" w:sz="4" w:space="0" w:color="auto"/>
              <w:right w:val="nil"/>
            </w:tcBorders>
            <w:shd w:val="clear" w:color="auto" w:fill="auto"/>
            <w:vAlign w:val="bottom"/>
          </w:tcPr>
          <w:p w14:paraId="6C635ECA" w14:textId="7E97D5AC" w:rsidR="00AB6FFC" w:rsidRPr="00AB6FFC" w:rsidRDefault="00AB6FFC" w:rsidP="00AB6FFC">
            <w:pPr>
              <w:tabs>
                <w:tab w:val="right" w:pos="1202"/>
              </w:tabs>
              <w:suppressAutoHyphens/>
              <w:autoSpaceDN w:val="0"/>
              <w:spacing w:line="301" w:lineRule="exact"/>
              <w:jc w:val="right"/>
              <w:outlineLvl w:val="0"/>
              <w:rPr>
                <w:rFonts w:ascii="Arial" w:hAnsi="Arial" w:cs="Arial"/>
                <w:sz w:val="20"/>
                <w:szCs w:val="20"/>
              </w:rPr>
            </w:pPr>
            <w:r w:rsidRPr="00AB6FFC">
              <w:rPr>
                <w:rFonts w:ascii="Arial" w:hAnsi="Arial" w:cs="Arial"/>
                <w:sz w:val="20"/>
                <w:szCs w:val="20"/>
              </w:rPr>
              <w:t xml:space="preserve"> 2.825.301 </w:t>
            </w:r>
          </w:p>
        </w:tc>
        <w:tc>
          <w:tcPr>
            <w:tcW w:w="845" w:type="pct"/>
            <w:tcBorders>
              <w:top w:val="single" w:sz="4" w:space="0" w:color="auto"/>
              <w:left w:val="nil"/>
              <w:bottom w:val="single" w:sz="4" w:space="0" w:color="auto"/>
              <w:right w:val="nil"/>
            </w:tcBorders>
            <w:shd w:val="clear" w:color="auto" w:fill="auto"/>
            <w:vAlign w:val="bottom"/>
          </w:tcPr>
          <w:p w14:paraId="3B386C7C" w14:textId="49A3838D" w:rsidR="00AB6FFC" w:rsidRPr="00881602" w:rsidRDefault="00AB6FFC" w:rsidP="00AB6FFC">
            <w:pPr>
              <w:tabs>
                <w:tab w:val="right" w:pos="1202"/>
              </w:tabs>
              <w:suppressAutoHyphens/>
              <w:autoSpaceDN w:val="0"/>
              <w:spacing w:line="340" w:lineRule="exact"/>
              <w:jc w:val="right"/>
              <w:outlineLvl w:val="0"/>
              <w:rPr>
                <w:rFonts w:ascii="Arial" w:eastAsia="Times New Roman" w:hAnsi="Arial" w:cs="Arial"/>
                <w:color w:val="000000" w:themeColor="text1"/>
                <w:sz w:val="20"/>
                <w:szCs w:val="20"/>
              </w:rPr>
            </w:pPr>
            <w:r w:rsidRPr="009013CC">
              <w:rPr>
                <w:rFonts w:ascii="Arial" w:hAnsi="Arial" w:cs="Arial"/>
                <w:color w:val="000000" w:themeColor="text1"/>
                <w:sz w:val="20"/>
              </w:rPr>
              <w:t>2.821.953</w:t>
            </w:r>
          </w:p>
        </w:tc>
      </w:tr>
      <w:tr w:rsidR="00AB6FFC" w:rsidRPr="00881602" w14:paraId="1D8684E7" w14:textId="77777777" w:rsidTr="00AB6FFC">
        <w:trPr>
          <w:trHeight w:val="238"/>
        </w:trPr>
        <w:tc>
          <w:tcPr>
            <w:tcW w:w="3309" w:type="pct"/>
            <w:vAlign w:val="bottom"/>
          </w:tcPr>
          <w:p w14:paraId="5AC89A34" w14:textId="77777777" w:rsidR="00AB6FFC" w:rsidRPr="00881602" w:rsidRDefault="00AB6FFC" w:rsidP="00AB6FFC">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04" w:name="_Toc67328147"/>
            <w:r w:rsidRPr="00881602">
              <w:rPr>
                <w:rFonts w:ascii="Arial" w:eastAsia="Times New Roman" w:hAnsi="Arial" w:cs="Arial"/>
                <w:color w:val="000000" w:themeColor="text1"/>
                <w:sz w:val="20"/>
                <w:szCs w:val="20"/>
              </w:rPr>
              <w:t>Rezerviranja za očekivane gubitke</w:t>
            </w:r>
            <w:bookmarkEnd w:id="404"/>
            <w:r w:rsidRPr="00881602">
              <w:rPr>
                <w:rFonts w:ascii="Arial" w:eastAsia="Times New Roman" w:hAnsi="Arial" w:cs="Arial"/>
                <w:color w:val="000000" w:themeColor="text1"/>
                <w:sz w:val="20"/>
                <w:szCs w:val="20"/>
              </w:rPr>
              <w:t xml:space="preserve"> </w:t>
            </w:r>
          </w:p>
        </w:tc>
        <w:tc>
          <w:tcPr>
            <w:tcW w:w="846" w:type="pct"/>
            <w:tcBorders>
              <w:top w:val="nil"/>
              <w:left w:val="nil"/>
              <w:bottom w:val="nil"/>
              <w:right w:val="nil"/>
            </w:tcBorders>
            <w:shd w:val="clear" w:color="auto" w:fill="auto"/>
            <w:vAlign w:val="bottom"/>
          </w:tcPr>
          <w:p w14:paraId="5CD0B201" w14:textId="21ED2331" w:rsidR="00AB6FFC" w:rsidRPr="00AB6FFC" w:rsidRDefault="00AB6FFC" w:rsidP="00AB6FFC">
            <w:pPr>
              <w:tabs>
                <w:tab w:val="right" w:pos="1202"/>
              </w:tabs>
              <w:suppressAutoHyphens/>
              <w:autoSpaceDN w:val="0"/>
              <w:spacing w:line="301" w:lineRule="exact"/>
              <w:jc w:val="right"/>
              <w:outlineLvl w:val="0"/>
              <w:rPr>
                <w:rFonts w:ascii="Arial" w:hAnsi="Arial" w:cs="Arial"/>
                <w:sz w:val="20"/>
                <w:szCs w:val="20"/>
              </w:rPr>
            </w:pPr>
            <w:r w:rsidRPr="00AB6FFC">
              <w:rPr>
                <w:rFonts w:ascii="Arial" w:hAnsi="Arial" w:cs="Arial"/>
                <w:sz w:val="20"/>
                <w:szCs w:val="20"/>
              </w:rPr>
              <w:t xml:space="preserve"> (463.824)</w:t>
            </w:r>
          </w:p>
        </w:tc>
        <w:tc>
          <w:tcPr>
            <w:tcW w:w="845" w:type="pct"/>
            <w:tcBorders>
              <w:top w:val="nil"/>
              <w:left w:val="nil"/>
              <w:bottom w:val="nil"/>
              <w:right w:val="nil"/>
            </w:tcBorders>
            <w:shd w:val="clear" w:color="auto" w:fill="auto"/>
            <w:vAlign w:val="bottom"/>
          </w:tcPr>
          <w:p w14:paraId="4D49A688" w14:textId="20FAA10D" w:rsidR="00AB6FFC" w:rsidRPr="00881602" w:rsidRDefault="00AB6FFC" w:rsidP="00AB6FF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9013CC">
              <w:rPr>
                <w:rFonts w:ascii="Arial" w:hAnsi="Arial" w:cs="Arial"/>
                <w:color w:val="000000" w:themeColor="text1"/>
                <w:sz w:val="20"/>
              </w:rPr>
              <w:t>(470.757)</w:t>
            </w:r>
          </w:p>
        </w:tc>
      </w:tr>
      <w:tr w:rsidR="00AB6FFC" w:rsidRPr="00881602" w14:paraId="0B51E8E2" w14:textId="77777777" w:rsidTr="00AB6FFC">
        <w:trPr>
          <w:trHeight w:val="322"/>
        </w:trPr>
        <w:tc>
          <w:tcPr>
            <w:tcW w:w="3309" w:type="pct"/>
            <w:vAlign w:val="bottom"/>
          </w:tcPr>
          <w:p w14:paraId="4CA54F0F" w14:textId="77777777" w:rsidR="00AB6FFC" w:rsidRPr="00881602" w:rsidRDefault="00AB6FFC" w:rsidP="00AB6FFC">
            <w:pPr>
              <w:tabs>
                <w:tab w:val="right" w:pos="1202"/>
              </w:tabs>
              <w:suppressAutoHyphens/>
              <w:autoSpaceDN w:val="0"/>
              <w:spacing w:line="340" w:lineRule="exact"/>
              <w:outlineLvl w:val="0"/>
              <w:rPr>
                <w:rFonts w:ascii="Arial" w:eastAsia="Times New Roman" w:hAnsi="Arial" w:cs="Arial"/>
                <w:b/>
                <w:bCs/>
                <w:color w:val="000000" w:themeColor="text1"/>
                <w:sz w:val="20"/>
                <w:szCs w:val="20"/>
              </w:rPr>
            </w:pPr>
          </w:p>
        </w:tc>
        <w:tc>
          <w:tcPr>
            <w:tcW w:w="846" w:type="pct"/>
            <w:tcBorders>
              <w:top w:val="single" w:sz="4" w:space="0" w:color="auto"/>
              <w:left w:val="nil"/>
              <w:bottom w:val="single" w:sz="12" w:space="0" w:color="auto"/>
              <w:right w:val="nil"/>
            </w:tcBorders>
            <w:shd w:val="clear" w:color="auto" w:fill="auto"/>
            <w:vAlign w:val="bottom"/>
          </w:tcPr>
          <w:p w14:paraId="7CD6D4AD" w14:textId="216BE472" w:rsidR="00AB6FFC" w:rsidRPr="00AB6FFC" w:rsidRDefault="00AB6FFC" w:rsidP="00AB6FFC">
            <w:pPr>
              <w:tabs>
                <w:tab w:val="right" w:pos="1202"/>
              </w:tabs>
              <w:suppressAutoHyphens/>
              <w:autoSpaceDN w:val="0"/>
              <w:spacing w:line="340" w:lineRule="exact"/>
              <w:jc w:val="right"/>
              <w:outlineLvl w:val="0"/>
              <w:rPr>
                <w:rFonts w:ascii="Arial" w:hAnsi="Arial" w:cs="Arial"/>
                <w:b/>
                <w:bCs/>
                <w:sz w:val="20"/>
                <w:szCs w:val="20"/>
              </w:rPr>
            </w:pPr>
            <w:r w:rsidRPr="00AB6FFC">
              <w:rPr>
                <w:rFonts w:ascii="Arial" w:hAnsi="Arial" w:cs="Arial"/>
                <w:b/>
                <w:bCs/>
                <w:sz w:val="20"/>
                <w:szCs w:val="20"/>
              </w:rPr>
              <w:t xml:space="preserve"> 2.361.477 </w:t>
            </w:r>
          </w:p>
        </w:tc>
        <w:tc>
          <w:tcPr>
            <w:tcW w:w="845" w:type="pct"/>
            <w:tcBorders>
              <w:top w:val="single" w:sz="4" w:space="0" w:color="auto"/>
              <w:left w:val="nil"/>
              <w:bottom w:val="single" w:sz="12" w:space="0" w:color="auto"/>
              <w:right w:val="nil"/>
            </w:tcBorders>
            <w:shd w:val="clear" w:color="auto" w:fill="auto"/>
            <w:vAlign w:val="bottom"/>
          </w:tcPr>
          <w:p w14:paraId="58A9F612" w14:textId="4A01279E" w:rsidR="00AB6FFC" w:rsidRPr="00881602" w:rsidRDefault="00AB6FFC" w:rsidP="00AB6FFC">
            <w:pPr>
              <w:tabs>
                <w:tab w:val="right" w:pos="1202"/>
              </w:tabs>
              <w:suppressAutoHyphens/>
              <w:autoSpaceDN w:val="0"/>
              <w:spacing w:line="340" w:lineRule="exact"/>
              <w:jc w:val="right"/>
              <w:outlineLvl w:val="0"/>
              <w:rPr>
                <w:rFonts w:ascii="Arial" w:eastAsia="Times New Roman" w:hAnsi="Arial" w:cs="Arial"/>
                <w:b/>
                <w:bCs/>
                <w:color w:val="000000" w:themeColor="text1"/>
                <w:spacing w:val="-2"/>
                <w:sz w:val="20"/>
                <w:szCs w:val="20"/>
              </w:rPr>
            </w:pPr>
            <w:r w:rsidRPr="009013CC">
              <w:rPr>
                <w:rFonts w:ascii="Arial" w:hAnsi="Arial" w:cs="Arial"/>
                <w:b/>
                <w:bCs/>
                <w:color w:val="000000" w:themeColor="text1"/>
                <w:spacing w:val="-2"/>
                <w:sz w:val="20"/>
              </w:rPr>
              <w:t>2.351.196</w:t>
            </w:r>
          </w:p>
        </w:tc>
      </w:tr>
      <w:bookmarkEnd w:id="386"/>
    </w:tbl>
    <w:p w14:paraId="605FDF7F" w14:textId="77777777" w:rsidR="00DC1558" w:rsidRPr="003D1614" w:rsidRDefault="00DC1558" w:rsidP="00DC1558">
      <w:pPr>
        <w:keepNext/>
        <w:suppressAutoHyphens/>
        <w:autoSpaceDN w:val="0"/>
        <w:jc w:val="both"/>
        <w:outlineLvl w:val="0"/>
        <w:rPr>
          <w:rFonts w:ascii="Arial" w:eastAsia="Times New Roman" w:hAnsi="Arial" w:cs="Arial"/>
          <w:color w:val="000000" w:themeColor="text1"/>
          <w:sz w:val="20"/>
          <w:szCs w:val="20"/>
        </w:rPr>
      </w:pPr>
    </w:p>
    <w:p w14:paraId="590DEA38" w14:textId="77777777" w:rsidR="00DC1558" w:rsidRPr="003D1614" w:rsidRDefault="00DC1558" w:rsidP="00DC1558">
      <w:pPr>
        <w:keepNext/>
        <w:suppressAutoHyphens/>
        <w:autoSpaceDN w:val="0"/>
        <w:jc w:val="both"/>
        <w:outlineLvl w:val="0"/>
        <w:rPr>
          <w:rFonts w:ascii="Arial" w:eastAsia="Times New Roman" w:hAnsi="Arial" w:cs="Arial"/>
          <w:color w:val="000000" w:themeColor="text1"/>
          <w:sz w:val="20"/>
          <w:szCs w:val="20"/>
        </w:rPr>
      </w:pPr>
    </w:p>
    <w:p w14:paraId="1D439065" w14:textId="74BEA9C1" w:rsidR="00B74BDE" w:rsidRDefault="00B74BDE" w:rsidP="00DC1558">
      <w:pPr>
        <w:keepNext/>
        <w:suppressAutoHyphens/>
        <w:autoSpaceDN w:val="0"/>
        <w:jc w:val="both"/>
        <w:outlineLvl w:val="0"/>
        <w:rPr>
          <w:rFonts w:ascii="Arial" w:eastAsia="Times New Roman" w:hAnsi="Arial" w:cs="Arial"/>
          <w:color w:val="000000" w:themeColor="text1"/>
          <w:sz w:val="20"/>
          <w:szCs w:val="20"/>
        </w:rPr>
      </w:pPr>
      <w:r w:rsidRPr="00B74BDE">
        <w:rPr>
          <w:rFonts w:ascii="Arial" w:eastAsia="Times New Roman" w:hAnsi="Arial" w:cs="Arial"/>
          <w:color w:val="000000" w:themeColor="text1"/>
          <w:sz w:val="20"/>
          <w:szCs w:val="20"/>
        </w:rPr>
        <w:t xml:space="preserve">Prosječne kamatne stope na kredite ostalim korisnicima iskazane su u visini od </w:t>
      </w:r>
      <w:r w:rsidR="00EE6D51">
        <w:rPr>
          <w:rFonts w:ascii="Arial" w:eastAsia="Times New Roman" w:hAnsi="Arial" w:cs="Arial"/>
          <w:color w:val="000000" w:themeColor="text1"/>
          <w:sz w:val="20"/>
          <w:szCs w:val="20"/>
        </w:rPr>
        <w:t>2,12</w:t>
      </w:r>
      <w:r w:rsidRPr="00B74BDE">
        <w:rPr>
          <w:rFonts w:ascii="Arial" w:eastAsia="Times New Roman" w:hAnsi="Arial" w:cs="Arial"/>
          <w:color w:val="000000" w:themeColor="text1"/>
          <w:sz w:val="20"/>
          <w:szCs w:val="20"/>
        </w:rPr>
        <w:t>% (1.1. do 30.9.202</w:t>
      </w:r>
      <w:r w:rsidR="002400FC">
        <w:rPr>
          <w:rFonts w:ascii="Arial" w:eastAsia="Times New Roman" w:hAnsi="Arial" w:cs="Arial"/>
          <w:color w:val="000000" w:themeColor="text1"/>
          <w:sz w:val="20"/>
          <w:szCs w:val="20"/>
        </w:rPr>
        <w:t>3</w:t>
      </w:r>
      <w:r w:rsidRPr="00B74BDE">
        <w:rPr>
          <w:rFonts w:ascii="Arial" w:eastAsia="Times New Roman" w:hAnsi="Arial" w:cs="Arial"/>
          <w:color w:val="000000" w:themeColor="text1"/>
          <w:sz w:val="20"/>
          <w:szCs w:val="20"/>
        </w:rPr>
        <w:t>.:</w:t>
      </w:r>
      <w:r w:rsidR="00484453">
        <w:rPr>
          <w:rFonts w:ascii="Arial" w:eastAsia="Times New Roman" w:hAnsi="Arial" w:cs="Arial"/>
          <w:color w:val="000000" w:themeColor="text1"/>
          <w:sz w:val="20"/>
          <w:szCs w:val="20"/>
        </w:rPr>
        <w:t xml:space="preserve"> </w:t>
      </w:r>
      <w:r w:rsidRPr="00B74BDE">
        <w:rPr>
          <w:rFonts w:ascii="Arial" w:eastAsia="Times New Roman" w:hAnsi="Arial" w:cs="Arial"/>
          <w:color w:val="000000" w:themeColor="text1"/>
          <w:sz w:val="20"/>
          <w:szCs w:val="20"/>
        </w:rPr>
        <w:t>1,</w:t>
      </w:r>
      <w:r w:rsidR="002400FC">
        <w:rPr>
          <w:rFonts w:ascii="Arial" w:eastAsia="Times New Roman" w:hAnsi="Arial" w:cs="Arial"/>
          <w:color w:val="000000" w:themeColor="text1"/>
          <w:sz w:val="20"/>
          <w:szCs w:val="20"/>
        </w:rPr>
        <w:t>84</w:t>
      </w:r>
      <w:r w:rsidRPr="00B74BDE">
        <w:rPr>
          <w:rFonts w:ascii="Arial" w:eastAsia="Times New Roman" w:hAnsi="Arial" w:cs="Arial"/>
          <w:color w:val="000000" w:themeColor="text1"/>
          <w:sz w:val="20"/>
          <w:szCs w:val="20"/>
        </w:rPr>
        <w:t xml:space="preserve">%), a bez rezerve likvidnosti su iskazane u visini od </w:t>
      </w:r>
      <w:r w:rsidR="009D6E24" w:rsidRPr="009D6E24">
        <w:rPr>
          <w:rFonts w:ascii="Arial" w:eastAsia="Times New Roman" w:hAnsi="Arial" w:cs="Arial"/>
          <w:color w:val="000000" w:themeColor="text1"/>
          <w:sz w:val="20"/>
          <w:szCs w:val="20"/>
        </w:rPr>
        <w:t>2</w:t>
      </w:r>
      <w:r w:rsidRPr="009D6E24">
        <w:rPr>
          <w:rFonts w:ascii="Arial" w:eastAsia="Times New Roman" w:hAnsi="Arial" w:cs="Arial"/>
          <w:color w:val="000000" w:themeColor="text1"/>
          <w:sz w:val="20"/>
          <w:szCs w:val="20"/>
        </w:rPr>
        <w:t>,</w:t>
      </w:r>
      <w:r w:rsidR="009D6E24" w:rsidRPr="009D6E24">
        <w:rPr>
          <w:rFonts w:ascii="Arial" w:eastAsia="Times New Roman" w:hAnsi="Arial" w:cs="Arial"/>
          <w:color w:val="000000" w:themeColor="text1"/>
          <w:sz w:val="20"/>
          <w:szCs w:val="20"/>
        </w:rPr>
        <w:t>11</w:t>
      </w:r>
      <w:r w:rsidRPr="009D6E24">
        <w:rPr>
          <w:rFonts w:ascii="Arial" w:eastAsia="Times New Roman" w:hAnsi="Arial" w:cs="Arial"/>
          <w:color w:val="000000" w:themeColor="text1"/>
          <w:sz w:val="20"/>
          <w:szCs w:val="20"/>
        </w:rPr>
        <w:t>% (</w:t>
      </w:r>
      <w:r w:rsidRPr="00B74BDE">
        <w:rPr>
          <w:rFonts w:ascii="Arial" w:eastAsia="Times New Roman" w:hAnsi="Arial" w:cs="Arial"/>
          <w:color w:val="000000" w:themeColor="text1"/>
          <w:sz w:val="20"/>
          <w:szCs w:val="20"/>
        </w:rPr>
        <w:t>1.1. do 30.9.202</w:t>
      </w:r>
      <w:r w:rsidR="002400FC">
        <w:rPr>
          <w:rFonts w:ascii="Arial" w:eastAsia="Times New Roman" w:hAnsi="Arial" w:cs="Arial"/>
          <w:color w:val="000000" w:themeColor="text1"/>
          <w:sz w:val="20"/>
          <w:szCs w:val="20"/>
        </w:rPr>
        <w:t>3</w:t>
      </w:r>
      <w:r w:rsidRPr="00B74BDE">
        <w:rPr>
          <w:rFonts w:ascii="Arial" w:eastAsia="Times New Roman" w:hAnsi="Arial" w:cs="Arial"/>
          <w:color w:val="000000" w:themeColor="text1"/>
          <w:sz w:val="20"/>
          <w:szCs w:val="20"/>
        </w:rPr>
        <w:t>.:</w:t>
      </w:r>
      <w:r w:rsidR="00484453">
        <w:rPr>
          <w:rFonts w:ascii="Arial" w:eastAsia="Times New Roman" w:hAnsi="Arial" w:cs="Arial"/>
          <w:color w:val="000000" w:themeColor="text1"/>
          <w:sz w:val="20"/>
          <w:szCs w:val="20"/>
        </w:rPr>
        <w:t xml:space="preserve"> </w:t>
      </w:r>
      <w:r w:rsidRPr="00B74BDE">
        <w:rPr>
          <w:rFonts w:ascii="Arial" w:eastAsia="Times New Roman" w:hAnsi="Arial" w:cs="Arial"/>
          <w:color w:val="000000" w:themeColor="text1"/>
          <w:sz w:val="20"/>
          <w:szCs w:val="20"/>
        </w:rPr>
        <w:t>1,</w:t>
      </w:r>
      <w:r w:rsidR="002400FC">
        <w:rPr>
          <w:rFonts w:ascii="Arial" w:eastAsia="Times New Roman" w:hAnsi="Arial" w:cs="Arial"/>
          <w:color w:val="000000" w:themeColor="text1"/>
          <w:sz w:val="20"/>
          <w:szCs w:val="20"/>
        </w:rPr>
        <w:t>83</w:t>
      </w:r>
      <w:r w:rsidRPr="00B74BDE">
        <w:rPr>
          <w:rFonts w:ascii="Arial" w:eastAsia="Times New Roman" w:hAnsi="Arial" w:cs="Arial"/>
          <w:color w:val="000000" w:themeColor="text1"/>
          <w:sz w:val="20"/>
          <w:szCs w:val="20"/>
        </w:rPr>
        <w:t>%)</w:t>
      </w:r>
      <w:r>
        <w:rPr>
          <w:rFonts w:ascii="Arial" w:eastAsia="Times New Roman" w:hAnsi="Arial" w:cs="Arial"/>
          <w:color w:val="000000" w:themeColor="text1"/>
          <w:sz w:val="20"/>
          <w:szCs w:val="20"/>
        </w:rPr>
        <w:t>.</w:t>
      </w:r>
    </w:p>
    <w:p w14:paraId="17A953A2" w14:textId="7469E358" w:rsidR="00DC1558" w:rsidRPr="003D1614" w:rsidRDefault="00DC1558" w:rsidP="00DC1558">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Prosječne kamatne stope odražavaju omjer kamatnih prihoda na navedene plasmane i prosječne imovine.</w:t>
      </w:r>
    </w:p>
    <w:p w14:paraId="18EA09D7" w14:textId="0542EDD0" w:rsidR="00DC1558" w:rsidRPr="003D1614" w:rsidRDefault="00DC1558" w:rsidP="00DC1558">
      <w:pPr>
        <w:keepNext/>
        <w:suppressAutoHyphens/>
        <w:autoSpaceDN w:val="0"/>
        <w:jc w:val="both"/>
        <w:outlineLvl w:val="0"/>
        <w:rPr>
          <w:rFonts w:ascii="Arial" w:eastAsia="Times New Roman" w:hAnsi="Arial" w:cs="Arial"/>
          <w:color w:val="000000" w:themeColor="text1"/>
          <w:sz w:val="20"/>
          <w:szCs w:val="20"/>
        </w:rPr>
      </w:pPr>
    </w:p>
    <w:p w14:paraId="64C87B41" w14:textId="0A87C3FB" w:rsidR="009A3EDF" w:rsidRPr="00DB5481" w:rsidRDefault="009A3EDF" w:rsidP="009A3EDF">
      <w:pPr>
        <w:jc w:val="both"/>
        <w:rPr>
          <w:rFonts w:ascii="Arial" w:eastAsia="Times New Roman" w:hAnsi="Arial" w:cs="Arial"/>
          <w:color w:val="000000"/>
          <w:sz w:val="20"/>
          <w:szCs w:val="20"/>
          <w:lang w:eastAsia="hr-HR"/>
        </w:rPr>
      </w:pPr>
      <w:r w:rsidRPr="00732D6B">
        <w:rPr>
          <w:rFonts w:ascii="Arial" w:eastAsia="Times New Roman" w:hAnsi="Arial" w:cs="Arial"/>
          <w:color w:val="000000"/>
          <w:sz w:val="20"/>
          <w:szCs w:val="20"/>
          <w:lang w:eastAsia="hr-HR"/>
        </w:rPr>
        <w:t xml:space="preserve">Stavka „Ostalo“ sadrži obrnute repo plasmane u ukupnom iznosu </w:t>
      </w:r>
      <w:r w:rsidR="002900C5" w:rsidRPr="00732D6B">
        <w:rPr>
          <w:rFonts w:ascii="Arial" w:eastAsia="Times New Roman" w:hAnsi="Arial" w:cs="Arial"/>
          <w:color w:val="000000"/>
          <w:sz w:val="20"/>
          <w:szCs w:val="20"/>
          <w:lang w:eastAsia="hr-HR"/>
        </w:rPr>
        <w:t>7</w:t>
      </w:r>
      <w:r w:rsidRPr="00732D6B">
        <w:rPr>
          <w:rFonts w:ascii="Arial" w:eastAsia="Times New Roman" w:hAnsi="Arial" w:cs="Arial"/>
          <w:color w:val="000000"/>
          <w:sz w:val="20"/>
          <w:szCs w:val="20"/>
          <w:lang w:eastAsia="hr-HR"/>
        </w:rPr>
        <w:t xml:space="preserve">.260 tisuća eura (31. prosinca 2023. godine: 0  tisuća eura). Ovi su plasmani osigurani vrijednosnim papirima u iznosu od </w:t>
      </w:r>
      <w:r w:rsidR="00732D6B" w:rsidRPr="00732D6B">
        <w:rPr>
          <w:rFonts w:ascii="Arial" w:eastAsia="Times New Roman" w:hAnsi="Arial" w:cs="Arial"/>
          <w:color w:val="000000"/>
          <w:sz w:val="20"/>
          <w:szCs w:val="20"/>
          <w:lang w:eastAsia="hr-HR"/>
        </w:rPr>
        <w:t>7</w:t>
      </w:r>
      <w:r w:rsidRPr="00732D6B">
        <w:rPr>
          <w:rFonts w:ascii="Arial" w:eastAsia="Times New Roman" w:hAnsi="Arial" w:cs="Arial"/>
          <w:color w:val="000000"/>
          <w:sz w:val="20"/>
          <w:szCs w:val="20"/>
          <w:lang w:eastAsia="hr-HR"/>
        </w:rPr>
        <w:t>.</w:t>
      </w:r>
      <w:r w:rsidR="00732D6B" w:rsidRPr="00732D6B">
        <w:rPr>
          <w:rFonts w:ascii="Arial" w:eastAsia="Times New Roman" w:hAnsi="Arial" w:cs="Arial"/>
          <w:color w:val="000000"/>
          <w:sz w:val="20"/>
          <w:szCs w:val="20"/>
          <w:lang w:eastAsia="hr-HR"/>
        </w:rPr>
        <w:t>767</w:t>
      </w:r>
      <w:r w:rsidRPr="00732D6B">
        <w:rPr>
          <w:rFonts w:ascii="Arial" w:eastAsia="Times New Roman" w:hAnsi="Arial" w:cs="Arial"/>
          <w:color w:val="000000"/>
          <w:sz w:val="20"/>
          <w:szCs w:val="20"/>
          <w:lang w:eastAsia="hr-HR"/>
        </w:rPr>
        <w:t xml:space="preserve"> tisuća eura (31. prosinca 2023. godine: 0 tisuća eura).</w:t>
      </w:r>
    </w:p>
    <w:p w14:paraId="5CDF2F4F" w14:textId="64480168" w:rsidR="009A3EDF" w:rsidRPr="003D1614" w:rsidRDefault="009A3EDF" w:rsidP="00DC1558">
      <w:pPr>
        <w:keepNext/>
        <w:suppressAutoHyphens/>
        <w:autoSpaceDN w:val="0"/>
        <w:jc w:val="both"/>
        <w:outlineLvl w:val="0"/>
        <w:rPr>
          <w:rFonts w:ascii="Arial" w:eastAsia="Times New Roman" w:hAnsi="Arial" w:cs="Arial"/>
          <w:color w:val="000000" w:themeColor="text1"/>
          <w:sz w:val="20"/>
          <w:szCs w:val="20"/>
        </w:rPr>
        <w:sectPr w:rsidR="009A3EDF" w:rsidRPr="003D1614">
          <w:pgSz w:w="11906" w:h="16838"/>
          <w:pgMar w:top="1417" w:right="1417" w:bottom="1417" w:left="1417" w:header="708" w:footer="708" w:gutter="0"/>
          <w:cols w:space="708"/>
          <w:docGrid w:linePitch="360"/>
        </w:sectPr>
      </w:pPr>
    </w:p>
    <w:p w14:paraId="55B77043" w14:textId="77777777" w:rsidR="00DC1558" w:rsidRPr="003D1614" w:rsidRDefault="00DC1558" w:rsidP="00DC1558">
      <w:pPr>
        <w:tabs>
          <w:tab w:val="left" w:pos="567"/>
        </w:tabs>
        <w:suppressAutoHyphens/>
        <w:autoSpaceDN w:val="0"/>
        <w:jc w:val="both"/>
        <w:outlineLvl w:val="0"/>
        <w:rPr>
          <w:rFonts w:ascii="Arial" w:eastAsia="Times New Roman" w:hAnsi="Arial" w:cs="Arial"/>
          <w:b/>
          <w:bCs/>
          <w:color w:val="000000" w:themeColor="text1"/>
          <w:sz w:val="20"/>
          <w:szCs w:val="20"/>
        </w:rPr>
      </w:pPr>
    </w:p>
    <w:p w14:paraId="4C3FDC31" w14:textId="1C325806" w:rsidR="00DC1558" w:rsidRPr="003D1614" w:rsidRDefault="00DC1558" w:rsidP="00DC1558">
      <w:pPr>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1</w:t>
      </w:r>
      <w:r w:rsidR="003D1614">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 </w:t>
      </w:r>
      <w:r w:rsidRPr="003D1614">
        <w:rPr>
          <w:rFonts w:ascii="Arial" w:eastAsia="Times New Roman" w:hAnsi="Arial" w:cs="Arial"/>
          <w:b/>
          <w:bCs/>
          <w:color w:val="000000" w:themeColor="text1"/>
          <w:sz w:val="20"/>
          <w:szCs w:val="20"/>
        </w:rPr>
        <w:tab/>
        <w:t>Financijska imovina po fer vrijednosti kroz dobit ili gubitak</w:t>
      </w:r>
    </w:p>
    <w:p w14:paraId="48EF286E" w14:textId="77777777" w:rsidR="00DC1558" w:rsidRPr="003D1614" w:rsidRDefault="00DC1558" w:rsidP="00DC1558">
      <w:pPr>
        <w:suppressAutoHyphens/>
        <w:autoSpaceDN w:val="0"/>
        <w:jc w:val="both"/>
        <w:outlineLvl w:val="0"/>
        <w:rPr>
          <w:rFonts w:ascii="Arial" w:eastAsia="Times New Roman" w:hAnsi="Arial" w:cs="Arial"/>
          <w:b/>
          <w:bCs/>
          <w:color w:val="000000" w:themeColor="text1"/>
          <w:sz w:val="20"/>
          <w:szCs w:val="20"/>
        </w:rPr>
      </w:pPr>
    </w:p>
    <w:tbl>
      <w:tblPr>
        <w:tblW w:w="9142" w:type="dxa"/>
        <w:tblLook w:val="04A0" w:firstRow="1" w:lastRow="0" w:firstColumn="1" w:lastColumn="0" w:noHBand="0" w:noVBand="1"/>
      </w:tblPr>
      <w:tblGrid>
        <w:gridCol w:w="5545"/>
        <w:gridCol w:w="1798"/>
        <w:gridCol w:w="1799"/>
      </w:tblGrid>
      <w:tr w:rsidR="00DC1558" w:rsidRPr="00931D2F" w14:paraId="0B1A0D01" w14:textId="77777777" w:rsidTr="00737443">
        <w:trPr>
          <w:trHeight w:val="305"/>
        </w:trPr>
        <w:tc>
          <w:tcPr>
            <w:tcW w:w="5545" w:type="dxa"/>
            <w:tcBorders>
              <w:top w:val="nil"/>
              <w:left w:val="nil"/>
              <w:bottom w:val="nil"/>
              <w:right w:val="nil"/>
            </w:tcBorders>
            <w:shd w:val="clear" w:color="auto" w:fill="auto"/>
            <w:vAlign w:val="bottom"/>
            <w:hideMark/>
          </w:tcPr>
          <w:p w14:paraId="19EEDBA1" w14:textId="77777777" w:rsidR="00DC1558" w:rsidRPr="00931D2F" w:rsidRDefault="00DC1558" w:rsidP="00DC1558">
            <w:pPr>
              <w:suppressAutoHyphens/>
              <w:autoSpaceDN w:val="0"/>
              <w:rPr>
                <w:rFonts w:ascii="Arial" w:eastAsia="Calibri" w:hAnsi="Arial" w:cs="Arial"/>
                <w:color w:val="000000" w:themeColor="text1"/>
                <w:sz w:val="20"/>
                <w:szCs w:val="20"/>
              </w:rPr>
            </w:pPr>
            <w:bookmarkStart w:id="405" w:name="RANGE!A3"/>
            <w:bookmarkEnd w:id="405"/>
          </w:p>
        </w:tc>
        <w:tc>
          <w:tcPr>
            <w:tcW w:w="3597" w:type="dxa"/>
            <w:gridSpan w:val="2"/>
            <w:tcBorders>
              <w:top w:val="nil"/>
              <w:left w:val="nil"/>
              <w:bottom w:val="nil"/>
              <w:right w:val="nil"/>
            </w:tcBorders>
            <w:shd w:val="clear" w:color="auto" w:fill="auto"/>
            <w:vAlign w:val="bottom"/>
            <w:hideMark/>
          </w:tcPr>
          <w:p w14:paraId="7B6C76E4" w14:textId="77777777" w:rsidR="00DC1558" w:rsidRPr="00931D2F" w:rsidRDefault="00DC1558" w:rsidP="00DC1558">
            <w:pPr>
              <w:suppressAutoHyphens/>
              <w:autoSpaceDN w:val="0"/>
              <w:jc w:val="right"/>
              <w:rPr>
                <w:rFonts w:ascii="Arial" w:eastAsia="Calibri" w:hAnsi="Arial" w:cs="Arial"/>
                <w:b/>
                <w:bCs/>
                <w:color w:val="000000" w:themeColor="text1"/>
                <w:sz w:val="20"/>
                <w:szCs w:val="20"/>
              </w:rPr>
            </w:pPr>
            <w:r w:rsidRPr="00931D2F">
              <w:rPr>
                <w:rFonts w:ascii="Arial" w:eastAsia="Calibri" w:hAnsi="Arial" w:cs="Arial"/>
                <w:b/>
                <w:bCs/>
                <w:color w:val="000000" w:themeColor="text1"/>
                <w:sz w:val="20"/>
                <w:szCs w:val="20"/>
              </w:rPr>
              <w:t>Grupa i Banka</w:t>
            </w:r>
          </w:p>
        </w:tc>
      </w:tr>
      <w:tr w:rsidR="00DC1558" w:rsidRPr="00931D2F" w14:paraId="6E848866" w14:textId="77777777" w:rsidTr="00931D2F">
        <w:trPr>
          <w:trHeight w:val="305"/>
        </w:trPr>
        <w:tc>
          <w:tcPr>
            <w:tcW w:w="5545" w:type="dxa"/>
            <w:tcBorders>
              <w:top w:val="nil"/>
              <w:left w:val="nil"/>
              <w:bottom w:val="nil"/>
              <w:right w:val="nil"/>
            </w:tcBorders>
            <w:shd w:val="clear" w:color="auto" w:fill="auto"/>
            <w:vAlign w:val="bottom"/>
            <w:hideMark/>
          </w:tcPr>
          <w:p w14:paraId="0171A2BA" w14:textId="77777777" w:rsidR="00DC1558" w:rsidRPr="00931D2F" w:rsidRDefault="00DC1558" w:rsidP="00DC1558">
            <w:pPr>
              <w:suppressAutoHyphens/>
              <w:autoSpaceDN w:val="0"/>
              <w:jc w:val="right"/>
              <w:rPr>
                <w:rFonts w:ascii="Arial" w:eastAsia="Calibri" w:hAnsi="Arial" w:cs="Arial"/>
                <w:b/>
                <w:bCs/>
                <w:color w:val="000000" w:themeColor="text1"/>
                <w:sz w:val="20"/>
                <w:szCs w:val="20"/>
              </w:rPr>
            </w:pPr>
          </w:p>
        </w:tc>
        <w:tc>
          <w:tcPr>
            <w:tcW w:w="1798" w:type="dxa"/>
            <w:tcBorders>
              <w:top w:val="nil"/>
              <w:left w:val="nil"/>
              <w:bottom w:val="nil"/>
              <w:right w:val="nil"/>
            </w:tcBorders>
            <w:shd w:val="clear" w:color="auto" w:fill="auto"/>
            <w:vAlign w:val="bottom"/>
            <w:hideMark/>
          </w:tcPr>
          <w:p w14:paraId="6EF0011E" w14:textId="77777777" w:rsidR="002F4581" w:rsidRDefault="002F4581" w:rsidP="00DC1558">
            <w:pPr>
              <w:suppressAutoHyphens/>
              <w:autoSpaceDN w:val="0"/>
              <w:jc w:val="right"/>
              <w:rPr>
                <w:rFonts w:ascii="Arial" w:eastAsia="Calibri" w:hAnsi="Arial" w:cs="Arial"/>
                <w:b/>
                <w:bCs/>
                <w:color w:val="000000" w:themeColor="text1"/>
                <w:sz w:val="20"/>
                <w:szCs w:val="20"/>
              </w:rPr>
            </w:pPr>
            <w:r w:rsidRPr="002F4581">
              <w:rPr>
                <w:rFonts w:ascii="Arial" w:eastAsia="Calibri" w:hAnsi="Arial" w:cs="Arial"/>
                <w:b/>
                <w:bCs/>
                <w:color w:val="000000" w:themeColor="text1"/>
                <w:sz w:val="20"/>
                <w:szCs w:val="20"/>
              </w:rPr>
              <w:t xml:space="preserve">30. rujna </w:t>
            </w:r>
          </w:p>
          <w:p w14:paraId="7F7C785B" w14:textId="0EA6B733" w:rsidR="00DC1558" w:rsidRPr="00931D2F" w:rsidRDefault="002F4581" w:rsidP="00DC1558">
            <w:pPr>
              <w:suppressAutoHyphens/>
              <w:autoSpaceDN w:val="0"/>
              <w:jc w:val="right"/>
              <w:rPr>
                <w:rFonts w:ascii="Arial" w:eastAsia="Calibri" w:hAnsi="Arial" w:cs="Arial"/>
                <w:b/>
                <w:bCs/>
                <w:color w:val="000000" w:themeColor="text1"/>
                <w:sz w:val="20"/>
                <w:szCs w:val="20"/>
              </w:rPr>
            </w:pPr>
            <w:r w:rsidRPr="002F4581">
              <w:rPr>
                <w:rFonts w:ascii="Arial" w:eastAsia="Calibri" w:hAnsi="Arial" w:cs="Arial"/>
                <w:b/>
                <w:bCs/>
                <w:color w:val="000000" w:themeColor="text1"/>
                <w:sz w:val="20"/>
                <w:szCs w:val="20"/>
              </w:rPr>
              <w:t>202</w:t>
            </w:r>
            <w:r w:rsidR="00C16190">
              <w:rPr>
                <w:rFonts w:ascii="Arial" w:eastAsia="Calibri" w:hAnsi="Arial" w:cs="Arial"/>
                <w:b/>
                <w:bCs/>
                <w:color w:val="000000" w:themeColor="text1"/>
                <w:sz w:val="20"/>
                <w:szCs w:val="20"/>
              </w:rPr>
              <w:t>4</w:t>
            </w:r>
            <w:r w:rsidRPr="002F4581">
              <w:rPr>
                <w:rFonts w:ascii="Arial" w:eastAsia="Calibri" w:hAnsi="Arial" w:cs="Arial"/>
                <w:b/>
                <w:bCs/>
                <w:color w:val="000000" w:themeColor="text1"/>
                <w:sz w:val="20"/>
                <w:szCs w:val="20"/>
              </w:rPr>
              <w:t>.</w:t>
            </w:r>
          </w:p>
        </w:tc>
        <w:tc>
          <w:tcPr>
            <w:tcW w:w="1799" w:type="dxa"/>
            <w:tcBorders>
              <w:top w:val="nil"/>
              <w:left w:val="nil"/>
              <w:bottom w:val="nil"/>
              <w:right w:val="nil"/>
            </w:tcBorders>
            <w:shd w:val="clear" w:color="auto" w:fill="auto"/>
            <w:vAlign w:val="bottom"/>
            <w:hideMark/>
          </w:tcPr>
          <w:p w14:paraId="65224381" w14:textId="13AD141E" w:rsidR="00DC1558" w:rsidRPr="00931D2F" w:rsidRDefault="00DC1558" w:rsidP="00DC1558">
            <w:pPr>
              <w:suppressAutoHyphens/>
              <w:autoSpaceDN w:val="0"/>
              <w:jc w:val="right"/>
              <w:rPr>
                <w:rFonts w:ascii="Arial" w:eastAsia="Calibri" w:hAnsi="Arial" w:cs="Arial"/>
                <w:b/>
                <w:bCs/>
                <w:color w:val="000000" w:themeColor="text1"/>
                <w:sz w:val="20"/>
                <w:szCs w:val="20"/>
              </w:rPr>
            </w:pPr>
            <w:r w:rsidRPr="00931D2F">
              <w:rPr>
                <w:rFonts w:ascii="Arial" w:eastAsia="Calibri" w:hAnsi="Arial" w:cs="Arial"/>
                <w:b/>
                <w:bCs/>
                <w:color w:val="000000" w:themeColor="text1"/>
                <w:sz w:val="20"/>
                <w:szCs w:val="20"/>
              </w:rPr>
              <w:t>31. prosinca 202</w:t>
            </w:r>
            <w:r w:rsidR="00C16190">
              <w:rPr>
                <w:rFonts w:ascii="Arial" w:eastAsia="Calibri" w:hAnsi="Arial" w:cs="Arial"/>
                <w:b/>
                <w:bCs/>
                <w:color w:val="000000" w:themeColor="text1"/>
                <w:sz w:val="20"/>
                <w:szCs w:val="20"/>
              </w:rPr>
              <w:t>3</w:t>
            </w:r>
            <w:r w:rsidRPr="00931D2F">
              <w:rPr>
                <w:rFonts w:ascii="Arial" w:eastAsia="Calibri" w:hAnsi="Arial" w:cs="Arial"/>
                <w:b/>
                <w:bCs/>
                <w:color w:val="000000" w:themeColor="text1"/>
                <w:sz w:val="20"/>
                <w:szCs w:val="20"/>
              </w:rPr>
              <w:t>.</w:t>
            </w:r>
          </w:p>
        </w:tc>
      </w:tr>
      <w:tr w:rsidR="00DC1558" w:rsidRPr="00931D2F" w14:paraId="67FEDF96" w14:textId="77777777" w:rsidTr="00931D2F">
        <w:trPr>
          <w:trHeight w:val="305"/>
        </w:trPr>
        <w:tc>
          <w:tcPr>
            <w:tcW w:w="5545" w:type="dxa"/>
            <w:tcBorders>
              <w:top w:val="nil"/>
              <w:left w:val="nil"/>
              <w:bottom w:val="nil"/>
              <w:right w:val="nil"/>
            </w:tcBorders>
            <w:shd w:val="clear" w:color="auto" w:fill="auto"/>
            <w:vAlign w:val="bottom"/>
            <w:hideMark/>
          </w:tcPr>
          <w:p w14:paraId="6D719768" w14:textId="77777777" w:rsidR="00DC1558" w:rsidRPr="00931D2F" w:rsidRDefault="00DC1558" w:rsidP="00DC1558">
            <w:pPr>
              <w:suppressAutoHyphens/>
              <w:autoSpaceDN w:val="0"/>
              <w:jc w:val="right"/>
              <w:rPr>
                <w:rFonts w:ascii="Arial" w:eastAsia="Calibri" w:hAnsi="Arial" w:cs="Arial"/>
                <w:b/>
                <w:bCs/>
                <w:color w:val="000000" w:themeColor="text1"/>
                <w:sz w:val="20"/>
                <w:szCs w:val="20"/>
              </w:rPr>
            </w:pPr>
          </w:p>
        </w:tc>
        <w:tc>
          <w:tcPr>
            <w:tcW w:w="1798" w:type="dxa"/>
            <w:tcBorders>
              <w:top w:val="nil"/>
              <w:left w:val="nil"/>
              <w:bottom w:val="nil"/>
              <w:right w:val="nil"/>
            </w:tcBorders>
            <w:shd w:val="clear" w:color="auto" w:fill="auto"/>
            <w:vAlign w:val="bottom"/>
            <w:hideMark/>
          </w:tcPr>
          <w:p w14:paraId="39CA4F6B" w14:textId="421D6957" w:rsidR="00DC1558" w:rsidRPr="00931D2F" w:rsidRDefault="00DC1558" w:rsidP="00DC1558">
            <w:pPr>
              <w:suppressAutoHyphens/>
              <w:autoSpaceDN w:val="0"/>
              <w:jc w:val="right"/>
              <w:rPr>
                <w:rFonts w:ascii="Arial" w:eastAsia="Calibri" w:hAnsi="Arial" w:cs="Arial"/>
                <w:b/>
                <w:bCs/>
                <w:color w:val="000000" w:themeColor="text1"/>
                <w:sz w:val="20"/>
                <w:szCs w:val="20"/>
              </w:rPr>
            </w:pPr>
            <w:r w:rsidRPr="00931D2F">
              <w:rPr>
                <w:rFonts w:ascii="Arial" w:eastAsia="Calibri" w:hAnsi="Arial" w:cs="Arial"/>
                <w:b/>
                <w:bCs/>
                <w:color w:val="000000" w:themeColor="text1"/>
                <w:sz w:val="20"/>
                <w:szCs w:val="20"/>
              </w:rPr>
              <w:t xml:space="preserve">000 </w:t>
            </w:r>
            <w:r w:rsidR="001B247D" w:rsidRPr="00931D2F">
              <w:rPr>
                <w:rFonts w:ascii="Arial" w:eastAsia="Calibri" w:hAnsi="Arial" w:cs="Arial"/>
                <w:b/>
                <w:bCs/>
                <w:color w:val="000000" w:themeColor="text1"/>
                <w:sz w:val="20"/>
                <w:szCs w:val="20"/>
              </w:rPr>
              <w:t>eura</w:t>
            </w:r>
          </w:p>
        </w:tc>
        <w:tc>
          <w:tcPr>
            <w:tcW w:w="1799" w:type="dxa"/>
            <w:tcBorders>
              <w:top w:val="nil"/>
              <w:left w:val="nil"/>
              <w:bottom w:val="nil"/>
              <w:right w:val="nil"/>
            </w:tcBorders>
            <w:shd w:val="clear" w:color="auto" w:fill="auto"/>
            <w:vAlign w:val="bottom"/>
            <w:hideMark/>
          </w:tcPr>
          <w:p w14:paraId="21557F3C" w14:textId="4343BE88" w:rsidR="00DC1558" w:rsidRPr="00931D2F" w:rsidRDefault="00DC1558" w:rsidP="00DC1558">
            <w:pPr>
              <w:suppressAutoHyphens/>
              <w:autoSpaceDN w:val="0"/>
              <w:jc w:val="right"/>
              <w:rPr>
                <w:rFonts w:ascii="Arial" w:eastAsia="Calibri" w:hAnsi="Arial" w:cs="Arial"/>
                <w:b/>
                <w:bCs/>
                <w:color w:val="000000" w:themeColor="text1"/>
                <w:sz w:val="20"/>
                <w:szCs w:val="20"/>
              </w:rPr>
            </w:pPr>
            <w:r w:rsidRPr="00931D2F">
              <w:rPr>
                <w:rFonts w:ascii="Arial" w:eastAsia="Calibri" w:hAnsi="Arial" w:cs="Arial"/>
                <w:b/>
                <w:bCs/>
                <w:color w:val="000000" w:themeColor="text1"/>
                <w:sz w:val="20"/>
                <w:szCs w:val="20"/>
              </w:rPr>
              <w:t xml:space="preserve">000 </w:t>
            </w:r>
            <w:r w:rsidR="001B247D" w:rsidRPr="00931D2F">
              <w:rPr>
                <w:rFonts w:ascii="Arial" w:eastAsia="Calibri" w:hAnsi="Arial" w:cs="Arial"/>
                <w:b/>
                <w:bCs/>
                <w:color w:val="000000" w:themeColor="text1"/>
                <w:sz w:val="20"/>
                <w:szCs w:val="20"/>
              </w:rPr>
              <w:t>eura</w:t>
            </w:r>
          </w:p>
        </w:tc>
      </w:tr>
      <w:tr w:rsidR="00DC1558" w:rsidRPr="00931D2F" w14:paraId="3366CE91" w14:textId="77777777" w:rsidTr="00931D2F">
        <w:trPr>
          <w:trHeight w:val="305"/>
        </w:trPr>
        <w:tc>
          <w:tcPr>
            <w:tcW w:w="5545" w:type="dxa"/>
            <w:tcBorders>
              <w:top w:val="nil"/>
              <w:left w:val="nil"/>
              <w:bottom w:val="nil"/>
              <w:right w:val="nil"/>
            </w:tcBorders>
            <w:shd w:val="clear" w:color="auto" w:fill="auto"/>
            <w:vAlign w:val="bottom"/>
            <w:hideMark/>
          </w:tcPr>
          <w:p w14:paraId="37D45F93" w14:textId="77777777" w:rsidR="00DC1558" w:rsidRPr="00931D2F" w:rsidRDefault="00DC1558" w:rsidP="00DC1558">
            <w:pPr>
              <w:suppressAutoHyphens/>
              <w:autoSpaceDN w:val="0"/>
              <w:rPr>
                <w:rFonts w:ascii="Arial" w:eastAsia="Calibri" w:hAnsi="Arial" w:cs="Arial"/>
                <w:b/>
                <w:bCs/>
                <w:i/>
                <w:iCs/>
                <w:color w:val="000000" w:themeColor="text1"/>
                <w:sz w:val="20"/>
                <w:szCs w:val="20"/>
              </w:rPr>
            </w:pPr>
            <w:r w:rsidRPr="00931D2F">
              <w:rPr>
                <w:rFonts w:ascii="Arial" w:eastAsia="Calibri" w:hAnsi="Arial" w:cs="Arial"/>
                <w:b/>
                <w:bCs/>
                <w:i/>
                <w:iCs/>
                <w:color w:val="000000" w:themeColor="text1"/>
                <w:sz w:val="20"/>
                <w:szCs w:val="20"/>
              </w:rPr>
              <w:t>Krediti po FVRDG:</w:t>
            </w:r>
          </w:p>
        </w:tc>
        <w:tc>
          <w:tcPr>
            <w:tcW w:w="1798" w:type="dxa"/>
            <w:tcBorders>
              <w:top w:val="nil"/>
              <w:left w:val="nil"/>
              <w:bottom w:val="nil"/>
              <w:right w:val="nil"/>
            </w:tcBorders>
            <w:shd w:val="clear" w:color="auto" w:fill="auto"/>
            <w:vAlign w:val="bottom"/>
            <w:hideMark/>
          </w:tcPr>
          <w:p w14:paraId="69635B53" w14:textId="77777777" w:rsidR="00DC1558" w:rsidRPr="00931D2F" w:rsidRDefault="00DC1558" w:rsidP="00DC1558">
            <w:pPr>
              <w:suppressAutoHyphens/>
              <w:autoSpaceDN w:val="0"/>
              <w:jc w:val="right"/>
              <w:rPr>
                <w:rFonts w:ascii="Arial" w:eastAsia="Calibri" w:hAnsi="Arial" w:cs="Arial"/>
                <w:color w:val="000000" w:themeColor="text1"/>
                <w:sz w:val="20"/>
                <w:szCs w:val="20"/>
              </w:rPr>
            </w:pPr>
          </w:p>
        </w:tc>
        <w:tc>
          <w:tcPr>
            <w:tcW w:w="1799" w:type="dxa"/>
            <w:tcBorders>
              <w:top w:val="nil"/>
              <w:left w:val="nil"/>
              <w:bottom w:val="nil"/>
              <w:right w:val="nil"/>
            </w:tcBorders>
            <w:shd w:val="clear" w:color="auto" w:fill="auto"/>
            <w:vAlign w:val="bottom"/>
            <w:hideMark/>
          </w:tcPr>
          <w:p w14:paraId="23B35F96" w14:textId="77777777" w:rsidR="00DC1558" w:rsidRPr="00931D2F" w:rsidRDefault="00DC1558" w:rsidP="00DC1558">
            <w:pPr>
              <w:suppressAutoHyphens/>
              <w:autoSpaceDN w:val="0"/>
              <w:jc w:val="right"/>
              <w:rPr>
                <w:rFonts w:ascii="Arial" w:eastAsia="Calibri" w:hAnsi="Arial" w:cs="Arial"/>
                <w:color w:val="000000" w:themeColor="text1"/>
                <w:sz w:val="20"/>
                <w:szCs w:val="20"/>
              </w:rPr>
            </w:pPr>
          </w:p>
        </w:tc>
      </w:tr>
      <w:tr w:rsidR="00330357" w:rsidRPr="00931D2F" w14:paraId="7D8ADFEB" w14:textId="77777777" w:rsidTr="00FC2C3E">
        <w:trPr>
          <w:trHeight w:val="305"/>
        </w:trPr>
        <w:tc>
          <w:tcPr>
            <w:tcW w:w="5545" w:type="dxa"/>
            <w:tcBorders>
              <w:top w:val="nil"/>
              <w:left w:val="nil"/>
              <w:bottom w:val="nil"/>
              <w:right w:val="nil"/>
            </w:tcBorders>
            <w:shd w:val="clear" w:color="auto" w:fill="auto"/>
            <w:vAlign w:val="bottom"/>
            <w:hideMark/>
          </w:tcPr>
          <w:p w14:paraId="0A0F58AF" w14:textId="77777777" w:rsidR="00330357" w:rsidRPr="00931D2F" w:rsidRDefault="00330357" w:rsidP="00330357">
            <w:pPr>
              <w:suppressAutoHyphens/>
              <w:autoSpaceDN w:val="0"/>
              <w:rPr>
                <w:rFonts w:ascii="Arial" w:eastAsia="Calibri" w:hAnsi="Arial" w:cs="Arial"/>
                <w:color w:val="000000" w:themeColor="text1"/>
                <w:sz w:val="20"/>
                <w:szCs w:val="20"/>
              </w:rPr>
            </w:pPr>
            <w:r w:rsidRPr="00931D2F">
              <w:rPr>
                <w:rFonts w:ascii="Arial" w:eastAsia="Calibri" w:hAnsi="Arial" w:cs="Arial"/>
                <w:color w:val="000000" w:themeColor="text1"/>
                <w:sz w:val="20"/>
                <w:szCs w:val="20"/>
              </w:rPr>
              <w:t>Mezzanine krediti</w:t>
            </w:r>
          </w:p>
        </w:tc>
        <w:tc>
          <w:tcPr>
            <w:tcW w:w="1798" w:type="dxa"/>
            <w:tcBorders>
              <w:top w:val="nil"/>
              <w:left w:val="nil"/>
              <w:bottom w:val="single" w:sz="4" w:space="0" w:color="auto"/>
              <w:right w:val="nil"/>
            </w:tcBorders>
            <w:shd w:val="clear" w:color="auto" w:fill="auto"/>
            <w:vAlign w:val="bottom"/>
          </w:tcPr>
          <w:p w14:paraId="09C9FA68" w14:textId="7506BCD4" w:rsidR="00330357" w:rsidRPr="00931D2F" w:rsidRDefault="009E1050" w:rsidP="00330357">
            <w:pPr>
              <w:suppressAutoHyphens/>
              <w:autoSpaceDN w:val="0"/>
              <w:jc w:val="right"/>
              <w:rPr>
                <w:rFonts w:ascii="Arial" w:eastAsia="Calibri" w:hAnsi="Arial" w:cs="Arial"/>
                <w:color w:val="000000" w:themeColor="text1"/>
                <w:sz w:val="20"/>
                <w:szCs w:val="20"/>
              </w:rPr>
            </w:pPr>
            <w:r w:rsidRPr="009E1050">
              <w:rPr>
                <w:rFonts w:ascii="Arial" w:eastAsia="Calibri" w:hAnsi="Arial" w:cs="Arial"/>
                <w:color w:val="000000" w:themeColor="text1"/>
                <w:sz w:val="20"/>
                <w:szCs w:val="20"/>
              </w:rPr>
              <w:t>32.926</w:t>
            </w:r>
          </w:p>
        </w:tc>
        <w:tc>
          <w:tcPr>
            <w:tcW w:w="1799" w:type="dxa"/>
            <w:tcBorders>
              <w:top w:val="nil"/>
              <w:left w:val="nil"/>
              <w:bottom w:val="single" w:sz="4" w:space="0" w:color="auto"/>
              <w:right w:val="nil"/>
            </w:tcBorders>
            <w:shd w:val="clear" w:color="auto" w:fill="auto"/>
            <w:vAlign w:val="bottom"/>
          </w:tcPr>
          <w:p w14:paraId="2498308A" w14:textId="2D4D6611" w:rsidR="00330357" w:rsidRPr="00931D2F" w:rsidRDefault="00330357" w:rsidP="00330357">
            <w:pPr>
              <w:suppressAutoHyphens/>
              <w:autoSpaceDN w:val="0"/>
              <w:jc w:val="right"/>
              <w:rPr>
                <w:rFonts w:ascii="Arial" w:eastAsia="Calibri" w:hAnsi="Arial" w:cs="Arial"/>
                <w:color w:val="000000" w:themeColor="text1"/>
                <w:sz w:val="20"/>
                <w:szCs w:val="20"/>
              </w:rPr>
            </w:pPr>
            <w:r w:rsidRPr="0062666D">
              <w:rPr>
                <w:rFonts w:ascii="Arial" w:eastAsia="Calibri" w:hAnsi="Arial" w:cs="Arial"/>
                <w:color w:val="000000" w:themeColor="text1"/>
                <w:sz w:val="20"/>
                <w:szCs w:val="20"/>
              </w:rPr>
              <w:t>33.698</w:t>
            </w:r>
          </w:p>
        </w:tc>
      </w:tr>
      <w:tr w:rsidR="00330357" w:rsidRPr="00931D2F" w14:paraId="7AC64C6C" w14:textId="77777777" w:rsidTr="00FC2C3E">
        <w:trPr>
          <w:trHeight w:val="305"/>
        </w:trPr>
        <w:tc>
          <w:tcPr>
            <w:tcW w:w="5545" w:type="dxa"/>
            <w:tcBorders>
              <w:top w:val="nil"/>
              <w:left w:val="nil"/>
              <w:bottom w:val="nil"/>
              <w:right w:val="nil"/>
            </w:tcBorders>
            <w:shd w:val="clear" w:color="auto" w:fill="auto"/>
            <w:vAlign w:val="bottom"/>
            <w:hideMark/>
          </w:tcPr>
          <w:p w14:paraId="53BD26A4" w14:textId="77777777" w:rsidR="00330357" w:rsidRPr="00931D2F" w:rsidRDefault="00330357" w:rsidP="00330357">
            <w:pPr>
              <w:suppressAutoHyphens/>
              <w:autoSpaceDN w:val="0"/>
              <w:jc w:val="right"/>
              <w:rPr>
                <w:rFonts w:ascii="Arial" w:eastAsia="Calibri" w:hAnsi="Arial" w:cs="Arial"/>
                <w:color w:val="000000" w:themeColor="text1"/>
                <w:sz w:val="20"/>
                <w:szCs w:val="20"/>
              </w:rPr>
            </w:pPr>
          </w:p>
        </w:tc>
        <w:tc>
          <w:tcPr>
            <w:tcW w:w="1798" w:type="dxa"/>
            <w:tcBorders>
              <w:top w:val="single" w:sz="4" w:space="0" w:color="auto"/>
              <w:left w:val="nil"/>
              <w:bottom w:val="single" w:sz="8" w:space="0" w:color="auto"/>
              <w:right w:val="nil"/>
            </w:tcBorders>
            <w:shd w:val="clear" w:color="auto" w:fill="auto"/>
            <w:vAlign w:val="bottom"/>
          </w:tcPr>
          <w:p w14:paraId="1A804D8D" w14:textId="25259806" w:rsidR="00330357" w:rsidRPr="00931D2F" w:rsidRDefault="009E1050" w:rsidP="00330357">
            <w:pPr>
              <w:suppressAutoHyphens/>
              <w:autoSpaceDN w:val="0"/>
              <w:jc w:val="right"/>
              <w:rPr>
                <w:rFonts w:ascii="Arial" w:eastAsia="Calibri" w:hAnsi="Arial" w:cs="Arial"/>
                <w:b/>
                <w:bCs/>
                <w:color w:val="000000" w:themeColor="text1"/>
                <w:sz w:val="20"/>
                <w:szCs w:val="20"/>
              </w:rPr>
            </w:pPr>
            <w:r w:rsidRPr="009E1050">
              <w:rPr>
                <w:rFonts w:ascii="Arial" w:eastAsia="Calibri" w:hAnsi="Arial" w:cs="Arial"/>
                <w:b/>
                <w:bCs/>
                <w:color w:val="000000" w:themeColor="text1"/>
                <w:sz w:val="20"/>
                <w:szCs w:val="20"/>
              </w:rPr>
              <w:t>32.926</w:t>
            </w:r>
          </w:p>
        </w:tc>
        <w:tc>
          <w:tcPr>
            <w:tcW w:w="1799" w:type="dxa"/>
            <w:tcBorders>
              <w:top w:val="single" w:sz="4" w:space="0" w:color="auto"/>
              <w:left w:val="nil"/>
              <w:bottom w:val="single" w:sz="8" w:space="0" w:color="auto"/>
              <w:right w:val="nil"/>
            </w:tcBorders>
            <w:shd w:val="clear" w:color="auto" w:fill="auto"/>
            <w:vAlign w:val="bottom"/>
          </w:tcPr>
          <w:p w14:paraId="472BEA3F" w14:textId="0D515DEA" w:rsidR="00330357" w:rsidRPr="00931D2F" w:rsidRDefault="00330357" w:rsidP="00330357">
            <w:pPr>
              <w:suppressAutoHyphens/>
              <w:autoSpaceDN w:val="0"/>
              <w:jc w:val="right"/>
              <w:rPr>
                <w:rFonts w:ascii="Arial" w:eastAsia="Calibri" w:hAnsi="Arial" w:cs="Arial"/>
                <w:b/>
                <w:bCs/>
                <w:color w:val="000000" w:themeColor="text1"/>
                <w:sz w:val="20"/>
                <w:szCs w:val="20"/>
              </w:rPr>
            </w:pPr>
            <w:r w:rsidRPr="0062666D">
              <w:rPr>
                <w:rFonts w:ascii="Arial" w:eastAsia="Calibri" w:hAnsi="Arial" w:cs="Arial"/>
                <w:b/>
                <w:bCs/>
                <w:color w:val="000000" w:themeColor="text1"/>
                <w:sz w:val="20"/>
                <w:szCs w:val="20"/>
              </w:rPr>
              <w:t>33.698</w:t>
            </w:r>
          </w:p>
        </w:tc>
      </w:tr>
      <w:tr w:rsidR="00330357" w:rsidRPr="00931D2F" w14:paraId="4B613EDB" w14:textId="77777777" w:rsidTr="00FC2C3E">
        <w:trPr>
          <w:trHeight w:val="305"/>
        </w:trPr>
        <w:tc>
          <w:tcPr>
            <w:tcW w:w="5545" w:type="dxa"/>
            <w:tcBorders>
              <w:top w:val="nil"/>
              <w:left w:val="nil"/>
              <w:bottom w:val="nil"/>
              <w:right w:val="nil"/>
            </w:tcBorders>
            <w:shd w:val="clear" w:color="auto" w:fill="auto"/>
            <w:vAlign w:val="bottom"/>
            <w:hideMark/>
          </w:tcPr>
          <w:p w14:paraId="246ECDC3" w14:textId="77777777" w:rsidR="00330357" w:rsidRPr="00931D2F" w:rsidRDefault="00330357" w:rsidP="00330357">
            <w:pPr>
              <w:suppressAutoHyphens/>
              <w:autoSpaceDN w:val="0"/>
              <w:jc w:val="right"/>
              <w:rPr>
                <w:rFonts w:ascii="Arial" w:eastAsia="Calibri" w:hAnsi="Arial" w:cs="Arial"/>
                <w:b/>
                <w:bCs/>
                <w:color w:val="000000" w:themeColor="text1"/>
                <w:sz w:val="20"/>
                <w:szCs w:val="20"/>
              </w:rPr>
            </w:pPr>
          </w:p>
        </w:tc>
        <w:tc>
          <w:tcPr>
            <w:tcW w:w="1798" w:type="dxa"/>
            <w:tcBorders>
              <w:top w:val="single" w:sz="8" w:space="0" w:color="auto"/>
              <w:left w:val="nil"/>
              <w:bottom w:val="nil"/>
              <w:right w:val="nil"/>
            </w:tcBorders>
            <w:shd w:val="clear" w:color="auto" w:fill="auto"/>
            <w:vAlign w:val="bottom"/>
          </w:tcPr>
          <w:p w14:paraId="49D87580" w14:textId="77777777" w:rsidR="00330357" w:rsidRPr="00931D2F" w:rsidRDefault="00330357" w:rsidP="00330357">
            <w:pPr>
              <w:suppressAutoHyphens/>
              <w:autoSpaceDN w:val="0"/>
              <w:jc w:val="right"/>
              <w:rPr>
                <w:rFonts w:ascii="Arial" w:eastAsia="Calibri" w:hAnsi="Arial" w:cs="Arial"/>
                <w:color w:val="000000" w:themeColor="text1"/>
                <w:sz w:val="20"/>
                <w:szCs w:val="20"/>
              </w:rPr>
            </w:pPr>
          </w:p>
        </w:tc>
        <w:tc>
          <w:tcPr>
            <w:tcW w:w="1799" w:type="dxa"/>
            <w:tcBorders>
              <w:top w:val="single" w:sz="8" w:space="0" w:color="auto"/>
              <w:left w:val="nil"/>
              <w:bottom w:val="nil"/>
              <w:right w:val="nil"/>
            </w:tcBorders>
            <w:shd w:val="clear" w:color="auto" w:fill="auto"/>
            <w:vAlign w:val="bottom"/>
          </w:tcPr>
          <w:p w14:paraId="10208A2B" w14:textId="77777777" w:rsidR="00330357" w:rsidRPr="00931D2F" w:rsidRDefault="00330357" w:rsidP="00330357">
            <w:pPr>
              <w:suppressAutoHyphens/>
              <w:autoSpaceDN w:val="0"/>
              <w:jc w:val="right"/>
              <w:rPr>
                <w:rFonts w:ascii="Arial" w:eastAsia="Calibri" w:hAnsi="Arial" w:cs="Arial"/>
                <w:color w:val="000000" w:themeColor="text1"/>
                <w:sz w:val="20"/>
                <w:szCs w:val="20"/>
              </w:rPr>
            </w:pPr>
          </w:p>
        </w:tc>
      </w:tr>
      <w:tr w:rsidR="00330357" w:rsidRPr="00931D2F" w14:paraId="3CE0BE77" w14:textId="77777777" w:rsidTr="00931D2F">
        <w:trPr>
          <w:trHeight w:val="305"/>
        </w:trPr>
        <w:tc>
          <w:tcPr>
            <w:tcW w:w="5545" w:type="dxa"/>
            <w:tcBorders>
              <w:top w:val="nil"/>
              <w:left w:val="nil"/>
              <w:bottom w:val="nil"/>
              <w:right w:val="nil"/>
            </w:tcBorders>
            <w:shd w:val="clear" w:color="auto" w:fill="auto"/>
            <w:vAlign w:val="bottom"/>
            <w:hideMark/>
          </w:tcPr>
          <w:p w14:paraId="6CB529FA" w14:textId="77777777" w:rsidR="00330357" w:rsidRPr="00931D2F" w:rsidRDefault="00330357" w:rsidP="00330357">
            <w:pPr>
              <w:suppressAutoHyphens/>
              <w:autoSpaceDN w:val="0"/>
              <w:rPr>
                <w:rFonts w:ascii="Arial" w:eastAsia="Calibri" w:hAnsi="Arial" w:cs="Arial"/>
                <w:b/>
                <w:bCs/>
                <w:i/>
                <w:iCs/>
                <w:color w:val="000000" w:themeColor="text1"/>
                <w:sz w:val="20"/>
                <w:szCs w:val="20"/>
              </w:rPr>
            </w:pPr>
            <w:r w:rsidRPr="00931D2F">
              <w:rPr>
                <w:rFonts w:ascii="Arial" w:eastAsia="Calibri" w:hAnsi="Arial" w:cs="Arial"/>
                <w:b/>
                <w:bCs/>
                <w:i/>
                <w:iCs/>
                <w:color w:val="000000" w:themeColor="text1"/>
                <w:sz w:val="20"/>
                <w:szCs w:val="20"/>
              </w:rPr>
              <w:t>Ulaganja u investicijske fondove:</w:t>
            </w:r>
          </w:p>
        </w:tc>
        <w:tc>
          <w:tcPr>
            <w:tcW w:w="1798" w:type="dxa"/>
            <w:tcBorders>
              <w:top w:val="nil"/>
              <w:left w:val="nil"/>
              <w:bottom w:val="nil"/>
              <w:right w:val="nil"/>
            </w:tcBorders>
            <w:shd w:val="clear" w:color="auto" w:fill="auto"/>
            <w:vAlign w:val="bottom"/>
          </w:tcPr>
          <w:p w14:paraId="7D185487" w14:textId="77777777" w:rsidR="00330357" w:rsidRPr="00931D2F" w:rsidRDefault="00330357" w:rsidP="00330357">
            <w:pPr>
              <w:suppressAutoHyphens/>
              <w:autoSpaceDN w:val="0"/>
              <w:jc w:val="right"/>
              <w:rPr>
                <w:rFonts w:ascii="Arial" w:eastAsia="Calibri" w:hAnsi="Arial" w:cs="Arial"/>
                <w:color w:val="000000" w:themeColor="text1"/>
                <w:sz w:val="20"/>
                <w:szCs w:val="20"/>
              </w:rPr>
            </w:pPr>
          </w:p>
        </w:tc>
        <w:tc>
          <w:tcPr>
            <w:tcW w:w="1799" w:type="dxa"/>
            <w:tcBorders>
              <w:top w:val="nil"/>
              <w:left w:val="nil"/>
              <w:bottom w:val="nil"/>
              <w:right w:val="nil"/>
            </w:tcBorders>
            <w:shd w:val="clear" w:color="auto" w:fill="auto"/>
            <w:vAlign w:val="bottom"/>
          </w:tcPr>
          <w:p w14:paraId="296FB0DC" w14:textId="77777777" w:rsidR="00330357" w:rsidRPr="00931D2F" w:rsidRDefault="00330357" w:rsidP="00330357">
            <w:pPr>
              <w:suppressAutoHyphens/>
              <w:autoSpaceDN w:val="0"/>
              <w:jc w:val="right"/>
              <w:rPr>
                <w:rFonts w:ascii="Arial" w:eastAsia="Calibri" w:hAnsi="Arial" w:cs="Arial"/>
                <w:color w:val="000000" w:themeColor="text1"/>
                <w:sz w:val="20"/>
                <w:szCs w:val="20"/>
              </w:rPr>
            </w:pPr>
          </w:p>
        </w:tc>
      </w:tr>
      <w:tr w:rsidR="00330357" w:rsidRPr="00931D2F" w14:paraId="0002EFAA" w14:textId="77777777" w:rsidTr="00FC2C3E">
        <w:trPr>
          <w:trHeight w:val="335"/>
        </w:trPr>
        <w:tc>
          <w:tcPr>
            <w:tcW w:w="5545" w:type="dxa"/>
            <w:tcBorders>
              <w:top w:val="nil"/>
              <w:left w:val="nil"/>
              <w:bottom w:val="nil"/>
              <w:right w:val="nil"/>
            </w:tcBorders>
            <w:shd w:val="clear" w:color="auto" w:fill="auto"/>
            <w:vAlign w:val="bottom"/>
            <w:hideMark/>
          </w:tcPr>
          <w:p w14:paraId="14F7AD34" w14:textId="77777777" w:rsidR="00330357" w:rsidRPr="00931D2F" w:rsidRDefault="00330357" w:rsidP="00330357">
            <w:pPr>
              <w:suppressAutoHyphens/>
              <w:autoSpaceDN w:val="0"/>
              <w:rPr>
                <w:rFonts w:ascii="Arial" w:eastAsia="Calibri" w:hAnsi="Arial" w:cs="Arial"/>
                <w:color w:val="000000" w:themeColor="text1"/>
                <w:sz w:val="20"/>
                <w:szCs w:val="20"/>
              </w:rPr>
            </w:pPr>
            <w:r w:rsidRPr="00931D2F">
              <w:rPr>
                <w:rFonts w:ascii="Arial" w:eastAsia="Calibri" w:hAnsi="Arial" w:cs="Arial"/>
                <w:color w:val="000000" w:themeColor="text1"/>
                <w:sz w:val="20"/>
                <w:szCs w:val="20"/>
              </w:rPr>
              <w:t>Udjeli u investicijskim fondovima po FVRDG</w:t>
            </w:r>
          </w:p>
        </w:tc>
        <w:tc>
          <w:tcPr>
            <w:tcW w:w="1798" w:type="dxa"/>
            <w:tcBorders>
              <w:top w:val="nil"/>
              <w:left w:val="nil"/>
              <w:bottom w:val="single" w:sz="4" w:space="0" w:color="auto"/>
              <w:right w:val="nil"/>
            </w:tcBorders>
            <w:shd w:val="clear" w:color="auto" w:fill="auto"/>
            <w:vAlign w:val="bottom"/>
          </w:tcPr>
          <w:p w14:paraId="7CBC72C9" w14:textId="6976A926" w:rsidR="00330357" w:rsidRPr="00931D2F" w:rsidRDefault="0049181B" w:rsidP="00330357">
            <w:pPr>
              <w:suppressAutoHyphens/>
              <w:autoSpaceDN w:val="0"/>
              <w:jc w:val="right"/>
              <w:rPr>
                <w:rFonts w:ascii="Arial" w:eastAsia="Calibri" w:hAnsi="Arial" w:cs="Arial"/>
                <w:color w:val="000000" w:themeColor="text1"/>
                <w:sz w:val="20"/>
                <w:szCs w:val="20"/>
              </w:rPr>
            </w:pPr>
            <w:r w:rsidRPr="0049181B">
              <w:rPr>
                <w:rFonts w:ascii="Arial" w:eastAsia="Calibri" w:hAnsi="Arial" w:cs="Arial"/>
                <w:color w:val="000000" w:themeColor="text1"/>
                <w:sz w:val="20"/>
                <w:szCs w:val="20"/>
              </w:rPr>
              <w:t>33.044</w:t>
            </w:r>
          </w:p>
        </w:tc>
        <w:tc>
          <w:tcPr>
            <w:tcW w:w="1799" w:type="dxa"/>
            <w:tcBorders>
              <w:top w:val="nil"/>
              <w:left w:val="nil"/>
              <w:bottom w:val="single" w:sz="4" w:space="0" w:color="auto"/>
              <w:right w:val="nil"/>
            </w:tcBorders>
            <w:shd w:val="clear" w:color="auto" w:fill="auto"/>
            <w:vAlign w:val="bottom"/>
          </w:tcPr>
          <w:p w14:paraId="648C937C" w14:textId="058C9548" w:rsidR="00330357" w:rsidRPr="00931D2F" w:rsidRDefault="00330357" w:rsidP="00330357">
            <w:pPr>
              <w:suppressAutoHyphens/>
              <w:autoSpaceDN w:val="0"/>
              <w:jc w:val="right"/>
              <w:rPr>
                <w:rFonts w:ascii="Arial" w:eastAsia="Calibri" w:hAnsi="Arial" w:cs="Arial"/>
                <w:color w:val="000000" w:themeColor="text1"/>
                <w:sz w:val="20"/>
                <w:szCs w:val="20"/>
              </w:rPr>
            </w:pPr>
            <w:r w:rsidRPr="0062666D">
              <w:rPr>
                <w:rFonts w:ascii="Arial" w:eastAsia="Calibri" w:hAnsi="Arial" w:cs="Arial"/>
                <w:color w:val="000000" w:themeColor="text1"/>
                <w:sz w:val="20"/>
                <w:szCs w:val="20"/>
              </w:rPr>
              <w:t>19.171</w:t>
            </w:r>
          </w:p>
        </w:tc>
      </w:tr>
      <w:tr w:rsidR="00330357" w:rsidRPr="00931D2F" w14:paraId="26C75D12" w14:textId="77777777" w:rsidTr="00FC2C3E">
        <w:trPr>
          <w:trHeight w:val="305"/>
        </w:trPr>
        <w:tc>
          <w:tcPr>
            <w:tcW w:w="5545" w:type="dxa"/>
            <w:tcBorders>
              <w:top w:val="nil"/>
              <w:left w:val="nil"/>
              <w:bottom w:val="nil"/>
              <w:right w:val="nil"/>
            </w:tcBorders>
            <w:shd w:val="clear" w:color="auto" w:fill="auto"/>
            <w:vAlign w:val="bottom"/>
            <w:hideMark/>
          </w:tcPr>
          <w:p w14:paraId="0BB10AA7" w14:textId="77777777" w:rsidR="00330357" w:rsidRPr="00931D2F" w:rsidRDefault="00330357" w:rsidP="00330357">
            <w:pPr>
              <w:suppressAutoHyphens/>
              <w:autoSpaceDN w:val="0"/>
              <w:jc w:val="right"/>
              <w:rPr>
                <w:rFonts w:ascii="Arial" w:eastAsia="Calibri" w:hAnsi="Arial" w:cs="Arial"/>
                <w:color w:val="000000" w:themeColor="text1"/>
                <w:sz w:val="20"/>
                <w:szCs w:val="20"/>
              </w:rPr>
            </w:pPr>
          </w:p>
        </w:tc>
        <w:tc>
          <w:tcPr>
            <w:tcW w:w="1798" w:type="dxa"/>
            <w:tcBorders>
              <w:top w:val="single" w:sz="4" w:space="0" w:color="auto"/>
              <w:left w:val="nil"/>
              <w:bottom w:val="single" w:sz="8" w:space="0" w:color="auto"/>
              <w:right w:val="nil"/>
            </w:tcBorders>
            <w:shd w:val="clear" w:color="auto" w:fill="auto"/>
            <w:vAlign w:val="bottom"/>
          </w:tcPr>
          <w:p w14:paraId="21F25D7F" w14:textId="09CC00CD" w:rsidR="00330357" w:rsidRPr="00931D2F" w:rsidRDefault="0049181B" w:rsidP="00330357">
            <w:pPr>
              <w:suppressAutoHyphens/>
              <w:autoSpaceDN w:val="0"/>
              <w:jc w:val="right"/>
              <w:rPr>
                <w:rFonts w:ascii="Arial" w:eastAsia="Calibri" w:hAnsi="Arial" w:cs="Arial"/>
                <w:b/>
                <w:bCs/>
                <w:color w:val="000000" w:themeColor="text1"/>
                <w:sz w:val="20"/>
                <w:szCs w:val="20"/>
              </w:rPr>
            </w:pPr>
            <w:r w:rsidRPr="0049181B">
              <w:rPr>
                <w:rFonts w:ascii="Arial" w:eastAsia="Calibri" w:hAnsi="Arial" w:cs="Arial"/>
                <w:b/>
                <w:bCs/>
                <w:color w:val="000000" w:themeColor="text1"/>
                <w:sz w:val="20"/>
                <w:szCs w:val="20"/>
              </w:rPr>
              <w:t>33.044</w:t>
            </w:r>
          </w:p>
        </w:tc>
        <w:tc>
          <w:tcPr>
            <w:tcW w:w="1799" w:type="dxa"/>
            <w:tcBorders>
              <w:top w:val="single" w:sz="4" w:space="0" w:color="auto"/>
              <w:left w:val="nil"/>
              <w:bottom w:val="single" w:sz="8" w:space="0" w:color="auto"/>
              <w:right w:val="nil"/>
            </w:tcBorders>
            <w:shd w:val="clear" w:color="auto" w:fill="auto"/>
            <w:vAlign w:val="bottom"/>
          </w:tcPr>
          <w:p w14:paraId="69F9949E" w14:textId="7D479244" w:rsidR="00330357" w:rsidRPr="00931D2F" w:rsidRDefault="00330357" w:rsidP="00330357">
            <w:pPr>
              <w:suppressAutoHyphens/>
              <w:autoSpaceDN w:val="0"/>
              <w:jc w:val="right"/>
              <w:rPr>
                <w:rFonts w:ascii="Arial" w:eastAsia="Calibri" w:hAnsi="Arial" w:cs="Arial"/>
                <w:b/>
                <w:bCs/>
                <w:color w:val="000000" w:themeColor="text1"/>
                <w:sz w:val="20"/>
                <w:szCs w:val="20"/>
              </w:rPr>
            </w:pPr>
            <w:r w:rsidRPr="0062666D">
              <w:rPr>
                <w:rFonts w:ascii="Arial" w:eastAsia="Calibri" w:hAnsi="Arial" w:cs="Arial"/>
                <w:b/>
                <w:bCs/>
                <w:color w:val="000000" w:themeColor="text1"/>
                <w:sz w:val="20"/>
                <w:szCs w:val="20"/>
              </w:rPr>
              <w:t>19.171</w:t>
            </w:r>
          </w:p>
        </w:tc>
      </w:tr>
      <w:tr w:rsidR="00330357" w:rsidRPr="00931D2F" w14:paraId="5FF68051" w14:textId="77777777" w:rsidTr="00FC2C3E">
        <w:trPr>
          <w:trHeight w:val="305"/>
        </w:trPr>
        <w:tc>
          <w:tcPr>
            <w:tcW w:w="5545" w:type="dxa"/>
            <w:tcBorders>
              <w:top w:val="nil"/>
              <w:left w:val="nil"/>
              <w:bottom w:val="nil"/>
              <w:right w:val="nil"/>
            </w:tcBorders>
            <w:shd w:val="clear" w:color="auto" w:fill="auto"/>
            <w:vAlign w:val="bottom"/>
            <w:hideMark/>
          </w:tcPr>
          <w:p w14:paraId="494A560D" w14:textId="77777777" w:rsidR="00330357" w:rsidRPr="00931D2F" w:rsidRDefault="00330357" w:rsidP="00330357">
            <w:pPr>
              <w:suppressAutoHyphens/>
              <w:autoSpaceDN w:val="0"/>
              <w:jc w:val="right"/>
              <w:rPr>
                <w:rFonts w:ascii="Arial" w:eastAsia="Calibri" w:hAnsi="Arial" w:cs="Arial"/>
                <w:b/>
                <w:bCs/>
                <w:color w:val="000000" w:themeColor="text1"/>
                <w:sz w:val="20"/>
                <w:szCs w:val="20"/>
              </w:rPr>
            </w:pPr>
          </w:p>
        </w:tc>
        <w:tc>
          <w:tcPr>
            <w:tcW w:w="1798" w:type="dxa"/>
            <w:tcBorders>
              <w:top w:val="single" w:sz="8" w:space="0" w:color="auto"/>
              <w:left w:val="nil"/>
              <w:right w:val="nil"/>
            </w:tcBorders>
            <w:shd w:val="clear" w:color="auto" w:fill="auto"/>
            <w:vAlign w:val="bottom"/>
          </w:tcPr>
          <w:p w14:paraId="43D41ABF" w14:textId="77777777" w:rsidR="00330357" w:rsidRPr="00931D2F" w:rsidRDefault="00330357" w:rsidP="00330357">
            <w:pPr>
              <w:suppressAutoHyphens/>
              <w:autoSpaceDN w:val="0"/>
              <w:jc w:val="right"/>
              <w:rPr>
                <w:rFonts w:ascii="Arial" w:eastAsia="Calibri" w:hAnsi="Arial" w:cs="Arial"/>
                <w:color w:val="000000" w:themeColor="text1"/>
                <w:sz w:val="20"/>
                <w:szCs w:val="20"/>
              </w:rPr>
            </w:pPr>
          </w:p>
        </w:tc>
        <w:tc>
          <w:tcPr>
            <w:tcW w:w="1799" w:type="dxa"/>
            <w:tcBorders>
              <w:top w:val="single" w:sz="8" w:space="0" w:color="auto"/>
              <w:left w:val="nil"/>
              <w:right w:val="nil"/>
            </w:tcBorders>
            <w:shd w:val="clear" w:color="auto" w:fill="auto"/>
            <w:vAlign w:val="bottom"/>
          </w:tcPr>
          <w:p w14:paraId="3B12EC0D" w14:textId="77777777" w:rsidR="00330357" w:rsidRPr="00931D2F" w:rsidRDefault="00330357" w:rsidP="00330357">
            <w:pPr>
              <w:suppressAutoHyphens/>
              <w:autoSpaceDN w:val="0"/>
              <w:jc w:val="right"/>
              <w:rPr>
                <w:rFonts w:ascii="Arial" w:eastAsia="Calibri" w:hAnsi="Arial" w:cs="Arial"/>
                <w:color w:val="000000" w:themeColor="text1"/>
                <w:sz w:val="20"/>
                <w:szCs w:val="20"/>
              </w:rPr>
            </w:pPr>
          </w:p>
        </w:tc>
      </w:tr>
      <w:tr w:rsidR="00330357" w:rsidRPr="00931D2F" w14:paraId="2A6F31AD" w14:textId="77777777" w:rsidTr="00931D2F">
        <w:trPr>
          <w:trHeight w:val="373"/>
        </w:trPr>
        <w:tc>
          <w:tcPr>
            <w:tcW w:w="5545" w:type="dxa"/>
            <w:tcBorders>
              <w:top w:val="nil"/>
              <w:left w:val="nil"/>
              <w:bottom w:val="nil"/>
              <w:right w:val="nil"/>
            </w:tcBorders>
            <w:shd w:val="clear" w:color="auto" w:fill="auto"/>
            <w:vAlign w:val="bottom"/>
            <w:hideMark/>
          </w:tcPr>
          <w:p w14:paraId="0EA59C37" w14:textId="77777777" w:rsidR="00330357" w:rsidRPr="00931D2F" w:rsidRDefault="00330357" w:rsidP="00330357">
            <w:pPr>
              <w:suppressAutoHyphens/>
              <w:autoSpaceDN w:val="0"/>
              <w:rPr>
                <w:rFonts w:ascii="Arial" w:eastAsia="Calibri" w:hAnsi="Arial" w:cs="Arial"/>
                <w:b/>
                <w:bCs/>
                <w:i/>
                <w:iCs/>
                <w:color w:val="000000" w:themeColor="text1"/>
                <w:sz w:val="20"/>
                <w:szCs w:val="20"/>
              </w:rPr>
            </w:pPr>
            <w:r w:rsidRPr="00931D2F">
              <w:rPr>
                <w:rFonts w:ascii="Arial" w:eastAsia="Calibri" w:hAnsi="Arial" w:cs="Arial"/>
                <w:b/>
                <w:bCs/>
                <w:i/>
                <w:iCs/>
                <w:color w:val="000000" w:themeColor="text1"/>
                <w:sz w:val="20"/>
                <w:szCs w:val="20"/>
              </w:rPr>
              <w:t>Vlasnički vrijednosni papiri koji ne kotiraju:</w:t>
            </w:r>
          </w:p>
        </w:tc>
        <w:tc>
          <w:tcPr>
            <w:tcW w:w="1798" w:type="dxa"/>
            <w:tcBorders>
              <w:top w:val="nil"/>
              <w:left w:val="nil"/>
              <w:bottom w:val="nil"/>
              <w:right w:val="nil"/>
            </w:tcBorders>
            <w:shd w:val="clear" w:color="auto" w:fill="auto"/>
            <w:vAlign w:val="bottom"/>
          </w:tcPr>
          <w:p w14:paraId="026695F8" w14:textId="77777777" w:rsidR="00330357" w:rsidRPr="00931D2F" w:rsidRDefault="00330357" w:rsidP="00330357">
            <w:pPr>
              <w:suppressAutoHyphens/>
              <w:autoSpaceDN w:val="0"/>
              <w:jc w:val="right"/>
              <w:rPr>
                <w:rFonts w:ascii="Arial" w:eastAsia="Calibri" w:hAnsi="Arial" w:cs="Arial"/>
                <w:color w:val="000000" w:themeColor="text1"/>
                <w:sz w:val="20"/>
                <w:szCs w:val="20"/>
              </w:rPr>
            </w:pPr>
          </w:p>
        </w:tc>
        <w:tc>
          <w:tcPr>
            <w:tcW w:w="1799" w:type="dxa"/>
            <w:tcBorders>
              <w:top w:val="nil"/>
              <w:left w:val="nil"/>
              <w:bottom w:val="nil"/>
              <w:right w:val="nil"/>
            </w:tcBorders>
            <w:shd w:val="clear" w:color="auto" w:fill="auto"/>
            <w:vAlign w:val="bottom"/>
          </w:tcPr>
          <w:p w14:paraId="3493F01C" w14:textId="77777777" w:rsidR="00330357" w:rsidRPr="00931D2F" w:rsidRDefault="00330357" w:rsidP="00330357">
            <w:pPr>
              <w:suppressAutoHyphens/>
              <w:autoSpaceDN w:val="0"/>
              <w:jc w:val="right"/>
              <w:rPr>
                <w:rFonts w:ascii="Arial" w:eastAsia="Calibri" w:hAnsi="Arial" w:cs="Arial"/>
                <w:color w:val="000000" w:themeColor="text1"/>
                <w:sz w:val="20"/>
                <w:szCs w:val="20"/>
              </w:rPr>
            </w:pPr>
          </w:p>
        </w:tc>
      </w:tr>
      <w:tr w:rsidR="00330357" w:rsidRPr="00931D2F" w14:paraId="1465899B" w14:textId="77777777" w:rsidTr="00FC2C3E">
        <w:trPr>
          <w:trHeight w:val="373"/>
        </w:trPr>
        <w:tc>
          <w:tcPr>
            <w:tcW w:w="5545" w:type="dxa"/>
            <w:tcBorders>
              <w:top w:val="nil"/>
              <w:left w:val="nil"/>
              <w:bottom w:val="nil"/>
              <w:right w:val="nil"/>
            </w:tcBorders>
            <w:shd w:val="clear" w:color="auto" w:fill="auto"/>
            <w:vAlign w:val="bottom"/>
          </w:tcPr>
          <w:p w14:paraId="4F34ECF9" w14:textId="77777777" w:rsidR="00330357" w:rsidRPr="00931D2F" w:rsidRDefault="00330357" w:rsidP="00330357">
            <w:pPr>
              <w:suppressAutoHyphens/>
              <w:autoSpaceDN w:val="0"/>
              <w:rPr>
                <w:rFonts w:ascii="Arial" w:eastAsia="Calibri" w:hAnsi="Arial" w:cs="Arial"/>
                <w:bCs/>
                <w:iCs/>
                <w:color w:val="000000" w:themeColor="text1"/>
                <w:sz w:val="20"/>
                <w:szCs w:val="20"/>
              </w:rPr>
            </w:pPr>
            <w:r w:rsidRPr="00931D2F">
              <w:rPr>
                <w:rFonts w:ascii="Arial" w:eastAsia="Calibri" w:hAnsi="Arial" w:cs="Arial"/>
                <w:bCs/>
                <w:iCs/>
                <w:color w:val="000000" w:themeColor="text1"/>
                <w:sz w:val="20"/>
                <w:szCs w:val="20"/>
              </w:rPr>
              <w:t>Depozitarne potvrde - DR</w:t>
            </w:r>
          </w:p>
        </w:tc>
        <w:tc>
          <w:tcPr>
            <w:tcW w:w="1798" w:type="dxa"/>
            <w:tcBorders>
              <w:top w:val="nil"/>
              <w:left w:val="nil"/>
              <w:bottom w:val="single" w:sz="4" w:space="0" w:color="auto"/>
              <w:right w:val="nil"/>
            </w:tcBorders>
            <w:shd w:val="clear" w:color="auto" w:fill="auto"/>
            <w:vAlign w:val="bottom"/>
          </w:tcPr>
          <w:p w14:paraId="3C73FB80" w14:textId="6C34E324" w:rsidR="00330357" w:rsidRPr="00931D2F" w:rsidRDefault="0049181B" w:rsidP="00330357">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42</w:t>
            </w:r>
          </w:p>
        </w:tc>
        <w:tc>
          <w:tcPr>
            <w:tcW w:w="1799" w:type="dxa"/>
            <w:tcBorders>
              <w:top w:val="nil"/>
              <w:left w:val="nil"/>
              <w:bottom w:val="single" w:sz="4" w:space="0" w:color="auto"/>
              <w:right w:val="nil"/>
            </w:tcBorders>
            <w:shd w:val="clear" w:color="auto" w:fill="auto"/>
            <w:vAlign w:val="bottom"/>
          </w:tcPr>
          <w:p w14:paraId="48843EAF" w14:textId="3DC333DD" w:rsidR="00330357" w:rsidRPr="00931D2F" w:rsidRDefault="00330357" w:rsidP="00330357">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42</w:t>
            </w:r>
          </w:p>
        </w:tc>
      </w:tr>
      <w:tr w:rsidR="00330357" w:rsidRPr="00931D2F" w14:paraId="03AEB175" w14:textId="77777777" w:rsidTr="00FC2C3E">
        <w:trPr>
          <w:trHeight w:val="305"/>
        </w:trPr>
        <w:tc>
          <w:tcPr>
            <w:tcW w:w="5545" w:type="dxa"/>
            <w:tcBorders>
              <w:top w:val="nil"/>
              <w:left w:val="nil"/>
              <w:bottom w:val="nil"/>
              <w:right w:val="nil"/>
            </w:tcBorders>
            <w:shd w:val="clear" w:color="auto" w:fill="auto"/>
            <w:vAlign w:val="bottom"/>
          </w:tcPr>
          <w:p w14:paraId="165CC478" w14:textId="77777777" w:rsidR="00330357" w:rsidRPr="00931D2F" w:rsidRDefault="00330357" w:rsidP="00330357">
            <w:pPr>
              <w:suppressAutoHyphens/>
              <w:autoSpaceDN w:val="0"/>
              <w:jc w:val="right"/>
              <w:rPr>
                <w:rFonts w:ascii="Arial" w:eastAsia="Calibri" w:hAnsi="Arial" w:cs="Arial"/>
                <w:color w:val="000000" w:themeColor="text1"/>
                <w:sz w:val="20"/>
                <w:szCs w:val="20"/>
              </w:rPr>
            </w:pPr>
          </w:p>
        </w:tc>
        <w:tc>
          <w:tcPr>
            <w:tcW w:w="1798" w:type="dxa"/>
            <w:tcBorders>
              <w:top w:val="single" w:sz="4" w:space="0" w:color="auto"/>
              <w:left w:val="nil"/>
              <w:bottom w:val="single" w:sz="8" w:space="0" w:color="auto"/>
              <w:right w:val="nil"/>
            </w:tcBorders>
            <w:shd w:val="clear" w:color="auto" w:fill="auto"/>
            <w:vAlign w:val="bottom"/>
          </w:tcPr>
          <w:p w14:paraId="7FE9FC2B" w14:textId="07D65F72" w:rsidR="00330357" w:rsidRPr="00931D2F" w:rsidRDefault="0049181B" w:rsidP="00330357">
            <w:pPr>
              <w:suppressAutoHyphens/>
              <w:autoSpaceDN w:val="0"/>
              <w:jc w:val="right"/>
              <w:rPr>
                <w:rFonts w:ascii="Arial" w:eastAsia="Calibri" w:hAnsi="Arial" w:cs="Arial"/>
                <w:b/>
                <w:bCs/>
                <w:color w:val="000000" w:themeColor="text1"/>
                <w:sz w:val="20"/>
                <w:szCs w:val="20"/>
              </w:rPr>
            </w:pPr>
            <w:r>
              <w:rPr>
                <w:rFonts w:ascii="Arial" w:eastAsia="Calibri" w:hAnsi="Arial" w:cs="Arial"/>
                <w:b/>
                <w:bCs/>
                <w:color w:val="000000" w:themeColor="text1"/>
                <w:sz w:val="20"/>
                <w:szCs w:val="20"/>
              </w:rPr>
              <w:t>42</w:t>
            </w:r>
          </w:p>
        </w:tc>
        <w:tc>
          <w:tcPr>
            <w:tcW w:w="1799" w:type="dxa"/>
            <w:tcBorders>
              <w:top w:val="single" w:sz="4" w:space="0" w:color="auto"/>
              <w:left w:val="nil"/>
              <w:bottom w:val="single" w:sz="8" w:space="0" w:color="auto"/>
              <w:right w:val="nil"/>
            </w:tcBorders>
            <w:shd w:val="clear" w:color="auto" w:fill="auto"/>
            <w:vAlign w:val="bottom"/>
          </w:tcPr>
          <w:p w14:paraId="4E7BEFE3" w14:textId="04A97430" w:rsidR="00330357" w:rsidRPr="00931D2F" w:rsidRDefault="00330357" w:rsidP="00330357">
            <w:pPr>
              <w:suppressAutoHyphens/>
              <w:autoSpaceDN w:val="0"/>
              <w:jc w:val="right"/>
              <w:rPr>
                <w:rFonts w:ascii="Arial" w:eastAsia="Calibri" w:hAnsi="Arial" w:cs="Arial"/>
                <w:b/>
                <w:bCs/>
                <w:color w:val="000000" w:themeColor="text1"/>
                <w:sz w:val="20"/>
                <w:szCs w:val="20"/>
              </w:rPr>
            </w:pPr>
            <w:r>
              <w:rPr>
                <w:rFonts w:ascii="Arial" w:eastAsia="Calibri" w:hAnsi="Arial" w:cs="Arial"/>
                <w:b/>
                <w:bCs/>
                <w:color w:val="000000" w:themeColor="text1"/>
                <w:sz w:val="20"/>
                <w:szCs w:val="20"/>
              </w:rPr>
              <w:t>42</w:t>
            </w:r>
          </w:p>
        </w:tc>
      </w:tr>
      <w:tr w:rsidR="00330357" w:rsidRPr="00931D2F" w14:paraId="194B201E" w14:textId="77777777" w:rsidTr="00FC2C3E">
        <w:trPr>
          <w:trHeight w:val="305"/>
        </w:trPr>
        <w:tc>
          <w:tcPr>
            <w:tcW w:w="5545" w:type="dxa"/>
            <w:tcBorders>
              <w:top w:val="nil"/>
              <w:left w:val="nil"/>
              <w:bottom w:val="nil"/>
              <w:right w:val="nil"/>
            </w:tcBorders>
            <w:shd w:val="clear" w:color="auto" w:fill="auto"/>
            <w:vAlign w:val="bottom"/>
          </w:tcPr>
          <w:p w14:paraId="5FDA8EBF" w14:textId="77777777" w:rsidR="00330357" w:rsidRPr="00931D2F" w:rsidRDefault="00330357" w:rsidP="00330357">
            <w:pPr>
              <w:suppressAutoHyphens/>
              <w:autoSpaceDN w:val="0"/>
              <w:jc w:val="right"/>
              <w:rPr>
                <w:rFonts w:ascii="Arial" w:eastAsia="Calibri" w:hAnsi="Arial" w:cs="Arial"/>
                <w:color w:val="000000" w:themeColor="text1"/>
                <w:sz w:val="20"/>
                <w:szCs w:val="20"/>
              </w:rPr>
            </w:pPr>
          </w:p>
        </w:tc>
        <w:tc>
          <w:tcPr>
            <w:tcW w:w="1798" w:type="dxa"/>
            <w:tcBorders>
              <w:top w:val="single" w:sz="8" w:space="0" w:color="auto"/>
              <w:left w:val="nil"/>
              <w:right w:val="nil"/>
            </w:tcBorders>
            <w:shd w:val="clear" w:color="auto" w:fill="auto"/>
            <w:vAlign w:val="bottom"/>
          </w:tcPr>
          <w:p w14:paraId="5EA32CE5" w14:textId="77777777" w:rsidR="00330357" w:rsidRPr="00931D2F" w:rsidRDefault="00330357" w:rsidP="00330357">
            <w:pPr>
              <w:suppressAutoHyphens/>
              <w:autoSpaceDN w:val="0"/>
              <w:jc w:val="right"/>
              <w:rPr>
                <w:rFonts w:ascii="Arial" w:eastAsia="Calibri" w:hAnsi="Arial" w:cs="Arial"/>
                <w:b/>
                <w:bCs/>
                <w:color w:val="000000" w:themeColor="text1"/>
                <w:sz w:val="20"/>
                <w:szCs w:val="20"/>
              </w:rPr>
            </w:pPr>
          </w:p>
        </w:tc>
        <w:tc>
          <w:tcPr>
            <w:tcW w:w="1799" w:type="dxa"/>
            <w:tcBorders>
              <w:top w:val="single" w:sz="8" w:space="0" w:color="auto"/>
              <w:left w:val="nil"/>
              <w:right w:val="nil"/>
            </w:tcBorders>
            <w:shd w:val="clear" w:color="auto" w:fill="auto"/>
            <w:vAlign w:val="bottom"/>
          </w:tcPr>
          <w:p w14:paraId="34FE4288" w14:textId="77777777" w:rsidR="00330357" w:rsidRPr="00931D2F" w:rsidRDefault="00330357" w:rsidP="00330357">
            <w:pPr>
              <w:suppressAutoHyphens/>
              <w:autoSpaceDN w:val="0"/>
              <w:jc w:val="right"/>
              <w:rPr>
                <w:rFonts w:ascii="Arial" w:eastAsia="Calibri" w:hAnsi="Arial" w:cs="Arial"/>
                <w:b/>
                <w:bCs/>
                <w:color w:val="000000" w:themeColor="text1"/>
                <w:sz w:val="20"/>
                <w:szCs w:val="20"/>
              </w:rPr>
            </w:pPr>
          </w:p>
        </w:tc>
      </w:tr>
      <w:tr w:rsidR="00330357" w:rsidRPr="00931D2F" w14:paraId="6B5CC1F1" w14:textId="77777777" w:rsidTr="00FC2C3E">
        <w:trPr>
          <w:trHeight w:val="305"/>
        </w:trPr>
        <w:tc>
          <w:tcPr>
            <w:tcW w:w="5545" w:type="dxa"/>
            <w:tcBorders>
              <w:top w:val="nil"/>
              <w:left w:val="nil"/>
              <w:bottom w:val="nil"/>
              <w:right w:val="nil"/>
            </w:tcBorders>
            <w:shd w:val="clear" w:color="auto" w:fill="auto"/>
            <w:vAlign w:val="bottom"/>
          </w:tcPr>
          <w:p w14:paraId="721BE807" w14:textId="6E955CF0" w:rsidR="00330357" w:rsidRPr="00931D2F" w:rsidRDefault="00330357" w:rsidP="00330357">
            <w:pPr>
              <w:suppressAutoHyphens/>
              <w:autoSpaceDN w:val="0"/>
              <w:rPr>
                <w:rFonts w:ascii="Arial" w:eastAsia="Calibri" w:hAnsi="Arial" w:cs="Arial"/>
                <w:b/>
                <w:bCs/>
                <w:color w:val="000000" w:themeColor="text1"/>
                <w:sz w:val="20"/>
                <w:szCs w:val="20"/>
              </w:rPr>
            </w:pPr>
            <w:r w:rsidRPr="00931D2F">
              <w:rPr>
                <w:rFonts w:ascii="Arial" w:eastAsia="Calibri" w:hAnsi="Arial" w:cs="Arial"/>
                <w:b/>
                <w:bCs/>
                <w:color w:val="000000" w:themeColor="text1"/>
                <w:sz w:val="20"/>
                <w:szCs w:val="20"/>
              </w:rPr>
              <w:t>Derivativna financijska imovina – pozitivna fer vrijednost</w:t>
            </w:r>
          </w:p>
        </w:tc>
        <w:tc>
          <w:tcPr>
            <w:tcW w:w="1798" w:type="dxa"/>
            <w:tcBorders>
              <w:left w:val="nil"/>
              <w:bottom w:val="single" w:sz="4" w:space="0" w:color="auto"/>
              <w:right w:val="nil"/>
            </w:tcBorders>
            <w:shd w:val="clear" w:color="auto" w:fill="auto"/>
            <w:vAlign w:val="bottom"/>
          </w:tcPr>
          <w:p w14:paraId="33A1392C" w14:textId="2B892DFF" w:rsidR="00330357" w:rsidRPr="00931D2F" w:rsidRDefault="0049181B" w:rsidP="00330357">
            <w:pPr>
              <w:suppressAutoHyphens/>
              <w:autoSpaceDN w:val="0"/>
              <w:jc w:val="right"/>
              <w:rPr>
                <w:rFonts w:ascii="Arial" w:eastAsia="Calibri" w:hAnsi="Arial" w:cs="Arial"/>
                <w:b/>
                <w:bCs/>
                <w:color w:val="000000" w:themeColor="text1"/>
                <w:sz w:val="20"/>
                <w:szCs w:val="20"/>
              </w:rPr>
            </w:pPr>
            <w:r>
              <w:rPr>
                <w:rFonts w:ascii="Arial" w:eastAsia="Calibri" w:hAnsi="Arial" w:cs="Arial"/>
                <w:b/>
                <w:bCs/>
                <w:color w:val="000000" w:themeColor="text1"/>
                <w:sz w:val="20"/>
                <w:szCs w:val="20"/>
              </w:rPr>
              <w:t>20</w:t>
            </w:r>
          </w:p>
        </w:tc>
        <w:tc>
          <w:tcPr>
            <w:tcW w:w="1799" w:type="dxa"/>
            <w:tcBorders>
              <w:left w:val="nil"/>
              <w:bottom w:val="single" w:sz="4" w:space="0" w:color="auto"/>
              <w:right w:val="nil"/>
            </w:tcBorders>
            <w:shd w:val="clear" w:color="auto" w:fill="auto"/>
            <w:vAlign w:val="bottom"/>
          </w:tcPr>
          <w:p w14:paraId="4B1B24BA" w14:textId="73DB132D" w:rsidR="00330357" w:rsidRPr="006C2C38" w:rsidRDefault="00330357" w:rsidP="00330357">
            <w:pPr>
              <w:suppressAutoHyphens/>
              <w:autoSpaceDN w:val="0"/>
              <w:jc w:val="right"/>
              <w:rPr>
                <w:rFonts w:ascii="Arial" w:eastAsia="Calibri" w:hAnsi="Arial" w:cs="Arial"/>
                <w:b/>
                <w:bCs/>
                <w:color w:val="000000" w:themeColor="text1"/>
                <w:sz w:val="20"/>
                <w:szCs w:val="20"/>
              </w:rPr>
            </w:pPr>
            <w:r>
              <w:rPr>
                <w:rFonts w:ascii="Arial" w:eastAsia="Calibri" w:hAnsi="Arial" w:cs="Arial"/>
                <w:b/>
                <w:bCs/>
                <w:color w:val="000000" w:themeColor="text1"/>
                <w:sz w:val="20"/>
                <w:szCs w:val="20"/>
              </w:rPr>
              <w:t>11</w:t>
            </w:r>
          </w:p>
        </w:tc>
      </w:tr>
      <w:tr w:rsidR="00330357" w:rsidRPr="00931D2F" w14:paraId="4F82F2DB" w14:textId="77777777" w:rsidTr="00FC2C3E">
        <w:trPr>
          <w:trHeight w:val="231"/>
        </w:trPr>
        <w:tc>
          <w:tcPr>
            <w:tcW w:w="5545" w:type="dxa"/>
            <w:tcBorders>
              <w:top w:val="nil"/>
              <w:left w:val="nil"/>
              <w:bottom w:val="nil"/>
              <w:right w:val="nil"/>
            </w:tcBorders>
            <w:shd w:val="clear" w:color="auto" w:fill="auto"/>
            <w:vAlign w:val="bottom"/>
            <w:hideMark/>
          </w:tcPr>
          <w:p w14:paraId="60893A9A" w14:textId="77777777" w:rsidR="00330357" w:rsidRPr="00931D2F" w:rsidRDefault="00330357" w:rsidP="00330357">
            <w:pPr>
              <w:suppressAutoHyphens/>
              <w:autoSpaceDN w:val="0"/>
              <w:jc w:val="right"/>
              <w:rPr>
                <w:rFonts w:ascii="Arial" w:eastAsia="Calibri" w:hAnsi="Arial" w:cs="Arial"/>
                <w:color w:val="000000" w:themeColor="text1"/>
                <w:sz w:val="20"/>
                <w:szCs w:val="20"/>
              </w:rPr>
            </w:pPr>
          </w:p>
        </w:tc>
        <w:tc>
          <w:tcPr>
            <w:tcW w:w="1798" w:type="dxa"/>
            <w:tcBorders>
              <w:top w:val="single" w:sz="4" w:space="0" w:color="auto"/>
              <w:left w:val="nil"/>
              <w:bottom w:val="single" w:sz="12" w:space="0" w:color="auto"/>
              <w:right w:val="nil"/>
            </w:tcBorders>
            <w:shd w:val="clear" w:color="auto" w:fill="auto"/>
            <w:vAlign w:val="bottom"/>
          </w:tcPr>
          <w:p w14:paraId="0B9A101F" w14:textId="718650D7" w:rsidR="00330357" w:rsidRPr="00931D2F" w:rsidRDefault="00017CC2" w:rsidP="00330357">
            <w:pPr>
              <w:suppressAutoHyphens/>
              <w:autoSpaceDN w:val="0"/>
              <w:jc w:val="right"/>
              <w:rPr>
                <w:rFonts w:ascii="Arial" w:eastAsia="Calibri" w:hAnsi="Arial" w:cs="Arial"/>
                <w:b/>
                <w:bCs/>
                <w:color w:val="000000" w:themeColor="text1"/>
                <w:sz w:val="20"/>
                <w:szCs w:val="20"/>
              </w:rPr>
            </w:pPr>
            <w:r>
              <w:rPr>
                <w:rFonts w:ascii="Arial" w:eastAsia="Calibri" w:hAnsi="Arial" w:cs="Arial"/>
                <w:b/>
                <w:bCs/>
                <w:color w:val="000000" w:themeColor="text1"/>
                <w:sz w:val="20"/>
                <w:szCs w:val="20"/>
              </w:rPr>
              <w:t>66.032</w:t>
            </w:r>
          </w:p>
        </w:tc>
        <w:tc>
          <w:tcPr>
            <w:tcW w:w="1799" w:type="dxa"/>
            <w:tcBorders>
              <w:top w:val="single" w:sz="4" w:space="0" w:color="auto"/>
              <w:left w:val="nil"/>
              <w:bottom w:val="single" w:sz="12" w:space="0" w:color="auto"/>
              <w:right w:val="nil"/>
            </w:tcBorders>
            <w:shd w:val="clear" w:color="auto" w:fill="auto"/>
            <w:vAlign w:val="bottom"/>
          </w:tcPr>
          <w:p w14:paraId="30693780" w14:textId="367B98F7" w:rsidR="00330357" w:rsidRPr="00931D2F" w:rsidRDefault="00330357" w:rsidP="00330357">
            <w:pPr>
              <w:suppressAutoHyphens/>
              <w:autoSpaceDN w:val="0"/>
              <w:jc w:val="right"/>
              <w:rPr>
                <w:rFonts w:ascii="Arial" w:eastAsia="Calibri" w:hAnsi="Arial" w:cs="Arial"/>
                <w:b/>
                <w:bCs/>
                <w:color w:val="000000" w:themeColor="text1"/>
                <w:sz w:val="20"/>
                <w:szCs w:val="20"/>
              </w:rPr>
            </w:pPr>
            <w:r w:rsidRPr="0062666D">
              <w:rPr>
                <w:rFonts w:ascii="Arial" w:eastAsia="Calibri" w:hAnsi="Arial" w:cs="Arial"/>
                <w:b/>
                <w:bCs/>
                <w:color w:val="000000" w:themeColor="text1"/>
                <w:sz w:val="20"/>
                <w:szCs w:val="20"/>
              </w:rPr>
              <w:t>52.922</w:t>
            </w:r>
          </w:p>
        </w:tc>
      </w:tr>
    </w:tbl>
    <w:p w14:paraId="6DAB8EBA" w14:textId="77777777" w:rsidR="00DC1558" w:rsidRPr="005273FB" w:rsidRDefault="00DC1558" w:rsidP="005273FB">
      <w:pPr>
        <w:suppressAutoHyphens/>
        <w:autoSpaceDN w:val="0"/>
        <w:jc w:val="both"/>
        <w:rPr>
          <w:rFonts w:ascii="Arial" w:eastAsia="Calibri" w:hAnsi="Arial" w:cs="Arial"/>
          <w:spacing w:val="-3"/>
          <w:sz w:val="20"/>
          <w:szCs w:val="20"/>
        </w:rPr>
      </w:pPr>
    </w:p>
    <w:p w14:paraId="6F28BFD1" w14:textId="77777777" w:rsidR="005273FB" w:rsidRPr="003D1614" w:rsidRDefault="005273FB" w:rsidP="00DC1558">
      <w:pPr>
        <w:tabs>
          <w:tab w:val="left" w:pos="-720"/>
        </w:tabs>
        <w:suppressAutoHyphens/>
        <w:autoSpaceDN w:val="0"/>
        <w:jc w:val="both"/>
        <w:rPr>
          <w:rFonts w:ascii="Arial" w:eastAsia="Times New Roman" w:hAnsi="Arial" w:cs="Arial"/>
          <w:b/>
          <w:color w:val="000000" w:themeColor="text1"/>
          <w:sz w:val="20"/>
          <w:szCs w:val="20"/>
          <w:highlight w:val="yellow"/>
        </w:rPr>
      </w:pPr>
    </w:p>
    <w:p w14:paraId="4CCBD46B" w14:textId="50B122BF" w:rsidR="00DC1558" w:rsidRPr="003D1614" w:rsidRDefault="00DC1558" w:rsidP="00DC1558">
      <w:pPr>
        <w:suppressAutoHyphens/>
        <w:autoSpaceDN w:val="0"/>
        <w:jc w:val="both"/>
        <w:rPr>
          <w:rFonts w:ascii="Arial" w:eastAsia="Times New Roman" w:hAnsi="Arial" w:cs="Arial"/>
          <w:sz w:val="20"/>
          <w:szCs w:val="20"/>
        </w:rPr>
      </w:pPr>
      <w:r w:rsidRPr="003D1614">
        <w:rPr>
          <w:rFonts w:ascii="Arial" w:eastAsia="Calibri" w:hAnsi="Arial" w:cs="Arial"/>
          <w:spacing w:val="-3"/>
          <w:sz w:val="20"/>
          <w:szCs w:val="20"/>
        </w:rPr>
        <w:t xml:space="preserve">Vlasnički papiri koji ne kotiraju u iznosu </w:t>
      </w:r>
      <w:r w:rsidRPr="00B70881">
        <w:rPr>
          <w:rFonts w:ascii="Arial" w:eastAsia="Calibri" w:hAnsi="Arial" w:cs="Arial"/>
          <w:spacing w:val="-3"/>
          <w:sz w:val="20"/>
          <w:szCs w:val="20"/>
        </w:rPr>
        <w:t xml:space="preserve">od </w:t>
      </w:r>
      <w:r w:rsidR="00881602" w:rsidRPr="00B70881">
        <w:rPr>
          <w:rFonts w:ascii="Arial" w:eastAsia="Calibri" w:hAnsi="Arial" w:cs="Arial"/>
          <w:spacing w:val="-3"/>
          <w:sz w:val="20"/>
          <w:szCs w:val="20"/>
        </w:rPr>
        <w:t>42</w:t>
      </w:r>
      <w:r w:rsidRPr="00B70881">
        <w:rPr>
          <w:rFonts w:ascii="Arial" w:eastAsia="Calibri" w:hAnsi="Arial" w:cs="Arial"/>
          <w:spacing w:val="-3"/>
          <w:sz w:val="20"/>
          <w:szCs w:val="20"/>
        </w:rPr>
        <w:t xml:space="preserve"> tisuć</w:t>
      </w:r>
      <w:r w:rsidR="007A77B7" w:rsidRPr="00B70881">
        <w:rPr>
          <w:rFonts w:ascii="Arial" w:eastAsia="Calibri" w:hAnsi="Arial" w:cs="Arial"/>
          <w:spacing w:val="-3"/>
          <w:sz w:val="20"/>
          <w:szCs w:val="20"/>
        </w:rPr>
        <w:t>e</w:t>
      </w:r>
      <w:r w:rsidRPr="000F7547">
        <w:rPr>
          <w:rFonts w:ascii="Arial" w:eastAsia="Calibri" w:hAnsi="Arial" w:cs="Arial"/>
          <w:spacing w:val="-3"/>
          <w:sz w:val="20"/>
          <w:szCs w:val="20"/>
        </w:rPr>
        <w:t xml:space="preserve"> eura (31. prosinca 202</w:t>
      </w:r>
      <w:r w:rsidR="00330357">
        <w:rPr>
          <w:rFonts w:ascii="Arial" w:eastAsia="Calibri" w:hAnsi="Arial" w:cs="Arial"/>
          <w:spacing w:val="-3"/>
          <w:sz w:val="20"/>
          <w:szCs w:val="20"/>
        </w:rPr>
        <w:t>3</w:t>
      </w:r>
      <w:r w:rsidRPr="000F7547">
        <w:rPr>
          <w:rFonts w:ascii="Arial" w:eastAsia="Calibri" w:hAnsi="Arial" w:cs="Arial"/>
          <w:spacing w:val="-3"/>
          <w:sz w:val="20"/>
          <w:szCs w:val="20"/>
        </w:rPr>
        <w:t xml:space="preserve">.: </w:t>
      </w:r>
      <w:r w:rsidR="00881602" w:rsidRPr="000F7547">
        <w:rPr>
          <w:rFonts w:ascii="Arial" w:eastAsia="Calibri" w:hAnsi="Arial" w:cs="Arial"/>
          <w:spacing w:val="-3"/>
          <w:sz w:val="20"/>
          <w:szCs w:val="20"/>
        </w:rPr>
        <w:t>42</w:t>
      </w:r>
      <w:r w:rsidRPr="000F7547">
        <w:rPr>
          <w:rFonts w:ascii="Arial" w:eastAsia="Calibri" w:hAnsi="Arial" w:cs="Arial"/>
          <w:spacing w:val="-3"/>
          <w:sz w:val="20"/>
          <w:szCs w:val="20"/>
        </w:rPr>
        <w:t xml:space="preserve"> tisuć</w:t>
      </w:r>
      <w:r w:rsidR="007A77B7" w:rsidRPr="000F7547">
        <w:rPr>
          <w:rFonts w:ascii="Arial" w:eastAsia="Calibri" w:hAnsi="Arial" w:cs="Arial"/>
          <w:spacing w:val="-3"/>
          <w:sz w:val="20"/>
          <w:szCs w:val="20"/>
        </w:rPr>
        <w:t>e</w:t>
      </w:r>
      <w:r w:rsidRPr="000F7547">
        <w:rPr>
          <w:rFonts w:ascii="Arial" w:eastAsia="Calibri" w:hAnsi="Arial" w:cs="Arial"/>
          <w:spacing w:val="-3"/>
          <w:sz w:val="20"/>
          <w:szCs w:val="20"/>
        </w:rPr>
        <w:t xml:space="preserve"> eura) odnose se na depozitarne potvrde o vlasništvu (engl. depository receipt</w:t>
      </w:r>
      <w:r w:rsidRPr="003D1614">
        <w:rPr>
          <w:rFonts w:ascii="Arial" w:eastAsia="Calibri" w:hAnsi="Arial" w:cs="Arial"/>
          <w:spacing w:val="-3"/>
          <w:sz w:val="20"/>
          <w:szCs w:val="20"/>
        </w:rPr>
        <w:t xml:space="preserve"> – DR) </w:t>
      </w:r>
      <w:r w:rsidRPr="003D1614">
        <w:rPr>
          <w:rFonts w:ascii="Arial" w:eastAsia="Times New Roman" w:hAnsi="Arial" w:cs="Arial"/>
          <w:sz w:val="20"/>
          <w:szCs w:val="20"/>
        </w:rPr>
        <w:t>Fortenova Group Stak Stichting preuzete Nagodbom u Postupku izvanredne uprave nad Agrokor d.d. i dr.</w:t>
      </w:r>
    </w:p>
    <w:p w14:paraId="42A0DB05" w14:textId="77777777" w:rsidR="00DC1558" w:rsidRPr="003D1614" w:rsidRDefault="00DC1558" w:rsidP="00DC1558">
      <w:pPr>
        <w:suppressAutoHyphens/>
        <w:autoSpaceDN w:val="0"/>
        <w:jc w:val="both"/>
        <w:rPr>
          <w:rFonts w:ascii="Arial" w:eastAsia="Calibri" w:hAnsi="Arial" w:cs="Arial"/>
          <w:spacing w:val="-3"/>
          <w:sz w:val="20"/>
          <w:szCs w:val="20"/>
        </w:rPr>
      </w:pPr>
    </w:p>
    <w:p w14:paraId="73AA0719" w14:textId="2D27C6B0" w:rsidR="00DC1558" w:rsidRPr="003D1614" w:rsidRDefault="00DC1558" w:rsidP="00DC1558">
      <w:pPr>
        <w:suppressAutoHyphens/>
        <w:autoSpaceDN w:val="0"/>
        <w:jc w:val="both"/>
        <w:rPr>
          <w:rFonts w:ascii="Arial" w:eastAsia="Calibri" w:hAnsi="Arial" w:cs="Arial"/>
          <w:spacing w:val="-3"/>
          <w:sz w:val="20"/>
          <w:szCs w:val="20"/>
        </w:rPr>
      </w:pPr>
      <w:r w:rsidRPr="003D1614">
        <w:rPr>
          <w:rFonts w:ascii="Arial" w:eastAsia="Calibri" w:hAnsi="Arial" w:cs="Arial"/>
          <w:spacing w:val="-3"/>
          <w:sz w:val="20"/>
          <w:szCs w:val="20"/>
        </w:rPr>
        <w:t xml:space="preserve">Na dan </w:t>
      </w:r>
      <w:r w:rsidR="007C3C47">
        <w:rPr>
          <w:rFonts w:ascii="Arial" w:eastAsia="Calibri" w:hAnsi="Arial" w:cs="Arial"/>
          <w:spacing w:val="-3"/>
          <w:sz w:val="20"/>
          <w:szCs w:val="20"/>
        </w:rPr>
        <w:t>30</w:t>
      </w:r>
      <w:r w:rsidRPr="003D1614">
        <w:rPr>
          <w:rFonts w:ascii="Arial" w:eastAsia="Calibri" w:hAnsi="Arial" w:cs="Arial"/>
          <w:spacing w:val="-3"/>
          <w:sz w:val="20"/>
          <w:szCs w:val="20"/>
        </w:rPr>
        <w:t xml:space="preserve">. </w:t>
      </w:r>
      <w:r w:rsidR="002F4581">
        <w:rPr>
          <w:rFonts w:ascii="Arial" w:eastAsia="Calibri" w:hAnsi="Arial" w:cs="Arial"/>
          <w:spacing w:val="-3"/>
          <w:sz w:val="20"/>
          <w:szCs w:val="20"/>
        </w:rPr>
        <w:t>rujna</w:t>
      </w:r>
      <w:r w:rsidR="007C3C47" w:rsidRPr="003D1614">
        <w:rPr>
          <w:rFonts w:ascii="Arial" w:eastAsia="Calibri" w:hAnsi="Arial" w:cs="Arial"/>
          <w:spacing w:val="-3"/>
          <w:sz w:val="20"/>
          <w:szCs w:val="20"/>
        </w:rPr>
        <w:t xml:space="preserve"> </w:t>
      </w:r>
      <w:r w:rsidRPr="003D1614">
        <w:rPr>
          <w:rFonts w:ascii="Arial" w:eastAsia="Calibri" w:hAnsi="Arial" w:cs="Arial"/>
          <w:spacing w:val="-3"/>
          <w:sz w:val="20"/>
          <w:szCs w:val="20"/>
        </w:rPr>
        <w:t>202</w:t>
      </w:r>
      <w:r w:rsidR="00B52385">
        <w:rPr>
          <w:rFonts w:ascii="Arial" w:eastAsia="Calibri" w:hAnsi="Arial" w:cs="Arial"/>
          <w:spacing w:val="-3"/>
          <w:sz w:val="20"/>
          <w:szCs w:val="20"/>
        </w:rPr>
        <w:t>4</w:t>
      </w:r>
      <w:r w:rsidRPr="003D1614">
        <w:rPr>
          <w:rFonts w:ascii="Arial" w:eastAsia="Calibri" w:hAnsi="Arial" w:cs="Arial"/>
          <w:spacing w:val="-3"/>
          <w:sz w:val="20"/>
          <w:szCs w:val="20"/>
        </w:rPr>
        <w:t xml:space="preserve">. </w:t>
      </w:r>
      <w:r w:rsidRPr="002C4D30">
        <w:rPr>
          <w:rFonts w:ascii="Arial" w:eastAsia="Calibri" w:hAnsi="Arial" w:cs="Arial"/>
          <w:spacing w:val="-3"/>
          <w:sz w:val="20"/>
          <w:szCs w:val="20"/>
        </w:rPr>
        <w:t xml:space="preserve">iskazana je pozitivna fer vrijednost derivativnih financijskih instrumenata u visini od </w:t>
      </w:r>
      <w:r w:rsidR="00B70881">
        <w:rPr>
          <w:rFonts w:ascii="Arial" w:eastAsia="Calibri" w:hAnsi="Arial" w:cs="Arial"/>
          <w:spacing w:val="-3"/>
          <w:sz w:val="20"/>
          <w:szCs w:val="20"/>
        </w:rPr>
        <w:t xml:space="preserve">20 </w:t>
      </w:r>
      <w:r w:rsidRPr="002C4D30">
        <w:rPr>
          <w:rFonts w:ascii="Arial" w:eastAsia="Calibri" w:hAnsi="Arial" w:cs="Arial"/>
          <w:spacing w:val="-3"/>
          <w:sz w:val="20"/>
          <w:szCs w:val="20"/>
        </w:rPr>
        <w:t>tisuća</w:t>
      </w:r>
      <w:r w:rsidR="001B247D" w:rsidRPr="002C4D30">
        <w:rPr>
          <w:rFonts w:ascii="Arial" w:eastAsia="Calibri" w:hAnsi="Arial" w:cs="Arial"/>
          <w:spacing w:val="-3"/>
          <w:sz w:val="20"/>
          <w:szCs w:val="20"/>
        </w:rPr>
        <w:t xml:space="preserve"> eura</w:t>
      </w:r>
      <w:r w:rsidRPr="002C4D30">
        <w:rPr>
          <w:rFonts w:ascii="Arial" w:eastAsia="Calibri" w:hAnsi="Arial" w:cs="Arial"/>
          <w:spacing w:val="-3"/>
          <w:sz w:val="20"/>
          <w:szCs w:val="20"/>
        </w:rPr>
        <w:t xml:space="preserve"> (31. prosinca 202</w:t>
      </w:r>
      <w:r w:rsidR="00B52385">
        <w:rPr>
          <w:rFonts w:ascii="Arial" w:eastAsia="Calibri" w:hAnsi="Arial" w:cs="Arial"/>
          <w:spacing w:val="-3"/>
          <w:sz w:val="20"/>
          <w:szCs w:val="20"/>
        </w:rPr>
        <w:t>3</w:t>
      </w:r>
      <w:r w:rsidRPr="002C4D30">
        <w:rPr>
          <w:rFonts w:ascii="Arial" w:eastAsia="Calibri" w:hAnsi="Arial" w:cs="Arial"/>
          <w:spacing w:val="-3"/>
          <w:sz w:val="20"/>
          <w:szCs w:val="20"/>
        </w:rPr>
        <w:t xml:space="preserve">.: </w:t>
      </w:r>
      <w:r w:rsidR="00881602" w:rsidRPr="002C4D30">
        <w:rPr>
          <w:rFonts w:ascii="Arial" w:eastAsia="Calibri" w:hAnsi="Arial" w:cs="Arial"/>
          <w:spacing w:val="-3"/>
          <w:sz w:val="20"/>
          <w:szCs w:val="20"/>
        </w:rPr>
        <w:t>1</w:t>
      </w:r>
      <w:r w:rsidR="00B52385">
        <w:rPr>
          <w:rFonts w:ascii="Arial" w:eastAsia="Calibri" w:hAnsi="Arial" w:cs="Arial"/>
          <w:spacing w:val="-3"/>
          <w:sz w:val="20"/>
          <w:szCs w:val="20"/>
        </w:rPr>
        <w:t>1</w:t>
      </w:r>
      <w:r w:rsidRPr="002C4D30">
        <w:rPr>
          <w:rFonts w:ascii="Arial" w:eastAsia="Calibri" w:hAnsi="Arial" w:cs="Arial"/>
          <w:spacing w:val="-3"/>
          <w:sz w:val="20"/>
          <w:szCs w:val="20"/>
        </w:rPr>
        <w:t xml:space="preserve"> tisuća </w:t>
      </w:r>
      <w:r w:rsidR="001B247D" w:rsidRPr="002C4D30">
        <w:rPr>
          <w:rFonts w:ascii="Arial" w:eastAsia="Calibri" w:hAnsi="Arial" w:cs="Arial"/>
          <w:spacing w:val="-3"/>
          <w:sz w:val="20"/>
          <w:szCs w:val="20"/>
        </w:rPr>
        <w:t>eura</w:t>
      </w:r>
      <w:r w:rsidRPr="002C4D30">
        <w:rPr>
          <w:rFonts w:ascii="Arial" w:eastAsia="Calibri" w:hAnsi="Arial" w:cs="Arial"/>
          <w:spacing w:val="-3"/>
          <w:sz w:val="20"/>
          <w:szCs w:val="20"/>
        </w:rPr>
        <w:t>).</w:t>
      </w:r>
    </w:p>
    <w:p w14:paraId="7F82E37E" w14:textId="77777777" w:rsidR="001B247D" w:rsidRPr="003D1614" w:rsidRDefault="001B247D" w:rsidP="00DC1558">
      <w:pPr>
        <w:suppressAutoHyphens/>
        <w:autoSpaceDN w:val="0"/>
        <w:jc w:val="both"/>
        <w:rPr>
          <w:rFonts w:ascii="Arial" w:eastAsia="Calibri" w:hAnsi="Arial" w:cs="Arial"/>
          <w:spacing w:val="-3"/>
          <w:sz w:val="20"/>
          <w:szCs w:val="20"/>
        </w:rPr>
        <w:sectPr w:rsidR="001B247D" w:rsidRPr="003D1614">
          <w:pgSz w:w="11906" w:h="16838"/>
          <w:pgMar w:top="1417" w:right="1417" w:bottom="1417" w:left="1417" w:header="708" w:footer="708" w:gutter="0"/>
          <w:cols w:space="708"/>
          <w:docGrid w:linePitch="360"/>
        </w:sectPr>
      </w:pPr>
    </w:p>
    <w:p w14:paraId="72CC52E4" w14:textId="77777777" w:rsidR="001B247D" w:rsidRPr="003D1614" w:rsidRDefault="001B247D" w:rsidP="001B247D">
      <w:pPr>
        <w:suppressAutoHyphens/>
        <w:autoSpaceDN w:val="0"/>
        <w:jc w:val="both"/>
        <w:outlineLvl w:val="0"/>
        <w:rPr>
          <w:rFonts w:ascii="Arial" w:eastAsia="Times New Roman" w:hAnsi="Arial" w:cs="Arial"/>
          <w:b/>
          <w:bCs/>
          <w:color w:val="000000" w:themeColor="text1"/>
        </w:rPr>
      </w:pPr>
    </w:p>
    <w:p w14:paraId="2394E8D2" w14:textId="6BC15AE3" w:rsidR="001B247D" w:rsidRPr="003D1614" w:rsidRDefault="001B247D" w:rsidP="001B247D">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1</w:t>
      </w:r>
      <w:r w:rsidR="003D1614">
        <w:rPr>
          <w:rFonts w:ascii="Arial" w:eastAsia="Times New Roman" w:hAnsi="Arial" w:cs="Arial"/>
          <w:b/>
          <w:bCs/>
          <w:color w:val="000000" w:themeColor="text1"/>
          <w:sz w:val="20"/>
          <w:szCs w:val="20"/>
        </w:rPr>
        <w:t>4</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Financijska imovina po fer vrijednosti kroz ostalu sveobuhvatnu dobit</w:t>
      </w:r>
      <w:r w:rsidRPr="003D1614">
        <w:rPr>
          <w:rFonts w:ascii="Arial" w:eastAsia="Times New Roman" w:hAnsi="Arial" w:cs="Arial"/>
          <w:b/>
          <w:bCs/>
          <w:color w:val="000000" w:themeColor="text1"/>
          <w:sz w:val="20"/>
          <w:szCs w:val="20"/>
        </w:rPr>
        <w:tab/>
      </w:r>
      <w:r w:rsidRPr="003D1614">
        <w:rPr>
          <w:rFonts w:ascii="Arial" w:eastAsia="Times New Roman" w:hAnsi="Arial" w:cs="Arial"/>
          <w:b/>
          <w:bCs/>
          <w:color w:val="000000" w:themeColor="text1"/>
          <w:sz w:val="20"/>
          <w:szCs w:val="20"/>
        </w:rPr>
        <w:tab/>
      </w:r>
      <w:r w:rsidRPr="003D1614">
        <w:rPr>
          <w:rFonts w:ascii="Arial" w:eastAsia="Times New Roman" w:hAnsi="Arial" w:cs="Arial"/>
          <w:b/>
          <w:bCs/>
          <w:color w:val="000000" w:themeColor="text1"/>
          <w:sz w:val="20"/>
          <w:szCs w:val="20"/>
        </w:rPr>
        <w:tab/>
      </w:r>
      <w:r w:rsidRPr="003D1614">
        <w:rPr>
          <w:rFonts w:ascii="Arial" w:eastAsia="Times New Roman" w:hAnsi="Arial" w:cs="Arial"/>
          <w:b/>
          <w:bCs/>
          <w:color w:val="000000" w:themeColor="text1"/>
          <w:sz w:val="20"/>
          <w:szCs w:val="20"/>
        </w:rPr>
        <w:tab/>
      </w:r>
    </w:p>
    <w:tbl>
      <w:tblPr>
        <w:tblW w:w="9582" w:type="dxa"/>
        <w:tblLook w:val="04A0" w:firstRow="1" w:lastRow="0" w:firstColumn="1" w:lastColumn="0" w:noHBand="0" w:noVBand="1"/>
      </w:tblPr>
      <w:tblGrid>
        <w:gridCol w:w="3912"/>
        <w:gridCol w:w="1417"/>
        <w:gridCol w:w="1418"/>
        <w:gridCol w:w="1417"/>
        <w:gridCol w:w="1418"/>
      </w:tblGrid>
      <w:tr w:rsidR="001B247D" w:rsidRPr="002B3067" w14:paraId="481D7115" w14:textId="77777777" w:rsidTr="002B3067">
        <w:trPr>
          <w:trHeight w:val="281"/>
        </w:trPr>
        <w:tc>
          <w:tcPr>
            <w:tcW w:w="3912" w:type="dxa"/>
            <w:tcBorders>
              <w:top w:val="nil"/>
              <w:left w:val="nil"/>
              <w:bottom w:val="nil"/>
              <w:right w:val="nil"/>
            </w:tcBorders>
            <w:shd w:val="clear" w:color="auto" w:fill="auto"/>
            <w:vAlign w:val="bottom"/>
            <w:hideMark/>
          </w:tcPr>
          <w:p w14:paraId="22B47AA9" w14:textId="77777777" w:rsidR="001B247D" w:rsidRPr="002B3067" w:rsidRDefault="001B247D" w:rsidP="001B247D">
            <w:pPr>
              <w:suppressAutoHyphens/>
              <w:autoSpaceDN w:val="0"/>
              <w:rPr>
                <w:rFonts w:ascii="Arial" w:eastAsia="Calibri" w:hAnsi="Arial" w:cs="Arial"/>
                <w:color w:val="000000" w:themeColor="text1"/>
                <w:sz w:val="20"/>
                <w:szCs w:val="20"/>
              </w:rPr>
            </w:pPr>
          </w:p>
        </w:tc>
        <w:tc>
          <w:tcPr>
            <w:tcW w:w="2835" w:type="dxa"/>
            <w:gridSpan w:val="2"/>
            <w:tcBorders>
              <w:top w:val="nil"/>
              <w:left w:val="nil"/>
              <w:bottom w:val="nil"/>
              <w:right w:val="nil"/>
            </w:tcBorders>
            <w:shd w:val="clear" w:color="auto" w:fill="auto"/>
            <w:vAlign w:val="bottom"/>
            <w:hideMark/>
          </w:tcPr>
          <w:p w14:paraId="00D26BFB" w14:textId="77777777" w:rsidR="001B247D" w:rsidRPr="002B3067" w:rsidRDefault="001B247D" w:rsidP="001B247D">
            <w:pPr>
              <w:suppressAutoHyphens/>
              <w:autoSpaceDN w:val="0"/>
              <w:jc w:val="right"/>
              <w:rPr>
                <w:rFonts w:ascii="Arial" w:eastAsia="Calibri" w:hAnsi="Arial" w:cs="Arial"/>
                <w:b/>
                <w:bCs/>
                <w:color w:val="000000" w:themeColor="text1"/>
                <w:sz w:val="20"/>
                <w:szCs w:val="20"/>
              </w:rPr>
            </w:pPr>
            <w:r w:rsidRPr="002B3067">
              <w:rPr>
                <w:rFonts w:ascii="Arial" w:eastAsia="Calibri" w:hAnsi="Arial" w:cs="Arial"/>
                <w:b/>
                <w:bCs/>
                <w:color w:val="000000" w:themeColor="text1"/>
                <w:sz w:val="20"/>
                <w:szCs w:val="20"/>
              </w:rPr>
              <w:t>Grupa</w:t>
            </w:r>
          </w:p>
        </w:tc>
        <w:tc>
          <w:tcPr>
            <w:tcW w:w="2835" w:type="dxa"/>
            <w:gridSpan w:val="2"/>
            <w:tcBorders>
              <w:top w:val="nil"/>
              <w:left w:val="nil"/>
              <w:bottom w:val="nil"/>
              <w:right w:val="nil"/>
            </w:tcBorders>
            <w:shd w:val="clear" w:color="auto" w:fill="auto"/>
            <w:vAlign w:val="bottom"/>
            <w:hideMark/>
          </w:tcPr>
          <w:p w14:paraId="238533B5" w14:textId="77777777" w:rsidR="001B247D" w:rsidRPr="002B3067" w:rsidRDefault="001B247D" w:rsidP="001B247D">
            <w:pPr>
              <w:suppressAutoHyphens/>
              <w:autoSpaceDN w:val="0"/>
              <w:jc w:val="right"/>
              <w:rPr>
                <w:rFonts w:ascii="Arial" w:eastAsia="Calibri" w:hAnsi="Arial" w:cs="Arial"/>
                <w:b/>
                <w:bCs/>
                <w:color w:val="000000" w:themeColor="text1"/>
                <w:sz w:val="20"/>
                <w:szCs w:val="20"/>
              </w:rPr>
            </w:pPr>
            <w:r w:rsidRPr="002B3067">
              <w:rPr>
                <w:rFonts w:ascii="Arial" w:eastAsia="Calibri" w:hAnsi="Arial" w:cs="Arial"/>
                <w:b/>
                <w:bCs/>
                <w:color w:val="000000" w:themeColor="text1"/>
                <w:sz w:val="20"/>
                <w:szCs w:val="20"/>
              </w:rPr>
              <w:t>Banka</w:t>
            </w:r>
          </w:p>
        </w:tc>
      </w:tr>
      <w:tr w:rsidR="001B247D" w:rsidRPr="002B3067" w14:paraId="7348AAD4" w14:textId="77777777" w:rsidTr="002B3067">
        <w:trPr>
          <w:trHeight w:val="281"/>
        </w:trPr>
        <w:tc>
          <w:tcPr>
            <w:tcW w:w="3912" w:type="dxa"/>
            <w:tcBorders>
              <w:top w:val="nil"/>
              <w:left w:val="nil"/>
              <w:bottom w:val="nil"/>
              <w:right w:val="nil"/>
            </w:tcBorders>
            <w:shd w:val="clear" w:color="auto" w:fill="auto"/>
            <w:vAlign w:val="bottom"/>
            <w:hideMark/>
          </w:tcPr>
          <w:p w14:paraId="2C881F2A" w14:textId="77777777" w:rsidR="001B247D" w:rsidRPr="002B3067" w:rsidRDefault="001B247D" w:rsidP="001B247D">
            <w:pPr>
              <w:suppressAutoHyphens/>
              <w:autoSpaceDN w:val="0"/>
              <w:jc w:val="right"/>
              <w:rPr>
                <w:rFonts w:ascii="Arial" w:eastAsia="Calibri" w:hAnsi="Arial" w:cs="Arial"/>
                <w:b/>
                <w:bCs/>
                <w:color w:val="000000" w:themeColor="text1"/>
                <w:sz w:val="20"/>
                <w:szCs w:val="20"/>
              </w:rPr>
            </w:pPr>
          </w:p>
        </w:tc>
        <w:tc>
          <w:tcPr>
            <w:tcW w:w="1417" w:type="dxa"/>
            <w:tcBorders>
              <w:top w:val="nil"/>
              <w:left w:val="nil"/>
              <w:bottom w:val="nil"/>
              <w:right w:val="nil"/>
            </w:tcBorders>
            <w:shd w:val="clear" w:color="auto" w:fill="auto"/>
            <w:vAlign w:val="bottom"/>
            <w:hideMark/>
          </w:tcPr>
          <w:p w14:paraId="7D205908" w14:textId="13030EB5" w:rsidR="001B247D" w:rsidRPr="002B3067" w:rsidRDefault="002F4581" w:rsidP="001B247D">
            <w:pPr>
              <w:suppressAutoHyphens/>
              <w:autoSpaceDN w:val="0"/>
              <w:jc w:val="right"/>
              <w:rPr>
                <w:rFonts w:ascii="Arial" w:eastAsia="Calibri" w:hAnsi="Arial" w:cs="Arial"/>
                <w:b/>
                <w:bCs/>
                <w:color w:val="000000" w:themeColor="text1"/>
                <w:sz w:val="20"/>
                <w:szCs w:val="20"/>
              </w:rPr>
            </w:pPr>
            <w:r w:rsidRPr="002F4581">
              <w:rPr>
                <w:rFonts w:ascii="Arial" w:eastAsia="Calibri" w:hAnsi="Arial" w:cs="Arial"/>
                <w:b/>
                <w:bCs/>
                <w:color w:val="000000" w:themeColor="text1"/>
                <w:sz w:val="20"/>
                <w:szCs w:val="20"/>
              </w:rPr>
              <w:t>30. rujna 202</w:t>
            </w:r>
            <w:r w:rsidR="00C04B6C">
              <w:rPr>
                <w:rFonts w:ascii="Arial" w:eastAsia="Calibri" w:hAnsi="Arial" w:cs="Arial"/>
                <w:b/>
                <w:bCs/>
                <w:color w:val="000000" w:themeColor="text1"/>
                <w:sz w:val="20"/>
                <w:szCs w:val="20"/>
              </w:rPr>
              <w:t>4</w:t>
            </w:r>
            <w:r w:rsidRPr="002F4581">
              <w:rPr>
                <w:rFonts w:ascii="Arial" w:eastAsia="Calibri" w:hAnsi="Arial" w:cs="Arial"/>
                <w:b/>
                <w:bCs/>
                <w:color w:val="000000" w:themeColor="text1"/>
                <w:sz w:val="20"/>
                <w:szCs w:val="20"/>
              </w:rPr>
              <w:t>.</w:t>
            </w:r>
          </w:p>
        </w:tc>
        <w:tc>
          <w:tcPr>
            <w:tcW w:w="1418" w:type="dxa"/>
            <w:tcBorders>
              <w:top w:val="nil"/>
              <w:left w:val="nil"/>
              <w:bottom w:val="nil"/>
              <w:right w:val="nil"/>
            </w:tcBorders>
            <w:shd w:val="clear" w:color="auto" w:fill="auto"/>
            <w:vAlign w:val="bottom"/>
            <w:hideMark/>
          </w:tcPr>
          <w:p w14:paraId="5D0492BF" w14:textId="019E597E" w:rsidR="001B247D" w:rsidRPr="002B3067" w:rsidRDefault="001B247D" w:rsidP="001B247D">
            <w:pPr>
              <w:suppressAutoHyphens/>
              <w:autoSpaceDN w:val="0"/>
              <w:jc w:val="right"/>
              <w:rPr>
                <w:rFonts w:ascii="Arial" w:eastAsia="Calibri" w:hAnsi="Arial" w:cs="Arial"/>
                <w:b/>
                <w:bCs/>
                <w:color w:val="000000" w:themeColor="text1"/>
                <w:sz w:val="20"/>
                <w:szCs w:val="20"/>
              </w:rPr>
            </w:pPr>
            <w:r w:rsidRPr="002B3067">
              <w:rPr>
                <w:rFonts w:ascii="Arial" w:eastAsia="Calibri" w:hAnsi="Arial" w:cs="Arial"/>
                <w:b/>
                <w:bCs/>
                <w:color w:val="000000" w:themeColor="text1"/>
                <w:sz w:val="20"/>
                <w:szCs w:val="20"/>
              </w:rPr>
              <w:t>31. prosinca 202</w:t>
            </w:r>
            <w:r w:rsidR="00C04B6C">
              <w:rPr>
                <w:rFonts w:ascii="Arial" w:eastAsia="Calibri" w:hAnsi="Arial" w:cs="Arial"/>
                <w:b/>
                <w:bCs/>
                <w:color w:val="000000" w:themeColor="text1"/>
                <w:sz w:val="20"/>
                <w:szCs w:val="20"/>
              </w:rPr>
              <w:t>3</w:t>
            </w:r>
            <w:r w:rsidRPr="002B3067">
              <w:rPr>
                <w:rFonts w:ascii="Arial" w:eastAsia="Calibri" w:hAnsi="Arial" w:cs="Arial"/>
                <w:b/>
                <w:bCs/>
                <w:color w:val="000000" w:themeColor="text1"/>
                <w:sz w:val="20"/>
                <w:szCs w:val="20"/>
              </w:rPr>
              <w:t>.</w:t>
            </w:r>
          </w:p>
        </w:tc>
        <w:tc>
          <w:tcPr>
            <w:tcW w:w="1417" w:type="dxa"/>
            <w:tcBorders>
              <w:top w:val="nil"/>
              <w:left w:val="nil"/>
              <w:bottom w:val="nil"/>
              <w:right w:val="nil"/>
            </w:tcBorders>
            <w:shd w:val="clear" w:color="auto" w:fill="auto"/>
            <w:vAlign w:val="bottom"/>
            <w:hideMark/>
          </w:tcPr>
          <w:p w14:paraId="137E998F" w14:textId="36860FA7" w:rsidR="001B247D" w:rsidRPr="002B3067" w:rsidRDefault="002F4581" w:rsidP="001B247D">
            <w:pPr>
              <w:suppressAutoHyphens/>
              <w:autoSpaceDN w:val="0"/>
              <w:jc w:val="right"/>
              <w:rPr>
                <w:rFonts w:ascii="Arial" w:eastAsia="Calibri" w:hAnsi="Arial" w:cs="Arial"/>
                <w:b/>
                <w:bCs/>
                <w:color w:val="000000" w:themeColor="text1"/>
                <w:sz w:val="20"/>
                <w:szCs w:val="20"/>
              </w:rPr>
            </w:pPr>
            <w:r w:rsidRPr="002F4581">
              <w:rPr>
                <w:rFonts w:ascii="Arial" w:eastAsia="Calibri" w:hAnsi="Arial" w:cs="Arial"/>
                <w:b/>
                <w:bCs/>
                <w:color w:val="000000" w:themeColor="text1"/>
                <w:sz w:val="20"/>
                <w:szCs w:val="20"/>
              </w:rPr>
              <w:t>30. rujna 202</w:t>
            </w:r>
            <w:r w:rsidR="00C04B6C">
              <w:rPr>
                <w:rFonts w:ascii="Arial" w:eastAsia="Calibri" w:hAnsi="Arial" w:cs="Arial"/>
                <w:b/>
                <w:bCs/>
                <w:color w:val="000000" w:themeColor="text1"/>
                <w:sz w:val="20"/>
                <w:szCs w:val="20"/>
              </w:rPr>
              <w:t>4</w:t>
            </w:r>
            <w:r w:rsidR="001B247D" w:rsidRPr="002B3067">
              <w:rPr>
                <w:rFonts w:ascii="Arial" w:eastAsia="Calibri" w:hAnsi="Arial" w:cs="Arial"/>
                <w:b/>
                <w:bCs/>
                <w:color w:val="000000" w:themeColor="text1"/>
                <w:sz w:val="20"/>
                <w:szCs w:val="20"/>
              </w:rPr>
              <w:t>.</w:t>
            </w:r>
          </w:p>
        </w:tc>
        <w:tc>
          <w:tcPr>
            <w:tcW w:w="1418" w:type="dxa"/>
            <w:tcBorders>
              <w:top w:val="nil"/>
              <w:left w:val="nil"/>
              <w:bottom w:val="nil"/>
              <w:right w:val="nil"/>
            </w:tcBorders>
            <w:shd w:val="clear" w:color="auto" w:fill="auto"/>
            <w:vAlign w:val="bottom"/>
            <w:hideMark/>
          </w:tcPr>
          <w:p w14:paraId="7AD5B333" w14:textId="0F4B1174" w:rsidR="001B247D" w:rsidRPr="002B3067" w:rsidRDefault="001B247D" w:rsidP="001B247D">
            <w:pPr>
              <w:suppressAutoHyphens/>
              <w:autoSpaceDN w:val="0"/>
              <w:jc w:val="right"/>
              <w:rPr>
                <w:rFonts w:ascii="Arial" w:eastAsia="Calibri" w:hAnsi="Arial" w:cs="Arial"/>
                <w:b/>
                <w:bCs/>
                <w:color w:val="000000" w:themeColor="text1"/>
                <w:sz w:val="20"/>
                <w:szCs w:val="20"/>
              </w:rPr>
            </w:pPr>
            <w:r w:rsidRPr="002B3067">
              <w:rPr>
                <w:rFonts w:ascii="Arial" w:eastAsia="Calibri" w:hAnsi="Arial" w:cs="Arial"/>
                <w:b/>
                <w:bCs/>
                <w:color w:val="000000" w:themeColor="text1"/>
                <w:sz w:val="20"/>
                <w:szCs w:val="20"/>
              </w:rPr>
              <w:t>31. prosinca 202</w:t>
            </w:r>
            <w:r w:rsidR="00C04B6C">
              <w:rPr>
                <w:rFonts w:ascii="Arial" w:eastAsia="Calibri" w:hAnsi="Arial" w:cs="Arial"/>
                <w:b/>
                <w:bCs/>
                <w:color w:val="000000" w:themeColor="text1"/>
                <w:sz w:val="20"/>
                <w:szCs w:val="20"/>
              </w:rPr>
              <w:t>3</w:t>
            </w:r>
            <w:r w:rsidRPr="002B3067">
              <w:rPr>
                <w:rFonts w:ascii="Arial" w:eastAsia="Calibri" w:hAnsi="Arial" w:cs="Arial"/>
                <w:b/>
                <w:bCs/>
                <w:color w:val="000000" w:themeColor="text1"/>
                <w:sz w:val="20"/>
                <w:szCs w:val="20"/>
              </w:rPr>
              <w:t>.</w:t>
            </w:r>
          </w:p>
        </w:tc>
      </w:tr>
      <w:tr w:rsidR="001B247D" w:rsidRPr="002B3067" w14:paraId="3FABB5E0" w14:textId="77777777" w:rsidTr="002B3067">
        <w:trPr>
          <w:trHeight w:val="281"/>
        </w:trPr>
        <w:tc>
          <w:tcPr>
            <w:tcW w:w="3912" w:type="dxa"/>
            <w:tcBorders>
              <w:top w:val="nil"/>
              <w:left w:val="nil"/>
              <w:bottom w:val="nil"/>
              <w:right w:val="nil"/>
            </w:tcBorders>
            <w:shd w:val="clear" w:color="auto" w:fill="auto"/>
            <w:vAlign w:val="bottom"/>
            <w:hideMark/>
          </w:tcPr>
          <w:p w14:paraId="45CE783B" w14:textId="77777777" w:rsidR="001B247D" w:rsidRPr="002B3067" w:rsidRDefault="001B247D" w:rsidP="001B247D">
            <w:pPr>
              <w:suppressAutoHyphens/>
              <w:autoSpaceDN w:val="0"/>
              <w:jc w:val="right"/>
              <w:rPr>
                <w:rFonts w:ascii="Arial" w:eastAsia="Calibri" w:hAnsi="Arial" w:cs="Arial"/>
                <w:b/>
                <w:bCs/>
                <w:color w:val="000000" w:themeColor="text1"/>
                <w:sz w:val="20"/>
                <w:szCs w:val="20"/>
              </w:rPr>
            </w:pPr>
          </w:p>
        </w:tc>
        <w:tc>
          <w:tcPr>
            <w:tcW w:w="1417" w:type="dxa"/>
            <w:tcBorders>
              <w:top w:val="nil"/>
              <w:left w:val="nil"/>
              <w:bottom w:val="nil"/>
              <w:right w:val="nil"/>
            </w:tcBorders>
            <w:shd w:val="clear" w:color="auto" w:fill="auto"/>
            <w:vAlign w:val="bottom"/>
            <w:hideMark/>
          </w:tcPr>
          <w:p w14:paraId="1CE75AF5" w14:textId="1011FD80" w:rsidR="001B247D" w:rsidRPr="002B3067" w:rsidRDefault="001B247D" w:rsidP="001B247D">
            <w:pPr>
              <w:suppressAutoHyphens/>
              <w:autoSpaceDN w:val="0"/>
              <w:jc w:val="right"/>
              <w:rPr>
                <w:rFonts w:ascii="Arial" w:eastAsia="Calibri" w:hAnsi="Arial" w:cs="Arial"/>
                <w:b/>
                <w:bCs/>
                <w:color w:val="000000" w:themeColor="text1"/>
                <w:sz w:val="20"/>
                <w:szCs w:val="20"/>
              </w:rPr>
            </w:pPr>
            <w:r w:rsidRPr="002B3067">
              <w:rPr>
                <w:rFonts w:ascii="Arial" w:eastAsia="Calibri" w:hAnsi="Arial" w:cs="Arial"/>
                <w:b/>
                <w:bCs/>
                <w:color w:val="000000" w:themeColor="text1"/>
                <w:sz w:val="20"/>
                <w:szCs w:val="20"/>
              </w:rPr>
              <w:t>000 eura</w:t>
            </w:r>
          </w:p>
        </w:tc>
        <w:tc>
          <w:tcPr>
            <w:tcW w:w="1418" w:type="dxa"/>
            <w:tcBorders>
              <w:top w:val="nil"/>
              <w:left w:val="nil"/>
              <w:bottom w:val="nil"/>
              <w:right w:val="nil"/>
            </w:tcBorders>
            <w:shd w:val="clear" w:color="auto" w:fill="auto"/>
            <w:vAlign w:val="bottom"/>
            <w:hideMark/>
          </w:tcPr>
          <w:p w14:paraId="72993594" w14:textId="5CB08C7D" w:rsidR="001B247D" w:rsidRPr="002B3067" w:rsidRDefault="001B247D" w:rsidP="001B247D">
            <w:pPr>
              <w:suppressAutoHyphens/>
              <w:autoSpaceDN w:val="0"/>
              <w:jc w:val="right"/>
              <w:rPr>
                <w:rFonts w:ascii="Arial" w:eastAsia="Calibri" w:hAnsi="Arial" w:cs="Arial"/>
                <w:b/>
                <w:bCs/>
                <w:color w:val="000000" w:themeColor="text1"/>
                <w:sz w:val="20"/>
                <w:szCs w:val="20"/>
              </w:rPr>
            </w:pPr>
            <w:r w:rsidRPr="002B3067">
              <w:rPr>
                <w:rFonts w:ascii="Arial" w:eastAsia="Calibri" w:hAnsi="Arial" w:cs="Arial"/>
                <w:b/>
                <w:bCs/>
                <w:color w:val="000000" w:themeColor="text1"/>
                <w:sz w:val="20"/>
                <w:szCs w:val="20"/>
              </w:rPr>
              <w:t>000 eura</w:t>
            </w:r>
          </w:p>
        </w:tc>
        <w:tc>
          <w:tcPr>
            <w:tcW w:w="1417" w:type="dxa"/>
            <w:tcBorders>
              <w:top w:val="nil"/>
              <w:left w:val="nil"/>
              <w:bottom w:val="nil"/>
              <w:right w:val="nil"/>
            </w:tcBorders>
            <w:shd w:val="clear" w:color="auto" w:fill="auto"/>
            <w:vAlign w:val="bottom"/>
            <w:hideMark/>
          </w:tcPr>
          <w:p w14:paraId="7AA96107" w14:textId="38093187" w:rsidR="001B247D" w:rsidRPr="002B3067" w:rsidRDefault="001B247D" w:rsidP="001B247D">
            <w:pPr>
              <w:suppressAutoHyphens/>
              <w:autoSpaceDN w:val="0"/>
              <w:jc w:val="right"/>
              <w:rPr>
                <w:rFonts w:ascii="Arial" w:eastAsia="Calibri" w:hAnsi="Arial" w:cs="Arial"/>
                <w:b/>
                <w:bCs/>
                <w:color w:val="000000" w:themeColor="text1"/>
                <w:sz w:val="20"/>
                <w:szCs w:val="20"/>
              </w:rPr>
            </w:pPr>
            <w:r w:rsidRPr="002B3067">
              <w:rPr>
                <w:rFonts w:ascii="Arial" w:eastAsia="Calibri" w:hAnsi="Arial" w:cs="Arial"/>
                <w:b/>
                <w:bCs/>
                <w:color w:val="000000" w:themeColor="text1"/>
                <w:sz w:val="20"/>
                <w:szCs w:val="20"/>
              </w:rPr>
              <w:t>000 eura</w:t>
            </w:r>
          </w:p>
        </w:tc>
        <w:tc>
          <w:tcPr>
            <w:tcW w:w="1418" w:type="dxa"/>
            <w:tcBorders>
              <w:top w:val="nil"/>
              <w:left w:val="nil"/>
              <w:bottom w:val="nil"/>
              <w:right w:val="nil"/>
            </w:tcBorders>
            <w:shd w:val="clear" w:color="auto" w:fill="auto"/>
            <w:vAlign w:val="bottom"/>
            <w:hideMark/>
          </w:tcPr>
          <w:p w14:paraId="4EFC49E5" w14:textId="32BE18BF" w:rsidR="001B247D" w:rsidRPr="002B3067" w:rsidRDefault="001B247D" w:rsidP="001B247D">
            <w:pPr>
              <w:suppressAutoHyphens/>
              <w:autoSpaceDN w:val="0"/>
              <w:jc w:val="right"/>
              <w:rPr>
                <w:rFonts w:ascii="Arial" w:eastAsia="Calibri" w:hAnsi="Arial" w:cs="Arial"/>
                <w:b/>
                <w:bCs/>
                <w:color w:val="000000" w:themeColor="text1"/>
                <w:sz w:val="20"/>
                <w:szCs w:val="20"/>
              </w:rPr>
            </w:pPr>
            <w:r w:rsidRPr="002B3067">
              <w:rPr>
                <w:rFonts w:ascii="Arial" w:eastAsia="Calibri" w:hAnsi="Arial" w:cs="Arial"/>
                <w:b/>
                <w:bCs/>
                <w:color w:val="000000" w:themeColor="text1"/>
                <w:sz w:val="20"/>
                <w:szCs w:val="20"/>
              </w:rPr>
              <w:t>000 eura</w:t>
            </w:r>
          </w:p>
        </w:tc>
      </w:tr>
      <w:tr w:rsidR="001B247D" w:rsidRPr="002B3067" w14:paraId="37184513" w14:textId="77777777" w:rsidTr="002B3067">
        <w:trPr>
          <w:trHeight w:val="281"/>
        </w:trPr>
        <w:tc>
          <w:tcPr>
            <w:tcW w:w="3912" w:type="dxa"/>
            <w:tcBorders>
              <w:top w:val="nil"/>
              <w:left w:val="nil"/>
              <w:bottom w:val="nil"/>
              <w:right w:val="nil"/>
            </w:tcBorders>
            <w:shd w:val="clear" w:color="auto" w:fill="auto"/>
            <w:vAlign w:val="bottom"/>
            <w:hideMark/>
          </w:tcPr>
          <w:p w14:paraId="396D2A7E" w14:textId="77777777" w:rsidR="001B247D" w:rsidRPr="002B3067" w:rsidRDefault="001B247D" w:rsidP="001B247D">
            <w:pPr>
              <w:suppressAutoHyphens/>
              <w:autoSpaceDN w:val="0"/>
              <w:rPr>
                <w:rFonts w:ascii="Arial" w:eastAsia="Calibri" w:hAnsi="Arial" w:cs="Arial"/>
                <w:b/>
                <w:bCs/>
                <w:i/>
                <w:iCs/>
                <w:color w:val="000000" w:themeColor="text1"/>
                <w:sz w:val="20"/>
                <w:szCs w:val="20"/>
              </w:rPr>
            </w:pPr>
            <w:r w:rsidRPr="002B3067">
              <w:rPr>
                <w:rFonts w:ascii="Arial" w:eastAsia="Calibri" w:hAnsi="Arial" w:cs="Arial"/>
                <w:b/>
                <w:bCs/>
                <w:i/>
                <w:iCs/>
                <w:color w:val="000000" w:themeColor="text1"/>
                <w:sz w:val="20"/>
                <w:szCs w:val="20"/>
              </w:rPr>
              <w:t>Dužnički vrijednosni papiri:</w:t>
            </w:r>
          </w:p>
        </w:tc>
        <w:tc>
          <w:tcPr>
            <w:tcW w:w="1417" w:type="dxa"/>
            <w:tcBorders>
              <w:top w:val="nil"/>
              <w:left w:val="nil"/>
              <w:bottom w:val="nil"/>
              <w:right w:val="nil"/>
            </w:tcBorders>
            <w:shd w:val="clear" w:color="auto" w:fill="auto"/>
            <w:vAlign w:val="bottom"/>
            <w:hideMark/>
          </w:tcPr>
          <w:p w14:paraId="2C03EEA1" w14:textId="77777777" w:rsidR="001B247D" w:rsidRPr="002B3067" w:rsidRDefault="001B247D" w:rsidP="001B247D">
            <w:pPr>
              <w:suppressAutoHyphens/>
              <w:autoSpaceDN w:val="0"/>
              <w:rPr>
                <w:rFonts w:ascii="Arial" w:eastAsia="Calibri" w:hAnsi="Arial" w:cs="Arial"/>
                <w:b/>
                <w:bCs/>
                <w:i/>
                <w:iCs/>
                <w:color w:val="000000" w:themeColor="text1"/>
                <w:sz w:val="20"/>
                <w:szCs w:val="20"/>
              </w:rPr>
            </w:pPr>
          </w:p>
        </w:tc>
        <w:tc>
          <w:tcPr>
            <w:tcW w:w="1418" w:type="dxa"/>
            <w:tcBorders>
              <w:top w:val="nil"/>
              <w:left w:val="nil"/>
              <w:bottom w:val="nil"/>
              <w:right w:val="nil"/>
            </w:tcBorders>
            <w:shd w:val="clear" w:color="auto" w:fill="auto"/>
            <w:vAlign w:val="bottom"/>
            <w:hideMark/>
          </w:tcPr>
          <w:p w14:paraId="2DE65B93" w14:textId="77777777" w:rsidR="001B247D" w:rsidRPr="002B3067" w:rsidRDefault="001B247D" w:rsidP="001B247D">
            <w:pPr>
              <w:suppressAutoHyphens/>
              <w:autoSpaceDN w:val="0"/>
              <w:rPr>
                <w:rFonts w:ascii="Arial" w:eastAsia="Calibri" w:hAnsi="Arial" w:cs="Arial"/>
                <w:b/>
                <w:bCs/>
                <w:i/>
                <w:iCs/>
                <w:color w:val="000000" w:themeColor="text1"/>
                <w:sz w:val="20"/>
                <w:szCs w:val="20"/>
              </w:rPr>
            </w:pPr>
          </w:p>
        </w:tc>
        <w:tc>
          <w:tcPr>
            <w:tcW w:w="1417" w:type="dxa"/>
            <w:tcBorders>
              <w:top w:val="nil"/>
              <w:left w:val="nil"/>
              <w:bottom w:val="nil"/>
              <w:right w:val="nil"/>
            </w:tcBorders>
            <w:shd w:val="clear" w:color="auto" w:fill="auto"/>
            <w:vAlign w:val="bottom"/>
            <w:hideMark/>
          </w:tcPr>
          <w:p w14:paraId="7953DC02" w14:textId="77777777" w:rsidR="001B247D" w:rsidRPr="002B3067" w:rsidRDefault="001B247D" w:rsidP="001B247D">
            <w:pPr>
              <w:suppressAutoHyphens/>
              <w:autoSpaceDN w:val="0"/>
              <w:jc w:val="right"/>
              <w:rPr>
                <w:rFonts w:ascii="Arial" w:eastAsia="Calibri" w:hAnsi="Arial" w:cs="Arial"/>
                <w:color w:val="000000" w:themeColor="text1"/>
                <w:sz w:val="20"/>
                <w:szCs w:val="20"/>
              </w:rPr>
            </w:pPr>
          </w:p>
        </w:tc>
        <w:tc>
          <w:tcPr>
            <w:tcW w:w="1418" w:type="dxa"/>
            <w:tcBorders>
              <w:top w:val="nil"/>
              <w:left w:val="nil"/>
              <w:bottom w:val="nil"/>
              <w:right w:val="nil"/>
            </w:tcBorders>
            <w:shd w:val="clear" w:color="auto" w:fill="auto"/>
            <w:vAlign w:val="bottom"/>
            <w:hideMark/>
          </w:tcPr>
          <w:p w14:paraId="212C2F1E" w14:textId="77777777" w:rsidR="001B247D" w:rsidRPr="002B3067" w:rsidRDefault="001B247D" w:rsidP="001B247D">
            <w:pPr>
              <w:suppressAutoHyphens/>
              <w:autoSpaceDN w:val="0"/>
              <w:jc w:val="right"/>
              <w:rPr>
                <w:rFonts w:ascii="Arial" w:eastAsia="Calibri" w:hAnsi="Arial" w:cs="Arial"/>
                <w:color w:val="000000" w:themeColor="text1"/>
                <w:sz w:val="20"/>
                <w:szCs w:val="20"/>
              </w:rPr>
            </w:pPr>
          </w:p>
        </w:tc>
      </w:tr>
      <w:tr w:rsidR="001B247D" w:rsidRPr="002B3067" w14:paraId="641CD981" w14:textId="77777777" w:rsidTr="002B3067">
        <w:trPr>
          <w:trHeight w:val="281"/>
        </w:trPr>
        <w:tc>
          <w:tcPr>
            <w:tcW w:w="3912" w:type="dxa"/>
            <w:tcBorders>
              <w:top w:val="nil"/>
              <w:left w:val="nil"/>
              <w:bottom w:val="nil"/>
              <w:right w:val="nil"/>
            </w:tcBorders>
            <w:shd w:val="clear" w:color="auto" w:fill="auto"/>
            <w:vAlign w:val="bottom"/>
            <w:hideMark/>
          </w:tcPr>
          <w:p w14:paraId="391EC611" w14:textId="77777777" w:rsidR="001B247D" w:rsidRPr="002B3067" w:rsidRDefault="001B247D" w:rsidP="001B247D">
            <w:pPr>
              <w:suppressAutoHyphens/>
              <w:autoSpaceDN w:val="0"/>
              <w:rPr>
                <w:rFonts w:ascii="Arial" w:eastAsia="Calibri" w:hAnsi="Arial" w:cs="Arial"/>
                <w:b/>
                <w:bCs/>
                <w:color w:val="000000" w:themeColor="text1"/>
                <w:sz w:val="20"/>
                <w:szCs w:val="20"/>
              </w:rPr>
            </w:pPr>
            <w:r w:rsidRPr="002B3067">
              <w:rPr>
                <w:rFonts w:ascii="Arial" w:eastAsia="Calibri" w:hAnsi="Arial" w:cs="Arial"/>
                <w:b/>
                <w:bCs/>
                <w:color w:val="000000" w:themeColor="text1"/>
                <w:sz w:val="20"/>
                <w:szCs w:val="20"/>
              </w:rPr>
              <w:t>Dužnički vrijednosni papiri koji kotiraju:</w:t>
            </w:r>
          </w:p>
        </w:tc>
        <w:tc>
          <w:tcPr>
            <w:tcW w:w="1417" w:type="dxa"/>
            <w:tcBorders>
              <w:top w:val="nil"/>
              <w:left w:val="nil"/>
              <w:bottom w:val="nil"/>
              <w:right w:val="nil"/>
            </w:tcBorders>
            <w:shd w:val="clear" w:color="auto" w:fill="auto"/>
            <w:vAlign w:val="bottom"/>
            <w:hideMark/>
          </w:tcPr>
          <w:p w14:paraId="6CA13DAF" w14:textId="77777777" w:rsidR="001B247D" w:rsidRPr="002B3067" w:rsidRDefault="001B247D" w:rsidP="001B247D">
            <w:pPr>
              <w:suppressAutoHyphens/>
              <w:autoSpaceDN w:val="0"/>
              <w:rPr>
                <w:rFonts w:ascii="Arial" w:eastAsia="Calibri" w:hAnsi="Arial" w:cs="Arial"/>
                <w:b/>
                <w:bCs/>
                <w:color w:val="000000" w:themeColor="text1"/>
                <w:sz w:val="20"/>
                <w:szCs w:val="20"/>
              </w:rPr>
            </w:pPr>
          </w:p>
        </w:tc>
        <w:tc>
          <w:tcPr>
            <w:tcW w:w="1418" w:type="dxa"/>
            <w:tcBorders>
              <w:top w:val="nil"/>
              <w:left w:val="nil"/>
              <w:bottom w:val="nil"/>
              <w:right w:val="nil"/>
            </w:tcBorders>
            <w:shd w:val="clear" w:color="auto" w:fill="auto"/>
            <w:vAlign w:val="bottom"/>
            <w:hideMark/>
          </w:tcPr>
          <w:p w14:paraId="00C855AB" w14:textId="77777777" w:rsidR="001B247D" w:rsidRPr="002B3067" w:rsidRDefault="001B247D" w:rsidP="001B247D">
            <w:pPr>
              <w:suppressAutoHyphens/>
              <w:autoSpaceDN w:val="0"/>
              <w:rPr>
                <w:rFonts w:ascii="Arial" w:eastAsia="Calibri" w:hAnsi="Arial" w:cs="Arial"/>
                <w:b/>
                <w:bCs/>
                <w:color w:val="000000" w:themeColor="text1"/>
                <w:sz w:val="20"/>
                <w:szCs w:val="20"/>
              </w:rPr>
            </w:pPr>
          </w:p>
        </w:tc>
        <w:tc>
          <w:tcPr>
            <w:tcW w:w="1417" w:type="dxa"/>
            <w:tcBorders>
              <w:top w:val="nil"/>
              <w:left w:val="nil"/>
              <w:bottom w:val="nil"/>
              <w:right w:val="nil"/>
            </w:tcBorders>
            <w:shd w:val="clear" w:color="auto" w:fill="auto"/>
            <w:vAlign w:val="bottom"/>
            <w:hideMark/>
          </w:tcPr>
          <w:p w14:paraId="208B3499" w14:textId="77777777" w:rsidR="001B247D" w:rsidRPr="002B3067" w:rsidRDefault="001B247D" w:rsidP="001B247D">
            <w:pPr>
              <w:suppressAutoHyphens/>
              <w:autoSpaceDN w:val="0"/>
              <w:jc w:val="right"/>
              <w:rPr>
                <w:rFonts w:ascii="Arial" w:eastAsia="Calibri" w:hAnsi="Arial" w:cs="Arial"/>
                <w:color w:val="000000" w:themeColor="text1"/>
                <w:sz w:val="20"/>
                <w:szCs w:val="20"/>
              </w:rPr>
            </w:pPr>
          </w:p>
        </w:tc>
        <w:tc>
          <w:tcPr>
            <w:tcW w:w="1418" w:type="dxa"/>
            <w:tcBorders>
              <w:top w:val="nil"/>
              <w:left w:val="nil"/>
              <w:bottom w:val="nil"/>
              <w:right w:val="nil"/>
            </w:tcBorders>
            <w:shd w:val="clear" w:color="auto" w:fill="auto"/>
            <w:vAlign w:val="bottom"/>
            <w:hideMark/>
          </w:tcPr>
          <w:p w14:paraId="176DA342" w14:textId="77777777" w:rsidR="001B247D" w:rsidRPr="002B3067" w:rsidRDefault="001B247D" w:rsidP="001B247D">
            <w:pPr>
              <w:suppressAutoHyphens/>
              <w:autoSpaceDN w:val="0"/>
              <w:jc w:val="right"/>
              <w:rPr>
                <w:rFonts w:ascii="Arial" w:eastAsia="Calibri" w:hAnsi="Arial" w:cs="Arial"/>
                <w:color w:val="000000" w:themeColor="text1"/>
                <w:sz w:val="20"/>
                <w:szCs w:val="20"/>
              </w:rPr>
            </w:pPr>
          </w:p>
        </w:tc>
      </w:tr>
      <w:tr w:rsidR="009610DD" w:rsidRPr="002B3067" w14:paraId="73C9BCBE" w14:textId="77777777" w:rsidTr="0021074E">
        <w:trPr>
          <w:trHeight w:hRule="exact" w:val="227"/>
        </w:trPr>
        <w:tc>
          <w:tcPr>
            <w:tcW w:w="3912" w:type="dxa"/>
            <w:tcBorders>
              <w:top w:val="nil"/>
              <w:left w:val="nil"/>
              <w:bottom w:val="nil"/>
              <w:right w:val="nil"/>
            </w:tcBorders>
            <w:shd w:val="clear" w:color="auto" w:fill="auto"/>
            <w:vAlign w:val="bottom"/>
            <w:hideMark/>
          </w:tcPr>
          <w:p w14:paraId="41D106BD" w14:textId="77777777" w:rsidR="009610DD" w:rsidRPr="002B3067" w:rsidRDefault="009610DD" w:rsidP="009610DD">
            <w:pPr>
              <w:suppressAutoHyphens/>
              <w:autoSpaceDN w:val="0"/>
              <w:rPr>
                <w:rFonts w:ascii="Arial" w:eastAsia="Calibri" w:hAnsi="Arial" w:cs="Arial"/>
                <w:color w:val="000000" w:themeColor="text1"/>
                <w:sz w:val="20"/>
                <w:szCs w:val="20"/>
              </w:rPr>
            </w:pPr>
            <w:r w:rsidRPr="002B3067">
              <w:rPr>
                <w:rFonts w:ascii="Arial" w:eastAsia="Calibri" w:hAnsi="Arial" w:cs="Arial"/>
                <w:color w:val="000000" w:themeColor="text1"/>
                <w:sz w:val="20"/>
                <w:szCs w:val="20"/>
              </w:rPr>
              <w:t>Obveznice Republike Hrvatske</w:t>
            </w:r>
          </w:p>
        </w:tc>
        <w:tc>
          <w:tcPr>
            <w:tcW w:w="1417" w:type="dxa"/>
            <w:tcBorders>
              <w:top w:val="nil"/>
              <w:left w:val="nil"/>
              <w:bottom w:val="nil"/>
              <w:right w:val="nil"/>
            </w:tcBorders>
            <w:shd w:val="clear" w:color="auto" w:fill="auto"/>
          </w:tcPr>
          <w:p w14:paraId="0AFC4CCA" w14:textId="13638AC5" w:rsidR="009610DD" w:rsidRPr="00C04B6C" w:rsidRDefault="009610DD" w:rsidP="009610DD">
            <w:pPr>
              <w:suppressAutoHyphens/>
              <w:autoSpaceDN w:val="0"/>
              <w:jc w:val="right"/>
              <w:rPr>
                <w:rFonts w:ascii="Arial" w:hAnsi="Arial" w:cs="Arial"/>
                <w:sz w:val="20"/>
                <w:szCs w:val="20"/>
              </w:rPr>
            </w:pPr>
            <w:r w:rsidRPr="00C04B6C">
              <w:rPr>
                <w:rFonts w:ascii="Arial" w:hAnsi="Arial" w:cs="Arial"/>
                <w:sz w:val="20"/>
                <w:szCs w:val="20"/>
              </w:rPr>
              <w:t xml:space="preserve"> 221.53</w:t>
            </w:r>
            <w:r w:rsidR="006733BD">
              <w:rPr>
                <w:rFonts w:ascii="Arial" w:hAnsi="Arial" w:cs="Arial"/>
                <w:sz w:val="20"/>
                <w:szCs w:val="20"/>
              </w:rPr>
              <w:t>7</w:t>
            </w:r>
            <w:r w:rsidRPr="00C04B6C">
              <w:rPr>
                <w:rFonts w:ascii="Arial" w:hAnsi="Arial" w:cs="Arial"/>
                <w:sz w:val="20"/>
                <w:szCs w:val="20"/>
              </w:rPr>
              <w:t xml:space="preserve"> </w:t>
            </w:r>
          </w:p>
        </w:tc>
        <w:tc>
          <w:tcPr>
            <w:tcW w:w="1418" w:type="dxa"/>
            <w:tcBorders>
              <w:top w:val="nil"/>
              <w:left w:val="nil"/>
              <w:bottom w:val="nil"/>
              <w:right w:val="nil"/>
            </w:tcBorders>
            <w:shd w:val="clear" w:color="auto" w:fill="auto"/>
            <w:vAlign w:val="bottom"/>
          </w:tcPr>
          <w:p w14:paraId="0C1AA9D8" w14:textId="49B0C913" w:rsidR="009610DD" w:rsidRPr="002B3067" w:rsidRDefault="009610DD" w:rsidP="009610DD">
            <w:pPr>
              <w:suppressAutoHyphens/>
              <w:autoSpaceDN w:val="0"/>
              <w:jc w:val="right"/>
              <w:rPr>
                <w:rFonts w:ascii="Arial" w:eastAsia="Calibri" w:hAnsi="Arial" w:cs="Arial"/>
                <w:color w:val="000000" w:themeColor="text1"/>
                <w:sz w:val="20"/>
                <w:szCs w:val="20"/>
              </w:rPr>
            </w:pPr>
            <w:r w:rsidRPr="00F959D0">
              <w:rPr>
                <w:rFonts w:ascii="Arial" w:hAnsi="Arial" w:cs="Arial"/>
                <w:sz w:val="20"/>
                <w:szCs w:val="20"/>
              </w:rPr>
              <w:t xml:space="preserve"> 185.225 </w:t>
            </w:r>
          </w:p>
        </w:tc>
        <w:tc>
          <w:tcPr>
            <w:tcW w:w="1417" w:type="dxa"/>
            <w:tcBorders>
              <w:top w:val="nil"/>
              <w:left w:val="nil"/>
              <w:bottom w:val="nil"/>
              <w:right w:val="nil"/>
            </w:tcBorders>
            <w:shd w:val="clear" w:color="auto" w:fill="auto"/>
          </w:tcPr>
          <w:p w14:paraId="75F26961" w14:textId="3360DB48" w:rsidR="009610DD" w:rsidRPr="00910C9A" w:rsidRDefault="009610DD" w:rsidP="009610DD">
            <w:pPr>
              <w:suppressAutoHyphens/>
              <w:autoSpaceDN w:val="0"/>
              <w:jc w:val="right"/>
              <w:rPr>
                <w:rFonts w:ascii="Arial" w:eastAsia="Calibri" w:hAnsi="Arial" w:cs="Arial"/>
                <w:color w:val="000000" w:themeColor="text1"/>
                <w:sz w:val="20"/>
                <w:szCs w:val="20"/>
              </w:rPr>
            </w:pPr>
            <w:r w:rsidRPr="00910C9A">
              <w:rPr>
                <w:rFonts w:ascii="Arial" w:hAnsi="Arial" w:cs="Arial"/>
                <w:sz w:val="20"/>
                <w:szCs w:val="20"/>
              </w:rPr>
              <w:t>216.165</w:t>
            </w:r>
          </w:p>
        </w:tc>
        <w:tc>
          <w:tcPr>
            <w:tcW w:w="1418" w:type="dxa"/>
            <w:tcBorders>
              <w:top w:val="nil"/>
              <w:left w:val="nil"/>
              <w:bottom w:val="nil"/>
              <w:right w:val="nil"/>
            </w:tcBorders>
            <w:shd w:val="clear" w:color="auto" w:fill="auto"/>
            <w:vAlign w:val="bottom"/>
          </w:tcPr>
          <w:p w14:paraId="6FC1AAFE" w14:textId="57D096E5" w:rsidR="009610DD" w:rsidRPr="002B3067" w:rsidRDefault="009610DD" w:rsidP="009610DD">
            <w:pPr>
              <w:suppressAutoHyphens/>
              <w:autoSpaceDN w:val="0"/>
              <w:jc w:val="right"/>
              <w:rPr>
                <w:rFonts w:ascii="Arial" w:eastAsia="Calibri" w:hAnsi="Arial" w:cs="Arial"/>
                <w:color w:val="000000" w:themeColor="text1"/>
                <w:sz w:val="20"/>
                <w:szCs w:val="20"/>
              </w:rPr>
            </w:pPr>
            <w:r w:rsidRPr="00267853">
              <w:rPr>
                <w:rFonts w:ascii="Arial" w:eastAsia="Calibri" w:hAnsi="Arial" w:cs="Arial"/>
                <w:color w:val="000000" w:themeColor="text1"/>
                <w:sz w:val="20"/>
                <w:szCs w:val="20"/>
              </w:rPr>
              <w:t>179.243</w:t>
            </w:r>
          </w:p>
        </w:tc>
      </w:tr>
      <w:tr w:rsidR="009610DD" w:rsidRPr="002B3067" w14:paraId="687323A4" w14:textId="77777777" w:rsidTr="0021074E">
        <w:trPr>
          <w:trHeight w:hRule="exact" w:val="227"/>
        </w:trPr>
        <w:tc>
          <w:tcPr>
            <w:tcW w:w="3912" w:type="dxa"/>
            <w:tcBorders>
              <w:top w:val="nil"/>
              <w:left w:val="nil"/>
              <w:bottom w:val="nil"/>
              <w:right w:val="nil"/>
            </w:tcBorders>
            <w:shd w:val="clear" w:color="auto" w:fill="auto"/>
            <w:vAlign w:val="bottom"/>
            <w:hideMark/>
          </w:tcPr>
          <w:p w14:paraId="1D5AC993" w14:textId="77777777" w:rsidR="009610DD" w:rsidRPr="002B3067" w:rsidRDefault="009610DD" w:rsidP="009610DD">
            <w:pPr>
              <w:suppressAutoHyphens/>
              <w:autoSpaceDN w:val="0"/>
              <w:rPr>
                <w:rFonts w:ascii="Arial" w:eastAsia="Calibri" w:hAnsi="Arial" w:cs="Arial"/>
                <w:color w:val="000000" w:themeColor="text1"/>
                <w:sz w:val="20"/>
                <w:szCs w:val="20"/>
              </w:rPr>
            </w:pPr>
            <w:r w:rsidRPr="002B3067">
              <w:rPr>
                <w:rFonts w:ascii="Arial" w:eastAsia="Calibri" w:hAnsi="Arial" w:cs="Arial"/>
                <w:color w:val="000000" w:themeColor="text1"/>
                <w:sz w:val="20"/>
                <w:szCs w:val="20"/>
              </w:rPr>
              <w:t>Obveznice trgovačkih društava</w:t>
            </w:r>
          </w:p>
        </w:tc>
        <w:tc>
          <w:tcPr>
            <w:tcW w:w="1417" w:type="dxa"/>
            <w:tcBorders>
              <w:top w:val="nil"/>
              <w:left w:val="nil"/>
              <w:bottom w:val="nil"/>
              <w:right w:val="nil"/>
            </w:tcBorders>
            <w:shd w:val="clear" w:color="auto" w:fill="auto"/>
          </w:tcPr>
          <w:p w14:paraId="3EF3CC51" w14:textId="0D44741F" w:rsidR="009610DD" w:rsidRPr="00C04B6C" w:rsidRDefault="009610DD" w:rsidP="009610DD">
            <w:pPr>
              <w:suppressAutoHyphens/>
              <w:autoSpaceDN w:val="0"/>
              <w:jc w:val="right"/>
              <w:rPr>
                <w:rFonts w:ascii="Arial" w:hAnsi="Arial" w:cs="Arial"/>
                <w:sz w:val="20"/>
                <w:szCs w:val="20"/>
              </w:rPr>
            </w:pPr>
            <w:r w:rsidRPr="00C04B6C">
              <w:rPr>
                <w:rFonts w:ascii="Arial" w:hAnsi="Arial" w:cs="Arial"/>
                <w:sz w:val="20"/>
                <w:szCs w:val="20"/>
              </w:rPr>
              <w:t xml:space="preserve"> 300 </w:t>
            </w:r>
          </w:p>
        </w:tc>
        <w:tc>
          <w:tcPr>
            <w:tcW w:w="1418" w:type="dxa"/>
            <w:tcBorders>
              <w:top w:val="nil"/>
              <w:left w:val="nil"/>
              <w:bottom w:val="nil"/>
              <w:right w:val="nil"/>
            </w:tcBorders>
            <w:shd w:val="clear" w:color="auto" w:fill="auto"/>
            <w:vAlign w:val="bottom"/>
          </w:tcPr>
          <w:p w14:paraId="29F216F2" w14:textId="1E1EC4B5" w:rsidR="009610DD" w:rsidRPr="002B3067" w:rsidRDefault="009610DD" w:rsidP="009610DD">
            <w:pPr>
              <w:suppressAutoHyphens/>
              <w:autoSpaceDN w:val="0"/>
              <w:jc w:val="right"/>
              <w:rPr>
                <w:rFonts w:ascii="Arial" w:eastAsia="Calibri" w:hAnsi="Arial" w:cs="Arial"/>
                <w:color w:val="000000" w:themeColor="text1"/>
                <w:sz w:val="20"/>
                <w:szCs w:val="20"/>
              </w:rPr>
            </w:pPr>
            <w:r w:rsidRPr="00F959D0">
              <w:rPr>
                <w:rFonts w:ascii="Arial" w:hAnsi="Arial" w:cs="Arial"/>
                <w:sz w:val="20"/>
                <w:szCs w:val="20"/>
              </w:rPr>
              <w:t xml:space="preserve"> 303 </w:t>
            </w:r>
          </w:p>
        </w:tc>
        <w:tc>
          <w:tcPr>
            <w:tcW w:w="1417" w:type="dxa"/>
            <w:tcBorders>
              <w:top w:val="nil"/>
              <w:left w:val="nil"/>
              <w:bottom w:val="nil"/>
              <w:right w:val="nil"/>
            </w:tcBorders>
            <w:shd w:val="clear" w:color="auto" w:fill="auto"/>
          </w:tcPr>
          <w:p w14:paraId="4766FB62" w14:textId="399E680E" w:rsidR="009610DD" w:rsidRPr="00910C9A" w:rsidRDefault="009610DD" w:rsidP="009610DD">
            <w:pPr>
              <w:suppressAutoHyphens/>
              <w:autoSpaceDN w:val="0"/>
              <w:jc w:val="right"/>
              <w:rPr>
                <w:rFonts w:ascii="Arial" w:eastAsia="Calibri" w:hAnsi="Arial" w:cs="Arial"/>
                <w:color w:val="000000" w:themeColor="text1"/>
                <w:sz w:val="20"/>
                <w:szCs w:val="20"/>
              </w:rPr>
            </w:pPr>
            <w:r w:rsidRPr="00910C9A">
              <w:rPr>
                <w:rFonts w:ascii="Arial" w:eastAsia="Calibri" w:hAnsi="Arial" w:cs="Arial"/>
                <w:color w:val="000000" w:themeColor="text1"/>
                <w:sz w:val="20"/>
                <w:szCs w:val="20"/>
              </w:rPr>
              <w:t>-</w:t>
            </w:r>
          </w:p>
        </w:tc>
        <w:tc>
          <w:tcPr>
            <w:tcW w:w="1418" w:type="dxa"/>
            <w:tcBorders>
              <w:top w:val="nil"/>
              <w:left w:val="nil"/>
              <w:bottom w:val="nil"/>
              <w:right w:val="nil"/>
            </w:tcBorders>
            <w:shd w:val="clear" w:color="auto" w:fill="auto"/>
            <w:vAlign w:val="bottom"/>
          </w:tcPr>
          <w:p w14:paraId="54C6C4A7" w14:textId="7839B1CB" w:rsidR="009610DD" w:rsidRPr="002B3067" w:rsidRDefault="009610DD" w:rsidP="009610DD">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w:t>
            </w:r>
          </w:p>
        </w:tc>
      </w:tr>
      <w:tr w:rsidR="009610DD" w:rsidRPr="002B3067" w14:paraId="3DA34824" w14:textId="77777777" w:rsidTr="0021074E">
        <w:trPr>
          <w:trHeight w:hRule="exact" w:val="227"/>
        </w:trPr>
        <w:tc>
          <w:tcPr>
            <w:tcW w:w="3912" w:type="dxa"/>
            <w:tcBorders>
              <w:top w:val="nil"/>
              <w:left w:val="nil"/>
              <w:bottom w:val="nil"/>
              <w:right w:val="nil"/>
            </w:tcBorders>
            <w:shd w:val="clear" w:color="auto" w:fill="auto"/>
            <w:vAlign w:val="bottom"/>
            <w:hideMark/>
          </w:tcPr>
          <w:p w14:paraId="242B36C7" w14:textId="77777777" w:rsidR="009610DD" w:rsidRPr="002B3067" w:rsidRDefault="009610DD" w:rsidP="009610DD">
            <w:pPr>
              <w:suppressAutoHyphens/>
              <w:autoSpaceDN w:val="0"/>
              <w:rPr>
                <w:rFonts w:ascii="Arial" w:eastAsia="Calibri" w:hAnsi="Arial" w:cs="Arial"/>
                <w:color w:val="000000" w:themeColor="text1"/>
                <w:sz w:val="20"/>
                <w:szCs w:val="20"/>
              </w:rPr>
            </w:pPr>
            <w:r w:rsidRPr="002B3067">
              <w:rPr>
                <w:rFonts w:ascii="Arial" w:eastAsia="Calibri" w:hAnsi="Arial" w:cs="Arial"/>
                <w:color w:val="000000" w:themeColor="text1"/>
                <w:sz w:val="20"/>
                <w:szCs w:val="20"/>
              </w:rPr>
              <w:t>Trezorski zapisi Ministarstva financija</w:t>
            </w:r>
          </w:p>
        </w:tc>
        <w:tc>
          <w:tcPr>
            <w:tcW w:w="1417" w:type="dxa"/>
            <w:tcBorders>
              <w:top w:val="nil"/>
              <w:left w:val="nil"/>
              <w:bottom w:val="nil"/>
              <w:right w:val="nil"/>
            </w:tcBorders>
            <w:shd w:val="clear" w:color="auto" w:fill="auto"/>
          </w:tcPr>
          <w:p w14:paraId="28E12EDC" w14:textId="16278462" w:rsidR="009610DD" w:rsidRPr="00C04B6C" w:rsidRDefault="009610DD" w:rsidP="009610DD">
            <w:pPr>
              <w:suppressAutoHyphens/>
              <w:autoSpaceDN w:val="0"/>
              <w:jc w:val="right"/>
              <w:rPr>
                <w:rFonts w:ascii="Arial" w:hAnsi="Arial" w:cs="Arial"/>
                <w:sz w:val="20"/>
                <w:szCs w:val="20"/>
              </w:rPr>
            </w:pPr>
            <w:r w:rsidRPr="00C04B6C">
              <w:rPr>
                <w:rFonts w:ascii="Arial" w:hAnsi="Arial" w:cs="Arial"/>
                <w:sz w:val="20"/>
                <w:szCs w:val="20"/>
              </w:rPr>
              <w:t xml:space="preserve"> 19.864 </w:t>
            </w:r>
          </w:p>
        </w:tc>
        <w:tc>
          <w:tcPr>
            <w:tcW w:w="1418" w:type="dxa"/>
            <w:tcBorders>
              <w:top w:val="nil"/>
              <w:left w:val="nil"/>
              <w:bottom w:val="nil"/>
              <w:right w:val="nil"/>
            </w:tcBorders>
            <w:shd w:val="clear" w:color="auto" w:fill="auto"/>
            <w:vAlign w:val="bottom"/>
          </w:tcPr>
          <w:p w14:paraId="61CF7B19" w14:textId="1D6D0F53" w:rsidR="009610DD" w:rsidRPr="002B3067" w:rsidRDefault="009610DD" w:rsidP="009610DD">
            <w:pPr>
              <w:suppressAutoHyphens/>
              <w:autoSpaceDN w:val="0"/>
              <w:jc w:val="right"/>
              <w:rPr>
                <w:rFonts w:ascii="Arial" w:eastAsia="Calibri" w:hAnsi="Arial" w:cs="Arial"/>
                <w:color w:val="000000" w:themeColor="text1"/>
                <w:sz w:val="20"/>
                <w:szCs w:val="20"/>
              </w:rPr>
            </w:pPr>
            <w:r w:rsidRPr="00F959D0">
              <w:rPr>
                <w:rFonts w:ascii="Arial" w:hAnsi="Arial" w:cs="Arial"/>
                <w:sz w:val="20"/>
                <w:szCs w:val="20"/>
              </w:rPr>
              <w:t xml:space="preserve"> 38.451 </w:t>
            </w:r>
          </w:p>
        </w:tc>
        <w:tc>
          <w:tcPr>
            <w:tcW w:w="1417" w:type="dxa"/>
            <w:tcBorders>
              <w:top w:val="nil"/>
              <w:left w:val="nil"/>
              <w:bottom w:val="nil"/>
              <w:right w:val="nil"/>
            </w:tcBorders>
            <w:shd w:val="clear" w:color="auto" w:fill="auto"/>
          </w:tcPr>
          <w:p w14:paraId="6FB24B5D" w14:textId="25C92463" w:rsidR="009610DD" w:rsidRPr="00910C9A" w:rsidRDefault="009610DD" w:rsidP="009610DD">
            <w:pPr>
              <w:suppressAutoHyphens/>
              <w:autoSpaceDN w:val="0"/>
              <w:jc w:val="right"/>
              <w:rPr>
                <w:rFonts w:ascii="Arial" w:eastAsia="Calibri" w:hAnsi="Arial" w:cs="Arial"/>
                <w:color w:val="000000" w:themeColor="text1"/>
                <w:sz w:val="20"/>
                <w:szCs w:val="20"/>
              </w:rPr>
            </w:pPr>
            <w:r w:rsidRPr="00910C9A">
              <w:rPr>
                <w:rFonts w:ascii="Arial" w:hAnsi="Arial" w:cs="Arial"/>
                <w:sz w:val="20"/>
                <w:szCs w:val="20"/>
              </w:rPr>
              <w:t>19.864</w:t>
            </w:r>
          </w:p>
        </w:tc>
        <w:tc>
          <w:tcPr>
            <w:tcW w:w="1418" w:type="dxa"/>
            <w:tcBorders>
              <w:top w:val="nil"/>
              <w:left w:val="nil"/>
              <w:bottom w:val="nil"/>
              <w:right w:val="nil"/>
            </w:tcBorders>
            <w:shd w:val="clear" w:color="auto" w:fill="auto"/>
            <w:vAlign w:val="bottom"/>
          </w:tcPr>
          <w:p w14:paraId="26023476" w14:textId="5866BA72" w:rsidR="009610DD" w:rsidRPr="002B3067" w:rsidRDefault="009610DD" w:rsidP="009610DD">
            <w:pPr>
              <w:suppressAutoHyphens/>
              <w:autoSpaceDN w:val="0"/>
              <w:jc w:val="right"/>
              <w:rPr>
                <w:rFonts w:ascii="Arial" w:eastAsia="Calibri" w:hAnsi="Arial" w:cs="Arial"/>
                <w:color w:val="000000" w:themeColor="text1"/>
                <w:sz w:val="20"/>
                <w:szCs w:val="20"/>
              </w:rPr>
            </w:pPr>
            <w:r w:rsidRPr="00267853">
              <w:rPr>
                <w:rFonts w:ascii="Arial" w:eastAsia="Calibri" w:hAnsi="Arial" w:cs="Arial"/>
                <w:color w:val="000000" w:themeColor="text1"/>
                <w:sz w:val="20"/>
                <w:szCs w:val="20"/>
              </w:rPr>
              <w:t>38.451</w:t>
            </w:r>
          </w:p>
        </w:tc>
      </w:tr>
      <w:tr w:rsidR="009610DD" w:rsidRPr="002B3067" w14:paraId="0F9681A1" w14:textId="77777777" w:rsidTr="0021074E">
        <w:trPr>
          <w:trHeight w:hRule="exact" w:val="227"/>
        </w:trPr>
        <w:tc>
          <w:tcPr>
            <w:tcW w:w="3912" w:type="dxa"/>
            <w:tcBorders>
              <w:top w:val="nil"/>
              <w:left w:val="nil"/>
              <w:bottom w:val="nil"/>
              <w:right w:val="nil"/>
            </w:tcBorders>
            <w:shd w:val="clear" w:color="auto" w:fill="auto"/>
            <w:vAlign w:val="bottom"/>
            <w:hideMark/>
          </w:tcPr>
          <w:p w14:paraId="3C136C8A" w14:textId="77777777" w:rsidR="009610DD" w:rsidRPr="002B3067" w:rsidRDefault="009610DD" w:rsidP="009610DD">
            <w:pPr>
              <w:suppressAutoHyphens/>
              <w:autoSpaceDN w:val="0"/>
              <w:rPr>
                <w:rFonts w:ascii="Arial" w:eastAsia="Calibri" w:hAnsi="Arial" w:cs="Arial"/>
                <w:color w:val="000000" w:themeColor="text1"/>
                <w:sz w:val="20"/>
                <w:szCs w:val="20"/>
              </w:rPr>
            </w:pPr>
            <w:r w:rsidRPr="002B3067">
              <w:rPr>
                <w:rFonts w:ascii="Arial" w:eastAsia="Calibri" w:hAnsi="Arial" w:cs="Arial"/>
                <w:color w:val="000000" w:themeColor="text1"/>
                <w:sz w:val="20"/>
                <w:szCs w:val="20"/>
              </w:rPr>
              <w:t>Obračunata kamata</w:t>
            </w:r>
          </w:p>
        </w:tc>
        <w:tc>
          <w:tcPr>
            <w:tcW w:w="1417" w:type="dxa"/>
            <w:tcBorders>
              <w:top w:val="nil"/>
              <w:left w:val="nil"/>
              <w:bottom w:val="nil"/>
              <w:right w:val="nil"/>
            </w:tcBorders>
            <w:shd w:val="clear" w:color="auto" w:fill="auto"/>
          </w:tcPr>
          <w:p w14:paraId="5037AD58" w14:textId="050E6325" w:rsidR="009610DD" w:rsidRPr="00C04B6C" w:rsidRDefault="009610DD" w:rsidP="009610DD">
            <w:pPr>
              <w:suppressAutoHyphens/>
              <w:autoSpaceDN w:val="0"/>
              <w:jc w:val="right"/>
              <w:rPr>
                <w:rFonts w:ascii="Arial" w:hAnsi="Arial" w:cs="Arial"/>
                <w:sz w:val="20"/>
                <w:szCs w:val="20"/>
              </w:rPr>
            </w:pPr>
            <w:r w:rsidRPr="00C04B6C">
              <w:rPr>
                <w:rFonts w:ascii="Arial" w:hAnsi="Arial" w:cs="Arial"/>
                <w:sz w:val="20"/>
                <w:szCs w:val="20"/>
              </w:rPr>
              <w:t xml:space="preserve"> 2.495 </w:t>
            </w:r>
          </w:p>
        </w:tc>
        <w:tc>
          <w:tcPr>
            <w:tcW w:w="1418" w:type="dxa"/>
            <w:tcBorders>
              <w:top w:val="nil"/>
              <w:left w:val="nil"/>
              <w:bottom w:val="nil"/>
              <w:right w:val="nil"/>
            </w:tcBorders>
            <w:shd w:val="clear" w:color="auto" w:fill="auto"/>
            <w:vAlign w:val="bottom"/>
          </w:tcPr>
          <w:p w14:paraId="0301E030" w14:textId="7BF1A623" w:rsidR="009610DD" w:rsidRPr="002B3067" w:rsidRDefault="009610DD" w:rsidP="009610DD">
            <w:pPr>
              <w:suppressAutoHyphens/>
              <w:autoSpaceDN w:val="0"/>
              <w:jc w:val="right"/>
              <w:rPr>
                <w:rFonts w:ascii="Arial" w:eastAsia="Calibri" w:hAnsi="Arial" w:cs="Arial"/>
                <w:color w:val="000000" w:themeColor="text1"/>
                <w:sz w:val="20"/>
                <w:szCs w:val="20"/>
              </w:rPr>
            </w:pPr>
            <w:r w:rsidRPr="00F959D0">
              <w:rPr>
                <w:rFonts w:ascii="Arial" w:hAnsi="Arial" w:cs="Arial"/>
                <w:sz w:val="20"/>
                <w:szCs w:val="20"/>
              </w:rPr>
              <w:t xml:space="preserve"> 3.177 </w:t>
            </w:r>
          </w:p>
        </w:tc>
        <w:tc>
          <w:tcPr>
            <w:tcW w:w="1417" w:type="dxa"/>
            <w:tcBorders>
              <w:top w:val="nil"/>
              <w:left w:val="nil"/>
              <w:bottom w:val="nil"/>
              <w:right w:val="nil"/>
            </w:tcBorders>
            <w:shd w:val="clear" w:color="auto" w:fill="auto"/>
          </w:tcPr>
          <w:p w14:paraId="7A025565" w14:textId="3085AB87" w:rsidR="009610DD" w:rsidRPr="00910C9A" w:rsidRDefault="009610DD" w:rsidP="009610DD">
            <w:pPr>
              <w:suppressAutoHyphens/>
              <w:autoSpaceDN w:val="0"/>
              <w:jc w:val="right"/>
              <w:rPr>
                <w:rFonts w:ascii="Arial" w:eastAsia="Calibri" w:hAnsi="Arial" w:cs="Arial"/>
                <w:color w:val="000000" w:themeColor="text1"/>
                <w:sz w:val="20"/>
                <w:szCs w:val="20"/>
              </w:rPr>
            </w:pPr>
            <w:r w:rsidRPr="00910C9A">
              <w:rPr>
                <w:rFonts w:ascii="Arial" w:hAnsi="Arial" w:cs="Arial"/>
                <w:sz w:val="20"/>
                <w:szCs w:val="20"/>
              </w:rPr>
              <w:t>2.458</w:t>
            </w:r>
          </w:p>
        </w:tc>
        <w:tc>
          <w:tcPr>
            <w:tcW w:w="1418" w:type="dxa"/>
            <w:tcBorders>
              <w:top w:val="nil"/>
              <w:left w:val="nil"/>
              <w:bottom w:val="nil"/>
              <w:right w:val="nil"/>
            </w:tcBorders>
            <w:shd w:val="clear" w:color="auto" w:fill="auto"/>
            <w:vAlign w:val="bottom"/>
          </w:tcPr>
          <w:p w14:paraId="4692FA3B" w14:textId="780B916F" w:rsidR="009610DD" w:rsidRPr="002B3067" w:rsidRDefault="009610DD" w:rsidP="009610DD">
            <w:pPr>
              <w:suppressAutoHyphens/>
              <w:autoSpaceDN w:val="0"/>
              <w:jc w:val="right"/>
              <w:rPr>
                <w:rFonts w:ascii="Arial" w:eastAsia="Calibri" w:hAnsi="Arial" w:cs="Arial"/>
                <w:color w:val="000000" w:themeColor="text1"/>
                <w:sz w:val="20"/>
                <w:szCs w:val="20"/>
              </w:rPr>
            </w:pPr>
            <w:r w:rsidRPr="00267853">
              <w:rPr>
                <w:rFonts w:ascii="Arial" w:eastAsia="Calibri" w:hAnsi="Arial" w:cs="Arial"/>
                <w:color w:val="000000" w:themeColor="text1"/>
                <w:sz w:val="20"/>
                <w:szCs w:val="20"/>
              </w:rPr>
              <w:t>3.121</w:t>
            </w:r>
          </w:p>
        </w:tc>
      </w:tr>
      <w:tr w:rsidR="009610DD" w:rsidRPr="002B3067" w14:paraId="63C716A1" w14:textId="77777777" w:rsidTr="0084405A">
        <w:trPr>
          <w:trHeight w:val="281"/>
        </w:trPr>
        <w:tc>
          <w:tcPr>
            <w:tcW w:w="3912" w:type="dxa"/>
            <w:tcBorders>
              <w:top w:val="nil"/>
              <w:left w:val="nil"/>
              <w:bottom w:val="nil"/>
              <w:right w:val="nil"/>
            </w:tcBorders>
            <w:shd w:val="clear" w:color="auto" w:fill="auto"/>
            <w:vAlign w:val="bottom"/>
            <w:hideMark/>
          </w:tcPr>
          <w:p w14:paraId="1BF7A8F3" w14:textId="77777777" w:rsidR="009610DD" w:rsidRPr="002B3067" w:rsidRDefault="009610DD" w:rsidP="009610DD">
            <w:pPr>
              <w:suppressAutoHyphens/>
              <w:autoSpaceDN w:val="0"/>
              <w:jc w:val="right"/>
              <w:rPr>
                <w:rFonts w:ascii="Arial" w:eastAsia="Calibri" w:hAnsi="Arial" w:cs="Arial"/>
                <w:color w:val="000000" w:themeColor="text1"/>
                <w:sz w:val="20"/>
                <w:szCs w:val="20"/>
              </w:rPr>
            </w:pPr>
          </w:p>
        </w:tc>
        <w:tc>
          <w:tcPr>
            <w:tcW w:w="1417" w:type="dxa"/>
            <w:tcBorders>
              <w:top w:val="single" w:sz="4" w:space="0" w:color="auto"/>
              <w:left w:val="nil"/>
              <w:bottom w:val="single" w:sz="12" w:space="0" w:color="auto"/>
              <w:right w:val="nil"/>
            </w:tcBorders>
            <w:shd w:val="clear" w:color="auto" w:fill="auto"/>
            <w:vAlign w:val="bottom"/>
          </w:tcPr>
          <w:p w14:paraId="0719333E" w14:textId="7D169637" w:rsidR="009610DD" w:rsidRPr="0084405A" w:rsidRDefault="009610DD" w:rsidP="009610DD">
            <w:pPr>
              <w:suppressAutoHyphens/>
              <w:autoSpaceDN w:val="0"/>
              <w:jc w:val="right"/>
              <w:rPr>
                <w:rFonts w:ascii="Arial" w:hAnsi="Arial" w:cs="Arial"/>
                <w:b/>
                <w:bCs/>
                <w:sz w:val="20"/>
                <w:szCs w:val="20"/>
              </w:rPr>
            </w:pPr>
            <w:r w:rsidRPr="0084405A">
              <w:rPr>
                <w:rFonts w:ascii="Arial" w:hAnsi="Arial" w:cs="Arial"/>
                <w:b/>
                <w:bCs/>
                <w:sz w:val="20"/>
                <w:szCs w:val="20"/>
              </w:rPr>
              <w:t xml:space="preserve"> 244.19</w:t>
            </w:r>
            <w:r w:rsidR="00363898" w:rsidRPr="0084405A">
              <w:rPr>
                <w:rFonts w:ascii="Arial" w:hAnsi="Arial" w:cs="Arial"/>
                <w:b/>
                <w:bCs/>
                <w:sz w:val="20"/>
                <w:szCs w:val="20"/>
              </w:rPr>
              <w:t>6</w:t>
            </w:r>
            <w:r w:rsidRPr="0084405A">
              <w:rPr>
                <w:rFonts w:ascii="Arial" w:hAnsi="Arial" w:cs="Arial"/>
                <w:b/>
                <w:bCs/>
                <w:sz w:val="20"/>
                <w:szCs w:val="20"/>
              </w:rPr>
              <w:t xml:space="preserve"> </w:t>
            </w:r>
          </w:p>
        </w:tc>
        <w:tc>
          <w:tcPr>
            <w:tcW w:w="1418" w:type="dxa"/>
            <w:tcBorders>
              <w:top w:val="single" w:sz="4" w:space="0" w:color="auto"/>
              <w:left w:val="nil"/>
              <w:bottom w:val="single" w:sz="12" w:space="0" w:color="auto"/>
              <w:right w:val="nil"/>
            </w:tcBorders>
            <w:shd w:val="clear" w:color="auto" w:fill="auto"/>
            <w:vAlign w:val="bottom"/>
          </w:tcPr>
          <w:p w14:paraId="6CCF9781" w14:textId="007F7565" w:rsidR="009610DD" w:rsidRPr="002B3067" w:rsidRDefault="009610DD" w:rsidP="009610DD">
            <w:pPr>
              <w:suppressAutoHyphens/>
              <w:autoSpaceDN w:val="0"/>
              <w:jc w:val="right"/>
              <w:rPr>
                <w:rFonts w:ascii="Arial" w:eastAsia="Calibri" w:hAnsi="Arial" w:cs="Arial"/>
                <w:b/>
                <w:bCs/>
                <w:color w:val="000000" w:themeColor="text1"/>
                <w:sz w:val="20"/>
                <w:szCs w:val="20"/>
              </w:rPr>
            </w:pPr>
            <w:r w:rsidRPr="008C4296">
              <w:rPr>
                <w:rFonts w:ascii="Arial" w:eastAsia="Calibri" w:hAnsi="Arial" w:cs="Arial"/>
                <w:b/>
                <w:bCs/>
                <w:color w:val="000000" w:themeColor="text1"/>
                <w:sz w:val="20"/>
                <w:szCs w:val="20"/>
              </w:rPr>
              <w:t>227.156</w:t>
            </w:r>
          </w:p>
        </w:tc>
        <w:tc>
          <w:tcPr>
            <w:tcW w:w="1417" w:type="dxa"/>
            <w:tcBorders>
              <w:top w:val="single" w:sz="4" w:space="0" w:color="auto"/>
              <w:left w:val="nil"/>
              <w:bottom w:val="single" w:sz="12" w:space="0" w:color="auto"/>
              <w:right w:val="nil"/>
            </w:tcBorders>
            <w:shd w:val="clear" w:color="auto" w:fill="auto"/>
            <w:vAlign w:val="bottom"/>
          </w:tcPr>
          <w:p w14:paraId="72F422BA" w14:textId="57422408" w:rsidR="009610DD" w:rsidRPr="00910C9A" w:rsidRDefault="009610DD" w:rsidP="009610DD">
            <w:pPr>
              <w:suppressAutoHyphens/>
              <w:autoSpaceDN w:val="0"/>
              <w:jc w:val="right"/>
              <w:rPr>
                <w:rFonts w:ascii="Arial" w:eastAsia="Calibri" w:hAnsi="Arial" w:cs="Arial"/>
                <w:b/>
                <w:bCs/>
                <w:color w:val="000000" w:themeColor="text1"/>
                <w:sz w:val="20"/>
                <w:szCs w:val="20"/>
              </w:rPr>
            </w:pPr>
            <w:r w:rsidRPr="00910C9A">
              <w:rPr>
                <w:rFonts w:ascii="Arial" w:eastAsia="Calibri" w:hAnsi="Arial" w:cs="Arial"/>
                <w:b/>
                <w:bCs/>
                <w:color w:val="000000" w:themeColor="text1"/>
                <w:sz w:val="20"/>
                <w:szCs w:val="20"/>
              </w:rPr>
              <w:t>238.487</w:t>
            </w:r>
          </w:p>
        </w:tc>
        <w:tc>
          <w:tcPr>
            <w:tcW w:w="1418" w:type="dxa"/>
            <w:tcBorders>
              <w:top w:val="single" w:sz="4" w:space="0" w:color="auto"/>
              <w:left w:val="nil"/>
              <w:bottom w:val="single" w:sz="12" w:space="0" w:color="auto"/>
              <w:right w:val="nil"/>
            </w:tcBorders>
            <w:shd w:val="clear" w:color="auto" w:fill="auto"/>
            <w:vAlign w:val="bottom"/>
          </w:tcPr>
          <w:p w14:paraId="1AE524F2" w14:textId="6ED75059" w:rsidR="009610DD" w:rsidRPr="002B3067" w:rsidRDefault="009610DD" w:rsidP="009610DD">
            <w:pPr>
              <w:suppressAutoHyphens/>
              <w:autoSpaceDN w:val="0"/>
              <w:jc w:val="right"/>
              <w:rPr>
                <w:rFonts w:ascii="Arial" w:eastAsia="Calibri" w:hAnsi="Arial" w:cs="Arial"/>
                <w:b/>
                <w:bCs/>
                <w:color w:val="000000" w:themeColor="text1"/>
                <w:sz w:val="20"/>
                <w:szCs w:val="20"/>
              </w:rPr>
            </w:pPr>
            <w:r w:rsidRPr="00267853">
              <w:rPr>
                <w:rFonts w:ascii="Arial" w:eastAsia="Calibri" w:hAnsi="Arial" w:cs="Arial"/>
                <w:b/>
                <w:bCs/>
                <w:color w:val="000000" w:themeColor="text1"/>
                <w:sz w:val="20"/>
                <w:szCs w:val="20"/>
              </w:rPr>
              <w:t>220.815</w:t>
            </w:r>
          </w:p>
        </w:tc>
      </w:tr>
      <w:tr w:rsidR="007D4F72" w:rsidRPr="002B3067" w14:paraId="5CA0FC2E" w14:textId="77777777" w:rsidTr="0084405A">
        <w:trPr>
          <w:trHeight w:hRule="exact" w:val="170"/>
        </w:trPr>
        <w:tc>
          <w:tcPr>
            <w:tcW w:w="3912" w:type="dxa"/>
            <w:tcBorders>
              <w:top w:val="nil"/>
              <w:left w:val="nil"/>
              <w:bottom w:val="nil"/>
              <w:right w:val="nil"/>
            </w:tcBorders>
            <w:shd w:val="clear" w:color="auto" w:fill="auto"/>
            <w:vAlign w:val="bottom"/>
            <w:hideMark/>
          </w:tcPr>
          <w:p w14:paraId="67BBF999" w14:textId="77777777" w:rsidR="007D4F72" w:rsidRPr="002B3067" w:rsidRDefault="007D4F72" w:rsidP="007D4F72">
            <w:pPr>
              <w:suppressAutoHyphens/>
              <w:autoSpaceDN w:val="0"/>
              <w:jc w:val="right"/>
              <w:rPr>
                <w:rFonts w:ascii="Arial" w:eastAsia="Calibri" w:hAnsi="Arial" w:cs="Arial"/>
                <w:b/>
                <w:bCs/>
                <w:color w:val="000000" w:themeColor="text1"/>
                <w:sz w:val="20"/>
                <w:szCs w:val="20"/>
              </w:rPr>
            </w:pPr>
          </w:p>
        </w:tc>
        <w:tc>
          <w:tcPr>
            <w:tcW w:w="1417" w:type="dxa"/>
            <w:tcBorders>
              <w:top w:val="single" w:sz="12" w:space="0" w:color="auto"/>
              <w:left w:val="nil"/>
              <w:bottom w:val="nil"/>
              <w:right w:val="nil"/>
            </w:tcBorders>
            <w:shd w:val="clear" w:color="auto" w:fill="auto"/>
            <w:vAlign w:val="bottom"/>
          </w:tcPr>
          <w:p w14:paraId="31635DFD" w14:textId="77777777" w:rsidR="007D4F72" w:rsidRPr="00C04B6C" w:rsidRDefault="007D4F72" w:rsidP="007D4F72">
            <w:pPr>
              <w:suppressAutoHyphens/>
              <w:autoSpaceDN w:val="0"/>
              <w:jc w:val="right"/>
              <w:rPr>
                <w:rFonts w:ascii="Arial" w:hAnsi="Arial" w:cs="Arial"/>
                <w:sz w:val="20"/>
                <w:szCs w:val="20"/>
              </w:rPr>
            </w:pPr>
          </w:p>
        </w:tc>
        <w:tc>
          <w:tcPr>
            <w:tcW w:w="1418" w:type="dxa"/>
            <w:tcBorders>
              <w:top w:val="single" w:sz="12" w:space="0" w:color="auto"/>
              <w:left w:val="nil"/>
              <w:bottom w:val="nil"/>
              <w:right w:val="nil"/>
            </w:tcBorders>
            <w:shd w:val="clear" w:color="auto" w:fill="auto"/>
            <w:vAlign w:val="bottom"/>
          </w:tcPr>
          <w:p w14:paraId="4C1992F8" w14:textId="77777777" w:rsidR="007D4F72" w:rsidRPr="002B3067" w:rsidRDefault="007D4F72" w:rsidP="007D4F72">
            <w:pPr>
              <w:suppressAutoHyphens/>
              <w:autoSpaceDN w:val="0"/>
              <w:rPr>
                <w:rFonts w:ascii="Arial" w:eastAsia="Calibri" w:hAnsi="Arial" w:cs="Arial"/>
                <w:color w:val="000000" w:themeColor="text1"/>
                <w:sz w:val="20"/>
                <w:szCs w:val="20"/>
              </w:rPr>
            </w:pPr>
          </w:p>
        </w:tc>
        <w:tc>
          <w:tcPr>
            <w:tcW w:w="1417" w:type="dxa"/>
            <w:tcBorders>
              <w:top w:val="single" w:sz="12" w:space="0" w:color="auto"/>
              <w:left w:val="nil"/>
              <w:bottom w:val="nil"/>
              <w:right w:val="nil"/>
            </w:tcBorders>
            <w:shd w:val="clear" w:color="auto" w:fill="auto"/>
            <w:vAlign w:val="bottom"/>
          </w:tcPr>
          <w:p w14:paraId="0C2808B1" w14:textId="77777777" w:rsidR="007D4F72" w:rsidRPr="00910C9A" w:rsidRDefault="007D4F72" w:rsidP="007D4F72">
            <w:pPr>
              <w:suppressAutoHyphens/>
              <w:autoSpaceDN w:val="0"/>
              <w:jc w:val="right"/>
              <w:rPr>
                <w:rFonts w:ascii="Arial" w:eastAsia="Calibri" w:hAnsi="Arial" w:cs="Arial"/>
                <w:color w:val="000000" w:themeColor="text1"/>
                <w:sz w:val="20"/>
                <w:szCs w:val="20"/>
              </w:rPr>
            </w:pPr>
          </w:p>
        </w:tc>
        <w:tc>
          <w:tcPr>
            <w:tcW w:w="1418" w:type="dxa"/>
            <w:tcBorders>
              <w:top w:val="single" w:sz="12" w:space="0" w:color="auto"/>
              <w:left w:val="nil"/>
              <w:bottom w:val="nil"/>
              <w:right w:val="nil"/>
            </w:tcBorders>
            <w:shd w:val="clear" w:color="auto" w:fill="auto"/>
            <w:vAlign w:val="bottom"/>
          </w:tcPr>
          <w:p w14:paraId="76E2248C" w14:textId="77777777" w:rsidR="007D4F72" w:rsidRPr="002B3067" w:rsidRDefault="007D4F72" w:rsidP="007D4F72">
            <w:pPr>
              <w:suppressAutoHyphens/>
              <w:autoSpaceDN w:val="0"/>
              <w:jc w:val="right"/>
              <w:rPr>
                <w:rFonts w:ascii="Arial" w:eastAsia="Calibri" w:hAnsi="Arial" w:cs="Arial"/>
                <w:color w:val="000000" w:themeColor="text1"/>
                <w:sz w:val="20"/>
                <w:szCs w:val="20"/>
              </w:rPr>
            </w:pPr>
          </w:p>
        </w:tc>
      </w:tr>
      <w:tr w:rsidR="007D4F72" w:rsidRPr="002B3067" w14:paraId="355A06AF" w14:textId="77777777" w:rsidTr="0084405A">
        <w:trPr>
          <w:trHeight w:val="281"/>
        </w:trPr>
        <w:tc>
          <w:tcPr>
            <w:tcW w:w="3912" w:type="dxa"/>
            <w:tcBorders>
              <w:top w:val="nil"/>
              <w:left w:val="nil"/>
              <w:bottom w:val="nil"/>
              <w:right w:val="nil"/>
            </w:tcBorders>
            <w:shd w:val="clear" w:color="auto" w:fill="auto"/>
            <w:vAlign w:val="bottom"/>
            <w:hideMark/>
          </w:tcPr>
          <w:p w14:paraId="26F74B27" w14:textId="77777777" w:rsidR="007D4F72" w:rsidRPr="002B3067" w:rsidRDefault="007D4F72" w:rsidP="007D4F72">
            <w:pPr>
              <w:suppressAutoHyphens/>
              <w:autoSpaceDN w:val="0"/>
              <w:rPr>
                <w:rFonts w:ascii="Arial" w:eastAsia="Calibri" w:hAnsi="Arial" w:cs="Arial"/>
                <w:b/>
                <w:bCs/>
                <w:color w:val="000000" w:themeColor="text1"/>
                <w:sz w:val="20"/>
                <w:szCs w:val="20"/>
              </w:rPr>
            </w:pPr>
            <w:r w:rsidRPr="002B3067">
              <w:rPr>
                <w:rFonts w:ascii="Arial" w:eastAsia="Calibri" w:hAnsi="Arial" w:cs="Arial"/>
                <w:b/>
                <w:bCs/>
                <w:color w:val="000000" w:themeColor="text1"/>
                <w:sz w:val="20"/>
                <w:szCs w:val="20"/>
              </w:rPr>
              <w:t>Dužnički vrijednosni papiri koji ne kotiraju:</w:t>
            </w:r>
          </w:p>
        </w:tc>
        <w:tc>
          <w:tcPr>
            <w:tcW w:w="1417" w:type="dxa"/>
            <w:tcBorders>
              <w:top w:val="nil"/>
              <w:left w:val="nil"/>
              <w:bottom w:val="nil"/>
              <w:right w:val="nil"/>
            </w:tcBorders>
            <w:shd w:val="clear" w:color="auto" w:fill="auto"/>
            <w:vAlign w:val="bottom"/>
          </w:tcPr>
          <w:p w14:paraId="780AD3DB" w14:textId="77777777" w:rsidR="007D4F72" w:rsidRPr="00C04B6C" w:rsidRDefault="007D4F72" w:rsidP="007D4F72">
            <w:pPr>
              <w:suppressAutoHyphens/>
              <w:autoSpaceDN w:val="0"/>
              <w:jc w:val="right"/>
              <w:rPr>
                <w:rFonts w:ascii="Arial" w:hAnsi="Arial" w:cs="Arial"/>
                <w:sz w:val="20"/>
                <w:szCs w:val="20"/>
              </w:rPr>
            </w:pPr>
          </w:p>
        </w:tc>
        <w:tc>
          <w:tcPr>
            <w:tcW w:w="1418" w:type="dxa"/>
            <w:tcBorders>
              <w:top w:val="nil"/>
              <w:left w:val="nil"/>
              <w:bottom w:val="nil"/>
              <w:right w:val="nil"/>
            </w:tcBorders>
            <w:shd w:val="clear" w:color="auto" w:fill="auto"/>
            <w:vAlign w:val="bottom"/>
          </w:tcPr>
          <w:p w14:paraId="526E7DB5" w14:textId="77777777" w:rsidR="007D4F72" w:rsidRPr="002B3067" w:rsidRDefault="007D4F72" w:rsidP="007D4F72">
            <w:pPr>
              <w:suppressAutoHyphens/>
              <w:autoSpaceDN w:val="0"/>
              <w:rPr>
                <w:rFonts w:ascii="Arial" w:eastAsia="Calibri" w:hAnsi="Arial" w:cs="Arial"/>
                <w:b/>
                <w:bCs/>
                <w:color w:val="000000" w:themeColor="text1"/>
                <w:sz w:val="20"/>
                <w:szCs w:val="20"/>
              </w:rPr>
            </w:pPr>
          </w:p>
        </w:tc>
        <w:tc>
          <w:tcPr>
            <w:tcW w:w="1417" w:type="dxa"/>
            <w:tcBorders>
              <w:top w:val="nil"/>
              <w:left w:val="nil"/>
              <w:bottom w:val="nil"/>
              <w:right w:val="nil"/>
            </w:tcBorders>
            <w:shd w:val="clear" w:color="auto" w:fill="auto"/>
            <w:vAlign w:val="bottom"/>
          </w:tcPr>
          <w:p w14:paraId="73D95A0C" w14:textId="77777777" w:rsidR="007D4F72" w:rsidRPr="00910C9A" w:rsidRDefault="007D4F72" w:rsidP="007D4F72">
            <w:pPr>
              <w:suppressAutoHyphens/>
              <w:autoSpaceDN w:val="0"/>
              <w:jc w:val="right"/>
              <w:rPr>
                <w:rFonts w:ascii="Arial" w:eastAsia="Calibri" w:hAnsi="Arial" w:cs="Arial"/>
                <w:color w:val="000000" w:themeColor="text1"/>
                <w:sz w:val="20"/>
                <w:szCs w:val="20"/>
              </w:rPr>
            </w:pPr>
          </w:p>
        </w:tc>
        <w:tc>
          <w:tcPr>
            <w:tcW w:w="1418" w:type="dxa"/>
            <w:tcBorders>
              <w:top w:val="nil"/>
              <w:left w:val="nil"/>
              <w:bottom w:val="nil"/>
              <w:right w:val="nil"/>
            </w:tcBorders>
            <w:shd w:val="clear" w:color="auto" w:fill="auto"/>
            <w:vAlign w:val="bottom"/>
          </w:tcPr>
          <w:p w14:paraId="746081A2" w14:textId="77777777" w:rsidR="007D4F72" w:rsidRPr="002B3067" w:rsidRDefault="007D4F72" w:rsidP="007D4F72">
            <w:pPr>
              <w:suppressAutoHyphens/>
              <w:autoSpaceDN w:val="0"/>
              <w:jc w:val="right"/>
              <w:rPr>
                <w:rFonts w:ascii="Arial" w:eastAsia="Calibri" w:hAnsi="Arial" w:cs="Arial"/>
                <w:color w:val="000000" w:themeColor="text1"/>
                <w:sz w:val="20"/>
                <w:szCs w:val="20"/>
              </w:rPr>
            </w:pPr>
          </w:p>
        </w:tc>
      </w:tr>
      <w:tr w:rsidR="00D5132E" w:rsidRPr="002B3067" w14:paraId="52D1F3F9" w14:textId="77777777" w:rsidTr="0084405A">
        <w:trPr>
          <w:trHeight w:hRule="exact" w:val="227"/>
        </w:trPr>
        <w:tc>
          <w:tcPr>
            <w:tcW w:w="3912" w:type="dxa"/>
            <w:tcBorders>
              <w:top w:val="nil"/>
              <w:left w:val="nil"/>
              <w:bottom w:val="nil"/>
              <w:right w:val="nil"/>
            </w:tcBorders>
            <w:shd w:val="clear" w:color="auto" w:fill="auto"/>
            <w:vAlign w:val="bottom"/>
            <w:hideMark/>
          </w:tcPr>
          <w:p w14:paraId="59BF3187" w14:textId="77777777" w:rsidR="00D5132E" w:rsidRPr="002B3067" w:rsidRDefault="00D5132E" w:rsidP="00D5132E">
            <w:pPr>
              <w:suppressAutoHyphens/>
              <w:autoSpaceDN w:val="0"/>
              <w:rPr>
                <w:rFonts w:ascii="Arial" w:eastAsia="Calibri" w:hAnsi="Arial" w:cs="Arial"/>
                <w:color w:val="000000" w:themeColor="text1"/>
                <w:sz w:val="20"/>
                <w:szCs w:val="20"/>
              </w:rPr>
            </w:pPr>
            <w:r w:rsidRPr="002B3067">
              <w:rPr>
                <w:rFonts w:ascii="Arial" w:eastAsia="Calibri" w:hAnsi="Arial" w:cs="Arial"/>
                <w:color w:val="000000" w:themeColor="text1"/>
                <w:sz w:val="20"/>
                <w:szCs w:val="20"/>
              </w:rPr>
              <w:t>Obveznice trgovačkih društava</w:t>
            </w:r>
          </w:p>
        </w:tc>
        <w:tc>
          <w:tcPr>
            <w:tcW w:w="1417" w:type="dxa"/>
            <w:tcBorders>
              <w:top w:val="nil"/>
              <w:left w:val="nil"/>
              <w:bottom w:val="nil"/>
              <w:right w:val="nil"/>
            </w:tcBorders>
            <w:shd w:val="clear" w:color="auto" w:fill="auto"/>
            <w:vAlign w:val="bottom"/>
          </w:tcPr>
          <w:p w14:paraId="16DBEC99" w14:textId="5787CFEF" w:rsidR="00D5132E" w:rsidRPr="00C04B6C" w:rsidRDefault="00D5132E" w:rsidP="00D5132E">
            <w:pPr>
              <w:suppressAutoHyphens/>
              <w:autoSpaceDN w:val="0"/>
              <w:jc w:val="right"/>
              <w:rPr>
                <w:rFonts w:ascii="Arial" w:hAnsi="Arial" w:cs="Arial"/>
                <w:sz w:val="20"/>
                <w:szCs w:val="20"/>
              </w:rPr>
            </w:pPr>
            <w:r w:rsidRPr="00C04B6C">
              <w:rPr>
                <w:rFonts w:ascii="Arial" w:hAnsi="Arial" w:cs="Arial"/>
                <w:sz w:val="20"/>
                <w:szCs w:val="20"/>
              </w:rPr>
              <w:t xml:space="preserve"> 75 </w:t>
            </w:r>
          </w:p>
        </w:tc>
        <w:tc>
          <w:tcPr>
            <w:tcW w:w="1418" w:type="dxa"/>
            <w:tcBorders>
              <w:top w:val="nil"/>
              <w:left w:val="nil"/>
              <w:bottom w:val="nil"/>
              <w:right w:val="nil"/>
            </w:tcBorders>
            <w:shd w:val="clear" w:color="auto" w:fill="auto"/>
            <w:vAlign w:val="bottom"/>
          </w:tcPr>
          <w:p w14:paraId="0E107A48" w14:textId="34C74DBA" w:rsidR="00D5132E" w:rsidRPr="002B3067" w:rsidRDefault="00D5132E" w:rsidP="00D5132E">
            <w:pPr>
              <w:suppressAutoHyphens/>
              <w:autoSpaceDN w:val="0"/>
              <w:jc w:val="right"/>
              <w:rPr>
                <w:rFonts w:ascii="Arial" w:eastAsia="Calibri" w:hAnsi="Arial" w:cs="Arial"/>
                <w:color w:val="000000" w:themeColor="text1"/>
                <w:sz w:val="20"/>
                <w:szCs w:val="20"/>
              </w:rPr>
            </w:pPr>
            <w:r w:rsidRPr="00174C1D">
              <w:rPr>
                <w:rFonts w:ascii="Arial" w:eastAsia="Calibri" w:hAnsi="Arial" w:cs="Arial"/>
                <w:sz w:val="20"/>
                <w:szCs w:val="20"/>
              </w:rPr>
              <w:t xml:space="preserve"> 81 </w:t>
            </w:r>
          </w:p>
        </w:tc>
        <w:tc>
          <w:tcPr>
            <w:tcW w:w="1417" w:type="dxa"/>
            <w:tcBorders>
              <w:top w:val="nil"/>
              <w:left w:val="nil"/>
              <w:bottom w:val="nil"/>
              <w:right w:val="nil"/>
            </w:tcBorders>
            <w:shd w:val="clear" w:color="auto" w:fill="auto"/>
            <w:vAlign w:val="bottom"/>
          </w:tcPr>
          <w:p w14:paraId="292FE7B0" w14:textId="3A3D3DA9" w:rsidR="00D5132E" w:rsidRPr="00910C9A" w:rsidRDefault="00D5132E" w:rsidP="00D5132E">
            <w:pPr>
              <w:suppressAutoHyphens/>
              <w:autoSpaceDN w:val="0"/>
              <w:jc w:val="right"/>
              <w:rPr>
                <w:rFonts w:ascii="Arial" w:eastAsia="Calibri" w:hAnsi="Arial" w:cs="Arial"/>
                <w:color w:val="000000" w:themeColor="text1"/>
                <w:sz w:val="20"/>
                <w:szCs w:val="20"/>
              </w:rPr>
            </w:pPr>
            <w:r w:rsidRPr="00910C9A">
              <w:rPr>
                <w:rFonts w:ascii="Arial" w:eastAsia="Calibri" w:hAnsi="Arial" w:cs="Arial"/>
                <w:color w:val="000000" w:themeColor="text1"/>
                <w:sz w:val="20"/>
                <w:szCs w:val="20"/>
              </w:rPr>
              <w:t>75</w:t>
            </w:r>
          </w:p>
        </w:tc>
        <w:tc>
          <w:tcPr>
            <w:tcW w:w="1418" w:type="dxa"/>
            <w:tcBorders>
              <w:top w:val="nil"/>
              <w:left w:val="nil"/>
              <w:bottom w:val="nil"/>
              <w:right w:val="nil"/>
            </w:tcBorders>
            <w:shd w:val="clear" w:color="auto" w:fill="auto"/>
            <w:vAlign w:val="bottom"/>
          </w:tcPr>
          <w:p w14:paraId="2DD80203" w14:textId="55325E71" w:rsidR="00D5132E" w:rsidRPr="002B3067" w:rsidRDefault="00D5132E" w:rsidP="00D5132E">
            <w:pPr>
              <w:suppressAutoHyphens/>
              <w:autoSpaceDN w:val="0"/>
              <w:jc w:val="right"/>
              <w:rPr>
                <w:rFonts w:ascii="Arial" w:eastAsia="Calibri" w:hAnsi="Arial" w:cs="Arial"/>
                <w:color w:val="000000" w:themeColor="text1"/>
                <w:sz w:val="20"/>
                <w:szCs w:val="20"/>
              </w:rPr>
            </w:pPr>
            <w:r w:rsidRPr="00174C1D">
              <w:rPr>
                <w:rFonts w:ascii="Arial" w:eastAsia="Calibri" w:hAnsi="Arial" w:cs="Arial"/>
                <w:sz w:val="20"/>
                <w:szCs w:val="20"/>
              </w:rPr>
              <w:t xml:space="preserve"> 81 </w:t>
            </w:r>
          </w:p>
        </w:tc>
      </w:tr>
      <w:tr w:rsidR="00D5132E" w:rsidRPr="002B3067" w14:paraId="061B2E6A" w14:textId="77777777" w:rsidTr="0084405A">
        <w:trPr>
          <w:trHeight w:hRule="exact" w:val="227"/>
        </w:trPr>
        <w:tc>
          <w:tcPr>
            <w:tcW w:w="3912" w:type="dxa"/>
            <w:tcBorders>
              <w:top w:val="nil"/>
              <w:left w:val="nil"/>
              <w:bottom w:val="nil"/>
              <w:right w:val="nil"/>
            </w:tcBorders>
            <w:shd w:val="clear" w:color="auto" w:fill="auto"/>
            <w:vAlign w:val="bottom"/>
          </w:tcPr>
          <w:p w14:paraId="5B896ADA" w14:textId="77777777" w:rsidR="00D5132E" w:rsidRPr="002B3067" w:rsidRDefault="00D5132E" w:rsidP="00D5132E">
            <w:pPr>
              <w:suppressAutoHyphens/>
              <w:autoSpaceDN w:val="0"/>
              <w:rPr>
                <w:rFonts w:ascii="Arial" w:eastAsia="Calibri" w:hAnsi="Arial" w:cs="Arial"/>
                <w:color w:val="000000" w:themeColor="text1"/>
                <w:sz w:val="20"/>
                <w:szCs w:val="20"/>
              </w:rPr>
            </w:pPr>
            <w:r w:rsidRPr="002B3067">
              <w:rPr>
                <w:rFonts w:ascii="Arial" w:eastAsia="Calibri" w:hAnsi="Arial" w:cs="Arial"/>
                <w:color w:val="000000" w:themeColor="text1"/>
                <w:sz w:val="20"/>
                <w:szCs w:val="20"/>
              </w:rPr>
              <w:t>Zamjenjive obveznice – CB</w:t>
            </w:r>
          </w:p>
        </w:tc>
        <w:tc>
          <w:tcPr>
            <w:tcW w:w="1417" w:type="dxa"/>
            <w:tcBorders>
              <w:top w:val="nil"/>
              <w:left w:val="nil"/>
              <w:bottom w:val="nil"/>
              <w:right w:val="nil"/>
            </w:tcBorders>
            <w:shd w:val="clear" w:color="auto" w:fill="auto"/>
            <w:vAlign w:val="bottom"/>
          </w:tcPr>
          <w:p w14:paraId="41D50D67" w14:textId="1040E54F" w:rsidR="00D5132E" w:rsidRPr="00C04B6C" w:rsidRDefault="00D5132E" w:rsidP="00D5132E">
            <w:pPr>
              <w:suppressAutoHyphens/>
              <w:autoSpaceDN w:val="0"/>
              <w:jc w:val="right"/>
              <w:rPr>
                <w:rFonts w:ascii="Arial" w:hAnsi="Arial" w:cs="Arial"/>
                <w:sz w:val="20"/>
                <w:szCs w:val="20"/>
              </w:rPr>
            </w:pPr>
            <w:r w:rsidRPr="00C04B6C">
              <w:rPr>
                <w:rFonts w:ascii="Arial" w:hAnsi="Arial" w:cs="Arial"/>
                <w:sz w:val="20"/>
                <w:szCs w:val="20"/>
              </w:rPr>
              <w:t xml:space="preserve"> 137 </w:t>
            </w:r>
          </w:p>
        </w:tc>
        <w:tc>
          <w:tcPr>
            <w:tcW w:w="1418" w:type="dxa"/>
            <w:tcBorders>
              <w:top w:val="nil"/>
              <w:left w:val="nil"/>
              <w:bottom w:val="nil"/>
              <w:right w:val="nil"/>
            </w:tcBorders>
            <w:shd w:val="clear" w:color="auto" w:fill="auto"/>
            <w:vAlign w:val="bottom"/>
          </w:tcPr>
          <w:p w14:paraId="25700AF3" w14:textId="5CFDAE96" w:rsidR="00D5132E" w:rsidRPr="002B3067" w:rsidRDefault="00D5132E" w:rsidP="00D5132E">
            <w:pPr>
              <w:suppressAutoHyphens/>
              <w:autoSpaceDN w:val="0"/>
              <w:jc w:val="right"/>
              <w:rPr>
                <w:rFonts w:ascii="Arial" w:eastAsia="Calibri" w:hAnsi="Arial" w:cs="Arial"/>
                <w:color w:val="000000" w:themeColor="text1"/>
                <w:sz w:val="20"/>
                <w:szCs w:val="20"/>
              </w:rPr>
            </w:pPr>
            <w:r w:rsidRPr="00174C1D">
              <w:rPr>
                <w:rFonts w:ascii="Arial" w:eastAsia="Calibri" w:hAnsi="Arial" w:cs="Arial"/>
                <w:sz w:val="20"/>
                <w:szCs w:val="20"/>
              </w:rPr>
              <w:t xml:space="preserve"> 195 </w:t>
            </w:r>
          </w:p>
        </w:tc>
        <w:tc>
          <w:tcPr>
            <w:tcW w:w="1417" w:type="dxa"/>
            <w:tcBorders>
              <w:top w:val="nil"/>
              <w:left w:val="nil"/>
              <w:bottom w:val="nil"/>
              <w:right w:val="nil"/>
            </w:tcBorders>
            <w:shd w:val="clear" w:color="auto" w:fill="auto"/>
            <w:vAlign w:val="bottom"/>
          </w:tcPr>
          <w:p w14:paraId="5660E0A5" w14:textId="723714FA" w:rsidR="00D5132E" w:rsidRPr="00910C9A" w:rsidRDefault="00D5132E" w:rsidP="00D5132E">
            <w:pPr>
              <w:suppressAutoHyphens/>
              <w:autoSpaceDN w:val="0"/>
              <w:jc w:val="right"/>
              <w:rPr>
                <w:rFonts w:ascii="Arial" w:eastAsia="Calibri" w:hAnsi="Arial" w:cs="Arial"/>
                <w:color w:val="000000" w:themeColor="text1"/>
                <w:sz w:val="20"/>
                <w:szCs w:val="20"/>
              </w:rPr>
            </w:pPr>
            <w:r w:rsidRPr="00910C9A">
              <w:rPr>
                <w:rFonts w:ascii="Arial" w:eastAsia="Calibri" w:hAnsi="Arial" w:cs="Arial"/>
                <w:color w:val="000000" w:themeColor="text1"/>
                <w:sz w:val="20"/>
                <w:szCs w:val="20"/>
              </w:rPr>
              <w:t>137</w:t>
            </w:r>
          </w:p>
        </w:tc>
        <w:tc>
          <w:tcPr>
            <w:tcW w:w="1418" w:type="dxa"/>
            <w:tcBorders>
              <w:top w:val="nil"/>
              <w:left w:val="nil"/>
              <w:bottom w:val="nil"/>
              <w:right w:val="nil"/>
            </w:tcBorders>
            <w:shd w:val="clear" w:color="auto" w:fill="auto"/>
            <w:vAlign w:val="bottom"/>
          </w:tcPr>
          <w:p w14:paraId="5D970802" w14:textId="085DF57D" w:rsidR="00D5132E" w:rsidRPr="002B3067" w:rsidRDefault="00D5132E" w:rsidP="00D5132E">
            <w:pPr>
              <w:suppressAutoHyphens/>
              <w:autoSpaceDN w:val="0"/>
              <w:jc w:val="right"/>
              <w:rPr>
                <w:rFonts w:ascii="Arial" w:eastAsia="Calibri" w:hAnsi="Arial" w:cs="Arial"/>
                <w:color w:val="000000" w:themeColor="text1"/>
                <w:sz w:val="20"/>
                <w:szCs w:val="20"/>
              </w:rPr>
            </w:pPr>
            <w:r w:rsidRPr="00174C1D">
              <w:rPr>
                <w:rFonts w:ascii="Arial" w:eastAsia="Calibri" w:hAnsi="Arial" w:cs="Arial"/>
                <w:sz w:val="20"/>
                <w:szCs w:val="20"/>
              </w:rPr>
              <w:t xml:space="preserve"> 195 </w:t>
            </w:r>
          </w:p>
        </w:tc>
      </w:tr>
      <w:tr w:rsidR="00D5132E" w:rsidRPr="002B3067" w14:paraId="3315460D" w14:textId="77777777" w:rsidTr="0084405A">
        <w:trPr>
          <w:trHeight w:hRule="exact" w:val="227"/>
        </w:trPr>
        <w:tc>
          <w:tcPr>
            <w:tcW w:w="3912" w:type="dxa"/>
            <w:tcBorders>
              <w:top w:val="nil"/>
              <w:left w:val="nil"/>
              <w:bottom w:val="nil"/>
              <w:right w:val="nil"/>
            </w:tcBorders>
            <w:shd w:val="clear" w:color="auto" w:fill="auto"/>
            <w:vAlign w:val="bottom"/>
            <w:hideMark/>
          </w:tcPr>
          <w:p w14:paraId="5BD04B62" w14:textId="77777777" w:rsidR="00D5132E" w:rsidRPr="002B3067" w:rsidRDefault="00D5132E" w:rsidP="00D5132E">
            <w:pPr>
              <w:suppressAutoHyphens/>
              <w:autoSpaceDN w:val="0"/>
              <w:rPr>
                <w:rFonts w:ascii="Arial" w:eastAsia="Calibri" w:hAnsi="Arial" w:cs="Arial"/>
                <w:color w:val="000000" w:themeColor="text1"/>
                <w:sz w:val="20"/>
                <w:szCs w:val="20"/>
              </w:rPr>
            </w:pPr>
            <w:r w:rsidRPr="002B3067">
              <w:rPr>
                <w:rFonts w:ascii="Arial" w:eastAsia="Calibri" w:hAnsi="Arial" w:cs="Arial"/>
                <w:color w:val="000000" w:themeColor="text1"/>
                <w:sz w:val="20"/>
                <w:szCs w:val="20"/>
              </w:rPr>
              <w:t>Obračunata kamata</w:t>
            </w:r>
          </w:p>
        </w:tc>
        <w:tc>
          <w:tcPr>
            <w:tcW w:w="1417" w:type="dxa"/>
            <w:tcBorders>
              <w:top w:val="nil"/>
              <w:left w:val="nil"/>
              <w:bottom w:val="nil"/>
              <w:right w:val="nil"/>
            </w:tcBorders>
            <w:shd w:val="clear" w:color="auto" w:fill="auto"/>
            <w:vAlign w:val="bottom"/>
          </w:tcPr>
          <w:p w14:paraId="60E8D540" w14:textId="24A9C73E" w:rsidR="00D5132E" w:rsidRPr="00C04B6C" w:rsidRDefault="00D5132E" w:rsidP="00D5132E">
            <w:pPr>
              <w:suppressAutoHyphens/>
              <w:autoSpaceDN w:val="0"/>
              <w:jc w:val="right"/>
              <w:rPr>
                <w:rFonts w:ascii="Arial" w:hAnsi="Arial" w:cs="Arial"/>
                <w:sz w:val="20"/>
                <w:szCs w:val="20"/>
              </w:rPr>
            </w:pPr>
            <w:r w:rsidRPr="00C04B6C">
              <w:rPr>
                <w:rFonts w:ascii="Arial" w:hAnsi="Arial" w:cs="Arial"/>
                <w:sz w:val="20"/>
                <w:szCs w:val="20"/>
              </w:rPr>
              <w:t xml:space="preserve"> 2 </w:t>
            </w:r>
          </w:p>
        </w:tc>
        <w:tc>
          <w:tcPr>
            <w:tcW w:w="1418" w:type="dxa"/>
            <w:tcBorders>
              <w:top w:val="nil"/>
              <w:left w:val="nil"/>
              <w:bottom w:val="nil"/>
              <w:right w:val="nil"/>
            </w:tcBorders>
            <w:shd w:val="clear" w:color="auto" w:fill="auto"/>
            <w:vAlign w:val="bottom"/>
          </w:tcPr>
          <w:p w14:paraId="5F49F29B" w14:textId="0B1FA9EB" w:rsidR="00D5132E" w:rsidRPr="002B3067" w:rsidRDefault="00D5132E" w:rsidP="00D5132E">
            <w:pPr>
              <w:suppressAutoHyphens/>
              <w:autoSpaceDN w:val="0"/>
              <w:jc w:val="right"/>
              <w:rPr>
                <w:rFonts w:ascii="Arial" w:eastAsia="Calibri" w:hAnsi="Arial" w:cs="Arial"/>
                <w:color w:val="000000" w:themeColor="text1"/>
                <w:sz w:val="20"/>
                <w:szCs w:val="20"/>
              </w:rPr>
            </w:pPr>
            <w:r w:rsidRPr="00174C1D">
              <w:rPr>
                <w:rFonts w:ascii="Arial" w:eastAsia="Calibri" w:hAnsi="Arial" w:cs="Arial"/>
                <w:sz w:val="20"/>
                <w:szCs w:val="20"/>
              </w:rPr>
              <w:t xml:space="preserve"> 2 </w:t>
            </w:r>
          </w:p>
        </w:tc>
        <w:tc>
          <w:tcPr>
            <w:tcW w:w="1417" w:type="dxa"/>
            <w:tcBorders>
              <w:top w:val="nil"/>
              <w:left w:val="nil"/>
              <w:bottom w:val="nil"/>
              <w:right w:val="nil"/>
            </w:tcBorders>
            <w:shd w:val="clear" w:color="auto" w:fill="auto"/>
            <w:vAlign w:val="bottom"/>
          </w:tcPr>
          <w:p w14:paraId="32ED15E7" w14:textId="462CBDCB" w:rsidR="00D5132E" w:rsidRPr="00910C9A" w:rsidRDefault="00D5132E" w:rsidP="00D5132E">
            <w:pPr>
              <w:suppressAutoHyphens/>
              <w:autoSpaceDN w:val="0"/>
              <w:jc w:val="right"/>
              <w:rPr>
                <w:rFonts w:ascii="Arial" w:eastAsia="Calibri" w:hAnsi="Arial" w:cs="Arial"/>
                <w:color w:val="000000" w:themeColor="text1"/>
                <w:sz w:val="20"/>
                <w:szCs w:val="20"/>
              </w:rPr>
            </w:pPr>
            <w:r w:rsidRPr="00910C9A">
              <w:rPr>
                <w:rFonts w:ascii="Arial" w:eastAsia="Calibri" w:hAnsi="Arial" w:cs="Arial"/>
                <w:color w:val="000000" w:themeColor="text1"/>
                <w:sz w:val="20"/>
                <w:szCs w:val="20"/>
              </w:rPr>
              <w:t>2</w:t>
            </w:r>
          </w:p>
        </w:tc>
        <w:tc>
          <w:tcPr>
            <w:tcW w:w="1418" w:type="dxa"/>
            <w:tcBorders>
              <w:top w:val="nil"/>
              <w:left w:val="nil"/>
              <w:bottom w:val="nil"/>
              <w:right w:val="nil"/>
            </w:tcBorders>
            <w:shd w:val="clear" w:color="auto" w:fill="auto"/>
            <w:vAlign w:val="bottom"/>
          </w:tcPr>
          <w:p w14:paraId="4C6E007B" w14:textId="179F671F" w:rsidR="00D5132E" w:rsidRPr="002B3067" w:rsidRDefault="00D5132E" w:rsidP="00D5132E">
            <w:pPr>
              <w:suppressAutoHyphens/>
              <w:autoSpaceDN w:val="0"/>
              <w:jc w:val="right"/>
              <w:rPr>
                <w:rFonts w:ascii="Arial" w:eastAsia="Calibri" w:hAnsi="Arial" w:cs="Arial"/>
                <w:color w:val="000000" w:themeColor="text1"/>
                <w:sz w:val="20"/>
                <w:szCs w:val="20"/>
              </w:rPr>
            </w:pPr>
            <w:r w:rsidRPr="00174C1D">
              <w:rPr>
                <w:rFonts w:ascii="Arial" w:eastAsia="Calibri" w:hAnsi="Arial" w:cs="Arial"/>
                <w:sz w:val="20"/>
                <w:szCs w:val="20"/>
              </w:rPr>
              <w:t xml:space="preserve"> 2 </w:t>
            </w:r>
          </w:p>
        </w:tc>
      </w:tr>
      <w:tr w:rsidR="00D5132E" w:rsidRPr="002B3067" w14:paraId="0BC53850" w14:textId="77777777" w:rsidTr="0084405A">
        <w:trPr>
          <w:trHeight w:val="281"/>
        </w:trPr>
        <w:tc>
          <w:tcPr>
            <w:tcW w:w="3912" w:type="dxa"/>
            <w:tcBorders>
              <w:top w:val="nil"/>
              <w:left w:val="nil"/>
              <w:bottom w:val="nil"/>
              <w:right w:val="nil"/>
            </w:tcBorders>
            <w:shd w:val="clear" w:color="auto" w:fill="auto"/>
            <w:vAlign w:val="bottom"/>
            <w:hideMark/>
          </w:tcPr>
          <w:p w14:paraId="522D329E" w14:textId="77777777" w:rsidR="00D5132E" w:rsidRPr="002B3067" w:rsidRDefault="00D5132E" w:rsidP="00D5132E">
            <w:pPr>
              <w:suppressAutoHyphens/>
              <w:autoSpaceDN w:val="0"/>
              <w:jc w:val="right"/>
              <w:rPr>
                <w:rFonts w:ascii="Arial" w:eastAsia="Calibri" w:hAnsi="Arial" w:cs="Arial"/>
                <w:color w:val="000000" w:themeColor="text1"/>
                <w:sz w:val="20"/>
                <w:szCs w:val="20"/>
              </w:rPr>
            </w:pPr>
          </w:p>
        </w:tc>
        <w:tc>
          <w:tcPr>
            <w:tcW w:w="1417" w:type="dxa"/>
            <w:tcBorders>
              <w:top w:val="single" w:sz="4" w:space="0" w:color="auto"/>
              <w:left w:val="nil"/>
              <w:bottom w:val="single" w:sz="12" w:space="0" w:color="auto"/>
              <w:right w:val="nil"/>
            </w:tcBorders>
            <w:shd w:val="clear" w:color="auto" w:fill="auto"/>
            <w:vAlign w:val="bottom"/>
          </w:tcPr>
          <w:p w14:paraId="2AFBC5B2" w14:textId="204D4A33" w:rsidR="00D5132E" w:rsidRPr="0084405A" w:rsidRDefault="00D5132E" w:rsidP="00D5132E">
            <w:pPr>
              <w:suppressAutoHyphens/>
              <w:autoSpaceDN w:val="0"/>
              <w:jc w:val="right"/>
              <w:rPr>
                <w:rFonts w:ascii="Arial" w:hAnsi="Arial" w:cs="Arial"/>
                <w:b/>
                <w:bCs/>
                <w:sz w:val="20"/>
                <w:szCs w:val="20"/>
              </w:rPr>
            </w:pPr>
            <w:r w:rsidRPr="0084405A">
              <w:rPr>
                <w:rFonts w:ascii="Arial" w:hAnsi="Arial" w:cs="Arial"/>
                <w:b/>
                <w:bCs/>
                <w:sz w:val="20"/>
                <w:szCs w:val="20"/>
              </w:rPr>
              <w:t xml:space="preserve"> 214 </w:t>
            </w:r>
          </w:p>
        </w:tc>
        <w:tc>
          <w:tcPr>
            <w:tcW w:w="1418" w:type="dxa"/>
            <w:tcBorders>
              <w:top w:val="single" w:sz="4" w:space="0" w:color="auto"/>
              <w:left w:val="nil"/>
              <w:bottom w:val="single" w:sz="12" w:space="0" w:color="auto"/>
              <w:right w:val="nil"/>
            </w:tcBorders>
            <w:shd w:val="clear" w:color="auto" w:fill="auto"/>
            <w:vAlign w:val="bottom"/>
          </w:tcPr>
          <w:p w14:paraId="17DBFF87" w14:textId="58C64A13" w:rsidR="00D5132E" w:rsidRPr="003A16D6" w:rsidRDefault="00D5132E" w:rsidP="00D5132E">
            <w:pPr>
              <w:suppressAutoHyphens/>
              <w:autoSpaceDN w:val="0"/>
              <w:jc w:val="right"/>
              <w:rPr>
                <w:rFonts w:ascii="Arial" w:eastAsia="Calibri" w:hAnsi="Arial" w:cs="Arial"/>
                <w:b/>
                <w:bCs/>
                <w:color w:val="000000" w:themeColor="text1"/>
                <w:sz w:val="20"/>
                <w:szCs w:val="20"/>
              </w:rPr>
            </w:pPr>
            <w:r w:rsidRPr="00267853">
              <w:rPr>
                <w:rFonts w:ascii="Arial" w:eastAsia="Calibri" w:hAnsi="Arial" w:cs="Arial"/>
                <w:b/>
                <w:bCs/>
                <w:color w:val="000000" w:themeColor="text1"/>
                <w:sz w:val="20"/>
                <w:szCs w:val="20"/>
              </w:rPr>
              <w:t>278</w:t>
            </w:r>
          </w:p>
        </w:tc>
        <w:tc>
          <w:tcPr>
            <w:tcW w:w="1417" w:type="dxa"/>
            <w:tcBorders>
              <w:top w:val="single" w:sz="4" w:space="0" w:color="auto"/>
              <w:left w:val="nil"/>
              <w:bottom w:val="single" w:sz="12" w:space="0" w:color="auto"/>
              <w:right w:val="nil"/>
            </w:tcBorders>
            <w:shd w:val="clear" w:color="auto" w:fill="auto"/>
            <w:vAlign w:val="bottom"/>
          </w:tcPr>
          <w:p w14:paraId="6DE6AAEB" w14:textId="0F232A39" w:rsidR="00D5132E" w:rsidRPr="00910C9A" w:rsidRDefault="00D5132E" w:rsidP="00D5132E">
            <w:pPr>
              <w:suppressAutoHyphens/>
              <w:autoSpaceDN w:val="0"/>
              <w:jc w:val="right"/>
              <w:rPr>
                <w:rFonts w:ascii="Arial" w:eastAsia="Calibri" w:hAnsi="Arial" w:cs="Arial"/>
                <w:b/>
                <w:bCs/>
                <w:color w:val="000000" w:themeColor="text1"/>
                <w:sz w:val="20"/>
                <w:szCs w:val="20"/>
              </w:rPr>
            </w:pPr>
            <w:r w:rsidRPr="00910C9A">
              <w:rPr>
                <w:rFonts w:ascii="Arial" w:eastAsia="Calibri" w:hAnsi="Arial" w:cs="Arial"/>
                <w:b/>
                <w:bCs/>
                <w:color w:val="000000" w:themeColor="text1"/>
                <w:sz w:val="20"/>
                <w:szCs w:val="20"/>
              </w:rPr>
              <w:t>214</w:t>
            </w:r>
          </w:p>
        </w:tc>
        <w:tc>
          <w:tcPr>
            <w:tcW w:w="1418" w:type="dxa"/>
            <w:tcBorders>
              <w:top w:val="single" w:sz="4" w:space="0" w:color="auto"/>
              <w:left w:val="nil"/>
              <w:bottom w:val="single" w:sz="12" w:space="0" w:color="auto"/>
              <w:right w:val="nil"/>
            </w:tcBorders>
            <w:shd w:val="clear" w:color="auto" w:fill="auto"/>
            <w:vAlign w:val="bottom"/>
          </w:tcPr>
          <w:p w14:paraId="4537E126" w14:textId="5943D844" w:rsidR="00D5132E" w:rsidRPr="002B3067" w:rsidRDefault="00D5132E" w:rsidP="00D5132E">
            <w:pPr>
              <w:suppressAutoHyphens/>
              <w:autoSpaceDN w:val="0"/>
              <w:jc w:val="right"/>
              <w:rPr>
                <w:rFonts w:ascii="Arial" w:eastAsia="Calibri" w:hAnsi="Arial" w:cs="Arial"/>
                <w:b/>
                <w:bCs/>
                <w:color w:val="000000" w:themeColor="text1"/>
                <w:sz w:val="20"/>
                <w:szCs w:val="20"/>
              </w:rPr>
            </w:pPr>
            <w:r w:rsidRPr="00267853">
              <w:rPr>
                <w:rFonts w:ascii="Arial" w:eastAsia="Calibri" w:hAnsi="Arial" w:cs="Arial"/>
                <w:b/>
                <w:bCs/>
                <w:color w:val="000000" w:themeColor="text1"/>
                <w:sz w:val="20"/>
                <w:szCs w:val="20"/>
              </w:rPr>
              <w:t>278</w:t>
            </w:r>
          </w:p>
        </w:tc>
      </w:tr>
      <w:tr w:rsidR="007D4F72" w:rsidRPr="002B3067" w14:paraId="072D6E90" w14:textId="77777777" w:rsidTr="0084405A">
        <w:trPr>
          <w:trHeight w:hRule="exact" w:val="170"/>
        </w:trPr>
        <w:tc>
          <w:tcPr>
            <w:tcW w:w="3912" w:type="dxa"/>
            <w:tcBorders>
              <w:top w:val="nil"/>
              <w:left w:val="nil"/>
              <w:bottom w:val="nil"/>
              <w:right w:val="nil"/>
            </w:tcBorders>
            <w:shd w:val="clear" w:color="auto" w:fill="auto"/>
            <w:vAlign w:val="bottom"/>
            <w:hideMark/>
          </w:tcPr>
          <w:p w14:paraId="280E0FCF" w14:textId="77777777" w:rsidR="007D4F72" w:rsidRPr="002B3067" w:rsidRDefault="007D4F72" w:rsidP="007D4F72">
            <w:pPr>
              <w:suppressAutoHyphens/>
              <w:autoSpaceDN w:val="0"/>
              <w:jc w:val="right"/>
              <w:rPr>
                <w:rFonts w:ascii="Arial" w:eastAsia="Calibri" w:hAnsi="Arial" w:cs="Arial"/>
                <w:b/>
                <w:bCs/>
                <w:color w:val="000000" w:themeColor="text1"/>
                <w:sz w:val="20"/>
                <w:szCs w:val="20"/>
              </w:rPr>
            </w:pPr>
          </w:p>
        </w:tc>
        <w:tc>
          <w:tcPr>
            <w:tcW w:w="1417" w:type="dxa"/>
            <w:tcBorders>
              <w:top w:val="single" w:sz="12" w:space="0" w:color="auto"/>
              <w:left w:val="nil"/>
              <w:bottom w:val="nil"/>
              <w:right w:val="nil"/>
            </w:tcBorders>
            <w:shd w:val="clear" w:color="auto" w:fill="auto"/>
            <w:vAlign w:val="bottom"/>
          </w:tcPr>
          <w:p w14:paraId="3E813B43" w14:textId="77777777" w:rsidR="007D4F72" w:rsidRPr="00C04B6C" w:rsidRDefault="007D4F72" w:rsidP="007D4F72">
            <w:pPr>
              <w:suppressAutoHyphens/>
              <w:autoSpaceDN w:val="0"/>
              <w:rPr>
                <w:rFonts w:ascii="Arial" w:eastAsia="Calibri" w:hAnsi="Arial" w:cs="Arial"/>
                <w:color w:val="000000" w:themeColor="text1"/>
                <w:sz w:val="20"/>
                <w:szCs w:val="20"/>
              </w:rPr>
            </w:pPr>
          </w:p>
        </w:tc>
        <w:tc>
          <w:tcPr>
            <w:tcW w:w="1418" w:type="dxa"/>
            <w:tcBorders>
              <w:top w:val="single" w:sz="12" w:space="0" w:color="auto"/>
              <w:left w:val="nil"/>
              <w:bottom w:val="nil"/>
              <w:right w:val="nil"/>
            </w:tcBorders>
            <w:shd w:val="clear" w:color="auto" w:fill="auto"/>
            <w:vAlign w:val="bottom"/>
          </w:tcPr>
          <w:p w14:paraId="7ECB429E" w14:textId="77777777" w:rsidR="007D4F72" w:rsidRPr="002B3067" w:rsidRDefault="007D4F72" w:rsidP="007D4F72">
            <w:pPr>
              <w:suppressAutoHyphens/>
              <w:autoSpaceDN w:val="0"/>
              <w:rPr>
                <w:rFonts w:ascii="Arial" w:eastAsia="Calibri" w:hAnsi="Arial" w:cs="Arial"/>
                <w:color w:val="000000" w:themeColor="text1"/>
                <w:sz w:val="20"/>
                <w:szCs w:val="20"/>
              </w:rPr>
            </w:pPr>
          </w:p>
        </w:tc>
        <w:tc>
          <w:tcPr>
            <w:tcW w:w="1417" w:type="dxa"/>
            <w:tcBorders>
              <w:top w:val="single" w:sz="12" w:space="0" w:color="auto"/>
              <w:left w:val="nil"/>
              <w:bottom w:val="nil"/>
              <w:right w:val="nil"/>
            </w:tcBorders>
            <w:shd w:val="clear" w:color="auto" w:fill="auto"/>
            <w:vAlign w:val="bottom"/>
          </w:tcPr>
          <w:p w14:paraId="56C799F6" w14:textId="77777777" w:rsidR="007D4F72" w:rsidRPr="00910C9A" w:rsidRDefault="007D4F72" w:rsidP="007D4F72">
            <w:pPr>
              <w:suppressAutoHyphens/>
              <w:autoSpaceDN w:val="0"/>
              <w:jc w:val="right"/>
              <w:rPr>
                <w:rFonts w:ascii="Arial" w:eastAsia="Calibri" w:hAnsi="Arial" w:cs="Arial"/>
                <w:color w:val="000000" w:themeColor="text1"/>
                <w:sz w:val="20"/>
                <w:szCs w:val="20"/>
              </w:rPr>
            </w:pPr>
          </w:p>
        </w:tc>
        <w:tc>
          <w:tcPr>
            <w:tcW w:w="1418" w:type="dxa"/>
            <w:tcBorders>
              <w:top w:val="single" w:sz="12" w:space="0" w:color="auto"/>
              <w:left w:val="nil"/>
              <w:bottom w:val="nil"/>
              <w:right w:val="nil"/>
            </w:tcBorders>
            <w:shd w:val="clear" w:color="auto" w:fill="auto"/>
            <w:vAlign w:val="bottom"/>
          </w:tcPr>
          <w:p w14:paraId="426A683B" w14:textId="77777777" w:rsidR="007D4F72" w:rsidRPr="002B3067" w:rsidRDefault="007D4F72" w:rsidP="007D4F72">
            <w:pPr>
              <w:suppressAutoHyphens/>
              <w:autoSpaceDN w:val="0"/>
              <w:jc w:val="right"/>
              <w:rPr>
                <w:rFonts w:ascii="Arial" w:eastAsia="Calibri" w:hAnsi="Arial" w:cs="Arial"/>
                <w:color w:val="000000" w:themeColor="text1"/>
                <w:sz w:val="20"/>
                <w:szCs w:val="20"/>
              </w:rPr>
            </w:pPr>
          </w:p>
        </w:tc>
      </w:tr>
      <w:tr w:rsidR="007D4F72" w:rsidRPr="002B3067" w14:paraId="612C0A79" w14:textId="77777777" w:rsidTr="0084405A">
        <w:trPr>
          <w:trHeight w:val="281"/>
        </w:trPr>
        <w:tc>
          <w:tcPr>
            <w:tcW w:w="3912" w:type="dxa"/>
            <w:tcBorders>
              <w:top w:val="nil"/>
              <w:left w:val="nil"/>
              <w:bottom w:val="nil"/>
              <w:right w:val="nil"/>
            </w:tcBorders>
            <w:shd w:val="clear" w:color="auto" w:fill="auto"/>
            <w:vAlign w:val="bottom"/>
            <w:hideMark/>
          </w:tcPr>
          <w:p w14:paraId="74F73698" w14:textId="77777777" w:rsidR="007D4F72" w:rsidRPr="002B3067" w:rsidRDefault="007D4F72" w:rsidP="007D4F72">
            <w:pPr>
              <w:suppressAutoHyphens/>
              <w:autoSpaceDN w:val="0"/>
              <w:rPr>
                <w:rFonts w:ascii="Arial" w:eastAsia="Calibri" w:hAnsi="Arial" w:cs="Arial"/>
                <w:b/>
                <w:bCs/>
                <w:i/>
                <w:iCs/>
                <w:color w:val="000000" w:themeColor="text1"/>
                <w:sz w:val="20"/>
                <w:szCs w:val="20"/>
              </w:rPr>
            </w:pPr>
            <w:r w:rsidRPr="002B3067">
              <w:rPr>
                <w:rFonts w:ascii="Arial" w:eastAsia="Calibri" w:hAnsi="Arial" w:cs="Arial"/>
                <w:b/>
                <w:bCs/>
                <w:i/>
                <w:iCs/>
                <w:color w:val="000000" w:themeColor="text1"/>
                <w:sz w:val="20"/>
                <w:szCs w:val="20"/>
              </w:rPr>
              <w:t>Vlasnički vrijednosni papiri:</w:t>
            </w:r>
          </w:p>
        </w:tc>
        <w:tc>
          <w:tcPr>
            <w:tcW w:w="1417" w:type="dxa"/>
            <w:tcBorders>
              <w:top w:val="nil"/>
              <w:left w:val="nil"/>
              <w:bottom w:val="nil"/>
              <w:right w:val="nil"/>
            </w:tcBorders>
            <w:shd w:val="clear" w:color="auto" w:fill="auto"/>
            <w:vAlign w:val="bottom"/>
          </w:tcPr>
          <w:p w14:paraId="4AF64C78" w14:textId="77777777" w:rsidR="007D4F72" w:rsidRPr="00C04B6C" w:rsidRDefault="007D4F72" w:rsidP="007D4F72">
            <w:pPr>
              <w:suppressAutoHyphens/>
              <w:autoSpaceDN w:val="0"/>
              <w:rPr>
                <w:rFonts w:ascii="Arial" w:eastAsia="Calibri" w:hAnsi="Arial" w:cs="Arial"/>
                <w:b/>
                <w:bCs/>
                <w:i/>
                <w:iCs/>
                <w:color w:val="000000" w:themeColor="text1"/>
                <w:sz w:val="20"/>
                <w:szCs w:val="20"/>
              </w:rPr>
            </w:pPr>
          </w:p>
        </w:tc>
        <w:tc>
          <w:tcPr>
            <w:tcW w:w="1418" w:type="dxa"/>
            <w:tcBorders>
              <w:top w:val="nil"/>
              <w:left w:val="nil"/>
              <w:bottom w:val="nil"/>
              <w:right w:val="nil"/>
            </w:tcBorders>
            <w:shd w:val="clear" w:color="auto" w:fill="auto"/>
            <w:vAlign w:val="bottom"/>
          </w:tcPr>
          <w:p w14:paraId="65E07D1F" w14:textId="77777777" w:rsidR="007D4F72" w:rsidRPr="002B3067" w:rsidRDefault="007D4F72" w:rsidP="007D4F72">
            <w:pPr>
              <w:suppressAutoHyphens/>
              <w:autoSpaceDN w:val="0"/>
              <w:rPr>
                <w:rFonts w:ascii="Arial" w:eastAsia="Calibri" w:hAnsi="Arial" w:cs="Arial"/>
                <w:b/>
                <w:bCs/>
                <w:i/>
                <w:iCs/>
                <w:color w:val="000000" w:themeColor="text1"/>
                <w:sz w:val="20"/>
                <w:szCs w:val="20"/>
              </w:rPr>
            </w:pPr>
          </w:p>
        </w:tc>
        <w:tc>
          <w:tcPr>
            <w:tcW w:w="1417" w:type="dxa"/>
            <w:tcBorders>
              <w:top w:val="nil"/>
              <w:left w:val="nil"/>
              <w:bottom w:val="nil"/>
              <w:right w:val="nil"/>
            </w:tcBorders>
            <w:shd w:val="clear" w:color="auto" w:fill="auto"/>
            <w:vAlign w:val="bottom"/>
          </w:tcPr>
          <w:p w14:paraId="702CECD2" w14:textId="77777777" w:rsidR="007D4F72" w:rsidRPr="00910C9A" w:rsidRDefault="007D4F72" w:rsidP="007D4F72">
            <w:pPr>
              <w:suppressAutoHyphens/>
              <w:autoSpaceDN w:val="0"/>
              <w:jc w:val="right"/>
              <w:rPr>
                <w:rFonts w:ascii="Arial" w:eastAsia="Calibri" w:hAnsi="Arial" w:cs="Arial"/>
                <w:color w:val="000000" w:themeColor="text1"/>
                <w:sz w:val="20"/>
                <w:szCs w:val="20"/>
              </w:rPr>
            </w:pPr>
          </w:p>
        </w:tc>
        <w:tc>
          <w:tcPr>
            <w:tcW w:w="1418" w:type="dxa"/>
            <w:tcBorders>
              <w:top w:val="nil"/>
              <w:left w:val="nil"/>
              <w:bottom w:val="nil"/>
              <w:right w:val="nil"/>
            </w:tcBorders>
            <w:shd w:val="clear" w:color="auto" w:fill="auto"/>
            <w:vAlign w:val="bottom"/>
          </w:tcPr>
          <w:p w14:paraId="068616F9" w14:textId="77777777" w:rsidR="007D4F72" w:rsidRPr="002B3067" w:rsidRDefault="007D4F72" w:rsidP="007D4F72">
            <w:pPr>
              <w:suppressAutoHyphens/>
              <w:autoSpaceDN w:val="0"/>
              <w:jc w:val="right"/>
              <w:rPr>
                <w:rFonts w:ascii="Arial" w:eastAsia="Calibri" w:hAnsi="Arial" w:cs="Arial"/>
                <w:color w:val="000000" w:themeColor="text1"/>
                <w:sz w:val="20"/>
                <w:szCs w:val="20"/>
              </w:rPr>
            </w:pPr>
          </w:p>
        </w:tc>
      </w:tr>
      <w:tr w:rsidR="007D4F72" w:rsidRPr="002B3067" w14:paraId="32664A66" w14:textId="77777777" w:rsidTr="0084405A">
        <w:trPr>
          <w:trHeight w:val="281"/>
        </w:trPr>
        <w:tc>
          <w:tcPr>
            <w:tcW w:w="3912" w:type="dxa"/>
            <w:tcBorders>
              <w:top w:val="nil"/>
              <w:left w:val="nil"/>
              <w:bottom w:val="nil"/>
              <w:right w:val="nil"/>
            </w:tcBorders>
            <w:shd w:val="clear" w:color="auto" w:fill="auto"/>
            <w:vAlign w:val="bottom"/>
          </w:tcPr>
          <w:p w14:paraId="719AB0C0" w14:textId="77777777" w:rsidR="007D4F72" w:rsidRPr="002B3067" w:rsidRDefault="007D4F72" w:rsidP="007D4F72">
            <w:pPr>
              <w:suppressAutoHyphens/>
              <w:autoSpaceDN w:val="0"/>
              <w:rPr>
                <w:rFonts w:ascii="Arial" w:eastAsia="Calibri" w:hAnsi="Arial" w:cs="Arial"/>
                <w:b/>
                <w:bCs/>
                <w:iCs/>
                <w:color w:val="000000" w:themeColor="text1"/>
                <w:sz w:val="20"/>
                <w:szCs w:val="20"/>
              </w:rPr>
            </w:pPr>
            <w:r w:rsidRPr="002B3067">
              <w:rPr>
                <w:rFonts w:ascii="Arial" w:eastAsia="Calibri" w:hAnsi="Arial" w:cs="Arial"/>
                <w:b/>
                <w:bCs/>
                <w:iCs/>
                <w:color w:val="000000" w:themeColor="text1"/>
                <w:sz w:val="20"/>
                <w:szCs w:val="20"/>
              </w:rPr>
              <w:t>Vlasnički vrijednosni papiri koji ne kotiraju:</w:t>
            </w:r>
          </w:p>
        </w:tc>
        <w:tc>
          <w:tcPr>
            <w:tcW w:w="1417" w:type="dxa"/>
            <w:tcBorders>
              <w:top w:val="nil"/>
              <w:left w:val="nil"/>
              <w:bottom w:val="nil"/>
              <w:right w:val="nil"/>
            </w:tcBorders>
            <w:shd w:val="clear" w:color="auto" w:fill="auto"/>
            <w:vAlign w:val="bottom"/>
          </w:tcPr>
          <w:p w14:paraId="567BAC10" w14:textId="77777777" w:rsidR="007D4F72" w:rsidRPr="00C04B6C" w:rsidRDefault="007D4F72" w:rsidP="007D4F72">
            <w:pPr>
              <w:suppressAutoHyphens/>
              <w:autoSpaceDN w:val="0"/>
              <w:rPr>
                <w:rFonts w:ascii="Arial" w:eastAsia="Calibri" w:hAnsi="Arial" w:cs="Arial"/>
                <w:b/>
                <w:bCs/>
                <w:i/>
                <w:iCs/>
                <w:color w:val="000000" w:themeColor="text1"/>
                <w:sz w:val="20"/>
                <w:szCs w:val="20"/>
              </w:rPr>
            </w:pPr>
          </w:p>
        </w:tc>
        <w:tc>
          <w:tcPr>
            <w:tcW w:w="1418" w:type="dxa"/>
            <w:tcBorders>
              <w:top w:val="nil"/>
              <w:left w:val="nil"/>
              <w:bottom w:val="nil"/>
              <w:right w:val="nil"/>
            </w:tcBorders>
            <w:shd w:val="clear" w:color="auto" w:fill="auto"/>
            <w:vAlign w:val="bottom"/>
          </w:tcPr>
          <w:p w14:paraId="6184B475" w14:textId="77777777" w:rsidR="007D4F72" w:rsidRPr="002B3067" w:rsidRDefault="007D4F72" w:rsidP="007D4F72">
            <w:pPr>
              <w:suppressAutoHyphens/>
              <w:autoSpaceDN w:val="0"/>
              <w:rPr>
                <w:rFonts w:ascii="Arial" w:eastAsia="Calibri" w:hAnsi="Arial" w:cs="Arial"/>
                <w:b/>
                <w:bCs/>
                <w:i/>
                <w:iCs/>
                <w:color w:val="000000" w:themeColor="text1"/>
                <w:sz w:val="20"/>
                <w:szCs w:val="20"/>
              </w:rPr>
            </w:pPr>
          </w:p>
        </w:tc>
        <w:tc>
          <w:tcPr>
            <w:tcW w:w="1417" w:type="dxa"/>
            <w:tcBorders>
              <w:top w:val="nil"/>
              <w:left w:val="nil"/>
              <w:bottom w:val="nil"/>
              <w:right w:val="nil"/>
            </w:tcBorders>
            <w:shd w:val="clear" w:color="auto" w:fill="auto"/>
            <w:vAlign w:val="bottom"/>
          </w:tcPr>
          <w:p w14:paraId="3B0BD3C1" w14:textId="77777777" w:rsidR="007D4F72" w:rsidRPr="00910C9A" w:rsidRDefault="007D4F72" w:rsidP="007D4F72">
            <w:pPr>
              <w:suppressAutoHyphens/>
              <w:autoSpaceDN w:val="0"/>
              <w:jc w:val="right"/>
              <w:rPr>
                <w:rFonts w:ascii="Arial" w:eastAsia="Calibri" w:hAnsi="Arial" w:cs="Arial"/>
                <w:color w:val="000000" w:themeColor="text1"/>
                <w:sz w:val="20"/>
                <w:szCs w:val="20"/>
              </w:rPr>
            </w:pPr>
          </w:p>
        </w:tc>
        <w:tc>
          <w:tcPr>
            <w:tcW w:w="1418" w:type="dxa"/>
            <w:tcBorders>
              <w:top w:val="nil"/>
              <w:left w:val="nil"/>
              <w:bottom w:val="nil"/>
              <w:right w:val="nil"/>
            </w:tcBorders>
            <w:shd w:val="clear" w:color="auto" w:fill="auto"/>
            <w:vAlign w:val="bottom"/>
          </w:tcPr>
          <w:p w14:paraId="4FC7787E" w14:textId="77777777" w:rsidR="007D4F72" w:rsidRPr="002B3067" w:rsidRDefault="007D4F72" w:rsidP="007D4F72">
            <w:pPr>
              <w:suppressAutoHyphens/>
              <w:autoSpaceDN w:val="0"/>
              <w:jc w:val="right"/>
              <w:rPr>
                <w:rFonts w:ascii="Arial" w:eastAsia="Calibri" w:hAnsi="Arial" w:cs="Arial"/>
                <w:color w:val="000000" w:themeColor="text1"/>
                <w:sz w:val="20"/>
                <w:szCs w:val="20"/>
              </w:rPr>
            </w:pPr>
          </w:p>
        </w:tc>
      </w:tr>
      <w:tr w:rsidR="00D5132E" w:rsidRPr="002B3067" w14:paraId="13A2B958" w14:textId="77777777" w:rsidTr="0084405A">
        <w:trPr>
          <w:trHeight w:hRule="exact" w:val="431"/>
        </w:trPr>
        <w:tc>
          <w:tcPr>
            <w:tcW w:w="3912" w:type="dxa"/>
            <w:tcBorders>
              <w:top w:val="nil"/>
              <w:left w:val="nil"/>
              <w:bottom w:val="nil"/>
              <w:right w:val="nil"/>
            </w:tcBorders>
            <w:shd w:val="clear" w:color="auto" w:fill="auto"/>
            <w:vAlign w:val="bottom"/>
            <w:hideMark/>
          </w:tcPr>
          <w:p w14:paraId="1940EF9E" w14:textId="77777777" w:rsidR="00D5132E" w:rsidRPr="002B3067" w:rsidRDefault="00D5132E" w:rsidP="00D5132E">
            <w:pPr>
              <w:suppressAutoHyphens/>
              <w:autoSpaceDN w:val="0"/>
              <w:rPr>
                <w:rFonts w:ascii="Arial" w:eastAsia="Calibri" w:hAnsi="Arial" w:cs="Arial"/>
                <w:color w:val="000000" w:themeColor="text1"/>
                <w:sz w:val="20"/>
                <w:szCs w:val="20"/>
              </w:rPr>
            </w:pPr>
            <w:r w:rsidRPr="002B3067">
              <w:rPr>
                <w:rFonts w:ascii="Arial" w:eastAsia="Calibri" w:hAnsi="Arial" w:cs="Arial"/>
                <w:color w:val="000000" w:themeColor="text1"/>
                <w:sz w:val="20"/>
                <w:szCs w:val="20"/>
              </w:rPr>
              <w:t>Dionice inozemnim pravnih osoba - SWIFT</w:t>
            </w:r>
          </w:p>
        </w:tc>
        <w:tc>
          <w:tcPr>
            <w:tcW w:w="1417" w:type="dxa"/>
            <w:tcBorders>
              <w:top w:val="nil"/>
              <w:left w:val="nil"/>
              <w:bottom w:val="nil"/>
              <w:right w:val="nil"/>
            </w:tcBorders>
            <w:shd w:val="clear" w:color="auto" w:fill="auto"/>
            <w:vAlign w:val="bottom"/>
          </w:tcPr>
          <w:p w14:paraId="6B353B97" w14:textId="069FF337" w:rsidR="00D5132E" w:rsidRPr="00C04B6C" w:rsidRDefault="00D5132E" w:rsidP="00D5132E">
            <w:pPr>
              <w:suppressAutoHyphens/>
              <w:autoSpaceDN w:val="0"/>
              <w:jc w:val="right"/>
              <w:rPr>
                <w:rFonts w:ascii="Arial" w:eastAsia="Calibri" w:hAnsi="Arial" w:cs="Arial"/>
                <w:color w:val="000000" w:themeColor="text1"/>
                <w:sz w:val="20"/>
                <w:szCs w:val="20"/>
              </w:rPr>
            </w:pPr>
            <w:r w:rsidRPr="00C04B6C">
              <w:rPr>
                <w:rFonts w:ascii="Arial" w:hAnsi="Arial" w:cs="Arial"/>
                <w:sz w:val="20"/>
                <w:szCs w:val="20"/>
              </w:rPr>
              <w:t xml:space="preserve"> 8 </w:t>
            </w:r>
          </w:p>
        </w:tc>
        <w:tc>
          <w:tcPr>
            <w:tcW w:w="1418" w:type="dxa"/>
            <w:tcBorders>
              <w:top w:val="nil"/>
              <w:left w:val="nil"/>
              <w:bottom w:val="nil"/>
              <w:right w:val="nil"/>
            </w:tcBorders>
            <w:shd w:val="clear" w:color="auto" w:fill="auto"/>
            <w:vAlign w:val="bottom"/>
          </w:tcPr>
          <w:p w14:paraId="743BFCB9" w14:textId="4A14B376" w:rsidR="00D5132E" w:rsidRPr="002B3067" w:rsidRDefault="00D5132E" w:rsidP="00D5132E">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8</w:t>
            </w:r>
          </w:p>
        </w:tc>
        <w:tc>
          <w:tcPr>
            <w:tcW w:w="1417" w:type="dxa"/>
            <w:tcBorders>
              <w:top w:val="nil"/>
              <w:left w:val="nil"/>
              <w:bottom w:val="nil"/>
              <w:right w:val="nil"/>
            </w:tcBorders>
            <w:shd w:val="clear" w:color="auto" w:fill="auto"/>
            <w:vAlign w:val="bottom"/>
          </w:tcPr>
          <w:p w14:paraId="3C5B4290" w14:textId="127CA9B8" w:rsidR="00D5132E" w:rsidRPr="00910C9A" w:rsidRDefault="00D5132E" w:rsidP="00D5132E">
            <w:pPr>
              <w:suppressAutoHyphens/>
              <w:autoSpaceDN w:val="0"/>
              <w:jc w:val="right"/>
              <w:rPr>
                <w:rFonts w:ascii="Arial" w:eastAsia="Calibri" w:hAnsi="Arial" w:cs="Arial"/>
                <w:color w:val="000000" w:themeColor="text1"/>
                <w:sz w:val="20"/>
                <w:szCs w:val="20"/>
              </w:rPr>
            </w:pPr>
            <w:r w:rsidRPr="00910C9A">
              <w:rPr>
                <w:rFonts w:ascii="Arial" w:eastAsia="Calibri" w:hAnsi="Arial" w:cs="Arial"/>
                <w:color w:val="000000" w:themeColor="text1"/>
                <w:sz w:val="20"/>
                <w:szCs w:val="20"/>
              </w:rPr>
              <w:t>8</w:t>
            </w:r>
          </w:p>
        </w:tc>
        <w:tc>
          <w:tcPr>
            <w:tcW w:w="1418" w:type="dxa"/>
            <w:tcBorders>
              <w:top w:val="nil"/>
              <w:left w:val="nil"/>
              <w:bottom w:val="nil"/>
              <w:right w:val="nil"/>
            </w:tcBorders>
            <w:shd w:val="clear" w:color="auto" w:fill="auto"/>
            <w:vAlign w:val="bottom"/>
          </w:tcPr>
          <w:p w14:paraId="141563CF" w14:textId="1ACC97E6" w:rsidR="00D5132E" w:rsidRPr="002B3067" w:rsidRDefault="00D5132E" w:rsidP="00D5132E">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8</w:t>
            </w:r>
          </w:p>
        </w:tc>
      </w:tr>
      <w:tr w:rsidR="00D5132E" w:rsidRPr="002B3067" w14:paraId="6BC89423" w14:textId="77777777" w:rsidTr="0084405A">
        <w:trPr>
          <w:trHeight w:hRule="exact" w:val="480"/>
        </w:trPr>
        <w:tc>
          <w:tcPr>
            <w:tcW w:w="3912" w:type="dxa"/>
            <w:tcBorders>
              <w:top w:val="nil"/>
              <w:left w:val="nil"/>
              <w:bottom w:val="nil"/>
              <w:right w:val="nil"/>
            </w:tcBorders>
            <w:shd w:val="clear" w:color="auto" w:fill="auto"/>
            <w:vAlign w:val="bottom"/>
            <w:hideMark/>
          </w:tcPr>
          <w:p w14:paraId="64AD20D6" w14:textId="77777777" w:rsidR="00D5132E" w:rsidRPr="002B3067" w:rsidRDefault="00D5132E" w:rsidP="00D5132E">
            <w:pPr>
              <w:suppressAutoHyphens/>
              <w:autoSpaceDN w:val="0"/>
              <w:rPr>
                <w:rFonts w:ascii="Arial" w:eastAsia="Calibri" w:hAnsi="Arial" w:cs="Arial"/>
                <w:color w:val="000000" w:themeColor="text1"/>
                <w:sz w:val="20"/>
                <w:szCs w:val="20"/>
              </w:rPr>
            </w:pPr>
            <w:r w:rsidRPr="002B3067">
              <w:rPr>
                <w:rFonts w:ascii="Arial" w:eastAsia="Calibri" w:hAnsi="Arial" w:cs="Arial"/>
                <w:color w:val="000000" w:themeColor="text1"/>
                <w:sz w:val="20"/>
                <w:szCs w:val="20"/>
              </w:rPr>
              <w:t>Dionice inozemnih financijskih institucija - EIF</w:t>
            </w:r>
          </w:p>
        </w:tc>
        <w:tc>
          <w:tcPr>
            <w:tcW w:w="1417" w:type="dxa"/>
            <w:tcBorders>
              <w:top w:val="nil"/>
              <w:left w:val="nil"/>
              <w:bottom w:val="nil"/>
              <w:right w:val="nil"/>
            </w:tcBorders>
            <w:shd w:val="clear" w:color="auto" w:fill="auto"/>
            <w:vAlign w:val="bottom"/>
          </w:tcPr>
          <w:p w14:paraId="60D1909A" w14:textId="41424319" w:rsidR="00D5132E" w:rsidRPr="00C04B6C" w:rsidRDefault="00D5132E" w:rsidP="00D5132E">
            <w:pPr>
              <w:suppressAutoHyphens/>
              <w:autoSpaceDN w:val="0"/>
              <w:jc w:val="right"/>
              <w:rPr>
                <w:rFonts w:ascii="Arial" w:eastAsia="Calibri" w:hAnsi="Arial" w:cs="Arial"/>
                <w:color w:val="000000" w:themeColor="text1"/>
                <w:sz w:val="20"/>
                <w:szCs w:val="20"/>
              </w:rPr>
            </w:pPr>
            <w:r w:rsidRPr="00C04B6C">
              <w:rPr>
                <w:rFonts w:ascii="Arial" w:hAnsi="Arial" w:cs="Arial"/>
                <w:sz w:val="20"/>
                <w:szCs w:val="20"/>
              </w:rPr>
              <w:t xml:space="preserve"> 8.065 </w:t>
            </w:r>
          </w:p>
        </w:tc>
        <w:tc>
          <w:tcPr>
            <w:tcW w:w="1418" w:type="dxa"/>
            <w:tcBorders>
              <w:top w:val="nil"/>
              <w:left w:val="nil"/>
              <w:bottom w:val="nil"/>
              <w:right w:val="nil"/>
            </w:tcBorders>
            <w:shd w:val="clear" w:color="auto" w:fill="auto"/>
            <w:vAlign w:val="bottom"/>
          </w:tcPr>
          <w:p w14:paraId="62A53C22" w14:textId="173599AD" w:rsidR="00D5132E" w:rsidRPr="002B3067" w:rsidRDefault="00D5132E" w:rsidP="00D5132E">
            <w:pPr>
              <w:suppressAutoHyphens/>
              <w:autoSpaceDN w:val="0"/>
              <w:jc w:val="right"/>
              <w:rPr>
                <w:rFonts w:ascii="Arial" w:eastAsia="Calibri" w:hAnsi="Arial" w:cs="Arial"/>
                <w:color w:val="000000" w:themeColor="text1"/>
                <w:sz w:val="20"/>
                <w:szCs w:val="20"/>
              </w:rPr>
            </w:pPr>
            <w:r w:rsidRPr="00267853">
              <w:rPr>
                <w:rFonts w:ascii="Arial" w:eastAsia="Calibri" w:hAnsi="Arial" w:cs="Arial"/>
                <w:color w:val="000000" w:themeColor="text1"/>
                <w:sz w:val="20"/>
                <w:szCs w:val="20"/>
              </w:rPr>
              <w:t>7.757</w:t>
            </w:r>
          </w:p>
        </w:tc>
        <w:tc>
          <w:tcPr>
            <w:tcW w:w="1417" w:type="dxa"/>
            <w:tcBorders>
              <w:top w:val="nil"/>
              <w:left w:val="nil"/>
              <w:bottom w:val="nil"/>
              <w:right w:val="nil"/>
            </w:tcBorders>
            <w:shd w:val="clear" w:color="auto" w:fill="auto"/>
            <w:vAlign w:val="bottom"/>
          </w:tcPr>
          <w:p w14:paraId="7800DC89" w14:textId="43DC7926" w:rsidR="00D5132E" w:rsidRPr="00910C9A" w:rsidRDefault="00D5132E" w:rsidP="00D5132E">
            <w:pPr>
              <w:suppressAutoHyphens/>
              <w:autoSpaceDN w:val="0"/>
              <w:jc w:val="right"/>
              <w:rPr>
                <w:rFonts w:ascii="Arial" w:eastAsia="Calibri" w:hAnsi="Arial" w:cs="Arial"/>
                <w:color w:val="000000" w:themeColor="text1"/>
                <w:sz w:val="20"/>
                <w:szCs w:val="20"/>
              </w:rPr>
            </w:pPr>
            <w:r w:rsidRPr="00910C9A">
              <w:rPr>
                <w:rFonts w:ascii="Arial" w:eastAsia="Calibri" w:hAnsi="Arial" w:cs="Arial"/>
                <w:color w:val="000000" w:themeColor="text1"/>
                <w:sz w:val="20"/>
                <w:szCs w:val="20"/>
              </w:rPr>
              <w:t>8.065</w:t>
            </w:r>
          </w:p>
        </w:tc>
        <w:tc>
          <w:tcPr>
            <w:tcW w:w="1418" w:type="dxa"/>
            <w:tcBorders>
              <w:top w:val="nil"/>
              <w:left w:val="nil"/>
              <w:bottom w:val="nil"/>
              <w:right w:val="nil"/>
            </w:tcBorders>
            <w:shd w:val="clear" w:color="auto" w:fill="auto"/>
            <w:vAlign w:val="bottom"/>
          </w:tcPr>
          <w:p w14:paraId="54195B18" w14:textId="35EC1B50" w:rsidR="00D5132E" w:rsidRPr="002B3067" w:rsidRDefault="00D5132E" w:rsidP="00D5132E">
            <w:pPr>
              <w:suppressAutoHyphens/>
              <w:autoSpaceDN w:val="0"/>
              <w:jc w:val="right"/>
              <w:rPr>
                <w:rFonts w:ascii="Arial" w:eastAsia="Calibri" w:hAnsi="Arial" w:cs="Arial"/>
                <w:color w:val="000000" w:themeColor="text1"/>
                <w:sz w:val="20"/>
                <w:szCs w:val="20"/>
              </w:rPr>
            </w:pPr>
            <w:r w:rsidRPr="00267853">
              <w:rPr>
                <w:rFonts w:ascii="Arial" w:eastAsia="Calibri" w:hAnsi="Arial" w:cs="Arial"/>
                <w:color w:val="000000" w:themeColor="text1"/>
                <w:sz w:val="20"/>
                <w:szCs w:val="20"/>
              </w:rPr>
              <w:t>7.757</w:t>
            </w:r>
          </w:p>
        </w:tc>
      </w:tr>
      <w:tr w:rsidR="00D5132E" w:rsidRPr="002B3067" w14:paraId="2852B441" w14:textId="77777777" w:rsidTr="0084405A">
        <w:trPr>
          <w:trHeight w:val="281"/>
        </w:trPr>
        <w:tc>
          <w:tcPr>
            <w:tcW w:w="3912" w:type="dxa"/>
            <w:tcBorders>
              <w:top w:val="nil"/>
              <w:left w:val="nil"/>
              <w:bottom w:val="nil"/>
              <w:right w:val="nil"/>
            </w:tcBorders>
            <w:shd w:val="clear" w:color="auto" w:fill="auto"/>
            <w:vAlign w:val="bottom"/>
            <w:hideMark/>
          </w:tcPr>
          <w:p w14:paraId="08E7FC8D" w14:textId="77777777" w:rsidR="00D5132E" w:rsidRPr="002B3067" w:rsidRDefault="00D5132E" w:rsidP="00D5132E">
            <w:pPr>
              <w:suppressAutoHyphens/>
              <w:autoSpaceDN w:val="0"/>
              <w:jc w:val="right"/>
              <w:rPr>
                <w:rFonts w:ascii="Arial" w:eastAsia="Calibri" w:hAnsi="Arial" w:cs="Arial"/>
                <w:color w:val="000000" w:themeColor="text1"/>
                <w:sz w:val="20"/>
                <w:szCs w:val="20"/>
              </w:rPr>
            </w:pPr>
          </w:p>
        </w:tc>
        <w:tc>
          <w:tcPr>
            <w:tcW w:w="1417" w:type="dxa"/>
            <w:tcBorders>
              <w:top w:val="single" w:sz="4" w:space="0" w:color="auto"/>
              <w:left w:val="nil"/>
              <w:bottom w:val="single" w:sz="12" w:space="0" w:color="auto"/>
              <w:right w:val="nil"/>
            </w:tcBorders>
            <w:shd w:val="clear" w:color="auto" w:fill="auto"/>
            <w:vAlign w:val="bottom"/>
          </w:tcPr>
          <w:p w14:paraId="46D06E2F" w14:textId="2614DFD0" w:rsidR="00D5132E" w:rsidRPr="0084405A" w:rsidRDefault="00D5132E" w:rsidP="00D5132E">
            <w:pPr>
              <w:suppressAutoHyphens/>
              <w:autoSpaceDN w:val="0"/>
              <w:jc w:val="right"/>
              <w:rPr>
                <w:rFonts w:ascii="Arial" w:eastAsia="Calibri" w:hAnsi="Arial" w:cs="Arial"/>
                <w:b/>
                <w:bCs/>
                <w:color w:val="000000" w:themeColor="text1"/>
                <w:sz w:val="20"/>
                <w:szCs w:val="20"/>
              </w:rPr>
            </w:pPr>
            <w:r w:rsidRPr="0084405A">
              <w:rPr>
                <w:rFonts w:ascii="Arial" w:hAnsi="Arial" w:cs="Arial"/>
                <w:b/>
                <w:bCs/>
                <w:sz w:val="20"/>
                <w:szCs w:val="20"/>
              </w:rPr>
              <w:t xml:space="preserve"> 8.073 </w:t>
            </w:r>
          </w:p>
        </w:tc>
        <w:tc>
          <w:tcPr>
            <w:tcW w:w="1418" w:type="dxa"/>
            <w:tcBorders>
              <w:top w:val="single" w:sz="4" w:space="0" w:color="auto"/>
              <w:left w:val="nil"/>
              <w:bottom w:val="single" w:sz="12" w:space="0" w:color="auto"/>
              <w:right w:val="nil"/>
            </w:tcBorders>
            <w:shd w:val="clear" w:color="auto" w:fill="auto"/>
            <w:vAlign w:val="bottom"/>
          </w:tcPr>
          <w:p w14:paraId="451FED6C" w14:textId="7E553339" w:rsidR="00D5132E" w:rsidRPr="002B3067" w:rsidRDefault="00D5132E" w:rsidP="00D5132E">
            <w:pPr>
              <w:suppressAutoHyphens/>
              <w:autoSpaceDN w:val="0"/>
              <w:jc w:val="right"/>
              <w:rPr>
                <w:rFonts w:ascii="Arial" w:eastAsia="Calibri" w:hAnsi="Arial" w:cs="Arial"/>
                <w:b/>
                <w:bCs/>
                <w:color w:val="000000" w:themeColor="text1"/>
                <w:sz w:val="20"/>
                <w:szCs w:val="20"/>
              </w:rPr>
            </w:pPr>
            <w:r w:rsidRPr="00267853">
              <w:rPr>
                <w:rFonts w:ascii="Arial" w:eastAsia="Calibri" w:hAnsi="Arial" w:cs="Arial"/>
                <w:b/>
                <w:bCs/>
                <w:color w:val="000000" w:themeColor="text1"/>
                <w:sz w:val="20"/>
                <w:szCs w:val="20"/>
              </w:rPr>
              <w:t>7.765</w:t>
            </w:r>
          </w:p>
        </w:tc>
        <w:tc>
          <w:tcPr>
            <w:tcW w:w="1417" w:type="dxa"/>
            <w:tcBorders>
              <w:top w:val="single" w:sz="4" w:space="0" w:color="auto"/>
              <w:left w:val="nil"/>
              <w:bottom w:val="single" w:sz="12" w:space="0" w:color="auto"/>
              <w:right w:val="nil"/>
            </w:tcBorders>
            <w:shd w:val="clear" w:color="auto" w:fill="auto"/>
            <w:vAlign w:val="bottom"/>
          </w:tcPr>
          <w:p w14:paraId="74E414BC" w14:textId="2A4704D5" w:rsidR="00D5132E" w:rsidRPr="00910C9A" w:rsidRDefault="00D5132E" w:rsidP="00D5132E">
            <w:pPr>
              <w:suppressAutoHyphens/>
              <w:autoSpaceDN w:val="0"/>
              <w:jc w:val="right"/>
              <w:rPr>
                <w:rFonts w:ascii="Arial" w:eastAsia="Calibri" w:hAnsi="Arial" w:cs="Arial"/>
                <w:b/>
                <w:bCs/>
                <w:color w:val="000000" w:themeColor="text1"/>
                <w:sz w:val="20"/>
                <w:szCs w:val="20"/>
              </w:rPr>
            </w:pPr>
            <w:r w:rsidRPr="00910C9A">
              <w:rPr>
                <w:rFonts w:ascii="Arial" w:eastAsia="Calibri" w:hAnsi="Arial" w:cs="Arial"/>
                <w:b/>
                <w:bCs/>
                <w:color w:val="000000" w:themeColor="text1"/>
                <w:sz w:val="20"/>
                <w:szCs w:val="20"/>
              </w:rPr>
              <w:t>8.073</w:t>
            </w:r>
          </w:p>
        </w:tc>
        <w:tc>
          <w:tcPr>
            <w:tcW w:w="1418" w:type="dxa"/>
            <w:tcBorders>
              <w:top w:val="single" w:sz="4" w:space="0" w:color="auto"/>
              <w:left w:val="nil"/>
              <w:bottom w:val="single" w:sz="12" w:space="0" w:color="auto"/>
              <w:right w:val="nil"/>
            </w:tcBorders>
            <w:shd w:val="clear" w:color="auto" w:fill="auto"/>
            <w:vAlign w:val="bottom"/>
          </w:tcPr>
          <w:p w14:paraId="6CFC5B97" w14:textId="3DE08DDA" w:rsidR="00D5132E" w:rsidRPr="002B3067" w:rsidRDefault="00D5132E" w:rsidP="00D5132E">
            <w:pPr>
              <w:suppressAutoHyphens/>
              <w:autoSpaceDN w:val="0"/>
              <w:jc w:val="right"/>
              <w:rPr>
                <w:rFonts w:ascii="Arial" w:eastAsia="Calibri" w:hAnsi="Arial" w:cs="Arial"/>
                <w:b/>
                <w:bCs/>
                <w:color w:val="000000" w:themeColor="text1"/>
                <w:sz w:val="20"/>
                <w:szCs w:val="20"/>
              </w:rPr>
            </w:pPr>
            <w:r w:rsidRPr="00267853">
              <w:rPr>
                <w:rFonts w:ascii="Arial" w:eastAsia="Calibri" w:hAnsi="Arial" w:cs="Arial"/>
                <w:b/>
                <w:bCs/>
                <w:color w:val="000000" w:themeColor="text1"/>
                <w:sz w:val="20"/>
                <w:szCs w:val="20"/>
              </w:rPr>
              <w:t>7.765</w:t>
            </w:r>
          </w:p>
        </w:tc>
      </w:tr>
      <w:tr w:rsidR="007D4F72" w:rsidRPr="002B3067" w14:paraId="6BADB544" w14:textId="77777777" w:rsidTr="002B3067">
        <w:trPr>
          <w:trHeight w:val="295"/>
        </w:trPr>
        <w:tc>
          <w:tcPr>
            <w:tcW w:w="3912" w:type="dxa"/>
            <w:tcBorders>
              <w:top w:val="nil"/>
              <w:left w:val="nil"/>
              <w:bottom w:val="nil"/>
              <w:right w:val="nil"/>
            </w:tcBorders>
            <w:shd w:val="clear" w:color="auto" w:fill="auto"/>
            <w:vAlign w:val="bottom"/>
            <w:hideMark/>
          </w:tcPr>
          <w:p w14:paraId="07D9F9F5" w14:textId="77777777" w:rsidR="007D4F72" w:rsidRPr="002B3067" w:rsidRDefault="007D4F72" w:rsidP="007D4F72">
            <w:pPr>
              <w:suppressAutoHyphens/>
              <w:autoSpaceDN w:val="0"/>
              <w:jc w:val="right"/>
              <w:rPr>
                <w:rFonts w:ascii="Arial" w:eastAsia="Calibri" w:hAnsi="Arial" w:cs="Arial"/>
                <w:b/>
                <w:bCs/>
                <w:color w:val="000000" w:themeColor="text1"/>
                <w:sz w:val="20"/>
                <w:szCs w:val="20"/>
              </w:rPr>
            </w:pPr>
          </w:p>
        </w:tc>
        <w:tc>
          <w:tcPr>
            <w:tcW w:w="1417" w:type="dxa"/>
            <w:tcBorders>
              <w:top w:val="single" w:sz="12" w:space="0" w:color="auto"/>
              <w:left w:val="nil"/>
              <w:bottom w:val="single" w:sz="12" w:space="0" w:color="auto"/>
              <w:right w:val="nil"/>
            </w:tcBorders>
            <w:shd w:val="clear" w:color="auto" w:fill="auto"/>
            <w:vAlign w:val="bottom"/>
          </w:tcPr>
          <w:p w14:paraId="5056E566" w14:textId="6650EAA1" w:rsidR="007D4F72" w:rsidRPr="00C04B6C" w:rsidRDefault="00D5132E" w:rsidP="007D4F72">
            <w:pPr>
              <w:suppressAutoHyphens/>
              <w:autoSpaceDN w:val="0"/>
              <w:jc w:val="right"/>
              <w:rPr>
                <w:rFonts w:ascii="Arial" w:eastAsia="Calibri" w:hAnsi="Arial" w:cs="Arial"/>
                <w:b/>
                <w:bCs/>
                <w:color w:val="000000" w:themeColor="text1"/>
                <w:sz w:val="20"/>
                <w:szCs w:val="20"/>
              </w:rPr>
            </w:pPr>
            <w:r w:rsidRPr="00363898">
              <w:rPr>
                <w:rFonts w:ascii="Arial" w:eastAsia="Calibri" w:hAnsi="Arial" w:cs="Arial"/>
                <w:b/>
                <w:bCs/>
                <w:color w:val="000000" w:themeColor="text1"/>
                <w:sz w:val="20"/>
                <w:szCs w:val="20"/>
              </w:rPr>
              <w:t>252.48</w:t>
            </w:r>
            <w:r w:rsidR="00363898" w:rsidRPr="00363898">
              <w:rPr>
                <w:rFonts w:ascii="Arial" w:eastAsia="Calibri" w:hAnsi="Arial" w:cs="Arial"/>
                <w:b/>
                <w:bCs/>
                <w:color w:val="000000" w:themeColor="text1"/>
                <w:sz w:val="20"/>
                <w:szCs w:val="20"/>
              </w:rPr>
              <w:t>3</w:t>
            </w:r>
          </w:p>
        </w:tc>
        <w:tc>
          <w:tcPr>
            <w:tcW w:w="1418" w:type="dxa"/>
            <w:tcBorders>
              <w:top w:val="single" w:sz="12" w:space="0" w:color="auto"/>
              <w:left w:val="nil"/>
              <w:bottom w:val="single" w:sz="12" w:space="0" w:color="auto"/>
              <w:right w:val="nil"/>
            </w:tcBorders>
            <w:shd w:val="clear" w:color="auto" w:fill="auto"/>
            <w:vAlign w:val="bottom"/>
          </w:tcPr>
          <w:p w14:paraId="30AB5924" w14:textId="259B0672" w:rsidR="007D4F72" w:rsidRPr="002B3067" w:rsidRDefault="007D4F72" w:rsidP="007D4F72">
            <w:pPr>
              <w:suppressAutoHyphens/>
              <w:autoSpaceDN w:val="0"/>
              <w:jc w:val="right"/>
              <w:rPr>
                <w:rFonts w:ascii="Arial" w:eastAsia="Calibri" w:hAnsi="Arial" w:cs="Arial"/>
                <w:b/>
                <w:bCs/>
                <w:color w:val="000000" w:themeColor="text1"/>
                <w:sz w:val="20"/>
                <w:szCs w:val="20"/>
              </w:rPr>
            </w:pPr>
            <w:r>
              <w:rPr>
                <w:rFonts w:ascii="Arial" w:eastAsia="Calibri" w:hAnsi="Arial" w:cs="Arial"/>
                <w:b/>
                <w:bCs/>
                <w:color w:val="000000" w:themeColor="text1"/>
                <w:sz w:val="20"/>
                <w:szCs w:val="20"/>
              </w:rPr>
              <w:t>235.199</w:t>
            </w:r>
          </w:p>
        </w:tc>
        <w:tc>
          <w:tcPr>
            <w:tcW w:w="1417" w:type="dxa"/>
            <w:tcBorders>
              <w:top w:val="single" w:sz="12" w:space="0" w:color="auto"/>
              <w:left w:val="nil"/>
              <w:bottom w:val="single" w:sz="12" w:space="0" w:color="auto"/>
              <w:right w:val="nil"/>
            </w:tcBorders>
            <w:shd w:val="clear" w:color="auto" w:fill="auto"/>
            <w:vAlign w:val="bottom"/>
          </w:tcPr>
          <w:p w14:paraId="388780D0" w14:textId="241789B9" w:rsidR="007D4F72" w:rsidRPr="00910C9A" w:rsidRDefault="00B044E3" w:rsidP="007D4F72">
            <w:pPr>
              <w:suppressAutoHyphens/>
              <w:autoSpaceDN w:val="0"/>
              <w:jc w:val="right"/>
              <w:rPr>
                <w:rFonts w:ascii="Arial" w:eastAsia="Calibri" w:hAnsi="Arial" w:cs="Arial"/>
                <w:b/>
                <w:bCs/>
                <w:color w:val="000000" w:themeColor="text1"/>
                <w:sz w:val="20"/>
                <w:szCs w:val="20"/>
              </w:rPr>
            </w:pPr>
            <w:r w:rsidRPr="00910C9A">
              <w:rPr>
                <w:rFonts w:ascii="Arial" w:eastAsia="Calibri" w:hAnsi="Arial" w:cs="Arial"/>
                <w:b/>
                <w:bCs/>
                <w:color w:val="000000" w:themeColor="text1"/>
                <w:sz w:val="20"/>
                <w:szCs w:val="20"/>
              </w:rPr>
              <w:t>246.774</w:t>
            </w:r>
          </w:p>
        </w:tc>
        <w:tc>
          <w:tcPr>
            <w:tcW w:w="1418" w:type="dxa"/>
            <w:tcBorders>
              <w:top w:val="single" w:sz="12" w:space="0" w:color="auto"/>
              <w:left w:val="nil"/>
              <w:bottom w:val="single" w:sz="12" w:space="0" w:color="auto"/>
              <w:right w:val="nil"/>
            </w:tcBorders>
            <w:shd w:val="clear" w:color="auto" w:fill="auto"/>
            <w:vAlign w:val="bottom"/>
          </w:tcPr>
          <w:p w14:paraId="41657105" w14:textId="6AAEAA1A" w:rsidR="007D4F72" w:rsidRPr="002B3067" w:rsidRDefault="007D4F72" w:rsidP="007D4F72">
            <w:pPr>
              <w:suppressAutoHyphens/>
              <w:autoSpaceDN w:val="0"/>
              <w:jc w:val="right"/>
              <w:rPr>
                <w:rFonts w:ascii="Arial" w:eastAsia="Calibri" w:hAnsi="Arial" w:cs="Arial"/>
                <w:b/>
                <w:bCs/>
                <w:color w:val="000000" w:themeColor="text1"/>
                <w:sz w:val="20"/>
                <w:szCs w:val="20"/>
              </w:rPr>
            </w:pPr>
            <w:r>
              <w:rPr>
                <w:rFonts w:ascii="Arial" w:eastAsia="Calibri" w:hAnsi="Arial" w:cs="Arial"/>
                <w:b/>
                <w:bCs/>
                <w:color w:val="000000" w:themeColor="text1"/>
                <w:sz w:val="20"/>
                <w:szCs w:val="20"/>
              </w:rPr>
              <w:t>228.858</w:t>
            </w:r>
          </w:p>
        </w:tc>
      </w:tr>
    </w:tbl>
    <w:p w14:paraId="020FD37D" w14:textId="77777777" w:rsidR="001B247D" w:rsidRPr="003D1614" w:rsidRDefault="001B247D" w:rsidP="001B247D">
      <w:pPr>
        <w:keepNext/>
        <w:suppressAutoHyphens/>
        <w:autoSpaceDN w:val="0"/>
        <w:jc w:val="both"/>
        <w:outlineLvl w:val="0"/>
        <w:rPr>
          <w:rFonts w:ascii="Arial" w:eastAsia="Times New Roman" w:hAnsi="Arial" w:cs="Arial"/>
          <w:bCs/>
          <w:color w:val="000000" w:themeColor="text1"/>
          <w:sz w:val="20"/>
          <w:szCs w:val="20"/>
        </w:rPr>
      </w:pPr>
    </w:p>
    <w:p w14:paraId="4A351DFD" w14:textId="66229B32" w:rsidR="001B247D" w:rsidRPr="003D1614" w:rsidRDefault="001B247D" w:rsidP="001B247D">
      <w:pPr>
        <w:suppressAutoHyphens/>
        <w:autoSpaceDN w:val="0"/>
        <w:jc w:val="both"/>
        <w:rPr>
          <w:rFonts w:ascii="Arial" w:eastAsia="Times New Roman" w:hAnsi="Arial" w:cs="Arial"/>
          <w:sz w:val="20"/>
          <w:szCs w:val="20"/>
        </w:rPr>
      </w:pPr>
      <w:r w:rsidRPr="003D1614">
        <w:rPr>
          <w:rFonts w:ascii="Arial" w:eastAsia="Calibri" w:hAnsi="Arial" w:cs="Arial"/>
          <w:spacing w:val="-3"/>
          <w:sz w:val="20"/>
          <w:szCs w:val="20"/>
        </w:rPr>
        <w:t xml:space="preserve">Zamjenjive obveznice (engl. convertible bonds – CB) </w:t>
      </w:r>
      <w:r w:rsidRPr="003D1614">
        <w:rPr>
          <w:rFonts w:ascii="Arial" w:eastAsia="Times New Roman" w:hAnsi="Arial" w:cs="Arial"/>
          <w:sz w:val="20"/>
          <w:szCs w:val="20"/>
        </w:rPr>
        <w:t>Fortenova Group TopCo B.V.,</w:t>
      </w:r>
      <w:r w:rsidRPr="003D1614">
        <w:rPr>
          <w:rFonts w:ascii="Arial" w:eastAsia="Calibri" w:hAnsi="Arial" w:cs="Arial"/>
          <w:spacing w:val="-3"/>
          <w:sz w:val="20"/>
          <w:szCs w:val="20"/>
        </w:rPr>
        <w:t xml:space="preserve"> koje ne kotiraju,</w:t>
      </w:r>
      <w:r w:rsidRPr="003D1614">
        <w:rPr>
          <w:rFonts w:ascii="Arial" w:eastAsia="Times New Roman" w:hAnsi="Arial" w:cs="Arial"/>
          <w:sz w:val="20"/>
          <w:szCs w:val="20"/>
        </w:rPr>
        <w:t xml:space="preserve"> </w:t>
      </w:r>
      <w:r w:rsidRPr="003D1614">
        <w:rPr>
          <w:rFonts w:ascii="Arial" w:eastAsia="Calibri" w:hAnsi="Arial" w:cs="Arial"/>
          <w:spacing w:val="-3"/>
          <w:sz w:val="20"/>
          <w:szCs w:val="20"/>
        </w:rPr>
        <w:t xml:space="preserve">u iznosu </w:t>
      </w:r>
      <w:r w:rsidRPr="002C4D30">
        <w:rPr>
          <w:rFonts w:ascii="Arial" w:eastAsia="Calibri" w:hAnsi="Arial" w:cs="Arial"/>
          <w:spacing w:val="-3"/>
          <w:sz w:val="20"/>
          <w:szCs w:val="20"/>
        </w:rPr>
        <w:t xml:space="preserve">od </w:t>
      </w:r>
      <w:r w:rsidR="007B3CEA">
        <w:rPr>
          <w:rFonts w:ascii="Arial" w:eastAsia="Calibri" w:hAnsi="Arial" w:cs="Arial"/>
          <w:spacing w:val="-3"/>
          <w:sz w:val="20"/>
          <w:szCs w:val="20"/>
        </w:rPr>
        <w:t xml:space="preserve">137 </w:t>
      </w:r>
      <w:r w:rsidRPr="003D1614">
        <w:rPr>
          <w:rFonts w:ascii="Arial" w:eastAsia="Calibri" w:hAnsi="Arial" w:cs="Arial"/>
          <w:spacing w:val="-3"/>
          <w:sz w:val="20"/>
          <w:szCs w:val="20"/>
        </w:rPr>
        <w:t xml:space="preserve">tisuća eura </w:t>
      </w:r>
      <w:r w:rsidRPr="003D1614">
        <w:rPr>
          <w:rFonts w:ascii="Arial" w:eastAsia="Times New Roman" w:hAnsi="Arial" w:cs="Arial"/>
          <w:color w:val="000000" w:themeColor="text1"/>
          <w:sz w:val="20"/>
          <w:szCs w:val="20"/>
        </w:rPr>
        <w:t>(31. prosinca 202</w:t>
      </w:r>
      <w:r w:rsidR="000E0684">
        <w:rPr>
          <w:rFonts w:ascii="Arial" w:eastAsia="Times New Roman" w:hAnsi="Arial" w:cs="Arial"/>
          <w:color w:val="000000" w:themeColor="text1"/>
          <w:sz w:val="20"/>
          <w:szCs w:val="20"/>
        </w:rPr>
        <w:t>3</w:t>
      </w:r>
      <w:r w:rsidRPr="003D1614">
        <w:rPr>
          <w:rFonts w:ascii="Arial" w:eastAsia="Times New Roman" w:hAnsi="Arial" w:cs="Arial"/>
          <w:color w:val="000000" w:themeColor="text1"/>
          <w:sz w:val="20"/>
          <w:szCs w:val="20"/>
        </w:rPr>
        <w:t xml:space="preserve">.: </w:t>
      </w:r>
      <w:r w:rsidR="007A77B7">
        <w:rPr>
          <w:rFonts w:ascii="Arial" w:eastAsia="Times New Roman" w:hAnsi="Arial" w:cs="Arial"/>
          <w:color w:val="000000" w:themeColor="text1"/>
          <w:sz w:val="20"/>
          <w:szCs w:val="20"/>
        </w:rPr>
        <w:t>195</w:t>
      </w:r>
      <w:r w:rsidR="009A64AE">
        <w:rPr>
          <w:rFonts w:ascii="Arial" w:eastAsia="Times New Roman" w:hAnsi="Arial" w:cs="Arial"/>
          <w:color w:val="000000" w:themeColor="text1"/>
          <w:sz w:val="20"/>
          <w:szCs w:val="20"/>
        </w:rPr>
        <w:t xml:space="preserve"> </w:t>
      </w:r>
      <w:r w:rsidRPr="003D1614">
        <w:rPr>
          <w:rFonts w:ascii="Arial" w:eastAsia="Times New Roman" w:hAnsi="Arial" w:cs="Arial"/>
          <w:color w:val="000000" w:themeColor="text1"/>
          <w:sz w:val="20"/>
          <w:szCs w:val="20"/>
        </w:rPr>
        <w:t xml:space="preserve">tisuća eura) </w:t>
      </w:r>
      <w:r w:rsidRPr="003D1614">
        <w:rPr>
          <w:rFonts w:ascii="Arial" w:eastAsia="Calibri" w:hAnsi="Arial" w:cs="Arial"/>
          <w:spacing w:val="-3"/>
          <w:sz w:val="20"/>
          <w:szCs w:val="20"/>
        </w:rPr>
        <w:t xml:space="preserve">preuzete su </w:t>
      </w:r>
      <w:r w:rsidRPr="003D1614">
        <w:rPr>
          <w:rFonts w:ascii="Arial" w:eastAsia="Times New Roman" w:hAnsi="Arial" w:cs="Arial"/>
          <w:sz w:val="20"/>
          <w:szCs w:val="20"/>
        </w:rPr>
        <w:t>Nagodbom u Postupku izvanredne uprave nad Agrokor d.d. i dr..</w:t>
      </w:r>
    </w:p>
    <w:p w14:paraId="392ED4A3" w14:textId="54A036E6" w:rsidR="001B247D" w:rsidRPr="003D1614" w:rsidRDefault="001B247D" w:rsidP="001B247D">
      <w:pPr>
        <w:suppressAutoHyphens/>
        <w:autoSpaceDN w:val="0"/>
        <w:jc w:val="both"/>
        <w:rPr>
          <w:rFonts w:ascii="Arial" w:eastAsia="Times New Roman" w:hAnsi="Arial" w:cs="Arial"/>
          <w:sz w:val="20"/>
          <w:szCs w:val="20"/>
        </w:rPr>
      </w:pPr>
    </w:p>
    <w:p w14:paraId="6EB00655" w14:textId="77777777" w:rsidR="001B247D" w:rsidRPr="003D1614" w:rsidRDefault="001B247D" w:rsidP="001B247D">
      <w:pPr>
        <w:suppressAutoHyphens/>
        <w:autoSpaceDN w:val="0"/>
        <w:jc w:val="both"/>
        <w:rPr>
          <w:rFonts w:ascii="Arial" w:eastAsia="Calibri" w:hAnsi="Arial" w:cs="Arial"/>
          <w:spacing w:val="-3"/>
          <w:sz w:val="20"/>
          <w:szCs w:val="20"/>
        </w:rPr>
        <w:sectPr w:rsidR="001B247D" w:rsidRPr="003D1614">
          <w:pgSz w:w="11906" w:h="16838"/>
          <w:pgMar w:top="1417" w:right="1417" w:bottom="1417" w:left="1417" w:header="708" w:footer="708" w:gutter="0"/>
          <w:cols w:space="708"/>
          <w:docGrid w:linePitch="360"/>
        </w:sectPr>
      </w:pPr>
    </w:p>
    <w:p w14:paraId="6945EEC3" w14:textId="77777777" w:rsidR="001B247D" w:rsidRPr="003D1614" w:rsidRDefault="001B247D" w:rsidP="001B247D">
      <w:pPr>
        <w:keepNext/>
        <w:suppressAutoHyphens/>
        <w:autoSpaceDN w:val="0"/>
        <w:jc w:val="both"/>
        <w:outlineLvl w:val="0"/>
        <w:rPr>
          <w:rFonts w:ascii="Arial" w:eastAsia="Times New Roman" w:hAnsi="Arial" w:cs="Arial"/>
          <w:bCs/>
          <w:color w:val="000000" w:themeColor="text1"/>
          <w:sz w:val="20"/>
          <w:szCs w:val="20"/>
        </w:rPr>
      </w:pPr>
    </w:p>
    <w:p w14:paraId="3AE5A6BA" w14:textId="76370E50" w:rsidR="001B247D" w:rsidRPr="003D1614" w:rsidRDefault="001B247D" w:rsidP="001B247D">
      <w:pPr>
        <w:keepNext/>
        <w:suppressAutoHyphens/>
        <w:autoSpaceDN w:val="0"/>
        <w:jc w:val="both"/>
        <w:outlineLvl w:val="0"/>
        <w:rPr>
          <w:rFonts w:ascii="Arial" w:eastAsia="Times New Roman" w:hAnsi="Arial" w:cs="Arial"/>
          <w:bCs/>
          <w:color w:val="000000" w:themeColor="text1"/>
          <w:sz w:val="20"/>
          <w:szCs w:val="20"/>
        </w:rPr>
      </w:pPr>
      <w:r w:rsidRPr="003D1614">
        <w:rPr>
          <w:rFonts w:ascii="Arial" w:eastAsia="Times New Roman" w:hAnsi="Arial" w:cs="Arial"/>
          <w:b/>
          <w:bCs/>
          <w:color w:val="000000" w:themeColor="text1"/>
          <w:sz w:val="20"/>
          <w:szCs w:val="20"/>
        </w:rPr>
        <w:t>1</w:t>
      </w:r>
      <w:r w:rsidR="003D1614">
        <w:rPr>
          <w:rFonts w:ascii="Arial" w:eastAsia="Times New Roman" w:hAnsi="Arial" w:cs="Arial"/>
          <w:b/>
          <w:bCs/>
          <w:color w:val="000000" w:themeColor="text1"/>
          <w:sz w:val="20"/>
          <w:szCs w:val="20"/>
        </w:rPr>
        <w:t>4</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Financijska imovina po fer vrijednosti kroz ostalu sveobuhvatnu dobit (nastavak)</w:t>
      </w:r>
      <w:r w:rsidRPr="003D1614">
        <w:rPr>
          <w:rFonts w:ascii="Arial" w:eastAsia="Times New Roman" w:hAnsi="Arial" w:cs="Arial"/>
          <w:b/>
          <w:bCs/>
          <w:color w:val="000000" w:themeColor="text1"/>
          <w:sz w:val="20"/>
          <w:szCs w:val="20"/>
        </w:rPr>
        <w:tab/>
      </w:r>
      <w:r w:rsidRPr="003D1614">
        <w:rPr>
          <w:rFonts w:ascii="Arial" w:eastAsia="Times New Roman" w:hAnsi="Arial" w:cs="Arial"/>
          <w:b/>
          <w:bCs/>
          <w:color w:val="000000" w:themeColor="text1"/>
          <w:sz w:val="20"/>
          <w:szCs w:val="20"/>
        </w:rPr>
        <w:tab/>
      </w:r>
      <w:r w:rsidRPr="003D1614">
        <w:rPr>
          <w:rFonts w:ascii="Arial" w:eastAsia="Times New Roman" w:hAnsi="Arial" w:cs="Arial"/>
          <w:b/>
          <w:bCs/>
          <w:color w:val="000000" w:themeColor="text1"/>
          <w:sz w:val="20"/>
          <w:szCs w:val="20"/>
        </w:rPr>
        <w:tab/>
      </w:r>
    </w:p>
    <w:p w14:paraId="1739F907" w14:textId="77777777" w:rsidR="001B247D" w:rsidRPr="003D1614" w:rsidRDefault="001B247D" w:rsidP="001B247D">
      <w:pPr>
        <w:keepNext/>
        <w:suppressAutoHyphens/>
        <w:autoSpaceDN w:val="0"/>
        <w:jc w:val="both"/>
        <w:outlineLvl w:val="0"/>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Sljedeće tablice prikazuju informacije o kreditnoj kvaliteti financijske imovine koja se mjeri po fer vrijednosti kroz ostalu sveobuhvatnu dobit. Iznosi u tablici predstavljaju bruto knjigovodstvene iznose:</w:t>
      </w:r>
    </w:p>
    <w:tbl>
      <w:tblPr>
        <w:tblpPr w:leftFromText="180" w:rightFromText="180" w:vertAnchor="text" w:horzAnchor="margin" w:tblpXSpec="center" w:tblpY="187"/>
        <w:tblW w:w="9762" w:type="dxa"/>
        <w:tblLayout w:type="fixed"/>
        <w:tblLook w:val="04A0" w:firstRow="1" w:lastRow="0" w:firstColumn="1" w:lastColumn="0" w:noHBand="0" w:noVBand="1"/>
      </w:tblPr>
      <w:tblGrid>
        <w:gridCol w:w="1814"/>
        <w:gridCol w:w="993"/>
        <w:gridCol w:w="994"/>
        <w:gridCol w:w="993"/>
        <w:gridCol w:w="994"/>
        <w:gridCol w:w="993"/>
        <w:gridCol w:w="994"/>
        <w:gridCol w:w="993"/>
        <w:gridCol w:w="994"/>
      </w:tblGrid>
      <w:tr w:rsidR="001B247D" w:rsidRPr="006807D0" w14:paraId="148FED77" w14:textId="77777777" w:rsidTr="006807D0">
        <w:trPr>
          <w:trHeight w:val="270"/>
        </w:trPr>
        <w:tc>
          <w:tcPr>
            <w:tcW w:w="1814" w:type="dxa"/>
            <w:tcBorders>
              <w:top w:val="nil"/>
              <w:left w:val="nil"/>
              <w:bottom w:val="nil"/>
              <w:right w:val="nil"/>
            </w:tcBorders>
            <w:shd w:val="clear" w:color="auto" w:fill="auto"/>
            <w:noWrap/>
            <w:vAlign w:val="bottom"/>
            <w:hideMark/>
          </w:tcPr>
          <w:p w14:paraId="261331A6" w14:textId="1E471F59" w:rsidR="001B247D" w:rsidRPr="006807D0" w:rsidRDefault="00C60785" w:rsidP="001B247D">
            <w:pPr>
              <w:suppressAutoHyphens/>
              <w:autoSpaceDN w:val="0"/>
              <w:rPr>
                <w:rFonts w:ascii="Arial" w:eastAsia="Times New Roman" w:hAnsi="Arial" w:cs="Arial"/>
                <w:b/>
                <w:color w:val="000000" w:themeColor="text1"/>
                <w:sz w:val="17"/>
                <w:szCs w:val="17"/>
              </w:rPr>
            </w:pPr>
            <w:r w:rsidRPr="00C60785">
              <w:rPr>
                <w:rFonts w:ascii="Arial" w:eastAsia="Times New Roman" w:hAnsi="Arial" w:cs="Arial"/>
                <w:b/>
                <w:color w:val="000000" w:themeColor="text1"/>
                <w:sz w:val="17"/>
                <w:szCs w:val="17"/>
              </w:rPr>
              <w:t>30. rujna 202</w:t>
            </w:r>
            <w:r w:rsidR="007D4F72">
              <w:rPr>
                <w:rFonts w:ascii="Arial" w:eastAsia="Times New Roman" w:hAnsi="Arial" w:cs="Arial"/>
                <w:b/>
                <w:color w:val="000000" w:themeColor="text1"/>
                <w:sz w:val="17"/>
                <w:szCs w:val="17"/>
              </w:rPr>
              <w:t>4</w:t>
            </w:r>
            <w:r w:rsidRPr="00C60785">
              <w:rPr>
                <w:rFonts w:ascii="Arial" w:eastAsia="Times New Roman" w:hAnsi="Arial" w:cs="Arial"/>
                <w:b/>
                <w:color w:val="000000" w:themeColor="text1"/>
                <w:sz w:val="17"/>
                <w:szCs w:val="17"/>
              </w:rPr>
              <w:t>.</w:t>
            </w:r>
          </w:p>
        </w:tc>
        <w:tc>
          <w:tcPr>
            <w:tcW w:w="993" w:type="dxa"/>
            <w:tcBorders>
              <w:top w:val="nil"/>
              <w:left w:val="nil"/>
              <w:bottom w:val="nil"/>
              <w:right w:val="nil"/>
            </w:tcBorders>
            <w:shd w:val="clear" w:color="auto" w:fill="auto"/>
            <w:noWrap/>
            <w:vAlign w:val="bottom"/>
            <w:hideMark/>
          </w:tcPr>
          <w:p w14:paraId="4964784F" w14:textId="77777777" w:rsidR="001B247D" w:rsidRPr="006807D0" w:rsidRDefault="001B247D" w:rsidP="001B247D">
            <w:pPr>
              <w:suppressAutoHyphens/>
              <w:autoSpaceDN w:val="0"/>
              <w:jc w:val="right"/>
              <w:rPr>
                <w:rFonts w:ascii="Arial" w:eastAsia="Times New Roman" w:hAnsi="Arial" w:cs="Arial"/>
                <w:color w:val="000000" w:themeColor="text1"/>
                <w:sz w:val="17"/>
                <w:szCs w:val="17"/>
              </w:rPr>
            </w:pPr>
          </w:p>
        </w:tc>
        <w:tc>
          <w:tcPr>
            <w:tcW w:w="994" w:type="dxa"/>
            <w:tcBorders>
              <w:top w:val="nil"/>
              <w:left w:val="nil"/>
              <w:bottom w:val="nil"/>
              <w:right w:val="nil"/>
            </w:tcBorders>
            <w:shd w:val="clear" w:color="auto" w:fill="auto"/>
            <w:noWrap/>
            <w:vAlign w:val="bottom"/>
            <w:hideMark/>
          </w:tcPr>
          <w:p w14:paraId="2E6841B9" w14:textId="77777777" w:rsidR="001B247D" w:rsidRPr="006807D0" w:rsidRDefault="001B247D" w:rsidP="001B247D">
            <w:pPr>
              <w:suppressAutoHyphens/>
              <w:autoSpaceDN w:val="0"/>
              <w:jc w:val="right"/>
              <w:rPr>
                <w:rFonts w:ascii="Arial" w:eastAsia="Times New Roman" w:hAnsi="Arial" w:cs="Arial"/>
                <w:color w:val="000000" w:themeColor="text1"/>
                <w:sz w:val="17"/>
                <w:szCs w:val="17"/>
              </w:rPr>
            </w:pPr>
          </w:p>
        </w:tc>
        <w:tc>
          <w:tcPr>
            <w:tcW w:w="993" w:type="dxa"/>
            <w:tcBorders>
              <w:top w:val="nil"/>
              <w:left w:val="nil"/>
              <w:bottom w:val="nil"/>
              <w:right w:val="nil"/>
            </w:tcBorders>
            <w:shd w:val="clear" w:color="auto" w:fill="auto"/>
            <w:noWrap/>
            <w:vAlign w:val="bottom"/>
            <w:hideMark/>
          </w:tcPr>
          <w:p w14:paraId="70AE1392" w14:textId="77777777" w:rsidR="001B247D" w:rsidRPr="006807D0" w:rsidRDefault="001B247D" w:rsidP="001B247D">
            <w:pPr>
              <w:suppressAutoHyphens/>
              <w:autoSpaceDN w:val="0"/>
              <w:jc w:val="right"/>
              <w:rPr>
                <w:rFonts w:ascii="Arial" w:eastAsia="Times New Roman" w:hAnsi="Arial" w:cs="Arial"/>
                <w:color w:val="000000" w:themeColor="text1"/>
                <w:sz w:val="17"/>
                <w:szCs w:val="17"/>
              </w:rPr>
            </w:pPr>
          </w:p>
        </w:tc>
        <w:tc>
          <w:tcPr>
            <w:tcW w:w="994" w:type="dxa"/>
            <w:tcBorders>
              <w:top w:val="nil"/>
              <w:left w:val="nil"/>
              <w:bottom w:val="nil"/>
              <w:right w:val="nil"/>
            </w:tcBorders>
            <w:shd w:val="clear" w:color="auto" w:fill="auto"/>
            <w:noWrap/>
            <w:vAlign w:val="bottom"/>
            <w:hideMark/>
          </w:tcPr>
          <w:p w14:paraId="6131BF2C"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r w:rsidRPr="006807D0">
              <w:rPr>
                <w:rFonts w:ascii="Arial" w:eastAsia="Times New Roman" w:hAnsi="Arial" w:cs="Arial"/>
                <w:b/>
                <w:bCs/>
                <w:color w:val="000000" w:themeColor="text1"/>
                <w:sz w:val="17"/>
                <w:szCs w:val="17"/>
              </w:rPr>
              <w:t>Grupa</w:t>
            </w:r>
          </w:p>
        </w:tc>
        <w:tc>
          <w:tcPr>
            <w:tcW w:w="993" w:type="dxa"/>
            <w:tcBorders>
              <w:top w:val="nil"/>
              <w:left w:val="nil"/>
              <w:bottom w:val="nil"/>
              <w:right w:val="nil"/>
            </w:tcBorders>
            <w:shd w:val="clear" w:color="auto" w:fill="auto"/>
            <w:noWrap/>
            <w:vAlign w:val="bottom"/>
            <w:hideMark/>
          </w:tcPr>
          <w:p w14:paraId="4C7FF3FE"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p>
        </w:tc>
        <w:tc>
          <w:tcPr>
            <w:tcW w:w="994" w:type="dxa"/>
            <w:tcBorders>
              <w:top w:val="nil"/>
              <w:left w:val="nil"/>
              <w:bottom w:val="nil"/>
              <w:right w:val="nil"/>
            </w:tcBorders>
            <w:shd w:val="clear" w:color="auto" w:fill="auto"/>
            <w:noWrap/>
            <w:vAlign w:val="bottom"/>
            <w:hideMark/>
          </w:tcPr>
          <w:p w14:paraId="63C03E86" w14:textId="77777777" w:rsidR="001B247D" w:rsidRPr="006807D0" w:rsidRDefault="001B247D" w:rsidP="001B247D">
            <w:pPr>
              <w:suppressAutoHyphens/>
              <w:autoSpaceDN w:val="0"/>
              <w:jc w:val="right"/>
              <w:rPr>
                <w:rFonts w:ascii="Arial" w:eastAsia="Times New Roman" w:hAnsi="Arial" w:cs="Arial"/>
                <w:color w:val="000000" w:themeColor="text1"/>
                <w:sz w:val="17"/>
                <w:szCs w:val="17"/>
              </w:rPr>
            </w:pPr>
          </w:p>
        </w:tc>
        <w:tc>
          <w:tcPr>
            <w:tcW w:w="993" w:type="dxa"/>
            <w:tcBorders>
              <w:top w:val="nil"/>
              <w:left w:val="nil"/>
              <w:bottom w:val="nil"/>
              <w:right w:val="nil"/>
            </w:tcBorders>
            <w:shd w:val="clear" w:color="auto" w:fill="auto"/>
            <w:noWrap/>
            <w:vAlign w:val="bottom"/>
            <w:hideMark/>
          </w:tcPr>
          <w:p w14:paraId="612B800E" w14:textId="77777777" w:rsidR="001B247D" w:rsidRPr="006807D0" w:rsidRDefault="001B247D" w:rsidP="001B247D">
            <w:pPr>
              <w:suppressAutoHyphens/>
              <w:autoSpaceDN w:val="0"/>
              <w:jc w:val="right"/>
              <w:rPr>
                <w:rFonts w:ascii="Arial" w:eastAsia="Times New Roman" w:hAnsi="Arial" w:cs="Arial"/>
                <w:color w:val="000000" w:themeColor="text1"/>
                <w:sz w:val="17"/>
                <w:szCs w:val="17"/>
              </w:rPr>
            </w:pPr>
          </w:p>
        </w:tc>
        <w:tc>
          <w:tcPr>
            <w:tcW w:w="994" w:type="dxa"/>
            <w:tcBorders>
              <w:top w:val="nil"/>
              <w:left w:val="nil"/>
              <w:bottom w:val="nil"/>
              <w:right w:val="nil"/>
            </w:tcBorders>
            <w:shd w:val="clear" w:color="auto" w:fill="auto"/>
            <w:noWrap/>
            <w:vAlign w:val="bottom"/>
            <w:hideMark/>
          </w:tcPr>
          <w:p w14:paraId="5CDC9012"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r w:rsidRPr="006807D0">
              <w:rPr>
                <w:rFonts w:ascii="Arial" w:eastAsia="Times New Roman" w:hAnsi="Arial" w:cs="Arial"/>
                <w:b/>
                <w:bCs/>
                <w:color w:val="000000" w:themeColor="text1"/>
                <w:sz w:val="17"/>
                <w:szCs w:val="17"/>
              </w:rPr>
              <w:t>Banka</w:t>
            </w:r>
          </w:p>
        </w:tc>
      </w:tr>
      <w:tr w:rsidR="001B247D" w:rsidRPr="006807D0" w14:paraId="2D7E1DD6" w14:textId="77777777" w:rsidTr="006807D0">
        <w:trPr>
          <w:trHeight w:val="270"/>
        </w:trPr>
        <w:tc>
          <w:tcPr>
            <w:tcW w:w="1814" w:type="dxa"/>
            <w:tcBorders>
              <w:top w:val="nil"/>
              <w:left w:val="nil"/>
              <w:bottom w:val="nil"/>
              <w:right w:val="nil"/>
            </w:tcBorders>
            <w:shd w:val="clear" w:color="auto" w:fill="auto"/>
            <w:noWrap/>
            <w:vAlign w:val="bottom"/>
            <w:hideMark/>
          </w:tcPr>
          <w:p w14:paraId="7095A96C"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p>
        </w:tc>
        <w:tc>
          <w:tcPr>
            <w:tcW w:w="993" w:type="dxa"/>
            <w:tcBorders>
              <w:top w:val="nil"/>
              <w:left w:val="nil"/>
              <w:bottom w:val="nil"/>
              <w:right w:val="nil"/>
            </w:tcBorders>
            <w:shd w:val="clear" w:color="auto" w:fill="auto"/>
            <w:noWrap/>
            <w:vAlign w:val="bottom"/>
            <w:hideMark/>
          </w:tcPr>
          <w:p w14:paraId="3891811B"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r w:rsidRPr="006807D0">
              <w:rPr>
                <w:rFonts w:ascii="Arial" w:eastAsia="Times New Roman" w:hAnsi="Arial" w:cs="Arial"/>
                <w:b/>
                <w:bCs/>
                <w:color w:val="000000" w:themeColor="text1"/>
                <w:sz w:val="17"/>
                <w:szCs w:val="17"/>
              </w:rPr>
              <w:t>Stupanj 1</w:t>
            </w:r>
          </w:p>
        </w:tc>
        <w:tc>
          <w:tcPr>
            <w:tcW w:w="994" w:type="dxa"/>
            <w:tcBorders>
              <w:top w:val="nil"/>
              <w:left w:val="nil"/>
              <w:bottom w:val="nil"/>
              <w:right w:val="nil"/>
            </w:tcBorders>
            <w:shd w:val="clear" w:color="auto" w:fill="auto"/>
            <w:noWrap/>
            <w:vAlign w:val="bottom"/>
            <w:hideMark/>
          </w:tcPr>
          <w:p w14:paraId="4112BFCD"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r w:rsidRPr="006807D0">
              <w:rPr>
                <w:rFonts w:ascii="Arial" w:eastAsia="Times New Roman" w:hAnsi="Arial" w:cs="Arial"/>
                <w:b/>
                <w:bCs/>
                <w:color w:val="000000" w:themeColor="text1"/>
                <w:sz w:val="17"/>
                <w:szCs w:val="17"/>
              </w:rPr>
              <w:t>Stupanj 2</w:t>
            </w:r>
          </w:p>
        </w:tc>
        <w:tc>
          <w:tcPr>
            <w:tcW w:w="993" w:type="dxa"/>
            <w:tcBorders>
              <w:top w:val="nil"/>
              <w:left w:val="nil"/>
              <w:bottom w:val="nil"/>
              <w:right w:val="nil"/>
            </w:tcBorders>
            <w:shd w:val="clear" w:color="auto" w:fill="auto"/>
            <w:noWrap/>
            <w:vAlign w:val="bottom"/>
            <w:hideMark/>
          </w:tcPr>
          <w:p w14:paraId="0754F0E5"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r w:rsidRPr="006807D0">
              <w:rPr>
                <w:rFonts w:ascii="Arial" w:eastAsia="Times New Roman" w:hAnsi="Arial" w:cs="Arial"/>
                <w:b/>
                <w:bCs/>
                <w:color w:val="000000" w:themeColor="text1"/>
                <w:sz w:val="17"/>
                <w:szCs w:val="17"/>
              </w:rPr>
              <w:t>Stupanj 3</w:t>
            </w:r>
          </w:p>
        </w:tc>
        <w:tc>
          <w:tcPr>
            <w:tcW w:w="994" w:type="dxa"/>
            <w:tcBorders>
              <w:top w:val="nil"/>
              <w:left w:val="nil"/>
              <w:bottom w:val="nil"/>
              <w:right w:val="nil"/>
            </w:tcBorders>
            <w:shd w:val="clear" w:color="auto" w:fill="auto"/>
            <w:noWrap/>
            <w:vAlign w:val="bottom"/>
            <w:hideMark/>
          </w:tcPr>
          <w:p w14:paraId="60AA375D"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r w:rsidRPr="006807D0">
              <w:rPr>
                <w:rFonts w:ascii="Arial" w:eastAsia="Times New Roman" w:hAnsi="Arial" w:cs="Arial"/>
                <w:b/>
                <w:bCs/>
                <w:color w:val="000000" w:themeColor="text1"/>
                <w:sz w:val="17"/>
                <w:szCs w:val="17"/>
              </w:rPr>
              <w:t>Ukupno</w:t>
            </w:r>
          </w:p>
        </w:tc>
        <w:tc>
          <w:tcPr>
            <w:tcW w:w="993" w:type="dxa"/>
            <w:tcBorders>
              <w:top w:val="nil"/>
              <w:left w:val="nil"/>
              <w:bottom w:val="nil"/>
              <w:right w:val="nil"/>
            </w:tcBorders>
            <w:shd w:val="clear" w:color="auto" w:fill="auto"/>
            <w:noWrap/>
            <w:vAlign w:val="bottom"/>
            <w:hideMark/>
          </w:tcPr>
          <w:p w14:paraId="7D1AD122"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r w:rsidRPr="006807D0">
              <w:rPr>
                <w:rFonts w:ascii="Arial" w:eastAsia="Times New Roman" w:hAnsi="Arial" w:cs="Arial"/>
                <w:b/>
                <w:bCs/>
                <w:color w:val="000000" w:themeColor="text1"/>
                <w:sz w:val="17"/>
                <w:szCs w:val="17"/>
              </w:rPr>
              <w:t>Stupanj 1</w:t>
            </w:r>
          </w:p>
        </w:tc>
        <w:tc>
          <w:tcPr>
            <w:tcW w:w="994" w:type="dxa"/>
            <w:tcBorders>
              <w:top w:val="nil"/>
              <w:left w:val="nil"/>
              <w:bottom w:val="nil"/>
              <w:right w:val="nil"/>
            </w:tcBorders>
            <w:shd w:val="clear" w:color="auto" w:fill="auto"/>
            <w:noWrap/>
            <w:vAlign w:val="bottom"/>
            <w:hideMark/>
          </w:tcPr>
          <w:p w14:paraId="08D60A34"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r w:rsidRPr="006807D0">
              <w:rPr>
                <w:rFonts w:ascii="Arial" w:eastAsia="Times New Roman" w:hAnsi="Arial" w:cs="Arial"/>
                <w:b/>
                <w:bCs/>
                <w:color w:val="000000" w:themeColor="text1"/>
                <w:sz w:val="17"/>
                <w:szCs w:val="17"/>
              </w:rPr>
              <w:t>Stupanj 2</w:t>
            </w:r>
          </w:p>
        </w:tc>
        <w:tc>
          <w:tcPr>
            <w:tcW w:w="993" w:type="dxa"/>
            <w:tcBorders>
              <w:top w:val="nil"/>
              <w:left w:val="nil"/>
              <w:bottom w:val="nil"/>
              <w:right w:val="nil"/>
            </w:tcBorders>
            <w:shd w:val="clear" w:color="auto" w:fill="auto"/>
            <w:noWrap/>
            <w:vAlign w:val="bottom"/>
            <w:hideMark/>
          </w:tcPr>
          <w:p w14:paraId="16522251"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r w:rsidRPr="006807D0">
              <w:rPr>
                <w:rFonts w:ascii="Arial" w:eastAsia="Times New Roman" w:hAnsi="Arial" w:cs="Arial"/>
                <w:b/>
                <w:bCs/>
                <w:color w:val="000000" w:themeColor="text1"/>
                <w:sz w:val="17"/>
                <w:szCs w:val="17"/>
              </w:rPr>
              <w:t>Stupanj 3</w:t>
            </w:r>
          </w:p>
        </w:tc>
        <w:tc>
          <w:tcPr>
            <w:tcW w:w="994" w:type="dxa"/>
            <w:tcBorders>
              <w:top w:val="nil"/>
              <w:left w:val="nil"/>
              <w:bottom w:val="nil"/>
              <w:right w:val="nil"/>
            </w:tcBorders>
            <w:shd w:val="clear" w:color="auto" w:fill="auto"/>
            <w:noWrap/>
            <w:vAlign w:val="bottom"/>
            <w:hideMark/>
          </w:tcPr>
          <w:p w14:paraId="67FB4475"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r w:rsidRPr="006807D0">
              <w:rPr>
                <w:rFonts w:ascii="Arial" w:eastAsia="Times New Roman" w:hAnsi="Arial" w:cs="Arial"/>
                <w:b/>
                <w:bCs/>
                <w:color w:val="000000" w:themeColor="text1"/>
                <w:sz w:val="17"/>
                <w:szCs w:val="17"/>
              </w:rPr>
              <w:t>Ukupno</w:t>
            </w:r>
          </w:p>
        </w:tc>
      </w:tr>
      <w:tr w:rsidR="001B247D" w:rsidRPr="006807D0" w14:paraId="30DEC18C" w14:textId="77777777" w:rsidTr="006807D0">
        <w:trPr>
          <w:trHeight w:val="270"/>
        </w:trPr>
        <w:tc>
          <w:tcPr>
            <w:tcW w:w="1814" w:type="dxa"/>
            <w:tcBorders>
              <w:top w:val="nil"/>
              <w:left w:val="nil"/>
              <w:bottom w:val="nil"/>
              <w:right w:val="nil"/>
            </w:tcBorders>
            <w:shd w:val="clear" w:color="auto" w:fill="auto"/>
            <w:noWrap/>
            <w:vAlign w:val="bottom"/>
            <w:hideMark/>
          </w:tcPr>
          <w:p w14:paraId="5A4B72B5"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p>
        </w:tc>
        <w:tc>
          <w:tcPr>
            <w:tcW w:w="993" w:type="dxa"/>
            <w:tcBorders>
              <w:top w:val="nil"/>
              <w:left w:val="nil"/>
              <w:bottom w:val="nil"/>
              <w:right w:val="nil"/>
            </w:tcBorders>
            <w:shd w:val="clear" w:color="auto" w:fill="auto"/>
            <w:noWrap/>
            <w:vAlign w:val="bottom"/>
            <w:hideMark/>
          </w:tcPr>
          <w:p w14:paraId="1B7C6D09" w14:textId="3546B013" w:rsidR="001B247D" w:rsidRPr="006807D0" w:rsidRDefault="001B247D" w:rsidP="001B247D">
            <w:pPr>
              <w:suppressAutoHyphens/>
              <w:autoSpaceDN w:val="0"/>
              <w:jc w:val="right"/>
              <w:rPr>
                <w:rFonts w:ascii="Arial" w:eastAsia="Times New Roman" w:hAnsi="Arial" w:cs="Arial"/>
                <w:b/>
                <w:bCs/>
                <w:color w:val="000000" w:themeColor="text1"/>
                <w:sz w:val="17"/>
                <w:szCs w:val="17"/>
              </w:rPr>
            </w:pPr>
            <w:r w:rsidRPr="006807D0">
              <w:rPr>
                <w:rFonts w:ascii="Arial" w:eastAsia="Times New Roman" w:hAnsi="Arial" w:cs="Arial"/>
                <w:b/>
                <w:bCs/>
                <w:color w:val="000000" w:themeColor="text1"/>
                <w:sz w:val="17"/>
                <w:szCs w:val="17"/>
              </w:rPr>
              <w:t>000 eura</w:t>
            </w:r>
          </w:p>
        </w:tc>
        <w:tc>
          <w:tcPr>
            <w:tcW w:w="994" w:type="dxa"/>
            <w:tcBorders>
              <w:top w:val="nil"/>
              <w:left w:val="nil"/>
              <w:bottom w:val="nil"/>
              <w:right w:val="nil"/>
            </w:tcBorders>
            <w:shd w:val="clear" w:color="auto" w:fill="auto"/>
            <w:noWrap/>
            <w:vAlign w:val="bottom"/>
            <w:hideMark/>
          </w:tcPr>
          <w:p w14:paraId="0F6FBF99" w14:textId="17D32F0B" w:rsidR="001B247D" w:rsidRPr="006807D0" w:rsidRDefault="001B247D" w:rsidP="001B247D">
            <w:pPr>
              <w:suppressAutoHyphens/>
              <w:autoSpaceDN w:val="0"/>
              <w:jc w:val="right"/>
              <w:rPr>
                <w:rFonts w:ascii="Arial" w:eastAsia="Times New Roman" w:hAnsi="Arial" w:cs="Arial"/>
                <w:b/>
                <w:bCs/>
                <w:color w:val="000000" w:themeColor="text1"/>
                <w:sz w:val="17"/>
                <w:szCs w:val="17"/>
              </w:rPr>
            </w:pPr>
            <w:r w:rsidRPr="006807D0">
              <w:rPr>
                <w:rFonts w:ascii="Arial" w:eastAsia="Times New Roman" w:hAnsi="Arial" w:cs="Arial"/>
                <w:b/>
                <w:bCs/>
                <w:color w:val="000000" w:themeColor="text1"/>
                <w:sz w:val="17"/>
                <w:szCs w:val="17"/>
              </w:rPr>
              <w:t>000 eura</w:t>
            </w:r>
          </w:p>
        </w:tc>
        <w:tc>
          <w:tcPr>
            <w:tcW w:w="993" w:type="dxa"/>
            <w:tcBorders>
              <w:top w:val="nil"/>
              <w:left w:val="nil"/>
              <w:bottom w:val="nil"/>
              <w:right w:val="nil"/>
            </w:tcBorders>
            <w:shd w:val="clear" w:color="auto" w:fill="auto"/>
            <w:noWrap/>
            <w:vAlign w:val="bottom"/>
            <w:hideMark/>
          </w:tcPr>
          <w:p w14:paraId="4D161571" w14:textId="436C88D5" w:rsidR="001B247D" w:rsidRPr="006807D0" w:rsidRDefault="001B247D" w:rsidP="001B247D">
            <w:pPr>
              <w:suppressAutoHyphens/>
              <w:autoSpaceDN w:val="0"/>
              <w:jc w:val="right"/>
              <w:rPr>
                <w:rFonts w:ascii="Arial" w:eastAsia="Times New Roman" w:hAnsi="Arial" w:cs="Arial"/>
                <w:b/>
                <w:bCs/>
                <w:color w:val="000000" w:themeColor="text1"/>
                <w:sz w:val="17"/>
                <w:szCs w:val="17"/>
              </w:rPr>
            </w:pPr>
            <w:r w:rsidRPr="006807D0">
              <w:rPr>
                <w:rFonts w:ascii="Arial" w:eastAsia="Times New Roman" w:hAnsi="Arial" w:cs="Arial"/>
                <w:b/>
                <w:bCs/>
                <w:color w:val="000000" w:themeColor="text1"/>
                <w:sz w:val="17"/>
                <w:szCs w:val="17"/>
              </w:rPr>
              <w:t>000 eura</w:t>
            </w:r>
          </w:p>
        </w:tc>
        <w:tc>
          <w:tcPr>
            <w:tcW w:w="994" w:type="dxa"/>
            <w:tcBorders>
              <w:top w:val="nil"/>
              <w:left w:val="nil"/>
              <w:bottom w:val="nil"/>
              <w:right w:val="nil"/>
            </w:tcBorders>
            <w:shd w:val="clear" w:color="auto" w:fill="auto"/>
            <w:noWrap/>
            <w:vAlign w:val="bottom"/>
            <w:hideMark/>
          </w:tcPr>
          <w:p w14:paraId="6341671E" w14:textId="26D6DECC" w:rsidR="001B247D" w:rsidRPr="006807D0" w:rsidRDefault="001B247D" w:rsidP="001B247D">
            <w:pPr>
              <w:suppressAutoHyphens/>
              <w:autoSpaceDN w:val="0"/>
              <w:jc w:val="right"/>
              <w:rPr>
                <w:rFonts w:ascii="Arial" w:eastAsia="Times New Roman" w:hAnsi="Arial" w:cs="Arial"/>
                <w:b/>
                <w:bCs/>
                <w:color w:val="000000" w:themeColor="text1"/>
                <w:sz w:val="17"/>
                <w:szCs w:val="17"/>
              </w:rPr>
            </w:pPr>
            <w:r w:rsidRPr="006807D0">
              <w:rPr>
                <w:rFonts w:ascii="Arial" w:eastAsia="Times New Roman" w:hAnsi="Arial" w:cs="Arial"/>
                <w:b/>
                <w:bCs/>
                <w:color w:val="000000" w:themeColor="text1"/>
                <w:sz w:val="17"/>
                <w:szCs w:val="17"/>
              </w:rPr>
              <w:t>000 eura</w:t>
            </w:r>
          </w:p>
        </w:tc>
        <w:tc>
          <w:tcPr>
            <w:tcW w:w="993" w:type="dxa"/>
            <w:tcBorders>
              <w:top w:val="nil"/>
              <w:left w:val="nil"/>
              <w:bottom w:val="nil"/>
              <w:right w:val="nil"/>
            </w:tcBorders>
            <w:shd w:val="clear" w:color="auto" w:fill="auto"/>
            <w:noWrap/>
            <w:vAlign w:val="bottom"/>
            <w:hideMark/>
          </w:tcPr>
          <w:p w14:paraId="5F1DC649" w14:textId="293DA4F5" w:rsidR="001B247D" w:rsidRPr="006807D0" w:rsidRDefault="001B247D" w:rsidP="001B247D">
            <w:pPr>
              <w:suppressAutoHyphens/>
              <w:autoSpaceDN w:val="0"/>
              <w:jc w:val="right"/>
              <w:rPr>
                <w:rFonts w:ascii="Arial" w:eastAsia="Times New Roman" w:hAnsi="Arial" w:cs="Arial"/>
                <w:b/>
                <w:bCs/>
                <w:color w:val="000000" w:themeColor="text1"/>
                <w:sz w:val="17"/>
                <w:szCs w:val="17"/>
              </w:rPr>
            </w:pPr>
            <w:r w:rsidRPr="006807D0">
              <w:rPr>
                <w:rFonts w:ascii="Arial" w:eastAsia="Times New Roman" w:hAnsi="Arial" w:cs="Arial"/>
                <w:b/>
                <w:bCs/>
                <w:color w:val="000000" w:themeColor="text1"/>
                <w:sz w:val="17"/>
                <w:szCs w:val="17"/>
              </w:rPr>
              <w:t>000 eura</w:t>
            </w:r>
          </w:p>
        </w:tc>
        <w:tc>
          <w:tcPr>
            <w:tcW w:w="994" w:type="dxa"/>
            <w:tcBorders>
              <w:top w:val="nil"/>
              <w:left w:val="nil"/>
              <w:bottom w:val="nil"/>
              <w:right w:val="nil"/>
            </w:tcBorders>
            <w:shd w:val="clear" w:color="auto" w:fill="auto"/>
            <w:noWrap/>
            <w:vAlign w:val="bottom"/>
            <w:hideMark/>
          </w:tcPr>
          <w:p w14:paraId="144CB6F0" w14:textId="16110F44" w:rsidR="001B247D" w:rsidRPr="006807D0" w:rsidRDefault="001B247D" w:rsidP="001B247D">
            <w:pPr>
              <w:suppressAutoHyphens/>
              <w:autoSpaceDN w:val="0"/>
              <w:jc w:val="right"/>
              <w:rPr>
                <w:rFonts w:ascii="Arial" w:eastAsia="Times New Roman" w:hAnsi="Arial" w:cs="Arial"/>
                <w:b/>
                <w:bCs/>
                <w:color w:val="000000" w:themeColor="text1"/>
                <w:sz w:val="17"/>
                <w:szCs w:val="17"/>
              </w:rPr>
            </w:pPr>
            <w:r w:rsidRPr="006807D0">
              <w:rPr>
                <w:rFonts w:ascii="Arial" w:eastAsia="Times New Roman" w:hAnsi="Arial" w:cs="Arial"/>
                <w:b/>
                <w:bCs/>
                <w:color w:val="000000" w:themeColor="text1"/>
                <w:sz w:val="17"/>
                <w:szCs w:val="17"/>
              </w:rPr>
              <w:t>000 eura</w:t>
            </w:r>
          </w:p>
        </w:tc>
        <w:tc>
          <w:tcPr>
            <w:tcW w:w="993" w:type="dxa"/>
            <w:tcBorders>
              <w:top w:val="nil"/>
              <w:left w:val="nil"/>
              <w:bottom w:val="nil"/>
              <w:right w:val="nil"/>
            </w:tcBorders>
            <w:shd w:val="clear" w:color="auto" w:fill="auto"/>
            <w:noWrap/>
            <w:vAlign w:val="bottom"/>
            <w:hideMark/>
          </w:tcPr>
          <w:p w14:paraId="5E12D58D" w14:textId="7601C261" w:rsidR="001B247D" w:rsidRPr="006807D0" w:rsidRDefault="001B247D" w:rsidP="001B247D">
            <w:pPr>
              <w:suppressAutoHyphens/>
              <w:autoSpaceDN w:val="0"/>
              <w:jc w:val="right"/>
              <w:rPr>
                <w:rFonts w:ascii="Arial" w:eastAsia="Times New Roman" w:hAnsi="Arial" w:cs="Arial"/>
                <w:b/>
                <w:bCs/>
                <w:color w:val="000000" w:themeColor="text1"/>
                <w:sz w:val="17"/>
                <w:szCs w:val="17"/>
              </w:rPr>
            </w:pPr>
            <w:r w:rsidRPr="006807D0">
              <w:rPr>
                <w:rFonts w:ascii="Arial" w:eastAsia="Times New Roman" w:hAnsi="Arial" w:cs="Arial"/>
                <w:b/>
                <w:bCs/>
                <w:color w:val="000000" w:themeColor="text1"/>
                <w:sz w:val="17"/>
                <w:szCs w:val="17"/>
              </w:rPr>
              <w:t>000 eura</w:t>
            </w:r>
          </w:p>
        </w:tc>
        <w:tc>
          <w:tcPr>
            <w:tcW w:w="994" w:type="dxa"/>
            <w:tcBorders>
              <w:top w:val="nil"/>
              <w:left w:val="nil"/>
              <w:bottom w:val="nil"/>
              <w:right w:val="nil"/>
            </w:tcBorders>
            <w:shd w:val="clear" w:color="auto" w:fill="auto"/>
            <w:noWrap/>
            <w:vAlign w:val="bottom"/>
            <w:hideMark/>
          </w:tcPr>
          <w:p w14:paraId="13975D30" w14:textId="39583718" w:rsidR="001B247D" w:rsidRPr="006807D0" w:rsidRDefault="001B247D" w:rsidP="001B247D">
            <w:pPr>
              <w:suppressAutoHyphens/>
              <w:autoSpaceDN w:val="0"/>
              <w:jc w:val="right"/>
              <w:rPr>
                <w:rFonts w:ascii="Arial" w:eastAsia="Times New Roman" w:hAnsi="Arial" w:cs="Arial"/>
                <w:b/>
                <w:bCs/>
                <w:color w:val="000000" w:themeColor="text1"/>
                <w:sz w:val="17"/>
                <w:szCs w:val="17"/>
              </w:rPr>
            </w:pPr>
            <w:r w:rsidRPr="006807D0">
              <w:rPr>
                <w:rFonts w:ascii="Arial" w:eastAsia="Times New Roman" w:hAnsi="Arial" w:cs="Arial"/>
                <w:b/>
                <w:bCs/>
                <w:color w:val="000000" w:themeColor="text1"/>
                <w:sz w:val="17"/>
                <w:szCs w:val="17"/>
              </w:rPr>
              <w:t>000 eura</w:t>
            </w:r>
          </w:p>
        </w:tc>
      </w:tr>
      <w:tr w:rsidR="001B247D" w:rsidRPr="006807D0" w14:paraId="4A670828" w14:textId="77777777" w:rsidTr="006807D0">
        <w:trPr>
          <w:trHeight w:hRule="exact" w:val="144"/>
        </w:trPr>
        <w:tc>
          <w:tcPr>
            <w:tcW w:w="1814" w:type="dxa"/>
            <w:tcBorders>
              <w:top w:val="nil"/>
              <w:left w:val="nil"/>
              <w:bottom w:val="nil"/>
              <w:right w:val="nil"/>
            </w:tcBorders>
            <w:shd w:val="clear" w:color="auto" w:fill="auto"/>
            <w:noWrap/>
            <w:vAlign w:val="bottom"/>
          </w:tcPr>
          <w:p w14:paraId="6CB3D9CB"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p>
        </w:tc>
        <w:tc>
          <w:tcPr>
            <w:tcW w:w="993" w:type="dxa"/>
            <w:tcBorders>
              <w:top w:val="nil"/>
              <w:left w:val="nil"/>
              <w:bottom w:val="nil"/>
              <w:right w:val="nil"/>
            </w:tcBorders>
            <w:shd w:val="clear" w:color="auto" w:fill="auto"/>
            <w:noWrap/>
            <w:vAlign w:val="bottom"/>
          </w:tcPr>
          <w:p w14:paraId="4AB73AF4"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p>
        </w:tc>
        <w:tc>
          <w:tcPr>
            <w:tcW w:w="994" w:type="dxa"/>
            <w:tcBorders>
              <w:top w:val="nil"/>
              <w:left w:val="nil"/>
              <w:bottom w:val="nil"/>
              <w:right w:val="nil"/>
            </w:tcBorders>
            <w:shd w:val="clear" w:color="auto" w:fill="auto"/>
            <w:noWrap/>
            <w:vAlign w:val="bottom"/>
          </w:tcPr>
          <w:p w14:paraId="725D865E"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p>
        </w:tc>
        <w:tc>
          <w:tcPr>
            <w:tcW w:w="993" w:type="dxa"/>
            <w:tcBorders>
              <w:top w:val="nil"/>
              <w:left w:val="nil"/>
              <w:bottom w:val="nil"/>
              <w:right w:val="nil"/>
            </w:tcBorders>
            <w:shd w:val="clear" w:color="auto" w:fill="auto"/>
            <w:noWrap/>
            <w:vAlign w:val="bottom"/>
          </w:tcPr>
          <w:p w14:paraId="08F8BB4A"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p>
        </w:tc>
        <w:tc>
          <w:tcPr>
            <w:tcW w:w="994" w:type="dxa"/>
            <w:tcBorders>
              <w:top w:val="nil"/>
              <w:left w:val="nil"/>
              <w:bottom w:val="nil"/>
              <w:right w:val="nil"/>
            </w:tcBorders>
            <w:shd w:val="clear" w:color="auto" w:fill="auto"/>
            <w:noWrap/>
            <w:vAlign w:val="bottom"/>
          </w:tcPr>
          <w:p w14:paraId="4935B22A"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p>
        </w:tc>
        <w:tc>
          <w:tcPr>
            <w:tcW w:w="993" w:type="dxa"/>
            <w:tcBorders>
              <w:top w:val="nil"/>
              <w:left w:val="nil"/>
              <w:bottom w:val="nil"/>
              <w:right w:val="nil"/>
            </w:tcBorders>
            <w:shd w:val="clear" w:color="auto" w:fill="auto"/>
            <w:noWrap/>
            <w:vAlign w:val="bottom"/>
          </w:tcPr>
          <w:p w14:paraId="2C00DC83"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p>
        </w:tc>
        <w:tc>
          <w:tcPr>
            <w:tcW w:w="994" w:type="dxa"/>
            <w:tcBorders>
              <w:top w:val="nil"/>
              <w:left w:val="nil"/>
              <w:bottom w:val="nil"/>
              <w:right w:val="nil"/>
            </w:tcBorders>
            <w:shd w:val="clear" w:color="auto" w:fill="auto"/>
            <w:noWrap/>
            <w:vAlign w:val="bottom"/>
          </w:tcPr>
          <w:p w14:paraId="38184C9B"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p>
        </w:tc>
        <w:tc>
          <w:tcPr>
            <w:tcW w:w="993" w:type="dxa"/>
            <w:tcBorders>
              <w:top w:val="nil"/>
              <w:left w:val="nil"/>
              <w:bottom w:val="nil"/>
              <w:right w:val="nil"/>
            </w:tcBorders>
            <w:shd w:val="clear" w:color="auto" w:fill="auto"/>
            <w:noWrap/>
            <w:vAlign w:val="bottom"/>
          </w:tcPr>
          <w:p w14:paraId="173FA6EF"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p>
        </w:tc>
        <w:tc>
          <w:tcPr>
            <w:tcW w:w="994" w:type="dxa"/>
            <w:tcBorders>
              <w:top w:val="nil"/>
              <w:left w:val="nil"/>
              <w:bottom w:val="nil"/>
              <w:right w:val="nil"/>
            </w:tcBorders>
            <w:shd w:val="clear" w:color="auto" w:fill="auto"/>
            <w:noWrap/>
            <w:vAlign w:val="bottom"/>
          </w:tcPr>
          <w:p w14:paraId="7FF3E361"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p>
        </w:tc>
      </w:tr>
      <w:tr w:rsidR="00774AFA" w:rsidRPr="006807D0" w14:paraId="53E57EB0" w14:textId="77777777" w:rsidTr="00774AFA">
        <w:trPr>
          <w:trHeight w:val="380"/>
        </w:trPr>
        <w:tc>
          <w:tcPr>
            <w:tcW w:w="1814" w:type="dxa"/>
            <w:tcBorders>
              <w:top w:val="nil"/>
              <w:left w:val="nil"/>
              <w:bottom w:val="nil"/>
              <w:right w:val="nil"/>
            </w:tcBorders>
            <w:shd w:val="clear" w:color="auto" w:fill="auto"/>
            <w:noWrap/>
            <w:vAlign w:val="bottom"/>
            <w:hideMark/>
          </w:tcPr>
          <w:p w14:paraId="6DB0D38D" w14:textId="77777777" w:rsidR="00774AFA" w:rsidRPr="006807D0" w:rsidRDefault="00774AFA" w:rsidP="00774AFA">
            <w:pPr>
              <w:suppressAutoHyphens/>
              <w:autoSpaceDN w:val="0"/>
              <w:rPr>
                <w:rFonts w:ascii="Arial" w:eastAsia="Times New Roman" w:hAnsi="Arial" w:cs="Arial"/>
                <w:color w:val="000000" w:themeColor="text1"/>
                <w:sz w:val="17"/>
                <w:szCs w:val="17"/>
              </w:rPr>
            </w:pPr>
            <w:r w:rsidRPr="006807D0">
              <w:rPr>
                <w:rFonts w:ascii="Arial" w:eastAsia="Times New Roman" w:hAnsi="Arial" w:cs="Arial"/>
                <w:color w:val="000000" w:themeColor="text1"/>
                <w:sz w:val="17"/>
                <w:szCs w:val="17"/>
              </w:rPr>
              <w:t>Bruto iznos</w:t>
            </w:r>
          </w:p>
        </w:tc>
        <w:tc>
          <w:tcPr>
            <w:tcW w:w="993" w:type="dxa"/>
            <w:tcBorders>
              <w:top w:val="nil"/>
              <w:left w:val="nil"/>
              <w:bottom w:val="nil"/>
              <w:right w:val="nil"/>
            </w:tcBorders>
            <w:shd w:val="clear" w:color="auto" w:fill="auto"/>
            <w:noWrap/>
            <w:vAlign w:val="bottom"/>
          </w:tcPr>
          <w:p w14:paraId="33B0AD14" w14:textId="2F7BFD6A" w:rsidR="00774AFA" w:rsidRPr="00774AFA" w:rsidRDefault="00774AFA" w:rsidP="00774AFA">
            <w:pPr>
              <w:suppressAutoHyphens/>
              <w:autoSpaceDN w:val="0"/>
              <w:jc w:val="right"/>
              <w:rPr>
                <w:rFonts w:ascii="Arial" w:eastAsia="Times New Roman" w:hAnsi="Arial" w:cs="Arial"/>
                <w:sz w:val="17"/>
                <w:szCs w:val="17"/>
              </w:rPr>
            </w:pPr>
            <w:r w:rsidRPr="00774AFA">
              <w:rPr>
                <w:rFonts w:ascii="Arial" w:hAnsi="Arial" w:cs="Arial"/>
                <w:sz w:val="17"/>
                <w:szCs w:val="17"/>
              </w:rPr>
              <w:t xml:space="preserve"> 244.272 </w:t>
            </w:r>
          </w:p>
        </w:tc>
        <w:tc>
          <w:tcPr>
            <w:tcW w:w="994" w:type="dxa"/>
            <w:tcBorders>
              <w:top w:val="nil"/>
              <w:left w:val="nil"/>
              <w:bottom w:val="nil"/>
              <w:right w:val="nil"/>
            </w:tcBorders>
            <w:shd w:val="clear" w:color="auto" w:fill="auto"/>
            <w:noWrap/>
            <w:vAlign w:val="bottom"/>
          </w:tcPr>
          <w:p w14:paraId="1BEC9EA0" w14:textId="0565C3E3" w:rsidR="00774AFA" w:rsidRPr="00774AFA" w:rsidRDefault="004D00B3" w:rsidP="00774AFA">
            <w:pPr>
              <w:suppressAutoHyphens/>
              <w:autoSpaceDN w:val="0"/>
              <w:jc w:val="right"/>
              <w:rPr>
                <w:rFonts w:ascii="Arial" w:eastAsia="Times New Roman" w:hAnsi="Arial" w:cs="Arial"/>
                <w:sz w:val="17"/>
                <w:szCs w:val="17"/>
              </w:rPr>
            </w:pPr>
            <w:r>
              <w:rPr>
                <w:rFonts w:ascii="Arial" w:eastAsia="Times New Roman" w:hAnsi="Arial" w:cs="Arial"/>
                <w:sz w:val="17"/>
                <w:szCs w:val="17"/>
              </w:rPr>
              <w:t>-</w:t>
            </w:r>
          </w:p>
        </w:tc>
        <w:tc>
          <w:tcPr>
            <w:tcW w:w="993" w:type="dxa"/>
            <w:tcBorders>
              <w:top w:val="nil"/>
              <w:left w:val="nil"/>
              <w:bottom w:val="nil"/>
              <w:right w:val="nil"/>
            </w:tcBorders>
            <w:shd w:val="clear" w:color="auto" w:fill="auto"/>
            <w:noWrap/>
            <w:vAlign w:val="bottom"/>
          </w:tcPr>
          <w:p w14:paraId="5F8E291B" w14:textId="42B5AA24" w:rsidR="00774AFA" w:rsidRPr="00774AFA" w:rsidRDefault="00774AFA" w:rsidP="00774AFA">
            <w:pPr>
              <w:suppressAutoHyphens/>
              <w:autoSpaceDN w:val="0"/>
              <w:jc w:val="right"/>
              <w:rPr>
                <w:rFonts w:ascii="Arial" w:eastAsia="Times New Roman" w:hAnsi="Arial" w:cs="Arial"/>
                <w:sz w:val="17"/>
                <w:szCs w:val="17"/>
              </w:rPr>
            </w:pPr>
            <w:r w:rsidRPr="00774AFA">
              <w:rPr>
                <w:rFonts w:ascii="Arial" w:hAnsi="Arial" w:cs="Arial"/>
                <w:sz w:val="17"/>
                <w:szCs w:val="17"/>
              </w:rPr>
              <w:t xml:space="preserve"> 138 </w:t>
            </w:r>
          </w:p>
        </w:tc>
        <w:tc>
          <w:tcPr>
            <w:tcW w:w="994" w:type="dxa"/>
            <w:tcBorders>
              <w:top w:val="nil"/>
              <w:left w:val="nil"/>
              <w:bottom w:val="nil"/>
              <w:right w:val="nil"/>
            </w:tcBorders>
            <w:shd w:val="clear" w:color="auto" w:fill="auto"/>
            <w:noWrap/>
            <w:vAlign w:val="bottom"/>
          </w:tcPr>
          <w:p w14:paraId="6BCBC780" w14:textId="4E4D10BA" w:rsidR="00774AFA" w:rsidRPr="00485ECA" w:rsidRDefault="00774AFA" w:rsidP="00774AFA">
            <w:pPr>
              <w:suppressAutoHyphens/>
              <w:autoSpaceDN w:val="0"/>
              <w:jc w:val="right"/>
              <w:rPr>
                <w:rFonts w:ascii="Arial" w:eastAsia="Times New Roman" w:hAnsi="Arial" w:cs="Arial"/>
                <w:b/>
                <w:bCs/>
                <w:sz w:val="17"/>
                <w:szCs w:val="17"/>
              </w:rPr>
            </w:pPr>
            <w:r w:rsidRPr="00485ECA">
              <w:rPr>
                <w:rFonts w:ascii="Arial" w:hAnsi="Arial" w:cs="Arial"/>
                <w:b/>
                <w:bCs/>
                <w:sz w:val="17"/>
                <w:szCs w:val="17"/>
              </w:rPr>
              <w:t xml:space="preserve"> 244.410 </w:t>
            </w:r>
          </w:p>
        </w:tc>
        <w:tc>
          <w:tcPr>
            <w:tcW w:w="993" w:type="dxa"/>
            <w:tcBorders>
              <w:top w:val="nil"/>
              <w:left w:val="nil"/>
              <w:bottom w:val="nil"/>
              <w:right w:val="nil"/>
            </w:tcBorders>
            <w:shd w:val="clear" w:color="auto" w:fill="auto"/>
            <w:noWrap/>
            <w:vAlign w:val="bottom"/>
          </w:tcPr>
          <w:p w14:paraId="03B1596A" w14:textId="59246168" w:rsidR="00774AFA" w:rsidRPr="00774AFA" w:rsidRDefault="00774AFA" w:rsidP="00774AFA">
            <w:pPr>
              <w:suppressAutoHyphens/>
              <w:autoSpaceDN w:val="0"/>
              <w:jc w:val="right"/>
              <w:rPr>
                <w:rFonts w:ascii="Arial" w:eastAsia="Times New Roman" w:hAnsi="Arial" w:cs="Arial"/>
                <w:sz w:val="17"/>
                <w:szCs w:val="17"/>
              </w:rPr>
            </w:pPr>
            <w:r w:rsidRPr="00774AFA">
              <w:rPr>
                <w:rFonts w:ascii="Arial" w:hAnsi="Arial" w:cs="Arial"/>
                <w:sz w:val="17"/>
                <w:szCs w:val="17"/>
              </w:rPr>
              <w:t xml:space="preserve"> 238.563 </w:t>
            </w:r>
          </w:p>
        </w:tc>
        <w:tc>
          <w:tcPr>
            <w:tcW w:w="994" w:type="dxa"/>
            <w:tcBorders>
              <w:top w:val="nil"/>
              <w:left w:val="nil"/>
              <w:bottom w:val="nil"/>
              <w:right w:val="nil"/>
            </w:tcBorders>
            <w:shd w:val="clear" w:color="auto" w:fill="auto"/>
            <w:noWrap/>
            <w:vAlign w:val="bottom"/>
          </w:tcPr>
          <w:p w14:paraId="45BFD7CD" w14:textId="63B9A7F9" w:rsidR="00774AFA" w:rsidRPr="00774AFA" w:rsidRDefault="00774AFA" w:rsidP="00774AFA">
            <w:pPr>
              <w:suppressAutoHyphens/>
              <w:autoSpaceDN w:val="0"/>
              <w:jc w:val="right"/>
              <w:rPr>
                <w:rFonts w:ascii="Arial" w:eastAsia="Times New Roman" w:hAnsi="Arial" w:cs="Arial"/>
                <w:sz w:val="17"/>
                <w:szCs w:val="17"/>
              </w:rPr>
            </w:pPr>
            <w:r w:rsidRPr="00774AFA">
              <w:rPr>
                <w:rFonts w:ascii="Arial" w:hAnsi="Arial" w:cs="Arial"/>
                <w:sz w:val="17"/>
                <w:szCs w:val="17"/>
              </w:rPr>
              <w:t xml:space="preserve"> - </w:t>
            </w:r>
          </w:p>
        </w:tc>
        <w:tc>
          <w:tcPr>
            <w:tcW w:w="993" w:type="dxa"/>
            <w:tcBorders>
              <w:top w:val="nil"/>
              <w:left w:val="nil"/>
              <w:bottom w:val="nil"/>
              <w:right w:val="nil"/>
            </w:tcBorders>
            <w:shd w:val="clear" w:color="auto" w:fill="auto"/>
            <w:noWrap/>
            <w:vAlign w:val="bottom"/>
          </w:tcPr>
          <w:p w14:paraId="6BC6B853" w14:textId="646DE973" w:rsidR="00774AFA" w:rsidRPr="00774AFA" w:rsidRDefault="00774AFA" w:rsidP="00774AFA">
            <w:pPr>
              <w:suppressAutoHyphens/>
              <w:autoSpaceDN w:val="0"/>
              <w:jc w:val="right"/>
              <w:rPr>
                <w:rFonts w:ascii="Arial" w:eastAsia="Times New Roman" w:hAnsi="Arial" w:cs="Arial"/>
                <w:sz w:val="17"/>
                <w:szCs w:val="17"/>
              </w:rPr>
            </w:pPr>
            <w:r w:rsidRPr="00774AFA">
              <w:rPr>
                <w:rFonts w:ascii="Arial" w:hAnsi="Arial" w:cs="Arial"/>
                <w:sz w:val="17"/>
                <w:szCs w:val="17"/>
              </w:rPr>
              <w:t xml:space="preserve"> 138 </w:t>
            </w:r>
          </w:p>
        </w:tc>
        <w:tc>
          <w:tcPr>
            <w:tcW w:w="994" w:type="dxa"/>
            <w:tcBorders>
              <w:top w:val="nil"/>
              <w:left w:val="nil"/>
              <w:bottom w:val="nil"/>
              <w:right w:val="nil"/>
            </w:tcBorders>
            <w:shd w:val="clear" w:color="auto" w:fill="auto"/>
            <w:noWrap/>
            <w:vAlign w:val="bottom"/>
          </w:tcPr>
          <w:p w14:paraId="419A34B9" w14:textId="67A1D37E" w:rsidR="00774AFA" w:rsidRPr="00774AFA" w:rsidRDefault="00774AFA" w:rsidP="00774AFA">
            <w:pPr>
              <w:suppressAutoHyphens/>
              <w:autoSpaceDN w:val="0"/>
              <w:jc w:val="right"/>
              <w:rPr>
                <w:rFonts w:ascii="Arial" w:eastAsia="Times New Roman" w:hAnsi="Arial" w:cs="Arial"/>
                <w:b/>
                <w:bCs/>
                <w:sz w:val="17"/>
                <w:szCs w:val="17"/>
              </w:rPr>
            </w:pPr>
            <w:r w:rsidRPr="00774AFA">
              <w:rPr>
                <w:rFonts w:ascii="Arial" w:hAnsi="Arial" w:cs="Arial"/>
                <w:b/>
                <w:bCs/>
                <w:sz w:val="17"/>
                <w:szCs w:val="17"/>
              </w:rPr>
              <w:t xml:space="preserve"> 238.701 </w:t>
            </w:r>
          </w:p>
        </w:tc>
      </w:tr>
      <w:tr w:rsidR="00774AFA" w:rsidRPr="006807D0" w14:paraId="5EAA1272" w14:textId="77777777" w:rsidTr="00774AFA">
        <w:trPr>
          <w:trHeight w:val="285"/>
        </w:trPr>
        <w:tc>
          <w:tcPr>
            <w:tcW w:w="1814" w:type="dxa"/>
            <w:tcBorders>
              <w:top w:val="nil"/>
              <w:left w:val="nil"/>
              <w:bottom w:val="nil"/>
              <w:right w:val="nil"/>
            </w:tcBorders>
            <w:shd w:val="clear" w:color="auto" w:fill="auto"/>
            <w:noWrap/>
            <w:vAlign w:val="bottom"/>
            <w:hideMark/>
          </w:tcPr>
          <w:p w14:paraId="263A0BD8" w14:textId="77777777" w:rsidR="00774AFA" w:rsidRPr="006807D0" w:rsidRDefault="00774AFA" w:rsidP="00774AFA">
            <w:pPr>
              <w:suppressAutoHyphens/>
              <w:autoSpaceDN w:val="0"/>
              <w:rPr>
                <w:rFonts w:ascii="Arial" w:eastAsia="Times New Roman" w:hAnsi="Arial" w:cs="Arial"/>
                <w:b/>
                <w:bCs/>
                <w:color w:val="000000" w:themeColor="text1"/>
                <w:sz w:val="17"/>
                <w:szCs w:val="17"/>
              </w:rPr>
            </w:pPr>
            <w:r w:rsidRPr="006807D0">
              <w:rPr>
                <w:rFonts w:ascii="Arial" w:eastAsia="Times New Roman" w:hAnsi="Arial" w:cs="Arial"/>
                <w:b/>
                <w:bCs/>
                <w:color w:val="000000" w:themeColor="text1"/>
                <w:sz w:val="17"/>
                <w:szCs w:val="17"/>
              </w:rPr>
              <w:t xml:space="preserve">Stanje na dan </w:t>
            </w:r>
          </w:p>
          <w:p w14:paraId="1BE51225" w14:textId="3D158BD1" w:rsidR="00774AFA" w:rsidRPr="006807D0" w:rsidRDefault="00774AFA" w:rsidP="00774AFA">
            <w:pPr>
              <w:suppressAutoHyphens/>
              <w:autoSpaceDN w:val="0"/>
              <w:rPr>
                <w:rFonts w:ascii="Arial" w:eastAsia="Times New Roman" w:hAnsi="Arial" w:cs="Arial"/>
                <w:b/>
                <w:bCs/>
                <w:color w:val="000000" w:themeColor="text1"/>
                <w:sz w:val="17"/>
                <w:szCs w:val="17"/>
              </w:rPr>
            </w:pPr>
            <w:r w:rsidRPr="00C60785">
              <w:rPr>
                <w:rFonts w:ascii="Arial" w:eastAsia="Times New Roman" w:hAnsi="Arial" w:cs="Arial"/>
                <w:b/>
                <w:bCs/>
                <w:color w:val="000000" w:themeColor="text1"/>
                <w:sz w:val="17"/>
                <w:szCs w:val="17"/>
              </w:rPr>
              <w:t>30. rujna 202</w:t>
            </w:r>
            <w:r>
              <w:rPr>
                <w:rFonts w:ascii="Arial" w:eastAsia="Times New Roman" w:hAnsi="Arial" w:cs="Arial"/>
                <w:b/>
                <w:bCs/>
                <w:color w:val="000000" w:themeColor="text1"/>
                <w:sz w:val="17"/>
                <w:szCs w:val="17"/>
              </w:rPr>
              <w:t>4</w:t>
            </w:r>
            <w:r w:rsidRPr="00C60785">
              <w:rPr>
                <w:rFonts w:ascii="Arial" w:eastAsia="Times New Roman" w:hAnsi="Arial" w:cs="Arial"/>
                <w:b/>
                <w:bCs/>
                <w:color w:val="000000" w:themeColor="text1"/>
                <w:sz w:val="17"/>
                <w:szCs w:val="17"/>
              </w:rPr>
              <w:t>.</w:t>
            </w:r>
          </w:p>
        </w:tc>
        <w:tc>
          <w:tcPr>
            <w:tcW w:w="993" w:type="dxa"/>
            <w:tcBorders>
              <w:top w:val="single" w:sz="4" w:space="0" w:color="auto"/>
              <w:left w:val="nil"/>
              <w:bottom w:val="single" w:sz="12" w:space="0" w:color="auto"/>
              <w:right w:val="nil"/>
            </w:tcBorders>
            <w:shd w:val="clear" w:color="auto" w:fill="auto"/>
            <w:noWrap/>
            <w:vAlign w:val="bottom"/>
          </w:tcPr>
          <w:p w14:paraId="3DF5E384" w14:textId="7D878DC0" w:rsidR="00774AFA" w:rsidRPr="00774AFA" w:rsidRDefault="00774AFA" w:rsidP="00774AFA">
            <w:pPr>
              <w:suppressAutoHyphens/>
              <w:autoSpaceDN w:val="0"/>
              <w:jc w:val="right"/>
              <w:rPr>
                <w:rFonts w:ascii="Arial" w:eastAsia="Times New Roman" w:hAnsi="Arial" w:cs="Arial"/>
                <w:b/>
                <w:bCs/>
                <w:sz w:val="17"/>
                <w:szCs w:val="17"/>
              </w:rPr>
            </w:pPr>
            <w:r w:rsidRPr="00774AFA">
              <w:rPr>
                <w:rFonts w:ascii="Arial" w:hAnsi="Arial" w:cs="Arial"/>
                <w:b/>
                <w:bCs/>
                <w:sz w:val="17"/>
                <w:szCs w:val="17"/>
              </w:rPr>
              <w:t xml:space="preserve"> 244.272 </w:t>
            </w:r>
          </w:p>
        </w:tc>
        <w:tc>
          <w:tcPr>
            <w:tcW w:w="994" w:type="dxa"/>
            <w:tcBorders>
              <w:top w:val="single" w:sz="4" w:space="0" w:color="auto"/>
              <w:left w:val="nil"/>
              <w:bottom w:val="single" w:sz="12" w:space="0" w:color="auto"/>
              <w:right w:val="nil"/>
            </w:tcBorders>
            <w:shd w:val="clear" w:color="auto" w:fill="auto"/>
            <w:noWrap/>
            <w:vAlign w:val="bottom"/>
          </w:tcPr>
          <w:p w14:paraId="1D262322" w14:textId="54560B51" w:rsidR="00774AFA" w:rsidRPr="00774AFA" w:rsidRDefault="00774AFA" w:rsidP="00774AFA">
            <w:pPr>
              <w:suppressAutoHyphens/>
              <w:autoSpaceDN w:val="0"/>
              <w:jc w:val="right"/>
              <w:rPr>
                <w:rFonts w:ascii="Arial" w:eastAsia="Times New Roman" w:hAnsi="Arial" w:cs="Arial"/>
                <w:b/>
                <w:bCs/>
                <w:sz w:val="17"/>
                <w:szCs w:val="17"/>
              </w:rPr>
            </w:pPr>
            <w:r w:rsidRPr="00774AFA">
              <w:rPr>
                <w:rFonts w:ascii="Arial" w:hAnsi="Arial" w:cs="Arial"/>
                <w:b/>
                <w:bCs/>
                <w:sz w:val="17"/>
                <w:szCs w:val="17"/>
              </w:rPr>
              <w:t xml:space="preserve"> - </w:t>
            </w:r>
          </w:p>
        </w:tc>
        <w:tc>
          <w:tcPr>
            <w:tcW w:w="993" w:type="dxa"/>
            <w:tcBorders>
              <w:top w:val="single" w:sz="4" w:space="0" w:color="auto"/>
              <w:left w:val="nil"/>
              <w:bottom w:val="single" w:sz="12" w:space="0" w:color="auto"/>
              <w:right w:val="nil"/>
            </w:tcBorders>
            <w:shd w:val="clear" w:color="auto" w:fill="auto"/>
            <w:noWrap/>
            <w:vAlign w:val="bottom"/>
          </w:tcPr>
          <w:p w14:paraId="5B1EA392" w14:textId="03FCF2FA" w:rsidR="00774AFA" w:rsidRPr="00774AFA" w:rsidRDefault="00774AFA" w:rsidP="00774AFA">
            <w:pPr>
              <w:suppressAutoHyphens/>
              <w:autoSpaceDN w:val="0"/>
              <w:jc w:val="right"/>
              <w:rPr>
                <w:rFonts w:ascii="Arial" w:eastAsia="Times New Roman" w:hAnsi="Arial" w:cs="Arial"/>
                <w:b/>
                <w:bCs/>
                <w:sz w:val="17"/>
                <w:szCs w:val="17"/>
              </w:rPr>
            </w:pPr>
            <w:r w:rsidRPr="00774AFA">
              <w:rPr>
                <w:rFonts w:ascii="Arial" w:hAnsi="Arial" w:cs="Arial"/>
                <w:b/>
                <w:bCs/>
                <w:sz w:val="17"/>
                <w:szCs w:val="17"/>
              </w:rPr>
              <w:t xml:space="preserve"> 138 </w:t>
            </w:r>
          </w:p>
        </w:tc>
        <w:tc>
          <w:tcPr>
            <w:tcW w:w="994" w:type="dxa"/>
            <w:tcBorders>
              <w:top w:val="single" w:sz="4" w:space="0" w:color="auto"/>
              <w:left w:val="nil"/>
              <w:bottom w:val="single" w:sz="12" w:space="0" w:color="auto"/>
              <w:right w:val="nil"/>
            </w:tcBorders>
            <w:shd w:val="clear" w:color="auto" w:fill="auto"/>
            <w:noWrap/>
            <w:vAlign w:val="bottom"/>
          </w:tcPr>
          <w:p w14:paraId="4175F82C" w14:textId="1A021E6A" w:rsidR="00774AFA" w:rsidRPr="00774AFA" w:rsidRDefault="00774AFA" w:rsidP="00774AFA">
            <w:pPr>
              <w:suppressAutoHyphens/>
              <w:autoSpaceDN w:val="0"/>
              <w:jc w:val="right"/>
              <w:rPr>
                <w:rFonts w:ascii="Arial" w:eastAsia="Times New Roman" w:hAnsi="Arial" w:cs="Arial"/>
                <w:b/>
                <w:bCs/>
                <w:sz w:val="17"/>
                <w:szCs w:val="17"/>
              </w:rPr>
            </w:pPr>
            <w:r w:rsidRPr="00774AFA">
              <w:rPr>
                <w:rFonts w:ascii="Arial" w:hAnsi="Arial" w:cs="Arial"/>
                <w:b/>
                <w:bCs/>
                <w:sz w:val="17"/>
                <w:szCs w:val="17"/>
              </w:rPr>
              <w:t xml:space="preserve"> 244.410 </w:t>
            </w:r>
          </w:p>
        </w:tc>
        <w:tc>
          <w:tcPr>
            <w:tcW w:w="993" w:type="dxa"/>
            <w:tcBorders>
              <w:top w:val="single" w:sz="4" w:space="0" w:color="auto"/>
              <w:left w:val="nil"/>
              <w:bottom w:val="single" w:sz="12" w:space="0" w:color="auto"/>
              <w:right w:val="nil"/>
            </w:tcBorders>
            <w:shd w:val="clear" w:color="auto" w:fill="auto"/>
            <w:noWrap/>
            <w:vAlign w:val="bottom"/>
          </w:tcPr>
          <w:p w14:paraId="65BE8B8B" w14:textId="463B6622" w:rsidR="00774AFA" w:rsidRPr="00774AFA" w:rsidRDefault="00774AFA" w:rsidP="00774AFA">
            <w:pPr>
              <w:suppressAutoHyphens/>
              <w:autoSpaceDN w:val="0"/>
              <w:jc w:val="right"/>
              <w:rPr>
                <w:rFonts w:ascii="Arial" w:eastAsia="Times New Roman" w:hAnsi="Arial" w:cs="Arial"/>
                <w:b/>
                <w:bCs/>
                <w:sz w:val="17"/>
                <w:szCs w:val="17"/>
              </w:rPr>
            </w:pPr>
            <w:r w:rsidRPr="00774AFA">
              <w:rPr>
                <w:rFonts w:ascii="Arial" w:hAnsi="Arial" w:cs="Arial"/>
                <w:b/>
                <w:bCs/>
                <w:sz w:val="17"/>
                <w:szCs w:val="17"/>
              </w:rPr>
              <w:t xml:space="preserve"> 238.563 </w:t>
            </w:r>
          </w:p>
        </w:tc>
        <w:tc>
          <w:tcPr>
            <w:tcW w:w="994" w:type="dxa"/>
            <w:tcBorders>
              <w:top w:val="single" w:sz="4" w:space="0" w:color="auto"/>
              <w:left w:val="nil"/>
              <w:bottom w:val="single" w:sz="12" w:space="0" w:color="auto"/>
              <w:right w:val="nil"/>
            </w:tcBorders>
            <w:shd w:val="clear" w:color="auto" w:fill="auto"/>
            <w:noWrap/>
            <w:vAlign w:val="bottom"/>
          </w:tcPr>
          <w:p w14:paraId="59FC5259" w14:textId="6FCA0CA0" w:rsidR="00774AFA" w:rsidRPr="00774AFA" w:rsidRDefault="00774AFA" w:rsidP="00774AFA">
            <w:pPr>
              <w:suppressAutoHyphens/>
              <w:autoSpaceDN w:val="0"/>
              <w:jc w:val="right"/>
              <w:rPr>
                <w:rFonts w:ascii="Arial" w:eastAsia="Times New Roman" w:hAnsi="Arial" w:cs="Arial"/>
                <w:b/>
                <w:bCs/>
                <w:sz w:val="17"/>
                <w:szCs w:val="17"/>
              </w:rPr>
            </w:pPr>
            <w:r w:rsidRPr="00774AFA">
              <w:rPr>
                <w:rFonts w:ascii="Arial" w:hAnsi="Arial" w:cs="Arial"/>
                <w:b/>
                <w:bCs/>
                <w:sz w:val="17"/>
                <w:szCs w:val="17"/>
              </w:rPr>
              <w:t xml:space="preserve"> - </w:t>
            </w:r>
          </w:p>
        </w:tc>
        <w:tc>
          <w:tcPr>
            <w:tcW w:w="993" w:type="dxa"/>
            <w:tcBorders>
              <w:top w:val="single" w:sz="4" w:space="0" w:color="auto"/>
              <w:left w:val="nil"/>
              <w:bottom w:val="single" w:sz="12" w:space="0" w:color="auto"/>
              <w:right w:val="nil"/>
            </w:tcBorders>
            <w:shd w:val="clear" w:color="auto" w:fill="auto"/>
            <w:noWrap/>
            <w:vAlign w:val="bottom"/>
          </w:tcPr>
          <w:p w14:paraId="3FF00E07" w14:textId="35535401" w:rsidR="00774AFA" w:rsidRPr="00774AFA" w:rsidRDefault="00774AFA" w:rsidP="00774AFA">
            <w:pPr>
              <w:suppressAutoHyphens/>
              <w:autoSpaceDN w:val="0"/>
              <w:jc w:val="right"/>
              <w:rPr>
                <w:rFonts w:ascii="Arial" w:eastAsia="Times New Roman" w:hAnsi="Arial" w:cs="Arial"/>
                <w:b/>
                <w:bCs/>
                <w:sz w:val="17"/>
                <w:szCs w:val="17"/>
              </w:rPr>
            </w:pPr>
            <w:r w:rsidRPr="00774AFA">
              <w:rPr>
                <w:rFonts w:ascii="Arial" w:hAnsi="Arial" w:cs="Arial"/>
                <w:b/>
                <w:bCs/>
                <w:sz w:val="17"/>
                <w:szCs w:val="17"/>
              </w:rPr>
              <w:t xml:space="preserve"> 138 </w:t>
            </w:r>
          </w:p>
        </w:tc>
        <w:tc>
          <w:tcPr>
            <w:tcW w:w="994" w:type="dxa"/>
            <w:tcBorders>
              <w:top w:val="single" w:sz="4" w:space="0" w:color="auto"/>
              <w:left w:val="nil"/>
              <w:bottom w:val="single" w:sz="12" w:space="0" w:color="auto"/>
              <w:right w:val="nil"/>
            </w:tcBorders>
            <w:shd w:val="clear" w:color="auto" w:fill="auto"/>
            <w:noWrap/>
            <w:vAlign w:val="bottom"/>
          </w:tcPr>
          <w:p w14:paraId="7756F962" w14:textId="58CA8A32" w:rsidR="00774AFA" w:rsidRPr="00774AFA" w:rsidRDefault="00774AFA" w:rsidP="00774AFA">
            <w:pPr>
              <w:suppressAutoHyphens/>
              <w:autoSpaceDN w:val="0"/>
              <w:jc w:val="right"/>
              <w:rPr>
                <w:rFonts w:ascii="Arial" w:eastAsia="Times New Roman" w:hAnsi="Arial" w:cs="Arial"/>
                <w:b/>
                <w:bCs/>
                <w:sz w:val="17"/>
                <w:szCs w:val="17"/>
              </w:rPr>
            </w:pPr>
            <w:r w:rsidRPr="00774AFA">
              <w:rPr>
                <w:rFonts w:ascii="Arial" w:hAnsi="Arial" w:cs="Arial"/>
                <w:b/>
                <w:bCs/>
                <w:sz w:val="17"/>
                <w:szCs w:val="17"/>
              </w:rPr>
              <w:t xml:space="preserve"> 238.701 </w:t>
            </w:r>
          </w:p>
        </w:tc>
      </w:tr>
    </w:tbl>
    <w:p w14:paraId="3D928458" w14:textId="77777777" w:rsidR="001B247D" w:rsidRPr="006A263A" w:rsidRDefault="001B247D" w:rsidP="001B247D">
      <w:pPr>
        <w:suppressAutoHyphens/>
        <w:autoSpaceDN w:val="0"/>
        <w:jc w:val="both"/>
        <w:outlineLvl w:val="0"/>
        <w:rPr>
          <w:rFonts w:ascii="Arial" w:eastAsia="Times New Roman" w:hAnsi="Arial" w:cs="Arial"/>
          <w:bCs/>
          <w:color w:val="000000" w:themeColor="text1"/>
          <w:sz w:val="20"/>
          <w:szCs w:val="20"/>
        </w:rPr>
      </w:pPr>
    </w:p>
    <w:p w14:paraId="38EBF125" w14:textId="77777777" w:rsidR="001B247D" w:rsidRPr="006A263A" w:rsidRDefault="001B247D" w:rsidP="001B247D">
      <w:pPr>
        <w:suppressAutoHyphens/>
        <w:autoSpaceDN w:val="0"/>
        <w:jc w:val="both"/>
        <w:outlineLvl w:val="0"/>
        <w:rPr>
          <w:rFonts w:ascii="Arial" w:eastAsia="Times New Roman" w:hAnsi="Arial" w:cs="Arial"/>
          <w:bCs/>
          <w:color w:val="000000" w:themeColor="text1"/>
          <w:sz w:val="20"/>
          <w:szCs w:val="20"/>
        </w:rPr>
      </w:pPr>
    </w:p>
    <w:tbl>
      <w:tblPr>
        <w:tblpPr w:leftFromText="180" w:rightFromText="180" w:vertAnchor="text" w:horzAnchor="margin" w:tblpXSpec="center" w:tblpY="187"/>
        <w:tblW w:w="9762" w:type="dxa"/>
        <w:tblLayout w:type="fixed"/>
        <w:tblLook w:val="04A0" w:firstRow="1" w:lastRow="0" w:firstColumn="1" w:lastColumn="0" w:noHBand="0" w:noVBand="1"/>
      </w:tblPr>
      <w:tblGrid>
        <w:gridCol w:w="1814"/>
        <w:gridCol w:w="993"/>
        <w:gridCol w:w="994"/>
        <w:gridCol w:w="993"/>
        <w:gridCol w:w="994"/>
        <w:gridCol w:w="993"/>
        <w:gridCol w:w="994"/>
        <w:gridCol w:w="993"/>
        <w:gridCol w:w="994"/>
      </w:tblGrid>
      <w:tr w:rsidR="00D331A1" w:rsidRPr="00BB3F2C" w14:paraId="010D91CD" w14:textId="77777777" w:rsidTr="00DD2D50">
        <w:trPr>
          <w:trHeight w:val="270"/>
        </w:trPr>
        <w:tc>
          <w:tcPr>
            <w:tcW w:w="1814" w:type="dxa"/>
            <w:tcBorders>
              <w:top w:val="nil"/>
              <w:left w:val="nil"/>
              <w:bottom w:val="nil"/>
              <w:right w:val="nil"/>
            </w:tcBorders>
            <w:shd w:val="clear" w:color="auto" w:fill="auto"/>
            <w:noWrap/>
            <w:vAlign w:val="bottom"/>
            <w:hideMark/>
          </w:tcPr>
          <w:p w14:paraId="250F98D3" w14:textId="77777777" w:rsidR="00D331A1" w:rsidRPr="004B4498" w:rsidRDefault="00D331A1" w:rsidP="00DD2D50">
            <w:pPr>
              <w:rPr>
                <w:rFonts w:ascii="Arial" w:hAnsi="Arial" w:cs="Arial"/>
                <w:b/>
                <w:color w:val="000000" w:themeColor="text1"/>
                <w:sz w:val="17"/>
                <w:szCs w:val="17"/>
              </w:rPr>
            </w:pPr>
            <w:r w:rsidRPr="004B4498">
              <w:rPr>
                <w:rFonts w:ascii="Arial" w:hAnsi="Arial" w:cs="Arial"/>
                <w:b/>
                <w:color w:val="000000" w:themeColor="text1"/>
                <w:sz w:val="17"/>
                <w:szCs w:val="17"/>
              </w:rPr>
              <w:t>31. prosinca 202</w:t>
            </w:r>
            <w:r>
              <w:rPr>
                <w:rFonts w:ascii="Arial" w:hAnsi="Arial" w:cs="Arial"/>
                <w:b/>
                <w:color w:val="000000" w:themeColor="text1"/>
                <w:sz w:val="17"/>
                <w:szCs w:val="17"/>
              </w:rPr>
              <w:t>3</w:t>
            </w:r>
            <w:r w:rsidRPr="004B4498">
              <w:rPr>
                <w:rFonts w:ascii="Arial" w:hAnsi="Arial" w:cs="Arial"/>
                <w:b/>
                <w:color w:val="000000" w:themeColor="text1"/>
                <w:sz w:val="17"/>
                <w:szCs w:val="17"/>
              </w:rPr>
              <w:t>.</w:t>
            </w:r>
          </w:p>
        </w:tc>
        <w:tc>
          <w:tcPr>
            <w:tcW w:w="993" w:type="dxa"/>
            <w:tcBorders>
              <w:top w:val="nil"/>
              <w:left w:val="nil"/>
              <w:bottom w:val="nil"/>
              <w:right w:val="nil"/>
            </w:tcBorders>
            <w:shd w:val="clear" w:color="auto" w:fill="auto"/>
            <w:noWrap/>
            <w:vAlign w:val="bottom"/>
            <w:hideMark/>
          </w:tcPr>
          <w:p w14:paraId="6266973D" w14:textId="77777777" w:rsidR="00D331A1" w:rsidRPr="004B4498" w:rsidRDefault="00D331A1" w:rsidP="00DD2D50">
            <w:pPr>
              <w:jc w:val="right"/>
              <w:rPr>
                <w:rFonts w:ascii="Arial" w:hAnsi="Arial" w:cs="Arial"/>
                <w:color w:val="000000" w:themeColor="text1"/>
                <w:sz w:val="17"/>
                <w:szCs w:val="17"/>
              </w:rPr>
            </w:pPr>
          </w:p>
        </w:tc>
        <w:tc>
          <w:tcPr>
            <w:tcW w:w="994" w:type="dxa"/>
            <w:tcBorders>
              <w:top w:val="nil"/>
              <w:left w:val="nil"/>
              <w:bottom w:val="nil"/>
              <w:right w:val="nil"/>
            </w:tcBorders>
            <w:shd w:val="clear" w:color="auto" w:fill="auto"/>
            <w:noWrap/>
            <w:vAlign w:val="bottom"/>
            <w:hideMark/>
          </w:tcPr>
          <w:p w14:paraId="14C4EF08" w14:textId="77777777" w:rsidR="00D331A1" w:rsidRPr="004B4498" w:rsidRDefault="00D331A1" w:rsidP="00DD2D50">
            <w:pPr>
              <w:jc w:val="right"/>
              <w:rPr>
                <w:rFonts w:ascii="Arial" w:hAnsi="Arial" w:cs="Arial"/>
                <w:color w:val="000000" w:themeColor="text1"/>
                <w:sz w:val="17"/>
                <w:szCs w:val="17"/>
              </w:rPr>
            </w:pPr>
          </w:p>
        </w:tc>
        <w:tc>
          <w:tcPr>
            <w:tcW w:w="993" w:type="dxa"/>
            <w:tcBorders>
              <w:top w:val="nil"/>
              <w:left w:val="nil"/>
              <w:bottom w:val="nil"/>
              <w:right w:val="nil"/>
            </w:tcBorders>
            <w:shd w:val="clear" w:color="auto" w:fill="auto"/>
            <w:noWrap/>
            <w:vAlign w:val="bottom"/>
            <w:hideMark/>
          </w:tcPr>
          <w:p w14:paraId="6212C0A6" w14:textId="77777777" w:rsidR="00D331A1" w:rsidRPr="004B4498" w:rsidRDefault="00D331A1" w:rsidP="00DD2D50">
            <w:pPr>
              <w:jc w:val="right"/>
              <w:rPr>
                <w:rFonts w:ascii="Arial" w:hAnsi="Arial" w:cs="Arial"/>
                <w:color w:val="000000" w:themeColor="text1"/>
                <w:sz w:val="17"/>
                <w:szCs w:val="17"/>
              </w:rPr>
            </w:pPr>
          </w:p>
        </w:tc>
        <w:tc>
          <w:tcPr>
            <w:tcW w:w="994" w:type="dxa"/>
            <w:tcBorders>
              <w:top w:val="nil"/>
              <w:left w:val="nil"/>
              <w:bottom w:val="nil"/>
              <w:right w:val="nil"/>
            </w:tcBorders>
            <w:shd w:val="clear" w:color="auto" w:fill="auto"/>
            <w:noWrap/>
            <w:vAlign w:val="bottom"/>
            <w:hideMark/>
          </w:tcPr>
          <w:p w14:paraId="047589BC" w14:textId="77777777" w:rsidR="00D331A1" w:rsidRPr="004B4498" w:rsidRDefault="00D331A1" w:rsidP="00DD2D50">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Grupa</w:t>
            </w:r>
          </w:p>
        </w:tc>
        <w:tc>
          <w:tcPr>
            <w:tcW w:w="993" w:type="dxa"/>
            <w:tcBorders>
              <w:top w:val="nil"/>
              <w:left w:val="nil"/>
              <w:bottom w:val="nil"/>
              <w:right w:val="nil"/>
            </w:tcBorders>
            <w:shd w:val="clear" w:color="auto" w:fill="auto"/>
            <w:noWrap/>
            <w:vAlign w:val="bottom"/>
            <w:hideMark/>
          </w:tcPr>
          <w:p w14:paraId="2C319437" w14:textId="77777777" w:rsidR="00D331A1" w:rsidRPr="004B4498" w:rsidRDefault="00D331A1" w:rsidP="00DD2D50">
            <w:pPr>
              <w:jc w:val="right"/>
              <w:rPr>
                <w:rFonts w:ascii="Arial" w:hAnsi="Arial" w:cs="Arial"/>
                <w:b/>
                <w:bCs/>
                <w:color w:val="000000" w:themeColor="text1"/>
                <w:sz w:val="17"/>
                <w:szCs w:val="17"/>
              </w:rPr>
            </w:pPr>
          </w:p>
        </w:tc>
        <w:tc>
          <w:tcPr>
            <w:tcW w:w="994" w:type="dxa"/>
            <w:tcBorders>
              <w:top w:val="nil"/>
              <w:left w:val="nil"/>
              <w:bottom w:val="nil"/>
              <w:right w:val="nil"/>
            </w:tcBorders>
            <w:shd w:val="clear" w:color="auto" w:fill="auto"/>
            <w:noWrap/>
            <w:vAlign w:val="bottom"/>
            <w:hideMark/>
          </w:tcPr>
          <w:p w14:paraId="050FCE30" w14:textId="77777777" w:rsidR="00D331A1" w:rsidRPr="004B4498" w:rsidRDefault="00D331A1" w:rsidP="00DD2D50">
            <w:pPr>
              <w:jc w:val="right"/>
              <w:rPr>
                <w:rFonts w:ascii="Arial" w:hAnsi="Arial" w:cs="Arial"/>
                <w:color w:val="000000" w:themeColor="text1"/>
                <w:sz w:val="17"/>
                <w:szCs w:val="17"/>
              </w:rPr>
            </w:pPr>
          </w:p>
        </w:tc>
        <w:tc>
          <w:tcPr>
            <w:tcW w:w="993" w:type="dxa"/>
            <w:tcBorders>
              <w:top w:val="nil"/>
              <w:left w:val="nil"/>
              <w:bottom w:val="nil"/>
              <w:right w:val="nil"/>
            </w:tcBorders>
            <w:shd w:val="clear" w:color="auto" w:fill="auto"/>
            <w:noWrap/>
            <w:vAlign w:val="bottom"/>
            <w:hideMark/>
          </w:tcPr>
          <w:p w14:paraId="4A65B07F" w14:textId="77777777" w:rsidR="00D331A1" w:rsidRPr="004B4498" w:rsidRDefault="00D331A1" w:rsidP="00DD2D50">
            <w:pPr>
              <w:jc w:val="right"/>
              <w:rPr>
                <w:rFonts w:ascii="Arial" w:hAnsi="Arial" w:cs="Arial"/>
                <w:color w:val="000000" w:themeColor="text1"/>
                <w:sz w:val="17"/>
                <w:szCs w:val="17"/>
              </w:rPr>
            </w:pPr>
          </w:p>
        </w:tc>
        <w:tc>
          <w:tcPr>
            <w:tcW w:w="994" w:type="dxa"/>
            <w:tcBorders>
              <w:top w:val="nil"/>
              <w:left w:val="nil"/>
              <w:bottom w:val="nil"/>
              <w:right w:val="nil"/>
            </w:tcBorders>
            <w:shd w:val="clear" w:color="auto" w:fill="auto"/>
            <w:noWrap/>
            <w:vAlign w:val="bottom"/>
            <w:hideMark/>
          </w:tcPr>
          <w:p w14:paraId="3A30E6A8" w14:textId="77777777" w:rsidR="00D331A1" w:rsidRPr="004B4498" w:rsidRDefault="00D331A1" w:rsidP="00DD2D50">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Banka</w:t>
            </w:r>
          </w:p>
        </w:tc>
      </w:tr>
      <w:tr w:rsidR="00D331A1" w:rsidRPr="00BB3F2C" w14:paraId="1B41E668" w14:textId="77777777" w:rsidTr="00DD2D50">
        <w:trPr>
          <w:trHeight w:val="270"/>
        </w:trPr>
        <w:tc>
          <w:tcPr>
            <w:tcW w:w="1814" w:type="dxa"/>
            <w:tcBorders>
              <w:top w:val="nil"/>
              <w:left w:val="nil"/>
              <w:bottom w:val="nil"/>
              <w:right w:val="nil"/>
            </w:tcBorders>
            <w:shd w:val="clear" w:color="auto" w:fill="auto"/>
            <w:noWrap/>
            <w:vAlign w:val="bottom"/>
            <w:hideMark/>
          </w:tcPr>
          <w:p w14:paraId="009F25FD" w14:textId="77777777" w:rsidR="00D331A1" w:rsidRPr="004B4498" w:rsidRDefault="00D331A1" w:rsidP="00DD2D50">
            <w:pPr>
              <w:jc w:val="right"/>
              <w:rPr>
                <w:rFonts w:ascii="Arial" w:hAnsi="Arial" w:cs="Arial"/>
                <w:b/>
                <w:bCs/>
                <w:color w:val="000000" w:themeColor="text1"/>
                <w:sz w:val="17"/>
                <w:szCs w:val="17"/>
              </w:rPr>
            </w:pPr>
          </w:p>
        </w:tc>
        <w:tc>
          <w:tcPr>
            <w:tcW w:w="993" w:type="dxa"/>
            <w:tcBorders>
              <w:top w:val="nil"/>
              <w:left w:val="nil"/>
              <w:bottom w:val="nil"/>
              <w:right w:val="nil"/>
            </w:tcBorders>
            <w:shd w:val="clear" w:color="auto" w:fill="auto"/>
            <w:noWrap/>
            <w:vAlign w:val="bottom"/>
            <w:hideMark/>
          </w:tcPr>
          <w:p w14:paraId="74811D72" w14:textId="77777777" w:rsidR="00D331A1" w:rsidRPr="004B4498" w:rsidRDefault="00D331A1" w:rsidP="00DD2D50">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Stupanj 1</w:t>
            </w:r>
          </w:p>
        </w:tc>
        <w:tc>
          <w:tcPr>
            <w:tcW w:w="994" w:type="dxa"/>
            <w:tcBorders>
              <w:top w:val="nil"/>
              <w:left w:val="nil"/>
              <w:bottom w:val="nil"/>
              <w:right w:val="nil"/>
            </w:tcBorders>
            <w:shd w:val="clear" w:color="auto" w:fill="auto"/>
            <w:noWrap/>
            <w:vAlign w:val="bottom"/>
            <w:hideMark/>
          </w:tcPr>
          <w:p w14:paraId="18538F25" w14:textId="77777777" w:rsidR="00D331A1" w:rsidRPr="004B4498" w:rsidRDefault="00D331A1" w:rsidP="00DD2D50">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Stupanj 2</w:t>
            </w:r>
          </w:p>
        </w:tc>
        <w:tc>
          <w:tcPr>
            <w:tcW w:w="993" w:type="dxa"/>
            <w:tcBorders>
              <w:top w:val="nil"/>
              <w:left w:val="nil"/>
              <w:bottom w:val="nil"/>
              <w:right w:val="nil"/>
            </w:tcBorders>
            <w:shd w:val="clear" w:color="auto" w:fill="auto"/>
            <w:noWrap/>
            <w:vAlign w:val="bottom"/>
            <w:hideMark/>
          </w:tcPr>
          <w:p w14:paraId="58A738CF" w14:textId="77777777" w:rsidR="00D331A1" w:rsidRPr="004B4498" w:rsidRDefault="00D331A1" w:rsidP="00DD2D50">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Stupanj 3</w:t>
            </w:r>
          </w:p>
        </w:tc>
        <w:tc>
          <w:tcPr>
            <w:tcW w:w="994" w:type="dxa"/>
            <w:tcBorders>
              <w:top w:val="nil"/>
              <w:left w:val="nil"/>
              <w:bottom w:val="nil"/>
              <w:right w:val="nil"/>
            </w:tcBorders>
            <w:shd w:val="clear" w:color="auto" w:fill="auto"/>
            <w:noWrap/>
            <w:vAlign w:val="bottom"/>
            <w:hideMark/>
          </w:tcPr>
          <w:p w14:paraId="223B4A26" w14:textId="77777777" w:rsidR="00D331A1" w:rsidRPr="004B4498" w:rsidRDefault="00D331A1" w:rsidP="00DD2D50">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Ukupno</w:t>
            </w:r>
          </w:p>
        </w:tc>
        <w:tc>
          <w:tcPr>
            <w:tcW w:w="993" w:type="dxa"/>
            <w:tcBorders>
              <w:top w:val="nil"/>
              <w:left w:val="nil"/>
              <w:bottom w:val="nil"/>
              <w:right w:val="nil"/>
            </w:tcBorders>
            <w:shd w:val="clear" w:color="auto" w:fill="auto"/>
            <w:noWrap/>
            <w:vAlign w:val="bottom"/>
            <w:hideMark/>
          </w:tcPr>
          <w:p w14:paraId="57984B53" w14:textId="77777777" w:rsidR="00D331A1" w:rsidRPr="004B4498" w:rsidRDefault="00D331A1" w:rsidP="00DD2D50">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Stupanj 1</w:t>
            </w:r>
          </w:p>
        </w:tc>
        <w:tc>
          <w:tcPr>
            <w:tcW w:w="994" w:type="dxa"/>
            <w:tcBorders>
              <w:top w:val="nil"/>
              <w:left w:val="nil"/>
              <w:bottom w:val="nil"/>
              <w:right w:val="nil"/>
            </w:tcBorders>
            <w:shd w:val="clear" w:color="auto" w:fill="auto"/>
            <w:noWrap/>
            <w:vAlign w:val="bottom"/>
            <w:hideMark/>
          </w:tcPr>
          <w:p w14:paraId="088E9FD9" w14:textId="77777777" w:rsidR="00D331A1" w:rsidRPr="004B4498" w:rsidRDefault="00D331A1" w:rsidP="00DD2D50">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Stupanj 2</w:t>
            </w:r>
          </w:p>
        </w:tc>
        <w:tc>
          <w:tcPr>
            <w:tcW w:w="993" w:type="dxa"/>
            <w:tcBorders>
              <w:top w:val="nil"/>
              <w:left w:val="nil"/>
              <w:bottom w:val="nil"/>
              <w:right w:val="nil"/>
            </w:tcBorders>
            <w:shd w:val="clear" w:color="auto" w:fill="auto"/>
            <w:noWrap/>
            <w:vAlign w:val="bottom"/>
            <w:hideMark/>
          </w:tcPr>
          <w:p w14:paraId="62970280" w14:textId="77777777" w:rsidR="00D331A1" w:rsidRPr="004B4498" w:rsidRDefault="00D331A1" w:rsidP="00DD2D50">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Stupanj 3</w:t>
            </w:r>
          </w:p>
        </w:tc>
        <w:tc>
          <w:tcPr>
            <w:tcW w:w="994" w:type="dxa"/>
            <w:tcBorders>
              <w:top w:val="nil"/>
              <w:left w:val="nil"/>
              <w:bottom w:val="nil"/>
              <w:right w:val="nil"/>
            </w:tcBorders>
            <w:shd w:val="clear" w:color="auto" w:fill="auto"/>
            <w:noWrap/>
            <w:vAlign w:val="bottom"/>
            <w:hideMark/>
          </w:tcPr>
          <w:p w14:paraId="5647CAF4" w14:textId="77777777" w:rsidR="00D331A1" w:rsidRPr="004B4498" w:rsidRDefault="00D331A1" w:rsidP="00DD2D50">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Ukupno</w:t>
            </w:r>
          </w:p>
        </w:tc>
      </w:tr>
      <w:tr w:rsidR="00D331A1" w:rsidRPr="00BB3F2C" w14:paraId="5473869D" w14:textId="77777777" w:rsidTr="00DD2D50">
        <w:trPr>
          <w:trHeight w:val="270"/>
        </w:trPr>
        <w:tc>
          <w:tcPr>
            <w:tcW w:w="1814" w:type="dxa"/>
            <w:tcBorders>
              <w:top w:val="nil"/>
              <w:left w:val="nil"/>
              <w:bottom w:val="nil"/>
              <w:right w:val="nil"/>
            </w:tcBorders>
            <w:shd w:val="clear" w:color="auto" w:fill="auto"/>
            <w:noWrap/>
            <w:vAlign w:val="bottom"/>
            <w:hideMark/>
          </w:tcPr>
          <w:p w14:paraId="4A30EF9C" w14:textId="77777777" w:rsidR="00D331A1" w:rsidRPr="004B4498" w:rsidRDefault="00D331A1" w:rsidP="00DD2D50">
            <w:pPr>
              <w:jc w:val="right"/>
              <w:rPr>
                <w:rFonts w:ascii="Arial" w:hAnsi="Arial" w:cs="Arial"/>
                <w:b/>
                <w:bCs/>
                <w:color w:val="000000" w:themeColor="text1"/>
                <w:sz w:val="17"/>
                <w:szCs w:val="17"/>
              </w:rPr>
            </w:pPr>
          </w:p>
        </w:tc>
        <w:tc>
          <w:tcPr>
            <w:tcW w:w="993" w:type="dxa"/>
            <w:tcBorders>
              <w:top w:val="nil"/>
              <w:left w:val="nil"/>
              <w:bottom w:val="nil"/>
              <w:right w:val="nil"/>
            </w:tcBorders>
            <w:shd w:val="clear" w:color="auto" w:fill="auto"/>
            <w:noWrap/>
            <w:vAlign w:val="bottom"/>
            <w:hideMark/>
          </w:tcPr>
          <w:p w14:paraId="5265069E" w14:textId="77777777" w:rsidR="00D331A1" w:rsidRPr="004B4498" w:rsidRDefault="00D331A1" w:rsidP="00DD2D50">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 xml:space="preserve">000 </w:t>
            </w:r>
            <w:r>
              <w:rPr>
                <w:rFonts w:ascii="Arial" w:hAnsi="Arial" w:cs="Arial"/>
                <w:b/>
                <w:bCs/>
                <w:color w:val="000000" w:themeColor="text1"/>
                <w:sz w:val="17"/>
                <w:szCs w:val="17"/>
              </w:rPr>
              <w:t>eura</w:t>
            </w:r>
          </w:p>
        </w:tc>
        <w:tc>
          <w:tcPr>
            <w:tcW w:w="994" w:type="dxa"/>
            <w:tcBorders>
              <w:top w:val="nil"/>
              <w:left w:val="nil"/>
              <w:bottom w:val="nil"/>
              <w:right w:val="nil"/>
            </w:tcBorders>
            <w:shd w:val="clear" w:color="auto" w:fill="auto"/>
            <w:noWrap/>
            <w:vAlign w:val="bottom"/>
            <w:hideMark/>
          </w:tcPr>
          <w:p w14:paraId="08BBB82A" w14:textId="77777777" w:rsidR="00D331A1" w:rsidRPr="004B4498" w:rsidRDefault="00D331A1" w:rsidP="00DD2D50">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 xml:space="preserve">000 </w:t>
            </w:r>
            <w:r>
              <w:rPr>
                <w:rFonts w:ascii="Arial" w:hAnsi="Arial" w:cs="Arial"/>
                <w:b/>
                <w:bCs/>
                <w:color w:val="000000" w:themeColor="text1"/>
                <w:sz w:val="17"/>
                <w:szCs w:val="17"/>
              </w:rPr>
              <w:t>eura</w:t>
            </w:r>
          </w:p>
        </w:tc>
        <w:tc>
          <w:tcPr>
            <w:tcW w:w="993" w:type="dxa"/>
            <w:tcBorders>
              <w:top w:val="nil"/>
              <w:left w:val="nil"/>
              <w:bottom w:val="nil"/>
              <w:right w:val="nil"/>
            </w:tcBorders>
            <w:shd w:val="clear" w:color="auto" w:fill="auto"/>
            <w:noWrap/>
            <w:vAlign w:val="bottom"/>
            <w:hideMark/>
          </w:tcPr>
          <w:p w14:paraId="2494D1CA" w14:textId="77777777" w:rsidR="00D331A1" w:rsidRPr="004B4498" w:rsidRDefault="00D331A1" w:rsidP="00DD2D50">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 xml:space="preserve">000 </w:t>
            </w:r>
            <w:r>
              <w:rPr>
                <w:rFonts w:ascii="Arial" w:hAnsi="Arial" w:cs="Arial"/>
                <w:b/>
                <w:bCs/>
                <w:color w:val="000000" w:themeColor="text1"/>
                <w:sz w:val="17"/>
                <w:szCs w:val="17"/>
              </w:rPr>
              <w:t>eura</w:t>
            </w:r>
          </w:p>
        </w:tc>
        <w:tc>
          <w:tcPr>
            <w:tcW w:w="994" w:type="dxa"/>
            <w:tcBorders>
              <w:top w:val="nil"/>
              <w:left w:val="nil"/>
              <w:bottom w:val="nil"/>
              <w:right w:val="nil"/>
            </w:tcBorders>
            <w:shd w:val="clear" w:color="auto" w:fill="auto"/>
            <w:noWrap/>
            <w:vAlign w:val="bottom"/>
            <w:hideMark/>
          </w:tcPr>
          <w:p w14:paraId="7C410480" w14:textId="77777777" w:rsidR="00D331A1" w:rsidRPr="004B4498" w:rsidRDefault="00D331A1" w:rsidP="00DD2D50">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 xml:space="preserve">000 </w:t>
            </w:r>
            <w:r>
              <w:rPr>
                <w:rFonts w:ascii="Arial" w:hAnsi="Arial" w:cs="Arial"/>
                <w:b/>
                <w:bCs/>
                <w:color w:val="000000" w:themeColor="text1"/>
                <w:sz w:val="17"/>
                <w:szCs w:val="17"/>
              </w:rPr>
              <w:t>eura</w:t>
            </w:r>
          </w:p>
        </w:tc>
        <w:tc>
          <w:tcPr>
            <w:tcW w:w="993" w:type="dxa"/>
            <w:tcBorders>
              <w:top w:val="nil"/>
              <w:left w:val="nil"/>
              <w:bottom w:val="nil"/>
              <w:right w:val="nil"/>
            </w:tcBorders>
            <w:shd w:val="clear" w:color="auto" w:fill="auto"/>
            <w:noWrap/>
            <w:vAlign w:val="bottom"/>
            <w:hideMark/>
          </w:tcPr>
          <w:p w14:paraId="6556A5B3" w14:textId="77777777" w:rsidR="00D331A1" w:rsidRPr="004B4498" w:rsidRDefault="00D331A1" w:rsidP="00DD2D50">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 xml:space="preserve">000 </w:t>
            </w:r>
            <w:r>
              <w:rPr>
                <w:rFonts w:ascii="Arial" w:hAnsi="Arial" w:cs="Arial"/>
                <w:b/>
                <w:bCs/>
                <w:color w:val="000000" w:themeColor="text1"/>
                <w:sz w:val="17"/>
                <w:szCs w:val="17"/>
              </w:rPr>
              <w:t>eura</w:t>
            </w:r>
          </w:p>
        </w:tc>
        <w:tc>
          <w:tcPr>
            <w:tcW w:w="994" w:type="dxa"/>
            <w:tcBorders>
              <w:top w:val="nil"/>
              <w:left w:val="nil"/>
              <w:bottom w:val="nil"/>
              <w:right w:val="nil"/>
            </w:tcBorders>
            <w:shd w:val="clear" w:color="auto" w:fill="auto"/>
            <w:noWrap/>
            <w:vAlign w:val="bottom"/>
            <w:hideMark/>
          </w:tcPr>
          <w:p w14:paraId="481F9FF7" w14:textId="77777777" w:rsidR="00D331A1" w:rsidRPr="004B4498" w:rsidRDefault="00D331A1" w:rsidP="00DD2D50">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 xml:space="preserve">000 </w:t>
            </w:r>
            <w:r>
              <w:rPr>
                <w:rFonts w:ascii="Arial" w:hAnsi="Arial" w:cs="Arial"/>
                <w:b/>
                <w:bCs/>
                <w:color w:val="000000" w:themeColor="text1"/>
                <w:sz w:val="17"/>
                <w:szCs w:val="17"/>
              </w:rPr>
              <w:t>eura</w:t>
            </w:r>
          </w:p>
        </w:tc>
        <w:tc>
          <w:tcPr>
            <w:tcW w:w="993" w:type="dxa"/>
            <w:tcBorders>
              <w:top w:val="nil"/>
              <w:left w:val="nil"/>
              <w:bottom w:val="nil"/>
              <w:right w:val="nil"/>
            </w:tcBorders>
            <w:shd w:val="clear" w:color="auto" w:fill="auto"/>
            <w:noWrap/>
            <w:vAlign w:val="bottom"/>
            <w:hideMark/>
          </w:tcPr>
          <w:p w14:paraId="00489BB4" w14:textId="77777777" w:rsidR="00D331A1" w:rsidRPr="004B4498" w:rsidRDefault="00D331A1" w:rsidP="00DD2D50">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 xml:space="preserve">000 </w:t>
            </w:r>
            <w:r>
              <w:rPr>
                <w:rFonts w:ascii="Arial" w:hAnsi="Arial" w:cs="Arial"/>
                <w:b/>
                <w:bCs/>
                <w:color w:val="000000" w:themeColor="text1"/>
                <w:sz w:val="17"/>
                <w:szCs w:val="17"/>
              </w:rPr>
              <w:t>eura</w:t>
            </w:r>
          </w:p>
        </w:tc>
        <w:tc>
          <w:tcPr>
            <w:tcW w:w="994" w:type="dxa"/>
            <w:tcBorders>
              <w:top w:val="nil"/>
              <w:left w:val="nil"/>
              <w:bottom w:val="nil"/>
              <w:right w:val="nil"/>
            </w:tcBorders>
            <w:shd w:val="clear" w:color="auto" w:fill="auto"/>
            <w:noWrap/>
            <w:vAlign w:val="bottom"/>
            <w:hideMark/>
          </w:tcPr>
          <w:p w14:paraId="7C89FB1D" w14:textId="77777777" w:rsidR="00D331A1" w:rsidRPr="004B4498" w:rsidRDefault="00D331A1" w:rsidP="00DD2D50">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 xml:space="preserve">000 </w:t>
            </w:r>
            <w:r>
              <w:rPr>
                <w:rFonts w:ascii="Arial" w:hAnsi="Arial" w:cs="Arial"/>
                <w:b/>
                <w:bCs/>
                <w:color w:val="000000" w:themeColor="text1"/>
                <w:sz w:val="17"/>
                <w:szCs w:val="17"/>
              </w:rPr>
              <w:t>eura</w:t>
            </w:r>
          </w:p>
        </w:tc>
      </w:tr>
      <w:tr w:rsidR="00D331A1" w:rsidRPr="00BB3F2C" w14:paraId="3DD12936" w14:textId="77777777" w:rsidTr="00DD2D50">
        <w:trPr>
          <w:trHeight w:hRule="exact" w:val="144"/>
        </w:trPr>
        <w:tc>
          <w:tcPr>
            <w:tcW w:w="1814" w:type="dxa"/>
            <w:tcBorders>
              <w:top w:val="nil"/>
              <w:left w:val="nil"/>
              <w:bottom w:val="nil"/>
              <w:right w:val="nil"/>
            </w:tcBorders>
            <w:shd w:val="clear" w:color="auto" w:fill="auto"/>
            <w:noWrap/>
            <w:vAlign w:val="bottom"/>
          </w:tcPr>
          <w:p w14:paraId="6F001FA8" w14:textId="77777777" w:rsidR="00D331A1" w:rsidRPr="004B4498" w:rsidRDefault="00D331A1" w:rsidP="00DD2D50">
            <w:pPr>
              <w:jc w:val="right"/>
              <w:rPr>
                <w:rFonts w:ascii="Arial" w:hAnsi="Arial" w:cs="Arial"/>
                <w:b/>
                <w:bCs/>
                <w:color w:val="000000" w:themeColor="text1"/>
                <w:sz w:val="17"/>
                <w:szCs w:val="17"/>
              </w:rPr>
            </w:pPr>
          </w:p>
        </w:tc>
        <w:tc>
          <w:tcPr>
            <w:tcW w:w="993" w:type="dxa"/>
            <w:tcBorders>
              <w:top w:val="nil"/>
              <w:left w:val="nil"/>
              <w:bottom w:val="nil"/>
              <w:right w:val="nil"/>
            </w:tcBorders>
            <w:shd w:val="clear" w:color="auto" w:fill="auto"/>
            <w:noWrap/>
            <w:vAlign w:val="bottom"/>
          </w:tcPr>
          <w:p w14:paraId="72CB5C13" w14:textId="77777777" w:rsidR="00D331A1" w:rsidRPr="004B4498" w:rsidRDefault="00D331A1" w:rsidP="00DD2D50">
            <w:pPr>
              <w:jc w:val="right"/>
              <w:rPr>
                <w:rFonts w:ascii="Arial" w:hAnsi="Arial" w:cs="Arial"/>
                <w:b/>
                <w:bCs/>
                <w:color w:val="000000" w:themeColor="text1"/>
                <w:sz w:val="17"/>
                <w:szCs w:val="17"/>
              </w:rPr>
            </w:pPr>
          </w:p>
        </w:tc>
        <w:tc>
          <w:tcPr>
            <w:tcW w:w="994" w:type="dxa"/>
            <w:tcBorders>
              <w:top w:val="nil"/>
              <w:left w:val="nil"/>
              <w:bottom w:val="nil"/>
              <w:right w:val="nil"/>
            </w:tcBorders>
            <w:shd w:val="clear" w:color="auto" w:fill="auto"/>
            <w:noWrap/>
            <w:vAlign w:val="bottom"/>
          </w:tcPr>
          <w:p w14:paraId="7E984267" w14:textId="77777777" w:rsidR="00D331A1" w:rsidRPr="004B4498" w:rsidRDefault="00D331A1" w:rsidP="00DD2D50">
            <w:pPr>
              <w:jc w:val="right"/>
              <w:rPr>
                <w:rFonts w:ascii="Arial" w:hAnsi="Arial" w:cs="Arial"/>
                <w:b/>
                <w:bCs/>
                <w:color w:val="000000" w:themeColor="text1"/>
                <w:sz w:val="17"/>
                <w:szCs w:val="17"/>
              </w:rPr>
            </w:pPr>
          </w:p>
        </w:tc>
        <w:tc>
          <w:tcPr>
            <w:tcW w:w="993" w:type="dxa"/>
            <w:tcBorders>
              <w:top w:val="nil"/>
              <w:left w:val="nil"/>
              <w:bottom w:val="nil"/>
              <w:right w:val="nil"/>
            </w:tcBorders>
            <w:shd w:val="clear" w:color="auto" w:fill="auto"/>
            <w:noWrap/>
            <w:vAlign w:val="bottom"/>
          </w:tcPr>
          <w:p w14:paraId="32387336" w14:textId="77777777" w:rsidR="00D331A1" w:rsidRPr="004B4498" w:rsidRDefault="00D331A1" w:rsidP="00DD2D50">
            <w:pPr>
              <w:jc w:val="right"/>
              <w:rPr>
                <w:rFonts w:ascii="Arial" w:hAnsi="Arial" w:cs="Arial"/>
                <w:b/>
                <w:bCs/>
                <w:color w:val="000000" w:themeColor="text1"/>
                <w:sz w:val="17"/>
                <w:szCs w:val="17"/>
              </w:rPr>
            </w:pPr>
          </w:p>
        </w:tc>
        <w:tc>
          <w:tcPr>
            <w:tcW w:w="994" w:type="dxa"/>
            <w:tcBorders>
              <w:top w:val="nil"/>
              <w:left w:val="nil"/>
              <w:bottom w:val="nil"/>
              <w:right w:val="nil"/>
            </w:tcBorders>
            <w:shd w:val="clear" w:color="auto" w:fill="auto"/>
            <w:noWrap/>
            <w:vAlign w:val="bottom"/>
          </w:tcPr>
          <w:p w14:paraId="3AA8B9F5" w14:textId="77777777" w:rsidR="00D331A1" w:rsidRPr="004B4498" w:rsidRDefault="00D331A1" w:rsidP="00DD2D50">
            <w:pPr>
              <w:jc w:val="right"/>
              <w:rPr>
                <w:rFonts w:ascii="Arial" w:hAnsi="Arial" w:cs="Arial"/>
                <w:b/>
                <w:bCs/>
                <w:color w:val="000000" w:themeColor="text1"/>
                <w:sz w:val="17"/>
                <w:szCs w:val="17"/>
              </w:rPr>
            </w:pPr>
          </w:p>
        </w:tc>
        <w:tc>
          <w:tcPr>
            <w:tcW w:w="993" w:type="dxa"/>
            <w:tcBorders>
              <w:top w:val="nil"/>
              <w:left w:val="nil"/>
              <w:bottom w:val="nil"/>
              <w:right w:val="nil"/>
            </w:tcBorders>
            <w:shd w:val="clear" w:color="auto" w:fill="auto"/>
            <w:noWrap/>
            <w:vAlign w:val="bottom"/>
          </w:tcPr>
          <w:p w14:paraId="75F2AF96" w14:textId="77777777" w:rsidR="00D331A1" w:rsidRPr="004B4498" w:rsidRDefault="00D331A1" w:rsidP="00DD2D50">
            <w:pPr>
              <w:jc w:val="right"/>
              <w:rPr>
                <w:rFonts w:ascii="Arial" w:hAnsi="Arial" w:cs="Arial"/>
                <w:b/>
                <w:bCs/>
                <w:color w:val="000000" w:themeColor="text1"/>
                <w:sz w:val="17"/>
                <w:szCs w:val="17"/>
              </w:rPr>
            </w:pPr>
          </w:p>
        </w:tc>
        <w:tc>
          <w:tcPr>
            <w:tcW w:w="994" w:type="dxa"/>
            <w:tcBorders>
              <w:top w:val="nil"/>
              <w:left w:val="nil"/>
              <w:bottom w:val="nil"/>
              <w:right w:val="nil"/>
            </w:tcBorders>
            <w:shd w:val="clear" w:color="auto" w:fill="auto"/>
            <w:noWrap/>
            <w:vAlign w:val="bottom"/>
          </w:tcPr>
          <w:p w14:paraId="7A47078C" w14:textId="77777777" w:rsidR="00D331A1" w:rsidRPr="004B4498" w:rsidRDefault="00D331A1" w:rsidP="00DD2D50">
            <w:pPr>
              <w:jc w:val="right"/>
              <w:rPr>
                <w:rFonts w:ascii="Arial" w:hAnsi="Arial" w:cs="Arial"/>
                <w:b/>
                <w:bCs/>
                <w:color w:val="000000" w:themeColor="text1"/>
                <w:sz w:val="17"/>
                <w:szCs w:val="17"/>
              </w:rPr>
            </w:pPr>
          </w:p>
        </w:tc>
        <w:tc>
          <w:tcPr>
            <w:tcW w:w="993" w:type="dxa"/>
            <w:tcBorders>
              <w:top w:val="nil"/>
              <w:left w:val="nil"/>
              <w:bottom w:val="nil"/>
              <w:right w:val="nil"/>
            </w:tcBorders>
            <w:shd w:val="clear" w:color="auto" w:fill="auto"/>
            <w:noWrap/>
            <w:vAlign w:val="bottom"/>
          </w:tcPr>
          <w:p w14:paraId="11F98205" w14:textId="77777777" w:rsidR="00D331A1" w:rsidRPr="004B4498" w:rsidRDefault="00D331A1" w:rsidP="00DD2D50">
            <w:pPr>
              <w:jc w:val="right"/>
              <w:rPr>
                <w:rFonts w:ascii="Arial" w:hAnsi="Arial" w:cs="Arial"/>
                <w:b/>
                <w:bCs/>
                <w:color w:val="000000" w:themeColor="text1"/>
                <w:sz w:val="17"/>
                <w:szCs w:val="17"/>
              </w:rPr>
            </w:pPr>
          </w:p>
        </w:tc>
        <w:tc>
          <w:tcPr>
            <w:tcW w:w="994" w:type="dxa"/>
            <w:tcBorders>
              <w:top w:val="nil"/>
              <w:left w:val="nil"/>
              <w:bottom w:val="nil"/>
              <w:right w:val="nil"/>
            </w:tcBorders>
            <w:shd w:val="clear" w:color="auto" w:fill="auto"/>
            <w:noWrap/>
            <w:vAlign w:val="bottom"/>
          </w:tcPr>
          <w:p w14:paraId="2BFDAC8B" w14:textId="77777777" w:rsidR="00D331A1" w:rsidRPr="004B4498" w:rsidRDefault="00D331A1" w:rsidP="00DD2D50">
            <w:pPr>
              <w:jc w:val="right"/>
              <w:rPr>
                <w:rFonts w:ascii="Arial" w:hAnsi="Arial" w:cs="Arial"/>
                <w:b/>
                <w:bCs/>
                <w:color w:val="000000" w:themeColor="text1"/>
                <w:sz w:val="17"/>
                <w:szCs w:val="17"/>
              </w:rPr>
            </w:pPr>
          </w:p>
        </w:tc>
      </w:tr>
      <w:tr w:rsidR="00D331A1" w:rsidRPr="00BB3F2C" w14:paraId="01F193FE" w14:textId="77777777" w:rsidTr="00DD2D50">
        <w:trPr>
          <w:trHeight w:val="461"/>
        </w:trPr>
        <w:tc>
          <w:tcPr>
            <w:tcW w:w="1814" w:type="dxa"/>
            <w:tcBorders>
              <w:top w:val="nil"/>
              <w:left w:val="nil"/>
              <w:bottom w:val="nil"/>
              <w:right w:val="nil"/>
            </w:tcBorders>
            <w:shd w:val="clear" w:color="auto" w:fill="auto"/>
            <w:noWrap/>
            <w:vAlign w:val="bottom"/>
            <w:hideMark/>
          </w:tcPr>
          <w:p w14:paraId="1C26D8DB" w14:textId="77777777" w:rsidR="00D331A1" w:rsidRPr="004B4498" w:rsidRDefault="00D331A1" w:rsidP="00DD2D50">
            <w:pPr>
              <w:rPr>
                <w:rFonts w:ascii="Arial" w:hAnsi="Arial" w:cs="Arial"/>
                <w:color w:val="000000" w:themeColor="text1"/>
                <w:sz w:val="17"/>
                <w:szCs w:val="17"/>
              </w:rPr>
            </w:pPr>
            <w:r w:rsidRPr="004B4498">
              <w:rPr>
                <w:rFonts w:ascii="Arial" w:hAnsi="Arial" w:cs="Arial"/>
                <w:color w:val="000000" w:themeColor="text1"/>
                <w:sz w:val="17"/>
                <w:szCs w:val="17"/>
              </w:rPr>
              <w:t>Bruto iznos</w:t>
            </w:r>
          </w:p>
        </w:tc>
        <w:tc>
          <w:tcPr>
            <w:tcW w:w="993" w:type="dxa"/>
            <w:tcBorders>
              <w:top w:val="nil"/>
              <w:left w:val="nil"/>
              <w:bottom w:val="nil"/>
              <w:right w:val="nil"/>
            </w:tcBorders>
            <w:shd w:val="clear" w:color="auto" w:fill="auto"/>
            <w:noWrap/>
            <w:vAlign w:val="bottom"/>
          </w:tcPr>
          <w:p w14:paraId="195A140A" w14:textId="77777777" w:rsidR="00D331A1" w:rsidRPr="00BF5D37" w:rsidRDefault="00D331A1" w:rsidP="00DD2D50">
            <w:pPr>
              <w:jc w:val="right"/>
              <w:rPr>
                <w:rFonts w:ascii="Arial" w:hAnsi="Arial" w:cs="Arial"/>
                <w:sz w:val="17"/>
                <w:szCs w:val="17"/>
              </w:rPr>
            </w:pPr>
            <w:r w:rsidRPr="00AA3587">
              <w:rPr>
                <w:rFonts w:ascii="Arial" w:hAnsi="Arial" w:cs="Arial"/>
                <w:sz w:val="17"/>
                <w:szCs w:val="17"/>
              </w:rPr>
              <w:t>227.239</w:t>
            </w:r>
          </w:p>
        </w:tc>
        <w:tc>
          <w:tcPr>
            <w:tcW w:w="994" w:type="dxa"/>
            <w:tcBorders>
              <w:top w:val="nil"/>
              <w:left w:val="nil"/>
              <w:bottom w:val="nil"/>
              <w:right w:val="nil"/>
            </w:tcBorders>
            <w:shd w:val="clear" w:color="auto" w:fill="auto"/>
            <w:noWrap/>
            <w:vAlign w:val="bottom"/>
          </w:tcPr>
          <w:p w14:paraId="2FBF8C3D" w14:textId="77777777" w:rsidR="00D331A1" w:rsidRPr="00BF5D37" w:rsidRDefault="00D331A1" w:rsidP="00DD2D50">
            <w:pPr>
              <w:jc w:val="right"/>
              <w:rPr>
                <w:rFonts w:ascii="Arial" w:hAnsi="Arial" w:cs="Arial"/>
                <w:sz w:val="17"/>
                <w:szCs w:val="17"/>
              </w:rPr>
            </w:pPr>
            <w:r>
              <w:rPr>
                <w:rFonts w:ascii="Arial" w:hAnsi="Arial" w:cs="Arial"/>
                <w:sz w:val="17"/>
                <w:szCs w:val="17"/>
              </w:rPr>
              <w:t>-</w:t>
            </w:r>
          </w:p>
        </w:tc>
        <w:tc>
          <w:tcPr>
            <w:tcW w:w="993" w:type="dxa"/>
            <w:tcBorders>
              <w:top w:val="nil"/>
              <w:left w:val="nil"/>
              <w:bottom w:val="nil"/>
              <w:right w:val="nil"/>
            </w:tcBorders>
            <w:shd w:val="clear" w:color="auto" w:fill="auto"/>
            <w:noWrap/>
            <w:vAlign w:val="bottom"/>
          </w:tcPr>
          <w:p w14:paraId="6273DA5F" w14:textId="77777777" w:rsidR="00D331A1" w:rsidRPr="00BF5D37" w:rsidRDefault="00D331A1" w:rsidP="00DD2D50">
            <w:pPr>
              <w:jc w:val="right"/>
              <w:rPr>
                <w:rFonts w:ascii="Arial" w:hAnsi="Arial" w:cs="Arial"/>
                <w:sz w:val="17"/>
                <w:szCs w:val="17"/>
              </w:rPr>
            </w:pPr>
            <w:r>
              <w:rPr>
                <w:rFonts w:ascii="Arial" w:hAnsi="Arial" w:cs="Arial"/>
                <w:sz w:val="17"/>
                <w:szCs w:val="17"/>
              </w:rPr>
              <w:t>195</w:t>
            </w:r>
          </w:p>
        </w:tc>
        <w:tc>
          <w:tcPr>
            <w:tcW w:w="994" w:type="dxa"/>
            <w:tcBorders>
              <w:top w:val="nil"/>
              <w:left w:val="nil"/>
              <w:bottom w:val="nil"/>
              <w:right w:val="nil"/>
            </w:tcBorders>
            <w:shd w:val="clear" w:color="auto" w:fill="auto"/>
            <w:noWrap/>
            <w:vAlign w:val="bottom"/>
          </w:tcPr>
          <w:p w14:paraId="118D6307" w14:textId="77777777" w:rsidR="00D331A1" w:rsidRPr="00C855D7" w:rsidRDefault="00D331A1" w:rsidP="00DD2D50">
            <w:pPr>
              <w:jc w:val="right"/>
              <w:rPr>
                <w:rFonts w:ascii="Arial" w:hAnsi="Arial" w:cs="Arial"/>
                <w:b/>
                <w:bCs/>
                <w:sz w:val="17"/>
                <w:szCs w:val="17"/>
              </w:rPr>
            </w:pPr>
            <w:r w:rsidRPr="00AA3587">
              <w:rPr>
                <w:rFonts w:ascii="Arial" w:hAnsi="Arial" w:cs="Arial"/>
                <w:b/>
                <w:bCs/>
                <w:sz w:val="17"/>
                <w:szCs w:val="17"/>
              </w:rPr>
              <w:t>227.434</w:t>
            </w:r>
          </w:p>
        </w:tc>
        <w:tc>
          <w:tcPr>
            <w:tcW w:w="993" w:type="dxa"/>
            <w:tcBorders>
              <w:top w:val="nil"/>
              <w:left w:val="nil"/>
              <w:bottom w:val="nil"/>
              <w:right w:val="nil"/>
            </w:tcBorders>
            <w:shd w:val="clear" w:color="auto" w:fill="auto"/>
            <w:noWrap/>
            <w:vAlign w:val="bottom"/>
          </w:tcPr>
          <w:p w14:paraId="781CC853" w14:textId="77777777" w:rsidR="00D331A1" w:rsidRPr="00BF5D37" w:rsidRDefault="00D331A1" w:rsidP="00DD2D50">
            <w:pPr>
              <w:jc w:val="right"/>
              <w:rPr>
                <w:rFonts w:ascii="Arial" w:hAnsi="Arial" w:cs="Arial"/>
                <w:sz w:val="17"/>
                <w:szCs w:val="17"/>
              </w:rPr>
            </w:pPr>
            <w:r w:rsidRPr="00267853">
              <w:rPr>
                <w:rFonts w:ascii="Arial" w:hAnsi="Arial" w:cs="Arial"/>
                <w:sz w:val="17"/>
                <w:szCs w:val="17"/>
              </w:rPr>
              <w:t>220.898</w:t>
            </w:r>
          </w:p>
        </w:tc>
        <w:tc>
          <w:tcPr>
            <w:tcW w:w="994" w:type="dxa"/>
            <w:tcBorders>
              <w:top w:val="nil"/>
              <w:left w:val="nil"/>
              <w:bottom w:val="nil"/>
              <w:right w:val="nil"/>
            </w:tcBorders>
            <w:shd w:val="clear" w:color="auto" w:fill="auto"/>
            <w:noWrap/>
            <w:vAlign w:val="bottom"/>
          </w:tcPr>
          <w:p w14:paraId="033E0E9E" w14:textId="77777777" w:rsidR="00D331A1" w:rsidRPr="00BF5D37" w:rsidRDefault="00D331A1" w:rsidP="00DD2D50">
            <w:pPr>
              <w:jc w:val="right"/>
              <w:rPr>
                <w:rFonts w:ascii="Arial" w:hAnsi="Arial" w:cs="Arial"/>
                <w:sz w:val="17"/>
                <w:szCs w:val="17"/>
              </w:rPr>
            </w:pPr>
            <w:r>
              <w:rPr>
                <w:rFonts w:ascii="Arial" w:hAnsi="Arial" w:cs="Arial"/>
                <w:sz w:val="17"/>
                <w:szCs w:val="17"/>
              </w:rPr>
              <w:t>-</w:t>
            </w:r>
          </w:p>
        </w:tc>
        <w:tc>
          <w:tcPr>
            <w:tcW w:w="993" w:type="dxa"/>
            <w:tcBorders>
              <w:top w:val="nil"/>
              <w:left w:val="nil"/>
              <w:bottom w:val="nil"/>
              <w:right w:val="nil"/>
            </w:tcBorders>
            <w:shd w:val="clear" w:color="auto" w:fill="auto"/>
            <w:noWrap/>
            <w:vAlign w:val="bottom"/>
          </w:tcPr>
          <w:p w14:paraId="7EC37D9D" w14:textId="77777777" w:rsidR="00D331A1" w:rsidRPr="00BF5D37" w:rsidRDefault="00D331A1" w:rsidP="00DD2D50">
            <w:pPr>
              <w:jc w:val="right"/>
              <w:rPr>
                <w:rFonts w:ascii="Arial" w:hAnsi="Arial" w:cs="Arial"/>
                <w:sz w:val="17"/>
                <w:szCs w:val="17"/>
              </w:rPr>
            </w:pPr>
            <w:r>
              <w:rPr>
                <w:rFonts w:ascii="Arial" w:hAnsi="Arial" w:cs="Arial"/>
                <w:sz w:val="17"/>
                <w:szCs w:val="17"/>
              </w:rPr>
              <w:t>195</w:t>
            </w:r>
          </w:p>
        </w:tc>
        <w:tc>
          <w:tcPr>
            <w:tcW w:w="994" w:type="dxa"/>
            <w:tcBorders>
              <w:top w:val="nil"/>
              <w:left w:val="nil"/>
              <w:bottom w:val="nil"/>
              <w:right w:val="nil"/>
            </w:tcBorders>
            <w:shd w:val="clear" w:color="auto" w:fill="auto"/>
            <w:noWrap/>
            <w:vAlign w:val="bottom"/>
          </w:tcPr>
          <w:p w14:paraId="2CB6F569" w14:textId="77777777" w:rsidR="00D331A1" w:rsidRPr="00C855D7" w:rsidRDefault="00D331A1" w:rsidP="00DD2D50">
            <w:pPr>
              <w:jc w:val="right"/>
              <w:rPr>
                <w:rFonts w:ascii="Arial" w:hAnsi="Arial" w:cs="Arial"/>
                <w:b/>
                <w:bCs/>
                <w:sz w:val="17"/>
                <w:szCs w:val="17"/>
              </w:rPr>
            </w:pPr>
            <w:r w:rsidRPr="00267853">
              <w:rPr>
                <w:rFonts w:ascii="Arial" w:hAnsi="Arial" w:cs="Arial"/>
                <w:b/>
                <w:bCs/>
                <w:sz w:val="17"/>
                <w:szCs w:val="17"/>
              </w:rPr>
              <w:t>221.093</w:t>
            </w:r>
          </w:p>
        </w:tc>
      </w:tr>
      <w:tr w:rsidR="00D331A1" w:rsidRPr="00BB3F2C" w14:paraId="342B7904" w14:textId="77777777" w:rsidTr="00DD2D50">
        <w:trPr>
          <w:trHeight w:val="285"/>
        </w:trPr>
        <w:tc>
          <w:tcPr>
            <w:tcW w:w="1814" w:type="dxa"/>
            <w:tcBorders>
              <w:top w:val="nil"/>
              <w:left w:val="nil"/>
              <w:bottom w:val="nil"/>
              <w:right w:val="nil"/>
            </w:tcBorders>
            <w:shd w:val="clear" w:color="auto" w:fill="auto"/>
            <w:noWrap/>
            <w:vAlign w:val="bottom"/>
            <w:hideMark/>
          </w:tcPr>
          <w:p w14:paraId="2BC71865" w14:textId="77777777" w:rsidR="00D331A1" w:rsidRPr="004B4498" w:rsidRDefault="00D331A1" w:rsidP="00DD2D50">
            <w:pPr>
              <w:rPr>
                <w:rFonts w:ascii="Arial" w:hAnsi="Arial" w:cs="Arial"/>
                <w:b/>
                <w:bCs/>
                <w:color w:val="000000" w:themeColor="text1"/>
                <w:sz w:val="17"/>
                <w:szCs w:val="17"/>
              </w:rPr>
            </w:pPr>
            <w:r w:rsidRPr="004B4498">
              <w:rPr>
                <w:rFonts w:ascii="Arial" w:hAnsi="Arial" w:cs="Arial"/>
                <w:b/>
                <w:bCs/>
                <w:color w:val="000000" w:themeColor="text1"/>
                <w:sz w:val="17"/>
                <w:szCs w:val="17"/>
              </w:rPr>
              <w:t xml:space="preserve">Stanje na dan </w:t>
            </w:r>
          </w:p>
          <w:p w14:paraId="0FFF991D" w14:textId="77777777" w:rsidR="00D331A1" w:rsidRPr="004B4498" w:rsidRDefault="00D331A1" w:rsidP="00DD2D50">
            <w:pPr>
              <w:rPr>
                <w:rFonts w:ascii="Arial" w:hAnsi="Arial" w:cs="Arial"/>
                <w:b/>
                <w:bCs/>
                <w:color w:val="000000" w:themeColor="text1"/>
                <w:sz w:val="17"/>
                <w:szCs w:val="17"/>
              </w:rPr>
            </w:pPr>
            <w:r w:rsidRPr="004B4498">
              <w:rPr>
                <w:rFonts w:ascii="Arial" w:hAnsi="Arial" w:cs="Arial"/>
                <w:b/>
                <w:bCs/>
                <w:color w:val="000000" w:themeColor="text1"/>
                <w:sz w:val="17"/>
                <w:szCs w:val="17"/>
              </w:rPr>
              <w:t>31. prosinca 202</w:t>
            </w:r>
            <w:r>
              <w:rPr>
                <w:rFonts w:ascii="Arial" w:hAnsi="Arial" w:cs="Arial"/>
                <w:b/>
                <w:bCs/>
                <w:color w:val="000000" w:themeColor="text1"/>
                <w:sz w:val="17"/>
                <w:szCs w:val="17"/>
              </w:rPr>
              <w:t>3</w:t>
            </w:r>
            <w:r w:rsidRPr="004B4498">
              <w:rPr>
                <w:rFonts w:ascii="Arial" w:hAnsi="Arial" w:cs="Arial"/>
                <w:b/>
                <w:bCs/>
                <w:color w:val="000000" w:themeColor="text1"/>
                <w:sz w:val="17"/>
                <w:szCs w:val="17"/>
              </w:rPr>
              <w:t xml:space="preserve">. </w:t>
            </w:r>
          </w:p>
        </w:tc>
        <w:tc>
          <w:tcPr>
            <w:tcW w:w="993" w:type="dxa"/>
            <w:tcBorders>
              <w:top w:val="single" w:sz="4" w:space="0" w:color="auto"/>
              <w:left w:val="nil"/>
              <w:bottom w:val="single" w:sz="12" w:space="0" w:color="auto"/>
              <w:right w:val="nil"/>
            </w:tcBorders>
            <w:shd w:val="clear" w:color="auto" w:fill="auto"/>
            <w:noWrap/>
            <w:vAlign w:val="bottom"/>
          </w:tcPr>
          <w:p w14:paraId="5BA19D6A" w14:textId="77777777" w:rsidR="00D331A1" w:rsidRPr="00BF5D37" w:rsidRDefault="00D331A1" w:rsidP="00DD2D50">
            <w:pPr>
              <w:jc w:val="right"/>
              <w:rPr>
                <w:rFonts w:ascii="Arial" w:hAnsi="Arial" w:cs="Arial"/>
                <w:b/>
                <w:bCs/>
                <w:sz w:val="17"/>
                <w:szCs w:val="17"/>
              </w:rPr>
            </w:pPr>
            <w:r w:rsidRPr="00AA3587">
              <w:rPr>
                <w:rFonts w:ascii="Arial" w:hAnsi="Arial" w:cs="Arial"/>
                <w:b/>
                <w:bCs/>
                <w:sz w:val="17"/>
                <w:szCs w:val="17"/>
              </w:rPr>
              <w:t>227.239</w:t>
            </w:r>
          </w:p>
        </w:tc>
        <w:tc>
          <w:tcPr>
            <w:tcW w:w="994" w:type="dxa"/>
            <w:tcBorders>
              <w:top w:val="single" w:sz="4" w:space="0" w:color="auto"/>
              <w:left w:val="nil"/>
              <w:bottom w:val="single" w:sz="12" w:space="0" w:color="auto"/>
              <w:right w:val="nil"/>
            </w:tcBorders>
            <w:shd w:val="clear" w:color="auto" w:fill="auto"/>
            <w:noWrap/>
            <w:vAlign w:val="bottom"/>
          </w:tcPr>
          <w:p w14:paraId="6220C7F8" w14:textId="77777777" w:rsidR="00D331A1" w:rsidRPr="00BF5D37" w:rsidRDefault="00D331A1" w:rsidP="00DD2D50">
            <w:pPr>
              <w:jc w:val="right"/>
              <w:rPr>
                <w:rFonts w:ascii="Arial" w:hAnsi="Arial" w:cs="Arial"/>
                <w:b/>
                <w:bCs/>
                <w:sz w:val="17"/>
                <w:szCs w:val="17"/>
              </w:rPr>
            </w:pPr>
            <w:r>
              <w:rPr>
                <w:rFonts w:ascii="Arial" w:hAnsi="Arial" w:cs="Arial"/>
                <w:b/>
                <w:bCs/>
                <w:sz w:val="17"/>
                <w:szCs w:val="17"/>
              </w:rPr>
              <w:t>-</w:t>
            </w:r>
          </w:p>
        </w:tc>
        <w:tc>
          <w:tcPr>
            <w:tcW w:w="993" w:type="dxa"/>
            <w:tcBorders>
              <w:top w:val="single" w:sz="4" w:space="0" w:color="auto"/>
              <w:left w:val="nil"/>
              <w:bottom w:val="single" w:sz="12" w:space="0" w:color="auto"/>
              <w:right w:val="nil"/>
            </w:tcBorders>
            <w:shd w:val="clear" w:color="auto" w:fill="auto"/>
            <w:noWrap/>
            <w:vAlign w:val="bottom"/>
          </w:tcPr>
          <w:p w14:paraId="1EA4547B" w14:textId="77777777" w:rsidR="00D331A1" w:rsidRPr="00BF5D37" w:rsidRDefault="00D331A1" w:rsidP="00DD2D50">
            <w:pPr>
              <w:jc w:val="right"/>
              <w:rPr>
                <w:rFonts w:ascii="Arial" w:hAnsi="Arial" w:cs="Arial"/>
                <w:b/>
                <w:bCs/>
                <w:sz w:val="17"/>
                <w:szCs w:val="17"/>
              </w:rPr>
            </w:pPr>
            <w:r>
              <w:rPr>
                <w:rFonts w:ascii="Arial" w:hAnsi="Arial" w:cs="Arial"/>
                <w:b/>
                <w:bCs/>
                <w:sz w:val="17"/>
                <w:szCs w:val="17"/>
              </w:rPr>
              <w:t>195</w:t>
            </w:r>
          </w:p>
        </w:tc>
        <w:tc>
          <w:tcPr>
            <w:tcW w:w="994" w:type="dxa"/>
            <w:tcBorders>
              <w:top w:val="single" w:sz="4" w:space="0" w:color="auto"/>
              <w:left w:val="nil"/>
              <w:bottom w:val="single" w:sz="12" w:space="0" w:color="auto"/>
              <w:right w:val="nil"/>
            </w:tcBorders>
            <w:shd w:val="clear" w:color="auto" w:fill="auto"/>
            <w:noWrap/>
            <w:vAlign w:val="bottom"/>
          </w:tcPr>
          <w:p w14:paraId="2149AEEE" w14:textId="77777777" w:rsidR="00D331A1" w:rsidRPr="00C855D7" w:rsidRDefault="00D331A1" w:rsidP="00DD2D50">
            <w:pPr>
              <w:jc w:val="right"/>
              <w:rPr>
                <w:rFonts w:ascii="Arial" w:hAnsi="Arial" w:cs="Arial"/>
                <w:b/>
                <w:bCs/>
                <w:sz w:val="17"/>
                <w:szCs w:val="17"/>
              </w:rPr>
            </w:pPr>
            <w:r w:rsidRPr="00AA3587">
              <w:rPr>
                <w:rFonts w:ascii="Arial" w:hAnsi="Arial" w:cs="Arial"/>
                <w:b/>
                <w:bCs/>
                <w:sz w:val="17"/>
                <w:szCs w:val="17"/>
              </w:rPr>
              <w:t>227.434</w:t>
            </w:r>
          </w:p>
        </w:tc>
        <w:tc>
          <w:tcPr>
            <w:tcW w:w="993" w:type="dxa"/>
            <w:tcBorders>
              <w:top w:val="single" w:sz="4" w:space="0" w:color="auto"/>
              <w:left w:val="nil"/>
              <w:bottom w:val="single" w:sz="12" w:space="0" w:color="auto"/>
              <w:right w:val="nil"/>
            </w:tcBorders>
            <w:shd w:val="clear" w:color="auto" w:fill="auto"/>
            <w:noWrap/>
            <w:vAlign w:val="bottom"/>
          </w:tcPr>
          <w:p w14:paraId="22C89570" w14:textId="77777777" w:rsidR="00D331A1" w:rsidRPr="00BF5D37" w:rsidRDefault="00D331A1" w:rsidP="00DD2D50">
            <w:pPr>
              <w:jc w:val="right"/>
              <w:rPr>
                <w:rFonts w:ascii="Arial" w:hAnsi="Arial" w:cs="Arial"/>
                <w:b/>
                <w:bCs/>
                <w:sz w:val="17"/>
                <w:szCs w:val="17"/>
              </w:rPr>
            </w:pPr>
            <w:r w:rsidRPr="00267853">
              <w:rPr>
                <w:rFonts w:ascii="Arial" w:hAnsi="Arial" w:cs="Arial"/>
                <w:b/>
                <w:bCs/>
                <w:sz w:val="17"/>
                <w:szCs w:val="17"/>
              </w:rPr>
              <w:t>220.898</w:t>
            </w:r>
          </w:p>
        </w:tc>
        <w:tc>
          <w:tcPr>
            <w:tcW w:w="994" w:type="dxa"/>
            <w:tcBorders>
              <w:top w:val="single" w:sz="4" w:space="0" w:color="auto"/>
              <w:left w:val="nil"/>
              <w:bottom w:val="single" w:sz="12" w:space="0" w:color="auto"/>
              <w:right w:val="nil"/>
            </w:tcBorders>
            <w:shd w:val="clear" w:color="auto" w:fill="auto"/>
            <w:noWrap/>
            <w:vAlign w:val="bottom"/>
          </w:tcPr>
          <w:p w14:paraId="0419AD47" w14:textId="77777777" w:rsidR="00D331A1" w:rsidRPr="00BF5D37" w:rsidRDefault="00D331A1" w:rsidP="00DD2D50">
            <w:pPr>
              <w:jc w:val="right"/>
              <w:rPr>
                <w:rFonts w:ascii="Arial" w:hAnsi="Arial" w:cs="Arial"/>
                <w:b/>
                <w:bCs/>
                <w:sz w:val="17"/>
                <w:szCs w:val="17"/>
              </w:rPr>
            </w:pPr>
            <w:r>
              <w:rPr>
                <w:rFonts w:ascii="Arial" w:hAnsi="Arial" w:cs="Arial"/>
                <w:b/>
                <w:bCs/>
                <w:sz w:val="17"/>
                <w:szCs w:val="17"/>
              </w:rPr>
              <w:t>-</w:t>
            </w:r>
          </w:p>
        </w:tc>
        <w:tc>
          <w:tcPr>
            <w:tcW w:w="993" w:type="dxa"/>
            <w:tcBorders>
              <w:top w:val="single" w:sz="4" w:space="0" w:color="auto"/>
              <w:left w:val="nil"/>
              <w:bottom w:val="single" w:sz="12" w:space="0" w:color="auto"/>
              <w:right w:val="nil"/>
            </w:tcBorders>
            <w:shd w:val="clear" w:color="auto" w:fill="auto"/>
            <w:noWrap/>
            <w:vAlign w:val="bottom"/>
          </w:tcPr>
          <w:p w14:paraId="68192A1F" w14:textId="77777777" w:rsidR="00D331A1" w:rsidRPr="00BF5D37" w:rsidRDefault="00D331A1" w:rsidP="00DD2D50">
            <w:pPr>
              <w:jc w:val="right"/>
              <w:rPr>
                <w:rFonts w:ascii="Arial" w:hAnsi="Arial" w:cs="Arial"/>
                <w:b/>
                <w:bCs/>
                <w:sz w:val="17"/>
                <w:szCs w:val="17"/>
              </w:rPr>
            </w:pPr>
            <w:r>
              <w:rPr>
                <w:rFonts w:ascii="Arial" w:hAnsi="Arial" w:cs="Arial"/>
                <w:b/>
                <w:bCs/>
                <w:sz w:val="17"/>
                <w:szCs w:val="17"/>
              </w:rPr>
              <w:t>195</w:t>
            </w:r>
          </w:p>
        </w:tc>
        <w:tc>
          <w:tcPr>
            <w:tcW w:w="994" w:type="dxa"/>
            <w:tcBorders>
              <w:top w:val="single" w:sz="4" w:space="0" w:color="auto"/>
              <w:left w:val="nil"/>
              <w:bottom w:val="single" w:sz="12" w:space="0" w:color="auto"/>
              <w:right w:val="nil"/>
            </w:tcBorders>
            <w:shd w:val="clear" w:color="auto" w:fill="auto"/>
            <w:noWrap/>
            <w:vAlign w:val="bottom"/>
          </w:tcPr>
          <w:p w14:paraId="2871E358" w14:textId="77777777" w:rsidR="00D331A1" w:rsidRPr="00C855D7" w:rsidRDefault="00D331A1" w:rsidP="00DD2D50">
            <w:pPr>
              <w:jc w:val="right"/>
              <w:rPr>
                <w:rFonts w:ascii="Arial" w:hAnsi="Arial" w:cs="Arial"/>
                <w:b/>
                <w:bCs/>
                <w:sz w:val="17"/>
                <w:szCs w:val="17"/>
              </w:rPr>
            </w:pPr>
            <w:r w:rsidRPr="00267853">
              <w:rPr>
                <w:rFonts w:ascii="Arial" w:hAnsi="Arial" w:cs="Arial"/>
                <w:b/>
                <w:bCs/>
                <w:sz w:val="17"/>
                <w:szCs w:val="17"/>
              </w:rPr>
              <w:t>221.093</w:t>
            </w:r>
          </w:p>
        </w:tc>
      </w:tr>
    </w:tbl>
    <w:p w14:paraId="1AE5DCE6" w14:textId="77777777" w:rsidR="001B247D" w:rsidRPr="006A263A" w:rsidRDefault="001B247D" w:rsidP="001B247D">
      <w:pPr>
        <w:suppressAutoHyphens/>
        <w:autoSpaceDN w:val="0"/>
        <w:jc w:val="both"/>
        <w:outlineLvl w:val="0"/>
        <w:rPr>
          <w:rFonts w:ascii="Arial" w:eastAsia="Times New Roman" w:hAnsi="Arial" w:cs="Arial"/>
          <w:b/>
          <w:bCs/>
          <w:color w:val="000000" w:themeColor="text1"/>
          <w:sz w:val="20"/>
          <w:szCs w:val="20"/>
        </w:rPr>
      </w:pPr>
    </w:p>
    <w:p w14:paraId="7F58159A" w14:textId="77777777" w:rsidR="001B247D" w:rsidRPr="003D1614" w:rsidRDefault="001B247D" w:rsidP="001B247D">
      <w:pPr>
        <w:suppressAutoHyphens/>
        <w:autoSpaceDN w:val="0"/>
        <w:jc w:val="both"/>
        <w:outlineLvl w:val="0"/>
        <w:rPr>
          <w:rFonts w:ascii="Arial" w:eastAsia="Times New Roman" w:hAnsi="Arial" w:cs="Arial"/>
          <w:b/>
          <w:bCs/>
          <w:color w:val="000000" w:themeColor="text1"/>
          <w:sz w:val="20"/>
          <w:szCs w:val="20"/>
        </w:rPr>
      </w:pPr>
    </w:p>
    <w:p w14:paraId="7141C208" w14:textId="77777777" w:rsidR="001B247D" w:rsidRPr="003D1614" w:rsidRDefault="001B247D" w:rsidP="001B247D">
      <w:pPr>
        <w:suppressAutoHyphens/>
        <w:autoSpaceDN w:val="0"/>
        <w:jc w:val="both"/>
        <w:outlineLvl w:val="0"/>
        <w:rPr>
          <w:rFonts w:ascii="Arial" w:eastAsia="Calibri" w:hAnsi="Arial" w:cs="Arial"/>
          <w:bCs/>
          <w:color w:val="000000" w:themeColor="text1"/>
          <w:sz w:val="20"/>
          <w:szCs w:val="20"/>
        </w:rPr>
      </w:pPr>
      <w:r w:rsidRPr="003D1614">
        <w:rPr>
          <w:rFonts w:ascii="Arial" w:eastAsia="Calibri" w:hAnsi="Arial" w:cs="Arial"/>
          <w:bCs/>
          <w:color w:val="000000" w:themeColor="text1"/>
          <w:sz w:val="20"/>
          <w:szCs w:val="20"/>
        </w:rPr>
        <w:t>Promjene na rezerviranjima za kreditne gubitke po financijskoj imovini po fer vrijednosti kroz ostalu sveobuhvatnu dobit, a koji ne umanjuju knjigovodstvenu vrijednost imovine, mogu se prikazati kako slijedi:</w:t>
      </w:r>
    </w:p>
    <w:p w14:paraId="02BDAE50" w14:textId="77777777" w:rsidR="001B247D" w:rsidRPr="003D1614" w:rsidRDefault="001B247D" w:rsidP="001B247D">
      <w:pPr>
        <w:suppressAutoHyphens/>
        <w:autoSpaceDN w:val="0"/>
        <w:jc w:val="both"/>
        <w:outlineLvl w:val="0"/>
        <w:rPr>
          <w:rFonts w:ascii="Arial" w:eastAsia="Times New Roman" w:hAnsi="Arial" w:cs="Arial"/>
          <w:b/>
          <w:bCs/>
          <w:color w:val="000000" w:themeColor="text1"/>
          <w:sz w:val="20"/>
          <w:szCs w:val="20"/>
        </w:rPr>
      </w:pPr>
    </w:p>
    <w:tbl>
      <w:tblPr>
        <w:tblW w:w="9584" w:type="dxa"/>
        <w:tblInd w:w="-142" w:type="dxa"/>
        <w:tblLook w:val="04A0" w:firstRow="1" w:lastRow="0" w:firstColumn="1" w:lastColumn="0" w:noHBand="0" w:noVBand="1"/>
      </w:tblPr>
      <w:tblGrid>
        <w:gridCol w:w="4820"/>
        <w:gridCol w:w="1191"/>
        <w:gridCol w:w="1191"/>
        <w:gridCol w:w="1191"/>
        <w:gridCol w:w="1191"/>
      </w:tblGrid>
      <w:tr w:rsidR="001B247D" w:rsidRPr="0073449B" w14:paraId="702124F5" w14:textId="77777777" w:rsidTr="0073449B">
        <w:trPr>
          <w:trHeight w:val="243"/>
        </w:trPr>
        <w:tc>
          <w:tcPr>
            <w:tcW w:w="4820" w:type="dxa"/>
            <w:tcBorders>
              <w:top w:val="nil"/>
              <w:left w:val="nil"/>
              <w:bottom w:val="nil"/>
              <w:right w:val="nil"/>
            </w:tcBorders>
            <w:shd w:val="clear" w:color="auto" w:fill="auto"/>
            <w:noWrap/>
            <w:vAlign w:val="bottom"/>
            <w:hideMark/>
          </w:tcPr>
          <w:p w14:paraId="41D4DADA" w14:textId="77777777" w:rsidR="001B247D" w:rsidRPr="0073449B" w:rsidRDefault="001B247D" w:rsidP="001B247D">
            <w:pPr>
              <w:suppressAutoHyphens/>
              <w:autoSpaceDN w:val="0"/>
              <w:rPr>
                <w:rFonts w:ascii="Arial" w:eastAsia="Calibri" w:hAnsi="Arial" w:cs="Arial"/>
                <w:color w:val="000000" w:themeColor="text1"/>
                <w:sz w:val="19"/>
                <w:szCs w:val="19"/>
              </w:rPr>
            </w:pPr>
          </w:p>
        </w:tc>
        <w:tc>
          <w:tcPr>
            <w:tcW w:w="2382" w:type="dxa"/>
            <w:gridSpan w:val="2"/>
            <w:tcBorders>
              <w:top w:val="nil"/>
              <w:left w:val="nil"/>
              <w:bottom w:val="nil"/>
              <w:right w:val="nil"/>
            </w:tcBorders>
            <w:shd w:val="clear" w:color="auto" w:fill="auto"/>
            <w:vAlign w:val="bottom"/>
            <w:hideMark/>
          </w:tcPr>
          <w:p w14:paraId="1DDCA1FC" w14:textId="77777777" w:rsidR="001B247D" w:rsidRPr="0073449B" w:rsidRDefault="001B247D" w:rsidP="001B247D">
            <w:pPr>
              <w:suppressAutoHyphens/>
              <w:autoSpaceDN w:val="0"/>
              <w:jc w:val="right"/>
              <w:rPr>
                <w:rFonts w:ascii="Arial" w:eastAsia="Calibri" w:hAnsi="Arial" w:cs="Arial"/>
                <w:b/>
                <w:bCs/>
                <w:color w:val="000000" w:themeColor="text1"/>
                <w:sz w:val="19"/>
                <w:szCs w:val="19"/>
              </w:rPr>
            </w:pPr>
            <w:r w:rsidRPr="0073449B">
              <w:rPr>
                <w:rFonts w:ascii="Arial" w:eastAsia="Calibri" w:hAnsi="Arial" w:cs="Arial"/>
                <w:b/>
                <w:bCs/>
                <w:color w:val="000000" w:themeColor="text1"/>
                <w:sz w:val="19"/>
                <w:szCs w:val="19"/>
              </w:rPr>
              <w:t>Grupa</w:t>
            </w:r>
          </w:p>
        </w:tc>
        <w:tc>
          <w:tcPr>
            <w:tcW w:w="2382" w:type="dxa"/>
            <w:gridSpan w:val="2"/>
            <w:tcBorders>
              <w:top w:val="nil"/>
              <w:left w:val="nil"/>
              <w:bottom w:val="nil"/>
              <w:right w:val="nil"/>
            </w:tcBorders>
            <w:shd w:val="clear" w:color="auto" w:fill="auto"/>
            <w:vAlign w:val="bottom"/>
            <w:hideMark/>
          </w:tcPr>
          <w:p w14:paraId="343F0149" w14:textId="77777777" w:rsidR="001B247D" w:rsidRPr="0073449B" w:rsidRDefault="001B247D" w:rsidP="001B247D">
            <w:pPr>
              <w:suppressAutoHyphens/>
              <w:autoSpaceDN w:val="0"/>
              <w:jc w:val="right"/>
              <w:rPr>
                <w:rFonts w:ascii="Arial" w:eastAsia="Calibri" w:hAnsi="Arial" w:cs="Arial"/>
                <w:b/>
                <w:bCs/>
                <w:color w:val="000000" w:themeColor="text1"/>
                <w:sz w:val="19"/>
                <w:szCs w:val="19"/>
              </w:rPr>
            </w:pPr>
            <w:r w:rsidRPr="0073449B">
              <w:rPr>
                <w:rFonts w:ascii="Arial" w:eastAsia="Calibri" w:hAnsi="Arial" w:cs="Arial"/>
                <w:b/>
                <w:bCs/>
                <w:color w:val="000000" w:themeColor="text1"/>
                <w:sz w:val="19"/>
                <w:szCs w:val="19"/>
              </w:rPr>
              <w:t>Banka</w:t>
            </w:r>
          </w:p>
        </w:tc>
      </w:tr>
      <w:tr w:rsidR="001B247D" w:rsidRPr="0073449B" w14:paraId="1C1442C1" w14:textId="77777777" w:rsidTr="0073449B">
        <w:trPr>
          <w:trHeight w:val="243"/>
        </w:trPr>
        <w:tc>
          <w:tcPr>
            <w:tcW w:w="4820" w:type="dxa"/>
            <w:tcBorders>
              <w:top w:val="nil"/>
              <w:left w:val="nil"/>
              <w:bottom w:val="nil"/>
              <w:right w:val="nil"/>
            </w:tcBorders>
            <w:shd w:val="clear" w:color="auto" w:fill="auto"/>
            <w:noWrap/>
            <w:vAlign w:val="bottom"/>
          </w:tcPr>
          <w:p w14:paraId="4293CA3B" w14:textId="77777777" w:rsidR="001B247D" w:rsidRPr="0073449B" w:rsidRDefault="001B247D" w:rsidP="001B247D">
            <w:pPr>
              <w:suppressAutoHyphens/>
              <w:autoSpaceDN w:val="0"/>
              <w:rPr>
                <w:rFonts w:ascii="Arial" w:eastAsia="Calibri" w:hAnsi="Arial" w:cs="Arial"/>
                <w:color w:val="000000" w:themeColor="text1"/>
                <w:sz w:val="19"/>
                <w:szCs w:val="19"/>
              </w:rPr>
            </w:pPr>
          </w:p>
        </w:tc>
        <w:tc>
          <w:tcPr>
            <w:tcW w:w="1191" w:type="dxa"/>
            <w:vAlign w:val="bottom"/>
          </w:tcPr>
          <w:p w14:paraId="3AC223C2" w14:textId="12B93709" w:rsidR="001B247D" w:rsidRPr="0073449B" w:rsidRDefault="001B247D" w:rsidP="001B247D">
            <w:pPr>
              <w:tabs>
                <w:tab w:val="right" w:pos="1202"/>
              </w:tabs>
              <w:suppressAutoHyphens/>
              <w:autoSpaceDN w:val="0"/>
              <w:jc w:val="right"/>
              <w:outlineLvl w:val="0"/>
              <w:rPr>
                <w:rFonts w:ascii="Arial" w:eastAsia="Times New Roman" w:hAnsi="Arial" w:cs="Arial"/>
                <w:b/>
                <w:color w:val="000000" w:themeColor="text1"/>
                <w:sz w:val="19"/>
                <w:szCs w:val="19"/>
              </w:rPr>
            </w:pPr>
            <w:bookmarkStart w:id="406" w:name="_Toc67328152"/>
            <w:r w:rsidRPr="0073449B">
              <w:rPr>
                <w:rFonts w:ascii="Arial" w:eastAsia="Times New Roman" w:hAnsi="Arial" w:cs="Arial"/>
                <w:b/>
                <w:color w:val="000000" w:themeColor="text1"/>
                <w:sz w:val="19"/>
                <w:szCs w:val="19"/>
              </w:rPr>
              <w:t>1.1.-</w:t>
            </w:r>
            <w:r w:rsidR="007C3C47" w:rsidRPr="0073449B">
              <w:rPr>
                <w:rFonts w:ascii="Arial" w:eastAsia="Times New Roman" w:hAnsi="Arial" w:cs="Arial"/>
                <w:b/>
                <w:color w:val="000000" w:themeColor="text1"/>
                <w:sz w:val="19"/>
                <w:szCs w:val="19"/>
              </w:rPr>
              <w:t>3</w:t>
            </w:r>
            <w:r w:rsidR="007C3C47">
              <w:rPr>
                <w:rFonts w:ascii="Arial" w:eastAsia="Times New Roman" w:hAnsi="Arial" w:cs="Arial"/>
                <w:b/>
                <w:color w:val="000000" w:themeColor="text1"/>
                <w:sz w:val="19"/>
                <w:szCs w:val="19"/>
              </w:rPr>
              <w:t>0</w:t>
            </w:r>
            <w:r w:rsidRPr="0073449B">
              <w:rPr>
                <w:rFonts w:ascii="Arial" w:eastAsia="Times New Roman" w:hAnsi="Arial" w:cs="Arial"/>
                <w:b/>
                <w:color w:val="000000" w:themeColor="text1"/>
                <w:sz w:val="19"/>
                <w:szCs w:val="19"/>
              </w:rPr>
              <w:t>.</w:t>
            </w:r>
            <w:r w:rsidR="00C60785">
              <w:rPr>
                <w:rFonts w:ascii="Arial" w:eastAsia="Times New Roman" w:hAnsi="Arial" w:cs="Arial"/>
                <w:b/>
                <w:color w:val="000000" w:themeColor="text1"/>
                <w:sz w:val="19"/>
                <w:szCs w:val="19"/>
              </w:rPr>
              <w:t>9</w:t>
            </w:r>
            <w:r w:rsidRPr="0073449B">
              <w:rPr>
                <w:rFonts w:ascii="Arial" w:eastAsia="Times New Roman" w:hAnsi="Arial" w:cs="Arial"/>
                <w:b/>
                <w:color w:val="000000" w:themeColor="text1"/>
                <w:sz w:val="19"/>
                <w:szCs w:val="19"/>
              </w:rPr>
              <w:t>.</w:t>
            </w:r>
            <w:bookmarkEnd w:id="406"/>
          </w:p>
          <w:p w14:paraId="44E299A6" w14:textId="4F0E8F23" w:rsidR="001B247D" w:rsidRPr="0073449B" w:rsidRDefault="001B247D" w:rsidP="001B247D">
            <w:pPr>
              <w:tabs>
                <w:tab w:val="right" w:pos="1202"/>
              </w:tabs>
              <w:suppressAutoHyphens/>
              <w:autoSpaceDN w:val="0"/>
              <w:jc w:val="right"/>
              <w:outlineLvl w:val="0"/>
              <w:rPr>
                <w:rFonts w:ascii="Arial" w:eastAsia="Times New Roman" w:hAnsi="Arial" w:cs="Arial"/>
                <w:b/>
                <w:color w:val="000000" w:themeColor="text1"/>
                <w:sz w:val="19"/>
                <w:szCs w:val="19"/>
              </w:rPr>
            </w:pPr>
            <w:bookmarkStart w:id="407" w:name="_Toc67328153"/>
            <w:r w:rsidRPr="0073449B">
              <w:rPr>
                <w:rFonts w:ascii="Arial" w:eastAsia="Times New Roman" w:hAnsi="Arial" w:cs="Arial"/>
                <w:b/>
                <w:color w:val="000000" w:themeColor="text1"/>
                <w:sz w:val="19"/>
                <w:szCs w:val="19"/>
              </w:rPr>
              <w:t>202</w:t>
            </w:r>
            <w:r w:rsidR="00C90D31">
              <w:rPr>
                <w:rFonts w:ascii="Arial" w:eastAsia="Times New Roman" w:hAnsi="Arial" w:cs="Arial"/>
                <w:b/>
                <w:color w:val="000000" w:themeColor="text1"/>
                <w:sz w:val="19"/>
                <w:szCs w:val="19"/>
              </w:rPr>
              <w:t>4</w:t>
            </w:r>
            <w:r w:rsidRPr="0073449B">
              <w:rPr>
                <w:rFonts w:ascii="Arial" w:eastAsia="Times New Roman" w:hAnsi="Arial" w:cs="Arial"/>
                <w:b/>
                <w:color w:val="000000" w:themeColor="text1"/>
                <w:sz w:val="19"/>
                <w:szCs w:val="19"/>
              </w:rPr>
              <w:t>.</w:t>
            </w:r>
            <w:bookmarkEnd w:id="407"/>
          </w:p>
        </w:tc>
        <w:tc>
          <w:tcPr>
            <w:tcW w:w="1191" w:type="dxa"/>
            <w:vAlign w:val="bottom"/>
          </w:tcPr>
          <w:p w14:paraId="442D5CC8" w14:textId="77777777" w:rsidR="001B247D" w:rsidRPr="0073449B" w:rsidRDefault="001B247D" w:rsidP="001B247D">
            <w:pPr>
              <w:tabs>
                <w:tab w:val="right" w:pos="1202"/>
              </w:tabs>
              <w:suppressAutoHyphens/>
              <w:autoSpaceDN w:val="0"/>
              <w:jc w:val="right"/>
              <w:outlineLvl w:val="0"/>
              <w:rPr>
                <w:rFonts w:ascii="Arial" w:eastAsia="Times New Roman" w:hAnsi="Arial" w:cs="Arial"/>
                <w:b/>
                <w:color w:val="000000" w:themeColor="text1"/>
                <w:sz w:val="19"/>
                <w:szCs w:val="19"/>
              </w:rPr>
            </w:pPr>
            <w:bookmarkStart w:id="408" w:name="_Toc67328154"/>
            <w:r w:rsidRPr="0073449B">
              <w:rPr>
                <w:rFonts w:ascii="Arial" w:eastAsia="Times New Roman" w:hAnsi="Arial" w:cs="Arial"/>
                <w:b/>
                <w:color w:val="000000" w:themeColor="text1"/>
                <w:sz w:val="19"/>
                <w:szCs w:val="19"/>
              </w:rPr>
              <w:t>1.1.-31.12.</w:t>
            </w:r>
            <w:bookmarkEnd w:id="408"/>
          </w:p>
          <w:p w14:paraId="1B4D3894" w14:textId="25E3DA20" w:rsidR="001B247D" w:rsidRPr="0073449B" w:rsidRDefault="001B247D" w:rsidP="001B247D">
            <w:pPr>
              <w:tabs>
                <w:tab w:val="right" w:pos="1202"/>
              </w:tabs>
              <w:suppressAutoHyphens/>
              <w:autoSpaceDN w:val="0"/>
              <w:jc w:val="right"/>
              <w:outlineLvl w:val="0"/>
              <w:rPr>
                <w:rFonts w:ascii="Arial" w:eastAsia="Times New Roman" w:hAnsi="Arial" w:cs="Arial"/>
                <w:b/>
                <w:color w:val="000000" w:themeColor="text1"/>
                <w:sz w:val="19"/>
                <w:szCs w:val="19"/>
              </w:rPr>
            </w:pPr>
            <w:bookmarkStart w:id="409" w:name="_Toc67328155"/>
            <w:r w:rsidRPr="0073449B">
              <w:rPr>
                <w:rFonts w:ascii="Arial" w:eastAsia="Times New Roman" w:hAnsi="Arial" w:cs="Arial"/>
                <w:b/>
                <w:color w:val="000000" w:themeColor="text1"/>
                <w:sz w:val="19"/>
                <w:szCs w:val="19"/>
              </w:rPr>
              <w:t>202</w:t>
            </w:r>
            <w:r w:rsidR="00C90D31">
              <w:rPr>
                <w:rFonts w:ascii="Arial" w:eastAsia="Times New Roman" w:hAnsi="Arial" w:cs="Arial"/>
                <w:b/>
                <w:color w:val="000000" w:themeColor="text1"/>
                <w:sz w:val="19"/>
                <w:szCs w:val="19"/>
              </w:rPr>
              <w:t>3</w:t>
            </w:r>
            <w:r w:rsidRPr="0073449B">
              <w:rPr>
                <w:rFonts w:ascii="Arial" w:eastAsia="Times New Roman" w:hAnsi="Arial" w:cs="Arial"/>
                <w:b/>
                <w:color w:val="000000" w:themeColor="text1"/>
                <w:sz w:val="19"/>
                <w:szCs w:val="19"/>
              </w:rPr>
              <w:t>.</w:t>
            </w:r>
            <w:bookmarkEnd w:id="409"/>
          </w:p>
        </w:tc>
        <w:tc>
          <w:tcPr>
            <w:tcW w:w="1191" w:type="dxa"/>
            <w:vAlign w:val="bottom"/>
          </w:tcPr>
          <w:p w14:paraId="7C804A06" w14:textId="71F6A2EA" w:rsidR="001B247D" w:rsidRPr="0073449B" w:rsidRDefault="001B247D" w:rsidP="001B247D">
            <w:pPr>
              <w:tabs>
                <w:tab w:val="right" w:pos="1202"/>
              </w:tabs>
              <w:suppressAutoHyphens/>
              <w:autoSpaceDN w:val="0"/>
              <w:jc w:val="right"/>
              <w:outlineLvl w:val="0"/>
              <w:rPr>
                <w:rFonts w:ascii="Arial" w:eastAsia="Times New Roman" w:hAnsi="Arial" w:cs="Arial"/>
                <w:b/>
                <w:color w:val="000000" w:themeColor="text1"/>
                <w:sz w:val="19"/>
                <w:szCs w:val="19"/>
              </w:rPr>
            </w:pPr>
            <w:bookmarkStart w:id="410" w:name="_Toc67328156"/>
            <w:r w:rsidRPr="0073449B">
              <w:rPr>
                <w:rFonts w:ascii="Arial" w:eastAsia="Times New Roman" w:hAnsi="Arial" w:cs="Arial"/>
                <w:b/>
                <w:color w:val="000000" w:themeColor="text1"/>
                <w:sz w:val="19"/>
                <w:szCs w:val="19"/>
              </w:rPr>
              <w:t>1.1.-</w:t>
            </w:r>
            <w:r w:rsidR="007C3C47" w:rsidRPr="0073449B">
              <w:rPr>
                <w:rFonts w:ascii="Arial" w:eastAsia="Times New Roman" w:hAnsi="Arial" w:cs="Arial"/>
                <w:b/>
                <w:color w:val="000000" w:themeColor="text1"/>
                <w:sz w:val="19"/>
                <w:szCs w:val="19"/>
              </w:rPr>
              <w:t>3</w:t>
            </w:r>
            <w:r w:rsidR="007C3C47">
              <w:rPr>
                <w:rFonts w:ascii="Arial" w:eastAsia="Times New Roman" w:hAnsi="Arial" w:cs="Arial"/>
                <w:b/>
                <w:color w:val="000000" w:themeColor="text1"/>
                <w:sz w:val="19"/>
                <w:szCs w:val="19"/>
              </w:rPr>
              <w:t>0</w:t>
            </w:r>
            <w:r w:rsidRPr="0073449B">
              <w:rPr>
                <w:rFonts w:ascii="Arial" w:eastAsia="Times New Roman" w:hAnsi="Arial" w:cs="Arial"/>
                <w:b/>
                <w:color w:val="000000" w:themeColor="text1"/>
                <w:sz w:val="19"/>
                <w:szCs w:val="19"/>
              </w:rPr>
              <w:t>.</w:t>
            </w:r>
            <w:r w:rsidR="00C60785">
              <w:rPr>
                <w:rFonts w:ascii="Arial" w:eastAsia="Times New Roman" w:hAnsi="Arial" w:cs="Arial"/>
                <w:b/>
                <w:color w:val="000000" w:themeColor="text1"/>
                <w:sz w:val="19"/>
                <w:szCs w:val="19"/>
              </w:rPr>
              <w:t>9</w:t>
            </w:r>
            <w:r w:rsidRPr="0073449B">
              <w:rPr>
                <w:rFonts w:ascii="Arial" w:eastAsia="Times New Roman" w:hAnsi="Arial" w:cs="Arial"/>
                <w:b/>
                <w:color w:val="000000" w:themeColor="text1"/>
                <w:sz w:val="19"/>
                <w:szCs w:val="19"/>
              </w:rPr>
              <w:t>.</w:t>
            </w:r>
            <w:bookmarkEnd w:id="410"/>
          </w:p>
          <w:p w14:paraId="60A4B43A" w14:textId="2CA4447E" w:rsidR="001B247D" w:rsidRPr="0073449B" w:rsidRDefault="001B247D" w:rsidP="001B247D">
            <w:pPr>
              <w:tabs>
                <w:tab w:val="right" w:pos="1202"/>
              </w:tabs>
              <w:suppressAutoHyphens/>
              <w:autoSpaceDN w:val="0"/>
              <w:jc w:val="right"/>
              <w:outlineLvl w:val="0"/>
              <w:rPr>
                <w:rFonts w:ascii="Arial" w:eastAsia="Times New Roman" w:hAnsi="Arial" w:cs="Arial"/>
                <w:b/>
                <w:color w:val="000000" w:themeColor="text1"/>
                <w:sz w:val="19"/>
                <w:szCs w:val="19"/>
              </w:rPr>
            </w:pPr>
            <w:bookmarkStart w:id="411" w:name="_Toc67328157"/>
            <w:r w:rsidRPr="0073449B">
              <w:rPr>
                <w:rFonts w:ascii="Arial" w:eastAsia="Times New Roman" w:hAnsi="Arial" w:cs="Arial"/>
                <w:b/>
                <w:color w:val="000000" w:themeColor="text1"/>
                <w:sz w:val="19"/>
                <w:szCs w:val="19"/>
              </w:rPr>
              <w:t>202</w:t>
            </w:r>
            <w:r w:rsidR="00C90D31">
              <w:rPr>
                <w:rFonts w:ascii="Arial" w:eastAsia="Times New Roman" w:hAnsi="Arial" w:cs="Arial"/>
                <w:b/>
                <w:color w:val="000000" w:themeColor="text1"/>
                <w:sz w:val="19"/>
                <w:szCs w:val="19"/>
              </w:rPr>
              <w:t>4</w:t>
            </w:r>
            <w:r w:rsidRPr="0073449B">
              <w:rPr>
                <w:rFonts w:ascii="Arial" w:eastAsia="Times New Roman" w:hAnsi="Arial" w:cs="Arial"/>
                <w:b/>
                <w:color w:val="000000" w:themeColor="text1"/>
                <w:sz w:val="19"/>
                <w:szCs w:val="19"/>
              </w:rPr>
              <w:t>.</w:t>
            </w:r>
            <w:bookmarkEnd w:id="411"/>
          </w:p>
        </w:tc>
        <w:tc>
          <w:tcPr>
            <w:tcW w:w="1191" w:type="dxa"/>
            <w:vAlign w:val="bottom"/>
          </w:tcPr>
          <w:p w14:paraId="29A2EC37" w14:textId="77777777" w:rsidR="001B247D" w:rsidRPr="0073449B" w:rsidRDefault="001B247D" w:rsidP="001B247D">
            <w:pPr>
              <w:tabs>
                <w:tab w:val="right" w:pos="1202"/>
              </w:tabs>
              <w:suppressAutoHyphens/>
              <w:autoSpaceDN w:val="0"/>
              <w:jc w:val="right"/>
              <w:outlineLvl w:val="0"/>
              <w:rPr>
                <w:rFonts w:ascii="Arial" w:eastAsia="Times New Roman" w:hAnsi="Arial" w:cs="Arial"/>
                <w:b/>
                <w:color w:val="000000" w:themeColor="text1"/>
                <w:sz w:val="19"/>
                <w:szCs w:val="19"/>
              </w:rPr>
            </w:pPr>
            <w:bookmarkStart w:id="412" w:name="_Toc67328158"/>
            <w:r w:rsidRPr="0073449B">
              <w:rPr>
                <w:rFonts w:ascii="Arial" w:eastAsia="Times New Roman" w:hAnsi="Arial" w:cs="Arial"/>
                <w:b/>
                <w:color w:val="000000" w:themeColor="text1"/>
                <w:sz w:val="19"/>
                <w:szCs w:val="19"/>
              </w:rPr>
              <w:t>1.1.-31.12.</w:t>
            </w:r>
            <w:bookmarkEnd w:id="412"/>
          </w:p>
          <w:p w14:paraId="6A4CB6F8" w14:textId="35A424DF" w:rsidR="001B247D" w:rsidRPr="0073449B" w:rsidRDefault="001B247D" w:rsidP="001B247D">
            <w:pPr>
              <w:tabs>
                <w:tab w:val="right" w:pos="1202"/>
              </w:tabs>
              <w:suppressAutoHyphens/>
              <w:autoSpaceDN w:val="0"/>
              <w:jc w:val="right"/>
              <w:outlineLvl w:val="0"/>
              <w:rPr>
                <w:rFonts w:ascii="Arial" w:eastAsia="Times New Roman" w:hAnsi="Arial" w:cs="Arial"/>
                <w:b/>
                <w:color w:val="000000" w:themeColor="text1"/>
                <w:sz w:val="19"/>
                <w:szCs w:val="19"/>
              </w:rPr>
            </w:pPr>
            <w:bookmarkStart w:id="413" w:name="_Toc67328159"/>
            <w:r w:rsidRPr="0073449B">
              <w:rPr>
                <w:rFonts w:ascii="Arial" w:eastAsia="Times New Roman" w:hAnsi="Arial" w:cs="Arial"/>
                <w:b/>
                <w:color w:val="000000" w:themeColor="text1"/>
                <w:sz w:val="19"/>
                <w:szCs w:val="19"/>
              </w:rPr>
              <w:t>202</w:t>
            </w:r>
            <w:r w:rsidR="00C90D31">
              <w:rPr>
                <w:rFonts w:ascii="Arial" w:eastAsia="Times New Roman" w:hAnsi="Arial" w:cs="Arial"/>
                <w:b/>
                <w:color w:val="000000" w:themeColor="text1"/>
                <w:sz w:val="19"/>
                <w:szCs w:val="19"/>
              </w:rPr>
              <w:t>3</w:t>
            </w:r>
            <w:r w:rsidRPr="0073449B">
              <w:rPr>
                <w:rFonts w:ascii="Arial" w:eastAsia="Times New Roman" w:hAnsi="Arial" w:cs="Arial"/>
                <w:b/>
                <w:color w:val="000000" w:themeColor="text1"/>
                <w:sz w:val="19"/>
                <w:szCs w:val="19"/>
              </w:rPr>
              <w:t>.</w:t>
            </w:r>
            <w:bookmarkEnd w:id="413"/>
          </w:p>
        </w:tc>
      </w:tr>
      <w:tr w:rsidR="001B247D" w:rsidRPr="0073449B" w14:paraId="700B2C1B" w14:textId="77777777" w:rsidTr="0073449B">
        <w:trPr>
          <w:trHeight w:val="231"/>
        </w:trPr>
        <w:tc>
          <w:tcPr>
            <w:tcW w:w="4820" w:type="dxa"/>
            <w:tcBorders>
              <w:top w:val="nil"/>
              <w:left w:val="nil"/>
              <w:bottom w:val="nil"/>
              <w:right w:val="nil"/>
            </w:tcBorders>
            <w:shd w:val="clear" w:color="auto" w:fill="auto"/>
            <w:vAlign w:val="bottom"/>
            <w:hideMark/>
          </w:tcPr>
          <w:p w14:paraId="5051A6DA" w14:textId="77777777" w:rsidR="001B247D" w:rsidRPr="0073449B" w:rsidRDefault="001B247D" w:rsidP="001B247D">
            <w:pPr>
              <w:suppressAutoHyphens/>
              <w:autoSpaceDN w:val="0"/>
              <w:jc w:val="right"/>
              <w:rPr>
                <w:rFonts w:ascii="Arial" w:eastAsia="Calibri" w:hAnsi="Arial" w:cs="Arial"/>
                <w:b/>
                <w:bCs/>
                <w:color w:val="000000" w:themeColor="text1"/>
                <w:sz w:val="19"/>
                <w:szCs w:val="19"/>
              </w:rPr>
            </w:pPr>
          </w:p>
        </w:tc>
        <w:tc>
          <w:tcPr>
            <w:tcW w:w="1191" w:type="dxa"/>
            <w:tcBorders>
              <w:top w:val="nil"/>
              <w:left w:val="nil"/>
              <w:bottom w:val="nil"/>
              <w:right w:val="nil"/>
            </w:tcBorders>
            <w:shd w:val="clear" w:color="auto" w:fill="auto"/>
            <w:vAlign w:val="bottom"/>
            <w:hideMark/>
          </w:tcPr>
          <w:p w14:paraId="677AD0A2" w14:textId="15BD9B21" w:rsidR="001B247D" w:rsidRPr="0073449B" w:rsidRDefault="001B247D" w:rsidP="001B247D">
            <w:pPr>
              <w:suppressAutoHyphens/>
              <w:autoSpaceDN w:val="0"/>
              <w:jc w:val="right"/>
              <w:rPr>
                <w:rFonts w:ascii="Arial" w:eastAsia="Calibri" w:hAnsi="Arial" w:cs="Arial"/>
                <w:b/>
                <w:bCs/>
                <w:color w:val="000000" w:themeColor="text1"/>
                <w:sz w:val="19"/>
                <w:szCs w:val="19"/>
              </w:rPr>
            </w:pPr>
            <w:r w:rsidRPr="0073449B">
              <w:rPr>
                <w:rFonts w:ascii="Arial" w:eastAsia="Calibri" w:hAnsi="Arial" w:cs="Arial"/>
                <w:b/>
                <w:bCs/>
                <w:color w:val="000000" w:themeColor="text1"/>
                <w:sz w:val="19"/>
                <w:szCs w:val="19"/>
              </w:rPr>
              <w:t>000 eura</w:t>
            </w:r>
          </w:p>
        </w:tc>
        <w:tc>
          <w:tcPr>
            <w:tcW w:w="1191" w:type="dxa"/>
            <w:tcBorders>
              <w:top w:val="nil"/>
              <w:left w:val="nil"/>
              <w:bottom w:val="nil"/>
              <w:right w:val="nil"/>
            </w:tcBorders>
            <w:shd w:val="clear" w:color="auto" w:fill="auto"/>
            <w:vAlign w:val="bottom"/>
          </w:tcPr>
          <w:p w14:paraId="6DA2D614" w14:textId="40399794" w:rsidR="001B247D" w:rsidRPr="0073449B" w:rsidRDefault="001B247D" w:rsidP="001B247D">
            <w:pPr>
              <w:suppressAutoHyphens/>
              <w:autoSpaceDN w:val="0"/>
              <w:jc w:val="right"/>
              <w:rPr>
                <w:rFonts w:ascii="Arial" w:eastAsia="Calibri" w:hAnsi="Arial" w:cs="Arial"/>
                <w:b/>
                <w:bCs/>
                <w:color w:val="000000" w:themeColor="text1"/>
                <w:sz w:val="19"/>
                <w:szCs w:val="19"/>
              </w:rPr>
            </w:pPr>
            <w:r w:rsidRPr="0073449B">
              <w:rPr>
                <w:rFonts w:ascii="Arial" w:eastAsia="Calibri" w:hAnsi="Arial" w:cs="Arial"/>
                <w:b/>
                <w:bCs/>
                <w:color w:val="000000" w:themeColor="text1"/>
                <w:sz w:val="19"/>
                <w:szCs w:val="19"/>
              </w:rPr>
              <w:t>000 eura</w:t>
            </w:r>
          </w:p>
        </w:tc>
        <w:tc>
          <w:tcPr>
            <w:tcW w:w="1191" w:type="dxa"/>
            <w:tcBorders>
              <w:top w:val="nil"/>
              <w:left w:val="nil"/>
              <w:bottom w:val="nil"/>
              <w:right w:val="nil"/>
            </w:tcBorders>
            <w:shd w:val="clear" w:color="auto" w:fill="auto"/>
            <w:vAlign w:val="bottom"/>
            <w:hideMark/>
          </w:tcPr>
          <w:p w14:paraId="1AFBA771" w14:textId="41D1460E" w:rsidR="001B247D" w:rsidRPr="0073449B" w:rsidRDefault="001B247D" w:rsidP="001B247D">
            <w:pPr>
              <w:suppressAutoHyphens/>
              <w:autoSpaceDN w:val="0"/>
              <w:jc w:val="right"/>
              <w:rPr>
                <w:rFonts w:ascii="Arial" w:eastAsia="Calibri" w:hAnsi="Arial" w:cs="Arial"/>
                <w:b/>
                <w:bCs/>
                <w:color w:val="000000" w:themeColor="text1"/>
                <w:sz w:val="19"/>
                <w:szCs w:val="19"/>
              </w:rPr>
            </w:pPr>
            <w:r w:rsidRPr="0073449B">
              <w:rPr>
                <w:rFonts w:ascii="Arial" w:eastAsia="Calibri" w:hAnsi="Arial" w:cs="Arial"/>
                <w:b/>
                <w:bCs/>
                <w:color w:val="000000" w:themeColor="text1"/>
                <w:sz w:val="19"/>
                <w:szCs w:val="19"/>
              </w:rPr>
              <w:t>000 eura</w:t>
            </w:r>
          </w:p>
        </w:tc>
        <w:tc>
          <w:tcPr>
            <w:tcW w:w="1191" w:type="dxa"/>
            <w:tcBorders>
              <w:top w:val="nil"/>
              <w:left w:val="nil"/>
              <w:bottom w:val="nil"/>
              <w:right w:val="nil"/>
            </w:tcBorders>
            <w:shd w:val="clear" w:color="auto" w:fill="auto"/>
            <w:vAlign w:val="bottom"/>
          </w:tcPr>
          <w:p w14:paraId="43535C5D" w14:textId="0D6BCE16" w:rsidR="001B247D" w:rsidRPr="0073449B" w:rsidRDefault="001B247D" w:rsidP="001B247D">
            <w:pPr>
              <w:suppressAutoHyphens/>
              <w:autoSpaceDN w:val="0"/>
              <w:jc w:val="right"/>
              <w:rPr>
                <w:rFonts w:ascii="Arial" w:eastAsia="Calibri" w:hAnsi="Arial" w:cs="Arial"/>
                <w:b/>
                <w:bCs/>
                <w:color w:val="000000" w:themeColor="text1"/>
                <w:sz w:val="19"/>
                <w:szCs w:val="19"/>
              </w:rPr>
            </w:pPr>
            <w:r w:rsidRPr="0073449B">
              <w:rPr>
                <w:rFonts w:ascii="Arial" w:eastAsia="Calibri" w:hAnsi="Arial" w:cs="Arial"/>
                <w:b/>
                <w:bCs/>
                <w:color w:val="000000" w:themeColor="text1"/>
                <w:sz w:val="19"/>
                <w:szCs w:val="19"/>
              </w:rPr>
              <w:t>000 eura</w:t>
            </w:r>
          </w:p>
        </w:tc>
      </w:tr>
      <w:tr w:rsidR="00C62244" w:rsidRPr="0073449B" w14:paraId="12B19120" w14:textId="77777777" w:rsidTr="0073449B">
        <w:trPr>
          <w:trHeight w:val="379"/>
        </w:trPr>
        <w:tc>
          <w:tcPr>
            <w:tcW w:w="4820" w:type="dxa"/>
            <w:tcBorders>
              <w:top w:val="nil"/>
              <w:left w:val="nil"/>
              <w:bottom w:val="nil"/>
              <w:right w:val="nil"/>
            </w:tcBorders>
            <w:shd w:val="clear" w:color="auto" w:fill="auto"/>
            <w:vAlign w:val="bottom"/>
          </w:tcPr>
          <w:p w14:paraId="77A7FD38" w14:textId="77777777" w:rsidR="00C62244" w:rsidRPr="0073449B" w:rsidRDefault="00C62244" w:rsidP="00C62244">
            <w:pPr>
              <w:suppressAutoHyphens/>
              <w:autoSpaceDN w:val="0"/>
              <w:rPr>
                <w:rFonts w:ascii="Arial" w:eastAsia="Calibri" w:hAnsi="Arial" w:cs="Arial"/>
                <w:color w:val="000000" w:themeColor="text1"/>
                <w:sz w:val="19"/>
                <w:szCs w:val="19"/>
              </w:rPr>
            </w:pPr>
            <w:r w:rsidRPr="0073449B">
              <w:rPr>
                <w:rFonts w:ascii="Arial" w:eastAsia="Calibri" w:hAnsi="Arial" w:cs="Arial"/>
                <w:color w:val="000000" w:themeColor="text1"/>
                <w:sz w:val="19"/>
                <w:szCs w:val="19"/>
              </w:rPr>
              <w:t>Stanje 1. siječnja</w:t>
            </w:r>
          </w:p>
        </w:tc>
        <w:tc>
          <w:tcPr>
            <w:tcW w:w="1191" w:type="dxa"/>
            <w:tcBorders>
              <w:top w:val="nil"/>
              <w:left w:val="nil"/>
              <w:bottom w:val="nil"/>
              <w:right w:val="nil"/>
            </w:tcBorders>
            <w:shd w:val="clear" w:color="auto" w:fill="auto"/>
            <w:noWrap/>
            <w:vAlign w:val="bottom"/>
          </w:tcPr>
          <w:p w14:paraId="02AA3F77" w14:textId="2C41BEBC" w:rsidR="00C62244" w:rsidRPr="0073449B" w:rsidRDefault="004152E7" w:rsidP="00C62244">
            <w:pPr>
              <w:suppressAutoHyphens/>
              <w:autoSpaceDN w:val="0"/>
              <w:jc w:val="right"/>
              <w:rPr>
                <w:rFonts w:ascii="Arial" w:eastAsia="Calibri" w:hAnsi="Arial" w:cs="Arial"/>
                <w:color w:val="000000" w:themeColor="text1"/>
                <w:sz w:val="19"/>
                <w:szCs w:val="19"/>
              </w:rPr>
            </w:pPr>
            <w:r>
              <w:rPr>
                <w:rFonts w:ascii="Arial" w:eastAsia="Calibri" w:hAnsi="Arial" w:cs="Arial"/>
                <w:color w:val="000000" w:themeColor="text1"/>
                <w:sz w:val="19"/>
                <w:szCs w:val="19"/>
              </w:rPr>
              <w:t>454</w:t>
            </w:r>
          </w:p>
        </w:tc>
        <w:tc>
          <w:tcPr>
            <w:tcW w:w="1191" w:type="dxa"/>
            <w:tcBorders>
              <w:top w:val="nil"/>
              <w:left w:val="nil"/>
              <w:bottom w:val="nil"/>
              <w:right w:val="nil"/>
            </w:tcBorders>
            <w:shd w:val="clear" w:color="auto" w:fill="auto"/>
            <w:vAlign w:val="bottom"/>
          </w:tcPr>
          <w:p w14:paraId="58515DEB" w14:textId="50BFDC1B" w:rsidR="00C62244" w:rsidRPr="0073449B" w:rsidRDefault="00C62244" w:rsidP="00C62244">
            <w:pPr>
              <w:suppressAutoHyphens/>
              <w:autoSpaceDN w:val="0"/>
              <w:jc w:val="right"/>
              <w:rPr>
                <w:rFonts w:ascii="Arial" w:eastAsia="Calibri" w:hAnsi="Arial" w:cs="Arial"/>
                <w:color w:val="000000" w:themeColor="text1"/>
                <w:sz w:val="19"/>
                <w:szCs w:val="19"/>
              </w:rPr>
            </w:pPr>
            <w:r>
              <w:rPr>
                <w:rFonts w:ascii="Arial" w:eastAsia="Calibri" w:hAnsi="Arial" w:cs="Arial"/>
                <w:color w:val="000000" w:themeColor="text1"/>
                <w:sz w:val="19"/>
                <w:szCs w:val="19"/>
              </w:rPr>
              <w:t>618</w:t>
            </w:r>
          </w:p>
        </w:tc>
        <w:tc>
          <w:tcPr>
            <w:tcW w:w="1191" w:type="dxa"/>
            <w:tcBorders>
              <w:top w:val="nil"/>
              <w:left w:val="nil"/>
              <w:bottom w:val="nil"/>
              <w:right w:val="nil"/>
            </w:tcBorders>
            <w:shd w:val="clear" w:color="auto" w:fill="auto"/>
            <w:vAlign w:val="bottom"/>
          </w:tcPr>
          <w:p w14:paraId="448CE839" w14:textId="1CE8ADD5" w:rsidR="00C62244" w:rsidRPr="0073449B" w:rsidRDefault="00D71049" w:rsidP="00C62244">
            <w:pPr>
              <w:suppressAutoHyphens/>
              <w:autoSpaceDN w:val="0"/>
              <w:jc w:val="right"/>
              <w:rPr>
                <w:rFonts w:ascii="Arial" w:eastAsia="Calibri" w:hAnsi="Arial" w:cs="Arial"/>
                <w:color w:val="000000" w:themeColor="text1"/>
                <w:sz w:val="19"/>
                <w:szCs w:val="19"/>
              </w:rPr>
            </w:pPr>
            <w:r>
              <w:rPr>
                <w:rFonts w:ascii="Arial" w:eastAsia="Calibri" w:hAnsi="Arial" w:cs="Arial"/>
                <w:color w:val="000000" w:themeColor="text1"/>
                <w:sz w:val="19"/>
                <w:szCs w:val="19"/>
              </w:rPr>
              <w:t>442</w:t>
            </w:r>
          </w:p>
        </w:tc>
        <w:tc>
          <w:tcPr>
            <w:tcW w:w="1191" w:type="dxa"/>
            <w:tcBorders>
              <w:top w:val="nil"/>
              <w:left w:val="nil"/>
              <w:bottom w:val="nil"/>
              <w:right w:val="nil"/>
            </w:tcBorders>
            <w:shd w:val="clear" w:color="auto" w:fill="auto"/>
            <w:vAlign w:val="bottom"/>
          </w:tcPr>
          <w:p w14:paraId="6CB5BA1B" w14:textId="0AA1D04B" w:rsidR="00C62244" w:rsidRPr="0073449B" w:rsidRDefault="00C62244" w:rsidP="00C62244">
            <w:pPr>
              <w:suppressAutoHyphens/>
              <w:autoSpaceDN w:val="0"/>
              <w:jc w:val="right"/>
              <w:rPr>
                <w:rFonts w:ascii="Arial" w:eastAsia="Calibri" w:hAnsi="Arial" w:cs="Arial"/>
                <w:color w:val="000000" w:themeColor="text1"/>
                <w:sz w:val="19"/>
                <w:szCs w:val="19"/>
              </w:rPr>
            </w:pPr>
            <w:r>
              <w:rPr>
                <w:rFonts w:ascii="Arial" w:eastAsia="Calibri" w:hAnsi="Arial" w:cs="Arial"/>
                <w:color w:val="000000" w:themeColor="text1"/>
                <w:sz w:val="19"/>
                <w:szCs w:val="19"/>
              </w:rPr>
              <w:t>606</w:t>
            </w:r>
          </w:p>
        </w:tc>
      </w:tr>
      <w:tr w:rsidR="00C62244" w:rsidRPr="0073449B" w14:paraId="634B4B23" w14:textId="77777777" w:rsidTr="003D7D13">
        <w:trPr>
          <w:trHeight w:val="379"/>
        </w:trPr>
        <w:tc>
          <w:tcPr>
            <w:tcW w:w="4820" w:type="dxa"/>
            <w:tcBorders>
              <w:top w:val="nil"/>
              <w:left w:val="nil"/>
              <w:bottom w:val="nil"/>
              <w:right w:val="nil"/>
            </w:tcBorders>
            <w:shd w:val="clear" w:color="auto" w:fill="auto"/>
            <w:vAlign w:val="bottom"/>
          </w:tcPr>
          <w:p w14:paraId="41194115" w14:textId="1216BB30" w:rsidR="00C62244" w:rsidRPr="0073449B" w:rsidRDefault="00C62244" w:rsidP="00C62244">
            <w:pPr>
              <w:suppressAutoHyphens/>
              <w:autoSpaceDN w:val="0"/>
              <w:rPr>
                <w:rFonts w:ascii="Arial" w:eastAsia="Calibri" w:hAnsi="Arial" w:cs="Arial"/>
                <w:color w:val="000000" w:themeColor="text1"/>
                <w:sz w:val="19"/>
                <w:szCs w:val="19"/>
              </w:rPr>
            </w:pPr>
            <w:r w:rsidRPr="000F7547">
              <w:rPr>
                <w:rFonts w:ascii="Arial" w:eastAsia="Calibri" w:hAnsi="Arial" w:cs="Arial"/>
                <w:color w:val="000000" w:themeColor="text1"/>
                <w:sz w:val="19"/>
                <w:szCs w:val="19"/>
              </w:rPr>
              <w:t>N</w:t>
            </w:r>
            <w:r w:rsidRPr="003A16D6">
              <w:rPr>
                <w:rFonts w:ascii="Arial" w:eastAsia="Calibri" w:hAnsi="Arial" w:cs="Arial"/>
                <w:color w:val="000000" w:themeColor="text1"/>
                <w:sz w:val="19"/>
                <w:szCs w:val="19"/>
              </w:rPr>
              <w:t>eto (smanjenje) rezerviranja za očekivane gubitke</w:t>
            </w:r>
          </w:p>
        </w:tc>
        <w:tc>
          <w:tcPr>
            <w:tcW w:w="1191" w:type="dxa"/>
            <w:tcBorders>
              <w:top w:val="nil"/>
              <w:left w:val="nil"/>
              <w:right w:val="nil"/>
            </w:tcBorders>
            <w:shd w:val="clear" w:color="auto" w:fill="auto"/>
            <w:vAlign w:val="bottom"/>
          </w:tcPr>
          <w:p w14:paraId="00E28EE9" w14:textId="0D17EBBE" w:rsidR="00C62244" w:rsidRPr="0073449B" w:rsidRDefault="00A425F2" w:rsidP="00C62244">
            <w:pPr>
              <w:suppressAutoHyphens/>
              <w:autoSpaceDN w:val="0"/>
              <w:jc w:val="right"/>
              <w:rPr>
                <w:rFonts w:ascii="Arial" w:eastAsia="Calibri" w:hAnsi="Arial" w:cs="Arial"/>
                <w:color w:val="000000" w:themeColor="text1"/>
                <w:sz w:val="19"/>
                <w:szCs w:val="19"/>
              </w:rPr>
            </w:pPr>
            <w:r>
              <w:rPr>
                <w:rFonts w:ascii="Arial" w:eastAsia="Calibri" w:hAnsi="Arial" w:cs="Arial"/>
                <w:color w:val="000000" w:themeColor="text1"/>
                <w:sz w:val="19"/>
                <w:szCs w:val="19"/>
              </w:rPr>
              <w:t>(</w:t>
            </w:r>
            <w:r w:rsidR="002B05B9">
              <w:rPr>
                <w:rFonts w:ascii="Arial" w:eastAsia="Calibri" w:hAnsi="Arial" w:cs="Arial"/>
                <w:color w:val="000000" w:themeColor="text1"/>
                <w:sz w:val="19"/>
                <w:szCs w:val="19"/>
              </w:rPr>
              <w:t>21</w:t>
            </w:r>
            <w:r>
              <w:rPr>
                <w:rFonts w:ascii="Arial" w:eastAsia="Calibri" w:hAnsi="Arial" w:cs="Arial"/>
                <w:color w:val="000000" w:themeColor="text1"/>
                <w:sz w:val="19"/>
                <w:szCs w:val="19"/>
              </w:rPr>
              <w:t>)</w:t>
            </w:r>
          </w:p>
        </w:tc>
        <w:tc>
          <w:tcPr>
            <w:tcW w:w="1191" w:type="dxa"/>
            <w:tcBorders>
              <w:top w:val="nil"/>
              <w:left w:val="nil"/>
              <w:right w:val="nil"/>
            </w:tcBorders>
            <w:shd w:val="clear" w:color="auto" w:fill="auto"/>
            <w:vAlign w:val="bottom"/>
          </w:tcPr>
          <w:p w14:paraId="0E9130AD" w14:textId="6B6BC655" w:rsidR="00C62244" w:rsidRPr="0073449B" w:rsidRDefault="00C62244" w:rsidP="00C62244">
            <w:pPr>
              <w:suppressAutoHyphens/>
              <w:autoSpaceDN w:val="0"/>
              <w:jc w:val="right"/>
              <w:rPr>
                <w:rFonts w:ascii="Arial" w:eastAsia="Calibri" w:hAnsi="Arial" w:cs="Arial"/>
                <w:color w:val="000000" w:themeColor="text1"/>
                <w:sz w:val="19"/>
                <w:szCs w:val="19"/>
              </w:rPr>
            </w:pPr>
            <w:r w:rsidRPr="00AA3587">
              <w:rPr>
                <w:rFonts w:ascii="Arial" w:eastAsia="Calibri" w:hAnsi="Arial" w:cs="Arial"/>
                <w:color w:val="000000" w:themeColor="text1"/>
                <w:sz w:val="19"/>
                <w:szCs w:val="19"/>
              </w:rPr>
              <w:t>(16</w:t>
            </w:r>
            <w:r>
              <w:rPr>
                <w:rFonts w:ascii="Arial" w:eastAsia="Calibri" w:hAnsi="Arial" w:cs="Arial"/>
                <w:color w:val="000000" w:themeColor="text1"/>
                <w:sz w:val="19"/>
                <w:szCs w:val="19"/>
              </w:rPr>
              <w:t>3</w:t>
            </w:r>
            <w:r w:rsidRPr="00AA3587">
              <w:rPr>
                <w:rFonts w:ascii="Arial" w:eastAsia="Calibri" w:hAnsi="Arial" w:cs="Arial"/>
                <w:color w:val="000000" w:themeColor="text1"/>
                <w:sz w:val="19"/>
                <w:szCs w:val="19"/>
              </w:rPr>
              <w:t>)</w:t>
            </w:r>
          </w:p>
        </w:tc>
        <w:tc>
          <w:tcPr>
            <w:tcW w:w="1191" w:type="dxa"/>
            <w:tcBorders>
              <w:top w:val="nil"/>
              <w:left w:val="nil"/>
              <w:right w:val="nil"/>
            </w:tcBorders>
            <w:shd w:val="clear" w:color="auto" w:fill="auto"/>
            <w:vAlign w:val="bottom"/>
          </w:tcPr>
          <w:p w14:paraId="730520E2" w14:textId="21A6A7B6" w:rsidR="00C62244" w:rsidRPr="0073449B" w:rsidRDefault="00D71049" w:rsidP="00C62244">
            <w:pPr>
              <w:suppressAutoHyphens/>
              <w:autoSpaceDN w:val="0"/>
              <w:jc w:val="right"/>
              <w:rPr>
                <w:rFonts w:ascii="Arial" w:eastAsia="Calibri" w:hAnsi="Arial" w:cs="Arial"/>
                <w:color w:val="000000" w:themeColor="text1"/>
                <w:sz w:val="19"/>
                <w:szCs w:val="19"/>
              </w:rPr>
            </w:pPr>
            <w:r>
              <w:rPr>
                <w:rFonts w:ascii="Arial" w:eastAsia="Calibri" w:hAnsi="Arial" w:cs="Arial"/>
                <w:color w:val="000000" w:themeColor="text1"/>
                <w:sz w:val="19"/>
                <w:szCs w:val="19"/>
              </w:rPr>
              <w:t>(19)</w:t>
            </w:r>
          </w:p>
        </w:tc>
        <w:tc>
          <w:tcPr>
            <w:tcW w:w="1191" w:type="dxa"/>
            <w:tcBorders>
              <w:top w:val="nil"/>
              <w:left w:val="nil"/>
              <w:right w:val="nil"/>
            </w:tcBorders>
            <w:shd w:val="clear" w:color="auto" w:fill="auto"/>
            <w:vAlign w:val="bottom"/>
          </w:tcPr>
          <w:p w14:paraId="26CB60BF" w14:textId="7CC08537" w:rsidR="00C62244" w:rsidRPr="0073449B" w:rsidRDefault="00C62244" w:rsidP="00C62244">
            <w:pPr>
              <w:suppressAutoHyphens/>
              <w:autoSpaceDN w:val="0"/>
              <w:jc w:val="right"/>
              <w:rPr>
                <w:rFonts w:ascii="Arial" w:eastAsia="Calibri" w:hAnsi="Arial" w:cs="Arial"/>
                <w:color w:val="000000" w:themeColor="text1"/>
                <w:sz w:val="19"/>
                <w:szCs w:val="19"/>
              </w:rPr>
            </w:pPr>
            <w:r w:rsidRPr="00104D1C">
              <w:rPr>
                <w:rFonts w:ascii="Arial" w:eastAsia="Calibri" w:hAnsi="Arial" w:cs="Arial"/>
                <w:color w:val="000000" w:themeColor="text1"/>
                <w:sz w:val="19"/>
                <w:szCs w:val="19"/>
              </w:rPr>
              <w:t>(164)</w:t>
            </w:r>
          </w:p>
        </w:tc>
      </w:tr>
      <w:tr w:rsidR="00C62244" w:rsidRPr="0073449B" w14:paraId="4695A1BE" w14:textId="77777777" w:rsidTr="0073449B">
        <w:trPr>
          <w:trHeight w:val="379"/>
        </w:trPr>
        <w:tc>
          <w:tcPr>
            <w:tcW w:w="4820" w:type="dxa"/>
            <w:tcBorders>
              <w:top w:val="nil"/>
              <w:left w:val="nil"/>
              <w:bottom w:val="nil"/>
              <w:right w:val="nil"/>
            </w:tcBorders>
            <w:shd w:val="clear" w:color="auto" w:fill="auto"/>
            <w:vAlign w:val="bottom"/>
          </w:tcPr>
          <w:p w14:paraId="5A8E700E" w14:textId="5119AD78" w:rsidR="00C62244" w:rsidRPr="00CE64B0" w:rsidRDefault="00C62244" w:rsidP="00C62244">
            <w:pPr>
              <w:suppressAutoHyphens/>
              <w:autoSpaceDN w:val="0"/>
              <w:rPr>
                <w:rFonts w:ascii="Arial" w:eastAsia="Calibri" w:hAnsi="Arial" w:cs="Arial"/>
                <w:i/>
                <w:iCs/>
                <w:color w:val="000000" w:themeColor="text1"/>
                <w:sz w:val="19"/>
                <w:szCs w:val="19"/>
              </w:rPr>
            </w:pPr>
            <w:r w:rsidRPr="00CE64B0">
              <w:rPr>
                <w:rFonts w:ascii="Arial" w:eastAsia="Calibri" w:hAnsi="Arial" w:cs="Arial"/>
                <w:i/>
                <w:iCs/>
                <w:color w:val="000000" w:themeColor="text1"/>
                <w:sz w:val="19"/>
                <w:szCs w:val="19"/>
              </w:rPr>
              <w:t xml:space="preserve">Ukupno kroz dobit ili </w:t>
            </w:r>
            <w:r w:rsidRPr="00CC7FB0">
              <w:rPr>
                <w:rFonts w:ascii="Arial" w:eastAsia="Calibri" w:hAnsi="Arial" w:cs="Arial"/>
                <w:i/>
                <w:iCs/>
                <w:color w:val="000000" w:themeColor="text1"/>
                <w:sz w:val="19"/>
                <w:szCs w:val="19"/>
              </w:rPr>
              <w:t>gubitak (bilješka 8)</w:t>
            </w:r>
          </w:p>
        </w:tc>
        <w:tc>
          <w:tcPr>
            <w:tcW w:w="1191" w:type="dxa"/>
            <w:tcBorders>
              <w:top w:val="single" w:sz="4" w:space="0" w:color="auto"/>
              <w:left w:val="nil"/>
              <w:bottom w:val="single" w:sz="4" w:space="0" w:color="auto"/>
              <w:right w:val="nil"/>
            </w:tcBorders>
            <w:shd w:val="clear" w:color="auto" w:fill="auto"/>
            <w:vAlign w:val="bottom"/>
          </w:tcPr>
          <w:p w14:paraId="256DA9F8" w14:textId="69BBA08D" w:rsidR="00C62244" w:rsidRPr="001061E5" w:rsidRDefault="00A425F2" w:rsidP="00C62244">
            <w:pPr>
              <w:suppressAutoHyphens/>
              <w:autoSpaceDN w:val="0"/>
              <w:jc w:val="right"/>
              <w:rPr>
                <w:rFonts w:ascii="Arial" w:eastAsia="Calibri" w:hAnsi="Arial" w:cs="Arial"/>
                <w:bCs/>
                <w:i/>
                <w:iCs/>
                <w:color w:val="000000" w:themeColor="text1"/>
                <w:sz w:val="19"/>
                <w:szCs w:val="19"/>
              </w:rPr>
            </w:pPr>
            <w:r>
              <w:rPr>
                <w:rFonts w:ascii="Arial" w:eastAsia="Calibri" w:hAnsi="Arial" w:cs="Arial"/>
                <w:bCs/>
                <w:i/>
                <w:iCs/>
                <w:color w:val="000000" w:themeColor="text1"/>
                <w:sz w:val="19"/>
                <w:szCs w:val="19"/>
              </w:rPr>
              <w:t>(</w:t>
            </w:r>
            <w:r w:rsidR="002B05B9">
              <w:rPr>
                <w:rFonts w:ascii="Arial" w:eastAsia="Calibri" w:hAnsi="Arial" w:cs="Arial"/>
                <w:bCs/>
                <w:i/>
                <w:iCs/>
                <w:color w:val="000000" w:themeColor="text1"/>
                <w:sz w:val="19"/>
                <w:szCs w:val="19"/>
              </w:rPr>
              <w:t>21</w:t>
            </w:r>
            <w:r>
              <w:rPr>
                <w:rFonts w:ascii="Arial" w:eastAsia="Calibri" w:hAnsi="Arial" w:cs="Arial"/>
                <w:bCs/>
                <w:i/>
                <w:iCs/>
                <w:color w:val="000000" w:themeColor="text1"/>
                <w:sz w:val="19"/>
                <w:szCs w:val="19"/>
              </w:rPr>
              <w:t>)</w:t>
            </w:r>
          </w:p>
        </w:tc>
        <w:tc>
          <w:tcPr>
            <w:tcW w:w="1191" w:type="dxa"/>
            <w:tcBorders>
              <w:top w:val="single" w:sz="4" w:space="0" w:color="auto"/>
              <w:left w:val="nil"/>
              <w:bottom w:val="single" w:sz="4" w:space="0" w:color="auto"/>
              <w:right w:val="nil"/>
            </w:tcBorders>
            <w:shd w:val="clear" w:color="auto" w:fill="auto"/>
            <w:vAlign w:val="bottom"/>
          </w:tcPr>
          <w:p w14:paraId="7B1E639C" w14:textId="20A49282" w:rsidR="00C62244" w:rsidRPr="001061E5" w:rsidRDefault="00C62244" w:rsidP="00C62244">
            <w:pPr>
              <w:suppressAutoHyphens/>
              <w:autoSpaceDN w:val="0"/>
              <w:jc w:val="right"/>
              <w:rPr>
                <w:rFonts w:ascii="Arial" w:eastAsia="Calibri" w:hAnsi="Arial" w:cs="Arial"/>
                <w:i/>
                <w:iCs/>
                <w:color w:val="000000" w:themeColor="text1"/>
                <w:sz w:val="19"/>
                <w:szCs w:val="19"/>
              </w:rPr>
            </w:pPr>
            <w:r w:rsidRPr="00AA3587">
              <w:rPr>
                <w:rFonts w:ascii="Arial" w:eastAsia="Calibri" w:hAnsi="Arial" w:cs="Arial"/>
                <w:bCs/>
                <w:i/>
                <w:color w:val="000000" w:themeColor="text1"/>
                <w:sz w:val="19"/>
                <w:szCs w:val="19"/>
              </w:rPr>
              <w:t>(16</w:t>
            </w:r>
            <w:r>
              <w:rPr>
                <w:rFonts w:ascii="Arial" w:eastAsia="Calibri" w:hAnsi="Arial" w:cs="Arial"/>
                <w:bCs/>
                <w:i/>
                <w:color w:val="000000" w:themeColor="text1"/>
                <w:sz w:val="19"/>
                <w:szCs w:val="19"/>
              </w:rPr>
              <w:t>3</w:t>
            </w:r>
            <w:r w:rsidRPr="00AA3587">
              <w:rPr>
                <w:rFonts w:ascii="Arial" w:eastAsia="Calibri" w:hAnsi="Arial" w:cs="Arial"/>
                <w:bCs/>
                <w:i/>
                <w:color w:val="000000" w:themeColor="text1"/>
                <w:sz w:val="19"/>
                <w:szCs w:val="19"/>
              </w:rPr>
              <w:t>)</w:t>
            </w:r>
          </w:p>
        </w:tc>
        <w:tc>
          <w:tcPr>
            <w:tcW w:w="1191" w:type="dxa"/>
            <w:tcBorders>
              <w:top w:val="single" w:sz="4" w:space="0" w:color="auto"/>
              <w:left w:val="nil"/>
              <w:bottom w:val="single" w:sz="4" w:space="0" w:color="auto"/>
              <w:right w:val="nil"/>
            </w:tcBorders>
            <w:shd w:val="clear" w:color="auto" w:fill="auto"/>
            <w:vAlign w:val="bottom"/>
          </w:tcPr>
          <w:p w14:paraId="57E053AD" w14:textId="75CA3C60" w:rsidR="00C62244" w:rsidRPr="0073449B" w:rsidRDefault="00D71049" w:rsidP="00C62244">
            <w:pPr>
              <w:suppressAutoHyphens/>
              <w:autoSpaceDN w:val="0"/>
              <w:jc w:val="right"/>
              <w:rPr>
                <w:rFonts w:ascii="Arial" w:eastAsia="Calibri" w:hAnsi="Arial" w:cs="Arial"/>
                <w:bCs/>
                <w:i/>
                <w:color w:val="000000" w:themeColor="text1"/>
                <w:sz w:val="19"/>
                <w:szCs w:val="19"/>
              </w:rPr>
            </w:pPr>
            <w:r>
              <w:rPr>
                <w:rFonts w:ascii="Arial" w:eastAsia="Calibri" w:hAnsi="Arial" w:cs="Arial"/>
                <w:bCs/>
                <w:i/>
                <w:color w:val="000000" w:themeColor="text1"/>
                <w:sz w:val="19"/>
                <w:szCs w:val="19"/>
              </w:rPr>
              <w:t>(19)</w:t>
            </w:r>
          </w:p>
        </w:tc>
        <w:tc>
          <w:tcPr>
            <w:tcW w:w="1191" w:type="dxa"/>
            <w:tcBorders>
              <w:top w:val="single" w:sz="4" w:space="0" w:color="auto"/>
              <w:left w:val="nil"/>
              <w:bottom w:val="single" w:sz="4" w:space="0" w:color="auto"/>
              <w:right w:val="nil"/>
            </w:tcBorders>
            <w:shd w:val="clear" w:color="auto" w:fill="auto"/>
            <w:vAlign w:val="bottom"/>
          </w:tcPr>
          <w:p w14:paraId="53F7055D" w14:textId="00C38320" w:rsidR="00C62244" w:rsidRPr="0073449B" w:rsidRDefault="00C62244" w:rsidP="00C62244">
            <w:pPr>
              <w:suppressAutoHyphens/>
              <w:autoSpaceDN w:val="0"/>
              <w:jc w:val="right"/>
              <w:rPr>
                <w:rFonts w:ascii="Arial" w:eastAsia="Calibri" w:hAnsi="Arial" w:cs="Arial"/>
                <w:i/>
                <w:color w:val="000000" w:themeColor="text1"/>
                <w:sz w:val="19"/>
                <w:szCs w:val="19"/>
              </w:rPr>
            </w:pPr>
            <w:r w:rsidRPr="00104D1C">
              <w:rPr>
                <w:rFonts w:ascii="Arial" w:eastAsia="Calibri" w:hAnsi="Arial" w:cs="Arial"/>
                <w:bCs/>
                <w:i/>
                <w:color w:val="000000" w:themeColor="text1"/>
                <w:sz w:val="19"/>
                <w:szCs w:val="19"/>
              </w:rPr>
              <w:t>(164)</w:t>
            </w:r>
          </w:p>
        </w:tc>
      </w:tr>
      <w:tr w:rsidR="00C62244" w:rsidRPr="0073449B" w14:paraId="1FE4708C" w14:textId="77777777" w:rsidTr="003415C0">
        <w:trPr>
          <w:trHeight w:val="284"/>
        </w:trPr>
        <w:tc>
          <w:tcPr>
            <w:tcW w:w="4820" w:type="dxa"/>
            <w:tcBorders>
              <w:top w:val="nil"/>
              <w:left w:val="nil"/>
              <w:bottom w:val="nil"/>
              <w:right w:val="nil"/>
            </w:tcBorders>
            <w:shd w:val="clear" w:color="auto" w:fill="auto"/>
            <w:vAlign w:val="bottom"/>
          </w:tcPr>
          <w:p w14:paraId="756AD182" w14:textId="01F2625A" w:rsidR="00C62244" w:rsidRPr="0073449B" w:rsidRDefault="00C62244" w:rsidP="00C62244">
            <w:pPr>
              <w:suppressAutoHyphens/>
              <w:autoSpaceDN w:val="0"/>
              <w:rPr>
                <w:rFonts w:ascii="Arial" w:eastAsia="Calibri" w:hAnsi="Arial" w:cs="Arial"/>
                <w:color w:val="000000" w:themeColor="text1"/>
                <w:sz w:val="19"/>
                <w:szCs w:val="19"/>
              </w:rPr>
            </w:pPr>
            <w:r>
              <w:rPr>
                <w:rFonts w:ascii="Arial" w:eastAsia="Calibri" w:hAnsi="Arial" w:cs="Arial"/>
                <w:color w:val="000000" w:themeColor="text1"/>
                <w:sz w:val="19"/>
                <w:szCs w:val="19"/>
              </w:rPr>
              <w:t>Ostala usklađenja</w:t>
            </w:r>
          </w:p>
        </w:tc>
        <w:tc>
          <w:tcPr>
            <w:tcW w:w="1191" w:type="dxa"/>
            <w:tcBorders>
              <w:top w:val="single" w:sz="4" w:space="0" w:color="auto"/>
              <w:left w:val="nil"/>
              <w:right w:val="nil"/>
            </w:tcBorders>
            <w:shd w:val="clear" w:color="auto" w:fill="auto"/>
            <w:vAlign w:val="bottom"/>
          </w:tcPr>
          <w:p w14:paraId="1DF4601D" w14:textId="5E0B3AD4" w:rsidR="00C62244" w:rsidRPr="0073449B" w:rsidRDefault="002B05B9" w:rsidP="00C62244">
            <w:pPr>
              <w:suppressAutoHyphens/>
              <w:autoSpaceDN w:val="0"/>
              <w:jc w:val="right"/>
              <w:rPr>
                <w:rFonts w:ascii="Arial" w:eastAsia="Calibri" w:hAnsi="Arial" w:cs="Arial"/>
                <w:color w:val="000000" w:themeColor="text1"/>
                <w:sz w:val="19"/>
                <w:szCs w:val="19"/>
              </w:rPr>
            </w:pPr>
            <w:r>
              <w:rPr>
                <w:rFonts w:ascii="Arial" w:eastAsia="Calibri" w:hAnsi="Arial" w:cs="Arial"/>
                <w:color w:val="000000" w:themeColor="text1"/>
                <w:sz w:val="19"/>
                <w:szCs w:val="19"/>
              </w:rPr>
              <w:t>2</w:t>
            </w:r>
          </w:p>
        </w:tc>
        <w:tc>
          <w:tcPr>
            <w:tcW w:w="1191" w:type="dxa"/>
            <w:tcBorders>
              <w:top w:val="single" w:sz="4" w:space="0" w:color="auto"/>
              <w:left w:val="nil"/>
              <w:right w:val="nil"/>
            </w:tcBorders>
            <w:shd w:val="clear" w:color="auto" w:fill="auto"/>
            <w:vAlign w:val="bottom"/>
          </w:tcPr>
          <w:p w14:paraId="431803FD" w14:textId="649540CB" w:rsidR="00C62244" w:rsidRPr="0073449B" w:rsidRDefault="00C62244" w:rsidP="00C62244">
            <w:pPr>
              <w:suppressAutoHyphens/>
              <w:autoSpaceDN w:val="0"/>
              <w:jc w:val="right"/>
              <w:rPr>
                <w:rFonts w:ascii="Arial" w:eastAsia="Calibri" w:hAnsi="Arial" w:cs="Arial"/>
                <w:color w:val="000000" w:themeColor="text1"/>
                <w:sz w:val="19"/>
                <w:szCs w:val="19"/>
              </w:rPr>
            </w:pPr>
            <w:r>
              <w:rPr>
                <w:rFonts w:ascii="Arial" w:hAnsi="Arial" w:cs="Arial"/>
                <w:sz w:val="19"/>
                <w:szCs w:val="19"/>
              </w:rPr>
              <w:t>(</w:t>
            </w:r>
            <w:r w:rsidRPr="0073449B">
              <w:rPr>
                <w:rFonts w:ascii="Arial" w:hAnsi="Arial" w:cs="Arial"/>
                <w:sz w:val="19"/>
                <w:szCs w:val="19"/>
              </w:rPr>
              <w:t xml:space="preserve"> 1 </w:t>
            </w:r>
            <w:r>
              <w:rPr>
                <w:rFonts w:ascii="Arial" w:hAnsi="Arial" w:cs="Arial"/>
                <w:sz w:val="19"/>
                <w:szCs w:val="19"/>
              </w:rPr>
              <w:t>)</w:t>
            </w:r>
          </w:p>
        </w:tc>
        <w:tc>
          <w:tcPr>
            <w:tcW w:w="1191" w:type="dxa"/>
            <w:tcBorders>
              <w:top w:val="single" w:sz="4" w:space="0" w:color="auto"/>
              <w:left w:val="nil"/>
              <w:right w:val="nil"/>
            </w:tcBorders>
            <w:shd w:val="clear" w:color="auto" w:fill="auto"/>
            <w:vAlign w:val="bottom"/>
          </w:tcPr>
          <w:p w14:paraId="0B5DD762" w14:textId="6A7B185F" w:rsidR="00C62244" w:rsidRPr="0073449B" w:rsidRDefault="00D71049" w:rsidP="00C62244">
            <w:pPr>
              <w:suppressAutoHyphens/>
              <w:autoSpaceDN w:val="0"/>
              <w:jc w:val="right"/>
              <w:rPr>
                <w:rFonts w:ascii="Arial" w:eastAsia="Calibri" w:hAnsi="Arial" w:cs="Arial"/>
                <w:color w:val="000000" w:themeColor="text1"/>
                <w:sz w:val="19"/>
                <w:szCs w:val="19"/>
              </w:rPr>
            </w:pPr>
            <w:r>
              <w:rPr>
                <w:rFonts w:ascii="Arial" w:eastAsia="Calibri" w:hAnsi="Arial" w:cs="Arial"/>
                <w:color w:val="000000" w:themeColor="text1"/>
                <w:sz w:val="19"/>
                <w:szCs w:val="19"/>
              </w:rPr>
              <w:t>-</w:t>
            </w:r>
          </w:p>
        </w:tc>
        <w:tc>
          <w:tcPr>
            <w:tcW w:w="1191" w:type="dxa"/>
            <w:tcBorders>
              <w:top w:val="single" w:sz="4" w:space="0" w:color="auto"/>
              <w:left w:val="nil"/>
              <w:right w:val="nil"/>
            </w:tcBorders>
            <w:vAlign w:val="bottom"/>
          </w:tcPr>
          <w:p w14:paraId="2A1C6F3E" w14:textId="678A04B7" w:rsidR="00C62244" w:rsidRPr="0073449B" w:rsidRDefault="00C62244" w:rsidP="00C62244">
            <w:pPr>
              <w:suppressAutoHyphens/>
              <w:autoSpaceDN w:val="0"/>
              <w:jc w:val="right"/>
              <w:rPr>
                <w:rFonts w:ascii="Arial" w:eastAsia="Calibri" w:hAnsi="Arial" w:cs="Arial"/>
                <w:color w:val="000000" w:themeColor="text1"/>
                <w:sz w:val="19"/>
                <w:szCs w:val="19"/>
              </w:rPr>
            </w:pPr>
            <w:r>
              <w:rPr>
                <w:rFonts w:ascii="Arial" w:eastAsia="Calibri" w:hAnsi="Arial" w:cs="Arial"/>
                <w:color w:val="000000" w:themeColor="text1"/>
                <w:sz w:val="19"/>
                <w:szCs w:val="19"/>
              </w:rPr>
              <w:t>-</w:t>
            </w:r>
          </w:p>
        </w:tc>
      </w:tr>
      <w:tr w:rsidR="00C62244" w:rsidRPr="0073449B" w14:paraId="490EF246" w14:textId="77777777" w:rsidTr="0073449B">
        <w:trPr>
          <w:trHeight w:val="379"/>
        </w:trPr>
        <w:tc>
          <w:tcPr>
            <w:tcW w:w="4820" w:type="dxa"/>
            <w:tcBorders>
              <w:top w:val="nil"/>
              <w:left w:val="nil"/>
              <w:bottom w:val="nil"/>
              <w:right w:val="nil"/>
            </w:tcBorders>
            <w:shd w:val="clear" w:color="auto" w:fill="auto"/>
            <w:vAlign w:val="bottom"/>
          </w:tcPr>
          <w:p w14:paraId="19BE683A" w14:textId="77777777" w:rsidR="00C62244" w:rsidRPr="0073449B" w:rsidRDefault="00C62244" w:rsidP="00C62244">
            <w:pPr>
              <w:suppressAutoHyphens/>
              <w:autoSpaceDN w:val="0"/>
              <w:rPr>
                <w:rFonts w:ascii="Arial" w:eastAsia="Calibri" w:hAnsi="Arial" w:cs="Arial"/>
                <w:b/>
                <w:bCs/>
                <w:color w:val="000000" w:themeColor="text1"/>
                <w:sz w:val="19"/>
                <w:szCs w:val="19"/>
              </w:rPr>
            </w:pPr>
            <w:r w:rsidRPr="0073449B">
              <w:rPr>
                <w:rFonts w:ascii="Arial" w:eastAsia="Calibri" w:hAnsi="Arial" w:cs="Arial"/>
                <w:b/>
                <w:bCs/>
                <w:color w:val="000000" w:themeColor="text1"/>
                <w:sz w:val="19"/>
                <w:szCs w:val="19"/>
              </w:rPr>
              <w:t>Stanje na kraju izvještajnog razdoblja</w:t>
            </w:r>
          </w:p>
        </w:tc>
        <w:tc>
          <w:tcPr>
            <w:tcW w:w="1191" w:type="dxa"/>
            <w:tcBorders>
              <w:top w:val="single" w:sz="4" w:space="0" w:color="auto"/>
              <w:left w:val="nil"/>
              <w:bottom w:val="single" w:sz="12" w:space="0" w:color="auto"/>
              <w:right w:val="nil"/>
            </w:tcBorders>
            <w:shd w:val="clear" w:color="auto" w:fill="auto"/>
            <w:noWrap/>
            <w:vAlign w:val="bottom"/>
          </w:tcPr>
          <w:p w14:paraId="38B149D8" w14:textId="72B27207" w:rsidR="00C62244" w:rsidRPr="0073449B" w:rsidRDefault="00A425F2" w:rsidP="00C62244">
            <w:pPr>
              <w:suppressAutoHyphens/>
              <w:autoSpaceDN w:val="0"/>
              <w:jc w:val="right"/>
              <w:rPr>
                <w:rFonts w:ascii="Arial" w:eastAsia="Calibri" w:hAnsi="Arial" w:cs="Arial"/>
                <w:b/>
                <w:bCs/>
                <w:color w:val="000000" w:themeColor="text1"/>
                <w:sz w:val="19"/>
                <w:szCs w:val="19"/>
              </w:rPr>
            </w:pPr>
            <w:r>
              <w:rPr>
                <w:rFonts w:ascii="Arial" w:eastAsia="Calibri" w:hAnsi="Arial" w:cs="Arial"/>
                <w:b/>
                <w:bCs/>
                <w:color w:val="000000" w:themeColor="text1"/>
                <w:sz w:val="19"/>
                <w:szCs w:val="19"/>
              </w:rPr>
              <w:t>435</w:t>
            </w:r>
          </w:p>
        </w:tc>
        <w:tc>
          <w:tcPr>
            <w:tcW w:w="1191" w:type="dxa"/>
            <w:tcBorders>
              <w:top w:val="single" w:sz="4" w:space="0" w:color="auto"/>
              <w:left w:val="nil"/>
              <w:bottom w:val="single" w:sz="12" w:space="0" w:color="auto"/>
              <w:right w:val="nil"/>
            </w:tcBorders>
            <w:shd w:val="clear" w:color="auto" w:fill="auto"/>
            <w:vAlign w:val="bottom"/>
          </w:tcPr>
          <w:p w14:paraId="046AB5F8" w14:textId="4CE39518" w:rsidR="00C62244" w:rsidRPr="0073449B" w:rsidRDefault="00C62244" w:rsidP="00C62244">
            <w:pPr>
              <w:suppressAutoHyphens/>
              <w:autoSpaceDN w:val="0"/>
              <w:jc w:val="right"/>
              <w:rPr>
                <w:rFonts w:ascii="Arial" w:eastAsia="Calibri" w:hAnsi="Arial" w:cs="Arial"/>
                <w:b/>
                <w:bCs/>
                <w:color w:val="000000" w:themeColor="text1"/>
                <w:sz w:val="19"/>
                <w:szCs w:val="19"/>
              </w:rPr>
            </w:pPr>
            <w:r>
              <w:rPr>
                <w:rFonts w:ascii="Arial" w:hAnsi="Arial" w:cs="Arial"/>
                <w:b/>
                <w:bCs/>
                <w:sz w:val="19"/>
                <w:szCs w:val="19"/>
              </w:rPr>
              <w:t>454</w:t>
            </w:r>
            <w:r w:rsidRPr="0073449B">
              <w:rPr>
                <w:rFonts w:ascii="Arial" w:hAnsi="Arial" w:cs="Arial"/>
                <w:b/>
                <w:bCs/>
                <w:sz w:val="19"/>
                <w:szCs w:val="19"/>
              </w:rPr>
              <w:t xml:space="preserve"> </w:t>
            </w:r>
          </w:p>
        </w:tc>
        <w:tc>
          <w:tcPr>
            <w:tcW w:w="1191" w:type="dxa"/>
            <w:tcBorders>
              <w:top w:val="single" w:sz="4" w:space="0" w:color="auto"/>
              <w:left w:val="nil"/>
              <w:bottom w:val="single" w:sz="12" w:space="0" w:color="auto"/>
              <w:right w:val="nil"/>
            </w:tcBorders>
            <w:shd w:val="clear" w:color="auto" w:fill="auto"/>
            <w:vAlign w:val="bottom"/>
          </w:tcPr>
          <w:p w14:paraId="0CD39E0C" w14:textId="1E4633A7" w:rsidR="00C62244" w:rsidRPr="0073449B" w:rsidRDefault="00EA61F3" w:rsidP="00C62244">
            <w:pPr>
              <w:suppressAutoHyphens/>
              <w:autoSpaceDN w:val="0"/>
              <w:jc w:val="right"/>
              <w:rPr>
                <w:rFonts w:ascii="Arial" w:eastAsia="Calibri" w:hAnsi="Arial" w:cs="Arial"/>
                <w:b/>
                <w:bCs/>
                <w:color w:val="000000" w:themeColor="text1"/>
                <w:sz w:val="19"/>
                <w:szCs w:val="19"/>
              </w:rPr>
            </w:pPr>
            <w:r>
              <w:rPr>
                <w:rFonts w:ascii="Arial" w:eastAsia="Calibri" w:hAnsi="Arial" w:cs="Arial"/>
                <w:b/>
                <w:bCs/>
                <w:color w:val="000000" w:themeColor="text1"/>
                <w:sz w:val="19"/>
                <w:szCs w:val="19"/>
              </w:rPr>
              <w:t>423</w:t>
            </w:r>
          </w:p>
        </w:tc>
        <w:tc>
          <w:tcPr>
            <w:tcW w:w="1191" w:type="dxa"/>
            <w:tcBorders>
              <w:top w:val="single" w:sz="4" w:space="0" w:color="auto"/>
              <w:left w:val="nil"/>
              <w:bottom w:val="single" w:sz="12" w:space="0" w:color="auto"/>
              <w:right w:val="nil"/>
            </w:tcBorders>
            <w:vAlign w:val="bottom"/>
          </w:tcPr>
          <w:p w14:paraId="2D62F99E" w14:textId="34E3D31F" w:rsidR="00C62244" w:rsidRPr="0073449B" w:rsidRDefault="00C62244" w:rsidP="00C62244">
            <w:pPr>
              <w:suppressAutoHyphens/>
              <w:autoSpaceDN w:val="0"/>
              <w:jc w:val="right"/>
              <w:rPr>
                <w:rFonts w:ascii="Arial" w:eastAsia="Calibri" w:hAnsi="Arial" w:cs="Arial"/>
                <w:b/>
                <w:bCs/>
                <w:color w:val="000000" w:themeColor="text1"/>
                <w:sz w:val="19"/>
                <w:szCs w:val="19"/>
              </w:rPr>
            </w:pPr>
            <w:r>
              <w:rPr>
                <w:rFonts w:ascii="Arial" w:hAnsi="Arial" w:cs="Arial"/>
                <w:b/>
                <w:bCs/>
                <w:sz w:val="19"/>
                <w:szCs w:val="19"/>
              </w:rPr>
              <w:t>442</w:t>
            </w:r>
            <w:r w:rsidRPr="0073449B">
              <w:rPr>
                <w:rFonts w:ascii="Arial" w:hAnsi="Arial" w:cs="Arial"/>
                <w:b/>
                <w:bCs/>
                <w:sz w:val="19"/>
                <w:szCs w:val="19"/>
              </w:rPr>
              <w:t xml:space="preserve"> </w:t>
            </w:r>
          </w:p>
        </w:tc>
      </w:tr>
    </w:tbl>
    <w:p w14:paraId="5D713308" w14:textId="77777777" w:rsidR="001B247D" w:rsidRPr="003D1614" w:rsidRDefault="001B247D" w:rsidP="001B247D">
      <w:pPr>
        <w:suppressAutoHyphens/>
        <w:autoSpaceDN w:val="0"/>
        <w:jc w:val="both"/>
        <w:outlineLvl w:val="0"/>
        <w:rPr>
          <w:rFonts w:ascii="Arial" w:eastAsia="Calibri" w:hAnsi="Arial" w:cs="Arial"/>
          <w:bCs/>
          <w:color w:val="000000" w:themeColor="text1"/>
          <w:sz w:val="20"/>
          <w:szCs w:val="20"/>
        </w:rPr>
      </w:pPr>
    </w:p>
    <w:p w14:paraId="5ABF9E4F" w14:textId="77777777" w:rsidR="001B247D" w:rsidRPr="003D1614" w:rsidRDefault="001B247D" w:rsidP="001B247D">
      <w:pPr>
        <w:suppressAutoHyphens/>
        <w:autoSpaceDN w:val="0"/>
        <w:jc w:val="both"/>
        <w:outlineLvl w:val="0"/>
        <w:rPr>
          <w:rFonts w:ascii="Arial" w:eastAsia="Calibri" w:hAnsi="Arial" w:cs="Arial"/>
          <w:bCs/>
          <w:color w:val="000000" w:themeColor="text1"/>
          <w:sz w:val="20"/>
          <w:szCs w:val="20"/>
        </w:rPr>
      </w:pPr>
    </w:p>
    <w:p w14:paraId="69611707" w14:textId="4CBD517E" w:rsidR="001B247D" w:rsidRPr="003D1614" w:rsidRDefault="001B247D" w:rsidP="001B247D">
      <w:pPr>
        <w:suppressAutoHyphens/>
        <w:autoSpaceDN w:val="0"/>
        <w:jc w:val="both"/>
        <w:outlineLvl w:val="0"/>
        <w:rPr>
          <w:rFonts w:ascii="Arial" w:eastAsia="Calibri" w:hAnsi="Arial" w:cs="Arial"/>
          <w:bCs/>
          <w:color w:val="000000" w:themeColor="text1"/>
          <w:sz w:val="20"/>
          <w:szCs w:val="20"/>
        </w:rPr>
      </w:pPr>
    </w:p>
    <w:p w14:paraId="1EF32B50" w14:textId="77777777" w:rsidR="001B247D" w:rsidRPr="003D1614" w:rsidRDefault="001B247D" w:rsidP="001B247D">
      <w:pPr>
        <w:suppressAutoHyphens/>
        <w:autoSpaceDN w:val="0"/>
        <w:jc w:val="both"/>
        <w:outlineLvl w:val="0"/>
        <w:rPr>
          <w:rFonts w:ascii="Arial" w:eastAsia="Calibri" w:hAnsi="Arial" w:cs="Arial"/>
          <w:bCs/>
          <w:color w:val="000000" w:themeColor="text1"/>
          <w:sz w:val="20"/>
          <w:szCs w:val="20"/>
        </w:rPr>
        <w:sectPr w:rsidR="001B247D" w:rsidRPr="003D1614">
          <w:pgSz w:w="11906" w:h="16838"/>
          <w:pgMar w:top="1417" w:right="1417" w:bottom="1417" w:left="1417" w:header="708" w:footer="708" w:gutter="0"/>
          <w:cols w:space="708"/>
          <w:docGrid w:linePitch="360"/>
        </w:sectPr>
      </w:pPr>
    </w:p>
    <w:p w14:paraId="40C8F745" w14:textId="77777777" w:rsidR="001B247D" w:rsidRPr="003D1614" w:rsidRDefault="001B247D" w:rsidP="001B247D">
      <w:pPr>
        <w:suppressAutoHyphens/>
        <w:autoSpaceDN w:val="0"/>
        <w:jc w:val="both"/>
        <w:outlineLvl w:val="0"/>
        <w:rPr>
          <w:rFonts w:ascii="Arial" w:eastAsia="Times New Roman" w:hAnsi="Arial" w:cs="Arial"/>
          <w:b/>
          <w:bCs/>
          <w:color w:val="000000" w:themeColor="text1"/>
          <w:sz w:val="20"/>
          <w:szCs w:val="20"/>
        </w:rPr>
      </w:pPr>
    </w:p>
    <w:p w14:paraId="78C2E5AF" w14:textId="109C7136" w:rsidR="001B247D" w:rsidRPr="003D1614" w:rsidRDefault="001B247D" w:rsidP="001B247D">
      <w:pPr>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1</w:t>
      </w:r>
      <w:r w:rsidR="003D1614">
        <w:rPr>
          <w:rFonts w:ascii="Arial" w:eastAsia="Times New Roman" w:hAnsi="Arial" w:cs="Arial"/>
          <w:b/>
          <w:bCs/>
          <w:color w:val="000000" w:themeColor="text1"/>
          <w:sz w:val="20"/>
          <w:szCs w:val="20"/>
        </w:rPr>
        <w:t>4</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Financijska imovina po fer vrijednosti kroz ostalu sveobuhvatnu dobit (nastavak)</w:t>
      </w:r>
    </w:p>
    <w:p w14:paraId="67F25FAF" w14:textId="77777777" w:rsidR="001B247D" w:rsidRPr="003D1614" w:rsidRDefault="001B247D" w:rsidP="001B247D">
      <w:pPr>
        <w:suppressAutoHyphens/>
        <w:autoSpaceDN w:val="0"/>
        <w:jc w:val="both"/>
        <w:outlineLvl w:val="0"/>
        <w:rPr>
          <w:rFonts w:ascii="Arial" w:eastAsia="Times New Roman" w:hAnsi="Arial" w:cs="Arial"/>
          <w:color w:val="000000" w:themeColor="text1"/>
          <w:sz w:val="20"/>
          <w:szCs w:val="20"/>
        </w:rPr>
      </w:pPr>
    </w:p>
    <w:p w14:paraId="584DB92E" w14:textId="77777777" w:rsidR="001B247D" w:rsidRPr="003D1614" w:rsidRDefault="001B247D" w:rsidP="001B247D">
      <w:pPr>
        <w:tabs>
          <w:tab w:val="left" w:pos="-720"/>
        </w:tabs>
        <w:suppressAutoHyphens/>
        <w:autoSpaceDN w:val="0"/>
        <w:rPr>
          <w:rFonts w:ascii="Arial" w:eastAsia="Times New Roman" w:hAnsi="Arial" w:cs="Arial"/>
          <w:color w:val="000000" w:themeColor="text1"/>
          <w:spacing w:val="-3"/>
          <w:sz w:val="20"/>
          <w:szCs w:val="20"/>
        </w:rPr>
      </w:pPr>
      <w:r w:rsidRPr="003D1614">
        <w:rPr>
          <w:rFonts w:ascii="Arial" w:eastAsia="Times New Roman" w:hAnsi="Arial" w:cs="Arial"/>
          <w:color w:val="000000" w:themeColor="text1"/>
          <w:spacing w:val="-3"/>
          <w:sz w:val="20"/>
          <w:szCs w:val="20"/>
        </w:rPr>
        <w:t>U nastavku se daje pregled ulaganja:</w:t>
      </w:r>
    </w:p>
    <w:p w14:paraId="38C5F62C" w14:textId="77777777" w:rsidR="001B247D" w:rsidRPr="003D1614" w:rsidRDefault="001B247D" w:rsidP="001B247D">
      <w:pPr>
        <w:suppressAutoHyphens/>
        <w:autoSpaceDN w:val="0"/>
        <w:rPr>
          <w:rFonts w:ascii="Arial" w:eastAsia="Times New Roman" w:hAnsi="Arial" w:cs="Arial"/>
          <w:color w:val="000000" w:themeColor="text1"/>
        </w:rPr>
      </w:pPr>
    </w:p>
    <w:tbl>
      <w:tblPr>
        <w:tblW w:w="10856" w:type="dxa"/>
        <w:tblInd w:w="-851" w:type="dxa"/>
        <w:tblLayout w:type="fixed"/>
        <w:tblLook w:val="04A0" w:firstRow="1" w:lastRow="0" w:firstColumn="1" w:lastColumn="0" w:noHBand="0" w:noVBand="1"/>
      </w:tblPr>
      <w:tblGrid>
        <w:gridCol w:w="2692"/>
        <w:gridCol w:w="1219"/>
        <w:gridCol w:w="1129"/>
        <w:gridCol w:w="1196"/>
        <w:gridCol w:w="1155"/>
        <w:gridCol w:w="1155"/>
        <w:gridCol w:w="1155"/>
        <w:gridCol w:w="1155"/>
      </w:tblGrid>
      <w:tr w:rsidR="001B247D" w:rsidRPr="003D1614" w14:paraId="36FD2F27" w14:textId="77777777" w:rsidTr="002C73F0">
        <w:trPr>
          <w:trHeight w:val="229"/>
        </w:trPr>
        <w:tc>
          <w:tcPr>
            <w:tcW w:w="2692" w:type="dxa"/>
            <w:tcBorders>
              <w:top w:val="nil"/>
              <w:left w:val="nil"/>
              <w:bottom w:val="nil"/>
              <w:right w:val="nil"/>
            </w:tcBorders>
            <w:shd w:val="clear" w:color="auto" w:fill="auto"/>
            <w:noWrap/>
            <w:vAlign w:val="bottom"/>
            <w:hideMark/>
          </w:tcPr>
          <w:p w14:paraId="1D81D55F" w14:textId="77777777" w:rsidR="001B247D" w:rsidRPr="003D1614" w:rsidRDefault="001B247D" w:rsidP="001B247D">
            <w:pPr>
              <w:suppressAutoHyphens/>
              <w:autoSpaceDN w:val="0"/>
              <w:rPr>
                <w:rFonts w:ascii="Arial" w:eastAsia="Calibri" w:hAnsi="Arial" w:cs="Arial"/>
                <w:color w:val="000000"/>
                <w:sz w:val="16"/>
                <w:szCs w:val="16"/>
              </w:rPr>
            </w:pPr>
            <w:bookmarkStart w:id="414" w:name="_Hlk141878680"/>
          </w:p>
        </w:tc>
        <w:tc>
          <w:tcPr>
            <w:tcW w:w="1219" w:type="dxa"/>
            <w:tcBorders>
              <w:top w:val="nil"/>
              <w:left w:val="nil"/>
              <w:bottom w:val="nil"/>
              <w:right w:val="nil"/>
            </w:tcBorders>
            <w:shd w:val="clear" w:color="auto" w:fill="auto"/>
            <w:vAlign w:val="bottom"/>
            <w:hideMark/>
          </w:tcPr>
          <w:p w14:paraId="18E359C2" w14:textId="77777777" w:rsidR="001B247D" w:rsidRPr="003D1614" w:rsidRDefault="001B247D" w:rsidP="001B247D">
            <w:pPr>
              <w:suppressAutoHyphens/>
              <w:autoSpaceDN w:val="0"/>
              <w:rPr>
                <w:rFonts w:ascii="Arial" w:eastAsia="Calibri" w:hAnsi="Arial" w:cs="Arial"/>
                <w:color w:val="000000"/>
                <w:sz w:val="16"/>
                <w:szCs w:val="16"/>
              </w:rPr>
            </w:pPr>
          </w:p>
        </w:tc>
        <w:tc>
          <w:tcPr>
            <w:tcW w:w="1129" w:type="dxa"/>
            <w:tcBorders>
              <w:top w:val="nil"/>
              <w:left w:val="nil"/>
              <w:bottom w:val="nil"/>
              <w:right w:val="nil"/>
            </w:tcBorders>
            <w:shd w:val="clear" w:color="auto" w:fill="auto"/>
            <w:vAlign w:val="bottom"/>
            <w:hideMark/>
          </w:tcPr>
          <w:p w14:paraId="64F71C73" w14:textId="77777777" w:rsidR="001B247D" w:rsidRPr="003D1614" w:rsidRDefault="001B247D" w:rsidP="001B247D">
            <w:pPr>
              <w:suppressAutoHyphens/>
              <w:autoSpaceDN w:val="0"/>
              <w:jc w:val="center"/>
              <w:rPr>
                <w:rFonts w:ascii="Arial" w:eastAsia="Calibri" w:hAnsi="Arial" w:cs="Arial"/>
                <w:color w:val="000000"/>
                <w:sz w:val="16"/>
                <w:szCs w:val="16"/>
              </w:rPr>
            </w:pPr>
          </w:p>
        </w:tc>
        <w:tc>
          <w:tcPr>
            <w:tcW w:w="1196" w:type="dxa"/>
            <w:tcBorders>
              <w:top w:val="nil"/>
              <w:left w:val="nil"/>
              <w:bottom w:val="nil"/>
              <w:right w:val="nil"/>
            </w:tcBorders>
            <w:shd w:val="clear" w:color="auto" w:fill="auto"/>
            <w:vAlign w:val="bottom"/>
            <w:hideMark/>
          </w:tcPr>
          <w:p w14:paraId="770B51B9" w14:textId="77777777" w:rsidR="001B247D" w:rsidRPr="003D1614" w:rsidRDefault="001B247D" w:rsidP="001B247D">
            <w:pPr>
              <w:suppressAutoHyphens/>
              <w:autoSpaceDN w:val="0"/>
              <w:jc w:val="center"/>
              <w:rPr>
                <w:rFonts w:ascii="Arial" w:eastAsia="Calibri" w:hAnsi="Arial" w:cs="Arial"/>
                <w:color w:val="000000"/>
                <w:sz w:val="16"/>
                <w:szCs w:val="16"/>
              </w:rPr>
            </w:pPr>
          </w:p>
        </w:tc>
        <w:tc>
          <w:tcPr>
            <w:tcW w:w="2310" w:type="dxa"/>
            <w:gridSpan w:val="2"/>
            <w:tcBorders>
              <w:top w:val="nil"/>
              <w:left w:val="nil"/>
              <w:bottom w:val="nil"/>
              <w:right w:val="nil"/>
            </w:tcBorders>
            <w:vAlign w:val="bottom"/>
          </w:tcPr>
          <w:p w14:paraId="084B2045" w14:textId="77777777" w:rsidR="001B247D" w:rsidRPr="003D1614" w:rsidRDefault="001B247D" w:rsidP="001B247D">
            <w:pPr>
              <w:suppressAutoHyphens/>
              <w:autoSpaceDN w:val="0"/>
              <w:jc w:val="right"/>
              <w:rPr>
                <w:rFonts w:ascii="Arial" w:eastAsia="Calibri" w:hAnsi="Arial" w:cs="Arial"/>
                <w:b/>
                <w:bCs/>
                <w:color w:val="000000"/>
                <w:sz w:val="16"/>
                <w:szCs w:val="16"/>
              </w:rPr>
            </w:pPr>
            <w:r w:rsidRPr="003D1614">
              <w:rPr>
                <w:rFonts w:ascii="Arial" w:eastAsia="Calibri" w:hAnsi="Arial" w:cs="Arial"/>
                <w:b/>
                <w:bCs/>
                <w:color w:val="000000"/>
                <w:sz w:val="16"/>
                <w:szCs w:val="16"/>
              </w:rPr>
              <w:t>Grupa</w:t>
            </w:r>
          </w:p>
        </w:tc>
        <w:tc>
          <w:tcPr>
            <w:tcW w:w="2310" w:type="dxa"/>
            <w:gridSpan w:val="2"/>
            <w:tcBorders>
              <w:top w:val="nil"/>
              <w:left w:val="nil"/>
              <w:bottom w:val="nil"/>
              <w:right w:val="nil"/>
            </w:tcBorders>
            <w:shd w:val="clear" w:color="auto" w:fill="auto"/>
            <w:vAlign w:val="bottom"/>
            <w:hideMark/>
          </w:tcPr>
          <w:p w14:paraId="4521A67F" w14:textId="77777777" w:rsidR="001B247D" w:rsidRPr="003D1614" w:rsidRDefault="001B247D" w:rsidP="001B247D">
            <w:pPr>
              <w:suppressAutoHyphens/>
              <w:autoSpaceDN w:val="0"/>
              <w:jc w:val="right"/>
              <w:rPr>
                <w:rFonts w:ascii="Arial" w:eastAsia="Calibri" w:hAnsi="Arial" w:cs="Arial"/>
                <w:b/>
                <w:bCs/>
                <w:color w:val="000000"/>
                <w:sz w:val="16"/>
                <w:szCs w:val="16"/>
              </w:rPr>
            </w:pPr>
            <w:r w:rsidRPr="003D1614">
              <w:rPr>
                <w:rFonts w:ascii="Arial" w:eastAsia="Calibri" w:hAnsi="Arial" w:cs="Arial"/>
                <w:b/>
                <w:bCs/>
                <w:color w:val="000000"/>
                <w:sz w:val="16"/>
                <w:szCs w:val="16"/>
              </w:rPr>
              <w:t>Banka</w:t>
            </w:r>
          </w:p>
        </w:tc>
      </w:tr>
      <w:tr w:rsidR="001B247D" w:rsidRPr="003D1614" w14:paraId="07076885" w14:textId="77777777" w:rsidTr="002C73F0">
        <w:trPr>
          <w:trHeight w:val="420"/>
        </w:trPr>
        <w:tc>
          <w:tcPr>
            <w:tcW w:w="2692" w:type="dxa"/>
            <w:tcBorders>
              <w:top w:val="nil"/>
              <w:left w:val="nil"/>
              <w:bottom w:val="nil"/>
              <w:right w:val="nil"/>
            </w:tcBorders>
            <w:shd w:val="clear" w:color="auto" w:fill="auto"/>
            <w:noWrap/>
            <w:vAlign w:val="bottom"/>
            <w:hideMark/>
          </w:tcPr>
          <w:p w14:paraId="2A06BCEB" w14:textId="77777777" w:rsidR="001B247D" w:rsidRPr="003D1614" w:rsidRDefault="001B247D" w:rsidP="001B247D">
            <w:pPr>
              <w:suppressAutoHyphens/>
              <w:autoSpaceDN w:val="0"/>
              <w:jc w:val="right"/>
              <w:rPr>
                <w:rFonts w:ascii="Arial" w:eastAsia="Calibri" w:hAnsi="Arial" w:cs="Arial"/>
                <w:b/>
                <w:bCs/>
                <w:color w:val="000000"/>
                <w:sz w:val="16"/>
                <w:szCs w:val="16"/>
              </w:rPr>
            </w:pPr>
          </w:p>
        </w:tc>
        <w:tc>
          <w:tcPr>
            <w:tcW w:w="1219" w:type="dxa"/>
            <w:tcBorders>
              <w:top w:val="nil"/>
              <w:left w:val="nil"/>
              <w:bottom w:val="nil"/>
              <w:right w:val="nil"/>
            </w:tcBorders>
            <w:shd w:val="clear" w:color="auto" w:fill="auto"/>
            <w:vAlign w:val="bottom"/>
            <w:hideMark/>
          </w:tcPr>
          <w:p w14:paraId="5F8A3D5D" w14:textId="77777777" w:rsidR="001B247D" w:rsidRPr="003D1614" w:rsidRDefault="001B247D" w:rsidP="001B247D">
            <w:pPr>
              <w:suppressAutoHyphens/>
              <w:autoSpaceDN w:val="0"/>
              <w:jc w:val="center"/>
              <w:rPr>
                <w:rFonts w:ascii="Arial" w:eastAsia="Calibri" w:hAnsi="Arial" w:cs="Arial"/>
                <w:b/>
                <w:bCs/>
                <w:color w:val="000000"/>
                <w:sz w:val="16"/>
                <w:szCs w:val="16"/>
              </w:rPr>
            </w:pPr>
            <w:r w:rsidRPr="003D1614">
              <w:rPr>
                <w:rFonts w:ascii="Arial" w:eastAsia="Calibri" w:hAnsi="Arial" w:cs="Arial"/>
                <w:b/>
                <w:bCs/>
                <w:color w:val="000000"/>
                <w:sz w:val="16"/>
                <w:szCs w:val="16"/>
              </w:rPr>
              <w:t>Datum izdanja</w:t>
            </w:r>
          </w:p>
        </w:tc>
        <w:tc>
          <w:tcPr>
            <w:tcW w:w="1129" w:type="dxa"/>
            <w:tcBorders>
              <w:top w:val="nil"/>
              <w:left w:val="nil"/>
              <w:bottom w:val="nil"/>
              <w:right w:val="nil"/>
            </w:tcBorders>
            <w:shd w:val="clear" w:color="auto" w:fill="auto"/>
            <w:vAlign w:val="bottom"/>
            <w:hideMark/>
          </w:tcPr>
          <w:p w14:paraId="55610940" w14:textId="77777777" w:rsidR="001B247D" w:rsidRPr="003D1614" w:rsidRDefault="001B247D" w:rsidP="001B247D">
            <w:pPr>
              <w:suppressAutoHyphens/>
              <w:autoSpaceDN w:val="0"/>
              <w:jc w:val="center"/>
              <w:rPr>
                <w:rFonts w:ascii="Arial" w:eastAsia="Calibri" w:hAnsi="Arial" w:cs="Arial"/>
                <w:b/>
                <w:bCs/>
                <w:color w:val="000000"/>
                <w:sz w:val="16"/>
                <w:szCs w:val="16"/>
              </w:rPr>
            </w:pPr>
            <w:r w:rsidRPr="003D1614">
              <w:rPr>
                <w:rFonts w:ascii="Arial" w:eastAsia="Calibri" w:hAnsi="Arial" w:cs="Arial"/>
                <w:b/>
                <w:bCs/>
                <w:color w:val="000000"/>
                <w:sz w:val="16"/>
                <w:szCs w:val="16"/>
              </w:rPr>
              <w:t>Datum dospijeća</w:t>
            </w:r>
          </w:p>
        </w:tc>
        <w:tc>
          <w:tcPr>
            <w:tcW w:w="1196" w:type="dxa"/>
            <w:tcBorders>
              <w:top w:val="nil"/>
              <w:left w:val="nil"/>
              <w:bottom w:val="nil"/>
              <w:right w:val="nil"/>
            </w:tcBorders>
            <w:shd w:val="clear" w:color="auto" w:fill="auto"/>
            <w:vAlign w:val="bottom"/>
            <w:hideMark/>
          </w:tcPr>
          <w:p w14:paraId="06ACCEBF" w14:textId="77777777" w:rsidR="001B247D" w:rsidRPr="003D1614" w:rsidRDefault="001B247D" w:rsidP="001B247D">
            <w:pPr>
              <w:suppressAutoHyphens/>
              <w:autoSpaceDN w:val="0"/>
              <w:jc w:val="center"/>
              <w:rPr>
                <w:rFonts w:ascii="Arial" w:eastAsia="Calibri" w:hAnsi="Arial" w:cs="Arial"/>
                <w:b/>
                <w:bCs/>
                <w:color w:val="000000"/>
                <w:sz w:val="16"/>
                <w:szCs w:val="16"/>
              </w:rPr>
            </w:pPr>
            <w:r w:rsidRPr="003D1614">
              <w:rPr>
                <w:rFonts w:ascii="Arial" w:eastAsia="Calibri" w:hAnsi="Arial" w:cs="Arial"/>
                <w:b/>
                <w:bCs/>
                <w:color w:val="000000"/>
                <w:sz w:val="16"/>
                <w:szCs w:val="16"/>
              </w:rPr>
              <w:t>Kamatna stopa</w:t>
            </w:r>
            <w:r w:rsidRPr="003D1614">
              <w:rPr>
                <w:rFonts w:ascii="Arial" w:eastAsia="Calibri" w:hAnsi="Arial" w:cs="Arial"/>
                <w:b/>
                <w:bCs/>
                <w:color w:val="000000"/>
                <w:sz w:val="16"/>
                <w:szCs w:val="16"/>
              </w:rPr>
              <w:br/>
              <w:t>(%)</w:t>
            </w:r>
          </w:p>
        </w:tc>
        <w:tc>
          <w:tcPr>
            <w:tcW w:w="1155" w:type="dxa"/>
            <w:tcBorders>
              <w:top w:val="nil"/>
              <w:left w:val="nil"/>
              <w:bottom w:val="nil"/>
              <w:right w:val="nil"/>
            </w:tcBorders>
            <w:vAlign w:val="bottom"/>
          </w:tcPr>
          <w:p w14:paraId="2E84177B" w14:textId="42D4073D" w:rsidR="001B247D" w:rsidRPr="003D1614" w:rsidRDefault="00C60785" w:rsidP="001B247D">
            <w:pPr>
              <w:suppressAutoHyphens/>
              <w:autoSpaceDN w:val="0"/>
              <w:jc w:val="right"/>
              <w:rPr>
                <w:rFonts w:ascii="Arial" w:eastAsia="Calibri" w:hAnsi="Arial" w:cs="Arial"/>
                <w:b/>
                <w:bCs/>
                <w:color w:val="000000"/>
                <w:sz w:val="16"/>
                <w:szCs w:val="16"/>
              </w:rPr>
            </w:pPr>
            <w:r w:rsidRPr="00C60785">
              <w:rPr>
                <w:rFonts w:ascii="Arial" w:eastAsia="Calibri" w:hAnsi="Arial" w:cs="Arial"/>
                <w:b/>
                <w:bCs/>
                <w:color w:val="000000"/>
                <w:sz w:val="16"/>
                <w:szCs w:val="16"/>
              </w:rPr>
              <w:t>30. rujna 202</w:t>
            </w:r>
            <w:r w:rsidR="00527FE5">
              <w:rPr>
                <w:rFonts w:ascii="Arial" w:eastAsia="Calibri" w:hAnsi="Arial" w:cs="Arial"/>
                <w:b/>
                <w:bCs/>
                <w:color w:val="000000"/>
                <w:sz w:val="16"/>
                <w:szCs w:val="16"/>
              </w:rPr>
              <w:t>4</w:t>
            </w:r>
            <w:r w:rsidRPr="00C60785">
              <w:rPr>
                <w:rFonts w:ascii="Arial" w:eastAsia="Calibri" w:hAnsi="Arial" w:cs="Arial"/>
                <w:b/>
                <w:bCs/>
                <w:color w:val="000000"/>
                <w:sz w:val="16"/>
                <w:szCs w:val="16"/>
              </w:rPr>
              <w:t>.</w:t>
            </w:r>
          </w:p>
        </w:tc>
        <w:tc>
          <w:tcPr>
            <w:tcW w:w="1155" w:type="dxa"/>
            <w:tcBorders>
              <w:top w:val="nil"/>
              <w:left w:val="nil"/>
              <w:bottom w:val="nil"/>
              <w:right w:val="nil"/>
            </w:tcBorders>
            <w:vAlign w:val="bottom"/>
            <w:hideMark/>
          </w:tcPr>
          <w:p w14:paraId="1C8595F7" w14:textId="7045D7F6" w:rsidR="001B247D" w:rsidRPr="003D1614" w:rsidRDefault="001B247D" w:rsidP="001B247D">
            <w:pPr>
              <w:suppressAutoHyphens/>
              <w:autoSpaceDN w:val="0"/>
              <w:jc w:val="right"/>
              <w:rPr>
                <w:rFonts w:ascii="Arial" w:eastAsia="Calibri" w:hAnsi="Arial" w:cs="Arial"/>
                <w:b/>
                <w:bCs/>
                <w:color w:val="000000"/>
                <w:sz w:val="16"/>
                <w:szCs w:val="16"/>
              </w:rPr>
            </w:pPr>
            <w:r w:rsidRPr="003D1614">
              <w:rPr>
                <w:rFonts w:ascii="Arial" w:eastAsia="Calibri" w:hAnsi="Arial" w:cs="Arial"/>
                <w:b/>
                <w:bCs/>
                <w:color w:val="000000"/>
                <w:sz w:val="16"/>
                <w:szCs w:val="16"/>
              </w:rPr>
              <w:t>31. prosinca 202</w:t>
            </w:r>
            <w:r w:rsidR="00527FE5">
              <w:rPr>
                <w:rFonts w:ascii="Arial" w:eastAsia="Calibri" w:hAnsi="Arial" w:cs="Arial"/>
                <w:b/>
                <w:bCs/>
                <w:color w:val="000000"/>
                <w:sz w:val="16"/>
                <w:szCs w:val="16"/>
              </w:rPr>
              <w:t>3</w:t>
            </w:r>
            <w:r w:rsidRPr="003D1614">
              <w:rPr>
                <w:rFonts w:ascii="Arial" w:eastAsia="Calibri" w:hAnsi="Arial" w:cs="Arial"/>
                <w:b/>
                <w:bCs/>
                <w:color w:val="000000"/>
                <w:sz w:val="16"/>
                <w:szCs w:val="16"/>
              </w:rPr>
              <w:t>.</w:t>
            </w:r>
          </w:p>
        </w:tc>
        <w:tc>
          <w:tcPr>
            <w:tcW w:w="1155" w:type="dxa"/>
            <w:tcBorders>
              <w:top w:val="nil"/>
              <w:left w:val="nil"/>
              <w:bottom w:val="nil"/>
              <w:right w:val="nil"/>
            </w:tcBorders>
            <w:shd w:val="clear" w:color="auto" w:fill="auto"/>
            <w:vAlign w:val="bottom"/>
          </w:tcPr>
          <w:p w14:paraId="4BD6D4C2" w14:textId="02FAC6A7" w:rsidR="001B247D" w:rsidRPr="003D1614" w:rsidRDefault="00C60785" w:rsidP="001B247D">
            <w:pPr>
              <w:suppressAutoHyphens/>
              <w:autoSpaceDN w:val="0"/>
              <w:jc w:val="right"/>
              <w:rPr>
                <w:rFonts w:ascii="Arial" w:eastAsia="Calibri" w:hAnsi="Arial" w:cs="Arial"/>
                <w:b/>
                <w:bCs/>
                <w:color w:val="000000"/>
                <w:sz w:val="16"/>
                <w:szCs w:val="16"/>
              </w:rPr>
            </w:pPr>
            <w:r w:rsidRPr="00C60785">
              <w:rPr>
                <w:rFonts w:ascii="Arial" w:eastAsia="Calibri" w:hAnsi="Arial" w:cs="Arial"/>
                <w:b/>
                <w:bCs/>
                <w:color w:val="000000"/>
                <w:sz w:val="16"/>
                <w:szCs w:val="16"/>
              </w:rPr>
              <w:t>30. rujna 202</w:t>
            </w:r>
            <w:r w:rsidR="00527FE5">
              <w:rPr>
                <w:rFonts w:ascii="Arial" w:eastAsia="Calibri" w:hAnsi="Arial" w:cs="Arial"/>
                <w:b/>
                <w:bCs/>
                <w:color w:val="000000"/>
                <w:sz w:val="16"/>
                <w:szCs w:val="16"/>
              </w:rPr>
              <w:t>4</w:t>
            </w:r>
            <w:r w:rsidRPr="00C60785">
              <w:rPr>
                <w:rFonts w:ascii="Arial" w:eastAsia="Calibri" w:hAnsi="Arial" w:cs="Arial"/>
                <w:b/>
                <w:bCs/>
                <w:color w:val="000000"/>
                <w:sz w:val="16"/>
                <w:szCs w:val="16"/>
              </w:rPr>
              <w:t>.</w:t>
            </w:r>
          </w:p>
        </w:tc>
        <w:tc>
          <w:tcPr>
            <w:tcW w:w="1155" w:type="dxa"/>
            <w:tcBorders>
              <w:top w:val="nil"/>
              <w:left w:val="nil"/>
              <w:bottom w:val="nil"/>
              <w:right w:val="nil"/>
            </w:tcBorders>
            <w:vAlign w:val="bottom"/>
            <w:hideMark/>
          </w:tcPr>
          <w:p w14:paraId="0BAD00E1" w14:textId="44EC96D5" w:rsidR="001B247D" w:rsidRPr="003D1614" w:rsidRDefault="001B247D" w:rsidP="001B247D">
            <w:pPr>
              <w:suppressAutoHyphens/>
              <w:autoSpaceDN w:val="0"/>
              <w:jc w:val="right"/>
              <w:rPr>
                <w:rFonts w:ascii="Arial" w:eastAsia="Calibri" w:hAnsi="Arial" w:cs="Arial"/>
                <w:b/>
                <w:bCs/>
                <w:color w:val="000000"/>
                <w:sz w:val="16"/>
                <w:szCs w:val="16"/>
              </w:rPr>
            </w:pPr>
            <w:r w:rsidRPr="003D1614">
              <w:rPr>
                <w:rFonts w:ascii="Arial" w:eastAsia="Calibri" w:hAnsi="Arial" w:cs="Arial"/>
                <w:b/>
                <w:bCs/>
                <w:color w:val="000000"/>
                <w:sz w:val="16"/>
                <w:szCs w:val="16"/>
              </w:rPr>
              <w:t>31. prosinca 202</w:t>
            </w:r>
            <w:r w:rsidR="00527FE5">
              <w:rPr>
                <w:rFonts w:ascii="Arial" w:eastAsia="Calibri" w:hAnsi="Arial" w:cs="Arial"/>
                <w:b/>
                <w:bCs/>
                <w:color w:val="000000"/>
                <w:sz w:val="16"/>
                <w:szCs w:val="16"/>
              </w:rPr>
              <w:t>3</w:t>
            </w:r>
            <w:r w:rsidRPr="003D1614">
              <w:rPr>
                <w:rFonts w:ascii="Arial" w:eastAsia="Calibri" w:hAnsi="Arial" w:cs="Arial"/>
                <w:b/>
                <w:bCs/>
                <w:color w:val="000000"/>
                <w:sz w:val="16"/>
                <w:szCs w:val="16"/>
              </w:rPr>
              <w:t>.</w:t>
            </w:r>
          </w:p>
        </w:tc>
      </w:tr>
      <w:tr w:rsidR="001B247D" w:rsidRPr="003D1614" w14:paraId="2B60FF4F" w14:textId="77777777" w:rsidTr="002C73F0">
        <w:trPr>
          <w:trHeight w:val="218"/>
        </w:trPr>
        <w:tc>
          <w:tcPr>
            <w:tcW w:w="2692" w:type="dxa"/>
            <w:tcBorders>
              <w:top w:val="nil"/>
              <w:left w:val="nil"/>
              <w:bottom w:val="nil"/>
              <w:right w:val="nil"/>
            </w:tcBorders>
            <w:shd w:val="clear" w:color="auto" w:fill="auto"/>
            <w:noWrap/>
            <w:vAlign w:val="bottom"/>
          </w:tcPr>
          <w:p w14:paraId="4241734F" w14:textId="77777777" w:rsidR="001B247D" w:rsidRPr="003D1614" w:rsidRDefault="001B247D" w:rsidP="001B247D">
            <w:pPr>
              <w:suppressAutoHyphens/>
              <w:autoSpaceDN w:val="0"/>
              <w:jc w:val="right"/>
              <w:rPr>
                <w:rFonts w:ascii="Arial" w:eastAsia="Calibri" w:hAnsi="Arial" w:cs="Arial"/>
                <w:b/>
                <w:bCs/>
                <w:color w:val="000000"/>
                <w:sz w:val="16"/>
                <w:szCs w:val="16"/>
              </w:rPr>
            </w:pPr>
          </w:p>
        </w:tc>
        <w:tc>
          <w:tcPr>
            <w:tcW w:w="1219" w:type="dxa"/>
            <w:tcBorders>
              <w:top w:val="nil"/>
              <w:left w:val="nil"/>
              <w:bottom w:val="nil"/>
              <w:right w:val="nil"/>
            </w:tcBorders>
            <w:shd w:val="clear" w:color="auto" w:fill="auto"/>
            <w:vAlign w:val="bottom"/>
          </w:tcPr>
          <w:p w14:paraId="63F171FE" w14:textId="77777777" w:rsidR="001B247D" w:rsidRPr="003D1614" w:rsidRDefault="001B247D" w:rsidP="001B247D">
            <w:pPr>
              <w:suppressAutoHyphens/>
              <w:autoSpaceDN w:val="0"/>
              <w:jc w:val="center"/>
              <w:rPr>
                <w:rFonts w:ascii="Arial" w:eastAsia="Calibri" w:hAnsi="Arial" w:cs="Arial"/>
                <w:b/>
                <w:bCs/>
                <w:color w:val="000000"/>
                <w:sz w:val="16"/>
                <w:szCs w:val="16"/>
              </w:rPr>
            </w:pPr>
          </w:p>
        </w:tc>
        <w:tc>
          <w:tcPr>
            <w:tcW w:w="1129" w:type="dxa"/>
            <w:tcBorders>
              <w:top w:val="nil"/>
              <w:left w:val="nil"/>
              <w:bottom w:val="nil"/>
              <w:right w:val="nil"/>
            </w:tcBorders>
            <w:shd w:val="clear" w:color="auto" w:fill="auto"/>
            <w:vAlign w:val="bottom"/>
          </w:tcPr>
          <w:p w14:paraId="40AF0460" w14:textId="77777777" w:rsidR="001B247D" w:rsidRPr="003D1614" w:rsidRDefault="001B247D" w:rsidP="001B247D">
            <w:pPr>
              <w:suppressAutoHyphens/>
              <w:autoSpaceDN w:val="0"/>
              <w:jc w:val="center"/>
              <w:rPr>
                <w:rFonts w:ascii="Arial" w:eastAsia="Calibri" w:hAnsi="Arial" w:cs="Arial"/>
                <w:b/>
                <w:bCs/>
                <w:color w:val="000000"/>
                <w:sz w:val="16"/>
                <w:szCs w:val="16"/>
              </w:rPr>
            </w:pPr>
          </w:p>
        </w:tc>
        <w:tc>
          <w:tcPr>
            <w:tcW w:w="1196" w:type="dxa"/>
            <w:tcBorders>
              <w:top w:val="nil"/>
              <w:left w:val="nil"/>
              <w:bottom w:val="nil"/>
              <w:right w:val="nil"/>
            </w:tcBorders>
            <w:shd w:val="clear" w:color="auto" w:fill="auto"/>
            <w:vAlign w:val="bottom"/>
          </w:tcPr>
          <w:p w14:paraId="1547AE52" w14:textId="77777777" w:rsidR="001B247D" w:rsidRPr="003D1614" w:rsidRDefault="001B247D" w:rsidP="001B247D">
            <w:pPr>
              <w:suppressAutoHyphens/>
              <w:autoSpaceDN w:val="0"/>
              <w:jc w:val="center"/>
              <w:rPr>
                <w:rFonts w:ascii="Arial" w:eastAsia="Calibri" w:hAnsi="Arial" w:cs="Arial"/>
                <w:b/>
                <w:bCs/>
                <w:color w:val="000000"/>
                <w:sz w:val="16"/>
                <w:szCs w:val="16"/>
              </w:rPr>
            </w:pPr>
          </w:p>
        </w:tc>
        <w:tc>
          <w:tcPr>
            <w:tcW w:w="1155" w:type="dxa"/>
            <w:tcBorders>
              <w:top w:val="nil"/>
              <w:left w:val="nil"/>
              <w:bottom w:val="nil"/>
              <w:right w:val="nil"/>
            </w:tcBorders>
            <w:shd w:val="clear" w:color="auto" w:fill="auto"/>
            <w:vAlign w:val="bottom"/>
          </w:tcPr>
          <w:p w14:paraId="79F7324A" w14:textId="16F5084A" w:rsidR="001B247D" w:rsidRPr="003D1614" w:rsidRDefault="001B247D" w:rsidP="001B247D">
            <w:pPr>
              <w:suppressAutoHyphens/>
              <w:autoSpaceDN w:val="0"/>
              <w:jc w:val="right"/>
              <w:rPr>
                <w:rFonts w:ascii="Arial" w:eastAsia="Calibri" w:hAnsi="Arial" w:cs="Arial"/>
                <w:b/>
                <w:bCs/>
                <w:color w:val="000000"/>
                <w:sz w:val="16"/>
                <w:szCs w:val="16"/>
              </w:rPr>
            </w:pPr>
            <w:r w:rsidRPr="003D1614">
              <w:rPr>
                <w:rFonts w:ascii="Arial" w:eastAsia="Calibri" w:hAnsi="Arial" w:cs="Arial"/>
                <w:b/>
                <w:bCs/>
                <w:color w:val="000000"/>
                <w:sz w:val="16"/>
                <w:szCs w:val="16"/>
              </w:rPr>
              <w:t>000 eura</w:t>
            </w:r>
          </w:p>
        </w:tc>
        <w:tc>
          <w:tcPr>
            <w:tcW w:w="1155" w:type="dxa"/>
            <w:tcBorders>
              <w:top w:val="nil"/>
              <w:left w:val="nil"/>
              <w:bottom w:val="nil"/>
              <w:right w:val="nil"/>
            </w:tcBorders>
            <w:shd w:val="clear" w:color="auto" w:fill="auto"/>
            <w:vAlign w:val="bottom"/>
          </w:tcPr>
          <w:p w14:paraId="1B512B0F" w14:textId="62C96547" w:rsidR="001B247D" w:rsidRPr="003D1614" w:rsidRDefault="001B247D" w:rsidP="001B247D">
            <w:pPr>
              <w:suppressAutoHyphens/>
              <w:autoSpaceDN w:val="0"/>
              <w:jc w:val="right"/>
              <w:rPr>
                <w:rFonts w:ascii="Arial" w:eastAsia="Calibri" w:hAnsi="Arial" w:cs="Arial"/>
                <w:b/>
                <w:bCs/>
                <w:color w:val="000000"/>
                <w:sz w:val="16"/>
                <w:szCs w:val="16"/>
              </w:rPr>
            </w:pPr>
            <w:r w:rsidRPr="003D1614">
              <w:rPr>
                <w:rFonts w:ascii="Arial" w:eastAsia="Calibri" w:hAnsi="Arial" w:cs="Arial"/>
                <w:b/>
                <w:bCs/>
                <w:color w:val="000000"/>
                <w:sz w:val="16"/>
                <w:szCs w:val="16"/>
              </w:rPr>
              <w:t>000 eura</w:t>
            </w:r>
          </w:p>
        </w:tc>
        <w:tc>
          <w:tcPr>
            <w:tcW w:w="1155" w:type="dxa"/>
            <w:tcBorders>
              <w:top w:val="nil"/>
              <w:left w:val="nil"/>
              <w:bottom w:val="nil"/>
              <w:right w:val="nil"/>
            </w:tcBorders>
            <w:shd w:val="clear" w:color="auto" w:fill="auto"/>
            <w:vAlign w:val="bottom"/>
          </w:tcPr>
          <w:p w14:paraId="13EDA0C4" w14:textId="0D28A948" w:rsidR="001B247D" w:rsidRPr="003D1614" w:rsidRDefault="001B247D" w:rsidP="001B247D">
            <w:pPr>
              <w:suppressAutoHyphens/>
              <w:autoSpaceDN w:val="0"/>
              <w:jc w:val="right"/>
              <w:rPr>
                <w:rFonts w:ascii="Arial" w:eastAsia="Calibri" w:hAnsi="Arial" w:cs="Arial"/>
                <w:b/>
                <w:bCs/>
                <w:color w:val="000000"/>
                <w:sz w:val="16"/>
                <w:szCs w:val="16"/>
              </w:rPr>
            </w:pPr>
            <w:r w:rsidRPr="003D1614">
              <w:rPr>
                <w:rFonts w:ascii="Arial" w:eastAsia="Calibri" w:hAnsi="Arial" w:cs="Arial"/>
                <w:b/>
                <w:bCs/>
                <w:color w:val="000000"/>
                <w:sz w:val="16"/>
                <w:szCs w:val="16"/>
              </w:rPr>
              <w:t>000 eura</w:t>
            </w:r>
          </w:p>
        </w:tc>
        <w:tc>
          <w:tcPr>
            <w:tcW w:w="1155" w:type="dxa"/>
            <w:tcBorders>
              <w:top w:val="nil"/>
              <w:left w:val="nil"/>
              <w:bottom w:val="nil"/>
              <w:right w:val="nil"/>
            </w:tcBorders>
            <w:shd w:val="clear" w:color="auto" w:fill="auto"/>
            <w:vAlign w:val="bottom"/>
          </w:tcPr>
          <w:p w14:paraId="1E3D292A" w14:textId="6037EF29" w:rsidR="001B247D" w:rsidRPr="003D1614" w:rsidRDefault="001B247D" w:rsidP="001B247D">
            <w:pPr>
              <w:suppressAutoHyphens/>
              <w:autoSpaceDN w:val="0"/>
              <w:jc w:val="right"/>
              <w:rPr>
                <w:rFonts w:ascii="Arial" w:eastAsia="Calibri" w:hAnsi="Arial" w:cs="Arial"/>
                <w:b/>
                <w:bCs/>
                <w:color w:val="000000"/>
                <w:sz w:val="16"/>
                <w:szCs w:val="16"/>
              </w:rPr>
            </w:pPr>
            <w:r w:rsidRPr="003D1614">
              <w:rPr>
                <w:rFonts w:ascii="Arial" w:eastAsia="Calibri" w:hAnsi="Arial" w:cs="Arial"/>
                <w:b/>
                <w:bCs/>
                <w:color w:val="000000"/>
                <w:sz w:val="16"/>
                <w:szCs w:val="16"/>
              </w:rPr>
              <w:t>000 eura</w:t>
            </w:r>
          </w:p>
        </w:tc>
      </w:tr>
      <w:tr w:rsidR="001B247D" w:rsidRPr="003D1614" w14:paraId="202012DC" w14:textId="77777777" w:rsidTr="002C73F0">
        <w:trPr>
          <w:trHeight w:val="271"/>
        </w:trPr>
        <w:tc>
          <w:tcPr>
            <w:tcW w:w="2692" w:type="dxa"/>
            <w:tcBorders>
              <w:top w:val="nil"/>
              <w:left w:val="nil"/>
              <w:bottom w:val="nil"/>
              <w:right w:val="nil"/>
            </w:tcBorders>
            <w:shd w:val="clear" w:color="auto" w:fill="auto"/>
            <w:noWrap/>
            <w:vAlign w:val="bottom"/>
            <w:hideMark/>
          </w:tcPr>
          <w:p w14:paraId="432F4560" w14:textId="77777777" w:rsidR="001B247D" w:rsidRPr="003D1614" w:rsidRDefault="001B247D" w:rsidP="001B247D">
            <w:pPr>
              <w:suppressAutoHyphens/>
              <w:autoSpaceDN w:val="0"/>
              <w:jc w:val="both"/>
              <w:rPr>
                <w:rFonts w:ascii="Arial" w:eastAsia="Calibri" w:hAnsi="Arial" w:cs="Arial"/>
                <w:b/>
                <w:bCs/>
                <w:color w:val="000000"/>
                <w:sz w:val="16"/>
                <w:szCs w:val="16"/>
              </w:rPr>
            </w:pPr>
            <w:r w:rsidRPr="003D1614">
              <w:rPr>
                <w:rFonts w:ascii="Arial" w:eastAsia="Calibri" w:hAnsi="Arial" w:cs="Arial"/>
                <w:b/>
                <w:bCs/>
                <w:color w:val="000000"/>
                <w:sz w:val="16"/>
                <w:szCs w:val="16"/>
              </w:rPr>
              <w:t>Dužnički vrijednosni papiri:</w:t>
            </w:r>
          </w:p>
        </w:tc>
        <w:tc>
          <w:tcPr>
            <w:tcW w:w="1219" w:type="dxa"/>
            <w:tcBorders>
              <w:top w:val="nil"/>
              <w:left w:val="nil"/>
              <w:bottom w:val="nil"/>
              <w:right w:val="nil"/>
            </w:tcBorders>
            <w:shd w:val="clear" w:color="auto" w:fill="auto"/>
            <w:noWrap/>
            <w:vAlign w:val="bottom"/>
            <w:hideMark/>
          </w:tcPr>
          <w:p w14:paraId="07855F40" w14:textId="77777777" w:rsidR="001B247D" w:rsidRPr="003D1614" w:rsidRDefault="001B247D" w:rsidP="001B247D">
            <w:pPr>
              <w:suppressAutoHyphens/>
              <w:autoSpaceDN w:val="0"/>
              <w:jc w:val="both"/>
              <w:rPr>
                <w:rFonts w:ascii="Arial" w:eastAsia="Calibri" w:hAnsi="Arial" w:cs="Arial"/>
                <w:b/>
                <w:bCs/>
                <w:color w:val="000000"/>
                <w:sz w:val="16"/>
                <w:szCs w:val="16"/>
              </w:rPr>
            </w:pPr>
          </w:p>
        </w:tc>
        <w:tc>
          <w:tcPr>
            <w:tcW w:w="1129" w:type="dxa"/>
            <w:tcBorders>
              <w:top w:val="nil"/>
              <w:left w:val="nil"/>
              <w:bottom w:val="nil"/>
              <w:right w:val="nil"/>
            </w:tcBorders>
            <w:shd w:val="clear" w:color="auto" w:fill="auto"/>
            <w:noWrap/>
            <w:vAlign w:val="bottom"/>
            <w:hideMark/>
          </w:tcPr>
          <w:p w14:paraId="22A3D8E4" w14:textId="77777777" w:rsidR="001B247D" w:rsidRPr="003D1614" w:rsidRDefault="001B247D" w:rsidP="001B247D">
            <w:pPr>
              <w:suppressAutoHyphens/>
              <w:autoSpaceDN w:val="0"/>
              <w:rPr>
                <w:rFonts w:ascii="Arial" w:eastAsia="Calibri" w:hAnsi="Arial" w:cs="Arial"/>
                <w:color w:val="000000"/>
                <w:sz w:val="16"/>
                <w:szCs w:val="16"/>
              </w:rPr>
            </w:pPr>
          </w:p>
        </w:tc>
        <w:tc>
          <w:tcPr>
            <w:tcW w:w="1196" w:type="dxa"/>
            <w:tcBorders>
              <w:top w:val="nil"/>
              <w:left w:val="nil"/>
              <w:bottom w:val="nil"/>
              <w:right w:val="nil"/>
            </w:tcBorders>
            <w:shd w:val="clear" w:color="auto" w:fill="auto"/>
            <w:vAlign w:val="bottom"/>
            <w:hideMark/>
          </w:tcPr>
          <w:p w14:paraId="02C476FA" w14:textId="77777777" w:rsidR="001B247D" w:rsidRPr="003D1614" w:rsidRDefault="001B247D" w:rsidP="001B247D">
            <w:pPr>
              <w:suppressAutoHyphens/>
              <w:autoSpaceDN w:val="0"/>
              <w:rPr>
                <w:rFonts w:ascii="Arial" w:eastAsia="Calibri" w:hAnsi="Arial" w:cs="Arial"/>
                <w:color w:val="000000"/>
                <w:sz w:val="16"/>
                <w:szCs w:val="16"/>
              </w:rPr>
            </w:pPr>
          </w:p>
        </w:tc>
        <w:tc>
          <w:tcPr>
            <w:tcW w:w="1155" w:type="dxa"/>
            <w:tcBorders>
              <w:top w:val="nil"/>
              <w:left w:val="nil"/>
              <w:bottom w:val="nil"/>
              <w:right w:val="nil"/>
            </w:tcBorders>
            <w:vAlign w:val="bottom"/>
          </w:tcPr>
          <w:p w14:paraId="4615079F" w14:textId="77777777" w:rsidR="001B247D" w:rsidRPr="003D1614" w:rsidRDefault="001B247D" w:rsidP="001B247D">
            <w:pPr>
              <w:suppressAutoHyphens/>
              <w:autoSpaceDN w:val="0"/>
              <w:rPr>
                <w:rFonts w:ascii="Arial" w:eastAsia="Calibri" w:hAnsi="Arial" w:cs="Arial"/>
                <w:color w:val="000000"/>
                <w:sz w:val="16"/>
                <w:szCs w:val="16"/>
              </w:rPr>
            </w:pPr>
          </w:p>
        </w:tc>
        <w:tc>
          <w:tcPr>
            <w:tcW w:w="1155" w:type="dxa"/>
            <w:tcBorders>
              <w:top w:val="nil"/>
              <w:left w:val="nil"/>
              <w:bottom w:val="nil"/>
              <w:right w:val="nil"/>
            </w:tcBorders>
            <w:vAlign w:val="bottom"/>
          </w:tcPr>
          <w:p w14:paraId="2FD23E73" w14:textId="77777777" w:rsidR="001B247D" w:rsidRPr="003D1614" w:rsidRDefault="001B247D" w:rsidP="001B247D">
            <w:pPr>
              <w:suppressAutoHyphens/>
              <w:autoSpaceDN w:val="0"/>
              <w:rPr>
                <w:rFonts w:ascii="Arial" w:eastAsia="Calibri" w:hAnsi="Arial" w:cs="Arial"/>
                <w:color w:val="000000"/>
                <w:sz w:val="16"/>
                <w:szCs w:val="16"/>
              </w:rPr>
            </w:pPr>
          </w:p>
        </w:tc>
        <w:tc>
          <w:tcPr>
            <w:tcW w:w="1155" w:type="dxa"/>
            <w:tcBorders>
              <w:top w:val="nil"/>
              <w:left w:val="nil"/>
              <w:bottom w:val="nil"/>
              <w:right w:val="nil"/>
            </w:tcBorders>
            <w:shd w:val="clear" w:color="auto" w:fill="auto"/>
            <w:vAlign w:val="bottom"/>
          </w:tcPr>
          <w:p w14:paraId="2FB28A89" w14:textId="77777777" w:rsidR="001B247D" w:rsidRPr="003D1614" w:rsidRDefault="001B247D" w:rsidP="001B247D">
            <w:pPr>
              <w:suppressAutoHyphens/>
              <w:autoSpaceDN w:val="0"/>
              <w:jc w:val="both"/>
              <w:rPr>
                <w:rFonts w:ascii="Arial" w:eastAsia="Calibri" w:hAnsi="Arial" w:cs="Arial"/>
                <w:color w:val="000000"/>
                <w:sz w:val="16"/>
                <w:szCs w:val="16"/>
              </w:rPr>
            </w:pPr>
          </w:p>
        </w:tc>
        <w:tc>
          <w:tcPr>
            <w:tcW w:w="1155" w:type="dxa"/>
            <w:tcBorders>
              <w:top w:val="nil"/>
              <w:left w:val="nil"/>
              <w:bottom w:val="nil"/>
              <w:right w:val="nil"/>
            </w:tcBorders>
            <w:vAlign w:val="bottom"/>
            <w:hideMark/>
          </w:tcPr>
          <w:p w14:paraId="6F796B8E" w14:textId="77777777" w:rsidR="001B247D" w:rsidRPr="003D1614" w:rsidRDefault="001B247D" w:rsidP="001B247D">
            <w:pPr>
              <w:suppressAutoHyphens/>
              <w:autoSpaceDN w:val="0"/>
              <w:jc w:val="both"/>
              <w:rPr>
                <w:rFonts w:ascii="Arial" w:eastAsia="Calibri" w:hAnsi="Arial" w:cs="Arial"/>
                <w:color w:val="000000"/>
                <w:sz w:val="16"/>
                <w:szCs w:val="16"/>
              </w:rPr>
            </w:pPr>
          </w:p>
        </w:tc>
      </w:tr>
      <w:tr w:rsidR="001B247D" w:rsidRPr="003D1614" w14:paraId="2FC0803E" w14:textId="77777777" w:rsidTr="002C73F0">
        <w:trPr>
          <w:trHeight w:val="229"/>
        </w:trPr>
        <w:tc>
          <w:tcPr>
            <w:tcW w:w="3911" w:type="dxa"/>
            <w:gridSpan w:val="2"/>
            <w:tcBorders>
              <w:top w:val="nil"/>
              <w:left w:val="nil"/>
              <w:bottom w:val="nil"/>
              <w:right w:val="nil"/>
            </w:tcBorders>
            <w:shd w:val="clear" w:color="auto" w:fill="auto"/>
            <w:noWrap/>
            <w:vAlign w:val="bottom"/>
            <w:hideMark/>
          </w:tcPr>
          <w:p w14:paraId="09804789" w14:textId="77777777" w:rsidR="001B247D" w:rsidRPr="003D1614" w:rsidRDefault="001B247D" w:rsidP="001B247D">
            <w:pPr>
              <w:suppressAutoHyphens/>
              <w:autoSpaceDN w:val="0"/>
              <w:jc w:val="both"/>
              <w:rPr>
                <w:rFonts w:ascii="Arial" w:eastAsia="Calibri" w:hAnsi="Arial" w:cs="Arial"/>
                <w:color w:val="000000"/>
                <w:sz w:val="16"/>
                <w:szCs w:val="16"/>
              </w:rPr>
            </w:pPr>
            <w:r w:rsidRPr="003D1614">
              <w:rPr>
                <w:rFonts w:ascii="Arial" w:eastAsia="Calibri" w:hAnsi="Arial" w:cs="Arial"/>
                <w:color w:val="000000"/>
                <w:sz w:val="16"/>
                <w:szCs w:val="16"/>
              </w:rPr>
              <w:t>Dužnički vrijednosni papiri koji kotiraju:</w:t>
            </w:r>
          </w:p>
        </w:tc>
        <w:tc>
          <w:tcPr>
            <w:tcW w:w="1129" w:type="dxa"/>
            <w:tcBorders>
              <w:top w:val="nil"/>
              <w:left w:val="nil"/>
              <w:bottom w:val="nil"/>
              <w:right w:val="nil"/>
            </w:tcBorders>
            <w:shd w:val="clear" w:color="auto" w:fill="auto"/>
            <w:noWrap/>
            <w:vAlign w:val="bottom"/>
            <w:hideMark/>
          </w:tcPr>
          <w:p w14:paraId="1944FC6F" w14:textId="77777777" w:rsidR="001B247D" w:rsidRPr="003D1614" w:rsidRDefault="001B247D" w:rsidP="001B247D">
            <w:pPr>
              <w:suppressAutoHyphens/>
              <w:autoSpaceDN w:val="0"/>
              <w:jc w:val="center"/>
              <w:rPr>
                <w:rFonts w:ascii="Arial" w:eastAsia="Calibri" w:hAnsi="Arial" w:cs="Arial"/>
                <w:color w:val="000000"/>
                <w:sz w:val="16"/>
                <w:szCs w:val="16"/>
              </w:rPr>
            </w:pPr>
          </w:p>
        </w:tc>
        <w:tc>
          <w:tcPr>
            <w:tcW w:w="1196" w:type="dxa"/>
            <w:tcBorders>
              <w:top w:val="nil"/>
              <w:left w:val="nil"/>
              <w:bottom w:val="nil"/>
              <w:right w:val="nil"/>
            </w:tcBorders>
            <w:shd w:val="clear" w:color="auto" w:fill="auto"/>
            <w:vAlign w:val="bottom"/>
            <w:hideMark/>
          </w:tcPr>
          <w:p w14:paraId="0694E181" w14:textId="77777777" w:rsidR="001B247D" w:rsidRPr="003D1614" w:rsidRDefault="001B247D" w:rsidP="001B247D">
            <w:pPr>
              <w:suppressAutoHyphens/>
              <w:autoSpaceDN w:val="0"/>
              <w:jc w:val="both"/>
              <w:rPr>
                <w:rFonts w:ascii="Arial" w:eastAsia="Calibri" w:hAnsi="Arial" w:cs="Arial"/>
                <w:color w:val="000000"/>
                <w:sz w:val="16"/>
                <w:szCs w:val="16"/>
              </w:rPr>
            </w:pPr>
          </w:p>
        </w:tc>
        <w:tc>
          <w:tcPr>
            <w:tcW w:w="1155" w:type="dxa"/>
            <w:tcBorders>
              <w:top w:val="nil"/>
              <w:left w:val="nil"/>
              <w:bottom w:val="nil"/>
              <w:right w:val="nil"/>
            </w:tcBorders>
            <w:vAlign w:val="bottom"/>
          </w:tcPr>
          <w:p w14:paraId="189BC7AA" w14:textId="77777777" w:rsidR="001B247D" w:rsidRPr="003D1614" w:rsidRDefault="001B247D" w:rsidP="001B247D">
            <w:pPr>
              <w:suppressAutoHyphens/>
              <w:autoSpaceDN w:val="0"/>
              <w:jc w:val="both"/>
              <w:rPr>
                <w:rFonts w:ascii="Arial" w:eastAsia="Calibri" w:hAnsi="Arial" w:cs="Arial"/>
                <w:color w:val="000000"/>
                <w:sz w:val="16"/>
                <w:szCs w:val="16"/>
              </w:rPr>
            </w:pPr>
          </w:p>
        </w:tc>
        <w:tc>
          <w:tcPr>
            <w:tcW w:w="1155" w:type="dxa"/>
            <w:tcBorders>
              <w:top w:val="nil"/>
              <w:left w:val="nil"/>
              <w:bottom w:val="nil"/>
              <w:right w:val="nil"/>
            </w:tcBorders>
            <w:shd w:val="clear" w:color="auto" w:fill="auto"/>
            <w:vAlign w:val="bottom"/>
          </w:tcPr>
          <w:p w14:paraId="2B478845" w14:textId="77777777" w:rsidR="001B247D" w:rsidRPr="003D1614" w:rsidRDefault="001B247D" w:rsidP="001B247D">
            <w:pPr>
              <w:suppressAutoHyphens/>
              <w:autoSpaceDN w:val="0"/>
              <w:jc w:val="both"/>
              <w:rPr>
                <w:rFonts w:ascii="Arial" w:eastAsia="Calibri" w:hAnsi="Arial" w:cs="Arial"/>
                <w:color w:val="000000"/>
                <w:sz w:val="16"/>
                <w:szCs w:val="16"/>
              </w:rPr>
            </w:pPr>
          </w:p>
        </w:tc>
        <w:tc>
          <w:tcPr>
            <w:tcW w:w="1155" w:type="dxa"/>
            <w:tcBorders>
              <w:top w:val="nil"/>
              <w:left w:val="nil"/>
              <w:bottom w:val="nil"/>
              <w:right w:val="nil"/>
            </w:tcBorders>
            <w:vAlign w:val="bottom"/>
          </w:tcPr>
          <w:p w14:paraId="72438BCA" w14:textId="77777777" w:rsidR="001B247D" w:rsidRPr="003D1614" w:rsidRDefault="001B247D" w:rsidP="001B247D">
            <w:pPr>
              <w:suppressAutoHyphens/>
              <w:autoSpaceDN w:val="0"/>
              <w:jc w:val="both"/>
              <w:rPr>
                <w:rFonts w:ascii="Arial" w:eastAsia="Calibri" w:hAnsi="Arial" w:cs="Arial"/>
                <w:color w:val="000000"/>
                <w:sz w:val="16"/>
                <w:szCs w:val="16"/>
              </w:rPr>
            </w:pPr>
          </w:p>
        </w:tc>
        <w:tc>
          <w:tcPr>
            <w:tcW w:w="1155" w:type="dxa"/>
            <w:tcBorders>
              <w:top w:val="nil"/>
              <w:left w:val="nil"/>
              <w:bottom w:val="nil"/>
              <w:right w:val="nil"/>
            </w:tcBorders>
            <w:shd w:val="clear" w:color="auto" w:fill="auto"/>
            <w:vAlign w:val="bottom"/>
            <w:hideMark/>
          </w:tcPr>
          <w:p w14:paraId="2456C496" w14:textId="77777777" w:rsidR="001B247D" w:rsidRPr="003D1614" w:rsidRDefault="001B247D" w:rsidP="001B247D">
            <w:pPr>
              <w:suppressAutoHyphens/>
              <w:autoSpaceDN w:val="0"/>
              <w:jc w:val="both"/>
              <w:rPr>
                <w:rFonts w:ascii="Arial" w:eastAsia="Calibri" w:hAnsi="Arial" w:cs="Arial"/>
                <w:color w:val="000000"/>
                <w:sz w:val="16"/>
                <w:szCs w:val="16"/>
              </w:rPr>
            </w:pPr>
          </w:p>
        </w:tc>
      </w:tr>
      <w:tr w:rsidR="001B247D" w:rsidRPr="003D1614" w14:paraId="4BB6636D" w14:textId="77777777" w:rsidTr="002C73F0">
        <w:trPr>
          <w:trHeight w:hRule="exact" w:val="227"/>
        </w:trPr>
        <w:tc>
          <w:tcPr>
            <w:tcW w:w="5040" w:type="dxa"/>
            <w:gridSpan w:val="3"/>
            <w:tcBorders>
              <w:top w:val="nil"/>
              <w:left w:val="nil"/>
              <w:bottom w:val="nil"/>
              <w:right w:val="nil"/>
            </w:tcBorders>
            <w:shd w:val="clear" w:color="auto" w:fill="auto"/>
            <w:noWrap/>
            <w:vAlign w:val="bottom"/>
            <w:hideMark/>
          </w:tcPr>
          <w:p w14:paraId="07048486" w14:textId="11528408" w:rsidR="001B247D" w:rsidRPr="003D1614" w:rsidRDefault="001B247D" w:rsidP="001B247D">
            <w:pPr>
              <w:suppressAutoHyphens/>
              <w:autoSpaceDN w:val="0"/>
              <w:jc w:val="both"/>
              <w:rPr>
                <w:rFonts w:ascii="Arial" w:eastAsia="Calibri" w:hAnsi="Arial" w:cs="Arial"/>
                <w:i/>
                <w:iCs/>
                <w:color w:val="000000"/>
                <w:sz w:val="16"/>
                <w:szCs w:val="16"/>
              </w:rPr>
            </w:pPr>
            <w:r w:rsidRPr="003D1614">
              <w:rPr>
                <w:rFonts w:ascii="Arial" w:eastAsia="Calibri" w:hAnsi="Arial" w:cs="Arial"/>
                <w:i/>
                <w:iCs/>
                <w:color w:val="000000"/>
                <w:sz w:val="16"/>
                <w:szCs w:val="16"/>
              </w:rPr>
              <w:t>Obveznice Republike Hrvatske:</w:t>
            </w:r>
          </w:p>
        </w:tc>
        <w:tc>
          <w:tcPr>
            <w:tcW w:w="1196" w:type="dxa"/>
            <w:tcBorders>
              <w:top w:val="nil"/>
              <w:left w:val="nil"/>
              <w:bottom w:val="nil"/>
              <w:right w:val="nil"/>
            </w:tcBorders>
            <w:shd w:val="clear" w:color="auto" w:fill="auto"/>
            <w:noWrap/>
            <w:vAlign w:val="bottom"/>
            <w:hideMark/>
          </w:tcPr>
          <w:p w14:paraId="535CAC6B" w14:textId="77777777" w:rsidR="001B247D" w:rsidRPr="003D1614" w:rsidRDefault="001B247D" w:rsidP="001B247D">
            <w:pPr>
              <w:suppressAutoHyphens/>
              <w:autoSpaceDN w:val="0"/>
              <w:jc w:val="both"/>
              <w:rPr>
                <w:rFonts w:ascii="Arial" w:eastAsia="Calibri" w:hAnsi="Arial" w:cs="Arial"/>
                <w:i/>
                <w:iCs/>
                <w:color w:val="000000"/>
                <w:sz w:val="16"/>
                <w:szCs w:val="16"/>
              </w:rPr>
            </w:pPr>
          </w:p>
        </w:tc>
        <w:tc>
          <w:tcPr>
            <w:tcW w:w="1155" w:type="dxa"/>
            <w:tcBorders>
              <w:top w:val="nil"/>
              <w:left w:val="nil"/>
              <w:bottom w:val="nil"/>
              <w:right w:val="nil"/>
            </w:tcBorders>
            <w:vAlign w:val="bottom"/>
          </w:tcPr>
          <w:p w14:paraId="254F775D" w14:textId="77777777" w:rsidR="001B247D" w:rsidRPr="003D1614" w:rsidRDefault="001B247D" w:rsidP="001B247D">
            <w:pPr>
              <w:suppressAutoHyphens/>
              <w:autoSpaceDN w:val="0"/>
              <w:jc w:val="right"/>
              <w:rPr>
                <w:rFonts w:ascii="Arial" w:eastAsia="Calibri" w:hAnsi="Arial" w:cs="Arial"/>
                <w:color w:val="000000"/>
                <w:sz w:val="16"/>
                <w:szCs w:val="16"/>
              </w:rPr>
            </w:pPr>
          </w:p>
        </w:tc>
        <w:tc>
          <w:tcPr>
            <w:tcW w:w="1155" w:type="dxa"/>
            <w:tcBorders>
              <w:top w:val="nil"/>
              <w:left w:val="nil"/>
              <w:bottom w:val="nil"/>
              <w:right w:val="nil"/>
            </w:tcBorders>
            <w:shd w:val="clear" w:color="auto" w:fill="auto"/>
            <w:vAlign w:val="bottom"/>
          </w:tcPr>
          <w:p w14:paraId="74A2F33D" w14:textId="77777777" w:rsidR="001B247D" w:rsidRPr="003D1614" w:rsidRDefault="001B247D" w:rsidP="001B247D">
            <w:pPr>
              <w:suppressAutoHyphens/>
              <w:autoSpaceDN w:val="0"/>
              <w:jc w:val="right"/>
              <w:rPr>
                <w:rFonts w:ascii="Arial" w:eastAsia="Calibri" w:hAnsi="Arial" w:cs="Arial"/>
                <w:color w:val="000000"/>
                <w:sz w:val="16"/>
                <w:szCs w:val="16"/>
              </w:rPr>
            </w:pPr>
          </w:p>
        </w:tc>
        <w:tc>
          <w:tcPr>
            <w:tcW w:w="1155" w:type="dxa"/>
            <w:tcBorders>
              <w:top w:val="nil"/>
              <w:left w:val="nil"/>
              <w:bottom w:val="nil"/>
              <w:right w:val="nil"/>
            </w:tcBorders>
            <w:vAlign w:val="bottom"/>
          </w:tcPr>
          <w:p w14:paraId="2A5A5DCD" w14:textId="77777777" w:rsidR="001B247D" w:rsidRPr="003D1614" w:rsidRDefault="001B247D" w:rsidP="001B247D">
            <w:pPr>
              <w:suppressAutoHyphens/>
              <w:autoSpaceDN w:val="0"/>
              <w:jc w:val="right"/>
              <w:rPr>
                <w:rFonts w:ascii="Arial" w:eastAsia="Calibri" w:hAnsi="Arial" w:cs="Arial"/>
                <w:color w:val="000000"/>
                <w:sz w:val="16"/>
                <w:szCs w:val="16"/>
              </w:rPr>
            </w:pPr>
          </w:p>
        </w:tc>
        <w:tc>
          <w:tcPr>
            <w:tcW w:w="1155" w:type="dxa"/>
            <w:tcBorders>
              <w:top w:val="nil"/>
              <w:left w:val="nil"/>
              <w:bottom w:val="nil"/>
              <w:right w:val="nil"/>
            </w:tcBorders>
            <w:noWrap/>
            <w:vAlign w:val="bottom"/>
            <w:hideMark/>
          </w:tcPr>
          <w:p w14:paraId="67CD5803" w14:textId="77777777" w:rsidR="001B247D" w:rsidRPr="003D1614" w:rsidRDefault="001B247D" w:rsidP="001B247D">
            <w:pPr>
              <w:suppressAutoHyphens/>
              <w:autoSpaceDN w:val="0"/>
              <w:jc w:val="right"/>
              <w:rPr>
                <w:rFonts w:ascii="Arial" w:eastAsia="Calibri" w:hAnsi="Arial" w:cs="Arial"/>
                <w:color w:val="000000"/>
                <w:sz w:val="16"/>
                <w:szCs w:val="16"/>
              </w:rPr>
            </w:pPr>
          </w:p>
        </w:tc>
      </w:tr>
      <w:tr w:rsidR="00D5035C" w:rsidRPr="003D1614" w14:paraId="28229C60" w14:textId="77777777" w:rsidTr="00E0223F">
        <w:trPr>
          <w:trHeight w:val="229"/>
        </w:trPr>
        <w:tc>
          <w:tcPr>
            <w:tcW w:w="2692" w:type="dxa"/>
            <w:tcBorders>
              <w:top w:val="nil"/>
              <w:left w:val="nil"/>
              <w:bottom w:val="nil"/>
              <w:right w:val="nil"/>
            </w:tcBorders>
            <w:shd w:val="clear" w:color="auto" w:fill="auto"/>
            <w:noWrap/>
            <w:vAlign w:val="bottom"/>
            <w:hideMark/>
          </w:tcPr>
          <w:p w14:paraId="609281C4" w14:textId="77777777" w:rsidR="00D5035C" w:rsidRPr="003D1614" w:rsidRDefault="00D5035C" w:rsidP="00D5035C">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RHMF-O-247E</w:t>
            </w:r>
          </w:p>
        </w:tc>
        <w:tc>
          <w:tcPr>
            <w:tcW w:w="1219" w:type="dxa"/>
            <w:tcBorders>
              <w:top w:val="nil"/>
              <w:left w:val="nil"/>
              <w:bottom w:val="nil"/>
              <w:right w:val="nil"/>
            </w:tcBorders>
            <w:shd w:val="clear" w:color="auto" w:fill="auto"/>
            <w:noWrap/>
            <w:vAlign w:val="bottom"/>
            <w:hideMark/>
          </w:tcPr>
          <w:p w14:paraId="6F891C2F" w14:textId="77777777" w:rsidR="00D5035C" w:rsidRPr="003D1614" w:rsidRDefault="00D5035C" w:rsidP="00D5035C">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10.7.2013.</w:t>
            </w:r>
          </w:p>
        </w:tc>
        <w:tc>
          <w:tcPr>
            <w:tcW w:w="1129" w:type="dxa"/>
            <w:tcBorders>
              <w:top w:val="nil"/>
              <w:left w:val="nil"/>
              <w:bottom w:val="nil"/>
              <w:right w:val="nil"/>
            </w:tcBorders>
            <w:shd w:val="clear" w:color="auto" w:fill="auto"/>
            <w:noWrap/>
            <w:vAlign w:val="bottom"/>
            <w:hideMark/>
          </w:tcPr>
          <w:p w14:paraId="7A0B2B0F" w14:textId="77777777" w:rsidR="00D5035C" w:rsidRPr="003D1614" w:rsidRDefault="00D5035C" w:rsidP="00D5035C">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10.7.2024.</w:t>
            </w:r>
          </w:p>
        </w:tc>
        <w:tc>
          <w:tcPr>
            <w:tcW w:w="1196" w:type="dxa"/>
            <w:tcBorders>
              <w:top w:val="nil"/>
              <w:left w:val="nil"/>
              <w:bottom w:val="nil"/>
              <w:right w:val="nil"/>
            </w:tcBorders>
            <w:shd w:val="clear" w:color="auto" w:fill="auto"/>
            <w:noWrap/>
            <w:vAlign w:val="bottom"/>
            <w:hideMark/>
          </w:tcPr>
          <w:p w14:paraId="197FE58C" w14:textId="77777777" w:rsidR="00D5035C" w:rsidRPr="003D1614" w:rsidRDefault="00D5035C" w:rsidP="00D5035C">
            <w:pPr>
              <w:suppressAutoHyphens/>
              <w:autoSpaceDN w:val="0"/>
              <w:jc w:val="center"/>
              <w:rPr>
                <w:rFonts w:ascii="Arial" w:eastAsia="Calibri" w:hAnsi="Arial" w:cs="Arial"/>
                <w:color w:val="000000"/>
                <w:sz w:val="16"/>
                <w:szCs w:val="16"/>
              </w:rPr>
            </w:pPr>
            <w:r w:rsidRPr="003D1614">
              <w:rPr>
                <w:rFonts w:ascii="Arial" w:eastAsia="Calibri" w:hAnsi="Arial" w:cs="Arial"/>
                <w:color w:val="000000"/>
                <w:sz w:val="16"/>
                <w:szCs w:val="16"/>
              </w:rPr>
              <w:t>5,75</w:t>
            </w:r>
          </w:p>
        </w:tc>
        <w:tc>
          <w:tcPr>
            <w:tcW w:w="1155" w:type="dxa"/>
            <w:tcBorders>
              <w:top w:val="nil"/>
              <w:left w:val="nil"/>
              <w:bottom w:val="nil"/>
              <w:right w:val="nil"/>
            </w:tcBorders>
            <w:vAlign w:val="bottom"/>
          </w:tcPr>
          <w:p w14:paraId="5A95F284" w14:textId="198EAEA9" w:rsidR="00D5035C" w:rsidRPr="003D1614" w:rsidRDefault="00B47591" w:rsidP="00D5035C">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w:t>
            </w:r>
          </w:p>
        </w:tc>
        <w:tc>
          <w:tcPr>
            <w:tcW w:w="1155" w:type="dxa"/>
            <w:tcBorders>
              <w:top w:val="nil"/>
              <w:left w:val="nil"/>
              <w:bottom w:val="nil"/>
              <w:right w:val="nil"/>
            </w:tcBorders>
            <w:vAlign w:val="bottom"/>
          </w:tcPr>
          <w:p w14:paraId="458596CE" w14:textId="6B7E4628" w:rsidR="00D5035C" w:rsidRPr="003D1614" w:rsidRDefault="00D5035C" w:rsidP="00D5035C">
            <w:pPr>
              <w:suppressAutoHyphens/>
              <w:autoSpaceDN w:val="0"/>
              <w:jc w:val="right"/>
              <w:rPr>
                <w:rFonts w:ascii="Arial" w:eastAsia="Calibri" w:hAnsi="Arial" w:cs="Arial"/>
                <w:color w:val="000000"/>
                <w:sz w:val="16"/>
                <w:szCs w:val="16"/>
              </w:rPr>
            </w:pPr>
            <w:r w:rsidRPr="00771DD0">
              <w:rPr>
                <w:rFonts w:ascii="Arial" w:eastAsia="Calibri" w:hAnsi="Arial" w:cs="Arial"/>
                <w:color w:val="000000"/>
                <w:sz w:val="16"/>
                <w:szCs w:val="16"/>
              </w:rPr>
              <w:t>25.493</w:t>
            </w:r>
          </w:p>
        </w:tc>
        <w:tc>
          <w:tcPr>
            <w:tcW w:w="1155" w:type="dxa"/>
            <w:tcBorders>
              <w:top w:val="nil"/>
              <w:left w:val="nil"/>
              <w:bottom w:val="nil"/>
              <w:right w:val="nil"/>
            </w:tcBorders>
            <w:shd w:val="clear" w:color="auto" w:fill="auto"/>
            <w:vAlign w:val="bottom"/>
          </w:tcPr>
          <w:p w14:paraId="30F74969" w14:textId="11CF3BAD" w:rsidR="00D5035C" w:rsidRPr="000D77BD" w:rsidRDefault="00B47591" w:rsidP="00D5035C">
            <w:pPr>
              <w:suppressAutoHyphens/>
              <w:autoSpaceDN w:val="0"/>
              <w:jc w:val="right"/>
              <w:rPr>
                <w:rFonts w:ascii="Arial" w:eastAsia="Calibri" w:hAnsi="Arial" w:cs="Arial"/>
                <w:color w:val="000000"/>
                <w:sz w:val="16"/>
                <w:szCs w:val="16"/>
                <w:lang w:eastAsia="hr-HR"/>
              </w:rPr>
            </w:pPr>
            <w:r>
              <w:rPr>
                <w:rFonts w:ascii="Arial" w:eastAsia="Calibri" w:hAnsi="Arial" w:cs="Arial"/>
                <w:color w:val="000000"/>
                <w:sz w:val="16"/>
                <w:szCs w:val="16"/>
                <w:lang w:eastAsia="hr-HR"/>
              </w:rPr>
              <w:t>-</w:t>
            </w:r>
          </w:p>
        </w:tc>
        <w:tc>
          <w:tcPr>
            <w:tcW w:w="1155" w:type="dxa"/>
            <w:tcBorders>
              <w:top w:val="nil"/>
              <w:left w:val="nil"/>
              <w:bottom w:val="nil"/>
              <w:right w:val="nil"/>
            </w:tcBorders>
            <w:shd w:val="clear" w:color="auto" w:fill="auto"/>
            <w:vAlign w:val="bottom"/>
          </w:tcPr>
          <w:p w14:paraId="19C7FC31" w14:textId="016DCC0A" w:rsidR="00D5035C" w:rsidRPr="000D77BD" w:rsidRDefault="00D5035C" w:rsidP="00D5035C">
            <w:pPr>
              <w:suppressAutoHyphens/>
              <w:autoSpaceDN w:val="0"/>
              <w:jc w:val="right"/>
              <w:rPr>
                <w:rFonts w:ascii="Arial" w:eastAsia="Calibri" w:hAnsi="Arial" w:cs="Arial"/>
                <w:color w:val="000000"/>
                <w:sz w:val="16"/>
                <w:szCs w:val="16"/>
                <w:lang w:eastAsia="hr-HR"/>
              </w:rPr>
            </w:pPr>
            <w:r w:rsidRPr="004738DB">
              <w:rPr>
                <w:rFonts w:ascii="Arial" w:eastAsia="Calibri" w:hAnsi="Arial" w:cs="Arial"/>
                <w:sz w:val="16"/>
                <w:szCs w:val="16"/>
                <w:lang w:eastAsia="hr-HR"/>
              </w:rPr>
              <w:t>24.905</w:t>
            </w:r>
          </w:p>
        </w:tc>
      </w:tr>
      <w:tr w:rsidR="00D5035C" w:rsidRPr="003D1614" w14:paraId="33BABF4D" w14:textId="77777777" w:rsidTr="00E0223F">
        <w:trPr>
          <w:trHeight w:val="229"/>
        </w:trPr>
        <w:tc>
          <w:tcPr>
            <w:tcW w:w="2692" w:type="dxa"/>
            <w:tcBorders>
              <w:top w:val="nil"/>
              <w:left w:val="nil"/>
              <w:bottom w:val="nil"/>
              <w:right w:val="nil"/>
            </w:tcBorders>
            <w:shd w:val="clear" w:color="auto" w:fill="auto"/>
            <w:noWrap/>
            <w:vAlign w:val="bottom"/>
          </w:tcPr>
          <w:p w14:paraId="44714E87" w14:textId="77777777" w:rsidR="00D5035C" w:rsidRPr="003D1614" w:rsidRDefault="00D5035C" w:rsidP="00D5035C">
            <w:pPr>
              <w:suppressAutoHyphens/>
              <w:autoSpaceDN w:val="0"/>
              <w:jc w:val="right"/>
              <w:rPr>
                <w:rFonts w:ascii="Arial" w:eastAsia="Calibri" w:hAnsi="Arial" w:cs="Arial"/>
                <w:color w:val="000000"/>
                <w:sz w:val="16"/>
                <w:szCs w:val="16"/>
                <w:lang w:eastAsia="hr-HR"/>
              </w:rPr>
            </w:pPr>
            <w:r w:rsidRPr="003D1614">
              <w:rPr>
                <w:rFonts w:ascii="Arial" w:eastAsia="Calibri" w:hAnsi="Arial" w:cs="Arial"/>
                <w:color w:val="000000"/>
                <w:sz w:val="16"/>
                <w:szCs w:val="16"/>
                <w:lang w:eastAsia="hr-HR"/>
              </w:rPr>
              <w:t>RHMF-O-267E</w:t>
            </w:r>
          </w:p>
        </w:tc>
        <w:tc>
          <w:tcPr>
            <w:tcW w:w="1219" w:type="dxa"/>
            <w:tcBorders>
              <w:top w:val="nil"/>
              <w:left w:val="nil"/>
              <w:bottom w:val="nil"/>
              <w:right w:val="nil"/>
            </w:tcBorders>
            <w:shd w:val="clear" w:color="auto" w:fill="auto"/>
            <w:noWrap/>
            <w:vAlign w:val="bottom"/>
          </w:tcPr>
          <w:p w14:paraId="49DE6B42" w14:textId="77777777" w:rsidR="00D5035C" w:rsidRPr="003D1614" w:rsidRDefault="00D5035C" w:rsidP="00D5035C">
            <w:pPr>
              <w:suppressAutoHyphens/>
              <w:autoSpaceDN w:val="0"/>
              <w:jc w:val="right"/>
              <w:rPr>
                <w:rFonts w:ascii="Arial" w:eastAsia="Calibri" w:hAnsi="Arial" w:cs="Arial"/>
                <w:color w:val="000000"/>
                <w:sz w:val="16"/>
                <w:szCs w:val="16"/>
                <w:lang w:eastAsia="hr-HR"/>
              </w:rPr>
            </w:pPr>
            <w:r w:rsidRPr="003D1614">
              <w:rPr>
                <w:rFonts w:ascii="Arial" w:eastAsia="Calibri" w:hAnsi="Arial" w:cs="Arial"/>
                <w:color w:val="000000"/>
                <w:sz w:val="16"/>
                <w:szCs w:val="16"/>
                <w:lang w:eastAsia="hr-HR"/>
              </w:rPr>
              <w:t>15.7.2022.</w:t>
            </w:r>
          </w:p>
        </w:tc>
        <w:tc>
          <w:tcPr>
            <w:tcW w:w="1129" w:type="dxa"/>
            <w:tcBorders>
              <w:top w:val="nil"/>
              <w:left w:val="nil"/>
              <w:bottom w:val="nil"/>
              <w:right w:val="nil"/>
            </w:tcBorders>
            <w:shd w:val="clear" w:color="auto" w:fill="auto"/>
            <w:noWrap/>
            <w:vAlign w:val="bottom"/>
          </w:tcPr>
          <w:p w14:paraId="74C59120" w14:textId="610CE463" w:rsidR="00D5035C" w:rsidRPr="003D1614" w:rsidRDefault="00D5035C" w:rsidP="00D5035C">
            <w:pPr>
              <w:suppressAutoHyphens/>
              <w:autoSpaceDN w:val="0"/>
              <w:jc w:val="right"/>
              <w:rPr>
                <w:rFonts w:ascii="Arial" w:eastAsia="Calibri" w:hAnsi="Arial" w:cs="Arial"/>
                <w:color w:val="000000"/>
                <w:sz w:val="16"/>
                <w:szCs w:val="16"/>
                <w:lang w:eastAsia="hr-HR"/>
              </w:rPr>
            </w:pPr>
            <w:r w:rsidRPr="003D1614">
              <w:rPr>
                <w:rFonts w:ascii="Arial" w:eastAsia="Calibri" w:hAnsi="Arial" w:cs="Arial"/>
                <w:color w:val="000000"/>
                <w:sz w:val="16"/>
                <w:szCs w:val="16"/>
                <w:lang w:eastAsia="hr-HR"/>
              </w:rPr>
              <w:t>15.7.2026</w:t>
            </w:r>
            <w:r>
              <w:rPr>
                <w:rFonts w:ascii="Arial" w:eastAsia="Calibri" w:hAnsi="Arial" w:cs="Arial"/>
                <w:color w:val="000000"/>
                <w:sz w:val="16"/>
                <w:szCs w:val="16"/>
                <w:lang w:eastAsia="hr-HR"/>
              </w:rPr>
              <w:t>.</w:t>
            </w:r>
          </w:p>
        </w:tc>
        <w:tc>
          <w:tcPr>
            <w:tcW w:w="1196" w:type="dxa"/>
            <w:tcBorders>
              <w:top w:val="nil"/>
              <w:left w:val="nil"/>
              <w:bottom w:val="nil"/>
              <w:right w:val="nil"/>
            </w:tcBorders>
            <w:shd w:val="clear" w:color="auto" w:fill="auto"/>
            <w:noWrap/>
            <w:vAlign w:val="bottom"/>
          </w:tcPr>
          <w:p w14:paraId="5A5D63C5" w14:textId="77777777" w:rsidR="00D5035C" w:rsidRPr="003D1614" w:rsidRDefault="00D5035C" w:rsidP="00D5035C">
            <w:pPr>
              <w:suppressAutoHyphens/>
              <w:autoSpaceDN w:val="0"/>
              <w:jc w:val="center"/>
              <w:rPr>
                <w:rFonts w:ascii="Arial" w:eastAsia="Calibri" w:hAnsi="Arial" w:cs="Arial"/>
                <w:color w:val="000000"/>
                <w:sz w:val="16"/>
                <w:szCs w:val="16"/>
                <w:lang w:eastAsia="hr-HR"/>
              </w:rPr>
            </w:pPr>
            <w:r w:rsidRPr="003D1614">
              <w:rPr>
                <w:rFonts w:ascii="Arial" w:eastAsia="Calibri" w:hAnsi="Arial" w:cs="Arial"/>
                <w:color w:val="000000"/>
                <w:sz w:val="16"/>
                <w:szCs w:val="16"/>
                <w:lang w:eastAsia="hr-HR"/>
              </w:rPr>
              <w:t>2,13</w:t>
            </w:r>
          </w:p>
        </w:tc>
        <w:tc>
          <w:tcPr>
            <w:tcW w:w="1155" w:type="dxa"/>
            <w:tcBorders>
              <w:top w:val="nil"/>
              <w:left w:val="nil"/>
              <w:bottom w:val="nil"/>
              <w:right w:val="nil"/>
            </w:tcBorders>
            <w:shd w:val="clear" w:color="auto" w:fill="auto"/>
            <w:vAlign w:val="bottom"/>
          </w:tcPr>
          <w:p w14:paraId="4BC9732D" w14:textId="60C44234" w:rsidR="00D5035C" w:rsidRPr="003D1614" w:rsidRDefault="003A775E" w:rsidP="00D5035C">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20.730</w:t>
            </w:r>
          </w:p>
        </w:tc>
        <w:tc>
          <w:tcPr>
            <w:tcW w:w="1155" w:type="dxa"/>
            <w:tcBorders>
              <w:top w:val="nil"/>
              <w:left w:val="nil"/>
              <w:bottom w:val="nil"/>
              <w:right w:val="nil"/>
            </w:tcBorders>
            <w:vAlign w:val="bottom"/>
          </w:tcPr>
          <w:p w14:paraId="0A5473CC" w14:textId="66566251" w:rsidR="00D5035C" w:rsidRPr="003D1614" w:rsidRDefault="00D5035C" w:rsidP="00D5035C">
            <w:pPr>
              <w:suppressAutoHyphens/>
              <w:autoSpaceDN w:val="0"/>
              <w:jc w:val="right"/>
              <w:rPr>
                <w:rFonts w:ascii="Arial" w:eastAsia="Calibri" w:hAnsi="Arial" w:cs="Arial"/>
                <w:color w:val="000000"/>
                <w:sz w:val="16"/>
                <w:szCs w:val="16"/>
              </w:rPr>
            </w:pPr>
            <w:r w:rsidRPr="00771DD0">
              <w:rPr>
                <w:rFonts w:ascii="Arial" w:eastAsia="Calibri" w:hAnsi="Arial" w:cs="Arial"/>
                <w:color w:val="000000"/>
                <w:sz w:val="16"/>
                <w:szCs w:val="16"/>
              </w:rPr>
              <w:t>20.687</w:t>
            </w:r>
          </w:p>
        </w:tc>
        <w:tc>
          <w:tcPr>
            <w:tcW w:w="1155" w:type="dxa"/>
            <w:tcBorders>
              <w:top w:val="nil"/>
              <w:left w:val="nil"/>
              <w:bottom w:val="nil"/>
              <w:right w:val="nil"/>
            </w:tcBorders>
            <w:shd w:val="clear" w:color="auto" w:fill="auto"/>
            <w:vAlign w:val="bottom"/>
          </w:tcPr>
          <w:p w14:paraId="64EB028B" w14:textId="01B8563B" w:rsidR="00D5035C" w:rsidRPr="000D77BD" w:rsidRDefault="003A775E" w:rsidP="00D5035C">
            <w:pPr>
              <w:suppressAutoHyphens/>
              <w:autoSpaceDN w:val="0"/>
              <w:jc w:val="right"/>
              <w:rPr>
                <w:rFonts w:ascii="Arial" w:eastAsia="Calibri" w:hAnsi="Arial" w:cs="Arial"/>
                <w:color w:val="000000"/>
                <w:sz w:val="16"/>
                <w:szCs w:val="16"/>
                <w:lang w:eastAsia="hr-HR"/>
              </w:rPr>
            </w:pPr>
            <w:r>
              <w:rPr>
                <w:rFonts w:ascii="Arial" w:eastAsia="Calibri" w:hAnsi="Arial" w:cs="Arial"/>
                <w:color w:val="000000"/>
                <w:sz w:val="16"/>
                <w:szCs w:val="16"/>
                <w:lang w:eastAsia="hr-HR"/>
              </w:rPr>
              <w:t>20.730</w:t>
            </w:r>
          </w:p>
        </w:tc>
        <w:tc>
          <w:tcPr>
            <w:tcW w:w="1155" w:type="dxa"/>
            <w:tcBorders>
              <w:top w:val="nil"/>
              <w:left w:val="nil"/>
              <w:bottom w:val="nil"/>
              <w:right w:val="nil"/>
            </w:tcBorders>
            <w:shd w:val="clear" w:color="auto" w:fill="auto"/>
            <w:vAlign w:val="bottom"/>
          </w:tcPr>
          <w:p w14:paraId="26CD797F" w14:textId="6C394883" w:rsidR="00D5035C" w:rsidRPr="000D77BD" w:rsidRDefault="00D5035C" w:rsidP="00D5035C">
            <w:pPr>
              <w:suppressAutoHyphens/>
              <w:autoSpaceDN w:val="0"/>
              <w:jc w:val="right"/>
              <w:rPr>
                <w:rFonts w:ascii="Arial" w:eastAsia="Calibri" w:hAnsi="Arial" w:cs="Arial"/>
                <w:color w:val="000000"/>
                <w:sz w:val="16"/>
                <w:szCs w:val="16"/>
                <w:lang w:eastAsia="hr-HR"/>
              </w:rPr>
            </w:pPr>
            <w:r w:rsidRPr="00F959D0">
              <w:rPr>
                <w:rFonts w:ascii="Arial" w:eastAsia="Calibri" w:hAnsi="Arial" w:cs="Arial"/>
                <w:color w:val="000000"/>
                <w:sz w:val="16"/>
                <w:szCs w:val="16"/>
              </w:rPr>
              <w:t>20.687</w:t>
            </w:r>
          </w:p>
        </w:tc>
      </w:tr>
      <w:tr w:rsidR="00D5035C" w:rsidRPr="003D1614" w14:paraId="3642A84D" w14:textId="77777777" w:rsidTr="002C73F0">
        <w:trPr>
          <w:trHeight w:val="229"/>
        </w:trPr>
        <w:tc>
          <w:tcPr>
            <w:tcW w:w="2692" w:type="dxa"/>
            <w:tcBorders>
              <w:top w:val="nil"/>
              <w:left w:val="nil"/>
              <w:bottom w:val="nil"/>
              <w:right w:val="nil"/>
            </w:tcBorders>
            <w:shd w:val="clear" w:color="auto" w:fill="auto"/>
            <w:noWrap/>
            <w:vAlign w:val="bottom"/>
            <w:hideMark/>
          </w:tcPr>
          <w:p w14:paraId="3EEB6D85" w14:textId="77777777" w:rsidR="00D5035C" w:rsidRPr="003D1614" w:rsidRDefault="00D5035C" w:rsidP="00D5035C">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XS1117298916</w:t>
            </w:r>
          </w:p>
        </w:tc>
        <w:tc>
          <w:tcPr>
            <w:tcW w:w="1219" w:type="dxa"/>
            <w:tcBorders>
              <w:top w:val="nil"/>
              <w:left w:val="nil"/>
              <w:bottom w:val="nil"/>
              <w:right w:val="nil"/>
            </w:tcBorders>
            <w:shd w:val="clear" w:color="auto" w:fill="auto"/>
            <w:noWrap/>
            <w:vAlign w:val="bottom"/>
            <w:hideMark/>
          </w:tcPr>
          <w:p w14:paraId="68D55FBB" w14:textId="77777777" w:rsidR="00D5035C" w:rsidRPr="003D1614" w:rsidRDefault="00D5035C" w:rsidP="00D5035C">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11.3.2015.</w:t>
            </w:r>
          </w:p>
        </w:tc>
        <w:tc>
          <w:tcPr>
            <w:tcW w:w="1129" w:type="dxa"/>
            <w:tcBorders>
              <w:top w:val="nil"/>
              <w:left w:val="nil"/>
              <w:bottom w:val="nil"/>
              <w:right w:val="nil"/>
            </w:tcBorders>
            <w:shd w:val="clear" w:color="auto" w:fill="auto"/>
            <w:noWrap/>
            <w:vAlign w:val="bottom"/>
            <w:hideMark/>
          </w:tcPr>
          <w:p w14:paraId="5CC66FA9" w14:textId="77777777" w:rsidR="00D5035C" w:rsidRPr="003D1614" w:rsidRDefault="00D5035C" w:rsidP="00D5035C">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11.3.2025.</w:t>
            </w:r>
          </w:p>
        </w:tc>
        <w:tc>
          <w:tcPr>
            <w:tcW w:w="1196" w:type="dxa"/>
            <w:tcBorders>
              <w:top w:val="nil"/>
              <w:left w:val="nil"/>
              <w:bottom w:val="nil"/>
              <w:right w:val="nil"/>
            </w:tcBorders>
            <w:shd w:val="clear" w:color="auto" w:fill="auto"/>
            <w:noWrap/>
            <w:vAlign w:val="bottom"/>
            <w:hideMark/>
          </w:tcPr>
          <w:p w14:paraId="43B6815C" w14:textId="77777777" w:rsidR="00D5035C" w:rsidRPr="003D1614" w:rsidRDefault="00D5035C" w:rsidP="00D5035C">
            <w:pPr>
              <w:suppressAutoHyphens/>
              <w:autoSpaceDN w:val="0"/>
              <w:jc w:val="center"/>
              <w:rPr>
                <w:rFonts w:ascii="Arial" w:eastAsia="Calibri" w:hAnsi="Arial" w:cs="Arial"/>
                <w:color w:val="000000"/>
                <w:sz w:val="16"/>
                <w:szCs w:val="16"/>
              </w:rPr>
            </w:pPr>
            <w:r w:rsidRPr="003D1614">
              <w:rPr>
                <w:rFonts w:ascii="Arial" w:eastAsia="Calibri" w:hAnsi="Arial" w:cs="Arial"/>
                <w:color w:val="000000"/>
                <w:sz w:val="16"/>
                <w:szCs w:val="16"/>
              </w:rPr>
              <w:t>3,0</w:t>
            </w:r>
          </w:p>
        </w:tc>
        <w:tc>
          <w:tcPr>
            <w:tcW w:w="1155" w:type="dxa"/>
            <w:tcBorders>
              <w:top w:val="nil"/>
              <w:left w:val="nil"/>
              <w:bottom w:val="nil"/>
              <w:right w:val="nil"/>
            </w:tcBorders>
            <w:shd w:val="clear" w:color="auto" w:fill="auto"/>
            <w:vAlign w:val="bottom"/>
          </w:tcPr>
          <w:p w14:paraId="4B8D6D87" w14:textId="147DDE32" w:rsidR="00D5035C" w:rsidRPr="003D1614" w:rsidRDefault="00F9710D" w:rsidP="00D5035C">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38.648</w:t>
            </w:r>
          </w:p>
        </w:tc>
        <w:tc>
          <w:tcPr>
            <w:tcW w:w="1155" w:type="dxa"/>
            <w:tcBorders>
              <w:top w:val="nil"/>
              <w:left w:val="nil"/>
              <w:bottom w:val="nil"/>
              <w:right w:val="nil"/>
            </w:tcBorders>
            <w:shd w:val="clear" w:color="auto" w:fill="auto"/>
            <w:vAlign w:val="bottom"/>
          </w:tcPr>
          <w:p w14:paraId="0BAFBC59" w14:textId="1B06ABF3" w:rsidR="00D5035C" w:rsidRPr="003D1614" w:rsidRDefault="00D5035C" w:rsidP="00D5035C">
            <w:pPr>
              <w:suppressAutoHyphens/>
              <w:autoSpaceDN w:val="0"/>
              <w:jc w:val="right"/>
              <w:rPr>
                <w:rFonts w:ascii="Arial" w:eastAsia="Calibri" w:hAnsi="Arial" w:cs="Arial"/>
                <w:color w:val="000000"/>
                <w:sz w:val="16"/>
                <w:szCs w:val="16"/>
              </w:rPr>
            </w:pPr>
            <w:r w:rsidRPr="00174C1D">
              <w:rPr>
                <w:rFonts w:ascii="Arial" w:eastAsia="Calibri" w:hAnsi="Arial" w:cs="Arial"/>
                <w:color w:val="000000"/>
                <w:sz w:val="16"/>
                <w:szCs w:val="16"/>
              </w:rPr>
              <w:t>38.512</w:t>
            </w:r>
          </w:p>
        </w:tc>
        <w:tc>
          <w:tcPr>
            <w:tcW w:w="1155" w:type="dxa"/>
            <w:tcBorders>
              <w:top w:val="nil"/>
              <w:left w:val="nil"/>
              <w:bottom w:val="nil"/>
              <w:right w:val="nil"/>
            </w:tcBorders>
            <w:shd w:val="clear" w:color="auto" w:fill="auto"/>
            <w:vAlign w:val="bottom"/>
          </w:tcPr>
          <w:p w14:paraId="6FD94FD0" w14:textId="54BD78C6" w:rsidR="00D5035C" w:rsidRPr="000D77BD" w:rsidRDefault="00F9710D" w:rsidP="00D5035C">
            <w:pPr>
              <w:suppressAutoHyphens/>
              <w:autoSpaceDN w:val="0"/>
              <w:jc w:val="right"/>
              <w:rPr>
                <w:rFonts w:ascii="Arial" w:eastAsia="Calibri" w:hAnsi="Arial" w:cs="Arial"/>
                <w:color w:val="000000"/>
                <w:sz w:val="16"/>
                <w:szCs w:val="16"/>
                <w:lang w:eastAsia="hr-HR"/>
              </w:rPr>
            </w:pPr>
            <w:r>
              <w:rPr>
                <w:rFonts w:ascii="Arial" w:eastAsia="Calibri" w:hAnsi="Arial" w:cs="Arial"/>
                <w:color w:val="000000"/>
                <w:sz w:val="16"/>
                <w:szCs w:val="16"/>
                <w:lang w:eastAsia="hr-HR"/>
              </w:rPr>
              <w:t>38.648</w:t>
            </w:r>
          </w:p>
        </w:tc>
        <w:tc>
          <w:tcPr>
            <w:tcW w:w="1155" w:type="dxa"/>
            <w:tcBorders>
              <w:top w:val="nil"/>
              <w:left w:val="nil"/>
              <w:bottom w:val="nil"/>
              <w:right w:val="nil"/>
            </w:tcBorders>
            <w:shd w:val="clear" w:color="auto" w:fill="auto"/>
            <w:vAlign w:val="bottom"/>
          </w:tcPr>
          <w:p w14:paraId="7ED7C237" w14:textId="6C9FC239" w:rsidR="00D5035C" w:rsidRPr="000D77BD" w:rsidRDefault="00D5035C" w:rsidP="00D5035C">
            <w:pPr>
              <w:suppressAutoHyphens/>
              <w:autoSpaceDN w:val="0"/>
              <w:jc w:val="right"/>
              <w:rPr>
                <w:rFonts w:ascii="Arial" w:eastAsia="Calibri" w:hAnsi="Arial" w:cs="Arial"/>
                <w:color w:val="000000"/>
                <w:sz w:val="16"/>
                <w:szCs w:val="16"/>
              </w:rPr>
            </w:pPr>
            <w:r w:rsidRPr="00F959D0">
              <w:rPr>
                <w:rFonts w:ascii="Arial" w:eastAsia="Calibri" w:hAnsi="Arial" w:cs="Arial"/>
                <w:color w:val="000000"/>
                <w:sz w:val="16"/>
                <w:szCs w:val="16"/>
              </w:rPr>
              <w:t>38.512</w:t>
            </w:r>
          </w:p>
        </w:tc>
      </w:tr>
      <w:tr w:rsidR="00D5035C" w:rsidRPr="003D1614" w14:paraId="34AABCA3" w14:textId="77777777" w:rsidTr="002C73F0">
        <w:trPr>
          <w:trHeight w:val="229"/>
        </w:trPr>
        <w:tc>
          <w:tcPr>
            <w:tcW w:w="2692" w:type="dxa"/>
            <w:tcBorders>
              <w:top w:val="nil"/>
              <w:left w:val="nil"/>
              <w:bottom w:val="nil"/>
              <w:right w:val="nil"/>
            </w:tcBorders>
            <w:shd w:val="clear" w:color="auto" w:fill="auto"/>
            <w:noWrap/>
            <w:vAlign w:val="bottom"/>
          </w:tcPr>
          <w:p w14:paraId="363F503D" w14:textId="77777777" w:rsidR="00D5035C" w:rsidRPr="003D1614" w:rsidRDefault="00D5035C" w:rsidP="00D5035C">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XS1843434876</w:t>
            </w:r>
          </w:p>
        </w:tc>
        <w:tc>
          <w:tcPr>
            <w:tcW w:w="1219" w:type="dxa"/>
            <w:tcBorders>
              <w:top w:val="nil"/>
              <w:left w:val="nil"/>
              <w:bottom w:val="nil"/>
              <w:right w:val="nil"/>
            </w:tcBorders>
            <w:shd w:val="clear" w:color="auto" w:fill="auto"/>
            <w:noWrap/>
            <w:vAlign w:val="bottom"/>
          </w:tcPr>
          <w:p w14:paraId="35F60BD4" w14:textId="77777777" w:rsidR="00D5035C" w:rsidRPr="003D1614" w:rsidRDefault="00D5035C" w:rsidP="00D5035C">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19.6.2019.</w:t>
            </w:r>
          </w:p>
        </w:tc>
        <w:tc>
          <w:tcPr>
            <w:tcW w:w="1129" w:type="dxa"/>
            <w:tcBorders>
              <w:top w:val="nil"/>
              <w:left w:val="nil"/>
              <w:bottom w:val="nil"/>
              <w:right w:val="nil"/>
            </w:tcBorders>
            <w:shd w:val="clear" w:color="auto" w:fill="auto"/>
            <w:noWrap/>
            <w:vAlign w:val="bottom"/>
          </w:tcPr>
          <w:p w14:paraId="3B308B6C" w14:textId="77777777" w:rsidR="00D5035C" w:rsidRPr="003D1614" w:rsidRDefault="00D5035C" w:rsidP="00D5035C">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19.6.2029.</w:t>
            </w:r>
          </w:p>
        </w:tc>
        <w:tc>
          <w:tcPr>
            <w:tcW w:w="1196" w:type="dxa"/>
            <w:tcBorders>
              <w:top w:val="nil"/>
              <w:left w:val="nil"/>
              <w:bottom w:val="nil"/>
              <w:right w:val="nil"/>
            </w:tcBorders>
            <w:shd w:val="clear" w:color="auto" w:fill="auto"/>
            <w:noWrap/>
            <w:vAlign w:val="bottom"/>
          </w:tcPr>
          <w:p w14:paraId="50618C0B" w14:textId="77777777" w:rsidR="00D5035C" w:rsidRPr="003D1614" w:rsidRDefault="00D5035C" w:rsidP="00D5035C">
            <w:pPr>
              <w:suppressAutoHyphens/>
              <w:autoSpaceDN w:val="0"/>
              <w:jc w:val="center"/>
              <w:rPr>
                <w:rFonts w:ascii="Arial" w:eastAsia="Calibri" w:hAnsi="Arial" w:cs="Arial"/>
                <w:color w:val="000000"/>
                <w:sz w:val="16"/>
                <w:szCs w:val="16"/>
              </w:rPr>
            </w:pPr>
            <w:r w:rsidRPr="003D1614">
              <w:rPr>
                <w:rFonts w:ascii="Arial" w:eastAsia="Calibri" w:hAnsi="Arial" w:cs="Arial"/>
                <w:color w:val="000000"/>
                <w:sz w:val="16"/>
                <w:szCs w:val="16"/>
              </w:rPr>
              <w:t>1,125</w:t>
            </w:r>
          </w:p>
        </w:tc>
        <w:tc>
          <w:tcPr>
            <w:tcW w:w="1155" w:type="dxa"/>
            <w:tcBorders>
              <w:top w:val="nil"/>
              <w:left w:val="nil"/>
              <w:bottom w:val="nil"/>
              <w:right w:val="nil"/>
            </w:tcBorders>
            <w:shd w:val="clear" w:color="auto" w:fill="auto"/>
            <w:vAlign w:val="bottom"/>
          </w:tcPr>
          <w:p w14:paraId="49466BB8" w14:textId="31EB834A" w:rsidR="00D5035C" w:rsidRPr="003D1614" w:rsidRDefault="00F9710D" w:rsidP="00D5035C">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1.860</w:t>
            </w:r>
          </w:p>
        </w:tc>
        <w:tc>
          <w:tcPr>
            <w:tcW w:w="1155" w:type="dxa"/>
            <w:tcBorders>
              <w:top w:val="nil"/>
              <w:left w:val="nil"/>
              <w:bottom w:val="nil"/>
              <w:right w:val="nil"/>
            </w:tcBorders>
            <w:shd w:val="clear" w:color="auto" w:fill="auto"/>
            <w:vAlign w:val="bottom"/>
          </w:tcPr>
          <w:p w14:paraId="2D9F5700" w14:textId="69FF39AE" w:rsidR="00D5035C" w:rsidRPr="003D1614" w:rsidRDefault="00D5035C" w:rsidP="00D5035C">
            <w:pPr>
              <w:suppressAutoHyphens/>
              <w:autoSpaceDN w:val="0"/>
              <w:jc w:val="right"/>
              <w:rPr>
                <w:rFonts w:ascii="Arial" w:eastAsia="Calibri" w:hAnsi="Arial" w:cs="Arial"/>
                <w:color w:val="000000"/>
                <w:sz w:val="16"/>
                <w:szCs w:val="16"/>
              </w:rPr>
            </w:pPr>
            <w:r w:rsidRPr="00174C1D">
              <w:rPr>
                <w:rFonts w:ascii="Arial" w:eastAsia="Calibri" w:hAnsi="Arial" w:cs="Arial"/>
                <w:color w:val="000000"/>
                <w:sz w:val="16"/>
                <w:szCs w:val="16"/>
              </w:rPr>
              <w:t>1.812</w:t>
            </w:r>
          </w:p>
        </w:tc>
        <w:tc>
          <w:tcPr>
            <w:tcW w:w="1155" w:type="dxa"/>
            <w:tcBorders>
              <w:top w:val="nil"/>
              <w:left w:val="nil"/>
              <w:bottom w:val="nil"/>
              <w:right w:val="nil"/>
            </w:tcBorders>
            <w:shd w:val="clear" w:color="auto" w:fill="auto"/>
            <w:vAlign w:val="bottom"/>
          </w:tcPr>
          <w:p w14:paraId="54D956B8" w14:textId="196AEC76" w:rsidR="00D5035C" w:rsidRPr="000D77BD" w:rsidRDefault="00F9710D" w:rsidP="00D5035C">
            <w:pPr>
              <w:suppressAutoHyphens/>
              <w:autoSpaceDN w:val="0"/>
              <w:jc w:val="right"/>
              <w:rPr>
                <w:rFonts w:ascii="Arial" w:eastAsia="Calibri" w:hAnsi="Arial" w:cs="Arial"/>
                <w:color w:val="000000"/>
                <w:sz w:val="16"/>
                <w:szCs w:val="16"/>
                <w:lang w:eastAsia="hr-HR"/>
              </w:rPr>
            </w:pPr>
            <w:r>
              <w:rPr>
                <w:rFonts w:ascii="Arial" w:eastAsia="Calibri" w:hAnsi="Arial" w:cs="Arial"/>
                <w:color w:val="000000"/>
                <w:sz w:val="16"/>
                <w:szCs w:val="16"/>
                <w:lang w:eastAsia="hr-HR"/>
              </w:rPr>
              <w:t>1.860</w:t>
            </w:r>
          </w:p>
        </w:tc>
        <w:tc>
          <w:tcPr>
            <w:tcW w:w="1155" w:type="dxa"/>
            <w:tcBorders>
              <w:top w:val="nil"/>
              <w:left w:val="nil"/>
              <w:bottom w:val="nil"/>
              <w:right w:val="nil"/>
            </w:tcBorders>
            <w:shd w:val="clear" w:color="auto" w:fill="auto"/>
            <w:vAlign w:val="bottom"/>
          </w:tcPr>
          <w:p w14:paraId="30E0A1C4" w14:textId="47EAFB05" w:rsidR="00D5035C" w:rsidRPr="000D77BD" w:rsidRDefault="00D5035C" w:rsidP="00D5035C">
            <w:pPr>
              <w:suppressAutoHyphens/>
              <w:autoSpaceDN w:val="0"/>
              <w:jc w:val="right"/>
              <w:rPr>
                <w:rFonts w:ascii="Arial" w:eastAsia="Calibri" w:hAnsi="Arial" w:cs="Arial"/>
                <w:color w:val="000000"/>
                <w:sz w:val="16"/>
                <w:szCs w:val="16"/>
              </w:rPr>
            </w:pPr>
            <w:r w:rsidRPr="00F959D0">
              <w:rPr>
                <w:rFonts w:ascii="Arial" w:eastAsia="Calibri" w:hAnsi="Arial" w:cs="Arial"/>
                <w:color w:val="000000"/>
                <w:sz w:val="16"/>
                <w:szCs w:val="16"/>
              </w:rPr>
              <w:t>1.812</w:t>
            </w:r>
          </w:p>
        </w:tc>
      </w:tr>
      <w:tr w:rsidR="00D5035C" w:rsidRPr="003D1614" w14:paraId="52C5D3C7" w14:textId="77777777" w:rsidTr="002C73F0">
        <w:trPr>
          <w:trHeight w:val="229"/>
        </w:trPr>
        <w:tc>
          <w:tcPr>
            <w:tcW w:w="2692" w:type="dxa"/>
            <w:tcBorders>
              <w:top w:val="nil"/>
              <w:left w:val="nil"/>
              <w:bottom w:val="nil"/>
              <w:right w:val="nil"/>
            </w:tcBorders>
            <w:shd w:val="clear" w:color="auto" w:fill="auto"/>
            <w:noWrap/>
            <w:vAlign w:val="bottom"/>
            <w:hideMark/>
          </w:tcPr>
          <w:p w14:paraId="26C41517" w14:textId="77777777" w:rsidR="00D5035C" w:rsidRPr="003D1614" w:rsidRDefault="00D5035C" w:rsidP="00D5035C">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RHMF-O-257A</w:t>
            </w:r>
          </w:p>
        </w:tc>
        <w:tc>
          <w:tcPr>
            <w:tcW w:w="1219" w:type="dxa"/>
            <w:tcBorders>
              <w:top w:val="nil"/>
              <w:left w:val="nil"/>
              <w:bottom w:val="nil"/>
              <w:right w:val="nil"/>
            </w:tcBorders>
            <w:shd w:val="clear" w:color="auto" w:fill="auto"/>
            <w:noWrap/>
            <w:vAlign w:val="bottom"/>
            <w:hideMark/>
          </w:tcPr>
          <w:p w14:paraId="4B69D1D8" w14:textId="77777777" w:rsidR="00D5035C" w:rsidRPr="003D1614" w:rsidRDefault="00D5035C" w:rsidP="00D5035C">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9.7.2015.</w:t>
            </w:r>
          </w:p>
        </w:tc>
        <w:tc>
          <w:tcPr>
            <w:tcW w:w="1129" w:type="dxa"/>
            <w:tcBorders>
              <w:top w:val="nil"/>
              <w:left w:val="nil"/>
              <w:bottom w:val="nil"/>
              <w:right w:val="nil"/>
            </w:tcBorders>
            <w:shd w:val="clear" w:color="auto" w:fill="auto"/>
            <w:noWrap/>
            <w:vAlign w:val="bottom"/>
            <w:hideMark/>
          </w:tcPr>
          <w:p w14:paraId="35A4380A" w14:textId="77777777" w:rsidR="00D5035C" w:rsidRPr="003D1614" w:rsidRDefault="00D5035C" w:rsidP="00D5035C">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9.7.2025.</w:t>
            </w:r>
          </w:p>
        </w:tc>
        <w:tc>
          <w:tcPr>
            <w:tcW w:w="1196" w:type="dxa"/>
            <w:tcBorders>
              <w:top w:val="nil"/>
              <w:left w:val="nil"/>
              <w:bottom w:val="nil"/>
              <w:right w:val="nil"/>
            </w:tcBorders>
            <w:shd w:val="clear" w:color="auto" w:fill="auto"/>
            <w:noWrap/>
            <w:vAlign w:val="bottom"/>
            <w:hideMark/>
          </w:tcPr>
          <w:p w14:paraId="7806B909" w14:textId="77777777" w:rsidR="00D5035C" w:rsidRPr="003D1614" w:rsidRDefault="00D5035C" w:rsidP="00D5035C">
            <w:pPr>
              <w:suppressAutoHyphens/>
              <w:autoSpaceDN w:val="0"/>
              <w:jc w:val="center"/>
              <w:rPr>
                <w:rFonts w:ascii="Arial" w:eastAsia="Calibri" w:hAnsi="Arial" w:cs="Arial"/>
                <w:color w:val="000000"/>
                <w:sz w:val="16"/>
                <w:szCs w:val="16"/>
              </w:rPr>
            </w:pPr>
            <w:r w:rsidRPr="003D1614">
              <w:rPr>
                <w:rFonts w:ascii="Arial" w:eastAsia="Calibri" w:hAnsi="Arial" w:cs="Arial"/>
                <w:color w:val="000000"/>
                <w:sz w:val="16"/>
                <w:szCs w:val="16"/>
              </w:rPr>
              <w:t>4,5</w:t>
            </w:r>
          </w:p>
        </w:tc>
        <w:tc>
          <w:tcPr>
            <w:tcW w:w="1155" w:type="dxa"/>
            <w:tcBorders>
              <w:top w:val="nil"/>
              <w:left w:val="nil"/>
              <w:bottom w:val="nil"/>
              <w:right w:val="nil"/>
            </w:tcBorders>
            <w:vAlign w:val="bottom"/>
          </w:tcPr>
          <w:p w14:paraId="34F59391" w14:textId="41AAB131" w:rsidR="00D5035C" w:rsidRPr="003D1614" w:rsidRDefault="0083600D" w:rsidP="00D5035C">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1.120</w:t>
            </w:r>
          </w:p>
        </w:tc>
        <w:tc>
          <w:tcPr>
            <w:tcW w:w="1155" w:type="dxa"/>
            <w:tcBorders>
              <w:top w:val="nil"/>
              <w:left w:val="nil"/>
              <w:bottom w:val="nil"/>
              <w:right w:val="nil"/>
            </w:tcBorders>
            <w:vAlign w:val="bottom"/>
          </w:tcPr>
          <w:p w14:paraId="4C2B00E9" w14:textId="7F54AF15" w:rsidR="00D5035C" w:rsidRPr="003D1614" w:rsidRDefault="00D5035C" w:rsidP="00D5035C">
            <w:pPr>
              <w:suppressAutoHyphens/>
              <w:autoSpaceDN w:val="0"/>
              <w:jc w:val="right"/>
              <w:rPr>
                <w:rFonts w:ascii="Arial" w:eastAsia="Calibri" w:hAnsi="Arial" w:cs="Arial"/>
                <w:color w:val="000000"/>
                <w:sz w:val="16"/>
                <w:szCs w:val="16"/>
              </w:rPr>
            </w:pPr>
            <w:r w:rsidRPr="00771DD0">
              <w:rPr>
                <w:rFonts w:ascii="Arial" w:eastAsia="Calibri" w:hAnsi="Arial" w:cs="Arial"/>
                <w:color w:val="000000"/>
                <w:sz w:val="16"/>
                <w:szCs w:val="16"/>
              </w:rPr>
              <w:t>1.118</w:t>
            </w:r>
          </w:p>
        </w:tc>
        <w:tc>
          <w:tcPr>
            <w:tcW w:w="1155" w:type="dxa"/>
            <w:tcBorders>
              <w:top w:val="nil"/>
              <w:left w:val="nil"/>
              <w:bottom w:val="nil"/>
              <w:right w:val="nil"/>
            </w:tcBorders>
            <w:shd w:val="clear" w:color="auto" w:fill="auto"/>
            <w:vAlign w:val="bottom"/>
          </w:tcPr>
          <w:p w14:paraId="28CEBF51" w14:textId="4C5C8336" w:rsidR="00D5035C" w:rsidRPr="003D1614" w:rsidRDefault="0083600D" w:rsidP="00D5035C">
            <w:pPr>
              <w:suppressAutoHyphens/>
              <w:autoSpaceDN w:val="0"/>
              <w:jc w:val="right"/>
              <w:rPr>
                <w:rFonts w:ascii="Arial" w:eastAsia="Calibri" w:hAnsi="Arial" w:cs="Arial"/>
                <w:color w:val="000000"/>
                <w:sz w:val="16"/>
                <w:szCs w:val="16"/>
                <w:lang w:eastAsia="hr-HR"/>
              </w:rPr>
            </w:pPr>
            <w:r>
              <w:rPr>
                <w:rFonts w:ascii="Arial" w:eastAsia="Calibri" w:hAnsi="Arial" w:cs="Arial"/>
                <w:color w:val="000000"/>
                <w:sz w:val="16"/>
                <w:szCs w:val="16"/>
                <w:lang w:eastAsia="hr-HR"/>
              </w:rPr>
              <w:t>-</w:t>
            </w:r>
          </w:p>
        </w:tc>
        <w:tc>
          <w:tcPr>
            <w:tcW w:w="1155" w:type="dxa"/>
            <w:tcBorders>
              <w:top w:val="nil"/>
              <w:left w:val="nil"/>
              <w:bottom w:val="nil"/>
              <w:right w:val="nil"/>
            </w:tcBorders>
            <w:shd w:val="clear" w:color="auto" w:fill="auto"/>
            <w:vAlign w:val="bottom"/>
          </w:tcPr>
          <w:p w14:paraId="1E8E43A5" w14:textId="1CACC177" w:rsidR="00D5035C" w:rsidRPr="003D1614" w:rsidRDefault="00D5035C" w:rsidP="00D5035C">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w:t>
            </w:r>
          </w:p>
        </w:tc>
      </w:tr>
      <w:tr w:rsidR="00D5035C" w:rsidRPr="003D1614" w14:paraId="44AEB0A1" w14:textId="77777777" w:rsidTr="002C73F0">
        <w:trPr>
          <w:trHeight w:val="229"/>
        </w:trPr>
        <w:tc>
          <w:tcPr>
            <w:tcW w:w="2692" w:type="dxa"/>
            <w:tcBorders>
              <w:top w:val="nil"/>
              <w:left w:val="nil"/>
              <w:bottom w:val="nil"/>
              <w:right w:val="nil"/>
            </w:tcBorders>
            <w:shd w:val="clear" w:color="auto" w:fill="auto"/>
            <w:noWrap/>
            <w:vAlign w:val="bottom"/>
            <w:hideMark/>
          </w:tcPr>
          <w:p w14:paraId="0A5A5409" w14:textId="77777777" w:rsidR="00D5035C" w:rsidRPr="003D1614" w:rsidRDefault="00D5035C" w:rsidP="00D5035C">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RHMF-O-26CA</w:t>
            </w:r>
          </w:p>
        </w:tc>
        <w:tc>
          <w:tcPr>
            <w:tcW w:w="1219" w:type="dxa"/>
            <w:tcBorders>
              <w:top w:val="nil"/>
              <w:left w:val="nil"/>
              <w:bottom w:val="nil"/>
              <w:right w:val="nil"/>
            </w:tcBorders>
            <w:shd w:val="clear" w:color="auto" w:fill="auto"/>
            <w:noWrap/>
            <w:vAlign w:val="bottom"/>
            <w:hideMark/>
          </w:tcPr>
          <w:p w14:paraId="46568F79" w14:textId="77777777" w:rsidR="00D5035C" w:rsidRPr="003D1614" w:rsidRDefault="00D5035C" w:rsidP="00D5035C">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14.12.2015.</w:t>
            </w:r>
          </w:p>
        </w:tc>
        <w:tc>
          <w:tcPr>
            <w:tcW w:w="1129" w:type="dxa"/>
            <w:tcBorders>
              <w:top w:val="nil"/>
              <w:left w:val="nil"/>
              <w:bottom w:val="nil"/>
              <w:right w:val="nil"/>
            </w:tcBorders>
            <w:shd w:val="clear" w:color="auto" w:fill="auto"/>
            <w:noWrap/>
            <w:vAlign w:val="bottom"/>
            <w:hideMark/>
          </w:tcPr>
          <w:p w14:paraId="01CAE343" w14:textId="77777777" w:rsidR="00D5035C" w:rsidRPr="003D1614" w:rsidRDefault="00D5035C" w:rsidP="00D5035C">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14.12.2026.</w:t>
            </w:r>
          </w:p>
        </w:tc>
        <w:tc>
          <w:tcPr>
            <w:tcW w:w="1196" w:type="dxa"/>
            <w:tcBorders>
              <w:top w:val="nil"/>
              <w:left w:val="nil"/>
              <w:bottom w:val="nil"/>
              <w:right w:val="nil"/>
            </w:tcBorders>
            <w:shd w:val="clear" w:color="auto" w:fill="auto"/>
            <w:noWrap/>
            <w:vAlign w:val="bottom"/>
            <w:hideMark/>
          </w:tcPr>
          <w:p w14:paraId="5F7D2DB2" w14:textId="77777777" w:rsidR="00D5035C" w:rsidRPr="003D1614" w:rsidRDefault="00D5035C" w:rsidP="00D5035C">
            <w:pPr>
              <w:suppressAutoHyphens/>
              <w:autoSpaceDN w:val="0"/>
              <w:jc w:val="center"/>
              <w:rPr>
                <w:rFonts w:ascii="Arial" w:eastAsia="Calibri" w:hAnsi="Arial" w:cs="Arial"/>
                <w:color w:val="000000"/>
                <w:sz w:val="16"/>
                <w:szCs w:val="16"/>
              </w:rPr>
            </w:pPr>
            <w:r w:rsidRPr="003D1614">
              <w:rPr>
                <w:rFonts w:ascii="Arial" w:eastAsia="Calibri" w:hAnsi="Arial" w:cs="Arial"/>
                <w:color w:val="000000"/>
                <w:sz w:val="16"/>
                <w:szCs w:val="16"/>
              </w:rPr>
              <w:t>4,25</w:t>
            </w:r>
          </w:p>
        </w:tc>
        <w:tc>
          <w:tcPr>
            <w:tcW w:w="1155" w:type="dxa"/>
            <w:tcBorders>
              <w:top w:val="nil"/>
              <w:left w:val="nil"/>
              <w:bottom w:val="nil"/>
              <w:right w:val="nil"/>
            </w:tcBorders>
            <w:vAlign w:val="bottom"/>
          </w:tcPr>
          <w:p w14:paraId="604EF3E2" w14:textId="73D3941F" w:rsidR="00D5035C" w:rsidRPr="003D1614" w:rsidRDefault="0083600D" w:rsidP="00D5035C">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5.144</w:t>
            </w:r>
          </w:p>
        </w:tc>
        <w:tc>
          <w:tcPr>
            <w:tcW w:w="1155" w:type="dxa"/>
            <w:tcBorders>
              <w:top w:val="nil"/>
              <w:left w:val="nil"/>
              <w:bottom w:val="nil"/>
              <w:right w:val="nil"/>
            </w:tcBorders>
            <w:vAlign w:val="bottom"/>
          </w:tcPr>
          <w:p w14:paraId="4FEF1D5C" w14:textId="6ECDC7E4" w:rsidR="00D5035C" w:rsidRPr="003D1614" w:rsidRDefault="00D5035C" w:rsidP="00D5035C">
            <w:pPr>
              <w:suppressAutoHyphens/>
              <w:autoSpaceDN w:val="0"/>
              <w:jc w:val="right"/>
              <w:rPr>
                <w:rFonts w:ascii="Arial" w:eastAsia="Calibri" w:hAnsi="Arial" w:cs="Arial"/>
                <w:color w:val="000000"/>
                <w:sz w:val="16"/>
                <w:szCs w:val="16"/>
              </w:rPr>
            </w:pPr>
            <w:r w:rsidRPr="00771DD0">
              <w:rPr>
                <w:rFonts w:ascii="Arial" w:eastAsia="Calibri" w:hAnsi="Arial" w:cs="Arial"/>
                <w:color w:val="000000"/>
                <w:sz w:val="16"/>
                <w:szCs w:val="16"/>
              </w:rPr>
              <w:t>5.180</w:t>
            </w:r>
          </w:p>
        </w:tc>
        <w:tc>
          <w:tcPr>
            <w:tcW w:w="1155" w:type="dxa"/>
            <w:tcBorders>
              <w:top w:val="nil"/>
              <w:left w:val="nil"/>
              <w:bottom w:val="nil"/>
              <w:right w:val="nil"/>
            </w:tcBorders>
            <w:shd w:val="clear" w:color="auto" w:fill="auto"/>
            <w:vAlign w:val="bottom"/>
          </w:tcPr>
          <w:p w14:paraId="234640B8" w14:textId="40AC65EC" w:rsidR="00D5035C" w:rsidRPr="007D277A" w:rsidRDefault="004F0E47" w:rsidP="00D5035C">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4.070</w:t>
            </w:r>
          </w:p>
        </w:tc>
        <w:tc>
          <w:tcPr>
            <w:tcW w:w="1155" w:type="dxa"/>
            <w:tcBorders>
              <w:top w:val="nil"/>
              <w:left w:val="nil"/>
              <w:bottom w:val="nil"/>
              <w:right w:val="nil"/>
            </w:tcBorders>
            <w:shd w:val="clear" w:color="auto" w:fill="auto"/>
            <w:vAlign w:val="bottom"/>
          </w:tcPr>
          <w:p w14:paraId="592D94B4" w14:textId="2A86B31F" w:rsidR="00D5035C" w:rsidRPr="007D277A" w:rsidRDefault="00D5035C" w:rsidP="00D5035C">
            <w:pPr>
              <w:suppressAutoHyphens/>
              <w:autoSpaceDN w:val="0"/>
              <w:jc w:val="right"/>
              <w:rPr>
                <w:rFonts w:ascii="Arial" w:eastAsia="Calibri" w:hAnsi="Arial" w:cs="Arial"/>
                <w:color w:val="000000"/>
                <w:sz w:val="16"/>
                <w:szCs w:val="16"/>
              </w:rPr>
            </w:pPr>
            <w:r w:rsidRPr="004738DB">
              <w:rPr>
                <w:rFonts w:ascii="Arial" w:eastAsia="Calibri" w:hAnsi="Arial" w:cs="Arial"/>
                <w:color w:val="000000"/>
                <w:sz w:val="16"/>
                <w:szCs w:val="16"/>
              </w:rPr>
              <w:t>4.098</w:t>
            </w:r>
          </w:p>
        </w:tc>
      </w:tr>
      <w:tr w:rsidR="00D5035C" w:rsidRPr="003D1614" w14:paraId="03A3E0CA" w14:textId="77777777" w:rsidTr="002C73F0">
        <w:trPr>
          <w:trHeight w:val="229"/>
        </w:trPr>
        <w:tc>
          <w:tcPr>
            <w:tcW w:w="2692" w:type="dxa"/>
            <w:tcBorders>
              <w:top w:val="nil"/>
              <w:left w:val="nil"/>
              <w:bottom w:val="nil"/>
              <w:right w:val="nil"/>
            </w:tcBorders>
            <w:shd w:val="clear" w:color="auto" w:fill="auto"/>
            <w:noWrap/>
            <w:vAlign w:val="bottom"/>
          </w:tcPr>
          <w:p w14:paraId="22D33032" w14:textId="77777777" w:rsidR="00D5035C" w:rsidRPr="003D1614" w:rsidRDefault="00D5035C" w:rsidP="00D5035C">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RHMF-O-282A</w:t>
            </w:r>
          </w:p>
        </w:tc>
        <w:tc>
          <w:tcPr>
            <w:tcW w:w="1219" w:type="dxa"/>
            <w:tcBorders>
              <w:top w:val="nil"/>
              <w:left w:val="nil"/>
              <w:bottom w:val="nil"/>
              <w:right w:val="nil"/>
            </w:tcBorders>
            <w:shd w:val="clear" w:color="auto" w:fill="auto"/>
            <w:noWrap/>
            <w:vAlign w:val="bottom"/>
          </w:tcPr>
          <w:p w14:paraId="1AECAE61" w14:textId="77777777" w:rsidR="00D5035C" w:rsidRPr="003D1614" w:rsidRDefault="00D5035C" w:rsidP="00D5035C">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7.2.2017.</w:t>
            </w:r>
          </w:p>
        </w:tc>
        <w:tc>
          <w:tcPr>
            <w:tcW w:w="1129" w:type="dxa"/>
            <w:tcBorders>
              <w:top w:val="nil"/>
              <w:left w:val="nil"/>
              <w:bottom w:val="nil"/>
              <w:right w:val="nil"/>
            </w:tcBorders>
            <w:shd w:val="clear" w:color="auto" w:fill="auto"/>
            <w:noWrap/>
            <w:vAlign w:val="bottom"/>
          </w:tcPr>
          <w:p w14:paraId="04EA8C45" w14:textId="77777777" w:rsidR="00D5035C" w:rsidRPr="003D1614" w:rsidRDefault="00D5035C" w:rsidP="00D5035C">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7.2.2028.</w:t>
            </w:r>
          </w:p>
        </w:tc>
        <w:tc>
          <w:tcPr>
            <w:tcW w:w="1196" w:type="dxa"/>
            <w:tcBorders>
              <w:top w:val="nil"/>
              <w:left w:val="nil"/>
              <w:bottom w:val="nil"/>
              <w:right w:val="nil"/>
            </w:tcBorders>
            <w:shd w:val="clear" w:color="auto" w:fill="auto"/>
            <w:noWrap/>
            <w:vAlign w:val="bottom"/>
          </w:tcPr>
          <w:p w14:paraId="3513DC0E" w14:textId="77777777" w:rsidR="00D5035C" w:rsidRPr="003D1614" w:rsidRDefault="00D5035C" w:rsidP="00D5035C">
            <w:pPr>
              <w:suppressAutoHyphens/>
              <w:autoSpaceDN w:val="0"/>
              <w:jc w:val="center"/>
              <w:rPr>
                <w:rFonts w:ascii="Arial" w:eastAsia="Calibri" w:hAnsi="Arial" w:cs="Arial"/>
                <w:color w:val="000000"/>
                <w:sz w:val="16"/>
                <w:szCs w:val="16"/>
              </w:rPr>
            </w:pPr>
            <w:r w:rsidRPr="003D1614">
              <w:rPr>
                <w:rFonts w:ascii="Arial" w:eastAsia="Calibri" w:hAnsi="Arial" w:cs="Arial"/>
                <w:color w:val="000000"/>
                <w:sz w:val="16"/>
                <w:szCs w:val="16"/>
              </w:rPr>
              <w:t>2,875</w:t>
            </w:r>
          </w:p>
        </w:tc>
        <w:tc>
          <w:tcPr>
            <w:tcW w:w="1155" w:type="dxa"/>
            <w:tcBorders>
              <w:top w:val="nil"/>
              <w:left w:val="nil"/>
              <w:bottom w:val="nil"/>
              <w:right w:val="nil"/>
            </w:tcBorders>
            <w:shd w:val="clear" w:color="auto" w:fill="auto"/>
            <w:vAlign w:val="bottom"/>
          </w:tcPr>
          <w:p w14:paraId="55EDC646" w14:textId="244A3291" w:rsidR="00D5035C" w:rsidRPr="003D1614" w:rsidRDefault="004F0E47" w:rsidP="00D5035C">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1.569</w:t>
            </w:r>
          </w:p>
        </w:tc>
        <w:tc>
          <w:tcPr>
            <w:tcW w:w="1155" w:type="dxa"/>
            <w:tcBorders>
              <w:top w:val="nil"/>
              <w:left w:val="nil"/>
              <w:bottom w:val="nil"/>
              <w:right w:val="nil"/>
            </w:tcBorders>
            <w:vAlign w:val="bottom"/>
          </w:tcPr>
          <w:p w14:paraId="1DDC4652" w14:textId="677A5B0E" w:rsidR="00D5035C" w:rsidRPr="003D1614" w:rsidRDefault="00D5035C" w:rsidP="00D5035C">
            <w:pPr>
              <w:suppressAutoHyphens/>
              <w:autoSpaceDN w:val="0"/>
              <w:jc w:val="right"/>
              <w:rPr>
                <w:rFonts w:ascii="Arial" w:eastAsia="Calibri" w:hAnsi="Arial" w:cs="Arial"/>
                <w:color w:val="000000"/>
                <w:sz w:val="16"/>
                <w:szCs w:val="16"/>
              </w:rPr>
            </w:pPr>
            <w:r w:rsidRPr="00771DD0">
              <w:rPr>
                <w:rFonts w:ascii="Arial" w:eastAsia="Calibri" w:hAnsi="Arial" w:cs="Arial"/>
                <w:color w:val="000000"/>
                <w:sz w:val="16"/>
                <w:szCs w:val="16"/>
              </w:rPr>
              <w:t>1.562</w:t>
            </w:r>
          </w:p>
        </w:tc>
        <w:tc>
          <w:tcPr>
            <w:tcW w:w="1155" w:type="dxa"/>
            <w:tcBorders>
              <w:top w:val="nil"/>
              <w:left w:val="nil"/>
              <w:bottom w:val="nil"/>
              <w:right w:val="nil"/>
            </w:tcBorders>
            <w:shd w:val="clear" w:color="auto" w:fill="auto"/>
            <w:vAlign w:val="bottom"/>
          </w:tcPr>
          <w:p w14:paraId="268277EE" w14:textId="2FDAFAF6" w:rsidR="00D5035C" w:rsidRPr="007D277A" w:rsidRDefault="004F0E47" w:rsidP="00D5035C">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1.322</w:t>
            </w:r>
          </w:p>
        </w:tc>
        <w:tc>
          <w:tcPr>
            <w:tcW w:w="1155" w:type="dxa"/>
            <w:tcBorders>
              <w:top w:val="nil"/>
              <w:left w:val="nil"/>
              <w:bottom w:val="nil"/>
              <w:right w:val="nil"/>
            </w:tcBorders>
            <w:shd w:val="clear" w:color="auto" w:fill="auto"/>
            <w:vAlign w:val="bottom"/>
          </w:tcPr>
          <w:p w14:paraId="763FAB84" w14:textId="0C926B48" w:rsidR="00D5035C" w:rsidRPr="007D277A" w:rsidRDefault="00D5035C" w:rsidP="00D5035C">
            <w:pPr>
              <w:suppressAutoHyphens/>
              <w:autoSpaceDN w:val="0"/>
              <w:jc w:val="right"/>
              <w:rPr>
                <w:rFonts w:ascii="Arial" w:eastAsia="Calibri" w:hAnsi="Arial" w:cs="Arial"/>
                <w:color w:val="000000"/>
                <w:sz w:val="16"/>
                <w:szCs w:val="16"/>
              </w:rPr>
            </w:pPr>
            <w:r w:rsidRPr="004738DB">
              <w:rPr>
                <w:rFonts w:ascii="Arial" w:eastAsia="Calibri" w:hAnsi="Arial" w:cs="Arial"/>
                <w:color w:val="000000"/>
                <w:sz w:val="16"/>
                <w:szCs w:val="16"/>
              </w:rPr>
              <w:t>1.316</w:t>
            </w:r>
          </w:p>
        </w:tc>
      </w:tr>
      <w:tr w:rsidR="00D5035C" w:rsidRPr="003D1614" w14:paraId="76CD7A97" w14:textId="77777777" w:rsidTr="002C73F0">
        <w:trPr>
          <w:trHeight w:val="229"/>
        </w:trPr>
        <w:tc>
          <w:tcPr>
            <w:tcW w:w="2692" w:type="dxa"/>
            <w:tcBorders>
              <w:top w:val="nil"/>
              <w:left w:val="nil"/>
              <w:bottom w:val="nil"/>
              <w:right w:val="nil"/>
            </w:tcBorders>
            <w:shd w:val="clear" w:color="auto" w:fill="auto"/>
            <w:noWrap/>
            <w:vAlign w:val="bottom"/>
          </w:tcPr>
          <w:p w14:paraId="0AB31DAD" w14:textId="77777777" w:rsidR="00D5035C" w:rsidRPr="003D1614" w:rsidRDefault="00D5035C" w:rsidP="00D5035C">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RHMF-O-297A</w:t>
            </w:r>
          </w:p>
        </w:tc>
        <w:tc>
          <w:tcPr>
            <w:tcW w:w="1219" w:type="dxa"/>
            <w:tcBorders>
              <w:top w:val="nil"/>
              <w:left w:val="nil"/>
              <w:bottom w:val="nil"/>
              <w:right w:val="nil"/>
            </w:tcBorders>
            <w:shd w:val="clear" w:color="auto" w:fill="auto"/>
            <w:noWrap/>
            <w:vAlign w:val="bottom"/>
          </w:tcPr>
          <w:p w14:paraId="1486262E" w14:textId="77777777" w:rsidR="00D5035C" w:rsidRPr="003D1614" w:rsidRDefault="00D5035C" w:rsidP="00D5035C">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9.7.2018.</w:t>
            </w:r>
          </w:p>
        </w:tc>
        <w:tc>
          <w:tcPr>
            <w:tcW w:w="1129" w:type="dxa"/>
            <w:tcBorders>
              <w:top w:val="nil"/>
              <w:left w:val="nil"/>
              <w:bottom w:val="nil"/>
              <w:right w:val="nil"/>
            </w:tcBorders>
            <w:shd w:val="clear" w:color="auto" w:fill="auto"/>
            <w:noWrap/>
            <w:vAlign w:val="bottom"/>
          </w:tcPr>
          <w:p w14:paraId="79736C41" w14:textId="77777777" w:rsidR="00D5035C" w:rsidRPr="003D1614" w:rsidRDefault="00D5035C" w:rsidP="00D5035C">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9.7.2029.</w:t>
            </w:r>
          </w:p>
        </w:tc>
        <w:tc>
          <w:tcPr>
            <w:tcW w:w="1196" w:type="dxa"/>
            <w:tcBorders>
              <w:top w:val="nil"/>
              <w:left w:val="nil"/>
              <w:bottom w:val="nil"/>
              <w:right w:val="nil"/>
            </w:tcBorders>
            <w:shd w:val="clear" w:color="auto" w:fill="auto"/>
            <w:noWrap/>
            <w:vAlign w:val="bottom"/>
          </w:tcPr>
          <w:p w14:paraId="5C0CE6A2" w14:textId="77777777" w:rsidR="00D5035C" w:rsidRPr="003D1614" w:rsidRDefault="00D5035C" w:rsidP="00D5035C">
            <w:pPr>
              <w:suppressAutoHyphens/>
              <w:autoSpaceDN w:val="0"/>
              <w:jc w:val="center"/>
              <w:rPr>
                <w:rFonts w:ascii="Arial" w:eastAsia="Calibri" w:hAnsi="Arial" w:cs="Arial"/>
                <w:color w:val="000000"/>
                <w:sz w:val="16"/>
                <w:szCs w:val="16"/>
              </w:rPr>
            </w:pPr>
            <w:r w:rsidRPr="003D1614">
              <w:rPr>
                <w:rFonts w:ascii="Arial" w:eastAsia="Calibri" w:hAnsi="Arial" w:cs="Arial"/>
                <w:color w:val="000000"/>
                <w:sz w:val="16"/>
                <w:szCs w:val="16"/>
              </w:rPr>
              <w:t>2,38</w:t>
            </w:r>
          </w:p>
        </w:tc>
        <w:tc>
          <w:tcPr>
            <w:tcW w:w="1155" w:type="dxa"/>
            <w:tcBorders>
              <w:top w:val="nil"/>
              <w:left w:val="nil"/>
              <w:bottom w:val="nil"/>
              <w:right w:val="nil"/>
            </w:tcBorders>
            <w:vAlign w:val="bottom"/>
          </w:tcPr>
          <w:p w14:paraId="75F8B9C7" w14:textId="1497CFA1" w:rsidR="00D5035C" w:rsidRPr="003D1614" w:rsidRDefault="00EB7D1B" w:rsidP="00D5035C">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392</w:t>
            </w:r>
          </w:p>
        </w:tc>
        <w:tc>
          <w:tcPr>
            <w:tcW w:w="1155" w:type="dxa"/>
            <w:tcBorders>
              <w:top w:val="nil"/>
              <w:left w:val="nil"/>
              <w:bottom w:val="nil"/>
              <w:right w:val="nil"/>
            </w:tcBorders>
            <w:vAlign w:val="bottom"/>
          </w:tcPr>
          <w:p w14:paraId="61FBFAD5" w14:textId="5C041135" w:rsidR="00D5035C" w:rsidRPr="003D1614" w:rsidRDefault="00D5035C" w:rsidP="00D5035C">
            <w:pPr>
              <w:suppressAutoHyphens/>
              <w:autoSpaceDN w:val="0"/>
              <w:jc w:val="right"/>
              <w:rPr>
                <w:rFonts w:ascii="Arial" w:eastAsia="Calibri" w:hAnsi="Arial" w:cs="Arial"/>
                <w:color w:val="000000"/>
                <w:sz w:val="16"/>
                <w:szCs w:val="16"/>
              </w:rPr>
            </w:pPr>
            <w:r w:rsidRPr="00771DD0">
              <w:rPr>
                <w:rFonts w:ascii="Arial" w:eastAsia="Calibri" w:hAnsi="Arial" w:cs="Arial"/>
                <w:color w:val="000000"/>
                <w:sz w:val="16"/>
                <w:szCs w:val="16"/>
              </w:rPr>
              <w:t>385</w:t>
            </w:r>
          </w:p>
        </w:tc>
        <w:tc>
          <w:tcPr>
            <w:tcW w:w="1155" w:type="dxa"/>
            <w:tcBorders>
              <w:top w:val="nil"/>
              <w:left w:val="nil"/>
              <w:bottom w:val="nil"/>
              <w:right w:val="nil"/>
            </w:tcBorders>
            <w:shd w:val="clear" w:color="auto" w:fill="auto"/>
            <w:vAlign w:val="bottom"/>
          </w:tcPr>
          <w:p w14:paraId="1AD29AD1" w14:textId="1F051C65" w:rsidR="00D5035C" w:rsidRPr="007D277A" w:rsidRDefault="00EB7D1B" w:rsidP="00D5035C">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w:t>
            </w:r>
          </w:p>
        </w:tc>
        <w:tc>
          <w:tcPr>
            <w:tcW w:w="1155" w:type="dxa"/>
            <w:tcBorders>
              <w:top w:val="nil"/>
              <w:left w:val="nil"/>
              <w:bottom w:val="nil"/>
              <w:right w:val="nil"/>
            </w:tcBorders>
            <w:shd w:val="clear" w:color="auto" w:fill="auto"/>
            <w:vAlign w:val="bottom"/>
          </w:tcPr>
          <w:p w14:paraId="1C8A0ACF" w14:textId="682A536A" w:rsidR="00D5035C" w:rsidRPr="007D277A" w:rsidRDefault="00D5035C" w:rsidP="00D5035C">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w:t>
            </w:r>
          </w:p>
        </w:tc>
      </w:tr>
      <w:tr w:rsidR="00D5035C" w:rsidRPr="003D1614" w14:paraId="3CCC6D0B" w14:textId="77777777" w:rsidTr="002C73F0">
        <w:trPr>
          <w:trHeight w:val="229"/>
        </w:trPr>
        <w:tc>
          <w:tcPr>
            <w:tcW w:w="2692" w:type="dxa"/>
            <w:tcBorders>
              <w:top w:val="nil"/>
              <w:left w:val="nil"/>
              <w:bottom w:val="nil"/>
              <w:right w:val="nil"/>
            </w:tcBorders>
            <w:shd w:val="clear" w:color="auto" w:fill="auto"/>
            <w:noWrap/>
            <w:vAlign w:val="bottom"/>
          </w:tcPr>
          <w:p w14:paraId="43E4F96D" w14:textId="77777777" w:rsidR="00D5035C" w:rsidRPr="003D1614" w:rsidRDefault="00D5035C" w:rsidP="00D5035C">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RHMF-O-34BA</w:t>
            </w:r>
          </w:p>
        </w:tc>
        <w:tc>
          <w:tcPr>
            <w:tcW w:w="1219" w:type="dxa"/>
            <w:tcBorders>
              <w:top w:val="nil"/>
              <w:left w:val="nil"/>
              <w:bottom w:val="nil"/>
              <w:right w:val="nil"/>
            </w:tcBorders>
            <w:shd w:val="clear" w:color="auto" w:fill="auto"/>
            <w:noWrap/>
            <w:vAlign w:val="bottom"/>
          </w:tcPr>
          <w:p w14:paraId="4241AD21" w14:textId="77777777" w:rsidR="00D5035C" w:rsidRPr="003D1614" w:rsidRDefault="00D5035C" w:rsidP="00D5035C">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27.11.2019.</w:t>
            </w:r>
          </w:p>
        </w:tc>
        <w:tc>
          <w:tcPr>
            <w:tcW w:w="1129" w:type="dxa"/>
            <w:tcBorders>
              <w:top w:val="nil"/>
              <w:left w:val="nil"/>
              <w:bottom w:val="nil"/>
              <w:right w:val="nil"/>
            </w:tcBorders>
            <w:shd w:val="clear" w:color="auto" w:fill="auto"/>
            <w:noWrap/>
            <w:vAlign w:val="bottom"/>
          </w:tcPr>
          <w:p w14:paraId="6C9B9F5B" w14:textId="77777777" w:rsidR="00D5035C" w:rsidRPr="003D1614" w:rsidRDefault="00D5035C" w:rsidP="00D5035C">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27.11.2034.</w:t>
            </w:r>
          </w:p>
        </w:tc>
        <w:tc>
          <w:tcPr>
            <w:tcW w:w="1196" w:type="dxa"/>
            <w:tcBorders>
              <w:top w:val="nil"/>
              <w:left w:val="nil"/>
              <w:bottom w:val="nil"/>
              <w:right w:val="nil"/>
            </w:tcBorders>
            <w:shd w:val="clear" w:color="auto" w:fill="auto"/>
            <w:noWrap/>
            <w:vAlign w:val="bottom"/>
          </w:tcPr>
          <w:p w14:paraId="293D5421" w14:textId="77777777" w:rsidR="00D5035C" w:rsidRPr="003D1614" w:rsidRDefault="00D5035C" w:rsidP="00D5035C">
            <w:pPr>
              <w:suppressAutoHyphens/>
              <w:autoSpaceDN w:val="0"/>
              <w:jc w:val="center"/>
              <w:rPr>
                <w:rFonts w:ascii="Arial" w:eastAsia="Calibri" w:hAnsi="Arial" w:cs="Arial"/>
                <w:color w:val="000000"/>
                <w:sz w:val="16"/>
                <w:szCs w:val="16"/>
              </w:rPr>
            </w:pPr>
            <w:r w:rsidRPr="003D1614">
              <w:rPr>
                <w:rFonts w:ascii="Arial" w:eastAsia="Calibri" w:hAnsi="Arial" w:cs="Arial"/>
                <w:color w:val="000000"/>
                <w:sz w:val="16"/>
                <w:szCs w:val="16"/>
              </w:rPr>
              <w:t>1,00</w:t>
            </w:r>
          </w:p>
        </w:tc>
        <w:tc>
          <w:tcPr>
            <w:tcW w:w="1155" w:type="dxa"/>
            <w:tcBorders>
              <w:top w:val="nil"/>
              <w:left w:val="nil"/>
              <w:bottom w:val="nil"/>
              <w:right w:val="nil"/>
            </w:tcBorders>
            <w:vAlign w:val="bottom"/>
          </w:tcPr>
          <w:p w14:paraId="30D14962" w14:textId="6420D33F" w:rsidR="00D5035C" w:rsidRPr="003D1614" w:rsidRDefault="008D634C" w:rsidP="00D5035C">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1.691</w:t>
            </w:r>
          </w:p>
        </w:tc>
        <w:tc>
          <w:tcPr>
            <w:tcW w:w="1155" w:type="dxa"/>
            <w:tcBorders>
              <w:top w:val="nil"/>
              <w:left w:val="nil"/>
              <w:bottom w:val="nil"/>
              <w:right w:val="nil"/>
            </w:tcBorders>
            <w:vAlign w:val="bottom"/>
          </w:tcPr>
          <w:p w14:paraId="67F914CF" w14:textId="23151864" w:rsidR="00D5035C" w:rsidRPr="003D1614" w:rsidRDefault="00D5035C" w:rsidP="00D5035C">
            <w:pPr>
              <w:suppressAutoHyphens/>
              <w:autoSpaceDN w:val="0"/>
              <w:jc w:val="right"/>
              <w:rPr>
                <w:rFonts w:ascii="Arial" w:eastAsia="Calibri" w:hAnsi="Arial" w:cs="Arial"/>
                <w:color w:val="000000"/>
                <w:sz w:val="16"/>
                <w:szCs w:val="16"/>
              </w:rPr>
            </w:pPr>
            <w:r w:rsidRPr="00771DD0">
              <w:rPr>
                <w:rFonts w:ascii="Arial" w:eastAsia="Calibri" w:hAnsi="Arial" w:cs="Arial"/>
                <w:color w:val="000000"/>
                <w:sz w:val="16"/>
                <w:szCs w:val="16"/>
              </w:rPr>
              <w:t>1.710</w:t>
            </w:r>
          </w:p>
        </w:tc>
        <w:tc>
          <w:tcPr>
            <w:tcW w:w="1155" w:type="dxa"/>
            <w:tcBorders>
              <w:top w:val="nil"/>
              <w:left w:val="nil"/>
              <w:bottom w:val="nil"/>
              <w:right w:val="nil"/>
            </w:tcBorders>
            <w:shd w:val="clear" w:color="auto" w:fill="auto"/>
            <w:vAlign w:val="bottom"/>
          </w:tcPr>
          <w:p w14:paraId="59A02BBB" w14:textId="5A550AE6" w:rsidR="00D5035C" w:rsidRPr="007D277A" w:rsidRDefault="008D634C" w:rsidP="00D5035C">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w:t>
            </w:r>
          </w:p>
        </w:tc>
        <w:tc>
          <w:tcPr>
            <w:tcW w:w="1155" w:type="dxa"/>
            <w:tcBorders>
              <w:top w:val="nil"/>
              <w:left w:val="nil"/>
              <w:bottom w:val="nil"/>
              <w:right w:val="nil"/>
            </w:tcBorders>
            <w:shd w:val="clear" w:color="auto" w:fill="auto"/>
            <w:vAlign w:val="bottom"/>
          </w:tcPr>
          <w:p w14:paraId="70BA794D" w14:textId="3ACEF46E" w:rsidR="00D5035C" w:rsidRPr="007D277A" w:rsidRDefault="00D5035C" w:rsidP="00D5035C">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w:t>
            </w:r>
          </w:p>
        </w:tc>
      </w:tr>
      <w:tr w:rsidR="00D5035C" w:rsidRPr="003D1614" w14:paraId="5D0C1099" w14:textId="77777777" w:rsidTr="002C73F0">
        <w:trPr>
          <w:trHeight w:val="229"/>
        </w:trPr>
        <w:tc>
          <w:tcPr>
            <w:tcW w:w="2692" w:type="dxa"/>
            <w:tcBorders>
              <w:top w:val="nil"/>
              <w:left w:val="nil"/>
              <w:bottom w:val="nil"/>
              <w:right w:val="nil"/>
            </w:tcBorders>
            <w:shd w:val="clear" w:color="auto" w:fill="auto"/>
            <w:noWrap/>
            <w:vAlign w:val="bottom"/>
          </w:tcPr>
          <w:p w14:paraId="09801265" w14:textId="77777777" w:rsidR="00D5035C" w:rsidRPr="003D1614" w:rsidRDefault="00D5035C" w:rsidP="00D5035C">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RHMF-O-403E</w:t>
            </w:r>
          </w:p>
        </w:tc>
        <w:tc>
          <w:tcPr>
            <w:tcW w:w="1219" w:type="dxa"/>
            <w:tcBorders>
              <w:top w:val="nil"/>
              <w:left w:val="nil"/>
              <w:bottom w:val="nil"/>
              <w:right w:val="nil"/>
            </w:tcBorders>
            <w:shd w:val="clear" w:color="auto" w:fill="auto"/>
            <w:noWrap/>
            <w:vAlign w:val="bottom"/>
          </w:tcPr>
          <w:p w14:paraId="114E668A" w14:textId="77777777" w:rsidR="00D5035C" w:rsidRPr="003D1614" w:rsidRDefault="00D5035C" w:rsidP="00D5035C">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3.3.2020.</w:t>
            </w:r>
          </w:p>
        </w:tc>
        <w:tc>
          <w:tcPr>
            <w:tcW w:w="1129" w:type="dxa"/>
            <w:tcBorders>
              <w:top w:val="nil"/>
              <w:left w:val="nil"/>
              <w:bottom w:val="nil"/>
              <w:right w:val="nil"/>
            </w:tcBorders>
            <w:shd w:val="clear" w:color="auto" w:fill="auto"/>
            <w:noWrap/>
            <w:vAlign w:val="bottom"/>
          </w:tcPr>
          <w:p w14:paraId="07C0784E" w14:textId="77777777" w:rsidR="00D5035C" w:rsidRPr="003D1614" w:rsidRDefault="00D5035C" w:rsidP="00D5035C">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3.3.2040.</w:t>
            </w:r>
          </w:p>
        </w:tc>
        <w:tc>
          <w:tcPr>
            <w:tcW w:w="1196" w:type="dxa"/>
            <w:tcBorders>
              <w:top w:val="nil"/>
              <w:left w:val="nil"/>
              <w:bottom w:val="nil"/>
              <w:right w:val="nil"/>
            </w:tcBorders>
            <w:shd w:val="clear" w:color="auto" w:fill="auto"/>
            <w:noWrap/>
            <w:vAlign w:val="bottom"/>
          </w:tcPr>
          <w:p w14:paraId="7DD3F657" w14:textId="77777777" w:rsidR="00D5035C" w:rsidRPr="003D1614" w:rsidRDefault="00D5035C" w:rsidP="00D5035C">
            <w:pPr>
              <w:suppressAutoHyphens/>
              <w:autoSpaceDN w:val="0"/>
              <w:jc w:val="center"/>
              <w:rPr>
                <w:rFonts w:ascii="Arial" w:eastAsia="Calibri" w:hAnsi="Arial" w:cs="Arial"/>
                <w:color w:val="000000"/>
                <w:sz w:val="16"/>
                <w:szCs w:val="16"/>
              </w:rPr>
            </w:pPr>
            <w:r w:rsidRPr="003D1614">
              <w:rPr>
                <w:rFonts w:ascii="Arial" w:eastAsia="Calibri" w:hAnsi="Arial" w:cs="Arial"/>
                <w:color w:val="000000"/>
                <w:sz w:val="16"/>
                <w:szCs w:val="16"/>
              </w:rPr>
              <w:t>1,25</w:t>
            </w:r>
          </w:p>
        </w:tc>
        <w:tc>
          <w:tcPr>
            <w:tcW w:w="1155" w:type="dxa"/>
            <w:tcBorders>
              <w:top w:val="nil"/>
              <w:left w:val="nil"/>
              <w:bottom w:val="nil"/>
              <w:right w:val="nil"/>
            </w:tcBorders>
            <w:shd w:val="clear" w:color="auto" w:fill="auto"/>
            <w:vAlign w:val="bottom"/>
          </w:tcPr>
          <w:p w14:paraId="479E55AD" w14:textId="3F26885D" w:rsidR="00D5035C" w:rsidRPr="003D1614" w:rsidRDefault="008D634C" w:rsidP="00D5035C">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848</w:t>
            </w:r>
          </w:p>
        </w:tc>
        <w:tc>
          <w:tcPr>
            <w:tcW w:w="1155" w:type="dxa"/>
            <w:tcBorders>
              <w:top w:val="nil"/>
              <w:left w:val="nil"/>
              <w:bottom w:val="nil"/>
              <w:right w:val="nil"/>
            </w:tcBorders>
            <w:vAlign w:val="bottom"/>
          </w:tcPr>
          <w:p w14:paraId="2049A13F" w14:textId="7B556AA6" w:rsidR="00D5035C" w:rsidRPr="003D1614" w:rsidRDefault="00D5035C" w:rsidP="00D5035C">
            <w:pPr>
              <w:suppressAutoHyphens/>
              <w:autoSpaceDN w:val="0"/>
              <w:jc w:val="right"/>
              <w:rPr>
                <w:rFonts w:ascii="Arial" w:eastAsia="Calibri" w:hAnsi="Arial" w:cs="Arial"/>
                <w:color w:val="000000"/>
                <w:sz w:val="16"/>
                <w:szCs w:val="16"/>
              </w:rPr>
            </w:pPr>
            <w:r w:rsidRPr="00771DD0">
              <w:rPr>
                <w:rFonts w:ascii="Arial" w:eastAsia="Calibri" w:hAnsi="Arial" w:cs="Arial"/>
                <w:color w:val="000000"/>
                <w:sz w:val="16"/>
                <w:szCs w:val="16"/>
              </w:rPr>
              <w:t>852</w:t>
            </w:r>
          </w:p>
        </w:tc>
        <w:tc>
          <w:tcPr>
            <w:tcW w:w="1155" w:type="dxa"/>
            <w:tcBorders>
              <w:top w:val="nil"/>
              <w:left w:val="nil"/>
              <w:bottom w:val="nil"/>
              <w:right w:val="nil"/>
            </w:tcBorders>
            <w:shd w:val="clear" w:color="auto" w:fill="auto"/>
            <w:vAlign w:val="bottom"/>
          </w:tcPr>
          <w:p w14:paraId="43BBA7BB" w14:textId="444A2988" w:rsidR="00D5035C" w:rsidRPr="007D277A" w:rsidRDefault="008D634C" w:rsidP="00D5035C">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w:t>
            </w:r>
          </w:p>
        </w:tc>
        <w:tc>
          <w:tcPr>
            <w:tcW w:w="1155" w:type="dxa"/>
            <w:tcBorders>
              <w:top w:val="nil"/>
              <w:left w:val="nil"/>
              <w:bottom w:val="nil"/>
              <w:right w:val="nil"/>
            </w:tcBorders>
            <w:shd w:val="clear" w:color="auto" w:fill="auto"/>
            <w:vAlign w:val="bottom"/>
          </w:tcPr>
          <w:p w14:paraId="111E9378" w14:textId="30840185" w:rsidR="00D5035C" w:rsidRPr="007D277A" w:rsidRDefault="00D5035C" w:rsidP="00D5035C">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w:t>
            </w:r>
          </w:p>
        </w:tc>
      </w:tr>
      <w:tr w:rsidR="00D5035C" w:rsidRPr="003D1614" w14:paraId="12B87CC3" w14:textId="77777777" w:rsidTr="002C73F0">
        <w:trPr>
          <w:trHeight w:val="229"/>
        </w:trPr>
        <w:tc>
          <w:tcPr>
            <w:tcW w:w="2692" w:type="dxa"/>
            <w:tcBorders>
              <w:top w:val="nil"/>
              <w:left w:val="nil"/>
              <w:right w:val="nil"/>
            </w:tcBorders>
            <w:shd w:val="clear" w:color="auto" w:fill="auto"/>
            <w:noWrap/>
            <w:vAlign w:val="bottom"/>
          </w:tcPr>
          <w:p w14:paraId="32E5ABA7" w14:textId="77777777" w:rsidR="00D5035C" w:rsidRPr="003D1614" w:rsidRDefault="00D5035C" w:rsidP="00D5035C">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RHMF-O-253A</w:t>
            </w:r>
          </w:p>
        </w:tc>
        <w:tc>
          <w:tcPr>
            <w:tcW w:w="1219" w:type="dxa"/>
            <w:tcBorders>
              <w:top w:val="nil"/>
              <w:left w:val="nil"/>
              <w:right w:val="nil"/>
            </w:tcBorders>
            <w:shd w:val="clear" w:color="auto" w:fill="auto"/>
            <w:noWrap/>
            <w:vAlign w:val="bottom"/>
          </w:tcPr>
          <w:p w14:paraId="2FF6F8FD" w14:textId="77777777" w:rsidR="00D5035C" w:rsidRPr="003D1614" w:rsidRDefault="00D5035C" w:rsidP="00D5035C">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3.3.2020.</w:t>
            </w:r>
          </w:p>
        </w:tc>
        <w:tc>
          <w:tcPr>
            <w:tcW w:w="1129" w:type="dxa"/>
            <w:tcBorders>
              <w:top w:val="nil"/>
              <w:left w:val="nil"/>
              <w:right w:val="nil"/>
            </w:tcBorders>
            <w:shd w:val="clear" w:color="auto" w:fill="auto"/>
            <w:noWrap/>
            <w:vAlign w:val="bottom"/>
          </w:tcPr>
          <w:p w14:paraId="30BADB27" w14:textId="77777777" w:rsidR="00D5035C" w:rsidRPr="003D1614" w:rsidRDefault="00D5035C" w:rsidP="00D5035C">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3.3.2025.</w:t>
            </w:r>
          </w:p>
        </w:tc>
        <w:tc>
          <w:tcPr>
            <w:tcW w:w="1196" w:type="dxa"/>
            <w:tcBorders>
              <w:top w:val="nil"/>
              <w:left w:val="nil"/>
              <w:bottom w:val="nil"/>
              <w:right w:val="nil"/>
            </w:tcBorders>
            <w:shd w:val="clear" w:color="auto" w:fill="auto"/>
            <w:noWrap/>
            <w:vAlign w:val="bottom"/>
          </w:tcPr>
          <w:p w14:paraId="0B762776" w14:textId="77777777" w:rsidR="00D5035C" w:rsidRPr="003D1614" w:rsidRDefault="00D5035C" w:rsidP="00D5035C">
            <w:pPr>
              <w:suppressAutoHyphens/>
              <w:autoSpaceDN w:val="0"/>
              <w:jc w:val="center"/>
              <w:rPr>
                <w:rFonts w:ascii="Arial" w:eastAsia="Calibri" w:hAnsi="Arial" w:cs="Arial"/>
                <w:color w:val="000000"/>
                <w:sz w:val="16"/>
                <w:szCs w:val="16"/>
              </w:rPr>
            </w:pPr>
            <w:r w:rsidRPr="003D1614">
              <w:rPr>
                <w:rFonts w:ascii="Arial" w:eastAsia="Calibri" w:hAnsi="Arial" w:cs="Arial"/>
                <w:color w:val="000000"/>
                <w:sz w:val="16"/>
                <w:szCs w:val="16"/>
              </w:rPr>
              <w:t>0,25</w:t>
            </w:r>
          </w:p>
        </w:tc>
        <w:tc>
          <w:tcPr>
            <w:tcW w:w="1155" w:type="dxa"/>
            <w:tcBorders>
              <w:top w:val="nil"/>
              <w:left w:val="nil"/>
              <w:bottom w:val="nil"/>
              <w:right w:val="nil"/>
            </w:tcBorders>
            <w:vAlign w:val="bottom"/>
          </w:tcPr>
          <w:p w14:paraId="4ED4877F" w14:textId="36F7CA11" w:rsidR="00D5035C" w:rsidRPr="003D1614" w:rsidRDefault="0004434F" w:rsidP="00D5035C">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15.343</w:t>
            </w:r>
          </w:p>
        </w:tc>
        <w:tc>
          <w:tcPr>
            <w:tcW w:w="1155" w:type="dxa"/>
            <w:tcBorders>
              <w:top w:val="nil"/>
              <w:left w:val="nil"/>
              <w:bottom w:val="nil"/>
              <w:right w:val="nil"/>
            </w:tcBorders>
            <w:shd w:val="clear" w:color="auto" w:fill="auto"/>
            <w:vAlign w:val="bottom"/>
          </w:tcPr>
          <w:p w14:paraId="4A5F04BA" w14:textId="16E95699" w:rsidR="00D5035C" w:rsidRPr="003D1614" w:rsidRDefault="00D5035C" w:rsidP="00D5035C">
            <w:pPr>
              <w:suppressAutoHyphens/>
              <w:autoSpaceDN w:val="0"/>
              <w:jc w:val="right"/>
              <w:rPr>
                <w:rFonts w:ascii="Arial" w:eastAsia="Calibri" w:hAnsi="Arial" w:cs="Arial"/>
                <w:color w:val="000000"/>
                <w:sz w:val="16"/>
                <w:szCs w:val="16"/>
              </w:rPr>
            </w:pPr>
            <w:r w:rsidRPr="00771DD0">
              <w:rPr>
                <w:rFonts w:ascii="Arial" w:eastAsia="Calibri" w:hAnsi="Arial" w:cs="Arial"/>
                <w:color w:val="000000"/>
                <w:sz w:val="16"/>
                <w:szCs w:val="16"/>
              </w:rPr>
              <w:t>10.225</w:t>
            </w:r>
          </w:p>
        </w:tc>
        <w:tc>
          <w:tcPr>
            <w:tcW w:w="1155" w:type="dxa"/>
            <w:tcBorders>
              <w:top w:val="nil"/>
              <w:left w:val="nil"/>
              <w:bottom w:val="nil"/>
              <w:right w:val="nil"/>
            </w:tcBorders>
            <w:shd w:val="clear" w:color="auto" w:fill="auto"/>
            <w:vAlign w:val="bottom"/>
          </w:tcPr>
          <w:p w14:paraId="3A453B7F" w14:textId="365F68F4" w:rsidR="00D5035C" w:rsidRPr="007D277A" w:rsidRDefault="0004434F" w:rsidP="00D5035C">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15.343</w:t>
            </w:r>
          </w:p>
        </w:tc>
        <w:tc>
          <w:tcPr>
            <w:tcW w:w="1155" w:type="dxa"/>
            <w:tcBorders>
              <w:top w:val="nil"/>
              <w:left w:val="nil"/>
              <w:bottom w:val="nil"/>
              <w:right w:val="nil"/>
            </w:tcBorders>
            <w:shd w:val="clear" w:color="auto" w:fill="auto"/>
            <w:vAlign w:val="bottom"/>
          </w:tcPr>
          <w:p w14:paraId="0D084E82" w14:textId="533B11D3" w:rsidR="00D5035C" w:rsidRPr="007D277A" w:rsidRDefault="00D5035C" w:rsidP="00D5035C">
            <w:pPr>
              <w:suppressAutoHyphens/>
              <w:autoSpaceDN w:val="0"/>
              <w:jc w:val="right"/>
              <w:rPr>
                <w:rFonts w:ascii="Arial" w:eastAsia="Calibri" w:hAnsi="Arial" w:cs="Arial"/>
                <w:color w:val="000000"/>
                <w:sz w:val="16"/>
                <w:szCs w:val="16"/>
              </w:rPr>
            </w:pPr>
            <w:r w:rsidRPr="004738DB">
              <w:rPr>
                <w:rFonts w:ascii="Arial" w:eastAsia="Calibri" w:hAnsi="Arial" w:cs="Arial"/>
                <w:color w:val="000000"/>
                <w:sz w:val="16"/>
                <w:szCs w:val="16"/>
              </w:rPr>
              <w:t>10.225</w:t>
            </w:r>
          </w:p>
        </w:tc>
      </w:tr>
      <w:tr w:rsidR="00D5035C" w:rsidRPr="003D1614" w14:paraId="56BB563F" w14:textId="77777777" w:rsidTr="002C73F0">
        <w:trPr>
          <w:trHeight w:val="229"/>
        </w:trPr>
        <w:tc>
          <w:tcPr>
            <w:tcW w:w="2692" w:type="dxa"/>
            <w:tcBorders>
              <w:top w:val="nil"/>
              <w:left w:val="nil"/>
            </w:tcBorders>
            <w:shd w:val="clear" w:color="auto" w:fill="auto"/>
            <w:noWrap/>
            <w:vAlign w:val="bottom"/>
          </w:tcPr>
          <w:p w14:paraId="4A970CC5" w14:textId="77777777" w:rsidR="00D5035C" w:rsidRPr="003D1614" w:rsidRDefault="00D5035C" w:rsidP="00D5035C">
            <w:pPr>
              <w:suppressAutoHyphens/>
              <w:autoSpaceDN w:val="0"/>
              <w:jc w:val="right"/>
              <w:rPr>
                <w:rFonts w:ascii="Arial" w:eastAsia="Calibri" w:hAnsi="Arial" w:cs="Arial"/>
                <w:iCs/>
                <w:color w:val="000000"/>
                <w:sz w:val="16"/>
                <w:szCs w:val="16"/>
              </w:rPr>
            </w:pPr>
            <w:r w:rsidRPr="003D1614">
              <w:rPr>
                <w:rFonts w:ascii="Arial" w:eastAsia="Calibri" w:hAnsi="Arial" w:cs="Arial"/>
                <w:iCs/>
                <w:noProof/>
                <w:color w:val="000000"/>
                <w:sz w:val="16"/>
                <w:szCs w:val="16"/>
              </w:rPr>
              <mc:AlternateContent>
                <mc:Choice Requires="aink">
                  <w:drawing>
                    <wp:anchor distT="0" distB="0" distL="114300" distR="114300" simplePos="0" relativeHeight="251661312" behindDoc="0" locked="0" layoutInCell="1" allowOverlap="1" wp14:anchorId="3150A6C5" wp14:editId="7E1AA9BB">
                      <wp:simplePos x="0" y="0"/>
                      <wp:positionH relativeFrom="column">
                        <wp:posOffset>2577149</wp:posOffset>
                      </wp:positionH>
                      <wp:positionV relativeFrom="paragraph">
                        <wp:posOffset>13058</wp:posOffset>
                      </wp:positionV>
                      <wp:extent cx="360" cy="360"/>
                      <wp:effectExtent l="57150" t="38100" r="38100" b="57150"/>
                      <wp:wrapNone/>
                      <wp:docPr id="39" name="Ink 10"/>
                      <wp:cNvGraphicFramePr/>
                      <a:graphic xmlns:a="http://schemas.openxmlformats.org/drawingml/2006/main">
                        <a:graphicData uri="http://schemas.microsoft.com/office/word/2010/wordprocessingInk">
                          <w14:contentPart bwMode="auto" r:id="rId23">
                            <w14:nvContentPartPr>
                              <w14:cNvContentPartPr/>
                            </w14:nvContentPartPr>
                            <w14:xfrm>
                              <a:off x="0" y="0"/>
                              <a:ext cx="360" cy="360"/>
                            </w14:xfrm>
                          </w14:contentPart>
                        </a:graphicData>
                      </a:graphic>
                    </wp:anchor>
                  </w:drawing>
                </mc:Choice>
                <mc:Fallback>
                  <w:drawing>
                    <wp:anchor distT="0" distB="0" distL="114300" distR="114300" simplePos="0" relativeHeight="251661312" behindDoc="0" locked="0" layoutInCell="1" allowOverlap="1" wp14:anchorId="3150A6C5" wp14:editId="7E1AA9BB">
                      <wp:simplePos x="0" y="0"/>
                      <wp:positionH relativeFrom="column">
                        <wp:posOffset>2577149</wp:posOffset>
                      </wp:positionH>
                      <wp:positionV relativeFrom="paragraph">
                        <wp:posOffset>13058</wp:posOffset>
                      </wp:positionV>
                      <wp:extent cx="360" cy="360"/>
                      <wp:effectExtent l="57150" t="38100" r="38100" b="57150"/>
                      <wp:wrapNone/>
                      <wp:docPr id="39" name="Ink 10"/>
                      <wp:cNvGraphicFramePr/>
                      <a:graphic xmlns:a="http://schemas.openxmlformats.org/drawingml/2006/main">
                        <a:graphicData uri="http://schemas.openxmlformats.org/drawingml/2006/picture">
                          <pic:pic xmlns:pic="http://schemas.openxmlformats.org/drawingml/2006/picture">
                            <pic:nvPicPr>
                              <pic:cNvPr id="39" name="Ink 10"/>
                              <pic:cNvPicPr/>
                            </pic:nvPicPr>
                            <pic:blipFill>
                              <a:blip r:embed="rId24"/>
                              <a:stretch>
                                <a:fillRect/>
                              </a:stretch>
                            </pic:blipFill>
                            <pic:spPr>
                              <a:xfrm>
                                <a:off x="0" y="0"/>
                                <a:ext cx="36000" cy="216000"/>
                              </a:xfrm>
                              <a:prstGeom prst="rect">
                                <a:avLst/>
                              </a:prstGeom>
                            </pic:spPr>
                          </pic:pic>
                        </a:graphicData>
                      </a:graphic>
                    </wp:anchor>
                  </w:drawing>
                </mc:Fallback>
              </mc:AlternateContent>
            </w:r>
            <w:r w:rsidRPr="003D1614">
              <w:rPr>
                <w:rFonts w:ascii="Arial" w:eastAsia="Calibri" w:hAnsi="Arial" w:cs="Arial"/>
                <w:iCs/>
                <w:noProof/>
                <w:color w:val="000000"/>
                <w:sz w:val="16"/>
                <w:szCs w:val="16"/>
              </w:rPr>
              <mc:AlternateContent>
                <mc:Choice Requires="aink">
                  <w:drawing>
                    <wp:anchor distT="0" distB="0" distL="114300" distR="114300" simplePos="0" relativeHeight="251657216" behindDoc="0" locked="0" layoutInCell="1" allowOverlap="1" wp14:anchorId="5FEE66CA" wp14:editId="57EA36F6">
                      <wp:simplePos x="0" y="0"/>
                      <wp:positionH relativeFrom="column">
                        <wp:posOffset>888389</wp:posOffset>
                      </wp:positionH>
                      <wp:positionV relativeFrom="paragraph">
                        <wp:posOffset>76778</wp:posOffset>
                      </wp:positionV>
                      <wp:extent cx="3600" cy="360"/>
                      <wp:effectExtent l="0" t="0" r="0" b="0"/>
                      <wp:wrapNone/>
                      <wp:docPr id="40" name="Ink 16"/>
                      <wp:cNvGraphicFramePr/>
                      <a:graphic xmlns:a="http://schemas.openxmlformats.org/drawingml/2006/main">
                        <a:graphicData uri="http://schemas.microsoft.com/office/word/2010/wordprocessingInk">
                          <w14:contentPart bwMode="auto" r:id="rId25">
                            <w14:nvContentPartPr>
                              <w14:cNvContentPartPr/>
                            </w14:nvContentPartPr>
                            <w14:xfrm>
                              <a:off x="0" y="0"/>
                              <a:ext cx="3600" cy="360"/>
                            </w14:xfrm>
                          </w14:contentPart>
                        </a:graphicData>
                      </a:graphic>
                    </wp:anchor>
                  </w:drawing>
                </mc:Choice>
                <mc:Fallback>
                  <w:drawing>
                    <wp:anchor distT="0" distB="0" distL="114300" distR="114300" simplePos="0" relativeHeight="251657216" behindDoc="0" locked="0" layoutInCell="1" allowOverlap="1" wp14:anchorId="5FEE66CA" wp14:editId="57EA36F6">
                      <wp:simplePos x="0" y="0"/>
                      <wp:positionH relativeFrom="column">
                        <wp:posOffset>888389</wp:posOffset>
                      </wp:positionH>
                      <wp:positionV relativeFrom="paragraph">
                        <wp:posOffset>76778</wp:posOffset>
                      </wp:positionV>
                      <wp:extent cx="3600" cy="360"/>
                      <wp:effectExtent l="0" t="0" r="0" b="0"/>
                      <wp:wrapNone/>
                      <wp:docPr id="40" name="Ink 16"/>
                      <wp:cNvGraphicFramePr/>
                      <a:graphic xmlns:a="http://schemas.openxmlformats.org/drawingml/2006/main">
                        <a:graphicData uri="http://schemas.openxmlformats.org/drawingml/2006/picture">
                          <pic:pic xmlns:pic="http://schemas.openxmlformats.org/drawingml/2006/picture">
                            <pic:nvPicPr>
                              <pic:cNvPr id="40" name="Ink 16"/>
                              <pic:cNvPicPr/>
                            </pic:nvPicPr>
                            <pic:blipFill>
                              <a:blip r:embed="rId26"/>
                              <a:stretch>
                                <a:fillRect/>
                              </a:stretch>
                            </pic:blipFill>
                            <pic:spPr>
                              <a:xfrm>
                                <a:off x="0" y="0"/>
                                <a:ext cx="39240" cy="216000"/>
                              </a:xfrm>
                              <a:prstGeom prst="rect">
                                <a:avLst/>
                              </a:prstGeom>
                            </pic:spPr>
                          </pic:pic>
                        </a:graphicData>
                      </a:graphic>
                    </wp:anchor>
                  </w:drawing>
                </mc:Fallback>
              </mc:AlternateContent>
            </w:r>
            <w:r w:rsidRPr="003D1614">
              <w:rPr>
                <w:rFonts w:ascii="Arial" w:eastAsia="Calibri" w:hAnsi="Arial" w:cs="Arial"/>
                <w:iCs/>
                <w:color w:val="000000"/>
                <w:sz w:val="16"/>
                <w:szCs w:val="16"/>
              </w:rPr>
              <w:t xml:space="preserve">                               RHMF-O-24BA        </w:t>
            </w:r>
          </w:p>
        </w:tc>
        <w:tc>
          <w:tcPr>
            <w:tcW w:w="1219" w:type="dxa"/>
            <w:tcBorders>
              <w:top w:val="nil"/>
            </w:tcBorders>
            <w:shd w:val="clear" w:color="auto" w:fill="auto"/>
            <w:vAlign w:val="bottom"/>
          </w:tcPr>
          <w:p w14:paraId="1FD1C9CB" w14:textId="77777777" w:rsidR="00D5035C" w:rsidRPr="003D1614" w:rsidRDefault="00D5035C" w:rsidP="00D5035C">
            <w:pPr>
              <w:suppressAutoHyphens/>
              <w:autoSpaceDN w:val="0"/>
              <w:jc w:val="right"/>
              <w:rPr>
                <w:rFonts w:ascii="Arial" w:eastAsia="Calibri" w:hAnsi="Arial" w:cs="Arial"/>
                <w:iCs/>
                <w:color w:val="000000"/>
                <w:sz w:val="16"/>
                <w:szCs w:val="16"/>
              </w:rPr>
            </w:pPr>
            <w:r w:rsidRPr="003D1614">
              <w:rPr>
                <w:rFonts w:ascii="Arial" w:eastAsia="Calibri" w:hAnsi="Arial" w:cs="Arial"/>
                <w:iCs/>
                <w:color w:val="000000"/>
                <w:sz w:val="16"/>
                <w:szCs w:val="16"/>
              </w:rPr>
              <w:t xml:space="preserve">27.11.2019.     </w:t>
            </w:r>
          </w:p>
        </w:tc>
        <w:tc>
          <w:tcPr>
            <w:tcW w:w="1129" w:type="dxa"/>
            <w:tcBorders>
              <w:top w:val="nil"/>
              <w:right w:val="nil"/>
            </w:tcBorders>
            <w:shd w:val="clear" w:color="auto" w:fill="auto"/>
            <w:vAlign w:val="bottom"/>
          </w:tcPr>
          <w:p w14:paraId="4E373D9F" w14:textId="77777777" w:rsidR="00D5035C" w:rsidRPr="003D1614" w:rsidRDefault="00D5035C" w:rsidP="00D5035C">
            <w:pPr>
              <w:suppressAutoHyphens/>
              <w:autoSpaceDN w:val="0"/>
              <w:jc w:val="right"/>
              <w:rPr>
                <w:rFonts w:ascii="Arial" w:eastAsia="Calibri" w:hAnsi="Arial" w:cs="Arial"/>
                <w:iCs/>
                <w:color w:val="000000"/>
                <w:sz w:val="16"/>
                <w:szCs w:val="16"/>
              </w:rPr>
            </w:pPr>
            <w:r w:rsidRPr="003D1614">
              <w:rPr>
                <w:rFonts w:ascii="Arial" w:eastAsia="Calibri" w:hAnsi="Arial" w:cs="Arial"/>
                <w:iCs/>
                <w:color w:val="000000"/>
                <w:sz w:val="16"/>
                <w:szCs w:val="16"/>
              </w:rPr>
              <w:t>27.11.2024.</w:t>
            </w:r>
          </w:p>
        </w:tc>
        <w:tc>
          <w:tcPr>
            <w:tcW w:w="1196" w:type="dxa"/>
            <w:tcBorders>
              <w:top w:val="nil"/>
              <w:left w:val="nil"/>
              <w:bottom w:val="nil"/>
              <w:right w:val="nil"/>
            </w:tcBorders>
            <w:shd w:val="clear" w:color="auto" w:fill="auto"/>
            <w:noWrap/>
            <w:vAlign w:val="bottom"/>
          </w:tcPr>
          <w:p w14:paraId="3843E48A" w14:textId="77777777" w:rsidR="00D5035C" w:rsidRPr="003D1614" w:rsidRDefault="00D5035C" w:rsidP="00D5035C">
            <w:pPr>
              <w:suppressAutoHyphens/>
              <w:autoSpaceDN w:val="0"/>
              <w:rPr>
                <w:rFonts w:ascii="Arial" w:eastAsia="Calibri" w:hAnsi="Arial" w:cs="Arial"/>
                <w:color w:val="000000"/>
                <w:sz w:val="16"/>
                <w:szCs w:val="16"/>
              </w:rPr>
            </w:pPr>
            <w:r w:rsidRPr="003D1614">
              <w:rPr>
                <w:rFonts w:ascii="Arial" w:eastAsia="Calibri" w:hAnsi="Arial" w:cs="Arial"/>
                <w:iCs/>
                <w:color w:val="000000"/>
                <w:sz w:val="16"/>
                <w:szCs w:val="16"/>
              </w:rPr>
              <w:t xml:space="preserve">        0,25</w:t>
            </w:r>
          </w:p>
        </w:tc>
        <w:tc>
          <w:tcPr>
            <w:tcW w:w="1155" w:type="dxa"/>
            <w:tcBorders>
              <w:top w:val="nil"/>
              <w:left w:val="nil"/>
              <w:bottom w:val="nil"/>
              <w:right w:val="nil"/>
            </w:tcBorders>
            <w:vAlign w:val="bottom"/>
          </w:tcPr>
          <w:p w14:paraId="1FA34B91" w14:textId="43EEE03B" w:rsidR="00D5035C" w:rsidRPr="003D1614" w:rsidRDefault="0004434F" w:rsidP="00D5035C">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1.277</w:t>
            </w:r>
          </w:p>
        </w:tc>
        <w:tc>
          <w:tcPr>
            <w:tcW w:w="1155" w:type="dxa"/>
            <w:tcBorders>
              <w:top w:val="nil"/>
              <w:left w:val="nil"/>
              <w:bottom w:val="nil"/>
              <w:right w:val="nil"/>
            </w:tcBorders>
            <w:vAlign w:val="bottom"/>
          </w:tcPr>
          <w:p w14:paraId="5696AD73" w14:textId="10ABDB77" w:rsidR="00D5035C" w:rsidRPr="003D1614" w:rsidRDefault="00D5035C" w:rsidP="00D5035C">
            <w:pPr>
              <w:suppressAutoHyphens/>
              <w:autoSpaceDN w:val="0"/>
              <w:jc w:val="right"/>
              <w:rPr>
                <w:rFonts w:ascii="Arial" w:eastAsia="Calibri" w:hAnsi="Arial" w:cs="Arial"/>
                <w:color w:val="000000"/>
                <w:sz w:val="16"/>
                <w:szCs w:val="16"/>
                <w:lang w:eastAsia="hr-HR"/>
              </w:rPr>
            </w:pPr>
            <w:r w:rsidRPr="00771DD0">
              <w:rPr>
                <w:rFonts w:ascii="Arial" w:eastAsia="Calibri" w:hAnsi="Arial" w:cs="Arial"/>
                <w:color w:val="000000"/>
                <w:sz w:val="16"/>
                <w:szCs w:val="16"/>
                <w:lang w:eastAsia="hr-HR"/>
              </w:rPr>
              <w:t>1.243</w:t>
            </w:r>
          </w:p>
        </w:tc>
        <w:tc>
          <w:tcPr>
            <w:tcW w:w="1155" w:type="dxa"/>
            <w:tcBorders>
              <w:top w:val="nil"/>
              <w:left w:val="nil"/>
              <w:bottom w:val="nil"/>
              <w:right w:val="nil"/>
            </w:tcBorders>
            <w:vAlign w:val="bottom"/>
          </w:tcPr>
          <w:p w14:paraId="6D890252" w14:textId="385DF7D2" w:rsidR="00D5035C" w:rsidRPr="007D277A" w:rsidRDefault="001840A1" w:rsidP="00D5035C">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1.277</w:t>
            </w:r>
          </w:p>
        </w:tc>
        <w:tc>
          <w:tcPr>
            <w:tcW w:w="1155" w:type="dxa"/>
            <w:tcBorders>
              <w:top w:val="nil"/>
              <w:left w:val="nil"/>
              <w:bottom w:val="nil"/>
              <w:right w:val="nil"/>
            </w:tcBorders>
            <w:vAlign w:val="bottom"/>
          </w:tcPr>
          <w:p w14:paraId="3C2AF30F" w14:textId="1C27A292" w:rsidR="00D5035C" w:rsidRPr="007D277A" w:rsidRDefault="00D5035C" w:rsidP="00D5035C">
            <w:pPr>
              <w:suppressAutoHyphens/>
              <w:autoSpaceDN w:val="0"/>
              <w:jc w:val="right"/>
              <w:rPr>
                <w:rFonts w:ascii="Arial" w:eastAsia="Calibri" w:hAnsi="Arial" w:cs="Arial"/>
                <w:color w:val="000000"/>
                <w:sz w:val="16"/>
                <w:szCs w:val="16"/>
              </w:rPr>
            </w:pPr>
            <w:r w:rsidRPr="004738DB">
              <w:rPr>
                <w:rFonts w:ascii="Arial" w:eastAsia="Calibri" w:hAnsi="Arial" w:cs="Arial"/>
                <w:color w:val="000000"/>
                <w:sz w:val="16"/>
                <w:szCs w:val="16"/>
              </w:rPr>
              <w:t>1.243</w:t>
            </w:r>
          </w:p>
        </w:tc>
      </w:tr>
      <w:tr w:rsidR="00D5035C" w:rsidRPr="003D1614" w14:paraId="0EAE9C0D" w14:textId="77777777" w:rsidTr="002C73F0">
        <w:trPr>
          <w:trHeight w:val="229"/>
        </w:trPr>
        <w:tc>
          <w:tcPr>
            <w:tcW w:w="2692" w:type="dxa"/>
            <w:tcBorders>
              <w:top w:val="nil"/>
              <w:left w:val="nil"/>
            </w:tcBorders>
            <w:shd w:val="clear" w:color="auto" w:fill="auto"/>
            <w:noWrap/>
            <w:vAlign w:val="bottom"/>
          </w:tcPr>
          <w:p w14:paraId="00EB5852" w14:textId="675D8CB1" w:rsidR="00D5035C" w:rsidRPr="003D1614" w:rsidRDefault="00D5035C" w:rsidP="00D5035C">
            <w:pPr>
              <w:suppressAutoHyphens/>
              <w:autoSpaceDN w:val="0"/>
              <w:jc w:val="right"/>
              <w:rPr>
                <w:rFonts w:ascii="Arial" w:eastAsia="Calibri" w:hAnsi="Arial" w:cs="Arial"/>
                <w:iCs/>
                <w:noProof/>
                <w:color w:val="000000"/>
                <w:sz w:val="16"/>
                <w:szCs w:val="16"/>
              </w:rPr>
            </w:pPr>
            <w:r>
              <w:rPr>
                <w:rFonts w:ascii="Arial" w:eastAsia="Calibri" w:hAnsi="Arial" w:cs="Arial"/>
                <w:iCs/>
                <w:noProof/>
                <w:color w:val="000000"/>
                <w:sz w:val="16"/>
                <w:szCs w:val="16"/>
              </w:rPr>
              <w:t>RHMF-O-253B</w:t>
            </w:r>
          </w:p>
        </w:tc>
        <w:tc>
          <w:tcPr>
            <w:tcW w:w="1219" w:type="dxa"/>
            <w:tcBorders>
              <w:top w:val="nil"/>
            </w:tcBorders>
            <w:shd w:val="clear" w:color="auto" w:fill="auto"/>
            <w:vAlign w:val="bottom"/>
          </w:tcPr>
          <w:p w14:paraId="5FA7E454" w14:textId="15895BBC" w:rsidR="00D5035C" w:rsidRPr="003D1614" w:rsidRDefault="00D5035C" w:rsidP="00D5035C">
            <w:pPr>
              <w:suppressAutoHyphens/>
              <w:autoSpaceDN w:val="0"/>
              <w:jc w:val="right"/>
              <w:rPr>
                <w:rFonts w:ascii="Arial" w:eastAsia="Calibri" w:hAnsi="Arial" w:cs="Arial"/>
                <w:iCs/>
                <w:color w:val="000000"/>
                <w:sz w:val="16"/>
                <w:szCs w:val="16"/>
              </w:rPr>
            </w:pPr>
            <w:r>
              <w:rPr>
                <w:rFonts w:ascii="Arial" w:eastAsia="Calibri" w:hAnsi="Arial" w:cs="Arial"/>
                <w:iCs/>
                <w:color w:val="000000"/>
                <w:sz w:val="16"/>
                <w:szCs w:val="16"/>
              </w:rPr>
              <w:t>8.3.2023.</w:t>
            </w:r>
          </w:p>
        </w:tc>
        <w:tc>
          <w:tcPr>
            <w:tcW w:w="1129" w:type="dxa"/>
            <w:tcBorders>
              <w:top w:val="nil"/>
              <w:right w:val="nil"/>
            </w:tcBorders>
            <w:shd w:val="clear" w:color="auto" w:fill="auto"/>
            <w:vAlign w:val="bottom"/>
          </w:tcPr>
          <w:p w14:paraId="46EF609B" w14:textId="0FF96482" w:rsidR="00D5035C" w:rsidRPr="003D1614" w:rsidRDefault="00D5035C" w:rsidP="00D5035C">
            <w:pPr>
              <w:suppressAutoHyphens/>
              <w:autoSpaceDN w:val="0"/>
              <w:jc w:val="right"/>
              <w:rPr>
                <w:rFonts w:ascii="Arial" w:eastAsia="Calibri" w:hAnsi="Arial" w:cs="Arial"/>
                <w:iCs/>
                <w:color w:val="000000"/>
                <w:sz w:val="16"/>
                <w:szCs w:val="16"/>
              </w:rPr>
            </w:pPr>
            <w:r>
              <w:rPr>
                <w:rFonts w:ascii="Arial" w:eastAsia="Calibri" w:hAnsi="Arial" w:cs="Arial"/>
                <w:iCs/>
                <w:color w:val="000000"/>
                <w:sz w:val="16"/>
                <w:szCs w:val="16"/>
              </w:rPr>
              <w:t>8.3.2025.</w:t>
            </w:r>
          </w:p>
        </w:tc>
        <w:tc>
          <w:tcPr>
            <w:tcW w:w="1196" w:type="dxa"/>
            <w:tcBorders>
              <w:top w:val="nil"/>
              <w:left w:val="nil"/>
              <w:bottom w:val="nil"/>
              <w:right w:val="nil"/>
            </w:tcBorders>
            <w:shd w:val="clear" w:color="auto" w:fill="auto"/>
            <w:noWrap/>
            <w:vAlign w:val="bottom"/>
          </w:tcPr>
          <w:p w14:paraId="6859E370" w14:textId="68E4D60D" w:rsidR="00D5035C" w:rsidRPr="003D1614" w:rsidRDefault="00D5035C" w:rsidP="00D5035C">
            <w:pPr>
              <w:suppressAutoHyphens/>
              <w:autoSpaceDN w:val="0"/>
              <w:rPr>
                <w:rFonts w:ascii="Arial" w:eastAsia="Calibri" w:hAnsi="Arial" w:cs="Arial"/>
                <w:iCs/>
                <w:color w:val="000000"/>
                <w:sz w:val="16"/>
                <w:szCs w:val="16"/>
              </w:rPr>
            </w:pPr>
            <w:r>
              <w:rPr>
                <w:rFonts w:ascii="Arial" w:eastAsia="Calibri" w:hAnsi="Arial" w:cs="Arial"/>
                <w:iCs/>
                <w:color w:val="000000"/>
                <w:sz w:val="16"/>
                <w:szCs w:val="16"/>
              </w:rPr>
              <w:t xml:space="preserve">        3,65</w:t>
            </w:r>
          </w:p>
        </w:tc>
        <w:tc>
          <w:tcPr>
            <w:tcW w:w="1155" w:type="dxa"/>
            <w:tcBorders>
              <w:top w:val="nil"/>
              <w:left w:val="nil"/>
              <w:bottom w:val="nil"/>
              <w:right w:val="nil"/>
            </w:tcBorders>
            <w:vAlign w:val="bottom"/>
          </w:tcPr>
          <w:p w14:paraId="5B772451" w14:textId="6EB5226E" w:rsidR="00D5035C" w:rsidRPr="003D1614" w:rsidRDefault="001840A1" w:rsidP="00D5035C">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37.069</w:t>
            </w:r>
          </w:p>
        </w:tc>
        <w:tc>
          <w:tcPr>
            <w:tcW w:w="1155" w:type="dxa"/>
            <w:tcBorders>
              <w:top w:val="nil"/>
              <w:left w:val="nil"/>
              <w:bottom w:val="nil"/>
              <w:right w:val="nil"/>
            </w:tcBorders>
            <w:vAlign w:val="bottom"/>
          </w:tcPr>
          <w:p w14:paraId="04B90F19" w14:textId="2C0F1A55" w:rsidR="00D5035C" w:rsidRPr="003D1614" w:rsidRDefault="00D5035C" w:rsidP="00D5035C">
            <w:pPr>
              <w:suppressAutoHyphens/>
              <w:autoSpaceDN w:val="0"/>
              <w:jc w:val="right"/>
              <w:rPr>
                <w:rFonts w:ascii="Arial" w:eastAsia="Calibri" w:hAnsi="Arial" w:cs="Arial"/>
                <w:color w:val="000000"/>
                <w:sz w:val="16"/>
                <w:szCs w:val="16"/>
                <w:lang w:eastAsia="hr-HR"/>
              </w:rPr>
            </w:pPr>
            <w:r w:rsidRPr="00771DD0">
              <w:rPr>
                <w:rFonts w:ascii="Arial" w:eastAsia="Calibri" w:hAnsi="Arial" w:cs="Arial"/>
                <w:color w:val="000000"/>
                <w:sz w:val="16"/>
                <w:szCs w:val="16"/>
                <w:lang w:eastAsia="hr-HR"/>
              </w:rPr>
              <w:t>37.172</w:t>
            </w:r>
          </w:p>
        </w:tc>
        <w:tc>
          <w:tcPr>
            <w:tcW w:w="1155" w:type="dxa"/>
            <w:tcBorders>
              <w:top w:val="nil"/>
              <w:left w:val="nil"/>
              <w:bottom w:val="nil"/>
              <w:right w:val="nil"/>
            </w:tcBorders>
            <w:vAlign w:val="bottom"/>
          </w:tcPr>
          <w:p w14:paraId="4A84D320" w14:textId="4C8B8C40" w:rsidR="00D5035C" w:rsidRPr="007D277A" w:rsidRDefault="001840A1" w:rsidP="00D5035C">
            <w:pPr>
              <w:suppressAutoHyphens/>
              <w:autoSpaceDN w:val="0"/>
              <w:jc w:val="right"/>
              <w:rPr>
                <w:rFonts w:ascii="Arial" w:hAnsi="Arial" w:cs="Arial"/>
                <w:sz w:val="16"/>
                <w:szCs w:val="16"/>
              </w:rPr>
            </w:pPr>
            <w:r>
              <w:rPr>
                <w:rFonts w:ascii="Arial" w:hAnsi="Arial" w:cs="Arial"/>
                <w:sz w:val="16"/>
                <w:szCs w:val="16"/>
              </w:rPr>
              <w:t>37.069</w:t>
            </w:r>
          </w:p>
        </w:tc>
        <w:tc>
          <w:tcPr>
            <w:tcW w:w="1155" w:type="dxa"/>
            <w:tcBorders>
              <w:top w:val="nil"/>
              <w:left w:val="nil"/>
              <w:bottom w:val="nil"/>
              <w:right w:val="nil"/>
            </w:tcBorders>
            <w:vAlign w:val="bottom"/>
          </w:tcPr>
          <w:p w14:paraId="64A4506F" w14:textId="3794897D" w:rsidR="00D5035C" w:rsidRPr="007D277A" w:rsidRDefault="00D5035C" w:rsidP="00D5035C">
            <w:pPr>
              <w:suppressAutoHyphens/>
              <w:autoSpaceDN w:val="0"/>
              <w:jc w:val="right"/>
              <w:rPr>
                <w:rFonts w:ascii="Arial" w:hAnsi="Arial" w:cs="Arial"/>
                <w:sz w:val="16"/>
                <w:szCs w:val="16"/>
              </w:rPr>
            </w:pPr>
            <w:r w:rsidRPr="004738DB">
              <w:rPr>
                <w:rFonts w:ascii="Arial" w:eastAsia="Calibri" w:hAnsi="Arial" w:cs="Arial"/>
                <w:color w:val="000000"/>
                <w:sz w:val="16"/>
                <w:szCs w:val="16"/>
              </w:rPr>
              <w:t>37.172</w:t>
            </w:r>
          </w:p>
        </w:tc>
      </w:tr>
      <w:tr w:rsidR="00C833F6" w:rsidRPr="003D1614" w14:paraId="77EEF1F4" w14:textId="77777777" w:rsidTr="002C73F0">
        <w:trPr>
          <w:trHeight w:val="229"/>
        </w:trPr>
        <w:tc>
          <w:tcPr>
            <w:tcW w:w="2692" w:type="dxa"/>
            <w:tcBorders>
              <w:top w:val="nil"/>
              <w:left w:val="nil"/>
            </w:tcBorders>
            <w:shd w:val="clear" w:color="auto" w:fill="auto"/>
            <w:noWrap/>
            <w:vAlign w:val="bottom"/>
          </w:tcPr>
          <w:p w14:paraId="633C6B05" w14:textId="519EDDC9" w:rsidR="00C833F6" w:rsidRDefault="00C833F6" w:rsidP="00C833F6">
            <w:pPr>
              <w:suppressAutoHyphens/>
              <w:autoSpaceDN w:val="0"/>
              <w:jc w:val="right"/>
              <w:rPr>
                <w:rFonts w:ascii="Arial" w:eastAsia="Calibri" w:hAnsi="Arial" w:cs="Arial"/>
                <w:iCs/>
                <w:noProof/>
                <w:color w:val="000000"/>
                <w:sz w:val="16"/>
                <w:szCs w:val="16"/>
              </w:rPr>
            </w:pPr>
            <w:r>
              <w:rPr>
                <w:rFonts w:ascii="Arial" w:eastAsia="Calibri" w:hAnsi="Arial" w:cs="Arial"/>
                <w:iCs/>
                <w:noProof/>
                <w:color w:val="000000"/>
                <w:sz w:val="16"/>
                <w:szCs w:val="16"/>
              </w:rPr>
              <w:t>RHMF-O-2</w:t>
            </w:r>
            <w:r w:rsidR="009D3C58">
              <w:rPr>
                <w:rFonts w:ascii="Arial" w:eastAsia="Calibri" w:hAnsi="Arial" w:cs="Arial"/>
                <w:iCs/>
                <w:noProof/>
                <w:color w:val="000000"/>
                <w:sz w:val="16"/>
                <w:szCs w:val="16"/>
              </w:rPr>
              <w:t>87A</w:t>
            </w:r>
          </w:p>
        </w:tc>
        <w:tc>
          <w:tcPr>
            <w:tcW w:w="1219" w:type="dxa"/>
            <w:tcBorders>
              <w:top w:val="nil"/>
            </w:tcBorders>
            <w:shd w:val="clear" w:color="auto" w:fill="auto"/>
            <w:vAlign w:val="bottom"/>
          </w:tcPr>
          <w:p w14:paraId="1FE278E2" w14:textId="4A5E4C78" w:rsidR="00C833F6" w:rsidRDefault="00554F62" w:rsidP="00C833F6">
            <w:pPr>
              <w:suppressAutoHyphens/>
              <w:autoSpaceDN w:val="0"/>
              <w:jc w:val="right"/>
              <w:rPr>
                <w:rFonts w:ascii="Arial" w:eastAsia="Calibri" w:hAnsi="Arial" w:cs="Arial"/>
                <w:iCs/>
                <w:color w:val="000000"/>
                <w:sz w:val="16"/>
                <w:szCs w:val="16"/>
              </w:rPr>
            </w:pPr>
            <w:r>
              <w:rPr>
                <w:rFonts w:ascii="Arial" w:eastAsia="Calibri" w:hAnsi="Arial" w:cs="Arial"/>
                <w:iCs/>
                <w:color w:val="000000"/>
                <w:sz w:val="16"/>
                <w:szCs w:val="16"/>
              </w:rPr>
              <w:t>5</w:t>
            </w:r>
            <w:r w:rsidR="00C833F6">
              <w:rPr>
                <w:rFonts w:ascii="Arial" w:eastAsia="Calibri" w:hAnsi="Arial" w:cs="Arial"/>
                <w:iCs/>
                <w:color w:val="000000"/>
                <w:sz w:val="16"/>
                <w:szCs w:val="16"/>
              </w:rPr>
              <w:t>.</w:t>
            </w:r>
            <w:r>
              <w:rPr>
                <w:rFonts w:ascii="Arial" w:eastAsia="Calibri" w:hAnsi="Arial" w:cs="Arial"/>
                <w:iCs/>
                <w:color w:val="000000"/>
                <w:sz w:val="16"/>
                <w:szCs w:val="16"/>
              </w:rPr>
              <w:t>7</w:t>
            </w:r>
            <w:r w:rsidR="00C833F6">
              <w:rPr>
                <w:rFonts w:ascii="Arial" w:eastAsia="Calibri" w:hAnsi="Arial" w:cs="Arial"/>
                <w:iCs/>
                <w:color w:val="000000"/>
                <w:sz w:val="16"/>
                <w:szCs w:val="16"/>
              </w:rPr>
              <w:t>.202</w:t>
            </w:r>
            <w:r>
              <w:rPr>
                <w:rFonts w:ascii="Arial" w:eastAsia="Calibri" w:hAnsi="Arial" w:cs="Arial"/>
                <w:iCs/>
                <w:color w:val="000000"/>
                <w:sz w:val="16"/>
                <w:szCs w:val="16"/>
              </w:rPr>
              <w:t>1</w:t>
            </w:r>
            <w:r w:rsidR="00C833F6">
              <w:rPr>
                <w:rFonts w:ascii="Arial" w:eastAsia="Calibri" w:hAnsi="Arial" w:cs="Arial"/>
                <w:iCs/>
                <w:color w:val="000000"/>
                <w:sz w:val="16"/>
                <w:szCs w:val="16"/>
              </w:rPr>
              <w:t>.</w:t>
            </w:r>
          </w:p>
        </w:tc>
        <w:tc>
          <w:tcPr>
            <w:tcW w:w="1129" w:type="dxa"/>
            <w:tcBorders>
              <w:top w:val="nil"/>
              <w:right w:val="nil"/>
            </w:tcBorders>
            <w:shd w:val="clear" w:color="auto" w:fill="auto"/>
            <w:vAlign w:val="bottom"/>
          </w:tcPr>
          <w:p w14:paraId="4E443651" w14:textId="4B64E251" w:rsidR="00C833F6" w:rsidRDefault="00554F62" w:rsidP="00C833F6">
            <w:pPr>
              <w:suppressAutoHyphens/>
              <w:autoSpaceDN w:val="0"/>
              <w:jc w:val="right"/>
              <w:rPr>
                <w:rFonts w:ascii="Arial" w:eastAsia="Calibri" w:hAnsi="Arial" w:cs="Arial"/>
                <w:iCs/>
                <w:color w:val="000000"/>
                <w:sz w:val="16"/>
                <w:szCs w:val="16"/>
              </w:rPr>
            </w:pPr>
            <w:r>
              <w:rPr>
                <w:rFonts w:ascii="Arial" w:eastAsia="Calibri" w:hAnsi="Arial" w:cs="Arial"/>
                <w:iCs/>
                <w:color w:val="000000"/>
                <w:sz w:val="16"/>
                <w:szCs w:val="16"/>
              </w:rPr>
              <w:t>5</w:t>
            </w:r>
            <w:r w:rsidR="00C833F6">
              <w:rPr>
                <w:rFonts w:ascii="Arial" w:eastAsia="Calibri" w:hAnsi="Arial" w:cs="Arial"/>
                <w:iCs/>
                <w:color w:val="000000"/>
                <w:sz w:val="16"/>
                <w:szCs w:val="16"/>
              </w:rPr>
              <w:t>.</w:t>
            </w:r>
            <w:r>
              <w:rPr>
                <w:rFonts w:ascii="Arial" w:eastAsia="Calibri" w:hAnsi="Arial" w:cs="Arial"/>
                <w:iCs/>
                <w:color w:val="000000"/>
                <w:sz w:val="16"/>
                <w:szCs w:val="16"/>
              </w:rPr>
              <w:t>7</w:t>
            </w:r>
            <w:r w:rsidR="00C833F6">
              <w:rPr>
                <w:rFonts w:ascii="Arial" w:eastAsia="Calibri" w:hAnsi="Arial" w:cs="Arial"/>
                <w:iCs/>
                <w:color w:val="000000"/>
                <w:sz w:val="16"/>
                <w:szCs w:val="16"/>
              </w:rPr>
              <w:t>.202</w:t>
            </w:r>
            <w:r>
              <w:rPr>
                <w:rFonts w:ascii="Arial" w:eastAsia="Calibri" w:hAnsi="Arial" w:cs="Arial"/>
                <w:iCs/>
                <w:color w:val="000000"/>
                <w:sz w:val="16"/>
                <w:szCs w:val="16"/>
              </w:rPr>
              <w:t>8</w:t>
            </w:r>
            <w:r w:rsidR="00C833F6">
              <w:rPr>
                <w:rFonts w:ascii="Arial" w:eastAsia="Calibri" w:hAnsi="Arial" w:cs="Arial"/>
                <w:iCs/>
                <w:color w:val="000000"/>
                <w:sz w:val="16"/>
                <w:szCs w:val="16"/>
              </w:rPr>
              <w:t>.</w:t>
            </w:r>
          </w:p>
        </w:tc>
        <w:tc>
          <w:tcPr>
            <w:tcW w:w="1196" w:type="dxa"/>
            <w:tcBorders>
              <w:top w:val="nil"/>
              <w:left w:val="nil"/>
              <w:bottom w:val="nil"/>
              <w:right w:val="nil"/>
            </w:tcBorders>
            <w:shd w:val="clear" w:color="auto" w:fill="auto"/>
            <w:noWrap/>
            <w:vAlign w:val="bottom"/>
          </w:tcPr>
          <w:p w14:paraId="29E48E74" w14:textId="3C169B59" w:rsidR="00C833F6" w:rsidRDefault="00C833F6" w:rsidP="00C833F6">
            <w:pPr>
              <w:suppressAutoHyphens/>
              <w:autoSpaceDN w:val="0"/>
              <w:rPr>
                <w:rFonts w:ascii="Arial" w:eastAsia="Calibri" w:hAnsi="Arial" w:cs="Arial"/>
                <w:iCs/>
                <w:color w:val="000000"/>
                <w:sz w:val="16"/>
                <w:szCs w:val="16"/>
              </w:rPr>
            </w:pPr>
            <w:r>
              <w:rPr>
                <w:rFonts w:ascii="Arial" w:eastAsia="Calibri" w:hAnsi="Arial" w:cs="Arial"/>
                <w:iCs/>
                <w:color w:val="000000"/>
                <w:sz w:val="16"/>
                <w:szCs w:val="16"/>
              </w:rPr>
              <w:t xml:space="preserve">    </w:t>
            </w:r>
            <w:r w:rsidR="008B0E0F">
              <w:rPr>
                <w:rFonts w:ascii="Arial" w:eastAsia="Calibri" w:hAnsi="Arial" w:cs="Arial"/>
                <w:iCs/>
                <w:color w:val="000000"/>
                <w:sz w:val="16"/>
                <w:szCs w:val="16"/>
              </w:rPr>
              <w:t xml:space="preserve"> </w:t>
            </w:r>
            <w:r>
              <w:rPr>
                <w:rFonts w:ascii="Arial" w:eastAsia="Calibri" w:hAnsi="Arial" w:cs="Arial"/>
                <w:iCs/>
                <w:color w:val="000000"/>
                <w:sz w:val="16"/>
                <w:szCs w:val="16"/>
              </w:rPr>
              <w:t xml:space="preserve">   </w:t>
            </w:r>
            <w:r w:rsidR="008B0E0F">
              <w:rPr>
                <w:rFonts w:ascii="Arial" w:eastAsia="Calibri" w:hAnsi="Arial" w:cs="Arial"/>
                <w:iCs/>
                <w:color w:val="000000"/>
                <w:sz w:val="16"/>
                <w:szCs w:val="16"/>
              </w:rPr>
              <w:t>0,50</w:t>
            </w:r>
          </w:p>
        </w:tc>
        <w:tc>
          <w:tcPr>
            <w:tcW w:w="1155" w:type="dxa"/>
            <w:tcBorders>
              <w:top w:val="nil"/>
              <w:left w:val="nil"/>
              <w:bottom w:val="nil"/>
              <w:right w:val="nil"/>
            </w:tcBorders>
            <w:vAlign w:val="bottom"/>
          </w:tcPr>
          <w:p w14:paraId="4039C77D" w14:textId="27768F57" w:rsidR="00C833F6" w:rsidRDefault="008B0E0F" w:rsidP="00C833F6">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5.571</w:t>
            </w:r>
          </w:p>
        </w:tc>
        <w:tc>
          <w:tcPr>
            <w:tcW w:w="1155" w:type="dxa"/>
            <w:tcBorders>
              <w:top w:val="nil"/>
              <w:left w:val="nil"/>
              <w:bottom w:val="nil"/>
              <w:right w:val="nil"/>
            </w:tcBorders>
            <w:vAlign w:val="bottom"/>
          </w:tcPr>
          <w:p w14:paraId="03A6EDF7" w14:textId="0A65C477" w:rsidR="00C833F6" w:rsidRPr="00771DD0" w:rsidRDefault="008B0E0F" w:rsidP="00C833F6">
            <w:pPr>
              <w:suppressAutoHyphens/>
              <w:autoSpaceDN w:val="0"/>
              <w:jc w:val="right"/>
              <w:rPr>
                <w:rFonts w:ascii="Arial" w:eastAsia="Calibri" w:hAnsi="Arial" w:cs="Arial"/>
                <w:color w:val="000000"/>
                <w:sz w:val="16"/>
                <w:szCs w:val="16"/>
                <w:lang w:eastAsia="hr-HR"/>
              </w:rPr>
            </w:pPr>
            <w:r>
              <w:rPr>
                <w:rFonts w:ascii="Arial" w:eastAsia="Calibri" w:hAnsi="Arial" w:cs="Arial"/>
                <w:color w:val="000000"/>
                <w:sz w:val="16"/>
                <w:szCs w:val="16"/>
                <w:lang w:eastAsia="hr-HR"/>
              </w:rPr>
              <w:t>-</w:t>
            </w:r>
          </w:p>
        </w:tc>
        <w:tc>
          <w:tcPr>
            <w:tcW w:w="1155" w:type="dxa"/>
            <w:tcBorders>
              <w:top w:val="nil"/>
              <w:left w:val="nil"/>
              <w:bottom w:val="nil"/>
              <w:right w:val="nil"/>
            </w:tcBorders>
            <w:vAlign w:val="bottom"/>
          </w:tcPr>
          <w:p w14:paraId="3603D142" w14:textId="0902E4E4" w:rsidR="00C833F6" w:rsidRDefault="008B0E0F" w:rsidP="00C833F6">
            <w:pPr>
              <w:suppressAutoHyphens/>
              <w:autoSpaceDN w:val="0"/>
              <w:jc w:val="right"/>
              <w:rPr>
                <w:rFonts w:ascii="Arial" w:hAnsi="Arial" w:cs="Arial"/>
                <w:sz w:val="16"/>
                <w:szCs w:val="16"/>
              </w:rPr>
            </w:pPr>
            <w:r>
              <w:rPr>
                <w:rFonts w:ascii="Arial" w:hAnsi="Arial" w:cs="Arial"/>
                <w:sz w:val="16"/>
                <w:szCs w:val="16"/>
              </w:rPr>
              <w:t>5.571</w:t>
            </w:r>
          </w:p>
        </w:tc>
        <w:tc>
          <w:tcPr>
            <w:tcW w:w="1155" w:type="dxa"/>
            <w:tcBorders>
              <w:top w:val="nil"/>
              <w:left w:val="nil"/>
              <w:bottom w:val="nil"/>
              <w:right w:val="nil"/>
            </w:tcBorders>
            <w:vAlign w:val="bottom"/>
          </w:tcPr>
          <w:p w14:paraId="4B7F911D" w14:textId="4F13C483" w:rsidR="00C833F6" w:rsidRPr="004738DB" w:rsidRDefault="008B0E0F" w:rsidP="00C833F6">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w:t>
            </w:r>
          </w:p>
        </w:tc>
      </w:tr>
      <w:tr w:rsidR="00C833F6" w:rsidRPr="003D1614" w14:paraId="2FA39CAB" w14:textId="77777777" w:rsidTr="002C73F0">
        <w:trPr>
          <w:trHeight w:val="229"/>
        </w:trPr>
        <w:tc>
          <w:tcPr>
            <w:tcW w:w="2692" w:type="dxa"/>
            <w:tcBorders>
              <w:top w:val="nil"/>
              <w:left w:val="nil"/>
            </w:tcBorders>
            <w:shd w:val="clear" w:color="auto" w:fill="auto"/>
            <w:noWrap/>
            <w:vAlign w:val="bottom"/>
          </w:tcPr>
          <w:p w14:paraId="011F12F4" w14:textId="6FDCCFA6" w:rsidR="00C833F6" w:rsidRDefault="00C833F6" w:rsidP="00C833F6">
            <w:pPr>
              <w:suppressAutoHyphens/>
              <w:autoSpaceDN w:val="0"/>
              <w:jc w:val="right"/>
              <w:rPr>
                <w:rFonts w:ascii="Arial" w:eastAsia="Calibri" w:hAnsi="Arial" w:cs="Arial"/>
                <w:iCs/>
                <w:noProof/>
                <w:color w:val="000000"/>
                <w:sz w:val="16"/>
                <w:szCs w:val="16"/>
              </w:rPr>
            </w:pPr>
            <w:r w:rsidRPr="004738DB">
              <w:rPr>
                <w:rFonts w:ascii="Arial" w:eastAsia="Calibri" w:hAnsi="Arial" w:cs="Arial"/>
                <w:iCs/>
                <w:noProof/>
                <w:color w:val="000000"/>
                <w:sz w:val="16"/>
                <w:szCs w:val="16"/>
              </w:rPr>
              <w:t>RHMF</w:t>
            </w:r>
            <w:r w:rsidR="001800CC">
              <w:rPr>
                <w:rFonts w:ascii="Arial" w:eastAsia="Calibri" w:hAnsi="Arial" w:cs="Arial"/>
                <w:iCs/>
                <w:noProof/>
                <w:color w:val="000000"/>
                <w:sz w:val="16"/>
                <w:szCs w:val="16"/>
              </w:rPr>
              <w:t>-</w:t>
            </w:r>
            <w:r w:rsidRPr="004738DB">
              <w:rPr>
                <w:rFonts w:ascii="Arial" w:eastAsia="Calibri" w:hAnsi="Arial" w:cs="Arial"/>
                <w:iCs/>
                <w:noProof/>
                <w:color w:val="000000"/>
                <w:sz w:val="16"/>
                <w:szCs w:val="16"/>
              </w:rPr>
              <w:t>O</w:t>
            </w:r>
            <w:r w:rsidR="001800CC">
              <w:rPr>
                <w:rFonts w:ascii="Arial" w:eastAsia="Calibri" w:hAnsi="Arial" w:cs="Arial"/>
                <w:iCs/>
                <w:noProof/>
                <w:color w:val="000000"/>
                <w:sz w:val="16"/>
                <w:szCs w:val="16"/>
              </w:rPr>
              <w:t>-</w:t>
            </w:r>
            <w:r w:rsidRPr="004738DB">
              <w:rPr>
                <w:rFonts w:ascii="Arial" w:eastAsia="Calibri" w:hAnsi="Arial" w:cs="Arial"/>
                <w:iCs/>
                <w:noProof/>
                <w:color w:val="000000"/>
                <w:sz w:val="16"/>
                <w:szCs w:val="16"/>
              </w:rPr>
              <w:t>33BA</w:t>
            </w:r>
          </w:p>
        </w:tc>
        <w:tc>
          <w:tcPr>
            <w:tcW w:w="1219" w:type="dxa"/>
            <w:tcBorders>
              <w:top w:val="nil"/>
            </w:tcBorders>
            <w:shd w:val="clear" w:color="auto" w:fill="auto"/>
            <w:vAlign w:val="bottom"/>
          </w:tcPr>
          <w:p w14:paraId="2026BFBB" w14:textId="750297DA" w:rsidR="00C833F6" w:rsidRDefault="00C833F6" w:rsidP="00C833F6">
            <w:pPr>
              <w:suppressAutoHyphens/>
              <w:autoSpaceDN w:val="0"/>
              <w:jc w:val="right"/>
              <w:rPr>
                <w:rFonts w:ascii="Arial" w:eastAsia="Calibri" w:hAnsi="Arial" w:cs="Arial"/>
                <w:iCs/>
                <w:color w:val="000000"/>
                <w:sz w:val="16"/>
                <w:szCs w:val="16"/>
              </w:rPr>
            </w:pPr>
            <w:r w:rsidRPr="004738DB">
              <w:rPr>
                <w:rFonts w:ascii="Arial" w:eastAsia="Calibri" w:hAnsi="Arial" w:cs="Arial"/>
                <w:iCs/>
                <w:color w:val="000000"/>
                <w:sz w:val="16"/>
                <w:szCs w:val="16"/>
              </w:rPr>
              <w:t>24.11 2023</w:t>
            </w:r>
            <w:r>
              <w:rPr>
                <w:rFonts w:ascii="Arial" w:eastAsia="Calibri" w:hAnsi="Arial" w:cs="Arial"/>
                <w:iCs/>
                <w:color w:val="000000"/>
                <w:sz w:val="16"/>
                <w:szCs w:val="16"/>
              </w:rPr>
              <w:t>.</w:t>
            </w:r>
          </w:p>
        </w:tc>
        <w:tc>
          <w:tcPr>
            <w:tcW w:w="1129" w:type="dxa"/>
            <w:tcBorders>
              <w:top w:val="nil"/>
              <w:right w:val="nil"/>
            </w:tcBorders>
            <w:shd w:val="clear" w:color="auto" w:fill="auto"/>
            <w:vAlign w:val="bottom"/>
          </w:tcPr>
          <w:p w14:paraId="09963F68" w14:textId="7F888259" w:rsidR="00C833F6" w:rsidRDefault="00C833F6" w:rsidP="00C833F6">
            <w:pPr>
              <w:suppressAutoHyphens/>
              <w:autoSpaceDN w:val="0"/>
              <w:jc w:val="right"/>
              <w:rPr>
                <w:rFonts w:ascii="Arial" w:eastAsia="Calibri" w:hAnsi="Arial" w:cs="Arial"/>
                <w:iCs/>
                <w:color w:val="000000"/>
                <w:sz w:val="16"/>
                <w:szCs w:val="16"/>
              </w:rPr>
            </w:pPr>
            <w:r w:rsidRPr="004738DB">
              <w:rPr>
                <w:rFonts w:ascii="Arial" w:eastAsia="Calibri" w:hAnsi="Arial" w:cs="Arial"/>
                <w:iCs/>
                <w:color w:val="000000"/>
                <w:sz w:val="16"/>
                <w:szCs w:val="16"/>
              </w:rPr>
              <w:t>24.11 20</w:t>
            </w:r>
            <w:r>
              <w:rPr>
                <w:rFonts w:ascii="Arial" w:eastAsia="Calibri" w:hAnsi="Arial" w:cs="Arial"/>
                <w:iCs/>
                <w:color w:val="000000"/>
                <w:sz w:val="16"/>
                <w:szCs w:val="16"/>
              </w:rPr>
              <w:t>3</w:t>
            </w:r>
            <w:r w:rsidRPr="004738DB">
              <w:rPr>
                <w:rFonts w:ascii="Arial" w:eastAsia="Calibri" w:hAnsi="Arial" w:cs="Arial"/>
                <w:iCs/>
                <w:color w:val="000000"/>
                <w:sz w:val="16"/>
                <w:szCs w:val="16"/>
              </w:rPr>
              <w:t>3</w:t>
            </w:r>
            <w:r>
              <w:rPr>
                <w:rFonts w:ascii="Arial" w:eastAsia="Calibri" w:hAnsi="Arial" w:cs="Arial"/>
                <w:iCs/>
                <w:color w:val="000000"/>
                <w:sz w:val="16"/>
                <w:szCs w:val="16"/>
              </w:rPr>
              <w:t>.</w:t>
            </w:r>
          </w:p>
        </w:tc>
        <w:tc>
          <w:tcPr>
            <w:tcW w:w="1196" w:type="dxa"/>
            <w:tcBorders>
              <w:top w:val="nil"/>
              <w:left w:val="nil"/>
              <w:bottom w:val="nil"/>
              <w:right w:val="nil"/>
            </w:tcBorders>
            <w:shd w:val="clear" w:color="auto" w:fill="auto"/>
            <w:noWrap/>
            <w:vAlign w:val="bottom"/>
          </w:tcPr>
          <w:p w14:paraId="640B28EC" w14:textId="42C2A104" w:rsidR="00C833F6" w:rsidRDefault="000C3B16" w:rsidP="00C833F6">
            <w:pPr>
              <w:suppressAutoHyphens/>
              <w:autoSpaceDN w:val="0"/>
              <w:jc w:val="center"/>
              <w:rPr>
                <w:rFonts w:ascii="Arial" w:eastAsia="Calibri" w:hAnsi="Arial" w:cs="Arial"/>
                <w:iCs/>
                <w:color w:val="000000"/>
                <w:sz w:val="16"/>
                <w:szCs w:val="16"/>
              </w:rPr>
            </w:pPr>
            <w:r>
              <w:rPr>
                <w:rFonts w:ascii="Arial" w:eastAsia="Calibri" w:hAnsi="Arial" w:cs="Arial"/>
                <w:iCs/>
                <w:color w:val="000000"/>
                <w:sz w:val="16"/>
                <w:szCs w:val="16"/>
              </w:rPr>
              <w:t xml:space="preserve"> </w:t>
            </w:r>
            <w:r w:rsidR="00C833F6" w:rsidRPr="004738DB">
              <w:rPr>
                <w:rFonts w:ascii="Arial" w:eastAsia="Calibri" w:hAnsi="Arial" w:cs="Arial"/>
                <w:iCs/>
                <w:color w:val="000000"/>
                <w:sz w:val="16"/>
                <w:szCs w:val="16"/>
              </w:rPr>
              <w:t>3,75</w:t>
            </w:r>
          </w:p>
        </w:tc>
        <w:tc>
          <w:tcPr>
            <w:tcW w:w="1155" w:type="dxa"/>
            <w:tcBorders>
              <w:top w:val="nil"/>
              <w:left w:val="nil"/>
              <w:bottom w:val="nil"/>
              <w:right w:val="nil"/>
            </w:tcBorders>
            <w:vAlign w:val="bottom"/>
          </w:tcPr>
          <w:p w14:paraId="1B2DC768" w14:textId="0307D6C8" w:rsidR="00C833F6" w:rsidRPr="00C37E7A" w:rsidRDefault="0068227E" w:rsidP="00C833F6">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39.710</w:t>
            </w:r>
          </w:p>
        </w:tc>
        <w:tc>
          <w:tcPr>
            <w:tcW w:w="1155" w:type="dxa"/>
            <w:tcBorders>
              <w:top w:val="nil"/>
              <w:left w:val="nil"/>
              <w:bottom w:val="nil"/>
              <w:right w:val="nil"/>
            </w:tcBorders>
            <w:vAlign w:val="bottom"/>
          </w:tcPr>
          <w:p w14:paraId="46479E86" w14:textId="5A71E7E6" w:rsidR="00C833F6" w:rsidRDefault="00C833F6" w:rsidP="00C833F6">
            <w:pPr>
              <w:suppressAutoHyphens/>
              <w:autoSpaceDN w:val="0"/>
              <w:jc w:val="right"/>
              <w:rPr>
                <w:rFonts w:ascii="Arial" w:hAnsi="Arial" w:cs="Arial"/>
                <w:sz w:val="16"/>
                <w:szCs w:val="16"/>
              </w:rPr>
            </w:pPr>
            <w:r w:rsidRPr="00771DD0">
              <w:rPr>
                <w:rFonts w:ascii="Arial" w:eastAsia="Calibri" w:hAnsi="Arial" w:cs="Arial"/>
                <w:color w:val="000000"/>
                <w:sz w:val="16"/>
                <w:szCs w:val="16"/>
                <w:lang w:eastAsia="hr-HR"/>
              </w:rPr>
              <w:t>39.274</w:t>
            </w:r>
          </w:p>
        </w:tc>
        <w:tc>
          <w:tcPr>
            <w:tcW w:w="1155" w:type="dxa"/>
            <w:tcBorders>
              <w:top w:val="nil"/>
              <w:left w:val="nil"/>
              <w:bottom w:val="nil"/>
              <w:right w:val="nil"/>
            </w:tcBorders>
            <w:vAlign w:val="bottom"/>
          </w:tcPr>
          <w:p w14:paraId="449947EE" w14:textId="5582BC95" w:rsidR="00C833F6" w:rsidRPr="00E36B9E" w:rsidRDefault="0068227E" w:rsidP="00C833F6">
            <w:pPr>
              <w:suppressAutoHyphens/>
              <w:autoSpaceDN w:val="0"/>
              <w:jc w:val="right"/>
              <w:rPr>
                <w:rFonts w:ascii="Arial" w:hAnsi="Arial" w:cs="Arial"/>
                <w:sz w:val="16"/>
                <w:szCs w:val="16"/>
              </w:rPr>
            </w:pPr>
            <w:r>
              <w:rPr>
                <w:rFonts w:ascii="Arial" w:hAnsi="Arial" w:cs="Arial"/>
                <w:sz w:val="16"/>
                <w:szCs w:val="16"/>
              </w:rPr>
              <w:t>39.710</w:t>
            </w:r>
          </w:p>
        </w:tc>
        <w:tc>
          <w:tcPr>
            <w:tcW w:w="1155" w:type="dxa"/>
            <w:tcBorders>
              <w:top w:val="nil"/>
              <w:left w:val="nil"/>
              <w:bottom w:val="nil"/>
              <w:right w:val="nil"/>
            </w:tcBorders>
            <w:vAlign w:val="bottom"/>
          </w:tcPr>
          <w:p w14:paraId="476959B7" w14:textId="586B6111" w:rsidR="00C833F6" w:rsidRDefault="00C833F6" w:rsidP="00C833F6">
            <w:pPr>
              <w:suppressAutoHyphens/>
              <w:autoSpaceDN w:val="0"/>
              <w:jc w:val="right"/>
              <w:rPr>
                <w:rFonts w:ascii="Arial" w:hAnsi="Arial" w:cs="Arial"/>
                <w:sz w:val="16"/>
                <w:szCs w:val="16"/>
              </w:rPr>
            </w:pPr>
            <w:r w:rsidRPr="004738DB">
              <w:rPr>
                <w:rFonts w:ascii="Arial" w:eastAsia="Calibri" w:hAnsi="Arial" w:cs="Arial"/>
                <w:color w:val="000000"/>
                <w:sz w:val="16"/>
                <w:szCs w:val="16"/>
              </w:rPr>
              <w:t>39.274</w:t>
            </w:r>
          </w:p>
        </w:tc>
      </w:tr>
      <w:tr w:rsidR="0097713F" w:rsidRPr="003D1614" w14:paraId="72429881" w14:textId="77777777" w:rsidTr="002C73F0">
        <w:trPr>
          <w:trHeight w:val="229"/>
        </w:trPr>
        <w:tc>
          <w:tcPr>
            <w:tcW w:w="2692" w:type="dxa"/>
            <w:tcBorders>
              <w:top w:val="nil"/>
              <w:left w:val="nil"/>
            </w:tcBorders>
            <w:shd w:val="clear" w:color="auto" w:fill="auto"/>
            <w:noWrap/>
            <w:vAlign w:val="bottom"/>
          </w:tcPr>
          <w:p w14:paraId="1761395C" w14:textId="5C3B7DC5" w:rsidR="0097713F" w:rsidRPr="004738DB" w:rsidRDefault="0097713F" w:rsidP="0097713F">
            <w:pPr>
              <w:suppressAutoHyphens/>
              <w:autoSpaceDN w:val="0"/>
              <w:jc w:val="right"/>
              <w:rPr>
                <w:rFonts w:ascii="Arial" w:eastAsia="Calibri" w:hAnsi="Arial" w:cs="Arial"/>
                <w:iCs/>
                <w:noProof/>
                <w:color w:val="000000"/>
                <w:sz w:val="16"/>
                <w:szCs w:val="16"/>
              </w:rPr>
            </w:pPr>
            <w:r>
              <w:rPr>
                <w:rFonts w:ascii="Arial" w:eastAsia="Calibri" w:hAnsi="Arial" w:cs="Arial"/>
                <w:iCs/>
                <w:noProof/>
                <w:color w:val="000000"/>
                <w:sz w:val="16"/>
                <w:szCs w:val="16"/>
              </w:rPr>
              <w:t>RHMF-O-2</w:t>
            </w:r>
            <w:r w:rsidR="00A82929">
              <w:rPr>
                <w:rFonts w:ascii="Arial" w:eastAsia="Calibri" w:hAnsi="Arial" w:cs="Arial"/>
                <w:iCs/>
                <w:noProof/>
                <w:color w:val="000000"/>
                <w:sz w:val="16"/>
                <w:szCs w:val="16"/>
              </w:rPr>
              <w:t>7</w:t>
            </w:r>
            <w:r>
              <w:rPr>
                <w:rFonts w:ascii="Arial" w:eastAsia="Calibri" w:hAnsi="Arial" w:cs="Arial"/>
                <w:iCs/>
                <w:noProof/>
                <w:color w:val="000000"/>
                <w:sz w:val="16"/>
                <w:szCs w:val="16"/>
              </w:rPr>
              <w:t>7</w:t>
            </w:r>
            <w:r w:rsidR="00A82929">
              <w:rPr>
                <w:rFonts w:ascii="Arial" w:eastAsia="Calibri" w:hAnsi="Arial" w:cs="Arial"/>
                <w:iCs/>
                <w:noProof/>
                <w:color w:val="000000"/>
                <w:sz w:val="16"/>
                <w:szCs w:val="16"/>
              </w:rPr>
              <w:t>N</w:t>
            </w:r>
          </w:p>
        </w:tc>
        <w:tc>
          <w:tcPr>
            <w:tcW w:w="1219" w:type="dxa"/>
            <w:tcBorders>
              <w:top w:val="nil"/>
            </w:tcBorders>
            <w:shd w:val="clear" w:color="auto" w:fill="auto"/>
            <w:vAlign w:val="bottom"/>
          </w:tcPr>
          <w:p w14:paraId="07E23D5E" w14:textId="0C1C46AF" w:rsidR="0097713F" w:rsidRPr="004738DB" w:rsidRDefault="00125A67" w:rsidP="0097713F">
            <w:pPr>
              <w:suppressAutoHyphens/>
              <w:autoSpaceDN w:val="0"/>
              <w:jc w:val="right"/>
              <w:rPr>
                <w:rFonts w:ascii="Arial" w:eastAsia="Calibri" w:hAnsi="Arial" w:cs="Arial"/>
                <w:iCs/>
                <w:color w:val="000000"/>
                <w:sz w:val="16"/>
                <w:szCs w:val="16"/>
              </w:rPr>
            </w:pPr>
            <w:r>
              <w:rPr>
                <w:rFonts w:ascii="Arial" w:eastAsia="Calibri" w:hAnsi="Arial" w:cs="Arial"/>
                <w:iCs/>
                <w:color w:val="000000"/>
                <w:sz w:val="16"/>
                <w:szCs w:val="16"/>
              </w:rPr>
              <w:t>12</w:t>
            </w:r>
            <w:r w:rsidR="0097713F">
              <w:rPr>
                <w:rFonts w:ascii="Arial" w:eastAsia="Calibri" w:hAnsi="Arial" w:cs="Arial"/>
                <w:iCs/>
                <w:color w:val="000000"/>
                <w:sz w:val="16"/>
                <w:szCs w:val="16"/>
              </w:rPr>
              <w:t>.7.202</w:t>
            </w:r>
            <w:r>
              <w:rPr>
                <w:rFonts w:ascii="Arial" w:eastAsia="Calibri" w:hAnsi="Arial" w:cs="Arial"/>
                <w:iCs/>
                <w:color w:val="000000"/>
                <w:sz w:val="16"/>
                <w:szCs w:val="16"/>
              </w:rPr>
              <w:t>4</w:t>
            </w:r>
            <w:r w:rsidR="0097713F">
              <w:rPr>
                <w:rFonts w:ascii="Arial" w:eastAsia="Calibri" w:hAnsi="Arial" w:cs="Arial"/>
                <w:iCs/>
                <w:color w:val="000000"/>
                <w:sz w:val="16"/>
                <w:szCs w:val="16"/>
              </w:rPr>
              <w:t>.</w:t>
            </w:r>
          </w:p>
        </w:tc>
        <w:tc>
          <w:tcPr>
            <w:tcW w:w="1129" w:type="dxa"/>
            <w:tcBorders>
              <w:top w:val="nil"/>
              <w:right w:val="nil"/>
            </w:tcBorders>
            <w:shd w:val="clear" w:color="auto" w:fill="auto"/>
            <w:vAlign w:val="bottom"/>
          </w:tcPr>
          <w:p w14:paraId="0D58E271" w14:textId="13D53412" w:rsidR="0097713F" w:rsidRPr="004738DB" w:rsidRDefault="00125A67" w:rsidP="0097713F">
            <w:pPr>
              <w:suppressAutoHyphens/>
              <w:autoSpaceDN w:val="0"/>
              <w:jc w:val="right"/>
              <w:rPr>
                <w:rFonts w:ascii="Arial" w:eastAsia="Calibri" w:hAnsi="Arial" w:cs="Arial"/>
                <w:iCs/>
                <w:color w:val="000000"/>
                <w:sz w:val="16"/>
                <w:szCs w:val="16"/>
              </w:rPr>
            </w:pPr>
            <w:r>
              <w:rPr>
                <w:rFonts w:ascii="Arial" w:eastAsia="Calibri" w:hAnsi="Arial" w:cs="Arial"/>
                <w:iCs/>
                <w:color w:val="000000"/>
                <w:sz w:val="16"/>
                <w:szCs w:val="16"/>
              </w:rPr>
              <w:t>12</w:t>
            </w:r>
            <w:r w:rsidR="0097713F">
              <w:rPr>
                <w:rFonts w:ascii="Arial" w:eastAsia="Calibri" w:hAnsi="Arial" w:cs="Arial"/>
                <w:iCs/>
                <w:color w:val="000000"/>
                <w:sz w:val="16"/>
                <w:szCs w:val="16"/>
              </w:rPr>
              <w:t>.7.202</w:t>
            </w:r>
            <w:r>
              <w:rPr>
                <w:rFonts w:ascii="Arial" w:eastAsia="Calibri" w:hAnsi="Arial" w:cs="Arial"/>
                <w:iCs/>
                <w:color w:val="000000"/>
                <w:sz w:val="16"/>
                <w:szCs w:val="16"/>
              </w:rPr>
              <w:t>7</w:t>
            </w:r>
            <w:r w:rsidR="0097713F">
              <w:rPr>
                <w:rFonts w:ascii="Arial" w:eastAsia="Calibri" w:hAnsi="Arial" w:cs="Arial"/>
                <w:iCs/>
                <w:color w:val="000000"/>
                <w:sz w:val="16"/>
                <w:szCs w:val="16"/>
              </w:rPr>
              <w:t>.</w:t>
            </w:r>
          </w:p>
        </w:tc>
        <w:tc>
          <w:tcPr>
            <w:tcW w:w="1196" w:type="dxa"/>
            <w:tcBorders>
              <w:top w:val="nil"/>
              <w:left w:val="nil"/>
              <w:bottom w:val="nil"/>
              <w:right w:val="nil"/>
            </w:tcBorders>
            <w:shd w:val="clear" w:color="auto" w:fill="auto"/>
            <w:noWrap/>
            <w:vAlign w:val="bottom"/>
          </w:tcPr>
          <w:p w14:paraId="25F3D1BC" w14:textId="3FA7F889" w:rsidR="0097713F" w:rsidRPr="004738DB" w:rsidRDefault="0097713F" w:rsidP="0097713F">
            <w:pPr>
              <w:suppressAutoHyphens/>
              <w:autoSpaceDN w:val="0"/>
              <w:jc w:val="center"/>
              <w:rPr>
                <w:rFonts w:ascii="Arial" w:eastAsia="Calibri" w:hAnsi="Arial" w:cs="Arial"/>
                <w:iCs/>
                <w:color w:val="000000"/>
                <w:sz w:val="16"/>
                <w:szCs w:val="16"/>
              </w:rPr>
            </w:pPr>
            <w:r>
              <w:rPr>
                <w:rFonts w:ascii="Arial" w:eastAsia="Calibri" w:hAnsi="Arial" w:cs="Arial"/>
                <w:iCs/>
                <w:color w:val="000000"/>
                <w:sz w:val="16"/>
                <w:szCs w:val="16"/>
              </w:rPr>
              <w:t xml:space="preserve"> </w:t>
            </w:r>
            <w:r w:rsidR="000C3B16">
              <w:rPr>
                <w:rFonts w:ascii="Arial" w:eastAsia="Calibri" w:hAnsi="Arial" w:cs="Arial"/>
                <w:iCs/>
                <w:color w:val="000000"/>
                <w:sz w:val="16"/>
                <w:szCs w:val="16"/>
              </w:rPr>
              <w:t>3,30</w:t>
            </w:r>
          </w:p>
        </w:tc>
        <w:tc>
          <w:tcPr>
            <w:tcW w:w="1155" w:type="dxa"/>
            <w:tcBorders>
              <w:top w:val="nil"/>
              <w:left w:val="nil"/>
              <w:bottom w:val="nil"/>
              <w:right w:val="nil"/>
            </w:tcBorders>
            <w:vAlign w:val="bottom"/>
          </w:tcPr>
          <w:p w14:paraId="15C1D41E" w14:textId="30E4D458" w:rsidR="0097713F" w:rsidRDefault="000C3B16" w:rsidP="0097713F">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40.382</w:t>
            </w:r>
          </w:p>
        </w:tc>
        <w:tc>
          <w:tcPr>
            <w:tcW w:w="1155" w:type="dxa"/>
            <w:tcBorders>
              <w:top w:val="nil"/>
              <w:left w:val="nil"/>
              <w:bottom w:val="nil"/>
              <w:right w:val="nil"/>
            </w:tcBorders>
            <w:vAlign w:val="bottom"/>
          </w:tcPr>
          <w:p w14:paraId="47F34CED" w14:textId="55B2F681" w:rsidR="0097713F" w:rsidRPr="00771DD0" w:rsidRDefault="000C3B16" w:rsidP="0097713F">
            <w:pPr>
              <w:suppressAutoHyphens/>
              <w:autoSpaceDN w:val="0"/>
              <w:jc w:val="right"/>
              <w:rPr>
                <w:rFonts w:ascii="Arial" w:eastAsia="Calibri" w:hAnsi="Arial" w:cs="Arial"/>
                <w:color w:val="000000"/>
                <w:sz w:val="16"/>
                <w:szCs w:val="16"/>
                <w:lang w:eastAsia="hr-HR"/>
              </w:rPr>
            </w:pPr>
            <w:r>
              <w:rPr>
                <w:rFonts w:ascii="Arial" w:eastAsia="Calibri" w:hAnsi="Arial" w:cs="Arial"/>
                <w:color w:val="000000"/>
                <w:sz w:val="16"/>
                <w:szCs w:val="16"/>
                <w:lang w:eastAsia="hr-HR"/>
              </w:rPr>
              <w:t>-</w:t>
            </w:r>
          </w:p>
        </w:tc>
        <w:tc>
          <w:tcPr>
            <w:tcW w:w="1155" w:type="dxa"/>
            <w:tcBorders>
              <w:top w:val="nil"/>
              <w:left w:val="nil"/>
              <w:bottom w:val="nil"/>
              <w:right w:val="nil"/>
            </w:tcBorders>
            <w:vAlign w:val="bottom"/>
          </w:tcPr>
          <w:p w14:paraId="5BDB0B9E" w14:textId="0D251827" w:rsidR="0097713F" w:rsidRDefault="002912F8" w:rsidP="0097713F">
            <w:pPr>
              <w:suppressAutoHyphens/>
              <w:autoSpaceDN w:val="0"/>
              <w:jc w:val="right"/>
              <w:rPr>
                <w:rFonts w:ascii="Arial" w:hAnsi="Arial" w:cs="Arial"/>
                <w:sz w:val="16"/>
                <w:szCs w:val="16"/>
              </w:rPr>
            </w:pPr>
            <w:r>
              <w:rPr>
                <w:rFonts w:ascii="Arial" w:hAnsi="Arial" w:cs="Arial"/>
                <w:sz w:val="16"/>
                <w:szCs w:val="16"/>
              </w:rPr>
              <w:t>40.382</w:t>
            </w:r>
          </w:p>
        </w:tc>
        <w:tc>
          <w:tcPr>
            <w:tcW w:w="1155" w:type="dxa"/>
            <w:tcBorders>
              <w:top w:val="nil"/>
              <w:left w:val="nil"/>
              <w:bottom w:val="nil"/>
              <w:right w:val="nil"/>
            </w:tcBorders>
            <w:vAlign w:val="bottom"/>
          </w:tcPr>
          <w:p w14:paraId="7D599F56" w14:textId="631C406C" w:rsidR="0097713F" w:rsidRPr="004738DB" w:rsidRDefault="002912F8" w:rsidP="0097713F">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w:t>
            </w:r>
          </w:p>
        </w:tc>
      </w:tr>
      <w:tr w:rsidR="002912F8" w:rsidRPr="003D1614" w14:paraId="7D3C1BB3" w14:textId="77777777" w:rsidTr="002C73F0">
        <w:trPr>
          <w:trHeight w:val="229"/>
        </w:trPr>
        <w:tc>
          <w:tcPr>
            <w:tcW w:w="2692" w:type="dxa"/>
            <w:tcBorders>
              <w:top w:val="nil"/>
              <w:left w:val="nil"/>
            </w:tcBorders>
            <w:shd w:val="clear" w:color="auto" w:fill="auto"/>
            <w:noWrap/>
            <w:vAlign w:val="bottom"/>
          </w:tcPr>
          <w:p w14:paraId="3AB20CCA" w14:textId="1409709F" w:rsidR="002912F8" w:rsidRPr="004738DB" w:rsidRDefault="002912F8" w:rsidP="002912F8">
            <w:pPr>
              <w:suppressAutoHyphens/>
              <w:autoSpaceDN w:val="0"/>
              <w:jc w:val="right"/>
              <w:rPr>
                <w:rFonts w:ascii="Arial" w:eastAsia="Calibri" w:hAnsi="Arial" w:cs="Arial"/>
                <w:iCs/>
                <w:noProof/>
                <w:color w:val="000000"/>
                <w:sz w:val="16"/>
                <w:szCs w:val="16"/>
              </w:rPr>
            </w:pPr>
            <w:r>
              <w:rPr>
                <w:rFonts w:ascii="Arial" w:eastAsia="Calibri" w:hAnsi="Arial" w:cs="Arial"/>
                <w:iCs/>
                <w:noProof/>
                <w:color w:val="000000"/>
                <w:sz w:val="16"/>
                <w:szCs w:val="16"/>
              </w:rPr>
              <w:t>RHMF-O-347A</w:t>
            </w:r>
          </w:p>
        </w:tc>
        <w:tc>
          <w:tcPr>
            <w:tcW w:w="1219" w:type="dxa"/>
            <w:tcBorders>
              <w:top w:val="nil"/>
            </w:tcBorders>
            <w:shd w:val="clear" w:color="auto" w:fill="auto"/>
            <w:vAlign w:val="bottom"/>
          </w:tcPr>
          <w:p w14:paraId="5BA179A6" w14:textId="09111185" w:rsidR="002912F8" w:rsidRPr="004738DB" w:rsidRDefault="002912F8" w:rsidP="002912F8">
            <w:pPr>
              <w:suppressAutoHyphens/>
              <w:autoSpaceDN w:val="0"/>
              <w:jc w:val="right"/>
              <w:rPr>
                <w:rFonts w:ascii="Arial" w:eastAsia="Calibri" w:hAnsi="Arial" w:cs="Arial"/>
                <w:iCs/>
                <w:color w:val="000000"/>
                <w:sz w:val="16"/>
                <w:szCs w:val="16"/>
              </w:rPr>
            </w:pPr>
            <w:r>
              <w:rPr>
                <w:rFonts w:ascii="Arial" w:eastAsia="Calibri" w:hAnsi="Arial" w:cs="Arial"/>
                <w:iCs/>
                <w:color w:val="000000"/>
                <w:sz w:val="16"/>
                <w:szCs w:val="16"/>
              </w:rPr>
              <w:t>12.7.2024.</w:t>
            </w:r>
          </w:p>
        </w:tc>
        <w:tc>
          <w:tcPr>
            <w:tcW w:w="1129" w:type="dxa"/>
            <w:tcBorders>
              <w:top w:val="nil"/>
              <w:right w:val="nil"/>
            </w:tcBorders>
            <w:shd w:val="clear" w:color="auto" w:fill="auto"/>
            <w:vAlign w:val="bottom"/>
          </w:tcPr>
          <w:p w14:paraId="5CC4AE18" w14:textId="51465594" w:rsidR="002912F8" w:rsidRPr="004738DB" w:rsidRDefault="002912F8" w:rsidP="002912F8">
            <w:pPr>
              <w:suppressAutoHyphens/>
              <w:autoSpaceDN w:val="0"/>
              <w:jc w:val="right"/>
              <w:rPr>
                <w:rFonts w:ascii="Arial" w:eastAsia="Calibri" w:hAnsi="Arial" w:cs="Arial"/>
                <w:iCs/>
                <w:color w:val="000000"/>
                <w:sz w:val="16"/>
                <w:szCs w:val="16"/>
              </w:rPr>
            </w:pPr>
            <w:r>
              <w:rPr>
                <w:rFonts w:ascii="Arial" w:eastAsia="Calibri" w:hAnsi="Arial" w:cs="Arial"/>
                <w:iCs/>
                <w:color w:val="000000"/>
                <w:sz w:val="16"/>
                <w:szCs w:val="16"/>
              </w:rPr>
              <w:t>12.7.20</w:t>
            </w:r>
            <w:r w:rsidR="00AC1566">
              <w:rPr>
                <w:rFonts w:ascii="Arial" w:eastAsia="Calibri" w:hAnsi="Arial" w:cs="Arial"/>
                <w:iCs/>
                <w:color w:val="000000"/>
                <w:sz w:val="16"/>
                <w:szCs w:val="16"/>
              </w:rPr>
              <w:t>34</w:t>
            </w:r>
            <w:r>
              <w:rPr>
                <w:rFonts w:ascii="Arial" w:eastAsia="Calibri" w:hAnsi="Arial" w:cs="Arial"/>
                <w:iCs/>
                <w:color w:val="000000"/>
                <w:sz w:val="16"/>
                <w:szCs w:val="16"/>
              </w:rPr>
              <w:t>.</w:t>
            </w:r>
          </w:p>
        </w:tc>
        <w:tc>
          <w:tcPr>
            <w:tcW w:w="1196" w:type="dxa"/>
            <w:tcBorders>
              <w:top w:val="nil"/>
              <w:left w:val="nil"/>
              <w:bottom w:val="nil"/>
              <w:right w:val="nil"/>
            </w:tcBorders>
            <w:shd w:val="clear" w:color="auto" w:fill="auto"/>
            <w:noWrap/>
            <w:vAlign w:val="bottom"/>
          </w:tcPr>
          <w:p w14:paraId="0057B1EE" w14:textId="54203A1D" w:rsidR="002912F8" w:rsidRPr="004738DB" w:rsidRDefault="002912F8" w:rsidP="002912F8">
            <w:pPr>
              <w:suppressAutoHyphens/>
              <w:autoSpaceDN w:val="0"/>
              <w:jc w:val="center"/>
              <w:rPr>
                <w:rFonts w:ascii="Arial" w:eastAsia="Calibri" w:hAnsi="Arial" w:cs="Arial"/>
                <w:iCs/>
                <w:color w:val="000000"/>
                <w:sz w:val="16"/>
                <w:szCs w:val="16"/>
              </w:rPr>
            </w:pPr>
            <w:r>
              <w:rPr>
                <w:rFonts w:ascii="Arial" w:eastAsia="Calibri" w:hAnsi="Arial" w:cs="Arial"/>
                <w:iCs/>
                <w:color w:val="000000"/>
                <w:sz w:val="16"/>
                <w:szCs w:val="16"/>
              </w:rPr>
              <w:t xml:space="preserve"> 3,</w:t>
            </w:r>
            <w:r w:rsidR="00AC1566">
              <w:rPr>
                <w:rFonts w:ascii="Arial" w:eastAsia="Calibri" w:hAnsi="Arial" w:cs="Arial"/>
                <w:iCs/>
                <w:color w:val="000000"/>
                <w:sz w:val="16"/>
                <w:szCs w:val="16"/>
              </w:rPr>
              <w:t>5</w:t>
            </w:r>
            <w:r>
              <w:rPr>
                <w:rFonts w:ascii="Arial" w:eastAsia="Calibri" w:hAnsi="Arial" w:cs="Arial"/>
                <w:iCs/>
                <w:color w:val="000000"/>
                <w:sz w:val="16"/>
                <w:szCs w:val="16"/>
              </w:rPr>
              <w:t>0</w:t>
            </w:r>
          </w:p>
        </w:tc>
        <w:tc>
          <w:tcPr>
            <w:tcW w:w="1155" w:type="dxa"/>
            <w:tcBorders>
              <w:top w:val="nil"/>
              <w:left w:val="nil"/>
              <w:bottom w:val="nil"/>
              <w:right w:val="nil"/>
            </w:tcBorders>
            <w:vAlign w:val="bottom"/>
          </w:tcPr>
          <w:p w14:paraId="3F519775" w14:textId="0A8C65CB" w:rsidR="002912F8" w:rsidRDefault="00AC1566" w:rsidP="002912F8">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1</w:t>
            </w:r>
            <w:r w:rsidR="002912F8">
              <w:rPr>
                <w:rFonts w:ascii="Arial" w:eastAsia="Calibri" w:hAnsi="Arial" w:cs="Arial"/>
                <w:color w:val="000000"/>
                <w:sz w:val="16"/>
                <w:szCs w:val="16"/>
              </w:rPr>
              <w:t>0.</w:t>
            </w:r>
            <w:r>
              <w:rPr>
                <w:rFonts w:ascii="Arial" w:eastAsia="Calibri" w:hAnsi="Arial" w:cs="Arial"/>
                <w:color w:val="000000"/>
                <w:sz w:val="16"/>
                <w:szCs w:val="16"/>
              </w:rPr>
              <w:t>1</w:t>
            </w:r>
            <w:r w:rsidR="002912F8">
              <w:rPr>
                <w:rFonts w:ascii="Arial" w:eastAsia="Calibri" w:hAnsi="Arial" w:cs="Arial"/>
                <w:color w:val="000000"/>
                <w:sz w:val="16"/>
                <w:szCs w:val="16"/>
              </w:rPr>
              <w:t>82</w:t>
            </w:r>
          </w:p>
        </w:tc>
        <w:tc>
          <w:tcPr>
            <w:tcW w:w="1155" w:type="dxa"/>
            <w:tcBorders>
              <w:top w:val="nil"/>
              <w:left w:val="nil"/>
              <w:bottom w:val="nil"/>
              <w:right w:val="nil"/>
            </w:tcBorders>
            <w:vAlign w:val="bottom"/>
          </w:tcPr>
          <w:p w14:paraId="382C2C7D" w14:textId="4729CE46" w:rsidR="002912F8" w:rsidRPr="00771DD0" w:rsidRDefault="00AC1566" w:rsidP="002912F8">
            <w:pPr>
              <w:suppressAutoHyphens/>
              <w:autoSpaceDN w:val="0"/>
              <w:jc w:val="right"/>
              <w:rPr>
                <w:rFonts w:ascii="Arial" w:eastAsia="Calibri" w:hAnsi="Arial" w:cs="Arial"/>
                <w:color w:val="000000"/>
                <w:sz w:val="16"/>
                <w:szCs w:val="16"/>
                <w:lang w:eastAsia="hr-HR"/>
              </w:rPr>
            </w:pPr>
            <w:r>
              <w:rPr>
                <w:rFonts w:ascii="Arial" w:eastAsia="Calibri" w:hAnsi="Arial" w:cs="Arial"/>
                <w:color w:val="000000"/>
                <w:sz w:val="16"/>
                <w:szCs w:val="16"/>
                <w:lang w:eastAsia="hr-HR"/>
              </w:rPr>
              <w:t>-</w:t>
            </w:r>
          </w:p>
        </w:tc>
        <w:tc>
          <w:tcPr>
            <w:tcW w:w="1155" w:type="dxa"/>
            <w:tcBorders>
              <w:top w:val="nil"/>
              <w:left w:val="nil"/>
              <w:bottom w:val="nil"/>
              <w:right w:val="nil"/>
            </w:tcBorders>
            <w:vAlign w:val="bottom"/>
          </w:tcPr>
          <w:p w14:paraId="11B37621" w14:textId="1798DC41" w:rsidR="002912F8" w:rsidRDefault="00AC1566" w:rsidP="002912F8">
            <w:pPr>
              <w:suppressAutoHyphens/>
              <w:autoSpaceDN w:val="0"/>
              <w:jc w:val="right"/>
              <w:rPr>
                <w:rFonts w:ascii="Arial" w:hAnsi="Arial" w:cs="Arial"/>
                <w:sz w:val="16"/>
                <w:szCs w:val="16"/>
              </w:rPr>
            </w:pPr>
            <w:r>
              <w:rPr>
                <w:rFonts w:ascii="Arial" w:hAnsi="Arial" w:cs="Arial"/>
                <w:sz w:val="16"/>
                <w:szCs w:val="16"/>
              </w:rPr>
              <w:t>10.182</w:t>
            </w:r>
          </w:p>
        </w:tc>
        <w:tc>
          <w:tcPr>
            <w:tcW w:w="1155" w:type="dxa"/>
            <w:tcBorders>
              <w:top w:val="nil"/>
              <w:left w:val="nil"/>
              <w:bottom w:val="nil"/>
              <w:right w:val="nil"/>
            </w:tcBorders>
            <w:vAlign w:val="bottom"/>
          </w:tcPr>
          <w:p w14:paraId="2CC784BD" w14:textId="5E465F56" w:rsidR="002912F8" w:rsidRPr="004738DB" w:rsidRDefault="00AC1566" w:rsidP="002912F8">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w:t>
            </w:r>
          </w:p>
        </w:tc>
      </w:tr>
      <w:tr w:rsidR="002912F8" w:rsidRPr="003D1614" w14:paraId="78E726D9" w14:textId="77777777" w:rsidTr="002C73F0">
        <w:trPr>
          <w:trHeight w:val="229"/>
        </w:trPr>
        <w:tc>
          <w:tcPr>
            <w:tcW w:w="3911" w:type="dxa"/>
            <w:gridSpan w:val="2"/>
            <w:tcBorders>
              <w:top w:val="nil"/>
              <w:left w:val="nil"/>
              <w:bottom w:val="nil"/>
            </w:tcBorders>
            <w:shd w:val="clear" w:color="auto" w:fill="auto"/>
            <w:noWrap/>
            <w:vAlign w:val="bottom"/>
          </w:tcPr>
          <w:p w14:paraId="6BE899E2" w14:textId="005035DD" w:rsidR="002912F8" w:rsidRPr="003D1614" w:rsidRDefault="002912F8" w:rsidP="002912F8">
            <w:pPr>
              <w:suppressAutoHyphens/>
              <w:autoSpaceDN w:val="0"/>
              <w:rPr>
                <w:rFonts w:ascii="Arial" w:eastAsia="Calibri" w:hAnsi="Arial" w:cs="Arial"/>
                <w:i/>
                <w:color w:val="000000"/>
                <w:sz w:val="16"/>
                <w:szCs w:val="16"/>
              </w:rPr>
            </w:pPr>
            <w:r w:rsidRPr="003D1614">
              <w:rPr>
                <w:rFonts w:ascii="Arial" w:eastAsia="Calibri" w:hAnsi="Arial" w:cs="Arial"/>
                <w:i/>
                <w:color w:val="000000"/>
                <w:sz w:val="16"/>
                <w:szCs w:val="16"/>
              </w:rPr>
              <w:t xml:space="preserve">Obveznice trgovačkih </w:t>
            </w:r>
            <w:r w:rsidRPr="000D77BD">
              <w:rPr>
                <w:rFonts w:ascii="Arial" w:eastAsia="Calibri" w:hAnsi="Arial" w:cs="Arial"/>
                <w:i/>
                <w:color w:val="000000"/>
                <w:sz w:val="16"/>
                <w:szCs w:val="16"/>
              </w:rPr>
              <w:t>društava</w:t>
            </w:r>
            <w:r w:rsidRPr="002E49B8">
              <w:rPr>
                <w:rFonts w:ascii="Arial" w:eastAsia="Calibri" w:hAnsi="Arial" w:cs="Arial"/>
                <w:i/>
                <w:color w:val="000000"/>
                <w:sz w:val="16"/>
                <w:szCs w:val="16"/>
              </w:rPr>
              <w:t>:</w:t>
            </w:r>
          </w:p>
        </w:tc>
        <w:tc>
          <w:tcPr>
            <w:tcW w:w="1129" w:type="dxa"/>
            <w:tcBorders>
              <w:top w:val="nil"/>
              <w:bottom w:val="nil"/>
              <w:right w:val="nil"/>
            </w:tcBorders>
            <w:shd w:val="clear" w:color="auto" w:fill="auto"/>
            <w:vAlign w:val="bottom"/>
          </w:tcPr>
          <w:p w14:paraId="55645BA0" w14:textId="77777777" w:rsidR="002912F8" w:rsidRPr="003D1614" w:rsidRDefault="002912F8" w:rsidP="002912F8">
            <w:pPr>
              <w:suppressAutoHyphens/>
              <w:autoSpaceDN w:val="0"/>
              <w:rPr>
                <w:rFonts w:ascii="Arial" w:eastAsia="Calibri" w:hAnsi="Arial" w:cs="Arial"/>
                <w:i/>
                <w:color w:val="000000"/>
                <w:sz w:val="16"/>
                <w:szCs w:val="16"/>
              </w:rPr>
            </w:pPr>
          </w:p>
        </w:tc>
        <w:tc>
          <w:tcPr>
            <w:tcW w:w="1196" w:type="dxa"/>
            <w:tcBorders>
              <w:top w:val="nil"/>
              <w:left w:val="nil"/>
              <w:bottom w:val="nil"/>
              <w:right w:val="nil"/>
            </w:tcBorders>
            <w:shd w:val="clear" w:color="auto" w:fill="auto"/>
            <w:noWrap/>
            <w:vAlign w:val="bottom"/>
          </w:tcPr>
          <w:p w14:paraId="061BF1F4" w14:textId="77777777" w:rsidR="002912F8" w:rsidRPr="003D1614" w:rsidRDefault="002912F8" w:rsidP="002912F8">
            <w:pPr>
              <w:suppressAutoHyphens/>
              <w:autoSpaceDN w:val="0"/>
              <w:jc w:val="center"/>
              <w:rPr>
                <w:rFonts w:ascii="Arial" w:eastAsia="Calibri" w:hAnsi="Arial" w:cs="Arial"/>
                <w:color w:val="000000"/>
                <w:sz w:val="16"/>
                <w:szCs w:val="16"/>
              </w:rPr>
            </w:pPr>
          </w:p>
        </w:tc>
        <w:tc>
          <w:tcPr>
            <w:tcW w:w="1155" w:type="dxa"/>
            <w:tcBorders>
              <w:top w:val="nil"/>
              <w:left w:val="nil"/>
              <w:bottom w:val="nil"/>
              <w:right w:val="nil"/>
            </w:tcBorders>
            <w:vAlign w:val="bottom"/>
          </w:tcPr>
          <w:p w14:paraId="791DD589" w14:textId="77777777" w:rsidR="002912F8" w:rsidRPr="003D1614" w:rsidRDefault="002912F8" w:rsidP="002912F8">
            <w:pPr>
              <w:suppressAutoHyphens/>
              <w:autoSpaceDN w:val="0"/>
              <w:jc w:val="right"/>
              <w:rPr>
                <w:rFonts w:ascii="Arial" w:eastAsia="Calibri" w:hAnsi="Arial" w:cs="Arial"/>
                <w:color w:val="000000"/>
                <w:sz w:val="16"/>
                <w:szCs w:val="16"/>
                <w:lang w:eastAsia="hr-HR"/>
              </w:rPr>
            </w:pPr>
          </w:p>
        </w:tc>
        <w:tc>
          <w:tcPr>
            <w:tcW w:w="1155" w:type="dxa"/>
            <w:tcBorders>
              <w:top w:val="nil"/>
              <w:left w:val="nil"/>
              <w:bottom w:val="nil"/>
              <w:right w:val="nil"/>
            </w:tcBorders>
            <w:shd w:val="clear" w:color="auto" w:fill="auto"/>
            <w:vAlign w:val="bottom"/>
          </w:tcPr>
          <w:p w14:paraId="0895D5F2" w14:textId="77777777" w:rsidR="002912F8" w:rsidRPr="003D1614" w:rsidRDefault="002912F8" w:rsidP="002912F8">
            <w:pPr>
              <w:suppressAutoHyphens/>
              <w:autoSpaceDN w:val="0"/>
              <w:jc w:val="right"/>
              <w:rPr>
                <w:rFonts w:ascii="Arial" w:eastAsia="Calibri" w:hAnsi="Arial" w:cs="Arial"/>
                <w:color w:val="000000"/>
                <w:sz w:val="16"/>
                <w:szCs w:val="16"/>
                <w:lang w:eastAsia="hr-HR"/>
              </w:rPr>
            </w:pPr>
          </w:p>
        </w:tc>
        <w:tc>
          <w:tcPr>
            <w:tcW w:w="1155" w:type="dxa"/>
            <w:tcBorders>
              <w:top w:val="nil"/>
              <w:left w:val="nil"/>
              <w:bottom w:val="nil"/>
              <w:right w:val="nil"/>
            </w:tcBorders>
            <w:vAlign w:val="bottom"/>
          </w:tcPr>
          <w:p w14:paraId="773D4B0D" w14:textId="77777777" w:rsidR="002912F8" w:rsidRPr="003D1614" w:rsidRDefault="002912F8" w:rsidP="002912F8">
            <w:pPr>
              <w:suppressAutoHyphens/>
              <w:autoSpaceDN w:val="0"/>
              <w:jc w:val="right"/>
              <w:rPr>
                <w:rFonts w:ascii="Arial" w:eastAsia="Calibri" w:hAnsi="Arial" w:cs="Arial"/>
                <w:color w:val="000000"/>
                <w:sz w:val="16"/>
                <w:szCs w:val="16"/>
              </w:rPr>
            </w:pPr>
          </w:p>
        </w:tc>
        <w:tc>
          <w:tcPr>
            <w:tcW w:w="1155" w:type="dxa"/>
            <w:tcBorders>
              <w:top w:val="nil"/>
              <w:left w:val="nil"/>
              <w:bottom w:val="nil"/>
              <w:right w:val="nil"/>
            </w:tcBorders>
            <w:vAlign w:val="bottom"/>
          </w:tcPr>
          <w:p w14:paraId="05751D06" w14:textId="77777777" w:rsidR="002912F8" w:rsidRPr="003D1614" w:rsidRDefault="002912F8" w:rsidP="002912F8">
            <w:pPr>
              <w:suppressAutoHyphens/>
              <w:autoSpaceDN w:val="0"/>
              <w:jc w:val="right"/>
              <w:rPr>
                <w:rFonts w:ascii="Arial" w:eastAsia="Calibri" w:hAnsi="Arial" w:cs="Arial"/>
                <w:color w:val="000000"/>
                <w:sz w:val="16"/>
                <w:szCs w:val="16"/>
              </w:rPr>
            </w:pPr>
          </w:p>
        </w:tc>
      </w:tr>
      <w:tr w:rsidR="002912F8" w:rsidRPr="003D1614" w14:paraId="4B9AEC8B" w14:textId="77777777" w:rsidTr="002C73F0">
        <w:trPr>
          <w:trHeight w:val="229"/>
        </w:trPr>
        <w:tc>
          <w:tcPr>
            <w:tcW w:w="2692" w:type="dxa"/>
            <w:tcBorders>
              <w:top w:val="nil"/>
              <w:left w:val="nil"/>
              <w:bottom w:val="nil"/>
              <w:right w:val="nil"/>
            </w:tcBorders>
            <w:shd w:val="clear" w:color="auto" w:fill="auto"/>
            <w:noWrap/>
            <w:vAlign w:val="bottom"/>
          </w:tcPr>
          <w:p w14:paraId="56CA5176" w14:textId="77777777" w:rsidR="002912F8" w:rsidRPr="003D1614" w:rsidRDefault="002912F8" w:rsidP="002912F8">
            <w:pPr>
              <w:suppressAutoHyphens/>
              <w:autoSpaceDN w:val="0"/>
              <w:jc w:val="right"/>
              <w:rPr>
                <w:rFonts w:ascii="Arial" w:eastAsia="Calibri" w:hAnsi="Arial" w:cs="Arial"/>
                <w:color w:val="000000"/>
                <w:sz w:val="16"/>
                <w:szCs w:val="16"/>
                <w:lang w:eastAsia="hr-HR"/>
              </w:rPr>
            </w:pPr>
            <w:r w:rsidRPr="003D1614">
              <w:rPr>
                <w:rFonts w:ascii="Arial" w:eastAsia="Calibri" w:hAnsi="Arial" w:cs="Arial"/>
                <w:color w:val="000000"/>
                <w:sz w:val="16"/>
                <w:szCs w:val="16"/>
                <w:lang w:eastAsia="hr-HR"/>
              </w:rPr>
              <w:t>JDGL-O-24XA</w:t>
            </w:r>
          </w:p>
        </w:tc>
        <w:tc>
          <w:tcPr>
            <w:tcW w:w="1219" w:type="dxa"/>
            <w:tcBorders>
              <w:top w:val="nil"/>
              <w:left w:val="nil"/>
              <w:bottom w:val="nil"/>
              <w:right w:val="nil"/>
            </w:tcBorders>
            <w:shd w:val="clear" w:color="auto" w:fill="auto"/>
            <w:noWrap/>
            <w:vAlign w:val="bottom"/>
          </w:tcPr>
          <w:p w14:paraId="2AA3F4CF" w14:textId="77777777" w:rsidR="002912F8" w:rsidRPr="003D1614" w:rsidRDefault="002912F8" w:rsidP="002912F8">
            <w:pPr>
              <w:suppressAutoHyphens/>
              <w:autoSpaceDN w:val="0"/>
              <w:jc w:val="right"/>
              <w:rPr>
                <w:rFonts w:ascii="Arial" w:eastAsia="Calibri" w:hAnsi="Arial" w:cs="Arial"/>
                <w:color w:val="000000"/>
                <w:sz w:val="16"/>
                <w:szCs w:val="16"/>
                <w:lang w:eastAsia="hr-HR"/>
              </w:rPr>
            </w:pPr>
            <w:r w:rsidRPr="003D1614">
              <w:rPr>
                <w:rFonts w:ascii="Arial" w:eastAsia="Calibri" w:hAnsi="Arial" w:cs="Arial"/>
                <w:color w:val="000000"/>
                <w:sz w:val="16"/>
                <w:szCs w:val="16"/>
                <w:lang w:eastAsia="hr-HR"/>
              </w:rPr>
              <w:t>18.12.2019.</w:t>
            </w:r>
          </w:p>
        </w:tc>
        <w:tc>
          <w:tcPr>
            <w:tcW w:w="1129" w:type="dxa"/>
            <w:tcBorders>
              <w:top w:val="nil"/>
              <w:left w:val="nil"/>
              <w:bottom w:val="nil"/>
              <w:right w:val="nil"/>
            </w:tcBorders>
            <w:shd w:val="clear" w:color="auto" w:fill="auto"/>
            <w:noWrap/>
            <w:vAlign w:val="bottom"/>
          </w:tcPr>
          <w:p w14:paraId="6EF373FA" w14:textId="77777777" w:rsidR="002912F8" w:rsidRPr="003D1614" w:rsidRDefault="002912F8" w:rsidP="002912F8">
            <w:pPr>
              <w:suppressAutoHyphens/>
              <w:autoSpaceDN w:val="0"/>
              <w:jc w:val="right"/>
              <w:rPr>
                <w:rFonts w:ascii="Arial" w:eastAsia="Calibri" w:hAnsi="Arial" w:cs="Arial"/>
                <w:color w:val="000000"/>
                <w:sz w:val="16"/>
                <w:szCs w:val="16"/>
                <w:lang w:eastAsia="hr-HR"/>
              </w:rPr>
            </w:pPr>
            <w:r w:rsidRPr="003D1614">
              <w:rPr>
                <w:rFonts w:ascii="Arial" w:eastAsia="Calibri" w:hAnsi="Arial" w:cs="Arial"/>
                <w:color w:val="000000"/>
                <w:sz w:val="16"/>
                <w:szCs w:val="16"/>
                <w:lang w:eastAsia="hr-HR"/>
              </w:rPr>
              <w:t>18.12.2024.</w:t>
            </w:r>
          </w:p>
        </w:tc>
        <w:tc>
          <w:tcPr>
            <w:tcW w:w="1196" w:type="dxa"/>
            <w:tcBorders>
              <w:top w:val="nil"/>
              <w:left w:val="nil"/>
              <w:bottom w:val="nil"/>
              <w:right w:val="nil"/>
            </w:tcBorders>
            <w:shd w:val="clear" w:color="auto" w:fill="auto"/>
            <w:noWrap/>
            <w:vAlign w:val="bottom"/>
          </w:tcPr>
          <w:p w14:paraId="0CB5224D" w14:textId="77777777" w:rsidR="002912F8" w:rsidRPr="003D1614" w:rsidRDefault="002912F8" w:rsidP="002912F8">
            <w:pPr>
              <w:suppressAutoHyphens/>
              <w:autoSpaceDN w:val="0"/>
              <w:jc w:val="center"/>
              <w:rPr>
                <w:rFonts w:ascii="Arial" w:eastAsia="Calibri" w:hAnsi="Arial" w:cs="Arial"/>
                <w:color w:val="000000"/>
                <w:sz w:val="16"/>
                <w:szCs w:val="16"/>
              </w:rPr>
            </w:pPr>
            <w:r w:rsidRPr="003D1614">
              <w:rPr>
                <w:rFonts w:ascii="Arial" w:eastAsia="Calibri" w:hAnsi="Arial" w:cs="Arial"/>
                <w:color w:val="000000"/>
                <w:sz w:val="16"/>
                <w:szCs w:val="16"/>
              </w:rPr>
              <w:t>1,75</w:t>
            </w:r>
          </w:p>
        </w:tc>
        <w:tc>
          <w:tcPr>
            <w:tcW w:w="1155" w:type="dxa"/>
            <w:tcBorders>
              <w:top w:val="nil"/>
              <w:left w:val="nil"/>
              <w:bottom w:val="nil"/>
              <w:right w:val="nil"/>
            </w:tcBorders>
            <w:vAlign w:val="bottom"/>
          </w:tcPr>
          <w:p w14:paraId="1BF1ADC8" w14:textId="33498D5C" w:rsidR="002912F8" w:rsidRPr="003D1614" w:rsidRDefault="00100D9E" w:rsidP="002912F8">
            <w:pPr>
              <w:suppressAutoHyphens/>
              <w:autoSpaceDN w:val="0"/>
              <w:jc w:val="right"/>
              <w:rPr>
                <w:rFonts w:ascii="Arial" w:eastAsia="Calibri" w:hAnsi="Arial" w:cs="Arial"/>
                <w:color w:val="000000"/>
                <w:sz w:val="16"/>
                <w:szCs w:val="16"/>
                <w:lang w:eastAsia="hr-HR"/>
              </w:rPr>
            </w:pPr>
            <w:r>
              <w:rPr>
                <w:rFonts w:ascii="Arial" w:eastAsia="Calibri" w:hAnsi="Arial" w:cs="Arial"/>
                <w:color w:val="000000"/>
                <w:sz w:val="16"/>
                <w:szCs w:val="16"/>
                <w:lang w:eastAsia="hr-HR"/>
              </w:rPr>
              <w:t>128</w:t>
            </w:r>
          </w:p>
        </w:tc>
        <w:tc>
          <w:tcPr>
            <w:tcW w:w="1155" w:type="dxa"/>
            <w:tcBorders>
              <w:top w:val="nil"/>
              <w:left w:val="nil"/>
              <w:bottom w:val="nil"/>
              <w:right w:val="nil"/>
            </w:tcBorders>
            <w:vAlign w:val="bottom"/>
          </w:tcPr>
          <w:p w14:paraId="21A481EA" w14:textId="498A44B7" w:rsidR="002912F8" w:rsidRPr="003D1614" w:rsidRDefault="002912F8" w:rsidP="002912F8">
            <w:pPr>
              <w:suppressAutoHyphens/>
              <w:autoSpaceDN w:val="0"/>
              <w:jc w:val="right"/>
              <w:rPr>
                <w:rFonts w:ascii="Arial" w:eastAsia="Calibri" w:hAnsi="Arial" w:cs="Arial"/>
                <w:color w:val="000000"/>
                <w:sz w:val="16"/>
                <w:szCs w:val="16"/>
                <w:lang w:eastAsia="hr-HR"/>
              </w:rPr>
            </w:pPr>
            <w:r>
              <w:rPr>
                <w:rFonts w:ascii="Arial" w:eastAsia="Calibri" w:hAnsi="Arial" w:cs="Arial"/>
                <w:color w:val="000000"/>
                <w:sz w:val="16"/>
                <w:szCs w:val="16"/>
                <w:lang w:eastAsia="hr-HR"/>
              </w:rPr>
              <w:t>132</w:t>
            </w:r>
          </w:p>
        </w:tc>
        <w:tc>
          <w:tcPr>
            <w:tcW w:w="1155" w:type="dxa"/>
            <w:tcBorders>
              <w:top w:val="nil"/>
              <w:left w:val="nil"/>
              <w:bottom w:val="nil"/>
              <w:right w:val="nil"/>
            </w:tcBorders>
            <w:shd w:val="clear" w:color="auto" w:fill="auto"/>
            <w:vAlign w:val="bottom"/>
          </w:tcPr>
          <w:p w14:paraId="3F18A096" w14:textId="7DA589F7" w:rsidR="002912F8" w:rsidRPr="003D1614" w:rsidRDefault="00C13199" w:rsidP="002912F8">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w:t>
            </w:r>
          </w:p>
        </w:tc>
        <w:tc>
          <w:tcPr>
            <w:tcW w:w="1155" w:type="dxa"/>
            <w:tcBorders>
              <w:top w:val="nil"/>
              <w:left w:val="nil"/>
              <w:bottom w:val="nil"/>
              <w:right w:val="nil"/>
            </w:tcBorders>
            <w:vAlign w:val="bottom"/>
          </w:tcPr>
          <w:p w14:paraId="2ED56546" w14:textId="42D215D6" w:rsidR="002912F8" w:rsidRPr="003D1614" w:rsidRDefault="002912F8" w:rsidP="002912F8">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w:t>
            </w:r>
          </w:p>
        </w:tc>
      </w:tr>
      <w:tr w:rsidR="002912F8" w:rsidRPr="003D1614" w14:paraId="3DC3CE77" w14:textId="77777777" w:rsidTr="002C73F0">
        <w:trPr>
          <w:trHeight w:val="229"/>
        </w:trPr>
        <w:tc>
          <w:tcPr>
            <w:tcW w:w="2692" w:type="dxa"/>
            <w:tcBorders>
              <w:top w:val="nil"/>
              <w:left w:val="nil"/>
              <w:bottom w:val="nil"/>
              <w:right w:val="nil"/>
            </w:tcBorders>
            <w:shd w:val="clear" w:color="auto" w:fill="auto"/>
            <w:noWrap/>
            <w:vAlign w:val="bottom"/>
          </w:tcPr>
          <w:p w14:paraId="11718098" w14:textId="516241B6" w:rsidR="002912F8" w:rsidRPr="003D1614" w:rsidRDefault="002912F8" w:rsidP="002912F8">
            <w:pPr>
              <w:suppressAutoHyphens/>
              <w:autoSpaceDN w:val="0"/>
              <w:rPr>
                <w:rFonts w:ascii="Arial" w:eastAsia="Calibri" w:hAnsi="Arial" w:cs="Arial"/>
                <w:color w:val="000000"/>
                <w:sz w:val="16"/>
                <w:szCs w:val="16"/>
                <w:lang w:eastAsia="hr-HR"/>
              </w:rPr>
            </w:pPr>
            <w:r>
              <w:rPr>
                <w:rFonts w:ascii="Arial" w:eastAsia="Calibri" w:hAnsi="Arial" w:cs="Arial"/>
                <w:color w:val="000000"/>
                <w:sz w:val="16"/>
                <w:szCs w:val="16"/>
              </w:rPr>
              <w:t xml:space="preserve">                          </w:t>
            </w:r>
            <w:r w:rsidRPr="003D1614">
              <w:rPr>
                <w:rFonts w:ascii="Arial" w:eastAsia="Calibri" w:hAnsi="Arial" w:cs="Arial"/>
                <w:color w:val="000000"/>
                <w:sz w:val="16"/>
                <w:szCs w:val="16"/>
              </w:rPr>
              <w:t>HRATGRO25CA5</w:t>
            </w:r>
          </w:p>
        </w:tc>
        <w:tc>
          <w:tcPr>
            <w:tcW w:w="1219" w:type="dxa"/>
            <w:tcBorders>
              <w:top w:val="nil"/>
              <w:left w:val="nil"/>
              <w:bottom w:val="nil"/>
              <w:right w:val="nil"/>
            </w:tcBorders>
            <w:shd w:val="clear" w:color="auto" w:fill="auto"/>
            <w:noWrap/>
            <w:vAlign w:val="bottom"/>
          </w:tcPr>
          <w:p w14:paraId="4A5EF081" w14:textId="77777777" w:rsidR="002912F8" w:rsidRPr="003D1614" w:rsidRDefault="002912F8" w:rsidP="002912F8">
            <w:pPr>
              <w:suppressAutoHyphens/>
              <w:autoSpaceDN w:val="0"/>
              <w:jc w:val="right"/>
              <w:rPr>
                <w:rFonts w:ascii="Arial" w:eastAsia="Calibri" w:hAnsi="Arial" w:cs="Arial"/>
                <w:color w:val="000000"/>
                <w:sz w:val="16"/>
                <w:szCs w:val="16"/>
                <w:lang w:eastAsia="hr-HR"/>
              </w:rPr>
            </w:pPr>
            <w:r w:rsidRPr="003D1614">
              <w:rPr>
                <w:rFonts w:ascii="Arial" w:eastAsia="Calibri" w:hAnsi="Arial" w:cs="Arial"/>
                <w:color w:val="000000"/>
                <w:sz w:val="16"/>
                <w:szCs w:val="16"/>
              </w:rPr>
              <w:t xml:space="preserve">11.12.2020.      </w:t>
            </w:r>
          </w:p>
        </w:tc>
        <w:tc>
          <w:tcPr>
            <w:tcW w:w="1129" w:type="dxa"/>
            <w:tcBorders>
              <w:top w:val="nil"/>
              <w:left w:val="nil"/>
              <w:bottom w:val="nil"/>
              <w:right w:val="nil"/>
            </w:tcBorders>
            <w:shd w:val="clear" w:color="auto" w:fill="auto"/>
            <w:noWrap/>
            <w:vAlign w:val="bottom"/>
          </w:tcPr>
          <w:p w14:paraId="373D61ED" w14:textId="77777777" w:rsidR="002912F8" w:rsidRPr="003D1614" w:rsidRDefault="002912F8" w:rsidP="002912F8">
            <w:pPr>
              <w:suppressAutoHyphens/>
              <w:autoSpaceDN w:val="0"/>
              <w:jc w:val="right"/>
              <w:rPr>
                <w:rFonts w:ascii="Arial" w:eastAsia="Calibri" w:hAnsi="Arial" w:cs="Arial"/>
                <w:color w:val="000000"/>
                <w:sz w:val="16"/>
                <w:szCs w:val="16"/>
                <w:lang w:eastAsia="hr-HR"/>
              </w:rPr>
            </w:pPr>
            <w:r w:rsidRPr="003D1614">
              <w:rPr>
                <w:rFonts w:ascii="Arial" w:eastAsia="Calibri" w:hAnsi="Arial" w:cs="Arial"/>
                <w:color w:val="000000"/>
                <w:sz w:val="16"/>
                <w:szCs w:val="16"/>
              </w:rPr>
              <w:t>11.12.2025.</w:t>
            </w:r>
          </w:p>
        </w:tc>
        <w:tc>
          <w:tcPr>
            <w:tcW w:w="1196" w:type="dxa"/>
            <w:tcBorders>
              <w:top w:val="nil"/>
              <w:left w:val="nil"/>
              <w:bottom w:val="nil"/>
              <w:right w:val="nil"/>
            </w:tcBorders>
            <w:shd w:val="clear" w:color="auto" w:fill="auto"/>
            <w:noWrap/>
            <w:vAlign w:val="bottom"/>
          </w:tcPr>
          <w:p w14:paraId="48E28B80" w14:textId="77777777" w:rsidR="002912F8" w:rsidRPr="003D1614" w:rsidRDefault="002912F8" w:rsidP="002912F8">
            <w:pPr>
              <w:suppressAutoHyphens/>
              <w:autoSpaceDN w:val="0"/>
              <w:jc w:val="center"/>
              <w:rPr>
                <w:rFonts w:ascii="Arial" w:eastAsia="Calibri" w:hAnsi="Arial" w:cs="Arial"/>
                <w:color w:val="000000"/>
                <w:sz w:val="16"/>
                <w:szCs w:val="16"/>
              </w:rPr>
            </w:pPr>
            <w:r w:rsidRPr="003D1614">
              <w:rPr>
                <w:rFonts w:ascii="Arial" w:eastAsia="Calibri" w:hAnsi="Arial" w:cs="Arial"/>
                <w:color w:val="000000"/>
                <w:sz w:val="16"/>
                <w:szCs w:val="16"/>
              </w:rPr>
              <w:t>0,88</w:t>
            </w:r>
          </w:p>
        </w:tc>
        <w:tc>
          <w:tcPr>
            <w:tcW w:w="1155" w:type="dxa"/>
            <w:tcBorders>
              <w:top w:val="nil"/>
              <w:left w:val="nil"/>
              <w:bottom w:val="nil"/>
              <w:right w:val="nil"/>
            </w:tcBorders>
            <w:vAlign w:val="bottom"/>
          </w:tcPr>
          <w:p w14:paraId="360E9580" w14:textId="55BCCEE1" w:rsidR="002912F8" w:rsidRPr="003D1614" w:rsidRDefault="00C13199" w:rsidP="002912F8">
            <w:pPr>
              <w:suppressAutoHyphens/>
              <w:autoSpaceDN w:val="0"/>
              <w:jc w:val="right"/>
              <w:rPr>
                <w:rFonts w:ascii="Arial" w:eastAsia="Calibri" w:hAnsi="Arial" w:cs="Arial"/>
                <w:color w:val="000000"/>
                <w:sz w:val="16"/>
                <w:szCs w:val="16"/>
                <w:lang w:eastAsia="hr-HR"/>
              </w:rPr>
            </w:pPr>
            <w:r>
              <w:rPr>
                <w:rFonts w:ascii="Arial" w:eastAsia="Calibri" w:hAnsi="Arial" w:cs="Arial"/>
                <w:color w:val="000000"/>
                <w:sz w:val="16"/>
                <w:szCs w:val="16"/>
                <w:lang w:eastAsia="hr-HR"/>
              </w:rPr>
              <w:t>172</w:t>
            </w:r>
          </w:p>
        </w:tc>
        <w:tc>
          <w:tcPr>
            <w:tcW w:w="1155" w:type="dxa"/>
            <w:tcBorders>
              <w:top w:val="nil"/>
              <w:left w:val="nil"/>
              <w:bottom w:val="nil"/>
              <w:right w:val="nil"/>
            </w:tcBorders>
            <w:vAlign w:val="bottom"/>
          </w:tcPr>
          <w:p w14:paraId="688A2DD5" w14:textId="587AEE8E" w:rsidR="002912F8" w:rsidRPr="003D1614" w:rsidRDefault="002912F8" w:rsidP="002912F8">
            <w:pPr>
              <w:suppressAutoHyphens/>
              <w:autoSpaceDN w:val="0"/>
              <w:jc w:val="right"/>
              <w:rPr>
                <w:rFonts w:ascii="Arial" w:eastAsia="Calibri" w:hAnsi="Arial" w:cs="Arial"/>
                <w:color w:val="000000"/>
                <w:sz w:val="16"/>
                <w:szCs w:val="16"/>
                <w:lang w:eastAsia="hr-HR"/>
              </w:rPr>
            </w:pPr>
            <w:r>
              <w:rPr>
                <w:rFonts w:ascii="Arial" w:eastAsia="Calibri" w:hAnsi="Arial" w:cs="Arial"/>
                <w:color w:val="000000"/>
                <w:sz w:val="16"/>
                <w:szCs w:val="16"/>
                <w:lang w:eastAsia="hr-HR"/>
              </w:rPr>
              <w:t>172</w:t>
            </w:r>
          </w:p>
        </w:tc>
        <w:tc>
          <w:tcPr>
            <w:tcW w:w="1155" w:type="dxa"/>
            <w:tcBorders>
              <w:top w:val="nil"/>
              <w:left w:val="nil"/>
              <w:bottom w:val="nil"/>
              <w:right w:val="nil"/>
            </w:tcBorders>
            <w:shd w:val="clear" w:color="auto" w:fill="auto"/>
            <w:vAlign w:val="bottom"/>
          </w:tcPr>
          <w:p w14:paraId="180D3885" w14:textId="47597776" w:rsidR="002912F8" w:rsidRPr="003D1614" w:rsidRDefault="00C13199" w:rsidP="002912F8">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w:t>
            </w:r>
          </w:p>
        </w:tc>
        <w:tc>
          <w:tcPr>
            <w:tcW w:w="1155" w:type="dxa"/>
            <w:tcBorders>
              <w:top w:val="nil"/>
              <w:left w:val="nil"/>
              <w:bottom w:val="nil"/>
              <w:right w:val="nil"/>
            </w:tcBorders>
            <w:vAlign w:val="bottom"/>
          </w:tcPr>
          <w:p w14:paraId="4E3E0E9F" w14:textId="109C7E59" w:rsidR="002912F8" w:rsidRPr="003D1614" w:rsidRDefault="002912F8" w:rsidP="002912F8">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w:t>
            </w:r>
          </w:p>
        </w:tc>
      </w:tr>
      <w:tr w:rsidR="007B7232" w:rsidRPr="003D1614" w14:paraId="0D083FC7" w14:textId="77777777" w:rsidTr="002C73F0">
        <w:trPr>
          <w:trHeight w:val="229"/>
        </w:trPr>
        <w:tc>
          <w:tcPr>
            <w:tcW w:w="2692" w:type="dxa"/>
            <w:tcBorders>
              <w:top w:val="nil"/>
              <w:left w:val="nil"/>
              <w:bottom w:val="nil"/>
              <w:right w:val="nil"/>
            </w:tcBorders>
            <w:shd w:val="clear" w:color="auto" w:fill="auto"/>
            <w:noWrap/>
            <w:vAlign w:val="bottom"/>
          </w:tcPr>
          <w:p w14:paraId="0E6BF7BA" w14:textId="1879094F" w:rsidR="007B7232" w:rsidRDefault="007B7232" w:rsidP="007B7232">
            <w:pPr>
              <w:suppressAutoHyphens/>
              <w:autoSpaceDN w:val="0"/>
              <w:rPr>
                <w:rFonts w:ascii="Arial" w:eastAsia="Calibri" w:hAnsi="Arial" w:cs="Arial"/>
                <w:color w:val="000000"/>
                <w:sz w:val="16"/>
                <w:szCs w:val="16"/>
              </w:rPr>
            </w:pPr>
            <w:r w:rsidRPr="003D1614">
              <w:rPr>
                <w:rFonts w:ascii="Arial" w:eastAsia="Calibri" w:hAnsi="Arial" w:cs="Arial"/>
                <w:color w:val="000000"/>
                <w:sz w:val="16"/>
                <w:szCs w:val="16"/>
              </w:rPr>
              <w:t>Trezorski zapisi</w:t>
            </w:r>
            <w:r>
              <w:rPr>
                <w:rFonts w:ascii="Arial" w:eastAsia="Calibri" w:hAnsi="Arial" w:cs="Arial"/>
                <w:color w:val="000000"/>
                <w:sz w:val="16"/>
                <w:szCs w:val="16"/>
              </w:rPr>
              <w:t xml:space="preserve"> do 91 </w:t>
            </w:r>
            <w:r w:rsidRPr="003D1614">
              <w:rPr>
                <w:rFonts w:ascii="Arial" w:eastAsia="Calibri" w:hAnsi="Arial" w:cs="Arial"/>
                <w:color w:val="000000"/>
                <w:sz w:val="16"/>
                <w:szCs w:val="16"/>
              </w:rPr>
              <w:t>dana</w:t>
            </w:r>
          </w:p>
        </w:tc>
        <w:tc>
          <w:tcPr>
            <w:tcW w:w="1219" w:type="dxa"/>
            <w:tcBorders>
              <w:top w:val="nil"/>
              <w:left w:val="nil"/>
              <w:bottom w:val="nil"/>
              <w:right w:val="nil"/>
            </w:tcBorders>
            <w:shd w:val="clear" w:color="auto" w:fill="auto"/>
            <w:noWrap/>
            <w:vAlign w:val="bottom"/>
          </w:tcPr>
          <w:p w14:paraId="5F0B5098" w14:textId="77777777" w:rsidR="007B7232" w:rsidRPr="003D1614" w:rsidRDefault="007B7232" w:rsidP="007B7232">
            <w:pPr>
              <w:suppressAutoHyphens/>
              <w:autoSpaceDN w:val="0"/>
              <w:jc w:val="right"/>
              <w:rPr>
                <w:rFonts w:ascii="Arial" w:eastAsia="Calibri" w:hAnsi="Arial" w:cs="Arial"/>
                <w:color w:val="000000"/>
                <w:sz w:val="16"/>
                <w:szCs w:val="16"/>
              </w:rPr>
            </w:pPr>
          </w:p>
        </w:tc>
        <w:tc>
          <w:tcPr>
            <w:tcW w:w="1129" w:type="dxa"/>
            <w:tcBorders>
              <w:top w:val="nil"/>
              <w:left w:val="nil"/>
              <w:bottom w:val="nil"/>
              <w:right w:val="nil"/>
            </w:tcBorders>
            <w:shd w:val="clear" w:color="auto" w:fill="auto"/>
            <w:noWrap/>
            <w:vAlign w:val="bottom"/>
          </w:tcPr>
          <w:p w14:paraId="501FAFA2" w14:textId="77777777" w:rsidR="007B7232" w:rsidRPr="003D1614" w:rsidRDefault="007B7232" w:rsidP="007B7232">
            <w:pPr>
              <w:suppressAutoHyphens/>
              <w:autoSpaceDN w:val="0"/>
              <w:jc w:val="right"/>
              <w:rPr>
                <w:rFonts w:ascii="Arial" w:eastAsia="Calibri" w:hAnsi="Arial" w:cs="Arial"/>
                <w:color w:val="000000"/>
                <w:sz w:val="16"/>
                <w:szCs w:val="16"/>
              </w:rPr>
            </w:pPr>
          </w:p>
        </w:tc>
        <w:tc>
          <w:tcPr>
            <w:tcW w:w="1196" w:type="dxa"/>
            <w:tcBorders>
              <w:top w:val="nil"/>
              <w:left w:val="nil"/>
              <w:bottom w:val="nil"/>
              <w:right w:val="nil"/>
            </w:tcBorders>
            <w:shd w:val="clear" w:color="auto" w:fill="auto"/>
            <w:noWrap/>
            <w:vAlign w:val="bottom"/>
          </w:tcPr>
          <w:p w14:paraId="6AA1C093" w14:textId="76C87F83" w:rsidR="007B7232" w:rsidRPr="003D1614" w:rsidRDefault="00420E29" w:rsidP="007B7232">
            <w:pPr>
              <w:suppressAutoHyphens/>
              <w:autoSpaceDN w:val="0"/>
              <w:jc w:val="center"/>
              <w:rPr>
                <w:rFonts w:ascii="Arial" w:eastAsia="Calibri" w:hAnsi="Arial" w:cs="Arial"/>
                <w:color w:val="000000"/>
                <w:sz w:val="16"/>
                <w:szCs w:val="16"/>
              </w:rPr>
            </w:pPr>
            <w:r>
              <w:rPr>
                <w:rFonts w:ascii="Arial" w:eastAsia="Calibri" w:hAnsi="Arial" w:cs="Arial"/>
                <w:color w:val="000000"/>
                <w:sz w:val="16"/>
                <w:szCs w:val="16"/>
              </w:rPr>
              <w:t>3,740</w:t>
            </w:r>
          </w:p>
        </w:tc>
        <w:tc>
          <w:tcPr>
            <w:tcW w:w="1155" w:type="dxa"/>
            <w:tcBorders>
              <w:top w:val="nil"/>
              <w:left w:val="nil"/>
              <w:bottom w:val="nil"/>
              <w:right w:val="nil"/>
            </w:tcBorders>
            <w:vAlign w:val="bottom"/>
          </w:tcPr>
          <w:p w14:paraId="5A65C8BA" w14:textId="36D87114" w:rsidR="007B7232" w:rsidRDefault="00420E29" w:rsidP="007B7232">
            <w:pPr>
              <w:suppressAutoHyphens/>
              <w:autoSpaceDN w:val="0"/>
              <w:jc w:val="right"/>
              <w:rPr>
                <w:rFonts w:ascii="Arial" w:eastAsia="Calibri" w:hAnsi="Arial" w:cs="Arial"/>
                <w:color w:val="000000"/>
                <w:sz w:val="16"/>
                <w:szCs w:val="16"/>
                <w:lang w:eastAsia="hr-HR"/>
              </w:rPr>
            </w:pPr>
            <w:r>
              <w:rPr>
                <w:rFonts w:ascii="Arial" w:eastAsia="Calibri" w:hAnsi="Arial" w:cs="Arial"/>
                <w:color w:val="000000"/>
                <w:sz w:val="16"/>
                <w:szCs w:val="16"/>
                <w:lang w:eastAsia="hr-HR"/>
              </w:rPr>
              <w:t>9.919</w:t>
            </w:r>
          </w:p>
        </w:tc>
        <w:tc>
          <w:tcPr>
            <w:tcW w:w="1155" w:type="dxa"/>
            <w:tcBorders>
              <w:top w:val="nil"/>
              <w:left w:val="nil"/>
              <w:bottom w:val="nil"/>
              <w:right w:val="nil"/>
            </w:tcBorders>
            <w:vAlign w:val="bottom"/>
          </w:tcPr>
          <w:p w14:paraId="0DD2750B" w14:textId="2876D89F" w:rsidR="007B7232" w:rsidRDefault="00420E29" w:rsidP="007B7232">
            <w:pPr>
              <w:suppressAutoHyphens/>
              <w:autoSpaceDN w:val="0"/>
              <w:jc w:val="right"/>
              <w:rPr>
                <w:rFonts w:ascii="Arial" w:eastAsia="Calibri" w:hAnsi="Arial" w:cs="Arial"/>
                <w:color w:val="000000"/>
                <w:sz w:val="16"/>
                <w:szCs w:val="16"/>
                <w:lang w:eastAsia="hr-HR"/>
              </w:rPr>
            </w:pPr>
            <w:r>
              <w:rPr>
                <w:rFonts w:ascii="Arial" w:eastAsia="Calibri" w:hAnsi="Arial" w:cs="Arial"/>
                <w:color w:val="000000"/>
                <w:sz w:val="16"/>
                <w:szCs w:val="16"/>
                <w:lang w:eastAsia="hr-HR"/>
              </w:rPr>
              <w:t>-</w:t>
            </w:r>
          </w:p>
        </w:tc>
        <w:tc>
          <w:tcPr>
            <w:tcW w:w="1155" w:type="dxa"/>
            <w:tcBorders>
              <w:top w:val="nil"/>
              <w:left w:val="nil"/>
              <w:bottom w:val="nil"/>
              <w:right w:val="nil"/>
            </w:tcBorders>
            <w:shd w:val="clear" w:color="auto" w:fill="auto"/>
            <w:vAlign w:val="bottom"/>
          </w:tcPr>
          <w:p w14:paraId="5DE0E8EE" w14:textId="6C242EBB" w:rsidR="007B7232" w:rsidRDefault="00420E29" w:rsidP="007B7232">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9.919</w:t>
            </w:r>
          </w:p>
        </w:tc>
        <w:tc>
          <w:tcPr>
            <w:tcW w:w="1155" w:type="dxa"/>
            <w:tcBorders>
              <w:top w:val="nil"/>
              <w:left w:val="nil"/>
              <w:bottom w:val="nil"/>
              <w:right w:val="nil"/>
            </w:tcBorders>
            <w:vAlign w:val="bottom"/>
          </w:tcPr>
          <w:p w14:paraId="1854ECAC" w14:textId="4321A548" w:rsidR="007B7232" w:rsidRDefault="00420E29" w:rsidP="007B7232">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w:t>
            </w:r>
          </w:p>
        </w:tc>
      </w:tr>
      <w:tr w:rsidR="007B7232" w:rsidRPr="003D1614" w14:paraId="665AE0F6" w14:textId="77777777" w:rsidTr="006C3A4D">
        <w:trPr>
          <w:trHeight w:val="229"/>
        </w:trPr>
        <w:tc>
          <w:tcPr>
            <w:tcW w:w="3911" w:type="dxa"/>
            <w:gridSpan w:val="2"/>
            <w:tcBorders>
              <w:top w:val="nil"/>
              <w:left w:val="nil"/>
              <w:bottom w:val="nil"/>
              <w:right w:val="nil"/>
            </w:tcBorders>
            <w:shd w:val="clear" w:color="auto" w:fill="auto"/>
            <w:noWrap/>
            <w:vAlign w:val="bottom"/>
            <w:hideMark/>
          </w:tcPr>
          <w:p w14:paraId="1BD489DE" w14:textId="4373F9EA" w:rsidR="007B7232" w:rsidRPr="003D1614" w:rsidRDefault="007B7232" w:rsidP="007B7232">
            <w:pPr>
              <w:suppressAutoHyphens/>
              <w:autoSpaceDN w:val="0"/>
              <w:rPr>
                <w:rFonts w:ascii="Arial" w:eastAsia="Calibri" w:hAnsi="Arial" w:cs="Arial"/>
                <w:color w:val="000000"/>
                <w:sz w:val="16"/>
                <w:szCs w:val="16"/>
              </w:rPr>
            </w:pPr>
            <w:r w:rsidRPr="003D1614">
              <w:rPr>
                <w:rFonts w:ascii="Arial" w:eastAsia="Calibri" w:hAnsi="Arial" w:cs="Arial"/>
                <w:color w:val="000000"/>
                <w:sz w:val="16"/>
                <w:szCs w:val="16"/>
              </w:rPr>
              <w:t>Trezorski zapisi</w:t>
            </w:r>
            <w:r>
              <w:rPr>
                <w:rFonts w:ascii="Arial" w:eastAsia="Calibri" w:hAnsi="Arial" w:cs="Arial"/>
                <w:color w:val="000000"/>
                <w:sz w:val="16"/>
                <w:szCs w:val="16"/>
              </w:rPr>
              <w:t xml:space="preserve"> do 182 </w:t>
            </w:r>
            <w:r w:rsidRPr="003D1614">
              <w:rPr>
                <w:rFonts w:ascii="Arial" w:eastAsia="Calibri" w:hAnsi="Arial" w:cs="Arial"/>
                <w:color w:val="000000"/>
                <w:sz w:val="16"/>
                <w:szCs w:val="16"/>
              </w:rPr>
              <w:t>dana</w:t>
            </w:r>
          </w:p>
        </w:tc>
        <w:tc>
          <w:tcPr>
            <w:tcW w:w="1129" w:type="dxa"/>
            <w:tcBorders>
              <w:top w:val="nil"/>
              <w:left w:val="nil"/>
              <w:bottom w:val="nil"/>
              <w:right w:val="nil"/>
            </w:tcBorders>
            <w:shd w:val="clear" w:color="auto" w:fill="auto"/>
            <w:noWrap/>
            <w:vAlign w:val="bottom"/>
            <w:hideMark/>
          </w:tcPr>
          <w:p w14:paraId="43B9CCEF" w14:textId="77777777" w:rsidR="007B7232" w:rsidRPr="003D1614" w:rsidRDefault="007B7232" w:rsidP="007B7232">
            <w:pPr>
              <w:suppressAutoHyphens/>
              <w:autoSpaceDN w:val="0"/>
              <w:jc w:val="right"/>
              <w:rPr>
                <w:rFonts w:ascii="Arial" w:eastAsia="Calibri" w:hAnsi="Arial" w:cs="Arial"/>
                <w:color w:val="000000"/>
                <w:sz w:val="16"/>
                <w:szCs w:val="16"/>
              </w:rPr>
            </w:pPr>
          </w:p>
        </w:tc>
        <w:tc>
          <w:tcPr>
            <w:tcW w:w="1196" w:type="dxa"/>
            <w:tcBorders>
              <w:top w:val="nil"/>
              <w:left w:val="nil"/>
              <w:bottom w:val="nil"/>
              <w:right w:val="nil"/>
            </w:tcBorders>
            <w:shd w:val="clear" w:color="auto" w:fill="auto"/>
            <w:noWrap/>
            <w:vAlign w:val="bottom"/>
          </w:tcPr>
          <w:p w14:paraId="49F7CB02" w14:textId="5EDF2923" w:rsidR="007B7232" w:rsidRPr="005273FB" w:rsidRDefault="007B7232" w:rsidP="007B7232">
            <w:pPr>
              <w:jc w:val="center"/>
              <w:rPr>
                <w:rFonts w:ascii="Arial" w:hAnsi="Arial" w:cs="Arial"/>
                <w:color w:val="000000"/>
                <w:sz w:val="16"/>
                <w:szCs w:val="16"/>
              </w:rPr>
            </w:pPr>
            <w:r>
              <w:rPr>
                <w:rFonts w:ascii="Arial" w:eastAsia="Calibri" w:hAnsi="Arial" w:cs="Arial"/>
                <w:color w:val="000000"/>
                <w:sz w:val="16"/>
                <w:szCs w:val="16"/>
              </w:rPr>
              <w:t>-</w:t>
            </w:r>
          </w:p>
        </w:tc>
        <w:tc>
          <w:tcPr>
            <w:tcW w:w="1155" w:type="dxa"/>
            <w:tcBorders>
              <w:top w:val="nil"/>
              <w:left w:val="nil"/>
              <w:bottom w:val="nil"/>
              <w:right w:val="nil"/>
            </w:tcBorders>
            <w:vAlign w:val="bottom"/>
          </w:tcPr>
          <w:p w14:paraId="4233F1EE" w14:textId="28301DFE" w:rsidR="007B7232" w:rsidRPr="003D1614" w:rsidRDefault="007B7232" w:rsidP="007B7232">
            <w:pPr>
              <w:suppressAutoHyphens/>
              <w:autoSpaceDN w:val="0"/>
              <w:jc w:val="right"/>
              <w:rPr>
                <w:rFonts w:ascii="Arial" w:eastAsia="Calibri" w:hAnsi="Arial" w:cs="Arial"/>
                <w:color w:val="000000"/>
                <w:sz w:val="16"/>
                <w:szCs w:val="16"/>
                <w:lang w:eastAsia="hr-HR"/>
              </w:rPr>
            </w:pPr>
            <w:r>
              <w:rPr>
                <w:rFonts w:ascii="Arial" w:eastAsia="Calibri" w:hAnsi="Arial" w:cs="Arial"/>
                <w:color w:val="000000"/>
                <w:sz w:val="16"/>
                <w:szCs w:val="16"/>
                <w:lang w:eastAsia="hr-HR"/>
              </w:rPr>
              <w:t>-</w:t>
            </w:r>
          </w:p>
        </w:tc>
        <w:tc>
          <w:tcPr>
            <w:tcW w:w="1155" w:type="dxa"/>
            <w:tcBorders>
              <w:top w:val="nil"/>
              <w:left w:val="nil"/>
              <w:bottom w:val="nil"/>
              <w:right w:val="nil"/>
            </w:tcBorders>
            <w:shd w:val="clear" w:color="auto" w:fill="auto"/>
            <w:vAlign w:val="bottom"/>
          </w:tcPr>
          <w:p w14:paraId="5DD50802" w14:textId="5E93FF42" w:rsidR="007B7232" w:rsidRPr="003D1614" w:rsidRDefault="007B7232" w:rsidP="007B7232">
            <w:pPr>
              <w:suppressAutoHyphens/>
              <w:autoSpaceDN w:val="0"/>
              <w:jc w:val="right"/>
              <w:rPr>
                <w:rFonts w:ascii="Arial" w:eastAsia="Calibri" w:hAnsi="Arial" w:cs="Arial"/>
                <w:color w:val="000000"/>
                <w:sz w:val="16"/>
                <w:szCs w:val="16"/>
                <w:lang w:eastAsia="hr-HR"/>
              </w:rPr>
            </w:pPr>
            <w:r>
              <w:rPr>
                <w:rFonts w:ascii="Arial" w:eastAsia="Calibri" w:hAnsi="Arial" w:cs="Arial"/>
                <w:color w:val="000000"/>
                <w:sz w:val="16"/>
                <w:szCs w:val="16"/>
                <w:lang w:eastAsia="hr-HR"/>
              </w:rPr>
              <w:t>4.976</w:t>
            </w:r>
          </w:p>
        </w:tc>
        <w:tc>
          <w:tcPr>
            <w:tcW w:w="1155" w:type="dxa"/>
            <w:tcBorders>
              <w:top w:val="nil"/>
              <w:left w:val="nil"/>
              <w:bottom w:val="nil"/>
              <w:right w:val="nil"/>
            </w:tcBorders>
            <w:shd w:val="clear" w:color="auto" w:fill="auto"/>
            <w:vAlign w:val="bottom"/>
          </w:tcPr>
          <w:p w14:paraId="50A118AE" w14:textId="58FB671F" w:rsidR="007B7232" w:rsidRPr="003D1614" w:rsidRDefault="007B7232" w:rsidP="007B7232">
            <w:pPr>
              <w:suppressAutoHyphens/>
              <w:autoSpaceDN w:val="0"/>
              <w:jc w:val="right"/>
              <w:rPr>
                <w:rFonts w:ascii="Arial" w:eastAsia="Calibri" w:hAnsi="Arial" w:cs="Arial"/>
                <w:color w:val="000000"/>
                <w:sz w:val="16"/>
                <w:szCs w:val="16"/>
                <w:lang w:eastAsia="hr-HR"/>
              </w:rPr>
            </w:pPr>
            <w:r>
              <w:rPr>
                <w:rFonts w:ascii="Arial" w:eastAsia="Calibri" w:hAnsi="Arial" w:cs="Arial"/>
                <w:color w:val="000000"/>
                <w:sz w:val="16"/>
                <w:szCs w:val="16"/>
                <w:lang w:eastAsia="hr-HR"/>
              </w:rPr>
              <w:t>-</w:t>
            </w:r>
          </w:p>
        </w:tc>
        <w:tc>
          <w:tcPr>
            <w:tcW w:w="1155" w:type="dxa"/>
            <w:tcBorders>
              <w:top w:val="nil"/>
              <w:left w:val="nil"/>
              <w:bottom w:val="nil"/>
              <w:right w:val="nil"/>
            </w:tcBorders>
            <w:shd w:val="clear" w:color="auto" w:fill="auto"/>
            <w:vAlign w:val="bottom"/>
          </w:tcPr>
          <w:p w14:paraId="4F3CB0E3" w14:textId="5BE7DEB9" w:rsidR="007B7232" w:rsidRPr="003D1614" w:rsidRDefault="007B7232" w:rsidP="007B7232">
            <w:pPr>
              <w:suppressAutoHyphens/>
              <w:autoSpaceDN w:val="0"/>
              <w:jc w:val="right"/>
              <w:rPr>
                <w:rFonts w:ascii="Arial" w:eastAsia="Calibri" w:hAnsi="Arial" w:cs="Arial"/>
                <w:color w:val="000000"/>
                <w:sz w:val="16"/>
                <w:szCs w:val="16"/>
                <w:lang w:eastAsia="hr-HR"/>
              </w:rPr>
            </w:pPr>
            <w:r>
              <w:rPr>
                <w:rFonts w:ascii="Arial" w:eastAsia="Calibri" w:hAnsi="Arial" w:cs="Arial"/>
                <w:color w:val="000000"/>
                <w:sz w:val="16"/>
                <w:szCs w:val="16"/>
                <w:lang w:eastAsia="hr-HR"/>
              </w:rPr>
              <w:t>4.976</w:t>
            </w:r>
          </w:p>
        </w:tc>
      </w:tr>
      <w:tr w:rsidR="007B7232" w:rsidRPr="003D1614" w14:paraId="4F52AEA8" w14:textId="77777777" w:rsidTr="006C3A4D">
        <w:trPr>
          <w:trHeight w:val="229"/>
        </w:trPr>
        <w:tc>
          <w:tcPr>
            <w:tcW w:w="3911" w:type="dxa"/>
            <w:gridSpan w:val="2"/>
            <w:tcBorders>
              <w:top w:val="nil"/>
              <w:left w:val="nil"/>
              <w:right w:val="nil"/>
            </w:tcBorders>
            <w:shd w:val="clear" w:color="auto" w:fill="auto"/>
            <w:noWrap/>
            <w:vAlign w:val="bottom"/>
          </w:tcPr>
          <w:p w14:paraId="477517CE" w14:textId="74125B0E" w:rsidR="007B7232" w:rsidRPr="003D1614" w:rsidRDefault="007B7232" w:rsidP="007B7232">
            <w:pPr>
              <w:suppressAutoHyphens/>
              <w:autoSpaceDN w:val="0"/>
              <w:rPr>
                <w:rFonts w:ascii="Arial" w:eastAsia="Calibri" w:hAnsi="Arial" w:cs="Arial"/>
                <w:color w:val="000000"/>
                <w:sz w:val="16"/>
                <w:szCs w:val="16"/>
              </w:rPr>
            </w:pPr>
            <w:r w:rsidRPr="003D1614">
              <w:rPr>
                <w:rFonts w:ascii="Arial" w:eastAsia="Calibri" w:hAnsi="Arial" w:cs="Arial"/>
                <w:color w:val="000000"/>
                <w:sz w:val="16"/>
                <w:szCs w:val="16"/>
              </w:rPr>
              <w:t>Trezorski zapisi do 364 dana</w:t>
            </w:r>
          </w:p>
        </w:tc>
        <w:tc>
          <w:tcPr>
            <w:tcW w:w="1129" w:type="dxa"/>
            <w:tcBorders>
              <w:top w:val="nil"/>
              <w:left w:val="nil"/>
              <w:right w:val="nil"/>
            </w:tcBorders>
            <w:shd w:val="clear" w:color="auto" w:fill="auto"/>
            <w:noWrap/>
            <w:vAlign w:val="bottom"/>
          </w:tcPr>
          <w:p w14:paraId="721F1CE3" w14:textId="77777777" w:rsidR="007B7232" w:rsidRPr="003D1614" w:rsidRDefault="007B7232" w:rsidP="007B7232">
            <w:pPr>
              <w:suppressAutoHyphens/>
              <w:autoSpaceDN w:val="0"/>
              <w:rPr>
                <w:rFonts w:ascii="Arial" w:eastAsia="Calibri" w:hAnsi="Arial" w:cs="Arial"/>
                <w:color w:val="000000"/>
                <w:sz w:val="16"/>
                <w:szCs w:val="16"/>
              </w:rPr>
            </w:pPr>
          </w:p>
        </w:tc>
        <w:tc>
          <w:tcPr>
            <w:tcW w:w="1196" w:type="dxa"/>
            <w:tcBorders>
              <w:top w:val="nil"/>
              <w:left w:val="nil"/>
              <w:right w:val="nil"/>
            </w:tcBorders>
            <w:shd w:val="clear" w:color="auto" w:fill="auto"/>
            <w:noWrap/>
            <w:vAlign w:val="bottom"/>
          </w:tcPr>
          <w:p w14:paraId="2EA4359D" w14:textId="20750FCF" w:rsidR="007B7232" w:rsidRPr="005273FB" w:rsidRDefault="000E6A82" w:rsidP="007B7232">
            <w:pPr>
              <w:jc w:val="center"/>
              <w:rPr>
                <w:rFonts w:ascii="Arial" w:hAnsi="Arial" w:cs="Arial"/>
                <w:color w:val="000000"/>
                <w:sz w:val="16"/>
                <w:szCs w:val="16"/>
              </w:rPr>
            </w:pPr>
            <w:r>
              <w:rPr>
                <w:rFonts w:ascii="Arial" w:eastAsia="Calibri" w:hAnsi="Arial" w:cs="Arial"/>
                <w:color w:val="000000"/>
                <w:sz w:val="16"/>
                <w:szCs w:val="16"/>
              </w:rPr>
              <w:t>3,825</w:t>
            </w:r>
          </w:p>
        </w:tc>
        <w:tc>
          <w:tcPr>
            <w:tcW w:w="1155" w:type="dxa"/>
            <w:tcBorders>
              <w:top w:val="nil"/>
              <w:left w:val="nil"/>
              <w:right w:val="nil"/>
            </w:tcBorders>
            <w:shd w:val="clear" w:color="auto" w:fill="auto"/>
            <w:vAlign w:val="bottom"/>
          </w:tcPr>
          <w:p w14:paraId="6CA99954" w14:textId="6A1C6D9D" w:rsidR="007B7232" w:rsidRPr="003D1614" w:rsidRDefault="000E6A82" w:rsidP="007B7232">
            <w:pPr>
              <w:suppressAutoHyphens/>
              <w:autoSpaceDN w:val="0"/>
              <w:jc w:val="right"/>
              <w:rPr>
                <w:rFonts w:ascii="Arial" w:eastAsia="Calibri" w:hAnsi="Arial" w:cs="Arial"/>
                <w:color w:val="000000"/>
                <w:sz w:val="16"/>
                <w:szCs w:val="16"/>
                <w:lang w:eastAsia="hr-HR"/>
              </w:rPr>
            </w:pPr>
            <w:r>
              <w:rPr>
                <w:rFonts w:ascii="Arial" w:eastAsia="Calibri" w:hAnsi="Arial" w:cs="Arial"/>
                <w:color w:val="000000"/>
                <w:sz w:val="16"/>
                <w:szCs w:val="16"/>
                <w:lang w:eastAsia="hr-HR"/>
              </w:rPr>
              <w:t>9.946</w:t>
            </w:r>
          </w:p>
        </w:tc>
        <w:tc>
          <w:tcPr>
            <w:tcW w:w="1155" w:type="dxa"/>
            <w:tcBorders>
              <w:top w:val="nil"/>
              <w:left w:val="nil"/>
              <w:right w:val="nil"/>
            </w:tcBorders>
            <w:vAlign w:val="bottom"/>
          </w:tcPr>
          <w:p w14:paraId="416C2ECA" w14:textId="6EB473B2" w:rsidR="007B7232" w:rsidRPr="003D1614" w:rsidRDefault="007B7232" w:rsidP="007B7232">
            <w:pPr>
              <w:suppressAutoHyphens/>
              <w:autoSpaceDN w:val="0"/>
              <w:jc w:val="right"/>
              <w:rPr>
                <w:rFonts w:ascii="Arial" w:eastAsia="Calibri" w:hAnsi="Arial" w:cs="Arial"/>
                <w:color w:val="000000"/>
                <w:sz w:val="16"/>
                <w:szCs w:val="16"/>
                <w:lang w:eastAsia="hr-HR"/>
              </w:rPr>
            </w:pPr>
            <w:r>
              <w:rPr>
                <w:rFonts w:ascii="Arial" w:eastAsia="Calibri" w:hAnsi="Arial" w:cs="Arial"/>
                <w:color w:val="000000"/>
                <w:sz w:val="16"/>
                <w:szCs w:val="16"/>
                <w:lang w:eastAsia="hr-HR"/>
              </w:rPr>
              <w:t>33.474</w:t>
            </w:r>
          </w:p>
        </w:tc>
        <w:tc>
          <w:tcPr>
            <w:tcW w:w="1155" w:type="dxa"/>
            <w:tcBorders>
              <w:top w:val="nil"/>
              <w:left w:val="nil"/>
              <w:right w:val="nil"/>
            </w:tcBorders>
            <w:vAlign w:val="bottom"/>
          </w:tcPr>
          <w:p w14:paraId="6E4BDE36" w14:textId="3181ABD4" w:rsidR="007B7232" w:rsidRPr="007D277A" w:rsidRDefault="000E6A82" w:rsidP="007B7232">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9.946</w:t>
            </w:r>
          </w:p>
        </w:tc>
        <w:tc>
          <w:tcPr>
            <w:tcW w:w="1155" w:type="dxa"/>
            <w:tcBorders>
              <w:top w:val="nil"/>
              <w:left w:val="nil"/>
              <w:right w:val="nil"/>
            </w:tcBorders>
            <w:vAlign w:val="bottom"/>
          </w:tcPr>
          <w:p w14:paraId="6F98ADDB" w14:textId="5B2F737F" w:rsidR="007B7232" w:rsidRPr="007D277A" w:rsidRDefault="007B7232" w:rsidP="007B7232">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33.474</w:t>
            </w:r>
          </w:p>
        </w:tc>
      </w:tr>
      <w:tr w:rsidR="007B7232" w:rsidRPr="003D1614" w14:paraId="3385CC48" w14:textId="77777777" w:rsidTr="002C73F0">
        <w:trPr>
          <w:trHeight w:val="229"/>
        </w:trPr>
        <w:tc>
          <w:tcPr>
            <w:tcW w:w="2692" w:type="dxa"/>
            <w:tcBorders>
              <w:left w:val="nil"/>
              <w:bottom w:val="single" w:sz="4" w:space="0" w:color="auto"/>
              <w:right w:val="nil"/>
            </w:tcBorders>
            <w:shd w:val="clear" w:color="auto" w:fill="auto"/>
            <w:noWrap/>
            <w:vAlign w:val="bottom"/>
            <w:hideMark/>
          </w:tcPr>
          <w:p w14:paraId="320345DD" w14:textId="77777777" w:rsidR="007B7232" w:rsidRPr="003D1614" w:rsidRDefault="007B7232" w:rsidP="007B7232">
            <w:pPr>
              <w:suppressAutoHyphens/>
              <w:autoSpaceDN w:val="0"/>
              <w:rPr>
                <w:rFonts w:ascii="Arial" w:eastAsia="Calibri" w:hAnsi="Arial" w:cs="Arial"/>
                <w:color w:val="000000"/>
                <w:sz w:val="16"/>
                <w:szCs w:val="16"/>
              </w:rPr>
            </w:pPr>
            <w:r w:rsidRPr="003D1614">
              <w:rPr>
                <w:rFonts w:ascii="Arial" w:eastAsia="Calibri" w:hAnsi="Arial" w:cs="Arial"/>
                <w:color w:val="000000"/>
                <w:sz w:val="16"/>
                <w:szCs w:val="16"/>
              </w:rPr>
              <w:t xml:space="preserve">Obračunata kamata </w:t>
            </w:r>
          </w:p>
        </w:tc>
        <w:tc>
          <w:tcPr>
            <w:tcW w:w="1219" w:type="dxa"/>
            <w:tcBorders>
              <w:left w:val="nil"/>
              <w:bottom w:val="single" w:sz="4" w:space="0" w:color="auto"/>
              <w:right w:val="nil"/>
            </w:tcBorders>
            <w:shd w:val="clear" w:color="auto" w:fill="auto"/>
            <w:noWrap/>
            <w:vAlign w:val="bottom"/>
            <w:hideMark/>
          </w:tcPr>
          <w:p w14:paraId="429BF92A" w14:textId="77777777" w:rsidR="007B7232" w:rsidRPr="003D1614" w:rsidRDefault="007B7232" w:rsidP="007B7232">
            <w:pPr>
              <w:suppressAutoHyphens/>
              <w:autoSpaceDN w:val="0"/>
              <w:rPr>
                <w:rFonts w:ascii="Arial" w:eastAsia="Calibri" w:hAnsi="Arial" w:cs="Arial"/>
                <w:color w:val="000000"/>
                <w:sz w:val="16"/>
                <w:szCs w:val="16"/>
              </w:rPr>
            </w:pPr>
          </w:p>
        </w:tc>
        <w:tc>
          <w:tcPr>
            <w:tcW w:w="1129" w:type="dxa"/>
            <w:tcBorders>
              <w:left w:val="nil"/>
              <w:bottom w:val="single" w:sz="4" w:space="0" w:color="auto"/>
              <w:right w:val="nil"/>
            </w:tcBorders>
            <w:shd w:val="clear" w:color="auto" w:fill="auto"/>
            <w:noWrap/>
            <w:vAlign w:val="bottom"/>
            <w:hideMark/>
          </w:tcPr>
          <w:p w14:paraId="74B29DD7" w14:textId="77777777" w:rsidR="007B7232" w:rsidRPr="003D1614" w:rsidRDefault="007B7232" w:rsidP="007B7232">
            <w:pPr>
              <w:suppressAutoHyphens/>
              <w:autoSpaceDN w:val="0"/>
              <w:rPr>
                <w:rFonts w:ascii="Arial" w:eastAsia="Calibri" w:hAnsi="Arial" w:cs="Arial"/>
                <w:color w:val="000000"/>
                <w:sz w:val="16"/>
                <w:szCs w:val="16"/>
              </w:rPr>
            </w:pPr>
          </w:p>
        </w:tc>
        <w:tc>
          <w:tcPr>
            <w:tcW w:w="1196" w:type="dxa"/>
            <w:tcBorders>
              <w:left w:val="nil"/>
              <w:bottom w:val="single" w:sz="4" w:space="0" w:color="auto"/>
              <w:right w:val="nil"/>
            </w:tcBorders>
            <w:shd w:val="clear" w:color="auto" w:fill="auto"/>
            <w:noWrap/>
            <w:vAlign w:val="bottom"/>
            <w:hideMark/>
          </w:tcPr>
          <w:p w14:paraId="035E3C4B" w14:textId="77777777" w:rsidR="007B7232" w:rsidRPr="003D1614" w:rsidRDefault="007B7232" w:rsidP="007B7232">
            <w:pPr>
              <w:suppressAutoHyphens/>
              <w:autoSpaceDN w:val="0"/>
              <w:rPr>
                <w:rFonts w:ascii="Arial" w:eastAsia="Calibri" w:hAnsi="Arial" w:cs="Arial"/>
                <w:color w:val="000000"/>
                <w:sz w:val="16"/>
                <w:szCs w:val="16"/>
              </w:rPr>
            </w:pPr>
          </w:p>
        </w:tc>
        <w:tc>
          <w:tcPr>
            <w:tcW w:w="1155" w:type="dxa"/>
            <w:tcBorders>
              <w:left w:val="nil"/>
              <w:bottom w:val="single" w:sz="4" w:space="0" w:color="auto"/>
              <w:right w:val="nil"/>
            </w:tcBorders>
            <w:vAlign w:val="bottom"/>
          </w:tcPr>
          <w:p w14:paraId="513BAE09" w14:textId="3C3E5C14" w:rsidR="007B7232" w:rsidRPr="003D1614" w:rsidRDefault="009969FB" w:rsidP="007B7232">
            <w:pPr>
              <w:suppressAutoHyphens/>
              <w:autoSpaceDN w:val="0"/>
              <w:jc w:val="right"/>
              <w:rPr>
                <w:rFonts w:ascii="Arial" w:eastAsia="Calibri" w:hAnsi="Arial" w:cs="Arial"/>
                <w:color w:val="000000"/>
                <w:sz w:val="16"/>
                <w:szCs w:val="16"/>
                <w:lang w:eastAsia="hr-HR"/>
              </w:rPr>
            </w:pPr>
            <w:r>
              <w:rPr>
                <w:rFonts w:ascii="Arial" w:eastAsia="Calibri" w:hAnsi="Arial" w:cs="Arial"/>
                <w:color w:val="000000"/>
                <w:sz w:val="16"/>
                <w:szCs w:val="16"/>
                <w:lang w:eastAsia="hr-HR"/>
              </w:rPr>
              <w:t>2.495</w:t>
            </w:r>
          </w:p>
        </w:tc>
        <w:tc>
          <w:tcPr>
            <w:tcW w:w="1155" w:type="dxa"/>
            <w:tcBorders>
              <w:left w:val="nil"/>
              <w:bottom w:val="single" w:sz="4" w:space="0" w:color="auto"/>
              <w:right w:val="nil"/>
            </w:tcBorders>
            <w:vAlign w:val="bottom"/>
          </w:tcPr>
          <w:p w14:paraId="79907039" w14:textId="47ECFF5E" w:rsidR="007B7232" w:rsidRPr="003D1614" w:rsidRDefault="007B7232" w:rsidP="007B7232">
            <w:pPr>
              <w:suppressAutoHyphens/>
              <w:autoSpaceDN w:val="0"/>
              <w:jc w:val="right"/>
              <w:rPr>
                <w:rFonts w:ascii="Arial" w:eastAsia="Calibri" w:hAnsi="Arial" w:cs="Arial"/>
                <w:color w:val="000000"/>
                <w:sz w:val="16"/>
                <w:szCs w:val="16"/>
                <w:lang w:eastAsia="hr-HR"/>
              </w:rPr>
            </w:pPr>
            <w:r>
              <w:rPr>
                <w:rFonts w:ascii="Arial" w:eastAsia="Calibri" w:hAnsi="Arial" w:cs="Arial"/>
                <w:color w:val="000000"/>
                <w:sz w:val="16"/>
                <w:szCs w:val="16"/>
                <w:lang w:eastAsia="hr-HR"/>
              </w:rPr>
              <w:t>3.177</w:t>
            </w:r>
          </w:p>
        </w:tc>
        <w:tc>
          <w:tcPr>
            <w:tcW w:w="1155" w:type="dxa"/>
            <w:tcBorders>
              <w:left w:val="nil"/>
              <w:bottom w:val="single" w:sz="4" w:space="0" w:color="auto"/>
              <w:right w:val="nil"/>
            </w:tcBorders>
            <w:shd w:val="clear" w:color="auto" w:fill="auto"/>
            <w:vAlign w:val="bottom"/>
          </w:tcPr>
          <w:p w14:paraId="352E3C8F" w14:textId="0528FF33" w:rsidR="007B7232" w:rsidRPr="003D1614" w:rsidRDefault="009969FB" w:rsidP="007B7232">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2.458</w:t>
            </w:r>
          </w:p>
        </w:tc>
        <w:tc>
          <w:tcPr>
            <w:tcW w:w="1155" w:type="dxa"/>
            <w:tcBorders>
              <w:left w:val="nil"/>
              <w:bottom w:val="single" w:sz="4" w:space="0" w:color="auto"/>
              <w:right w:val="nil"/>
            </w:tcBorders>
            <w:vAlign w:val="bottom"/>
          </w:tcPr>
          <w:p w14:paraId="49D60B8C" w14:textId="65CDB5FC" w:rsidR="007B7232" w:rsidRPr="003D1614" w:rsidRDefault="007B7232" w:rsidP="007B7232">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3.121</w:t>
            </w:r>
          </w:p>
        </w:tc>
      </w:tr>
      <w:tr w:rsidR="007B7232" w:rsidRPr="003D1614" w14:paraId="281CC7E3" w14:textId="77777777" w:rsidTr="002C73F0">
        <w:trPr>
          <w:trHeight w:val="245"/>
        </w:trPr>
        <w:tc>
          <w:tcPr>
            <w:tcW w:w="2692" w:type="dxa"/>
            <w:tcBorders>
              <w:top w:val="single" w:sz="4" w:space="0" w:color="auto"/>
              <w:left w:val="nil"/>
              <w:bottom w:val="single" w:sz="12" w:space="0" w:color="auto"/>
              <w:right w:val="nil"/>
            </w:tcBorders>
            <w:shd w:val="clear" w:color="auto" w:fill="auto"/>
            <w:noWrap/>
            <w:vAlign w:val="bottom"/>
            <w:hideMark/>
          </w:tcPr>
          <w:p w14:paraId="2EFAB881" w14:textId="77777777" w:rsidR="007B7232" w:rsidRPr="003D1614" w:rsidRDefault="007B7232" w:rsidP="007B7232">
            <w:pPr>
              <w:suppressAutoHyphens/>
              <w:autoSpaceDN w:val="0"/>
              <w:jc w:val="both"/>
              <w:rPr>
                <w:rFonts w:ascii="Arial" w:eastAsia="Calibri" w:hAnsi="Arial" w:cs="Arial"/>
                <w:b/>
                <w:bCs/>
                <w:color w:val="000000"/>
                <w:sz w:val="16"/>
                <w:szCs w:val="16"/>
              </w:rPr>
            </w:pPr>
            <w:r w:rsidRPr="003D1614">
              <w:rPr>
                <w:rFonts w:ascii="Arial" w:eastAsia="Calibri" w:hAnsi="Arial" w:cs="Arial"/>
                <w:b/>
                <w:bCs/>
                <w:color w:val="000000"/>
                <w:sz w:val="16"/>
                <w:szCs w:val="16"/>
              </w:rPr>
              <w:t> </w:t>
            </w:r>
          </w:p>
        </w:tc>
        <w:tc>
          <w:tcPr>
            <w:tcW w:w="1219" w:type="dxa"/>
            <w:tcBorders>
              <w:top w:val="single" w:sz="4" w:space="0" w:color="auto"/>
              <w:left w:val="nil"/>
              <w:bottom w:val="single" w:sz="12" w:space="0" w:color="auto"/>
              <w:right w:val="nil"/>
            </w:tcBorders>
            <w:shd w:val="clear" w:color="auto" w:fill="auto"/>
            <w:noWrap/>
            <w:vAlign w:val="bottom"/>
            <w:hideMark/>
          </w:tcPr>
          <w:p w14:paraId="6384F83D" w14:textId="77777777" w:rsidR="007B7232" w:rsidRPr="003D1614" w:rsidRDefault="007B7232" w:rsidP="007B7232">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 </w:t>
            </w:r>
          </w:p>
        </w:tc>
        <w:tc>
          <w:tcPr>
            <w:tcW w:w="1129" w:type="dxa"/>
            <w:tcBorders>
              <w:top w:val="single" w:sz="4" w:space="0" w:color="auto"/>
              <w:left w:val="nil"/>
              <w:bottom w:val="single" w:sz="12" w:space="0" w:color="auto"/>
              <w:right w:val="nil"/>
            </w:tcBorders>
            <w:shd w:val="clear" w:color="auto" w:fill="auto"/>
            <w:noWrap/>
            <w:vAlign w:val="bottom"/>
            <w:hideMark/>
          </w:tcPr>
          <w:p w14:paraId="7F343205" w14:textId="77777777" w:rsidR="007B7232" w:rsidRPr="003D1614" w:rsidRDefault="007B7232" w:rsidP="007B7232">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 </w:t>
            </w:r>
          </w:p>
        </w:tc>
        <w:tc>
          <w:tcPr>
            <w:tcW w:w="1196" w:type="dxa"/>
            <w:tcBorders>
              <w:top w:val="single" w:sz="4" w:space="0" w:color="auto"/>
              <w:left w:val="nil"/>
              <w:bottom w:val="single" w:sz="12" w:space="0" w:color="auto"/>
              <w:right w:val="nil"/>
            </w:tcBorders>
            <w:shd w:val="clear" w:color="auto" w:fill="auto"/>
            <w:noWrap/>
            <w:vAlign w:val="bottom"/>
            <w:hideMark/>
          </w:tcPr>
          <w:p w14:paraId="106FDF4F" w14:textId="77777777" w:rsidR="007B7232" w:rsidRPr="003D1614" w:rsidRDefault="007B7232" w:rsidP="007B7232">
            <w:pPr>
              <w:suppressAutoHyphens/>
              <w:autoSpaceDN w:val="0"/>
              <w:jc w:val="both"/>
              <w:rPr>
                <w:rFonts w:ascii="Arial" w:eastAsia="Calibri" w:hAnsi="Arial" w:cs="Arial"/>
                <w:color w:val="000000"/>
                <w:sz w:val="16"/>
                <w:szCs w:val="16"/>
              </w:rPr>
            </w:pPr>
            <w:r w:rsidRPr="003D1614">
              <w:rPr>
                <w:rFonts w:ascii="Arial" w:eastAsia="Calibri" w:hAnsi="Arial" w:cs="Arial"/>
                <w:color w:val="000000"/>
                <w:sz w:val="16"/>
                <w:szCs w:val="16"/>
              </w:rPr>
              <w:t> </w:t>
            </w:r>
          </w:p>
        </w:tc>
        <w:tc>
          <w:tcPr>
            <w:tcW w:w="1155" w:type="dxa"/>
            <w:tcBorders>
              <w:top w:val="single" w:sz="4" w:space="0" w:color="auto"/>
              <w:left w:val="nil"/>
              <w:bottom w:val="single" w:sz="12" w:space="0" w:color="auto"/>
              <w:right w:val="nil"/>
            </w:tcBorders>
            <w:vAlign w:val="bottom"/>
          </w:tcPr>
          <w:p w14:paraId="2ED685FC" w14:textId="70DDDF5B" w:rsidR="007B7232" w:rsidRPr="003D1614" w:rsidRDefault="009969FB" w:rsidP="007B7232">
            <w:pPr>
              <w:suppressAutoHyphens/>
              <w:autoSpaceDN w:val="0"/>
              <w:jc w:val="right"/>
              <w:rPr>
                <w:rFonts w:ascii="Arial" w:eastAsia="Calibri" w:hAnsi="Arial" w:cs="Arial"/>
                <w:b/>
                <w:bCs/>
                <w:color w:val="000000"/>
                <w:sz w:val="16"/>
                <w:szCs w:val="16"/>
              </w:rPr>
            </w:pPr>
            <w:r>
              <w:rPr>
                <w:rFonts w:ascii="Arial" w:eastAsia="Calibri" w:hAnsi="Arial" w:cs="Arial"/>
                <w:b/>
                <w:bCs/>
                <w:color w:val="000000"/>
                <w:sz w:val="16"/>
                <w:szCs w:val="16"/>
              </w:rPr>
              <w:t>244.196</w:t>
            </w:r>
          </w:p>
        </w:tc>
        <w:tc>
          <w:tcPr>
            <w:tcW w:w="1155" w:type="dxa"/>
            <w:tcBorders>
              <w:top w:val="single" w:sz="4" w:space="0" w:color="auto"/>
              <w:left w:val="nil"/>
              <w:bottom w:val="single" w:sz="12" w:space="0" w:color="auto"/>
              <w:right w:val="nil"/>
            </w:tcBorders>
            <w:vAlign w:val="bottom"/>
          </w:tcPr>
          <w:p w14:paraId="76DED56F" w14:textId="6A0D94B5" w:rsidR="007B7232" w:rsidRPr="003D1614" w:rsidRDefault="007B7232" w:rsidP="007B7232">
            <w:pPr>
              <w:suppressAutoHyphens/>
              <w:autoSpaceDN w:val="0"/>
              <w:jc w:val="right"/>
              <w:rPr>
                <w:rFonts w:ascii="Arial" w:eastAsia="Calibri" w:hAnsi="Arial" w:cs="Arial"/>
                <w:b/>
                <w:bCs/>
                <w:color w:val="000000"/>
                <w:sz w:val="16"/>
                <w:szCs w:val="16"/>
              </w:rPr>
            </w:pPr>
            <w:r w:rsidRPr="00771DD0">
              <w:rPr>
                <w:rFonts w:ascii="Arial" w:eastAsia="Calibri" w:hAnsi="Arial" w:cs="Arial"/>
                <w:b/>
                <w:bCs/>
                <w:color w:val="000000"/>
                <w:sz w:val="16"/>
                <w:szCs w:val="16"/>
              </w:rPr>
              <w:t>227.156</w:t>
            </w:r>
          </w:p>
        </w:tc>
        <w:tc>
          <w:tcPr>
            <w:tcW w:w="1155" w:type="dxa"/>
            <w:tcBorders>
              <w:top w:val="single" w:sz="4" w:space="0" w:color="auto"/>
              <w:left w:val="nil"/>
              <w:bottom w:val="single" w:sz="12" w:space="0" w:color="auto"/>
              <w:right w:val="nil"/>
            </w:tcBorders>
            <w:shd w:val="clear" w:color="auto" w:fill="auto"/>
            <w:vAlign w:val="bottom"/>
          </w:tcPr>
          <w:p w14:paraId="5DAEE8B3" w14:textId="0B6DF886" w:rsidR="007B7232" w:rsidRPr="003D1614" w:rsidRDefault="00523DFD" w:rsidP="007B7232">
            <w:pPr>
              <w:suppressAutoHyphens/>
              <w:autoSpaceDN w:val="0"/>
              <w:jc w:val="right"/>
              <w:rPr>
                <w:rFonts w:ascii="Arial" w:eastAsia="Calibri" w:hAnsi="Arial" w:cs="Arial"/>
                <w:b/>
                <w:bCs/>
                <w:color w:val="000000"/>
                <w:sz w:val="16"/>
                <w:szCs w:val="16"/>
              </w:rPr>
            </w:pPr>
            <w:r>
              <w:rPr>
                <w:rFonts w:ascii="Arial" w:eastAsia="Calibri" w:hAnsi="Arial" w:cs="Arial"/>
                <w:b/>
                <w:bCs/>
                <w:color w:val="000000"/>
                <w:sz w:val="16"/>
                <w:szCs w:val="16"/>
              </w:rPr>
              <w:t>238.487</w:t>
            </w:r>
          </w:p>
        </w:tc>
        <w:tc>
          <w:tcPr>
            <w:tcW w:w="1155" w:type="dxa"/>
            <w:tcBorders>
              <w:top w:val="single" w:sz="4" w:space="0" w:color="auto"/>
              <w:left w:val="nil"/>
              <w:bottom w:val="single" w:sz="12" w:space="0" w:color="auto"/>
              <w:right w:val="nil"/>
            </w:tcBorders>
            <w:vAlign w:val="bottom"/>
          </w:tcPr>
          <w:p w14:paraId="1A221217" w14:textId="35CA91B7" w:rsidR="007B7232" w:rsidRPr="003D1614" w:rsidRDefault="007B7232" w:rsidP="007B7232">
            <w:pPr>
              <w:suppressAutoHyphens/>
              <w:autoSpaceDN w:val="0"/>
              <w:jc w:val="right"/>
              <w:rPr>
                <w:rFonts w:ascii="Arial" w:eastAsia="Calibri" w:hAnsi="Arial" w:cs="Arial"/>
                <w:b/>
                <w:bCs/>
                <w:color w:val="000000"/>
                <w:sz w:val="16"/>
                <w:szCs w:val="16"/>
              </w:rPr>
            </w:pPr>
            <w:r>
              <w:rPr>
                <w:rFonts w:ascii="Arial" w:eastAsia="Calibri" w:hAnsi="Arial" w:cs="Arial"/>
                <w:b/>
                <w:bCs/>
                <w:color w:val="000000"/>
                <w:sz w:val="16"/>
                <w:szCs w:val="16"/>
              </w:rPr>
              <w:t>220.815</w:t>
            </w:r>
          </w:p>
        </w:tc>
      </w:tr>
      <w:tr w:rsidR="007B7232" w:rsidRPr="003D1614" w14:paraId="14328C99" w14:textId="77777777" w:rsidTr="002C73F0">
        <w:trPr>
          <w:trHeight w:hRule="exact" w:val="170"/>
        </w:trPr>
        <w:tc>
          <w:tcPr>
            <w:tcW w:w="2692" w:type="dxa"/>
            <w:tcBorders>
              <w:top w:val="single" w:sz="12" w:space="0" w:color="auto"/>
              <w:left w:val="nil"/>
              <w:right w:val="nil"/>
            </w:tcBorders>
            <w:shd w:val="clear" w:color="auto" w:fill="auto"/>
            <w:noWrap/>
            <w:vAlign w:val="bottom"/>
          </w:tcPr>
          <w:p w14:paraId="732D0689" w14:textId="77777777" w:rsidR="007B7232" w:rsidRPr="003D1614" w:rsidRDefault="007B7232" w:rsidP="007B7232">
            <w:pPr>
              <w:suppressAutoHyphens/>
              <w:autoSpaceDN w:val="0"/>
              <w:jc w:val="both"/>
              <w:rPr>
                <w:rFonts w:ascii="Arial" w:eastAsia="Calibri" w:hAnsi="Arial" w:cs="Arial"/>
                <w:b/>
                <w:bCs/>
                <w:color w:val="000000"/>
                <w:sz w:val="16"/>
                <w:szCs w:val="16"/>
              </w:rPr>
            </w:pPr>
          </w:p>
        </w:tc>
        <w:tc>
          <w:tcPr>
            <w:tcW w:w="1219" w:type="dxa"/>
            <w:tcBorders>
              <w:top w:val="single" w:sz="12" w:space="0" w:color="auto"/>
              <w:left w:val="nil"/>
              <w:right w:val="nil"/>
            </w:tcBorders>
            <w:shd w:val="clear" w:color="auto" w:fill="auto"/>
            <w:noWrap/>
            <w:vAlign w:val="bottom"/>
          </w:tcPr>
          <w:p w14:paraId="2160A304" w14:textId="77777777" w:rsidR="007B7232" w:rsidRPr="003D1614" w:rsidRDefault="007B7232" w:rsidP="007B7232">
            <w:pPr>
              <w:suppressAutoHyphens/>
              <w:autoSpaceDN w:val="0"/>
              <w:jc w:val="right"/>
              <w:rPr>
                <w:rFonts w:ascii="Arial" w:eastAsia="Calibri" w:hAnsi="Arial" w:cs="Arial"/>
                <w:color w:val="000000"/>
                <w:sz w:val="16"/>
                <w:szCs w:val="16"/>
              </w:rPr>
            </w:pPr>
          </w:p>
        </w:tc>
        <w:tc>
          <w:tcPr>
            <w:tcW w:w="1129" w:type="dxa"/>
            <w:tcBorders>
              <w:top w:val="single" w:sz="12" w:space="0" w:color="auto"/>
              <w:left w:val="nil"/>
              <w:right w:val="nil"/>
            </w:tcBorders>
            <w:shd w:val="clear" w:color="auto" w:fill="auto"/>
            <w:noWrap/>
            <w:vAlign w:val="bottom"/>
          </w:tcPr>
          <w:p w14:paraId="135AA400" w14:textId="77777777" w:rsidR="007B7232" w:rsidRPr="003D1614" w:rsidRDefault="007B7232" w:rsidP="007B7232">
            <w:pPr>
              <w:suppressAutoHyphens/>
              <w:autoSpaceDN w:val="0"/>
              <w:jc w:val="right"/>
              <w:rPr>
                <w:rFonts w:ascii="Arial" w:eastAsia="Calibri" w:hAnsi="Arial" w:cs="Arial"/>
                <w:color w:val="000000"/>
                <w:sz w:val="16"/>
                <w:szCs w:val="16"/>
              </w:rPr>
            </w:pPr>
          </w:p>
        </w:tc>
        <w:tc>
          <w:tcPr>
            <w:tcW w:w="1196" w:type="dxa"/>
            <w:tcBorders>
              <w:top w:val="single" w:sz="12" w:space="0" w:color="auto"/>
              <w:left w:val="nil"/>
              <w:right w:val="nil"/>
            </w:tcBorders>
            <w:shd w:val="clear" w:color="auto" w:fill="auto"/>
            <w:noWrap/>
            <w:vAlign w:val="bottom"/>
          </w:tcPr>
          <w:p w14:paraId="17525BC9" w14:textId="77777777" w:rsidR="007B7232" w:rsidRPr="003D1614" w:rsidRDefault="007B7232" w:rsidP="007B7232">
            <w:pPr>
              <w:suppressAutoHyphens/>
              <w:autoSpaceDN w:val="0"/>
              <w:jc w:val="both"/>
              <w:rPr>
                <w:rFonts w:ascii="Arial" w:eastAsia="Calibri" w:hAnsi="Arial" w:cs="Arial"/>
                <w:color w:val="000000"/>
                <w:sz w:val="16"/>
                <w:szCs w:val="16"/>
              </w:rPr>
            </w:pPr>
          </w:p>
        </w:tc>
        <w:tc>
          <w:tcPr>
            <w:tcW w:w="1155" w:type="dxa"/>
            <w:tcBorders>
              <w:top w:val="single" w:sz="12" w:space="0" w:color="auto"/>
              <w:left w:val="nil"/>
              <w:right w:val="nil"/>
            </w:tcBorders>
            <w:vAlign w:val="bottom"/>
          </w:tcPr>
          <w:p w14:paraId="4D97E1F2" w14:textId="77777777" w:rsidR="007B7232" w:rsidRPr="003D1614" w:rsidRDefault="007B7232" w:rsidP="007B7232">
            <w:pPr>
              <w:suppressAutoHyphens/>
              <w:autoSpaceDN w:val="0"/>
              <w:jc w:val="right"/>
              <w:rPr>
                <w:rFonts w:ascii="Arial" w:eastAsia="Calibri" w:hAnsi="Arial" w:cs="Arial"/>
                <w:b/>
                <w:bCs/>
                <w:color w:val="000000"/>
                <w:sz w:val="16"/>
                <w:szCs w:val="16"/>
              </w:rPr>
            </w:pPr>
          </w:p>
        </w:tc>
        <w:tc>
          <w:tcPr>
            <w:tcW w:w="1155" w:type="dxa"/>
            <w:tcBorders>
              <w:top w:val="single" w:sz="12" w:space="0" w:color="auto"/>
              <w:left w:val="nil"/>
              <w:right w:val="nil"/>
            </w:tcBorders>
            <w:vAlign w:val="bottom"/>
          </w:tcPr>
          <w:p w14:paraId="56C3D608" w14:textId="77777777" w:rsidR="007B7232" w:rsidRPr="003D1614" w:rsidRDefault="007B7232" w:rsidP="007B7232">
            <w:pPr>
              <w:suppressAutoHyphens/>
              <w:autoSpaceDN w:val="0"/>
              <w:jc w:val="right"/>
              <w:rPr>
                <w:rFonts w:ascii="Arial" w:eastAsia="Calibri" w:hAnsi="Arial" w:cs="Arial"/>
                <w:b/>
                <w:bCs/>
                <w:color w:val="000000"/>
                <w:sz w:val="16"/>
                <w:szCs w:val="16"/>
              </w:rPr>
            </w:pPr>
          </w:p>
        </w:tc>
        <w:tc>
          <w:tcPr>
            <w:tcW w:w="1155" w:type="dxa"/>
            <w:tcBorders>
              <w:top w:val="single" w:sz="12" w:space="0" w:color="auto"/>
              <w:left w:val="nil"/>
              <w:right w:val="nil"/>
            </w:tcBorders>
            <w:shd w:val="clear" w:color="auto" w:fill="auto"/>
            <w:vAlign w:val="bottom"/>
          </w:tcPr>
          <w:p w14:paraId="31F6D7EF" w14:textId="77777777" w:rsidR="007B7232" w:rsidRPr="003D1614" w:rsidRDefault="007B7232" w:rsidP="007B7232">
            <w:pPr>
              <w:suppressAutoHyphens/>
              <w:autoSpaceDN w:val="0"/>
              <w:jc w:val="right"/>
              <w:rPr>
                <w:rFonts w:ascii="Arial" w:eastAsia="Calibri" w:hAnsi="Arial" w:cs="Arial"/>
                <w:b/>
                <w:bCs/>
                <w:color w:val="000000"/>
                <w:sz w:val="16"/>
                <w:szCs w:val="16"/>
              </w:rPr>
            </w:pPr>
          </w:p>
        </w:tc>
        <w:tc>
          <w:tcPr>
            <w:tcW w:w="1155" w:type="dxa"/>
            <w:tcBorders>
              <w:top w:val="single" w:sz="12" w:space="0" w:color="auto"/>
              <w:left w:val="nil"/>
              <w:right w:val="nil"/>
            </w:tcBorders>
            <w:vAlign w:val="bottom"/>
          </w:tcPr>
          <w:p w14:paraId="65C6BC4C" w14:textId="77777777" w:rsidR="007B7232" w:rsidRPr="003D1614" w:rsidRDefault="007B7232" w:rsidP="007B7232">
            <w:pPr>
              <w:suppressAutoHyphens/>
              <w:autoSpaceDN w:val="0"/>
              <w:jc w:val="right"/>
              <w:rPr>
                <w:rFonts w:ascii="Arial" w:eastAsia="Calibri" w:hAnsi="Arial" w:cs="Arial"/>
                <w:b/>
                <w:bCs/>
                <w:color w:val="000000"/>
                <w:sz w:val="16"/>
                <w:szCs w:val="16"/>
              </w:rPr>
            </w:pPr>
          </w:p>
        </w:tc>
      </w:tr>
      <w:tr w:rsidR="007B7232" w:rsidRPr="003D1614" w14:paraId="4A03D4A5" w14:textId="77777777" w:rsidTr="002C73F0">
        <w:trPr>
          <w:trHeight w:val="75"/>
        </w:trPr>
        <w:tc>
          <w:tcPr>
            <w:tcW w:w="3911" w:type="dxa"/>
            <w:gridSpan w:val="2"/>
            <w:tcBorders>
              <w:top w:val="nil"/>
              <w:left w:val="nil"/>
              <w:bottom w:val="nil"/>
              <w:right w:val="nil"/>
            </w:tcBorders>
            <w:shd w:val="clear" w:color="auto" w:fill="auto"/>
            <w:noWrap/>
            <w:vAlign w:val="bottom"/>
            <w:hideMark/>
          </w:tcPr>
          <w:p w14:paraId="72488D04" w14:textId="77777777" w:rsidR="007B7232" w:rsidRPr="003D1614" w:rsidRDefault="007B7232" w:rsidP="007B7232">
            <w:pPr>
              <w:suppressAutoHyphens/>
              <w:autoSpaceDN w:val="0"/>
              <w:rPr>
                <w:rFonts w:ascii="Arial" w:eastAsia="Calibri" w:hAnsi="Arial" w:cs="Arial"/>
                <w:color w:val="000000"/>
                <w:sz w:val="16"/>
                <w:szCs w:val="16"/>
              </w:rPr>
            </w:pPr>
            <w:r w:rsidRPr="003D1614">
              <w:rPr>
                <w:rFonts w:ascii="Arial" w:eastAsia="Calibri" w:hAnsi="Arial" w:cs="Arial"/>
                <w:color w:val="000000"/>
                <w:sz w:val="16"/>
                <w:szCs w:val="16"/>
              </w:rPr>
              <w:t>Dužnički vrijednosni papiri koji ne kotiraju:</w:t>
            </w:r>
          </w:p>
        </w:tc>
        <w:tc>
          <w:tcPr>
            <w:tcW w:w="1129" w:type="dxa"/>
            <w:tcBorders>
              <w:top w:val="nil"/>
              <w:left w:val="nil"/>
              <w:bottom w:val="nil"/>
              <w:right w:val="nil"/>
            </w:tcBorders>
            <w:shd w:val="clear" w:color="auto" w:fill="auto"/>
            <w:noWrap/>
            <w:vAlign w:val="bottom"/>
            <w:hideMark/>
          </w:tcPr>
          <w:p w14:paraId="6456BE93" w14:textId="77777777" w:rsidR="007B7232" w:rsidRPr="003D1614" w:rsidRDefault="007B7232" w:rsidP="007B7232">
            <w:pPr>
              <w:suppressAutoHyphens/>
              <w:autoSpaceDN w:val="0"/>
              <w:rPr>
                <w:rFonts w:ascii="Arial" w:eastAsia="Calibri" w:hAnsi="Arial" w:cs="Arial"/>
                <w:color w:val="000000"/>
                <w:sz w:val="16"/>
                <w:szCs w:val="16"/>
              </w:rPr>
            </w:pPr>
          </w:p>
        </w:tc>
        <w:tc>
          <w:tcPr>
            <w:tcW w:w="1196" w:type="dxa"/>
            <w:tcBorders>
              <w:top w:val="nil"/>
              <w:left w:val="nil"/>
              <w:bottom w:val="nil"/>
              <w:right w:val="nil"/>
            </w:tcBorders>
            <w:shd w:val="clear" w:color="auto" w:fill="auto"/>
            <w:noWrap/>
            <w:vAlign w:val="bottom"/>
            <w:hideMark/>
          </w:tcPr>
          <w:p w14:paraId="6ED9EB6F" w14:textId="77777777" w:rsidR="007B7232" w:rsidRPr="003D1614" w:rsidRDefault="007B7232" w:rsidP="007B7232">
            <w:pPr>
              <w:suppressAutoHyphens/>
              <w:autoSpaceDN w:val="0"/>
              <w:rPr>
                <w:rFonts w:ascii="Arial" w:eastAsia="Calibri" w:hAnsi="Arial" w:cs="Arial"/>
                <w:color w:val="000000"/>
                <w:sz w:val="16"/>
                <w:szCs w:val="16"/>
              </w:rPr>
            </w:pPr>
          </w:p>
        </w:tc>
        <w:tc>
          <w:tcPr>
            <w:tcW w:w="1155" w:type="dxa"/>
            <w:tcBorders>
              <w:top w:val="nil"/>
              <w:left w:val="nil"/>
              <w:bottom w:val="nil"/>
              <w:right w:val="nil"/>
            </w:tcBorders>
            <w:vAlign w:val="bottom"/>
          </w:tcPr>
          <w:p w14:paraId="3929FFF4" w14:textId="77777777" w:rsidR="007B7232" w:rsidRPr="003D1614" w:rsidRDefault="007B7232" w:rsidP="007B7232">
            <w:pPr>
              <w:suppressAutoHyphens/>
              <w:autoSpaceDN w:val="0"/>
              <w:rPr>
                <w:rFonts w:ascii="Arial" w:eastAsia="Calibri" w:hAnsi="Arial" w:cs="Arial"/>
                <w:color w:val="000000"/>
                <w:sz w:val="16"/>
                <w:szCs w:val="16"/>
              </w:rPr>
            </w:pPr>
          </w:p>
        </w:tc>
        <w:tc>
          <w:tcPr>
            <w:tcW w:w="1155" w:type="dxa"/>
            <w:tcBorders>
              <w:top w:val="nil"/>
              <w:left w:val="nil"/>
              <w:bottom w:val="nil"/>
              <w:right w:val="nil"/>
            </w:tcBorders>
            <w:shd w:val="clear" w:color="auto" w:fill="auto"/>
            <w:vAlign w:val="bottom"/>
          </w:tcPr>
          <w:p w14:paraId="1B4D0C95" w14:textId="77777777" w:rsidR="007B7232" w:rsidRPr="003D1614" w:rsidRDefault="007B7232" w:rsidP="007B7232">
            <w:pPr>
              <w:suppressAutoHyphens/>
              <w:autoSpaceDN w:val="0"/>
              <w:rPr>
                <w:rFonts w:ascii="Arial" w:eastAsia="Calibri" w:hAnsi="Arial" w:cs="Arial"/>
                <w:color w:val="000000"/>
                <w:sz w:val="16"/>
                <w:szCs w:val="16"/>
              </w:rPr>
            </w:pPr>
          </w:p>
        </w:tc>
        <w:tc>
          <w:tcPr>
            <w:tcW w:w="1155" w:type="dxa"/>
            <w:tcBorders>
              <w:top w:val="nil"/>
              <w:left w:val="nil"/>
              <w:bottom w:val="nil"/>
              <w:right w:val="nil"/>
            </w:tcBorders>
            <w:vAlign w:val="bottom"/>
          </w:tcPr>
          <w:p w14:paraId="75E87AE8" w14:textId="77777777" w:rsidR="007B7232" w:rsidRPr="003D1614" w:rsidRDefault="007B7232" w:rsidP="007B7232">
            <w:pPr>
              <w:suppressAutoHyphens/>
              <w:autoSpaceDN w:val="0"/>
              <w:rPr>
                <w:rFonts w:ascii="Arial" w:eastAsia="Calibri" w:hAnsi="Arial" w:cs="Arial"/>
                <w:color w:val="000000"/>
                <w:sz w:val="16"/>
                <w:szCs w:val="16"/>
              </w:rPr>
            </w:pPr>
          </w:p>
        </w:tc>
        <w:tc>
          <w:tcPr>
            <w:tcW w:w="1155" w:type="dxa"/>
            <w:tcBorders>
              <w:top w:val="nil"/>
              <w:left w:val="nil"/>
              <w:bottom w:val="nil"/>
              <w:right w:val="nil"/>
            </w:tcBorders>
            <w:shd w:val="clear" w:color="auto" w:fill="auto"/>
            <w:vAlign w:val="bottom"/>
          </w:tcPr>
          <w:p w14:paraId="72BFFAC2" w14:textId="77777777" w:rsidR="007B7232" w:rsidRPr="003D1614" w:rsidRDefault="007B7232" w:rsidP="007B7232">
            <w:pPr>
              <w:suppressAutoHyphens/>
              <w:autoSpaceDN w:val="0"/>
              <w:rPr>
                <w:rFonts w:ascii="Arial" w:eastAsia="Calibri" w:hAnsi="Arial" w:cs="Arial"/>
                <w:color w:val="000000"/>
                <w:sz w:val="16"/>
                <w:szCs w:val="16"/>
              </w:rPr>
            </w:pPr>
          </w:p>
        </w:tc>
      </w:tr>
      <w:tr w:rsidR="007B7232" w:rsidRPr="003D1614" w14:paraId="10CDD44B" w14:textId="77777777" w:rsidTr="002C73F0">
        <w:trPr>
          <w:trHeight w:val="229"/>
        </w:trPr>
        <w:tc>
          <w:tcPr>
            <w:tcW w:w="5040" w:type="dxa"/>
            <w:gridSpan w:val="3"/>
            <w:tcBorders>
              <w:top w:val="nil"/>
              <w:left w:val="nil"/>
              <w:bottom w:val="nil"/>
              <w:right w:val="nil"/>
            </w:tcBorders>
            <w:shd w:val="clear" w:color="auto" w:fill="auto"/>
            <w:vAlign w:val="bottom"/>
            <w:hideMark/>
          </w:tcPr>
          <w:p w14:paraId="100194A3" w14:textId="3DBAE07B" w:rsidR="007B7232" w:rsidRPr="003D1614" w:rsidRDefault="007B7232" w:rsidP="007B7232">
            <w:pPr>
              <w:suppressAutoHyphens/>
              <w:autoSpaceDN w:val="0"/>
              <w:rPr>
                <w:rFonts w:ascii="Arial" w:eastAsia="Calibri" w:hAnsi="Arial" w:cs="Arial"/>
                <w:i/>
                <w:iCs/>
                <w:color w:val="000000"/>
                <w:sz w:val="16"/>
                <w:szCs w:val="16"/>
              </w:rPr>
            </w:pPr>
            <w:r w:rsidRPr="003D1614">
              <w:rPr>
                <w:rFonts w:ascii="Arial" w:eastAsia="Calibri" w:hAnsi="Arial" w:cs="Arial"/>
                <w:i/>
                <w:iCs/>
                <w:color w:val="000000"/>
                <w:sz w:val="16"/>
                <w:szCs w:val="16"/>
              </w:rPr>
              <w:t>Obveznice trgovačkih društava:</w:t>
            </w:r>
          </w:p>
        </w:tc>
        <w:tc>
          <w:tcPr>
            <w:tcW w:w="1196" w:type="dxa"/>
            <w:tcBorders>
              <w:top w:val="nil"/>
              <w:left w:val="nil"/>
              <w:bottom w:val="nil"/>
              <w:right w:val="nil"/>
            </w:tcBorders>
            <w:shd w:val="clear" w:color="auto" w:fill="auto"/>
            <w:noWrap/>
            <w:vAlign w:val="bottom"/>
            <w:hideMark/>
          </w:tcPr>
          <w:p w14:paraId="27AFEAC3" w14:textId="77777777" w:rsidR="007B7232" w:rsidRPr="003D1614" w:rsidRDefault="007B7232" w:rsidP="007B7232">
            <w:pPr>
              <w:suppressAutoHyphens/>
              <w:autoSpaceDN w:val="0"/>
              <w:rPr>
                <w:rFonts w:ascii="Arial" w:eastAsia="Calibri" w:hAnsi="Arial" w:cs="Arial"/>
                <w:color w:val="000000"/>
                <w:sz w:val="16"/>
                <w:szCs w:val="16"/>
              </w:rPr>
            </w:pPr>
          </w:p>
        </w:tc>
        <w:tc>
          <w:tcPr>
            <w:tcW w:w="1155" w:type="dxa"/>
            <w:tcBorders>
              <w:top w:val="nil"/>
              <w:left w:val="nil"/>
              <w:bottom w:val="nil"/>
              <w:right w:val="nil"/>
            </w:tcBorders>
            <w:vAlign w:val="bottom"/>
          </w:tcPr>
          <w:p w14:paraId="22CE0180" w14:textId="77777777" w:rsidR="007B7232" w:rsidRPr="003D1614" w:rsidRDefault="007B7232" w:rsidP="007B7232">
            <w:pPr>
              <w:suppressAutoHyphens/>
              <w:autoSpaceDN w:val="0"/>
              <w:rPr>
                <w:rFonts w:ascii="Arial" w:eastAsia="Calibri" w:hAnsi="Arial" w:cs="Arial"/>
                <w:color w:val="000000"/>
                <w:sz w:val="16"/>
                <w:szCs w:val="16"/>
              </w:rPr>
            </w:pPr>
          </w:p>
        </w:tc>
        <w:tc>
          <w:tcPr>
            <w:tcW w:w="1155" w:type="dxa"/>
            <w:tcBorders>
              <w:top w:val="nil"/>
              <w:left w:val="nil"/>
              <w:bottom w:val="nil"/>
              <w:right w:val="nil"/>
            </w:tcBorders>
            <w:shd w:val="clear" w:color="auto" w:fill="auto"/>
            <w:vAlign w:val="bottom"/>
          </w:tcPr>
          <w:p w14:paraId="541C49FD" w14:textId="77777777" w:rsidR="007B7232" w:rsidRPr="003D1614" w:rsidRDefault="007B7232" w:rsidP="007B7232">
            <w:pPr>
              <w:suppressAutoHyphens/>
              <w:autoSpaceDN w:val="0"/>
              <w:rPr>
                <w:rFonts w:ascii="Arial" w:eastAsia="Calibri" w:hAnsi="Arial" w:cs="Arial"/>
                <w:color w:val="000000"/>
                <w:sz w:val="16"/>
                <w:szCs w:val="16"/>
              </w:rPr>
            </w:pPr>
          </w:p>
        </w:tc>
        <w:tc>
          <w:tcPr>
            <w:tcW w:w="1155" w:type="dxa"/>
            <w:tcBorders>
              <w:top w:val="nil"/>
              <w:left w:val="nil"/>
              <w:bottom w:val="nil"/>
              <w:right w:val="nil"/>
            </w:tcBorders>
            <w:vAlign w:val="bottom"/>
          </w:tcPr>
          <w:p w14:paraId="5C4F5B7B" w14:textId="77777777" w:rsidR="007B7232" w:rsidRPr="003D1614" w:rsidRDefault="007B7232" w:rsidP="007B7232">
            <w:pPr>
              <w:suppressAutoHyphens/>
              <w:autoSpaceDN w:val="0"/>
              <w:jc w:val="right"/>
              <w:rPr>
                <w:rFonts w:ascii="Arial" w:eastAsia="Calibri" w:hAnsi="Arial" w:cs="Arial"/>
                <w:color w:val="000000"/>
                <w:sz w:val="16"/>
                <w:szCs w:val="16"/>
              </w:rPr>
            </w:pPr>
          </w:p>
        </w:tc>
        <w:tc>
          <w:tcPr>
            <w:tcW w:w="1155" w:type="dxa"/>
            <w:tcBorders>
              <w:top w:val="nil"/>
              <w:left w:val="nil"/>
              <w:bottom w:val="nil"/>
              <w:right w:val="nil"/>
            </w:tcBorders>
            <w:vAlign w:val="bottom"/>
          </w:tcPr>
          <w:p w14:paraId="6B755F17" w14:textId="77777777" w:rsidR="007B7232" w:rsidRPr="003D1614" w:rsidRDefault="007B7232" w:rsidP="007B7232">
            <w:pPr>
              <w:suppressAutoHyphens/>
              <w:autoSpaceDN w:val="0"/>
              <w:jc w:val="right"/>
              <w:rPr>
                <w:rFonts w:ascii="Arial" w:eastAsia="Calibri" w:hAnsi="Arial" w:cs="Arial"/>
                <w:color w:val="000000"/>
                <w:sz w:val="16"/>
                <w:szCs w:val="16"/>
              </w:rPr>
            </w:pPr>
          </w:p>
        </w:tc>
      </w:tr>
      <w:tr w:rsidR="007B7232" w:rsidRPr="003D1614" w14:paraId="230A4617" w14:textId="77777777" w:rsidTr="002C73F0">
        <w:trPr>
          <w:trHeight w:val="229"/>
        </w:trPr>
        <w:tc>
          <w:tcPr>
            <w:tcW w:w="2692" w:type="dxa"/>
            <w:tcBorders>
              <w:top w:val="nil"/>
              <w:left w:val="nil"/>
              <w:bottom w:val="nil"/>
              <w:right w:val="nil"/>
            </w:tcBorders>
            <w:shd w:val="clear" w:color="auto" w:fill="auto"/>
            <w:noWrap/>
            <w:vAlign w:val="bottom"/>
            <w:hideMark/>
          </w:tcPr>
          <w:p w14:paraId="4355FA1E" w14:textId="77777777" w:rsidR="007B7232" w:rsidRPr="003D1614" w:rsidRDefault="007B7232" w:rsidP="007B7232">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LNGU-O-31AE</w:t>
            </w:r>
          </w:p>
        </w:tc>
        <w:tc>
          <w:tcPr>
            <w:tcW w:w="1219" w:type="dxa"/>
            <w:tcBorders>
              <w:top w:val="nil"/>
              <w:left w:val="nil"/>
              <w:bottom w:val="nil"/>
              <w:right w:val="nil"/>
            </w:tcBorders>
            <w:shd w:val="clear" w:color="auto" w:fill="auto"/>
            <w:noWrap/>
            <w:vAlign w:val="bottom"/>
            <w:hideMark/>
          </w:tcPr>
          <w:p w14:paraId="54692591" w14:textId="77777777" w:rsidR="007B7232" w:rsidRPr="003D1614" w:rsidRDefault="007B7232" w:rsidP="007B7232">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24.7.2015.</w:t>
            </w:r>
          </w:p>
        </w:tc>
        <w:tc>
          <w:tcPr>
            <w:tcW w:w="1129" w:type="dxa"/>
            <w:tcBorders>
              <w:top w:val="nil"/>
              <w:left w:val="nil"/>
              <w:bottom w:val="nil"/>
              <w:right w:val="nil"/>
            </w:tcBorders>
            <w:shd w:val="clear" w:color="auto" w:fill="auto"/>
            <w:noWrap/>
            <w:vAlign w:val="bottom"/>
            <w:hideMark/>
          </w:tcPr>
          <w:p w14:paraId="60D30F41" w14:textId="77777777" w:rsidR="007B7232" w:rsidRPr="003D1614" w:rsidRDefault="007B7232" w:rsidP="007B7232">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15.10.2031.</w:t>
            </w:r>
          </w:p>
        </w:tc>
        <w:tc>
          <w:tcPr>
            <w:tcW w:w="1196" w:type="dxa"/>
            <w:tcBorders>
              <w:top w:val="nil"/>
              <w:left w:val="nil"/>
              <w:bottom w:val="nil"/>
              <w:right w:val="nil"/>
            </w:tcBorders>
            <w:shd w:val="clear" w:color="auto" w:fill="auto"/>
            <w:noWrap/>
            <w:vAlign w:val="bottom"/>
            <w:hideMark/>
          </w:tcPr>
          <w:p w14:paraId="1BFD19D1" w14:textId="77777777" w:rsidR="007B7232" w:rsidRPr="003D1614" w:rsidRDefault="007B7232" w:rsidP="007B7232">
            <w:pPr>
              <w:suppressAutoHyphens/>
              <w:autoSpaceDN w:val="0"/>
              <w:jc w:val="center"/>
              <w:rPr>
                <w:rFonts w:ascii="Arial" w:eastAsia="Calibri" w:hAnsi="Arial" w:cs="Arial"/>
                <w:color w:val="000000"/>
                <w:sz w:val="16"/>
                <w:szCs w:val="16"/>
              </w:rPr>
            </w:pPr>
            <w:r w:rsidRPr="003D1614">
              <w:rPr>
                <w:rFonts w:ascii="Arial" w:eastAsia="Calibri" w:hAnsi="Arial" w:cs="Arial"/>
                <w:color w:val="000000"/>
                <w:sz w:val="16"/>
                <w:szCs w:val="16"/>
              </w:rPr>
              <w:t>4,5</w:t>
            </w:r>
          </w:p>
        </w:tc>
        <w:tc>
          <w:tcPr>
            <w:tcW w:w="1155" w:type="dxa"/>
            <w:tcBorders>
              <w:top w:val="nil"/>
              <w:left w:val="nil"/>
              <w:bottom w:val="nil"/>
              <w:right w:val="nil"/>
            </w:tcBorders>
            <w:shd w:val="clear" w:color="auto" w:fill="auto"/>
            <w:vAlign w:val="bottom"/>
          </w:tcPr>
          <w:p w14:paraId="57D41B4D" w14:textId="1D03A50C" w:rsidR="007B7232" w:rsidRPr="003D1614" w:rsidRDefault="004E7A1E" w:rsidP="007B7232">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75</w:t>
            </w:r>
          </w:p>
        </w:tc>
        <w:tc>
          <w:tcPr>
            <w:tcW w:w="1155" w:type="dxa"/>
            <w:tcBorders>
              <w:top w:val="nil"/>
              <w:left w:val="nil"/>
              <w:bottom w:val="nil"/>
              <w:right w:val="nil"/>
            </w:tcBorders>
            <w:vAlign w:val="bottom"/>
          </w:tcPr>
          <w:p w14:paraId="7F283189" w14:textId="7BE1D424" w:rsidR="007B7232" w:rsidRPr="003D1614" w:rsidRDefault="007B7232" w:rsidP="007B7232">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81</w:t>
            </w:r>
          </w:p>
        </w:tc>
        <w:tc>
          <w:tcPr>
            <w:tcW w:w="1155" w:type="dxa"/>
            <w:tcBorders>
              <w:top w:val="nil"/>
              <w:left w:val="nil"/>
              <w:bottom w:val="nil"/>
              <w:right w:val="nil"/>
            </w:tcBorders>
            <w:shd w:val="clear" w:color="auto" w:fill="auto"/>
            <w:vAlign w:val="bottom"/>
          </w:tcPr>
          <w:p w14:paraId="4401496F" w14:textId="2CA79482" w:rsidR="007B7232" w:rsidRPr="00A31F86" w:rsidRDefault="004E7A1E" w:rsidP="007B7232">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75</w:t>
            </w:r>
          </w:p>
        </w:tc>
        <w:tc>
          <w:tcPr>
            <w:tcW w:w="1155" w:type="dxa"/>
            <w:tcBorders>
              <w:top w:val="nil"/>
              <w:left w:val="nil"/>
              <w:bottom w:val="nil"/>
              <w:right w:val="nil"/>
            </w:tcBorders>
            <w:vAlign w:val="bottom"/>
          </w:tcPr>
          <w:p w14:paraId="006AFA20" w14:textId="051BFB72" w:rsidR="007B7232" w:rsidRPr="00A31F86" w:rsidRDefault="007B7232" w:rsidP="007B7232">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81</w:t>
            </w:r>
          </w:p>
        </w:tc>
      </w:tr>
      <w:tr w:rsidR="007B7232" w:rsidRPr="003D1614" w14:paraId="5F1CB81E" w14:textId="77777777" w:rsidTr="002C73F0">
        <w:trPr>
          <w:trHeight w:val="229"/>
        </w:trPr>
        <w:tc>
          <w:tcPr>
            <w:tcW w:w="6236" w:type="dxa"/>
            <w:gridSpan w:val="4"/>
            <w:tcBorders>
              <w:top w:val="nil"/>
              <w:left w:val="nil"/>
              <w:bottom w:val="nil"/>
              <w:right w:val="nil"/>
            </w:tcBorders>
            <w:shd w:val="clear" w:color="auto" w:fill="auto"/>
            <w:noWrap/>
            <w:vAlign w:val="bottom"/>
          </w:tcPr>
          <w:p w14:paraId="5C2F9721" w14:textId="4542A560" w:rsidR="007B7232" w:rsidRPr="003D1614" w:rsidRDefault="007B7232" w:rsidP="007B7232">
            <w:pPr>
              <w:suppressAutoHyphens/>
              <w:autoSpaceDN w:val="0"/>
              <w:rPr>
                <w:rFonts w:ascii="Arial" w:eastAsia="Calibri" w:hAnsi="Arial" w:cs="Arial"/>
                <w:i/>
                <w:color w:val="000000"/>
                <w:sz w:val="16"/>
                <w:szCs w:val="16"/>
              </w:rPr>
            </w:pPr>
            <w:r w:rsidRPr="003D1614">
              <w:rPr>
                <w:rFonts w:ascii="Arial" w:eastAsia="Calibri" w:hAnsi="Arial" w:cs="Arial"/>
                <w:i/>
                <w:color w:val="000000"/>
                <w:sz w:val="16"/>
                <w:szCs w:val="16"/>
              </w:rPr>
              <w:t>Obveznice stranih trgovačkih društava:</w:t>
            </w:r>
            <w:r w:rsidRPr="003D1614">
              <w:rPr>
                <w:rFonts w:ascii="Arial" w:eastAsia="Calibri" w:hAnsi="Arial" w:cs="Arial"/>
                <w:i/>
                <w:color w:val="000000"/>
                <w:sz w:val="16"/>
                <w:szCs w:val="16"/>
              </w:rPr>
              <w:tab/>
            </w:r>
          </w:p>
        </w:tc>
        <w:tc>
          <w:tcPr>
            <w:tcW w:w="1155" w:type="dxa"/>
            <w:tcBorders>
              <w:top w:val="nil"/>
              <w:left w:val="nil"/>
              <w:bottom w:val="nil"/>
              <w:right w:val="nil"/>
            </w:tcBorders>
            <w:vAlign w:val="bottom"/>
          </w:tcPr>
          <w:p w14:paraId="28C5A9DD" w14:textId="77777777" w:rsidR="007B7232" w:rsidRPr="003D1614" w:rsidRDefault="007B7232" w:rsidP="007B7232">
            <w:pPr>
              <w:suppressAutoHyphens/>
              <w:autoSpaceDN w:val="0"/>
              <w:jc w:val="right"/>
              <w:rPr>
                <w:rFonts w:ascii="Arial" w:eastAsia="Calibri" w:hAnsi="Arial" w:cs="Arial"/>
                <w:color w:val="000000"/>
                <w:sz w:val="16"/>
                <w:szCs w:val="16"/>
              </w:rPr>
            </w:pPr>
          </w:p>
        </w:tc>
        <w:tc>
          <w:tcPr>
            <w:tcW w:w="1155" w:type="dxa"/>
            <w:tcBorders>
              <w:top w:val="nil"/>
              <w:left w:val="nil"/>
              <w:bottom w:val="nil"/>
              <w:right w:val="nil"/>
            </w:tcBorders>
            <w:shd w:val="clear" w:color="auto" w:fill="auto"/>
            <w:vAlign w:val="bottom"/>
          </w:tcPr>
          <w:p w14:paraId="42124F6A" w14:textId="77777777" w:rsidR="007B7232" w:rsidRPr="003D1614" w:rsidRDefault="007B7232" w:rsidP="007B7232">
            <w:pPr>
              <w:suppressAutoHyphens/>
              <w:autoSpaceDN w:val="0"/>
              <w:jc w:val="right"/>
              <w:rPr>
                <w:rFonts w:ascii="Arial" w:eastAsia="Calibri" w:hAnsi="Arial" w:cs="Arial"/>
                <w:color w:val="000000"/>
                <w:sz w:val="16"/>
                <w:szCs w:val="16"/>
              </w:rPr>
            </w:pPr>
          </w:p>
        </w:tc>
        <w:tc>
          <w:tcPr>
            <w:tcW w:w="1155" w:type="dxa"/>
            <w:tcBorders>
              <w:top w:val="nil"/>
              <w:left w:val="nil"/>
              <w:bottom w:val="nil"/>
              <w:right w:val="nil"/>
            </w:tcBorders>
            <w:vAlign w:val="bottom"/>
          </w:tcPr>
          <w:p w14:paraId="537D5DF6" w14:textId="77777777" w:rsidR="007B7232" w:rsidRPr="00A31F86" w:rsidRDefault="007B7232" w:rsidP="007B7232">
            <w:pPr>
              <w:suppressAutoHyphens/>
              <w:autoSpaceDN w:val="0"/>
              <w:jc w:val="right"/>
              <w:rPr>
                <w:rFonts w:ascii="Arial" w:eastAsia="Calibri" w:hAnsi="Arial" w:cs="Arial"/>
                <w:color w:val="000000"/>
                <w:sz w:val="16"/>
                <w:szCs w:val="16"/>
              </w:rPr>
            </w:pPr>
          </w:p>
        </w:tc>
        <w:tc>
          <w:tcPr>
            <w:tcW w:w="1155" w:type="dxa"/>
            <w:tcBorders>
              <w:top w:val="nil"/>
              <w:left w:val="nil"/>
              <w:bottom w:val="nil"/>
              <w:right w:val="nil"/>
            </w:tcBorders>
            <w:vAlign w:val="bottom"/>
          </w:tcPr>
          <w:p w14:paraId="0B8A9903" w14:textId="77777777" w:rsidR="007B7232" w:rsidRPr="00A31F86" w:rsidRDefault="007B7232" w:rsidP="007B7232">
            <w:pPr>
              <w:suppressAutoHyphens/>
              <w:autoSpaceDN w:val="0"/>
              <w:jc w:val="right"/>
              <w:rPr>
                <w:rFonts w:ascii="Arial" w:eastAsia="Calibri" w:hAnsi="Arial" w:cs="Arial"/>
                <w:color w:val="000000"/>
                <w:sz w:val="16"/>
                <w:szCs w:val="16"/>
              </w:rPr>
            </w:pPr>
          </w:p>
        </w:tc>
      </w:tr>
      <w:tr w:rsidR="007B7232" w:rsidRPr="003D1614" w14:paraId="4DA303C7" w14:textId="77777777" w:rsidTr="002C73F0">
        <w:trPr>
          <w:trHeight w:val="229"/>
        </w:trPr>
        <w:tc>
          <w:tcPr>
            <w:tcW w:w="2692" w:type="dxa"/>
            <w:tcBorders>
              <w:top w:val="nil"/>
              <w:left w:val="nil"/>
              <w:bottom w:val="nil"/>
            </w:tcBorders>
            <w:shd w:val="clear" w:color="auto" w:fill="auto"/>
            <w:noWrap/>
            <w:vAlign w:val="bottom"/>
          </w:tcPr>
          <w:p w14:paraId="6BD0414B" w14:textId="77777777" w:rsidR="007B7232" w:rsidRPr="003D1614" w:rsidRDefault="007B7232" w:rsidP="007B7232">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Fortenova Group TopCo B.V.</w:t>
            </w:r>
          </w:p>
        </w:tc>
        <w:tc>
          <w:tcPr>
            <w:tcW w:w="1219" w:type="dxa"/>
            <w:tcBorders>
              <w:top w:val="nil"/>
              <w:left w:val="nil"/>
              <w:bottom w:val="nil"/>
              <w:right w:val="nil"/>
            </w:tcBorders>
            <w:shd w:val="clear" w:color="auto" w:fill="auto"/>
            <w:vAlign w:val="bottom"/>
          </w:tcPr>
          <w:p w14:paraId="2F65D7C1" w14:textId="77777777" w:rsidR="007B7232" w:rsidRPr="003D1614" w:rsidRDefault="007B7232" w:rsidP="007B7232">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1.4.2019.</w:t>
            </w:r>
          </w:p>
        </w:tc>
        <w:tc>
          <w:tcPr>
            <w:tcW w:w="1129" w:type="dxa"/>
            <w:tcBorders>
              <w:top w:val="nil"/>
              <w:left w:val="nil"/>
              <w:bottom w:val="nil"/>
              <w:right w:val="nil"/>
            </w:tcBorders>
            <w:shd w:val="clear" w:color="auto" w:fill="auto"/>
            <w:noWrap/>
            <w:vAlign w:val="bottom"/>
          </w:tcPr>
          <w:p w14:paraId="7112C42D" w14:textId="77777777" w:rsidR="007B7232" w:rsidRPr="003D1614" w:rsidRDefault="007B7232" w:rsidP="007B7232">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1.4.2029.</w:t>
            </w:r>
          </w:p>
        </w:tc>
        <w:tc>
          <w:tcPr>
            <w:tcW w:w="1196" w:type="dxa"/>
            <w:tcBorders>
              <w:top w:val="nil"/>
              <w:left w:val="nil"/>
              <w:bottom w:val="nil"/>
              <w:right w:val="nil"/>
            </w:tcBorders>
            <w:shd w:val="clear" w:color="auto" w:fill="auto"/>
            <w:noWrap/>
            <w:vAlign w:val="bottom"/>
          </w:tcPr>
          <w:p w14:paraId="77FCF3F8" w14:textId="77777777" w:rsidR="007B7232" w:rsidRPr="003D1614" w:rsidRDefault="007B7232" w:rsidP="007B7232">
            <w:pPr>
              <w:suppressAutoHyphens/>
              <w:autoSpaceDN w:val="0"/>
              <w:jc w:val="center"/>
              <w:rPr>
                <w:rFonts w:ascii="Arial" w:eastAsia="Calibri" w:hAnsi="Arial" w:cs="Arial"/>
                <w:color w:val="000000"/>
                <w:sz w:val="16"/>
                <w:szCs w:val="16"/>
              </w:rPr>
            </w:pPr>
            <w:r w:rsidRPr="003D1614">
              <w:rPr>
                <w:rFonts w:ascii="Arial" w:eastAsia="Calibri" w:hAnsi="Arial" w:cs="Arial"/>
                <w:color w:val="000000"/>
                <w:sz w:val="16"/>
                <w:szCs w:val="16"/>
              </w:rPr>
              <w:t>2,5</w:t>
            </w:r>
          </w:p>
        </w:tc>
        <w:tc>
          <w:tcPr>
            <w:tcW w:w="1155" w:type="dxa"/>
            <w:tcBorders>
              <w:top w:val="nil"/>
              <w:left w:val="nil"/>
              <w:bottom w:val="nil"/>
              <w:right w:val="nil"/>
            </w:tcBorders>
            <w:shd w:val="clear" w:color="auto" w:fill="auto"/>
            <w:vAlign w:val="bottom"/>
          </w:tcPr>
          <w:p w14:paraId="3E287A96" w14:textId="37866669" w:rsidR="007B7232" w:rsidRPr="003D1614" w:rsidRDefault="006B268B" w:rsidP="007B7232">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137</w:t>
            </w:r>
          </w:p>
        </w:tc>
        <w:tc>
          <w:tcPr>
            <w:tcW w:w="1155" w:type="dxa"/>
            <w:tcBorders>
              <w:top w:val="nil"/>
              <w:left w:val="nil"/>
              <w:bottom w:val="nil"/>
              <w:right w:val="nil"/>
            </w:tcBorders>
            <w:vAlign w:val="bottom"/>
          </w:tcPr>
          <w:p w14:paraId="31F3B252" w14:textId="209A3505" w:rsidR="007B7232" w:rsidRPr="003D1614" w:rsidRDefault="007B7232" w:rsidP="007B7232">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195</w:t>
            </w:r>
          </w:p>
        </w:tc>
        <w:tc>
          <w:tcPr>
            <w:tcW w:w="1155" w:type="dxa"/>
            <w:tcBorders>
              <w:top w:val="nil"/>
              <w:left w:val="nil"/>
              <w:bottom w:val="nil"/>
              <w:right w:val="nil"/>
            </w:tcBorders>
            <w:shd w:val="clear" w:color="auto" w:fill="auto"/>
            <w:vAlign w:val="bottom"/>
          </w:tcPr>
          <w:p w14:paraId="6D0CC7DB" w14:textId="16F43108" w:rsidR="007B7232" w:rsidRPr="00A31F86" w:rsidRDefault="006B268B" w:rsidP="007B7232">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137</w:t>
            </w:r>
          </w:p>
        </w:tc>
        <w:tc>
          <w:tcPr>
            <w:tcW w:w="1155" w:type="dxa"/>
            <w:tcBorders>
              <w:top w:val="nil"/>
              <w:left w:val="nil"/>
              <w:bottom w:val="nil"/>
              <w:right w:val="nil"/>
            </w:tcBorders>
            <w:vAlign w:val="bottom"/>
          </w:tcPr>
          <w:p w14:paraId="1E5C151F" w14:textId="7D6E440B" w:rsidR="007B7232" w:rsidRPr="00A31F86" w:rsidRDefault="007B7232" w:rsidP="007B7232">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195</w:t>
            </w:r>
          </w:p>
        </w:tc>
      </w:tr>
      <w:tr w:rsidR="007B7232" w:rsidRPr="003D1614" w14:paraId="1088C1F2" w14:textId="77777777" w:rsidTr="002C73F0">
        <w:trPr>
          <w:trHeight w:val="229"/>
        </w:trPr>
        <w:tc>
          <w:tcPr>
            <w:tcW w:w="2692" w:type="dxa"/>
            <w:tcBorders>
              <w:top w:val="nil"/>
              <w:left w:val="nil"/>
              <w:bottom w:val="single" w:sz="4" w:space="0" w:color="auto"/>
            </w:tcBorders>
            <w:shd w:val="clear" w:color="auto" w:fill="auto"/>
            <w:noWrap/>
            <w:vAlign w:val="bottom"/>
            <w:hideMark/>
          </w:tcPr>
          <w:p w14:paraId="01D4C802" w14:textId="77777777" w:rsidR="007B7232" w:rsidRPr="003D1614" w:rsidRDefault="007B7232" w:rsidP="007B7232">
            <w:pPr>
              <w:suppressAutoHyphens/>
              <w:autoSpaceDN w:val="0"/>
              <w:rPr>
                <w:rFonts w:ascii="Arial" w:eastAsia="Calibri" w:hAnsi="Arial" w:cs="Arial"/>
                <w:color w:val="000000"/>
                <w:sz w:val="16"/>
                <w:szCs w:val="16"/>
              </w:rPr>
            </w:pPr>
            <w:r w:rsidRPr="003D1614">
              <w:rPr>
                <w:rFonts w:ascii="Arial" w:eastAsia="Calibri" w:hAnsi="Arial" w:cs="Arial"/>
                <w:color w:val="000000"/>
                <w:sz w:val="16"/>
                <w:szCs w:val="16"/>
              </w:rPr>
              <w:t xml:space="preserve">Obračunata kamata </w:t>
            </w:r>
          </w:p>
        </w:tc>
        <w:tc>
          <w:tcPr>
            <w:tcW w:w="1219" w:type="dxa"/>
            <w:tcBorders>
              <w:top w:val="nil"/>
              <w:left w:val="nil"/>
              <w:bottom w:val="single" w:sz="4" w:space="0" w:color="auto"/>
              <w:right w:val="nil"/>
            </w:tcBorders>
            <w:shd w:val="clear" w:color="auto" w:fill="auto"/>
            <w:noWrap/>
            <w:vAlign w:val="bottom"/>
            <w:hideMark/>
          </w:tcPr>
          <w:p w14:paraId="5B09989E" w14:textId="77777777" w:rsidR="007B7232" w:rsidRPr="003D1614" w:rsidRDefault="007B7232" w:rsidP="007B7232">
            <w:pPr>
              <w:suppressAutoHyphens/>
              <w:autoSpaceDN w:val="0"/>
              <w:rPr>
                <w:rFonts w:ascii="Arial" w:eastAsia="Calibri" w:hAnsi="Arial" w:cs="Arial"/>
                <w:color w:val="000000"/>
                <w:sz w:val="16"/>
                <w:szCs w:val="16"/>
              </w:rPr>
            </w:pPr>
          </w:p>
        </w:tc>
        <w:tc>
          <w:tcPr>
            <w:tcW w:w="1129" w:type="dxa"/>
            <w:tcBorders>
              <w:top w:val="nil"/>
              <w:left w:val="nil"/>
              <w:bottom w:val="single" w:sz="4" w:space="0" w:color="auto"/>
              <w:right w:val="nil"/>
            </w:tcBorders>
            <w:shd w:val="clear" w:color="auto" w:fill="auto"/>
            <w:noWrap/>
            <w:vAlign w:val="bottom"/>
            <w:hideMark/>
          </w:tcPr>
          <w:p w14:paraId="1A30BF78" w14:textId="77777777" w:rsidR="007B7232" w:rsidRPr="003D1614" w:rsidRDefault="007B7232" w:rsidP="007B7232">
            <w:pPr>
              <w:suppressAutoHyphens/>
              <w:autoSpaceDN w:val="0"/>
              <w:rPr>
                <w:rFonts w:ascii="Arial" w:eastAsia="Calibri" w:hAnsi="Arial" w:cs="Arial"/>
                <w:color w:val="000000"/>
                <w:sz w:val="16"/>
                <w:szCs w:val="16"/>
              </w:rPr>
            </w:pPr>
          </w:p>
        </w:tc>
        <w:tc>
          <w:tcPr>
            <w:tcW w:w="1196" w:type="dxa"/>
            <w:tcBorders>
              <w:top w:val="nil"/>
              <w:left w:val="nil"/>
              <w:bottom w:val="single" w:sz="4" w:space="0" w:color="auto"/>
              <w:right w:val="nil"/>
            </w:tcBorders>
            <w:shd w:val="clear" w:color="auto" w:fill="auto"/>
            <w:noWrap/>
            <w:vAlign w:val="bottom"/>
            <w:hideMark/>
          </w:tcPr>
          <w:p w14:paraId="5B2E0F72" w14:textId="77777777" w:rsidR="007B7232" w:rsidRPr="003D1614" w:rsidRDefault="007B7232" w:rsidP="007B7232">
            <w:pPr>
              <w:suppressAutoHyphens/>
              <w:autoSpaceDN w:val="0"/>
              <w:rPr>
                <w:rFonts w:ascii="Arial" w:eastAsia="Calibri" w:hAnsi="Arial" w:cs="Arial"/>
                <w:color w:val="000000"/>
                <w:sz w:val="16"/>
                <w:szCs w:val="16"/>
              </w:rPr>
            </w:pPr>
          </w:p>
        </w:tc>
        <w:tc>
          <w:tcPr>
            <w:tcW w:w="1155" w:type="dxa"/>
            <w:tcBorders>
              <w:top w:val="nil"/>
              <w:left w:val="nil"/>
              <w:bottom w:val="single" w:sz="4" w:space="0" w:color="auto"/>
              <w:right w:val="nil"/>
            </w:tcBorders>
            <w:shd w:val="clear" w:color="auto" w:fill="auto"/>
            <w:vAlign w:val="bottom"/>
          </w:tcPr>
          <w:p w14:paraId="111372BE" w14:textId="3109AE4A" w:rsidR="007B7232" w:rsidRPr="003D1614" w:rsidRDefault="006B268B" w:rsidP="007B7232">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2</w:t>
            </w:r>
          </w:p>
        </w:tc>
        <w:tc>
          <w:tcPr>
            <w:tcW w:w="1155" w:type="dxa"/>
            <w:tcBorders>
              <w:top w:val="nil"/>
              <w:left w:val="nil"/>
              <w:bottom w:val="single" w:sz="4" w:space="0" w:color="auto"/>
              <w:right w:val="nil"/>
            </w:tcBorders>
            <w:vAlign w:val="bottom"/>
          </w:tcPr>
          <w:p w14:paraId="32258CD6" w14:textId="56F0C9B8" w:rsidR="007B7232" w:rsidRPr="003D1614" w:rsidRDefault="007B7232" w:rsidP="007B7232">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2</w:t>
            </w:r>
          </w:p>
        </w:tc>
        <w:tc>
          <w:tcPr>
            <w:tcW w:w="1155" w:type="dxa"/>
            <w:tcBorders>
              <w:top w:val="nil"/>
              <w:left w:val="nil"/>
              <w:bottom w:val="single" w:sz="4" w:space="0" w:color="auto"/>
              <w:right w:val="nil"/>
            </w:tcBorders>
            <w:shd w:val="clear" w:color="auto" w:fill="auto"/>
            <w:vAlign w:val="bottom"/>
          </w:tcPr>
          <w:p w14:paraId="6598AEDA" w14:textId="5B701111" w:rsidR="007B7232" w:rsidRPr="00A31F86" w:rsidRDefault="006B268B" w:rsidP="007B7232">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2</w:t>
            </w:r>
          </w:p>
        </w:tc>
        <w:tc>
          <w:tcPr>
            <w:tcW w:w="1155" w:type="dxa"/>
            <w:tcBorders>
              <w:top w:val="nil"/>
              <w:left w:val="nil"/>
              <w:bottom w:val="single" w:sz="4" w:space="0" w:color="auto"/>
              <w:right w:val="nil"/>
            </w:tcBorders>
            <w:vAlign w:val="bottom"/>
          </w:tcPr>
          <w:p w14:paraId="2D78DB7B" w14:textId="0A355854" w:rsidR="007B7232" w:rsidRPr="00A31F86" w:rsidRDefault="007B7232" w:rsidP="007B7232">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2</w:t>
            </w:r>
          </w:p>
        </w:tc>
      </w:tr>
      <w:tr w:rsidR="007B7232" w:rsidRPr="003D1614" w14:paraId="6D7BB897" w14:textId="77777777" w:rsidTr="002C73F0">
        <w:trPr>
          <w:trHeight w:val="245"/>
        </w:trPr>
        <w:tc>
          <w:tcPr>
            <w:tcW w:w="2692" w:type="dxa"/>
            <w:tcBorders>
              <w:top w:val="single" w:sz="4" w:space="0" w:color="auto"/>
              <w:left w:val="nil"/>
              <w:bottom w:val="single" w:sz="12" w:space="0" w:color="auto"/>
              <w:right w:val="nil"/>
            </w:tcBorders>
            <w:shd w:val="clear" w:color="auto" w:fill="auto"/>
            <w:noWrap/>
            <w:vAlign w:val="bottom"/>
            <w:hideMark/>
          </w:tcPr>
          <w:p w14:paraId="69852698" w14:textId="77777777" w:rsidR="007B7232" w:rsidRPr="003D1614" w:rsidRDefault="007B7232" w:rsidP="007B7232">
            <w:pPr>
              <w:suppressAutoHyphens/>
              <w:autoSpaceDN w:val="0"/>
              <w:jc w:val="both"/>
              <w:rPr>
                <w:rFonts w:ascii="Arial" w:eastAsia="Calibri" w:hAnsi="Arial" w:cs="Arial"/>
                <w:b/>
                <w:bCs/>
                <w:color w:val="000000"/>
                <w:sz w:val="16"/>
                <w:szCs w:val="16"/>
              </w:rPr>
            </w:pPr>
            <w:r w:rsidRPr="003D1614">
              <w:rPr>
                <w:rFonts w:ascii="Arial" w:eastAsia="Calibri" w:hAnsi="Arial" w:cs="Arial"/>
                <w:b/>
                <w:bCs/>
                <w:color w:val="000000"/>
                <w:sz w:val="16"/>
                <w:szCs w:val="16"/>
              </w:rPr>
              <w:t> </w:t>
            </w:r>
          </w:p>
        </w:tc>
        <w:tc>
          <w:tcPr>
            <w:tcW w:w="1219" w:type="dxa"/>
            <w:tcBorders>
              <w:top w:val="single" w:sz="4" w:space="0" w:color="auto"/>
              <w:left w:val="nil"/>
              <w:bottom w:val="single" w:sz="12" w:space="0" w:color="auto"/>
              <w:right w:val="nil"/>
            </w:tcBorders>
            <w:shd w:val="clear" w:color="auto" w:fill="auto"/>
            <w:noWrap/>
            <w:vAlign w:val="bottom"/>
            <w:hideMark/>
          </w:tcPr>
          <w:p w14:paraId="34269293" w14:textId="77777777" w:rsidR="007B7232" w:rsidRPr="003D1614" w:rsidRDefault="007B7232" w:rsidP="007B7232">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 </w:t>
            </w:r>
          </w:p>
        </w:tc>
        <w:tc>
          <w:tcPr>
            <w:tcW w:w="1129" w:type="dxa"/>
            <w:tcBorders>
              <w:top w:val="single" w:sz="4" w:space="0" w:color="auto"/>
              <w:left w:val="nil"/>
              <w:bottom w:val="single" w:sz="12" w:space="0" w:color="auto"/>
              <w:right w:val="nil"/>
            </w:tcBorders>
            <w:shd w:val="clear" w:color="auto" w:fill="auto"/>
            <w:noWrap/>
            <w:vAlign w:val="bottom"/>
            <w:hideMark/>
          </w:tcPr>
          <w:p w14:paraId="46D1E6D2" w14:textId="77777777" w:rsidR="007B7232" w:rsidRPr="003D1614" w:rsidRDefault="007B7232" w:rsidP="007B7232">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 </w:t>
            </w:r>
          </w:p>
        </w:tc>
        <w:tc>
          <w:tcPr>
            <w:tcW w:w="1196" w:type="dxa"/>
            <w:tcBorders>
              <w:top w:val="single" w:sz="4" w:space="0" w:color="auto"/>
              <w:left w:val="nil"/>
              <w:bottom w:val="single" w:sz="12" w:space="0" w:color="auto"/>
              <w:right w:val="nil"/>
            </w:tcBorders>
            <w:shd w:val="clear" w:color="auto" w:fill="auto"/>
            <w:noWrap/>
            <w:vAlign w:val="bottom"/>
            <w:hideMark/>
          </w:tcPr>
          <w:p w14:paraId="7D90E2D2" w14:textId="77777777" w:rsidR="007B7232" w:rsidRPr="003D1614" w:rsidRDefault="007B7232" w:rsidP="007B7232">
            <w:pPr>
              <w:suppressAutoHyphens/>
              <w:autoSpaceDN w:val="0"/>
              <w:jc w:val="both"/>
              <w:rPr>
                <w:rFonts w:ascii="Arial" w:eastAsia="Calibri" w:hAnsi="Arial" w:cs="Arial"/>
                <w:color w:val="000000"/>
                <w:sz w:val="16"/>
                <w:szCs w:val="16"/>
              </w:rPr>
            </w:pPr>
            <w:r w:rsidRPr="003D1614">
              <w:rPr>
                <w:rFonts w:ascii="Arial" w:eastAsia="Calibri" w:hAnsi="Arial" w:cs="Arial"/>
                <w:color w:val="000000"/>
                <w:sz w:val="16"/>
                <w:szCs w:val="16"/>
              </w:rPr>
              <w:t> </w:t>
            </w:r>
          </w:p>
        </w:tc>
        <w:tc>
          <w:tcPr>
            <w:tcW w:w="1155" w:type="dxa"/>
            <w:tcBorders>
              <w:top w:val="single" w:sz="4" w:space="0" w:color="auto"/>
              <w:left w:val="nil"/>
              <w:bottom w:val="single" w:sz="12" w:space="0" w:color="auto"/>
              <w:right w:val="nil"/>
            </w:tcBorders>
            <w:shd w:val="clear" w:color="auto" w:fill="auto"/>
            <w:vAlign w:val="bottom"/>
          </w:tcPr>
          <w:p w14:paraId="3A5A9F01" w14:textId="3BCC2FFA" w:rsidR="007B7232" w:rsidRPr="003D1614" w:rsidRDefault="001E5751" w:rsidP="007B7232">
            <w:pPr>
              <w:suppressAutoHyphens/>
              <w:autoSpaceDN w:val="0"/>
              <w:jc w:val="right"/>
              <w:rPr>
                <w:rFonts w:ascii="Arial" w:eastAsia="Calibri" w:hAnsi="Arial" w:cs="Arial"/>
                <w:b/>
                <w:bCs/>
                <w:color w:val="000000"/>
                <w:sz w:val="16"/>
                <w:szCs w:val="16"/>
              </w:rPr>
            </w:pPr>
            <w:r>
              <w:rPr>
                <w:rFonts w:ascii="Arial" w:eastAsia="Calibri" w:hAnsi="Arial" w:cs="Arial"/>
                <w:b/>
                <w:bCs/>
                <w:color w:val="000000"/>
                <w:sz w:val="16"/>
                <w:szCs w:val="16"/>
              </w:rPr>
              <w:t>214</w:t>
            </w:r>
          </w:p>
        </w:tc>
        <w:tc>
          <w:tcPr>
            <w:tcW w:w="1155" w:type="dxa"/>
            <w:tcBorders>
              <w:top w:val="single" w:sz="4" w:space="0" w:color="auto"/>
              <w:left w:val="nil"/>
              <w:bottom w:val="single" w:sz="12" w:space="0" w:color="auto"/>
              <w:right w:val="nil"/>
            </w:tcBorders>
            <w:vAlign w:val="bottom"/>
          </w:tcPr>
          <w:p w14:paraId="4192C7FF" w14:textId="62CDF321" w:rsidR="007B7232" w:rsidRPr="003D1614" w:rsidRDefault="007B7232" w:rsidP="007B7232">
            <w:pPr>
              <w:suppressAutoHyphens/>
              <w:autoSpaceDN w:val="0"/>
              <w:jc w:val="right"/>
              <w:rPr>
                <w:rFonts w:ascii="Arial" w:eastAsia="Calibri" w:hAnsi="Arial" w:cs="Arial"/>
                <w:b/>
                <w:bCs/>
                <w:color w:val="000000"/>
                <w:sz w:val="16"/>
                <w:szCs w:val="16"/>
              </w:rPr>
            </w:pPr>
            <w:r>
              <w:rPr>
                <w:rFonts w:ascii="Arial" w:eastAsia="Calibri" w:hAnsi="Arial" w:cs="Arial"/>
                <w:b/>
                <w:bCs/>
                <w:color w:val="000000"/>
                <w:sz w:val="16"/>
                <w:szCs w:val="16"/>
              </w:rPr>
              <w:t>278</w:t>
            </w:r>
          </w:p>
        </w:tc>
        <w:tc>
          <w:tcPr>
            <w:tcW w:w="1155" w:type="dxa"/>
            <w:tcBorders>
              <w:top w:val="single" w:sz="4" w:space="0" w:color="auto"/>
              <w:left w:val="nil"/>
              <w:bottom w:val="single" w:sz="12" w:space="0" w:color="auto"/>
              <w:right w:val="nil"/>
            </w:tcBorders>
            <w:shd w:val="clear" w:color="auto" w:fill="auto"/>
            <w:vAlign w:val="bottom"/>
          </w:tcPr>
          <w:p w14:paraId="370F6B49" w14:textId="5599484B" w:rsidR="007B7232" w:rsidRPr="00A31F86" w:rsidRDefault="001E5751" w:rsidP="007B7232">
            <w:pPr>
              <w:suppressAutoHyphens/>
              <w:autoSpaceDN w:val="0"/>
              <w:jc w:val="right"/>
              <w:rPr>
                <w:rFonts w:ascii="Arial" w:eastAsia="Calibri" w:hAnsi="Arial" w:cs="Arial"/>
                <w:b/>
                <w:bCs/>
                <w:color w:val="000000"/>
                <w:sz w:val="16"/>
                <w:szCs w:val="16"/>
              </w:rPr>
            </w:pPr>
            <w:r>
              <w:rPr>
                <w:rFonts w:ascii="Arial" w:eastAsia="Calibri" w:hAnsi="Arial" w:cs="Arial"/>
                <w:b/>
                <w:bCs/>
                <w:color w:val="000000"/>
                <w:sz w:val="16"/>
                <w:szCs w:val="16"/>
              </w:rPr>
              <w:t>214</w:t>
            </w:r>
          </w:p>
        </w:tc>
        <w:tc>
          <w:tcPr>
            <w:tcW w:w="1155" w:type="dxa"/>
            <w:tcBorders>
              <w:top w:val="single" w:sz="4" w:space="0" w:color="auto"/>
              <w:left w:val="nil"/>
              <w:bottom w:val="single" w:sz="12" w:space="0" w:color="auto"/>
              <w:right w:val="nil"/>
            </w:tcBorders>
            <w:vAlign w:val="bottom"/>
          </w:tcPr>
          <w:p w14:paraId="6593ADB4" w14:textId="7DD1D54E" w:rsidR="007B7232" w:rsidRPr="00A31F86" w:rsidRDefault="007B7232" w:rsidP="007B7232">
            <w:pPr>
              <w:suppressAutoHyphens/>
              <w:autoSpaceDN w:val="0"/>
              <w:jc w:val="right"/>
              <w:rPr>
                <w:rFonts w:ascii="Arial" w:eastAsia="Calibri" w:hAnsi="Arial" w:cs="Arial"/>
                <w:b/>
                <w:bCs/>
                <w:color w:val="000000"/>
                <w:sz w:val="16"/>
                <w:szCs w:val="16"/>
              </w:rPr>
            </w:pPr>
            <w:r>
              <w:rPr>
                <w:rFonts w:ascii="Arial" w:eastAsia="Calibri" w:hAnsi="Arial" w:cs="Arial"/>
                <w:b/>
                <w:bCs/>
                <w:color w:val="000000"/>
                <w:sz w:val="16"/>
                <w:szCs w:val="16"/>
              </w:rPr>
              <w:t>278</w:t>
            </w:r>
          </w:p>
        </w:tc>
      </w:tr>
      <w:tr w:rsidR="007B7232" w:rsidRPr="003D1614" w14:paraId="35E8C438" w14:textId="77777777" w:rsidTr="002C73F0">
        <w:trPr>
          <w:trHeight w:hRule="exact" w:val="170"/>
        </w:trPr>
        <w:tc>
          <w:tcPr>
            <w:tcW w:w="2692" w:type="dxa"/>
            <w:tcBorders>
              <w:top w:val="single" w:sz="12" w:space="0" w:color="auto"/>
              <w:left w:val="nil"/>
              <w:right w:val="nil"/>
            </w:tcBorders>
            <w:shd w:val="clear" w:color="auto" w:fill="auto"/>
            <w:noWrap/>
            <w:vAlign w:val="bottom"/>
          </w:tcPr>
          <w:p w14:paraId="3E656FC4" w14:textId="77777777" w:rsidR="007B7232" w:rsidRPr="003D1614" w:rsidRDefault="007B7232" w:rsidP="007B7232">
            <w:pPr>
              <w:suppressAutoHyphens/>
              <w:autoSpaceDN w:val="0"/>
              <w:jc w:val="both"/>
              <w:rPr>
                <w:rFonts w:ascii="Arial" w:eastAsia="Calibri" w:hAnsi="Arial" w:cs="Arial"/>
                <w:b/>
                <w:bCs/>
                <w:color w:val="000000"/>
                <w:sz w:val="16"/>
                <w:szCs w:val="16"/>
              </w:rPr>
            </w:pPr>
          </w:p>
        </w:tc>
        <w:tc>
          <w:tcPr>
            <w:tcW w:w="1219" w:type="dxa"/>
            <w:tcBorders>
              <w:top w:val="single" w:sz="12" w:space="0" w:color="auto"/>
              <w:left w:val="nil"/>
              <w:right w:val="nil"/>
            </w:tcBorders>
            <w:shd w:val="clear" w:color="auto" w:fill="auto"/>
            <w:noWrap/>
            <w:vAlign w:val="bottom"/>
          </w:tcPr>
          <w:p w14:paraId="547D963B" w14:textId="77777777" w:rsidR="007B7232" w:rsidRPr="003D1614" w:rsidRDefault="007B7232" w:rsidP="007B7232">
            <w:pPr>
              <w:suppressAutoHyphens/>
              <w:autoSpaceDN w:val="0"/>
              <w:jc w:val="right"/>
              <w:rPr>
                <w:rFonts w:ascii="Arial" w:eastAsia="Calibri" w:hAnsi="Arial" w:cs="Arial"/>
                <w:color w:val="000000"/>
                <w:sz w:val="16"/>
                <w:szCs w:val="16"/>
              </w:rPr>
            </w:pPr>
          </w:p>
        </w:tc>
        <w:tc>
          <w:tcPr>
            <w:tcW w:w="1129" w:type="dxa"/>
            <w:tcBorders>
              <w:top w:val="single" w:sz="12" w:space="0" w:color="auto"/>
              <w:left w:val="nil"/>
              <w:right w:val="nil"/>
            </w:tcBorders>
            <w:shd w:val="clear" w:color="auto" w:fill="auto"/>
            <w:noWrap/>
            <w:vAlign w:val="bottom"/>
          </w:tcPr>
          <w:p w14:paraId="70F94214" w14:textId="77777777" w:rsidR="007B7232" w:rsidRPr="003D1614" w:rsidRDefault="007B7232" w:rsidP="007B7232">
            <w:pPr>
              <w:suppressAutoHyphens/>
              <w:autoSpaceDN w:val="0"/>
              <w:jc w:val="right"/>
              <w:rPr>
                <w:rFonts w:ascii="Arial" w:eastAsia="Calibri" w:hAnsi="Arial" w:cs="Arial"/>
                <w:color w:val="000000"/>
                <w:sz w:val="16"/>
                <w:szCs w:val="16"/>
              </w:rPr>
            </w:pPr>
          </w:p>
        </w:tc>
        <w:tc>
          <w:tcPr>
            <w:tcW w:w="1196" w:type="dxa"/>
            <w:tcBorders>
              <w:top w:val="single" w:sz="12" w:space="0" w:color="auto"/>
              <w:left w:val="nil"/>
              <w:right w:val="nil"/>
            </w:tcBorders>
            <w:shd w:val="clear" w:color="auto" w:fill="auto"/>
            <w:noWrap/>
            <w:vAlign w:val="bottom"/>
          </w:tcPr>
          <w:p w14:paraId="2568E1A5" w14:textId="77777777" w:rsidR="007B7232" w:rsidRPr="003D1614" w:rsidRDefault="007B7232" w:rsidP="007B7232">
            <w:pPr>
              <w:suppressAutoHyphens/>
              <w:autoSpaceDN w:val="0"/>
              <w:jc w:val="both"/>
              <w:rPr>
                <w:rFonts w:ascii="Arial" w:eastAsia="Calibri" w:hAnsi="Arial" w:cs="Arial"/>
                <w:color w:val="000000"/>
                <w:sz w:val="16"/>
                <w:szCs w:val="16"/>
              </w:rPr>
            </w:pPr>
          </w:p>
        </w:tc>
        <w:tc>
          <w:tcPr>
            <w:tcW w:w="1155" w:type="dxa"/>
            <w:tcBorders>
              <w:top w:val="single" w:sz="12" w:space="0" w:color="auto"/>
              <w:left w:val="nil"/>
              <w:right w:val="nil"/>
            </w:tcBorders>
            <w:vAlign w:val="bottom"/>
          </w:tcPr>
          <w:p w14:paraId="43A52B77" w14:textId="77777777" w:rsidR="007B7232" w:rsidRPr="003D1614" w:rsidDel="00714EAD" w:rsidRDefault="007B7232" w:rsidP="007B7232">
            <w:pPr>
              <w:suppressAutoHyphens/>
              <w:autoSpaceDN w:val="0"/>
              <w:jc w:val="right"/>
              <w:rPr>
                <w:rFonts w:ascii="Arial" w:eastAsia="Calibri" w:hAnsi="Arial" w:cs="Arial"/>
                <w:b/>
                <w:bCs/>
                <w:color w:val="000000"/>
                <w:sz w:val="16"/>
                <w:szCs w:val="16"/>
              </w:rPr>
            </w:pPr>
          </w:p>
        </w:tc>
        <w:tc>
          <w:tcPr>
            <w:tcW w:w="1155" w:type="dxa"/>
            <w:tcBorders>
              <w:top w:val="single" w:sz="12" w:space="0" w:color="auto"/>
              <w:left w:val="nil"/>
              <w:right w:val="nil"/>
            </w:tcBorders>
            <w:vAlign w:val="bottom"/>
          </w:tcPr>
          <w:p w14:paraId="32815ABC" w14:textId="77777777" w:rsidR="007B7232" w:rsidRPr="003D1614" w:rsidDel="00714EAD" w:rsidRDefault="007B7232" w:rsidP="007B7232">
            <w:pPr>
              <w:suppressAutoHyphens/>
              <w:autoSpaceDN w:val="0"/>
              <w:jc w:val="right"/>
              <w:rPr>
                <w:rFonts w:ascii="Arial" w:eastAsia="Calibri" w:hAnsi="Arial" w:cs="Arial"/>
                <w:b/>
                <w:bCs/>
                <w:color w:val="000000"/>
                <w:sz w:val="16"/>
                <w:szCs w:val="16"/>
              </w:rPr>
            </w:pPr>
          </w:p>
        </w:tc>
        <w:tc>
          <w:tcPr>
            <w:tcW w:w="1155" w:type="dxa"/>
            <w:tcBorders>
              <w:top w:val="single" w:sz="12" w:space="0" w:color="auto"/>
              <w:left w:val="nil"/>
              <w:right w:val="nil"/>
            </w:tcBorders>
            <w:shd w:val="clear" w:color="auto" w:fill="auto"/>
            <w:vAlign w:val="bottom"/>
          </w:tcPr>
          <w:p w14:paraId="2782A45B" w14:textId="77777777" w:rsidR="007B7232" w:rsidRPr="00A31F86" w:rsidDel="00714EAD" w:rsidRDefault="007B7232" w:rsidP="007B7232">
            <w:pPr>
              <w:suppressAutoHyphens/>
              <w:autoSpaceDN w:val="0"/>
              <w:jc w:val="right"/>
              <w:rPr>
                <w:rFonts w:ascii="Arial" w:eastAsia="Calibri" w:hAnsi="Arial" w:cs="Arial"/>
                <w:b/>
                <w:bCs/>
                <w:color w:val="000000"/>
                <w:sz w:val="16"/>
                <w:szCs w:val="16"/>
              </w:rPr>
            </w:pPr>
          </w:p>
        </w:tc>
        <w:tc>
          <w:tcPr>
            <w:tcW w:w="1155" w:type="dxa"/>
            <w:tcBorders>
              <w:top w:val="single" w:sz="12" w:space="0" w:color="auto"/>
              <w:left w:val="nil"/>
              <w:right w:val="nil"/>
            </w:tcBorders>
            <w:vAlign w:val="bottom"/>
          </w:tcPr>
          <w:p w14:paraId="59E80A87" w14:textId="77777777" w:rsidR="007B7232" w:rsidRPr="00A31F86" w:rsidDel="00714EAD" w:rsidRDefault="007B7232" w:rsidP="007B7232">
            <w:pPr>
              <w:suppressAutoHyphens/>
              <w:autoSpaceDN w:val="0"/>
              <w:jc w:val="right"/>
              <w:rPr>
                <w:rFonts w:ascii="Arial" w:eastAsia="Calibri" w:hAnsi="Arial" w:cs="Arial"/>
                <w:b/>
                <w:bCs/>
                <w:color w:val="000000"/>
                <w:sz w:val="16"/>
                <w:szCs w:val="16"/>
              </w:rPr>
            </w:pPr>
          </w:p>
        </w:tc>
      </w:tr>
      <w:tr w:rsidR="007B7232" w:rsidRPr="003D1614" w14:paraId="664243EE" w14:textId="77777777" w:rsidTr="002C73F0">
        <w:trPr>
          <w:trHeight w:val="245"/>
        </w:trPr>
        <w:tc>
          <w:tcPr>
            <w:tcW w:w="2692" w:type="dxa"/>
            <w:tcBorders>
              <w:left w:val="nil"/>
              <w:right w:val="nil"/>
            </w:tcBorders>
            <w:shd w:val="clear" w:color="auto" w:fill="auto"/>
            <w:noWrap/>
            <w:vAlign w:val="bottom"/>
          </w:tcPr>
          <w:p w14:paraId="3DBC76C1" w14:textId="77777777" w:rsidR="007B7232" w:rsidRPr="003D1614" w:rsidRDefault="007B7232" w:rsidP="007B7232">
            <w:pPr>
              <w:suppressAutoHyphens/>
              <w:autoSpaceDN w:val="0"/>
              <w:jc w:val="both"/>
              <w:rPr>
                <w:rFonts w:ascii="Arial" w:eastAsia="Calibri" w:hAnsi="Arial" w:cs="Arial"/>
                <w:b/>
                <w:bCs/>
                <w:color w:val="000000"/>
                <w:sz w:val="16"/>
                <w:szCs w:val="16"/>
              </w:rPr>
            </w:pPr>
            <w:r w:rsidRPr="003D1614">
              <w:rPr>
                <w:rFonts w:ascii="Arial" w:eastAsia="Calibri" w:hAnsi="Arial" w:cs="Arial"/>
                <w:b/>
                <w:bCs/>
                <w:color w:val="000000"/>
                <w:sz w:val="16"/>
                <w:szCs w:val="16"/>
              </w:rPr>
              <w:t>Vlasnički vrijednosni papiri:</w:t>
            </w:r>
          </w:p>
        </w:tc>
        <w:tc>
          <w:tcPr>
            <w:tcW w:w="1219" w:type="dxa"/>
            <w:tcBorders>
              <w:left w:val="nil"/>
              <w:right w:val="nil"/>
            </w:tcBorders>
            <w:shd w:val="clear" w:color="auto" w:fill="auto"/>
            <w:noWrap/>
            <w:vAlign w:val="bottom"/>
          </w:tcPr>
          <w:p w14:paraId="02249EDC" w14:textId="77777777" w:rsidR="007B7232" w:rsidRPr="003D1614" w:rsidRDefault="007B7232" w:rsidP="007B7232">
            <w:pPr>
              <w:suppressAutoHyphens/>
              <w:autoSpaceDN w:val="0"/>
              <w:jc w:val="right"/>
              <w:rPr>
                <w:rFonts w:ascii="Arial" w:eastAsia="Calibri" w:hAnsi="Arial" w:cs="Arial"/>
                <w:color w:val="000000"/>
                <w:sz w:val="16"/>
                <w:szCs w:val="16"/>
              </w:rPr>
            </w:pPr>
          </w:p>
        </w:tc>
        <w:tc>
          <w:tcPr>
            <w:tcW w:w="1129" w:type="dxa"/>
            <w:tcBorders>
              <w:left w:val="nil"/>
              <w:right w:val="nil"/>
            </w:tcBorders>
            <w:shd w:val="clear" w:color="auto" w:fill="auto"/>
            <w:noWrap/>
            <w:vAlign w:val="bottom"/>
          </w:tcPr>
          <w:p w14:paraId="51EF221B" w14:textId="77777777" w:rsidR="007B7232" w:rsidRPr="003D1614" w:rsidRDefault="007B7232" w:rsidP="007B7232">
            <w:pPr>
              <w:suppressAutoHyphens/>
              <w:autoSpaceDN w:val="0"/>
              <w:jc w:val="right"/>
              <w:rPr>
                <w:rFonts w:ascii="Arial" w:eastAsia="Calibri" w:hAnsi="Arial" w:cs="Arial"/>
                <w:color w:val="000000"/>
                <w:sz w:val="16"/>
                <w:szCs w:val="16"/>
              </w:rPr>
            </w:pPr>
          </w:p>
        </w:tc>
        <w:tc>
          <w:tcPr>
            <w:tcW w:w="1196" w:type="dxa"/>
            <w:tcBorders>
              <w:left w:val="nil"/>
              <w:right w:val="nil"/>
            </w:tcBorders>
            <w:shd w:val="clear" w:color="auto" w:fill="auto"/>
            <w:noWrap/>
            <w:vAlign w:val="bottom"/>
          </w:tcPr>
          <w:p w14:paraId="5DFC4AE3" w14:textId="77777777" w:rsidR="007B7232" w:rsidRPr="003D1614" w:rsidRDefault="007B7232" w:rsidP="007B7232">
            <w:pPr>
              <w:suppressAutoHyphens/>
              <w:autoSpaceDN w:val="0"/>
              <w:jc w:val="both"/>
              <w:rPr>
                <w:rFonts w:ascii="Arial" w:eastAsia="Calibri" w:hAnsi="Arial" w:cs="Arial"/>
                <w:color w:val="000000"/>
                <w:sz w:val="16"/>
                <w:szCs w:val="16"/>
              </w:rPr>
            </w:pPr>
          </w:p>
        </w:tc>
        <w:tc>
          <w:tcPr>
            <w:tcW w:w="1155" w:type="dxa"/>
            <w:tcBorders>
              <w:left w:val="nil"/>
              <w:right w:val="nil"/>
            </w:tcBorders>
            <w:vAlign w:val="bottom"/>
          </w:tcPr>
          <w:p w14:paraId="32D1D895" w14:textId="77777777" w:rsidR="007B7232" w:rsidRPr="003D1614" w:rsidDel="00714EAD" w:rsidRDefault="007B7232" w:rsidP="007B7232">
            <w:pPr>
              <w:suppressAutoHyphens/>
              <w:autoSpaceDN w:val="0"/>
              <w:jc w:val="right"/>
              <w:rPr>
                <w:rFonts w:ascii="Arial" w:eastAsia="Calibri" w:hAnsi="Arial" w:cs="Arial"/>
                <w:b/>
                <w:bCs/>
                <w:color w:val="000000"/>
                <w:sz w:val="16"/>
                <w:szCs w:val="16"/>
              </w:rPr>
            </w:pPr>
          </w:p>
        </w:tc>
        <w:tc>
          <w:tcPr>
            <w:tcW w:w="1155" w:type="dxa"/>
            <w:tcBorders>
              <w:left w:val="nil"/>
              <w:right w:val="nil"/>
            </w:tcBorders>
            <w:vAlign w:val="bottom"/>
          </w:tcPr>
          <w:p w14:paraId="376E981B" w14:textId="77777777" w:rsidR="007B7232" w:rsidRPr="003D1614" w:rsidDel="00714EAD" w:rsidRDefault="007B7232" w:rsidP="007B7232">
            <w:pPr>
              <w:suppressAutoHyphens/>
              <w:autoSpaceDN w:val="0"/>
              <w:jc w:val="right"/>
              <w:rPr>
                <w:rFonts w:ascii="Arial" w:eastAsia="Calibri" w:hAnsi="Arial" w:cs="Arial"/>
                <w:b/>
                <w:bCs/>
                <w:color w:val="000000"/>
                <w:sz w:val="16"/>
                <w:szCs w:val="16"/>
              </w:rPr>
            </w:pPr>
          </w:p>
        </w:tc>
        <w:tc>
          <w:tcPr>
            <w:tcW w:w="1155" w:type="dxa"/>
            <w:tcBorders>
              <w:left w:val="nil"/>
              <w:right w:val="nil"/>
            </w:tcBorders>
            <w:shd w:val="clear" w:color="auto" w:fill="auto"/>
            <w:vAlign w:val="bottom"/>
          </w:tcPr>
          <w:p w14:paraId="28CE24B1" w14:textId="77777777" w:rsidR="007B7232" w:rsidRPr="00A31F86" w:rsidDel="00714EAD" w:rsidRDefault="007B7232" w:rsidP="007B7232">
            <w:pPr>
              <w:suppressAutoHyphens/>
              <w:autoSpaceDN w:val="0"/>
              <w:jc w:val="right"/>
              <w:rPr>
                <w:rFonts w:ascii="Arial" w:eastAsia="Calibri" w:hAnsi="Arial" w:cs="Arial"/>
                <w:b/>
                <w:bCs/>
                <w:color w:val="000000"/>
                <w:sz w:val="16"/>
                <w:szCs w:val="16"/>
              </w:rPr>
            </w:pPr>
          </w:p>
        </w:tc>
        <w:tc>
          <w:tcPr>
            <w:tcW w:w="1155" w:type="dxa"/>
            <w:tcBorders>
              <w:left w:val="nil"/>
              <w:right w:val="nil"/>
            </w:tcBorders>
            <w:vAlign w:val="bottom"/>
          </w:tcPr>
          <w:p w14:paraId="07626ED3" w14:textId="77777777" w:rsidR="007B7232" w:rsidRPr="00A31F86" w:rsidDel="00714EAD" w:rsidRDefault="007B7232" w:rsidP="007B7232">
            <w:pPr>
              <w:suppressAutoHyphens/>
              <w:autoSpaceDN w:val="0"/>
              <w:jc w:val="right"/>
              <w:rPr>
                <w:rFonts w:ascii="Arial" w:eastAsia="Calibri" w:hAnsi="Arial" w:cs="Arial"/>
                <w:b/>
                <w:bCs/>
                <w:color w:val="000000"/>
                <w:sz w:val="16"/>
                <w:szCs w:val="16"/>
              </w:rPr>
            </w:pPr>
          </w:p>
        </w:tc>
      </w:tr>
      <w:tr w:rsidR="007B7232" w:rsidRPr="003D1614" w14:paraId="6A7480B6" w14:textId="77777777" w:rsidTr="002C73F0">
        <w:trPr>
          <w:trHeight w:val="245"/>
        </w:trPr>
        <w:tc>
          <w:tcPr>
            <w:tcW w:w="3911" w:type="dxa"/>
            <w:gridSpan w:val="2"/>
            <w:tcBorders>
              <w:left w:val="nil"/>
              <w:right w:val="nil"/>
            </w:tcBorders>
            <w:shd w:val="clear" w:color="auto" w:fill="auto"/>
            <w:noWrap/>
            <w:vAlign w:val="bottom"/>
          </w:tcPr>
          <w:p w14:paraId="1734F2E8" w14:textId="77777777" w:rsidR="007B7232" w:rsidRPr="003D1614" w:rsidRDefault="007B7232" w:rsidP="007B7232">
            <w:pPr>
              <w:suppressAutoHyphens/>
              <w:autoSpaceDN w:val="0"/>
              <w:rPr>
                <w:rFonts w:ascii="Arial" w:eastAsia="Calibri" w:hAnsi="Arial" w:cs="Arial"/>
                <w:color w:val="000000"/>
                <w:sz w:val="16"/>
                <w:szCs w:val="16"/>
              </w:rPr>
            </w:pPr>
            <w:r w:rsidRPr="003D1614">
              <w:rPr>
                <w:rFonts w:ascii="Arial" w:eastAsia="Calibri" w:hAnsi="Arial" w:cs="Arial"/>
                <w:bCs/>
                <w:color w:val="000000"/>
                <w:sz w:val="16"/>
                <w:szCs w:val="16"/>
              </w:rPr>
              <w:t>Vlasnički vrijednosni papiri koji ne kotiraju:</w:t>
            </w:r>
          </w:p>
        </w:tc>
        <w:tc>
          <w:tcPr>
            <w:tcW w:w="1129" w:type="dxa"/>
            <w:tcBorders>
              <w:left w:val="nil"/>
              <w:right w:val="nil"/>
            </w:tcBorders>
            <w:shd w:val="clear" w:color="auto" w:fill="auto"/>
            <w:noWrap/>
            <w:vAlign w:val="bottom"/>
          </w:tcPr>
          <w:p w14:paraId="655761E8" w14:textId="77777777" w:rsidR="007B7232" w:rsidRPr="003D1614" w:rsidRDefault="007B7232" w:rsidP="007B7232">
            <w:pPr>
              <w:suppressAutoHyphens/>
              <w:autoSpaceDN w:val="0"/>
              <w:jc w:val="right"/>
              <w:rPr>
                <w:rFonts w:ascii="Arial" w:eastAsia="Calibri" w:hAnsi="Arial" w:cs="Arial"/>
                <w:color w:val="000000"/>
                <w:sz w:val="16"/>
                <w:szCs w:val="16"/>
              </w:rPr>
            </w:pPr>
          </w:p>
        </w:tc>
        <w:tc>
          <w:tcPr>
            <w:tcW w:w="1196" w:type="dxa"/>
            <w:tcBorders>
              <w:left w:val="nil"/>
              <w:right w:val="nil"/>
            </w:tcBorders>
            <w:shd w:val="clear" w:color="auto" w:fill="auto"/>
            <w:noWrap/>
            <w:vAlign w:val="bottom"/>
          </w:tcPr>
          <w:p w14:paraId="6453E0E3" w14:textId="77777777" w:rsidR="007B7232" w:rsidRPr="003D1614" w:rsidRDefault="007B7232" w:rsidP="007B7232">
            <w:pPr>
              <w:suppressAutoHyphens/>
              <w:autoSpaceDN w:val="0"/>
              <w:jc w:val="both"/>
              <w:rPr>
                <w:rFonts w:ascii="Arial" w:eastAsia="Calibri" w:hAnsi="Arial" w:cs="Arial"/>
                <w:color w:val="000000"/>
                <w:sz w:val="16"/>
                <w:szCs w:val="16"/>
              </w:rPr>
            </w:pPr>
          </w:p>
        </w:tc>
        <w:tc>
          <w:tcPr>
            <w:tcW w:w="1155" w:type="dxa"/>
            <w:tcBorders>
              <w:left w:val="nil"/>
              <w:right w:val="nil"/>
            </w:tcBorders>
            <w:vAlign w:val="bottom"/>
          </w:tcPr>
          <w:p w14:paraId="00E75BFB" w14:textId="77777777" w:rsidR="007B7232" w:rsidRPr="003D1614" w:rsidDel="00714EAD" w:rsidRDefault="007B7232" w:rsidP="007B7232">
            <w:pPr>
              <w:suppressAutoHyphens/>
              <w:autoSpaceDN w:val="0"/>
              <w:jc w:val="right"/>
              <w:rPr>
                <w:rFonts w:ascii="Arial" w:eastAsia="Calibri" w:hAnsi="Arial" w:cs="Arial"/>
                <w:b/>
                <w:bCs/>
                <w:color w:val="000000"/>
                <w:sz w:val="16"/>
                <w:szCs w:val="16"/>
              </w:rPr>
            </w:pPr>
          </w:p>
        </w:tc>
        <w:tc>
          <w:tcPr>
            <w:tcW w:w="1155" w:type="dxa"/>
            <w:tcBorders>
              <w:left w:val="nil"/>
              <w:right w:val="nil"/>
            </w:tcBorders>
            <w:shd w:val="clear" w:color="auto" w:fill="auto"/>
            <w:vAlign w:val="bottom"/>
          </w:tcPr>
          <w:p w14:paraId="46C054CB" w14:textId="77777777" w:rsidR="007B7232" w:rsidRPr="003D1614" w:rsidDel="00714EAD" w:rsidRDefault="007B7232" w:rsidP="007B7232">
            <w:pPr>
              <w:suppressAutoHyphens/>
              <w:autoSpaceDN w:val="0"/>
              <w:jc w:val="right"/>
              <w:rPr>
                <w:rFonts w:ascii="Arial" w:eastAsia="Calibri" w:hAnsi="Arial" w:cs="Arial"/>
                <w:b/>
                <w:bCs/>
                <w:color w:val="000000"/>
                <w:sz w:val="16"/>
                <w:szCs w:val="16"/>
              </w:rPr>
            </w:pPr>
          </w:p>
        </w:tc>
        <w:tc>
          <w:tcPr>
            <w:tcW w:w="1155" w:type="dxa"/>
            <w:tcBorders>
              <w:left w:val="nil"/>
              <w:right w:val="nil"/>
            </w:tcBorders>
            <w:vAlign w:val="bottom"/>
          </w:tcPr>
          <w:p w14:paraId="5B81DAD2" w14:textId="77777777" w:rsidR="007B7232" w:rsidRPr="00A31F86" w:rsidDel="00714EAD" w:rsidRDefault="007B7232" w:rsidP="007B7232">
            <w:pPr>
              <w:suppressAutoHyphens/>
              <w:autoSpaceDN w:val="0"/>
              <w:jc w:val="right"/>
              <w:rPr>
                <w:rFonts w:ascii="Arial" w:eastAsia="Calibri" w:hAnsi="Arial" w:cs="Arial"/>
                <w:b/>
                <w:bCs/>
                <w:color w:val="000000"/>
                <w:sz w:val="16"/>
                <w:szCs w:val="16"/>
              </w:rPr>
            </w:pPr>
          </w:p>
        </w:tc>
        <w:tc>
          <w:tcPr>
            <w:tcW w:w="1155" w:type="dxa"/>
            <w:tcBorders>
              <w:left w:val="nil"/>
              <w:right w:val="nil"/>
            </w:tcBorders>
            <w:shd w:val="clear" w:color="auto" w:fill="auto"/>
            <w:vAlign w:val="bottom"/>
          </w:tcPr>
          <w:p w14:paraId="1FB47EE3" w14:textId="77777777" w:rsidR="007B7232" w:rsidRPr="00A31F86" w:rsidDel="00714EAD" w:rsidRDefault="007B7232" w:rsidP="007B7232">
            <w:pPr>
              <w:suppressAutoHyphens/>
              <w:autoSpaceDN w:val="0"/>
              <w:jc w:val="right"/>
              <w:rPr>
                <w:rFonts w:ascii="Arial" w:eastAsia="Calibri" w:hAnsi="Arial" w:cs="Arial"/>
                <w:b/>
                <w:bCs/>
                <w:color w:val="000000"/>
                <w:sz w:val="16"/>
                <w:szCs w:val="16"/>
              </w:rPr>
            </w:pPr>
          </w:p>
        </w:tc>
      </w:tr>
      <w:tr w:rsidR="007B7232" w:rsidRPr="003D1614" w14:paraId="74D91B70" w14:textId="77777777" w:rsidTr="002C73F0">
        <w:trPr>
          <w:trHeight w:val="245"/>
        </w:trPr>
        <w:tc>
          <w:tcPr>
            <w:tcW w:w="5040" w:type="dxa"/>
            <w:gridSpan w:val="3"/>
            <w:tcBorders>
              <w:left w:val="nil"/>
              <w:right w:val="nil"/>
            </w:tcBorders>
            <w:shd w:val="clear" w:color="auto" w:fill="auto"/>
            <w:noWrap/>
            <w:vAlign w:val="bottom"/>
          </w:tcPr>
          <w:p w14:paraId="127AB371" w14:textId="77777777" w:rsidR="007B7232" w:rsidRPr="003D1614" w:rsidRDefault="007B7232" w:rsidP="007B7232">
            <w:pPr>
              <w:suppressAutoHyphens/>
              <w:autoSpaceDN w:val="0"/>
              <w:rPr>
                <w:rFonts w:ascii="Arial" w:eastAsia="Calibri" w:hAnsi="Arial" w:cs="Arial"/>
                <w:color w:val="000000"/>
                <w:sz w:val="16"/>
                <w:szCs w:val="16"/>
              </w:rPr>
            </w:pPr>
            <w:r w:rsidRPr="003D1614">
              <w:rPr>
                <w:rFonts w:ascii="Arial" w:eastAsia="Calibri" w:hAnsi="Arial" w:cs="Arial"/>
                <w:color w:val="000000"/>
                <w:sz w:val="16"/>
                <w:szCs w:val="16"/>
              </w:rPr>
              <w:t>Dionice inozemnih pravnih osoba - SWIFT</w:t>
            </w:r>
          </w:p>
        </w:tc>
        <w:tc>
          <w:tcPr>
            <w:tcW w:w="1196" w:type="dxa"/>
            <w:tcBorders>
              <w:left w:val="nil"/>
              <w:right w:val="nil"/>
            </w:tcBorders>
            <w:shd w:val="clear" w:color="auto" w:fill="auto"/>
            <w:noWrap/>
            <w:vAlign w:val="bottom"/>
          </w:tcPr>
          <w:p w14:paraId="0842AA0E" w14:textId="77777777" w:rsidR="007B7232" w:rsidRPr="003D1614" w:rsidRDefault="007B7232" w:rsidP="007B7232">
            <w:pPr>
              <w:suppressAutoHyphens/>
              <w:autoSpaceDN w:val="0"/>
              <w:jc w:val="both"/>
              <w:rPr>
                <w:rFonts w:ascii="Arial" w:eastAsia="Calibri" w:hAnsi="Arial" w:cs="Arial"/>
                <w:color w:val="000000"/>
                <w:sz w:val="16"/>
                <w:szCs w:val="16"/>
              </w:rPr>
            </w:pPr>
          </w:p>
        </w:tc>
        <w:tc>
          <w:tcPr>
            <w:tcW w:w="1155" w:type="dxa"/>
            <w:tcBorders>
              <w:top w:val="nil"/>
              <w:left w:val="nil"/>
              <w:bottom w:val="nil"/>
              <w:right w:val="nil"/>
            </w:tcBorders>
            <w:vAlign w:val="bottom"/>
          </w:tcPr>
          <w:p w14:paraId="008290D0" w14:textId="4AD7D032" w:rsidR="007B7232" w:rsidRPr="003D1614" w:rsidRDefault="00B4292D" w:rsidP="007B7232">
            <w:pPr>
              <w:suppressAutoHyphens/>
              <w:autoSpaceDN w:val="0"/>
              <w:jc w:val="right"/>
              <w:rPr>
                <w:rFonts w:ascii="Arial" w:eastAsia="Calibri" w:hAnsi="Arial" w:cs="Arial"/>
                <w:bCs/>
                <w:color w:val="000000"/>
                <w:sz w:val="16"/>
                <w:szCs w:val="16"/>
              </w:rPr>
            </w:pPr>
            <w:r>
              <w:rPr>
                <w:rFonts w:ascii="Arial" w:eastAsia="Calibri" w:hAnsi="Arial" w:cs="Arial"/>
                <w:bCs/>
                <w:color w:val="000000"/>
                <w:sz w:val="16"/>
                <w:szCs w:val="16"/>
              </w:rPr>
              <w:t>8</w:t>
            </w:r>
          </w:p>
        </w:tc>
        <w:tc>
          <w:tcPr>
            <w:tcW w:w="1155" w:type="dxa"/>
            <w:tcBorders>
              <w:left w:val="nil"/>
              <w:right w:val="nil"/>
            </w:tcBorders>
            <w:vAlign w:val="bottom"/>
          </w:tcPr>
          <w:p w14:paraId="2BFA381B" w14:textId="75F10F83" w:rsidR="007B7232" w:rsidRPr="003D1614" w:rsidDel="00714EAD" w:rsidRDefault="007B7232" w:rsidP="007B7232">
            <w:pPr>
              <w:suppressAutoHyphens/>
              <w:autoSpaceDN w:val="0"/>
              <w:jc w:val="right"/>
              <w:rPr>
                <w:rFonts w:ascii="Arial" w:eastAsia="Calibri" w:hAnsi="Arial" w:cs="Arial"/>
                <w:bCs/>
                <w:color w:val="000000"/>
                <w:sz w:val="16"/>
                <w:szCs w:val="16"/>
              </w:rPr>
            </w:pPr>
            <w:r>
              <w:rPr>
                <w:rFonts w:ascii="Arial" w:eastAsia="Calibri" w:hAnsi="Arial" w:cs="Arial"/>
                <w:bCs/>
                <w:color w:val="000000"/>
                <w:sz w:val="16"/>
                <w:szCs w:val="16"/>
              </w:rPr>
              <w:t>8</w:t>
            </w:r>
          </w:p>
        </w:tc>
        <w:tc>
          <w:tcPr>
            <w:tcW w:w="1155" w:type="dxa"/>
            <w:tcBorders>
              <w:top w:val="nil"/>
              <w:left w:val="nil"/>
              <w:bottom w:val="nil"/>
              <w:right w:val="nil"/>
            </w:tcBorders>
            <w:vAlign w:val="bottom"/>
          </w:tcPr>
          <w:p w14:paraId="394734A8" w14:textId="53E8F676" w:rsidR="007B7232" w:rsidRPr="00A31F86" w:rsidRDefault="00EF1009" w:rsidP="007B7232">
            <w:pPr>
              <w:suppressAutoHyphens/>
              <w:autoSpaceDN w:val="0"/>
              <w:jc w:val="right"/>
              <w:rPr>
                <w:rFonts w:ascii="Arial" w:eastAsia="Calibri" w:hAnsi="Arial" w:cs="Arial"/>
                <w:bCs/>
                <w:color w:val="000000"/>
                <w:sz w:val="16"/>
                <w:szCs w:val="16"/>
              </w:rPr>
            </w:pPr>
            <w:r>
              <w:rPr>
                <w:rFonts w:ascii="Arial" w:eastAsia="Calibri" w:hAnsi="Arial" w:cs="Arial"/>
                <w:bCs/>
                <w:color w:val="000000"/>
                <w:sz w:val="16"/>
                <w:szCs w:val="16"/>
              </w:rPr>
              <w:t>8</w:t>
            </w:r>
          </w:p>
        </w:tc>
        <w:tc>
          <w:tcPr>
            <w:tcW w:w="1155" w:type="dxa"/>
            <w:tcBorders>
              <w:left w:val="nil"/>
              <w:right w:val="nil"/>
            </w:tcBorders>
            <w:vAlign w:val="bottom"/>
          </w:tcPr>
          <w:p w14:paraId="7BBBF5FE" w14:textId="1AC79350" w:rsidR="007B7232" w:rsidRPr="00A31F86" w:rsidDel="00714EAD" w:rsidRDefault="007B7232" w:rsidP="007B7232">
            <w:pPr>
              <w:suppressAutoHyphens/>
              <w:autoSpaceDN w:val="0"/>
              <w:jc w:val="right"/>
              <w:rPr>
                <w:rFonts w:ascii="Arial" w:eastAsia="Calibri" w:hAnsi="Arial" w:cs="Arial"/>
                <w:bCs/>
                <w:color w:val="000000"/>
                <w:sz w:val="16"/>
                <w:szCs w:val="16"/>
              </w:rPr>
            </w:pPr>
            <w:r>
              <w:rPr>
                <w:rFonts w:ascii="Arial" w:eastAsia="Calibri" w:hAnsi="Arial" w:cs="Arial"/>
                <w:bCs/>
                <w:color w:val="000000"/>
                <w:sz w:val="16"/>
                <w:szCs w:val="16"/>
              </w:rPr>
              <w:t>8</w:t>
            </w:r>
          </w:p>
        </w:tc>
      </w:tr>
      <w:tr w:rsidR="007B7232" w:rsidRPr="003D1614" w14:paraId="7AAE5C2A" w14:textId="77777777" w:rsidTr="002C73F0">
        <w:trPr>
          <w:trHeight w:val="245"/>
        </w:trPr>
        <w:tc>
          <w:tcPr>
            <w:tcW w:w="5040" w:type="dxa"/>
            <w:gridSpan w:val="3"/>
            <w:tcBorders>
              <w:left w:val="nil"/>
              <w:bottom w:val="single" w:sz="4" w:space="0" w:color="auto"/>
              <w:right w:val="nil"/>
            </w:tcBorders>
            <w:shd w:val="clear" w:color="auto" w:fill="auto"/>
            <w:noWrap/>
            <w:vAlign w:val="bottom"/>
          </w:tcPr>
          <w:p w14:paraId="47FE95CB" w14:textId="77777777" w:rsidR="007B7232" w:rsidRPr="003D1614" w:rsidRDefault="007B7232" w:rsidP="007B7232">
            <w:pPr>
              <w:suppressAutoHyphens/>
              <w:autoSpaceDN w:val="0"/>
              <w:rPr>
                <w:rFonts w:ascii="Arial" w:eastAsia="Calibri" w:hAnsi="Arial" w:cs="Arial"/>
                <w:color w:val="000000"/>
                <w:sz w:val="16"/>
                <w:szCs w:val="16"/>
              </w:rPr>
            </w:pPr>
            <w:r w:rsidRPr="003D1614">
              <w:rPr>
                <w:rFonts w:ascii="Arial" w:eastAsia="Calibri" w:hAnsi="Arial" w:cs="Arial"/>
                <w:color w:val="000000"/>
                <w:sz w:val="16"/>
                <w:szCs w:val="16"/>
              </w:rPr>
              <w:t>Dionice inozemnih financijskih institucija - EIF</w:t>
            </w:r>
          </w:p>
        </w:tc>
        <w:tc>
          <w:tcPr>
            <w:tcW w:w="1196" w:type="dxa"/>
            <w:tcBorders>
              <w:left w:val="nil"/>
              <w:bottom w:val="single" w:sz="4" w:space="0" w:color="auto"/>
              <w:right w:val="nil"/>
            </w:tcBorders>
            <w:shd w:val="clear" w:color="auto" w:fill="auto"/>
            <w:noWrap/>
            <w:vAlign w:val="bottom"/>
          </w:tcPr>
          <w:p w14:paraId="0CC55B33" w14:textId="77777777" w:rsidR="007B7232" w:rsidRPr="003D1614" w:rsidRDefault="007B7232" w:rsidP="007B7232">
            <w:pPr>
              <w:suppressAutoHyphens/>
              <w:autoSpaceDN w:val="0"/>
              <w:jc w:val="both"/>
              <w:rPr>
                <w:rFonts w:ascii="Arial" w:eastAsia="Calibri" w:hAnsi="Arial" w:cs="Arial"/>
                <w:color w:val="000000"/>
                <w:sz w:val="16"/>
                <w:szCs w:val="16"/>
              </w:rPr>
            </w:pPr>
          </w:p>
        </w:tc>
        <w:tc>
          <w:tcPr>
            <w:tcW w:w="1155" w:type="dxa"/>
            <w:tcBorders>
              <w:top w:val="nil"/>
              <w:left w:val="nil"/>
              <w:bottom w:val="single" w:sz="4" w:space="0" w:color="auto"/>
              <w:right w:val="nil"/>
            </w:tcBorders>
            <w:vAlign w:val="bottom"/>
          </w:tcPr>
          <w:p w14:paraId="0A486DD3" w14:textId="5D7AD58D" w:rsidR="007B7232" w:rsidRPr="003D1614" w:rsidRDefault="00B4292D" w:rsidP="007B7232">
            <w:pPr>
              <w:suppressAutoHyphens/>
              <w:autoSpaceDN w:val="0"/>
              <w:jc w:val="right"/>
              <w:rPr>
                <w:rFonts w:ascii="Arial" w:eastAsia="Calibri" w:hAnsi="Arial" w:cs="Arial"/>
                <w:bCs/>
                <w:color w:val="000000"/>
                <w:sz w:val="16"/>
                <w:szCs w:val="16"/>
              </w:rPr>
            </w:pPr>
            <w:r>
              <w:rPr>
                <w:rFonts w:ascii="Arial" w:eastAsia="Calibri" w:hAnsi="Arial" w:cs="Arial"/>
                <w:bCs/>
                <w:color w:val="000000"/>
                <w:sz w:val="16"/>
                <w:szCs w:val="16"/>
              </w:rPr>
              <w:t>8.065</w:t>
            </w:r>
          </w:p>
        </w:tc>
        <w:tc>
          <w:tcPr>
            <w:tcW w:w="1155" w:type="dxa"/>
            <w:tcBorders>
              <w:left w:val="nil"/>
              <w:bottom w:val="single" w:sz="4" w:space="0" w:color="auto"/>
              <w:right w:val="nil"/>
            </w:tcBorders>
            <w:vAlign w:val="bottom"/>
          </w:tcPr>
          <w:p w14:paraId="17A9F745" w14:textId="6CB9CB7D" w:rsidR="007B7232" w:rsidRPr="003D1614" w:rsidDel="00714EAD" w:rsidRDefault="007B7232" w:rsidP="007B7232">
            <w:pPr>
              <w:suppressAutoHyphens/>
              <w:autoSpaceDN w:val="0"/>
              <w:jc w:val="right"/>
              <w:rPr>
                <w:rFonts w:ascii="Arial" w:eastAsia="Calibri" w:hAnsi="Arial" w:cs="Arial"/>
                <w:bCs/>
                <w:color w:val="000000"/>
                <w:sz w:val="16"/>
                <w:szCs w:val="16"/>
              </w:rPr>
            </w:pPr>
            <w:r>
              <w:rPr>
                <w:rFonts w:ascii="Arial" w:eastAsia="Calibri" w:hAnsi="Arial" w:cs="Arial"/>
                <w:bCs/>
                <w:color w:val="000000"/>
                <w:sz w:val="16"/>
                <w:szCs w:val="16"/>
              </w:rPr>
              <w:t>7.757</w:t>
            </w:r>
          </w:p>
        </w:tc>
        <w:tc>
          <w:tcPr>
            <w:tcW w:w="1155" w:type="dxa"/>
            <w:tcBorders>
              <w:top w:val="nil"/>
              <w:left w:val="nil"/>
              <w:bottom w:val="single" w:sz="4" w:space="0" w:color="auto"/>
              <w:right w:val="nil"/>
            </w:tcBorders>
            <w:vAlign w:val="bottom"/>
          </w:tcPr>
          <w:p w14:paraId="6E7FCDB5" w14:textId="30AF569F" w:rsidR="007B7232" w:rsidRPr="00A31F86" w:rsidRDefault="004B627D" w:rsidP="007B7232">
            <w:pPr>
              <w:suppressAutoHyphens/>
              <w:autoSpaceDN w:val="0"/>
              <w:jc w:val="right"/>
              <w:rPr>
                <w:rFonts w:ascii="Arial" w:eastAsia="Calibri" w:hAnsi="Arial" w:cs="Arial"/>
                <w:bCs/>
                <w:color w:val="000000"/>
                <w:sz w:val="16"/>
                <w:szCs w:val="16"/>
              </w:rPr>
            </w:pPr>
            <w:r>
              <w:rPr>
                <w:rFonts w:ascii="Arial" w:eastAsia="Calibri" w:hAnsi="Arial" w:cs="Arial"/>
                <w:bCs/>
                <w:color w:val="000000"/>
                <w:sz w:val="16"/>
                <w:szCs w:val="16"/>
              </w:rPr>
              <w:t>8.065</w:t>
            </w:r>
          </w:p>
        </w:tc>
        <w:tc>
          <w:tcPr>
            <w:tcW w:w="1155" w:type="dxa"/>
            <w:tcBorders>
              <w:left w:val="nil"/>
              <w:bottom w:val="single" w:sz="4" w:space="0" w:color="auto"/>
              <w:right w:val="nil"/>
            </w:tcBorders>
            <w:vAlign w:val="bottom"/>
          </w:tcPr>
          <w:p w14:paraId="38038912" w14:textId="4F9F6E79" w:rsidR="007B7232" w:rsidRPr="00A31F86" w:rsidDel="00714EAD" w:rsidRDefault="007B7232" w:rsidP="007B7232">
            <w:pPr>
              <w:suppressAutoHyphens/>
              <w:autoSpaceDN w:val="0"/>
              <w:jc w:val="right"/>
              <w:rPr>
                <w:rFonts w:ascii="Arial" w:eastAsia="Calibri" w:hAnsi="Arial" w:cs="Arial"/>
                <w:bCs/>
                <w:color w:val="000000"/>
                <w:sz w:val="16"/>
                <w:szCs w:val="16"/>
              </w:rPr>
            </w:pPr>
            <w:r>
              <w:rPr>
                <w:rFonts w:ascii="Arial" w:eastAsia="Calibri" w:hAnsi="Arial" w:cs="Arial"/>
                <w:bCs/>
                <w:color w:val="000000"/>
                <w:sz w:val="16"/>
                <w:szCs w:val="16"/>
              </w:rPr>
              <w:t>7.757</w:t>
            </w:r>
          </w:p>
        </w:tc>
      </w:tr>
      <w:tr w:rsidR="007B7232" w:rsidRPr="003D1614" w14:paraId="0FA04492" w14:textId="77777777" w:rsidTr="002C73F0">
        <w:trPr>
          <w:trHeight w:val="245"/>
        </w:trPr>
        <w:tc>
          <w:tcPr>
            <w:tcW w:w="2692" w:type="dxa"/>
            <w:tcBorders>
              <w:top w:val="single" w:sz="4" w:space="0" w:color="auto"/>
              <w:left w:val="nil"/>
              <w:bottom w:val="single" w:sz="12" w:space="0" w:color="auto"/>
              <w:right w:val="nil"/>
            </w:tcBorders>
            <w:shd w:val="clear" w:color="auto" w:fill="auto"/>
            <w:noWrap/>
            <w:vAlign w:val="bottom"/>
          </w:tcPr>
          <w:p w14:paraId="0E12B54A" w14:textId="77777777" w:rsidR="007B7232" w:rsidRPr="003D1614" w:rsidRDefault="007B7232" w:rsidP="007B7232">
            <w:pPr>
              <w:suppressAutoHyphens/>
              <w:autoSpaceDN w:val="0"/>
              <w:jc w:val="both"/>
              <w:rPr>
                <w:rFonts w:ascii="Arial" w:eastAsia="Calibri" w:hAnsi="Arial" w:cs="Arial"/>
                <w:b/>
                <w:bCs/>
                <w:color w:val="000000"/>
                <w:sz w:val="16"/>
                <w:szCs w:val="16"/>
              </w:rPr>
            </w:pPr>
          </w:p>
        </w:tc>
        <w:tc>
          <w:tcPr>
            <w:tcW w:w="1219" w:type="dxa"/>
            <w:tcBorders>
              <w:top w:val="single" w:sz="4" w:space="0" w:color="auto"/>
              <w:left w:val="nil"/>
              <w:bottom w:val="single" w:sz="12" w:space="0" w:color="auto"/>
              <w:right w:val="nil"/>
            </w:tcBorders>
            <w:shd w:val="clear" w:color="auto" w:fill="auto"/>
            <w:noWrap/>
            <w:vAlign w:val="bottom"/>
          </w:tcPr>
          <w:p w14:paraId="7EC19F70" w14:textId="77777777" w:rsidR="007B7232" w:rsidRPr="003D1614" w:rsidRDefault="007B7232" w:rsidP="007B7232">
            <w:pPr>
              <w:suppressAutoHyphens/>
              <w:autoSpaceDN w:val="0"/>
              <w:jc w:val="right"/>
              <w:rPr>
                <w:rFonts w:ascii="Arial" w:eastAsia="Calibri" w:hAnsi="Arial" w:cs="Arial"/>
                <w:color w:val="000000"/>
                <w:sz w:val="16"/>
                <w:szCs w:val="16"/>
              </w:rPr>
            </w:pPr>
          </w:p>
        </w:tc>
        <w:tc>
          <w:tcPr>
            <w:tcW w:w="1129" w:type="dxa"/>
            <w:tcBorders>
              <w:top w:val="single" w:sz="4" w:space="0" w:color="auto"/>
              <w:left w:val="nil"/>
              <w:bottom w:val="single" w:sz="12" w:space="0" w:color="auto"/>
              <w:right w:val="nil"/>
            </w:tcBorders>
            <w:shd w:val="clear" w:color="auto" w:fill="auto"/>
            <w:noWrap/>
            <w:vAlign w:val="bottom"/>
          </w:tcPr>
          <w:p w14:paraId="650E776F" w14:textId="5CF224E6" w:rsidR="007B7232" w:rsidRPr="003D1614" w:rsidRDefault="007B7232" w:rsidP="007B7232">
            <w:pPr>
              <w:suppressAutoHyphens/>
              <w:autoSpaceDN w:val="0"/>
              <w:jc w:val="right"/>
              <w:rPr>
                <w:rFonts w:ascii="Arial" w:eastAsia="Calibri" w:hAnsi="Arial" w:cs="Arial"/>
                <w:color w:val="000000"/>
                <w:sz w:val="16"/>
                <w:szCs w:val="16"/>
              </w:rPr>
            </w:pPr>
          </w:p>
        </w:tc>
        <w:tc>
          <w:tcPr>
            <w:tcW w:w="1196" w:type="dxa"/>
            <w:tcBorders>
              <w:top w:val="single" w:sz="4" w:space="0" w:color="auto"/>
              <w:left w:val="nil"/>
              <w:bottom w:val="single" w:sz="12" w:space="0" w:color="auto"/>
              <w:right w:val="nil"/>
            </w:tcBorders>
            <w:noWrap/>
            <w:vAlign w:val="bottom"/>
          </w:tcPr>
          <w:p w14:paraId="7708BEF4" w14:textId="0B3720CE" w:rsidR="007B7232" w:rsidRPr="003D1614" w:rsidRDefault="007B7232" w:rsidP="007B7232">
            <w:pPr>
              <w:suppressAutoHyphens/>
              <w:autoSpaceDN w:val="0"/>
              <w:jc w:val="both"/>
              <w:rPr>
                <w:rFonts w:ascii="Arial" w:eastAsia="Calibri" w:hAnsi="Arial" w:cs="Arial"/>
                <w:color w:val="000000"/>
                <w:sz w:val="16"/>
                <w:szCs w:val="16"/>
              </w:rPr>
            </w:pPr>
          </w:p>
        </w:tc>
        <w:tc>
          <w:tcPr>
            <w:tcW w:w="1155" w:type="dxa"/>
            <w:tcBorders>
              <w:top w:val="single" w:sz="4" w:space="0" w:color="auto"/>
              <w:left w:val="nil"/>
              <w:bottom w:val="single" w:sz="12" w:space="0" w:color="auto"/>
              <w:right w:val="nil"/>
            </w:tcBorders>
            <w:vAlign w:val="bottom"/>
          </w:tcPr>
          <w:p w14:paraId="25928A7B" w14:textId="1AA21FEA" w:rsidR="007B7232" w:rsidRPr="003D1614" w:rsidRDefault="00B4292D" w:rsidP="007B7232">
            <w:pPr>
              <w:suppressAutoHyphens/>
              <w:autoSpaceDN w:val="0"/>
              <w:jc w:val="right"/>
              <w:rPr>
                <w:rFonts w:ascii="Arial" w:eastAsia="Calibri" w:hAnsi="Arial" w:cs="Arial"/>
                <w:b/>
                <w:bCs/>
                <w:color w:val="000000"/>
                <w:sz w:val="16"/>
                <w:szCs w:val="16"/>
              </w:rPr>
            </w:pPr>
            <w:r>
              <w:rPr>
                <w:rFonts w:ascii="Arial" w:eastAsia="Calibri" w:hAnsi="Arial" w:cs="Arial"/>
                <w:b/>
                <w:bCs/>
                <w:color w:val="000000"/>
                <w:sz w:val="16"/>
                <w:szCs w:val="16"/>
              </w:rPr>
              <w:t>8.073</w:t>
            </w:r>
          </w:p>
        </w:tc>
        <w:tc>
          <w:tcPr>
            <w:tcW w:w="1155" w:type="dxa"/>
            <w:tcBorders>
              <w:top w:val="single" w:sz="4" w:space="0" w:color="auto"/>
              <w:left w:val="nil"/>
              <w:bottom w:val="single" w:sz="12" w:space="0" w:color="auto"/>
              <w:right w:val="nil"/>
            </w:tcBorders>
            <w:vAlign w:val="bottom"/>
          </w:tcPr>
          <w:p w14:paraId="01D763A2" w14:textId="19584D47" w:rsidR="007B7232" w:rsidRPr="003D1614" w:rsidDel="00714EAD" w:rsidRDefault="007B7232" w:rsidP="007B7232">
            <w:pPr>
              <w:suppressAutoHyphens/>
              <w:autoSpaceDN w:val="0"/>
              <w:jc w:val="right"/>
              <w:rPr>
                <w:rFonts w:ascii="Arial" w:eastAsia="Calibri" w:hAnsi="Arial" w:cs="Arial"/>
                <w:b/>
                <w:bCs/>
                <w:color w:val="000000"/>
                <w:sz w:val="16"/>
                <w:szCs w:val="16"/>
              </w:rPr>
            </w:pPr>
            <w:r>
              <w:rPr>
                <w:rFonts w:ascii="Arial" w:eastAsia="Calibri" w:hAnsi="Arial" w:cs="Arial"/>
                <w:b/>
                <w:bCs/>
                <w:color w:val="000000"/>
                <w:sz w:val="16"/>
                <w:szCs w:val="16"/>
              </w:rPr>
              <w:t>7.765</w:t>
            </w:r>
          </w:p>
        </w:tc>
        <w:tc>
          <w:tcPr>
            <w:tcW w:w="1155" w:type="dxa"/>
            <w:tcBorders>
              <w:top w:val="single" w:sz="4" w:space="0" w:color="auto"/>
              <w:left w:val="nil"/>
              <w:bottom w:val="single" w:sz="12" w:space="0" w:color="auto"/>
              <w:right w:val="nil"/>
            </w:tcBorders>
            <w:shd w:val="clear" w:color="auto" w:fill="auto"/>
            <w:vAlign w:val="bottom"/>
          </w:tcPr>
          <w:p w14:paraId="3F15F440" w14:textId="15240705" w:rsidR="007B7232" w:rsidRPr="00A31F86" w:rsidRDefault="004B627D" w:rsidP="007B7232">
            <w:pPr>
              <w:suppressAutoHyphens/>
              <w:autoSpaceDN w:val="0"/>
              <w:jc w:val="right"/>
              <w:rPr>
                <w:rFonts w:ascii="Arial" w:eastAsia="Calibri" w:hAnsi="Arial" w:cs="Arial"/>
                <w:b/>
                <w:bCs/>
                <w:color w:val="000000"/>
                <w:sz w:val="16"/>
                <w:szCs w:val="16"/>
              </w:rPr>
            </w:pPr>
            <w:r>
              <w:rPr>
                <w:rFonts w:ascii="Arial" w:eastAsia="Calibri" w:hAnsi="Arial" w:cs="Arial"/>
                <w:b/>
                <w:bCs/>
                <w:color w:val="000000"/>
                <w:sz w:val="16"/>
                <w:szCs w:val="16"/>
              </w:rPr>
              <w:t>8.073</w:t>
            </w:r>
          </w:p>
        </w:tc>
        <w:tc>
          <w:tcPr>
            <w:tcW w:w="1155" w:type="dxa"/>
            <w:tcBorders>
              <w:top w:val="single" w:sz="4" w:space="0" w:color="auto"/>
              <w:left w:val="nil"/>
              <w:bottom w:val="single" w:sz="12" w:space="0" w:color="auto"/>
              <w:right w:val="nil"/>
            </w:tcBorders>
            <w:vAlign w:val="bottom"/>
          </w:tcPr>
          <w:p w14:paraId="48481025" w14:textId="7FFA7A36" w:rsidR="007B7232" w:rsidRPr="00A31F86" w:rsidDel="00714EAD" w:rsidRDefault="007B7232" w:rsidP="007B7232">
            <w:pPr>
              <w:suppressAutoHyphens/>
              <w:autoSpaceDN w:val="0"/>
              <w:jc w:val="right"/>
              <w:rPr>
                <w:rFonts w:ascii="Arial" w:eastAsia="Calibri" w:hAnsi="Arial" w:cs="Arial"/>
                <w:b/>
                <w:bCs/>
                <w:color w:val="000000"/>
                <w:sz w:val="16"/>
                <w:szCs w:val="16"/>
              </w:rPr>
            </w:pPr>
            <w:r>
              <w:rPr>
                <w:rFonts w:ascii="Arial" w:eastAsia="Calibri" w:hAnsi="Arial" w:cs="Arial"/>
                <w:b/>
                <w:bCs/>
                <w:color w:val="000000"/>
                <w:sz w:val="16"/>
                <w:szCs w:val="16"/>
              </w:rPr>
              <w:t>7.765</w:t>
            </w:r>
          </w:p>
        </w:tc>
      </w:tr>
      <w:tr w:rsidR="007B7232" w:rsidRPr="003D1614" w14:paraId="4A3A1551" w14:textId="77777777" w:rsidTr="002C73F0">
        <w:trPr>
          <w:trHeight w:val="245"/>
        </w:trPr>
        <w:tc>
          <w:tcPr>
            <w:tcW w:w="2692" w:type="dxa"/>
            <w:tcBorders>
              <w:top w:val="single" w:sz="12" w:space="0" w:color="auto"/>
              <w:left w:val="nil"/>
              <w:bottom w:val="single" w:sz="12" w:space="0" w:color="auto"/>
              <w:right w:val="nil"/>
            </w:tcBorders>
            <w:shd w:val="clear" w:color="auto" w:fill="auto"/>
            <w:noWrap/>
            <w:vAlign w:val="bottom"/>
          </w:tcPr>
          <w:p w14:paraId="12734273" w14:textId="77777777" w:rsidR="007B7232" w:rsidRPr="003D1614" w:rsidRDefault="007B7232" w:rsidP="007B7232">
            <w:pPr>
              <w:suppressAutoHyphens/>
              <w:autoSpaceDN w:val="0"/>
              <w:jc w:val="both"/>
              <w:rPr>
                <w:rFonts w:ascii="Arial" w:eastAsia="Calibri" w:hAnsi="Arial" w:cs="Arial"/>
                <w:b/>
                <w:bCs/>
                <w:color w:val="000000"/>
                <w:sz w:val="16"/>
                <w:szCs w:val="16"/>
              </w:rPr>
            </w:pPr>
            <w:r w:rsidRPr="003D1614">
              <w:rPr>
                <w:rFonts w:ascii="Arial" w:eastAsia="Calibri" w:hAnsi="Arial" w:cs="Arial"/>
                <w:b/>
                <w:bCs/>
                <w:color w:val="000000"/>
                <w:sz w:val="16"/>
                <w:szCs w:val="16"/>
              </w:rPr>
              <w:t>Ukupno</w:t>
            </w:r>
          </w:p>
        </w:tc>
        <w:tc>
          <w:tcPr>
            <w:tcW w:w="1219" w:type="dxa"/>
            <w:tcBorders>
              <w:top w:val="single" w:sz="12" w:space="0" w:color="auto"/>
              <w:left w:val="nil"/>
              <w:bottom w:val="single" w:sz="12" w:space="0" w:color="auto"/>
              <w:right w:val="nil"/>
            </w:tcBorders>
            <w:shd w:val="clear" w:color="auto" w:fill="auto"/>
            <w:noWrap/>
            <w:vAlign w:val="bottom"/>
          </w:tcPr>
          <w:p w14:paraId="6AC8EC19" w14:textId="77777777" w:rsidR="007B7232" w:rsidRPr="003D1614" w:rsidRDefault="007B7232" w:rsidP="007B7232">
            <w:pPr>
              <w:suppressAutoHyphens/>
              <w:autoSpaceDN w:val="0"/>
              <w:jc w:val="right"/>
              <w:rPr>
                <w:rFonts w:ascii="Arial" w:eastAsia="Calibri" w:hAnsi="Arial" w:cs="Arial"/>
                <w:color w:val="000000"/>
                <w:sz w:val="16"/>
                <w:szCs w:val="16"/>
              </w:rPr>
            </w:pPr>
          </w:p>
        </w:tc>
        <w:tc>
          <w:tcPr>
            <w:tcW w:w="1129" w:type="dxa"/>
            <w:tcBorders>
              <w:top w:val="single" w:sz="12" w:space="0" w:color="auto"/>
              <w:left w:val="nil"/>
              <w:bottom w:val="single" w:sz="12" w:space="0" w:color="auto"/>
              <w:right w:val="nil"/>
            </w:tcBorders>
            <w:shd w:val="clear" w:color="auto" w:fill="auto"/>
            <w:noWrap/>
            <w:vAlign w:val="bottom"/>
          </w:tcPr>
          <w:p w14:paraId="39166F5F" w14:textId="77777777" w:rsidR="007B7232" w:rsidRPr="003D1614" w:rsidRDefault="007B7232" w:rsidP="007B7232">
            <w:pPr>
              <w:suppressAutoHyphens/>
              <w:autoSpaceDN w:val="0"/>
              <w:jc w:val="right"/>
              <w:rPr>
                <w:rFonts w:ascii="Arial" w:eastAsia="Calibri" w:hAnsi="Arial" w:cs="Arial"/>
                <w:color w:val="000000"/>
                <w:sz w:val="16"/>
                <w:szCs w:val="16"/>
              </w:rPr>
            </w:pPr>
          </w:p>
        </w:tc>
        <w:tc>
          <w:tcPr>
            <w:tcW w:w="1196" w:type="dxa"/>
            <w:tcBorders>
              <w:top w:val="single" w:sz="12" w:space="0" w:color="auto"/>
              <w:left w:val="nil"/>
              <w:bottom w:val="single" w:sz="12" w:space="0" w:color="auto"/>
              <w:right w:val="nil"/>
            </w:tcBorders>
            <w:shd w:val="clear" w:color="auto" w:fill="auto"/>
            <w:noWrap/>
            <w:vAlign w:val="bottom"/>
          </w:tcPr>
          <w:p w14:paraId="2CBB65C1" w14:textId="77777777" w:rsidR="007B7232" w:rsidRPr="003D1614" w:rsidRDefault="007B7232" w:rsidP="007B7232">
            <w:pPr>
              <w:suppressAutoHyphens/>
              <w:autoSpaceDN w:val="0"/>
              <w:jc w:val="both"/>
              <w:rPr>
                <w:rFonts w:ascii="Arial" w:eastAsia="Calibri" w:hAnsi="Arial" w:cs="Arial"/>
                <w:color w:val="000000"/>
                <w:sz w:val="16"/>
                <w:szCs w:val="16"/>
              </w:rPr>
            </w:pPr>
          </w:p>
        </w:tc>
        <w:tc>
          <w:tcPr>
            <w:tcW w:w="1155" w:type="dxa"/>
            <w:tcBorders>
              <w:top w:val="single" w:sz="12" w:space="0" w:color="auto"/>
              <w:left w:val="nil"/>
              <w:bottom w:val="single" w:sz="12" w:space="0" w:color="auto"/>
              <w:right w:val="nil"/>
            </w:tcBorders>
            <w:vAlign w:val="bottom"/>
          </w:tcPr>
          <w:p w14:paraId="2C3B7994" w14:textId="397D618B" w:rsidR="007B7232" w:rsidRPr="003D1614" w:rsidRDefault="000C2F03" w:rsidP="007B7232">
            <w:pPr>
              <w:suppressAutoHyphens/>
              <w:autoSpaceDN w:val="0"/>
              <w:jc w:val="right"/>
              <w:rPr>
                <w:rFonts w:ascii="Arial" w:eastAsia="Calibri" w:hAnsi="Arial" w:cs="Arial"/>
                <w:b/>
                <w:color w:val="000000"/>
                <w:sz w:val="16"/>
                <w:szCs w:val="16"/>
              </w:rPr>
            </w:pPr>
            <w:r>
              <w:rPr>
                <w:rFonts w:ascii="Arial" w:eastAsia="Calibri" w:hAnsi="Arial" w:cs="Arial"/>
                <w:b/>
                <w:color w:val="000000"/>
                <w:sz w:val="16"/>
                <w:szCs w:val="16"/>
              </w:rPr>
              <w:t>252.483</w:t>
            </w:r>
          </w:p>
        </w:tc>
        <w:tc>
          <w:tcPr>
            <w:tcW w:w="1155" w:type="dxa"/>
            <w:tcBorders>
              <w:top w:val="single" w:sz="12" w:space="0" w:color="auto"/>
              <w:left w:val="nil"/>
              <w:bottom w:val="single" w:sz="12" w:space="0" w:color="auto"/>
              <w:right w:val="nil"/>
            </w:tcBorders>
            <w:vAlign w:val="bottom"/>
          </w:tcPr>
          <w:p w14:paraId="00B3DBCA" w14:textId="76FB1E55" w:rsidR="007B7232" w:rsidRPr="003D1614" w:rsidRDefault="007B7232" w:rsidP="007B7232">
            <w:pPr>
              <w:suppressAutoHyphens/>
              <w:autoSpaceDN w:val="0"/>
              <w:jc w:val="right"/>
              <w:rPr>
                <w:rFonts w:ascii="Arial" w:eastAsia="Calibri" w:hAnsi="Arial" w:cs="Arial"/>
                <w:b/>
                <w:color w:val="000000"/>
                <w:sz w:val="16"/>
                <w:szCs w:val="16"/>
              </w:rPr>
            </w:pPr>
            <w:r>
              <w:rPr>
                <w:rFonts w:ascii="Arial" w:eastAsia="Calibri" w:hAnsi="Arial" w:cs="Arial"/>
                <w:b/>
                <w:color w:val="000000"/>
                <w:sz w:val="16"/>
                <w:szCs w:val="16"/>
              </w:rPr>
              <w:t>235.199</w:t>
            </w:r>
          </w:p>
        </w:tc>
        <w:tc>
          <w:tcPr>
            <w:tcW w:w="1155" w:type="dxa"/>
            <w:tcBorders>
              <w:top w:val="single" w:sz="12" w:space="0" w:color="auto"/>
              <w:left w:val="nil"/>
              <w:bottom w:val="single" w:sz="12" w:space="0" w:color="auto"/>
              <w:right w:val="nil"/>
            </w:tcBorders>
            <w:shd w:val="clear" w:color="auto" w:fill="auto"/>
            <w:vAlign w:val="bottom"/>
          </w:tcPr>
          <w:p w14:paraId="0F0390A1" w14:textId="3396DDD7" w:rsidR="007B7232" w:rsidRPr="00A31F86" w:rsidRDefault="004B627D" w:rsidP="007B7232">
            <w:pPr>
              <w:suppressAutoHyphens/>
              <w:autoSpaceDN w:val="0"/>
              <w:jc w:val="right"/>
              <w:rPr>
                <w:rFonts w:ascii="Arial" w:eastAsia="Calibri" w:hAnsi="Arial" w:cs="Arial"/>
                <w:b/>
                <w:bCs/>
                <w:color w:val="000000"/>
                <w:sz w:val="16"/>
                <w:szCs w:val="16"/>
              </w:rPr>
            </w:pPr>
            <w:r>
              <w:rPr>
                <w:rFonts w:ascii="Arial" w:eastAsia="Calibri" w:hAnsi="Arial" w:cs="Arial"/>
                <w:b/>
                <w:bCs/>
                <w:color w:val="000000"/>
                <w:sz w:val="16"/>
                <w:szCs w:val="16"/>
              </w:rPr>
              <w:t>246.774</w:t>
            </w:r>
          </w:p>
        </w:tc>
        <w:tc>
          <w:tcPr>
            <w:tcW w:w="1155" w:type="dxa"/>
            <w:tcBorders>
              <w:top w:val="single" w:sz="12" w:space="0" w:color="auto"/>
              <w:left w:val="nil"/>
              <w:bottom w:val="single" w:sz="12" w:space="0" w:color="auto"/>
              <w:right w:val="nil"/>
            </w:tcBorders>
            <w:vAlign w:val="bottom"/>
          </w:tcPr>
          <w:p w14:paraId="16D02577" w14:textId="4DF05AC0" w:rsidR="007B7232" w:rsidRPr="00A31F86" w:rsidRDefault="007B7232" w:rsidP="007B7232">
            <w:pPr>
              <w:suppressAutoHyphens/>
              <w:autoSpaceDN w:val="0"/>
              <w:jc w:val="right"/>
              <w:rPr>
                <w:rFonts w:ascii="Arial" w:eastAsia="Calibri" w:hAnsi="Arial" w:cs="Arial"/>
                <w:b/>
                <w:bCs/>
                <w:color w:val="000000"/>
                <w:sz w:val="16"/>
                <w:szCs w:val="16"/>
              </w:rPr>
            </w:pPr>
            <w:r>
              <w:rPr>
                <w:rFonts w:ascii="Arial" w:eastAsia="Calibri" w:hAnsi="Arial" w:cs="Arial"/>
                <w:b/>
                <w:bCs/>
                <w:color w:val="000000"/>
                <w:sz w:val="16"/>
                <w:szCs w:val="16"/>
              </w:rPr>
              <w:t>228.858</w:t>
            </w:r>
          </w:p>
        </w:tc>
      </w:tr>
      <w:bookmarkEnd w:id="414"/>
    </w:tbl>
    <w:p w14:paraId="15EC2279" w14:textId="15AA7D9B" w:rsidR="001B247D" w:rsidRPr="003D1614" w:rsidRDefault="001B247D" w:rsidP="001B247D">
      <w:pPr>
        <w:suppressAutoHyphens/>
        <w:autoSpaceDN w:val="0"/>
        <w:jc w:val="both"/>
        <w:outlineLvl w:val="0"/>
        <w:rPr>
          <w:rFonts w:ascii="Arial" w:eastAsia="Calibri" w:hAnsi="Arial" w:cs="Arial"/>
          <w:bCs/>
          <w:color w:val="000000" w:themeColor="text1"/>
          <w:sz w:val="20"/>
          <w:szCs w:val="20"/>
        </w:rPr>
      </w:pPr>
    </w:p>
    <w:p w14:paraId="74932043" w14:textId="77777777" w:rsidR="001B247D" w:rsidRPr="003D1614" w:rsidRDefault="001B247D" w:rsidP="001B247D">
      <w:pPr>
        <w:suppressAutoHyphens/>
        <w:autoSpaceDN w:val="0"/>
        <w:jc w:val="both"/>
        <w:outlineLvl w:val="0"/>
        <w:rPr>
          <w:rFonts w:ascii="Arial" w:eastAsia="Calibri" w:hAnsi="Arial" w:cs="Arial"/>
          <w:bCs/>
          <w:color w:val="000000" w:themeColor="text1"/>
          <w:sz w:val="20"/>
          <w:szCs w:val="20"/>
        </w:rPr>
        <w:sectPr w:rsidR="001B247D" w:rsidRPr="003D1614">
          <w:pgSz w:w="11906" w:h="16838"/>
          <w:pgMar w:top="1417" w:right="1417" w:bottom="1417" w:left="1417" w:header="708" w:footer="708" w:gutter="0"/>
          <w:cols w:space="708"/>
          <w:docGrid w:linePitch="360"/>
        </w:sectPr>
      </w:pPr>
    </w:p>
    <w:p w14:paraId="602A8BBA" w14:textId="77777777" w:rsidR="001B247D" w:rsidRPr="003D1614" w:rsidRDefault="001B247D" w:rsidP="001B247D">
      <w:pPr>
        <w:keepNext/>
        <w:tabs>
          <w:tab w:val="left" w:pos="567"/>
        </w:tabs>
        <w:suppressAutoHyphens/>
        <w:autoSpaceDN w:val="0"/>
        <w:jc w:val="both"/>
        <w:outlineLvl w:val="0"/>
        <w:rPr>
          <w:rFonts w:ascii="Arial" w:eastAsia="Times New Roman" w:hAnsi="Arial" w:cs="Arial"/>
          <w:b/>
          <w:bCs/>
          <w:color w:val="000000" w:themeColor="text1"/>
        </w:rPr>
      </w:pPr>
    </w:p>
    <w:p w14:paraId="5B3F5182" w14:textId="648B59A7" w:rsidR="001B247D" w:rsidRPr="003D1614" w:rsidRDefault="00D004B1" w:rsidP="001B247D">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1</w:t>
      </w:r>
      <w:r w:rsidR="003D1614">
        <w:rPr>
          <w:rFonts w:ascii="Arial" w:eastAsia="Times New Roman" w:hAnsi="Arial" w:cs="Arial"/>
          <w:b/>
          <w:bCs/>
          <w:color w:val="000000" w:themeColor="text1"/>
          <w:sz w:val="20"/>
          <w:szCs w:val="20"/>
        </w:rPr>
        <w:t>5</w:t>
      </w:r>
      <w:r w:rsidR="001B247D" w:rsidRPr="003D1614">
        <w:rPr>
          <w:rFonts w:ascii="Arial" w:eastAsia="Times New Roman" w:hAnsi="Arial" w:cs="Arial"/>
          <w:b/>
          <w:bCs/>
          <w:color w:val="000000" w:themeColor="text1"/>
          <w:sz w:val="20"/>
          <w:szCs w:val="20"/>
        </w:rPr>
        <w:t>.</w:t>
      </w:r>
      <w:r w:rsidR="001B247D" w:rsidRPr="003D1614">
        <w:rPr>
          <w:rFonts w:ascii="Arial" w:eastAsia="Times New Roman" w:hAnsi="Arial" w:cs="Arial"/>
          <w:b/>
          <w:bCs/>
          <w:color w:val="000000" w:themeColor="text1"/>
          <w:sz w:val="20"/>
          <w:szCs w:val="20"/>
        </w:rPr>
        <w:tab/>
        <w:t>Preuzeta imovina</w:t>
      </w:r>
    </w:p>
    <w:p w14:paraId="2726DA7E" w14:textId="77777777" w:rsidR="001B247D" w:rsidRPr="003D1614" w:rsidRDefault="001B247D" w:rsidP="001B247D">
      <w:pPr>
        <w:keepNext/>
        <w:suppressAutoHyphens/>
        <w:autoSpaceDN w:val="0"/>
        <w:jc w:val="both"/>
        <w:outlineLvl w:val="0"/>
        <w:rPr>
          <w:rFonts w:ascii="Arial" w:eastAsia="Times New Roman" w:hAnsi="Arial" w:cs="Arial"/>
          <w:b/>
          <w:bCs/>
          <w:color w:val="000000" w:themeColor="text1"/>
          <w:sz w:val="20"/>
          <w:szCs w:val="20"/>
        </w:rPr>
      </w:pPr>
    </w:p>
    <w:tbl>
      <w:tblPr>
        <w:tblW w:w="4968" w:type="pct"/>
        <w:tblLayout w:type="fixed"/>
        <w:tblCellMar>
          <w:left w:w="119" w:type="dxa"/>
          <w:right w:w="119" w:type="dxa"/>
        </w:tblCellMar>
        <w:tblLook w:val="0000" w:firstRow="0" w:lastRow="0" w:firstColumn="0" w:lastColumn="0" w:noHBand="0" w:noVBand="0"/>
      </w:tblPr>
      <w:tblGrid>
        <w:gridCol w:w="4932"/>
        <w:gridCol w:w="2043"/>
        <w:gridCol w:w="2039"/>
      </w:tblGrid>
      <w:tr w:rsidR="00737443" w:rsidRPr="003D1614" w14:paraId="54BD7008" w14:textId="77777777" w:rsidTr="00737443">
        <w:trPr>
          <w:trHeight w:val="240"/>
        </w:trPr>
        <w:tc>
          <w:tcPr>
            <w:tcW w:w="2736" w:type="pct"/>
            <w:vAlign w:val="bottom"/>
          </w:tcPr>
          <w:p w14:paraId="1898EDB1" w14:textId="77777777" w:rsidR="001B247D" w:rsidRPr="003D1614" w:rsidRDefault="001B247D" w:rsidP="001B247D">
            <w:pPr>
              <w:tabs>
                <w:tab w:val="left" w:pos="-720"/>
              </w:tabs>
              <w:suppressAutoHyphens/>
              <w:autoSpaceDN w:val="0"/>
              <w:rPr>
                <w:rFonts w:ascii="Arial" w:eastAsia="Times New Roman" w:hAnsi="Arial" w:cs="Arial"/>
                <w:color w:val="000000" w:themeColor="text1"/>
                <w:spacing w:val="-2"/>
                <w:sz w:val="20"/>
                <w:szCs w:val="20"/>
              </w:rPr>
            </w:pPr>
          </w:p>
        </w:tc>
        <w:tc>
          <w:tcPr>
            <w:tcW w:w="2264" w:type="pct"/>
            <w:gridSpan w:val="2"/>
            <w:vAlign w:val="bottom"/>
          </w:tcPr>
          <w:p w14:paraId="3DE35194" w14:textId="77777777" w:rsidR="001B247D" w:rsidRPr="003D1614" w:rsidRDefault="001B247D" w:rsidP="001B247D">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15" w:name="_Toc67328609"/>
            <w:r w:rsidRPr="003D1614">
              <w:rPr>
                <w:rFonts w:ascii="Arial" w:eastAsia="Times New Roman" w:hAnsi="Arial" w:cs="Arial"/>
                <w:b/>
                <w:color w:val="000000" w:themeColor="text1"/>
                <w:sz w:val="20"/>
                <w:szCs w:val="20"/>
              </w:rPr>
              <w:t>Grupa i Banka</w:t>
            </w:r>
            <w:bookmarkEnd w:id="415"/>
          </w:p>
        </w:tc>
      </w:tr>
      <w:tr w:rsidR="00737443" w:rsidRPr="003D1614" w14:paraId="64178E64" w14:textId="77777777" w:rsidTr="00737443">
        <w:trPr>
          <w:trHeight w:val="587"/>
        </w:trPr>
        <w:tc>
          <w:tcPr>
            <w:tcW w:w="2736" w:type="pct"/>
            <w:vAlign w:val="bottom"/>
          </w:tcPr>
          <w:p w14:paraId="027FD7E0" w14:textId="77777777" w:rsidR="001B247D" w:rsidRPr="003D1614" w:rsidRDefault="001B247D" w:rsidP="001B247D">
            <w:pPr>
              <w:tabs>
                <w:tab w:val="left" w:pos="-720"/>
              </w:tabs>
              <w:suppressAutoHyphens/>
              <w:autoSpaceDN w:val="0"/>
              <w:rPr>
                <w:rFonts w:ascii="Arial" w:eastAsia="Times New Roman" w:hAnsi="Arial" w:cs="Arial"/>
                <w:color w:val="000000" w:themeColor="text1"/>
                <w:spacing w:val="-2"/>
                <w:sz w:val="20"/>
                <w:szCs w:val="20"/>
              </w:rPr>
            </w:pPr>
          </w:p>
        </w:tc>
        <w:tc>
          <w:tcPr>
            <w:tcW w:w="1133" w:type="pct"/>
            <w:vAlign w:val="bottom"/>
          </w:tcPr>
          <w:p w14:paraId="3CD001F0" w14:textId="77777777" w:rsidR="002C0DB3" w:rsidRDefault="002C0DB3" w:rsidP="001B247D">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2C0DB3">
              <w:rPr>
                <w:rFonts w:ascii="Arial" w:eastAsia="Times New Roman" w:hAnsi="Arial" w:cs="Arial"/>
                <w:b/>
                <w:color w:val="000000" w:themeColor="text1"/>
                <w:sz w:val="20"/>
                <w:szCs w:val="20"/>
              </w:rPr>
              <w:t xml:space="preserve">30. rujna </w:t>
            </w:r>
          </w:p>
          <w:p w14:paraId="178B7E44" w14:textId="038832F8" w:rsidR="001B247D" w:rsidRPr="003D1614" w:rsidRDefault="002C0DB3" w:rsidP="001B247D">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2C0DB3">
              <w:rPr>
                <w:rFonts w:ascii="Arial" w:eastAsia="Times New Roman" w:hAnsi="Arial" w:cs="Arial"/>
                <w:b/>
                <w:color w:val="000000" w:themeColor="text1"/>
                <w:sz w:val="20"/>
                <w:szCs w:val="20"/>
              </w:rPr>
              <w:t>202</w:t>
            </w:r>
            <w:r w:rsidR="00782778">
              <w:rPr>
                <w:rFonts w:ascii="Arial" w:eastAsia="Times New Roman" w:hAnsi="Arial" w:cs="Arial"/>
                <w:b/>
                <w:color w:val="000000" w:themeColor="text1"/>
                <w:sz w:val="20"/>
                <w:szCs w:val="20"/>
              </w:rPr>
              <w:t>4</w:t>
            </w:r>
            <w:r w:rsidRPr="002C0DB3">
              <w:rPr>
                <w:rFonts w:ascii="Arial" w:eastAsia="Times New Roman" w:hAnsi="Arial" w:cs="Arial"/>
                <w:b/>
                <w:color w:val="000000" w:themeColor="text1"/>
                <w:sz w:val="20"/>
                <w:szCs w:val="20"/>
              </w:rPr>
              <w:t>.</w:t>
            </w:r>
          </w:p>
        </w:tc>
        <w:tc>
          <w:tcPr>
            <w:tcW w:w="1131" w:type="pct"/>
            <w:vAlign w:val="bottom"/>
          </w:tcPr>
          <w:p w14:paraId="5D77A3BC" w14:textId="77777777" w:rsidR="001B247D" w:rsidRPr="003D1614" w:rsidRDefault="001B247D" w:rsidP="001B247D">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16" w:name="_Toc67328611"/>
            <w:r w:rsidRPr="003D1614">
              <w:rPr>
                <w:rFonts w:ascii="Arial" w:eastAsia="Times New Roman" w:hAnsi="Arial" w:cs="Arial"/>
                <w:b/>
                <w:color w:val="000000" w:themeColor="text1"/>
                <w:sz w:val="20"/>
                <w:szCs w:val="20"/>
              </w:rPr>
              <w:t>31. prosinca</w:t>
            </w:r>
          </w:p>
          <w:p w14:paraId="51D14381" w14:textId="02A82C12" w:rsidR="001B247D" w:rsidRPr="003D1614" w:rsidRDefault="001B247D" w:rsidP="001B247D">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 xml:space="preserve"> 202</w:t>
            </w:r>
            <w:r w:rsidR="00782778">
              <w:rPr>
                <w:rFonts w:ascii="Arial" w:eastAsia="Times New Roman" w:hAnsi="Arial" w:cs="Arial"/>
                <w:b/>
                <w:color w:val="000000" w:themeColor="text1"/>
                <w:sz w:val="20"/>
                <w:szCs w:val="20"/>
              </w:rPr>
              <w:t>3</w:t>
            </w:r>
            <w:r w:rsidRPr="003D1614">
              <w:rPr>
                <w:rFonts w:ascii="Arial" w:eastAsia="Times New Roman" w:hAnsi="Arial" w:cs="Arial"/>
                <w:b/>
                <w:color w:val="000000" w:themeColor="text1"/>
                <w:sz w:val="20"/>
                <w:szCs w:val="20"/>
              </w:rPr>
              <w:t>.</w:t>
            </w:r>
            <w:bookmarkEnd w:id="416"/>
          </w:p>
        </w:tc>
      </w:tr>
      <w:tr w:rsidR="00737443" w:rsidRPr="003D1614" w14:paraId="3FB85953" w14:textId="77777777" w:rsidTr="00737443">
        <w:trPr>
          <w:trHeight w:val="227"/>
        </w:trPr>
        <w:tc>
          <w:tcPr>
            <w:tcW w:w="2736" w:type="pct"/>
            <w:vAlign w:val="bottom"/>
          </w:tcPr>
          <w:p w14:paraId="76BE8D0F" w14:textId="77777777" w:rsidR="001B247D" w:rsidRPr="003D1614" w:rsidRDefault="001B247D" w:rsidP="001B247D">
            <w:pPr>
              <w:tabs>
                <w:tab w:val="left" w:pos="-720"/>
              </w:tabs>
              <w:suppressAutoHyphens/>
              <w:autoSpaceDN w:val="0"/>
              <w:rPr>
                <w:rFonts w:ascii="Arial" w:eastAsia="Times New Roman" w:hAnsi="Arial" w:cs="Arial"/>
                <w:color w:val="000000" w:themeColor="text1"/>
                <w:spacing w:val="-2"/>
                <w:sz w:val="20"/>
                <w:szCs w:val="20"/>
              </w:rPr>
            </w:pPr>
          </w:p>
        </w:tc>
        <w:tc>
          <w:tcPr>
            <w:tcW w:w="1133" w:type="pct"/>
            <w:vAlign w:val="bottom"/>
          </w:tcPr>
          <w:p w14:paraId="07366686" w14:textId="15DB5587" w:rsidR="001B247D" w:rsidRPr="003D1614" w:rsidRDefault="001B247D" w:rsidP="001B247D">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17" w:name="_Toc67328612"/>
            <w:r w:rsidRPr="003D1614">
              <w:rPr>
                <w:rFonts w:ascii="Arial" w:eastAsia="Times New Roman" w:hAnsi="Arial" w:cs="Arial"/>
                <w:b/>
                <w:color w:val="000000" w:themeColor="text1"/>
                <w:sz w:val="20"/>
                <w:szCs w:val="20"/>
              </w:rPr>
              <w:t xml:space="preserve">000 </w:t>
            </w:r>
            <w:bookmarkEnd w:id="417"/>
            <w:r w:rsidRPr="003D1614">
              <w:rPr>
                <w:rFonts w:ascii="Arial" w:eastAsia="Times New Roman" w:hAnsi="Arial" w:cs="Arial"/>
                <w:b/>
                <w:color w:val="000000" w:themeColor="text1"/>
                <w:sz w:val="20"/>
                <w:szCs w:val="20"/>
              </w:rPr>
              <w:t>eura</w:t>
            </w:r>
          </w:p>
        </w:tc>
        <w:tc>
          <w:tcPr>
            <w:tcW w:w="1131" w:type="pct"/>
            <w:vAlign w:val="bottom"/>
          </w:tcPr>
          <w:p w14:paraId="4D07CFB6" w14:textId="419DFCF6" w:rsidR="001B247D" w:rsidRPr="003D1614" w:rsidRDefault="001B247D" w:rsidP="001B247D">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18" w:name="_Toc67328613"/>
            <w:r w:rsidRPr="003D1614">
              <w:rPr>
                <w:rFonts w:ascii="Arial" w:eastAsia="Times New Roman" w:hAnsi="Arial" w:cs="Arial"/>
                <w:b/>
                <w:color w:val="000000" w:themeColor="text1"/>
                <w:sz w:val="20"/>
                <w:szCs w:val="20"/>
              </w:rPr>
              <w:t xml:space="preserve">000 </w:t>
            </w:r>
            <w:bookmarkEnd w:id="418"/>
            <w:r w:rsidRPr="003D1614">
              <w:rPr>
                <w:rFonts w:ascii="Arial" w:eastAsia="Times New Roman" w:hAnsi="Arial" w:cs="Arial"/>
                <w:b/>
                <w:color w:val="000000" w:themeColor="text1"/>
                <w:sz w:val="20"/>
                <w:szCs w:val="20"/>
              </w:rPr>
              <w:t>eura</w:t>
            </w:r>
          </w:p>
        </w:tc>
      </w:tr>
      <w:tr w:rsidR="00737443" w:rsidRPr="003D1614" w14:paraId="53B81E15" w14:textId="77777777" w:rsidTr="00737443">
        <w:trPr>
          <w:trHeight w:hRule="exact" w:val="113"/>
        </w:trPr>
        <w:tc>
          <w:tcPr>
            <w:tcW w:w="2736" w:type="pct"/>
            <w:vAlign w:val="bottom"/>
          </w:tcPr>
          <w:p w14:paraId="1E47A7AF" w14:textId="77777777" w:rsidR="001B247D" w:rsidRPr="003D1614" w:rsidRDefault="001B247D" w:rsidP="001B247D">
            <w:pPr>
              <w:tabs>
                <w:tab w:val="left" w:pos="-720"/>
              </w:tabs>
              <w:suppressAutoHyphens/>
              <w:autoSpaceDN w:val="0"/>
              <w:rPr>
                <w:rFonts w:ascii="Arial" w:eastAsia="Times New Roman" w:hAnsi="Arial" w:cs="Arial"/>
                <w:color w:val="000000" w:themeColor="text1"/>
                <w:spacing w:val="-2"/>
                <w:sz w:val="20"/>
                <w:szCs w:val="20"/>
              </w:rPr>
            </w:pPr>
          </w:p>
        </w:tc>
        <w:tc>
          <w:tcPr>
            <w:tcW w:w="1133" w:type="pct"/>
            <w:vAlign w:val="bottom"/>
          </w:tcPr>
          <w:p w14:paraId="3DF8B8F2" w14:textId="77777777" w:rsidR="001B247D" w:rsidRPr="003D1614" w:rsidRDefault="001B247D" w:rsidP="001B247D">
            <w:pPr>
              <w:tabs>
                <w:tab w:val="left" w:pos="-720"/>
              </w:tabs>
              <w:suppressAutoHyphens/>
              <w:autoSpaceDN w:val="0"/>
              <w:jc w:val="right"/>
              <w:rPr>
                <w:rFonts w:ascii="Arial" w:eastAsia="Times New Roman" w:hAnsi="Arial" w:cs="Arial"/>
                <w:b/>
                <w:color w:val="000000" w:themeColor="text1"/>
                <w:spacing w:val="-2"/>
                <w:sz w:val="20"/>
                <w:szCs w:val="20"/>
              </w:rPr>
            </w:pPr>
          </w:p>
        </w:tc>
        <w:tc>
          <w:tcPr>
            <w:tcW w:w="1131" w:type="pct"/>
            <w:vAlign w:val="bottom"/>
          </w:tcPr>
          <w:p w14:paraId="09DBE3A0" w14:textId="77777777" w:rsidR="001B247D" w:rsidRPr="003D1614" w:rsidRDefault="001B247D" w:rsidP="001B247D">
            <w:pPr>
              <w:tabs>
                <w:tab w:val="left" w:pos="-720"/>
              </w:tabs>
              <w:suppressAutoHyphens/>
              <w:autoSpaceDN w:val="0"/>
              <w:jc w:val="right"/>
              <w:rPr>
                <w:rFonts w:ascii="Arial" w:eastAsia="Times New Roman" w:hAnsi="Arial" w:cs="Arial"/>
                <w:b/>
                <w:color w:val="000000" w:themeColor="text1"/>
                <w:spacing w:val="-2"/>
                <w:sz w:val="20"/>
                <w:szCs w:val="20"/>
              </w:rPr>
            </w:pPr>
          </w:p>
        </w:tc>
      </w:tr>
      <w:tr w:rsidR="00455208" w:rsidRPr="003D1614" w14:paraId="1FFAF553" w14:textId="77777777" w:rsidTr="00E45A3C">
        <w:trPr>
          <w:trHeight w:val="263"/>
        </w:trPr>
        <w:tc>
          <w:tcPr>
            <w:tcW w:w="2736" w:type="pct"/>
            <w:vAlign w:val="bottom"/>
          </w:tcPr>
          <w:p w14:paraId="5966E4DE" w14:textId="77777777" w:rsidR="00455208" w:rsidRPr="003D1614" w:rsidRDefault="00455208" w:rsidP="00455208">
            <w:pPr>
              <w:tabs>
                <w:tab w:val="right" w:pos="1202"/>
              </w:tabs>
              <w:suppressAutoHyphens/>
              <w:autoSpaceDN w:val="0"/>
              <w:spacing w:line="301" w:lineRule="exact"/>
              <w:ind w:left="300"/>
              <w:outlineLvl w:val="0"/>
              <w:rPr>
                <w:rFonts w:ascii="Arial" w:eastAsia="Times New Roman" w:hAnsi="Arial" w:cs="Arial"/>
                <w:color w:val="000000" w:themeColor="text1"/>
                <w:sz w:val="20"/>
                <w:szCs w:val="20"/>
              </w:rPr>
            </w:pPr>
            <w:bookmarkStart w:id="419" w:name="_Toc67328614"/>
            <w:r w:rsidRPr="003D1614">
              <w:rPr>
                <w:rFonts w:ascii="Arial" w:eastAsia="Times New Roman" w:hAnsi="Arial" w:cs="Arial"/>
                <w:color w:val="000000" w:themeColor="text1"/>
                <w:sz w:val="20"/>
                <w:szCs w:val="20"/>
              </w:rPr>
              <w:t>Preuzeta imovina, neto</w:t>
            </w:r>
            <w:bookmarkEnd w:id="419"/>
          </w:p>
        </w:tc>
        <w:tc>
          <w:tcPr>
            <w:tcW w:w="1133" w:type="pct"/>
            <w:tcBorders>
              <w:bottom w:val="single" w:sz="2" w:space="0" w:color="auto"/>
            </w:tcBorders>
            <w:vAlign w:val="bottom"/>
          </w:tcPr>
          <w:p w14:paraId="5B66FF4D" w14:textId="7FFFAF85" w:rsidR="00455208" w:rsidRPr="001C7133" w:rsidRDefault="00F22794" w:rsidP="00455208">
            <w:pPr>
              <w:suppressAutoHyphens/>
              <w:autoSpaceDN w:val="0"/>
              <w:jc w:val="right"/>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1.952</w:t>
            </w:r>
          </w:p>
        </w:tc>
        <w:tc>
          <w:tcPr>
            <w:tcW w:w="1131" w:type="pct"/>
            <w:tcBorders>
              <w:bottom w:val="single" w:sz="2" w:space="0" w:color="auto"/>
            </w:tcBorders>
            <w:vAlign w:val="bottom"/>
          </w:tcPr>
          <w:p w14:paraId="195D00F8" w14:textId="17F93C99" w:rsidR="00455208" w:rsidRPr="001C7133" w:rsidRDefault="00455208" w:rsidP="00455208">
            <w:pPr>
              <w:suppressAutoHyphens/>
              <w:autoSpaceDN w:val="0"/>
              <w:jc w:val="right"/>
              <w:rPr>
                <w:rFonts w:ascii="Arial" w:eastAsia="Times New Roman" w:hAnsi="Arial" w:cs="Arial"/>
                <w:color w:val="000000" w:themeColor="text1"/>
                <w:sz w:val="20"/>
                <w:szCs w:val="20"/>
              </w:rPr>
            </w:pPr>
            <w:r w:rsidRPr="00125A6A">
              <w:rPr>
                <w:rFonts w:ascii="Arial" w:hAnsi="Arial" w:cs="Arial"/>
                <w:color w:val="000000" w:themeColor="text1"/>
                <w:sz w:val="20"/>
                <w:szCs w:val="20"/>
              </w:rPr>
              <w:t>2.291</w:t>
            </w:r>
          </w:p>
        </w:tc>
      </w:tr>
      <w:tr w:rsidR="00455208" w:rsidRPr="003D1614" w14:paraId="0BB9609C" w14:textId="77777777" w:rsidTr="00E45A3C">
        <w:trPr>
          <w:trHeight w:val="299"/>
        </w:trPr>
        <w:tc>
          <w:tcPr>
            <w:tcW w:w="2736" w:type="pct"/>
            <w:vAlign w:val="bottom"/>
          </w:tcPr>
          <w:p w14:paraId="79A232B6" w14:textId="77777777" w:rsidR="00455208" w:rsidRPr="003D1614" w:rsidRDefault="00455208" w:rsidP="00455208">
            <w:pPr>
              <w:tabs>
                <w:tab w:val="left" w:pos="-720"/>
              </w:tabs>
              <w:suppressAutoHyphens/>
              <w:autoSpaceDN w:val="0"/>
              <w:rPr>
                <w:rFonts w:ascii="Arial" w:eastAsia="Times New Roman" w:hAnsi="Arial" w:cs="Arial"/>
                <w:b/>
                <w:bCs/>
                <w:color w:val="000000" w:themeColor="text1"/>
                <w:spacing w:val="-2"/>
                <w:sz w:val="20"/>
                <w:szCs w:val="20"/>
              </w:rPr>
            </w:pPr>
          </w:p>
        </w:tc>
        <w:tc>
          <w:tcPr>
            <w:tcW w:w="1133" w:type="pct"/>
            <w:tcBorders>
              <w:top w:val="single" w:sz="4" w:space="0" w:color="auto"/>
              <w:bottom w:val="single" w:sz="12" w:space="0" w:color="auto"/>
            </w:tcBorders>
            <w:vAlign w:val="bottom"/>
          </w:tcPr>
          <w:p w14:paraId="5E806DD8" w14:textId="6572834D" w:rsidR="00455208" w:rsidRPr="001C7133" w:rsidRDefault="00F22794" w:rsidP="00455208">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1.952</w:t>
            </w:r>
          </w:p>
        </w:tc>
        <w:tc>
          <w:tcPr>
            <w:tcW w:w="1131" w:type="pct"/>
            <w:tcBorders>
              <w:top w:val="single" w:sz="4" w:space="0" w:color="auto"/>
              <w:bottom w:val="single" w:sz="12" w:space="0" w:color="auto"/>
            </w:tcBorders>
            <w:vAlign w:val="bottom"/>
          </w:tcPr>
          <w:p w14:paraId="0002EFE2" w14:textId="4F9673F3" w:rsidR="00455208" w:rsidRPr="001C7133" w:rsidRDefault="00455208" w:rsidP="00455208">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125A6A">
              <w:rPr>
                <w:rFonts w:ascii="Arial" w:hAnsi="Arial" w:cs="Arial"/>
                <w:b/>
                <w:bCs/>
                <w:color w:val="000000" w:themeColor="text1"/>
                <w:sz w:val="20"/>
              </w:rPr>
              <w:t>2.291</w:t>
            </w:r>
          </w:p>
        </w:tc>
      </w:tr>
    </w:tbl>
    <w:p w14:paraId="61BBFA4B" w14:textId="276F61DE" w:rsidR="001B247D" w:rsidRDefault="001B247D" w:rsidP="001B247D">
      <w:pPr>
        <w:keepNext/>
        <w:suppressAutoHyphens/>
        <w:autoSpaceDN w:val="0"/>
        <w:jc w:val="both"/>
        <w:outlineLvl w:val="0"/>
        <w:rPr>
          <w:rFonts w:ascii="Arial" w:eastAsia="Times New Roman" w:hAnsi="Arial" w:cs="Arial"/>
          <w:b/>
          <w:bCs/>
          <w:color w:val="000000" w:themeColor="text1"/>
          <w:sz w:val="20"/>
          <w:szCs w:val="20"/>
        </w:rPr>
      </w:pPr>
      <w:bookmarkStart w:id="420" w:name="_Hlk126912131"/>
    </w:p>
    <w:p w14:paraId="34AE3D63" w14:textId="6ECA947B" w:rsidR="009B4E9B" w:rsidRPr="005D1219" w:rsidRDefault="009B4E9B" w:rsidP="009B4E9B">
      <w:pPr>
        <w:jc w:val="both"/>
        <w:rPr>
          <w:rFonts w:ascii="Arial" w:eastAsia="Times New Roman" w:hAnsi="Arial" w:cs="Arial"/>
          <w:color w:val="000000"/>
          <w:sz w:val="20"/>
          <w:szCs w:val="20"/>
          <w:lang w:eastAsia="hr-HR"/>
        </w:rPr>
      </w:pPr>
      <w:r w:rsidRPr="00573C0A">
        <w:rPr>
          <w:rFonts w:ascii="Arial" w:eastAsia="Times New Roman" w:hAnsi="Arial" w:cs="Arial"/>
          <w:color w:val="000000"/>
          <w:sz w:val="20"/>
          <w:szCs w:val="20"/>
          <w:lang w:eastAsia="hr-HR"/>
        </w:rPr>
        <w:t xml:space="preserve">U izvještajnom razdoblju 2024. godine obavljeno je preuzimanje nekretnina sadašnje vrijednosti </w:t>
      </w:r>
      <w:r w:rsidR="00573C0A" w:rsidRPr="00573C0A">
        <w:rPr>
          <w:rFonts w:ascii="Arial" w:eastAsia="Times New Roman" w:hAnsi="Arial" w:cs="Arial"/>
          <w:color w:val="000000"/>
          <w:sz w:val="20"/>
          <w:szCs w:val="20"/>
          <w:lang w:eastAsia="hr-HR"/>
        </w:rPr>
        <w:t>72</w:t>
      </w:r>
      <w:r w:rsidRPr="001541F1">
        <w:rPr>
          <w:rFonts w:ascii="Arial" w:eastAsia="Times New Roman" w:hAnsi="Arial" w:cs="Arial"/>
          <w:color w:val="000000"/>
          <w:sz w:val="20"/>
          <w:szCs w:val="20"/>
          <w:lang w:eastAsia="hr-HR"/>
        </w:rPr>
        <w:t xml:space="preserve"> tisuće eura, nabavne vrijednosti od </w:t>
      </w:r>
      <w:r w:rsidR="00573C0A" w:rsidRPr="001541F1">
        <w:rPr>
          <w:rFonts w:ascii="Arial" w:eastAsia="Times New Roman" w:hAnsi="Arial" w:cs="Arial"/>
          <w:color w:val="000000"/>
          <w:sz w:val="20"/>
          <w:szCs w:val="20"/>
          <w:lang w:eastAsia="hr-HR"/>
        </w:rPr>
        <w:t>72</w:t>
      </w:r>
      <w:r w:rsidRPr="001541F1">
        <w:rPr>
          <w:rFonts w:ascii="Arial" w:eastAsia="Times New Roman" w:hAnsi="Arial" w:cs="Arial"/>
          <w:color w:val="000000"/>
          <w:sz w:val="20"/>
          <w:szCs w:val="20"/>
          <w:lang w:eastAsia="hr-HR"/>
        </w:rPr>
        <w:t xml:space="preserve"> tisuće eura i ispravka vrijednosti od 0 tisuća eura, a odnosi se na</w:t>
      </w:r>
      <w:r w:rsidRPr="00573C0A">
        <w:rPr>
          <w:rFonts w:ascii="Arial" w:eastAsia="Times New Roman" w:hAnsi="Arial" w:cs="Arial"/>
          <w:color w:val="000000"/>
          <w:sz w:val="20"/>
          <w:szCs w:val="20"/>
          <w:lang w:eastAsia="hr-HR"/>
        </w:rPr>
        <w:t xml:space="preserve"> </w:t>
      </w:r>
      <w:r w:rsidRPr="001541F1">
        <w:rPr>
          <w:rFonts w:ascii="Arial" w:eastAsia="Times New Roman" w:hAnsi="Arial" w:cs="Arial"/>
          <w:color w:val="000000"/>
          <w:sz w:val="20"/>
          <w:szCs w:val="20"/>
          <w:lang w:eastAsia="hr-HR"/>
        </w:rPr>
        <w:t>građevinske objekte</w:t>
      </w:r>
      <w:r w:rsidRPr="00573C0A">
        <w:rPr>
          <w:rFonts w:ascii="Arial" w:eastAsia="Times New Roman" w:hAnsi="Arial" w:cs="Arial"/>
          <w:color w:val="000000"/>
          <w:sz w:val="20"/>
          <w:szCs w:val="20"/>
          <w:lang w:eastAsia="hr-HR"/>
        </w:rPr>
        <w:t xml:space="preserve"> (2023. godine obavljeno je preuzimanje nekretnina sadašnje vrijednosti 74 tisuća eura, nabavne vrijednosti od 74 tisuća eura i ispravka vrijednosti od 0 tisuća eura, a odnosi se na</w:t>
      </w:r>
      <w:r w:rsidRPr="005D1219">
        <w:rPr>
          <w:rFonts w:ascii="Arial" w:eastAsia="Times New Roman" w:hAnsi="Arial" w:cs="Arial"/>
          <w:color w:val="000000"/>
          <w:sz w:val="20"/>
          <w:szCs w:val="20"/>
          <w:lang w:eastAsia="hr-HR"/>
        </w:rPr>
        <w:t xml:space="preserve"> građevinske objekte). </w:t>
      </w:r>
    </w:p>
    <w:p w14:paraId="770A38A5" w14:textId="77777777" w:rsidR="00AC71B1" w:rsidRPr="002E62D9" w:rsidRDefault="00AC71B1" w:rsidP="001B247D">
      <w:pPr>
        <w:keepNext/>
        <w:suppressAutoHyphens/>
        <w:autoSpaceDN w:val="0"/>
        <w:jc w:val="both"/>
        <w:outlineLvl w:val="0"/>
        <w:rPr>
          <w:rFonts w:ascii="Arial" w:eastAsia="Times New Roman" w:hAnsi="Arial" w:cs="Arial"/>
          <w:b/>
          <w:bCs/>
          <w:color w:val="000000" w:themeColor="text1"/>
          <w:sz w:val="20"/>
          <w:szCs w:val="20"/>
        </w:rPr>
      </w:pPr>
    </w:p>
    <w:p w14:paraId="1B61CC1B" w14:textId="48667B9C" w:rsidR="00050297" w:rsidRPr="005D1219" w:rsidRDefault="00050297" w:rsidP="00050297">
      <w:pPr>
        <w:jc w:val="both"/>
        <w:rPr>
          <w:rFonts w:ascii="Arial" w:eastAsia="Times New Roman" w:hAnsi="Arial" w:cs="Arial"/>
          <w:color w:val="000000"/>
          <w:sz w:val="20"/>
          <w:szCs w:val="20"/>
          <w:lang w:eastAsia="hr-HR"/>
        </w:rPr>
      </w:pPr>
      <w:r w:rsidRPr="00685466">
        <w:rPr>
          <w:rFonts w:ascii="Arial" w:eastAsia="Times New Roman" w:hAnsi="Arial" w:cs="Arial"/>
          <w:color w:val="000000"/>
          <w:sz w:val="20"/>
          <w:szCs w:val="20"/>
          <w:lang w:eastAsia="hr-HR"/>
        </w:rPr>
        <w:t xml:space="preserve">U </w:t>
      </w:r>
      <w:r w:rsidRPr="00573C0A">
        <w:rPr>
          <w:rFonts w:ascii="Arial" w:eastAsia="Times New Roman" w:hAnsi="Arial" w:cs="Arial"/>
          <w:color w:val="000000"/>
          <w:sz w:val="20"/>
          <w:szCs w:val="20"/>
          <w:lang w:eastAsia="hr-HR"/>
        </w:rPr>
        <w:t xml:space="preserve">izvještajnom razdoblju 2024. godine je obavljena prodaja preuzete imovine u iznosu sadašnje vrijednosti </w:t>
      </w:r>
      <w:r w:rsidR="00573C0A" w:rsidRPr="00573C0A">
        <w:rPr>
          <w:rFonts w:ascii="Arial" w:eastAsia="Times New Roman" w:hAnsi="Arial" w:cs="Arial"/>
          <w:color w:val="000000"/>
          <w:sz w:val="20"/>
          <w:szCs w:val="20"/>
          <w:lang w:eastAsia="hr-HR"/>
        </w:rPr>
        <w:t>330</w:t>
      </w:r>
      <w:r w:rsidRPr="001541F1">
        <w:rPr>
          <w:rFonts w:ascii="Arial" w:eastAsia="Times New Roman" w:hAnsi="Arial" w:cs="Arial"/>
          <w:color w:val="000000"/>
          <w:sz w:val="20"/>
          <w:szCs w:val="20"/>
          <w:lang w:eastAsia="hr-HR"/>
        </w:rPr>
        <w:t xml:space="preserve"> tisuća eura, nabavne vrijednosti </w:t>
      </w:r>
      <w:r w:rsidR="00573C0A" w:rsidRPr="001541F1">
        <w:rPr>
          <w:rFonts w:ascii="Arial" w:eastAsia="Times New Roman" w:hAnsi="Arial" w:cs="Arial"/>
          <w:color w:val="000000"/>
          <w:sz w:val="20"/>
          <w:szCs w:val="20"/>
          <w:lang w:eastAsia="hr-HR"/>
        </w:rPr>
        <w:t>566</w:t>
      </w:r>
      <w:r w:rsidRPr="001541F1">
        <w:rPr>
          <w:rFonts w:ascii="Arial" w:eastAsia="Times New Roman" w:hAnsi="Arial" w:cs="Arial"/>
          <w:color w:val="000000"/>
          <w:sz w:val="20"/>
          <w:szCs w:val="20"/>
          <w:lang w:eastAsia="hr-HR"/>
        </w:rPr>
        <w:t xml:space="preserve"> tisuće eura i ispravka vrijednosti </w:t>
      </w:r>
      <w:r w:rsidR="00573C0A" w:rsidRPr="001541F1">
        <w:rPr>
          <w:rFonts w:ascii="Arial" w:eastAsia="Times New Roman" w:hAnsi="Arial" w:cs="Arial"/>
          <w:color w:val="000000"/>
          <w:sz w:val="20"/>
          <w:szCs w:val="20"/>
          <w:lang w:eastAsia="hr-HR"/>
        </w:rPr>
        <w:t>236</w:t>
      </w:r>
      <w:r w:rsidRPr="001541F1">
        <w:rPr>
          <w:rFonts w:ascii="Arial" w:eastAsia="Times New Roman" w:hAnsi="Arial" w:cs="Arial"/>
          <w:color w:val="000000"/>
          <w:sz w:val="20"/>
          <w:szCs w:val="20"/>
          <w:lang w:eastAsia="hr-HR"/>
        </w:rPr>
        <w:t xml:space="preserve"> tisuća eura, a odnosi se na </w:t>
      </w:r>
      <w:r w:rsidR="00573C0A" w:rsidRPr="001541F1">
        <w:rPr>
          <w:rFonts w:ascii="Arial" w:eastAsia="Times New Roman" w:hAnsi="Arial" w:cs="Arial"/>
          <w:color w:val="000000"/>
          <w:sz w:val="20"/>
          <w:szCs w:val="20"/>
          <w:lang w:eastAsia="hr-HR"/>
        </w:rPr>
        <w:t xml:space="preserve">zemljište u iznosu od 2 tisuće eura i </w:t>
      </w:r>
      <w:r w:rsidRPr="001541F1">
        <w:rPr>
          <w:rFonts w:ascii="Arial" w:eastAsia="Times New Roman" w:hAnsi="Arial" w:cs="Arial"/>
          <w:color w:val="000000"/>
          <w:sz w:val="20"/>
          <w:szCs w:val="20"/>
          <w:lang w:eastAsia="hr-HR"/>
        </w:rPr>
        <w:t xml:space="preserve">građevinske objekte u iznosu od </w:t>
      </w:r>
      <w:r w:rsidR="00573C0A" w:rsidRPr="001541F1">
        <w:rPr>
          <w:rFonts w:ascii="Arial" w:eastAsia="Times New Roman" w:hAnsi="Arial" w:cs="Arial"/>
          <w:color w:val="000000"/>
          <w:sz w:val="20"/>
          <w:szCs w:val="20"/>
          <w:lang w:eastAsia="hr-HR"/>
        </w:rPr>
        <w:t>328</w:t>
      </w:r>
      <w:r w:rsidRPr="001541F1">
        <w:rPr>
          <w:rFonts w:ascii="Arial" w:eastAsia="Times New Roman" w:hAnsi="Arial" w:cs="Arial"/>
          <w:color w:val="000000"/>
          <w:sz w:val="20"/>
          <w:szCs w:val="20"/>
          <w:lang w:eastAsia="hr-HR"/>
        </w:rPr>
        <w:t xml:space="preserve"> tisuća eura</w:t>
      </w:r>
      <w:r w:rsidRPr="00573C0A">
        <w:rPr>
          <w:rFonts w:ascii="Arial" w:eastAsia="Times New Roman" w:hAnsi="Arial" w:cs="Arial"/>
          <w:color w:val="000000"/>
          <w:sz w:val="20"/>
          <w:szCs w:val="20"/>
          <w:lang w:eastAsia="hr-HR"/>
        </w:rPr>
        <w:t xml:space="preserve">  (2023. godine obavljena je prodaja preuzete imovine u iznosu sadašnje vrijednosti 892 tisuća eura,</w:t>
      </w:r>
      <w:r w:rsidRPr="005D1219">
        <w:rPr>
          <w:rFonts w:ascii="Arial" w:eastAsia="Times New Roman" w:hAnsi="Arial" w:cs="Arial"/>
          <w:color w:val="000000"/>
          <w:sz w:val="20"/>
          <w:szCs w:val="20"/>
          <w:lang w:eastAsia="hr-HR"/>
        </w:rPr>
        <w:t xml:space="preserve"> nabavne vrijednosti 1.536 tisuća eura i ispravka vrijednosti 644 tisuća eura, a odnosi se na zemljište u iznosu od 836 tisuća eura, građevinske objekte u iznosu od 27 tisuća eura i stambene objekte u iznosu 29 tisuća eura).</w:t>
      </w:r>
    </w:p>
    <w:p w14:paraId="10A1EBDC" w14:textId="6E572887" w:rsidR="001B247D" w:rsidRPr="002E62D9" w:rsidRDefault="001B247D" w:rsidP="001B247D">
      <w:pPr>
        <w:tabs>
          <w:tab w:val="left" w:pos="-1985"/>
        </w:tabs>
        <w:suppressAutoHyphens/>
        <w:autoSpaceDN w:val="0"/>
        <w:jc w:val="both"/>
        <w:rPr>
          <w:rFonts w:ascii="Arial" w:eastAsia="Times New Roman" w:hAnsi="Arial" w:cs="Arial"/>
          <w:color w:val="000000" w:themeColor="text1"/>
          <w:sz w:val="20"/>
          <w:szCs w:val="20"/>
        </w:rPr>
      </w:pPr>
    </w:p>
    <w:p w14:paraId="2207BD57" w14:textId="1EA0EE9C" w:rsidR="00014E6C" w:rsidRPr="00AC71B1" w:rsidRDefault="00014E6C" w:rsidP="00014E6C">
      <w:pPr>
        <w:jc w:val="both"/>
        <w:rPr>
          <w:rFonts w:ascii="Arial" w:eastAsia="Times New Roman" w:hAnsi="Arial" w:cs="Arial"/>
          <w:color w:val="000000"/>
          <w:sz w:val="20"/>
          <w:szCs w:val="20"/>
          <w:lang w:eastAsia="hr-HR"/>
        </w:rPr>
      </w:pPr>
      <w:r w:rsidRPr="00AC71B1">
        <w:rPr>
          <w:rFonts w:ascii="Arial" w:eastAsia="Times New Roman" w:hAnsi="Arial" w:cs="Arial"/>
          <w:color w:val="000000"/>
          <w:sz w:val="20"/>
          <w:szCs w:val="20"/>
          <w:lang w:eastAsia="hr-HR"/>
        </w:rPr>
        <w:t>U izvještajnom razdoblju 202</w:t>
      </w:r>
      <w:r>
        <w:rPr>
          <w:rFonts w:ascii="Arial" w:eastAsia="Times New Roman" w:hAnsi="Arial" w:cs="Arial"/>
          <w:color w:val="000000"/>
          <w:sz w:val="20"/>
          <w:szCs w:val="20"/>
          <w:lang w:eastAsia="hr-HR"/>
        </w:rPr>
        <w:t>4</w:t>
      </w:r>
      <w:r w:rsidRPr="00AC71B1">
        <w:rPr>
          <w:rFonts w:ascii="Arial" w:eastAsia="Times New Roman" w:hAnsi="Arial" w:cs="Arial"/>
          <w:color w:val="000000"/>
          <w:sz w:val="20"/>
          <w:szCs w:val="20"/>
          <w:lang w:eastAsia="hr-HR"/>
        </w:rPr>
        <w:t>. godine obavljen je prijenos preuzete imovine u najam</w:t>
      </w:r>
      <w:r>
        <w:rPr>
          <w:rFonts w:ascii="Arial" w:eastAsia="Times New Roman" w:hAnsi="Arial" w:cs="Arial"/>
          <w:color w:val="000000"/>
          <w:sz w:val="20"/>
          <w:szCs w:val="20"/>
          <w:lang w:eastAsia="hr-HR"/>
        </w:rPr>
        <w:t>,</w:t>
      </w:r>
      <w:r w:rsidRPr="00AC71B1">
        <w:rPr>
          <w:rFonts w:ascii="Arial" w:eastAsia="Times New Roman" w:hAnsi="Arial" w:cs="Arial"/>
          <w:color w:val="000000"/>
          <w:sz w:val="20"/>
          <w:szCs w:val="20"/>
          <w:lang w:eastAsia="hr-HR"/>
        </w:rPr>
        <w:t xml:space="preserve"> na poziciju Ulaganje u nekretnine</w:t>
      </w:r>
      <w:r>
        <w:rPr>
          <w:rFonts w:ascii="Arial" w:eastAsia="Times New Roman" w:hAnsi="Arial" w:cs="Arial"/>
          <w:color w:val="000000"/>
          <w:sz w:val="20"/>
          <w:szCs w:val="20"/>
          <w:lang w:eastAsia="hr-HR"/>
        </w:rPr>
        <w:t>,</w:t>
      </w:r>
      <w:r w:rsidRPr="00AC71B1">
        <w:rPr>
          <w:rFonts w:ascii="Arial" w:eastAsia="Times New Roman" w:hAnsi="Arial" w:cs="Arial"/>
          <w:color w:val="000000"/>
          <w:sz w:val="20"/>
          <w:szCs w:val="20"/>
          <w:lang w:eastAsia="hr-HR"/>
        </w:rPr>
        <w:t xml:space="preserve"> u visini od </w:t>
      </w:r>
      <w:r w:rsidR="005338D2">
        <w:rPr>
          <w:rFonts w:ascii="Arial" w:eastAsia="Times New Roman" w:hAnsi="Arial" w:cs="Arial"/>
          <w:color w:val="000000"/>
          <w:sz w:val="20"/>
          <w:szCs w:val="20"/>
          <w:lang w:eastAsia="hr-HR"/>
        </w:rPr>
        <w:t>307</w:t>
      </w:r>
      <w:r w:rsidRPr="00AC71B1">
        <w:rPr>
          <w:rFonts w:ascii="Arial" w:eastAsia="Times New Roman" w:hAnsi="Arial" w:cs="Arial"/>
          <w:color w:val="000000"/>
          <w:sz w:val="20"/>
          <w:szCs w:val="20"/>
          <w:lang w:eastAsia="hr-HR"/>
        </w:rPr>
        <w:t xml:space="preserve"> tisuć</w:t>
      </w:r>
      <w:r>
        <w:rPr>
          <w:rFonts w:ascii="Arial" w:eastAsia="Times New Roman" w:hAnsi="Arial" w:cs="Arial"/>
          <w:color w:val="000000"/>
          <w:sz w:val="20"/>
          <w:szCs w:val="20"/>
          <w:lang w:eastAsia="hr-HR"/>
        </w:rPr>
        <w:t>e</w:t>
      </w:r>
      <w:r w:rsidRPr="00AC71B1">
        <w:rPr>
          <w:rFonts w:ascii="Arial" w:eastAsia="Times New Roman" w:hAnsi="Arial" w:cs="Arial"/>
          <w:color w:val="000000"/>
          <w:sz w:val="20"/>
          <w:szCs w:val="20"/>
          <w:lang w:eastAsia="hr-HR"/>
        </w:rPr>
        <w:t xml:space="preserve"> eura (202</w:t>
      </w:r>
      <w:r>
        <w:rPr>
          <w:rFonts w:ascii="Arial" w:eastAsia="Times New Roman" w:hAnsi="Arial" w:cs="Arial"/>
          <w:color w:val="000000"/>
          <w:sz w:val="20"/>
          <w:szCs w:val="20"/>
          <w:lang w:eastAsia="hr-HR"/>
        </w:rPr>
        <w:t>3</w:t>
      </w:r>
      <w:r w:rsidRPr="00AC71B1">
        <w:rPr>
          <w:rFonts w:ascii="Arial" w:eastAsia="Times New Roman" w:hAnsi="Arial" w:cs="Arial"/>
          <w:color w:val="000000"/>
          <w:sz w:val="20"/>
          <w:szCs w:val="20"/>
          <w:lang w:eastAsia="hr-HR"/>
        </w:rPr>
        <w:t>. godine: 1</w:t>
      </w:r>
      <w:r>
        <w:rPr>
          <w:rFonts w:ascii="Arial" w:eastAsia="Times New Roman" w:hAnsi="Arial" w:cs="Arial"/>
          <w:color w:val="000000"/>
          <w:sz w:val="20"/>
          <w:szCs w:val="20"/>
          <w:lang w:eastAsia="hr-HR"/>
        </w:rPr>
        <w:t>40</w:t>
      </w:r>
      <w:r w:rsidRPr="00AC71B1">
        <w:rPr>
          <w:rFonts w:ascii="Arial" w:eastAsia="Times New Roman" w:hAnsi="Arial" w:cs="Arial"/>
          <w:color w:val="000000"/>
          <w:sz w:val="20"/>
          <w:szCs w:val="20"/>
          <w:lang w:eastAsia="hr-HR"/>
        </w:rPr>
        <w:t xml:space="preserve"> tisuća eura) što je iskazano u okviru Ostale imovine zbog nematerijalnog značaja. </w:t>
      </w:r>
    </w:p>
    <w:p w14:paraId="1DF767CF" w14:textId="1EEE8F78" w:rsidR="00014E6C" w:rsidRPr="00AC71B1" w:rsidRDefault="00014E6C" w:rsidP="00014E6C">
      <w:pPr>
        <w:jc w:val="both"/>
        <w:rPr>
          <w:rFonts w:ascii="Arial" w:eastAsia="Times New Roman" w:hAnsi="Arial" w:cs="Arial"/>
          <w:color w:val="000000"/>
          <w:sz w:val="20"/>
          <w:szCs w:val="20"/>
          <w:lang w:eastAsia="hr-HR"/>
        </w:rPr>
      </w:pPr>
      <w:r w:rsidRPr="00AC71B1">
        <w:rPr>
          <w:rFonts w:ascii="Arial" w:eastAsia="Times New Roman" w:hAnsi="Arial" w:cs="Arial"/>
          <w:color w:val="000000"/>
          <w:sz w:val="20"/>
          <w:szCs w:val="20"/>
          <w:lang w:eastAsia="hr-HR"/>
        </w:rPr>
        <w:t xml:space="preserve">U izvještajnom razdoblju je na ovu imovinu obračunata amortizacija u visini od </w:t>
      </w:r>
      <w:r w:rsidR="005338D2">
        <w:rPr>
          <w:rFonts w:ascii="Arial" w:eastAsia="Times New Roman" w:hAnsi="Arial" w:cs="Arial"/>
          <w:color w:val="000000"/>
          <w:sz w:val="20"/>
          <w:szCs w:val="20"/>
          <w:lang w:eastAsia="hr-HR"/>
        </w:rPr>
        <w:t>10</w:t>
      </w:r>
      <w:r>
        <w:rPr>
          <w:rFonts w:ascii="Arial" w:eastAsia="Times New Roman" w:hAnsi="Arial" w:cs="Arial"/>
          <w:color w:val="000000"/>
          <w:sz w:val="20"/>
          <w:szCs w:val="20"/>
          <w:lang w:eastAsia="hr-HR"/>
        </w:rPr>
        <w:t xml:space="preserve"> </w:t>
      </w:r>
      <w:r w:rsidRPr="00AC71B1">
        <w:rPr>
          <w:rFonts w:ascii="Arial" w:eastAsia="Times New Roman" w:hAnsi="Arial" w:cs="Arial"/>
          <w:color w:val="000000"/>
          <w:sz w:val="20"/>
          <w:szCs w:val="20"/>
          <w:lang w:eastAsia="hr-HR"/>
        </w:rPr>
        <w:t>tisuć</w:t>
      </w:r>
      <w:r>
        <w:rPr>
          <w:rFonts w:ascii="Arial" w:eastAsia="Times New Roman" w:hAnsi="Arial" w:cs="Arial"/>
          <w:color w:val="000000"/>
          <w:sz w:val="20"/>
          <w:szCs w:val="20"/>
          <w:lang w:eastAsia="hr-HR"/>
        </w:rPr>
        <w:t>a</w:t>
      </w:r>
      <w:r w:rsidRPr="00AC71B1">
        <w:rPr>
          <w:rFonts w:ascii="Arial" w:eastAsia="Times New Roman" w:hAnsi="Arial" w:cs="Arial"/>
          <w:color w:val="000000"/>
          <w:sz w:val="20"/>
          <w:szCs w:val="20"/>
          <w:lang w:eastAsia="hr-HR"/>
        </w:rPr>
        <w:t xml:space="preserve"> eura (202</w:t>
      </w:r>
      <w:r>
        <w:rPr>
          <w:rFonts w:ascii="Arial" w:eastAsia="Times New Roman" w:hAnsi="Arial" w:cs="Arial"/>
          <w:color w:val="000000"/>
          <w:sz w:val="20"/>
          <w:szCs w:val="20"/>
          <w:lang w:eastAsia="hr-HR"/>
        </w:rPr>
        <w:t>3</w:t>
      </w:r>
      <w:r w:rsidRPr="00AC71B1">
        <w:rPr>
          <w:rFonts w:ascii="Arial" w:eastAsia="Times New Roman" w:hAnsi="Arial" w:cs="Arial"/>
          <w:color w:val="000000"/>
          <w:sz w:val="20"/>
          <w:szCs w:val="20"/>
          <w:lang w:eastAsia="hr-HR"/>
        </w:rPr>
        <w:t xml:space="preserve">.: </w:t>
      </w:r>
      <w:r>
        <w:rPr>
          <w:rFonts w:ascii="Arial" w:eastAsia="Times New Roman" w:hAnsi="Arial" w:cs="Arial"/>
          <w:color w:val="000000"/>
          <w:sz w:val="20"/>
          <w:szCs w:val="20"/>
          <w:lang w:eastAsia="hr-HR"/>
        </w:rPr>
        <w:t>9</w:t>
      </w:r>
      <w:r w:rsidRPr="00AC71B1">
        <w:rPr>
          <w:rFonts w:ascii="Arial" w:eastAsia="Times New Roman" w:hAnsi="Arial" w:cs="Arial"/>
          <w:color w:val="000000"/>
          <w:sz w:val="20"/>
          <w:szCs w:val="20"/>
          <w:lang w:eastAsia="hr-HR"/>
        </w:rPr>
        <w:t xml:space="preserve"> tisuć</w:t>
      </w:r>
      <w:r>
        <w:rPr>
          <w:rFonts w:ascii="Arial" w:eastAsia="Times New Roman" w:hAnsi="Arial" w:cs="Arial"/>
          <w:color w:val="000000"/>
          <w:sz w:val="20"/>
          <w:szCs w:val="20"/>
          <w:lang w:eastAsia="hr-HR"/>
        </w:rPr>
        <w:t>a</w:t>
      </w:r>
      <w:r w:rsidRPr="00AC71B1">
        <w:rPr>
          <w:rFonts w:ascii="Arial" w:eastAsia="Times New Roman" w:hAnsi="Arial" w:cs="Arial"/>
          <w:color w:val="000000"/>
          <w:sz w:val="20"/>
          <w:szCs w:val="20"/>
          <w:lang w:eastAsia="hr-HR"/>
        </w:rPr>
        <w:t xml:space="preserve"> eura).</w:t>
      </w:r>
    </w:p>
    <w:p w14:paraId="37562254" w14:textId="77777777" w:rsidR="00014E6C" w:rsidRPr="003D1614" w:rsidRDefault="00014E6C" w:rsidP="00014E6C">
      <w:pPr>
        <w:tabs>
          <w:tab w:val="left" w:pos="-1985"/>
        </w:tabs>
        <w:suppressAutoHyphens/>
        <w:autoSpaceDN w:val="0"/>
        <w:jc w:val="both"/>
        <w:rPr>
          <w:rFonts w:ascii="Arial" w:eastAsia="Times New Roman" w:hAnsi="Arial" w:cs="Arial"/>
          <w:color w:val="000000" w:themeColor="text1"/>
          <w:sz w:val="20"/>
          <w:szCs w:val="20"/>
          <w:highlight w:val="yellow"/>
        </w:rPr>
      </w:pPr>
    </w:p>
    <w:p w14:paraId="7E6FB7D8" w14:textId="20FE70F3" w:rsidR="00014E6C" w:rsidRPr="00AC71B1" w:rsidRDefault="00014E6C" w:rsidP="00014E6C">
      <w:pPr>
        <w:jc w:val="both"/>
        <w:rPr>
          <w:rFonts w:ascii="Arial" w:eastAsia="Times New Roman" w:hAnsi="Arial" w:cs="Arial"/>
          <w:color w:val="000000"/>
          <w:sz w:val="20"/>
          <w:szCs w:val="20"/>
          <w:lang w:eastAsia="hr-HR"/>
        </w:rPr>
      </w:pPr>
      <w:r w:rsidRPr="00AC71B1">
        <w:rPr>
          <w:rFonts w:ascii="Arial" w:eastAsia="Times New Roman" w:hAnsi="Arial" w:cs="Arial"/>
          <w:color w:val="000000"/>
          <w:sz w:val="20"/>
          <w:szCs w:val="20"/>
          <w:lang w:eastAsia="hr-HR"/>
        </w:rPr>
        <w:t xml:space="preserve">Fer vrijednost ukupne preuzete imovine na početku izvještajnog razdoblja </w:t>
      </w:r>
      <w:r w:rsidRPr="005338D2">
        <w:rPr>
          <w:rFonts w:ascii="Arial" w:eastAsia="Times New Roman" w:hAnsi="Arial" w:cs="Arial"/>
          <w:color w:val="000000"/>
          <w:sz w:val="20"/>
          <w:szCs w:val="20"/>
          <w:lang w:eastAsia="hr-HR"/>
        </w:rPr>
        <w:t xml:space="preserve">iznosila </w:t>
      </w:r>
      <w:r w:rsidRPr="001541F1">
        <w:rPr>
          <w:rFonts w:ascii="Arial" w:eastAsia="Times New Roman" w:hAnsi="Arial" w:cs="Arial"/>
          <w:color w:val="000000"/>
          <w:sz w:val="20"/>
          <w:szCs w:val="20"/>
          <w:lang w:eastAsia="hr-HR"/>
        </w:rPr>
        <w:t xml:space="preserve">je </w:t>
      </w:r>
      <w:r w:rsidR="005338D2" w:rsidRPr="001541F1">
        <w:rPr>
          <w:rFonts w:ascii="Arial" w:eastAsia="Times New Roman" w:hAnsi="Arial" w:cs="Arial"/>
          <w:color w:val="000000"/>
          <w:sz w:val="20"/>
          <w:szCs w:val="20"/>
          <w:lang w:eastAsia="hr-HR"/>
        </w:rPr>
        <w:t>4.066</w:t>
      </w:r>
      <w:r w:rsidRPr="005338D2">
        <w:rPr>
          <w:rFonts w:ascii="Arial" w:eastAsia="Times New Roman" w:hAnsi="Arial" w:cs="Arial"/>
          <w:color w:val="000000"/>
          <w:sz w:val="20"/>
          <w:szCs w:val="20"/>
          <w:lang w:eastAsia="hr-HR"/>
        </w:rPr>
        <w:t xml:space="preserve"> tisuća</w:t>
      </w:r>
      <w:r w:rsidRPr="00AC71B1">
        <w:rPr>
          <w:rFonts w:ascii="Arial" w:eastAsia="Times New Roman" w:hAnsi="Arial" w:cs="Arial"/>
          <w:color w:val="000000"/>
          <w:sz w:val="20"/>
          <w:szCs w:val="20"/>
          <w:lang w:eastAsia="hr-HR"/>
        </w:rPr>
        <w:t xml:space="preserve"> eura, a na kraju izvještajnog razdoblja iznosi </w:t>
      </w:r>
      <w:r w:rsidR="005338D2">
        <w:rPr>
          <w:rFonts w:ascii="Arial" w:eastAsia="Times New Roman" w:hAnsi="Arial" w:cs="Arial"/>
          <w:color w:val="000000"/>
          <w:sz w:val="20"/>
          <w:szCs w:val="20"/>
          <w:lang w:eastAsia="hr-HR"/>
        </w:rPr>
        <w:t>3.299</w:t>
      </w:r>
      <w:r w:rsidRPr="00AC71B1">
        <w:rPr>
          <w:rFonts w:ascii="Arial" w:eastAsia="Times New Roman" w:hAnsi="Arial" w:cs="Arial"/>
          <w:color w:val="000000"/>
          <w:sz w:val="20"/>
          <w:szCs w:val="20"/>
          <w:lang w:eastAsia="hr-HR"/>
        </w:rPr>
        <w:t xml:space="preserve"> tisuća EUR-a</w:t>
      </w:r>
      <w:r>
        <w:rPr>
          <w:rFonts w:ascii="Arial" w:eastAsia="Times New Roman" w:hAnsi="Arial" w:cs="Arial"/>
          <w:color w:val="000000"/>
          <w:sz w:val="20"/>
          <w:szCs w:val="20"/>
          <w:lang w:eastAsia="hr-HR"/>
        </w:rPr>
        <w:t>.</w:t>
      </w:r>
    </w:p>
    <w:p w14:paraId="1EECD6AD" w14:textId="77777777" w:rsidR="00014E6C" w:rsidRDefault="00014E6C" w:rsidP="00014E6C">
      <w:pPr>
        <w:jc w:val="both"/>
        <w:rPr>
          <w:rFonts w:ascii="Arial" w:eastAsia="Times New Roman" w:hAnsi="Arial" w:cs="Arial"/>
          <w:color w:val="000000"/>
          <w:sz w:val="20"/>
          <w:szCs w:val="20"/>
          <w:lang w:eastAsia="hr-HR"/>
        </w:rPr>
      </w:pPr>
    </w:p>
    <w:p w14:paraId="7EF47267" w14:textId="77777777" w:rsidR="00014E6C" w:rsidRPr="00AC71B1" w:rsidRDefault="00014E6C" w:rsidP="00014E6C">
      <w:pPr>
        <w:jc w:val="both"/>
        <w:rPr>
          <w:rFonts w:ascii="Arial" w:eastAsia="Times New Roman" w:hAnsi="Arial" w:cs="Arial"/>
          <w:color w:val="000000"/>
          <w:sz w:val="20"/>
          <w:szCs w:val="20"/>
          <w:lang w:eastAsia="hr-HR"/>
        </w:rPr>
      </w:pPr>
      <w:r w:rsidRPr="00AC71B1">
        <w:rPr>
          <w:rFonts w:ascii="Arial" w:eastAsia="Times New Roman" w:hAnsi="Arial" w:cs="Arial"/>
          <w:color w:val="000000"/>
          <w:sz w:val="20"/>
          <w:szCs w:val="20"/>
          <w:lang w:eastAsia="hr-HR"/>
        </w:rPr>
        <w:t xml:space="preserve">Iznos usklađenja za Grupu i Banku </w:t>
      </w:r>
      <w:r w:rsidRPr="00685466">
        <w:rPr>
          <w:rFonts w:ascii="Arial" w:eastAsia="Times New Roman" w:hAnsi="Arial" w:cs="Arial"/>
          <w:color w:val="000000"/>
          <w:sz w:val="20"/>
          <w:szCs w:val="20"/>
          <w:lang w:eastAsia="hr-HR"/>
        </w:rPr>
        <w:t>koji ima učinak na račun dobiti i gubitka u 202</w:t>
      </w:r>
      <w:r>
        <w:rPr>
          <w:rFonts w:ascii="Arial" w:eastAsia="Times New Roman" w:hAnsi="Arial" w:cs="Arial"/>
          <w:color w:val="000000"/>
          <w:sz w:val="20"/>
          <w:szCs w:val="20"/>
          <w:lang w:eastAsia="hr-HR"/>
        </w:rPr>
        <w:t>4</w:t>
      </w:r>
      <w:r w:rsidRPr="00685466">
        <w:rPr>
          <w:rFonts w:ascii="Arial" w:eastAsia="Times New Roman" w:hAnsi="Arial" w:cs="Arial"/>
          <w:color w:val="000000"/>
          <w:sz w:val="20"/>
          <w:szCs w:val="20"/>
          <w:lang w:eastAsia="hr-HR"/>
        </w:rPr>
        <w:t xml:space="preserve">. godini </w:t>
      </w:r>
      <w:r w:rsidRPr="001541F1">
        <w:rPr>
          <w:rFonts w:ascii="Arial" w:eastAsia="Times New Roman" w:hAnsi="Arial" w:cs="Arial"/>
          <w:color w:val="000000"/>
          <w:sz w:val="20"/>
          <w:szCs w:val="20"/>
          <w:lang w:eastAsia="hr-HR"/>
        </w:rPr>
        <w:t>iznosi 0</w:t>
      </w:r>
      <w:r w:rsidRPr="005338D2">
        <w:rPr>
          <w:rFonts w:ascii="Arial" w:eastAsia="Times New Roman" w:hAnsi="Arial" w:cs="Arial"/>
          <w:color w:val="000000"/>
          <w:sz w:val="20"/>
          <w:szCs w:val="20"/>
          <w:lang w:eastAsia="hr-HR"/>
        </w:rPr>
        <w:t xml:space="preserve"> tisuća</w:t>
      </w:r>
      <w:r w:rsidRPr="00685466">
        <w:rPr>
          <w:rFonts w:ascii="Arial" w:eastAsia="Times New Roman" w:hAnsi="Arial" w:cs="Arial"/>
          <w:color w:val="000000"/>
          <w:sz w:val="20"/>
          <w:szCs w:val="20"/>
          <w:lang w:eastAsia="hr-HR"/>
        </w:rPr>
        <w:t xml:space="preserve"> eura (202</w:t>
      </w:r>
      <w:r>
        <w:rPr>
          <w:rFonts w:ascii="Arial" w:eastAsia="Times New Roman" w:hAnsi="Arial" w:cs="Arial"/>
          <w:color w:val="000000"/>
          <w:sz w:val="20"/>
          <w:szCs w:val="20"/>
          <w:lang w:eastAsia="hr-HR"/>
        </w:rPr>
        <w:t>3</w:t>
      </w:r>
      <w:r w:rsidRPr="00685466">
        <w:rPr>
          <w:rFonts w:ascii="Arial" w:eastAsia="Times New Roman" w:hAnsi="Arial" w:cs="Arial"/>
          <w:color w:val="000000"/>
          <w:sz w:val="20"/>
          <w:szCs w:val="20"/>
          <w:lang w:eastAsia="hr-HR"/>
        </w:rPr>
        <w:t xml:space="preserve">. godine: </w:t>
      </w:r>
      <w:r>
        <w:rPr>
          <w:rFonts w:ascii="Arial" w:eastAsia="Times New Roman" w:hAnsi="Arial" w:cs="Arial"/>
          <w:color w:val="000000"/>
          <w:sz w:val="20"/>
          <w:szCs w:val="20"/>
          <w:lang w:eastAsia="hr-HR"/>
        </w:rPr>
        <w:t>0</w:t>
      </w:r>
      <w:r w:rsidRPr="00685466">
        <w:rPr>
          <w:rFonts w:ascii="Arial" w:eastAsia="Times New Roman" w:hAnsi="Arial" w:cs="Arial"/>
          <w:color w:val="000000"/>
          <w:sz w:val="20"/>
          <w:szCs w:val="20"/>
          <w:lang w:eastAsia="hr-HR"/>
        </w:rPr>
        <w:t xml:space="preserve"> tisuća eura).</w:t>
      </w:r>
    </w:p>
    <w:p w14:paraId="334B28DC" w14:textId="77777777" w:rsidR="001B247D" w:rsidRPr="003D1614" w:rsidRDefault="001B247D" w:rsidP="001B247D">
      <w:pPr>
        <w:tabs>
          <w:tab w:val="left" w:pos="-1985"/>
        </w:tabs>
        <w:suppressAutoHyphens/>
        <w:autoSpaceDN w:val="0"/>
        <w:jc w:val="both"/>
        <w:rPr>
          <w:rFonts w:ascii="Arial" w:eastAsia="Times New Roman" w:hAnsi="Arial" w:cs="Arial"/>
          <w:color w:val="000000" w:themeColor="text1"/>
          <w:sz w:val="20"/>
          <w:szCs w:val="20"/>
          <w:highlight w:val="yellow"/>
        </w:rPr>
      </w:pPr>
    </w:p>
    <w:p w14:paraId="4388AFED" w14:textId="77777777" w:rsidR="00625051" w:rsidRPr="003D1614" w:rsidRDefault="00625051" w:rsidP="001B247D">
      <w:pPr>
        <w:suppressAutoHyphens/>
        <w:autoSpaceDN w:val="0"/>
        <w:jc w:val="both"/>
        <w:rPr>
          <w:rFonts w:ascii="Arial" w:eastAsia="Times New Roman" w:hAnsi="Arial" w:cs="Arial"/>
          <w:color w:val="000000"/>
          <w:sz w:val="20"/>
          <w:szCs w:val="20"/>
        </w:rPr>
      </w:pPr>
    </w:p>
    <w:bookmarkEnd w:id="420"/>
    <w:p w14:paraId="7565668F" w14:textId="77777777" w:rsidR="00625051" w:rsidRPr="003D1614" w:rsidRDefault="00625051" w:rsidP="001B247D">
      <w:pPr>
        <w:suppressAutoHyphens/>
        <w:autoSpaceDN w:val="0"/>
        <w:jc w:val="both"/>
        <w:outlineLvl w:val="0"/>
        <w:rPr>
          <w:rFonts w:ascii="Arial" w:eastAsia="Calibri" w:hAnsi="Arial" w:cs="Arial"/>
          <w:bCs/>
          <w:color w:val="000000" w:themeColor="text1"/>
          <w:sz w:val="20"/>
          <w:szCs w:val="20"/>
        </w:rPr>
        <w:sectPr w:rsidR="00625051" w:rsidRPr="003D1614">
          <w:pgSz w:w="11906" w:h="16838"/>
          <w:pgMar w:top="1417" w:right="1417" w:bottom="1417" w:left="1417" w:header="708" w:footer="708" w:gutter="0"/>
          <w:cols w:space="708"/>
          <w:docGrid w:linePitch="360"/>
        </w:sectPr>
      </w:pPr>
    </w:p>
    <w:p w14:paraId="2CBEC9D8" w14:textId="77777777" w:rsidR="00D004B1" w:rsidRPr="003D1614" w:rsidRDefault="00D004B1" w:rsidP="00D004B1">
      <w:pPr>
        <w:keepNext/>
        <w:suppressAutoHyphens/>
        <w:autoSpaceDN w:val="0"/>
        <w:jc w:val="both"/>
        <w:outlineLvl w:val="0"/>
        <w:rPr>
          <w:rFonts w:ascii="Arial" w:eastAsia="Times New Roman" w:hAnsi="Arial" w:cs="Arial"/>
          <w:b/>
          <w:bCs/>
          <w:color w:val="000000" w:themeColor="text1"/>
          <w:sz w:val="20"/>
          <w:szCs w:val="20"/>
        </w:rPr>
      </w:pPr>
    </w:p>
    <w:p w14:paraId="2E522DF3" w14:textId="71807656" w:rsidR="00D004B1" w:rsidRPr="003D1614" w:rsidRDefault="00D004B1" w:rsidP="00D004B1">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1</w:t>
      </w:r>
      <w:r w:rsidR="000E693B">
        <w:rPr>
          <w:rFonts w:ascii="Arial" w:eastAsia="Times New Roman" w:hAnsi="Arial" w:cs="Arial"/>
          <w:b/>
          <w:bCs/>
          <w:color w:val="000000" w:themeColor="text1"/>
          <w:sz w:val="20"/>
          <w:szCs w:val="20"/>
        </w:rPr>
        <w:t>6</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Ostala imovina</w:t>
      </w:r>
    </w:p>
    <w:p w14:paraId="21B98BE3" w14:textId="77777777" w:rsidR="00D004B1" w:rsidRPr="003D1614" w:rsidRDefault="00D004B1" w:rsidP="00D004B1">
      <w:pPr>
        <w:keepNext/>
        <w:tabs>
          <w:tab w:val="left" w:pos="567"/>
        </w:tabs>
        <w:suppressAutoHyphens/>
        <w:autoSpaceDN w:val="0"/>
        <w:jc w:val="both"/>
        <w:outlineLvl w:val="0"/>
        <w:rPr>
          <w:rFonts w:ascii="Arial" w:eastAsia="Times New Roman" w:hAnsi="Arial" w:cs="Arial"/>
          <w:b/>
          <w:bCs/>
          <w:color w:val="000000" w:themeColor="text1"/>
          <w:sz w:val="20"/>
          <w:szCs w:val="20"/>
        </w:rPr>
      </w:pPr>
    </w:p>
    <w:tbl>
      <w:tblPr>
        <w:tblW w:w="4956" w:type="pct"/>
        <w:tblLayout w:type="fixed"/>
        <w:tblCellMar>
          <w:left w:w="119" w:type="dxa"/>
          <w:right w:w="119" w:type="dxa"/>
        </w:tblCellMar>
        <w:tblLook w:val="0000" w:firstRow="0" w:lastRow="0" w:firstColumn="0" w:lastColumn="0" w:noHBand="0" w:noVBand="0"/>
      </w:tblPr>
      <w:tblGrid>
        <w:gridCol w:w="3410"/>
        <w:gridCol w:w="1376"/>
        <w:gridCol w:w="1417"/>
        <w:gridCol w:w="1374"/>
        <w:gridCol w:w="1415"/>
      </w:tblGrid>
      <w:tr w:rsidR="00D004B1" w:rsidRPr="00071D13" w14:paraId="65532752" w14:textId="77777777" w:rsidTr="00071D13">
        <w:trPr>
          <w:trHeight w:val="171"/>
        </w:trPr>
        <w:tc>
          <w:tcPr>
            <w:tcW w:w="1896" w:type="pct"/>
            <w:vAlign w:val="bottom"/>
          </w:tcPr>
          <w:p w14:paraId="66383750" w14:textId="77777777" w:rsidR="00D004B1" w:rsidRPr="00F43653" w:rsidRDefault="00D004B1" w:rsidP="00D004B1">
            <w:pPr>
              <w:tabs>
                <w:tab w:val="left" w:pos="-720"/>
              </w:tabs>
              <w:suppressAutoHyphens/>
              <w:autoSpaceDN w:val="0"/>
              <w:rPr>
                <w:rFonts w:ascii="Arial" w:eastAsia="Times New Roman" w:hAnsi="Arial" w:cs="Arial"/>
                <w:color w:val="000000" w:themeColor="text1"/>
                <w:spacing w:val="-2"/>
                <w:sz w:val="20"/>
                <w:szCs w:val="20"/>
              </w:rPr>
            </w:pPr>
          </w:p>
        </w:tc>
        <w:tc>
          <w:tcPr>
            <w:tcW w:w="1553" w:type="pct"/>
            <w:gridSpan w:val="2"/>
            <w:vAlign w:val="bottom"/>
          </w:tcPr>
          <w:p w14:paraId="15AEEC94" w14:textId="77777777" w:rsidR="00D004B1" w:rsidRPr="00F43653" w:rsidRDefault="00D004B1" w:rsidP="00D004B1">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21" w:name="_Toc67328617"/>
            <w:r w:rsidRPr="00F43653">
              <w:rPr>
                <w:rFonts w:ascii="Arial" w:eastAsia="Times New Roman" w:hAnsi="Arial" w:cs="Arial"/>
                <w:b/>
                <w:color w:val="000000" w:themeColor="text1"/>
                <w:sz w:val="20"/>
                <w:szCs w:val="20"/>
              </w:rPr>
              <w:t>Grupa</w:t>
            </w:r>
            <w:bookmarkEnd w:id="421"/>
          </w:p>
        </w:tc>
        <w:tc>
          <w:tcPr>
            <w:tcW w:w="1551" w:type="pct"/>
            <w:gridSpan w:val="2"/>
            <w:vAlign w:val="bottom"/>
          </w:tcPr>
          <w:p w14:paraId="72B6AE8C" w14:textId="77777777" w:rsidR="00D004B1" w:rsidRPr="00F43653" w:rsidRDefault="00D004B1" w:rsidP="00D004B1">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22" w:name="_Toc67328618"/>
            <w:r w:rsidRPr="00F43653">
              <w:rPr>
                <w:rFonts w:ascii="Arial" w:eastAsia="Times New Roman" w:hAnsi="Arial" w:cs="Arial"/>
                <w:b/>
                <w:color w:val="000000" w:themeColor="text1"/>
                <w:sz w:val="20"/>
                <w:szCs w:val="20"/>
              </w:rPr>
              <w:t>Banka</w:t>
            </w:r>
            <w:bookmarkEnd w:id="422"/>
          </w:p>
        </w:tc>
      </w:tr>
      <w:tr w:rsidR="00C81475" w:rsidRPr="00071D13" w14:paraId="2DFC81A3" w14:textId="77777777" w:rsidTr="00071D13">
        <w:trPr>
          <w:trHeight w:val="567"/>
        </w:trPr>
        <w:tc>
          <w:tcPr>
            <w:tcW w:w="1896" w:type="pct"/>
            <w:vAlign w:val="bottom"/>
          </w:tcPr>
          <w:p w14:paraId="4218555F" w14:textId="77777777" w:rsidR="00C81475" w:rsidRPr="00F43653" w:rsidRDefault="00C81475" w:rsidP="00C81475">
            <w:pPr>
              <w:tabs>
                <w:tab w:val="left" w:pos="-720"/>
              </w:tabs>
              <w:suppressAutoHyphens/>
              <w:autoSpaceDN w:val="0"/>
              <w:rPr>
                <w:rFonts w:ascii="Arial" w:eastAsia="Times New Roman" w:hAnsi="Arial" w:cs="Arial"/>
                <w:color w:val="000000" w:themeColor="text1"/>
                <w:spacing w:val="-2"/>
                <w:sz w:val="20"/>
                <w:szCs w:val="20"/>
              </w:rPr>
            </w:pPr>
          </w:p>
        </w:tc>
        <w:tc>
          <w:tcPr>
            <w:tcW w:w="765" w:type="pct"/>
            <w:vAlign w:val="bottom"/>
          </w:tcPr>
          <w:p w14:paraId="3A8FFC85" w14:textId="1208C542" w:rsidR="00C81475" w:rsidRPr="00F43653" w:rsidRDefault="002C0DB3" w:rsidP="00C81475">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2C0DB3">
              <w:rPr>
                <w:rFonts w:ascii="Arial" w:eastAsia="Times New Roman" w:hAnsi="Arial" w:cs="Arial"/>
                <w:b/>
                <w:color w:val="000000" w:themeColor="text1"/>
                <w:sz w:val="20"/>
                <w:szCs w:val="20"/>
              </w:rPr>
              <w:t>30. rujna 202</w:t>
            </w:r>
            <w:r w:rsidR="00014E6C">
              <w:rPr>
                <w:rFonts w:ascii="Arial" w:eastAsia="Times New Roman" w:hAnsi="Arial" w:cs="Arial"/>
                <w:b/>
                <w:color w:val="000000" w:themeColor="text1"/>
                <w:sz w:val="20"/>
                <w:szCs w:val="20"/>
              </w:rPr>
              <w:t>4</w:t>
            </w:r>
            <w:r w:rsidRPr="002C0DB3">
              <w:rPr>
                <w:rFonts w:ascii="Arial" w:eastAsia="Times New Roman" w:hAnsi="Arial" w:cs="Arial"/>
                <w:b/>
                <w:color w:val="000000" w:themeColor="text1"/>
                <w:sz w:val="20"/>
                <w:szCs w:val="20"/>
              </w:rPr>
              <w:t>.</w:t>
            </w:r>
          </w:p>
        </w:tc>
        <w:tc>
          <w:tcPr>
            <w:tcW w:w="788" w:type="pct"/>
            <w:vAlign w:val="bottom"/>
          </w:tcPr>
          <w:p w14:paraId="40D76072" w14:textId="693EE540" w:rsidR="00C81475" w:rsidRPr="00F43653" w:rsidRDefault="00C81475" w:rsidP="00C81475">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23" w:name="_Toc67328620"/>
            <w:r w:rsidRPr="00F43653">
              <w:rPr>
                <w:rFonts w:ascii="Arial" w:eastAsia="Times New Roman" w:hAnsi="Arial" w:cs="Arial"/>
                <w:b/>
                <w:color w:val="000000" w:themeColor="text1"/>
                <w:sz w:val="20"/>
                <w:szCs w:val="20"/>
              </w:rPr>
              <w:t>31. prosinca 202</w:t>
            </w:r>
            <w:r w:rsidR="00014E6C">
              <w:rPr>
                <w:rFonts w:ascii="Arial" w:eastAsia="Times New Roman" w:hAnsi="Arial" w:cs="Arial"/>
                <w:b/>
                <w:color w:val="000000" w:themeColor="text1"/>
                <w:sz w:val="20"/>
                <w:szCs w:val="20"/>
              </w:rPr>
              <w:t>3</w:t>
            </w:r>
            <w:r w:rsidRPr="00F43653">
              <w:rPr>
                <w:rFonts w:ascii="Arial" w:eastAsia="Times New Roman" w:hAnsi="Arial" w:cs="Arial"/>
                <w:b/>
                <w:color w:val="000000" w:themeColor="text1"/>
                <w:sz w:val="20"/>
                <w:szCs w:val="20"/>
              </w:rPr>
              <w:t>.</w:t>
            </w:r>
            <w:bookmarkEnd w:id="423"/>
          </w:p>
        </w:tc>
        <w:tc>
          <w:tcPr>
            <w:tcW w:w="764" w:type="pct"/>
            <w:vAlign w:val="bottom"/>
          </w:tcPr>
          <w:p w14:paraId="219BBEFF" w14:textId="3838A6EF" w:rsidR="00C81475" w:rsidRPr="00F43653" w:rsidRDefault="002C0DB3" w:rsidP="00C81475">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2C0DB3">
              <w:rPr>
                <w:rFonts w:ascii="Arial" w:eastAsia="Times New Roman" w:hAnsi="Arial" w:cs="Arial"/>
                <w:b/>
                <w:color w:val="000000" w:themeColor="text1"/>
                <w:sz w:val="20"/>
                <w:szCs w:val="20"/>
              </w:rPr>
              <w:t>30. rujna 202</w:t>
            </w:r>
            <w:r w:rsidR="00014E6C">
              <w:rPr>
                <w:rFonts w:ascii="Arial" w:eastAsia="Times New Roman" w:hAnsi="Arial" w:cs="Arial"/>
                <w:b/>
                <w:color w:val="000000" w:themeColor="text1"/>
                <w:sz w:val="20"/>
                <w:szCs w:val="20"/>
              </w:rPr>
              <w:t>4</w:t>
            </w:r>
            <w:r w:rsidRPr="002C0DB3">
              <w:rPr>
                <w:rFonts w:ascii="Arial" w:eastAsia="Times New Roman" w:hAnsi="Arial" w:cs="Arial"/>
                <w:b/>
                <w:color w:val="000000" w:themeColor="text1"/>
                <w:sz w:val="20"/>
                <w:szCs w:val="20"/>
              </w:rPr>
              <w:t>.</w:t>
            </w:r>
          </w:p>
        </w:tc>
        <w:tc>
          <w:tcPr>
            <w:tcW w:w="787" w:type="pct"/>
            <w:vAlign w:val="bottom"/>
          </w:tcPr>
          <w:p w14:paraId="6EFAFE59" w14:textId="0765D46F" w:rsidR="00C81475" w:rsidRPr="00F43653" w:rsidRDefault="00C81475" w:rsidP="00C81475">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F43653">
              <w:rPr>
                <w:rFonts w:ascii="Arial" w:eastAsia="Times New Roman" w:hAnsi="Arial" w:cs="Arial"/>
                <w:b/>
                <w:color w:val="000000" w:themeColor="text1"/>
                <w:sz w:val="20"/>
                <w:szCs w:val="20"/>
              </w:rPr>
              <w:t>31. prosinca 202</w:t>
            </w:r>
            <w:r w:rsidR="00014E6C">
              <w:rPr>
                <w:rFonts w:ascii="Arial" w:eastAsia="Times New Roman" w:hAnsi="Arial" w:cs="Arial"/>
                <w:b/>
                <w:color w:val="000000" w:themeColor="text1"/>
                <w:sz w:val="20"/>
                <w:szCs w:val="20"/>
              </w:rPr>
              <w:t>3</w:t>
            </w:r>
            <w:r w:rsidRPr="00F43653">
              <w:rPr>
                <w:rFonts w:ascii="Arial" w:eastAsia="Times New Roman" w:hAnsi="Arial" w:cs="Arial"/>
                <w:b/>
                <w:color w:val="000000" w:themeColor="text1"/>
                <w:sz w:val="20"/>
                <w:szCs w:val="20"/>
              </w:rPr>
              <w:t>.</w:t>
            </w:r>
          </w:p>
        </w:tc>
      </w:tr>
      <w:tr w:rsidR="00D004B1" w:rsidRPr="00071D13" w14:paraId="4DC12A2D" w14:textId="77777777" w:rsidTr="00071D13">
        <w:trPr>
          <w:trHeight w:val="220"/>
        </w:trPr>
        <w:tc>
          <w:tcPr>
            <w:tcW w:w="1896" w:type="pct"/>
            <w:vAlign w:val="bottom"/>
          </w:tcPr>
          <w:p w14:paraId="4B0613DE" w14:textId="77777777" w:rsidR="00D004B1" w:rsidRPr="00F43653" w:rsidRDefault="00D004B1" w:rsidP="00D004B1">
            <w:pPr>
              <w:tabs>
                <w:tab w:val="left" w:pos="-720"/>
              </w:tabs>
              <w:suppressAutoHyphens/>
              <w:autoSpaceDN w:val="0"/>
              <w:rPr>
                <w:rFonts w:ascii="Arial" w:eastAsia="Times New Roman" w:hAnsi="Arial" w:cs="Arial"/>
                <w:color w:val="000000" w:themeColor="text1"/>
                <w:spacing w:val="-2"/>
                <w:sz w:val="20"/>
                <w:szCs w:val="20"/>
              </w:rPr>
            </w:pPr>
          </w:p>
        </w:tc>
        <w:tc>
          <w:tcPr>
            <w:tcW w:w="765" w:type="pct"/>
            <w:vAlign w:val="bottom"/>
          </w:tcPr>
          <w:p w14:paraId="43351AB1" w14:textId="56646FAF" w:rsidR="00D004B1" w:rsidRPr="00F43653" w:rsidRDefault="00D004B1" w:rsidP="00D004B1">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24" w:name="_Toc67328623"/>
            <w:r w:rsidRPr="00F43653">
              <w:rPr>
                <w:rFonts w:ascii="Arial" w:eastAsia="Times New Roman" w:hAnsi="Arial" w:cs="Arial"/>
                <w:b/>
                <w:color w:val="000000" w:themeColor="text1"/>
                <w:sz w:val="20"/>
                <w:szCs w:val="20"/>
              </w:rPr>
              <w:t>000 eura</w:t>
            </w:r>
            <w:bookmarkEnd w:id="424"/>
          </w:p>
        </w:tc>
        <w:tc>
          <w:tcPr>
            <w:tcW w:w="788" w:type="pct"/>
            <w:vAlign w:val="bottom"/>
          </w:tcPr>
          <w:p w14:paraId="674DD97B" w14:textId="0A39CBA5" w:rsidR="00D004B1" w:rsidRPr="00F43653" w:rsidRDefault="00D004B1" w:rsidP="00D004B1">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25" w:name="_Toc67328624"/>
            <w:r w:rsidRPr="00F43653">
              <w:rPr>
                <w:rFonts w:ascii="Arial" w:eastAsia="Times New Roman" w:hAnsi="Arial" w:cs="Arial"/>
                <w:b/>
                <w:color w:val="000000" w:themeColor="text1"/>
                <w:sz w:val="20"/>
                <w:szCs w:val="20"/>
              </w:rPr>
              <w:t>000 eura</w:t>
            </w:r>
            <w:bookmarkEnd w:id="425"/>
          </w:p>
        </w:tc>
        <w:tc>
          <w:tcPr>
            <w:tcW w:w="764" w:type="pct"/>
            <w:vAlign w:val="bottom"/>
          </w:tcPr>
          <w:p w14:paraId="309D3414" w14:textId="5980B37D" w:rsidR="00D004B1" w:rsidRPr="00F43653" w:rsidRDefault="00D004B1" w:rsidP="00D004B1">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26" w:name="_Toc67328625"/>
            <w:r w:rsidRPr="00F43653">
              <w:rPr>
                <w:rFonts w:ascii="Arial" w:eastAsia="Times New Roman" w:hAnsi="Arial" w:cs="Arial"/>
                <w:b/>
                <w:color w:val="000000" w:themeColor="text1"/>
                <w:sz w:val="20"/>
                <w:szCs w:val="20"/>
              </w:rPr>
              <w:t>000 eura</w:t>
            </w:r>
            <w:bookmarkEnd w:id="426"/>
          </w:p>
        </w:tc>
        <w:tc>
          <w:tcPr>
            <w:tcW w:w="787" w:type="pct"/>
            <w:vAlign w:val="bottom"/>
          </w:tcPr>
          <w:p w14:paraId="19E3A86D" w14:textId="1B5C0BD8" w:rsidR="00D004B1" w:rsidRPr="00F43653" w:rsidRDefault="00D004B1" w:rsidP="00D004B1">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27" w:name="_Toc67328626"/>
            <w:r w:rsidRPr="00F43653">
              <w:rPr>
                <w:rFonts w:ascii="Arial" w:eastAsia="Times New Roman" w:hAnsi="Arial" w:cs="Arial"/>
                <w:b/>
                <w:color w:val="000000" w:themeColor="text1"/>
                <w:sz w:val="20"/>
                <w:szCs w:val="20"/>
              </w:rPr>
              <w:t>000 eura</w:t>
            </w:r>
            <w:bookmarkEnd w:id="427"/>
          </w:p>
        </w:tc>
      </w:tr>
      <w:tr w:rsidR="00D004B1" w:rsidRPr="00071D13" w14:paraId="34995696" w14:textId="77777777" w:rsidTr="00071D13">
        <w:trPr>
          <w:trHeight w:val="231"/>
        </w:trPr>
        <w:tc>
          <w:tcPr>
            <w:tcW w:w="1896" w:type="pct"/>
            <w:vAlign w:val="bottom"/>
          </w:tcPr>
          <w:p w14:paraId="067BCC41" w14:textId="77777777" w:rsidR="00D004B1" w:rsidRPr="00F43653" w:rsidRDefault="00D004B1" w:rsidP="00D004B1">
            <w:pPr>
              <w:tabs>
                <w:tab w:val="left" w:pos="-720"/>
              </w:tabs>
              <w:suppressAutoHyphens/>
              <w:autoSpaceDN w:val="0"/>
              <w:rPr>
                <w:rFonts w:ascii="Arial" w:eastAsia="Times New Roman" w:hAnsi="Arial" w:cs="Arial"/>
                <w:color w:val="000000" w:themeColor="text1"/>
                <w:spacing w:val="-2"/>
                <w:sz w:val="20"/>
                <w:szCs w:val="20"/>
              </w:rPr>
            </w:pPr>
          </w:p>
        </w:tc>
        <w:tc>
          <w:tcPr>
            <w:tcW w:w="765" w:type="pct"/>
            <w:vAlign w:val="bottom"/>
          </w:tcPr>
          <w:p w14:paraId="56578D2A" w14:textId="77777777" w:rsidR="00D004B1" w:rsidRPr="00F43653" w:rsidRDefault="00D004B1" w:rsidP="00D004B1">
            <w:pPr>
              <w:tabs>
                <w:tab w:val="left" w:pos="-720"/>
              </w:tabs>
              <w:suppressAutoHyphens/>
              <w:autoSpaceDN w:val="0"/>
              <w:jc w:val="right"/>
              <w:rPr>
                <w:rFonts w:ascii="Arial" w:eastAsia="Times New Roman" w:hAnsi="Arial" w:cs="Arial"/>
                <w:b/>
                <w:color w:val="000000" w:themeColor="text1"/>
                <w:spacing w:val="-2"/>
                <w:sz w:val="20"/>
                <w:szCs w:val="20"/>
              </w:rPr>
            </w:pPr>
          </w:p>
        </w:tc>
        <w:tc>
          <w:tcPr>
            <w:tcW w:w="788" w:type="pct"/>
            <w:vAlign w:val="bottom"/>
          </w:tcPr>
          <w:p w14:paraId="77CF5CE5" w14:textId="77777777" w:rsidR="00D004B1" w:rsidRPr="00F43653" w:rsidRDefault="00D004B1" w:rsidP="00D004B1">
            <w:pPr>
              <w:tabs>
                <w:tab w:val="left" w:pos="-720"/>
              </w:tabs>
              <w:suppressAutoHyphens/>
              <w:autoSpaceDN w:val="0"/>
              <w:jc w:val="right"/>
              <w:rPr>
                <w:rFonts w:ascii="Arial" w:eastAsia="Times New Roman" w:hAnsi="Arial" w:cs="Arial"/>
                <w:b/>
                <w:color w:val="000000" w:themeColor="text1"/>
                <w:spacing w:val="-2"/>
                <w:sz w:val="20"/>
                <w:szCs w:val="20"/>
              </w:rPr>
            </w:pPr>
          </w:p>
        </w:tc>
        <w:tc>
          <w:tcPr>
            <w:tcW w:w="764" w:type="pct"/>
            <w:vAlign w:val="bottom"/>
          </w:tcPr>
          <w:p w14:paraId="692BB8D2" w14:textId="77777777" w:rsidR="00D004B1" w:rsidRPr="00F43653" w:rsidRDefault="00D004B1" w:rsidP="00D004B1">
            <w:pPr>
              <w:tabs>
                <w:tab w:val="left" w:pos="-720"/>
              </w:tabs>
              <w:suppressAutoHyphens/>
              <w:autoSpaceDN w:val="0"/>
              <w:jc w:val="right"/>
              <w:rPr>
                <w:rFonts w:ascii="Arial" w:eastAsia="Times New Roman" w:hAnsi="Arial" w:cs="Arial"/>
                <w:b/>
                <w:color w:val="000000" w:themeColor="text1"/>
                <w:spacing w:val="-2"/>
                <w:sz w:val="20"/>
                <w:szCs w:val="20"/>
              </w:rPr>
            </w:pPr>
          </w:p>
        </w:tc>
        <w:tc>
          <w:tcPr>
            <w:tcW w:w="787" w:type="pct"/>
            <w:vAlign w:val="bottom"/>
          </w:tcPr>
          <w:p w14:paraId="4D5E4567" w14:textId="77777777" w:rsidR="00D004B1" w:rsidRPr="00F43653" w:rsidRDefault="00D004B1" w:rsidP="00D004B1">
            <w:pPr>
              <w:tabs>
                <w:tab w:val="left" w:pos="-720"/>
              </w:tabs>
              <w:suppressAutoHyphens/>
              <w:autoSpaceDN w:val="0"/>
              <w:jc w:val="right"/>
              <w:rPr>
                <w:rFonts w:ascii="Arial" w:eastAsia="Times New Roman" w:hAnsi="Arial" w:cs="Arial"/>
                <w:b/>
                <w:color w:val="000000" w:themeColor="text1"/>
                <w:spacing w:val="-2"/>
                <w:sz w:val="20"/>
                <w:szCs w:val="20"/>
              </w:rPr>
            </w:pPr>
          </w:p>
        </w:tc>
      </w:tr>
      <w:tr w:rsidR="00FB564E" w:rsidRPr="00071D13" w14:paraId="5573B11F" w14:textId="77777777" w:rsidTr="008A20ED">
        <w:trPr>
          <w:trHeight w:val="278"/>
        </w:trPr>
        <w:tc>
          <w:tcPr>
            <w:tcW w:w="1896" w:type="pct"/>
            <w:vAlign w:val="bottom"/>
          </w:tcPr>
          <w:p w14:paraId="799B8DFB" w14:textId="77777777" w:rsidR="00FB564E" w:rsidRPr="00F43653" w:rsidRDefault="00FB564E" w:rsidP="00FB564E">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28" w:name="_Toc67328627"/>
            <w:r w:rsidRPr="00F43653">
              <w:rPr>
                <w:rFonts w:ascii="Arial" w:eastAsia="Times New Roman" w:hAnsi="Arial" w:cs="Arial"/>
                <w:color w:val="000000" w:themeColor="text1"/>
                <w:sz w:val="20"/>
                <w:szCs w:val="20"/>
              </w:rPr>
              <w:t>Potraživanja po naknadama</w:t>
            </w:r>
            <w:bookmarkEnd w:id="428"/>
          </w:p>
        </w:tc>
        <w:tc>
          <w:tcPr>
            <w:tcW w:w="765" w:type="pct"/>
            <w:tcBorders>
              <w:top w:val="nil"/>
              <w:left w:val="nil"/>
              <w:bottom w:val="nil"/>
              <w:right w:val="nil"/>
            </w:tcBorders>
            <w:shd w:val="clear" w:color="auto" w:fill="auto"/>
          </w:tcPr>
          <w:p w14:paraId="5FA2E00D" w14:textId="152F433C" w:rsidR="00FB564E" w:rsidRPr="00F43653" w:rsidRDefault="00FB564E" w:rsidP="00FB564E">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8B58A6">
              <w:rPr>
                <w:rFonts w:ascii="Arial" w:hAnsi="Arial" w:cs="Arial"/>
                <w:sz w:val="20"/>
                <w:szCs w:val="20"/>
              </w:rPr>
              <w:t>3.461</w:t>
            </w:r>
          </w:p>
        </w:tc>
        <w:tc>
          <w:tcPr>
            <w:tcW w:w="788" w:type="pct"/>
            <w:tcBorders>
              <w:top w:val="nil"/>
              <w:left w:val="nil"/>
              <w:bottom w:val="nil"/>
              <w:right w:val="nil"/>
            </w:tcBorders>
            <w:shd w:val="clear" w:color="auto" w:fill="auto"/>
            <w:vAlign w:val="bottom"/>
          </w:tcPr>
          <w:p w14:paraId="067A34F5" w14:textId="191C7A12" w:rsidR="00FB564E" w:rsidRPr="00F43653" w:rsidRDefault="00FB564E" w:rsidP="00FB564E">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0D3CE9">
              <w:rPr>
                <w:rFonts w:ascii="Arial" w:hAnsi="Arial" w:cs="Arial"/>
                <w:sz w:val="20"/>
              </w:rPr>
              <w:t xml:space="preserve"> 3.540 </w:t>
            </w:r>
          </w:p>
        </w:tc>
        <w:tc>
          <w:tcPr>
            <w:tcW w:w="764" w:type="pct"/>
            <w:tcBorders>
              <w:top w:val="nil"/>
              <w:left w:val="nil"/>
              <w:bottom w:val="nil"/>
              <w:right w:val="nil"/>
            </w:tcBorders>
            <w:shd w:val="clear" w:color="auto" w:fill="auto"/>
          </w:tcPr>
          <w:p w14:paraId="194E5381" w14:textId="1138E4A9" w:rsidR="00FB564E" w:rsidRPr="008B58A6" w:rsidRDefault="00FB564E" w:rsidP="00FB564E">
            <w:pPr>
              <w:tabs>
                <w:tab w:val="right" w:pos="1202"/>
              </w:tabs>
              <w:suppressAutoHyphens/>
              <w:autoSpaceDN w:val="0"/>
              <w:spacing w:line="301" w:lineRule="exact"/>
              <w:jc w:val="right"/>
              <w:outlineLvl w:val="0"/>
              <w:rPr>
                <w:rFonts w:ascii="Arial" w:hAnsi="Arial" w:cs="Arial"/>
                <w:sz w:val="20"/>
                <w:szCs w:val="20"/>
              </w:rPr>
            </w:pPr>
            <w:r w:rsidRPr="008B58A6">
              <w:rPr>
                <w:rFonts w:ascii="Arial" w:hAnsi="Arial" w:cs="Arial"/>
                <w:sz w:val="20"/>
                <w:szCs w:val="20"/>
              </w:rPr>
              <w:t>3.461</w:t>
            </w:r>
          </w:p>
        </w:tc>
        <w:tc>
          <w:tcPr>
            <w:tcW w:w="787" w:type="pct"/>
            <w:tcBorders>
              <w:top w:val="nil"/>
              <w:left w:val="nil"/>
              <w:bottom w:val="nil"/>
              <w:right w:val="nil"/>
            </w:tcBorders>
            <w:shd w:val="clear" w:color="auto" w:fill="auto"/>
            <w:vAlign w:val="bottom"/>
          </w:tcPr>
          <w:p w14:paraId="6CE62DB0" w14:textId="3DCB7AF5" w:rsidR="00FB564E" w:rsidRPr="00F43653" w:rsidRDefault="00FB564E" w:rsidP="00FB564E">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641D49">
              <w:rPr>
                <w:rFonts w:ascii="Arial" w:hAnsi="Arial" w:cs="Arial"/>
                <w:sz w:val="20"/>
              </w:rPr>
              <w:t xml:space="preserve"> 3.540 </w:t>
            </w:r>
          </w:p>
        </w:tc>
      </w:tr>
      <w:tr w:rsidR="00FB564E" w:rsidRPr="00071D13" w14:paraId="78950C3B" w14:textId="77777777" w:rsidTr="008A20ED">
        <w:trPr>
          <w:trHeight w:val="259"/>
        </w:trPr>
        <w:tc>
          <w:tcPr>
            <w:tcW w:w="1896" w:type="pct"/>
            <w:vAlign w:val="bottom"/>
          </w:tcPr>
          <w:p w14:paraId="525ED996" w14:textId="77777777" w:rsidR="00FB564E" w:rsidRPr="00F43653" w:rsidRDefault="00FB564E" w:rsidP="00FB564E">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29" w:name="_Toc67328632"/>
            <w:r w:rsidRPr="00F43653">
              <w:rPr>
                <w:rFonts w:ascii="Arial" w:eastAsia="Times New Roman" w:hAnsi="Arial" w:cs="Arial"/>
                <w:color w:val="000000" w:themeColor="text1"/>
                <w:sz w:val="20"/>
                <w:szCs w:val="20"/>
              </w:rPr>
              <w:t>Ostala potraživanja</w:t>
            </w:r>
            <w:bookmarkEnd w:id="429"/>
          </w:p>
        </w:tc>
        <w:tc>
          <w:tcPr>
            <w:tcW w:w="765" w:type="pct"/>
            <w:tcBorders>
              <w:top w:val="nil"/>
              <w:left w:val="nil"/>
              <w:bottom w:val="nil"/>
              <w:right w:val="nil"/>
            </w:tcBorders>
            <w:shd w:val="clear" w:color="auto" w:fill="auto"/>
          </w:tcPr>
          <w:p w14:paraId="1BCE3BD7" w14:textId="51331D40" w:rsidR="00FB564E" w:rsidRPr="00F43653" w:rsidRDefault="00FB564E" w:rsidP="00FB564E">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8B58A6">
              <w:rPr>
                <w:rFonts w:ascii="Arial" w:hAnsi="Arial" w:cs="Arial"/>
                <w:sz w:val="20"/>
                <w:szCs w:val="20"/>
              </w:rPr>
              <w:t>2.668</w:t>
            </w:r>
          </w:p>
        </w:tc>
        <w:tc>
          <w:tcPr>
            <w:tcW w:w="788" w:type="pct"/>
            <w:tcBorders>
              <w:top w:val="nil"/>
              <w:left w:val="nil"/>
              <w:bottom w:val="nil"/>
              <w:right w:val="nil"/>
            </w:tcBorders>
            <w:shd w:val="clear" w:color="auto" w:fill="auto"/>
            <w:vAlign w:val="bottom"/>
          </w:tcPr>
          <w:p w14:paraId="51DA739B" w14:textId="7483B76A" w:rsidR="00FB564E" w:rsidRPr="00F43653" w:rsidRDefault="00FB564E" w:rsidP="00FB564E">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0D3CE9">
              <w:rPr>
                <w:rFonts w:ascii="Arial" w:hAnsi="Arial" w:cs="Arial"/>
                <w:sz w:val="20"/>
              </w:rPr>
              <w:t xml:space="preserve"> 1.925 </w:t>
            </w:r>
          </w:p>
        </w:tc>
        <w:tc>
          <w:tcPr>
            <w:tcW w:w="764" w:type="pct"/>
            <w:tcBorders>
              <w:top w:val="nil"/>
              <w:left w:val="nil"/>
              <w:bottom w:val="nil"/>
              <w:right w:val="nil"/>
            </w:tcBorders>
            <w:shd w:val="clear" w:color="auto" w:fill="auto"/>
          </w:tcPr>
          <w:p w14:paraId="4491EC9B" w14:textId="4EA8E55C" w:rsidR="00FB564E" w:rsidRPr="008B58A6" w:rsidRDefault="00FB564E" w:rsidP="00FB564E">
            <w:pPr>
              <w:tabs>
                <w:tab w:val="right" w:pos="1202"/>
              </w:tabs>
              <w:suppressAutoHyphens/>
              <w:autoSpaceDN w:val="0"/>
              <w:spacing w:line="301" w:lineRule="exact"/>
              <w:jc w:val="right"/>
              <w:outlineLvl w:val="0"/>
              <w:rPr>
                <w:rFonts w:ascii="Arial" w:hAnsi="Arial" w:cs="Arial"/>
                <w:sz w:val="20"/>
                <w:szCs w:val="20"/>
              </w:rPr>
            </w:pPr>
            <w:r w:rsidRPr="008B58A6">
              <w:rPr>
                <w:rFonts w:ascii="Arial" w:hAnsi="Arial" w:cs="Arial"/>
                <w:sz w:val="20"/>
                <w:szCs w:val="20"/>
              </w:rPr>
              <w:t>2.668</w:t>
            </w:r>
          </w:p>
        </w:tc>
        <w:tc>
          <w:tcPr>
            <w:tcW w:w="787" w:type="pct"/>
            <w:tcBorders>
              <w:top w:val="nil"/>
              <w:left w:val="nil"/>
              <w:bottom w:val="nil"/>
              <w:right w:val="nil"/>
            </w:tcBorders>
            <w:shd w:val="clear" w:color="auto" w:fill="auto"/>
            <w:vAlign w:val="bottom"/>
          </w:tcPr>
          <w:p w14:paraId="2D2ED458" w14:textId="4238EED5" w:rsidR="00FB564E" w:rsidRPr="00F43653" w:rsidRDefault="00FB564E" w:rsidP="00FB564E">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641D49">
              <w:rPr>
                <w:rFonts w:ascii="Arial" w:hAnsi="Arial" w:cs="Arial"/>
                <w:sz w:val="20"/>
              </w:rPr>
              <w:t xml:space="preserve"> 1.925 </w:t>
            </w:r>
          </w:p>
        </w:tc>
      </w:tr>
      <w:tr w:rsidR="00FB564E" w:rsidRPr="00071D13" w14:paraId="1C148589" w14:textId="77777777" w:rsidTr="008A20ED">
        <w:trPr>
          <w:trHeight w:val="278"/>
        </w:trPr>
        <w:tc>
          <w:tcPr>
            <w:tcW w:w="1896" w:type="pct"/>
            <w:vAlign w:val="bottom"/>
          </w:tcPr>
          <w:p w14:paraId="09033297" w14:textId="77777777" w:rsidR="00FB564E" w:rsidRPr="00F43653" w:rsidRDefault="00FB564E" w:rsidP="00FB564E">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30" w:name="_Toc67328637"/>
            <w:r w:rsidRPr="00F43653">
              <w:rPr>
                <w:rFonts w:ascii="Arial" w:eastAsia="Times New Roman" w:hAnsi="Arial" w:cs="Arial"/>
                <w:color w:val="000000" w:themeColor="text1"/>
                <w:sz w:val="20"/>
                <w:szCs w:val="20"/>
              </w:rPr>
              <w:t>Unaprijed plaćeni troškovi</w:t>
            </w:r>
            <w:bookmarkEnd w:id="430"/>
          </w:p>
        </w:tc>
        <w:tc>
          <w:tcPr>
            <w:tcW w:w="765" w:type="pct"/>
            <w:tcBorders>
              <w:top w:val="nil"/>
              <w:left w:val="nil"/>
              <w:bottom w:val="nil"/>
              <w:right w:val="nil"/>
            </w:tcBorders>
            <w:shd w:val="clear" w:color="auto" w:fill="auto"/>
          </w:tcPr>
          <w:p w14:paraId="5AB887C5" w14:textId="397D8291" w:rsidR="00FB564E" w:rsidRPr="00F43653" w:rsidRDefault="007104DA" w:rsidP="00FB564E">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473</w:t>
            </w:r>
          </w:p>
        </w:tc>
        <w:tc>
          <w:tcPr>
            <w:tcW w:w="788" w:type="pct"/>
            <w:tcBorders>
              <w:top w:val="nil"/>
              <w:left w:val="nil"/>
              <w:bottom w:val="nil"/>
              <w:right w:val="nil"/>
            </w:tcBorders>
            <w:shd w:val="clear" w:color="auto" w:fill="auto"/>
            <w:vAlign w:val="bottom"/>
          </w:tcPr>
          <w:p w14:paraId="743D8441" w14:textId="7C204428" w:rsidR="00FB564E" w:rsidRPr="00F43653" w:rsidRDefault="00FB564E" w:rsidP="00FB564E">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0D3CE9">
              <w:rPr>
                <w:rFonts w:ascii="Arial" w:hAnsi="Arial" w:cs="Arial"/>
                <w:sz w:val="20"/>
              </w:rPr>
              <w:t>492</w:t>
            </w:r>
          </w:p>
        </w:tc>
        <w:tc>
          <w:tcPr>
            <w:tcW w:w="764" w:type="pct"/>
            <w:tcBorders>
              <w:top w:val="nil"/>
              <w:left w:val="nil"/>
              <w:bottom w:val="nil"/>
              <w:right w:val="nil"/>
            </w:tcBorders>
            <w:shd w:val="clear" w:color="auto" w:fill="auto"/>
          </w:tcPr>
          <w:p w14:paraId="77079CD5" w14:textId="4073DC94" w:rsidR="00FB564E" w:rsidRPr="008B58A6" w:rsidRDefault="00FB564E" w:rsidP="00FB564E">
            <w:pPr>
              <w:tabs>
                <w:tab w:val="right" w:pos="1202"/>
              </w:tabs>
              <w:suppressAutoHyphens/>
              <w:autoSpaceDN w:val="0"/>
              <w:spacing w:line="301" w:lineRule="exact"/>
              <w:jc w:val="right"/>
              <w:outlineLvl w:val="0"/>
              <w:rPr>
                <w:rFonts w:ascii="Arial" w:hAnsi="Arial" w:cs="Arial"/>
                <w:sz w:val="20"/>
                <w:szCs w:val="20"/>
              </w:rPr>
            </w:pPr>
            <w:r w:rsidRPr="008B58A6">
              <w:rPr>
                <w:rFonts w:ascii="Arial" w:hAnsi="Arial" w:cs="Arial"/>
                <w:sz w:val="20"/>
                <w:szCs w:val="20"/>
              </w:rPr>
              <w:t>460</w:t>
            </w:r>
          </w:p>
        </w:tc>
        <w:tc>
          <w:tcPr>
            <w:tcW w:w="787" w:type="pct"/>
            <w:tcBorders>
              <w:top w:val="nil"/>
              <w:left w:val="nil"/>
              <w:bottom w:val="nil"/>
              <w:right w:val="nil"/>
            </w:tcBorders>
            <w:shd w:val="clear" w:color="auto" w:fill="auto"/>
            <w:vAlign w:val="bottom"/>
          </w:tcPr>
          <w:p w14:paraId="7A1894E1" w14:textId="1D2F3573" w:rsidR="00FB564E" w:rsidRPr="00F43653" w:rsidRDefault="00FB564E" w:rsidP="00FB564E">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641D49">
              <w:rPr>
                <w:rFonts w:ascii="Arial" w:hAnsi="Arial" w:cs="Arial"/>
                <w:sz w:val="20"/>
              </w:rPr>
              <w:t xml:space="preserve"> 477 </w:t>
            </w:r>
          </w:p>
        </w:tc>
      </w:tr>
      <w:tr w:rsidR="00FB564E" w:rsidRPr="00071D13" w14:paraId="51824975" w14:textId="77777777" w:rsidTr="008A20ED">
        <w:trPr>
          <w:trHeight w:val="278"/>
        </w:trPr>
        <w:tc>
          <w:tcPr>
            <w:tcW w:w="1896" w:type="pct"/>
            <w:vAlign w:val="bottom"/>
          </w:tcPr>
          <w:p w14:paraId="5A538DBE" w14:textId="77777777" w:rsidR="00FB564E" w:rsidRPr="00F43653" w:rsidRDefault="00FB564E" w:rsidP="00FB564E">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31" w:name="_Toc67328642"/>
            <w:r w:rsidRPr="00F43653">
              <w:rPr>
                <w:rFonts w:ascii="Arial" w:eastAsia="Times New Roman" w:hAnsi="Arial" w:cs="Arial"/>
                <w:color w:val="000000" w:themeColor="text1"/>
                <w:sz w:val="20"/>
                <w:szCs w:val="20"/>
              </w:rPr>
              <w:t>Obračunati prihodi</w:t>
            </w:r>
            <w:bookmarkEnd w:id="431"/>
            <w:r w:rsidRPr="00F43653">
              <w:rPr>
                <w:rFonts w:ascii="Arial" w:eastAsia="Times New Roman" w:hAnsi="Arial" w:cs="Arial"/>
                <w:color w:val="000000" w:themeColor="text1"/>
                <w:sz w:val="20"/>
                <w:szCs w:val="20"/>
              </w:rPr>
              <w:t xml:space="preserve"> </w:t>
            </w:r>
          </w:p>
        </w:tc>
        <w:tc>
          <w:tcPr>
            <w:tcW w:w="765" w:type="pct"/>
            <w:tcBorders>
              <w:top w:val="nil"/>
              <w:left w:val="nil"/>
              <w:bottom w:val="nil"/>
              <w:right w:val="nil"/>
            </w:tcBorders>
            <w:shd w:val="clear" w:color="auto" w:fill="auto"/>
          </w:tcPr>
          <w:p w14:paraId="52719BF9" w14:textId="06476A6B" w:rsidR="00FB564E" w:rsidRPr="00F43653" w:rsidRDefault="007104DA" w:rsidP="00FB564E">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3.493</w:t>
            </w:r>
          </w:p>
        </w:tc>
        <w:tc>
          <w:tcPr>
            <w:tcW w:w="788" w:type="pct"/>
            <w:tcBorders>
              <w:top w:val="nil"/>
              <w:left w:val="nil"/>
              <w:bottom w:val="nil"/>
              <w:right w:val="nil"/>
            </w:tcBorders>
            <w:shd w:val="clear" w:color="auto" w:fill="auto"/>
            <w:vAlign w:val="bottom"/>
          </w:tcPr>
          <w:p w14:paraId="6B797326" w14:textId="7CE3AD09" w:rsidR="00FB564E" w:rsidRPr="00F43653" w:rsidRDefault="00FB564E" w:rsidP="00FB564E">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0D3CE9">
              <w:rPr>
                <w:rFonts w:ascii="Arial" w:hAnsi="Arial" w:cs="Arial"/>
                <w:sz w:val="20"/>
              </w:rPr>
              <w:t xml:space="preserve"> 3.057 </w:t>
            </w:r>
          </w:p>
        </w:tc>
        <w:tc>
          <w:tcPr>
            <w:tcW w:w="764" w:type="pct"/>
            <w:tcBorders>
              <w:top w:val="nil"/>
              <w:left w:val="nil"/>
              <w:bottom w:val="nil"/>
              <w:right w:val="nil"/>
            </w:tcBorders>
            <w:shd w:val="clear" w:color="auto" w:fill="auto"/>
          </w:tcPr>
          <w:p w14:paraId="2D4374E3" w14:textId="37E1F1A8" w:rsidR="00FB564E" w:rsidRPr="008B58A6" w:rsidRDefault="00FB564E" w:rsidP="00FB564E">
            <w:pPr>
              <w:tabs>
                <w:tab w:val="right" w:pos="1202"/>
              </w:tabs>
              <w:suppressAutoHyphens/>
              <w:autoSpaceDN w:val="0"/>
              <w:spacing w:line="301" w:lineRule="exact"/>
              <w:jc w:val="right"/>
              <w:outlineLvl w:val="0"/>
              <w:rPr>
                <w:rFonts w:ascii="Arial" w:hAnsi="Arial" w:cs="Arial"/>
                <w:sz w:val="20"/>
                <w:szCs w:val="20"/>
              </w:rPr>
            </w:pPr>
            <w:r w:rsidRPr="008B58A6">
              <w:rPr>
                <w:rFonts w:ascii="Arial" w:hAnsi="Arial" w:cs="Arial"/>
                <w:sz w:val="20"/>
                <w:szCs w:val="20"/>
              </w:rPr>
              <w:t>3.493</w:t>
            </w:r>
          </w:p>
        </w:tc>
        <w:tc>
          <w:tcPr>
            <w:tcW w:w="787" w:type="pct"/>
            <w:tcBorders>
              <w:top w:val="nil"/>
              <w:left w:val="nil"/>
              <w:bottom w:val="nil"/>
              <w:right w:val="nil"/>
            </w:tcBorders>
            <w:shd w:val="clear" w:color="auto" w:fill="auto"/>
            <w:vAlign w:val="bottom"/>
          </w:tcPr>
          <w:p w14:paraId="0FE7FA84" w14:textId="37224EF9" w:rsidR="00FB564E" w:rsidRPr="00F43653" w:rsidRDefault="00FB564E" w:rsidP="00FB564E">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641D49">
              <w:rPr>
                <w:rFonts w:ascii="Arial" w:hAnsi="Arial" w:cs="Arial"/>
                <w:sz w:val="20"/>
              </w:rPr>
              <w:t xml:space="preserve"> 3.057 </w:t>
            </w:r>
          </w:p>
        </w:tc>
      </w:tr>
      <w:tr w:rsidR="00FB564E" w:rsidRPr="00071D13" w14:paraId="76627F7C" w14:textId="77777777" w:rsidTr="007478FB">
        <w:trPr>
          <w:trHeight w:val="278"/>
        </w:trPr>
        <w:tc>
          <w:tcPr>
            <w:tcW w:w="1896" w:type="pct"/>
            <w:vAlign w:val="bottom"/>
          </w:tcPr>
          <w:p w14:paraId="58D4B55F" w14:textId="24770272" w:rsidR="00FB564E" w:rsidRPr="00F43653" w:rsidRDefault="00FB564E" w:rsidP="00FB564E">
            <w:pPr>
              <w:tabs>
                <w:tab w:val="right" w:pos="1202"/>
              </w:tabs>
              <w:suppressAutoHyphens/>
              <w:autoSpaceDN w:val="0"/>
              <w:spacing w:line="301" w:lineRule="exact"/>
              <w:outlineLvl w:val="0"/>
              <w:rPr>
                <w:rFonts w:ascii="Arial" w:eastAsia="Times New Roman" w:hAnsi="Arial" w:cs="Arial"/>
                <w:color w:val="000000" w:themeColor="text1"/>
                <w:sz w:val="20"/>
                <w:szCs w:val="20"/>
              </w:rPr>
            </w:pPr>
            <w:r w:rsidRPr="00F43653">
              <w:rPr>
                <w:rFonts w:ascii="Arial" w:eastAsia="Times New Roman" w:hAnsi="Arial" w:cs="Arial"/>
                <w:color w:val="000000" w:themeColor="text1"/>
                <w:sz w:val="20"/>
                <w:szCs w:val="20"/>
              </w:rPr>
              <w:t>Imovina iz ugovora o reosiguranju</w:t>
            </w:r>
          </w:p>
        </w:tc>
        <w:tc>
          <w:tcPr>
            <w:tcW w:w="765" w:type="pct"/>
            <w:tcBorders>
              <w:top w:val="nil"/>
              <w:left w:val="nil"/>
              <w:bottom w:val="nil"/>
              <w:right w:val="nil"/>
            </w:tcBorders>
            <w:shd w:val="clear" w:color="auto" w:fill="auto"/>
            <w:vAlign w:val="bottom"/>
          </w:tcPr>
          <w:p w14:paraId="733EF2D9" w14:textId="1D4CFB98" w:rsidR="00FB564E" w:rsidRPr="00F43653" w:rsidRDefault="007104DA" w:rsidP="00FB564E">
            <w:pPr>
              <w:tabs>
                <w:tab w:val="right" w:pos="1202"/>
              </w:tabs>
              <w:suppressAutoHyphens/>
              <w:autoSpaceDN w:val="0"/>
              <w:spacing w:line="301" w:lineRule="exact"/>
              <w:jc w:val="right"/>
              <w:outlineLvl w:val="0"/>
              <w:rPr>
                <w:rFonts w:ascii="Arial" w:hAnsi="Arial" w:cs="Arial"/>
                <w:sz w:val="20"/>
                <w:szCs w:val="20"/>
              </w:rPr>
            </w:pPr>
            <w:r>
              <w:rPr>
                <w:rFonts w:ascii="Arial" w:hAnsi="Arial" w:cs="Arial"/>
                <w:sz w:val="20"/>
                <w:szCs w:val="20"/>
              </w:rPr>
              <w:t>583</w:t>
            </w:r>
          </w:p>
        </w:tc>
        <w:tc>
          <w:tcPr>
            <w:tcW w:w="788" w:type="pct"/>
            <w:tcBorders>
              <w:top w:val="nil"/>
              <w:left w:val="nil"/>
              <w:bottom w:val="nil"/>
              <w:right w:val="nil"/>
            </w:tcBorders>
            <w:shd w:val="clear" w:color="auto" w:fill="auto"/>
            <w:vAlign w:val="bottom"/>
          </w:tcPr>
          <w:p w14:paraId="50F759E7" w14:textId="457231DF" w:rsidR="00FB564E" w:rsidRPr="00F43653" w:rsidRDefault="00FB564E" w:rsidP="00FB564E">
            <w:pPr>
              <w:tabs>
                <w:tab w:val="right" w:pos="1202"/>
              </w:tabs>
              <w:suppressAutoHyphens/>
              <w:autoSpaceDN w:val="0"/>
              <w:spacing w:line="301" w:lineRule="exact"/>
              <w:jc w:val="right"/>
              <w:outlineLvl w:val="0"/>
              <w:rPr>
                <w:rFonts w:ascii="Arial" w:hAnsi="Arial" w:cs="Arial"/>
                <w:sz w:val="20"/>
                <w:szCs w:val="20"/>
              </w:rPr>
            </w:pPr>
            <w:r w:rsidRPr="000D3CE9">
              <w:rPr>
                <w:rFonts w:ascii="Arial" w:hAnsi="Arial" w:cs="Arial"/>
                <w:sz w:val="20"/>
              </w:rPr>
              <w:t>733</w:t>
            </w:r>
          </w:p>
        </w:tc>
        <w:tc>
          <w:tcPr>
            <w:tcW w:w="764" w:type="pct"/>
            <w:tcBorders>
              <w:top w:val="nil"/>
              <w:left w:val="nil"/>
              <w:bottom w:val="nil"/>
              <w:right w:val="nil"/>
            </w:tcBorders>
            <w:shd w:val="clear" w:color="auto" w:fill="auto"/>
            <w:vAlign w:val="bottom"/>
          </w:tcPr>
          <w:p w14:paraId="3C40E27D" w14:textId="2EEB60C1" w:rsidR="00FB564E" w:rsidRPr="008B58A6" w:rsidRDefault="00FB564E" w:rsidP="00FB564E">
            <w:pPr>
              <w:tabs>
                <w:tab w:val="right" w:pos="1202"/>
              </w:tabs>
              <w:suppressAutoHyphens/>
              <w:autoSpaceDN w:val="0"/>
              <w:spacing w:line="301" w:lineRule="exact"/>
              <w:jc w:val="right"/>
              <w:outlineLvl w:val="0"/>
              <w:rPr>
                <w:rFonts w:ascii="Arial" w:hAnsi="Arial" w:cs="Arial"/>
                <w:sz w:val="20"/>
                <w:szCs w:val="20"/>
              </w:rPr>
            </w:pPr>
            <w:r w:rsidRPr="008B58A6">
              <w:rPr>
                <w:rFonts w:ascii="Arial" w:hAnsi="Arial" w:cs="Arial"/>
                <w:sz w:val="20"/>
                <w:szCs w:val="20"/>
              </w:rPr>
              <w:t>-</w:t>
            </w:r>
          </w:p>
        </w:tc>
        <w:tc>
          <w:tcPr>
            <w:tcW w:w="787" w:type="pct"/>
            <w:tcBorders>
              <w:top w:val="nil"/>
              <w:left w:val="nil"/>
              <w:bottom w:val="nil"/>
              <w:right w:val="nil"/>
            </w:tcBorders>
            <w:shd w:val="clear" w:color="auto" w:fill="auto"/>
            <w:vAlign w:val="bottom"/>
          </w:tcPr>
          <w:p w14:paraId="203D9AA5" w14:textId="3A3C8A43" w:rsidR="00FB564E" w:rsidRPr="00F43653" w:rsidRDefault="00FB564E" w:rsidP="00FB564E">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641D49">
              <w:rPr>
                <w:rFonts w:ascii="Arial" w:hAnsi="Arial" w:cs="Arial"/>
                <w:sz w:val="20"/>
              </w:rPr>
              <w:t>-</w:t>
            </w:r>
          </w:p>
        </w:tc>
      </w:tr>
      <w:tr w:rsidR="00FB564E" w:rsidRPr="00071D13" w14:paraId="1469DF23" w14:textId="77777777" w:rsidTr="007478FB">
        <w:trPr>
          <w:trHeight w:val="278"/>
        </w:trPr>
        <w:tc>
          <w:tcPr>
            <w:tcW w:w="1896" w:type="pct"/>
            <w:vAlign w:val="bottom"/>
          </w:tcPr>
          <w:p w14:paraId="2871E8D0" w14:textId="18931A99" w:rsidR="00FB564E" w:rsidRPr="00F43653" w:rsidRDefault="00FB564E" w:rsidP="00FB564E">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32" w:name="_Toc67328657"/>
            <w:r w:rsidRPr="00F43653">
              <w:rPr>
                <w:rFonts w:ascii="Arial" w:eastAsia="Times New Roman" w:hAnsi="Arial" w:cs="Arial"/>
                <w:color w:val="000000" w:themeColor="text1"/>
                <w:sz w:val="20"/>
                <w:szCs w:val="20"/>
              </w:rPr>
              <w:t>Potraživanja po naknadama za procjenu rizika</w:t>
            </w:r>
            <w:bookmarkEnd w:id="432"/>
          </w:p>
        </w:tc>
        <w:tc>
          <w:tcPr>
            <w:tcW w:w="765" w:type="pct"/>
            <w:tcBorders>
              <w:top w:val="nil"/>
              <w:left w:val="nil"/>
              <w:bottom w:val="nil"/>
              <w:right w:val="nil"/>
            </w:tcBorders>
            <w:shd w:val="clear" w:color="auto" w:fill="auto"/>
            <w:vAlign w:val="bottom"/>
          </w:tcPr>
          <w:p w14:paraId="34FD2B63" w14:textId="39858B80" w:rsidR="00FB564E" w:rsidRPr="00F43653" w:rsidRDefault="00313C78" w:rsidP="00FB564E">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72</w:t>
            </w:r>
          </w:p>
        </w:tc>
        <w:tc>
          <w:tcPr>
            <w:tcW w:w="788" w:type="pct"/>
            <w:tcBorders>
              <w:top w:val="nil"/>
              <w:left w:val="nil"/>
              <w:bottom w:val="nil"/>
              <w:right w:val="nil"/>
            </w:tcBorders>
            <w:shd w:val="clear" w:color="auto" w:fill="auto"/>
            <w:vAlign w:val="bottom"/>
          </w:tcPr>
          <w:p w14:paraId="6F7634CD" w14:textId="48F01EBD" w:rsidR="00FB564E" w:rsidRPr="00F43653" w:rsidRDefault="00FB564E" w:rsidP="00FB564E">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0D3CE9">
              <w:rPr>
                <w:rFonts w:ascii="Arial" w:hAnsi="Arial" w:cs="Arial"/>
                <w:sz w:val="20"/>
              </w:rPr>
              <w:t xml:space="preserve"> 35 </w:t>
            </w:r>
          </w:p>
        </w:tc>
        <w:tc>
          <w:tcPr>
            <w:tcW w:w="764" w:type="pct"/>
            <w:tcBorders>
              <w:top w:val="nil"/>
              <w:left w:val="nil"/>
              <w:bottom w:val="nil"/>
              <w:right w:val="nil"/>
            </w:tcBorders>
            <w:shd w:val="clear" w:color="auto" w:fill="auto"/>
            <w:vAlign w:val="bottom"/>
          </w:tcPr>
          <w:p w14:paraId="24D49363" w14:textId="16EB9EC3" w:rsidR="00FB564E" w:rsidRPr="008B58A6" w:rsidRDefault="00FB564E" w:rsidP="00FB564E">
            <w:pPr>
              <w:tabs>
                <w:tab w:val="right" w:pos="1202"/>
              </w:tabs>
              <w:suppressAutoHyphens/>
              <w:autoSpaceDN w:val="0"/>
              <w:spacing w:line="301" w:lineRule="exact"/>
              <w:jc w:val="right"/>
              <w:outlineLvl w:val="0"/>
              <w:rPr>
                <w:rFonts w:ascii="Arial" w:hAnsi="Arial" w:cs="Arial"/>
                <w:sz w:val="20"/>
                <w:szCs w:val="20"/>
              </w:rPr>
            </w:pPr>
            <w:r w:rsidRPr="008B58A6">
              <w:rPr>
                <w:rFonts w:ascii="Arial" w:hAnsi="Arial" w:cs="Arial"/>
                <w:sz w:val="20"/>
                <w:szCs w:val="20"/>
              </w:rPr>
              <w:t>-</w:t>
            </w:r>
          </w:p>
        </w:tc>
        <w:tc>
          <w:tcPr>
            <w:tcW w:w="787" w:type="pct"/>
            <w:tcBorders>
              <w:top w:val="nil"/>
              <w:left w:val="nil"/>
              <w:bottom w:val="nil"/>
              <w:right w:val="nil"/>
            </w:tcBorders>
            <w:shd w:val="clear" w:color="auto" w:fill="auto"/>
            <w:vAlign w:val="bottom"/>
          </w:tcPr>
          <w:p w14:paraId="0A26FAA2" w14:textId="3F910415" w:rsidR="00FB564E" w:rsidRPr="00F43653" w:rsidRDefault="00FB564E" w:rsidP="00FB564E">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641D49">
              <w:rPr>
                <w:rFonts w:ascii="Arial" w:hAnsi="Arial" w:cs="Arial"/>
                <w:sz w:val="20"/>
              </w:rPr>
              <w:t>-</w:t>
            </w:r>
          </w:p>
        </w:tc>
      </w:tr>
      <w:tr w:rsidR="00FB564E" w:rsidRPr="00071D13" w14:paraId="652E6308" w14:textId="77777777" w:rsidTr="007478FB">
        <w:trPr>
          <w:trHeight w:val="278"/>
        </w:trPr>
        <w:tc>
          <w:tcPr>
            <w:tcW w:w="1896" w:type="pct"/>
            <w:vAlign w:val="bottom"/>
          </w:tcPr>
          <w:p w14:paraId="3CA203BA" w14:textId="77777777" w:rsidR="00FB564E" w:rsidRPr="00F43653" w:rsidRDefault="00FB564E" w:rsidP="00FB564E">
            <w:pPr>
              <w:tabs>
                <w:tab w:val="right" w:pos="1202"/>
              </w:tabs>
              <w:suppressAutoHyphens/>
              <w:autoSpaceDN w:val="0"/>
              <w:spacing w:line="301" w:lineRule="exact"/>
              <w:outlineLvl w:val="0"/>
              <w:rPr>
                <w:rFonts w:ascii="Arial" w:eastAsia="Times New Roman" w:hAnsi="Arial" w:cs="Arial"/>
                <w:color w:val="000000" w:themeColor="text1"/>
                <w:sz w:val="20"/>
                <w:szCs w:val="20"/>
              </w:rPr>
            </w:pPr>
            <w:r w:rsidRPr="00F43653">
              <w:rPr>
                <w:rFonts w:ascii="Arial" w:eastAsia="Times New Roman" w:hAnsi="Arial" w:cs="Arial"/>
                <w:color w:val="000000" w:themeColor="text1"/>
                <w:sz w:val="20"/>
                <w:szCs w:val="20"/>
              </w:rPr>
              <w:t>Odgođena porezna imovina</w:t>
            </w:r>
          </w:p>
        </w:tc>
        <w:tc>
          <w:tcPr>
            <w:tcW w:w="765" w:type="pct"/>
            <w:tcBorders>
              <w:top w:val="nil"/>
              <w:left w:val="nil"/>
              <w:bottom w:val="nil"/>
              <w:right w:val="nil"/>
            </w:tcBorders>
            <w:shd w:val="clear" w:color="auto" w:fill="auto"/>
            <w:vAlign w:val="bottom"/>
          </w:tcPr>
          <w:p w14:paraId="2E75D163" w14:textId="29CAB076" w:rsidR="00FB564E" w:rsidRPr="00F43653" w:rsidRDefault="00313C78" w:rsidP="00FB564E">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153</w:t>
            </w:r>
          </w:p>
        </w:tc>
        <w:tc>
          <w:tcPr>
            <w:tcW w:w="788" w:type="pct"/>
            <w:tcBorders>
              <w:top w:val="nil"/>
              <w:left w:val="nil"/>
              <w:bottom w:val="nil"/>
              <w:right w:val="nil"/>
            </w:tcBorders>
            <w:shd w:val="clear" w:color="auto" w:fill="auto"/>
            <w:vAlign w:val="bottom"/>
          </w:tcPr>
          <w:p w14:paraId="78EE7C22" w14:textId="3ED813A0" w:rsidR="00FB564E" w:rsidRPr="00F43653" w:rsidRDefault="00FB564E" w:rsidP="00FB564E">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0D3CE9">
              <w:rPr>
                <w:rFonts w:ascii="Arial" w:hAnsi="Arial" w:cs="Arial"/>
                <w:sz w:val="20"/>
              </w:rPr>
              <w:t xml:space="preserve"> 140 </w:t>
            </w:r>
          </w:p>
        </w:tc>
        <w:tc>
          <w:tcPr>
            <w:tcW w:w="764" w:type="pct"/>
            <w:tcBorders>
              <w:top w:val="nil"/>
              <w:left w:val="nil"/>
              <w:bottom w:val="nil"/>
              <w:right w:val="nil"/>
            </w:tcBorders>
            <w:shd w:val="clear" w:color="auto" w:fill="auto"/>
            <w:vAlign w:val="bottom"/>
          </w:tcPr>
          <w:p w14:paraId="701D14E4" w14:textId="68365FBA" w:rsidR="00FB564E" w:rsidRPr="008B58A6" w:rsidRDefault="00FB564E" w:rsidP="00FB564E">
            <w:pPr>
              <w:tabs>
                <w:tab w:val="right" w:pos="1202"/>
              </w:tabs>
              <w:suppressAutoHyphens/>
              <w:autoSpaceDN w:val="0"/>
              <w:spacing w:line="301" w:lineRule="exact"/>
              <w:jc w:val="right"/>
              <w:outlineLvl w:val="0"/>
              <w:rPr>
                <w:rFonts w:ascii="Arial" w:hAnsi="Arial" w:cs="Arial"/>
                <w:sz w:val="20"/>
                <w:szCs w:val="20"/>
              </w:rPr>
            </w:pPr>
            <w:r w:rsidRPr="008B58A6">
              <w:rPr>
                <w:rFonts w:ascii="Arial" w:hAnsi="Arial" w:cs="Arial"/>
                <w:sz w:val="20"/>
                <w:szCs w:val="20"/>
              </w:rPr>
              <w:t>-</w:t>
            </w:r>
          </w:p>
        </w:tc>
        <w:tc>
          <w:tcPr>
            <w:tcW w:w="787" w:type="pct"/>
            <w:tcBorders>
              <w:top w:val="nil"/>
              <w:left w:val="nil"/>
              <w:bottom w:val="nil"/>
              <w:right w:val="nil"/>
            </w:tcBorders>
            <w:shd w:val="clear" w:color="auto" w:fill="auto"/>
            <w:vAlign w:val="bottom"/>
          </w:tcPr>
          <w:p w14:paraId="26B76870" w14:textId="39566801" w:rsidR="00FB564E" w:rsidRPr="00F43653" w:rsidRDefault="00FB564E" w:rsidP="00FB564E">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641D49">
              <w:rPr>
                <w:rFonts w:ascii="Arial" w:hAnsi="Arial" w:cs="Arial"/>
                <w:sz w:val="20"/>
              </w:rPr>
              <w:t>-</w:t>
            </w:r>
          </w:p>
        </w:tc>
      </w:tr>
      <w:tr w:rsidR="00FB564E" w:rsidRPr="00071D13" w14:paraId="1BF3EFDB" w14:textId="77777777" w:rsidTr="00D559F1">
        <w:trPr>
          <w:trHeight w:val="278"/>
        </w:trPr>
        <w:tc>
          <w:tcPr>
            <w:tcW w:w="1896" w:type="pct"/>
            <w:vAlign w:val="bottom"/>
          </w:tcPr>
          <w:p w14:paraId="3F9A1BA6" w14:textId="55DFECE2" w:rsidR="00FB564E" w:rsidRPr="00F43653" w:rsidRDefault="00FB564E" w:rsidP="00FB564E">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33" w:name="_Toc67328662"/>
            <w:r w:rsidRPr="00F43653">
              <w:rPr>
                <w:rFonts w:ascii="Arial" w:eastAsia="Times New Roman" w:hAnsi="Arial" w:cs="Arial"/>
                <w:color w:val="000000" w:themeColor="text1"/>
                <w:sz w:val="20"/>
                <w:szCs w:val="20"/>
              </w:rPr>
              <w:t>Imovina u najmu</w:t>
            </w:r>
            <w:bookmarkEnd w:id="433"/>
          </w:p>
        </w:tc>
        <w:tc>
          <w:tcPr>
            <w:tcW w:w="765" w:type="pct"/>
            <w:tcBorders>
              <w:top w:val="nil"/>
              <w:left w:val="nil"/>
              <w:bottom w:val="nil"/>
              <w:right w:val="nil"/>
            </w:tcBorders>
            <w:shd w:val="clear" w:color="auto" w:fill="auto"/>
            <w:vAlign w:val="bottom"/>
          </w:tcPr>
          <w:p w14:paraId="16237ECE" w14:textId="6A3B66B1" w:rsidR="00FB564E" w:rsidRPr="00F43653" w:rsidDel="004A2B3D" w:rsidRDefault="00313C78" w:rsidP="00FB564E">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1.416</w:t>
            </w:r>
          </w:p>
        </w:tc>
        <w:tc>
          <w:tcPr>
            <w:tcW w:w="788" w:type="pct"/>
            <w:tcBorders>
              <w:top w:val="nil"/>
              <w:left w:val="nil"/>
              <w:bottom w:val="nil"/>
              <w:right w:val="nil"/>
            </w:tcBorders>
            <w:shd w:val="clear" w:color="auto" w:fill="auto"/>
            <w:vAlign w:val="bottom"/>
          </w:tcPr>
          <w:p w14:paraId="6AC473F5" w14:textId="76C3C7BB" w:rsidR="00FB564E" w:rsidRPr="00F43653" w:rsidRDefault="00FB564E" w:rsidP="00FB564E">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0D3CE9">
              <w:rPr>
                <w:rFonts w:ascii="Arial" w:hAnsi="Arial" w:cs="Arial"/>
                <w:sz w:val="20"/>
              </w:rPr>
              <w:t xml:space="preserve"> 2.032 </w:t>
            </w:r>
          </w:p>
        </w:tc>
        <w:tc>
          <w:tcPr>
            <w:tcW w:w="764" w:type="pct"/>
            <w:tcBorders>
              <w:top w:val="nil"/>
              <w:left w:val="nil"/>
              <w:bottom w:val="nil"/>
              <w:right w:val="nil"/>
            </w:tcBorders>
            <w:shd w:val="clear" w:color="auto" w:fill="auto"/>
          </w:tcPr>
          <w:p w14:paraId="0DA17704" w14:textId="38C90589" w:rsidR="00FB564E" w:rsidRPr="008B58A6" w:rsidDel="004A2B3D" w:rsidRDefault="00FB564E" w:rsidP="00FB564E">
            <w:pPr>
              <w:tabs>
                <w:tab w:val="right" w:pos="1202"/>
              </w:tabs>
              <w:suppressAutoHyphens/>
              <w:autoSpaceDN w:val="0"/>
              <w:spacing w:line="301" w:lineRule="exact"/>
              <w:jc w:val="right"/>
              <w:outlineLvl w:val="0"/>
              <w:rPr>
                <w:rFonts w:ascii="Arial" w:hAnsi="Arial" w:cs="Arial"/>
                <w:sz w:val="20"/>
                <w:szCs w:val="20"/>
              </w:rPr>
            </w:pPr>
            <w:r w:rsidRPr="008B58A6">
              <w:rPr>
                <w:rFonts w:ascii="Arial" w:hAnsi="Arial" w:cs="Arial"/>
                <w:sz w:val="20"/>
                <w:szCs w:val="20"/>
              </w:rPr>
              <w:t>1.416</w:t>
            </w:r>
          </w:p>
        </w:tc>
        <w:tc>
          <w:tcPr>
            <w:tcW w:w="787" w:type="pct"/>
            <w:tcBorders>
              <w:top w:val="nil"/>
              <w:left w:val="nil"/>
              <w:bottom w:val="nil"/>
              <w:right w:val="nil"/>
            </w:tcBorders>
            <w:shd w:val="clear" w:color="auto" w:fill="auto"/>
            <w:vAlign w:val="bottom"/>
          </w:tcPr>
          <w:p w14:paraId="065F956B" w14:textId="446784D2" w:rsidR="00FB564E" w:rsidRPr="00F43653" w:rsidRDefault="00FB564E" w:rsidP="00FB564E">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641D49">
              <w:rPr>
                <w:rFonts w:ascii="Arial" w:hAnsi="Arial" w:cs="Arial"/>
                <w:sz w:val="20"/>
              </w:rPr>
              <w:t>2.032</w:t>
            </w:r>
          </w:p>
        </w:tc>
      </w:tr>
      <w:tr w:rsidR="00FB564E" w:rsidRPr="00071D13" w14:paraId="36BE5C17" w14:textId="77777777" w:rsidTr="00D559F1">
        <w:trPr>
          <w:trHeight w:val="278"/>
        </w:trPr>
        <w:tc>
          <w:tcPr>
            <w:tcW w:w="1896" w:type="pct"/>
            <w:vAlign w:val="bottom"/>
          </w:tcPr>
          <w:p w14:paraId="7845710F" w14:textId="7F9F2F0C" w:rsidR="00FB564E" w:rsidRPr="00F43653" w:rsidRDefault="00FB564E" w:rsidP="00FB564E">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34" w:name="_Toc67328667"/>
            <w:r w:rsidRPr="00F43653">
              <w:rPr>
                <w:rFonts w:ascii="Arial" w:eastAsia="Times New Roman" w:hAnsi="Arial" w:cs="Arial"/>
                <w:color w:val="000000" w:themeColor="text1"/>
                <w:sz w:val="20"/>
                <w:szCs w:val="20"/>
              </w:rPr>
              <w:t>Ostala imovina</w:t>
            </w:r>
            <w:bookmarkEnd w:id="434"/>
          </w:p>
        </w:tc>
        <w:tc>
          <w:tcPr>
            <w:tcW w:w="765" w:type="pct"/>
            <w:tcBorders>
              <w:top w:val="nil"/>
              <w:left w:val="nil"/>
              <w:bottom w:val="nil"/>
              <w:right w:val="nil"/>
            </w:tcBorders>
            <w:shd w:val="clear" w:color="auto" w:fill="auto"/>
            <w:vAlign w:val="bottom"/>
          </w:tcPr>
          <w:p w14:paraId="1B0F37C0" w14:textId="10C9F7F9" w:rsidR="00FB564E" w:rsidRPr="00F43653" w:rsidRDefault="009240C0" w:rsidP="00FB564E">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333</w:t>
            </w:r>
          </w:p>
        </w:tc>
        <w:tc>
          <w:tcPr>
            <w:tcW w:w="788" w:type="pct"/>
            <w:tcBorders>
              <w:top w:val="nil"/>
              <w:left w:val="nil"/>
              <w:bottom w:val="nil"/>
              <w:right w:val="nil"/>
            </w:tcBorders>
            <w:shd w:val="clear" w:color="auto" w:fill="auto"/>
            <w:vAlign w:val="bottom"/>
          </w:tcPr>
          <w:p w14:paraId="31DA786C" w14:textId="4FD24B25" w:rsidR="00FB564E" w:rsidRPr="00F43653" w:rsidRDefault="00FB564E" w:rsidP="00FB564E">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0D3CE9">
              <w:rPr>
                <w:rFonts w:ascii="Arial" w:hAnsi="Arial" w:cs="Arial"/>
                <w:sz w:val="20"/>
              </w:rPr>
              <w:t xml:space="preserve">  4.724</w:t>
            </w:r>
          </w:p>
        </w:tc>
        <w:tc>
          <w:tcPr>
            <w:tcW w:w="764" w:type="pct"/>
            <w:tcBorders>
              <w:top w:val="nil"/>
              <w:left w:val="nil"/>
              <w:bottom w:val="nil"/>
              <w:right w:val="nil"/>
            </w:tcBorders>
            <w:shd w:val="clear" w:color="auto" w:fill="auto"/>
          </w:tcPr>
          <w:p w14:paraId="254A9F80" w14:textId="12E63289" w:rsidR="00FB564E" w:rsidRPr="008B58A6" w:rsidRDefault="00FB564E" w:rsidP="00FB564E">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8B58A6">
              <w:rPr>
                <w:rFonts w:ascii="Arial" w:hAnsi="Arial" w:cs="Arial"/>
                <w:sz w:val="20"/>
                <w:szCs w:val="20"/>
              </w:rPr>
              <w:t>340</w:t>
            </w:r>
          </w:p>
        </w:tc>
        <w:tc>
          <w:tcPr>
            <w:tcW w:w="787" w:type="pct"/>
            <w:tcBorders>
              <w:top w:val="nil"/>
              <w:left w:val="nil"/>
              <w:bottom w:val="nil"/>
              <w:right w:val="nil"/>
            </w:tcBorders>
            <w:shd w:val="clear" w:color="auto" w:fill="auto"/>
            <w:vAlign w:val="bottom"/>
          </w:tcPr>
          <w:p w14:paraId="3AD5CA4A" w14:textId="525F4DEB" w:rsidR="00FB564E" w:rsidRPr="00F43653" w:rsidRDefault="00FB564E" w:rsidP="00FB564E">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641D49">
              <w:rPr>
                <w:rFonts w:ascii="Arial" w:hAnsi="Arial" w:cs="Arial"/>
                <w:sz w:val="20"/>
              </w:rPr>
              <w:t>4.719</w:t>
            </w:r>
          </w:p>
        </w:tc>
      </w:tr>
      <w:tr w:rsidR="00FB564E" w:rsidRPr="00071D13" w14:paraId="2A50B7EB" w14:textId="77777777" w:rsidTr="00071D13">
        <w:trPr>
          <w:trHeight w:val="58"/>
        </w:trPr>
        <w:tc>
          <w:tcPr>
            <w:tcW w:w="1896" w:type="pct"/>
            <w:vAlign w:val="bottom"/>
          </w:tcPr>
          <w:p w14:paraId="3FDFA4B7" w14:textId="77777777" w:rsidR="00FB564E" w:rsidRPr="00F43653" w:rsidRDefault="00FB564E" w:rsidP="00FB564E">
            <w:pPr>
              <w:tabs>
                <w:tab w:val="right" w:pos="1202"/>
              </w:tabs>
              <w:suppressAutoHyphens/>
              <w:autoSpaceDN w:val="0"/>
              <w:spacing w:line="340" w:lineRule="exact"/>
              <w:outlineLvl w:val="0"/>
              <w:rPr>
                <w:rFonts w:ascii="Arial" w:eastAsia="Times New Roman" w:hAnsi="Arial" w:cs="Arial"/>
                <w:color w:val="000000" w:themeColor="text1"/>
                <w:sz w:val="20"/>
                <w:szCs w:val="20"/>
              </w:rPr>
            </w:pPr>
          </w:p>
        </w:tc>
        <w:tc>
          <w:tcPr>
            <w:tcW w:w="765" w:type="pct"/>
            <w:tcBorders>
              <w:top w:val="single" w:sz="4" w:space="0" w:color="auto"/>
              <w:bottom w:val="single" w:sz="4" w:space="0" w:color="auto"/>
            </w:tcBorders>
            <w:vAlign w:val="bottom"/>
          </w:tcPr>
          <w:p w14:paraId="01BEC977" w14:textId="2ABB2094" w:rsidR="00FB564E" w:rsidRPr="00F43653" w:rsidRDefault="009240C0" w:rsidP="00FB564E">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12.652</w:t>
            </w:r>
          </w:p>
        </w:tc>
        <w:tc>
          <w:tcPr>
            <w:tcW w:w="788" w:type="pct"/>
            <w:tcBorders>
              <w:top w:val="single" w:sz="4" w:space="0" w:color="auto"/>
              <w:bottom w:val="single" w:sz="4" w:space="0" w:color="auto"/>
            </w:tcBorders>
            <w:vAlign w:val="bottom"/>
          </w:tcPr>
          <w:p w14:paraId="0F438A90" w14:textId="51999EBC" w:rsidR="00FB564E" w:rsidRPr="00F43653" w:rsidRDefault="00FB564E" w:rsidP="00FB564E">
            <w:pPr>
              <w:tabs>
                <w:tab w:val="right" w:pos="1202"/>
              </w:tabs>
              <w:suppressAutoHyphens/>
              <w:autoSpaceDN w:val="0"/>
              <w:spacing w:line="340" w:lineRule="exact"/>
              <w:jc w:val="right"/>
              <w:outlineLvl w:val="0"/>
              <w:rPr>
                <w:rFonts w:ascii="Arial" w:eastAsia="Times New Roman" w:hAnsi="Arial" w:cs="Arial"/>
                <w:bCs/>
                <w:color w:val="000000" w:themeColor="text1"/>
                <w:sz w:val="20"/>
                <w:szCs w:val="20"/>
              </w:rPr>
            </w:pPr>
            <w:r w:rsidRPr="000D3CE9">
              <w:rPr>
                <w:rFonts w:ascii="Arial" w:hAnsi="Arial" w:cs="Arial"/>
                <w:color w:val="000000" w:themeColor="text1"/>
                <w:sz w:val="20"/>
              </w:rPr>
              <w:t>16.678</w:t>
            </w:r>
          </w:p>
        </w:tc>
        <w:tc>
          <w:tcPr>
            <w:tcW w:w="764" w:type="pct"/>
            <w:tcBorders>
              <w:top w:val="single" w:sz="4" w:space="0" w:color="auto"/>
              <w:bottom w:val="single" w:sz="4" w:space="0" w:color="auto"/>
            </w:tcBorders>
            <w:vAlign w:val="bottom"/>
          </w:tcPr>
          <w:p w14:paraId="2D276FDC" w14:textId="081F3B22" w:rsidR="00FB564E" w:rsidRPr="008B58A6" w:rsidRDefault="00FB564E" w:rsidP="00FB564E">
            <w:pPr>
              <w:tabs>
                <w:tab w:val="right" w:pos="1202"/>
              </w:tabs>
              <w:suppressAutoHyphens/>
              <w:autoSpaceDN w:val="0"/>
              <w:spacing w:line="340" w:lineRule="exact"/>
              <w:jc w:val="right"/>
              <w:outlineLvl w:val="0"/>
              <w:rPr>
                <w:rFonts w:ascii="Arial" w:eastAsia="Times New Roman" w:hAnsi="Arial" w:cs="Arial"/>
                <w:bCs/>
                <w:color w:val="000000" w:themeColor="text1"/>
                <w:sz w:val="20"/>
                <w:szCs w:val="20"/>
              </w:rPr>
            </w:pPr>
            <w:r w:rsidRPr="008B58A6">
              <w:rPr>
                <w:rFonts w:ascii="Arial" w:eastAsia="Times New Roman" w:hAnsi="Arial" w:cs="Arial"/>
                <w:bCs/>
                <w:color w:val="000000" w:themeColor="text1"/>
                <w:sz w:val="20"/>
                <w:szCs w:val="20"/>
              </w:rPr>
              <w:t>11.838</w:t>
            </w:r>
          </w:p>
        </w:tc>
        <w:tc>
          <w:tcPr>
            <w:tcW w:w="787" w:type="pct"/>
            <w:tcBorders>
              <w:top w:val="single" w:sz="4" w:space="0" w:color="auto"/>
              <w:bottom w:val="single" w:sz="4" w:space="0" w:color="auto"/>
            </w:tcBorders>
            <w:vAlign w:val="bottom"/>
          </w:tcPr>
          <w:p w14:paraId="5CFB2895" w14:textId="2D3D2436" w:rsidR="00FB564E" w:rsidRPr="00F43653" w:rsidRDefault="00FB564E" w:rsidP="00FB564E">
            <w:pPr>
              <w:tabs>
                <w:tab w:val="right" w:pos="1202"/>
              </w:tabs>
              <w:suppressAutoHyphens/>
              <w:autoSpaceDN w:val="0"/>
              <w:spacing w:line="340" w:lineRule="exact"/>
              <w:jc w:val="right"/>
              <w:outlineLvl w:val="0"/>
              <w:rPr>
                <w:rFonts w:ascii="Arial" w:eastAsia="Times New Roman" w:hAnsi="Arial" w:cs="Arial"/>
                <w:bCs/>
                <w:color w:val="000000" w:themeColor="text1"/>
                <w:sz w:val="20"/>
                <w:szCs w:val="20"/>
              </w:rPr>
            </w:pPr>
            <w:r w:rsidRPr="00641D49">
              <w:rPr>
                <w:rFonts w:ascii="Arial" w:hAnsi="Arial" w:cs="Arial"/>
                <w:bCs/>
                <w:color w:val="000000" w:themeColor="text1"/>
                <w:sz w:val="20"/>
              </w:rPr>
              <w:t>15.750</w:t>
            </w:r>
          </w:p>
        </w:tc>
      </w:tr>
      <w:tr w:rsidR="00FB564E" w:rsidRPr="00071D13" w14:paraId="7D148B92" w14:textId="77777777" w:rsidTr="00071D13">
        <w:trPr>
          <w:trHeight w:val="289"/>
        </w:trPr>
        <w:tc>
          <w:tcPr>
            <w:tcW w:w="1896" w:type="pct"/>
            <w:vAlign w:val="bottom"/>
          </w:tcPr>
          <w:p w14:paraId="75AC7966" w14:textId="7442DDFE" w:rsidR="00FB564E" w:rsidRPr="00F43653" w:rsidRDefault="00FB564E" w:rsidP="00FB564E">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35" w:name="_Toc67328676"/>
            <w:r w:rsidRPr="00F43653">
              <w:rPr>
                <w:rFonts w:ascii="Arial" w:eastAsia="Times New Roman" w:hAnsi="Arial" w:cs="Arial"/>
                <w:color w:val="000000" w:themeColor="text1"/>
                <w:sz w:val="20"/>
                <w:szCs w:val="20"/>
              </w:rPr>
              <w:t>Rezerviranja za očekivane gubitke</w:t>
            </w:r>
            <w:bookmarkEnd w:id="435"/>
          </w:p>
        </w:tc>
        <w:tc>
          <w:tcPr>
            <w:tcW w:w="765" w:type="pct"/>
            <w:tcBorders>
              <w:bottom w:val="single" w:sz="4" w:space="0" w:color="auto"/>
            </w:tcBorders>
            <w:vAlign w:val="bottom"/>
          </w:tcPr>
          <w:p w14:paraId="74BA45BF" w14:textId="02643F8C" w:rsidR="00FB564E" w:rsidRPr="00F43653" w:rsidRDefault="009240C0" w:rsidP="00FB564E">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(4.717)</w:t>
            </w:r>
          </w:p>
        </w:tc>
        <w:tc>
          <w:tcPr>
            <w:tcW w:w="788" w:type="pct"/>
            <w:tcBorders>
              <w:bottom w:val="single" w:sz="4" w:space="0" w:color="auto"/>
            </w:tcBorders>
            <w:vAlign w:val="bottom"/>
          </w:tcPr>
          <w:p w14:paraId="2912AECB" w14:textId="0D6B7967" w:rsidR="00FB564E" w:rsidRPr="00F43653" w:rsidRDefault="00FB564E" w:rsidP="00FB564E">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0D3CE9">
              <w:rPr>
                <w:rFonts w:ascii="Arial" w:hAnsi="Arial" w:cs="Arial"/>
                <w:color w:val="000000" w:themeColor="text1"/>
                <w:sz w:val="20"/>
              </w:rPr>
              <w:t>(4.393)</w:t>
            </w:r>
          </w:p>
        </w:tc>
        <w:tc>
          <w:tcPr>
            <w:tcW w:w="764" w:type="pct"/>
            <w:tcBorders>
              <w:bottom w:val="single" w:sz="4" w:space="0" w:color="auto"/>
            </w:tcBorders>
            <w:vAlign w:val="bottom"/>
          </w:tcPr>
          <w:p w14:paraId="4CC865B5" w14:textId="688B72DE" w:rsidR="00FB564E" w:rsidRPr="008B58A6" w:rsidRDefault="00FB564E" w:rsidP="00FB564E">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8B58A6">
              <w:rPr>
                <w:rFonts w:ascii="Arial" w:eastAsia="Times New Roman" w:hAnsi="Arial" w:cs="Arial"/>
                <w:color w:val="000000" w:themeColor="text1"/>
                <w:sz w:val="20"/>
                <w:szCs w:val="20"/>
              </w:rPr>
              <w:t>(4.689)</w:t>
            </w:r>
          </w:p>
        </w:tc>
        <w:tc>
          <w:tcPr>
            <w:tcW w:w="787" w:type="pct"/>
            <w:tcBorders>
              <w:bottom w:val="single" w:sz="4" w:space="0" w:color="auto"/>
            </w:tcBorders>
            <w:vAlign w:val="bottom"/>
          </w:tcPr>
          <w:p w14:paraId="3EF2A0ED" w14:textId="1DA2FE6A" w:rsidR="00FB564E" w:rsidRPr="00F43653" w:rsidRDefault="00FB564E" w:rsidP="00FB564E">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641D49">
              <w:rPr>
                <w:rFonts w:ascii="Arial" w:hAnsi="Arial" w:cs="Arial"/>
                <w:color w:val="000000" w:themeColor="text1"/>
                <w:sz w:val="20"/>
              </w:rPr>
              <w:t>(4.385)</w:t>
            </w:r>
          </w:p>
        </w:tc>
      </w:tr>
      <w:tr w:rsidR="00FB564E" w:rsidRPr="00071D13" w14:paraId="3796F0CC" w14:textId="77777777" w:rsidTr="00071D13">
        <w:trPr>
          <w:trHeight w:val="366"/>
        </w:trPr>
        <w:tc>
          <w:tcPr>
            <w:tcW w:w="1896" w:type="pct"/>
            <w:vAlign w:val="bottom"/>
          </w:tcPr>
          <w:p w14:paraId="183B5A53" w14:textId="77777777" w:rsidR="00FB564E" w:rsidRPr="00F43653" w:rsidRDefault="00FB564E" w:rsidP="00FB564E">
            <w:pPr>
              <w:tabs>
                <w:tab w:val="right" w:pos="1202"/>
              </w:tabs>
              <w:suppressAutoHyphens/>
              <w:autoSpaceDN w:val="0"/>
              <w:spacing w:line="340" w:lineRule="exact"/>
              <w:outlineLvl w:val="0"/>
              <w:rPr>
                <w:rFonts w:ascii="Arial" w:eastAsia="Times New Roman" w:hAnsi="Arial" w:cs="Arial"/>
                <w:b/>
                <w:bCs/>
                <w:color w:val="000000" w:themeColor="text1"/>
                <w:sz w:val="20"/>
                <w:szCs w:val="20"/>
              </w:rPr>
            </w:pPr>
          </w:p>
        </w:tc>
        <w:tc>
          <w:tcPr>
            <w:tcW w:w="765" w:type="pct"/>
            <w:tcBorders>
              <w:top w:val="single" w:sz="4" w:space="0" w:color="auto"/>
              <w:bottom w:val="single" w:sz="12" w:space="0" w:color="auto"/>
            </w:tcBorders>
            <w:vAlign w:val="bottom"/>
          </w:tcPr>
          <w:p w14:paraId="3804E66A" w14:textId="1D572370" w:rsidR="00FB564E" w:rsidRPr="00F43653" w:rsidRDefault="00190D4C" w:rsidP="00FB564E">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7.935</w:t>
            </w:r>
          </w:p>
        </w:tc>
        <w:tc>
          <w:tcPr>
            <w:tcW w:w="788" w:type="pct"/>
            <w:tcBorders>
              <w:top w:val="single" w:sz="4" w:space="0" w:color="auto"/>
              <w:bottom w:val="single" w:sz="12" w:space="0" w:color="auto"/>
            </w:tcBorders>
            <w:vAlign w:val="bottom"/>
          </w:tcPr>
          <w:p w14:paraId="2F083631" w14:textId="6F1D157E" w:rsidR="00FB564E" w:rsidRPr="00F43653" w:rsidRDefault="00FB564E" w:rsidP="00FB564E">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0D3CE9">
              <w:rPr>
                <w:rFonts w:ascii="Arial" w:hAnsi="Arial" w:cs="Arial"/>
                <w:b/>
                <w:bCs/>
                <w:color w:val="000000" w:themeColor="text1"/>
                <w:sz w:val="20"/>
              </w:rPr>
              <w:t>12.285</w:t>
            </w:r>
          </w:p>
        </w:tc>
        <w:tc>
          <w:tcPr>
            <w:tcW w:w="764" w:type="pct"/>
            <w:tcBorders>
              <w:top w:val="single" w:sz="4" w:space="0" w:color="auto"/>
              <w:bottom w:val="single" w:sz="12" w:space="0" w:color="auto"/>
            </w:tcBorders>
            <w:vAlign w:val="bottom"/>
          </w:tcPr>
          <w:p w14:paraId="6913CCCA" w14:textId="567404BF" w:rsidR="00FB564E" w:rsidRPr="008B58A6" w:rsidRDefault="00FB564E" w:rsidP="00FB564E">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8B58A6">
              <w:rPr>
                <w:rFonts w:ascii="Arial" w:eastAsia="Times New Roman" w:hAnsi="Arial" w:cs="Arial"/>
                <w:b/>
                <w:bCs/>
                <w:color w:val="000000" w:themeColor="text1"/>
                <w:sz w:val="20"/>
                <w:szCs w:val="20"/>
              </w:rPr>
              <w:t>7.149</w:t>
            </w:r>
          </w:p>
        </w:tc>
        <w:tc>
          <w:tcPr>
            <w:tcW w:w="787" w:type="pct"/>
            <w:tcBorders>
              <w:top w:val="single" w:sz="4" w:space="0" w:color="auto"/>
              <w:bottom w:val="single" w:sz="12" w:space="0" w:color="auto"/>
            </w:tcBorders>
            <w:vAlign w:val="bottom"/>
          </w:tcPr>
          <w:p w14:paraId="37A45D2A" w14:textId="1106F756" w:rsidR="00FB564E" w:rsidRPr="00F43653" w:rsidRDefault="00FB564E" w:rsidP="00FB564E">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641D49">
              <w:rPr>
                <w:rFonts w:ascii="Arial" w:hAnsi="Arial" w:cs="Arial"/>
                <w:b/>
                <w:bCs/>
                <w:color w:val="000000" w:themeColor="text1"/>
                <w:sz w:val="20"/>
              </w:rPr>
              <w:t>11.365</w:t>
            </w:r>
          </w:p>
        </w:tc>
      </w:tr>
    </w:tbl>
    <w:p w14:paraId="34A08219" w14:textId="77777777" w:rsidR="00D004B1" w:rsidRPr="003D1614" w:rsidRDefault="00D004B1" w:rsidP="00D004B1">
      <w:pPr>
        <w:keepNext/>
        <w:suppressAutoHyphens/>
        <w:autoSpaceDN w:val="0"/>
        <w:jc w:val="both"/>
        <w:outlineLvl w:val="0"/>
        <w:rPr>
          <w:rFonts w:ascii="Arial" w:eastAsia="Times New Roman" w:hAnsi="Arial" w:cs="Arial"/>
          <w:color w:val="000000" w:themeColor="text1"/>
          <w:sz w:val="20"/>
          <w:szCs w:val="20"/>
        </w:rPr>
      </w:pPr>
    </w:p>
    <w:p w14:paraId="0CABD792" w14:textId="33813D49" w:rsidR="00D004B1" w:rsidRPr="003D1614" w:rsidRDefault="00D004B1" w:rsidP="00D004B1">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Imovina u najmu je priznata sukladno primjeni standarda MSFI 16, a amortizacija tijekom godine iznosila je </w:t>
      </w:r>
      <w:r w:rsidR="00B62B8D">
        <w:rPr>
          <w:rFonts w:ascii="Arial" w:eastAsia="Times New Roman" w:hAnsi="Arial" w:cs="Arial"/>
          <w:color w:val="000000" w:themeColor="text1"/>
          <w:sz w:val="20"/>
          <w:szCs w:val="20"/>
        </w:rPr>
        <w:t>617</w:t>
      </w:r>
      <w:r w:rsidR="00653991" w:rsidRPr="003D1614">
        <w:rPr>
          <w:rFonts w:ascii="Arial" w:eastAsia="Times New Roman" w:hAnsi="Arial" w:cs="Arial"/>
          <w:color w:val="000000" w:themeColor="text1"/>
          <w:sz w:val="20"/>
          <w:szCs w:val="20"/>
        </w:rPr>
        <w:t xml:space="preserve"> </w:t>
      </w:r>
      <w:r w:rsidRPr="003D1614">
        <w:rPr>
          <w:rFonts w:ascii="Arial" w:eastAsia="Times New Roman" w:hAnsi="Arial" w:cs="Arial"/>
          <w:color w:val="000000" w:themeColor="text1"/>
          <w:sz w:val="20"/>
          <w:szCs w:val="20"/>
        </w:rPr>
        <w:t>tisuć</w:t>
      </w:r>
      <w:r w:rsidR="00C81475" w:rsidRPr="003D1614">
        <w:rPr>
          <w:rFonts w:ascii="Arial" w:eastAsia="Times New Roman" w:hAnsi="Arial" w:cs="Arial"/>
          <w:color w:val="000000" w:themeColor="text1"/>
          <w:sz w:val="20"/>
          <w:szCs w:val="20"/>
        </w:rPr>
        <w:t>a eura</w:t>
      </w:r>
      <w:r w:rsidRPr="003D1614">
        <w:rPr>
          <w:rFonts w:ascii="Arial" w:eastAsia="Times New Roman" w:hAnsi="Arial" w:cs="Arial"/>
          <w:color w:val="000000" w:themeColor="text1"/>
          <w:sz w:val="20"/>
          <w:szCs w:val="20"/>
        </w:rPr>
        <w:t xml:space="preserve"> za </w:t>
      </w:r>
      <w:r w:rsidRPr="00CC6C0B">
        <w:rPr>
          <w:rFonts w:ascii="Arial" w:eastAsia="Times New Roman" w:hAnsi="Arial" w:cs="Arial"/>
          <w:color w:val="000000" w:themeColor="text1"/>
          <w:sz w:val="20"/>
          <w:szCs w:val="20"/>
        </w:rPr>
        <w:t>Grupu i Banku.</w:t>
      </w:r>
    </w:p>
    <w:p w14:paraId="3779B164" w14:textId="77777777" w:rsidR="00D004B1" w:rsidRPr="003D1614" w:rsidRDefault="00D004B1" w:rsidP="00D004B1">
      <w:pPr>
        <w:keepNext/>
        <w:suppressAutoHyphens/>
        <w:autoSpaceDN w:val="0"/>
        <w:spacing w:before="12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Sljedeće tablice prikazuju informacije o kreditnoj kvaliteti financijske imovine koja se mjeri po amortiziranom trošku. Iznosi u tablici predstavljaju bruto knjigovodstvene iznose:</w:t>
      </w:r>
    </w:p>
    <w:p w14:paraId="52970964" w14:textId="77777777" w:rsidR="00D004B1" w:rsidRPr="003D1614" w:rsidRDefault="00D004B1" w:rsidP="00D004B1">
      <w:pPr>
        <w:keepNext/>
        <w:suppressAutoHyphens/>
        <w:autoSpaceDN w:val="0"/>
        <w:jc w:val="both"/>
        <w:outlineLvl w:val="0"/>
        <w:rPr>
          <w:rFonts w:ascii="Arial" w:eastAsia="Times New Roman" w:hAnsi="Arial" w:cs="Arial"/>
          <w:color w:val="000000" w:themeColor="text1"/>
        </w:rPr>
      </w:pPr>
    </w:p>
    <w:tbl>
      <w:tblPr>
        <w:tblW w:w="9974" w:type="dxa"/>
        <w:tblInd w:w="-426" w:type="dxa"/>
        <w:tblLayout w:type="fixed"/>
        <w:tblLook w:val="04A0" w:firstRow="1" w:lastRow="0" w:firstColumn="1" w:lastColumn="0" w:noHBand="0" w:noVBand="1"/>
      </w:tblPr>
      <w:tblGrid>
        <w:gridCol w:w="1474"/>
        <w:gridCol w:w="850"/>
        <w:gridCol w:w="850"/>
        <w:gridCol w:w="850"/>
        <w:gridCol w:w="850"/>
        <w:gridCol w:w="850"/>
        <w:gridCol w:w="850"/>
        <w:gridCol w:w="850"/>
        <w:gridCol w:w="850"/>
        <w:gridCol w:w="850"/>
        <w:gridCol w:w="850"/>
      </w:tblGrid>
      <w:tr w:rsidR="00D004B1" w:rsidRPr="004608BF" w14:paraId="3496BE0D" w14:textId="77777777" w:rsidTr="004608BF">
        <w:trPr>
          <w:trHeight w:val="244"/>
        </w:trPr>
        <w:tc>
          <w:tcPr>
            <w:tcW w:w="1474" w:type="dxa"/>
            <w:tcBorders>
              <w:top w:val="nil"/>
              <w:left w:val="nil"/>
              <w:bottom w:val="nil"/>
              <w:right w:val="nil"/>
            </w:tcBorders>
            <w:shd w:val="clear" w:color="auto" w:fill="auto"/>
            <w:noWrap/>
            <w:vAlign w:val="bottom"/>
            <w:hideMark/>
          </w:tcPr>
          <w:p w14:paraId="075026C9" w14:textId="40F7A77B" w:rsidR="00D004B1" w:rsidRPr="00F43653" w:rsidRDefault="002C0DB3" w:rsidP="00D004B1">
            <w:pPr>
              <w:suppressAutoHyphens/>
              <w:autoSpaceDN w:val="0"/>
              <w:rPr>
                <w:rFonts w:ascii="Arial" w:eastAsia="Times New Roman" w:hAnsi="Arial" w:cs="Arial"/>
                <w:color w:val="000000" w:themeColor="text1"/>
                <w:sz w:val="14"/>
                <w:szCs w:val="14"/>
              </w:rPr>
            </w:pPr>
            <w:r w:rsidRPr="002C0DB3">
              <w:rPr>
                <w:rFonts w:ascii="Arial" w:eastAsia="Times New Roman" w:hAnsi="Arial" w:cs="Arial"/>
                <w:b/>
                <w:bCs/>
                <w:color w:val="000000" w:themeColor="text1"/>
                <w:sz w:val="14"/>
                <w:szCs w:val="14"/>
              </w:rPr>
              <w:t>30. rujna 202</w:t>
            </w:r>
            <w:r w:rsidR="009E5929">
              <w:rPr>
                <w:rFonts w:ascii="Arial" w:eastAsia="Times New Roman" w:hAnsi="Arial" w:cs="Arial"/>
                <w:b/>
                <w:bCs/>
                <w:color w:val="000000" w:themeColor="text1"/>
                <w:sz w:val="14"/>
                <w:szCs w:val="14"/>
              </w:rPr>
              <w:t>4</w:t>
            </w:r>
            <w:r w:rsidRPr="002C0DB3">
              <w:rPr>
                <w:rFonts w:ascii="Arial" w:eastAsia="Times New Roman" w:hAnsi="Arial" w:cs="Arial"/>
                <w:b/>
                <w:bCs/>
                <w:color w:val="000000" w:themeColor="text1"/>
                <w:sz w:val="14"/>
                <w:szCs w:val="14"/>
              </w:rPr>
              <w:t>.</w:t>
            </w:r>
          </w:p>
        </w:tc>
        <w:tc>
          <w:tcPr>
            <w:tcW w:w="850" w:type="dxa"/>
            <w:tcBorders>
              <w:top w:val="nil"/>
              <w:left w:val="nil"/>
              <w:bottom w:val="nil"/>
              <w:right w:val="nil"/>
            </w:tcBorders>
            <w:shd w:val="clear" w:color="auto" w:fill="auto"/>
            <w:noWrap/>
            <w:vAlign w:val="bottom"/>
            <w:hideMark/>
          </w:tcPr>
          <w:p w14:paraId="28EC9E40" w14:textId="77777777" w:rsidR="00D004B1" w:rsidRPr="00F43653" w:rsidRDefault="00D004B1" w:rsidP="00D004B1">
            <w:pPr>
              <w:suppressAutoHyphens/>
              <w:autoSpaceDN w:val="0"/>
              <w:rPr>
                <w:rFonts w:ascii="Arial" w:eastAsia="Times New Roman" w:hAnsi="Arial" w:cs="Arial"/>
                <w:color w:val="000000" w:themeColor="text1"/>
                <w:sz w:val="14"/>
                <w:szCs w:val="14"/>
              </w:rPr>
            </w:pPr>
          </w:p>
        </w:tc>
        <w:tc>
          <w:tcPr>
            <w:tcW w:w="850" w:type="dxa"/>
            <w:tcBorders>
              <w:top w:val="nil"/>
              <w:left w:val="nil"/>
              <w:bottom w:val="nil"/>
              <w:right w:val="nil"/>
            </w:tcBorders>
            <w:shd w:val="clear" w:color="auto" w:fill="auto"/>
            <w:noWrap/>
            <w:vAlign w:val="bottom"/>
            <w:hideMark/>
          </w:tcPr>
          <w:p w14:paraId="187FBDB1" w14:textId="77777777" w:rsidR="00D004B1" w:rsidRPr="00F43653" w:rsidRDefault="00D004B1" w:rsidP="00D004B1">
            <w:pPr>
              <w:suppressAutoHyphens/>
              <w:autoSpaceDN w:val="0"/>
              <w:jc w:val="right"/>
              <w:rPr>
                <w:rFonts w:ascii="Arial" w:eastAsia="Times New Roman" w:hAnsi="Arial" w:cs="Arial"/>
                <w:color w:val="000000" w:themeColor="text1"/>
                <w:sz w:val="14"/>
                <w:szCs w:val="14"/>
              </w:rPr>
            </w:pPr>
          </w:p>
        </w:tc>
        <w:tc>
          <w:tcPr>
            <w:tcW w:w="850" w:type="dxa"/>
            <w:tcBorders>
              <w:top w:val="nil"/>
              <w:left w:val="nil"/>
              <w:bottom w:val="nil"/>
              <w:right w:val="nil"/>
            </w:tcBorders>
            <w:shd w:val="clear" w:color="auto" w:fill="auto"/>
            <w:noWrap/>
            <w:vAlign w:val="bottom"/>
            <w:hideMark/>
          </w:tcPr>
          <w:p w14:paraId="779CEADE" w14:textId="77777777" w:rsidR="00D004B1" w:rsidRPr="00F43653" w:rsidRDefault="00D004B1" w:rsidP="00D004B1">
            <w:pPr>
              <w:suppressAutoHyphens/>
              <w:autoSpaceDN w:val="0"/>
              <w:jc w:val="right"/>
              <w:rPr>
                <w:rFonts w:ascii="Arial" w:eastAsia="Times New Roman" w:hAnsi="Arial" w:cs="Arial"/>
                <w:color w:val="000000" w:themeColor="text1"/>
                <w:sz w:val="14"/>
                <w:szCs w:val="14"/>
              </w:rPr>
            </w:pPr>
          </w:p>
        </w:tc>
        <w:tc>
          <w:tcPr>
            <w:tcW w:w="850" w:type="dxa"/>
            <w:tcBorders>
              <w:top w:val="nil"/>
              <w:left w:val="nil"/>
              <w:bottom w:val="nil"/>
              <w:right w:val="nil"/>
            </w:tcBorders>
            <w:vAlign w:val="bottom"/>
          </w:tcPr>
          <w:p w14:paraId="59EB2FFF" w14:textId="77777777" w:rsidR="00D004B1" w:rsidRPr="00F43653" w:rsidRDefault="00D004B1" w:rsidP="00D004B1">
            <w:pPr>
              <w:suppressAutoHyphens/>
              <w:autoSpaceDN w:val="0"/>
              <w:jc w:val="right"/>
              <w:rPr>
                <w:rFonts w:ascii="Arial" w:eastAsia="Times New Roman" w:hAnsi="Arial" w:cs="Arial"/>
                <w:b/>
                <w:bCs/>
                <w:color w:val="000000" w:themeColor="text1"/>
                <w:sz w:val="14"/>
                <w:szCs w:val="14"/>
              </w:rPr>
            </w:pPr>
          </w:p>
        </w:tc>
        <w:tc>
          <w:tcPr>
            <w:tcW w:w="850" w:type="dxa"/>
            <w:tcBorders>
              <w:top w:val="nil"/>
              <w:left w:val="nil"/>
              <w:bottom w:val="nil"/>
              <w:right w:val="nil"/>
            </w:tcBorders>
            <w:shd w:val="clear" w:color="auto" w:fill="auto"/>
            <w:noWrap/>
            <w:vAlign w:val="bottom"/>
            <w:hideMark/>
          </w:tcPr>
          <w:p w14:paraId="2E9D3276" w14:textId="77777777" w:rsidR="00D004B1" w:rsidRPr="00F43653" w:rsidRDefault="00D004B1" w:rsidP="00D004B1">
            <w:pPr>
              <w:suppressAutoHyphens/>
              <w:autoSpaceDN w:val="0"/>
              <w:jc w:val="right"/>
              <w:rPr>
                <w:rFonts w:ascii="Arial" w:eastAsia="Times New Roman" w:hAnsi="Arial" w:cs="Arial"/>
                <w:b/>
                <w:bCs/>
                <w:color w:val="000000" w:themeColor="text1"/>
                <w:sz w:val="14"/>
                <w:szCs w:val="14"/>
              </w:rPr>
            </w:pPr>
            <w:r w:rsidRPr="00F43653">
              <w:rPr>
                <w:rFonts w:ascii="Arial" w:eastAsia="Times New Roman" w:hAnsi="Arial" w:cs="Arial"/>
                <w:b/>
                <w:bCs/>
                <w:color w:val="000000" w:themeColor="text1"/>
                <w:sz w:val="14"/>
                <w:szCs w:val="14"/>
              </w:rPr>
              <w:t>Grupa</w:t>
            </w:r>
          </w:p>
        </w:tc>
        <w:tc>
          <w:tcPr>
            <w:tcW w:w="850" w:type="dxa"/>
            <w:tcBorders>
              <w:top w:val="nil"/>
              <w:left w:val="nil"/>
              <w:bottom w:val="nil"/>
              <w:right w:val="nil"/>
            </w:tcBorders>
            <w:shd w:val="clear" w:color="auto" w:fill="auto"/>
            <w:noWrap/>
            <w:vAlign w:val="bottom"/>
            <w:hideMark/>
          </w:tcPr>
          <w:p w14:paraId="5FA5B720" w14:textId="77777777" w:rsidR="00D004B1" w:rsidRPr="00F43653" w:rsidRDefault="00D004B1" w:rsidP="00D004B1">
            <w:pPr>
              <w:suppressAutoHyphens/>
              <w:autoSpaceDN w:val="0"/>
              <w:jc w:val="right"/>
              <w:rPr>
                <w:rFonts w:ascii="Arial" w:eastAsia="Times New Roman" w:hAnsi="Arial" w:cs="Arial"/>
                <w:b/>
                <w:bCs/>
                <w:color w:val="000000" w:themeColor="text1"/>
                <w:sz w:val="14"/>
                <w:szCs w:val="14"/>
              </w:rPr>
            </w:pPr>
          </w:p>
        </w:tc>
        <w:tc>
          <w:tcPr>
            <w:tcW w:w="850" w:type="dxa"/>
            <w:tcBorders>
              <w:top w:val="nil"/>
              <w:left w:val="nil"/>
              <w:bottom w:val="nil"/>
              <w:right w:val="nil"/>
            </w:tcBorders>
            <w:shd w:val="clear" w:color="auto" w:fill="auto"/>
            <w:noWrap/>
            <w:vAlign w:val="bottom"/>
            <w:hideMark/>
          </w:tcPr>
          <w:p w14:paraId="736F33CB" w14:textId="77777777" w:rsidR="00D004B1" w:rsidRPr="00F43653" w:rsidRDefault="00D004B1" w:rsidP="00D004B1">
            <w:pPr>
              <w:suppressAutoHyphens/>
              <w:autoSpaceDN w:val="0"/>
              <w:jc w:val="right"/>
              <w:rPr>
                <w:rFonts w:ascii="Arial" w:eastAsia="Times New Roman" w:hAnsi="Arial" w:cs="Arial"/>
                <w:color w:val="000000" w:themeColor="text1"/>
                <w:sz w:val="14"/>
                <w:szCs w:val="14"/>
              </w:rPr>
            </w:pPr>
          </w:p>
        </w:tc>
        <w:tc>
          <w:tcPr>
            <w:tcW w:w="850" w:type="dxa"/>
            <w:tcBorders>
              <w:top w:val="nil"/>
              <w:left w:val="nil"/>
              <w:bottom w:val="nil"/>
              <w:right w:val="nil"/>
            </w:tcBorders>
            <w:shd w:val="clear" w:color="auto" w:fill="auto"/>
            <w:noWrap/>
            <w:vAlign w:val="bottom"/>
            <w:hideMark/>
          </w:tcPr>
          <w:p w14:paraId="0C22E58A" w14:textId="77777777" w:rsidR="00D004B1" w:rsidRPr="00F43653" w:rsidRDefault="00D004B1" w:rsidP="00D004B1">
            <w:pPr>
              <w:suppressAutoHyphens/>
              <w:autoSpaceDN w:val="0"/>
              <w:jc w:val="right"/>
              <w:rPr>
                <w:rFonts w:ascii="Arial" w:eastAsia="Times New Roman" w:hAnsi="Arial" w:cs="Arial"/>
                <w:color w:val="000000" w:themeColor="text1"/>
                <w:sz w:val="14"/>
                <w:szCs w:val="14"/>
              </w:rPr>
            </w:pPr>
          </w:p>
        </w:tc>
        <w:tc>
          <w:tcPr>
            <w:tcW w:w="850" w:type="dxa"/>
            <w:tcBorders>
              <w:top w:val="nil"/>
              <w:left w:val="nil"/>
              <w:bottom w:val="nil"/>
              <w:right w:val="nil"/>
            </w:tcBorders>
            <w:vAlign w:val="bottom"/>
          </w:tcPr>
          <w:p w14:paraId="31CC9D1A" w14:textId="77777777" w:rsidR="00D004B1" w:rsidRPr="00F43653" w:rsidRDefault="00D004B1" w:rsidP="00D004B1">
            <w:pPr>
              <w:suppressAutoHyphens/>
              <w:autoSpaceDN w:val="0"/>
              <w:jc w:val="right"/>
              <w:rPr>
                <w:rFonts w:ascii="Arial" w:eastAsia="Times New Roman" w:hAnsi="Arial" w:cs="Arial"/>
                <w:b/>
                <w:bCs/>
                <w:color w:val="000000" w:themeColor="text1"/>
                <w:sz w:val="14"/>
                <w:szCs w:val="14"/>
              </w:rPr>
            </w:pPr>
          </w:p>
        </w:tc>
        <w:tc>
          <w:tcPr>
            <w:tcW w:w="850" w:type="dxa"/>
            <w:tcBorders>
              <w:top w:val="nil"/>
              <w:left w:val="nil"/>
              <w:bottom w:val="nil"/>
              <w:right w:val="nil"/>
            </w:tcBorders>
            <w:shd w:val="clear" w:color="auto" w:fill="auto"/>
            <w:noWrap/>
            <w:vAlign w:val="bottom"/>
            <w:hideMark/>
          </w:tcPr>
          <w:p w14:paraId="11B3AA3E" w14:textId="77777777" w:rsidR="00D004B1" w:rsidRPr="00F43653" w:rsidRDefault="00D004B1" w:rsidP="00D004B1">
            <w:pPr>
              <w:suppressAutoHyphens/>
              <w:autoSpaceDN w:val="0"/>
              <w:jc w:val="right"/>
              <w:rPr>
                <w:rFonts w:ascii="Arial" w:eastAsia="Times New Roman" w:hAnsi="Arial" w:cs="Arial"/>
                <w:b/>
                <w:bCs/>
                <w:color w:val="000000" w:themeColor="text1"/>
                <w:sz w:val="14"/>
                <w:szCs w:val="14"/>
              </w:rPr>
            </w:pPr>
            <w:r w:rsidRPr="00F43653">
              <w:rPr>
                <w:rFonts w:ascii="Arial" w:eastAsia="Times New Roman" w:hAnsi="Arial" w:cs="Arial"/>
                <w:b/>
                <w:bCs/>
                <w:color w:val="000000" w:themeColor="text1"/>
                <w:sz w:val="14"/>
                <w:szCs w:val="14"/>
              </w:rPr>
              <w:t>Banka</w:t>
            </w:r>
          </w:p>
        </w:tc>
      </w:tr>
      <w:tr w:rsidR="00D004B1" w:rsidRPr="004608BF" w14:paraId="3133793B" w14:textId="77777777" w:rsidTr="004608BF">
        <w:trPr>
          <w:trHeight w:val="288"/>
        </w:trPr>
        <w:tc>
          <w:tcPr>
            <w:tcW w:w="1474" w:type="dxa"/>
            <w:tcBorders>
              <w:top w:val="nil"/>
              <w:left w:val="nil"/>
              <w:bottom w:val="nil"/>
              <w:right w:val="nil"/>
            </w:tcBorders>
            <w:shd w:val="clear" w:color="auto" w:fill="auto"/>
            <w:noWrap/>
            <w:vAlign w:val="bottom"/>
            <w:hideMark/>
          </w:tcPr>
          <w:p w14:paraId="1605D50A" w14:textId="77777777" w:rsidR="00D004B1" w:rsidRPr="00F43653" w:rsidRDefault="00D004B1" w:rsidP="00D004B1">
            <w:pPr>
              <w:suppressAutoHyphens/>
              <w:autoSpaceDN w:val="0"/>
              <w:jc w:val="right"/>
              <w:rPr>
                <w:rFonts w:ascii="Arial" w:eastAsia="Times New Roman" w:hAnsi="Arial" w:cs="Arial"/>
                <w:b/>
                <w:bCs/>
                <w:color w:val="000000" w:themeColor="text1"/>
                <w:sz w:val="14"/>
                <w:szCs w:val="14"/>
              </w:rPr>
            </w:pPr>
          </w:p>
        </w:tc>
        <w:tc>
          <w:tcPr>
            <w:tcW w:w="850" w:type="dxa"/>
            <w:tcBorders>
              <w:top w:val="nil"/>
              <w:left w:val="nil"/>
              <w:bottom w:val="nil"/>
              <w:right w:val="nil"/>
            </w:tcBorders>
            <w:shd w:val="clear" w:color="auto" w:fill="auto"/>
            <w:noWrap/>
            <w:vAlign w:val="bottom"/>
            <w:hideMark/>
          </w:tcPr>
          <w:p w14:paraId="78CA8BB7" w14:textId="77777777" w:rsidR="00D004B1" w:rsidRPr="00F43653" w:rsidRDefault="00D004B1" w:rsidP="00D004B1">
            <w:pPr>
              <w:suppressAutoHyphens/>
              <w:autoSpaceDN w:val="0"/>
              <w:jc w:val="right"/>
              <w:rPr>
                <w:rFonts w:ascii="Arial" w:eastAsia="Times New Roman" w:hAnsi="Arial" w:cs="Arial"/>
                <w:b/>
                <w:bCs/>
                <w:color w:val="000000" w:themeColor="text1"/>
                <w:sz w:val="14"/>
                <w:szCs w:val="14"/>
              </w:rPr>
            </w:pPr>
            <w:r w:rsidRPr="00F43653">
              <w:rPr>
                <w:rFonts w:ascii="Arial" w:eastAsia="Times New Roman" w:hAnsi="Arial" w:cs="Arial"/>
                <w:b/>
                <w:bCs/>
                <w:color w:val="000000" w:themeColor="text1"/>
                <w:sz w:val="14"/>
                <w:szCs w:val="14"/>
              </w:rPr>
              <w:t>Stupanj 1</w:t>
            </w:r>
          </w:p>
        </w:tc>
        <w:tc>
          <w:tcPr>
            <w:tcW w:w="850" w:type="dxa"/>
            <w:tcBorders>
              <w:top w:val="nil"/>
              <w:left w:val="nil"/>
              <w:bottom w:val="nil"/>
              <w:right w:val="nil"/>
            </w:tcBorders>
            <w:shd w:val="clear" w:color="auto" w:fill="auto"/>
            <w:noWrap/>
            <w:vAlign w:val="bottom"/>
            <w:hideMark/>
          </w:tcPr>
          <w:p w14:paraId="0D5ED655" w14:textId="77777777" w:rsidR="00D004B1" w:rsidRPr="00F43653" w:rsidRDefault="00D004B1" w:rsidP="00D004B1">
            <w:pPr>
              <w:suppressAutoHyphens/>
              <w:autoSpaceDN w:val="0"/>
              <w:jc w:val="right"/>
              <w:rPr>
                <w:rFonts w:ascii="Arial" w:eastAsia="Times New Roman" w:hAnsi="Arial" w:cs="Arial"/>
                <w:b/>
                <w:bCs/>
                <w:color w:val="000000" w:themeColor="text1"/>
                <w:sz w:val="14"/>
                <w:szCs w:val="14"/>
              </w:rPr>
            </w:pPr>
            <w:r w:rsidRPr="00F43653">
              <w:rPr>
                <w:rFonts w:ascii="Arial" w:eastAsia="Times New Roman" w:hAnsi="Arial" w:cs="Arial"/>
                <w:b/>
                <w:bCs/>
                <w:color w:val="000000" w:themeColor="text1"/>
                <w:sz w:val="14"/>
                <w:szCs w:val="14"/>
              </w:rPr>
              <w:t>Stupanj 2</w:t>
            </w:r>
          </w:p>
        </w:tc>
        <w:tc>
          <w:tcPr>
            <w:tcW w:w="850" w:type="dxa"/>
            <w:tcBorders>
              <w:top w:val="nil"/>
              <w:left w:val="nil"/>
              <w:bottom w:val="nil"/>
              <w:right w:val="nil"/>
            </w:tcBorders>
            <w:shd w:val="clear" w:color="auto" w:fill="auto"/>
            <w:noWrap/>
            <w:vAlign w:val="bottom"/>
            <w:hideMark/>
          </w:tcPr>
          <w:p w14:paraId="0A512F42" w14:textId="77777777" w:rsidR="00D004B1" w:rsidRPr="00F43653" w:rsidRDefault="00D004B1" w:rsidP="00D004B1">
            <w:pPr>
              <w:suppressAutoHyphens/>
              <w:autoSpaceDN w:val="0"/>
              <w:jc w:val="right"/>
              <w:rPr>
                <w:rFonts w:ascii="Arial" w:eastAsia="Times New Roman" w:hAnsi="Arial" w:cs="Arial"/>
                <w:b/>
                <w:bCs/>
                <w:color w:val="000000" w:themeColor="text1"/>
                <w:sz w:val="14"/>
                <w:szCs w:val="14"/>
              </w:rPr>
            </w:pPr>
            <w:r w:rsidRPr="00F43653">
              <w:rPr>
                <w:rFonts w:ascii="Arial" w:eastAsia="Times New Roman" w:hAnsi="Arial" w:cs="Arial"/>
                <w:b/>
                <w:bCs/>
                <w:color w:val="000000" w:themeColor="text1"/>
                <w:sz w:val="14"/>
                <w:szCs w:val="14"/>
              </w:rPr>
              <w:t>Stupanj 3</w:t>
            </w:r>
          </w:p>
        </w:tc>
        <w:tc>
          <w:tcPr>
            <w:tcW w:w="850" w:type="dxa"/>
            <w:tcBorders>
              <w:top w:val="nil"/>
              <w:left w:val="nil"/>
              <w:bottom w:val="nil"/>
              <w:right w:val="nil"/>
            </w:tcBorders>
            <w:vAlign w:val="bottom"/>
          </w:tcPr>
          <w:p w14:paraId="678EA92D" w14:textId="77777777" w:rsidR="00D004B1" w:rsidRPr="00F43653" w:rsidRDefault="00D004B1" w:rsidP="00D004B1">
            <w:pPr>
              <w:suppressAutoHyphens/>
              <w:autoSpaceDN w:val="0"/>
              <w:jc w:val="right"/>
              <w:rPr>
                <w:rFonts w:ascii="Arial" w:eastAsia="Times New Roman" w:hAnsi="Arial" w:cs="Arial"/>
                <w:b/>
                <w:bCs/>
                <w:color w:val="000000" w:themeColor="text1"/>
                <w:sz w:val="14"/>
                <w:szCs w:val="14"/>
              </w:rPr>
            </w:pPr>
            <w:r w:rsidRPr="00F43653">
              <w:rPr>
                <w:rFonts w:ascii="Arial" w:eastAsia="Times New Roman" w:hAnsi="Arial" w:cs="Arial"/>
                <w:b/>
                <w:bCs/>
                <w:color w:val="000000" w:themeColor="text1"/>
                <w:sz w:val="14"/>
                <w:szCs w:val="14"/>
              </w:rPr>
              <w:t>POCI</w:t>
            </w:r>
          </w:p>
        </w:tc>
        <w:tc>
          <w:tcPr>
            <w:tcW w:w="850" w:type="dxa"/>
            <w:tcBorders>
              <w:top w:val="nil"/>
              <w:left w:val="nil"/>
              <w:bottom w:val="nil"/>
              <w:right w:val="nil"/>
            </w:tcBorders>
            <w:shd w:val="clear" w:color="auto" w:fill="auto"/>
            <w:noWrap/>
            <w:vAlign w:val="bottom"/>
            <w:hideMark/>
          </w:tcPr>
          <w:p w14:paraId="66FD1802" w14:textId="77777777" w:rsidR="00D004B1" w:rsidRPr="00F43653" w:rsidRDefault="00D004B1" w:rsidP="00D004B1">
            <w:pPr>
              <w:suppressAutoHyphens/>
              <w:autoSpaceDN w:val="0"/>
              <w:jc w:val="right"/>
              <w:rPr>
                <w:rFonts w:ascii="Arial" w:eastAsia="Times New Roman" w:hAnsi="Arial" w:cs="Arial"/>
                <w:b/>
                <w:bCs/>
                <w:color w:val="000000" w:themeColor="text1"/>
                <w:sz w:val="14"/>
                <w:szCs w:val="14"/>
              </w:rPr>
            </w:pPr>
            <w:r w:rsidRPr="00F43653">
              <w:rPr>
                <w:rFonts w:ascii="Arial" w:eastAsia="Times New Roman" w:hAnsi="Arial" w:cs="Arial"/>
                <w:b/>
                <w:bCs/>
                <w:color w:val="000000" w:themeColor="text1"/>
                <w:sz w:val="14"/>
                <w:szCs w:val="14"/>
              </w:rPr>
              <w:t>Ukupno</w:t>
            </w:r>
          </w:p>
        </w:tc>
        <w:tc>
          <w:tcPr>
            <w:tcW w:w="850" w:type="dxa"/>
            <w:tcBorders>
              <w:top w:val="nil"/>
              <w:left w:val="nil"/>
              <w:bottom w:val="nil"/>
              <w:right w:val="nil"/>
            </w:tcBorders>
            <w:shd w:val="clear" w:color="auto" w:fill="auto"/>
            <w:noWrap/>
            <w:vAlign w:val="bottom"/>
            <w:hideMark/>
          </w:tcPr>
          <w:p w14:paraId="168EFDD0" w14:textId="77777777" w:rsidR="00D004B1" w:rsidRPr="00F43653" w:rsidRDefault="00D004B1" w:rsidP="00D004B1">
            <w:pPr>
              <w:suppressAutoHyphens/>
              <w:autoSpaceDN w:val="0"/>
              <w:jc w:val="right"/>
              <w:rPr>
                <w:rFonts w:ascii="Arial" w:eastAsia="Times New Roman" w:hAnsi="Arial" w:cs="Arial"/>
                <w:b/>
                <w:bCs/>
                <w:color w:val="000000" w:themeColor="text1"/>
                <w:sz w:val="14"/>
                <w:szCs w:val="14"/>
              </w:rPr>
            </w:pPr>
            <w:r w:rsidRPr="00F43653">
              <w:rPr>
                <w:rFonts w:ascii="Arial" w:eastAsia="Times New Roman" w:hAnsi="Arial" w:cs="Arial"/>
                <w:b/>
                <w:bCs/>
                <w:color w:val="000000" w:themeColor="text1"/>
                <w:sz w:val="14"/>
                <w:szCs w:val="14"/>
              </w:rPr>
              <w:t>Stupanj 1</w:t>
            </w:r>
          </w:p>
        </w:tc>
        <w:tc>
          <w:tcPr>
            <w:tcW w:w="850" w:type="dxa"/>
            <w:tcBorders>
              <w:top w:val="nil"/>
              <w:left w:val="nil"/>
              <w:bottom w:val="nil"/>
              <w:right w:val="nil"/>
            </w:tcBorders>
            <w:shd w:val="clear" w:color="auto" w:fill="auto"/>
            <w:noWrap/>
            <w:vAlign w:val="bottom"/>
            <w:hideMark/>
          </w:tcPr>
          <w:p w14:paraId="06ABDC6C" w14:textId="77777777" w:rsidR="00D004B1" w:rsidRPr="00F43653" w:rsidRDefault="00D004B1" w:rsidP="00D004B1">
            <w:pPr>
              <w:suppressAutoHyphens/>
              <w:autoSpaceDN w:val="0"/>
              <w:jc w:val="right"/>
              <w:rPr>
                <w:rFonts w:ascii="Arial" w:eastAsia="Times New Roman" w:hAnsi="Arial" w:cs="Arial"/>
                <w:b/>
                <w:bCs/>
                <w:color w:val="000000" w:themeColor="text1"/>
                <w:sz w:val="14"/>
                <w:szCs w:val="14"/>
              </w:rPr>
            </w:pPr>
            <w:r w:rsidRPr="00F43653">
              <w:rPr>
                <w:rFonts w:ascii="Arial" w:eastAsia="Times New Roman" w:hAnsi="Arial" w:cs="Arial"/>
                <w:b/>
                <w:bCs/>
                <w:color w:val="000000" w:themeColor="text1"/>
                <w:sz w:val="14"/>
                <w:szCs w:val="14"/>
              </w:rPr>
              <w:t>Stupanj 2</w:t>
            </w:r>
          </w:p>
        </w:tc>
        <w:tc>
          <w:tcPr>
            <w:tcW w:w="850" w:type="dxa"/>
            <w:tcBorders>
              <w:top w:val="nil"/>
              <w:left w:val="nil"/>
              <w:bottom w:val="nil"/>
              <w:right w:val="nil"/>
            </w:tcBorders>
            <w:shd w:val="clear" w:color="auto" w:fill="auto"/>
            <w:noWrap/>
            <w:vAlign w:val="bottom"/>
            <w:hideMark/>
          </w:tcPr>
          <w:p w14:paraId="0A33D622" w14:textId="77777777" w:rsidR="00D004B1" w:rsidRPr="00F43653" w:rsidRDefault="00D004B1" w:rsidP="00D004B1">
            <w:pPr>
              <w:suppressAutoHyphens/>
              <w:autoSpaceDN w:val="0"/>
              <w:jc w:val="right"/>
              <w:rPr>
                <w:rFonts w:ascii="Arial" w:eastAsia="Times New Roman" w:hAnsi="Arial" w:cs="Arial"/>
                <w:b/>
                <w:bCs/>
                <w:color w:val="000000" w:themeColor="text1"/>
                <w:sz w:val="14"/>
                <w:szCs w:val="14"/>
              </w:rPr>
            </w:pPr>
            <w:r w:rsidRPr="00F43653">
              <w:rPr>
                <w:rFonts w:ascii="Arial" w:eastAsia="Times New Roman" w:hAnsi="Arial" w:cs="Arial"/>
                <w:b/>
                <w:bCs/>
                <w:color w:val="000000" w:themeColor="text1"/>
                <w:sz w:val="14"/>
                <w:szCs w:val="14"/>
              </w:rPr>
              <w:t>Stupanj 3</w:t>
            </w:r>
          </w:p>
        </w:tc>
        <w:tc>
          <w:tcPr>
            <w:tcW w:w="850" w:type="dxa"/>
            <w:tcBorders>
              <w:top w:val="nil"/>
              <w:left w:val="nil"/>
              <w:bottom w:val="nil"/>
              <w:right w:val="nil"/>
            </w:tcBorders>
            <w:vAlign w:val="bottom"/>
          </w:tcPr>
          <w:p w14:paraId="01AA80FD" w14:textId="77777777" w:rsidR="00D004B1" w:rsidRPr="00F43653" w:rsidRDefault="00D004B1" w:rsidP="00D004B1">
            <w:pPr>
              <w:suppressAutoHyphens/>
              <w:autoSpaceDN w:val="0"/>
              <w:jc w:val="right"/>
              <w:rPr>
                <w:rFonts w:ascii="Arial" w:eastAsia="Times New Roman" w:hAnsi="Arial" w:cs="Arial"/>
                <w:b/>
                <w:bCs/>
                <w:color w:val="000000" w:themeColor="text1"/>
                <w:sz w:val="14"/>
                <w:szCs w:val="14"/>
              </w:rPr>
            </w:pPr>
            <w:r w:rsidRPr="00F43653">
              <w:rPr>
                <w:rFonts w:ascii="Arial" w:eastAsia="Times New Roman" w:hAnsi="Arial" w:cs="Arial"/>
                <w:b/>
                <w:bCs/>
                <w:color w:val="000000" w:themeColor="text1"/>
                <w:sz w:val="14"/>
                <w:szCs w:val="14"/>
              </w:rPr>
              <w:t>POCI</w:t>
            </w:r>
          </w:p>
        </w:tc>
        <w:tc>
          <w:tcPr>
            <w:tcW w:w="850" w:type="dxa"/>
            <w:tcBorders>
              <w:top w:val="nil"/>
              <w:left w:val="nil"/>
              <w:bottom w:val="nil"/>
              <w:right w:val="nil"/>
            </w:tcBorders>
            <w:shd w:val="clear" w:color="auto" w:fill="auto"/>
            <w:noWrap/>
            <w:vAlign w:val="bottom"/>
            <w:hideMark/>
          </w:tcPr>
          <w:p w14:paraId="05232AF4" w14:textId="77777777" w:rsidR="00D004B1" w:rsidRPr="00F43653" w:rsidRDefault="00D004B1" w:rsidP="00D004B1">
            <w:pPr>
              <w:suppressAutoHyphens/>
              <w:autoSpaceDN w:val="0"/>
              <w:jc w:val="right"/>
              <w:rPr>
                <w:rFonts w:ascii="Arial" w:eastAsia="Times New Roman" w:hAnsi="Arial" w:cs="Arial"/>
                <w:b/>
                <w:bCs/>
                <w:color w:val="000000" w:themeColor="text1"/>
                <w:sz w:val="14"/>
                <w:szCs w:val="14"/>
              </w:rPr>
            </w:pPr>
            <w:r w:rsidRPr="00F43653">
              <w:rPr>
                <w:rFonts w:ascii="Arial" w:eastAsia="Times New Roman" w:hAnsi="Arial" w:cs="Arial"/>
                <w:b/>
                <w:bCs/>
                <w:color w:val="000000" w:themeColor="text1"/>
                <w:sz w:val="14"/>
                <w:szCs w:val="14"/>
              </w:rPr>
              <w:t>Ukupno</w:t>
            </w:r>
          </w:p>
        </w:tc>
      </w:tr>
      <w:tr w:rsidR="00757BF5" w:rsidRPr="004608BF" w14:paraId="6B7ED332" w14:textId="77777777" w:rsidTr="004608BF">
        <w:trPr>
          <w:trHeight w:val="288"/>
        </w:trPr>
        <w:tc>
          <w:tcPr>
            <w:tcW w:w="1474" w:type="dxa"/>
            <w:tcBorders>
              <w:top w:val="nil"/>
              <w:left w:val="nil"/>
              <w:bottom w:val="nil"/>
              <w:right w:val="nil"/>
            </w:tcBorders>
            <w:shd w:val="clear" w:color="auto" w:fill="auto"/>
            <w:noWrap/>
            <w:vAlign w:val="bottom"/>
          </w:tcPr>
          <w:p w14:paraId="7E67C8B0" w14:textId="77777777" w:rsidR="00757BF5" w:rsidRPr="00F43653" w:rsidRDefault="00757BF5" w:rsidP="00757BF5">
            <w:pPr>
              <w:suppressAutoHyphens/>
              <w:autoSpaceDN w:val="0"/>
              <w:jc w:val="right"/>
              <w:rPr>
                <w:rFonts w:ascii="Arial" w:eastAsia="Times New Roman" w:hAnsi="Arial" w:cs="Arial"/>
                <w:b/>
                <w:bCs/>
                <w:color w:val="000000" w:themeColor="text1"/>
                <w:sz w:val="14"/>
                <w:szCs w:val="14"/>
              </w:rPr>
            </w:pPr>
          </w:p>
        </w:tc>
        <w:tc>
          <w:tcPr>
            <w:tcW w:w="850" w:type="dxa"/>
            <w:tcBorders>
              <w:top w:val="nil"/>
              <w:left w:val="nil"/>
              <w:bottom w:val="nil"/>
              <w:right w:val="nil"/>
            </w:tcBorders>
            <w:shd w:val="clear" w:color="auto" w:fill="auto"/>
            <w:noWrap/>
            <w:vAlign w:val="bottom"/>
          </w:tcPr>
          <w:p w14:paraId="6E8B0ECE" w14:textId="77777777" w:rsidR="00757BF5" w:rsidRPr="00F43653" w:rsidRDefault="00757BF5" w:rsidP="00757BF5">
            <w:pPr>
              <w:suppressAutoHyphens/>
              <w:autoSpaceDN w:val="0"/>
              <w:jc w:val="right"/>
              <w:rPr>
                <w:rFonts w:ascii="Arial" w:eastAsia="Times New Roman" w:hAnsi="Arial" w:cs="Arial"/>
                <w:b/>
                <w:bCs/>
                <w:color w:val="000000" w:themeColor="text1"/>
                <w:sz w:val="14"/>
                <w:szCs w:val="14"/>
              </w:rPr>
            </w:pPr>
          </w:p>
        </w:tc>
        <w:tc>
          <w:tcPr>
            <w:tcW w:w="850" w:type="dxa"/>
            <w:tcBorders>
              <w:top w:val="nil"/>
              <w:left w:val="nil"/>
              <w:bottom w:val="nil"/>
              <w:right w:val="nil"/>
            </w:tcBorders>
            <w:shd w:val="clear" w:color="auto" w:fill="auto"/>
            <w:noWrap/>
            <w:vAlign w:val="bottom"/>
          </w:tcPr>
          <w:p w14:paraId="67C3F33D" w14:textId="77777777" w:rsidR="00757BF5" w:rsidRPr="00F43653" w:rsidRDefault="00757BF5" w:rsidP="00757BF5">
            <w:pPr>
              <w:suppressAutoHyphens/>
              <w:autoSpaceDN w:val="0"/>
              <w:jc w:val="right"/>
              <w:rPr>
                <w:rFonts w:ascii="Arial" w:eastAsia="Times New Roman" w:hAnsi="Arial" w:cs="Arial"/>
                <w:b/>
                <w:bCs/>
                <w:color w:val="000000" w:themeColor="text1"/>
                <w:sz w:val="14"/>
                <w:szCs w:val="14"/>
              </w:rPr>
            </w:pPr>
          </w:p>
        </w:tc>
        <w:tc>
          <w:tcPr>
            <w:tcW w:w="850" w:type="dxa"/>
            <w:tcBorders>
              <w:top w:val="nil"/>
              <w:left w:val="nil"/>
              <w:bottom w:val="nil"/>
              <w:right w:val="nil"/>
            </w:tcBorders>
            <w:shd w:val="clear" w:color="auto" w:fill="auto"/>
            <w:noWrap/>
            <w:vAlign w:val="bottom"/>
          </w:tcPr>
          <w:p w14:paraId="6357557B" w14:textId="77777777" w:rsidR="00757BF5" w:rsidRPr="00F43653" w:rsidRDefault="00757BF5" w:rsidP="00757BF5">
            <w:pPr>
              <w:suppressAutoHyphens/>
              <w:autoSpaceDN w:val="0"/>
              <w:jc w:val="right"/>
              <w:rPr>
                <w:rFonts w:ascii="Arial" w:eastAsia="Times New Roman" w:hAnsi="Arial" w:cs="Arial"/>
                <w:b/>
                <w:bCs/>
                <w:color w:val="000000" w:themeColor="text1"/>
                <w:sz w:val="14"/>
                <w:szCs w:val="14"/>
              </w:rPr>
            </w:pPr>
          </w:p>
        </w:tc>
        <w:tc>
          <w:tcPr>
            <w:tcW w:w="850" w:type="dxa"/>
            <w:tcBorders>
              <w:top w:val="nil"/>
              <w:left w:val="nil"/>
              <w:bottom w:val="nil"/>
              <w:right w:val="nil"/>
            </w:tcBorders>
            <w:vAlign w:val="bottom"/>
          </w:tcPr>
          <w:p w14:paraId="28774639" w14:textId="142B3228" w:rsidR="00757BF5" w:rsidRPr="00F43653" w:rsidRDefault="00757BF5" w:rsidP="00757BF5">
            <w:pPr>
              <w:suppressAutoHyphens/>
              <w:autoSpaceDN w:val="0"/>
              <w:jc w:val="right"/>
              <w:rPr>
                <w:rFonts w:ascii="Arial" w:eastAsia="Times New Roman" w:hAnsi="Arial" w:cs="Arial"/>
                <w:b/>
                <w:bCs/>
                <w:color w:val="000000" w:themeColor="text1"/>
                <w:sz w:val="14"/>
                <w:szCs w:val="14"/>
              </w:rPr>
            </w:pPr>
            <w:r w:rsidRPr="00D87D1A">
              <w:rPr>
                <w:rFonts w:ascii="Arial" w:hAnsi="Arial" w:cs="Arial"/>
                <w:b/>
                <w:bCs/>
                <w:color w:val="000000" w:themeColor="text1"/>
                <w:sz w:val="14"/>
                <w:szCs w:val="14"/>
              </w:rPr>
              <w:t>Stupanj 3</w:t>
            </w:r>
          </w:p>
        </w:tc>
        <w:tc>
          <w:tcPr>
            <w:tcW w:w="850" w:type="dxa"/>
            <w:tcBorders>
              <w:top w:val="nil"/>
              <w:left w:val="nil"/>
              <w:bottom w:val="nil"/>
              <w:right w:val="nil"/>
            </w:tcBorders>
            <w:shd w:val="clear" w:color="auto" w:fill="auto"/>
            <w:noWrap/>
            <w:vAlign w:val="bottom"/>
          </w:tcPr>
          <w:p w14:paraId="02CDB9D3" w14:textId="77777777" w:rsidR="00757BF5" w:rsidRPr="00F43653" w:rsidRDefault="00757BF5" w:rsidP="00757BF5">
            <w:pPr>
              <w:suppressAutoHyphens/>
              <w:autoSpaceDN w:val="0"/>
              <w:jc w:val="right"/>
              <w:rPr>
                <w:rFonts w:ascii="Arial" w:eastAsia="Times New Roman" w:hAnsi="Arial" w:cs="Arial"/>
                <w:b/>
                <w:bCs/>
                <w:color w:val="000000" w:themeColor="text1"/>
                <w:sz w:val="14"/>
                <w:szCs w:val="14"/>
              </w:rPr>
            </w:pPr>
          </w:p>
        </w:tc>
        <w:tc>
          <w:tcPr>
            <w:tcW w:w="850" w:type="dxa"/>
            <w:tcBorders>
              <w:top w:val="nil"/>
              <w:left w:val="nil"/>
              <w:bottom w:val="nil"/>
              <w:right w:val="nil"/>
            </w:tcBorders>
            <w:shd w:val="clear" w:color="auto" w:fill="auto"/>
            <w:noWrap/>
            <w:vAlign w:val="bottom"/>
          </w:tcPr>
          <w:p w14:paraId="295E8136" w14:textId="77777777" w:rsidR="00757BF5" w:rsidRPr="00F43653" w:rsidRDefault="00757BF5" w:rsidP="00757BF5">
            <w:pPr>
              <w:suppressAutoHyphens/>
              <w:autoSpaceDN w:val="0"/>
              <w:jc w:val="right"/>
              <w:rPr>
                <w:rFonts w:ascii="Arial" w:eastAsia="Times New Roman" w:hAnsi="Arial" w:cs="Arial"/>
                <w:b/>
                <w:bCs/>
                <w:color w:val="000000" w:themeColor="text1"/>
                <w:sz w:val="14"/>
                <w:szCs w:val="14"/>
              </w:rPr>
            </w:pPr>
          </w:p>
        </w:tc>
        <w:tc>
          <w:tcPr>
            <w:tcW w:w="850" w:type="dxa"/>
            <w:tcBorders>
              <w:top w:val="nil"/>
              <w:left w:val="nil"/>
              <w:bottom w:val="nil"/>
              <w:right w:val="nil"/>
            </w:tcBorders>
            <w:shd w:val="clear" w:color="auto" w:fill="auto"/>
            <w:noWrap/>
            <w:vAlign w:val="bottom"/>
          </w:tcPr>
          <w:p w14:paraId="298FB8E2" w14:textId="77777777" w:rsidR="00757BF5" w:rsidRPr="00F43653" w:rsidRDefault="00757BF5" w:rsidP="00757BF5">
            <w:pPr>
              <w:suppressAutoHyphens/>
              <w:autoSpaceDN w:val="0"/>
              <w:jc w:val="right"/>
              <w:rPr>
                <w:rFonts w:ascii="Arial" w:eastAsia="Times New Roman" w:hAnsi="Arial" w:cs="Arial"/>
                <w:b/>
                <w:bCs/>
                <w:color w:val="000000" w:themeColor="text1"/>
                <w:sz w:val="14"/>
                <w:szCs w:val="14"/>
              </w:rPr>
            </w:pPr>
          </w:p>
        </w:tc>
        <w:tc>
          <w:tcPr>
            <w:tcW w:w="850" w:type="dxa"/>
            <w:tcBorders>
              <w:top w:val="nil"/>
              <w:left w:val="nil"/>
              <w:bottom w:val="nil"/>
              <w:right w:val="nil"/>
            </w:tcBorders>
            <w:shd w:val="clear" w:color="auto" w:fill="auto"/>
            <w:noWrap/>
            <w:vAlign w:val="bottom"/>
          </w:tcPr>
          <w:p w14:paraId="09B46C6E" w14:textId="77777777" w:rsidR="00757BF5" w:rsidRPr="00F43653" w:rsidRDefault="00757BF5" w:rsidP="00757BF5">
            <w:pPr>
              <w:suppressAutoHyphens/>
              <w:autoSpaceDN w:val="0"/>
              <w:jc w:val="right"/>
              <w:rPr>
                <w:rFonts w:ascii="Arial" w:eastAsia="Times New Roman" w:hAnsi="Arial" w:cs="Arial"/>
                <w:b/>
                <w:bCs/>
                <w:color w:val="000000" w:themeColor="text1"/>
                <w:sz w:val="14"/>
                <w:szCs w:val="14"/>
              </w:rPr>
            </w:pPr>
          </w:p>
        </w:tc>
        <w:tc>
          <w:tcPr>
            <w:tcW w:w="850" w:type="dxa"/>
            <w:tcBorders>
              <w:top w:val="nil"/>
              <w:left w:val="nil"/>
              <w:bottom w:val="nil"/>
              <w:right w:val="nil"/>
            </w:tcBorders>
            <w:vAlign w:val="bottom"/>
          </w:tcPr>
          <w:p w14:paraId="69B05F85" w14:textId="5FA23EA3" w:rsidR="00757BF5" w:rsidRPr="00F43653" w:rsidRDefault="00757BF5" w:rsidP="00757BF5">
            <w:pPr>
              <w:suppressAutoHyphens/>
              <w:autoSpaceDN w:val="0"/>
              <w:jc w:val="right"/>
              <w:rPr>
                <w:rFonts w:ascii="Arial" w:eastAsia="Times New Roman" w:hAnsi="Arial" w:cs="Arial"/>
                <w:b/>
                <w:bCs/>
                <w:color w:val="000000" w:themeColor="text1"/>
                <w:sz w:val="14"/>
                <w:szCs w:val="14"/>
              </w:rPr>
            </w:pPr>
            <w:r w:rsidRPr="00D87D1A">
              <w:rPr>
                <w:rFonts w:ascii="Arial" w:hAnsi="Arial" w:cs="Arial"/>
                <w:b/>
                <w:bCs/>
                <w:color w:val="000000" w:themeColor="text1"/>
                <w:sz w:val="14"/>
                <w:szCs w:val="14"/>
              </w:rPr>
              <w:t>Stupanj 3</w:t>
            </w:r>
          </w:p>
        </w:tc>
        <w:tc>
          <w:tcPr>
            <w:tcW w:w="850" w:type="dxa"/>
            <w:tcBorders>
              <w:top w:val="nil"/>
              <w:left w:val="nil"/>
              <w:bottom w:val="nil"/>
              <w:right w:val="nil"/>
            </w:tcBorders>
            <w:shd w:val="clear" w:color="auto" w:fill="auto"/>
            <w:noWrap/>
            <w:vAlign w:val="bottom"/>
          </w:tcPr>
          <w:p w14:paraId="2E4D6DEC" w14:textId="77777777" w:rsidR="00757BF5" w:rsidRPr="00F43653" w:rsidRDefault="00757BF5" w:rsidP="00757BF5">
            <w:pPr>
              <w:suppressAutoHyphens/>
              <w:autoSpaceDN w:val="0"/>
              <w:jc w:val="right"/>
              <w:rPr>
                <w:rFonts w:ascii="Arial" w:eastAsia="Times New Roman" w:hAnsi="Arial" w:cs="Arial"/>
                <w:b/>
                <w:bCs/>
                <w:color w:val="000000" w:themeColor="text1"/>
                <w:sz w:val="14"/>
                <w:szCs w:val="14"/>
              </w:rPr>
            </w:pPr>
          </w:p>
        </w:tc>
      </w:tr>
      <w:tr w:rsidR="00757BF5" w:rsidRPr="004608BF" w14:paraId="3F95EB4B" w14:textId="77777777" w:rsidTr="004608BF">
        <w:trPr>
          <w:trHeight w:val="288"/>
        </w:trPr>
        <w:tc>
          <w:tcPr>
            <w:tcW w:w="1474" w:type="dxa"/>
            <w:tcBorders>
              <w:top w:val="nil"/>
              <w:left w:val="nil"/>
              <w:bottom w:val="nil"/>
              <w:right w:val="nil"/>
            </w:tcBorders>
            <w:shd w:val="clear" w:color="auto" w:fill="auto"/>
            <w:noWrap/>
            <w:vAlign w:val="bottom"/>
            <w:hideMark/>
          </w:tcPr>
          <w:p w14:paraId="1EBEABCF" w14:textId="77777777" w:rsidR="00757BF5" w:rsidRPr="00F43653" w:rsidRDefault="00757BF5" w:rsidP="00757BF5">
            <w:pPr>
              <w:suppressAutoHyphens/>
              <w:autoSpaceDN w:val="0"/>
              <w:jc w:val="right"/>
              <w:rPr>
                <w:rFonts w:ascii="Arial" w:eastAsia="Times New Roman" w:hAnsi="Arial" w:cs="Arial"/>
                <w:b/>
                <w:bCs/>
                <w:color w:val="000000" w:themeColor="text1"/>
                <w:sz w:val="14"/>
                <w:szCs w:val="14"/>
              </w:rPr>
            </w:pPr>
          </w:p>
        </w:tc>
        <w:tc>
          <w:tcPr>
            <w:tcW w:w="850" w:type="dxa"/>
            <w:tcBorders>
              <w:top w:val="nil"/>
              <w:left w:val="nil"/>
              <w:bottom w:val="nil"/>
              <w:right w:val="nil"/>
            </w:tcBorders>
            <w:shd w:val="clear" w:color="auto" w:fill="auto"/>
            <w:noWrap/>
            <w:vAlign w:val="bottom"/>
            <w:hideMark/>
          </w:tcPr>
          <w:p w14:paraId="13D1F78F" w14:textId="766395AD" w:rsidR="00757BF5" w:rsidRPr="00F43653" w:rsidRDefault="00757BF5" w:rsidP="00757BF5">
            <w:pPr>
              <w:suppressAutoHyphens/>
              <w:autoSpaceDN w:val="0"/>
              <w:jc w:val="right"/>
              <w:rPr>
                <w:rFonts w:ascii="Arial" w:eastAsia="Times New Roman" w:hAnsi="Arial" w:cs="Arial"/>
                <w:b/>
                <w:bCs/>
                <w:color w:val="000000" w:themeColor="text1"/>
                <w:sz w:val="14"/>
                <w:szCs w:val="14"/>
              </w:rPr>
            </w:pPr>
            <w:r w:rsidRPr="00F43653">
              <w:rPr>
                <w:rFonts w:ascii="Arial" w:eastAsia="Times New Roman" w:hAnsi="Arial" w:cs="Arial"/>
                <w:b/>
                <w:bCs/>
                <w:color w:val="000000" w:themeColor="text1"/>
                <w:sz w:val="14"/>
                <w:szCs w:val="14"/>
              </w:rPr>
              <w:t>000 eura</w:t>
            </w:r>
          </w:p>
        </w:tc>
        <w:tc>
          <w:tcPr>
            <w:tcW w:w="850" w:type="dxa"/>
            <w:tcBorders>
              <w:top w:val="nil"/>
              <w:left w:val="nil"/>
              <w:bottom w:val="nil"/>
              <w:right w:val="nil"/>
            </w:tcBorders>
            <w:shd w:val="clear" w:color="auto" w:fill="auto"/>
            <w:noWrap/>
            <w:vAlign w:val="bottom"/>
            <w:hideMark/>
          </w:tcPr>
          <w:p w14:paraId="7912F27D" w14:textId="64A8ADD9" w:rsidR="00757BF5" w:rsidRPr="00F43653" w:rsidRDefault="00757BF5" w:rsidP="00757BF5">
            <w:pPr>
              <w:suppressAutoHyphens/>
              <w:autoSpaceDN w:val="0"/>
              <w:jc w:val="right"/>
              <w:rPr>
                <w:rFonts w:ascii="Arial" w:eastAsia="Times New Roman" w:hAnsi="Arial" w:cs="Arial"/>
                <w:b/>
                <w:bCs/>
                <w:color w:val="000000" w:themeColor="text1"/>
                <w:sz w:val="14"/>
                <w:szCs w:val="14"/>
              </w:rPr>
            </w:pPr>
            <w:r w:rsidRPr="00F43653">
              <w:rPr>
                <w:rFonts w:ascii="Arial" w:eastAsia="Times New Roman" w:hAnsi="Arial" w:cs="Arial"/>
                <w:b/>
                <w:bCs/>
                <w:color w:val="000000" w:themeColor="text1"/>
                <w:sz w:val="14"/>
                <w:szCs w:val="14"/>
              </w:rPr>
              <w:t>000 eura</w:t>
            </w:r>
          </w:p>
        </w:tc>
        <w:tc>
          <w:tcPr>
            <w:tcW w:w="850" w:type="dxa"/>
            <w:tcBorders>
              <w:top w:val="nil"/>
              <w:left w:val="nil"/>
              <w:bottom w:val="nil"/>
              <w:right w:val="nil"/>
            </w:tcBorders>
            <w:shd w:val="clear" w:color="auto" w:fill="auto"/>
            <w:noWrap/>
            <w:vAlign w:val="bottom"/>
            <w:hideMark/>
          </w:tcPr>
          <w:p w14:paraId="66ED9D2E" w14:textId="5D030D85" w:rsidR="00757BF5" w:rsidRPr="00F43653" w:rsidRDefault="00757BF5" w:rsidP="00757BF5">
            <w:pPr>
              <w:suppressAutoHyphens/>
              <w:autoSpaceDN w:val="0"/>
              <w:jc w:val="right"/>
              <w:rPr>
                <w:rFonts w:ascii="Arial" w:eastAsia="Times New Roman" w:hAnsi="Arial" w:cs="Arial"/>
                <w:b/>
                <w:bCs/>
                <w:color w:val="000000" w:themeColor="text1"/>
                <w:sz w:val="14"/>
                <w:szCs w:val="14"/>
              </w:rPr>
            </w:pPr>
            <w:r w:rsidRPr="00F43653">
              <w:rPr>
                <w:rFonts w:ascii="Arial" w:eastAsia="Times New Roman" w:hAnsi="Arial" w:cs="Arial"/>
                <w:b/>
                <w:bCs/>
                <w:color w:val="000000" w:themeColor="text1"/>
                <w:sz w:val="14"/>
                <w:szCs w:val="14"/>
              </w:rPr>
              <w:t>000 eura</w:t>
            </w:r>
          </w:p>
        </w:tc>
        <w:tc>
          <w:tcPr>
            <w:tcW w:w="850" w:type="dxa"/>
            <w:tcBorders>
              <w:top w:val="nil"/>
              <w:left w:val="nil"/>
              <w:bottom w:val="nil"/>
              <w:right w:val="nil"/>
            </w:tcBorders>
            <w:vAlign w:val="bottom"/>
          </w:tcPr>
          <w:p w14:paraId="44B3E85E" w14:textId="52D9DCF7" w:rsidR="00757BF5" w:rsidRPr="00F43653" w:rsidRDefault="00757BF5" w:rsidP="00757BF5">
            <w:pPr>
              <w:suppressAutoHyphens/>
              <w:autoSpaceDN w:val="0"/>
              <w:jc w:val="right"/>
              <w:rPr>
                <w:rFonts w:ascii="Arial" w:eastAsia="Times New Roman" w:hAnsi="Arial" w:cs="Arial"/>
                <w:b/>
                <w:bCs/>
                <w:color w:val="000000" w:themeColor="text1"/>
                <w:sz w:val="14"/>
                <w:szCs w:val="14"/>
              </w:rPr>
            </w:pPr>
            <w:r w:rsidRPr="00F43653">
              <w:rPr>
                <w:rFonts w:ascii="Arial" w:eastAsia="Times New Roman" w:hAnsi="Arial" w:cs="Arial"/>
                <w:b/>
                <w:bCs/>
                <w:color w:val="000000" w:themeColor="text1"/>
                <w:sz w:val="14"/>
                <w:szCs w:val="14"/>
              </w:rPr>
              <w:t>000 eura</w:t>
            </w:r>
          </w:p>
        </w:tc>
        <w:tc>
          <w:tcPr>
            <w:tcW w:w="850" w:type="dxa"/>
            <w:tcBorders>
              <w:top w:val="nil"/>
              <w:left w:val="nil"/>
              <w:bottom w:val="nil"/>
              <w:right w:val="nil"/>
            </w:tcBorders>
            <w:shd w:val="clear" w:color="auto" w:fill="auto"/>
            <w:noWrap/>
            <w:vAlign w:val="bottom"/>
            <w:hideMark/>
          </w:tcPr>
          <w:p w14:paraId="44E64540" w14:textId="6B11DD03" w:rsidR="00757BF5" w:rsidRPr="00F43653" w:rsidRDefault="00757BF5" w:rsidP="00757BF5">
            <w:pPr>
              <w:suppressAutoHyphens/>
              <w:autoSpaceDN w:val="0"/>
              <w:jc w:val="right"/>
              <w:rPr>
                <w:rFonts w:ascii="Arial" w:eastAsia="Times New Roman" w:hAnsi="Arial" w:cs="Arial"/>
                <w:b/>
                <w:bCs/>
                <w:color w:val="000000" w:themeColor="text1"/>
                <w:sz w:val="14"/>
                <w:szCs w:val="14"/>
              </w:rPr>
            </w:pPr>
            <w:r w:rsidRPr="00F43653">
              <w:rPr>
                <w:rFonts w:ascii="Arial" w:eastAsia="Times New Roman" w:hAnsi="Arial" w:cs="Arial"/>
                <w:b/>
                <w:bCs/>
                <w:color w:val="000000" w:themeColor="text1"/>
                <w:sz w:val="14"/>
                <w:szCs w:val="14"/>
              </w:rPr>
              <w:t>000 eura</w:t>
            </w:r>
          </w:p>
        </w:tc>
        <w:tc>
          <w:tcPr>
            <w:tcW w:w="850" w:type="dxa"/>
            <w:tcBorders>
              <w:top w:val="nil"/>
              <w:left w:val="nil"/>
              <w:bottom w:val="nil"/>
              <w:right w:val="nil"/>
            </w:tcBorders>
            <w:shd w:val="clear" w:color="auto" w:fill="auto"/>
            <w:noWrap/>
            <w:vAlign w:val="bottom"/>
            <w:hideMark/>
          </w:tcPr>
          <w:p w14:paraId="50FB7FB1" w14:textId="0EBE6324" w:rsidR="00757BF5" w:rsidRPr="00F43653" w:rsidRDefault="00757BF5" w:rsidP="00757BF5">
            <w:pPr>
              <w:suppressAutoHyphens/>
              <w:autoSpaceDN w:val="0"/>
              <w:jc w:val="right"/>
              <w:rPr>
                <w:rFonts w:ascii="Arial" w:eastAsia="Times New Roman" w:hAnsi="Arial" w:cs="Arial"/>
                <w:b/>
                <w:bCs/>
                <w:color w:val="000000" w:themeColor="text1"/>
                <w:sz w:val="14"/>
                <w:szCs w:val="14"/>
              </w:rPr>
            </w:pPr>
            <w:r w:rsidRPr="00F43653">
              <w:rPr>
                <w:rFonts w:ascii="Arial" w:eastAsia="Times New Roman" w:hAnsi="Arial" w:cs="Arial"/>
                <w:b/>
                <w:bCs/>
                <w:color w:val="000000" w:themeColor="text1"/>
                <w:sz w:val="14"/>
                <w:szCs w:val="14"/>
              </w:rPr>
              <w:t>000 eura</w:t>
            </w:r>
          </w:p>
        </w:tc>
        <w:tc>
          <w:tcPr>
            <w:tcW w:w="850" w:type="dxa"/>
            <w:tcBorders>
              <w:top w:val="nil"/>
              <w:left w:val="nil"/>
              <w:bottom w:val="nil"/>
              <w:right w:val="nil"/>
            </w:tcBorders>
            <w:shd w:val="clear" w:color="auto" w:fill="auto"/>
            <w:noWrap/>
            <w:vAlign w:val="bottom"/>
            <w:hideMark/>
          </w:tcPr>
          <w:p w14:paraId="5B5E822A" w14:textId="221F1202" w:rsidR="00757BF5" w:rsidRPr="00F43653" w:rsidRDefault="00757BF5" w:rsidP="00757BF5">
            <w:pPr>
              <w:suppressAutoHyphens/>
              <w:autoSpaceDN w:val="0"/>
              <w:jc w:val="right"/>
              <w:rPr>
                <w:rFonts w:ascii="Arial" w:eastAsia="Times New Roman" w:hAnsi="Arial" w:cs="Arial"/>
                <w:b/>
                <w:bCs/>
                <w:color w:val="000000" w:themeColor="text1"/>
                <w:sz w:val="14"/>
                <w:szCs w:val="14"/>
              </w:rPr>
            </w:pPr>
            <w:r w:rsidRPr="00F43653">
              <w:rPr>
                <w:rFonts w:ascii="Arial" w:eastAsia="Times New Roman" w:hAnsi="Arial" w:cs="Arial"/>
                <w:b/>
                <w:bCs/>
                <w:color w:val="000000" w:themeColor="text1"/>
                <w:sz w:val="14"/>
                <w:szCs w:val="14"/>
              </w:rPr>
              <w:t>000 eura</w:t>
            </w:r>
          </w:p>
        </w:tc>
        <w:tc>
          <w:tcPr>
            <w:tcW w:w="850" w:type="dxa"/>
            <w:tcBorders>
              <w:top w:val="nil"/>
              <w:left w:val="nil"/>
              <w:bottom w:val="nil"/>
              <w:right w:val="nil"/>
            </w:tcBorders>
            <w:shd w:val="clear" w:color="auto" w:fill="auto"/>
            <w:noWrap/>
            <w:vAlign w:val="bottom"/>
            <w:hideMark/>
          </w:tcPr>
          <w:p w14:paraId="53B46F6E" w14:textId="0688128A" w:rsidR="00757BF5" w:rsidRPr="00F43653" w:rsidRDefault="00757BF5" w:rsidP="00757BF5">
            <w:pPr>
              <w:suppressAutoHyphens/>
              <w:autoSpaceDN w:val="0"/>
              <w:jc w:val="right"/>
              <w:rPr>
                <w:rFonts w:ascii="Arial" w:eastAsia="Times New Roman" w:hAnsi="Arial" w:cs="Arial"/>
                <w:b/>
                <w:bCs/>
                <w:color w:val="000000" w:themeColor="text1"/>
                <w:sz w:val="14"/>
                <w:szCs w:val="14"/>
              </w:rPr>
            </w:pPr>
            <w:r w:rsidRPr="00F43653">
              <w:rPr>
                <w:rFonts w:ascii="Arial" w:eastAsia="Times New Roman" w:hAnsi="Arial" w:cs="Arial"/>
                <w:b/>
                <w:bCs/>
                <w:color w:val="000000" w:themeColor="text1"/>
                <w:sz w:val="14"/>
                <w:szCs w:val="14"/>
              </w:rPr>
              <w:t>000 eura</w:t>
            </w:r>
          </w:p>
        </w:tc>
        <w:tc>
          <w:tcPr>
            <w:tcW w:w="850" w:type="dxa"/>
            <w:tcBorders>
              <w:top w:val="nil"/>
              <w:left w:val="nil"/>
              <w:bottom w:val="nil"/>
              <w:right w:val="nil"/>
            </w:tcBorders>
            <w:vAlign w:val="bottom"/>
          </w:tcPr>
          <w:p w14:paraId="4C23B78F" w14:textId="6EC7B178" w:rsidR="00757BF5" w:rsidRPr="00F43653" w:rsidRDefault="00757BF5" w:rsidP="00757BF5">
            <w:pPr>
              <w:suppressAutoHyphens/>
              <w:autoSpaceDN w:val="0"/>
              <w:jc w:val="right"/>
              <w:rPr>
                <w:rFonts w:ascii="Arial" w:eastAsia="Times New Roman" w:hAnsi="Arial" w:cs="Arial"/>
                <w:b/>
                <w:bCs/>
                <w:color w:val="000000" w:themeColor="text1"/>
                <w:sz w:val="14"/>
                <w:szCs w:val="14"/>
              </w:rPr>
            </w:pPr>
            <w:r w:rsidRPr="00F43653">
              <w:rPr>
                <w:rFonts w:ascii="Arial" w:eastAsia="Times New Roman" w:hAnsi="Arial" w:cs="Arial"/>
                <w:b/>
                <w:bCs/>
                <w:color w:val="000000" w:themeColor="text1"/>
                <w:sz w:val="14"/>
                <w:szCs w:val="14"/>
              </w:rPr>
              <w:t>000 eura</w:t>
            </w:r>
          </w:p>
        </w:tc>
        <w:tc>
          <w:tcPr>
            <w:tcW w:w="850" w:type="dxa"/>
            <w:tcBorders>
              <w:top w:val="nil"/>
              <w:left w:val="nil"/>
              <w:bottom w:val="nil"/>
              <w:right w:val="nil"/>
            </w:tcBorders>
            <w:shd w:val="clear" w:color="auto" w:fill="auto"/>
            <w:noWrap/>
            <w:vAlign w:val="bottom"/>
            <w:hideMark/>
          </w:tcPr>
          <w:p w14:paraId="1145D8AC" w14:textId="06B26573" w:rsidR="00757BF5" w:rsidRPr="00F43653" w:rsidRDefault="00757BF5" w:rsidP="00757BF5">
            <w:pPr>
              <w:suppressAutoHyphens/>
              <w:autoSpaceDN w:val="0"/>
              <w:jc w:val="right"/>
              <w:rPr>
                <w:rFonts w:ascii="Arial" w:eastAsia="Times New Roman" w:hAnsi="Arial" w:cs="Arial"/>
                <w:b/>
                <w:bCs/>
                <w:color w:val="000000" w:themeColor="text1"/>
                <w:sz w:val="14"/>
                <w:szCs w:val="14"/>
              </w:rPr>
            </w:pPr>
            <w:r w:rsidRPr="00F43653">
              <w:rPr>
                <w:rFonts w:ascii="Arial" w:eastAsia="Times New Roman" w:hAnsi="Arial" w:cs="Arial"/>
                <w:b/>
                <w:bCs/>
                <w:color w:val="000000" w:themeColor="text1"/>
                <w:sz w:val="14"/>
                <w:szCs w:val="14"/>
              </w:rPr>
              <w:t>000 eura</w:t>
            </w:r>
          </w:p>
        </w:tc>
      </w:tr>
      <w:tr w:rsidR="00757BF5" w:rsidRPr="004608BF" w14:paraId="61DEECC7" w14:textId="77777777" w:rsidTr="00E85017">
        <w:trPr>
          <w:trHeight w:val="333"/>
        </w:trPr>
        <w:tc>
          <w:tcPr>
            <w:tcW w:w="1474" w:type="dxa"/>
            <w:tcBorders>
              <w:top w:val="nil"/>
              <w:left w:val="nil"/>
              <w:bottom w:val="nil"/>
              <w:right w:val="nil"/>
            </w:tcBorders>
            <w:shd w:val="clear" w:color="auto" w:fill="auto"/>
            <w:noWrap/>
            <w:vAlign w:val="bottom"/>
            <w:hideMark/>
          </w:tcPr>
          <w:p w14:paraId="7570678C" w14:textId="77777777" w:rsidR="00757BF5" w:rsidRPr="00F43653" w:rsidRDefault="00757BF5" w:rsidP="00757BF5">
            <w:pPr>
              <w:suppressAutoHyphens/>
              <w:autoSpaceDN w:val="0"/>
              <w:rPr>
                <w:rFonts w:ascii="Arial" w:eastAsia="Times New Roman" w:hAnsi="Arial" w:cs="Arial"/>
                <w:color w:val="000000" w:themeColor="text1"/>
                <w:sz w:val="14"/>
                <w:szCs w:val="14"/>
              </w:rPr>
            </w:pPr>
            <w:r w:rsidRPr="00F43653">
              <w:rPr>
                <w:rFonts w:ascii="Arial" w:eastAsia="Times New Roman" w:hAnsi="Arial" w:cs="Arial"/>
                <w:color w:val="000000" w:themeColor="text1"/>
                <w:sz w:val="14"/>
                <w:szCs w:val="14"/>
              </w:rPr>
              <w:t>Bruto iznos</w:t>
            </w:r>
          </w:p>
        </w:tc>
        <w:tc>
          <w:tcPr>
            <w:tcW w:w="850" w:type="dxa"/>
            <w:tcBorders>
              <w:top w:val="nil"/>
              <w:left w:val="nil"/>
              <w:bottom w:val="nil"/>
              <w:right w:val="nil"/>
            </w:tcBorders>
            <w:shd w:val="clear" w:color="auto" w:fill="auto"/>
            <w:noWrap/>
            <w:vAlign w:val="bottom"/>
          </w:tcPr>
          <w:p w14:paraId="744154C0" w14:textId="1D6DD799" w:rsidR="00757BF5" w:rsidRPr="006B448C" w:rsidRDefault="00757BF5" w:rsidP="00757BF5">
            <w:pPr>
              <w:suppressAutoHyphens/>
              <w:autoSpaceDN w:val="0"/>
              <w:jc w:val="right"/>
              <w:rPr>
                <w:rFonts w:ascii="Arial" w:eastAsia="Times New Roman" w:hAnsi="Arial" w:cs="Arial"/>
                <w:sz w:val="14"/>
                <w:szCs w:val="14"/>
              </w:rPr>
            </w:pPr>
            <w:r w:rsidRPr="006B448C">
              <w:rPr>
                <w:rFonts w:ascii="Arial" w:hAnsi="Arial" w:cs="Arial"/>
                <w:sz w:val="14"/>
                <w:szCs w:val="14"/>
              </w:rPr>
              <w:t xml:space="preserve"> 1.934 </w:t>
            </w:r>
          </w:p>
        </w:tc>
        <w:tc>
          <w:tcPr>
            <w:tcW w:w="850" w:type="dxa"/>
            <w:tcBorders>
              <w:top w:val="nil"/>
              <w:left w:val="nil"/>
              <w:bottom w:val="nil"/>
              <w:right w:val="nil"/>
            </w:tcBorders>
            <w:shd w:val="clear" w:color="auto" w:fill="auto"/>
            <w:noWrap/>
            <w:vAlign w:val="bottom"/>
          </w:tcPr>
          <w:p w14:paraId="095D435D" w14:textId="19F4D310" w:rsidR="00757BF5" w:rsidRPr="006B448C" w:rsidRDefault="00757BF5" w:rsidP="00757BF5">
            <w:pPr>
              <w:suppressAutoHyphens/>
              <w:autoSpaceDN w:val="0"/>
              <w:jc w:val="right"/>
              <w:rPr>
                <w:rFonts w:ascii="Arial" w:eastAsia="Times New Roman" w:hAnsi="Arial" w:cs="Arial"/>
                <w:sz w:val="14"/>
                <w:szCs w:val="14"/>
              </w:rPr>
            </w:pPr>
            <w:r w:rsidRPr="006B448C">
              <w:rPr>
                <w:rFonts w:ascii="Arial" w:hAnsi="Arial" w:cs="Arial"/>
                <w:sz w:val="14"/>
                <w:szCs w:val="14"/>
              </w:rPr>
              <w:t xml:space="preserve"> 13 </w:t>
            </w:r>
          </w:p>
        </w:tc>
        <w:tc>
          <w:tcPr>
            <w:tcW w:w="850" w:type="dxa"/>
            <w:tcBorders>
              <w:top w:val="nil"/>
              <w:left w:val="nil"/>
              <w:bottom w:val="nil"/>
              <w:right w:val="nil"/>
            </w:tcBorders>
            <w:shd w:val="clear" w:color="auto" w:fill="auto"/>
            <w:noWrap/>
            <w:vAlign w:val="bottom"/>
          </w:tcPr>
          <w:p w14:paraId="59EDF2C4" w14:textId="6051D56B" w:rsidR="00757BF5" w:rsidRPr="006B448C" w:rsidRDefault="00757BF5" w:rsidP="00757BF5">
            <w:pPr>
              <w:suppressAutoHyphens/>
              <w:autoSpaceDN w:val="0"/>
              <w:jc w:val="right"/>
              <w:rPr>
                <w:rFonts w:ascii="Arial" w:eastAsia="Times New Roman" w:hAnsi="Arial" w:cs="Arial"/>
                <w:sz w:val="14"/>
                <w:szCs w:val="14"/>
              </w:rPr>
            </w:pPr>
            <w:r w:rsidRPr="006B448C">
              <w:rPr>
                <w:rFonts w:ascii="Arial" w:hAnsi="Arial" w:cs="Arial"/>
                <w:sz w:val="14"/>
                <w:szCs w:val="14"/>
              </w:rPr>
              <w:t xml:space="preserve"> 4.802 </w:t>
            </w:r>
          </w:p>
        </w:tc>
        <w:tc>
          <w:tcPr>
            <w:tcW w:w="850" w:type="dxa"/>
            <w:tcBorders>
              <w:top w:val="nil"/>
              <w:left w:val="nil"/>
              <w:bottom w:val="nil"/>
              <w:right w:val="nil"/>
            </w:tcBorders>
            <w:vAlign w:val="bottom"/>
          </w:tcPr>
          <w:p w14:paraId="18873AF2" w14:textId="3E754416" w:rsidR="00757BF5" w:rsidRPr="006B448C" w:rsidRDefault="00757BF5" w:rsidP="00757BF5">
            <w:pPr>
              <w:suppressAutoHyphens/>
              <w:autoSpaceDN w:val="0"/>
              <w:jc w:val="right"/>
              <w:rPr>
                <w:rFonts w:ascii="Arial" w:eastAsia="Times New Roman" w:hAnsi="Arial" w:cs="Arial"/>
                <w:sz w:val="14"/>
                <w:szCs w:val="14"/>
              </w:rPr>
            </w:pPr>
            <w:r w:rsidRPr="006B448C">
              <w:rPr>
                <w:rFonts w:ascii="Arial" w:hAnsi="Arial" w:cs="Arial"/>
                <w:sz w:val="14"/>
                <w:szCs w:val="14"/>
              </w:rPr>
              <w:t xml:space="preserve"> 42 </w:t>
            </w:r>
          </w:p>
        </w:tc>
        <w:tc>
          <w:tcPr>
            <w:tcW w:w="850" w:type="dxa"/>
            <w:tcBorders>
              <w:top w:val="nil"/>
              <w:left w:val="nil"/>
              <w:bottom w:val="nil"/>
              <w:right w:val="nil"/>
            </w:tcBorders>
            <w:shd w:val="clear" w:color="auto" w:fill="auto"/>
            <w:noWrap/>
            <w:vAlign w:val="bottom"/>
          </w:tcPr>
          <w:p w14:paraId="16ED256A" w14:textId="33C1CE25" w:rsidR="00757BF5" w:rsidRPr="00E85017" w:rsidRDefault="00757BF5" w:rsidP="00757BF5">
            <w:pPr>
              <w:suppressAutoHyphens/>
              <w:autoSpaceDN w:val="0"/>
              <w:jc w:val="right"/>
              <w:rPr>
                <w:rFonts w:ascii="Arial" w:eastAsia="Times New Roman" w:hAnsi="Arial" w:cs="Arial"/>
                <w:b/>
                <w:bCs/>
                <w:sz w:val="14"/>
                <w:szCs w:val="14"/>
              </w:rPr>
            </w:pPr>
            <w:r w:rsidRPr="00E85017">
              <w:rPr>
                <w:rFonts w:ascii="Arial" w:hAnsi="Arial" w:cs="Arial"/>
                <w:b/>
                <w:bCs/>
                <w:sz w:val="14"/>
                <w:szCs w:val="14"/>
              </w:rPr>
              <w:t xml:space="preserve"> 6.791 </w:t>
            </w:r>
          </w:p>
        </w:tc>
        <w:tc>
          <w:tcPr>
            <w:tcW w:w="850" w:type="dxa"/>
            <w:tcBorders>
              <w:top w:val="nil"/>
              <w:left w:val="nil"/>
              <w:bottom w:val="nil"/>
              <w:right w:val="nil"/>
            </w:tcBorders>
            <w:shd w:val="clear" w:color="auto" w:fill="auto"/>
            <w:noWrap/>
            <w:vAlign w:val="bottom"/>
          </w:tcPr>
          <w:p w14:paraId="22C122A2" w14:textId="3076BFAA" w:rsidR="00757BF5" w:rsidRPr="00DE38B0" w:rsidRDefault="00757BF5" w:rsidP="00757BF5">
            <w:pPr>
              <w:suppressAutoHyphens/>
              <w:autoSpaceDN w:val="0"/>
              <w:jc w:val="right"/>
              <w:rPr>
                <w:rFonts w:ascii="Arial" w:eastAsia="Times New Roman" w:hAnsi="Arial" w:cs="Arial"/>
                <w:sz w:val="14"/>
                <w:szCs w:val="14"/>
              </w:rPr>
            </w:pPr>
            <w:r w:rsidRPr="00DE38B0">
              <w:rPr>
                <w:rFonts w:ascii="Arial" w:hAnsi="Arial" w:cs="Arial"/>
                <w:sz w:val="14"/>
                <w:szCs w:val="14"/>
              </w:rPr>
              <w:t xml:space="preserve"> 1.279 </w:t>
            </w:r>
          </w:p>
        </w:tc>
        <w:tc>
          <w:tcPr>
            <w:tcW w:w="850" w:type="dxa"/>
            <w:tcBorders>
              <w:top w:val="nil"/>
              <w:left w:val="nil"/>
              <w:bottom w:val="nil"/>
              <w:right w:val="nil"/>
            </w:tcBorders>
            <w:shd w:val="clear" w:color="auto" w:fill="auto"/>
            <w:noWrap/>
            <w:vAlign w:val="bottom"/>
          </w:tcPr>
          <w:p w14:paraId="665A737F" w14:textId="56A3AF8D" w:rsidR="00757BF5" w:rsidRPr="00DE38B0" w:rsidRDefault="00757BF5" w:rsidP="00757BF5">
            <w:pPr>
              <w:suppressAutoHyphens/>
              <w:autoSpaceDN w:val="0"/>
              <w:jc w:val="right"/>
              <w:rPr>
                <w:rFonts w:ascii="Arial" w:eastAsia="Times New Roman" w:hAnsi="Arial" w:cs="Arial"/>
                <w:sz w:val="14"/>
                <w:szCs w:val="14"/>
              </w:rPr>
            </w:pPr>
            <w:r w:rsidRPr="00DE38B0">
              <w:rPr>
                <w:rFonts w:ascii="Arial" w:hAnsi="Arial" w:cs="Arial"/>
                <w:sz w:val="14"/>
                <w:szCs w:val="14"/>
              </w:rPr>
              <w:t xml:space="preserve"> 13 </w:t>
            </w:r>
          </w:p>
        </w:tc>
        <w:tc>
          <w:tcPr>
            <w:tcW w:w="850" w:type="dxa"/>
            <w:tcBorders>
              <w:top w:val="nil"/>
              <w:left w:val="nil"/>
              <w:bottom w:val="nil"/>
              <w:right w:val="nil"/>
            </w:tcBorders>
            <w:shd w:val="clear" w:color="auto" w:fill="auto"/>
            <w:noWrap/>
            <w:vAlign w:val="bottom"/>
          </w:tcPr>
          <w:p w14:paraId="370DB664" w14:textId="6092A969" w:rsidR="00757BF5" w:rsidRPr="00DE38B0" w:rsidRDefault="00757BF5" w:rsidP="00757BF5">
            <w:pPr>
              <w:suppressAutoHyphens/>
              <w:autoSpaceDN w:val="0"/>
              <w:jc w:val="right"/>
              <w:rPr>
                <w:rFonts w:ascii="Arial" w:eastAsia="Times New Roman" w:hAnsi="Arial" w:cs="Arial"/>
                <w:sz w:val="14"/>
                <w:szCs w:val="14"/>
              </w:rPr>
            </w:pPr>
            <w:r w:rsidRPr="00DE38B0">
              <w:rPr>
                <w:rFonts w:ascii="Arial" w:hAnsi="Arial" w:cs="Arial"/>
                <w:sz w:val="14"/>
                <w:szCs w:val="14"/>
              </w:rPr>
              <w:t xml:space="preserve"> 4.802 </w:t>
            </w:r>
          </w:p>
        </w:tc>
        <w:tc>
          <w:tcPr>
            <w:tcW w:w="850" w:type="dxa"/>
            <w:tcBorders>
              <w:top w:val="nil"/>
              <w:left w:val="nil"/>
              <w:bottom w:val="nil"/>
              <w:right w:val="nil"/>
            </w:tcBorders>
            <w:vAlign w:val="bottom"/>
          </w:tcPr>
          <w:p w14:paraId="241AD958" w14:textId="7579FE47" w:rsidR="00757BF5" w:rsidRPr="00DE38B0" w:rsidRDefault="00757BF5" w:rsidP="00757BF5">
            <w:pPr>
              <w:suppressAutoHyphens/>
              <w:autoSpaceDN w:val="0"/>
              <w:jc w:val="right"/>
              <w:rPr>
                <w:rFonts w:ascii="Arial" w:eastAsia="Times New Roman" w:hAnsi="Arial" w:cs="Arial"/>
                <w:sz w:val="14"/>
                <w:szCs w:val="14"/>
              </w:rPr>
            </w:pPr>
            <w:r w:rsidRPr="00DE38B0">
              <w:rPr>
                <w:rFonts w:ascii="Arial" w:hAnsi="Arial" w:cs="Arial"/>
                <w:sz w:val="14"/>
                <w:szCs w:val="14"/>
              </w:rPr>
              <w:t xml:space="preserve"> 42 </w:t>
            </w:r>
          </w:p>
        </w:tc>
        <w:tc>
          <w:tcPr>
            <w:tcW w:w="850" w:type="dxa"/>
            <w:tcBorders>
              <w:top w:val="nil"/>
              <w:left w:val="nil"/>
              <w:bottom w:val="nil"/>
              <w:right w:val="nil"/>
            </w:tcBorders>
            <w:shd w:val="clear" w:color="auto" w:fill="auto"/>
            <w:noWrap/>
            <w:vAlign w:val="bottom"/>
          </w:tcPr>
          <w:p w14:paraId="3510D598" w14:textId="641CE187" w:rsidR="00757BF5" w:rsidRPr="00E85017" w:rsidRDefault="00757BF5" w:rsidP="00757BF5">
            <w:pPr>
              <w:suppressAutoHyphens/>
              <w:autoSpaceDN w:val="0"/>
              <w:jc w:val="right"/>
              <w:rPr>
                <w:rFonts w:ascii="Arial" w:eastAsia="Times New Roman" w:hAnsi="Arial" w:cs="Arial"/>
                <w:b/>
                <w:bCs/>
                <w:sz w:val="14"/>
                <w:szCs w:val="14"/>
              </w:rPr>
            </w:pPr>
            <w:r w:rsidRPr="00E85017">
              <w:rPr>
                <w:rFonts w:ascii="Arial" w:hAnsi="Arial" w:cs="Arial"/>
                <w:b/>
                <w:bCs/>
                <w:sz w:val="14"/>
                <w:szCs w:val="14"/>
              </w:rPr>
              <w:t xml:space="preserve"> 6.136 </w:t>
            </w:r>
          </w:p>
        </w:tc>
      </w:tr>
      <w:tr w:rsidR="00757BF5" w:rsidRPr="004608BF" w14:paraId="2231BDF2" w14:textId="77777777" w:rsidTr="00E85017">
        <w:trPr>
          <w:trHeight w:val="337"/>
        </w:trPr>
        <w:tc>
          <w:tcPr>
            <w:tcW w:w="1474" w:type="dxa"/>
            <w:tcBorders>
              <w:top w:val="nil"/>
              <w:left w:val="nil"/>
              <w:bottom w:val="nil"/>
              <w:right w:val="nil"/>
            </w:tcBorders>
            <w:shd w:val="clear" w:color="auto" w:fill="auto"/>
            <w:noWrap/>
            <w:vAlign w:val="bottom"/>
            <w:hideMark/>
          </w:tcPr>
          <w:p w14:paraId="402E6FDA" w14:textId="77777777" w:rsidR="00757BF5" w:rsidRPr="00F43653" w:rsidRDefault="00757BF5" w:rsidP="00757BF5">
            <w:pPr>
              <w:suppressAutoHyphens/>
              <w:autoSpaceDN w:val="0"/>
              <w:rPr>
                <w:rFonts w:ascii="Arial" w:eastAsia="Times New Roman" w:hAnsi="Arial" w:cs="Arial"/>
                <w:color w:val="000000" w:themeColor="text1"/>
                <w:sz w:val="14"/>
                <w:szCs w:val="14"/>
              </w:rPr>
            </w:pPr>
            <w:r w:rsidRPr="00F43653">
              <w:rPr>
                <w:rFonts w:ascii="Arial" w:eastAsia="Times New Roman" w:hAnsi="Arial" w:cs="Arial"/>
                <w:color w:val="000000" w:themeColor="text1"/>
                <w:sz w:val="14"/>
                <w:szCs w:val="14"/>
              </w:rPr>
              <w:t>Rezerviranja</w:t>
            </w:r>
          </w:p>
        </w:tc>
        <w:tc>
          <w:tcPr>
            <w:tcW w:w="850" w:type="dxa"/>
            <w:tcBorders>
              <w:top w:val="nil"/>
              <w:left w:val="nil"/>
              <w:bottom w:val="nil"/>
              <w:right w:val="nil"/>
            </w:tcBorders>
            <w:shd w:val="clear" w:color="auto" w:fill="auto"/>
            <w:noWrap/>
            <w:vAlign w:val="bottom"/>
          </w:tcPr>
          <w:p w14:paraId="5085C4B4" w14:textId="2D0E263A" w:rsidR="00757BF5" w:rsidRPr="006B448C" w:rsidRDefault="00757BF5" w:rsidP="00757BF5">
            <w:pPr>
              <w:suppressAutoHyphens/>
              <w:autoSpaceDN w:val="0"/>
              <w:jc w:val="right"/>
              <w:rPr>
                <w:rFonts w:ascii="Arial" w:eastAsia="Times New Roman" w:hAnsi="Arial" w:cs="Arial"/>
                <w:sz w:val="14"/>
                <w:szCs w:val="14"/>
              </w:rPr>
            </w:pPr>
            <w:r w:rsidRPr="006B448C">
              <w:rPr>
                <w:rFonts w:ascii="Arial" w:hAnsi="Arial" w:cs="Arial"/>
                <w:sz w:val="14"/>
                <w:szCs w:val="14"/>
              </w:rPr>
              <w:t xml:space="preserve"> (30)</w:t>
            </w:r>
          </w:p>
        </w:tc>
        <w:tc>
          <w:tcPr>
            <w:tcW w:w="850" w:type="dxa"/>
            <w:tcBorders>
              <w:top w:val="nil"/>
              <w:left w:val="nil"/>
              <w:bottom w:val="nil"/>
              <w:right w:val="nil"/>
            </w:tcBorders>
            <w:shd w:val="clear" w:color="auto" w:fill="auto"/>
            <w:noWrap/>
            <w:vAlign w:val="bottom"/>
          </w:tcPr>
          <w:p w14:paraId="36D8044F" w14:textId="12DD4F2C" w:rsidR="00757BF5" w:rsidRPr="006B448C" w:rsidRDefault="00757BF5" w:rsidP="00757BF5">
            <w:pPr>
              <w:suppressAutoHyphens/>
              <w:autoSpaceDN w:val="0"/>
              <w:jc w:val="right"/>
              <w:rPr>
                <w:rFonts w:ascii="Arial" w:eastAsia="Times New Roman" w:hAnsi="Arial" w:cs="Arial"/>
                <w:sz w:val="14"/>
                <w:szCs w:val="14"/>
              </w:rPr>
            </w:pPr>
            <w:r w:rsidRPr="006B448C">
              <w:rPr>
                <w:rFonts w:ascii="Arial" w:hAnsi="Arial" w:cs="Arial"/>
                <w:sz w:val="14"/>
                <w:szCs w:val="14"/>
              </w:rPr>
              <w:t xml:space="preserve"> (2)</w:t>
            </w:r>
          </w:p>
        </w:tc>
        <w:tc>
          <w:tcPr>
            <w:tcW w:w="850" w:type="dxa"/>
            <w:tcBorders>
              <w:top w:val="nil"/>
              <w:left w:val="nil"/>
              <w:bottom w:val="nil"/>
              <w:right w:val="nil"/>
            </w:tcBorders>
            <w:shd w:val="clear" w:color="auto" w:fill="auto"/>
            <w:noWrap/>
            <w:vAlign w:val="bottom"/>
          </w:tcPr>
          <w:p w14:paraId="182A1927" w14:textId="4F330521" w:rsidR="00757BF5" w:rsidRPr="006B448C" w:rsidRDefault="00757BF5" w:rsidP="00757BF5">
            <w:pPr>
              <w:suppressAutoHyphens/>
              <w:autoSpaceDN w:val="0"/>
              <w:jc w:val="right"/>
              <w:rPr>
                <w:rFonts w:ascii="Arial" w:eastAsia="Times New Roman" w:hAnsi="Arial" w:cs="Arial"/>
                <w:sz w:val="14"/>
                <w:szCs w:val="14"/>
              </w:rPr>
            </w:pPr>
            <w:r w:rsidRPr="006B448C">
              <w:rPr>
                <w:rFonts w:ascii="Arial" w:hAnsi="Arial" w:cs="Arial"/>
                <w:sz w:val="14"/>
                <w:szCs w:val="14"/>
              </w:rPr>
              <w:t xml:space="preserve"> (4.650)</w:t>
            </w:r>
          </w:p>
        </w:tc>
        <w:tc>
          <w:tcPr>
            <w:tcW w:w="850" w:type="dxa"/>
            <w:tcBorders>
              <w:top w:val="nil"/>
              <w:left w:val="nil"/>
              <w:bottom w:val="nil"/>
              <w:right w:val="nil"/>
            </w:tcBorders>
            <w:vAlign w:val="bottom"/>
          </w:tcPr>
          <w:p w14:paraId="2213A777" w14:textId="73589B07" w:rsidR="00757BF5" w:rsidRPr="006B448C" w:rsidRDefault="00757BF5" w:rsidP="00757BF5">
            <w:pPr>
              <w:suppressAutoHyphens/>
              <w:autoSpaceDN w:val="0"/>
              <w:jc w:val="right"/>
              <w:rPr>
                <w:rFonts w:ascii="Arial" w:eastAsia="Times New Roman" w:hAnsi="Arial" w:cs="Arial"/>
                <w:sz w:val="14"/>
                <w:szCs w:val="14"/>
              </w:rPr>
            </w:pPr>
            <w:r w:rsidRPr="006B448C">
              <w:rPr>
                <w:rFonts w:ascii="Arial" w:hAnsi="Arial" w:cs="Arial"/>
                <w:sz w:val="14"/>
                <w:szCs w:val="14"/>
              </w:rPr>
              <w:t xml:space="preserve"> (35)</w:t>
            </w:r>
          </w:p>
        </w:tc>
        <w:tc>
          <w:tcPr>
            <w:tcW w:w="850" w:type="dxa"/>
            <w:tcBorders>
              <w:top w:val="nil"/>
              <w:left w:val="nil"/>
              <w:bottom w:val="nil"/>
              <w:right w:val="nil"/>
            </w:tcBorders>
            <w:shd w:val="clear" w:color="auto" w:fill="auto"/>
            <w:noWrap/>
            <w:vAlign w:val="bottom"/>
          </w:tcPr>
          <w:p w14:paraId="670C3FD8" w14:textId="294045CB" w:rsidR="00757BF5" w:rsidRPr="00E85017" w:rsidRDefault="00757BF5" w:rsidP="00757BF5">
            <w:pPr>
              <w:suppressAutoHyphens/>
              <w:autoSpaceDN w:val="0"/>
              <w:jc w:val="right"/>
              <w:rPr>
                <w:rFonts w:ascii="Arial" w:eastAsia="Times New Roman" w:hAnsi="Arial" w:cs="Arial"/>
                <w:b/>
                <w:bCs/>
                <w:sz w:val="14"/>
                <w:szCs w:val="14"/>
              </w:rPr>
            </w:pPr>
            <w:r w:rsidRPr="00E85017">
              <w:rPr>
                <w:rFonts w:ascii="Arial" w:hAnsi="Arial" w:cs="Arial"/>
                <w:b/>
                <w:bCs/>
                <w:sz w:val="14"/>
                <w:szCs w:val="14"/>
              </w:rPr>
              <w:t xml:space="preserve"> (4.717)</w:t>
            </w:r>
          </w:p>
        </w:tc>
        <w:tc>
          <w:tcPr>
            <w:tcW w:w="850" w:type="dxa"/>
            <w:tcBorders>
              <w:top w:val="nil"/>
              <w:left w:val="nil"/>
              <w:bottom w:val="nil"/>
              <w:right w:val="nil"/>
            </w:tcBorders>
            <w:shd w:val="clear" w:color="auto" w:fill="auto"/>
            <w:noWrap/>
            <w:vAlign w:val="bottom"/>
          </w:tcPr>
          <w:p w14:paraId="5BFA2379" w14:textId="4304DC13" w:rsidR="00757BF5" w:rsidRPr="00DE38B0" w:rsidRDefault="00757BF5" w:rsidP="00757BF5">
            <w:pPr>
              <w:suppressAutoHyphens/>
              <w:autoSpaceDN w:val="0"/>
              <w:jc w:val="right"/>
              <w:rPr>
                <w:rFonts w:ascii="Arial" w:eastAsia="Times New Roman" w:hAnsi="Arial" w:cs="Arial"/>
                <w:sz w:val="14"/>
                <w:szCs w:val="14"/>
              </w:rPr>
            </w:pPr>
            <w:r w:rsidRPr="00DE38B0">
              <w:rPr>
                <w:rFonts w:ascii="Arial" w:hAnsi="Arial" w:cs="Arial"/>
                <w:sz w:val="14"/>
                <w:szCs w:val="14"/>
              </w:rPr>
              <w:t xml:space="preserve"> (2)</w:t>
            </w:r>
          </w:p>
        </w:tc>
        <w:tc>
          <w:tcPr>
            <w:tcW w:w="850" w:type="dxa"/>
            <w:tcBorders>
              <w:top w:val="nil"/>
              <w:left w:val="nil"/>
              <w:bottom w:val="nil"/>
              <w:right w:val="nil"/>
            </w:tcBorders>
            <w:shd w:val="clear" w:color="auto" w:fill="auto"/>
            <w:noWrap/>
            <w:vAlign w:val="bottom"/>
          </w:tcPr>
          <w:p w14:paraId="262FC947" w14:textId="2C7B8B30" w:rsidR="00757BF5" w:rsidRPr="00DE38B0" w:rsidRDefault="00757BF5" w:rsidP="00757BF5">
            <w:pPr>
              <w:suppressAutoHyphens/>
              <w:autoSpaceDN w:val="0"/>
              <w:jc w:val="right"/>
              <w:rPr>
                <w:rFonts w:ascii="Arial" w:eastAsia="Times New Roman" w:hAnsi="Arial" w:cs="Arial"/>
                <w:sz w:val="14"/>
                <w:szCs w:val="14"/>
              </w:rPr>
            </w:pPr>
            <w:r w:rsidRPr="00DE38B0">
              <w:rPr>
                <w:rFonts w:ascii="Arial" w:hAnsi="Arial" w:cs="Arial"/>
                <w:sz w:val="14"/>
                <w:szCs w:val="14"/>
              </w:rPr>
              <w:t xml:space="preserve"> (2)</w:t>
            </w:r>
          </w:p>
        </w:tc>
        <w:tc>
          <w:tcPr>
            <w:tcW w:w="850" w:type="dxa"/>
            <w:tcBorders>
              <w:top w:val="nil"/>
              <w:left w:val="nil"/>
              <w:bottom w:val="nil"/>
              <w:right w:val="nil"/>
            </w:tcBorders>
            <w:shd w:val="clear" w:color="auto" w:fill="auto"/>
            <w:noWrap/>
            <w:vAlign w:val="bottom"/>
          </w:tcPr>
          <w:p w14:paraId="124966FD" w14:textId="1A977274" w:rsidR="00757BF5" w:rsidRPr="00DE38B0" w:rsidRDefault="00757BF5" w:rsidP="00757BF5">
            <w:pPr>
              <w:suppressAutoHyphens/>
              <w:autoSpaceDN w:val="0"/>
              <w:jc w:val="right"/>
              <w:rPr>
                <w:rFonts w:ascii="Arial" w:eastAsia="Times New Roman" w:hAnsi="Arial" w:cs="Arial"/>
                <w:sz w:val="14"/>
                <w:szCs w:val="14"/>
              </w:rPr>
            </w:pPr>
            <w:r w:rsidRPr="00DE38B0">
              <w:rPr>
                <w:rFonts w:ascii="Arial" w:hAnsi="Arial" w:cs="Arial"/>
                <w:sz w:val="14"/>
                <w:szCs w:val="14"/>
              </w:rPr>
              <w:t xml:space="preserve"> (4.650)</w:t>
            </w:r>
          </w:p>
        </w:tc>
        <w:tc>
          <w:tcPr>
            <w:tcW w:w="850" w:type="dxa"/>
            <w:tcBorders>
              <w:top w:val="nil"/>
              <w:left w:val="nil"/>
              <w:bottom w:val="nil"/>
              <w:right w:val="nil"/>
            </w:tcBorders>
            <w:vAlign w:val="bottom"/>
          </w:tcPr>
          <w:p w14:paraId="2500A23F" w14:textId="3F0E8097" w:rsidR="00757BF5" w:rsidRPr="00DE38B0" w:rsidRDefault="00757BF5" w:rsidP="00757BF5">
            <w:pPr>
              <w:suppressAutoHyphens/>
              <w:autoSpaceDN w:val="0"/>
              <w:jc w:val="right"/>
              <w:rPr>
                <w:rFonts w:ascii="Arial" w:eastAsia="Times New Roman" w:hAnsi="Arial" w:cs="Arial"/>
                <w:sz w:val="14"/>
                <w:szCs w:val="14"/>
              </w:rPr>
            </w:pPr>
            <w:r w:rsidRPr="00DE38B0">
              <w:rPr>
                <w:rFonts w:ascii="Arial" w:hAnsi="Arial" w:cs="Arial"/>
                <w:sz w:val="14"/>
                <w:szCs w:val="14"/>
              </w:rPr>
              <w:t xml:space="preserve"> (35)</w:t>
            </w:r>
          </w:p>
        </w:tc>
        <w:tc>
          <w:tcPr>
            <w:tcW w:w="850" w:type="dxa"/>
            <w:tcBorders>
              <w:top w:val="nil"/>
              <w:left w:val="nil"/>
              <w:bottom w:val="nil"/>
              <w:right w:val="nil"/>
            </w:tcBorders>
            <w:shd w:val="clear" w:color="auto" w:fill="auto"/>
            <w:noWrap/>
            <w:vAlign w:val="bottom"/>
          </w:tcPr>
          <w:p w14:paraId="245D166B" w14:textId="2A680064" w:rsidR="00757BF5" w:rsidRPr="00E85017" w:rsidRDefault="00757BF5" w:rsidP="00757BF5">
            <w:pPr>
              <w:suppressAutoHyphens/>
              <w:autoSpaceDN w:val="0"/>
              <w:jc w:val="right"/>
              <w:rPr>
                <w:rFonts w:ascii="Arial" w:eastAsia="Times New Roman" w:hAnsi="Arial" w:cs="Arial"/>
                <w:b/>
                <w:bCs/>
                <w:sz w:val="14"/>
                <w:szCs w:val="14"/>
              </w:rPr>
            </w:pPr>
            <w:r w:rsidRPr="00E85017">
              <w:rPr>
                <w:rFonts w:ascii="Arial" w:hAnsi="Arial" w:cs="Arial"/>
                <w:b/>
                <w:bCs/>
                <w:sz w:val="14"/>
                <w:szCs w:val="14"/>
              </w:rPr>
              <w:t xml:space="preserve"> (4.689)</w:t>
            </w:r>
          </w:p>
        </w:tc>
      </w:tr>
      <w:tr w:rsidR="00757BF5" w:rsidRPr="004608BF" w14:paraId="65F4CB76" w14:textId="77777777" w:rsidTr="00E85017">
        <w:trPr>
          <w:trHeight w:val="503"/>
        </w:trPr>
        <w:tc>
          <w:tcPr>
            <w:tcW w:w="1474" w:type="dxa"/>
            <w:tcBorders>
              <w:top w:val="nil"/>
              <w:left w:val="nil"/>
              <w:bottom w:val="nil"/>
              <w:right w:val="nil"/>
            </w:tcBorders>
            <w:shd w:val="clear" w:color="auto" w:fill="auto"/>
            <w:noWrap/>
            <w:vAlign w:val="bottom"/>
            <w:hideMark/>
          </w:tcPr>
          <w:p w14:paraId="6950B3CB" w14:textId="77777777" w:rsidR="00757BF5" w:rsidRPr="00F43653" w:rsidRDefault="00757BF5" w:rsidP="00757BF5">
            <w:pPr>
              <w:suppressAutoHyphens/>
              <w:autoSpaceDN w:val="0"/>
              <w:rPr>
                <w:rFonts w:ascii="Arial" w:eastAsia="Times New Roman" w:hAnsi="Arial" w:cs="Arial"/>
                <w:b/>
                <w:bCs/>
                <w:color w:val="000000" w:themeColor="text1"/>
                <w:sz w:val="14"/>
                <w:szCs w:val="14"/>
              </w:rPr>
            </w:pPr>
            <w:r w:rsidRPr="00F43653">
              <w:rPr>
                <w:rFonts w:ascii="Arial" w:eastAsia="Times New Roman" w:hAnsi="Arial" w:cs="Arial"/>
                <w:b/>
                <w:bCs/>
                <w:color w:val="000000" w:themeColor="text1"/>
                <w:sz w:val="14"/>
                <w:szCs w:val="14"/>
              </w:rPr>
              <w:t xml:space="preserve">Stanje na dan </w:t>
            </w:r>
          </w:p>
          <w:p w14:paraId="580E6C81" w14:textId="09A6877B" w:rsidR="00757BF5" w:rsidRPr="00F43653" w:rsidRDefault="00757BF5" w:rsidP="00757BF5">
            <w:pPr>
              <w:suppressAutoHyphens/>
              <w:autoSpaceDN w:val="0"/>
              <w:rPr>
                <w:rFonts w:ascii="Arial" w:eastAsia="Times New Roman" w:hAnsi="Arial" w:cs="Arial"/>
                <w:b/>
                <w:bCs/>
                <w:color w:val="000000" w:themeColor="text1"/>
                <w:sz w:val="14"/>
                <w:szCs w:val="14"/>
              </w:rPr>
            </w:pPr>
            <w:r w:rsidRPr="002C0DB3">
              <w:rPr>
                <w:rFonts w:ascii="Arial" w:eastAsia="Times New Roman" w:hAnsi="Arial" w:cs="Arial"/>
                <w:b/>
                <w:bCs/>
                <w:color w:val="000000" w:themeColor="text1"/>
                <w:sz w:val="14"/>
                <w:szCs w:val="14"/>
              </w:rPr>
              <w:t>30. rujna 202</w:t>
            </w:r>
            <w:r>
              <w:rPr>
                <w:rFonts w:ascii="Arial" w:eastAsia="Times New Roman" w:hAnsi="Arial" w:cs="Arial"/>
                <w:b/>
                <w:bCs/>
                <w:color w:val="000000" w:themeColor="text1"/>
                <w:sz w:val="14"/>
                <w:szCs w:val="14"/>
              </w:rPr>
              <w:t>4</w:t>
            </w:r>
            <w:r w:rsidRPr="002C0DB3">
              <w:rPr>
                <w:rFonts w:ascii="Arial" w:eastAsia="Times New Roman" w:hAnsi="Arial" w:cs="Arial"/>
                <w:b/>
                <w:bCs/>
                <w:color w:val="000000" w:themeColor="text1"/>
                <w:sz w:val="14"/>
                <w:szCs w:val="14"/>
              </w:rPr>
              <w:t>.</w:t>
            </w:r>
          </w:p>
        </w:tc>
        <w:tc>
          <w:tcPr>
            <w:tcW w:w="850" w:type="dxa"/>
            <w:tcBorders>
              <w:top w:val="single" w:sz="4" w:space="0" w:color="auto"/>
              <w:left w:val="nil"/>
              <w:bottom w:val="single" w:sz="12" w:space="0" w:color="auto"/>
              <w:right w:val="nil"/>
            </w:tcBorders>
            <w:shd w:val="clear" w:color="auto" w:fill="auto"/>
            <w:noWrap/>
            <w:vAlign w:val="bottom"/>
          </w:tcPr>
          <w:p w14:paraId="3C657112" w14:textId="21C2461A" w:rsidR="00757BF5" w:rsidRPr="00E85017" w:rsidRDefault="00757BF5" w:rsidP="00757BF5">
            <w:pPr>
              <w:jc w:val="right"/>
              <w:rPr>
                <w:rFonts w:ascii="Arial" w:eastAsia="Times New Roman" w:hAnsi="Arial" w:cs="Arial"/>
                <w:b/>
                <w:bCs/>
                <w:sz w:val="14"/>
                <w:szCs w:val="14"/>
              </w:rPr>
            </w:pPr>
            <w:r w:rsidRPr="00E85017">
              <w:rPr>
                <w:rFonts w:ascii="Arial" w:hAnsi="Arial" w:cs="Arial"/>
                <w:b/>
                <w:bCs/>
                <w:sz w:val="14"/>
                <w:szCs w:val="14"/>
              </w:rPr>
              <w:t xml:space="preserve"> 1.904 </w:t>
            </w:r>
          </w:p>
        </w:tc>
        <w:tc>
          <w:tcPr>
            <w:tcW w:w="850" w:type="dxa"/>
            <w:tcBorders>
              <w:top w:val="single" w:sz="4" w:space="0" w:color="auto"/>
              <w:left w:val="nil"/>
              <w:bottom w:val="single" w:sz="12" w:space="0" w:color="auto"/>
              <w:right w:val="nil"/>
            </w:tcBorders>
            <w:shd w:val="clear" w:color="auto" w:fill="auto"/>
            <w:noWrap/>
            <w:vAlign w:val="bottom"/>
          </w:tcPr>
          <w:p w14:paraId="1AAFA213" w14:textId="3508269E" w:rsidR="00757BF5" w:rsidRPr="00E85017" w:rsidRDefault="00757BF5" w:rsidP="00757BF5">
            <w:pPr>
              <w:suppressAutoHyphens/>
              <w:autoSpaceDN w:val="0"/>
              <w:jc w:val="right"/>
              <w:rPr>
                <w:rFonts w:ascii="Arial" w:eastAsia="Times New Roman" w:hAnsi="Arial" w:cs="Arial"/>
                <w:b/>
                <w:bCs/>
                <w:sz w:val="14"/>
                <w:szCs w:val="14"/>
              </w:rPr>
            </w:pPr>
            <w:r w:rsidRPr="00E85017">
              <w:rPr>
                <w:rFonts w:ascii="Arial" w:hAnsi="Arial" w:cs="Arial"/>
                <w:b/>
                <w:bCs/>
                <w:sz w:val="14"/>
                <w:szCs w:val="14"/>
              </w:rPr>
              <w:t xml:space="preserve"> 11 </w:t>
            </w:r>
          </w:p>
        </w:tc>
        <w:tc>
          <w:tcPr>
            <w:tcW w:w="850" w:type="dxa"/>
            <w:tcBorders>
              <w:top w:val="single" w:sz="4" w:space="0" w:color="auto"/>
              <w:left w:val="nil"/>
              <w:bottom w:val="single" w:sz="12" w:space="0" w:color="auto"/>
              <w:right w:val="nil"/>
            </w:tcBorders>
            <w:shd w:val="clear" w:color="auto" w:fill="auto"/>
            <w:noWrap/>
            <w:vAlign w:val="bottom"/>
          </w:tcPr>
          <w:p w14:paraId="5EE960E8" w14:textId="14BE46B4" w:rsidR="00757BF5" w:rsidRPr="00E85017" w:rsidRDefault="00757BF5" w:rsidP="00757BF5">
            <w:pPr>
              <w:suppressAutoHyphens/>
              <w:autoSpaceDN w:val="0"/>
              <w:jc w:val="right"/>
              <w:rPr>
                <w:rFonts w:ascii="Arial" w:eastAsia="Times New Roman" w:hAnsi="Arial" w:cs="Arial"/>
                <w:b/>
                <w:bCs/>
                <w:sz w:val="14"/>
                <w:szCs w:val="14"/>
              </w:rPr>
            </w:pPr>
            <w:r w:rsidRPr="00E85017">
              <w:rPr>
                <w:rFonts w:ascii="Arial" w:hAnsi="Arial" w:cs="Arial"/>
                <w:b/>
                <w:bCs/>
                <w:sz w:val="14"/>
                <w:szCs w:val="14"/>
              </w:rPr>
              <w:t xml:space="preserve"> 152 </w:t>
            </w:r>
          </w:p>
        </w:tc>
        <w:tc>
          <w:tcPr>
            <w:tcW w:w="850" w:type="dxa"/>
            <w:tcBorders>
              <w:top w:val="single" w:sz="4" w:space="0" w:color="auto"/>
              <w:left w:val="nil"/>
              <w:bottom w:val="single" w:sz="12" w:space="0" w:color="auto"/>
              <w:right w:val="nil"/>
            </w:tcBorders>
            <w:vAlign w:val="bottom"/>
          </w:tcPr>
          <w:p w14:paraId="3A37925A" w14:textId="62AB2FEB" w:rsidR="00757BF5" w:rsidRPr="00E85017" w:rsidRDefault="00757BF5" w:rsidP="00757BF5">
            <w:pPr>
              <w:suppressAutoHyphens/>
              <w:autoSpaceDN w:val="0"/>
              <w:jc w:val="right"/>
              <w:rPr>
                <w:rFonts w:ascii="Arial" w:eastAsia="Times New Roman" w:hAnsi="Arial" w:cs="Arial"/>
                <w:b/>
                <w:bCs/>
                <w:sz w:val="14"/>
                <w:szCs w:val="14"/>
              </w:rPr>
            </w:pPr>
            <w:r w:rsidRPr="00E85017">
              <w:rPr>
                <w:rFonts w:ascii="Arial" w:hAnsi="Arial" w:cs="Arial"/>
                <w:b/>
                <w:bCs/>
                <w:sz w:val="14"/>
                <w:szCs w:val="14"/>
              </w:rPr>
              <w:t xml:space="preserve"> 7 </w:t>
            </w:r>
          </w:p>
        </w:tc>
        <w:tc>
          <w:tcPr>
            <w:tcW w:w="850" w:type="dxa"/>
            <w:tcBorders>
              <w:top w:val="single" w:sz="4" w:space="0" w:color="auto"/>
              <w:left w:val="nil"/>
              <w:bottom w:val="single" w:sz="12" w:space="0" w:color="auto"/>
              <w:right w:val="nil"/>
            </w:tcBorders>
            <w:shd w:val="clear" w:color="auto" w:fill="auto"/>
            <w:noWrap/>
            <w:vAlign w:val="bottom"/>
          </w:tcPr>
          <w:p w14:paraId="00F65A05" w14:textId="5C5A43FA" w:rsidR="00757BF5" w:rsidRPr="00E85017" w:rsidRDefault="00757BF5" w:rsidP="00757BF5">
            <w:pPr>
              <w:suppressAutoHyphens/>
              <w:autoSpaceDN w:val="0"/>
              <w:jc w:val="right"/>
              <w:rPr>
                <w:rFonts w:ascii="Arial" w:eastAsia="Times New Roman" w:hAnsi="Arial" w:cs="Arial"/>
                <w:b/>
                <w:bCs/>
                <w:sz w:val="14"/>
                <w:szCs w:val="14"/>
              </w:rPr>
            </w:pPr>
            <w:r w:rsidRPr="00E85017">
              <w:rPr>
                <w:rFonts w:ascii="Arial" w:hAnsi="Arial" w:cs="Arial"/>
                <w:b/>
                <w:bCs/>
                <w:sz w:val="14"/>
                <w:szCs w:val="14"/>
              </w:rPr>
              <w:t xml:space="preserve"> 2.074 </w:t>
            </w:r>
          </w:p>
        </w:tc>
        <w:tc>
          <w:tcPr>
            <w:tcW w:w="850" w:type="dxa"/>
            <w:tcBorders>
              <w:top w:val="single" w:sz="4" w:space="0" w:color="auto"/>
              <w:left w:val="nil"/>
              <w:bottom w:val="single" w:sz="12" w:space="0" w:color="auto"/>
              <w:right w:val="nil"/>
            </w:tcBorders>
            <w:shd w:val="clear" w:color="auto" w:fill="auto"/>
            <w:noWrap/>
            <w:vAlign w:val="bottom"/>
          </w:tcPr>
          <w:p w14:paraId="05E824B2" w14:textId="72E3C681" w:rsidR="00757BF5" w:rsidRPr="00E85017" w:rsidRDefault="00757BF5" w:rsidP="00757BF5">
            <w:pPr>
              <w:suppressAutoHyphens/>
              <w:autoSpaceDN w:val="0"/>
              <w:jc w:val="right"/>
              <w:rPr>
                <w:rFonts w:ascii="Arial" w:eastAsia="Times New Roman" w:hAnsi="Arial" w:cs="Arial"/>
                <w:b/>
                <w:bCs/>
                <w:sz w:val="14"/>
                <w:szCs w:val="14"/>
              </w:rPr>
            </w:pPr>
            <w:r w:rsidRPr="00E85017">
              <w:rPr>
                <w:rFonts w:ascii="Arial" w:hAnsi="Arial" w:cs="Arial"/>
                <w:b/>
                <w:bCs/>
                <w:sz w:val="14"/>
                <w:szCs w:val="14"/>
              </w:rPr>
              <w:t xml:space="preserve"> 1.277 </w:t>
            </w:r>
          </w:p>
        </w:tc>
        <w:tc>
          <w:tcPr>
            <w:tcW w:w="850" w:type="dxa"/>
            <w:tcBorders>
              <w:top w:val="single" w:sz="4" w:space="0" w:color="auto"/>
              <w:left w:val="nil"/>
              <w:bottom w:val="single" w:sz="12" w:space="0" w:color="auto"/>
              <w:right w:val="nil"/>
            </w:tcBorders>
            <w:shd w:val="clear" w:color="auto" w:fill="auto"/>
            <w:noWrap/>
            <w:vAlign w:val="bottom"/>
          </w:tcPr>
          <w:p w14:paraId="35D480F4" w14:textId="27433C53" w:rsidR="00757BF5" w:rsidRPr="00E85017" w:rsidRDefault="00757BF5" w:rsidP="00757BF5">
            <w:pPr>
              <w:suppressAutoHyphens/>
              <w:autoSpaceDN w:val="0"/>
              <w:jc w:val="right"/>
              <w:rPr>
                <w:rFonts w:ascii="Arial" w:eastAsia="Times New Roman" w:hAnsi="Arial" w:cs="Arial"/>
                <w:b/>
                <w:bCs/>
                <w:sz w:val="14"/>
                <w:szCs w:val="14"/>
              </w:rPr>
            </w:pPr>
            <w:r w:rsidRPr="00E85017">
              <w:rPr>
                <w:rFonts w:ascii="Arial" w:hAnsi="Arial" w:cs="Arial"/>
                <w:b/>
                <w:bCs/>
                <w:sz w:val="14"/>
                <w:szCs w:val="14"/>
              </w:rPr>
              <w:t xml:space="preserve"> 11 </w:t>
            </w:r>
          </w:p>
        </w:tc>
        <w:tc>
          <w:tcPr>
            <w:tcW w:w="850" w:type="dxa"/>
            <w:tcBorders>
              <w:top w:val="single" w:sz="4" w:space="0" w:color="auto"/>
              <w:left w:val="nil"/>
              <w:bottom w:val="single" w:sz="12" w:space="0" w:color="auto"/>
              <w:right w:val="nil"/>
            </w:tcBorders>
            <w:shd w:val="clear" w:color="auto" w:fill="auto"/>
            <w:noWrap/>
            <w:vAlign w:val="bottom"/>
          </w:tcPr>
          <w:p w14:paraId="3463F022" w14:textId="596E0090" w:rsidR="00757BF5" w:rsidRPr="00E85017" w:rsidRDefault="00757BF5" w:rsidP="00757BF5">
            <w:pPr>
              <w:suppressAutoHyphens/>
              <w:autoSpaceDN w:val="0"/>
              <w:jc w:val="right"/>
              <w:rPr>
                <w:rFonts w:ascii="Arial" w:eastAsia="Times New Roman" w:hAnsi="Arial" w:cs="Arial"/>
                <w:b/>
                <w:bCs/>
                <w:sz w:val="14"/>
                <w:szCs w:val="14"/>
              </w:rPr>
            </w:pPr>
            <w:r w:rsidRPr="00E85017">
              <w:rPr>
                <w:rFonts w:ascii="Arial" w:hAnsi="Arial" w:cs="Arial"/>
                <w:b/>
                <w:bCs/>
                <w:sz w:val="14"/>
                <w:szCs w:val="14"/>
              </w:rPr>
              <w:t xml:space="preserve"> 152 </w:t>
            </w:r>
          </w:p>
        </w:tc>
        <w:tc>
          <w:tcPr>
            <w:tcW w:w="850" w:type="dxa"/>
            <w:tcBorders>
              <w:top w:val="single" w:sz="4" w:space="0" w:color="auto"/>
              <w:left w:val="nil"/>
              <w:bottom w:val="single" w:sz="12" w:space="0" w:color="auto"/>
              <w:right w:val="nil"/>
            </w:tcBorders>
            <w:vAlign w:val="bottom"/>
          </w:tcPr>
          <w:p w14:paraId="79001A9F" w14:textId="6C1867EE" w:rsidR="00757BF5" w:rsidRPr="00E85017" w:rsidRDefault="00757BF5" w:rsidP="00757BF5">
            <w:pPr>
              <w:suppressAutoHyphens/>
              <w:autoSpaceDN w:val="0"/>
              <w:jc w:val="right"/>
              <w:rPr>
                <w:rFonts w:ascii="Arial" w:eastAsia="Times New Roman" w:hAnsi="Arial" w:cs="Arial"/>
                <w:b/>
                <w:bCs/>
                <w:sz w:val="14"/>
                <w:szCs w:val="14"/>
              </w:rPr>
            </w:pPr>
            <w:r w:rsidRPr="00E85017">
              <w:rPr>
                <w:rFonts w:ascii="Arial" w:hAnsi="Arial" w:cs="Arial"/>
                <w:b/>
                <w:bCs/>
                <w:sz w:val="14"/>
                <w:szCs w:val="14"/>
              </w:rPr>
              <w:t xml:space="preserve"> 7 </w:t>
            </w:r>
          </w:p>
        </w:tc>
        <w:tc>
          <w:tcPr>
            <w:tcW w:w="850" w:type="dxa"/>
            <w:tcBorders>
              <w:top w:val="single" w:sz="4" w:space="0" w:color="auto"/>
              <w:left w:val="nil"/>
              <w:bottom w:val="single" w:sz="12" w:space="0" w:color="auto"/>
              <w:right w:val="nil"/>
            </w:tcBorders>
            <w:shd w:val="clear" w:color="auto" w:fill="auto"/>
            <w:noWrap/>
            <w:vAlign w:val="bottom"/>
          </w:tcPr>
          <w:p w14:paraId="140A308A" w14:textId="7F580A92" w:rsidR="00757BF5" w:rsidRPr="00E85017" w:rsidRDefault="00757BF5" w:rsidP="00757BF5">
            <w:pPr>
              <w:suppressAutoHyphens/>
              <w:autoSpaceDN w:val="0"/>
              <w:jc w:val="right"/>
              <w:rPr>
                <w:rFonts w:ascii="Arial" w:eastAsia="Times New Roman" w:hAnsi="Arial" w:cs="Arial"/>
                <w:b/>
                <w:bCs/>
                <w:sz w:val="14"/>
                <w:szCs w:val="14"/>
              </w:rPr>
            </w:pPr>
            <w:r w:rsidRPr="00E85017">
              <w:rPr>
                <w:rFonts w:ascii="Arial" w:hAnsi="Arial" w:cs="Arial"/>
                <w:b/>
                <w:bCs/>
                <w:sz w:val="14"/>
                <w:szCs w:val="14"/>
              </w:rPr>
              <w:t xml:space="preserve"> 1.447 </w:t>
            </w:r>
          </w:p>
        </w:tc>
      </w:tr>
    </w:tbl>
    <w:p w14:paraId="1FA23458" w14:textId="77777777" w:rsidR="00D004B1" w:rsidRPr="003D1614" w:rsidRDefault="00D004B1" w:rsidP="001B247D">
      <w:pPr>
        <w:suppressAutoHyphens/>
        <w:autoSpaceDN w:val="0"/>
        <w:jc w:val="both"/>
        <w:outlineLvl w:val="0"/>
        <w:rPr>
          <w:rFonts w:ascii="Arial" w:eastAsia="Calibri" w:hAnsi="Arial" w:cs="Arial"/>
          <w:bCs/>
          <w:color w:val="000000" w:themeColor="text1"/>
          <w:sz w:val="20"/>
          <w:szCs w:val="20"/>
        </w:rPr>
      </w:pPr>
    </w:p>
    <w:p w14:paraId="5FCB9958" w14:textId="25618C54" w:rsidR="00D004B1" w:rsidRPr="003D1614" w:rsidRDefault="00D004B1" w:rsidP="001B247D">
      <w:pPr>
        <w:suppressAutoHyphens/>
        <w:autoSpaceDN w:val="0"/>
        <w:jc w:val="both"/>
        <w:outlineLvl w:val="0"/>
        <w:rPr>
          <w:rFonts w:ascii="Arial" w:eastAsia="Calibri" w:hAnsi="Arial" w:cs="Arial"/>
          <w:bCs/>
          <w:color w:val="000000" w:themeColor="text1"/>
          <w:sz w:val="20"/>
          <w:szCs w:val="20"/>
        </w:rPr>
      </w:pPr>
    </w:p>
    <w:p w14:paraId="2A512A44" w14:textId="0F7AE10F" w:rsidR="00D004B1" w:rsidRPr="003D1614" w:rsidRDefault="00D004B1" w:rsidP="001B247D">
      <w:pPr>
        <w:suppressAutoHyphens/>
        <w:autoSpaceDN w:val="0"/>
        <w:jc w:val="both"/>
        <w:outlineLvl w:val="0"/>
        <w:rPr>
          <w:rFonts w:ascii="Arial" w:eastAsia="Calibri" w:hAnsi="Arial" w:cs="Arial"/>
          <w:bCs/>
          <w:color w:val="000000" w:themeColor="text1"/>
          <w:sz w:val="20"/>
          <w:szCs w:val="20"/>
        </w:rPr>
      </w:pPr>
    </w:p>
    <w:tbl>
      <w:tblPr>
        <w:tblW w:w="10031" w:type="dxa"/>
        <w:tblInd w:w="-426" w:type="dxa"/>
        <w:tblLayout w:type="fixed"/>
        <w:tblLook w:val="04A0" w:firstRow="1" w:lastRow="0" w:firstColumn="1" w:lastColumn="0" w:noHBand="0" w:noVBand="1"/>
      </w:tblPr>
      <w:tblGrid>
        <w:gridCol w:w="1531"/>
        <w:gridCol w:w="850"/>
        <w:gridCol w:w="850"/>
        <w:gridCol w:w="850"/>
        <w:gridCol w:w="850"/>
        <w:gridCol w:w="850"/>
        <w:gridCol w:w="850"/>
        <w:gridCol w:w="850"/>
        <w:gridCol w:w="850"/>
        <w:gridCol w:w="850"/>
        <w:gridCol w:w="850"/>
      </w:tblGrid>
      <w:tr w:rsidR="009E5929" w:rsidRPr="003364B5" w14:paraId="31B483CE" w14:textId="77777777" w:rsidTr="0034622E">
        <w:trPr>
          <w:trHeight w:val="244"/>
        </w:trPr>
        <w:tc>
          <w:tcPr>
            <w:tcW w:w="1531" w:type="dxa"/>
            <w:tcBorders>
              <w:top w:val="nil"/>
              <w:left w:val="nil"/>
              <w:bottom w:val="nil"/>
              <w:right w:val="nil"/>
            </w:tcBorders>
            <w:shd w:val="clear" w:color="auto" w:fill="auto"/>
            <w:noWrap/>
            <w:vAlign w:val="bottom"/>
            <w:hideMark/>
          </w:tcPr>
          <w:p w14:paraId="2FD7B175" w14:textId="77777777" w:rsidR="009E5929" w:rsidRPr="004B4498" w:rsidRDefault="009E5929" w:rsidP="0034622E">
            <w:pPr>
              <w:rPr>
                <w:rFonts w:ascii="Arial" w:hAnsi="Arial" w:cs="Arial"/>
                <w:color w:val="000000" w:themeColor="text1"/>
                <w:sz w:val="14"/>
                <w:szCs w:val="14"/>
              </w:rPr>
            </w:pPr>
            <w:r w:rsidRPr="004B4498">
              <w:rPr>
                <w:rFonts w:ascii="Arial" w:hAnsi="Arial" w:cs="Arial"/>
                <w:b/>
                <w:bCs/>
                <w:color w:val="000000" w:themeColor="text1"/>
                <w:sz w:val="14"/>
                <w:szCs w:val="14"/>
              </w:rPr>
              <w:t>31. prosinca 202</w:t>
            </w:r>
            <w:r>
              <w:rPr>
                <w:rFonts w:ascii="Arial" w:hAnsi="Arial" w:cs="Arial"/>
                <w:b/>
                <w:bCs/>
                <w:color w:val="000000" w:themeColor="text1"/>
                <w:sz w:val="14"/>
                <w:szCs w:val="14"/>
              </w:rPr>
              <w:t>3</w:t>
            </w:r>
            <w:r w:rsidRPr="004B4498">
              <w:rPr>
                <w:rFonts w:ascii="Arial" w:hAnsi="Arial" w:cs="Arial"/>
                <w:b/>
                <w:bCs/>
                <w:color w:val="000000" w:themeColor="text1"/>
                <w:sz w:val="14"/>
                <w:szCs w:val="14"/>
              </w:rPr>
              <w:t>.</w:t>
            </w:r>
          </w:p>
        </w:tc>
        <w:tc>
          <w:tcPr>
            <w:tcW w:w="850" w:type="dxa"/>
            <w:tcBorders>
              <w:top w:val="nil"/>
              <w:left w:val="nil"/>
              <w:bottom w:val="nil"/>
              <w:right w:val="nil"/>
            </w:tcBorders>
            <w:shd w:val="clear" w:color="auto" w:fill="auto"/>
            <w:noWrap/>
            <w:vAlign w:val="bottom"/>
            <w:hideMark/>
          </w:tcPr>
          <w:p w14:paraId="00BF9054" w14:textId="77777777" w:rsidR="009E5929" w:rsidRPr="004B4498" w:rsidRDefault="009E5929" w:rsidP="0034622E">
            <w:pPr>
              <w:rPr>
                <w:rFonts w:ascii="Arial" w:hAnsi="Arial" w:cs="Arial"/>
                <w:color w:val="000000" w:themeColor="text1"/>
                <w:sz w:val="14"/>
                <w:szCs w:val="14"/>
              </w:rPr>
            </w:pPr>
          </w:p>
        </w:tc>
        <w:tc>
          <w:tcPr>
            <w:tcW w:w="850" w:type="dxa"/>
            <w:tcBorders>
              <w:top w:val="nil"/>
              <w:left w:val="nil"/>
              <w:bottom w:val="nil"/>
              <w:right w:val="nil"/>
            </w:tcBorders>
            <w:shd w:val="clear" w:color="auto" w:fill="auto"/>
            <w:noWrap/>
            <w:vAlign w:val="bottom"/>
            <w:hideMark/>
          </w:tcPr>
          <w:p w14:paraId="50108A2E" w14:textId="77777777" w:rsidR="009E5929" w:rsidRPr="004B4498" w:rsidRDefault="009E5929" w:rsidP="0034622E">
            <w:pPr>
              <w:jc w:val="right"/>
              <w:rPr>
                <w:rFonts w:ascii="Arial" w:hAnsi="Arial" w:cs="Arial"/>
                <w:color w:val="000000" w:themeColor="text1"/>
                <w:sz w:val="14"/>
                <w:szCs w:val="14"/>
              </w:rPr>
            </w:pPr>
          </w:p>
        </w:tc>
        <w:tc>
          <w:tcPr>
            <w:tcW w:w="850" w:type="dxa"/>
            <w:tcBorders>
              <w:top w:val="nil"/>
              <w:left w:val="nil"/>
              <w:bottom w:val="nil"/>
              <w:right w:val="nil"/>
            </w:tcBorders>
            <w:shd w:val="clear" w:color="auto" w:fill="auto"/>
            <w:noWrap/>
            <w:vAlign w:val="bottom"/>
            <w:hideMark/>
          </w:tcPr>
          <w:p w14:paraId="2591F23C" w14:textId="77777777" w:rsidR="009E5929" w:rsidRPr="004B4498" w:rsidRDefault="009E5929" w:rsidP="0034622E">
            <w:pPr>
              <w:jc w:val="right"/>
              <w:rPr>
                <w:rFonts w:ascii="Arial" w:hAnsi="Arial" w:cs="Arial"/>
                <w:color w:val="000000" w:themeColor="text1"/>
                <w:sz w:val="14"/>
                <w:szCs w:val="14"/>
              </w:rPr>
            </w:pPr>
          </w:p>
        </w:tc>
        <w:tc>
          <w:tcPr>
            <w:tcW w:w="850" w:type="dxa"/>
            <w:tcBorders>
              <w:top w:val="nil"/>
              <w:left w:val="nil"/>
              <w:bottom w:val="nil"/>
              <w:right w:val="nil"/>
            </w:tcBorders>
            <w:vAlign w:val="bottom"/>
          </w:tcPr>
          <w:p w14:paraId="6B06BFD6" w14:textId="77777777" w:rsidR="009E5929" w:rsidRPr="004B4498" w:rsidRDefault="009E5929" w:rsidP="0034622E">
            <w:pPr>
              <w:jc w:val="right"/>
              <w:rPr>
                <w:rFonts w:ascii="Arial" w:hAnsi="Arial" w:cs="Arial"/>
                <w:b/>
                <w:bCs/>
                <w:color w:val="000000" w:themeColor="text1"/>
                <w:sz w:val="14"/>
                <w:szCs w:val="14"/>
              </w:rPr>
            </w:pPr>
          </w:p>
        </w:tc>
        <w:tc>
          <w:tcPr>
            <w:tcW w:w="850" w:type="dxa"/>
            <w:tcBorders>
              <w:top w:val="nil"/>
              <w:left w:val="nil"/>
              <w:bottom w:val="nil"/>
              <w:right w:val="nil"/>
            </w:tcBorders>
            <w:shd w:val="clear" w:color="auto" w:fill="auto"/>
            <w:noWrap/>
            <w:vAlign w:val="bottom"/>
            <w:hideMark/>
          </w:tcPr>
          <w:p w14:paraId="7CFA5EFD" w14:textId="77777777" w:rsidR="009E5929" w:rsidRPr="004B4498" w:rsidRDefault="009E5929" w:rsidP="0034622E">
            <w:pPr>
              <w:jc w:val="right"/>
              <w:rPr>
                <w:rFonts w:ascii="Arial" w:hAnsi="Arial" w:cs="Arial"/>
                <w:b/>
                <w:bCs/>
                <w:color w:val="000000" w:themeColor="text1"/>
                <w:sz w:val="14"/>
                <w:szCs w:val="14"/>
              </w:rPr>
            </w:pPr>
            <w:r w:rsidRPr="004B4498">
              <w:rPr>
                <w:rFonts w:ascii="Arial" w:hAnsi="Arial" w:cs="Arial"/>
                <w:b/>
                <w:bCs/>
                <w:color w:val="000000" w:themeColor="text1"/>
                <w:sz w:val="14"/>
                <w:szCs w:val="14"/>
              </w:rPr>
              <w:t>Grupa</w:t>
            </w:r>
          </w:p>
        </w:tc>
        <w:tc>
          <w:tcPr>
            <w:tcW w:w="850" w:type="dxa"/>
            <w:tcBorders>
              <w:top w:val="nil"/>
              <w:left w:val="nil"/>
              <w:bottom w:val="nil"/>
              <w:right w:val="nil"/>
            </w:tcBorders>
            <w:shd w:val="clear" w:color="auto" w:fill="auto"/>
            <w:noWrap/>
            <w:vAlign w:val="bottom"/>
            <w:hideMark/>
          </w:tcPr>
          <w:p w14:paraId="2C1AFFA1" w14:textId="77777777" w:rsidR="009E5929" w:rsidRPr="004B4498" w:rsidRDefault="009E5929" w:rsidP="0034622E">
            <w:pPr>
              <w:jc w:val="right"/>
              <w:rPr>
                <w:rFonts w:ascii="Arial" w:hAnsi="Arial" w:cs="Arial"/>
                <w:b/>
                <w:bCs/>
                <w:color w:val="000000" w:themeColor="text1"/>
                <w:sz w:val="14"/>
                <w:szCs w:val="14"/>
              </w:rPr>
            </w:pPr>
          </w:p>
        </w:tc>
        <w:tc>
          <w:tcPr>
            <w:tcW w:w="850" w:type="dxa"/>
            <w:tcBorders>
              <w:top w:val="nil"/>
              <w:left w:val="nil"/>
              <w:bottom w:val="nil"/>
              <w:right w:val="nil"/>
            </w:tcBorders>
            <w:shd w:val="clear" w:color="auto" w:fill="auto"/>
            <w:noWrap/>
            <w:vAlign w:val="bottom"/>
            <w:hideMark/>
          </w:tcPr>
          <w:p w14:paraId="22CD96BC" w14:textId="77777777" w:rsidR="009E5929" w:rsidRPr="004B4498" w:rsidRDefault="009E5929" w:rsidP="0034622E">
            <w:pPr>
              <w:jc w:val="right"/>
              <w:rPr>
                <w:rFonts w:ascii="Arial" w:hAnsi="Arial" w:cs="Arial"/>
                <w:color w:val="000000" w:themeColor="text1"/>
                <w:sz w:val="14"/>
                <w:szCs w:val="14"/>
              </w:rPr>
            </w:pPr>
          </w:p>
        </w:tc>
        <w:tc>
          <w:tcPr>
            <w:tcW w:w="850" w:type="dxa"/>
            <w:tcBorders>
              <w:top w:val="nil"/>
              <w:left w:val="nil"/>
              <w:bottom w:val="nil"/>
              <w:right w:val="nil"/>
            </w:tcBorders>
            <w:shd w:val="clear" w:color="auto" w:fill="auto"/>
            <w:noWrap/>
            <w:vAlign w:val="bottom"/>
            <w:hideMark/>
          </w:tcPr>
          <w:p w14:paraId="441C7C91" w14:textId="77777777" w:rsidR="009E5929" w:rsidRPr="004B4498" w:rsidRDefault="009E5929" w:rsidP="0034622E">
            <w:pPr>
              <w:jc w:val="right"/>
              <w:rPr>
                <w:rFonts w:ascii="Arial" w:hAnsi="Arial" w:cs="Arial"/>
                <w:color w:val="000000" w:themeColor="text1"/>
                <w:sz w:val="14"/>
                <w:szCs w:val="14"/>
              </w:rPr>
            </w:pPr>
          </w:p>
        </w:tc>
        <w:tc>
          <w:tcPr>
            <w:tcW w:w="850" w:type="dxa"/>
            <w:tcBorders>
              <w:top w:val="nil"/>
              <w:left w:val="nil"/>
              <w:bottom w:val="nil"/>
              <w:right w:val="nil"/>
            </w:tcBorders>
            <w:vAlign w:val="bottom"/>
          </w:tcPr>
          <w:p w14:paraId="13E3B174" w14:textId="77777777" w:rsidR="009E5929" w:rsidRPr="004B4498" w:rsidRDefault="009E5929" w:rsidP="0034622E">
            <w:pPr>
              <w:jc w:val="right"/>
              <w:rPr>
                <w:rFonts w:ascii="Arial" w:hAnsi="Arial" w:cs="Arial"/>
                <w:b/>
                <w:bCs/>
                <w:color w:val="000000" w:themeColor="text1"/>
                <w:sz w:val="14"/>
                <w:szCs w:val="14"/>
              </w:rPr>
            </w:pPr>
          </w:p>
        </w:tc>
        <w:tc>
          <w:tcPr>
            <w:tcW w:w="850" w:type="dxa"/>
            <w:tcBorders>
              <w:top w:val="nil"/>
              <w:left w:val="nil"/>
              <w:bottom w:val="nil"/>
              <w:right w:val="nil"/>
            </w:tcBorders>
            <w:shd w:val="clear" w:color="auto" w:fill="auto"/>
            <w:noWrap/>
            <w:vAlign w:val="bottom"/>
            <w:hideMark/>
          </w:tcPr>
          <w:p w14:paraId="211B5C66" w14:textId="77777777" w:rsidR="009E5929" w:rsidRPr="004B4498" w:rsidRDefault="009E5929" w:rsidP="0034622E">
            <w:pPr>
              <w:jc w:val="right"/>
              <w:rPr>
                <w:rFonts w:ascii="Arial" w:hAnsi="Arial" w:cs="Arial"/>
                <w:b/>
                <w:bCs/>
                <w:color w:val="000000" w:themeColor="text1"/>
                <w:sz w:val="14"/>
                <w:szCs w:val="14"/>
              </w:rPr>
            </w:pPr>
            <w:r w:rsidRPr="004B4498">
              <w:rPr>
                <w:rFonts w:ascii="Arial" w:hAnsi="Arial" w:cs="Arial"/>
                <w:b/>
                <w:bCs/>
                <w:color w:val="000000" w:themeColor="text1"/>
                <w:sz w:val="14"/>
                <w:szCs w:val="14"/>
              </w:rPr>
              <w:t>Banka</w:t>
            </w:r>
          </w:p>
        </w:tc>
      </w:tr>
      <w:tr w:rsidR="009E5929" w:rsidRPr="003364B5" w14:paraId="18B3ED02" w14:textId="77777777" w:rsidTr="0034622E">
        <w:trPr>
          <w:trHeight w:val="288"/>
        </w:trPr>
        <w:tc>
          <w:tcPr>
            <w:tcW w:w="1531" w:type="dxa"/>
            <w:tcBorders>
              <w:top w:val="nil"/>
              <w:left w:val="nil"/>
              <w:bottom w:val="nil"/>
              <w:right w:val="nil"/>
            </w:tcBorders>
            <w:shd w:val="clear" w:color="auto" w:fill="auto"/>
            <w:noWrap/>
            <w:vAlign w:val="bottom"/>
            <w:hideMark/>
          </w:tcPr>
          <w:p w14:paraId="75314C00" w14:textId="77777777" w:rsidR="009E5929" w:rsidRPr="004B4498" w:rsidRDefault="009E5929" w:rsidP="0034622E">
            <w:pPr>
              <w:jc w:val="right"/>
              <w:rPr>
                <w:rFonts w:ascii="Arial" w:hAnsi="Arial" w:cs="Arial"/>
                <w:b/>
                <w:bCs/>
                <w:color w:val="000000" w:themeColor="text1"/>
                <w:sz w:val="14"/>
                <w:szCs w:val="14"/>
              </w:rPr>
            </w:pPr>
          </w:p>
        </w:tc>
        <w:tc>
          <w:tcPr>
            <w:tcW w:w="850" w:type="dxa"/>
            <w:tcBorders>
              <w:top w:val="nil"/>
              <w:left w:val="nil"/>
              <w:bottom w:val="nil"/>
              <w:right w:val="nil"/>
            </w:tcBorders>
            <w:shd w:val="clear" w:color="auto" w:fill="auto"/>
            <w:noWrap/>
            <w:vAlign w:val="bottom"/>
            <w:hideMark/>
          </w:tcPr>
          <w:p w14:paraId="7F3D97DA" w14:textId="77777777" w:rsidR="009E5929" w:rsidRPr="004B4498" w:rsidRDefault="009E5929" w:rsidP="0034622E">
            <w:pPr>
              <w:jc w:val="right"/>
              <w:rPr>
                <w:rFonts w:ascii="Arial" w:hAnsi="Arial" w:cs="Arial"/>
                <w:b/>
                <w:bCs/>
                <w:color w:val="000000" w:themeColor="text1"/>
                <w:sz w:val="14"/>
                <w:szCs w:val="14"/>
              </w:rPr>
            </w:pPr>
            <w:r w:rsidRPr="004B4498">
              <w:rPr>
                <w:rFonts w:ascii="Arial" w:hAnsi="Arial" w:cs="Arial"/>
                <w:b/>
                <w:bCs/>
                <w:color w:val="000000" w:themeColor="text1"/>
                <w:sz w:val="14"/>
                <w:szCs w:val="14"/>
              </w:rPr>
              <w:t>Stupanj 1</w:t>
            </w:r>
          </w:p>
        </w:tc>
        <w:tc>
          <w:tcPr>
            <w:tcW w:w="850" w:type="dxa"/>
            <w:tcBorders>
              <w:top w:val="nil"/>
              <w:left w:val="nil"/>
              <w:bottom w:val="nil"/>
              <w:right w:val="nil"/>
            </w:tcBorders>
            <w:shd w:val="clear" w:color="auto" w:fill="auto"/>
            <w:noWrap/>
            <w:vAlign w:val="bottom"/>
            <w:hideMark/>
          </w:tcPr>
          <w:p w14:paraId="78F79023" w14:textId="77777777" w:rsidR="009E5929" w:rsidRPr="004B4498" w:rsidRDefault="009E5929" w:rsidP="0034622E">
            <w:pPr>
              <w:jc w:val="right"/>
              <w:rPr>
                <w:rFonts w:ascii="Arial" w:hAnsi="Arial" w:cs="Arial"/>
                <w:b/>
                <w:bCs/>
                <w:color w:val="000000" w:themeColor="text1"/>
                <w:sz w:val="14"/>
                <w:szCs w:val="14"/>
              </w:rPr>
            </w:pPr>
            <w:r w:rsidRPr="004B4498">
              <w:rPr>
                <w:rFonts w:ascii="Arial" w:hAnsi="Arial" w:cs="Arial"/>
                <w:b/>
                <w:bCs/>
                <w:color w:val="000000" w:themeColor="text1"/>
                <w:sz w:val="14"/>
                <w:szCs w:val="14"/>
              </w:rPr>
              <w:t>Stupanj 2</w:t>
            </w:r>
          </w:p>
        </w:tc>
        <w:tc>
          <w:tcPr>
            <w:tcW w:w="850" w:type="dxa"/>
            <w:tcBorders>
              <w:top w:val="nil"/>
              <w:left w:val="nil"/>
              <w:bottom w:val="nil"/>
              <w:right w:val="nil"/>
            </w:tcBorders>
            <w:shd w:val="clear" w:color="auto" w:fill="auto"/>
            <w:noWrap/>
            <w:vAlign w:val="bottom"/>
            <w:hideMark/>
          </w:tcPr>
          <w:p w14:paraId="4C6177FD" w14:textId="77777777" w:rsidR="009E5929" w:rsidRPr="004B4498" w:rsidRDefault="009E5929" w:rsidP="0034622E">
            <w:pPr>
              <w:jc w:val="right"/>
              <w:rPr>
                <w:rFonts w:ascii="Arial" w:hAnsi="Arial" w:cs="Arial"/>
                <w:b/>
                <w:bCs/>
                <w:color w:val="000000" w:themeColor="text1"/>
                <w:sz w:val="14"/>
                <w:szCs w:val="14"/>
              </w:rPr>
            </w:pPr>
            <w:r w:rsidRPr="004B4498">
              <w:rPr>
                <w:rFonts w:ascii="Arial" w:hAnsi="Arial" w:cs="Arial"/>
                <w:b/>
                <w:bCs/>
                <w:color w:val="000000" w:themeColor="text1"/>
                <w:sz w:val="14"/>
                <w:szCs w:val="14"/>
              </w:rPr>
              <w:t>Stupanj 3</w:t>
            </w:r>
          </w:p>
        </w:tc>
        <w:tc>
          <w:tcPr>
            <w:tcW w:w="850" w:type="dxa"/>
            <w:tcBorders>
              <w:top w:val="nil"/>
              <w:left w:val="nil"/>
              <w:bottom w:val="nil"/>
              <w:right w:val="nil"/>
            </w:tcBorders>
            <w:vAlign w:val="bottom"/>
          </w:tcPr>
          <w:p w14:paraId="524506B1" w14:textId="77777777" w:rsidR="009E5929" w:rsidRPr="004B4498" w:rsidRDefault="009E5929" w:rsidP="0034622E">
            <w:pPr>
              <w:jc w:val="right"/>
              <w:rPr>
                <w:rFonts w:ascii="Arial" w:hAnsi="Arial" w:cs="Arial"/>
                <w:b/>
                <w:bCs/>
                <w:color w:val="000000" w:themeColor="text1"/>
                <w:sz w:val="14"/>
                <w:szCs w:val="14"/>
              </w:rPr>
            </w:pPr>
            <w:r w:rsidRPr="004B4498">
              <w:rPr>
                <w:rFonts w:ascii="Arial" w:hAnsi="Arial" w:cs="Arial"/>
                <w:b/>
                <w:bCs/>
                <w:color w:val="000000" w:themeColor="text1"/>
                <w:sz w:val="14"/>
                <w:szCs w:val="14"/>
              </w:rPr>
              <w:t>POCI</w:t>
            </w:r>
          </w:p>
        </w:tc>
        <w:tc>
          <w:tcPr>
            <w:tcW w:w="850" w:type="dxa"/>
            <w:tcBorders>
              <w:top w:val="nil"/>
              <w:left w:val="nil"/>
              <w:bottom w:val="nil"/>
              <w:right w:val="nil"/>
            </w:tcBorders>
            <w:shd w:val="clear" w:color="auto" w:fill="auto"/>
            <w:noWrap/>
            <w:vAlign w:val="bottom"/>
            <w:hideMark/>
          </w:tcPr>
          <w:p w14:paraId="3D1E8FB7" w14:textId="77777777" w:rsidR="009E5929" w:rsidRPr="004B4498" w:rsidRDefault="009E5929" w:rsidP="0034622E">
            <w:pPr>
              <w:jc w:val="right"/>
              <w:rPr>
                <w:rFonts w:ascii="Arial" w:hAnsi="Arial" w:cs="Arial"/>
                <w:b/>
                <w:bCs/>
                <w:color w:val="000000" w:themeColor="text1"/>
                <w:sz w:val="14"/>
                <w:szCs w:val="14"/>
              </w:rPr>
            </w:pPr>
            <w:r w:rsidRPr="004B4498">
              <w:rPr>
                <w:rFonts w:ascii="Arial" w:hAnsi="Arial" w:cs="Arial"/>
                <w:b/>
                <w:bCs/>
                <w:color w:val="000000" w:themeColor="text1"/>
                <w:sz w:val="14"/>
                <w:szCs w:val="14"/>
              </w:rPr>
              <w:t>Ukupno</w:t>
            </w:r>
          </w:p>
        </w:tc>
        <w:tc>
          <w:tcPr>
            <w:tcW w:w="850" w:type="dxa"/>
            <w:tcBorders>
              <w:top w:val="nil"/>
              <w:left w:val="nil"/>
              <w:bottom w:val="nil"/>
              <w:right w:val="nil"/>
            </w:tcBorders>
            <w:shd w:val="clear" w:color="auto" w:fill="auto"/>
            <w:noWrap/>
            <w:vAlign w:val="bottom"/>
            <w:hideMark/>
          </w:tcPr>
          <w:p w14:paraId="587C2A08" w14:textId="77777777" w:rsidR="009E5929" w:rsidRPr="004B4498" w:rsidRDefault="009E5929" w:rsidP="0034622E">
            <w:pPr>
              <w:jc w:val="right"/>
              <w:rPr>
                <w:rFonts w:ascii="Arial" w:hAnsi="Arial" w:cs="Arial"/>
                <w:b/>
                <w:bCs/>
                <w:color w:val="000000" w:themeColor="text1"/>
                <w:sz w:val="14"/>
                <w:szCs w:val="14"/>
              </w:rPr>
            </w:pPr>
            <w:r w:rsidRPr="004B4498">
              <w:rPr>
                <w:rFonts w:ascii="Arial" w:hAnsi="Arial" w:cs="Arial"/>
                <w:b/>
                <w:bCs/>
                <w:color w:val="000000" w:themeColor="text1"/>
                <w:sz w:val="14"/>
                <w:szCs w:val="14"/>
              </w:rPr>
              <w:t>Stupanj 1</w:t>
            </w:r>
          </w:p>
        </w:tc>
        <w:tc>
          <w:tcPr>
            <w:tcW w:w="850" w:type="dxa"/>
            <w:tcBorders>
              <w:top w:val="nil"/>
              <w:left w:val="nil"/>
              <w:bottom w:val="nil"/>
              <w:right w:val="nil"/>
            </w:tcBorders>
            <w:shd w:val="clear" w:color="auto" w:fill="auto"/>
            <w:noWrap/>
            <w:vAlign w:val="bottom"/>
            <w:hideMark/>
          </w:tcPr>
          <w:p w14:paraId="2E656AD8" w14:textId="77777777" w:rsidR="009E5929" w:rsidRPr="004B4498" w:rsidRDefault="009E5929" w:rsidP="0034622E">
            <w:pPr>
              <w:jc w:val="right"/>
              <w:rPr>
                <w:rFonts w:ascii="Arial" w:hAnsi="Arial" w:cs="Arial"/>
                <w:b/>
                <w:bCs/>
                <w:color w:val="000000" w:themeColor="text1"/>
                <w:sz w:val="14"/>
                <w:szCs w:val="14"/>
              </w:rPr>
            </w:pPr>
            <w:r w:rsidRPr="004B4498">
              <w:rPr>
                <w:rFonts w:ascii="Arial" w:hAnsi="Arial" w:cs="Arial"/>
                <w:b/>
                <w:bCs/>
                <w:color w:val="000000" w:themeColor="text1"/>
                <w:sz w:val="14"/>
                <w:szCs w:val="14"/>
              </w:rPr>
              <w:t>Stupanj 2</w:t>
            </w:r>
          </w:p>
        </w:tc>
        <w:tc>
          <w:tcPr>
            <w:tcW w:w="850" w:type="dxa"/>
            <w:tcBorders>
              <w:top w:val="nil"/>
              <w:left w:val="nil"/>
              <w:bottom w:val="nil"/>
              <w:right w:val="nil"/>
            </w:tcBorders>
            <w:shd w:val="clear" w:color="auto" w:fill="auto"/>
            <w:noWrap/>
            <w:vAlign w:val="bottom"/>
            <w:hideMark/>
          </w:tcPr>
          <w:p w14:paraId="03C0B691" w14:textId="77777777" w:rsidR="009E5929" w:rsidRPr="004B4498" w:rsidRDefault="009E5929" w:rsidP="0034622E">
            <w:pPr>
              <w:jc w:val="right"/>
              <w:rPr>
                <w:rFonts w:ascii="Arial" w:hAnsi="Arial" w:cs="Arial"/>
                <w:b/>
                <w:bCs/>
                <w:color w:val="000000" w:themeColor="text1"/>
                <w:sz w:val="14"/>
                <w:szCs w:val="14"/>
              </w:rPr>
            </w:pPr>
            <w:r w:rsidRPr="004B4498">
              <w:rPr>
                <w:rFonts w:ascii="Arial" w:hAnsi="Arial" w:cs="Arial"/>
                <w:b/>
                <w:bCs/>
                <w:color w:val="000000" w:themeColor="text1"/>
                <w:sz w:val="14"/>
                <w:szCs w:val="14"/>
              </w:rPr>
              <w:t>Stupanj 3</w:t>
            </w:r>
          </w:p>
        </w:tc>
        <w:tc>
          <w:tcPr>
            <w:tcW w:w="850" w:type="dxa"/>
            <w:tcBorders>
              <w:top w:val="nil"/>
              <w:left w:val="nil"/>
              <w:bottom w:val="nil"/>
              <w:right w:val="nil"/>
            </w:tcBorders>
            <w:vAlign w:val="bottom"/>
          </w:tcPr>
          <w:p w14:paraId="132880D7" w14:textId="77777777" w:rsidR="009E5929" w:rsidRPr="004B4498" w:rsidRDefault="009E5929" w:rsidP="0034622E">
            <w:pPr>
              <w:jc w:val="right"/>
              <w:rPr>
                <w:rFonts w:ascii="Arial" w:hAnsi="Arial" w:cs="Arial"/>
                <w:b/>
                <w:bCs/>
                <w:color w:val="000000" w:themeColor="text1"/>
                <w:sz w:val="14"/>
                <w:szCs w:val="14"/>
              </w:rPr>
            </w:pPr>
            <w:r w:rsidRPr="004B4498">
              <w:rPr>
                <w:rFonts w:ascii="Arial" w:hAnsi="Arial" w:cs="Arial"/>
                <w:b/>
                <w:bCs/>
                <w:color w:val="000000" w:themeColor="text1"/>
                <w:sz w:val="14"/>
                <w:szCs w:val="14"/>
              </w:rPr>
              <w:t>POCI</w:t>
            </w:r>
          </w:p>
        </w:tc>
        <w:tc>
          <w:tcPr>
            <w:tcW w:w="850" w:type="dxa"/>
            <w:tcBorders>
              <w:top w:val="nil"/>
              <w:left w:val="nil"/>
              <w:bottom w:val="nil"/>
              <w:right w:val="nil"/>
            </w:tcBorders>
            <w:shd w:val="clear" w:color="auto" w:fill="auto"/>
            <w:noWrap/>
            <w:vAlign w:val="bottom"/>
            <w:hideMark/>
          </w:tcPr>
          <w:p w14:paraId="13E3795F" w14:textId="77777777" w:rsidR="009E5929" w:rsidRPr="004B4498" w:rsidRDefault="009E5929" w:rsidP="0034622E">
            <w:pPr>
              <w:jc w:val="right"/>
              <w:rPr>
                <w:rFonts w:ascii="Arial" w:hAnsi="Arial" w:cs="Arial"/>
                <w:b/>
                <w:bCs/>
                <w:color w:val="000000" w:themeColor="text1"/>
                <w:sz w:val="14"/>
                <w:szCs w:val="14"/>
              </w:rPr>
            </w:pPr>
            <w:r w:rsidRPr="004B4498">
              <w:rPr>
                <w:rFonts w:ascii="Arial" w:hAnsi="Arial" w:cs="Arial"/>
                <w:b/>
                <w:bCs/>
                <w:color w:val="000000" w:themeColor="text1"/>
                <w:sz w:val="14"/>
                <w:szCs w:val="14"/>
              </w:rPr>
              <w:t>Ukupno</w:t>
            </w:r>
          </w:p>
        </w:tc>
      </w:tr>
      <w:tr w:rsidR="009E5929" w:rsidRPr="003364B5" w14:paraId="6457F2D0" w14:textId="77777777" w:rsidTr="0034622E">
        <w:trPr>
          <w:trHeight w:val="288"/>
        </w:trPr>
        <w:tc>
          <w:tcPr>
            <w:tcW w:w="1531" w:type="dxa"/>
            <w:tcBorders>
              <w:top w:val="nil"/>
              <w:left w:val="nil"/>
              <w:bottom w:val="nil"/>
              <w:right w:val="nil"/>
            </w:tcBorders>
            <w:shd w:val="clear" w:color="auto" w:fill="auto"/>
            <w:noWrap/>
            <w:vAlign w:val="bottom"/>
          </w:tcPr>
          <w:p w14:paraId="499821BE" w14:textId="77777777" w:rsidR="009E5929" w:rsidRPr="004B4498" w:rsidRDefault="009E5929" w:rsidP="0034622E">
            <w:pPr>
              <w:jc w:val="right"/>
              <w:rPr>
                <w:rFonts w:ascii="Arial" w:hAnsi="Arial" w:cs="Arial"/>
                <w:b/>
                <w:bCs/>
                <w:color w:val="000000" w:themeColor="text1"/>
                <w:sz w:val="14"/>
                <w:szCs w:val="14"/>
              </w:rPr>
            </w:pPr>
          </w:p>
        </w:tc>
        <w:tc>
          <w:tcPr>
            <w:tcW w:w="850" w:type="dxa"/>
            <w:tcBorders>
              <w:top w:val="nil"/>
              <w:left w:val="nil"/>
              <w:bottom w:val="nil"/>
              <w:right w:val="nil"/>
            </w:tcBorders>
            <w:shd w:val="clear" w:color="auto" w:fill="auto"/>
            <w:noWrap/>
            <w:vAlign w:val="bottom"/>
          </w:tcPr>
          <w:p w14:paraId="6C5362D1" w14:textId="77777777" w:rsidR="009E5929" w:rsidRPr="004B4498" w:rsidRDefault="009E5929" w:rsidP="0034622E">
            <w:pPr>
              <w:jc w:val="right"/>
              <w:rPr>
                <w:rFonts w:ascii="Arial" w:hAnsi="Arial" w:cs="Arial"/>
                <w:b/>
                <w:bCs/>
                <w:color w:val="000000" w:themeColor="text1"/>
                <w:sz w:val="14"/>
                <w:szCs w:val="14"/>
              </w:rPr>
            </w:pPr>
          </w:p>
        </w:tc>
        <w:tc>
          <w:tcPr>
            <w:tcW w:w="850" w:type="dxa"/>
            <w:tcBorders>
              <w:top w:val="nil"/>
              <w:left w:val="nil"/>
              <w:bottom w:val="nil"/>
              <w:right w:val="nil"/>
            </w:tcBorders>
            <w:shd w:val="clear" w:color="auto" w:fill="auto"/>
            <w:noWrap/>
            <w:vAlign w:val="bottom"/>
          </w:tcPr>
          <w:p w14:paraId="5602E23D" w14:textId="77777777" w:rsidR="009E5929" w:rsidRPr="004B4498" w:rsidRDefault="009E5929" w:rsidP="0034622E">
            <w:pPr>
              <w:jc w:val="right"/>
              <w:rPr>
                <w:rFonts w:ascii="Arial" w:hAnsi="Arial" w:cs="Arial"/>
                <w:b/>
                <w:bCs/>
                <w:color w:val="000000" w:themeColor="text1"/>
                <w:sz w:val="14"/>
                <w:szCs w:val="14"/>
              </w:rPr>
            </w:pPr>
          </w:p>
        </w:tc>
        <w:tc>
          <w:tcPr>
            <w:tcW w:w="850" w:type="dxa"/>
            <w:tcBorders>
              <w:top w:val="nil"/>
              <w:left w:val="nil"/>
              <w:bottom w:val="nil"/>
              <w:right w:val="nil"/>
            </w:tcBorders>
            <w:shd w:val="clear" w:color="auto" w:fill="auto"/>
            <w:noWrap/>
            <w:vAlign w:val="bottom"/>
          </w:tcPr>
          <w:p w14:paraId="47AE10CE" w14:textId="77777777" w:rsidR="009E5929" w:rsidRPr="004B4498" w:rsidRDefault="009E5929" w:rsidP="0034622E">
            <w:pPr>
              <w:jc w:val="right"/>
              <w:rPr>
                <w:rFonts w:ascii="Arial" w:hAnsi="Arial" w:cs="Arial"/>
                <w:b/>
                <w:bCs/>
                <w:color w:val="000000" w:themeColor="text1"/>
                <w:sz w:val="14"/>
                <w:szCs w:val="14"/>
              </w:rPr>
            </w:pPr>
          </w:p>
        </w:tc>
        <w:tc>
          <w:tcPr>
            <w:tcW w:w="850" w:type="dxa"/>
            <w:tcBorders>
              <w:top w:val="nil"/>
              <w:left w:val="nil"/>
              <w:bottom w:val="nil"/>
              <w:right w:val="nil"/>
            </w:tcBorders>
            <w:shd w:val="clear" w:color="auto" w:fill="auto"/>
            <w:vAlign w:val="bottom"/>
          </w:tcPr>
          <w:p w14:paraId="7BC79615" w14:textId="77777777" w:rsidR="009E5929" w:rsidRPr="004B4498" w:rsidRDefault="009E5929" w:rsidP="0034622E">
            <w:pPr>
              <w:jc w:val="right"/>
              <w:rPr>
                <w:rFonts w:ascii="Arial" w:hAnsi="Arial" w:cs="Arial"/>
                <w:b/>
                <w:bCs/>
                <w:color w:val="000000" w:themeColor="text1"/>
                <w:sz w:val="14"/>
                <w:szCs w:val="14"/>
              </w:rPr>
            </w:pPr>
            <w:r w:rsidRPr="00D87D1A">
              <w:rPr>
                <w:rFonts w:ascii="Arial" w:hAnsi="Arial" w:cs="Arial"/>
                <w:b/>
                <w:bCs/>
                <w:color w:val="000000" w:themeColor="text1"/>
                <w:sz w:val="14"/>
                <w:szCs w:val="14"/>
              </w:rPr>
              <w:t>Stupanj 3</w:t>
            </w:r>
          </w:p>
        </w:tc>
        <w:tc>
          <w:tcPr>
            <w:tcW w:w="850" w:type="dxa"/>
            <w:tcBorders>
              <w:top w:val="nil"/>
              <w:left w:val="nil"/>
              <w:bottom w:val="nil"/>
              <w:right w:val="nil"/>
            </w:tcBorders>
            <w:shd w:val="clear" w:color="auto" w:fill="auto"/>
            <w:noWrap/>
            <w:vAlign w:val="bottom"/>
          </w:tcPr>
          <w:p w14:paraId="32D5AF5F" w14:textId="77777777" w:rsidR="009E5929" w:rsidRPr="004B4498" w:rsidRDefault="009E5929" w:rsidP="0034622E">
            <w:pPr>
              <w:jc w:val="right"/>
              <w:rPr>
                <w:rFonts w:ascii="Arial" w:hAnsi="Arial" w:cs="Arial"/>
                <w:b/>
                <w:bCs/>
                <w:color w:val="000000" w:themeColor="text1"/>
                <w:sz w:val="14"/>
                <w:szCs w:val="14"/>
              </w:rPr>
            </w:pPr>
          </w:p>
        </w:tc>
        <w:tc>
          <w:tcPr>
            <w:tcW w:w="850" w:type="dxa"/>
            <w:tcBorders>
              <w:top w:val="nil"/>
              <w:left w:val="nil"/>
              <w:bottom w:val="nil"/>
              <w:right w:val="nil"/>
            </w:tcBorders>
            <w:shd w:val="clear" w:color="auto" w:fill="auto"/>
            <w:noWrap/>
            <w:vAlign w:val="bottom"/>
          </w:tcPr>
          <w:p w14:paraId="4AB5A036" w14:textId="77777777" w:rsidR="009E5929" w:rsidRPr="004B4498" w:rsidRDefault="009E5929" w:rsidP="0034622E">
            <w:pPr>
              <w:jc w:val="right"/>
              <w:rPr>
                <w:rFonts w:ascii="Arial" w:hAnsi="Arial" w:cs="Arial"/>
                <w:b/>
                <w:bCs/>
                <w:color w:val="000000" w:themeColor="text1"/>
                <w:sz w:val="14"/>
                <w:szCs w:val="14"/>
              </w:rPr>
            </w:pPr>
          </w:p>
        </w:tc>
        <w:tc>
          <w:tcPr>
            <w:tcW w:w="850" w:type="dxa"/>
            <w:tcBorders>
              <w:top w:val="nil"/>
              <w:left w:val="nil"/>
              <w:bottom w:val="nil"/>
              <w:right w:val="nil"/>
            </w:tcBorders>
            <w:shd w:val="clear" w:color="auto" w:fill="auto"/>
            <w:noWrap/>
            <w:vAlign w:val="bottom"/>
          </w:tcPr>
          <w:p w14:paraId="34D00325" w14:textId="77777777" w:rsidR="009E5929" w:rsidRPr="004B4498" w:rsidRDefault="009E5929" w:rsidP="0034622E">
            <w:pPr>
              <w:jc w:val="right"/>
              <w:rPr>
                <w:rFonts w:ascii="Arial" w:hAnsi="Arial" w:cs="Arial"/>
                <w:b/>
                <w:bCs/>
                <w:color w:val="000000" w:themeColor="text1"/>
                <w:sz w:val="14"/>
                <w:szCs w:val="14"/>
              </w:rPr>
            </w:pPr>
          </w:p>
        </w:tc>
        <w:tc>
          <w:tcPr>
            <w:tcW w:w="850" w:type="dxa"/>
            <w:tcBorders>
              <w:top w:val="nil"/>
              <w:left w:val="nil"/>
              <w:bottom w:val="nil"/>
              <w:right w:val="nil"/>
            </w:tcBorders>
            <w:shd w:val="clear" w:color="auto" w:fill="auto"/>
            <w:noWrap/>
            <w:vAlign w:val="bottom"/>
          </w:tcPr>
          <w:p w14:paraId="2B157FE1" w14:textId="77777777" w:rsidR="009E5929" w:rsidRPr="004B4498" w:rsidRDefault="009E5929" w:rsidP="0034622E">
            <w:pPr>
              <w:jc w:val="right"/>
              <w:rPr>
                <w:rFonts w:ascii="Arial" w:hAnsi="Arial" w:cs="Arial"/>
                <w:b/>
                <w:bCs/>
                <w:color w:val="000000" w:themeColor="text1"/>
                <w:sz w:val="14"/>
                <w:szCs w:val="14"/>
              </w:rPr>
            </w:pPr>
          </w:p>
        </w:tc>
        <w:tc>
          <w:tcPr>
            <w:tcW w:w="850" w:type="dxa"/>
            <w:tcBorders>
              <w:top w:val="nil"/>
              <w:left w:val="nil"/>
              <w:bottom w:val="nil"/>
              <w:right w:val="nil"/>
            </w:tcBorders>
            <w:shd w:val="clear" w:color="auto" w:fill="auto"/>
            <w:vAlign w:val="bottom"/>
          </w:tcPr>
          <w:p w14:paraId="72D7A19E" w14:textId="77777777" w:rsidR="009E5929" w:rsidRPr="004B4498" w:rsidRDefault="009E5929" w:rsidP="0034622E">
            <w:pPr>
              <w:jc w:val="right"/>
              <w:rPr>
                <w:rFonts w:ascii="Arial" w:hAnsi="Arial" w:cs="Arial"/>
                <w:b/>
                <w:bCs/>
                <w:color w:val="000000" w:themeColor="text1"/>
                <w:sz w:val="14"/>
                <w:szCs w:val="14"/>
              </w:rPr>
            </w:pPr>
            <w:r w:rsidRPr="00D87D1A">
              <w:rPr>
                <w:rFonts w:ascii="Arial" w:hAnsi="Arial" w:cs="Arial"/>
                <w:b/>
                <w:bCs/>
                <w:color w:val="000000" w:themeColor="text1"/>
                <w:sz w:val="14"/>
                <w:szCs w:val="14"/>
              </w:rPr>
              <w:t>Stupanj 3</w:t>
            </w:r>
          </w:p>
        </w:tc>
        <w:tc>
          <w:tcPr>
            <w:tcW w:w="850" w:type="dxa"/>
            <w:tcBorders>
              <w:top w:val="nil"/>
              <w:left w:val="nil"/>
              <w:bottom w:val="nil"/>
              <w:right w:val="nil"/>
            </w:tcBorders>
            <w:shd w:val="clear" w:color="auto" w:fill="auto"/>
            <w:noWrap/>
            <w:vAlign w:val="bottom"/>
          </w:tcPr>
          <w:p w14:paraId="55602428" w14:textId="77777777" w:rsidR="009E5929" w:rsidRPr="004B4498" w:rsidRDefault="009E5929" w:rsidP="0034622E">
            <w:pPr>
              <w:jc w:val="right"/>
              <w:rPr>
                <w:rFonts w:ascii="Arial" w:hAnsi="Arial" w:cs="Arial"/>
                <w:b/>
                <w:bCs/>
                <w:color w:val="000000" w:themeColor="text1"/>
                <w:sz w:val="14"/>
                <w:szCs w:val="14"/>
              </w:rPr>
            </w:pPr>
          </w:p>
        </w:tc>
      </w:tr>
      <w:tr w:rsidR="009E5929" w:rsidRPr="003364B5" w14:paraId="6BC58873" w14:textId="77777777" w:rsidTr="0034622E">
        <w:trPr>
          <w:trHeight w:val="288"/>
        </w:trPr>
        <w:tc>
          <w:tcPr>
            <w:tcW w:w="1531" w:type="dxa"/>
            <w:tcBorders>
              <w:top w:val="nil"/>
              <w:left w:val="nil"/>
              <w:bottom w:val="nil"/>
              <w:right w:val="nil"/>
            </w:tcBorders>
            <w:shd w:val="clear" w:color="auto" w:fill="auto"/>
            <w:noWrap/>
            <w:vAlign w:val="bottom"/>
            <w:hideMark/>
          </w:tcPr>
          <w:p w14:paraId="1D0AFF10" w14:textId="77777777" w:rsidR="009E5929" w:rsidRPr="004B4498" w:rsidRDefault="009E5929" w:rsidP="0034622E">
            <w:pPr>
              <w:jc w:val="right"/>
              <w:rPr>
                <w:rFonts w:ascii="Arial" w:hAnsi="Arial" w:cs="Arial"/>
                <w:b/>
                <w:bCs/>
                <w:color w:val="000000" w:themeColor="text1"/>
                <w:sz w:val="14"/>
                <w:szCs w:val="14"/>
              </w:rPr>
            </w:pPr>
          </w:p>
        </w:tc>
        <w:tc>
          <w:tcPr>
            <w:tcW w:w="850" w:type="dxa"/>
            <w:tcBorders>
              <w:top w:val="nil"/>
              <w:left w:val="nil"/>
              <w:bottom w:val="nil"/>
              <w:right w:val="nil"/>
            </w:tcBorders>
            <w:shd w:val="clear" w:color="auto" w:fill="auto"/>
            <w:noWrap/>
            <w:vAlign w:val="bottom"/>
            <w:hideMark/>
          </w:tcPr>
          <w:p w14:paraId="49E7D90F" w14:textId="77777777" w:rsidR="009E5929" w:rsidRPr="004B4498" w:rsidRDefault="009E5929" w:rsidP="0034622E">
            <w:pPr>
              <w:jc w:val="right"/>
              <w:rPr>
                <w:rFonts w:ascii="Arial" w:hAnsi="Arial" w:cs="Arial"/>
                <w:b/>
                <w:bCs/>
                <w:color w:val="000000" w:themeColor="text1"/>
                <w:sz w:val="14"/>
                <w:szCs w:val="14"/>
              </w:rPr>
            </w:pPr>
            <w:r w:rsidRPr="004B4498">
              <w:rPr>
                <w:rFonts w:ascii="Arial" w:hAnsi="Arial" w:cs="Arial"/>
                <w:b/>
                <w:bCs/>
                <w:color w:val="000000" w:themeColor="text1"/>
                <w:sz w:val="14"/>
                <w:szCs w:val="14"/>
              </w:rPr>
              <w:t xml:space="preserve">000 </w:t>
            </w:r>
            <w:r>
              <w:rPr>
                <w:rFonts w:ascii="Arial" w:hAnsi="Arial" w:cs="Arial"/>
                <w:b/>
                <w:bCs/>
                <w:color w:val="000000" w:themeColor="text1"/>
                <w:sz w:val="14"/>
                <w:szCs w:val="14"/>
              </w:rPr>
              <w:t>eura</w:t>
            </w:r>
          </w:p>
        </w:tc>
        <w:tc>
          <w:tcPr>
            <w:tcW w:w="850" w:type="dxa"/>
            <w:tcBorders>
              <w:top w:val="nil"/>
              <w:left w:val="nil"/>
              <w:bottom w:val="nil"/>
              <w:right w:val="nil"/>
            </w:tcBorders>
            <w:shd w:val="clear" w:color="auto" w:fill="auto"/>
            <w:noWrap/>
            <w:vAlign w:val="bottom"/>
            <w:hideMark/>
          </w:tcPr>
          <w:p w14:paraId="5E7F02E4" w14:textId="77777777" w:rsidR="009E5929" w:rsidRPr="004B4498" w:rsidRDefault="009E5929" w:rsidP="0034622E">
            <w:pPr>
              <w:jc w:val="right"/>
              <w:rPr>
                <w:rFonts w:ascii="Arial" w:hAnsi="Arial" w:cs="Arial"/>
                <w:b/>
                <w:bCs/>
                <w:color w:val="000000" w:themeColor="text1"/>
                <w:sz w:val="14"/>
                <w:szCs w:val="14"/>
              </w:rPr>
            </w:pPr>
            <w:r w:rsidRPr="004B4498">
              <w:rPr>
                <w:rFonts w:ascii="Arial" w:hAnsi="Arial" w:cs="Arial"/>
                <w:b/>
                <w:bCs/>
                <w:color w:val="000000" w:themeColor="text1"/>
                <w:sz w:val="14"/>
                <w:szCs w:val="14"/>
              </w:rPr>
              <w:t xml:space="preserve">000 </w:t>
            </w:r>
            <w:r>
              <w:rPr>
                <w:rFonts w:ascii="Arial" w:hAnsi="Arial" w:cs="Arial"/>
                <w:b/>
                <w:bCs/>
                <w:color w:val="000000" w:themeColor="text1"/>
                <w:sz w:val="14"/>
                <w:szCs w:val="14"/>
              </w:rPr>
              <w:t>eura</w:t>
            </w:r>
          </w:p>
        </w:tc>
        <w:tc>
          <w:tcPr>
            <w:tcW w:w="850" w:type="dxa"/>
            <w:tcBorders>
              <w:top w:val="nil"/>
              <w:left w:val="nil"/>
              <w:bottom w:val="nil"/>
              <w:right w:val="nil"/>
            </w:tcBorders>
            <w:shd w:val="clear" w:color="auto" w:fill="auto"/>
            <w:noWrap/>
            <w:vAlign w:val="bottom"/>
            <w:hideMark/>
          </w:tcPr>
          <w:p w14:paraId="499EDAFD" w14:textId="77777777" w:rsidR="009E5929" w:rsidRPr="004B4498" w:rsidRDefault="009E5929" w:rsidP="0034622E">
            <w:pPr>
              <w:jc w:val="right"/>
              <w:rPr>
                <w:rFonts w:ascii="Arial" w:hAnsi="Arial" w:cs="Arial"/>
                <w:b/>
                <w:bCs/>
                <w:color w:val="000000" w:themeColor="text1"/>
                <w:sz w:val="14"/>
                <w:szCs w:val="14"/>
              </w:rPr>
            </w:pPr>
            <w:r w:rsidRPr="004B4498">
              <w:rPr>
                <w:rFonts w:ascii="Arial" w:hAnsi="Arial" w:cs="Arial"/>
                <w:b/>
                <w:bCs/>
                <w:color w:val="000000" w:themeColor="text1"/>
                <w:sz w:val="14"/>
                <w:szCs w:val="14"/>
              </w:rPr>
              <w:t xml:space="preserve">000 </w:t>
            </w:r>
            <w:r>
              <w:rPr>
                <w:rFonts w:ascii="Arial" w:hAnsi="Arial" w:cs="Arial"/>
                <w:b/>
                <w:bCs/>
                <w:color w:val="000000" w:themeColor="text1"/>
                <w:sz w:val="14"/>
                <w:szCs w:val="14"/>
              </w:rPr>
              <w:t>eura</w:t>
            </w:r>
          </w:p>
        </w:tc>
        <w:tc>
          <w:tcPr>
            <w:tcW w:w="850" w:type="dxa"/>
            <w:tcBorders>
              <w:top w:val="nil"/>
              <w:left w:val="nil"/>
              <w:bottom w:val="nil"/>
              <w:right w:val="nil"/>
            </w:tcBorders>
            <w:shd w:val="clear" w:color="auto" w:fill="auto"/>
            <w:vAlign w:val="bottom"/>
          </w:tcPr>
          <w:p w14:paraId="6E4406E8" w14:textId="77777777" w:rsidR="009E5929" w:rsidRPr="004B4498" w:rsidRDefault="009E5929" w:rsidP="0034622E">
            <w:pPr>
              <w:jc w:val="right"/>
              <w:rPr>
                <w:rFonts w:ascii="Arial" w:hAnsi="Arial" w:cs="Arial"/>
                <w:b/>
                <w:bCs/>
                <w:color w:val="000000" w:themeColor="text1"/>
                <w:sz w:val="14"/>
                <w:szCs w:val="14"/>
              </w:rPr>
            </w:pPr>
            <w:r w:rsidRPr="004B4498">
              <w:rPr>
                <w:rFonts w:ascii="Arial" w:hAnsi="Arial" w:cs="Arial"/>
                <w:b/>
                <w:bCs/>
                <w:color w:val="000000" w:themeColor="text1"/>
                <w:sz w:val="14"/>
                <w:szCs w:val="14"/>
              </w:rPr>
              <w:t xml:space="preserve">000 </w:t>
            </w:r>
            <w:r>
              <w:rPr>
                <w:rFonts w:ascii="Arial" w:hAnsi="Arial" w:cs="Arial"/>
                <w:b/>
                <w:bCs/>
                <w:color w:val="000000" w:themeColor="text1"/>
                <w:sz w:val="14"/>
                <w:szCs w:val="14"/>
              </w:rPr>
              <w:t>eura</w:t>
            </w:r>
          </w:p>
        </w:tc>
        <w:tc>
          <w:tcPr>
            <w:tcW w:w="850" w:type="dxa"/>
            <w:tcBorders>
              <w:top w:val="nil"/>
              <w:left w:val="nil"/>
              <w:bottom w:val="nil"/>
              <w:right w:val="nil"/>
            </w:tcBorders>
            <w:shd w:val="clear" w:color="auto" w:fill="auto"/>
            <w:noWrap/>
            <w:vAlign w:val="bottom"/>
            <w:hideMark/>
          </w:tcPr>
          <w:p w14:paraId="42C9DACE" w14:textId="77777777" w:rsidR="009E5929" w:rsidRPr="004B4498" w:rsidRDefault="009E5929" w:rsidP="0034622E">
            <w:pPr>
              <w:jc w:val="right"/>
              <w:rPr>
                <w:rFonts w:ascii="Arial" w:hAnsi="Arial" w:cs="Arial"/>
                <w:b/>
                <w:bCs/>
                <w:color w:val="000000" w:themeColor="text1"/>
                <w:sz w:val="14"/>
                <w:szCs w:val="14"/>
              </w:rPr>
            </w:pPr>
            <w:r w:rsidRPr="004B4498">
              <w:rPr>
                <w:rFonts w:ascii="Arial" w:hAnsi="Arial" w:cs="Arial"/>
                <w:b/>
                <w:bCs/>
                <w:color w:val="000000" w:themeColor="text1"/>
                <w:sz w:val="14"/>
                <w:szCs w:val="14"/>
              </w:rPr>
              <w:t xml:space="preserve">000 </w:t>
            </w:r>
            <w:r>
              <w:rPr>
                <w:rFonts w:ascii="Arial" w:hAnsi="Arial" w:cs="Arial"/>
                <w:b/>
                <w:bCs/>
                <w:color w:val="000000" w:themeColor="text1"/>
                <w:sz w:val="14"/>
                <w:szCs w:val="14"/>
              </w:rPr>
              <w:t>eura</w:t>
            </w:r>
          </w:p>
        </w:tc>
        <w:tc>
          <w:tcPr>
            <w:tcW w:w="850" w:type="dxa"/>
            <w:tcBorders>
              <w:top w:val="nil"/>
              <w:left w:val="nil"/>
              <w:bottom w:val="nil"/>
              <w:right w:val="nil"/>
            </w:tcBorders>
            <w:shd w:val="clear" w:color="auto" w:fill="auto"/>
            <w:noWrap/>
            <w:vAlign w:val="bottom"/>
            <w:hideMark/>
          </w:tcPr>
          <w:p w14:paraId="54DBF9A9" w14:textId="77777777" w:rsidR="009E5929" w:rsidRPr="004B4498" w:rsidRDefault="009E5929" w:rsidP="0034622E">
            <w:pPr>
              <w:jc w:val="right"/>
              <w:rPr>
                <w:rFonts w:ascii="Arial" w:hAnsi="Arial" w:cs="Arial"/>
                <w:b/>
                <w:bCs/>
                <w:color w:val="000000" w:themeColor="text1"/>
                <w:sz w:val="14"/>
                <w:szCs w:val="14"/>
              </w:rPr>
            </w:pPr>
            <w:r w:rsidRPr="004B4498">
              <w:rPr>
                <w:rFonts w:ascii="Arial" w:hAnsi="Arial" w:cs="Arial"/>
                <w:b/>
                <w:bCs/>
                <w:color w:val="000000" w:themeColor="text1"/>
                <w:sz w:val="14"/>
                <w:szCs w:val="14"/>
              </w:rPr>
              <w:t xml:space="preserve">000 </w:t>
            </w:r>
            <w:r>
              <w:rPr>
                <w:rFonts w:ascii="Arial" w:hAnsi="Arial" w:cs="Arial"/>
                <w:b/>
                <w:bCs/>
                <w:color w:val="000000" w:themeColor="text1"/>
                <w:sz w:val="14"/>
                <w:szCs w:val="14"/>
              </w:rPr>
              <w:t>eura</w:t>
            </w:r>
          </w:p>
        </w:tc>
        <w:tc>
          <w:tcPr>
            <w:tcW w:w="850" w:type="dxa"/>
            <w:tcBorders>
              <w:top w:val="nil"/>
              <w:left w:val="nil"/>
              <w:bottom w:val="nil"/>
              <w:right w:val="nil"/>
            </w:tcBorders>
            <w:shd w:val="clear" w:color="auto" w:fill="auto"/>
            <w:noWrap/>
            <w:vAlign w:val="bottom"/>
            <w:hideMark/>
          </w:tcPr>
          <w:p w14:paraId="1605A6A8" w14:textId="77777777" w:rsidR="009E5929" w:rsidRPr="004B4498" w:rsidRDefault="009E5929" w:rsidP="0034622E">
            <w:pPr>
              <w:jc w:val="right"/>
              <w:rPr>
                <w:rFonts w:ascii="Arial" w:hAnsi="Arial" w:cs="Arial"/>
                <w:b/>
                <w:bCs/>
                <w:color w:val="000000" w:themeColor="text1"/>
                <w:sz w:val="14"/>
                <w:szCs w:val="14"/>
              </w:rPr>
            </w:pPr>
            <w:r w:rsidRPr="004B4498">
              <w:rPr>
                <w:rFonts w:ascii="Arial" w:hAnsi="Arial" w:cs="Arial"/>
                <w:b/>
                <w:bCs/>
                <w:color w:val="000000" w:themeColor="text1"/>
                <w:sz w:val="14"/>
                <w:szCs w:val="14"/>
              </w:rPr>
              <w:t xml:space="preserve">000 </w:t>
            </w:r>
            <w:r>
              <w:rPr>
                <w:rFonts w:ascii="Arial" w:hAnsi="Arial" w:cs="Arial"/>
                <w:b/>
                <w:bCs/>
                <w:color w:val="000000" w:themeColor="text1"/>
                <w:sz w:val="14"/>
                <w:szCs w:val="14"/>
              </w:rPr>
              <w:t>eura</w:t>
            </w:r>
          </w:p>
        </w:tc>
        <w:tc>
          <w:tcPr>
            <w:tcW w:w="850" w:type="dxa"/>
            <w:tcBorders>
              <w:top w:val="nil"/>
              <w:left w:val="nil"/>
              <w:bottom w:val="nil"/>
              <w:right w:val="nil"/>
            </w:tcBorders>
            <w:shd w:val="clear" w:color="auto" w:fill="auto"/>
            <w:noWrap/>
            <w:vAlign w:val="bottom"/>
            <w:hideMark/>
          </w:tcPr>
          <w:p w14:paraId="71D741D6" w14:textId="77777777" w:rsidR="009E5929" w:rsidRPr="004B4498" w:rsidRDefault="009E5929" w:rsidP="0034622E">
            <w:pPr>
              <w:jc w:val="right"/>
              <w:rPr>
                <w:rFonts w:ascii="Arial" w:hAnsi="Arial" w:cs="Arial"/>
                <w:b/>
                <w:bCs/>
                <w:color w:val="000000" w:themeColor="text1"/>
                <w:sz w:val="14"/>
                <w:szCs w:val="14"/>
              </w:rPr>
            </w:pPr>
            <w:r w:rsidRPr="004B4498">
              <w:rPr>
                <w:rFonts w:ascii="Arial" w:hAnsi="Arial" w:cs="Arial"/>
                <w:b/>
                <w:bCs/>
                <w:color w:val="000000" w:themeColor="text1"/>
                <w:sz w:val="14"/>
                <w:szCs w:val="14"/>
              </w:rPr>
              <w:t xml:space="preserve">000 </w:t>
            </w:r>
            <w:r>
              <w:rPr>
                <w:rFonts w:ascii="Arial" w:hAnsi="Arial" w:cs="Arial"/>
                <w:b/>
                <w:bCs/>
                <w:color w:val="000000" w:themeColor="text1"/>
                <w:sz w:val="14"/>
                <w:szCs w:val="14"/>
              </w:rPr>
              <w:t>eura</w:t>
            </w:r>
          </w:p>
        </w:tc>
        <w:tc>
          <w:tcPr>
            <w:tcW w:w="850" w:type="dxa"/>
            <w:tcBorders>
              <w:top w:val="nil"/>
              <w:left w:val="nil"/>
              <w:bottom w:val="nil"/>
              <w:right w:val="nil"/>
            </w:tcBorders>
            <w:shd w:val="clear" w:color="auto" w:fill="auto"/>
            <w:vAlign w:val="bottom"/>
          </w:tcPr>
          <w:p w14:paraId="6A05A188" w14:textId="77777777" w:rsidR="009E5929" w:rsidRPr="004B4498" w:rsidRDefault="009E5929" w:rsidP="0034622E">
            <w:pPr>
              <w:jc w:val="right"/>
              <w:rPr>
                <w:rFonts w:ascii="Arial" w:hAnsi="Arial" w:cs="Arial"/>
                <w:b/>
                <w:bCs/>
                <w:color w:val="000000" w:themeColor="text1"/>
                <w:sz w:val="14"/>
                <w:szCs w:val="14"/>
              </w:rPr>
            </w:pPr>
            <w:r w:rsidRPr="004B4498">
              <w:rPr>
                <w:rFonts w:ascii="Arial" w:hAnsi="Arial" w:cs="Arial"/>
                <w:b/>
                <w:bCs/>
                <w:color w:val="000000" w:themeColor="text1"/>
                <w:sz w:val="14"/>
                <w:szCs w:val="14"/>
              </w:rPr>
              <w:t xml:space="preserve">000 </w:t>
            </w:r>
            <w:r>
              <w:rPr>
                <w:rFonts w:ascii="Arial" w:hAnsi="Arial" w:cs="Arial"/>
                <w:b/>
                <w:bCs/>
                <w:color w:val="000000" w:themeColor="text1"/>
                <w:sz w:val="14"/>
                <w:szCs w:val="14"/>
              </w:rPr>
              <w:t>eura</w:t>
            </w:r>
          </w:p>
        </w:tc>
        <w:tc>
          <w:tcPr>
            <w:tcW w:w="850" w:type="dxa"/>
            <w:tcBorders>
              <w:top w:val="nil"/>
              <w:left w:val="nil"/>
              <w:bottom w:val="nil"/>
              <w:right w:val="nil"/>
            </w:tcBorders>
            <w:shd w:val="clear" w:color="auto" w:fill="auto"/>
            <w:noWrap/>
            <w:vAlign w:val="bottom"/>
            <w:hideMark/>
          </w:tcPr>
          <w:p w14:paraId="7512C2BB" w14:textId="77777777" w:rsidR="009E5929" w:rsidRPr="004B4498" w:rsidRDefault="009E5929" w:rsidP="0034622E">
            <w:pPr>
              <w:jc w:val="right"/>
              <w:rPr>
                <w:rFonts w:ascii="Arial" w:hAnsi="Arial" w:cs="Arial"/>
                <w:b/>
                <w:bCs/>
                <w:color w:val="000000" w:themeColor="text1"/>
                <w:sz w:val="14"/>
                <w:szCs w:val="14"/>
              </w:rPr>
            </w:pPr>
            <w:r w:rsidRPr="004B4498">
              <w:rPr>
                <w:rFonts w:ascii="Arial" w:hAnsi="Arial" w:cs="Arial"/>
                <w:b/>
                <w:bCs/>
                <w:color w:val="000000" w:themeColor="text1"/>
                <w:sz w:val="14"/>
                <w:szCs w:val="14"/>
              </w:rPr>
              <w:t xml:space="preserve">000 </w:t>
            </w:r>
            <w:r>
              <w:rPr>
                <w:rFonts w:ascii="Arial" w:hAnsi="Arial" w:cs="Arial"/>
                <w:b/>
                <w:bCs/>
                <w:color w:val="000000" w:themeColor="text1"/>
                <w:sz w:val="14"/>
                <w:szCs w:val="14"/>
              </w:rPr>
              <w:t>eura</w:t>
            </w:r>
          </w:p>
        </w:tc>
      </w:tr>
      <w:tr w:rsidR="009E5929" w:rsidRPr="003364B5" w14:paraId="10C23C86" w14:textId="77777777" w:rsidTr="0034622E">
        <w:trPr>
          <w:trHeight w:val="244"/>
        </w:trPr>
        <w:tc>
          <w:tcPr>
            <w:tcW w:w="1531" w:type="dxa"/>
            <w:tcBorders>
              <w:top w:val="nil"/>
              <w:left w:val="nil"/>
              <w:bottom w:val="nil"/>
              <w:right w:val="nil"/>
            </w:tcBorders>
            <w:shd w:val="clear" w:color="auto" w:fill="auto"/>
            <w:noWrap/>
            <w:vAlign w:val="bottom"/>
            <w:hideMark/>
          </w:tcPr>
          <w:p w14:paraId="1410A22F" w14:textId="77777777" w:rsidR="009E5929" w:rsidRPr="004B4498" w:rsidRDefault="009E5929" w:rsidP="0034622E">
            <w:pPr>
              <w:rPr>
                <w:rFonts w:ascii="Arial" w:hAnsi="Arial" w:cs="Arial"/>
                <w:color w:val="000000" w:themeColor="text1"/>
                <w:sz w:val="14"/>
                <w:szCs w:val="14"/>
              </w:rPr>
            </w:pPr>
            <w:r w:rsidRPr="004B4498">
              <w:rPr>
                <w:rFonts w:ascii="Arial" w:hAnsi="Arial" w:cs="Arial"/>
                <w:color w:val="000000" w:themeColor="text1"/>
                <w:sz w:val="14"/>
                <w:szCs w:val="14"/>
              </w:rPr>
              <w:t>Bruto iznos</w:t>
            </w:r>
          </w:p>
        </w:tc>
        <w:tc>
          <w:tcPr>
            <w:tcW w:w="850" w:type="dxa"/>
            <w:tcBorders>
              <w:top w:val="nil"/>
              <w:left w:val="nil"/>
              <w:bottom w:val="nil"/>
              <w:right w:val="nil"/>
            </w:tcBorders>
            <w:shd w:val="clear" w:color="auto" w:fill="auto"/>
            <w:noWrap/>
            <w:vAlign w:val="bottom"/>
          </w:tcPr>
          <w:p w14:paraId="5D2AA908" w14:textId="77777777" w:rsidR="009E5929" w:rsidRPr="00B119F0" w:rsidRDefault="009E5929" w:rsidP="0034622E">
            <w:pPr>
              <w:jc w:val="right"/>
              <w:rPr>
                <w:rFonts w:ascii="Arial" w:hAnsi="Arial" w:cs="Arial"/>
                <w:sz w:val="14"/>
                <w:szCs w:val="14"/>
              </w:rPr>
            </w:pPr>
            <w:r w:rsidRPr="00F959D0">
              <w:rPr>
                <w:rFonts w:ascii="Arial" w:hAnsi="Arial" w:cs="Arial"/>
                <w:sz w:val="14"/>
                <w:szCs w:val="14"/>
              </w:rPr>
              <w:t xml:space="preserve"> 1.644 </w:t>
            </w:r>
          </w:p>
        </w:tc>
        <w:tc>
          <w:tcPr>
            <w:tcW w:w="850" w:type="dxa"/>
            <w:tcBorders>
              <w:top w:val="nil"/>
              <w:left w:val="nil"/>
              <w:bottom w:val="nil"/>
              <w:right w:val="nil"/>
            </w:tcBorders>
            <w:shd w:val="clear" w:color="auto" w:fill="auto"/>
            <w:noWrap/>
            <w:vAlign w:val="bottom"/>
          </w:tcPr>
          <w:p w14:paraId="48A38E71" w14:textId="77777777" w:rsidR="009E5929" w:rsidRPr="00B119F0" w:rsidRDefault="009E5929" w:rsidP="0034622E">
            <w:pPr>
              <w:jc w:val="right"/>
              <w:rPr>
                <w:rFonts w:ascii="Arial" w:hAnsi="Arial" w:cs="Arial"/>
                <w:sz w:val="14"/>
                <w:szCs w:val="14"/>
              </w:rPr>
            </w:pPr>
            <w:r w:rsidRPr="00F959D0">
              <w:rPr>
                <w:rFonts w:ascii="Arial" w:hAnsi="Arial" w:cs="Arial"/>
                <w:sz w:val="14"/>
                <w:szCs w:val="14"/>
              </w:rPr>
              <w:t xml:space="preserve"> 12 </w:t>
            </w:r>
          </w:p>
        </w:tc>
        <w:tc>
          <w:tcPr>
            <w:tcW w:w="850" w:type="dxa"/>
            <w:tcBorders>
              <w:top w:val="nil"/>
              <w:left w:val="nil"/>
              <w:bottom w:val="nil"/>
              <w:right w:val="nil"/>
            </w:tcBorders>
            <w:shd w:val="clear" w:color="auto" w:fill="auto"/>
            <w:noWrap/>
            <w:vAlign w:val="bottom"/>
          </w:tcPr>
          <w:p w14:paraId="459C6C87" w14:textId="77777777" w:rsidR="009E5929" w:rsidRPr="00B119F0" w:rsidRDefault="009E5929" w:rsidP="0034622E">
            <w:pPr>
              <w:jc w:val="right"/>
              <w:rPr>
                <w:rFonts w:ascii="Arial" w:hAnsi="Arial" w:cs="Arial"/>
                <w:sz w:val="14"/>
                <w:szCs w:val="14"/>
              </w:rPr>
            </w:pPr>
            <w:r w:rsidRPr="00F959D0">
              <w:rPr>
                <w:rFonts w:ascii="Arial" w:hAnsi="Arial" w:cs="Arial"/>
                <w:sz w:val="14"/>
                <w:szCs w:val="14"/>
              </w:rPr>
              <w:t xml:space="preserve"> 4.535 </w:t>
            </w:r>
          </w:p>
        </w:tc>
        <w:tc>
          <w:tcPr>
            <w:tcW w:w="850" w:type="dxa"/>
            <w:tcBorders>
              <w:top w:val="nil"/>
              <w:left w:val="nil"/>
              <w:bottom w:val="nil"/>
              <w:right w:val="nil"/>
            </w:tcBorders>
            <w:vAlign w:val="bottom"/>
          </w:tcPr>
          <w:p w14:paraId="1CFC4AF7" w14:textId="77777777" w:rsidR="009E5929" w:rsidRPr="00B119F0" w:rsidRDefault="009E5929" w:rsidP="0034622E">
            <w:pPr>
              <w:jc w:val="right"/>
              <w:rPr>
                <w:rFonts w:ascii="Arial" w:hAnsi="Arial" w:cs="Arial"/>
                <w:sz w:val="14"/>
                <w:szCs w:val="14"/>
              </w:rPr>
            </w:pPr>
            <w:r w:rsidRPr="00F959D0">
              <w:rPr>
                <w:rFonts w:ascii="Arial" w:hAnsi="Arial" w:cs="Arial"/>
                <w:sz w:val="14"/>
                <w:szCs w:val="14"/>
              </w:rPr>
              <w:t xml:space="preserve"> 42 </w:t>
            </w:r>
          </w:p>
        </w:tc>
        <w:tc>
          <w:tcPr>
            <w:tcW w:w="850" w:type="dxa"/>
            <w:tcBorders>
              <w:top w:val="nil"/>
              <w:left w:val="nil"/>
              <w:bottom w:val="nil"/>
              <w:right w:val="nil"/>
            </w:tcBorders>
            <w:shd w:val="clear" w:color="auto" w:fill="auto"/>
            <w:noWrap/>
            <w:vAlign w:val="bottom"/>
          </w:tcPr>
          <w:p w14:paraId="15D4A9FE" w14:textId="77777777" w:rsidR="009E5929" w:rsidRPr="00B119F0" w:rsidRDefault="009E5929" w:rsidP="0034622E">
            <w:pPr>
              <w:jc w:val="right"/>
              <w:rPr>
                <w:rFonts w:ascii="Arial" w:hAnsi="Arial" w:cs="Arial"/>
                <w:b/>
                <w:bCs/>
                <w:sz w:val="14"/>
                <w:szCs w:val="14"/>
              </w:rPr>
            </w:pPr>
            <w:r w:rsidRPr="00F959D0">
              <w:rPr>
                <w:rFonts w:ascii="Arial" w:hAnsi="Arial" w:cs="Arial"/>
                <w:b/>
                <w:bCs/>
                <w:sz w:val="14"/>
                <w:szCs w:val="14"/>
              </w:rPr>
              <w:t xml:space="preserve"> 6.233 </w:t>
            </w:r>
          </w:p>
        </w:tc>
        <w:tc>
          <w:tcPr>
            <w:tcW w:w="850" w:type="dxa"/>
            <w:tcBorders>
              <w:top w:val="nil"/>
              <w:left w:val="nil"/>
              <w:bottom w:val="nil"/>
              <w:right w:val="nil"/>
            </w:tcBorders>
            <w:shd w:val="clear" w:color="auto" w:fill="auto"/>
            <w:noWrap/>
            <w:vAlign w:val="bottom"/>
          </w:tcPr>
          <w:p w14:paraId="1A8A3AF6" w14:textId="77777777" w:rsidR="009E5929" w:rsidRPr="00AA2D5F" w:rsidRDefault="009E5929" w:rsidP="0034622E">
            <w:pPr>
              <w:jc w:val="right"/>
              <w:rPr>
                <w:rFonts w:ascii="Arial" w:hAnsi="Arial" w:cs="Arial"/>
                <w:sz w:val="14"/>
                <w:szCs w:val="14"/>
              </w:rPr>
            </w:pPr>
            <w:r w:rsidRPr="00F959D0">
              <w:rPr>
                <w:rFonts w:ascii="Arial" w:hAnsi="Arial" w:cs="Arial"/>
                <w:sz w:val="14"/>
                <w:szCs w:val="14"/>
              </w:rPr>
              <w:t xml:space="preserve"> 876 </w:t>
            </w:r>
          </w:p>
        </w:tc>
        <w:tc>
          <w:tcPr>
            <w:tcW w:w="850" w:type="dxa"/>
            <w:tcBorders>
              <w:top w:val="nil"/>
              <w:left w:val="nil"/>
              <w:bottom w:val="nil"/>
              <w:right w:val="nil"/>
            </w:tcBorders>
            <w:shd w:val="clear" w:color="auto" w:fill="auto"/>
            <w:noWrap/>
            <w:vAlign w:val="bottom"/>
          </w:tcPr>
          <w:p w14:paraId="44049FFF" w14:textId="77777777" w:rsidR="009E5929" w:rsidRPr="00AA2D5F" w:rsidRDefault="009E5929" w:rsidP="0034622E">
            <w:pPr>
              <w:jc w:val="right"/>
              <w:rPr>
                <w:rFonts w:ascii="Arial" w:hAnsi="Arial" w:cs="Arial"/>
                <w:sz w:val="14"/>
                <w:szCs w:val="14"/>
              </w:rPr>
            </w:pPr>
            <w:r w:rsidRPr="00F959D0">
              <w:rPr>
                <w:rFonts w:ascii="Arial" w:hAnsi="Arial" w:cs="Arial"/>
                <w:sz w:val="14"/>
                <w:szCs w:val="14"/>
              </w:rPr>
              <w:t xml:space="preserve"> 12 </w:t>
            </w:r>
          </w:p>
        </w:tc>
        <w:tc>
          <w:tcPr>
            <w:tcW w:w="850" w:type="dxa"/>
            <w:tcBorders>
              <w:top w:val="nil"/>
              <w:left w:val="nil"/>
              <w:bottom w:val="nil"/>
              <w:right w:val="nil"/>
            </w:tcBorders>
            <w:shd w:val="clear" w:color="auto" w:fill="auto"/>
            <w:noWrap/>
            <w:vAlign w:val="bottom"/>
          </w:tcPr>
          <w:p w14:paraId="007ACF0F" w14:textId="77777777" w:rsidR="009E5929" w:rsidRPr="00AA2D5F" w:rsidRDefault="009E5929" w:rsidP="0034622E">
            <w:pPr>
              <w:jc w:val="right"/>
              <w:rPr>
                <w:rFonts w:ascii="Arial" w:hAnsi="Arial" w:cs="Arial"/>
                <w:sz w:val="14"/>
                <w:szCs w:val="14"/>
              </w:rPr>
            </w:pPr>
            <w:r w:rsidRPr="00F959D0">
              <w:rPr>
                <w:rFonts w:ascii="Arial" w:hAnsi="Arial" w:cs="Arial"/>
                <w:sz w:val="14"/>
                <w:szCs w:val="14"/>
              </w:rPr>
              <w:t xml:space="preserve"> 4.535 </w:t>
            </w:r>
          </w:p>
        </w:tc>
        <w:tc>
          <w:tcPr>
            <w:tcW w:w="850" w:type="dxa"/>
            <w:tcBorders>
              <w:top w:val="nil"/>
              <w:left w:val="nil"/>
              <w:bottom w:val="nil"/>
              <w:right w:val="nil"/>
            </w:tcBorders>
            <w:vAlign w:val="bottom"/>
          </w:tcPr>
          <w:p w14:paraId="026628A0" w14:textId="77777777" w:rsidR="009E5929" w:rsidRPr="00AA2D5F" w:rsidRDefault="009E5929" w:rsidP="0034622E">
            <w:pPr>
              <w:jc w:val="right"/>
              <w:rPr>
                <w:rFonts w:ascii="Arial" w:hAnsi="Arial" w:cs="Arial"/>
                <w:sz w:val="14"/>
                <w:szCs w:val="14"/>
              </w:rPr>
            </w:pPr>
            <w:r w:rsidRPr="00F959D0">
              <w:rPr>
                <w:rFonts w:ascii="Arial" w:hAnsi="Arial" w:cs="Arial"/>
                <w:sz w:val="14"/>
                <w:szCs w:val="14"/>
              </w:rPr>
              <w:t xml:space="preserve"> 42 </w:t>
            </w:r>
          </w:p>
        </w:tc>
        <w:tc>
          <w:tcPr>
            <w:tcW w:w="850" w:type="dxa"/>
            <w:tcBorders>
              <w:top w:val="nil"/>
              <w:left w:val="nil"/>
              <w:bottom w:val="nil"/>
              <w:right w:val="nil"/>
            </w:tcBorders>
            <w:shd w:val="clear" w:color="auto" w:fill="auto"/>
            <w:noWrap/>
            <w:vAlign w:val="bottom"/>
          </w:tcPr>
          <w:p w14:paraId="2431421E" w14:textId="77777777" w:rsidR="009E5929" w:rsidRPr="00D87D1A" w:rsidRDefault="009E5929" w:rsidP="0034622E">
            <w:pPr>
              <w:jc w:val="right"/>
              <w:rPr>
                <w:rFonts w:ascii="Arial" w:hAnsi="Arial" w:cs="Arial"/>
                <w:b/>
                <w:bCs/>
                <w:sz w:val="14"/>
                <w:szCs w:val="14"/>
              </w:rPr>
            </w:pPr>
            <w:r w:rsidRPr="00F959D0">
              <w:rPr>
                <w:rFonts w:ascii="Arial" w:hAnsi="Arial" w:cs="Arial"/>
                <w:b/>
                <w:bCs/>
                <w:sz w:val="14"/>
                <w:szCs w:val="14"/>
              </w:rPr>
              <w:t xml:space="preserve"> 5.465 </w:t>
            </w:r>
          </w:p>
        </w:tc>
      </w:tr>
      <w:tr w:rsidR="009E5929" w:rsidRPr="003364B5" w14:paraId="1D974AC1" w14:textId="77777777" w:rsidTr="0034622E">
        <w:trPr>
          <w:trHeight w:val="277"/>
        </w:trPr>
        <w:tc>
          <w:tcPr>
            <w:tcW w:w="1531" w:type="dxa"/>
            <w:tcBorders>
              <w:top w:val="nil"/>
              <w:left w:val="nil"/>
              <w:bottom w:val="nil"/>
              <w:right w:val="nil"/>
            </w:tcBorders>
            <w:shd w:val="clear" w:color="auto" w:fill="auto"/>
            <w:noWrap/>
            <w:vAlign w:val="bottom"/>
            <w:hideMark/>
          </w:tcPr>
          <w:p w14:paraId="06988DAE" w14:textId="77777777" w:rsidR="009E5929" w:rsidRPr="004B4498" w:rsidRDefault="009E5929" w:rsidP="0034622E">
            <w:pPr>
              <w:rPr>
                <w:rFonts w:ascii="Arial" w:hAnsi="Arial" w:cs="Arial"/>
                <w:color w:val="000000" w:themeColor="text1"/>
                <w:sz w:val="14"/>
                <w:szCs w:val="14"/>
              </w:rPr>
            </w:pPr>
            <w:r w:rsidRPr="004B4498">
              <w:rPr>
                <w:rFonts w:ascii="Arial" w:hAnsi="Arial" w:cs="Arial"/>
                <w:color w:val="000000" w:themeColor="text1"/>
                <w:sz w:val="14"/>
                <w:szCs w:val="14"/>
              </w:rPr>
              <w:t>Rezerviranja</w:t>
            </w:r>
          </w:p>
        </w:tc>
        <w:tc>
          <w:tcPr>
            <w:tcW w:w="850" w:type="dxa"/>
            <w:tcBorders>
              <w:top w:val="nil"/>
              <w:left w:val="nil"/>
              <w:bottom w:val="nil"/>
              <w:right w:val="nil"/>
            </w:tcBorders>
            <w:shd w:val="clear" w:color="auto" w:fill="auto"/>
            <w:noWrap/>
            <w:vAlign w:val="bottom"/>
          </w:tcPr>
          <w:p w14:paraId="257FEF64" w14:textId="77777777" w:rsidR="009E5929" w:rsidRPr="00B119F0" w:rsidRDefault="009E5929" w:rsidP="0034622E">
            <w:pPr>
              <w:jc w:val="right"/>
              <w:rPr>
                <w:rFonts w:ascii="Arial" w:hAnsi="Arial" w:cs="Arial"/>
                <w:sz w:val="14"/>
                <w:szCs w:val="14"/>
              </w:rPr>
            </w:pPr>
            <w:r w:rsidRPr="00F959D0">
              <w:rPr>
                <w:rFonts w:ascii="Arial" w:hAnsi="Arial" w:cs="Arial"/>
                <w:sz w:val="14"/>
                <w:szCs w:val="14"/>
              </w:rPr>
              <w:t xml:space="preserve"> (27)</w:t>
            </w:r>
          </w:p>
        </w:tc>
        <w:tc>
          <w:tcPr>
            <w:tcW w:w="850" w:type="dxa"/>
            <w:tcBorders>
              <w:top w:val="nil"/>
              <w:left w:val="nil"/>
              <w:bottom w:val="nil"/>
              <w:right w:val="nil"/>
            </w:tcBorders>
            <w:shd w:val="clear" w:color="auto" w:fill="auto"/>
            <w:noWrap/>
            <w:vAlign w:val="bottom"/>
          </w:tcPr>
          <w:p w14:paraId="380FA0BD" w14:textId="77777777" w:rsidR="009E5929" w:rsidRPr="00B119F0" w:rsidRDefault="009E5929" w:rsidP="0034622E">
            <w:pPr>
              <w:jc w:val="right"/>
              <w:rPr>
                <w:rFonts w:ascii="Arial" w:hAnsi="Arial" w:cs="Arial"/>
                <w:sz w:val="14"/>
                <w:szCs w:val="14"/>
              </w:rPr>
            </w:pPr>
            <w:r w:rsidRPr="00F959D0">
              <w:rPr>
                <w:rFonts w:ascii="Arial" w:hAnsi="Arial" w:cs="Arial"/>
                <w:sz w:val="14"/>
                <w:szCs w:val="14"/>
              </w:rPr>
              <w:t xml:space="preserve"> (1)</w:t>
            </w:r>
          </w:p>
        </w:tc>
        <w:tc>
          <w:tcPr>
            <w:tcW w:w="850" w:type="dxa"/>
            <w:tcBorders>
              <w:top w:val="nil"/>
              <w:left w:val="nil"/>
              <w:bottom w:val="nil"/>
              <w:right w:val="nil"/>
            </w:tcBorders>
            <w:shd w:val="clear" w:color="auto" w:fill="auto"/>
            <w:noWrap/>
            <w:vAlign w:val="bottom"/>
          </w:tcPr>
          <w:p w14:paraId="4A9646D7" w14:textId="77777777" w:rsidR="009E5929" w:rsidRPr="00B119F0" w:rsidRDefault="009E5929" w:rsidP="0034622E">
            <w:pPr>
              <w:jc w:val="right"/>
              <w:rPr>
                <w:rFonts w:ascii="Arial" w:hAnsi="Arial" w:cs="Arial"/>
                <w:sz w:val="14"/>
                <w:szCs w:val="14"/>
              </w:rPr>
            </w:pPr>
            <w:r w:rsidRPr="00F959D0">
              <w:rPr>
                <w:rFonts w:ascii="Arial" w:hAnsi="Arial" w:cs="Arial"/>
                <w:sz w:val="14"/>
                <w:szCs w:val="14"/>
              </w:rPr>
              <w:t xml:space="preserve"> (4.330)</w:t>
            </w:r>
          </w:p>
        </w:tc>
        <w:tc>
          <w:tcPr>
            <w:tcW w:w="850" w:type="dxa"/>
            <w:tcBorders>
              <w:top w:val="nil"/>
              <w:left w:val="nil"/>
              <w:bottom w:val="nil"/>
              <w:right w:val="nil"/>
            </w:tcBorders>
            <w:vAlign w:val="bottom"/>
          </w:tcPr>
          <w:p w14:paraId="022895E7" w14:textId="77777777" w:rsidR="009E5929" w:rsidRPr="00B119F0" w:rsidRDefault="009E5929" w:rsidP="0034622E">
            <w:pPr>
              <w:jc w:val="right"/>
              <w:rPr>
                <w:rFonts w:ascii="Arial" w:hAnsi="Arial" w:cs="Arial"/>
                <w:sz w:val="14"/>
                <w:szCs w:val="14"/>
              </w:rPr>
            </w:pPr>
            <w:r w:rsidRPr="00F959D0">
              <w:rPr>
                <w:rFonts w:ascii="Arial" w:hAnsi="Arial" w:cs="Arial"/>
                <w:sz w:val="14"/>
                <w:szCs w:val="14"/>
              </w:rPr>
              <w:t xml:space="preserve"> (35)</w:t>
            </w:r>
          </w:p>
        </w:tc>
        <w:tc>
          <w:tcPr>
            <w:tcW w:w="850" w:type="dxa"/>
            <w:tcBorders>
              <w:top w:val="nil"/>
              <w:left w:val="nil"/>
              <w:bottom w:val="nil"/>
              <w:right w:val="nil"/>
            </w:tcBorders>
            <w:shd w:val="clear" w:color="auto" w:fill="auto"/>
            <w:noWrap/>
            <w:vAlign w:val="bottom"/>
          </w:tcPr>
          <w:p w14:paraId="6A0B72B1" w14:textId="77777777" w:rsidR="009E5929" w:rsidRPr="00B119F0" w:rsidRDefault="009E5929" w:rsidP="0034622E">
            <w:pPr>
              <w:jc w:val="right"/>
              <w:rPr>
                <w:rFonts w:ascii="Arial" w:hAnsi="Arial" w:cs="Arial"/>
                <w:b/>
                <w:bCs/>
                <w:sz w:val="14"/>
                <w:szCs w:val="14"/>
              </w:rPr>
            </w:pPr>
            <w:r w:rsidRPr="00F959D0">
              <w:rPr>
                <w:rFonts w:ascii="Arial" w:hAnsi="Arial" w:cs="Arial"/>
                <w:b/>
                <w:bCs/>
                <w:sz w:val="14"/>
                <w:szCs w:val="14"/>
              </w:rPr>
              <w:t xml:space="preserve"> (4.393)</w:t>
            </w:r>
          </w:p>
        </w:tc>
        <w:tc>
          <w:tcPr>
            <w:tcW w:w="850" w:type="dxa"/>
            <w:tcBorders>
              <w:top w:val="nil"/>
              <w:left w:val="nil"/>
              <w:bottom w:val="nil"/>
              <w:right w:val="nil"/>
            </w:tcBorders>
            <w:shd w:val="clear" w:color="auto" w:fill="auto"/>
            <w:noWrap/>
            <w:vAlign w:val="bottom"/>
          </w:tcPr>
          <w:p w14:paraId="543BDDD9" w14:textId="77777777" w:rsidR="009E5929" w:rsidRPr="00AA2D5F" w:rsidRDefault="009E5929" w:rsidP="0034622E">
            <w:pPr>
              <w:jc w:val="right"/>
              <w:rPr>
                <w:rFonts w:ascii="Arial" w:hAnsi="Arial" w:cs="Arial"/>
                <w:sz w:val="14"/>
                <w:szCs w:val="14"/>
              </w:rPr>
            </w:pPr>
            <w:r w:rsidRPr="00F959D0">
              <w:rPr>
                <w:rFonts w:ascii="Arial" w:hAnsi="Arial" w:cs="Arial"/>
                <w:sz w:val="14"/>
                <w:szCs w:val="14"/>
              </w:rPr>
              <w:t xml:space="preserve"> (19)</w:t>
            </w:r>
          </w:p>
        </w:tc>
        <w:tc>
          <w:tcPr>
            <w:tcW w:w="850" w:type="dxa"/>
            <w:tcBorders>
              <w:top w:val="nil"/>
              <w:left w:val="nil"/>
              <w:bottom w:val="nil"/>
              <w:right w:val="nil"/>
            </w:tcBorders>
            <w:shd w:val="clear" w:color="auto" w:fill="auto"/>
            <w:noWrap/>
            <w:vAlign w:val="bottom"/>
          </w:tcPr>
          <w:p w14:paraId="17BAADBE" w14:textId="77777777" w:rsidR="009E5929" w:rsidRPr="00AA2D5F" w:rsidRDefault="009E5929" w:rsidP="0034622E">
            <w:pPr>
              <w:jc w:val="right"/>
              <w:rPr>
                <w:rFonts w:ascii="Arial" w:hAnsi="Arial" w:cs="Arial"/>
                <w:sz w:val="14"/>
                <w:szCs w:val="14"/>
              </w:rPr>
            </w:pPr>
            <w:r w:rsidRPr="00F959D0">
              <w:rPr>
                <w:rFonts w:ascii="Arial" w:hAnsi="Arial" w:cs="Arial"/>
                <w:sz w:val="14"/>
                <w:szCs w:val="14"/>
              </w:rPr>
              <w:t xml:space="preserve"> (1)</w:t>
            </w:r>
          </w:p>
        </w:tc>
        <w:tc>
          <w:tcPr>
            <w:tcW w:w="850" w:type="dxa"/>
            <w:tcBorders>
              <w:top w:val="nil"/>
              <w:left w:val="nil"/>
              <w:bottom w:val="nil"/>
              <w:right w:val="nil"/>
            </w:tcBorders>
            <w:shd w:val="clear" w:color="auto" w:fill="auto"/>
            <w:noWrap/>
            <w:vAlign w:val="bottom"/>
          </w:tcPr>
          <w:p w14:paraId="6FA818AE" w14:textId="77777777" w:rsidR="009E5929" w:rsidRPr="00AA2D5F" w:rsidRDefault="009E5929" w:rsidP="0034622E">
            <w:pPr>
              <w:jc w:val="right"/>
              <w:rPr>
                <w:rFonts w:ascii="Arial" w:hAnsi="Arial" w:cs="Arial"/>
                <w:sz w:val="14"/>
                <w:szCs w:val="14"/>
              </w:rPr>
            </w:pPr>
            <w:r w:rsidRPr="00F959D0">
              <w:rPr>
                <w:rFonts w:ascii="Arial" w:hAnsi="Arial" w:cs="Arial"/>
                <w:sz w:val="14"/>
                <w:szCs w:val="14"/>
              </w:rPr>
              <w:t xml:space="preserve"> (4.330)</w:t>
            </w:r>
          </w:p>
        </w:tc>
        <w:tc>
          <w:tcPr>
            <w:tcW w:w="850" w:type="dxa"/>
            <w:tcBorders>
              <w:top w:val="nil"/>
              <w:left w:val="nil"/>
              <w:bottom w:val="nil"/>
              <w:right w:val="nil"/>
            </w:tcBorders>
            <w:vAlign w:val="bottom"/>
          </w:tcPr>
          <w:p w14:paraId="1EC7B011" w14:textId="77777777" w:rsidR="009E5929" w:rsidRPr="00AA2D5F" w:rsidRDefault="009E5929" w:rsidP="0034622E">
            <w:pPr>
              <w:jc w:val="right"/>
              <w:rPr>
                <w:rFonts w:ascii="Arial" w:hAnsi="Arial" w:cs="Arial"/>
                <w:sz w:val="14"/>
                <w:szCs w:val="14"/>
              </w:rPr>
            </w:pPr>
            <w:r w:rsidRPr="00F959D0">
              <w:rPr>
                <w:rFonts w:ascii="Arial" w:hAnsi="Arial" w:cs="Arial"/>
                <w:sz w:val="14"/>
                <w:szCs w:val="14"/>
              </w:rPr>
              <w:t xml:space="preserve"> (35)</w:t>
            </w:r>
          </w:p>
        </w:tc>
        <w:tc>
          <w:tcPr>
            <w:tcW w:w="850" w:type="dxa"/>
            <w:tcBorders>
              <w:top w:val="nil"/>
              <w:left w:val="nil"/>
              <w:bottom w:val="nil"/>
              <w:right w:val="nil"/>
            </w:tcBorders>
            <w:shd w:val="clear" w:color="auto" w:fill="auto"/>
            <w:noWrap/>
            <w:vAlign w:val="bottom"/>
          </w:tcPr>
          <w:p w14:paraId="6DBA4288" w14:textId="77777777" w:rsidR="009E5929" w:rsidRPr="00D87D1A" w:rsidRDefault="009E5929" w:rsidP="0034622E">
            <w:pPr>
              <w:jc w:val="right"/>
              <w:rPr>
                <w:rFonts w:ascii="Arial" w:hAnsi="Arial" w:cs="Arial"/>
                <w:b/>
                <w:bCs/>
                <w:sz w:val="14"/>
                <w:szCs w:val="14"/>
              </w:rPr>
            </w:pPr>
            <w:r w:rsidRPr="00F959D0">
              <w:rPr>
                <w:rFonts w:ascii="Arial" w:hAnsi="Arial" w:cs="Arial"/>
                <w:b/>
                <w:bCs/>
                <w:sz w:val="14"/>
                <w:szCs w:val="14"/>
              </w:rPr>
              <w:t xml:space="preserve"> (4.385)</w:t>
            </w:r>
          </w:p>
        </w:tc>
      </w:tr>
      <w:tr w:rsidR="009E5929" w:rsidRPr="003364B5" w14:paraId="28589E7C" w14:textId="77777777" w:rsidTr="0034622E">
        <w:trPr>
          <w:trHeight w:val="503"/>
        </w:trPr>
        <w:tc>
          <w:tcPr>
            <w:tcW w:w="1531" w:type="dxa"/>
            <w:tcBorders>
              <w:top w:val="nil"/>
              <w:left w:val="nil"/>
              <w:bottom w:val="nil"/>
              <w:right w:val="nil"/>
            </w:tcBorders>
            <w:shd w:val="clear" w:color="auto" w:fill="auto"/>
            <w:noWrap/>
            <w:vAlign w:val="bottom"/>
            <w:hideMark/>
          </w:tcPr>
          <w:p w14:paraId="501B7E97" w14:textId="77777777" w:rsidR="009E5929" w:rsidRPr="004B4498" w:rsidRDefault="009E5929" w:rsidP="0034622E">
            <w:pPr>
              <w:rPr>
                <w:rFonts w:ascii="Arial" w:hAnsi="Arial" w:cs="Arial"/>
                <w:b/>
                <w:bCs/>
                <w:color w:val="000000" w:themeColor="text1"/>
                <w:sz w:val="14"/>
                <w:szCs w:val="14"/>
              </w:rPr>
            </w:pPr>
            <w:r w:rsidRPr="004B4498">
              <w:rPr>
                <w:rFonts w:ascii="Arial" w:hAnsi="Arial" w:cs="Arial"/>
                <w:b/>
                <w:bCs/>
                <w:color w:val="000000" w:themeColor="text1"/>
                <w:sz w:val="14"/>
                <w:szCs w:val="14"/>
              </w:rPr>
              <w:t>Stanje na dan 31. prosinca 202</w:t>
            </w:r>
            <w:r>
              <w:rPr>
                <w:rFonts w:ascii="Arial" w:hAnsi="Arial" w:cs="Arial"/>
                <w:b/>
                <w:bCs/>
                <w:color w:val="000000" w:themeColor="text1"/>
                <w:sz w:val="14"/>
                <w:szCs w:val="14"/>
              </w:rPr>
              <w:t>3</w:t>
            </w:r>
            <w:r w:rsidRPr="004B4498">
              <w:rPr>
                <w:rFonts w:ascii="Arial" w:hAnsi="Arial" w:cs="Arial"/>
                <w:b/>
                <w:bCs/>
                <w:color w:val="000000" w:themeColor="text1"/>
                <w:sz w:val="14"/>
                <w:szCs w:val="14"/>
              </w:rPr>
              <w:t xml:space="preserve">. </w:t>
            </w:r>
          </w:p>
        </w:tc>
        <w:tc>
          <w:tcPr>
            <w:tcW w:w="850" w:type="dxa"/>
            <w:tcBorders>
              <w:top w:val="single" w:sz="4" w:space="0" w:color="auto"/>
              <w:left w:val="nil"/>
              <w:bottom w:val="single" w:sz="12" w:space="0" w:color="auto"/>
              <w:right w:val="nil"/>
            </w:tcBorders>
            <w:shd w:val="clear" w:color="auto" w:fill="auto"/>
            <w:noWrap/>
            <w:vAlign w:val="bottom"/>
          </w:tcPr>
          <w:p w14:paraId="49D454B3" w14:textId="77777777" w:rsidR="009E5929" w:rsidRPr="00F959D0" w:rsidRDefault="009E5929" w:rsidP="0034622E">
            <w:pPr>
              <w:jc w:val="right"/>
              <w:rPr>
                <w:rFonts w:ascii="Arial" w:hAnsi="Arial" w:cs="Arial"/>
                <w:b/>
                <w:bCs/>
                <w:sz w:val="14"/>
                <w:szCs w:val="14"/>
              </w:rPr>
            </w:pPr>
            <w:r w:rsidRPr="00F959D0">
              <w:rPr>
                <w:rFonts w:ascii="Arial" w:hAnsi="Arial" w:cs="Arial"/>
                <w:b/>
                <w:bCs/>
                <w:sz w:val="14"/>
                <w:szCs w:val="14"/>
              </w:rPr>
              <w:t xml:space="preserve"> 1.617 </w:t>
            </w:r>
          </w:p>
        </w:tc>
        <w:tc>
          <w:tcPr>
            <w:tcW w:w="850" w:type="dxa"/>
            <w:tcBorders>
              <w:top w:val="single" w:sz="4" w:space="0" w:color="auto"/>
              <w:left w:val="nil"/>
              <w:bottom w:val="single" w:sz="12" w:space="0" w:color="auto"/>
              <w:right w:val="nil"/>
            </w:tcBorders>
            <w:shd w:val="clear" w:color="auto" w:fill="auto"/>
            <w:noWrap/>
            <w:vAlign w:val="bottom"/>
          </w:tcPr>
          <w:p w14:paraId="71C23BCE" w14:textId="77777777" w:rsidR="009E5929" w:rsidRPr="00F959D0" w:rsidRDefault="009E5929" w:rsidP="0034622E">
            <w:pPr>
              <w:jc w:val="right"/>
              <w:rPr>
                <w:rFonts w:ascii="Arial" w:hAnsi="Arial" w:cs="Arial"/>
                <w:b/>
                <w:bCs/>
                <w:sz w:val="14"/>
                <w:szCs w:val="14"/>
              </w:rPr>
            </w:pPr>
            <w:r w:rsidRPr="00F959D0">
              <w:rPr>
                <w:rFonts w:ascii="Arial" w:hAnsi="Arial" w:cs="Arial"/>
                <w:b/>
                <w:bCs/>
                <w:sz w:val="14"/>
                <w:szCs w:val="14"/>
              </w:rPr>
              <w:t xml:space="preserve"> 11 </w:t>
            </w:r>
          </w:p>
        </w:tc>
        <w:tc>
          <w:tcPr>
            <w:tcW w:w="850" w:type="dxa"/>
            <w:tcBorders>
              <w:top w:val="single" w:sz="4" w:space="0" w:color="auto"/>
              <w:left w:val="nil"/>
              <w:bottom w:val="single" w:sz="12" w:space="0" w:color="auto"/>
              <w:right w:val="nil"/>
            </w:tcBorders>
            <w:shd w:val="clear" w:color="auto" w:fill="auto"/>
            <w:noWrap/>
            <w:vAlign w:val="bottom"/>
          </w:tcPr>
          <w:p w14:paraId="437D3370" w14:textId="77777777" w:rsidR="009E5929" w:rsidRPr="00F959D0" w:rsidRDefault="009E5929" w:rsidP="0034622E">
            <w:pPr>
              <w:jc w:val="right"/>
              <w:rPr>
                <w:rFonts w:ascii="Arial" w:hAnsi="Arial" w:cs="Arial"/>
                <w:b/>
                <w:bCs/>
                <w:sz w:val="14"/>
                <w:szCs w:val="14"/>
              </w:rPr>
            </w:pPr>
            <w:r w:rsidRPr="00F959D0">
              <w:rPr>
                <w:rFonts w:ascii="Arial" w:hAnsi="Arial" w:cs="Arial"/>
                <w:b/>
                <w:bCs/>
                <w:sz w:val="14"/>
                <w:szCs w:val="14"/>
              </w:rPr>
              <w:t xml:space="preserve"> 205 </w:t>
            </w:r>
          </w:p>
        </w:tc>
        <w:tc>
          <w:tcPr>
            <w:tcW w:w="850" w:type="dxa"/>
            <w:tcBorders>
              <w:top w:val="single" w:sz="4" w:space="0" w:color="auto"/>
              <w:left w:val="nil"/>
              <w:bottom w:val="single" w:sz="12" w:space="0" w:color="auto"/>
              <w:right w:val="nil"/>
            </w:tcBorders>
            <w:vAlign w:val="bottom"/>
          </w:tcPr>
          <w:p w14:paraId="352B3537" w14:textId="77777777" w:rsidR="009E5929" w:rsidRPr="00F959D0" w:rsidRDefault="009E5929" w:rsidP="0034622E">
            <w:pPr>
              <w:jc w:val="right"/>
              <w:rPr>
                <w:rFonts w:ascii="Arial" w:hAnsi="Arial" w:cs="Arial"/>
                <w:b/>
                <w:bCs/>
                <w:sz w:val="14"/>
                <w:szCs w:val="14"/>
              </w:rPr>
            </w:pPr>
            <w:r w:rsidRPr="00F959D0">
              <w:rPr>
                <w:rFonts w:ascii="Arial" w:hAnsi="Arial" w:cs="Arial"/>
                <w:b/>
                <w:bCs/>
                <w:sz w:val="14"/>
                <w:szCs w:val="14"/>
              </w:rPr>
              <w:t xml:space="preserve"> 7 </w:t>
            </w:r>
          </w:p>
        </w:tc>
        <w:tc>
          <w:tcPr>
            <w:tcW w:w="850" w:type="dxa"/>
            <w:tcBorders>
              <w:top w:val="single" w:sz="4" w:space="0" w:color="auto"/>
              <w:left w:val="nil"/>
              <w:bottom w:val="single" w:sz="12" w:space="0" w:color="auto"/>
              <w:right w:val="nil"/>
            </w:tcBorders>
            <w:shd w:val="clear" w:color="auto" w:fill="auto"/>
            <w:noWrap/>
            <w:vAlign w:val="bottom"/>
          </w:tcPr>
          <w:p w14:paraId="55A55D8A" w14:textId="77777777" w:rsidR="009E5929" w:rsidRPr="00B119F0" w:rsidRDefault="009E5929" w:rsidP="0034622E">
            <w:pPr>
              <w:jc w:val="right"/>
              <w:rPr>
                <w:rFonts w:ascii="Arial" w:hAnsi="Arial" w:cs="Arial"/>
                <w:b/>
                <w:bCs/>
                <w:sz w:val="14"/>
                <w:szCs w:val="14"/>
              </w:rPr>
            </w:pPr>
            <w:r w:rsidRPr="00F959D0">
              <w:rPr>
                <w:rFonts w:ascii="Arial" w:hAnsi="Arial" w:cs="Arial"/>
                <w:b/>
                <w:bCs/>
                <w:sz w:val="14"/>
                <w:szCs w:val="14"/>
              </w:rPr>
              <w:t xml:space="preserve"> 1.840 </w:t>
            </w:r>
          </w:p>
        </w:tc>
        <w:tc>
          <w:tcPr>
            <w:tcW w:w="850" w:type="dxa"/>
            <w:tcBorders>
              <w:top w:val="single" w:sz="4" w:space="0" w:color="auto"/>
              <w:left w:val="nil"/>
              <w:bottom w:val="single" w:sz="12" w:space="0" w:color="auto"/>
              <w:right w:val="nil"/>
            </w:tcBorders>
            <w:shd w:val="clear" w:color="auto" w:fill="auto"/>
            <w:noWrap/>
            <w:vAlign w:val="bottom"/>
          </w:tcPr>
          <w:p w14:paraId="440259D0" w14:textId="77777777" w:rsidR="009E5929" w:rsidRPr="00F959D0" w:rsidRDefault="009E5929" w:rsidP="0034622E">
            <w:pPr>
              <w:jc w:val="right"/>
              <w:rPr>
                <w:rFonts w:ascii="Arial" w:hAnsi="Arial" w:cs="Arial"/>
                <w:b/>
                <w:bCs/>
                <w:sz w:val="14"/>
                <w:szCs w:val="14"/>
              </w:rPr>
            </w:pPr>
            <w:r w:rsidRPr="00F959D0">
              <w:rPr>
                <w:rFonts w:ascii="Arial" w:hAnsi="Arial" w:cs="Arial"/>
                <w:b/>
                <w:bCs/>
                <w:sz w:val="14"/>
                <w:szCs w:val="14"/>
              </w:rPr>
              <w:t xml:space="preserve"> 857 </w:t>
            </w:r>
          </w:p>
        </w:tc>
        <w:tc>
          <w:tcPr>
            <w:tcW w:w="850" w:type="dxa"/>
            <w:tcBorders>
              <w:top w:val="single" w:sz="4" w:space="0" w:color="auto"/>
              <w:left w:val="nil"/>
              <w:bottom w:val="single" w:sz="12" w:space="0" w:color="auto"/>
              <w:right w:val="nil"/>
            </w:tcBorders>
            <w:shd w:val="clear" w:color="auto" w:fill="auto"/>
            <w:noWrap/>
            <w:vAlign w:val="bottom"/>
          </w:tcPr>
          <w:p w14:paraId="293C62DF" w14:textId="77777777" w:rsidR="009E5929" w:rsidRPr="00F959D0" w:rsidRDefault="009E5929" w:rsidP="0034622E">
            <w:pPr>
              <w:jc w:val="right"/>
              <w:rPr>
                <w:rFonts w:ascii="Arial" w:hAnsi="Arial" w:cs="Arial"/>
                <w:b/>
                <w:bCs/>
                <w:sz w:val="14"/>
                <w:szCs w:val="14"/>
              </w:rPr>
            </w:pPr>
            <w:r w:rsidRPr="00F959D0">
              <w:rPr>
                <w:rFonts w:ascii="Arial" w:hAnsi="Arial" w:cs="Arial"/>
                <w:b/>
                <w:bCs/>
                <w:sz w:val="14"/>
                <w:szCs w:val="14"/>
              </w:rPr>
              <w:t xml:space="preserve"> 11 </w:t>
            </w:r>
          </w:p>
        </w:tc>
        <w:tc>
          <w:tcPr>
            <w:tcW w:w="850" w:type="dxa"/>
            <w:tcBorders>
              <w:top w:val="single" w:sz="4" w:space="0" w:color="auto"/>
              <w:left w:val="nil"/>
              <w:bottom w:val="single" w:sz="12" w:space="0" w:color="auto"/>
              <w:right w:val="nil"/>
            </w:tcBorders>
            <w:shd w:val="clear" w:color="auto" w:fill="auto"/>
            <w:noWrap/>
            <w:vAlign w:val="bottom"/>
          </w:tcPr>
          <w:p w14:paraId="0CA9C47B" w14:textId="77777777" w:rsidR="009E5929" w:rsidRPr="00F959D0" w:rsidRDefault="009E5929" w:rsidP="0034622E">
            <w:pPr>
              <w:jc w:val="right"/>
              <w:rPr>
                <w:rFonts w:ascii="Arial" w:hAnsi="Arial" w:cs="Arial"/>
                <w:b/>
                <w:bCs/>
                <w:sz w:val="14"/>
                <w:szCs w:val="14"/>
              </w:rPr>
            </w:pPr>
            <w:r w:rsidRPr="00F959D0">
              <w:rPr>
                <w:rFonts w:ascii="Arial" w:hAnsi="Arial" w:cs="Arial"/>
                <w:b/>
                <w:bCs/>
                <w:sz w:val="14"/>
                <w:szCs w:val="14"/>
              </w:rPr>
              <w:t xml:space="preserve"> 205 </w:t>
            </w:r>
          </w:p>
        </w:tc>
        <w:tc>
          <w:tcPr>
            <w:tcW w:w="850" w:type="dxa"/>
            <w:tcBorders>
              <w:top w:val="single" w:sz="4" w:space="0" w:color="auto"/>
              <w:left w:val="nil"/>
              <w:bottom w:val="single" w:sz="12" w:space="0" w:color="auto"/>
              <w:right w:val="nil"/>
            </w:tcBorders>
            <w:vAlign w:val="bottom"/>
          </w:tcPr>
          <w:p w14:paraId="67E35063" w14:textId="77777777" w:rsidR="009E5929" w:rsidRPr="00F959D0" w:rsidRDefault="009E5929" w:rsidP="0034622E">
            <w:pPr>
              <w:jc w:val="right"/>
              <w:rPr>
                <w:rFonts w:ascii="Arial" w:hAnsi="Arial" w:cs="Arial"/>
                <w:b/>
                <w:bCs/>
                <w:sz w:val="14"/>
                <w:szCs w:val="14"/>
              </w:rPr>
            </w:pPr>
            <w:r w:rsidRPr="00F959D0">
              <w:rPr>
                <w:rFonts w:ascii="Arial" w:hAnsi="Arial" w:cs="Arial"/>
                <w:b/>
                <w:bCs/>
                <w:sz w:val="14"/>
                <w:szCs w:val="14"/>
              </w:rPr>
              <w:t xml:space="preserve"> 7 </w:t>
            </w:r>
          </w:p>
        </w:tc>
        <w:tc>
          <w:tcPr>
            <w:tcW w:w="850" w:type="dxa"/>
            <w:tcBorders>
              <w:top w:val="single" w:sz="4" w:space="0" w:color="auto"/>
              <w:left w:val="nil"/>
              <w:bottom w:val="single" w:sz="12" w:space="0" w:color="auto"/>
              <w:right w:val="nil"/>
            </w:tcBorders>
            <w:shd w:val="clear" w:color="auto" w:fill="auto"/>
            <w:noWrap/>
            <w:vAlign w:val="bottom"/>
          </w:tcPr>
          <w:p w14:paraId="168FDE87" w14:textId="77777777" w:rsidR="009E5929" w:rsidRPr="00D87D1A" w:rsidRDefault="009E5929" w:rsidP="0034622E">
            <w:pPr>
              <w:jc w:val="right"/>
              <w:rPr>
                <w:rFonts w:ascii="Arial" w:hAnsi="Arial" w:cs="Arial"/>
                <w:b/>
                <w:bCs/>
                <w:sz w:val="14"/>
                <w:szCs w:val="14"/>
              </w:rPr>
            </w:pPr>
            <w:r w:rsidRPr="00F959D0">
              <w:rPr>
                <w:rFonts w:ascii="Arial" w:hAnsi="Arial" w:cs="Arial"/>
                <w:b/>
                <w:bCs/>
                <w:sz w:val="14"/>
                <w:szCs w:val="14"/>
              </w:rPr>
              <w:t xml:space="preserve"> 1.080 </w:t>
            </w:r>
          </w:p>
        </w:tc>
      </w:tr>
    </w:tbl>
    <w:p w14:paraId="698BC174" w14:textId="77777777" w:rsidR="00C81475" w:rsidRPr="003D1614" w:rsidRDefault="00C81475" w:rsidP="001B247D">
      <w:pPr>
        <w:suppressAutoHyphens/>
        <w:autoSpaceDN w:val="0"/>
        <w:jc w:val="both"/>
        <w:outlineLvl w:val="0"/>
        <w:rPr>
          <w:rFonts w:ascii="Arial" w:eastAsia="Calibri" w:hAnsi="Arial" w:cs="Arial"/>
          <w:bCs/>
          <w:color w:val="000000" w:themeColor="text1"/>
          <w:sz w:val="20"/>
          <w:szCs w:val="20"/>
        </w:rPr>
        <w:sectPr w:rsidR="00C81475" w:rsidRPr="003D1614">
          <w:pgSz w:w="11906" w:h="16838"/>
          <w:pgMar w:top="1417" w:right="1417" w:bottom="1417" w:left="1417" w:header="708" w:footer="708" w:gutter="0"/>
          <w:cols w:space="708"/>
          <w:docGrid w:linePitch="360"/>
        </w:sectPr>
      </w:pPr>
    </w:p>
    <w:p w14:paraId="15EA0B5E" w14:textId="77777777" w:rsidR="00C81475" w:rsidRPr="003D1614" w:rsidRDefault="00C81475" w:rsidP="00C81475">
      <w:pPr>
        <w:keepNext/>
        <w:suppressAutoHyphens/>
        <w:autoSpaceDN w:val="0"/>
        <w:jc w:val="both"/>
        <w:outlineLvl w:val="0"/>
        <w:rPr>
          <w:rFonts w:ascii="Arial" w:eastAsia="Times New Roman" w:hAnsi="Arial" w:cs="Arial"/>
          <w:color w:val="000000" w:themeColor="text1"/>
          <w:sz w:val="20"/>
          <w:szCs w:val="20"/>
        </w:rPr>
      </w:pPr>
    </w:p>
    <w:p w14:paraId="4EC2D07E" w14:textId="45C2972B" w:rsidR="00C81475" w:rsidRPr="003D1614" w:rsidRDefault="00C81475" w:rsidP="00C81475">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1</w:t>
      </w:r>
      <w:r w:rsidR="000E693B">
        <w:rPr>
          <w:rFonts w:ascii="Arial" w:eastAsia="Times New Roman" w:hAnsi="Arial" w:cs="Arial"/>
          <w:b/>
          <w:bCs/>
          <w:color w:val="000000" w:themeColor="text1"/>
          <w:sz w:val="20"/>
          <w:szCs w:val="20"/>
        </w:rPr>
        <w:t>6</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Ostala imovina (nastavak)</w:t>
      </w:r>
    </w:p>
    <w:p w14:paraId="22C54638" w14:textId="77777777" w:rsidR="00C81475" w:rsidRPr="003D1614" w:rsidRDefault="00C81475" w:rsidP="00C81475">
      <w:pPr>
        <w:keepNext/>
        <w:suppressAutoHyphens/>
        <w:autoSpaceDN w:val="0"/>
        <w:jc w:val="both"/>
        <w:outlineLvl w:val="0"/>
        <w:rPr>
          <w:rFonts w:ascii="Arial" w:eastAsia="Times New Roman" w:hAnsi="Arial" w:cs="Arial"/>
          <w:color w:val="000000" w:themeColor="text1"/>
          <w:sz w:val="20"/>
          <w:szCs w:val="20"/>
        </w:rPr>
      </w:pPr>
    </w:p>
    <w:p w14:paraId="0523A106" w14:textId="77777777" w:rsidR="00C81475" w:rsidRPr="003D1614" w:rsidRDefault="00C81475" w:rsidP="00C81475">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U nastavku se daje pregled pozicija koje su izložene kreditnom riziku:</w:t>
      </w:r>
    </w:p>
    <w:p w14:paraId="42E50C04" w14:textId="77777777" w:rsidR="00C81475" w:rsidRPr="003D1614" w:rsidRDefault="00C81475" w:rsidP="00C81475">
      <w:pPr>
        <w:keepNext/>
        <w:suppressAutoHyphens/>
        <w:autoSpaceDN w:val="0"/>
        <w:jc w:val="both"/>
        <w:outlineLvl w:val="0"/>
        <w:rPr>
          <w:rFonts w:ascii="Arial" w:eastAsia="Times New Roman" w:hAnsi="Arial" w:cs="Arial"/>
          <w:color w:val="000000" w:themeColor="text1"/>
          <w:sz w:val="20"/>
          <w:szCs w:val="20"/>
        </w:rPr>
      </w:pPr>
    </w:p>
    <w:tbl>
      <w:tblPr>
        <w:tblW w:w="9659" w:type="dxa"/>
        <w:tblInd w:w="-142" w:type="dxa"/>
        <w:tblLook w:val="04A0" w:firstRow="1" w:lastRow="0" w:firstColumn="1" w:lastColumn="0" w:noHBand="0" w:noVBand="1"/>
      </w:tblPr>
      <w:tblGrid>
        <w:gridCol w:w="4111"/>
        <w:gridCol w:w="1387"/>
        <w:gridCol w:w="1387"/>
        <w:gridCol w:w="1387"/>
        <w:gridCol w:w="1387"/>
      </w:tblGrid>
      <w:tr w:rsidR="00C81475" w:rsidRPr="00AE4334" w14:paraId="2541EF76" w14:textId="77777777" w:rsidTr="00AE4334">
        <w:trPr>
          <w:trHeight w:val="309"/>
        </w:trPr>
        <w:tc>
          <w:tcPr>
            <w:tcW w:w="4111" w:type="dxa"/>
            <w:tcBorders>
              <w:top w:val="nil"/>
              <w:left w:val="nil"/>
              <w:bottom w:val="nil"/>
              <w:right w:val="nil"/>
            </w:tcBorders>
            <w:shd w:val="clear" w:color="auto" w:fill="auto"/>
            <w:vAlign w:val="bottom"/>
            <w:hideMark/>
          </w:tcPr>
          <w:p w14:paraId="680ACF11" w14:textId="77777777" w:rsidR="00C81475" w:rsidRPr="00F43653" w:rsidRDefault="00C81475" w:rsidP="00C81475">
            <w:pPr>
              <w:suppressAutoHyphens/>
              <w:autoSpaceDN w:val="0"/>
              <w:rPr>
                <w:rFonts w:ascii="Arial" w:eastAsia="Times New Roman" w:hAnsi="Arial" w:cs="Arial"/>
                <w:color w:val="000000" w:themeColor="text1"/>
                <w:sz w:val="20"/>
                <w:szCs w:val="20"/>
              </w:rPr>
            </w:pPr>
          </w:p>
        </w:tc>
        <w:tc>
          <w:tcPr>
            <w:tcW w:w="2774" w:type="dxa"/>
            <w:gridSpan w:val="2"/>
            <w:tcBorders>
              <w:top w:val="nil"/>
              <w:left w:val="nil"/>
              <w:bottom w:val="nil"/>
              <w:right w:val="nil"/>
            </w:tcBorders>
            <w:shd w:val="clear" w:color="auto" w:fill="auto"/>
            <w:vAlign w:val="bottom"/>
            <w:hideMark/>
          </w:tcPr>
          <w:p w14:paraId="01B6A24F" w14:textId="77777777" w:rsidR="00C81475" w:rsidRPr="00F43653" w:rsidRDefault="00C81475" w:rsidP="00C81475">
            <w:pPr>
              <w:suppressAutoHyphens/>
              <w:autoSpaceDN w:val="0"/>
              <w:jc w:val="right"/>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Grupa</w:t>
            </w:r>
          </w:p>
        </w:tc>
        <w:tc>
          <w:tcPr>
            <w:tcW w:w="2774" w:type="dxa"/>
            <w:gridSpan w:val="2"/>
            <w:tcBorders>
              <w:top w:val="nil"/>
              <w:left w:val="nil"/>
              <w:bottom w:val="nil"/>
              <w:right w:val="nil"/>
            </w:tcBorders>
            <w:shd w:val="clear" w:color="auto" w:fill="auto"/>
            <w:vAlign w:val="bottom"/>
            <w:hideMark/>
          </w:tcPr>
          <w:p w14:paraId="567D7016" w14:textId="77777777" w:rsidR="00C81475" w:rsidRPr="00F43653" w:rsidRDefault="00C81475" w:rsidP="00C81475">
            <w:pPr>
              <w:suppressAutoHyphens/>
              <w:autoSpaceDN w:val="0"/>
              <w:jc w:val="right"/>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Banka</w:t>
            </w:r>
          </w:p>
        </w:tc>
      </w:tr>
      <w:tr w:rsidR="00C81475" w:rsidRPr="00AE4334" w14:paraId="679A8BA0" w14:textId="77777777" w:rsidTr="00AE4334">
        <w:trPr>
          <w:trHeight w:val="309"/>
        </w:trPr>
        <w:tc>
          <w:tcPr>
            <w:tcW w:w="4111" w:type="dxa"/>
            <w:tcBorders>
              <w:top w:val="nil"/>
              <w:left w:val="nil"/>
              <w:bottom w:val="nil"/>
              <w:right w:val="nil"/>
            </w:tcBorders>
            <w:shd w:val="clear" w:color="auto" w:fill="auto"/>
            <w:vAlign w:val="bottom"/>
            <w:hideMark/>
          </w:tcPr>
          <w:p w14:paraId="6D8C48D2" w14:textId="77777777" w:rsidR="00C81475" w:rsidRPr="00F43653" w:rsidRDefault="00C81475" w:rsidP="00C81475">
            <w:pPr>
              <w:suppressAutoHyphens/>
              <w:autoSpaceDN w:val="0"/>
              <w:jc w:val="right"/>
              <w:rPr>
                <w:rFonts w:ascii="Arial" w:eastAsia="Times New Roman" w:hAnsi="Arial" w:cs="Arial"/>
                <w:b/>
                <w:bCs/>
                <w:color w:val="000000" w:themeColor="text1"/>
                <w:sz w:val="20"/>
                <w:szCs w:val="20"/>
              </w:rPr>
            </w:pPr>
          </w:p>
        </w:tc>
        <w:tc>
          <w:tcPr>
            <w:tcW w:w="1387" w:type="dxa"/>
            <w:tcBorders>
              <w:top w:val="nil"/>
              <w:left w:val="nil"/>
              <w:bottom w:val="nil"/>
              <w:right w:val="nil"/>
            </w:tcBorders>
            <w:shd w:val="clear" w:color="auto" w:fill="auto"/>
            <w:vAlign w:val="bottom"/>
            <w:hideMark/>
          </w:tcPr>
          <w:p w14:paraId="39D2A104" w14:textId="7D8F6AEA" w:rsidR="00C81475" w:rsidRPr="00F43653" w:rsidRDefault="002C0DB3" w:rsidP="00C81475">
            <w:pPr>
              <w:suppressAutoHyphens/>
              <w:autoSpaceDN w:val="0"/>
              <w:jc w:val="right"/>
              <w:rPr>
                <w:rFonts w:ascii="Arial" w:eastAsia="Times New Roman" w:hAnsi="Arial" w:cs="Arial"/>
                <w:b/>
                <w:bCs/>
                <w:color w:val="000000" w:themeColor="text1"/>
                <w:sz w:val="20"/>
                <w:szCs w:val="20"/>
              </w:rPr>
            </w:pPr>
            <w:r w:rsidRPr="002C0DB3">
              <w:rPr>
                <w:rFonts w:ascii="Arial" w:eastAsia="Times New Roman" w:hAnsi="Arial" w:cs="Arial"/>
                <w:b/>
                <w:color w:val="000000" w:themeColor="text1"/>
                <w:sz w:val="20"/>
                <w:szCs w:val="20"/>
              </w:rPr>
              <w:t>30. rujna 202</w:t>
            </w:r>
            <w:r w:rsidR="00F4374D">
              <w:rPr>
                <w:rFonts w:ascii="Arial" w:eastAsia="Times New Roman" w:hAnsi="Arial" w:cs="Arial"/>
                <w:b/>
                <w:color w:val="000000" w:themeColor="text1"/>
                <w:sz w:val="20"/>
                <w:szCs w:val="20"/>
              </w:rPr>
              <w:t>4</w:t>
            </w:r>
            <w:r w:rsidRPr="002C0DB3">
              <w:rPr>
                <w:rFonts w:ascii="Arial" w:eastAsia="Times New Roman" w:hAnsi="Arial" w:cs="Arial"/>
                <w:b/>
                <w:color w:val="000000" w:themeColor="text1"/>
                <w:sz w:val="20"/>
                <w:szCs w:val="20"/>
              </w:rPr>
              <w:t>.</w:t>
            </w:r>
          </w:p>
        </w:tc>
        <w:tc>
          <w:tcPr>
            <w:tcW w:w="1387" w:type="dxa"/>
            <w:tcBorders>
              <w:top w:val="nil"/>
              <w:left w:val="nil"/>
              <w:bottom w:val="nil"/>
              <w:right w:val="nil"/>
            </w:tcBorders>
            <w:shd w:val="clear" w:color="auto" w:fill="auto"/>
            <w:vAlign w:val="bottom"/>
            <w:hideMark/>
          </w:tcPr>
          <w:p w14:paraId="6077F2B0" w14:textId="279A76A5" w:rsidR="00C81475" w:rsidRPr="00F43653" w:rsidRDefault="00C81475" w:rsidP="00C81475">
            <w:pPr>
              <w:suppressAutoHyphens/>
              <w:autoSpaceDN w:val="0"/>
              <w:jc w:val="right"/>
              <w:rPr>
                <w:rFonts w:ascii="Arial" w:eastAsia="Times New Roman" w:hAnsi="Arial" w:cs="Arial"/>
                <w:b/>
                <w:bCs/>
                <w:color w:val="000000" w:themeColor="text1"/>
                <w:sz w:val="20"/>
                <w:szCs w:val="20"/>
              </w:rPr>
            </w:pPr>
            <w:r w:rsidRPr="00F43653">
              <w:rPr>
                <w:rFonts w:ascii="Arial" w:eastAsia="Times New Roman" w:hAnsi="Arial" w:cs="Arial"/>
                <w:b/>
                <w:color w:val="000000" w:themeColor="text1"/>
                <w:sz w:val="20"/>
                <w:szCs w:val="20"/>
              </w:rPr>
              <w:t xml:space="preserve">31. prosinca </w:t>
            </w:r>
            <w:r w:rsidRPr="00F43653">
              <w:rPr>
                <w:rFonts w:ascii="Arial" w:eastAsia="Times New Roman" w:hAnsi="Arial" w:cs="Arial"/>
                <w:b/>
                <w:bCs/>
                <w:color w:val="000000" w:themeColor="text1"/>
                <w:sz w:val="20"/>
                <w:szCs w:val="20"/>
              </w:rPr>
              <w:t>202</w:t>
            </w:r>
            <w:r w:rsidR="00F4374D">
              <w:rPr>
                <w:rFonts w:ascii="Arial" w:eastAsia="Times New Roman" w:hAnsi="Arial" w:cs="Arial"/>
                <w:b/>
                <w:bCs/>
                <w:color w:val="000000" w:themeColor="text1"/>
                <w:sz w:val="20"/>
                <w:szCs w:val="20"/>
              </w:rPr>
              <w:t>3</w:t>
            </w:r>
            <w:r w:rsidRPr="00F43653">
              <w:rPr>
                <w:rFonts w:ascii="Arial" w:eastAsia="Times New Roman" w:hAnsi="Arial" w:cs="Arial"/>
                <w:b/>
                <w:bCs/>
                <w:color w:val="000000" w:themeColor="text1"/>
                <w:sz w:val="20"/>
                <w:szCs w:val="20"/>
              </w:rPr>
              <w:t>.</w:t>
            </w:r>
          </w:p>
        </w:tc>
        <w:tc>
          <w:tcPr>
            <w:tcW w:w="1387" w:type="dxa"/>
            <w:tcBorders>
              <w:top w:val="nil"/>
              <w:left w:val="nil"/>
              <w:bottom w:val="nil"/>
              <w:right w:val="nil"/>
            </w:tcBorders>
            <w:shd w:val="clear" w:color="auto" w:fill="auto"/>
            <w:vAlign w:val="bottom"/>
            <w:hideMark/>
          </w:tcPr>
          <w:p w14:paraId="74A63AC7" w14:textId="36D71088" w:rsidR="00C81475" w:rsidRPr="00F43653" w:rsidRDefault="002C0DB3" w:rsidP="00C81475">
            <w:pPr>
              <w:suppressAutoHyphens/>
              <w:autoSpaceDN w:val="0"/>
              <w:jc w:val="right"/>
              <w:rPr>
                <w:rFonts w:ascii="Arial" w:eastAsia="Times New Roman" w:hAnsi="Arial" w:cs="Arial"/>
                <w:b/>
                <w:bCs/>
                <w:color w:val="000000" w:themeColor="text1"/>
                <w:sz w:val="20"/>
                <w:szCs w:val="20"/>
              </w:rPr>
            </w:pPr>
            <w:r w:rsidRPr="002C0DB3">
              <w:rPr>
                <w:rFonts w:ascii="Arial" w:eastAsia="Times New Roman" w:hAnsi="Arial" w:cs="Arial"/>
                <w:b/>
                <w:color w:val="000000" w:themeColor="text1"/>
                <w:sz w:val="20"/>
                <w:szCs w:val="20"/>
              </w:rPr>
              <w:t>30. rujna 202</w:t>
            </w:r>
            <w:r w:rsidR="00F4374D">
              <w:rPr>
                <w:rFonts w:ascii="Arial" w:eastAsia="Times New Roman" w:hAnsi="Arial" w:cs="Arial"/>
                <w:b/>
                <w:color w:val="000000" w:themeColor="text1"/>
                <w:sz w:val="20"/>
                <w:szCs w:val="20"/>
              </w:rPr>
              <w:t>4</w:t>
            </w:r>
            <w:r w:rsidRPr="002C0DB3">
              <w:rPr>
                <w:rFonts w:ascii="Arial" w:eastAsia="Times New Roman" w:hAnsi="Arial" w:cs="Arial"/>
                <w:b/>
                <w:color w:val="000000" w:themeColor="text1"/>
                <w:sz w:val="20"/>
                <w:szCs w:val="20"/>
              </w:rPr>
              <w:t>.</w:t>
            </w:r>
          </w:p>
        </w:tc>
        <w:tc>
          <w:tcPr>
            <w:tcW w:w="1387" w:type="dxa"/>
            <w:tcBorders>
              <w:top w:val="nil"/>
              <w:left w:val="nil"/>
              <w:bottom w:val="nil"/>
              <w:right w:val="nil"/>
            </w:tcBorders>
            <w:shd w:val="clear" w:color="auto" w:fill="auto"/>
            <w:vAlign w:val="bottom"/>
            <w:hideMark/>
          </w:tcPr>
          <w:p w14:paraId="2829D343" w14:textId="28295D7F" w:rsidR="00C81475" w:rsidRPr="00F43653" w:rsidRDefault="00C81475" w:rsidP="00C81475">
            <w:pPr>
              <w:suppressAutoHyphens/>
              <w:autoSpaceDN w:val="0"/>
              <w:jc w:val="right"/>
              <w:rPr>
                <w:rFonts w:ascii="Arial" w:eastAsia="Times New Roman" w:hAnsi="Arial" w:cs="Arial"/>
                <w:b/>
                <w:bCs/>
                <w:color w:val="000000" w:themeColor="text1"/>
                <w:sz w:val="20"/>
                <w:szCs w:val="20"/>
              </w:rPr>
            </w:pPr>
            <w:r w:rsidRPr="00F43653">
              <w:rPr>
                <w:rFonts w:ascii="Arial" w:eastAsia="Times New Roman" w:hAnsi="Arial" w:cs="Arial"/>
                <w:b/>
                <w:color w:val="000000" w:themeColor="text1"/>
                <w:sz w:val="20"/>
                <w:szCs w:val="20"/>
              </w:rPr>
              <w:t xml:space="preserve">31. prosinca </w:t>
            </w:r>
            <w:r w:rsidRPr="00F43653">
              <w:rPr>
                <w:rFonts w:ascii="Arial" w:eastAsia="Times New Roman" w:hAnsi="Arial" w:cs="Arial"/>
                <w:b/>
                <w:bCs/>
                <w:color w:val="000000" w:themeColor="text1"/>
                <w:sz w:val="20"/>
                <w:szCs w:val="20"/>
              </w:rPr>
              <w:t>202</w:t>
            </w:r>
            <w:r w:rsidR="00F4374D">
              <w:rPr>
                <w:rFonts w:ascii="Arial" w:eastAsia="Times New Roman" w:hAnsi="Arial" w:cs="Arial"/>
                <w:b/>
                <w:bCs/>
                <w:color w:val="000000" w:themeColor="text1"/>
                <w:sz w:val="20"/>
                <w:szCs w:val="20"/>
              </w:rPr>
              <w:t>3</w:t>
            </w:r>
            <w:r w:rsidRPr="00F43653">
              <w:rPr>
                <w:rFonts w:ascii="Arial" w:eastAsia="Times New Roman" w:hAnsi="Arial" w:cs="Arial"/>
                <w:b/>
                <w:bCs/>
                <w:color w:val="000000" w:themeColor="text1"/>
                <w:sz w:val="20"/>
                <w:szCs w:val="20"/>
              </w:rPr>
              <w:t>.</w:t>
            </w:r>
          </w:p>
        </w:tc>
      </w:tr>
      <w:tr w:rsidR="00C81475" w:rsidRPr="00AE4334" w14:paraId="346280AA" w14:textId="77777777" w:rsidTr="00AE4334">
        <w:trPr>
          <w:trHeight w:val="309"/>
        </w:trPr>
        <w:tc>
          <w:tcPr>
            <w:tcW w:w="4111" w:type="dxa"/>
            <w:tcBorders>
              <w:top w:val="nil"/>
              <w:left w:val="nil"/>
              <w:bottom w:val="nil"/>
              <w:right w:val="nil"/>
            </w:tcBorders>
            <w:shd w:val="clear" w:color="auto" w:fill="auto"/>
            <w:vAlign w:val="bottom"/>
            <w:hideMark/>
          </w:tcPr>
          <w:p w14:paraId="2EEB749C" w14:textId="77777777" w:rsidR="00C81475" w:rsidRPr="00F43653" w:rsidRDefault="00C81475" w:rsidP="00C81475">
            <w:pPr>
              <w:suppressAutoHyphens/>
              <w:autoSpaceDN w:val="0"/>
              <w:jc w:val="right"/>
              <w:rPr>
                <w:rFonts w:ascii="Arial" w:eastAsia="Times New Roman" w:hAnsi="Arial" w:cs="Arial"/>
                <w:b/>
                <w:bCs/>
                <w:color w:val="000000" w:themeColor="text1"/>
                <w:sz w:val="20"/>
                <w:szCs w:val="20"/>
              </w:rPr>
            </w:pPr>
          </w:p>
        </w:tc>
        <w:tc>
          <w:tcPr>
            <w:tcW w:w="1387" w:type="dxa"/>
            <w:tcBorders>
              <w:top w:val="nil"/>
              <w:left w:val="nil"/>
              <w:bottom w:val="nil"/>
              <w:right w:val="nil"/>
            </w:tcBorders>
            <w:shd w:val="clear" w:color="auto" w:fill="auto"/>
            <w:vAlign w:val="bottom"/>
            <w:hideMark/>
          </w:tcPr>
          <w:p w14:paraId="19E54556" w14:textId="6111FBF5" w:rsidR="00C81475" w:rsidRPr="00F43653" w:rsidRDefault="00C81475" w:rsidP="00C81475">
            <w:pPr>
              <w:suppressAutoHyphens/>
              <w:autoSpaceDN w:val="0"/>
              <w:jc w:val="right"/>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000 eura</w:t>
            </w:r>
          </w:p>
        </w:tc>
        <w:tc>
          <w:tcPr>
            <w:tcW w:w="1387" w:type="dxa"/>
            <w:tcBorders>
              <w:top w:val="nil"/>
              <w:left w:val="nil"/>
              <w:bottom w:val="nil"/>
              <w:right w:val="nil"/>
            </w:tcBorders>
            <w:shd w:val="clear" w:color="auto" w:fill="auto"/>
            <w:vAlign w:val="bottom"/>
            <w:hideMark/>
          </w:tcPr>
          <w:p w14:paraId="0BA1C4B8" w14:textId="1D234ECD" w:rsidR="00C81475" w:rsidRPr="00F43653" w:rsidRDefault="00C81475" w:rsidP="00C81475">
            <w:pPr>
              <w:suppressAutoHyphens/>
              <w:autoSpaceDN w:val="0"/>
              <w:jc w:val="right"/>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000 eura</w:t>
            </w:r>
          </w:p>
        </w:tc>
        <w:tc>
          <w:tcPr>
            <w:tcW w:w="1387" w:type="dxa"/>
            <w:tcBorders>
              <w:top w:val="nil"/>
              <w:left w:val="nil"/>
              <w:bottom w:val="nil"/>
              <w:right w:val="nil"/>
            </w:tcBorders>
            <w:shd w:val="clear" w:color="auto" w:fill="auto"/>
            <w:vAlign w:val="bottom"/>
            <w:hideMark/>
          </w:tcPr>
          <w:p w14:paraId="58047D77" w14:textId="13C4C3CD" w:rsidR="00C81475" w:rsidRPr="00F43653" w:rsidRDefault="00C81475" w:rsidP="00C81475">
            <w:pPr>
              <w:suppressAutoHyphens/>
              <w:autoSpaceDN w:val="0"/>
              <w:jc w:val="right"/>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000 eura</w:t>
            </w:r>
          </w:p>
        </w:tc>
        <w:tc>
          <w:tcPr>
            <w:tcW w:w="1387" w:type="dxa"/>
            <w:tcBorders>
              <w:top w:val="nil"/>
              <w:left w:val="nil"/>
              <w:bottom w:val="nil"/>
              <w:right w:val="nil"/>
            </w:tcBorders>
            <w:shd w:val="clear" w:color="auto" w:fill="auto"/>
            <w:vAlign w:val="bottom"/>
            <w:hideMark/>
          </w:tcPr>
          <w:p w14:paraId="3F4E2808" w14:textId="3161808E" w:rsidR="00C81475" w:rsidRPr="00F43653" w:rsidRDefault="00C81475" w:rsidP="00C81475">
            <w:pPr>
              <w:suppressAutoHyphens/>
              <w:autoSpaceDN w:val="0"/>
              <w:jc w:val="right"/>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000 eura</w:t>
            </w:r>
          </w:p>
        </w:tc>
      </w:tr>
      <w:tr w:rsidR="00C81475" w:rsidRPr="00AE4334" w14:paraId="07430DE1" w14:textId="77777777" w:rsidTr="00AE4334">
        <w:trPr>
          <w:trHeight w:val="309"/>
        </w:trPr>
        <w:tc>
          <w:tcPr>
            <w:tcW w:w="4111" w:type="dxa"/>
            <w:tcBorders>
              <w:top w:val="nil"/>
              <w:left w:val="nil"/>
              <w:bottom w:val="nil"/>
              <w:right w:val="nil"/>
            </w:tcBorders>
            <w:shd w:val="clear" w:color="auto" w:fill="auto"/>
            <w:vAlign w:val="bottom"/>
            <w:hideMark/>
          </w:tcPr>
          <w:p w14:paraId="41EED7B8" w14:textId="77777777" w:rsidR="00C81475" w:rsidRPr="00F43653" w:rsidRDefault="00C81475" w:rsidP="00C81475">
            <w:pPr>
              <w:suppressAutoHyphens/>
              <w:autoSpaceDN w:val="0"/>
              <w:jc w:val="right"/>
              <w:rPr>
                <w:rFonts w:ascii="Arial" w:eastAsia="Times New Roman" w:hAnsi="Arial" w:cs="Arial"/>
                <w:b/>
                <w:bCs/>
                <w:color w:val="000000" w:themeColor="text1"/>
                <w:sz w:val="20"/>
                <w:szCs w:val="20"/>
              </w:rPr>
            </w:pPr>
          </w:p>
        </w:tc>
        <w:tc>
          <w:tcPr>
            <w:tcW w:w="1387" w:type="dxa"/>
            <w:tcBorders>
              <w:top w:val="nil"/>
              <w:left w:val="nil"/>
              <w:bottom w:val="nil"/>
              <w:right w:val="nil"/>
            </w:tcBorders>
            <w:shd w:val="clear" w:color="auto" w:fill="auto"/>
            <w:vAlign w:val="bottom"/>
            <w:hideMark/>
          </w:tcPr>
          <w:p w14:paraId="02D67F25" w14:textId="77777777" w:rsidR="00C81475" w:rsidRPr="00F43653" w:rsidRDefault="00C81475" w:rsidP="00C81475">
            <w:pPr>
              <w:suppressAutoHyphens/>
              <w:autoSpaceDN w:val="0"/>
              <w:rPr>
                <w:rFonts w:ascii="Arial" w:eastAsia="Times New Roman" w:hAnsi="Arial" w:cs="Arial"/>
                <w:color w:val="000000" w:themeColor="text1"/>
                <w:sz w:val="20"/>
                <w:szCs w:val="20"/>
              </w:rPr>
            </w:pPr>
          </w:p>
        </w:tc>
        <w:tc>
          <w:tcPr>
            <w:tcW w:w="1387" w:type="dxa"/>
            <w:tcBorders>
              <w:top w:val="nil"/>
              <w:left w:val="nil"/>
              <w:bottom w:val="nil"/>
              <w:right w:val="nil"/>
            </w:tcBorders>
            <w:shd w:val="clear" w:color="auto" w:fill="auto"/>
            <w:vAlign w:val="bottom"/>
            <w:hideMark/>
          </w:tcPr>
          <w:p w14:paraId="79D864FC" w14:textId="77777777" w:rsidR="00C81475" w:rsidRPr="00F43653" w:rsidRDefault="00C81475" w:rsidP="00C81475">
            <w:pPr>
              <w:suppressAutoHyphens/>
              <w:autoSpaceDN w:val="0"/>
              <w:jc w:val="right"/>
              <w:rPr>
                <w:rFonts w:ascii="Arial" w:eastAsia="Times New Roman" w:hAnsi="Arial" w:cs="Arial"/>
                <w:color w:val="000000" w:themeColor="text1"/>
                <w:sz w:val="20"/>
                <w:szCs w:val="20"/>
              </w:rPr>
            </w:pPr>
          </w:p>
        </w:tc>
        <w:tc>
          <w:tcPr>
            <w:tcW w:w="1387" w:type="dxa"/>
            <w:tcBorders>
              <w:top w:val="nil"/>
              <w:left w:val="nil"/>
              <w:bottom w:val="nil"/>
              <w:right w:val="nil"/>
            </w:tcBorders>
            <w:shd w:val="clear" w:color="auto" w:fill="auto"/>
            <w:vAlign w:val="bottom"/>
            <w:hideMark/>
          </w:tcPr>
          <w:p w14:paraId="7DA720BD" w14:textId="77777777" w:rsidR="00C81475" w:rsidRPr="00F43653" w:rsidRDefault="00C81475" w:rsidP="00C81475">
            <w:pPr>
              <w:suppressAutoHyphens/>
              <w:autoSpaceDN w:val="0"/>
              <w:jc w:val="right"/>
              <w:rPr>
                <w:rFonts w:ascii="Arial" w:eastAsia="Times New Roman" w:hAnsi="Arial" w:cs="Arial"/>
                <w:color w:val="000000" w:themeColor="text1"/>
                <w:sz w:val="20"/>
                <w:szCs w:val="20"/>
              </w:rPr>
            </w:pPr>
          </w:p>
        </w:tc>
        <w:tc>
          <w:tcPr>
            <w:tcW w:w="1387" w:type="dxa"/>
            <w:tcBorders>
              <w:top w:val="nil"/>
              <w:left w:val="nil"/>
              <w:bottom w:val="nil"/>
              <w:right w:val="nil"/>
            </w:tcBorders>
            <w:shd w:val="clear" w:color="auto" w:fill="auto"/>
            <w:vAlign w:val="bottom"/>
            <w:hideMark/>
          </w:tcPr>
          <w:p w14:paraId="0F9FF9E9" w14:textId="77777777" w:rsidR="00C81475" w:rsidRPr="00F43653" w:rsidRDefault="00C81475" w:rsidP="00C81475">
            <w:pPr>
              <w:suppressAutoHyphens/>
              <w:autoSpaceDN w:val="0"/>
              <w:jc w:val="right"/>
              <w:rPr>
                <w:rFonts w:ascii="Arial" w:eastAsia="Times New Roman" w:hAnsi="Arial" w:cs="Arial"/>
                <w:color w:val="000000" w:themeColor="text1"/>
                <w:sz w:val="20"/>
                <w:szCs w:val="20"/>
              </w:rPr>
            </w:pPr>
          </w:p>
        </w:tc>
      </w:tr>
      <w:tr w:rsidR="00CC7287" w:rsidRPr="00AE4334" w14:paraId="5C578B76" w14:textId="77777777" w:rsidTr="00566597">
        <w:trPr>
          <w:trHeight w:val="303"/>
        </w:trPr>
        <w:tc>
          <w:tcPr>
            <w:tcW w:w="4111" w:type="dxa"/>
            <w:tcBorders>
              <w:top w:val="nil"/>
              <w:left w:val="nil"/>
              <w:bottom w:val="nil"/>
              <w:right w:val="nil"/>
            </w:tcBorders>
            <w:shd w:val="clear" w:color="auto" w:fill="auto"/>
            <w:vAlign w:val="bottom"/>
            <w:hideMark/>
          </w:tcPr>
          <w:p w14:paraId="327826FD" w14:textId="77777777" w:rsidR="00CC7287" w:rsidRPr="00F43653" w:rsidRDefault="00CC7287" w:rsidP="00CC7287">
            <w:pPr>
              <w:suppressAutoHyphens/>
              <w:autoSpaceDN w:val="0"/>
              <w:rPr>
                <w:rFonts w:ascii="Arial" w:eastAsia="Times New Roman" w:hAnsi="Arial" w:cs="Arial"/>
                <w:color w:val="000000" w:themeColor="text1"/>
                <w:sz w:val="20"/>
                <w:szCs w:val="20"/>
              </w:rPr>
            </w:pPr>
            <w:r w:rsidRPr="00F43653">
              <w:rPr>
                <w:rFonts w:ascii="Arial" w:eastAsia="Times New Roman" w:hAnsi="Arial" w:cs="Arial"/>
                <w:color w:val="000000" w:themeColor="text1"/>
                <w:sz w:val="20"/>
                <w:szCs w:val="20"/>
              </w:rPr>
              <w:t>Potraživanja po naknadama</w:t>
            </w:r>
          </w:p>
        </w:tc>
        <w:tc>
          <w:tcPr>
            <w:tcW w:w="1387" w:type="dxa"/>
            <w:tcBorders>
              <w:top w:val="nil"/>
              <w:left w:val="nil"/>
              <w:bottom w:val="nil"/>
              <w:right w:val="nil"/>
            </w:tcBorders>
            <w:shd w:val="clear" w:color="auto" w:fill="auto"/>
            <w:vAlign w:val="bottom"/>
          </w:tcPr>
          <w:p w14:paraId="467C7EDE" w14:textId="383BC63A" w:rsidR="00CC7287" w:rsidRPr="00F43653" w:rsidRDefault="004B2649" w:rsidP="00CC7287">
            <w:pPr>
              <w:suppressAutoHyphens/>
              <w:autoSpaceDN w:val="0"/>
              <w:jc w:val="right"/>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3.461</w:t>
            </w:r>
          </w:p>
        </w:tc>
        <w:tc>
          <w:tcPr>
            <w:tcW w:w="1387" w:type="dxa"/>
            <w:tcBorders>
              <w:top w:val="nil"/>
              <w:left w:val="nil"/>
              <w:bottom w:val="nil"/>
              <w:right w:val="nil"/>
            </w:tcBorders>
            <w:shd w:val="clear" w:color="auto" w:fill="auto"/>
            <w:vAlign w:val="bottom"/>
          </w:tcPr>
          <w:p w14:paraId="311BE503" w14:textId="35588F48" w:rsidR="00CC7287" w:rsidRPr="00F43653" w:rsidRDefault="00CC7287" w:rsidP="00CC7287">
            <w:pPr>
              <w:suppressAutoHyphens/>
              <w:autoSpaceDN w:val="0"/>
              <w:jc w:val="right"/>
              <w:rPr>
                <w:rFonts w:ascii="Arial" w:eastAsia="Times New Roman" w:hAnsi="Arial" w:cs="Arial"/>
                <w:color w:val="000000" w:themeColor="text1"/>
                <w:sz w:val="20"/>
                <w:szCs w:val="20"/>
              </w:rPr>
            </w:pPr>
            <w:r w:rsidRPr="00976504">
              <w:rPr>
                <w:rFonts w:ascii="Arial" w:hAnsi="Arial" w:cs="Arial"/>
                <w:color w:val="000000" w:themeColor="text1"/>
                <w:sz w:val="20"/>
                <w:szCs w:val="20"/>
              </w:rPr>
              <w:t>3.540</w:t>
            </w:r>
          </w:p>
        </w:tc>
        <w:tc>
          <w:tcPr>
            <w:tcW w:w="1387" w:type="dxa"/>
            <w:tcBorders>
              <w:top w:val="nil"/>
              <w:left w:val="nil"/>
              <w:bottom w:val="nil"/>
              <w:right w:val="nil"/>
            </w:tcBorders>
            <w:shd w:val="clear" w:color="auto" w:fill="auto"/>
            <w:vAlign w:val="bottom"/>
          </w:tcPr>
          <w:p w14:paraId="162D802E" w14:textId="21AF0349" w:rsidR="00CC7287" w:rsidRPr="00566597" w:rsidRDefault="00CC7287" w:rsidP="00CC7287">
            <w:pPr>
              <w:suppressAutoHyphens/>
              <w:autoSpaceDN w:val="0"/>
              <w:jc w:val="right"/>
              <w:rPr>
                <w:rFonts w:ascii="Arial" w:eastAsia="Times New Roman" w:hAnsi="Arial" w:cs="Arial"/>
                <w:color w:val="000000" w:themeColor="text1"/>
                <w:sz w:val="20"/>
                <w:szCs w:val="20"/>
              </w:rPr>
            </w:pPr>
            <w:r w:rsidRPr="00566597">
              <w:rPr>
                <w:rFonts w:ascii="Arial" w:hAnsi="Arial" w:cs="Arial"/>
                <w:sz w:val="20"/>
                <w:szCs w:val="20"/>
              </w:rPr>
              <w:t xml:space="preserve"> 3.461 </w:t>
            </w:r>
          </w:p>
        </w:tc>
        <w:tc>
          <w:tcPr>
            <w:tcW w:w="1387" w:type="dxa"/>
            <w:tcBorders>
              <w:top w:val="nil"/>
              <w:left w:val="nil"/>
              <w:bottom w:val="nil"/>
              <w:right w:val="nil"/>
            </w:tcBorders>
            <w:shd w:val="clear" w:color="auto" w:fill="auto"/>
            <w:vAlign w:val="bottom"/>
          </w:tcPr>
          <w:p w14:paraId="6A9B2140" w14:textId="4EE0F718" w:rsidR="00CC7287" w:rsidRPr="00F43653" w:rsidRDefault="00CC7287" w:rsidP="00CC7287">
            <w:pPr>
              <w:suppressAutoHyphens/>
              <w:autoSpaceDN w:val="0"/>
              <w:jc w:val="right"/>
              <w:rPr>
                <w:rFonts w:ascii="Arial" w:eastAsia="Times New Roman" w:hAnsi="Arial" w:cs="Arial"/>
                <w:color w:val="000000" w:themeColor="text1"/>
                <w:sz w:val="20"/>
                <w:szCs w:val="20"/>
              </w:rPr>
            </w:pPr>
            <w:r w:rsidRPr="00976504">
              <w:rPr>
                <w:rFonts w:ascii="Arial" w:hAnsi="Arial" w:cs="Arial"/>
                <w:color w:val="000000" w:themeColor="text1"/>
                <w:sz w:val="20"/>
                <w:szCs w:val="20"/>
              </w:rPr>
              <w:t>3.540</w:t>
            </w:r>
          </w:p>
        </w:tc>
      </w:tr>
      <w:tr w:rsidR="00CC7287" w:rsidRPr="00AE4334" w14:paraId="3788B50A" w14:textId="77777777" w:rsidTr="00566597">
        <w:trPr>
          <w:trHeight w:val="303"/>
        </w:trPr>
        <w:tc>
          <w:tcPr>
            <w:tcW w:w="4111" w:type="dxa"/>
            <w:tcBorders>
              <w:top w:val="nil"/>
              <w:left w:val="nil"/>
              <w:bottom w:val="nil"/>
              <w:right w:val="nil"/>
            </w:tcBorders>
            <w:shd w:val="clear" w:color="auto" w:fill="auto"/>
            <w:vAlign w:val="bottom"/>
            <w:hideMark/>
          </w:tcPr>
          <w:p w14:paraId="258E0755" w14:textId="77777777" w:rsidR="00CC7287" w:rsidRPr="00F43653" w:rsidRDefault="00CC7287" w:rsidP="00CC7287">
            <w:pPr>
              <w:suppressAutoHyphens/>
              <w:autoSpaceDN w:val="0"/>
              <w:rPr>
                <w:rFonts w:ascii="Arial" w:eastAsia="Times New Roman" w:hAnsi="Arial" w:cs="Arial"/>
                <w:color w:val="000000" w:themeColor="text1"/>
                <w:sz w:val="20"/>
                <w:szCs w:val="20"/>
              </w:rPr>
            </w:pPr>
            <w:r w:rsidRPr="00F43653">
              <w:rPr>
                <w:rFonts w:ascii="Arial" w:eastAsia="Times New Roman" w:hAnsi="Arial" w:cs="Arial"/>
                <w:color w:val="000000" w:themeColor="text1"/>
                <w:sz w:val="20"/>
                <w:szCs w:val="20"/>
              </w:rPr>
              <w:t>Ostala potraživanja</w:t>
            </w:r>
          </w:p>
        </w:tc>
        <w:tc>
          <w:tcPr>
            <w:tcW w:w="1387" w:type="dxa"/>
            <w:tcBorders>
              <w:top w:val="nil"/>
              <w:left w:val="nil"/>
              <w:bottom w:val="nil"/>
              <w:right w:val="nil"/>
            </w:tcBorders>
            <w:shd w:val="clear" w:color="auto" w:fill="auto"/>
            <w:vAlign w:val="bottom"/>
          </w:tcPr>
          <w:p w14:paraId="54BC1D12" w14:textId="2016C1B9" w:rsidR="00CC7287" w:rsidRPr="00F43653" w:rsidRDefault="0003479D" w:rsidP="00CC7287">
            <w:pPr>
              <w:suppressAutoHyphens/>
              <w:autoSpaceDN w:val="0"/>
              <w:jc w:val="right"/>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2.675</w:t>
            </w:r>
          </w:p>
        </w:tc>
        <w:tc>
          <w:tcPr>
            <w:tcW w:w="1387" w:type="dxa"/>
            <w:tcBorders>
              <w:top w:val="nil"/>
              <w:left w:val="nil"/>
              <w:bottom w:val="nil"/>
              <w:right w:val="nil"/>
            </w:tcBorders>
            <w:shd w:val="clear" w:color="auto" w:fill="auto"/>
            <w:vAlign w:val="bottom"/>
          </w:tcPr>
          <w:p w14:paraId="4FB42988" w14:textId="217D92A7" w:rsidR="00CC7287" w:rsidRPr="00F43653" w:rsidRDefault="00CC7287" w:rsidP="00CC7287">
            <w:pPr>
              <w:suppressAutoHyphens/>
              <w:autoSpaceDN w:val="0"/>
              <w:jc w:val="right"/>
              <w:rPr>
                <w:rFonts w:ascii="Arial" w:eastAsia="Times New Roman" w:hAnsi="Arial" w:cs="Arial"/>
                <w:color w:val="000000" w:themeColor="text1"/>
                <w:sz w:val="20"/>
                <w:szCs w:val="20"/>
              </w:rPr>
            </w:pPr>
            <w:r w:rsidRPr="00976504">
              <w:rPr>
                <w:rFonts w:ascii="Arial" w:hAnsi="Arial" w:cs="Arial"/>
                <w:color w:val="000000" w:themeColor="text1"/>
                <w:sz w:val="20"/>
                <w:szCs w:val="20"/>
              </w:rPr>
              <w:t>1.925</w:t>
            </w:r>
          </w:p>
        </w:tc>
        <w:tc>
          <w:tcPr>
            <w:tcW w:w="1387" w:type="dxa"/>
            <w:tcBorders>
              <w:top w:val="nil"/>
              <w:left w:val="nil"/>
              <w:bottom w:val="nil"/>
              <w:right w:val="nil"/>
            </w:tcBorders>
            <w:shd w:val="clear" w:color="auto" w:fill="auto"/>
            <w:vAlign w:val="bottom"/>
          </w:tcPr>
          <w:p w14:paraId="4DAA391F" w14:textId="521DD4FF" w:rsidR="00CC7287" w:rsidRPr="00566597" w:rsidRDefault="00CC7287" w:rsidP="00CC7287">
            <w:pPr>
              <w:suppressAutoHyphens/>
              <w:autoSpaceDN w:val="0"/>
              <w:jc w:val="right"/>
              <w:rPr>
                <w:rFonts w:ascii="Arial" w:eastAsia="Times New Roman" w:hAnsi="Arial" w:cs="Arial"/>
                <w:color w:val="000000" w:themeColor="text1"/>
                <w:sz w:val="20"/>
                <w:szCs w:val="20"/>
              </w:rPr>
            </w:pPr>
            <w:r w:rsidRPr="00566597">
              <w:rPr>
                <w:rFonts w:ascii="Arial" w:hAnsi="Arial" w:cs="Arial"/>
                <w:sz w:val="20"/>
                <w:szCs w:val="20"/>
              </w:rPr>
              <w:t xml:space="preserve"> 2.675 </w:t>
            </w:r>
          </w:p>
        </w:tc>
        <w:tc>
          <w:tcPr>
            <w:tcW w:w="1387" w:type="dxa"/>
            <w:tcBorders>
              <w:top w:val="nil"/>
              <w:left w:val="nil"/>
              <w:bottom w:val="nil"/>
              <w:right w:val="nil"/>
            </w:tcBorders>
            <w:shd w:val="clear" w:color="auto" w:fill="auto"/>
            <w:vAlign w:val="bottom"/>
          </w:tcPr>
          <w:p w14:paraId="165E37A0" w14:textId="277445C3" w:rsidR="00CC7287" w:rsidRPr="00F43653" w:rsidRDefault="00CC7287" w:rsidP="00CC7287">
            <w:pPr>
              <w:suppressAutoHyphens/>
              <w:autoSpaceDN w:val="0"/>
              <w:jc w:val="right"/>
              <w:rPr>
                <w:rFonts w:ascii="Arial" w:eastAsia="Times New Roman" w:hAnsi="Arial" w:cs="Arial"/>
                <w:color w:val="000000" w:themeColor="text1"/>
                <w:sz w:val="20"/>
                <w:szCs w:val="20"/>
              </w:rPr>
            </w:pPr>
            <w:r w:rsidRPr="00976504">
              <w:rPr>
                <w:rFonts w:ascii="Arial" w:hAnsi="Arial" w:cs="Arial"/>
                <w:color w:val="000000" w:themeColor="text1"/>
                <w:sz w:val="20"/>
                <w:szCs w:val="20"/>
              </w:rPr>
              <w:t>1.925</w:t>
            </w:r>
          </w:p>
        </w:tc>
      </w:tr>
      <w:tr w:rsidR="009764D1" w:rsidRPr="00AE4334" w14:paraId="4CDC57C1" w14:textId="77777777" w:rsidTr="00566597">
        <w:trPr>
          <w:trHeight w:val="303"/>
        </w:trPr>
        <w:tc>
          <w:tcPr>
            <w:tcW w:w="4111" w:type="dxa"/>
            <w:tcBorders>
              <w:top w:val="nil"/>
              <w:left w:val="nil"/>
              <w:bottom w:val="nil"/>
              <w:right w:val="nil"/>
            </w:tcBorders>
            <w:shd w:val="clear" w:color="auto" w:fill="auto"/>
            <w:noWrap/>
            <w:vAlign w:val="bottom"/>
          </w:tcPr>
          <w:p w14:paraId="28C52848" w14:textId="113A67E4" w:rsidR="009764D1" w:rsidRPr="00F43653" w:rsidRDefault="009764D1" w:rsidP="009764D1">
            <w:pPr>
              <w:suppressAutoHyphens/>
              <w:autoSpaceDN w:val="0"/>
              <w:rPr>
                <w:rFonts w:ascii="Arial" w:eastAsia="Times New Roman" w:hAnsi="Arial" w:cs="Arial"/>
                <w:color w:val="000000" w:themeColor="text1"/>
                <w:sz w:val="20"/>
                <w:szCs w:val="20"/>
              </w:rPr>
            </w:pPr>
            <w:r w:rsidRPr="00F43653">
              <w:rPr>
                <w:rFonts w:ascii="Arial" w:eastAsia="Times New Roman" w:hAnsi="Arial" w:cs="Arial"/>
                <w:color w:val="000000" w:themeColor="text1"/>
                <w:sz w:val="20"/>
                <w:szCs w:val="20"/>
              </w:rPr>
              <w:t>Imovina iz ugovora o reosiguranju</w:t>
            </w:r>
          </w:p>
        </w:tc>
        <w:tc>
          <w:tcPr>
            <w:tcW w:w="1387" w:type="dxa"/>
            <w:tcBorders>
              <w:top w:val="nil"/>
              <w:left w:val="nil"/>
              <w:bottom w:val="nil"/>
              <w:right w:val="nil"/>
            </w:tcBorders>
            <w:shd w:val="clear" w:color="auto" w:fill="auto"/>
            <w:vAlign w:val="bottom"/>
          </w:tcPr>
          <w:p w14:paraId="2EA7149E" w14:textId="4EE98B19" w:rsidR="009764D1" w:rsidRPr="00F43653" w:rsidRDefault="0003479D" w:rsidP="009764D1">
            <w:pPr>
              <w:suppressAutoHyphens/>
              <w:autoSpaceDN w:val="0"/>
              <w:jc w:val="right"/>
              <w:rPr>
                <w:rFonts w:ascii="Arial" w:hAnsi="Arial" w:cs="Arial"/>
                <w:sz w:val="20"/>
                <w:szCs w:val="20"/>
              </w:rPr>
            </w:pPr>
            <w:r>
              <w:rPr>
                <w:rFonts w:ascii="Arial" w:hAnsi="Arial" w:cs="Arial"/>
                <w:sz w:val="20"/>
                <w:szCs w:val="20"/>
              </w:rPr>
              <w:t>583</w:t>
            </w:r>
          </w:p>
        </w:tc>
        <w:tc>
          <w:tcPr>
            <w:tcW w:w="1387" w:type="dxa"/>
            <w:tcBorders>
              <w:top w:val="nil"/>
              <w:left w:val="nil"/>
              <w:bottom w:val="nil"/>
              <w:right w:val="nil"/>
            </w:tcBorders>
            <w:shd w:val="clear" w:color="auto" w:fill="auto"/>
            <w:vAlign w:val="bottom"/>
          </w:tcPr>
          <w:p w14:paraId="5ACECFA8" w14:textId="696FCDCF" w:rsidR="009764D1" w:rsidRPr="00F43653" w:rsidRDefault="009764D1" w:rsidP="009764D1">
            <w:pPr>
              <w:suppressAutoHyphens/>
              <w:autoSpaceDN w:val="0"/>
              <w:jc w:val="right"/>
              <w:rPr>
                <w:rFonts w:ascii="Arial" w:hAnsi="Arial" w:cs="Arial"/>
                <w:sz w:val="20"/>
                <w:szCs w:val="20"/>
              </w:rPr>
            </w:pPr>
            <w:r>
              <w:rPr>
                <w:rFonts w:ascii="Arial" w:hAnsi="Arial" w:cs="Arial"/>
                <w:sz w:val="20"/>
                <w:szCs w:val="20"/>
              </w:rPr>
              <w:t>733</w:t>
            </w:r>
          </w:p>
        </w:tc>
        <w:tc>
          <w:tcPr>
            <w:tcW w:w="1387" w:type="dxa"/>
            <w:tcBorders>
              <w:top w:val="nil"/>
              <w:left w:val="nil"/>
              <w:bottom w:val="nil"/>
              <w:right w:val="nil"/>
            </w:tcBorders>
            <w:shd w:val="clear" w:color="auto" w:fill="auto"/>
            <w:vAlign w:val="bottom"/>
          </w:tcPr>
          <w:p w14:paraId="4B014D34" w14:textId="59C5A374" w:rsidR="009764D1" w:rsidRPr="00566597" w:rsidRDefault="00CC7287" w:rsidP="009764D1">
            <w:pPr>
              <w:suppressAutoHyphens/>
              <w:autoSpaceDN w:val="0"/>
              <w:jc w:val="right"/>
              <w:rPr>
                <w:rFonts w:ascii="Arial" w:eastAsia="Times New Roman" w:hAnsi="Arial" w:cs="Arial"/>
                <w:color w:val="000000" w:themeColor="text1"/>
                <w:sz w:val="20"/>
                <w:szCs w:val="20"/>
              </w:rPr>
            </w:pPr>
            <w:r w:rsidRPr="00566597">
              <w:rPr>
                <w:rFonts w:ascii="Arial" w:eastAsia="Times New Roman" w:hAnsi="Arial" w:cs="Arial"/>
                <w:color w:val="000000" w:themeColor="text1"/>
                <w:sz w:val="20"/>
                <w:szCs w:val="20"/>
              </w:rPr>
              <w:t>-</w:t>
            </w:r>
          </w:p>
        </w:tc>
        <w:tc>
          <w:tcPr>
            <w:tcW w:w="1387" w:type="dxa"/>
            <w:tcBorders>
              <w:top w:val="nil"/>
              <w:left w:val="nil"/>
              <w:bottom w:val="nil"/>
              <w:right w:val="nil"/>
            </w:tcBorders>
            <w:shd w:val="clear" w:color="auto" w:fill="auto"/>
            <w:vAlign w:val="bottom"/>
          </w:tcPr>
          <w:p w14:paraId="0BFB9052" w14:textId="32A50EDA" w:rsidR="009764D1" w:rsidRPr="00F43653" w:rsidRDefault="009764D1" w:rsidP="009764D1">
            <w:pPr>
              <w:suppressAutoHyphens/>
              <w:autoSpaceDN w:val="0"/>
              <w:jc w:val="right"/>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w:t>
            </w:r>
          </w:p>
        </w:tc>
      </w:tr>
      <w:tr w:rsidR="009764D1" w:rsidRPr="00AE4334" w14:paraId="5A6C8094" w14:textId="77777777" w:rsidTr="00566597">
        <w:trPr>
          <w:trHeight w:val="340"/>
        </w:trPr>
        <w:tc>
          <w:tcPr>
            <w:tcW w:w="4111" w:type="dxa"/>
            <w:tcBorders>
              <w:top w:val="nil"/>
              <w:left w:val="nil"/>
              <w:bottom w:val="nil"/>
              <w:right w:val="nil"/>
            </w:tcBorders>
            <w:shd w:val="clear" w:color="auto" w:fill="auto"/>
            <w:vAlign w:val="bottom"/>
            <w:hideMark/>
          </w:tcPr>
          <w:p w14:paraId="635261EA" w14:textId="77777777" w:rsidR="009764D1" w:rsidRPr="00F43653" w:rsidRDefault="009764D1" w:rsidP="009764D1">
            <w:pPr>
              <w:suppressAutoHyphens/>
              <w:autoSpaceDN w:val="0"/>
              <w:rPr>
                <w:rFonts w:ascii="Arial" w:eastAsia="Times New Roman" w:hAnsi="Arial" w:cs="Arial"/>
                <w:color w:val="000000" w:themeColor="text1"/>
                <w:sz w:val="20"/>
                <w:szCs w:val="20"/>
              </w:rPr>
            </w:pPr>
            <w:r w:rsidRPr="00F43653">
              <w:rPr>
                <w:rFonts w:ascii="Arial" w:eastAsia="Times New Roman" w:hAnsi="Arial" w:cs="Arial"/>
                <w:color w:val="000000" w:themeColor="text1"/>
                <w:sz w:val="20"/>
                <w:szCs w:val="20"/>
              </w:rPr>
              <w:t>Potraživanja po naknadama za procjenu rizika</w:t>
            </w:r>
          </w:p>
        </w:tc>
        <w:tc>
          <w:tcPr>
            <w:tcW w:w="1387" w:type="dxa"/>
            <w:tcBorders>
              <w:top w:val="nil"/>
              <w:left w:val="nil"/>
              <w:bottom w:val="single" w:sz="4" w:space="0" w:color="auto"/>
              <w:right w:val="nil"/>
            </w:tcBorders>
            <w:shd w:val="clear" w:color="auto" w:fill="auto"/>
            <w:vAlign w:val="bottom"/>
          </w:tcPr>
          <w:p w14:paraId="6A83412C" w14:textId="7B7159AA" w:rsidR="009764D1" w:rsidRPr="00F43653" w:rsidRDefault="0003479D" w:rsidP="009764D1">
            <w:pPr>
              <w:suppressAutoHyphens/>
              <w:autoSpaceDN w:val="0"/>
              <w:jc w:val="right"/>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72</w:t>
            </w:r>
          </w:p>
        </w:tc>
        <w:tc>
          <w:tcPr>
            <w:tcW w:w="1387" w:type="dxa"/>
            <w:tcBorders>
              <w:top w:val="nil"/>
              <w:left w:val="nil"/>
              <w:bottom w:val="single" w:sz="4" w:space="0" w:color="auto"/>
              <w:right w:val="nil"/>
            </w:tcBorders>
            <w:shd w:val="clear" w:color="auto" w:fill="auto"/>
            <w:vAlign w:val="bottom"/>
          </w:tcPr>
          <w:p w14:paraId="486815CB" w14:textId="0137606F" w:rsidR="009764D1" w:rsidRPr="00F43653" w:rsidRDefault="009764D1" w:rsidP="009764D1">
            <w:pPr>
              <w:suppressAutoHyphens/>
              <w:autoSpaceDN w:val="0"/>
              <w:jc w:val="right"/>
              <w:rPr>
                <w:rFonts w:ascii="Arial" w:eastAsia="Times New Roman" w:hAnsi="Arial" w:cs="Arial"/>
                <w:color w:val="000000" w:themeColor="text1"/>
                <w:sz w:val="20"/>
                <w:szCs w:val="20"/>
              </w:rPr>
            </w:pPr>
            <w:r w:rsidRPr="00AE4334">
              <w:rPr>
                <w:rFonts w:ascii="Arial" w:hAnsi="Arial" w:cs="Arial"/>
                <w:sz w:val="20"/>
                <w:szCs w:val="20"/>
              </w:rPr>
              <w:t xml:space="preserve"> </w:t>
            </w:r>
            <w:r>
              <w:rPr>
                <w:rFonts w:ascii="Arial" w:hAnsi="Arial" w:cs="Arial"/>
                <w:sz w:val="20"/>
                <w:szCs w:val="20"/>
              </w:rPr>
              <w:t>35</w:t>
            </w:r>
            <w:r w:rsidRPr="00AE4334">
              <w:rPr>
                <w:rFonts w:ascii="Arial" w:hAnsi="Arial" w:cs="Arial"/>
                <w:sz w:val="20"/>
                <w:szCs w:val="20"/>
              </w:rPr>
              <w:t xml:space="preserve"> </w:t>
            </w:r>
          </w:p>
        </w:tc>
        <w:tc>
          <w:tcPr>
            <w:tcW w:w="1387" w:type="dxa"/>
            <w:tcBorders>
              <w:top w:val="nil"/>
              <w:left w:val="nil"/>
              <w:bottom w:val="single" w:sz="4" w:space="0" w:color="auto"/>
              <w:right w:val="nil"/>
            </w:tcBorders>
            <w:shd w:val="clear" w:color="auto" w:fill="auto"/>
            <w:vAlign w:val="bottom"/>
          </w:tcPr>
          <w:p w14:paraId="5C18DA4C" w14:textId="0E1C8BA2" w:rsidR="009764D1" w:rsidRPr="00566597" w:rsidRDefault="00CC7287" w:rsidP="009764D1">
            <w:pPr>
              <w:suppressAutoHyphens/>
              <w:autoSpaceDN w:val="0"/>
              <w:jc w:val="right"/>
              <w:rPr>
                <w:rFonts w:ascii="Arial" w:eastAsia="Times New Roman" w:hAnsi="Arial" w:cs="Arial"/>
                <w:color w:val="000000" w:themeColor="text1"/>
                <w:sz w:val="20"/>
                <w:szCs w:val="20"/>
              </w:rPr>
            </w:pPr>
            <w:r w:rsidRPr="00566597">
              <w:rPr>
                <w:rFonts w:ascii="Arial" w:eastAsia="Times New Roman" w:hAnsi="Arial" w:cs="Arial"/>
                <w:color w:val="000000" w:themeColor="text1"/>
                <w:sz w:val="20"/>
                <w:szCs w:val="20"/>
              </w:rPr>
              <w:t>-</w:t>
            </w:r>
          </w:p>
        </w:tc>
        <w:tc>
          <w:tcPr>
            <w:tcW w:w="1387" w:type="dxa"/>
            <w:tcBorders>
              <w:top w:val="nil"/>
              <w:left w:val="nil"/>
              <w:bottom w:val="single" w:sz="4" w:space="0" w:color="auto"/>
              <w:right w:val="nil"/>
            </w:tcBorders>
            <w:shd w:val="clear" w:color="auto" w:fill="auto"/>
            <w:vAlign w:val="bottom"/>
          </w:tcPr>
          <w:p w14:paraId="407B6F60" w14:textId="01377FD7" w:rsidR="009764D1" w:rsidRPr="00F43653" w:rsidRDefault="009764D1" w:rsidP="009764D1">
            <w:pPr>
              <w:suppressAutoHyphens/>
              <w:autoSpaceDN w:val="0"/>
              <w:jc w:val="right"/>
              <w:rPr>
                <w:rFonts w:ascii="Arial" w:eastAsia="Times New Roman" w:hAnsi="Arial" w:cs="Arial"/>
                <w:color w:val="000000" w:themeColor="text1"/>
                <w:sz w:val="20"/>
                <w:szCs w:val="20"/>
              </w:rPr>
            </w:pPr>
            <w:r w:rsidRPr="00AE4334">
              <w:rPr>
                <w:rFonts w:ascii="Arial" w:eastAsia="Times New Roman" w:hAnsi="Arial" w:cs="Arial"/>
                <w:color w:val="000000" w:themeColor="text1"/>
                <w:sz w:val="20"/>
                <w:szCs w:val="20"/>
              </w:rPr>
              <w:t>-</w:t>
            </w:r>
          </w:p>
        </w:tc>
      </w:tr>
      <w:tr w:rsidR="009764D1" w:rsidRPr="00AE4334" w14:paraId="14E521EB" w14:textId="77777777" w:rsidTr="00566597">
        <w:trPr>
          <w:trHeight w:val="340"/>
        </w:trPr>
        <w:tc>
          <w:tcPr>
            <w:tcW w:w="4111" w:type="dxa"/>
            <w:tcBorders>
              <w:top w:val="nil"/>
              <w:left w:val="nil"/>
              <w:bottom w:val="nil"/>
              <w:right w:val="nil"/>
            </w:tcBorders>
            <w:shd w:val="clear" w:color="auto" w:fill="auto"/>
            <w:vAlign w:val="bottom"/>
          </w:tcPr>
          <w:p w14:paraId="0F8D8B48" w14:textId="77777777" w:rsidR="009764D1" w:rsidRPr="00F43653" w:rsidRDefault="009764D1" w:rsidP="009764D1">
            <w:pPr>
              <w:suppressAutoHyphens/>
              <w:autoSpaceDN w:val="0"/>
              <w:rPr>
                <w:rFonts w:ascii="Arial" w:eastAsia="Times New Roman" w:hAnsi="Arial" w:cs="Arial"/>
                <w:color w:val="000000" w:themeColor="text1"/>
                <w:sz w:val="20"/>
                <w:szCs w:val="20"/>
              </w:rPr>
            </w:pPr>
          </w:p>
        </w:tc>
        <w:tc>
          <w:tcPr>
            <w:tcW w:w="1387" w:type="dxa"/>
            <w:tcBorders>
              <w:top w:val="nil"/>
              <w:left w:val="nil"/>
              <w:bottom w:val="single" w:sz="4" w:space="0" w:color="auto"/>
              <w:right w:val="nil"/>
            </w:tcBorders>
            <w:shd w:val="clear" w:color="auto" w:fill="auto"/>
            <w:vAlign w:val="bottom"/>
          </w:tcPr>
          <w:p w14:paraId="4424F0A5" w14:textId="2216DC45" w:rsidR="009764D1" w:rsidRPr="00F43653" w:rsidRDefault="0003479D" w:rsidP="009764D1">
            <w:pPr>
              <w:suppressAutoHyphens/>
              <w:autoSpaceDN w:val="0"/>
              <w:jc w:val="right"/>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6.791</w:t>
            </w:r>
          </w:p>
        </w:tc>
        <w:tc>
          <w:tcPr>
            <w:tcW w:w="1387" w:type="dxa"/>
            <w:tcBorders>
              <w:top w:val="nil"/>
              <w:left w:val="nil"/>
              <w:bottom w:val="single" w:sz="4" w:space="0" w:color="auto"/>
              <w:right w:val="nil"/>
            </w:tcBorders>
            <w:shd w:val="clear" w:color="auto" w:fill="auto"/>
            <w:vAlign w:val="bottom"/>
          </w:tcPr>
          <w:p w14:paraId="5830B937" w14:textId="447B3AD2" w:rsidR="009764D1" w:rsidRPr="00F43653" w:rsidRDefault="009764D1" w:rsidP="009764D1">
            <w:pPr>
              <w:suppressAutoHyphens/>
              <w:autoSpaceDN w:val="0"/>
              <w:jc w:val="right"/>
              <w:rPr>
                <w:rFonts w:ascii="Arial" w:eastAsia="Times New Roman" w:hAnsi="Arial" w:cs="Arial"/>
                <w:color w:val="000000" w:themeColor="text1"/>
                <w:sz w:val="20"/>
                <w:szCs w:val="20"/>
              </w:rPr>
            </w:pPr>
            <w:r>
              <w:rPr>
                <w:rFonts w:ascii="Arial" w:hAnsi="Arial" w:cs="Arial"/>
                <w:sz w:val="20"/>
                <w:szCs w:val="20"/>
              </w:rPr>
              <w:t>6.233</w:t>
            </w:r>
            <w:r w:rsidRPr="00AE4334">
              <w:rPr>
                <w:rFonts w:ascii="Arial" w:hAnsi="Arial" w:cs="Arial"/>
                <w:sz w:val="20"/>
                <w:szCs w:val="20"/>
              </w:rPr>
              <w:t xml:space="preserve"> </w:t>
            </w:r>
          </w:p>
        </w:tc>
        <w:tc>
          <w:tcPr>
            <w:tcW w:w="1387" w:type="dxa"/>
            <w:tcBorders>
              <w:top w:val="nil"/>
              <w:left w:val="nil"/>
              <w:bottom w:val="single" w:sz="4" w:space="0" w:color="auto"/>
              <w:right w:val="nil"/>
            </w:tcBorders>
            <w:shd w:val="clear" w:color="auto" w:fill="auto"/>
            <w:vAlign w:val="bottom"/>
          </w:tcPr>
          <w:p w14:paraId="603E5390" w14:textId="50A4B521" w:rsidR="009764D1" w:rsidRPr="00566597" w:rsidRDefault="00CC7287" w:rsidP="009764D1">
            <w:pPr>
              <w:suppressAutoHyphens/>
              <w:autoSpaceDN w:val="0"/>
              <w:jc w:val="right"/>
              <w:rPr>
                <w:rFonts w:ascii="Arial" w:eastAsia="Times New Roman" w:hAnsi="Arial" w:cs="Arial"/>
                <w:color w:val="000000" w:themeColor="text1"/>
                <w:sz w:val="20"/>
                <w:szCs w:val="20"/>
              </w:rPr>
            </w:pPr>
            <w:r w:rsidRPr="00566597">
              <w:rPr>
                <w:rFonts w:ascii="Arial" w:eastAsia="Times New Roman" w:hAnsi="Arial" w:cs="Arial"/>
                <w:color w:val="000000" w:themeColor="text1"/>
                <w:sz w:val="20"/>
                <w:szCs w:val="20"/>
              </w:rPr>
              <w:t>6.136</w:t>
            </w:r>
          </w:p>
        </w:tc>
        <w:tc>
          <w:tcPr>
            <w:tcW w:w="1387" w:type="dxa"/>
            <w:tcBorders>
              <w:top w:val="nil"/>
              <w:left w:val="nil"/>
              <w:bottom w:val="single" w:sz="4" w:space="0" w:color="auto"/>
              <w:right w:val="nil"/>
            </w:tcBorders>
            <w:shd w:val="clear" w:color="auto" w:fill="auto"/>
            <w:vAlign w:val="bottom"/>
          </w:tcPr>
          <w:p w14:paraId="52189A52" w14:textId="493008E3" w:rsidR="009764D1" w:rsidRPr="00F43653" w:rsidRDefault="009764D1" w:rsidP="009764D1">
            <w:pPr>
              <w:suppressAutoHyphens/>
              <w:autoSpaceDN w:val="0"/>
              <w:jc w:val="right"/>
              <w:rPr>
                <w:rFonts w:ascii="Arial" w:eastAsia="Times New Roman" w:hAnsi="Arial" w:cs="Arial"/>
                <w:color w:val="000000" w:themeColor="text1"/>
                <w:sz w:val="20"/>
                <w:szCs w:val="20"/>
              </w:rPr>
            </w:pPr>
            <w:r w:rsidRPr="00AE4334">
              <w:rPr>
                <w:rFonts w:ascii="Arial" w:hAnsi="Arial" w:cs="Arial"/>
                <w:sz w:val="20"/>
                <w:szCs w:val="20"/>
              </w:rPr>
              <w:t xml:space="preserve"> 5.</w:t>
            </w:r>
            <w:r>
              <w:rPr>
                <w:rFonts w:ascii="Arial" w:hAnsi="Arial" w:cs="Arial"/>
                <w:sz w:val="20"/>
                <w:szCs w:val="20"/>
              </w:rPr>
              <w:t>465</w:t>
            </w:r>
            <w:r w:rsidRPr="00AE4334">
              <w:rPr>
                <w:rFonts w:ascii="Arial" w:hAnsi="Arial" w:cs="Arial"/>
                <w:sz w:val="20"/>
                <w:szCs w:val="20"/>
              </w:rPr>
              <w:t xml:space="preserve"> </w:t>
            </w:r>
          </w:p>
        </w:tc>
      </w:tr>
      <w:tr w:rsidR="009764D1" w:rsidRPr="00AE4334" w14:paraId="39B50E4D" w14:textId="77777777" w:rsidTr="00566597">
        <w:trPr>
          <w:trHeight w:val="340"/>
        </w:trPr>
        <w:tc>
          <w:tcPr>
            <w:tcW w:w="4111" w:type="dxa"/>
            <w:tcBorders>
              <w:top w:val="nil"/>
              <w:left w:val="nil"/>
              <w:bottom w:val="nil"/>
              <w:right w:val="nil"/>
            </w:tcBorders>
            <w:shd w:val="clear" w:color="auto" w:fill="auto"/>
            <w:vAlign w:val="bottom"/>
          </w:tcPr>
          <w:p w14:paraId="3552FDF4" w14:textId="77777777" w:rsidR="009764D1" w:rsidRPr="00F43653" w:rsidRDefault="009764D1" w:rsidP="009764D1">
            <w:pPr>
              <w:suppressAutoHyphens/>
              <w:autoSpaceDN w:val="0"/>
              <w:rPr>
                <w:rFonts w:ascii="Arial" w:eastAsia="Times New Roman" w:hAnsi="Arial" w:cs="Arial"/>
                <w:color w:val="000000" w:themeColor="text1"/>
                <w:sz w:val="20"/>
                <w:szCs w:val="20"/>
              </w:rPr>
            </w:pPr>
            <w:r w:rsidRPr="00F43653">
              <w:rPr>
                <w:rFonts w:ascii="Arial" w:eastAsia="Times New Roman" w:hAnsi="Arial" w:cs="Arial"/>
                <w:color w:val="000000" w:themeColor="text1"/>
                <w:sz w:val="20"/>
                <w:szCs w:val="20"/>
              </w:rPr>
              <w:t>Rezerviranja za očekivane gubitke</w:t>
            </w:r>
          </w:p>
        </w:tc>
        <w:tc>
          <w:tcPr>
            <w:tcW w:w="1387" w:type="dxa"/>
            <w:tcBorders>
              <w:top w:val="single" w:sz="4" w:space="0" w:color="auto"/>
              <w:left w:val="nil"/>
              <w:bottom w:val="nil"/>
              <w:right w:val="nil"/>
            </w:tcBorders>
            <w:shd w:val="clear" w:color="auto" w:fill="auto"/>
            <w:vAlign w:val="bottom"/>
          </w:tcPr>
          <w:p w14:paraId="4BE53B5A" w14:textId="069EDAB6" w:rsidR="009764D1" w:rsidRPr="00F43653" w:rsidRDefault="00866D20" w:rsidP="009764D1">
            <w:pPr>
              <w:suppressAutoHyphens/>
              <w:autoSpaceDN w:val="0"/>
              <w:jc w:val="right"/>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(4.717)</w:t>
            </w:r>
          </w:p>
        </w:tc>
        <w:tc>
          <w:tcPr>
            <w:tcW w:w="1387" w:type="dxa"/>
            <w:tcBorders>
              <w:top w:val="single" w:sz="4" w:space="0" w:color="auto"/>
              <w:left w:val="nil"/>
              <w:bottom w:val="nil"/>
              <w:right w:val="nil"/>
            </w:tcBorders>
            <w:shd w:val="clear" w:color="auto" w:fill="auto"/>
            <w:vAlign w:val="bottom"/>
          </w:tcPr>
          <w:p w14:paraId="3422D100" w14:textId="468C627B" w:rsidR="009764D1" w:rsidRPr="00F43653" w:rsidRDefault="009764D1" w:rsidP="009764D1">
            <w:pPr>
              <w:suppressAutoHyphens/>
              <w:autoSpaceDN w:val="0"/>
              <w:jc w:val="right"/>
              <w:rPr>
                <w:rFonts w:ascii="Arial" w:eastAsia="Times New Roman" w:hAnsi="Arial" w:cs="Arial"/>
                <w:color w:val="000000" w:themeColor="text1"/>
                <w:sz w:val="20"/>
                <w:szCs w:val="20"/>
              </w:rPr>
            </w:pPr>
            <w:r w:rsidRPr="00AE4334">
              <w:rPr>
                <w:rFonts w:ascii="Arial" w:hAnsi="Arial" w:cs="Arial"/>
                <w:sz w:val="20"/>
                <w:szCs w:val="20"/>
              </w:rPr>
              <w:t xml:space="preserve"> (4.</w:t>
            </w:r>
            <w:r>
              <w:rPr>
                <w:rFonts w:ascii="Arial" w:hAnsi="Arial" w:cs="Arial"/>
                <w:sz w:val="20"/>
                <w:szCs w:val="20"/>
              </w:rPr>
              <w:t>393</w:t>
            </w:r>
            <w:r w:rsidRPr="00AE4334">
              <w:rPr>
                <w:rFonts w:ascii="Arial" w:hAnsi="Arial" w:cs="Arial"/>
                <w:sz w:val="20"/>
                <w:szCs w:val="20"/>
              </w:rPr>
              <w:t>)</w:t>
            </w:r>
          </w:p>
        </w:tc>
        <w:tc>
          <w:tcPr>
            <w:tcW w:w="1387" w:type="dxa"/>
            <w:tcBorders>
              <w:top w:val="single" w:sz="4" w:space="0" w:color="auto"/>
              <w:left w:val="nil"/>
              <w:bottom w:val="nil"/>
              <w:right w:val="nil"/>
            </w:tcBorders>
            <w:shd w:val="clear" w:color="auto" w:fill="auto"/>
            <w:vAlign w:val="bottom"/>
          </w:tcPr>
          <w:p w14:paraId="36B8B6A8" w14:textId="7EA806EF" w:rsidR="009764D1" w:rsidRPr="00566597" w:rsidRDefault="00CC7287" w:rsidP="009764D1">
            <w:pPr>
              <w:suppressAutoHyphens/>
              <w:autoSpaceDN w:val="0"/>
              <w:jc w:val="right"/>
              <w:rPr>
                <w:rFonts w:ascii="Arial" w:eastAsia="Times New Roman" w:hAnsi="Arial" w:cs="Arial"/>
                <w:color w:val="000000" w:themeColor="text1"/>
                <w:sz w:val="20"/>
                <w:szCs w:val="20"/>
              </w:rPr>
            </w:pPr>
            <w:r w:rsidRPr="00566597">
              <w:rPr>
                <w:rFonts w:ascii="Arial" w:eastAsia="Times New Roman" w:hAnsi="Arial" w:cs="Arial"/>
                <w:color w:val="000000" w:themeColor="text1"/>
                <w:sz w:val="20"/>
                <w:szCs w:val="20"/>
              </w:rPr>
              <w:t>(4.689)</w:t>
            </w:r>
          </w:p>
        </w:tc>
        <w:tc>
          <w:tcPr>
            <w:tcW w:w="1387" w:type="dxa"/>
            <w:tcBorders>
              <w:top w:val="single" w:sz="4" w:space="0" w:color="auto"/>
              <w:left w:val="nil"/>
              <w:bottom w:val="nil"/>
              <w:right w:val="nil"/>
            </w:tcBorders>
            <w:shd w:val="clear" w:color="auto" w:fill="auto"/>
            <w:vAlign w:val="bottom"/>
          </w:tcPr>
          <w:p w14:paraId="674413B6" w14:textId="52D1C5A1" w:rsidR="009764D1" w:rsidRPr="00F43653" w:rsidRDefault="009764D1" w:rsidP="009764D1">
            <w:pPr>
              <w:suppressAutoHyphens/>
              <w:autoSpaceDN w:val="0"/>
              <w:jc w:val="right"/>
              <w:rPr>
                <w:rFonts w:ascii="Arial" w:eastAsia="Times New Roman" w:hAnsi="Arial" w:cs="Arial"/>
                <w:color w:val="000000" w:themeColor="text1"/>
                <w:sz w:val="20"/>
                <w:szCs w:val="20"/>
              </w:rPr>
            </w:pPr>
            <w:r w:rsidRPr="00AE4334">
              <w:rPr>
                <w:rFonts w:ascii="Arial" w:hAnsi="Arial" w:cs="Arial"/>
                <w:sz w:val="20"/>
                <w:szCs w:val="20"/>
              </w:rPr>
              <w:t xml:space="preserve"> (4.</w:t>
            </w:r>
            <w:r>
              <w:rPr>
                <w:rFonts w:ascii="Arial" w:hAnsi="Arial" w:cs="Arial"/>
                <w:sz w:val="20"/>
                <w:szCs w:val="20"/>
              </w:rPr>
              <w:t>385</w:t>
            </w:r>
            <w:r w:rsidRPr="00AE4334">
              <w:rPr>
                <w:rFonts w:ascii="Arial" w:hAnsi="Arial" w:cs="Arial"/>
                <w:sz w:val="20"/>
                <w:szCs w:val="20"/>
              </w:rPr>
              <w:t>)</w:t>
            </w:r>
          </w:p>
        </w:tc>
      </w:tr>
      <w:tr w:rsidR="009764D1" w:rsidRPr="00AE4334" w14:paraId="4CF50F8D" w14:textId="77777777" w:rsidTr="00566597">
        <w:trPr>
          <w:trHeight w:val="279"/>
        </w:trPr>
        <w:tc>
          <w:tcPr>
            <w:tcW w:w="4111" w:type="dxa"/>
            <w:tcBorders>
              <w:top w:val="nil"/>
              <w:left w:val="nil"/>
              <w:bottom w:val="nil"/>
              <w:right w:val="nil"/>
            </w:tcBorders>
            <w:shd w:val="clear" w:color="auto" w:fill="auto"/>
            <w:vAlign w:val="bottom"/>
            <w:hideMark/>
          </w:tcPr>
          <w:p w14:paraId="71F26A00" w14:textId="77777777" w:rsidR="009764D1" w:rsidRPr="00F43653" w:rsidRDefault="009764D1" w:rsidP="009764D1">
            <w:pPr>
              <w:suppressAutoHyphens/>
              <w:autoSpaceDN w:val="0"/>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Imovina koja je izložena kreditnom riziku</w:t>
            </w:r>
          </w:p>
        </w:tc>
        <w:tc>
          <w:tcPr>
            <w:tcW w:w="1387" w:type="dxa"/>
            <w:tcBorders>
              <w:top w:val="single" w:sz="4" w:space="0" w:color="auto"/>
              <w:left w:val="nil"/>
              <w:bottom w:val="single" w:sz="12" w:space="0" w:color="auto"/>
              <w:right w:val="nil"/>
            </w:tcBorders>
            <w:shd w:val="clear" w:color="auto" w:fill="auto"/>
            <w:vAlign w:val="bottom"/>
          </w:tcPr>
          <w:p w14:paraId="7BD96D85" w14:textId="7466D8F2" w:rsidR="009764D1" w:rsidRPr="00F43653" w:rsidRDefault="00866D20" w:rsidP="009764D1">
            <w:pPr>
              <w:suppressAutoHyphens/>
              <w:autoSpaceDN w:val="0"/>
              <w:jc w:val="right"/>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2.074</w:t>
            </w:r>
          </w:p>
        </w:tc>
        <w:tc>
          <w:tcPr>
            <w:tcW w:w="1387" w:type="dxa"/>
            <w:tcBorders>
              <w:top w:val="single" w:sz="4" w:space="0" w:color="auto"/>
              <w:left w:val="nil"/>
              <w:bottom w:val="single" w:sz="12" w:space="0" w:color="auto"/>
              <w:right w:val="nil"/>
            </w:tcBorders>
            <w:shd w:val="clear" w:color="auto" w:fill="auto"/>
            <w:vAlign w:val="bottom"/>
          </w:tcPr>
          <w:p w14:paraId="5F4B7A54" w14:textId="12AAE5F9" w:rsidR="009764D1" w:rsidRPr="00F43653" w:rsidRDefault="009764D1" w:rsidP="009764D1">
            <w:pPr>
              <w:suppressAutoHyphens/>
              <w:autoSpaceDN w:val="0"/>
              <w:jc w:val="right"/>
              <w:rPr>
                <w:rFonts w:ascii="Arial" w:eastAsia="Times New Roman" w:hAnsi="Arial" w:cs="Arial"/>
                <w:b/>
                <w:bCs/>
                <w:color w:val="000000" w:themeColor="text1"/>
                <w:sz w:val="20"/>
                <w:szCs w:val="20"/>
              </w:rPr>
            </w:pPr>
            <w:r w:rsidRPr="00AE4334">
              <w:rPr>
                <w:rFonts w:ascii="Arial" w:hAnsi="Arial" w:cs="Arial"/>
                <w:b/>
                <w:bCs/>
                <w:sz w:val="20"/>
                <w:szCs w:val="20"/>
              </w:rPr>
              <w:t xml:space="preserve"> 1.</w:t>
            </w:r>
            <w:r>
              <w:rPr>
                <w:rFonts w:ascii="Arial" w:hAnsi="Arial" w:cs="Arial"/>
                <w:b/>
                <w:bCs/>
                <w:sz w:val="20"/>
                <w:szCs w:val="20"/>
              </w:rPr>
              <w:t>840</w:t>
            </w:r>
          </w:p>
        </w:tc>
        <w:tc>
          <w:tcPr>
            <w:tcW w:w="1387" w:type="dxa"/>
            <w:tcBorders>
              <w:top w:val="single" w:sz="4" w:space="0" w:color="auto"/>
              <w:left w:val="nil"/>
              <w:bottom w:val="single" w:sz="12" w:space="0" w:color="auto"/>
              <w:right w:val="nil"/>
            </w:tcBorders>
            <w:shd w:val="clear" w:color="auto" w:fill="auto"/>
            <w:vAlign w:val="bottom"/>
          </w:tcPr>
          <w:p w14:paraId="6DA0E1D2" w14:textId="26BF2885" w:rsidR="009764D1" w:rsidRPr="00566597" w:rsidRDefault="00CC7287" w:rsidP="009764D1">
            <w:pPr>
              <w:suppressAutoHyphens/>
              <w:autoSpaceDN w:val="0"/>
              <w:jc w:val="right"/>
              <w:rPr>
                <w:rFonts w:ascii="Arial" w:eastAsia="Times New Roman" w:hAnsi="Arial" w:cs="Arial"/>
                <w:b/>
                <w:bCs/>
                <w:color w:val="000000" w:themeColor="text1"/>
                <w:sz w:val="20"/>
                <w:szCs w:val="20"/>
              </w:rPr>
            </w:pPr>
            <w:r w:rsidRPr="00566597">
              <w:rPr>
                <w:rFonts w:ascii="Arial" w:eastAsia="Times New Roman" w:hAnsi="Arial" w:cs="Arial"/>
                <w:b/>
                <w:bCs/>
                <w:color w:val="000000" w:themeColor="text1"/>
                <w:sz w:val="20"/>
                <w:szCs w:val="20"/>
              </w:rPr>
              <w:t>1.447</w:t>
            </w:r>
          </w:p>
        </w:tc>
        <w:tc>
          <w:tcPr>
            <w:tcW w:w="1387" w:type="dxa"/>
            <w:tcBorders>
              <w:top w:val="single" w:sz="4" w:space="0" w:color="auto"/>
              <w:left w:val="nil"/>
              <w:bottom w:val="single" w:sz="12" w:space="0" w:color="auto"/>
              <w:right w:val="nil"/>
            </w:tcBorders>
            <w:shd w:val="clear" w:color="auto" w:fill="auto"/>
            <w:vAlign w:val="bottom"/>
          </w:tcPr>
          <w:p w14:paraId="5004386A" w14:textId="54979CA3" w:rsidR="009764D1" w:rsidRPr="00F43653" w:rsidRDefault="009764D1" w:rsidP="009764D1">
            <w:pPr>
              <w:suppressAutoHyphens/>
              <w:autoSpaceDN w:val="0"/>
              <w:jc w:val="right"/>
              <w:rPr>
                <w:rFonts w:ascii="Arial" w:eastAsia="Times New Roman" w:hAnsi="Arial" w:cs="Arial"/>
                <w:b/>
                <w:bCs/>
                <w:color w:val="000000" w:themeColor="text1"/>
                <w:sz w:val="20"/>
                <w:szCs w:val="20"/>
              </w:rPr>
            </w:pPr>
            <w:r>
              <w:rPr>
                <w:rFonts w:ascii="Arial" w:hAnsi="Arial" w:cs="Arial"/>
                <w:b/>
                <w:bCs/>
                <w:sz w:val="20"/>
                <w:szCs w:val="20"/>
              </w:rPr>
              <w:t>1.080</w:t>
            </w:r>
            <w:r w:rsidRPr="00AE4334">
              <w:rPr>
                <w:rFonts w:ascii="Arial" w:hAnsi="Arial" w:cs="Arial"/>
                <w:b/>
                <w:bCs/>
                <w:sz w:val="20"/>
                <w:szCs w:val="20"/>
              </w:rPr>
              <w:t xml:space="preserve"> </w:t>
            </w:r>
          </w:p>
        </w:tc>
      </w:tr>
    </w:tbl>
    <w:p w14:paraId="70627447" w14:textId="77777777" w:rsidR="00C81475" w:rsidRPr="003D1614" w:rsidRDefault="00C81475" w:rsidP="00C81475">
      <w:pPr>
        <w:keepNext/>
        <w:suppressAutoHyphens/>
        <w:autoSpaceDN w:val="0"/>
        <w:jc w:val="both"/>
        <w:outlineLvl w:val="0"/>
        <w:rPr>
          <w:rFonts w:ascii="Arial" w:eastAsia="Times New Roman" w:hAnsi="Arial" w:cs="Arial"/>
          <w:color w:val="000000" w:themeColor="text1"/>
          <w:sz w:val="20"/>
          <w:szCs w:val="20"/>
        </w:rPr>
      </w:pPr>
    </w:p>
    <w:p w14:paraId="0C13C2C1" w14:textId="77777777" w:rsidR="00C81475" w:rsidRPr="003D1614" w:rsidRDefault="00C81475" w:rsidP="00C81475">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Promjene na rezerviranjima za očekivane gubitke po ostaloj imovini mogu se prikazati:</w:t>
      </w:r>
    </w:p>
    <w:p w14:paraId="6D231C6F" w14:textId="77777777" w:rsidR="00C81475" w:rsidRPr="003D1614" w:rsidRDefault="00C81475" w:rsidP="00C81475">
      <w:pPr>
        <w:keepNext/>
        <w:suppressAutoHyphens/>
        <w:autoSpaceDN w:val="0"/>
        <w:jc w:val="both"/>
        <w:outlineLvl w:val="0"/>
        <w:rPr>
          <w:rFonts w:ascii="Arial" w:eastAsia="Times New Roman" w:hAnsi="Arial" w:cs="Arial"/>
          <w:color w:val="000000" w:themeColor="text1"/>
          <w:sz w:val="20"/>
          <w:szCs w:val="20"/>
        </w:rPr>
      </w:pPr>
    </w:p>
    <w:tbl>
      <w:tblPr>
        <w:tblW w:w="5327" w:type="pct"/>
        <w:tblInd w:w="-142" w:type="dxa"/>
        <w:tblLayout w:type="fixed"/>
        <w:tblLook w:val="04A0" w:firstRow="1" w:lastRow="0" w:firstColumn="1" w:lastColumn="0" w:noHBand="0" w:noVBand="1"/>
      </w:tblPr>
      <w:tblGrid>
        <w:gridCol w:w="4109"/>
        <w:gridCol w:w="1389"/>
        <w:gridCol w:w="1389"/>
        <w:gridCol w:w="1389"/>
        <w:gridCol w:w="1389"/>
      </w:tblGrid>
      <w:tr w:rsidR="00C81475" w:rsidRPr="009D1920" w14:paraId="7B8ACBDD" w14:textId="77777777" w:rsidTr="009D1920">
        <w:trPr>
          <w:trHeight w:val="247"/>
        </w:trPr>
        <w:tc>
          <w:tcPr>
            <w:tcW w:w="4109" w:type="dxa"/>
            <w:tcBorders>
              <w:top w:val="nil"/>
              <w:left w:val="nil"/>
              <w:bottom w:val="nil"/>
              <w:right w:val="nil"/>
            </w:tcBorders>
            <w:shd w:val="clear" w:color="auto" w:fill="auto"/>
            <w:noWrap/>
            <w:vAlign w:val="bottom"/>
            <w:hideMark/>
          </w:tcPr>
          <w:p w14:paraId="7706C29C" w14:textId="77777777" w:rsidR="00C81475" w:rsidRPr="00F43653" w:rsidRDefault="00C81475" w:rsidP="00C81475">
            <w:pPr>
              <w:suppressAutoHyphens/>
              <w:autoSpaceDN w:val="0"/>
              <w:rPr>
                <w:rFonts w:ascii="Arial" w:eastAsia="Calibri" w:hAnsi="Arial" w:cs="Arial"/>
                <w:color w:val="000000" w:themeColor="text1"/>
                <w:sz w:val="20"/>
                <w:szCs w:val="20"/>
              </w:rPr>
            </w:pPr>
          </w:p>
        </w:tc>
        <w:tc>
          <w:tcPr>
            <w:tcW w:w="2778" w:type="dxa"/>
            <w:gridSpan w:val="2"/>
            <w:tcBorders>
              <w:top w:val="nil"/>
              <w:left w:val="nil"/>
              <w:bottom w:val="nil"/>
              <w:right w:val="nil"/>
            </w:tcBorders>
            <w:shd w:val="clear" w:color="auto" w:fill="auto"/>
            <w:vAlign w:val="bottom"/>
            <w:hideMark/>
          </w:tcPr>
          <w:p w14:paraId="5964D747" w14:textId="77777777" w:rsidR="00C81475" w:rsidRPr="00F43653" w:rsidRDefault="00C81475" w:rsidP="00C81475">
            <w:pPr>
              <w:suppressAutoHyphens/>
              <w:autoSpaceDN w:val="0"/>
              <w:jc w:val="right"/>
              <w:rPr>
                <w:rFonts w:ascii="Arial" w:eastAsia="Calibri" w:hAnsi="Arial" w:cs="Arial"/>
                <w:b/>
                <w:bCs/>
                <w:color w:val="000000" w:themeColor="text1"/>
                <w:sz w:val="20"/>
                <w:szCs w:val="20"/>
              </w:rPr>
            </w:pPr>
            <w:r w:rsidRPr="00F43653">
              <w:rPr>
                <w:rFonts w:ascii="Arial" w:eastAsia="Calibri" w:hAnsi="Arial" w:cs="Arial"/>
                <w:b/>
                <w:bCs/>
                <w:color w:val="000000" w:themeColor="text1"/>
                <w:sz w:val="20"/>
                <w:szCs w:val="20"/>
              </w:rPr>
              <w:t>Grupa</w:t>
            </w:r>
          </w:p>
        </w:tc>
        <w:tc>
          <w:tcPr>
            <w:tcW w:w="2778" w:type="dxa"/>
            <w:gridSpan w:val="2"/>
            <w:tcBorders>
              <w:top w:val="nil"/>
              <w:left w:val="nil"/>
              <w:bottom w:val="nil"/>
              <w:right w:val="nil"/>
            </w:tcBorders>
            <w:shd w:val="clear" w:color="auto" w:fill="auto"/>
            <w:vAlign w:val="bottom"/>
            <w:hideMark/>
          </w:tcPr>
          <w:p w14:paraId="0CA39B55" w14:textId="77777777" w:rsidR="00C81475" w:rsidRPr="00F43653" w:rsidRDefault="00C81475" w:rsidP="00C81475">
            <w:pPr>
              <w:suppressAutoHyphens/>
              <w:autoSpaceDN w:val="0"/>
              <w:jc w:val="right"/>
              <w:rPr>
                <w:rFonts w:ascii="Arial" w:eastAsia="Calibri" w:hAnsi="Arial" w:cs="Arial"/>
                <w:b/>
                <w:bCs/>
                <w:color w:val="000000" w:themeColor="text1"/>
                <w:sz w:val="20"/>
                <w:szCs w:val="20"/>
              </w:rPr>
            </w:pPr>
            <w:r w:rsidRPr="00F43653">
              <w:rPr>
                <w:rFonts w:ascii="Arial" w:eastAsia="Calibri" w:hAnsi="Arial" w:cs="Arial"/>
                <w:b/>
                <w:bCs/>
                <w:color w:val="000000" w:themeColor="text1"/>
                <w:sz w:val="20"/>
                <w:szCs w:val="20"/>
              </w:rPr>
              <w:t>Banka</w:t>
            </w:r>
          </w:p>
        </w:tc>
      </w:tr>
      <w:tr w:rsidR="00C81475" w:rsidRPr="009D1920" w14:paraId="12131DFD" w14:textId="77777777" w:rsidTr="009D1920">
        <w:trPr>
          <w:trHeight w:val="247"/>
        </w:trPr>
        <w:tc>
          <w:tcPr>
            <w:tcW w:w="4109" w:type="dxa"/>
            <w:tcBorders>
              <w:top w:val="nil"/>
              <w:left w:val="nil"/>
              <w:bottom w:val="nil"/>
              <w:right w:val="nil"/>
            </w:tcBorders>
            <w:shd w:val="clear" w:color="auto" w:fill="auto"/>
            <w:noWrap/>
            <w:vAlign w:val="bottom"/>
          </w:tcPr>
          <w:p w14:paraId="16BBE223" w14:textId="77777777" w:rsidR="00C81475" w:rsidRPr="00F43653" w:rsidRDefault="00C81475" w:rsidP="00C81475">
            <w:pPr>
              <w:suppressAutoHyphens/>
              <w:autoSpaceDN w:val="0"/>
              <w:rPr>
                <w:rFonts w:ascii="Arial" w:eastAsia="Calibri" w:hAnsi="Arial" w:cs="Arial"/>
                <w:color w:val="000000" w:themeColor="text1"/>
                <w:sz w:val="20"/>
                <w:szCs w:val="20"/>
              </w:rPr>
            </w:pPr>
          </w:p>
        </w:tc>
        <w:tc>
          <w:tcPr>
            <w:tcW w:w="1389" w:type="dxa"/>
            <w:vAlign w:val="bottom"/>
          </w:tcPr>
          <w:p w14:paraId="40DF0E24" w14:textId="0947D1A9" w:rsidR="00C81475" w:rsidRPr="00F43653" w:rsidRDefault="00C81475" w:rsidP="00C81475">
            <w:pPr>
              <w:tabs>
                <w:tab w:val="right" w:pos="1202"/>
              </w:tabs>
              <w:suppressAutoHyphens/>
              <w:autoSpaceDN w:val="0"/>
              <w:jc w:val="right"/>
              <w:outlineLvl w:val="0"/>
              <w:rPr>
                <w:rFonts w:ascii="Arial" w:eastAsia="Times New Roman" w:hAnsi="Arial" w:cs="Arial"/>
                <w:b/>
                <w:color w:val="000000" w:themeColor="text1"/>
                <w:sz w:val="20"/>
                <w:szCs w:val="20"/>
              </w:rPr>
            </w:pPr>
            <w:bookmarkStart w:id="436" w:name="_Toc67328685"/>
            <w:r w:rsidRPr="00F43653">
              <w:rPr>
                <w:rFonts w:ascii="Arial" w:eastAsia="Times New Roman" w:hAnsi="Arial" w:cs="Arial"/>
                <w:b/>
                <w:color w:val="000000" w:themeColor="text1"/>
                <w:sz w:val="20"/>
                <w:szCs w:val="20"/>
              </w:rPr>
              <w:t>1.1.-</w:t>
            </w:r>
            <w:r w:rsidR="007C3C47" w:rsidRPr="00F43653">
              <w:rPr>
                <w:rFonts w:ascii="Arial" w:eastAsia="Times New Roman" w:hAnsi="Arial" w:cs="Arial"/>
                <w:b/>
                <w:color w:val="000000" w:themeColor="text1"/>
                <w:sz w:val="20"/>
                <w:szCs w:val="20"/>
              </w:rPr>
              <w:t>30</w:t>
            </w:r>
            <w:r w:rsidRPr="00F43653">
              <w:rPr>
                <w:rFonts w:ascii="Arial" w:eastAsia="Times New Roman" w:hAnsi="Arial" w:cs="Arial"/>
                <w:b/>
                <w:color w:val="000000" w:themeColor="text1"/>
                <w:sz w:val="20"/>
                <w:szCs w:val="20"/>
              </w:rPr>
              <w:t>.</w:t>
            </w:r>
            <w:r w:rsidR="002C0DB3">
              <w:rPr>
                <w:rFonts w:ascii="Arial" w:eastAsia="Times New Roman" w:hAnsi="Arial" w:cs="Arial"/>
                <w:b/>
                <w:color w:val="000000" w:themeColor="text1"/>
                <w:sz w:val="20"/>
                <w:szCs w:val="20"/>
              </w:rPr>
              <w:t>9</w:t>
            </w:r>
            <w:r w:rsidRPr="00F43653">
              <w:rPr>
                <w:rFonts w:ascii="Arial" w:eastAsia="Times New Roman" w:hAnsi="Arial" w:cs="Arial"/>
                <w:b/>
                <w:color w:val="000000" w:themeColor="text1"/>
                <w:sz w:val="20"/>
                <w:szCs w:val="20"/>
              </w:rPr>
              <w:t>.</w:t>
            </w:r>
            <w:bookmarkEnd w:id="436"/>
          </w:p>
          <w:p w14:paraId="482E421C" w14:textId="506C2E75" w:rsidR="00C81475" w:rsidRPr="00F43653" w:rsidRDefault="00C81475" w:rsidP="00C81475">
            <w:pPr>
              <w:tabs>
                <w:tab w:val="right" w:pos="1202"/>
              </w:tabs>
              <w:suppressAutoHyphens/>
              <w:autoSpaceDN w:val="0"/>
              <w:jc w:val="right"/>
              <w:outlineLvl w:val="0"/>
              <w:rPr>
                <w:rFonts w:ascii="Arial" w:eastAsia="Times New Roman" w:hAnsi="Arial" w:cs="Arial"/>
                <w:b/>
                <w:color w:val="000000" w:themeColor="text1"/>
                <w:sz w:val="20"/>
                <w:szCs w:val="20"/>
              </w:rPr>
            </w:pPr>
            <w:bookmarkStart w:id="437" w:name="_Toc67328686"/>
            <w:r w:rsidRPr="00F43653">
              <w:rPr>
                <w:rFonts w:ascii="Arial" w:eastAsia="Times New Roman" w:hAnsi="Arial" w:cs="Arial"/>
                <w:b/>
                <w:color w:val="000000" w:themeColor="text1"/>
                <w:sz w:val="20"/>
                <w:szCs w:val="20"/>
              </w:rPr>
              <w:t>202</w:t>
            </w:r>
            <w:r w:rsidR="009764D1">
              <w:rPr>
                <w:rFonts w:ascii="Arial" w:eastAsia="Times New Roman" w:hAnsi="Arial" w:cs="Arial"/>
                <w:b/>
                <w:color w:val="000000" w:themeColor="text1"/>
                <w:sz w:val="20"/>
                <w:szCs w:val="20"/>
              </w:rPr>
              <w:t>4</w:t>
            </w:r>
            <w:r w:rsidRPr="00F43653">
              <w:rPr>
                <w:rFonts w:ascii="Arial" w:eastAsia="Times New Roman" w:hAnsi="Arial" w:cs="Arial"/>
                <w:b/>
                <w:color w:val="000000" w:themeColor="text1"/>
                <w:sz w:val="20"/>
                <w:szCs w:val="20"/>
              </w:rPr>
              <w:t>.</w:t>
            </w:r>
            <w:bookmarkEnd w:id="437"/>
          </w:p>
        </w:tc>
        <w:tc>
          <w:tcPr>
            <w:tcW w:w="1389" w:type="dxa"/>
            <w:vAlign w:val="bottom"/>
          </w:tcPr>
          <w:p w14:paraId="31AB0D81" w14:textId="77777777" w:rsidR="00C81475" w:rsidRPr="00F43653" w:rsidRDefault="00C81475" w:rsidP="00C81475">
            <w:pPr>
              <w:tabs>
                <w:tab w:val="right" w:pos="1202"/>
              </w:tabs>
              <w:suppressAutoHyphens/>
              <w:autoSpaceDN w:val="0"/>
              <w:jc w:val="right"/>
              <w:outlineLvl w:val="0"/>
              <w:rPr>
                <w:rFonts w:ascii="Arial" w:eastAsia="Times New Roman" w:hAnsi="Arial" w:cs="Arial"/>
                <w:b/>
                <w:color w:val="000000" w:themeColor="text1"/>
                <w:sz w:val="20"/>
                <w:szCs w:val="20"/>
              </w:rPr>
            </w:pPr>
            <w:bookmarkStart w:id="438" w:name="_Toc67328687"/>
            <w:r w:rsidRPr="00F43653">
              <w:rPr>
                <w:rFonts w:ascii="Arial" w:eastAsia="Times New Roman" w:hAnsi="Arial" w:cs="Arial"/>
                <w:b/>
                <w:color w:val="000000" w:themeColor="text1"/>
                <w:sz w:val="20"/>
                <w:szCs w:val="20"/>
              </w:rPr>
              <w:t>1.1.-31.12.</w:t>
            </w:r>
            <w:bookmarkEnd w:id="438"/>
          </w:p>
          <w:p w14:paraId="0A31E5D5" w14:textId="4FA95634" w:rsidR="00C81475" w:rsidRPr="00F43653" w:rsidRDefault="00C81475" w:rsidP="00C81475">
            <w:pPr>
              <w:tabs>
                <w:tab w:val="right" w:pos="1202"/>
              </w:tabs>
              <w:suppressAutoHyphens/>
              <w:autoSpaceDN w:val="0"/>
              <w:jc w:val="right"/>
              <w:outlineLvl w:val="0"/>
              <w:rPr>
                <w:rFonts w:ascii="Arial" w:eastAsia="Times New Roman" w:hAnsi="Arial" w:cs="Arial"/>
                <w:b/>
                <w:color w:val="000000" w:themeColor="text1"/>
                <w:sz w:val="20"/>
                <w:szCs w:val="20"/>
              </w:rPr>
            </w:pPr>
            <w:bookmarkStart w:id="439" w:name="_Toc67328688"/>
            <w:r w:rsidRPr="00F43653">
              <w:rPr>
                <w:rFonts w:ascii="Arial" w:eastAsia="Times New Roman" w:hAnsi="Arial" w:cs="Arial"/>
                <w:b/>
                <w:color w:val="000000" w:themeColor="text1"/>
                <w:sz w:val="20"/>
                <w:szCs w:val="20"/>
              </w:rPr>
              <w:t>202</w:t>
            </w:r>
            <w:r w:rsidR="009764D1">
              <w:rPr>
                <w:rFonts w:ascii="Arial" w:eastAsia="Times New Roman" w:hAnsi="Arial" w:cs="Arial"/>
                <w:b/>
                <w:color w:val="000000" w:themeColor="text1"/>
                <w:sz w:val="20"/>
                <w:szCs w:val="20"/>
              </w:rPr>
              <w:t>3</w:t>
            </w:r>
            <w:r w:rsidRPr="00F43653">
              <w:rPr>
                <w:rFonts w:ascii="Arial" w:eastAsia="Times New Roman" w:hAnsi="Arial" w:cs="Arial"/>
                <w:b/>
                <w:color w:val="000000" w:themeColor="text1"/>
                <w:sz w:val="20"/>
                <w:szCs w:val="20"/>
              </w:rPr>
              <w:t>.</w:t>
            </w:r>
            <w:bookmarkEnd w:id="439"/>
          </w:p>
        </w:tc>
        <w:tc>
          <w:tcPr>
            <w:tcW w:w="1389" w:type="dxa"/>
            <w:vAlign w:val="bottom"/>
          </w:tcPr>
          <w:p w14:paraId="79B2C7F0" w14:textId="59F46ACC" w:rsidR="00C81475" w:rsidRPr="00F43653" w:rsidRDefault="00C81475" w:rsidP="00C81475">
            <w:pPr>
              <w:tabs>
                <w:tab w:val="right" w:pos="1202"/>
              </w:tabs>
              <w:suppressAutoHyphens/>
              <w:autoSpaceDN w:val="0"/>
              <w:jc w:val="right"/>
              <w:outlineLvl w:val="0"/>
              <w:rPr>
                <w:rFonts w:ascii="Arial" w:eastAsia="Times New Roman" w:hAnsi="Arial" w:cs="Arial"/>
                <w:b/>
                <w:color w:val="000000" w:themeColor="text1"/>
                <w:sz w:val="20"/>
                <w:szCs w:val="20"/>
              </w:rPr>
            </w:pPr>
            <w:r w:rsidRPr="00F43653">
              <w:rPr>
                <w:rFonts w:ascii="Arial" w:eastAsia="Times New Roman" w:hAnsi="Arial" w:cs="Arial"/>
                <w:b/>
                <w:color w:val="000000" w:themeColor="text1"/>
                <w:sz w:val="20"/>
                <w:szCs w:val="20"/>
              </w:rPr>
              <w:t>1.1.-</w:t>
            </w:r>
            <w:r w:rsidR="007C3C47" w:rsidRPr="00F43653">
              <w:rPr>
                <w:rFonts w:ascii="Arial" w:eastAsia="Times New Roman" w:hAnsi="Arial" w:cs="Arial"/>
                <w:b/>
                <w:color w:val="000000" w:themeColor="text1"/>
                <w:sz w:val="20"/>
                <w:szCs w:val="20"/>
              </w:rPr>
              <w:t>30</w:t>
            </w:r>
            <w:r w:rsidRPr="00F43653">
              <w:rPr>
                <w:rFonts w:ascii="Arial" w:eastAsia="Times New Roman" w:hAnsi="Arial" w:cs="Arial"/>
                <w:b/>
                <w:color w:val="000000" w:themeColor="text1"/>
                <w:sz w:val="20"/>
                <w:szCs w:val="20"/>
              </w:rPr>
              <w:t>.</w:t>
            </w:r>
            <w:r w:rsidR="002C0DB3">
              <w:rPr>
                <w:rFonts w:ascii="Arial" w:eastAsia="Times New Roman" w:hAnsi="Arial" w:cs="Arial"/>
                <w:b/>
                <w:color w:val="000000" w:themeColor="text1"/>
                <w:sz w:val="20"/>
                <w:szCs w:val="20"/>
              </w:rPr>
              <w:t>9</w:t>
            </w:r>
            <w:r w:rsidRPr="00F43653">
              <w:rPr>
                <w:rFonts w:ascii="Arial" w:eastAsia="Times New Roman" w:hAnsi="Arial" w:cs="Arial"/>
                <w:b/>
                <w:color w:val="000000" w:themeColor="text1"/>
                <w:sz w:val="20"/>
                <w:szCs w:val="20"/>
              </w:rPr>
              <w:t>.</w:t>
            </w:r>
          </w:p>
          <w:p w14:paraId="4D7F05EF" w14:textId="3FA34CE1" w:rsidR="00C81475" w:rsidRPr="00F43653" w:rsidRDefault="00C81475" w:rsidP="00C81475">
            <w:pPr>
              <w:tabs>
                <w:tab w:val="right" w:pos="1202"/>
              </w:tabs>
              <w:suppressAutoHyphens/>
              <w:autoSpaceDN w:val="0"/>
              <w:jc w:val="right"/>
              <w:outlineLvl w:val="0"/>
              <w:rPr>
                <w:rFonts w:ascii="Arial" w:eastAsia="Times New Roman" w:hAnsi="Arial" w:cs="Arial"/>
                <w:b/>
                <w:color w:val="000000" w:themeColor="text1"/>
                <w:sz w:val="20"/>
                <w:szCs w:val="20"/>
              </w:rPr>
            </w:pPr>
            <w:r w:rsidRPr="00F43653">
              <w:rPr>
                <w:rFonts w:ascii="Arial" w:eastAsia="Times New Roman" w:hAnsi="Arial" w:cs="Arial"/>
                <w:b/>
                <w:color w:val="000000" w:themeColor="text1"/>
                <w:sz w:val="20"/>
                <w:szCs w:val="20"/>
              </w:rPr>
              <w:t>202</w:t>
            </w:r>
            <w:r w:rsidR="009764D1">
              <w:rPr>
                <w:rFonts w:ascii="Arial" w:eastAsia="Times New Roman" w:hAnsi="Arial" w:cs="Arial"/>
                <w:b/>
                <w:color w:val="000000" w:themeColor="text1"/>
                <w:sz w:val="20"/>
                <w:szCs w:val="20"/>
              </w:rPr>
              <w:t>4</w:t>
            </w:r>
            <w:r w:rsidRPr="00F43653">
              <w:rPr>
                <w:rFonts w:ascii="Arial" w:eastAsia="Times New Roman" w:hAnsi="Arial" w:cs="Arial"/>
                <w:b/>
                <w:color w:val="000000" w:themeColor="text1"/>
                <w:sz w:val="20"/>
                <w:szCs w:val="20"/>
              </w:rPr>
              <w:t>.</w:t>
            </w:r>
          </w:p>
        </w:tc>
        <w:tc>
          <w:tcPr>
            <w:tcW w:w="1389" w:type="dxa"/>
            <w:vAlign w:val="bottom"/>
          </w:tcPr>
          <w:p w14:paraId="2F57960F" w14:textId="77777777" w:rsidR="00C81475" w:rsidRPr="00F43653" w:rsidRDefault="00C81475" w:rsidP="00C81475">
            <w:pPr>
              <w:tabs>
                <w:tab w:val="right" w:pos="1202"/>
              </w:tabs>
              <w:suppressAutoHyphens/>
              <w:autoSpaceDN w:val="0"/>
              <w:jc w:val="right"/>
              <w:outlineLvl w:val="0"/>
              <w:rPr>
                <w:rFonts w:ascii="Arial" w:eastAsia="Times New Roman" w:hAnsi="Arial" w:cs="Arial"/>
                <w:b/>
                <w:color w:val="000000" w:themeColor="text1"/>
                <w:sz w:val="20"/>
                <w:szCs w:val="20"/>
              </w:rPr>
            </w:pPr>
            <w:r w:rsidRPr="00F43653">
              <w:rPr>
                <w:rFonts w:ascii="Arial" w:eastAsia="Times New Roman" w:hAnsi="Arial" w:cs="Arial"/>
                <w:b/>
                <w:color w:val="000000" w:themeColor="text1"/>
                <w:sz w:val="20"/>
                <w:szCs w:val="20"/>
              </w:rPr>
              <w:t>1.1.-31.12.</w:t>
            </w:r>
          </w:p>
          <w:p w14:paraId="1216DC6E" w14:textId="1BE9BAD7" w:rsidR="00C81475" w:rsidRPr="00F43653" w:rsidRDefault="00C81475" w:rsidP="00C81475">
            <w:pPr>
              <w:tabs>
                <w:tab w:val="right" w:pos="1202"/>
              </w:tabs>
              <w:suppressAutoHyphens/>
              <w:autoSpaceDN w:val="0"/>
              <w:jc w:val="right"/>
              <w:outlineLvl w:val="0"/>
              <w:rPr>
                <w:rFonts w:ascii="Arial" w:eastAsia="Times New Roman" w:hAnsi="Arial" w:cs="Arial"/>
                <w:b/>
                <w:color w:val="000000" w:themeColor="text1"/>
                <w:sz w:val="20"/>
                <w:szCs w:val="20"/>
              </w:rPr>
            </w:pPr>
            <w:r w:rsidRPr="00F43653">
              <w:rPr>
                <w:rFonts w:ascii="Arial" w:eastAsia="Times New Roman" w:hAnsi="Arial" w:cs="Arial"/>
                <w:b/>
                <w:color w:val="000000" w:themeColor="text1"/>
                <w:sz w:val="20"/>
                <w:szCs w:val="20"/>
              </w:rPr>
              <w:t>202</w:t>
            </w:r>
            <w:r w:rsidR="009764D1">
              <w:rPr>
                <w:rFonts w:ascii="Arial" w:eastAsia="Times New Roman" w:hAnsi="Arial" w:cs="Arial"/>
                <w:b/>
                <w:color w:val="000000" w:themeColor="text1"/>
                <w:sz w:val="20"/>
                <w:szCs w:val="20"/>
              </w:rPr>
              <w:t>3</w:t>
            </w:r>
            <w:r w:rsidRPr="00F43653">
              <w:rPr>
                <w:rFonts w:ascii="Arial" w:eastAsia="Times New Roman" w:hAnsi="Arial" w:cs="Arial"/>
                <w:b/>
                <w:color w:val="000000" w:themeColor="text1"/>
                <w:sz w:val="20"/>
                <w:szCs w:val="20"/>
              </w:rPr>
              <w:t>.</w:t>
            </w:r>
          </w:p>
        </w:tc>
      </w:tr>
      <w:tr w:rsidR="00C81475" w:rsidRPr="009D1920" w14:paraId="7CA781A0" w14:textId="77777777" w:rsidTr="009D1920">
        <w:trPr>
          <w:trHeight w:val="234"/>
        </w:trPr>
        <w:tc>
          <w:tcPr>
            <w:tcW w:w="4109" w:type="dxa"/>
            <w:tcBorders>
              <w:top w:val="nil"/>
              <w:left w:val="nil"/>
              <w:bottom w:val="nil"/>
              <w:right w:val="nil"/>
            </w:tcBorders>
            <w:shd w:val="clear" w:color="auto" w:fill="auto"/>
            <w:vAlign w:val="bottom"/>
            <w:hideMark/>
          </w:tcPr>
          <w:p w14:paraId="027224F7" w14:textId="77777777" w:rsidR="00C81475" w:rsidRPr="00F43653" w:rsidRDefault="00C81475" w:rsidP="00C81475">
            <w:pPr>
              <w:suppressAutoHyphens/>
              <w:autoSpaceDN w:val="0"/>
              <w:jc w:val="right"/>
              <w:rPr>
                <w:rFonts w:ascii="Arial" w:eastAsia="Calibri" w:hAnsi="Arial" w:cs="Arial"/>
                <w:b/>
                <w:bCs/>
                <w:color w:val="000000" w:themeColor="text1"/>
                <w:sz w:val="20"/>
                <w:szCs w:val="20"/>
              </w:rPr>
            </w:pPr>
          </w:p>
        </w:tc>
        <w:tc>
          <w:tcPr>
            <w:tcW w:w="1389" w:type="dxa"/>
            <w:tcBorders>
              <w:top w:val="nil"/>
              <w:left w:val="nil"/>
              <w:bottom w:val="nil"/>
              <w:right w:val="nil"/>
            </w:tcBorders>
            <w:shd w:val="clear" w:color="auto" w:fill="auto"/>
            <w:vAlign w:val="bottom"/>
            <w:hideMark/>
          </w:tcPr>
          <w:p w14:paraId="7000D817" w14:textId="474BB1B8" w:rsidR="00C81475" w:rsidRPr="00F43653" w:rsidRDefault="00C81475" w:rsidP="00C81475">
            <w:pPr>
              <w:suppressAutoHyphens/>
              <w:autoSpaceDN w:val="0"/>
              <w:jc w:val="right"/>
              <w:rPr>
                <w:rFonts w:ascii="Arial" w:eastAsia="Calibri" w:hAnsi="Arial" w:cs="Arial"/>
                <w:b/>
                <w:bCs/>
                <w:color w:val="000000" w:themeColor="text1"/>
                <w:sz w:val="20"/>
                <w:szCs w:val="20"/>
              </w:rPr>
            </w:pPr>
            <w:r w:rsidRPr="00F43653">
              <w:rPr>
                <w:rFonts w:ascii="Arial" w:eastAsia="Calibri" w:hAnsi="Arial" w:cs="Arial"/>
                <w:b/>
                <w:bCs/>
                <w:color w:val="000000" w:themeColor="text1"/>
                <w:sz w:val="20"/>
                <w:szCs w:val="20"/>
              </w:rPr>
              <w:t>000 eura</w:t>
            </w:r>
          </w:p>
        </w:tc>
        <w:tc>
          <w:tcPr>
            <w:tcW w:w="1389" w:type="dxa"/>
            <w:tcBorders>
              <w:top w:val="nil"/>
              <w:left w:val="nil"/>
              <w:bottom w:val="nil"/>
              <w:right w:val="nil"/>
            </w:tcBorders>
            <w:shd w:val="clear" w:color="auto" w:fill="auto"/>
            <w:vAlign w:val="bottom"/>
          </w:tcPr>
          <w:p w14:paraId="6B6EEBAF" w14:textId="64E4F5A4" w:rsidR="00C81475" w:rsidRPr="00F43653" w:rsidRDefault="00C81475" w:rsidP="00C81475">
            <w:pPr>
              <w:suppressAutoHyphens/>
              <w:autoSpaceDN w:val="0"/>
              <w:jc w:val="right"/>
              <w:rPr>
                <w:rFonts w:ascii="Arial" w:eastAsia="Calibri" w:hAnsi="Arial" w:cs="Arial"/>
                <w:b/>
                <w:bCs/>
                <w:color w:val="000000" w:themeColor="text1"/>
                <w:sz w:val="20"/>
                <w:szCs w:val="20"/>
              </w:rPr>
            </w:pPr>
            <w:r w:rsidRPr="00F43653">
              <w:rPr>
                <w:rFonts w:ascii="Arial" w:eastAsia="Calibri" w:hAnsi="Arial" w:cs="Arial"/>
                <w:b/>
                <w:bCs/>
                <w:color w:val="000000" w:themeColor="text1"/>
                <w:sz w:val="20"/>
                <w:szCs w:val="20"/>
              </w:rPr>
              <w:t>000 eura</w:t>
            </w:r>
          </w:p>
        </w:tc>
        <w:tc>
          <w:tcPr>
            <w:tcW w:w="1389" w:type="dxa"/>
            <w:tcBorders>
              <w:top w:val="nil"/>
              <w:left w:val="nil"/>
              <w:bottom w:val="nil"/>
              <w:right w:val="nil"/>
            </w:tcBorders>
            <w:shd w:val="clear" w:color="auto" w:fill="auto"/>
            <w:vAlign w:val="bottom"/>
            <w:hideMark/>
          </w:tcPr>
          <w:p w14:paraId="195476C3" w14:textId="129144A6" w:rsidR="00C81475" w:rsidRPr="00F43653" w:rsidRDefault="00C81475" w:rsidP="00C81475">
            <w:pPr>
              <w:suppressAutoHyphens/>
              <w:autoSpaceDN w:val="0"/>
              <w:jc w:val="right"/>
              <w:rPr>
                <w:rFonts w:ascii="Arial" w:eastAsia="Calibri" w:hAnsi="Arial" w:cs="Arial"/>
                <w:b/>
                <w:bCs/>
                <w:color w:val="000000" w:themeColor="text1"/>
                <w:sz w:val="20"/>
                <w:szCs w:val="20"/>
              </w:rPr>
            </w:pPr>
            <w:r w:rsidRPr="00F43653">
              <w:rPr>
                <w:rFonts w:ascii="Arial" w:eastAsia="Calibri" w:hAnsi="Arial" w:cs="Arial"/>
                <w:b/>
                <w:bCs/>
                <w:color w:val="000000" w:themeColor="text1"/>
                <w:sz w:val="20"/>
                <w:szCs w:val="20"/>
              </w:rPr>
              <w:t>000 eura</w:t>
            </w:r>
          </w:p>
        </w:tc>
        <w:tc>
          <w:tcPr>
            <w:tcW w:w="1389" w:type="dxa"/>
            <w:tcBorders>
              <w:top w:val="nil"/>
              <w:left w:val="nil"/>
              <w:right w:val="nil"/>
            </w:tcBorders>
            <w:shd w:val="clear" w:color="auto" w:fill="auto"/>
            <w:vAlign w:val="bottom"/>
          </w:tcPr>
          <w:p w14:paraId="585CD6C1" w14:textId="1B80CE59" w:rsidR="00C81475" w:rsidRPr="00F43653" w:rsidRDefault="00C81475" w:rsidP="00C81475">
            <w:pPr>
              <w:suppressAutoHyphens/>
              <w:autoSpaceDN w:val="0"/>
              <w:jc w:val="right"/>
              <w:rPr>
                <w:rFonts w:ascii="Arial" w:eastAsia="Calibri" w:hAnsi="Arial" w:cs="Arial"/>
                <w:b/>
                <w:bCs/>
                <w:color w:val="000000" w:themeColor="text1"/>
                <w:sz w:val="20"/>
                <w:szCs w:val="20"/>
              </w:rPr>
            </w:pPr>
            <w:r w:rsidRPr="00F43653">
              <w:rPr>
                <w:rFonts w:ascii="Arial" w:eastAsia="Calibri" w:hAnsi="Arial" w:cs="Arial"/>
                <w:b/>
                <w:bCs/>
                <w:color w:val="000000" w:themeColor="text1"/>
                <w:sz w:val="20"/>
                <w:szCs w:val="20"/>
              </w:rPr>
              <w:t>000 eura</w:t>
            </w:r>
          </w:p>
        </w:tc>
      </w:tr>
      <w:tr w:rsidR="00D535CE" w:rsidRPr="009D1920" w14:paraId="10499D87" w14:textId="77777777" w:rsidTr="00FB4322">
        <w:trPr>
          <w:trHeight w:val="385"/>
        </w:trPr>
        <w:tc>
          <w:tcPr>
            <w:tcW w:w="4109" w:type="dxa"/>
            <w:tcBorders>
              <w:top w:val="nil"/>
              <w:left w:val="nil"/>
              <w:bottom w:val="nil"/>
              <w:right w:val="nil"/>
            </w:tcBorders>
            <w:shd w:val="clear" w:color="auto" w:fill="auto"/>
            <w:vAlign w:val="bottom"/>
          </w:tcPr>
          <w:p w14:paraId="4124DD52" w14:textId="77777777" w:rsidR="00D535CE" w:rsidRPr="00F43653" w:rsidRDefault="00D535CE" w:rsidP="00D535CE">
            <w:pPr>
              <w:suppressAutoHyphens/>
              <w:autoSpaceDN w:val="0"/>
              <w:rPr>
                <w:rFonts w:ascii="Arial" w:eastAsia="Calibri" w:hAnsi="Arial" w:cs="Arial"/>
                <w:color w:val="000000" w:themeColor="text1"/>
                <w:sz w:val="20"/>
                <w:szCs w:val="20"/>
              </w:rPr>
            </w:pPr>
            <w:r w:rsidRPr="00F43653">
              <w:rPr>
                <w:rFonts w:ascii="Arial" w:eastAsia="Calibri" w:hAnsi="Arial" w:cs="Arial"/>
                <w:color w:val="000000" w:themeColor="text1"/>
                <w:sz w:val="20"/>
                <w:szCs w:val="20"/>
              </w:rPr>
              <w:t>Stanje 1. siječnja</w:t>
            </w:r>
          </w:p>
        </w:tc>
        <w:tc>
          <w:tcPr>
            <w:tcW w:w="1389" w:type="dxa"/>
            <w:tcBorders>
              <w:top w:val="nil"/>
              <w:left w:val="nil"/>
              <w:bottom w:val="nil"/>
              <w:right w:val="nil"/>
            </w:tcBorders>
            <w:shd w:val="clear" w:color="auto" w:fill="auto"/>
            <w:noWrap/>
            <w:vAlign w:val="bottom"/>
          </w:tcPr>
          <w:p w14:paraId="3E4B78EB" w14:textId="3DB5DE89" w:rsidR="00D535CE" w:rsidRPr="00F43653" w:rsidRDefault="00866D20" w:rsidP="00D535CE">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4.393</w:t>
            </w:r>
          </w:p>
        </w:tc>
        <w:tc>
          <w:tcPr>
            <w:tcW w:w="1389" w:type="dxa"/>
            <w:tcBorders>
              <w:top w:val="nil"/>
              <w:left w:val="nil"/>
              <w:bottom w:val="nil"/>
              <w:right w:val="nil"/>
            </w:tcBorders>
            <w:shd w:val="clear" w:color="auto" w:fill="auto"/>
            <w:vAlign w:val="bottom"/>
          </w:tcPr>
          <w:p w14:paraId="706A98F3" w14:textId="04377B5A" w:rsidR="00D535CE" w:rsidRPr="00F43653" w:rsidRDefault="00D535CE" w:rsidP="00D535CE">
            <w:pPr>
              <w:suppressAutoHyphens/>
              <w:autoSpaceDN w:val="0"/>
              <w:jc w:val="right"/>
              <w:rPr>
                <w:rFonts w:ascii="Arial" w:eastAsia="Calibri" w:hAnsi="Arial" w:cs="Arial"/>
                <w:color w:val="000000" w:themeColor="text1"/>
                <w:sz w:val="20"/>
                <w:szCs w:val="20"/>
              </w:rPr>
            </w:pPr>
            <w:r w:rsidRPr="0077228B">
              <w:rPr>
                <w:rFonts w:ascii="Arial" w:eastAsia="Calibri" w:hAnsi="Arial" w:cs="Arial"/>
                <w:color w:val="000000" w:themeColor="text1"/>
                <w:sz w:val="20"/>
                <w:szCs w:val="20"/>
              </w:rPr>
              <w:t>4.691</w:t>
            </w:r>
          </w:p>
        </w:tc>
        <w:tc>
          <w:tcPr>
            <w:tcW w:w="1389" w:type="dxa"/>
            <w:tcBorders>
              <w:top w:val="nil"/>
              <w:left w:val="nil"/>
              <w:bottom w:val="nil"/>
              <w:right w:val="nil"/>
            </w:tcBorders>
            <w:shd w:val="clear" w:color="auto" w:fill="auto"/>
            <w:vAlign w:val="bottom"/>
          </w:tcPr>
          <w:p w14:paraId="447A8A5A" w14:textId="3C31EFA3" w:rsidR="00D535CE" w:rsidRPr="00F43653" w:rsidRDefault="00FB3143" w:rsidP="00D535CE">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4.385</w:t>
            </w:r>
          </w:p>
        </w:tc>
        <w:tc>
          <w:tcPr>
            <w:tcW w:w="1389" w:type="dxa"/>
            <w:tcBorders>
              <w:top w:val="nil"/>
              <w:left w:val="nil"/>
              <w:bottom w:val="nil"/>
              <w:right w:val="nil"/>
            </w:tcBorders>
            <w:shd w:val="clear" w:color="auto" w:fill="auto"/>
            <w:vAlign w:val="bottom"/>
          </w:tcPr>
          <w:p w14:paraId="2C1A8413" w14:textId="1ED65212" w:rsidR="00D535CE" w:rsidRPr="00F43653" w:rsidRDefault="00D535CE" w:rsidP="00D535CE">
            <w:pPr>
              <w:suppressAutoHyphens/>
              <w:autoSpaceDN w:val="0"/>
              <w:jc w:val="right"/>
              <w:rPr>
                <w:rFonts w:ascii="Arial" w:eastAsia="Calibri" w:hAnsi="Arial" w:cs="Arial"/>
                <w:color w:val="000000" w:themeColor="text1"/>
                <w:sz w:val="20"/>
                <w:szCs w:val="20"/>
              </w:rPr>
            </w:pPr>
            <w:r w:rsidRPr="00976504">
              <w:rPr>
                <w:rFonts w:ascii="Arial" w:eastAsia="Calibri" w:hAnsi="Arial" w:cs="Arial"/>
                <w:color w:val="000000" w:themeColor="text1"/>
                <w:sz w:val="20"/>
                <w:szCs w:val="20"/>
              </w:rPr>
              <w:t>4.669</w:t>
            </w:r>
          </w:p>
        </w:tc>
      </w:tr>
      <w:tr w:rsidR="00D535CE" w:rsidRPr="009D1920" w14:paraId="06DABDF4" w14:textId="77777777" w:rsidTr="009D1920">
        <w:trPr>
          <w:trHeight w:val="385"/>
        </w:trPr>
        <w:tc>
          <w:tcPr>
            <w:tcW w:w="4109" w:type="dxa"/>
            <w:tcBorders>
              <w:top w:val="nil"/>
              <w:left w:val="nil"/>
              <w:bottom w:val="nil"/>
              <w:right w:val="nil"/>
            </w:tcBorders>
            <w:shd w:val="clear" w:color="auto" w:fill="auto"/>
            <w:vAlign w:val="bottom"/>
          </w:tcPr>
          <w:p w14:paraId="732D0899" w14:textId="099971F9" w:rsidR="00D535CE" w:rsidRPr="00F43653" w:rsidRDefault="00D535CE" w:rsidP="00D535CE">
            <w:pPr>
              <w:suppressAutoHyphens/>
              <w:autoSpaceDN w:val="0"/>
              <w:rPr>
                <w:rFonts w:ascii="Arial" w:eastAsia="Calibri" w:hAnsi="Arial" w:cs="Arial"/>
                <w:color w:val="000000" w:themeColor="text1"/>
                <w:sz w:val="20"/>
                <w:szCs w:val="20"/>
              </w:rPr>
            </w:pPr>
            <w:r w:rsidRPr="006C51FB">
              <w:rPr>
                <w:rFonts w:ascii="Arial" w:eastAsia="Calibri" w:hAnsi="Arial" w:cs="Arial"/>
                <w:color w:val="000000" w:themeColor="text1"/>
                <w:sz w:val="20"/>
                <w:szCs w:val="20"/>
              </w:rPr>
              <w:t xml:space="preserve">Neto </w:t>
            </w:r>
            <w:r w:rsidRPr="00700DE7">
              <w:rPr>
                <w:rFonts w:ascii="Arial" w:eastAsia="Calibri" w:hAnsi="Arial" w:cs="Arial"/>
                <w:color w:val="000000" w:themeColor="text1"/>
                <w:sz w:val="20"/>
                <w:szCs w:val="20"/>
              </w:rPr>
              <w:t>povećanje</w:t>
            </w:r>
            <w:r w:rsidR="00836F85">
              <w:rPr>
                <w:rFonts w:ascii="Arial" w:eastAsia="Calibri" w:hAnsi="Arial" w:cs="Arial"/>
                <w:color w:val="000000" w:themeColor="text1"/>
                <w:sz w:val="20"/>
                <w:szCs w:val="20"/>
              </w:rPr>
              <w:t>/(smanjenje)</w:t>
            </w:r>
            <w:r w:rsidRPr="00700DE7">
              <w:rPr>
                <w:rFonts w:ascii="Arial" w:eastAsia="Calibri" w:hAnsi="Arial" w:cs="Arial"/>
                <w:color w:val="000000" w:themeColor="text1"/>
                <w:sz w:val="20"/>
                <w:szCs w:val="20"/>
              </w:rPr>
              <w:t xml:space="preserve"> rezerviranja</w:t>
            </w:r>
            <w:r w:rsidRPr="006C51FB">
              <w:rPr>
                <w:rFonts w:ascii="Arial" w:eastAsia="Calibri" w:hAnsi="Arial" w:cs="Arial"/>
                <w:color w:val="000000" w:themeColor="text1"/>
                <w:sz w:val="20"/>
                <w:szCs w:val="20"/>
              </w:rPr>
              <w:t xml:space="preserve"> za očekivane gubitke po ostaloj imovini</w:t>
            </w:r>
          </w:p>
        </w:tc>
        <w:tc>
          <w:tcPr>
            <w:tcW w:w="1389" w:type="dxa"/>
            <w:tcBorders>
              <w:top w:val="nil"/>
              <w:left w:val="nil"/>
              <w:bottom w:val="nil"/>
              <w:right w:val="nil"/>
            </w:tcBorders>
            <w:shd w:val="clear" w:color="auto" w:fill="auto"/>
            <w:vAlign w:val="bottom"/>
          </w:tcPr>
          <w:p w14:paraId="21AFDD81" w14:textId="064AD9F8" w:rsidR="00D535CE" w:rsidRPr="00F43653" w:rsidRDefault="000A511F" w:rsidP="00D535CE">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355</w:t>
            </w:r>
          </w:p>
        </w:tc>
        <w:tc>
          <w:tcPr>
            <w:tcW w:w="1389" w:type="dxa"/>
            <w:tcBorders>
              <w:top w:val="nil"/>
              <w:left w:val="nil"/>
              <w:bottom w:val="nil"/>
              <w:right w:val="nil"/>
            </w:tcBorders>
            <w:shd w:val="clear" w:color="auto" w:fill="auto"/>
            <w:vAlign w:val="bottom"/>
          </w:tcPr>
          <w:p w14:paraId="72D16485" w14:textId="5F83DE45" w:rsidR="00D535CE" w:rsidRPr="00F43653" w:rsidRDefault="00D535CE" w:rsidP="00D535CE">
            <w:pPr>
              <w:suppressAutoHyphens/>
              <w:autoSpaceDN w:val="0"/>
              <w:jc w:val="right"/>
              <w:rPr>
                <w:rFonts w:ascii="Arial" w:eastAsia="Calibri" w:hAnsi="Arial" w:cs="Arial"/>
                <w:color w:val="000000" w:themeColor="text1"/>
                <w:sz w:val="20"/>
                <w:szCs w:val="20"/>
              </w:rPr>
            </w:pPr>
            <w:r w:rsidRPr="0077228B">
              <w:rPr>
                <w:rFonts w:ascii="Arial" w:eastAsia="Calibri" w:hAnsi="Arial" w:cs="Arial"/>
                <w:color w:val="000000" w:themeColor="text1"/>
                <w:sz w:val="20"/>
                <w:szCs w:val="20"/>
              </w:rPr>
              <w:t>(195)</w:t>
            </w:r>
          </w:p>
        </w:tc>
        <w:tc>
          <w:tcPr>
            <w:tcW w:w="1389" w:type="dxa"/>
            <w:tcBorders>
              <w:top w:val="nil"/>
              <w:left w:val="nil"/>
              <w:bottom w:val="nil"/>
              <w:right w:val="nil"/>
            </w:tcBorders>
            <w:shd w:val="clear" w:color="auto" w:fill="auto"/>
            <w:vAlign w:val="bottom"/>
          </w:tcPr>
          <w:p w14:paraId="660A272B" w14:textId="05DABBE8" w:rsidR="00D535CE" w:rsidRPr="00F43653" w:rsidRDefault="00FB3143" w:rsidP="00D535CE">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336</w:t>
            </w:r>
          </w:p>
        </w:tc>
        <w:tc>
          <w:tcPr>
            <w:tcW w:w="1389" w:type="dxa"/>
            <w:tcBorders>
              <w:top w:val="nil"/>
              <w:left w:val="nil"/>
              <w:bottom w:val="nil"/>
              <w:right w:val="nil"/>
            </w:tcBorders>
            <w:shd w:val="clear" w:color="auto" w:fill="auto"/>
            <w:vAlign w:val="bottom"/>
          </w:tcPr>
          <w:p w14:paraId="2E8D8958" w14:textId="1F1740CD" w:rsidR="00D535CE" w:rsidRPr="00F43653" w:rsidRDefault="00D535CE" w:rsidP="00D535CE">
            <w:pPr>
              <w:suppressAutoHyphens/>
              <w:autoSpaceDN w:val="0"/>
              <w:jc w:val="right"/>
              <w:rPr>
                <w:rFonts w:ascii="Arial" w:eastAsia="Calibri" w:hAnsi="Arial" w:cs="Arial"/>
                <w:color w:val="000000" w:themeColor="text1"/>
                <w:sz w:val="20"/>
                <w:szCs w:val="20"/>
              </w:rPr>
            </w:pPr>
            <w:r w:rsidRPr="00976504">
              <w:rPr>
                <w:rFonts w:ascii="Arial" w:eastAsia="Calibri" w:hAnsi="Arial" w:cs="Arial"/>
                <w:color w:val="000000" w:themeColor="text1"/>
                <w:sz w:val="20"/>
                <w:szCs w:val="20"/>
              </w:rPr>
              <w:t>(193)</w:t>
            </w:r>
          </w:p>
        </w:tc>
      </w:tr>
      <w:tr w:rsidR="00D535CE" w:rsidRPr="009D1920" w14:paraId="578787B5" w14:textId="77777777" w:rsidTr="009D1920">
        <w:trPr>
          <w:trHeight w:val="385"/>
        </w:trPr>
        <w:tc>
          <w:tcPr>
            <w:tcW w:w="4109" w:type="dxa"/>
            <w:tcBorders>
              <w:top w:val="nil"/>
              <w:left w:val="nil"/>
              <w:bottom w:val="nil"/>
              <w:right w:val="nil"/>
            </w:tcBorders>
            <w:shd w:val="clear" w:color="auto" w:fill="auto"/>
            <w:vAlign w:val="bottom"/>
          </w:tcPr>
          <w:p w14:paraId="10B5E9F9" w14:textId="59012CE1" w:rsidR="00D535CE" w:rsidRPr="00F43653" w:rsidRDefault="00D535CE" w:rsidP="00D535CE">
            <w:pPr>
              <w:suppressAutoHyphens/>
              <w:autoSpaceDN w:val="0"/>
              <w:rPr>
                <w:rFonts w:ascii="Arial" w:eastAsia="Calibri" w:hAnsi="Arial" w:cs="Arial"/>
                <w:i/>
                <w:iCs/>
                <w:color w:val="000000" w:themeColor="text1"/>
                <w:sz w:val="20"/>
                <w:szCs w:val="20"/>
              </w:rPr>
            </w:pPr>
            <w:r w:rsidRPr="00F43653">
              <w:rPr>
                <w:rFonts w:ascii="Arial" w:eastAsia="Calibri" w:hAnsi="Arial" w:cs="Arial"/>
                <w:i/>
                <w:iCs/>
                <w:color w:val="000000" w:themeColor="text1"/>
                <w:sz w:val="20"/>
                <w:szCs w:val="20"/>
              </w:rPr>
              <w:t xml:space="preserve">Ukupno kroz </w:t>
            </w:r>
            <w:r w:rsidRPr="003700D4">
              <w:rPr>
                <w:rFonts w:ascii="Arial" w:eastAsia="Calibri" w:hAnsi="Arial" w:cs="Arial"/>
                <w:i/>
                <w:iCs/>
                <w:color w:val="000000" w:themeColor="text1"/>
                <w:sz w:val="20"/>
                <w:szCs w:val="20"/>
              </w:rPr>
              <w:t xml:space="preserve">dobit ili gubitak </w:t>
            </w:r>
            <w:r w:rsidRPr="00CC7FB0">
              <w:rPr>
                <w:rFonts w:ascii="Arial" w:eastAsia="Calibri" w:hAnsi="Arial" w:cs="Arial"/>
                <w:i/>
                <w:iCs/>
                <w:color w:val="000000" w:themeColor="text1"/>
                <w:sz w:val="20"/>
                <w:szCs w:val="20"/>
              </w:rPr>
              <w:t>(bilješka 8)</w:t>
            </w:r>
          </w:p>
        </w:tc>
        <w:tc>
          <w:tcPr>
            <w:tcW w:w="1389" w:type="dxa"/>
            <w:tcBorders>
              <w:top w:val="single" w:sz="4" w:space="0" w:color="auto"/>
              <w:left w:val="nil"/>
              <w:bottom w:val="single" w:sz="4" w:space="0" w:color="auto"/>
              <w:right w:val="nil"/>
            </w:tcBorders>
            <w:shd w:val="clear" w:color="auto" w:fill="auto"/>
            <w:vAlign w:val="bottom"/>
          </w:tcPr>
          <w:p w14:paraId="2DDDAF01" w14:textId="538A30BA" w:rsidR="00D535CE" w:rsidRPr="00F43653" w:rsidRDefault="000A511F" w:rsidP="00D535CE">
            <w:pPr>
              <w:suppressAutoHyphens/>
              <w:autoSpaceDN w:val="0"/>
              <w:jc w:val="right"/>
              <w:rPr>
                <w:rFonts w:ascii="Arial" w:eastAsia="Calibri" w:hAnsi="Arial" w:cs="Arial"/>
                <w:bCs/>
                <w:i/>
                <w:iCs/>
                <w:color w:val="000000" w:themeColor="text1"/>
                <w:sz w:val="20"/>
                <w:szCs w:val="20"/>
              </w:rPr>
            </w:pPr>
            <w:r>
              <w:rPr>
                <w:rFonts w:ascii="Arial" w:eastAsia="Calibri" w:hAnsi="Arial" w:cs="Arial"/>
                <w:bCs/>
                <w:i/>
                <w:iCs/>
                <w:color w:val="000000" w:themeColor="text1"/>
                <w:sz w:val="20"/>
                <w:szCs w:val="20"/>
              </w:rPr>
              <w:t>355</w:t>
            </w:r>
          </w:p>
        </w:tc>
        <w:tc>
          <w:tcPr>
            <w:tcW w:w="1389" w:type="dxa"/>
            <w:tcBorders>
              <w:top w:val="single" w:sz="4" w:space="0" w:color="auto"/>
              <w:left w:val="nil"/>
              <w:bottom w:val="single" w:sz="4" w:space="0" w:color="auto"/>
              <w:right w:val="nil"/>
            </w:tcBorders>
            <w:shd w:val="clear" w:color="auto" w:fill="auto"/>
            <w:vAlign w:val="bottom"/>
          </w:tcPr>
          <w:p w14:paraId="2C8F8006" w14:textId="60F2EE35" w:rsidR="00D535CE" w:rsidRPr="00F43653" w:rsidRDefault="00D535CE" w:rsidP="00D535CE">
            <w:pPr>
              <w:suppressAutoHyphens/>
              <w:autoSpaceDN w:val="0"/>
              <w:jc w:val="right"/>
              <w:rPr>
                <w:rFonts w:ascii="Arial" w:eastAsia="Calibri" w:hAnsi="Arial" w:cs="Arial"/>
                <w:i/>
                <w:iCs/>
                <w:color w:val="000000" w:themeColor="text1"/>
                <w:sz w:val="20"/>
                <w:szCs w:val="20"/>
              </w:rPr>
            </w:pPr>
            <w:r w:rsidRPr="0077228B">
              <w:rPr>
                <w:rFonts w:ascii="Arial" w:eastAsia="Calibri" w:hAnsi="Arial" w:cs="Arial"/>
                <w:bCs/>
                <w:i/>
                <w:color w:val="000000" w:themeColor="text1"/>
                <w:sz w:val="20"/>
                <w:szCs w:val="20"/>
              </w:rPr>
              <w:t>(195)</w:t>
            </w:r>
          </w:p>
        </w:tc>
        <w:tc>
          <w:tcPr>
            <w:tcW w:w="1389" w:type="dxa"/>
            <w:tcBorders>
              <w:top w:val="single" w:sz="4" w:space="0" w:color="auto"/>
              <w:left w:val="nil"/>
              <w:bottom w:val="single" w:sz="4" w:space="0" w:color="auto"/>
              <w:right w:val="nil"/>
            </w:tcBorders>
            <w:shd w:val="clear" w:color="auto" w:fill="auto"/>
            <w:vAlign w:val="bottom"/>
          </w:tcPr>
          <w:p w14:paraId="182F24AC" w14:textId="0F39EE33" w:rsidR="00D535CE" w:rsidRPr="00F43653" w:rsidRDefault="00FB3143" w:rsidP="00D535CE">
            <w:pPr>
              <w:suppressAutoHyphens/>
              <w:autoSpaceDN w:val="0"/>
              <w:jc w:val="right"/>
              <w:rPr>
                <w:rFonts w:ascii="Arial" w:eastAsia="Calibri" w:hAnsi="Arial" w:cs="Arial"/>
                <w:bCs/>
                <w:i/>
                <w:iCs/>
                <w:color w:val="000000" w:themeColor="text1"/>
                <w:sz w:val="20"/>
                <w:szCs w:val="20"/>
              </w:rPr>
            </w:pPr>
            <w:r>
              <w:rPr>
                <w:rFonts w:ascii="Arial" w:eastAsia="Calibri" w:hAnsi="Arial" w:cs="Arial"/>
                <w:bCs/>
                <w:i/>
                <w:iCs/>
                <w:color w:val="000000" w:themeColor="text1"/>
                <w:sz w:val="20"/>
                <w:szCs w:val="20"/>
              </w:rPr>
              <w:t>336</w:t>
            </w:r>
          </w:p>
        </w:tc>
        <w:tc>
          <w:tcPr>
            <w:tcW w:w="1389" w:type="dxa"/>
            <w:tcBorders>
              <w:top w:val="single" w:sz="4" w:space="0" w:color="auto"/>
              <w:left w:val="nil"/>
              <w:bottom w:val="single" w:sz="4" w:space="0" w:color="auto"/>
              <w:right w:val="nil"/>
            </w:tcBorders>
            <w:shd w:val="clear" w:color="auto" w:fill="auto"/>
            <w:vAlign w:val="bottom"/>
          </w:tcPr>
          <w:p w14:paraId="639EA0B1" w14:textId="5A1DBE28" w:rsidR="00D535CE" w:rsidRPr="00F43653" w:rsidRDefault="00D535CE" w:rsidP="00D535CE">
            <w:pPr>
              <w:suppressAutoHyphens/>
              <w:autoSpaceDN w:val="0"/>
              <w:jc w:val="right"/>
              <w:rPr>
                <w:rFonts w:ascii="Arial" w:eastAsia="Calibri" w:hAnsi="Arial" w:cs="Arial"/>
                <w:i/>
                <w:iCs/>
                <w:color w:val="000000" w:themeColor="text1"/>
                <w:sz w:val="20"/>
                <w:szCs w:val="20"/>
              </w:rPr>
            </w:pPr>
            <w:r w:rsidRPr="00976504">
              <w:rPr>
                <w:rFonts w:ascii="Arial" w:eastAsia="Calibri" w:hAnsi="Arial" w:cs="Arial"/>
                <w:bCs/>
                <w:i/>
                <w:iCs/>
                <w:color w:val="000000" w:themeColor="text1"/>
                <w:sz w:val="20"/>
                <w:szCs w:val="20"/>
              </w:rPr>
              <w:t>(193)</w:t>
            </w:r>
          </w:p>
        </w:tc>
      </w:tr>
      <w:tr w:rsidR="00D535CE" w:rsidRPr="009D1920" w14:paraId="220FB25E" w14:textId="77777777" w:rsidTr="00FB4322">
        <w:trPr>
          <w:trHeight w:val="284"/>
        </w:trPr>
        <w:tc>
          <w:tcPr>
            <w:tcW w:w="4109" w:type="dxa"/>
            <w:tcBorders>
              <w:top w:val="nil"/>
              <w:left w:val="nil"/>
              <w:bottom w:val="nil"/>
              <w:right w:val="nil"/>
            </w:tcBorders>
            <w:shd w:val="clear" w:color="auto" w:fill="auto"/>
            <w:vAlign w:val="bottom"/>
          </w:tcPr>
          <w:p w14:paraId="056E09B1" w14:textId="77777777" w:rsidR="00D535CE" w:rsidRPr="00F43653" w:rsidRDefault="00D535CE" w:rsidP="00D535CE">
            <w:pPr>
              <w:suppressAutoHyphens/>
              <w:autoSpaceDN w:val="0"/>
              <w:rPr>
                <w:rFonts w:ascii="Arial" w:eastAsia="Calibri" w:hAnsi="Arial" w:cs="Arial"/>
                <w:color w:val="000000" w:themeColor="text1"/>
                <w:sz w:val="20"/>
                <w:szCs w:val="20"/>
              </w:rPr>
            </w:pPr>
            <w:r w:rsidRPr="00F43653">
              <w:rPr>
                <w:rFonts w:ascii="Arial" w:eastAsia="Calibri" w:hAnsi="Arial" w:cs="Arial"/>
                <w:color w:val="000000" w:themeColor="text1"/>
                <w:sz w:val="20"/>
                <w:szCs w:val="20"/>
              </w:rPr>
              <w:t>Otpis</w:t>
            </w:r>
          </w:p>
        </w:tc>
        <w:tc>
          <w:tcPr>
            <w:tcW w:w="1389" w:type="dxa"/>
            <w:tcBorders>
              <w:top w:val="single" w:sz="4" w:space="0" w:color="auto"/>
              <w:left w:val="nil"/>
              <w:right w:val="nil"/>
            </w:tcBorders>
            <w:shd w:val="clear" w:color="auto" w:fill="auto"/>
            <w:vAlign w:val="bottom"/>
          </w:tcPr>
          <w:p w14:paraId="69768418" w14:textId="37E83196" w:rsidR="00D535CE" w:rsidRPr="00F43653" w:rsidRDefault="000A511F" w:rsidP="00D535CE">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(36)</w:t>
            </w:r>
          </w:p>
        </w:tc>
        <w:tc>
          <w:tcPr>
            <w:tcW w:w="1389" w:type="dxa"/>
            <w:tcBorders>
              <w:top w:val="single" w:sz="4" w:space="0" w:color="auto"/>
              <w:left w:val="nil"/>
              <w:right w:val="nil"/>
            </w:tcBorders>
            <w:shd w:val="clear" w:color="auto" w:fill="auto"/>
            <w:vAlign w:val="bottom"/>
          </w:tcPr>
          <w:p w14:paraId="02B680C9" w14:textId="62A94BBB" w:rsidR="00D535CE" w:rsidRPr="00F43653" w:rsidRDefault="00D535CE" w:rsidP="00D535CE">
            <w:pPr>
              <w:suppressAutoHyphens/>
              <w:autoSpaceDN w:val="0"/>
              <w:jc w:val="right"/>
              <w:rPr>
                <w:rFonts w:ascii="Arial" w:eastAsia="Calibri" w:hAnsi="Arial" w:cs="Arial"/>
                <w:color w:val="000000" w:themeColor="text1"/>
                <w:sz w:val="20"/>
                <w:szCs w:val="20"/>
              </w:rPr>
            </w:pPr>
            <w:r w:rsidRPr="0077228B">
              <w:rPr>
                <w:rFonts w:ascii="Arial" w:eastAsia="Calibri" w:hAnsi="Arial" w:cs="Arial"/>
                <w:color w:val="000000" w:themeColor="text1"/>
                <w:sz w:val="20"/>
                <w:szCs w:val="20"/>
              </w:rPr>
              <w:t>(93)</w:t>
            </w:r>
          </w:p>
        </w:tc>
        <w:tc>
          <w:tcPr>
            <w:tcW w:w="1389" w:type="dxa"/>
            <w:tcBorders>
              <w:top w:val="single" w:sz="4" w:space="0" w:color="auto"/>
              <w:left w:val="nil"/>
              <w:right w:val="nil"/>
            </w:tcBorders>
            <w:shd w:val="clear" w:color="auto" w:fill="auto"/>
            <w:vAlign w:val="bottom"/>
          </w:tcPr>
          <w:p w14:paraId="2E77605C" w14:textId="7463BB13" w:rsidR="00D535CE" w:rsidRPr="00F43653" w:rsidRDefault="00FB3143" w:rsidP="00D535CE">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(36)</w:t>
            </w:r>
          </w:p>
        </w:tc>
        <w:tc>
          <w:tcPr>
            <w:tcW w:w="1389" w:type="dxa"/>
            <w:tcBorders>
              <w:top w:val="single" w:sz="4" w:space="0" w:color="auto"/>
              <w:left w:val="nil"/>
              <w:right w:val="nil"/>
            </w:tcBorders>
            <w:shd w:val="clear" w:color="auto" w:fill="auto"/>
            <w:vAlign w:val="bottom"/>
          </w:tcPr>
          <w:p w14:paraId="34B86BE3" w14:textId="4214DB86" w:rsidR="00D535CE" w:rsidRPr="00F43653" w:rsidRDefault="00D535CE" w:rsidP="00D535CE">
            <w:pPr>
              <w:suppressAutoHyphens/>
              <w:autoSpaceDN w:val="0"/>
              <w:jc w:val="right"/>
              <w:rPr>
                <w:rFonts w:ascii="Arial" w:eastAsia="Calibri" w:hAnsi="Arial" w:cs="Arial"/>
                <w:color w:val="000000" w:themeColor="text1"/>
                <w:sz w:val="20"/>
                <w:szCs w:val="20"/>
              </w:rPr>
            </w:pPr>
            <w:r w:rsidRPr="00976504">
              <w:rPr>
                <w:rFonts w:ascii="Arial" w:eastAsia="Calibri" w:hAnsi="Arial" w:cs="Arial"/>
                <w:color w:val="000000" w:themeColor="text1"/>
                <w:sz w:val="20"/>
                <w:szCs w:val="20"/>
              </w:rPr>
              <w:t>(93)</w:t>
            </w:r>
          </w:p>
        </w:tc>
      </w:tr>
      <w:tr w:rsidR="00D535CE" w:rsidRPr="009D1920" w14:paraId="58D97051" w14:textId="77777777" w:rsidTr="00FB4322">
        <w:trPr>
          <w:trHeight w:val="608"/>
        </w:trPr>
        <w:tc>
          <w:tcPr>
            <w:tcW w:w="4109" w:type="dxa"/>
            <w:tcBorders>
              <w:top w:val="nil"/>
              <w:left w:val="nil"/>
              <w:bottom w:val="nil"/>
              <w:right w:val="nil"/>
            </w:tcBorders>
            <w:shd w:val="clear" w:color="auto" w:fill="auto"/>
            <w:vAlign w:val="bottom"/>
          </w:tcPr>
          <w:p w14:paraId="7FBE50C3" w14:textId="77777777" w:rsidR="00D535CE" w:rsidRPr="00F43653" w:rsidRDefault="00D535CE" w:rsidP="00D535CE">
            <w:pPr>
              <w:suppressAutoHyphens/>
              <w:autoSpaceDN w:val="0"/>
              <w:rPr>
                <w:rFonts w:ascii="Arial" w:eastAsia="Calibri" w:hAnsi="Arial" w:cs="Arial"/>
                <w:color w:val="000000" w:themeColor="text1"/>
                <w:sz w:val="20"/>
                <w:szCs w:val="20"/>
              </w:rPr>
            </w:pPr>
            <w:r w:rsidRPr="00F43653">
              <w:rPr>
                <w:rFonts w:ascii="Arial" w:eastAsia="Calibri" w:hAnsi="Arial" w:cs="Arial"/>
                <w:color w:val="000000" w:themeColor="text1"/>
                <w:sz w:val="20"/>
                <w:szCs w:val="20"/>
              </w:rPr>
              <w:t>Neto dobit/gubitak od tečajnih razlika po rezerviranjima za očekivane gubitke</w:t>
            </w:r>
          </w:p>
        </w:tc>
        <w:tc>
          <w:tcPr>
            <w:tcW w:w="1389" w:type="dxa"/>
            <w:tcBorders>
              <w:left w:val="nil"/>
              <w:right w:val="nil"/>
            </w:tcBorders>
            <w:shd w:val="clear" w:color="auto" w:fill="auto"/>
            <w:vAlign w:val="bottom"/>
          </w:tcPr>
          <w:p w14:paraId="432D3D5A" w14:textId="61C308AE" w:rsidR="00D535CE" w:rsidRPr="00F43653" w:rsidRDefault="000A511F" w:rsidP="00D535CE">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3</w:t>
            </w:r>
          </w:p>
        </w:tc>
        <w:tc>
          <w:tcPr>
            <w:tcW w:w="1389" w:type="dxa"/>
            <w:tcBorders>
              <w:left w:val="nil"/>
              <w:right w:val="nil"/>
            </w:tcBorders>
            <w:shd w:val="clear" w:color="auto" w:fill="auto"/>
            <w:vAlign w:val="bottom"/>
          </w:tcPr>
          <w:p w14:paraId="399790EB" w14:textId="13CB3508" w:rsidR="00D535CE" w:rsidRPr="00F43653" w:rsidRDefault="00D535CE" w:rsidP="00D535CE">
            <w:pPr>
              <w:suppressAutoHyphens/>
              <w:autoSpaceDN w:val="0"/>
              <w:jc w:val="right"/>
              <w:rPr>
                <w:rFonts w:ascii="Arial" w:eastAsia="Calibri" w:hAnsi="Arial" w:cs="Arial"/>
                <w:color w:val="000000" w:themeColor="text1"/>
                <w:sz w:val="20"/>
                <w:szCs w:val="20"/>
              </w:rPr>
            </w:pPr>
            <w:r w:rsidRPr="0077228B">
              <w:rPr>
                <w:rFonts w:ascii="Arial" w:eastAsia="Calibri" w:hAnsi="Arial" w:cs="Arial"/>
                <w:color w:val="000000" w:themeColor="text1"/>
                <w:sz w:val="20"/>
                <w:szCs w:val="20"/>
              </w:rPr>
              <w:t>(2)</w:t>
            </w:r>
          </w:p>
        </w:tc>
        <w:tc>
          <w:tcPr>
            <w:tcW w:w="1389" w:type="dxa"/>
            <w:tcBorders>
              <w:left w:val="nil"/>
              <w:right w:val="nil"/>
            </w:tcBorders>
            <w:shd w:val="clear" w:color="auto" w:fill="auto"/>
            <w:vAlign w:val="bottom"/>
          </w:tcPr>
          <w:p w14:paraId="069F5E71" w14:textId="2337B197" w:rsidR="00D535CE" w:rsidRPr="00F43653" w:rsidRDefault="00566597" w:rsidP="00D535CE">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3</w:t>
            </w:r>
          </w:p>
        </w:tc>
        <w:tc>
          <w:tcPr>
            <w:tcW w:w="1389" w:type="dxa"/>
            <w:tcBorders>
              <w:left w:val="nil"/>
              <w:right w:val="nil"/>
            </w:tcBorders>
            <w:shd w:val="clear" w:color="auto" w:fill="auto"/>
            <w:vAlign w:val="bottom"/>
          </w:tcPr>
          <w:p w14:paraId="2AF6CB13" w14:textId="35367919" w:rsidR="00D535CE" w:rsidRPr="00F43653" w:rsidRDefault="00D535CE" w:rsidP="00D535CE">
            <w:pPr>
              <w:suppressAutoHyphens/>
              <w:autoSpaceDN w:val="0"/>
              <w:jc w:val="right"/>
              <w:rPr>
                <w:rFonts w:ascii="Arial" w:eastAsia="Calibri" w:hAnsi="Arial" w:cs="Arial"/>
                <w:color w:val="000000" w:themeColor="text1"/>
                <w:sz w:val="20"/>
                <w:szCs w:val="20"/>
              </w:rPr>
            </w:pPr>
            <w:r w:rsidRPr="00976504">
              <w:rPr>
                <w:rFonts w:ascii="Arial" w:eastAsia="Calibri" w:hAnsi="Arial" w:cs="Arial"/>
                <w:color w:val="000000" w:themeColor="text1"/>
                <w:sz w:val="20"/>
                <w:szCs w:val="20"/>
              </w:rPr>
              <w:t>(2)</w:t>
            </w:r>
          </w:p>
        </w:tc>
      </w:tr>
      <w:tr w:rsidR="00D535CE" w:rsidRPr="009D1920" w14:paraId="62A540DD" w14:textId="77777777" w:rsidTr="00FB4322">
        <w:trPr>
          <w:trHeight w:val="385"/>
        </w:trPr>
        <w:tc>
          <w:tcPr>
            <w:tcW w:w="4109" w:type="dxa"/>
            <w:tcBorders>
              <w:top w:val="nil"/>
              <w:left w:val="nil"/>
              <w:bottom w:val="nil"/>
              <w:right w:val="nil"/>
            </w:tcBorders>
            <w:shd w:val="clear" w:color="auto" w:fill="auto"/>
            <w:vAlign w:val="bottom"/>
          </w:tcPr>
          <w:p w14:paraId="28B6BA27" w14:textId="77777777" w:rsidR="00D535CE" w:rsidRPr="00F43653" w:rsidRDefault="00D535CE" w:rsidP="00D535CE">
            <w:pPr>
              <w:suppressAutoHyphens/>
              <w:autoSpaceDN w:val="0"/>
              <w:rPr>
                <w:rFonts w:ascii="Arial" w:eastAsia="Calibri" w:hAnsi="Arial" w:cs="Arial"/>
                <w:color w:val="000000" w:themeColor="text1"/>
                <w:sz w:val="20"/>
                <w:szCs w:val="20"/>
              </w:rPr>
            </w:pPr>
            <w:r w:rsidRPr="00F43653">
              <w:rPr>
                <w:rFonts w:ascii="Arial" w:eastAsia="Calibri" w:hAnsi="Arial" w:cs="Arial"/>
                <w:color w:val="000000" w:themeColor="text1"/>
                <w:sz w:val="20"/>
                <w:szCs w:val="20"/>
              </w:rPr>
              <w:t>Ostala usklađenja</w:t>
            </w:r>
          </w:p>
        </w:tc>
        <w:tc>
          <w:tcPr>
            <w:tcW w:w="1389" w:type="dxa"/>
            <w:tcBorders>
              <w:left w:val="nil"/>
              <w:bottom w:val="single" w:sz="4" w:space="0" w:color="auto"/>
              <w:right w:val="nil"/>
            </w:tcBorders>
            <w:shd w:val="clear" w:color="auto" w:fill="auto"/>
            <w:vAlign w:val="bottom"/>
          </w:tcPr>
          <w:p w14:paraId="05104523" w14:textId="56EE7C9E" w:rsidR="00D535CE" w:rsidRPr="00F43653" w:rsidRDefault="00F356C4" w:rsidP="00D535CE">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2</w:t>
            </w:r>
          </w:p>
        </w:tc>
        <w:tc>
          <w:tcPr>
            <w:tcW w:w="1389" w:type="dxa"/>
            <w:tcBorders>
              <w:left w:val="nil"/>
              <w:bottom w:val="single" w:sz="4" w:space="0" w:color="auto"/>
              <w:right w:val="nil"/>
            </w:tcBorders>
            <w:shd w:val="clear" w:color="auto" w:fill="auto"/>
            <w:vAlign w:val="bottom"/>
          </w:tcPr>
          <w:p w14:paraId="5C38F075" w14:textId="75BE1D30" w:rsidR="00D535CE" w:rsidRPr="00F43653" w:rsidRDefault="00D535CE" w:rsidP="00D535CE">
            <w:pPr>
              <w:suppressAutoHyphens/>
              <w:autoSpaceDN w:val="0"/>
              <w:jc w:val="right"/>
              <w:rPr>
                <w:rFonts w:ascii="Arial" w:eastAsia="Calibri" w:hAnsi="Arial" w:cs="Arial"/>
                <w:color w:val="000000" w:themeColor="text1"/>
                <w:sz w:val="20"/>
                <w:szCs w:val="20"/>
              </w:rPr>
            </w:pPr>
            <w:r w:rsidRPr="0077228B">
              <w:rPr>
                <w:rFonts w:ascii="Arial" w:eastAsia="Calibri" w:hAnsi="Arial" w:cs="Arial"/>
                <w:color w:val="000000" w:themeColor="text1"/>
                <w:sz w:val="20"/>
                <w:szCs w:val="20"/>
              </w:rPr>
              <w:t>(</w:t>
            </w:r>
            <w:r>
              <w:rPr>
                <w:rFonts w:ascii="Arial" w:eastAsia="Calibri" w:hAnsi="Arial" w:cs="Arial"/>
                <w:color w:val="000000" w:themeColor="text1"/>
                <w:sz w:val="20"/>
                <w:szCs w:val="20"/>
              </w:rPr>
              <w:t>8</w:t>
            </w:r>
            <w:r w:rsidRPr="0077228B">
              <w:rPr>
                <w:rFonts w:ascii="Arial" w:eastAsia="Calibri" w:hAnsi="Arial" w:cs="Arial"/>
                <w:color w:val="000000" w:themeColor="text1"/>
                <w:sz w:val="20"/>
                <w:szCs w:val="20"/>
              </w:rPr>
              <w:t>)</w:t>
            </w:r>
          </w:p>
        </w:tc>
        <w:tc>
          <w:tcPr>
            <w:tcW w:w="1389" w:type="dxa"/>
            <w:tcBorders>
              <w:left w:val="nil"/>
              <w:bottom w:val="single" w:sz="4" w:space="0" w:color="auto"/>
              <w:right w:val="nil"/>
            </w:tcBorders>
            <w:shd w:val="clear" w:color="auto" w:fill="auto"/>
            <w:vAlign w:val="bottom"/>
          </w:tcPr>
          <w:p w14:paraId="0F6DA0CF" w14:textId="2AA4A71A" w:rsidR="00D535CE" w:rsidRPr="00F43653" w:rsidRDefault="00566597" w:rsidP="00D535CE">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1</w:t>
            </w:r>
          </w:p>
        </w:tc>
        <w:tc>
          <w:tcPr>
            <w:tcW w:w="1389" w:type="dxa"/>
            <w:tcBorders>
              <w:left w:val="nil"/>
              <w:bottom w:val="single" w:sz="4" w:space="0" w:color="auto"/>
              <w:right w:val="nil"/>
            </w:tcBorders>
            <w:shd w:val="clear" w:color="auto" w:fill="auto"/>
            <w:vAlign w:val="bottom"/>
          </w:tcPr>
          <w:p w14:paraId="7BBED2AD" w14:textId="05D0909F" w:rsidR="00D535CE" w:rsidRPr="00F43653" w:rsidRDefault="00D535CE" w:rsidP="00D535CE">
            <w:pPr>
              <w:suppressAutoHyphens/>
              <w:autoSpaceDN w:val="0"/>
              <w:jc w:val="right"/>
              <w:rPr>
                <w:rFonts w:ascii="Arial" w:eastAsia="Calibri" w:hAnsi="Arial" w:cs="Arial"/>
                <w:color w:val="000000" w:themeColor="text1"/>
                <w:sz w:val="20"/>
                <w:szCs w:val="20"/>
              </w:rPr>
            </w:pPr>
            <w:r w:rsidRPr="00976504">
              <w:rPr>
                <w:rFonts w:ascii="Arial" w:eastAsia="Calibri" w:hAnsi="Arial" w:cs="Arial"/>
                <w:color w:val="000000" w:themeColor="text1"/>
                <w:sz w:val="20"/>
                <w:szCs w:val="20"/>
              </w:rPr>
              <w:t>4</w:t>
            </w:r>
          </w:p>
        </w:tc>
      </w:tr>
      <w:tr w:rsidR="00D535CE" w:rsidRPr="009D1920" w14:paraId="137472F8" w14:textId="77777777" w:rsidTr="00FB4322">
        <w:trPr>
          <w:trHeight w:val="385"/>
        </w:trPr>
        <w:tc>
          <w:tcPr>
            <w:tcW w:w="4109" w:type="dxa"/>
            <w:tcBorders>
              <w:top w:val="nil"/>
              <w:left w:val="nil"/>
              <w:bottom w:val="nil"/>
              <w:right w:val="nil"/>
            </w:tcBorders>
            <w:shd w:val="clear" w:color="auto" w:fill="auto"/>
            <w:vAlign w:val="bottom"/>
          </w:tcPr>
          <w:p w14:paraId="78B64E99" w14:textId="77777777" w:rsidR="00D535CE" w:rsidRPr="00F43653" w:rsidRDefault="00D535CE" w:rsidP="00D535CE">
            <w:pPr>
              <w:suppressAutoHyphens/>
              <w:autoSpaceDN w:val="0"/>
              <w:rPr>
                <w:rFonts w:ascii="Arial" w:eastAsia="Calibri" w:hAnsi="Arial" w:cs="Arial"/>
                <w:b/>
                <w:bCs/>
                <w:color w:val="000000" w:themeColor="text1"/>
                <w:sz w:val="20"/>
                <w:szCs w:val="20"/>
              </w:rPr>
            </w:pPr>
            <w:r w:rsidRPr="00F43653">
              <w:rPr>
                <w:rFonts w:ascii="Arial" w:eastAsia="Calibri" w:hAnsi="Arial" w:cs="Arial"/>
                <w:b/>
                <w:bCs/>
                <w:color w:val="000000" w:themeColor="text1"/>
                <w:sz w:val="20"/>
                <w:szCs w:val="20"/>
              </w:rPr>
              <w:t>Stanje na kraju izvještajnog razdoblja</w:t>
            </w:r>
          </w:p>
        </w:tc>
        <w:tc>
          <w:tcPr>
            <w:tcW w:w="1389" w:type="dxa"/>
            <w:tcBorders>
              <w:top w:val="single" w:sz="4" w:space="0" w:color="auto"/>
              <w:left w:val="nil"/>
              <w:bottom w:val="single" w:sz="12" w:space="0" w:color="auto"/>
              <w:right w:val="nil"/>
            </w:tcBorders>
            <w:shd w:val="clear" w:color="auto" w:fill="auto"/>
            <w:noWrap/>
            <w:vAlign w:val="bottom"/>
          </w:tcPr>
          <w:p w14:paraId="04F24E81" w14:textId="5232EF14" w:rsidR="00D535CE" w:rsidRPr="00F43653" w:rsidRDefault="00F356C4" w:rsidP="00D535CE">
            <w:pPr>
              <w:suppressAutoHyphens/>
              <w:autoSpaceDN w:val="0"/>
              <w:jc w:val="right"/>
              <w:rPr>
                <w:rFonts w:ascii="Arial" w:eastAsia="Calibri" w:hAnsi="Arial" w:cs="Arial"/>
                <w:b/>
                <w:bCs/>
                <w:color w:val="000000" w:themeColor="text1"/>
                <w:sz w:val="20"/>
                <w:szCs w:val="20"/>
              </w:rPr>
            </w:pPr>
            <w:r>
              <w:rPr>
                <w:rFonts w:ascii="Arial" w:eastAsia="Calibri" w:hAnsi="Arial" w:cs="Arial"/>
                <w:b/>
                <w:bCs/>
                <w:color w:val="000000" w:themeColor="text1"/>
                <w:sz w:val="20"/>
                <w:szCs w:val="20"/>
              </w:rPr>
              <w:t>4.717</w:t>
            </w:r>
          </w:p>
        </w:tc>
        <w:tc>
          <w:tcPr>
            <w:tcW w:w="1389" w:type="dxa"/>
            <w:tcBorders>
              <w:top w:val="single" w:sz="4" w:space="0" w:color="auto"/>
              <w:left w:val="nil"/>
              <w:bottom w:val="single" w:sz="12" w:space="0" w:color="auto"/>
              <w:right w:val="nil"/>
            </w:tcBorders>
            <w:shd w:val="clear" w:color="auto" w:fill="auto"/>
            <w:vAlign w:val="bottom"/>
          </w:tcPr>
          <w:p w14:paraId="5EBA5559" w14:textId="1972BDDD" w:rsidR="00D535CE" w:rsidRPr="00F43653" w:rsidRDefault="00D535CE" w:rsidP="00D535CE">
            <w:pPr>
              <w:suppressAutoHyphens/>
              <w:autoSpaceDN w:val="0"/>
              <w:jc w:val="right"/>
              <w:rPr>
                <w:rFonts w:ascii="Arial" w:eastAsia="Calibri" w:hAnsi="Arial" w:cs="Arial"/>
                <w:b/>
                <w:bCs/>
                <w:color w:val="000000" w:themeColor="text1"/>
                <w:sz w:val="20"/>
                <w:szCs w:val="20"/>
              </w:rPr>
            </w:pPr>
            <w:r w:rsidRPr="0077228B">
              <w:rPr>
                <w:rFonts w:ascii="Arial" w:eastAsia="Calibri" w:hAnsi="Arial" w:cs="Arial"/>
                <w:b/>
                <w:color w:val="000000" w:themeColor="text1"/>
                <w:sz w:val="20"/>
                <w:szCs w:val="20"/>
              </w:rPr>
              <w:t>4.393</w:t>
            </w:r>
          </w:p>
        </w:tc>
        <w:tc>
          <w:tcPr>
            <w:tcW w:w="1389" w:type="dxa"/>
            <w:tcBorders>
              <w:top w:val="single" w:sz="4" w:space="0" w:color="auto"/>
              <w:left w:val="nil"/>
              <w:bottom w:val="single" w:sz="12" w:space="0" w:color="auto"/>
              <w:right w:val="nil"/>
            </w:tcBorders>
            <w:shd w:val="clear" w:color="auto" w:fill="auto"/>
            <w:vAlign w:val="bottom"/>
          </w:tcPr>
          <w:p w14:paraId="2D6910CC" w14:textId="41C7DC7E" w:rsidR="00D535CE" w:rsidRPr="00F43653" w:rsidRDefault="00566597" w:rsidP="00D535CE">
            <w:pPr>
              <w:suppressAutoHyphens/>
              <w:autoSpaceDN w:val="0"/>
              <w:jc w:val="right"/>
              <w:rPr>
                <w:rFonts w:ascii="Arial" w:eastAsia="Calibri" w:hAnsi="Arial" w:cs="Arial"/>
                <w:b/>
                <w:bCs/>
                <w:color w:val="000000" w:themeColor="text1"/>
                <w:sz w:val="20"/>
                <w:szCs w:val="20"/>
              </w:rPr>
            </w:pPr>
            <w:r>
              <w:rPr>
                <w:rFonts w:ascii="Arial" w:eastAsia="Calibri" w:hAnsi="Arial" w:cs="Arial"/>
                <w:b/>
                <w:bCs/>
                <w:color w:val="000000" w:themeColor="text1"/>
                <w:sz w:val="20"/>
                <w:szCs w:val="20"/>
              </w:rPr>
              <w:t>4.689</w:t>
            </w:r>
          </w:p>
        </w:tc>
        <w:tc>
          <w:tcPr>
            <w:tcW w:w="1389" w:type="dxa"/>
            <w:tcBorders>
              <w:top w:val="single" w:sz="4" w:space="0" w:color="auto"/>
              <w:left w:val="nil"/>
              <w:bottom w:val="single" w:sz="12" w:space="0" w:color="auto"/>
              <w:right w:val="nil"/>
            </w:tcBorders>
            <w:shd w:val="clear" w:color="auto" w:fill="auto"/>
            <w:vAlign w:val="bottom"/>
          </w:tcPr>
          <w:p w14:paraId="32B6374E" w14:textId="2D48E3C0" w:rsidR="00D535CE" w:rsidRPr="00F43653" w:rsidRDefault="00D535CE" w:rsidP="00D535CE">
            <w:pPr>
              <w:suppressAutoHyphens/>
              <w:autoSpaceDN w:val="0"/>
              <w:jc w:val="right"/>
              <w:rPr>
                <w:rFonts w:ascii="Arial" w:eastAsia="Calibri" w:hAnsi="Arial" w:cs="Arial"/>
                <w:b/>
                <w:bCs/>
                <w:color w:val="000000" w:themeColor="text1"/>
                <w:sz w:val="20"/>
                <w:szCs w:val="20"/>
              </w:rPr>
            </w:pPr>
            <w:r w:rsidRPr="00976504">
              <w:rPr>
                <w:rFonts w:ascii="Arial" w:eastAsia="Calibri" w:hAnsi="Arial" w:cs="Arial"/>
                <w:b/>
                <w:bCs/>
                <w:color w:val="000000" w:themeColor="text1"/>
                <w:sz w:val="20"/>
                <w:szCs w:val="20"/>
              </w:rPr>
              <w:t>4.385</w:t>
            </w:r>
          </w:p>
        </w:tc>
      </w:tr>
    </w:tbl>
    <w:p w14:paraId="756B6071" w14:textId="77777777" w:rsidR="00C81475" w:rsidRPr="003D1614" w:rsidRDefault="00C81475" w:rsidP="00C81475">
      <w:pPr>
        <w:keepNext/>
        <w:suppressAutoHyphens/>
        <w:autoSpaceDN w:val="0"/>
        <w:jc w:val="both"/>
        <w:outlineLvl w:val="0"/>
        <w:rPr>
          <w:rFonts w:ascii="Arial" w:eastAsia="Times New Roman" w:hAnsi="Arial" w:cs="Arial"/>
          <w:color w:val="000000" w:themeColor="text1"/>
          <w:sz w:val="20"/>
          <w:szCs w:val="20"/>
        </w:rPr>
      </w:pPr>
    </w:p>
    <w:p w14:paraId="7818C6B3" w14:textId="1B18A17D" w:rsidR="00C81475" w:rsidRPr="003D1614" w:rsidRDefault="00C81475" w:rsidP="00C81475">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Neto dobit/gubitak od tečajnih razlika po rezerviranjima za očekivane gubitke prikazane su unutar Neto prihoda/(rashoda) od financijskih aktivnosti u Računu dobiti i gubitku.</w:t>
      </w:r>
    </w:p>
    <w:p w14:paraId="1AF7F4E1" w14:textId="357A259E" w:rsidR="00C81475" w:rsidRPr="003D1614" w:rsidRDefault="00C81475" w:rsidP="00C81475">
      <w:pPr>
        <w:keepNext/>
        <w:suppressAutoHyphens/>
        <w:autoSpaceDN w:val="0"/>
        <w:jc w:val="both"/>
        <w:outlineLvl w:val="0"/>
        <w:rPr>
          <w:rFonts w:ascii="Arial" w:eastAsia="Times New Roman" w:hAnsi="Arial" w:cs="Arial"/>
          <w:color w:val="000000" w:themeColor="text1"/>
          <w:sz w:val="20"/>
          <w:szCs w:val="20"/>
        </w:rPr>
      </w:pPr>
    </w:p>
    <w:p w14:paraId="292CC75E" w14:textId="77777777" w:rsidR="00C81475" w:rsidRPr="003D1614" w:rsidRDefault="00C81475" w:rsidP="00C81475">
      <w:pPr>
        <w:keepNext/>
        <w:suppressAutoHyphens/>
        <w:autoSpaceDN w:val="0"/>
        <w:jc w:val="both"/>
        <w:outlineLvl w:val="0"/>
        <w:rPr>
          <w:rFonts w:ascii="Arial" w:eastAsia="Times New Roman" w:hAnsi="Arial" w:cs="Arial"/>
          <w:color w:val="000000" w:themeColor="text1"/>
          <w:sz w:val="20"/>
          <w:szCs w:val="20"/>
        </w:rPr>
        <w:sectPr w:rsidR="00C81475" w:rsidRPr="003D1614">
          <w:pgSz w:w="11906" w:h="16838"/>
          <w:pgMar w:top="1417" w:right="1417" w:bottom="1417" w:left="1417" w:header="708" w:footer="708" w:gutter="0"/>
          <w:cols w:space="708"/>
          <w:docGrid w:linePitch="360"/>
        </w:sectPr>
      </w:pPr>
    </w:p>
    <w:p w14:paraId="044B68D4" w14:textId="77777777" w:rsidR="00FC2BEF" w:rsidRPr="003D1614" w:rsidRDefault="00FC2BEF" w:rsidP="00FC2BEF">
      <w:pPr>
        <w:keepNext/>
        <w:suppressAutoHyphens/>
        <w:autoSpaceDN w:val="0"/>
        <w:jc w:val="both"/>
        <w:outlineLvl w:val="0"/>
        <w:rPr>
          <w:rFonts w:ascii="Arial" w:eastAsia="Times New Roman" w:hAnsi="Arial" w:cs="Arial"/>
          <w:b/>
          <w:bCs/>
          <w:color w:val="000000" w:themeColor="text1"/>
          <w:sz w:val="20"/>
          <w:szCs w:val="20"/>
        </w:rPr>
      </w:pPr>
    </w:p>
    <w:p w14:paraId="5C014BE1" w14:textId="68F052BB" w:rsidR="00FC2BEF" w:rsidRPr="003D1614" w:rsidRDefault="00FC2BEF" w:rsidP="00FC2BEF">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1</w:t>
      </w:r>
      <w:r w:rsidR="000E693B">
        <w:rPr>
          <w:rFonts w:ascii="Arial" w:eastAsia="Times New Roman" w:hAnsi="Arial" w:cs="Arial"/>
          <w:b/>
          <w:bCs/>
          <w:color w:val="000000" w:themeColor="text1"/>
          <w:sz w:val="20"/>
          <w:szCs w:val="20"/>
        </w:rPr>
        <w:t>7</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Obveze po depozitima</w:t>
      </w:r>
    </w:p>
    <w:p w14:paraId="38C8DFCA" w14:textId="77777777" w:rsidR="00FC2BEF" w:rsidRPr="003D1614" w:rsidRDefault="00FC2BEF" w:rsidP="00FC2BEF">
      <w:pPr>
        <w:keepNext/>
        <w:suppressAutoHyphens/>
        <w:autoSpaceDN w:val="0"/>
        <w:jc w:val="both"/>
        <w:outlineLvl w:val="0"/>
        <w:rPr>
          <w:rFonts w:ascii="Arial" w:eastAsia="Times New Roman" w:hAnsi="Arial" w:cs="Arial"/>
          <w:b/>
          <w:bCs/>
          <w:color w:val="000000" w:themeColor="text1"/>
          <w:sz w:val="20"/>
          <w:szCs w:val="20"/>
        </w:rPr>
      </w:pPr>
    </w:p>
    <w:tbl>
      <w:tblPr>
        <w:tblW w:w="4934" w:type="pct"/>
        <w:tblLayout w:type="fixed"/>
        <w:tblCellMar>
          <w:left w:w="119" w:type="dxa"/>
          <w:right w:w="119" w:type="dxa"/>
        </w:tblCellMar>
        <w:tblLook w:val="0000" w:firstRow="0" w:lastRow="0" w:firstColumn="0" w:lastColumn="0" w:noHBand="0" w:noVBand="0"/>
      </w:tblPr>
      <w:tblGrid>
        <w:gridCol w:w="5776"/>
        <w:gridCol w:w="1588"/>
        <w:gridCol w:w="1588"/>
      </w:tblGrid>
      <w:tr w:rsidR="00FC2BEF" w:rsidRPr="005C2756" w14:paraId="4C8C87A7" w14:textId="77777777" w:rsidTr="005C2756">
        <w:trPr>
          <w:trHeight w:val="156"/>
        </w:trPr>
        <w:tc>
          <w:tcPr>
            <w:tcW w:w="3226" w:type="pct"/>
            <w:vAlign w:val="bottom"/>
          </w:tcPr>
          <w:p w14:paraId="0D3E1530" w14:textId="77777777" w:rsidR="00FC2BEF" w:rsidRPr="005C2756" w:rsidRDefault="00FC2BEF" w:rsidP="00FC2BEF">
            <w:pPr>
              <w:tabs>
                <w:tab w:val="left" w:pos="-1962"/>
              </w:tabs>
              <w:suppressAutoHyphens/>
              <w:autoSpaceDN w:val="0"/>
              <w:rPr>
                <w:rFonts w:ascii="Arial" w:eastAsia="Times New Roman" w:hAnsi="Arial" w:cs="Arial"/>
                <w:color w:val="000000" w:themeColor="text1"/>
                <w:spacing w:val="-3"/>
                <w:sz w:val="20"/>
                <w:szCs w:val="20"/>
              </w:rPr>
            </w:pPr>
          </w:p>
        </w:tc>
        <w:tc>
          <w:tcPr>
            <w:tcW w:w="1774" w:type="pct"/>
            <w:gridSpan w:val="2"/>
            <w:vAlign w:val="bottom"/>
          </w:tcPr>
          <w:p w14:paraId="21BF8CE2" w14:textId="77777777" w:rsidR="00FC2BEF" w:rsidRPr="005C2756" w:rsidRDefault="00FC2BEF" w:rsidP="00FC2BE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40" w:name="_Toc67328693"/>
            <w:r w:rsidRPr="005C2756">
              <w:rPr>
                <w:rFonts w:ascii="Arial" w:eastAsia="Times New Roman" w:hAnsi="Arial" w:cs="Arial"/>
                <w:b/>
                <w:color w:val="000000" w:themeColor="text1"/>
                <w:sz w:val="20"/>
                <w:szCs w:val="20"/>
              </w:rPr>
              <w:t>Grupa i Banka</w:t>
            </w:r>
            <w:bookmarkEnd w:id="440"/>
          </w:p>
        </w:tc>
      </w:tr>
      <w:tr w:rsidR="00FC2BEF" w:rsidRPr="005C2756" w14:paraId="55710A76" w14:textId="77777777" w:rsidTr="005C2756">
        <w:trPr>
          <w:trHeight w:val="510"/>
        </w:trPr>
        <w:tc>
          <w:tcPr>
            <w:tcW w:w="3226" w:type="pct"/>
            <w:vAlign w:val="bottom"/>
          </w:tcPr>
          <w:p w14:paraId="463CEB6F" w14:textId="77777777" w:rsidR="00FC2BEF" w:rsidRPr="005C2756" w:rsidRDefault="00FC2BEF" w:rsidP="00FC2BEF">
            <w:pPr>
              <w:tabs>
                <w:tab w:val="left" w:pos="-1962"/>
              </w:tabs>
              <w:suppressAutoHyphens/>
              <w:autoSpaceDN w:val="0"/>
              <w:rPr>
                <w:rFonts w:ascii="Arial" w:eastAsia="Times New Roman" w:hAnsi="Arial" w:cs="Arial"/>
                <w:color w:val="000000" w:themeColor="text1"/>
                <w:spacing w:val="-3"/>
                <w:sz w:val="20"/>
                <w:szCs w:val="20"/>
              </w:rPr>
            </w:pPr>
          </w:p>
        </w:tc>
        <w:tc>
          <w:tcPr>
            <w:tcW w:w="887" w:type="pct"/>
            <w:vAlign w:val="bottom"/>
          </w:tcPr>
          <w:p w14:paraId="4740060E" w14:textId="4D40E9DB" w:rsidR="00FC2BEF" w:rsidRPr="005C2756" w:rsidRDefault="002C0DB3" w:rsidP="00FC2BE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2C0DB3">
              <w:rPr>
                <w:rFonts w:ascii="Arial" w:eastAsia="Times New Roman" w:hAnsi="Arial" w:cs="Arial"/>
                <w:b/>
                <w:color w:val="000000" w:themeColor="text1"/>
                <w:sz w:val="20"/>
                <w:szCs w:val="20"/>
              </w:rPr>
              <w:t>30. rujna 202</w:t>
            </w:r>
            <w:r w:rsidR="00D535CE">
              <w:rPr>
                <w:rFonts w:ascii="Arial" w:eastAsia="Times New Roman" w:hAnsi="Arial" w:cs="Arial"/>
                <w:b/>
                <w:color w:val="000000" w:themeColor="text1"/>
                <w:sz w:val="20"/>
                <w:szCs w:val="20"/>
              </w:rPr>
              <w:t>4</w:t>
            </w:r>
            <w:r w:rsidRPr="002C0DB3">
              <w:rPr>
                <w:rFonts w:ascii="Arial" w:eastAsia="Times New Roman" w:hAnsi="Arial" w:cs="Arial"/>
                <w:b/>
                <w:color w:val="000000" w:themeColor="text1"/>
                <w:sz w:val="20"/>
                <w:szCs w:val="20"/>
              </w:rPr>
              <w:t>.</w:t>
            </w:r>
          </w:p>
        </w:tc>
        <w:tc>
          <w:tcPr>
            <w:tcW w:w="887" w:type="pct"/>
            <w:vAlign w:val="bottom"/>
          </w:tcPr>
          <w:p w14:paraId="7E3514EF" w14:textId="2F97EDA1" w:rsidR="00FC2BEF" w:rsidRPr="005C2756" w:rsidRDefault="00FC2BEF" w:rsidP="00FC2BE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41" w:name="_Toc67328695"/>
            <w:r w:rsidRPr="005C2756">
              <w:rPr>
                <w:rFonts w:ascii="Arial" w:eastAsia="Times New Roman" w:hAnsi="Arial" w:cs="Arial"/>
                <w:b/>
                <w:color w:val="000000" w:themeColor="text1"/>
                <w:sz w:val="20"/>
                <w:szCs w:val="20"/>
              </w:rPr>
              <w:t>31. prosinca 202</w:t>
            </w:r>
            <w:r w:rsidR="00D535CE">
              <w:rPr>
                <w:rFonts w:ascii="Arial" w:eastAsia="Times New Roman" w:hAnsi="Arial" w:cs="Arial"/>
                <w:b/>
                <w:color w:val="000000" w:themeColor="text1"/>
                <w:sz w:val="20"/>
                <w:szCs w:val="20"/>
              </w:rPr>
              <w:t>3</w:t>
            </w:r>
            <w:r w:rsidRPr="005C2756">
              <w:rPr>
                <w:rFonts w:ascii="Arial" w:eastAsia="Times New Roman" w:hAnsi="Arial" w:cs="Arial"/>
                <w:b/>
                <w:color w:val="000000" w:themeColor="text1"/>
                <w:sz w:val="20"/>
                <w:szCs w:val="20"/>
              </w:rPr>
              <w:t>.</w:t>
            </w:r>
            <w:bookmarkEnd w:id="441"/>
          </w:p>
        </w:tc>
      </w:tr>
      <w:tr w:rsidR="00FC2BEF" w:rsidRPr="005C2756" w14:paraId="0D840B9C" w14:textId="77777777" w:rsidTr="005C2756">
        <w:trPr>
          <w:trHeight w:val="300"/>
        </w:trPr>
        <w:tc>
          <w:tcPr>
            <w:tcW w:w="3226" w:type="pct"/>
            <w:vAlign w:val="bottom"/>
          </w:tcPr>
          <w:p w14:paraId="6CAB3199" w14:textId="77777777" w:rsidR="00FC2BEF" w:rsidRPr="005C2756" w:rsidRDefault="00FC2BEF" w:rsidP="00FC2BEF">
            <w:pPr>
              <w:tabs>
                <w:tab w:val="left" w:pos="-1962"/>
              </w:tabs>
              <w:suppressAutoHyphens/>
              <w:autoSpaceDN w:val="0"/>
              <w:rPr>
                <w:rFonts w:ascii="Arial" w:eastAsia="Times New Roman" w:hAnsi="Arial" w:cs="Arial"/>
                <w:color w:val="000000" w:themeColor="text1"/>
                <w:spacing w:val="-3"/>
                <w:sz w:val="20"/>
                <w:szCs w:val="20"/>
              </w:rPr>
            </w:pPr>
          </w:p>
        </w:tc>
        <w:tc>
          <w:tcPr>
            <w:tcW w:w="887" w:type="pct"/>
            <w:vAlign w:val="bottom"/>
          </w:tcPr>
          <w:p w14:paraId="7E9AA786" w14:textId="1AA4FA74" w:rsidR="00FC2BEF" w:rsidRPr="005C2756" w:rsidRDefault="00FC2BEF" w:rsidP="00FC2BEF">
            <w:pPr>
              <w:suppressAutoHyphens/>
              <w:autoSpaceDN w:val="0"/>
              <w:jc w:val="right"/>
              <w:rPr>
                <w:rFonts w:ascii="Arial" w:eastAsia="Times New Roman" w:hAnsi="Arial" w:cs="Arial"/>
                <w:b/>
                <w:color w:val="000000" w:themeColor="text1"/>
                <w:spacing w:val="-3"/>
                <w:sz w:val="20"/>
                <w:szCs w:val="20"/>
              </w:rPr>
            </w:pPr>
            <w:r w:rsidRPr="005C2756">
              <w:rPr>
                <w:rFonts w:ascii="Arial" w:eastAsia="Times New Roman" w:hAnsi="Arial" w:cs="Arial"/>
                <w:b/>
                <w:color w:val="000000" w:themeColor="text1"/>
                <w:spacing w:val="-3"/>
                <w:sz w:val="20"/>
                <w:szCs w:val="20"/>
              </w:rPr>
              <w:t>000 eura</w:t>
            </w:r>
          </w:p>
        </w:tc>
        <w:tc>
          <w:tcPr>
            <w:tcW w:w="887" w:type="pct"/>
            <w:vAlign w:val="bottom"/>
          </w:tcPr>
          <w:p w14:paraId="0E19C415" w14:textId="7EFBAB6A" w:rsidR="00FC2BEF" w:rsidRPr="005C2756" w:rsidRDefault="00FC2BEF" w:rsidP="00FC2BEF">
            <w:pPr>
              <w:suppressAutoHyphens/>
              <w:autoSpaceDN w:val="0"/>
              <w:jc w:val="right"/>
              <w:rPr>
                <w:rFonts w:ascii="Arial" w:eastAsia="Times New Roman" w:hAnsi="Arial" w:cs="Arial"/>
                <w:b/>
                <w:color w:val="000000" w:themeColor="text1"/>
                <w:spacing w:val="-3"/>
                <w:sz w:val="20"/>
                <w:szCs w:val="20"/>
              </w:rPr>
            </w:pPr>
            <w:r w:rsidRPr="005C2756">
              <w:rPr>
                <w:rFonts w:ascii="Arial" w:eastAsia="Times New Roman" w:hAnsi="Arial" w:cs="Arial"/>
                <w:b/>
                <w:color w:val="000000" w:themeColor="text1"/>
                <w:spacing w:val="-3"/>
                <w:sz w:val="20"/>
                <w:szCs w:val="20"/>
              </w:rPr>
              <w:t>000 eura</w:t>
            </w:r>
          </w:p>
        </w:tc>
      </w:tr>
      <w:tr w:rsidR="00FC2BEF" w:rsidRPr="005C2756" w14:paraId="7EB80B5B" w14:textId="77777777" w:rsidTr="005C2756">
        <w:trPr>
          <w:trHeight w:val="300"/>
        </w:trPr>
        <w:tc>
          <w:tcPr>
            <w:tcW w:w="3226" w:type="pct"/>
            <w:vAlign w:val="bottom"/>
          </w:tcPr>
          <w:p w14:paraId="1DBE1912" w14:textId="77777777" w:rsidR="00FC2BEF" w:rsidRPr="005C2756" w:rsidRDefault="00FC2BEF" w:rsidP="00FC2BEF">
            <w:pPr>
              <w:tabs>
                <w:tab w:val="left" w:pos="-1962"/>
              </w:tabs>
              <w:suppressAutoHyphens/>
              <w:autoSpaceDN w:val="0"/>
              <w:rPr>
                <w:rFonts w:ascii="Arial" w:eastAsia="Times New Roman" w:hAnsi="Arial" w:cs="Arial"/>
                <w:color w:val="000000" w:themeColor="text1"/>
                <w:spacing w:val="-3"/>
                <w:sz w:val="20"/>
                <w:szCs w:val="20"/>
              </w:rPr>
            </w:pPr>
          </w:p>
        </w:tc>
        <w:tc>
          <w:tcPr>
            <w:tcW w:w="887" w:type="pct"/>
            <w:vAlign w:val="bottom"/>
          </w:tcPr>
          <w:p w14:paraId="20D48043" w14:textId="77777777" w:rsidR="00FC2BEF" w:rsidRPr="005C2756" w:rsidRDefault="00FC2BEF" w:rsidP="00FC2BEF">
            <w:pPr>
              <w:suppressAutoHyphens/>
              <w:autoSpaceDN w:val="0"/>
              <w:jc w:val="right"/>
              <w:rPr>
                <w:rFonts w:ascii="Arial" w:eastAsia="Times New Roman" w:hAnsi="Arial" w:cs="Arial"/>
                <w:b/>
                <w:color w:val="000000" w:themeColor="text1"/>
                <w:spacing w:val="-3"/>
                <w:sz w:val="20"/>
                <w:szCs w:val="20"/>
              </w:rPr>
            </w:pPr>
          </w:p>
        </w:tc>
        <w:tc>
          <w:tcPr>
            <w:tcW w:w="887" w:type="pct"/>
            <w:vAlign w:val="bottom"/>
          </w:tcPr>
          <w:p w14:paraId="13495113" w14:textId="77777777" w:rsidR="00FC2BEF" w:rsidRPr="005C2756" w:rsidRDefault="00FC2BEF" w:rsidP="00FC2BEF">
            <w:pPr>
              <w:suppressAutoHyphens/>
              <w:autoSpaceDN w:val="0"/>
              <w:jc w:val="right"/>
              <w:rPr>
                <w:rFonts w:ascii="Arial" w:eastAsia="Times New Roman" w:hAnsi="Arial" w:cs="Arial"/>
                <w:b/>
                <w:color w:val="000000" w:themeColor="text1"/>
                <w:spacing w:val="-3"/>
                <w:sz w:val="20"/>
                <w:szCs w:val="20"/>
              </w:rPr>
            </w:pPr>
          </w:p>
        </w:tc>
      </w:tr>
      <w:tr w:rsidR="001B510F" w:rsidRPr="005C2756" w14:paraId="21D68A2D" w14:textId="77777777" w:rsidTr="00CF6F6E">
        <w:trPr>
          <w:trHeight w:val="120"/>
        </w:trPr>
        <w:tc>
          <w:tcPr>
            <w:tcW w:w="3226" w:type="pct"/>
            <w:vAlign w:val="bottom"/>
          </w:tcPr>
          <w:p w14:paraId="7598B0DE" w14:textId="336E4F25" w:rsidR="001B510F" w:rsidRPr="005C2756" w:rsidRDefault="001B510F" w:rsidP="001B510F">
            <w:pPr>
              <w:tabs>
                <w:tab w:val="right" w:pos="1202"/>
              </w:tabs>
              <w:suppressAutoHyphens/>
              <w:autoSpaceDN w:val="0"/>
              <w:spacing w:line="301" w:lineRule="exact"/>
              <w:outlineLvl w:val="0"/>
              <w:rPr>
                <w:rFonts w:ascii="Arial" w:eastAsia="Times New Roman" w:hAnsi="Arial" w:cs="Arial"/>
                <w:color w:val="000000" w:themeColor="text1"/>
                <w:sz w:val="20"/>
                <w:szCs w:val="20"/>
              </w:rPr>
            </w:pPr>
            <w:r w:rsidRPr="005C2756">
              <w:rPr>
                <w:rFonts w:ascii="Arial" w:eastAsia="Times New Roman" w:hAnsi="Arial" w:cs="Arial"/>
                <w:color w:val="000000" w:themeColor="text1"/>
                <w:sz w:val="20"/>
                <w:szCs w:val="20"/>
              </w:rPr>
              <w:t>Depoziti banaka i depoziti stranih financijskih institucija</w:t>
            </w:r>
          </w:p>
        </w:tc>
        <w:tc>
          <w:tcPr>
            <w:tcW w:w="887" w:type="pct"/>
            <w:tcBorders>
              <w:top w:val="nil"/>
              <w:left w:val="nil"/>
              <w:bottom w:val="nil"/>
              <w:right w:val="nil"/>
            </w:tcBorders>
            <w:shd w:val="clear" w:color="auto" w:fill="auto"/>
            <w:vAlign w:val="bottom"/>
          </w:tcPr>
          <w:p w14:paraId="7DC63CF1" w14:textId="4B107261" w:rsidR="001B510F" w:rsidRPr="00252CA0" w:rsidRDefault="00684943" w:rsidP="001B510F">
            <w:pPr>
              <w:tabs>
                <w:tab w:val="right" w:pos="1202"/>
              </w:tabs>
              <w:suppressAutoHyphens/>
              <w:autoSpaceDN w:val="0"/>
              <w:jc w:val="right"/>
              <w:outlineLvl w:val="0"/>
              <w:rPr>
                <w:rFonts w:ascii="Arial" w:eastAsia="Times New Roman" w:hAnsi="Arial" w:cs="Arial"/>
                <w:color w:val="000000" w:themeColor="text1"/>
                <w:sz w:val="20"/>
                <w:szCs w:val="20"/>
              </w:rPr>
            </w:pPr>
            <w:r w:rsidRPr="00252CA0">
              <w:rPr>
                <w:rFonts w:ascii="Arial" w:eastAsia="Times New Roman" w:hAnsi="Arial" w:cs="Arial"/>
                <w:color w:val="000000" w:themeColor="text1"/>
                <w:sz w:val="20"/>
                <w:szCs w:val="20"/>
              </w:rPr>
              <w:t>96.896</w:t>
            </w:r>
          </w:p>
        </w:tc>
        <w:tc>
          <w:tcPr>
            <w:tcW w:w="887" w:type="pct"/>
            <w:tcBorders>
              <w:top w:val="nil"/>
              <w:left w:val="nil"/>
              <w:bottom w:val="nil"/>
              <w:right w:val="nil"/>
            </w:tcBorders>
            <w:shd w:val="clear" w:color="auto" w:fill="auto"/>
            <w:vAlign w:val="bottom"/>
          </w:tcPr>
          <w:p w14:paraId="391CD2FA" w14:textId="01D02719" w:rsidR="001B510F" w:rsidRPr="005C2756" w:rsidRDefault="001B510F" w:rsidP="001B510F">
            <w:pPr>
              <w:tabs>
                <w:tab w:val="right" w:pos="1202"/>
              </w:tabs>
              <w:suppressAutoHyphens/>
              <w:autoSpaceDN w:val="0"/>
              <w:jc w:val="right"/>
              <w:outlineLvl w:val="0"/>
              <w:rPr>
                <w:rFonts w:ascii="Arial" w:eastAsia="Times New Roman" w:hAnsi="Arial" w:cs="Arial"/>
                <w:color w:val="000000" w:themeColor="text1"/>
                <w:sz w:val="20"/>
                <w:szCs w:val="20"/>
              </w:rPr>
            </w:pPr>
            <w:r w:rsidRPr="00A428C3">
              <w:rPr>
                <w:rFonts w:ascii="Arial" w:hAnsi="Arial" w:cs="Arial"/>
                <w:color w:val="000000" w:themeColor="text1"/>
                <w:sz w:val="20"/>
              </w:rPr>
              <w:t>56.500</w:t>
            </w:r>
          </w:p>
        </w:tc>
      </w:tr>
      <w:tr w:rsidR="001B510F" w:rsidRPr="005C2756" w14:paraId="68297C7D" w14:textId="77777777" w:rsidTr="00CF6F6E">
        <w:trPr>
          <w:trHeight w:val="120"/>
        </w:trPr>
        <w:tc>
          <w:tcPr>
            <w:tcW w:w="3226" w:type="pct"/>
            <w:vAlign w:val="bottom"/>
          </w:tcPr>
          <w:p w14:paraId="3E7FB385" w14:textId="6B54FAA0" w:rsidR="001B510F" w:rsidRPr="005C2756" w:rsidRDefault="001B510F" w:rsidP="001B510F">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42" w:name="_Toc67328698"/>
            <w:r w:rsidRPr="005C2756">
              <w:rPr>
                <w:rFonts w:ascii="Arial" w:eastAsia="Times New Roman" w:hAnsi="Arial" w:cs="Arial"/>
                <w:color w:val="000000" w:themeColor="text1"/>
                <w:sz w:val="20"/>
                <w:szCs w:val="20"/>
              </w:rPr>
              <w:t>Redovni računi trgovačkih društava</w:t>
            </w:r>
            <w:bookmarkEnd w:id="442"/>
          </w:p>
        </w:tc>
        <w:tc>
          <w:tcPr>
            <w:tcW w:w="887" w:type="pct"/>
            <w:tcBorders>
              <w:top w:val="nil"/>
              <w:left w:val="nil"/>
              <w:bottom w:val="nil"/>
              <w:right w:val="nil"/>
            </w:tcBorders>
            <w:shd w:val="clear" w:color="auto" w:fill="auto"/>
            <w:vAlign w:val="bottom"/>
          </w:tcPr>
          <w:p w14:paraId="4416C09F" w14:textId="5100E162" w:rsidR="001B510F" w:rsidRPr="00252CA0" w:rsidRDefault="00684943" w:rsidP="001B510F">
            <w:pPr>
              <w:tabs>
                <w:tab w:val="right" w:pos="1202"/>
              </w:tabs>
              <w:suppressAutoHyphens/>
              <w:autoSpaceDN w:val="0"/>
              <w:jc w:val="right"/>
              <w:outlineLvl w:val="0"/>
              <w:rPr>
                <w:rFonts w:ascii="Arial" w:eastAsia="Times New Roman" w:hAnsi="Arial" w:cs="Arial"/>
                <w:color w:val="000000" w:themeColor="text1"/>
                <w:sz w:val="20"/>
                <w:szCs w:val="20"/>
              </w:rPr>
            </w:pPr>
            <w:r w:rsidRPr="00252CA0">
              <w:rPr>
                <w:rFonts w:ascii="Arial" w:eastAsia="Times New Roman" w:hAnsi="Arial" w:cs="Arial"/>
                <w:color w:val="000000" w:themeColor="text1"/>
                <w:sz w:val="20"/>
                <w:szCs w:val="20"/>
              </w:rPr>
              <w:t>-</w:t>
            </w:r>
          </w:p>
        </w:tc>
        <w:tc>
          <w:tcPr>
            <w:tcW w:w="887" w:type="pct"/>
            <w:tcBorders>
              <w:top w:val="nil"/>
              <w:left w:val="nil"/>
              <w:bottom w:val="nil"/>
              <w:right w:val="nil"/>
            </w:tcBorders>
            <w:shd w:val="clear" w:color="auto" w:fill="auto"/>
            <w:vAlign w:val="bottom"/>
          </w:tcPr>
          <w:p w14:paraId="37E85C4B" w14:textId="29789851" w:rsidR="001B510F" w:rsidRPr="005C2756" w:rsidRDefault="001B510F" w:rsidP="001B510F">
            <w:pPr>
              <w:tabs>
                <w:tab w:val="right" w:pos="1202"/>
              </w:tabs>
              <w:suppressAutoHyphens/>
              <w:autoSpaceDN w:val="0"/>
              <w:jc w:val="right"/>
              <w:outlineLvl w:val="0"/>
              <w:rPr>
                <w:rFonts w:ascii="Arial" w:eastAsia="Times New Roman" w:hAnsi="Arial" w:cs="Arial"/>
                <w:color w:val="000000" w:themeColor="text1"/>
                <w:sz w:val="20"/>
                <w:szCs w:val="20"/>
              </w:rPr>
            </w:pPr>
            <w:r w:rsidRPr="00A428C3">
              <w:rPr>
                <w:rFonts w:ascii="Arial" w:hAnsi="Arial" w:cs="Arial"/>
                <w:color w:val="000000" w:themeColor="text1"/>
                <w:sz w:val="20"/>
              </w:rPr>
              <w:t>3</w:t>
            </w:r>
          </w:p>
        </w:tc>
      </w:tr>
      <w:tr w:rsidR="004940DB" w:rsidRPr="005C2756" w14:paraId="146C2531" w14:textId="77777777" w:rsidTr="00CF6F6E">
        <w:trPr>
          <w:trHeight w:val="120"/>
        </w:trPr>
        <w:tc>
          <w:tcPr>
            <w:tcW w:w="3226" w:type="pct"/>
            <w:vAlign w:val="bottom"/>
          </w:tcPr>
          <w:p w14:paraId="1A99C00C" w14:textId="5DFD95C0" w:rsidR="004940DB" w:rsidRPr="005C2756" w:rsidRDefault="004940DB" w:rsidP="004940DB">
            <w:pPr>
              <w:tabs>
                <w:tab w:val="right" w:pos="1202"/>
              </w:tabs>
              <w:suppressAutoHyphens/>
              <w:autoSpaceDN w:val="0"/>
              <w:spacing w:line="301" w:lineRule="exact"/>
              <w:outlineLvl w:val="0"/>
              <w:rPr>
                <w:rFonts w:ascii="Arial" w:eastAsia="Times New Roman" w:hAnsi="Arial" w:cs="Arial"/>
                <w:color w:val="000000" w:themeColor="text1"/>
                <w:spacing w:val="-2"/>
                <w:sz w:val="20"/>
                <w:szCs w:val="20"/>
              </w:rPr>
            </w:pPr>
            <w:bookmarkStart w:id="443" w:name="_Toc67328700"/>
            <w:r w:rsidRPr="005C2756">
              <w:rPr>
                <w:rFonts w:ascii="Arial" w:eastAsia="Times New Roman" w:hAnsi="Arial" w:cs="Arial"/>
                <w:color w:val="000000" w:themeColor="text1"/>
                <w:spacing w:val="-2"/>
                <w:sz w:val="20"/>
                <w:szCs w:val="20"/>
              </w:rPr>
              <w:t>Račun Ministarstva financija RH</w:t>
            </w:r>
            <w:bookmarkEnd w:id="443"/>
          </w:p>
        </w:tc>
        <w:tc>
          <w:tcPr>
            <w:tcW w:w="887" w:type="pct"/>
            <w:tcBorders>
              <w:top w:val="nil"/>
              <w:left w:val="nil"/>
              <w:bottom w:val="nil"/>
              <w:right w:val="nil"/>
            </w:tcBorders>
            <w:shd w:val="clear" w:color="auto" w:fill="auto"/>
            <w:vAlign w:val="bottom"/>
          </w:tcPr>
          <w:p w14:paraId="176950C6" w14:textId="01F06FE3" w:rsidR="004940DB" w:rsidRPr="00252CA0" w:rsidRDefault="004940DB" w:rsidP="004940DB">
            <w:pPr>
              <w:tabs>
                <w:tab w:val="right" w:pos="1202"/>
              </w:tabs>
              <w:suppressAutoHyphens/>
              <w:autoSpaceDN w:val="0"/>
              <w:jc w:val="right"/>
              <w:outlineLvl w:val="0"/>
              <w:rPr>
                <w:rFonts w:ascii="Arial" w:eastAsia="Times New Roman" w:hAnsi="Arial" w:cs="Arial"/>
                <w:color w:val="000000" w:themeColor="text1"/>
                <w:sz w:val="20"/>
                <w:szCs w:val="20"/>
              </w:rPr>
            </w:pPr>
            <w:r w:rsidRPr="00252CA0">
              <w:rPr>
                <w:rFonts w:ascii="Arial" w:hAnsi="Arial" w:cs="Arial"/>
                <w:sz w:val="20"/>
                <w:szCs w:val="20"/>
              </w:rPr>
              <w:t>6.416</w:t>
            </w:r>
          </w:p>
        </w:tc>
        <w:tc>
          <w:tcPr>
            <w:tcW w:w="887" w:type="pct"/>
            <w:tcBorders>
              <w:top w:val="nil"/>
              <w:left w:val="nil"/>
              <w:bottom w:val="nil"/>
              <w:right w:val="nil"/>
            </w:tcBorders>
            <w:shd w:val="clear" w:color="auto" w:fill="auto"/>
            <w:vAlign w:val="bottom"/>
          </w:tcPr>
          <w:p w14:paraId="3E4C6930" w14:textId="127811AE" w:rsidR="004940DB" w:rsidRPr="005C2756" w:rsidRDefault="004940DB" w:rsidP="004940DB">
            <w:pPr>
              <w:tabs>
                <w:tab w:val="right" w:pos="1202"/>
              </w:tabs>
              <w:suppressAutoHyphens/>
              <w:autoSpaceDN w:val="0"/>
              <w:jc w:val="right"/>
              <w:outlineLvl w:val="0"/>
              <w:rPr>
                <w:rFonts w:ascii="Arial" w:eastAsia="Times New Roman" w:hAnsi="Arial" w:cs="Arial"/>
                <w:color w:val="000000" w:themeColor="text1"/>
                <w:sz w:val="20"/>
                <w:szCs w:val="20"/>
              </w:rPr>
            </w:pPr>
            <w:r w:rsidRPr="00A428C3">
              <w:rPr>
                <w:rFonts w:ascii="Arial" w:hAnsi="Arial" w:cs="Arial"/>
                <w:color w:val="000000" w:themeColor="text1"/>
                <w:sz w:val="20"/>
              </w:rPr>
              <w:t>24.385</w:t>
            </w:r>
          </w:p>
        </w:tc>
      </w:tr>
      <w:tr w:rsidR="004940DB" w:rsidRPr="005C2756" w14:paraId="5377C70D" w14:textId="77777777" w:rsidTr="00CF6F6E">
        <w:trPr>
          <w:trHeight w:val="120"/>
        </w:trPr>
        <w:tc>
          <w:tcPr>
            <w:tcW w:w="3226" w:type="pct"/>
            <w:vAlign w:val="bottom"/>
          </w:tcPr>
          <w:p w14:paraId="13DB789C" w14:textId="0F257EF6" w:rsidR="004940DB" w:rsidRPr="005C2756" w:rsidRDefault="004940DB" w:rsidP="004940DB">
            <w:pPr>
              <w:tabs>
                <w:tab w:val="right" w:pos="1202"/>
              </w:tabs>
              <w:suppressAutoHyphens/>
              <w:autoSpaceDN w:val="0"/>
              <w:spacing w:line="301" w:lineRule="exact"/>
              <w:outlineLvl w:val="0"/>
              <w:rPr>
                <w:rFonts w:ascii="Arial" w:eastAsia="Times New Roman" w:hAnsi="Arial" w:cs="Arial"/>
                <w:color w:val="000000" w:themeColor="text1"/>
                <w:spacing w:val="-2"/>
                <w:sz w:val="20"/>
                <w:szCs w:val="20"/>
              </w:rPr>
            </w:pPr>
            <w:bookmarkStart w:id="444" w:name="_Toc67328702"/>
            <w:r w:rsidRPr="005C2756">
              <w:rPr>
                <w:rFonts w:ascii="Arial" w:eastAsia="Times New Roman" w:hAnsi="Arial" w:cs="Arial"/>
                <w:color w:val="000000" w:themeColor="text1"/>
                <w:spacing w:val="-2"/>
                <w:sz w:val="20"/>
                <w:szCs w:val="20"/>
              </w:rPr>
              <w:t>Namjenski računi trgovačkih društava</w:t>
            </w:r>
            <w:bookmarkEnd w:id="444"/>
            <w:r w:rsidRPr="005C2756">
              <w:rPr>
                <w:rFonts w:ascii="Arial" w:eastAsia="Times New Roman" w:hAnsi="Arial" w:cs="Arial"/>
                <w:color w:val="000000" w:themeColor="text1"/>
                <w:spacing w:val="-2"/>
                <w:sz w:val="20"/>
                <w:szCs w:val="20"/>
              </w:rPr>
              <w:t xml:space="preserve"> </w:t>
            </w:r>
          </w:p>
        </w:tc>
        <w:tc>
          <w:tcPr>
            <w:tcW w:w="887" w:type="pct"/>
            <w:tcBorders>
              <w:top w:val="nil"/>
              <w:left w:val="nil"/>
              <w:bottom w:val="nil"/>
              <w:right w:val="nil"/>
            </w:tcBorders>
            <w:shd w:val="clear" w:color="auto" w:fill="auto"/>
            <w:vAlign w:val="bottom"/>
          </w:tcPr>
          <w:p w14:paraId="65AEA7CD" w14:textId="00010B3F" w:rsidR="004940DB" w:rsidRPr="00252CA0" w:rsidRDefault="004940DB" w:rsidP="004940DB">
            <w:pPr>
              <w:tabs>
                <w:tab w:val="right" w:pos="1202"/>
              </w:tabs>
              <w:suppressAutoHyphens/>
              <w:autoSpaceDN w:val="0"/>
              <w:jc w:val="right"/>
              <w:outlineLvl w:val="0"/>
              <w:rPr>
                <w:rFonts w:ascii="Arial" w:eastAsia="Times New Roman" w:hAnsi="Arial" w:cs="Arial"/>
                <w:color w:val="000000" w:themeColor="text1"/>
                <w:sz w:val="20"/>
                <w:szCs w:val="20"/>
              </w:rPr>
            </w:pPr>
            <w:r w:rsidRPr="00252CA0">
              <w:rPr>
                <w:rFonts w:ascii="Arial" w:hAnsi="Arial" w:cs="Arial"/>
                <w:sz w:val="20"/>
                <w:szCs w:val="20"/>
              </w:rPr>
              <w:t>12.461</w:t>
            </w:r>
          </w:p>
        </w:tc>
        <w:tc>
          <w:tcPr>
            <w:tcW w:w="887" w:type="pct"/>
            <w:tcBorders>
              <w:top w:val="nil"/>
              <w:left w:val="nil"/>
              <w:bottom w:val="nil"/>
              <w:right w:val="nil"/>
            </w:tcBorders>
            <w:shd w:val="clear" w:color="auto" w:fill="auto"/>
            <w:vAlign w:val="bottom"/>
          </w:tcPr>
          <w:p w14:paraId="786846F9" w14:textId="234AF7CF" w:rsidR="004940DB" w:rsidRPr="005C2756" w:rsidRDefault="004940DB" w:rsidP="004940DB">
            <w:pPr>
              <w:tabs>
                <w:tab w:val="right" w:pos="1202"/>
              </w:tabs>
              <w:suppressAutoHyphens/>
              <w:autoSpaceDN w:val="0"/>
              <w:jc w:val="right"/>
              <w:outlineLvl w:val="0"/>
              <w:rPr>
                <w:rFonts w:ascii="Arial" w:eastAsia="Times New Roman" w:hAnsi="Arial" w:cs="Arial"/>
                <w:color w:val="000000" w:themeColor="text1"/>
                <w:sz w:val="20"/>
                <w:szCs w:val="20"/>
              </w:rPr>
            </w:pPr>
            <w:r w:rsidRPr="00A428C3">
              <w:rPr>
                <w:rFonts w:ascii="Arial" w:hAnsi="Arial" w:cs="Arial"/>
                <w:color w:val="000000" w:themeColor="text1"/>
                <w:sz w:val="20"/>
              </w:rPr>
              <w:t>28.238</w:t>
            </w:r>
          </w:p>
        </w:tc>
      </w:tr>
      <w:tr w:rsidR="001B510F" w:rsidRPr="005C2756" w14:paraId="28AD7B11" w14:textId="77777777" w:rsidTr="00CF6F6E">
        <w:trPr>
          <w:trHeight w:val="120"/>
        </w:trPr>
        <w:tc>
          <w:tcPr>
            <w:tcW w:w="3226" w:type="pct"/>
            <w:vAlign w:val="bottom"/>
          </w:tcPr>
          <w:p w14:paraId="4677B05A" w14:textId="7BBFEF3A" w:rsidR="001B510F" w:rsidRPr="005C2756" w:rsidRDefault="001B510F" w:rsidP="001B510F">
            <w:pPr>
              <w:tabs>
                <w:tab w:val="right" w:pos="1202"/>
              </w:tabs>
              <w:suppressAutoHyphens/>
              <w:autoSpaceDN w:val="0"/>
              <w:spacing w:line="301" w:lineRule="exact"/>
              <w:outlineLvl w:val="0"/>
              <w:rPr>
                <w:rFonts w:ascii="Arial" w:eastAsia="Times New Roman" w:hAnsi="Arial" w:cs="Arial"/>
                <w:color w:val="000000" w:themeColor="text1"/>
                <w:spacing w:val="-2"/>
                <w:sz w:val="20"/>
                <w:szCs w:val="20"/>
              </w:rPr>
            </w:pPr>
            <w:bookmarkStart w:id="445" w:name="_Toc67328704"/>
            <w:r w:rsidRPr="005C2756">
              <w:rPr>
                <w:rFonts w:ascii="Arial" w:eastAsia="Times New Roman" w:hAnsi="Arial" w:cs="Arial"/>
                <w:color w:val="000000" w:themeColor="text1"/>
                <w:spacing w:val="-2"/>
                <w:sz w:val="20"/>
                <w:szCs w:val="20"/>
              </w:rPr>
              <w:t>Posebni računi stranih financijskih institucija</w:t>
            </w:r>
            <w:bookmarkEnd w:id="445"/>
          </w:p>
        </w:tc>
        <w:tc>
          <w:tcPr>
            <w:tcW w:w="887" w:type="pct"/>
            <w:tcBorders>
              <w:top w:val="nil"/>
              <w:left w:val="nil"/>
              <w:bottom w:val="nil"/>
              <w:right w:val="nil"/>
            </w:tcBorders>
            <w:shd w:val="clear" w:color="auto" w:fill="auto"/>
            <w:vAlign w:val="bottom"/>
          </w:tcPr>
          <w:p w14:paraId="78B54AF4" w14:textId="3116900C" w:rsidR="001B510F" w:rsidRPr="00252CA0" w:rsidRDefault="00252CA0" w:rsidP="001B510F">
            <w:pPr>
              <w:tabs>
                <w:tab w:val="right" w:pos="1202"/>
              </w:tabs>
              <w:suppressAutoHyphens/>
              <w:autoSpaceDN w:val="0"/>
              <w:jc w:val="right"/>
              <w:outlineLvl w:val="0"/>
              <w:rPr>
                <w:rFonts w:ascii="Arial" w:eastAsia="Times New Roman" w:hAnsi="Arial" w:cs="Arial"/>
                <w:color w:val="000000" w:themeColor="text1"/>
                <w:sz w:val="20"/>
                <w:szCs w:val="20"/>
              </w:rPr>
            </w:pPr>
            <w:r w:rsidRPr="00252CA0">
              <w:rPr>
                <w:rFonts w:ascii="Arial" w:eastAsia="Times New Roman" w:hAnsi="Arial" w:cs="Arial"/>
                <w:color w:val="000000" w:themeColor="text1"/>
                <w:sz w:val="20"/>
                <w:szCs w:val="20"/>
              </w:rPr>
              <w:t>-</w:t>
            </w:r>
          </w:p>
        </w:tc>
        <w:tc>
          <w:tcPr>
            <w:tcW w:w="887" w:type="pct"/>
            <w:tcBorders>
              <w:top w:val="nil"/>
              <w:left w:val="nil"/>
              <w:bottom w:val="nil"/>
              <w:right w:val="nil"/>
            </w:tcBorders>
            <w:shd w:val="clear" w:color="auto" w:fill="auto"/>
            <w:vAlign w:val="bottom"/>
          </w:tcPr>
          <w:p w14:paraId="5E095FCF" w14:textId="0E119180" w:rsidR="001B510F" w:rsidRPr="005C2756" w:rsidRDefault="001B510F" w:rsidP="001B510F">
            <w:pPr>
              <w:tabs>
                <w:tab w:val="right" w:pos="1202"/>
              </w:tabs>
              <w:suppressAutoHyphens/>
              <w:autoSpaceDN w:val="0"/>
              <w:jc w:val="right"/>
              <w:outlineLvl w:val="0"/>
              <w:rPr>
                <w:rFonts w:ascii="Arial" w:eastAsia="Times New Roman" w:hAnsi="Arial" w:cs="Arial"/>
                <w:color w:val="000000" w:themeColor="text1"/>
                <w:sz w:val="20"/>
                <w:szCs w:val="20"/>
              </w:rPr>
            </w:pPr>
            <w:r w:rsidRPr="00A428C3">
              <w:rPr>
                <w:rFonts w:ascii="Arial" w:hAnsi="Arial" w:cs="Arial"/>
                <w:color w:val="000000" w:themeColor="text1"/>
                <w:sz w:val="20"/>
              </w:rPr>
              <w:t>2</w:t>
            </w:r>
          </w:p>
        </w:tc>
      </w:tr>
      <w:tr w:rsidR="001B510F" w:rsidRPr="005C2756" w14:paraId="746C5C41" w14:textId="77777777" w:rsidTr="00CF6F6E">
        <w:trPr>
          <w:trHeight w:val="120"/>
        </w:trPr>
        <w:tc>
          <w:tcPr>
            <w:tcW w:w="3226" w:type="pct"/>
            <w:vAlign w:val="bottom"/>
          </w:tcPr>
          <w:p w14:paraId="2257001D" w14:textId="2A01B234" w:rsidR="001B510F" w:rsidRPr="005C2756" w:rsidRDefault="001B510F" w:rsidP="001B510F">
            <w:pPr>
              <w:tabs>
                <w:tab w:val="right" w:pos="1202"/>
              </w:tabs>
              <w:suppressAutoHyphens/>
              <w:autoSpaceDN w:val="0"/>
              <w:spacing w:line="301" w:lineRule="exact"/>
              <w:outlineLvl w:val="0"/>
              <w:rPr>
                <w:rFonts w:ascii="Arial" w:eastAsia="Times New Roman" w:hAnsi="Arial" w:cs="Arial"/>
                <w:b/>
                <w:color w:val="000000" w:themeColor="text1"/>
                <w:spacing w:val="-2"/>
                <w:sz w:val="20"/>
                <w:szCs w:val="20"/>
              </w:rPr>
            </w:pPr>
            <w:bookmarkStart w:id="446" w:name="_Toc67328706"/>
            <w:r w:rsidRPr="005C2756">
              <w:rPr>
                <w:rFonts w:ascii="Arial" w:eastAsia="Times New Roman" w:hAnsi="Arial" w:cs="Arial"/>
                <w:color w:val="000000" w:themeColor="text1"/>
                <w:spacing w:val="-2"/>
                <w:sz w:val="20"/>
                <w:szCs w:val="20"/>
              </w:rPr>
              <w:t>Depoziti državnih institucija</w:t>
            </w:r>
            <w:bookmarkEnd w:id="446"/>
          </w:p>
        </w:tc>
        <w:tc>
          <w:tcPr>
            <w:tcW w:w="887" w:type="pct"/>
            <w:tcBorders>
              <w:top w:val="nil"/>
              <w:left w:val="nil"/>
              <w:bottom w:val="nil"/>
              <w:right w:val="nil"/>
            </w:tcBorders>
            <w:shd w:val="clear" w:color="auto" w:fill="auto"/>
            <w:vAlign w:val="bottom"/>
          </w:tcPr>
          <w:p w14:paraId="7EAC1034" w14:textId="64AE86AD" w:rsidR="001B510F" w:rsidRPr="00252CA0" w:rsidRDefault="004940DB" w:rsidP="001B510F">
            <w:pPr>
              <w:tabs>
                <w:tab w:val="right" w:pos="1202"/>
              </w:tabs>
              <w:suppressAutoHyphens/>
              <w:autoSpaceDN w:val="0"/>
              <w:jc w:val="right"/>
              <w:outlineLvl w:val="0"/>
              <w:rPr>
                <w:rFonts w:ascii="Arial" w:eastAsia="Times New Roman" w:hAnsi="Arial" w:cs="Arial"/>
                <w:color w:val="000000" w:themeColor="text1"/>
                <w:sz w:val="20"/>
                <w:szCs w:val="20"/>
              </w:rPr>
            </w:pPr>
            <w:r w:rsidRPr="00252CA0">
              <w:rPr>
                <w:rFonts w:ascii="Arial" w:eastAsia="Times New Roman" w:hAnsi="Arial" w:cs="Arial"/>
                <w:color w:val="000000" w:themeColor="text1"/>
                <w:sz w:val="20"/>
                <w:szCs w:val="20"/>
              </w:rPr>
              <w:t>46.215</w:t>
            </w:r>
          </w:p>
        </w:tc>
        <w:tc>
          <w:tcPr>
            <w:tcW w:w="887" w:type="pct"/>
            <w:tcBorders>
              <w:top w:val="nil"/>
              <w:left w:val="nil"/>
              <w:bottom w:val="nil"/>
              <w:right w:val="nil"/>
            </w:tcBorders>
            <w:shd w:val="clear" w:color="auto" w:fill="auto"/>
            <w:vAlign w:val="bottom"/>
          </w:tcPr>
          <w:p w14:paraId="29F69985" w14:textId="5307920C" w:rsidR="001B510F" w:rsidRPr="005C2756" w:rsidRDefault="001B510F" w:rsidP="001B510F">
            <w:pPr>
              <w:tabs>
                <w:tab w:val="right" w:pos="1202"/>
              </w:tabs>
              <w:suppressAutoHyphens/>
              <w:autoSpaceDN w:val="0"/>
              <w:jc w:val="right"/>
              <w:outlineLvl w:val="0"/>
              <w:rPr>
                <w:rFonts w:ascii="Arial" w:eastAsia="Times New Roman" w:hAnsi="Arial" w:cs="Arial"/>
                <w:color w:val="000000" w:themeColor="text1"/>
                <w:sz w:val="20"/>
                <w:szCs w:val="20"/>
              </w:rPr>
            </w:pPr>
            <w:r w:rsidRPr="00A428C3">
              <w:rPr>
                <w:rFonts w:ascii="Arial" w:hAnsi="Arial" w:cs="Arial"/>
                <w:color w:val="000000" w:themeColor="text1"/>
                <w:sz w:val="20"/>
              </w:rPr>
              <w:t>64.349</w:t>
            </w:r>
          </w:p>
        </w:tc>
      </w:tr>
      <w:tr w:rsidR="001B510F" w:rsidRPr="005C2756" w14:paraId="4C4D0F94" w14:textId="77777777" w:rsidTr="00CF6F6E">
        <w:trPr>
          <w:trHeight w:val="120"/>
        </w:trPr>
        <w:tc>
          <w:tcPr>
            <w:tcW w:w="3226" w:type="pct"/>
            <w:vAlign w:val="bottom"/>
          </w:tcPr>
          <w:p w14:paraId="7C1C1AC0" w14:textId="2B07E541" w:rsidR="001B510F" w:rsidRPr="005C2756" w:rsidRDefault="001B510F" w:rsidP="001B510F">
            <w:pPr>
              <w:tabs>
                <w:tab w:val="right" w:pos="1202"/>
              </w:tabs>
              <w:suppressAutoHyphens/>
              <w:autoSpaceDN w:val="0"/>
              <w:spacing w:line="301" w:lineRule="exact"/>
              <w:outlineLvl w:val="0"/>
              <w:rPr>
                <w:rFonts w:ascii="Arial" w:eastAsia="Times New Roman" w:hAnsi="Arial" w:cs="Arial"/>
                <w:color w:val="000000" w:themeColor="text1"/>
                <w:spacing w:val="-2"/>
                <w:sz w:val="20"/>
                <w:szCs w:val="20"/>
              </w:rPr>
            </w:pPr>
            <w:bookmarkStart w:id="447" w:name="_Toc67328708"/>
            <w:r w:rsidRPr="005C2756">
              <w:rPr>
                <w:rFonts w:ascii="Arial" w:eastAsia="Times New Roman" w:hAnsi="Arial" w:cs="Arial"/>
                <w:color w:val="000000" w:themeColor="text1"/>
                <w:spacing w:val="-2"/>
                <w:sz w:val="20"/>
                <w:szCs w:val="20"/>
              </w:rPr>
              <w:t>Ostali depoziti</w:t>
            </w:r>
            <w:bookmarkEnd w:id="447"/>
          </w:p>
        </w:tc>
        <w:tc>
          <w:tcPr>
            <w:tcW w:w="887" w:type="pct"/>
            <w:tcBorders>
              <w:top w:val="nil"/>
              <w:left w:val="nil"/>
              <w:bottom w:val="single" w:sz="4" w:space="0" w:color="auto"/>
              <w:right w:val="nil"/>
            </w:tcBorders>
            <w:shd w:val="clear" w:color="auto" w:fill="auto"/>
            <w:vAlign w:val="bottom"/>
          </w:tcPr>
          <w:p w14:paraId="5D3B42BE" w14:textId="1A20A245" w:rsidR="001B510F" w:rsidRPr="00252CA0" w:rsidRDefault="009D0124" w:rsidP="001B510F">
            <w:pPr>
              <w:tabs>
                <w:tab w:val="right" w:pos="1202"/>
              </w:tabs>
              <w:suppressAutoHyphens/>
              <w:autoSpaceDN w:val="0"/>
              <w:jc w:val="right"/>
              <w:outlineLvl w:val="0"/>
              <w:rPr>
                <w:rFonts w:ascii="Arial" w:eastAsia="Times New Roman" w:hAnsi="Arial" w:cs="Arial"/>
                <w:color w:val="000000" w:themeColor="text1"/>
                <w:sz w:val="20"/>
                <w:szCs w:val="20"/>
              </w:rPr>
            </w:pPr>
            <w:r w:rsidRPr="00252CA0">
              <w:rPr>
                <w:rFonts w:ascii="Arial" w:eastAsia="Times New Roman" w:hAnsi="Arial" w:cs="Arial"/>
                <w:color w:val="000000" w:themeColor="text1"/>
                <w:sz w:val="20"/>
                <w:szCs w:val="20"/>
              </w:rPr>
              <w:t>60.742</w:t>
            </w:r>
          </w:p>
        </w:tc>
        <w:tc>
          <w:tcPr>
            <w:tcW w:w="887" w:type="pct"/>
            <w:tcBorders>
              <w:top w:val="nil"/>
              <w:left w:val="nil"/>
              <w:bottom w:val="single" w:sz="4" w:space="0" w:color="auto"/>
              <w:right w:val="nil"/>
            </w:tcBorders>
            <w:shd w:val="clear" w:color="auto" w:fill="auto"/>
            <w:vAlign w:val="bottom"/>
          </w:tcPr>
          <w:p w14:paraId="457C4AC4" w14:textId="647AB930" w:rsidR="001B510F" w:rsidRPr="005C2756" w:rsidRDefault="001B510F" w:rsidP="001B510F">
            <w:pPr>
              <w:tabs>
                <w:tab w:val="right" w:pos="1202"/>
              </w:tabs>
              <w:suppressAutoHyphens/>
              <w:autoSpaceDN w:val="0"/>
              <w:jc w:val="right"/>
              <w:outlineLvl w:val="0"/>
              <w:rPr>
                <w:rFonts w:ascii="Arial" w:eastAsia="Times New Roman" w:hAnsi="Arial" w:cs="Arial"/>
                <w:color w:val="000000" w:themeColor="text1"/>
                <w:sz w:val="20"/>
                <w:szCs w:val="20"/>
              </w:rPr>
            </w:pPr>
            <w:r w:rsidRPr="00A428C3">
              <w:rPr>
                <w:rFonts w:ascii="Arial" w:hAnsi="Arial" w:cs="Arial"/>
                <w:color w:val="000000" w:themeColor="text1"/>
                <w:sz w:val="20"/>
              </w:rPr>
              <w:t>21.307</w:t>
            </w:r>
          </w:p>
        </w:tc>
      </w:tr>
      <w:tr w:rsidR="001B510F" w:rsidRPr="005C2756" w14:paraId="69E81838" w14:textId="77777777" w:rsidTr="00CF6F6E">
        <w:trPr>
          <w:trHeight w:val="120"/>
        </w:trPr>
        <w:tc>
          <w:tcPr>
            <w:tcW w:w="3226" w:type="pct"/>
            <w:vAlign w:val="bottom"/>
          </w:tcPr>
          <w:p w14:paraId="435B7A74" w14:textId="77777777" w:rsidR="001B510F" w:rsidRPr="005C2756" w:rsidRDefault="001B510F" w:rsidP="001B510F">
            <w:pPr>
              <w:tabs>
                <w:tab w:val="right" w:pos="1202"/>
              </w:tabs>
              <w:suppressAutoHyphens/>
              <w:autoSpaceDN w:val="0"/>
              <w:spacing w:line="301" w:lineRule="exact"/>
              <w:outlineLvl w:val="0"/>
              <w:rPr>
                <w:rFonts w:ascii="Arial" w:eastAsia="Times New Roman" w:hAnsi="Arial" w:cs="Arial"/>
                <w:color w:val="000000" w:themeColor="text1"/>
                <w:spacing w:val="-2"/>
                <w:sz w:val="20"/>
                <w:szCs w:val="20"/>
              </w:rPr>
            </w:pPr>
          </w:p>
        </w:tc>
        <w:tc>
          <w:tcPr>
            <w:tcW w:w="887" w:type="pct"/>
            <w:tcBorders>
              <w:top w:val="nil"/>
              <w:left w:val="nil"/>
              <w:bottom w:val="single" w:sz="4" w:space="0" w:color="auto"/>
              <w:right w:val="nil"/>
            </w:tcBorders>
            <w:shd w:val="clear" w:color="auto" w:fill="auto"/>
            <w:vAlign w:val="bottom"/>
          </w:tcPr>
          <w:p w14:paraId="27759E3E" w14:textId="1F5C1CA8" w:rsidR="001B510F" w:rsidRPr="00252CA0" w:rsidRDefault="009D0124" w:rsidP="001B510F">
            <w:pPr>
              <w:suppressAutoHyphens/>
              <w:autoSpaceDN w:val="0"/>
              <w:jc w:val="right"/>
              <w:rPr>
                <w:rFonts w:ascii="Arial" w:eastAsia="Times New Roman" w:hAnsi="Arial" w:cs="Arial"/>
                <w:color w:val="000000" w:themeColor="text1"/>
                <w:sz w:val="20"/>
                <w:szCs w:val="20"/>
              </w:rPr>
            </w:pPr>
            <w:r w:rsidRPr="00252CA0">
              <w:rPr>
                <w:rFonts w:ascii="Arial" w:eastAsia="Times New Roman" w:hAnsi="Arial" w:cs="Arial"/>
                <w:color w:val="000000" w:themeColor="text1"/>
                <w:sz w:val="20"/>
                <w:szCs w:val="20"/>
              </w:rPr>
              <w:t>222.730</w:t>
            </w:r>
          </w:p>
        </w:tc>
        <w:tc>
          <w:tcPr>
            <w:tcW w:w="887" w:type="pct"/>
            <w:tcBorders>
              <w:top w:val="nil"/>
              <w:left w:val="nil"/>
              <w:bottom w:val="single" w:sz="4" w:space="0" w:color="auto"/>
              <w:right w:val="nil"/>
            </w:tcBorders>
            <w:shd w:val="clear" w:color="auto" w:fill="auto"/>
            <w:vAlign w:val="bottom"/>
          </w:tcPr>
          <w:p w14:paraId="66446BCA" w14:textId="531F56AE" w:rsidR="001B510F" w:rsidRPr="005C2756" w:rsidRDefault="001B510F" w:rsidP="001B510F">
            <w:pPr>
              <w:tabs>
                <w:tab w:val="right" w:pos="1202"/>
              </w:tabs>
              <w:suppressAutoHyphens/>
              <w:autoSpaceDN w:val="0"/>
              <w:jc w:val="right"/>
              <w:outlineLvl w:val="0"/>
              <w:rPr>
                <w:rFonts w:ascii="Arial" w:eastAsia="Times New Roman" w:hAnsi="Arial" w:cs="Arial"/>
                <w:color w:val="000000" w:themeColor="text1"/>
                <w:sz w:val="20"/>
                <w:szCs w:val="20"/>
              </w:rPr>
            </w:pPr>
            <w:r w:rsidRPr="00A428C3">
              <w:rPr>
                <w:rFonts w:ascii="Arial" w:hAnsi="Arial" w:cs="Arial"/>
                <w:color w:val="000000" w:themeColor="text1"/>
                <w:sz w:val="20"/>
                <w:szCs w:val="20"/>
              </w:rPr>
              <w:t>194.784</w:t>
            </w:r>
          </w:p>
        </w:tc>
      </w:tr>
      <w:tr w:rsidR="001B510F" w:rsidRPr="005C2756" w14:paraId="25A7B747" w14:textId="77777777" w:rsidTr="00CF6F6E">
        <w:trPr>
          <w:trHeight w:val="120"/>
        </w:trPr>
        <w:tc>
          <w:tcPr>
            <w:tcW w:w="3226" w:type="pct"/>
            <w:vAlign w:val="bottom"/>
          </w:tcPr>
          <w:p w14:paraId="07F61582" w14:textId="77777777" w:rsidR="001B510F" w:rsidRPr="005C2756" w:rsidRDefault="001B510F" w:rsidP="001B510F">
            <w:pPr>
              <w:tabs>
                <w:tab w:val="right" w:pos="1202"/>
              </w:tabs>
              <w:suppressAutoHyphens/>
              <w:autoSpaceDN w:val="0"/>
              <w:spacing w:line="301" w:lineRule="exact"/>
              <w:outlineLvl w:val="0"/>
              <w:rPr>
                <w:rFonts w:ascii="Arial" w:eastAsia="Times New Roman" w:hAnsi="Arial" w:cs="Arial"/>
                <w:color w:val="000000" w:themeColor="text1"/>
                <w:spacing w:val="-2"/>
                <w:sz w:val="20"/>
                <w:szCs w:val="20"/>
              </w:rPr>
            </w:pPr>
            <w:r w:rsidRPr="005C2756">
              <w:rPr>
                <w:rFonts w:ascii="Arial" w:eastAsia="Times New Roman" w:hAnsi="Arial" w:cs="Arial"/>
                <w:color w:val="000000" w:themeColor="text1"/>
                <w:spacing w:val="-2"/>
                <w:sz w:val="20"/>
                <w:szCs w:val="20"/>
              </w:rPr>
              <w:t>Obračunata kamata</w:t>
            </w:r>
          </w:p>
        </w:tc>
        <w:tc>
          <w:tcPr>
            <w:tcW w:w="887" w:type="pct"/>
            <w:tcBorders>
              <w:top w:val="nil"/>
              <w:left w:val="nil"/>
              <w:bottom w:val="single" w:sz="4" w:space="0" w:color="auto"/>
              <w:right w:val="nil"/>
            </w:tcBorders>
            <w:shd w:val="clear" w:color="auto" w:fill="auto"/>
            <w:vAlign w:val="bottom"/>
          </w:tcPr>
          <w:p w14:paraId="06A3C4B1" w14:textId="6DE70E64" w:rsidR="001B510F" w:rsidRPr="00252CA0" w:rsidRDefault="009D0124" w:rsidP="001B510F">
            <w:pPr>
              <w:suppressAutoHyphens/>
              <w:autoSpaceDN w:val="0"/>
              <w:jc w:val="right"/>
              <w:rPr>
                <w:rFonts w:ascii="Arial" w:eastAsia="Times New Roman" w:hAnsi="Arial" w:cs="Arial"/>
                <w:color w:val="000000" w:themeColor="text1"/>
                <w:sz w:val="20"/>
                <w:szCs w:val="20"/>
              </w:rPr>
            </w:pPr>
            <w:r w:rsidRPr="00252CA0">
              <w:rPr>
                <w:rFonts w:ascii="Arial" w:eastAsia="Times New Roman" w:hAnsi="Arial" w:cs="Arial"/>
                <w:color w:val="000000" w:themeColor="text1"/>
                <w:sz w:val="20"/>
                <w:szCs w:val="20"/>
              </w:rPr>
              <w:t>337</w:t>
            </w:r>
          </w:p>
        </w:tc>
        <w:tc>
          <w:tcPr>
            <w:tcW w:w="887" w:type="pct"/>
            <w:tcBorders>
              <w:top w:val="nil"/>
              <w:left w:val="nil"/>
              <w:bottom w:val="single" w:sz="4" w:space="0" w:color="auto"/>
              <w:right w:val="nil"/>
            </w:tcBorders>
            <w:shd w:val="clear" w:color="auto" w:fill="auto"/>
            <w:vAlign w:val="bottom"/>
          </w:tcPr>
          <w:p w14:paraId="53BD7113" w14:textId="744D2ECB" w:rsidR="001B510F" w:rsidRPr="005C2756" w:rsidRDefault="001B510F" w:rsidP="001B510F">
            <w:pPr>
              <w:tabs>
                <w:tab w:val="right" w:pos="1202"/>
              </w:tabs>
              <w:suppressAutoHyphens/>
              <w:autoSpaceDN w:val="0"/>
              <w:jc w:val="right"/>
              <w:outlineLvl w:val="0"/>
              <w:rPr>
                <w:rFonts w:ascii="Arial" w:eastAsia="Times New Roman" w:hAnsi="Arial" w:cs="Arial"/>
                <w:color w:val="000000" w:themeColor="text1"/>
                <w:sz w:val="20"/>
                <w:szCs w:val="20"/>
              </w:rPr>
            </w:pPr>
            <w:r w:rsidRPr="00A428C3">
              <w:rPr>
                <w:rFonts w:ascii="Arial" w:hAnsi="Arial" w:cs="Arial"/>
                <w:color w:val="000000" w:themeColor="text1"/>
                <w:sz w:val="20"/>
                <w:szCs w:val="20"/>
              </w:rPr>
              <w:t>92</w:t>
            </w:r>
          </w:p>
        </w:tc>
      </w:tr>
      <w:tr w:rsidR="001B510F" w:rsidRPr="005C2756" w14:paraId="162E3A1F" w14:textId="77777777" w:rsidTr="00CF6F6E">
        <w:trPr>
          <w:trHeight w:val="120"/>
        </w:trPr>
        <w:tc>
          <w:tcPr>
            <w:tcW w:w="3226" w:type="pct"/>
            <w:vAlign w:val="bottom"/>
          </w:tcPr>
          <w:p w14:paraId="2E2EDC4F" w14:textId="77777777" w:rsidR="001B510F" w:rsidRPr="005C2756" w:rsidRDefault="001B510F" w:rsidP="001B510F">
            <w:pPr>
              <w:tabs>
                <w:tab w:val="right" w:pos="1202"/>
              </w:tabs>
              <w:suppressAutoHyphens/>
              <w:autoSpaceDN w:val="0"/>
              <w:spacing w:line="340" w:lineRule="exact"/>
              <w:outlineLvl w:val="0"/>
              <w:rPr>
                <w:rFonts w:ascii="Arial" w:eastAsia="Times New Roman" w:hAnsi="Arial" w:cs="Arial"/>
                <w:b/>
                <w:bCs/>
                <w:color w:val="000000" w:themeColor="text1"/>
                <w:sz w:val="20"/>
                <w:szCs w:val="20"/>
              </w:rPr>
            </w:pPr>
          </w:p>
        </w:tc>
        <w:tc>
          <w:tcPr>
            <w:tcW w:w="887" w:type="pct"/>
            <w:tcBorders>
              <w:top w:val="single" w:sz="4" w:space="0" w:color="auto"/>
              <w:bottom w:val="single" w:sz="12" w:space="0" w:color="auto"/>
            </w:tcBorders>
            <w:vAlign w:val="bottom"/>
          </w:tcPr>
          <w:p w14:paraId="56C6A168" w14:textId="1B44A6CA" w:rsidR="001B510F" w:rsidRPr="00252CA0" w:rsidRDefault="009D0124" w:rsidP="001B510F">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252CA0">
              <w:rPr>
                <w:rFonts w:ascii="Arial" w:eastAsia="Times New Roman" w:hAnsi="Arial" w:cs="Arial"/>
                <w:b/>
                <w:bCs/>
                <w:color w:val="000000" w:themeColor="text1"/>
                <w:sz w:val="20"/>
                <w:szCs w:val="20"/>
              </w:rPr>
              <w:t>223.067</w:t>
            </w:r>
          </w:p>
        </w:tc>
        <w:tc>
          <w:tcPr>
            <w:tcW w:w="887" w:type="pct"/>
            <w:tcBorders>
              <w:top w:val="single" w:sz="4" w:space="0" w:color="auto"/>
              <w:bottom w:val="single" w:sz="12" w:space="0" w:color="auto"/>
            </w:tcBorders>
            <w:vAlign w:val="bottom"/>
          </w:tcPr>
          <w:p w14:paraId="1D2B0367" w14:textId="50091CED" w:rsidR="001B510F" w:rsidRPr="005C2756" w:rsidRDefault="001B510F" w:rsidP="001B510F">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A428C3">
              <w:rPr>
                <w:rFonts w:ascii="Arial" w:hAnsi="Arial" w:cs="Arial"/>
                <w:b/>
                <w:bCs/>
                <w:color w:val="000000" w:themeColor="text1"/>
                <w:sz w:val="20"/>
              </w:rPr>
              <w:t>194.876</w:t>
            </w:r>
          </w:p>
        </w:tc>
      </w:tr>
    </w:tbl>
    <w:p w14:paraId="0678777B" w14:textId="77777777" w:rsidR="00FC2BEF" w:rsidRPr="003D1614" w:rsidRDefault="00FC2BEF" w:rsidP="00FC2BEF">
      <w:pPr>
        <w:suppressAutoHyphens/>
        <w:autoSpaceDN w:val="0"/>
        <w:jc w:val="both"/>
        <w:outlineLvl w:val="0"/>
        <w:rPr>
          <w:rFonts w:ascii="Arial" w:eastAsia="Times New Roman" w:hAnsi="Arial" w:cs="Arial"/>
          <w:color w:val="000000" w:themeColor="text1"/>
          <w:sz w:val="20"/>
          <w:szCs w:val="20"/>
        </w:rPr>
      </w:pPr>
    </w:p>
    <w:p w14:paraId="3B78548F" w14:textId="6D440CDC" w:rsidR="006D5802" w:rsidRPr="00905DBA" w:rsidRDefault="006D5802" w:rsidP="006D5802">
      <w:pPr>
        <w:jc w:val="both"/>
        <w:rPr>
          <w:rFonts w:ascii="Arial" w:eastAsia="Times New Roman" w:hAnsi="Arial" w:cs="Arial"/>
          <w:sz w:val="20"/>
          <w:szCs w:val="20"/>
          <w:lang w:eastAsia="hr-HR"/>
        </w:rPr>
      </w:pPr>
      <w:bookmarkStart w:id="448" w:name="_Hlk33016533"/>
      <w:r w:rsidRPr="006D5802">
        <w:rPr>
          <w:rFonts w:ascii="Arial" w:eastAsia="Times New Roman" w:hAnsi="Arial" w:cs="Arial"/>
          <w:sz w:val="20"/>
          <w:szCs w:val="20"/>
          <w:lang w:eastAsia="hr-HR"/>
        </w:rPr>
        <w:t xml:space="preserve">Depoziti banaka u izvještajnom razdoblju za 2024. godinu odnose se na loro depozite Erste&amp;Steiermarkische bank d.d. i Bulgarian Developmetnt Bank AD , dok su se na kraju 2023. godine odnosili na loro depozite Unicredit bank Austria </w:t>
      </w:r>
      <w:r w:rsidR="00905DBA" w:rsidRPr="00905DBA">
        <w:rPr>
          <w:rFonts w:ascii="Arial" w:eastAsia="Times New Roman" w:hAnsi="Arial" w:cs="Arial"/>
          <w:sz w:val="20"/>
          <w:szCs w:val="20"/>
          <w:lang w:eastAsia="hr-HR"/>
        </w:rPr>
        <w:t>AG</w:t>
      </w:r>
      <w:r w:rsidRPr="006D5802">
        <w:rPr>
          <w:rFonts w:ascii="Arial" w:eastAsia="Times New Roman" w:hAnsi="Arial" w:cs="Arial"/>
          <w:sz w:val="20"/>
          <w:szCs w:val="20"/>
          <w:lang w:eastAsia="hr-HR"/>
        </w:rPr>
        <w:t xml:space="preserve"> i Bulgarian Developmetnt Bank AD</w:t>
      </w:r>
      <w:r w:rsidR="00905DBA" w:rsidRPr="00905DBA">
        <w:rPr>
          <w:rFonts w:ascii="Arial" w:eastAsia="Times New Roman" w:hAnsi="Arial" w:cs="Arial"/>
          <w:sz w:val="20"/>
          <w:szCs w:val="20"/>
          <w:lang w:eastAsia="hr-HR"/>
        </w:rPr>
        <w:t>.</w:t>
      </w:r>
    </w:p>
    <w:p w14:paraId="5FF335AE" w14:textId="77777777" w:rsidR="00FC2BEF" w:rsidRPr="003D1614" w:rsidRDefault="00FC2BEF" w:rsidP="00FC2BEF">
      <w:pPr>
        <w:suppressAutoHyphens/>
        <w:autoSpaceDN w:val="0"/>
        <w:jc w:val="both"/>
        <w:outlineLvl w:val="0"/>
        <w:rPr>
          <w:rFonts w:ascii="Arial" w:eastAsia="Times New Roman" w:hAnsi="Arial" w:cs="Arial"/>
          <w:b/>
          <w:bCs/>
          <w:color w:val="000000" w:themeColor="text1"/>
          <w:sz w:val="20"/>
          <w:szCs w:val="20"/>
          <w:highlight w:val="yellow"/>
        </w:rPr>
      </w:pPr>
    </w:p>
    <w:bookmarkEnd w:id="448"/>
    <w:p w14:paraId="105F3BC4" w14:textId="72336730" w:rsidR="00FC2BEF" w:rsidRPr="003D1614" w:rsidRDefault="00AC6504" w:rsidP="00FC2BEF">
      <w:pPr>
        <w:suppressAutoHyphens/>
        <w:autoSpaceDN w:val="0"/>
        <w:jc w:val="both"/>
        <w:outlineLvl w:val="0"/>
        <w:rPr>
          <w:rFonts w:ascii="Arial" w:eastAsia="Times New Roman" w:hAnsi="Arial" w:cs="Arial"/>
          <w:color w:val="000000" w:themeColor="text1"/>
          <w:sz w:val="20"/>
          <w:szCs w:val="20"/>
          <w:highlight w:val="yellow"/>
        </w:rPr>
      </w:pPr>
      <w:r>
        <w:rPr>
          <w:rFonts w:ascii="Arial" w:eastAsia="Times New Roman" w:hAnsi="Arial" w:cs="Arial"/>
          <w:color w:val="000000" w:themeColor="text1"/>
          <w:sz w:val="20"/>
          <w:szCs w:val="20"/>
        </w:rPr>
        <w:t>Račun</w:t>
      </w:r>
      <w:r w:rsidR="00FC2BEF" w:rsidRPr="003D1614">
        <w:rPr>
          <w:rFonts w:ascii="Arial" w:eastAsia="Times New Roman" w:hAnsi="Arial" w:cs="Arial"/>
          <w:color w:val="000000" w:themeColor="text1"/>
          <w:sz w:val="20"/>
          <w:szCs w:val="20"/>
        </w:rPr>
        <w:t xml:space="preserve"> Ministarstva financija Republike Hrvatske odnosi se na sredstva garantnog fonda temeljem uplaćenih premija za reosigurane poslove po poslovima osiguranja izvoza u iznosu </w:t>
      </w:r>
      <w:r w:rsidR="00FC2BEF" w:rsidRPr="00617B8A">
        <w:rPr>
          <w:rFonts w:ascii="Arial" w:eastAsia="Times New Roman" w:hAnsi="Arial" w:cs="Arial"/>
          <w:color w:val="000000" w:themeColor="text1"/>
          <w:sz w:val="20"/>
          <w:szCs w:val="20"/>
        </w:rPr>
        <w:t>od</w:t>
      </w:r>
      <w:r w:rsidRPr="00617B8A">
        <w:rPr>
          <w:rFonts w:ascii="Arial" w:eastAsia="Times New Roman" w:hAnsi="Arial" w:cs="Arial"/>
          <w:color w:val="000000" w:themeColor="text1"/>
          <w:sz w:val="20"/>
          <w:szCs w:val="20"/>
        </w:rPr>
        <w:t xml:space="preserve"> </w:t>
      </w:r>
      <w:r w:rsidR="00CF6F6E">
        <w:rPr>
          <w:rFonts w:ascii="Arial" w:eastAsia="Times New Roman" w:hAnsi="Arial" w:cs="Arial"/>
          <w:color w:val="000000" w:themeColor="text1"/>
          <w:sz w:val="20"/>
          <w:szCs w:val="20"/>
        </w:rPr>
        <w:t>6.416</w:t>
      </w:r>
      <w:r w:rsidR="00746400" w:rsidRPr="003D1614">
        <w:rPr>
          <w:rFonts w:ascii="Arial" w:eastAsia="Times New Roman" w:hAnsi="Arial" w:cs="Arial"/>
          <w:color w:val="000000" w:themeColor="text1"/>
          <w:sz w:val="20"/>
          <w:szCs w:val="20"/>
        </w:rPr>
        <w:t xml:space="preserve"> </w:t>
      </w:r>
      <w:r w:rsidR="00FC2BEF" w:rsidRPr="003D1614">
        <w:rPr>
          <w:rFonts w:ascii="Arial" w:eastAsia="Times New Roman" w:hAnsi="Arial" w:cs="Arial"/>
          <w:color w:val="000000" w:themeColor="text1"/>
          <w:sz w:val="20"/>
          <w:szCs w:val="20"/>
        </w:rPr>
        <w:t xml:space="preserve">tisuća </w:t>
      </w:r>
      <w:r w:rsidR="00CF6F6E">
        <w:rPr>
          <w:rFonts w:ascii="Arial" w:eastAsia="Times New Roman" w:hAnsi="Arial" w:cs="Arial"/>
          <w:color w:val="000000" w:themeColor="text1"/>
          <w:sz w:val="20"/>
          <w:szCs w:val="20"/>
        </w:rPr>
        <w:t>e</w:t>
      </w:r>
      <w:r w:rsidR="00FC2BEF" w:rsidRPr="003D1614">
        <w:rPr>
          <w:rFonts w:ascii="Arial" w:eastAsia="Times New Roman" w:hAnsi="Arial" w:cs="Arial"/>
          <w:color w:val="000000" w:themeColor="text1"/>
          <w:sz w:val="20"/>
          <w:szCs w:val="20"/>
        </w:rPr>
        <w:t>ura (31. prosinca 202</w:t>
      </w:r>
      <w:r w:rsidR="00C87385">
        <w:rPr>
          <w:rFonts w:ascii="Arial" w:eastAsia="Times New Roman" w:hAnsi="Arial" w:cs="Arial"/>
          <w:color w:val="000000" w:themeColor="text1"/>
          <w:sz w:val="20"/>
          <w:szCs w:val="20"/>
        </w:rPr>
        <w:t>3</w:t>
      </w:r>
      <w:r w:rsidR="00FC2BEF" w:rsidRPr="003D1614">
        <w:rPr>
          <w:rFonts w:ascii="Arial" w:eastAsia="Times New Roman" w:hAnsi="Arial" w:cs="Arial"/>
          <w:color w:val="000000" w:themeColor="text1"/>
          <w:sz w:val="20"/>
          <w:szCs w:val="20"/>
        </w:rPr>
        <w:t xml:space="preserve">.: </w:t>
      </w:r>
      <w:r w:rsidR="00C87385">
        <w:rPr>
          <w:rFonts w:ascii="Arial" w:eastAsia="Times New Roman" w:hAnsi="Arial" w:cs="Arial"/>
          <w:color w:val="000000" w:themeColor="text1"/>
          <w:sz w:val="20"/>
          <w:szCs w:val="20"/>
        </w:rPr>
        <w:t xml:space="preserve">24.385 </w:t>
      </w:r>
      <w:r w:rsidR="00FC2BEF" w:rsidRPr="003D1614">
        <w:rPr>
          <w:rFonts w:ascii="Arial" w:eastAsia="Times New Roman" w:hAnsi="Arial" w:cs="Arial"/>
          <w:color w:val="000000" w:themeColor="text1"/>
          <w:sz w:val="20"/>
          <w:szCs w:val="20"/>
        </w:rPr>
        <w:t xml:space="preserve">tisuća eura). </w:t>
      </w:r>
    </w:p>
    <w:p w14:paraId="308482BB" w14:textId="77777777" w:rsidR="00FC2BEF" w:rsidRPr="003D1614" w:rsidRDefault="00FC2BEF" w:rsidP="00FC2BEF">
      <w:pPr>
        <w:suppressAutoHyphens/>
        <w:autoSpaceDN w:val="0"/>
        <w:jc w:val="both"/>
        <w:outlineLvl w:val="0"/>
        <w:rPr>
          <w:rFonts w:ascii="Arial" w:eastAsia="Times New Roman" w:hAnsi="Arial" w:cs="Arial"/>
          <w:color w:val="000000" w:themeColor="text1"/>
          <w:sz w:val="20"/>
          <w:szCs w:val="20"/>
          <w:highlight w:val="yellow"/>
        </w:rPr>
      </w:pPr>
    </w:p>
    <w:p w14:paraId="66980012" w14:textId="3D072038" w:rsidR="00FC2BEF" w:rsidRPr="003D1614" w:rsidRDefault="00FC2BEF" w:rsidP="00FC2BEF">
      <w:pPr>
        <w:suppressAutoHyphens/>
        <w:autoSpaceDN w:val="0"/>
        <w:jc w:val="both"/>
        <w:outlineLvl w:val="0"/>
        <w:rPr>
          <w:rFonts w:ascii="Arial" w:eastAsia="Times New Roman" w:hAnsi="Arial" w:cs="Arial"/>
          <w:bCs/>
          <w:color w:val="000000" w:themeColor="text1"/>
          <w:sz w:val="20"/>
          <w:szCs w:val="20"/>
        </w:rPr>
      </w:pPr>
      <w:r w:rsidRPr="00AC6504">
        <w:rPr>
          <w:rFonts w:ascii="Arial" w:eastAsia="Times New Roman" w:hAnsi="Arial" w:cs="Arial"/>
          <w:color w:val="000000" w:themeColor="text1"/>
          <w:sz w:val="20"/>
          <w:szCs w:val="20"/>
        </w:rPr>
        <w:t xml:space="preserve">Depoziti po viđenju državnih institucija odnose se na poslove koje Banka obavlja u ime i za račun Ministarstva financija, </w:t>
      </w:r>
      <w:r w:rsidRPr="00AC6504">
        <w:rPr>
          <w:rFonts w:ascii="Arial" w:eastAsia="Times New Roman" w:hAnsi="Arial" w:cs="Arial"/>
          <w:bCs/>
          <w:color w:val="000000" w:themeColor="text1"/>
          <w:sz w:val="20"/>
          <w:szCs w:val="20"/>
        </w:rPr>
        <w:t>Ministarstva mora, prometa i infrastrukture</w:t>
      </w:r>
      <w:r w:rsidRPr="00E94AD4">
        <w:rPr>
          <w:rFonts w:ascii="Arial" w:eastAsia="Times New Roman" w:hAnsi="Arial" w:cs="Arial"/>
          <w:bCs/>
          <w:color w:val="000000" w:themeColor="text1"/>
          <w:sz w:val="20"/>
          <w:szCs w:val="20"/>
        </w:rPr>
        <w:t>, Ministarstva poljoprivrede</w:t>
      </w:r>
      <w:r w:rsidR="007D5F94" w:rsidRPr="00E94AD4">
        <w:rPr>
          <w:rFonts w:ascii="Arial" w:eastAsia="Times New Roman" w:hAnsi="Arial" w:cs="Arial"/>
          <w:bCs/>
          <w:color w:val="000000" w:themeColor="text1"/>
          <w:sz w:val="20"/>
          <w:szCs w:val="20"/>
        </w:rPr>
        <w:t>,</w:t>
      </w:r>
      <w:r w:rsidR="00E94AD4" w:rsidRPr="00E94AD4">
        <w:rPr>
          <w:rFonts w:ascii="Arial" w:eastAsia="Times New Roman" w:hAnsi="Arial" w:cs="Arial"/>
          <w:bCs/>
          <w:color w:val="000000" w:themeColor="text1"/>
          <w:sz w:val="20"/>
          <w:szCs w:val="20"/>
        </w:rPr>
        <w:t xml:space="preserve"> šumarstva</w:t>
      </w:r>
      <w:r w:rsidR="00E94AD4">
        <w:rPr>
          <w:rFonts w:ascii="Arial" w:eastAsia="Times New Roman" w:hAnsi="Arial" w:cs="Arial"/>
          <w:bCs/>
          <w:color w:val="000000" w:themeColor="text1"/>
          <w:sz w:val="20"/>
          <w:szCs w:val="20"/>
        </w:rPr>
        <w:t xml:space="preserve"> i ribarstva,</w:t>
      </w:r>
      <w:r w:rsidR="007D5F94">
        <w:rPr>
          <w:rFonts w:ascii="Arial" w:eastAsia="Times New Roman" w:hAnsi="Arial" w:cs="Arial"/>
          <w:bCs/>
          <w:color w:val="000000" w:themeColor="text1"/>
          <w:sz w:val="20"/>
          <w:szCs w:val="20"/>
        </w:rPr>
        <w:t xml:space="preserve"> </w:t>
      </w:r>
      <w:r w:rsidRPr="00AC6504">
        <w:rPr>
          <w:rFonts w:ascii="Arial" w:eastAsia="Times New Roman" w:hAnsi="Arial" w:cs="Arial"/>
          <w:bCs/>
          <w:color w:val="000000" w:themeColor="text1"/>
          <w:sz w:val="20"/>
          <w:szCs w:val="20"/>
        </w:rPr>
        <w:t>Ministarstva regionalnoga razvoja i fondova Europske unije, Vodovoda i kanalizacije d.o.o., Split i Hrvatske agencije za malo gospodarstvo, inovacije i investicije (HAMAG-BICRO).</w:t>
      </w:r>
    </w:p>
    <w:p w14:paraId="70479EF5" w14:textId="77777777" w:rsidR="00FC2BEF" w:rsidRPr="003D1614" w:rsidRDefault="00FC2BEF" w:rsidP="00FC2BEF">
      <w:pPr>
        <w:suppressAutoHyphens/>
        <w:autoSpaceDN w:val="0"/>
        <w:jc w:val="both"/>
        <w:outlineLvl w:val="0"/>
        <w:rPr>
          <w:rFonts w:ascii="Arial" w:eastAsia="Times New Roman" w:hAnsi="Arial" w:cs="Arial"/>
          <w:bCs/>
          <w:color w:val="000000" w:themeColor="text1"/>
          <w:sz w:val="20"/>
          <w:szCs w:val="20"/>
        </w:rPr>
      </w:pPr>
    </w:p>
    <w:p w14:paraId="06AA16D7" w14:textId="5A9493A9" w:rsidR="00FC2BEF" w:rsidRPr="003D1614" w:rsidRDefault="00AC6504" w:rsidP="00FC2BEF">
      <w:pPr>
        <w:suppressAutoHyphens/>
        <w:autoSpaceDN w:val="0"/>
        <w:jc w:val="both"/>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N</w:t>
      </w:r>
      <w:r w:rsidR="00FC2BEF" w:rsidRPr="003D1614">
        <w:rPr>
          <w:rFonts w:ascii="Arial" w:eastAsia="Times New Roman" w:hAnsi="Arial" w:cs="Arial"/>
          <w:color w:val="000000" w:themeColor="text1"/>
          <w:sz w:val="20"/>
          <w:szCs w:val="20"/>
        </w:rPr>
        <w:t>amjenski računi trgovačkih društava odnose se na priljeve sredstva i raspolaganje sredstvima avansa uplaćenim na račun trgovačkog društva, a vezano na izdane garancije HBOR-a za povrat avansa za izvozni posao. Sredstva avansa koriste se isključivo namjenski u svrhu provedbe izvoznog ugovora, uz suglasnost HBOR-a.</w:t>
      </w:r>
    </w:p>
    <w:p w14:paraId="463AF711" w14:textId="77777777" w:rsidR="00FC2BEF" w:rsidRPr="003D1614" w:rsidRDefault="00FC2BEF" w:rsidP="00FC2BEF">
      <w:pPr>
        <w:suppressAutoHyphens/>
        <w:autoSpaceDN w:val="0"/>
        <w:jc w:val="both"/>
        <w:outlineLvl w:val="0"/>
        <w:rPr>
          <w:rFonts w:ascii="Arial" w:eastAsia="Times New Roman" w:hAnsi="Arial" w:cs="Arial"/>
          <w:b/>
          <w:bCs/>
          <w:noProof/>
          <w:sz w:val="20"/>
          <w:szCs w:val="20"/>
          <w:highlight w:val="yellow"/>
        </w:rPr>
      </w:pPr>
    </w:p>
    <w:p w14:paraId="5F253385" w14:textId="4C86CF9F" w:rsidR="00FC2BEF" w:rsidRDefault="00AC6504" w:rsidP="000C3754">
      <w:pPr>
        <w:suppressAutoHyphens/>
        <w:autoSpaceDN w:val="0"/>
        <w:jc w:val="both"/>
        <w:outlineLvl w:val="0"/>
        <w:rPr>
          <w:rFonts w:ascii="Arial" w:eastAsia="Times New Roman" w:hAnsi="Arial" w:cs="Arial"/>
          <w:bCs/>
          <w:noProof/>
          <w:sz w:val="20"/>
          <w:szCs w:val="20"/>
        </w:rPr>
      </w:pPr>
      <w:bookmarkStart w:id="449" w:name="_Hlk33017908"/>
      <w:r>
        <w:rPr>
          <w:rFonts w:ascii="Arial" w:eastAsia="Times New Roman" w:hAnsi="Arial" w:cs="Arial"/>
          <w:bCs/>
          <w:noProof/>
          <w:sz w:val="20"/>
          <w:szCs w:val="20"/>
        </w:rPr>
        <w:t>P</w:t>
      </w:r>
      <w:r w:rsidR="00FC2BEF" w:rsidRPr="003D1614">
        <w:rPr>
          <w:rFonts w:ascii="Arial" w:eastAsia="Times New Roman" w:hAnsi="Arial" w:cs="Arial"/>
          <w:bCs/>
          <w:noProof/>
          <w:sz w:val="20"/>
          <w:szCs w:val="20"/>
        </w:rPr>
        <w:t xml:space="preserve">osebni računi stranih financijskih institucija odnose se na sredstva ELENA granta, a odnosi se na prvu tranšu 40% iznosa ELENA granta po potpisu Ugovora o financiranju od 839 tisuća EUR, umanjenu za namjenski iskorištena sredstva </w:t>
      </w:r>
      <w:bookmarkStart w:id="450" w:name="_Hlk65835952"/>
      <w:r w:rsidR="00FC2BEF" w:rsidRPr="003D1614">
        <w:rPr>
          <w:rFonts w:ascii="Arial" w:eastAsia="Times New Roman" w:hAnsi="Arial" w:cs="Arial"/>
          <w:bCs/>
          <w:noProof/>
          <w:sz w:val="20"/>
          <w:szCs w:val="20"/>
        </w:rPr>
        <w:t xml:space="preserve">te stanje na računu na dan </w:t>
      </w:r>
      <w:r w:rsidR="007C3C47" w:rsidRPr="003D1614">
        <w:rPr>
          <w:rFonts w:ascii="Arial" w:eastAsia="Times New Roman" w:hAnsi="Arial" w:cs="Arial"/>
          <w:bCs/>
          <w:noProof/>
          <w:sz w:val="20"/>
          <w:szCs w:val="20"/>
        </w:rPr>
        <w:t>3</w:t>
      </w:r>
      <w:r w:rsidR="007C3C47">
        <w:rPr>
          <w:rFonts w:ascii="Arial" w:eastAsia="Times New Roman" w:hAnsi="Arial" w:cs="Arial"/>
          <w:bCs/>
          <w:noProof/>
          <w:sz w:val="20"/>
          <w:szCs w:val="20"/>
        </w:rPr>
        <w:t>0</w:t>
      </w:r>
      <w:r w:rsidR="00FC2BEF" w:rsidRPr="003D1614">
        <w:rPr>
          <w:rFonts w:ascii="Arial" w:eastAsia="Times New Roman" w:hAnsi="Arial" w:cs="Arial"/>
          <w:bCs/>
          <w:noProof/>
          <w:sz w:val="20"/>
          <w:szCs w:val="20"/>
        </w:rPr>
        <w:t xml:space="preserve">. </w:t>
      </w:r>
      <w:r w:rsidR="002C0DB3">
        <w:rPr>
          <w:rFonts w:ascii="Arial" w:eastAsia="Times New Roman" w:hAnsi="Arial" w:cs="Arial"/>
          <w:bCs/>
          <w:noProof/>
          <w:sz w:val="20"/>
          <w:szCs w:val="20"/>
        </w:rPr>
        <w:t>rujna</w:t>
      </w:r>
      <w:r w:rsidR="007C3C47" w:rsidRPr="003D1614">
        <w:rPr>
          <w:rFonts w:ascii="Arial" w:eastAsia="Times New Roman" w:hAnsi="Arial" w:cs="Arial"/>
          <w:bCs/>
          <w:noProof/>
          <w:sz w:val="20"/>
          <w:szCs w:val="20"/>
        </w:rPr>
        <w:t xml:space="preserve"> </w:t>
      </w:r>
      <w:r w:rsidR="00FC2BEF" w:rsidRPr="003D1614">
        <w:rPr>
          <w:rFonts w:ascii="Arial" w:eastAsia="Times New Roman" w:hAnsi="Arial" w:cs="Arial"/>
          <w:bCs/>
          <w:noProof/>
          <w:sz w:val="20"/>
          <w:szCs w:val="20"/>
        </w:rPr>
        <w:t>202</w:t>
      </w:r>
      <w:r w:rsidR="00E553BF">
        <w:rPr>
          <w:rFonts w:ascii="Arial" w:eastAsia="Times New Roman" w:hAnsi="Arial" w:cs="Arial"/>
          <w:bCs/>
          <w:noProof/>
          <w:sz w:val="20"/>
          <w:szCs w:val="20"/>
        </w:rPr>
        <w:t>4</w:t>
      </w:r>
      <w:r w:rsidR="00FC2BEF" w:rsidRPr="003D1614">
        <w:rPr>
          <w:rFonts w:ascii="Arial" w:eastAsia="Times New Roman" w:hAnsi="Arial" w:cs="Arial"/>
          <w:bCs/>
          <w:noProof/>
          <w:sz w:val="20"/>
          <w:szCs w:val="20"/>
        </w:rPr>
        <w:t>. izno</w:t>
      </w:r>
      <w:r w:rsidR="00FC2BEF" w:rsidRPr="00746400">
        <w:rPr>
          <w:rFonts w:ascii="Arial" w:eastAsia="Times New Roman" w:hAnsi="Arial" w:cs="Arial"/>
          <w:bCs/>
          <w:noProof/>
          <w:sz w:val="20"/>
          <w:szCs w:val="20"/>
        </w:rPr>
        <w:t xml:space="preserve">si </w:t>
      </w:r>
      <w:r w:rsidR="001D05F6">
        <w:rPr>
          <w:rFonts w:ascii="Arial" w:eastAsia="Times New Roman" w:hAnsi="Arial" w:cs="Arial"/>
          <w:bCs/>
          <w:noProof/>
          <w:sz w:val="20"/>
          <w:szCs w:val="20"/>
        </w:rPr>
        <w:t>0</w:t>
      </w:r>
      <w:r w:rsidR="00FC2BEF" w:rsidRPr="00617B8A">
        <w:rPr>
          <w:rFonts w:ascii="Arial" w:eastAsia="Times New Roman" w:hAnsi="Arial" w:cs="Arial"/>
          <w:bCs/>
          <w:noProof/>
          <w:sz w:val="20"/>
          <w:szCs w:val="20"/>
        </w:rPr>
        <w:t xml:space="preserve"> t</w:t>
      </w:r>
      <w:r w:rsidR="00FC2BEF" w:rsidRPr="00746400">
        <w:rPr>
          <w:rFonts w:ascii="Arial" w:eastAsia="Times New Roman" w:hAnsi="Arial" w:cs="Arial"/>
          <w:bCs/>
          <w:noProof/>
          <w:sz w:val="20"/>
          <w:szCs w:val="20"/>
        </w:rPr>
        <w:t>isuća</w:t>
      </w:r>
      <w:r w:rsidR="00FC2BEF" w:rsidRPr="003D1614">
        <w:rPr>
          <w:rFonts w:ascii="Arial" w:eastAsia="Times New Roman" w:hAnsi="Arial" w:cs="Arial"/>
          <w:bCs/>
          <w:noProof/>
          <w:sz w:val="20"/>
          <w:szCs w:val="20"/>
        </w:rPr>
        <w:t xml:space="preserve"> eura </w:t>
      </w:r>
      <w:bookmarkEnd w:id="450"/>
      <w:r w:rsidR="00FC2BEF" w:rsidRPr="003D1614">
        <w:rPr>
          <w:rFonts w:ascii="Arial" w:eastAsia="Times New Roman" w:hAnsi="Arial" w:cs="Arial"/>
          <w:bCs/>
          <w:noProof/>
          <w:sz w:val="20"/>
          <w:szCs w:val="20"/>
        </w:rPr>
        <w:t>(31. prosinca 202</w:t>
      </w:r>
      <w:r w:rsidR="00E553BF">
        <w:rPr>
          <w:rFonts w:ascii="Arial" w:eastAsia="Times New Roman" w:hAnsi="Arial" w:cs="Arial"/>
          <w:bCs/>
          <w:noProof/>
          <w:sz w:val="20"/>
          <w:szCs w:val="20"/>
        </w:rPr>
        <w:t>3</w:t>
      </w:r>
      <w:r w:rsidR="00FC2BEF" w:rsidRPr="003D1614">
        <w:rPr>
          <w:rFonts w:ascii="Arial" w:eastAsia="Times New Roman" w:hAnsi="Arial" w:cs="Arial"/>
          <w:bCs/>
          <w:noProof/>
          <w:sz w:val="20"/>
          <w:szCs w:val="20"/>
        </w:rPr>
        <w:t xml:space="preserve">.: </w:t>
      </w:r>
      <w:r>
        <w:rPr>
          <w:rFonts w:ascii="Arial" w:eastAsia="Times New Roman" w:hAnsi="Arial" w:cs="Arial"/>
          <w:bCs/>
          <w:noProof/>
          <w:sz w:val="20"/>
          <w:szCs w:val="20"/>
        </w:rPr>
        <w:t>2</w:t>
      </w:r>
      <w:r w:rsidR="00FC2BEF" w:rsidRPr="003D1614">
        <w:rPr>
          <w:rFonts w:ascii="Arial" w:eastAsia="Times New Roman" w:hAnsi="Arial" w:cs="Arial"/>
          <w:bCs/>
          <w:noProof/>
          <w:sz w:val="20"/>
          <w:szCs w:val="20"/>
        </w:rPr>
        <w:t xml:space="preserve"> tisuća eura).</w:t>
      </w:r>
    </w:p>
    <w:p w14:paraId="7B2786B9" w14:textId="77777777" w:rsidR="000C3754" w:rsidRPr="000C3754" w:rsidRDefault="004504DA" w:rsidP="000C3754">
      <w:pPr>
        <w:jc w:val="both"/>
        <w:rPr>
          <w:rFonts w:ascii="Arial" w:hAnsi="Arial" w:cs="Arial"/>
          <w:sz w:val="20"/>
          <w:szCs w:val="20"/>
        </w:rPr>
      </w:pPr>
      <w:bookmarkStart w:id="451" w:name="_Hlk173151162"/>
      <w:r w:rsidRPr="000C3754">
        <w:rPr>
          <w:rFonts w:ascii="Arial" w:eastAsia="Times New Roman" w:hAnsi="Arial" w:cs="Arial"/>
          <w:bCs/>
          <w:noProof/>
          <w:sz w:val="20"/>
          <w:szCs w:val="20"/>
        </w:rPr>
        <w:t xml:space="preserve">ELENA projekt je službeno završen s 30. travnjem 2024. godine. Trenutno je u fazi provedba revizije projekta od strane neovisnog revizora koju je HBOR u obvezi provesti sukladno zaključenom Ugovoru o financiranju s EIB-om. Po dovršetku revizije, revidirani izvještaj bit će dostavljen EIB-u koji će po provedenom pregledu podnijeti HBOR-u završno izvješće o uspješnosti projekta. </w:t>
      </w:r>
      <w:bookmarkEnd w:id="451"/>
      <w:r w:rsidR="000C3754" w:rsidRPr="000C3754">
        <w:rPr>
          <w:rFonts w:ascii="Arial" w:hAnsi="Arial" w:cs="Arial"/>
          <w:sz w:val="20"/>
          <w:szCs w:val="20"/>
        </w:rPr>
        <w:t>Konačna informacija od strane EIB-a očekuje se do kraja 2024. godine.</w:t>
      </w:r>
    </w:p>
    <w:p w14:paraId="58691A5A" w14:textId="36685F2B" w:rsidR="004504DA" w:rsidRPr="003D1614" w:rsidRDefault="004504DA" w:rsidP="00FC2BEF">
      <w:pPr>
        <w:suppressAutoHyphens/>
        <w:autoSpaceDN w:val="0"/>
        <w:jc w:val="both"/>
        <w:outlineLvl w:val="0"/>
        <w:rPr>
          <w:rFonts w:ascii="Arial" w:eastAsia="Times New Roman" w:hAnsi="Arial" w:cs="Arial"/>
          <w:bCs/>
          <w:noProof/>
          <w:sz w:val="20"/>
          <w:szCs w:val="20"/>
        </w:rPr>
      </w:pPr>
    </w:p>
    <w:bookmarkEnd w:id="449"/>
    <w:p w14:paraId="2A01FBFC" w14:textId="09F6104D" w:rsidR="00C81475" w:rsidRPr="003D1614" w:rsidRDefault="00FC2BEF" w:rsidP="00FC2BEF">
      <w:pPr>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Na navedene depozite HBOR ne plaća kamatu.</w:t>
      </w:r>
    </w:p>
    <w:p w14:paraId="3FDC16BD" w14:textId="77777777" w:rsidR="00FC2BEF" w:rsidRPr="003D1614" w:rsidRDefault="00FC2BEF" w:rsidP="00FC2BEF">
      <w:pPr>
        <w:suppressAutoHyphens/>
        <w:autoSpaceDN w:val="0"/>
        <w:jc w:val="both"/>
        <w:outlineLvl w:val="0"/>
        <w:rPr>
          <w:rFonts w:ascii="Arial" w:eastAsia="Times New Roman" w:hAnsi="Arial" w:cs="Arial"/>
          <w:color w:val="000000" w:themeColor="text1"/>
          <w:sz w:val="20"/>
          <w:szCs w:val="20"/>
        </w:rPr>
      </w:pPr>
    </w:p>
    <w:p w14:paraId="0B9DD997" w14:textId="77777777" w:rsidR="00FC2BEF" w:rsidRPr="003D1614" w:rsidRDefault="00FC2BEF" w:rsidP="00FC2BEF">
      <w:pPr>
        <w:suppressAutoHyphens/>
        <w:autoSpaceDN w:val="0"/>
        <w:jc w:val="both"/>
        <w:outlineLvl w:val="0"/>
        <w:rPr>
          <w:rFonts w:ascii="Arial" w:eastAsia="Times New Roman" w:hAnsi="Arial" w:cs="Arial"/>
          <w:color w:val="000000" w:themeColor="text1"/>
          <w:sz w:val="20"/>
          <w:szCs w:val="20"/>
        </w:rPr>
        <w:sectPr w:rsidR="00FC2BEF" w:rsidRPr="003D1614">
          <w:pgSz w:w="11906" w:h="16838"/>
          <w:pgMar w:top="1417" w:right="1417" w:bottom="1417" w:left="1417" w:header="708" w:footer="708" w:gutter="0"/>
          <w:cols w:space="708"/>
          <w:docGrid w:linePitch="360"/>
        </w:sectPr>
      </w:pPr>
    </w:p>
    <w:p w14:paraId="3C758096" w14:textId="77777777" w:rsidR="00FC2BEF" w:rsidRPr="003D1614" w:rsidRDefault="00FC2BEF" w:rsidP="00FC2BEF">
      <w:pPr>
        <w:keepNext/>
        <w:suppressAutoHyphens/>
        <w:autoSpaceDN w:val="0"/>
        <w:jc w:val="both"/>
        <w:outlineLvl w:val="0"/>
        <w:rPr>
          <w:rFonts w:ascii="Arial" w:eastAsia="Times New Roman" w:hAnsi="Arial" w:cs="Arial"/>
          <w:b/>
          <w:bCs/>
          <w:color w:val="000000" w:themeColor="text1"/>
          <w:sz w:val="20"/>
          <w:szCs w:val="20"/>
        </w:rPr>
      </w:pPr>
    </w:p>
    <w:p w14:paraId="02D2E019" w14:textId="0E798781" w:rsidR="00FC2BEF" w:rsidRPr="003D1614" w:rsidRDefault="00FC2BEF" w:rsidP="00FC2BEF">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1</w:t>
      </w:r>
      <w:r w:rsidR="000E693B">
        <w:rPr>
          <w:rFonts w:ascii="Arial" w:eastAsia="Times New Roman" w:hAnsi="Arial" w:cs="Arial"/>
          <w:b/>
          <w:bCs/>
          <w:color w:val="000000" w:themeColor="text1"/>
          <w:sz w:val="20"/>
          <w:szCs w:val="20"/>
        </w:rPr>
        <w:t>8</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 xml:space="preserve">Obveze po kreditima </w:t>
      </w:r>
    </w:p>
    <w:p w14:paraId="6EEBDE3E" w14:textId="77777777" w:rsidR="00FC2BEF" w:rsidRPr="003D1614" w:rsidRDefault="00FC2BEF" w:rsidP="00FC2BEF">
      <w:pPr>
        <w:keepNext/>
        <w:suppressAutoHyphens/>
        <w:autoSpaceDN w:val="0"/>
        <w:jc w:val="both"/>
        <w:outlineLvl w:val="0"/>
        <w:rPr>
          <w:rFonts w:ascii="Arial" w:eastAsia="Times New Roman" w:hAnsi="Arial" w:cs="Arial"/>
          <w:b/>
          <w:bCs/>
          <w:color w:val="000000" w:themeColor="text1"/>
          <w:sz w:val="20"/>
          <w:szCs w:val="20"/>
        </w:rPr>
      </w:pPr>
    </w:p>
    <w:tbl>
      <w:tblPr>
        <w:tblW w:w="5000" w:type="pct"/>
        <w:tblLayout w:type="fixed"/>
        <w:tblCellMar>
          <w:left w:w="119" w:type="dxa"/>
          <w:right w:w="119" w:type="dxa"/>
        </w:tblCellMar>
        <w:tblLook w:val="0000" w:firstRow="0" w:lastRow="0" w:firstColumn="0" w:lastColumn="0" w:noHBand="0" w:noVBand="0"/>
      </w:tblPr>
      <w:tblGrid>
        <w:gridCol w:w="5578"/>
        <w:gridCol w:w="1745"/>
        <w:gridCol w:w="1749"/>
      </w:tblGrid>
      <w:tr w:rsidR="00FC2BEF" w:rsidRPr="00CE12FB" w14:paraId="031B4832" w14:textId="77777777" w:rsidTr="007478FB">
        <w:trPr>
          <w:trHeight w:val="185"/>
        </w:trPr>
        <w:tc>
          <w:tcPr>
            <w:tcW w:w="3074" w:type="pct"/>
            <w:vAlign w:val="bottom"/>
          </w:tcPr>
          <w:p w14:paraId="69B9F572" w14:textId="77777777" w:rsidR="00FC2BEF" w:rsidRPr="00F43653" w:rsidRDefault="00FC2BEF" w:rsidP="00FC2BEF">
            <w:pPr>
              <w:tabs>
                <w:tab w:val="left" w:pos="-1963"/>
              </w:tabs>
              <w:suppressAutoHyphens/>
              <w:autoSpaceDN w:val="0"/>
              <w:rPr>
                <w:rFonts w:ascii="Arial" w:eastAsia="Times New Roman" w:hAnsi="Arial" w:cs="Arial"/>
                <w:color w:val="000000" w:themeColor="text1"/>
                <w:spacing w:val="-3"/>
                <w:sz w:val="20"/>
                <w:szCs w:val="20"/>
              </w:rPr>
            </w:pPr>
          </w:p>
        </w:tc>
        <w:tc>
          <w:tcPr>
            <w:tcW w:w="1926" w:type="pct"/>
            <w:gridSpan w:val="2"/>
            <w:vAlign w:val="bottom"/>
          </w:tcPr>
          <w:p w14:paraId="1E0A102D" w14:textId="77777777" w:rsidR="00FC2BEF" w:rsidRPr="00F43653" w:rsidRDefault="00FC2BEF" w:rsidP="00FC2BE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52" w:name="_Toc67328712"/>
            <w:r w:rsidRPr="00F43653">
              <w:rPr>
                <w:rFonts w:ascii="Arial" w:eastAsia="Times New Roman" w:hAnsi="Arial" w:cs="Arial"/>
                <w:b/>
                <w:color w:val="000000" w:themeColor="text1"/>
                <w:sz w:val="20"/>
                <w:szCs w:val="20"/>
              </w:rPr>
              <w:t>Grupa i Banka</w:t>
            </w:r>
            <w:bookmarkEnd w:id="452"/>
          </w:p>
        </w:tc>
      </w:tr>
      <w:tr w:rsidR="00FC2BEF" w:rsidRPr="00CE12FB" w14:paraId="4801C11A" w14:textId="77777777" w:rsidTr="007478FB">
        <w:trPr>
          <w:trHeight w:val="510"/>
        </w:trPr>
        <w:tc>
          <w:tcPr>
            <w:tcW w:w="3074" w:type="pct"/>
            <w:vAlign w:val="bottom"/>
          </w:tcPr>
          <w:p w14:paraId="48AD6255" w14:textId="77777777" w:rsidR="00FC2BEF" w:rsidRPr="00F43653" w:rsidRDefault="00FC2BEF" w:rsidP="00FC2BEF">
            <w:pPr>
              <w:tabs>
                <w:tab w:val="left" w:pos="-1963"/>
              </w:tabs>
              <w:suppressAutoHyphens/>
              <w:autoSpaceDN w:val="0"/>
              <w:jc w:val="center"/>
              <w:rPr>
                <w:rFonts w:ascii="Arial" w:eastAsia="Times New Roman" w:hAnsi="Arial" w:cs="Arial"/>
                <w:color w:val="000000" w:themeColor="text1"/>
                <w:spacing w:val="-3"/>
                <w:sz w:val="20"/>
                <w:szCs w:val="20"/>
              </w:rPr>
            </w:pPr>
          </w:p>
        </w:tc>
        <w:tc>
          <w:tcPr>
            <w:tcW w:w="962" w:type="pct"/>
            <w:vAlign w:val="bottom"/>
          </w:tcPr>
          <w:p w14:paraId="6ED0F171" w14:textId="77777777" w:rsidR="002C0DB3" w:rsidRDefault="002C0DB3" w:rsidP="00FC2BE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2C0DB3">
              <w:rPr>
                <w:rFonts w:ascii="Arial" w:eastAsia="Times New Roman" w:hAnsi="Arial" w:cs="Arial"/>
                <w:b/>
                <w:color w:val="000000" w:themeColor="text1"/>
                <w:sz w:val="20"/>
                <w:szCs w:val="20"/>
              </w:rPr>
              <w:t xml:space="preserve">30. rujna </w:t>
            </w:r>
          </w:p>
          <w:p w14:paraId="6E6214F5" w14:textId="7C10C380" w:rsidR="00FC2BEF" w:rsidRPr="00F43653" w:rsidRDefault="002C0DB3" w:rsidP="00FC2BE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2C0DB3">
              <w:rPr>
                <w:rFonts w:ascii="Arial" w:eastAsia="Times New Roman" w:hAnsi="Arial" w:cs="Arial"/>
                <w:b/>
                <w:color w:val="000000" w:themeColor="text1"/>
                <w:sz w:val="20"/>
                <w:szCs w:val="20"/>
              </w:rPr>
              <w:t>202</w:t>
            </w:r>
            <w:r w:rsidR="00E553BF">
              <w:rPr>
                <w:rFonts w:ascii="Arial" w:eastAsia="Times New Roman" w:hAnsi="Arial" w:cs="Arial"/>
                <w:b/>
                <w:color w:val="000000" w:themeColor="text1"/>
                <w:sz w:val="20"/>
                <w:szCs w:val="20"/>
              </w:rPr>
              <w:t>4</w:t>
            </w:r>
            <w:r w:rsidRPr="002C0DB3">
              <w:rPr>
                <w:rFonts w:ascii="Arial" w:eastAsia="Times New Roman" w:hAnsi="Arial" w:cs="Arial"/>
                <w:b/>
                <w:color w:val="000000" w:themeColor="text1"/>
                <w:sz w:val="20"/>
                <w:szCs w:val="20"/>
              </w:rPr>
              <w:t>.</w:t>
            </w:r>
          </w:p>
        </w:tc>
        <w:tc>
          <w:tcPr>
            <w:tcW w:w="964" w:type="pct"/>
            <w:vAlign w:val="bottom"/>
          </w:tcPr>
          <w:p w14:paraId="5ABE0CE6" w14:textId="04C68561" w:rsidR="00FC2BEF" w:rsidRPr="00F43653" w:rsidRDefault="00FC2BEF" w:rsidP="00FC2BE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F43653">
              <w:rPr>
                <w:rFonts w:ascii="Arial" w:eastAsia="Times New Roman" w:hAnsi="Arial" w:cs="Arial"/>
                <w:b/>
                <w:color w:val="000000" w:themeColor="text1"/>
                <w:sz w:val="20"/>
                <w:szCs w:val="20"/>
              </w:rPr>
              <w:t>31. prosinca 202</w:t>
            </w:r>
            <w:r w:rsidR="00E553BF">
              <w:rPr>
                <w:rFonts w:ascii="Arial" w:eastAsia="Times New Roman" w:hAnsi="Arial" w:cs="Arial"/>
                <w:b/>
                <w:color w:val="000000" w:themeColor="text1"/>
                <w:sz w:val="20"/>
                <w:szCs w:val="20"/>
              </w:rPr>
              <w:t>3</w:t>
            </w:r>
            <w:r w:rsidRPr="00F43653">
              <w:rPr>
                <w:rFonts w:ascii="Arial" w:eastAsia="Times New Roman" w:hAnsi="Arial" w:cs="Arial"/>
                <w:b/>
                <w:color w:val="000000" w:themeColor="text1"/>
                <w:sz w:val="20"/>
                <w:szCs w:val="20"/>
              </w:rPr>
              <w:t>.</w:t>
            </w:r>
          </w:p>
        </w:tc>
      </w:tr>
      <w:tr w:rsidR="00FC2BEF" w:rsidRPr="00CE12FB" w14:paraId="3CD3C334" w14:textId="77777777" w:rsidTr="007478FB">
        <w:trPr>
          <w:trHeight w:val="168"/>
        </w:trPr>
        <w:tc>
          <w:tcPr>
            <w:tcW w:w="3074" w:type="pct"/>
            <w:vAlign w:val="bottom"/>
          </w:tcPr>
          <w:p w14:paraId="0659CB5B" w14:textId="77777777" w:rsidR="00FC2BEF" w:rsidRPr="00F43653" w:rsidRDefault="00FC2BEF" w:rsidP="00FC2BEF">
            <w:pPr>
              <w:tabs>
                <w:tab w:val="left" w:pos="-1963"/>
              </w:tabs>
              <w:suppressAutoHyphens/>
              <w:autoSpaceDN w:val="0"/>
              <w:jc w:val="center"/>
              <w:rPr>
                <w:rFonts w:ascii="Arial" w:eastAsia="Times New Roman" w:hAnsi="Arial" w:cs="Arial"/>
                <w:color w:val="000000" w:themeColor="text1"/>
                <w:spacing w:val="-3"/>
                <w:sz w:val="20"/>
                <w:szCs w:val="20"/>
              </w:rPr>
            </w:pPr>
          </w:p>
        </w:tc>
        <w:tc>
          <w:tcPr>
            <w:tcW w:w="962" w:type="pct"/>
            <w:vAlign w:val="bottom"/>
          </w:tcPr>
          <w:p w14:paraId="3DDB0B6B" w14:textId="4F150C30" w:rsidR="00FC2BEF" w:rsidRPr="00F43653" w:rsidRDefault="00FC2BEF" w:rsidP="00FC2BE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F43653">
              <w:rPr>
                <w:rFonts w:ascii="Arial" w:eastAsia="Times New Roman" w:hAnsi="Arial" w:cs="Arial"/>
                <w:b/>
                <w:color w:val="000000" w:themeColor="text1"/>
                <w:spacing w:val="-3"/>
                <w:sz w:val="20"/>
                <w:szCs w:val="20"/>
              </w:rPr>
              <w:t>000 eura</w:t>
            </w:r>
          </w:p>
        </w:tc>
        <w:tc>
          <w:tcPr>
            <w:tcW w:w="964" w:type="pct"/>
            <w:vAlign w:val="bottom"/>
          </w:tcPr>
          <w:p w14:paraId="1751EBE7" w14:textId="03B6BA30" w:rsidR="00FC2BEF" w:rsidRPr="00F43653" w:rsidRDefault="00FC2BEF" w:rsidP="00FC2BE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F43653">
              <w:rPr>
                <w:rFonts w:ascii="Arial" w:eastAsia="Times New Roman" w:hAnsi="Arial" w:cs="Arial"/>
                <w:b/>
                <w:color w:val="000000" w:themeColor="text1"/>
                <w:spacing w:val="-3"/>
                <w:sz w:val="20"/>
                <w:szCs w:val="20"/>
              </w:rPr>
              <w:t>000 eura</w:t>
            </w:r>
          </w:p>
        </w:tc>
      </w:tr>
      <w:tr w:rsidR="00FC2BEF" w:rsidRPr="00CE12FB" w14:paraId="2BF31DC6" w14:textId="77777777" w:rsidTr="007478FB">
        <w:trPr>
          <w:trHeight w:val="212"/>
        </w:trPr>
        <w:tc>
          <w:tcPr>
            <w:tcW w:w="3074" w:type="pct"/>
            <w:vAlign w:val="bottom"/>
          </w:tcPr>
          <w:p w14:paraId="22F463E8" w14:textId="77777777" w:rsidR="00FC2BEF" w:rsidRPr="00F43653" w:rsidRDefault="00FC2BEF" w:rsidP="00FC2BEF">
            <w:pPr>
              <w:tabs>
                <w:tab w:val="left" w:pos="-1963"/>
              </w:tabs>
              <w:suppressAutoHyphens/>
              <w:autoSpaceDN w:val="0"/>
              <w:jc w:val="center"/>
              <w:rPr>
                <w:rFonts w:ascii="Arial" w:eastAsia="Times New Roman" w:hAnsi="Arial" w:cs="Arial"/>
                <w:color w:val="000000" w:themeColor="text1"/>
                <w:spacing w:val="-3"/>
                <w:sz w:val="20"/>
                <w:szCs w:val="20"/>
              </w:rPr>
            </w:pPr>
          </w:p>
        </w:tc>
        <w:tc>
          <w:tcPr>
            <w:tcW w:w="962" w:type="pct"/>
            <w:vAlign w:val="bottom"/>
          </w:tcPr>
          <w:p w14:paraId="14A96FBC" w14:textId="77777777" w:rsidR="00FC2BEF" w:rsidRPr="00F43653" w:rsidRDefault="00FC2BEF" w:rsidP="00FC2BEF">
            <w:pPr>
              <w:suppressAutoHyphens/>
              <w:autoSpaceDN w:val="0"/>
              <w:jc w:val="right"/>
              <w:rPr>
                <w:rFonts w:ascii="Arial" w:eastAsia="Times New Roman" w:hAnsi="Arial" w:cs="Arial"/>
                <w:b/>
                <w:color w:val="000000" w:themeColor="text1"/>
                <w:spacing w:val="-3"/>
                <w:sz w:val="20"/>
                <w:szCs w:val="20"/>
              </w:rPr>
            </w:pPr>
          </w:p>
        </w:tc>
        <w:tc>
          <w:tcPr>
            <w:tcW w:w="964" w:type="pct"/>
            <w:vAlign w:val="bottom"/>
          </w:tcPr>
          <w:p w14:paraId="43303878" w14:textId="77777777" w:rsidR="00FC2BEF" w:rsidRPr="00F43653" w:rsidRDefault="00FC2BEF" w:rsidP="00FC2BEF">
            <w:pPr>
              <w:suppressAutoHyphens/>
              <w:autoSpaceDN w:val="0"/>
              <w:jc w:val="right"/>
              <w:rPr>
                <w:rFonts w:ascii="Arial" w:eastAsia="Times New Roman" w:hAnsi="Arial" w:cs="Arial"/>
                <w:b/>
                <w:color w:val="000000" w:themeColor="text1"/>
                <w:spacing w:val="-3"/>
                <w:sz w:val="20"/>
                <w:szCs w:val="20"/>
              </w:rPr>
            </w:pPr>
          </w:p>
        </w:tc>
      </w:tr>
      <w:tr w:rsidR="00B31728" w:rsidRPr="00CE12FB" w14:paraId="3D343B33" w14:textId="77777777" w:rsidTr="007478FB">
        <w:trPr>
          <w:trHeight w:val="295"/>
        </w:trPr>
        <w:tc>
          <w:tcPr>
            <w:tcW w:w="3074" w:type="pct"/>
            <w:vAlign w:val="bottom"/>
          </w:tcPr>
          <w:p w14:paraId="28CA0807" w14:textId="77777777" w:rsidR="00B31728" w:rsidRPr="00F43653" w:rsidRDefault="00B31728" w:rsidP="00B31728">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53" w:name="_Toc67328717"/>
            <w:r w:rsidRPr="00F43653">
              <w:rPr>
                <w:rFonts w:ascii="Arial" w:eastAsia="Times New Roman" w:hAnsi="Arial" w:cs="Arial"/>
                <w:color w:val="000000" w:themeColor="text1"/>
                <w:sz w:val="20"/>
                <w:szCs w:val="20"/>
              </w:rPr>
              <w:t>Stanje 1. siječnja</w:t>
            </w:r>
            <w:bookmarkEnd w:id="453"/>
            <w:r w:rsidRPr="00F43653">
              <w:rPr>
                <w:rFonts w:ascii="Arial" w:eastAsia="Times New Roman" w:hAnsi="Arial" w:cs="Arial"/>
                <w:color w:val="000000" w:themeColor="text1"/>
                <w:sz w:val="20"/>
                <w:szCs w:val="20"/>
              </w:rPr>
              <w:t xml:space="preserve"> </w:t>
            </w:r>
          </w:p>
        </w:tc>
        <w:tc>
          <w:tcPr>
            <w:tcW w:w="962" w:type="pct"/>
            <w:tcBorders>
              <w:top w:val="nil"/>
              <w:left w:val="nil"/>
              <w:bottom w:val="nil"/>
              <w:right w:val="nil"/>
            </w:tcBorders>
            <w:shd w:val="clear" w:color="auto" w:fill="auto"/>
            <w:vAlign w:val="bottom"/>
          </w:tcPr>
          <w:p w14:paraId="69A2B8E0" w14:textId="549A6744" w:rsidR="00B31728" w:rsidRPr="00F43653" w:rsidRDefault="003317AE" w:rsidP="00B31728">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3317AE">
              <w:rPr>
                <w:rFonts w:ascii="Arial" w:eastAsia="Times New Roman" w:hAnsi="Arial" w:cs="Arial"/>
                <w:color w:val="000000" w:themeColor="text1"/>
                <w:sz w:val="20"/>
                <w:szCs w:val="20"/>
              </w:rPr>
              <w:t>2.248.771</w:t>
            </w:r>
          </w:p>
        </w:tc>
        <w:tc>
          <w:tcPr>
            <w:tcW w:w="964" w:type="pct"/>
            <w:tcBorders>
              <w:top w:val="nil"/>
              <w:left w:val="nil"/>
              <w:bottom w:val="nil"/>
              <w:right w:val="nil"/>
            </w:tcBorders>
            <w:shd w:val="clear" w:color="auto" w:fill="auto"/>
            <w:vAlign w:val="bottom"/>
          </w:tcPr>
          <w:p w14:paraId="229B5C64" w14:textId="022971A2" w:rsidR="00B31728" w:rsidRPr="00F43653" w:rsidRDefault="00B31728" w:rsidP="00B31728">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C61525">
              <w:rPr>
                <w:rFonts w:ascii="Arial" w:hAnsi="Arial" w:cs="Arial"/>
                <w:color w:val="000000" w:themeColor="text1"/>
                <w:sz w:val="20"/>
              </w:rPr>
              <w:t>2.189.811</w:t>
            </w:r>
          </w:p>
        </w:tc>
      </w:tr>
      <w:tr w:rsidR="00B31728" w:rsidRPr="00CE12FB" w14:paraId="190F637D" w14:textId="77777777" w:rsidTr="00617B8A">
        <w:trPr>
          <w:trHeight w:val="311"/>
        </w:trPr>
        <w:tc>
          <w:tcPr>
            <w:tcW w:w="3074" w:type="pct"/>
            <w:vAlign w:val="bottom"/>
          </w:tcPr>
          <w:p w14:paraId="17CFE953" w14:textId="77777777" w:rsidR="00B31728" w:rsidRPr="00F43653" w:rsidRDefault="00B31728" w:rsidP="00B31728">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54" w:name="_Toc67328719"/>
            <w:r w:rsidRPr="00F43653">
              <w:rPr>
                <w:rFonts w:ascii="Arial" w:eastAsia="Times New Roman" w:hAnsi="Arial" w:cs="Arial"/>
                <w:color w:val="000000" w:themeColor="text1"/>
                <w:sz w:val="20"/>
                <w:szCs w:val="20"/>
              </w:rPr>
              <w:t>Novi krediti</w:t>
            </w:r>
            <w:bookmarkEnd w:id="454"/>
          </w:p>
        </w:tc>
        <w:tc>
          <w:tcPr>
            <w:tcW w:w="962" w:type="pct"/>
            <w:tcBorders>
              <w:top w:val="nil"/>
              <w:left w:val="nil"/>
              <w:bottom w:val="nil"/>
              <w:right w:val="nil"/>
            </w:tcBorders>
            <w:shd w:val="clear" w:color="auto" w:fill="auto"/>
            <w:vAlign w:val="bottom"/>
          </w:tcPr>
          <w:p w14:paraId="1E36C7CE" w14:textId="1F014CED" w:rsidR="00B31728" w:rsidRPr="00617B8A" w:rsidRDefault="003317AE" w:rsidP="00B31728">
            <w:pPr>
              <w:tabs>
                <w:tab w:val="right" w:pos="1202"/>
              </w:tabs>
              <w:suppressAutoHyphens/>
              <w:autoSpaceDN w:val="0"/>
              <w:spacing w:line="301" w:lineRule="exact"/>
              <w:jc w:val="right"/>
              <w:outlineLvl w:val="0"/>
              <w:rPr>
                <w:rFonts w:ascii="Arial" w:hAnsi="Arial" w:cs="Arial"/>
                <w:sz w:val="20"/>
                <w:szCs w:val="20"/>
              </w:rPr>
            </w:pPr>
            <w:r>
              <w:rPr>
                <w:rFonts w:ascii="Arial" w:hAnsi="Arial" w:cs="Arial"/>
                <w:sz w:val="20"/>
                <w:szCs w:val="20"/>
              </w:rPr>
              <w:t>457.220</w:t>
            </w:r>
          </w:p>
        </w:tc>
        <w:tc>
          <w:tcPr>
            <w:tcW w:w="964" w:type="pct"/>
            <w:tcBorders>
              <w:top w:val="nil"/>
              <w:left w:val="nil"/>
              <w:bottom w:val="nil"/>
              <w:right w:val="nil"/>
            </w:tcBorders>
            <w:shd w:val="clear" w:color="auto" w:fill="auto"/>
            <w:vAlign w:val="bottom"/>
          </w:tcPr>
          <w:p w14:paraId="369BFB95" w14:textId="0AF90921" w:rsidR="00B31728" w:rsidRPr="00F43653" w:rsidRDefault="00B31728" w:rsidP="00B31728">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C61525">
              <w:rPr>
                <w:rFonts w:ascii="Arial" w:hAnsi="Arial" w:cs="Arial"/>
                <w:sz w:val="20"/>
              </w:rPr>
              <w:t xml:space="preserve"> 653.112 </w:t>
            </w:r>
          </w:p>
        </w:tc>
      </w:tr>
      <w:tr w:rsidR="00B31728" w:rsidRPr="00CE12FB" w14:paraId="5FF02E44" w14:textId="77777777" w:rsidTr="00617B8A">
        <w:trPr>
          <w:trHeight w:val="295"/>
        </w:trPr>
        <w:tc>
          <w:tcPr>
            <w:tcW w:w="3074" w:type="pct"/>
            <w:vAlign w:val="bottom"/>
          </w:tcPr>
          <w:p w14:paraId="7E687C83" w14:textId="77777777" w:rsidR="00B31728" w:rsidRPr="00F43653" w:rsidRDefault="00B31728" w:rsidP="00B31728">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55" w:name="_Toc67328721"/>
            <w:r w:rsidRPr="00F43653">
              <w:rPr>
                <w:rFonts w:ascii="Arial" w:eastAsia="Times New Roman" w:hAnsi="Arial" w:cs="Arial"/>
                <w:color w:val="000000" w:themeColor="text1"/>
                <w:sz w:val="20"/>
                <w:szCs w:val="20"/>
              </w:rPr>
              <w:t>Povrat kredita</w:t>
            </w:r>
            <w:bookmarkEnd w:id="455"/>
          </w:p>
        </w:tc>
        <w:tc>
          <w:tcPr>
            <w:tcW w:w="962" w:type="pct"/>
            <w:tcBorders>
              <w:top w:val="nil"/>
              <w:left w:val="nil"/>
              <w:bottom w:val="nil"/>
              <w:right w:val="nil"/>
            </w:tcBorders>
            <w:shd w:val="clear" w:color="auto" w:fill="auto"/>
            <w:vAlign w:val="bottom"/>
          </w:tcPr>
          <w:p w14:paraId="097DA015" w14:textId="186B4C2C" w:rsidR="00B31728" w:rsidRPr="00617B8A" w:rsidRDefault="003317AE" w:rsidP="00B31728">
            <w:pPr>
              <w:tabs>
                <w:tab w:val="right" w:pos="1202"/>
              </w:tabs>
              <w:suppressAutoHyphens/>
              <w:autoSpaceDN w:val="0"/>
              <w:spacing w:line="301" w:lineRule="exact"/>
              <w:jc w:val="right"/>
              <w:outlineLvl w:val="0"/>
              <w:rPr>
                <w:rFonts w:ascii="Arial" w:hAnsi="Arial" w:cs="Arial"/>
                <w:sz w:val="20"/>
                <w:szCs w:val="20"/>
              </w:rPr>
            </w:pPr>
            <w:r>
              <w:rPr>
                <w:rFonts w:ascii="Arial" w:hAnsi="Arial" w:cs="Arial"/>
                <w:sz w:val="20"/>
                <w:szCs w:val="20"/>
              </w:rPr>
              <w:t>(514.722)</w:t>
            </w:r>
          </w:p>
        </w:tc>
        <w:tc>
          <w:tcPr>
            <w:tcW w:w="964" w:type="pct"/>
            <w:tcBorders>
              <w:top w:val="nil"/>
              <w:left w:val="nil"/>
              <w:bottom w:val="nil"/>
              <w:right w:val="nil"/>
            </w:tcBorders>
            <w:shd w:val="clear" w:color="auto" w:fill="auto"/>
            <w:vAlign w:val="bottom"/>
          </w:tcPr>
          <w:p w14:paraId="33730E16" w14:textId="0EDFF017" w:rsidR="00B31728" w:rsidRPr="00F43653" w:rsidRDefault="00B31728" w:rsidP="00B31728">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C61525">
              <w:rPr>
                <w:rFonts w:ascii="Arial" w:hAnsi="Arial" w:cs="Arial"/>
                <w:sz w:val="20"/>
              </w:rPr>
              <w:t xml:space="preserve"> (593.361)</w:t>
            </w:r>
          </w:p>
        </w:tc>
      </w:tr>
      <w:tr w:rsidR="00B31728" w:rsidRPr="00CE12FB" w14:paraId="48EF94CE" w14:textId="77777777" w:rsidTr="00617B8A">
        <w:trPr>
          <w:trHeight w:val="295"/>
        </w:trPr>
        <w:tc>
          <w:tcPr>
            <w:tcW w:w="3074" w:type="pct"/>
            <w:vAlign w:val="bottom"/>
          </w:tcPr>
          <w:p w14:paraId="1C2BE376" w14:textId="77777777" w:rsidR="00B31728" w:rsidRPr="00F43653" w:rsidRDefault="00B31728" w:rsidP="00B31728">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56" w:name="_Toc67328723"/>
            <w:r w:rsidRPr="00F43653">
              <w:rPr>
                <w:rFonts w:ascii="Arial" w:eastAsia="Times New Roman" w:hAnsi="Arial" w:cs="Arial"/>
                <w:color w:val="000000" w:themeColor="text1"/>
                <w:sz w:val="20"/>
                <w:szCs w:val="20"/>
              </w:rPr>
              <w:t>Neto dobit/gubitak od tečajnih razlika</w:t>
            </w:r>
            <w:bookmarkEnd w:id="456"/>
          </w:p>
        </w:tc>
        <w:tc>
          <w:tcPr>
            <w:tcW w:w="962" w:type="pct"/>
            <w:tcBorders>
              <w:top w:val="nil"/>
              <w:left w:val="nil"/>
              <w:bottom w:val="single" w:sz="4" w:space="0" w:color="auto"/>
              <w:right w:val="nil"/>
            </w:tcBorders>
            <w:shd w:val="clear" w:color="auto" w:fill="auto"/>
            <w:vAlign w:val="bottom"/>
          </w:tcPr>
          <w:p w14:paraId="5AC1E9E7" w14:textId="2180C474" w:rsidR="00B31728" w:rsidRPr="00617B8A" w:rsidRDefault="00266662" w:rsidP="00B31728">
            <w:pPr>
              <w:tabs>
                <w:tab w:val="right" w:pos="1202"/>
              </w:tabs>
              <w:suppressAutoHyphens/>
              <w:autoSpaceDN w:val="0"/>
              <w:spacing w:line="301" w:lineRule="exact"/>
              <w:jc w:val="right"/>
              <w:outlineLvl w:val="0"/>
              <w:rPr>
                <w:rFonts w:ascii="Arial" w:hAnsi="Arial" w:cs="Arial"/>
                <w:sz w:val="20"/>
                <w:szCs w:val="20"/>
              </w:rPr>
            </w:pPr>
            <w:r>
              <w:rPr>
                <w:rFonts w:ascii="Arial" w:hAnsi="Arial" w:cs="Arial"/>
                <w:sz w:val="20"/>
                <w:szCs w:val="20"/>
              </w:rPr>
              <w:t>(124)</w:t>
            </w:r>
          </w:p>
        </w:tc>
        <w:tc>
          <w:tcPr>
            <w:tcW w:w="964" w:type="pct"/>
            <w:tcBorders>
              <w:top w:val="nil"/>
              <w:left w:val="nil"/>
              <w:bottom w:val="single" w:sz="4" w:space="0" w:color="auto"/>
              <w:right w:val="nil"/>
            </w:tcBorders>
            <w:shd w:val="clear" w:color="auto" w:fill="auto"/>
            <w:vAlign w:val="bottom"/>
          </w:tcPr>
          <w:p w14:paraId="5C371A0F" w14:textId="400A5632" w:rsidR="00B31728" w:rsidRPr="00F43653" w:rsidRDefault="00B31728" w:rsidP="00B31728">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C61525">
              <w:rPr>
                <w:rFonts w:ascii="Arial" w:hAnsi="Arial" w:cs="Arial"/>
                <w:sz w:val="20"/>
              </w:rPr>
              <w:t xml:space="preserve"> (791)</w:t>
            </w:r>
          </w:p>
        </w:tc>
      </w:tr>
      <w:tr w:rsidR="00B31728" w:rsidRPr="00CE12FB" w14:paraId="54FAA3F9" w14:textId="77777777" w:rsidTr="007478FB">
        <w:trPr>
          <w:trHeight w:val="295"/>
        </w:trPr>
        <w:tc>
          <w:tcPr>
            <w:tcW w:w="3074" w:type="pct"/>
            <w:vAlign w:val="bottom"/>
          </w:tcPr>
          <w:p w14:paraId="2A2C7722" w14:textId="77777777" w:rsidR="00B31728" w:rsidRPr="00F43653" w:rsidRDefault="00B31728" w:rsidP="00B31728">
            <w:pPr>
              <w:tabs>
                <w:tab w:val="right" w:pos="1202"/>
              </w:tabs>
              <w:suppressAutoHyphens/>
              <w:autoSpaceDN w:val="0"/>
              <w:spacing w:line="301" w:lineRule="exact"/>
              <w:outlineLvl w:val="0"/>
              <w:rPr>
                <w:rFonts w:ascii="Arial" w:eastAsia="Times New Roman" w:hAnsi="Arial" w:cs="Arial"/>
                <w:i/>
                <w:color w:val="000000" w:themeColor="text1"/>
                <w:sz w:val="20"/>
                <w:szCs w:val="20"/>
              </w:rPr>
            </w:pPr>
          </w:p>
        </w:tc>
        <w:tc>
          <w:tcPr>
            <w:tcW w:w="962" w:type="pct"/>
            <w:tcBorders>
              <w:top w:val="single" w:sz="4" w:space="0" w:color="auto"/>
              <w:bottom w:val="single" w:sz="12" w:space="0" w:color="auto"/>
            </w:tcBorders>
            <w:vAlign w:val="bottom"/>
          </w:tcPr>
          <w:p w14:paraId="06E31418" w14:textId="53CF5565" w:rsidR="00B31728" w:rsidRPr="00F43653" w:rsidRDefault="00266662" w:rsidP="00B31728">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2.191.145</w:t>
            </w:r>
          </w:p>
        </w:tc>
        <w:tc>
          <w:tcPr>
            <w:tcW w:w="964" w:type="pct"/>
            <w:tcBorders>
              <w:top w:val="single" w:sz="4" w:space="0" w:color="auto"/>
              <w:bottom w:val="single" w:sz="12" w:space="0" w:color="auto"/>
            </w:tcBorders>
            <w:vAlign w:val="bottom"/>
          </w:tcPr>
          <w:p w14:paraId="50868DCC" w14:textId="6799A16D" w:rsidR="00B31728" w:rsidRPr="00F43653" w:rsidRDefault="00B31728" w:rsidP="00B31728">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C61525">
              <w:rPr>
                <w:rFonts w:ascii="Arial" w:hAnsi="Arial" w:cs="Arial"/>
                <w:color w:val="000000" w:themeColor="text1"/>
                <w:sz w:val="20"/>
              </w:rPr>
              <w:t>2.248.771</w:t>
            </w:r>
          </w:p>
        </w:tc>
      </w:tr>
      <w:tr w:rsidR="00B31728" w:rsidRPr="00CE12FB" w14:paraId="6307CE49" w14:textId="77777777" w:rsidTr="007478FB">
        <w:trPr>
          <w:trHeight w:val="295"/>
        </w:trPr>
        <w:tc>
          <w:tcPr>
            <w:tcW w:w="3074" w:type="pct"/>
            <w:vAlign w:val="bottom"/>
          </w:tcPr>
          <w:p w14:paraId="2E7171A2" w14:textId="77777777" w:rsidR="00B31728" w:rsidRPr="00F43653" w:rsidRDefault="00B31728" w:rsidP="00B31728">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57" w:name="_Toc67328727"/>
            <w:r w:rsidRPr="00F43653">
              <w:rPr>
                <w:rFonts w:ascii="Arial" w:eastAsia="Times New Roman" w:hAnsi="Arial" w:cs="Arial"/>
                <w:color w:val="000000" w:themeColor="text1"/>
                <w:sz w:val="20"/>
                <w:szCs w:val="20"/>
              </w:rPr>
              <w:t>Obračunata kamata</w:t>
            </w:r>
            <w:bookmarkEnd w:id="457"/>
          </w:p>
        </w:tc>
        <w:tc>
          <w:tcPr>
            <w:tcW w:w="962" w:type="pct"/>
            <w:tcBorders>
              <w:top w:val="single" w:sz="12" w:space="0" w:color="auto"/>
              <w:left w:val="nil"/>
              <w:bottom w:val="nil"/>
              <w:right w:val="nil"/>
            </w:tcBorders>
            <w:shd w:val="clear" w:color="auto" w:fill="auto"/>
            <w:vAlign w:val="bottom"/>
          </w:tcPr>
          <w:p w14:paraId="51211616" w14:textId="7B21761C" w:rsidR="00B31728" w:rsidRPr="00F43653" w:rsidRDefault="00266662" w:rsidP="00B31728">
            <w:pPr>
              <w:suppressAutoHyphens/>
              <w:autoSpaceDN w:val="0"/>
              <w:jc w:val="right"/>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7.735</w:t>
            </w:r>
          </w:p>
        </w:tc>
        <w:tc>
          <w:tcPr>
            <w:tcW w:w="964" w:type="pct"/>
            <w:tcBorders>
              <w:top w:val="single" w:sz="12" w:space="0" w:color="auto"/>
              <w:left w:val="nil"/>
              <w:bottom w:val="nil"/>
              <w:right w:val="nil"/>
            </w:tcBorders>
            <w:shd w:val="clear" w:color="auto" w:fill="auto"/>
            <w:vAlign w:val="bottom"/>
          </w:tcPr>
          <w:p w14:paraId="7D5939B5" w14:textId="0BD2D247" w:rsidR="00B31728" w:rsidRPr="00F43653" w:rsidRDefault="00B31728" w:rsidP="00B31728">
            <w:pPr>
              <w:tabs>
                <w:tab w:val="right" w:pos="1202"/>
              </w:tabs>
              <w:suppressAutoHyphens/>
              <w:autoSpaceDN w:val="0"/>
              <w:spacing w:line="301" w:lineRule="exact"/>
              <w:jc w:val="right"/>
              <w:outlineLvl w:val="0"/>
              <w:rPr>
                <w:rFonts w:ascii="Arial" w:eastAsia="Times New Roman" w:hAnsi="Arial" w:cs="Arial"/>
                <w:color w:val="000000" w:themeColor="text1"/>
                <w:spacing w:val="-2"/>
                <w:sz w:val="20"/>
                <w:szCs w:val="20"/>
              </w:rPr>
            </w:pPr>
            <w:r w:rsidRPr="00C61525">
              <w:rPr>
                <w:rFonts w:ascii="Arial" w:hAnsi="Arial" w:cs="Arial"/>
                <w:sz w:val="20"/>
              </w:rPr>
              <w:t xml:space="preserve"> 5.737 </w:t>
            </w:r>
          </w:p>
        </w:tc>
      </w:tr>
      <w:tr w:rsidR="00B31728" w:rsidRPr="00CE12FB" w14:paraId="6A357E48" w14:textId="77777777" w:rsidTr="007478FB">
        <w:trPr>
          <w:trHeight w:val="295"/>
        </w:trPr>
        <w:tc>
          <w:tcPr>
            <w:tcW w:w="3074" w:type="pct"/>
            <w:vAlign w:val="bottom"/>
          </w:tcPr>
          <w:p w14:paraId="3D81B856" w14:textId="77777777" w:rsidR="00B31728" w:rsidRPr="00F43653" w:rsidRDefault="00B31728" w:rsidP="00B31728">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58" w:name="_Toc67328729"/>
            <w:r w:rsidRPr="00F43653">
              <w:rPr>
                <w:rFonts w:ascii="Arial" w:eastAsia="Times New Roman" w:hAnsi="Arial" w:cs="Arial"/>
                <w:color w:val="000000" w:themeColor="text1"/>
                <w:sz w:val="20"/>
                <w:szCs w:val="20"/>
              </w:rPr>
              <w:t>Odgođena naknada</w:t>
            </w:r>
            <w:bookmarkEnd w:id="458"/>
          </w:p>
        </w:tc>
        <w:tc>
          <w:tcPr>
            <w:tcW w:w="962" w:type="pct"/>
            <w:tcBorders>
              <w:top w:val="nil"/>
              <w:left w:val="nil"/>
              <w:bottom w:val="single" w:sz="4" w:space="0" w:color="auto"/>
              <w:right w:val="nil"/>
            </w:tcBorders>
            <w:shd w:val="clear" w:color="auto" w:fill="auto"/>
            <w:vAlign w:val="bottom"/>
          </w:tcPr>
          <w:p w14:paraId="348991B6" w14:textId="63E80BF9" w:rsidR="00B31728" w:rsidRPr="00F43653" w:rsidRDefault="00266662" w:rsidP="00B31728">
            <w:pPr>
              <w:suppressAutoHyphens/>
              <w:autoSpaceDN w:val="0"/>
              <w:jc w:val="right"/>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(2.990)</w:t>
            </w:r>
          </w:p>
        </w:tc>
        <w:tc>
          <w:tcPr>
            <w:tcW w:w="964" w:type="pct"/>
            <w:tcBorders>
              <w:top w:val="nil"/>
              <w:left w:val="nil"/>
              <w:bottom w:val="single" w:sz="4" w:space="0" w:color="auto"/>
              <w:right w:val="nil"/>
            </w:tcBorders>
            <w:shd w:val="clear" w:color="auto" w:fill="auto"/>
            <w:vAlign w:val="bottom"/>
          </w:tcPr>
          <w:p w14:paraId="1CA7BE1F" w14:textId="31D9B50D" w:rsidR="00B31728" w:rsidRPr="00F43653" w:rsidRDefault="00B31728" w:rsidP="00B31728">
            <w:pPr>
              <w:tabs>
                <w:tab w:val="right" w:pos="1202"/>
              </w:tabs>
              <w:suppressAutoHyphens/>
              <w:autoSpaceDN w:val="0"/>
              <w:spacing w:line="301" w:lineRule="exact"/>
              <w:jc w:val="right"/>
              <w:outlineLvl w:val="0"/>
              <w:rPr>
                <w:rFonts w:ascii="Arial" w:eastAsia="Times New Roman" w:hAnsi="Arial" w:cs="Arial"/>
                <w:color w:val="000000" w:themeColor="text1"/>
                <w:spacing w:val="-2"/>
                <w:sz w:val="20"/>
                <w:szCs w:val="20"/>
              </w:rPr>
            </w:pPr>
            <w:r w:rsidRPr="00C61525">
              <w:rPr>
                <w:rFonts w:ascii="Arial" w:hAnsi="Arial" w:cs="Arial"/>
                <w:sz w:val="20"/>
              </w:rPr>
              <w:t xml:space="preserve"> (3.332)</w:t>
            </w:r>
          </w:p>
        </w:tc>
      </w:tr>
      <w:tr w:rsidR="00B31728" w:rsidRPr="00CE12FB" w14:paraId="23A6E059" w14:textId="77777777" w:rsidTr="007478FB">
        <w:trPr>
          <w:trHeight w:val="327"/>
        </w:trPr>
        <w:tc>
          <w:tcPr>
            <w:tcW w:w="3074" w:type="pct"/>
            <w:vAlign w:val="bottom"/>
          </w:tcPr>
          <w:p w14:paraId="213A73E3" w14:textId="77777777" w:rsidR="00B31728" w:rsidRPr="00F43653" w:rsidRDefault="00B31728" w:rsidP="00B31728">
            <w:pPr>
              <w:tabs>
                <w:tab w:val="right" w:pos="1202"/>
              </w:tabs>
              <w:suppressAutoHyphens/>
              <w:autoSpaceDN w:val="0"/>
              <w:spacing w:line="340" w:lineRule="exact"/>
              <w:outlineLvl w:val="0"/>
              <w:rPr>
                <w:rFonts w:ascii="Arial" w:eastAsia="Times New Roman" w:hAnsi="Arial" w:cs="Arial"/>
                <w:b/>
                <w:bCs/>
                <w:color w:val="000000" w:themeColor="text1"/>
                <w:sz w:val="20"/>
                <w:szCs w:val="20"/>
              </w:rPr>
            </w:pPr>
          </w:p>
        </w:tc>
        <w:tc>
          <w:tcPr>
            <w:tcW w:w="962" w:type="pct"/>
            <w:tcBorders>
              <w:top w:val="single" w:sz="4" w:space="0" w:color="auto"/>
              <w:bottom w:val="single" w:sz="12" w:space="0" w:color="auto"/>
            </w:tcBorders>
            <w:vAlign w:val="bottom"/>
          </w:tcPr>
          <w:p w14:paraId="5A7C9C3C" w14:textId="3347A75A" w:rsidR="00B31728" w:rsidRPr="00F43653" w:rsidRDefault="00266662" w:rsidP="00B31728">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2.195.890</w:t>
            </w:r>
          </w:p>
        </w:tc>
        <w:tc>
          <w:tcPr>
            <w:tcW w:w="964" w:type="pct"/>
            <w:tcBorders>
              <w:top w:val="single" w:sz="4" w:space="0" w:color="auto"/>
              <w:bottom w:val="single" w:sz="12" w:space="0" w:color="auto"/>
            </w:tcBorders>
            <w:vAlign w:val="bottom"/>
          </w:tcPr>
          <w:p w14:paraId="7982A2A7" w14:textId="0803839A" w:rsidR="00B31728" w:rsidRPr="00F43653" w:rsidRDefault="00B31728" w:rsidP="00B31728">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C61525">
              <w:rPr>
                <w:rFonts w:ascii="Arial" w:hAnsi="Arial" w:cs="Arial"/>
                <w:b/>
                <w:bCs/>
                <w:color w:val="000000" w:themeColor="text1"/>
                <w:sz w:val="20"/>
              </w:rPr>
              <w:t>2.251.176</w:t>
            </w:r>
          </w:p>
        </w:tc>
      </w:tr>
    </w:tbl>
    <w:p w14:paraId="53F97D97" w14:textId="70E76669" w:rsidR="00FC2BEF" w:rsidRDefault="00FC2BEF" w:rsidP="00FC2BEF">
      <w:pPr>
        <w:tabs>
          <w:tab w:val="left" w:pos="-1843"/>
        </w:tabs>
        <w:suppressAutoHyphens/>
        <w:autoSpaceDN w:val="0"/>
        <w:jc w:val="both"/>
        <w:outlineLvl w:val="0"/>
        <w:rPr>
          <w:rFonts w:ascii="Arial" w:eastAsia="Times New Roman" w:hAnsi="Arial" w:cs="Arial"/>
          <w:b/>
          <w:color w:val="000000" w:themeColor="text1"/>
          <w:sz w:val="20"/>
          <w:szCs w:val="20"/>
        </w:rPr>
      </w:pPr>
    </w:p>
    <w:p w14:paraId="7850AC26" w14:textId="49E91E1F" w:rsidR="00344BAD" w:rsidRDefault="00344BAD" w:rsidP="00FC2BEF">
      <w:pPr>
        <w:tabs>
          <w:tab w:val="left" w:pos="-1843"/>
        </w:tabs>
        <w:suppressAutoHyphens/>
        <w:autoSpaceDN w:val="0"/>
        <w:jc w:val="both"/>
        <w:outlineLvl w:val="0"/>
        <w:rPr>
          <w:rFonts w:ascii="Arial" w:eastAsia="Times New Roman" w:hAnsi="Arial" w:cs="Arial"/>
          <w:b/>
          <w:color w:val="000000" w:themeColor="text1"/>
          <w:sz w:val="20"/>
          <w:szCs w:val="20"/>
        </w:rPr>
      </w:pPr>
    </w:p>
    <w:p w14:paraId="0F356FE5" w14:textId="77777777" w:rsidR="00344BAD" w:rsidRPr="003D1614" w:rsidRDefault="00344BAD" w:rsidP="00FC2BEF">
      <w:pPr>
        <w:tabs>
          <w:tab w:val="left" w:pos="-1843"/>
        </w:tabs>
        <w:suppressAutoHyphens/>
        <w:autoSpaceDN w:val="0"/>
        <w:jc w:val="both"/>
        <w:outlineLvl w:val="0"/>
        <w:rPr>
          <w:rFonts w:ascii="Arial" w:eastAsia="Times New Roman" w:hAnsi="Arial" w:cs="Arial"/>
          <w:b/>
          <w:color w:val="000000" w:themeColor="text1"/>
          <w:sz w:val="20"/>
          <w:szCs w:val="20"/>
        </w:rPr>
      </w:pPr>
    </w:p>
    <w:p w14:paraId="2553D9BB" w14:textId="77777777" w:rsidR="00FC2BEF" w:rsidRPr="003D1614" w:rsidRDefault="00FC2BEF" w:rsidP="00FC2BEF">
      <w:pPr>
        <w:suppressAutoHyphens/>
        <w:autoSpaceDN w:val="0"/>
        <w:jc w:val="both"/>
        <w:rPr>
          <w:rFonts w:ascii="Arial" w:eastAsia="Times New Roman" w:hAnsi="Arial" w:cs="Arial"/>
          <w:sz w:val="20"/>
          <w:szCs w:val="20"/>
          <w:lang w:eastAsia="hr-HR"/>
        </w:rPr>
      </w:pPr>
      <w:bookmarkStart w:id="459" w:name="_Hlk99027061"/>
    </w:p>
    <w:tbl>
      <w:tblPr>
        <w:tblW w:w="9128" w:type="dxa"/>
        <w:tblLayout w:type="fixed"/>
        <w:tblLook w:val="04A0" w:firstRow="1" w:lastRow="0" w:firstColumn="1" w:lastColumn="0" w:noHBand="0" w:noVBand="1"/>
      </w:tblPr>
      <w:tblGrid>
        <w:gridCol w:w="5613"/>
        <w:gridCol w:w="1757"/>
        <w:gridCol w:w="1758"/>
      </w:tblGrid>
      <w:tr w:rsidR="00FC2BEF" w:rsidRPr="003D1614" w14:paraId="67C4131B" w14:textId="77777777" w:rsidTr="0064018A">
        <w:trPr>
          <w:trHeight w:val="290"/>
        </w:trPr>
        <w:tc>
          <w:tcPr>
            <w:tcW w:w="5613" w:type="dxa"/>
            <w:tcBorders>
              <w:top w:val="nil"/>
              <w:left w:val="nil"/>
              <w:bottom w:val="nil"/>
              <w:right w:val="nil"/>
            </w:tcBorders>
            <w:shd w:val="clear" w:color="auto" w:fill="auto"/>
            <w:vAlign w:val="bottom"/>
            <w:hideMark/>
          </w:tcPr>
          <w:p w14:paraId="1CD4A68A" w14:textId="77777777" w:rsidR="00FC2BEF" w:rsidRPr="003D1614" w:rsidRDefault="00FC2BEF" w:rsidP="00FC2BEF">
            <w:pPr>
              <w:suppressAutoHyphens/>
              <w:autoSpaceDN w:val="0"/>
              <w:rPr>
                <w:rFonts w:ascii="Arial" w:eastAsia="Times New Roman" w:hAnsi="Arial" w:cs="Arial"/>
                <w:sz w:val="20"/>
                <w:szCs w:val="20"/>
              </w:rPr>
            </w:pPr>
            <w:bookmarkStart w:id="460" w:name="_Hlk99095251"/>
            <w:bookmarkEnd w:id="459"/>
          </w:p>
        </w:tc>
        <w:tc>
          <w:tcPr>
            <w:tcW w:w="3515" w:type="dxa"/>
            <w:gridSpan w:val="2"/>
            <w:tcBorders>
              <w:top w:val="nil"/>
              <w:left w:val="nil"/>
              <w:bottom w:val="nil"/>
              <w:right w:val="nil"/>
            </w:tcBorders>
            <w:shd w:val="clear" w:color="auto" w:fill="auto"/>
            <w:vAlign w:val="bottom"/>
            <w:hideMark/>
          </w:tcPr>
          <w:p w14:paraId="2505BA2D" w14:textId="77777777" w:rsidR="00FC2BEF" w:rsidRPr="003D1614" w:rsidRDefault="00FC2BEF" w:rsidP="00FC2BEF">
            <w:pPr>
              <w:suppressAutoHyphens/>
              <w:autoSpaceDN w:val="0"/>
              <w:jc w:val="right"/>
              <w:rPr>
                <w:rFonts w:ascii="Arial" w:eastAsia="Times New Roman" w:hAnsi="Arial" w:cs="Arial"/>
                <w:b/>
                <w:bCs/>
                <w:color w:val="000000"/>
                <w:sz w:val="20"/>
                <w:szCs w:val="20"/>
              </w:rPr>
            </w:pPr>
            <w:r w:rsidRPr="003D1614">
              <w:rPr>
                <w:rFonts w:ascii="Arial" w:eastAsia="Times New Roman" w:hAnsi="Arial" w:cs="Arial"/>
                <w:b/>
                <w:bCs/>
                <w:color w:val="000000"/>
                <w:sz w:val="20"/>
                <w:szCs w:val="20"/>
              </w:rPr>
              <w:t>Grupa i Banka</w:t>
            </w:r>
          </w:p>
        </w:tc>
      </w:tr>
      <w:tr w:rsidR="00FC2BEF" w:rsidRPr="003D1614" w14:paraId="28F0F23D" w14:textId="77777777" w:rsidTr="0064018A">
        <w:trPr>
          <w:trHeight w:val="290"/>
        </w:trPr>
        <w:tc>
          <w:tcPr>
            <w:tcW w:w="5613" w:type="dxa"/>
            <w:vMerge w:val="restart"/>
            <w:tcBorders>
              <w:top w:val="nil"/>
              <w:left w:val="nil"/>
              <w:bottom w:val="nil"/>
              <w:right w:val="nil"/>
            </w:tcBorders>
            <w:shd w:val="clear" w:color="auto" w:fill="auto"/>
            <w:vAlign w:val="bottom"/>
            <w:hideMark/>
          </w:tcPr>
          <w:p w14:paraId="681DECF1" w14:textId="77777777" w:rsidR="00FC2BEF" w:rsidRPr="003D1614" w:rsidRDefault="00FC2BEF" w:rsidP="00FC2BEF">
            <w:pPr>
              <w:suppressAutoHyphens/>
              <w:autoSpaceDN w:val="0"/>
              <w:jc w:val="right"/>
              <w:rPr>
                <w:rFonts w:ascii="Arial" w:eastAsia="Times New Roman" w:hAnsi="Arial" w:cs="Arial"/>
                <w:b/>
                <w:bCs/>
                <w:color w:val="000000"/>
                <w:sz w:val="20"/>
                <w:szCs w:val="20"/>
              </w:rPr>
            </w:pPr>
          </w:p>
        </w:tc>
        <w:tc>
          <w:tcPr>
            <w:tcW w:w="1757" w:type="dxa"/>
            <w:tcBorders>
              <w:top w:val="nil"/>
              <w:left w:val="nil"/>
              <w:bottom w:val="nil"/>
              <w:right w:val="nil"/>
            </w:tcBorders>
            <w:shd w:val="clear" w:color="auto" w:fill="auto"/>
            <w:vAlign w:val="bottom"/>
            <w:hideMark/>
          </w:tcPr>
          <w:p w14:paraId="5F17B63C" w14:textId="72B253E4" w:rsidR="00FC2BEF" w:rsidRPr="003D1614" w:rsidRDefault="002C0DB3" w:rsidP="00FC2BEF">
            <w:pPr>
              <w:suppressAutoHyphens/>
              <w:autoSpaceDN w:val="0"/>
              <w:jc w:val="right"/>
              <w:rPr>
                <w:rFonts w:ascii="Arial" w:eastAsia="Times New Roman" w:hAnsi="Arial" w:cs="Arial"/>
                <w:b/>
                <w:bCs/>
                <w:color w:val="000000"/>
                <w:sz w:val="20"/>
                <w:szCs w:val="20"/>
              </w:rPr>
            </w:pPr>
            <w:r w:rsidRPr="002C0DB3">
              <w:rPr>
                <w:rFonts w:ascii="Arial" w:eastAsia="Times New Roman" w:hAnsi="Arial" w:cs="Arial"/>
                <w:b/>
                <w:bCs/>
                <w:color w:val="000000"/>
                <w:sz w:val="20"/>
                <w:szCs w:val="20"/>
              </w:rPr>
              <w:t>30. rujna</w:t>
            </w:r>
          </w:p>
        </w:tc>
        <w:tc>
          <w:tcPr>
            <w:tcW w:w="1758" w:type="dxa"/>
            <w:tcBorders>
              <w:top w:val="nil"/>
              <w:left w:val="nil"/>
              <w:bottom w:val="nil"/>
              <w:right w:val="nil"/>
            </w:tcBorders>
            <w:shd w:val="clear" w:color="auto" w:fill="auto"/>
            <w:vAlign w:val="bottom"/>
            <w:hideMark/>
          </w:tcPr>
          <w:p w14:paraId="2BB71016" w14:textId="77777777" w:rsidR="00FC2BEF" w:rsidRPr="003D1614" w:rsidRDefault="00FC2BEF" w:rsidP="00FC2BEF">
            <w:pPr>
              <w:suppressAutoHyphens/>
              <w:autoSpaceDN w:val="0"/>
              <w:jc w:val="right"/>
              <w:rPr>
                <w:rFonts w:ascii="Arial" w:eastAsia="Times New Roman" w:hAnsi="Arial" w:cs="Arial"/>
                <w:b/>
                <w:bCs/>
                <w:color w:val="000000"/>
                <w:sz w:val="20"/>
                <w:szCs w:val="20"/>
              </w:rPr>
            </w:pPr>
            <w:r w:rsidRPr="003D1614">
              <w:rPr>
                <w:rFonts w:ascii="Arial" w:eastAsia="Times New Roman" w:hAnsi="Arial" w:cs="Arial"/>
                <w:b/>
                <w:bCs/>
                <w:color w:val="000000"/>
                <w:sz w:val="20"/>
                <w:szCs w:val="20"/>
              </w:rPr>
              <w:t xml:space="preserve">31. prosinca </w:t>
            </w:r>
          </w:p>
        </w:tc>
      </w:tr>
      <w:tr w:rsidR="00FC2BEF" w:rsidRPr="003D1614" w14:paraId="5EED52E1" w14:textId="77777777" w:rsidTr="0064018A">
        <w:trPr>
          <w:trHeight w:val="290"/>
        </w:trPr>
        <w:tc>
          <w:tcPr>
            <w:tcW w:w="5613" w:type="dxa"/>
            <w:vMerge/>
            <w:tcBorders>
              <w:top w:val="nil"/>
              <w:left w:val="nil"/>
              <w:bottom w:val="nil"/>
              <w:right w:val="nil"/>
            </w:tcBorders>
            <w:vAlign w:val="bottom"/>
            <w:hideMark/>
          </w:tcPr>
          <w:p w14:paraId="3E89C442" w14:textId="77777777" w:rsidR="00FC2BEF" w:rsidRPr="003D1614" w:rsidRDefault="00FC2BEF" w:rsidP="00FC2BEF">
            <w:pPr>
              <w:suppressAutoHyphens/>
              <w:autoSpaceDN w:val="0"/>
              <w:rPr>
                <w:rFonts w:ascii="Arial" w:eastAsia="Times New Roman" w:hAnsi="Arial" w:cs="Arial"/>
                <w:b/>
                <w:bCs/>
                <w:color w:val="000000"/>
                <w:sz w:val="20"/>
                <w:szCs w:val="20"/>
              </w:rPr>
            </w:pPr>
          </w:p>
        </w:tc>
        <w:tc>
          <w:tcPr>
            <w:tcW w:w="1757" w:type="dxa"/>
            <w:tcBorders>
              <w:top w:val="nil"/>
              <w:left w:val="nil"/>
              <w:bottom w:val="nil"/>
              <w:right w:val="nil"/>
            </w:tcBorders>
            <w:shd w:val="clear" w:color="auto" w:fill="auto"/>
            <w:vAlign w:val="bottom"/>
            <w:hideMark/>
          </w:tcPr>
          <w:p w14:paraId="463AF75C" w14:textId="62115F9D" w:rsidR="00FC2BEF" w:rsidRPr="003D1614" w:rsidRDefault="00FC2BEF" w:rsidP="00FC2BEF">
            <w:pPr>
              <w:suppressAutoHyphens/>
              <w:autoSpaceDN w:val="0"/>
              <w:jc w:val="right"/>
              <w:rPr>
                <w:rFonts w:ascii="Arial" w:eastAsia="Times New Roman" w:hAnsi="Arial" w:cs="Arial"/>
                <w:b/>
                <w:bCs/>
                <w:color w:val="000000"/>
                <w:sz w:val="20"/>
                <w:szCs w:val="20"/>
              </w:rPr>
            </w:pPr>
            <w:r w:rsidRPr="003D1614">
              <w:rPr>
                <w:rFonts w:ascii="Arial" w:eastAsia="Times New Roman" w:hAnsi="Arial" w:cs="Arial"/>
                <w:b/>
                <w:bCs/>
                <w:color w:val="000000"/>
                <w:sz w:val="20"/>
                <w:szCs w:val="20"/>
              </w:rPr>
              <w:t xml:space="preserve"> 202</w:t>
            </w:r>
            <w:r w:rsidR="00B31728">
              <w:rPr>
                <w:rFonts w:ascii="Arial" w:eastAsia="Times New Roman" w:hAnsi="Arial" w:cs="Arial"/>
                <w:b/>
                <w:bCs/>
                <w:color w:val="000000"/>
                <w:sz w:val="20"/>
                <w:szCs w:val="20"/>
              </w:rPr>
              <w:t>4</w:t>
            </w:r>
            <w:r w:rsidRPr="003D1614">
              <w:rPr>
                <w:rFonts w:ascii="Arial" w:eastAsia="Times New Roman" w:hAnsi="Arial" w:cs="Arial"/>
                <w:b/>
                <w:bCs/>
                <w:color w:val="000000"/>
                <w:sz w:val="20"/>
                <w:szCs w:val="20"/>
              </w:rPr>
              <w:t>.</w:t>
            </w:r>
          </w:p>
        </w:tc>
        <w:tc>
          <w:tcPr>
            <w:tcW w:w="1758" w:type="dxa"/>
            <w:tcBorders>
              <w:top w:val="nil"/>
              <w:left w:val="nil"/>
              <w:bottom w:val="nil"/>
              <w:right w:val="nil"/>
            </w:tcBorders>
            <w:shd w:val="clear" w:color="auto" w:fill="auto"/>
            <w:vAlign w:val="bottom"/>
            <w:hideMark/>
          </w:tcPr>
          <w:p w14:paraId="5F306707" w14:textId="15EC8631" w:rsidR="00FC2BEF" w:rsidRPr="003D1614" w:rsidRDefault="00FC2BEF" w:rsidP="00FC2BEF">
            <w:pPr>
              <w:suppressAutoHyphens/>
              <w:autoSpaceDN w:val="0"/>
              <w:jc w:val="right"/>
              <w:rPr>
                <w:rFonts w:ascii="Arial" w:eastAsia="Times New Roman" w:hAnsi="Arial" w:cs="Arial"/>
                <w:b/>
                <w:bCs/>
                <w:color w:val="000000"/>
                <w:sz w:val="20"/>
                <w:szCs w:val="20"/>
              </w:rPr>
            </w:pPr>
            <w:r w:rsidRPr="003D1614">
              <w:rPr>
                <w:rFonts w:ascii="Arial" w:eastAsia="Times New Roman" w:hAnsi="Arial" w:cs="Arial"/>
                <w:b/>
                <w:bCs/>
                <w:color w:val="000000"/>
                <w:sz w:val="20"/>
                <w:szCs w:val="20"/>
              </w:rPr>
              <w:t>202</w:t>
            </w:r>
            <w:r w:rsidR="00B31728">
              <w:rPr>
                <w:rFonts w:ascii="Arial" w:eastAsia="Times New Roman" w:hAnsi="Arial" w:cs="Arial"/>
                <w:b/>
                <w:bCs/>
                <w:color w:val="000000"/>
                <w:sz w:val="20"/>
                <w:szCs w:val="20"/>
              </w:rPr>
              <w:t>3</w:t>
            </w:r>
            <w:r w:rsidRPr="003D1614">
              <w:rPr>
                <w:rFonts w:ascii="Arial" w:eastAsia="Times New Roman" w:hAnsi="Arial" w:cs="Arial"/>
                <w:b/>
                <w:bCs/>
                <w:color w:val="000000"/>
                <w:sz w:val="20"/>
                <w:szCs w:val="20"/>
              </w:rPr>
              <w:t>.</w:t>
            </w:r>
          </w:p>
        </w:tc>
      </w:tr>
      <w:tr w:rsidR="00FC2BEF" w:rsidRPr="003D1614" w14:paraId="2DA30116" w14:textId="77777777" w:rsidTr="0064018A">
        <w:trPr>
          <w:trHeight w:val="290"/>
        </w:trPr>
        <w:tc>
          <w:tcPr>
            <w:tcW w:w="5613" w:type="dxa"/>
            <w:tcBorders>
              <w:top w:val="nil"/>
              <w:left w:val="nil"/>
              <w:bottom w:val="nil"/>
              <w:right w:val="nil"/>
            </w:tcBorders>
            <w:shd w:val="clear" w:color="auto" w:fill="auto"/>
            <w:vAlign w:val="bottom"/>
            <w:hideMark/>
          </w:tcPr>
          <w:p w14:paraId="51916BB0" w14:textId="77777777" w:rsidR="00FC2BEF" w:rsidRPr="003D1614" w:rsidRDefault="00FC2BEF" w:rsidP="00FC2BEF">
            <w:pPr>
              <w:suppressAutoHyphens/>
              <w:autoSpaceDN w:val="0"/>
              <w:jc w:val="right"/>
              <w:rPr>
                <w:rFonts w:ascii="Arial" w:eastAsia="Times New Roman" w:hAnsi="Arial" w:cs="Arial"/>
                <w:b/>
                <w:bCs/>
                <w:color w:val="000000"/>
                <w:sz w:val="20"/>
                <w:szCs w:val="20"/>
              </w:rPr>
            </w:pPr>
          </w:p>
        </w:tc>
        <w:tc>
          <w:tcPr>
            <w:tcW w:w="1757" w:type="dxa"/>
            <w:vAlign w:val="bottom"/>
            <w:hideMark/>
          </w:tcPr>
          <w:p w14:paraId="52DD12A2" w14:textId="52BAC55F" w:rsidR="00FC2BEF" w:rsidRPr="003D1614" w:rsidRDefault="00FC2BEF" w:rsidP="00FC2BEF">
            <w:pPr>
              <w:suppressAutoHyphens/>
              <w:autoSpaceDN w:val="0"/>
              <w:jc w:val="right"/>
              <w:rPr>
                <w:rFonts w:ascii="Arial" w:eastAsia="Times New Roman" w:hAnsi="Arial" w:cs="Arial"/>
                <w:b/>
                <w:bCs/>
                <w:color w:val="000000"/>
                <w:sz w:val="20"/>
                <w:szCs w:val="20"/>
              </w:rPr>
            </w:pPr>
            <w:r w:rsidRPr="003D1614">
              <w:rPr>
                <w:rFonts w:ascii="Arial" w:eastAsia="Times New Roman" w:hAnsi="Arial" w:cs="Arial"/>
                <w:b/>
                <w:color w:val="000000" w:themeColor="text1"/>
                <w:spacing w:val="-3"/>
                <w:sz w:val="20"/>
                <w:szCs w:val="20"/>
              </w:rPr>
              <w:t>000 eura</w:t>
            </w:r>
          </w:p>
        </w:tc>
        <w:tc>
          <w:tcPr>
            <w:tcW w:w="1758" w:type="dxa"/>
            <w:vAlign w:val="bottom"/>
            <w:hideMark/>
          </w:tcPr>
          <w:p w14:paraId="0620A693" w14:textId="5013ADC9" w:rsidR="00FC2BEF" w:rsidRPr="003D1614" w:rsidRDefault="00FC2BEF" w:rsidP="00FC2BEF">
            <w:pPr>
              <w:suppressAutoHyphens/>
              <w:autoSpaceDN w:val="0"/>
              <w:jc w:val="right"/>
              <w:rPr>
                <w:rFonts w:ascii="Arial" w:eastAsia="Times New Roman" w:hAnsi="Arial" w:cs="Arial"/>
                <w:b/>
                <w:bCs/>
                <w:color w:val="000000"/>
                <w:sz w:val="20"/>
                <w:szCs w:val="20"/>
              </w:rPr>
            </w:pPr>
            <w:r w:rsidRPr="003D1614">
              <w:rPr>
                <w:rFonts w:ascii="Arial" w:eastAsia="Times New Roman" w:hAnsi="Arial" w:cs="Arial"/>
                <w:b/>
                <w:color w:val="000000" w:themeColor="text1"/>
                <w:spacing w:val="-3"/>
                <w:sz w:val="20"/>
                <w:szCs w:val="20"/>
              </w:rPr>
              <w:t>000 eura</w:t>
            </w:r>
          </w:p>
        </w:tc>
      </w:tr>
      <w:tr w:rsidR="003E73E3" w:rsidRPr="003D1614" w14:paraId="6E499703" w14:textId="77777777" w:rsidTr="00C84EBE">
        <w:trPr>
          <w:trHeight w:val="340"/>
        </w:trPr>
        <w:tc>
          <w:tcPr>
            <w:tcW w:w="5613" w:type="dxa"/>
            <w:tcBorders>
              <w:top w:val="nil"/>
              <w:left w:val="nil"/>
              <w:bottom w:val="nil"/>
              <w:right w:val="nil"/>
            </w:tcBorders>
            <w:shd w:val="clear" w:color="auto" w:fill="auto"/>
            <w:vAlign w:val="bottom"/>
            <w:hideMark/>
          </w:tcPr>
          <w:p w14:paraId="616D7EDC" w14:textId="77777777" w:rsidR="003E73E3" w:rsidRPr="003D1614" w:rsidRDefault="003E73E3" w:rsidP="003E73E3">
            <w:pPr>
              <w:suppressAutoHyphens/>
              <w:autoSpaceDN w:val="0"/>
              <w:rPr>
                <w:rFonts w:ascii="Arial" w:eastAsia="Times New Roman" w:hAnsi="Arial" w:cs="Arial"/>
                <w:color w:val="000000"/>
                <w:sz w:val="20"/>
                <w:szCs w:val="20"/>
              </w:rPr>
            </w:pPr>
            <w:r w:rsidRPr="003D1614">
              <w:rPr>
                <w:rFonts w:ascii="Arial" w:eastAsia="Times New Roman" w:hAnsi="Arial" w:cs="Arial"/>
                <w:color w:val="000000"/>
                <w:sz w:val="20"/>
                <w:szCs w:val="20"/>
              </w:rPr>
              <w:t>Pozajmljena sredstva - strane financijske institucije</w:t>
            </w:r>
          </w:p>
        </w:tc>
        <w:tc>
          <w:tcPr>
            <w:tcW w:w="1757" w:type="dxa"/>
            <w:tcBorders>
              <w:top w:val="nil"/>
              <w:left w:val="nil"/>
              <w:bottom w:val="nil"/>
              <w:right w:val="nil"/>
            </w:tcBorders>
            <w:shd w:val="clear" w:color="auto" w:fill="auto"/>
            <w:vAlign w:val="bottom"/>
          </w:tcPr>
          <w:p w14:paraId="40A89DE8" w14:textId="3DD923E3" w:rsidR="003E73E3" w:rsidRPr="00C84EBE" w:rsidRDefault="003E73E3" w:rsidP="003E73E3">
            <w:pPr>
              <w:suppressAutoHyphens/>
              <w:autoSpaceDN w:val="0"/>
              <w:jc w:val="right"/>
              <w:rPr>
                <w:rFonts w:ascii="Arial" w:eastAsia="Times New Roman" w:hAnsi="Arial" w:cs="Arial"/>
                <w:color w:val="000000"/>
                <w:sz w:val="20"/>
                <w:szCs w:val="20"/>
              </w:rPr>
            </w:pPr>
            <w:r w:rsidRPr="00C84EBE">
              <w:rPr>
                <w:rFonts w:ascii="Arial" w:hAnsi="Arial" w:cs="Arial"/>
                <w:sz w:val="20"/>
                <w:szCs w:val="20"/>
              </w:rPr>
              <w:t>1.799.145</w:t>
            </w:r>
          </w:p>
        </w:tc>
        <w:tc>
          <w:tcPr>
            <w:tcW w:w="1758" w:type="dxa"/>
            <w:tcBorders>
              <w:top w:val="nil"/>
              <w:left w:val="nil"/>
              <w:bottom w:val="nil"/>
              <w:right w:val="nil"/>
            </w:tcBorders>
            <w:shd w:val="clear" w:color="auto" w:fill="auto"/>
            <w:vAlign w:val="bottom"/>
          </w:tcPr>
          <w:p w14:paraId="1FBE9AE9" w14:textId="5E42D665" w:rsidR="003E73E3" w:rsidRPr="00CE12FB" w:rsidRDefault="003E73E3" w:rsidP="003E73E3">
            <w:pPr>
              <w:suppressAutoHyphens/>
              <w:autoSpaceDN w:val="0"/>
              <w:jc w:val="right"/>
              <w:rPr>
                <w:rFonts w:ascii="Arial" w:eastAsia="Times New Roman" w:hAnsi="Arial" w:cs="Arial"/>
                <w:color w:val="000000"/>
                <w:sz w:val="20"/>
                <w:szCs w:val="20"/>
              </w:rPr>
            </w:pPr>
            <w:r w:rsidRPr="00531CE5">
              <w:rPr>
                <w:rFonts w:ascii="Arial" w:hAnsi="Arial" w:cs="Arial"/>
                <w:color w:val="000000"/>
                <w:sz w:val="20"/>
                <w:szCs w:val="20"/>
              </w:rPr>
              <w:t>1.833.548</w:t>
            </w:r>
          </w:p>
        </w:tc>
      </w:tr>
      <w:tr w:rsidR="003E73E3" w:rsidRPr="003D1614" w14:paraId="7D19AABC" w14:textId="77777777" w:rsidTr="00C84EBE">
        <w:trPr>
          <w:trHeight w:val="340"/>
        </w:trPr>
        <w:tc>
          <w:tcPr>
            <w:tcW w:w="5613" w:type="dxa"/>
            <w:tcBorders>
              <w:top w:val="nil"/>
              <w:left w:val="nil"/>
              <w:bottom w:val="nil"/>
              <w:right w:val="nil"/>
            </w:tcBorders>
            <w:shd w:val="clear" w:color="auto" w:fill="auto"/>
            <w:vAlign w:val="bottom"/>
            <w:hideMark/>
          </w:tcPr>
          <w:p w14:paraId="18333B0A" w14:textId="77777777" w:rsidR="003E73E3" w:rsidRPr="003D1614" w:rsidRDefault="003E73E3" w:rsidP="003E73E3">
            <w:pPr>
              <w:suppressAutoHyphens/>
              <w:autoSpaceDN w:val="0"/>
              <w:rPr>
                <w:rFonts w:ascii="Arial" w:eastAsia="Times New Roman" w:hAnsi="Arial" w:cs="Arial"/>
                <w:color w:val="000000"/>
                <w:sz w:val="20"/>
                <w:szCs w:val="20"/>
              </w:rPr>
            </w:pPr>
            <w:r w:rsidRPr="003D1614">
              <w:rPr>
                <w:rFonts w:ascii="Arial" w:eastAsia="Times New Roman" w:hAnsi="Arial" w:cs="Arial"/>
                <w:color w:val="000000"/>
                <w:sz w:val="20"/>
                <w:szCs w:val="20"/>
              </w:rPr>
              <w:t>Pozajmljena sredstva - domaće institucije</w:t>
            </w:r>
          </w:p>
        </w:tc>
        <w:tc>
          <w:tcPr>
            <w:tcW w:w="1757" w:type="dxa"/>
            <w:tcBorders>
              <w:top w:val="nil"/>
              <w:left w:val="nil"/>
              <w:bottom w:val="single" w:sz="8" w:space="0" w:color="auto"/>
              <w:right w:val="nil"/>
            </w:tcBorders>
            <w:shd w:val="clear" w:color="auto" w:fill="auto"/>
            <w:vAlign w:val="bottom"/>
          </w:tcPr>
          <w:p w14:paraId="006CA64F" w14:textId="4E428292" w:rsidR="003E73E3" w:rsidRPr="00C84EBE" w:rsidRDefault="003E73E3" w:rsidP="003E73E3">
            <w:pPr>
              <w:suppressAutoHyphens/>
              <w:autoSpaceDN w:val="0"/>
              <w:jc w:val="right"/>
              <w:rPr>
                <w:rFonts w:ascii="Arial" w:eastAsia="Times New Roman" w:hAnsi="Arial" w:cs="Arial"/>
                <w:color w:val="000000"/>
                <w:sz w:val="20"/>
                <w:szCs w:val="20"/>
              </w:rPr>
            </w:pPr>
            <w:r w:rsidRPr="00C84EBE">
              <w:rPr>
                <w:rFonts w:ascii="Arial" w:hAnsi="Arial" w:cs="Arial"/>
                <w:sz w:val="20"/>
                <w:szCs w:val="20"/>
              </w:rPr>
              <w:t>392.000</w:t>
            </w:r>
          </w:p>
        </w:tc>
        <w:tc>
          <w:tcPr>
            <w:tcW w:w="1758" w:type="dxa"/>
            <w:tcBorders>
              <w:top w:val="nil"/>
              <w:left w:val="nil"/>
              <w:bottom w:val="single" w:sz="8" w:space="0" w:color="auto"/>
              <w:right w:val="nil"/>
            </w:tcBorders>
            <w:shd w:val="clear" w:color="auto" w:fill="auto"/>
            <w:vAlign w:val="bottom"/>
          </w:tcPr>
          <w:p w14:paraId="6334D69A" w14:textId="4527D97A" w:rsidR="003E73E3" w:rsidRPr="00CE12FB" w:rsidRDefault="003E73E3" w:rsidP="003E73E3">
            <w:pPr>
              <w:suppressAutoHyphens/>
              <w:autoSpaceDN w:val="0"/>
              <w:jc w:val="right"/>
              <w:rPr>
                <w:rFonts w:ascii="Arial" w:eastAsia="Times New Roman" w:hAnsi="Arial" w:cs="Arial"/>
                <w:color w:val="000000"/>
                <w:sz w:val="20"/>
                <w:szCs w:val="20"/>
              </w:rPr>
            </w:pPr>
            <w:r w:rsidRPr="00531CE5">
              <w:rPr>
                <w:rFonts w:ascii="Arial" w:hAnsi="Arial" w:cs="Arial"/>
                <w:color w:val="000000"/>
                <w:sz w:val="20"/>
                <w:szCs w:val="20"/>
              </w:rPr>
              <w:t>415.223</w:t>
            </w:r>
          </w:p>
        </w:tc>
      </w:tr>
      <w:tr w:rsidR="00C84EBE" w:rsidRPr="003D1614" w14:paraId="561DFE8B" w14:textId="77777777" w:rsidTr="00C84EBE">
        <w:trPr>
          <w:trHeight w:val="340"/>
        </w:trPr>
        <w:tc>
          <w:tcPr>
            <w:tcW w:w="5613" w:type="dxa"/>
            <w:tcBorders>
              <w:top w:val="nil"/>
              <w:left w:val="nil"/>
              <w:bottom w:val="nil"/>
              <w:right w:val="nil"/>
            </w:tcBorders>
            <w:shd w:val="clear" w:color="auto" w:fill="auto"/>
            <w:vAlign w:val="bottom"/>
            <w:hideMark/>
          </w:tcPr>
          <w:p w14:paraId="5CB7DCF7" w14:textId="77777777" w:rsidR="00C84EBE" w:rsidRPr="003D1614" w:rsidRDefault="00C84EBE" w:rsidP="00C84EBE">
            <w:pPr>
              <w:suppressAutoHyphens/>
              <w:autoSpaceDN w:val="0"/>
              <w:jc w:val="right"/>
              <w:rPr>
                <w:rFonts w:ascii="Arial" w:eastAsia="Times New Roman" w:hAnsi="Arial" w:cs="Arial"/>
                <w:color w:val="000000"/>
                <w:sz w:val="20"/>
                <w:szCs w:val="20"/>
              </w:rPr>
            </w:pPr>
          </w:p>
        </w:tc>
        <w:tc>
          <w:tcPr>
            <w:tcW w:w="1757" w:type="dxa"/>
            <w:tcBorders>
              <w:top w:val="nil"/>
              <w:left w:val="nil"/>
              <w:bottom w:val="single" w:sz="12" w:space="0" w:color="auto"/>
              <w:right w:val="nil"/>
            </w:tcBorders>
            <w:shd w:val="clear" w:color="auto" w:fill="auto"/>
            <w:vAlign w:val="bottom"/>
          </w:tcPr>
          <w:p w14:paraId="14A4D483" w14:textId="27BB95FA" w:rsidR="00C84EBE" w:rsidRPr="00C84EBE" w:rsidRDefault="00C84EBE" w:rsidP="00C84EBE">
            <w:pPr>
              <w:suppressAutoHyphens/>
              <w:autoSpaceDN w:val="0"/>
              <w:jc w:val="right"/>
              <w:rPr>
                <w:rFonts w:ascii="Arial" w:eastAsia="Times New Roman" w:hAnsi="Arial" w:cs="Arial"/>
                <w:color w:val="000000"/>
                <w:sz w:val="20"/>
                <w:szCs w:val="20"/>
              </w:rPr>
            </w:pPr>
            <w:r w:rsidRPr="00C84EBE">
              <w:rPr>
                <w:rFonts w:ascii="Arial" w:hAnsi="Arial" w:cs="Arial"/>
                <w:sz w:val="20"/>
                <w:szCs w:val="20"/>
              </w:rPr>
              <w:t>2.191.145</w:t>
            </w:r>
          </w:p>
        </w:tc>
        <w:tc>
          <w:tcPr>
            <w:tcW w:w="1758" w:type="dxa"/>
            <w:tcBorders>
              <w:top w:val="nil"/>
              <w:left w:val="nil"/>
              <w:bottom w:val="single" w:sz="12" w:space="0" w:color="auto"/>
              <w:right w:val="nil"/>
            </w:tcBorders>
            <w:shd w:val="clear" w:color="auto" w:fill="auto"/>
            <w:vAlign w:val="bottom"/>
          </w:tcPr>
          <w:p w14:paraId="127964D5" w14:textId="24CEEFAB" w:rsidR="00C84EBE" w:rsidRPr="00CE12FB" w:rsidRDefault="00C84EBE" w:rsidP="00C84EBE">
            <w:pPr>
              <w:suppressAutoHyphens/>
              <w:autoSpaceDN w:val="0"/>
              <w:jc w:val="right"/>
              <w:rPr>
                <w:rFonts w:ascii="Arial" w:eastAsia="Times New Roman" w:hAnsi="Arial" w:cs="Arial"/>
                <w:color w:val="000000"/>
                <w:sz w:val="20"/>
                <w:szCs w:val="20"/>
              </w:rPr>
            </w:pPr>
            <w:r w:rsidRPr="00531CE5">
              <w:rPr>
                <w:rFonts w:ascii="Arial" w:hAnsi="Arial" w:cs="Arial"/>
                <w:color w:val="000000"/>
                <w:sz w:val="20"/>
                <w:szCs w:val="20"/>
              </w:rPr>
              <w:t>2.248.771</w:t>
            </w:r>
          </w:p>
        </w:tc>
      </w:tr>
      <w:tr w:rsidR="00C84EBE" w:rsidRPr="003D1614" w14:paraId="5660EE0E" w14:textId="77777777" w:rsidTr="00C84EBE">
        <w:trPr>
          <w:trHeight w:val="340"/>
        </w:trPr>
        <w:tc>
          <w:tcPr>
            <w:tcW w:w="5613" w:type="dxa"/>
            <w:tcBorders>
              <w:top w:val="nil"/>
              <w:left w:val="nil"/>
              <w:bottom w:val="nil"/>
              <w:right w:val="nil"/>
            </w:tcBorders>
            <w:shd w:val="clear" w:color="auto" w:fill="auto"/>
            <w:vAlign w:val="bottom"/>
            <w:hideMark/>
          </w:tcPr>
          <w:p w14:paraId="57BAF90E" w14:textId="77777777" w:rsidR="00C84EBE" w:rsidRPr="003D1614" w:rsidRDefault="00C84EBE" w:rsidP="00C84EBE">
            <w:pPr>
              <w:suppressAutoHyphens/>
              <w:autoSpaceDN w:val="0"/>
              <w:rPr>
                <w:rFonts w:ascii="Arial" w:eastAsia="Times New Roman" w:hAnsi="Arial" w:cs="Arial"/>
                <w:color w:val="000000"/>
                <w:sz w:val="20"/>
                <w:szCs w:val="20"/>
              </w:rPr>
            </w:pPr>
            <w:r w:rsidRPr="003D1614">
              <w:rPr>
                <w:rFonts w:ascii="Arial" w:eastAsia="Times New Roman" w:hAnsi="Arial" w:cs="Arial"/>
                <w:color w:val="000000"/>
                <w:sz w:val="20"/>
                <w:szCs w:val="20"/>
              </w:rPr>
              <w:t>Obračunata kamata</w:t>
            </w:r>
          </w:p>
        </w:tc>
        <w:tc>
          <w:tcPr>
            <w:tcW w:w="1757" w:type="dxa"/>
            <w:tcBorders>
              <w:top w:val="nil"/>
              <w:left w:val="nil"/>
              <w:bottom w:val="nil"/>
              <w:right w:val="nil"/>
            </w:tcBorders>
            <w:shd w:val="clear" w:color="auto" w:fill="auto"/>
            <w:vAlign w:val="bottom"/>
          </w:tcPr>
          <w:p w14:paraId="3AF170C4" w14:textId="627562BF" w:rsidR="00C84EBE" w:rsidRPr="00C84EBE" w:rsidRDefault="00C84EBE" w:rsidP="00C84EBE">
            <w:pPr>
              <w:suppressAutoHyphens/>
              <w:autoSpaceDN w:val="0"/>
              <w:jc w:val="right"/>
              <w:rPr>
                <w:rFonts w:ascii="Arial" w:eastAsia="Times New Roman" w:hAnsi="Arial" w:cs="Arial"/>
                <w:color w:val="000000"/>
                <w:sz w:val="20"/>
                <w:szCs w:val="20"/>
              </w:rPr>
            </w:pPr>
            <w:r w:rsidRPr="00C84EBE">
              <w:rPr>
                <w:rFonts w:ascii="Arial" w:hAnsi="Arial" w:cs="Arial"/>
                <w:sz w:val="20"/>
                <w:szCs w:val="20"/>
              </w:rPr>
              <w:t xml:space="preserve"> 7.735 </w:t>
            </w:r>
          </w:p>
        </w:tc>
        <w:tc>
          <w:tcPr>
            <w:tcW w:w="1758" w:type="dxa"/>
            <w:tcBorders>
              <w:top w:val="single" w:sz="12" w:space="0" w:color="auto"/>
              <w:left w:val="nil"/>
              <w:right w:val="nil"/>
            </w:tcBorders>
            <w:shd w:val="clear" w:color="auto" w:fill="auto"/>
            <w:vAlign w:val="bottom"/>
          </w:tcPr>
          <w:p w14:paraId="5B7FF182" w14:textId="31CD3E80" w:rsidR="00C84EBE" w:rsidRPr="00CE12FB" w:rsidRDefault="00C84EBE" w:rsidP="00C84EBE">
            <w:pPr>
              <w:suppressAutoHyphens/>
              <w:autoSpaceDN w:val="0"/>
              <w:jc w:val="right"/>
              <w:rPr>
                <w:rFonts w:ascii="Arial" w:eastAsia="Times New Roman" w:hAnsi="Arial" w:cs="Arial"/>
                <w:color w:val="000000"/>
                <w:sz w:val="20"/>
                <w:szCs w:val="20"/>
              </w:rPr>
            </w:pPr>
            <w:r w:rsidRPr="00531CE5">
              <w:rPr>
                <w:rFonts w:ascii="Arial" w:hAnsi="Arial" w:cs="Arial"/>
                <w:color w:val="000000"/>
                <w:sz w:val="20"/>
                <w:szCs w:val="20"/>
              </w:rPr>
              <w:t>5.737</w:t>
            </w:r>
          </w:p>
        </w:tc>
      </w:tr>
      <w:tr w:rsidR="00C84EBE" w:rsidRPr="003D1614" w14:paraId="2788509E" w14:textId="77777777" w:rsidTr="00C84EBE">
        <w:trPr>
          <w:trHeight w:val="340"/>
        </w:trPr>
        <w:tc>
          <w:tcPr>
            <w:tcW w:w="5613" w:type="dxa"/>
            <w:tcBorders>
              <w:top w:val="nil"/>
              <w:left w:val="nil"/>
              <w:bottom w:val="nil"/>
              <w:right w:val="nil"/>
            </w:tcBorders>
            <w:shd w:val="clear" w:color="auto" w:fill="auto"/>
            <w:vAlign w:val="bottom"/>
            <w:hideMark/>
          </w:tcPr>
          <w:p w14:paraId="5F996327" w14:textId="77777777" w:rsidR="00C84EBE" w:rsidRPr="003D1614" w:rsidRDefault="00C84EBE" w:rsidP="00C84EBE">
            <w:pPr>
              <w:suppressAutoHyphens/>
              <w:autoSpaceDN w:val="0"/>
              <w:rPr>
                <w:rFonts w:ascii="Arial" w:eastAsia="Times New Roman" w:hAnsi="Arial" w:cs="Arial"/>
                <w:color w:val="000000"/>
                <w:sz w:val="20"/>
                <w:szCs w:val="20"/>
              </w:rPr>
            </w:pPr>
            <w:r w:rsidRPr="003D1614">
              <w:rPr>
                <w:rFonts w:ascii="Arial" w:eastAsia="Times New Roman" w:hAnsi="Arial" w:cs="Arial"/>
                <w:color w:val="000000"/>
                <w:sz w:val="20"/>
                <w:szCs w:val="20"/>
              </w:rPr>
              <w:t>Odgođena naknada</w:t>
            </w:r>
          </w:p>
        </w:tc>
        <w:tc>
          <w:tcPr>
            <w:tcW w:w="1757" w:type="dxa"/>
            <w:tcBorders>
              <w:top w:val="nil"/>
              <w:left w:val="nil"/>
              <w:bottom w:val="single" w:sz="8" w:space="0" w:color="auto"/>
              <w:right w:val="nil"/>
            </w:tcBorders>
            <w:shd w:val="clear" w:color="auto" w:fill="auto"/>
            <w:vAlign w:val="bottom"/>
          </w:tcPr>
          <w:p w14:paraId="1A7DC7BB" w14:textId="4C5A2BCD" w:rsidR="00C84EBE" w:rsidRPr="00C84EBE" w:rsidRDefault="00C84EBE" w:rsidP="00C84EBE">
            <w:pPr>
              <w:suppressAutoHyphens/>
              <w:autoSpaceDN w:val="0"/>
              <w:jc w:val="right"/>
              <w:rPr>
                <w:rFonts w:ascii="Arial" w:eastAsia="Times New Roman" w:hAnsi="Arial" w:cs="Arial"/>
                <w:color w:val="000000"/>
                <w:sz w:val="20"/>
                <w:szCs w:val="20"/>
              </w:rPr>
            </w:pPr>
            <w:r w:rsidRPr="00C84EBE">
              <w:rPr>
                <w:rFonts w:ascii="Arial" w:hAnsi="Arial" w:cs="Arial"/>
                <w:sz w:val="20"/>
                <w:szCs w:val="20"/>
              </w:rPr>
              <w:t xml:space="preserve"> (2.990)</w:t>
            </w:r>
          </w:p>
        </w:tc>
        <w:tc>
          <w:tcPr>
            <w:tcW w:w="1758" w:type="dxa"/>
            <w:tcBorders>
              <w:left w:val="nil"/>
              <w:bottom w:val="single" w:sz="8" w:space="0" w:color="auto"/>
              <w:right w:val="nil"/>
            </w:tcBorders>
            <w:shd w:val="clear" w:color="auto" w:fill="auto"/>
            <w:vAlign w:val="bottom"/>
          </w:tcPr>
          <w:p w14:paraId="66640E5F" w14:textId="29E38400" w:rsidR="00C84EBE" w:rsidRPr="00CE12FB" w:rsidRDefault="00C84EBE" w:rsidP="00C84EBE">
            <w:pPr>
              <w:suppressAutoHyphens/>
              <w:autoSpaceDN w:val="0"/>
              <w:jc w:val="right"/>
              <w:rPr>
                <w:rFonts w:ascii="Arial" w:eastAsia="Times New Roman" w:hAnsi="Arial" w:cs="Arial"/>
                <w:color w:val="000000"/>
                <w:sz w:val="20"/>
                <w:szCs w:val="20"/>
              </w:rPr>
            </w:pPr>
            <w:r w:rsidRPr="00531CE5">
              <w:rPr>
                <w:rFonts w:ascii="Arial" w:hAnsi="Arial" w:cs="Arial"/>
                <w:color w:val="000000"/>
                <w:sz w:val="20"/>
                <w:szCs w:val="20"/>
              </w:rPr>
              <w:t>(3.332)</w:t>
            </w:r>
          </w:p>
        </w:tc>
      </w:tr>
      <w:tr w:rsidR="00C84EBE" w:rsidRPr="003D1614" w14:paraId="60AFE8C4" w14:textId="77777777" w:rsidTr="00C84EBE">
        <w:trPr>
          <w:trHeight w:val="300"/>
        </w:trPr>
        <w:tc>
          <w:tcPr>
            <w:tcW w:w="5613" w:type="dxa"/>
            <w:tcBorders>
              <w:top w:val="nil"/>
              <w:left w:val="nil"/>
              <w:bottom w:val="nil"/>
              <w:right w:val="nil"/>
            </w:tcBorders>
            <w:shd w:val="clear" w:color="auto" w:fill="auto"/>
            <w:vAlign w:val="bottom"/>
            <w:hideMark/>
          </w:tcPr>
          <w:p w14:paraId="33898BC6" w14:textId="77777777" w:rsidR="00C84EBE" w:rsidRPr="003D1614" w:rsidRDefault="00C84EBE" w:rsidP="00C84EBE">
            <w:pPr>
              <w:suppressAutoHyphens/>
              <w:autoSpaceDN w:val="0"/>
              <w:jc w:val="right"/>
              <w:rPr>
                <w:rFonts w:ascii="Arial" w:eastAsia="Times New Roman" w:hAnsi="Arial" w:cs="Arial"/>
                <w:color w:val="000000"/>
                <w:sz w:val="20"/>
                <w:szCs w:val="20"/>
              </w:rPr>
            </w:pPr>
          </w:p>
        </w:tc>
        <w:tc>
          <w:tcPr>
            <w:tcW w:w="1757" w:type="dxa"/>
            <w:tcBorders>
              <w:top w:val="nil"/>
              <w:left w:val="nil"/>
              <w:bottom w:val="single" w:sz="12" w:space="0" w:color="auto"/>
              <w:right w:val="nil"/>
            </w:tcBorders>
            <w:shd w:val="clear" w:color="auto" w:fill="auto"/>
            <w:vAlign w:val="bottom"/>
          </w:tcPr>
          <w:p w14:paraId="3EC4049F" w14:textId="3A4F3F53" w:rsidR="00C84EBE" w:rsidRPr="00C84EBE" w:rsidRDefault="00C84EBE" w:rsidP="00C84EBE">
            <w:pPr>
              <w:suppressAutoHyphens/>
              <w:autoSpaceDN w:val="0"/>
              <w:jc w:val="right"/>
              <w:rPr>
                <w:rFonts w:ascii="Arial" w:eastAsia="Times New Roman" w:hAnsi="Arial" w:cs="Arial"/>
                <w:b/>
                <w:bCs/>
                <w:color w:val="000000"/>
                <w:sz w:val="20"/>
                <w:szCs w:val="20"/>
              </w:rPr>
            </w:pPr>
            <w:r w:rsidRPr="00C84EBE">
              <w:rPr>
                <w:rFonts w:ascii="Arial" w:hAnsi="Arial" w:cs="Arial"/>
                <w:b/>
                <w:bCs/>
                <w:sz w:val="20"/>
                <w:szCs w:val="20"/>
              </w:rPr>
              <w:t>2.195.890</w:t>
            </w:r>
          </w:p>
        </w:tc>
        <w:tc>
          <w:tcPr>
            <w:tcW w:w="1758" w:type="dxa"/>
            <w:tcBorders>
              <w:top w:val="nil"/>
              <w:left w:val="nil"/>
              <w:bottom w:val="single" w:sz="12" w:space="0" w:color="auto"/>
              <w:right w:val="nil"/>
            </w:tcBorders>
            <w:shd w:val="clear" w:color="auto" w:fill="auto"/>
            <w:vAlign w:val="bottom"/>
          </w:tcPr>
          <w:p w14:paraId="00F20B80" w14:textId="184BC321" w:rsidR="00C84EBE" w:rsidRPr="00CE12FB" w:rsidRDefault="00C84EBE" w:rsidP="00C84EBE">
            <w:pPr>
              <w:suppressAutoHyphens/>
              <w:autoSpaceDN w:val="0"/>
              <w:jc w:val="right"/>
              <w:rPr>
                <w:rFonts w:ascii="Arial" w:eastAsia="Times New Roman" w:hAnsi="Arial" w:cs="Arial"/>
                <w:b/>
                <w:bCs/>
                <w:color w:val="000000"/>
                <w:sz w:val="20"/>
                <w:szCs w:val="20"/>
              </w:rPr>
            </w:pPr>
            <w:r w:rsidRPr="00531CE5">
              <w:rPr>
                <w:rFonts w:ascii="Arial" w:hAnsi="Arial" w:cs="Arial"/>
                <w:b/>
                <w:bCs/>
                <w:color w:val="000000"/>
                <w:sz w:val="20"/>
                <w:szCs w:val="20"/>
              </w:rPr>
              <w:t>2.251.176</w:t>
            </w:r>
          </w:p>
        </w:tc>
      </w:tr>
      <w:bookmarkEnd w:id="460"/>
    </w:tbl>
    <w:p w14:paraId="57819B0B" w14:textId="77777777" w:rsidR="00FC2BEF" w:rsidRPr="003D1614" w:rsidRDefault="00FC2BEF" w:rsidP="00FC2BEF">
      <w:pPr>
        <w:keepNext/>
        <w:suppressAutoHyphens/>
        <w:autoSpaceDN w:val="0"/>
        <w:jc w:val="both"/>
        <w:outlineLvl w:val="0"/>
        <w:rPr>
          <w:rFonts w:ascii="Arial" w:eastAsia="Times New Roman" w:hAnsi="Arial" w:cs="Arial"/>
          <w:b/>
          <w:bCs/>
          <w:color w:val="000000" w:themeColor="text1"/>
          <w:sz w:val="20"/>
          <w:szCs w:val="20"/>
        </w:rPr>
      </w:pPr>
    </w:p>
    <w:p w14:paraId="2225D342" w14:textId="77777777" w:rsidR="00FC2BEF" w:rsidRPr="003D1614" w:rsidRDefault="00FC2BEF" w:rsidP="00FC2BEF">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(a) Pozajmljena sredstva stranih financijskih institucija odnose se na dugoročne kredite posebnih financijskih institucija, najvećim dijelom Europske investicijske banke (EIB) i Razvojne banke vijeća Europe (CEB).</w:t>
      </w:r>
    </w:p>
    <w:p w14:paraId="202651C9" w14:textId="77777777" w:rsidR="00FC2BEF" w:rsidRPr="003D1614" w:rsidRDefault="00FC2BEF" w:rsidP="00FC2BEF">
      <w:pPr>
        <w:keepNext/>
        <w:suppressAutoHyphens/>
        <w:autoSpaceDN w:val="0"/>
        <w:jc w:val="both"/>
        <w:outlineLvl w:val="0"/>
        <w:rPr>
          <w:rFonts w:ascii="Arial" w:eastAsia="Times New Roman" w:hAnsi="Arial" w:cs="Arial"/>
          <w:color w:val="000000" w:themeColor="text1"/>
          <w:sz w:val="20"/>
          <w:szCs w:val="20"/>
        </w:rPr>
      </w:pPr>
    </w:p>
    <w:p w14:paraId="7F94E7C9" w14:textId="2C6623E2" w:rsidR="00FC2BEF" w:rsidRPr="003D1614" w:rsidRDefault="00FC2BEF" w:rsidP="00FC2BEF">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(b) Pozajmljena sredstva domaćih institucija</w:t>
      </w:r>
      <w:r w:rsidR="009B6237">
        <w:rPr>
          <w:rFonts w:ascii="Arial" w:eastAsia="Times New Roman" w:hAnsi="Arial" w:cs="Arial"/>
          <w:color w:val="000000" w:themeColor="text1"/>
          <w:sz w:val="20"/>
          <w:szCs w:val="20"/>
        </w:rPr>
        <w:t>, najvećim se dijelom</w:t>
      </w:r>
      <w:r w:rsidRPr="003D1614">
        <w:rPr>
          <w:rFonts w:ascii="Arial" w:eastAsia="Times New Roman" w:hAnsi="Arial" w:cs="Arial"/>
          <w:color w:val="000000" w:themeColor="text1"/>
          <w:sz w:val="20"/>
          <w:szCs w:val="20"/>
        </w:rPr>
        <w:t xml:space="preserve"> odnose na zajmove Ministarstva financija Republike Hrvatske.</w:t>
      </w:r>
    </w:p>
    <w:p w14:paraId="7818BF1C" w14:textId="68687E5E" w:rsidR="00FC2BEF" w:rsidRPr="003D1614" w:rsidRDefault="00FC2BEF" w:rsidP="00FC2BEF">
      <w:pPr>
        <w:keepNext/>
        <w:suppressAutoHyphens/>
        <w:autoSpaceDN w:val="0"/>
        <w:jc w:val="both"/>
        <w:outlineLvl w:val="0"/>
        <w:rPr>
          <w:rFonts w:ascii="Arial" w:eastAsia="Times New Roman" w:hAnsi="Arial" w:cs="Arial"/>
          <w:color w:val="000000" w:themeColor="text1"/>
          <w:sz w:val="20"/>
          <w:szCs w:val="20"/>
        </w:rPr>
      </w:pPr>
    </w:p>
    <w:p w14:paraId="1A68B8D1" w14:textId="77777777" w:rsidR="00FC2BEF" w:rsidRPr="003D1614" w:rsidRDefault="00FC2BEF" w:rsidP="00FC2BEF">
      <w:pPr>
        <w:keepNext/>
        <w:suppressAutoHyphens/>
        <w:autoSpaceDN w:val="0"/>
        <w:jc w:val="both"/>
        <w:outlineLvl w:val="0"/>
        <w:rPr>
          <w:rFonts w:ascii="Arial" w:eastAsia="Times New Roman" w:hAnsi="Arial" w:cs="Arial"/>
          <w:color w:val="000000" w:themeColor="text1"/>
          <w:sz w:val="20"/>
          <w:szCs w:val="20"/>
        </w:rPr>
        <w:sectPr w:rsidR="00FC2BEF" w:rsidRPr="003D1614">
          <w:pgSz w:w="11906" w:h="16838"/>
          <w:pgMar w:top="1417" w:right="1417" w:bottom="1417" w:left="1417" w:header="708" w:footer="708" w:gutter="0"/>
          <w:cols w:space="708"/>
          <w:docGrid w:linePitch="360"/>
        </w:sectPr>
      </w:pPr>
    </w:p>
    <w:p w14:paraId="3AB8D4A1" w14:textId="77777777" w:rsidR="00FC2BEF" w:rsidRPr="003D1614" w:rsidRDefault="00FC2BEF" w:rsidP="00FC2BEF">
      <w:pPr>
        <w:keepNext/>
        <w:suppressAutoHyphens/>
        <w:autoSpaceDN w:val="0"/>
        <w:jc w:val="both"/>
        <w:rPr>
          <w:rFonts w:ascii="Arial" w:eastAsia="Times New Roman" w:hAnsi="Arial" w:cs="Arial"/>
          <w:b/>
          <w:bCs/>
          <w:color w:val="000000" w:themeColor="text1"/>
          <w:sz w:val="20"/>
          <w:szCs w:val="20"/>
        </w:rPr>
      </w:pPr>
    </w:p>
    <w:p w14:paraId="5FC1E719" w14:textId="056A6923" w:rsidR="00FC2BEF" w:rsidRPr="003D1614" w:rsidRDefault="00FC2BEF" w:rsidP="00FC2BEF">
      <w:pPr>
        <w:tabs>
          <w:tab w:val="left" w:pos="567"/>
          <w:tab w:val="left" w:pos="851"/>
        </w:tabs>
        <w:suppressAutoHyphens/>
        <w:autoSpaceDN w:val="0"/>
        <w:jc w:val="both"/>
        <w:rPr>
          <w:rFonts w:ascii="Arial" w:eastAsia="Times New Roman" w:hAnsi="Arial" w:cs="Arial"/>
          <w:b/>
          <w:color w:val="000000" w:themeColor="text1"/>
          <w:sz w:val="20"/>
          <w:szCs w:val="20"/>
          <w:lang w:eastAsia="hr-HR"/>
        </w:rPr>
      </w:pPr>
      <w:r w:rsidRPr="003D1614">
        <w:rPr>
          <w:rFonts w:ascii="Arial" w:eastAsia="Calibri" w:hAnsi="Arial" w:cs="Arial"/>
          <w:b/>
          <w:color w:val="000000" w:themeColor="text1"/>
          <w:sz w:val="20"/>
          <w:szCs w:val="20"/>
        </w:rPr>
        <w:t>1</w:t>
      </w:r>
      <w:r w:rsidR="000E693B">
        <w:rPr>
          <w:rFonts w:ascii="Arial" w:eastAsia="Calibri" w:hAnsi="Arial" w:cs="Arial"/>
          <w:b/>
          <w:color w:val="000000" w:themeColor="text1"/>
          <w:sz w:val="20"/>
          <w:szCs w:val="20"/>
        </w:rPr>
        <w:t>9</w:t>
      </w:r>
      <w:r w:rsidRPr="003D1614">
        <w:rPr>
          <w:rFonts w:ascii="Arial" w:eastAsia="Calibri" w:hAnsi="Arial" w:cs="Arial"/>
          <w:b/>
          <w:color w:val="000000" w:themeColor="text1"/>
          <w:sz w:val="20"/>
          <w:szCs w:val="20"/>
        </w:rPr>
        <w:t>.</w:t>
      </w:r>
      <w:r w:rsidRPr="003D1614">
        <w:rPr>
          <w:rFonts w:ascii="Arial" w:eastAsia="Calibri" w:hAnsi="Arial" w:cs="Arial"/>
          <w:b/>
          <w:color w:val="000000" w:themeColor="text1"/>
          <w:sz w:val="20"/>
          <w:szCs w:val="20"/>
        </w:rPr>
        <w:tab/>
      </w:r>
      <w:bookmarkStart w:id="461" w:name="_Hlk8833804"/>
      <w:r w:rsidRPr="003D1614">
        <w:rPr>
          <w:rFonts w:ascii="Arial" w:eastAsia="Calibri" w:hAnsi="Arial" w:cs="Arial"/>
          <w:b/>
          <w:color w:val="000000" w:themeColor="text1"/>
          <w:sz w:val="20"/>
          <w:szCs w:val="20"/>
        </w:rPr>
        <w:t xml:space="preserve">Rezerviranja za </w:t>
      </w:r>
      <w:r w:rsidRPr="003D1614">
        <w:rPr>
          <w:rFonts w:ascii="Arial" w:eastAsia="Times New Roman" w:hAnsi="Arial" w:cs="Arial"/>
          <w:b/>
          <w:color w:val="000000" w:themeColor="text1"/>
          <w:sz w:val="20"/>
          <w:szCs w:val="20"/>
          <w:lang w:eastAsia="hr-HR"/>
        </w:rPr>
        <w:t>garancije, preuzete i ostale obveze</w:t>
      </w:r>
      <w:bookmarkEnd w:id="461"/>
    </w:p>
    <w:p w14:paraId="2CCB9648" w14:textId="77777777" w:rsidR="00FC2BEF" w:rsidRPr="003D1614" w:rsidRDefault="00FC2BEF" w:rsidP="00FC2BEF">
      <w:pPr>
        <w:suppressAutoHyphens/>
        <w:autoSpaceDN w:val="0"/>
        <w:jc w:val="both"/>
        <w:rPr>
          <w:rFonts w:ascii="Arial" w:eastAsia="Times New Roman" w:hAnsi="Arial" w:cs="Arial"/>
          <w:b/>
          <w:color w:val="000000" w:themeColor="text1"/>
          <w:sz w:val="20"/>
          <w:szCs w:val="20"/>
          <w:lang w:eastAsia="hr-HR"/>
        </w:rPr>
      </w:pPr>
    </w:p>
    <w:tbl>
      <w:tblPr>
        <w:tblW w:w="5063" w:type="pct"/>
        <w:tblLayout w:type="fixed"/>
        <w:tblCellMar>
          <w:left w:w="119" w:type="dxa"/>
          <w:right w:w="119" w:type="dxa"/>
        </w:tblCellMar>
        <w:tblLook w:val="0000" w:firstRow="0" w:lastRow="0" w:firstColumn="0" w:lastColumn="0" w:noHBand="0" w:noVBand="0"/>
      </w:tblPr>
      <w:tblGrid>
        <w:gridCol w:w="3574"/>
        <w:gridCol w:w="1402"/>
        <w:gridCol w:w="1416"/>
        <w:gridCol w:w="1376"/>
        <w:gridCol w:w="1418"/>
      </w:tblGrid>
      <w:tr w:rsidR="00AD5F37" w:rsidRPr="0067706A" w14:paraId="7FFD13C5" w14:textId="77777777" w:rsidTr="0067706A">
        <w:trPr>
          <w:trHeight w:val="236"/>
        </w:trPr>
        <w:tc>
          <w:tcPr>
            <w:tcW w:w="1945" w:type="pct"/>
            <w:vAlign w:val="bottom"/>
          </w:tcPr>
          <w:p w14:paraId="195106B9" w14:textId="77777777" w:rsidR="00FC2BEF" w:rsidRPr="0067706A" w:rsidRDefault="00FC2BEF" w:rsidP="00FC2BEF">
            <w:pPr>
              <w:tabs>
                <w:tab w:val="left" w:pos="-720"/>
              </w:tabs>
              <w:suppressAutoHyphens/>
              <w:autoSpaceDN w:val="0"/>
              <w:rPr>
                <w:rFonts w:ascii="Arial" w:eastAsia="Calibri" w:hAnsi="Arial" w:cs="Arial"/>
                <w:color w:val="000000" w:themeColor="text1"/>
                <w:spacing w:val="-2"/>
                <w:sz w:val="20"/>
                <w:szCs w:val="20"/>
              </w:rPr>
            </w:pPr>
            <w:bookmarkStart w:id="462" w:name="_Hlk9409130"/>
          </w:p>
        </w:tc>
        <w:tc>
          <w:tcPr>
            <w:tcW w:w="1534" w:type="pct"/>
            <w:gridSpan w:val="2"/>
            <w:vAlign w:val="bottom"/>
          </w:tcPr>
          <w:p w14:paraId="547BB462" w14:textId="77777777" w:rsidR="00FC2BEF" w:rsidRPr="0067706A" w:rsidRDefault="00FC2BEF" w:rsidP="00FC2BE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63" w:name="_Toc67328766"/>
            <w:r w:rsidRPr="0067706A">
              <w:rPr>
                <w:rFonts w:ascii="Arial" w:eastAsia="Times New Roman" w:hAnsi="Arial" w:cs="Arial"/>
                <w:b/>
                <w:color w:val="000000" w:themeColor="text1"/>
                <w:sz w:val="20"/>
                <w:szCs w:val="20"/>
              </w:rPr>
              <w:t>Grupa</w:t>
            </w:r>
            <w:bookmarkEnd w:id="463"/>
          </w:p>
        </w:tc>
        <w:tc>
          <w:tcPr>
            <w:tcW w:w="1521" w:type="pct"/>
            <w:gridSpan w:val="2"/>
            <w:vAlign w:val="bottom"/>
          </w:tcPr>
          <w:p w14:paraId="28C3F0E4" w14:textId="77777777" w:rsidR="00FC2BEF" w:rsidRPr="0067706A" w:rsidRDefault="00FC2BEF" w:rsidP="00FC2BE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64" w:name="_Toc67328767"/>
            <w:r w:rsidRPr="0067706A">
              <w:rPr>
                <w:rFonts w:ascii="Arial" w:eastAsia="Times New Roman" w:hAnsi="Arial" w:cs="Arial"/>
                <w:b/>
                <w:color w:val="000000" w:themeColor="text1"/>
                <w:sz w:val="20"/>
                <w:szCs w:val="20"/>
              </w:rPr>
              <w:t>Banka</w:t>
            </w:r>
            <w:bookmarkEnd w:id="464"/>
          </w:p>
        </w:tc>
      </w:tr>
      <w:tr w:rsidR="00AD5F37" w:rsidRPr="0067706A" w14:paraId="7D3D5060" w14:textId="77777777" w:rsidTr="0067706A">
        <w:trPr>
          <w:trHeight w:val="567"/>
        </w:trPr>
        <w:tc>
          <w:tcPr>
            <w:tcW w:w="1945" w:type="pct"/>
            <w:vAlign w:val="bottom"/>
          </w:tcPr>
          <w:p w14:paraId="2AEC6E92" w14:textId="77777777" w:rsidR="00FC2BEF" w:rsidRPr="0067706A" w:rsidRDefault="00FC2BEF" w:rsidP="00FC2BEF">
            <w:pPr>
              <w:tabs>
                <w:tab w:val="left" w:pos="-720"/>
              </w:tabs>
              <w:suppressAutoHyphens/>
              <w:autoSpaceDN w:val="0"/>
              <w:rPr>
                <w:rFonts w:ascii="Arial" w:eastAsia="Calibri" w:hAnsi="Arial" w:cs="Arial"/>
                <w:color w:val="000000" w:themeColor="text1"/>
                <w:spacing w:val="-2"/>
                <w:sz w:val="20"/>
                <w:szCs w:val="20"/>
              </w:rPr>
            </w:pPr>
          </w:p>
        </w:tc>
        <w:tc>
          <w:tcPr>
            <w:tcW w:w="763" w:type="pct"/>
            <w:vAlign w:val="bottom"/>
          </w:tcPr>
          <w:p w14:paraId="4B5A9036" w14:textId="02A35704" w:rsidR="00FC2BEF" w:rsidRPr="0067706A" w:rsidRDefault="002C0DB3" w:rsidP="00FC2BE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2C0DB3">
              <w:rPr>
                <w:rFonts w:ascii="Arial" w:eastAsia="Times New Roman" w:hAnsi="Arial" w:cs="Arial"/>
                <w:b/>
                <w:color w:val="000000" w:themeColor="text1"/>
                <w:sz w:val="20"/>
                <w:szCs w:val="20"/>
              </w:rPr>
              <w:t>30. rujna 202</w:t>
            </w:r>
            <w:r w:rsidR="00656B74">
              <w:rPr>
                <w:rFonts w:ascii="Arial" w:eastAsia="Times New Roman" w:hAnsi="Arial" w:cs="Arial"/>
                <w:b/>
                <w:color w:val="000000" w:themeColor="text1"/>
                <w:sz w:val="20"/>
                <w:szCs w:val="20"/>
              </w:rPr>
              <w:t>4</w:t>
            </w:r>
            <w:r w:rsidRPr="002C0DB3">
              <w:rPr>
                <w:rFonts w:ascii="Arial" w:eastAsia="Times New Roman" w:hAnsi="Arial" w:cs="Arial"/>
                <w:b/>
                <w:color w:val="000000" w:themeColor="text1"/>
                <w:sz w:val="20"/>
                <w:szCs w:val="20"/>
              </w:rPr>
              <w:t>.</w:t>
            </w:r>
          </w:p>
        </w:tc>
        <w:tc>
          <w:tcPr>
            <w:tcW w:w="771" w:type="pct"/>
            <w:vAlign w:val="bottom"/>
          </w:tcPr>
          <w:p w14:paraId="6C5B31CB" w14:textId="79CD5262" w:rsidR="00FC2BEF" w:rsidRPr="0067706A" w:rsidRDefault="00FC2BEF" w:rsidP="00FC2BE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65" w:name="_Toc67328769"/>
            <w:r w:rsidRPr="0067706A">
              <w:rPr>
                <w:rFonts w:ascii="Arial" w:eastAsia="Times New Roman" w:hAnsi="Arial" w:cs="Arial"/>
                <w:b/>
                <w:color w:val="000000" w:themeColor="text1"/>
                <w:sz w:val="20"/>
                <w:szCs w:val="20"/>
              </w:rPr>
              <w:t>31. prosinca 202</w:t>
            </w:r>
            <w:r w:rsidR="00656B74">
              <w:rPr>
                <w:rFonts w:ascii="Arial" w:eastAsia="Times New Roman" w:hAnsi="Arial" w:cs="Arial"/>
                <w:b/>
                <w:color w:val="000000" w:themeColor="text1"/>
                <w:sz w:val="20"/>
                <w:szCs w:val="20"/>
              </w:rPr>
              <w:t>3</w:t>
            </w:r>
            <w:r w:rsidRPr="0067706A">
              <w:rPr>
                <w:rFonts w:ascii="Arial" w:eastAsia="Times New Roman" w:hAnsi="Arial" w:cs="Arial"/>
                <w:b/>
                <w:color w:val="000000" w:themeColor="text1"/>
                <w:sz w:val="20"/>
                <w:szCs w:val="20"/>
              </w:rPr>
              <w:t>.</w:t>
            </w:r>
            <w:bookmarkEnd w:id="465"/>
          </w:p>
        </w:tc>
        <w:tc>
          <w:tcPr>
            <w:tcW w:w="749" w:type="pct"/>
            <w:vAlign w:val="bottom"/>
          </w:tcPr>
          <w:p w14:paraId="01923236" w14:textId="7591E9FA" w:rsidR="00FC2BEF" w:rsidRPr="0067706A" w:rsidRDefault="002C0DB3" w:rsidP="00FC2BE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2C0DB3">
              <w:rPr>
                <w:rFonts w:ascii="Arial" w:eastAsia="Times New Roman" w:hAnsi="Arial" w:cs="Arial"/>
                <w:b/>
                <w:color w:val="000000" w:themeColor="text1"/>
                <w:sz w:val="20"/>
                <w:szCs w:val="20"/>
              </w:rPr>
              <w:t>30. rujna 202</w:t>
            </w:r>
            <w:r w:rsidR="00656B74">
              <w:rPr>
                <w:rFonts w:ascii="Arial" w:eastAsia="Times New Roman" w:hAnsi="Arial" w:cs="Arial"/>
                <w:b/>
                <w:color w:val="000000" w:themeColor="text1"/>
                <w:sz w:val="20"/>
                <w:szCs w:val="20"/>
              </w:rPr>
              <w:t>4</w:t>
            </w:r>
            <w:r w:rsidRPr="002C0DB3">
              <w:rPr>
                <w:rFonts w:ascii="Arial" w:eastAsia="Times New Roman" w:hAnsi="Arial" w:cs="Arial"/>
                <w:b/>
                <w:color w:val="000000" w:themeColor="text1"/>
                <w:sz w:val="20"/>
                <w:szCs w:val="20"/>
              </w:rPr>
              <w:t>.</w:t>
            </w:r>
          </w:p>
        </w:tc>
        <w:tc>
          <w:tcPr>
            <w:tcW w:w="772" w:type="pct"/>
            <w:vAlign w:val="bottom"/>
          </w:tcPr>
          <w:p w14:paraId="609CDFA9" w14:textId="589C4F9E" w:rsidR="00FC2BEF" w:rsidRPr="0067706A" w:rsidRDefault="00FC2BEF" w:rsidP="00FC2BE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67706A">
              <w:rPr>
                <w:rFonts w:ascii="Arial" w:eastAsia="Times New Roman" w:hAnsi="Arial" w:cs="Arial"/>
                <w:b/>
                <w:color w:val="000000" w:themeColor="text1"/>
                <w:sz w:val="20"/>
                <w:szCs w:val="20"/>
              </w:rPr>
              <w:t>31. prosinca 202</w:t>
            </w:r>
            <w:r w:rsidR="00656B74">
              <w:rPr>
                <w:rFonts w:ascii="Arial" w:eastAsia="Times New Roman" w:hAnsi="Arial" w:cs="Arial"/>
                <w:b/>
                <w:color w:val="000000" w:themeColor="text1"/>
                <w:sz w:val="20"/>
                <w:szCs w:val="20"/>
              </w:rPr>
              <w:t>3</w:t>
            </w:r>
            <w:r w:rsidRPr="0067706A">
              <w:rPr>
                <w:rFonts w:ascii="Arial" w:eastAsia="Times New Roman" w:hAnsi="Arial" w:cs="Arial"/>
                <w:b/>
                <w:color w:val="000000" w:themeColor="text1"/>
                <w:sz w:val="20"/>
                <w:szCs w:val="20"/>
              </w:rPr>
              <w:t>.</w:t>
            </w:r>
          </w:p>
        </w:tc>
      </w:tr>
      <w:tr w:rsidR="00AD5F37" w:rsidRPr="0067706A" w14:paraId="040D7D0E" w14:textId="77777777" w:rsidTr="0067706A">
        <w:trPr>
          <w:trHeight w:val="223"/>
        </w:trPr>
        <w:tc>
          <w:tcPr>
            <w:tcW w:w="1945" w:type="pct"/>
            <w:vAlign w:val="bottom"/>
          </w:tcPr>
          <w:p w14:paraId="34417374" w14:textId="77777777" w:rsidR="00FC2BEF" w:rsidRPr="0067706A" w:rsidRDefault="00FC2BEF" w:rsidP="00FC2BEF">
            <w:pPr>
              <w:tabs>
                <w:tab w:val="left" w:pos="-720"/>
              </w:tabs>
              <w:suppressAutoHyphens/>
              <w:autoSpaceDN w:val="0"/>
              <w:rPr>
                <w:rFonts w:ascii="Arial" w:eastAsia="Calibri" w:hAnsi="Arial" w:cs="Arial"/>
                <w:color w:val="000000" w:themeColor="text1"/>
                <w:spacing w:val="-2"/>
                <w:sz w:val="20"/>
                <w:szCs w:val="20"/>
              </w:rPr>
            </w:pPr>
          </w:p>
        </w:tc>
        <w:tc>
          <w:tcPr>
            <w:tcW w:w="763" w:type="pct"/>
            <w:vAlign w:val="bottom"/>
          </w:tcPr>
          <w:p w14:paraId="4DF6F74A" w14:textId="0860ED2C" w:rsidR="00FC2BEF" w:rsidRPr="0067706A" w:rsidRDefault="00FC2BEF" w:rsidP="00FC2BE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66" w:name="_Toc67328772"/>
            <w:r w:rsidRPr="0067706A">
              <w:rPr>
                <w:rFonts w:ascii="Arial" w:eastAsia="Times New Roman" w:hAnsi="Arial" w:cs="Arial"/>
                <w:b/>
                <w:color w:val="000000" w:themeColor="text1"/>
                <w:sz w:val="20"/>
                <w:szCs w:val="20"/>
              </w:rPr>
              <w:t>000 eura</w:t>
            </w:r>
            <w:bookmarkEnd w:id="466"/>
          </w:p>
        </w:tc>
        <w:tc>
          <w:tcPr>
            <w:tcW w:w="771" w:type="pct"/>
            <w:vAlign w:val="bottom"/>
          </w:tcPr>
          <w:p w14:paraId="1679BD08" w14:textId="5863A94E" w:rsidR="00FC2BEF" w:rsidRPr="0067706A" w:rsidRDefault="00FC2BEF" w:rsidP="00FC2BE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67" w:name="_Toc67328773"/>
            <w:r w:rsidRPr="0067706A">
              <w:rPr>
                <w:rFonts w:ascii="Arial" w:eastAsia="Times New Roman" w:hAnsi="Arial" w:cs="Arial"/>
                <w:b/>
                <w:color w:val="000000" w:themeColor="text1"/>
                <w:sz w:val="20"/>
                <w:szCs w:val="20"/>
              </w:rPr>
              <w:t>000 eura</w:t>
            </w:r>
            <w:bookmarkEnd w:id="467"/>
          </w:p>
        </w:tc>
        <w:tc>
          <w:tcPr>
            <w:tcW w:w="749" w:type="pct"/>
            <w:vAlign w:val="bottom"/>
          </w:tcPr>
          <w:p w14:paraId="5755AC01" w14:textId="79BE323F" w:rsidR="00FC2BEF" w:rsidRPr="0067706A" w:rsidRDefault="00FC2BEF" w:rsidP="00FC2BE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68" w:name="_Toc67328774"/>
            <w:r w:rsidRPr="0067706A">
              <w:rPr>
                <w:rFonts w:ascii="Arial" w:eastAsia="Times New Roman" w:hAnsi="Arial" w:cs="Arial"/>
                <w:b/>
                <w:color w:val="000000" w:themeColor="text1"/>
                <w:sz w:val="20"/>
                <w:szCs w:val="20"/>
              </w:rPr>
              <w:t>000 eura</w:t>
            </w:r>
            <w:bookmarkEnd w:id="468"/>
          </w:p>
        </w:tc>
        <w:tc>
          <w:tcPr>
            <w:tcW w:w="772" w:type="pct"/>
            <w:vAlign w:val="bottom"/>
          </w:tcPr>
          <w:p w14:paraId="0CB482E0" w14:textId="472AE732" w:rsidR="00FC2BEF" w:rsidRPr="0067706A" w:rsidRDefault="00FC2BEF" w:rsidP="00FC2BE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69" w:name="_Toc67328775"/>
            <w:r w:rsidRPr="0067706A">
              <w:rPr>
                <w:rFonts w:ascii="Arial" w:eastAsia="Times New Roman" w:hAnsi="Arial" w:cs="Arial"/>
                <w:b/>
                <w:color w:val="000000" w:themeColor="text1"/>
                <w:sz w:val="20"/>
                <w:szCs w:val="20"/>
              </w:rPr>
              <w:t>000 eura</w:t>
            </w:r>
            <w:bookmarkEnd w:id="469"/>
          </w:p>
        </w:tc>
      </w:tr>
      <w:tr w:rsidR="00AD5F37" w:rsidRPr="0067706A" w14:paraId="1D8867C7" w14:textId="77777777" w:rsidTr="0067706A">
        <w:trPr>
          <w:trHeight w:hRule="exact" w:val="111"/>
        </w:trPr>
        <w:tc>
          <w:tcPr>
            <w:tcW w:w="1945" w:type="pct"/>
            <w:vAlign w:val="bottom"/>
          </w:tcPr>
          <w:p w14:paraId="148345F9" w14:textId="77777777" w:rsidR="00FC2BEF" w:rsidRPr="0067706A" w:rsidRDefault="00FC2BEF" w:rsidP="00FC2BEF">
            <w:pPr>
              <w:tabs>
                <w:tab w:val="left" w:pos="-720"/>
              </w:tabs>
              <w:suppressAutoHyphens/>
              <w:autoSpaceDN w:val="0"/>
              <w:rPr>
                <w:rFonts w:ascii="Arial" w:eastAsia="Calibri" w:hAnsi="Arial" w:cs="Arial"/>
                <w:color w:val="000000" w:themeColor="text1"/>
                <w:spacing w:val="-2"/>
                <w:sz w:val="20"/>
                <w:szCs w:val="20"/>
              </w:rPr>
            </w:pPr>
          </w:p>
        </w:tc>
        <w:tc>
          <w:tcPr>
            <w:tcW w:w="763" w:type="pct"/>
            <w:vAlign w:val="bottom"/>
          </w:tcPr>
          <w:p w14:paraId="0B202AAA" w14:textId="77777777" w:rsidR="00FC2BEF" w:rsidRPr="0067706A" w:rsidRDefault="00FC2BEF" w:rsidP="00FC2BEF">
            <w:pPr>
              <w:tabs>
                <w:tab w:val="left" w:pos="-720"/>
              </w:tabs>
              <w:suppressAutoHyphens/>
              <w:autoSpaceDN w:val="0"/>
              <w:jc w:val="right"/>
              <w:rPr>
                <w:rFonts w:ascii="Arial" w:eastAsia="Calibri" w:hAnsi="Arial" w:cs="Arial"/>
                <w:b/>
                <w:color w:val="000000" w:themeColor="text1"/>
                <w:spacing w:val="-2"/>
                <w:sz w:val="20"/>
                <w:szCs w:val="20"/>
              </w:rPr>
            </w:pPr>
          </w:p>
        </w:tc>
        <w:tc>
          <w:tcPr>
            <w:tcW w:w="771" w:type="pct"/>
            <w:vAlign w:val="bottom"/>
          </w:tcPr>
          <w:p w14:paraId="6C1180FD" w14:textId="77777777" w:rsidR="00FC2BEF" w:rsidRPr="0067706A" w:rsidRDefault="00FC2BEF" w:rsidP="00FC2BEF">
            <w:pPr>
              <w:tabs>
                <w:tab w:val="left" w:pos="-720"/>
              </w:tabs>
              <w:suppressAutoHyphens/>
              <w:autoSpaceDN w:val="0"/>
              <w:jc w:val="right"/>
              <w:rPr>
                <w:rFonts w:ascii="Arial" w:eastAsia="Calibri" w:hAnsi="Arial" w:cs="Arial"/>
                <w:b/>
                <w:color w:val="000000" w:themeColor="text1"/>
                <w:spacing w:val="-2"/>
                <w:sz w:val="20"/>
                <w:szCs w:val="20"/>
              </w:rPr>
            </w:pPr>
          </w:p>
        </w:tc>
        <w:tc>
          <w:tcPr>
            <w:tcW w:w="749" w:type="pct"/>
            <w:vAlign w:val="bottom"/>
          </w:tcPr>
          <w:p w14:paraId="768E63D1" w14:textId="77777777" w:rsidR="00FC2BEF" w:rsidRPr="0067706A" w:rsidRDefault="00FC2BEF" w:rsidP="00FC2BEF">
            <w:pPr>
              <w:tabs>
                <w:tab w:val="left" w:pos="-720"/>
              </w:tabs>
              <w:suppressAutoHyphens/>
              <w:autoSpaceDN w:val="0"/>
              <w:jc w:val="right"/>
              <w:rPr>
                <w:rFonts w:ascii="Arial" w:eastAsia="Calibri" w:hAnsi="Arial" w:cs="Arial"/>
                <w:b/>
                <w:color w:val="000000" w:themeColor="text1"/>
                <w:spacing w:val="-2"/>
                <w:sz w:val="20"/>
                <w:szCs w:val="20"/>
              </w:rPr>
            </w:pPr>
          </w:p>
        </w:tc>
        <w:tc>
          <w:tcPr>
            <w:tcW w:w="772" w:type="pct"/>
            <w:vAlign w:val="bottom"/>
          </w:tcPr>
          <w:p w14:paraId="4F983725" w14:textId="77777777" w:rsidR="00FC2BEF" w:rsidRPr="0067706A" w:rsidRDefault="00FC2BEF" w:rsidP="00FC2BEF">
            <w:pPr>
              <w:tabs>
                <w:tab w:val="left" w:pos="-720"/>
              </w:tabs>
              <w:suppressAutoHyphens/>
              <w:autoSpaceDN w:val="0"/>
              <w:jc w:val="right"/>
              <w:rPr>
                <w:rFonts w:ascii="Arial" w:eastAsia="Calibri" w:hAnsi="Arial" w:cs="Arial"/>
                <w:b/>
                <w:color w:val="000000" w:themeColor="text1"/>
                <w:spacing w:val="-2"/>
                <w:sz w:val="20"/>
                <w:szCs w:val="20"/>
              </w:rPr>
            </w:pPr>
          </w:p>
        </w:tc>
      </w:tr>
      <w:tr w:rsidR="004F2133" w:rsidRPr="0067706A" w14:paraId="55E4DE98" w14:textId="77777777" w:rsidTr="004F2133">
        <w:trPr>
          <w:trHeight w:val="259"/>
        </w:trPr>
        <w:tc>
          <w:tcPr>
            <w:tcW w:w="1945" w:type="pct"/>
            <w:vAlign w:val="bottom"/>
          </w:tcPr>
          <w:p w14:paraId="1501EEE6" w14:textId="77777777" w:rsidR="004F2133" w:rsidRPr="0067706A" w:rsidRDefault="004F2133" w:rsidP="004F2133">
            <w:pPr>
              <w:suppressAutoHyphens/>
              <w:autoSpaceDN w:val="0"/>
              <w:rPr>
                <w:rFonts w:ascii="Arial" w:eastAsia="Calibri" w:hAnsi="Arial" w:cs="Arial"/>
                <w:color w:val="000000" w:themeColor="text1"/>
                <w:sz w:val="20"/>
                <w:szCs w:val="20"/>
              </w:rPr>
            </w:pPr>
            <w:r w:rsidRPr="0067706A">
              <w:rPr>
                <w:rFonts w:ascii="Arial" w:eastAsia="Calibri" w:hAnsi="Arial" w:cs="Arial"/>
                <w:color w:val="000000" w:themeColor="text1"/>
                <w:sz w:val="20"/>
                <w:szCs w:val="20"/>
              </w:rPr>
              <w:t>Rezerviranje za garancije i preuzete obveze</w:t>
            </w:r>
          </w:p>
        </w:tc>
        <w:tc>
          <w:tcPr>
            <w:tcW w:w="763" w:type="pct"/>
            <w:vAlign w:val="bottom"/>
          </w:tcPr>
          <w:p w14:paraId="0636AA7A" w14:textId="4BA8FC6D" w:rsidR="004F2133" w:rsidRPr="0067706A" w:rsidRDefault="00AE37A3" w:rsidP="004F2133">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8.347</w:t>
            </w:r>
          </w:p>
        </w:tc>
        <w:tc>
          <w:tcPr>
            <w:tcW w:w="771" w:type="pct"/>
            <w:vAlign w:val="bottom"/>
          </w:tcPr>
          <w:p w14:paraId="7A36B148" w14:textId="13B18DAD" w:rsidR="004F2133" w:rsidRPr="0067706A" w:rsidRDefault="004F2133" w:rsidP="004F2133">
            <w:pPr>
              <w:suppressAutoHyphens/>
              <w:autoSpaceDN w:val="0"/>
              <w:jc w:val="right"/>
              <w:rPr>
                <w:rFonts w:ascii="Arial" w:eastAsia="Calibri" w:hAnsi="Arial" w:cs="Arial"/>
                <w:color w:val="000000" w:themeColor="text1"/>
                <w:sz w:val="20"/>
                <w:szCs w:val="20"/>
              </w:rPr>
            </w:pPr>
            <w:r w:rsidRPr="00531CE5">
              <w:rPr>
                <w:rFonts w:ascii="Arial" w:eastAsia="Calibri" w:hAnsi="Arial" w:cs="Arial"/>
                <w:sz w:val="20"/>
                <w:szCs w:val="20"/>
              </w:rPr>
              <w:t>14.637</w:t>
            </w:r>
          </w:p>
        </w:tc>
        <w:tc>
          <w:tcPr>
            <w:tcW w:w="749" w:type="pct"/>
            <w:vAlign w:val="bottom"/>
          </w:tcPr>
          <w:p w14:paraId="1F3C0262" w14:textId="79419210" w:rsidR="004F2133" w:rsidRPr="004F2133" w:rsidRDefault="004F2133" w:rsidP="004F2133">
            <w:pPr>
              <w:suppressAutoHyphens/>
              <w:autoSpaceDN w:val="0"/>
              <w:jc w:val="right"/>
              <w:rPr>
                <w:rFonts w:ascii="Arial" w:eastAsia="Calibri" w:hAnsi="Arial" w:cs="Arial"/>
                <w:color w:val="000000" w:themeColor="text1"/>
                <w:sz w:val="20"/>
                <w:szCs w:val="20"/>
              </w:rPr>
            </w:pPr>
            <w:r w:rsidRPr="004F2133">
              <w:rPr>
                <w:rFonts w:ascii="Arial" w:hAnsi="Arial" w:cs="Arial"/>
                <w:sz w:val="20"/>
                <w:szCs w:val="20"/>
              </w:rPr>
              <w:t>8.347</w:t>
            </w:r>
          </w:p>
        </w:tc>
        <w:tc>
          <w:tcPr>
            <w:tcW w:w="772" w:type="pct"/>
            <w:vAlign w:val="bottom"/>
          </w:tcPr>
          <w:p w14:paraId="5C341A61" w14:textId="6ED44FF0" w:rsidR="004F2133" w:rsidRPr="0067706A" w:rsidRDefault="004F2133" w:rsidP="004F2133">
            <w:pPr>
              <w:suppressAutoHyphens/>
              <w:autoSpaceDN w:val="0"/>
              <w:jc w:val="right"/>
              <w:rPr>
                <w:rFonts w:ascii="Arial" w:eastAsia="Calibri" w:hAnsi="Arial" w:cs="Arial"/>
                <w:color w:val="000000" w:themeColor="text1"/>
                <w:sz w:val="20"/>
                <w:szCs w:val="20"/>
              </w:rPr>
            </w:pPr>
            <w:r w:rsidRPr="00531CE5">
              <w:rPr>
                <w:rFonts w:ascii="Arial" w:eastAsia="Calibri" w:hAnsi="Arial" w:cs="Arial"/>
                <w:sz w:val="20"/>
                <w:szCs w:val="20"/>
              </w:rPr>
              <w:t>14.637</w:t>
            </w:r>
          </w:p>
        </w:tc>
      </w:tr>
      <w:tr w:rsidR="004F2133" w:rsidRPr="0067706A" w14:paraId="2F012A8F" w14:textId="77777777" w:rsidTr="004F2133">
        <w:trPr>
          <w:trHeight w:val="259"/>
        </w:trPr>
        <w:tc>
          <w:tcPr>
            <w:tcW w:w="1945" w:type="pct"/>
            <w:vAlign w:val="bottom"/>
          </w:tcPr>
          <w:p w14:paraId="483C4183" w14:textId="77777777" w:rsidR="004F2133" w:rsidRPr="0067706A" w:rsidRDefault="004F2133" w:rsidP="004F2133">
            <w:pPr>
              <w:suppressAutoHyphens/>
              <w:autoSpaceDN w:val="0"/>
              <w:rPr>
                <w:rFonts w:ascii="Arial" w:eastAsia="Calibri" w:hAnsi="Arial" w:cs="Arial"/>
                <w:color w:val="000000" w:themeColor="text1"/>
                <w:sz w:val="20"/>
                <w:szCs w:val="20"/>
              </w:rPr>
            </w:pPr>
            <w:r w:rsidRPr="0067706A">
              <w:rPr>
                <w:rFonts w:ascii="Arial" w:eastAsia="Calibri" w:hAnsi="Arial" w:cs="Arial"/>
                <w:color w:val="000000" w:themeColor="text1"/>
                <w:sz w:val="20"/>
                <w:szCs w:val="20"/>
              </w:rPr>
              <w:t>Rezerviranje za ostale obveze</w:t>
            </w:r>
          </w:p>
        </w:tc>
        <w:tc>
          <w:tcPr>
            <w:tcW w:w="763" w:type="pct"/>
            <w:tcBorders>
              <w:bottom w:val="single" w:sz="2" w:space="0" w:color="auto"/>
            </w:tcBorders>
            <w:vAlign w:val="bottom"/>
          </w:tcPr>
          <w:p w14:paraId="4AAA25B1" w14:textId="7A7EA262" w:rsidR="004F2133" w:rsidRPr="0067706A" w:rsidRDefault="002D17D9" w:rsidP="004F2133">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11.048</w:t>
            </w:r>
          </w:p>
        </w:tc>
        <w:tc>
          <w:tcPr>
            <w:tcW w:w="771" w:type="pct"/>
            <w:tcBorders>
              <w:bottom w:val="single" w:sz="4" w:space="0" w:color="auto"/>
            </w:tcBorders>
            <w:vAlign w:val="bottom"/>
          </w:tcPr>
          <w:p w14:paraId="7C74CEBD" w14:textId="1D94DBF3" w:rsidR="004F2133" w:rsidRPr="0067706A" w:rsidRDefault="004F2133" w:rsidP="004F2133">
            <w:pPr>
              <w:suppressAutoHyphens/>
              <w:autoSpaceDN w:val="0"/>
              <w:jc w:val="right"/>
              <w:rPr>
                <w:rFonts w:ascii="Arial" w:eastAsia="Calibri" w:hAnsi="Arial" w:cs="Arial"/>
                <w:bCs/>
                <w:color w:val="000000" w:themeColor="text1"/>
                <w:sz w:val="20"/>
                <w:szCs w:val="20"/>
              </w:rPr>
            </w:pPr>
            <w:r w:rsidRPr="00531CE5">
              <w:rPr>
                <w:rFonts w:ascii="Arial" w:eastAsia="Calibri" w:hAnsi="Arial" w:cs="Arial"/>
                <w:sz w:val="20"/>
                <w:szCs w:val="20"/>
              </w:rPr>
              <w:t>9.74</w:t>
            </w:r>
            <w:r>
              <w:rPr>
                <w:rFonts w:ascii="Arial" w:eastAsia="Calibri" w:hAnsi="Arial" w:cs="Arial"/>
                <w:sz w:val="20"/>
                <w:szCs w:val="20"/>
              </w:rPr>
              <w:t>5</w:t>
            </w:r>
          </w:p>
        </w:tc>
        <w:tc>
          <w:tcPr>
            <w:tcW w:w="749" w:type="pct"/>
            <w:tcBorders>
              <w:bottom w:val="single" w:sz="2" w:space="0" w:color="auto"/>
            </w:tcBorders>
            <w:vAlign w:val="bottom"/>
          </w:tcPr>
          <w:p w14:paraId="282C27E4" w14:textId="638D7230" w:rsidR="004F2133" w:rsidRPr="004F2133" w:rsidRDefault="004F2133" w:rsidP="004F2133">
            <w:pPr>
              <w:suppressAutoHyphens/>
              <w:autoSpaceDN w:val="0"/>
              <w:jc w:val="right"/>
              <w:rPr>
                <w:rFonts w:ascii="Arial" w:eastAsia="Calibri" w:hAnsi="Arial" w:cs="Arial"/>
                <w:color w:val="000000" w:themeColor="text1"/>
                <w:sz w:val="20"/>
                <w:szCs w:val="20"/>
              </w:rPr>
            </w:pPr>
            <w:r w:rsidRPr="004F2133">
              <w:rPr>
                <w:rFonts w:ascii="Arial" w:hAnsi="Arial" w:cs="Arial"/>
                <w:sz w:val="20"/>
                <w:szCs w:val="20"/>
              </w:rPr>
              <w:t>11.048</w:t>
            </w:r>
          </w:p>
        </w:tc>
        <w:tc>
          <w:tcPr>
            <w:tcW w:w="772" w:type="pct"/>
            <w:tcBorders>
              <w:bottom w:val="single" w:sz="4" w:space="0" w:color="auto"/>
            </w:tcBorders>
            <w:vAlign w:val="bottom"/>
          </w:tcPr>
          <w:p w14:paraId="410319CA" w14:textId="620B9F99" w:rsidR="004F2133" w:rsidRPr="0067706A" w:rsidRDefault="004F2133" w:rsidP="004F2133">
            <w:pPr>
              <w:suppressAutoHyphens/>
              <w:autoSpaceDN w:val="0"/>
              <w:jc w:val="right"/>
              <w:rPr>
                <w:rFonts w:ascii="Arial" w:eastAsia="Calibri" w:hAnsi="Arial" w:cs="Arial"/>
                <w:bCs/>
                <w:color w:val="000000" w:themeColor="text1"/>
                <w:sz w:val="20"/>
                <w:szCs w:val="20"/>
              </w:rPr>
            </w:pPr>
            <w:r w:rsidRPr="00531CE5">
              <w:rPr>
                <w:rFonts w:ascii="Arial" w:eastAsia="Calibri" w:hAnsi="Arial" w:cs="Arial"/>
                <w:sz w:val="20"/>
                <w:szCs w:val="20"/>
              </w:rPr>
              <w:t>9.743</w:t>
            </w:r>
          </w:p>
        </w:tc>
      </w:tr>
      <w:tr w:rsidR="004F2133" w:rsidRPr="0067706A" w14:paraId="45879DE3" w14:textId="77777777" w:rsidTr="004F2133">
        <w:trPr>
          <w:trHeight w:val="294"/>
        </w:trPr>
        <w:tc>
          <w:tcPr>
            <w:tcW w:w="1945" w:type="pct"/>
            <w:vAlign w:val="bottom"/>
          </w:tcPr>
          <w:p w14:paraId="5ACA7110" w14:textId="77777777" w:rsidR="004F2133" w:rsidRPr="0067706A" w:rsidRDefault="004F2133" w:rsidP="004F2133">
            <w:pPr>
              <w:tabs>
                <w:tab w:val="left" w:pos="-720"/>
              </w:tabs>
              <w:suppressAutoHyphens/>
              <w:autoSpaceDN w:val="0"/>
              <w:rPr>
                <w:rFonts w:ascii="Arial" w:eastAsia="Calibri" w:hAnsi="Arial" w:cs="Arial"/>
                <w:b/>
                <w:bCs/>
                <w:color w:val="000000" w:themeColor="text1"/>
                <w:spacing w:val="-2"/>
                <w:sz w:val="20"/>
                <w:szCs w:val="20"/>
              </w:rPr>
            </w:pPr>
          </w:p>
        </w:tc>
        <w:tc>
          <w:tcPr>
            <w:tcW w:w="763" w:type="pct"/>
            <w:tcBorders>
              <w:top w:val="single" w:sz="4" w:space="0" w:color="auto"/>
              <w:bottom w:val="single" w:sz="12" w:space="0" w:color="auto"/>
            </w:tcBorders>
            <w:vAlign w:val="bottom"/>
          </w:tcPr>
          <w:p w14:paraId="236046BC" w14:textId="304751ED" w:rsidR="004F2133" w:rsidRPr="0067706A" w:rsidRDefault="002D17D9" w:rsidP="004F2133">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19.395</w:t>
            </w:r>
          </w:p>
        </w:tc>
        <w:tc>
          <w:tcPr>
            <w:tcW w:w="771" w:type="pct"/>
            <w:tcBorders>
              <w:top w:val="single" w:sz="4" w:space="0" w:color="auto"/>
              <w:bottom w:val="single" w:sz="12" w:space="0" w:color="auto"/>
            </w:tcBorders>
            <w:vAlign w:val="bottom"/>
          </w:tcPr>
          <w:p w14:paraId="3F865E8F" w14:textId="72C6B24C" w:rsidR="004F2133" w:rsidRPr="0067706A" w:rsidRDefault="004F2133" w:rsidP="004F2133">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531CE5">
              <w:rPr>
                <w:rFonts w:ascii="Arial" w:hAnsi="Arial" w:cs="Arial"/>
                <w:b/>
                <w:bCs/>
                <w:sz w:val="20"/>
                <w:szCs w:val="20"/>
              </w:rPr>
              <w:t>24.38</w:t>
            </w:r>
            <w:r>
              <w:rPr>
                <w:rFonts w:ascii="Arial" w:hAnsi="Arial" w:cs="Arial"/>
                <w:b/>
                <w:bCs/>
                <w:sz w:val="20"/>
                <w:szCs w:val="20"/>
              </w:rPr>
              <w:t>2</w:t>
            </w:r>
          </w:p>
        </w:tc>
        <w:tc>
          <w:tcPr>
            <w:tcW w:w="749" w:type="pct"/>
            <w:tcBorders>
              <w:top w:val="single" w:sz="4" w:space="0" w:color="auto"/>
              <w:bottom w:val="single" w:sz="12" w:space="0" w:color="auto"/>
            </w:tcBorders>
            <w:vAlign w:val="bottom"/>
          </w:tcPr>
          <w:p w14:paraId="20E659A2" w14:textId="44627760" w:rsidR="004F2133" w:rsidRPr="004F2133" w:rsidRDefault="004F2133" w:rsidP="004F2133">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4F2133">
              <w:rPr>
                <w:rFonts w:ascii="Arial" w:hAnsi="Arial" w:cs="Arial"/>
                <w:b/>
                <w:bCs/>
                <w:sz w:val="20"/>
                <w:szCs w:val="20"/>
              </w:rPr>
              <w:t>19.395</w:t>
            </w:r>
          </w:p>
        </w:tc>
        <w:tc>
          <w:tcPr>
            <w:tcW w:w="772" w:type="pct"/>
            <w:tcBorders>
              <w:top w:val="single" w:sz="4" w:space="0" w:color="auto"/>
              <w:bottom w:val="single" w:sz="12" w:space="0" w:color="auto"/>
            </w:tcBorders>
            <w:vAlign w:val="bottom"/>
          </w:tcPr>
          <w:p w14:paraId="400972D8" w14:textId="72F6A2B2" w:rsidR="004F2133" w:rsidRPr="0067706A" w:rsidRDefault="004F2133" w:rsidP="004F2133">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531CE5">
              <w:rPr>
                <w:rFonts w:ascii="Arial" w:hAnsi="Arial" w:cs="Arial"/>
                <w:b/>
                <w:bCs/>
                <w:sz w:val="20"/>
                <w:szCs w:val="20"/>
              </w:rPr>
              <w:t>24.380</w:t>
            </w:r>
          </w:p>
        </w:tc>
      </w:tr>
      <w:bookmarkEnd w:id="462"/>
    </w:tbl>
    <w:p w14:paraId="7EC0E9FF" w14:textId="77777777" w:rsidR="00FC2BEF" w:rsidRPr="003D1614" w:rsidRDefault="00FC2BEF" w:rsidP="00FC2BEF">
      <w:pPr>
        <w:suppressAutoHyphens/>
        <w:autoSpaceDN w:val="0"/>
        <w:jc w:val="both"/>
        <w:rPr>
          <w:rFonts w:ascii="Arial" w:eastAsia="Times New Roman" w:hAnsi="Arial" w:cs="Arial"/>
          <w:b/>
          <w:color w:val="000000" w:themeColor="text1"/>
          <w:sz w:val="20"/>
          <w:szCs w:val="20"/>
          <w:lang w:eastAsia="hr-HR"/>
        </w:rPr>
      </w:pPr>
    </w:p>
    <w:p w14:paraId="49DDE85A" w14:textId="77777777" w:rsidR="00FC2BEF" w:rsidRPr="003D1614" w:rsidRDefault="00FC2BEF" w:rsidP="00FC2BE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Promjene na rezerviranjima za očekivane gubitke po garancijama, preuzetim i ostalim obvezama mogu se prikazati kako slijedi:</w:t>
      </w:r>
    </w:p>
    <w:p w14:paraId="6127A354" w14:textId="77777777" w:rsidR="00FC2BEF" w:rsidRPr="003D1614" w:rsidRDefault="00FC2BEF" w:rsidP="00FC2BEF">
      <w:pPr>
        <w:tabs>
          <w:tab w:val="left" w:pos="6036"/>
        </w:tabs>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ab/>
      </w:r>
    </w:p>
    <w:tbl>
      <w:tblPr>
        <w:tblW w:w="5084" w:type="pct"/>
        <w:tblLayout w:type="fixed"/>
        <w:tblLook w:val="04A0" w:firstRow="1" w:lastRow="0" w:firstColumn="1" w:lastColumn="0" w:noHBand="0" w:noVBand="1"/>
      </w:tblPr>
      <w:tblGrid>
        <w:gridCol w:w="4260"/>
        <w:gridCol w:w="1241"/>
        <w:gridCol w:w="1241"/>
        <w:gridCol w:w="1241"/>
        <w:gridCol w:w="1241"/>
      </w:tblGrid>
      <w:tr w:rsidR="00FC2BEF" w:rsidRPr="00EA554B" w14:paraId="784BB328" w14:textId="77777777" w:rsidTr="00EA554B">
        <w:trPr>
          <w:trHeight w:val="251"/>
        </w:trPr>
        <w:tc>
          <w:tcPr>
            <w:tcW w:w="4260" w:type="dxa"/>
            <w:tcBorders>
              <w:top w:val="nil"/>
              <w:left w:val="nil"/>
              <w:bottom w:val="nil"/>
              <w:right w:val="nil"/>
            </w:tcBorders>
            <w:shd w:val="clear" w:color="auto" w:fill="auto"/>
            <w:noWrap/>
            <w:vAlign w:val="bottom"/>
            <w:hideMark/>
          </w:tcPr>
          <w:p w14:paraId="48B1B72A" w14:textId="77777777" w:rsidR="00FC2BEF" w:rsidRPr="00EA554B" w:rsidRDefault="00FC2BEF" w:rsidP="00FC2BEF">
            <w:pPr>
              <w:suppressAutoHyphens/>
              <w:autoSpaceDN w:val="0"/>
              <w:rPr>
                <w:rFonts w:ascii="Arial" w:eastAsia="Calibri" w:hAnsi="Arial" w:cs="Arial"/>
                <w:color w:val="000000" w:themeColor="text1"/>
                <w:sz w:val="20"/>
                <w:szCs w:val="20"/>
              </w:rPr>
            </w:pPr>
          </w:p>
        </w:tc>
        <w:tc>
          <w:tcPr>
            <w:tcW w:w="2482" w:type="dxa"/>
            <w:gridSpan w:val="2"/>
            <w:tcBorders>
              <w:top w:val="nil"/>
              <w:left w:val="nil"/>
              <w:bottom w:val="nil"/>
              <w:right w:val="nil"/>
            </w:tcBorders>
            <w:shd w:val="clear" w:color="auto" w:fill="auto"/>
            <w:vAlign w:val="bottom"/>
            <w:hideMark/>
          </w:tcPr>
          <w:p w14:paraId="64CCA471" w14:textId="77777777" w:rsidR="00FC2BEF" w:rsidRPr="00EA554B" w:rsidRDefault="00FC2BEF" w:rsidP="00FC2BEF">
            <w:pPr>
              <w:suppressAutoHyphens/>
              <w:autoSpaceDN w:val="0"/>
              <w:jc w:val="right"/>
              <w:rPr>
                <w:rFonts w:ascii="Arial" w:eastAsia="Calibri" w:hAnsi="Arial" w:cs="Arial"/>
                <w:b/>
                <w:bCs/>
                <w:color w:val="000000" w:themeColor="text1"/>
                <w:sz w:val="20"/>
                <w:szCs w:val="20"/>
              </w:rPr>
            </w:pPr>
            <w:r w:rsidRPr="00EA554B">
              <w:rPr>
                <w:rFonts w:ascii="Arial" w:eastAsia="Calibri" w:hAnsi="Arial" w:cs="Arial"/>
                <w:b/>
                <w:bCs/>
                <w:color w:val="000000" w:themeColor="text1"/>
                <w:sz w:val="20"/>
                <w:szCs w:val="20"/>
              </w:rPr>
              <w:t>Grupa</w:t>
            </w:r>
          </w:p>
        </w:tc>
        <w:tc>
          <w:tcPr>
            <w:tcW w:w="2482" w:type="dxa"/>
            <w:gridSpan w:val="2"/>
            <w:tcBorders>
              <w:top w:val="nil"/>
              <w:left w:val="nil"/>
              <w:bottom w:val="nil"/>
              <w:right w:val="nil"/>
            </w:tcBorders>
            <w:shd w:val="clear" w:color="auto" w:fill="auto"/>
            <w:vAlign w:val="bottom"/>
            <w:hideMark/>
          </w:tcPr>
          <w:p w14:paraId="19CD6941" w14:textId="77777777" w:rsidR="00FC2BEF" w:rsidRPr="00EA554B" w:rsidRDefault="00FC2BEF" w:rsidP="00FC2BEF">
            <w:pPr>
              <w:suppressAutoHyphens/>
              <w:autoSpaceDN w:val="0"/>
              <w:jc w:val="right"/>
              <w:rPr>
                <w:rFonts w:ascii="Arial" w:eastAsia="Calibri" w:hAnsi="Arial" w:cs="Arial"/>
                <w:b/>
                <w:bCs/>
                <w:color w:val="000000" w:themeColor="text1"/>
                <w:sz w:val="20"/>
                <w:szCs w:val="20"/>
              </w:rPr>
            </w:pPr>
            <w:r w:rsidRPr="00EA554B">
              <w:rPr>
                <w:rFonts w:ascii="Arial" w:eastAsia="Calibri" w:hAnsi="Arial" w:cs="Arial"/>
                <w:b/>
                <w:bCs/>
                <w:color w:val="000000" w:themeColor="text1"/>
                <w:sz w:val="20"/>
                <w:szCs w:val="20"/>
              </w:rPr>
              <w:t>Banka</w:t>
            </w:r>
          </w:p>
        </w:tc>
      </w:tr>
      <w:tr w:rsidR="00FC2BEF" w:rsidRPr="00EA554B" w14:paraId="1C506140" w14:textId="77777777" w:rsidTr="00EA554B">
        <w:trPr>
          <w:trHeight w:val="251"/>
        </w:trPr>
        <w:tc>
          <w:tcPr>
            <w:tcW w:w="4260" w:type="dxa"/>
            <w:tcBorders>
              <w:top w:val="nil"/>
              <w:left w:val="nil"/>
              <w:bottom w:val="nil"/>
              <w:right w:val="nil"/>
            </w:tcBorders>
            <w:shd w:val="clear" w:color="auto" w:fill="auto"/>
            <w:noWrap/>
            <w:vAlign w:val="bottom"/>
          </w:tcPr>
          <w:p w14:paraId="0B250FDA" w14:textId="77777777" w:rsidR="00FC2BEF" w:rsidRPr="00EA554B" w:rsidRDefault="00FC2BEF" w:rsidP="00FC2BEF">
            <w:pPr>
              <w:suppressAutoHyphens/>
              <w:autoSpaceDN w:val="0"/>
              <w:rPr>
                <w:rFonts w:ascii="Arial" w:eastAsia="Calibri" w:hAnsi="Arial" w:cs="Arial"/>
                <w:color w:val="000000" w:themeColor="text1"/>
                <w:sz w:val="20"/>
                <w:szCs w:val="20"/>
              </w:rPr>
            </w:pPr>
          </w:p>
        </w:tc>
        <w:tc>
          <w:tcPr>
            <w:tcW w:w="1241" w:type="dxa"/>
            <w:vAlign w:val="bottom"/>
          </w:tcPr>
          <w:p w14:paraId="27DDDDA9" w14:textId="001E9966" w:rsidR="00FC2BEF" w:rsidRPr="00EA554B" w:rsidRDefault="00FC2BEF" w:rsidP="00FC2BEF">
            <w:pPr>
              <w:tabs>
                <w:tab w:val="right" w:pos="1202"/>
              </w:tabs>
              <w:suppressAutoHyphens/>
              <w:autoSpaceDN w:val="0"/>
              <w:jc w:val="right"/>
              <w:outlineLvl w:val="0"/>
              <w:rPr>
                <w:rFonts w:ascii="Arial" w:eastAsia="Times New Roman" w:hAnsi="Arial" w:cs="Arial"/>
                <w:b/>
                <w:color w:val="000000" w:themeColor="text1"/>
                <w:sz w:val="20"/>
                <w:szCs w:val="20"/>
              </w:rPr>
            </w:pPr>
            <w:bookmarkStart w:id="470" w:name="_Toc67328780"/>
            <w:r w:rsidRPr="00EA554B">
              <w:rPr>
                <w:rFonts w:ascii="Arial" w:eastAsia="Times New Roman" w:hAnsi="Arial" w:cs="Arial"/>
                <w:b/>
                <w:color w:val="000000" w:themeColor="text1"/>
                <w:sz w:val="20"/>
                <w:szCs w:val="20"/>
              </w:rPr>
              <w:t>1.1.-</w:t>
            </w:r>
            <w:r w:rsidR="007C3C47" w:rsidRPr="00EA554B">
              <w:rPr>
                <w:rFonts w:ascii="Arial" w:eastAsia="Times New Roman" w:hAnsi="Arial" w:cs="Arial"/>
                <w:b/>
                <w:color w:val="000000" w:themeColor="text1"/>
                <w:sz w:val="20"/>
                <w:szCs w:val="20"/>
              </w:rPr>
              <w:t>3</w:t>
            </w:r>
            <w:r w:rsidR="007C3C47">
              <w:rPr>
                <w:rFonts w:ascii="Arial" w:eastAsia="Times New Roman" w:hAnsi="Arial" w:cs="Arial"/>
                <w:b/>
                <w:color w:val="000000" w:themeColor="text1"/>
                <w:sz w:val="20"/>
                <w:szCs w:val="20"/>
              </w:rPr>
              <w:t>0</w:t>
            </w:r>
            <w:r w:rsidRPr="00EA554B">
              <w:rPr>
                <w:rFonts w:ascii="Arial" w:eastAsia="Times New Roman" w:hAnsi="Arial" w:cs="Arial"/>
                <w:b/>
                <w:color w:val="000000" w:themeColor="text1"/>
                <w:sz w:val="20"/>
                <w:szCs w:val="20"/>
              </w:rPr>
              <w:t>.</w:t>
            </w:r>
            <w:r w:rsidR="002C0DB3">
              <w:rPr>
                <w:rFonts w:ascii="Arial" w:eastAsia="Times New Roman" w:hAnsi="Arial" w:cs="Arial"/>
                <w:b/>
                <w:color w:val="000000" w:themeColor="text1"/>
                <w:sz w:val="20"/>
                <w:szCs w:val="20"/>
              </w:rPr>
              <w:t>9</w:t>
            </w:r>
            <w:r w:rsidRPr="00EA554B">
              <w:rPr>
                <w:rFonts w:ascii="Arial" w:eastAsia="Times New Roman" w:hAnsi="Arial" w:cs="Arial"/>
                <w:b/>
                <w:color w:val="000000" w:themeColor="text1"/>
                <w:sz w:val="20"/>
                <w:szCs w:val="20"/>
              </w:rPr>
              <w:t>.</w:t>
            </w:r>
            <w:bookmarkEnd w:id="470"/>
          </w:p>
          <w:p w14:paraId="058D7078" w14:textId="666F42AE" w:rsidR="00FC2BEF" w:rsidRPr="00EA554B" w:rsidRDefault="00FC2BEF" w:rsidP="00FC2BEF">
            <w:pPr>
              <w:tabs>
                <w:tab w:val="right" w:pos="1202"/>
              </w:tabs>
              <w:suppressAutoHyphens/>
              <w:autoSpaceDN w:val="0"/>
              <w:jc w:val="right"/>
              <w:outlineLvl w:val="0"/>
              <w:rPr>
                <w:rFonts w:ascii="Arial" w:eastAsia="Times New Roman" w:hAnsi="Arial" w:cs="Arial"/>
                <w:b/>
                <w:color w:val="000000" w:themeColor="text1"/>
                <w:sz w:val="20"/>
                <w:szCs w:val="20"/>
              </w:rPr>
            </w:pPr>
            <w:bookmarkStart w:id="471" w:name="_Toc67328781"/>
            <w:r w:rsidRPr="00EA554B">
              <w:rPr>
                <w:rFonts w:ascii="Arial" w:eastAsia="Times New Roman" w:hAnsi="Arial" w:cs="Arial"/>
                <w:b/>
                <w:color w:val="000000" w:themeColor="text1"/>
                <w:sz w:val="20"/>
                <w:szCs w:val="20"/>
              </w:rPr>
              <w:t>202</w:t>
            </w:r>
            <w:r w:rsidR="002D53B1">
              <w:rPr>
                <w:rFonts w:ascii="Arial" w:eastAsia="Times New Roman" w:hAnsi="Arial" w:cs="Arial"/>
                <w:b/>
                <w:color w:val="000000" w:themeColor="text1"/>
                <w:sz w:val="20"/>
                <w:szCs w:val="20"/>
              </w:rPr>
              <w:t>4</w:t>
            </w:r>
            <w:r w:rsidRPr="00EA554B">
              <w:rPr>
                <w:rFonts w:ascii="Arial" w:eastAsia="Times New Roman" w:hAnsi="Arial" w:cs="Arial"/>
                <w:b/>
                <w:color w:val="000000" w:themeColor="text1"/>
                <w:sz w:val="20"/>
                <w:szCs w:val="20"/>
              </w:rPr>
              <w:t>.</w:t>
            </w:r>
            <w:bookmarkEnd w:id="471"/>
          </w:p>
        </w:tc>
        <w:tc>
          <w:tcPr>
            <w:tcW w:w="1241" w:type="dxa"/>
            <w:vAlign w:val="bottom"/>
          </w:tcPr>
          <w:p w14:paraId="1E20576E" w14:textId="77777777" w:rsidR="00FC2BEF" w:rsidRPr="00EA554B" w:rsidRDefault="00FC2BEF" w:rsidP="00FC2BEF">
            <w:pPr>
              <w:tabs>
                <w:tab w:val="right" w:pos="1202"/>
              </w:tabs>
              <w:suppressAutoHyphens/>
              <w:autoSpaceDN w:val="0"/>
              <w:jc w:val="right"/>
              <w:outlineLvl w:val="0"/>
              <w:rPr>
                <w:rFonts w:ascii="Arial" w:eastAsia="Times New Roman" w:hAnsi="Arial" w:cs="Arial"/>
                <w:b/>
                <w:color w:val="000000" w:themeColor="text1"/>
                <w:sz w:val="20"/>
                <w:szCs w:val="20"/>
              </w:rPr>
            </w:pPr>
            <w:bookmarkStart w:id="472" w:name="_Toc67328782"/>
            <w:r w:rsidRPr="00EA554B">
              <w:rPr>
                <w:rFonts w:ascii="Arial" w:eastAsia="Times New Roman" w:hAnsi="Arial" w:cs="Arial"/>
                <w:b/>
                <w:color w:val="000000" w:themeColor="text1"/>
                <w:sz w:val="20"/>
                <w:szCs w:val="20"/>
              </w:rPr>
              <w:t>1.1.-31.12.</w:t>
            </w:r>
            <w:bookmarkEnd w:id="472"/>
          </w:p>
          <w:p w14:paraId="59C6D467" w14:textId="13F07049" w:rsidR="00FC2BEF" w:rsidRPr="00EA554B" w:rsidRDefault="00FC2BEF" w:rsidP="00FC2BEF">
            <w:pPr>
              <w:tabs>
                <w:tab w:val="right" w:pos="1202"/>
              </w:tabs>
              <w:suppressAutoHyphens/>
              <w:autoSpaceDN w:val="0"/>
              <w:jc w:val="right"/>
              <w:outlineLvl w:val="0"/>
              <w:rPr>
                <w:rFonts w:ascii="Arial" w:eastAsia="Times New Roman" w:hAnsi="Arial" w:cs="Arial"/>
                <w:b/>
                <w:color w:val="000000" w:themeColor="text1"/>
                <w:sz w:val="20"/>
                <w:szCs w:val="20"/>
              </w:rPr>
            </w:pPr>
            <w:bookmarkStart w:id="473" w:name="_Toc67328783"/>
            <w:r w:rsidRPr="00EA554B">
              <w:rPr>
                <w:rFonts w:ascii="Arial" w:eastAsia="Times New Roman" w:hAnsi="Arial" w:cs="Arial"/>
                <w:b/>
                <w:color w:val="000000" w:themeColor="text1"/>
                <w:sz w:val="20"/>
                <w:szCs w:val="20"/>
              </w:rPr>
              <w:t>202</w:t>
            </w:r>
            <w:r w:rsidR="002D53B1">
              <w:rPr>
                <w:rFonts w:ascii="Arial" w:eastAsia="Times New Roman" w:hAnsi="Arial" w:cs="Arial"/>
                <w:b/>
                <w:color w:val="000000" w:themeColor="text1"/>
                <w:sz w:val="20"/>
                <w:szCs w:val="20"/>
              </w:rPr>
              <w:t>3</w:t>
            </w:r>
            <w:r w:rsidRPr="00EA554B">
              <w:rPr>
                <w:rFonts w:ascii="Arial" w:eastAsia="Times New Roman" w:hAnsi="Arial" w:cs="Arial"/>
                <w:b/>
                <w:color w:val="000000" w:themeColor="text1"/>
                <w:sz w:val="20"/>
                <w:szCs w:val="20"/>
              </w:rPr>
              <w:t>.</w:t>
            </w:r>
            <w:bookmarkEnd w:id="473"/>
          </w:p>
        </w:tc>
        <w:tc>
          <w:tcPr>
            <w:tcW w:w="1241" w:type="dxa"/>
            <w:vAlign w:val="bottom"/>
          </w:tcPr>
          <w:p w14:paraId="3BCF4B29" w14:textId="727DC262" w:rsidR="00FC2BEF" w:rsidRPr="00EA554B" w:rsidRDefault="00FC2BEF" w:rsidP="00FC2BEF">
            <w:pPr>
              <w:tabs>
                <w:tab w:val="right" w:pos="1202"/>
              </w:tabs>
              <w:suppressAutoHyphens/>
              <w:autoSpaceDN w:val="0"/>
              <w:jc w:val="right"/>
              <w:outlineLvl w:val="0"/>
              <w:rPr>
                <w:rFonts w:ascii="Arial" w:eastAsia="Times New Roman" w:hAnsi="Arial" w:cs="Arial"/>
                <w:b/>
                <w:color w:val="000000" w:themeColor="text1"/>
                <w:sz w:val="20"/>
                <w:szCs w:val="20"/>
              </w:rPr>
            </w:pPr>
            <w:bookmarkStart w:id="474" w:name="_Toc67328784"/>
            <w:r w:rsidRPr="00EA554B">
              <w:rPr>
                <w:rFonts w:ascii="Arial" w:eastAsia="Times New Roman" w:hAnsi="Arial" w:cs="Arial"/>
                <w:b/>
                <w:color w:val="000000" w:themeColor="text1"/>
                <w:sz w:val="20"/>
                <w:szCs w:val="20"/>
              </w:rPr>
              <w:t>1.1.-</w:t>
            </w:r>
            <w:r w:rsidR="005643B9">
              <w:rPr>
                <w:rFonts w:ascii="Arial" w:eastAsia="Times New Roman" w:hAnsi="Arial" w:cs="Arial"/>
                <w:b/>
                <w:color w:val="000000" w:themeColor="text1"/>
                <w:sz w:val="20"/>
                <w:szCs w:val="20"/>
              </w:rPr>
              <w:t>30</w:t>
            </w:r>
            <w:r w:rsidRPr="00EA554B">
              <w:rPr>
                <w:rFonts w:ascii="Arial" w:eastAsia="Times New Roman" w:hAnsi="Arial" w:cs="Arial"/>
                <w:b/>
                <w:color w:val="000000" w:themeColor="text1"/>
                <w:sz w:val="20"/>
                <w:szCs w:val="20"/>
              </w:rPr>
              <w:t>.</w:t>
            </w:r>
            <w:bookmarkEnd w:id="474"/>
            <w:r w:rsidR="002C0DB3">
              <w:rPr>
                <w:rFonts w:ascii="Arial" w:eastAsia="Times New Roman" w:hAnsi="Arial" w:cs="Arial"/>
                <w:b/>
                <w:color w:val="000000" w:themeColor="text1"/>
                <w:sz w:val="20"/>
                <w:szCs w:val="20"/>
              </w:rPr>
              <w:t>9.</w:t>
            </w:r>
          </w:p>
          <w:p w14:paraId="1A833246" w14:textId="32B4C9CE" w:rsidR="00FC2BEF" w:rsidRPr="00EA554B" w:rsidRDefault="00FC2BEF" w:rsidP="00FC2BEF">
            <w:pPr>
              <w:tabs>
                <w:tab w:val="right" w:pos="1202"/>
              </w:tabs>
              <w:suppressAutoHyphens/>
              <w:autoSpaceDN w:val="0"/>
              <w:jc w:val="right"/>
              <w:outlineLvl w:val="0"/>
              <w:rPr>
                <w:rFonts w:ascii="Arial" w:eastAsia="Times New Roman" w:hAnsi="Arial" w:cs="Arial"/>
                <w:b/>
                <w:color w:val="000000" w:themeColor="text1"/>
                <w:sz w:val="20"/>
                <w:szCs w:val="20"/>
              </w:rPr>
            </w:pPr>
            <w:bookmarkStart w:id="475" w:name="_Toc67328785"/>
            <w:r w:rsidRPr="00EA554B">
              <w:rPr>
                <w:rFonts w:ascii="Arial" w:eastAsia="Times New Roman" w:hAnsi="Arial" w:cs="Arial"/>
                <w:b/>
                <w:color w:val="000000" w:themeColor="text1"/>
                <w:sz w:val="20"/>
                <w:szCs w:val="20"/>
              </w:rPr>
              <w:t>202</w:t>
            </w:r>
            <w:r w:rsidR="002D53B1">
              <w:rPr>
                <w:rFonts w:ascii="Arial" w:eastAsia="Times New Roman" w:hAnsi="Arial" w:cs="Arial"/>
                <w:b/>
                <w:color w:val="000000" w:themeColor="text1"/>
                <w:sz w:val="20"/>
                <w:szCs w:val="20"/>
              </w:rPr>
              <w:t>4</w:t>
            </w:r>
            <w:r w:rsidRPr="00EA554B">
              <w:rPr>
                <w:rFonts w:ascii="Arial" w:eastAsia="Times New Roman" w:hAnsi="Arial" w:cs="Arial"/>
                <w:b/>
                <w:color w:val="000000" w:themeColor="text1"/>
                <w:sz w:val="20"/>
                <w:szCs w:val="20"/>
              </w:rPr>
              <w:t>.</w:t>
            </w:r>
            <w:bookmarkEnd w:id="475"/>
          </w:p>
        </w:tc>
        <w:tc>
          <w:tcPr>
            <w:tcW w:w="1241" w:type="dxa"/>
            <w:vAlign w:val="bottom"/>
          </w:tcPr>
          <w:p w14:paraId="362C5AC2" w14:textId="77777777" w:rsidR="00FC2BEF" w:rsidRPr="00EA554B" w:rsidRDefault="00FC2BEF" w:rsidP="00FC2BEF">
            <w:pPr>
              <w:tabs>
                <w:tab w:val="right" w:pos="1202"/>
              </w:tabs>
              <w:suppressAutoHyphens/>
              <w:autoSpaceDN w:val="0"/>
              <w:jc w:val="right"/>
              <w:outlineLvl w:val="0"/>
              <w:rPr>
                <w:rFonts w:ascii="Arial" w:eastAsia="Times New Roman" w:hAnsi="Arial" w:cs="Arial"/>
                <w:b/>
                <w:color w:val="000000" w:themeColor="text1"/>
                <w:sz w:val="20"/>
                <w:szCs w:val="20"/>
              </w:rPr>
            </w:pPr>
            <w:bookmarkStart w:id="476" w:name="_Toc67328786"/>
            <w:r w:rsidRPr="00EA554B">
              <w:rPr>
                <w:rFonts w:ascii="Arial" w:eastAsia="Times New Roman" w:hAnsi="Arial" w:cs="Arial"/>
                <w:b/>
                <w:color w:val="000000" w:themeColor="text1"/>
                <w:sz w:val="20"/>
                <w:szCs w:val="20"/>
              </w:rPr>
              <w:t>1.1.-31.12.</w:t>
            </w:r>
            <w:bookmarkEnd w:id="476"/>
          </w:p>
          <w:p w14:paraId="5EA28836" w14:textId="35BDF262" w:rsidR="00FC2BEF" w:rsidRPr="00EA554B" w:rsidRDefault="00FC2BEF" w:rsidP="00FC2BEF">
            <w:pPr>
              <w:tabs>
                <w:tab w:val="right" w:pos="1202"/>
              </w:tabs>
              <w:suppressAutoHyphens/>
              <w:autoSpaceDN w:val="0"/>
              <w:jc w:val="right"/>
              <w:outlineLvl w:val="0"/>
              <w:rPr>
                <w:rFonts w:ascii="Arial" w:eastAsia="Times New Roman" w:hAnsi="Arial" w:cs="Arial"/>
                <w:b/>
                <w:color w:val="000000" w:themeColor="text1"/>
                <w:sz w:val="20"/>
                <w:szCs w:val="20"/>
              </w:rPr>
            </w:pPr>
            <w:bookmarkStart w:id="477" w:name="_Toc67328787"/>
            <w:r w:rsidRPr="00EA554B">
              <w:rPr>
                <w:rFonts w:ascii="Arial" w:eastAsia="Times New Roman" w:hAnsi="Arial" w:cs="Arial"/>
                <w:b/>
                <w:color w:val="000000" w:themeColor="text1"/>
                <w:sz w:val="20"/>
                <w:szCs w:val="20"/>
              </w:rPr>
              <w:t>202</w:t>
            </w:r>
            <w:r w:rsidR="002D53B1">
              <w:rPr>
                <w:rFonts w:ascii="Arial" w:eastAsia="Times New Roman" w:hAnsi="Arial" w:cs="Arial"/>
                <w:b/>
                <w:color w:val="000000" w:themeColor="text1"/>
                <w:sz w:val="20"/>
                <w:szCs w:val="20"/>
              </w:rPr>
              <w:t>3</w:t>
            </w:r>
            <w:r w:rsidRPr="00EA554B">
              <w:rPr>
                <w:rFonts w:ascii="Arial" w:eastAsia="Times New Roman" w:hAnsi="Arial" w:cs="Arial"/>
                <w:b/>
                <w:color w:val="000000" w:themeColor="text1"/>
                <w:sz w:val="20"/>
                <w:szCs w:val="20"/>
              </w:rPr>
              <w:t>.</w:t>
            </w:r>
            <w:bookmarkEnd w:id="477"/>
          </w:p>
        </w:tc>
      </w:tr>
      <w:tr w:rsidR="00FC2BEF" w:rsidRPr="00EA554B" w14:paraId="6E91E4BB" w14:textId="77777777" w:rsidTr="00EA554B">
        <w:trPr>
          <w:trHeight w:val="239"/>
        </w:trPr>
        <w:tc>
          <w:tcPr>
            <w:tcW w:w="4260" w:type="dxa"/>
            <w:tcBorders>
              <w:top w:val="nil"/>
              <w:left w:val="nil"/>
              <w:bottom w:val="nil"/>
              <w:right w:val="nil"/>
            </w:tcBorders>
            <w:shd w:val="clear" w:color="auto" w:fill="auto"/>
            <w:vAlign w:val="bottom"/>
            <w:hideMark/>
          </w:tcPr>
          <w:p w14:paraId="52AFA1BA" w14:textId="77777777" w:rsidR="00FC2BEF" w:rsidRPr="00EA554B" w:rsidRDefault="00FC2BEF" w:rsidP="00FC2BEF">
            <w:pPr>
              <w:suppressAutoHyphens/>
              <w:autoSpaceDN w:val="0"/>
              <w:jc w:val="right"/>
              <w:rPr>
                <w:rFonts w:ascii="Arial" w:eastAsia="Calibri" w:hAnsi="Arial" w:cs="Arial"/>
                <w:b/>
                <w:bCs/>
                <w:color w:val="000000" w:themeColor="text1"/>
                <w:sz w:val="20"/>
                <w:szCs w:val="20"/>
              </w:rPr>
            </w:pPr>
          </w:p>
        </w:tc>
        <w:tc>
          <w:tcPr>
            <w:tcW w:w="1241" w:type="dxa"/>
            <w:tcBorders>
              <w:top w:val="nil"/>
              <w:left w:val="nil"/>
              <w:bottom w:val="nil"/>
              <w:right w:val="nil"/>
            </w:tcBorders>
            <w:shd w:val="clear" w:color="auto" w:fill="auto"/>
            <w:vAlign w:val="bottom"/>
            <w:hideMark/>
          </w:tcPr>
          <w:p w14:paraId="36DC2F5E" w14:textId="5AE1045F" w:rsidR="00FC2BEF" w:rsidRPr="00EA554B" w:rsidRDefault="00FC2BEF" w:rsidP="00FC2BEF">
            <w:pPr>
              <w:suppressAutoHyphens/>
              <w:autoSpaceDN w:val="0"/>
              <w:jc w:val="right"/>
              <w:rPr>
                <w:rFonts w:ascii="Arial" w:eastAsia="Calibri" w:hAnsi="Arial" w:cs="Arial"/>
                <w:b/>
                <w:bCs/>
                <w:color w:val="000000" w:themeColor="text1"/>
                <w:sz w:val="20"/>
                <w:szCs w:val="20"/>
              </w:rPr>
            </w:pPr>
            <w:r w:rsidRPr="00EA554B">
              <w:rPr>
                <w:rFonts w:ascii="Arial" w:eastAsia="Calibri" w:hAnsi="Arial" w:cs="Arial"/>
                <w:b/>
                <w:bCs/>
                <w:color w:val="000000" w:themeColor="text1"/>
                <w:sz w:val="20"/>
                <w:szCs w:val="20"/>
              </w:rPr>
              <w:t>000 eura</w:t>
            </w:r>
          </w:p>
        </w:tc>
        <w:tc>
          <w:tcPr>
            <w:tcW w:w="1241" w:type="dxa"/>
            <w:tcBorders>
              <w:top w:val="nil"/>
              <w:left w:val="nil"/>
              <w:bottom w:val="nil"/>
              <w:right w:val="nil"/>
            </w:tcBorders>
            <w:shd w:val="clear" w:color="auto" w:fill="auto"/>
            <w:vAlign w:val="bottom"/>
          </w:tcPr>
          <w:p w14:paraId="3811F7F9" w14:textId="73EEA129" w:rsidR="00FC2BEF" w:rsidRPr="00EA554B" w:rsidRDefault="00FC2BEF" w:rsidP="00FC2BEF">
            <w:pPr>
              <w:suppressAutoHyphens/>
              <w:autoSpaceDN w:val="0"/>
              <w:jc w:val="right"/>
              <w:rPr>
                <w:rFonts w:ascii="Arial" w:eastAsia="Calibri" w:hAnsi="Arial" w:cs="Arial"/>
                <w:b/>
                <w:bCs/>
                <w:color w:val="000000" w:themeColor="text1"/>
                <w:sz w:val="20"/>
                <w:szCs w:val="20"/>
              </w:rPr>
            </w:pPr>
            <w:r w:rsidRPr="00EA554B">
              <w:rPr>
                <w:rFonts w:ascii="Arial" w:eastAsia="Calibri" w:hAnsi="Arial" w:cs="Arial"/>
                <w:b/>
                <w:bCs/>
                <w:color w:val="000000" w:themeColor="text1"/>
                <w:sz w:val="20"/>
                <w:szCs w:val="20"/>
              </w:rPr>
              <w:t>000 eura</w:t>
            </w:r>
          </w:p>
        </w:tc>
        <w:tc>
          <w:tcPr>
            <w:tcW w:w="1241" w:type="dxa"/>
            <w:tcBorders>
              <w:top w:val="nil"/>
              <w:left w:val="nil"/>
              <w:bottom w:val="nil"/>
              <w:right w:val="nil"/>
            </w:tcBorders>
            <w:shd w:val="clear" w:color="auto" w:fill="auto"/>
            <w:vAlign w:val="bottom"/>
            <w:hideMark/>
          </w:tcPr>
          <w:p w14:paraId="2462E898" w14:textId="19779985" w:rsidR="00FC2BEF" w:rsidRPr="00EA554B" w:rsidRDefault="00FC2BEF" w:rsidP="00FC2BEF">
            <w:pPr>
              <w:suppressAutoHyphens/>
              <w:autoSpaceDN w:val="0"/>
              <w:jc w:val="right"/>
              <w:rPr>
                <w:rFonts w:ascii="Arial" w:eastAsia="Calibri" w:hAnsi="Arial" w:cs="Arial"/>
                <w:b/>
                <w:bCs/>
                <w:color w:val="000000" w:themeColor="text1"/>
                <w:sz w:val="20"/>
                <w:szCs w:val="20"/>
              </w:rPr>
            </w:pPr>
            <w:r w:rsidRPr="00EA554B">
              <w:rPr>
                <w:rFonts w:ascii="Arial" w:eastAsia="Calibri" w:hAnsi="Arial" w:cs="Arial"/>
                <w:b/>
                <w:bCs/>
                <w:color w:val="000000" w:themeColor="text1"/>
                <w:sz w:val="20"/>
                <w:szCs w:val="20"/>
              </w:rPr>
              <w:t>000 eura</w:t>
            </w:r>
          </w:p>
        </w:tc>
        <w:tc>
          <w:tcPr>
            <w:tcW w:w="1241" w:type="dxa"/>
            <w:tcBorders>
              <w:top w:val="nil"/>
              <w:left w:val="nil"/>
              <w:right w:val="nil"/>
            </w:tcBorders>
            <w:shd w:val="clear" w:color="auto" w:fill="auto"/>
            <w:vAlign w:val="bottom"/>
          </w:tcPr>
          <w:p w14:paraId="0181E098" w14:textId="42995AF5" w:rsidR="00FC2BEF" w:rsidRPr="00EA554B" w:rsidRDefault="00FC2BEF" w:rsidP="00FC2BEF">
            <w:pPr>
              <w:suppressAutoHyphens/>
              <w:autoSpaceDN w:val="0"/>
              <w:jc w:val="right"/>
              <w:rPr>
                <w:rFonts w:ascii="Arial" w:eastAsia="Calibri" w:hAnsi="Arial" w:cs="Arial"/>
                <w:b/>
                <w:bCs/>
                <w:color w:val="000000" w:themeColor="text1"/>
                <w:sz w:val="20"/>
                <w:szCs w:val="20"/>
              </w:rPr>
            </w:pPr>
            <w:r w:rsidRPr="00EA554B">
              <w:rPr>
                <w:rFonts w:ascii="Arial" w:eastAsia="Calibri" w:hAnsi="Arial" w:cs="Arial"/>
                <w:b/>
                <w:bCs/>
                <w:color w:val="000000" w:themeColor="text1"/>
                <w:sz w:val="20"/>
                <w:szCs w:val="20"/>
              </w:rPr>
              <w:t>000 eura</w:t>
            </w:r>
          </w:p>
        </w:tc>
      </w:tr>
      <w:tr w:rsidR="003021F1" w:rsidRPr="00EA554B" w14:paraId="5D26775A" w14:textId="77777777" w:rsidTr="00BF3922">
        <w:trPr>
          <w:trHeight w:val="392"/>
        </w:trPr>
        <w:tc>
          <w:tcPr>
            <w:tcW w:w="4260" w:type="dxa"/>
            <w:tcBorders>
              <w:top w:val="nil"/>
              <w:left w:val="nil"/>
              <w:right w:val="nil"/>
            </w:tcBorders>
            <w:shd w:val="clear" w:color="auto" w:fill="auto"/>
            <w:vAlign w:val="bottom"/>
          </w:tcPr>
          <w:p w14:paraId="6E00DF01" w14:textId="77777777" w:rsidR="003021F1" w:rsidRPr="00EA554B" w:rsidRDefault="003021F1" w:rsidP="003021F1">
            <w:pPr>
              <w:suppressAutoHyphens/>
              <w:autoSpaceDN w:val="0"/>
              <w:rPr>
                <w:rFonts w:ascii="Arial" w:eastAsia="Calibri" w:hAnsi="Arial" w:cs="Arial"/>
                <w:color w:val="000000" w:themeColor="text1"/>
                <w:sz w:val="20"/>
                <w:szCs w:val="20"/>
              </w:rPr>
            </w:pPr>
            <w:r w:rsidRPr="00EA554B">
              <w:rPr>
                <w:rFonts w:ascii="Arial" w:eastAsia="Calibri" w:hAnsi="Arial" w:cs="Arial"/>
                <w:color w:val="000000" w:themeColor="text1"/>
                <w:sz w:val="20"/>
                <w:szCs w:val="20"/>
              </w:rPr>
              <w:t xml:space="preserve">Stanje 1. siječnja </w:t>
            </w:r>
          </w:p>
        </w:tc>
        <w:tc>
          <w:tcPr>
            <w:tcW w:w="1241" w:type="dxa"/>
            <w:tcBorders>
              <w:top w:val="nil"/>
              <w:left w:val="nil"/>
              <w:bottom w:val="nil"/>
              <w:right w:val="nil"/>
            </w:tcBorders>
            <w:shd w:val="clear" w:color="auto" w:fill="auto"/>
            <w:noWrap/>
            <w:vAlign w:val="bottom"/>
          </w:tcPr>
          <w:p w14:paraId="32782585" w14:textId="6724B1A9" w:rsidR="003021F1" w:rsidRPr="00EA554B" w:rsidRDefault="001C7CBD" w:rsidP="003021F1">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14.637</w:t>
            </w:r>
          </w:p>
        </w:tc>
        <w:tc>
          <w:tcPr>
            <w:tcW w:w="1241" w:type="dxa"/>
            <w:tcBorders>
              <w:top w:val="nil"/>
              <w:left w:val="nil"/>
              <w:right w:val="nil"/>
            </w:tcBorders>
            <w:shd w:val="clear" w:color="auto" w:fill="auto"/>
            <w:vAlign w:val="bottom"/>
          </w:tcPr>
          <w:p w14:paraId="46443868" w14:textId="1C16B2A9" w:rsidR="003021F1" w:rsidRPr="00EA554B" w:rsidRDefault="003021F1" w:rsidP="003021F1">
            <w:pPr>
              <w:suppressAutoHyphens/>
              <w:autoSpaceDN w:val="0"/>
              <w:jc w:val="right"/>
              <w:rPr>
                <w:rFonts w:ascii="Arial" w:eastAsia="Calibri" w:hAnsi="Arial" w:cs="Arial"/>
                <w:color w:val="000000" w:themeColor="text1"/>
                <w:sz w:val="20"/>
                <w:szCs w:val="20"/>
              </w:rPr>
            </w:pPr>
            <w:r w:rsidRPr="00531CE5">
              <w:rPr>
                <w:rFonts w:ascii="Arial" w:eastAsia="Calibri" w:hAnsi="Arial" w:cs="Arial"/>
                <w:sz w:val="20"/>
                <w:szCs w:val="20"/>
              </w:rPr>
              <w:t>10.714</w:t>
            </w:r>
          </w:p>
        </w:tc>
        <w:tc>
          <w:tcPr>
            <w:tcW w:w="1241" w:type="dxa"/>
            <w:tcBorders>
              <w:top w:val="nil"/>
              <w:left w:val="nil"/>
              <w:bottom w:val="nil"/>
              <w:right w:val="nil"/>
            </w:tcBorders>
            <w:shd w:val="clear" w:color="auto" w:fill="auto"/>
            <w:vAlign w:val="bottom"/>
          </w:tcPr>
          <w:p w14:paraId="4234C67F" w14:textId="0A0E7B20" w:rsidR="003021F1" w:rsidRPr="00BF3922" w:rsidRDefault="003021F1" w:rsidP="003021F1">
            <w:pPr>
              <w:suppressAutoHyphens/>
              <w:autoSpaceDN w:val="0"/>
              <w:jc w:val="right"/>
              <w:rPr>
                <w:rFonts w:ascii="Arial" w:eastAsia="Calibri" w:hAnsi="Arial" w:cs="Arial"/>
                <w:color w:val="000000" w:themeColor="text1"/>
                <w:sz w:val="20"/>
                <w:szCs w:val="20"/>
              </w:rPr>
            </w:pPr>
            <w:r w:rsidRPr="00BF3922">
              <w:rPr>
                <w:rFonts w:ascii="Arial" w:hAnsi="Arial" w:cs="Arial"/>
                <w:sz w:val="20"/>
                <w:szCs w:val="20"/>
              </w:rPr>
              <w:t xml:space="preserve"> 14.637 </w:t>
            </w:r>
          </w:p>
        </w:tc>
        <w:tc>
          <w:tcPr>
            <w:tcW w:w="1241" w:type="dxa"/>
            <w:tcBorders>
              <w:top w:val="nil"/>
              <w:left w:val="nil"/>
              <w:right w:val="nil"/>
            </w:tcBorders>
            <w:shd w:val="clear" w:color="auto" w:fill="auto"/>
            <w:vAlign w:val="bottom"/>
          </w:tcPr>
          <w:p w14:paraId="7DAFD25F" w14:textId="15FCBE4A" w:rsidR="003021F1" w:rsidRPr="00EA554B" w:rsidRDefault="003021F1" w:rsidP="003021F1">
            <w:pPr>
              <w:suppressAutoHyphens/>
              <w:autoSpaceDN w:val="0"/>
              <w:jc w:val="right"/>
              <w:rPr>
                <w:rFonts w:ascii="Arial" w:eastAsia="Calibri" w:hAnsi="Arial" w:cs="Arial"/>
                <w:color w:val="000000" w:themeColor="text1"/>
                <w:sz w:val="20"/>
                <w:szCs w:val="20"/>
              </w:rPr>
            </w:pPr>
            <w:r w:rsidRPr="00531CE5">
              <w:rPr>
                <w:rFonts w:ascii="Arial" w:eastAsia="Calibri" w:hAnsi="Arial" w:cs="Arial"/>
                <w:sz w:val="20"/>
                <w:szCs w:val="20"/>
              </w:rPr>
              <w:t>10.714</w:t>
            </w:r>
          </w:p>
        </w:tc>
      </w:tr>
      <w:tr w:rsidR="003021F1" w:rsidRPr="00EA554B" w14:paraId="644C8644" w14:textId="77777777" w:rsidTr="00BF3922">
        <w:trPr>
          <w:trHeight w:val="392"/>
        </w:trPr>
        <w:tc>
          <w:tcPr>
            <w:tcW w:w="4260" w:type="dxa"/>
            <w:tcBorders>
              <w:top w:val="nil"/>
              <w:left w:val="nil"/>
              <w:bottom w:val="nil"/>
              <w:right w:val="nil"/>
            </w:tcBorders>
            <w:shd w:val="clear" w:color="auto" w:fill="auto"/>
            <w:vAlign w:val="bottom"/>
          </w:tcPr>
          <w:p w14:paraId="27BDA6D1" w14:textId="1F1D5766" w:rsidR="003021F1" w:rsidRPr="00EA554B" w:rsidRDefault="003021F1" w:rsidP="003021F1">
            <w:pPr>
              <w:suppressAutoHyphens/>
              <w:autoSpaceDN w:val="0"/>
              <w:rPr>
                <w:rFonts w:ascii="Arial" w:eastAsia="Calibri" w:hAnsi="Arial" w:cs="Arial"/>
                <w:color w:val="000000" w:themeColor="text1"/>
                <w:sz w:val="20"/>
                <w:szCs w:val="20"/>
              </w:rPr>
            </w:pPr>
            <w:r w:rsidRPr="00EA554B">
              <w:rPr>
                <w:rFonts w:ascii="Arial" w:eastAsia="Calibri" w:hAnsi="Arial" w:cs="Arial"/>
                <w:color w:val="000000" w:themeColor="text1"/>
                <w:sz w:val="20"/>
                <w:szCs w:val="20"/>
              </w:rPr>
              <w:t xml:space="preserve">Neto </w:t>
            </w:r>
            <w:r w:rsidR="005F7C46">
              <w:rPr>
                <w:rFonts w:ascii="Arial" w:eastAsia="Calibri" w:hAnsi="Arial" w:cs="Arial"/>
                <w:color w:val="000000" w:themeColor="text1"/>
                <w:sz w:val="20"/>
                <w:szCs w:val="20"/>
              </w:rPr>
              <w:t>(</w:t>
            </w:r>
            <w:r w:rsidRPr="00D63B7F">
              <w:rPr>
                <w:rFonts w:ascii="Arial" w:eastAsia="Calibri" w:hAnsi="Arial" w:cs="Arial"/>
                <w:color w:val="000000" w:themeColor="text1"/>
                <w:sz w:val="20"/>
                <w:szCs w:val="20"/>
              </w:rPr>
              <w:t>smanjenje</w:t>
            </w:r>
            <w:r w:rsidRPr="00EA554B">
              <w:rPr>
                <w:rFonts w:ascii="Arial" w:eastAsia="Calibri" w:hAnsi="Arial" w:cs="Arial"/>
                <w:color w:val="000000" w:themeColor="text1"/>
                <w:sz w:val="20"/>
                <w:szCs w:val="20"/>
              </w:rPr>
              <w:t>)</w:t>
            </w:r>
            <w:r w:rsidR="005F7C46">
              <w:rPr>
                <w:rFonts w:ascii="Arial" w:eastAsia="Calibri" w:hAnsi="Arial" w:cs="Arial"/>
                <w:color w:val="000000" w:themeColor="text1"/>
                <w:sz w:val="20"/>
                <w:szCs w:val="20"/>
              </w:rPr>
              <w:t>/povećanje</w:t>
            </w:r>
            <w:r w:rsidRPr="00EA554B">
              <w:rPr>
                <w:rFonts w:ascii="Arial" w:eastAsia="Calibri" w:hAnsi="Arial" w:cs="Arial"/>
                <w:color w:val="000000" w:themeColor="text1"/>
                <w:sz w:val="20"/>
                <w:szCs w:val="20"/>
              </w:rPr>
              <w:t xml:space="preserve"> rezerviranja za očekivane gubitke po garancijama </w:t>
            </w:r>
          </w:p>
        </w:tc>
        <w:tc>
          <w:tcPr>
            <w:tcW w:w="1241" w:type="dxa"/>
            <w:tcBorders>
              <w:left w:val="nil"/>
              <w:bottom w:val="single" w:sz="4" w:space="0" w:color="auto"/>
              <w:right w:val="nil"/>
            </w:tcBorders>
            <w:shd w:val="clear" w:color="auto" w:fill="auto"/>
            <w:vAlign w:val="bottom"/>
          </w:tcPr>
          <w:p w14:paraId="31B561B7" w14:textId="293F81A4" w:rsidR="003021F1" w:rsidRPr="00EA554B" w:rsidRDefault="007111C8" w:rsidP="003021F1">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(2.601)</w:t>
            </w:r>
          </w:p>
        </w:tc>
        <w:tc>
          <w:tcPr>
            <w:tcW w:w="1241" w:type="dxa"/>
            <w:tcBorders>
              <w:left w:val="nil"/>
              <w:bottom w:val="single" w:sz="4" w:space="0" w:color="auto"/>
              <w:right w:val="nil"/>
            </w:tcBorders>
            <w:shd w:val="clear" w:color="auto" w:fill="auto"/>
            <w:vAlign w:val="bottom"/>
          </w:tcPr>
          <w:p w14:paraId="16726F64" w14:textId="2DD0C04F" w:rsidR="003021F1" w:rsidRPr="00EA554B" w:rsidRDefault="003021F1" w:rsidP="003021F1">
            <w:pPr>
              <w:suppressAutoHyphens/>
              <w:autoSpaceDN w:val="0"/>
              <w:jc w:val="right"/>
              <w:rPr>
                <w:rFonts w:ascii="Arial" w:eastAsia="Calibri" w:hAnsi="Arial" w:cs="Arial"/>
                <w:color w:val="000000" w:themeColor="text1"/>
                <w:sz w:val="20"/>
                <w:szCs w:val="20"/>
              </w:rPr>
            </w:pPr>
            <w:r w:rsidRPr="00531CE5">
              <w:rPr>
                <w:rFonts w:ascii="Arial" w:eastAsia="Calibri" w:hAnsi="Arial" w:cs="Arial"/>
                <w:sz w:val="20"/>
                <w:szCs w:val="20"/>
              </w:rPr>
              <w:t>2.375</w:t>
            </w:r>
          </w:p>
        </w:tc>
        <w:tc>
          <w:tcPr>
            <w:tcW w:w="1241" w:type="dxa"/>
            <w:tcBorders>
              <w:left w:val="nil"/>
              <w:bottom w:val="single" w:sz="4" w:space="0" w:color="auto"/>
              <w:right w:val="nil"/>
            </w:tcBorders>
            <w:shd w:val="clear" w:color="auto" w:fill="auto"/>
            <w:vAlign w:val="bottom"/>
          </w:tcPr>
          <w:p w14:paraId="3F2814DD" w14:textId="689633CB" w:rsidR="003021F1" w:rsidRPr="00BF3922" w:rsidRDefault="003021F1" w:rsidP="003021F1">
            <w:pPr>
              <w:suppressAutoHyphens/>
              <w:autoSpaceDN w:val="0"/>
              <w:jc w:val="right"/>
              <w:rPr>
                <w:rFonts w:ascii="Arial" w:eastAsia="Calibri" w:hAnsi="Arial" w:cs="Arial"/>
                <w:color w:val="000000" w:themeColor="text1"/>
                <w:sz w:val="20"/>
                <w:szCs w:val="20"/>
              </w:rPr>
            </w:pPr>
            <w:r w:rsidRPr="00BF3922">
              <w:rPr>
                <w:rFonts w:ascii="Arial" w:hAnsi="Arial" w:cs="Arial"/>
                <w:sz w:val="20"/>
                <w:szCs w:val="20"/>
              </w:rPr>
              <w:t xml:space="preserve"> (2.601)</w:t>
            </w:r>
          </w:p>
        </w:tc>
        <w:tc>
          <w:tcPr>
            <w:tcW w:w="1241" w:type="dxa"/>
            <w:tcBorders>
              <w:left w:val="nil"/>
              <w:bottom w:val="single" w:sz="4" w:space="0" w:color="auto"/>
              <w:right w:val="nil"/>
            </w:tcBorders>
            <w:shd w:val="clear" w:color="auto" w:fill="auto"/>
            <w:vAlign w:val="bottom"/>
          </w:tcPr>
          <w:p w14:paraId="7FB52B56" w14:textId="1C1CCAF7" w:rsidR="003021F1" w:rsidRPr="00EA554B" w:rsidRDefault="003021F1" w:rsidP="003021F1">
            <w:pPr>
              <w:suppressAutoHyphens/>
              <w:autoSpaceDN w:val="0"/>
              <w:jc w:val="right"/>
              <w:rPr>
                <w:rFonts w:ascii="Arial" w:eastAsia="Calibri" w:hAnsi="Arial" w:cs="Arial"/>
                <w:color w:val="000000" w:themeColor="text1"/>
                <w:sz w:val="20"/>
                <w:szCs w:val="20"/>
              </w:rPr>
            </w:pPr>
            <w:r w:rsidRPr="00531CE5">
              <w:rPr>
                <w:rFonts w:ascii="Arial" w:eastAsia="Calibri" w:hAnsi="Arial" w:cs="Arial"/>
                <w:sz w:val="20"/>
                <w:szCs w:val="20"/>
              </w:rPr>
              <w:t>2.375</w:t>
            </w:r>
          </w:p>
        </w:tc>
      </w:tr>
      <w:tr w:rsidR="003021F1" w:rsidRPr="00EA554B" w14:paraId="54713311" w14:textId="77777777" w:rsidTr="00BF3922">
        <w:trPr>
          <w:trHeight w:val="392"/>
        </w:trPr>
        <w:tc>
          <w:tcPr>
            <w:tcW w:w="4260" w:type="dxa"/>
            <w:tcBorders>
              <w:top w:val="nil"/>
              <w:left w:val="nil"/>
              <w:bottom w:val="nil"/>
              <w:right w:val="nil"/>
            </w:tcBorders>
            <w:shd w:val="clear" w:color="auto" w:fill="auto"/>
            <w:vAlign w:val="bottom"/>
          </w:tcPr>
          <w:p w14:paraId="66C7BAA3" w14:textId="7F8D8875" w:rsidR="003021F1" w:rsidRPr="00CC7FB0" w:rsidRDefault="003021F1" w:rsidP="003021F1">
            <w:pPr>
              <w:suppressAutoHyphens/>
              <w:autoSpaceDN w:val="0"/>
              <w:rPr>
                <w:rFonts w:ascii="Arial" w:eastAsia="Calibri" w:hAnsi="Arial" w:cs="Arial"/>
                <w:i/>
                <w:iCs/>
                <w:color w:val="000000" w:themeColor="text1"/>
                <w:sz w:val="20"/>
                <w:szCs w:val="20"/>
              </w:rPr>
            </w:pPr>
            <w:r w:rsidRPr="00CC7FB0">
              <w:rPr>
                <w:rFonts w:ascii="Arial" w:eastAsia="Calibri" w:hAnsi="Arial" w:cs="Arial"/>
                <w:i/>
                <w:iCs/>
                <w:color w:val="000000" w:themeColor="text1"/>
                <w:sz w:val="20"/>
                <w:szCs w:val="20"/>
              </w:rPr>
              <w:t>Ukupno kroz dobit ili gubitak (bilješka 8)</w:t>
            </w:r>
          </w:p>
        </w:tc>
        <w:tc>
          <w:tcPr>
            <w:tcW w:w="1241" w:type="dxa"/>
            <w:tcBorders>
              <w:top w:val="single" w:sz="4" w:space="0" w:color="auto"/>
              <w:left w:val="nil"/>
              <w:bottom w:val="single" w:sz="4" w:space="0" w:color="auto"/>
              <w:right w:val="nil"/>
            </w:tcBorders>
            <w:shd w:val="clear" w:color="auto" w:fill="auto"/>
            <w:vAlign w:val="bottom"/>
          </w:tcPr>
          <w:p w14:paraId="174FFA8D" w14:textId="7D534A05" w:rsidR="003021F1" w:rsidRPr="0067706A" w:rsidRDefault="007111C8" w:rsidP="003021F1">
            <w:pPr>
              <w:suppressAutoHyphens/>
              <w:autoSpaceDN w:val="0"/>
              <w:jc w:val="right"/>
              <w:rPr>
                <w:rFonts w:ascii="Arial" w:eastAsia="Calibri" w:hAnsi="Arial" w:cs="Arial"/>
                <w:bCs/>
                <w:i/>
                <w:iCs/>
                <w:color w:val="000000" w:themeColor="text1"/>
                <w:sz w:val="20"/>
                <w:szCs w:val="20"/>
              </w:rPr>
            </w:pPr>
            <w:r>
              <w:rPr>
                <w:rFonts w:ascii="Arial" w:eastAsia="Calibri" w:hAnsi="Arial" w:cs="Arial"/>
                <w:bCs/>
                <w:i/>
                <w:iCs/>
                <w:color w:val="000000" w:themeColor="text1"/>
                <w:sz w:val="20"/>
                <w:szCs w:val="20"/>
              </w:rPr>
              <w:t>(2.601)</w:t>
            </w:r>
          </w:p>
        </w:tc>
        <w:tc>
          <w:tcPr>
            <w:tcW w:w="1241" w:type="dxa"/>
            <w:tcBorders>
              <w:top w:val="single" w:sz="4" w:space="0" w:color="auto"/>
              <w:left w:val="nil"/>
              <w:bottom w:val="single" w:sz="4" w:space="0" w:color="auto"/>
              <w:right w:val="nil"/>
            </w:tcBorders>
            <w:shd w:val="clear" w:color="auto" w:fill="auto"/>
            <w:vAlign w:val="bottom"/>
          </w:tcPr>
          <w:p w14:paraId="724BA5F2" w14:textId="3C6E520B" w:rsidR="003021F1" w:rsidRPr="0067706A" w:rsidRDefault="003021F1" w:rsidP="003021F1">
            <w:pPr>
              <w:suppressAutoHyphens/>
              <w:autoSpaceDN w:val="0"/>
              <w:jc w:val="right"/>
              <w:rPr>
                <w:rFonts w:ascii="Arial" w:eastAsia="Calibri" w:hAnsi="Arial" w:cs="Arial"/>
                <w:i/>
                <w:iCs/>
                <w:color w:val="000000" w:themeColor="text1"/>
                <w:sz w:val="20"/>
                <w:szCs w:val="20"/>
              </w:rPr>
            </w:pPr>
            <w:r w:rsidRPr="00531CE5">
              <w:rPr>
                <w:rFonts w:ascii="Arial" w:eastAsia="Calibri" w:hAnsi="Arial" w:cs="Arial"/>
                <w:bCs/>
                <w:i/>
                <w:sz w:val="20"/>
                <w:szCs w:val="20"/>
              </w:rPr>
              <w:t>2.375</w:t>
            </w:r>
          </w:p>
        </w:tc>
        <w:tc>
          <w:tcPr>
            <w:tcW w:w="1241" w:type="dxa"/>
            <w:tcBorders>
              <w:top w:val="single" w:sz="4" w:space="0" w:color="auto"/>
              <w:left w:val="nil"/>
              <w:bottom w:val="single" w:sz="4" w:space="0" w:color="auto"/>
              <w:right w:val="nil"/>
            </w:tcBorders>
            <w:shd w:val="clear" w:color="auto" w:fill="auto"/>
            <w:vAlign w:val="bottom"/>
          </w:tcPr>
          <w:p w14:paraId="5B2A33FE" w14:textId="654DE349" w:rsidR="003021F1" w:rsidRPr="00BF3922" w:rsidRDefault="003021F1" w:rsidP="003021F1">
            <w:pPr>
              <w:suppressAutoHyphens/>
              <w:autoSpaceDN w:val="0"/>
              <w:jc w:val="right"/>
              <w:rPr>
                <w:rFonts w:ascii="Arial" w:eastAsia="Calibri" w:hAnsi="Arial" w:cs="Arial"/>
                <w:bCs/>
                <w:i/>
                <w:iCs/>
                <w:color w:val="000000" w:themeColor="text1"/>
                <w:sz w:val="20"/>
                <w:szCs w:val="20"/>
              </w:rPr>
            </w:pPr>
            <w:r w:rsidRPr="00BF3922">
              <w:rPr>
                <w:rFonts w:ascii="Arial" w:hAnsi="Arial" w:cs="Arial"/>
                <w:i/>
                <w:iCs/>
                <w:sz w:val="20"/>
                <w:szCs w:val="20"/>
              </w:rPr>
              <w:t xml:space="preserve"> (2.601)</w:t>
            </w:r>
          </w:p>
        </w:tc>
        <w:tc>
          <w:tcPr>
            <w:tcW w:w="1241" w:type="dxa"/>
            <w:tcBorders>
              <w:top w:val="single" w:sz="4" w:space="0" w:color="auto"/>
              <w:left w:val="nil"/>
              <w:bottom w:val="single" w:sz="4" w:space="0" w:color="auto"/>
              <w:right w:val="nil"/>
            </w:tcBorders>
            <w:shd w:val="clear" w:color="auto" w:fill="auto"/>
            <w:vAlign w:val="bottom"/>
          </w:tcPr>
          <w:p w14:paraId="7D197382" w14:textId="17A33468" w:rsidR="003021F1" w:rsidRPr="00EA554B" w:rsidRDefault="003021F1" w:rsidP="003021F1">
            <w:pPr>
              <w:suppressAutoHyphens/>
              <w:autoSpaceDN w:val="0"/>
              <w:jc w:val="right"/>
              <w:rPr>
                <w:rFonts w:ascii="Arial" w:eastAsia="Calibri" w:hAnsi="Arial" w:cs="Arial"/>
                <w:i/>
                <w:iCs/>
                <w:color w:val="000000" w:themeColor="text1"/>
                <w:sz w:val="20"/>
                <w:szCs w:val="20"/>
              </w:rPr>
            </w:pPr>
            <w:r w:rsidRPr="00531CE5">
              <w:rPr>
                <w:rFonts w:ascii="Arial" w:eastAsia="Calibri" w:hAnsi="Arial" w:cs="Arial"/>
                <w:bCs/>
                <w:i/>
                <w:sz w:val="20"/>
                <w:szCs w:val="20"/>
              </w:rPr>
              <w:t>2.375</w:t>
            </w:r>
          </w:p>
        </w:tc>
      </w:tr>
      <w:tr w:rsidR="00457334" w:rsidRPr="00EA554B" w14:paraId="1D308B24" w14:textId="77777777" w:rsidTr="00BF3922">
        <w:trPr>
          <w:trHeight w:val="392"/>
        </w:trPr>
        <w:tc>
          <w:tcPr>
            <w:tcW w:w="4260" w:type="dxa"/>
            <w:tcBorders>
              <w:top w:val="nil"/>
              <w:left w:val="nil"/>
              <w:bottom w:val="nil"/>
              <w:right w:val="nil"/>
            </w:tcBorders>
            <w:shd w:val="clear" w:color="auto" w:fill="auto"/>
            <w:vAlign w:val="bottom"/>
          </w:tcPr>
          <w:p w14:paraId="15C1024C" w14:textId="5EB60F22" w:rsidR="00457334" w:rsidRPr="00CC7FB0" w:rsidRDefault="00457334" w:rsidP="00457334">
            <w:pPr>
              <w:suppressAutoHyphens/>
              <w:autoSpaceDN w:val="0"/>
              <w:rPr>
                <w:rFonts w:ascii="Arial" w:eastAsia="Calibri" w:hAnsi="Arial" w:cs="Arial"/>
                <w:iCs/>
                <w:color w:val="000000" w:themeColor="text1"/>
                <w:sz w:val="20"/>
                <w:szCs w:val="20"/>
              </w:rPr>
            </w:pPr>
            <w:r w:rsidRPr="00CC7FB0">
              <w:rPr>
                <w:rFonts w:ascii="Arial" w:eastAsia="Calibri" w:hAnsi="Arial" w:cs="Arial"/>
                <w:iCs/>
                <w:color w:val="000000" w:themeColor="text1"/>
                <w:sz w:val="20"/>
                <w:szCs w:val="20"/>
              </w:rPr>
              <w:t>Neto (</w:t>
            </w:r>
            <w:r w:rsidRPr="00CC7FB0">
              <w:rPr>
                <w:rFonts w:ascii="Arial" w:eastAsia="Calibri" w:hAnsi="Arial" w:cs="Arial"/>
                <w:color w:val="000000" w:themeColor="text1"/>
                <w:sz w:val="20"/>
                <w:szCs w:val="20"/>
              </w:rPr>
              <w:t>smanjenje)</w:t>
            </w:r>
            <w:r w:rsidR="00567101">
              <w:rPr>
                <w:rFonts w:ascii="Arial" w:eastAsia="Calibri" w:hAnsi="Arial" w:cs="Arial"/>
                <w:color w:val="000000" w:themeColor="text1"/>
                <w:sz w:val="20"/>
                <w:szCs w:val="20"/>
              </w:rPr>
              <w:t>/povećanje</w:t>
            </w:r>
            <w:r w:rsidRPr="00CC7FB0">
              <w:rPr>
                <w:rFonts w:ascii="Arial" w:eastAsia="Calibri" w:hAnsi="Arial" w:cs="Arial"/>
                <w:color w:val="000000" w:themeColor="text1"/>
                <w:sz w:val="20"/>
                <w:szCs w:val="20"/>
              </w:rPr>
              <w:t xml:space="preserve"> </w:t>
            </w:r>
            <w:r w:rsidRPr="00CC7FB0">
              <w:rPr>
                <w:rFonts w:ascii="Arial" w:eastAsia="Calibri" w:hAnsi="Arial" w:cs="Arial"/>
                <w:iCs/>
                <w:color w:val="000000" w:themeColor="text1"/>
                <w:sz w:val="20"/>
                <w:szCs w:val="20"/>
              </w:rPr>
              <w:t>rezerviranja za očekivane gubitke po preuzetim obvezama</w:t>
            </w:r>
          </w:p>
        </w:tc>
        <w:tc>
          <w:tcPr>
            <w:tcW w:w="1241" w:type="dxa"/>
            <w:tcBorders>
              <w:top w:val="single" w:sz="4" w:space="0" w:color="auto"/>
              <w:left w:val="nil"/>
              <w:bottom w:val="single" w:sz="4" w:space="0" w:color="auto"/>
              <w:right w:val="nil"/>
            </w:tcBorders>
            <w:shd w:val="clear" w:color="auto" w:fill="auto"/>
            <w:vAlign w:val="bottom"/>
          </w:tcPr>
          <w:p w14:paraId="2881DF66" w14:textId="54A068B9" w:rsidR="00457334" w:rsidRPr="00EA554B" w:rsidRDefault="00C35844" w:rsidP="00457334">
            <w:pPr>
              <w:suppressAutoHyphens/>
              <w:autoSpaceDN w:val="0"/>
              <w:jc w:val="right"/>
              <w:rPr>
                <w:rFonts w:ascii="Arial" w:eastAsia="Calibri" w:hAnsi="Arial" w:cs="Arial"/>
                <w:bCs/>
                <w:color w:val="000000" w:themeColor="text1"/>
                <w:sz w:val="20"/>
                <w:szCs w:val="20"/>
              </w:rPr>
            </w:pPr>
            <w:r>
              <w:rPr>
                <w:rFonts w:ascii="Arial" w:eastAsia="Calibri" w:hAnsi="Arial" w:cs="Arial"/>
                <w:bCs/>
                <w:color w:val="000000" w:themeColor="text1"/>
                <w:sz w:val="20"/>
                <w:szCs w:val="20"/>
              </w:rPr>
              <w:t>(3.614)</w:t>
            </w:r>
          </w:p>
        </w:tc>
        <w:tc>
          <w:tcPr>
            <w:tcW w:w="1241" w:type="dxa"/>
            <w:tcBorders>
              <w:top w:val="single" w:sz="4" w:space="0" w:color="auto"/>
              <w:left w:val="nil"/>
              <w:bottom w:val="single" w:sz="4" w:space="0" w:color="auto"/>
              <w:right w:val="nil"/>
            </w:tcBorders>
            <w:shd w:val="clear" w:color="auto" w:fill="auto"/>
            <w:vAlign w:val="bottom"/>
          </w:tcPr>
          <w:p w14:paraId="196411F7" w14:textId="6F4E4470" w:rsidR="00457334" w:rsidRPr="00EA554B" w:rsidRDefault="00457334" w:rsidP="00457334">
            <w:pPr>
              <w:suppressAutoHyphens/>
              <w:autoSpaceDN w:val="0"/>
              <w:jc w:val="right"/>
              <w:rPr>
                <w:rFonts w:ascii="Arial" w:eastAsia="Calibri" w:hAnsi="Arial" w:cs="Arial"/>
                <w:color w:val="000000" w:themeColor="text1"/>
                <w:sz w:val="20"/>
                <w:szCs w:val="20"/>
              </w:rPr>
            </w:pPr>
            <w:r w:rsidRPr="00531CE5">
              <w:rPr>
                <w:rFonts w:ascii="Arial" w:eastAsia="Calibri" w:hAnsi="Arial" w:cs="Arial"/>
                <w:bCs/>
                <w:sz w:val="20"/>
                <w:szCs w:val="20"/>
              </w:rPr>
              <w:t>1.520</w:t>
            </w:r>
          </w:p>
        </w:tc>
        <w:tc>
          <w:tcPr>
            <w:tcW w:w="1241" w:type="dxa"/>
            <w:tcBorders>
              <w:top w:val="single" w:sz="4" w:space="0" w:color="auto"/>
              <w:left w:val="nil"/>
              <w:bottom w:val="single" w:sz="4" w:space="0" w:color="auto"/>
              <w:right w:val="nil"/>
            </w:tcBorders>
            <w:shd w:val="clear" w:color="auto" w:fill="auto"/>
            <w:vAlign w:val="bottom"/>
          </w:tcPr>
          <w:p w14:paraId="2F11F644" w14:textId="0D6313ED" w:rsidR="00457334" w:rsidRPr="00BF3922" w:rsidRDefault="00457334" w:rsidP="00457334">
            <w:pPr>
              <w:suppressAutoHyphens/>
              <w:autoSpaceDN w:val="0"/>
              <w:jc w:val="right"/>
              <w:rPr>
                <w:rFonts w:ascii="Arial" w:eastAsia="Calibri" w:hAnsi="Arial" w:cs="Arial"/>
                <w:bCs/>
                <w:color w:val="000000" w:themeColor="text1"/>
                <w:sz w:val="20"/>
                <w:szCs w:val="20"/>
              </w:rPr>
            </w:pPr>
            <w:r w:rsidRPr="00BF3922">
              <w:rPr>
                <w:rFonts w:ascii="Arial" w:hAnsi="Arial" w:cs="Arial"/>
                <w:sz w:val="20"/>
                <w:szCs w:val="20"/>
              </w:rPr>
              <w:t xml:space="preserve"> (3.614)</w:t>
            </w:r>
          </w:p>
        </w:tc>
        <w:tc>
          <w:tcPr>
            <w:tcW w:w="1241" w:type="dxa"/>
            <w:tcBorders>
              <w:top w:val="single" w:sz="4" w:space="0" w:color="auto"/>
              <w:left w:val="nil"/>
              <w:bottom w:val="single" w:sz="4" w:space="0" w:color="auto"/>
              <w:right w:val="nil"/>
            </w:tcBorders>
            <w:shd w:val="clear" w:color="auto" w:fill="auto"/>
            <w:vAlign w:val="bottom"/>
          </w:tcPr>
          <w:p w14:paraId="5F2157C2" w14:textId="6B1E48FA" w:rsidR="00457334" w:rsidRPr="00EA554B" w:rsidRDefault="00457334" w:rsidP="00457334">
            <w:pPr>
              <w:suppressAutoHyphens/>
              <w:autoSpaceDN w:val="0"/>
              <w:jc w:val="right"/>
              <w:rPr>
                <w:rFonts w:ascii="Arial" w:eastAsia="Calibri" w:hAnsi="Arial" w:cs="Arial"/>
                <w:color w:val="000000" w:themeColor="text1"/>
                <w:sz w:val="20"/>
                <w:szCs w:val="20"/>
              </w:rPr>
            </w:pPr>
            <w:r w:rsidRPr="00531CE5">
              <w:rPr>
                <w:rFonts w:ascii="Arial" w:eastAsia="Calibri" w:hAnsi="Arial" w:cs="Arial"/>
                <w:bCs/>
                <w:sz w:val="20"/>
                <w:szCs w:val="20"/>
              </w:rPr>
              <w:t>1.520</w:t>
            </w:r>
          </w:p>
        </w:tc>
      </w:tr>
      <w:tr w:rsidR="00457334" w:rsidRPr="00EA554B" w14:paraId="51B9571B" w14:textId="77777777" w:rsidTr="00BF3922">
        <w:trPr>
          <w:trHeight w:val="392"/>
        </w:trPr>
        <w:tc>
          <w:tcPr>
            <w:tcW w:w="4260" w:type="dxa"/>
            <w:tcBorders>
              <w:top w:val="nil"/>
              <w:left w:val="nil"/>
              <w:bottom w:val="nil"/>
              <w:right w:val="nil"/>
            </w:tcBorders>
            <w:shd w:val="clear" w:color="auto" w:fill="auto"/>
            <w:vAlign w:val="bottom"/>
          </w:tcPr>
          <w:p w14:paraId="6A569980" w14:textId="169E5C9C" w:rsidR="00457334" w:rsidRPr="00CC7FB0" w:rsidRDefault="00457334" w:rsidP="00457334">
            <w:pPr>
              <w:suppressAutoHyphens/>
              <w:autoSpaceDN w:val="0"/>
              <w:rPr>
                <w:rFonts w:ascii="Arial" w:eastAsia="Calibri" w:hAnsi="Arial" w:cs="Arial"/>
                <w:iCs/>
                <w:color w:val="000000" w:themeColor="text1"/>
                <w:sz w:val="20"/>
                <w:szCs w:val="20"/>
              </w:rPr>
            </w:pPr>
            <w:r w:rsidRPr="00CC7FB0">
              <w:rPr>
                <w:rFonts w:ascii="Arial" w:eastAsia="Calibri" w:hAnsi="Arial" w:cs="Arial"/>
                <w:i/>
                <w:iCs/>
                <w:color w:val="000000" w:themeColor="text1"/>
                <w:sz w:val="20"/>
                <w:szCs w:val="20"/>
              </w:rPr>
              <w:t>Ukupno kroz dobit ili gubitak (bilješka 8)</w:t>
            </w:r>
          </w:p>
        </w:tc>
        <w:tc>
          <w:tcPr>
            <w:tcW w:w="1241" w:type="dxa"/>
            <w:tcBorders>
              <w:top w:val="single" w:sz="4" w:space="0" w:color="auto"/>
              <w:left w:val="nil"/>
              <w:bottom w:val="single" w:sz="4" w:space="0" w:color="auto"/>
              <w:right w:val="nil"/>
            </w:tcBorders>
            <w:shd w:val="clear" w:color="auto" w:fill="auto"/>
            <w:vAlign w:val="bottom"/>
          </w:tcPr>
          <w:p w14:paraId="174BB0E6" w14:textId="2DDEFD42" w:rsidR="00457334" w:rsidRPr="0067706A" w:rsidRDefault="00C35844" w:rsidP="00457334">
            <w:pPr>
              <w:suppressAutoHyphens/>
              <w:autoSpaceDN w:val="0"/>
              <w:jc w:val="right"/>
              <w:rPr>
                <w:rFonts w:ascii="Arial" w:eastAsia="Calibri" w:hAnsi="Arial" w:cs="Arial"/>
                <w:bCs/>
                <w:i/>
                <w:iCs/>
                <w:color w:val="000000" w:themeColor="text1"/>
                <w:sz w:val="20"/>
                <w:szCs w:val="20"/>
              </w:rPr>
            </w:pPr>
            <w:r>
              <w:rPr>
                <w:rFonts w:ascii="Arial" w:eastAsia="Calibri" w:hAnsi="Arial" w:cs="Arial"/>
                <w:bCs/>
                <w:i/>
                <w:iCs/>
                <w:color w:val="000000" w:themeColor="text1"/>
                <w:sz w:val="20"/>
                <w:szCs w:val="20"/>
              </w:rPr>
              <w:t>(3.614)</w:t>
            </w:r>
          </w:p>
        </w:tc>
        <w:tc>
          <w:tcPr>
            <w:tcW w:w="1241" w:type="dxa"/>
            <w:tcBorders>
              <w:top w:val="single" w:sz="4" w:space="0" w:color="auto"/>
              <w:left w:val="nil"/>
              <w:bottom w:val="single" w:sz="4" w:space="0" w:color="auto"/>
              <w:right w:val="nil"/>
            </w:tcBorders>
            <w:shd w:val="clear" w:color="auto" w:fill="auto"/>
            <w:vAlign w:val="bottom"/>
          </w:tcPr>
          <w:p w14:paraId="4DCE2286" w14:textId="28A471BA" w:rsidR="00457334" w:rsidRPr="0067706A" w:rsidRDefault="00457334" w:rsidP="00457334">
            <w:pPr>
              <w:suppressAutoHyphens/>
              <w:autoSpaceDN w:val="0"/>
              <w:jc w:val="right"/>
              <w:rPr>
                <w:rFonts w:ascii="Arial" w:eastAsia="Calibri" w:hAnsi="Arial" w:cs="Arial"/>
                <w:i/>
                <w:iCs/>
                <w:color w:val="000000" w:themeColor="text1"/>
                <w:sz w:val="20"/>
                <w:szCs w:val="20"/>
              </w:rPr>
            </w:pPr>
            <w:r w:rsidRPr="00531CE5">
              <w:rPr>
                <w:rFonts w:ascii="Arial" w:eastAsia="Calibri" w:hAnsi="Arial" w:cs="Arial"/>
                <w:bCs/>
                <w:i/>
                <w:sz w:val="20"/>
                <w:szCs w:val="20"/>
              </w:rPr>
              <w:t>1.520</w:t>
            </w:r>
          </w:p>
        </w:tc>
        <w:tc>
          <w:tcPr>
            <w:tcW w:w="1241" w:type="dxa"/>
            <w:tcBorders>
              <w:top w:val="single" w:sz="4" w:space="0" w:color="auto"/>
              <w:left w:val="nil"/>
              <w:bottom w:val="single" w:sz="4" w:space="0" w:color="auto"/>
              <w:right w:val="nil"/>
            </w:tcBorders>
            <w:shd w:val="clear" w:color="auto" w:fill="auto"/>
            <w:vAlign w:val="bottom"/>
          </w:tcPr>
          <w:p w14:paraId="780F46A4" w14:textId="2D001AFA" w:rsidR="00457334" w:rsidRPr="00BF3922" w:rsidRDefault="00457334" w:rsidP="00457334">
            <w:pPr>
              <w:suppressAutoHyphens/>
              <w:autoSpaceDN w:val="0"/>
              <w:jc w:val="right"/>
              <w:rPr>
                <w:rFonts w:ascii="Arial" w:eastAsia="Calibri" w:hAnsi="Arial" w:cs="Arial"/>
                <w:bCs/>
                <w:i/>
                <w:iCs/>
                <w:color w:val="000000" w:themeColor="text1"/>
                <w:sz w:val="20"/>
                <w:szCs w:val="20"/>
              </w:rPr>
            </w:pPr>
            <w:r w:rsidRPr="00BF3922">
              <w:rPr>
                <w:rFonts w:ascii="Arial" w:hAnsi="Arial" w:cs="Arial"/>
                <w:i/>
                <w:iCs/>
                <w:sz w:val="20"/>
                <w:szCs w:val="20"/>
              </w:rPr>
              <w:t xml:space="preserve"> (3.614)</w:t>
            </w:r>
          </w:p>
        </w:tc>
        <w:tc>
          <w:tcPr>
            <w:tcW w:w="1241" w:type="dxa"/>
            <w:tcBorders>
              <w:top w:val="single" w:sz="4" w:space="0" w:color="auto"/>
              <w:left w:val="nil"/>
              <w:bottom w:val="single" w:sz="4" w:space="0" w:color="auto"/>
              <w:right w:val="nil"/>
            </w:tcBorders>
            <w:shd w:val="clear" w:color="auto" w:fill="auto"/>
            <w:vAlign w:val="bottom"/>
          </w:tcPr>
          <w:p w14:paraId="7D160B38" w14:textId="03E29ECD" w:rsidR="00457334" w:rsidRPr="00EA554B" w:rsidRDefault="00457334" w:rsidP="00457334">
            <w:pPr>
              <w:suppressAutoHyphens/>
              <w:autoSpaceDN w:val="0"/>
              <w:jc w:val="right"/>
              <w:rPr>
                <w:rFonts w:ascii="Arial" w:eastAsia="Calibri" w:hAnsi="Arial" w:cs="Arial"/>
                <w:i/>
                <w:iCs/>
                <w:color w:val="000000" w:themeColor="text1"/>
                <w:sz w:val="20"/>
                <w:szCs w:val="20"/>
              </w:rPr>
            </w:pPr>
            <w:r w:rsidRPr="00531CE5">
              <w:rPr>
                <w:rFonts w:ascii="Arial" w:eastAsia="Calibri" w:hAnsi="Arial" w:cs="Arial"/>
                <w:bCs/>
                <w:i/>
                <w:sz w:val="20"/>
                <w:szCs w:val="20"/>
              </w:rPr>
              <w:t>1.520</w:t>
            </w:r>
          </w:p>
        </w:tc>
      </w:tr>
      <w:tr w:rsidR="007D07A8" w:rsidRPr="00EA554B" w14:paraId="087D2A43" w14:textId="77777777" w:rsidTr="00BF3922">
        <w:trPr>
          <w:trHeight w:val="392"/>
        </w:trPr>
        <w:tc>
          <w:tcPr>
            <w:tcW w:w="4260" w:type="dxa"/>
            <w:tcBorders>
              <w:top w:val="nil"/>
              <w:left w:val="nil"/>
              <w:bottom w:val="nil"/>
              <w:right w:val="nil"/>
            </w:tcBorders>
            <w:shd w:val="clear" w:color="auto" w:fill="auto"/>
            <w:vAlign w:val="bottom"/>
          </w:tcPr>
          <w:p w14:paraId="4E4F9913" w14:textId="77777777" w:rsidR="007D07A8" w:rsidRPr="00CC7FB0" w:rsidRDefault="007D07A8" w:rsidP="007D07A8">
            <w:pPr>
              <w:suppressAutoHyphens/>
              <w:autoSpaceDN w:val="0"/>
              <w:rPr>
                <w:rFonts w:ascii="Arial" w:eastAsia="Calibri" w:hAnsi="Arial" w:cs="Arial"/>
                <w:color w:val="000000" w:themeColor="text1"/>
                <w:sz w:val="20"/>
                <w:szCs w:val="20"/>
              </w:rPr>
            </w:pPr>
            <w:r w:rsidRPr="00CC7FB0">
              <w:rPr>
                <w:rFonts w:ascii="Arial" w:eastAsia="Calibri" w:hAnsi="Arial" w:cs="Arial"/>
                <w:color w:val="000000" w:themeColor="text1"/>
                <w:sz w:val="20"/>
                <w:szCs w:val="20"/>
              </w:rPr>
              <w:t>Neto tečajne razlike po rezerviranjima za očekivane gubitke</w:t>
            </w:r>
          </w:p>
        </w:tc>
        <w:tc>
          <w:tcPr>
            <w:tcW w:w="1241" w:type="dxa"/>
            <w:tcBorders>
              <w:top w:val="single" w:sz="4" w:space="0" w:color="auto"/>
              <w:left w:val="nil"/>
              <w:bottom w:val="single" w:sz="4" w:space="0" w:color="auto"/>
              <w:right w:val="nil"/>
            </w:tcBorders>
            <w:shd w:val="clear" w:color="auto" w:fill="auto"/>
            <w:vAlign w:val="bottom"/>
          </w:tcPr>
          <w:p w14:paraId="5EB047D1" w14:textId="096F759B" w:rsidR="007D07A8" w:rsidRPr="00EA554B" w:rsidRDefault="00567101" w:rsidP="007D07A8">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w:t>
            </w:r>
            <w:r w:rsidR="009835E9">
              <w:rPr>
                <w:rFonts w:ascii="Arial" w:eastAsia="Calibri" w:hAnsi="Arial" w:cs="Arial"/>
                <w:color w:val="000000" w:themeColor="text1"/>
                <w:sz w:val="20"/>
                <w:szCs w:val="20"/>
              </w:rPr>
              <w:t>75)</w:t>
            </w:r>
          </w:p>
        </w:tc>
        <w:tc>
          <w:tcPr>
            <w:tcW w:w="1241" w:type="dxa"/>
            <w:tcBorders>
              <w:top w:val="single" w:sz="4" w:space="0" w:color="auto"/>
              <w:left w:val="nil"/>
              <w:bottom w:val="single" w:sz="4" w:space="0" w:color="auto"/>
              <w:right w:val="nil"/>
            </w:tcBorders>
            <w:shd w:val="clear" w:color="auto" w:fill="auto"/>
            <w:vAlign w:val="bottom"/>
          </w:tcPr>
          <w:p w14:paraId="2BBFF591" w14:textId="47ABBBEB" w:rsidR="007D07A8" w:rsidRPr="00EA554B" w:rsidRDefault="007D07A8" w:rsidP="007D07A8">
            <w:pPr>
              <w:suppressAutoHyphens/>
              <w:autoSpaceDN w:val="0"/>
              <w:jc w:val="right"/>
              <w:rPr>
                <w:rFonts w:ascii="Arial" w:eastAsia="Calibri" w:hAnsi="Arial" w:cs="Arial"/>
                <w:color w:val="000000" w:themeColor="text1"/>
                <w:sz w:val="20"/>
                <w:szCs w:val="20"/>
              </w:rPr>
            </w:pPr>
            <w:r w:rsidRPr="00531CE5">
              <w:rPr>
                <w:rFonts w:ascii="Arial" w:eastAsia="Calibri" w:hAnsi="Arial" w:cs="Arial"/>
                <w:sz w:val="20"/>
                <w:szCs w:val="20"/>
              </w:rPr>
              <w:t>2</w:t>
            </w:r>
            <w:r>
              <w:rPr>
                <w:rFonts w:ascii="Arial" w:eastAsia="Calibri" w:hAnsi="Arial" w:cs="Arial"/>
                <w:sz w:val="20"/>
                <w:szCs w:val="20"/>
              </w:rPr>
              <w:t>8</w:t>
            </w:r>
          </w:p>
        </w:tc>
        <w:tc>
          <w:tcPr>
            <w:tcW w:w="1241" w:type="dxa"/>
            <w:tcBorders>
              <w:top w:val="single" w:sz="4" w:space="0" w:color="auto"/>
              <w:left w:val="nil"/>
              <w:bottom w:val="single" w:sz="4" w:space="0" w:color="auto"/>
              <w:right w:val="nil"/>
            </w:tcBorders>
            <w:shd w:val="clear" w:color="auto" w:fill="auto"/>
            <w:vAlign w:val="bottom"/>
          </w:tcPr>
          <w:p w14:paraId="7E3C90F1" w14:textId="22765A0C" w:rsidR="007D07A8" w:rsidRPr="00BF3922" w:rsidRDefault="00457334" w:rsidP="007D07A8">
            <w:pPr>
              <w:suppressAutoHyphens/>
              <w:autoSpaceDN w:val="0"/>
              <w:jc w:val="right"/>
              <w:rPr>
                <w:rFonts w:ascii="Arial" w:eastAsia="Calibri" w:hAnsi="Arial" w:cs="Arial"/>
                <w:color w:val="000000" w:themeColor="text1"/>
                <w:sz w:val="20"/>
                <w:szCs w:val="20"/>
              </w:rPr>
            </w:pPr>
            <w:r w:rsidRPr="00BF3922">
              <w:rPr>
                <w:rFonts w:ascii="Arial" w:eastAsia="Calibri" w:hAnsi="Arial" w:cs="Arial"/>
                <w:color w:val="000000" w:themeColor="text1"/>
                <w:sz w:val="20"/>
                <w:szCs w:val="20"/>
              </w:rPr>
              <w:t>(75)</w:t>
            </w:r>
          </w:p>
        </w:tc>
        <w:tc>
          <w:tcPr>
            <w:tcW w:w="1241" w:type="dxa"/>
            <w:tcBorders>
              <w:top w:val="single" w:sz="4" w:space="0" w:color="auto"/>
              <w:left w:val="nil"/>
              <w:bottom w:val="single" w:sz="4" w:space="0" w:color="auto"/>
              <w:right w:val="nil"/>
            </w:tcBorders>
            <w:shd w:val="clear" w:color="auto" w:fill="auto"/>
            <w:vAlign w:val="bottom"/>
          </w:tcPr>
          <w:p w14:paraId="74916283" w14:textId="27F2DB3E" w:rsidR="007D07A8" w:rsidRPr="00EA554B" w:rsidRDefault="007D07A8" w:rsidP="007D07A8">
            <w:pPr>
              <w:suppressAutoHyphens/>
              <w:autoSpaceDN w:val="0"/>
              <w:jc w:val="right"/>
              <w:rPr>
                <w:rFonts w:ascii="Arial" w:eastAsia="Calibri" w:hAnsi="Arial" w:cs="Arial"/>
                <w:color w:val="000000" w:themeColor="text1"/>
                <w:sz w:val="20"/>
                <w:szCs w:val="20"/>
              </w:rPr>
            </w:pPr>
            <w:r w:rsidRPr="00531CE5">
              <w:rPr>
                <w:rFonts w:ascii="Arial" w:eastAsia="Calibri" w:hAnsi="Arial" w:cs="Arial"/>
                <w:sz w:val="20"/>
                <w:szCs w:val="20"/>
              </w:rPr>
              <w:t>2</w:t>
            </w:r>
            <w:r>
              <w:rPr>
                <w:rFonts w:ascii="Arial" w:eastAsia="Calibri" w:hAnsi="Arial" w:cs="Arial"/>
                <w:sz w:val="20"/>
                <w:szCs w:val="20"/>
              </w:rPr>
              <w:t>8</w:t>
            </w:r>
          </w:p>
        </w:tc>
      </w:tr>
      <w:tr w:rsidR="007D07A8" w:rsidRPr="00EA554B" w14:paraId="5C886DD5" w14:textId="77777777" w:rsidTr="00BF3922">
        <w:trPr>
          <w:trHeight w:val="392"/>
        </w:trPr>
        <w:tc>
          <w:tcPr>
            <w:tcW w:w="4260" w:type="dxa"/>
            <w:tcBorders>
              <w:top w:val="nil"/>
              <w:left w:val="nil"/>
              <w:bottom w:val="nil"/>
              <w:right w:val="nil"/>
            </w:tcBorders>
            <w:shd w:val="clear" w:color="auto" w:fill="auto"/>
            <w:vAlign w:val="bottom"/>
          </w:tcPr>
          <w:p w14:paraId="44CB0AC1" w14:textId="77777777" w:rsidR="007D07A8" w:rsidRPr="00CC7FB0" w:rsidRDefault="007D07A8" w:rsidP="007D07A8">
            <w:pPr>
              <w:suppressAutoHyphens/>
              <w:autoSpaceDN w:val="0"/>
              <w:rPr>
                <w:rFonts w:ascii="Arial" w:eastAsia="Calibri" w:hAnsi="Arial" w:cs="Arial"/>
                <w:b/>
                <w:bCs/>
                <w:color w:val="000000" w:themeColor="text1"/>
                <w:sz w:val="20"/>
                <w:szCs w:val="20"/>
              </w:rPr>
            </w:pPr>
            <w:r w:rsidRPr="00CC7FB0">
              <w:rPr>
                <w:rFonts w:ascii="Arial" w:eastAsia="Calibri" w:hAnsi="Arial" w:cs="Arial"/>
                <w:b/>
                <w:bCs/>
                <w:color w:val="000000" w:themeColor="text1"/>
                <w:sz w:val="20"/>
                <w:szCs w:val="20"/>
              </w:rPr>
              <w:t>Stanje na kraju izvještajnog razdoblja – Rezerviranja za garancije i preuzete obveze</w:t>
            </w:r>
          </w:p>
        </w:tc>
        <w:tc>
          <w:tcPr>
            <w:tcW w:w="1241" w:type="dxa"/>
            <w:tcBorders>
              <w:top w:val="single" w:sz="4" w:space="0" w:color="auto"/>
              <w:left w:val="nil"/>
              <w:bottom w:val="single" w:sz="12" w:space="0" w:color="auto"/>
              <w:right w:val="nil"/>
            </w:tcBorders>
            <w:shd w:val="clear" w:color="auto" w:fill="auto"/>
            <w:noWrap/>
            <w:vAlign w:val="bottom"/>
          </w:tcPr>
          <w:p w14:paraId="3C6873B7" w14:textId="5F15F5F1" w:rsidR="007D07A8" w:rsidRPr="004A2725" w:rsidRDefault="00C27793" w:rsidP="007D07A8">
            <w:pPr>
              <w:suppressAutoHyphens/>
              <w:autoSpaceDN w:val="0"/>
              <w:jc w:val="right"/>
              <w:rPr>
                <w:rFonts w:ascii="Arial" w:eastAsia="Calibri" w:hAnsi="Arial" w:cs="Arial"/>
                <w:b/>
                <w:bCs/>
                <w:color w:val="000000" w:themeColor="text1"/>
                <w:sz w:val="20"/>
                <w:szCs w:val="20"/>
              </w:rPr>
            </w:pPr>
            <w:r>
              <w:rPr>
                <w:rFonts w:ascii="Arial" w:eastAsia="Calibri" w:hAnsi="Arial" w:cs="Arial"/>
                <w:b/>
                <w:bCs/>
                <w:color w:val="000000" w:themeColor="text1"/>
                <w:sz w:val="20"/>
                <w:szCs w:val="20"/>
              </w:rPr>
              <w:t>8.347</w:t>
            </w:r>
          </w:p>
        </w:tc>
        <w:tc>
          <w:tcPr>
            <w:tcW w:w="1241" w:type="dxa"/>
            <w:tcBorders>
              <w:top w:val="single" w:sz="4" w:space="0" w:color="auto"/>
              <w:left w:val="nil"/>
              <w:bottom w:val="single" w:sz="12" w:space="0" w:color="auto"/>
              <w:right w:val="nil"/>
            </w:tcBorders>
            <w:shd w:val="clear" w:color="auto" w:fill="auto"/>
            <w:vAlign w:val="bottom"/>
          </w:tcPr>
          <w:p w14:paraId="0E2C1903" w14:textId="22550DED" w:rsidR="007D07A8" w:rsidRPr="004A2725" w:rsidRDefault="007D07A8" w:rsidP="007D07A8">
            <w:pPr>
              <w:suppressAutoHyphens/>
              <w:autoSpaceDN w:val="0"/>
              <w:jc w:val="right"/>
              <w:rPr>
                <w:rFonts w:ascii="Arial" w:eastAsia="Calibri" w:hAnsi="Arial" w:cs="Arial"/>
                <w:b/>
                <w:bCs/>
                <w:color w:val="000000" w:themeColor="text1"/>
                <w:sz w:val="20"/>
                <w:szCs w:val="20"/>
              </w:rPr>
            </w:pPr>
            <w:r w:rsidRPr="00531CE5">
              <w:rPr>
                <w:rFonts w:ascii="Arial" w:eastAsia="Calibri" w:hAnsi="Arial" w:cs="Arial"/>
                <w:b/>
                <w:sz w:val="20"/>
                <w:szCs w:val="20"/>
              </w:rPr>
              <w:t>14.637</w:t>
            </w:r>
          </w:p>
        </w:tc>
        <w:tc>
          <w:tcPr>
            <w:tcW w:w="1241" w:type="dxa"/>
            <w:tcBorders>
              <w:top w:val="single" w:sz="4" w:space="0" w:color="auto"/>
              <w:left w:val="nil"/>
              <w:bottom w:val="single" w:sz="12" w:space="0" w:color="auto"/>
              <w:right w:val="nil"/>
            </w:tcBorders>
            <w:shd w:val="clear" w:color="auto" w:fill="auto"/>
            <w:vAlign w:val="bottom"/>
          </w:tcPr>
          <w:p w14:paraId="4CC84049" w14:textId="0EBB1E60" w:rsidR="007D07A8" w:rsidRPr="00BF3922" w:rsidRDefault="00457334" w:rsidP="007D07A8">
            <w:pPr>
              <w:suppressAutoHyphens/>
              <w:autoSpaceDN w:val="0"/>
              <w:jc w:val="right"/>
              <w:rPr>
                <w:rFonts w:ascii="Arial" w:eastAsia="Calibri" w:hAnsi="Arial" w:cs="Arial"/>
                <w:b/>
                <w:bCs/>
                <w:color w:val="000000" w:themeColor="text1"/>
                <w:sz w:val="20"/>
                <w:szCs w:val="20"/>
              </w:rPr>
            </w:pPr>
            <w:r w:rsidRPr="00BF3922">
              <w:rPr>
                <w:rFonts w:ascii="Arial" w:eastAsia="Calibri" w:hAnsi="Arial" w:cs="Arial"/>
                <w:b/>
                <w:bCs/>
                <w:color w:val="000000" w:themeColor="text1"/>
                <w:sz w:val="20"/>
                <w:szCs w:val="20"/>
              </w:rPr>
              <w:t>8.347</w:t>
            </w:r>
          </w:p>
        </w:tc>
        <w:tc>
          <w:tcPr>
            <w:tcW w:w="1241" w:type="dxa"/>
            <w:tcBorders>
              <w:top w:val="single" w:sz="4" w:space="0" w:color="auto"/>
              <w:left w:val="nil"/>
              <w:bottom w:val="single" w:sz="12" w:space="0" w:color="auto"/>
              <w:right w:val="nil"/>
            </w:tcBorders>
            <w:shd w:val="clear" w:color="auto" w:fill="auto"/>
            <w:vAlign w:val="bottom"/>
          </w:tcPr>
          <w:p w14:paraId="39571333" w14:textId="2AD198EA" w:rsidR="007D07A8" w:rsidRPr="00EA554B" w:rsidRDefault="007D07A8" w:rsidP="007D07A8">
            <w:pPr>
              <w:suppressAutoHyphens/>
              <w:autoSpaceDN w:val="0"/>
              <w:jc w:val="right"/>
              <w:rPr>
                <w:rFonts w:ascii="Arial" w:eastAsia="Calibri" w:hAnsi="Arial" w:cs="Arial"/>
                <w:b/>
                <w:bCs/>
                <w:color w:val="000000" w:themeColor="text1"/>
                <w:sz w:val="20"/>
                <w:szCs w:val="20"/>
              </w:rPr>
            </w:pPr>
            <w:r w:rsidRPr="00531CE5">
              <w:rPr>
                <w:rFonts w:ascii="Arial" w:eastAsia="Calibri" w:hAnsi="Arial" w:cs="Arial"/>
                <w:b/>
                <w:sz w:val="20"/>
                <w:szCs w:val="20"/>
              </w:rPr>
              <w:t>14.637</w:t>
            </w:r>
          </w:p>
        </w:tc>
      </w:tr>
      <w:tr w:rsidR="007D07A8" w:rsidRPr="00EA554B" w14:paraId="7418C048" w14:textId="77777777" w:rsidTr="00BF3922">
        <w:trPr>
          <w:trHeight w:val="392"/>
        </w:trPr>
        <w:tc>
          <w:tcPr>
            <w:tcW w:w="4260" w:type="dxa"/>
            <w:tcBorders>
              <w:top w:val="nil"/>
              <w:left w:val="nil"/>
              <w:bottom w:val="nil"/>
              <w:right w:val="nil"/>
            </w:tcBorders>
            <w:shd w:val="clear" w:color="auto" w:fill="auto"/>
            <w:vAlign w:val="bottom"/>
          </w:tcPr>
          <w:p w14:paraId="78EA6A34" w14:textId="77777777" w:rsidR="007D07A8" w:rsidRPr="00CC7FB0" w:rsidRDefault="007D07A8" w:rsidP="007D07A8">
            <w:pPr>
              <w:suppressAutoHyphens/>
              <w:autoSpaceDN w:val="0"/>
              <w:rPr>
                <w:rFonts w:ascii="Arial" w:eastAsia="Calibri" w:hAnsi="Arial" w:cs="Arial"/>
                <w:color w:val="000000" w:themeColor="text1"/>
                <w:sz w:val="20"/>
                <w:szCs w:val="20"/>
              </w:rPr>
            </w:pPr>
            <w:r w:rsidRPr="00CC7FB0">
              <w:rPr>
                <w:rFonts w:ascii="Arial" w:eastAsia="Calibri" w:hAnsi="Arial" w:cs="Arial"/>
                <w:color w:val="000000" w:themeColor="text1"/>
                <w:sz w:val="20"/>
                <w:szCs w:val="20"/>
              </w:rPr>
              <w:t>Stanje 1. siječnja</w:t>
            </w:r>
          </w:p>
        </w:tc>
        <w:tc>
          <w:tcPr>
            <w:tcW w:w="1241" w:type="dxa"/>
            <w:tcBorders>
              <w:top w:val="single" w:sz="12" w:space="0" w:color="auto"/>
              <w:left w:val="nil"/>
              <w:right w:val="nil"/>
            </w:tcBorders>
            <w:shd w:val="clear" w:color="auto" w:fill="auto"/>
            <w:noWrap/>
            <w:vAlign w:val="bottom"/>
          </w:tcPr>
          <w:p w14:paraId="53F94753" w14:textId="1CA4CA3F" w:rsidR="007D07A8" w:rsidRPr="00EA554B" w:rsidRDefault="00C27793" w:rsidP="007D07A8">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9.745</w:t>
            </w:r>
          </w:p>
        </w:tc>
        <w:tc>
          <w:tcPr>
            <w:tcW w:w="1241" w:type="dxa"/>
            <w:tcBorders>
              <w:top w:val="single" w:sz="12" w:space="0" w:color="auto"/>
              <w:left w:val="nil"/>
              <w:right w:val="nil"/>
            </w:tcBorders>
            <w:shd w:val="clear" w:color="auto" w:fill="auto"/>
            <w:vAlign w:val="bottom"/>
          </w:tcPr>
          <w:p w14:paraId="1D320D80" w14:textId="3403F1A0" w:rsidR="007D07A8" w:rsidRPr="00EA554B" w:rsidRDefault="007D07A8" w:rsidP="007D07A8">
            <w:pPr>
              <w:suppressAutoHyphens/>
              <w:autoSpaceDN w:val="0"/>
              <w:jc w:val="right"/>
              <w:rPr>
                <w:rFonts w:ascii="Arial" w:eastAsia="Calibri" w:hAnsi="Arial" w:cs="Arial"/>
                <w:color w:val="000000" w:themeColor="text1"/>
                <w:sz w:val="20"/>
                <w:szCs w:val="20"/>
              </w:rPr>
            </w:pPr>
            <w:r w:rsidRPr="00531CE5">
              <w:rPr>
                <w:rFonts w:ascii="Arial" w:eastAsia="Calibri" w:hAnsi="Arial" w:cs="Arial"/>
                <w:sz w:val="20"/>
                <w:szCs w:val="20"/>
              </w:rPr>
              <w:t>8.22</w:t>
            </w:r>
            <w:r>
              <w:rPr>
                <w:rFonts w:ascii="Arial" w:eastAsia="Calibri" w:hAnsi="Arial" w:cs="Arial"/>
                <w:sz w:val="20"/>
                <w:szCs w:val="20"/>
              </w:rPr>
              <w:t>7</w:t>
            </w:r>
          </w:p>
        </w:tc>
        <w:tc>
          <w:tcPr>
            <w:tcW w:w="1241" w:type="dxa"/>
            <w:tcBorders>
              <w:top w:val="single" w:sz="12" w:space="0" w:color="auto"/>
              <w:left w:val="nil"/>
              <w:right w:val="nil"/>
            </w:tcBorders>
            <w:shd w:val="clear" w:color="auto" w:fill="auto"/>
            <w:vAlign w:val="bottom"/>
          </w:tcPr>
          <w:p w14:paraId="243CB2E1" w14:textId="5E2F1CBE" w:rsidR="007D07A8" w:rsidRPr="00BF3922" w:rsidRDefault="00457334" w:rsidP="007D07A8">
            <w:pPr>
              <w:suppressAutoHyphens/>
              <w:autoSpaceDN w:val="0"/>
              <w:jc w:val="right"/>
              <w:rPr>
                <w:rFonts w:ascii="Arial" w:eastAsia="Calibri" w:hAnsi="Arial" w:cs="Arial"/>
                <w:color w:val="000000" w:themeColor="text1"/>
                <w:sz w:val="20"/>
                <w:szCs w:val="20"/>
              </w:rPr>
            </w:pPr>
            <w:r w:rsidRPr="00BF3922">
              <w:rPr>
                <w:rFonts w:ascii="Arial" w:eastAsia="Calibri" w:hAnsi="Arial" w:cs="Arial"/>
                <w:color w:val="000000" w:themeColor="text1"/>
                <w:sz w:val="20"/>
                <w:szCs w:val="20"/>
              </w:rPr>
              <w:t>9.743</w:t>
            </w:r>
          </w:p>
        </w:tc>
        <w:tc>
          <w:tcPr>
            <w:tcW w:w="1241" w:type="dxa"/>
            <w:tcBorders>
              <w:top w:val="single" w:sz="12" w:space="0" w:color="auto"/>
              <w:left w:val="nil"/>
              <w:right w:val="nil"/>
            </w:tcBorders>
            <w:shd w:val="clear" w:color="auto" w:fill="auto"/>
            <w:vAlign w:val="bottom"/>
          </w:tcPr>
          <w:p w14:paraId="47A7313D" w14:textId="45E4161C" w:rsidR="007D07A8" w:rsidRPr="00EA554B" w:rsidRDefault="007D07A8" w:rsidP="007D07A8">
            <w:pPr>
              <w:suppressAutoHyphens/>
              <w:autoSpaceDN w:val="0"/>
              <w:jc w:val="right"/>
              <w:rPr>
                <w:rFonts w:ascii="Arial" w:eastAsia="Calibri" w:hAnsi="Arial" w:cs="Arial"/>
                <w:color w:val="000000" w:themeColor="text1"/>
                <w:sz w:val="20"/>
                <w:szCs w:val="20"/>
              </w:rPr>
            </w:pPr>
            <w:r w:rsidRPr="00531CE5">
              <w:rPr>
                <w:rFonts w:ascii="Arial" w:eastAsia="Calibri" w:hAnsi="Arial" w:cs="Arial"/>
                <w:sz w:val="20"/>
                <w:szCs w:val="20"/>
              </w:rPr>
              <w:t>8.222</w:t>
            </w:r>
          </w:p>
        </w:tc>
      </w:tr>
      <w:tr w:rsidR="00DB3140" w:rsidRPr="00EA554B" w14:paraId="678A6C8B" w14:textId="77777777" w:rsidTr="00DB3140">
        <w:trPr>
          <w:trHeight w:val="392"/>
        </w:trPr>
        <w:tc>
          <w:tcPr>
            <w:tcW w:w="4260" w:type="dxa"/>
            <w:tcBorders>
              <w:top w:val="nil"/>
              <w:left w:val="nil"/>
              <w:bottom w:val="nil"/>
              <w:right w:val="nil"/>
            </w:tcBorders>
            <w:shd w:val="clear" w:color="auto" w:fill="auto"/>
            <w:vAlign w:val="bottom"/>
          </w:tcPr>
          <w:p w14:paraId="7495832A" w14:textId="13FF5E27" w:rsidR="00DB3140" w:rsidRPr="00CC7FB0" w:rsidRDefault="00DB3140" w:rsidP="00DB3140">
            <w:pPr>
              <w:suppressAutoHyphens/>
              <w:autoSpaceDN w:val="0"/>
              <w:rPr>
                <w:rFonts w:ascii="Arial" w:eastAsia="Calibri" w:hAnsi="Arial" w:cs="Arial"/>
                <w:color w:val="000000" w:themeColor="text1"/>
                <w:sz w:val="20"/>
                <w:szCs w:val="20"/>
              </w:rPr>
            </w:pPr>
            <w:r w:rsidRPr="00CC7FB0">
              <w:rPr>
                <w:rFonts w:ascii="Arial" w:eastAsia="Calibri" w:hAnsi="Arial" w:cs="Arial"/>
                <w:color w:val="000000" w:themeColor="text1"/>
                <w:sz w:val="20"/>
                <w:szCs w:val="20"/>
              </w:rPr>
              <w:t>Neto povećanje rezerviranja za očekivane gubitke po ostali obvezama</w:t>
            </w:r>
          </w:p>
        </w:tc>
        <w:tc>
          <w:tcPr>
            <w:tcW w:w="1241" w:type="dxa"/>
            <w:tcBorders>
              <w:left w:val="nil"/>
              <w:bottom w:val="single" w:sz="4" w:space="0" w:color="auto"/>
              <w:right w:val="nil"/>
            </w:tcBorders>
            <w:shd w:val="clear" w:color="auto" w:fill="auto"/>
            <w:noWrap/>
            <w:vAlign w:val="bottom"/>
          </w:tcPr>
          <w:p w14:paraId="26D5C996" w14:textId="49CA2BA3" w:rsidR="00DB3140" w:rsidRPr="00DB3140" w:rsidRDefault="00DB3140" w:rsidP="00DB3140">
            <w:pPr>
              <w:suppressAutoHyphens/>
              <w:autoSpaceDN w:val="0"/>
              <w:jc w:val="right"/>
              <w:rPr>
                <w:rFonts w:ascii="Arial" w:eastAsia="Calibri" w:hAnsi="Arial" w:cs="Arial"/>
                <w:color w:val="000000" w:themeColor="text1"/>
                <w:sz w:val="20"/>
                <w:szCs w:val="20"/>
              </w:rPr>
            </w:pPr>
            <w:r w:rsidRPr="00DB3140">
              <w:rPr>
                <w:rFonts w:ascii="Arial" w:hAnsi="Arial" w:cs="Arial"/>
                <w:sz w:val="20"/>
                <w:szCs w:val="20"/>
              </w:rPr>
              <w:t>1.305</w:t>
            </w:r>
          </w:p>
        </w:tc>
        <w:tc>
          <w:tcPr>
            <w:tcW w:w="1241" w:type="dxa"/>
            <w:tcBorders>
              <w:left w:val="nil"/>
              <w:bottom w:val="single" w:sz="4" w:space="0" w:color="auto"/>
              <w:right w:val="nil"/>
            </w:tcBorders>
            <w:shd w:val="clear" w:color="auto" w:fill="auto"/>
            <w:vAlign w:val="bottom"/>
          </w:tcPr>
          <w:p w14:paraId="72A3458C" w14:textId="16594744" w:rsidR="00DB3140" w:rsidRPr="00EA554B" w:rsidRDefault="00DB3140" w:rsidP="00DB3140">
            <w:pPr>
              <w:suppressAutoHyphens/>
              <w:autoSpaceDN w:val="0"/>
              <w:jc w:val="right"/>
              <w:rPr>
                <w:rFonts w:ascii="Arial" w:eastAsia="Calibri" w:hAnsi="Arial" w:cs="Arial"/>
                <w:color w:val="000000" w:themeColor="text1"/>
                <w:sz w:val="20"/>
                <w:szCs w:val="20"/>
              </w:rPr>
            </w:pPr>
            <w:r>
              <w:rPr>
                <w:rFonts w:ascii="Arial" w:eastAsia="Calibri" w:hAnsi="Arial" w:cs="Arial"/>
                <w:sz w:val="20"/>
                <w:szCs w:val="20"/>
              </w:rPr>
              <w:t>71</w:t>
            </w:r>
          </w:p>
        </w:tc>
        <w:tc>
          <w:tcPr>
            <w:tcW w:w="1241" w:type="dxa"/>
            <w:tcBorders>
              <w:left w:val="nil"/>
              <w:bottom w:val="single" w:sz="4" w:space="0" w:color="auto"/>
              <w:right w:val="nil"/>
            </w:tcBorders>
            <w:shd w:val="clear" w:color="auto" w:fill="auto"/>
            <w:vAlign w:val="bottom"/>
          </w:tcPr>
          <w:p w14:paraId="7CB005B0" w14:textId="51067EDA" w:rsidR="00DB3140" w:rsidRPr="00BF3922" w:rsidRDefault="00DB3140" w:rsidP="00DB3140">
            <w:pPr>
              <w:suppressAutoHyphens/>
              <w:autoSpaceDN w:val="0"/>
              <w:jc w:val="right"/>
              <w:rPr>
                <w:rFonts w:ascii="Arial" w:eastAsia="Calibri" w:hAnsi="Arial" w:cs="Arial"/>
                <w:color w:val="000000" w:themeColor="text1"/>
                <w:sz w:val="20"/>
                <w:szCs w:val="20"/>
              </w:rPr>
            </w:pPr>
            <w:r w:rsidRPr="00BF3922">
              <w:rPr>
                <w:rFonts w:ascii="Arial" w:eastAsia="Calibri" w:hAnsi="Arial" w:cs="Arial"/>
                <w:color w:val="000000" w:themeColor="text1"/>
                <w:sz w:val="20"/>
                <w:szCs w:val="20"/>
              </w:rPr>
              <w:t>1.305</w:t>
            </w:r>
          </w:p>
        </w:tc>
        <w:tc>
          <w:tcPr>
            <w:tcW w:w="1241" w:type="dxa"/>
            <w:tcBorders>
              <w:left w:val="nil"/>
              <w:bottom w:val="single" w:sz="4" w:space="0" w:color="auto"/>
              <w:right w:val="nil"/>
            </w:tcBorders>
            <w:shd w:val="clear" w:color="auto" w:fill="auto"/>
            <w:vAlign w:val="bottom"/>
          </w:tcPr>
          <w:p w14:paraId="07D73EA1" w14:textId="5A31067D" w:rsidR="00DB3140" w:rsidRPr="00EA554B" w:rsidRDefault="00DB3140" w:rsidP="00DB3140">
            <w:pPr>
              <w:suppressAutoHyphens/>
              <w:autoSpaceDN w:val="0"/>
              <w:jc w:val="right"/>
              <w:rPr>
                <w:rFonts w:ascii="Arial" w:eastAsia="Calibri" w:hAnsi="Arial" w:cs="Arial"/>
                <w:color w:val="000000" w:themeColor="text1"/>
                <w:sz w:val="20"/>
                <w:szCs w:val="20"/>
              </w:rPr>
            </w:pPr>
            <w:r>
              <w:rPr>
                <w:rFonts w:ascii="Arial" w:eastAsia="Calibri" w:hAnsi="Arial" w:cs="Arial"/>
                <w:sz w:val="20"/>
                <w:szCs w:val="20"/>
              </w:rPr>
              <w:t>71</w:t>
            </w:r>
          </w:p>
        </w:tc>
      </w:tr>
      <w:tr w:rsidR="00DB3140" w:rsidRPr="00EA554B" w14:paraId="7EDBA7AB" w14:textId="77777777" w:rsidTr="00DB3140">
        <w:trPr>
          <w:trHeight w:val="392"/>
        </w:trPr>
        <w:tc>
          <w:tcPr>
            <w:tcW w:w="4260" w:type="dxa"/>
            <w:tcBorders>
              <w:top w:val="nil"/>
              <w:left w:val="nil"/>
              <w:bottom w:val="nil"/>
              <w:right w:val="nil"/>
            </w:tcBorders>
            <w:shd w:val="clear" w:color="auto" w:fill="auto"/>
            <w:vAlign w:val="bottom"/>
          </w:tcPr>
          <w:p w14:paraId="44730A54" w14:textId="21489069" w:rsidR="00DB3140" w:rsidRPr="00CC7FB0" w:rsidRDefault="00DB3140" w:rsidP="00DB3140">
            <w:pPr>
              <w:suppressAutoHyphens/>
              <w:autoSpaceDN w:val="0"/>
              <w:rPr>
                <w:rFonts w:ascii="Arial" w:eastAsia="Calibri" w:hAnsi="Arial" w:cs="Arial"/>
                <w:i/>
                <w:iCs/>
                <w:color w:val="000000" w:themeColor="text1"/>
                <w:sz w:val="20"/>
                <w:szCs w:val="20"/>
              </w:rPr>
            </w:pPr>
            <w:r w:rsidRPr="00CC7FB0">
              <w:rPr>
                <w:rFonts w:ascii="Arial" w:eastAsia="Calibri" w:hAnsi="Arial" w:cs="Arial"/>
                <w:i/>
                <w:iCs/>
                <w:color w:val="000000" w:themeColor="text1"/>
                <w:sz w:val="20"/>
                <w:szCs w:val="20"/>
              </w:rPr>
              <w:t>Ukupno kroz dobit ili gubitak (bilješka 8)</w:t>
            </w:r>
          </w:p>
        </w:tc>
        <w:tc>
          <w:tcPr>
            <w:tcW w:w="1241" w:type="dxa"/>
            <w:tcBorders>
              <w:top w:val="single" w:sz="4" w:space="0" w:color="auto"/>
              <w:left w:val="nil"/>
              <w:bottom w:val="single" w:sz="4" w:space="0" w:color="auto"/>
              <w:right w:val="nil"/>
            </w:tcBorders>
            <w:shd w:val="clear" w:color="auto" w:fill="auto"/>
            <w:noWrap/>
            <w:vAlign w:val="bottom"/>
          </w:tcPr>
          <w:p w14:paraId="0C601FB2" w14:textId="6BF8ED18" w:rsidR="00DB3140" w:rsidRPr="00DB3140" w:rsidRDefault="00DB3140" w:rsidP="00DB3140">
            <w:pPr>
              <w:suppressAutoHyphens/>
              <w:autoSpaceDN w:val="0"/>
              <w:jc w:val="right"/>
              <w:rPr>
                <w:rFonts w:ascii="Arial" w:eastAsia="Calibri" w:hAnsi="Arial" w:cs="Arial"/>
                <w:i/>
                <w:iCs/>
                <w:color w:val="000000" w:themeColor="text1"/>
                <w:sz w:val="20"/>
                <w:szCs w:val="20"/>
              </w:rPr>
            </w:pPr>
            <w:r w:rsidRPr="00DB3140">
              <w:rPr>
                <w:rFonts w:ascii="Arial" w:hAnsi="Arial" w:cs="Arial"/>
                <w:i/>
                <w:iCs/>
                <w:sz w:val="20"/>
                <w:szCs w:val="20"/>
              </w:rPr>
              <w:t>1.305</w:t>
            </w:r>
          </w:p>
        </w:tc>
        <w:tc>
          <w:tcPr>
            <w:tcW w:w="1241" w:type="dxa"/>
            <w:tcBorders>
              <w:top w:val="single" w:sz="4" w:space="0" w:color="auto"/>
              <w:left w:val="nil"/>
              <w:bottom w:val="single" w:sz="4" w:space="0" w:color="auto"/>
              <w:right w:val="nil"/>
            </w:tcBorders>
            <w:shd w:val="clear" w:color="auto" w:fill="auto"/>
            <w:vAlign w:val="bottom"/>
          </w:tcPr>
          <w:p w14:paraId="5EACA7B5" w14:textId="7A0FC1C2" w:rsidR="00DB3140" w:rsidRPr="0067706A" w:rsidRDefault="00DB3140" w:rsidP="00DB3140">
            <w:pPr>
              <w:suppressAutoHyphens/>
              <w:autoSpaceDN w:val="0"/>
              <w:jc w:val="right"/>
              <w:rPr>
                <w:rFonts w:ascii="Arial" w:eastAsia="Calibri" w:hAnsi="Arial" w:cs="Arial"/>
                <w:i/>
                <w:iCs/>
                <w:color w:val="000000" w:themeColor="text1"/>
                <w:sz w:val="20"/>
                <w:szCs w:val="20"/>
              </w:rPr>
            </w:pPr>
            <w:r>
              <w:rPr>
                <w:rFonts w:ascii="Arial" w:eastAsia="Calibri" w:hAnsi="Arial" w:cs="Arial"/>
                <w:i/>
                <w:sz w:val="20"/>
                <w:szCs w:val="20"/>
              </w:rPr>
              <w:t>71</w:t>
            </w:r>
          </w:p>
        </w:tc>
        <w:tc>
          <w:tcPr>
            <w:tcW w:w="1241" w:type="dxa"/>
            <w:tcBorders>
              <w:top w:val="single" w:sz="4" w:space="0" w:color="auto"/>
              <w:left w:val="nil"/>
              <w:bottom w:val="single" w:sz="4" w:space="0" w:color="auto"/>
              <w:right w:val="nil"/>
            </w:tcBorders>
            <w:shd w:val="clear" w:color="auto" w:fill="auto"/>
            <w:vAlign w:val="bottom"/>
          </w:tcPr>
          <w:p w14:paraId="20AAC5DD" w14:textId="0B06D55B" w:rsidR="00DB3140" w:rsidRPr="00BF3922" w:rsidRDefault="00DB3140" w:rsidP="00DB3140">
            <w:pPr>
              <w:suppressAutoHyphens/>
              <w:autoSpaceDN w:val="0"/>
              <w:jc w:val="right"/>
              <w:rPr>
                <w:rFonts w:ascii="Arial" w:eastAsia="Calibri" w:hAnsi="Arial" w:cs="Arial"/>
                <w:i/>
                <w:iCs/>
                <w:color w:val="000000" w:themeColor="text1"/>
                <w:sz w:val="20"/>
                <w:szCs w:val="20"/>
              </w:rPr>
            </w:pPr>
            <w:r w:rsidRPr="00BF3922">
              <w:rPr>
                <w:rFonts w:ascii="Arial" w:eastAsia="Calibri" w:hAnsi="Arial" w:cs="Arial"/>
                <w:i/>
                <w:iCs/>
                <w:color w:val="000000" w:themeColor="text1"/>
                <w:sz w:val="20"/>
                <w:szCs w:val="20"/>
              </w:rPr>
              <w:t>1.305</w:t>
            </w:r>
          </w:p>
        </w:tc>
        <w:tc>
          <w:tcPr>
            <w:tcW w:w="1241" w:type="dxa"/>
            <w:tcBorders>
              <w:top w:val="single" w:sz="4" w:space="0" w:color="auto"/>
              <w:left w:val="nil"/>
              <w:bottom w:val="single" w:sz="4" w:space="0" w:color="auto"/>
              <w:right w:val="nil"/>
            </w:tcBorders>
            <w:shd w:val="clear" w:color="auto" w:fill="auto"/>
            <w:vAlign w:val="bottom"/>
          </w:tcPr>
          <w:p w14:paraId="52757378" w14:textId="25D2CCD8" w:rsidR="00DB3140" w:rsidRPr="00EA554B" w:rsidRDefault="00DB3140" w:rsidP="00DB3140">
            <w:pPr>
              <w:suppressAutoHyphens/>
              <w:autoSpaceDN w:val="0"/>
              <w:jc w:val="right"/>
              <w:rPr>
                <w:rFonts w:ascii="Arial" w:eastAsia="Calibri" w:hAnsi="Arial" w:cs="Arial"/>
                <w:i/>
                <w:iCs/>
                <w:color w:val="000000" w:themeColor="text1"/>
                <w:sz w:val="20"/>
                <w:szCs w:val="20"/>
              </w:rPr>
            </w:pPr>
            <w:r>
              <w:rPr>
                <w:rFonts w:ascii="Arial" w:eastAsia="Calibri" w:hAnsi="Arial" w:cs="Arial"/>
                <w:i/>
                <w:sz w:val="20"/>
                <w:szCs w:val="20"/>
              </w:rPr>
              <w:t>71</w:t>
            </w:r>
          </w:p>
        </w:tc>
      </w:tr>
      <w:tr w:rsidR="00DB3140" w:rsidRPr="00EA554B" w14:paraId="5635F620" w14:textId="77777777" w:rsidTr="00DB3140">
        <w:trPr>
          <w:trHeight w:val="303"/>
        </w:trPr>
        <w:tc>
          <w:tcPr>
            <w:tcW w:w="4260" w:type="dxa"/>
            <w:tcBorders>
              <w:top w:val="nil"/>
              <w:left w:val="nil"/>
              <w:bottom w:val="nil"/>
              <w:right w:val="nil"/>
            </w:tcBorders>
            <w:shd w:val="clear" w:color="auto" w:fill="auto"/>
            <w:vAlign w:val="bottom"/>
          </w:tcPr>
          <w:p w14:paraId="4BBC4C99" w14:textId="77777777" w:rsidR="00DB3140" w:rsidRPr="00CC7FB0" w:rsidRDefault="00DB3140" w:rsidP="00DB3140">
            <w:pPr>
              <w:suppressAutoHyphens/>
              <w:autoSpaceDN w:val="0"/>
              <w:rPr>
                <w:rFonts w:ascii="Arial" w:eastAsia="Calibri" w:hAnsi="Arial" w:cs="Arial"/>
                <w:iCs/>
                <w:color w:val="000000" w:themeColor="text1"/>
                <w:sz w:val="20"/>
                <w:szCs w:val="20"/>
              </w:rPr>
            </w:pPr>
            <w:r w:rsidRPr="00CC7FB0">
              <w:rPr>
                <w:rFonts w:ascii="Arial" w:eastAsia="Calibri" w:hAnsi="Arial" w:cs="Arial"/>
                <w:iCs/>
                <w:color w:val="000000" w:themeColor="text1"/>
                <w:sz w:val="20"/>
                <w:szCs w:val="20"/>
              </w:rPr>
              <w:t>Nerealizirani aktuarski dobitak/(gubitak)</w:t>
            </w:r>
          </w:p>
        </w:tc>
        <w:tc>
          <w:tcPr>
            <w:tcW w:w="1241" w:type="dxa"/>
            <w:tcBorders>
              <w:top w:val="single" w:sz="4" w:space="0" w:color="auto"/>
              <w:left w:val="nil"/>
              <w:right w:val="nil"/>
            </w:tcBorders>
            <w:shd w:val="clear" w:color="auto" w:fill="auto"/>
            <w:noWrap/>
            <w:vAlign w:val="bottom"/>
          </w:tcPr>
          <w:p w14:paraId="11D35EA1" w14:textId="47ACAC9A" w:rsidR="00DB3140" w:rsidRPr="00DB3140" w:rsidRDefault="00DB3140" w:rsidP="00DB3140">
            <w:pPr>
              <w:suppressAutoHyphens/>
              <w:autoSpaceDN w:val="0"/>
              <w:jc w:val="right"/>
              <w:rPr>
                <w:rFonts w:ascii="Arial" w:eastAsia="Calibri" w:hAnsi="Arial" w:cs="Arial"/>
                <w:color w:val="000000" w:themeColor="text1"/>
                <w:sz w:val="20"/>
                <w:szCs w:val="20"/>
              </w:rPr>
            </w:pPr>
            <w:r w:rsidRPr="00DB3140">
              <w:rPr>
                <w:rFonts w:ascii="Arial" w:hAnsi="Arial" w:cs="Arial"/>
                <w:sz w:val="20"/>
                <w:szCs w:val="20"/>
              </w:rPr>
              <w:t>-</w:t>
            </w:r>
          </w:p>
        </w:tc>
        <w:tc>
          <w:tcPr>
            <w:tcW w:w="1241" w:type="dxa"/>
            <w:tcBorders>
              <w:top w:val="single" w:sz="4" w:space="0" w:color="auto"/>
              <w:left w:val="nil"/>
              <w:right w:val="nil"/>
            </w:tcBorders>
            <w:shd w:val="clear" w:color="auto" w:fill="auto"/>
            <w:vAlign w:val="bottom"/>
          </w:tcPr>
          <w:p w14:paraId="74E2002E" w14:textId="4989294F" w:rsidR="00DB3140" w:rsidRPr="00EA554B" w:rsidRDefault="00DB3140" w:rsidP="00DB3140">
            <w:pPr>
              <w:suppressAutoHyphens/>
              <w:autoSpaceDN w:val="0"/>
              <w:jc w:val="right"/>
              <w:rPr>
                <w:rFonts w:ascii="Arial" w:eastAsia="Calibri" w:hAnsi="Arial" w:cs="Arial"/>
                <w:color w:val="000000" w:themeColor="text1"/>
                <w:sz w:val="20"/>
                <w:szCs w:val="20"/>
              </w:rPr>
            </w:pPr>
            <w:r w:rsidRPr="00531CE5">
              <w:rPr>
                <w:rFonts w:ascii="Arial" w:eastAsia="Calibri" w:hAnsi="Arial" w:cs="Arial"/>
                <w:sz w:val="20"/>
                <w:szCs w:val="20"/>
              </w:rPr>
              <w:t>1.450</w:t>
            </w:r>
          </w:p>
        </w:tc>
        <w:tc>
          <w:tcPr>
            <w:tcW w:w="1241" w:type="dxa"/>
            <w:tcBorders>
              <w:top w:val="single" w:sz="4" w:space="0" w:color="auto"/>
              <w:left w:val="nil"/>
              <w:right w:val="nil"/>
            </w:tcBorders>
            <w:shd w:val="clear" w:color="auto" w:fill="auto"/>
            <w:vAlign w:val="bottom"/>
          </w:tcPr>
          <w:p w14:paraId="1D2DDFAC" w14:textId="2033C579" w:rsidR="00DB3140" w:rsidRPr="00BF3922" w:rsidRDefault="00DB3140" w:rsidP="00DB3140">
            <w:pPr>
              <w:suppressAutoHyphens/>
              <w:autoSpaceDN w:val="0"/>
              <w:jc w:val="right"/>
              <w:rPr>
                <w:rFonts w:ascii="Arial" w:eastAsia="Calibri" w:hAnsi="Arial" w:cs="Arial"/>
                <w:color w:val="000000" w:themeColor="text1"/>
                <w:sz w:val="20"/>
                <w:szCs w:val="20"/>
              </w:rPr>
            </w:pPr>
            <w:r w:rsidRPr="00BF3922">
              <w:rPr>
                <w:rFonts w:ascii="Arial" w:eastAsia="Calibri" w:hAnsi="Arial" w:cs="Arial"/>
                <w:color w:val="000000" w:themeColor="text1"/>
                <w:sz w:val="20"/>
                <w:szCs w:val="20"/>
              </w:rPr>
              <w:t>-</w:t>
            </w:r>
          </w:p>
        </w:tc>
        <w:tc>
          <w:tcPr>
            <w:tcW w:w="1241" w:type="dxa"/>
            <w:tcBorders>
              <w:top w:val="single" w:sz="4" w:space="0" w:color="auto"/>
              <w:left w:val="nil"/>
              <w:right w:val="nil"/>
            </w:tcBorders>
            <w:shd w:val="clear" w:color="auto" w:fill="auto"/>
            <w:vAlign w:val="bottom"/>
          </w:tcPr>
          <w:p w14:paraId="03EA7FD0" w14:textId="23092F5F" w:rsidR="00DB3140" w:rsidRPr="00EA554B" w:rsidRDefault="00DB3140" w:rsidP="00DB3140">
            <w:pPr>
              <w:suppressAutoHyphens/>
              <w:autoSpaceDN w:val="0"/>
              <w:jc w:val="right"/>
              <w:rPr>
                <w:rFonts w:ascii="Arial" w:eastAsia="Calibri" w:hAnsi="Arial" w:cs="Arial"/>
                <w:color w:val="000000" w:themeColor="text1"/>
                <w:sz w:val="20"/>
                <w:szCs w:val="20"/>
              </w:rPr>
            </w:pPr>
            <w:r w:rsidRPr="00531CE5">
              <w:rPr>
                <w:rFonts w:ascii="Arial" w:eastAsia="Calibri" w:hAnsi="Arial" w:cs="Arial"/>
                <w:sz w:val="20"/>
                <w:szCs w:val="20"/>
              </w:rPr>
              <w:t>1.450</w:t>
            </w:r>
          </w:p>
        </w:tc>
      </w:tr>
      <w:tr w:rsidR="00DB3140" w:rsidRPr="00EA554B" w14:paraId="41A63009" w14:textId="77777777" w:rsidTr="00DB3140">
        <w:trPr>
          <w:trHeight w:val="303"/>
        </w:trPr>
        <w:tc>
          <w:tcPr>
            <w:tcW w:w="4260" w:type="dxa"/>
            <w:tcBorders>
              <w:top w:val="nil"/>
              <w:left w:val="nil"/>
              <w:bottom w:val="nil"/>
              <w:right w:val="nil"/>
            </w:tcBorders>
            <w:shd w:val="clear" w:color="auto" w:fill="auto"/>
            <w:vAlign w:val="bottom"/>
          </w:tcPr>
          <w:p w14:paraId="591AC89B" w14:textId="3373640D" w:rsidR="00DB3140" w:rsidRPr="00CC7FB0" w:rsidRDefault="00DB3140" w:rsidP="00DB3140">
            <w:pPr>
              <w:suppressAutoHyphens/>
              <w:autoSpaceDN w:val="0"/>
              <w:rPr>
                <w:rFonts w:ascii="Arial" w:eastAsia="Calibri" w:hAnsi="Arial" w:cs="Arial"/>
                <w:iCs/>
                <w:color w:val="000000" w:themeColor="text1"/>
                <w:sz w:val="20"/>
                <w:szCs w:val="20"/>
              </w:rPr>
            </w:pPr>
            <w:r>
              <w:rPr>
                <w:rFonts w:ascii="Arial" w:eastAsia="Calibri" w:hAnsi="Arial" w:cs="Arial"/>
                <w:iCs/>
                <w:color w:val="000000" w:themeColor="text1"/>
                <w:sz w:val="20"/>
                <w:szCs w:val="20"/>
              </w:rPr>
              <w:t>Ostala usklađenja</w:t>
            </w:r>
          </w:p>
        </w:tc>
        <w:tc>
          <w:tcPr>
            <w:tcW w:w="1241" w:type="dxa"/>
            <w:tcBorders>
              <w:left w:val="nil"/>
              <w:right w:val="nil"/>
            </w:tcBorders>
            <w:shd w:val="clear" w:color="auto" w:fill="auto"/>
            <w:noWrap/>
            <w:vAlign w:val="bottom"/>
          </w:tcPr>
          <w:p w14:paraId="738EB759" w14:textId="655B6308" w:rsidR="00DB3140" w:rsidRPr="00DB3140" w:rsidRDefault="00847EB4" w:rsidP="00DB3140">
            <w:pPr>
              <w:suppressAutoHyphens/>
              <w:autoSpaceDN w:val="0"/>
              <w:jc w:val="right"/>
              <w:rPr>
                <w:rFonts w:ascii="Arial" w:eastAsia="Calibri" w:hAnsi="Arial" w:cs="Arial"/>
                <w:color w:val="000000" w:themeColor="text1"/>
                <w:sz w:val="20"/>
                <w:szCs w:val="20"/>
              </w:rPr>
            </w:pPr>
            <w:r>
              <w:rPr>
                <w:rFonts w:ascii="Arial" w:hAnsi="Arial" w:cs="Arial"/>
                <w:sz w:val="20"/>
                <w:szCs w:val="20"/>
              </w:rPr>
              <w:t>(2)</w:t>
            </w:r>
          </w:p>
        </w:tc>
        <w:tc>
          <w:tcPr>
            <w:tcW w:w="1241" w:type="dxa"/>
            <w:tcBorders>
              <w:left w:val="nil"/>
              <w:bottom w:val="single" w:sz="4" w:space="0" w:color="auto"/>
              <w:right w:val="nil"/>
            </w:tcBorders>
            <w:shd w:val="clear" w:color="auto" w:fill="auto"/>
            <w:vAlign w:val="bottom"/>
          </w:tcPr>
          <w:p w14:paraId="451CD7C1" w14:textId="2E02A307" w:rsidR="00DB3140" w:rsidRPr="00EA554B" w:rsidRDefault="00DB3140" w:rsidP="00DB3140">
            <w:pPr>
              <w:suppressAutoHyphens/>
              <w:autoSpaceDN w:val="0"/>
              <w:jc w:val="right"/>
              <w:rPr>
                <w:rFonts w:ascii="Arial" w:eastAsia="Calibri" w:hAnsi="Arial" w:cs="Arial"/>
                <w:color w:val="000000" w:themeColor="text1"/>
                <w:sz w:val="20"/>
                <w:szCs w:val="20"/>
              </w:rPr>
            </w:pPr>
            <w:r>
              <w:rPr>
                <w:rFonts w:ascii="Arial" w:eastAsia="Calibri" w:hAnsi="Arial" w:cs="Arial"/>
                <w:sz w:val="20"/>
                <w:szCs w:val="20"/>
              </w:rPr>
              <w:t>(3)</w:t>
            </w:r>
          </w:p>
        </w:tc>
        <w:tc>
          <w:tcPr>
            <w:tcW w:w="1241" w:type="dxa"/>
            <w:tcBorders>
              <w:left w:val="nil"/>
              <w:right w:val="nil"/>
            </w:tcBorders>
            <w:shd w:val="clear" w:color="auto" w:fill="auto"/>
            <w:vAlign w:val="bottom"/>
          </w:tcPr>
          <w:p w14:paraId="7E8DDBDB" w14:textId="14291568" w:rsidR="00DB3140" w:rsidRPr="00BF3922" w:rsidRDefault="00DB3140" w:rsidP="00DB3140">
            <w:pPr>
              <w:suppressAutoHyphens/>
              <w:autoSpaceDN w:val="0"/>
              <w:jc w:val="right"/>
              <w:rPr>
                <w:rFonts w:ascii="Arial" w:eastAsia="Calibri" w:hAnsi="Arial" w:cs="Arial"/>
                <w:color w:val="000000" w:themeColor="text1"/>
                <w:sz w:val="20"/>
                <w:szCs w:val="20"/>
              </w:rPr>
            </w:pPr>
            <w:r w:rsidRPr="00BF3922">
              <w:rPr>
                <w:rFonts w:ascii="Arial" w:eastAsia="Calibri" w:hAnsi="Arial" w:cs="Arial"/>
                <w:color w:val="000000" w:themeColor="text1"/>
                <w:sz w:val="20"/>
                <w:szCs w:val="20"/>
              </w:rPr>
              <w:t>-</w:t>
            </w:r>
          </w:p>
        </w:tc>
        <w:tc>
          <w:tcPr>
            <w:tcW w:w="1241" w:type="dxa"/>
            <w:tcBorders>
              <w:left w:val="nil"/>
              <w:bottom w:val="single" w:sz="4" w:space="0" w:color="auto"/>
              <w:right w:val="nil"/>
            </w:tcBorders>
            <w:shd w:val="clear" w:color="auto" w:fill="auto"/>
            <w:vAlign w:val="bottom"/>
          </w:tcPr>
          <w:p w14:paraId="23384B1C" w14:textId="326B0C21" w:rsidR="00DB3140" w:rsidRPr="00EA554B" w:rsidRDefault="00DB3140" w:rsidP="00DB3140">
            <w:pPr>
              <w:suppressAutoHyphens/>
              <w:autoSpaceDN w:val="0"/>
              <w:jc w:val="right"/>
              <w:rPr>
                <w:rFonts w:ascii="Arial" w:eastAsia="Calibri" w:hAnsi="Arial" w:cs="Arial"/>
                <w:color w:val="000000" w:themeColor="text1"/>
                <w:sz w:val="20"/>
                <w:szCs w:val="20"/>
              </w:rPr>
            </w:pPr>
            <w:r>
              <w:rPr>
                <w:rFonts w:ascii="Arial" w:eastAsia="Calibri" w:hAnsi="Arial" w:cs="Arial"/>
                <w:sz w:val="20"/>
                <w:szCs w:val="20"/>
              </w:rPr>
              <w:t>-</w:t>
            </w:r>
          </w:p>
        </w:tc>
      </w:tr>
      <w:tr w:rsidR="00DB3140" w:rsidRPr="00EA554B" w14:paraId="14A8A312" w14:textId="77777777" w:rsidTr="00DB3140">
        <w:trPr>
          <w:trHeight w:val="392"/>
        </w:trPr>
        <w:tc>
          <w:tcPr>
            <w:tcW w:w="4260" w:type="dxa"/>
            <w:tcBorders>
              <w:top w:val="nil"/>
              <w:left w:val="nil"/>
              <w:bottom w:val="nil"/>
              <w:right w:val="nil"/>
            </w:tcBorders>
            <w:shd w:val="clear" w:color="auto" w:fill="auto"/>
            <w:vAlign w:val="bottom"/>
          </w:tcPr>
          <w:p w14:paraId="6F2FFFDD" w14:textId="77777777" w:rsidR="00DB3140" w:rsidRPr="00EA554B" w:rsidRDefault="00DB3140" w:rsidP="00DB3140">
            <w:pPr>
              <w:suppressAutoHyphens/>
              <w:autoSpaceDN w:val="0"/>
              <w:rPr>
                <w:rFonts w:ascii="Arial" w:eastAsia="Calibri" w:hAnsi="Arial" w:cs="Arial"/>
                <w:b/>
                <w:bCs/>
                <w:color w:val="000000" w:themeColor="text1"/>
                <w:sz w:val="20"/>
                <w:szCs w:val="20"/>
              </w:rPr>
            </w:pPr>
            <w:r w:rsidRPr="00EA554B">
              <w:rPr>
                <w:rFonts w:ascii="Arial" w:eastAsia="Calibri" w:hAnsi="Arial" w:cs="Arial"/>
                <w:b/>
                <w:bCs/>
                <w:color w:val="000000" w:themeColor="text1"/>
                <w:sz w:val="20"/>
                <w:szCs w:val="20"/>
              </w:rPr>
              <w:t>Stanje na kraju izvještajnog razdoblja – Rezerviranja za očekivane gubitke po ostalim obvezama</w:t>
            </w:r>
          </w:p>
        </w:tc>
        <w:tc>
          <w:tcPr>
            <w:tcW w:w="1241" w:type="dxa"/>
            <w:tcBorders>
              <w:top w:val="single" w:sz="4" w:space="0" w:color="auto"/>
              <w:left w:val="nil"/>
              <w:bottom w:val="single" w:sz="12" w:space="0" w:color="auto"/>
              <w:right w:val="nil"/>
            </w:tcBorders>
            <w:shd w:val="clear" w:color="auto" w:fill="auto"/>
            <w:noWrap/>
            <w:vAlign w:val="bottom"/>
          </w:tcPr>
          <w:p w14:paraId="1F77C41D" w14:textId="61541CEF" w:rsidR="00DB3140" w:rsidRPr="00DB3140" w:rsidRDefault="00DB3140" w:rsidP="00DB3140">
            <w:pPr>
              <w:suppressAutoHyphens/>
              <w:autoSpaceDN w:val="0"/>
              <w:jc w:val="right"/>
              <w:rPr>
                <w:rFonts w:ascii="Arial" w:eastAsia="Calibri" w:hAnsi="Arial" w:cs="Arial"/>
                <w:b/>
                <w:bCs/>
                <w:color w:val="000000" w:themeColor="text1"/>
                <w:sz w:val="20"/>
                <w:szCs w:val="20"/>
              </w:rPr>
            </w:pPr>
            <w:r w:rsidRPr="00DB3140">
              <w:rPr>
                <w:rFonts w:ascii="Arial" w:hAnsi="Arial" w:cs="Arial"/>
                <w:b/>
                <w:bCs/>
                <w:sz w:val="20"/>
                <w:szCs w:val="20"/>
              </w:rPr>
              <w:t>11.048</w:t>
            </w:r>
          </w:p>
        </w:tc>
        <w:tc>
          <w:tcPr>
            <w:tcW w:w="1241" w:type="dxa"/>
            <w:tcBorders>
              <w:top w:val="single" w:sz="4" w:space="0" w:color="auto"/>
              <w:left w:val="nil"/>
              <w:bottom w:val="single" w:sz="12" w:space="0" w:color="auto"/>
              <w:right w:val="nil"/>
            </w:tcBorders>
            <w:shd w:val="clear" w:color="auto" w:fill="auto"/>
            <w:vAlign w:val="bottom"/>
          </w:tcPr>
          <w:p w14:paraId="50AB45B4" w14:textId="36350987" w:rsidR="00DB3140" w:rsidRPr="004A2725" w:rsidRDefault="00DB3140" w:rsidP="00DB3140">
            <w:pPr>
              <w:suppressAutoHyphens/>
              <w:autoSpaceDN w:val="0"/>
              <w:jc w:val="right"/>
              <w:rPr>
                <w:rFonts w:ascii="Arial" w:eastAsia="Calibri" w:hAnsi="Arial" w:cs="Arial"/>
                <w:b/>
                <w:bCs/>
                <w:color w:val="000000" w:themeColor="text1"/>
                <w:sz w:val="20"/>
                <w:szCs w:val="20"/>
              </w:rPr>
            </w:pPr>
            <w:r w:rsidRPr="00531CE5">
              <w:rPr>
                <w:rFonts w:ascii="Arial" w:eastAsia="Calibri" w:hAnsi="Arial" w:cs="Arial"/>
                <w:b/>
                <w:sz w:val="20"/>
                <w:szCs w:val="20"/>
              </w:rPr>
              <w:t>9.74</w:t>
            </w:r>
            <w:r>
              <w:rPr>
                <w:rFonts w:ascii="Arial" w:eastAsia="Calibri" w:hAnsi="Arial" w:cs="Arial"/>
                <w:b/>
                <w:sz w:val="20"/>
                <w:szCs w:val="20"/>
              </w:rPr>
              <w:t>5</w:t>
            </w:r>
          </w:p>
        </w:tc>
        <w:tc>
          <w:tcPr>
            <w:tcW w:w="1241" w:type="dxa"/>
            <w:tcBorders>
              <w:top w:val="single" w:sz="4" w:space="0" w:color="auto"/>
              <w:left w:val="nil"/>
              <w:bottom w:val="single" w:sz="12" w:space="0" w:color="auto"/>
              <w:right w:val="nil"/>
            </w:tcBorders>
            <w:shd w:val="clear" w:color="auto" w:fill="auto"/>
            <w:vAlign w:val="bottom"/>
          </w:tcPr>
          <w:p w14:paraId="559DFAEF" w14:textId="6578EA1C" w:rsidR="00DB3140" w:rsidRPr="00BF3922" w:rsidRDefault="00DB3140" w:rsidP="00DB3140">
            <w:pPr>
              <w:suppressAutoHyphens/>
              <w:autoSpaceDN w:val="0"/>
              <w:jc w:val="right"/>
              <w:rPr>
                <w:rFonts w:ascii="Arial" w:eastAsia="Calibri" w:hAnsi="Arial" w:cs="Arial"/>
                <w:b/>
                <w:bCs/>
                <w:color w:val="000000" w:themeColor="text1"/>
                <w:sz w:val="20"/>
                <w:szCs w:val="20"/>
              </w:rPr>
            </w:pPr>
            <w:r w:rsidRPr="00BF3922">
              <w:rPr>
                <w:rFonts w:ascii="Arial" w:eastAsia="Calibri" w:hAnsi="Arial" w:cs="Arial"/>
                <w:b/>
                <w:bCs/>
                <w:color w:val="000000" w:themeColor="text1"/>
                <w:sz w:val="20"/>
                <w:szCs w:val="20"/>
              </w:rPr>
              <w:t>11.048</w:t>
            </w:r>
          </w:p>
        </w:tc>
        <w:tc>
          <w:tcPr>
            <w:tcW w:w="1241" w:type="dxa"/>
            <w:tcBorders>
              <w:top w:val="single" w:sz="4" w:space="0" w:color="auto"/>
              <w:left w:val="nil"/>
              <w:bottom w:val="single" w:sz="12" w:space="0" w:color="auto"/>
              <w:right w:val="nil"/>
            </w:tcBorders>
            <w:shd w:val="clear" w:color="auto" w:fill="auto"/>
            <w:vAlign w:val="bottom"/>
          </w:tcPr>
          <w:p w14:paraId="28B075EC" w14:textId="4FBD25CE" w:rsidR="00DB3140" w:rsidRPr="00EA554B" w:rsidRDefault="00DB3140" w:rsidP="00DB3140">
            <w:pPr>
              <w:suppressAutoHyphens/>
              <w:autoSpaceDN w:val="0"/>
              <w:jc w:val="right"/>
              <w:rPr>
                <w:rFonts w:ascii="Arial" w:eastAsia="Calibri" w:hAnsi="Arial" w:cs="Arial"/>
                <w:b/>
                <w:bCs/>
                <w:color w:val="000000" w:themeColor="text1"/>
                <w:sz w:val="20"/>
                <w:szCs w:val="20"/>
              </w:rPr>
            </w:pPr>
            <w:r w:rsidRPr="00531CE5">
              <w:rPr>
                <w:rFonts w:ascii="Arial" w:eastAsia="Calibri" w:hAnsi="Arial" w:cs="Arial"/>
                <w:b/>
                <w:sz w:val="20"/>
                <w:szCs w:val="20"/>
              </w:rPr>
              <w:t>9.743</w:t>
            </w:r>
          </w:p>
        </w:tc>
      </w:tr>
    </w:tbl>
    <w:p w14:paraId="2484B631" w14:textId="77777777" w:rsidR="00FC2BEF" w:rsidRPr="003D1614" w:rsidRDefault="00FC2BEF" w:rsidP="00FC2BEF">
      <w:pPr>
        <w:suppressAutoHyphens/>
        <w:autoSpaceDN w:val="0"/>
        <w:jc w:val="both"/>
        <w:rPr>
          <w:rFonts w:ascii="Arial" w:eastAsia="Times New Roman" w:hAnsi="Arial" w:cs="Arial"/>
          <w:color w:val="000000" w:themeColor="text1"/>
          <w:sz w:val="20"/>
          <w:szCs w:val="20"/>
        </w:rPr>
      </w:pPr>
    </w:p>
    <w:p w14:paraId="124E48AD" w14:textId="77777777" w:rsidR="00FC2BEF" w:rsidRPr="003D1614" w:rsidRDefault="00FC2BEF" w:rsidP="00FC2BEF">
      <w:pPr>
        <w:suppressAutoHyphens/>
        <w:autoSpaceDN w:val="0"/>
        <w:jc w:val="both"/>
        <w:rPr>
          <w:rFonts w:ascii="Arial" w:eastAsia="Times New Roman" w:hAnsi="Arial" w:cs="Arial"/>
          <w:color w:val="000000" w:themeColor="text1"/>
          <w:sz w:val="20"/>
          <w:szCs w:val="20"/>
        </w:rPr>
      </w:pPr>
    </w:p>
    <w:p w14:paraId="5AED9BCA" w14:textId="556F1811" w:rsidR="00FC2BEF" w:rsidRPr="003D1614" w:rsidRDefault="00FC2BEF" w:rsidP="00FC2BEF">
      <w:pPr>
        <w:keepNext/>
        <w:suppressAutoHyphens/>
        <w:autoSpaceDN w:val="0"/>
        <w:jc w:val="both"/>
        <w:outlineLvl w:val="0"/>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Neto dobit/(gubitak) od tečajnih razlika po rezerviranjima za očekivane gubitke prikazana je unutar Neto prihoda/(rashoda) od financijskih aktivnosti u Računu dobiti i gubitka.</w:t>
      </w:r>
    </w:p>
    <w:p w14:paraId="21FB16D3" w14:textId="38A75D8B" w:rsidR="00FC2BEF" w:rsidRPr="003D1614" w:rsidRDefault="00FC2BEF" w:rsidP="00FC2BEF">
      <w:pPr>
        <w:keepNext/>
        <w:suppressAutoHyphens/>
        <w:autoSpaceDN w:val="0"/>
        <w:jc w:val="both"/>
        <w:outlineLvl w:val="0"/>
        <w:rPr>
          <w:rFonts w:ascii="Arial" w:eastAsia="Calibri" w:hAnsi="Arial" w:cs="Arial"/>
          <w:color w:val="000000" w:themeColor="text1"/>
          <w:sz w:val="20"/>
          <w:szCs w:val="20"/>
        </w:rPr>
      </w:pPr>
    </w:p>
    <w:p w14:paraId="090CBCB1" w14:textId="1F1F2963" w:rsidR="002479D0" w:rsidRPr="003D1614" w:rsidRDefault="002479D0" w:rsidP="002479D0">
      <w:pPr>
        <w:jc w:val="both"/>
        <w:rPr>
          <w:rFonts w:ascii="Arial" w:eastAsia="Times New Roman" w:hAnsi="Arial" w:cs="Arial"/>
          <w:color w:val="000000" w:themeColor="text1"/>
          <w:sz w:val="20"/>
          <w:szCs w:val="20"/>
        </w:rPr>
      </w:pPr>
      <w:r w:rsidRPr="002479D0">
        <w:rPr>
          <w:rFonts w:ascii="Arial" w:eastAsia="Times New Roman" w:hAnsi="Arial" w:cs="Arial"/>
          <w:sz w:val="20"/>
          <w:szCs w:val="20"/>
          <w:lang w:eastAsia="hr-HR"/>
        </w:rPr>
        <w:t xml:space="preserve">Od </w:t>
      </w:r>
      <w:r w:rsidRPr="00617B8A">
        <w:rPr>
          <w:rFonts w:ascii="Arial" w:eastAsia="Times New Roman" w:hAnsi="Arial" w:cs="Arial"/>
          <w:sz w:val="20"/>
          <w:szCs w:val="20"/>
          <w:lang w:eastAsia="hr-HR"/>
        </w:rPr>
        <w:t xml:space="preserve">ukupnog iznosa rezerviranja za garancije i preuzete obveze na financijske institucije se odnosi iznos od </w:t>
      </w:r>
      <w:r w:rsidR="00965D54">
        <w:rPr>
          <w:rFonts w:ascii="Arial" w:eastAsia="Times New Roman" w:hAnsi="Arial" w:cs="Arial"/>
          <w:sz w:val="20"/>
          <w:szCs w:val="20"/>
          <w:lang w:eastAsia="hr-HR"/>
        </w:rPr>
        <w:t>92</w:t>
      </w:r>
      <w:r w:rsidR="00746400" w:rsidRPr="00617B8A">
        <w:rPr>
          <w:rFonts w:ascii="Arial" w:eastAsia="Times New Roman" w:hAnsi="Arial" w:cs="Arial"/>
          <w:sz w:val="20"/>
          <w:szCs w:val="20"/>
          <w:lang w:eastAsia="hr-HR"/>
        </w:rPr>
        <w:t xml:space="preserve"> </w:t>
      </w:r>
      <w:r w:rsidRPr="00617B8A">
        <w:rPr>
          <w:rFonts w:ascii="Arial" w:eastAsia="Times New Roman" w:hAnsi="Arial" w:cs="Arial"/>
          <w:sz w:val="20"/>
          <w:szCs w:val="20"/>
          <w:lang w:eastAsia="hr-HR"/>
        </w:rPr>
        <w:t>tisuć</w:t>
      </w:r>
      <w:r w:rsidR="0089589B">
        <w:rPr>
          <w:rFonts w:ascii="Arial" w:eastAsia="Times New Roman" w:hAnsi="Arial" w:cs="Arial"/>
          <w:sz w:val="20"/>
          <w:szCs w:val="20"/>
          <w:lang w:eastAsia="hr-HR"/>
        </w:rPr>
        <w:t>e</w:t>
      </w:r>
      <w:r w:rsidRPr="00617B8A">
        <w:rPr>
          <w:rFonts w:ascii="Arial" w:eastAsia="Times New Roman" w:hAnsi="Arial" w:cs="Arial"/>
          <w:sz w:val="20"/>
          <w:szCs w:val="20"/>
          <w:lang w:eastAsia="hr-HR"/>
        </w:rPr>
        <w:t xml:space="preserve"> eura (31. prosinca 202</w:t>
      </w:r>
      <w:r w:rsidR="007D07A8">
        <w:rPr>
          <w:rFonts w:ascii="Arial" w:eastAsia="Times New Roman" w:hAnsi="Arial" w:cs="Arial"/>
          <w:sz w:val="20"/>
          <w:szCs w:val="20"/>
          <w:lang w:eastAsia="hr-HR"/>
        </w:rPr>
        <w:t>3</w:t>
      </w:r>
      <w:r w:rsidRPr="00617B8A">
        <w:rPr>
          <w:rFonts w:ascii="Arial" w:eastAsia="Times New Roman" w:hAnsi="Arial" w:cs="Arial"/>
          <w:sz w:val="20"/>
          <w:szCs w:val="20"/>
          <w:lang w:eastAsia="hr-HR"/>
        </w:rPr>
        <w:t xml:space="preserve">.: </w:t>
      </w:r>
      <w:r w:rsidR="0031788E">
        <w:rPr>
          <w:rFonts w:ascii="Arial" w:eastAsia="Times New Roman" w:hAnsi="Arial" w:cs="Arial"/>
          <w:sz w:val="20"/>
          <w:szCs w:val="20"/>
          <w:lang w:eastAsia="hr-HR"/>
        </w:rPr>
        <w:t>816</w:t>
      </w:r>
      <w:r w:rsidRPr="00617B8A">
        <w:rPr>
          <w:rFonts w:ascii="Arial" w:eastAsia="Times New Roman" w:hAnsi="Arial" w:cs="Arial"/>
          <w:sz w:val="20"/>
          <w:szCs w:val="20"/>
          <w:lang w:eastAsia="hr-HR"/>
        </w:rPr>
        <w:t xml:space="preserve"> tisuća eura), domaća trgovačka društva iznos od </w:t>
      </w:r>
      <w:r w:rsidR="00175B56">
        <w:rPr>
          <w:rFonts w:ascii="Arial" w:eastAsia="Times New Roman" w:hAnsi="Arial" w:cs="Arial"/>
          <w:sz w:val="20"/>
          <w:szCs w:val="20"/>
          <w:lang w:eastAsia="hr-HR"/>
        </w:rPr>
        <w:t>8.023</w:t>
      </w:r>
      <w:r w:rsidR="00746400" w:rsidRPr="00617B8A">
        <w:rPr>
          <w:rFonts w:ascii="Arial" w:eastAsia="Times New Roman" w:hAnsi="Arial" w:cs="Arial"/>
          <w:sz w:val="20"/>
          <w:szCs w:val="20"/>
          <w:lang w:eastAsia="hr-HR"/>
        </w:rPr>
        <w:t xml:space="preserve"> </w:t>
      </w:r>
      <w:r w:rsidRPr="00617B8A">
        <w:rPr>
          <w:rFonts w:ascii="Arial" w:eastAsia="Times New Roman" w:hAnsi="Arial" w:cs="Arial"/>
          <w:sz w:val="20"/>
          <w:szCs w:val="20"/>
          <w:lang w:eastAsia="hr-HR"/>
        </w:rPr>
        <w:t>tisuća eura (31. prosinca 202</w:t>
      </w:r>
      <w:r w:rsidR="0031788E">
        <w:rPr>
          <w:rFonts w:ascii="Arial" w:eastAsia="Times New Roman" w:hAnsi="Arial" w:cs="Arial"/>
          <w:sz w:val="20"/>
          <w:szCs w:val="20"/>
          <w:lang w:eastAsia="hr-HR"/>
        </w:rPr>
        <w:t>3</w:t>
      </w:r>
      <w:r w:rsidRPr="00617B8A">
        <w:rPr>
          <w:rFonts w:ascii="Arial" w:eastAsia="Times New Roman" w:hAnsi="Arial" w:cs="Arial"/>
          <w:sz w:val="20"/>
          <w:szCs w:val="20"/>
          <w:lang w:eastAsia="hr-HR"/>
        </w:rPr>
        <w:t>.: 1</w:t>
      </w:r>
      <w:r w:rsidR="0031788E">
        <w:rPr>
          <w:rFonts w:ascii="Arial" w:eastAsia="Times New Roman" w:hAnsi="Arial" w:cs="Arial"/>
          <w:sz w:val="20"/>
          <w:szCs w:val="20"/>
          <w:lang w:eastAsia="hr-HR"/>
        </w:rPr>
        <w:t>3</w:t>
      </w:r>
      <w:r w:rsidRPr="00617B8A">
        <w:rPr>
          <w:rFonts w:ascii="Arial" w:eastAsia="Times New Roman" w:hAnsi="Arial" w:cs="Arial"/>
          <w:sz w:val="20"/>
          <w:szCs w:val="20"/>
          <w:lang w:eastAsia="hr-HR"/>
        </w:rPr>
        <w:t>.</w:t>
      </w:r>
      <w:r w:rsidR="0031788E">
        <w:rPr>
          <w:rFonts w:ascii="Arial" w:eastAsia="Times New Roman" w:hAnsi="Arial" w:cs="Arial"/>
          <w:sz w:val="20"/>
          <w:szCs w:val="20"/>
          <w:lang w:eastAsia="hr-HR"/>
        </w:rPr>
        <w:t>524</w:t>
      </w:r>
      <w:r w:rsidRPr="00617B8A">
        <w:rPr>
          <w:rFonts w:ascii="Arial" w:eastAsia="Times New Roman" w:hAnsi="Arial" w:cs="Arial"/>
          <w:sz w:val="20"/>
          <w:szCs w:val="20"/>
          <w:lang w:eastAsia="hr-HR"/>
        </w:rPr>
        <w:t xml:space="preserve"> tisuća eura), javni sektor iznos od </w:t>
      </w:r>
      <w:r w:rsidR="00175B56">
        <w:rPr>
          <w:rFonts w:ascii="Arial" w:eastAsia="Times New Roman" w:hAnsi="Arial" w:cs="Arial"/>
          <w:sz w:val="20"/>
          <w:szCs w:val="20"/>
          <w:lang w:eastAsia="hr-HR"/>
        </w:rPr>
        <w:t xml:space="preserve">61 </w:t>
      </w:r>
      <w:r w:rsidRPr="00617B8A">
        <w:rPr>
          <w:rFonts w:ascii="Arial" w:eastAsia="Times New Roman" w:hAnsi="Arial" w:cs="Arial"/>
          <w:sz w:val="20"/>
          <w:szCs w:val="20"/>
          <w:lang w:eastAsia="hr-HR"/>
        </w:rPr>
        <w:t>tisuća eura (31. prosinca 202</w:t>
      </w:r>
      <w:r w:rsidR="0031788E">
        <w:rPr>
          <w:rFonts w:ascii="Arial" w:eastAsia="Times New Roman" w:hAnsi="Arial" w:cs="Arial"/>
          <w:sz w:val="20"/>
          <w:szCs w:val="20"/>
          <w:lang w:eastAsia="hr-HR"/>
        </w:rPr>
        <w:t>3</w:t>
      </w:r>
      <w:r w:rsidRPr="00617B8A">
        <w:rPr>
          <w:rFonts w:ascii="Arial" w:eastAsia="Times New Roman" w:hAnsi="Arial" w:cs="Arial"/>
          <w:sz w:val="20"/>
          <w:szCs w:val="20"/>
          <w:lang w:eastAsia="hr-HR"/>
        </w:rPr>
        <w:t xml:space="preserve">.: </w:t>
      </w:r>
      <w:r w:rsidR="0031788E">
        <w:rPr>
          <w:rFonts w:ascii="Arial" w:eastAsia="Times New Roman" w:hAnsi="Arial" w:cs="Arial"/>
          <w:sz w:val="20"/>
          <w:szCs w:val="20"/>
          <w:lang w:eastAsia="hr-HR"/>
        </w:rPr>
        <w:t>44</w:t>
      </w:r>
      <w:r w:rsidRPr="00617B8A">
        <w:rPr>
          <w:rFonts w:ascii="Arial" w:eastAsia="Times New Roman" w:hAnsi="Arial" w:cs="Arial"/>
          <w:sz w:val="20"/>
          <w:szCs w:val="20"/>
          <w:lang w:eastAsia="hr-HR"/>
        </w:rPr>
        <w:t xml:space="preserve"> tisuća eura),</w:t>
      </w:r>
      <w:r w:rsidR="00EA5814">
        <w:rPr>
          <w:rFonts w:ascii="Arial" w:eastAsia="Times New Roman" w:hAnsi="Arial" w:cs="Arial"/>
          <w:sz w:val="20"/>
          <w:szCs w:val="20"/>
          <w:lang w:eastAsia="hr-HR"/>
        </w:rPr>
        <w:t xml:space="preserve"> </w:t>
      </w:r>
      <w:r w:rsidRPr="00617B8A">
        <w:rPr>
          <w:rFonts w:ascii="Arial" w:eastAsia="Times New Roman" w:hAnsi="Arial" w:cs="Arial"/>
          <w:sz w:val="20"/>
          <w:szCs w:val="20"/>
          <w:lang w:eastAsia="hr-HR"/>
        </w:rPr>
        <w:t xml:space="preserve">na državna trgovačka društva </w:t>
      </w:r>
      <w:r w:rsidR="008948F1">
        <w:rPr>
          <w:rFonts w:ascii="Arial" w:eastAsia="Times New Roman" w:hAnsi="Arial" w:cs="Arial"/>
          <w:sz w:val="20"/>
          <w:szCs w:val="20"/>
          <w:lang w:eastAsia="hr-HR"/>
        </w:rPr>
        <w:t xml:space="preserve">76 </w:t>
      </w:r>
      <w:r w:rsidRPr="00617B8A">
        <w:rPr>
          <w:rFonts w:ascii="Arial" w:eastAsia="Times New Roman" w:hAnsi="Arial" w:cs="Arial"/>
          <w:sz w:val="20"/>
          <w:szCs w:val="20"/>
          <w:lang w:eastAsia="hr-HR"/>
        </w:rPr>
        <w:t>tisuća eura  (31. prosinca 202</w:t>
      </w:r>
      <w:r w:rsidR="00EA5814">
        <w:rPr>
          <w:rFonts w:ascii="Arial" w:eastAsia="Times New Roman" w:hAnsi="Arial" w:cs="Arial"/>
          <w:sz w:val="20"/>
          <w:szCs w:val="20"/>
          <w:lang w:eastAsia="hr-HR"/>
        </w:rPr>
        <w:t>3</w:t>
      </w:r>
      <w:r w:rsidRPr="00617B8A">
        <w:rPr>
          <w:rFonts w:ascii="Arial" w:eastAsia="Times New Roman" w:hAnsi="Arial" w:cs="Arial"/>
          <w:sz w:val="20"/>
          <w:szCs w:val="20"/>
          <w:lang w:eastAsia="hr-HR"/>
        </w:rPr>
        <w:t xml:space="preserve">.: 0 tisuća eura) te na ostalo iznos od </w:t>
      </w:r>
      <w:r w:rsidR="008948F1">
        <w:rPr>
          <w:rFonts w:ascii="Arial" w:eastAsia="Times New Roman" w:hAnsi="Arial" w:cs="Arial"/>
          <w:sz w:val="20"/>
          <w:szCs w:val="20"/>
          <w:lang w:eastAsia="hr-HR"/>
        </w:rPr>
        <w:t>95</w:t>
      </w:r>
      <w:r w:rsidR="00746400" w:rsidRPr="00617B8A">
        <w:rPr>
          <w:rFonts w:ascii="Arial" w:eastAsia="Times New Roman" w:hAnsi="Arial" w:cs="Arial"/>
          <w:sz w:val="20"/>
          <w:szCs w:val="20"/>
          <w:lang w:eastAsia="hr-HR"/>
        </w:rPr>
        <w:t xml:space="preserve"> </w:t>
      </w:r>
      <w:r w:rsidRPr="00617B8A">
        <w:rPr>
          <w:rFonts w:ascii="Arial" w:eastAsia="Times New Roman" w:hAnsi="Arial" w:cs="Arial"/>
          <w:sz w:val="20"/>
          <w:szCs w:val="20"/>
          <w:lang w:eastAsia="hr-HR"/>
        </w:rPr>
        <w:t>tisuć</w:t>
      </w:r>
      <w:r w:rsidR="00542CBE">
        <w:rPr>
          <w:rFonts w:ascii="Arial" w:eastAsia="Times New Roman" w:hAnsi="Arial" w:cs="Arial"/>
          <w:sz w:val="20"/>
          <w:szCs w:val="20"/>
          <w:lang w:eastAsia="hr-HR"/>
        </w:rPr>
        <w:t>a</w:t>
      </w:r>
      <w:r w:rsidRPr="00617B8A">
        <w:rPr>
          <w:rFonts w:ascii="Arial" w:eastAsia="Times New Roman" w:hAnsi="Arial" w:cs="Arial"/>
          <w:sz w:val="20"/>
          <w:szCs w:val="20"/>
          <w:lang w:eastAsia="hr-HR"/>
        </w:rPr>
        <w:t xml:space="preserve"> eura (31. prosinca 202</w:t>
      </w:r>
      <w:r w:rsidR="00EA5814">
        <w:rPr>
          <w:rFonts w:ascii="Arial" w:eastAsia="Times New Roman" w:hAnsi="Arial" w:cs="Arial"/>
          <w:sz w:val="20"/>
          <w:szCs w:val="20"/>
          <w:lang w:eastAsia="hr-HR"/>
        </w:rPr>
        <w:t>3</w:t>
      </w:r>
      <w:r w:rsidRPr="00617B8A">
        <w:rPr>
          <w:rFonts w:ascii="Arial" w:eastAsia="Times New Roman" w:hAnsi="Arial" w:cs="Arial"/>
          <w:sz w:val="20"/>
          <w:szCs w:val="20"/>
          <w:lang w:eastAsia="hr-HR"/>
        </w:rPr>
        <w:t xml:space="preserve">.: </w:t>
      </w:r>
      <w:r w:rsidR="00EA5814">
        <w:rPr>
          <w:rFonts w:ascii="Arial" w:eastAsia="Times New Roman" w:hAnsi="Arial" w:cs="Arial"/>
          <w:sz w:val="20"/>
          <w:szCs w:val="20"/>
          <w:lang w:eastAsia="hr-HR"/>
        </w:rPr>
        <w:t>253</w:t>
      </w:r>
      <w:r w:rsidRPr="00617B8A">
        <w:rPr>
          <w:rFonts w:ascii="Arial" w:eastAsia="Times New Roman" w:hAnsi="Arial" w:cs="Arial"/>
          <w:sz w:val="20"/>
          <w:szCs w:val="20"/>
          <w:lang w:eastAsia="hr-HR"/>
        </w:rPr>
        <w:t xml:space="preserve"> tisuć</w:t>
      </w:r>
      <w:r w:rsidR="00617B8A" w:rsidRPr="00617B8A">
        <w:rPr>
          <w:rFonts w:ascii="Arial" w:eastAsia="Times New Roman" w:hAnsi="Arial" w:cs="Arial"/>
          <w:sz w:val="20"/>
          <w:szCs w:val="20"/>
          <w:lang w:eastAsia="hr-HR"/>
        </w:rPr>
        <w:t>e</w:t>
      </w:r>
      <w:r w:rsidRPr="00617B8A">
        <w:rPr>
          <w:rFonts w:ascii="Arial" w:eastAsia="Times New Roman" w:hAnsi="Arial" w:cs="Arial"/>
          <w:sz w:val="20"/>
          <w:szCs w:val="20"/>
          <w:lang w:eastAsia="hr-HR"/>
        </w:rPr>
        <w:t xml:space="preserve"> eura).</w:t>
      </w:r>
    </w:p>
    <w:p w14:paraId="0BDB3184" w14:textId="77777777" w:rsidR="00AD5F37" w:rsidRPr="003D1614" w:rsidRDefault="00AD5F37" w:rsidP="00FC2BEF">
      <w:pPr>
        <w:keepNext/>
        <w:suppressAutoHyphens/>
        <w:autoSpaceDN w:val="0"/>
        <w:jc w:val="both"/>
        <w:outlineLvl w:val="0"/>
        <w:rPr>
          <w:rFonts w:ascii="Arial" w:eastAsia="Times New Roman" w:hAnsi="Arial" w:cs="Arial"/>
          <w:color w:val="000000" w:themeColor="text1"/>
          <w:sz w:val="20"/>
          <w:szCs w:val="20"/>
        </w:rPr>
        <w:sectPr w:rsidR="00AD5F37" w:rsidRPr="003D1614">
          <w:pgSz w:w="11906" w:h="16838"/>
          <w:pgMar w:top="1417" w:right="1417" w:bottom="1417" w:left="1417" w:header="708" w:footer="708" w:gutter="0"/>
          <w:cols w:space="708"/>
          <w:docGrid w:linePitch="360"/>
        </w:sectPr>
      </w:pPr>
    </w:p>
    <w:p w14:paraId="2ADA85AA" w14:textId="77777777" w:rsidR="00AD5F37" w:rsidRPr="003D1614" w:rsidRDefault="00AD5F37" w:rsidP="00AD5F37">
      <w:pPr>
        <w:keepNext/>
        <w:suppressAutoHyphens/>
        <w:autoSpaceDN w:val="0"/>
        <w:jc w:val="both"/>
        <w:outlineLvl w:val="0"/>
        <w:rPr>
          <w:rFonts w:ascii="Arial" w:eastAsia="Times New Roman" w:hAnsi="Arial" w:cs="Arial"/>
          <w:b/>
          <w:bCs/>
          <w:color w:val="000000" w:themeColor="text1"/>
          <w:sz w:val="20"/>
          <w:szCs w:val="20"/>
        </w:rPr>
      </w:pPr>
    </w:p>
    <w:p w14:paraId="1C46996F" w14:textId="0F8F832C" w:rsidR="00AD5F37" w:rsidRPr="003D1614" w:rsidRDefault="000E693B" w:rsidP="00AD5F37">
      <w:pPr>
        <w:keepNext/>
        <w:tabs>
          <w:tab w:val="left" w:pos="567"/>
        </w:tabs>
        <w:suppressAutoHyphens/>
        <w:autoSpaceDN w:val="0"/>
        <w:jc w:val="both"/>
        <w:outlineLvl w:val="0"/>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20</w:t>
      </w:r>
      <w:r w:rsidR="00AD5F37" w:rsidRPr="003D1614">
        <w:rPr>
          <w:rFonts w:ascii="Arial" w:eastAsia="Times New Roman" w:hAnsi="Arial" w:cs="Arial"/>
          <w:b/>
          <w:bCs/>
          <w:color w:val="000000" w:themeColor="text1"/>
          <w:sz w:val="20"/>
          <w:szCs w:val="20"/>
        </w:rPr>
        <w:t>.</w:t>
      </w:r>
      <w:r w:rsidR="00AD5F37" w:rsidRPr="003D1614">
        <w:rPr>
          <w:rFonts w:ascii="Arial" w:eastAsia="Times New Roman" w:hAnsi="Arial" w:cs="Arial"/>
          <w:b/>
          <w:bCs/>
          <w:color w:val="000000" w:themeColor="text1"/>
          <w:sz w:val="20"/>
          <w:szCs w:val="20"/>
        </w:rPr>
        <w:tab/>
        <w:t>Ostale obveze</w:t>
      </w:r>
    </w:p>
    <w:p w14:paraId="5B790686" w14:textId="77777777" w:rsidR="00AD5F37" w:rsidRPr="003D1614" w:rsidRDefault="00AD5F37" w:rsidP="00AD5F37">
      <w:pPr>
        <w:tabs>
          <w:tab w:val="left" w:pos="-1843"/>
        </w:tabs>
        <w:suppressAutoHyphens/>
        <w:autoSpaceDN w:val="0"/>
        <w:rPr>
          <w:rFonts w:ascii="Arial" w:eastAsia="Times New Roman" w:hAnsi="Arial" w:cs="Arial"/>
          <w:b/>
          <w:color w:val="000000" w:themeColor="text1"/>
          <w:spacing w:val="-3"/>
          <w:sz w:val="20"/>
          <w:szCs w:val="20"/>
        </w:rPr>
      </w:pPr>
    </w:p>
    <w:tbl>
      <w:tblPr>
        <w:tblW w:w="4983" w:type="pct"/>
        <w:tblLayout w:type="fixed"/>
        <w:tblCellMar>
          <w:left w:w="119" w:type="dxa"/>
          <w:right w:w="119" w:type="dxa"/>
        </w:tblCellMar>
        <w:tblLook w:val="0000" w:firstRow="0" w:lastRow="0" w:firstColumn="0" w:lastColumn="0" w:noHBand="0" w:noVBand="0"/>
      </w:tblPr>
      <w:tblGrid>
        <w:gridCol w:w="3457"/>
        <w:gridCol w:w="1374"/>
        <w:gridCol w:w="1418"/>
        <w:gridCol w:w="1374"/>
        <w:gridCol w:w="1418"/>
      </w:tblGrid>
      <w:tr w:rsidR="00AD5F37" w:rsidRPr="00AB1D70" w14:paraId="011BC1BE" w14:textId="77777777" w:rsidTr="007478FB">
        <w:trPr>
          <w:trHeight w:val="57"/>
        </w:trPr>
        <w:tc>
          <w:tcPr>
            <w:tcW w:w="1912" w:type="pct"/>
            <w:vAlign w:val="bottom"/>
          </w:tcPr>
          <w:p w14:paraId="4CFC1C4B" w14:textId="77777777" w:rsidR="00AD5F37" w:rsidRPr="00AB1D70" w:rsidRDefault="00AD5F37" w:rsidP="00AD5F37">
            <w:pPr>
              <w:tabs>
                <w:tab w:val="left" w:pos="-1843"/>
              </w:tabs>
              <w:suppressAutoHyphens/>
              <w:autoSpaceDN w:val="0"/>
              <w:rPr>
                <w:rFonts w:ascii="Arial" w:eastAsia="Times New Roman" w:hAnsi="Arial" w:cs="Arial"/>
                <w:color w:val="000000" w:themeColor="text1"/>
                <w:spacing w:val="-2"/>
                <w:sz w:val="20"/>
                <w:szCs w:val="20"/>
              </w:rPr>
            </w:pPr>
          </w:p>
        </w:tc>
        <w:tc>
          <w:tcPr>
            <w:tcW w:w="1544" w:type="pct"/>
            <w:gridSpan w:val="2"/>
            <w:vAlign w:val="bottom"/>
          </w:tcPr>
          <w:p w14:paraId="7ED64C5F" w14:textId="77777777" w:rsidR="00AD5F37" w:rsidRPr="00AB1D70" w:rsidRDefault="00AD5F37" w:rsidP="00AD5F37">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78" w:name="_Toc67328788"/>
            <w:r w:rsidRPr="00AB1D70">
              <w:rPr>
                <w:rFonts w:ascii="Arial" w:eastAsia="Times New Roman" w:hAnsi="Arial" w:cs="Arial"/>
                <w:b/>
                <w:color w:val="000000" w:themeColor="text1"/>
                <w:sz w:val="20"/>
                <w:szCs w:val="20"/>
              </w:rPr>
              <w:t>Grupa</w:t>
            </w:r>
            <w:bookmarkEnd w:id="478"/>
          </w:p>
        </w:tc>
        <w:tc>
          <w:tcPr>
            <w:tcW w:w="1544" w:type="pct"/>
            <w:gridSpan w:val="2"/>
            <w:vAlign w:val="bottom"/>
          </w:tcPr>
          <w:p w14:paraId="7E3CE4A0" w14:textId="77777777" w:rsidR="00AD5F37" w:rsidRPr="00AB1D70" w:rsidRDefault="00AD5F37" w:rsidP="00AD5F37">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79" w:name="_Toc67328789"/>
            <w:r w:rsidRPr="00AB1D70">
              <w:rPr>
                <w:rFonts w:ascii="Arial" w:eastAsia="Times New Roman" w:hAnsi="Arial" w:cs="Arial"/>
                <w:b/>
                <w:color w:val="000000" w:themeColor="text1"/>
                <w:sz w:val="20"/>
                <w:szCs w:val="20"/>
              </w:rPr>
              <w:t>Banka</w:t>
            </w:r>
            <w:bookmarkEnd w:id="479"/>
          </w:p>
        </w:tc>
      </w:tr>
      <w:tr w:rsidR="00AD5F37" w:rsidRPr="00AB1D70" w14:paraId="63464D5D" w14:textId="77777777" w:rsidTr="007478FB">
        <w:trPr>
          <w:trHeight w:val="57"/>
        </w:trPr>
        <w:tc>
          <w:tcPr>
            <w:tcW w:w="1912" w:type="pct"/>
            <w:vAlign w:val="bottom"/>
          </w:tcPr>
          <w:p w14:paraId="20E453FE" w14:textId="77777777" w:rsidR="00AD5F37" w:rsidRPr="00AB1D70" w:rsidRDefault="00AD5F37" w:rsidP="00AD5F37">
            <w:pPr>
              <w:tabs>
                <w:tab w:val="left" w:pos="-1843"/>
              </w:tabs>
              <w:suppressAutoHyphens/>
              <w:autoSpaceDN w:val="0"/>
              <w:rPr>
                <w:rFonts w:ascii="Arial" w:eastAsia="Times New Roman" w:hAnsi="Arial" w:cs="Arial"/>
                <w:color w:val="000000" w:themeColor="text1"/>
                <w:spacing w:val="-2"/>
                <w:sz w:val="20"/>
                <w:szCs w:val="20"/>
              </w:rPr>
            </w:pPr>
          </w:p>
        </w:tc>
        <w:tc>
          <w:tcPr>
            <w:tcW w:w="760" w:type="pct"/>
            <w:vAlign w:val="bottom"/>
          </w:tcPr>
          <w:p w14:paraId="7276F311" w14:textId="0ABFE3DA" w:rsidR="00AD5F37" w:rsidRPr="00AB1D70" w:rsidRDefault="002C0DB3" w:rsidP="00AD5F37">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2C0DB3">
              <w:rPr>
                <w:rFonts w:ascii="Arial" w:eastAsia="Times New Roman" w:hAnsi="Arial" w:cs="Arial"/>
                <w:b/>
                <w:color w:val="000000" w:themeColor="text1"/>
                <w:sz w:val="20"/>
                <w:szCs w:val="20"/>
              </w:rPr>
              <w:t>30. rujna 202</w:t>
            </w:r>
            <w:r w:rsidR="004B4908">
              <w:rPr>
                <w:rFonts w:ascii="Arial" w:eastAsia="Times New Roman" w:hAnsi="Arial" w:cs="Arial"/>
                <w:b/>
                <w:color w:val="000000" w:themeColor="text1"/>
                <w:sz w:val="20"/>
                <w:szCs w:val="20"/>
              </w:rPr>
              <w:t>4</w:t>
            </w:r>
            <w:r w:rsidR="00AD5F37" w:rsidRPr="00AB1D70">
              <w:rPr>
                <w:rFonts w:ascii="Arial" w:eastAsia="Times New Roman" w:hAnsi="Arial" w:cs="Arial"/>
                <w:b/>
                <w:color w:val="000000" w:themeColor="text1"/>
                <w:sz w:val="20"/>
                <w:szCs w:val="20"/>
              </w:rPr>
              <w:t>.</w:t>
            </w:r>
          </w:p>
        </w:tc>
        <w:tc>
          <w:tcPr>
            <w:tcW w:w="784" w:type="pct"/>
            <w:vAlign w:val="bottom"/>
          </w:tcPr>
          <w:p w14:paraId="5857B691" w14:textId="2C915348" w:rsidR="00AD5F37" w:rsidRPr="00AB1D70" w:rsidRDefault="00AD5F37" w:rsidP="00AD5F37">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AB1D70">
              <w:rPr>
                <w:rFonts w:ascii="Arial" w:eastAsia="Times New Roman" w:hAnsi="Arial" w:cs="Arial"/>
                <w:b/>
                <w:color w:val="000000" w:themeColor="text1"/>
                <w:sz w:val="20"/>
                <w:szCs w:val="20"/>
              </w:rPr>
              <w:t>31. prosinca 202</w:t>
            </w:r>
            <w:r w:rsidR="004B4908">
              <w:rPr>
                <w:rFonts w:ascii="Arial" w:eastAsia="Times New Roman" w:hAnsi="Arial" w:cs="Arial"/>
                <w:b/>
                <w:color w:val="000000" w:themeColor="text1"/>
                <w:sz w:val="20"/>
                <w:szCs w:val="20"/>
              </w:rPr>
              <w:t>3</w:t>
            </w:r>
            <w:r w:rsidRPr="00AB1D70">
              <w:rPr>
                <w:rFonts w:ascii="Arial" w:eastAsia="Times New Roman" w:hAnsi="Arial" w:cs="Arial"/>
                <w:b/>
                <w:color w:val="000000" w:themeColor="text1"/>
                <w:sz w:val="20"/>
                <w:szCs w:val="20"/>
              </w:rPr>
              <w:t>.</w:t>
            </w:r>
          </w:p>
        </w:tc>
        <w:tc>
          <w:tcPr>
            <w:tcW w:w="760" w:type="pct"/>
            <w:vAlign w:val="bottom"/>
          </w:tcPr>
          <w:p w14:paraId="3803C3C0" w14:textId="28907F01" w:rsidR="00AD5F37" w:rsidRPr="00AB1D70" w:rsidRDefault="002C0DB3" w:rsidP="00AD5F37">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2C0DB3">
              <w:rPr>
                <w:rFonts w:ascii="Arial" w:eastAsia="Times New Roman" w:hAnsi="Arial" w:cs="Arial"/>
                <w:b/>
                <w:color w:val="000000" w:themeColor="text1"/>
                <w:sz w:val="20"/>
                <w:szCs w:val="20"/>
              </w:rPr>
              <w:t>30. rujna 202</w:t>
            </w:r>
            <w:r w:rsidR="004B4908">
              <w:rPr>
                <w:rFonts w:ascii="Arial" w:eastAsia="Times New Roman" w:hAnsi="Arial" w:cs="Arial"/>
                <w:b/>
                <w:color w:val="000000" w:themeColor="text1"/>
                <w:sz w:val="20"/>
                <w:szCs w:val="20"/>
              </w:rPr>
              <w:t>4</w:t>
            </w:r>
            <w:r w:rsidRPr="002C0DB3">
              <w:rPr>
                <w:rFonts w:ascii="Arial" w:eastAsia="Times New Roman" w:hAnsi="Arial" w:cs="Arial"/>
                <w:b/>
                <w:color w:val="000000" w:themeColor="text1"/>
                <w:sz w:val="20"/>
                <w:szCs w:val="20"/>
              </w:rPr>
              <w:t>.</w:t>
            </w:r>
          </w:p>
        </w:tc>
        <w:tc>
          <w:tcPr>
            <w:tcW w:w="784" w:type="pct"/>
            <w:vAlign w:val="bottom"/>
          </w:tcPr>
          <w:p w14:paraId="037965E2" w14:textId="20474A24" w:rsidR="00AD5F37" w:rsidRPr="00AB1D70" w:rsidRDefault="00AD5F37" w:rsidP="00AD5F37">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AB1D70">
              <w:rPr>
                <w:rFonts w:ascii="Arial" w:eastAsia="Times New Roman" w:hAnsi="Arial" w:cs="Arial"/>
                <w:b/>
                <w:color w:val="000000" w:themeColor="text1"/>
                <w:sz w:val="20"/>
                <w:szCs w:val="20"/>
              </w:rPr>
              <w:t>31. prosinca 202</w:t>
            </w:r>
            <w:r w:rsidR="004B4908">
              <w:rPr>
                <w:rFonts w:ascii="Arial" w:eastAsia="Times New Roman" w:hAnsi="Arial" w:cs="Arial"/>
                <w:b/>
                <w:color w:val="000000" w:themeColor="text1"/>
                <w:sz w:val="20"/>
                <w:szCs w:val="20"/>
              </w:rPr>
              <w:t>3</w:t>
            </w:r>
            <w:r w:rsidRPr="00AB1D70">
              <w:rPr>
                <w:rFonts w:ascii="Arial" w:eastAsia="Times New Roman" w:hAnsi="Arial" w:cs="Arial"/>
                <w:b/>
                <w:color w:val="000000" w:themeColor="text1"/>
                <w:sz w:val="20"/>
                <w:szCs w:val="20"/>
              </w:rPr>
              <w:t>.</w:t>
            </w:r>
          </w:p>
        </w:tc>
      </w:tr>
      <w:tr w:rsidR="00AD5F37" w:rsidRPr="00AB1D70" w14:paraId="3657DEF1" w14:textId="77777777" w:rsidTr="007478FB">
        <w:trPr>
          <w:trHeight w:val="57"/>
        </w:trPr>
        <w:tc>
          <w:tcPr>
            <w:tcW w:w="1912" w:type="pct"/>
            <w:vAlign w:val="bottom"/>
          </w:tcPr>
          <w:p w14:paraId="1B12E6D1" w14:textId="77777777" w:rsidR="00AD5F37" w:rsidRPr="00AB1D70" w:rsidRDefault="00AD5F37" w:rsidP="00AD5F37">
            <w:pPr>
              <w:tabs>
                <w:tab w:val="left" w:pos="-1843"/>
              </w:tabs>
              <w:suppressAutoHyphens/>
              <w:autoSpaceDN w:val="0"/>
              <w:rPr>
                <w:rFonts w:ascii="Arial" w:eastAsia="Times New Roman" w:hAnsi="Arial" w:cs="Arial"/>
                <w:color w:val="000000" w:themeColor="text1"/>
                <w:spacing w:val="-2"/>
                <w:sz w:val="20"/>
                <w:szCs w:val="20"/>
              </w:rPr>
            </w:pPr>
          </w:p>
        </w:tc>
        <w:tc>
          <w:tcPr>
            <w:tcW w:w="760" w:type="pct"/>
            <w:vAlign w:val="bottom"/>
          </w:tcPr>
          <w:p w14:paraId="3F2DA755" w14:textId="5B53068C" w:rsidR="00AD5F37" w:rsidRPr="00AB1D70" w:rsidRDefault="00AD5F37" w:rsidP="00AD5F37">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AB1D70">
              <w:rPr>
                <w:rFonts w:ascii="Arial" w:eastAsia="Times New Roman" w:hAnsi="Arial" w:cs="Arial"/>
                <w:b/>
                <w:color w:val="000000" w:themeColor="text1"/>
                <w:sz w:val="20"/>
                <w:szCs w:val="20"/>
              </w:rPr>
              <w:t>000 eura</w:t>
            </w:r>
          </w:p>
        </w:tc>
        <w:tc>
          <w:tcPr>
            <w:tcW w:w="784" w:type="pct"/>
            <w:vAlign w:val="bottom"/>
          </w:tcPr>
          <w:p w14:paraId="557945B0" w14:textId="760B98BF" w:rsidR="00AD5F37" w:rsidRPr="00AB1D70" w:rsidRDefault="00AD5F37" w:rsidP="00AD5F37">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AB1D70">
              <w:rPr>
                <w:rFonts w:ascii="Arial" w:eastAsia="Times New Roman" w:hAnsi="Arial" w:cs="Arial"/>
                <w:b/>
                <w:color w:val="000000" w:themeColor="text1"/>
                <w:sz w:val="20"/>
                <w:szCs w:val="20"/>
              </w:rPr>
              <w:t>000 eura</w:t>
            </w:r>
          </w:p>
        </w:tc>
        <w:tc>
          <w:tcPr>
            <w:tcW w:w="760" w:type="pct"/>
            <w:vAlign w:val="bottom"/>
          </w:tcPr>
          <w:p w14:paraId="28735AAA" w14:textId="4D738A7F" w:rsidR="00AD5F37" w:rsidRPr="00AB1D70" w:rsidRDefault="00AD5F37" w:rsidP="00AD5F37">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AB1D70">
              <w:rPr>
                <w:rFonts w:ascii="Arial" w:eastAsia="Times New Roman" w:hAnsi="Arial" w:cs="Arial"/>
                <w:b/>
                <w:color w:val="000000" w:themeColor="text1"/>
                <w:sz w:val="20"/>
                <w:szCs w:val="20"/>
              </w:rPr>
              <w:t>000 eura</w:t>
            </w:r>
          </w:p>
        </w:tc>
        <w:tc>
          <w:tcPr>
            <w:tcW w:w="784" w:type="pct"/>
            <w:vAlign w:val="bottom"/>
          </w:tcPr>
          <w:p w14:paraId="6C69EA8C" w14:textId="472D584E" w:rsidR="00AD5F37" w:rsidRPr="00AB1D70" w:rsidRDefault="00AD5F37" w:rsidP="00AD5F37">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AB1D70">
              <w:rPr>
                <w:rFonts w:ascii="Arial" w:eastAsia="Times New Roman" w:hAnsi="Arial" w:cs="Arial"/>
                <w:b/>
                <w:color w:val="000000" w:themeColor="text1"/>
                <w:sz w:val="20"/>
                <w:szCs w:val="20"/>
              </w:rPr>
              <w:t>000 eura</w:t>
            </w:r>
          </w:p>
        </w:tc>
      </w:tr>
      <w:tr w:rsidR="00AD5F37" w:rsidRPr="00AB1D70" w14:paraId="216EAD84" w14:textId="77777777" w:rsidTr="007478FB">
        <w:trPr>
          <w:trHeight w:val="57"/>
        </w:trPr>
        <w:tc>
          <w:tcPr>
            <w:tcW w:w="1912" w:type="pct"/>
            <w:vAlign w:val="bottom"/>
          </w:tcPr>
          <w:p w14:paraId="6410948C" w14:textId="77777777" w:rsidR="00AD5F37" w:rsidRPr="00AB1D70" w:rsidRDefault="00AD5F37" w:rsidP="00AD5F37">
            <w:pPr>
              <w:tabs>
                <w:tab w:val="left" w:pos="-1843"/>
              </w:tabs>
              <w:suppressAutoHyphens/>
              <w:autoSpaceDN w:val="0"/>
              <w:rPr>
                <w:rFonts w:ascii="Arial" w:eastAsia="Times New Roman" w:hAnsi="Arial" w:cs="Arial"/>
                <w:color w:val="000000" w:themeColor="text1"/>
                <w:spacing w:val="-2"/>
                <w:sz w:val="20"/>
                <w:szCs w:val="20"/>
              </w:rPr>
            </w:pPr>
          </w:p>
        </w:tc>
        <w:tc>
          <w:tcPr>
            <w:tcW w:w="760" w:type="pct"/>
            <w:vAlign w:val="bottom"/>
          </w:tcPr>
          <w:p w14:paraId="6B1FA642" w14:textId="77777777" w:rsidR="00AD5F37" w:rsidRPr="00AB1D70" w:rsidRDefault="00AD5F37" w:rsidP="00AD5F37">
            <w:pPr>
              <w:tabs>
                <w:tab w:val="right" w:pos="1202"/>
              </w:tabs>
              <w:suppressAutoHyphens/>
              <w:autoSpaceDN w:val="0"/>
              <w:spacing w:line="240" w:lineRule="atLeast"/>
              <w:jc w:val="right"/>
              <w:outlineLvl w:val="0"/>
              <w:rPr>
                <w:rFonts w:ascii="Arial" w:eastAsia="Times New Roman" w:hAnsi="Arial" w:cs="Arial"/>
                <w:bCs/>
                <w:color w:val="000000" w:themeColor="text1"/>
                <w:sz w:val="20"/>
                <w:szCs w:val="20"/>
              </w:rPr>
            </w:pPr>
          </w:p>
        </w:tc>
        <w:tc>
          <w:tcPr>
            <w:tcW w:w="784" w:type="pct"/>
            <w:vAlign w:val="bottom"/>
          </w:tcPr>
          <w:p w14:paraId="383A254B" w14:textId="77777777" w:rsidR="00AD5F37" w:rsidRPr="00AB1D70" w:rsidRDefault="00AD5F37" w:rsidP="00AD5F37">
            <w:pPr>
              <w:tabs>
                <w:tab w:val="right" w:pos="1202"/>
              </w:tabs>
              <w:suppressAutoHyphens/>
              <w:autoSpaceDN w:val="0"/>
              <w:spacing w:line="240" w:lineRule="atLeast"/>
              <w:jc w:val="right"/>
              <w:outlineLvl w:val="0"/>
              <w:rPr>
                <w:rFonts w:ascii="Arial" w:eastAsia="Times New Roman" w:hAnsi="Arial" w:cs="Arial"/>
                <w:bCs/>
                <w:color w:val="000000" w:themeColor="text1"/>
                <w:sz w:val="20"/>
                <w:szCs w:val="20"/>
              </w:rPr>
            </w:pPr>
          </w:p>
        </w:tc>
        <w:tc>
          <w:tcPr>
            <w:tcW w:w="760" w:type="pct"/>
            <w:vAlign w:val="bottom"/>
          </w:tcPr>
          <w:p w14:paraId="29B576B4" w14:textId="77777777" w:rsidR="00AD5F37" w:rsidRPr="00AB1D70" w:rsidRDefault="00AD5F37" w:rsidP="00AD5F37">
            <w:pPr>
              <w:tabs>
                <w:tab w:val="right" w:pos="1202"/>
              </w:tabs>
              <w:suppressAutoHyphens/>
              <w:autoSpaceDN w:val="0"/>
              <w:spacing w:line="240" w:lineRule="atLeast"/>
              <w:jc w:val="right"/>
              <w:outlineLvl w:val="0"/>
              <w:rPr>
                <w:rFonts w:ascii="Arial" w:eastAsia="Times New Roman" w:hAnsi="Arial" w:cs="Arial"/>
                <w:bCs/>
                <w:color w:val="000000" w:themeColor="text1"/>
                <w:sz w:val="20"/>
                <w:szCs w:val="20"/>
              </w:rPr>
            </w:pPr>
          </w:p>
        </w:tc>
        <w:tc>
          <w:tcPr>
            <w:tcW w:w="784" w:type="pct"/>
            <w:vAlign w:val="bottom"/>
          </w:tcPr>
          <w:p w14:paraId="3197A3AB" w14:textId="77777777" w:rsidR="00AD5F37" w:rsidRPr="00AB1D70" w:rsidRDefault="00AD5F37" w:rsidP="00AD5F37">
            <w:pPr>
              <w:tabs>
                <w:tab w:val="right" w:pos="1202"/>
              </w:tabs>
              <w:suppressAutoHyphens/>
              <w:autoSpaceDN w:val="0"/>
              <w:spacing w:line="240" w:lineRule="atLeast"/>
              <w:jc w:val="right"/>
              <w:outlineLvl w:val="0"/>
              <w:rPr>
                <w:rFonts w:ascii="Arial" w:eastAsia="Times New Roman" w:hAnsi="Arial" w:cs="Arial"/>
                <w:bCs/>
                <w:color w:val="000000" w:themeColor="text1"/>
                <w:sz w:val="20"/>
                <w:szCs w:val="20"/>
              </w:rPr>
            </w:pPr>
          </w:p>
        </w:tc>
      </w:tr>
      <w:tr w:rsidR="007B107D" w:rsidRPr="00AB1D70" w14:paraId="397DA92A" w14:textId="77777777" w:rsidTr="00294BA6">
        <w:trPr>
          <w:trHeight w:val="57"/>
        </w:trPr>
        <w:tc>
          <w:tcPr>
            <w:tcW w:w="1912" w:type="pct"/>
            <w:vAlign w:val="bottom"/>
          </w:tcPr>
          <w:p w14:paraId="2E0364FD" w14:textId="77777777" w:rsidR="007B107D" w:rsidRPr="00AB1D70" w:rsidRDefault="007B107D" w:rsidP="007B107D">
            <w:pPr>
              <w:suppressAutoHyphens/>
              <w:autoSpaceDN w:val="0"/>
              <w:rPr>
                <w:rFonts w:ascii="Arial" w:eastAsia="Calibri" w:hAnsi="Arial" w:cs="Arial"/>
                <w:iCs/>
                <w:color w:val="000000" w:themeColor="text1"/>
                <w:sz w:val="20"/>
                <w:szCs w:val="20"/>
              </w:rPr>
            </w:pPr>
            <w:bookmarkStart w:id="480" w:name="_Toc67328798"/>
            <w:bookmarkStart w:id="481" w:name="_Hlk64901306"/>
            <w:bookmarkStart w:id="482" w:name="_Hlk141881541"/>
            <w:r w:rsidRPr="00AB1D70">
              <w:rPr>
                <w:rFonts w:ascii="Arial" w:eastAsia="Calibri" w:hAnsi="Arial" w:cs="Arial"/>
                <w:iCs/>
                <w:color w:val="000000" w:themeColor="text1"/>
                <w:sz w:val="20"/>
                <w:szCs w:val="20"/>
              </w:rPr>
              <w:t>Obveze za subvencioniranje kamatne stope (a)</w:t>
            </w:r>
            <w:bookmarkEnd w:id="480"/>
            <w:r w:rsidRPr="00AB1D70">
              <w:rPr>
                <w:rFonts w:ascii="Arial" w:eastAsia="Calibri" w:hAnsi="Arial" w:cs="Arial"/>
                <w:iCs/>
                <w:color w:val="000000" w:themeColor="text1"/>
                <w:sz w:val="20"/>
                <w:szCs w:val="20"/>
              </w:rPr>
              <w:t xml:space="preserve">  </w:t>
            </w:r>
          </w:p>
        </w:tc>
        <w:tc>
          <w:tcPr>
            <w:tcW w:w="760" w:type="pct"/>
            <w:tcBorders>
              <w:top w:val="nil"/>
              <w:left w:val="nil"/>
              <w:bottom w:val="nil"/>
              <w:right w:val="nil"/>
            </w:tcBorders>
            <w:shd w:val="clear" w:color="auto" w:fill="auto"/>
            <w:vAlign w:val="bottom"/>
          </w:tcPr>
          <w:p w14:paraId="5346150D" w14:textId="4E4207D9" w:rsidR="007B107D" w:rsidRPr="00AB1D70" w:rsidRDefault="007B107D" w:rsidP="007B107D">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294BA6">
              <w:rPr>
                <w:rFonts w:ascii="Arial" w:hAnsi="Arial" w:cs="Arial"/>
                <w:sz w:val="20"/>
                <w:szCs w:val="20"/>
              </w:rPr>
              <w:t xml:space="preserve"> 26.460 </w:t>
            </w:r>
          </w:p>
        </w:tc>
        <w:tc>
          <w:tcPr>
            <w:tcW w:w="784" w:type="pct"/>
            <w:tcBorders>
              <w:top w:val="nil"/>
              <w:left w:val="nil"/>
              <w:bottom w:val="nil"/>
              <w:right w:val="nil"/>
            </w:tcBorders>
            <w:shd w:val="clear" w:color="auto" w:fill="auto"/>
            <w:vAlign w:val="bottom"/>
          </w:tcPr>
          <w:p w14:paraId="42A27714" w14:textId="1952CAA3" w:rsidR="007B107D" w:rsidRPr="00AB1D70" w:rsidRDefault="007B107D" w:rsidP="007B107D">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C75E1D">
              <w:rPr>
                <w:rFonts w:ascii="Arial" w:hAnsi="Arial" w:cs="Arial"/>
                <w:sz w:val="20"/>
              </w:rPr>
              <w:t xml:space="preserve"> 34.851 </w:t>
            </w:r>
          </w:p>
        </w:tc>
        <w:tc>
          <w:tcPr>
            <w:tcW w:w="760" w:type="pct"/>
            <w:tcBorders>
              <w:top w:val="nil"/>
              <w:left w:val="nil"/>
              <w:bottom w:val="nil"/>
              <w:right w:val="nil"/>
            </w:tcBorders>
            <w:shd w:val="clear" w:color="auto" w:fill="auto"/>
            <w:vAlign w:val="bottom"/>
          </w:tcPr>
          <w:p w14:paraId="6DBF0E8F" w14:textId="285403F2" w:rsidR="007B107D" w:rsidRPr="00294BA6" w:rsidRDefault="007B107D" w:rsidP="007B107D">
            <w:pPr>
              <w:tabs>
                <w:tab w:val="right" w:pos="1202"/>
              </w:tabs>
              <w:suppressAutoHyphens/>
              <w:autoSpaceDN w:val="0"/>
              <w:spacing w:line="301" w:lineRule="exact"/>
              <w:jc w:val="right"/>
              <w:outlineLvl w:val="0"/>
              <w:rPr>
                <w:rFonts w:ascii="Arial" w:hAnsi="Arial" w:cs="Arial"/>
                <w:sz w:val="20"/>
                <w:szCs w:val="20"/>
              </w:rPr>
            </w:pPr>
            <w:r w:rsidRPr="00294BA6">
              <w:rPr>
                <w:rFonts w:ascii="Arial" w:hAnsi="Arial" w:cs="Arial"/>
                <w:sz w:val="20"/>
                <w:szCs w:val="20"/>
              </w:rPr>
              <w:t xml:space="preserve"> 26.460 </w:t>
            </w:r>
          </w:p>
        </w:tc>
        <w:tc>
          <w:tcPr>
            <w:tcW w:w="784" w:type="pct"/>
            <w:tcBorders>
              <w:top w:val="nil"/>
              <w:left w:val="nil"/>
              <w:bottom w:val="nil"/>
              <w:right w:val="nil"/>
            </w:tcBorders>
            <w:shd w:val="clear" w:color="auto" w:fill="auto"/>
            <w:vAlign w:val="bottom"/>
          </w:tcPr>
          <w:p w14:paraId="559E6B0D" w14:textId="2EC20D26" w:rsidR="007B107D" w:rsidRPr="00AB1D70" w:rsidRDefault="007B107D" w:rsidP="007B107D">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2C67DE">
              <w:rPr>
                <w:rFonts w:ascii="Arial" w:hAnsi="Arial" w:cs="Arial"/>
                <w:sz w:val="20"/>
              </w:rPr>
              <w:t xml:space="preserve"> 34.851 </w:t>
            </w:r>
          </w:p>
        </w:tc>
      </w:tr>
      <w:tr w:rsidR="007B107D" w:rsidRPr="00AB1D70" w14:paraId="63B5C45D" w14:textId="77777777" w:rsidTr="00294BA6">
        <w:trPr>
          <w:trHeight w:val="57"/>
        </w:trPr>
        <w:tc>
          <w:tcPr>
            <w:tcW w:w="1912" w:type="pct"/>
            <w:vAlign w:val="bottom"/>
          </w:tcPr>
          <w:p w14:paraId="24CF8920" w14:textId="77777777" w:rsidR="007B107D" w:rsidRPr="00AB1D70" w:rsidRDefault="007B107D" w:rsidP="007B107D">
            <w:pPr>
              <w:suppressAutoHyphens/>
              <w:autoSpaceDN w:val="0"/>
              <w:rPr>
                <w:rFonts w:ascii="Arial" w:eastAsia="Calibri" w:hAnsi="Arial" w:cs="Arial"/>
                <w:iCs/>
                <w:color w:val="000000" w:themeColor="text1"/>
                <w:sz w:val="20"/>
                <w:szCs w:val="20"/>
              </w:rPr>
            </w:pPr>
            <w:bookmarkStart w:id="483" w:name="_Toc67328800"/>
            <w:bookmarkEnd w:id="481"/>
            <w:r w:rsidRPr="00AB1D70">
              <w:rPr>
                <w:rFonts w:ascii="Arial" w:eastAsia="Calibri" w:hAnsi="Arial" w:cs="Arial"/>
                <w:iCs/>
                <w:color w:val="000000" w:themeColor="text1"/>
                <w:sz w:val="20"/>
                <w:szCs w:val="20"/>
              </w:rPr>
              <w:t>Odgođeno priznavanje kamatnih prihoda (b)</w:t>
            </w:r>
            <w:bookmarkEnd w:id="483"/>
          </w:p>
        </w:tc>
        <w:tc>
          <w:tcPr>
            <w:tcW w:w="760" w:type="pct"/>
            <w:tcBorders>
              <w:top w:val="nil"/>
              <w:left w:val="nil"/>
              <w:bottom w:val="nil"/>
              <w:right w:val="nil"/>
            </w:tcBorders>
            <w:shd w:val="clear" w:color="auto" w:fill="auto"/>
            <w:vAlign w:val="bottom"/>
          </w:tcPr>
          <w:p w14:paraId="48CC546F" w14:textId="5633E061" w:rsidR="007B107D" w:rsidRPr="00AB1D70" w:rsidRDefault="007B107D" w:rsidP="007B107D">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294BA6">
              <w:rPr>
                <w:rFonts w:ascii="Arial" w:hAnsi="Arial" w:cs="Arial"/>
                <w:sz w:val="20"/>
                <w:szCs w:val="20"/>
              </w:rPr>
              <w:t xml:space="preserve"> 44.400 </w:t>
            </w:r>
          </w:p>
        </w:tc>
        <w:tc>
          <w:tcPr>
            <w:tcW w:w="784" w:type="pct"/>
            <w:tcBorders>
              <w:top w:val="nil"/>
              <w:left w:val="nil"/>
              <w:bottom w:val="nil"/>
              <w:right w:val="nil"/>
            </w:tcBorders>
            <w:shd w:val="clear" w:color="auto" w:fill="auto"/>
            <w:vAlign w:val="bottom"/>
          </w:tcPr>
          <w:p w14:paraId="61D00EEC" w14:textId="18348790" w:rsidR="007B107D" w:rsidRPr="00AB1D70" w:rsidRDefault="007B107D" w:rsidP="007B107D">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C75E1D">
              <w:rPr>
                <w:rFonts w:ascii="Arial" w:hAnsi="Arial" w:cs="Arial"/>
                <w:sz w:val="20"/>
              </w:rPr>
              <w:t xml:space="preserve"> 50.515 </w:t>
            </w:r>
          </w:p>
        </w:tc>
        <w:tc>
          <w:tcPr>
            <w:tcW w:w="760" w:type="pct"/>
            <w:tcBorders>
              <w:top w:val="nil"/>
              <w:left w:val="nil"/>
              <w:bottom w:val="nil"/>
              <w:right w:val="nil"/>
            </w:tcBorders>
            <w:shd w:val="clear" w:color="auto" w:fill="auto"/>
            <w:vAlign w:val="bottom"/>
          </w:tcPr>
          <w:p w14:paraId="05D96375" w14:textId="3A2817D5" w:rsidR="007B107D" w:rsidRPr="00294BA6" w:rsidRDefault="007B107D" w:rsidP="007B107D">
            <w:pPr>
              <w:tabs>
                <w:tab w:val="right" w:pos="1202"/>
              </w:tabs>
              <w:suppressAutoHyphens/>
              <w:autoSpaceDN w:val="0"/>
              <w:spacing w:line="301" w:lineRule="exact"/>
              <w:jc w:val="right"/>
              <w:outlineLvl w:val="0"/>
              <w:rPr>
                <w:rFonts w:ascii="Arial" w:hAnsi="Arial" w:cs="Arial"/>
                <w:sz w:val="20"/>
                <w:szCs w:val="20"/>
              </w:rPr>
            </w:pPr>
            <w:r w:rsidRPr="00294BA6">
              <w:rPr>
                <w:rFonts w:ascii="Arial" w:hAnsi="Arial" w:cs="Arial"/>
                <w:sz w:val="20"/>
                <w:szCs w:val="20"/>
              </w:rPr>
              <w:t xml:space="preserve"> 44.400 </w:t>
            </w:r>
          </w:p>
        </w:tc>
        <w:tc>
          <w:tcPr>
            <w:tcW w:w="784" w:type="pct"/>
            <w:tcBorders>
              <w:top w:val="nil"/>
              <w:left w:val="nil"/>
              <w:bottom w:val="nil"/>
              <w:right w:val="nil"/>
            </w:tcBorders>
            <w:shd w:val="clear" w:color="auto" w:fill="auto"/>
            <w:vAlign w:val="bottom"/>
          </w:tcPr>
          <w:p w14:paraId="7FC92C4F" w14:textId="657F2CD1" w:rsidR="007B107D" w:rsidRPr="00AB1D70" w:rsidRDefault="007B107D" w:rsidP="007B107D">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2C67DE">
              <w:rPr>
                <w:rFonts w:ascii="Arial" w:hAnsi="Arial" w:cs="Arial"/>
                <w:sz w:val="20"/>
              </w:rPr>
              <w:t xml:space="preserve"> 50.515 </w:t>
            </w:r>
          </w:p>
        </w:tc>
      </w:tr>
      <w:tr w:rsidR="007B107D" w:rsidRPr="00AB1D70" w14:paraId="4CA5B57D" w14:textId="77777777" w:rsidTr="00294BA6">
        <w:trPr>
          <w:trHeight w:val="57"/>
        </w:trPr>
        <w:tc>
          <w:tcPr>
            <w:tcW w:w="1912" w:type="pct"/>
            <w:vAlign w:val="bottom"/>
          </w:tcPr>
          <w:p w14:paraId="4F3B12C1" w14:textId="77777777" w:rsidR="007B107D" w:rsidRPr="00AB1D70" w:rsidRDefault="007B107D" w:rsidP="007B107D">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84" w:name="_Toc67328802"/>
            <w:r w:rsidRPr="00AB1D70">
              <w:rPr>
                <w:rFonts w:ascii="Arial" w:eastAsia="Times New Roman" w:hAnsi="Arial" w:cs="Arial"/>
                <w:color w:val="000000" w:themeColor="text1"/>
                <w:sz w:val="20"/>
                <w:szCs w:val="20"/>
              </w:rPr>
              <w:t>Obveze za isplatu plaća i naknada</w:t>
            </w:r>
            <w:bookmarkEnd w:id="484"/>
          </w:p>
        </w:tc>
        <w:tc>
          <w:tcPr>
            <w:tcW w:w="760" w:type="pct"/>
            <w:tcBorders>
              <w:top w:val="nil"/>
              <w:left w:val="nil"/>
              <w:bottom w:val="nil"/>
              <w:right w:val="nil"/>
            </w:tcBorders>
            <w:shd w:val="clear" w:color="auto" w:fill="auto"/>
            <w:vAlign w:val="bottom"/>
          </w:tcPr>
          <w:p w14:paraId="284B5054" w14:textId="13D1DF14" w:rsidR="007B107D" w:rsidRPr="00AB1D70" w:rsidRDefault="000A43C7" w:rsidP="007B107D">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Pr>
                <w:rFonts w:ascii="Arial" w:eastAsia="Arial Unicode MS" w:hAnsi="Arial" w:cs="Arial"/>
                <w:color w:val="000000" w:themeColor="text1"/>
                <w:sz w:val="20"/>
                <w:szCs w:val="20"/>
              </w:rPr>
              <w:t>1.520</w:t>
            </w:r>
          </w:p>
        </w:tc>
        <w:tc>
          <w:tcPr>
            <w:tcW w:w="784" w:type="pct"/>
            <w:tcBorders>
              <w:top w:val="nil"/>
              <w:left w:val="nil"/>
              <w:bottom w:val="nil"/>
              <w:right w:val="nil"/>
            </w:tcBorders>
            <w:shd w:val="clear" w:color="auto" w:fill="auto"/>
            <w:vAlign w:val="bottom"/>
          </w:tcPr>
          <w:p w14:paraId="6C5574AA" w14:textId="32416991" w:rsidR="007B107D" w:rsidRPr="00AB1D70" w:rsidRDefault="007B107D" w:rsidP="007B107D">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C75E1D">
              <w:rPr>
                <w:rFonts w:ascii="Arial" w:hAnsi="Arial" w:cs="Arial"/>
                <w:sz w:val="20"/>
              </w:rPr>
              <w:t xml:space="preserve"> 1.363 </w:t>
            </w:r>
          </w:p>
        </w:tc>
        <w:tc>
          <w:tcPr>
            <w:tcW w:w="760" w:type="pct"/>
            <w:tcBorders>
              <w:top w:val="nil"/>
              <w:left w:val="nil"/>
              <w:bottom w:val="nil"/>
              <w:right w:val="nil"/>
            </w:tcBorders>
            <w:shd w:val="clear" w:color="auto" w:fill="auto"/>
            <w:vAlign w:val="bottom"/>
          </w:tcPr>
          <w:p w14:paraId="256988E8" w14:textId="2F2713B5" w:rsidR="007B107D" w:rsidRPr="00294BA6" w:rsidRDefault="007B107D" w:rsidP="007B107D">
            <w:pPr>
              <w:tabs>
                <w:tab w:val="right" w:pos="1202"/>
              </w:tabs>
              <w:suppressAutoHyphens/>
              <w:autoSpaceDN w:val="0"/>
              <w:spacing w:line="301" w:lineRule="exact"/>
              <w:jc w:val="right"/>
              <w:outlineLvl w:val="0"/>
              <w:rPr>
                <w:rFonts w:ascii="Arial" w:hAnsi="Arial" w:cs="Arial"/>
                <w:sz w:val="20"/>
                <w:szCs w:val="20"/>
              </w:rPr>
            </w:pPr>
            <w:r w:rsidRPr="00294BA6">
              <w:rPr>
                <w:rFonts w:ascii="Arial" w:hAnsi="Arial" w:cs="Arial"/>
                <w:sz w:val="20"/>
                <w:szCs w:val="20"/>
              </w:rPr>
              <w:t xml:space="preserve"> 1.482 </w:t>
            </w:r>
          </w:p>
        </w:tc>
        <w:tc>
          <w:tcPr>
            <w:tcW w:w="784" w:type="pct"/>
            <w:tcBorders>
              <w:top w:val="nil"/>
              <w:left w:val="nil"/>
              <w:bottom w:val="nil"/>
              <w:right w:val="nil"/>
            </w:tcBorders>
            <w:shd w:val="clear" w:color="auto" w:fill="auto"/>
            <w:vAlign w:val="bottom"/>
          </w:tcPr>
          <w:p w14:paraId="5CB5FC87" w14:textId="5AE728BD" w:rsidR="007B107D" w:rsidRPr="00AB1D70" w:rsidRDefault="007B107D" w:rsidP="007B107D">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2C67DE">
              <w:rPr>
                <w:rFonts w:ascii="Arial" w:hAnsi="Arial" w:cs="Arial"/>
                <w:sz w:val="20"/>
              </w:rPr>
              <w:t xml:space="preserve"> 1.327 </w:t>
            </w:r>
          </w:p>
        </w:tc>
      </w:tr>
      <w:tr w:rsidR="007B107D" w:rsidRPr="00AB1D70" w14:paraId="1F718889" w14:textId="77777777" w:rsidTr="00294BA6">
        <w:trPr>
          <w:trHeight w:val="57"/>
        </w:trPr>
        <w:tc>
          <w:tcPr>
            <w:tcW w:w="1912" w:type="pct"/>
            <w:vAlign w:val="bottom"/>
          </w:tcPr>
          <w:p w14:paraId="0C304C36" w14:textId="77777777" w:rsidR="007B107D" w:rsidRPr="00AB1D70" w:rsidRDefault="007B107D" w:rsidP="007B107D">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85" w:name="_Toc67328806"/>
            <w:r w:rsidRPr="00AB1D70">
              <w:rPr>
                <w:rFonts w:ascii="Arial" w:eastAsia="Times New Roman" w:hAnsi="Arial" w:cs="Arial"/>
                <w:color w:val="000000" w:themeColor="text1"/>
                <w:sz w:val="20"/>
                <w:szCs w:val="20"/>
              </w:rPr>
              <w:t>Obveze prema dobavljačima</w:t>
            </w:r>
            <w:bookmarkEnd w:id="485"/>
          </w:p>
        </w:tc>
        <w:tc>
          <w:tcPr>
            <w:tcW w:w="760" w:type="pct"/>
            <w:tcBorders>
              <w:top w:val="nil"/>
              <w:left w:val="nil"/>
              <w:bottom w:val="nil"/>
              <w:right w:val="nil"/>
            </w:tcBorders>
            <w:shd w:val="clear" w:color="auto" w:fill="auto"/>
            <w:vAlign w:val="bottom"/>
          </w:tcPr>
          <w:p w14:paraId="33E87841" w14:textId="618FF259" w:rsidR="007B107D" w:rsidRPr="00AB1D70" w:rsidRDefault="000A43C7" w:rsidP="007B107D">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Pr>
                <w:rFonts w:ascii="Arial" w:eastAsia="Arial Unicode MS" w:hAnsi="Arial" w:cs="Arial"/>
                <w:color w:val="000000" w:themeColor="text1"/>
                <w:sz w:val="20"/>
                <w:szCs w:val="20"/>
              </w:rPr>
              <w:t>420</w:t>
            </w:r>
          </w:p>
        </w:tc>
        <w:tc>
          <w:tcPr>
            <w:tcW w:w="784" w:type="pct"/>
            <w:tcBorders>
              <w:top w:val="nil"/>
              <w:left w:val="nil"/>
              <w:bottom w:val="nil"/>
              <w:right w:val="nil"/>
            </w:tcBorders>
            <w:shd w:val="clear" w:color="auto" w:fill="auto"/>
            <w:vAlign w:val="bottom"/>
          </w:tcPr>
          <w:p w14:paraId="785A17C6" w14:textId="127BB9BE" w:rsidR="007B107D" w:rsidRPr="00AB1D70" w:rsidRDefault="007B107D" w:rsidP="007B107D">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C75E1D">
              <w:rPr>
                <w:rFonts w:ascii="Arial" w:hAnsi="Arial" w:cs="Arial"/>
                <w:sz w:val="20"/>
              </w:rPr>
              <w:t xml:space="preserve"> 184 </w:t>
            </w:r>
          </w:p>
        </w:tc>
        <w:tc>
          <w:tcPr>
            <w:tcW w:w="760" w:type="pct"/>
            <w:tcBorders>
              <w:top w:val="nil"/>
              <w:left w:val="nil"/>
              <w:bottom w:val="nil"/>
              <w:right w:val="nil"/>
            </w:tcBorders>
            <w:shd w:val="clear" w:color="auto" w:fill="auto"/>
            <w:vAlign w:val="bottom"/>
          </w:tcPr>
          <w:p w14:paraId="334EEFAE" w14:textId="092BCB9E" w:rsidR="007B107D" w:rsidRPr="00294BA6" w:rsidRDefault="007B107D" w:rsidP="007B107D">
            <w:pPr>
              <w:tabs>
                <w:tab w:val="right" w:pos="1202"/>
              </w:tabs>
              <w:suppressAutoHyphens/>
              <w:autoSpaceDN w:val="0"/>
              <w:spacing w:line="301" w:lineRule="exact"/>
              <w:jc w:val="right"/>
              <w:outlineLvl w:val="0"/>
              <w:rPr>
                <w:rFonts w:ascii="Arial" w:hAnsi="Arial" w:cs="Arial"/>
                <w:sz w:val="20"/>
                <w:szCs w:val="20"/>
              </w:rPr>
            </w:pPr>
            <w:r w:rsidRPr="00294BA6">
              <w:rPr>
                <w:rFonts w:ascii="Arial" w:hAnsi="Arial" w:cs="Arial"/>
                <w:sz w:val="20"/>
                <w:szCs w:val="20"/>
              </w:rPr>
              <w:t xml:space="preserve"> 404 </w:t>
            </w:r>
          </w:p>
        </w:tc>
        <w:tc>
          <w:tcPr>
            <w:tcW w:w="784" w:type="pct"/>
            <w:tcBorders>
              <w:top w:val="nil"/>
              <w:left w:val="nil"/>
              <w:bottom w:val="nil"/>
              <w:right w:val="nil"/>
            </w:tcBorders>
            <w:shd w:val="clear" w:color="auto" w:fill="auto"/>
            <w:vAlign w:val="bottom"/>
          </w:tcPr>
          <w:p w14:paraId="764DBDA6" w14:textId="7112BA31" w:rsidR="007B107D" w:rsidRPr="00AB1D70" w:rsidRDefault="007B107D" w:rsidP="007B107D">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2C67DE">
              <w:rPr>
                <w:rFonts w:ascii="Arial" w:hAnsi="Arial" w:cs="Arial"/>
                <w:sz w:val="20"/>
              </w:rPr>
              <w:t xml:space="preserve"> 159 </w:t>
            </w:r>
          </w:p>
        </w:tc>
      </w:tr>
      <w:tr w:rsidR="007B107D" w:rsidRPr="00AB1D70" w14:paraId="56EBD9BF" w14:textId="77777777" w:rsidTr="00294BA6">
        <w:trPr>
          <w:trHeight w:val="57"/>
        </w:trPr>
        <w:tc>
          <w:tcPr>
            <w:tcW w:w="1912" w:type="pct"/>
            <w:vAlign w:val="bottom"/>
          </w:tcPr>
          <w:p w14:paraId="618FB3BA" w14:textId="77777777" w:rsidR="007B107D" w:rsidRPr="00AB1D70" w:rsidRDefault="007B107D" w:rsidP="007B107D">
            <w:pPr>
              <w:suppressAutoHyphens/>
              <w:autoSpaceDN w:val="0"/>
              <w:rPr>
                <w:rFonts w:ascii="Arial" w:eastAsia="Calibri" w:hAnsi="Arial" w:cs="Arial"/>
                <w:iCs/>
                <w:color w:val="000000" w:themeColor="text1"/>
                <w:sz w:val="20"/>
                <w:szCs w:val="20"/>
              </w:rPr>
            </w:pPr>
            <w:bookmarkStart w:id="486" w:name="_Toc67328810"/>
            <w:r w:rsidRPr="00AB1D70">
              <w:rPr>
                <w:rFonts w:ascii="Arial" w:eastAsia="Calibri" w:hAnsi="Arial" w:cs="Arial"/>
                <w:iCs/>
                <w:color w:val="000000" w:themeColor="text1"/>
                <w:sz w:val="20"/>
                <w:szCs w:val="20"/>
              </w:rPr>
              <w:t>Obveze po više naplaćenim potraživanjima</w:t>
            </w:r>
            <w:bookmarkEnd w:id="486"/>
          </w:p>
        </w:tc>
        <w:tc>
          <w:tcPr>
            <w:tcW w:w="760" w:type="pct"/>
            <w:tcBorders>
              <w:top w:val="nil"/>
              <w:left w:val="nil"/>
              <w:bottom w:val="nil"/>
              <w:right w:val="nil"/>
            </w:tcBorders>
            <w:shd w:val="clear" w:color="auto" w:fill="auto"/>
            <w:vAlign w:val="bottom"/>
          </w:tcPr>
          <w:p w14:paraId="60EEDD1B" w14:textId="1A6342C9" w:rsidR="007B107D" w:rsidRPr="00AB1D70" w:rsidRDefault="000A43C7" w:rsidP="007B107D">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Pr>
                <w:rFonts w:ascii="Arial" w:eastAsia="Arial Unicode MS" w:hAnsi="Arial" w:cs="Arial"/>
                <w:color w:val="000000" w:themeColor="text1"/>
                <w:sz w:val="20"/>
                <w:szCs w:val="20"/>
              </w:rPr>
              <w:t>786</w:t>
            </w:r>
          </w:p>
        </w:tc>
        <w:tc>
          <w:tcPr>
            <w:tcW w:w="784" w:type="pct"/>
            <w:tcBorders>
              <w:top w:val="nil"/>
              <w:left w:val="nil"/>
              <w:bottom w:val="nil"/>
              <w:right w:val="nil"/>
            </w:tcBorders>
            <w:shd w:val="clear" w:color="auto" w:fill="auto"/>
            <w:vAlign w:val="bottom"/>
          </w:tcPr>
          <w:p w14:paraId="46A53C49" w14:textId="2F916E3D" w:rsidR="007B107D" w:rsidRPr="00AB1D70" w:rsidRDefault="007B107D" w:rsidP="007B107D">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C75E1D">
              <w:rPr>
                <w:rFonts w:ascii="Arial" w:hAnsi="Arial" w:cs="Arial"/>
                <w:sz w:val="20"/>
              </w:rPr>
              <w:t xml:space="preserve"> 8</w:t>
            </w:r>
            <w:r>
              <w:rPr>
                <w:rFonts w:ascii="Arial" w:hAnsi="Arial" w:cs="Arial"/>
                <w:sz w:val="20"/>
              </w:rPr>
              <w:t>70</w:t>
            </w:r>
          </w:p>
        </w:tc>
        <w:tc>
          <w:tcPr>
            <w:tcW w:w="760" w:type="pct"/>
            <w:tcBorders>
              <w:top w:val="nil"/>
              <w:left w:val="nil"/>
              <w:bottom w:val="nil"/>
              <w:right w:val="nil"/>
            </w:tcBorders>
            <w:shd w:val="clear" w:color="auto" w:fill="auto"/>
            <w:vAlign w:val="bottom"/>
          </w:tcPr>
          <w:p w14:paraId="4C069070" w14:textId="702F1D19" w:rsidR="007B107D" w:rsidRPr="00294BA6" w:rsidRDefault="007B107D" w:rsidP="007B107D">
            <w:pPr>
              <w:tabs>
                <w:tab w:val="right" w:pos="1202"/>
              </w:tabs>
              <w:suppressAutoHyphens/>
              <w:autoSpaceDN w:val="0"/>
              <w:spacing w:line="301" w:lineRule="exact"/>
              <w:jc w:val="right"/>
              <w:outlineLvl w:val="0"/>
              <w:rPr>
                <w:rFonts w:ascii="Arial" w:hAnsi="Arial" w:cs="Arial"/>
                <w:sz w:val="20"/>
                <w:szCs w:val="20"/>
              </w:rPr>
            </w:pPr>
            <w:r w:rsidRPr="00294BA6">
              <w:rPr>
                <w:rFonts w:ascii="Arial" w:hAnsi="Arial" w:cs="Arial"/>
                <w:sz w:val="20"/>
                <w:szCs w:val="20"/>
              </w:rPr>
              <w:t xml:space="preserve"> 786 </w:t>
            </w:r>
          </w:p>
        </w:tc>
        <w:tc>
          <w:tcPr>
            <w:tcW w:w="784" w:type="pct"/>
            <w:tcBorders>
              <w:top w:val="nil"/>
              <w:left w:val="nil"/>
              <w:bottom w:val="nil"/>
              <w:right w:val="nil"/>
            </w:tcBorders>
            <w:shd w:val="clear" w:color="auto" w:fill="auto"/>
            <w:vAlign w:val="bottom"/>
          </w:tcPr>
          <w:p w14:paraId="32E00350" w14:textId="767DDA57" w:rsidR="007B107D" w:rsidRPr="00AB1D70" w:rsidRDefault="007B107D" w:rsidP="007B107D">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2C67DE">
              <w:rPr>
                <w:rFonts w:ascii="Arial" w:hAnsi="Arial" w:cs="Arial"/>
                <w:sz w:val="20"/>
              </w:rPr>
              <w:t xml:space="preserve"> 870 </w:t>
            </w:r>
          </w:p>
        </w:tc>
      </w:tr>
      <w:tr w:rsidR="007B107D" w:rsidRPr="00AB1D70" w14:paraId="31E3D7C9" w14:textId="77777777" w:rsidTr="00294BA6">
        <w:trPr>
          <w:trHeight w:val="57"/>
        </w:trPr>
        <w:tc>
          <w:tcPr>
            <w:tcW w:w="1912" w:type="pct"/>
            <w:vAlign w:val="bottom"/>
          </w:tcPr>
          <w:p w14:paraId="61BE8E37" w14:textId="4A619457" w:rsidR="007B107D" w:rsidRPr="00AB1D70" w:rsidRDefault="007B107D" w:rsidP="007B107D">
            <w:pPr>
              <w:tabs>
                <w:tab w:val="right" w:pos="1202"/>
              </w:tabs>
              <w:suppressAutoHyphens/>
              <w:autoSpaceDN w:val="0"/>
              <w:spacing w:line="301" w:lineRule="exact"/>
              <w:outlineLvl w:val="0"/>
              <w:rPr>
                <w:rFonts w:ascii="Arial" w:hAnsi="Arial" w:cs="Arial"/>
                <w:sz w:val="20"/>
                <w:szCs w:val="20"/>
              </w:rPr>
            </w:pPr>
            <w:r w:rsidRPr="005D1219">
              <w:rPr>
                <w:rFonts w:ascii="Arial" w:hAnsi="Arial" w:cs="Arial"/>
                <w:color w:val="000000" w:themeColor="text1"/>
                <w:sz w:val="20"/>
              </w:rPr>
              <w:t>Obveze za preostalo pokriće</w:t>
            </w:r>
          </w:p>
        </w:tc>
        <w:tc>
          <w:tcPr>
            <w:tcW w:w="760" w:type="pct"/>
            <w:tcBorders>
              <w:top w:val="nil"/>
              <w:left w:val="nil"/>
              <w:bottom w:val="nil"/>
              <w:right w:val="nil"/>
            </w:tcBorders>
            <w:shd w:val="clear" w:color="auto" w:fill="auto"/>
            <w:vAlign w:val="bottom"/>
          </w:tcPr>
          <w:p w14:paraId="6662B2BA" w14:textId="249F49C7" w:rsidR="007B107D" w:rsidRPr="007478FB" w:rsidRDefault="00BB21D2" w:rsidP="007B107D">
            <w:pPr>
              <w:tabs>
                <w:tab w:val="right" w:pos="1202"/>
              </w:tabs>
              <w:suppressAutoHyphens/>
              <w:autoSpaceDN w:val="0"/>
              <w:spacing w:line="301" w:lineRule="exact"/>
              <w:jc w:val="right"/>
              <w:outlineLvl w:val="0"/>
              <w:rPr>
                <w:rFonts w:ascii="Arial" w:hAnsi="Arial" w:cs="Arial"/>
                <w:sz w:val="20"/>
                <w:szCs w:val="20"/>
              </w:rPr>
            </w:pPr>
            <w:r>
              <w:rPr>
                <w:rFonts w:ascii="Arial" w:hAnsi="Arial" w:cs="Arial"/>
                <w:sz w:val="20"/>
                <w:szCs w:val="20"/>
              </w:rPr>
              <w:t>1.039</w:t>
            </w:r>
          </w:p>
        </w:tc>
        <w:tc>
          <w:tcPr>
            <w:tcW w:w="784" w:type="pct"/>
            <w:tcBorders>
              <w:top w:val="nil"/>
              <w:left w:val="nil"/>
              <w:bottom w:val="nil"/>
              <w:right w:val="nil"/>
            </w:tcBorders>
            <w:shd w:val="clear" w:color="auto" w:fill="auto"/>
            <w:vAlign w:val="bottom"/>
          </w:tcPr>
          <w:p w14:paraId="736F6A86" w14:textId="793EE72F" w:rsidR="007B107D" w:rsidRPr="007478FB" w:rsidRDefault="007B107D" w:rsidP="007B107D">
            <w:pPr>
              <w:tabs>
                <w:tab w:val="right" w:pos="1202"/>
              </w:tabs>
              <w:suppressAutoHyphens/>
              <w:autoSpaceDN w:val="0"/>
              <w:spacing w:line="301" w:lineRule="exact"/>
              <w:jc w:val="right"/>
              <w:outlineLvl w:val="0"/>
              <w:rPr>
                <w:rFonts w:ascii="Arial" w:hAnsi="Arial" w:cs="Arial"/>
                <w:sz w:val="20"/>
                <w:szCs w:val="20"/>
              </w:rPr>
            </w:pPr>
            <w:r w:rsidRPr="00C75E1D">
              <w:rPr>
                <w:rFonts w:ascii="Arial" w:hAnsi="Arial" w:cs="Arial"/>
                <w:sz w:val="20"/>
              </w:rPr>
              <w:t>1.049</w:t>
            </w:r>
          </w:p>
        </w:tc>
        <w:tc>
          <w:tcPr>
            <w:tcW w:w="760" w:type="pct"/>
            <w:tcBorders>
              <w:top w:val="nil"/>
              <w:left w:val="nil"/>
              <w:bottom w:val="nil"/>
              <w:right w:val="nil"/>
            </w:tcBorders>
            <w:shd w:val="clear" w:color="auto" w:fill="auto"/>
            <w:vAlign w:val="bottom"/>
          </w:tcPr>
          <w:p w14:paraId="14569889" w14:textId="545D8D38" w:rsidR="007B107D" w:rsidRPr="00294BA6" w:rsidRDefault="007B107D" w:rsidP="007B107D">
            <w:pPr>
              <w:tabs>
                <w:tab w:val="right" w:pos="1202"/>
              </w:tabs>
              <w:suppressAutoHyphens/>
              <w:autoSpaceDN w:val="0"/>
              <w:spacing w:line="301" w:lineRule="exact"/>
              <w:jc w:val="right"/>
              <w:outlineLvl w:val="0"/>
              <w:rPr>
                <w:rFonts w:ascii="Arial" w:hAnsi="Arial" w:cs="Arial"/>
                <w:sz w:val="20"/>
                <w:szCs w:val="20"/>
              </w:rPr>
            </w:pPr>
            <w:r w:rsidRPr="00294BA6">
              <w:rPr>
                <w:rFonts w:ascii="Arial" w:hAnsi="Arial" w:cs="Arial"/>
                <w:sz w:val="20"/>
                <w:szCs w:val="20"/>
              </w:rPr>
              <w:t>-</w:t>
            </w:r>
          </w:p>
        </w:tc>
        <w:tc>
          <w:tcPr>
            <w:tcW w:w="784" w:type="pct"/>
            <w:tcBorders>
              <w:top w:val="nil"/>
              <w:left w:val="nil"/>
              <w:bottom w:val="nil"/>
              <w:right w:val="nil"/>
            </w:tcBorders>
            <w:shd w:val="clear" w:color="auto" w:fill="auto"/>
            <w:vAlign w:val="bottom"/>
          </w:tcPr>
          <w:p w14:paraId="59266B00" w14:textId="552E3537" w:rsidR="007B107D" w:rsidRPr="00AB1D70" w:rsidRDefault="007B107D" w:rsidP="007B107D">
            <w:pPr>
              <w:tabs>
                <w:tab w:val="right" w:pos="1202"/>
              </w:tabs>
              <w:suppressAutoHyphens/>
              <w:autoSpaceDN w:val="0"/>
              <w:spacing w:line="301" w:lineRule="exact"/>
              <w:jc w:val="right"/>
              <w:outlineLvl w:val="0"/>
              <w:rPr>
                <w:rFonts w:ascii="Arial" w:hAnsi="Arial" w:cs="Arial"/>
                <w:sz w:val="20"/>
                <w:szCs w:val="20"/>
              </w:rPr>
            </w:pPr>
            <w:r w:rsidRPr="002C67DE">
              <w:rPr>
                <w:rFonts w:ascii="Arial" w:hAnsi="Arial" w:cs="Arial"/>
                <w:sz w:val="20"/>
              </w:rPr>
              <w:t>-</w:t>
            </w:r>
          </w:p>
        </w:tc>
      </w:tr>
      <w:tr w:rsidR="007B107D" w:rsidRPr="00AB1D70" w14:paraId="3E0BB1C9" w14:textId="77777777" w:rsidTr="00294BA6">
        <w:trPr>
          <w:trHeight w:val="57"/>
        </w:trPr>
        <w:tc>
          <w:tcPr>
            <w:tcW w:w="1912" w:type="pct"/>
            <w:vAlign w:val="bottom"/>
          </w:tcPr>
          <w:p w14:paraId="37C4FE86" w14:textId="3DC7B5BE" w:rsidR="007B107D" w:rsidRPr="00AB1D70" w:rsidRDefault="007B107D" w:rsidP="007B107D">
            <w:pPr>
              <w:tabs>
                <w:tab w:val="right" w:pos="1202"/>
              </w:tabs>
              <w:suppressAutoHyphens/>
              <w:autoSpaceDN w:val="0"/>
              <w:spacing w:line="301" w:lineRule="exact"/>
              <w:outlineLvl w:val="0"/>
              <w:rPr>
                <w:rFonts w:ascii="Arial" w:eastAsia="Times New Roman" w:hAnsi="Arial" w:cs="Arial"/>
                <w:color w:val="000000" w:themeColor="text1"/>
                <w:sz w:val="20"/>
                <w:szCs w:val="20"/>
              </w:rPr>
            </w:pPr>
            <w:r w:rsidRPr="005D1219">
              <w:rPr>
                <w:rFonts w:ascii="Arial" w:hAnsi="Arial" w:cs="Arial"/>
                <w:color w:val="000000" w:themeColor="text1"/>
                <w:sz w:val="20"/>
              </w:rPr>
              <w:t>Obveze za nastale štete</w:t>
            </w:r>
          </w:p>
        </w:tc>
        <w:tc>
          <w:tcPr>
            <w:tcW w:w="760" w:type="pct"/>
            <w:tcBorders>
              <w:top w:val="nil"/>
              <w:left w:val="nil"/>
              <w:bottom w:val="nil"/>
              <w:right w:val="nil"/>
            </w:tcBorders>
            <w:shd w:val="clear" w:color="auto" w:fill="auto"/>
            <w:vAlign w:val="bottom"/>
          </w:tcPr>
          <w:p w14:paraId="1B652B15" w14:textId="57ADB682" w:rsidR="007B107D" w:rsidRPr="00AB1D70" w:rsidRDefault="00BB21D2" w:rsidP="007B107D">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Pr>
                <w:rFonts w:ascii="Arial" w:eastAsia="Arial Unicode MS" w:hAnsi="Arial" w:cs="Arial"/>
                <w:color w:val="000000" w:themeColor="text1"/>
                <w:sz w:val="20"/>
                <w:szCs w:val="20"/>
              </w:rPr>
              <w:t>1.555</w:t>
            </w:r>
          </w:p>
        </w:tc>
        <w:tc>
          <w:tcPr>
            <w:tcW w:w="784" w:type="pct"/>
            <w:tcBorders>
              <w:top w:val="nil"/>
              <w:left w:val="nil"/>
              <w:bottom w:val="nil"/>
              <w:right w:val="nil"/>
            </w:tcBorders>
            <w:shd w:val="clear" w:color="auto" w:fill="auto"/>
            <w:vAlign w:val="bottom"/>
          </w:tcPr>
          <w:p w14:paraId="13327449" w14:textId="7D37EBC8" w:rsidR="007B107D" w:rsidRPr="00AB1D70" w:rsidRDefault="007B107D" w:rsidP="007B107D">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C75E1D">
              <w:rPr>
                <w:rFonts w:ascii="Arial" w:hAnsi="Arial" w:cs="Arial"/>
                <w:sz w:val="20"/>
              </w:rPr>
              <w:t>1.291</w:t>
            </w:r>
          </w:p>
        </w:tc>
        <w:tc>
          <w:tcPr>
            <w:tcW w:w="760" w:type="pct"/>
            <w:tcBorders>
              <w:top w:val="nil"/>
              <w:left w:val="nil"/>
              <w:bottom w:val="nil"/>
              <w:right w:val="nil"/>
            </w:tcBorders>
            <w:shd w:val="clear" w:color="auto" w:fill="auto"/>
            <w:vAlign w:val="bottom"/>
          </w:tcPr>
          <w:p w14:paraId="11A3DC14" w14:textId="23FF820D" w:rsidR="007B107D" w:rsidRPr="00294BA6" w:rsidRDefault="007B107D" w:rsidP="007B107D">
            <w:pPr>
              <w:tabs>
                <w:tab w:val="right" w:pos="1202"/>
              </w:tabs>
              <w:suppressAutoHyphens/>
              <w:autoSpaceDN w:val="0"/>
              <w:spacing w:line="301" w:lineRule="exact"/>
              <w:jc w:val="right"/>
              <w:outlineLvl w:val="0"/>
              <w:rPr>
                <w:rFonts w:ascii="Arial" w:hAnsi="Arial" w:cs="Arial"/>
                <w:sz w:val="20"/>
                <w:szCs w:val="20"/>
              </w:rPr>
            </w:pPr>
            <w:r w:rsidRPr="00294BA6">
              <w:rPr>
                <w:rFonts w:ascii="Arial" w:hAnsi="Arial" w:cs="Arial"/>
                <w:sz w:val="20"/>
                <w:szCs w:val="20"/>
              </w:rPr>
              <w:t>-</w:t>
            </w:r>
          </w:p>
        </w:tc>
        <w:tc>
          <w:tcPr>
            <w:tcW w:w="784" w:type="pct"/>
            <w:tcBorders>
              <w:top w:val="nil"/>
              <w:left w:val="nil"/>
              <w:bottom w:val="nil"/>
              <w:right w:val="nil"/>
            </w:tcBorders>
            <w:shd w:val="clear" w:color="auto" w:fill="auto"/>
            <w:vAlign w:val="bottom"/>
          </w:tcPr>
          <w:p w14:paraId="563EB0A6" w14:textId="68BC5153" w:rsidR="007B107D" w:rsidRPr="00AB1D70" w:rsidRDefault="007B107D" w:rsidP="007B107D">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2C67DE">
              <w:rPr>
                <w:rFonts w:ascii="Arial" w:hAnsi="Arial" w:cs="Arial"/>
                <w:sz w:val="20"/>
              </w:rPr>
              <w:t>-</w:t>
            </w:r>
          </w:p>
        </w:tc>
      </w:tr>
      <w:tr w:rsidR="007B107D" w:rsidRPr="00AB1D70" w14:paraId="173B514F" w14:textId="77777777" w:rsidTr="00294BA6">
        <w:trPr>
          <w:trHeight w:val="57"/>
        </w:trPr>
        <w:tc>
          <w:tcPr>
            <w:tcW w:w="1912" w:type="pct"/>
            <w:vAlign w:val="bottom"/>
          </w:tcPr>
          <w:p w14:paraId="606EBD5B" w14:textId="77777777" w:rsidR="007B107D" w:rsidRPr="00AB1D70" w:rsidRDefault="007B107D" w:rsidP="007B107D">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87" w:name="_Toc67328830"/>
            <w:r w:rsidRPr="00AB1D70">
              <w:rPr>
                <w:rFonts w:ascii="Arial" w:eastAsia="Times New Roman" w:hAnsi="Arial" w:cs="Arial"/>
                <w:color w:val="000000" w:themeColor="text1"/>
                <w:sz w:val="20"/>
                <w:szCs w:val="20"/>
              </w:rPr>
              <w:t>Odgođena porezna obveza</w:t>
            </w:r>
            <w:bookmarkEnd w:id="487"/>
          </w:p>
        </w:tc>
        <w:tc>
          <w:tcPr>
            <w:tcW w:w="760" w:type="pct"/>
            <w:tcBorders>
              <w:top w:val="nil"/>
              <w:left w:val="nil"/>
              <w:right w:val="nil"/>
            </w:tcBorders>
            <w:shd w:val="clear" w:color="auto" w:fill="auto"/>
            <w:vAlign w:val="bottom"/>
          </w:tcPr>
          <w:p w14:paraId="1363472B" w14:textId="3E3F8A72" w:rsidR="007B107D" w:rsidRPr="00AB1D70" w:rsidRDefault="00BB21D2" w:rsidP="007B107D">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Pr>
                <w:rFonts w:ascii="Arial" w:eastAsia="Arial Unicode MS" w:hAnsi="Arial" w:cs="Arial"/>
                <w:color w:val="000000" w:themeColor="text1"/>
                <w:sz w:val="20"/>
                <w:szCs w:val="20"/>
              </w:rPr>
              <w:t>-</w:t>
            </w:r>
          </w:p>
        </w:tc>
        <w:tc>
          <w:tcPr>
            <w:tcW w:w="784" w:type="pct"/>
            <w:tcBorders>
              <w:top w:val="nil"/>
              <w:left w:val="nil"/>
              <w:right w:val="nil"/>
            </w:tcBorders>
            <w:shd w:val="clear" w:color="auto" w:fill="auto"/>
            <w:vAlign w:val="bottom"/>
          </w:tcPr>
          <w:p w14:paraId="62AE00CE" w14:textId="655D65A5" w:rsidR="007B107D" w:rsidRPr="00AB1D70" w:rsidRDefault="007B107D" w:rsidP="007B107D">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C75E1D">
              <w:rPr>
                <w:rFonts w:ascii="Arial" w:hAnsi="Arial" w:cs="Arial"/>
                <w:sz w:val="20"/>
              </w:rPr>
              <w:t xml:space="preserve">20 </w:t>
            </w:r>
          </w:p>
        </w:tc>
        <w:tc>
          <w:tcPr>
            <w:tcW w:w="760" w:type="pct"/>
            <w:tcBorders>
              <w:top w:val="nil"/>
              <w:left w:val="nil"/>
              <w:right w:val="nil"/>
            </w:tcBorders>
            <w:shd w:val="clear" w:color="auto" w:fill="auto"/>
            <w:vAlign w:val="bottom"/>
          </w:tcPr>
          <w:p w14:paraId="4861C3EA" w14:textId="1C2CE4FF" w:rsidR="007B107D" w:rsidRPr="00294BA6" w:rsidRDefault="007B107D" w:rsidP="007B107D">
            <w:pPr>
              <w:tabs>
                <w:tab w:val="right" w:pos="1202"/>
              </w:tabs>
              <w:suppressAutoHyphens/>
              <w:autoSpaceDN w:val="0"/>
              <w:spacing w:line="301" w:lineRule="exact"/>
              <w:jc w:val="right"/>
              <w:outlineLvl w:val="0"/>
              <w:rPr>
                <w:rFonts w:ascii="Arial" w:hAnsi="Arial" w:cs="Arial"/>
                <w:sz w:val="20"/>
                <w:szCs w:val="20"/>
              </w:rPr>
            </w:pPr>
            <w:r w:rsidRPr="00294BA6">
              <w:rPr>
                <w:rFonts w:ascii="Arial" w:hAnsi="Arial" w:cs="Arial"/>
                <w:sz w:val="20"/>
                <w:szCs w:val="20"/>
              </w:rPr>
              <w:t>-</w:t>
            </w:r>
          </w:p>
        </w:tc>
        <w:tc>
          <w:tcPr>
            <w:tcW w:w="784" w:type="pct"/>
            <w:tcBorders>
              <w:top w:val="nil"/>
              <w:left w:val="nil"/>
              <w:right w:val="nil"/>
            </w:tcBorders>
            <w:shd w:val="clear" w:color="auto" w:fill="auto"/>
            <w:vAlign w:val="bottom"/>
          </w:tcPr>
          <w:p w14:paraId="69A5C31E" w14:textId="1B88CEE5" w:rsidR="007B107D" w:rsidRPr="00AB1D70" w:rsidRDefault="007B107D" w:rsidP="007B107D">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2C67DE">
              <w:rPr>
                <w:rFonts w:ascii="Arial" w:hAnsi="Arial" w:cs="Arial"/>
                <w:sz w:val="20"/>
              </w:rPr>
              <w:t xml:space="preserve"> - </w:t>
            </w:r>
          </w:p>
        </w:tc>
      </w:tr>
      <w:tr w:rsidR="007B107D" w:rsidRPr="00AB1D70" w14:paraId="54E59DE7" w14:textId="77777777" w:rsidTr="00294BA6">
        <w:trPr>
          <w:trHeight w:val="57"/>
        </w:trPr>
        <w:tc>
          <w:tcPr>
            <w:tcW w:w="1912" w:type="pct"/>
            <w:vAlign w:val="bottom"/>
          </w:tcPr>
          <w:p w14:paraId="59AAFD65" w14:textId="77777777" w:rsidR="007B107D" w:rsidRPr="00AB1D70" w:rsidRDefault="007B107D" w:rsidP="007B107D">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88" w:name="_Toc67328834"/>
            <w:r w:rsidRPr="00AB1D70">
              <w:rPr>
                <w:rFonts w:ascii="Arial" w:eastAsia="Times New Roman" w:hAnsi="Arial" w:cs="Arial"/>
                <w:color w:val="000000" w:themeColor="text1"/>
                <w:sz w:val="20"/>
                <w:szCs w:val="20"/>
              </w:rPr>
              <w:t>Porez na dobit-tekuća obveza</w:t>
            </w:r>
            <w:bookmarkEnd w:id="488"/>
          </w:p>
        </w:tc>
        <w:tc>
          <w:tcPr>
            <w:tcW w:w="760" w:type="pct"/>
            <w:tcBorders>
              <w:top w:val="nil"/>
              <w:left w:val="nil"/>
              <w:right w:val="nil"/>
            </w:tcBorders>
            <w:shd w:val="clear" w:color="auto" w:fill="auto"/>
            <w:vAlign w:val="bottom"/>
          </w:tcPr>
          <w:p w14:paraId="0FC7E04A" w14:textId="26AEFC80" w:rsidR="007B107D" w:rsidRPr="00AB1D70" w:rsidRDefault="00BB21D2" w:rsidP="007B107D">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Pr>
                <w:rFonts w:ascii="Arial" w:eastAsia="Arial Unicode MS" w:hAnsi="Arial" w:cs="Arial"/>
                <w:color w:val="000000" w:themeColor="text1"/>
                <w:sz w:val="20"/>
                <w:szCs w:val="20"/>
              </w:rPr>
              <w:t>-</w:t>
            </w:r>
          </w:p>
        </w:tc>
        <w:tc>
          <w:tcPr>
            <w:tcW w:w="784" w:type="pct"/>
            <w:tcBorders>
              <w:top w:val="nil"/>
              <w:left w:val="nil"/>
              <w:right w:val="nil"/>
            </w:tcBorders>
            <w:shd w:val="clear" w:color="auto" w:fill="auto"/>
            <w:vAlign w:val="bottom"/>
          </w:tcPr>
          <w:p w14:paraId="01F42D23" w14:textId="4B114CDF" w:rsidR="007B107D" w:rsidRPr="00AB1D70" w:rsidRDefault="007B107D" w:rsidP="007B107D">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C75E1D">
              <w:rPr>
                <w:rFonts w:ascii="Arial" w:hAnsi="Arial" w:cs="Arial"/>
                <w:sz w:val="20"/>
              </w:rPr>
              <w:t xml:space="preserve">10 </w:t>
            </w:r>
          </w:p>
        </w:tc>
        <w:tc>
          <w:tcPr>
            <w:tcW w:w="760" w:type="pct"/>
            <w:tcBorders>
              <w:top w:val="nil"/>
              <w:left w:val="nil"/>
              <w:right w:val="nil"/>
            </w:tcBorders>
            <w:shd w:val="clear" w:color="auto" w:fill="auto"/>
            <w:vAlign w:val="bottom"/>
          </w:tcPr>
          <w:p w14:paraId="0F743850" w14:textId="0159CDED" w:rsidR="007B107D" w:rsidRPr="00294BA6" w:rsidRDefault="007B107D" w:rsidP="007B107D">
            <w:pPr>
              <w:tabs>
                <w:tab w:val="right" w:pos="1202"/>
              </w:tabs>
              <w:suppressAutoHyphens/>
              <w:autoSpaceDN w:val="0"/>
              <w:spacing w:line="301" w:lineRule="exact"/>
              <w:jc w:val="right"/>
              <w:outlineLvl w:val="0"/>
              <w:rPr>
                <w:rFonts w:ascii="Arial" w:hAnsi="Arial" w:cs="Arial"/>
                <w:sz w:val="20"/>
                <w:szCs w:val="20"/>
              </w:rPr>
            </w:pPr>
            <w:r w:rsidRPr="00294BA6">
              <w:rPr>
                <w:rFonts w:ascii="Arial" w:hAnsi="Arial" w:cs="Arial"/>
                <w:sz w:val="20"/>
                <w:szCs w:val="20"/>
              </w:rPr>
              <w:t>-</w:t>
            </w:r>
          </w:p>
        </w:tc>
        <w:tc>
          <w:tcPr>
            <w:tcW w:w="784" w:type="pct"/>
            <w:tcBorders>
              <w:top w:val="nil"/>
              <w:left w:val="nil"/>
              <w:right w:val="nil"/>
            </w:tcBorders>
            <w:shd w:val="clear" w:color="auto" w:fill="auto"/>
            <w:vAlign w:val="bottom"/>
          </w:tcPr>
          <w:p w14:paraId="78A10910" w14:textId="6A75F6B0" w:rsidR="007B107D" w:rsidRPr="00AB1D70" w:rsidRDefault="007B107D" w:rsidP="007B107D">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2C67DE">
              <w:rPr>
                <w:rFonts w:ascii="Arial" w:hAnsi="Arial" w:cs="Arial"/>
                <w:sz w:val="20"/>
              </w:rPr>
              <w:t xml:space="preserve"> - </w:t>
            </w:r>
          </w:p>
        </w:tc>
      </w:tr>
      <w:tr w:rsidR="007B107D" w:rsidRPr="00AB1D70" w14:paraId="7718A09A" w14:textId="77777777" w:rsidTr="00294BA6">
        <w:trPr>
          <w:trHeight w:val="57"/>
        </w:trPr>
        <w:tc>
          <w:tcPr>
            <w:tcW w:w="1912" w:type="pct"/>
            <w:vAlign w:val="bottom"/>
          </w:tcPr>
          <w:p w14:paraId="07E780C3" w14:textId="77777777" w:rsidR="007B107D" w:rsidRPr="00AB1D70" w:rsidRDefault="007B107D" w:rsidP="007B107D">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89" w:name="_Toc67328838"/>
            <w:r w:rsidRPr="00AB1D70">
              <w:rPr>
                <w:rFonts w:ascii="Arial" w:eastAsia="Times New Roman" w:hAnsi="Arial" w:cs="Arial"/>
                <w:color w:val="000000" w:themeColor="text1"/>
                <w:sz w:val="20"/>
                <w:szCs w:val="20"/>
              </w:rPr>
              <w:t>Obveze po osnovi najma</w:t>
            </w:r>
            <w:bookmarkEnd w:id="489"/>
          </w:p>
        </w:tc>
        <w:tc>
          <w:tcPr>
            <w:tcW w:w="760" w:type="pct"/>
            <w:tcBorders>
              <w:top w:val="nil"/>
              <w:left w:val="nil"/>
              <w:right w:val="nil"/>
            </w:tcBorders>
            <w:shd w:val="clear" w:color="auto" w:fill="auto"/>
            <w:vAlign w:val="bottom"/>
          </w:tcPr>
          <w:p w14:paraId="57436426" w14:textId="71C0D295" w:rsidR="007B107D" w:rsidRPr="00AB1D70" w:rsidRDefault="007A088A" w:rsidP="007B107D">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Pr>
                <w:rFonts w:ascii="Arial" w:eastAsia="Arial Unicode MS" w:hAnsi="Arial" w:cs="Arial"/>
                <w:color w:val="000000" w:themeColor="text1"/>
                <w:sz w:val="20"/>
                <w:szCs w:val="20"/>
              </w:rPr>
              <w:t>1.566</w:t>
            </w:r>
          </w:p>
        </w:tc>
        <w:tc>
          <w:tcPr>
            <w:tcW w:w="784" w:type="pct"/>
            <w:tcBorders>
              <w:top w:val="nil"/>
              <w:left w:val="nil"/>
              <w:right w:val="nil"/>
            </w:tcBorders>
            <w:shd w:val="clear" w:color="auto" w:fill="auto"/>
            <w:vAlign w:val="bottom"/>
          </w:tcPr>
          <w:p w14:paraId="4F65DF32" w14:textId="71BEF05C" w:rsidR="007B107D" w:rsidRPr="00AB1D70" w:rsidRDefault="007B107D" w:rsidP="007B107D">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C75E1D">
              <w:rPr>
                <w:rFonts w:ascii="Arial" w:eastAsia="Arial Unicode MS" w:hAnsi="Arial" w:cs="Arial"/>
                <w:color w:val="000000" w:themeColor="text1"/>
                <w:sz w:val="20"/>
              </w:rPr>
              <w:t>2.043</w:t>
            </w:r>
          </w:p>
        </w:tc>
        <w:tc>
          <w:tcPr>
            <w:tcW w:w="760" w:type="pct"/>
            <w:tcBorders>
              <w:top w:val="nil"/>
              <w:left w:val="nil"/>
              <w:right w:val="nil"/>
            </w:tcBorders>
            <w:shd w:val="clear" w:color="auto" w:fill="auto"/>
            <w:vAlign w:val="bottom"/>
          </w:tcPr>
          <w:p w14:paraId="12304F64" w14:textId="0B5DAB4A" w:rsidR="007B107D" w:rsidRPr="00294BA6" w:rsidRDefault="007B107D" w:rsidP="007B107D">
            <w:pPr>
              <w:tabs>
                <w:tab w:val="right" w:pos="1202"/>
              </w:tabs>
              <w:suppressAutoHyphens/>
              <w:autoSpaceDN w:val="0"/>
              <w:spacing w:line="301" w:lineRule="exact"/>
              <w:jc w:val="right"/>
              <w:outlineLvl w:val="0"/>
              <w:rPr>
                <w:rFonts w:ascii="Arial" w:hAnsi="Arial" w:cs="Arial"/>
                <w:sz w:val="20"/>
                <w:szCs w:val="20"/>
              </w:rPr>
            </w:pPr>
            <w:r w:rsidRPr="00294BA6">
              <w:rPr>
                <w:rFonts w:ascii="Arial" w:hAnsi="Arial" w:cs="Arial"/>
                <w:sz w:val="20"/>
                <w:szCs w:val="20"/>
              </w:rPr>
              <w:t xml:space="preserve"> 1.467 </w:t>
            </w:r>
          </w:p>
        </w:tc>
        <w:tc>
          <w:tcPr>
            <w:tcW w:w="784" w:type="pct"/>
            <w:tcBorders>
              <w:top w:val="nil"/>
              <w:left w:val="nil"/>
              <w:right w:val="nil"/>
            </w:tcBorders>
            <w:shd w:val="clear" w:color="auto" w:fill="auto"/>
            <w:vAlign w:val="bottom"/>
          </w:tcPr>
          <w:p w14:paraId="62627B14" w14:textId="4A85B36D" w:rsidR="007B107D" w:rsidRPr="00AB1D70" w:rsidRDefault="007B107D" w:rsidP="007B107D">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2C67DE">
              <w:rPr>
                <w:rFonts w:ascii="Arial" w:eastAsia="Arial Unicode MS" w:hAnsi="Arial" w:cs="Arial"/>
                <w:color w:val="000000" w:themeColor="text1"/>
                <w:sz w:val="20"/>
              </w:rPr>
              <w:t>2.042</w:t>
            </w:r>
          </w:p>
        </w:tc>
      </w:tr>
      <w:tr w:rsidR="007B107D" w:rsidRPr="00AB1D70" w14:paraId="33FA6CA1" w14:textId="77777777" w:rsidTr="00294BA6">
        <w:trPr>
          <w:trHeight w:val="57"/>
        </w:trPr>
        <w:tc>
          <w:tcPr>
            <w:tcW w:w="1912" w:type="pct"/>
            <w:vAlign w:val="bottom"/>
          </w:tcPr>
          <w:p w14:paraId="06D63B32" w14:textId="77777777" w:rsidR="007B107D" w:rsidRPr="00AB1D70" w:rsidRDefault="007B107D" w:rsidP="007B107D">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90" w:name="_Toc67328842"/>
            <w:r w:rsidRPr="00AB1D70">
              <w:rPr>
                <w:rFonts w:ascii="Arial" w:eastAsia="Times New Roman" w:hAnsi="Arial" w:cs="Arial"/>
                <w:color w:val="000000" w:themeColor="text1"/>
                <w:sz w:val="20"/>
                <w:szCs w:val="20"/>
              </w:rPr>
              <w:t>Ostale obveze</w:t>
            </w:r>
            <w:bookmarkEnd w:id="490"/>
          </w:p>
        </w:tc>
        <w:tc>
          <w:tcPr>
            <w:tcW w:w="760" w:type="pct"/>
            <w:tcBorders>
              <w:left w:val="nil"/>
              <w:right w:val="nil"/>
            </w:tcBorders>
            <w:shd w:val="clear" w:color="auto" w:fill="auto"/>
            <w:vAlign w:val="bottom"/>
          </w:tcPr>
          <w:p w14:paraId="63A99B65" w14:textId="62868966" w:rsidR="007B107D" w:rsidRPr="00AB1D70" w:rsidRDefault="007A088A" w:rsidP="007B107D">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Pr>
                <w:rFonts w:ascii="Arial" w:eastAsia="Arial Unicode MS" w:hAnsi="Arial" w:cs="Arial"/>
                <w:color w:val="000000" w:themeColor="text1"/>
                <w:sz w:val="20"/>
                <w:szCs w:val="20"/>
              </w:rPr>
              <w:t>602</w:t>
            </w:r>
          </w:p>
        </w:tc>
        <w:tc>
          <w:tcPr>
            <w:tcW w:w="784" w:type="pct"/>
            <w:tcBorders>
              <w:left w:val="nil"/>
              <w:right w:val="nil"/>
            </w:tcBorders>
            <w:shd w:val="clear" w:color="auto" w:fill="auto"/>
            <w:vAlign w:val="bottom"/>
          </w:tcPr>
          <w:p w14:paraId="7CBB4E4D" w14:textId="4517E219" w:rsidR="007B107D" w:rsidRPr="00AB1D70" w:rsidRDefault="007B107D" w:rsidP="007B107D">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C75E1D">
              <w:rPr>
                <w:rFonts w:ascii="Arial" w:eastAsia="Arial Unicode MS" w:hAnsi="Arial" w:cs="Arial"/>
                <w:color w:val="000000" w:themeColor="text1"/>
                <w:sz w:val="20"/>
              </w:rPr>
              <w:t>92</w:t>
            </w:r>
            <w:r>
              <w:rPr>
                <w:rFonts w:ascii="Arial" w:eastAsia="Arial Unicode MS" w:hAnsi="Arial" w:cs="Arial"/>
                <w:color w:val="000000" w:themeColor="text1"/>
                <w:sz w:val="20"/>
              </w:rPr>
              <w:t>7</w:t>
            </w:r>
          </w:p>
        </w:tc>
        <w:tc>
          <w:tcPr>
            <w:tcW w:w="760" w:type="pct"/>
            <w:tcBorders>
              <w:left w:val="nil"/>
              <w:right w:val="nil"/>
            </w:tcBorders>
            <w:shd w:val="clear" w:color="auto" w:fill="auto"/>
            <w:vAlign w:val="bottom"/>
          </w:tcPr>
          <w:p w14:paraId="38B7CD4B" w14:textId="2380FE7E" w:rsidR="007B107D" w:rsidRPr="00294BA6" w:rsidRDefault="007B107D" w:rsidP="007B107D">
            <w:pPr>
              <w:tabs>
                <w:tab w:val="right" w:pos="1202"/>
              </w:tabs>
              <w:suppressAutoHyphens/>
              <w:autoSpaceDN w:val="0"/>
              <w:spacing w:line="301" w:lineRule="exact"/>
              <w:jc w:val="right"/>
              <w:outlineLvl w:val="0"/>
              <w:rPr>
                <w:rFonts w:ascii="Arial" w:hAnsi="Arial" w:cs="Arial"/>
                <w:sz w:val="20"/>
                <w:szCs w:val="20"/>
              </w:rPr>
            </w:pPr>
            <w:r w:rsidRPr="00294BA6">
              <w:rPr>
                <w:rFonts w:ascii="Arial" w:hAnsi="Arial" w:cs="Arial"/>
                <w:sz w:val="20"/>
                <w:szCs w:val="20"/>
              </w:rPr>
              <w:t xml:space="preserve"> 533 </w:t>
            </w:r>
          </w:p>
        </w:tc>
        <w:tc>
          <w:tcPr>
            <w:tcW w:w="784" w:type="pct"/>
            <w:tcBorders>
              <w:left w:val="nil"/>
              <w:right w:val="nil"/>
            </w:tcBorders>
            <w:shd w:val="clear" w:color="auto" w:fill="auto"/>
            <w:vAlign w:val="bottom"/>
          </w:tcPr>
          <w:p w14:paraId="7E4B90AE" w14:textId="06412F3F" w:rsidR="007B107D" w:rsidRPr="00AB1D70" w:rsidRDefault="007B107D" w:rsidP="007B107D">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2C67DE">
              <w:rPr>
                <w:rFonts w:ascii="Arial" w:eastAsia="Arial Unicode MS" w:hAnsi="Arial" w:cs="Arial"/>
                <w:color w:val="000000" w:themeColor="text1"/>
                <w:sz w:val="20"/>
              </w:rPr>
              <w:t>865</w:t>
            </w:r>
          </w:p>
        </w:tc>
      </w:tr>
      <w:tr w:rsidR="007B107D" w:rsidRPr="00AB1D70" w14:paraId="485F8017" w14:textId="77777777" w:rsidTr="00294BA6">
        <w:trPr>
          <w:trHeight w:val="57"/>
        </w:trPr>
        <w:tc>
          <w:tcPr>
            <w:tcW w:w="1912" w:type="pct"/>
            <w:vAlign w:val="bottom"/>
          </w:tcPr>
          <w:p w14:paraId="2CE165C8" w14:textId="4A18023B" w:rsidR="007B107D" w:rsidRPr="00AB1D70" w:rsidRDefault="007B107D" w:rsidP="007B107D">
            <w:pPr>
              <w:tabs>
                <w:tab w:val="right" w:pos="1202"/>
              </w:tabs>
              <w:suppressAutoHyphens/>
              <w:autoSpaceDN w:val="0"/>
              <w:spacing w:line="301" w:lineRule="exact"/>
              <w:outlineLvl w:val="0"/>
              <w:rPr>
                <w:rFonts w:ascii="Arial" w:eastAsia="Times New Roman" w:hAnsi="Arial" w:cs="Arial"/>
                <w:color w:val="000000" w:themeColor="text1"/>
                <w:sz w:val="20"/>
                <w:szCs w:val="20"/>
              </w:rPr>
            </w:pPr>
            <w:r w:rsidRPr="005D1219">
              <w:rPr>
                <w:rFonts w:ascii="Arial" w:hAnsi="Arial" w:cs="Arial"/>
                <w:color w:val="000000" w:themeColor="text1"/>
                <w:sz w:val="20"/>
              </w:rPr>
              <w:t>Derivativne financijske obveze</w:t>
            </w:r>
          </w:p>
        </w:tc>
        <w:tc>
          <w:tcPr>
            <w:tcW w:w="760" w:type="pct"/>
            <w:tcBorders>
              <w:left w:val="nil"/>
              <w:right w:val="nil"/>
            </w:tcBorders>
            <w:shd w:val="clear" w:color="auto" w:fill="auto"/>
            <w:vAlign w:val="bottom"/>
          </w:tcPr>
          <w:p w14:paraId="5E0A6B11" w14:textId="0B841C77" w:rsidR="007B107D" w:rsidRPr="00AB1D70" w:rsidRDefault="007A088A" w:rsidP="007B107D">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Pr>
                <w:rFonts w:ascii="Arial" w:eastAsia="Arial Unicode MS" w:hAnsi="Arial" w:cs="Arial"/>
                <w:color w:val="000000" w:themeColor="text1"/>
                <w:sz w:val="20"/>
                <w:szCs w:val="20"/>
              </w:rPr>
              <w:t>63</w:t>
            </w:r>
          </w:p>
        </w:tc>
        <w:tc>
          <w:tcPr>
            <w:tcW w:w="784" w:type="pct"/>
            <w:tcBorders>
              <w:left w:val="nil"/>
              <w:right w:val="nil"/>
            </w:tcBorders>
            <w:shd w:val="clear" w:color="auto" w:fill="auto"/>
            <w:vAlign w:val="bottom"/>
          </w:tcPr>
          <w:p w14:paraId="50BA5AF8" w14:textId="4049A97B" w:rsidR="007B107D" w:rsidRPr="00AB1D70" w:rsidRDefault="007B107D" w:rsidP="007B107D">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C75E1D">
              <w:rPr>
                <w:rFonts w:ascii="Arial" w:eastAsia="Arial Unicode MS" w:hAnsi="Arial" w:cs="Arial"/>
                <w:color w:val="000000" w:themeColor="text1"/>
                <w:sz w:val="20"/>
              </w:rPr>
              <w:t>100</w:t>
            </w:r>
          </w:p>
        </w:tc>
        <w:tc>
          <w:tcPr>
            <w:tcW w:w="760" w:type="pct"/>
            <w:tcBorders>
              <w:left w:val="nil"/>
              <w:right w:val="nil"/>
            </w:tcBorders>
            <w:shd w:val="clear" w:color="auto" w:fill="auto"/>
            <w:vAlign w:val="bottom"/>
          </w:tcPr>
          <w:p w14:paraId="1840B63C" w14:textId="26AFF29F" w:rsidR="007B107D" w:rsidRPr="00294BA6" w:rsidRDefault="007B107D" w:rsidP="007B107D">
            <w:pPr>
              <w:tabs>
                <w:tab w:val="right" w:pos="1202"/>
              </w:tabs>
              <w:suppressAutoHyphens/>
              <w:autoSpaceDN w:val="0"/>
              <w:spacing w:line="301" w:lineRule="exact"/>
              <w:jc w:val="right"/>
              <w:outlineLvl w:val="0"/>
              <w:rPr>
                <w:rFonts w:ascii="Arial" w:hAnsi="Arial" w:cs="Arial"/>
                <w:sz w:val="20"/>
                <w:szCs w:val="20"/>
              </w:rPr>
            </w:pPr>
            <w:r w:rsidRPr="00294BA6">
              <w:rPr>
                <w:rFonts w:ascii="Arial" w:hAnsi="Arial" w:cs="Arial"/>
                <w:sz w:val="20"/>
                <w:szCs w:val="20"/>
              </w:rPr>
              <w:t xml:space="preserve"> 63 </w:t>
            </w:r>
          </w:p>
        </w:tc>
        <w:tc>
          <w:tcPr>
            <w:tcW w:w="784" w:type="pct"/>
            <w:tcBorders>
              <w:left w:val="nil"/>
              <w:right w:val="nil"/>
            </w:tcBorders>
            <w:shd w:val="clear" w:color="auto" w:fill="auto"/>
            <w:vAlign w:val="bottom"/>
          </w:tcPr>
          <w:p w14:paraId="059BE2FC" w14:textId="0DBE44C7" w:rsidR="007B107D" w:rsidRPr="00AB1D70" w:rsidRDefault="007B107D" w:rsidP="007B107D">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2C67DE">
              <w:rPr>
                <w:rFonts w:ascii="Arial" w:eastAsia="Arial Unicode MS" w:hAnsi="Arial" w:cs="Arial"/>
                <w:color w:val="000000" w:themeColor="text1"/>
                <w:sz w:val="20"/>
              </w:rPr>
              <w:t>100</w:t>
            </w:r>
          </w:p>
        </w:tc>
      </w:tr>
      <w:tr w:rsidR="007B107D" w:rsidRPr="00AB1D70" w14:paraId="01E3B66A" w14:textId="77777777" w:rsidTr="00294BA6">
        <w:trPr>
          <w:trHeight w:val="57"/>
        </w:trPr>
        <w:tc>
          <w:tcPr>
            <w:tcW w:w="1912" w:type="pct"/>
            <w:vAlign w:val="bottom"/>
          </w:tcPr>
          <w:p w14:paraId="29263B6D" w14:textId="77777777" w:rsidR="007B107D" w:rsidRPr="00AB1D70" w:rsidRDefault="007B107D" w:rsidP="007B107D">
            <w:pPr>
              <w:tabs>
                <w:tab w:val="right" w:pos="1202"/>
              </w:tabs>
              <w:suppressAutoHyphens/>
              <w:autoSpaceDN w:val="0"/>
              <w:spacing w:line="340" w:lineRule="exact"/>
              <w:outlineLvl w:val="0"/>
              <w:rPr>
                <w:rFonts w:ascii="Arial" w:eastAsia="Times New Roman" w:hAnsi="Arial" w:cs="Arial"/>
                <w:b/>
                <w:bCs/>
                <w:color w:val="000000" w:themeColor="text1"/>
                <w:sz w:val="20"/>
                <w:szCs w:val="20"/>
              </w:rPr>
            </w:pPr>
          </w:p>
        </w:tc>
        <w:tc>
          <w:tcPr>
            <w:tcW w:w="760" w:type="pct"/>
            <w:tcBorders>
              <w:top w:val="single" w:sz="4" w:space="0" w:color="auto"/>
              <w:bottom w:val="single" w:sz="12" w:space="0" w:color="auto"/>
            </w:tcBorders>
            <w:vAlign w:val="bottom"/>
          </w:tcPr>
          <w:p w14:paraId="3AC27D65" w14:textId="6C6250B4" w:rsidR="007B107D" w:rsidRPr="00AB1D70" w:rsidRDefault="007A088A" w:rsidP="007B107D">
            <w:pPr>
              <w:tabs>
                <w:tab w:val="right" w:pos="1202"/>
              </w:tabs>
              <w:suppressAutoHyphens/>
              <w:autoSpaceDN w:val="0"/>
              <w:spacing w:line="301" w:lineRule="exact"/>
              <w:jc w:val="right"/>
              <w:outlineLvl w:val="0"/>
              <w:rPr>
                <w:rFonts w:ascii="Arial" w:eastAsia="Arial Unicode MS" w:hAnsi="Arial" w:cs="Arial"/>
                <w:b/>
                <w:bCs/>
                <w:color w:val="000000" w:themeColor="text1"/>
                <w:sz w:val="20"/>
                <w:szCs w:val="20"/>
              </w:rPr>
            </w:pPr>
            <w:r>
              <w:rPr>
                <w:rFonts w:ascii="Arial" w:eastAsia="Arial Unicode MS" w:hAnsi="Arial" w:cs="Arial"/>
                <w:b/>
                <w:bCs/>
                <w:color w:val="000000" w:themeColor="text1"/>
                <w:sz w:val="20"/>
                <w:szCs w:val="20"/>
              </w:rPr>
              <w:t>78.411</w:t>
            </w:r>
          </w:p>
        </w:tc>
        <w:tc>
          <w:tcPr>
            <w:tcW w:w="784" w:type="pct"/>
            <w:tcBorders>
              <w:top w:val="single" w:sz="4" w:space="0" w:color="auto"/>
              <w:bottom w:val="single" w:sz="12" w:space="0" w:color="auto"/>
            </w:tcBorders>
            <w:vAlign w:val="bottom"/>
          </w:tcPr>
          <w:p w14:paraId="52515964" w14:textId="64F7A9B3" w:rsidR="007B107D" w:rsidRPr="00AB1D70" w:rsidRDefault="007B107D" w:rsidP="007B107D">
            <w:pPr>
              <w:tabs>
                <w:tab w:val="right" w:pos="1202"/>
              </w:tabs>
              <w:suppressAutoHyphens/>
              <w:autoSpaceDN w:val="0"/>
              <w:spacing w:line="301" w:lineRule="exact"/>
              <w:jc w:val="right"/>
              <w:outlineLvl w:val="0"/>
              <w:rPr>
                <w:rFonts w:ascii="Arial" w:eastAsia="Arial Unicode MS" w:hAnsi="Arial" w:cs="Arial"/>
                <w:b/>
                <w:bCs/>
                <w:color w:val="000000" w:themeColor="text1"/>
                <w:sz w:val="20"/>
                <w:szCs w:val="20"/>
              </w:rPr>
            </w:pPr>
            <w:r w:rsidRPr="00C75E1D">
              <w:rPr>
                <w:rFonts w:ascii="Arial" w:hAnsi="Arial" w:cs="Arial"/>
                <w:b/>
                <w:bCs/>
                <w:color w:val="000000" w:themeColor="text1"/>
                <w:sz w:val="20"/>
              </w:rPr>
              <w:t>93.223</w:t>
            </w:r>
          </w:p>
        </w:tc>
        <w:tc>
          <w:tcPr>
            <w:tcW w:w="760" w:type="pct"/>
            <w:tcBorders>
              <w:top w:val="single" w:sz="4" w:space="0" w:color="auto"/>
              <w:bottom w:val="single" w:sz="12" w:space="0" w:color="auto"/>
            </w:tcBorders>
            <w:vAlign w:val="bottom"/>
          </w:tcPr>
          <w:p w14:paraId="15DF3908" w14:textId="46FB7399" w:rsidR="007B107D" w:rsidRPr="00294BA6" w:rsidRDefault="007B107D" w:rsidP="007B107D">
            <w:pPr>
              <w:tabs>
                <w:tab w:val="right" w:pos="1202"/>
              </w:tabs>
              <w:suppressAutoHyphens/>
              <w:autoSpaceDN w:val="0"/>
              <w:spacing w:line="301" w:lineRule="exact"/>
              <w:jc w:val="right"/>
              <w:outlineLvl w:val="0"/>
              <w:rPr>
                <w:rFonts w:ascii="Arial" w:eastAsia="Arial Unicode MS" w:hAnsi="Arial" w:cs="Arial"/>
                <w:b/>
                <w:bCs/>
                <w:color w:val="000000" w:themeColor="text1"/>
                <w:sz w:val="20"/>
                <w:szCs w:val="20"/>
              </w:rPr>
            </w:pPr>
            <w:r w:rsidRPr="00294BA6">
              <w:rPr>
                <w:rFonts w:ascii="Arial" w:hAnsi="Arial" w:cs="Arial"/>
                <w:b/>
                <w:bCs/>
                <w:sz w:val="20"/>
                <w:szCs w:val="20"/>
              </w:rPr>
              <w:t xml:space="preserve"> 75.595 </w:t>
            </w:r>
          </w:p>
        </w:tc>
        <w:tc>
          <w:tcPr>
            <w:tcW w:w="784" w:type="pct"/>
            <w:tcBorders>
              <w:top w:val="single" w:sz="4" w:space="0" w:color="auto"/>
              <w:bottom w:val="single" w:sz="12" w:space="0" w:color="auto"/>
            </w:tcBorders>
            <w:vAlign w:val="bottom"/>
          </w:tcPr>
          <w:p w14:paraId="2F9BAA5E" w14:textId="5761454E" w:rsidR="007B107D" w:rsidRPr="00AB1D70" w:rsidRDefault="007B107D" w:rsidP="007B107D">
            <w:pPr>
              <w:tabs>
                <w:tab w:val="right" w:pos="1202"/>
              </w:tabs>
              <w:suppressAutoHyphens/>
              <w:autoSpaceDN w:val="0"/>
              <w:spacing w:line="301" w:lineRule="exact"/>
              <w:jc w:val="right"/>
              <w:outlineLvl w:val="0"/>
              <w:rPr>
                <w:rFonts w:ascii="Arial" w:eastAsia="Arial Unicode MS" w:hAnsi="Arial" w:cs="Arial"/>
                <w:b/>
                <w:bCs/>
                <w:color w:val="000000" w:themeColor="text1"/>
                <w:sz w:val="20"/>
                <w:szCs w:val="20"/>
              </w:rPr>
            </w:pPr>
            <w:r w:rsidRPr="002C67DE">
              <w:rPr>
                <w:rFonts w:ascii="Arial" w:hAnsi="Arial" w:cs="Arial"/>
                <w:b/>
                <w:bCs/>
                <w:color w:val="000000" w:themeColor="text1"/>
                <w:sz w:val="20"/>
              </w:rPr>
              <w:t>90.729</w:t>
            </w:r>
          </w:p>
        </w:tc>
      </w:tr>
      <w:bookmarkEnd w:id="482"/>
    </w:tbl>
    <w:p w14:paraId="17D9A0F4" w14:textId="77777777" w:rsidR="00AD5F37" w:rsidRPr="003D1614" w:rsidRDefault="00AD5F37" w:rsidP="00AD5F37">
      <w:pPr>
        <w:tabs>
          <w:tab w:val="left" w:pos="-1843"/>
        </w:tabs>
        <w:suppressAutoHyphens/>
        <w:autoSpaceDN w:val="0"/>
        <w:rPr>
          <w:rFonts w:ascii="Arial" w:eastAsia="Times New Roman" w:hAnsi="Arial" w:cs="Arial"/>
          <w:b/>
          <w:color w:val="000000" w:themeColor="text1"/>
          <w:spacing w:val="-3"/>
          <w:sz w:val="20"/>
          <w:szCs w:val="20"/>
        </w:rPr>
      </w:pPr>
    </w:p>
    <w:p w14:paraId="13007D13" w14:textId="3D8D600D" w:rsidR="00AD5F37" w:rsidRDefault="00AD5F37" w:rsidP="00825AD5">
      <w:pPr>
        <w:pStyle w:val="ListParagraph"/>
        <w:numPr>
          <w:ilvl w:val="0"/>
          <w:numId w:val="34"/>
        </w:numPr>
        <w:autoSpaceDE w:val="0"/>
        <w:ind w:left="284" w:hanging="284"/>
        <w:jc w:val="both"/>
        <w:rPr>
          <w:rFonts w:ascii="Arial" w:hAnsi="Arial" w:cs="Arial"/>
          <w:color w:val="000000" w:themeColor="text1"/>
          <w:spacing w:val="-3"/>
          <w:sz w:val="20"/>
          <w:szCs w:val="20"/>
          <w:lang w:val="hr-HR"/>
        </w:rPr>
      </w:pPr>
      <w:r w:rsidRPr="00825AD5">
        <w:rPr>
          <w:rFonts w:ascii="Arial" w:eastAsia="Calibri" w:hAnsi="Arial" w:cs="Arial"/>
          <w:color w:val="000000" w:themeColor="text1"/>
          <w:sz w:val="20"/>
          <w:szCs w:val="20"/>
        </w:rPr>
        <w:t>O</w:t>
      </w:r>
      <w:r w:rsidRPr="007478FB">
        <w:rPr>
          <w:rFonts w:ascii="Arial" w:hAnsi="Arial" w:cs="Arial"/>
          <w:color w:val="000000" w:themeColor="text1"/>
          <w:spacing w:val="-3"/>
          <w:sz w:val="20"/>
          <w:szCs w:val="20"/>
          <w:lang w:val="hr-HR"/>
        </w:rPr>
        <w:t>bveze za subvencioniranje kamatne stope odnose se na predujmove preuzete za subvencioniranje kamatnih stopa po kreditima, koji su odobreni uz nižu kamatnu stopu krajnjim korisnicima po programima koje HBOR provodi u ime i za račun Republike Hrvatske. Ove obveze odnose se na:</w:t>
      </w:r>
    </w:p>
    <w:p w14:paraId="2E7C542A" w14:textId="77777777" w:rsidR="00CA0869" w:rsidRDefault="00CA0869" w:rsidP="00CA0869">
      <w:pPr>
        <w:pStyle w:val="ListParagraph"/>
        <w:autoSpaceDE w:val="0"/>
        <w:ind w:left="284"/>
        <w:jc w:val="both"/>
        <w:rPr>
          <w:rFonts w:ascii="Arial" w:hAnsi="Arial" w:cs="Arial"/>
          <w:color w:val="000000" w:themeColor="text1"/>
          <w:spacing w:val="-3"/>
          <w:sz w:val="20"/>
          <w:szCs w:val="20"/>
          <w:lang w:val="hr-HR"/>
        </w:rPr>
      </w:pPr>
    </w:p>
    <w:p w14:paraId="5AD8624B" w14:textId="46CBC367" w:rsidR="00CA0869" w:rsidRDefault="00CA0869" w:rsidP="00CA0869">
      <w:pPr>
        <w:numPr>
          <w:ilvl w:val="0"/>
          <w:numId w:val="7"/>
        </w:numPr>
        <w:tabs>
          <w:tab w:val="left" w:pos="-1843"/>
        </w:tabs>
        <w:suppressAutoHyphens/>
        <w:autoSpaceDN w:val="0"/>
        <w:jc w:val="both"/>
        <w:rPr>
          <w:rFonts w:ascii="Arial" w:eastAsia="Times New Roman" w:hAnsi="Arial" w:cs="Arial"/>
          <w:color w:val="000000" w:themeColor="text1"/>
          <w:spacing w:val="-3"/>
          <w:sz w:val="20"/>
          <w:szCs w:val="20"/>
        </w:rPr>
      </w:pPr>
      <w:r w:rsidRPr="00445CC5">
        <w:rPr>
          <w:rFonts w:ascii="Arial" w:eastAsia="Times New Roman" w:hAnsi="Arial" w:cs="Arial"/>
          <w:color w:val="000000" w:themeColor="text1"/>
          <w:spacing w:val="-3"/>
          <w:sz w:val="20"/>
          <w:szCs w:val="20"/>
        </w:rPr>
        <w:t xml:space="preserve">Program povlaštenog financiranja po kreditnim programima HBOR-a u iznosu </w:t>
      </w:r>
      <w:r w:rsidRPr="0008758D">
        <w:rPr>
          <w:rFonts w:ascii="Arial" w:eastAsia="Times New Roman" w:hAnsi="Arial" w:cs="Arial"/>
          <w:color w:val="000000" w:themeColor="text1"/>
          <w:spacing w:val="-3"/>
          <w:sz w:val="20"/>
          <w:szCs w:val="20"/>
        </w:rPr>
        <w:t xml:space="preserve">od </w:t>
      </w:r>
      <w:r w:rsidR="00B02935">
        <w:rPr>
          <w:rFonts w:ascii="Arial" w:eastAsia="Times New Roman" w:hAnsi="Arial" w:cs="Arial"/>
          <w:color w:val="000000" w:themeColor="text1"/>
          <w:sz w:val="20"/>
          <w:szCs w:val="20"/>
        </w:rPr>
        <w:t>23.339</w:t>
      </w:r>
      <w:r w:rsidRPr="0008758D">
        <w:rPr>
          <w:rFonts w:ascii="Arial" w:eastAsia="Times New Roman" w:hAnsi="Arial" w:cs="Arial"/>
          <w:color w:val="000000" w:themeColor="text1"/>
          <w:sz w:val="20"/>
          <w:szCs w:val="20"/>
        </w:rPr>
        <w:t xml:space="preserve"> </w:t>
      </w:r>
      <w:r w:rsidRPr="0008758D">
        <w:rPr>
          <w:rFonts w:ascii="Arial" w:eastAsia="Times New Roman" w:hAnsi="Arial" w:cs="Arial"/>
          <w:color w:val="000000" w:themeColor="text1"/>
          <w:spacing w:val="-3"/>
          <w:sz w:val="20"/>
          <w:szCs w:val="20"/>
        </w:rPr>
        <w:t>tisuća</w:t>
      </w:r>
      <w:r w:rsidRPr="00445CC5">
        <w:rPr>
          <w:rFonts w:ascii="Arial" w:eastAsia="Times New Roman" w:hAnsi="Arial" w:cs="Arial"/>
          <w:color w:val="000000" w:themeColor="text1"/>
          <w:spacing w:val="-3"/>
          <w:sz w:val="20"/>
          <w:szCs w:val="20"/>
        </w:rPr>
        <w:t xml:space="preserve"> eura (</w:t>
      </w:r>
      <w:r w:rsidRPr="003D1614">
        <w:rPr>
          <w:rFonts w:ascii="Arial" w:eastAsia="Times New Roman" w:hAnsi="Arial" w:cs="Arial"/>
          <w:color w:val="000000" w:themeColor="text1"/>
          <w:spacing w:val="-3"/>
          <w:sz w:val="20"/>
          <w:szCs w:val="20"/>
        </w:rPr>
        <w:t>31. prosinca 202</w:t>
      </w:r>
      <w:r>
        <w:rPr>
          <w:rFonts w:ascii="Arial" w:eastAsia="Times New Roman" w:hAnsi="Arial" w:cs="Arial"/>
          <w:color w:val="000000" w:themeColor="text1"/>
          <w:spacing w:val="-3"/>
          <w:sz w:val="20"/>
          <w:szCs w:val="20"/>
        </w:rPr>
        <w:t>3</w:t>
      </w:r>
      <w:r w:rsidRPr="003D1614">
        <w:rPr>
          <w:rFonts w:ascii="Arial" w:eastAsia="Times New Roman" w:hAnsi="Arial" w:cs="Arial"/>
          <w:color w:val="000000" w:themeColor="text1"/>
          <w:spacing w:val="-3"/>
          <w:sz w:val="20"/>
          <w:szCs w:val="20"/>
        </w:rPr>
        <w:t xml:space="preserve">.: </w:t>
      </w:r>
      <w:r>
        <w:rPr>
          <w:rFonts w:ascii="Arial" w:eastAsia="Times New Roman" w:hAnsi="Arial" w:cs="Arial"/>
          <w:color w:val="000000" w:themeColor="text1"/>
          <w:spacing w:val="-3"/>
          <w:sz w:val="20"/>
          <w:szCs w:val="20"/>
        </w:rPr>
        <w:t>18.429</w:t>
      </w:r>
      <w:r w:rsidRPr="003D1614">
        <w:rPr>
          <w:rFonts w:ascii="Arial" w:eastAsia="Times New Roman" w:hAnsi="Arial" w:cs="Arial"/>
          <w:color w:val="000000" w:themeColor="text1"/>
          <w:sz w:val="20"/>
          <w:szCs w:val="20"/>
        </w:rPr>
        <w:t xml:space="preserve"> </w:t>
      </w:r>
      <w:r w:rsidRPr="003D1614">
        <w:rPr>
          <w:rFonts w:ascii="Arial" w:eastAsia="Times New Roman" w:hAnsi="Arial" w:cs="Arial"/>
          <w:color w:val="000000" w:themeColor="text1"/>
          <w:spacing w:val="-3"/>
          <w:sz w:val="20"/>
          <w:szCs w:val="20"/>
        </w:rPr>
        <w:t>tisuća eura),</w:t>
      </w:r>
    </w:p>
    <w:p w14:paraId="3A3FAEEA" w14:textId="1C23E05F" w:rsidR="00CA0869" w:rsidRPr="003D1614" w:rsidRDefault="00CA0869" w:rsidP="00CA0869">
      <w:pPr>
        <w:numPr>
          <w:ilvl w:val="0"/>
          <w:numId w:val="7"/>
        </w:numPr>
        <w:tabs>
          <w:tab w:val="left" w:pos="-1843"/>
        </w:tabs>
        <w:suppressAutoHyphens/>
        <w:autoSpaceDN w:val="0"/>
        <w:jc w:val="both"/>
        <w:rPr>
          <w:rFonts w:ascii="Arial" w:eastAsia="Times New Roman" w:hAnsi="Arial" w:cs="Arial"/>
          <w:color w:val="000000" w:themeColor="text1"/>
          <w:spacing w:val="-3"/>
          <w:sz w:val="20"/>
          <w:szCs w:val="20"/>
        </w:rPr>
      </w:pPr>
      <w:r w:rsidRPr="00807A6C">
        <w:rPr>
          <w:rFonts w:ascii="Arial" w:eastAsia="Times New Roman" w:hAnsi="Arial" w:cs="Arial"/>
          <w:color w:val="000000" w:themeColor="text1"/>
          <w:spacing w:val="-3"/>
          <w:sz w:val="20"/>
          <w:szCs w:val="20"/>
        </w:rPr>
        <w:t>Financijski instrument Fonda subvencija kamata po kreditima za mikro, male i srednje poslovne subjekte u iznosu od</w:t>
      </w:r>
      <w:r w:rsidRPr="00807A6C">
        <w:rPr>
          <w:rFonts w:ascii="Arial" w:eastAsia="Times New Roman" w:hAnsi="Arial" w:cs="Arial"/>
          <w:color w:val="000000" w:themeColor="text1"/>
          <w:sz w:val="20"/>
          <w:szCs w:val="20"/>
        </w:rPr>
        <w:t xml:space="preserve"> </w:t>
      </w:r>
      <w:r w:rsidR="00293834">
        <w:rPr>
          <w:rFonts w:ascii="Arial" w:eastAsia="Times New Roman" w:hAnsi="Arial" w:cs="Arial"/>
          <w:color w:val="000000" w:themeColor="text1"/>
          <w:sz w:val="20"/>
          <w:szCs w:val="20"/>
        </w:rPr>
        <w:t>5</w:t>
      </w:r>
      <w:r w:rsidRPr="00807A6C">
        <w:rPr>
          <w:rFonts w:ascii="Arial" w:eastAsia="Times New Roman" w:hAnsi="Arial" w:cs="Arial"/>
          <w:color w:val="000000" w:themeColor="text1"/>
          <w:sz w:val="20"/>
          <w:szCs w:val="20"/>
        </w:rPr>
        <w:t xml:space="preserve"> </w:t>
      </w:r>
      <w:r w:rsidRPr="00807A6C">
        <w:rPr>
          <w:rFonts w:ascii="Arial" w:eastAsia="Times New Roman" w:hAnsi="Arial" w:cs="Arial"/>
          <w:color w:val="000000" w:themeColor="text1"/>
          <w:spacing w:val="-3"/>
          <w:sz w:val="20"/>
          <w:szCs w:val="20"/>
        </w:rPr>
        <w:t xml:space="preserve">tisuća eura </w:t>
      </w:r>
      <w:r w:rsidRPr="00DD05B7">
        <w:rPr>
          <w:rFonts w:ascii="Arial" w:eastAsia="Times New Roman" w:hAnsi="Arial" w:cs="Arial"/>
          <w:color w:val="000000" w:themeColor="text1"/>
          <w:spacing w:val="-3"/>
          <w:sz w:val="20"/>
          <w:szCs w:val="20"/>
        </w:rPr>
        <w:t>(31. prosinca 202</w:t>
      </w:r>
      <w:r>
        <w:rPr>
          <w:rFonts w:ascii="Arial" w:eastAsia="Times New Roman" w:hAnsi="Arial" w:cs="Arial"/>
          <w:color w:val="000000" w:themeColor="text1"/>
          <w:spacing w:val="-3"/>
          <w:sz w:val="20"/>
          <w:szCs w:val="20"/>
        </w:rPr>
        <w:t>3</w:t>
      </w:r>
      <w:r w:rsidRPr="00DD05B7">
        <w:rPr>
          <w:rFonts w:ascii="Arial" w:eastAsia="Times New Roman" w:hAnsi="Arial" w:cs="Arial"/>
          <w:color w:val="000000" w:themeColor="text1"/>
          <w:spacing w:val="-3"/>
          <w:sz w:val="20"/>
          <w:szCs w:val="20"/>
        </w:rPr>
        <w:t xml:space="preserve">.: </w:t>
      </w:r>
      <w:r>
        <w:rPr>
          <w:rFonts w:ascii="Arial" w:eastAsia="Times New Roman" w:hAnsi="Arial" w:cs="Arial"/>
          <w:color w:val="000000" w:themeColor="text1"/>
          <w:spacing w:val="-3"/>
          <w:sz w:val="20"/>
          <w:szCs w:val="20"/>
        </w:rPr>
        <w:t>4.950</w:t>
      </w:r>
      <w:r w:rsidRPr="00DD05B7">
        <w:rPr>
          <w:rFonts w:ascii="Arial" w:eastAsia="Times New Roman" w:hAnsi="Arial" w:cs="Arial"/>
          <w:color w:val="000000" w:themeColor="text1"/>
          <w:spacing w:val="-3"/>
          <w:sz w:val="20"/>
          <w:szCs w:val="20"/>
        </w:rPr>
        <w:t xml:space="preserve"> tisuća</w:t>
      </w:r>
      <w:r w:rsidRPr="003D1614">
        <w:rPr>
          <w:rFonts w:ascii="Arial" w:eastAsia="Times New Roman" w:hAnsi="Arial" w:cs="Arial"/>
          <w:color w:val="000000" w:themeColor="text1"/>
          <w:spacing w:val="-3"/>
          <w:sz w:val="20"/>
          <w:szCs w:val="20"/>
        </w:rPr>
        <w:t xml:space="preserve"> eura),</w:t>
      </w:r>
    </w:p>
    <w:p w14:paraId="38260E6A" w14:textId="40ED6AEE" w:rsidR="00CA0869" w:rsidRPr="00E07974" w:rsidRDefault="00CA0869" w:rsidP="00CA0869">
      <w:pPr>
        <w:numPr>
          <w:ilvl w:val="0"/>
          <w:numId w:val="7"/>
        </w:numPr>
        <w:tabs>
          <w:tab w:val="left" w:pos="-1843"/>
        </w:tabs>
        <w:suppressAutoHyphens/>
        <w:autoSpaceDN w:val="0"/>
        <w:jc w:val="both"/>
        <w:rPr>
          <w:rFonts w:ascii="Arial" w:eastAsia="Times New Roman" w:hAnsi="Arial" w:cs="Arial"/>
          <w:color w:val="000000" w:themeColor="text1"/>
          <w:spacing w:val="-3"/>
          <w:sz w:val="20"/>
          <w:szCs w:val="20"/>
        </w:rPr>
      </w:pPr>
      <w:r w:rsidRPr="00E07974">
        <w:rPr>
          <w:rFonts w:ascii="Arial" w:eastAsia="Times New Roman" w:hAnsi="Arial" w:cs="Arial"/>
          <w:color w:val="000000" w:themeColor="text1"/>
          <w:spacing w:val="-3"/>
          <w:sz w:val="20"/>
          <w:szCs w:val="20"/>
        </w:rPr>
        <w:t xml:space="preserve">Financijski instrument Fonda subvencija kamata po kreditima subjektima srednje tržišne kapitalizacije i velikim poslovnim subjektima u iznosu od </w:t>
      </w:r>
      <w:r w:rsidR="00AB7789">
        <w:rPr>
          <w:rFonts w:ascii="Arial" w:eastAsia="Times New Roman" w:hAnsi="Arial" w:cs="Arial"/>
          <w:color w:val="000000" w:themeColor="text1"/>
          <w:spacing w:val="-3"/>
          <w:sz w:val="20"/>
          <w:szCs w:val="20"/>
        </w:rPr>
        <w:t>106</w:t>
      </w:r>
      <w:r w:rsidRPr="007F2511">
        <w:rPr>
          <w:rFonts w:ascii="Arial" w:eastAsia="Times New Roman" w:hAnsi="Arial" w:cs="Arial"/>
          <w:color w:val="000000" w:themeColor="text1"/>
          <w:sz w:val="20"/>
          <w:szCs w:val="20"/>
        </w:rPr>
        <w:t xml:space="preserve"> </w:t>
      </w:r>
      <w:r w:rsidRPr="007F2511">
        <w:rPr>
          <w:rFonts w:ascii="Arial" w:eastAsia="Times New Roman" w:hAnsi="Arial" w:cs="Arial"/>
          <w:color w:val="000000" w:themeColor="text1"/>
          <w:spacing w:val="-3"/>
          <w:sz w:val="20"/>
          <w:szCs w:val="20"/>
        </w:rPr>
        <w:t>tisuća</w:t>
      </w:r>
      <w:r w:rsidRPr="00E07974">
        <w:rPr>
          <w:rFonts w:ascii="Arial" w:eastAsia="Times New Roman" w:hAnsi="Arial" w:cs="Arial"/>
          <w:color w:val="000000" w:themeColor="text1"/>
          <w:spacing w:val="-3"/>
          <w:sz w:val="20"/>
          <w:szCs w:val="20"/>
        </w:rPr>
        <w:t xml:space="preserve"> eura (31. prosinca 2023.: 5.393</w:t>
      </w:r>
      <w:r w:rsidRPr="00E07974">
        <w:rPr>
          <w:rFonts w:ascii="Arial" w:eastAsia="Times New Roman" w:hAnsi="Arial" w:cs="Arial"/>
          <w:color w:val="000000" w:themeColor="text1"/>
          <w:sz w:val="20"/>
          <w:szCs w:val="20"/>
        </w:rPr>
        <w:t xml:space="preserve"> </w:t>
      </w:r>
      <w:r w:rsidRPr="00E07974">
        <w:rPr>
          <w:rFonts w:ascii="Arial" w:eastAsia="Times New Roman" w:hAnsi="Arial" w:cs="Arial"/>
          <w:color w:val="000000" w:themeColor="text1"/>
          <w:spacing w:val="-3"/>
          <w:sz w:val="20"/>
          <w:szCs w:val="20"/>
        </w:rPr>
        <w:t xml:space="preserve"> tisuća eura),</w:t>
      </w:r>
    </w:p>
    <w:p w14:paraId="2703D652" w14:textId="2A1852FF" w:rsidR="00CA0869" w:rsidRPr="007F2511" w:rsidRDefault="00CA0869" w:rsidP="00CA0869">
      <w:pPr>
        <w:numPr>
          <w:ilvl w:val="0"/>
          <w:numId w:val="7"/>
        </w:numPr>
        <w:tabs>
          <w:tab w:val="left" w:pos="-1843"/>
        </w:tabs>
        <w:suppressAutoHyphens/>
        <w:autoSpaceDN w:val="0"/>
        <w:jc w:val="both"/>
        <w:rPr>
          <w:rFonts w:ascii="Arial" w:eastAsia="Times New Roman" w:hAnsi="Arial" w:cs="Arial"/>
          <w:color w:val="000000" w:themeColor="text1"/>
          <w:spacing w:val="-3"/>
          <w:sz w:val="20"/>
          <w:szCs w:val="20"/>
        </w:rPr>
      </w:pPr>
      <w:r w:rsidRPr="00E07974">
        <w:rPr>
          <w:rFonts w:ascii="Arial" w:eastAsia="Times New Roman" w:hAnsi="Arial" w:cs="Arial"/>
          <w:color w:val="000000" w:themeColor="text1"/>
          <w:spacing w:val="-3"/>
          <w:sz w:val="20"/>
          <w:szCs w:val="20"/>
        </w:rPr>
        <w:t xml:space="preserve">Financijski instrument Fonda subvencija kamata po kreditima za subjekte javnog sektora u iznosu od </w:t>
      </w:r>
      <w:r w:rsidR="00AB7789">
        <w:rPr>
          <w:rFonts w:ascii="Arial" w:eastAsia="Times New Roman" w:hAnsi="Arial" w:cs="Arial"/>
          <w:color w:val="000000" w:themeColor="text1"/>
          <w:spacing w:val="-3"/>
          <w:sz w:val="20"/>
          <w:szCs w:val="20"/>
        </w:rPr>
        <w:t>10</w:t>
      </w:r>
      <w:r w:rsidRPr="00E07974">
        <w:rPr>
          <w:rFonts w:ascii="Arial" w:eastAsia="Times New Roman" w:hAnsi="Arial" w:cs="Arial"/>
          <w:color w:val="000000" w:themeColor="text1"/>
          <w:sz w:val="20"/>
          <w:szCs w:val="20"/>
        </w:rPr>
        <w:t xml:space="preserve"> </w:t>
      </w:r>
      <w:r w:rsidRPr="00E07974">
        <w:rPr>
          <w:rFonts w:ascii="Arial" w:eastAsia="Times New Roman" w:hAnsi="Arial" w:cs="Arial"/>
          <w:color w:val="000000" w:themeColor="text1"/>
          <w:spacing w:val="-3"/>
          <w:sz w:val="20"/>
          <w:szCs w:val="20"/>
        </w:rPr>
        <w:t>tisuća eura (31. prosinca 2023.: 6.079</w:t>
      </w:r>
      <w:r w:rsidRPr="00E07974">
        <w:rPr>
          <w:rFonts w:ascii="Arial" w:eastAsia="Times New Roman" w:hAnsi="Arial" w:cs="Arial"/>
          <w:color w:val="000000" w:themeColor="text1"/>
          <w:sz w:val="20"/>
          <w:szCs w:val="20"/>
        </w:rPr>
        <w:t xml:space="preserve"> </w:t>
      </w:r>
      <w:r w:rsidRPr="00E07974">
        <w:rPr>
          <w:rFonts w:ascii="Arial" w:eastAsia="Times New Roman" w:hAnsi="Arial" w:cs="Arial"/>
          <w:color w:val="000000" w:themeColor="text1"/>
          <w:spacing w:val="-3"/>
          <w:sz w:val="20"/>
          <w:szCs w:val="20"/>
        </w:rPr>
        <w:t xml:space="preserve"> tisuća eura)</w:t>
      </w:r>
      <w:r w:rsidRPr="007F2511">
        <w:rPr>
          <w:rFonts w:ascii="Arial" w:eastAsia="Times New Roman" w:hAnsi="Arial" w:cs="Arial"/>
          <w:color w:val="000000" w:themeColor="text1"/>
          <w:spacing w:val="-3"/>
          <w:sz w:val="20"/>
          <w:szCs w:val="20"/>
        </w:rPr>
        <w:t>,</w:t>
      </w:r>
    </w:p>
    <w:p w14:paraId="5941CB26" w14:textId="77777777" w:rsidR="00CA0869" w:rsidRPr="007F2511" w:rsidRDefault="00CA0869" w:rsidP="00CA0869">
      <w:pPr>
        <w:numPr>
          <w:ilvl w:val="0"/>
          <w:numId w:val="7"/>
        </w:numPr>
        <w:tabs>
          <w:tab w:val="left" w:pos="-1843"/>
        </w:tabs>
        <w:suppressAutoHyphens/>
        <w:autoSpaceDN w:val="0"/>
        <w:jc w:val="both"/>
        <w:rPr>
          <w:rFonts w:ascii="Arial" w:eastAsia="Times New Roman" w:hAnsi="Arial" w:cs="Arial"/>
          <w:color w:val="000000" w:themeColor="text1"/>
          <w:spacing w:val="-3"/>
          <w:sz w:val="20"/>
          <w:szCs w:val="20"/>
        </w:rPr>
      </w:pPr>
      <w:bookmarkStart w:id="491" w:name="_Hlk174541688"/>
      <w:r w:rsidRPr="007F2511">
        <w:rPr>
          <w:rFonts w:ascii="Arial" w:eastAsia="Times New Roman" w:hAnsi="Arial" w:cs="Arial"/>
          <w:color w:val="000000" w:themeColor="text1"/>
          <w:spacing w:val="-3"/>
          <w:sz w:val="20"/>
          <w:szCs w:val="20"/>
        </w:rPr>
        <w:t>Financijski instrument Obrtna sredstva – mjera za poduzetnike u djelatnostima prerade drva i proizvodnje namještaja u iznosu od 3.000 tisuća eura (31. prosinca 2023.: 0 tisuća eura).</w:t>
      </w:r>
    </w:p>
    <w:bookmarkEnd w:id="491"/>
    <w:p w14:paraId="49A505B2" w14:textId="77777777" w:rsidR="00CA0869" w:rsidRPr="007478FB" w:rsidRDefault="00CA0869" w:rsidP="00CA0869">
      <w:pPr>
        <w:pStyle w:val="ListParagraph"/>
        <w:autoSpaceDE w:val="0"/>
        <w:ind w:left="284"/>
        <w:jc w:val="both"/>
        <w:rPr>
          <w:rFonts w:ascii="Arial" w:hAnsi="Arial" w:cs="Arial"/>
          <w:color w:val="000000" w:themeColor="text1"/>
          <w:spacing w:val="-3"/>
          <w:sz w:val="20"/>
          <w:szCs w:val="20"/>
          <w:lang w:val="hr-HR"/>
        </w:rPr>
      </w:pPr>
    </w:p>
    <w:p w14:paraId="6C39EB72" w14:textId="4FDEC3ED" w:rsidR="00C41B3B" w:rsidRPr="003D1614" w:rsidRDefault="00C41B3B" w:rsidP="00C41B3B">
      <w:pPr>
        <w:tabs>
          <w:tab w:val="left" w:pos="-1843"/>
        </w:tabs>
        <w:suppressAutoHyphens/>
        <w:spacing w:after="120"/>
        <w:jc w:val="both"/>
        <w:rPr>
          <w:rFonts w:ascii="Arial" w:eastAsia="Times New Roman" w:hAnsi="Arial" w:cs="Arial"/>
          <w:color w:val="000000" w:themeColor="text1"/>
          <w:spacing w:val="-3"/>
          <w:sz w:val="20"/>
          <w:szCs w:val="20"/>
        </w:rPr>
        <w:sectPr w:rsidR="00C41B3B" w:rsidRPr="003D1614">
          <w:pgSz w:w="11906" w:h="16838"/>
          <w:pgMar w:top="1417" w:right="1417" w:bottom="1417" w:left="1417" w:header="708" w:footer="708" w:gutter="0"/>
          <w:cols w:space="708"/>
          <w:docGrid w:linePitch="360"/>
        </w:sectPr>
      </w:pPr>
      <w:r w:rsidRPr="003D1614">
        <w:rPr>
          <w:rFonts w:ascii="Arial" w:eastAsia="Times New Roman" w:hAnsi="Arial" w:cs="Arial"/>
          <w:color w:val="000000" w:themeColor="text1"/>
          <w:spacing w:val="-3"/>
          <w:sz w:val="20"/>
          <w:szCs w:val="20"/>
        </w:rPr>
        <w:t xml:space="preserve">(b) Odgođeno priznavanje kamatnih prihoda u iznosu od </w:t>
      </w:r>
      <w:r w:rsidR="006A12A3">
        <w:rPr>
          <w:rFonts w:ascii="Arial" w:eastAsia="Times New Roman" w:hAnsi="Arial" w:cs="Arial"/>
          <w:color w:val="000000" w:themeColor="text1"/>
          <w:spacing w:val="-3"/>
          <w:sz w:val="20"/>
          <w:szCs w:val="20"/>
        </w:rPr>
        <w:t>44.400</w:t>
      </w:r>
      <w:r w:rsidRPr="003D1614">
        <w:rPr>
          <w:rFonts w:ascii="Arial" w:eastAsia="Times New Roman" w:hAnsi="Arial" w:cs="Arial"/>
          <w:color w:val="000000" w:themeColor="text1"/>
          <w:sz w:val="20"/>
          <w:szCs w:val="20"/>
        </w:rPr>
        <w:t xml:space="preserve"> </w:t>
      </w:r>
      <w:r w:rsidRPr="003D1614">
        <w:rPr>
          <w:rFonts w:ascii="Arial" w:eastAsia="Times New Roman" w:hAnsi="Arial" w:cs="Arial"/>
          <w:color w:val="000000" w:themeColor="text1"/>
          <w:spacing w:val="-3"/>
          <w:sz w:val="20"/>
          <w:szCs w:val="20"/>
        </w:rPr>
        <w:t>tisuća eura (31. prosinca 202</w:t>
      </w:r>
      <w:r>
        <w:rPr>
          <w:rFonts w:ascii="Arial" w:eastAsia="Times New Roman" w:hAnsi="Arial" w:cs="Arial"/>
          <w:color w:val="000000" w:themeColor="text1"/>
          <w:spacing w:val="-3"/>
          <w:sz w:val="20"/>
          <w:szCs w:val="20"/>
        </w:rPr>
        <w:t>3</w:t>
      </w:r>
      <w:r w:rsidRPr="003D1614">
        <w:rPr>
          <w:rFonts w:ascii="Arial" w:eastAsia="Times New Roman" w:hAnsi="Arial" w:cs="Arial"/>
          <w:color w:val="000000" w:themeColor="text1"/>
          <w:spacing w:val="-3"/>
          <w:sz w:val="20"/>
          <w:szCs w:val="20"/>
        </w:rPr>
        <w:t xml:space="preserve">.: </w:t>
      </w:r>
      <w:r>
        <w:rPr>
          <w:rFonts w:ascii="Arial" w:eastAsia="Times New Roman" w:hAnsi="Arial" w:cs="Arial"/>
          <w:color w:val="000000" w:themeColor="text1"/>
          <w:spacing w:val="-3"/>
          <w:sz w:val="20"/>
          <w:szCs w:val="20"/>
        </w:rPr>
        <w:t>50.515</w:t>
      </w:r>
      <w:r w:rsidRPr="003D1614">
        <w:rPr>
          <w:rFonts w:ascii="Arial" w:eastAsia="Times New Roman" w:hAnsi="Arial" w:cs="Arial"/>
          <w:color w:val="000000" w:themeColor="text1"/>
          <w:sz w:val="20"/>
          <w:szCs w:val="20"/>
        </w:rPr>
        <w:t xml:space="preserve"> </w:t>
      </w:r>
      <w:r w:rsidRPr="003D1614">
        <w:rPr>
          <w:rFonts w:ascii="Arial" w:eastAsia="Times New Roman" w:hAnsi="Arial" w:cs="Arial"/>
          <w:color w:val="000000" w:themeColor="text1"/>
          <w:spacing w:val="-3"/>
          <w:sz w:val="20"/>
          <w:szCs w:val="20"/>
        </w:rPr>
        <w:t xml:space="preserve">tisuća eura) sastoji se od državne subvencije za kamate na kredite, koji su odobreni i povučeni od strane krajnjeg korisnika po nižoj kamatnoj stopi, ali još nisu u fazi otplate u iznosu od </w:t>
      </w:r>
      <w:r w:rsidR="00C418D5">
        <w:rPr>
          <w:rFonts w:ascii="Arial" w:eastAsia="Times New Roman" w:hAnsi="Arial" w:cs="Arial"/>
          <w:color w:val="000000" w:themeColor="text1"/>
          <w:spacing w:val="-3"/>
          <w:sz w:val="20"/>
          <w:szCs w:val="20"/>
        </w:rPr>
        <w:t>0</w:t>
      </w:r>
      <w:r w:rsidRPr="003D1614">
        <w:rPr>
          <w:rFonts w:ascii="Arial" w:eastAsia="Times New Roman" w:hAnsi="Arial" w:cs="Arial"/>
          <w:color w:val="000000" w:themeColor="text1"/>
          <w:spacing w:val="-3"/>
          <w:sz w:val="20"/>
          <w:szCs w:val="20"/>
        </w:rPr>
        <w:t xml:space="preserve"> eura (31. prosinca 202</w:t>
      </w:r>
      <w:r>
        <w:rPr>
          <w:rFonts w:ascii="Arial" w:eastAsia="Times New Roman" w:hAnsi="Arial" w:cs="Arial"/>
          <w:color w:val="000000" w:themeColor="text1"/>
          <w:spacing w:val="-3"/>
          <w:sz w:val="20"/>
          <w:szCs w:val="20"/>
        </w:rPr>
        <w:t>3</w:t>
      </w:r>
      <w:r w:rsidRPr="003D1614">
        <w:rPr>
          <w:rFonts w:ascii="Arial" w:eastAsia="Times New Roman" w:hAnsi="Arial" w:cs="Arial"/>
          <w:color w:val="000000" w:themeColor="text1"/>
          <w:spacing w:val="-3"/>
          <w:sz w:val="20"/>
          <w:szCs w:val="20"/>
        </w:rPr>
        <w:t>.:</w:t>
      </w:r>
      <w:r>
        <w:rPr>
          <w:rFonts w:ascii="Arial" w:eastAsia="Times New Roman" w:hAnsi="Arial" w:cs="Arial"/>
          <w:color w:val="000000" w:themeColor="text1"/>
          <w:spacing w:val="-3"/>
          <w:sz w:val="20"/>
          <w:szCs w:val="20"/>
        </w:rPr>
        <w:t xml:space="preserve"> 13.532</w:t>
      </w:r>
      <w:r w:rsidRPr="003D1614">
        <w:rPr>
          <w:rFonts w:ascii="Arial" w:eastAsia="Times New Roman" w:hAnsi="Arial" w:cs="Arial"/>
          <w:color w:val="000000" w:themeColor="text1"/>
          <w:sz w:val="20"/>
          <w:szCs w:val="20"/>
        </w:rPr>
        <w:t xml:space="preserve"> </w:t>
      </w:r>
      <w:r w:rsidRPr="003D1614">
        <w:rPr>
          <w:rFonts w:ascii="Arial" w:eastAsia="Times New Roman" w:hAnsi="Arial" w:cs="Arial"/>
          <w:color w:val="000000" w:themeColor="text1"/>
          <w:spacing w:val="-3"/>
          <w:sz w:val="20"/>
          <w:szCs w:val="20"/>
        </w:rPr>
        <w:t xml:space="preserve">tisuća eura) te onih koji su u fazi otplate u iznosu od </w:t>
      </w:r>
      <w:r w:rsidR="00D23A62">
        <w:rPr>
          <w:rFonts w:ascii="Arial" w:eastAsia="Times New Roman" w:hAnsi="Arial" w:cs="Arial"/>
          <w:color w:val="000000" w:themeColor="text1"/>
          <w:spacing w:val="-3"/>
          <w:sz w:val="20"/>
          <w:szCs w:val="20"/>
        </w:rPr>
        <w:t>44.400</w:t>
      </w:r>
      <w:r w:rsidRPr="003D1614">
        <w:rPr>
          <w:rFonts w:ascii="Arial" w:eastAsia="Times New Roman" w:hAnsi="Arial" w:cs="Arial"/>
          <w:color w:val="000000" w:themeColor="text1"/>
          <w:sz w:val="20"/>
          <w:szCs w:val="20"/>
        </w:rPr>
        <w:t xml:space="preserve"> </w:t>
      </w:r>
      <w:r w:rsidRPr="003D1614">
        <w:rPr>
          <w:rFonts w:ascii="Arial" w:eastAsia="Times New Roman" w:hAnsi="Arial" w:cs="Arial"/>
          <w:color w:val="000000" w:themeColor="text1"/>
          <w:spacing w:val="-3"/>
          <w:sz w:val="20"/>
          <w:szCs w:val="20"/>
        </w:rPr>
        <w:t>tisuća eura (31. prosinca 202</w:t>
      </w:r>
      <w:r>
        <w:rPr>
          <w:rFonts w:ascii="Arial" w:eastAsia="Times New Roman" w:hAnsi="Arial" w:cs="Arial"/>
          <w:color w:val="000000" w:themeColor="text1"/>
          <w:spacing w:val="-3"/>
          <w:sz w:val="20"/>
          <w:szCs w:val="20"/>
        </w:rPr>
        <w:t>3</w:t>
      </w:r>
      <w:r w:rsidRPr="003D1614">
        <w:rPr>
          <w:rFonts w:ascii="Arial" w:eastAsia="Times New Roman" w:hAnsi="Arial" w:cs="Arial"/>
          <w:color w:val="000000" w:themeColor="text1"/>
          <w:spacing w:val="-3"/>
          <w:sz w:val="20"/>
          <w:szCs w:val="20"/>
        </w:rPr>
        <w:t xml:space="preserve">.: </w:t>
      </w:r>
      <w:r>
        <w:rPr>
          <w:rFonts w:ascii="Arial" w:eastAsia="Times New Roman" w:hAnsi="Arial" w:cs="Arial"/>
          <w:color w:val="000000" w:themeColor="text1"/>
          <w:spacing w:val="-3"/>
          <w:sz w:val="20"/>
          <w:szCs w:val="20"/>
        </w:rPr>
        <w:t>36.983</w:t>
      </w:r>
      <w:r w:rsidRPr="003D1614">
        <w:rPr>
          <w:rFonts w:ascii="Arial" w:eastAsia="Times New Roman" w:hAnsi="Arial" w:cs="Arial"/>
          <w:color w:val="000000" w:themeColor="text1"/>
          <w:sz w:val="20"/>
          <w:szCs w:val="20"/>
        </w:rPr>
        <w:t xml:space="preserve"> </w:t>
      </w:r>
      <w:r w:rsidRPr="003D1614">
        <w:rPr>
          <w:rFonts w:ascii="Arial" w:eastAsia="Times New Roman" w:hAnsi="Arial" w:cs="Arial"/>
          <w:color w:val="000000" w:themeColor="text1"/>
          <w:spacing w:val="-3"/>
          <w:sz w:val="20"/>
          <w:szCs w:val="20"/>
        </w:rPr>
        <w:t xml:space="preserve">tisuća eura). </w:t>
      </w:r>
    </w:p>
    <w:p w14:paraId="6CE1F407" w14:textId="77777777" w:rsidR="00994783" w:rsidRPr="003D1614" w:rsidRDefault="00994783" w:rsidP="00994783">
      <w:pPr>
        <w:keepNext/>
        <w:suppressAutoHyphens/>
        <w:autoSpaceDN w:val="0"/>
        <w:jc w:val="both"/>
        <w:outlineLvl w:val="0"/>
        <w:rPr>
          <w:rFonts w:ascii="Arial" w:eastAsia="Times New Roman" w:hAnsi="Arial" w:cs="Arial"/>
          <w:b/>
          <w:bCs/>
          <w:color w:val="000000" w:themeColor="text1"/>
          <w:sz w:val="20"/>
          <w:szCs w:val="20"/>
        </w:rPr>
      </w:pPr>
    </w:p>
    <w:p w14:paraId="335BB072" w14:textId="3742D38E" w:rsidR="00994783" w:rsidRPr="003D1614" w:rsidRDefault="00994783" w:rsidP="00994783">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1</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Garancije i preuzete obveze</w:t>
      </w:r>
    </w:p>
    <w:p w14:paraId="5F8CE1A6" w14:textId="77777777" w:rsidR="00994783" w:rsidRPr="003D1614" w:rsidRDefault="00994783" w:rsidP="00994783">
      <w:pPr>
        <w:keepNext/>
        <w:suppressAutoHyphens/>
        <w:autoSpaceDN w:val="0"/>
        <w:jc w:val="both"/>
        <w:outlineLvl w:val="0"/>
        <w:rPr>
          <w:rFonts w:ascii="Arial" w:eastAsia="Times New Roman" w:hAnsi="Arial" w:cs="Arial"/>
          <w:b/>
          <w:bCs/>
          <w:color w:val="000000" w:themeColor="text1"/>
          <w:sz w:val="20"/>
          <w:szCs w:val="20"/>
        </w:rPr>
      </w:pPr>
    </w:p>
    <w:p w14:paraId="3AB98E26" w14:textId="77777777" w:rsidR="00994783" w:rsidRPr="003D1614" w:rsidRDefault="00994783" w:rsidP="00994783">
      <w:pPr>
        <w:keepNext/>
        <w:suppressAutoHyphens/>
        <w:autoSpaceDN w:val="0"/>
        <w:jc w:val="both"/>
        <w:outlineLvl w:val="0"/>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 xml:space="preserve">U okviru svog redovnog poslovanja, Grupa zaključuje ugovore o garancijama i preuzetim obvezama. Svrha ovih instrumenata je osigurati raspoloživost sredstava s obzirom na potrebe klijenata. </w:t>
      </w:r>
    </w:p>
    <w:p w14:paraId="7B8F1068" w14:textId="77777777" w:rsidR="00994783" w:rsidRPr="003D1614" w:rsidRDefault="00994783" w:rsidP="00994783">
      <w:pPr>
        <w:keepNext/>
        <w:suppressAutoHyphens/>
        <w:autoSpaceDN w:val="0"/>
        <w:jc w:val="both"/>
        <w:outlineLvl w:val="0"/>
        <w:rPr>
          <w:rFonts w:ascii="Arial" w:eastAsia="Times New Roman" w:hAnsi="Arial" w:cs="Arial"/>
          <w:bCs/>
          <w:color w:val="000000" w:themeColor="text1"/>
          <w:sz w:val="20"/>
          <w:szCs w:val="20"/>
        </w:rPr>
      </w:pPr>
    </w:p>
    <w:p w14:paraId="3A75665C" w14:textId="77777777" w:rsidR="00994783" w:rsidRPr="003D1614" w:rsidRDefault="00994783" w:rsidP="00994783">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Navedene obveze sadrže kreditni rizik te su stoga dio ukupnog rizika Grupe iako se ne prikazuju u Izvještaju o financijskom položaju.</w:t>
      </w:r>
    </w:p>
    <w:p w14:paraId="44E4A592" w14:textId="77777777" w:rsidR="00994783" w:rsidRPr="003D1614" w:rsidRDefault="00994783" w:rsidP="00994783">
      <w:pPr>
        <w:keepNext/>
        <w:suppressAutoHyphens/>
        <w:autoSpaceDN w:val="0"/>
        <w:jc w:val="both"/>
        <w:outlineLvl w:val="0"/>
        <w:rPr>
          <w:rFonts w:ascii="Arial" w:eastAsia="Times New Roman" w:hAnsi="Arial" w:cs="Arial"/>
          <w:bCs/>
          <w:color w:val="000000" w:themeColor="text1"/>
          <w:sz w:val="20"/>
          <w:szCs w:val="20"/>
        </w:rPr>
      </w:pPr>
    </w:p>
    <w:tbl>
      <w:tblPr>
        <w:tblW w:w="5000" w:type="pct"/>
        <w:tblLayout w:type="fixed"/>
        <w:tblCellMar>
          <w:left w:w="122" w:type="dxa"/>
          <w:right w:w="122" w:type="dxa"/>
        </w:tblCellMar>
        <w:tblLook w:val="0000" w:firstRow="0" w:lastRow="0" w:firstColumn="0" w:lastColumn="0" w:noHBand="0" w:noVBand="0"/>
      </w:tblPr>
      <w:tblGrid>
        <w:gridCol w:w="5362"/>
        <w:gridCol w:w="1854"/>
        <w:gridCol w:w="1856"/>
      </w:tblGrid>
      <w:tr w:rsidR="00994783" w:rsidRPr="003D1614" w14:paraId="14D92A48" w14:textId="77777777" w:rsidTr="00994783">
        <w:trPr>
          <w:trHeight w:val="277"/>
        </w:trPr>
        <w:tc>
          <w:tcPr>
            <w:tcW w:w="2955" w:type="pct"/>
            <w:vAlign w:val="bottom"/>
          </w:tcPr>
          <w:p w14:paraId="12B0BD31" w14:textId="77777777" w:rsidR="00994783" w:rsidRPr="003D1614" w:rsidRDefault="00994783" w:rsidP="00994783">
            <w:pPr>
              <w:tabs>
                <w:tab w:val="left" w:pos="-720"/>
              </w:tabs>
              <w:suppressAutoHyphens/>
              <w:autoSpaceDN w:val="0"/>
              <w:rPr>
                <w:rFonts w:ascii="Arial" w:eastAsia="Times New Roman" w:hAnsi="Arial" w:cs="Arial"/>
                <w:b/>
                <w:color w:val="000000" w:themeColor="text1"/>
                <w:spacing w:val="-3"/>
                <w:sz w:val="20"/>
                <w:szCs w:val="20"/>
              </w:rPr>
            </w:pPr>
            <w:r w:rsidRPr="003D1614">
              <w:rPr>
                <w:rFonts w:ascii="Arial" w:eastAsia="Times New Roman" w:hAnsi="Arial" w:cs="Arial"/>
                <w:b/>
                <w:color w:val="000000" w:themeColor="text1"/>
                <w:spacing w:val="-3"/>
                <w:sz w:val="20"/>
                <w:szCs w:val="20"/>
              </w:rPr>
              <w:t>Grupa i Banka</w:t>
            </w:r>
          </w:p>
        </w:tc>
        <w:tc>
          <w:tcPr>
            <w:tcW w:w="2045" w:type="pct"/>
            <w:gridSpan w:val="2"/>
            <w:vAlign w:val="bottom"/>
          </w:tcPr>
          <w:p w14:paraId="2156AA8A" w14:textId="77777777" w:rsidR="00994783" w:rsidRPr="003D1614" w:rsidRDefault="00994783" w:rsidP="00994783">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p>
        </w:tc>
      </w:tr>
      <w:tr w:rsidR="00994783" w:rsidRPr="003D1614" w14:paraId="2A7F7A1E" w14:textId="77777777" w:rsidTr="00994783">
        <w:trPr>
          <w:trHeight w:val="202"/>
        </w:trPr>
        <w:tc>
          <w:tcPr>
            <w:tcW w:w="2955" w:type="pct"/>
            <w:vAlign w:val="bottom"/>
          </w:tcPr>
          <w:p w14:paraId="6A37BDD5" w14:textId="77777777" w:rsidR="00994783" w:rsidRPr="003D1614" w:rsidRDefault="00994783" w:rsidP="00994783">
            <w:pPr>
              <w:tabs>
                <w:tab w:val="left" w:pos="-720"/>
              </w:tabs>
              <w:suppressAutoHyphens/>
              <w:autoSpaceDN w:val="0"/>
              <w:jc w:val="right"/>
              <w:rPr>
                <w:rFonts w:ascii="Arial" w:eastAsia="Times New Roman" w:hAnsi="Arial" w:cs="Arial"/>
                <w:color w:val="000000" w:themeColor="text1"/>
                <w:spacing w:val="-3"/>
                <w:sz w:val="20"/>
                <w:szCs w:val="20"/>
              </w:rPr>
            </w:pPr>
          </w:p>
        </w:tc>
        <w:tc>
          <w:tcPr>
            <w:tcW w:w="1022" w:type="pct"/>
            <w:vAlign w:val="bottom"/>
          </w:tcPr>
          <w:p w14:paraId="5CCB6031" w14:textId="77777777" w:rsidR="002C0DB3" w:rsidRDefault="002C0DB3" w:rsidP="00994783">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2C0DB3">
              <w:rPr>
                <w:rFonts w:ascii="Arial" w:eastAsia="Times New Roman" w:hAnsi="Arial" w:cs="Arial"/>
                <w:b/>
                <w:color w:val="000000" w:themeColor="text1"/>
                <w:sz w:val="20"/>
                <w:szCs w:val="20"/>
              </w:rPr>
              <w:t xml:space="preserve">30. rujna </w:t>
            </w:r>
          </w:p>
          <w:p w14:paraId="3158AFB2" w14:textId="0611465C" w:rsidR="00994783" w:rsidRPr="003D1614" w:rsidRDefault="002C0DB3" w:rsidP="00994783">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2C0DB3">
              <w:rPr>
                <w:rFonts w:ascii="Arial" w:eastAsia="Times New Roman" w:hAnsi="Arial" w:cs="Arial"/>
                <w:b/>
                <w:color w:val="000000" w:themeColor="text1"/>
                <w:sz w:val="20"/>
                <w:szCs w:val="20"/>
              </w:rPr>
              <w:t>202</w:t>
            </w:r>
            <w:r w:rsidR="00DC35F5">
              <w:rPr>
                <w:rFonts w:ascii="Arial" w:eastAsia="Times New Roman" w:hAnsi="Arial" w:cs="Arial"/>
                <w:b/>
                <w:color w:val="000000" w:themeColor="text1"/>
                <w:sz w:val="20"/>
                <w:szCs w:val="20"/>
              </w:rPr>
              <w:t>4</w:t>
            </w:r>
            <w:r w:rsidRPr="002C0DB3">
              <w:rPr>
                <w:rFonts w:ascii="Arial" w:eastAsia="Times New Roman" w:hAnsi="Arial" w:cs="Arial"/>
                <w:b/>
                <w:color w:val="000000" w:themeColor="text1"/>
                <w:sz w:val="20"/>
                <w:szCs w:val="20"/>
              </w:rPr>
              <w:t>.</w:t>
            </w:r>
          </w:p>
        </w:tc>
        <w:tc>
          <w:tcPr>
            <w:tcW w:w="1023" w:type="pct"/>
            <w:vAlign w:val="bottom"/>
          </w:tcPr>
          <w:p w14:paraId="325904F9" w14:textId="77777777" w:rsidR="00994783" w:rsidRPr="003D1614" w:rsidRDefault="00994783" w:rsidP="00994783">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92" w:name="_Toc67328861"/>
            <w:r w:rsidRPr="003D1614">
              <w:rPr>
                <w:rFonts w:ascii="Arial" w:eastAsia="Times New Roman" w:hAnsi="Arial" w:cs="Arial"/>
                <w:b/>
                <w:color w:val="000000" w:themeColor="text1"/>
                <w:sz w:val="20"/>
                <w:szCs w:val="20"/>
              </w:rPr>
              <w:t>31. prosinca</w:t>
            </w:r>
            <w:bookmarkEnd w:id="492"/>
            <w:r w:rsidRPr="003D1614">
              <w:rPr>
                <w:rFonts w:ascii="Arial" w:eastAsia="Times New Roman" w:hAnsi="Arial" w:cs="Arial"/>
                <w:b/>
                <w:color w:val="000000" w:themeColor="text1"/>
                <w:sz w:val="20"/>
                <w:szCs w:val="20"/>
              </w:rPr>
              <w:t xml:space="preserve"> </w:t>
            </w:r>
          </w:p>
          <w:p w14:paraId="1C209EF9" w14:textId="1FF2F10C" w:rsidR="00994783" w:rsidRPr="003D1614" w:rsidRDefault="00994783" w:rsidP="00994783">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93" w:name="_Toc67328862"/>
            <w:r w:rsidRPr="003D1614">
              <w:rPr>
                <w:rFonts w:ascii="Arial" w:eastAsia="Times New Roman" w:hAnsi="Arial" w:cs="Arial"/>
                <w:b/>
                <w:color w:val="000000" w:themeColor="text1"/>
                <w:sz w:val="20"/>
                <w:szCs w:val="20"/>
              </w:rPr>
              <w:t>202</w:t>
            </w:r>
            <w:r w:rsidR="00DC35F5">
              <w:rPr>
                <w:rFonts w:ascii="Arial" w:eastAsia="Times New Roman" w:hAnsi="Arial" w:cs="Arial"/>
                <w:b/>
                <w:color w:val="000000" w:themeColor="text1"/>
                <w:sz w:val="20"/>
                <w:szCs w:val="20"/>
              </w:rPr>
              <w:t>3</w:t>
            </w:r>
            <w:r w:rsidRPr="003D1614">
              <w:rPr>
                <w:rFonts w:ascii="Arial" w:eastAsia="Times New Roman" w:hAnsi="Arial" w:cs="Arial"/>
                <w:b/>
                <w:color w:val="000000" w:themeColor="text1"/>
                <w:sz w:val="20"/>
                <w:szCs w:val="20"/>
              </w:rPr>
              <w:t>.</w:t>
            </w:r>
            <w:bookmarkEnd w:id="493"/>
          </w:p>
        </w:tc>
      </w:tr>
      <w:tr w:rsidR="00994783" w:rsidRPr="003D1614" w14:paraId="4B118B64" w14:textId="77777777" w:rsidTr="00994783">
        <w:trPr>
          <w:trHeight w:val="299"/>
        </w:trPr>
        <w:tc>
          <w:tcPr>
            <w:tcW w:w="2955" w:type="pct"/>
            <w:vAlign w:val="bottom"/>
          </w:tcPr>
          <w:p w14:paraId="777CAB8F" w14:textId="77777777" w:rsidR="00994783" w:rsidRPr="003D1614" w:rsidRDefault="00994783" w:rsidP="00994783">
            <w:pPr>
              <w:tabs>
                <w:tab w:val="left" w:pos="-720"/>
              </w:tabs>
              <w:suppressAutoHyphens/>
              <w:autoSpaceDN w:val="0"/>
              <w:ind w:right="4144"/>
              <w:jc w:val="right"/>
              <w:rPr>
                <w:rFonts w:ascii="Arial" w:eastAsia="Times New Roman" w:hAnsi="Arial" w:cs="Arial"/>
                <w:color w:val="000000" w:themeColor="text1"/>
                <w:sz w:val="20"/>
                <w:szCs w:val="20"/>
              </w:rPr>
            </w:pPr>
          </w:p>
        </w:tc>
        <w:tc>
          <w:tcPr>
            <w:tcW w:w="1022" w:type="pct"/>
            <w:vAlign w:val="bottom"/>
          </w:tcPr>
          <w:p w14:paraId="04CE84EA" w14:textId="705CCEC7" w:rsidR="00994783" w:rsidRPr="003D1614" w:rsidRDefault="00994783" w:rsidP="00994783">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94" w:name="_Toc67328863"/>
            <w:r w:rsidRPr="003D1614">
              <w:rPr>
                <w:rFonts w:ascii="Arial" w:eastAsia="Times New Roman" w:hAnsi="Arial" w:cs="Arial"/>
                <w:b/>
                <w:color w:val="000000" w:themeColor="text1"/>
                <w:sz w:val="20"/>
                <w:szCs w:val="20"/>
              </w:rPr>
              <w:t>000 eura</w:t>
            </w:r>
            <w:bookmarkEnd w:id="494"/>
          </w:p>
        </w:tc>
        <w:tc>
          <w:tcPr>
            <w:tcW w:w="1023" w:type="pct"/>
            <w:vAlign w:val="bottom"/>
          </w:tcPr>
          <w:p w14:paraId="01CDB125" w14:textId="08338EEB" w:rsidR="00994783" w:rsidRPr="003D1614" w:rsidRDefault="00994783" w:rsidP="00994783">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95" w:name="_Toc67328864"/>
            <w:r w:rsidRPr="003D1614">
              <w:rPr>
                <w:rFonts w:ascii="Arial" w:eastAsia="Times New Roman" w:hAnsi="Arial" w:cs="Arial"/>
                <w:b/>
                <w:color w:val="000000" w:themeColor="text1"/>
                <w:sz w:val="20"/>
                <w:szCs w:val="20"/>
              </w:rPr>
              <w:t>000 eura</w:t>
            </w:r>
            <w:bookmarkEnd w:id="495"/>
          </w:p>
        </w:tc>
      </w:tr>
      <w:tr w:rsidR="00994783" w:rsidRPr="003D1614" w14:paraId="03E10F47" w14:textId="77777777" w:rsidTr="00994783">
        <w:trPr>
          <w:trHeight w:hRule="exact" w:val="218"/>
        </w:trPr>
        <w:tc>
          <w:tcPr>
            <w:tcW w:w="2955" w:type="pct"/>
            <w:vAlign w:val="bottom"/>
          </w:tcPr>
          <w:p w14:paraId="7B1D68F3" w14:textId="77777777" w:rsidR="00994783" w:rsidRPr="003D1614" w:rsidRDefault="00994783" w:rsidP="00994783">
            <w:pPr>
              <w:tabs>
                <w:tab w:val="left" w:pos="-720"/>
              </w:tabs>
              <w:suppressAutoHyphens/>
              <w:autoSpaceDN w:val="0"/>
              <w:ind w:right="4144"/>
              <w:jc w:val="right"/>
              <w:rPr>
                <w:rFonts w:ascii="Arial" w:eastAsia="Times New Roman" w:hAnsi="Arial" w:cs="Arial"/>
                <w:color w:val="000000" w:themeColor="text1"/>
                <w:sz w:val="20"/>
                <w:szCs w:val="20"/>
              </w:rPr>
            </w:pPr>
          </w:p>
        </w:tc>
        <w:tc>
          <w:tcPr>
            <w:tcW w:w="1022" w:type="pct"/>
            <w:vAlign w:val="bottom"/>
          </w:tcPr>
          <w:p w14:paraId="32501928" w14:textId="77777777" w:rsidR="00994783" w:rsidRPr="003D1614" w:rsidRDefault="00994783" w:rsidP="00994783">
            <w:pPr>
              <w:suppressAutoHyphens/>
              <w:autoSpaceDN w:val="0"/>
              <w:jc w:val="right"/>
              <w:rPr>
                <w:rFonts w:ascii="Arial" w:eastAsia="Times New Roman" w:hAnsi="Arial" w:cs="Arial"/>
                <w:b/>
                <w:color w:val="000000" w:themeColor="text1"/>
                <w:sz w:val="20"/>
                <w:szCs w:val="20"/>
              </w:rPr>
            </w:pPr>
          </w:p>
        </w:tc>
        <w:tc>
          <w:tcPr>
            <w:tcW w:w="1023" w:type="pct"/>
            <w:vAlign w:val="bottom"/>
          </w:tcPr>
          <w:p w14:paraId="45E1D624" w14:textId="77777777" w:rsidR="00994783" w:rsidRPr="003D1614" w:rsidRDefault="00994783" w:rsidP="00994783">
            <w:pPr>
              <w:suppressAutoHyphens/>
              <w:autoSpaceDN w:val="0"/>
              <w:jc w:val="right"/>
              <w:rPr>
                <w:rFonts w:ascii="Arial" w:eastAsia="Times New Roman" w:hAnsi="Arial" w:cs="Arial"/>
                <w:b/>
                <w:color w:val="000000" w:themeColor="text1"/>
                <w:sz w:val="20"/>
                <w:szCs w:val="20"/>
              </w:rPr>
            </w:pPr>
          </w:p>
        </w:tc>
      </w:tr>
      <w:tr w:rsidR="00CE17BB" w:rsidRPr="003D1614" w14:paraId="439934B3" w14:textId="77777777" w:rsidTr="00BE1E11">
        <w:tblPrEx>
          <w:tblCellMar>
            <w:left w:w="107" w:type="dxa"/>
            <w:right w:w="107" w:type="dxa"/>
          </w:tblCellMar>
        </w:tblPrEx>
        <w:trPr>
          <w:trHeight w:hRule="exact" w:val="255"/>
        </w:trPr>
        <w:tc>
          <w:tcPr>
            <w:tcW w:w="2955" w:type="pct"/>
            <w:vAlign w:val="bottom"/>
          </w:tcPr>
          <w:p w14:paraId="6C13D55B" w14:textId="5809028D" w:rsidR="00CE17BB" w:rsidRPr="003D1614" w:rsidRDefault="00CE17BB" w:rsidP="00CE17BB">
            <w:pPr>
              <w:tabs>
                <w:tab w:val="right" w:pos="1202"/>
              </w:tabs>
              <w:suppressAutoHyphens/>
              <w:autoSpaceDN w:val="0"/>
              <w:outlineLvl w:val="0"/>
              <w:rPr>
                <w:rFonts w:ascii="Arial" w:eastAsia="Times New Roman" w:hAnsi="Arial" w:cs="Arial"/>
                <w:color w:val="000000" w:themeColor="text1"/>
                <w:sz w:val="20"/>
                <w:szCs w:val="20"/>
              </w:rPr>
            </w:pPr>
            <w:bookmarkStart w:id="496" w:name="_Toc67328865"/>
            <w:r w:rsidRPr="003D1614">
              <w:rPr>
                <w:rFonts w:ascii="Arial" w:eastAsia="Times New Roman" w:hAnsi="Arial" w:cs="Arial"/>
                <w:color w:val="000000" w:themeColor="text1"/>
                <w:sz w:val="20"/>
                <w:szCs w:val="20"/>
              </w:rPr>
              <w:t xml:space="preserve">Izdane garancije </w:t>
            </w:r>
            <w:bookmarkEnd w:id="496"/>
          </w:p>
        </w:tc>
        <w:tc>
          <w:tcPr>
            <w:tcW w:w="1022" w:type="pct"/>
            <w:tcBorders>
              <w:top w:val="nil"/>
              <w:left w:val="nil"/>
              <w:bottom w:val="nil"/>
              <w:right w:val="nil"/>
            </w:tcBorders>
            <w:shd w:val="clear" w:color="auto" w:fill="auto"/>
            <w:vAlign w:val="bottom"/>
          </w:tcPr>
          <w:p w14:paraId="4FECF799" w14:textId="4C5FB50F" w:rsidR="00CE17BB" w:rsidRPr="00BE1E11" w:rsidRDefault="00CE17BB" w:rsidP="00CE17BB">
            <w:pPr>
              <w:tabs>
                <w:tab w:val="right" w:pos="1202"/>
              </w:tabs>
              <w:suppressAutoHyphens/>
              <w:autoSpaceDN w:val="0"/>
              <w:jc w:val="right"/>
              <w:outlineLvl w:val="0"/>
              <w:rPr>
                <w:rFonts w:ascii="Arial" w:hAnsi="Arial" w:cs="Arial"/>
                <w:sz w:val="20"/>
                <w:szCs w:val="20"/>
              </w:rPr>
            </w:pPr>
            <w:r w:rsidRPr="00BE1E11">
              <w:rPr>
                <w:rFonts w:ascii="Arial" w:hAnsi="Arial" w:cs="Arial"/>
                <w:sz w:val="20"/>
                <w:szCs w:val="20"/>
              </w:rPr>
              <w:t xml:space="preserve"> 49.891 </w:t>
            </w:r>
          </w:p>
        </w:tc>
        <w:tc>
          <w:tcPr>
            <w:tcW w:w="1023" w:type="pct"/>
            <w:tcBorders>
              <w:top w:val="nil"/>
              <w:left w:val="nil"/>
              <w:bottom w:val="nil"/>
              <w:right w:val="nil"/>
            </w:tcBorders>
            <w:shd w:val="clear" w:color="auto" w:fill="auto"/>
            <w:vAlign w:val="bottom"/>
          </w:tcPr>
          <w:p w14:paraId="50E38604" w14:textId="26318541" w:rsidR="00CE17BB" w:rsidRPr="00825AD5" w:rsidRDefault="00CE17BB" w:rsidP="00CE17BB">
            <w:pPr>
              <w:tabs>
                <w:tab w:val="right" w:pos="1202"/>
              </w:tabs>
              <w:suppressAutoHyphens/>
              <w:autoSpaceDN w:val="0"/>
              <w:jc w:val="right"/>
              <w:outlineLvl w:val="0"/>
              <w:rPr>
                <w:rFonts w:ascii="Arial" w:eastAsia="Times New Roman" w:hAnsi="Arial" w:cs="Arial"/>
                <w:color w:val="000000" w:themeColor="text1"/>
                <w:sz w:val="20"/>
                <w:szCs w:val="20"/>
              </w:rPr>
            </w:pPr>
            <w:r w:rsidRPr="00F275DE">
              <w:rPr>
                <w:rFonts w:ascii="Arial" w:hAnsi="Arial" w:cs="Arial"/>
                <w:sz w:val="20"/>
              </w:rPr>
              <w:t xml:space="preserve"> 52.623 </w:t>
            </w:r>
          </w:p>
        </w:tc>
      </w:tr>
      <w:tr w:rsidR="00CE17BB" w:rsidRPr="003D1614" w14:paraId="78578E7F" w14:textId="77777777" w:rsidTr="00BE1E11">
        <w:tblPrEx>
          <w:tblCellMar>
            <w:left w:w="107" w:type="dxa"/>
            <w:right w:w="107" w:type="dxa"/>
          </w:tblCellMar>
        </w:tblPrEx>
        <w:trPr>
          <w:trHeight w:hRule="exact" w:val="255"/>
        </w:trPr>
        <w:tc>
          <w:tcPr>
            <w:tcW w:w="2955" w:type="pct"/>
            <w:vAlign w:val="bottom"/>
          </w:tcPr>
          <w:p w14:paraId="67878A6C" w14:textId="77777777" w:rsidR="00CE17BB" w:rsidRPr="003D1614" w:rsidRDefault="00CE17BB" w:rsidP="00CE17BB">
            <w:pPr>
              <w:tabs>
                <w:tab w:val="right" w:pos="1202"/>
              </w:tabs>
              <w:suppressAutoHyphens/>
              <w:autoSpaceDN w:val="0"/>
              <w:outlineLvl w:val="0"/>
              <w:rPr>
                <w:rFonts w:ascii="Arial" w:eastAsia="Times New Roman" w:hAnsi="Arial" w:cs="Arial"/>
                <w:color w:val="000000" w:themeColor="text1"/>
                <w:sz w:val="20"/>
                <w:szCs w:val="20"/>
              </w:rPr>
            </w:pPr>
            <w:bookmarkStart w:id="497" w:name="_Toc67328868"/>
            <w:r w:rsidRPr="003D1614">
              <w:rPr>
                <w:rFonts w:ascii="Arial" w:eastAsia="Times New Roman" w:hAnsi="Arial" w:cs="Arial"/>
                <w:color w:val="000000" w:themeColor="text1"/>
                <w:sz w:val="20"/>
                <w:szCs w:val="20"/>
              </w:rPr>
              <w:t>Izdane garancije u devizama</w:t>
            </w:r>
            <w:bookmarkEnd w:id="497"/>
            <w:r w:rsidRPr="003D1614">
              <w:rPr>
                <w:rFonts w:ascii="Arial" w:eastAsia="Times New Roman" w:hAnsi="Arial" w:cs="Arial"/>
                <w:strike/>
                <w:color w:val="000000" w:themeColor="text1"/>
                <w:sz w:val="20"/>
                <w:szCs w:val="20"/>
              </w:rPr>
              <w:t xml:space="preserve"> </w:t>
            </w:r>
          </w:p>
        </w:tc>
        <w:tc>
          <w:tcPr>
            <w:tcW w:w="1022" w:type="pct"/>
            <w:tcBorders>
              <w:top w:val="nil"/>
              <w:left w:val="nil"/>
              <w:bottom w:val="nil"/>
              <w:right w:val="nil"/>
            </w:tcBorders>
            <w:shd w:val="clear" w:color="auto" w:fill="auto"/>
            <w:vAlign w:val="bottom"/>
          </w:tcPr>
          <w:p w14:paraId="55D63171" w14:textId="0EB1E29C" w:rsidR="00CE17BB" w:rsidRPr="00BE1E11" w:rsidRDefault="00CE17BB" w:rsidP="00CE17BB">
            <w:pPr>
              <w:tabs>
                <w:tab w:val="right" w:pos="1202"/>
              </w:tabs>
              <w:suppressAutoHyphens/>
              <w:autoSpaceDN w:val="0"/>
              <w:jc w:val="right"/>
              <w:outlineLvl w:val="0"/>
              <w:rPr>
                <w:rFonts w:ascii="Arial" w:hAnsi="Arial" w:cs="Arial"/>
                <w:sz w:val="20"/>
                <w:szCs w:val="20"/>
              </w:rPr>
            </w:pPr>
            <w:r w:rsidRPr="00BE1E11">
              <w:rPr>
                <w:rFonts w:ascii="Arial" w:hAnsi="Arial" w:cs="Arial"/>
                <w:sz w:val="20"/>
                <w:szCs w:val="20"/>
              </w:rPr>
              <w:t xml:space="preserve"> 4.892 </w:t>
            </w:r>
          </w:p>
        </w:tc>
        <w:tc>
          <w:tcPr>
            <w:tcW w:w="1023" w:type="pct"/>
            <w:tcBorders>
              <w:top w:val="nil"/>
              <w:left w:val="nil"/>
              <w:bottom w:val="nil"/>
              <w:right w:val="nil"/>
            </w:tcBorders>
            <w:shd w:val="clear" w:color="auto" w:fill="auto"/>
            <w:vAlign w:val="bottom"/>
          </w:tcPr>
          <w:p w14:paraId="15339E96" w14:textId="54D1D053" w:rsidR="00CE17BB" w:rsidRPr="00825AD5" w:rsidRDefault="00CE17BB" w:rsidP="00CE17BB">
            <w:pPr>
              <w:tabs>
                <w:tab w:val="right" w:pos="1202"/>
              </w:tabs>
              <w:suppressAutoHyphens/>
              <w:autoSpaceDN w:val="0"/>
              <w:jc w:val="right"/>
              <w:outlineLvl w:val="0"/>
              <w:rPr>
                <w:rFonts w:ascii="Arial" w:eastAsia="Times New Roman" w:hAnsi="Arial" w:cs="Arial"/>
                <w:color w:val="000000" w:themeColor="text1"/>
                <w:sz w:val="20"/>
                <w:szCs w:val="20"/>
              </w:rPr>
            </w:pPr>
            <w:r w:rsidRPr="00F275DE">
              <w:rPr>
                <w:rFonts w:ascii="Arial" w:hAnsi="Arial" w:cs="Arial"/>
                <w:sz w:val="20"/>
              </w:rPr>
              <w:t xml:space="preserve"> 7.716 </w:t>
            </w:r>
          </w:p>
        </w:tc>
      </w:tr>
      <w:tr w:rsidR="00CE17BB" w:rsidRPr="003D1614" w14:paraId="61C5E41E" w14:textId="77777777" w:rsidTr="00BE1E11">
        <w:tblPrEx>
          <w:tblCellMar>
            <w:left w:w="107" w:type="dxa"/>
            <w:right w:w="107" w:type="dxa"/>
          </w:tblCellMar>
        </w:tblPrEx>
        <w:trPr>
          <w:trHeight w:hRule="exact" w:val="255"/>
        </w:trPr>
        <w:tc>
          <w:tcPr>
            <w:tcW w:w="2955" w:type="pct"/>
            <w:vAlign w:val="bottom"/>
          </w:tcPr>
          <w:p w14:paraId="52028C35" w14:textId="77777777" w:rsidR="00CE17BB" w:rsidRPr="003D1614" w:rsidRDefault="00CE17BB" w:rsidP="00CE17BB">
            <w:pPr>
              <w:tabs>
                <w:tab w:val="right" w:pos="1202"/>
              </w:tabs>
              <w:suppressAutoHyphens/>
              <w:autoSpaceDN w:val="0"/>
              <w:outlineLvl w:val="0"/>
              <w:rPr>
                <w:rFonts w:ascii="Arial" w:eastAsia="Times New Roman" w:hAnsi="Arial" w:cs="Arial"/>
                <w:color w:val="000000" w:themeColor="text1"/>
                <w:sz w:val="20"/>
                <w:szCs w:val="20"/>
              </w:rPr>
            </w:pPr>
            <w:bookmarkStart w:id="498" w:name="_Toc67328871"/>
            <w:r w:rsidRPr="003D1614">
              <w:rPr>
                <w:rFonts w:ascii="Arial" w:eastAsia="Times New Roman" w:hAnsi="Arial" w:cs="Arial"/>
                <w:color w:val="000000" w:themeColor="text1"/>
                <w:sz w:val="20"/>
                <w:szCs w:val="20"/>
              </w:rPr>
              <w:t>Preuzete obveze po kreditima</w:t>
            </w:r>
            <w:bookmarkEnd w:id="498"/>
          </w:p>
        </w:tc>
        <w:tc>
          <w:tcPr>
            <w:tcW w:w="1022" w:type="pct"/>
            <w:tcBorders>
              <w:top w:val="nil"/>
              <w:left w:val="nil"/>
              <w:bottom w:val="nil"/>
              <w:right w:val="nil"/>
            </w:tcBorders>
            <w:shd w:val="clear" w:color="auto" w:fill="auto"/>
            <w:vAlign w:val="bottom"/>
          </w:tcPr>
          <w:p w14:paraId="46C9A0A6" w14:textId="594F2C33" w:rsidR="00CE17BB" w:rsidRPr="00BE1E11" w:rsidRDefault="00CE17BB" w:rsidP="00CE17BB">
            <w:pPr>
              <w:tabs>
                <w:tab w:val="right" w:pos="1202"/>
              </w:tabs>
              <w:suppressAutoHyphens/>
              <w:autoSpaceDN w:val="0"/>
              <w:jc w:val="right"/>
              <w:outlineLvl w:val="0"/>
              <w:rPr>
                <w:rFonts w:ascii="Arial" w:hAnsi="Arial" w:cs="Arial"/>
                <w:sz w:val="20"/>
                <w:szCs w:val="20"/>
              </w:rPr>
            </w:pPr>
            <w:r w:rsidRPr="00BE1E11">
              <w:rPr>
                <w:rFonts w:ascii="Arial" w:hAnsi="Arial" w:cs="Arial"/>
                <w:sz w:val="20"/>
                <w:szCs w:val="20"/>
              </w:rPr>
              <w:t xml:space="preserve"> 461.919 </w:t>
            </w:r>
          </w:p>
        </w:tc>
        <w:tc>
          <w:tcPr>
            <w:tcW w:w="1023" w:type="pct"/>
            <w:tcBorders>
              <w:top w:val="nil"/>
              <w:left w:val="nil"/>
              <w:bottom w:val="nil"/>
              <w:right w:val="nil"/>
            </w:tcBorders>
            <w:shd w:val="clear" w:color="auto" w:fill="auto"/>
            <w:vAlign w:val="bottom"/>
          </w:tcPr>
          <w:p w14:paraId="4024E083" w14:textId="1031E575" w:rsidR="00CE17BB" w:rsidRPr="00825AD5" w:rsidRDefault="00CE17BB" w:rsidP="00CE17BB">
            <w:pPr>
              <w:tabs>
                <w:tab w:val="right" w:pos="1202"/>
              </w:tabs>
              <w:suppressAutoHyphens/>
              <w:autoSpaceDN w:val="0"/>
              <w:jc w:val="right"/>
              <w:outlineLvl w:val="0"/>
              <w:rPr>
                <w:rFonts w:ascii="Arial" w:eastAsia="Times New Roman" w:hAnsi="Arial" w:cs="Arial"/>
                <w:color w:val="000000" w:themeColor="text1"/>
                <w:sz w:val="20"/>
                <w:szCs w:val="20"/>
              </w:rPr>
            </w:pPr>
            <w:r w:rsidRPr="00F275DE">
              <w:rPr>
                <w:rFonts w:ascii="Arial" w:hAnsi="Arial" w:cs="Arial"/>
                <w:sz w:val="20"/>
              </w:rPr>
              <w:t xml:space="preserve"> 445.273 </w:t>
            </w:r>
          </w:p>
        </w:tc>
      </w:tr>
      <w:tr w:rsidR="00BE1E11" w:rsidRPr="003D1614" w14:paraId="3EE20641" w14:textId="77777777" w:rsidTr="00BE1E11">
        <w:tblPrEx>
          <w:tblCellMar>
            <w:left w:w="107" w:type="dxa"/>
            <w:right w:w="107" w:type="dxa"/>
          </w:tblCellMar>
        </w:tblPrEx>
        <w:trPr>
          <w:trHeight w:hRule="exact" w:val="255"/>
        </w:trPr>
        <w:tc>
          <w:tcPr>
            <w:tcW w:w="2955" w:type="pct"/>
            <w:vAlign w:val="bottom"/>
          </w:tcPr>
          <w:p w14:paraId="7E0DB3E1" w14:textId="77777777" w:rsidR="00BE1E11" w:rsidRPr="003D1614" w:rsidRDefault="00BE1E11" w:rsidP="00BE1E11">
            <w:pPr>
              <w:tabs>
                <w:tab w:val="right" w:pos="1202"/>
              </w:tabs>
              <w:suppressAutoHyphens/>
              <w:autoSpaceDN w:val="0"/>
              <w:outlineLvl w:val="0"/>
              <w:rPr>
                <w:rFonts w:ascii="Arial" w:eastAsia="Times New Roman" w:hAnsi="Arial" w:cs="Arial"/>
                <w:color w:val="000000" w:themeColor="text1"/>
                <w:sz w:val="20"/>
                <w:szCs w:val="20"/>
              </w:rPr>
            </w:pPr>
            <w:bookmarkStart w:id="499" w:name="_Toc67328877"/>
            <w:r w:rsidRPr="003D1614">
              <w:rPr>
                <w:rFonts w:ascii="Arial" w:eastAsia="Times New Roman" w:hAnsi="Arial" w:cs="Arial"/>
                <w:color w:val="000000" w:themeColor="text1"/>
                <w:sz w:val="20"/>
                <w:szCs w:val="20"/>
              </w:rPr>
              <w:t>Upisani a neuplaćeni kapital EIF-a</w:t>
            </w:r>
            <w:bookmarkEnd w:id="499"/>
            <w:r w:rsidRPr="003D1614">
              <w:rPr>
                <w:rFonts w:ascii="Arial" w:eastAsia="Times New Roman" w:hAnsi="Arial" w:cs="Arial"/>
                <w:color w:val="000000" w:themeColor="text1"/>
                <w:sz w:val="20"/>
                <w:szCs w:val="20"/>
              </w:rPr>
              <w:t xml:space="preserve"> </w:t>
            </w:r>
          </w:p>
        </w:tc>
        <w:tc>
          <w:tcPr>
            <w:tcW w:w="1022" w:type="pct"/>
            <w:tcBorders>
              <w:top w:val="nil"/>
              <w:left w:val="nil"/>
              <w:bottom w:val="nil"/>
              <w:right w:val="nil"/>
            </w:tcBorders>
            <w:shd w:val="clear" w:color="auto" w:fill="auto"/>
            <w:vAlign w:val="bottom"/>
          </w:tcPr>
          <w:p w14:paraId="6EBAB067" w14:textId="6FBDD941" w:rsidR="00BE1E11" w:rsidRPr="00BE1E11" w:rsidRDefault="00BE1E11" w:rsidP="00BE1E11">
            <w:pPr>
              <w:tabs>
                <w:tab w:val="right" w:pos="1202"/>
              </w:tabs>
              <w:suppressAutoHyphens/>
              <w:autoSpaceDN w:val="0"/>
              <w:jc w:val="right"/>
              <w:outlineLvl w:val="0"/>
              <w:rPr>
                <w:rFonts w:ascii="Arial" w:hAnsi="Arial" w:cs="Arial"/>
                <w:sz w:val="20"/>
                <w:szCs w:val="20"/>
              </w:rPr>
            </w:pPr>
            <w:r w:rsidRPr="00BE1E11">
              <w:rPr>
                <w:rFonts w:ascii="Arial" w:hAnsi="Arial" w:cs="Arial"/>
                <w:sz w:val="20"/>
                <w:szCs w:val="20"/>
              </w:rPr>
              <w:t xml:space="preserve"> 10.400 </w:t>
            </w:r>
          </w:p>
        </w:tc>
        <w:tc>
          <w:tcPr>
            <w:tcW w:w="1023" w:type="pct"/>
            <w:tcBorders>
              <w:top w:val="nil"/>
              <w:left w:val="nil"/>
              <w:bottom w:val="nil"/>
              <w:right w:val="nil"/>
            </w:tcBorders>
            <w:shd w:val="clear" w:color="auto" w:fill="auto"/>
            <w:vAlign w:val="bottom"/>
          </w:tcPr>
          <w:p w14:paraId="0B0E4E64" w14:textId="653C8328" w:rsidR="00BE1E11" w:rsidRPr="00825AD5" w:rsidRDefault="00BE1E11" w:rsidP="00BE1E11">
            <w:pPr>
              <w:tabs>
                <w:tab w:val="right" w:pos="1202"/>
              </w:tabs>
              <w:suppressAutoHyphens/>
              <w:autoSpaceDN w:val="0"/>
              <w:jc w:val="right"/>
              <w:outlineLvl w:val="0"/>
              <w:rPr>
                <w:rFonts w:ascii="Arial" w:eastAsia="Times New Roman" w:hAnsi="Arial" w:cs="Arial"/>
                <w:color w:val="000000" w:themeColor="text1"/>
                <w:sz w:val="20"/>
                <w:szCs w:val="20"/>
              </w:rPr>
            </w:pPr>
            <w:r w:rsidRPr="00F275DE">
              <w:rPr>
                <w:rFonts w:ascii="Arial" w:hAnsi="Arial" w:cs="Arial"/>
                <w:sz w:val="20"/>
              </w:rPr>
              <w:t xml:space="preserve"> 10.400 </w:t>
            </w:r>
          </w:p>
        </w:tc>
      </w:tr>
      <w:tr w:rsidR="00BE1E11" w:rsidRPr="003D1614" w14:paraId="7FB607BE" w14:textId="77777777" w:rsidTr="00BE1E11">
        <w:tblPrEx>
          <w:tblCellMar>
            <w:left w:w="107" w:type="dxa"/>
            <w:right w:w="107" w:type="dxa"/>
          </w:tblCellMar>
        </w:tblPrEx>
        <w:trPr>
          <w:trHeight w:hRule="exact" w:val="255"/>
        </w:trPr>
        <w:tc>
          <w:tcPr>
            <w:tcW w:w="2955" w:type="pct"/>
            <w:vAlign w:val="bottom"/>
          </w:tcPr>
          <w:p w14:paraId="0016C0BC" w14:textId="77777777" w:rsidR="00BE1E11" w:rsidRPr="003D1614" w:rsidRDefault="00BE1E11" w:rsidP="00BE1E11">
            <w:pPr>
              <w:tabs>
                <w:tab w:val="right" w:pos="1202"/>
              </w:tabs>
              <w:suppressAutoHyphens/>
              <w:autoSpaceDN w:val="0"/>
              <w:outlineLvl w:val="0"/>
              <w:rPr>
                <w:rFonts w:ascii="Arial" w:eastAsia="Times New Roman" w:hAnsi="Arial" w:cs="Arial"/>
                <w:color w:val="000000" w:themeColor="text1"/>
                <w:sz w:val="20"/>
                <w:szCs w:val="20"/>
              </w:rPr>
            </w:pPr>
            <w:bookmarkStart w:id="500" w:name="_Toc67328880"/>
            <w:r w:rsidRPr="003D1614">
              <w:rPr>
                <w:rFonts w:ascii="Arial" w:eastAsia="Times New Roman" w:hAnsi="Arial" w:cs="Arial"/>
                <w:color w:val="000000" w:themeColor="text1"/>
                <w:sz w:val="20"/>
                <w:szCs w:val="20"/>
              </w:rPr>
              <w:t>Ugovorena obveza EIF CROGIP</w:t>
            </w:r>
            <w:bookmarkEnd w:id="500"/>
          </w:p>
        </w:tc>
        <w:tc>
          <w:tcPr>
            <w:tcW w:w="1022" w:type="pct"/>
            <w:tcBorders>
              <w:top w:val="nil"/>
              <w:left w:val="nil"/>
              <w:bottom w:val="nil"/>
              <w:right w:val="nil"/>
            </w:tcBorders>
            <w:shd w:val="clear" w:color="auto" w:fill="auto"/>
            <w:vAlign w:val="bottom"/>
          </w:tcPr>
          <w:p w14:paraId="03ECACF7" w14:textId="6144737E" w:rsidR="00BE1E11" w:rsidRPr="00BE1E11" w:rsidRDefault="00BE1E11" w:rsidP="00BE1E11">
            <w:pPr>
              <w:tabs>
                <w:tab w:val="right" w:pos="1202"/>
              </w:tabs>
              <w:suppressAutoHyphens/>
              <w:autoSpaceDN w:val="0"/>
              <w:jc w:val="right"/>
              <w:outlineLvl w:val="0"/>
              <w:rPr>
                <w:rFonts w:ascii="Arial" w:hAnsi="Arial" w:cs="Arial"/>
                <w:sz w:val="20"/>
                <w:szCs w:val="20"/>
              </w:rPr>
            </w:pPr>
            <w:r w:rsidRPr="00BE1E11">
              <w:rPr>
                <w:rFonts w:ascii="Arial" w:hAnsi="Arial" w:cs="Arial"/>
                <w:sz w:val="20"/>
                <w:szCs w:val="20"/>
              </w:rPr>
              <w:t xml:space="preserve"> 27.460 </w:t>
            </w:r>
          </w:p>
        </w:tc>
        <w:tc>
          <w:tcPr>
            <w:tcW w:w="1023" w:type="pct"/>
            <w:tcBorders>
              <w:top w:val="nil"/>
              <w:left w:val="nil"/>
              <w:bottom w:val="nil"/>
              <w:right w:val="nil"/>
            </w:tcBorders>
            <w:shd w:val="clear" w:color="auto" w:fill="auto"/>
            <w:vAlign w:val="bottom"/>
          </w:tcPr>
          <w:p w14:paraId="29B429D8" w14:textId="5D808493" w:rsidR="00BE1E11" w:rsidRPr="00825AD5" w:rsidRDefault="00BE1E11" w:rsidP="00BE1E11">
            <w:pPr>
              <w:tabs>
                <w:tab w:val="right" w:pos="1202"/>
              </w:tabs>
              <w:suppressAutoHyphens/>
              <w:autoSpaceDN w:val="0"/>
              <w:jc w:val="right"/>
              <w:outlineLvl w:val="0"/>
              <w:rPr>
                <w:rFonts w:ascii="Arial" w:eastAsia="Times New Roman" w:hAnsi="Arial" w:cs="Arial"/>
                <w:color w:val="000000" w:themeColor="text1"/>
                <w:sz w:val="20"/>
                <w:szCs w:val="20"/>
              </w:rPr>
            </w:pPr>
            <w:r w:rsidRPr="00F275DE">
              <w:rPr>
                <w:rFonts w:ascii="Arial" w:hAnsi="Arial" w:cs="Arial"/>
                <w:sz w:val="20"/>
              </w:rPr>
              <w:t xml:space="preserve"> 31.460 </w:t>
            </w:r>
          </w:p>
        </w:tc>
      </w:tr>
      <w:tr w:rsidR="00BE1E11" w:rsidRPr="003D1614" w14:paraId="7D56469A" w14:textId="77777777" w:rsidTr="00BE1E11">
        <w:tblPrEx>
          <w:tblCellMar>
            <w:left w:w="107" w:type="dxa"/>
            <w:right w:w="107" w:type="dxa"/>
          </w:tblCellMar>
        </w:tblPrEx>
        <w:trPr>
          <w:trHeight w:hRule="exact" w:val="255"/>
        </w:trPr>
        <w:tc>
          <w:tcPr>
            <w:tcW w:w="2955" w:type="pct"/>
            <w:vAlign w:val="bottom"/>
          </w:tcPr>
          <w:p w14:paraId="05540E92" w14:textId="77777777" w:rsidR="00BE1E11" w:rsidRPr="003D1614" w:rsidRDefault="00BE1E11" w:rsidP="00BE1E11">
            <w:pPr>
              <w:tabs>
                <w:tab w:val="right" w:pos="1202"/>
              </w:tabs>
              <w:suppressAutoHyphens/>
              <w:autoSpaceDN w:val="0"/>
              <w:outlineLvl w:val="0"/>
              <w:rPr>
                <w:rFonts w:ascii="Arial" w:eastAsia="Times New Roman" w:hAnsi="Arial" w:cs="Arial"/>
                <w:color w:val="000000" w:themeColor="text1"/>
                <w:sz w:val="20"/>
                <w:szCs w:val="20"/>
              </w:rPr>
            </w:pPr>
            <w:bookmarkStart w:id="501" w:name="_Toc67328883"/>
            <w:r w:rsidRPr="003D1614">
              <w:rPr>
                <w:rFonts w:ascii="Arial" w:eastAsia="Times New Roman" w:hAnsi="Arial" w:cs="Arial"/>
                <w:color w:val="000000" w:themeColor="text1"/>
                <w:sz w:val="20"/>
                <w:szCs w:val="20"/>
              </w:rPr>
              <w:t>Ugovorena obveza EIF FRC2</w:t>
            </w:r>
            <w:bookmarkEnd w:id="501"/>
          </w:p>
        </w:tc>
        <w:tc>
          <w:tcPr>
            <w:tcW w:w="1022" w:type="pct"/>
            <w:tcBorders>
              <w:top w:val="nil"/>
              <w:left w:val="nil"/>
              <w:bottom w:val="nil"/>
              <w:right w:val="nil"/>
            </w:tcBorders>
            <w:shd w:val="clear" w:color="auto" w:fill="auto"/>
            <w:vAlign w:val="bottom"/>
          </w:tcPr>
          <w:p w14:paraId="04BFA4F9" w14:textId="1A0FA3BC" w:rsidR="00BE1E11" w:rsidRPr="00BE1E11" w:rsidRDefault="00BE1E11" w:rsidP="00BE1E11">
            <w:pPr>
              <w:tabs>
                <w:tab w:val="right" w:pos="1202"/>
              </w:tabs>
              <w:suppressAutoHyphens/>
              <w:autoSpaceDN w:val="0"/>
              <w:jc w:val="right"/>
              <w:outlineLvl w:val="0"/>
              <w:rPr>
                <w:rFonts w:ascii="Arial" w:hAnsi="Arial" w:cs="Arial"/>
                <w:sz w:val="20"/>
                <w:szCs w:val="20"/>
              </w:rPr>
            </w:pPr>
            <w:r w:rsidRPr="00BE1E11">
              <w:rPr>
                <w:rFonts w:ascii="Arial" w:hAnsi="Arial" w:cs="Arial"/>
                <w:sz w:val="20"/>
                <w:szCs w:val="20"/>
              </w:rPr>
              <w:t xml:space="preserve"> 49 </w:t>
            </w:r>
          </w:p>
        </w:tc>
        <w:tc>
          <w:tcPr>
            <w:tcW w:w="1023" w:type="pct"/>
            <w:tcBorders>
              <w:top w:val="nil"/>
              <w:left w:val="nil"/>
              <w:bottom w:val="nil"/>
              <w:right w:val="nil"/>
            </w:tcBorders>
            <w:shd w:val="clear" w:color="auto" w:fill="auto"/>
            <w:vAlign w:val="bottom"/>
          </w:tcPr>
          <w:p w14:paraId="4728A532" w14:textId="266ADC96" w:rsidR="00BE1E11" w:rsidRPr="00825AD5" w:rsidRDefault="00BE1E11" w:rsidP="00BE1E11">
            <w:pPr>
              <w:tabs>
                <w:tab w:val="right" w:pos="1202"/>
              </w:tabs>
              <w:suppressAutoHyphens/>
              <w:autoSpaceDN w:val="0"/>
              <w:jc w:val="right"/>
              <w:outlineLvl w:val="0"/>
              <w:rPr>
                <w:rFonts w:ascii="Arial" w:eastAsia="Times New Roman" w:hAnsi="Arial" w:cs="Arial"/>
                <w:color w:val="000000" w:themeColor="text1"/>
                <w:sz w:val="20"/>
                <w:szCs w:val="20"/>
              </w:rPr>
            </w:pPr>
            <w:r w:rsidRPr="00F275DE">
              <w:rPr>
                <w:rFonts w:ascii="Arial" w:hAnsi="Arial" w:cs="Arial"/>
                <w:sz w:val="20"/>
              </w:rPr>
              <w:t xml:space="preserve"> 81 </w:t>
            </w:r>
          </w:p>
        </w:tc>
      </w:tr>
      <w:tr w:rsidR="00422BC4" w:rsidRPr="003D1614" w14:paraId="6C3A175B" w14:textId="77777777" w:rsidTr="00BE1E11">
        <w:tblPrEx>
          <w:tblCellMar>
            <w:left w:w="107" w:type="dxa"/>
            <w:right w:w="107" w:type="dxa"/>
          </w:tblCellMar>
        </w:tblPrEx>
        <w:trPr>
          <w:trHeight w:val="283"/>
        </w:trPr>
        <w:tc>
          <w:tcPr>
            <w:tcW w:w="2955" w:type="pct"/>
            <w:vAlign w:val="bottom"/>
          </w:tcPr>
          <w:p w14:paraId="71DF812C" w14:textId="77777777" w:rsidR="00422BC4" w:rsidRPr="003D1614" w:rsidRDefault="00422BC4" w:rsidP="00422BC4">
            <w:pPr>
              <w:tabs>
                <w:tab w:val="right" w:pos="1202"/>
              </w:tabs>
              <w:suppressAutoHyphens/>
              <w:autoSpaceDN w:val="0"/>
              <w:outlineLvl w:val="0"/>
              <w:rPr>
                <w:rFonts w:ascii="Arial" w:eastAsia="Times New Roman" w:hAnsi="Arial" w:cs="Arial"/>
                <w:color w:val="000000" w:themeColor="text1"/>
                <w:sz w:val="20"/>
                <w:szCs w:val="20"/>
              </w:rPr>
            </w:pPr>
          </w:p>
        </w:tc>
        <w:tc>
          <w:tcPr>
            <w:tcW w:w="1022" w:type="pct"/>
            <w:tcBorders>
              <w:top w:val="single" w:sz="4" w:space="0" w:color="auto"/>
              <w:bottom w:val="single" w:sz="4" w:space="0" w:color="auto"/>
            </w:tcBorders>
            <w:vAlign w:val="bottom"/>
          </w:tcPr>
          <w:p w14:paraId="266B5F4F" w14:textId="42FAB4BE" w:rsidR="00422BC4" w:rsidRPr="00BE1E11" w:rsidRDefault="00BE1E11" w:rsidP="00422BC4">
            <w:pPr>
              <w:tabs>
                <w:tab w:val="right" w:pos="1202"/>
              </w:tabs>
              <w:suppressAutoHyphens/>
              <w:autoSpaceDN w:val="0"/>
              <w:jc w:val="right"/>
              <w:outlineLvl w:val="0"/>
              <w:rPr>
                <w:rFonts w:ascii="Arial" w:eastAsia="Times New Roman" w:hAnsi="Arial" w:cs="Arial"/>
                <w:color w:val="000000" w:themeColor="text1"/>
                <w:sz w:val="20"/>
                <w:szCs w:val="20"/>
              </w:rPr>
            </w:pPr>
            <w:r w:rsidRPr="00BE1E11">
              <w:rPr>
                <w:rFonts w:ascii="Arial" w:eastAsia="Times New Roman" w:hAnsi="Arial" w:cs="Arial"/>
                <w:color w:val="000000" w:themeColor="text1"/>
                <w:sz w:val="20"/>
                <w:szCs w:val="20"/>
              </w:rPr>
              <w:t>554.611</w:t>
            </w:r>
          </w:p>
        </w:tc>
        <w:tc>
          <w:tcPr>
            <w:tcW w:w="1023" w:type="pct"/>
            <w:tcBorders>
              <w:top w:val="single" w:sz="4" w:space="0" w:color="auto"/>
              <w:bottom w:val="single" w:sz="4" w:space="0" w:color="auto"/>
            </w:tcBorders>
            <w:vAlign w:val="bottom"/>
          </w:tcPr>
          <w:p w14:paraId="003429F4" w14:textId="6C9D3085" w:rsidR="00422BC4" w:rsidRPr="00825AD5" w:rsidRDefault="00422BC4" w:rsidP="00422BC4">
            <w:pPr>
              <w:tabs>
                <w:tab w:val="right" w:pos="1202"/>
              </w:tabs>
              <w:suppressAutoHyphens/>
              <w:autoSpaceDN w:val="0"/>
              <w:jc w:val="right"/>
              <w:outlineLvl w:val="0"/>
              <w:rPr>
                <w:rFonts w:ascii="Arial" w:eastAsia="Times New Roman" w:hAnsi="Arial" w:cs="Arial"/>
                <w:color w:val="000000" w:themeColor="text1"/>
                <w:sz w:val="20"/>
                <w:szCs w:val="20"/>
              </w:rPr>
            </w:pPr>
            <w:r w:rsidRPr="00F275DE">
              <w:rPr>
                <w:rFonts w:ascii="Arial" w:hAnsi="Arial" w:cs="Arial"/>
                <w:color w:val="000000" w:themeColor="text1"/>
                <w:sz w:val="20"/>
              </w:rPr>
              <w:t>547.553</w:t>
            </w:r>
          </w:p>
        </w:tc>
      </w:tr>
      <w:tr w:rsidR="00BE1E11" w:rsidRPr="003D1614" w14:paraId="654964A2" w14:textId="77777777" w:rsidTr="00BE1E11">
        <w:tblPrEx>
          <w:tblCellMar>
            <w:left w:w="107" w:type="dxa"/>
            <w:right w:w="107" w:type="dxa"/>
          </w:tblCellMar>
        </w:tblPrEx>
        <w:trPr>
          <w:trHeight w:val="232"/>
        </w:trPr>
        <w:tc>
          <w:tcPr>
            <w:tcW w:w="2955" w:type="pct"/>
            <w:vAlign w:val="bottom"/>
          </w:tcPr>
          <w:p w14:paraId="0B9EF43A" w14:textId="77777777" w:rsidR="00BE1E11" w:rsidRPr="003D1614" w:rsidRDefault="00BE1E11" w:rsidP="00BE1E11">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502" w:name="_Toc67328891"/>
            <w:r w:rsidRPr="003D1614">
              <w:rPr>
                <w:rFonts w:ascii="Arial" w:eastAsia="Times New Roman" w:hAnsi="Arial" w:cs="Arial"/>
                <w:color w:val="000000" w:themeColor="text1"/>
                <w:sz w:val="20"/>
                <w:szCs w:val="20"/>
              </w:rPr>
              <w:t>Rezerviranja za garancije i preuzete obveze</w:t>
            </w:r>
            <w:bookmarkEnd w:id="502"/>
          </w:p>
        </w:tc>
        <w:tc>
          <w:tcPr>
            <w:tcW w:w="1022" w:type="pct"/>
            <w:tcBorders>
              <w:top w:val="single" w:sz="4" w:space="0" w:color="auto"/>
              <w:bottom w:val="single" w:sz="4" w:space="0" w:color="auto"/>
            </w:tcBorders>
            <w:vAlign w:val="bottom"/>
          </w:tcPr>
          <w:p w14:paraId="6C0C01CD" w14:textId="5450E748" w:rsidR="00BE1E11" w:rsidRPr="00BE1E11" w:rsidRDefault="00BE1E11" w:rsidP="00BE1E11">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BE1E11">
              <w:rPr>
                <w:rFonts w:ascii="Arial" w:hAnsi="Arial" w:cs="Arial"/>
                <w:sz w:val="20"/>
                <w:szCs w:val="20"/>
              </w:rPr>
              <w:t xml:space="preserve"> (8.347)</w:t>
            </w:r>
          </w:p>
        </w:tc>
        <w:tc>
          <w:tcPr>
            <w:tcW w:w="1023" w:type="pct"/>
            <w:tcBorders>
              <w:top w:val="single" w:sz="4" w:space="0" w:color="auto"/>
              <w:bottom w:val="single" w:sz="4" w:space="0" w:color="auto"/>
            </w:tcBorders>
            <w:vAlign w:val="bottom"/>
          </w:tcPr>
          <w:p w14:paraId="23AE002C" w14:textId="655B49D6" w:rsidR="00BE1E11" w:rsidRPr="00825AD5" w:rsidRDefault="00BE1E11" w:rsidP="00BE1E11">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F275DE">
              <w:rPr>
                <w:rFonts w:ascii="Arial" w:hAnsi="Arial" w:cs="Arial"/>
                <w:color w:val="000000" w:themeColor="text1"/>
                <w:sz w:val="20"/>
              </w:rPr>
              <w:t>(14.637)</w:t>
            </w:r>
          </w:p>
        </w:tc>
      </w:tr>
      <w:tr w:rsidR="00BE1E11" w:rsidRPr="003D1614" w14:paraId="3B621004" w14:textId="77777777" w:rsidTr="00BE1E11">
        <w:tblPrEx>
          <w:tblCellMar>
            <w:left w:w="107" w:type="dxa"/>
            <w:right w:w="107" w:type="dxa"/>
          </w:tblCellMar>
        </w:tblPrEx>
        <w:trPr>
          <w:trHeight w:val="232"/>
        </w:trPr>
        <w:tc>
          <w:tcPr>
            <w:tcW w:w="2955" w:type="pct"/>
            <w:vAlign w:val="bottom"/>
          </w:tcPr>
          <w:p w14:paraId="4BA69416" w14:textId="77777777" w:rsidR="00BE1E11" w:rsidRPr="003D1614" w:rsidRDefault="00BE1E11" w:rsidP="00BE1E11">
            <w:pPr>
              <w:tabs>
                <w:tab w:val="right" w:pos="1202"/>
              </w:tabs>
              <w:suppressAutoHyphens/>
              <w:autoSpaceDN w:val="0"/>
              <w:spacing w:line="340" w:lineRule="exact"/>
              <w:outlineLvl w:val="0"/>
              <w:rPr>
                <w:rFonts w:ascii="Arial" w:eastAsia="Times New Roman" w:hAnsi="Arial" w:cs="Arial"/>
                <w:b/>
                <w:bCs/>
                <w:color w:val="000000" w:themeColor="text1"/>
                <w:sz w:val="20"/>
                <w:szCs w:val="20"/>
              </w:rPr>
            </w:pPr>
          </w:p>
        </w:tc>
        <w:tc>
          <w:tcPr>
            <w:tcW w:w="1022" w:type="pct"/>
            <w:tcBorders>
              <w:top w:val="single" w:sz="4" w:space="0" w:color="auto"/>
              <w:bottom w:val="single" w:sz="12" w:space="0" w:color="auto"/>
            </w:tcBorders>
            <w:vAlign w:val="bottom"/>
          </w:tcPr>
          <w:p w14:paraId="508BE5C9" w14:textId="3EC5A95F" w:rsidR="00BE1E11" w:rsidRPr="00BE1E11" w:rsidRDefault="00BE1E11" w:rsidP="00BE1E11">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BE1E11">
              <w:rPr>
                <w:rFonts w:ascii="Arial" w:hAnsi="Arial" w:cs="Arial"/>
                <w:b/>
                <w:bCs/>
                <w:sz w:val="20"/>
                <w:szCs w:val="20"/>
              </w:rPr>
              <w:t xml:space="preserve"> 546.264 </w:t>
            </w:r>
          </w:p>
        </w:tc>
        <w:tc>
          <w:tcPr>
            <w:tcW w:w="1023" w:type="pct"/>
            <w:tcBorders>
              <w:top w:val="single" w:sz="4" w:space="0" w:color="auto"/>
              <w:bottom w:val="single" w:sz="12" w:space="0" w:color="auto"/>
            </w:tcBorders>
            <w:vAlign w:val="bottom"/>
          </w:tcPr>
          <w:p w14:paraId="21FB2909" w14:textId="7A2C89C1" w:rsidR="00BE1E11" w:rsidRPr="00825AD5" w:rsidRDefault="00BE1E11" w:rsidP="00BE1E11">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F275DE">
              <w:rPr>
                <w:rFonts w:ascii="Arial" w:hAnsi="Arial" w:cs="Arial"/>
                <w:b/>
                <w:bCs/>
                <w:color w:val="000000" w:themeColor="text1"/>
                <w:sz w:val="20"/>
              </w:rPr>
              <w:t>532.916</w:t>
            </w:r>
          </w:p>
        </w:tc>
      </w:tr>
    </w:tbl>
    <w:p w14:paraId="3C0D49D0" w14:textId="77777777" w:rsidR="00994783" w:rsidRPr="003D1614" w:rsidRDefault="00994783" w:rsidP="00994783">
      <w:pPr>
        <w:suppressAutoHyphens/>
        <w:autoSpaceDN w:val="0"/>
        <w:jc w:val="both"/>
        <w:outlineLvl w:val="0"/>
        <w:rPr>
          <w:rFonts w:ascii="Arial" w:eastAsia="Times New Roman" w:hAnsi="Arial" w:cs="Arial"/>
          <w:color w:val="000000" w:themeColor="text1"/>
          <w:sz w:val="20"/>
          <w:szCs w:val="20"/>
        </w:rPr>
      </w:pPr>
    </w:p>
    <w:p w14:paraId="64D57AAA" w14:textId="77777777" w:rsidR="00994783" w:rsidRPr="003D1614" w:rsidRDefault="00994783" w:rsidP="00994783">
      <w:pPr>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Sljedeće tablice prikazuju informacije o kreditnoj kvaliteti garancija i preuzetih obveza. Za preuzete obveze po kreditima i ugovore o financijskim jamstvima, iznosi u tablici predstavljaju odobrene ili zajamčene iznose:</w:t>
      </w:r>
    </w:p>
    <w:p w14:paraId="6CCFBE3F" w14:textId="77777777" w:rsidR="00994783" w:rsidRPr="003D1614" w:rsidRDefault="00994783" w:rsidP="00994783">
      <w:pPr>
        <w:suppressAutoHyphens/>
        <w:autoSpaceDN w:val="0"/>
        <w:jc w:val="both"/>
        <w:outlineLvl w:val="0"/>
        <w:rPr>
          <w:rFonts w:ascii="Arial" w:eastAsia="Times New Roman" w:hAnsi="Arial" w:cs="Arial"/>
          <w:color w:val="000000" w:themeColor="text1"/>
          <w:sz w:val="20"/>
          <w:szCs w:val="20"/>
        </w:rPr>
      </w:pPr>
    </w:p>
    <w:tbl>
      <w:tblPr>
        <w:tblW w:w="9506" w:type="dxa"/>
        <w:tblLook w:val="04A0" w:firstRow="1" w:lastRow="0" w:firstColumn="1" w:lastColumn="0" w:noHBand="0" w:noVBand="1"/>
      </w:tblPr>
      <w:tblGrid>
        <w:gridCol w:w="1797"/>
        <w:gridCol w:w="1077"/>
        <w:gridCol w:w="1077"/>
        <w:gridCol w:w="1152"/>
        <w:gridCol w:w="1002"/>
        <w:gridCol w:w="1077"/>
        <w:gridCol w:w="1247"/>
        <w:gridCol w:w="1077"/>
      </w:tblGrid>
      <w:tr w:rsidR="001075F6" w:rsidRPr="004775A2" w14:paraId="05A08322" w14:textId="77777777" w:rsidTr="0034622E">
        <w:trPr>
          <w:trHeight w:val="355"/>
        </w:trPr>
        <w:tc>
          <w:tcPr>
            <w:tcW w:w="1797" w:type="dxa"/>
            <w:tcBorders>
              <w:top w:val="nil"/>
              <w:left w:val="nil"/>
              <w:bottom w:val="nil"/>
              <w:right w:val="nil"/>
            </w:tcBorders>
            <w:shd w:val="clear" w:color="auto" w:fill="auto"/>
            <w:noWrap/>
            <w:vAlign w:val="bottom"/>
            <w:hideMark/>
          </w:tcPr>
          <w:p w14:paraId="74AFC5EE" w14:textId="1C96084A" w:rsidR="001075F6" w:rsidRPr="004775A2" w:rsidRDefault="001075F6" w:rsidP="0034622E">
            <w:pPr>
              <w:rPr>
                <w:rFonts w:ascii="Arial" w:hAnsi="Arial" w:cs="Arial"/>
                <w:b/>
                <w:color w:val="000000" w:themeColor="text1"/>
                <w:sz w:val="17"/>
                <w:szCs w:val="17"/>
              </w:rPr>
            </w:pPr>
            <w:r w:rsidRPr="004775A2">
              <w:rPr>
                <w:rFonts w:ascii="Arial" w:hAnsi="Arial" w:cs="Arial"/>
                <w:b/>
                <w:color w:val="000000" w:themeColor="text1"/>
                <w:sz w:val="17"/>
                <w:szCs w:val="17"/>
              </w:rPr>
              <w:t>3</w:t>
            </w:r>
            <w:r>
              <w:rPr>
                <w:rFonts w:ascii="Arial" w:hAnsi="Arial" w:cs="Arial"/>
                <w:b/>
                <w:color w:val="000000" w:themeColor="text1"/>
                <w:sz w:val="17"/>
                <w:szCs w:val="17"/>
              </w:rPr>
              <w:t>0</w:t>
            </w:r>
            <w:r w:rsidRPr="004775A2">
              <w:rPr>
                <w:rFonts w:ascii="Arial" w:hAnsi="Arial" w:cs="Arial"/>
                <w:b/>
                <w:color w:val="000000" w:themeColor="text1"/>
                <w:sz w:val="17"/>
                <w:szCs w:val="17"/>
              </w:rPr>
              <w:t>.</w:t>
            </w:r>
            <w:r>
              <w:rPr>
                <w:rFonts w:ascii="Arial" w:hAnsi="Arial" w:cs="Arial"/>
                <w:b/>
                <w:color w:val="000000" w:themeColor="text1"/>
                <w:sz w:val="17"/>
                <w:szCs w:val="17"/>
              </w:rPr>
              <w:t xml:space="preserve"> </w:t>
            </w:r>
            <w:r w:rsidR="009735C3">
              <w:rPr>
                <w:rFonts w:ascii="Arial" w:hAnsi="Arial" w:cs="Arial"/>
                <w:b/>
                <w:color w:val="000000" w:themeColor="text1"/>
                <w:sz w:val="17"/>
                <w:szCs w:val="17"/>
              </w:rPr>
              <w:t>rujna</w:t>
            </w:r>
            <w:r w:rsidRPr="004775A2">
              <w:rPr>
                <w:rFonts w:ascii="Arial" w:hAnsi="Arial" w:cs="Arial"/>
                <w:b/>
                <w:color w:val="000000" w:themeColor="text1"/>
                <w:sz w:val="17"/>
                <w:szCs w:val="17"/>
              </w:rPr>
              <w:t xml:space="preserve"> 202</w:t>
            </w:r>
            <w:r>
              <w:rPr>
                <w:rFonts w:ascii="Arial" w:hAnsi="Arial" w:cs="Arial"/>
                <w:b/>
                <w:color w:val="000000" w:themeColor="text1"/>
                <w:sz w:val="17"/>
                <w:szCs w:val="17"/>
              </w:rPr>
              <w:t>4</w:t>
            </w:r>
            <w:r w:rsidRPr="004775A2">
              <w:rPr>
                <w:rFonts w:ascii="Arial" w:hAnsi="Arial" w:cs="Arial"/>
                <w:b/>
                <w:color w:val="000000" w:themeColor="text1"/>
                <w:sz w:val="17"/>
                <w:szCs w:val="17"/>
              </w:rPr>
              <w:t xml:space="preserve">.    </w:t>
            </w:r>
          </w:p>
        </w:tc>
        <w:tc>
          <w:tcPr>
            <w:tcW w:w="1077" w:type="dxa"/>
            <w:tcBorders>
              <w:top w:val="nil"/>
              <w:left w:val="nil"/>
              <w:bottom w:val="nil"/>
              <w:right w:val="nil"/>
            </w:tcBorders>
            <w:shd w:val="clear" w:color="auto" w:fill="auto"/>
            <w:noWrap/>
            <w:vAlign w:val="bottom"/>
            <w:hideMark/>
          </w:tcPr>
          <w:p w14:paraId="16493DEA" w14:textId="77777777" w:rsidR="001075F6" w:rsidRPr="004775A2" w:rsidRDefault="001075F6" w:rsidP="0034622E">
            <w:pPr>
              <w:rPr>
                <w:rFonts w:ascii="Arial" w:hAnsi="Arial" w:cs="Arial"/>
                <w:color w:val="000000" w:themeColor="text1"/>
                <w:sz w:val="17"/>
                <w:szCs w:val="17"/>
              </w:rPr>
            </w:pPr>
          </w:p>
        </w:tc>
        <w:tc>
          <w:tcPr>
            <w:tcW w:w="1077" w:type="dxa"/>
            <w:tcBorders>
              <w:top w:val="nil"/>
              <w:left w:val="nil"/>
              <w:bottom w:val="nil"/>
              <w:right w:val="nil"/>
            </w:tcBorders>
            <w:shd w:val="clear" w:color="auto" w:fill="auto"/>
            <w:noWrap/>
            <w:vAlign w:val="bottom"/>
            <w:hideMark/>
          </w:tcPr>
          <w:p w14:paraId="12D8F6A1" w14:textId="77777777" w:rsidR="001075F6" w:rsidRPr="004775A2" w:rsidRDefault="001075F6" w:rsidP="0034622E">
            <w:pPr>
              <w:rPr>
                <w:rFonts w:ascii="Arial" w:hAnsi="Arial" w:cs="Arial"/>
                <w:color w:val="000000" w:themeColor="text1"/>
                <w:sz w:val="17"/>
                <w:szCs w:val="17"/>
              </w:rPr>
            </w:pPr>
          </w:p>
        </w:tc>
        <w:tc>
          <w:tcPr>
            <w:tcW w:w="1152" w:type="dxa"/>
            <w:tcBorders>
              <w:top w:val="nil"/>
              <w:left w:val="nil"/>
              <w:bottom w:val="nil"/>
              <w:right w:val="nil"/>
            </w:tcBorders>
            <w:shd w:val="clear" w:color="auto" w:fill="auto"/>
            <w:noWrap/>
            <w:vAlign w:val="bottom"/>
            <w:hideMark/>
          </w:tcPr>
          <w:p w14:paraId="287A2FF1" w14:textId="77777777" w:rsidR="001075F6" w:rsidRPr="004775A2" w:rsidRDefault="001075F6" w:rsidP="0034622E">
            <w:pPr>
              <w:rPr>
                <w:rFonts w:ascii="Arial" w:hAnsi="Arial" w:cs="Arial"/>
                <w:color w:val="000000" w:themeColor="text1"/>
                <w:sz w:val="17"/>
                <w:szCs w:val="17"/>
              </w:rPr>
            </w:pPr>
          </w:p>
        </w:tc>
        <w:tc>
          <w:tcPr>
            <w:tcW w:w="2079" w:type="dxa"/>
            <w:gridSpan w:val="2"/>
            <w:tcBorders>
              <w:top w:val="nil"/>
              <w:left w:val="nil"/>
              <w:bottom w:val="nil"/>
              <w:right w:val="nil"/>
            </w:tcBorders>
            <w:vAlign w:val="bottom"/>
          </w:tcPr>
          <w:p w14:paraId="728E05E4" w14:textId="77777777" w:rsidR="001075F6" w:rsidRPr="004775A2" w:rsidRDefault="001075F6" w:rsidP="0034622E">
            <w:pPr>
              <w:jc w:val="right"/>
              <w:rPr>
                <w:rFonts w:ascii="Arial" w:hAnsi="Arial" w:cs="Arial"/>
                <w:b/>
                <w:bCs/>
                <w:color w:val="000000" w:themeColor="text1"/>
                <w:sz w:val="17"/>
                <w:szCs w:val="17"/>
              </w:rPr>
            </w:pPr>
          </w:p>
        </w:tc>
        <w:tc>
          <w:tcPr>
            <w:tcW w:w="1247" w:type="dxa"/>
            <w:tcBorders>
              <w:top w:val="nil"/>
              <w:left w:val="nil"/>
              <w:bottom w:val="nil"/>
              <w:right w:val="nil"/>
            </w:tcBorders>
            <w:vAlign w:val="bottom"/>
          </w:tcPr>
          <w:p w14:paraId="4D84F7C2" w14:textId="77777777" w:rsidR="001075F6" w:rsidRPr="004775A2" w:rsidRDefault="001075F6" w:rsidP="0034622E">
            <w:pPr>
              <w:jc w:val="right"/>
              <w:rPr>
                <w:rFonts w:ascii="Arial" w:hAnsi="Arial" w:cs="Arial"/>
                <w:b/>
                <w:bCs/>
                <w:color w:val="000000" w:themeColor="text1"/>
                <w:sz w:val="17"/>
                <w:szCs w:val="17"/>
              </w:rPr>
            </w:pPr>
          </w:p>
        </w:tc>
        <w:tc>
          <w:tcPr>
            <w:tcW w:w="1077" w:type="dxa"/>
            <w:tcBorders>
              <w:top w:val="nil"/>
              <w:left w:val="nil"/>
              <w:bottom w:val="nil"/>
              <w:right w:val="nil"/>
            </w:tcBorders>
            <w:shd w:val="clear" w:color="auto" w:fill="auto"/>
            <w:noWrap/>
            <w:vAlign w:val="bottom"/>
            <w:hideMark/>
          </w:tcPr>
          <w:p w14:paraId="0121B81B" w14:textId="77777777" w:rsidR="001075F6" w:rsidRPr="004775A2" w:rsidRDefault="001075F6" w:rsidP="0034622E">
            <w:pPr>
              <w:jc w:val="right"/>
              <w:rPr>
                <w:rFonts w:ascii="Arial" w:hAnsi="Arial" w:cs="Arial"/>
                <w:b/>
                <w:bCs/>
                <w:color w:val="000000" w:themeColor="text1"/>
                <w:sz w:val="17"/>
                <w:szCs w:val="17"/>
              </w:rPr>
            </w:pPr>
            <w:r w:rsidRPr="004775A2">
              <w:rPr>
                <w:rFonts w:ascii="Arial" w:hAnsi="Arial" w:cs="Arial"/>
                <w:b/>
                <w:bCs/>
                <w:color w:val="000000" w:themeColor="text1"/>
                <w:sz w:val="17"/>
                <w:szCs w:val="17"/>
              </w:rPr>
              <w:t>Grupa i Banka</w:t>
            </w:r>
          </w:p>
        </w:tc>
      </w:tr>
      <w:tr w:rsidR="001075F6" w:rsidRPr="004775A2" w14:paraId="1952EA67" w14:textId="77777777" w:rsidTr="0034622E">
        <w:trPr>
          <w:trHeight w:val="280"/>
        </w:trPr>
        <w:tc>
          <w:tcPr>
            <w:tcW w:w="1797" w:type="dxa"/>
            <w:tcBorders>
              <w:top w:val="nil"/>
              <w:left w:val="nil"/>
              <w:bottom w:val="nil"/>
              <w:right w:val="nil"/>
            </w:tcBorders>
            <w:shd w:val="clear" w:color="auto" w:fill="auto"/>
            <w:vAlign w:val="bottom"/>
            <w:hideMark/>
          </w:tcPr>
          <w:p w14:paraId="79D35FFA" w14:textId="77777777" w:rsidR="001075F6" w:rsidRPr="004775A2" w:rsidRDefault="001075F6" w:rsidP="0034622E">
            <w:pPr>
              <w:jc w:val="right"/>
              <w:rPr>
                <w:rFonts w:ascii="Arial" w:hAnsi="Arial" w:cs="Arial"/>
                <w:b/>
                <w:bCs/>
                <w:color w:val="000000" w:themeColor="text1"/>
                <w:sz w:val="17"/>
                <w:szCs w:val="17"/>
              </w:rPr>
            </w:pPr>
          </w:p>
        </w:tc>
        <w:tc>
          <w:tcPr>
            <w:tcW w:w="1077" w:type="dxa"/>
            <w:tcBorders>
              <w:top w:val="nil"/>
              <w:left w:val="nil"/>
              <w:bottom w:val="nil"/>
              <w:right w:val="nil"/>
            </w:tcBorders>
            <w:shd w:val="clear" w:color="auto" w:fill="auto"/>
            <w:vAlign w:val="bottom"/>
            <w:hideMark/>
          </w:tcPr>
          <w:p w14:paraId="3D160119" w14:textId="77777777" w:rsidR="001075F6" w:rsidRPr="004775A2" w:rsidRDefault="001075F6" w:rsidP="0034622E">
            <w:pPr>
              <w:jc w:val="right"/>
              <w:rPr>
                <w:rFonts w:ascii="Arial" w:hAnsi="Arial" w:cs="Arial"/>
                <w:b/>
                <w:bCs/>
                <w:color w:val="000000" w:themeColor="text1"/>
                <w:sz w:val="17"/>
                <w:szCs w:val="17"/>
              </w:rPr>
            </w:pPr>
            <w:r w:rsidRPr="004775A2">
              <w:rPr>
                <w:rFonts w:ascii="Arial" w:hAnsi="Arial" w:cs="Arial"/>
                <w:b/>
                <w:bCs/>
                <w:color w:val="000000" w:themeColor="text1"/>
                <w:sz w:val="17"/>
                <w:szCs w:val="17"/>
              </w:rPr>
              <w:t>Stupanj 1</w:t>
            </w:r>
          </w:p>
        </w:tc>
        <w:tc>
          <w:tcPr>
            <w:tcW w:w="1077" w:type="dxa"/>
            <w:tcBorders>
              <w:top w:val="nil"/>
              <w:left w:val="nil"/>
              <w:bottom w:val="nil"/>
              <w:right w:val="nil"/>
            </w:tcBorders>
            <w:shd w:val="clear" w:color="auto" w:fill="auto"/>
            <w:vAlign w:val="bottom"/>
            <w:hideMark/>
          </w:tcPr>
          <w:p w14:paraId="1034FFAA" w14:textId="77777777" w:rsidR="001075F6" w:rsidRPr="004775A2" w:rsidRDefault="001075F6" w:rsidP="0034622E">
            <w:pPr>
              <w:jc w:val="right"/>
              <w:rPr>
                <w:rFonts w:ascii="Arial" w:hAnsi="Arial" w:cs="Arial"/>
                <w:b/>
                <w:bCs/>
                <w:color w:val="000000" w:themeColor="text1"/>
                <w:sz w:val="17"/>
                <w:szCs w:val="17"/>
              </w:rPr>
            </w:pPr>
            <w:r w:rsidRPr="004775A2">
              <w:rPr>
                <w:rFonts w:ascii="Arial" w:hAnsi="Arial" w:cs="Arial"/>
                <w:b/>
                <w:bCs/>
                <w:color w:val="000000" w:themeColor="text1"/>
                <w:sz w:val="17"/>
                <w:szCs w:val="17"/>
              </w:rPr>
              <w:t>Stupanj 2</w:t>
            </w:r>
          </w:p>
        </w:tc>
        <w:tc>
          <w:tcPr>
            <w:tcW w:w="1152" w:type="dxa"/>
            <w:tcBorders>
              <w:top w:val="nil"/>
              <w:left w:val="nil"/>
              <w:bottom w:val="nil"/>
              <w:right w:val="nil"/>
            </w:tcBorders>
            <w:shd w:val="clear" w:color="auto" w:fill="auto"/>
            <w:vAlign w:val="bottom"/>
            <w:hideMark/>
          </w:tcPr>
          <w:p w14:paraId="5C40DF98" w14:textId="77777777" w:rsidR="001075F6" w:rsidRPr="004775A2" w:rsidRDefault="001075F6" w:rsidP="0034622E">
            <w:pPr>
              <w:jc w:val="right"/>
              <w:rPr>
                <w:rFonts w:ascii="Arial" w:hAnsi="Arial" w:cs="Arial"/>
                <w:b/>
                <w:bCs/>
                <w:color w:val="000000" w:themeColor="text1"/>
                <w:sz w:val="17"/>
                <w:szCs w:val="17"/>
              </w:rPr>
            </w:pPr>
            <w:r w:rsidRPr="004775A2">
              <w:rPr>
                <w:rFonts w:ascii="Arial" w:hAnsi="Arial" w:cs="Arial"/>
                <w:b/>
                <w:bCs/>
                <w:color w:val="000000" w:themeColor="text1"/>
                <w:sz w:val="17"/>
                <w:szCs w:val="17"/>
              </w:rPr>
              <w:t>Stupanj 3</w:t>
            </w:r>
          </w:p>
        </w:tc>
        <w:tc>
          <w:tcPr>
            <w:tcW w:w="2079" w:type="dxa"/>
            <w:gridSpan w:val="2"/>
            <w:tcBorders>
              <w:top w:val="nil"/>
              <w:left w:val="nil"/>
              <w:bottom w:val="nil"/>
              <w:right w:val="nil"/>
            </w:tcBorders>
            <w:vAlign w:val="bottom"/>
          </w:tcPr>
          <w:p w14:paraId="3FCEA4F5" w14:textId="77777777" w:rsidR="001075F6" w:rsidRPr="004775A2" w:rsidRDefault="001075F6" w:rsidP="0034622E">
            <w:pPr>
              <w:jc w:val="center"/>
              <w:rPr>
                <w:rFonts w:ascii="Arial" w:hAnsi="Arial" w:cs="Arial"/>
                <w:b/>
                <w:bCs/>
                <w:color w:val="000000" w:themeColor="text1"/>
                <w:sz w:val="17"/>
                <w:szCs w:val="17"/>
              </w:rPr>
            </w:pPr>
            <w:r w:rsidRPr="004775A2">
              <w:rPr>
                <w:rFonts w:ascii="Arial" w:hAnsi="Arial" w:cs="Arial"/>
                <w:b/>
                <w:bCs/>
                <w:color w:val="000000" w:themeColor="text1"/>
                <w:sz w:val="17"/>
                <w:szCs w:val="17"/>
              </w:rPr>
              <w:t>POCI</w:t>
            </w:r>
          </w:p>
        </w:tc>
        <w:tc>
          <w:tcPr>
            <w:tcW w:w="1247" w:type="dxa"/>
            <w:tcBorders>
              <w:top w:val="nil"/>
              <w:left w:val="nil"/>
              <w:bottom w:val="nil"/>
              <w:right w:val="nil"/>
            </w:tcBorders>
            <w:vAlign w:val="bottom"/>
          </w:tcPr>
          <w:p w14:paraId="759B2391" w14:textId="77777777" w:rsidR="001075F6" w:rsidRPr="004775A2" w:rsidRDefault="001075F6" w:rsidP="0034622E">
            <w:pPr>
              <w:jc w:val="right"/>
              <w:rPr>
                <w:rFonts w:ascii="Arial" w:hAnsi="Arial" w:cs="Arial"/>
                <w:b/>
                <w:bCs/>
                <w:color w:val="000000" w:themeColor="text1"/>
                <w:sz w:val="17"/>
                <w:szCs w:val="17"/>
              </w:rPr>
            </w:pPr>
            <w:r w:rsidRPr="004775A2">
              <w:rPr>
                <w:rFonts w:ascii="Arial" w:hAnsi="Arial" w:cs="Arial"/>
                <w:b/>
                <w:bCs/>
                <w:color w:val="000000" w:themeColor="text1"/>
                <w:sz w:val="17"/>
                <w:szCs w:val="17"/>
              </w:rPr>
              <w:t>Bez Stupnja</w:t>
            </w:r>
          </w:p>
        </w:tc>
        <w:tc>
          <w:tcPr>
            <w:tcW w:w="1077" w:type="dxa"/>
            <w:tcBorders>
              <w:top w:val="nil"/>
              <w:left w:val="nil"/>
              <w:bottom w:val="nil"/>
              <w:right w:val="nil"/>
            </w:tcBorders>
            <w:shd w:val="clear" w:color="auto" w:fill="auto"/>
            <w:vAlign w:val="bottom"/>
            <w:hideMark/>
          </w:tcPr>
          <w:p w14:paraId="5BB06656" w14:textId="77777777" w:rsidR="001075F6" w:rsidRPr="004775A2" w:rsidRDefault="001075F6" w:rsidP="0034622E">
            <w:pPr>
              <w:jc w:val="right"/>
              <w:rPr>
                <w:rFonts w:ascii="Arial" w:hAnsi="Arial" w:cs="Arial"/>
                <w:b/>
                <w:bCs/>
                <w:color w:val="000000" w:themeColor="text1"/>
                <w:sz w:val="17"/>
                <w:szCs w:val="17"/>
              </w:rPr>
            </w:pPr>
            <w:r>
              <w:rPr>
                <w:rFonts w:ascii="Arial" w:hAnsi="Arial" w:cs="Arial"/>
                <w:b/>
                <w:bCs/>
                <w:color w:val="000000" w:themeColor="text1"/>
                <w:sz w:val="17"/>
                <w:szCs w:val="17"/>
              </w:rPr>
              <w:t>Ukupno</w:t>
            </w:r>
          </w:p>
        </w:tc>
      </w:tr>
      <w:tr w:rsidR="001075F6" w:rsidRPr="004775A2" w14:paraId="77AAD4B9" w14:textId="77777777" w:rsidTr="0034622E">
        <w:trPr>
          <w:trHeight w:val="280"/>
        </w:trPr>
        <w:tc>
          <w:tcPr>
            <w:tcW w:w="1797" w:type="dxa"/>
            <w:tcBorders>
              <w:top w:val="nil"/>
              <w:left w:val="nil"/>
              <w:bottom w:val="nil"/>
              <w:right w:val="nil"/>
            </w:tcBorders>
            <w:shd w:val="clear" w:color="auto" w:fill="auto"/>
            <w:vAlign w:val="bottom"/>
          </w:tcPr>
          <w:p w14:paraId="1CF7403F" w14:textId="77777777" w:rsidR="001075F6" w:rsidRPr="004775A2" w:rsidRDefault="001075F6" w:rsidP="0034622E">
            <w:pPr>
              <w:jc w:val="right"/>
              <w:rPr>
                <w:rFonts w:ascii="Arial" w:hAnsi="Arial" w:cs="Arial"/>
                <w:b/>
                <w:bCs/>
                <w:color w:val="000000" w:themeColor="text1"/>
                <w:sz w:val="17"/>
                <w:szCs w:val="17"/>
              </w:rPr>
            </w:pPr>
          </w:p>
        </w:tc>
        <w:tc>
          <w:tcPr>
            <w:tcW w:w="1077" w:type="dxa"/>
            <w:tcBorders>
              <w:top w:val="nil"/>
              <w:left w:val="nil"/>
              <w:bottom w:val="nil"/>
              <w:right w:val="nil"/>
            </w:tcBorders>
            <w:shd w:val="clear" w:color="auto" w:fill="auto"/>
            <w:vAlign w:val="bottom"/>
          </w:tcPr>
          <w:p w14:paraId="546867A9" w14:textId="77777777" w:rsidR="001075F6" w:rsidRPr="004775A2" w:rsidRDefault="001075F6" w:rsidP="0034622E">
            <w:pPr>
              <w:jc w:val="right"/>
              <w:rPr>
                <w:rFonts w:ascii="Arial" w:hAnsi="Arial" w:cs="Arial"/>
                <w:b/>
                <w:bCs/>
                <w:color w:val="000000" w:themeColor="text1"/>
                <w:sz w:val="17"/>
                <w:szCs w:val="17"/>
              </w:rPr>
            </w:pPr>
          </w:p>
        </w:tc>
        <w:tc>
          <w:tcPr>
            <w:tcW w:w="1077" w:type="dxa"/>
            <w:tcBorders>
              <w:top w:val="nil"/>
              <w:left w:val="nil"/>
              <w:bottom w:val="nil"/>
              <w:right w:val="nil"/>
            </w:tcBorders>
            <w:shd w:val="clear" w:color="auto" w:fill="auto"/>
            <w:vAlign w:val="bottom"/>
          </w:tcPr>
          <w:p w14:paraId="445D8FC4" w14:textId="77777777" w:rsidR="001075F6" w:rsidRPr="004775A2" w:rsidRDefault="001075F6" w:rsidP="0034622E">
            <w:pPr>
              <w:jc w:val="right"/>
              <w:rPr>
                <w:rFonts w:ascii="Arial" w:hAnsi="Arial" w:cs="Arial"/>
                <w:b/>
                <w:bCs/>
                <w:color w:val="000000" w:themeColor="text1"/>
                <w:sz w:val="17"/>
                <w:szCs w:val="17"/>
              </w:rPr>
            </w:pPr>
          </w:p>
        </w:tc>
        <w:tc>
          <w:tcPr>
            <w:tcW w:w="1152" w:type="dxa"/>
            <w:tcBorders>
              <w:top w:val="nil"/>
              <w:left w:val="nil"/>
              <w:bottom w:val="nil"/>
              <w:right w:val="nil"/>
            </w:tcBorders>
            <w:shd w:val="clear" w:color="auto" w:fill="auto"/>
            <w:vAlign w:val="bottom"/>
          </w:tcPr>
          <w:p w14:paraId="54613615" w14:textId="77777777" w:rsidR="001075F6" w:rsidRPr="004775A2" w:rsidRDefault="001075F6" w:rsidP="0034622E">
            <w:pPr>
              <w:jc w:val="right"/>
              <w:rPr>
                <w:rFonts w:ascii="Arial" w:hAnsi="Arial" w:cs="Arial"/>
                <w:b/>
                <w:bCs/>
                <w:color w:val="000000" w:themeColor="text1"/>
                <w:sz w:val="17"/>
                <w:szCs w:val="17"/>
              </w:rPr>
            </w:pPr>
          </w:p>
        </w:tc>
        <w:tc>
          <w:tcPr>
            <w:tcW w:w="1002" w:type="dxa"/>
            <w:tcBorders>
              <w:top w:val="nil"/>
              <w:left w:val="nil"/>
              <w:bottom w:val="nil"/>
              <w:right w:val="nil"/>
            </w:tcBorders>
            <w:shd w:val="clear" w:color="auto" w:fill="auto"/>
            <w:vAlign w:val="bottom"/>
          </w:tcPr>
          <w:p w14:paraId="3064A257" w14:textId="77777777" w:rsidR="001075F6" w:rsidRPr="004775A2" w:rsidRDefault="001075F6" w:rsidP="0034622E">
            <w:pPr>
              <w:jc w:val="right"/>
              <w:rPr>
                <w:rFonts w:ascii="Arial" w:hAnsi="Arial" w:cs="Arial"/>
                <w:b/>
                <w:bCs/>
                <w:color w:val="000000" w:themeColor="text1"/>
                <w:sz w:val="17"/>
                <w:szCs w:val="17"/>
              </w:rPr>
            </w:pPr>
            <w:r w:rsidRPr="004775A2">
              <w:rPr>
                <w:rFonts w:ascii="Arial" w:hAnsi="Arial" w:cs="Arial"/>
                <w:b/>
                <w:bCs/>
                <w:color w:val="000000" w:themeColor="text1"/>
                <w:sz w:val="17"/>
                <w:szCs w:val="17"/>
              </w:rPr>
              <w:t>Stupanj 2</w:t>
            </w:r>
          </w:p>
        </w:tc>
        <w:tc>
          <w:tcPr>
            <w:tcW w:w="1077" w:type="dxa"/>
            <w:tcBorders>
              <w:top w:val="nil"/>
              <w:left w:val="nil"/>
              <w:bottom w:val="nil"/>
              <w:right w:val="nil"/>
            </w:tcBorders>
            <w:shd w:val="clear" w:color="auto" w:fill="auto"/>
            <w:vAlign w:val="bottom"/>
          </w:tcPr>
          <w:p w14:paraId="1FB4ADDD" w14:textId="77777777" w:rsidR="001075F6" w:rsidRPr="004775A2" w:rsidRDefault="001075F6" w:rsidP="0034622E">
            <w:pPr>
              <w:jc w:val="right"/>
              <w:rPr>
                <w:rFonts w:ascii="Arial" w:hAnsi="Arial" w:cs="Arial"/>
                <w:b/>
                <w:bCs/>
                <w:color w:val="000000" w:themeColor="text1"/>
                <w:sz w:val="17"/>
                <w:szCs w:val="17"/>
              </w:rPr>
            </w:pPr>
            <w:r w:rsidRPr="004775A2">
              <w:rPr>
                <w:rFonts w:ascii="Arial" w:hAnsi="Arial" w:cs="Arial"/>
                <w:b/>
                <w:bCs/>
                <w:color w:val="000000" w:themeColor="text1"/>
                <w:sz w:val="17"/>
                <w:szCs w:val="17"/>
              </w:rPr>
              <w:t>Stupanj 3</w:t>
            </w:r>
          </w:p>
        </w:tc>
        <w:tc>
          <w:tcPr>
            <w:tcW w:w="1247" w:type="dxa"/>
            <w:tcBorders>
              <w:top w:val="nil"/>
              <w:left w:val="nil"/>
              <w:bottom w:val="nil"/>
              <w:right w:val="nil"/>
            </w:tcBorders>
            <w:shd w:val="clear" w:color="auto" w:fill="auto"/>
            <w:vAlign w:val="bottom"/>
          </w:tcPr>
          <w:p w14:paraId="717EAAFC" w14:textId="77777777" w:rsidR="001075F6" w:rsidRPr="004775A2" w:rsidRDefault="001075F6" w:rsidP="0034622E">
            <w:pPr>
              <w:jc w:val="right"/>
              <w:rPr>
                <w:rFonts w:ascii="Arial" w:hAnsi="Arial" w:cs="Arial"/>
                <w:b/>
                <w:bCs/>
                <w:color w:val="000000" w:themeColor="text1"/>
                <w:sz w:val="17"/>
                <w:szCs w:val="17"/>
              </w:rPr>
            </w:pPr>
          </w:p>
        </w:tc>
        <w:tc>
          <w:tcPr>
            <w:tcW w:w="1077" w:type="dxa"/>
            <w:tcBorders>
              <w:top w:val="nil"/>
              <w:left w:val="nil"/>
              <w:bottom w:val="nil"/>
              <w:right w:val="nil"/>
            </w:tcBorders>
            <w:shd w:val="clear" w:color="auto" w:fill="auto"/>
            <w:vAlign w:val="bottom"/>
          </w:tcPr>
          <w:p w14:paraId="23726C20" w14:textId="77777777" w:rsidR="001075F6" w:rsidRPr="004775A2" w:rsidRDefault="001075F6" w:rsidP="0034622E">
            <w:pPr>
              <w:jc w:val="right"/>
              <w:rPr>
                <w:rFonts w:ascii="Arial" w:hAnsi="Arial" w:cs="Arial"/>
                <w:b/>
                <w:bCs/>
                <w:color w:val="000000" w:themeColor="text1"/>
                <w:sz w:val="17"/>
                <w:szCs w:val="17"/>
              </w:rPr>
            </w:pPr>
          </w:p>
        </w:tc>
      </w:tr>
      <w:tr w:rsidR="001075F6" w:rsidRPr="004775A2" w14:paraId="05EBEAFE" w14:textId="77777777" w:rsidTr="0034622E">
        <w:trPr>
          <w:trHeight w:val="280"/>
        </w:trPr>
        <w:tc>
          <w:tcPr>
            <w:tcW w:w="1797" w:type="dxa"/>
            <w:tcBorders>
              <w:top w:val="nil"/>
              <w:left w:val="nil"/>
              <w:bottom w:val="nil"/>
              <w:right w:val="nil"/>
            </w:tcBorders>
            <w:shd w:val="clear" w:color="auto" w:fill="auto"/>
            <w:vAlign w:val="bottom"/>
          </w:tcPr>
          <w:p w14:paraId="6FAFB9E3" w14:textId="77777777" w:rsidR="001075F6" w:rsidRPr="004775A2" w:rsidRDefault="001075F6" w:rsidP="0034622E">
            <w:pPr>
              <w:jc w:val="right"/>
              <w:rPr>
                <w:rFonts w:ascii="Arial" w:hAnsi="Arial" w:cs="Arial"/>
                <w:b/>
                <w:bCs/>
                <w:color w:val="000000" w:themeColor="text1"/>
                <w:sz w:val="17"/>
                <w:szCs w:val="17"/>
              </w:rPr>
            </w:pPr>
          </w:p>
        </w:tc>
        <w:tc>
          <w:tcPr>
            <w:tcW w:w="1077" w:type="dxa"/>
            <w:tcBorders>
              <w:top w:val="nil"/>
              <w:left w:val="nil"/>
              <w:bottom w:val="nil"/>
              <w:right w:val="nil"/>
            </w:tcBorders>
            <w:shd w:val="clear" w:color="auto" w:fill="auto"/>
            <w:vAlign w:val="bottom"/>
          </w:tcPr>
          <w:p w14:paraId="437B1CE5" w14:textId="77777777" w:rsidR="001075F6" w:rsidRPr="004775A2" w:rsidRDefault="001075F6" w:rsidP="0034622E">
            <w:pPr>
              <w:jc w:val="right"/>
              <w:rPr>
                <w:rFonts w:ascii="Arial" w:hAnsi="Arial" w:cs="Arial"/>
                <w:b/>
                <w:bCs/>
                <w:color w:val="000000" w:themeColor="text1"/>
                <w:sz w:val="17"/>
                <w:szCs w:val="17"/>
              </w:rPr>
            </w:pPr>
            <w:r w:rsidRPr="004775A2">
              <w:rPr>
                <w:rFonts w:ascii="Arial" w:hAnsi="Arial" w:cs="Arial"/>
                <w:b/>
                <w:bCs/>
                <w:color w:val="000000" w:themeColor="text1"/>
                <w:sz w:val="17"/>
                <w:szCs w:val="17"/>
              </w:rPr>
              <w:t>000 eura</w:t>
            </w:r>
          </w:p>
        </w:tc>
        <w:tc>
          <w:tcPr>
            <w:tcW w:w="1077" w:type="dxa"/>
            <w:tcBorders>
              <w:top w:val="nil"/>
              <w:left w:val="nil"/>
              <w:bottom w:val="nil"/>
              <w:right w:val="nil"/>
            </w:tcBorders>
            <w:shd w:val="clear" w:color="auto" w:fill="auto"/>
            <w:vAlign w:val="bottom"/>
          </w:tcPr>
          <w:p w14:paraId="65105887" w14:textId="77777777" w:rsidR="001075F6" w:rsidRPr="004775A2" w:rsidRDefault="001075F6" w:rsidP="0034622E">
            <w:pPr>
              <w:jc w:val="right"/>
              <w:rPr>
                <w:rFonts w:ascii="Arial" w:hAnsi="Arial" w:cs="Arial"/>
                <w:b/>
                <w:bCs/>
                <w:color w:val="000000" w:themeColor="text1"/>
                <w:sz w:val="17"/>
                <w:szCs w:val="17"/>
              </w:rPr>
            </w:pPr>
            <w:r w:rsidRPr="004775A2">
              <w:rPr>
                <w:rFonts w:ascii="Arial" w:hAnsi="Arial" w:cs="Arial"/>
                <w:b/>
                <w:bCs/>
                <w:color w:val="000000" w:themeColor="text1"/>
                <w:sz w:val="17"/>
                <w:szCs w:val="17"/>
              </w:rPr>
              <w:t>000 eura</w:t>
            </w:r>
          </w:p>
        </w:tc>
        <w:tc>
          <w:tcPr>
            <w:tcW w:w="1152" w:type="dxa"/>
            <w:tcBorders>
              <w:top w:val="nil"/>
              <w:left w:val="nil"/>
              <w:bottom w:val="nil"/>
              <w:right w:val="nil"/>
            </w:tcBorders>
            <w:shd w:val="clear" w:color="auto" w:fill="auto"/>
            <w:vAlign w:val="bottom"/>
          </w:tcPr>
          <w:p w14:paraId="3F211CFE" w14:textId="77777777" w:rsidR="001075F6" w:rsidRPr="004775A2" w:rsidRDefault="001075F6" w:rsidP="0034622E">
            <w:pPr>
              <w:jc w:val="right"/>
              <w:rPr>
                <w:rFonts w:ascii="Arial" w:hAnsi="Arial" w:cs="Arial"/>
                <w:b/>
                <w:bCs/>
                <w:color w:val="000000" w:themeColor="text1"/>
                <w:sz w:val="17"/>
                <w:szCs w:val="17"/>
              </w:rPr>
            </w:pPr>
            <w:r w:rsidRPr="004775A2">
              <w:rPr>
                <w:rFonts w:ascii="Arial" w:hAnsi="Arial" w:cs="Arial"/>
                <w:b/>
                <w:bCs/>
                <w:color w:val="000000" w:themeColor="text1"/>
                <w:sz w:val="17"/>
                <w:szCs w:val="17"/>
              </w:rPr>
              <w:t>000 eura</w:t>
            </w:r>
          </w:p>
        </w:tc>
        <w:tc>
          <w:tcPr>
            <w:tcW w:w="1002" w:type="dxa"/>
            <w:tcBorders>
              <w:top w:val="nil"/>
              <w:left w:val="nil"/>
              <w:bottom w:val="nil"/>
              <w:right w:val="nil"/>
            </w:tcBorders>
            <w:vAlign w:val="bottom"/>
          </w:tcPr>
          <w:p w14:paraId="74620FF7" w14:textId="77777777" w:rsidR="001075F6" w:rsidRPr="004775A2" w:rsidRDefault="001075F6" w:rsidP="0034622E">
            <w:pPr>
              <w:jc w:val="right"/>
              <w:rPr>
                <w:rFonts w:ascii="Arial" w:hAnsi="Arial" w:cs="Arial"/>
                <w:b/>
                <w:bCs/>
                <w:color w:val="000000" w:themeColor="text1"/>
                <w:sz w:val="17"/>
                <w:szCs w:val="17"/>
              </w:rPr>
            </w:pPr>
            <w:r w:rsidRPr="004775A2">
              <w:rPr>
                <w:rFonts w:ascii="Arial" w:hAnsi="Arial" w:cs="Arial"/>
                <w:b/>
                <w:bCs/>
                <w:color w:val="000000" w:themeColor="text1"/>
                <w:sz w:val="17"/>
                <w:szCs w:val="17"/>
              </w:rPr>
              <w:t>000 eura</w:t>
            </w:r>
          </w:p>
        </w:tc>
        <w:tc>
          <w:tcPr>
            <w:tcW w:w="1077" w:type="dxa"/>
            <w:tcBorders>
              <w:top w:val="nil"/>
              <w:left w:val="nil"/>
              <w:bottom w:val="nil"/>
              <w:right w:val="nil"/>
            </w:tcBorders>
            <w:shd w:val="clear" w:color="auto" w:fill="auto"/>
            <w:vAlign w:val="bottom"/>
          </w:tcPr>
          <w:p w14:paraId="710B72CF" w14:textId="77777777" w:rsidR="001075F6" w:rsidRPr="004775A2" w:rsidRDefault="001075F6" w:rsidP="0034622E">
            <w:pPr>
              <w:jc w:val="right"/>
              <w:rPr>
                <w:rFonts w:ascii="Arial" w:hAnsi="Arial" w:cs="Arial"/>
                <w:b/>
                <w:bCs/>
                <w:color w:val="000000" w:themeColor="text1"/>
                <w:sz w:val="17"/>
                <w:szCs w:val="17"/>
              </w:rPr>
            </w:pPr>
            <w:r w:rsidRPr="004775A2">
              <w:rPr>
                <w:rFonts w:ascii="Arial" w:hAnsi="Arial" w:cs="Arial"/>
                <w:b/>
                <w:bCs/>
                <w:color w:val="000000" w:themeColor="text1"/>
                <w:sz w:val="17"/>
                <w:szCs w:val="17"/>
              </w:rPr>
              <w:t>000 eura</w:t>
            </w:r>
          </w:p>
        </w:tc>
        <w:tc>
          <w:tcPr>
            <w:tcW w:w="1247" w:type="dxa"/>
            <w:tcBorders>
              <w:top w:val="nil"/>
              <w:left w:val="nil"/>
              <w:bottom w:val="nil"/>
              <w:right w:val="nil"/>
            </w:tcBorders>
            <w:shd w:val="clear" w:color="auto" w:fill="auto"/>
            <w:vAlign w:val="bottom"/>
          </w:tcPr>
          <w:p w14:paraId="5F40679B" w14:textId="77777777" w:rsidR="001075F6" w:rsidRPr="004775A2" w:rsidRDefault="001075F6" w:rsidP="0034622E">
            <w:pPr>
              <w:jc w:val="right"/>
              <w:rPr>
                <w:rFonts w:ascii="Arial" w:hAnsi="Arial" w:cs="Arial"/>
                <w:b/>
                <w:bCs/>
                <w:color w:val="000000" w:themeColor="text1"/>
                <w:sz w:val="17"/>
                <w:szCs w:val="17"/>
              </w:rPr>
            </w:pPr>
            <w:r w:rsidRPr="004775A2">
              <w:rPr>
                <w:rFonts w:ascii="Arial" w:hAnsi="Arial" w:cs="Arial"/>
                <w:b/>
                <w:bCs/>
                <w:color w:val="000000" w:themeColor="text1"/>
                <w:sz w:val="17"/>
                <w:szCs w:val="17"/>
              </w:rPr>
              <w:t>000 eura</w:t>
            </w:r>
          </w:p>
        </w:tc>
        <w:tc>
          <w:tcPr>
            <w:tcW w:w="1077" w:type="dxa"/>
            <w:tcBorders>
              <w:top w:val="nil"/>
              <w:left w:val="nil"/>
              <w:bottom w:val="nil"/>
              <w:right w:val="nil"/>
            </w:tcBorders>
            <w:shd w:val="clear" w:color="auto" w:fill="auto"/>
            <w:vAlign w:val="bottom"/>
          </w:tcPr>
          <w:p w14:paraId="44D3A19D" w14:textId="77777777" w:rsidR="001075F6" w:rsidRPr="004775A2" w:rsidRDefault="001075F6" w:rsidP="0034622E">
            <w:pPr>
              <w:jc w:val="right"/>
              <w:rPr>
                <w:rFonts w:ascii="Arial" w:hAnsi="Arial" w:cs="Arial"/>
                <w:b/>
                <w:bCs/>
                <w:color w:val="000000" w:themeColor="text1"/>
                <w:sz w:val="17"/>
                <w:szCs w:val="17"/>
              </w:rPr>
            </w:pPr>
            <w:r w:rsidRPr="004775A2">
              <w:rPr>
                <w:rFonts w:ascii="Arial" w:hAnsi="Arial" w:cs="Arial"/>
                <w:b/>
                <w:bCs/>
                <w:color w:val="000000" w:themeColor="text1"/>
                <w:sz w:val="17"/>
                <w:szCs w:val="17"/>
              </w:rPr>
              <w:t>000 eura</w:t>
            </w:r>
          </w:p>
        </w:tc>
      </w:tr>
      <w:tr w:rsidR="001075F6" w:rsidRPr="004775A2" w14:paraId="3A4DB528" w14:textId="77777777" w:rsidTr="0034622E">
        <w:trPr>
          <w:trHeight w:hRule="exact" w:val="130"/>
        </w:trPr>
        <w:tc>
          <w:tcPr>
            <w:tcW w:w="1797" w:type="dxa"/>
            <w:tcBorders>
              <w:top w:val="nil"/>
              <w:left w:val="nil"/>
              <w:bottom w:val="nil"/>
              <w:right w:val="nil"/>
            </w:tcBorders>
            <w:shd w:val="clear" w:color="auto" w:fill="auto"/>
            <w:vAlign w:val="bottom"/>
            <w:hideMark/>
          </w:tcPr>
          <w:p w14:paraId="46A2B56A" w14:textId="77777777" w:rsidR="001075F6" w:rsidRPr="004775A2" w:rsidRDefault="001075F6" w:rsidP="0034622E">
            <w:pPr>
              <w:jc w:val="right"/>
              <w:rPr>
                <w:rFonts w:ascii="Arial" w:hAnsi="Arial" w:cs="Arial"/>
                <w:b/>
                <w:bCs/>
                <w:color w:val="000000" w:themeColor="text1"/>
                <w:sz w:val="17"/>
                <w:szCs w:val="17"/>
              </w:rPr>
            </w:pPr>
          </w:p>
        </w:tc>
        <w:tc>
          <w:tcPr>
            <w:tcW w:w="1077" w:type="dxa"/>
            <w:tcBorders>
              <w:top w:val="nil"/>
              <w:left w:val="nil"/>
              <w:bottom w:val="nil"/>
              <w:right w:val="nil"/>
            </w:tcBorders>
            <w:shd w:val="clear" w:color="auto" w:fill="auto"/>
            <w:vAlign w:val="bottom"/>
            <w:hideMark/>
          </w:tcPr>
          <w:p w14:paraId="6B16849D" w14:textId="77777777" w:rsidR="001075F6" w:rsidRPr="004775A2" w:rsidRDefault="001075F6" w:rsidP="0034622E">
            <w:pPr>
              <w:rPr>
                <w:rFonts w:ascii="Arial" w:hAnsi="Arial" w:cs="Arial"/>
                <w:color w:val="000000" w:themeColor="text1"/>
                <w:sz w:val="17"/>
                <w:szCs w:val="17"/>
              </w:rPr>
            </w:pPr>
          </w:p>
        </w:tc>
        <w:tc>
          <w:tcPr>
            <w:tcW w:w="1077" w:type="dxa"/>
            <w:tcBorders>
              <w:top w:val="nil"/>
              <w:left w:val="nil"/>
              <w:bottom w:val="nil"/>
              <w:right w:val="nil"/>
            </w:tcBorders>
            <w:shd w:val="clear" w:color="auto" w:fill="auto"/>
            <w:vAlign w:val="bottom"/>
            <w:hideMark/>
          </w:tcPr>
          <w:p w14:paraId="59EA6475" w14:textId="77777777" w:rsidR="001075F6" w:rsidRPr="004775A2" w:rsidRDefault="001075F6" w:rsidP="0034622E">
            <w:pPr>
              <w:jc w:val="right"/>
              <w:rPr>
                <w:rFonts w:ascii="Arial" w:hAnsi="Arial" w:cs="Arial"/>
                <w:color w:val="000000" w:themeColor="text1"/>
                <w:sz w:val="17"/>
                <w:szCs w:val="17"/>
              </w:rPr>
            </w:pPr>
          </w:p>
        </w:tc>
        <w:tc>
          <w:tcPr>
            <w:tcW w:w="1152" w:type="dxa"/>
            <w:tcBorders>
              <w:top w:val="nil"/>
              <w:left w:val="nil"/>
              <w:bottom w:val="nil"/>
              <w:right w:val="nil"/>
            </w:tcBorders>
            <w:shd w:val="clear" w:color="auto" w:fill="auto"/>
            <w:vAlign w:val="bottom"/>
            <w:hideMark/>
          </w:tcPr>
          <w:p w14:paraId="101CCC3A" w14:textId="77777777" w:rsidR="001075F6" w:rsidRPr="004775A2" w:rsidRDefault="001075F6" w:rsidP="0034622E">
            <w:pPr>
              <w:jc w:val="right"/>
              <w:rPr>
                <w:rFonts w:ascii="Arial" w:hAnsi="Arial" w:cs="Arial"/>
                <w:color w:val="000000" w:themeColor="text1"/>
                <w:sz w:val="17"/>
                <w:szCs w:val="17"/>
              </w:rPr>
            </w:pPr>
          </w:p>
        </w:tc>
        <w:tc>
          <w:tcPr>
            <w:tcW w:w="1002" w:type="dxa"/>
            <w:tcBorders>
              <w:top w:val="nil"/>
              <w:left w:val="nil"/>
              <w:bottom w:val="nil"/>
              <w:right w:val="nil"/>
            </w:tcBorders>
            <w:vAlign w:val="bottom"/>
          </w:tcPr>
          <w:p w14:paraId="3BD379E1" w14:textId="77777777" w:rsidR="001075F6" w:rsidRPr="004775A2" w:rsidRDefault="001075F6" w:rsidP="0034622E">
            <w:pPr>
              <w:jc w:val="right"/>
              <w:rPr>
                <w:rFonts w:ascii="Arial" w:hAnsi="Arial" w:cs="Arial"/>
                <w:color w:val="000000" w:themeColor="text1"/>
                <w:sz w:val="17"/>
                <w:szCs w:val="17"/>
              </w:rPr>
            </w:pPr>
          </w:p>
        </w:tc>
        <w:tc>
          <w:tcPr>
            <w:tcW w:w="1077" w:type="dxa"/>
            <w:tcBorders>
              <w:top w:val="nil"/>
              <w:left w:val="nil"/>
              <w:bottom w:val="nil"/>
              <w:right w:val="nil"/>
            </w:tcBorders>
            <w:shd w:val="clear" w:color="auto" w:fill="auto"/>
            <w:vAlign w:val="bottom"/>
            <w:hideMark/>
          </w:tcPr>
          <w:p w14:paraId="3AF7780B" w14:textId="77777777" w:rsidR="001075F6" w:rsidRPr="004775A2" w:rsidRDefault="001075F6" w:rsidP="0034622E">
            <w:pPr>
              <w:jc w:val="right"/>
              <w:rPr>
                <w:rFonts w:ascii="Arial" w:hAnsi="Arial" w:cs="Arial"/>
                <w:color w:val="000000" w:themeColor="text1"/>
                <w:sz w:val="17"/>
                <w:szCs w:val="17"/>
              </w:rPr>
            </w:pPr>
          </w:p>
        </w:tc>
        <w:tc>
          <w:tcPr>
            <w:tcW w:w="1247" w:type="dxa"/>
            <w:tcBorders>
              <w:top w:val="nil"/>
              <w:left w:val="nil"/>
              <w:bottom w:val="nil"/>
              <w:right w:val="nil"/>
            </w:tcBorders>
            <w:vAlign w:val="bottom"/>
          </w:tcPr>
          <w:p w14:paraId="42C50687" w14:textId="77777777" w:rsidR="001075F6" w:rsidRPr="004775A2" w:rsidRDefault="001075F6" w:rsidP="0034622E">
            <w:pPr>
              <w:rPr>
                <w:rFonts w:ascii="Arial" w:hAnsi="Arial" w:cs="Arial"/>
                <w:color w:val="000000" w:themeColor="text1"/>
                <w:sz w:val="17"/>
                <w:szCs w:val="17"/>
              </w:rPr>
            </w:pPr>
          </w:p>
        </w:tc>
        <w:tc>
          <w:tcPr>
            <w:tcW w:w="1077" w:type="dxa"/>
            <w:tcBorders>
              <w:top w:val="nil"/>
              <w:left w:val="nil"/>
              <w:bottom w:val="nil"/>
              <w:right w:val="nil"/>
            </w:tcBorders>
            <w:shd w:val="clear" w:color="auto" w:fill="auto"/>
            <w:vAlign w:val="bottom"/>
            <w:hideMark/>
          </w:tcPr>
          <w:p w14:paraId="1B983C4A" w14:textId="77777777" w:rsidR="001075F6" w:rsidRPr="004775A2" w:rsidRDefault="001075F6" w:rsidP="0034622E">
            <w:pPr>
              <w:jc w:val="right"/>
              <w:rPr>
                <w:rFonts w:ascii="Arial" w:hAnsi="Arial" w:cs="Arial"/>
                <w:color w:val="000000" w:themeColor="text1"/>
                <w:sz w:val="17"/>
                <w:szCs w:val="17"/>
              </w:rPr>
            </w:pPr>
          </w:p>
        </w:tc>
      </w:tr>
      <w:tr w:rsidR="00F520B7" w:rsidRPr="004775A2" w14:paraId="001F86F1" w14:textId="77777777" w:rsidTr="00F520B7">
        <w:trPr>
          <w:trHeight w:val="327"/>
        </w:trPr>
        <w:tc>
          <w:tcPr>
            <w:tcW w:w="1797" w:type="dxa"/>
            <w:tcBorders>
              <w:top w:val="nil"/>
              <w:left w:val="nil"/>
              <w:bottom w:val="nil"/>
              <w:right w:val="nil"/>
            </w:tcBorders>
            <w:shd w:val="clear" w:color="auto" w:fill="auto"/>
            <w:noWrap/>
            <w:vAlign w:val="bottom"/>
            <w:hideMark/>
          </w:tcPr>
          <w:p w14:paraId="522B83F1" w14:textId="77777777" w:rsidR="00F520B7" w:rsidRPr="004775A2" w:rsidRDefault="00F520B7" w:rsidP="00F520B7">
            <w:pPr>
              <w:rPr>
                <w:rFonts w:ascii="Arial" w:hAnsi="Arial" w:cs="Arial"/>
                <w:color w:val="000000" w:themeColor="text1"/>
                <w:sz w:val="17"/>
                <w:szCs w:val="17"/>
              </w:rPr>
            </w:pPr>
            <w:r w:rsidRPr="004775A2">
              <w:rPr>
                <w:rFonts w:ascii="Arial" w:hAnsi="Arial" w:cs="Arial"/>
                <w:color w:val="000000" w:themeColor="text1"/>
                <w:sz w:val="17"/>
                <w:szCs w:val="17"/>
              </w:rPr>
              <w:t>Bruto iznos</w:t>
            </w:r>
          </w:p>
        </w:tc>
        <w:tc>
          <w:tcPr>
            <w:tcW w:w="1077" w:type="dxa"/>
            <w:tcBorders>
              <w:top w:val="nil"/>
              <w:left w:val="nil"/>
              <w:bottom w:val="nil"/>
              <w:right w:val="nil"/>
            </w:tcBorders>
            <w:shd w:val="clear" w:color="auto" w:fill="auto"/>
            <w:noWrap/>
            <w:vAlign w:val="bottom"/>
          </w:tcPr>
          <w:p w14:paraId="6A71882B" w14:textId="71B55D10" w:rsidR="00F520B7" w:rsidRPr="00F520B7" w:rsidRDefault="00F520B7" w:rsidP="00F520B7">
            <w:pPr>
              <w:jc w:val="right"/>
              <w:rPr>
                <w:rFonts w:ascii="Arial" w:hAnsi="Arial" w:cs="Arial"/>
                <w:sz w:val="17"/>
                <w:szCs w:val="17"/>
              </w:rPr>
            </w:pPr>
            <w:r w:rsidRPr="00F520B7">
              <w:rPr>
                <w:rFonts w:ascii="Arial" w:hAnsi="Arial" w:cs="Arial"/>
                <w:sz w:val="17"/>
                <w:szCs w:val="17"/>
              </w:rPr>
              <w:t xml:space="preserve"> 490.308 </w:t>
            </w:r>
          </w:p>
        </w:tc>
        <w:tc>
          <w:tcPr>
            <w:tcW w:w="1077" w:type="dxa"/>
            <w:tcBorders>
              <w:top w:val="nil"/>
              <w:left w:val="nil"/>
              <w:bottom w:val="nil"/>
              <w:right w:val="nil"/>
            </w:tcBorders>
            <w:shd w:val="clear" w:color="auto" w:fill="auto"/>
            <w:noWrap/>
            <w:vAlign w:val="bottom"/>
          </w:tcPr>
          <w:p w14:paraId="2081CEBC" w14:textId="55C014A4" w:rsidR="00F520B7" w:rsidRPr="00F520B7" w:rsidRDefault="00F520B7" w:rsidP="00F520B7">
            <w:pPr>
              <w:jc w:val="right"/>
              <w:rPr>
                <w:rFonts w:ascii="Arial" w:hAnsi="Arial" w:cs="Arial"/>
                <w:sz w:val="17"/>
                <w:szCs w:val="17"/>
              </w:rPr>
            </w:pPr>
            <w:r w:rsidRPr="00F520B7">
              <w:rPr>
                <w:rFonts w:ascii="Arial" w:hAnsi="Arial" w:cs="Arial"/>
                <w:sz w:val="17"/>
                <w:szCs w:val="17"/>
              </w:rPr>
              <w:t xml:space="preserve"> 22.286 </w:t>
            </w:r>
          </w:p>
        </w:tc>
        <w:tc>
          <w:tcPr>
            <w:tcW w:w="1152" w:type="dxa"/>
            <w:tcBorders>
              <w:top w:val="nil"/>
              <w:left w:val="nil"/>
              <w:bottom w:val="nil"/>
              <w:right w:val="nil"/>
            </w:tcBorders>
            <w:shd w:val="clear" w:color="auto" w:fill="auto"/>
            <w:noWrap/>
            <w:vAlign w:val="bottom"/>
          </w:tcPr>
          <w:p w14:paraId="2EE4D877" w14:textId="44E4ABB9" w:rsidR="00F520B7" w:rsidRPr="00F520B7" w:rsidRDefault="00F520B7" w:rsidP="00F520B7">
            <w:pPr>
              <w:jc w:val="right"/>
              <w:rPr>
                <w:rFonts w:ascii="Arial" w:hAnsi="Arial" w:cs="Arial"/>
                <w:sz w:val="17"/>
                <w:szCs w:val="17"/>
              </w:rPr>
            </w:pPr>
            <w:r w:rsidRPr="00F520B7">
              <w:rPr>
                <w:rFonts w:ascii="Arial" w:hAnsi="Arial" w:cs="Arial"/>
                <w:sz w:val="17"/>
                <w:szCs w:val="17"/>
              </w:rPr>
              <w:t xml:space="preserve"> 3.981 </w:t>
            </w:r>
          </w:p>
        </w:tc>
        <w:tc>
          <w:tcPr>
            <w:tcW w:w="1002" w:type="dxa"/>
            <w:tcBorders>
              <w:top w:val="nil"/>
              <w:left w:val="nil"/>
              <w:bottom w:val="nil"/>
              <w:right w:val="nil"/>
            </w:tcBorders>
            <w:vAlign w:val="bottom"/>
          </w:tcPr>
          <w:p w14:paraId="1C5122BA" w14:textId="1927B1CA" w:rsidR="00F520B7" w:rsidRPr="00F520B7" w:rsidRDefault="00F520B7" w:rsidP="00F520B7">
            <w:pPr>
              <w:jc w:val="right"/>
              <w:rPr>
                <w:rFonts w:ascii="Arial" w:hAnsi="Arial" w:cs="Arial"/>
                <w:sz w:val="17"/>
                <w:szCs w:val="17"/>
              </w:rPr>
            </w:pPr>
            <w:r w:rsidRPr="00F520B7">
              <w:rPr>
                <w:rFonts w:ascii="Arial" w:hAnsi="Arial" w:cs="Arial"/>
                <w:sz w:val="17"/>
                <w:szCs w:val="17"/>
              </w:rPr>
              <w:t>-</w:t>
            </w:r>
          </w:p>
        </w:tc>
        <w:tc>
          <w:tcPr>
            <w:tcW w:w="1077" w:type="dxa"/>
            <w:tcBorders>
              <w:top w:val="nil"/>
              <w:left w:val="nil"/>
              <w:bottom w:val="nil"/>
              <w:right w:val="nil"/>
            </w:tcBorders>
            <w:shd w:val="clear" w:color="auto" w:fill="auto"/>
            <w:noWrap/>
            <w:vAlign w:val="bottom"/>
          </w:tcPr>
          <w:p w14:paraId="6FADF6B6" w14:textId="41C0F4E1" w:rsidR="00F520B7" w:rsidRPr="00F520B7" w:rsidRDefault="00F520B7" w:rsidP="00F520B7">
            <w:pPr>
              <w:jc w:val="right"/>
              <w:rPr>
                <w:rFonts w:ascii="Arial" w:hAnsi="Arial" w:cs="Arial"/>
                <w:sz w:val="17"/>
                <w:szCs w:val="17"/>
              </w:rPr>
            </w:pPr>
            <w:r w:rsidRPr="00F520B7">
              <w:rPr>
                <w:rFonts w:ascii="Arial" w:hAnsi="Arial" w:cs="Arial"/>
                <w:sz w:val="17"/>
                <w:szCs w:val="17"/>
              </w:rPr>
              <w:t xml:space="preserve"> 127 </w:t>
            </w:r>
          </w:p>
        </w:tc>
        <w:tc>
          <w:tcPr>
            <w:tcW w:w="1247" w:type="dxa"/>
            <w:tcBorders>
              <w:top w:val="nil"/>
              <w:left w:val="nil"/>
              <w:bottom w:val="nil"/>
              <w:right w:val="nil"/>
            </w:tcBorders>
            <w:vAlign w:val="bottom"/>
          </w:tcPr>
          <w:p w14:paraId="7FDE8658" w14:textId="2B23A9CC" w:rsidR="00F520B7" w:rsidRPr="00F520B7" w:rsidRDefault="00F520B7" w:rsidP="00F520B7">
            <w:pPr>
              <w:jc w:val="right"/>
              <w:rPr>
                <w:rFonts w:ascii="Arial" w:hAnsi="Arial" w:cs="Arial"/>
                <w:sz w:val="17"/>
                <w:szCs w:val="17"/>
              </w:rPr>
            </w:pPr>
            <w:r w:rsidRPr="00F520B7">
              <w:rPr>
                <w:rFonts w:ascii="Arial" w:hAnsi="Arial" w:cs="Arial"/>
                <w:sz w:val="17"/>
                <w:szCs w:val="17"/>
              </w:rPr>
              <w:t>-</w:t>
            </w:r>
          </w:p>
        </w:tc>
        <w:tc>
          <w:tcPr>
            <w:tcW w:w="1077" w:type="dxa"/>
            <w:tcBorders>
              <w:top w:val="nil"/>
              <w:left w:val="nil"/>
              <w:bottom w:val="nil"/>
              <w:right w:val="nil"/>
            </w:tcBorders>
            <w:shd w:val="clear" w:color="auto" w:fill="auto"/>
            <w:noWrap/>
            <w:vAlign w:val="bottom"/>
          </w:tcPr>
          <w:p w14:paraId="16D4E345" w14:textId="04C45C9E" w:rsidR="00F520B7" w:rsidRPr="00F520B7" w:rsidRDefault="00F520B7" w:rsidP="00F520B7">
            <w:pPr>
              <w:jc w:val="right"/>
              <w:rPr>
                <w:rFonts w:ascii="Arial" w:hAnsi="Arial" w:cs="Arial"/>
                <w:b/>
                <w:bCs/>
                <w:sz w:val="17"/>
                <w:szCs w:val="17"/>
              </w:rPr>
            </w:pPr>
            <w:r w:rsidRPr="00F520B7">
              <w:rPr>
                <w:rFonts w:ascii="Arial" w:hAnsi="Arial" w:cs="Arial"/>
                <w:b/>
                <w:bCs/>
                <w:sz w:val="17"/>
                <w:szCs w:val="17"/>
              </w:rPr>
              <w:t xml:space="preserve"> 516.702 </w:t>
            </w:r>
          </w:p>
        </w:tc>
      </w:tr>
      <w:tr w:rsidR="00F520B7" w:rsidRPr="004775A2" w14:paraId="0405BD70" w14:textId="77777777" w:rsidTr="00F520B7">
        <w:trPr>
          <w:trHeight w:val="337"/>
        </w:trPr>
        <w:tc>
          <w:tcPr>
            <w:tcW w:w="1797" w:type="dxa"/>
            <w:tcBorders>
              <w:top w:val="nil"/>
              <w:left w:val="nil"/>
              <w:bottom w:val="nil"/>
              <w:right w:val="nil"/>
            </w:tcBorders>
            <w:shd w:val="clear" w:color="auto" w:fill="auto"/>
            <w:noWrap/>
            <w:vAlign w:val="bottom"/>
            <w:hideMark/>
          </w:tcPr>
          <w:p w14:paraId="548879DB" w14:textId="77777777" w:rsidR="00F520B7" w:rsidRPr="004775A2" w:rsidRDefault="00F520B7" w:rsidP="00F520B7">
            <w:pPr>
              <w:rPr>
                <w:rFonts w:ascii="Arial" w:hAnsi="Arial" w:cs="Arial"/>
                <w:color w:val="000000" w:themeColor="text1"/>
                <w:sz w:val="17"/>
                <w:szCs w:val="17"/>
              </w:rPr>
            </w:pPr>
            <w:r w:rsidRPr="004775A2">
              <w:rPr>
                <w:rFonts w:ascii="Arial" w:hAnsi="Arial" w:cs="Arial"/>
                <w:color w:val="000000" w:themeColor="text1"/>
                <w:sz w:val="17"/>
                <w:szCs w:val="17"/>
              </w:rPr>
              <w:t>Rezerviranja</w:t>
            </w:r>
          </w:p>
        </w:tc>
        <w:tc>
          <w:tcPr>
            <w:tcW w:w="1077" w:type="dxa"/>
            <w:tcBorders>
              <w:top w:val="nil"/>
              <w:left w:val="nil"/>
              <w:bottom w:val="nil"/>
              <w:right w:val="nil"/>
            </w:tcBorders>
            <w:shd w:val="clear" w:color="auto" w:fill="auto"/>
            <w:noWrap/>
            <w:vAlign w:val="bottom"/>
          </w:tcPr>
          <w:p w14:paraId="12B7AA25" w14:textId="1DC97B48" w:rsidR="00F520B7" w:rsidRPr="00F520B7" w:rsidRDefault="00F520B7" w:rsidP="00F520B7">
            <w:pPr>
              <w:jc w:val="right"/>
              <w:rPr>
                <w:rFonts w:ascii="Arial" w:hAnsi="Arial" w:cs="Arial"/>
                <w:sz w:val="17"/>
                <w:szCs w:val="17"/>
              </w:rPr>
            </w:pPr>
            <w:r w:rsidRPr="00F520B7">
              <w:rPr>
                <w:rFonts w:ascii="Arial" w:hAnsi="Arial" w:cs="Arial"/>
                <w:sz w:val="17"/>
                <w:szCs w:val="17"/>
              </w:rPr>
              <w:t xml:space="preserve"> (1.709)</w:t>
            </w:r>
          </w:p>
        </w:tc>
        <w:tc>
          <w:tcPr>
            <w:tcW w:w="1077" w:type="dxa"/>
            <w:tcBorders>
              <w:top w:val="nil"/>
              <w:left w:val="nil"/>
              <w:bottom w:val="nil"/>
              <w:right w:val="nil"/>
            </w:tcBorders>
            <w:shd w:val="clear" w:color="auto" w:fill="auto"/>
            <w:noWrap/>
            <w:vAlign w:val="bottom"/>
          </w:tcPr>
          <w:p w14:paraId="2B06F84D" w14:textId="558B4402" w:rsidR="00F520B7" w:rsidRPr="00F520B7" w:rsidRDefault="00F520B7" w:rsidP="00F520B7">
            <w:pPr>
              <w:jc w:val="right"/>
              <w:rPr>
                <w:rFonts w:ascii="Arial" w:hAnsi="Arial" w:cs="Arial"/>
                <w:sz w:val="17"/>
                <w:szCs w:val="17"/>
              </w:rPr>
            </w:pPr>
            <w:r w:rsidRPr="00F520B7">
              <w:rPr>
                <w:rFonts w:ascii="Arial" w:hAnsi="Arial" w:cs="Arial"/>
                <w:sz w:val="17"/>
                <w:szCs w:val="17"/>
              </w:rPr>
              <w:t xml:space="preserve"> (5.137)</w:t>
            </w:r>
          </w:p>
        </w:tc>
        <w:tc>
          <w:tcPr>
            <w:tcW w:w="1152" w:type="dxa"/>
            <w:tcBorders>
              <w:top w:val="nil"/>
              <w:left w:val="nil"/>
              <w:bottom w:val="nil"/>
              <w:right w:val="nil"/>
            </w:tcBorders>
            <w:shd w:val="clear" w:color="auto" w:fill="auto"/>
            <w:noWrap/>
            <w:vAlign w:val="bottom"/>
          </w:tcPr>
          <w:p w14:paraId="457077EA" w14:textId="5ABCEC2C" w:rsidR="00F520B7" w:rsidRPr="00F520B7" w:rsidRDefault="00F520B7" w:rsidP="00F520B7">
            <w:pPr>
              <w:jc w:val="right"/>
              <w:rPr>
                <w:rFonts w:ascii="Arial" w:hAnsi="Arial" w:cs="Arial"/>
                <w:sz w:val="17"/>
                <w:szCs w:val="17"/>
              </w:rPr>
            </w:pPr>
            <w:r w:rsidRPr="00F520B7">
              <w:rPr>
                <w:rFonts w:ascii="Arial" w:hAnsi="Arial" w:cs="Arial"/>
                <w:sz w:val="17"/>
                <w:szCs w:val="17"/>
              </w:rPr>
              <w:t xml:space="preserve"> (1.456)</w:t>
            </w:r>
          </w:p>
        </w:tc>
        <w:tc>
          <w:tcPr>
            <w:tcW w:w="1002" w:type="dxa"/>
            <w:tcBorders>
              <w:top w:val="nil"/>
              <w:left w:val="nil"/>
              <w:bottom w:val="nil"/>
              <w:right w:val="nil"/>
            </w:tcBorders>
            <w:vAlign w:val="bottom"/>
          </w:tcPr>
          <w:p w14:paraId="06B532F7" w14:textId="22DC6076" w:rsidR="00F520B7" w:rsidRPr="00F520B7" w:rsidRDefault="00F520B7" w:rsidP="00F520B7">
            <w:pPr>
              <w:jc w:val="right"/>
              <w:rPr>
                <w:rFonts w:ascii="Arial" w:hAnsi="Arial" w:cs="Arial"/>
                <w:sz w:val="17"/>
                <w:szCs w:val="17"/>
              </w:rPr>
            </w:pPr>
            <w:r w:rsidRPr="00F520B7">
              <w:rPr>
                <w:rFonts w:ascii="Arial" w:hAnsi="Arial" w:cs="Arial"/>
                <w:sz w:val="17"/>
                <w:szCs w:val="17"/>
              </w:rPr>
              <w:t>-</w:t>
            </w:r>
          </w:p>
        </w:tc>
        <w:tc>
          <w:tcPr>
            <w:tcW w:w="1077" w:type="dxa"/>
            <w:tcBorders>
              <w:top w:val="nil"/>
              <w:left w:val="nil"/>
              <w:bottom w:val="nil"/>
              <w:right w:val="nil"/>
            </w:tcBorders>
            <w:shd w:val="clear" w:color="auto" w:fill="auto"/>
            <w:noWrap/>
            <w:vAlign w:val="bottom"/>
          </w:tcPr>
          <w:p w14:paraId="7070D0DF" w14:textId="7C21CEBE" w:rsidR="00F520B7" w:rsidRPr="00F520B7" w:rsidRDefault="00F520B7" w:rsidP="00F520B7">
            <w:pPr>
              <w:jc w:val="right"/>
              <w:rPr>
                <w:rFonts w:ascii="Arial" w:hAnsi="Arial" w:cs="Arial"/>
                <w:sz w:val="17"/>
                <w:szCs w:val="17"/>
              </w:rPr>
            </w:pPr>
            <w:r w:rsidRPr="00F520B7">
              <w:rPr>
                <w:rFonts w:ascii="Arial" w:hAnsi="Arial" w:cs="Arial"/>
                <w:sz w:val="17"/>
                <w:szCs w:val="17"/>
              </w:rPr>
              <w:t xml:space="preserve"> (45)</w:t>
            </w:r>
          </w:p>
        </w:tc>
        <w:tc>
          <w:tcPr>
            <w:tcW w:w="1247" w:type="dxa"/>
            <w:tcBorders>
              <w:top w:val="nil"/>
              <w:left w:val="nil"/>
              <w:bottom w:val="nil"/>
              <w:right w:val="nil"/>
            </w:tcBorders>
            <w:vAlign w:val="bottom"/>
          </w:tcPr>
          <w:p w14:paraId="3309DC1F" w14:textId="1235B0E2" w:rsidR="00F520B7" w:rsidRPr="00F520B7" w:rsidRDefault="00F520B7" w:rsidP="00F520B7">
            <w:pPr>
              <w:jc w:val="right"/>
              <w:rPr>
                <w:rFonts w:ascii="Arial" w:hAnsi="Arial" w:cs="Arial"/>
                <w:sz w:val="17"/>
                <w:szCs w:val="17"/>
              </w:rPr>
            </w:pPr>
            <w:r w:rsidRPr="00F520B7">
              <w:rPr>
                <w:rFonts w:ascii="Arial" w:hAnsi="Arial" w:cs="Arial"/>
                <w:sz w:val="17"/>
                <w:szCs w:val="17"/>
              </w:rPr>
              <w:t>-</w:t>
            </w:r>
          </w:p>
        </w:tc>
        <w:tc>
          <w:tcPr>
            <w:tcW w:w="1077" w:type="dxa"/>
            <w:tcBorders>
              <w:top w:val="nil"/>
              <w:left w:val="nil"/>
              <w:bottom w:val="nil"/>
              <w:right w:val="nil"/>
            </w:tcBorders>
            <w:shd w:val="clear" w:color="auto" w:fill="auto"/>
            <w:noWrap/>
            <w:vAlign w:val="bottom"/>
          </w:tcPr>
          <w:p w14:paraId="1C4E5453" w14:textId="40A02017" w:rsidR="00F520B7" w:rsidRPr="00F520B7" w:rsidRDefault="00F520B7" w:rsidP="00F520B7">
            <w:pPr>
              <w:jc w:val="right"/>
              <w:rPr>
                <w:rFonts w:ascii="Arial" w:hAnsi="Arial" w:cs="Arial"/>
                <w:b/>
                <w:bCs/>
                <w:sz w:val="17"/>
                <w:szCs w:val="17"/>
              </w:rPr>
            </w:pPr>
            <w:r w:rsidRPr="00F520B7">
              <w:rPr>
                <w:rFonts w:ascii="Arial" w:hAnsi="Arial" w:cs="Arial"/>
                <w:b/>
                <w:bCs/>
                <w:sz w:val="17"/>
                <w:szCs w:val="17"/>
              </w:rPr>
              <w:t xml:space="preserve"> (8.347)</w:t>
            </w:r>
          </w:p>
        </w:tc>
      </w:tr>
      <w:tr w:rsidR="00F520B7" w:rsidRPr="004775A2" w14:paraId="7D4F758C" w14:textId="77777777" w:rsidTr="00F520B7">
        <w:trPr>
          <w:trHeight w:val="355"/>
        </w:trPr>
        <w:tc>
          <w:tcPr>
            <w:tcW w:w="1797" w:type="dxa"/>
            <w:tcBorders>
              <w:top w:val="nil"/>
              <w:left w:val="nil"/>
              <w:bottom w:val="nil"/>
              <w:right w:val="nil"/>
            </w:tcBorders>
            <w:shd w:val="clear" w:color="auto" w:fill="auto"/>
            <w:noWrap/>
            <w:vAlign w:val="bottom"/>
            <w:hideMark/>
          </w:tcPr>
          <w:p w14:paraId="6B411786" w14:textId="77777777" w:rsidR="00F520B7" w:rsidRPr="004775A2" w:rsidRDefault="00F520B7" w:rsidP="00F520B7">
            <w:pPr>
              <w:rPr>
                <w:rFonts w:ascii="Arial" w:hAnsi="Arial" w:cs="Arial"/>
                <w:b/>
                <w:bCs/>
                <w:color w:val="000000" w:themeColor="text1"/>
                <w:sz w:val="17"/>
                <w:szCs w:val="17"/>
              </w:rPr>
            </w:pPr>
            <w:r w:rsidRPr="004775A2">
              <w:rPr>
                <w:rFonts w:ascii="Arial" w:hAnsi="Arial" w:cs="Arial"/>
                <w:b/>
                <w:bCs/>
                <w:color w:val="000000" w:themeColor="text1"/>
                <w:sz w:val="17"/>
                <w:szCs w:val="17"/>
              </w:rPr>
              <w:t xml:space="preserve">Stanje na dan </w:t>
            </w:r>
          </w:p>
          <w:p w14:paraId="3B306578" w14:textId="02995AD2" w:rsidR="00F520B7" w:rsidRPr="004775A2" w:rsidRDefault="00F520B7" w:rsidP="00F520B7">
            <w:pPr>
              <w:rPr>
                <w:rFonts w:ascii="Arial" w:hAnsi="Arial" w:cs="Arial"/>
                <w:b/>
                <w:bCs/>
                <w:color w:val="000000" w:themeColor="text1"/>
                <w:sz w:val="17"/>
                <w:szCs w:val="17"/>
              </w:rPr>
            </w:pPr>
            <w:r w:rsidRPr="004775A2">
              <w:rPr>
                <w:rFonts w:ascii="Arial" w:hAnsi="Arial" w:cs="Arial"/>
                <w:b/>
                <w:bCs/>
                <w:color w:val="000000" w:themeColor="text1"/>
                <w:sz w:val="17"/>
                <w:szCs w:val="17"/>
              </w:rPr>
              <w:t>3</w:t>
            </w:r>
            <w:r>
              <w:rPr>
                <w:rFonts w:ascii="Arial" w:hAnsi="Arial" w:cs="Arial"/>
                <w:b/>
                <w:bCs/>
                <w:color w:val="000000" w:themeColor="text1"/>
                <w:sz w:val="17"/>
                <w:szCs w:val="17"/>
              </w:rPr>
              <w:t>0</w:t>
            </w:r>
            <w:r w:rsidRPr="004775A2">
              <w:rPr>
                <w:rFonts w:ascii="Arial" w:hAnsi="Arial" w:cs="Arial"/>
                <w:b/>
                <w:bCs/>
                <w:color w:val="000000" w:themeColor="text1"/>
                <w:sz w:val="17"/>
                <w:szCs w:val="17"/>
              </w:rPr>
              <w:t xml:space="preserve">. </w:t>
            </w:r>
            <w:r>
              <w:rPr>
                <w:rFonts w:ascii="Arial" w:hAnsi="Arial" w:cs="Arial"/>
                <w:b/>
                <w:bCs/>
                <w:color w:val="000000" w:themeColor="text1"/>
                <w:sz w:val="17"/>
                <w:szCs w:val="17"/>
              </w:rPr>
              <w:t>rujna</w:t>
            </w:r>
            <w:r w:rsidRPr="004775A2">
              <w:rPr>
                <w:rFonts w:ascii="Arial" w:hAnsi="Arial" w:cs="Arial"/>
                <w:b/>
                <w:bCs/>
                <w:color w:val="000000" w:themeColor="text1"/>
                <w:sz w:val="17"/>
                <w:szCs w:val="17"/>
              </w:rPr>
              <w:t xml:space="preserve"> 202</w:t>
            </w:r>
            <w:r>
              <w:rPr>
                <w:rFonts w:ascii="Arial" w:hAnsi="Arial" w:cs="Arial"/>
                <w:b/>
                <w:bCs/>
                <w:color w:val="000000" w:themeColor="text1"/>
                <w:sz w:val="17"/>
                <w:szCs w:val="17"/>
              </w:rPr>
              <w:t>4</w:t>
            </w:r>
            <w:r w:rsidRPr="004775A2">
              <w:rPr>
                <w:rFonts w:ascii="Arial" w:hAnsi="Arial" w:cs="Arial"/>
                <w:b/>
                <w:bCs/>
                <w:color w:val="000000" w:themeColor="text1"/>
                <w:sz w:val="17"/>
                <w:szCs w:val="17"/>
              </w:rPr>
              <w:t xml:space="preserve">.    </w:t>
            </w:r>
          </w:p>
        </w:tc>
        <w:tc>
          <w:tcPr>
            <w:tcW w:w="1077" w:type="dxa"/>
            <w:tcBorders>
              <w:top w:val="single" w:sz="4" w:space="0" w:color="auto"/>
              <w:left w:val="nil"/>
              <w:bottom w:val="single" w:sz="8" w:space="0" w:color="auto"/>
              <w:right w:val="nil"/>
            </w:tcBorders>
            <w:shd w:val="clear" w:color="auto" w:fill="auto"/>
            <w:vAlign w:val="bottom"/>
          </w:tcPr>
          <w:p w14:paraId="4AB174C0" w14:textId="1F2F6816" w:rsidR="00F520B7" w:rsidRPr="00F520B7" w:rsidRDefault="00F520B7" w:rsidP="00F520B7">
            <w:pPr>
              <w:jc w:val="right"/>
              <w:rPr>
                <w:rFonts w:ascii="Arial" w:hAnsi="Arial" w:cs="Arial"/>
                <w:b/>
                <w:bCs/>
                <w:sz w:val="17"/>
                <w:szCs w:val="17"/>
              </w:rPr>
            </w:pPr>
            <w:r w:rsidRPr="00F520B7">
              <w:rPr>
                <w:rFonts w:ascii="Arial" w:hAnsi="Arial" w:cs="Arial"/>
                <w:b/>
                <w:bCs/>
                <w:sz w:val="17"/>
                <w:szCs w:val="17"/>
              </w:rPr>
              <w:t xml:space="preserve"> 488.599 </w:t>
            </w:r>
          </w:p>
        </w:tc>
        <w:tc>
          <w:tcPr>
            <w:tcW w:w="1077" w:type="dxa"/>
            <w:tcBorders>
              <w:top w:val="single" w:sz="4" w:space="0" w:color="auto"/>
              <w:left w:val="nil"/>
              <w:bottom w:val="single" w:sz="8" w:space="0" w:color="auto"/>
              <w:right w:val="nil"/>
            </w:tcBorders>
            <w:shd w:val="clear" w:color="auto" w:fill="auto"/>
            <w:vAlign w:val="bottom"/>
          </w:tcPr>
          <w:p w14:paraId="14D8C085" w14:textId="78B8C9CA" w:rsidR="00F520B7" w:rsidRPr="00F520B7" w:rsidRDefault="00F520B7" w:rsidP="00F520B7">
            <w:pPr>
              <w:jc w:val="right"/>
              <w:rPr>
                <w:rFonts w:ascii="Arial" w:hAnsi="Arial" w:cs="Arial"/>
                <w:b/>
                <w:bCs/>
                <w:sz w:val="17"/>
                <w:szCs w:val="17"/>
              </w:rPr>
            </w:pPr>
            <w:r w:rsidRPr="00F520B7">
              <w:rPr>
                <w:rFonts w:ascii="Arial" w:hAnsi="Arial" w:cs="Arial"/>
                <w:b/>
                <w:bCs/>
                <w:sz w:val="17"/>
                <w:szCs w:val="17"/>
              </w:rPr>
              <w:t xml:space="preserve"> 17.149 </w:t>
            </w:r>
          </w:p>
        </w:tc>
        <w:tc>
          <w:tcPr>
            <w:tcW w:w="1152" w:type="dxa"/>
            <w:tcBorders>
              <w:top w:val="single" w:sz="4" w:space="0" w:color="auto"/>
              <w:left w:val="nil"/>
              <w:bottom w:val="single" w:sz="8" w:space="0" w:color="auto"/>
              <w:right w:val="nil"/>
            </w:tcBorders>
            <w:shd w:val="clear" w:color="auto" w:fill="auto"/>
            <w:vAlign w:val="bottom"/>
          </w:tcPr>
          <w:p w14:paraId="5A5E6ED4" w14:textId="64223441" w:rsidR="00F520B7" w:rsidRPr="00F520B7" w:rsidRDefault="00F520B7" w:rsidP="00F520B7">
            <w:pPr>
              <w:jc w:val="right"/>
              <w:rPr>
                <w:rFonts w:ascii="Arial" w:hAnsi="Arial" w:cs="Arial"/>
                <w:b/>
                <w:bCs/>
                <w:sz w:val="17"/>
                <w:szCs w:val="17"/>
              </w:rPr>
            </w:pPr>
            <w:r w:rsidRPr="00F520B7">
              <w:rPr>
                <w:rFonts w:ascii="Arial" w:hAnsi="Arial" w:cs="Arial"/>
                <w:b/>
                <w:bCs/>
                <w:sz w:val="17"/>
                <w:szCs w:val="17"/>
              </w:rPr>
              <w:t xml:space="preserve"> 2.525 </w:t>
            </w:r>
          </w:p>
        </w:tc>
        <w:tc>
          <w:tcPr>
            <w:tcW w:w="1002" w:type="dxa"/>
            <w:tcBorders>
              <w:top w:val="single" w:sz="4" w:space="0" w:color="auto"/>
              <w:left w:val="nil"/>
              <w:bottom w:val="single" w:sz="8" w:space="0" w:color="auto"/>
              <w:right w:val="nil"/>
            </w:tcBorders>
            <w:vAlign w:val="bottom"/>
          </w:tcPr>
          <w:p w14:paraId="73CEA3EA" w14:textId="7B6D4CAE" w:rsidR="00F520B7" w:rsidRPr="00F520B7" w:rsidRDefault="00F520B7" w:rsidP="00F520B7">
            <w:pPr>
              <w:jc w:val="right"/>
              <w:rPr>
                <w:rFonts w:ascii="Arial" w:hAnsi="Arial" w:cs="Arial"/>
                <w:b/>
                <w:bCs/>
                <w:sz w:val="17"/>
                <w:szCs w:val="17"/>
              </w:rPr>
            </w:pPr>
            <w:r w:rsidRPr="00F520B7">
              <w:rPr>
                <w:rFonts w:ascii="Arial" w:hAnsi="Arial" w:cs="Arial"/>
                <w:b/>
                <w:bCs/>
                <w:sz w:val="17"/>
                <w:szCs w:val="17"/>
              </w:rPr>
              <w:t>-</w:t>
            </w:r>
          </w:p>
        </w:tc>
        <w:tc>
          <w:tcPr>
            <w:tcW w:w="1077" w:type="dxa"/>
            <w:tcBorders>
              <w:top w:val="single" w:sz="4" w:space="0" w:color="auto"/>
              <w:left w:val="nil"/>
              <w:bottom w:val="single" w:sz="8" w:space="0" w:color="auto"/>
              <w:right w:val="nil"/>
            </w:tcBorders>
            <w:shd w:val="clear" w:color="auto" w:fill="auto"/>
            <w:vAlign w:val="bottom"/>
          </w:tcPr>
          <w:p w14:paraId="59732D3C" w14:textId="59FBF0EA" w:rsidR="00F520B7" w:rsidRPr="00F520B7" w:rsidRDefault="00F520B7" w:rsidP="00F520B7">
            <w:pPr>
              <w:jc w:val="right"/>
              <w:rPr>
                <w:rFonts w:ascii="Arial" w:hAnsi="Arial" w:cs="Arial"/>
                <w:b/>
                <w:bCs/>
                <w:sz w:val="17"/>
                <w:szCs w:val="17"/>
              </w:rPr>
            </w:pPr>
            <w:r w:rsidRPr="00F520B7">
              <w:rPr>
                <w:rFonts w:ascii="Arial" w:hAnsi="Arial" w:cs="Arial"/>
                <w:b/>
                <w:bCs/>
                <w:sz w:val="17"/>
                <w:szCs w:val="17"/>
              </w:rPr>
              <w:t xml:space="preserve"> 82 </w:t>
            </w:r>
          </w:p>
        </w:tc>
        <w:tc>
          <w:tcPr>
            <w:tcW w:w="1247" w:type="dxa"/>
            <w:tcBorders>
              <w:top w:val="single" w:sz="4" w:space="0" w:color="auto"/>
              <w:left w:val="nil"/>
              <w:bottom w:val="single" w:sz="8" w:space="0" w:color="auto"/>
              <w:right w:val="nil"/>
            </w:tcBorders>
            <w:vAlign w:val="bottom"/>
          </w:tcPr>
          <w:p w14:paraId="329B3FEC" w14:textId="315623B1" w:rsidR="00F520B7" w:rsidRPr="00F520B7" w:rsidRDefault="00F520B7" w:rsidP="00F520B7">
            <w:pPr>
              <w:jc w:val="right"/>
              <w:rPr>
                <w:rFonts w:ascii="Arial" w:hAnsi="Arial" w:cs="Arial"/>
                <w:b/>
                <w:bCs/>
                <w:sz w:val="17"/>
                <w:szCs w:val="17"/>
              </w:rPr>
            </w:pPr>
            <w:r w:rsidRPr="00F520B7">
              <w:rPr>
                <w:rFonts w:ascii="Arial" w:hAnsi="Arial" w:cs="Arial"/>
                <w:b/>
                <w:bCs/>
                <w:sz w:val="17"/>
                <w:szCs w:val="17"/>
              </w:rPr>
              <w:t xml:space="preserve"> - </w:t>
            </w:r>
          </w:p>
        </w:tc>
        <w:tc>
          <w:tcPr>
            <w:tcW w:w="1077" w:type="dxa"/>
            <w:tcBorders>
              <w:top w:val="single" w:sz="4" w:space="0" w:color="auto"/>
              <w:left w:val="nil"/>
              <w:bottom w:val="single" w:sz="8" w:space="0" w:color="auto"/>
              <w:right w:val="nil"/>
            </w:tcBorders>
            <w:shd w:val="clear" w:color="auto" w:fill="auto"/>
            <w:vAlign w:val="bottom"/>
          </w:tcPr>
          <w:p w14:paraId="08F01482" w14:textId="3D9DA55A" w:rsidR="00F520B7" w:rsidRPr="00F520B7" w:rsidRDefault="00F520B7" w:rsidP="00F520B7">
            <w:pPr>
              <w:jc w:val="right"/>
              <w:rPr>
                <w:rFonts w:ascii="Arial" w:hAnsi="Arial" w:cs="Arial"/>
                <w:b/>
                <w:bCs/>
                <w:sz w:val="17"/>
                <w:szCs w:val="17"/>
              </w:rPr>
            </w:pPr>
            <w:r w:rsidRPr="00F520B7">
              <w:rPr>
                <w:rFonts w:ascii="Arial" w:hAnsi="Arial" w:cs="Arial"/>
                <w:b/>
                <w:bCs/>
                <w:sz w:val="17"/>
                <w:szCs w:val="17"/>
              </w:rPr>
              <w:t xml:space="preserve"> 508.355 </w:t>
            </w:r>
          </w:p>
        </w:tc>
      </w:tr>
    </w:tbl>
    <w:p w14:paraId="500CE2A0" w14:textId="77777777" w:rsidR="00994783" w:rsidRPr="003D1614" w:rsidRDefault="00994783" w:rsidP="00994783">
      <w:pPr>
        <w:suppressAutoHyphens/>
        <w:autoSpaceDN w:val="0"/>
        <w:jc w:val="both"/>
        <w:outlineLvl w:val="0"/>
        <w:rPr>
          <w:rFonts w:ascii="Arial" w:eastAsia="Times New Roman" w:hAnsi="Arial" w:cs="Arial"/>
          <w:color w:val="000000" w:themeColor="text1"/>
          <w:sz w:val="20"/>
          <w:szCs w:val="20"/>
        </w:rPr>
      </w:pPr>
    </w:p>
    <w:p w14:paraId="195F0199" w14:textId="77777777" w:rsidR="00994783" w:rsidRPr="003D1614" w:rsidRDefault="00994783" w:rsidP="00994783">
      <w:pPr>
        <w:suppressAutoHyphens/>
        <w:autoSpaceDN w:val="0"/>
        <w:jc w:val="both"/>
        <w:outlineLvl w:val="0"/>
        <w:rPr>
          <w:rFonts w:ascii="Arial" w:eastAsia="Times New Roman" w:hAnsi="Arial" w:cs="Arial"/>
          <w:color w:val="000000" w:themeColor="text1"/>
          <w:sz w:val="20"/>
          <w:szCs w:val="20"/>
        </w:rPr>
      </w:pPr>
    </w:p>
    <w:tbl>
      <w:tblPr>
        <w:tblW w:w="9506" w:type="dxa"/>
        <w:tblLook w:val="04A0" w:firstRow="1" w:lastRow="0" w:firstColumn="1" w:lastColumn="0" w:noHBand="0" w:noVBand="1"/>
      </w:tblPr>
      <w:tblGrid>
        <w:gridCol w:w="1797"/>
        <w:gridCol w:w="1077"/>
        <w:gridCol w:w="1077"/>
        <w:gridCol w:w="1152"/>
        <w:gridCol w:w="1002"/>
        <w:gridCol w:w="1077"/>
        <w:gridCol w:w="1247"/>
        <w:gridCol w:w="1077"/>
      </w:tblGrid>
      <w:tr w:rsidR="009735C3" w:rsidRPr="004775A2" w14:paraId="4E1A9A20" w14:textId="77777777" w:rsidTr="0034622E">
        <w:trPr>
          <w:trHeight w:val="355"/>
        </w:trPr>
        <w:tc>
          <w:tcPr>
            <w:tcW w:w="1797" w:type="dxa"/>
            <w:tcBorders>
              <w:top w:val="nil"/>
              <w:left w:val="nil"/>
              <w:bottom w:val="nil"/>
              <w:right w:val="nil"/>
            </w:tcBorders>
            <w:shd w:val="clear" w:color="auto" w:fill="auto"/>
            <w:noWrap/>
            <w:vAlign w:val="bottom"/>
            <w:hideMark/>
          </w:tcPr>
          <w:p w14:paraId="42F38C44" w14:textId="77777777" w:rsidR="009735C3" w:rsidRPr="004775A2" w:rsidRDefault="009735C3" w:rsidP="0034622E">
            <w:pPr>
              <w:rPr>
                <w:rFonts w:ascii="Arial" w:hAnsi="Arial" w:cs="Arial"/>
                <w:b/>
                <w:color w:val="000000" w:themeColor="text1"/>
                <w:sz w:val="17"/>
                <w:szCs w:val="17"/>
              </w:rPr>
            </w:pPr>
            <w:r w:rsidRPr="004775A2">
              <w:rPr>
                <w:rFonts w:ascii="Arial" w:hAnsi="Arial" w:cs="Arial"/>
                <w:b/>
                <w:color w:val="000000" w:themeColor="text1"/>
                <w:sz w:val="17"/>
                <w:szCs w:val="17"/>
              </w:rPr>
              <w:t xml:space="preserve">31. prosinca 2023.    </w:t>
            </w:r>
          </w:p>
        </w:tc>
        <w:tc>
          <w:tcPr>
            <w:tcW w:w="1077" w:type="dxa"/>
            <w:tcBorders>
              <w:top w:val="nil"/>
              <w:left w:val="nil"/>
              <w:bottom w:val="nil"/>
              <w:right w:val="nil"/>
            </w:tcBorders>
            <w:shd w:val="clear" w:color="auto" w:fill="auto"/>
            <w:noWrap/>
            <w:vAlign w:val="bottom"/>
            <w:hideMark/>
          </w:tcPr>
          <w:p w14:paraId="1458F083" w14:textId="77777777" w:rsidR="009735C3" w:rsidRPr="004775A2" w:rsidRDefault="009735C3" w:rsidP="0034622E">
            <w:pPr>
              <w:rPr>
                <w:rFonts w:ascii="Arial" w:hAnsi="Arial" w:cs="Arial"/>
                <w:color w:val="000000" w:themeColor="text1"/>
                <w:sz w:val="17"/>
                <w:szCs w:val="17"/>
              </w:rPr>
            </w:pPr>
          </w:p>
        </w:tc>
        <w:tc>
          <w:tcPr>
            <w:tcW w:w="1077" w:type="dxa"/>
            <w:tcBorders>
              <w:top w:val="nil"/>
              <w:left w:val="nil"/>
              <w:bottom w:val="nil"/>
              <w:right w:val="nil"/>
            </w:tcBorders>
            <w:shd w:val="clear" w:color="auto" w:fill="auto"/>
            <w:noWrap/>
            <w:vAlign w:val="bottom"/>
            <w:hideMark/>
          </w:tcPr>
          <w:p w14:paraId="330F82F8" w14:textId="77777777" w:rsidR="009735C3" w:rsidRPr="004775A2" w:rsidRDefault="009735C3" w:rsidP="0034622E">
            <w:pPr>
              <w:rPr>
                <w:rFonts w:ascii="Arial" w:hAnsi="Arial" w:cs="Arial"/>
                <w:color w:val="000000" w:themeColor="text1"/>
                <w:sz w:val="17"/>
                <w:szCs w:val="17"/>
              </w:rPr>
            </w:pPr>
          </w:p>
        </w:tc>
        <w:tc>
          <w:tcPr>
            <w:tcW w:w="1152" w:type="dxa"/>
            <w:tcBorders>
              <w:top w:val="nil"/>
              <w:left w:val="nil"/>
              <w:bottom w:val="nil"/>
              <w:right w:val="nil"/>
            </w:tcBorders>
            <w:shd w:val="clear" w:color="auto" w:fill="auto"/>
            <w:noWrap/>
            <w:vAlign w:val="bottom"/>
            <w:hideMark/>
          </w:tcPr>
          <w:p w14:paraId="75203277" w14:textId="77777777" w:rsidR="009735C3" w:rsidRPr="004775A2" w:rsidRDefault="009735C3" w:rsidP="0034622E">
            <w:pPr>
              <w:rPr>
                <w:rFonts w:ascii="Arial" w:hAnsi="Arial" w:cs="Arial"/>
                <w:color w:val="000000" w:themeColor="text1"/>
                <w:sz w:val="17"/>
                <w:szCs w:val="17"/>
              </w:rPr>
            </w:pPr>
          </w:p>
        </w:tc>
        <w:tc>
          <w:tcPr>
            <w:tcW w:w="2079" w:type="dxa"/>
            <w:gridSpan w:val="2"/>
            <w:tcBorders>
              <w:top w:val="nil"/>
              <w:left w:val="nil"/>
              <w:bottom w:val="nil"/>
              <w:right w:val="nil"/>
            </w:tcBorders>
            <w:vAlign w:val="bottom"/>
          </w:tcPr>
          <w:p w14:paraId="6F3CFF48" w14:textId="77777777" w:rsidR="009735C3" w:rsidRPr="004775A2" w:rsidRDefault="009735C3" w:rsidP="0034622E">
            <w:pPr>
              <w:jc w:val="right"/>
              <w:rPr>
                <w:rFonts w:ascii="Arial" w:hAnsi="Arial" w:cs="Arial"/>
                <w:b/>
                <w:bCs/>
                <w:color w:val="000000" w:themeColor="text1"/>
                <w:sz w:val="17"/>
                <w:szCs w:val="17"/>
              </w:rPr>
            </w:pPr>
          </w:p>
        </w:tc>
        <w:tc>
          <w:tcPr>
            <w:tcW w:w="1247" w:type="dxa"/>
            <w:tcBorders>
              <w:top w:val="nil"/>
              <w:left w:val="nil"/>
              <w:bottom w:val="nil"/>
              <w:right w:val="nil"/>
            </w:tcBorders>
            <w:vAlign w:val="bottom"/>
          </w:tcPr>
          <w:p w14:paraId="121A5755" w14:textId="77777777" w:rsidR="009735C3" w:rsidRPr="004775A2" w:rsidRDefault="009735C3" w:rsidP="0034622E">
            <w:pPr>
              <w:jc w:val="right"/>
              <w:rPr>
                <w:rFonts w:ascii="Arial" w:hAnsi="Arial" w:cs="Arial"/>
                <w:b/>
                <w:bCs/>
                <w:color w:val="000000" w:themeColor="text1"/>
                <w:sz w:val="17"/>
                <w:szCs w:val="17"/>
              </w:rPr>
            </w:pPr>
          </w:p>
        </w:tc>
        <w:tc>
          <w:tcPr>
            <w:tcW w:w="1077" w:type="dxa"/>
            <w:tcBorders>
              <w:top w:val="nil"/>
              <w:left w:val="nil"/>
              <w:bottom w:val="nil"/>
              <w:right w:val="nil"/>
            </w:tcBorders>
            <w:shd w:val="clear" w:color="auto" w:fill="auto"/>
            <w:noWrap/>
            <w:vAlign w:val="bottom"/>
            <w:hideMark/>
          </w:tcPr>
          <w:p w14:paraId="17951A31" w14:textId="77777777" w:rsidR="009735C3" w:rsidRPr="004775A2" w:rsidRDefault="009735C3" w:rsidP="0034622E">
            <w:pPr>
              <w:jc w:val="right"/>
              <w:rPr>
                <w:rFonts w:ascii="Arial" w:hAnsi="Arial" w:cs="Arial"/>
                <w:b/>
                <w:bCs/>
                <w:color w:val="000000" w:themeColor="text1"/>
                <w:sz w:val="17"/>
                <w:szCs w:val="17"/>
              </w:rPr>
            </w:pPr>
            <w:r w:rsidRPr="004775A2">
              <w:rPr>
                <w:rFonts w:ascii="Arial" w:hAnsi="Arial" w:cs="Arial"/>
                <w:b/>
                <w:bCs/>
                <w:color w:val="000000" w:themeColor="text1"/>
                <w:sz w:val="17"/>
                <w:szCs w:val="17"/>
              </w:rPr>
              <w:t>Grupa i Banka</w:t>
            </w:r>
          </w:p>
        </w:tc>
      </w:tr>
      <w:tr w:rsidR="009735C3" w:rsidRPr="004775A2" w14:paraId="2FDEFDF2" w14:textId="77777777" w:rsidTr="0034622E">
        <w:trPr>
          <w:trHeight w:val="280"/>
        </w:trPr>
        <w:tc>
          <w:tcPr>
            <w:tcW w:w="1797" w:type="dxa"/>
            <w:tcBorders>
              <w:top w:val="nil"/>
              <w:left w:val="nil"/>
              <w:bottom w:val="nil"/>
              <w:right w:val="nil"/>
            </w:tcBorders>
            <w:shd w:val="clear" w:color="auto" w:fill="auto"/>
            <w:vAlign w:val="bottom"/>
            <w:hideMark/>
          </w:tcPr>
          <w:p w14:paraId="6D978CAC" w14:textId="77777777" w:rsidR="009735C3" w:rsidRPr="004775A2" w:rsidRDefault="009735C3" w:rsidP="0034622E">
            <w:pPr>
              <w:jc w:val="right"/>
              <w:rPr>
                <w:rFonts w:ascii="Arial" w:hAnsi="Arial" w:cs="Arial"/>
                <w:b/>
                <w:bCs/>
                <w:color w:val="000000" w:themeColor="text1"/>
                <w:sz w:val="17"/>
                <w:szCs w:val="17"/>
              </w:rPr>
            </w:pPr>
          </w:p>
        </w:tc>
        <w:tc>
          <w:tcPr>
            <w:tcW w:w="1077" w:type="dxa"/>
            <w:tcBorders>
              <w:top w:val="nil"/>
              <w:left w:val="nil"/>
              <w:bottom w:val="nil"/>
              <w:right w:val="nil"/>
            </w:tcBorders>
            <w:shd w:val="clear" w:color="auto" w:fill="auto"/>
            <w:vAlign w:val="bottom"/>
            <w:hideMark/>
          </w:tcPr>
          <w:p w14:paraId="69FC9486" w14:textId="77777777" w:rsidR="009735C3" w:rsidRPr="004775A2" w:rsidRDefault="009735C3" w:rsidP="0034622E">
            <w:pPr>
              <w:jc w:val="right"/>
              <w:rPr>
                <w:rFonts w:ascii="Arial" w:hAnsi="Arial" w:cs="Arial"/>
                <w:b/>
                <w:bCs/>
                <w:color w:val="000000" w:themeColor="text1"/>
                <w:sz w:val="17"/>
                <w:szCs w:val="17"/>
              </w:rPr>
            </w:pPr>
            <w:r w:rsidRPr="004775A2">
              <w:rPr>
                <w:rFonts w:ascii="Arial" w:hAnsi="Arial" w:cs="Arial"/>
                <w:b/>
                <w:bCs/>
                <w:color w:val="000000" w:themeColor="text1"/>
                <w:sz w:val="17"/>
                <w:szCs w:val="17"/>
              </w:rPr>
              <w:t>Stupanj 1</w:t>
            </w:r>
          </w:p>
        </w:tc>
        <w:tc>
          <w:tcPr>
            <w:tcW w:w="1077" w:type="dxa"/>
            <w:tcBorders>
              <w:top w:val="nil"/>
              <w:left w:val="nil"/>
              <w:bottom w:val="nil"/>
              <w:right w:val="nil"/>
            </w:tcBorders>
            <w:shd w:val="clear" w:color="auto" w:fill="auto"/>
            <w:vAlign w:val="bottom"/>
            <w:hideMark/>
          </w:tcPr>
          <w:p w14:paraId="19DAC434" w14:textId="77777777" w:rsidR="009735C3" w:rsidRPr="004775A2" w:rsidRDefault="009735C3" w:rsidP="0034622E">
            <w:pPr>
              <w:jc w:val="right"/>
              <w:rPr>
                <w:rFonts w:ascii="Arial" w:hAnsi="Arial" w:cs="Arial"/>
                <w:b/>
                <w:bCs/>
                <w:color w:val="000000" w:themeColor="text1"/>
                <w:sz w:val="17"/>
                <w:szCs w:val="17"/>
              </w:rPr>
            </w:pPr>
            <w:r w:rsidRPr="004775A2">
              <w:rPr>
                <w:rFonts w:ascii="Arial" w:hAnsi="Arial" w:cs="Arial"/>
                <w:b/>
                <w:bCs/>
                <w:color w:val="000000" w:themeColor="text1"/>
                <w:sz w:val="17"/>
                <w:szCs w:val="17"/>
              </w:rPr>
              <w:t>Stupanj 2</w:t>
            </w:r>
          </w:p>
        </w:tc>
        <w:tc>
          <w:tcPr>
            <w:tcW w:w="1152" w:type="dxa"/>
            <w:tcBorders>
              <w:top w:val="nil"/>
              <w:left w:val="nil"/>
              <w:bottom w:val="nil"/>
              <w:right w:val="nil"/>
            </w:tcBorders>
            <w:shd w:val="clear" w:color="auto" w:fill="auto"/>
            <w:vAlign w:val="bottom"/>
            <w:hideMark/>
          </w:tcPr>
          <w:p w14:paraId="78A5CB77" w14:textId="77777777" w:rsidR="009735C3" w:rsidRPr="004775A2" w:rsidRDefault="009735C3" w:rsidP="0034622E">
            <w:pPr>
              <w:jc w:val="right"/>
              <w:rPr>
                <w:rFonts w:ascii="Arial" w:hAnsi="Arial" w:cs="Arial"/>
                <w:b/>
                <w:bCs/>
                <w:color w:val="000000" w:themeColor="text1"/>
                <w:sz w:val="17"/>
                <w:szCs w:val="17"/>
              </w:rPr>
            </w:pPr>
            <w:r w:rsidRPr="004775A2">
              <w:rPr>
                <w:rFonts w:ascii="Arial" w:hAnsi="Arial" w:cs="Arial"/>
                <w:b/>
                <w:bCs/>
                <w:color w:val="000000" w:themeColor="text1"/>
                <w:sz w:val="17"/>
                <w:szCs w:val="17"/>
              </w:rPr>
              <w:t>Stupanj 3</w:t>
            </w:r>
          </w:p>
        </w:tc>
        <w:tc>
          <w:tcPr>
            <w:tcW w:w="2079" w:type="dxa"/>
            <w:gridSpan w:val="2"/>
            <w:tcBorders>
              <w:top w:val="nil"/>
              <w:left w:val="nil"/>
              <w:bottom w:val="nil"/>
              <w:right w:val="nil"/>
            </w:tcBorders>
            <w:vAlign w:val="bottom"/>
          </w:tcPr>
          <w:p w14:paraId="0B7B8680" w14:textId="77777777" w:rsidR="009735C3" w:rsidRPr="004775A2" w:rsidRDefault="009735C3" w:rsidP="0034622E">
            <w:pPr>
              <w:jc w:val="center"/>
              <w:rPr>
                <w:rFonts w:ascii="Arial" w:hAnsi="Arial" w:cs="Arial"/>
                <w:b/>
                <w:bCs/>
                <w:color w:val="000000" w:themeColor="text1"/>
                <w:sz w:val="17"/>
                <w:szCs w:val="17"/>
              </w:rPr>
            </w:pPr>
            <w:r w:rsidRPr="004775A2">
              <w:rPr>
                <w:rFonts w:ascii="Arial" w:hAnsi="Arial" w:cs="Arial"/>
                <w:b/>
                <w:bCs/>
                <w:color w:val="000000" w:themeColor="text1"/>
                <w:sz w:val="17"/>
                <w:szCs w:val="17"/>
              </w:rPr>
              <w:t>POCI</w:t>
            </w:r>
          </w:p>
        </w:tc>
        <w:tc>
          <w:tcPr>
            <w:tcW w:w="1247" w:type="dxa"/>
            <w:tcBorders>
              <w:top w:val="nil"/>
              <w:left w:val="nil"/>
              <w:bottom w:val="nil"/>
              <w:right w:val="nil"/>
            </w:tcBorders>
            <w:vAlign w:val="bottom"/>
          </w:tcPr>
          <w:p w14:paraId="1CE39021" w14:textId="77777777" w:rsidR="009735C3" w:rsidRPr="004775A2" w:rsidRDefault="009735C3" w:rsidP="0034622E">
            <w:pPr>
              <w:jc w:val="right"/>
              <w:rPr>
                <w:rFonts w:ascii="Arial" w:hAnsi="Arial" w:cs="Arial"/>
                <w:b/>
                <w:bCs/>
                <w:color w:val="000000" w:themeColor="text1"/>
                <w:sz w:val="17"/>
                <w:szCs w:val="17"/>
              </w:rPr>
            </w:pPr>
            <w:r w:rsidRPr="004775A2">
              <w:rPr>
                <w:rFonts w:ascii="Arial" w:hAnsi="Arial" w:cs="Arial"/>
                <w:b/>
                <w:bCs/>
                <w:color w:val="000000" w:themeColor="text1"/>
                <w:sz w:val="17"/>
                <w:szCs w:val="17"/>
              </w:rPr>
              <w:t>Bez Stupnja</w:t>
            </w:r>
          </w:p>
        </w:tc>
        <w:tc>
          <w:tcPr>
            <w:tcW w:w="1077" w:type="dxa"/>
            <w:tcBorders>
              <w:top w:val="nil"/>
              <w:left w:val="nil"/>
              <w:bottom w:val="nil"/>
              <w:right w:val="nil"/>
            </w:tcBorders>
            <w:shd w:val="clear" w:color="auto" w:fill="auto"/>
            <w:vAlign w:val="bottom"/>
            <w:hideMark/>
          </w:tcPr>
          <w:p w14:paraId="611CFB3B" w14:textId="77777777" w:rsidR="009735C3" w:rsidRPr="004775A2" w:rsidRDefault="009735C3" w:rsidP="0034622E">
            <w:pPr>
              <w:jc w:val="right"/>
              <w:rPr>
                <w:rFonts w:ascii="Arial" w:hAnsi="Arial" w:cs="Arial"/>
                <w:b/>
                <w:bCs/>
                <w:color w:val="000000" w:themeColor="text1"/>
                <w:sz w:val="17"/>
                <w:szCs w:val="17"/>
              </w:rPr>
            </w:pPr>
            <w:r>
              <w:rPr>
                <w:rFonts w:ascii="Arial" w:hAnsi="Arial" w:cs="Arial"/>
                <w:b/>
                <w:bCs/>
                <w:color w:val="000000" w:themeColor="text1"/>
                <w:sz w:val="17"/>
                <w:szCs w:val="17"/>
              </w:rPr>
              <w:t>Ukupno</w:t>
            </w:r>
          </w:p>
        </w:tc>
      </w:tr>
      <w:tr w:rsidR="009735C3" w:rsidRPr="004775A2" w14:paraId="489DB31E" w14:textId="77777777" w:rsidTr="0034622E">
        <w:trPr>
          <w:trHeight w:val="280"/>
        </w:trPr>
        <w:tc>
          <w:tcPr>
            <w:tcW w:w="1797" w:type="dxa"/>
            <w:tcBorders>
              <w:top w:val="nil"/>
              <w:left w:val="nil"/>
              <w:bottom w:val="nil"/>
              <w:right w:val="nil"/>
            </w:tcBorders>
            <w:shd w:val="clear" w:color="auto" w:fill="auto"/>
            <w:vAlign w:val="bottom"/>
          </w:tcPr>
          <w:p w14:paraId="18C0FBE4" w14:textId="77777777" w:rsidR="009735C3" w:rsidRPr="004775A2" w:rsidRDefault="009735C3" w:rsidP="0034622E">
            <w:pPr>
              <w:jc w:val="right"/>
              <w:rPr>
                <w:rFonts w:ascii="Arial" w:hAnsi="Arial" w:cs="Arial"/>
                <w:b/>
                <w:bCs/>
                <w:color w:val="000000" w:themeColor="text1"/>
                <w:sz w:val="17"/>
                <w:szCs w:val="17"/>
              </w:rPr>
            </w:pPr>
          </w:p>
        </w:tc>
        <w:tc>
          <w:tcPr>
            <w:tcW w:w="1077" w:type="dxa"/>
            <w:tcBorders>
              <w:top w:val="nil"/>
              <w:left w:val="nil"/>
              <w:bottom w:val="nil"/>
              <w:right w:val="nil"/>
            </w:tcBorders>
            <w:shd w:val="clear" w:color="auto" w:fill="auto"/>
            <w:vAlign w:val="bottom"/>
          </w:tcPr>
          <w:p w14:paraId="3E8C1E8A" w14:textId="77777777" w:rsidR="009735C3" w:rsidRPr="004775A2" w:rsidRDefault="009735C3" w:rsidP="0034622E">
            <w:pPr>
              <w:jc w:val="right"/>
              <w:rPr>
                <w:rFonts w:ascii="Arial" w:hAnsi="Arial" w:cs="Arial"/>
                <w:b/>
                <w:bCs/>
                <w:color w:val="000000" w:themeColor="text1"/>
                <w:sz w:val="17"/>
                <w:szCs w:val="17"/>
              </w:rPr>
            </w:pPr>
          </w:p>
        </w:tc>
        <w:tc>
          <w:tcPr>
            <w:tcW w:w="1077" w:type="dxa"/>
            <w:tcBorders>
              <w:top w:val="nil"/>
              <w:left w:val="nil"/>
              <w:bottom w:val="nil"/>
              <w:right w:val="nil"/>
            </w:tcBorders>
            <w:shd w:val="clear" w:color="auto" w:fill="auto"/>
            <w:vAlign w:val="bottom"/>
          </w:tcPr>
          <w:p w14:paraId="207C5D44" w14:textId="77777777" w:rsidR="009735C3" w:rsidRPr="004775A2" w:rsidRDefault="009735C3" w:rsidP="0034622E">
            <w:pPr>
              <w:jc w:val="right"/>
              <w:rPr>
                <w:rFonts w:ascii="Arial" w:hAnsi="Arial" w:cs="Arial"/>
                <w:b/>
                <w:bCs/>
                <w:color w:val="000000" w:themeColor="text1"/>
                <w:sz w:val="17"/>
                <w:szCs w:val="17"/>
              </w:rPr>
            </w:pPr>
          </w:p>
        </w:tc>
        <w:tc>
          <w:tcPr>
            <w:tcW w:w="1152" w:type="dxa"/>
            <w:tcBorders>
              <w:top w:val="nil"/>
              <w:left w:val="nil"/>
              <w:bottom w:val="nil"/>
              <w:right w:val="nil"/>
            </w:tcBorders>
            <w:shd w:val="clear" w:color="auto" w:fill="auto"/>
            <w:vAlign w:val="bottom"/>
          </w:tcPr>
          <w:p w14:paraId="5E12B7F8" w14:textId="77777777" w:rsidR="009735C3" w:rsidRPr="004775A2" w:rsidRDefault="009735C3" w:rsidP="0034622E">
            <w:pPr>
              <w:jc w:val="right"/>
              <w:rPr>
                <w:rFonts w:ascii="Arial" w:hAnsi="Arial" w:cs="Arial"/>
                <w:b/>
                <w:bCs/>
                <w:color w:val="000000" w:themeColor="text1"/>
                <w:sz w:val="17"/>
                <w:szCs w:val="17"/>
              </w:rPr>
            </w:pPr>
          </w:p>
        </w:tc>
        <w:tc>
          <w:tcPr>
            <w:tcW w:w="1002" w:type="dxa"/>
            <w:tcBorders>
              <w:top w:val="nil"/>
              <w:left w:val="nil"/>
              <w:bottom w:val="nil"/>
              <w:right w:val="nil"/>
            </w:tcBorders>
            <w:shd w:val="clear" w:color="auto" w:fill="auto"/>
            <w:vAlign w:val="bottom"/>
          </w:tcPr>
          <w:p w14:paraId="0F287CC3" w14:textId="77777777" w:rsidR="009735C3" w:rsidRPr="004775A2" w:rsidRDefault="009735C3" w:rsidP="0034622E">
            <w:pPr>
              <w:jc w:val="right"/>
              <w:rPr>
                <w:rFonts w:ascii="Arial" w:hAnsi="Arial" w:cs="Arial"/>
                <w:b/>
                <w:bCs/>
                <w:color w:val="000000" w:themeColor="text1"/>
                <w:sz w:val="17"/>
                <w:szCs w:val="17"/>
              </w:rPr>
            </w:pPr>
            <w:r w:rsidRPr="004775A2">
              <w:rPr>
                <w:rFonts w:ascii="Arial" w:hAnsi="Arial" w:cs="Arial"/>
                <w:b/>
                <w:bCs/>
                <w:color w:val="000000" w:themeColor="text1"/>
                <w:sz w:val="17"/>
                <w:szCs w:val="17"/>
              </w:rPr>
              <w:t>Stupanj 2</w:t>
            </w:r>
          </w:p>
        </w:tc>
        <w:tc>
          <w:tcPr>
            <w:tcW w:w="1077" w:type="dxa"/>
            <w:tcBorders>
              <w:top w:val="nil"/>
              <w:left w:val="nil"/>
              <w:bottom w:val="nil"/>
              <w:right w:val="nil"/>
            </w:tcBorders>
            <w:shd w:val="clear" w:color="auto" w:fill="auto"/>
            <w:vAlign w:val="bottom"/>
          </w:tcPr>
          <w:p w14:paraId="1F470C40" w14:textId="77777777" w:rsidR="009735C3" w:rsidRPr="004775A2" w:rsidRDefault="009735C3" w:rsidP="0034622E">
            <w:pPr>
              <w:jc w:val="right"/>
              <w:rPr>
                <w:rFonts w:ascii="Arial" w:hAnsi="Arial" w:cs="Arial"/>
                <w:b/>
                <w:bCs/>
                <w:color w:val="000000" w:themeColor="text1"/>
                <w:sz w:val="17"/>
                <w:szCs w:val="17"/>
              </w:rPr>
            </w:pPr>
            <w:r w:rsidRPr="004775A2">
              <w:rPr>
                <w:rFonts w:ascii="Arial" w:hAnsi="Arial" w:cs="Arial"/>
                <w:b/>
                <w:bCs/>
                <w:color w:val="000000" w:themeColor="text1"/>
                <w:sz w:val="17"/>
                <w:szCs w:val="17"/>
              </w:rPr>
              <w:t>Stupanj 3</w:t>
            </w:r>
          </w:p>
        </w:tc>
        <w:tc>
          <w:tcPr>
            <w:tcW w:w="1247" w:type="dxa"/>
            <w:tcBorders>
              <w:top w:val="nil"/>
              <w:left w:val="nil"/>
              <w:bottom w:val="nil"/>
              <w:right w:val="nil"/>
            </w:tcBorders>
            <w:shd w:val="clear" w:color="auto" w:fill="auto"/>
            <w:vAlign w:val="bottom"/>
          </w:tcPr>
          <w:p w14:paraId="03ADAAB3" w14:textId="77777777" w:rsidR="009735C3" w:rsidRPr="004775A2" w:rsidRDefault="009735C3" w:rsidP="0034622E">
            <w:pPr>
              <w:jc w:val="right"/>
              <w:rPr>
                <w:rFonts w:ascii="Arial" w:hAnsi="Arial" w:cs="Arial"/>
                <w:b/>
                <w:bCs/>
                <w:color w:val="000000" w:themeColor="text1"/>
                <w:sz w:val="17"/>
                <w:szCs w:val="17"/>
              </w:rPr>
            </w:pPr>
          </w:p>
        </w:tc>
        <w:tc>
          <w:tcPr>
            <w:tcW w:w="1077" w:type="dxa"/>
            <w:tcBorders>
              <w:top w:val="nil"/>
              <w:left w:val="nil"/>
              <w:bottom w:val="nil"/>
              <w:right w:val="nil"/>
            </w:tcBorders>
            <w:shd w:val="clear" w:color="auto" w:fill="auto"/>
            <w:vAlign w:val="bottom"/>
          </w:tcPr>
          <w:p w14:paraId="387A5863" w14:textId="77777777" w:rsidR="009735C3" w:rsidRPr="004775A2" w:rsidRDefault="009735C3" w:rsidP="0034622E">
            <w:pPr>
              <w:jc w:val="right"/>
              <w:rPr>
                <w:rFonts w:ascii="Arial" w:hAnsi="Arial" w:cs="Arial"/>
                <w:b/>
                <w:bCs/>
                <w:color w:val="000000" w:themeColor="text1"/>
                <w:sz w:val="17"/>
                <w:szCs w:val="17"/>
              </w:rPr>
            </w:pPr>
          </w:p>
        </w:tc>
      </w:tr>
      <w:tr w:rsidR="009735C3" w:rsidRPr="004775A2" w14:paraId="34E3E039" w14:textId="77777777" w:rsidTr="0034622E">
        <w:trPr>
          <w:trHeight w:val="280"/>
        </w:trPr>
        <w:tc>
          <w:tcPr>
            <w:tcW w:w="1797" w:type="dxa"/>
            <w:tcBorders>
              <w:top w:val="nil"/>
              <w:left w:val="nil"/>
              <w:bottom w:val="nil"/>
              <w:right w:val="nil"/>
            </w:tcBorders>
            <w:shd w:val="clear" w:color="auto" w:fill="auto"/>
            <w:vAlign w:val="bottom"/>
          </w:tcPr>
          <w:p w14:paraId="64ED67FA" w14:textId="77777777" w:rsidR="009735C3" w:rsidRPr="004775A2" w:rsidRDefault="009735C3" w:rsidP="0034622E">
            <w:pPr>
              <w:jc w:val="right"/>
              <w:rPr>
                <w:rFonts w:ascii="Arial" w:hAnsi="Arial" w:cs="Arial"/>
                <w:b/>
                <w:bCs/>
                <w:color w:val="000000" w:themeColor="text1"/>
                <w:sz w:val="17"/>
                <w:szCs w:val="17"/>
              </w:rPr>
            </w:pPr>
          </w:p>
        </w:tc>
        <w:tc>
          <w:tcPr>
            <w:tcW w:w="1077" w:type="dxa"/>
            <w:tcBorders>
              <w:top w:val="nil"/>
              <w:left w:val="nil"/>
              <w:bottom w:val="nil"/>
              <w:right w:val="nil"/>
            </w:tcBorders>
            <w:shd w:val="clear" w:color="auto" w:fill="auto"/>
            <w:vAlign w:val="bottom"/>
          </w:tcPr>
          <w:p w14:paraId="02BAD91C" w14:textId="77777777" w:rsidR="009735C3" w:rsidRPr="004775A2" w:rsidRDefault="009735C3" w:rsidP="0034622E">
            <w:pPr>
              <w:jc w:val="right"/>
              <w:rPr>
                <w:rFonts w:ascii="Arial" w:hAnsi="Arial" w:cs="Arial"/>
                <w:b/>
                <w:bCs/>
                <w:color w:val="000000" w:themeColor="text1"/>
                <w:sz w:val="17"/>
                <w:szCs w:val="17"/>
              </w:rPr>
            </w:pPr>
            <w:r w:rsidRPr="004775A2">
              <w:rPr>
                <w:rFonts w:ascii="Arial" w:hAnsi="Arial" w:cs="Arial"/>
                <w:b/>
                <w:bCs/>
                <w:color w:val="000000" w:themeColor="text1"/>
                <w:sz w:val="17"/>
                <w:szCs w:val="17"/>
              </w:rPr>
              <w:t>000 eura</w:t>
            </w:r>
          </w:p>
        </w:tc>
        <w:tc>
          <w:tcPr>
            <w:tcW w:w="1077" w:type="dxa"/>
            <w:tcBorders>
              <w:top w:val="nil"/>
              <w:left w:val="nil"/>
              <w:bottom w:val="nil"/>
              <w:right w:val="nil"/>
            </w:tcBorders>
            <w:shd w:val="clear" w:color="auto" w:fill="auto"/>
            <w:vAlign w:val="bottom"/>
          </w:tcPr>
          <w:p w14:paraId="5527C13E" w14:textId="77777777" w:rsidR="009735C3" w:rsidRPr="004775A2" w:rsidRDefault="009735C3" w:rsidP="0034622E">
            <w:pPr>
              <w:jc w:val="right"/>
              <w:rPr>
                <w:rFonts w:ascii="Arial" w:hAnsi="Arial" w:cs="Arial"/>
                <w:b/>
                <w:bCs/>
                <w:color w:val="000000" w:themeColor="text1"/>
                <w:sz w:val="17"/>
                <w:szCs w:val="17"/>
              </w:rPr>
            </w:pPr>
            <w:r w:rsidRPr="004775A2">
              <w:rPr>
                <w:rFonts w:ascii="Arial" w:hAnsi="Arial" w:cs="Arial"/>
                <w:b/>
                <w:bCs/>
                <w:color w:val="000000" w:themeColor="text1"/>
                <w:sz w:val="17"/>
                <w:szCs w:val="17"/>
              </w:rPr>
              <w:t>000 eura</w:t>
            </w:r>
          </w:p>
        </w:tc>
        <w:tc>
          <w:tcPr>
            <w:tcW w:w="1152" w:type="dxa"/>
            <w:tcBorders>
              <w:top w:val="nil"/>
              <w:left w:val="nil"/>
              <w:bottom w:val="nil"/>
              <w:right w:val="nil"/>
            </w:tcBorders>
            <w:shd w:val="clear" w:color="auto" w:fill="auto"/>
            <w:vAlign w:val="bottom"/>
          </w:tcPr>
          <w:p w14:paraId="712D3898" w14:textId="77777777" w:rsidR="009735C3" w:rsidRPr="004775A2" w:rsidRDefault="009735C3" w:rsidP="0034622E">
            <w:pPr>
              <w:jc w:val="right"/>
              <w:rPr>
                <w:rFonts w:ascii="Arial" w:hAnsi="Arial" w:cs="Arial"/>
                <w:b/>
                <w:bCs/>
                <w:color w:val="000000" w:themeColor="text1"/>
                <w:sz w:val="17"/>
                <w:szCs w:val="17"/>
              </w:rPr>
            </w:pPr>
            <w:r w:rsidRPr="004775A2">
              <w:rPr>
                <w:rFonts w:ascii="Arial" w:hAnsi="Arial" w:cs="Arial"/>
                <w:b/>
                <w:bCs/>
                <w:color w:val="000000" w:themeColor="text1"/>
                <w:sz w:val="17"/>
                <w:szCs w:val="17"/>
              </w:rPr>
              <w:t>000 eura</w:t>
            </w:r>
          </w:p>
        </w:tc>
        <w:tc>
          <w:tcPr>
            <w:tcW w:w="1002" w:type="dxa"/>
            <w:tcBorders>
              <w:top w:val="nil"/>
              <w:left w:val="nil"/>
              <w:bottom w:val="nil"/>
              <w:right w:val="nil"/>
            </w:tcBorders>
            <w:vAlign w:val="bottom"/>
          </w:tcPr>
          <w:p w14:paraId="6EE12497" w14:textId="77777777" w:rsidR="009735C3" w:rsidRPr="004775A2" w:rsidRDefault="009735C3" w:rsidP="0034622E">
            <w:pPr>
              <w:jc w:val="right"/>
              <w:rPr>
                <w:rFonts w:ascii="Arial" w:hAnsi="Arial" w:cs="Arial"/>
                <w:b/>
                <w:bCs/>
                <w:color w:val="000000" w:themeColor="text1"/>
                <w:sz w:val="17"/>
                <w:szCs w:val="17"/>
              </w:rPr>
            </w:pPr>
            <w:r w:rsidRPr="004775A2">
              <w:rPr>
                <w:rFonts w:ascii="Arial" w:hAnsi="Arial" w:cs="Arial"/>
                <w:b/>
                <w:bCs/>
                <w:color w:val="000000" w:themeColor="text1"/>
                <w:sz w:val="17"/>
                <w:szCs w:val="17"/>
              </w:rPr>
              <w:t>000 eura</w:t>
            </w:r>
          </w:p>
        </w:tc>
        <w:tc>
          <w:tcPr>
            <w:tcW w:w="1077" w:type="dxa"/>
            <w:tcBorders>
              <w:top w:val="nil"/>
              <w:left w:val="nil"/>
              <w:bottom w:val="nil"/>
              <w:right w:val="nil"/>
            </w:tcBorders>
            <w:shd w:val="clear" w:color="auto" w:fill="auto"/>
            <w:vAlign w:val="bottom"/>
          </w:tcPr>
          <w:p w14:paraId="4E459AFB" w14:textId="77777777" w:rsidR="009735C3" w:rsidRPr="004775A2" w:rsidRDefault="009735C3" w:rsidP="0034622E">
            <w:pPr>
              <w:jc w:val="right"/>
              <w:rPr>
                <w:rFonts w:ascii="Arial" w:hAnsi="Arial" w:cs="Arial"/>
                <w:b/>
                <w:bCs/>
                <w:color w:val="000000" w:themeColor="text1"/>
                <w:sz w:val="17"/>
                <w:szCs w:val="17"/>
              </w:rPr>
            </w:pPr>
            <w:r w:rsidRPr="004775A2">
              <w:rPr>
                <w:rFonts w:ascii="Arial" w:hAnsi="Arial" w:cs="Arial"/>
                <w:b/>
                <w:bCs/>
                <w:color w:val="000000" w:themeColor="text1"/>
                <w:sz w:val="17"/>
                <w:szCs w:val="17"/>
              </w:rPr>
              <w:t>000 eura</w:t>
            </w:r>
          </w:p>
        </w:tc>
        <w:tc>
          <w:tcPr>
            <w:tcW w:w="1247" w:type="dxa"/>
            <w:tcBorders>
              <w:top w:val="nil"/>
              <w:left w:val="nil"/>
              <w:bottom w:val="nil"/>
              <w:right w:val="nil"/>
            </w:tcBorders>
            <w:shd w:val="clear" w:color="auto" w:fill="auto"/>
            <w:vAlign w:val="bottom"/>
          </w:tcPr>
          <w:p w14:paraId="5F577F33" w14:textId="77777777" w:rsidR="009735C3" w:rsidRPr="004775A2" w:rsidRDefault="009735C3" w:rsidP="0034622E">
            <w:pPr>
              <w:jc w:val="right"/>
              <w:rPr>
                <w:rFonts w:ascii="Arial" w:hAnsi="Arial" w:cs="Arial"/>
                <w:b/>
                <w:bCs/>
                <w:color w:val="000000" w:themeColor="text1"/>
                <w:sz w:val="17"/>
                <w:szCs w:val="17"/>
              </w:rPr>
            </w:pPr>
            <w:r w:rsidRPr="004775A2">
              <w:rPr>
                <w:rFonts w:ascii="Arial" w:hAnsi="Arial" w:cs="Arial"/>
                <w:b/>
                <w:bCs/>
                <w:color w:val="000000" w:themeColor="text1"/>
                <w:sz w:val="17"/>
                <w:szCs w:val="17"/>
              </w:rPr>
              <w:t>000 eura</w:t>
            </w:r>
          </w:p>
        </w:tc>
        <w:tc>
          <w:tcPr>
            <w:tcW w:w="1077" w:type="dxa"/>
            <w:tcBorders>
              <w:top w:val="nil"/>
              <w:left w:val="nil"/>
              <w:bottom w:val="nil"/>
              <w:right w:val="nil"/>
            </w:tcBorders>
            <w:shd w:val="clear" w:color="auto" w:fill="auto"/>
            <w:vAlign w:val="bottom"/>
          </w:tcPr>
          <w:p w14:paraId="3AB7B692" w14:textId="77777777" w:rsidR="009735C3" w:rsidRPr="004775A2" w:rsidRDefault="009735C3" w:rsidP="0034622E">
            <w:pPr>
              <w:jc w:val="right"/>
              <w:rPr>
                <w:rFonts w:ascii="Arial" w:hAnsi="Arial" w:cs="Arial"/>
                <w:b/>
                <w:bCs/>
                <w:color w:val="000000" w:themeColor="text1"/>
                <w:sz w:val="17"/>
                <w:szCs w:val="17"/>
              </w:rPr>
            </w:pPr>
            <w:r w:rsidRPr="004775A2">
              <w:rPr>
                <w:rFonts w:ascii="Arial" w:hAnsi="Arial" w:cs="Arial"/>
                <w:b/>
                <w:bCs/>
                <w:color w:val="000000" w:themeColor="text1"/>
                <w:sz w:val="17"/>
                <w:szCs w:val="17"/>
              </w:rPr>
              <w:t>000 eura</w:t>
            </w:r>
          </w:p>
        </w:tc>
      </w:tr>
      <w:tr w:rsidR="009735C3" w:rsidRPr="004775A2" w14:paraId="2F217650" w14:textId="77777777" w:rsidTr="0034622E">
        <w:trPr>
          <w:trHeight w:hRule="exact" w:val="130"/>
        </w:trPr>
        <w:tc>
          <w:tcPr>
            <w:tcW w:w="1797" w:type="dxa"/>
            <w:tcBorders>
              <w:top w:val="nil"/>
              <w:left w:val="nil"/>
              <w:bottom w:val="nil"/>
              <w:right w:val="nil"/>
            </w:tcBorders>
            <w:shd w:val="clear" w:color="auto" w:fill="auto"/>
            <w:vAlign w:val="bottom"/>
            <w:hideMark/>
          </w:tcPr>
          <w:p w14:paraId="251DB4BD" w14:textId="77777777" w:rsidR="009735C3" w:rsidRPr="004775A2" w:rsidRDefault="009735C3" w:rsidP="0034622E">
            <w:pPr>
              <w:jc w:val="right"/>
              <w:rPr>
                <w:rFonts w:ascii="Arial" w:hAnsi="Arial" w:cs="Arial"/>
                <w:b/>
                <w:bCs/>
                <w:color w:val="000000" w:themeColor="text1"/>
                <w:sz w:val="17"/>
                <w:szCs w:val="17"/>
              </w:rPr>
            </w:pPr>
          </w:p>
        </w:tc>
        <w:tc>
          <w:tcPr>
            <w:tcW w:w="1077" w:type="dxa"/>
            <w:tcBorders>
              <w:top w:val="nil"/>
              <w:left w:val="nil"/>
              <w:bottom w:val="nil"/>
              <w:right w:val="nil"/>
            </w:tcBorders>
            <w:shd w:val="clear" w:color="auto" w:fill="auto"/>
            <w:vAlign w:val="bottom"/>
            <w:hideMark/>
          </w:tcPr>
          <w:p w14:paraId="7FAB7BD1" w14:textId="77777777" w:rsidR="009735C3" w:rsidRPr="004775A2" w:rsidRDefault="009735C3" w:rsidP="0034622E">
            <w:pPr>
              <w:rPr>
                <w:rFonts w:ascii="Arial" w:hAnsi="Arial" w:cs="Arial"/>
                <w:color w:val="000000" w:themeColor="text1"/>
                <w:sz w:val="17"/>
                <w:szCs w:val="17"/>
              </w:rPr>
            </w:pPr>
          </w:p>
        </w:tc>
        <w:tc>
          <w:tcPr>
            <w:tcW w:w="1077" w:type="dxa"/>
            <w:tcBorders>
              <w:top w:val="nil"/>
              <w:left w:val="nil"/>
              <w:bottom w:val="nil"/>
              <w:right w:val="nil"/>
            </w:tcBorders>
            <w:shd w:val="clear" w:color="auto" w:fill="auto"/>
            <w:vAlign w:val="bottom"/>
            <w:hideMark/>
          </w:tcPr>
          <w:p w14:paraId="70B9F3DD" w14:textId="77777777" w:rsidR="009735C3" w:rsidRPr="004775A2" w:rsidRDefault="009735C3" w:rsidP="0034622E">
            <w:pPr>
              <w:jc w:val="right"/>
              <w:rPr>
                <w:rFonts w:ascii="Arial" w:hAnsi="Arial" w:cs="Arial"/>
                <w:color w:val="000000" w:themeColor="text1"/>
                <w:sz w:val="17"/>
                <w:szCs w:val="17"/>
              </w:rPr>
            </w:pPr>
          </w:p>
        </w:tc>
        <w:tc>
          <w:tcPr>
            <w:tcW w:w="1152" w:type="dxa"/>
            <w:tcBorders>
              <w:top w:val="nil"/>
              <w:left w:val="nil"/>
              <w:bottom w:val="nil"/>
              <w:right w:val="nil"/>
            </w:tcBorders>
            <w:shd w:val="clear" w:color="auto" w:fill="auto"/>
            <w:vAlign w:val="bottom"/>
            <w:hideMark/>
          </w:tcPr>
          <w:p w14:paraId="28CD57B4" w14:textId="77777777" w:rsidR="009735C3" w:rsidRPr="004775A2" w:rsidRDefault="009735C3" w:rsidP="0034622E">
            <w:pPr>
              <w:jc w:val="right"/>
              <w:rPr>
                <w:rFonts w:ascii="Arial" w:hAnsi="Arial" w:cs="Arial"/>
                <w:color w:val="000000" w:themeColor="text1"/>
                <w:sz w:val="17"/>
                <w:szCs w:val="17"/>
              </w:rPr>
            </w:pPr>
          </w:p>
        </w:tc>
        <w:tc>
          <w:tcPr>
            <w:tcW w:w="1002" w:type="dxa"/>
            <w:tcBorders>
              <w:top w:val="nil"/>
              <w:left w:val="nil"/>
              <w:bottom w:val="nil"/>
              <w:right w:val="nil"/>
            </w:tcBorders>
            <w:vAlign w:val="bottom"/>
          </w:tcPr>
          <w:p w14:paraId="68AA55F3" w14:textId="77777777" w:rsidR="009735C3" w:rsidRPr="004775A2" w:rsidRDefault="009735C3" w:rsidP="0034622E">
            <w:pPr>
              <w:jc w:val="right"/>
              <w:rPr>
                <w:rFonts w:ascii="Arial" w:hAnsi="Arial" w:cs="Arial"/>
                <w:color w:val="000000" w:themeColor="text1"/>
                <w:sz w:val="17"/>
                <w:szCs w:val="17"/>
              </w:rPr>
            </w:pPr>
          </w:p>
        </w:tc>
        <w:tc>
          <w:tcPr>
            <w:tcW w:w="1077" w:type="dxa"/>
            <w:tcBorders>
              <w:top w:val="nil"/>
              <w:left w:val="nil"/>
              <w:bottom w:val="nil"/>
              <w:right w:val="nil"/>
            </w:tcBorders>
            <w:shd w:val="clear" w:color="auto" w:fill="auto"/>
            <w:vAlign w:val="bottom"/>
            <w:hideMark/>
          </w:tcPr>
          <w:p w14:paraId="69B04901" w14:textId="77777777" w:rsidR="009735C3" w:rsidRPr="004775A2" w:rsidRDefault="009735C3" w:rsidP="0034622E">
            <w:pPr>
              <w:jc w:val="right"/>
              <w:rPr>
                <w:rFonts w:ascii="Arial" w:hAnsi="Arial" w:cs="Arial"/>
                <w:color w:val="000000" w:themeColor="text1"/>
                <w:sz w:val="17"/>
                <w:szCs w:val="17"/>
              </w:rPr>
            </w:pPr>
          </w:p>
        </w:tc>
        <w:tc>
          <w:tcPr>
            <w:tcW w:w="1247" w:type="dxa"/>
            <w:tcBorders>
              <w:top w:val="nil"/>
              <w:left w:val="nil"/>
              <w:bottom w:val="nil"/>
              <w:right w:val="nil"/>
            </w:tcBorders>
            <w:vAlign w:val="bottom"/>
          </w:tcPr>
          <w:p w14:paraId="2AEDA3A0" w14:textId="77777777" w:rsidR="009735C3" w:rsidRPr="004775A2" w:rsidRDefault="009735C3" w:rsidP="0034622E">
            <w:pPr>
              <w:rPr>
                <w:rFonts w:ascii="Arial" w:hAnsi="Arial" w:cs="Arial"/>
                <w:color w:val="000000" w:themeColor="text1"/>
                <w:sz w:val="17"/>
                <w:szCs w:val="17"/>
              </w:rPr>
            </w:pPr>
          </w:p>
        </w:tc>
        <w:tc>
          <w:tcPr>
            <w:tcW w:w="1077" w:type="dxa"/>
            <w:tcBorders>
              <w:top w:val="nil"/>
              <w:left w:val="nil"/>
              <w:bottom w:val="nil"/>
              <w:right w:val="nil"/>
            </w:tcBorders>
            <w:shd w:val="clear" w:color="auto" w:fill="auto"/>
            <w:vAlign w:val="bottom"/>
            <w:hideMark/>
          </w:tcPr>
          <w:p w14:paraId="79AAF90E" w14:textId="77777777" w:rsidR="009735C3" w:rsidRPr="004775A2" w:rsidRDefault="009735C3" w:rsidP="0034622E">
            <w:pPr>
              <w:jc w:val="right"/>
              <w:rPr>
                <w:rFonts w:ascii="Arial" w:hAnsi="Arial" w:cs="Arial"/>
                <w:color w:val="000000" w:themeColor="text1"/>
                <w:sz w:val="17"/>
                <w:szCs w:val="17"/>
              </w:rPr>
            </w:pPr>
          </w:p>
        </w:tc>
      </w:tr>
      <w:tr w:rsidR="009735C3" w:rsidRPr="004775A2" w14:paraId="32480C7A" w14:textId="77777777" w:rsidTr="0034622E">
        <w:trPr>
          <w:trHeight w:val="327"/>
        </w:trPr>
        <w:tc>
          <w:tcPr>
            <w:tcW w:w="1797" w:type="dxa"/>
            <w:tcBorders>
              <w:top w:val="nil"/>
              <w:left w:val="nil"/>
              <w:bottom w:val="nil"/>
              <w:right w:val="nil"/>
            </w:tcBorders>
            <w:shd w:val="clear" w:color="auto" w:fill="auto"/>
            <w:noWrap/>
            <w:vAlign w:val="bottom"/>
            <w:hideMark/>
          </w:tcPr>
          <w:p w14:paraId="31C4A804" w14:textId="77777777" w:rsidR="009735C3" w:rsidRPr="004775A2" w:rsidRDefault="009735C3" w:rsidP="0034622E">
            <w:pPr>
              <w:rPr>
                <w:rFonts w:ascii="Arial" w:hAnsi="Arial" w:cs="Arial"/>
                <w:color w:val="000000" w:themeColor="text1"/>
                <w:sz w:val="17"/>
                <w:szCs w:val="17"/>
              </w:rPr>
            </w:pPr>
            <w:r w:rsidRPr="004775A2">
              <w:rPr>
                <w:rFonts w:ascii="Arial" w:hAnsi="Arial" w:cs="Arial"/>
                <w:color w:val="000000" w:themeColor="text1"/>
                <w:sz w:val="17"/>
                <w:szCs w:val="17"/>
              </w:rPr>
              <w:t>Bruto iznos</w:t>
            </w:r>
          </w:p>
        </w:tc>
        <w:tc>
          <w:tcPr>
            <w:tcW w:w="1077" w:type="dxa"/>
            <w:tcBorders>
              <w:top w:val="nil"/>
              <w:left w:val="nil"/>
              <w:bottom w:val="nil"/>
              <w:right w:val="nil"/>
            </w:tcBorders>
            <w:shd w:val="clear" w:color="auto" w:fill="auto"/>
            <w:noWrap/>
            <w:vAlign w:val="bottom"/>
          </w:tcPr>
          <w:p w14:paraId="606E69D5" w14:textId="77777777" w:rsidR="009735C3" w:rsidRPr="004775A2" w:rsidRDefault="009735C3" w:rsidP="0034622E">
            <w:pPr>
              <w:jc w:val="right"/>
              <w:rPr>
                <w:rFonts w:ascii="Arial" w:hAnsi="Arial" w:cs="Arial"/>
                <w:sz w:val="17"/>
                <w:szCs w:val="17"/>
              </w:rPr>
            </w:pPr>
            <w:r w:rsidRPr="004775A2">
              <w:rPr>
                <w:rFonts w:ascii="Arial" w:hAnsi="Arial" w:cs="Arial"/>
                <w:sz w:val="17"/>
                <w:szCs w:val="17"/>
              </w:rPr>
              <w:t xml:space="preserve"> 445.908 </w:t>
            </w:r>
          </w:p>
        </w:tc>
        <w:tc>
          <w:tcPr>
            <w:tcW w:w="1077" w:type="dxa"/>
            <w:tcBorders>
              <w:top w:val="nil"/>
              <w:left w:val="nil"/>
              <w:bottom w:val="nil"/>
              <w:right w:val="nil"/>
            </w:tcBorders>
            <w:shd w:val="clear" w:color="auto" w:fill="auto"/>
            <w:noWrap/>
            <w:vAlign w:val="bottom"/>
          </w:tcPr>
          <w:p w14:paraId="06DEFC0E" w14:textId="77777777" w:rsidR="009735C3" w:rsidRPr="004775A2" w:rsidRDefault="009735C3" w:rsidP="0034622E">
            <w:pPr>
              <w:jc w:val="right"/>
              <w:rPr>
                <w:rFonts w:ascii="Arial" w:hAnsi="Arial" w:cs="Arial"/>
                <w:sz w:val="17"/>
                <w:szCs w:val="17"/>
              </w:rPr>
            </w:pPr>
            <w:r w:rsidRPr="004775A2">
              <w:rPr>
                <w:rFonts w:ascii="Arial" w:hAnsi="Arial" w:cs="Arial"/>
                <w:sz w:val="17"/>
                <w:szCs w:val="17"/>
              </w:rPr>
              <w:t xml:space="preserve"> 21.676 </w:t>
            </w:r>
          </w:p>
        </w:tc>
        <w:tc>
          <w:tcPr>
            <w:tcW w:w="1152" w:type="dxa"/>
            <w:tcBorders>
              <w:top w:val="nil"/>
              <w:left w:val="nil"/>
              <w:bottom w:val="nil"/>
              <w:right w:val="nil"/>
            </w:tcBorders>
            <w:shd w:val="clear" w:color="auto" w:fill="auto"/>
            <w:noWrap/>
            <w:vAlign w:val="bottom"/>
          </w:tcPr>
          <w:p w14:paraId="3378593D" w14:textId="77777777" w:rsidR="009735C3" w:rsidRPr="004775A2" w:rsidRDefault="009735C3" w:rsidP="0034622E">
            <w:pPr>
              <w:jc w:val="right"/>
              <w:rPr>
                <w:rFonts w:ascii="Arial" w:hAnsi="Arial" w:cs="Arial"/>
                <w:sz w:val="17"/>
                <w:szCs w:val="17"/>
              </w:rPr>
            </w:pPr>
            <w:r w:rsidRPr="004775A2">
              <w:rPr>
                <w:rFonts w:ascii="Arial" w:hAnsi="Arial" w:cs="Arial"/>
                <w:sz w:val="17"/>
                <w:szCs w:val="17"/>
              </w:rPr>
              <w:t xml:space="preserve"> 25.014 </w:t>
            </w:r>
          </w:p>
        </w:tc>
        <w:tc>
          <w:tcPr>
            <w:tcW w:w="1002" w:type="dxa"/>
            <w:tcBorders>
              <w:top w:val="nil"/>
              <w:left w:val="nil"/>
              <w:bottom w:val="nil"/>
              <w:right w:val="nil"/>
            </w:tcBorders>
            <w:vAlign w:val="bottom"/>
          </w:tcPr>
          <w:p w14:paraId="2B043CD2" w14:textId="77777777" w:rsidR="009735C3" w:rsidRPr="004775A2" w:rsidRDefault="009735C3" w:rsidP="0034622E">
            <w:pPr>
              <w:jc w:val="right"/>
              <w:rPr>
                <w:rFonts w:ascii="Arial" w:hAnsi="Arial" w:cs="Arial"/>
                <w:sz w:val="17"/>
                <w:szCs w:val="17"/>
              </w:rPr>
            </w:pPr>
            <w:r w:rsidRPr="004775A2">
              <w:rPr>
                <w:rFonts w:ascii="Arial" w:hAnsi="Arial" w:cs="Arial"/>
                <w:sz w:val="17"/>
                <w:szCs w:val="17"/>
              </w:rPr>
              <w:t>-</w:t>
            </w:r>
          </w:p>
        </w:tc>
        <w:tc>
          <w:tcPr>
            <w:tcW w:w="1077" w:type="dxa"/>
            <w:tcBorders>
              <w:top w:val="nil"/>
              <w:left w:val="nil"/>
              <w:bottom w:val="nil"/>
              <w:right w:val="nil"/>
            </w:tcBorders>
            <w:shd w:val="clear" w:color="auto" w:fill="auto"/>
            <w:noWrap/>
            <w:vAlign w:val="bottom"/>
          </w:tcPr>
          <w:p w14:paraId="5C9E1EF3" w14:textId="77777777" w:rsidR="009735C3" w:rsidRPr="004775A2" w:rsidRDefault="009735C3" w:rsidP="0034622E">
            <w:pPr>
              <w:jc w:val="right"/>
              <w:rPr>
                <w:rFonts w:ascii="Arial" w:hAnsi="Arial" w:cs="Arial"/>
                <w:sz w:val="17"/>
                <w:szCs w:val="17"/>
              </w:rPr>
            </w:pPr>
            <w:r w:rsidRPr="004775A2">
              <w:rPr>
                <w:rFonts w:ascii="Arial" w:hAnsi="Arial" w:cs="Arial"/>
                <w:sz w:val="17"/>
                <w:szCs w:val="17"/>
              </w:rPr>
              <w:t xml:space="preserve"> 13.014 </w:t>
            </w:r>
          </w:p>
        </w:tc>
        <w:tc>
          <w:tcPr>
            <w:tcW w:w="1247" w:type="dxa"/>
            <w:tcBorders>
              <w:top w:val="nil"/>
              <w:left w:val="nil"/>
              <w:bottom w:val="nil"/>
              <w:right w:val="nil"/>
            </w:tcBorders>
            <w:vAlign w:val="bottom"/>
          </w:tcPr>
          <w:p w14:paraId="3916483D" w14:textId="77777777" w:rsidR="009735C3" w:rsidRPr="004775A2" w:rsidRDefault="009735C3" w:rsidP="0034622E">
            <w:pPr>
              <w:jc w:val="right"/>
              <w:rPr>
                <w:rFonts w:ascii="Arial" w:hAnsi="Arial" w:cs="Arial"/>
                <w:sz w:val="17"/>
                <w:szCs w:val="17"/>
              </w:rPr>
            </w:pPr>
            <w:r w:rsidRPr="004775A2">
              <w:rPr>
                <w:rFonts w:ascii="Arial" w:hAnsi="Arial" w:cs="Arial"/>
                <w:sz w:val="17"/>
                <w:szCs w:val="17"/>
              </w:rPr>
              <w:t xml:space="preserve"> - </w:t>
            </w:r>
          </w:p>
        </w:tc>
        <w:tc>
          <w:tcPr>
            <w:tcW w:w="1077" w:type="dxa"/>
            <w:tcBorders>
              <w:top w:val="nil"/>
              <w:left w:val="nil"/>
              <w:bottom w:val="nil"/>
              <w:right w:val="nil"/>
            </w:tcBorders>
            <w:shd w:val="clear" w:color="auto" w:fill="auto"/>
            <w:noWrap/>
            <w:vAlign w:val="bottom"/>
          </w:tcPr>
          <w:p w14:paraId="26DE1E95" w14:textId="77777777" w:rsidR="009735C3" w:rsidRPr="004775A2" w:rsidRDefault="009735C3" w:rsidP="0034622E">
            <w:pPr>
              <w:jc w:val="right"/>
              <w:rPr>
                <w:rFonts w:ascii="Arial" w:hAnsi="Arial" w:cs="Arial"/>
                <w:b/>
                <w:bCs/>
                <w:sz w:val="17"/>
                <w:szCs w:val="17"/>
              </w:rPr>
            </w:pPr>
            <w:r w:rsidRPr="004775A2">
              <w:rPr>
                <w:rFonts w:ascii="Arial" w:hAnsi="Arial" w:cs="Arial"/>
                <w:b/>
                <w:bCs/>
                <w:sz w:val="17"/>
                <w:szCs w:val="17"/>
              </w:rPr>
              <w:t xml:space="preserve"> 505.612 </w:t>
            </w:r>
          </w:p>
        </w:tc>
      </w:tr>
      <w:tr w:rsidR="009735C3" w:rsidRPr="004775A2" w14:paraId="19984C9A" w14:textId="77777777" w:rsidTr="0034622E">
        <w:trPr>
          <w:trHeight w:val="337"/>
        </w:trPr>
        <w:tc>
          <w:tcPr>
            <w:tcW w:w="1797" w:type="dxa"/>
            <w:tcBorders>
              <w:top w:val="nil"/>
              <w:left w:val="nil"/>
              <w:bottom w:val="nil"/>
              <w:right w:val="nil"/>
            </w:tcBorders>
            <w:shd w:val="clear" w:color="auto" w:fill="auto"/>
            <w:noWrap/>
            <w:vAlign w:val="bottom"/>
            <w:hideMark/>
          </w:tcPr>
          <w:p w14:paraId="11136FB4" w14:textId="77777777" w:rsidR="009735C3" w:rsidRPr="004775A2" w:rsidRDefault="009735C3" w:rsidP="0034622E">
            <w:pPr>
              <w:rPr>
                <w:rFonts w:ascii="Arial" w:hAnsi="Arial" w:cs="Arial"/>
                <w:color w:val="000000" w:themeColor="text1"/>
                <w:sz w:val="17"/>
                <w:szCs w:val="17"/>
              </w:rPr>
            </w:pPr>
            <w:r w:rsidRPr="004775A2">
              <w:rPr>
                <w:rFonts w:ascii="Arial" w:hAnsi="Arial" w:cs="Arial"/>
                <w:color w:val="000000" w:themeColor="text1"/>
                <w:sz w:val="17"/>
                <w:szCs w:val="17"/>
              </w:rPr>
              <w:t>Rezerviranja</w:t>
            </w:r>
          </w:p>
        </w:tc>
        <w:tc>
          <w:tcPr>
            <w:tcW w:w="1077" w:type="dxa"/>
            <w:tcBorders>
              <w:top w:val="nil"/>
              <w:left w:val="nil"/>
              <w:bottom w:val="nil"/>
              <w:right w:val="nil"/>
            </w:tcBorders>
            <w:shd w:val="clear" w:color="auto" w:fill="auto"/>
            <w:noWrap/>
            <w:vAlign w:val="bottom"/>
          </w:tcPr>
          <w:p w14:paraId="31B0F587" w14:textId="77777777" w:rsidR="009735C3" w:rsidRPr="004775A2" w:rsidRDefault="009735C3" w:rsidP="0034622E">
            <w:pPr>
              <w:jc w:val="right"/>
              <w:rPr>
                <w:rFonts w:ascii="Arial" w:hAnsi="Arial" w:cs="Arial"/>
                <w:sz w:val="17"/>
                <w:szCs w:val="17"/>
              </w:rPr>
            </w:pPr>
            <w:r w:rsidRPr="004775A2">
              <w:rPr>
                <w:rFonts w:ascii="Arial" w:hAnsi="Arial" w:cs="Arial"/>
                <w:sz w:val="17"/>
                <w:szCs w:val="17"/>
              </w:rPr>
              <w:t xml:space="preserve"> (4.243)</w:t>
            </w:r>
          </w:p>
        </w:tc>
        <w:tc>
          <w:tcPr>
            <w:tcW w:w="1077" w:type="dxa"/>
            <w:tcBorders>
              <w:top w:val="nil"/>
              <w:left w:val="nil"/>
              <w:bottom w:val="nil"/>
              <w:right w:val="nil"/>
            </w:tcBorders>
            <w:shd w:val="clear" w:color="auto" w:fill="auto"/>
            <w:noWrap/>
            <w:vAlign w:val="bottom"/>
          </w:tcPr>
          <w:p w14:paraId="6CC80B2A" w14:textId="77777777" w:rsidR="009735C3" w:rsidRPr="004775A2" w:rsidRDefault="009735C3" w:rsidP="0034622E">
            <w:pPr>
              <w:jc w:val="right"/>
              <w:rPr>
                <w:rFonts w:ascii="Arial" w:hAnsi="Arial" w:cs="Arial"/>
                <w:sz w:val="17"/>
                <w:szCs w:val="17"/>
              </w:rPr>
            </w:pPr>
            <w:r w:rsidRPr="004775A2">
              <w:rPr>
                <w:rFonts w:ascii="Arial" w:hAnsi="Arial" w:cs="Arial"/>
                <w:sz w:val="17"/>
                <w:szCs w:val="17"/>
              </w:rPr>
              <w:t xml:space="preserve"> (5.380)</w:t>
            </w:r>
          </w:p>
        </w:tc>
        <w:tc>
          <w:tcPr>
            <w:tcW w:w="1152" w:type="dxa"/>
            <w:tcBorders>
              <w:top w:val="nil"/>
              <w:left w:val="nil"/>
              <w:bottom w:val="nil"/>
              <w:right w:val="nil"/>
            </w:tcBorders>
            <w:shd w:val="clear" w:color="auto" w:fill="auto"/>
            <w:noWrap/>
            <w:vAlign w:val="bottom"/>
          </w:tcPr>
          <w:p w14:paraId="51614344" w14:textId="77777777" w:rsidR="009735C3" w:rsidRPr="004775A2" w:rsidRDefault="009735C3" w:rsidP="0034622E">
            <w:pPr>
              <w:jc w:val="right"/>
              <w:rPr>
                <w:rFonts w:ascii="Arial" w:hAnsi="Arial" w:cs="Arial"/>
                <w:sz w:val="17"/>
                <w:szCs w:val="17"/>
              </w:rPr>
            </w:pPr>
            <w:r w:rsidRPr="004775A2">
              <w:rPr>
                <w:rFonts w:ascii="Arial" w:hAnsi="Arial" w:cs="Arial"/>
                <w:sz w:val="17"/>
                <w:szCs w:val="17"/>
              </w:rPr>
              <w:t xml:space="preserve"> (4.574)</w:t>
            </w:r>
          </w:p>
        </w:tc>
        <w:tc>
          <w:tcPr>
            <w:tcW w:w="1002" w:type="dxa"/>
            <w:tcBorders>
              <w:top w:val="nil"/>
              <w:left w:val="nil"/>
              <w:bottom w:val="nil"/>
              <w:right w:val="nil"/>
            </w:tcBorders>
            <w:vAlign w:val="bottom"/>
          </w:tcPr>
          <w:p w14:paraId="1B5E6F08" w14:textId="77777777" w:rsidR="009735C3" w:rsidRPr="004775A2" w:rsidRDefault="009735C3" w:rsidP="0034622E">
            <w:pPr>
              <w:jc w:val="right"/>
              <w:rPr>
                <w:rFonts w:ascii="Arial" w:hAnsi="Arial" w:cs="Arial"/>
                <w:sz w:val="17"/>
                <w:szCs w:val="17"/>
              </w:rPr>
            </w:pPr>
            <w:r w:rsidRPr="004775A2">
              <w:rPr>
                <w:rFonts w:ascii="Arial" w:hAnsi="Arial" w:cs="Arial"/>
                <w:sz w:val="17"/>
                <w:szCs w:val="17"/>
              </w:rPr>
              <w:t>-</w:t>
            </w:r>
          </w:p>
        </w:tc>
        <w:tc>
          <w:tcPr>
            <w:tcW w:w="1077" w:type="dxa"/>
            <w:tcBorders>
              <w:top w:val="nil"/>
              <w:left w:val="nil"/>
              <w:bottom w:val="nil"/>
              <w:right w:val="nil"/>
            </w:tcBorders>
            <w:shd w:val="clear" w:color="auto" w:fill="auto"/>
            <w:noWrap/>
            <w:vAlign w:val="bottom"/>
          </w:tcPr>
          <w:p w14:paraId="10D64BE4" w14:textId="77777777" w:rsidR="009735C3" w:rsidRPr="004775A2" w:rsidRDefault="009735C3" w:rsidP="0034622E">
            <w:pPr>
              <w:jc w:val="right"/>
              <w:rPr>
                <w:rFonts w:ascii="Arial" w:hAnsi="Arial" w:cs="Arial"/>
                <w:sz w:val="17"/>
                <w:szCs w:val="17"/>
              </w:rPr>
            </w:pPr>
            <w:r w:rsidRPr="004775A2">
              <w:rPr>
                <w:rFonts w:ascii="Arial" w:hAnsi="Arial" w:cs="Arial"/>
                <w:sz w:val="17"/>
                <w:szCs w:val="17"/>
              </w:rPr>
              <w:t xml:space="preserve"> (440)</w:t>
            </w:r>
          </w:p>
        </w:tc>
        <w:tc>
          <w:tcPr>
            <w:tcW w:w="1247" w:type="dxa"/>
            <w:tcBorders>
              <w:top w:val="nil"/>
              <w:left w:val="nil"/>
              <w:bottom w:val="nil"/>
              <w:right w:val="nil"/>
            </w:tcBorders>
            <w:vAlign w:val="bottom"/>
          </w:tcPr>
          <w:p w14:paraId="082A3655" w14:textId="77777777" w:rsidR="009735C3" w:rsidRPr="004775A2" w:rsidRDefault="009735C3" w:rsidP="0034622E">
            <w:pPr>
              <w:jc w:val="right"/>
              <w:rPr>
                <w:rFonts w:ascii="Arial" w:hAnsi="Arial" w:cs="Arial"/>
                <w:sz w:val="17"/>
                <w:szCs w:val="17"/>
              </w:rPr>
            </w:pPr>
            <w:r w:rsidRPr="004775A2">
              <w:rPr>
                <w:rFonts w:ascii="Arial" w:hAnsi="Arial" w:cs="Arial"/>
                <w:sz w:val="17"/>
                <w:szCs w:val="17"/>
              </w:rPr>
              <w:t xml:space="preserve"> - </w:t>
            </w:r>
          </w:p>
        </w:tc>
        <w:tc>
          <w:tcPr>
            <w:tcW w:w="1077" w:type="dxa"/>
            <w:tcBorders>
              <w:top w:val="nil"/>
              <w:left w:val="nil"/>
              <w:bottom w:val="nil"/>
              <w:right w:val="nil"/>
            </w:tcBorders>
            <w:shd w:val="clear" w:color="auto" w:fill="auto"/>
            <w:noWrap/>
            <w:vAlign w:val="bottom"/>
          </w:tcPr>
          <w:p w14:paraId="56731FD0" w14:textId="77777777" w:rsidR="009735C3" w:rsidRPr="004775A2" w:rsidRDefault="009735C3" w:rsidP="0034622E">
            <w:pPr>
              <w:jc w:val="right"/>
              <w:rPr>
                <w:rFonts w:ascii="Arial" w:hAnsi="Arial" w:cs="Arial"/>
                <w:b/>
                <w:bCs/>
                <w:sz w:val="17"/>
                <w:szCs w:val="17"/>
              </w:rPr>
            </w:pPr>
            <w:r w:rsidRPr="004775A2">
              <w:rPr>
                <w:rFonts w:ascii="Arial" w:hAnsi="Arial" w:cs="Arial"/>
                <w:b/>
                <w:bCs/>
                <w:sz w:val="17"/>
                <w:szCs w:val="17"/>
              </w:rPr>
              <w:t xml:space="preserve"> (14.637)</w:t>
            </w:r>
          </w:p>
        </w:tc>
      </w:tr>
      <w:tr w:rsidR="009735C3" w:rsidRPr="004775A2" w14:paraId="1F458C2D" w14:textId="77777777" w:rsidTr="0034622E">
        <w:trPr>
          <w:trHeight w:val="355"/>
        </w:trPr>
        <w:tc>
          <w:tcPr>
            <w:tcW w:w="1797" w:type="dxa"/>
            <w:tcBorders>
              <w:top w:val="nil"/>
              <w:left w:val="nil"/>
              <w:bottom w:val="nil"/>
              <w:right w:val="nil"/>
            </w:tcBorders>
            <w:shd w:val="clear" w:color="auto" w:fill="auto"/>
            <w:noWrap/>
            <w:vAlign w:val="bottom"/>
            <w:hideMark/>
          </w:tcPr>
          <w:p w14:paraId="02BF61DA" w14:textId="77777777" w:rsidR="009735C3" w:rsidRPr="004775A2" w:rsidRDefault="009735C3" w:rsidP="0034622E">
            <w:pPr>
              <w:rPr>
                <w:rFonts w:ascii="Arial" w:hAnsi="Arial" w:cs="Arial"/>
                <w:b/>
                <w:bCs/>
                <w:color w:val="000000" w:themeColor="text1"/>
                <w:sz w:val="17"/>
                <w:szCs w:val="17"/>
              </w:rPr>
            </w:pPr>
            <w:r w:rsidRPr="004775A2">
              <w:rPr>
                <w:rFonts w:ascii="Arial" w:hAnsi="Arial" w:cs="Arial"/>
                <w:b/>
                <w:bCs/>
                <w:color w:val="000000" w:themeColor="text1"/>
                <w:sz w:val="17"/>
                <w:szCs w:val="17"/>
              </w:rPr>
              <w:t xml:space="preserve">Stanje na dan </w:t>
            </w:r>
          </w:p>
          <w:p w14:paraId="03199AA0" w14:textId="77777777" w:rsidR="009735C3" w:rsidRPr="004775A2" w:rsidRDefault="009735C3" w:rsidP="0034622E">
            <w:pPr>
              <w:rPr>
                <w:rFonts w:ascii="Arial" w:hAnsi="Arial" w:cs="Arial"/>
                <w:b/>
                <w:bCs/>
                <w:color w:val="000000" w:themeColor="text1"/>
                <w:sz w:val="17"/>
                <w:szCs w:val="17"/>
              </w:rPr>
            </w:pPr>
            <w:r w:rsidRPr="004775A2">
              <w:rPr>
                <w:rFonts w:ascii="Arial" w:hAnsi="Arial" w:cs="Arial"/>
                <w:b/>
                <w:bCs/>
                <w:color w:val="000000" w:themeColor="text1"/>
                <w:sz w:val="17"/>
                <w:szCs w:val="17"/>
              </w:rPr>
              <w:t xml:space="preserve">31. prosinca 2023.    </w:t>
            </w:r>
          </w:p>
        </w:tc>
        <w:tc>
          <w:tcPr>
            <w:tcW w:w="1077" w:type="dxa"/>
            <w:tcBorders>
              <w:top w:val="single" w:sz="4" w:space="0" w:color="auto"/>
              <w:left w:val="nil"/>
              <w:bottom w:val="single" w:sz="8" w:space="0" w:color="auto"/>
              <w:right w:val="nil"/>
            </w:tcBorders>
            <w:shd w:val="clear" w:color="auto" w:fill="auto"/>
            <w:vAlign w:val="bottom"/>
          </w:tcPr>
          <w:p w14:paraId="084DA8F9" w14:textId="77777777" w:rsidR="009735C3" w:rsidRPr="004775A2" w:rsidRDefault="009735C3" w:rsidP="0034622E">
            <w:pPr>
              <w:jc w:val="right"/>
              <w:rPr>
                <w:rFonts w:ascii="Arial" w:hAnsi="Arial" w:cs="Arial"/>
                <w:b/>
                <w:bCs/>
                <w:sz w:val="17"/>
                <w:szCs w:val="17"/>
              </w:rPr>
            </w:pPr>
            <w:r w:rsidRPr="004775A2">
              <w:rPr>
                <w:rFonts w:ascii="Arial" w:hAnsi="Arial" w:cs="Arial"/>
                <w:b/>
                <w:bCs/>
                <w:sz w:val="17"/>
                <w:szCs w:val="17"/>
              </w:rPr>
              <w:t xml:space="preserve"> 441.665 </w:t>
            </w:r>
          </w:p>
        </w:tc>
        <w:tc>
          <w:tcPr>
            <w:tcW w:w="1077" w:type="dxa"/>
            <w:tcBorders>
              <w:top w:val="single" w:sz="4" w:space="0" w:color="auto"/>
              <w:left w:val="nil"/>
              <w:bottom w:val="single" w:sz="8" w:space="0" w:color="auto"/>
              <w:right w:val="nil"/>
            </w:tcBorders>
            <w:shd w:val="clear" w:color="auto" w:fill="auto"/>
            <w:vAlign w:val="bottom"/>
          </w:tcPr>
          <w:p w14:paraId="26580F74" w14:textId="77777777" w:rsidR="009735C3" w:rsidRPr="004775A2" w:rsidRDefault="009735C3" w:rsidP="0034622E">
            <w:pPr>
              <w:jc w:val="right"/>
              <w:rPr>
                <w:rFonts w:ascii="Arial" w:hAnsi="Arial" w:cs="Arial"/>
                <w:b/>
                <w:bCs/>
                <w:sz w:val="17"/>
                <w:szCs w:val="17"/>
              </w:rPr>
            </w:pPr>
            <w:r w:rsidRPr="004775A2">
              <w:rPr>
                <w:rFonts w:ascii="Arial" w:hAnsi="Arial" w:cs="Arial"/>
                <w:b/>
                <w:bCs/>
                <w:sz w:val="17"/>
                <w:szCs w:val="17"/>
              </w:rPr>
              <w:t xml:space="preserve"> 16.296 </w:t>
            </w:r>
          </w:p>
        </w:tc>
        <w:tc>
          <w:tcPr>
            <w:tcW w:w="1152" w:type="dxa"/>
            <w:tcBorders>
              <w:top w:val="single" w:sz="4" w:space="0" w:color="auto"/>
              <w:left w:val="nil"/>
              <w:bottom w:val="single" w:sz="8" w:space="0" w:color="auto"/>
              <w:right w:val="nil"/>
            </w:tcBorders>
            <w:shd w:val="clear" w:color="auto" w:fill="auto"/>
            <w:vAlign w:val="bottom"/>
          </w:tcPr>
          <w:p w14:paraId="1B558D6F" w14:textId="77777777" w:rsidR="009735C3" w:rsidRPr="004775A2" w:rsidRDefault="009735C3" w:rsidP="0034622E">
            <w:pPr>
              <w:jc w:val="right"/>
              <w:rPr>
                <w:rFonts w:ascii="Arial" w:hAnsi="Arial" w:cs="Arial"/>
                <w:b/>
                <w:bCs/>
                <w:sz w:val="17"/>
                <w:szCs w:val="17"/>
              </w:rPr>
            </w:pPr>
            <w:r w:rsidRPr="004775A2">
              <w:rPr>
                <w:rFonts w:ascii="Arial" w:hAnsi="Arial" w:cs="Arial"/>
                <w:b/>
                <w:bCs/>
                <w:sz w:val="17"/>
                <w:szCs w:val="17"/>
              </w:rPr>
              <w:t xml:space="preserve"> 20.440 </w:t>
            </w:r>
          </w:p>
        </w:tc>
        <w:tc>
          <w:tcPr>
            <w:tcW w:w="1002" w:type="dxa"/>
            <w:tcBorders>
              <w:top w:val="single" w:sz="4" w:space="0" w:color="auto"/>
              <w:left w:val="nil"/>
              <w:bottom w:val="single" w:sz="8" w:space="0" w:color="auto"/>
              <w:right w:val="nil"/>
            </w:tcBorders>
            <w:vAlign w:val="bottom"/>
          </w:tcPr>
          <w:p w14:paraId="3C1F96BE" w14:textId="77777777" w:rsidR="009735C3" w:rsidRPr="004775A2" w:rsidRDefault="009735C3" w:rsidP="0034622E">
            <w:pPr>
              <w:jc w:val="right"/>
              <w:rPr>
                <w:rFonts w:ascii="Arial" w:hAnsi="Arial" w:cs="Arial"/>
                <w:b/>
                <w:bCs/>
                <w:sz w:val="17"/>
                <w:szCs w:val="17"/>
              </w:rPr>
            </w:pPr>
            <w:r w:rsidRPr="004775A2">
              <w:rPr>
                <w:rFonts w:ascii="Arial" w:hAnsi="Arial" w:cs="Arial"/>
                <w:b/>
                <w:bCs/>
                <w:sz w:val="17"/>
                <w:szCs w:val="17"/>
              </w:rPr>
              <w:t>-</w:t>
            </w:r>
          </w:p>
        </w:tc>
        <w:tc>
          <w:tcPr>
            <w:tcW w:w="1077" w:type="dxa"/>
            <w:tcBorders>
              <w:top w:val="single" w:sz="4" w:space="0" w:color="auto"/>
              <w:left w:val="nil"/>
              <w:bottom w:val="single" w:sz="8" w:space="0" w:color="auto"/>
              <w:right w:val="nil"/>
            </w:tcBorders>
            <w:shd w:val="clear" w:color="auto" w:fill="auto"/>
            <w:vAlign w:val="bottom"/>
          </w:tcPr>
          <w:p w14:paraId="22E6D270" w14:textId="77777777" w:rsidR="009735C3" w:rsidRPr="004775A2" w:rsidRDefault="009735C3" w:rsidP="0034622E">
            <w:pPr>
              <w:jc w:val="right"/>
              <w:rPr>
                <w:rFonts w:ascii="Arial" w:hAnsi="Arial" w:cs="Arial"/>
                <w:b/>
                <w:bCs/>
                <w:sz w:val="17"/>
                <w:szCs w:val="17"/>
              </w:rPr>
            </w:pPr>
            <w:r w:rsidRPr="004775A2">
              <w:rPr>
                <w:rFonts w:ascii="Arial" w:hAnsi="Arial" w:cs="Arial"/>
                <w:b/>
                <w:bCs/>
                <w:sz w:val="17"/>
                <w:szCs w:val="17"/>
              </w:rPr>
              <w:t xml:space="preserve"> 12.574 </w:t>
            </w:r>
          </w:p>
        </w:tc>
        <w:tc>
          <w:tcPr>
            <w:tcW w:w="1247" w:type="dxa"/>
            <w:tcBorders>
              <w:top w:val="single" w:sz="4" w:space="0" w:color="auto"/>
              <w:left w:val="nil"/>
              <w:bottom w:val="single" w:sz="8" w:space="0" w:color="auto"/>
              <w:right w:val="nil"/>
            </w:tcBorders>
            <w:vAlign w:val="bottom"/>
          </w:tcPr>
          <w:p w14:paraId="0C23DD3F" w14:textId="77777777" w:rsidR="009735C3" w:rsidRPr="004775A2" w:rsidRDefault="009735C3" w:rsidP="0034622E">
            <w:pPr>
              <w:jc w:val="right"/>
              <w:rPr>
                <w:rFonts w:ascii="Arial" w:hAnsi="Arial" w:cs="Arial"/>
                <w:b/>
                <w:bCs/>
                <w:sz w:val="17"/>
                <w:szCs w:val="17"/>
              </w:rPr>
            </w:pPr>
            <w:r w:rsidRPr="004775A2">
              <w:rPr>
                <w:rFonts w:ascii="Arial" w:hAnsi="Arial" w:cs="Arial"/>
                <w:b/>
                <w:bCs/>
                <w:sz w:val="17"/>
                <w:szCs w:val="17"/>
              </w:rPr>
              <w:t xml:space="preserve"> - </w:t>
            </w:r>
          </w:p>
        </w:tc>
        <w:tc>
          <w:tcPr>
            <w:tcW w:w="1077" w:type="dxa"/>
            <w:tcBorders>
              <w:top w:val="single" w:sz="4" w:space="0" w:color="auto"/>
              <w:left w:val="nil"/>
              <w:bottom w:val="single" w:sz="8" w:space="0" w:color="auto"/>
              <w:right w:val="nil"/>
            </w:tcBorders>
            <w:shd w:val="clear" w:color="auto" w:fill="auto"/>
            <w:vAlign w:val="bottom"/>
          </w:tcPr>
          <w:p w14:paraId="56EB6319" w14:textId="77777777" w:rsidR="009735C3" w:rsidRPr="004775A2" w:rsidRDefault="009735C3" w:rsidP="0034622E">
            <w:pPr>
              <w:jc w:val="right"/>
              <w:rPr>
                <w:rFonts w:ascii="Arial" w:hAnsi="Arial" w:cs="Arial"/>
                <w:b/>
                <w:bCs/>
                <w:sz w:val="17"/>
                <w:szCs w:val="17"/>
              </w:rPr>
            </w:pPr>
            <w:r w:rsidRPr="004775A2">
              <w:rPr>
                <w:rFonts w:ascii="Arial" w:hAnsi="Arial" w:cs="Arial"/>
                <w:b/>
                <w:bCs/>
                <w:sz w:val="17"/>
                <w:szCs w:val="17"/>
              </w:rPr>
              <w:t xml:space="preserve"> 490.975 </w:t>
            </w:r>
          </w:p>
        </w:tc>
      </w:tr>
    </w:tbl>
    <w:p w14:paraId="62A1688E" w14:textId="77777777" w:rsidR="00994783" w:rsidRPr="003D1614" w:rsidRDefault="00994783" w:rsidP="00994783">
      <w:pPr>
        <w:suppressAutoHyphens/>
        <w:autoSpaceDN w:val="0"/>
        <w:jc w:val="both"/>
        <w:outlineLvl w:val="0"/>
        <w:rPr>
          <w:rFonts w:ascii="Arial" w:eastAsia="Times New Roman" w:hAnsi="Arial" w:cs="Arial"/>
          <w:color w:val="000000" w:themeColor="text1"/>
          <w:sz w:val="20"/>
          <w:szCs w:val="20"/>
        </w:rPr>
      </w:pPr>
    </w:p>
    <w:p w14:paraId="22D4F353" w14:textId="5E877873" w:rsidR="0064018A" w:rsidRPr="003D1614" w:rsidRDefault="0064018A" w:rsidP="00994783">
      <w:pPr>
        <w:suppressAutoHyphens/>
        <w:autoSpaceDN w:val="0"/>
        <w:jc w:val="both"/>
        <w:outlineLvl w:val="0"/>
        <w:rPr>
          <w:rFonts w:ascii="Arial" w:eastAsia="Times New Roman" w:hAnsi="Arial" w:cs="Arial"/>
          <w:color w:val="000000" w:themeColor="text1"/>
          <w:sz w:val="20"/>
          <w:szCs w:val="20"/>
        </w:rPr>
      </w:pPr>
    </w:p>
    <w:p w14:paraId="34BE7326" w14:textId="77777777" w:rsidR="0064018A" w:rsidRPr="003D1614" w:rsidRDefault="0064018A" w:rsidP="00994783">
      <w:pPr>
        <w:suppressAutoHyphens/>
        <w:autoSpaceDN w:val="0"/>
        <w:jc w:val="both"/>
        <w:outlineLvl w:val="0"/>
        <w:rPr>
          <w:rFonts w:ascii="Arial" w:eastAsia="Times New Roman" w:hAnsi="Arial" w:cs="Arial"/>
          <w:color w:val="000000" w:themeColor="text1"/>
          <w:sz w:val="20"/>
          <w:szCs w:val="20"/>
        </w:rPr>
        <w:sectPr w:rsidR="0064018A" w:rsidRPr="003D1614">
          <w:pgSz w:w="11906" w:h="16838"/>
          <w:pgMar w:top="1417" w:right="1417" w:bottom="1417" w:left="1417" w:header="708" w:footer="708" w:gutter="0"/>
          <w:cols w:space="708"/>
          <w:docGrid w:linePitch="360"/>
        </w:sectPr>
      </w:pPr>
    </w:p>
    <w:p w14:paraId="0EED2B4B" w14:textId="77777777" w:rsidR="0064018A" w:rsidRPr="003D1614" w:rsidRDefault="0064018A" w:rsidP="0064018A">
      <w:pPr>
        <w:keepNext/>
        <w:suppressAutoHyphens/>
        <w:autoSpaceDN w:val="0"/>
        <w:jc w:val="both"/>
        <w:outlineLvl w:val="0"/>
        <w:rPr>
          <w:rFonts w:ascii="Arial" w:eastAsia="Times New Roman" w:hAnsi="Arial" w:cs="Arial"/>
          <w:b/>
          <w:bCs/>
          <w:color w:val="000000" w:themeColor="text1"/>
          <w:sz w:val="20"/>
          <w:szCs w:val="20"/>
        </w:rPr>
      </w:pPr>
    </w:p>
    <w:p w14:paraId="3BA29245" w14:textId="2EBBC2DB" w:rsidR="0064018A" w:rsidRPr="003D1614" w:rsidRDefault="0064018A" w:rsidP="0064018A">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1</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Garancije i preuzete obveze (nastavak)</w:t>
      </w:r>
    </w:p>
    <w:p w14:paraId="66D2397B" w14:textId="77777777" w:rsidR="0064018A" w:rsidRPr="003D1614" w:rsidRDefault="0064018A" w:rsidP="0064018A">
      <w:pPr>
        <w:suppressAutoHyphens/>
        <w:autoSpaceDN w:val="0"/>
        <w:jc w:val="both"/>
        <w:outlineLvl w:val="0"/>
        <w:rPr>
          <w:rFonts w:ascii="Arial" w:eastAsia="Times New Roman" w:hAnsi="Arial" w:cs="Arial"/>
          <w:i/>
          <w:color w:val="000000" w:themeColor="text1"/>
          <w:sz w:val="20"/>
          <w:szCs w:val="20"/>
        </w:rPr>
      </w:pPr>
    </w:p>
    <w:p w14:paraId="29F40A69" w14:textId="77777777" w:rsidR="0064018A" w:rsidRPr="003D1614" w:rsidRDefault="0064018A" w:rsidP="0064018A">
      <w:pPr>
        <w:suppressAutoHyphens/>
        <w:autoSpaceDN w:val="0"/>
        <w:jc w:val="both"/>
        <w:outlineLvl w:val="0"/>
        <w:rPr>
          <w:rFonts w:ascii="Arial" w:eastAsia="Times New Roman" w:hAnsi="Arial" w:cs="Arial"/>
          <w:i/>
          <w:color w:val="000000" w:themeColor="text1"/>
          <w:sz w:val="20"/>
          <w:szCs w:val="20"/>
        </w:rPr>
      </w:pPr>
      <w:r w:rsidRPr="003D1614">
        <w:rPr>
          <w:rFonts w:ascii="Arial" w:eastAsia="Times New Roman" w:hAnsi="Arial" w:cs="Arial"/>
          <w:i/>
          <w:color w:val="000000" w:themeColor="text1"/>
          <w:sz w:val="20"/>
          <w:szCs w:val="20"/>
        </w:rPr>
        <w:t>Garancije</w:t>
      </w:r>
    </w:p>
    <w:p w14:paraId="1240391C" w14:textId="77777777" w:rsidR="0064018A" w:rsidRPr="003D1614" w:rsidRDefault="0064018A" w:rsidP="0064018A">
      <w:pPr>
        <w:suppressAutoHyphens/>
        <w:autoSpaceDN w:val="0"/>
        <w:jc w:val="both"/>
        <w:outlineLvl w:val="0"/>
        <w:rPr>
          <w:rFonts w:ascii="Arial" w:eastAsia="Times New Roman" w:hAnsi="Arial" w:cs="Arial"/>
          <w:color w:val="000000" w:themeColor="text1"/>
          <w:sz w:val="20"/>
          <w:szCs w:val="20"/>
        </w:rPr>
      </w:pPr>
    </w:p>
    <w:p w14:paraId="44DBAE47" w14:textId="77777777" w:rsidR="0064018A" w:rsidRPr="003D1614" w:rsidRDefault="0064018A" w:rsidP="0064018A">
      <w:pPr>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Garancije i akreditivi predstavljaju obvezu Banke da izvrši plaćanja u ime klijenta u slučaju nemogućnosti klijenta da podmiri svoje obveze prema trećim stranama ili u slučaju nastanka određenih događaja, obično vezanih za izvoz i/ili uvoz dobara te za ostale ugovorene svrhe. Garancije i akreditivi nose isti kreditni rizik kao i krediti. </w:t>
      </w:r>
    </w:p>
    <w:p w14:paraId="3AB9C218" w14:textId="77777777" w:rsidR="0064018A" w:rsidRPr="003D1614" w:rsidRDefault="0064018A" w:rsidP="0064018A">
      <w:pPr>
        <w:suppressAutoHyphens/>
        <w:autoSpaceDN w:val="0"/>
        <w:jc w:val="both"/>
        <w:outlineLvl w:val="0"/>
        <w:rPr>
          <w:rFonts w:ascii="Arial" w:eastAsia="Times New Roman" w:hAnsi="Arial" w:cs="Arial"/>
          <w:bCs/>
          <w:color w:val="000000" w:themeColor="text1"/>
          <w:sz w:val="20"/>
          <w:szCs w:val="20"/>
        </w:rPr>
      </w:pPr>
    </w:p>
    <w:p w14:paraId="0357E691" w14:textId="4037ED62" w:rsidR="0064018A" w:rsidRPr="003D1614" w:rsidRDefault="0064018A" w:rsidP="0064018A">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Garancije Banke s</w:t>
      </w:r>
      <w:r w:rsidRPr="00DC3EA5">
        <w:rPr>
          <w:rFonts w:ascii="Arial" w:eastAsia="Times New Roman" w:hAnsi="Arial" w:cs="Arial"/>
          <w:color w:val="000000" w:themeColor="text1"/>
          <w:sz w:val="20"/>
          <w:szCs w:val="20"/>
        </w:rPr>
        <w:t xml:space="preserve">u </w:t>
      </w:r>
      <w:r w:rsidR="005B255F">
        <w:rPr>
          <w:rFonts w:ascii="Arial" w:eastAsia="Times New Roman" w:hAnsi="Arial" w:cs="Arial"/>
          <w:color w:val="000000" w:themeColor="text1"/>
          <w:sz w:val="20"/>
          <w:szCs w:val="20"/>
        </w:rPr>
        <w:t>2</w:t>
      </w:r>
      <w:r w:rsidRPr="003D1614">
        <w:rPr>
          <w:rFonts w:ascii="Arial" w:eastAsia="Times New Roman" w:hAnsi="Arial" w:cs="Arial"/>
          <w:color w:val="000000" w:themeColor="text1"/>
          <w:sz w:val="20"/>
          <w:szCs w:val="20"/>
        </w:rPr>
        <w:t xml:space="preserve">% pokrivene jamstvima, depozitima i bankarskim garancijama. </w:t>
      </w:r>
    </w:p>
    <w:p w14:paraId="5E3505F7" w14:textId="77777777" w:rsidR="0064018A" w:rsidRPr="003D1614" w:rsidRDefault="0064018A" w:rsidP="0064018A">
      <w:pPr>
        <w:suppressAutoHyphens/>
        <w:autoSpaceDN w:val="0"/>
        <w:jc w:val="both"/>
        <w:outlineLvl w:val="0"/>
        <w:rPr>
          <w:rFonts w:ascii="Arial" w:eastAsia="Times New Roman" w:hAnsi="Arial" w:cs="Arial"/>
          <w:color w:val="000000" w:themeColor="text1"/>
          <w:sz w:val="20"/>
          <w:szCs w:val="20"/>
        </w:rPr>
      </w:pPr>
    </w:p>
    <w:p w14:paraId="3332C4E6" w14:textId="77777777" w:rsidR="0064018A" w:rsidRPr="003D1614" w:rsidRDefault="0064018A" w:rsidP="0064018A">
      <w:pPr>
        <w:suppressAutoHyphens/>
        <w:autoSpaceDN w:val="0"/>
        <w:jc w:val="both"/>
        <w:outlineLvl w:val="0"/>
        <w:rPr>
          <w:rFonts w:ascii="Arial" w:eastAsia="Times New Roman" w:hAnsi="Arial" w:cs="Arial"/>
          <w:i/>
          <w:color w:val="000000" w:themeColor="text1"/>
          <w:sz w:val="20"/>
          <w:szCs w:val="20"/>
        </w:rPr>
      </w:pPr>
      <w:r w:rsidRPr="003D1614">
        <w:rPr>
          <w:rFonts w:ascii="Arial" w:eastAsia="Times New Roman" w:hAnsi="Arial" w:cs="Arial"/>
          <w:i/>
          <w:color w:val="000000" w:themeColor="text1"/>
          <w:sz w:val="20"/>
          <w:szCs w:val="20"/>
        </w:rPr>
        <w:t>Preuzete obveze po kreditima</w:t>
      </w:r>
    </w:p>
    <w:p w14:paraId="3DB8822C" w14:textId="77777777" w:rsidR="0064018A" w:rsidRPr="003D1614" w:rsidRDefault="0064018A" w:rsidP="0064018A">
      <w:pPr>
        <w:suppressAutoHyphens/>
        <w:autoSpaceDN w:val="0"/>
        <w:jc w:val="both"/>
        <w:outlineLvl w:val="0"/>
        <w:rPr>
          <w:rFonts w:ascii="Arial" w:eastAsia="Times New Roman" w:hAnsi="Arial" w:cs="Arial"/>
          <w:color w:val="000000" w:themeColor="text1"/>
          <w:sz w:val="20"/>
          <w:szCs w:val="20"/>
        </w:rPr>
      </w:pPr>
    </w:p>
    <w:p w14:paraId="6A66AAEC" w14:textId="77777777" w:rsidR="0064018A" w:rsidRPr="003D1614" w:rsidRDefault="0064018A" w:rsidP="0064018A">
      <w:pPr>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Po ugovorenim neiskorištenim kreditima, Banka je preuzela ugovornu obvezu za isplatom sredstava kredita i revolving kredita. Ugovorom je najčešće definiran krajnji datum korištenja kredita ili je navedena druga klauzula prestanka obveze. Korištenje ugovorenih sredstava obavlja se u nekoliko povlačenja u ovisnosti o namjeni kredita, fazi projekta ili isplatnoj dokumentaciji. Ukupni ugovoreni iznos kredita ne mora biti povučen zbog čega ukupan ugovoreni iznos ne predstavlja nužno buduće zahtjeve za isplatom.</w:t>
      </w:r>
    </w:p>
    <w:p w14:paraId="7FB810DF" w14:textId="77777777" w:rsidR="0064018A" w:rsidRPr="003D1614" w:rsidRDefault="0064018A" w:rsidP="0064018A">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Ugovoreni neiskorišteni krediti sadrže manji potencijalni kreditni rizik jer većina preuzetih obveza po kreditima ovisi o udovoljavanju posebnih kreditnih uvjeta za povlačenje sredstava od strane korisnika. </w:t>
      </w:r>
    </w:p>
    <w:p w14:paraId="536C45DA" w14:textId="77777777" w:rsidR="0064018A" w:rsidRPr="003D1614" w:rsidRDefault="0064018A" w:rsidP="0064018A">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Banka prati rokove dospijeća ugovorenih preuzetih obveza.  </w:t>
      </w:r>
    </w:p>
    <w:p w14:paraId="0E24CC4E" w14:textId="7F87F9EA" w:rsidR="0064018A" w:rsidRPr="003D1614" w:rsidRDefault="0064018A" w:rsidP="00994783">
      <w:pPr>
        <w:suppressAutoHyphens/>
        <w:autoSpaceDN w:val="0"/>
        <w:jc w:val="both"/>
        <w:outlineLvl w:val="0"/>
        <w:rPr>
          <w:rFonts w:ascii="Arial" w:eastAsia="Times New Roman" w:hAnsi="Arial" w:cs="Arial"/>
          <w:color w:val="000000" w:themeColor="text1"/>
          <w:sz w:val="20"/>
          <w:szCs w:val="20"/>
        </w:rPr>
      </w:pPr>
    </w:p>
    <w:p w14:paraId="66589D70" w14:textId="77777777" w:rsidR="0064018A" w:rsidRPr="003D1614" w:rsidRDefault="0064018A" w:rsidP="00994783">
      <w:pPr>
        <w:suppressAutoHyphens/>
        <w:autoSpaceDN w:val="0"/>
        <w:jc w:val="both"/>
        <w:outlineLvl w:val="0"/>
        <w:rPr>
          <w:rFonts w:ascii="Arial" w:eastAsia="Times New Roman" w:hAnsi="Arial" w:cs="Arial"/>
          <w:color w:val="000000" w:themeColor="text1"/>
          <w:sz w:val="20"/>
          <w:szCs w:val="20"/>
        </w:rPr>
        <w:sectPr w:rsidR="0064018A" w:rsidRPr="003D1614">
          <w:pgSz w:w="11906" w:h="16838"/>
          <w:pgMar w:top="1417" w:right="1417" w:bottom="1417" w:left="1417" w:header="708" w:footer="708" w:gutter="0"/>
          <w:cols w:space="708"/>
          <w:docGrid w:linePitch="360"/>
        </w:sectPr>
      </w:pPr>
    </w:p>
    <w:p w14:paraId="3698C2D4" w14:textId="77777777" w:rsidR="0064018A" w:rsidRPr="003D1614" w:rsidRDefault="0064018A" w:rsidP="0064018A">
      <w:pPr>
        <w:tabs>
          <w:tab w:val="left" w:pos="567"/>
        </w:tabs>
        <w:suppressAutoHyphens/>
        <w:autoSpaceDN w:val="0"/>
        <w:jc w:val="both"/>
        <w:outlineLvl w:val="0"/>
        <w:rPr>
          <w:rFonts w:ascii="Arial" w:eastAsia="Times New Roman" w:hAnsi="Arial" w:cs="Arial"/>
          <w:b/>
          <w:color w:val="000000" w:themeColor="text1"/>
          <w:sz w:val="20"/>
          <w:szCs w:val="20"/>
        </w:rPr>
      </w:pPr>
    </w:p>
    <w:p w14:paraId="1D7715DC" w14:textId="4DDD6132" w:rsidR="0064018A" w:rsidRPr="003D1614" w:rsidRDefault="0064018A" w:rsidP="0064018A">
      <w:pPr>
        <w:tabs>
          <w:tab w:val="left" w:pos="567"/>
        </w:tabs>
        <w:suppressAutoHyphens/>
        <w:autoSpaceDN w:val="0"/>
        <w:jc w:val="both"/>
        <w:outlineLvl w:val="0"/>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2</w:t>
      </w:r>
      <w:r w:rsidR="000E693B">
        <w:rPr>
          <w:rFonts w:ascii="Arial" w:eastAsia="Times New Roman" w:hAnsi="Arial" w:cs="Arial"/>
          <w:b/>
          <w:color w:val="000000" w:themeColor="text1"/>
          <w:sz w:val="20"/>
          <w:szCs w:val="20"/>
        </w:rPr>
        <w:t>2</w:t>
      </w:r>
      <w:r w:rsidRPr="003D1614">
        <w:rPr>
          <w:rFonts w:ascii="Arial" w:eastAsia="Times New Roman" w:hAnsi="Arial" w:cs="Arial"/>
          <w:b/>
          <w:color w:val="000000" w:themeColor="text1"/>
          <w:sz w:val="20"/>
          <w:szCs w:val="20"/>
        </w:rPr>
        <w:t>.</w:t>
      </w:r>
      <w:r w:rsidRPr="003D1614">
        <w:rPr>
          <w:rFonts w:ascii="Arial" w:eastAsia="Times New Roman" w:hAnsi="Arial" w:cs="Arial"/>
          <w:b/>
          <w:color w:val="000000" w:themeColor="text1"/>
          <w:sz w:val="20"/>
          <w:szCs w:val="20"/>
        </w:rPr>
        <w:tab/>
        <w:t>Transakcije s povezanim stranama</w:t>
      </w:r>
    </w:p>
    <w:p w14:paraId="7C8E6066" w14:textId="77777777" w:rsidR="0064018A" w:rsidRPr="003D1614" w:rsidRDefault="0064018A" w:rsidP="0064018A">
      <w:pPr>
        <w:suppressAutoHyphens/>
        <w:autoSpaceDN w:val="0"/>
        <w:jc w:val="both"/>
        <w:outlineLvl w:val="0"/>
        <w:rPr>
          <w:rFonts w:ascii="Arial" w:eastAsia="Times New Roman" w:hAnsi="Arial" w:cs="Arial"/>
          <w:b/>
          <w:color w:val="000000" w:themeColor="text1"/>
          <w:sz w:val="20"/>
          <w:szCs w:val="20"/>
        </w:rPr>
      </w:pPr>
    </w:p>
    <w:p w14:paraId="7D153431" w14:textId="77777777" w:rsidR="0064018A" w:rsidRPr="003D1614" w:rsidRDefault="0064018A" w:rsidP="0064018A">
      <w:pPr>
        <w:keepNext/>
        <w:suppressAutoHyphens/>
        <w:autoSpaceDN w:val="0"/>
        <w:jc w:val="both"/>
        <w:outlineLvl w:val="0"/>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Povezane strane su društva koja izravno ili neizravno putem jednog ili više posrednika kontroliraju izvještajno društvo ili su pod njegovom kontrolom.</w:t>
      </w:r>
    </w:p>
    <w:p w14:paraId="318047D8" w14:textId="77777777" w:rsidR="0064018A" w:rsidRPr="003D1614" w:rsidRDefault="0064018A" w:rsidP="0064018A">
      <w:pPr>
        <w:keepNext/>
        <w:suppressAutoHyphens/>
        <w:autoSpaceDN w:val="0"/>
        <w:jc w:val="both"/>
        <w:outlineLvl w:val="0"/>
        <w:rPr>
          <w:rFonts w:ascii="Arial" w:eastAsia="Times New Roman" w:hAnsi="Arial" w:cs="Arial"/>
          <w:bCs/>
          <w:color w:val="000000" w:themeColor="text1"/>
          <w:sz w:val="20"/>
          <w:szCs w:val="20"/>
        </w:rPr>
      </w:pPr>
    </w:p>
    <w:p w14:paraId="2150EFAE" w14:textId="77777777" w:rsidR="0064018A" w:rsidRPr="003D1614" w:rsidRDefault="0064018A" w:rsidP="0064018A">
      <w:pPr>
        <w:keepNext/>
        <w:suppressAutoHyphens/>
        <w:autoSpaceDN w:val="0"/>
        <w:jc w:val="both"/>
        <w:outlineLvl w:val="0"/>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Najveći dio transakcija s povezanim stranama čine transakcije s Republikom Hrvatskom, 100%-tnim vlasnikom Banke i državnim trgovačkim društvima nad kojima Republika Hrvatska ima kontrolni utjecaj.</w:t>
      </w:r>
    </w:p>
    <w:p w14:paraId="3907A141" w14:textId="77777777" w:rsidR="0064018A" w:rsidRPr="003D1614" w:rsidRDefault="0064018A" w:rsidP="0064018A">
      <w:pPr>
        <w:keepNext/>
        <w:suppressAutoHyphens/>
        <w:autoSpaceDN w:val="0"/>
        <w:jc w:val="both"/>
        <w:outlineLvl w:val="0"/>
        <w:rPr>
          <w:rFonts w:ascii="Arial" w:eastAsia="Times New Roman" w:hAnsi="Arial" w:cs="Arial"/>
          <w:bCs/>
          <w:color w:val="000000" w:themeColor="text1"/>
          <w:sz w:val="20"/>
          <w:szCs w:val="20"/>
        </w:rPr>
      </w:pPr>
    </w:p>
    <w:p w14:paraId="74C2198B" w14:textId="77777777" w:rsidR="0064018A" w:rsidRPr="003D1614" w:rsidRDefault="0064018A" w:rsidP="0064018A">
      <w:pPr>
        <w:keepNext/>
        <w:suppressAutoHyphens/>
        <w:autoSpaceDN w:val="0"/>
        <w:jc w:val="both"/>
        <w:outlineLvl w:val="0"/>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 xml:space="preserve">Sve iskazane transakcije obavljene su po uobičajenim/redovnim uvjetima Banke. </w:t>
      </w:r>
    </w:p>
    <w:p w14:paraId="555AEF04" w14:textId="77777777" w:rsidR="0064018A" w:rsidRPr="003D1614" w:rsidRDefault="0064018A" w:rsidP="0064018A">
      <w:pPr>
        <w:keepNext/>
        <w:suppressAutoHyphens/>
        <w:autoSpaceDN w:val="0"/>
        <w:jc w:val="both"/>
        <w:outlineLvl w:val="0"/>
        <w:rPr>
          <w:rFonts w:ascii="Arial" w:eastAsia="Times New Roman" w:hAnsi="Arial" w:cs="Arial"/>
          <w:bCs/>
          <w:color w:val="000000" w:themeColor="text1"/>
          <w:sz w:val="20"/>
          <w:szCs w:val="20"/>
        </w:rPr>
      </w:pPr>
    </w:p>
    <w:p w14:paraId="1C9060AB" w14:textId="52790447" w:rsidR="0064018A" w:rsidRPr="003D1614" w:rsidRDefault="0064018A" w:rsidP="0064018A">
      <w:pPr>
        <w:keepNext/>
        <w:suppressAutoHyphens/>
        <w:autoSpaceDN w:val="0"/>
        <w:jc w:val="both"/>
        <w:outlineLvl w:val="0"/>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 xml:space="preserve">Na dan </w:t>
      </w:r>
      <w:r w:rsidR="000B6EE4" w:rsidRPr="003D1614">
        <w:rPr>
          <w:rFonts w:ascii="Arial" w:eastAsia="Times New Roman" w:hAnsi="Arial" w:cs="Arial"/>
          <w:bCs/>
          <w:color w:val="000000" w:themeColor="text1"/>
          <w:sz w:val="20"/>
          <w:szCs w:val="20"/>
        </w:rPr>
        <w:t>3</w:t>
      </w:r>
      <w:r w:rsidR="000B6EE4">
        <w:rPr>
          <w:rFonts w:ascii="Arial" w:eastAsia="Times New Roman" w:hAnsi="Arial" w:cs="Arial"/>
          <w:bCs/>
          <w:color w:val="000000" w:themeColor="text1"/>
          <w:sz w:val="20"/>
          <w:szCs w:val="20"/>
        </w:rPr>
        <w:t>0</w:t>
      </w:r>
      <w:r w:rsidRPr="003D1614">
        <w:rPr>
          <w:rFonts w:ascii="Arial" w:eastAsia="Times New Roman" w:hAnsi="Arial" w:cs="Arial"/>
          <w:bCs/>
          <w:color w:val="000000" w:themeColor="text1"/>
          <w:sz w:val="20"/>
          <w:szCs w:val="20"/>
        </w:rPr>
        <w:t xml:space="preserve">. </w:t>
      </w:r>
      <w:r w:rsidR="000C45E2">
        <w:rPr>
          <w:rFonts w:ascii="Arial" w:eastAsia="Times New Roman" w:hAnsi="Arial" w:cs="Arial"/>
          <w:bCs/>
          <w:color w:val="000000" w:themeColor="text1"/>
          <w:sz w:val="20"/>
          <w:szCs w:val="20"/>
        </w:rPr>
        <w:t>rujna</w:t>
      </w:r>
      <w:r w:rsidR="000B6EE4" w:rsidRPr="003D1614">
        <w:rPr>
          <w:rFonts w:ascii="Arial" w:eastAsia="Times New Roman" w:hAnsi="Arial" w:cs="Arial"/>
          <w:bCs/>
          <w:color w:val="000000" w:themeColor="text1"/>
          <w:sz w:val="20"/>
          <w:szCs w:val="20"/>
        </w:rPr>
        <w:t xml:space="preserve"> </w:t>
      </w:r>
      <w:r w:rsidRPr="003D1614">
        <w:rPr>
          <w:rFonts w:ascii="Arial" w:eastAsia="Times New Roman" w:hAnsi="Arial" w:cs="Arial"/>
          <w:bCs/>
          <w:color w:val="000000" w:themeColor="text1"/>
          <w:sz w:val="20"/>
          <w:szCs w:val="20"/>
        </w:rPr>
        <w:t>202</w:t>
      </w:r>
      <w:r w:rsidR="00C76205">
        <w:rPr>
          <w:rFonts w:ascii="Arial" w:eastAsia="Times New Roman" w:hAnsi="Arial" w:cs="Arial"/>
          <w:bCs/>
          <w:color w:val="000000" w:themeColor="text1"/>
          <w:sz w:val="20"/>
          <w:szCs w:val="20"/>
        </w:rPr>
        <w:t>4</w:t>
      </w:r>
      <w:r w:rsidRPr="003D1614">
        <w:rPr>
          <w:rFonts w:ascii="Arial" w:eastAsia="Times New Roman" w:hAnsi="Arial" w:cs="Arial"/>
          <w:bCs/>
          <w:color w:val="000000" w:themeColor="text1"/>
          <w:sz w:val="20"/>
          <w:szCs w:val="20"/>
        </w:rPr>
        <w:t>. i 31. prosinca 202</w:t>
      </w:r>
      <w:r w:rsidR="00C76205">
        <w:rPr>
          <w:rFonts w:ascii="Arial" w:eastAsia="Times New Roman" w:hAnsi="Arial" w:cs="Arial"/>
          <w:bCs/>
          <w:color w:val="000000" w:themeColor="text1"/>
          <w:sz w:val="20"/>
          <w:szCs w:val="20"/>
        </w:rPr>
        <w:t>3</w:t>
      </w:r>
      <w:r w:rsidRPr="003D1614">
        <w:rPr>
          <w:rFonts w:ascii="Arial" w:eastAsia="Times New Roman" w:hAnsi="Arial" w:cs="Arial"/>
          <w:bCs/>
          <w:color w:val="000000" w:themeColor="text1"/>
          <w:sz w:val="20"/>
          <w:szCs w:val="20"/>
        </w:rPr>
        <w:t xml:space="preserve">., stanja koja proizlaze iz transakcija s povezanim stranama, uključujući ključne članove rukovodstva, obuhvaćaju sljedeće: </w:t>
      </w:r>
    </w:p>
    <w:p w14:paraId="69D94F65" w14:textId="77777777" w:rsidR="0064018A" w:rsidRPr="003D1614" w:rsidRDefault="0064018A" w:rsidP="0064018A">
      <w:pPr>
        <w:keepNext/>
        <w:suppressAutoHyphens/>
        <w:autoSpaceDN w:val="0"/>
        <w:jc w:val="both"/>
        <w:outlineLvl w:val="0"/>
        <w:rPr>
          <w:rFonts w:ascii="Arial" w:eastAsia="Times New Roman" w:hAnsi="Arial" w:cs="Arial"/>
          <w:bCs/>
          <w:color w:val="000000" w:themeColor="text1"/>
          <w:sz w:val="20"/>
          <w:szCs w:val="20"/>
        </w:rPr>
      </w:pPr>
    </w:p>
    <w:p w14:paraId="50C7B646" w14:textId="77777777" w:rsidR="0064018A" w:rsidRPr="003D1614" w:rsidRDefault="0064018A" w:rsidP="0064018A">
      <w:pPr>
        <w:keepNext/>
        <w:numPr>
          <w:ilvl w:val="0"/>
          <w:numId w:val="8"/>
        </w:numPr>
        <w:suppressAutoHyphens/>
        <w:autoSpaceDN w:val="0"/>
        <w:ind w:left="567" w:hanging="567"/>
        <w:jc w:val="both"/>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Transakcije s povezanim stranama</w:t>
      </w:r>
    </w:p>
    <w:p w14:paraId="18A87A71" w14:textId="77777777" w:rsidR="0064018A" w:rsidRPr="003D1614" w:rsidRDefault="0064018A" w:rsidP="0064018A">
      <w:pPr>
        <w:keepNext/>
        <w:suppressAutoHyphens/>
        <w:autoSpaceDN w:val="0"/>
        <w:ind w:left="357"/>
        <w:jc w:val="both"/>
        <w:outlineLvl w:val="0"/>
        <w:rPr>
          <w:rFonts w:ascii="Arial" w:eastAsia="Times New Roman" w:hAnsi="Arial" w:cs="Arial"/>
          <w:bCs/>
          <w:color w:val="000000" w:themeColor="text1"/>
          <w:sz w:val="20"/>
          <w:szCs w:val="20"/>
        </w:rPr>
      </w:pPr>
    </w:p>
    <w:p w14:paraId="126E00D1" w14:textId="77777777" w:rsidR="0064018A" w:rsidRPr="003D1614" w:rsidRDefault="0064018A" w:rsidP="0064018A">
      <w:pPr>
        <w:keepNext/>
        <w:suppressAutoHyphens/>
        <w:autoSpaceDN w:val="0"/>
        <w:ind w:left="357"/>
        <w:jc w:val="both"/>
        <w:outlineLvl w:val="0"/>
        <w:rPr>
          <w:rFonts w:ascii="Arial" w:eastAsia="Times New Roman" w:hAnsi="Arial" w:cs="Arial"/>
          <w:bCs/>
          <w:color w:val="000000" w:themeColor="text1"/>
          <w:sz w:val="20"/>
          <w:szCs w:val="20"/>
        </w:rPr>
      </w:pPr>
    </w:p>
    <w:tbl>
      <w:tblPr>
        <w:tblW w:w="4886" w:type="pct"/>
        <w:jc w:val="center"/>
        <w:tblLayout w:type="fixed"/>
        <w:tblCellMar>
          <w:left w:w="113" w:type="dxa"/>
          <w:right w:w="85" w:type="dxa"/>
        </w:tblCellMar>
        <w:tblLook w:val="00A0" w:firstRow="1" w:lastRow="0" w:firstColumn="1" w:lastColumn="0" w:noHBand="0" w:noVBand="0"/>
      </w:tblPr>
      <w:tblGrid>
        <w:gridCol w:w="3637"/>
        <w:gridCol w:w="1304"/>
        <w:gridCol w:w="1303"/>
        <w:gridCol w:w="1307"/>
        <w:gridCol w:w="1314"/>
      </w:tblGrid>
      <w:tr w:rsidR="0064018A" w:rsidRPr="00A3297B" w14:paraId="46ABB2C3" w14:textId="77777777" w:rsidTr="00B078E4">
        <w:trPr>
          <w:trHeight w:hRule="exact" w:val="284"/>
          <w:jc w:val="center"/>
        </w:trPr>
        <w:tc>
          <w:tcPr>
            <w:tcW w:w="3637" w:type="dxa"/>
            <w:vAlign w:val="bottom"/>
          </w:tcPr>
          <w:p w14:paraId="21221B82" w14:textId="77777777" w:rsidR="0064018A" w:rsidRPr="00A3297B" w:rsidRDefault="0064018A" w:rsidP="0064018A">
            <w:pPr>
              <w:tabs>
                <w:tab w:val="right" w:pos="1202"/>
              </w:tabs>
              <w:suppressAutoHyphens/>
              <w:autoSpaceDN w:val="0"/>
              <w:outlineLvl w:val="0"/>
              <w:rPr>
                <w:rFonts w:ascii="Arial" w:eastAsia="Calibri" w:hAnsi="Arial" w:cs="Arial"/>
                <w:color w:val="000000" w:themeColor="text1"/>
                <w:sz w:val="18"/>
                <w:szCs w:val="18"/>
              </w:rPr>
            </w:pPr>
            <w:bookmarkStart w:id="503" w:name="_Toc67328969"/>
            <w:r w:rsidRPr="00A3297B">
              <w:rPr>
                <w:rFonts w:ascii="Arial" w:eastAsia="Calibri" w:hAnsi="Arial" w:cs="Arial"/>
                <w:b/>
                <w:color w:val="000000" w:themeColor="text1"/>
                <w:sz w:val="18"/>
                <w:szCs w:val="18"/>
              </w:rPr>
              <w:t>Grupa</w:t>
            </w:r>
            <w:bookmarkEnd w:id="503"/>
          </w:p>
        </w:tc>
        <w:tc>
          <w:tcPr>
            <w:tcW w:w="1304" w:type="dxa"/>
            <w:vAlign w:val="bottom"/>
          </w:tcPr>
          <w:p w14:paraId="34860BF1" w14:textId="77777777" w:rsidR="0064018A" w:rsidRPr="00A3297B" w:rsidRDefault="0064018A"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504" w:name="_Toc67328970"/>
            <w:r w:rsidRPr="00A3297B">
              <w:rPr>
                <w:rFonts w:ascii="Arial" w:eastAsia="Calibri" w:hAnsi="Arial" w:cs="Arial"/>
                <w:b/>
                <w:bCs/>
                <w:iCs/>
                <w:color w:val="000000" w:themeColor="text1"/>
                <w:sz w:val="18"/>
                <w:szCs w:val="18"/>
              </w:rPr>
              <w:t>Izloženost</w:t>
            </w:r>
            <w:bookmarkEnd w:id="504"/>
          </w:p>
        </w:tc>
        <w:tc>
          <w:tcPr>
            <w:tcW w:w="1303" w:type="dxa"/>
            <w:vAlign w:val="bottom"/>
          </w:tcPr>
          <w:p w14:paraId="1584DB7E" w14:textId="77777777" w:rsidR="0064018A" w:rsidRPr="00A3297B" w:rsidRDefault="0064018A"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505" w:name="_Toc67328971"/>
            <w:r w:rsidRPr="00A3297B">
              <w:rPr>
                <w:rFonts w:ascii="Arial" w:eastAsia="Calibri" w:hAnsi="Arial" w:cs="Arial"/>
                <w:b/>
                <w:bCs/>
                <w:iCs/>
                <w:color w:val="000000" w:themeColor="text1"/>
                <w:sz w:val="18"/>
                <w:szCs w:val="18"/>
              </w:rPr>
              <w:t>Obveze</w:t>
            </w:r>
            <w:bookmarkEnd w:id="505"/>
          </w:p>
        </w:tc>
        <w:tc>
          <w:tcPr>
            <w:tcW w:w="1307" w:type="dxa"/>
            <w:vAlign w:val="bottom"/>
          </w:tcPr>
          <w:p w14:paraId="24E53A6E" w14:textId="77777777" w:rsidR="0064018A" w:rsidRPr="00A3297B" w:rsidRDefault="0064018A"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506" w:name="_Toc67328972"/>
            <w:r w:rsidRPr="00A3297B">
              <w:rPr>
                <w:rFonts w:ascii="Arial" w:eastAsia="Calibri" w:hAnsi="Arial" w:cs="Arial"/>
                <w:b/>
                <w:bCs/>
                <w:iCs/>
                <w:color w:val="000000" w:themeColor="text1"/>
                <w:sz w:val="18"/>
                <w:szCs w:val="18"/>
              </w:rPr>
              <w:t>Izloženost</w:t>
            </w:r>
            <w:bookmarkEnd w:id="506"/>
          </w:p>
        </w:tc>
        <w:tc>
          <w:tcPr>
            <w:tcW w:w="1314" w:type="dxa"/>
            <w:vAlign w:val="bottom"/>
          </w:tcPr>
          <w:p w14:paraId="08FF56A5" w14:textId="77777777" w:rsidR="0064018A" w:rsidRPr="00A3297B" w:rsidRDefault="0064018A"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507" w:name="_Toc67328973"/>
            <w:r w:rsidRPr="00A3297B">
              <w:rPr>
                <w:rFonts w:ascii="Arial" w:eastAsia="Calibri" w:hAnsi="Arial" w:cs="Arial"/>
                <w:b/>
                <w:bCs/>
                <w:iCs/>
                <w:color w:val="000000" w:themeColor="text1"/>
                <w:sz w:val="18"/>
                <w:szCs w:val="18"/>
              </w:rPr>
              <w:t>Obveze</w:t>
            </w:r>
            <w:bookmarkEnd w:id="507"/>
          </w:p>
        </w:tc>
      </w:tr>
      <w:tr w:rsidR="0064018A" w:rsidRPr="00A3297B" w14:paraId="7E6644D4" w14:textId="77777777" w:rsidTr="00B078E4">
        <w:trPr>
          <w:trHeight w:hRule="exact" w:val="454"/>
          <w:jc w:val="center"/>
        </w:trPr>
        <w:tc>
          <w:tcPr>
            <w:tcW w:w="3637" w:type="dxa"/>
            <w:vAlign w:val="bottom"/>
          </w:tcPr>
          <w:p w14:paraId="43F5ACDE" w14:textId="77777777" w:rsidR="0064018A" w:rsidRPr="00A3297B" w:rsidRDefault="0064018A" w:rsidP="0064018A">
            <w:pPr>
              <w:tabs>
                <w:tab w:val="right" w:pos="1202"/>
              </w:tabs>
              <w:suppressAutoHyphens/>
              <w:autoSpaceDN w:val="0"/>
              <w:outlineLvl w:val="0"/>
              <w:rPr>
                <w:rFonts w:ascii="Arial" w:eastAsia="Calibri" w:hAnsi="Arial" w:cs="Arial"/>
                <w:color w:val="000000" w:themeColor="text1"/>
                <w:sz w:val="18"/>
                <w:szCs w:val="18"/>
              </w:rPr>
            </w:pPr>
          </w:p>
        </w:tc>
        <w:tc>
          <w:tcPr>
            <w:tcW w:w="1304" w:type="dxa"/>
            <w:vAlign w:val="bottom"/>
          </w:tcPr>
          <w:p w14:paraId="42F5AC2C" w14:textId="26EFB4A0" w:rsidR="0064018A" w:rsidRPr="00A3297B" w:rsidRDefault="002C0DB3" w:rsidP="0064018A">
            <w:pPr>
              <w:tabs>
                <w:tab w:val="right" w:pos="1202"/>
              </w:tabs>
              <w:suppressAutoHyphens/>
              <w:autoSpaceDN w:val="0"/>
              <w:jc w:val="right"/>
              <w:outlineLvl w:val="0"/>
              <w:rPr>
                <w:rFonts w:ascii="Arial" w:eastAsia="Calibri" w:hAnsi="Arial" w:cs="Arial"/>
                <w:b/>
                <w:bCs/>
                <w:iCs/>
                <w:color w:val="000000" w:themeColor="text1"/>
                <w:sz w:val="18"/>
                <w:szCs w:val="18"/>
              </w:rPr>
            </w:pPr>
            <w:r w:rsidRPr="002C0DB3">
              <w:rPr>
                <w:rFonts w:ascii="Arial" w:eastAsia="Calibri" w:hAnsi="Arial" w:cs="Arial"/>
                <w:b/>
                <w:bCs/>
                <w:iCs/>
                <w:color w:val="000000" w:themeColor="text1"/>
                <w:sz w:val="18"/>
                <w:szCs w:val="18"/>
              </w:rPr>
              <w:t>30. rujna 202</w:t>
            </w:r>
            <w:r w:rsidR="008002D1">
              <w:rPr>
                <w:rFonts w:ascii="Arial" w:eastAsia="Calibri" w:hAnsi="Arial" w:cs="Arial"/>
                <w:b/>
                <w:bCs/>
                <w:iCs/>
                <w:color w:val="000000" w:themeColor="text1"/>
                <w:sz w:val="18"/>
                <w:szCs w:val="18"/>
              </w:rPr>
              <w:t>4</w:t>
            </w:r>
            <w:r w:rsidRPr="002C0DB3">
              <w:rPr>
                <w:rFonts w:ascii="Arial" w:eastAsia="Calibri" w:hAnsi="Arial" w:cs="Arial"/>
                <w:b/>
                <w:bCs/>
                <w:iCs/>
                <w:color w:val="000000" w:themeColor="text1"/>
                <w:sz w:val="18"/>
                <w:szCs w:val="18"/>
              </w:rPr>
              <w:t>.</w:t>
            </w:r>
          </w:p>
        </w:tc>
        <w:tc>
          <w:tcPr>
            <w:tcW w:w="1303" w:type="dxa"/>
            <w:vAlign w:val="bottom"/>
          </w:tcPr>
          <w:p w14:paraId="65DAE08F" w14:textId="447E5618" w:rsidR="0064018A" w:rsidRPr="00A3297B" w:rsidRDefault="002C0DB3" w:rsidP="0064018A">
            <w:pPr>
              <w:tabs>
                <w:tab w:val="right" w:pos="1202"/>
              </w:tabs>
              <w:suppressAutoHyphens/>
              <w:autoSpaceDN w:val="0"/>
              <w:jc w:val="right"/>
              <w:outlineLvl w:val="0"/>
              <w:rPr>
                <w:rFonts w:ascii="Arial" w:eastAsia="Calibri" w:hAnsi="Arial" w:cs="Arial"/>
                <w:b/>
                <w:bCs/>
                <w:iCs/>
                <w:color w:val="000000" w:themeColor="text1"/>
                <w:sz w:val="18"/>
                <w:szCs w:val="18"/>
              </w:rPr>
            </w:pPr>
            <w:r w:rsidRPr="002C0DB3">
              <w:rPr>
                <w:rFonts w:ascii="Arial" w:eastAsia="Calibri" w:hAnsi="Arial" w:cs="Arial"/>
                <w:b/>
                <w:bCs/>
                <w:iCs/>
                <w:color w:val="000000" w:themeColor="text1"/>
                <w:sz w:val="18"/>
                <w:szCs w:val="18"/>
              </w:rPr>
              <w:t>30. rujna 202</w:t>
            </w:r>
            <w:r w:rsidR="008002D1">
              <w:rPr>
                <w:rFonts w:ascii="Arial" w:eastAsia="Calibri" w:hAnsi="Arial" w:cs="Arial"/>
                <w:b/>
                <w:bCs/>
                <w:iCs/>
                <w:color w:val="000000" w:themeColor="text1"/>
                <w:sz w:val="18"/>
                <w:szCs w:val="18"/>
              </w:rPr>
              <w:t>4</w:t>
            </w:r>
            <w:r w:rsidRPr="002C0DB3">
              <w:rPr>
                <w:rFonts w:ascii="Arial" w:eastAsia="Calibri" w:hAnsi="Arial" w:cs="Arial"/>
                <w:b/>
                <w:bCs/>
                <w:iCs/>
                <w:color w:val="000000" w:themeColor="text1"/>
                <w:sz w:val="18"/>
                <w:szCs w:val="18"/>
              </w:rPr>
              <w:t>.</w:t>
            </w:r>
          </w:p>
        </w:tc>
        <w:tc>
          <w:tcPr>
            <w:tcW w:w="1307" w:type="dxa"/>
            <w:vAlign w:val="bottom"/>
          </w:tcPr>
          <w:p w14:paraId="18E5C038" w14:textId="16138281" w:rsidR="0064018A" w:rsidRPr="00A3297B" w:rsidRDefault="003A487C" w:rsidP="0064018A">
            <w:pPr>
              <w:tabs>
                <w:tab w:val="right" w:pos="1202"/>
              </w:tabs>
              <w:suppressAutoHyphens/>
              <w:autoSpaceDN w:val="0"/>
              <w:jc w:val="right"/>
              <w:outlineLvl w:val="0"/>
              <w:rPr>
                <w:rFonts w:ascii="Arial" w:eastAsia="Calibri" w:hAnsi="Arial" w:cs="Arial"/>
                <w:b/>
                <w:bCs/>
                <w:iCs/>
                <w:color w:val="000000" w:themeColor="text1"/>
                <w:sz w:val="18"/>
                <w:szCs w:val="18"/>
              </w:rPr>
            </w:pPr>
            <w:r w:rsidRPr="00A3297B">
              <w:rPr>
                <w:rFonts w:ascii="Arial" w:eastAsia="Calibri" w:hAnsi="Arial" w:cs="Arial"/>
                <w:b/>
                <w:bCs/>
                <w:iCs/>
                <w:color w:val="000000" w:themeColor="text1"/>
                <w:sz w:val="18"/>
                <w:szCs w:val="18"/>
              </w:rPr>
              <w:t>31. prosinca 202</w:t>
            </w:r>
            <w:r w:rsidR="008002D1">
              <w:rPr>
                <w:rFonts w:ascii="Arial" w:eastAsia="Calibri" w:hAnsi="Arial" w:cs="Arial"/>
                <w:b/>
                <w:bCs/>
                <w:iCs/>
                <w:color w:val="000000" w:themeColor="text1"/>
                <w:sz w:val="18"/>
                <w:szCs w:val="18"/>
              </w:rPr>
              <w:t>3</w:t>
            </w:r>
            <w:r w:rsidR="00274D1A">
              <w:rPr>
                <w:rFonts w:ascii="Arial" w:eastAsia="Calibri" w:hAnsi="Arial" w:cs="Arial"/>
                <w:b/>
                <w:bCs/>
                <w:iCs/>
                <w:color w:val="000000" w:themeColor="text1"/>
                <w:sz w:val="18"/>
                <w:szCs w:val="18"/>
              </w:rPr>
              <w:t>.</w:t>
            </w:r>
          </w:p>
        </w:tc>
        <w:tc>
          <w:tcPr>
            <w:tcW w:w="1314" w:type="dxa"/>
            <w:vAlign w:val="bottom"/>
          </w:tcPr>
          <w:p w14:paraId="410BD7E5" w14:textId="7514A8C9" w:rsidR="0064018A" w:rsidRPr="00A3297B" w:rsidRDefault="0064018A"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508" w:name="_Toc67328977"/>
            <w:r w:rsidRPr="00A3297B">
              <w:rPr>
                <w:rFonts w:ascii="Arial" w:eastAsia="Calibri" w:hAnsi="Arial" w:cs="Arial"/>
                <w:b/>
                <w:bCs/>
                <w:iCs/>
                <w:color w:val="000000" w:themeColor="text1"/>
                <w:sz w:val="18"/>
                <w:szCs w:val="18"/>
              </w:rPr>
              <w:t>31. prosinca 202</w:t>
            </w:r>
            <w:r w:rsidR="008002D1">
              <w:rPr>
                <w:rFonts w:ascii="Arial" w:eastAsia="Calibri" w:hAnsi="Arial" w:cs="Arial"/>
                <w:b/>
                <w:bCs/>
                <w:iCs/>
                <w:color w:val="000000" w:themeColor="text1"/>
                <w:sz w:val="18"/>
                <w:szCs w:val="18"/>
              </w:rPr>
              <w:t>3</w:t>
            </w:r>
            <w:r w:rsidRPr="00A3297B">
              <w:rPr>
                <w:rFonts w:ascii="Arial" w:eastAsia="Calibri" w:hAnsi="Arial" w:cs="Arial"/>
                <w:b/>
                <w:bCs/>
                <w:iCs/>
                <w:color w:val="000000" w:themeColor="text1"/>
                <w:sz w:val="18"/>
                <w:szCs w:val="18"/>
              </w:rPr>
              <w:t>.</w:t>
            </w:r>
            <w:bookmarkEnd w:id="508"/>
          </w:p>
        </w:tc>
      </w:tr>
      <w:tr w:rsidR="0064018A" w:rsidRPr="00A3297B" w14:paraId="3AD40B4B" w14:textId="77777777" w:rsidTr="00B078E4">
        <w:trPr>
          <w:trHeight w:hRule="exact" w:val="284"/>
          <w:jc w:val="center"/>
        </w:trPr>
        <w:tc>
          <w:tcPr>
            <w:tcW w:w="3637" w:type="dxa"/>
            <w:vAlign w:val="bottom"/>
          </w:tcPr>
          <w:p w14:paraId="346B74A6" w14:textId="77777777" w:rsidR="0064018A" w:rsidRPr="00A3297B" w:rsidRDefault="0064018A" w:rsidP="0064018A">
            <w:pPr>
              <w:tabs>
                <w:tab w:val="right" w:pos="1202"/>
              </w:tabs>
              <w:suppressAutoHyphens/>
              <w:autoSpaceDN w:val="0"/>
              <w:outlineLvl w:val="0"/>
              <w:rPr>
                <w:rFonts w:ascii="Arial" w:eastAsia="Calibri" w:hAnsi="Arial" w:cs="Arial"/>
                <w:color w:val="000000" w:themeColor="text1"/>
                <w:sz w:val="18"/>
                <w:szCs w:val="18"/>
              </w:rPr>
            </w:pPr>
          </w:p>
        </w:tc>
        <w:tc>
          <w:tcPr>
            <w:tcW w:w="1304" w:type="dxa"/>
            <w:tcBorders>
              <w:top w:val="nil"/>
              <w:left w:val="nil"/>
              <w:bottom w:val="nil"/>
              <w:right w:val="nil"/>
            </w:tcBorders>
            <w:vAlign w:val="bottom"/>
          </w:tcPr>
          <w:p w14:paraId="1966D30F" w14:textId="1CD215B3" w:rsidR="0064018A" w:rsidRPr="00A3297B" w:rsidRDefault="0064018A"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509" w:name="_Toc67328978"/>
            <w:r w:rsidRPr="00A3297B">
              <w:rPr>
                <w:rFonts w:ascii="Arial" w:eastAsia="Calibri" w:hAnsi="Arial" w:cs="Arial"/>
                <w:b/>
                <w:bCs/>
                <w:color w:val="000000" w:themeColor="text1"/>
                <w:sz w:val="18"/>
                <w:szCs w:val="18"/>
              </w:rPr>
              <w:t>000 eura</w:t>
            </w:r>
            <w:bookmarkEnd w:id="509"/>
          </w:p>
        </w:tc>
        <w:tc>
          <w:tcPr>
            <w:tcW w:w="1303" w:type="dxa"/>
            <w:tcBorders>
              <w:top w:val="nil"/>
              <w:left w:val="nil"/>
              <w:bottom w:val="nil"/>
              <w:right w:val="nil"/>
            </w:tcBorders>
            <w:vAlign w:val="bottom"/>
          </w:tcPr>
          <w:p w14:paraId="18BB9642" w14:textId="332C73DA" w:rsidR="0064018A" w:rsidRPr="00A3297B" w:rsidRDefault="0064018A"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510" w:name="_Toc67328979"/>
            <w:r w:rsidRPr="00A3297B">
              <w:rPr>
                <w:rFonts w:ascii="Arial" w:eastAsia="Calibri" w:hAnsi="Arial" w:cs="Arial"/>
                <w:b/>
                <w:bCs/>
                <w:color w:val="000000" w:themeColor="text1"/>
                <w:sz w:val="18"/>
                <w:szCs w:val="18"/>
              </w:rPr>
              <w:t>000 eura</w:t>
            </w:r>
            <w:bookmarkEnd w:id="510"/>
          </w:p>
        </w:tc>
        <w:tc>
          <w:tcPr>
            <w:tcW w:w="1307" w:type="dxa"/>
            <w:tcBorders>
              <w:top w:val="nil"/>
              <w:left w:val="nil"/>
              <w:bottom w:val="nil"/>
              <w:right w:val="nil"/>
            </w:tcBorders>
            <w:vAlign w:val="bottom"/>
          </w:tcPr>
          <w:p w14:paraId="6F80111B" w14:textId="18E4FF0D" w:rsidR="0064018A" w:rsidRPr="00A3297B" w:rsidRDefault="0064018A"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511" w:name="_Toc67328980"/>
            <w:r w:rsidRPr="00A3297B">
              <w:rPr>
                <w:rFonts w:ascii="Arial" w:eastAsia="Calibri" w:hAnsi="Arial" w:cs="Arial"/>
                <w:b/>
                <w:bCs/>
                <w:color w:val="000000" w:themeColor="text1"/>
                <w:sz w:val="18"/>
                <w:szCs w:val="18"/>
              </w:rPr>
              <w:t>000 eura</w:t>
            </w:r>
            <w:bookmarkEnd w:id="511"/>
          </w:p>
        </w:tc>
        <w:tc>
          <w:tcPr>
            <w:tcW w:w="1314" w:type="dxa"/>
            <w:tcBorders>
              <w:top w:val="nil"/>
              <w:left w:val="nil"/>
              <w:bottom w:val="nil"/>
              <w:right w:val="nil"/>
            </w:tcBorders>
            <w:vAlign w:val="bottom"/>
          </w:tcPr>
          <w:p w14:paraId="1F1D1C51" w14:textId="742B5318" w:rsidR="0064018A" w:rsidRPr="00A3297B" w:rsidRDefault="0064018A"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512" w:name="_Toc67328981"/>
            <w:r w:rsidRPr="00A3297B">
              <w:rPr>
                <w:rFonts w:ascii="Arial" w:eastAsia="Calibri" w:hAnsi="Arial" w:cs="Arial"/>
                <w:b/>
                <w:bCs/>
                <w:color w:val="000000" w:themeColor="text1"/>
                <w:sz w:val="18"/>
                <w:szCs w:val="18"/>
              </w:rPr>
              <w:t>000 eura</w:t>
            </w:r>
            <w:bookmarkEnd w:id="512"/>
          </w:p>
        </w:tc>
      </w:tr>
      <w:tr w:rsidR="00944CAE" w:rsidRPr="00A3297B" w14:paraId="0D8CCC33" w14:textId="77777777" w:rsidTr="00B078E4">
        <w:trPr>
          <w:trHeight w:hRule="exact" w:val="284"/>
          <w:jc w:val="center"/>
        </w:trPr>
        <w:tc>
          <w:tcPr>
            <w:tcW w:w="3637" w:type="dxa"/>
            <w:vAlign w:val="bottom"/>
          </w:tcPr>
          <w:p w14:paraId="73C21B1A" w14:textId="6A5B564D" w:rsidR="00944CAE" w:rsidRPr="00A3297B" w:rsidRDefault="00944CAE" w:rsidP="00944CAE">
            <w:pPr>
              <w:tabs>
                <w:tab w:val="right" w:pos="1202"/>
              </w:tabs>
              <w:suppressAutoHyphens/>
              <w:autoSpaceDN w:val="0"/>
              <w:outlineLvl w:val="0"/>
              <w:rPr>
                <w:rFonts w:ascii="Arial" w:eastAsia="Calibri" w:hAnsi="Arial" w:cs="Arial"/>
                <w:color w:val="000000" w:themeColor="text1"/>
                <w:sz w:val="18"/>
                <w:szCs w:val="18"/>
              </w:rPr>
            </w:pPr>
            <w:bookmarkStart w:id="513" w:name="_Toc67328982"/>
            <w:r w:rsidRPr="00A3297B">
              <w:rPr>
                <w:rFonts w:ascii="Arial" w:eastAsia="Calibri" w:hAnsi="Arial" w:cs="Arial"/>
                <w:color w:val="000000" w:themeColor="text1"/>
                <w:sz w:val="18"/>
                <w:szCs w:val="18"/>
              </w:rPr>
              <w:t>Vlasnik</w:t>
            </w:r>
            <w:bookmarkEnd w:id="513"/>
          </w:p>
        </w:tc>
        <w:tc>
          <w:tcPr>
            <w:tcW w:w="1304" w:type="dxa"/>
            <w:shd w:val="clear" w:color="auto" w:fill="auto"/>
            <w:vAlign w:val="bottom"/>
          </w:tcPr>
          <w:p w14:paraId="7896B2FF" w14:textId="09625F81" w:rsidR="00944CAE" w:rsidRPr="00A3297B" w:rsidRDefault="00944CAE" w:rsidP="00944CAE">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664D89">
              <w:rPr>
                <w:rFonts w:ascii="Arial" w:eastAsia="Times New Roman" w:hAnsi="Arial" w:cs="Arial"/>
                <w:color w:val="000000"/>
                <w:sz w:val="18"/>
                <w:szCs w:val="18"/>
              </w:rPr>
              <w:t>289.573</w:t>
            </w:r>
          </w:p>
        </w:tc>
        <w:tc>
          <w:tcPr>
            <w:tcW w:w="1303" w:type="dxa"/>
            <w:shd w:val="clear" w:color="auto" w:fill="auto"/>
            <w:vAlign w:val="bottom"/>
          </w:tcPr>
          <w:p w14:paraId="485DD8E5" w14:textId="1DF6960E" w:rsidR="00944CAE" w:rsidRPr="00A3297B" w:rsidRDefault="00944CAE" w:rsidP="00944CAE">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664D89">
              <w:rPr>
                <w:rFonts w:ascii="Arial" w:eastAsia="Times New Roman" w:hAnsi="Arial" w:cs="Arial"/>
                <w:color w:val="000000"/>
                <w:sz w:val="18"/>
                <w:szCs w:val="18"/>
              </w:rPr>
              <w:t>418.167</w:t>
            </w:r>
          </w:p>
        </w:tc>
        <w:tc>
          <w:tcPr>
            <w:tcW w:w="1307" w:type="dxa"/>
            <w:shd w:val="clear" w:color="auto" w:fill="auto"/>
            <w:vAlign w:val="bottom"/>
          </w:tcPr>
          <w:p w14:paraId="5356B78F" w14:textId="3AB951AA" w:rsidR="00944CAE" w:rsidRPr="00A3297B" w:rsidRDefault="00944CAE" w:rsidP="00944CAE">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F959D0">
              <w:rPr>
                <w:rFonts w:ascii="Arial" w:hAnsi="Arial" w:cs="Arial"/>
                <w:sz w:val="18"/>
                <w:szCs w:val="18"/>
              </w:rPr>
              <w:t xml:space="preserve"> 280.436 </w:t>
            </w:r>
          </w:p>
        </w:tc>
        <w:tc>
          <w:tcPr>
            <w:tcW w:w="1314" w:type="dxa"/>
            <w:shd w:val="clear" w:color="auto" w:fill="auto"/>
            <w:vAlign w:val="bottom"/>
          </w:tcPr>
          <w:p w14:paraId="40CCD825" w14:textId="727EAE3D" w:rsidR="00944CAE" w:rsidRPr="00A3297B" w:rsidRDefault="00944CAE" w:rsidP="00944CAE">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F959D0">
              <w:rPr>
                <w:rFonts w:ascii="Arial" w:hAnsi="Arial" w:cs="Arial"/>
                <w:sz w:val="18"/>
                <w:szCs w:val="18"/>
              </w:rPr>
              <w:t xml:space="preserve"> 506.144 </w:t>
            </w:r>
          </w:p>
        </w:tc>
      </w:tr>
      <w:tr w:rsidR="00944CAE" w:rsidRPr="00A3297B" w14:paraId="2D985144" w14:textId="77777777" w:rsidTr="00B078E4">
        <w:trPr>
          <w:trHeight w:hRule="exact" w:val="284"/>
          <w:jc w:val="center"/>
        </w:trPr>
        <w:tc>
          <w:tcPr>
            <w:tcW w:w="3637" w:type="dxa"/>
            <w:vAlign w:val="bottom"/>
          </w:tcPr>
          <w:p w14:paraId="6D828250" w14:textId="3F84EBFB" w:rsidR="00944CAE" w:rsidRPr="00A3297B" w:rsidRDefault="00944CAE" w:rsidP="00944CAE">
            <w:pPr>
              <w:tabs>
                <w:tab w:val="right" w:pos="1202"/>
              </w:tabs>
              <w:suppressAutoHyphens/>
              <w:autoSpaceDN w:val="0"/>
              <w:outlineLvl w:val="0"/>
              <w:rPr>
                <w:rFonts w:ascii="Arial" w:eastAsia="Calibri" w:hAnsi="Arial" w:cs="Arial"/>
                <w:color w:val="000000" w:themeColor="text1"/>
                <w:sz w:val="18"/>
                <w:szCs w:val="18"/>
              </w:rPr>
            </w:pPr>
            <w:bookmarkStart w:id="514" w:name="_Toc67328987"/>
            <w:r w:rsidRPr="00A3297B">
              <w:rPr>
                <w:rFonts w:ascii="Arial" w:eastAsia="Calibri" w:hAnsi="Arial" w:cs="Arial"/>
                <w:color w:val="000000" w:themeColor="text1"/>
                <w:sz w:val="18"/>
                <w:szCs w:val="18"/>
              </w:rPr>
              <w:t>Državni fondovi, izvršna tijela i agencije</w:t>
            </w:r>
            <w:bookmarkEnd w:id="514"/>
          </w:p>
        </w:tc>
        <w:tc>
          <w:tcPr>
            <w:tcW w:w="1304" w:type="dxa"/>
            <w:shd w:val="clear" w:color="auto" w:fill="auto"/>
            <w:vAlign w:val="bottom"/>
          </w:tcPr>
          <w:p w14:paraId="42CE2356" w14:textId="17E767C9" w:rsidR="00944CAE" w:rsidRPr="00A3297B" w:rsidRDefault="00944CAE" w:rsidP="00944CAE">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664D89">
              <w:rPr>
                <w:rFonts w:ascii="Arial" w:eastAsia="Times New Roman" w:hAnsi="Arial" w:cs="Arial"/>
                <w:color w:val="000000"/>
                <w:sz w:val="18"/>
                <w:szCs w:val="18"/>
              </w:rPr>
              <w:t>639.004</w:t>
            </w:r>
          </w:p>
        </w:tc>
        <w:tc>
          <w:tcPr>
            <w:tcW w:w="1303" w:type="dxa"/>
            <w:shd w:val="clear" w:color="auto" w:fill="auto"/>
            <w:vAlign w:val="bottom"/>
          </w:tcPr>
          <w:p w14:paraId="792E5FD9" w14:textId="2385558D" w:rsidR="00944CAE" w:rsidRPr="00A3297B" w:rsidRDefault="00944CAE" w:rsidP="00944CAE">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664D89">
              <w:rPr>
                <w:rFonts w:ascii="Arial" w:eastAsia="Times New Roman" w:hAnsi="Arial" w:cs="Arial"/>
                <w:color w:val="000000"/>
                <w:sz w:val="18"/>
                <w:szCs w:val="18"/>
              </w:rPr>
              <w:t>29.323</w:t>
            </w:r>
          </w:p>
        </w:tc>
        <w:tc>
          <w:tcPr>
            <w:tcW w:w="1307" w:type="dxa"/>
            <w:shd w:val="clear" w:color="auto" w:fill="auto"/>
            <w:vAlign w:val="bottom"/>
          </w:tcPr>
          <w:p w14:paraId="031FFE39" w14:textId="00EF3EF1" w:rsidR="00944CAE" w:rsidRPr="00A3297B" w:rsidRDefault="00944CAE" w:rsidP="00944CAE">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F959D0">
              <w:rPr>
                <w:rFonts w:ascii="Arial" w:hAnsi="Arial" w:cs="Arial"/>
                <w:sz w:val="18"/>
                <w:szCs w:val="18"/>
              </w:rPr>
              <w:t xml:space="preserve"> 672.036 </w:t>
            </w:r>
          </w:p>
        </w:tc>
        <w:tc>
          <w:tcPr>
            <w:tcW w:w="1314" w:type="dxa"/>
            <w:shd w:val="clear" w:color="auto" w:fill="auto"/>
            <w:vAlign w:val="bottom"/>
          </w:tcPr>
          <w:p w14:paraId="7D6883E1" w14:textId="754E62DD" w:rsidR="00944CAE" w:rsidRPr="00A3297B" w:rsidRDefault="00944CAE" w:rsidP="00944CAE">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F959D0">
              <w:rPr>
                <w:rFonts w:ascii="Arial" w:hAnsi="Arial" w:cs="Arial"/>
                <w:sz w:val="18"/>
                <w:szCs w:val="18"/>
              </w:rPr>
              <w:t xml:space="preserve"> 18.982 </w:t>
            </w:r>
          </w:p>
        </w:tc>
      </w:tr>
      <w:tr w:rsidR="00944CAE" w:rsidRPr="00A3297B" w14:paraId="719751C0" w14:textId="77777777" w:rsidTr="00B078E4">
        <w:trPr>
          <w:trHeight w:hRule="exact" w:val="284"/>
          <w:jc w:val="center"/>
        </w:trPr>
        <w:tc>
          <w:tcPr>
            <w:tcW w:w="3637" w:type="dxa"/>
            <w:vAlign w:val="bottom"/>
          </w:tcPr>
          <w:p w14:paraId="4772784B" w14:textId="4BDE9AE5" w:rsidR="00944CAE" w:rsidRPr="00A3297B" w:rsidRDefault="00944CAE" w:rsidP="00944CAE">
            <w:pPr>
              <w:tabs>
                <w:tab w:val="right" w:pos="1202"/>
              </w:tabs>
              <w:suppressAutoHyphens/>
              <w:autoSpaceDN w:val="0"/>
              <w:outlineLvl w:val="0"/>
              <w:rPr>
                <w:rFonts w:ascii="Arial" w:eastAsia="Calibri" w:hAnsi="Arial" w:cs="Arial"/>
                <w:color w:val="000000" w:themeColor="text1"/>
                <w:sz w:val="18"/>
                <w:szCs w:val="18"/>
              </w:rPr>
            </w:pPr>
            <w:bookmarkStart w:id="515" w:name="_Toc67328992"/>
            <w:r w:rsidRPr="00A3297B">
              <w:rPr>
                <w:rFonts w:ascii="Arial" w:eastAsia="Calibri" w:hAnsi="Arial" w:cs="Arial"/>
                <w:color w:val="000000" w:themeColor="text1"/>
                <w:sz w:val="18"/>
                <w:szCs w:val="18"/>
              </w:rPr>
              <w:t>Državna trgovačka društva</w:t>
            </w:r>
            <w:bookmarkEnd w:id="515"/>
          </w:p>
        </w:tc>
        <w:tc>
          <w:tcPr>
            <w:tcW w:w="1304" w:type="dxa"/>
            <w:shd w:val="clear" w:color="auto" w:fill="auto"/>
            <w:vAlign w:val="bottom"/>
          </w:tcPr>
          <w:p w14:paraId="0D7D9FE1" w14:textId="4D2FB94B" w:rsidR="00944CAE" w:rsidRPr="00A3297B" w:rsidRDefault="00944CAE" w:rsidP="00944CAE">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664D89">
              <w:rPr>
                <w:rFonts w:ascii="Arial" w:eastAsia="Times New Roman" w:hAnsi="Arial" w:cs="Arial"/>
                <w:color w:val="000000"/>
                <w:sz w:val="18"/>
                <w:szCs w:val="18"/>
              </w:rPr>
              <w:t>153.592</w:t>
            </w:r>
          </w:p>
        </w:tc>
        <w:tc>
          <w:tcPr>
            <w:tcW w:w="1303" w:type="dxa"/>
            <w:shd w:val="clear" w:color="auto" w:fill="auto"/>
            <w:vAlign w:val="bottom"/>
          </w:tcPr>
          <w:p w14:paraId="276B2AEB" w14:textId="3AE45F7E" w:rsidR="00944CAE" w:rsidRPr="00A3297B" w:rsidRDefault="00944CAE" w:rsidP="00944CAE">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664D89">
              <w:rPr>
                <w:rFonts w:ascii="Arial" w:eastAsia="Times New Roman" w:hAnsi="Arial" w:cs="Arial"/>
                <w:color w:val="000000"/>
                <w:sz w:val="18"/>
                <w:szCs w:val="18"/>
              </w:rPr>
              <w:t>927</w:t>
            </w:r>
          </w:p>
        </w:tc>
        <w:tc>
          <w:tcPr>
            <w:tcW w:w="1307" w:type="dxa"/>
            <w:shd w:val="clear" w:color="auto" w:fill="auto"/>
            <w:vAlign w:val="bottom"/>
          </w:tcPr>
          <w:p w14:paraId="555A4B57" w14:textId="5B33A4C8" w:rsidR="00944CAE" w:rsidRPr="00A3297B" w:rsidRDefault="00944CAE" w:rsidP="00944CAE">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F959D0">
              <w:rPr>
                <w:rFonts w:ascii="Arial" w:hAnsi="Arial" w:cs="Arial"/>
                <w:sz w:val="18"/>
                <w:szCs w:val="18"/>
              </w:rPr>
              <w:t xml:space="preserve"> 181.913 </w:t>
            </w:r>
          </w:p>
        </w:tc>
        <w:tc>
          <w:tcPr>
            <w:tcW w:w="1314" w:type="dxa"/>
            <w:shd w:val="clear" w:color="auto" w:fill="auto"/>
            <w:vAlign w:val="bottom"/>
          </w:tcPr>
          <w:p w14:paraId="04093DDF" w14:textId="674572A2" w:rsidR="00944CAE" w:rsidRPr="00A3297B" w:rsidRDefault="00944CAE" w:rsidP="00944CAE">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F959D0">
              <w:rPr>
                <w:rFonts w:ascii="Arial" w:hAnsi="Arial" w:cs="Arial"/>
                <w:sz w:val="18"/>
                <w:szCs w:val="18"/>
              </w:rPr>
              <w:t xml:space="preserve"> 988 </w:t>
            </w:r>
          </w:p>
        </w:tc>
      </w:tr>
      <w:tr w:rsidR="00944CAE" w:rsidRPr="00A3297B" w14:paraId="6E1B996D" w14:textId="77777777" w:rsidTr="00B078E4">
        <w:trPr>
          <w:trHeight w:hRule="exact" w:val="284"/>
          <w:jc w:val="center"/>
        </w:trPr>
        <w:tc>
          <w:tcPr>
            <w:tcW w:w="3637" w:type="dxa"/>
            <w:vAlign w:val="bottom"/>
          </w:tcPr>
          <w:p w14:paraId="4681D60A" w14:textId="09709393" w:rsidR="00944CAE" w:rsidRPr="00A3297B" w:rsidRDefault="00944CAE" w:rsidP="00944CAE">
            <w:pPr>
              <w:tabs>
                <w:tab w:val="right" w:pos="1202"/>
              </w:tabs>
              <w:suppressAutoHyphens/>
              <w:autoSpaceDN w:val="0"/>
              <w:outlineLvl w:val="0"/>
              <w:rPr>
                <w:rFonts w:ascii="Arial" w:eastAsia="Calibri" w:hAnsi="Arial" w:cs="Arial"/>
                <w:bCs/>
                <w:color w:val="000000" w:themeColor="text1"/>
                <w:sz w:val="18"/>
                <w:szCs w:val="18"/>
              </w:rPr>
            </w:pPr>
            <w:bookmarkStart w:id="516" w:name="_Toc67329002"/>
            <w:r w:rsidRPr="00A3297B">
              <w:rPr>
                <w:rFonts w:ascii="Arial" w:eastAsia="Calibri" w:hAnsi="Arial" w:cs="Arial"/>
                <w:bCs/>
                <w:color w:val="000000" w:themeColor="text1"/>
                <w:sz w:val="18"/>
                <w:szCs w:val="18"/>
              </w:rPr>
              <w:t>Ključni članovi rukovodstva</w:t>
            </w:r>
            <w:bookmarkEnd w:id="516"/>
          </w:p>
        </w:tc>
        <w:tc>
          <w:tcPr>
            <w:tcW w:w="1304" w:type="dxa"/>
            <w:tcBorders>
              <w:bottom w:val="single" w:sz="4" w:space="0" w:color="000000"/>
            </w:tcBorders>
            <w:shd w:val="clear" w:color="auto" w:fill="auto"/>
            <w:vAlign w:val="bottom"/>
          </w:tcPr>
          <w:p w14:paraId="7DFD136C" w14:textId="6630382B" w:rsidR="00944CAE" w:rsidRPr="00A3297B" w:rsidRDefault="00944CAE" w:rsidP="00944CAE">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664D89">
              <w:rPr>
                <w:rFonts w:ascii="Arial" w:eastAsia="Times New Roman" w:hAnsi="Arial" w:cs="Arial"/>
                <w:color w:val="000000"/>
                <w:sz w:val="18"/>
                <w:szCs w:val="18"/>
              </w:rPr>
              <w:t>247</w:t>
            </w:r>
          </w:p>
        </w:tc>
        <w:tc>
          <w:tcPr>
            <w:tcW w:w="1303" w:type="dxa"/>
            <w:tcBorders>
              <w:bottom w:val="single" w:sz="4" w:space="0" w:color="000000"/>
            </w:tcBorders>
            <w:shd w:val="clear" w:color="auto" w:fill="auto"/>
            <w:vAlign w:val="bottom"/>
          </w:tcPr>
          <w:p w14:paraId="70DF159C" w14:textId="62E7A9D4" w:rsidR="00944CAE" w:rsidRPr="00A3297B" w:rsidRDefault="00944CAE" w:rsidP="00944CAE">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664D89">
              <w:rPr>
                <w:rFonts w:ascii="Arial" w:eastAsia="Times New Roman" w:hAnsi="Arial" w:cs="Arial"/>
                <w:color w:val="000000"/>
                <w:sz w:val="18"/>
                <w:szCs w:val="18"/>
              </w:rPr>
              <w:t>416</w:t>
            </w:r>
          </w:p>
        </w:tc>
        <w:tc>
          <w:tcPr>
            <w:tcW w:w="1307" w:type="dxa"/>
            <w:tcBorders>
              <w:bottom w:val="single" w:sz="4" w:space="0" w:color="000000"/>
            </w:tcBorders>
            <w:shd w:val="clear" w:color="auto" w:fill="auto"/>
            <w:vAlign w:val="bottom"/>
          </w:tcPr>
          <w:p w14:paraId="394CF9C8" w14:textId="6E4B92DB" w:rsidR="00944CAE" w:rsidRPr="00A3297B" w:rsidRDefault="00944CAE" w:rsidP="00944CAE">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F959D0">
              <w:rPr>
                <w:rFonts w:ascii="Arial" w:hAnsi="Arial" w:cs="Arial"/>
                <w:sz w:val="18"/>
                <w:szCs w:val="18"/>
              </w:rPr>
              <w:t xml:space="preserve"> 272 </w:t>
            </w:r>
          </w:p>
        </w:tc>
        <w:tc>
          <w:tcPr>
            <w:tcW w:w="1314" w:type="dxa"/>
            <w:tcBorders>
              <w:bottom w:val="single" w:sz="4" w:space="0" w:color="000000"/>
            </w:tcBorders>
            <w:shd w:val="clear" w:color="auto" w:fill="auto"/>
            <w:vAlign w:val="bottom"/>
          </w:tcPr>
          <w:p w14:paraId="59174E16" w14:textId="644DCBE0" w:rsidR="00944CAE" w:rsidRPr="00A3297B" w:rsidRDefault="00944CAE" w:rsidP="00944CAE">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F959D0">
              <w:rPr>
                <w:rFonts w:ascii="Arial" w:hAnsi="Arial" w:cs="Arial"/>
                <w:sz w:val="18"/>
                <w:szCs w:val="18"/>
              </w:rPr>
              <w:t xml:space="preserve"> 423 </w:t>
            </w:r>
          </w:p>
        </w:tc>
      </w:tr>
      <w:tr w:rsidR="00944CAE" w:rsidRPr="00A3297B" w14:paraId="426D846D" w14:textId="77777777" w:rsidTr="00B078E4">
        <w:trPr>
          <w:trHeight w:val="329"/>
          <w:jc w:val="center"/>
        </w:trPr>
        <w:tc>
          <w:tcPr>
            <w:tcW w:w="3637" w:type="dxa"/>
            <w:vAlign w:val="bottom"/>
          </w:tcPr>
          <w:p w14:paraId="33D9D8F8" w14:textId="030CCD71" w:rsidR="00944CAE" w:rsidRPr="00A3297B" w:rsidRDefault="00944CAE" w:rsidP="00944CAE">
            <w:pPr>
              <w:tabs>
                <w:tab w:val="right" w:pos="1202"/>
              </w:tabs>
              <w:suppressAutoHyphens/>
              <w:autoSpaceDN w:val="0"/>
              <w:outlineLvl w:val="0"/>
              <w:rPr>
                <w:rFonts w:ascii="Arial" w:eastAsia="Calibri" w:hAnsi="Arial" w:cs="Arial"/>
                <w:b/>
                <w:color w:val="000000" w:themeColor="text1"/>
                <w:sz w:val="18"/>
                <w:szCs w:val="18"/>
              </w:rPr>
            </w:pPr>
            <w:bookmarkStart w:id="517" w:name="_Toc67329007"/>
            <w:r w:rsidRPr="00A3297B">
              <w:rPr>
                <w:rFonts w:ascii="Arial" w:eastAsia="Calibri" w:hAnsi="Arial" w:cs="Arial"/>
                <w:b/>
                <w:color w:val="000000" w:themeColor="text1"/>
                <w:sz w:val="18"/>
                <w:szCs w:val="18"/>
              </w:rPr>
              <w:t>Ukupno</w:t>
            </w:r>
            <w:bookmarkEnd w:id="517"/>
          </w:p>
        </w:tc>
        <w:tc>
          <w:tcPr>
            <w:tcW w:w="1304" w:type="dxa"/>
            <w:tcBorders>
              <w:top w:val="single" w:sz="4" w:space="0" w:color="auto"/>
              <w:bottom w:val="single" w:sz="12" w:space="0" w:color="auto"/>
            </w:tcBorders>
            <w:shd w:val="clear" w:color="auto" w:fill="auto"/>
            <w:vAlign w:val="bottom"/>
          </w:tcPr>
          <w:p w14:paraId="47656B00" w14:textId="6C6B0C8B" w:rsidR="00944CAE" w:rsidRPr="00A3297B" w:rsidRDefault="00944CAE" w:rsidP="00944CAE">
            <w:pPr>
              <w:tabs>
                <w:tab w:val="right" w:pos="1202"/>
              </w:tabs>
              <w:suppressAutoHyphens/>
              <w:autoSpaceDN w:val="0"/>
              <w:jc w:val="right"/>
              <w:outlineLvl w:val="0"/>
              <w:rPr>
                <w:rFonts w:ascii="Arial" w:eastAsia="Times New Roman" w:hAnsi="Arial" w:cs="Arial"/>
                <w:b/>
                <w:bCs/>
                <w:color w:val="000000" w:themeColor="text1"/>
                <w:sz w:val="18"/>
                <w:szCs w:val="18"/>
              </w:rPr>
            </w:pPr>
            <w:r w:rsidRPr="00664D89">
              <w:rPr>
                <w:rFonts w:ascii="Arial" w:eastAsia="Times New Roman" w:hAnsi="Arial" w:cs="Arial"/>
                <w:b/>
                <w:bCs/>
                <w:color w:val="000000" w:themeColor="text1"/>
                <w:sz w:val="18"/>
                <w:szCs w:val="18"/>
              </w:rPr>
              <w:t>1.082.416</w:t>
            </w:r>
          </w:p>
        </w:tc>
        <w:tc>
          <w:tcPr>
            <w:tcW w:w="1303" w:type="dxa"/>
            <w:tcBorders>
              <w:top w:val="single" w:sz="4" w:space="0" w:color="auto"/>
              <w:bottom w:val="single" w:sz="12" w:space="0" w:color="auto"/>
            </w:tcBorders>
            <w:shd w:val="clear" w:color="auto" w:fill="auto"/>
            <w:vAlign w:val="bottom"/>
          </w:tcPr>
          <w:p w14:paraId="18C6AEBA" w14:textId="61CD2B3A" w:rsidR="00944CAE" w:rsidRPr="00A3297B" w:rsidRDefault="00944CAE" w:rsidP="00944CAE">
            <w:pPr>
              <w:tabs>
                <w:tab w:val="right" w:pos="1202"/>
              </w:tabs>
              <w:suppressAutoHyphens/>
              <w:autoSpaceDN w:val="0"/>
              <w:jc w:val="right"/>
              <w:outlineLvl w:val="0"/>
              <w:rPr>
                <w:rFonts w:ascii="Arial" w:eastAsia="Times New Roman" w:hAnsi="Arial" w:cs="Arial"/>
                <w:b/>
                <w:bCs/>
                <w:color w:val="000000" w:themeColor="text1"/>
                <w:sz w:val="18"/>
                <w:szCs w:val="18"/>
              </w:rPr>
            </w:pPr>
            <w:r w:rsidRPr="00664D89">
              <w:rPr>
                <w:rFonts w:ascii="Arial" w:eastAsia="Times New Roman" w:hAnsi="Arial" w:cs="Arial"/>
                <w:b/>
                <w:bCs/>
                <w:color w:val="000000" w:themeColor="text1"/>
                <w:sz w:val="18"/>
                <w:szCs w:val="18"/>
              </w:rPr>
              <w:t>448.833</w:t>
            </w:r>
          </w:p>
        </w:tc>
        <w:tc>
          <w:tcPr>
            <w:tcW w:w="1307" w:type="dxa"/>
            <w:tcBorders>
              <w:top w:val="single" w:sz="4" w:space="0" w:color="auto"/>
              <w:bottom w:val="single" w:sz="12" w:space="0" w:color="auto"/>
            </w:tcBorders>
            <w:shd w:val="clear" w:color="auto" w:fill="auto"/>
            <w:vAlign w:val="bottom"/>
          </w:tcPr>
          <w:p w14:paraId="1929D33D" w14:textId="17933502" w:rsidR="00944CAE" w:rsidRPr="00A3297B" w:rsidRDefault="00944CAE" w:rsidP="00944CAE">
            <w:pPr>
              <w:tabs>
                <w:tab w:val="right" w:pos="1202"/>
              </w:tabs>
              <w:suppressAutoHyphens/>
              <w:autoSpaceDN w:val="0"/>
              <w:spacing w:line="280" w:lineRule="exact"/>
              <w:jc w:val="right"/>
              <w:outlineLvl w:val="0"/>
              <w:rPr>
                <w:rFonts w:ascii="Arial" w:eastAsia="Times New Roman" w:hAnsi="Arial" w:cs="Arial"/>
                <w:b/>
                <w:bCs/>
                <w:color w:val="000000"/>
                <w:sz w:val="18"/>
                <w:szCs w:val="18"/>
              </w:rPr>
            </w:pPr>
            <w:r w:rsidRPr="00F959D0">
              <w:rPr>
                <w:rFonts w:ascii="Arial" w:hAnsi="Arial" w:cs="Arial"/>
                <w:b/>
                <w:bCs/>
                <w:sz w:val="18"/>
                <w:szCs w:val="18"/>
              </w:rPr>
              <w:t>1.134.657</w:t>
            </w:r>
          </w:p>
        </w:tc>
        <w:tc>
          <w:tcPr>
            <w:tcW w:w="1314" w:type="dxa"/>
            <w:tcBorders>
              <w:top w:val="single" w:sz="4" w:space="0" w:color="auto"/>
              <w:bottom w:val="single" w:sz="12" w:space="0" w:color="auto"/>
            </w:tcBorders>
            <w:shd w:val="clear" w:color="auto" w:fill="auto"/>
            <w:vAlign w:val="bottom"/>
          </w:tcPr>
          <w:p w14:paraId="74999171" w14:textId="05653F09" w:rsidR="00944CAE" w:rsidRPr="00A3297B" w:rsidRDefault="00944CAE" w:rsidP="00944CAE">
            <w:pPr>
              <w:tabs>
                <w:tab w:val="right" w:pos="1202"/>
              </w:tabs>
              <w:suppressAutoHyphens/>
              <w:autoSpaceDN w:val="0"/>
              <w:spacing w:line="280" w:lineRule="exact"/>
              <w:jc w:val="right"/>
              <w:outlineLvl w:val="0"/>
              <w:rPr>
                <w:rFonts w:ascii="Arial" w:eastAsia="Times New Roman" w:hAnsi="Arial" w:cs="Arial"/>
                <w:b/>
                <w:bCs/>
                <w:color w:val="000000"/>
                <w:sz w:val="18"/>
                <w:szCs w:val="18"/>
              </w:rPr>
            </w:pPr>
            <w:r w:rsidRPr="00F959D0">
              <w:rPr>
                <w:rFonts w:ascii="Arial" w:hAnsi="Arial" w:cs="Arial"/>
                <w:b/>
                <w:bCs/>
                <w:sz w:val="18"/>
                <w:szCs w:val="18"/>
              </w:rPr>
              <w:t>526.537</w:t>
            </w:r>
          </w:p>
        </w:tc>
      </w:tr>
    </w:tbl>
    <w:p w14:paraId="7E7E247B" w14:textId="77777777" w:rsidR="0064018A" w:rsidRPr="003D1614" w:rsidRDefault="0064018A" w:rsidP="0064018A">
      <w:pPr>
        <w:keepNext/>
        <w:suppressAutoHyphens/>
        <w:autoSpaceDN w:val="0"/>
        <w:ind w:left="357"/>
        <w:jc w:val="both"/>
        <w:outlineLvl w:val="0"/>
        <w:rPr>
          <w:rFonts w:ascii="Arial" w:eastAsia="Times New Roman" w:hAnsi="Arial" w:cs="Arial"/>
          <w:bCs/>
          <w:color w:val="000000" w:themeColor="text1"/>
          <w:sz w:val="20"/>
          <w:szCs w:val="20"/>
        </w:rPr>
      </w:pPr>
    </w:p>
    <w:p w14:paraId="484A8F8C" w14:textId="77777777" w:rsidR="0064018A" w:rsidRPr="003D1614" w:rsidRDefault="0064018A" w:rsidP="0064018A">
      <w:pPr>
        <w:keepNext/>
        <w:suppressAutoHyphens/>
        <w:autoSpaceDN w:val="0"/>
        <w:ind w:left="357"/>
        <w:jc w:val="both"/>
        <w:outlineLvl w:val="0"/>
        <w:rPr>
          <w:rFonts w:ascii="Arial" w:eastAsia="Times New Roman" w:hAnsi="Arial" w:cs="Arial"/>
          <w:bCs/>
          <w:color w:val="000000" w:themeColor="text1"/>
          <w:sz w:val="20"/>
          <w:szCs w:val="20"/>
        </w:rPr>
      </w:pPr>
    </w:p>
    <w:tbl>
      <w:tblPr>
        <w:tblW w:w="4839" w:type="pct"/>
        <w:jc w:val="center"/>
        <w:tblLayout w:type="fixed"/>
        <w:tblCellMar>
          <w:left w:w="113" w:type="dxa"/>
          <w:right w:w="85" w:type="dxa"/>
        </w:tblCellMar>
        <w:tblLook w:val="00A0" w:firstRow="1" w:lastRow="0" w:firstColumn="1" w:lastColumn="0" w:noHBand="0" w:noVBand="0"/>
      </w:tblPr>
      <w:tblGrid>
        <w:gridCol w:w="3565"/>
        <w:gridCol w:w="1350"/>
        <w:gridCol w:w="1351"/>
        <w:gridCol w:w="1215"/>
        <w:gridCol w:w="1299"/>
      </w:tblGrid>
      <w:tr w:rsidR="0064018A" w:rsidRPr="0040073C" w14:paraId="5EF324D0" w14:textId="77777777" w:rsidTr="0040073C">
        <w:trPr>
          <w:cantSplit/>
          <w:trHeight w:val="14"/>
          <w:jc w:val="center"/>
        </w:trPr>
        <w:tc>
          <w:tcPr>
            <w:tcW w:w="3565" w:type="dxa"/>
            <w:vAlign w:val="bottom"/>
          </w:tcPr>
          <w:p w14:paraId="6F71DA47" w14:textId="77777777" w:rsidR="0064018A" w:rsidRPr="0040073C" w:rsidRDefault="0064018A" w:rsidP="0064018A">
            <w:pPr>
              <w:tabs>
                <w:tab w:val="right" w:pos="1202"/>
              </w:tabs>
              <w:suppressAutoHyphens/>
              <w:autoSpaceDN w:val="0"/>
              <w:outlineLvl w:val="0"/>
              <w:rPr>
                <w:rFonts w:ascii="Arial" w:eastAsia="Calibri" w:hAnsi="Arial" w:cs="Arial"/>
                <w:color w:val="000000" w:themeColor="text1"/>
                <w:sz w:val="18"/>
                <w:szCs w:val="18"/>
              </w:rPr>
            </w:pPr>
            <w:bookmarkStart w:id="518" w:name="_Toc67329012"/>
            <w:r w:rsidRPr="0040073C">
              <w:rPr>
                <w:rFonts w:ascii="Arial" w:eastAsia="Calibri" w:hAnsi="Arial" w:cs="Arial"/>
                <w:b/>
                <w:color w:val="000000" w:themeColor="text1"/>
                <w:sz w:val="18"/>
                <w:szCs w:val="18"/>
              </w:rPr>
              <w:t>Grupa</w:t>
            </w:r>
            <w:bookmarkEnd w:id="518"/>
          </w:p>
        </w:tc>
        <w:tc>
          <w:tcPr>
            <w:tcW w:w="1350" w:type="dxa"/>
            <w:vAlign w:val="bottom"/>
          </w:tcPr>
          <w:p w14:paraId="7DCFCF9F" w14:textId="77777777" w:rsidR="0064018A" w:rsidRPr="0040073C" w:rsidRDefault="0064018A"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519" w:name="_Toc67329013"/>
            <w:r w:rsidRPr="0040073C">
              <w:rPr>
                <w:rFonts w:ascii="Arial" w:eastAsia="Calibri" w:hAnsi="Arial" w:cs="Arial"/>
                <w:b/>
                <w:bCs/>
                <w:iCs/>
                <w:color w:val="000000" w:themeColor="text1"/>
                <w:sz w:val="18"/>
                <w:szCs w:val="18"/>
              </w:rPr>
              <w:t>Prihodi</w:t>
            </w:r>
            <w:bookmarkEnd w:id="519"/>
          </w:p>
        </w:tc>
        <w:tc>
          <w:tcPr>
            <w:tcW w:w="1351" w:type="dxa"/>
            <w:vAlign w:val="bottom"/>
          </w:tcPr>
          <w:p w14:paraId="285D1474" w14:textId="77777777" w:rsidR="0064018A" w:rsidRPr="0040073C" w:rsidRDefault="0064018A"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520" w:name="_Toc67329014"/>
            <w:r w:rsidRPr="0040073C">
              <w:rPr>
                <w:rFonts w:ascii="Arial" w:eastAsia="Calibri" w:hAnsi="Arial" w:cs="Arial"/>
                <w:b/>
                <w:bCs/>
                <w:iCs/>
                <w:color w:val="000000" w:themeColor="text1"/>
                <w:sz w:val="18"/>
                <w:szCs w:val="18"/>
              </w:rPr>
              <w:t>Rashodi</w:t>
            </w:r>
            <w:bookmarkEnd w:id="520"/>
          </w:p>
        </w:tc>
        <w:tc>
          <w:tcPr>
            <w:tcW w:w="1215" w:type="dxa"/>
            <w:vAlign w:val="bottom"/>
          </w:tcPr>
          <w:p w14:paraId="15E66C34" w14:textId="77777777" w:rsidR="0064018A" w:rsidRPr="0040073C" w:rsidRDefault="0064018A"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521" w:name="_Toc67329015"/>
            <w:r w:rsidRPr="0040073C">
              <w:rPr>
                <w:rFonts w:ascii="Arial" w:eastAsia="Calibri" w:hAnsi="Arial" w:cs="Arial"/>
                <w:b/>
                <w:bCs/>
                <w:iCs/>
                <w:color w:val="000000" w:themeColor="text1"/>
                <w:sz w:val="18"/>
                <w:szCs w:val="18"/>
              </w:rPr>
              <w:t>Prihodi</w:t>
            </w:r>
            <w:bookmarkEnd w:id="521"/>
          </w:p>
        </w:tc>
        <w:tc>
          <w:tcPr>
            <w:tcW w:w="1299" w:type="dxa"/>
            <w:vAlign w:val="bottom"/>
          </w:tcPr>
          <w:p w14:paraId="43D1B3FF" w14:textId="77777777" w:rsidR="0064018A" w:rsidRPr="0040073C" w:rsidRDefault="0064018A"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522" w:name="_Toc67329016"/>
            <w:r w:rsidRPr="0040073C">
              <w:rPr>
                <w:rFonts w:ascii="Arial" w:eastAsia="Calibri" w:hAnsi="Arial" w:cs="Arial"/>
                <w:b/>
                <w:bCs/>
                <w:iCs/>
                <w:color w:val="000000" w:themeColor="text1"/>
                <w:sz w:val="18"/>
                <w:szCs w:val="18"/>
              </w:rPr>
              <w:t>Rashodi</w:t>
            </w:r>
            <w:bookmarkEnd w:id="522"/>
          </w:p>
        </w:tc>
      </w:tr>
      <w:tr w:rsidR="0064018A" w:rsidRPr="0040073C" w14:paraId="5002C24E" w14:textId="77777777" w:rsidTr="0040073C">
        <w:trPr>
          <w:cantSplit/>
          <w:trHeight w:hRule="exact" w:val="454"/>
          <w:jc w:val="center"/>
        </w:trPr>
        <w:tc>
          <w:tcPr>
            <w:tcW w:w="3565" w:type="dxa"/>
            <w:vAlign w:val="bottom"/>
          </w:tcPr>
          <w:p w14:paraId="30D81DF9" w14:textId="77777777" w:rsidR="0064018A" w:rsidRPr="0040073C" w:rsidRDefault="0064018A" w:rsidP="0064018A">
            <w:pPr>
              <w:tabs>
                <w:tab w:val="right" w:pos="1202"/>
              </w:tabs>
              <w:suppressAutoHyphens/>
              <w:autoSpaceDN w:val="0"/>
              <w:outlineLvl w:val="0"/>
              <w:rPr>
                <w:rFonts w:ascii="Arial" w:eastAsia="Calibri" w:hAnsi="Arial" w:cs="Arial"/>
                <w:b/>
                <w:color w:val="000000" w:themeColor="text1"/>
                <w:sz w:val="18"/>
                <w:szCs w:val="18"/>
              </w:rPr>
            </w:pPr>
          </w:p>
        </w:tc>
        <w:tc>
          <w:tcPr>
            <w:tcW w:w="1350" w:type="dxa"/>
            <w:vAlign w:val="bottom"/>
          </w:tcPr>
          <w:p w14:paraId="6E02AE33" w14:textId="6C504B08" w:rsidR="0064018A" w:rsidRPr="0040073C" w:rsidRDefault="0064018A"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523" w:name="_Toc67329017"/>
            <w:r w:rsidRPr="0040073C">
              <w:rPr>
                <w:rFonts w:ascii="Arial" w:eastAsia="Calibri" w:hAnsi="Arial" w:cs="Arial"/>
                <w:b/>
                <w:bCs/>
                <w:iCs/>
                <w:color w:val="000000" w:themeColor="text1"/>
                <w:sz w:val="18"/>
                <w:szCs w:val="18"/>
              </w:rPr>
              <w:t>1.1. – 3</w:t>
            </w:r>
            <w:r w:rsidR="00F36D0C">
              <w:rPr>
                <w:rFonts w:ascii="Arial" w:eastAsia="Calibri" w:hAnsi="Arial" w:cs="Arial"/>
                <w:b/>
                <w:bCs/>
                <w:iCs/>
                <w:color w:val="000000" w:themeColor="text1"/>
                <w:sz w:val="18"/>
                <w:szCs w:val="18"/>
              </w:rPr>
              <w:t>0</w:t>
            </w:r>
            <w:r w:rsidRPr="0040073C">
              <w:rPr>
                <w:rFonts w:ascii="Arial" w:eastAsia="Calibri" w:hAnsi="Arial" w:cs="Arial"/>
                <w:b/>
                <w:bCs/>
                <w:iCs/>
                <w:color w:val="000000" w:themeColor="text1"/>
                <w:sz w:val="18"/>
                <w:szCs w:val="18"/>
              </w:rPr>
              <w:t>.</w:t>
            </w:r>
            <w:r w:rsidR="002C0DB3">
              <w:rPr>
                <w:rFonts w:ascii="Arial" w:eastAsia="Calibri" w:hAnsi="Arial" w:cs="Arial"/>
                <w:b/>
                <w:bCs/>
                <w:iCs/>
                <w:color w:val="000000" w:themeColor="text1"/>
                <w:sz w:val="18"/>
                <w:szCs w:val="18"/>
              </w:rPr>
              <w:t>9</w:t>
            </w:r>
            <w:r w:rsidRPr="0040073C">
              <w:rPr>
                <w:rFonts w:ascii="Arial" w:eastAsia="Calibri" w:hAnsi="Arial" w:cs="Arial"/>
                <w:b/>
                <w:bCs/>
                <w:iCs/>
                <w:color w:val="000000" w:themeColor="text1"/>
                <w:sz w:val="18"/>
                <w:szCs w:val="18"/>
              </w:rPr>
              <w:t>. 202</w:t>
            </w:r>
            <w:r w:rsidR="00386897">
              <w:rPr>
                <w:rFonts w:ascii="Arial" w:eastAsia="Calibri" w:hAnsi="Arial" w:cs="Arial"/>
                <w:b/>
                <w:bCs/>
                <w:iCs/>
                <w:color w:val="000000" w:themeColor="text1"/>
                <w:sz w:val="18"/>
                <w:szCs w:val="18"/>
              </w:rPr>
              <w:t>4</w:t>
            </w:r>
            <w:r w:rsidRPr="0040073C">
              <w:rPr>
                <w:rFonts w:ascii="Arial" w:eastAsia="Calibri" w:hAnsi="Arial" w:cs="Arial"/>
                <w:b/>
                <w:bCs/>
                <w:iCs/>
                <w:color w:val="000000" w:themeColor="text1"/>
                <w:sz w:val="18"/>
                <w:szCs w:val="18"/>
              </w:rPr>
              <w:t>.</w:t>
            </w:r>
            <w:bookmarkEnd w:id="523"/>
          </w:p>
        </w:tc>
        <w:tc>
          <w:tcPr>
            <w:tcW w:w="1351" w:type="dxa"/>
            <w:vAlign w:val="bottom"/>
          </w:tcPr>
          <w:p w14:paraId="77E1C513" w14:textId="52B3E83A" w:rsidR="0064018A" w:rsidRPr="0040073C" w:rsidRDefault="0064018A"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524" w:name="_Toc67329018"/>
            <w:r w:rsidRPr="0040073C">
              <w:rPr>
                <w:rFonts w:ascii="Arial" w:eastAsia="Calibri" w:hAnsi="Arial" w:cs="Arial"/>
                <w:b/>
                <w:bCs/>
                <w:iCs/>
                <w:color w:val="000000" w:themeColor="text1"/>
                <w:sz w:val="18"/>
                <w:szCs w:val="18"/>
              </w:rPr>
              <w:t xml:space="preserve">1.1. – </w:t>
            </w:r>
            <w:r w:rsidR="00F36D0C" w:rsidRPr="0040073C">
              <w:rPr>
                <w:rFonts w:ascii="Arial" w:eastAsia="Calibri" w:hAnsi="Arial" w:cs="Arial"/>
                <w:b/>
                <w:bCs/>
                <w:iCs/>
                <w:color w:val="000000" w:themeColor="text1"/>
                <w:sz w:val="18"/>
                <w:szCs w:val="18"/>
              </w:rPr>
              <w:t>3</w:t>
            </w:r>
            <w:r w:rsidR="00F36D0C">
              <w:rPr>
                <w:rFonts w:ascii="Arial" w:eastAsia="Calibri" w:hAnsi="Arial" w:cs="Arial"/>
                <w:b/>
                <w:bCs/>
                <w:iCs/>
                <w:color w:val="000000" w:themeColor="text1"/>
                <w:sz w:val="18"/>
                <w:szCs w:val="18"/>
              </w:rPr>
              <w:t>0</w:t>
            </w:r>
            <w:r w:rsidRPr="0040073C">
              <w:rPr>
                <w:rFonts w:ascii="Arial" w:eastAsia="Calibri" w:hAnsi="Arial" w:cs="Arial"/>
                <w:b/>
                <w:bCs/>
                <w:iCs/>
                <w:color w:val="000000" w:themeColor="text1"/>
                <w:sz w:val="18"/>
                <w:szCs w:val="18"/>
              </w:rPr>
              <w:t>.</w:t>
            </w:r>
            <w:r w:rsidR="002C0DB3">
              <w:rPr>
                <w:rFonts w:ascii="Arial" w:eastAsia="Calibri" w:hAnsi="Arial" w:cs="Arial"/>
                <w:b/>
                <w:bCs/>
                <w:iCs/>
                <w:color w:val="000000" w:themeColor="text1"/>
                <w:sz w:val="18"/>
                <w:szCs w:val="18"/>
              </w:rPr>
              <w:t>9</w:t>
            </w:r>
            <w:r w:rsidRPr="0040073C">
              <w:rPr>
                <w:rFonts w:ascii="Arial" w:eastAsia="Calibri" w:hAnsi="Arial" w:cs="Arial"/>
                <w:b/>
                <w:bCs/>
                <w:iCs/>
                <w:color w:val="000000" w:themeColor="text1"/>
                <w:sz w:val="18"/>
                <w:szCs w:val="18"/>
              </w:rPr>
              <w:t>. 202</w:t>
            </w:r>
            <w:r w:rsidR="00386897">
              <w:rPr>
                <w:rFonts w:ascii="Arial" w:eastAsia="Calibri" w:hAnsi="Arial" w:cs="Arial"/>
                <w:b/>
                <w:bCs/>
                <w:iCs/>
                <w:color w:val="000000" w:themeColor="text1"/>
                <w:sz w:val="18"/>
                <w:szCs w:val="18"/>
              </w:rPr>
              <w:t>4</w:t>
            </w:r>
            <w:r w:rsidRPr="0040073C">
              <w:rPr>
                <w:rFonts w:ascii="Arial" w:eastAsia="Calibri" w:hAnsi="Arial" w:cs="Arial"/>
                <w:b/>
                <w:bCs/>
                <w:iCs/>
                <w:color w:val="000000" w:themeColor="text1"/>
                <w:sz w:val="18"/>
                <w:szCs w:val="18"/>
              </w:rPr>
              <w:t>.</w:t>
            </w:r>
            <w:bookmarkEnd w:id="524"/>
          </w:p>
        </w:tc>
        <w:tc>
          <w:tcPr>
            <w:tcW w:w="1215" w:type="dxa"/>
            <w:vAlign w:val="bottom"/>
          </w:tcPr>
          <w:p w14:paraId="2B524F22" w14:textId="009488F7" w:rsidR="0064018A" w:rsidRPr="0040073C" w:rsidRDefault="00D80505"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525" w:name="_Toc67329019"/>
            <w:r w:rsidRPr="0040073C">
              <w:rPr>
                <w:rFonts w:ascii="Arial" w:eastAsia="Calibri" w:hAnsi="Arial" w:cs="Arial"/>
                <w:b/>
                <w:bCs/>
                <w:iCs/>
                <w:color w:val="000000" w:themeColor="text1"/>
                <w:sz w:val="18"/>
                <w:szCs w:val="18"/>
              </w:rPr>
              <w:t xml:space="preserve">1.1. – </w:t>
            </w:r>
            <w:r w:rsidR="00F36D0C" w:rsidRPr="0040073C">
              <w:rPr>
                <w:rFonts w:ascii="Arial" w:eastAsia="Calibri" w:hAnsi="Arial" w:cs="Arial"/>
                <w:b/>
                <w:bCs/>
                <w:iCs/>
                <w:color w:val="000000" w:themeColor="text1"/>
                <w:sz w:val="18"/>
                <w:szCs w:val="18"/>
              </w:rPr>
              <w:t>3</w:t>
            </w:r>
            <w:r w:rsidR="00F36D0C">
              <w:rPr>
                <w:rFonts w:ascii="Arial" w:eastAsia="Calibri" w:hAnsi="Arial" w:cs="Arial"/>
                <w:b/>
                <w:bCs/>
                <w:iCs/>
                <w:color w:val="000000" w:themeColor="text1"/>
                <w:sz w:val="18"/>
                <w:szCs w:val="18"/>
              </w:rPr>
              <w:t>0</w:t>
            </w:r>
            <w:r w:rsidRPr="0040073C">
              <w:rPr>
                <w:rFonts w:ascii="Arial" w:eastAsia="Calibri" w:hAnsi="Arial" w:cs="Arial"/>
                <w:b/>
                <w:bCs/>
                <w:iCs/>
                <w:color w:val="000000" w:themeColor="text1"/>
                <w:sz w:val="18"/>
                <w:szCs w:val="18"/>
              </w:rPr>
              <w:t>.</w:t>
            </w:r>
            <w:r w:rsidR="00157E80">
              <w:rPr>
                <w:rFonts w:ascii="Arial" w:eastAsia="Calibri" w:hAnsi="Arial" w:cs="Arial"/>
                <w:b/>
                <w:bCs/>
                <w:iCs/>
                <w:color w:val="000000" w:themeColor="text1"/>
                <w:sz w:val="18"/>
                <w:szCs w:val="18"/>
              </w:rPr>
              <w:t>9</w:t>
            </w:r>
            <w:r w:rsidR="0064018A" w:rsidRPr="0040073C">
              <w:rPr>
                <w:rFonts w:ascii="Arial" w:eastAsia="Calibri" w:hAnsi="Arial" w:cs="Arial"/>
                <w:b/>
                <w:bCs/>
                <w:iCs/>
                <w:color w:val="000000" w:themeColor="text1"/>
                <w:sz w:val="18"/>
                <w:szCs w:val="18"/>
              </w:rPr>
              <w:t>. 202</w:t>
            </w:r>
            <w:r w:rsidR="00386897">
              <w:rPr>
                <w:rFonts w:ascii="Arial" w:eastAsia="Calibri" w:hAnsi="Arial" w:cs="Arial"/>
                <w:b/>
                <w:bCs/>
                <w:iCs/>
                <w:color w:val="000000" w:themeColor="text1"/>
                <w:sz w:val="18"/>
                <w:szCs w:val="18"/>
              </w:rPr>
              <w:t>3</w:t>
            </w:r>
            <w:r w:rsidR="0064018A" w:rsidRPr="0040073C">
              <w:rPr>
                <w:rFonts w:ascii="Arial" w:eastAsia="Calibri" w:hAnsi="Arial" w:cs="Arial"/>
                <w:b/>
                <w:bCs/>
                <w:iCs/>
                <w:color w:val="000000" w:themeColor="text1"/>
                <w:sz w:val="18"/>
                <w:szCs w:val="18"/>
              </w:rPr>
              <w:t>.</w:t>
            </w:r>
            <w:bookmarkEnd w:id="525"/>
          </w:p>
        </w:tc>
        <w:tc>
          <w:tcPr>
            <w:tcW w:w="1299" w:type="dxa"/>
            <w:vAlign w:val="bottom"/>
          </w:tcPr>
          <w:p w14:paraId="0FB28E1E" w14:textId="700D802D" w:rsidR="0064018A" w:rsidRPr="0040073C" w:rsidRDefault="00D80505"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526" w:name="_Toc67329020"/>
            <w:r w:rsidRPr="0040073C">
              <w:rPr>
                <w:rFonts w:ascii="Arial" w:eastAsia="Calibri" w:hAnsi="Arial" w:cs="Arial"/>
                <w:b/>
                <w:bCs/>
                <w:iCs/>
                <w:color w:val="000000" w:themeColor="text1"/>
                <w:sz w:val="18"/>
                <w:szCs w:val="18"/>
              </w:rPr>
              <w:t xml:space="preserve">1.1. – </w:t>
            </w:r>
            <w:r w:rsidR="00F36D0C" w:rsidRPr="0040073C">
              <w:rPr>
                <w:rFonts w:ascii="Arial" w:eastAsia="Calibri" w:hAnsi="Arial" w:cs="Arial"/>
                <w:b/>
                <w:bCs/>
                <w:iCs/>
                <w:color w:val="000000" w:themeColor="text1"/>
                <w:sz w:val="18"/>
                <w:szCs w:val="18"/>
              </w:rPr>
              <w:t>3</w:t>
            </w:r>
            <w:r w:rsidR="00F36D0C">
              <w:rPr>
                <w:rFonts w:ascii="Arial" w:eastAsia="Calibri" w:hAnsi="Arial" w:cs="Arial"/>
                <w:b/>
                <w:bCs/>
                <w:iCs/>
                <w:color w:val="000000" w:themeColor="text1"/>
                <w:sz w:val="18"/>
                <w:szCs w:val="18"/>
              </w:rPr>
              <w:t>0</w:t>
            </w:r>
            <w:r w:rsidRPr="0040073C">
              <w:rPr>
                <w:rFonts w:ascii="Arial" w:eastAsia="Calibri" w:hAnsi="Arial" w:cs="Arial"/>
                <w:b/>
                <w:bCs/>
                <w:iCs/>
                <w:color w:val="000000" w:themeColor="text1"/>
                <w:sz w:val="18"/>
                <w:szCs w:val="18"/>
              </w:rPr>
              <w:t>.</w:t>
            </w:r>
            <w:r w:rsidR="00157E80">
              <w:rPr>
                <w:rFonts w:ascii="Arial" w:eastAsia="Calibri" w:hAnsi="Arial" w:cs="Arial"/>
                <w:b/>
                <w:bCs/>
                <w:iCs/>
                <w:color w:val="000000" w:themeColor="text1"/>
                <w:sz w:val="18"/>
                <w:szCs w:val="18"/>
              </w:rPr>
              <w:t>9</w:t>
            </w:r>
            <w:r w:rsidRPr="0040073C">
              <w:rPr>
                <w:rFonts w:ascii="Arial" w:eastAsia="Calibri" w:hAnsi="Arial" w:cs="Arial"/>
                <w:b/>
                <w:bCs/>
                <w:iCs/>
                <w:color w:val="000000" w:themeColor="text1"/>
                <w:sz w:val="18"/>
                <w:szCs w:val="18"/>
              </w:rPr>
              <w:t xml:space="preserve">. </w:t>
            </w:r>
            <w:r w:rsidR="0064018A" w:rsidRPr="0040073C">
              <w:rPr>
                <w:rFonts w:ascii="Arial" w:eastAsia="Calibri" w:hAnsi="Arial" w:cs="Arial"/>
                <w:b/>
                <w:bCs/>
                <w:iCs/>
                <w:color w:val="000000" w:themeColor="text1"/>
                <w:sz w:val="18"/>
                <w:szCs w:val="18"/>
              </w:rPr>
              <w:t>202</w:t>
            </w:r>
            <w:r w:rsidR="00386897">
              <w:rPr>
                <w:rFonts w:ascii="Arial" w:eastAsia="Calibri" w:hAnsi="Arial" w:cs="Arial"/>
                <w:b/>
                <w:bCs/>
                <w:iCs/>
                <w:color w:val="000000" w:themeColor="text1"/>
                <w:sz w:val="18"/>
                <w:szCs w:val="18"/>
              </w:rPr>
              <w:t>3</w:t>
            </w:r>
            <w:r w:rsidR="0064018A" w:rsidRPr="0040073C">
              <w:rPr>
                <w:rFonts w:ascii="Arial" w:eastAsia="Calibri" w:hAnsi="Arial" w:cs="Arial"/>
                <w:b/>
                <w:bCs/>
                <w:iCs/>
                <w:color w:val="000000" w:themeColor="text1"/>
                <w:sz w:val="18"/>
                <w:szCs w:val="18"/>
              </w:rPr>
              <w:t>.</w:t>
            </w:r>
            <w:bookmarkEnd w:id="526"/>
          </w:p>
        </w:tc>
      </w:tr>
      <w:tr w:rsidR="0064018A" w:rsidRPr="0040073C" w14:paraId="6735CD1C" w14:textId="77777777" w:rsidTr="0040073C">
        <w:trPr>
          <w:cantSplit/>
          <w:trHeight w:hRule="exact" w:val="284"/>
          <w:jc w:val="center"/>
        </w:trPr>
        <w:tc>
          <w:tcPr>
            <w:tcW w:w="3565" w:type="dxa"/>
            <w:vAlign w:val="bottom"/>
          </w:tcPr>
          <w:p w14:paraId="14E50706" w14:textId="77777777" w:rsidR="0064018A" w:rsidRPr="0040073C" w:rsidRDefault="0064018A" w:rsidP="0064018A">
            <w:pPr>
              <w:tabs>
                <w:tab w:val="right" w:pos="1202"/>
              </w:tabs>
              <w:suppressAutoHyphens/>
              <w:autoSpaceDN w:val="0"/>
              <w:outlineLvl w:val="0"/>
              <w:rPr>
                <w:rFonts w:ascii="Arial" w:eastAsia="Calibri" w:hAnsi="Arial" w:cs="Arial"/>
                <w:b/>
                <w:color w:val="000000" w:themeColor="text1"/>
                <w:sz w:val="18"/>
                <w:szCs w:val="18"/>
              </w:rPr>
            </w:pPr>
          </w:p>
        </w:tc>
        <w:tc>
          <w:tcPr>
            <w:tcW w:w="1350" w:type="dxa"/>
            <w:tcBorders>
              <w:top w:val="nil"/>
              <w:left w:val="nil"/>
              <w:bottom w:val="nil"/>
              <w:right w:val="nil"/>
            </w:tcBorders>
            <w:vAlign w:val="bottom"/>
          </w:tcPr>
          <w:p w14:paraId="314B3F1B" w14:textId="01CB63D5" w:rsidR="0064018A" w:rsidRPr="0040073C" w:rsidRDefault="0064018A"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527" w:name="_Toc67329021"/>
            <w:r w:rsidRPr="0040073C">
              <w:rPr>
                <w:rFonts w:ascii="Arial" w:eastAsia="Calibri" w:hAnsi="Arial" w:cs="Arial"/>
                <w:b/>
                <w:bCs/>
                <w:color w:val="000000" w:themeColor="text1"/>
                <w:sz w:val="18"/>
                <w:szCs w:val="18"/>
              </w:rPr>
              <w:t>000 eura</w:t>
            </w:r>
            <w:bookmarkEnd w:id="527"/>
          </w:p>
        </w:tc>
        <w:tc>
          <w:tcPr>
            <w:tcW w:w="1351" w:type="dxa"/>
            <w:tcBorders>
              <w:top w:val="nil"/>
              <w:left w:val="nil"/>
              <w:bottom w:val="nil"/>
              <w:right w:val="nil"/>
            </w:tcBorders>
            <w:vAlign w:val="bottom"/>
          </w:tcPr>
          <w:p w14:paraId="2EC0C50D" w14:textId="201E12B3" w:rsidR="0064018A" w:rsidRPr="0040073C" w:rsidRDefault="0064018A"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528" w:name="_Toc67329022"/>
            <w:r w:rsidRPr="0040073C">
              <w:rPr>
                <w:rFonts w:ascii="Arial" w:eastAsia="Calibri" w:hAnsi="Arial" w:cs="Arial"/>
                <w:b/>
                <w:bCs/>
                <w:color w:val="000000" w:themeColor="text1"/>
                <w:sz w:val="18"/>
                <w:szCs w:val="18"/>
              </w:rPr>
              <w:t>000 eura</w:t>
            </w:r>
            <w:bookmarkEnd w:id="528"/>
          </w:p>
        </w:tc>
        <w:tc>
          <w:tcPr>
            <w:tcW w:w="1215" w:type="dxa"/>
            <w:tcBorders>
              <w:top w:val="nil"/>
              <w:left w:val="nil"/>
              <w:bottom w:val="nil"/>
              <w:right w:val="nil"/>
            </w:tcBorders>
            <w:vAlign w:val="bottom"/>
          </w:tcPr>
          <w:p w14:paraId="3454602F" w14:textId="29EC2F7B" w:rsidR="0064018A" w:rsidRPr="0040073C" w:rsidRDefault="0064018A"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529" w:name="_Toc67329023"/>
            <w:r w:rsidRPr="0040073C">
              <w:rPr>
                <w:rFonts w:ascii="Arial" w:eastAsia="Calibri" w:hAnsi="Arial" w:cs="Arial"/>
                <w:b/>
                <w:bCs/>
                <w:color w:val="000000" w:themeColor="text1"/>
                <w:sz w:val="18"/>
                <w:szCs w:val="18"/>
              </w:rPr>
              <w:t>000 eura</w:t>
            </w:r>
            <w:bookmarkEnd w:id="529"/>
          </w:p>
        </w:tc>
        <w:tc>
          <w:tcPr>
            <w:tcW w:w="1299" w:type="dxa"/>
            <w:tcBorders>
              <w:top w:val="nil"/>
              <w:left w:val="nil"/>
              <w:bottom w:val="nil"/>
              <w:right w:val="nil"/>
            </w:tcBorders>
            <w:vAlign w:val="bottom"/>
          </w:tcPr>
          <w:p w14:paraId="23FACA76" w14:textId="3CB1F8F7" w:rsidR="0064018A" w:rsidRPr="0040073C" w:rsidRDefault="0064018A"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530" w:name="_Toc67329024"/>
            <w:r w:rsidRPr="0040073C">
              <w:rPr>
                <w:rFonts w:ascii="Arial" w:eastAsia="Calibri" w:hAnsi="Arial" w:cs="Arial"/>
                <w:b/>
                <w:bCs/>
                <w:color w:val="000000" w:themeColor="text1"/>
                <w:sz w:val="18"/>
                <w:szCs w:val="18"/>
              </w:rPr>
              <w:t>000 eura</w:t>
            </w:r>
            <w:bookmarkEnd w:id="530"/>
          </w:p>
        </w:tc>
      </w:tr>
      <w:tr w:rsidR="00577D2D" w:rsidRPr="0040073C" w14:paraId="51CE86E9" w14:textId="77777777" w:rsidTr="00021FD7">
        <w:trPr>
          <w:cantSplit/>
          <w:trHeight w:hRule="exact" w:val="284"/>
          <w:jc w:val="center"/>
        </w:trPr>
        <w:tc>
          <w:tcPr>
            <w:tcW w:w="3565" w:type="dxa"/>
            <w:vAlign w:val="bottom"/>
          </w:tcPr>
          <w:p w14:paraId="160A8683" w14:textId="77777777" w:rsidR="00577D2D" w:rsidRPr="0040073C" w:rsidRDefault="00577D2D" w:rsidP="00577D2D">
            <w:pPr>
              <w:tabs>
                <w:tab w:val="right" w:pos="1202"/>
              </w:tabs>
              <w:suppressAutoHyphens/>
              <w:autoSpaceDN w:val="0"/>
              <w:outlineLvl w:val="0"/>
              <w:rPr>
                <w:rFonts w:ascii="Arial" w:eastAsia="Calibri" w:hAnsi="Arial" w:cs="Arial"/>
                <w:color w:val="000000" w:themeColor="text1"/>
                <w:sz w:val="18"/>
                <w:szCs w:val="18"/>
              </w:rPr>
            </w:pPr>
            <w:bookmarkStart w:id="531" w:name="_Toc67329025"/>
            <w:r w:rsidRPr="0040073C">
              <w:rPr>
                <w:rFonts w:ascii="Arial" w:eastAsia="Calibri" w:hAnsi="Arial" w:cs="Arial"/>
                <w:color w:val="000000" w:themeColor="text1"/>
                <w:sz w:val="18"/>
                <w:szCs w:val="18"/>
              </w:rPr>
              <w:t>Vlasnik</w:t>
            </w:r>
            <w:bookmarkEnd w:id="531"/>
          </w:p>
        </w:tc>
        <w:tc>
          <w:tcPr>
            <w:tcW w:w="1350" w:type="dxa"/>
            <w:shd w:val="clear" w:color="auto" w:fill="auto"/>
            <w:vAlign w:val="bottom"/>
          </w:tcPr>
          <w:p w14:paraId="2CD7132D" w14:textId="25125CB0" w:rsidR="00577D2D" w:rsidRPr="00021FD7" w:rsidRDefault="00577D2D" w:rsidP="00577D2D">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664D89">
              <w:rPr>
                <w:rFonts w:ascii="Arial" w:eastAsia="Times New Roman" w:hAnsi="Arial" w:cs="Arial"/>
                <w:color w:val="000000"/>
                <w:sz w:val="18"/>
                <w:szCs w:val="18"/>
              </w:rPr>
              <w:t>6.436</w:t>
            </w:r>
          </w:p>
        </w:tc>
        <w:tc>
          <w:tcPr>
            <w:tcW w:w="1351" w:type="dxa"/>
            <w:shd w:val="clear" w:color="auto" w:fill="auto"/>
            <w:vAlign w:val="bottom"/>
          </w:tcPr>
          <w:p w14:paraId="5207790B" w14:textId="4C7A8FF9" w:rsidR="00577D2D" w:rsidRPr="00021FD7" w:rsidRDefault="00577D2D" w:rsidP="00577D2D">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664D89">
              <w:rPr>
                <w:rFonts w:ascii="Arial" w:eastAsia="Times New Roman" w:hAnsi="Arial" w:cs="Arial"/>
                <w:color w:val="000000"/>
                <w:sz w:val="18"/>
                <w:szCs w:val="18"/>
              </w:rPr>
              <w:t>9.078</w:t>
            </w:r>
          </w:p>
        </w:tc>
        <w:tc>
          <w:tcPr>
            <w:tcW w:w="1215" w:type="dxa"/>
            <w:shd w:val="clear" w:color="auto" w:fill="auto"/>
            <w:vAlign w:val="bottom"/>
          </w:tcPr>
          <w:p w14:paraId="03BB70B8" w14:textId="07F14AAE" w:rsidR="00577D2D" w:rsidRPr="0040073C" w:rsidRDefault="00577D2D" w:rsidP="00577D2D">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906003">
              <w:rPr>
                <w:rFonts w:ascii="Arial" w:eastAsia="Times New Roman" w:hAnsi="Arial" w:cs="Arial"/>
                <w:bCs/>
                <w:iCs/>
                <w:color w:val="000000"/>
                <w:sz w:val="18"/>
                <w:szCs w:val="18"/>
                <w:lang w:val="en-US"/>
              </w:rPr>
              <w:t>5</w:t>
            </w:r>
            <w:r>
              <w:rPr>
                <w:rFonts w:ascii="Arial" w:eastAsia="Times New Roman" w:hAnsi="Arial" w:cs="Arial"/>
                <w:bCs/>
                <w:iCs/>
                <w:color w:val="000000"/>
                <w:sz w:val="18"/>
                <w:szCs w:val="18"/>
                <w:lang w:val="en-US"/>
              </w:rPr>
              <w:t>.</w:t>
            </w:r>
            <w:r w:rsidRPr="00906003">
              <w:rPr>
                <w:rFonts w:ascii="Arial" w:eastAsia="Times New Roman" w:hAnsi="Arial" w:cs="Arial"/>
                <w:bCs/>
                <w:iCs/>
                <w:color w:val="000000"/>
                <w:sz w:val="18"/>
                <w:szCs w:val="18"/>
                <w:lang w:val="en-US"/>
              </w:rPr>
              <w:t>524</w:t>
            </w:r>
          </w:p>
        </w:tc>
        <w:tc>
          <w:tcPr>
            <w:tcW w:w="1299" w:type="dxa"/>
            <w:shd w:val="clear" w:color="auto" w:fill="auto"/>
            <w:vAlign w:val="bottom"/>
          </w:tcPr>
          <w:p w14:paraId="48DFEE87" w14:textId="4ECAB294" w:rsidR="00577D2D" w:rsidRPr="0040073C" w:rsidRDefault="00577D2D" w:rsidP="00577D2D">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906003">
              <w:rPr>
                <w:rFonts w:ascii="Arial" w:eastAsia="Calibri" w:hAnsi="Arial" w:cs="Arial"/>
                <w:sz w:val="18"/>
                <w:szCs w:val="18"/>
                <w:lang w:val="en-US"/>
              </w:rPr>
              <w:t>1</w:t>
            </w:r>
            <w:r>
              <w:rPr>
                <w:rFonts w:ascii="Arial" w:eastAsia="Calibri" w:hAnsi="Arial" w:cs="Arial"/>
                <w:sz w:val="18"/>
                <w:szCs w:val="18"/>
                <w:lang w:val="en-US"/>
              </w:rPr>
              <w:t>.</w:t>
            </w:r>
            <w:r w:rsidRPr="00906003">
              <w:rPr>
                <w:rFonts w:ascii="Arial" w:eastAsia="Calibri" w:hAnsi="Arial" w:cs="Arial"/>
                <w:sz w:val="18"/>
                <w:szCs w:val="18"/>
                <w:lang w:val="en-US"/>
              </w:rPr>
              <w:t>919</w:t>
            </w:r>
          </w:p>
        </w:tc>
      </w:tr>
      <w:tr w:rsidR="00577D2D" w:rsidRPr="0040073C" w14:paraId="3DF47021" w14:textId="77777777" w:rsidTr="00021FD7">
        <w:trPr>
          <w:cantSplit/>
          <w:trHeight w:hRule="exact" w:val="284"/>
          <w:jc w:val="center"/>
        </w:trPr>
        <w:tc>
          <w:tcPr>
            <w:tcW w:w="3565" w:type="dxa"/>
            <w:vAlign w:val="bottom"/>
          </w:tcPr>
          <w:p w14:paraId="7B1A78A0" w14:textId="77777777" w:rsidR="00577D2D" w:rsidRPr="0040073C" w:rsidRDefault="00577D2D" w:rsidP="00577D2D">
            <w:pPr>
              <w:tabs>
                <w:tab w:val="right" w:pos="1202"/>
              </w:tabs>
              <w:suppressAutoHyphens/>
              <w:autoSpaceDN w:val="0"/>
              <w:outlineLvl w:val="0"/>
              <w:rPr>
                <w:rFonts w:ascii="Arial" w:eastAsia="Calibri" w:hAnsi="Arial" w:cs="Arial"/>
                <w:color w:val="000000" w:themeColor="text1"/>
                <w:sz w:val="18"/>
                <w:szCs w:val="18"/>
              </w:rPr>
            </w:pPr>
            <w:bookmarkStart w:id="532" w:name="_Toc67329030"/>
            <w:r w:rsidRPr="0040073C">
              <w:rPr>
                <w:rFonts w:ascii="Arial" w:eastAsia="Calibri" w:hAnsi="Arial" w:cs="Arial"/>
                <w:color w:val="000000" w:themeColor="text1"/>
                <w:sz w:val="18"/>
                <w:szCs w:val="18"/>
              </w:rPr>
              <w:t>Državni fondovi, izvršna tijela i agencije</w:t>
            </w:r>
            <w:bookmarkEnd w:id="532"/>
          </w:p>
        </w:tc>
        <w:tc>
          <w:tcPr>
            <w:tcW w:w="1350" w:type="dxa"/>
            <w:shd w:val="clear" w:color="auto" w:fill="auto"/>
            <w:vAlign w:val="bottom"/>
          </w:tcPr>
          <w:p w14:paraId="4192861D" w14:textId="14F21A9A" w:rsidR="00577D2D" w:rsidRPr="00021FD7" w:rsidRDefault="00577D2D" w:rsidP="00577D2D">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664D89">
              <w:rPr>
                <w:rFonts w:ascii="Arial" w:eastAsia="Times New Roman" w:hAnsi="Arial" w:cs="Arial"/>
                <w:color w:val="000000"/>
                <w:sz w:val="18"/>
                <w:szCs w:val="18"/>
              </w:rPr>
              <w:t>10.341</w:t>
            </w:r>
          </w:p>
        </w:tc>
        <w:tc>
          <w:tcPr>
            <w:tcW w:w="1351" w:type="dxa"/>
            <w:shd w:val="clear" w:color="auto" w:fill="auto"/>
            <w:vAlign w:val="bottom"/>
          </w:tcPr>
          <w:p w14:paraId="2D2FE745" w14:textId="26F342F0" w:rsidR="00577D2D" w:rsidRPr="00021FD7" w:rsidRDefault="00577D2D" w:rsidP="00577D2D">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664D89">
              <w:rPr>
                <w:rFonts w:ascii="Arial" w:eastAsia="Times New Roman" w:hAnsi="Arial" w:cs="Arial"/>
                <w:color w:val="000000"/>
                <w:sz w:val="18"/>
                <w:szCs w:val="18"/>
              </w:rPr>
              <w:t>67</w:t>
            </w:r>
          </w:p>
        </w:tc>
        <w:tc>
          <w:tcPr>
            <w:tcW w:w="1215" w:type="dxa"/>
            <w:shd w:val="clear" w:color="auto" w:fill="auto"/>
            <w:vAlign w:val="bottom"/>
          </w:tcPr>
          <w:p w14:paraId="21C808A7" w14:textId="5131A88A" w:rsidR="00577D2D" w:rsidRPr="0040073C" w:rsidRDefault="00577D2D" w:rsidP="00577D2D">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906003">
              <w:rPr>
                <w:rFonts w:ascii="Arial" w:eastAsia="Times New Roman" w:hAnsi="Arial" w:cs="Arial"/>
                <w:bCs/>
                <w:iCs/>
                <w:color w:val="000000"/>
                <w:sz w:val="18"/>
                <w:szCs w:val="18"/>
                <w:lang w:val="en-US"/>
              </w:rPr>
              <w:t>12</w:t>
            </w:r>
            <w:r>
              <w:rPr>
                <w:rFonts w:ascii="Arial" w:eastAsia="Times New Roman" w:hAnsi="Arial" w:cs="Arial"/>
                <w:bCs/>
                <w:iCs/>
                <w:color w:val="000000"/>
                <w:sz w:val="18"/>
                <w:szCs w:val="18"/>
                <w:lang w:val="en-US"/>
              </w:rPr>
              <w:t>.</w:t>
            </w:r>
            <w:r w:rsidRPr="00906003">
              <w:rPr>
                <w:rFonts w:ascii="Arial" w:eastAsia="Times New Roman" w:hAnsi="Arial" w:cs="Arial"/>
                <w:bCs/>
                <w:iCs/>
                <w:color w:val="000000"/>
                <w:sz w:val="18"/>
                <w:szCs w:val="18"/>
                <w:lang w:val="en-US"/>
              </w:rPr>
              <w:t>247</w:t>
            </w:r>
          </w:p>
        </w:tc>
        <w:tc>
          <w:tcPr>
            <w:tcW w:w="1299" w:type="dxa"/>
            <w:shd w:val="clear" w:color="auto" w:fill="auto"/>
            <w:vAlign w:val="bottom"/>
          </w:tcPr>
          <w:p w14:paraId="1200A631" w14:textId="791B88A0" w:rsidR="00577D2D" w:rsidRPr="0040073C" w:rsidRDefault="00577D2D" w:rsidP="00577D2D">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906003">
              <w:rPr>
                <w:rFonts w:ascii="Arial" w:eastAsia="Times New Roman" w:hAnsi="Arial" w:cs="Arial"/>
                <w:bCs/>
                <w:iCs/>
                <w:sz w:val="18"/>
                <w:szCs w:val="18"/>
                <w:lang w:val="en-US"/>
              </w:rPr>
              <w:t>130</w:t>
            </w:r>
          </w:p>
        </w:tc>
      </w:tr>
      <w:tr w:rsidR="00577D2D" w:rsidRPr="0040073C" w14:paraId="5AD55F4A" w14:textId="77777777" w:rsidTr="00021FD7">
        <w:trPr>
          <w:cantSplit/>
          <w:trHeight w:hRule="exact" w:val="284"/>
          <w:jc w:val="center"/>
        </w:trPr>
        <w:tc>
          <w:tcPr>
            <w:tcW w:w="3565" w:type="dxa"/>
            <w:vAlign w:val="bottom"/>
          </w:tcPr>
          <w:p w14:paraId="657E8305" w14:textId="77777777" w:rsidR="00577D2D" w:rsidRPr="0040073C" w:rsidRDefault="00577D2D" w:rsidP="00577D2D">
            <w:pPr>
              <w:tabs>
                <w:tab w:val="right" w:pos="1202"/>
              </w:tabs>
              <w:suppressAutoHyphens/>
              <w:autoSpaceDN w:val="0"/>
              <w:outlineLvl w:val="0"/>
              <w:rPr>
                <w:rFonts w:ascii="Arial" w:eastAsia="Calibri" w:hAnsi="Arial" w:cs="Arial"/>
                <w:color w:val="000000" w:themeColor="text1"/>
                <w:sz w:val="18"/>
                <w:szCs w:val="18"/>
              </w:rPr>
            </w:pPr>
            <w:bookmarkStart w:id="533" w:name="_Toc67329035"/>
            <w:r w:rsidRPr="0040073C">
              <w:rPr>
                <w:rFonts w:ascii="Arial" w:eastAsia="Calibri" w:hAnsi="Arial" w:cs="Arial"/>
                <w:color w:val="000000" w:themeColor="text1"/>
                <w:sz w:val="18"/>
                <w:szCs w:val="18"/>
              </w:rPr>
              <w:t>Državna trgovačka društva</w:t>
            </w:r>
            <w:bookmarkEnd w:id="533"/>
          </w:p>
        </w:tc>
        <w:tc>
          <w:tcPr>
            <w:tcW w:w="1350" w:type="dxa"/>
            <w:shd w:val="clear" w:color="auto" w:fill="auto"/>
            <w:vAlign w:val="bottom"/>
          </w:tcPr>
          <w:p w14:paraId="41753946" w14:textId="5D5BC57B" w:rsidR="00577D2D" w:rsidRPr="00021FD7" w:rsidRDefault="00577D2D" w:rsidP="00577D2D">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664D89">
              <w:rPr>
                <w:rFonts w:ascii="Arial" w:eastAsia="Times New Roman" w:hAnsi="Arial" w:cs="Arial"/>
                <w:color w:val="000000"/>
                <w:sz w:val="18"/>
                <w:szCs w:val="18"/>
              </w:rPr>
              <w:t>11.996</w:t>
            </w:r>
          </w:p>
        </w:tc>
        <w:tc>
          <w:tcPr>
            <w:tcW w:w="1351" w:type="dxa"/>
            <w:shd w:val="clear" w:color="auto" w:fill="auto"/>
            <w:vAlign w:val="bottom"/>
          </w:tcPr>
          <w:p w14:paraId="4922FFD5" w14:textId="24B3E6C9" w:rsidR="00577D2D" w:rsidRPr="00021FD7" w:rsidRDefault="00577D2D" w:rsidP="00577D2D">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664D89">
              <w:rPr>
                <w:rFonts w:ascii="Arial" w:eastAsia="Times New Roman" w:hAnsi="Arial" w:cs="Arial"/>
                <w:color w:val="000000"/>
                <w:sz w:val="18"/>
                <w:szCs w:val="18"/>
              </w:rPr>
              <w:t>4.096</w:t>
            </w:r>
          </w:p>
        </w:tc>
        <w:tc>
          <w:tcPr>
            <w:tcW w:w="1215" w:type="dxa"/>
            <w:shd w:val="clear" w:color="auto" w:fill="auto"/>
            <w:vAlign w:val="bottom"/>
          </w:tcPr>
          <w:p w14:paraId="5EBD5A34" w14:textId="305561CE" w:rsidR="00577D2D" w:rsidRPr="0040073C" w:rsidRDefault="00577D2D" w:rsidP="00577D2D">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906003">
              <w:rPr>
                <w:rFonts w:ascii="Arial" w:eastAsia="Times New Roman" w:hAnsi="Arial" w:cs="Arial"/>
                <w:bCs/>
                <w:iCs/>
                <w:color w:val="000000"/>
                <w:sz w:val="18"/>
                <w:szCs w:val="18"/>
                <w:lang w:val="en-US"/>
              </w:rPr>
              <w:t>7</w:t>
            </w:r>
            <w:r>
              <w:rPr>
                <w:rFonts w:ascii="Arial" w:eastAsia="Times New Roman" w:hAnsi="Arial" w:cs="Arial"/>
                <w:bCs/>
                <w:iCs/>
                <w:color w:val="000000"/>
                <w:sz w:val="18"/>
                <w:szCs w:val="18"/>
                <w:lang w:val="en-US"/>
              </w:rPr>
              <w:t>.</w:t>
            </w:r>
            <w:r w:rsidRPr="00906003">
              <w:rPr>
                <w:rFonts w:ascii="Arial" w:eastAsia="Times New Roman" w:hAnsi="Arial" w:cs="Arial"/>
                <w:bCs/>
                <w:iCs/>
                <w:color w:val="000000"/>
                <w:sz w:val="18"/>
                <w:szCs w:val="18"/>
                <w:lang w:val="en-US"/>
              </w:rPr>
              <w:t>114</w:t>
            </w:r>
          </w:p>
        </w:tc>
        <w:tc>
          <w:tcPr>
            <w:tcW w:w="1299" w:type="dxa"/>
            <w:shd w:val="clear" w:color="auto" w:fill="auto"/>
            <w:vAlign w:val="bottom"/>
          </w:tcPr>
          <w:p w14:paraId="213A7634" w14:textId="5695E317" w:rsidR="00577D2D" w:rsidRPr="0040073C" w:rsidRDefault="00577D2D" w:rsidP="00577D2D">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906003">
              <w:rPr>
                <w:rFonts w:ascii="Arial" w:eastAsia="Times New Roman" w:hAnsi="Arial" w:cs="Arial"/>
                <w:bCs/>
                <w:iCs/>
                <w:sz w:val="18"/>
                <w:szCs w:val="18"/>
                <w:lang w:val="en-US"/>
              </w:rPr>
              <w:t>3</w:t>
            </w:r>
            <w:r>
              <w:rPr>
                <w:rFonts w:ascii="Arial" w:eastAsia="Times New Roman" w:hAnsi="Arial" w:cs="Arial"/>
                <w:bCs/>
                <w:iCs/>
                <w:sz w:val="18"/>
                <w:szCs w:val="18"/>
                <w:lang w:val="en-US"/>
              </w:rPr>
              <w:t>.</w:t>
            </w:r>
            <w:r w:rsidRPr="00906003">
              <w:rPr>
                <w:rFonts w:ascii="Arial" w:eastAsia="Times New Roman" w:hAnsi="Arial" w:cs="Arial"/>
                <w:bCs/>
                <w:iCs/>
                <w:sz w:val="18"/>
                <w:szCs w:val="18"/>
                <w:lang w:val="en-US"/>
              </w:rPr>
              <w:t>025</w:t>
            </w:r>
          </w:p>
        </w:tc>
      </w:tr>
      <w:tr w:rsidR="00577D2D" w:rsidRPr="0040073C" w14:paraId="7A61577B" w14:textId="77777777" w:rsidTr="0040073C">
        <w:trPr>
          <w:cantSplit/>
          <w:trHeight w:hRule="exact" w:val="284"/>
          <w:jc w:val="center"/>
        </w:trPr>
        <w:tc>
          <w:tcPr>
            <w:tcW w:w="3565" w:type="dxa"/>
            <w:vAlign w:val="bottom"/>
          </w:tcPr>
          <w:p w14:paraId="5D0837B1" w14:textId="149A104B" w:rsidR="00577D2D" w:rsidRPr="0040073C" w:rsidRDefault="00577D2D" w:rsidP="00577D2D">
            <w:pPr>
              <w:tabs>
                <w:tab w:val="right" w:pos="1202"/>
              </w:tabs>
              <w:suppressAutoHyphens/>
              <w:autoSpaceDN w:val="0"/>
              <w:outlineLvl w:val="0"/>
              <w:rPr>
                <w:rFonts w:ascii="Arial" w:eastAsia="Calibri" w:hAnsi="Arial" w:cs="Arial"/>
                <w:color w:val="000000" w:themeColor="text1"/>
                <w:sz w:val="18"/>
                <w:szCs w:val="18"/>
              </w:rPr>
            </w:pPr>
            <w:r w:rsidRPr="0087267F">
              <w:rPr>
                <w:rFonts w:ascii="Arial" w:eastAsia="Calibri" w:hAnsi="Arial" w:cs="Arial"/>
                <w:color w:val="000000" w:themeColor="text1"/>
                <w:sz w:val="18"/>
                <w:szCs w:val="18"/>
              </w:rPr>
              <w:t>Ključni članovi rukovodstva</w:t>
            </w:r>
          </w:p>
        </w:tc>
        <w:tc>
          <w:tcPr>
            <w:tcW w:w="1350" w:type="dxa"/>
            <w:shd w:val="clear" w:color="auto" w:fill="auto"/>
            <w:vAlign w:val="bottom"/>
          </w:tcPr>
          <w:p w14:paraId="1F4D57C5" w14:textId="24A98476" w:rsidR="00577D2D" w:rsidRPr="0040073C" w:rsidRDefault="00577D2D" w:rsidP="00577D2D">
            <w:pPr>
              <w:tabs>
                <w:tab w:val="right" w:pos="1202"/>
              </w:tabs>
              <w:suppressAutoHyphens/>
              <w:autoSpaceDN w:val="0"/>
              <w:jc w:val="right"/>
              <w:outlineLvl w:val="0"/>
              <w:rPr>
                <w:rFonts w:ascii="Arial" w:hAnsi="Arial" w:cs="Arial"/>
                <w:sz w:val="18"/>
                <w:szCs w:val="18"/>
              </w:rPr>
            </w:pPr>
            <w:r>
              <w:rPr>
                <w:rFonts w:ascii="Arial" w:hAnsi="Arial" w:cs="Arial"/>
                <w:sz w:val="18"/>
                <w:szCs w:val="18"/>
              </w:rPr>
              <w:t>6</w:t>
            </w:r>
          </w:p>
        </w:tc>
        <w:tc>
          <w:tcPr>
            <w:tcW w:w="1351" w:type="dxa"/>
            <w:shd w:val="clear" w:color="auto" w:fill="auto"/>
            <w:vAlign w:val="bottom"/>
          </w:tcPr>
          <w:p w14:paraId="752CEB91" w14:textId="164B7BBC" w:rsidR="00577D2D" w:rsidRPr="0040073C" w:rsidRDefault="00577D2D" w:rsidP="00577D2D">
            <w:pPr>
              <w:tabs>
                <w:tab w:val="right" w:pos="1202"/>
              </w:tabs>
              <w:suppressAutoHyphens/>
              <w:autoSpaceDN w:val="0"/>
              <w:jc w:val="right"/>
              <w:outlineLvl w:val="0"/>
              <w:rPr>
                <w:rFonts w:ascii="Arial" w:hAnsi="Arial" w:cs="Arial"/>
                <w:sz w:val="18"/>
                <w:szCs w:val="18"/>
              </w:rPr>
            </w:pPr>
            <w:r w:rsidRPr="00664D89">
              <w:rPr>
                <w:rFonts w:ascii="Arial" w:hAnsi="Arial" w:cs="Arial"/>
                <w:sz w:val="18"/>
                <w:szCs w:val="18"/>
              </w:rPr>
              <w:t>1.049</w:t>
            </w:r>
          </w:p>
        </w:tc>
        <w:tc>
          <w:tcPr>
            <w:tcW w:w="1215" w:type="dxa"/>
            <w:shd w:val="clear" w:color="auto" w:fill="auto"/>
            <w:vAlign w:val="bottom"/>
          </w:tcPr>
          <w:p w14:paraId="5756130F" w14:textId="4F35DF97" w:rsidR="00577D2D" w:rsidRPr="0040073C" w:rsidRDefault="00577D2D" w:rsidP="00577D2D">
            <w:pPr>
              <w:tabs>
                <w:tab w:val="right" w:pos="1202"/>
              </w:tabs>
              <w:suppressAutoHyphens/>
              <w:autoSpaceDN w:val="0"/>
              <w:spacing w:line="280" w:lineRule="exact"/>
              <w:jc w:val="right"/>
              <w:outlineLvl w:val="0"/>
              <w:rPr>
                <w:rFonts w:ascii="Arial" w:eastAsia="Times New Roman" w:hAnsi="Arial" w:cs="Arial"/>
                <w:color w:val="000000"/>
                <w:sz w:val="18"/>
                <w:szCs w:val="18"/>
              </w:rPr>
            </w:pPr>
            <w:r>
              <w:rPr>
                <w:rFonts w:ascii="Arial" w:eastAsia="Times New Roman" w:hAnsi="Arial" w:cs="Arial"/>
                <w:bCs/>
                <w:iCs/>
                <w:color w:val="000000"/>
                <w:sz w:val="18"/>
                <w:szCs w:val="18"/>
                <w:lang w:val="en-US"/>
              </w:rPr>
              <w:t>8</w:t>
            </w:r>
          </w:p>
        </w:tc>
        <w:tc>
          <w:tcPr>
            <w:tcW w:w="1299" w:type="dxa"/>
            <w:shd w:val="clear" w:color="auto" w:fill="auto"/>
            <w:vAlign w:val="bottom"/>
          </w:tcPr>
          <w:p w14:paraId="1C260A2E" w14:textId="60CF95D2" w:rsidR="00577D2D" w:rsidRPr="0040073C" w:rsidRDefault="00577D2D" w:rsidP="00577D2D">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906003">
              <w:rPr>
                <w:rFonts w:ascii="Arial" w:eastAsia="Times New Roman" w:hAnsi="Arial" w:cs="Arial"/>
                <w:bCs/>
                <w:iCs/>
                <w:sz w:val="18"/>
                <w:szCs w:val="18"/>
                <w:lang w:val="en-US"/>
              </w:rPr>
              <w:t>1</w:t>
            </w:r>
            <w:r>
              <w:rPr>
                <w:rFonts w:ascii="Arial" w:eastAsia="Times New Roman" w:hAnsi="Arial" w:cs="Arial"/>
                <w:bCs/>
                <w:iCs/>
                <w:sz w:val="18"/>
                <w:szCs w:val="18"/>
                <w:lang w:val="en-US"/>
              </w:rPr>
              <w:t>.</w:t>
            </w:r>
            <w:r w:rsidRPr="00906003">
              <w:rPr>
                <w:rFonts w:ascii="Arial" w:eastAsia="Times New Roman" w:hAnsi="Arial" w:cs="Arial"/>
                <w:bCs/>
                <w:iCs/>
                <w:sz w:val="18"/>
                <w:szCs w:val="18"/>
                <w:lang w:val="en-US"/>
              </w:rPr>
              <w:t>150</w:t>
            </w:r>
          </w:p>
        </w:tc>
      </w:tr>
      <w:tr w:rsidR="00577D2D" w:rsidRPr="0040073C" w14:paraId="70155BCC" w14:textId="77777777" w:rsidTr="00021FD7">
        <w:trPr>
          <w:cantSplit/>
          <w:trHeight w:val="323"/>
          <w:jc w:val="center"/>
        </w:trPr>
        <w:tc>
          <w:tcPr>
            <w:tcW w:w="3565" w:type="dxa"/>
            <w:vAlign w:val="bottom"/>
          </w:tcPr>
          <w:p w14:paraId="6CDA30BC" w14:textId="77777777" w:rsidR="00577D2D" w:rsidRPr="0040073C" w:rsidRDefault="00577D2D" w:rsidP="00577D2D">
            <w:pPr>
              <w:tabs>
                <w:tab w:val="right" w:pos="1202"/>
              </w:tabs>
              <w:suppressAutoHyphens/>
              <w:autoSpaceDN w:val="0"/>
              <w:outlineLvl w:val="0"/>
              <w:rPr>
                <w:rFonts w:ascii="Arial" w:eastAsia="Calibri" w:hAnsi="Arial" w:cs="Arial"/>
                <w:b/>
                <w:color w:val="000000" w:themeColor="text1"/>
                <w:sz w:val="18"/>
                <w:szCs w:val="18"/>
              </w:rPr>
            </w:pPr>
            <w:bookmarkStart w:id="534" w:name="_Toc67329050"/>
            <w:r w:rsidRPr="0040073C">
              <w:rPr>
                <w:rFonts w:ascii="Arial" w:eastAsia="Calibri" w:hAnsi="Arial" w:cs="Arial"/>
                <w:b/>
                <w:color w:val="000000" w:themeColor="text1"/>
                <w:sz w:val="18"/>
                <w:szCs w:val="18"/>
              </w:rPr>
              <w:t>Ukupno</w:t>
            </w:r>
            <w:bookmarkEnd w:id="534"/>
          </w:p>
        </w:tc>
        <w:tc>
          <w:tcPr>
            <w:tcW w:w="1350" w:type="dxa"/>
            <w:tcBorders>
              <w:top w:val="single" w:sz="4" w:space="0" w:color="auto"/>
              <w:bottom w:val="single" w:sz="12" w:space="0" w:color="auto"/>
            </w:tcBorders>
            <w:shd w:val="clear" w:color="auto" w:fill="auto"/>
            <w:vAlign w:val="bottom"/>
          </w:tcPr>
          <w:p w14:paraId="098C85A6" w14:textId="68D69F1B" w:rsidR="00577D2D" w:rsidRPr="00021FD7" w:rsidRDefault="00577D2D" w:rsidP="00577D2D">
            <w:pPr>
              <w:tabs>
                <w:tab w:val="right" w:pos="1202"/>
              </w:tabs>
              <w:suppressAutoHyphens/>
              <w:autoSpaceDN w:val="0"/>
              <w:spacing w:line="280" w:lineRule="exact"/>
              <w:jc w:val="right"/>
              <w:outlineLvl w:val="0"/>
              <w:rPr>
                <w:rFonts w:ascii="Arial" w:eastAsia="Times New Roman" w:hAnsi="Arial" w:cs="Arial"/>
                <w:b/>
                <w:bCs/>
                <w:color w:val="000000"/>
                <w:sz w:val="18"/>
                <w:szCs w:val="18"/>
              </w:rPr>
            </w:pPr>
            <w:r w:rsidRPr="00664D89">
              <w:rPr>
                <w:rFonts w:ascii="Arial" w:eastAsia="Times New Roman" w:hAnsi="Arial" w:cs="Arial"/>
                <w:b/>
                <w:bCs/>
                <w:color w:val="000000"/>
                <w:sz w:val="18"/>
                <w:szCs w:val="18"/>
              </w:rPr>
              <w:t>28.779</w:t>
            </w:r>
          </w:p>
        </w:tc>
        <w:tc>
          <w:tcPr>
            <w:tcW w:w="1351" w:type="dxa"/>
            <w:tcBorders>
              <w:top w:val="single" w:sz="4" w:space="0" w:color="auto"/>
              <w:bottom w:val="single" w:sz="12" w:space="0" w:color="auto"/>
            </w:tcBorders>
            <w:shd w:val="clear" w:color="auto" w:fill="auto"/>
            <w:vAlign w:val="bottom"/>
          </w:tcPr>
          <w:p w14:paraId="6EEFF3C3" w14:textId="0CA2B769" w:rsidR="00577D2D" w:rsidRPr="00021FD7" w:rsidRDefault="00577D2D" w:rsidP="00577D2D">
            <w:pPr>
              <w:tabs>
                <w:tab w:val="right" w:pos="1202"/>
              </w:tabs>
              <w:suppressAutoHyphens/>
              <w:autoSpaceDN w:val="0"/>
              <w:spacing w:line="280" w:lineRule="exact"/>
              <w:jc w:val="right"/>
              <w:outlineLvl w:val="0"/>
              <w:rPr>
                <w:rFonts w:ascii="Arial" w:eastAsia="Times New Roman" w:hAnsi="Arial" w:cs="Arial"/>
                <w:b/>
                <w:bCs/>
                <w:color w:val="000000"/>
                <w:sz w:val="18"/>
                <w:szCs w:val="18"/>
              </w:rPr>
            </w:pPr>
            <w:r w:rsidRPr="00664D89">
              <w:rPr>
                <w:rFonts w:ascii="Arial" w:eastAsia="Times New Roman" w:hAnsi="Arial" w:cs="Arial"/>
                <w:b/>
                <w:bCs/>
                <w:color w:val="000000"/>
                <w:sz w:val="18"/>
                <w:szCs w:val="18"/>
              </w:rPr>
              <w:t>14.290</w:t>
            </w:r>
          </w:p>
        </w:tc>
        <w:tc>
          <w:tcPr>
            <w:tcW w:w="1215" w:type="dxa"/>
            <w:tcBorders>
              <w:top w:val="single" w:sz="4" w:space="0" w:color="auto"/>
              <w:bottom w:val="single" w:sz="12" w:space="0" w:color="auto"/>
            </w:tcBorders>
            <w:shd w:val="clear" w:color="auto" w:fill="auto"/>
            <w:vAlign w:val="bottom"/>
          </w:tcPr>
          <w:p w14:paraId="06678477" w14:textId="16B37DB2" w:rsidR="00577D2D" w:rsidRPr="0040073C" w:rsidRDefault="00577D2D" w:rsidP="00577D2D">
            <w:pPr>
              <w:tabs>
                <w:tab w:val="right" w:pos="1202"/>
              </w:tabs>
              <w:suppressAutoHyphens/>
              <w:autoSpaceDN w:val="0"/>
              <w:spacing w:line="280" w:lineRule="exact"/>
              <w:jc w:val="right"/>
              <w:outlineLvl w:val="0"/>
              <w:rPr>
                <w:rFonts w:ascii="Arial" w:eastAsia="Times New Roman" w:hAnsi="Arial" w:cs="Arial"/>
                <w:b/>
                <w:bCs/>
                <w:color w:val="000000"/>
                <w:sz w:val="18"/>
                <w:szCs w:val="18"/>
              </w:rPr>
            </w:pPr>
            <w:r w:rsidRPr="00906003">
              <w:rPr>
                <w:rFonts w:ascii="Arial" w:eastAsia="Calibri" w:hAnsi="Arial" w:cs="Arial"/>
                <w:b/>
                <w:bCs/>
                <w:sz w:val="18"/>
                <w:szCs w:val="18"/>
                <w:lang w:val="en-US"/>
              </w:rPr>
              <w:t>24</w:t>
            </w:r>
            <w:r>
              <w:rPr>
                <w:rFonts w:ascii="Arial" w:eastAsia="Calibri" w:hAnsi="Arial" w:cs="Arial"/>
                <w:b/>
                <w:bCs/>
                <w:sz w:val="18"/>
                <w:szCs w:val="18"/>
                <w:lang w:val="en-US"/>
              </w:rPr>
              <w:t>.</w:t>
            </w:r>
            <w:r w:rsidRPr="00906003">
              <w:rPr>
                <w:rFonts w:ascii="Arial" w:eastAsia="Calibri" w:hAnsi="Arial" w:cs="Arial"/>
                <w:b/>
                <w:bCs/>
                <w:sz w:val="18"/>
                <w:szCs w:val="18"/>
                <w:lang w:val="en-US"/>
              </w:rPr>
              <w:t>893</w:t>
            </w:r>
          </w:p>
        </w:tc>
        <w:tc>
          <w:tcPr>
            <w:tcW w:w="1299" w:type="dxa"/>
            <w:tcBorders>
              <w:top w:val="single" w:sz="4" w:space="0" w:color="auto"/>
              <w:bottom w:val="single" w:sz="12" w:space="0" w:color="auto"/>
            </w:tcBorders>
            <w:shd w:val="clear" w:color="auto" w:fill="auto"/>
            <w:vAlign w:val="bottom"/>
          </w:tcPr>
          <w:p w14:paraId="4C519030" w14:textId="7EE9D86C" w:rsidR="00577D2D" w:rsidRPr="0040073C" w:rsidRDefault="00577D2D" w:rsidP="00577D2D">
            <w:pPr>
              <w:tabs>
                <w:tab w:val="right" w:pos="1202"/>
              </w:tabs>
              <w:suppressAutoHyphens/>
              <w:autoSpaceDN w:val="0"/>
              <w:spacing w:line="280" w:lineRule="exact"/>
              <w:jc w:val="right"/>
              <w:outlineLvl w:val="0"/>
              <w:rPr>
                <w:rFonts w:ascii="Arial" w:eastAsia="Times New Roman" w:hAnsi="Arial" w:cs="Arial"/>
                <w:b/>
                <w:bCs/>
                <w:color w:val="000000"/>
                <w:sz w:val="18"/>
                <w:szCs w:val="18"/>
              </w:rPr>
            </w:pPr>
            <w:r w:rsidRPr="00906003">
              <w:rPr>
                <w:rFonts w:ascii="Arial" w:eastAsia="Calibri" w:hAnsi="Arial" w:cs="Arial"/>
                <w:b/>
                <w:bCs/>
                <w:sz w:val="18"/>
                <w:szCs w:val="18"/>
                <w:lang w:val="en-US"/>
              </w:rPr>
              <w:t>6</w:t>
            </w:r>
            <w:r>
              <w:rPr>
                <w:rFonts w:ascii="Arial" w:eastAsia="Calibri" w:hAnsi="Arial" w:cs="Arial"/>
                <w:b/>
                <w:bCs/>
                <w:sz w:val="18"/>
                <w:szCs w:val="18"/>
                <w:lang w:val="en-US"/>
              </w:rPr>
              <w:t>.</w:t>
            </w:r>
            <w:r w:rsidRPr="00906003">
              <w:rPr>
                <w:rFonts w:ascii="Arial" w:eastAsia="Calibri" w:hAnsi="Arial" w:cs="Arial"/>
                <w:b/>
                <w:bCs/>
                <w:sz w:val="18"/>
                <w:szCs w:val="18"/>
                <w:lang w:val="en-US"/>
              </w:rPr>
              <w:t>224</w:t>
            </w:r>
          </w:p>
        </w:tc>
      </w:tr>
    </w:tbl>
    <w:p w14:paraId="1E8B701C" w14:textId="522F3772" w:rsidR="0064018A" w:rsidRPr="003D1614" w:rsidRDefault="0064018A" w:rsidP="00994783">
      <w:pPr>
        <w:suppressAutoHyphens/>
        <w:autoSpaceDN w:val="0"/>
        <w:jc w:val="both"/>
        <w:outlineLvl w:val="0"/>
        <w:rPr>
          <w:rFonts w:ascii="Arial" w:eastAsia="Times New Roman" w:hAnsi="Arial" w:cs="Arial"/>
          <w:color w:val="000000" w:themeColor="text1"/>
          <w:sz w:val="20"/>
          <w:szCs w:val="20"/>
        </w:rPr>
      </w:pPr>
    </w:p>
    <w:p w14:paraId="50ECDEFE" w14:textId="77777777" w:rsidR="0064018A" w:rsidRPr="003D1614" w:rsidRDefault="0064018A" w:rsidP="00994783">
      <w:pPr>
        <w:suppressAutoHyphens/>
        <w:autoSpaceDN w:val="0"/>
        <w:jc w:val="both"/>
        <w:outlineLvl w:val="0"/>
        <w:rPr>
          <w:rFonts w:ascii="Arial" w:eastAsia="Times New Roman" w:hAnsi="Arial" w:cs="Arial"/>
          <w:color w:val="000000" w:themeColor="text1"/>
          <w:sz w:val="20"/>
          <w:szCs w:val="20"/>
        </w:rPr>
        <w:sectPr w:rsidR="0064018A" w:rsidRPr="003D1614">
          <w:pgSz w:w="11906" w:h="16838"/>
          <w:pgMar w:top="1417" w:right="1417" w:bottom="1417" w:left="1417" w:header="708" w:footer="708" w:gutter="0"/>
          <w:cols w:space="708"/>
          <w:docGrid w:linePitch="360"/>
        </w:sectPr>
      </w:pPr>
    </w:p>
    <w:p w14:paraId="348833AC" w14:textId="77777777" w:rsidR="0064018A" w:rsidRPr="003D1614" w:rsidRDefault="0064018A" w:rsidP="0064018A">
      <w:pPr>
        <w:keepNext/>
        <w:suppressAutoHyphens/>
        <w:autoSpaceDN w:val="0"/>
        <w:jc w:val="both"/>
        <w:outlineLvl w:val="0"/>
        <w:rPr>
          <w:rFonts w:ascii="Arial" w:eastAsia="Times New Roman" w:hAnsi="Arial" w:cs="Arial"/>
          <w:bCs/>
          <w:color w:val="000000" w:themeColor="text1"/>
          <w:sz w:val="20"/>
          <w:szCs w:val="20"/>
        </w:rPr>
      </w:pPr>
    </w:p>
    <w:p w14:paraId="68332AFE" w14:textId="67E6A4EE" w:rsidR="0064018A" w:rsidRPr="003D1614" w:rsidRDefault="0064018A" w:rsidP="0064018A">
      <w:pPr>
        <w:keepNext/>
        <w:tabs>
          <w:tab w:val="left" w:pos="567"/>
          <w:tab w:val="left" w:pos="709"/>
        </w:tabs>
        <w:suppressAutoHyphens/>
        <w:autoSpaceDN w:val="0"/>
        <w:jc w:val="both"/>
        <w:outlineLvl w:val="0"/>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2</w:t>
      </w:r>
      <w:r w:rsidR="000E693B">
        <w:rPr>
          <w:rFonts w:ascii="Arial" w:eastAsia="Times New Roman" w:hAnsi="Arial" w:cs="Arial"/>
          <w:b/>
          <w:color w:val="000000" w:themeColor="text1"/>
          <w:sz w:val="20"/>
          <w:szCs w:val="20"/>
        </w:rPr>
        <w:t>2</w:t>
      </w:r>
      <w:r w:rsidRPr="003D1614">
        <w:rPr>
          <w:rFonts w:ascii="Arial" w:eastAsia="Times New Roman" w:hAnsi="Arial" w:cs="Arial"/>
          <w:b/>
          <w:color w:val="000000" w:themeColor="text1"/>
          <w:sz w:val="20"/>
          <w:szCs w:val="20"/>
        </w:rPr>
        <w:t>.</w:t>
      </w:r>
      <w:r w:rsidRPr="003D1614">
        <w:rPr>
          <w:rFonts w:ascii="Arial" w:eastAsia="Times New Roman" w:hAnsi="Arial" w:cs="Arial"/>
          <w:b/>
          <w:color w:val="000000" w:themeColor="text1"/>
          <w:sz w:val="20"/>
          <w:szCs w:val="20"/>
        </w:rPr>
        <w:tab/>
        <w:t>Transakcije s povezanim stranama (nastavak)</w:t>
      </w:r>
    </w:p>
    <w:p w14:paraId="0E05467E" w14:textId="77777777" w:rsidR="0064018A" w:rsidRPr="003D1614" w:rsidRDefault="0064018A" w:rsidP="0064018A">
      <w:pPr>
        <w:tabs>
          <w:tab w:val="right" w:pos="284"/>
          <w:tab w:val="left" w:pos="426"/>
        </w:tabs>
        <w:suppressAutoHyphens/>
        <w:autoSpaceDN w:val="0"/>
        <w:outlineLvl w:val="0"/>
        <w:rPr>
          <w:rFonts w:ascii="Arial" w:eastAsia="Times New Roman" w:hAnsi="Arial" w:cs="Arial"/>
          <w:color w:val="000000" w:themeColor="text1"/>
          <w:sz w:val="20"/>
          <w:szCs w:val="20"/>
        </w:rPr>
      </w:pPr>
    </w:p>
    <w:p w14:paraId="7B6DF8AE" w14:textId="77777777" w:rsidR="0064018A" w:rsidRPr="003D1614" w:rsidRDefault="0064018A" w:rsidP="0064018A">
      <w:pPr>
        <w:tabs>
          <w:tab w:val="right" w:pos="284"/>
          <w:tab w:val="left" w:pos="567"/>
        </w:tabs>
        <w:suppressAutoHyphens/>
        <w:autoSpaceDN w:val="0"/>
        <w:outlineLvl w:val="0"/>
        <w:rPr>
          <w:rFonts w:ascii="Arial" w:eastAsia="Times New Roman" w:hAnsi="Arial" w:cs="Arial"/>
          <w:color w:val="000000" w:themeColor="text1"/>
          <w:sz w:val="20"/>
          <w:szCs w:val="20"/>
        </w:rPr>
      </w:pPr>
      <w:bookmarkStart w:id="535" w:name="_Toc67329055"/>
      <w:r w:rsidRPr="003D1614">
        <w:rPr>
          <w:rFonts w:ascii="Arial" w:eastAsia="Times New Roman" w:hAnsi="Arial" w:cs="Arial"/>
          <w:color w:val="000000" w:themeColor="text1"/>
          <w:sz w:val="20"/>
          <w:szCs w:val="20"/>
        </w:rPr>
        <w:t>a)</w:t>
      </w:r>
      <w:r w:rsidRPr="003D1614">
        <w:rPr>
          <w:rFonts w:ascii="Arial" w:eastAsia="Times New Roman" w:hAnsi="Arial" w:cs="Arial"/>
          <w:color w:val="000000" w:themeColor="text1"/>
          <w:sz w:val="20"/>
          <w:szCs w:val="20"/>
        </w:rPr>
        <w:tab/>
      </w:r>
      <w:r w:rsidRPr="003D1614">
        <w:rPr>
          <w:rFonts w:ascii="Arial" w:eastAsia="Times New Roman" w:hAnsi="Arial" w:cs="Arial"/>
          <w:color w:val="000000" w:themeColor="text1"/>
          <w:sz w:val="20"/>
          <w:szCs w:val="20"/>
        </w:rPr>
        <w:tab/>
        <w:t>Transakcije s povezanim stranama (nastavak)</w:t>
      </w:r>
      <w:bookmarkEnd w:id="535"/>
    </w:p>
    <w:p w14:paraId="44EA3228" w14:textId="77777777" w:rsidR="0064018A" w:rsidRPr="003D1614" w:rsidRDefault="0064018A" w:rsidP="0064018A">
      <w:pPr>
        <w:keepNext/>
        <w:suppressAutoHyphens/>
        <w:autoSpaceDN w:val="0"/>
        <w:ind w:left="357"/>
        <w:jc w:val="both"/>
        <w:outlineLvl w:val="0"/>
        <w:rPr>
          <w:rFonts w:ascii="Arial" w:eastAsia="Times New Roman" w:hAnsi="Arial" w:cs="Arial"/>
          <w:bCs/>
          <w:color w:val="000000" w:themeColor="text1"/>
          <w:sz w:val="20"/>
          <w:szCs w:val="20"/>
        </w:rPr>
      </w:pPr>
    </w:p>
    <w:p w14:paraId="6793079D" w14:textId="77777777" w:rsidR="0064018A" w:rsidRPr="003D1614" w:rsidRDefault="0064018A" w:rsidP="0064018A">
      <w:pPr>
        <w:keepNext/>
        <w:suppressAutoHyphens/>
        <w:autoSpaceDN w:val="0"/>
        <w:ind w:left="357"/>
        <w:jc w:val="both"/>
        <w:outlineLvl w:val="0"/>
        <w:rPr>
          <w:rFonts w:ascii="Arial" w:eastAsia="Times New Roman" w:hAnsi="Arial" w:cs="Arial"/>
          <w:bCs/>
          <w:color w:val="000000" w:themeColor="text1"/>
          <w:sz w:val="20"/>
          <w:szCs w:val="20"/>
        </w:rPr>
      </w:pPr>
    </w:p>
    <w:tbl>
      <w:tblPr>
        <w:tblW w:w="4886" w:type="pct"/>
        <w:jc w:val="center"/>
        <w:tblLayout w:type="fixed"/>
        <w:tblCellMar>
          <w:left w:w="113" w:type="dxa"/>
          <w:right w:w="85" w:type="dxa"/>
        </w:tblCellMar>
        <w:tblLook w:val="00A0" w:firstRow="1" w:lastRow="0" w:firstColumn="1" w:lastColumn="0" w:noHBand="0" w:noVBand="0"/>
      </w:tblPr>
      <w:tblGrid>
        <w:gridCol w:w="3637"/>
        <w:gridCol w:w="1304"/>
        <w:gridCol w:w="1303"/>
        <w:gridCol w:w="1307"/>
        <w:gridCol w:w="1314"/>
      </w:tblGrid>
      <w:tr w:rsidR="0064018A" w:rsidRPr="003D1614" w14:paraId="2EAFD21E" w14:textId="77777777" w:rsidTr="00640562">
        <w:trPr>
          <w:trHeight w:hRule="exact" w:val="284"/>
          <w:jc w:val="center"/>
        </w:trPr>
        <w:tc>
          <w:tcPr>
            <w:tcW w:w="3637" w:type="dxa"/>
            <w:vAlign w:val="bottom"/>
          </w:tcPr>
          <w:p w14:paraId="0E97FF22" w14:textId="77777777" w:rsidR="0064018A" w:rsidRPr="003D1614" w:rsidRDefault="0064018A" w:rsidP="0064018A">
            <w:pPr>
              <w:tabs>
                <w:tab w:val="right" w:pos="1202"/>
              </w:tabs>
              <w:suppressAutoHyphens/>
              <w:autoSpaceDN w:val="0"/>
              <w:outlineLvl w:val="0"/>
              <w:rPr>
                <w:rFonts w:ascii="Arial" w:eastAsia="Calibri" w:hAnsi="Arial" w:cs="Arial"/>
                <w:color w:val="000000" w:themeColor="text1"/>
                <w:sz w:val="18"/>
                <w:szCs w:val="18"/>
              </w:rPr>
            </w:pPr>
            <w:bookmarkStart w:id="536" w:name="_Toc67329056"/>
            <w:r w:rsidRPr="003D1614">
              <w:rPr>
                <w:rFonts w:ascii="Arial" w:eastAsia="Calibri" w:hAnsi="Arial" w:cs="Arial"/>
                <w:b/>
                <w:color w:val="000000" w:themeColor="text1"/>
                <w:sz w:val="18"/>
                <w:szCs w:val="18"/>
              </w:rPr>
              <w:t>Banka</w:t>
            </w:r>
            <w:bookmarkEnd w:id="536"/>
          </w:p>
        </w:tc>
        <w:tc>
          <w:tcPr>
            <w:tcW w:w="1304" w:type="dxa"/>
            <w:vAlign w:val="bottom"/>
          </w:tcPr>
          <w:p w14:paraId="782380CF" w14:textId="77777777" w:rsidR="0064018A" w:rsidRPr="003D1614" w:rsidRDefault="0064018A"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537" w:name="_Toc67329057"/>
            <w:r w:rsidRPr="003D1614">
              <w:rPr>
                <w:rFonts w:ascii="Arial" w:eastAsia="Calibri" w:hAnsi="Arial" w:cs="Arial"/>
                <w:b/>
                <w:bCs/>
                <w:iCs/>
                <w:color w:val="000000" w:themeColor="text1"/>
                <w:sz w:val="18"/>
                <w:szCs w:val="18"/>
              </w:rPr>
              <w:t>Izloženost</w:t>
            </w:r>
            <w:bookmarkEnd w:id="537"/>
          </w:p>
        </w:tc>
        <w:tc>
          <w:tcPr>
            <w:tcW w:w="1303" w:type="dxa"/>
            <w:vAlign w:val="bottom"/>
          </w:tcPr>
          <w:p w14:paraId="05116DA7" w14:textId="77777777" w:rsidR="0064018A" w:rsidRPr="003D1614" w:rsidRDefault="0064018A"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538" w:name="_Toc67329058"/>
            <w:r w:rsidRPr="003D1614">
              <w:rPr>
                <w:rFonts w:ascii="Arial" w:eastAsia="Calibri" w:hAnsi="Arial" w:cs="Arial"/>
                <w:b/>
                <w:bCs/>
                <w:iCs/>
                <w:color w:val="000000" w:themeColor="text1"/>
                <w:sz w:val="18"/>
                <w:szCs w:val="18"/>
              </w:rPr>
              <w:t>Obveze</w:t>
            </w:r>
            <w:bookmarkEnd w:id="538"/>
          </w:p>
        </w:tc>
        <w:tc>
          <w:tcPr>
            <w:tcW w:w="1307" w:type="dxa"/>
            <w:vAlign w:val="bottom"/>
          </w:tcPr>
          <w:p w14:paraId="08A85B3D" w14:textId="77777777" w:rsidR="0064018A" w:rsidRPr="003D1614" w:rsidRDefault="0064018A"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539" w:name="_Toc67329059"/>
            <w:r w:rsidRPr="003D1614">
              <w:rPr>
                <w:rFonts w:ascii="Arial" w:eastAsia="Calibri" w:hAnsi="Arial" w:cs="Arial"/>
                <w:b/>
                <w:bCs/>
                <w:iCs/>
                <w:color w:val="000000" w:themeColor="text1"/>
                <w:sz w:val="18"/>
                <w:szCs w:val="18"/>
              </w:rPr>
              <w:t>Izloženost</w:t>
            </w:r>
            <w:bookmarkEnd w:id="539"/>
          </w:p>
        </w:tc>
        <w:tc>
          <w:tcPr>
            <w:tcW w:w="1314" w:type="dxa"/>
            <w:vAlign w:val="bottom"/>
          </w:tcPr>
          <w:p w14:paraId="3DC0F626" w14:textId="77777777" w:rsidR="0064018A" w:rsidRPr="003D1614" w:rsidRDefault="0064018A"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540" w:name="_Toc67329060"/>
            <w:r w:rsidRPr="003D1614">
              <w:rPr>
                <w:rFonts w:ascii="Arial" w:eastAsia="Calibri" w:hAnsi="Arial" w:cs="Arial"/>
                <w:b/>
                <w:bCs/>
                <w:iCs/>
                <w:color w:val="000000" w:themeColor="text1"/>
                <w:sz w:val="18"/>
                <w:szCs w:val="18"/>
              </w:rPr>
              <w:t>Obveze</w:t>
            </w:r>
            <w:bookmarkEnd w:id="540"/>
          </w:p>
        </w:tc>
      </w:tr>
      <w:tr w:rsidR="003A487C" w:rsidRPr="003D1614" w14:paraId="101F18BC" w14:textId="77777777" w:rsidTr="00640562">
        <w:trPr>
          <w:trHeight w:hRule="exact" w:val="454"/>
          <w:jc w:val="center"/>
        </w:trPr>
        <w:tc>
          <w:tcPr>
            <w:tcW w:w="3637" w:type="dxa"/>
            <w:vAlign w:val="bottom"/>
          </w:tcPr>
          <w:p w14:paraId="2A1C9939" w14:textId="77777777" w:rsidR="003A487C" w:rsidRPr="003D1614" w:rsidRDefault="003A487C" w:rsidP="003A487C">
            <w:pPr>
              <w:tabs>
                <w:tab w:val="right" w:pos="1202"/>
              </w:tabs>
              <w:suppressAutoHyphens/>
              <w:autoSpaceDN w:val="0"/>
              <w:outlineLvl w:val="0"/>
              <w:rPr>
                <w:rFonts w:ascii="Arial" w:eastAsia="Calibri" w:hAnsi="Arial" w:cs="Arial"/>
                <w:color w:val="000000" w:themeColor="text1"/>
                <w:sz w:val="18"/>
                <w:szCs w:val="18"/>
              </w:rPr>
            </w:pPr>
          </w:p>
        </w:tc>
        <w:tc>
          <w:tcPr>
            <w:tcW w:w="1304" w:type="dxa"/>
            <w:vAlign w:val="bottom"/>
          </w:tcPr>
          <w:p w14:paraId="262EEEC2" w14:textId="3AAFBFA9" w:rsidR="003A487C" w:rsidRPr="003D1614" w:rsidRDefault="00184EBE" w:rsidP="003A487C">
            <w:pPr>
              <w:tabs>
                <w:tab w:val="right" w:pos="1202"/>
              </w:tabs>
              <w:suppressAutoHyphens/>
              <w:autoSpaceDN w:val="0"/>
              <w:jc w:val="right"/>
              <w:outlineLvl w:val="0"/>
              <w:rPr>
                <w:rFonts w:ascii="Arial" w:eastAsia="Calibri" w:hAnsi="Arial" w:cs="Arial"/>
                <w:b/>
                <w:bCs/>
                <w:iCs/>
                <w:color w:val="000000" w:themeColor="text1"/>
                <w:sz w:val="18"/>
                <w:szCs w:val="18"/>
              </w:rPr>
            </w:pPr>
            <w:r w:rsidRPr="00184EBE">
              <w:rPr>
                <w:rFonts w:ascii="Arial" w:eastAsia="Calibri" w:hAnsi="Arial" w:cs="Arial"/>
                <w:b/>
                <w:bCs/>
                <w:iCs/>
                <w:color w:val="000000" w:themeColor="text1"/>
                <w:sz w:val="18"/>
                <w:szCs w:val="18"/>
              </w:rPr>
              <w:t>30. rujna 202</w:t>
            </w:r>
            <w:r w:rsidR="009B4547">
              <w:rPr>
                <w:rFonts w:ascii="Arial" w:eastAsia="Calibri" w:hAnsi="Arial" w:cs="Arial"/>
                <w:b/>
                <w:bCs/>
                <w:iCs/>
                <w:color w:val="000000" w:themeColor="text1"/>
                <w:sz w:val="18"/>
                <w:szCs w:val="18"/>
              </w:rPr>
              <w:t>4</w:t>
            </w:r>
            <w:r w:rsidRPr="00184EBE">
              <w:rPr>
                <w:rFonts w:ascii="Arial" w:eastAsia="Calibri" w:hAnsi="Arial" w:cs="Arial"/>
                <w:b/>
                <w:bCs/>
                <w:iCs/>
                <w:color w:val="000000" w:themeColor="text1"/>
                <w:sz w:val="18"/>
                <w:szCs w:val="18"/>
              </w:rPr>
              <w:t>.</w:t>
            </w:r>
          </w:p>
        </w:tc>
        <w:tc>
          <w:tcPr>
            <w:tcW w:w="1303" w:type="dxa"/>
            <w:vAlign w:val="bottom"/>
          </w:tcPr>
          <w:p w14:paraId="718A5427" w14:textId="7746239B" w:rsidR="003A487C" w:rsidRPr="003D1614" w:rsidRDefault="00184EBE" w:rsidP="003A487C">
            <w:pPr>
              <w:tabs>
                <w:tab w:val="right" w:pos="1202"/>
              </w:tabs>
              <w:suppressAutoHyphens/>
              <w:autoSpaceDN w:val="0"/>
              <w:jc w:val="right"/>
              <w:outlineLvl w:val="0"/>
              <w:rPr>
                <w:rFonts w:ascii="Arial" w:eastAsia="Calibri" w:hAnsi="Arial" w:cs="Arial"/>
                <w:b/>
                <w:bCs/>
                <w:iCs/>
                <w:color w:val="000000" w:themeColor="text1"/>
                <w:sz w:val="18"/>
                <w:szCs w:val="18"/>
              </w:rPr>
            </w:pPr>
            <w:r w:rsidRPr="00184EBE">
              <w:rPr>
                <w:rFonts w:ascii="Arial" w:eastAsia="Calibri" w:hAnsi="Arial" w:cs="Arial"/>
                <w:b/>
                <w:bCs/>
                <w:iCs/>
                <w:color w:val="000000" w:themeColor="text1"/>
                <w:sz w:val="18"/>
                <w:szCs w:val="18"/>
              </w:rPr>
              <w:t>30. rujna 202</w:t>
            </w:r>
            <w:r w:rsidR="009B4547">
              <w:rPr>
                <w:rFonts w:ascii="Arial" w:eastAsia="Calibri" w:hAnsi="Arial" w:cs="Arial"/>
                <w:b/>
                <w:bCs/>
                <w:iCs/>
                <w:color w:val="000000" w:themeColor="text1"/>
                <w:sz w:val="18"/>
                <w:szCs w:val="18"/>
              </w:rPr>
              <w:t>4</w:t>
            </w:r>
            <w:r w:rsidRPr="00184EBE">
              <w:rPr>
                <w:rFonts w:ascii="Arial" w:eastAsia="Calibri" w:hAnsi="Arial" w:cs="Arial"/>
                <w:b/>
                <w:bCs/>
                <w:iCs/>
                <w:color w:val="000000" w:themeColor="text1"/>
                <w:sz w:val="18"/>
                <w:szCs w:val="18"/>
              </w:rPr>
              <w:t>.</w:t>
            </w:r>
          </w:p>
        </w:tc>
        <w:tc>
          <w:tcPr>
            <w:tcW w:w="1307" w:type="dxa"/>
            <w:vAlign w:val="bottom"/>
          </w:tcPr>
          <w:p w14:paraId="62CB478A" w14:textId="5F80E65B" w:rsidR="003A487C" w:rsidRPr="003D1614" w:rsidRDefault="003A487C" w:rsidP="003A487C">
            <w:pPr>
              <w:tabs>
                <w:tab w:val="right" w:pos="1202"/>
              </w:tabs>
              <w:suppressAutoHyphens/>
              <w:autoSpaceDN w:val="0"/>
              <w:jc w:val="right"/>
              <w:outlineLvl w:val="0"/>
              <w:rPr>
                <w:rFonts w:ascii="Arial" w:eastAsia="Calibri" w:hAnsi="Arial" w:cs="Arial"/>
                <w:b/>
                <w:bCs/>
                <w:iCs/>
                <w:color w:val="000000" w:themeColor="text1"/>
                <w:sz w:val="18"/>
                <w:szCs w:val="18"/>
              </w:rPr>
            </w:pPr>
            <w:r w:rsidRPr="003D1614">
              <w:rPr>
                <w:rFonts w:ascii="Arial" w:eastAsia="Calibri" w:hAnsi="Arial" w:cs="Arial"/>
                <w:b/>
                <w:bCs/>
                <w:iCs/>
                <w:color w:val="000000" w:themeColor="text1"/>
                <w:sz w:val="18"/>
                <w:szCs w:val="18"/>
              </w:rPr>
              <w:t>31. prosinca 202</w:t>
            </w:r>
            <w:r w:rsidR="009B4547">
              <w:rPr>
                <w:rFonts w:ascii="Arial" w:eastAsia="Calibri" w:hAnsi="Arial" w:cs="Arial"/>
                <w:b/>
                <w:bCs/>
                <w:iCs/>
                <w:color w:val="000000" w:themeColor="text1"/>
                <w:sz w:val="18"/>
                <w:szCs w:val="18"/>
              </w:rPr>
              <w:t>3</w:t>
            </w:r>
            <w:r w:rsidR="00274D1A">
              <w:rPr>
                <w:rFonts w:ascii="Arial" w:eastAsia="Calibri" w:hAnsi="Arial" w:cs="Arial"/>
                <w:b/>
                <w:bCs/>
                <w:iCs/>
                <w:color w:val="000000" w:themeColor="text1"/>
                <w:sz w:val="18"/>
                <w:szCs w:val="18"/>
              </w:rPr>
              <w:t>.</w:t>
            </w:r>
          </w:p>
        </w:tc>
        <w:tc>
          <w:tcPr>
            <w:tcW w:w="1314" w:type="dxa"/>
            <w:vAlign w:val="bottom"/>
          </w:tcPr>
          <w:p w14:paraId="2B845E36" w14:textId="268B9970" w:rsidR="003A487C" w:rsidRPr="003D1614" w:rsidRDefault="003A487C" w:rsidP="003A487C">
            <w:pPr>
              <w:tabs>
                <w:tab w:val="right" w:pos="1202"/>
              </w:tabs>
              <w:suppressAutoHyphens/>
              <w:autoSpaceDN w:val="0"/>
              <w:jc w:val="right"/>
              <w:outlineLvl w:val="0"/>
              <w:rPr>
                <w:rFonts w:ascii="Arial" w:eastAsia="Calibri" w:hAnsi="Arial" w:cs="Arial"/>
                <w:b/>
                <w:bCs/>
                <w:iCs/>
                <w:color w:val="000000" w:themeColor="text1"/>
                <w:sz w:val="18"/>
                <w:szCs w:val="18"/>
              </w:rPr>
            </w:pPr>
            <w:r w:rsidRPr="003D1614">
              <w:rPr>
                <w:rFonts w:ascii="Arial" w:eastAsia="Calibri" w:hAnsi="Arial" w:cs="Arial"/>
                <w:b/>
                <w:bCs/>
                <w:iCs/>
                <w:color w:val="000000" w:themeColor="text1"/>
                <w:sz w:val="18"/>
                <w:szCs w:val="18"/>
              </w:rPr>
              <w:t>31. prosinca 202</w:t>
            </w:r>
            <w:r w:rsidR="009B4547">
              <w:rPr>
                <w:rFonts w:ascii="Arial" w:eastAsia="Calibri" w:hAnsi="Arial" w:cs="Arial"/>
                <w:b/>
                <w:bCs/>
                <w:iCs/>
                <w:color w:val="000000" w:themeColor="text1"/>
                <w:sz w:val="18"/>
                <w:szCs w:val="18"/>
              </w:rPr>
              <w:t>3</w:t>
            </w:r>
            <w:r w:rsidRPr="003D1614">
              <w:rPr>
                <w:rFonts w:ascii="Arial" w:eastAsia="Calibri" w:hAnsi="Arial" w:cs="Arial"/>
                <w:b/>
                <w:bCs/>
                <w:iCs/>
                <w:color w:val="000000" w:themeColor="text1"/>
                <w:sz w:val="18"/>
                <w:szCs w:val="18"/>
              </w:rPr>
              <w:t>.</w:t>
            </w:r>
          </w:p>
        </w:tc>
      </w:tr>
      <w:tr w:rsidR="003A487C" w:rsidRPr="003D1614" w14:paraId="1A15254D" w14:textId="77777777" w:rsidTr="00640562">
        <w:trPr>
          <w:trHeight w:hRule="exact" w:val="284"/>
          <w:jc w:val="center"/>
        </w:trPr>
        <w:tc>
          <w:tcPr>
            <w:tcW w:w="3637" w:type="dxa"/>
            <w:vAlign w:val="bottom"/>
          </w:tcPr>
          <w:p w14:paraId="140492FB" w14:textId="77777777" w:rsidR="003A487C" w:rsidRPr="003D1614" w:rsidRDefault="003A487C" w:rsidP="003A487C">
            <w:pPr>
              <w:tabs>
                <w:tab w:val="right" w:pos="1202"/>
              </w:tabs>
              <w:suppressAutoHyphens/>
              <w:autoSpaceDN w:val="0"/>
              <w:outlineLvl w:val="0"/>
              <w:rPr>
                <w:rFonts w:ascii="Arial" w:eastAsia="Calibri" w:hAnsi="Arial" w:cs="Arial"/>
                <w:color w:val="000000" w:themeColor="text1"/>
                <w:sz w:val="18"/>
                <w:szCs w:val="18"/>
              </w:rPr>
            </w:pPr>
          </w:p>
        </w:tc>
        <w:tc>
          <w:tcPr>
            <w:tcW w:w="1304" w:type="dxa"/>
            <w:tcBorders>
              <w:top w:val="nil"/>
              <w:left w:val="nil"/>
              <w:bottom w:val="nil"/>
              <w:right w:val="nil"/>
            </w:tcBorders>
            <w:vAlign w:val="bottom"/>
          </w:tcPr>
          <w:p w14:paraId="0E8760E2" w14:textId="5B231BA5" w:rsidR="003A487C" w:rsidRPr="003D1614" w:rsidRDefault="003A487C" w:rsidP="003A487C">
            <w:pPr>
              <w:tabs>
                <w:tab w:val="right" w:pos="1202"/>
              </w:tabs>
              <w:suppressAutoHyphens/>
              <w:autoSpaceDN w:val="0"/>
              <w:jc w:val="right"/>
              <w:outlineLvl w:val="0"/>
              <w:rPr>
                <w:rFonts w:ascii="Arial" w:eastAsia="Calibri" w:hAnsi="Arial" w:cs="Arial"/>
                <w:b/>
                <w:bCs/>
                <w:iCs/>
                <w:color w:val="000000" w:themeColor="text1"/>
                <w:sz w:val="18"/>
                <w:szCs w:val="18"/>
              </w:rPr>
            </w:pPr>
            <w:r w:rsidRPr="003D1614">
              <w:rPr>
                <w:rFonts w:ascii="Arial" w:eastAsia="Calibri" w:hAnsi="Arial" w:cs="Arial"/>
                <w:b/>
                <w:bCs/>
                <w:color w:val="000000" w:themeColor="text1"/>
                <w:sz w:val="18"/>
                <w:szCs w:val="18"/>
              </w:rPr>
              <w:t>000 eura</w:t>
            </w:r>
          </w:p>
        </w:tc>
        <w:tc>
          <w:tcPr>
            <w:tcW w:w="1303" w:type="dxa"/>
            <w:tcBorders>
              <w:top w:val="nil"/>
              <w:left w:val="nil"/>
              <w:bottom w:val="nil"/>
              <w:right w:val="nil"/>
            </w:tcBorders>
            <w:vAlign w:val="bottom"/>
          </w:tcPr>
          <w:p w14:paraId="7A9C6C54" w14:textId="2ED3EE45" w:rsidR="003A487C" w:rsidRPr="003D1614" w:rsidRDefault="003A487C" w:rsidP="003A487C">
            <w:pPr>
              <w:tabs>
                <w:tab w:val="right" w:pos="1202"/>
              </w:tabs>
              <w:suppressAutoHyphens/>
              <w:autoSpaceDN w:val="0"/>
              <w:jc w:val="right"/>
              <w:outlineLvl w:val="0"/>
              <w:rPr>
                <w:rFonts w:ascii="Arial" w:eastAsia="Calibri" w:hAnsi="Arial" w:cs="Arial"/>
                <w:b/>
                <w:bCs/>
                <w:iCs/>
                <w:color w:val="000000" w:themeColor="text1"/>
                <w:sz w:val="18"/>
                <w:szCs w:val="18"/>
              </w:rPr>
            </w:pPr>
            <w:r w:rsidRPr="003D1614">
              <w:rPr>
                <w:rFonts w:ascii="Arial" w:eastAsia="Calibri" w:hAnsi="Arial" w:cs="Arial"/>
                <w:b/>
                <w:bCs/>
                <w:color w:val="000000" w:themeColor="text1"/>
                <w:sz w:val="18"/>
                <w:szCs w:val="18"/>
              </w:rPr>
              <w:t>000 eura</w:t>
            </w:r>
          </w:p>
        </w:tc>
        <w:tc>
          <w:tcPr>
            <w:tcW w:w="1307" w:type="dxa"/>
            <w:tcBorders>
              <w:top w:val="nil"/>
              <w:left w:val="nil"/>
              <w:bottom w:val="nil"/>
              <w:right w:val="nil"/>
            </w:tcBorders>
            <w:vAlign w:val="bottom"/>
          </w:tcPr>
          <w:p w14:paraId="5DF4D57D" w14:textId="31565E44" w:rsidR="003A487C" w:rsidRPr="003D1614" w:rsidRDefault="003A487C" w:rsidP="003A487C">
            <w:pPr>
              <w:tabs>
                <w:tab w:val="right" w:pos="1202"/>
              </w:tabs>
              <w:suppressAutoHyphens/>
              <w:autoSpaceDN w:val="0"/>
              <w:jc w:val="right"/>
              <w:outlineLvl w:val="0"/>
              <w:rPr>
                <w:rFonts w:ascii="Arial" w:eastAsia="Calibri" w:hAnsi="Arial" w:cs="Arial"/>
                <w:b/>
                <w:bCs/>
                <w:iCs/>
                <w:color w:val="000000" w:themeColor="text1"/>
                <w:sz w:val="18"/>
                <w:szCs w:val="18"/>
              </w:rPr>
            </w:pPr>
            <w:r w:rsidRPr="003D1614">
              <w:rPr>
                <w:rFonts w:ascii="Arial" w:eastAsia="Calibri" w:hAnsi="Arial" w:cs="Arial"/>
                <w:b/>
                <w:bCs/>
                <w:color w:val="000000" w:themeColor="text1"/>
                <w:sz w:val="18"/>
                <w:szCs w:val="18"/>
              </w:rPr>
              <w:t>000 eura</w:t>
            </w:r>
          </w:p>
        </w:tc>
        <w:tc>
          <w:tcPr>
            <w:tcW w:w="1314" w:type="dxa"/>
            <w:tcBorders>
              <w:top w:val="nil"/>
              <w:left w:val="nil"/>
              <w:bottom w:val="nil"/>
              <w:right w:val="nil"/>
            </w:tcBorders>
            <w:vAlign w:val="bottom"/>
          </w:tcPr>
          <w:p w14:paraId="14AF09BC" w14:textId="7BF3870D" w:rsidR="003A487C" w:rsidRPr="003D1614" w:rsidRDefault="003A487C" w:rsidP="003A487C">
            <w:pPr>
              <w:tabs>
                <w:tab w:val="right" w:pos="1202"/>
              </w:tabs>
              <w:suppressAutoHyphens/>
              <w:autoSpaceDN w:val="0"/>
              <w:jc w:val="right"/>
              <w:outlineLvl w:val="0"/>
              <w:rPr>
                <w:rFonts w:ascii="Arial" w:eastAsia="Calibri" w:hAnsi="Arial" w:cs="Arial"/>
                <w:b/>
                <w:bCs/>
                <w:iCs/>
                <w:color w:val="000000" w:themeColor="text1"/>
                <w:sz w:val="18"/>
                <w:szCs w:val="18"/>
              </w:rPr>
            </w:pPr>
            <w:r w:rsidRPr="003D1614">
              <w:rPr>
                <w:rFonts w:ascii="Arial" w:eastAsia="Calibri" w:hAnsi="Arial" w:cs="Arial"/>
                <w:b/>
                <w:bCs/>
                <w:color w:val="000000" w:themeColor="text1"/>
                <w:sz w:val="18"/>
                <w:szCs w:val="18"/>
              </w:rPr>
              <w:t>000 eura</w:t>
            </w:r>
          </w:p>
        </w:tc>
      </w:tr>
      <w:tr w:rsidR="008834D1" w:rsidRPr="003D1614" w14:paraId="2633C0AA" w14:textId="77777777" w:rsidTr="00640562">
        <w:trPr>
          <w:trHeight w:hRule="exact" w:val="284"/>
          <w:jc w:val="center"/>
        </w:trPr>
        <w:tc>
          <w:tcPr>
            <w:tcW w:w="3637" w:type="dxa"/>
            <w:vAlign w:val="bottom"/>
          </w:tcPr>
          <w:p w14:paraId="3844B0B2" w14:textId="77777777" w:rsidR="008834D1" w:rsidRPr="003D1614" w:rsidRDefault="008834D1" w:rsidP="008834D1">
            <w:pPr>
              <w:tabs>
                <w:tab w:val="right" w:pos="1202"/>
              </w:tabs>
              <w:suppressAutoHyphens/>
              <w:autoSpaceDN w:val="0"/>
              <w:outlineLvl w:val="0"/>
              <w:rPr>
                <w:rFonts w:ascii="Arial" w:eastAsia="Calibri" w:hAnsi="Arial" w:cs="Arial"/>
                <w:color w:val="000000" w:themeColor="text1"/>
                <w:sz w:val="18"/>
                <w:szCs w:val="18"/>
              </w:rPr>
            </w:pPr>
            <w:bookmarkStart w:id="541" w:name="_Toc67329069"/>
            <w:r w:rsidRPr="003D1614">
              <w:rPr>
                <w:rFonts w:ascii="Arial" w:eastAsia="Calibri" w:hAnsi="Arial" w:cs="Arial"/>
                <w:color w:val="000000" w:themeColor="text1"/>
                <w:sz w:val="18"/>
                <w:szCs w:val="18"/>
              </w:rPr>
              <w:t>Vlasnik</w:t>
            </w:r>
            <w:bookmarkEnd w:id="541"/>
          </w:p>
        </w:tc>
        <w:tc>
          <w:tcPr>
            <w:tcW w:w="1304" w:type="dxa"/>
            <w:shd w:val="clear" w:color="auto" w:fill="auto"/>
            <w:vAlign w:val="bottom"/>
          </w:tcPr>
          <w:p w14:paraId="3E3B7F92" w14:textId="06B1EB00" w:rsidR="008834D1" w:rsidRPr="00A778F6" w:rsidRDefault="008834D1" w:rsidP="008834D1">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664D89">
              <w:rPr>
                <w:rFonts w:ascii="Arial" w:eastAsia="Times New Roman" w:hAnsi="Arial" w:cs="Arial"/>
                <w:color w:val="000000"/>
                <w:sz w:val="18"/>
                <w:szCs w:val="18"/>
              </w:rPr>
              <w:t>289.573</w:t>
            </w:r>
          </w:p>
        </w:tc>
        <w:tc>
          <w:tcPr>
            <w:tcW w:w="1303" w:type="dxa"/>
            <w:shd w:val="clear" w:color="auto" w:fill="auto"/>
            <w:vAlign w:val="bottom"/>
          </w:tcPr>
          <w:p w14:paraId="0B99D4E4" w14:textId="729110F9" w:rsidR="008834D1" w:rsidRPr="00A778F6" w:rsidRDefault="008834D1" w:rsidP="008834D1">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664D89">
              <w:rPr>
                <w:rFonts w:ascii="Arial" w:eastAsia="Times New Roman" w:hAnsi="Arial" w:cs="Arial"/>
                <w:color w:val="000000"/>
                <w:sz w:val="18"/>
                <w:szCs w:val="18"/>
              </w:rPr>
              <w:t>418.167</w:t>
            </w:r>
          </w:p>
        </w:tc>
        <w:tc>
          <w:tcPr>
            <w:tcW w:w="1307" w:type="dxa"/>
            <w:shd w:val="clear" w:color="auto" w:fill="auto"/>
            <w:vAlign w:val="bottom"/>
          </w:tcPr>
          <w:p w14:paraId="2788E1EE" w14:textId="26103BD5" w:rsidR="008834D1" w:rsidRPr="00DC547E" w:rsidRDefault="008834D1" w:rsidP="008834D1">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F959D0">
              <w:rPr>
                <w:rFonts w:ascii="Arial" w:hAnsi="Arial" w:cs="Arial"/>
                <w:sz w:val="18"/>
                <w:szCs w:val="18"/>
              </w:rPr>
              <w:t>280.436</w:t>
            </w:r>
          </w:p>
        </w:tc>
        <w:tc>
          <w:tcPr>
            <w:tcW w:w="1314" w:type="dxa"/>
            <w:shd w:val="clear" w:color="auto" w:fill="auto"/>
            <w:vAlign w:val="bottom"/>
          </w:tcPr>
          <w:p w14:paraId="49503CA7" w14:textId="57D418CB" w:rsidR="008834D1" w:rsidRPr="00DC547E" w:rsidRDefault="008834D1" w:rsidP="008834D1">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F959D0">
              <w:rPr>
                <w:rFonts w:ascii="Arial" w:hAnsi="Arial" w:cs="Arial"/>
                <w:sz w:val="18"/>
                <w:szCs w:val="18"/>
              </w:rPr>
              <w:t>506.144</w:t>
            </w:r>
          </w:p>
        </w:tc>
      </w:tr>
      <w:tr w:rsidR="008834D1" w:rsidRPr="003D1614" w14:paraId="6F606A7D" w14:textId="77777777" w:rsidTr="00640562">
        <w:trPr>
          <w:trHeight w:hRule="exact" w:val="284"/>
          <w:jc w:val="center"/>
        </w:trPr>
        <w:tc>
          <w:tcPr>
            <w:tcW w:w="3637" w:type="dxa"/>
            <w:vAlign w:val="bottom"/>
          </w:tcPr>
          <w:p w14:paraId="2A73061D" w14:textId="77777777" w:rsidR="008834D1" w:rsidRPr="003D1614" w:rsidRDefault="008834D1" w:rsidP="008834D1">
            <w:pPr>
              <w:tabs>
                <w:tab w:val="right" w:pos="1202"/>
              </w:tabs>
              <w:suppressAutoHyphens/>
              <w:autoSpaceDN w:val="0"/>
              <w:outlineLvl w:val="0"/>
              <w:rPr>
                <w:rFonts w:ascii="Arial" w:eastAsia="Calibri" w:hAnsi="Arial" w:cs="Arial"/>
                <w:color w:val="000000" w:themeColor="text1"/>
                <w:sz w:val="18"/>
                <w:szCs w:val="18"/>
              </w:rPr>
            </w:pPr>
            <w:bookmarkStart w:id="542" w:name="_Toc67329074"/>
            <w:r w:rsidRPr="003D1614">
              <w:rPr>
                <w:rFonts w:ascii="Arial" w:eastAsia="Calibri" w:hAnsi="Arial" w:cs="Arial"/>
                <w:color w:val="000000" w:themeColor="text1"/>
                <w:sz w:val="18"/>
                <w:szCs w:val="18"/>
              </w:rPr>
              <w:t>Državni fondovi, izvršna tijela i agencije</w:t>
            </w:r>
            <w:bookmarkEnd w:id="542"/>
          </w:p>
        </w:tc>
        <w:tc>
          <w:tcPr>
            <w:tcW w:w="1304" w:type="dxa"/>
            <w:shd w:val="clear" w:color="auto" w:fill="auto"/>
            <w:vAlign w:val="bottom"/>
          </w:tcPr>
          <w:p w14:paraId="19BE3D89" w14:textId="42452694" w:rsidR="008834D1" w:rsidRPr="00A778F6" w:rsidRDefault="008834D1" w:rsidP="008834D1">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664D89">
              <w:rPr>
                <w:rFonts w:ascii="Arial" w:eastAsia="Times New Roman" w:hAnsi="Arial" w:cs="Arial"/>
                <w:color w:val="000000"/>
                <w:sz w:val="18"/>
                <w:szCs w:val="18"/>
              </w:rPr>
              <w:t>633.588</w:t>
            </w:r>
          </w:p>
        </w:tc>
        <w:tc>
          <w:tcPr>
            <w:tcW w:w="1303" w:type="dxa"/>
            <w:shd w:val="clear" w:color="auto" w:fill="auto"/>
            <w:vAlign w:val="bottom"/>
          </w:tcPr>
          <w:p w14:paraId="324B70AF" w14:textId="71E5DAFF" w:rsidR="008834D1" w:rsidRPr="00A778F6" w:rsidRDefault="008834D1" w:rsidP="008834D1">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664D89">
              <w:rPr>
                <w:rFonts w:ascii="Arial" w:eastAsia="Times New Roman" w:hAnsi="Arial" w:cs="Arial"/>
                <w:color w:val="000000"/>
                <w:sz w:val="18"/>
                <w:szCs w:val="18"/>
              </w:rPr>
              <w:t>29.308</w:t>
            </w:r>
          </w:p>
        </w:tc>
        <w:tc>
          <w:tcPr>
            <w:tcW w:w="1307" w:type="dxa"/>
            <w:shd w:val="clear" w:color="auto" w:fill="auto"/>
            <w:vAlign w:val="bottom"/>
          </w:tcPr>
          <w:p w14:paraId="132EC118" w14:textId="7EC80958" w:rsidR="008834D1" w:rsidRPr="00DC547E" w:rsidRDefault="008834D1" w:rsidP="008834D1">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F959D0">
              <w:rPr>
                <w:rFonts w:ascii="Arial" w:hAnsi="Arial" w:cs="Arial"/>
                <w:sz w:val="18"/>
                <w:szCs w:val="18"/>
              </w:rPr>
              <w:t>665.950</w:t>
            </w:r>
          </w:p>
        </w:tc>
        <w:tc>
          <w:tcPr>
            <w:tcW w:w="1314" w:type="dxa"/>
            <w:shd w:val="clear" w:color="auto" w:fill="auto"/>
            <w:vAlign w:val="bottom"/>
          </w:tcPr>
          <w:p w14:paraId="03B26F31" w14:textId="5B1B80DC" w:rsidR="008834D1" w:rsidRPr="00DC547E" w:rsidRDefault="008834D1" w:rsidP="008834D1">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F959D0">
              <w:rPr>
                <w:rFonts w:ascii="Arial" w:hAnsi="Arial" w:cs="Arial"/>
                <w:sz w:val="18"/>
                <w:szCs w:val="18"/>
              </w:rPr>
              <w:t>18.973</w:t>
            </w:r>
          </w:p>
        </w:tc>
      </w:tr>
      <w:tr w:rsidR="008834D1" w:rsidRPr="003D1614" w14:paraId="4C92FD98" w14:textId="77777777" w:rsidTr="00640562">
        <w:trPr>
          <w:trHeight w:hRule="exact" w:val="284"/>
          <w:jc w:val="center"/>
        </w:trPr>
        <w:tc>
          <w:tcPr>
            <w:tcW w:w="3637" w:type="dxa"/>
            <w:vAlign w:val="bottom"/>
          </w:tcPr>
          <w:p w14:paraId="60E22662" w14:textId="77777777" w:rsidR="008834D1" w:rsidRPr="003D1614" w:rsidRDefault="008834D1" w:rsidP="008834D1">
            <w:pPr>
              <w:tabs>
                <w:tab w:val="right" w:pos="1202"/>
              </w:tabs>
              <w:suppressAutoHyphens/>
              <w:autoSpaceDN w:val="0"/>
              <w:outlineLvl w:val="0"/>
              <w:rPr>
                <w:rFonts w:ascii="Arial" w:eastAsia="Calibri" w:hAnsi="Arial" w:cs="Arial"/>
                <w:color w:val="000000" w:themeColor="text1"/>
                <w:sz w:val="18"/>
                <w:szCs w:val="18"/>
              </w:rPr>
            </w:pPr>
            <w:bookmarkStart w:id="543" w:name="_Toc67329079"/>
            <w:r w:rsidRPr="003D1614">
              <w:rPr>
                <w:rFonts w:ascii="Arial" w:eastAsia="Calibri" w:hAnsi="Arial" w:cs="Arial"/>
                <w:color w:val="000000" w:themeColor="text1"/>
                <w:sz w:val="18"/>
                <w:szCs w:val="18"/>
              </w:rPr>
              <w:t>Državna trgovačka društva</w:t>
            </w:r>
            <w:bookmarkEnd w:id="543"/>
          </w:p>
        </w:tc>
        <w:tc>
          <w:tcPr>
            <w:tcW w:w="1304" w:type="dxa"/>
            <w:shd w:val="clear" w:color="auto" w:fill="auto"/>
            <w:vAlign w:val="bottom"/>
          </w:tcPr>
          <w:p w14:paraId="5EE769DF" w14:textId="1A0F63AC" w:rsidR="008834D1" w:rsidRPr="00A778F6" w:rsidRDefault="008834D1" w:rsidP="008834D1">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664D89">
              <w:rPr>
                <w:rFonts w:ascii="Arial" w:eastAsia="Times New Roman" w:hAnsi="Arial" w:cs="Arial"/>
                <w:color w:val="000000"/>
                <w:sz w:val="18"/>
                <w:szCs w:val="18"/>
              </w:rPr>
              <w:t>153.590</w:t>
            </w:r>
          </w:p>
        </w:tc>
        <w:tc>
          <w:tcPr>
            <w:tcW w:w="1303" w:type="dxa"/>
            <w:shd w:val="clear" w:color="auto" w:fill="auto"/>
            <w:vAlign w:val="bottom"/>
          </w:tcPr>
          <w:p w14:paraId="6ED57BE8" w14:textId="5B6F7AD9" w:rsidR="008834D1" w:rsidRPr="00A778F6" w:rsidRDefault="008834D1" w:rsidP="008834D1">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664D89">
              <w:rPr>
                <w:rFonts w:ascii="Arial" w:eastAsia="Times New Roman" w:hAnsi="Arial" w:cs="Arial"/>
                <w:color w:val="000000"/>
                <w:sz w:val="18"/>
                <w:szCs w:val="18"/>
              </w:rPr>
              <w:t>924</w:t>
            </w:r>
          </w:p>
        </w:tc>
        <w:tc>
          <w:tcPr>
            <w:tcW w:w="1307" w:type="dxa"/>
            <w:shd w:val="clear" w:color="auto" w:fill="auto"/>
            <w:vAlign w:val="bottom"/>
          </w:tcPr>
          <w:p w14:paraId="0EFF62B4" w14:textId="492B568E" w:rsidR="008834D1" w:rsidRPr="00DC547E" w:rsidRDefault="008834D1" w:rsidP="008834D1">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F959D0">
              <w:rPr>
                <w:rFonts w:ascii="Arial" w:hAnsi="Arial" w:cs="Arial"/>
                <w:sz w:val="18"/>
                <w:szCs w:val="18"/>
              </w:rPr>
              <w:t>181.912</w:t>
            </w:r>
          </w:p>
        </w:tc>
        <w:tc>
          <w:tcPr>
            <w:tcW w:w="1314" w:type="dxa"/>
            <w:shd w:val="clear" w:color="auto" w:fill="auto"/>
            <w:vAlign w:val="bottom"/>
          </w:tcPr>
          <w:p w14:paraId="767A4AC2" w14:textId="1EA46F3D" w:rsidR="008834D1" w:rsidRPr="00DC547E" w:rsidRDefault="008834D1" w:rsidP="008834D1">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F959D0">
              <w:rPr>
                <w:rFonts w:ascii="Arial" w:hAnsi="Arial" w:cs="Arial"/>
                <w:sz w:val="18"/>
                <w:szCs w:val="18"/>
              </w:rPr>
              <w:t>987</w:t>
            </w:r>
          </w:p>
        </w:tc>
      </w:tr>
      <w:tr w:rsidR="008834D1" w:rsidRPr="003D1614" w14:paraId="1AD2256F" w14:textId="77777777" w:rsidTr="00640562">
        <w:trPr>
          <w:trHeight w:hRule="exact" w:val="284"/>
          <w:jc w:val="center"/>
        </w:trPr>
        <w:tc>
          <w:tcPr>
            <w:tcW w:w="3637" w:type="dxa"/>
            <w:vAlign w:val="bottom"/>
          </w:tcPr>
          <w:p w14:paraId="3E1799A5" w14:textId="77777777" w:rsidR="008834D1" w:rsidRPr="003D1614" w:rsidRDefault="008834D1" w:rsidP="008834D1">
            <w:pPr>
              <w:tabs>
                <w:tab w:val="right" w:pos="1202"/>
              </w:tabs>
              <w:suppressAutoHyphens/>
              <w:autoSpaceDN w:val="0"/>
              <w:outlineLvl w:val="0"/>
              <w:rPr>
                <w:rFonts w:ascii="Arial" w:eastAsia="Calibri" w:hAnsi="Arial" w:cs="Arial"/>
                <w:color w:val="000000" w:themeColor="text1"/>
                <w:sz w:val="18"/>
                <w:szCs w:val="18"/>
              </w:rPr>
            </w:pPr>
            <w:bookmarkStart w:id="544" w:name="_Toc67329084"/>
            <w:r w:rsidRPr="003D1614">
              <w:rPr>
                <w:rFonts w:ascii="Arial" w:eastAsia="Calibri" w:hAnsi="Arial" w:cs="Arial"/>
                <w:color w:val="000000" w:themeColor="text1"/>
                <w:sz w:val="18"/>
                <w:szCs w:val="18"/>
              </w:rPr>
              <w:t>Ovisna društva</w:t>
            </w:r>
            <w:bookmarkEnd w:id="544"/>
          </w:p>
        </w:tc>
        <w:tc>
          <w:tcPr>
            <w:tcW w:w="1304" w:type="dxa"/>
            <w:shd w:val="clear" w:color="auto" w:fill="auto"/>
            <w:vAlign w:val="bottom"/>
          </w:tcPr>
          <w:p w14:paraId="2A6E1839" w14:textId="5EC8CDF7" w:rsidR="008834D1" w:rsidRPr="00A778F6" w:rsidRDefault="008834D1" w:rsidP="008834D1">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310909">
              <w:rPr>
                <w:rFonts w:ascii="Arial" w:eastAsia="Times New Roman" w:hAnsi="Arial" w:cs="Arial"/>
                <w:color w:val="000000"/>
                <w:sz w:val="18"/>
                <w:szCs w:val="18"/>
              </w:rPr>
              <w:t>7.449</w:t>
            </w:r>
          </w:p>
        </w:tc>
        <w:tc>
          <w:tcPr>
            <w:tcW w:w="1303" w:type="dxa"/>
            <w:shd w:val="clear" w:color="auto" w:fill="auto"/>
            <w:vAlign w:val="bottom"/>
          </w:tcPr>
          <w:p w14:paraId="5CA40EE8" w14:textId="58927597" w:rsidR="008834D1" w:rsidRPr="00A778F6" w:rsidRDefault="008834D1" w:rsidP="008834D1">
            <w:pPr>
              <w:tabs>
                <w:tab w:val="right" w:pos="1202"/>
              </w:tabs>
              <w:suppressAutoHyphens/>
              <w:autoSpaceDN w:val="0"/>
              <w:spacing w:line="280" w:lineRule="exact"/>
              <w:jc w:val="right"/>
              <w:outlineLvl w:val="0"/>
              <w:rPr>
                <w:rFonts w:ascii="Arial" w:eastAsia="Times New Roman" w:hAnsi="Arial" w:cs="Arial"/>
                <w:color w:val="000000"/>
                <w:sz w:val="18"/>
                <w:szCs w:val="18"/>
              </w:rPr>
            </w:pPr>
            <w:r>
              <w:rPr>
                <w:rFonts w:ascii="Arial" w:eastAsia="Times New Roman" w:hAnsi="Arial" w:cs="Arial"/>
                <w:color w:val="000000"/>
                <w:sz w:val="18"/>
                <w:szCs w:val="18"/>
              </w:rPr>
              <w:t>-</w:t>
            </w:r>
          </w:p>
        </w:tc>
        <w:tc>
          <w:tcPr>
            <w:tcW w:w="1307" w:type="dxa"/>
            <w:shd w:val="clear" w:color="auto" w:fill="auto"/>
            <w:vAlign w:val="bottom"/>
          </w:tcPr>
          <w:p w14:paraId="1CDCD012" w14:textId="254C2EFC" w:rsidR="008834D1" w:rsidRPr="00DC547E" w:rsidRDefault="008834D1" w:rsidP="008834D1">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F959D0">
              <w:rPr>
                <w:rFonts w:ascii="Arial" w:hAnsi="Arial" w:cs="Arial"/>
                <w:sz w:val="18"/>
                <w:szCs w:val="18"/>
              </w:rPr>
              <w:t>7.449</w:t>
            </w:r>
          </w:p>
        </w:tc>
        <w:tc>
          <w:tcPr>
            <w:tcW w:w="1314" w:type="dxa"/>
            <w:shd w:val="clear" w:color="auto" w:fill="auto"/>
            <w:vAlign w:val="bottom"/>
          </w:tcPr>
          <w:p w14:paraId="5E270AB2" w14:textId="76B33962" w:rsidR="008834D1" w:rsidRPr="00DC547E" w:rsidRDefault="008834D1" w:rsidP="008834D1">
            <w:pPr>
              <w:tabs>
                <w:tab w:val="right" w:pos="1202"/>
              </w:tabs>
              <w:suppressAutoHyphens/>
              <w:autoSpaceDN w:val="0"/>
              <w:spacing w:line="280" w:lineRule="exact"/>
              <w:jc w:val="right"/>
              <w:outlineLvl w:val="0"/>
              <w:rPr>
                <w:rFonts w:ascii="Arial" w:eastAsia="Times New Roman" w:hAnsi="Arial" w:cs="Arial"/>
                <w:color w:val="000000"/>
                <w:sz w:val="18"/>
                <w:szCs w:val="18"/>
              </w:rPr>
            </w:pPr>
            <w:r>
              <w:rPr>
                <w:rFonts w:ascii="Arial" w:hAnsi="Arial" w:cs="Arial"/>
                <w:sz w:val="18"/>
                <w:szCs w:val="18"/>
              </w:rPr>
              <w:t>-</w:t>
            </w:r>
          </w:p>
        </w:tc>
      </w:tr>
      <w:tr w:rsidR="008834D1" w:rsidRPr="003D1614" w14:paraId="053CD557" w14:textId="77777777" w:rsidTr="00640562">
        <w:trPr>
          <w:trHeight w:hRule="exact" w:val="284"/>
          <w:jc w:val="center"/>
        </w:trPr>
        <w:tc>
          <w:tcPr>
            <w:tcW w:w="3637" w:type="dxa"/>
            <w:vAlign w:val="bottom"/>
          </w:tcPr>
          <w:p w14:paraId="283A50CB" w14:textId="77777777" w:rsidR="008834D1" w:rsidRPr="003D1614" w:rsidRDefault="008834D1" w:rsidP="008834D1">
            <w:pPr>
              <w:tabs>
                <w:tab w:val="right" w:pos="1202"/>
              </w:tabs>
              <w:suppressAutoHyphens/>
              <w:autoSpaceDN w:val="0"/>
              <w:outlineLvl w:val="0"/>
              <w:rPr>
                <w:rFonts w:ascii="Arial" w:eastAsia="Calibri" w:hAnsi="Arial" w:cs="Arial"/>
                <w:bCs/>
                <w:color w:val="000000" w:themeColor="text1"/>
                <w:sz w:val="18"/>
                <w:szCs w:val="18"/>
              </w:rPr>
            </w:pPr>
            <w:bookmarkStart w:id="545" w:name="_Toc67329094"/>
            <w:r w:rsidRPr="003D1614">
              <w:rPr>
                <w:rFonts w:ascii="Arial" w:eastAsia="Calibri" w:hAnsi="Arial" w:cs="Arial"/>
                <w:bCs/>
                <w:color w:val="000000" w:themeColor="text1"/>
                <w:sz w:val="18"/>
                <w:szCs w:val="18"/>
              </w:rPr>
              <w:t>Ključni članovi rukovodstva</w:t>
            </w:r>
            <w:bookmarkEnd w:id="545"/>
          </w:p>
        </w:tc>
        <w:tc>
          <w:tcPr>
            <w:tcW w:w="1304" w:type="dxa"/>
            <w:tcBorders>
              <w:bottom w:val="single" w:sz="4" w:space="0" w:color="000000"/>
            </w:tcBorders>
            <w:shd w:val="clear" w:color="auto" w:fill="auto"/>
            <w:vAlign w:val="bottom"/>
          </w:tcPr>
          <w:p w14:paraId="603A5223" w14:textId="05B5FB2D" w:rsidR="008834D1" w:rsidRPr="00A778F6" w:rsidRDefault="008834D1" w:rsidP="008834D1">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310909">
              <w:rPr>
                <w:rFonts w:ascii="Arial" w:eastAsia="Times New Roman" w:hAnsi="Arial" w:cs="Arial"/>
                <w:color w:val="000000"/>
                <w:sz w:val="18"/>
                <w:szCs w:val="18"/>
              </w:rPr>
              <w:t>2</w:t>
            </w:r>
            <w:r>
              <w:rPr>
                <w:rFonts w:ascii="Arial" w:eastAsia="Times New Roman" w:hAnsi="Arial" w:cs="Arial"/>
                <w:color w:val="000000"/>
                <w:sz w:val="18"/>
                <w:szCs w:val="18"/>
              </w:rPr>
              <w:t>47</w:t>
            </w:r>
          </w:p>
        </w:tc>
        <w:tc>
          <w:tcPr>
            <w:tcW w:w="1303" w:type="dxa"/>
            <w:tcBorders>
              <w:bottom w:val="single" w:sz="4" w:space="0" w:color="000000"/>
            </w:tcBorders>
            <w:shd w:val="clear" w:color="auto" w:fill="auto"/>
            <w:vAlign w:val="bottom"/>
          </w:tcPr>
          <w:p w14:paraId="386DF31D" w14:textId="31718E3E" w:rsidR="008834D1" w:rsidRPr="00A778F6" w:rsidRDefault="008834D1" w:rsidP="008834D1">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310909">
              <w:rPr>
                <w:rFonts w:ascii="Arial" w:eastAsia="Times New Roman" w:hAnsi="Arial" w:cs="Arial"/>
                <w:color w:val="000000"/>
                <w:sz w:val="18"/>
                <w:szCs w:val="18"/>
              </w:rPr>
              <w:t>39</w:t>
            </w:r>
            <w:r>
              <w:rPr>
                <w:rFonts w:ascii="Arial" w:eastAsia="Times New Roman" w:hAnsi="Arial" w:cs="Arial"/>
                <w:color w:val="000000"/>
                <w:sz w:val="18"/>
                <w:szCs w:val="18"/>
              </w:rPr>
              <w:t>7</w:t>
            </w:r>
          </w:p>
        </w:tc>
        <w:tc>
          <w:tcPr>
            <w:tcW w:w="1307" w:type="dxa"/>
            <w:tcBorders>
              <w:bottom w:val="single" w:sz="4" w:space="0" w:color="000000"/>
            </w:tcBorders>
            <w:shd w:val="clear" w:color="auto" w:fill="auto"/>
          </w:tcPr>
          <w:p w14:paraId="6D1476AD" w14:textId="54AD5B83" w:rsidR="008834D1" w:rsidRPr="00DC547E" w:rsidRDefault="008834D1" w:rsidP="008834D1">
            <w:pPr>
              <w:tabs>
                <w:tab w:val="right" w:pos="1202"/>
              </w:tabs>
              <w:suppressAutoHyphens/>
              <w:autoSpaceDN w:val="0"/>
              <w:spacing w:line="280" w:lineRule="exact"/>
              <w:jc w:val="right"/>
              <w:outlineLvl w:val="0"/>
              <w:rPr>
                <w:rFonts w:ascii="Arial" w:eastAsia="Times New Roman" w:hAnsi="Arial" w:cs="Arial"/>
                <w:color w:val="000000"/>
                <w:sz w:val="18"/>
                <w:szCs w:val="18"/>
              </w:rPr>
            </w:pPr>
            <w:r>
              <w:rPr>
                <w:rFonts w:ascii="Arial" w:eastAsia="Calibri" w:hAnsi="Arial" w:cs="Arial"/>
                <w:bCs/>
                <w:iCs/>
                <w:color w:val="000000" w:themeColor="text1"/>
                <w:sz w:val="18"/>
                <w:szCs w:val="18"/>
              </w:rPr>
              <w:t>272</w:t>
            </w:r>
          </w:p>
        </w:tc>
        <w:tc>
          <w:tcPr>
            <w:tcW w:w="1314" w:type="dxa"/>
            <w:tcBorders>
              <w:bottom w:val="single" w:sz="4" w:space="0" w:color="000000"/>
            </w:tcBorders>
            <w:shd w:val="clear" w:color="auto" w:fill="auto"/>
          </w:tcPr>
          <w:p w14:paraId="4519AE34" w14:textId="199C949F" w:rsidR="008834D1" w:rsidRPr="00DC547E" w:rsidRDefault="008834D1" w:rsidP="008834D1">
            <w:pPr>
              <w:tabs>
                <w:tab w:val="right" w:pos="1202"/>
              </w:tabs>
              <w:suppressAutoHyphens/>
              <w:autoSpaceDN w:val="0"/>
              <w:spacing w:line="280" w:lineRule="exact"/>
              <w:jc w:val="right"/>
              <w:outlineLvl w:val="0"/>
              <w:rPr>
                <w:rFonts w:ascii="Arial" w:eastAsia="Times New Roman" w:hAnsi="Arial" w:cs="Arial"/>
                <w:color w:val="000000"/>
                <w:sz w:val="18"/>
                <w:szCs w:val="18"/>
              </w:rPr>
            </w:pPr>
            <w:r>
              <w:rPr>
                <w:rFonts w:ascii="Arial" w:eastAsia="Calibri" w:hAnsi="Arial" w:cs="Arial"/>
                <w:bCs/>
                <w:iCs/>
                <w:color w:val="000000" w:themeColor="text1"/>
                <w:sz w:val="18"/>
                <w:szCs w:val="18"/>
              </w:rPr>
              <w:t>403</w:t>
            </w:r>
          </w:p>
        </w:tc>
      </w:tr>
      <w:tr w:rsidR="008834D1" w:rsidRPr="003D1614" w14:paraId="29CD4963" w14:textId="77777777" w:rsidTr="00640562">
        <w:trPr>
          <w:trHeight w:val="329"/>
          <w:jc w:val="center"/>
        </w:trPr>
        <w:tc>
          <w:tcPr>
            <w:tcW w:w="3637" w:type="dxa"/>
            <w:vAlign w:val="bottom"/>
          </w:tcPr>
          <w:p w14:paraId="09D112EC" w14:textId="77777777" w:rsidR="008834D1" w:rsidRPr="003D1614" w:rsidRDefault="008834D1" w:rsidP="008834D1">
            <w:pPr>
              <w:tabs>
                <w:tab w:val="right" w:pos="1202"/>
              </w:tabs>
              <w:suppressAutoHyphens/>
              <w:autoSpaceDN w:val="0"/>
              <w:outlineLvl w:val="0"/>
              <w:rPr>
                <w:rFonts w:ascii="Arial" w:eastAsia="Calibri" w:hAnsi="Arial" w:cs="Arial"/>
                <w:b/>
                <w:color w:val="000000" w:themeColor="text1"/>
                <w:sz w:val="18"/>
                <w:szCs w:val="18"/>
              </w:rPr>
            </w:pPr>
            <w:bookmarkStart w:id="546" w:name="_Toc67329099"/>
            <w:r w:rsidRPr="003D1614">
              <w:rPr>
                <w:rFonts w:ascii="Arial" w:eastAsia="Calibri" w:hAnsi="Arial" w:cs="Arial"/>
                <w:b/>
                <w:color w:val="000000" w:themeColor="text1"/>
                <w:sz w:val="18"/>
                <w:szCs w:val="18"/>
              </w:rPr>
              <w:t>Ukupno</w:t>
            </w:r>
            <w:bookmarkEnd w:id="546"/>
          </w:p>
        </w:tc>
        <w:tc>
          <w:tcPr>
            <w:tcW w:w="1304" w:type="dxa"/>
            <w:tcBorders>
              <w:top w:val="single" w:sz="4" w:space="0" w:color="auto"/>
              <w:bottom w:val="single" w:sz="12" w:space="0" w:color="auto"/>
              <w:right w:val="nil"/>
            </w:tcBorders>
            <w:shd w:val="clear" w:color="auto" w:fill="auto"/>
            <w:vAlign w:val="bottom"/>
          </w:tcPr>
          <w:p w14:paraId="34CF9092" w14:textId="6C6AB065" w:rsidR="008834D1" w:rsidRPr="00A778F6" w:rsidRDefault="008834D1" w:rsidP="008834D1">
            <w:pPr>
              <w:tabs>
                <w:tab w:val="right" w:pos="1202"/>
              </w:tabs>
              <w:suppressAutoHyphens/>
              <w:autoSpaceDN w:val="0"/>
              <w:spacing w:line="280" w:lineRule="exact"/>
              <w:jc w:val="right"/>
              <w:outlineLvl w:val="0"/>
              <w:rPr>
                <w:rFonts w:ascii="Arial" w:eastAsia="Times New Roman" w:hAnsi="Arial" w:cs="Arial"/>
                <w:b/>
                <w:bCs/>
                <w:color w:val="000000"/>
                <w:sz w:val="18"/>
                <w:szCs w:val="18"/>
              </w:rPr>
            </w:pPr>
            <w:r w:rsidRPr="00664D89">
              <w:rPr>
                <w:rFonts w:ascii="Arial" w:eastAsia="Times New Roman" w:hAnsi="Arial" w:cs="Arial"/>
                <w:b/>
                <w:bCs/>
                <w:color w:val="000000"/>
                <w:sz w:val="18"/>
                <w:szCs w:val="18"/>
              </w:rPr>
              <w:t>1.084.447</w:t>
            </w:r>
          </w:p>
        </w:tc>
        <w:tc>
          <w:tcPr>
            <w:tcW w:w="1303" w:type="dxa"/>
            <w:tcBorders>
              <w:top w:val="single" w:sz="4" w:space="0" w:color="auto"/>
              <w:left w:val="nil"/>
              <w:bottom w:val="single" w:sz="12" w:space="0" w:color="auto"/>
              <w:right w:val="nil"/>
            </w:tcBorders>
            <w:shd w:val="clear" w:color="auto" w:fill="auto"/>
            <w:vAlign w:val="bottom"/>
          </w:tcPr>
          <w:p w14:paraId="19EA0AA8" w14:textId="2834E083" w:rsidR="008834D1" w:rsidRPr="00A778F6" w:rsidRDefault="00F92750" w:rsidP="008834D1">
            <w:pPr>
              <w:tabs>
                <w:tab w:val="right" w:pos="1202"/>
              </w:tabs>
              <w:suppressAutoHyphens/>
              <w:autoSpaceDN w:val="0"/>
              <w:spacing w:line="280" w:lineRule="exact"/>
              <w:jc w:val="right"/>
              <w:outlineLvl w:val="0"/>
              <w:rPr>
                <w:rFonts w:ascii="Arial" w:eastAsia="Times New Roman" w:hAnsi="Arial" w:cs="Arial"/>
                <w:b/>
                <w:bCs/>
                <w:color w:val="000000"/>
                <w:sz w:val="18"/>
                <w:szCs w:val="18"/>
              </w:rPr>
            </w:pPr>
            <w:r>
              <w:rPr>
                <w:rFonts w:ascii="Arial" w:eastAsia="Times New Roman" w:hAnsi="Arial" w:cs="Arial"/>
                <w:b/>
                <w:bCs/>
                <w:color w:val="000000"/>
                <w:sz w:val="18"/>
                <w:szCs w:val="18"/>
              </w:rPr>
              <w:t>448</w:t>
            </w:r>
            <w:r w:rsidR="008834D1" w:rsidRPr="00310909">
              <w:rPr>
                <w:rFonts w:ascii="Arial" w:eastAsia="Times New Roman" w:hAnsi="Arial" w:cs="Arial"/>
                <w:b/>
                <w:bCs/>
                <w:color w:val="000000"/>
                <w:sz w:val="18"/>
                <w:szCs w:val="18"/>
              </w:rPr>
              <w:t>.</w:t>
            </w:r>
            <w:r>
              <w:rPr>
                <w:rFonts w:ascii="Arial" w:eastAsia="Times New Roman" w:hAnsi="Arial" w:cs="Arial"/>
                <w:b/>
                <w:bCs/>
                <w:color w:val="000000"/>
                <w:sz w:val="18"/>
                <w:szCs w:val="18"/>
              </w:rPr>
              <w:t>796</w:t>
            </w:r>
          </w:p>
        </w:tc>
        <w:tc>
          <w:tcPr>
            <w:tcW w:w="1307" w:type="dxa"/>
            <w:tcBorders>
              <w:top w:val="single" w:sz="4" w:space="0" w:color="auto"/>
              <w:bottom w:val="single" w:sz="12" w:space="0" w:color="auto"/>
              <w:right w:val="nil"/>
            </w:tcBorders>
            <w:shd w:val="clear" w:color="auto" w:fill="auto"/>
            <w:vAlign w:val="bottom"/>
          </w:tcPr>
          <w:p w14:paraId="42A78BCC" w14:textId="26FE5E0C" w:rsidR="008834D1" w:rsidRPr="00DC547E" w:rsidRDefault="008834D1" w:rsidP="008834D1">
            <w:pPr>
              <w:tabs>
                <w:tab w:val="right" w:pos="1202"/>
              </w:tabs>
              <w:suppressAutoHyphens/>
              <w:autoSpaceDN w:val="0"/>
              <w:spacing w:line="280" w:lineRule="exact"/>
              <w:jc w:val="right"/>
              <w:outlineLvl w:val="0"/>
              <w:rPr>
                <w:rFonts w:ascii="Arial" w:eastAsia="Times New Roman" w:hAnsi="Arial" w:cs="Arial"/>
                <w:b/>
                <w:bCs/>
                <w:color w:val="000000"/>
                <w:sz w:val="18"/>
                <w:szCs w:val="18"/>
              </w:rPr>
            </w:pPr>
            <w:r w:rsidRPr="00B4142B">
              <w:rPr>
                <w:rFonts w:ascii="Arial" w:hAnsi="Arial" w:cs="Arial"/>
                <w:b/>
                <w:color w:val="000000" w:themeColor="text1"/>
                <w:sz w:val="18"/>
                <w:szCs w:val="18"/>
              </w:rPr>
              <w:t>1.136.019</w:t>
            </w:r>
          </w:p>
        </w:tc>
        <w:tc>
          <w:tcPr>
            <w:tcW w:w="1314" w:type="dxa"/>
            <w:tcBorders>
              <w:top w:val="single" w:sz="4" w:space="0" w:color="auto"/>
              <w:left w:val="nil"/>
              <w:bottom w:val="single" w:sz="12" w:space="0" w:color="auto"/>
              <w:right w:val="nil"/>
            </w:tcBorders>
            <w:shd w:val="clear" w:color="auto" w:fill="auto"/>
            <w:vAlign w:val="bottom"/>
          </w:tcPr>
          <w:p w14:paraId="30AAF6DD" w14:textId="076AB460" w:rsidR="008834D1" w:rsidRPr="00DC547E" w:rsidRDefault="008834D1" w:rsidP="008834D1">
            <w:pPr>
              <w:tabs>
                <w:tab w:val="right" w:pos="1202"/>
              </w:tabs>
              <w:suppressAutoHyphens/>
              <w:autoSpaceDN w:val="0"/>
              <w:spacing w:line="280" w:lineRule="exact"/>
              <w:jc w:val="right"/>
              <w:outlineLvl w:val="0"/>
              <w:rPr>
                <w:rFonts w:ascii="Arial" w:eastAsia="Times New Roman" w:hAnsi="Arial" w:cs="Arial"/>
                <w:b/>
                <w:bCs/>
                <w:color w:val="000000"/>
                <w:sz w:val="18"/>
                <w:szCs w:val="18"/>
              </w:rPr>
            </w:pPr>
            <w:r w:rsidRPr="00B4142B">
              <w:rPr>
                <w:rFonts w:ascii="Arial" w:hAnsi="Arial" w:cs="Arial"/>
                <w:b/>
                <w:color w:val="000000" w:themeColor="text1"/>
                <w:sz w:val="18"/>
                <w:szCs w:val="18"/>
              </w:rPr>
              <w:t>526.507</w:t>
            </w:r>
          </w:p>
        </w:tc>
      </w:tr>
    </w:tbl>
    <w:p w14:paraId="43853148" w14:textId="77777777" w:rsidR="0064018A" w:rsidRPr="003D1614" w:rsidRDefault="0064018A" w:rsidP="0064018A">
      <w:pPr>
        <w:keepNext/>
        <w:suppressAutoHyphens/>
        <w:autoSpaceDN w:val="0"/>
        <w:jc w:val="both"/>
        <w:outlineLvl w:val="0"/>
        <w:rPr>
          <w:rFonts w:ascii="Arial" w:eastAsia="Times New Roman" w:hAnsi="Arial" w:cs="Arial"/>
          <w:bCs/>
          <w:color w:val="000000" w:themeColor="text1"/>
          <w:sz w:val="20"/>
          <w:szCs w:val="20"/>
        </w:rPr>
      </w:pPr>
    </w:p>
    <w:p w14:paraId="67C07A96" w14:textId="77777777" w:rsidR="0064018A" w:rsidRPr="003D1614" w:rsidRDefault="0064018A" w:rsidP="0064018A">
      <w:pPr>
        <w:keepNext/>
        <w:suppressAutoHyphens/>
        <w:autoSpaceDN w:val="0"/>
        <w:jc w:val="both"/>
        <w:rPr>
          <w:rFonts w:ascii="Arial" w:eastAsia="Times New Roman" w:hAnsi="Arial" w:cs="Arial"/>
          <w:bCs/>
          <w:color w:val="000000" w:themeColor="text1"/>
          <w:sz w:val="20"/>
          <w:szCs w:val="20"/>
          <w:highlight w:val="yellow"/>
        </w:rPr>
      </w:pPr>
    </w:p>
    <w:tbl>
      <w:tblPr>
        <w:tblW w:w="4825" w:type="pct"/>
        <w:jc w:val="center"/>
        <w:tblLayout w:type="fixed"/>
        <w:tblCellMar>
          <w:left w:w="113" w:type="dxa"/>
          <w:right w:w="85" w:type="dxa"/>
        </w:tblCellMar>
        <w:tblLook w:val="00A0" w:firstRow="1" w:lastRow="0" w:firstColumn="1" w:lastColumn="0" w:noHBand="0" w:noVBand="0"/>
      </w:tblPr>
      <w:tblGrid>
        <w:gridCol w:w="3639"/>
        <w:gridCol w:w="1278"/>
        <w:gridCol w:w="1279"/>
        <w:gridCol w:w="1279"/>
        <w:gridCol w:w="1279"/>
      </w:tblGrid>
      <w:tr w:rsidR="0064018A" w:rsidRPr="003D1614" w14:paraId="1C4B34CB" w14:textId="77777777" w:rsidTr="007478FB">
        <w:trPr>
          <w:trHeight w:val="283"/>
          <w:jc w:val="center"/>
        </w:trPr>
        <w:tc>
          <w:tcPr>
            <w:tcW w:w="3639" w:type="dxa"/>
            <w:vAlign w:val="bottom"/>
          </w:tcPr>
          <w:p w14:paraId="5E2BA7C1" w14:textId="77777777" w:rsidR="0064018A" w:rsidRPr="003D1614" w:rsidRDefault="0064018A" w:rsidP="0064018A">
            <w:pPr>
              <w:tabs>
                <w:tab w:val="right" w:pos="1202"/>
              </w:tabs>
              <w:suppressAutoHyphens/>
              <w:autoSpaceDN w:val="0"/>
              <w:outlineLvl w:val="0"/>
              <w:rPr>
                <w:rFonts w:ascii="Arial" w:eastAsia="Calibri" w:hAnsi="Arial" w:cs="Arial"/>
                <w:color w:val="000000" w:themeColor="text1"/>
                <w:sz w:val="18"/>
                <w:szCs w:val="18"/>
              </w:rPr>
            </w:pPr>
            <w:bookmarkStart w:id="547" w:name="_Toc67329104"/>
            <w:r w:rsidRPr="003D1614">
              <w:rPr>
                <w:rFonts w:ascii="Arial" w:eastAsia="Calibri" w:hAnsi="Arial" w:cs="Arial"/>
                <w:b/>
                <w:color w:val="000000" w:themeColor="text1"/>
                <w:sz w:val="18"/>
                <w:szCs w:val="18"/>
              </w:rPr>
              <w:t>Banka</w:t>
            </w:r>
            <w:bookmarkEnd w:id="547"/>
          </w:p>
        </w:tc>
        <w:tc>
          <w:tcPr>
            <w:tcW w:w="1278" w:type="dxa"/>
            <w:vAlign w:val="bottom"/>
          </w:tcPr>
          <w:p w14:paraId="4BCF7A18" w14:textId="77777777" w:rsidR="0064018A" w:rsidRPr="003D1614" w:rsidRDefault="0064018A"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548" w:name="_Toc67329105"/>
            <w:r w:rsidRPr="003D1614">
              <w:rPr>
                <w:rFonts w:ascii="Arial" w:eastAsia="Calibri" w:hAnsi="Arial" w:cs="Arial"/>
                <w:b/>
                <w:bCs/>
                <w:iCs/>
                <w:color w:val="000000" w:themeColor="text1"/>
                <w:sz w:val="18"/>
                <w:szCs w:val="18"/>
              </w:rPr>
              <w:t>Prihodi</w:t>
            </w:r>
            <w:bookmarkEnd w:id="548"/>
          </w:p>
        </w:tc>
        <w:tc>
          <w:tcPr>
            <w:tcW w:w="1279" w:type="dxa"/>
            <w:vAlign w:val="bottom"/>
          </w:tcPr>
          <w:p w14:paraId="718BC288" w14:textId="77777777" w:rsidR="0064018A" w:rsidRPr="003D1614" w:rsidRDefault="0064018A"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549" w:name="_Toc67329106"/>
            <w:r w:rsidRPr="003D1614">
              <w:rPr>
                <w:rFonts w:ascii="Arial" w:eastAsia="Calibri" w:hAnsi="Arial" w:cs="Arial"/>
                <w:b/>
                <w:bCs/>
                <w:iCs/>
                <w:color w:val="000000" w:themeColor="text1"/>
                <w:sz w:val="18"/>
                <w:szCs w:val="18"/>
              </w:rPr>
              <w:t>Rashodi</w:t>
            </w:r>
            <w:bookmarkEnd w:id="549"/>
          </w:p>
        </w:tc>
        <w:tc>
          <w:tcPr>
            <w:tcW w:w="1279" w:type="dxa"/>
            <w:vAlign w:val="bottom"/>
          </w:tcPr>
          <w:p w14:paraId="19B2D71E" w14:textId="77777777" w:rsidR="0064018A" w:rsidRPr="003D1614" w:rsidRDefault="0064018A"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550" w:name="_Toc67329107"/>
            <w:r w:rsidRPr="003D1614">
              <w:rPr>
                <w:rFonts w:ascii="Arial" w:eastAsia="Calibri" w:hAnsi="Arial" w:cs="Arial"/>
                <w:b/>
                <w:bCs/>
                <w:iCs/>
                <w:color w:val="000000" w:themeColor="text1"/>
                <w:sz w:val="18"/>
                <w:szCs w:val="18"/>
              </w:rPr>
              <w:t>Prihodi</w:t>
            </w:r>
            <w:bookmarkEnd w:id="550"/>
          </w:p>
        </w:tc>
        <w:tc>
          <w:tcPr>
            <w:tcW w:w="1279" w:type="dxa"/>
            <w:vAlign w:val="bottom"/>
          </w:tcPr>
          <w:p w14:paraId="7CF3492D" w14:textId="77777777" w:rsidR="0064018A" w:rsidRPr="003D1614" w:rsidRDefault="0064018A"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551" w:name="_Toc67329108"/>
            <w:r w:rsidRPr="003D1614">
              <w:rPr>
                <w:rFonts w:ascii="Arial" w:eastAsia="Calibri" w:hAnsi="Arial" w:cs="Arial"/>
                <w:b/>
                <w:bCs/>
                <w:iCs/>
                <w:color w:val="000000" w:themeColor="text1"/>
                <w:sz w:val="18"/>
                <w:szCs w:val="18"/>
              </w:rPr>
              <w:t>Rashodi</w:t>
            </w:r>
            <w:bookmarkEnd w:id="551"/>
          </w:p>
        </w:tc>
      </w:tr>
      <w:tr w:rsidR="00F36D0C" w:rsidRPr="003D1614" w14:paraId="6424D866" w14:textId="77777777" w:rsidTr="007478FB">
        <w:trPr>
          <w:trHeight w:hRule="exact" w:val="454"/>
          <w:jc w:val="center"/>
        </w:trPr>
        <w:tc>
          <w:tcPr>
            <w:tcW w:w="3639" w:type="dxa"/>
            <w:vAlign w:val="bottom"/>
          </w:tcPr>
          <w:p w14:paraId="0C350386" w14:textId="77777777" w:rsidR="00F36D0C" w:rsidRPr="003D1614" w:rsidRDefault="00F36D0C" w:rsidP="00F36D0C">
            <w:pPr>
              <w:tabs>
                <w:tab w:val="right" w:pos="1202"/>
              </w:tabs>
              <w:suppressAutoHyphens/>
              <w:autoSpaceDN w:val="0"/>
              <w:outlineLvl w:val="0"/>
              <w:rPr>
                <w:rFonts w:ascii="Arial" w:eastAsia="Calibri" w:hAnsi="Arial" w:cs="Arial"/>
                <w:b/>
                <w:color w:val="000000" w:themeColor="text1"/>
                <w:sz w:val="18"/>
                <w:szCs w:val="18"/>
              </w:rPr>
            </w:pPr>
          </w:p>
        </w:tc>
        <w:tc>
          <w:tcPr>
            <w:tcW w:w="1278" w:type="dxa"/>
            <w:vAlign w:val="bottom"/>
          </w:tcPr>
          <w:p w14:paraId="68D4F2DC" w14:textId="74E4139F" w:rsidR="00F36D0C" w:rsidRPr="003D1614" w:rsidRDefault="00F36D0C" w:rsidP="00F36D0C">
            <w:pPr>
              <w:tabs>
                <w:tab w:val="right" w:pos="1202"/>
              </w:tabs>
              <w:suppressAutoHyphens/>
              <w:autoSpaceDN w:val="0"/>
              <w:jc w:val="right"/>
              <w:outlineLvl w:val="0"/>
              <w:rPr>
                <w:rFonts w:ascii="Arial" w:eastAsia="Calibri" w:hAnsi="Arial" w:cs="Arial"/>
                <w:b/>
                <w:bCs/>
                <w:iCs/>
                <w:color w:val="000000" w:themeColor="text1"/>
                <w:sz w:val="18"/>
                <w:szCs w:val="18"/>
              </w:rPr>
            </w:pPr>
            <w:r w:rsidRPr="0040073C">
              <w:rPr>
                <w:rFonts w:ascii="Arial" w:eastAsia="Calibri" w:hAnsi="Arial" w:cs="Arial"/>
                <w:b/>
                <w:bCs/>
                <w:iCs/>
                <w:color w:val="000000" w:themeColor="text1"/>
                <w:sz w:val="18"/>
                <w:szCs w:val="18"/>
              </w:rPr>
              <w:t>1.1. – 3</w:t>
            </w:r>
            <w:r>
              <w:rPr>
                <w:rFonts w:ascii="Arial" w:eastAsia="Calibri" w:hAnsi="Arial" w:cs="Arial"/>
                <w:b/>
                <w:bCs/>
                <w:iCs/>
                <w:color w:val="000000" w:themeColor="text1"/>
                <w:sz w:val="18"/>
                <w:szCs w:val="18"/>
              </w:rPr>
              <w:t>0</w:t>
            </w:r>
            <w:r w:rsidRPr="0040073C">
              <w:rPr>
                <w:rFonts w:ascii="Arial" w:eastAsia="Calibri" w:hAnsi="Arial" w:cs="Arial"/>
                <w:b/>
                <w:bCs/>
                <w:iCs/>
                <w:color w:val="000000" w:themeColor="text1"/>
                <w:sz w:val="18"/>
                <w:szCs w:val="18"/>
              </w:rPr>
              <w:t>.</w:t>
            </w:r>
            <w:r w:rsidR="00184EBE">
              <w:rPr>
                <w:rFonts w:ascii="Arial" w:eastAsia="Calibri" w:hAnsi="Arial" w:cs="Arial"/>
                <w:b/>
                <w:bCs/>
                <w:iCs/>
                <w:color w:val="000000" w:themeColor="text1"/>
                <w:sz w:val="18"/>
                <w:szCs w:val="18"/>
              </w:rPr>
              <w:t>9</w:t>
            </w:r>
            <w:r w:rsidRPr="0040073C">
              <w:rPr>
                <w:rFonts w:ascii="Arial" w:eastAsia="Calibri" w:hAnsi="Arial" w:cs="Arial"/>
                <w:b/>
                <w:bCs/>
                <w:iCs/>
                <w:color w:val="000000" w:themeColor="text1"/>
                <w:sz w:val="18"/>
                <w:szCs w:val="18"/>
              </w:rPr>
              <w:t>. 202</w:t>
            </w:r>
            <w:r w:rsidR="00640562">
              <w:rPr>
                <w:rFonts w:ascii="Arial" w:eastAsia="Calibri" w:hAnsi="Arial" w:cs="Arial"/>
                <w:b/>
                <w:bCs/>
                <w:iCs/>
                <w:color w:val="000000" w:themeColor="text1"/>
                <w:sz w:val="18"/>
                <w:szCs w:val="18"/>
              </w:rPr>
              <w:t>4</w:t>
            </w:r>
            <w:r w:rsidRPr="0040073C">
              <w:rPr>
                <w:rFonts w:ascii="Arial" w:eastAsia="Calibri" w:hAnsi="Arial" w:cs="Arial"/>
                <w:b/>
                <w:bCs/>
                <w:iCs/>
                <w:color w:val="000000" w:themeColor="text1"/>
                <w:sz w:val="18"/>
                <w:szCs w:val="18"/>
              </w:rPr>
              <w:t>.</w:t>
            </w:r>
          </w:p>
        </w:tc>
        <w:tc>
          <w:tcPr>
            <w:tcW w:w="1279" w:type="dxa"/>
            <w:vAlign w:val="bottom"/>
          </w:tcPr>
          <w:p w14:paraId="4C75D131" w14:textId="44B96A95" w:rsidR="00F36D0C" w:rsidRPr="003D1614" w:rsidRDefault="00F36D0C" w:rsidP="00F36D0C">
            <w:pPr>
              <w:tabs>
                <w:tab w:val="right" w:pos="1202"/>
              </w:tabs>
              <w:suppressAutoHyphens/>
              <w:autoSpaceDN w:val="0"/>
              <w:jc w:val="right"/>
              <w:outlineLvl w:val="0"/>
              <w:rPr>
                <w:rFonts w:ascii="Arial" w:eastAsia="Calibri" w:hAnsi="Arial" w:cs="Arial"/>
                <w:b/>
                <w:bCs/>
                <w:iCs/>
                <w:color w:val="000000" w:themeColor="text1"/>
                <w:sz w:val="18"/>
                <w:szCs w:val="18"/>
              </w:rPr>
            </w:pPr>
            <w:r w:rsidRPr="0040073C">
              <w:rPr>
                <w:rFonts w:ascii="Arial" w:eastAsia="Calibri" w:hAnsi="Arial" w:cs="Arial"/>
                <w:b/>
                <w:bCs/>
                <w:iCs/>
                <w:color w:val="000000" w:themeColor="text1"/>
                <w:sz w:val="18"/>
                <w:szCs w:val="18"/>
              </w:rPr>
              <w:t>1.1. – 3</w:t>
            </w:r>
            <w:r>
              <w:rPr>
                <w:rFonts w:ascii="Arial" w:eastAsia="Calibri" w:hAnsi="Arial" w:cs="Arial"/>
                <w:b/>
                <w:bCs/>
                <w:iCs/>
                <w:color w:val="000000" w:themeColor="text1"/>
                <w:sz w:val="18"/>
                <w:szCs w:val="18"/>
              </w:rPr>
              <w:t>0</w:t>
            </w:r>
            <w:r w:rsidRPr="0040073C">
              <w:rPr>
                <w:rFonts w:ascii="Arial" w:eastAsia="Calibri" w:hAnsi="Arial" w:cs="Arial"/>
                <w:b/>
                <w:bCs/>
                <w:iCs/>
                <w:color w:val="000000" w:themeColor="text1"/>
                <w:sz w:val="18"/>
                <w:szCs w:val="18"/>
              </w:rPr>
              <w:t>.</w:t>
            </w:r>
            <w:r w:rsidR="00184EBE">
              <w:rPr>
                <w:rFonts w:ascii="Arial" w:eastAsia="Calibri" w:hAnsi="Arial" w:cs="Arial"/>
                <w:b/>
                <w:bCs/>
                <w:iCs/>
                <w:color w:val="000000" w:themeColor="text1"/>
                <w:sz w:val="18"/>
                <w:szCs w:val="18"/>
              </w:rPr>
              <w:t>9</w:t>
            </w:r>
            <w:r w:rsidRPr="0040073C">
              <w:rPr>
                <w:rFonts w:ascii="Arial" w:eastAsia="Calibri" w:hAnsi="Arial" w:cs="Arial"/>
                <w:b/>
                <w:bCs/>
                <w:iCs/>
                <w:color w:val="000000" w:themeColor="text1"/>
                <w:sz w:val="18"/>
                <w:szCs w:val="18"/>
              </w:rPr>
              <w:t>. 202</w:t>
            </w:r>
            <w:r w:rsidR="00640562">
              <w:rPr>
                <w:rFonts w:ascii="Arial" w:eastAsia="Calibri" w:hAnsi="Arial" w:cs="Arial"/>
                <w:b/>
                <w:bCs/>
                <w:iCs/>
                <w:color w:val="000000" w:themeColor="text1"/>
                <w:sz w:val="18"/>
                <w:szCs w:val="18"/>
              </w:rPr>
              <w:t>4</w:t>
            </w:r>
            <w:r w:rsidRPr="0040073C">
              <w:rPr>
                <w:rFonts w:ascii="Arial" w:eastAsia="Calibri" w:hAnsi="Arial" w:cs="Arial"/>
                <w:b/>
                <w:bCs/>
                <w:iCs/>
                <w:color w:val="000000" w:themeColor="text1"/>
                <w:sz w:val="18"/>
                <w:szCs w:val="18"/>
              </w:rPr>
              <w:t>.</w:t>
            </w:r>
          </w:p>
        </w:tc>
        <w:tc>
          <w:tcPr>
            <w:tcW w:w="1279" w:type="dxa"/>
            <w:vAlign w:val="bottom"/>
          </w:tcPr>
          <w:p w14:paraId="5EE71486" w14:textId="1D0D9F52" w:rsidR="00F36D0C" w:rsidRPr="003D1614" w:rsidRDefault="00F36D0C" w:rsidP="00F36D0C">
            <w:pPr>
              <w:tabs>
                <w:tab w:val="right" w:pos="1202"/>
              </w:tabs>
              <w:suppressAutoHyphens/>
              <w:autoSpaceDN w:val="0"/>
              <w:jc w:val="right"/>
              <w:outlineLvl w:val="0"/>
              <w:rPr>
                <w:rFonts w:ascii="Arial" w:eastAsia="Calibri" w:hAnsi="Arial" w:cs="Arial"/>
                <w:b/>
                <w:bCs/>
                <w:iCs/>
                <w:color w:val="000000" w:themeColor="text1"/>
                <w:sz w:val="18"/>
                <w:szCs w:val="18"/>
              </w:rPr>
            </w:pPr>
            <w:r w:rsidRPr="0040073C">
              <w:rPr>
                <w:rFonts w:ascii="Arial" w:eastAsia="Calibri" w:hAnsi="Arial" w:cs="Arial"/>
                <w:b/>
                <w:bCs/>
                <w:iCs/>
                <w:color w:val="000000" w:themeColor="text1"/>
                <w:sz w:val="18"/>
                <w:szCs w:val="18"/>
              </w:rPr>
              <w:t>1.1. – 3</w:t>
            </w:r>
            <w:r>
              <w:rPr>
                <w:rFonts w:ascii="Arial" w:eastAsia="Calibri" w:hAnsi="Arial" w:cs="Arial"/>
                <w:b/>
                <w:bCs/>
                <w:iCs/>
                <w:color w:val="000000" w:themeColor="text1"/>
                <w:sz w:val="18"/>
                <w:szCs w:val="18"/>
              </w:rPr>
              <w:t>0</w:t>
            </w:r>
            <w:r w:rsidRPr="0040073C">
              <w:rPr>
                <w:rFonts w:ascii="Arial" w:eastAsia="Calibri" w:hAnsi="Arial" w:cs="Arial"/>
                <w:b/>
                <w:bCs/>
                <w:iCs/>
                <w:color w:val="000000" w:themeColor="text1"/>
                <w:sz w:val="18"/>
                <w:szCs w:val="18"/>
              </w:rPr>
              <w:t>.</w:t>
            </w:r>
            <w:r w:rsidR="00157E80">
              <w:rPr>
                <w:rFonts w:ascii="Arial" w:eastAsia="Calibri" w:hAnsi="Arial" w:cs="Arial"/>
                <w:b/>
                <w:bCs/>
                <w:iCs/>
                <w:color w:val="000000" w:themeColor="text1"/>
                <w:sz w:val="18"/>
                <w:szCs w:val="18"/>
              </w:rPr>
              <w:t>9</w:t>
            </w:r>
            <w:r w:rsidRPr="0040073C">
              <w:rPr>
                <w:rFonts w:ascii="Arial" w:eastAsia="Calibri" w:hAnsi="Arial" w:cs="Arial"/>
                <w:b/>
                <w:bCs/>
                <w:iCs/>
                <w:color w:val="000000" w:themeColor="text1"/>
                <w:sz w:val="18"/>
                <w:szCs w:val="18"/>
              </w:rPr>
              <w:t>. 202</w:t>
            </w:r>
            <w:r w:rsidR="00640562">
              <w:rPr>
                <w:rFonts w:ascii="Arial" w:eastAsia="Calibri" w:hAnsi="Arial" w:cs="Arial"/>
                <w:b/>
                <w:bCs/>
                <w:iCs/>
                <w:color w:val="000000" w:themeColor="text1"/>
                <w:sz w:val="18"/>
                <w:szCs w:val="18"/>
              </w:rPr>
              <w:t>3</w:t>
            </w:r>
            <w:r w:rsidRPr="0040073C">
              <w:rPr>
                <w:rFonts w:ascii="Arial" w:eastAsia="Calibri" w:hAnsi="Arial" w:cs="Arial"/>
                <w:b/>
                <w:bCs/>
                <w:iCs/>
                <w:color w:val="000000" w:themeColor="text1"/>
                <w:sz w:val="18"/>
                <w:szCs w:val="18"/>
              </w:rPr>
              <w:t>.</w:t>
            </w:r>
          </w:p>
        </w:tc>
        <w:tc>
          <w:tcPr>
            <w:tcW w:w="1279" w:type="dxa"/>
            <w:vAlign w:val="bottom"/>
          </w:tcPr>
          <w:p w14:paraId="620B3CB5" w14:textId="2C0C517E" w:rsidR="00F36D0C" w:rsidRPr="003D1614" w:rsidRDefault="00F36D0C" w:rsidP="00F36D0C">
            <w:pPr>
              <w:tabs>
                <w:tab w:val="right" w:pos="1202"/>
              </w:tabs>
              <w:suppressAutoHyphens/>
              <w:autoSpaceDN w:val="0"/>
              <w:jc w:val="right"/>
              <w:outlineLvl w:val="0"/>
              <w:rPr>
                <w:rFonts w:ascii="Arial" w:eastAsia="Calibri" w:hAnsi="Arial" w:cs="Arial"/>
                <w:b/>
                <w:bCs/>
                <w:iCs/>
                <w:color w:val="000000" w:themeColor="text1"/>
                <w:sz w:val="18"/>
                <w:szCs w:val="18"/>
              </w:rPr>
            </w:pPr>
            <w:r w:rsidRPr="0040073C">
              <w:rPr>
                <w:rFonts w:ascii="Arial" w:eastAsia="Calibri" w:hAnsi="Arial" w:cs="Arial"/>
                <w:b/>
                <w:bCs/>
                <w:iCs/>
                <w:color w:val="000000" w:themeColor="text1"/>
                <w:sz w:val="18"/>
                <w:szCs w:val="18"/>
              </w:rPr>
              <w:t>1.1. – 3</w:t>
            </w:r>
            <w:r>
              <w:rPr>
                <w:rFonts w:ascii="Arial" w:eastAsia="Calibri" w:hAnsi="Arial" w:cs="Arial"/>
                <w:b/>
                <w:bCs/>
                <w:iCs/>
                <w:color w:val="000000" w:themeColor="text1"/>
                <w:sz w:val="18"/>
                <w:szCs w:val="18"/>
              </w:rPr>
              <w:t>0</w:t>
            </w:r>
            <w:r w:rsidRPr="0040073C">
              <w:rPr>
                <w:rFonts w:ascii="Arial" w:eastAsia="Calibri" w:hAnsi="Arial" w:cs="Arial"/>
                <w:b/>
                <w:bCs/>
                <w:iCs/>
                <w:color w:val="000000" w:themeColor="text1"/>
                <w:sz w:val="18"/>
                <w:szCs w:val="18"/>
              </w:rPr>
              <w:t>.</w:t>
            </w:r>
            <w:r w:rsidR="00157E80">
              <w:rPr>
                <w:rFonts w:ascii="Arial" w:eastAsia="Calibri" w:hAnsi="Arial" w:cs="Arial"/>
                <w:b/>
                <w:bCs/>
                <w:iCs/>
                <w:color w:val="000000" w:themeColor="text1"/>
                <w:sz w:val="18"/>
                <w:szCs w:val="18"/>
              </w:rPr>
              <w:t>9</w:t>
            </w:r>
            <w:r w:rsidRPr="0040073C">
              <w:rPr>
                <w:rFonts w:ascii="Arial" w:eastAsia="Calibri" w:hAnsi="Arial" w:cs="Arial"/>
                <w:b/>
                <w:bCs/>
                <w:iCs/>
                <w:color w:val="000000" w:themeColor="text1"/>
                <w:sz w:val="18"/>
                <w:szCs w:val="18"/>
              </w:rPr>
              <w:t>. 202</w:t>
            </w:r>
            <w:r w:rsidR="00640562">
              <w:rPr>
                <w:rFonts w:ascii="Arial" w:eastAsia="Calibri" w:hAnsi="Arial" w:cs="Arial"/>
                <w:b/>
                <w:bCs/>
                <w:iCs/>
                <w:color w:val="000000" w:themeColor="text1"/>
                <w:sz w:val="18"/>
                <w:szCs w:val="18"/>
              </w:rPr>
              <w:t>3</w:t>
            </w:r>
            <w:r w:rsidRPr="0040073C">
              <w:rPr>
                <w:rFonts w:ascii="Arial" w:eastAsia="Calibri" w:hAnsi="Arial" w:cs="Arial"/>
                <w:b/>
                <w:bCs/>
                <w:iCs/>
                <w:color w:val="000000" w:themeColor="text1"/>
                <w:sz w:val="18"/>
                <w:szCs w:val="18"/>
              </w:rPr>
              <w:t>.</w:t>
            </w:r>
          </w:p>
        </w:tc>
      </w:tr>
      <w:tr w:rsidR="003A487C" w:rsidRPr="003D1614" w14:paraId="49463AEF" w14:textId="77777777" w:rsidTr="007478FB">
        <w:trPr>
          <w:trHeight w:hRule="exact" w:val="284"/>
          <w:jc w:val="center"/>
        </w:trPr>
        <w:tc>
          <w:tcPr>
            <w:tcW w:w="3639" w:type="dxa"/>
            <w:vAlign w:val="bottom"/>
          </w:tcPr>
          <w:p w14:paraId="748EA96D" w14:textId="77777777" w:rsidR="003A487C" w:rsidRPr="003D1614" w:rsidRDefault="003A487C" w:rsidP="003A487C">
            <w:pPr>
              <w:tabs>
                <w:tab w:val="right" w:pos="1202"/>
              </w:tabs>
              <w:suppressAutoHyphens/>
              <w:autoSpaceDN w:val="0"/>
              <w:outlineLvl w:val="0"/>
              <w:rPr>
                <w:rFonts w:ascii="Arial" w:eastAsia="Calibri" w:hAnsi="Arial" w:cs="Arial"/>
                <w:b/>
                <w:color w:val="000000" w:themeColor="text1"/>
                <w:sz w:val="18"/>
                <w:szCs w:val="18"/>
              </w:rPr>
            </w:pPr>
          </w:p>
        </w:tc>
        <w:tc>
          <w:tcPr>
            <w:tcW w:w="1278" w:type="dxa"/>
            <w:tcBorders>
              <w:top w:val="nil"/>
              <w:left w:val="nil"/>
              <w:bottom w:val="nil"/>
              <w:right w:val="nil"/>
            </w:tcBorders>
            <w:vAlign w:val="bottom"/>
          </w:tcPr>
          <w:p w14:paraId="2006BBC7" w14:textId="57704FE8" w:rsidR="003A487C" w:rsidRPr="003D1614" w:rsidRDefault="003A487C" w:rsidP="003A487C">
            <w:pPr>
              <w:tabs>
                <w:tab w:val="right" w:pos="1202"/>
              </w:tabs>
              <w:suppressAutoHyphens/>
              <w:autoSpaceDN w:val="0"/>
              <w:jc w:val="right"/>
              <w:outlineLvl w:val="0"/>
              <w:rPr>
                <w:rFonts w:ascii="Arial" w:eastAsia="Calibri" w:hAnsi="Arial" w:cs="Arial"/>
                <w:b/>
                <w:bCs/>
                <w:iCs/>
                <w:color w:val="000000" w:themeColor="text1"/>
                <w:sz w:val="18"/>
                <w:szCs w:val="18"/>
              </w:rPr>
            </w:pPr>
            <w:r w:rsidRPr="003D1614">
              <w:rPr>
                <w:rFonts w:ascii="Arial" w:eastAsia="Calibri" w:hAnsi="Arial" w:cs="Arial"/>
                <w:b/>
                <w:bCs/>
                <w:color w:val="000000" w:themeColor="text1"/>
                <w:sz w:val="18"/>
                <w:szCs w:val="18"/>
              </w:rPr>
              <w:t>000 eura</w:t>
            </w:r>
          </w:p>
        </w:tc>
        <w:tc>
          <w:tcPr>
            <w:tcW w:w="1279" w:type="dxa"/>
            <w:tcBorders>
              <w:top w:val="nil"/>
              <w:left w:val="nil"/>
              <w:bottom w:val="nil"/>
              <w:right w:val="nil"/>
            </w:tcBorders>
            <w:vAlign w:val="bottom"/>
          </w:tcPr>
          <w:p w14:paraId="3D5E7A77" w14:textId="1166AC03" w:rsidR="003A487C" w:rsidRPr="003D1614" w:rsidRDefault="003A487C" w:rsidP="003A487C">
            <w:pPr>
              <w:tabs>
                <w:tab w:val="right" w:pos="1202"/>
              </w:tabs>
              <w:suppressAutoHyphens/>
              <w:autoSpaceDN w:val="0"/>
              <w:jc w:val="right"/>
              <w:outlineLvl w:val="0"/>
              <w:rPr>
                <w:rFonts w:ascii="Arial" w:eastAsia="Calibri" w:hAnsi="Arial" w:cs="Arial"/>
                <w:b/>
                <w:bCs/>
                <w:iCs/>
                <w:color w:val="000000" w:themeColor="text1"/>
                <w:sz w:val="18"/>
                <w:szCs w:val="18"/>
              </w:rPr>
            </w:pPr>
            <w:r w:rsidRPr="003D1614">
              <w:rPr>
                <w:rFonts w:ascii="Arial" w:eastAsia="Calibri" w:hAnsi="Arial" w:cs="Arial"/>
                <w:b/>
                <w:bCs/>
                <w:color w:val="000000" w:themeColor="text1"/>
                <w:sz w:val="18"/>
                <w:szCs w:val="18"/>
              </w:rPr>
              <w:t>000 eura</w:t>
            </w:r>
          </w:p>
        </w:tc>
        <w:tc>
          <w:tcPr>
            <w:tcW w:w="1279" w:type="dxa"/>
            <w:tcBorders>
              <w:top w:val="nil"/>
              <w:left w:val="nil"/>
              <w:bottom w:val="nil"/>
              <w:right w:val="nil"/>
            </w:tcBorders>
            <w:vAlign w:val="bottom"/>
          </w:tcPr>
          <w:p w14:paraId="6C8CF168" w14:textId="2DCFFEB8" w:rsidR="003A487C" w:rsidRPr="003D1614" w:rsidRDefault="003A487C" w:rsidP="003A487C">
            <w:pPr>
              <w:tabs>
                <w:tab w:val="right" w:pos="1202"/>
              </w:tabs>
              <w:suppressAutoHyphens/>
              <w:autoSpaceDN w:val="0"/>
              <w:jc w:val="right"/>
              <w:outlineLvl w:val="0"/>
              <w:rPr>
                <w:rFonts w:ascii="Arial" w:eastAsia="Calibri" w:hAnsi="Arial" w:cs="Arial"/>
                <w:b/>
                <w:bCs/>
                <w:iCs/>
                <w:color w:val="000000" w:themeColor="text1"/>
                <w:sz w:val="18"/>
                <w:szCs w:val="18"/>
              </w:rPr>
            </w:pPr>
            <w:r w:rsidRPr="003D1614">
              <w:rPr>
                <w:rFonts w:ascii="Arial" w:eastAsia="Calibri" w:hAnsi="Arial" w:cs="Arial"/>
                <w:b/>
                <w:bCs/>
                <w:color w:val="000000" w:themeColor="text1"/>
                <w:sz w:val="18"/>
                <w:szCs w:val="18"/>
              </w:rPr>
              <w:t>000 eura</w:t>
            </w:r>
          </w:p>
        </w:tc>
        <w:tc>
          <w:tcPr>
            <w:tcW w:w="1279" w:type="dxa"/>
            <w:tcBorders>
              <w:top w:val="nil"/>
              <w:left w:val="nil"/>
              <w:bottom w:val="nil"/>
              <w:right w:val="nil"/>
            </w:tcBorders>
            <w:vAlign w:val="bottom"/>
          </w:tcPr>
          <w:p w14:paraId="76161C3D" w14:textId="7FB02C64" w:rsidR="003A487C" w:rsidRPr="003D1614" w:rsidRDefault="003A487C" w:rsidP="003A487C">
            <w:pPr>
              <w:tabs>
                <w:tab w:val="right" w:pos="1202"/>
              </w:tabs>
              <w:suppressAutoHyphens/>
              <w:autoSpaceDN w:val="0"/>
              <w:jc w:val="right"/>
              <w:outlineLvl w:val="0"/>
              <w:rPr>
                <w:rFonts w:ascii="Arial" w:eastAsia="Calibri" w:hAnsi="Arial" w:cs="Arial"/>
                <w:b/>
                <w:bCs/>
                <w:iCs/>
                <w:color w:val="000000" w:themeColor="text1"/>
                <w:sz w:val="18"/>
                <w:szCs w:val="18"/>
              </w:rPr>
            </w:pPr>
            <w:r w:rsidRPr="003D1614">
              <w:rPr>
                <w:rFonts w:ascii="Arial" w:eastAsia="Calibri" w:hAnsi="Arial" w:cs="Arial"/>
                <w:b/>
                <w:bCs/>
                <w:color w:val="000000" w:themeColor="text1"/>
                <w:sz w:val="18"/>
                <w:szCs w:val="18"/>
              </w:rPr>
              <w:t>000 eura</w:t>
            </w:r>
          </w:p>
        </w:tc>
      </w:tr>
      <w:tr w:rsidR="00E04B46" w:rsidRPr="00DC547E" w14:paraId="18850810" w14:textId="77777777" w:rsidTr="00B27DFC">
        <w:trPr>
          <w:trHeight w:hRule="exact" w:val="284"/>
          <w:jc w:val="center"/>
        </w:trPr>
        <w:tc>
          <w:tcPr>
            <w:tcW w:w="3639" w:type="dxa"/>
            <w:vAlign w:val="bottom"/>
          </w:tcPr>
          <w:p w14:paraId="264FB685" w14:textId="046255F4" w:rsidR="00E04B46" w:rsidRPr="003D1614" w:rsidRDefault="00E04B46" w:rsidP="00E04B46">
            <w:pPr>
              <w:tabs>
                <w:tab w:val="right" w:pos="1202"/>
              </w:tabs>
              <w:suppressAutoHyphens/>
              <w:autoSpaceDN w:val="0"/>
              <w:outlineLvl w:val="0"/>
              <w:rPr>
                <w:rFonts w:ascii="Arial" w:eastAsia="Calibri" w:hAnsi="Arial" w:cs="Arial"/>
                <w:color w:val="000000" w:themeColor="text1"/>
                <w:sz w:val="18"/>
                <w:szCs w:val="18"/>
              </w:rPr>
            </w:pPr>
            <w:bookmarkStart w:id="552" w:name="_Toc67329117"/>
            <w:r w:rsidRPr="003D1614">
              <w:rPr>
                <w:rFonts w:ascii="Arial" w:eastAsia="Calibri" w:hAnsi="Arial" w:cs="Arial"/>
                <w:color w:val="000000" w:themeColor="text1"/>
                <w:sz w:val="18"/>
                <w:szCs w:val="18"/>
              </w:rPr>
              <w:t>Vlasnik</w:t>
            </w:r>
            <w:bookmarkEnd w:id="552"/>
          </w:p>
        </w:tc>
        <w:tc>
          <w:tcPr>
            <w:tcW w:w="1278" w:type="dxa"/>
            <w:shd w:val="clear" w:color="auto" w:fill="auto"/>
            <w:vAlign w:val="bottom"/>
          </w:tcPr>
          <w:p w14:paraId="5B19E208" w14:textId="74E338AA" w:rsidR="00E04B46" w:rsidRPr="00A778F6" w:rsidRDefault="00E04B46" w:rsidP="00E04B46">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664D89">
              <w:rPr>
                <w:rFonts w:ascii="Arial" w:eastAsia="Times New Roman" w:hAnsi="Arial" w:cs="Arial"/>
                <w:color w:val="000000"/>
                <w:sz w:val="18"/>
                <w:szCs w:val="18"/>
              </w:rPr>
              <w:t>6.436</w:t>
            </w:r>
          </w:p>
        </w:tc>
        <w:tc>
          <w:tcPr>
            <w:tcW w:w="1279" w:type="dxa"/>
            <w:shd w:val="clear" w:color="auto" w:fill="auto"/>
            <w:vAlign w:val="bottom"/>
          </w:tcPr>
          <w:p w14:paraId="0B014552" w14:textId="4C01CA9E" w:rsidR="00E04B46" w:rsidRPr="00A778F6" w:rsidRDefault="00E04B46" w:rsidP="00E04B46">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664D89">
              <w:rPr>
                <w:rFonts w:ascii="Arial" w:eastAsia="Times New Roman" w:hAnsi="Arial" w:cs="Arial"/>
                <w:color w:val="000000"/>
                <w:sz w:val="18"/>
                <w:szCs w:val="18"/>
              </w:rPr>
              <w:t>9.078</w:t>
            </w:r>
          </w:p>
        </w:tc>
        <w:tc>
          <w:tcPr>
            <w:tcW w:w="1279" w:type="dxa"/>
            <w:shd w:val="clear" w:color="auto" w:fill="auto"/>
          </w:tcPr>
          <w:p w14:paraId="4ACD0A4B" w14:textId="09A42A73" w:rsidR="00E04B46" w:rsidRPr="00B078E4" w:rsidRDefault="00E04B46" w:rsidP="00E04B46">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B078E4">
              <w:rPr>
                <w:rFonts w:ascii="Arial" w:eastAsia="Times New Roman" w:hAnsi="Arial" w:cs="Arial"/>
                <w:color w:val="000000"/>
                <w:sz w:val="18"/>
                <w:szCs w:val="18"/>
              </w:rPr>
              <w:t>5.524</w:t>
            </w:r>
          </w:p>
        </w:tc>
        <w:tc>
          <w:tcPr>
            <w:tcW w:w="1279" w:type="dxa"/>
            <w:shd w:val="clear" w:color="auto" w:fill="auto"/>
          </w:tcPr>
          <w:p w14:paraId="3710BF3B" w14:textId="79FD3B11" w:rsidR="00E04B46" w:rsidRPr="00B078E4" w:rsidRDefault="00E04B46" w:rsidP="00E04B46">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B078E4">
              <w:rPr>
                <w:rFonts w:ascii="Arial" w:eastAsia="Times New Roman" w:hAnsi="Arial" w:cs="Arial"/>
                <w:color w:val="000000"/>
                <w:sz w:val="18"/>
                <w:szCs w:val="18"/>
              </w:rPr>
              <w:t>1.918</w:t>
            </w:r>
          </w:p>
        </w:tc>
      </w:tr>
      <w:tr w:rsidR="00E04B46" w:rsidRPr="00DC547E" w14:paraId="237289E8" w14:textId="77777777" w:rsidTr="00B27DFC">
        <w:trPr>
          <w:trHeight w:hRule="exact" w:val="284"/>
          <w:jc w:val="center"/>
        </w:trPr>
        <w:tc>
          <w:tcPr>
            <w:tcW w:w="3639" w:type="dxa"/>
            <w:vAlign w:val="bottom"/>
          </w:tcPr>
          <w:p w14:paraId="4293082F" w14:textId="4CEA4F4E" w:rsidR="00E04B46" w:rsidRPr="003D1614" w:rsidRDefault="00E04B46" w:rsidP="00E04B46">
            <w:pPr>
              <w:tabs>
                <w:tab w:val="right" w:pos="1202"/>
              </w:tabs>
              <w:suppressAutoHyphens/>
              <w:autoSpaceDN w:val="0"/>
              <w:outlineLvl w:val="0"/>
              <w:rPr>
                <w:rFonts w:ascii="Arial" w:eastAsia="Calibri" w:hAnsi="Arial" w:cs="Arial"/>
                <w:color w:val="000000" w:themeColor="text1"/>
                <w:sz w:val="18"/>
                <w:szCs w:val="18"/>
              </w:rPr>
            </w:pPr>
            <w:bookmarkStart w:id="553" w:name="_Toc67329122"/>
            <w:r w:rsidRPr="003D1614">
              <w:rPr>
                <w:rFonts w:ascii="Arial" w:eastAsia="Calibri" w:hAnsi="Arial" w:cs="Arial"/>
                <w:color w:val="000000" w:themeColor="text1"/>
                <w:sz w:val="18"/>
                <w:szCs w:val="18"/>
              </w:rPr>
              <w:t>Državni fondovi, izvršna tijela i agencije</w:t>
            </w:r>
            <w:bookmarkEnd w:id="553"/>
          </w:p>
        </w:tc>
        <w:tc>
          <w:tcPr>
            <w:tcW w:w="1278" w:type="dxa"/>
            <w:shd w:val="clear" w:color="auto" w:fill="auto"/>
            <w:vAlign w:val="bottom"/>
          </w:tcPr>
          <w:p w14:paraId="1DADB9A9" w14:textId="7BC6E8C9" w:rsidR="00E04B46" w:rsidRPr="00A778F6" w:rsidRDefault="00E04B46" w:rsidP="00E04B46">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664D89">
              <w:rPr>
                <w:rFonts w:ascii="Arial" w:eastAsia="Times New Roman" w:hAnsi="Arial" w:cs="Arial"/>
                <w:color w:val="000000"/>
                <w:sz w:val="18"/>
                <w:szCs w:val="18"/>
              </w:rPr>
              <w:t>10.204</w:t>
            </w:r>
          </w:p>
        </w:tc>
        <w:tc>
          <w:tcPr>
            <w:tcW w:w="1279" w:type="dxa"/>
            <w:shd w:val="clear" w:color="auto" w:fill="auto"/>
            <w:vAlign w:val="bottom"/>
          </w:tcPr>
          <w:p w14:paraId="2CB83FEB" w14:textId="18DD5B9C" w:rsidR="00E04B46" w:rsidRPr="00A778F6" w:rsidRDefault="00E04B46" w:rsidP="00E04B46">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664D89">
              <w:rPr>
                <w:rFonts w:ascii="Arial" w:eastAsia="Times New Roman" w:hAnsi="Arial" w:cs="Arial"/>
                <w:color w:val="000000"/>
                <w:sz w:val="18"/>
                <w:szCs w:val="18"/>
              </w:rPr>
              <w:t>50</w:t>
            </w:r>
          </w:p>
        </w:tc>
        <w:tc>
          <w:tcPr>
            <w:tcW w:w="1279" w:type="dxa"/>
            <w:shd w:val="clear" w:color="auto" w:fill="auto"/>
          </w:tcPr>
          <w:p w14:paraId="3378E4B3" w14:textId="02CFEB59" w:rsidR="00E04B46" w:rsidRPr="00B078E4" w:rsidRDefault="00E04B46" w:rsidP="00E04B46">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B078E4">
              <w:rPr>
                <w:rFonts w:ascii="Arial" w:eastAsia="Times New Roman" w:hAnsi="Arial" w:cs="Arial"/>
                <w:color w:val="000000"/>
                <w:sz w:val="18"/>
                <w:szCs w:val="18"/>
              </w:rPr>
              <w:t>11.733</w:t>
            </w:r>
          </w:p>
        </w:tc>
        <w:tc>
          <w:tcPr>
            <w:tcW w:w="1279" w:type="dxa"/>
            <w:shd w:val="clear" w:color="auto" w:fill="auto"/>
          </w:tcPr>
          <w:p w14:paraId="3FEA880F" w14:textId="7D8465A8" w:rsidR="00E04B46" w:rsidRPr="00B078E4" w:rsidRDefault="00E04B46" w:rsidP="00E04B46">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B078E4">
              <w:rPr>
                <w:rFonts w:ascii="Arial" w:eastAsia="Times New Roman" w:hAnsi="Arial" w:cs="Arial"/>
                <w:color w:val="000000"/>
                <w:sz w:val="18"/>
                <w:szCs w:val="18"/>
              </w:rPr>
              <w:t>113</w:t>
            </w:r>
          </w:p>
        </w:tc>
      </w:tr>
      <w:tr w:rsidR="00E04B46" w:rsidRPr="00DC547E" w14:paraId="18D7D9FB" w14:textId="77777777" w:rsidTr="00B27DFC">
        <w:trPr>
          <w:trHeight w:hRule="exact" w:val="284"/>
          <w:jc w:val="center"/>
        </w:trPr>
        <w:tc>
          <w:tcPr>
            <w:tcW w:w="3639" w:type="dxa"/>
            <w:vAlign w:val="bottom"/>
          </w:tcPr>
          <w:p w14:paraId="7C2156AE" w14:textId="6F15344C" w:rsidR="00E04B46" w:rsidRPr="003D1614" w:rsidRDefault="00E04B46" w:rsidP="00E04B46">
            <w:pPr>
              <w:tabs>
                <w:tab w:val="right" w:pos="1202"/>
              </w:tabs>
              <w:suppressAutoHyphens/>
              <w:autoSpaceDN w:val="0"/>
              <w:outlineLvl w:val="0"/>
              <w:rPr>
                <w:rFonts w:ascii="Arial" w:eastAsia="Calibri" w:hAnsi="Arial" w:cs="Arial"/>
                <w:color w:val="000000" w:themeColor="text1"/>
                <w:sz w:val="18"/>
                <w:szCs w:val="18"/>
              </w:rPr>
            </w:pPr>
            <w:bookmarkStart w:id="554" w:name="_Toc67329127"/>
            <w:r w:rsidRPr="003D1614">
              <w:rPr>
                <w:rFonts w:ascii="Arial" w:eastAsia="Calibri" w:hAnsi="Arial" w:cs="Arial"/>
                <w:color w:val="000000" w:themeColor="text1"/>
                <w:sz w:val="18"/>
                <w:szCs w:val="18"/>
              </w:rPr>
              <w:t>Državna trgovačka društva</w:t>
            </w:r>
            <w:bookmarkEnd w:id="554"/>
          </w:p>
        </w:tc>
        <w:tc>
          <w:tcPr>
            <w:tcW w:w="1278" w:type="dxa"/>
            <w:shd w:val="clear" w:color="auto" w:fill="auto"/>
            <w:vAlign w:val="bottom"/>
          </w:tcPr>
          <w:p w14:paraId="26074367" w14:textId="7F103B6C" w:rsidR="00E04B46" w:rsidRPr="00A778F6" w:rsidRDefault="00E04B46" w:rsidP="00E04B46">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664D89">
              <w:rPr>
                <w:rFonts w:ascii="Arial" w:eastAsia="Times New Roman" w:hAnsi="Arial" w:cs="Arial"/>
                <w:color w:val="000000"/>
                <w:sz w:val="18"/>
                <w:szCs w:val="18"/>
              </w:rPr>
              <w:t>11.996</w:t>
            </w:r>
          </w:p>
        </w:tc>
        <w:tc>
          <w:tcPr>
            <w:tcW w:w="1279" w:type="dxa"/>
            <w:shd w:val="clear" w:color="auto" w:fill="auto"/>
            <w:vAlign w:val="bottom"/>
          </w:tcPr>
          <w:p w14:paraId="7FB1995C" w14:textId="2CC49094" w:rsidR="00E04B46" w:rsidRPr="00A778F6" w:rsidRDefault="00E04B46" w:rsidP="00E04B46">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664D89">
              <w:rPr>
                <w:rFonts w:ascii="Arial" w:eastAsia="Times New Roman" w:hAnsi="Arial" w:cs="Arial"/>
                <w:color w:val="000000"/>
                <w:sz w:val="18"/>
                <w:szCs w:val="18"/>
              </w:rPr>
              <w:t>4.082</w:t>
            </w:r>
          </w:p>
        </w:tc>
        <w:tc>
          <w:tcPr>
            <w:tcW w:w="1279" w:type="dxa"/>
            <w:shd w:val="clear" w:color="auto" w:fill="auto"/>
          </w:tcPr>
          <w:p w14:paraId="5B55618C" w14:textId="5B3CE44E" w:rsidR="00E04B46" w:rsidRPr="00B078E4" w:rsidRDefault="00E04B46" w:rsidP="00E04B46">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B078E4">
              <w:rPr>
                <w:rFonts w:ascii="Arial" w:eastAsia="Times New Roman" w:hAnsi="Arial" w:cs="Arial"/>
                <w:color w:val="000000"/>
                <w:sz w:val="18"/>
                <w:szCs w:val="18"/>
              </w:rPr>
              <w:t>7.114</w:t>
            </w:r>
          </w:p>
        </w:tc>
        <w:tc>
          <w:tcPr>
            <w:tcW w:w="1279" w:type="dxa"/>
            <w:shd w:val="clear" w:color="auto" w:fill="auto"/>
          </w:tcPr>
          <w:p w14:paraId="758C0CE6" w14:textId="4A0F6212" w:rsidR="00E04B46" w:rsidRPr="00B078E4" w:rsidRDefault="00E04B46" w:rsidP="00E04B46">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B078E4">
              <w:rPr>
                <w:rFonts w:ascii="Arial" w:eastAsia="Times New Roman" w:hAnsi="Arial" w:cs="Arial"/>
                <w:color w:val="000000"/>
                <w:sz w:val="18"/>
                <w:szCs w:val="18"/>
              </w:rPr>
              <w:t>3.018</w:t>
            </w:r>
          </w:p>
        </w:tc>
      </w:tr>
      <w:tr w:rsidR="00E04B46" w:rsidRPr="00DC547E" w14:paraId="2107665C" w14:textId="77777777" w:rsidTr="007478FB">
        <w:trPr>
          <w:trHeight w:hRule="exact" w:val="284"/>
          <w:jc w:val="center"/>
        </w:trPr>
        <w:tc>
          <w:tcPr>
            <w:tcW w:w="3639" w:type="dxa"/>
            <w:vAlign w:val="bottom"/>
          </w:tcPr>
          <w:p w14:paraId="3D3EDB1E" w14:textId="77777777" w:rsidR="00E04B46" w:rsidRPr="003D1614" w:rsidRDefault="00E04B46" w:rsidP="00E04B46">
            <w:pPr>
              <w:tabs>
                <w:tab w:val="right" w:pos="1202"/>
              </w:tabs>
              <w:suppressAutoHyphens/>
              <w:autoSpaceDN w:val="0"/>
              <w:outlineLvl w:val="0"/>
              <w:rPr>
                <w:rFonts w:ascii="Arial" w:eastAsia="Calibri" w:hAnsi="Arial" w:cs="Arial"/>
                <w:bCs/>
                <w:color w:val="000000" w:themeColor="text1"/>
                <w:sz w:val="18"/>
                <w:szCs w:val="18"/>
              </w:rPr>
            </w:pPr>
            <w:bookmarkStart w:id="555" w:name="_Toc67329142"/>
            <w:r w:rsidRPr="003D1614">
              <w:rPr>
                <w:rFonts w:ascii="Arial" w:eastAsia="Calibri" w:hAnsi="Arial" w:cs="Arial"/>
                <w:bCs/>
                <w:color w:val="000000" w:themeColor="text1"/>
                <w:sz w:val="18"/>
                <w:szCs w:val="18"/>
              </w:rPr>
              <w:t>Ključni članovi rukovodstva</w:t>
            </w:r>
            <w:bookmarkEnd w:id="555"/>
          </w:p>
        </w:tc>
        <w:tc>
          <w:tcPr>
            <w:tcW w:w="1278" w:type="dxa"/>
            <w:tcBorders>
              <w:bottom w:val="single" w:sz="4" w:space="0" w:color="000000"/>
            </w:tcBorders>
            <w:shd w:val="clear" w:color="auto" w:fill="auto"/>
            <w:vAlign w:val="bottom"/>
          </w:tcPr>
          <w:p w14:paraId="2F68E664" w14:textId="0BEB3870" w:rsidR="00E04B46" w:rsidRPr="00A778F6" w:rsidRDefault="00E04B46" w:rsidP="00E04B46">
            <w:pPr>
              <w:tabs>
                <w:tab w:val="right" w:pos="1202"/>
              </w:tabs>
              <w:suppressAutoHyphens/>
              <w:autoSpaceDN w:val="0"/>
              <w:spacing w:line="280" w:lineRule="exact"/>
              <w:jc w:val="right"/>
              <w:outlineLvl w:val="0"/>
              <w:rPr>
                <w:rFonts w:ascii="Arial" w:eastAsia="Times New Roman" w:hAnsi="Arial" w:cs="Arial"/>
                <w:color w:val="000000"/>
                <w:sz w:val="18"/>
                <w:szCs w:val="18"/>
              </w:rPr>
            </w:pPr>
            <w:r>
              <w:rPr>
                <w:rFonts w:ascii="Arial" w:eastAsia="Times New Roman" w:hAnsi="Arial" w:cs="Arial"/>
                <w:color w:val="000000"/>
                <w:sz w:val="18"/>
                <w:szCs w:val="18"/>
              </w:rPr>
              <w:t>6</w:t>
            </w:r>
          </w:p>
        </w:tc>
        <w:tc>
          <w:tcPr>
            <w:tcW w:w="1279" w:type="dxa"/>
            <w:tcBorders>
              <w:bottom w:val="single" w:sz="4" w:space="0" w:color="000000"/>
            </w:tcBorders>
            <w:shd w:val="clear" w:color="auto" w:fill="auto"/>
            <w:vAlign w:val="bottom"/>
          </w:tcPr>
          <w:p w14:paraId="665B51A8" w14:textId="59E0DCC7" w:rsidR="00E04B46" w:rsidRPr="00A778F6" w:rsidRDefault="00E04B46" w:rsidP="00E04B46">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664D89">
              <w:rPr>
                <w:rFonts w:ascii="Arial" w:eastAsia="Times New Roman" w:hAnsi="Arial" w:cs="Arial"/>
                <w:color w:val="000000"/>
                <w:sz w:val="18"/>
                <w:szCs w:val="18"/>
              </w:rPr>
              <w:t>887</w:t>
            </w:r>
          </w:p>
        </w:tc>
        <w:tc>
          <w:tcPr>
            <w:tcW w:w="1279" w:type="dxa"/>
            <w:tcBorders>
              <w:bottom w:val="single" w:sz="4" w:space="0" w:color="000000"/>
            </w:tcBorders>
            <w:shd w:val="clear" w:color="auto" w:fill="auto"/>
            <w:vAlign w:val="bottom"/>
          </w:tcPr>
          <w:p w14:paraId="5858973C" w14:textId="4B322F4B" w:rsidR="00E04B46" w:rsidRPr="00B078E4" w:rsidRDefault="00E04B46" w:rsidP="00E04B46">
            <w:pPr>
              <w:tabs>
                <w:tab w:val="right" w:pos="1202"/>
              </w:tabs>
              <w:suppressAutoHyphens/>
              <w:autoSpaceDN w:val="0"/>
              <w:spacing w:line="280" w:lineRule="exact"/>
              <w:jc w:val="right"/>
              <w:outlineLvl w:val="0"/>
              <w:rPr>
                <w:rFonts w:ascii="Arial" w:eastAsia="Times New Roman" w:hAnsi="Arial" w:cs="Arial"/>
                <w:color w:val="000000"/>
                <w:sz w:val="18"/>
                <w:szCs w:val="18"/>
              </w:rPr>
            </w:pPr>
            <w:r>
              <w:rPr>
                <w:rFonts w:ascii="Arial" w:eastAsia="Times New Roman" w:hAnsi="Arial" w:cs="Arial"/>
                <w:color w:val="000000"/>
                <w:sz w:val="18"/>
                <w:szCs w:val="18"/>
              </w:rPr>
              <w:t>8</w:t>
            </w:r>
          </w:p>
        </w:tc>
        <w:tc>
          <w:tcPr>
            <w:tcW w:w="1279" w:type="dxa"/>
            <w:tcBorders>
              <w:bottom w:val="single" w:sz="4" w:space="0" w:color="000000"/>
            </w:tcBorders>
            <w:shd w:val="clear" w:color="auto" w:fill="auto"/>
            <w:vAlign w:val="bottom"/>
          </w:tcPr>
          <w:p w14:paraId="59AEC6A4" w14:textId="5F4D3985" w:rsidR="00E04B46" w:rsidRPr="00B078E4" w:rsidRDefault="00E04B46" w:rsidP="00E04B46">
            <w:pPr>
              <w:tabs>
                <w:tab w:val="right" w:pos="1202"/>
              </w:tabs>
              <w:suppressAutoHyphens/>
              <w:autoSpaceDN w:val="0"/>
              <w:spacing w:line="280" w:lineRule="exact"/>
              <w:jc w:val="right"/>
              <w:outlineLvl w:val="0"/>
              <w:rPr>
                <w:rFonts w:ascii="Arial" w:eastAsia="Times New Roman" w:hAnsi="Arial" w:cs="Arial"/>
                <w:color w:val="000000"/>
                <w:sz w:val="18"/>
                <w:szCs w:val="18"/>
              </w:rPr>
            </w:pPr>
            <w:r>
              <w:rPr>
                <w:rFonts w:ascii="Arial" w:eastAsia="Times New Roman" w:hAnsi="Arial" w:cs="Arial"/>
                <w:color w:val="000000"/>
                <w:sz w:val="18"/>
                <w:szCs w:val="18"/>
              </w:rPr>
              <w:t>961</w:t>
            </w:r>
          </w:p>
        </w:tc>
      </w:tr>
      <w:tr w:rsidR="00E04B46" w:rsidRPr="00DC547E" w14:paraId="54415C31" w14:textId="77777777" w:rsidTr="007478FB">
        <w:trPr>
          <w:trHeight w:val="371"/>
          <w:jc w:val="center"/>
        </w:trPr>
        <w:tc>
          <w:tcPr>
            <w:tcW w:w="3639" w:type="dxa"/>
            <w:vAlign w:val="bottom"/>
          </w:tcPr>
          <w:p w14:paraId="33EE96AA" w14:textId="77777777" w:rsidR="00E04B46" w:rsidRPr="003D1614" w:rsidRDefault="00E04B46" w:rsidP="00E04B46">
            <w:pPr>
              <w:tabs>
                <w:tab w:val="right" w:pos="1202"/>
              </w:tabs>
              <w:suppressAutoHyphens/>
              <w:autoSpaceDN w:val="0"/>
              <w:outlineLvl w:val="0"/>
              <w:rPr>
                <w:rFonts w:ascii="Arial" w:eastAsia="Calibri" w:hAnsi="Arial" w:cs="Arial"/>
                <w:b/>
                <w:color w:val="000000" w:themeColor="text1"/>
                <w:sz w:val="18"/>
                <w:szCs w:val="18"/>
              </w:rPr>
            </w:pPr>
            <w:bookmarkStart w:id="556" w:name="_Toc67329147"/>
            <w:r w:rsidRPr="003D1614">
              <w:rPr>
                <w:rFonts w:ascii="Arial" w:eastAsia="Calibri" w:hAnsi="Arial" w:cs="Arial"/>
                <w:b/>
                <w:color w:val="000000" w:themeColor="text1"/>
                <w:sz w:val="18"/>
                <w:szCs w:val="18"/>
              </w:rPr>
              <w:t>Ukupno</w:t>
            </w:r>
            <w:bookmarkEnd w:id="556"/>
          </w:p>
        </w:tc>
        <w:tc>
          <w:tcPr>
            <w:tcW w:w="1278" w:type="dxa"/>
            <w:tcBorders>
              <w:top w:val="single" w:sz="4" w:space="0" w:color="auto"/>
              <w:bottom w:val="single" w:sz="12" w:space="0" w:color="auto"/>
              <w:right w:val="nil"/>
            </w:tcBorders>
            <w:shd w:val="clear" w:color="auto" w:fill="auto"/>
            <w:vAlign w:val="bottom"/>
          </w:tcPr>
          <w:p w14:paraId="6316B6EC" w14:textId="03211BDC" w:rsidR="00E04B46" w:rsidRPr="00A778F6" w:rsidRDefault="00E04B46" w:rsidP="00E04B46">
            <w:pPr>
              <w:tabs>
                <w:tab w:val="right" w:pos="1202"/>
              </w:tabs>
              <w:suppressAutoHyphens/>
              <w:autoSpaceDN w:val="0"/>
              <w:spacing w:line="280" w:lineRule="exact"/>
              <w:jc w:val="right"/>
              <w:outlineLvl w:val="0"/>
              <w:rPr>
                <w:rFonts w:ascii="Arial" w:eastAsia="Times New Roman" w:hAnsi="Arial" w:cs="Arial"/>
                <w:b/>
                <w:bCs/>
                <w:color w:val="000000"/>
                <w:sz w:val="18"/>
                <w:szCs w:val="18"/>
              </w:rPr>
            </w:pPr>
            <w:r w:rsidRPr="00310909">
              <w:rPr>
                <w:rFonts w:ascii="Arial" w:eastAsia="Times New Roman" w:hAnsi="Arial" w:cs="Arial"/>
                <w:b/>
                <w:bCs/>
                <w:color w:val="000000"/>
                <w:sz w:val="18"/>
                <w:szCs w:val="18"/>
              </w:rPr>
              <w:t>2</w:t>
            </w:r>
            <w:r w:rsidR="00F92750">
              <w:rPr>
                <w:rFonts w:ascii="Arial" w:eastAsia="Times New Roman" w:hAnsi="Arial" w:cs="Arial"/>
                <w:b/>
                <w:bCs/>
                <w:color w:val="000000"/>
                <w:sz w:val="18"/>
                <w:szCs w:val="18"/>
              </w:rPr>
              <w:t>8</w:t>
            </w:r>
            <w:r w:rsidRPr="00310909">
              <w:rPr>
                <w:rFonts w:ascii="Arial" w:eastAsia="Times New Roman" w:hAnsi="Arial" w:cs="Arial"/>
                <w:b/>
                <w:bCs/>
                <w:color w:val="000000"/>
                <w:sz w:val="18"/>
                <w:szCs w:val="18"/>
              </w:rPr>
              <w:t>.</w:t>
            </w:r>
            <w:r w:rsidR="00F92750">
              <w:rPr>
                <w:rFonts w:ascii="Arial" w:eastAsia="Times New Roman" w:hAnsi="Arial" w:cs="Arial"/>
                <w:b/>
                <w:bCs/>
                <w:color w:val="000000"/>
                <w:sz w:val="18"/>
                <w:szCs w:val="18"/>
              </w:rPr>
              <w:t>642</w:t>
            </w:r>
          </w:p>
        </w:tc>
        <w:tc>
          <w:tcPr>
            <w:tcW w:w="1279" w:type="dxa"/>
            <w:tcBorders>
              <w:top w:val="single" w:sz="4" w:space="0" w:color="auto"/>
              <w:left w:val="nil"/>
              <w:bottom w:val="single" w:sz="12" w:space="0" w:color="auto"/>
              <w:right w:val="nil"/>
            </w:tcBorders>
            <w:shd w:val="clear" w:color="auto" w:fill="auto"/>
            <w:vAlign w:val="bottom"/>
          </w:tcPr>
          <w:p w14:paraId="79745A4A" w14:textId="0AF5B548" w:rsidR="00E04B46" w:rsidRPr="00A778F6" w:rsidRDefault="00E04B46" w:rsidP="00E04B46">
            <w:pPr>
              <w:tabs>
                <w:tab w:val="right" w:pos="1202"/>
              </w:tabs>
              <w:suppressAutoHyphens/>
              <w:autoSpaceDN w:val="0"/>
              <w:spacing w:line="280" w:lineRule="exact"/>
              <w:jc w:val="right"/>
              <w:outlineLvl w:val="0"/>
              <w:rPr>
                <w:rFonts w:ascii="Arial" w:eastAsia="Times New Roman" w:hAnsi="Arial" w:cs="Arial"/>
                <w:b/>
                <w:bCs/>
                <w:color w:val="000000"/>
                <w:sz w:val="18"/>
                <w:szCs w:val="18"/>
              </w:rPr>
            </w:pPr>
            <w:r w:rsidRPr="00664D89">
              <w:rPr>
                <w:rFonts w:ascii="Arial" w:eastAsia="Times New Roman" w:hAnsi="Arial" w:cs="Arial"/>
                <w:b/>
                <w:bCs/>
                <w:color w:val="000000"/>
                <w:sz w:val="18"/>
                <w:szCs w:val="18"/>
              </w:rPr>
              <w:t>14.097</w:t>
            </w:r>
          </w:p>
        </w:tc>
        <w:tc>
          <w:tcPr>
            <w:tcW w:w="1279" w:type="dxa"/>
            <w:tcBorders>
              <w:top w:val="single" w:sz="4" w:space="0" w:color="auto"/>
              <w:bottom w:val="single" w:sz="12" w:space="0" w:color="auto"/>
              <w:right w:val="nil"/>
            </w:tcBorders>
            <w:shd w:val="clear" w:color="auto" w:fill="auto"/>
            <w:vAlign w:val="bottom"/>
          </w:tcPr>
          <w:p w14:paraId="7FB8D1EC" w14:textId="30A48506" w:rsidR="00E04B46" w:rsidRPr="00DC547E" w:rsidRDefault="00E04B46" w:rsidP="00E04B46">
            <w:pPr>
              <w:tabs>
                <w:tab w:val="right" w:pos="1202"/>
              </w:tabs>
              <w:suppressAutoHyphens/>
              <w:autoSpaceDN w:val="0"/>
              <w:spacing w:line="280" w:lineRule="exact"/>
              <w:jc w:val="right"/>
              <w:outlineLvl w:val="0"/>
              <w:rPr>
                <w:rFonts w:ascii="Arial" w:eastAsia="Times New Roman" w:hAnsi="Arial" w:cs="Arial"/>
                <w:b/>
                <w:bCs/>
                <w:color w:val="000000"/>
                <w:sz w:val="18"/>
                <w:szCs w:val="18"/>
              </w:rPr>
            </w:pPr>
            <w:r w:rsidRPr="00B078E4">
              <w:rPr>
                <w:rFonts w:ascii="Arial" w:eastAsia="Times New Roman" w:hAnsi="Arial" w:cs="Arial"/>
                <w:b/>
                <w:bCs/>
                <w:color w:val="000000"/>
                <w:sz w:val="18"/>
                <w:szCs w:val="18"/>
              </w:rPr>
              <w:t>24.379</w:t>
            </w:r>
          </w:p>
        </w:tc>
        <w:tc>
          <w:tcPr>
            <w:tcW w:w="1279" w:type="dxa"/>
            <w:tcBorders>
              <w:top w:val="single" w:sz="4" w:space="0" w:color="auto"/>
              <w:left w:val="nil"/>
              <w:bottom w:val="single" w:sz="12" w:space="0" w:color="auto"/>
              <w:right w:val="nil"/>
            </w:tcBorders>
            <w:shd w:val="clear" w:color="auto" w:fill="auto"/>
            <w:vAlign w:val="bottom"/>
          </w:tcPr>
          <w:p w14:paraId="705A537A" w14:textId="32900BA0" w:rsidR="00E04B46" w:rsidRPr="00DC547E" w:rsidRDefault="00E04B46" w:rsidP="00E04B46">
            <w:pPr>
              <w:tabs>
                <w:tab w:val="right" w:pos="1202"/>
              </w:tabs>
              <w:suppressAutoHyphens/>
              <w:autoSpaceDN w:val="0"/>
              <w:spacing w:line="280" w:lineRule="exact"/>
              <w:jc w:val="right"/>
              <w:outlineLvl w:val="0"/>
              <w:rPr>
                <w:rFonts w:ascii="Arial" w:eastAsia="Times New Roman" w:hAnsi="Arial" w:cs="Arial"/>
                <w:b/>
                <w:bCs/>
                <w:color w:val="000000"/>
                <w:sz w:val="18"/>
                <w:szCs w:val="18"/>
              </w:rPr>
            </w:pPr>
            <w:r w:rsidRPr="00B078E4">
              <w:rPr>
                <w:rFonts w:ascii="Arial" w:eastAsia="Times New Roman" w:hAnsi="Arial" w:cs="Arial"/>
                <w:b/>
                <w:bCs/>
                <w:color w:val="000000"/>
                <w:sz w:val="18"/>
                <w:szCs w:val="18"/>
              </w:rPr>
              <w:t>6.010</w:t>
            </w:r>
          </w:p>
        </w:tc>
      </w:tr>
    </w:tbl>
    <w:p w14:paraId="6A7A9ACA" w14:textId="77777777" w:rsidR="0064018A" w:rsidRPr="003D1614" w:rsidRDefault="0064018A" w:rsidP="0064018A">
      <w:pPr>
        <w:keepNext/>
        <w:suppressAutoHyphens/>
        <w:autoSpaceDN w:val="0"/>
        <w:jc w:val="both"/>
        <w:rPr>
          <w:rFonts w:ascii="Arial" w:eastAsia="Times New Roman" w:hAnsi="Arial" w:cs="Arial"/>
          <w:bCs/>
          <w:color w:val="000000" w:themeColor="text1"/>
          <w:sz w:val="20"/>
          <w:szCs w:val="20"/>
          <w:highlight w:val="yellow"/>
        </w:rPr>
      </w:pPr>
    </w:p>
    <w:p w14:paraId="7C913329" w14:textId="77777777" w:rsidR="0064018A" w:rsidRPr="003D1614" w:rsidRDefault="0064018A" w:rsidP="0064018A">
      <w:pPr>
        <w:tabs>
          <w:tab w:val="right" w:pos="1202"/>
          <w:tab w:val="left" w:pos="9180"/>
        </w:tabs>
        <w:suppressAutoHyphens/>
        <w:autoSpaceDN w:val="0"/>
        <w:jc w:val="both"/>
        <w:outlineLvl w:val="0"/>
        <w:rPr>
          <w:rFonts w:ascii="Arial" w:eastAsia="Times New Roman" w:hAnsi="Arial" w:cs="Arial"/>
          <w:color w:val="000000" w:themeColor="text1"/>
          <w:sz w:val="20"/>
          <w:szCs w:val="20"/>
        </w:rPr>
      </w:pPr>
      <w:bookmarkStart w:id="557" w:name="_Toc67329152"/>
      <w:r w:rsidRPr="003D1614">
        <w:rPr>
          <w:rFonts w:ascii="Arial" w:eastAsia="Times New Roman" w:hAnsi="Arial" w:cs="Arial"/>
          <w:color w:val="000000" w:themeColor="text1"/>
          <w:sz w:val="20"/>
          <w:szCs w:val="20"/>
        </w:rPr>
        <w:t>Imovina sadrži kredite ostalim korisnicima, dužničke vrijednosne papire po amortiziranom trošku, financijsku imovinu po fer vrijednosti kroz ostalu sveobuhvatnu dobit, ostalu imovinu i izvanbilačnu izloženost koja se odnosi na preuzete obveze.</w:t>
      </w:r>
      <w:bookmarkEnd w:id="557"/>
    </w:p>
    <w:p w14:paraId="6964AECB" w14:textId="77777777" w:rsidR="0064018A" w:rsidRPr="003D1614" w:rsidRDefault="0064018A" w:rsidP="0064018A">
      <w:pPr>
        <w:tabs>
          <w:tab w:val="right" w:pos="1202"/>
          <w:tab w:val="left" w:pos="9180"/>
        </w:tabs>
        <w:suppressAutoHyphens/>
        <w:autoSpaceDN w:val="0"/>
        <w:jc w:val="both"/>
        <w:outlineLvl w:val="0"/>
        <w:rPr>
          <w:rFonts w:ascii="Arial" w:eastAsia="Times New Roman" w:hAnsi="Arial" w:cs="Arial"/>
          <w:color w:val="000000" w:themeColor="text1"/>
          <w:sz w:val="20"/>
          <w:szCs w:val="20"/>
        </w:rPr>
      </w:pPr>
    </w:p>
    <w:p w14:paraId="5692882C" w14:textId="77777777" w:rsidR="0064018A" w:rsidRPr="003D1614" w:rsidRDefault="0064018A" w:rsidP="0064018A">
      <w:pPr>
        <w:tabs>
          <w:tab w:val="right" w:pos="1202"/>
          <w:tab w:val="left" w:pos="9180"/>
        </w:tabs>
        <w:suppressAutoHyphens/>
        <w:autoSpaceDN w:val="0"/>
        <w:jc w:val="both"/>
        <w:outlineLvl w:val="0"/>
        <w:rPr>
          <w:rFonts w:ascii="Arial" w:eastAsia="Times New Roman" w:hAnsi="Arial" w:cs="Arial"/>
          <w:color w:val="000000" w:themeColor="text1"/>
          <w:sz w:val="20"/>
          <w:szCs w:val="20"/>
        </w:rPr>
      </w:pPr>
      <w:bookmarkStart w:id="558" w:name="_Toc67329153"/>
      <w:r w:rsidRPr="003D1614">
        <w:rPr>
          <w:rFonts w:ascii="Arial" w:eastAsia="Times New Roman" w:hAnsi="Arial" w:cs="Arial"/>
          <w:color w:val="000000" w:themeColor="text1"/>
          <w:sz w:val="20"/>
          <w:szCs w:val="20"/>
        </w:rPr>
        <w:t>Obveze sadrže obveze po depozitima, obveze za plaće, rezerviranja u ime otpremnina i jubilarnih nagrada ključnih članova rukovodstva te ostale obveze.</w:t>
      </w:r>
      <w:bookmarkEnd w:id="558"/>
    </w:p>
    <w:p w14:paraId="4E7EE570" w14:textId="77777777" w:rsidR="0064018A" w:rsidRPr="003D1614" w:rsidRDefault="0064018A" w:rsidP="0064018A">
      <w:pPr>
        <w:tabs>
          <w:tab w:val="right" w:pos="284"/>
          <w:tab w:val="left" w:pos="426"/>
        </w:tabs>
        <w:suppressAutoHyphens/>
        <w:autoSpaceDN w:val="0"/>
        <w:outlineLvl w:val="0"/>
        <w:rPr>
          <w:rFonts w:ascii="Arial" w:eastAsia="Times New Roman" w:hAnsi="Arial" w:cs="Arial"/>
          <w:color w:val="000000" w:themeColor="text1"/>
          <w:sz w:val="20"/>
          <w:szCs w:val="20"/>
        </w:rPr>
      </w:pPr>
    </w:p>
    <w:p w14:paraId="7534D147" w14:textId="77777777" w:rsidR="0064018A" w:rsidRPr="003D1614" w:rsidRDefault="0064018A" w:rsidP="0064018A">
      <w:pPr>
        <w:tabs>
          <w:tab w:val="right" w:pos="1202"/>
          <w:tab w:val="left" w:pos="9180"/>
        </w:tabs>
        <w:suppressAutoHyphens/>
        <w:autoSpaceDN w:val="0"/>
        <w:jc w:val="both"/>
        <w:outlineLvl w:val="0"/>
        <w:rPr>
          <w:rFonts w:ascii="Arial" w:eastAsia="Times New Roman" w:hAnsi="Arial" w:cs="Arial"/>
          <w:color w:val="000000" w:themeColor="text1"/>
          <w:sz w:val="20"/>
          <w:szCs w:val="20"/>
        </w:rPr>
      </w:pPr>
      <w:bookmarkStart w:id="559" w:name="_Toc67329154"/>
      <w:r w:rsidRPr="003D1614">
        <w:rPr>
          <w:rFonts w:ascii="Arial" w:eastAsia="Times New Roman" w:hAnsi="Arial" w:cs="Arial"/>
          <w:color w:val="000000" w:themeColor="text1"/>
          <w:sz w:val="20"/>
          <w:szCs w:val="20"/>
        </w:rPr>
        <w:t>Prihodi sadrže prihode od kamata i naknada, te prihode od ukidanja umanjenja vrijednosti i rezerviranja.</w:t>
      </w:r>
      <w:bookmarkEnd w:id="559"/>
    </w:p>
    <w:p w14:paraId="064D7799" w14:textId="77777777" w:rsidR="0064018A" w:rsidRPr="003D1614" w:rsidRDefault="0064018A" w:rsidP="0064018A">
      <w:pPr>
        <w:tabs>
          <w:tab w:val="right" w:pos="1202"/>
          <w:tab w:val="left" w:pos="9180"/>
        </w:tabs>
        <w:suppressAutoHyphens/>
        <w:autoSpaceDN w:val="0"/>
        <w:jc w:val="both"/>
        <w:outlineLvl w:val="0"/>
        <w:rPr>
          <w:rFonts w:ascii="Arial" w:eastAsia="Times New Roman" w:hAnsi="Arial" w:cs="Arial"/>
          <w:color w:val="000000" w:themeColor="text1"/>
          <w:sz w:val="20"/>
          <w:szCs w:val="20"/>
        </w:rPr>
      </w:pPr>
    </w:p>
    <w:p w14:paraId="64F1E426" w14:textId="5D0CED5D" w:rsidR="0064018A" w:rsidRPr="003D1614" w:rsidRDefault="0064018A" w:rsidP="0064018A">
      <w:pPr>
        <w:tabs>
          <w:tab w:val="right" w:pos="1202"/>
          <w:tab w:val="left" w:pos="9180"/>
        </w:tabs>
        <w:suppressAutoHyphens/>
        <w:autoSpaceDN w:val="0"/>
        <w:jc w:val="both"/>
        <w:outlineLvl w:val="0"/>
        <w:rPr>
          <w:rFonts w:ascii="Arial" w:eastAsia="Times New Roman" w:hAnsi="Arial" w:cs="Arial"/>
          <w:color w:val="000000" w:themeColor="text1"/>
          <w:sz w:val="20"/>
          <w:szCs w:val="20"/>
        </w:rPr>
      </w:pPr>
      <w:bookmarkStart w:id="560" w:name="_Toc67329155"/>
      <w:r w:rsidRPr="003D1614">
        <w:rPr>
          <w:rFonts w:ascii="Arial" w:eastAsia="Times New Roman" w:hAnsi="Arial" w:cs="Arial"/>
          <w:color w:val="000000" w:themeColor="text1"/>
          <w:sz w:val="20"/>
          <w:szCs w:val="20"/>
        </w:rPr>
        <w:t>Rashodi sadrže rashode za plaće ključnih članova rukovodstva, gubitak od umanjenja vrijednosti i rezerviranja.</w:t>
      </w:r>
      <w:bookmarkEnd w:id="560"/>
    </w:p>
    <w:p w14:paraId="5D4D4958" w14:textId="77777777" w:rsidR="003A487C" w:rsidRPr="003D1614" w:rsidRDefault="003A487C" w:rsidP="0064018A">
      <w:pPr>
        <w:tabs>
          <w:tab w:val="right" w:pos="1202"/>
          <w:tab w:val="left" w:pos="9180"/>
        </w:tabs>
        <w:suppressAutoHyphens/>
        <w:autoSpaceDN w:val="0"/>
        <w:jc w:val="both"/>
        <w:outlineLvl w:val="0"/>
        <w:rPr>
          <w:rFonts w:ascii="Arial" w:eastAsia="Times New Roman" w:hAnsi="Arial" w:cs="Arial"/>
          <w:color w:val="000000" w:themeColor="text1"/>
          <w:sz w:val="20"/>
          <w:szCs w:val="20"/>
        </w:rPr>
        <w:sectPr w:rsidR="003A487C" w:rsidRPr="003D1614">
          <w:pgSz w:w="11906" w:h="16838"/>
          <w:pgMar w:top="1417" w:right="1417" w:bottom="1417" w:left="1417" w:header="708" w:footer="708" w:gutter="0"/>
          <w:cols w:space="708"/>
          <w:docGrid w:linePitch="360"/>
        </w:sectPr>
      </w:pPr>
    </w:p>
    <w:p w14:paraId="192EC374" w14:textId="77777777" w:rsidR="003A487C" w:rsidRPr="003D1614" w:rsidRDefault="003A487C" w:rsidP="003A487C">
      <w:pPr>
        <w:keepNext/>
        <w:tabs>
          <w:tab w:val="left" w:pos="567"/>
          <w:tab w:val="left" w:pos="709"/>
        </w:tabs>
        <w:suppressAutoHyphens/>
        <w:autoSpaceDN w:val="0"/>
        <w:jc w:val="both"/>
        <w:outlineLvl w:val="0"/>
        <w:rPr>
          <w:rFonts w:ascii="Arial" w:eastAsia="Times New Roman" w:hAnsi="Arial" w:cs="Arial"/>
          <w:b/>
          <w:color w:val="000000" w:themeColor="text1"/>
          <w:sz w:val="20"/>
          <w:szCs w:val="20"/>
        </w:rPr>
      </w:pPr>
    </w:p>
    <w:p w14:paraId="320CFF6D" w14:textId="6B7D19F6" w:rsidR="003A487C" w:rsidRPr="003D1614" w:rsidRDefault="003A487C" w:rsidP="003A487C">
      <w:pPr>
        <w:keepNext/>
        <w:tabs>
          <w:tab w:val="left" w:pos="567"/>
          <w:tab w:val="left" w:pos="709"/>
        </w:tabs>
        <w:suppressAutoHyphens/>
        <w:autoSpaceDN w:val="0"/>
        <w:jc w:val="both"/>
        <w:outlineLvl w:val="0"/>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2</w:t>
      </w:r>
      <w:r w:rsidR="000E693B">
        <w:rPr>
          <w:rFonts w:ascii="Arial" w:eastAsia="Times New Roman" w:hAnsi="Arial" w:cs="Arial"/>
          <w:b/>
          <w:color w:val="000000" w:themeColor="text1"/>
          <w:sz w:val="20"/>
          <w:szCs w:val="20"/>
        </w:rPr>
        <w:t>2</w:t>
      </w:r>
      <w:r w:rsidRPr="003D1614">
        <w:rPr>
          <w:rFonts w:ascii="Arial" w:eastAsia="Times New Roman" w:hAnsi="Arial" w:cs="Arial"/>
          <w:b/>
          <w:color w:val="000000" w:themeColor="text1"/>
          <w:sz w:val="20"/>
          <w:szCs w:val="20"/>
        </w:rPr>
        <w:t>.</w:t>
      </w:r>
      <w:r w:rsidRPr="003D1614">
        <w:rPr>
          <w:rFonts w:ascii="Arial" w:eastAsia="Times New Roman" w:hAnsi="Arial" w:cs="Arial"/>
          <w:b/>
          <w:color w:val="000000" w:themeColor="text1"/>
          <w:sz w:val="20"/>
          <w:szCs w:val="20"/>
        </w:rPr>
        <w:tab/>
        <w:t>Transakcije s povezanim stranama (nastavak)</w:t>
      </w:r>
    </w:p>
    <w:p w14:paraId="37AFBA9C" w14:textId="77777777" w:rsidR="003A487C" w:rsidRPr="003D1614" w:rsidRDefault="003A487C" w:rsidP="003A487C">
      <w:pPr>
        <w:tabs>
          <w:tab w:val="right" w:pos="284"/>
          <w:tab w:val="left" w:pos="426"/>
        </w:tabs>
        <w:suppressAutoHyphens/>
        <w:autoSpaceDN w:val="0"/>
        <w:outlineLvl w:val="0"/>
        <w:rPr>
          <w:rFonts w:ascii="Arial" w:eastAsia="Times New Roman" w:hAnsi="Arial" w:cs="Arial"/>
          <w:color w:val="000000" w:themeColor="text1"/>
          <w:sz w:val="20"/>
          <w:szCs w:val="20"/>
        </w:rPr>
      </w:pPr>
    </w:p>
    <w:p w14:paraId="6B96CD7C" w14:textId="77777777" w:rsidR="003A487C" w:rsidRPr="003D1614" w:rsidRDefault="003A487C" w:rsidP="003A487C">
      <w:pPr>
        <w:tabs>
          <w:tab w:val="right" w:pos="1202"/>
          <w:tab w:val="left" w:pos="9180"/>
        </w:tabs>
        <w:suppressAutoHyphens/>
        <w:autoSpaceDN w:val="0"/>
        <w:jc w:val="both"/>
        <w:outlineLvl w:val="0"/>
        <w:rPr>
          <w:rFonts w:ascii="Arial" w:eastAsia="Times New Roman" w:hAnsi="Arial" w:cs="Arial"/>
          <w:color w:val="000000" w:themeColor="text1"/>
          <w:sz w:val="20"/>
          <w:szCs w:val="20"/>
        </w:rPr>
      </w:pPr>
    </w:p>
    <w:p w14:paraId="1355ED95" w14:textId="77777777" w:rsidR="003A487C" w:rsidRPr="003D1614" w:rsidRDefault="003A487C" w:rsidP="003A487C">
      <w:pPr>
        <w:tabs>
          <w:tab w:val="right" w:pos="284"/>
          <w:tab w:val="left" w:pos="567"/>
        </w:tabs>
        <w:suppressAutoHyphens/>
        <w:autoSpaceDN w:val="0"/>
        <w:outlineLvl w:val="0"/>
        <w:rPr>
          <w:rFonts w:ascii="Arial" w:eastAsia="Times New Roman" w:hAnsi="Arial" w:cs="Arial"/>
          <w:color w:val="000000" w:themeColor="text1"/>
          <w:sz w:val="20"/>
          <w:szCs w:val="20"/>
        </w:rPr>
      </w:pPr>
      <w:bookmarkStart w:id="561" w:name="_Toc67329156"/>
      <w:r w:rsidRPr="003D1614">
        <w:rPr>
          <w:rFonts w:ascii="Arial" w:eastAsia="Times New Roman" w:hAnsi="Arial" w:cs="Arial"/>
          <w:color w:val="000000" w:themeColor="text1"/>
          <w:sz w:val="20"/>
          <w:szCs w:val="20"/>
        </w:rPr>
        <w:t>b)</w:t>
      </w:r>
      <w:r w:rsidRPr="003D1614">
        <w:rPr>
          <w:rFonts w:ascii="Arial" w:eastAsia="Times New Roman" w:hAnsi="Arial" w:cs="Arial"/>
          <w:color w:val="000000" w:themeColor="text1"/>
          <w:sz w:val="20"/>
          <w:szCs w:val="20"/>
        </w:rPr>
        <w:tab/>
      </w:r>
      <w:r w:rsidRPr="003D1614">
        <w:rPr>
          <w:rFonts w:ascii="Arial" w:eastAsia="Times New Roman" w:hAnsi="Arial" w:cs="Arial"/>
          <w:color w:val="000000" w:themeColor="text1"/>
          <w:sz w:val="20"/>
          <w:szCs w:val="20"/>
        </w:rPr>
        <w:tab/>
        <w:t>Primljeni instrumenti osiguranja</w:t>
      </w:r>
      <w:bookmarkEnd w:id="561"/>
    </w:p>
    <w:p w14:paraId="62883762" w14:textId="77777777" w:rsidR="003A487C" w:rsidRPr="003D1614" w:rsidRDefault="003A487C" w:rsidP="003A487C">
      <w:pPr>
        <w:tabs>
          <w:tab w:val="right" w:pos="284"/>
          <w:tab w:val="left" w:pos="567"/>
        </w:tabs>
        <w:suppressAutoHyphens/>
        <w:autoSpaceDN w:val="0"/>
        <w:outlineLvl w:val="0"/>
        <w:rPr>
          <w:rFonts w:ascii="Arial" w:eastAsia="Times New Roman" w:hAnsi="Arial" w:cs="Arial"/>
          <w:color w:val="000000" w:themeColor="text1"/>
          <w:sz w:val="20"/>
          <w:szCs w:val="20"/>
        </w:rPr>
      </w:pPr>
    </w:p>
    <w:tbl>
      <w:tblPr>
        <w:tblW w:w="4997" w:type="pct"/>
        <w:tblLayout w:type="fixed"/>
        <w:tblCellMar>
          <w:left w:w="56" w:type="dxa"/>
          <w:right w:w="56" w:type="dxa"/>
        </w:tblCellMar>
        <w:tblLook w:val="00A0" w:firstRow="1" w:lastRow="0" w:firstColumn="1" w:lastColumn="0" w:noHBand="0" w:noVBand="0"/>
      </w:tblPr>
      <w:tblGrid>
        <w:gridCol w:w="2337"/>
        <w:gridCol w:w="1681"/>
        <w:gridCol w:w="1685"/>
        <w:gridCol w:w="1681"/>
        <w:gridCol w:w="1683"/>
      </w:tblGrid>
      <w:tr w:rsidR="003A487C" w:rsidRPr="003D1614" w14:paraId="1E750A6B" w14:textId="77777777" w:rsidTr="00AD0393">
        <w:trPr>
          <w:trHeight w:val="240"/>
        </w:trPr>
        <w:tc>
          <w:tcPr>
            <w:tcW w:w="1289" w:type="pct"/>
            <w:vAlign w:val="bottom"/>
          </w:tcPr>
          <w:p w14:paraId="1EC184AB" w14:textId="77777777" w:rsidR="003A487C" w:rsidRPr="003D1614" w:rsidRDefault="003A487C" w:rsidP="003A487C">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p>
        </w:tc>
        <w:tc>
          <w:tcPr>
            <w:tcW w:w="1856" w:type="pct"/>
            <w:gridSpan w:val="2"/>
            <w:vAlign w:val="bottom"/>
          </w:tcPr>
          <w:p w14:paraId="010B5457" w14:textId="77777777" w:rsidR="003A487C" w:rsidRPr="003D1614" w:rsidRDefault="003A487C" w:rsidP="003A487C">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562" w:name="_Toc67329157"/>
            <w:r w:rsidRPr="003D1614">
              <w:rPr>
                <w:rFonts w:ascii="Arial" w:eastAsia="Times New Roman" w:hAnsi="Arial" w:cs="Arial"/>
                <w:b/>
                <w:color w:val="000000" w:themeColor="text1"/>
                <w:sz w:val="18"/>
                <w:szCs w:val="18"/>
              </w:rPr>
              <w:t>Grupa</w:t>
            </w:r>
            <w:bookmarkEnd w:id="562"/>
          </w:p>
        </w:tc>
        <w:tc>
          <w:tcPr>
            <w:tcW w:w="1855" w:type="pct"/>
            <w:gridSpan w:val="2"/>
            <w:vAlign w:val="bottom"/>
          </w:tcPr>
          <w:p w14:paraId="2AAF3445" w14:textId="77777777" w:rsidR="003A487C" w:rsidRPr="003D1614" w:rsidRDefault="003A487C" w:rsidP="003A487C">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563" w:name="_Toc67329158"/>
            <w:r w:rsidRPr="003D1614">
              <w:rPr>
                <w:rFonts w:ascii="Arial" w:eastAsia="Times New Roman" w:hAnsi="Arial" w:cs="Arial"/>
                <w:b/>
                <w:color w:val="000000" w:themeColor="text1"/>
                <w:sz w:val="18"/>
                <w:szCs w:val="18"/>
              </w:rPr>
              <w:t>Banka</w:t>
            </w:r>
            <w:bookmarkEnd w:id="563"/>
          </w:p>
        </w:tc>
      </w:tr>
      <w:tr w:rsidR="003A487C" w:rsidRPr="003D1614" w14:paraId="33AAA590" w14:textId="77777777" w:rsidTr="00AD0393">
        <w:trPr>
          <w:trHeight w:val="167"/>
        </w:trPr>
        <w:tc>
          <w:tcPr>
            <w:tcW w:w="1289" w:type="pct"/>
            <w:vAlign w:val="bottom"/>
          </w:tcPr>
          <w:p w14:paraId="0B1D7790" w14:textId="77777777" w:rsidR="003A487C" w:rsidRPr="003D1614" w:rsidRDefault="003A487C" w:rsidP="003A487C">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p>
        </w:tc>
        <w:tc>
          <w:tcPr>
            <w:tcW w:w="927" w:type="pct"/>
            <w:vAlign w:val="bottom"/>
          </w:tcPr>
          <w:p w14:paraId="0E7FC750" w14:textId="77777777" w:rsidR="00184EBE" w:rsidRDefault="00184EBE" w:rsidP="003A487C">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184EBE">
              <w:rPr>
                <w:rFonts w:ascii="Arial" w:eastAsia="Times New Roman" w:hAnsi="Arial" w:cs="Arial"/>
                <w:b/>
                <w:color w:val="000000" w:themeColor="text1"/>
                <w:sz w:val="18"/>
                <w:szCs w:val="18"/>
              </w:rPr>
              <w:t xml:space="preserve">30. rujna </w:t>
            </w:r>
          </w:p>
          <w:p w14:paraId="538085F6" w14:textId="5ED2A0E7" w:rsidR="003A487C" w:rsidRPr="003D1614" w:rsidRDefault="00184EBE" w:rsidP="003A487C">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184EBE">
              <w:rPr>
                <w:rFonts w:ascii="Arial" w:eastAsia="Times New Roman" w:hAnsi="Arial" w:cs="Arial"/>
                <w:b/>
                <w:color w:val="000000" w:themeColor="text1"/>
                <w:sz w:val="18"/>
                <w:szCs w:val="18"/>
              </w:rPr>
              <w:t>202</w:t>
            </w:r>
            <w:r w:rsidR="00AC0918">
              <w:rPr>
                <w:rFonts w:ascii="Arial" w:eastAsia="Times New Roman" w:hAnsi="Arial" w:cs="Arial"/>
                <w:b/>
                <w:color w:val="000000" w:themeColor="text1"/>
                <w:sz w:val="18"/>
                <w:szCs w:val="18"/>
              </w:rPr>
              <w:t>4</w:t>
            </w:r>
            <w:r w:rsidRPr="00184EBE">
              <w:rPr>
                <w:rFonts w:ascii="Arial" w:eastAsia="Times New Roman" w:hAnsi="Arial" w:cs="Arial"/>
                <w:b/>
                <w:color w:val="000000" w:themeColor="text1"/>
                <w:sz w:val="18"/>
                <w:szCs w:val="18"/>
              </w:rPr>
              <w:t>.</w:t>
            </w:r>
          </w:p>
        </w:tc>
        <w:tc>
          <w:tcPr>
            <w:tcW w:w="929" w:type="pct"/>
            <w:vAlign w:val="bottom"/>
          </w:tcPr>
          <w:p w14:paraId="04A00793" w14:textId="77777777" w:rsidR="003A487C" w:rsidRPr="003D1614" w:rsidRDefault="003A487C" w:rsidP="003A487C">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564" w:name="_Toc67329160"/>
            <w:r w:rsidRPr="003D1614">
              <w:rPr>
                <w:rFonts w:ascii="Arial" w:eastAsia="Times New Roman" w:hAnsi="Arial" w:cs="Arial"/>
                <w:b/>
                <w:color w:val="000000" w:themeColor="text1"/>
                <w:sz w:val="18"/>
                <w:szCs w:val="18"/>
              </w:rPr>
              <w:t xml:space="preserve">31. prosinca </w:t>
            </w:r>
          </w:p>
          <w:p w14:paraId="0A4F3C11" w14:textId="5C6EE9AE" w:rsidR="003A487C" w:rsidRPr="003D1614" w:rsidRDefault="003A487C" w:rsidP="003A487C">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202</w:t>
            </w:r>
            <w:r w:rsidR="00AC0918">
              <w:rPr>
                <w:rFonts w:ascii="Arial" w:eastAsia="Times New Roman" w:hAnsi="Arial" w:cs="Arial"/>
                <w:b/>
                <w:color w:val="000000" w:themeColor="text1"/>
                <w:sz w:val="18"/>
                <w:szCs w:val="18"/>
              </w:rPr>
              <w:t>3</w:t>
            </w:r>
            <w:r w:rsidRPr="003D1614">
              <w:rPr>
                <w:rFonts w:ascii="Arial" w:eastAsia="Times New Roman" w:hAnsi="Arial" w:cs="Arial"/>
                <w:b/>
                <w:color w:val="000000" w:themeColor="text1"/>
                <w:sz w:val="18"/>
                <w:szCs w:val="18"/>
              </w:rPr>
              <w:t>.</w:t>
            </w:r>
            <w:bookmarkEnd w:id="564"/>
          </w:p>
        </w:tc>
        <w:tc>
          <w:tcPr>
            <w:tcW w:w="927" w:type="pct"/>
            <w:vAlign w:val="bottom"/>
          </w:tcPr>
          <w:p w14:paraId="4AF3FF7C" w14:textId="77777777" w:rsidR="00184EBE" w:rsidRDefault="00184EBE" w:rsidP="003A487C">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184EBE">
              <w:rPr>
                <w:rFonts w:ascii="Arial" w:eastAsia="Times New Roman" w:hAnsi="Arial" w:cs="Arial"/>
                <w:b/>
                <w:color w:val="000000" w:themeColor="text1"/>
                <w:sz w:val="18"/>
                <w:szCs w:val="18"/>
              </w:rPr>
              <w:t xml:space="preserve">30. rujna </w:t>
            </w:r>
          </w:p>
          <w:p w14:paraId="0E8057DC" w14:textId="0C60C40D" w:rsidR="003A487C" w:rsidRPr="003D1614" w:rsidRDefault="00184EBE" w:rsidP="003A487C">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184EBE">
              <w:rPr>
                <w:rFonts w:ascii="Arial" w:eastAsia="Times New Roman" w:hAnsi="Arial" w:cs="Arial"/>
                <w:b/>
                <w:color w:val="000000" w:themeColor="text1"/>
                <w:sz w:val="18"/>
                <w:szCs w:val="18"/>
              </w:rPr>
              <w:t>202</w:t>
            </w:r>
            <w:r w:rsidR="00AC0918">
              <w:rPr>
                <w:rFonts w:ascii="Arial" w:eastAsia="Times New Roman" w:hAnsi="Arial" w:cs="Arial"/>
                <w:b/>
                <w:color w:val="000000" w:themeColor="text1"/>
                <w:sz w:val="18"/>
                <w:szCs w:val="18"/>
              </w:rPr>
              <w:t>4</w:t>
            </w:r>
            <w:r w:rsidRPr="00184EBE">
              <w:rPr>
                <w:rFonts w:ascii="Arial" w:eastAsia="Times New Roman" w:hAnsi="Arial" w:cs="Arial"/>
                <w:b/>
                <w:color w:val="000000" w:themeColor="text1"/>
                <w:sz w:val="18"/>
                <w:szCs w:val="18"/>
              </w:rPr>
              <w:t>.</w:t>
            </w:r>
          </w:p>
        </w:tc>
        <w:tc>
          <w:tcPr>
            <w:tcW w:w="928" w:type="pct"/>
            <w:vAlign w:val="bottom"/>
          </w:tcPr>
          <w:p w14:paraId="6CB7566E" w14:textId="77777777" w:rsidR="003A487C" w:rsidRPr="003D1614" w:rsidRDefault="003A487C" w:rsidP="003A487C">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565" w:name="_Toc67329162"/>
            <w:r w:rsidRPr="003D1614">
              <w:rPr>
                <w:rFonts w:ascii="Arial" w:eastAsia="Times New Roman" w:hAnsi="Arial" w:cs="Arial"/>
                <w:b/>
                <w:color w:val="000000" w:themeColor="text1"/>
                <w:sz w:val="18"/>
                <w:szCs w:val="18"/>
              </w:rPr>
              <w:t xml:space="preserve">31. prosinca </w:t>
            </w:r>
          </w:p>
          <w:p w14:paraId="507BAD0D" w14:textId="02FD4E14" w:rsidR="003A487C" w:rsidRPr="003D1614" w:rsidRDefault="003A487C" w:rsidP="003A487C">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202</w:t>
            </w:r>
            <w:r w:rsidR="00AC0918">
              <w:rPr>
                <w:rFonts w:ascii="Arial" w:eastAsia="Times New Roman" w:hAnsi="Arial" w:cs="Arial"/>
                <w:b/>
                <w:color w:val="000000" w:themeColor="text1"/>
                <w:sz w:val="18"/>
                <w:szCs w:val="18"/>
              </w:rPr>
              <w:t>3</w:t>
            </w:r>
            <w:r w:rsidRPr="003D1614">
              <w:rPr>
                <w:rFonts w:ascii="Arial" w:eastAsia="Times New Roman" w:hAnsi="Arial" w:cs="Arial"/>
                <w:b/>
                <w:color w:val="000000" w:themeColor="text1"/>
                <w:sz w:val="18"/>
                <w:szCs w:val="18"/>
              </w:rPr>
              <w:t>.</w:t>
            </w:r>
            <w:bookmarkEnd w:id="565"/>
          </w:p>
        </w:tc>
      </w:tr>
      <w:tr w:rsidR="003A487C" w:rsidRPr="003D1614" w14:paraId="21D23376" w14:textId="77777777" w:rsidTr="00AD0393">
        <w:trPr>
          <w:trHeight w:val="293"/>
        </w:trPr>
        <w:tc>
          <w:tcPr>
            <w:tcW w:w="1289" w:type="pct"/>
            <w:vAlign w:val="bottom"/>
          </w:tcPr>
          <w:p w14:paraId="349E56FC" w14:textId="77777777" w:rsidR="003A487C" w:rsidRPr="003D1614" w:rsidRDefault="003A487C" w:rsidP="003A487C">
            <w:pPr>
              <w:tabs>
                <w:tab w:val="right" w:pos="1202"/>
              </w:tabs>
              <w:suppressAutoHyphens/>
              <w:autoSpaceDN w:val="0"/>
              <w:spacing w:line="301" w:lineRule="exact"/>
              <w:outlineLvl w:val="0"/>
              <w:rPr>
                <w:rFonts w:ascii="Arial" w:eastAsia="Times New Roman" w:hAnsi="Arial" w:cs="Arial"/>
                <w:color w:val="000000" w:themeColor="text1"/>
                <w:sz w:val="18"/>
                <w:szCs w:val="18"/>
              </w:rPr>
            </w:pPr>
          </w:p>
        </w:tc>
        <w:tc>
          <w:tcPr>
            <w:tcW w:w="927" w:type="pct"/>
            <w:vAlign w:val="bottom"/>
          </w:tcPr>
          <w:p w14:paraId="397BDAF0" w14:textId="643F6984" w:rsidR="003A487C" w:rsidRPr="003D1614" w:rsidRDefault="003A487C" w:rsidP="003A487C">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bookmarkStart w:id="566" w:name="_Toc67329163"/>
            <w:r w:rsidRPr="003D1614">
              <w:rPr>
                <w:rFonts w:ascii="Arial" w:eastAsia="Times New Roman" w:hAnsi="Arial" w:cs="Arial"/>
                <w:b/>
                <w:bCs/>
                <w:color w:val="000000" w:themeColor="text1"/>
                <w:sz w:val="18"/>
                <w:szCs w:val="18"/>
              </w:rPr>
              <w:t>000 eura</w:t>
            </w:r>
            <w:bookmarkEnd w:id="566"/>
          </w:p>
        </w:tc>
        <w:tc>
          <w:tcPr>
            <w:tcW w:w="929" w:type="pct"/>
            <w:vAlign w:val="bottom"/>
          </w:tcPr>
          <w:p w14:paraId="5F8AF769" w14:textId="61AA98C0" w:rsidR="003A487C" w:rsidRPr="003D1614" w:rsidRDefault="003A487C" w:rsidP="003A487C">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bookmarkStart w:id="567" w:name="_Toc67329164"/>
            <w:r w:rsidRPr="003D1614">
              <w:rPr>
                <w:rFonts w:ascii="Arial" w:eastAsia="Times New Roman" w:hAnsi="Arial" w:cs="Arial"/>
                <w:b/>
                <w:bCs/>
                <w:color w:val="000000" w:themeColor="text1"/>
                <w:sz w:val="18"/>
                <w:szCs w:val="18"/>
              </w:rPr>
              <w:t>000 eura</w:t>
            </w:r>
            <w:bookmarkEnd w:id="567"/>
          </w:p>
        </w:tc>
        <w:tc>
          <w:tcPr>
            <w:tcW w:w="927" w:type="pct"/>
            <w:vAlign w:val="bottom"/>
          </w:tcPr>
          <w:p w14:paraId="71426942" w14:textId="3A681253" w:rsidR="003A487C" w:rsidRPr="003D1614" w:rsidRDefault="003A487C" w:rsidP="003A487C">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bookmarkStart w:id="568" w:name="_Toc67329165"/>
            <w:r w:rsidRPr="003D1614">
              <w:rPr>
                <w:rFonts w:ascii="Arial" w:eastAsia="Times New Roman" w:hAnsi="Arial" w:cs="Arial"/>
                <w:b/>
                <w:bCs/>
                <w:color w:val="000000" w:themeColor="text1"/>
                <w:sz w:val="18"/>
                <w:szCs w:val="18"/>
              </w:rPr>
              <w:t>000 eura</w:t>
            </w:r>
            <w:bookmarkEnd w:id="568"/>
          </w:p>
        </w:tc>
        <w:tc>
          <w:tcPr>
            <w:tcW w:w="928" w:type="pct"/>
            <w:vAlign w:val="bottom"/>
          </w:tcPr>
          <w:p w14:paraId="1BCCFB52" w14:textId="077A7EDE" w:rsidR="003A487C" w:rsidRPr="003D1614" w:rsidRDefault="003A487C" w:rsidP="003A487C">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bookmarkStart w:id="569" w:name="_Toc67329166"/>
            <w:r w:rsidRPr="003D1614">
              <w:rPr>
                <w:rFonts w:ascii="Arial" w:eastAsia="Times New Roman" w:hAnsi="Arial" w:cs="Arial"/>
                <w:b/>
                <w:bCs/>
                <w:color w:val="000000" w:themeColor="text1"/>
                <w:sz w:val="18"/>
                <w:szCs w:val="18"/>
              </w:rPr>
              <w:t>000 eura</w:t>
            </w:r>
            <w:bookmarkEnd w:id="569"/>
          </w:p>
        </w:tc>
      </w:tr>
      <w:tr w:rsidR="003A487C" w:rsidRPr="003D1614" w14:paraId="146CA9B8" w14:textId="77777777" w:rsidTr="00AD0393">
        <w:trPr>
          <w:trHeight w:val="182"/>
        </w:trPr>
        <w:tc>
          <w:tcPr>
            <w:tcW w:w="1289" w:type="pct"/>
            <w:vAlign w:val="bottom"/>
          </w:tcPr>
          <w:p w14:paraId="180CF1F6" w14:textId="77777777" w:rsidR="003A487C" w:rsidRPr="003D1614" w:rsidRDefault="003A487C" w:rsidP="003A487C">
            <w:pPr>
              <w:tabs>
                <w:tab w:val="right" w:pos="1202"/>
              </w:tabs>
              <w:suppressAutoHyphens/>
              <w:autoSpaceDN w:val="0"/>
              <w:spacing w:line="120" w:lineRule="exact"/>
              <w:outlineLvl w:val="0"/>
              <w:rPr>
                <w:rFonts w:ascii="Arial" w:eastAsia="Times New Roman" w:hAnsi="Arial" w:cs="Arial"/>
                <w:b/>
                <w:color w:val="000000" w:themeColor="text1"/>
                <w:sz w:val="18"/>
                <w:szCs w:val="18"/>
              </w:rPr>
            </w:pPr>
          </w:p>
        </w:tc>
        <w:tc>
          <w:tcPr>
            <w:tcW w:w="927" w:type="pct"/>
            <w:vAlign w:val="bottom"/>
          </w:tcPr>
          <w:p w14:paraId="43AB37C5" w14:textId="77777777" w:rsidR="003A487C" w:rsidRPr="003D1614" w:rsidRDefault="003A487C" w:rsidP="003A487C">
            <w:pPr>
              <w:tabs>
                <w:tab w:val="right" w:pos="1202"/>
              </w:tabs>
              <w:suppressAutoHyphens/>
              <w:autoSpaceDN w:val="0"/>
              <w:spacing w:line="120" w:lineRule="exact"/>
              <w:jc w:val="right"/>
              <w:outlineLvl w:val="0"/>
              <w:rPr>
                <w:rFonts w:ascii="Arial" w:eastAsia="Times New Roman" w:hAnsi="Arial" w:cs="Arial"/>
                <w:bCs/>
                <w:color w:val="000000" w:themeColor="text1"/>
                <w:sz w:val="18"/>
                <w:szCs w:val="18"/>
              </w:rPr>
            </w:pPr>
          </w:p>
        </w:tc>
        <w:tc>
          <w:tcPr>
            <w:tcW w:w="929" w:type="pct"/>
            <w:vAlign w:val="bottom"/>
          </w:tcPr>
          <w:p w14:paraId="1A874C65" w14:textId="77777777" w:rsidR="003A487C" w:rsidRPr="003D1614" w:rsidRDefault="003A487C" w:rsidP="003A487C">
            <w:pPr>
              <w:tabs>
                <w:tab w:val="right" w:pos="1202"/>
              </w:tabs>
              <w:suppressAutoHyphens/>
              <w:autoSpaceDN w:val="0"/>
              <w:spacing w:line="120" w:lineRule="exact"/>
              <w:jc w:val="right"/>
              <w:outlineLvl w:val="0"/>
              <w:rPr>
                <w:rFonts w:ascii="Arial" w:eastAsia="Times New Roman" w:hAnsi="Arial" w:cs="Arial"/>
                <w:bCs/>
                <w:color w:val="000000" w:themeColor="text1"/>
                <w:sz w:val="18"/>
                <w:szCs w:val="18"/>
              </w:rPr>
            </w:pPr>
          </w:p>
        </w:tc>
        <w:tc>
          <w:tcPr>
            <w:tcW w:w="927" w:type="pct"/>
            <w:vAlign w:val="bottom"/>
          </w:tcPr>
          <w:p w14:paraId="538A91A3" w14:textId="77777777" w:rsidR="003A487C" w:rsidRPr="003D1614" w:rsidRDefault="003A487C" w:rsidP="003A487C">
            <w:pPr>
              <w:tabs>
                <w:tab w:val="right" w:pos="1202"/>
              </w:tabs>
              <w:suppressAutoHyphens/>
              <w:autoSpaceDN w:val="0"/>
              <w:spacing w:line="120" w:lineRule="exact"/>
              <w:jc w:val="right"/>
              <w:outlineLvl w:val="0"/>
              <w:rPr>
                <w:rFonts w:ascii="Arial" w:eastAsia="Times New Roman" w:hAnsi="Arial" w:cs="Arial"/>
                <w:bCs/>
                <w:color w:val="000000" w:themeColor="text1"/>
                <w:sz w:val="18"/>
                <w:szCs w:val="18"/>
              </w:rPr>
            </w:pPr>
          </w:p>
        </w:tc>
        <w:tc>
          <w:tcPr>
            <w:tcW w:w="928" w:type="pct"/>
            <w:vAlign w:val="bottom"/>
          </w:tcPr>
          <w:p w14:paraId="0601F6FB" w14:textId="77777777" w:rsidR="003A487C" w:rsidRPr="003D1614" w:rsidRDefault="003A487C" w:rsidP="003A487C">
            <w:pPr>
              <w:tabs>
                <w:tab w:val="right" w:pos="1202"/>
              </w:tabs>
              <w:suppressAutoHyphens/>
              <w:autoSpaceDN w:val="0"/>
              <w:spacing w:line="120" w:lineRule="exact"/>
              <w:jc w:val="right"/>
              <w:outlineLvl w:val="0"/>
              <w:rPr>
                <w:rFonts w:ascii="Arial" w:eastAsia="Times New Roman" w:hAnsi="Arial" w:cs="Arial"/>
                <w:bCs/>
                <w:color w:val="000000" w:themeColor="text1"/>
                <w:sz w:val="18"/>
                <w:szCs w:val="18"/>
              </w:rPr>
            </w:pPr>
          </w:p>
        </w:tc>
      </w:tr>
      <w:tr w:rsidR="00D53480" w:rsidRPr="003D1614" w14:paraId="26CCDC8F" w14:textId="77777777" w:rsidTr="00A778F6">
        <w:trPr>
          <w:trHeight w:val="293"/>
        </w:trPr>
        <w:tc>
          <w:tcPr>
            <w:tcW w:w="1289" w:type="pct"/>
            <w:vAlign w:val="bottom"/>
          </w:tcPr>
          <w:p w14:paraId="27B7A39B" w14:textId="77777777" w:rsidR="00D53480" w:rsidRPr="003D1614" w:rsidRDefault="00D53480" w:rsidP="00D53480">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570" w:name="_Toc67329167"/>
            <w:r w:rsidRPr="003D1614">
              <w:rPr>
                <w:rFonts w:ascii="Arial" w:eastAsia="Times New Roman" w:hAnsi="Arial" w:cs="Arial"/>
                <w:color w:val="000000" w:themeColor="text1"/>
                <w:sz w:val="18"/>
                <w:szCs w:val="18"/>
              </w:rPr>
              <w:t>Republika Hrvatska</w:t>
            </w:r>
            <w:bookmarkEnd w:id="570"/>
          </w:p>
        </w:tc>
        <w:tc>
          <w:tcPr>
            <w:tcW w:w="927" w:type="pct"/>
            <w:vAlign w:val="bottom"/>
          </w:tcPr>
          <w:p w14:paraId="4B0C27C8" w14:textId="3E90E633" w:rsidR="00D53480" w:rsidRPr="003D1614" w:rsidRDefault="00D53480" w:rsidP="00D53480">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3A514D">
              <w:rPr>
                <w:rFonts w:ascii="Arial" w:eastAsia="Times New Roman" w:hAnsi="Arial" w:cs="Arial"/>
                <w:color w:val="000000" w:themeColor="text1"/>
                <w:sz w:val="18"/>
                <w:szCs w:val="18"/>
              </w:rPr>
              <w:t>1.083.252</w:t>
            </w:r>
          </w:p>
        </w:tc>
        <w:tc>
          <w:tcPr>
            <w:tcW w:w="929" w:type="pct"/>
            <w:vAlign w:val="bottom"/>
          </w:tcPr>
          <w:p w14:paraId="2C5EFF85" w14:textId="1587FF7A" w:rsidR="00D53480" w:rsidRPr="00DC547E" w:rsidRDefault="00D53480" w:rsidP="00D53480">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803164">
              <w:rPr>
                <w:rFonts w:ascii="Arial" w:hAnsi="Arial" w:cs="Arial"/>
                <w:color w:val="000000" w:themeColor="text1"/>
                <w:sz w:val="18"/>
                <w:szCs w:val="18"/>
              </w:rPr>
              <w:t>1.132.205</w:t>
            </w:r>
          </w:p>
        </w:tc>
        <w:tc>
          <w:tcPr>
            <w:tcW w:w="927" w:type="pct"/>
            <w:vAlign w:val="bottom"/>
          </w:tcPr>
          <w:p w14:paraId="537D5F51" w14:textId="2FDC032B" w:rsidR="00D53480" w:rsidRPr="00DC547E" w:rsidRDefault="00D53480" w:rsidP="00D53480">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3A514D">
              <w:rPr>
                <w:rFonts w:ascii="Arial" w:eastAsia="Times New Roman" w:hAnsi="Arial" w:cs="Arial"/>
                <w:color w:val="000000" w:themeColor="text1"/>
                <w:sz w:val="18"/>
                <w:szCs w:val="18"/>
              </w:rPr>
              <w:t>1.080.633</w:t>
            </w:r>
          </w:p>
        </w:tc>
        <w:tc>
          <w:tcPr>
            <w:tcW w:w="928" w:type="pct"/>
            <w:vAlign w:val="bottom"/>
          </w:tcPr>
          <w:p w14:paraId="0BBE83A4" w14:textId="39D04115" w:rsidR="00D53480" w:rsidRPr="00DC547E" w:rsidRDefault="00D53480" w:rsidP="00D53480">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803164">
              <w:rPr>
                <w:rFonts w:ascii="Arial" w:hAnsi="Arial" w:cs="Arial"/>
                <w:bCs/>
                <w:sz w:val="18"/>
                <w:szCs w:val="18"/>
              </w:rPr>
              <w:t>1.129.860</w:t>
            </w:r>
          </w:p>
        </w:tc>
      </w:tr>
      <w:tr w:rsidR="00D53480" w:rsidRPr="003D1614" w14:paraId="51E71486" w14:textId="77777777" w:rsidTr="00B276FE">
        <w:trPr>
          <w:trHeight w:val="293"/>
        </w:trPr>
        <w:tc>
          <w:tcPr>
            <w:tcW w:w="1289" w:type="pct"/>
            <w:vAlign w:val="bottom"/>
          </w:tcPr>
          <w:p w14:paraId="1C361359" w14:textId="77777777" w:rsidR="00D53480" w:rsidRPr="003D1614" w:rsidRDefault="00D53480" w:rsidP="00D53480">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571" w:name="_Toc67329172"/>
            <w:r w:rsidRPr="003D1614">
              <w:rPr>
                <w:rFonts w:ascii="Arial" w:eastAsia="Times New Roman" w:hAnsi="Arial" w:cs="Arial"/>
                <w:color w:val="000000" w:themeColor="text1"/>
                <w:sz w:val="18"/>
                <w:szCs w:val="18"/>
              </w:rPr>
              <w:t>Državne agencije</w:t>
            </w:r>
            <w:bookmarkEnd w:id="571"/>
          </w:p>
        </w:tc>
        <w:tc>
          <w:tcPr>
            <w:tcW w:w="927" w:type="pct"/>
            <w:tcBorders>
              <w:bottom w:val="single" w:sz="8" w:space="0" w:color="auto"/>
            </w:tcBorders>
            <w:vAlign w:val="bottom"/>
          </w:tcPr>
          <w:p w14:paraId="6190F60D" w14:textId="57DC0266" w:rsidR="00D53480" w:rsidRPr="003D1614" w:rsidRDefault="00D53480" w:rsidP="00D53480">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3A514D">
              <w:rPr>
                <w:rFonts w:ascii="Arial" w:eastAsia="Times New Roman" w:hAnsi="Arial" w:cs="Arial"/>
                <w:color w:val="000000" w:themeColor="text1"/>
                <w:sz w:val="18"/>
                <w:szCs w:val="18"/>
              </w:rPr>
              <w:t>93.661</w:t>
            </w:r>
          </w:p>
        </w:tc>
        <w:tc>
          <w:tcPr>
            <w:tcW w:w="929" w:type="pct"/>
            <w:tcBorders>
              <w:bottom w:val="single" w:sz="6" w:space="0" w:color="auto"/>
            </w:tcBorders>
            <w:vAlign w:val="bottom"/>
          </w:tcPr>
          <w:p w14:paraId="113C3DD2" w14:textId="1D609CC7" w:rsidR="00D53480" w:rsidRPr="00DC547E" w:rsidRDefault="00D53480" w:rsidP="00D53480">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803164">
              <w:rPr>
                <w:rFonts w:ascii="Arial" w:hAnsi="Arial" w:cs="Arial"/>
                <w:color w:val="000000" w:themeColor="text1"/>
                <w:sz w:val="18"/>
                <w:szCs w:val="18"/>
              </w:rPr>
              <w:t>106.553</w:t>
            </w:r>
          </w:p>
        </w:tc>
        <w:tc>
          <w:tcPr>
            <w:tcW w:w="927" w:type="pct"/>
            <w:tcBorders>
              <w:bottom w:val="single" w:sz="8" w:space="0" w:color="auto"/>
            </w:tcBorders>
            <w:vAlign w:val="bottom"/>
          </w:tcPr>
          <w:p w14:paraId="4F1C66BF" w14:textId="267257E6" w:rsidR="00D53480" w:rsidRPr="00DC547E" w:rsidRDefault="00D53480" w:rsidP="00D53480">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3A514D">
              <w:rPr>
                <w:rFonts w:ascii="Arial" w:eastAsia="Times New Roman" w:hAnsi="Arial" w:cs="Arial"/>
                <w:color w:val="000000" w:themeColor="text1"/>
                <w:sz w:val="18"/>
                <w:szCs w:val="18"/>
              </w:rPr>
              <w:t>93.661</w:t>
            </w:r>
          </w:p>
        </w:tc>
        <w:tc>
          <w:tcPr>
            <w:tcW w:w="928" w:type="pct"/>
            <w:tcBorders>
              <w:bottom w:val="single" w:sz="6" w:space="0" w:color="auto"/>
            </w:tcBorders>
            <w:vAlign w:val="bottom"/>
          </w:tcPr>
          <w:p w14:paraId="0F9E95D7" w14:textId="055DA503" w:rsidR="00D53480" w:rsidRPr="00DC547E" w:rsidRDefault="00D53480" w:rsidP="00D53480">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803164">
              <w:rPr>
                <w:rFonts w:ascii="Arial" w:hAnsi="Arial" w:cs="Arial"/>
                <w:bCs/>
                <w:sz w:val="18"/>
                <w:szCs w:val="18"/>
              </w:rPr>
              <w:t>106.553</w:t>
            </w:r>
          </w:p>
        </w:tc>
      </w:tr>
      <w:tr w:rsidR="00D53480" w:rsidRPr="003D1614" w14:paraId="219CE32C" w14:textId="77777777" w:rsidTr="00B276FE">
        <w:trPr>
          <w:trHeight w:val="305"/>
        </w:trPr>
        <w:tc>
          <w:tcPr>
            <w:tcW w:w="1289" w:type="pct"/>
            <w:vAlign w:val="bottom"/>
          </w:tcPr>
          <w:p w14:paraId="290B3418" w14:textId="77777777" w:rsidR="00D53480" w:rsidRPr="003D1614" w:rsidRDefault="00D53480" w:rsidP="00D53480">
            <w:pPr>
              <w:tabs>
                <w:tab w:val="right" w:pos="1202"/>
              </w:tabs>
              <w:suppressAutoHyphens/>
              <w:autoSpaceDN w:val="0"/>
              <w:spacing w:line="301" w:lineRule="exact"/>
              <w:outlineLvl w:val="0"/>
              <w:rPr>
                <w:rFonts w:ascii="Arial" w:eastAsia="Times New Roman" w:hAnsi="Arial" w:cs="Arial"/>
                <w:b/>
                <w:color w:val="000000" w:themeColor="text1"/>
                <w:sz w:val="18"/>
                <w:szCs w:val="18"/>
              </w:rPr>
            </w:pPr>
            <w:bookmarkStart w:id="572" w:name="_Toc67329177"/>
            <w:r w:rsidRPr="003D1614">
              <w:rPr>
                <w:rFonts w:ascii="Arial" w:eastAsia="Times New Roman" w:hAnsi="Arial" w:cs="Arial"/>
                <w:b/>
                <w:color w:val="000000" w:themeColor="text1"/>
                <w:sz w:val="18"/>
                <w:szCs w:val="18"/>
              </w:rPr>
              <w:t>Ukupno</w:t>
            </w:r>
            <w:bookmarkEnd w:id="572"/>
          </w:p>
        </w:tc>
        <w:tc>
          <w:tcPr>
            <w:tcW w:w="927" w:type="pct"/>
            <w:tcBorders>
              <w:top w:val="single" w:sz="8" w:space="0" w:color="auto"/>
              <w:bottom w:val="single" w:sz="12" w:space="0" w:color="auto"/>
            </w:tcBorders>
            <w:vAlign w:val="bottom"/>
          </w:tcPr>
          <w:p w14:paraId="2DDA4746" w14:textId="2E54F506" w:rsidR="00D53480" w:rsidRPr="00DC547E" w:rsidRDefault="00D53480" w:rsidP="00D53480">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3A514D">
              <w:rPr>
                <w:rFonts w:ascii="Arial" w:eastAsia="Times New Roman" w:hAnsi="Arial" w:cs="Arial"/>
                <w:b/>
                <w:bCs/>
                <w:color w:val="000000" w:themeColor="text1"/>
                <w:sz w:val="18"/>
                <w:szCs w:val="18"/>
              </w:rPr>
              <w:t>1.176.913</w:t>
            </w:r>
          </w:p>
        </w:tc>
        <w:tc>
          <w:tcPr>
            <w:tcW w:w="929" w:type="pct"/>
            <w:tcBorders>
              <w:top w:val="single" w:sz="6" w:space="0" w:color="auto"/>
              <w:bottom w:val="single" w:sz="12" w:space="0" w:color="auto"/>
            </w:tcBorders>
            <w:vAlign w:val="bottom"/>
          </w:tcPr>
          <w:p w14:paraId="29ED1801" w14:textId="1E6B2D46" w:rsidR="00D53480" w:rsidRPr="00DC547E" w:rsidRDefault="00D53480" w:rsidP="00D53480">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803164">
              <w:rPr>
                <w:rFonts w:ascii="Arial" w:hAnsi="Arial" w:cs="Arial"/>
                <w:b/>
                <w:bCs/>
                <w:color w:val="000000" w:themeColor="text1"/>
                <w:sz w:val="18"/>
                <w:szCs w:val="18"/>
              </w:rPr>
              <w:t>1.238.758</w:t>
            </w:r>
          </w:p>
        </w:tc>
        <w:tc>
          <w:tcPr>
            <w:tcW w:w="927" w:type="pct"/>
            <w:tcBorders>
              <w:top w:val="single" w:sz="8" w:space="0" w:color="auto"/>
              <w:bottom w:val="single" w:sz="12" w:space="0" w:color="auto"/>
            </w:tcBorders>
            <w:vAlign w:val="bottom"/>
          </w:tcPr>
          <w:p w14:paraId="07BEB476" w14:textId="0BA2CCC7" w:rsidR="00D53480" w:rsidRPr="00A778F6" w:rsidRDefault="00D53480" w:rsidP="00D53480">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3A514D">
              <w:rPr>
                <w:rFonts w:ascii="Arial" w:eastAsia="Times New Roman" w:hAnsi="Arial" w:cs="Arial"/>
                <w:b/>
                <w:bCs/>
                <w:color w:val="000000" w:themeColor="text1"/>
                <w:sz w:val="18"/>
                <w:szCs w:val="18"/>
              </w:rPr>
              <w:t>1.174.294</w:t>
            </w:r>
          </w:p>
        </w:tc>
        <w:tc>
          <w:tcPr>
            <w:tcW w:w="928" w:type="pct"/>
            <w:tcBorders>
              <w:top w:val="single" w:sz="6" w:space="0" w:color="auto"/>
              <w:bottom w:val="single" w:sz="12" w:space="0" w:color="auto"/>
            </w:tcBorders>
            <w:vAlign w:val="bottom"/>
          </w:tcPr>
          <w:p w14:paraId="3A1DBB08" w14:textId="74902A85" w:rsidR="00D53480" w:rsidRPr="00DC547E" w:rsidRDefault="00D53480" w:rsidP="00D53480">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803164">
              <w:rPr>
                <w:rFonts w:ascii="Arial" w:hAnsi="Arial" w:cs="Arial"/>
                <w:b/>
                <w:bCs/>
                <w:sz w:val="18"/>
                <w:szCs w:val="18"/>
              </w:rPr>
              <w:t>1.236.413</w:t>
            </w:r>
          </w:p>
        </w:tc>
      </w:tr>
    </w:tbl>
    <w:p w14:paraId="1AC3CA7B" w14:textId="77777777" w:rsidR="003A487C" w:rsidRPr="003D1614" w:rsidRDefault="003A487C" w:rsidP="003A487C">
      <w:pPr>
        <w:suppressAutoHyphens/>
        <w:autoSpaceDN w:val="0"/>
        <w:jc w:val="both"/>
        <w:outlineLvl w:val="0"/>
        <w:rPr>
          <w:rFonts w:ascii="Arial" w:eastAsia="Times New Roman" w:hAnsi="Arial" w:cs="Arial"/>
          <w:b/>
          <w:color w:val="000000" w:themeColor="text1"/>
          <w:sz w:val="20"/>
          <w:szCs w:val="20"/>
        </w:rPr>
      </w:pPr>
    </w:p>
    <w:p w14:paraId="643B8CB3" w14:textId="77777777" w:rsidR="003A487C" w:rsidRPr="003D1614" w:rsidRDefault="003A487C" w:rsidP="003A487C">
      <w:pPr>
        <w:keepNext/>
        <w:suppressAutoHyphens/>
        <w:autoSpaceDN w:val="0"/>
        <w:jc w:val="both"/>
        <w:outlineLvl w:val="0"/>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 xml:space="preserve">Primljeni instrumenti osiguranja odnose se na prvorazredne instrumente osiguranja zaprimljene u svrhu osiguranja plasmana Banke, a čine ih: jamstvo Republike Hrvatske, jamstvo HAMAG-BICRO-a, polica osiguranja od političkih i/ili komercijalnih rizika te zakonska jamstva u slučaju kada za obveze klijenta zakonskim aktima jamči Republika Hrvatska ili druga državna tijela. </w:t>
      </w:r>
    </w:p>
    <w:p w14:paraId="5B919BD2" w14:textId="77777777" w:rsidR="003A487C" w:rsidRPr="003D1614" w:rsidRDefault="003A487C" w:rsidP="003A487C">
      <w:pPr>
        <w:keepNext/>
        <w:suppressAutoHyphens/>
        <w:autoSpaceDN w:val="0"/>
        <w:jc w:val="both"/>
        <w:outlineLvl w:val="0"/>
        <w:rPr>
          <w:rFonts w:ascii="Arial" w:eastAsia="Times New Roman" w:hAnsi="Arial" w:cs="Arial"/>
          <w:bCs/>
          <w:color w:val="000000" w:themeColor="text1"/>
          <w:sz w:val="20"/>
          <w:szCs w:val="20"/>
        </w:rPr>
      </w:pPr>
    </w:p>
    <w:p w14:paraId="7C13BD99" w14:textId="77777777" w:rsidR="003A487C" w:rsidRPr="003D1614" w:rsidRDefault="003A487C" w:rsidP="003A487C">
      <w:pPr>
        <w:keepNext/>
        <w:suppressAutoHyphens/>
        <w:autoSpaceDN w:val="0"/>
        <w:jc w:val="both"/>
        <w:outlineLvl w:val="0"/>
        <w:rPr>
          <w:rFonts w:ascii="Arial" w:eastAsia="Times New Roman" w:hAnsi="Arial" w:cs="Arial"/>
          <w:color w:val="000000" w:themeColor="text1"/>
          <w:sz w:val="20"/>
          <w:szCs w:val="16"/>
        </w:rPr>
      </w:pPr>
      <w:r w:rsidRPr="003D1614">
        <w:rPr>
          <w:rFonts w:ascii="Arial" w:eastAsia="Times New Roman" w:hAnsi="Arial" w:cs="Arial"/>
          <w:bCs/>
          <w:color w:val="000000" w:themeColor="text1"/>
          <w:sz w:val="20"/>
          <w:szCs w:val="20"/>
        </w:rPr>
        <w:t xml:space="preserve">Temeljem Ugovora o kvotnom reosiguranju između HBOR-a, u ime i za račun Republike Hrvatske, i HKO d.d. provodi se reosiguranje, odnosno, pokriva razmjerni dio (kvotno reosiguranje) političkih i komercijalnih rizika kod izvoznih kredita i potraživanja nastalih prilikom izvoza roba i usluga. Reosiguratelj pokriva sve neutržive (netržišne) rizike koje je preuzeo Osiguratelj odnosno Hrvatsko kreditno osiguranje, dioničko društvo za osiguranje u rasponu </w:t>
      </w:r>
      <w:r w:rsidRPr="009E280E">
        <w:rPr>
          <w:rFonts w:ascii="Arial" w:eastAsia="Times New Roman" w:hAnsi="Arial" w:cs="Arial"/>
          <w:bCs/>
          <w:color w:val="000000" w:themeColor="text1"/>
          <w:sz w:val="20"/>
          <w:szCs w:val="20"/>
        </w:rPr>
        <w:t>od 15% do 90</w:t>
      </w:r>
      <w:r w:rsidRPr="003D1614">
        <w:rPr>
          <w:rFonts w:ascii="Arial" w:eastAsia="Times New Roman" w:hAnsi="Arial" w:cs="Arial"/>
          <w:bCs/>
          <w:color w:val="000000" w:themeColor="text1"/>
          <w:sz w:val="20"/>
          <w:szCs w:val="20"/>
        </w:rPr>
        <w:t>% osigurane svote.</w:t>
      </w:r>
      <w:r w:rsidRPr="003D1614" w:rsidDel="00F947BE">
        <w:rPr>
          <w:rFonts w:ascii="Arial" w:eastAsia="Times New Roman" w:hAnsi="Arial" w:cs="Arial"/>
          <w:color w:val="000000" w:themeColor="text1"/>
          <w:sz w:val="20"/>
          <w:szCs w:val="16"/>
        </w:rPr>
        <w:t xml:space="preserve"> </w:t>
      </w:r>
    </w:p>
    <w:p w14:paraId="1C5D8F85" w14:textId="77777777" w:rsidR="003A487C" w:rsidRPr="003D1614" w:rsidRDefault="003A487C" w:rsidP="003A487C">
      <w:pPr>
        <w:keepNext/>
        <w:suppressAutoHyphens/>
        <w:autoSpaceDN w:val="0"/>
        <w:jc w:val="both"/>
        <w:outlineLvl w:val="0"/>
        <w:rPr>
          <w:rFonts w:ascii="Arial" w:eastAsia="Times New Roman" w:hAnsi="Arial" w:cs="Arial"/>
          <w:color w:val="000000" w:themeColor="text1"/>
          <w:sz w:val="20"/>
          <w:szCs w:val="16"/>
        </w:rPr>
      </w:pPr>
    </w:p>
    <w:p w14:paraId="4C579B63" w14:textId="77777777" w:rsidR="003A487C" w:rsidRPr="003D1614" w:rsidRDefault="003A487C" w:rsidP="003A487C">
      <w:pPr>
        <w:tabs>
          <w:tab w:val="left" w:pos="426"/>
        </w:tabs>
        <w:suppressAutoHyphens/>
        <w:autoSpaceDN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c)</w:t>
      </w:r>
      <w:r w:rsidRPr="003D1614">
        <w:rPr>
          <w:rFonts w:ascii="Arial" w:eastAsia="Times New Roman" w:hAnsi="Arial" w:cs="Arial"/>
          <w:color w:val="000000" w:themeColor="text1"/>
          <w:sz w:val="20"/>
          <w:szCs w:val="20"/>
        </w:rPr>
        <w:tab/>
        <w:t xml:space="preserve">Plaće ključnih članova rukovodstva </w:t>
      </w:r>
    </w:p>
    <w:p w14:paraId="57F0F609" w14:textId="77777777" w:rsidR="003A487C" w:rsidRPr="003D1614" w:rsidRDefault="003A487C" w:rsidP="003A487C">
      <w:pPr>
        <w:tabs>
          <w:tab w:val="left" w:pos="426"/>
        </w:tabs>
        <w:suppressAutoHyphens/>
        <w:autoSpaceDN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 </w:t>
      </w:r>
    </w:p>
    <w:p w14:paraId="521BA5A3" w14:textId="77777777" w:rsidR="003A487C" w:rsidRPr="003D1614" w:rsidRDefault="003A487C" w:rsidP="003A487C">
      <w:pPr>
        <w:suppressAutoHyphens/>
        <w:autoSpaceDN w:val="0"/>
        <w:jc w:val="both"/>
        <w:outlineLvl w:val="0"/>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 xml:space="preserve">Ključni članovi rukovodstva Grupe i Banke uključuju članove Uprave, izvršne direktore, predstojnika Ureda Uprave, direktore, pomoćnika direktora, savjetnike Uprave te prokurista. </w:t>
      </w:r>
    </w:p>
    <w:p w14:paraId="030D27AA" w14:textId="77777777" w:rsidR="004F5B61" w:rsidRPr="003D1614" w:rsidRDefault="004F5B61" w:rsidP="004F5B61">
      <w:pPr>
        <w:suppressAutoHyphens/>
        <w:autoSpaceDN w:val="0"/>
        <w:jc w:val="both"/>
        <w:outlineLvl w:val="0"/>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 xml:space="preserve">Plaće uključuju redovan rad, godišnji odmor, državni praznik, plaćeni dopust, naknadu plaće za vrijeme bolovanja, minuli rad te isplate prema ugovorima. Iznos plaće za Grupu u izvještajnom razdoblju iznosi </w:t>
      </w:r>
      <w:r>
        <w:rPr>
          <w:rFonts w:ascii="Arial" w:eastAsia="Times New Roman" w:hAnsi="Arial" w:cs="Arial"/>
          <w:bCs/>
          <w:color w:val="000000" w:themeColor="text1"/>
          <w:sz w:val="20"/>
          <w:szCs w:val="20"/>
        </w:rPr>
        <w:t xml:space="preserve">1.037 </w:t>
      </w:r>
      <w:r w:rsidRPr="003D1614">
        <w:rPr>
          <w:rFonts w:ascii="Arial" w:eastAsia="Times New Roman" w:hAnsi="Arial" w:cs="Arial"/>
          <w:bCs/>
          <w:color w:val="000000" w:themeColor="text1"/>
          <w:sz w:val="20"/>
          <w:szCs w:val="20"/>
        </w:rPr>
        <w:t>tisuća eura (</w:t>
      </w:r>
      <w:r w:rsidRPr="003A514D">
        <w:rPr>
          <w:rFonts w:ascii="Arial" w:eastAsia="Times New Roman" w:hAnsi="Arial" w:cs="Arial"/>
          <w:bCs/>
          <w:color w:val="000000" w:themeColor="text1"/>
          <w:sz w:val="20"/>
          <w:szCs w:val="20"/>
        </w:rPr>
        <w:t>1.1. do 30.9.2023.: 1.140 tisuća eura</w:t>
      </w:r>
      <w:r w:rsidRPr="003D1614">
        <w:rPr>
          <w:rFonts w:ascii="Arial" w:eastAsia="Times New Roman" w:hAnsi="Arial" w:cs="Arial"/>
          <w:bCs/>
          <w:color w:val="000000" w:themeColor="text1"/>
          <w:sz w:val="20"/>
          <w:szCs w:val="20"/>
        </w:rPr>
        <w:t xml:space="preserve">), a za Banku iznosi </w:t>
      </w:r>
      <w:r>
        <w:rPr>
          <w:rFonts w:ascii="Arial" w:eastAsia="Times New Roman" w:hAnsi="Arial" w:cs="Arial"/>
          <w:bCs/>
          <w:color w:val="000000" w:themeColor="text1"/>
          <w:sz w:val="20"/>
          <w:szCs w:val="20"/>
        </w:rPr>
        <w:t xml:space="preserve">887 </w:t>
      </w:r>
      <w:r w:rsidRPr="003D1614">
        <w:rPr>
          <w:rFonts w:ascii="Arial" w:eastAsia="Times New Roman" w:hAnsi="Arial" w:cs="Arial"/>
          <w:bCs/>
          <w:color w:val="000000" w:themeColor="text1"/>
          <w:sz w:val="20"/>
          <w:szCs w:val="20"/>
        </w:rPr>
        <w:t>tisuća eura (</w:t>
      </w:r>
      <w:r w:rsidRPr="003A514D">
        <w:rPr>
          <w:rFonts w:ascii="Arial" w:eastAsia="Times New Roman" w:hAnsi="Arial" w:cs="Arial"/>
          <w:bCs/>
          <w:color w:val="000000" w:themeColor="text1"/>
          <w:sz w:val="20"/>
          <w:szCs w:val="20"/>
        </w:rPr>
        <w:t>1.1. do 30.9.2023.: 961 tisuća eura</w:t>
      </w:r>
      <w:r w:rsidRPr="003D1614">
        <w:rPr>
          <w:rFonts w:ascii="Arial" w:eastAsia="Times New Roman" w:hAnsi="Arial" w:cs="Arial"/>
          <w:bCs/>
          <w:color w:val="000000" w:themeColor="text1"/>
          <w:sz w:val="20"/>
          <w:szCs w:val="20"/>
        </w:rPr>
        <w:t>).</w:t>
      </w:r>
    </w:p>
    <w:p w14:paraId="7EDC7DE5" w14:textId="77777777" w:rsidR="003A487C" w:rsidRPr="003D1614" w:rsidRDefault="003A487C" w:rsidP="003A487C">
      <w:pPr>
        <w:suppressAutoHyphens/>
        <w:autoSpaceDN w:val="0"/>
        <w:jc w:val="both"/>
        <w:outlineLvl w:val="0"/>
        <w:rPr>
          <w:rFonts w:ascii="Arial" w:eastAsia="Times New Roman" w:hAnsi="Arial" w:cs="Arial"/>
          <w:bCs/>
          <w:color w:val="000000" w:themeColor="text1"/>
          <w:sz w:val="20"/>
          <w:szCs w:val="20"/>
        </w:rPr>
      </w:pPr>
    </w:p>
    <w:p w14:paraId="354ADD8A" w14:textId="77777777" w:rsidR="00C77706" w:rsidRPr="001E3356" w:rsidRDefault="00C77706" w:rsidP="00C77706">
      <w:pPr>
        <w:pStyle w:val="T1"/>
        <w:keepNext w:val="0"/>
        <w:spacing w:before="0" w:after="0" w:line="240" w:lineRule="auto"/>
        <w:rPr>
          <w:rFonts w:cs="Arial"/>
          <w:b w:val="0"/>
          <w:color w:val="000000" w:themeColor="text1"/>
          <w:sz w:val="20"/>
          <w:lang w:val="hr-HR"/>
        </w:rPr>
      </w:pPr>
      <w:r w:rsidRPr="00D2369E">
        <w:rPr>
          <w:rFonts w:cs="Arial"/>
          <w:b w:val="0"/>
          <w:color w:val="000000" w:themeColor="text1"/>
          <w:sz w:val="20"/>
          <w:lang w:val="hr-HR"/>
        </w:rPr>
        <w:t xml:space="preserve">Nagrade za rad članovima Nadzornog odbora iznosile su u izvještajnom razdoblju  za Grupu </w:t>
      </w:r>
      <w:r>
        <w:rPr>
          <w:rFonts w:cs="Arial"/>
          <w:b w:val="0"/>
          <w:color w:val="000000" w:themeColor="text1"/>
          <w:sz w:val="20"/>
          <w:lang w:val="hr-HR"/>
        </w:rPr>
        <w:t>12</w:t>
      </w:r>
      <w:r w:rsidRPr="00D2369E">
        <w:rPr>
          <w:rFonts w:cs="Arial"/>
          <w:b w:val="0"/>
          <w:color w:val="000000" w:themeColor="text1"/>
          <w:sz w:val="20"/>
          <w:lang w:val="hr-HR"/>
        </w:rPr>
        <w:t xml:space="preserve"> tisuća eura (</w:t>
      </w:r>
      <w:r w:rsidRPr="003A514D">
        <w:rPr>
          <w:rFonts w:cs="Arial"/>
          <w:b w:val="0"/>
          <w:color w:val="000000" w:themeColor="text1"/>
          <w:sz w:val="20"/>
          <w:lang w:val="hr-HR"/>
        </w:rPr>
        <w:t>1.1. do 30.9.2023.: 10 tisuća eura</w:t>
      </w:r>
      <w:r w:rsidRPr="00D2369E">
        <w:rPr>
          <w:rFonts w:cs="Arial"/>
          <w:b w:val="0"/>
          <w:color w:val="000000" w:themeColor="text1"/>
          <w:sz w:val="20"/>
          <w:lang w:val="hr-HR"/>
        </w:rPr>
        <w:t>), a za Banku 0 tisuća eura (</w:t>
      </w:r>
      <w:r w:rsidRPr="003A514D">
        <w:rPr>
          <w:rFonts w:cs="Arial"/>
          <w:b w:val="0"/>
          <w:color w:val="000000" w:themeColor="text1"/>
          <w:sz w:val="20"/>
          <w:lang w:val="hr-HR"/>
        </w:rPr>
        <w:t>1.1. do 30.9.2023.: 0 tisuća eura</w:t>
      </w:r>
      <w:r w:rsidRPr="00D2369E">
        <w:rPr>
          <w:rFonts w:cs="Arial"/>
          <w:b w:val="0"/>
          <w:color w:val="000000" w:themeColor="text1"/>
          <w:sz w:val="20"/>
          <w:lang w:val="hr-HR"/>
        </w:rPr>
        <w:t xml:space="preserve">) i odnose se na članove nadzornih odbora u pridruženim društvima i ovisnom društvu koje imenuje </w:t>
      </w:r>
      <w:r w:rsidRPr="001E3356">
        <w:rPr>
          <w:rFonts w:cs="Arial"/>
          <w:b w:val="0"/>
          <w:color w:val="000000" w:themeColor="text1"/>
          <w:sz w:val="20"/>
          <w:lang w:val="hr-HR"/>
        </w:rPr>
        <w:t>HBOR.</w:t>
      </w:r>
      <w:r w:rsidRPr="001E3356">
        <w:rPr>
          <w:rFonts w:cs="Arial"/>
          <w:color w:val="000000" w:themeColor="text1"/>
          <w:sz w:val="20"/>
          <w:lang w:val="hr-HR"/>
        </w:rPr>
        <w:t xml:space="preserve"> </w:t>
      </w:r>
    </w:p>
    <w:p w14:paraId="3C4485C8" w14:textId="77777777" w:rsidR="00C77706" w:rsidRDefault="00C77706" w:rsidP="00CD630B">
      <w:pPr>
        <w:keepNext/>
        <w:suppressAutoHyphens/>
        <w:autoSpaceDN w:val="0"/>
        <w:jc w:val="both"/>
        <w:outlineLvl w:val="0"/>
        <w:rPr>
          <w:rFonts w:ascii="Arial" w:eastAsia="Times New Roman" w:hAnsi="Arial" w:cs="Arial"/>
          <w:b/>
          <w:bCs/>
          <w:color w:val="000000" w:themeColor="text1"/>
          <w:sz w:val="20"/>
          <w:szCs w:val="20"/>
        </w:rPr>
        <w:sectPr w:rsidR="00C77706">
          <w:pgSz w:w="11906" w:h="16838"/>
          <w:pgMar w:top="1417" w:right="1417" w:bottom="1417" w:left="1417" w:header="708" w:footer="708" w:gutter="0"/>
          <w:cols w:space="708"/>
          <w:docGrid w:linePitch="360"/>
        </w:sectPr>
      </w:pPr>
    </w:p>
    <w:p w14:paraId="1A914363" w14:textId="77777777" w:rsidR="00CD630B" w:rsidRPr="003D1614" w:rsidRDefault="00CD630B" w:rsidP="00CD630B">
      <w:pPr>
        <w:keepNext/>
        <w:suppressAutoHyphens/>
        <w:autoSpaceDN w:val="0"/>
        <w:jc w:val="both"/>
        <w:outlineLvl w:val="0"/>
        <w:rPr>
          <w:rFonts w:ascii="Arial" w:eastAsia="Times New Roman" w:hAnsi="Arial" w:cs="Arial"/>
          <w:b/>
          <w:bCs/>
          <w:color w:val="000000" w:themeColor="text1"/>
          <w:sz w:val="20"/>
          <w:szCs w:val="20"/>
        </w:rPr>
      </w:pPr>
    </w:p>
    <w:p w14:paraId="3EED494C" w14:textId="77777777" w:rsidR="00C832AA" w:rsidRPr="003D1614" w:rsidRDefault="00C832AA" w:rsidP="00C832AA">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w:t>
      </w:r>
    </w:p>
    <w:p w14:paraId="3021C992" w14:textId="77777777" w:rsidR="00C832AA" w:rsidRPr="003D1614" w:rsidRDefault="00C832AA" w:rsidP="00C832AA">
      <w:pPr>
        <w:keepNext/>
        <w:suppressAutoHyphens/>
        <w:autoSpaceDN w:val="0"/>
        <w:jc w:val="both"/>
        <w:outlineLvl w:val="0"/>
        <w:rPr>
          <w:rFonts w:ascii="Arial" w:eastAsia="Times New Roman" w:hAnsi="Arial" w:cs="Arial"/>
          <w:b/>
          <w:bCs/>
          <w:color w:val="000000" w:themeColor="text1"/>
          <w:sz w:val="20"/>
          <w:szCs w:val="20"/>
        </w:rPr>
      </w:pPr>
    </w:p>
    <w:p w14:paraId="1B3EA98D" w14:textId="77777777" w:rsidR="00C832AA" w:rsidRPr="003D1614" w:rsidRDefault="00C832AA" w:rsidP="00C832AA">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Temeljem Zakona o Hrvatskoj banci za obnovu i razvitak, Banka je dužna rizike u poslovanju svoditi na najmanju mjeru rukovodeći se načelima bankarskog poslovanja. </w:t>
      </w:r>
    </w:p>
    <w:p w14:paraId="4DFB52F3" w14:textId="77777777" w:rsidR="00C832AA" w:rsidRPr="003D1614" w:rsidRDefault="00C832AA" w:rsidP="00C832AA">
      <w:pPr>
        <w:suppressAutoHyphens/>
        <w:autoSpaceDN w:val="0"/>
        <w:jc w:val="both"/>
        <w:rPr>
          <w:rFonts w:ascii="Arial" w:eastAsia="Times New Roman" w:hAnsi="Arial" w:cs="Arial"/>
          <w:color w:val="000000" w:themeColor="text1"/>
          <w:sz w:val="20"/>
          <w:szCs w:val="20"/>
        </w:rPr>
      </w:pPr>
    </w:p>
    <w:p w14:paraId="3DAA0E1E" w14:textId="77777777" w:rsidR="00C832AA" w:rsidRPr="003D1614" w:rsidRDefault="00C832AA" w:rsidP="00C832AA">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Banka u procesu upravljanja rizicima kontinuirano utvrđuje, procjenjuje, odnosno mjeri, prati, ovladava i kontrolira rizike kojima je u poslovanju izložena ili bi mogla biti izložena te o njima izvještava nadležna tijela.  Navedenim postupcima i pripadajućim internim aktima osiguran je sveobuhvatan i cjelovit sustav upravljanja rizicima.  </w:t>
      </w:r>
    </w:p>
    <w:p w14:paraId="3FEC6692" w14:textId="77777777" w:rsidR="00C832AA" w:rsidRPr="003D1614" w:rsidRDefault="00C832AA" w:rsidP="00C832AA">
      <w:pPr>
        <w:widowControl w:val="0"/>
        <w:suppressAutoHyphens/>
        <w:autoSpaceDN w:val="0"/>
        <w:jc w:val="both"/>
        <w:rPr>
          <w:rFonts w:ascii="Arial" w:eastAsia="Times New Roman" w:hAnsi="Arial" w:cs="Arial"/>
          <w:color w:val="000000" w:themeColor="text1"/>
          <w:sz w:val="20"/>
          <w:szCs w:val="20"/>
        </w:rPr>
      </w:pPr>
    </w:p>
    <w:p w14:paraId="6B27C86D" w14:textId="77777777" w:rsidR="00C832AA" w:rsidRPr="003D1614" w:rsidRDefault="00C832AA" w:rsidP="00C832AA">
      <w:pPr>
        <w:widowControl w:val="0"/>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color w:val="000000" w:themeColor="text1"/>
          <w:sz w:val="20"/>
          <w:szCs w:val="20"/>
        </w:rPr>
        <w:t xml:space="preserve">Najznačajniji rizici kojima je banka u svakodnevnom poslovanju izložena su kreditni rizik, rizik likvidnosti, kamatni rizik, valutni rizik, operativni rizik i rizik eksternalizacije. Navedenim rizicima svakodnevno se upravlja temeljem politika, pravilnika, metodologija, uputa i sustava limita, kontrola te odluka/zaključaka Nadzornog odbora, Uprave i odbora za upravljanje rizicima. </w:t>
      </w:r>
    </w:p>
    <w:p w14:paraId="7040F22F" w14:textId="77777777" w:rsidR="00C832AA" w:rsidRPr="003D1614" w:rsidRDefault="00C832AA" w:rsidP="00C832AA">
      <w:pPr>
        <w:suppressAutoHyphens/>
        <w:autoSpaceDN w:val="0"/>
        <w:jc w:val="both"/>
        <w:rPr>
          <w:rFonts w:ascii="Arial" w:eastAsia="Times New Roman" w:hAnsi="Arial" w:cs="Arial"/>
          <w:color w:val="000000" w:themeColor="text1"/>
          <w:sz w:val="20"/>
          <w:szCs w:val="20"/>
        </w:rPr>
      </w:pPr>
    </w:p>
    <w:p w14:paraId="0697E732" w14:textId="77777777" w:rsidR="00C832AA" w:rsidRPr="003D1614" w:rsidRDefault="00C832AA" w:rsidP="00C832AA">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Banka provodi analize osjetljivosti i analize scenarija pod pretpostavkom promjene jednoga, odnosno više faktora rizika u redovnim i stresnim okolnostima te se o rezultatima izvještavaju nadležna tijela HBOR-a. Kontinuirano se razvijaju sustavi proaktivnog upravljanja rizicima radi smanjenja potencijalnih budućih rizika.</w:t>
      </w:r>
    </w:p>
    <w:p w14:paraId="76E3614E" w14:textId="77777777" w:rsidR="00CD630B" w:rsidRPr="003D1614" w:rsidRDefault="00CD630B" w:rsidP="00CD630B">
      <w:pPr>
        <w:suppressAutoHyphens/>
        <w:autoSpaceDN w:val="0"/>
        <w:jc w:val="both"/>
        <w:rPr>
          <w:rFonts w:ascii="Arial" w:eastAsia="Times New Roman" w:hAnsi="Arial" w:cs="Arial"/>
          <w:b/>
          <w:color w:val="000000" w:themeColor="text1"/>
          <w:sz w:val="20"/>
          <w:szCs w:val="20"/>
        </w:rPr>
      </w:pPr>
    </w:p>
    <w:p w14:paraId="57F37633" w14:textId="77777777" w:rsidR="00C44B4C" w:rsidRPr="003D1614" w:rsidRDefault="00C44B4C" w:rsidP="00C44B4C">
      <w:pPr>
        <w:tabs>
          <w:tab w:val="left" w:pos="567"/>
          <w:tab w:val="left" w:pos="709"/>
        </w:tabs>
        <w:suppressAutoHyphens/>
        <w:autoSpaceDN w:val="0"/>
        <w:spacing w:line="300" w:lineRule="exact"/>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2</w:t>
      </w:r>
      <w:r>
        <w:rPr>
          <w:rFonts w:ascii="Arial" w:eastAsia="Times New Roman" w:hAnsi="Arial" w:cs="Arial"/>
          <w:b/>
          <w:color w:val="000000" w:themeColor="text1"/>
          <w:sz w:val="20"/>
          <w:szCs w:val="20"/>
        </w:rPr>
        <w:t>3</w:t>
      </w:r>
      <w:r w:rsidRPr="003D1614">
        <w:rPr>
          <w:rFonts w:ascii="Arial" w:eastAsia="Times New Roman" w:hAnsi="Arial" w:cs="Arial"/>
          <w:b/>
          <w:color w:val="000000" w:themeColor="text1"/>
          <w:sz w:val="20"/>
          <w:szCs w:val="20"/>
        </w:rPr>
        <w:t>.1.</w:t>
      </w:r>
      <w:r w:rsidRPr="003D1614">
        <w:rPr>
          <w:rFonts w:ascii="Arial" w:eastAsia="Times New Roman" w:hAnsi="Arial" w:cs="Arial"/>
          <w:b/>
          <w:color w:val="000000" w:themeColor="text1"/>
          <w:sz w:val="20"/>
          <w:szCs w:val="20"/>
        </w:rPr>
        <w:tab/>
        <w:t>Pregled najvažnijih rizika</w:t>
      </w:r>
    </w:p>
    <w:p w14:paraId="320A54BA" w14:textId="77777777" w:rsidR="00C44B4C" w:rsidRPr="003D1614" w:rsidRDefault="00C44B4C" w:rsidP="00C44B4C">
      <w:pPr>
        <w:suppressAutoHyphens/>
        <w:autoSpaceDN w:val="0"/>
        <w:jc w:val="both"/>
        <w:rPr>
          <w:rFonts w:ascii="Arial" w:eastAsia="Times New Roman" w:hAnsi="Arial" w:cs="Arial"/>
          <w:color w:val="000000" w:themeColor="text1"/>
          <w:sz w:val="20"/>
          <w:szCs w:val="20"/>
        </w:rPr>
      </w:pPr>
    </w:p>
    <w:p w14:paraId="51612103" w14:textId="77777777" w:rsidR="00C44B4C" w:rsidRPr="003D1614" w:rsidRDefault="00C44B4C" w:rsidP="00C44B4C">
      <w:pPr>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 xml:space="preserve">Kreditni rizik </w:t>
      </w:r>
    </w:p>
    <w:p w14:paraId="163C47D5" w14:textId="77777777" w:rsidR="00C44B4C" w:rsidRPr="003D1614" w:rsidRDefault="00C44B4C" w:rsidP="00C44B4C">
      <w:pPr>
        <w:suppressAutoHyphens/>
        <w:autoSpaceDN w:val="0"/>
        <w:jc w:val="both"/>
        <w:rPr>
          <w:rFonts w:ascii="Arial" w:eastAsia="Times New Roman" w:hAnsi="Arial" w:cs="Arial"/>
          <w:color w:val="000000" w:themeColor="text1"/>
          <w:sz w:val="20"/>
          <w:szCs w:val="20"/>
        </w:rPr>
      </w:pPr>
    </w:p>
    <w:p w14:paraId="219C84C2" w14:textId="77777777" w:rsidR="00C44B4C" w:rsidRPr="003D1614" w:rsidRDefault="00C44B4C" w:rsidP="00C44B4C">
      <w:pPr>
        <w:suppressAutoHyphens/>
        <w:autoSpaceDN w:val="0"/>
        <w:jc w:val="both"/>
        <w:rPr>
          <w:rFonts w:ascii="Arial" w:eastAsia="Times New Roman" w:hAnsi="Arial" w:cs="Arial"/>
          <w:color w:val="000000" w:themeColor="text1"/>
          <w:sz w:val="20"/>
          <w:szCs w:val="20"/>
        </w:rPr>
      </w:pPr>
      <w:bookmarkStart w:id="573" w:name="_Hlk517963905"/>
      <w:r w:rsidRPr="003D1614">
        <w:rPr>
          <w:rFonts w:ascii="Arial" w:eastAsia="Times New Roman" w:hAnsi="Arial" w:cs="Arial"/>
          <w:color w:val="000000" w:themeColor="text1"/>
          <w:sz w:val="20"/>
          <w:szCs w:val="20"/>
        </w:rPr>
        <w:t>Banka kontrolira kreditni rizik putem kreditn</w:t>
      </w:r>
      <w:r>
        <w:rPr>
          <w:rFonts w:ascii="Arial" w:eastAsia="Times New Roman" w:hAnsi="Arial" w:cs="Arial"/>
          <w:color w:val="000000" w:themeColor="text1"/>
          <w:sz w:val="20"/>
          <w:szCs w:val="20"/>
        </w:rPr>
        <w:t>e</w:t>
      </w:r>
      <w:r w:rsidRPr="003D1614">
        <w:rPr>
          <w:rFonts w:ascii="Arial" w:eastAsia="Times New Roman" w:hAnsi="Arial" w:cs="Arial"/>
          <w:color w:val="000000" w:themeColor="text1"/>
          <w:sz w:val="20"/>
          <w:szCs w:val="20"/>
        </w:rPr>
        <w:t xml:space="preserve"> politik</w:t>
      </w:r>
      <w:r>
        <w:rPr>
          <w:rFonts w:ascii="Arial" w:eastAsia="Times New Roman" w:hAnsi="Arial" w:cs="Arial"/>
          <w:color w:val="000000" w:themeColor="text1"/>
          <w:sz w:val="20"/>
          <w:szCs w:val="20"/>
        </w:rPr>
        <w:t>e</w:t>
      </w:r>
      <w:r w:rsidRPr="003D1614">
        <w:rPr>
          <w:rFonts w:ascii="Arial" w:eastAsia="Times New Roman" w:hAnsi="Arial" w:cs="Arial"/>
          <w:color w:val="000000" w:themeColor="text1"/>
          <w:sz w:val="20"/>
          <w:szCs w:val="20"/>
        </w:rPr>
        <w:t xml:space="preserve"> i pravilnika o upravljanju ovim rizikom u kojima su propisani sustavi unutarnjih kontrola s ciljem preventivnog djelovanja na rizik.</w:t>
      </w:r>
    </w:p>
    <w:bookmarkEnd w:id="573"/>
    <w:p w14:paraId="0C9DB9CE" w14:textId="77777777" w:rsidR="00C44B4C" w:rsidRPr="003D1614" w:rsidRDefault="00C44B4C" w:rsidP="00C44B4C">
      <w:pPr>
        <w:suppressAutoHyphens/>
        <w:autoSpaceDN w:val="0"/>
        <w:jc w:val="both"/>
        <w:rPr>
          <w:rFonts w:ascii="Arial" w:eastAsia="Times New Roman" w:hAnsi="Arial" w:cs="Arial"/>
          <w:color w:val="000000" w:themeColor="text1"/>
          <w:sz w:val="20"/>
          <w:szCs w:val="20"/>
        </w:rPr>
      </w:pPr>
    </w:p>
    <w:p w14:paraId="19EDD793" w14:textId="77777777" w:rsidR="00C44B4C" w:rsidRPr="003D1614" w:rsidRDefault="00C44B4C" w:rsidP="00C44B4C">
      <w:pPr>
        <w:suppressAutoHyphens/>
        <w:autoSpaceDN w:val="0"/>
        <w:jc w:val="both"/>
        <w:rPr>
          <w:rFonts w:ascii="Arial" w:eastAsia="Times New Roman" w:hAnsi="Arial" w:cs="Arial"/>
          <w:color w:val="000000" w:themeColor="text1"/>
          <w:sz w:val="20"/>
          <w:szCs w:val="20"/>
        </w:rPr>
      </w:pPr>
      <w:bookmarkStart w:id="574" w:name="_Hlk517961382"/>
      <w:r w:rsidRPr="003D1614">
        <w:rPr>
          <w:rFonts w:ascii="Arial" w:eastAsia="Times New Roman" w:hAnsi="Arial" w:cs="Arial"/>
          <w:color w:val="000000" w:themeColor="text1"/>
          <w:sz w:val="20"/>
          <w:szCs w:val="20"/>
        </w:rPr>
        <w:t>Sustav upravljanja kreditnim rizikom čini najvažniji dio poslovne politike Banke i bitan je čimbenik njezine strategije poslovanja.</w:t>
      </w:r>
    </w:p>
    <w:bookmarkEnd w:id="574"/>
    <w:p w14:paraId="5473DDAB" w14:textId="77777777" w:rsidR="00C44B4C" w:rsidRPr="003D1614" w:rsidRDefault="00C44B4C" w:rsidP="00C44B4C">
      <w:pPr>
        <w:suppressAutoHyphens/>
        <w:autoSpaceDN w:val="0"/>
        <w:jc w:val="both"/>
        <w:rPr>
          <w:rFonts w:ascii="Arial" w:eastAsia="Times New Roman" w:hAnsi="Arial" w:cs="Arial"/>
          <w:color w:val="000000" w:themeColor="text1"/>
          <w:sz w:val="20"/>
          <w:szCs w:val="20"/>
        </w:rPr>
      </w:pPr>
    </w:p>
    <w:p w14:paraId="7C0BDCF5" w14:textId="77777777" w:rsidR="00C44B4C" w:rsidRPr="003D1614" w:rsidRDefault="00C44B4C" w:rsidP="00C44B4C">
      <w:pPr>
        <w:suppressAutoHyphens/>
        <w:autoSpaceDN w:val="0"/>
        <w:jc w:val="both"/>
        <w:rPr>
          <w:rFonts w:ascii="Arial" w:eastAsia="Times New Roman" w:hAnsi="Arial" w:cs="Arial"/>
          <w:b/>
          <w:color w:val="000000" w:themeColor="text1"/>
          <w:sz w:val="20"/>
          <w:szCs w:val="20"/>
        </w:rPr>
      </w:pPr>
      <w:bookmarkStart w:id="575" w:name="_Hlk517961445"/>
      <w:r w:rsidRPr="003D1614">
        <w:rPr>
          <w:rFonts w:ascii="Arial" w:eastAsia="Times New Roman" w:hAnsi="Arial" w:cs="Arial"/>
          <w:b/>
          <w:color w:val="000000" w:themeColor="text1"/>
          <w:sz w:val="20"/>
          <w:szCs w:val="20"/>
        </w:rPr>
        <w:t>Rizik likvidnosti, valutni rizik i kamatni rizik</w:t>
      </w:r>
    </w:p>
    <w:p w14:paraId="6E289C29" w14:textId="77777777" w:rsidR="00C44B4C" w:rsidRPr="003D1614" w:rsidRDefault="00C44B4C" w:rsidP="00C44B4C">
      <w:pPr>
        <w:suppressAutoHyphens/>
        <w:autoSpaceDN w:val="0"/>
        <w:jc w:val="both"/>
        <w:rPr>
          <w:rFonts w:ascii="Arial" w:eastAsia="Times New Roman" w:hAnsi="Arial" w:cs="Arial"/>
          <w:color w:val="000000" w:themeColor="text1"/>
          <w:sz w:val="20"/>
          <w:szCs w:val="20"/>
        </w:rPr>
      </w:pPr>
    </w:p>
    <w:p w14:paraId="26FBC629" w14:textId="77777777" w:rsidR="00C44B4C" w:rsidRPr="003D1614" w:rsidRDefault="00C44B4C" w:rsidP="00C44B4C">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Kroz djelovanje Odbora za upravljanje aktivom i pasivom, Banka osigurava adekvatno upravljanje rizikom likvidnosti te valutnim rizikom i kamatnim rizikom. Upravljanje ovim rizicima podrazumijeva svođenje kamatnog i valutnog rizika te rizika likvidnosti na najmanju mjeru. Izravnim i neizravnim uključivanjem većine organizacijskih jedinica Banke u rad Odbora za upravljanje aktivom i pasivom nastoji se osigurati kvalitetan, integriran i sveobuhvatan sustav upravljanja navedenim rizicima. </w:t>
      </w:r>
    </w:p>
    <w:bookmarkEnd w:id="575"/>
    <w:p w14:paraId="3F1BF91D"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7D08CFEE" w14:textId="77777777" w:rsidR="008449D1" w:rsidRPr="003D1614" w:rsidRDefault="008449D1" w:rsidP="008449D1">
      <w:pPr>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Rizik likvidnosti</w:t>
      </w:r>
    </w:p>
    <w:p w14:paraId="561DDA5E" w14:textId="77777777" w:rsidR="008449D1" w:rsidRPr="003D1614" w:rsidRDefault="008449D1" w:rsidP="008449D1">
      <w:pPr>
        <w:suppressAutoHyphens/>
        <w:autoSpaceDN w:val="0"/>
        <w:jc w:val="both"/>
        <w:rPr>
          <w:rFonts w:ascii="Arial" w:eastAsia="Times New Roman" w:hAnsi="Arial" w:cs="Arial"/>
          <w:color w:val="000000" w:themeColor="text1"/>
          <w:sz w:val="20"/>
          <w:szCs w:val="20"/>
        </w:rPr>
      </w:pPr>
    </w:p>
    <w:p w14:paraId="524F1A32" w14:textId="77777777" w:rsidR="008449D1" w:rsidRPr="003D1614" w:rsidRDefault="008449D1" w:rsidP="008449D1">
      <w:pPr>
        <w:suppressAutoHyphens/>
        <w:autoSpaceDN w:val="0"/>
        <w:jc w:val="both"/>
        <w:rPr>
          <w:rFonts w:ascii="Arial" w:eastAsia="Times New Roman" w:hAnsi="Arial" w:cs="Arial"/>
          <w:color w:val="000000" w:themeColor="text1"/>
          <w:sz w:val="20"/>
          <w:szCs w:val="20"/>
        </w:rPr>
      </w:pPr>
      <w:bookmarkStart w:id="576" w:name="_Hlk517961744"/>
      <w:r w:rsidRPr="003D1614">
        <w:rPr>
          <w:rFonts w:ascii="Arial" w:eastAsia="Times New Roman" w:hAnsi="Arial" w:cs="Arial"/>
          <w:color w:val="000000" w:themeColor="text1"/>
          <w:sz w:val="20"/>
          <w:szCs w:val="20"/>
        </w:rPr>
        <w:t xml:space="preserve">Temeljna načela i principi upravljanja rizikom likvidnosti HBOR-a utvrđeni su internim aktima te odlukama i zaključcima Nadzornog odbora, Uprave i Odbora za upravljanje aktivom i pasivom. </w:t>
      </w:r>
    </w:p>
    <w:p w14:paraId="3FACC608" w14:textId="77777777" w:rsidR="008449D1" w:rsidRPr="003D1614" w:rsidRDefault="008449D1" w:rsidP="008449D1">
      <w:pPr>
        <w:suppressAutoHyphens/>
        <w:autoSpaceDN w:val="0"/>
        <w:jc w:val="both"/>
        <w:rPr>
          <w:rFonts w:ascii="Arial" w:eastAsia="Times New Roman" w:hAnsi="Arial" w:cs="Arial"/>
          <w:color w:val="000000" w:themeColor="text1"/>
          <w:sz w:val="20"/>
          <w:szCs w:val="20"/>
        </w:rPr>
      </w:pPr>
    </w:p>
    <w:p w14:paraId="623600E3" w14:textId="77777777" w:rsidR="008449D1" w:rsidRPr="003D1614" w:rsidRDefault="008449D1" w:rsidP="008449D1">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U svrhu upravljanja rizikom likvidnosti, Banka je uspostavila sustav limita i signala ranog upozorenja te prati i kontrolira njihovo poštivanje, održava potrebnu razinu rezerve likvidnosti, kontinuirano prati tekuću i planiranu likvidnost, osigurava dostatna </w:t>
      </w:r>
      <w:r>
        <w:rPr>
          <w:rFonts w:ascii="Arial" w:eastAsia="Times New Roman" w:hAnsi="Arial" w:cs="Arial"/>
          <w:color w:val="000000" w:themeColor="text1"/>
          <w:sz w:val="20"/>
          <w:szCs w:val="20"/>
        </w:rPr>
        <w:t>eurska</w:t>
      </w:r>
      <w:r w:rsidRPr="003D1614">
        <w:rPr>
          <w:rFonts w:ascii="Arial" w:eastAsia="Times New Roman" w:hAnsi="Arial" w:cs="Arial"/>
          <w:color w:val="000000" w:themeColor="text1"/>
          <w:sz w:val="20"/>
          <w:szCs w:val="20"/>
        </w:rPr>
        <w:t xml:space="preserve"> i devizna sredstva potrebna za pravovremeno podmirenje obveza te za isplate po odobrenim kreditima i planiranim odobrenjima kredita. Pri upravljanju rizikom likvidnosti nastoji se postići ročna usklađenost postojećih i planiranih plasmana i njihovih izvora. Banka nema depozite građana te nije izložena značajnijim dnevnim oscilacijama likvidnosti. </w:t>
      </w:r>
      <w:bookmarkEnd w:id="576"/>
    </w:p>
    <w:p w14:paraId="4CCCF874" w14:textId="77777777" w:rsidR="008449D1" w:rsidRPr="003D1614" w:rsidRDefault="008449D1" w:rsidP="008449D1">
      <w:pPr>
        <w:suppressAutoHyphens/>
        <w:autoSpaceDN w:val="0"/>
        <w:jc w:val="both"/>
        <w:rPr>
          <w:rFonts w:ascii="Arial" w:eastAsia="Times New Roman" w:hAnsi="Arial" w:cs="Arial"/>
          <w:color w:val="000000" w:themeColor="text1"/>
          <w:sz w:val="20"/>
          <w:szCs w:val="20"/>
        </w:rPr>
      </w:pPr>
    </w:p>
    <w:p w14:paraId="6E645ADF" w14:textId="77777777" w:rsidR="008449D1" w:rsidRPr="003D1614" w:rsidRDefault="008449D1" w:rsidP="008449D1">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Praćenje rizika likvidnosti Banka provodi i kroz analize scenarija ili analize osjetljivosti pod pretpostavkom redovnih i stresnih uvjeta poslovanja. Pravilnikom o upravljanju rizikom likvidnosti utvrđeni su i postupci u slučaju naznake</w:t>
      </w:r>
      <w:r>
        <w:rPr>
          <w:rFonts w:ascii="Arial" w:eastAsia="Times New Roman" w:hAnsi="Arial" w:cs="Arial"/>
          <w:color w:val="000000" w:themeColor="text1"/>
          <w:sz w:val="20"/>
          <w:szCs w:val="20"/>
        </w:rPr>
        <w:t>,</w:t>
      </w:r>
      <w:r w:rsidRPr="003D1614">
        <w:rPr>
          <w:rFonts w:ascii="Arial" w:eastAsia="Times New Roman" w:hAnsi="Arial" w:cs="Arial"/>
          <w:color w:val="000000" w:themeColor="text1"/>
          <w:sz w:val="20"/>
          <w:szCs w:val="20"/>
        </w:rPr>
        <w:t xml:space="preserve"> kao i nastupa krize likvidnosti. </w:t>
      </w:r>
    </w:p>
    <w:p w14:paraId="329B3283"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46FC8E16" w14:textId="61E3C4F9"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2DC8BEC6"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sectPr w:rsidR="00CD630B" w:rsidRPr="003D1614">
          <w:pgSz w:w="11906" w:h="16838"/>
          <w:pgMar w:top="1417" w:right="1417" w:bottom="1417" w:left="1417" w:header="708" w:footer="708" w:gutter="0"/>
          <w:cols w:space="708"/>
          <w:docGrid w:linePitch="360"/>
        </w:sectPr>
      </w:pPr>
    </w:p>
    <w:p w14:paraId="641220E8" w14:textId="77777777" w:rsidR="00CD630B" w:rsidRPr="003D1614" w:rsidRDefault="00CD630B" w:rsidP="00CD630B">
      <w:pPr>
        <w:suppressAutoHyphens/>
        <w:autoSpaceDN w:val="0"/>
        <w:rPr>
          <w:rFonts w:ascii="Arial" w:eastAsia="Times New Roman" w:hAnsi="Arial" w:cs="Arial"/>
          <w:color w:val="000000" w:themeColor="text1"/>
          <w:sz w:val="20"/>
          <w:szCs w:val="20"/>
        </w:rPr>
      </w:pPr>
    </w:p>
    <w:p w14:paraId="268558A6" w14:textId="4B9C09CC" w:rsidR="00CD630B" w:rsidRPr="003D1614" w:rsidRDefault="00CD630B" w:rsidP="00CD630B">
      <w:pPr>
        <w:tabs>
          <w:tab w:val="left" w:pos="567"/>
        </w:tabs>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lang w:eastAsia="hr-HR"/>
        </w:rPr>
        <w:t>2</w:t>
      </w:r>
      <w:r w:rsidR="000E693B">
        <w:rPr>
          <w:rFonts w:ascii="Arial" w:eastAsia="Times New Roman" w:hAnsi="Arial" w:cs="Arial"/>
          <w:b/>
          <w:color w:val="000000" w:themeColor="text1"/>
          <w:sz w:val="20"/>
          <w:szCs w:val="20"/>
          <w:lang w:eastAsia="hr-HR"/>
        </w:rPr>
        <w:t>3</w:t>
      </w:r>
      <w:r w:rsidRPr="003D1614">
        <w:rPr>
          <w:rFonts w:ascii="Arial" w:eastAsia="Times New Roman" w:hAnsi="Arial" w:cs="Arial"/>
          <w:b/>
          <w:color w:val="000000" w:themeColor="text1"/>
          <w:sz w:val="20"/>
          <w:szCs w:val="20"/>
          <w:lang w:eastAsia="hr-HR"/>
        </w:rPr>
        <w:t>.</w:t>
      </w:r>
      <w:r w:rsidRPr="003D1614">
        <w:rPr>
          <w:rFonts w:ascii="Arial" w:eastAsia="Times New Roman" w:hAnsi="Arial" w:cs="Arial"/>
          <w:b/>
          <w:color w:val="000000" w:themeColor="text1"/>
          <w:sz w:val="20"/>
          <w:szCs w:val="20"/>
        </w:rPr>
        <w:tab/>
        <w:t>Upravljanje rizicima (nastavak)</w:t>
      </w:r>
    </w:p>
    <w:p w14:paraId="64A6A627"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68411BCE" w14:textId="30B6C655" w:rsidR="00CD630B" w:rsidRPr="003D1614" w:rsidRDefault="00CD630B" w:rsidP="00CD630B">
      <w:pPr>
        <w:tabs>
          <w:tab w:val="left" w:pos="567"/>
        </w:tabs>
        <w:suppressAutoHyphens/>
        <w:autoSpaceDN w:val="0"/>
        <w:spacing w:line="300" w:lineRule="exact"/>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2</w:t>
      </w:r>
      <w:r w:rsidR="000E693B">
        <w:rPr>
          <w:rFonts w:ascii="Arial" w:eastAsia="Times New Roman" w:hAnsi="Arial" w:cs="Arial"/>
          <w:b/>
          <w:color w:val="000000" w:themeColor="text1"/>
          <w:sz w:val="20"/>
          <w:szCs w:val="20"/>
        </w:rPr>
        <w:t>3</w:t>
      </w:r>
      <w:r w:rsidRPr="003D1614">
        <w:rPr>
          <w:rFonts w:ascii="Arial" w:eastAsia="Times New Roman" w:hAnsi="Arial" w:cs="Arial"/>
          <w:b/>
          <w:color w:val="000000" w:themeColor="text1"/>
          <w:sz w:val="20"/>
          <w:szCs w:val="20"/>
        </w:rPr>
        <w:t>.1.</w:t>
      </w:r>
      <w:r w:rsidRPr="003D1614">
        <w:rPr>
          <w:rFonts w:ascii="Arial" w:eastAsia="Times New Roman" w:hAnsi="Arial" w:cs="Arial"/>
          <w:b/>
          <w:color w:val="000000" w:themeColor="text1"/>
          <w:sz w:val="20"/>
          <w:szCs w:val="20"/>
        </w:rPr>
        <w:tab/>
        <w:t>Pregled najvažnijih rizika (nastavak)</w:t>
      </w:r>
    </w:p>
    <w:p w14:paraId="0D196526" w14:textId="77777777" w:rsidR="00CD630B" w:rsidRPr="003D1614" w:rsidRDefault="00CD630B" w:rsidP="00CD630B">
      <w:pPr>
        <w:suppressAutoHyphens/>
        <w:autoSpaceDN w:val="0"/>
        <w:jc w:val="both"/>
        <w:rPr>
          <w:rFonts w:ascii="Arial" w:eastAsia="Calibri" w:hAnsi="Arial" w:cs="Arial"/>
          <w:b/>
          <w:bCs/>
          <w:color w:val="000000" w:themeColor="text1"/>
          <w:spacing w:val="-3"/>
          <w:sz w:val="20"/>
          <w:szCs w:val="20"/>
        </w:rPr>
      </w:pPr>
      <w:bookmarkStart w:id="577" w:name="_Hlk517961811"/>
    </w:p>
    <w:bookmarkEnd w:id="577"/>
    <w:p w14:paraId="0E0204C6" w14:textId="77777777" w:rsidR="00B8602B" w:rsidRPr="003D1614" w:rsidRDefault="00B8602B" w:rsidP="00B8602B">
      <w:pPr>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Kamatni rizik</w:t>
      </w:r>
    </w:p>
    <w:p w14:paraId="7E7DE695" w14:textId="77777777" w:rsidR="00B8602B" w:rsidRPr="003D1614" w:rsidRDefault="00B8602B" w:rsidP="00B8602B">
      <w:pPr>
        <w:suppressAutoHyphens/>
        <w:autoSpaceDN w:val="0"/>
        <w:jc w:val="both"/>
        <w:rPr>
          <w:rFonts w:ascii="Arial" w:eastAsia="Times New Roman" w:hAnsi="Arial" w:cs="Arial"/>
          <w:color w:val="000000" w:themeColor="text1"/>
          <w:sz w:val="20"/>
          <w:szCs w:val="20"/>
        </w:rPr>
      </w:pPr>
    </w:p>
    <w:p w14:paraId="3F03ED59" w14:textId="4EFC55F8" w:rsidR="00B8602B" w:rsidRPr="003D1614" w:rsidRDefault="00B8602B" w:rsidP="00B8602B">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Temeljna načela i principi upravljanja kamatnim rizikom Banke utvrđeni su internim aktima te odlukama i zaključcima Uprave i Odbora za upravljanje aktivom i pasivom. Za mjerenje i praćenje kamatnog rizika Banka provodi analizu kamatnog jaza. Kamatni se jaz izrađuje za određena razdoblja prema mogućnosti promjene kamatnih stopa i koristi se za sagledavanje osjetljivost Banke na promjene kamatnih stopa u redovnim i stresnim uvjetima poslovanja. </w:t>
      </w:r>
      <w:bookmarkStart w:id="578" w:name="_Hlk135054308"/>
      <w:r w:rsidRPr="003D1614">
        <w:rPr>
          <w:rFonts w:ascii="Arial" w:eastAsia="Times New Roman" w:hAnsi="Arial" w:cs="Arial"/>
          <w:color w:val="000000" w:themeColor="text1"/>
          <w:sz w:val="20"/>
          <w:szCs w:val="20"/>
        </w:rPr>
        <w:t>Provod</w:t>
      </w:r>
      <w:r>
        <w:rPr>
          <w:rFonts w:ascii="Arial" w:eastAsia="Times New Roman" w:hAnsi="Arial" w:cs="Arial"/>
          <w:color w:val="000000" w:themeColor="text1"/>
          <w:sz w:val="20"/>
          <w:szCs w:val="20"/>
        </w:rPr>
        <w:t>e</w:t>
      </w:r>
      <w:r w:rsidRPr="003D1614">
        <w:rPr>
          <w:rFonts w:ascii="Arial" w:eastAsia="Times New Roman" w:hAnsi="Arial" w:cs="Arial"/>
          <w:color w:val="000000" w:themeColor="text1"/>
          <w:sz w:val="20"/>
          <w:szCs w:val="20"/>
        </w:rPr>
        <w:t xml:space="preserve"> se</w:t>
      </w:r>
      <w:r>
        <w:rPr>
          <w:rFonts w:ascii="Arial" w:eastAsia="Times New Roman" w:hAnsi="Arial" w:cs="Arial"/>
          <w:color w:val="000000" w:themeColor="text1"/>
          <w:sz w:val="20"/>
          <w:szCs w:val="20"/>
        </w:rPr>
        <w:t xml:space="preserve"> BPV (basis point value) izračuni i izračun </w:t>
      </w:r>
      <w:r w:rsidR="00DA031B">
        <w:rPr>
          <w:rFonts w:ascii="Arial" w:eastAsia="Times New Roman" w:hAnsi="Arial" w:cs="Arial"/>
          <w:color w:val="000000" w:themeColor="text1"/>
          <w:sz w:val="20"/>
          <w:szCs w:val="20"/>
        </w:rPr>
        <w:t xml:space="preserve">promjene </w:t>
      </w:r>
      <w:r>
        <w:rPr>
          <w:rFonts w:ascii="Arial" w:eastAsia="Times New Roman" w:hAnsi="Arial" w:cs="Arial"/>
          <w:color w:val="000000" w:themeColor="text1"/>
          <w:sz w:val="20"/>
          <w:szCs w:val="20"/>
        </w:rPr>
        <w:t xml:space="preserve">ekonomske vrijednosti </w:t>
      </w:r>
      <w:r w:rsidR="00DA031B">
        <w:rPr>
          <w:rFonts w:ascii="Arial" w:eastAsia="Times New Roman" w:hAnsi="Arial" w:cs="Arial"/>
          <w:color w:val="000000" w:themeColor="text1"/>
          <w:sz w:val="20"/>
          <w:szCs w:val="20"/>
        </w:rPr>
        <w:t xml:space="preserve"> kapitala i promjene neto kamatnog prihoda iz poslova</w:t>
      </w:r>
      <w:r w:rsidR="00222630">
        <w:rPr>
          <w:rFonts w:ascii="Arial" w:eastAsia="Times New Roman" w:hAnsi="Arial" w:cs="Arial"/>
          <w:color w:val="000000" w:themeColor="text1"/>
          <w:sz w:val="20"/>
          <w:szCs w:val="20"/>
        </w:rPr>
        <w:t xml:space="preserve"> koji se vode u knjizi pozicija kojima se ne trguje</w:t>
      </w:r>
      <w:r>
        <w:rPr>
          <w:rFonts w:ascii="Arial" w:eastAsia="Times New Roman" w:hAnsi="Arial" w:cs="Arial"/>
          <w:color w:val="000000" w:themeColor="text1"/>
          <w:sz w:val="20"/>
          <w:szCs w:val="20"/>
        </w:rPr>
        <w:t xml:space="preserve"> t</w:t>
      </w:r>
      <w:r w:rsidRPr="003D1614">
        <w:rPr>
          <w:rFonts w:ascii="Arial" w:eastAsia="Times New Roman" w:hAnsi="Arial" w:cs="Arial"/>
          <w:color w:val="000000" w:themeColor="text1"/>
          <w:sz w:val="20"/>
          <w:szCs w:val="20"/>
        </w:rPr>
        <w:t xml:space="preserve">e se izrađuju projekcije kretanja prosječnih ponderiranih kamatnih stopa izvora i plasmana. </w:t>
      </w:r>
      <w:bookmarkEnd w:id="578"/>
      <w:r w:rsidRPr="003D1614">
        <w:rPr>
          <w:rFonts w:ascii="Arial" w:eastAsia="Times New Roman" w:hAnsi="Arial" w:cs="Arial"/>
          <w:color w:val="000000" w:themeColor="text1"/>
          <w:sz w:val="20"/>
          <w:szCs w:val="20"/>
        </w:rPr>
        <w:t>Pored usklađivanja kamatnih stopa izvora i plasmana prate se trenutni tržišni uvjeti i prognoze kretanja osnovnih tržišnih pokazatelja.</w:t>
      </w:r>
    </w:p>
    <w:p w14:paraId="18FBDA08"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6C0C528F" w14:textId="77777777" w:rsidR="006D3957" w:rsidRPr="003D1614" w:rsidRDefault="006D3957" w:rsidP="006D3957">
      <w:pPr>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Valutni rizik</w:t>
      </w:r>
    </w:p>
    <w:p w14:paraId="2FC83096" w14:textId="77777777" w:rsidR="006D3957" w:rsidRPr="003D1614" w:rsidRDefault="006D3957" w:rsidP="006D3957">
      <w:pPr>
        <w:suppressAutoHyphens/>
        <w:autoSpaceDN w:val="0"/>
        <w:jc w:val="both"/>
        <w:rPr>
          <w:rFonts w:ascii="Arial" w:eastAsia="Times New Roman" w:hAnsi="Arial" w:cs="Arial"/>
          <w:color w:val="000000" w:themeColor="text1"/>
          <w:sz w:val="20"/>
          <w:szCs w:val="20"/>
        </w:rPr>
      </w:pPr>
    </w:p>
    <w:p w14:paraId="2DFCAF0E" w14:textId="77777777" w:rsidR="006D3957" w:rsidRPr="003D1614" w:rsidRDefault="006D3957" w:rsidP="006D3957">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Temeljna načela i principi upravljanja valutnim rizikom HBOR-a utvrđeni su internim aktima te odlukama i zaključcima Uprave i Odbora za upravljanje aktivom i pasivom. Postavljene su metode za mjerenje, odnosno procjenu, praćenje i upravljanje valutnim rizikom, utvrđeni su limiti i signali ranog upozorenja, postupci u slučaju naznake, kao i nastupa krize te su definirana izvješća potrebna za cjelovito ovladavanje ovim rizikom. </w:t>
      </w:r>
    </w:p>
    <w:p w14:paraId="51D46747" w14:textId="77777777" w:rsidR="006D3957" w:rsidRPr="003D1614" w:rsidRDefault="006D3957" w:rsidP="006D3957">
      <w:pPr>
        <w:suppressAutoHyphens/>
        <w:autoSpaceDN w:val="0"/>
        <w:jc w:val="both"/>
        <w:rPr>
          <w:rFonts w:ascii="Arial" w:eastAsia="Times New Roman" w:hAnsi="Arial" w:cs="Arial"/>
          <w:color w:val="000000" w:themeColor="text1"/>
          <w:sz w:val="20"/>
          <w:szCs w:val="20"/>
        </w:rPr>
      </w:pPr>
    </w:p>
    <w:p w14:paraId="5C8AFBAA" w14:textId="77777777" w:rsidR="006D3957" w:rsidRDefault="006D3957" w:rsidP="006D3957">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Za mjerenje izloženosti valutnom riziku prati se otvorenost devizne pozicije. Osim dnevnog praćenja otvorenosti devizne pozicije i projiciranja njezinog kretanja, za potrebe procjene i mjerenja valutnog rizika izračunava se rizična vrijednost te redovito izvještava nadležna tijela o najvećim potencijalnim gubicima po značajnim valutama. Provode se analize osjetljivosti pod pretpostavkom redovnih i stresnih uvjeta poslovanja. </w:t>
      </w:r>
    </w:p>
    <w:p w14:paraId="3145EC4C" w14:textId="77777777" w:rsidR="006D3957" w:rsidRPr="003D1614" w:rsidRDefault="006D3957" w:rsidP="006D3957">
      <w:pPr>
        <w:suppressAutoHyphens/>
        <w:autoSpaceDN w:val="0"/>
        <w:jc w:val="both"/>
        <w:rPr>
          <w:rFonts w:ascii="Arial" w:eastAsia="Times New Roman" w:hAnsi="Arial" w:cs="Arial"/>
          <w:color w:val="000000" w:themeColor="text1"/>
          <w:sz w:val="20"/>
          <w:szCs w:val="20"/>
        </w:rPr>
      </w:pPr>
    </w:p>
    <w:p w14:paraId="28547961" w14:textId="77777777" w:rsidR="00E153C5" w:rsidRPr="003D1614" w:rsidRDefault="00E153C5" w:rsidP="00E153C5">
      <w:pPr>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 xml:space="preserve">Operativni rizik </w:t>
      </w:r>
    </w:p>
    <w:p w14:paraId="4BC13F5A" w14:textId="77777777" w:rsidR="00E153C5" w:rsidRPr="003D1614" w:rsidRDefault="00E153C5" w:rsidP="00E153C5">
      <w:pPr>
        <w:suppressAutoHyphens/>
        <w:autoSpaceDN w:val="0"/>
        <w:jc w:val="both"/>
        <w:rPr>
          <w:rFonts w:ascii="Arial" w:eastAsia="Times New Roman" w:hAnsi="Arial" w:cs="Arial"/>
          <w:color w:val="000000" w:themeColor="text1"/>
          <w:sz w:val="20"/>
          <w:szCs w:val="20"/>
        </w:rPr>
      </w:pPr>
    </w:p>
    <w:p w14:paraId="4FA8339D" w14:textId="77777777" w:rsidR="00E153C5" w:rsidRPr="003D1614" w:rsidRDefault="00E153C5" w:rsidP="00E153C5">
      <w:pPr>
        <w:suppressAutoHyphens/>
        <w:autoSpaceDN w:val="0"/>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 xml:space="preserve">HBOR ima uspostavljen okvir za upravljanje operativnim rizikom koji je usklađen sa regulativom HNB-a </w:t>
      </w:r>
      <w:r>
        <w:rPr>
          <w:rFonts w:ascii="Arial" w:eastAsia="Calibri" w:hAnsi="Arial" w:cs="Arial"/>
          <w:color w:val="000000" w:themeColor="text1"/>
          <w:sz w:val="20"/>
          <w:szCs w:val="20"/>
        </w:rPr>
        <w:t xml:space="preserve">u mjeri </w:t>
      </w:r>
      <w:r w:rsidRPr="003D1614">
        <w:rPr>
          <w:rFonts w:ascii="Arial" w:eastAsia="Calibri" w:hAnsi="Arial" w:cs="Arial"/>
          <w:color w:val="000000" w:themeColor="text1"/>
          <w:sz w:val="20"/>
          <w:szCs w:val="20"/>
        </w:rPr>
        <w:t>primjenjivoj na poslovanje Banke kao posebne financijske institucije te sa dobrim bankarskim praksama u dijelu upravljanja rizicima.</w:t>
      </w:r>
    </w:p>
    <w:p w14:paraId="02D0F8AA" w14:textId="77777777" w:rsidR="00E153C5" w:rsidRPr="003D1614" w:rsidRDefault="00E153C5" w:rsidP="00E153C5">
      <w:pPr>
        <w:suppressAutoHyphens/>
        <w:autoSpaceDN w:val="0"/>
        <w:jc w:val="both"/>
        <w:rPr>
          <w:rFonts w:ascii="Arial" w:eastAsia="Calibri" w:hAnsi="Arial" w:cs="Arial"/>
          <w:color w:val="000000" w:themeColor="text1"/>
          <w:sz w:val="20"/>
          <w:szCs w:val="20"/>
        </w:rPr>
      </w:pPr>
    </w:p>
    <w:p w14:paraId="25E03114" w14:textId="77777777" w:rsidR="00E153C5" w:rsidRPr="003D1614" w:rsidRDefault="00E153C5" w:rsidP="00E153C5">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Temeljna načela upravljanja operativnim rizikom utvrđena su Politikom upravljanja operativnim rizikom kao krovnim aktom, kojom je uspostavljena struktura upravljanja i odgovornosti u sustavu, utvrđen pristup za izračun kapitalnog zahtjeva za operativni rizik, uspostavljen sustav izvještavanja te načini utvrđivanja, ovladavanja i praćenja izloženosti operativnom riziku.</w:t>
      </w:r>
    </w:p>
    <w:p w14:paraId="24C7A343" w14:textId="4CBC3DAC" w:rsidR="00E153C5" w:rsidRPr="003D1614" w:rsidRDefault="00E153C5" w:rsidP="00E153C5">
      <w:pPr>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color w:val="000000" w:themeColor="text1"/>
          <w:sz w:val="20"/>
          <w:szCs w:val="20"/>
        </w:rPr>
        <w:t xml:space="preserve">Sustavom upravljanja obuhvaćen je i operativni rizik kod poslovnih promjena, </w:t>
      </w:r>
      <w:r>
        <w:rPr>
          <w:rFonts w:ascii="Arial" w:eastAsia="Times New Roman" w:hAnsi="Arial" w:cs="Arial"/>
          <w:color w:val="000000" w:themeColor="text1"/>
          <w:sz w:val="20"/>
          <w:szCs w:val="20"/>
        </w:rPr>
        <w:t xml:space="preserve">novih proizvoda i značajnih izmjena postojećih proizvoda </w:t>
      </w:r>
      <w:r w:rsidRPr="003D1614">
        <w:rPr>
          <w:rFonts w:ascii="Arial" w:eastAsia="Times New Roman" w:hAnsi="Arial" w:cs="Arial"/>
          <w:color w:val="000000" w:themeColor="text1"/>
          <w:sz w:val="20"/>
          <w:szCs w:val="20"/>
        </w:rPr>
        <w:t>te operativni rizik koji se javlja pri eksternalizaciji aktivnosti.</w:t>
      </w:r>
    </w:p>
    <w:p w14:paraId="19CF0767" w14:textId="77777777" w:rsidR="00E153C5" w:rsidRPr="003D1614" w:rsidRDefault="00E153C5" w:rsidP="00E153C5">
      <w:pPr>
        <w:suppressAutoHyphens/>
        <w:autoSpaceDN w:val="0"/>
        <w:jc w:val="both"/>
        <w:rPr>
          <w:rFonts w:ascii="Arial" w:eastAsia="Times New Roman" w:hAnsi="Arial" w:cs="Arial"/>
          <w:b/>
          <w:color w:val="000000" w:themeColor="text1"/>
          <w:sz w:val="20"/>
          <w:szCs w:val="20"/>
        </w:rPr>
      </w:pPr>
    </w:p>
    <w:p w14:paraId="365BA787" w14:textId="6C96D084" w:rsidR="00E153C5" w:rsidRPr="003D1614" w:rsidRDefault="00E153C5" w:rsidP="00E153C5">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Za praćenje i nadziranje rada informacijskog sustava zadužen je Odbor za upravljanje informacijskim sustavom čiji je cilj upravljanje resursima informacijskog sustava uz uspostavljanje odgovarajuće razine učinkovitosti i sigurnosti informacijskog sustava kako bi se osiguralo, između ostalog, primjereno upravljanje rizicima koji proizlaze iz korištenja </w:t>
      </w:r>
      <w:r w:rsidR="000B7CF4">
        <w:rPr>
          <w:rFonts w:ascii="Arial" w:eastAsia="Times New Roman" w:hAnsi="Arial" w:cs="Arial"/>
          <w:color w:val="000000" w:themeColor="text1"/>
          <w:sz w:val="20"/>
          <w:szCs w:val="20"/>
        </w:rPr>
        <w:t>informacijsko komunikacijske</w:t>
      </w:r>
      <w:r w:rsidRPr="003D1614">
        <w:rPr>
          <w:rFonts w:ascii="Arial" w:eastAsia="Times New Roman" w:hAnsi="Arial" w:cs="Arial"/>
          <w:color w:val="000000" w:themeColor="text1"/>
          <w:sz w:val="20"/>
          <w:szCs w:val="20"/>
        </w:rPr>
        <w:t xml:space="preserve"> tehnologije. Nadzor nad sigurnošću informacijskog sustava obavlja funkcija Voditelja sigurnosti informacijskog sustava. U okviru ove funkcije uspostavljen je sustav upravljanja kontinuitetom poslovanja HBOR-a.</w:t>
      </w:r>
    </w:p>
    <w:p w14:paraId="7536A6DA" w14:textId="77777777" w:rsidR="00E153C5" w:rsidRPr="003D1614" w:rsidRDefault="00E153C5" w:rsidP="00E153C5">
      <w:pPr>
        <w:suppressAutoHyphens/>
        <w:autoSpaceDN w:val="0"/>
        <w:jc w:val="both"/>
        <w:rPr>
          <w:rFonts w:ascii="Arial" w:eastAsia="Times New Roman" w:hAnsi="Arial" w:cs="Arial"/>
          <w:color w:val="000000" w:themeColor="text1"/>
          <w:sz w:val="20"/>
          <w:szCs w:val="20"/>
        </w:rPr>
      </w:pPr>
    </w:p>
    <w:p w14:paraId="4CABFDF8" w14:textId="77777777" w:rsidR="00E153C5" w:rsidRPr="003D1614" w:rsidRDefault="00E153C5" w:rsidP="00E153C5">
      <w:pPr>
        <w:suppressAutoHyphens/>
        <w:autoSpaceDN w:val="0"/>
        <w:jc w:val="both"/>
        <w:rPr>
          <w:rFonts w:ascii="Arial" w:eastAsia="Times New Roman" w:hAnsi="Arial" w:cs="Arial"/>
          <w:color w:val="000000" w:themeColor="text1"/>
          <w:sz w:val="20"/>
          <w:szCs w:val="20"/>
        </w:rPr>
      </w:pPr>
      <w:bookmarkStart w:id="579" w:name="_Hlk135055567"/>
      <w:r>
        <w:rPr>
          <w:rFonts w:ascii="Arial" w:eastAsia="SimSun" w:hAnsi="Arial" w:cs="Arial"/>
          <w:sz w:val="20"/>
          <w:szCs w:val="20"/>
        </w:rPr>
        <w:t>U 2024. godini nisu identificirani novi događaji operativnog rizika koji bi značajno utjecali na izloženost HBOR-a operativnom riziku. Događaj iz prethodnog razdoblja (potres u Zagrebu 2020., uslijed kojeg je oštećena glavna poslovna zgrada HBOR-a) imat će utjecaj u 2024. godini jer su započeli pripremni radovi za obnovu zgrade, a efekti tog događaja kontinuirano se bilježe u bazu događaja operativnog rizika.</w:t>
      </w:r>
      <w:bookmarkEnd w:id="579"/>
    </w:p>
    <w:p w14:paraId="1043F5E1"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27109854" w14:textId="42B097A5"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50C97907" w14:textId="77777777" w:rsidR="00CD630B" w:rsidRPr="003D1614" w:rsidRDefault="00CD630B" w:rsidP="00CD630B">
      <w:pPr>
        <w:suppressAutoHyphens/>
        <w:autoSpaceDN w:val="0"/>
        <w:rPr>
          <w:rFonts w:ascii="Arial" w:eastAsia="Times New Roman" w:hAnsi="Arial" w:cs="Arial"/>
          <w:color w:val="000000" w:themeColor="text1"/>
          <w:sz w:val="20"/>
          <w:szCs w:val="20"/>
        </w:rPr>
      </w:pPr>
    </w:p>
    <w:p w14:paraId="5C34E4BF" w14:textId="2CACD741" w:rsidR="00CD630B" w:rsidRPr="003D1614" w:rsidRDefault="00CD630B" w:rsidP="00CD630B">
      <w:pPr>
        <w:tabs>
          <w:tab w:val="left" w:pos="567"/>
        </w:tabs>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lang w:eastAsia="hr-HR"/>
        </w:rPr>
        <w:t>2</w:t>
      </w:r>
      <w:r w:rsidR="000E693B">
        <w:rPr>
          <w:rFonts w:ascii="Arial" w:eastAsia="Times New Roman" w:hAnsi="Arial" w:cs="Arial"/>
          <w:b/>
          <w:color w:val="000000" w:themeColor="text1"/>
          <w:sz w:val="20"/>
          <w:szCs w:val="20"/>
          <w:lang w:eastAsia="hr-HR"/>
        </w:rPr>
        <w:t>3</w:t>
      </w:r>
      <w:r w:rsidRPr="003D1614">
        <w:rPr>
          <w:rFonts w:ascii="Arial" w:eastAsia="Times New Roman" w:hAnsi="Arial" w:cs="Arial"/>
          <w:b/>
          <w:color w:val="000000" w:themeColor="text1"/>
          <w:sz w:val="20"/>
          <w:szCs w:val="20"/>
          <w:lang w:eastAsia="hr-HR"/>
        </w:rPr>
        <w:t>.</w:t>
      </w:r>
      <w:r w:rsidRPr="003D1614">
        <w:rPr>
          <w:rFonts w:ascii="Arial" w:eastAsia="Times New Roman" w:hAnsi="Arial" w:cs="Arial"/>
          <w:b/>
          <w:color w:val="000000" w:themeColor="text1"/>
          <w:sz w:val="20"/>
          <w:szCs w:val="20"/>
        </w:rPr>
        <w:tab/>
        <w:t>Upravljanje rizicima (nastavak)</w:t>
      </w:r>
    </w:p>
    <w:p w14:paraId="7438601B"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31CBDB27" w14:textId="1F0EE90F" w:rsidR="00CD630B" w:rsidRPr="003D1614" w:rsidRDefault="00CD630B" w:rsidP="00CD630B">
      <w:pPr>
        <w:tabs>
          <w:tab w:val="left" w:pos="567"/>
        </w:tabs>
        <w:suppressAutoHyphens/>
        <w:autoSpaceDN w:val="0"/>
        <w:spacing w:line="300" w:lineRule="exact"/>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2</w:t>
      </w:r>
      <w:r w:rsidR="000E693B">
        <w:rPr>
          <w:rFonts w:ascii="Arial" w:eastAsia="Times New Roman" w:hAnsi="Arial" w:cs="Arial"/>
          <w:b/>
          <w:color w:val="000000" w:themeColor="text1"/>
          <w:sz w:val="20"/>
          <w:szCs w:val="20"/>
        </w:rPr>
        <w:t>3</w:t>
      </w:r>
      <w:r w:rsidRPr="003D1614">
        <w:rPr>
          <w:rFonts w:ascii="Arial" w:eastAsia="Times New Roman" w:hAnsi="Arial" w:cs="Arial"/>
          <w:b/>
          <w:color w:val="000000" w:themeColor="text1"/>
          <w:sz w:val="20"/>
          <w:szCs w:val="20"/>
        </w:rPr>
        <w:t>.1.</w:t>
      </w:r>
      <w:r w:rsidRPr="003D1614">
        <w:rPr>
          <w:rFonts w:ascii="Arial" w:eastAsia="Times New Roman" w:hAnsi="Arial" w:cs="Arial"/>
          <w:b/>
          <w:color w:val="000000" w:themeColor="text1"/>
          <w:sz w:val="20"/>
          <w:szCs w:val="20"/>
        </w:rPr>
        <w:tab/>
        <w:t>Pregled najvažnijih rizika (nastavak)</w:t>
      </w:r>
    </w:p>
    <w:p w14:paraId="717ED92B" w14:textId="77777777" w:rsidR="00CD630B" w:rsidRPr="003D1614" w:rsidRDefault="00CD630B" w:rsidP="00CD630B">
      <w:pPr>
        <w:suppressAutoHyphens/>
        <w:autoSpaceDN w:val="0"/>
        <w:jc w:val="both"/>
        <w:rPr>
          <w:rFonts w:ascii="Arial" w:eastAsia="Times New Roman" w:hAnsi="Arial" w:cs="Arial"/>
          <w:b/>
          <w:color w:val="000000" w:themeColor="text1"/>
          <w:sz w:val="20"/>
          <w:szCs w:val="20"/>
        </w:rPr>
      </w:pPr>
    </w:p>
    <w:p w14:paraId="3EB3490A" w14:textId="77777777" w:rsidR="000669E6" w:rsidRPr="003D1614" w:rsidRDefault="000669E6" w:rsidP="000669E6">
      <w:pPr>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Rizik eksternalizacije</w:t>
      </w:r>
    </w:p>
    <w:p w14:paraId="7F05E510" w14:textId="77777777" w:rsidR="000669E6" w:rsidRPr="003D1614" w:rsidRDefault="000669E6" w:rsidP="000669E6">
      <w:pPr>
        <w:suppressAutoHyphens/>
        <w:autoSpaceDN w:val="0"/>
        <w:jc w:val="both"/>
        <w:rPr>
          <w:rFonts w:ascii="Arial" w:eastAsia="Times New Roman" w:hAnsi="Arial" w:cs="Arial"/>
          <w:color w:val="000000" w:themeColor="text1"/>
          <w:sz w:val="20"/>
          <w:szCs w:val="20"/>
        </w:rPr>
      </w:pPr>
    </w:p>
    <w:p w14:paraId="20318E40" w14:textId="77777777" w:rsidR="000669E6" w:rsidRPr="003D1614" w:rsidRDefault="000669E6" w:rsidP="000669E6">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HBOR upravlja rizikom eksternalizacije temeljem internih akata usklađenih s regulativom HNB-a </w:t>
      </w:r>
      <w:r>
        <w:rPr>
          <w:rFonts w:ascii="Arial" w:eastAsia="Times New Roman" w:hAnsi="Arial" w:cs="Arial"/>
          <w:color w:val="000000" w:themeColor="text1"/>
          <w:sz w:val="20"/>
          <w:szCs w:val="20"/>
        </w:rPr>
        <w:t xml:space="preserve">u mjeri </w:t>
      </w:r>
      <w:r w:rsidRPr="003D1614">
        <w:rPr>
          <w:rFonts w:ascii="Arial" w:eastAsia="Times New Roman" w:hAnsi="Arial" w:cs="Arial"/>
          <w:color w:val="000000" w:themeColor="text1"/>
          <w:sz w:val="20"/>
          <w:szCs w:val="20"/>
        </w:rPr>
        <w:t>primjenjivo</w:t>
      </w:r>
      <w:r>
        <w:rPr>
          <w:rFonts w:ascii="Arial" w:eastAsia="Times New Roman" w:hAnsi="Arial" w:cs="Arial"/>
          <w:color w:val="000000" w:themeColor="text1"/>
          <w:sz w:val="20"/>
          <w:szCs w:val="20"/>
        </w:rPr>
        <w:t>j</w:t>
      </w:r>
      <w:r w:rsidRPr="003D1614">
        <w:rPr>
          <w:rFonts w:ascii="Arial" w:eastAsia="Times New Roman" w:hAnsi="Arial" w:cs="Arial"/>
          <w:color w:val="000000" w:themeColor="text1"/>
          <w:sz w:val="20"/>
          <w:szCs w:val="20"/>
        </w:rPr>
        <w:t xml:space="preserve"> na HBOR kao posebnu financijsku instituciju. Internim aktima kojima je propisano upravljanje ovim rizikom utvrđeni su postupci provođenja eksternaliziranih aktivnosti, upravljanje odnosima s pružateljima usluga te svođenje rizika </w:t>
      </w:r>
      <w:r>
        <w:rPr>
          <w:rFonts w:ascii="Arial" w:eastAsia="Times New Roman" w:hAnsi="Arial" w:cs="Arial"/>
          <w:color w:val="000000" w:themeColor="text1"/>
          <w:sz w:val="20"/>
          <w:szCs w:val="20"/>
        </w:rPr>
        <w:t xml:space="preserve">koji proizlaze iz eksternalizacije </w:t>
      </w:r>
      <w:r w:rsidRPr="003D1614">
        <w:rPr>
          <w:rFonts w:ascii="Arial" w:eastAsia="Times New Roman" w:hAnsi="Arial" w:cs="Arial"/>
          <w:color w:val="000000" w:themeColor="text1"/>
          <w:sz w:val="20"/>
          <w:szCs w:val="20"/>
        </w:rPr>
        <w:t>na najmanju mjeru.</w:t>
      </w:r>
    </w:p>
    <w:p w14:paraId="282AF568" w14:textId="77777777" w:rsidR="000669E6" w:rsidRPr="003D1614" w:rsidRDefault="000669E6" w:rsidP="000669E6">
      <w:pPr>
        <w:suppressAutoHyphens/>
        <w:autoSpaceDN w:val="0"/>
        <w:jc w:val="both"/>
        <w:rPr>
          <w:rFonts w:ascii="Arial" w:eastAsia="Times New Roman" w:hAnsi="Arial" w:cs="Arial"/>
          <w:color w:val="000000" w:themeColor="text1"/>
          <w:sz w:val="20"/>
          <w:szCs w:val="20"/>
        </w:rPr>
      </w:pPr>
    </w:p>
    <w:p w14:paraId="13156D8D" w14:textId="77777777" w:rsidR="000669E6" w:rsidRPr="003D1614" w:rsidRDefault="000669E6" w:rsidP="000669E6">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Uspostavljena je centralna evidencija o eksternaliziranim aktivnostima, a o materijalno značajnim eksternalizacijama godišnje se izvještava Uprava i Nadzorni odbor Banke.  </w:t>
      </w:r>
    </w:p>
    <w:p w14:paraId="38187ABD" w14:textId="77777777" w:rsidR="000669E6" w:rsidRDefault="000669E6" w:rsidP="000669E6">
      <w:pPr>
        <w:suppressAutoHyphens/>
        <w:autoSpaceDN w:val="0"/>
        <w:jc w:val="both"/>
        <w:rPr>
          <w:rFonts w:ascii="Arial" w:eastAsia="Times New Roman" w:hAnsi="Arial" w:cs="Arial"/>
          <w:color w:val="000000" w:themeColor="text1"/>
          <w:sz w:val="20"/>
          <w:szCs w:val="20"/>
        </w:rPr>
      </w:pPr>
    </w:p>
    <w:p w14:paraId="1E296733" w14:textId="256F6C29" w:rsidR="000669E6" w:rsidRPr="003D1614" w:rsidRDefault="000669E6" w:rsidP="000669E6">
      <w:pPr>
        <w:suppressAutoHyphens/>
        <w:autoSpaceDN w:val="0"/>
        <w:jc w:val="both"/>
        <w:rPr>
          <w:rFonts w:ascii="Arial" w:eastAsia="Times New Roman" w:hAnsi="Arial" w:cs="Arial"/>
          <w:color w:val="000000" w:themeColor="text1"/>
          <w:sz w:val="20"/>
          <w:szCs w:val="20"/>
        </w:rPr>
      </w:pPr>
      <w:bookmarkStart w:id="580" w:name="_Hlk173144079"/>
      <w:r w:rsidRPr="00C9058F">
        <w:rPr>
          <w:rFonts w:ascii="Arial" w:hAnsi="Arial" w:cs="Arial"/>
          <w:color w:val="000000" w:themeColor="text1"/>
          <w:sz w:val="20"/>
          <w:szCs w:val="20"/>
        </w:rPr>
        <w:t xml:space="preserve">U </w:t>
      </w:r>
      <w:r>
        <w:rPr>
          <w:rFonts w:ascii="Arial" w:hAnsi="Arial" w:cs="Arial"/>
          <w:color w:val="000000" w:themeColor="text1"/>
          <w:sz w:val="20"/>
          <w:szCs w:val="20"/>
        </w:rPr>
        <w:t>prv</w:t>
      </w:r>
      <w:r w:rsidR="00493A66">
        <w:rPr>
          <w:rFonts w:ascii="Arial" w:hAnsi="Arial" w:cs="Arial"/>
          <w:color w:val="000000" w:themeColor="text1"/>
          <w:sz w:val="20"/>
          <w:szCs w:val="20"/>
        </w:rPr>
        <w:t>a</w:t>
      </w:r>
      <w:r w:rsidR="005F46F6">
        <w:rPr>
          <w:rFonts w:ascii="Arial" w:hAnsi="Arial" w:cs="Arial"/>
          <w:color w:val="000000" w:themeColor="text1"/>
          <w:sz w:val="20"/>
          <w:szCs w:val="20"/>
        </w:rPr>
        <w:t xml:space="preserve"> tri tromjesečja</w:t>
      </w:r>
      <w:r>
        <w:rPr>
          <w:rFonts w:ascii="Arial" w:hAnsi="Arial" w:cs="Arial"/>
          <w:color w:val="000000" w:themeColor="text1"/>
          <w:sz w:val="20"/>
          <w:szCs w:val="20"/>
        </w:rPr>
        <w:t xml:space="preserve"> 2024. provodil</w:t>
      </w:r>
      <w:r w:rsidR="005F46F6">
        <w:rPr>
          <w:rFonts w:ascii="Arial" w:hAnsi="Arial" w:cs="Arial"/>
          <w:color w:val="000000" w:themeColor="text1"/>
          <w:sz w:val="20"/>
          <w:szCs w:val="20"/>
        </w:rPr>
        <w:t>e su</w:t>
      </w:r>
      <w:r>
        <w:rPr>
          <w:rFonts w:ascii="Arial" w:hAnsi="Arial" w:cs="Arial"/>
          <w:color w:val="000000" w:themeColor="text1"/>
          <w:sz w:val="20"/>
          <w:szCs w:val="20"/>
        </w:rPr>
        <w:t xml:space="preserve"> se</w:t>
      </w:r>
      <w:r w:rsidRPr="00C9058F">
        <w:rPr>
          <w:rFonts w:ascii="Arial" w:hAnsi="Arial" w:cs="Arial"/>
          <w:color w:val="000000" w:themeColor="text1"/>
          <w:sz w:val="20"/>
          <w:szCs w:val="20"/>
        </w:rPr>
        <w:t xml:space="preserve"> aktivnost</w:t>
      </w:r>
      <w:r w:rsidR="005F46F6">
        <w:rPr>
          <w:rFonts w:ascii="Arial" w:hAnsi="Arial" w:cs="Arial"/>
          <w:color w:val="000000" w:themeColor="text1"/>
          <w:sz w:val="20"/>
          <w:szCs w:val="20"/>
        </w:rPr>
        <w:t>i na ažuriranju</w:t>
      </w:r>
      <w:r w:rsidRPr="00C9058F">
        <w:rPr>
          <w:rFonts w:ascii="Arial" w:hAnsi="Arial" w:cs="Arial"/>
          <w:color w:val="000000" w:themeColor="text1"/>
          <w:sz w:val="20"/>
          <w:szCs w:val="20"/>
        </w:rPr>
        <w:t xml:space="preserve"> internih akata i unapređenj</w:t>
      </w:r>
      <w:r w:rsidR="00AC2E37">
        <w:rPr>
          <w:rFonts w:ascii="Arial" w:hAnsi="Arial" w:cs="Arial"/>
          <w:color w:val="000000" w:themeColor="text1"/>
          <w:sz w:val="20"/>
          <w:szCs w:val="20"/>
        </w:rPr>
        <w:t>u</w:t>
      </w:r>
      <w:r w:rsidRPr="00C9058F">
        <w:rPr>
          <w:rFonts w:ascii="Arial" w:hAnsi="Arial" w:cs="Arial"/>
          <w:color w:val="000000" w:themeColor="text1"/>
          <w:sz w:val="20"/>
          <w:szCs w:val="20"/>
        </w:rPr>
        <w:t xml:space="preserve"> sustava upravljanja rizikom eksternalizacije u skladu sa dobrom poslovnom praksom i regulativnom za kreditne institucije, u mjeri primjenjivoj na HBOR kao posebnu financijsku instituciju</w:t>
      </w:r>
      <w:r>
        <w:rPr>
          <w:rFonts w:ascii="Arial" w:hAnsi="Arial" w:cs="Arial"/>
          <w:color w:val="000000" w:themeColor="text1"/>
          <w:sz w:val="20"/>
          <w:szCs w:val="20"/>
        </w:rPr>
        <w:t>, za koju je planirani završetak do kraja 2024. godine.</w:t>
      </w:r>
    </w:p>
    <w:bookmarkEnd w:id="580"/>
    <w:p w14:paraId="3568CE65" w14:textId="77777777" w:rsidR="000669E6" w:rsidRPr="003D1614" w:rsidRDefault="000669E6" w:rsidP="000669E6">
      <w:pPr>
        <w:suppressAutoHyphens/>
        <w:autoSpaceDN w:val="0"/>
        <w:jc w:val="both"/>
        <w:rPr>
          <w:rFonts w:ascii="Arial" w:eastAsia="Times New Roman" w:hAnsi="Arial" w:cs="Arial"/>
          <w:color w:val="000000" w:themeColor="text1"/>
          <w:sz w:val="20"/>
          <w:szCs w:val="20"/>
        </w:rPr>
      </w:pPr>
    </w:p>
    <w:p w14:paraId="1AF4A8F7" w14:textId="77777777" w:rsidR="009A38B3" w:rsidRDefault="009A38B3" w:rsidP="009A38B3">
      <w:pPr>
        <w:tabs>
          <w:tab w:val="left" w:pos="567"/>
        </w:tabs>
        <w:suppressAutoHyphens/>
        <w:autoSpaceDN w:val="0"/>
        <w:spacing w:line="300" w:lineRule="exact"/>
        <w:jc w:val="both"/>
        <w:rPr>
          <w:rFonts w:ascii="Arial" w:eastAsia="Times New Roman" w:hAnsi="Arial" w:cs="Arial"/>
          <w:b/>
          <w:color w:val="000000" w:themeColor="text1"/>
          <w:sz w:val="20"/>
          <w:szCs w:val="20"/>
        </w:rPr>
      </w:pPr>
      <w:bookmarkStart w:id="581" w:name="_Hlk173226058"/>
      <w:r w:rsidRPr="003D1614">
        <w:rPr>
          <w:rFonts w:ascii="Arial" w:eastAsia="Times New Roman" w:hAnsi="Arial" w:cs="Arial"/>
          <w:b/>
          <w:color w:val="000000" w:themeColor="text1"/>
          <w:sz w:val="20"/>
          <w:szCs w:val="20"/>
        </w:rPr>
        <w:t>2</w:t>
      </w:r>
      <w:r>
        <w:rPr>
          <w:rFonts w:ascii="Arial" w:eastAsia="Times New Roman" w:hAnsi="Arial" w:cs="Arial"/>
          <w:b/>
          <w:color w:val="000000" w:themeColor="text1"/>
          <w:sz w:val="20"/>
          <w:szCs w:val="20"/>
        </w:rPr>
        <w:t>3</w:t>
      </w:r>
      <w:r w:rsidRPr="003D1614">
        <w:rPr>
          <w:rFonts w:ascii="Arial" w:eastAsia="Times New Roman" w:hAnsi="Arial" w:cs="Arial"/>
          <w:b/>
          <w:color w:val="000000" w:themeColor="text1"/>
          <w:sz w:val="20"/>
          <w:szCs w:val="20"/>
        </w:rPr>
        <w:t>.2.</w:t>
      </w:r>
      <w:r w:rsidRPr="003D1614">
        <w:rPr>
          <w:rFonts w:ascii="Arial" w:eastAsia="Times New Roman" w:hAnsi="Arial" w:cs="Arial"/>
          <w:b/>
          <w:color w:val="000000" w:themeColor="text1"/>
          <w:sz w:val="20"/>
          <w:szCs w:val="20"/>
        </w:rPr>
        <w:tab/>
        <w:t>Strategija i sustavi upravljanja rizicima</w:t>
      </w:r>
    </w:p>
    <w:p w14:paraId="3702C726" w14:textId="77777777" w:rsidR="009A38B3" w:rsidRPr="003D1614" w:rsidRDefault="009A38B3" w:rsidP="009A38B3">
      <w:pPr>
        <w:tabs>
          <w:tab w:val="left" w:pos="567"/>
        </w:tabs>
        <w:suppressAutoHyphens/>
        <w:autoSpaceDN w:val="0"/>
        <w:spacing w:line="300" w:lineRule="exact"/>
        <w:jc w:val="both"/>
        <w:rPr>
          <w:rFonts w:ascii="Arial" w:eastAsia="Times New Roman" w:hAnsi="Arial" w:cs="Arial"/>
          <w:b/>
          <w:color w:val="000000" w:themeColor="text1"/>
          <w:sz w:val="20"/>
          <w:szCs w:val="20"/>
        </w:rPr>
      </w:pPr>
    </w:p>
    <w:p w14:paraId="009ED839" w14:textId="77777777" w:rsidR="009A38B3" w:rsidRPr="003D1614" w:rsidRDefault="009A38B3" w:rsidP="009A38B3">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b/>
          <w:color w:val="000000" w:themeColor="text1"/>
          <w:sz w:val="20"/>
          <w:szCs w:val="20"/>
        </w:rPr>
        <w:t xml:space="preserve">Nadzorni odbor </w:t>
      </w:r>
      <w:r w:rsidRPr="003D1614">
        <w:rPr>
          <w:rFonts w:ascii="Arial" w:eastAsia="Times New Roman" w:hAnsi="Arial" w:cs="Arial"/>
          <w:color w:val="000000" w:themeColor="text1"/>
          <w:sz w:val="20"/>
          <w:szCs w:val="20"/>
        </w:rPr>
        <w:t>odgovoran je za nadgledanje primjerenosti i učinkovitosti procesa upravljanja rizicima u Grupi. Nadzorni odbor donosi Strategiju upravljanja rizicima HBOR-a kojom se uspostavljaju osnovna načela i standardi upravljanja rizicima te se definira sklonost preuzimanju rizika.</w:t>
      </w:r>
    </w:p>
    <w:p w14:paraId="68D9A6E5" w14:textId="77777777" w:rsidR="009A38B3" w:rsidRDefault="009A38B3" w:rsidP="009A38B3">
      <w:pPr>
        <w:suppressAutoHyphens/>
        <w:autoSpaceDN w:val="0"/>
        <w:jc w:val="both"/>
        <w:rPr>
          <w:rFonts w:ascii="Arial" w:eastAsia="Times New Roman" w:hAnsi="Arial" w:cs="Arial"/>
          <w:b/>
          <w:color w:val="000000" w:themeColor="text1"/>
          <w:sz w:val="20"/>
          <w:szCs w:val="20"/>
        </w:rPr>
      </w:pPr>
    </w:p>
    <w:p w14:paraId="00E49522" w14:textId="77777777" w:rsidR="009A38B3" w:rsidRPr="003D1614" w:rsidRDefault="009A38B3" w:rsidP="009A38B3">
      <w:pPr>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 xml:space="preserve">Uprava Banke </w:t>
      </w:r>
      <w:r w:rsidRPr="003D1614">
        <w:rPr>
          <w:rFonts w:ascii="Arial" w:eastAsia="Times New Roman" w:hAnsi="Arial" w:cs="Arial"/>
          <w:color w:val="000000" w:themeColor="text1"/>
          <w:sz w:val="20"/>
          <w:szCs w:val="20"/>
        </w:rPr>
        <w:t>odgovorna je za provođenje strategije upravljanja rizicima te uspostavljanje učinkovitog i pouzdanog sustava upravljanja svim rizicima. Za potrebu ostvarenja svoje funkcije Uprava je svoja ovlaštenja za upravljanje rizicima delegirala na tri odbora.</w:t>
      </w:r>
      <w:r w:rsidRPr="003D1614">
        <w:rPr>
          <w:rFonts w:ascii="Arial" w:eastAsia="Times New Roman" w:hAnsi="Arial" w:cs="Arial"/>
          <w:b/>
          <w:color w:val="000000" w:themeColor="text1"/>
          <w:sz w:val="20"/>
          <w:szCs w:val="20"/>
        </w:rPr>
        <w:t xml:space="preserve"> </w:t>
      </w:r>
    </w:p>
    <w:p w14:paraId="5C39F48B" w14:textId="77777777" w:rsidR="009A38B3" w:rsidRDefault="009A38B3" w:rsidP="009A38B3">
      <w:pPr>
        <w:keepNext/>
        <w:widowControl w:val="0"/>
        <w:tabs>
          <w:tab w:val="left" w:pos="426"/>
        </w:tabs>
        <w:suppressAutoHyphens/>
        <w:autoSpaceDN w:val="0"/>
        <w:rPr>
          <w:rFonts w:ascii="Arial" w:eastAsia="Times New Roman" w:hAnsi="Arial" w:cs="Arial"/>
          <w:b/>
          <w:color w:val="000000" w:themeColor="text1"/>
          <w:sz w:val="20"/>
          <w:szCs w:val="20"/>
        </w:rPr>
      </w:pPr>
    </w:p>
    <w:p w14:paraId="3667655E" w14:textId="77777777" w:rsidR="009A38B3" w:rsidRDefault="009A38B3" w:rsidP="009A38B3">
      <w:pPr>
        <w:keepNext/>
        <w:widowControl w:val="0"/>
        <w:tabs>
          <w:tab w:val="left" w:pos="426"/>
        </w:tabs>
        <w:suppressAutoHyphens/>
        <w:autoSpaceDN w:val="0"/>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Odbori za upravljanje rizicima</w:t>
      </w:r>
    </w:p>
    <w:p w14:paraId="37A8A988" w14:textId="77777777" w:rsidR="009A38B3" w:rsidRPr="003D1614" w:rsidRDefault="009A38B3" w:rsidP="009A38B3">
      <w:pPr>
        <w:keepNext/>
        <w:widowControl w:val="0"/>
        <w:tabs>
          <w:tab w:val="left" w:pos="426"/>
        </w:tabs>
        <w:suppressAutoHyphens/>
        <w:autoSpaceDN w:val="0"/>
        <w:rPr>
          <w:rFonts w:ascii="Arial" w:eastAsia="Times New Roman" w:hAnsi="Arial" w:cs="Arial"/>
          <w:b/>
          <w:color w:val="000000" w:themeColor="text1"/>
          <w:sz w:val="20"/>
          <w:szCs w:val="20"/>
        </w:rPr>
      </w:pPr>
    </w:p>
    <w:p w14:paraId="5C7C8CD6" w14:textId="77777777" w:rsidR="009A38B3" w:rsidRDefault="009A38B3" w:rsidP="009A38B3">
      <w:pPr>
        <w:numPr>
          <w:ilvl w:val="0"/>
          <w:numId w:val="9"/>
        </w:numPr>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Odbor za upravljanje aktivom i pasivom</w:t>
      </w:r>
      <w:r w:rsidRPr="003D1614">
        <w:rPr>
          <w:rFonts w:ascii="Arial" w:eastAsia="Times New Roman" w:hAnsi="Arial" w:cs="Arial"/>
          <w:color w:val="000000" w:themeColor="text1"/>
          <w:sz w:val="20"/>
          <w:szCs w:val="20"/>
        </w:rPr>
        <w:t xml:space="preserve"> – upravlja rizikom likvidnosti, kamatnim rizikom i valutnim rizikom sukladno odredbama: Pravilnika o upravljanju rizikom likvidnosti, Pravilnika o upravljanju valutnim rizikom, Procedura upravljanja kamatnim rizikom, Pravilnika o knjizi trgovanja,  Politika upravljanja aktivom i pasivom te ostalih akata Banke kojima je regulirano ovo područje,</w:t>
      </w:r>
      <w:r w:rsidRPr="003D1614">
        <w:rPr>
          <w:rFonts w:ascii="Arial" w:eastAsia="Times New Roman" w:hAnsi="Arial" w:cs="Arial"/>
          <w:b/>
          <w:color w:val="000000" w:themeColor="text1"/>
          <w:sz w:val="20"/>
          <w:szCs w:val="20"/>
        </w:rPr>
        <w:t xml:space="preserve"> </w:t>
      </w:r>
    </w:p>
    <w:p w14:paraId="3133E40E" w14:textId="77777777" w:rsidR="009A38B3" w:rsidRPr="003D1614" w:rsidRDefault="009A38B3" w:rsidP="009A38B3">
      <w:pPr>
        <w:suppressAutoHyphens/>
        <w:autoSpaceDN w:val="0"/>
        <w:ind w:left="720"/>
        <w:jc w:val="both"/>
        <w:rPr>
          <w:rFonts w:ascii="Arial" w:eastAsia="Times New Roman" w:hAnsi="Arial" w:cs="Arial"/>
          <w:b/>
          <w:color w:val="000000" w:themeColor="text1"/>
          <w:sz w:val="20"/>
          <w:szCs w:val="20"/>
        </w:rPr>
      </w:pPr>
    </w:p>
    <w:p w14:paraId="2EC0BFA9" w14:textId="77777777" w:rsidR="009A38B3" w:rsidRDefault="009A38B3" w:rsidP="009A38B3">
      <w:pPr>
        <w:numPr>
          <w:ilvl w:val="0"/>
          <w:numId w:val="9"/>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b/>
          <w:color w:val="000000" w:themeColor="text1"/>
          <w:sz w:val="20"/>
          <w:szCs w:val="20"/>
        </w:rPr>
        <w:t xml:space="preserve">Odbor za procjenu i mjerenje kreditnog rizika </w:t>
      </w:r>
      <w:r w:rsidRPr="003D1614">
        <w:rPr>
          <w:rFonts w:ascii="Arial" w:eastAsia="Times New Roman" w:hAnsi="Arial" w:cs="Arial"/>
          <w:color w:val="000000" w:themeColor="text1"/>
          <w:sz w:val="20"/>
          <w:szCs w:val="20"/>
        </w:rPr>
        <w:t>– upravlja kreditnim rizikom u okviru propisanih Kreditnih politika, Pravilnika o upravljanju kreditnim rizikom, metodologija i ostalih internih akata koji obuhvaćaju problematiku vezanu uz kreditni rizik,</w:t>
      </w:r>
    </w:p>
    <w:p w14:paraId="33857051" w14:textId="77777777" w:rsidR="009A38B3" w:rsidRPr="003D1614" w:rsidRDefault="009A38B3" w:rsidP="009A38B3">
      <w:pPr>
        <w:suppressAutoHyphens/>
        <w:autoSpaceDN w:val="0"/>
        <w:ind w:left="720"/>
        <w:jc w:val="both"/>
        <w:rPr>
          <w:rFonts w:ascii="Arial" w:eastAsia="Times New Roman" w:hAnsi="Arial" w:cs="Arial"/>
          <w:color w:val="000000" w:themeColor="text1"/>
          <w:sz w:val="20"/>
          <w:szCs w:val="20"/>
        </w:rPr>
      </w:pPr>
    </w:p>
    <w:p w14:paraId="21329690" w14:textId="77777777" w:rsidR="009A38B3" w:rsidRDefault="009A38B3" w:rsidP="009A38B3">
      <w:pPr>
        <w:numPr>
          <w:ilvl w:val="0"/>
          <w:numId w:val="9"/>
        </w:numPr>
        <w:suppressAutoHyphens/>
        <w:autoSpaceDN w:val="0"/>
        <w:jc w:val="both"/>
        <w:rPr>
          <w:rFonts w:ascii="Arial" w:eastAsia="Times New Roman" w:hAnsi="Arial" w:cs="Arial"/>
          <w:color w:val="000000" w:themeColor="text1"/>
          <w:sz w:val="20"/>
          <w:szCs w:val="20"/>
        </w:rPr>
      </w:pPr>
      <w:r w:rsidRPr="009F38FC">
        <w:rPr>
          <w:rFonts w:ascii="Arial" w:eastAsia="Times New Roman" w:hAnsi="Arial" w:cs="Arial"/>
          <w:b/>
          <w:color w:val="000000" w:themeColor="text1"/>
          <w:sz w:val="20"/>
          <w:szCs w:val="20"/>
        </w:rPr>
        <w:t xml:space="preserve">Odbor za upravljanje informacijskim sustavom HBOR-a </w:t>
      </w:r>
      <w:r w:rsidRPr="00CB08E0">
        <w:rPr>
          <w:rFonts w:ascii="Arial" w:eastAsia="Times New Roman" w:hAnsi="Arial" w:cs="Arial"/>
          <w:color w:val="000000" w:themeColor="text1"/>
          <w:sz w:val="20"/>
          <w:szCs w:val="20"/>
        </w:rPr>
        <w:t>– upravlja resursima informacijskog sustava uz primjereno upravljanje rizicima koji proizlaze iz korištenja informacijske tehnologije</w:t>
      </w:r>
      <w:r>
        <w:rPr>
          <w:rFonts w:ascii="Arial" w:eastAsia="Times New Roman" w:hAnsi="Arial" w:cs="Arial"/>
          <w:color w:val="000000" w:themeColor="text1"/>
          <w:sz w:val="20"/>
          <w:szCs w:val="20"/>
        </w:rPr>
        <w:t>.</w:t>
      </w:r>
    </w:p>
    <w:p w14:paraId="2CC6E290" w14:textId="77777777" w:rsidR="009A38B3" w:rsidRPr="009F38FC" w:rsidRDefault="009A38B3" w:rsidP="009A38B3">
      <w:pPr>
        <w:suppressAutoHyphens/>
        <w:autoSpaceDN w:val="0"/>
        <w:ind w:left="720"/>
        <w:jc w:val="both"/>
        <w:rPr>
          <w:rFonts w:ascii="Arial" w:eastAsia="Times New Roman" w:hAnsi="Arial" w:cs="Arial"/>
          <w:color w:val="000000" w:themeColor="text1"/>
          <w:sz w:val="20"/>
          <w:szCs w:val="20"/>
        </w:rPr>
      </w:pPr>
    </w:p>
    <w:p w14:paraId="64EE7664" w14:textId="77777777" w:rsidR="009A38B3" w:rsidRDefault="009A38B3" w:rsidP="009A38B3">
      <w:pPr>
        <w:suppressAutoHyphens/>
        <w:autoSpaceDN w:val="0"/>
        <w:jc w:val="both"/>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U  prvom kvartalu  2024. osnovan  je i započeo s radom Odbor za održivo financiranje. </w:t>
      </w:r>
    </w:p>
    <w:p w14:paraId="2B40D07E" w14:textId="77777777" w:rsidR="009A38B3" w:rsidRPr="001F3269" w:rsidRDefault="009A38B3" w:rsidP="009A38B3">
      <w:pPr>
        <w:numPr>
          <w:ilvl w:val="0"/>
          <w:numId w:val="9"/>
        </w:numPr>
        <w:suppressAutoHyphens/>
        <w:autoSpaceDN w:val="0"/>
        <w:jc w:val="both"/>
        <w:rPr>
          <w:rFonts w:ascii="Arial" w:eastAsia="Times New Roman" w:hAnsi="Arial" w:cs="Arial"/>
          <w:b/>
          <w:color w:val="000000" w:themeColor="text1"/>
          <w:sz w:val="20"/>
          <w:szCs w:val="20"/>
        </w:rPr>
        <w:sectPr w:rsidR="009A38B3" w:rsidRPr="001F3269" w:rsidSect="009A38B3">
          <w:pgSz w:w="11906" w:h="16838"/>
          <w:pgMar w:top="1417" w:right="1417" w:bottom="1417" w:left="1417" w:header="708" w:footer="708" w:gutter="0"/>
          <w:cols w:space="708"/>
          <w:docGrid w:linePitch="360"/>
        </w:sectPr>
      </w:pPr>
      <w:r w:rsidRPr="001F3269">
        <w:rPr>
          <w:rFonts w:ascii="Arial" w:eastAsia="Times New Roman" w:hAnsi="Arial" w:cs="Arial"/>
          <w:b/>
          <w:color w:val="000000" w:themeColor="text1"/>
          <w:sz w:val="20"/>
          <w:szCs w:val="20"/>
        </w:rPr>
        <w:t xml:space="preserve">Odbor za održivo financiranje – </w:t>
      </w:r>
      <w:r w:rsidRPr="007E0B72">
        <w:rPr>
          <w:rFonts w:ascii="Arial" w:eastAsia="Times New Roman" w:hAnsi="Arial" w:cs="Arial"/>
          <w:bCs/>
          <w:color w:val="000000" w:themeColor="text1"/>
          <w:sz w:val="20"/>
          <w:szCs w:val="20"/>
        </w:rPr>
        <w:t>upravlja razvojem održivog financiranj</w:t>
      </w:r>
      <w:r>
        <w:rPr>
          <w:rFonts w:ascii="Arial" w:eastAsia="Times New Roman" w:hAnsi="Arial" w:cs="Arial"/>
          <w:bCs/>
          <w:color w:val="000000" w:themeColor="text1"/>
          <w:sz w:val="20"/>
          <w:szCs w:val="20"/>
        </w:rPr>
        <w:t>a</w:t>
      </w:r>
      <w:r w:rsidRPr="007E0B72">
        <w:rPr>
          <w:rFonts w:ascii="Arial" w:eastAsia="Times New Roman" w:hAnsi="Arial" w:cs="Arial"/>
          <w:bCs/>
          <w:color w:val="000000" w:themeColor="text1"/>
          <w:sz w:val="20"/>
          <w:szCs w:val="20"/>
        </w:rPr>
        <w:t xml:space="preserve"> i usklađivanja s regulatornim zahtjevima u  području održivog financiranja, a sa ciljem olakšavanja financiranja tranzicije na klimatski neutralno i održivo gospodarstvo.</w:t>
      </w:r>
    </w:p>
    <w:bookmarkEnd w:id="581"/>
    <w:p w14:paraId="438A5E94"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2E5B3F84" w14:textId="5A17B2C0" w:rsidR="00CD630B" w:rsidRPr="003D1614" w:rsidRDefault="00CD630B" w:rsidP="00CD630B">
      <w:pPr>
        <w:tabs>
          <w:tab w:val="left" w:pos="567"/>
        </w:tabs>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lang w:eastAsia="hr-HR"/>
        </w:rPr>
        <w:t>2</w:t>
      </w:r>
      <w:r w:rsidR="000E693B">
        <w:rPr>
          <w:rFonts w:ascii="Arial" w:eastAsia="Times New Roman" w:hAnsi="Arial" w:cs="Arial"/>
          <w:b/>
          <w:color w:val="000000" w:themeColor="text1"/>
          <w:sz w:val="20"/>
          <w:szCs w:val="20"/>
          <w:lang w:eastAsia="hr-HR"/>
        </w:rPr>
        <w:t>3</w:t>
      </w:r>
      <w:r w:rsidRPr="003D1614">
        <w:rPr>
          <w:rFonts w:ascii="Arial" w:eastAsia="Times New Roman" w:hAnsi="Arial" w:cs="Arial"/>
          <w:b/>
          <w:color w:val="000000" w:themeColor="text1"/>
          <w:sz w:val="20"/>
          <w:szCs w:val="20"/>
          <w:lang w:eastAsia="hr-HR"/>
        </w:rPr>
        <w:t>.</w:t>
      </w:r>
      <w:r w:rsidRPr="003D1614">
        <w:rPr>
          <w:rFonts w:ascii="Arial" w:eastAsia="Times New Roman" w:hAnsi="Arial" w:cs="Arial"/>
          <w:b/>
          <w:color w:val="000000" w:themeColor="text1"/>
          <w:sz w:val="20"/>
          <w:szCs w:val="20"/>
        </w:rPr>
        <w:tab/>
        <w:t>Upravljanje rizicima (nastavak)</w:t>
      </w:r>
    </w:p>
    <w:p w14:paraId="7DA06611"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0D78A672" w14:textId="2FC9F890" w:rsidR="00CD630B" w:rsidRPr="003D1614" w:rsidRDefault="00CD630B" w:rsidP="00CD630B">
      <w:pPr>
        <w:tabs>
          <w:tab w:val="left" w:pos="567"/>
        </w:tabs>
        <w:suppressAutoHyphens/>
        <w:autoSpaceDN w:val="0"/>
        <w:spacing w:line="300" w:lineRule="exact"/>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2</w:t>
      </w:r>
      <w:r w:rsidR="000E693B">
        <w:rPr>
          <w:rFonts w:ascii="Arial" w:eastAsia="Times New Roman" w:hAnsi="Arial" w:cs="Arial"/>
          <w:b/>
          <w:color w:val="000000" w:themeColor="text1"/>
          <w:sz w:val="20"/>
          <w:szCs w:val="20"/>
        </w:rPr>
        <w:t>3</w:t>
      </w:r>
      <w:r w:rsidRPr="003D1614">
        <w:rPr>
          <w:rFonts w:ascii="Arial" w:eastAsia="Times New Roman" w:hAnsi="Arial" w:cs="Arial"/>
          <w:b/>
          <w:color w:val="000000" w:themeColor="text1"/>
          <w:sz w:val="20"/>
          <w:szCs w:val="20"/>
        </w:rPr>
        <w:t>.2.</w:t>
      </w:r>
      <w:r w:rsidRPr="003D1614">
        <w:rPr>
          <w:rFonts w:ascii="Arial" w:eastAsia="Times New Roman" w:hAnsi="Arial" w:cs="Arial"/>
          <w:b/>
          <w:color w:val="000000" w:themeColor="text1"/>
          <w:sz w:val="20"/>
          <w:szCs w:val="20"/>
        </w:rPr>
        <w:tab/>
        <w:t>Strategija i sustavi upravljanja rizicima (nastavak)</w:t>
      </w:r>
    </w:p>
    <w:p w14:paraId="483AFB77" w14:textId="77777777" w:rsidR="00CD630B" w:rsidRPr="003D1614" w:rsidRDefault="00CD630B" w:rsidP="00CD630B">
      <w:pPr>
        <w:keepNext/>
        <w:widowControl w:val="0"/>
        <w:tabs>
          <w:tab w:val="left" w:pos="426"/>
        </w:tabs>
        <w:suppressAutoHyphens/>
        <w:autoSpaceDN w:val="0"/>
        <w:spacing w:line="300" w:lineRule="exact"/>
        <w:rPr>
          <w:rFonts w:ascii="Arial" w:eastAsia="Times New Roman" w:hAnsi="Arial" w:cs="Arial"/>
          <w:b/>
          <w:color w:val="000000" w:themeColor="text1"/>
          <w:sz w:val="20"/>
          <w:szCs w:val="20"/>
        </w:rPr>
      </w:pPr>
    </w:p>
    <w:p w14:paraId="0AC10FB2" w14:textId="77777777" w:rsidR="0075594B" w:rsidRPr="003D1614" w:rsidRDefault="0075594B" w:rsidP="0075594B">
      <w:pPr>
        <w:keepNext/>
        <w:widowControl w:val="0"/>
        <w:tabs>
          <w:tab w:val="left" w:pos="426"/>
        </w:tabs>
        <w:suppressAutoHyphens/>
        <w:autoSpaceDN w:val="0"/>
        <w:spacing w:line="300" w:lineRule="exact"/>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Sektor upravljanja rizicima</w:t>
      </w:r>
    </w:p>
    <w:p w14:paraId="2B83E02E" w14:textId="77777777" w:rsidR="0075594B" w:rsidRPr="003D1614" w:rsidRDefault="0075594B" w:rsidP="0075594B">
      <w:pPr>
        <w:suppressAutoHyphens/>
        <w:autoSpaceDN w:val="0"/>
        <w:jc w:val="both"/>
        <w:rPr>
          <w:rFonts w:ascii="Arial" w:eastAsia="Times New Roman" w:hAnsi="Arial" w:cs="Arial"/>
          <w:color w:val="000000" w:themeColor="text1"/>
          <w:sz w:val="20"/>
          <w:szCs w:val="20"/>
        </w:rPr>
      </w:pPr>
    </w:p>
    <w:p w14:paraId="7D3C073E" w14:textId="77777777" w:rsidR="0075594B" w:rsidRPr="003D1614" w:rsidRDefault="0075594B" w:rsidP="0075594B">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Sektor upravljanja rizicima je stalna funkcija kontrole rizika, funkcionalno i organizacijski neovisna o poslovnim procesima i aktivnostima u kojima rizik nastaje odnosno koje prati i nadzire. Odgovoran je za kontrolu, utvrđivanje, mjerenje odnosno procjenu i nadzor rizika kojima je HBOR u svom poslovanju izložen ili bi mogao biti izložen.</w:t>
      </w:r>
    </w:p>
    <w:p w14:paraId="02EEE11E" w14:textId="77777777" w:rsidR="0075594B" w:rsidRPr="003D1614" w:rsidRDefault="0075594B" w:rsidP="0075594B">
      <w:pPr>
        <w:suppressAutoHyphens/>
        <w:autoSpaceDN w:val="0"/>
        <w:jc w:val="both"/>
        <w:rPr>
          <w:rFonts w:ascii="Arial" w:eastAsia="Times New Roman" w:hAnsi="Arial" w:cs="Arial"/>
          <w:color w:val="000000" w:themeColor="text1"/>
          <w:sz w:val="20"/>
          <w:szCs w:val="20"/>
        </w:rPr>
      </w:pPr>
    </w:p>
    <w:p w14:paraId="213EFEA9" w14:textId="77777777" w:rsidR="0075594B" w:rsidRPr="003D1614" w:rsidRDefault="0075594B" w:rsidP="0075594B">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Svoju funkciju Sektor upravljanja rizicima ostvaruje analizom te procjenom, odnosno mjerenjem rizika, razvojem pravilnika, politika i metodologija za upravljanje rizicima, nadzorom i praćenjem njihove primjene, predlaganjem i kontrolom poštivanja usvojenih limita izloženosti, davanjem prijedloga i preporuka za primjereno upravljanje rizicima te izvješćivanjem nadležnih tijela. </w:t>
      </w:r>
    </w:p>
    <w:p w14:paraId="08BC6D2C" w14:textId="77777777" w:rsidR="0075594B" w:rsidRPr="003D1614" w:rsidRDefault="0075594B" w:rsidP="0075594B">
      <w:pPr>
        <w:suppressAutoHyphens/>
        <w:autoSpaceDN w:val="0"/>
        <w:jc w:val="both"/>
        <w:rPr>
          <w:rFonts w:ascii="Arial" w:eastAsia="Times New Roman" w:hAnsi="Arial" w:cs="Arial"/>
          <w:color w:val="000000" w:themeColor="text1"/>
          <w:sz w:val="20"/>
          <w:szCs w:val="20"/>
        </w:rPr>
      </w:pPr>
    </w:p>
    <w:p w14:paraId="3FB4D7F3" w14:textId="77777777" w:rsidR="0075594B" w:rsidRPr="003D1614" w:rsidRDefault="0075594B" w:rsidP="0075594B">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Strategija upravljanja rizicima usmjerena je prema postizanju i održavanju kvalitetnog i učinkovitog sustava upravljanja rizicima, na daljnji razvoj i unapređenje tog sustava u smjeru usklađenja s bankovnom regulativom te relevantnim preporukama i smjernicama, uvažavajući specifičnosti HBOR-a kao razvojne i izvozne banke i posebne financijske institucije</w:t>
      </w:r>
    </w:p>
    <w:p w14:paraId="17CD4A24" w14:textId="77777777" w:rsidR="0075594B" w:rsidRPr="003D1614" w:rsidRDefault="0075594B" w:rsidP="0075594B">
      <w:pPr>
        <w:suppressAutoHyphens/>
        <w:autoSpaceDN w:val="0"/>
        <w:jc w:val="both"/>
        <w:rPr>
          <w:rFonts w:ascii="Arial" w:eastAsia="Times New Roman" w:hAnsi="Arial" w:cs="Arial"/>
          <w:color w:val="000000" w:themeColor="text1"/>
          <w:sz w:val="20"/>
          <w:szCs w:val="20"/>
        </w:rPr>
      </w:pPr>
    </w:p>
    <w:p w14:paraId="50D9BB1F" w14:textId="77777777" w:rsidR="00D11A6D" w:rsidRPr="003D1614" w:rsidRDefault="00D11A6D" w:rsidP="00D11A6D">
      <w:pPr>
        <w:keepNext/>
        <w:widowControl w:val="0"/>
        <w:tabs>
          <w:tab w:val="left" w:pos="426"/>
        </w:tabs>
        <w:suppressAutoHyphens/>
        <w:autoSpaceDN w:val="0"/>
        <w:spacing w:line="300" w:lineRule="exact"/>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Mjerenje rizika i sustavi izvješćivanja</w:t>
      </w:r>
    </w:p>
    <w:p w14:paraId="4BEC8447" w14:textId="77777777" w:rsidR="00D11A6D" w:rsidRPr="003D1614" w:rsidRDefault="00D11A6D" w:rsidP="00D11A6D">
      <w:pPr>
        <w:keepNext/>
        <w:widowControl w:val="0"/>
        <w:tabs>
          <w:tab w:val="left" w:pos="426"/>
        </w:tabs>
        <w:suppressAutoHyphens/>
        <w:autoSpaceDN w:val="0"/>
        <w:spacing w:line="300" w:lineRule="exact"/>
        <w:rPr>
          <w:rFonts w:ascii="Arial" w:eastAsia="Times New Roman" w:hAnsi="Arial" w:cs="Arial"/>
          <w:b/>
          <w:color w:val="000000" w:themeColor="text1"/>
          <w:sz w:val="20"/>
          <w:szCs w:val="20"/>
        </w:rPr>
      </w:pPr>
    </w:p>
    <w:p w14:paraId="4B9B86D6" w14:textId="77777777" w:rsidR="00D11A6D" w:rsidRPr="003D1614" w:rsidRDefault="00D11A6D" w:rsidP="00D11A6D">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Pri procjeni, odnosno mjerenju rizika uvažavaju se povijesni podaci, planovi poslovanja, trenutni i očekivani tržišni uvjeti te specifičnosti Banke kao posebne financijske institucije.</w:t>
      </w:r>
    </w:p>
    <w:p w14:paraId="2890A0ED" w14:textId="77777777" w:rsidR="00D11A6D" w:rsidRPr="003D1614" w:rsidRDefault="00D11A6D" w:rsidP="00D11A6D">
      <w:pPr>
        <w:suppressAutoHyphens/>
        <w:autoSpaceDN w:val="0"/>
        <w:jc w:val="both"/>
        <w:rPr>
          <w:rFonts w:ascii="Arial" w:eastAsia="Times New Roman" w:hAnsi="Arial" w:cs="Arial"/>
          <w:color w:val="000000" w:themeColor="text1"/>
          <w:sz w:val="20"/>
          <w:szCs w:val="20"/>
        </w:rPr>
      </w:pPr>
    </w:p>
    <w:p w14:paraId="4F7A6E20" w14:textId="77777777" w:rsidR="00D11A6D" w:rsidRPr="003D1614" w:rsidRDefault="00D11A6D" w:rsidP="00D11A6D">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Rezultati procjene odnosno mjerenja, provedenih analiza te testiranja otpornosti na stres izlažu se na sjednicama odbora za upravljanje rizicima i Uprave. U svrhu praćenja i kontrole rizika utvrđeni su sustavi limita za upravljanje kreditnim rizikom, rizikom likvidnosti, kamatnim rizikom i valutnim rizikom. </w:t>
      </w:r>
    </w:p>
    <w:p w14:paraId="26DFAD26" w14:textId="77777777" w:rsidR="00D11A6D" w:rsidRPr="003D1614" w:rsidRDefault="00D11A6D" w:rsidP="00D11A6D">
      <w:pPr>
        <w:suppressAutoHyphens/>
        <w:autoSpaceDN w:val="0"/>
        <w:jc w:val="both"/>
        <w:rPr>
          <w:rFonts w:ascii="Arial" w:eastAsia="Times New Roman" w:hAnsi="Arial" w:cs="Arial"/>
          <w:color w:val="000000" w:themeColor="text1"/>
          <w:sz w:val="20"/>
          <w:szCs w:val="20"/>
        </w:rPr>
      </w:pPr>
    </w:p>
    <w:p w14:paraId="6E025761" w14:textId="342C206A" w:rsidR="00D11A6D" w:rsidRPr="003D1614" w:rsidRDefault="00D11A6D" w:rsidP="00D11A6D">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Nadležna tijela sustavno se izvještava o: kvaliteti kreditnog portfelja, velikoj izloženosti i najvišoj dopuštenoj izloženosti, adekvatnosti kapitala, naplati potraživanja i rizičnih plasmana, promjenama internih rejtinga poslovnih banaka i poduzetim aktivnostima u slučaju njihova pogoršanja, nizu pokazatelja stanja i projekcija likvidnosti, projekcijama otvorenosti devizne pozicije, utjecaju promjena deviznih tečajeva i kamatnih stopa na rezultat poslovanja, kamatnom jazu, </w:t>
      </w:r>
      <w:bookmarkStart w:id="582" w:name="_Hlk135055819"/>
      <w:r w:rsidR="00632950">
        <w:rPr>
          <w:rFonts w:ascii="Arial" w:eastAsia="Times New Roman" w:hAnsi="Arial" w:cs="Arial"/>
          <w:color w:val="000000" w:themeColor="text1"/>
          <w:sz w:val="20"/>
          <w:szCs w:val="20"/>
        </w:rPr>
        <w:t xml:space="preserve">promjeni </w:t>
      </w:r>
      <w:r>
        <w:rPr>
          <w:rFonts w:ascii="Arial" w:eastAsia="Times New Roman" w:hAnsi="Arial" w:cs="Arial"/>
          <w:color w:val="000000" w:themeColor="text1"/>
          <w:sz w:val="20"/>
          <w:szCs w:val="20"/>
        </w:rPr>
        <w:t>ekonomsk</w:t>
      </w:r>
      <w:r w:rsidR="00146E14">
        <w:rPr>
          <w:rFonts w:ascii="Arial" w:eastAsia="Times New Roman" w:hAnsi="Arial" w:cs="Arial"/>
          <w:color w:val="000000" w:themeColor="text1"/>
          <w:sz w:val="20"/>
          <w:szCs w:val="20"/>
        </w:rPr>
        <w:t>e</w:t>
      </w:r>
      <w:r>
        <w:rPr>
          <w:rFonts w:ascii="Arial" w:eastAsia="Times New Roman" w:hAnsi="Arial" w:cs="Arial"/>
          <w:color w:val="000000" w:themeColor="text1"/>
          <w:sz w:val="20"/>
          <w:szCs w:val="20"/>
        </w:rPr>
        <w:t xml:space="preserve"> vrijednosti kapitala, </w:t>
      </w:r>
      <w:bookmarkEnd w:id="582"/>
      <w:r w:rsidR="00146E14">
        <w:rPr>
          <w:rFonts w:ascii="Arial" w:eastAsia="Times New Roman" w:hAnsi="Arial" w:cs="Arial"/>
          <w:color w:val="000000" w:themeColor="text1"/>
          <w:sz w:val="20"/>
          <w:szCs w:val="20"/>
        </w:rPr>
        <w:t xml:space="preserve">promjeni neto kamatnog prihoda, </w:t>
      </w:r>
      <w:r w:rsidRPr="003D1614">
        <w:rPr>
          <w:rFonts w:ascii="Arial" w:eastAsia="Times New Roman" w:hAnsi="Arial" w:cs="Arial"/>
          <w:color w:val="000000" w:themeColor="text1"/>
          <w:sz w:val="20"/>
          <w:szCs w:val="20"/>
        </w:rPr>
        <w:t>projekcijama prosječnih ponderiranih kamatnih stopa na izvore i plasmane financijskih institucija i sl. Dinamika izvještavanja te metodologije mjerenja i procjene rizika propisani su internim aktima Banke.</w:t>
      </w:r>
    </w:p>
    <w:p w14:paraId="60E3A253" w14:textId="77777777" w:rsidR="00CD630B" w:rsidRPr="003D1614" w:rsidRDefault="00CD630B" w:rsidP="00CD630B">
      <w:pPr>
        <w:suppressAutoHyphens/>
        <w:autoSpaceDN w:val="0"/>
        <w:jc w:val="both"/>
        <w:rPr>
          <w:rFonts w:ascii="Arial" w:eastAsia="Times New Roman" w:hAnsi="Arial" w:cs="Arial"/>
          <w:b/>
          <w:color w:val="000000" w:themeColor="text1"/>
          <w:sz w:val="20"/>
          <w:szCs w:val="20"/>
        </w:rPr>
        <w:sectPr w:rsidR="00CD630B" w:rsidRPr="003D1614">
          <w:pgSz w:w="11906" w:h="16838"/>
          <w:pgMar w:top="1417" w:right="1417" w:bottom="1417" w:left="1417" w:header="708" w:footer="708" w:gutter="0"/>
          <w:cols w:space="708"/>
          <w:docGrid w:linePitch="360"/>
        </w:sectPr>
      </w:pPr>
    </w:p>
    <w:p w14:paraId="49E34B6A"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2FD0FD39" w14:textId="3BB421EE" w:rsidR="00CD630B" w:rsidRPr="003D1614" w:rsidRDefault="00CD630B" w:rsidP="00CD630B">
      <w:pPr>
        <w:tabs>
          <w:tab w:val="left" w:pos="567"/>
        </w:tabs>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lang w:eastAsia="hr-HR"/>
        </w:rPr>
        <w:t>2</w:t>
      </w:r>
      <w:r w:rsidR="000E693B">
        <w:rPr>
          <w:rFonts w:ascii="Arial" w:eastAsia="Times New Roman" w:hAnsi="Arial" w:cs="Arial"/>
          <w:b/>
          <w:color w:val="000000" w:themeColor="text1"/>
          <w:sz w:val="20"/>
          <w:szCs w:val="20"/>
          <w:lang w:eastAsia="hr-HR"/>
        </w:rPr>
        <w:t>3</w:t>
      </w:r>
      <w:r w:rsidRPr="003D1614">
        <w:rPr>
          <w:rFonts w:ascii="Arial" w:eastAsia="Times New Roman" w:hAnsi="Arial" w:cs="Arial"/>
          <w:b/>
          <w:color w:val="000000" w:themeColor="text1"/>
          <w:sz w:val="20"/>
          <w:szCs w:val="20"/>
          <w:lang w:eastAsia="hr-HR"/>
        </w:rPr>
        <w:t>.</w:t>
      </w:r>
      <w:r w:rsidRPr="003D1614">
        <w:rPr>
          <w:rFonts w:ascii="Arial" w:eastAsia="Times New Roman" w:hAnsi="Arial" w:cs="Arial"/>
          <w:b/>
          <w:color w:val="000000" w:themeColor="text1"/>
          <w:sz w:val="20"/>
          <w:szCs w:val="20"/>
        </w:rPr>
        <w:tab/>
        <w:t>Upravljanje rizicima (nastavak)</w:t>
      </w:r>
    </w:p>
    <w:p w14:paraId="7F8F33C4"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35EAEE5A" w14:textId="77777777" w:rsidR="00005CC6" w:rsidRPr="003D1614" w:rsidRDefault="00005CC6" w:rsidP="00005CC6">
      <w:pPr>
        <w:tabs>
          <w:tab w:val="left" w:pos="567"/>
        </w:tabs>
        <w:suppressAutoHyphens/>
        <w:autoSpaceDN w:val="0"/>
        <w:spacing w:line="300" w:lineRule="exact"/>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ab/>
        <w:t xml:space="preserve">Kreditni rizik </w:t>
      </w:r>
    </w:p>
    <w:p w14:paraId="10C6D109" w14:textId="77777777" w:rsidR="00005CC6" w:rsidRPr="003D1614" w:rsidRDefault="00005CC6" w:rsidP="00005CC6">
      <w:pPr>
        <w:suppressAutoHyphens/>
        <w:autoSpaceDN w:val="0"/>
        <w:jc w:val="both"/>
        <w:rPr>
          <w:rFonts w:ascii="Arial" w:eastAsia="Times New Roman" w:hAnsi="Arial" w:cs="Arial"/>
          <w:color w:val="000000" w:themeColor="text1"/>
          <w:sz w:val="20"/>
          <w:szCs w:val="20"/>
        </w:rPr>
      </w:pPr>
    </w:p>
    <w:p w14:paraId="364DEDAF" w14:textId="77777777" w:rsidR="00005CC6" w:rsidRPr="003D1614" w:rsidRDefault="00005CC6" w:rsidP="00005CC6">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Banka kontrolira kreditni rizik putem kreditnih politika o upravljanju ovim rizikom u kojima su utvrđeni sustavi unutarnjih kontrola s ciljem preventivnog djelovanja na rizik.</w:t>
      </w:r>
    </w:p>
    <w:p w14:paraId="66A41AE1" w14:textId="77777777" w:rsidR="00005CC6" w:rsidRPr="003D1614" w:rsidRDefault="00005CC6" w:rsidP="00005CC6">
      <w:pPr>
        <w:suppressAutoHyphens/>
        <w:autoSpaceDN w:val="0"/>
        <w:jc w:val="both"/>
        <w:rPr>
          <w:rFonts w:ascii="Arial" w:eastAsia="Times New Roman" w:hAnsi="Arial" w:cs="Arial"/>
          <w:color w:val="000000" w:themeColor="text1"/>
          <w:sz w:val="20"/>
          <w:szCs w:val="20"/>
        </w:rPr>
      </w:pPr>
    </w:p>
    <w:p w14:paraId="40A80E71" w14:textId="77777777" w:rsidR="00005CC6" w:rsidRPr="003D1614" w:rsidRDefault="00005CC6" w:rsidP="00005CC6">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Sustav upravljanja kreditnim rizikom čini najvažniji dio poslovne politike Banke i bitan je činitelj njezine strategije poslovanja, zbog čega je ovo područje regulirano Politikom o upravljanju kreditnim rizikom i Pravilnikom o upravljanju kreditnim rizikom, koji se primjenjuje na sve faze kreditnog procesa (od razvoja novih bankarskih proizvoda, odnosno od zahtjeva za kredit, praćenja poslovanja klijenta do konačne otplate kredita). </w:t>
      </w:r>
    </w:p>
    <w:p w14:paraId="0A3EE3B0" w14:textId="77777777" w:rsidR="00005CC6" w:rsidRPr="003D1614" w:rsidRDefault="00005CC6" w:rsidP="00005CC6">
      <w:pPr>
        <w:suppressAutoHyphens/>
        <w:autoSpaceDN w:val="0"/>
        <w:jc w:val="both"/>
        <w:rPr>
          <w:rFonts w:ascii="Arial" w:eastAsia="Times New Roman" w:hAnsi="Arial" w:cs="Arial"/>
          <w:color w:val="000000" w:themeColor="text1"/>
          <w:sz w:val="20"/>
          <w:szCs w:val="20"/>
        </w:rPr>
      </w:pPr>
    </w:p>
    <w:p w14:paraId="29B19A3A" w14:textId="77777777" w:rsidR="00005CC6" w:rsidRPr="003D1614" w:rsidRDefault="00005CC6" w:rsidP="00005CC6">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Uz Politiku i Pravilnik o upravljanju kreditnim rizikom propisane su metodologije kao zasebni interni akti namijenjeni ocjeni poslovanja različitih ciljanih skupina klijenata.</w:t>
      </w:r>
    </w:p>
    <w:p w14:paraId="1D765AE5" w14:textId="77777777" w:rsidR="00005CC6" w:rsidRPr="003D1614" w:rsidRDefault="00005CC6" w:rsidP="00005CC6">
      <w:pPr>
        <w:suppressAutoHyphens/>
        <w:autoSpaceDN w:val="0"/>
        <w:jc w:val="both"/>
        <w:rPr>
          <w:rFonts w:ascii="Arial" w:eastAsia="Times New Roman" w:hAnsi="Arial" w:cs="Arial"/>
          <w:color w:val="000000" w:themeColor="text1"/>
          <w:sz w:val="20"/>
          <w:szCs w:val="20"/>
        </w:rPr>
      </w:pPr>
    </w:p>
    <w:p w14:paraId="6089C307" w14:textId="77777777" w:rsidR="00005CC6" w:rsidRPr="003D1614" w:rsidRDefault="00005CC6" w:rsidP="00005CC6">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U slučaju izravnog kreditiranja, za ocjenjivanje kreditne sposobnosti koristi se Metodologija za ocjenu kreditnog rizika </w:t>
      </w:r>
      <w:r>
        <w:rPr>
          <w:rFonts w:ascii="Arial" w:eastAsia="Times New Roman" w:hAnsi="Arial" w:cs="Arial"/>
          <w:color w:val="000000" w:themeColor="text1"/>
          <w:sz w:val="20"/>
          <w:szCs w:val="20"/>
        </w:rPr>
        <w:t>koja se sastoji od:</w:t>
      </w:r>
    </w:p>
    <w:p w14:paraId="200BDA75" w14:textId="77777777" w:rsidR="00005CC6" w:rsidRPr="006B630F" w:rsidRDefault="00005CC6" w:rsidP="00005CC6">
      <w:pPr>
        <w:numPr>
          <w:ilvl w:val="0"/>
          <w:numId w:val="10"/>
        </w:numPr>
        <w:suppressAutoHyphens/>
        <w:autoSpaceDN w:val="0"/>
        <w:ind w:left="567" w:hanging="283"/>
        <w:contextualSpacing/>
        <w:jc w:val="both"/>
        <w:rPr>
          <w:rFonts w:ascii="Arial" w:eastAsia="Times New Roman" w:hAnsi="Arial" w:cs="Arial"/>
          <w:color w:val="000000" w:themeColor="text1"/>
          <w:sz w:val="20"/>
          <w:szCs w:val="20"/>
        </w:rPr>
      </w:pPr>
      <w:r w:rsidRPr="006B630F">
        <w:rPr>
          <w:rFonts w:ascii="Arial" w:eastAsia="Times New Roman" w:hAnsi="Arial" w:cs="Arial"/>
          <w:color w:val="000000" w:themeColor="text1"/>
          <w:sz w:val="20"/>
          <w:szCs w:val="20"/>
        </w:rPr>
        <w:t xml:space="preserve">Metodologije za ocjenu kreditnog rejtinga trgovačkih društava, </w:t>
      </w:r>
    </w:p>
    <w:p w14:paraId="01C87819" w14:textId="77777777" w:rsidR="00005CC6" w:rsidRPr="006B630F" w:rsidRDefault="00005CC6" w:rsidP="00005CC6">
      <w:pPr>
        <w:numPr>
          <w:ilvl w:val="0"/>
          <w:numId w:val="10"/>
        </w:numPr>
        <w:suppressAutoHyphens/>
        <w:autoSpaceDN w:val="0"/>
        <w:ind w:left="567" w:hanging="283"/>
        <w:contextualSpacing/>
        <w:jc w:val="both"/>
        <w:rPr>
          <w:rFonts w:ascii="Arial" w:eastAsia="Times New Roman" w:hAnsi="Arial" w:cs="Arial"/>
          <w:color w:val="000000" w:themeColor="text1"/>
          <w:sz w:val="20"/>
          <w:szCs w:val="20"/>
        </w:rPr>
      </w:pPr>
      <w:r w:rsidRPr="006B630F">
        <w:rPr>
          <w:rFonts w:ascii="Arial" w:eastAsia="Times New Roman" w:hAnsi="Arial" w:cs="Arial"/>
          <w:color w:val="000000" w:themeColor="text1"/>
          <w:sz w:val="20"/>
          <w:szCs w:val="20"/>
        </w:rPr>
        <w:t xml:space="preserve">Metodologije za ocjenu poslovanja klijenata koji poslovne knjige vode po Zakonu o porezu na dohodak, </w:t>
      </w:r>
    </w:p>
    <w:p w14:paraId="02B41667" w14:textId="77777777" w:rsidR="00005CC6" w:rsidRPr="006B630F" w:rsidRDefault="00005CC6" w:rsidP="00005CC6">
      <w:pPr>
        <w:numPr>
          <w:ilvl w:val="0"/>
          <w:numId w:val="10"/>
        </w:numPr>
        <w:suppressAutoHyphens/>
        <w:autoSpaceDN w:val="0"/>
        <w:ind w:left="567" w:hanging="283"/>
        <w:contextualSpacing/>
        <w:jc w:val="both"/>
        <w:rPr>
          <w:rFonts w:ascii="Arial" w:eastAsia="Times New Roman" w:hAnsi="Arial" w:cs="Arial"/>
          <w:color w:val="000000" w:themeColor="text1"/>
          <w:sz w:val="20"/>
          <w:szCs w:val="20"/>
        </w:rPr>
      </w:pPr>
      <w:r w:rsidRPr="006B630F">
        <w:rPr>
          <w:rFonts w:ascii="Arial" w:eastAsia="Times New Roman" w:hAnsi="Arial" w:cs="Arial"/>
          <w:color w:val="000000" w:themeColor="text1"/>
          <w:sz w:val="20"/>
          <w:szCs w:val="20"/>
        </w:rPr>
        <w:t xml:space="preserve">Metodologije kreditnog bodovanja, </w:t>
      </w:r>
    </w:p>
    <w:p w14:paraId="51CC0D30" w14:textId="77777777" w:rsidR="00005CC6" w:rsidRPr="006B630F" w:rsidRDefault="00005CC6" w:rsidP="00005CC6">
      <w:pPr>
        <w:numPr>
          <w:ilvl w:val="0"/>
          <w:numId w:val="10"/>
        </w:numPr>
        <w:suppressAutoHyphens/>
        <w:autoSpaceDN w:val="0"/>
        <w:ind w:left="567" w:hanging="283"/>
        <w:contextualSpacing/>
        <w:jc w:val="both"/>
        <w:rPr>
          <w:rFonts w:ascii="Arial" w:eastAsia="Times New Roman" w:hAnsi="Arial" w:cs="Arial"/>
          <w:color w:val="000000" w:themeColor="text1"/>
          <w:sz w:val="20"/>
          <w:szCs w:val="20"/>
        </w:rPr>
      </w:pPr>
      <w:r w:rsidRPr="006B630F">
        <w:rPr>
          <w:rFonts w:ascii="Arial" w:eastAsia="Times New Roman" w:hAnsi="Arial" w:cs="Arial"/>
          <w:color w:val="000000" w:themeColor="text1"/>
          <w:sz w:val="20"/>
          <w:szCs w:val="20"/>
        </w:rPr>
        <w:t xml:space="preserve">Metodologije za projektno financiranje, </w:t>
      </w:r>
    </w:p>
    <w:p w14:paraId="1C22DBE0" w14:textId="77777777" w:rsidR="00005CC6" w:rsidRPr="006B630F" w:rsidRDefault="00005CC6" w:rsidP="00005CC6">
      <w:pPr>
        <w:numPr>
          <w:ilvl w:val="0"/>
          <w:numId w:val="10"/>
        </w:numPr>
        <w:suppressAutoHyphens/>
        <w:autoSpaceDN w:val="0"/>
        <w:ind w:left="567" w:hanging="283"/>
        <w:contextualSpacing/>
        <w:jc w:val="both"/>
        <w:rPr>
          <w:rFonts w:ascii="Arial" w:eastAsia="Times New Roman" w:hAnsi="Arial" w:cs="Arial"/>
          <w:color w:val="000000" w:themeColor="text1"/>
          <w:sz w:val="20"/>
          <w:szCs w:val="20"/>
        </w:rPr>
      </w:pPr>
      <w:r w:rsidRPr="006B630F">
        <w:rPr>
          <w:rFonts w:ascii="Arial" w:eastAsia="Times New Roman" w:hAnsi="Arial" w:cs="Arial"/>
          <w:color w:val="000000" w:themeColor="text1"/>
          <w:sz w:val="20"/>
          <w:szCs w:val="20"/>
        </w:rPr>
        <w:t xml:space="preserve">Metodologije za ocjenu rizičnosti grana djelatnosti i, </w:t>
      </w:r>
    </w:p>
    <w:p w14:paraId="0059F2BA" w14:textId="77777777" w:rsidR="00005CC6" w:rsidRDefault="00005CC6" w:rsidP="00005CC6">
      <w:pPr>
        <w:numPr>
          <w:ilvl w:val="0"/>
          <w:numId w:val="10"/>
        </w:numPr>
        <w:suppressAutoHyphens/>
        <w:autoSpaceDN w:val="0"/>
        <w:ind w:left="567" w:hanging="283"/>
        <w:contextualSpacing/>
        <w:jc w:val="both"/>
        <w:rPr>
          <w:rFonts w:ascii="Arial" w:eastAsia="Times New Roman" w:hAnsi="Arial" w:cs="Arial"/>
          <w:color w:val="000000" w:themeColor="text1"/>
          <w:sz w:val="20"/>
          <w:szCs w:val="20"/>
        </w:rPr>
      </w:pPr>
      <w:r w:rsidRPr="006B630F">
        <w:rPr>
          <w:rFonts w:ascii="Arial" w:eastAsia="Times New Roman" w:hAnsi="Arial" w:cs="Arial"/>
          <w:color w:val="000000" w:themeColor="text1"/>
          <w:sz w:val="20"/>
          <w:szCs w:val="20"/>
        </w:rPr>
        <w:t>Metodologije za ocjenu instrumenata osiguranja</w:t>
      </w:r>
      <w:r>
        <w:rPr>
          <w:rFonts w:ascii="Arial" w:eastAsia="Times New Roman" w:hAnsi="Arial" w:cs="Arial"/>
          <w:color w:val="000000" w:themeColor="text1"/>
          <w:sz w:val="20"/>
          <w:szCs w:val="20"/>
        </w:rPr>
        <w:t>.</w:t>
      </w:r>
    </w:p>
    <w:p w14:paraId="15C16E96" w14:textId="77777777" w:rsidR="00005CC6" w:rsidRDefault="00005CC6" w:rsidP="00005CC6">
      <w:pPr>
        <w:suppressAutoHyphens/>
        <w:autoSpaceDN w:val="0"/>
        <w:ind w:left="567"/>
        <w:contextualSpacing/>
        <w:jc w:val="both"/>
        <w:rPr>
          <w:rFonts w:ascii="Arial" w:eastAsia="Times New Roman" w:hAnsi="Arial" w:cs="Arial"/>
          <w:color w:val="000000" w:themeColor="text1"/>
          <w:sz w:val="20"/>
          <w:szCs w:val="20"/>
        </w:rPr>
      </w:pPr>
    </w:p>
    <w:p w14:paraId="38BC3FFE" w14:textId="77777777" w:rsidR="00005CC6" w:rsidRDefault="00005CC6" w:rsidP="00005CC6">
      <w:pPr>
        <w:tabs>
          <w:tab w:val="left" w:pos="778"/>
        </w:tabs>
        <w:suppressAutoHyphens/>
        <w:autoSpaceDN w:val="0"/>
        <w:jc w:val="both"/>
        <w:rPr>
          <w:rFonts w:ascii="Arial" w:eastAsia="Times New Roman" w:hAnsi="Arial" w:cs="Arial"/>
          <w:color w:val="000000" w:themeColor="text1"/>
          <w:sz w:val="20"/>
          <w:szCs w:val="20"/>
        </w:rPr>
      </w:pPr>
      <w:r w:rsidRPr="006B630F">
        <w:rPr>
          <w:rFonts w:ascii="Arial" w:eastAsia="Times New Roman" w:hAnsi="Arial" w:cs="Arial"/>
          <w:color w:val="000000" w:themeColor="text1"/>
          <w:sz w:val="20"/>
          <w:szCs w:val="20"/>
        </w:rPr>
        <w:t>Metodologij</w:t>
      </w:r>
      <w:r>
        <w:rPr>
          <w:rFonts w:ascii="Arial" w:eastAsia="Times New Roman" w:hAnsi="Arial" w:cs="Arial"/>
          <w:color w:val="000000" w:themeColor="text1"/>
          <w:sz w:val="20"/>
          <w:szCs w:val="20"/>
        </w:rPr>
        <w:t>a</w:t>
      </w:r>
      <w:r w:rsidRPr="006B630F">
        <w:rPr>
          <w:rFonts w:ascii="Arial" w:eastAsia="Times New Roman" w:hAnsi="Arial" w:cs="Arial"/>
          <w:color w:val="000000" w:themeColor="text1"/>
          <w:sz w:val="20"/>
          <w:szCs w:val="20"/>
        </w:rPr>
        <w:t xml:space="preserve"> za ocjenu kreditnog rejtinga trgovačkih društava</w:t>
      </w:r>
      <w:r>
        <w:rPr>
          <w:rFonts w:ascii="Arial" w:eastAsia="Times New Roman" w:hAnsi="Arial" w:cs="Arial"/>
          <w:color w:val="000000" w:themeColor="text1"/>
          <w:sz w:val="20"/>
          <w:szCs w:val="20"/>
        </w:rPr>
        <w:t xml:space="preserve"> </w:t>
      </w:r>
      <w:r w:rsidRPr="007A7E34">
        <w:rPr>
          <w:rFonts w:ascii="Arial" w:eastAsia="Times New Roman" w:hAnsi="Arial" w:cs="Arial"/>
          <w:color w:val="000000" w:themeColor="text1"/>
          <w:sz w:val="20"/>
          <w:szCs w:val="20"/>
        </w:rPr>
        <w:t>se sastoji od tri modela za ocjenu kreditnog rizika klijenta temeljenoj na veličini klijenta i njegovog postojećeg poslovanja</w:t>
      </w:r>
      <w:r>
        <w:rPr>
          <w:rFonts w:ascii="Arial" w:eastAsia="Times New Roman" w:hAnsi="Arial" w:cs="Arial"/>
          <w:color w:val="000000" w:themeColor="text1"/>
          <w:sz w:val="20"/>
          <w:szCs w:val="20"/>
        </w:rPr>
        <w:t xml:space="preserve">, a </w:t>
      </w:r>
      <w:r w:rsidRPr="007A7E34">
        <w:rPr>
          <w:rFonts w:ascii="Arial" w:eastAsia="Times New Roman" w:hAnsi="Arial" w:cs="Arial"/>
          <w:color w:val="000000" w:themeColor="text1"/>
          <w:sz w:val="20"/>
          <w:szCs w:val="20"/>
        </w:rPr>
        <w:t xml:space="preserve">Metodologija za ocjenu poslovanja klijenata koji poslovne knjige vode po Zakonu o porezu na dohodak se koristi za ocjenu kreditnog rizika obrtnika, poljoprivrednika, slobodnih zanimanja i sl., </w:t>
      </w:r>
      <w:r>
        <w:rPr>
          <w:rFonts w:ascii="Arial" w:eastAsia="Times New Roman" w:hAnsi="Arial" w:cs="Arial"/>
          <w:color w:val="000000" w:themeColor="text1"/>
          <w:sz w:val="20"/>
          <w:szCs w:val="20"/>
        </w:rPr>
        <w:t xml:space="preserve">također </w:t>
      </w:r>
      <w:r w:rsidRPr="007A7E34">
        <w:rPr>
          <w:rFonts w:ascii="Arial" w:eastAsia="Times New Roman" w:hAnsi="Arial" w:cs="Arial"/>
          <w:color w:val="000000" w:themeColor="text1"/>
          <w:sz w:val="20"/>
          <w:szCs w:val="20"/>
        </w:rPr>
        <w:t>temeljem njihovog postojećeg poslovanja</w:t>
      </w:r>
      <w:r>
        <w:rPr>
          <w:rFonts w:ascii="Arial" w:eastAsia="Times New Roman" w:hAnsi="Arial" w:cs="Arial"/>
          <w:color w:val="000000" w:themeColor="text1"/>
          <w:sz w:val="20"/>
          <w:szCs w:val="20"/>
        </w:rPr>
        <w:t>.</w:t>
      </w:r>
    </w:p>
    <w:p w14:paraId="28EFD0C4" w14:textId="77777777" w:rsidR="00005CC6" w:rsidRPr="003D1614" w:rsidRDefault="00005CC6" w:rsidP="00005CC6">
      <w:pPr>
        <w:tabs>
          <w:tab w:val="left" w:pos="567"/>
        </w:tabs>
        <w:suppressAutoHyphens/>
        <w:autoSpaceDN w:val="0"/>
        <w:spacing w:line="300" w:lineRule="exact"/>
        <w:rPr>
          <w:rFonts w:ascii="Arial" w:eastAsia="Calibri" w:hAnsi="Arial" w:cs="Arial"/>
          <w:b/>
          <w:color w:val="000000" w:themeColor="text1"/>
          <w:sz w:val="20"/>
          <w:szCs w:val="20"/>
        </w:rPr>
      </w:pPr>
    </w:p>
    <w:p w14:paraId="1328C4ED" w14:textId="77777777" w:rsidR="00005CC6" w:rsidRPr="003D1614" w:rsidRDefault="00005CC6" w:rsidP="00005CC6">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Metodologij</w:t>
      </w:r>
      <w:r>
        <w:rPr>
          <w:rFonts w:ascii="Arial" w:eastAsia="Times New Roman" w:hAnsi="Arial" w:cs="Arial"/>
          <w:color w:val="000000" w:themeColor="text1"/>
          <w:sz w:val="20"/>
          <w:szCs w:val="20"/>
        </w:rPr>
        <w:t>a</w:t>
      </w:r>
      <w:r w:rsidRPr="003D1614">
        <w:rPr>
          <w:rFonts w:ascii="Arial" w:eastAsia="Times New Roman" w:hAnsi="Arial" w:cs="Arial"/>
          <w:color w:val="000000" w:themeColor="text1"/>
          <w:sz w:val="20"/>
          <w:szCs w:val="20"/>
        </w:rPr>
        <w:t xml:space="preserve"> kreditnog bodovanja </w:t>
      </w:r>
      <w:r w:rsidRPr="007A7E34">
        <w:rPr>
          <w:rFonts w:ascii="Arial" w:eastAsia="Times New Roman" w:hAnsi="Arial" w:cs="Arial"/>
          <w:color w:val="000000" w:themeColor="text1"/>
          <w:sz w:val="20"/>
          <w:szCs w:val="20"/>
        </w:rPr>
        <w:t xml:space="preserve">se koristi u procesu odobravanja plasmana klijentima kod buduće bruto izloženosti </w:t>
      </w:r>
      <w:r>
        <w:rPr>
          <w:rFonts w:ascii="Arial" w:eastAsia="Times New Roman" w:hAnsi="Arial" w:cs="Arial"/>
          <w:color w:val="000000" w:themeColor="text1"/>
          <w:sz w:val="20"/>
          <w:szCs w:val="20"/>
        </w:rPr>
        <w:t xml:space="preserve">prema </w:t>
      </w:r>
      <w:r w:rsidRPr="007A7E34">
        <w:rPr>
          <w:rFonts w:ascii="Arial" w:eastAsia="Times New Roman" w:hAnsi="Arial" w:cs="Arial"/>
          <w:color w:val="000000" w:themeColor="text1"/>
          <w:sz w:val="20"/>
          <w:szCs w:val="20"/>
        </w:rPr>
        <w:t>klijentima</w:t>
      </w:r>
      <w:r>
        <w:rPr>
          <w:rFonts w:ascii="Arial" w:eastAsia="Times New Roman" w:hAnsi="Arial" w:cs="Arial"/>
          <w:color w:val="000000" w:themeColor="text1"/>
          <w:sz w:val="20"/>
          <w:szCs w:val="20"/>
        </w:rPr>
        <w:t xml:space="preserve"> ili grupama povezanih osoba</w:t>
      </w:r>
      <w:r w:rsidRPr="007A7E34">
        <w:rPr>
          <w:rFonts w:ascii="Arial" w:eastAsia="Times New Roman" w:hAnsi="Arial" w:cs="Arial"/>
          <w:color w:val="000000" w:themeColor="text1"/>
          <w:sz w:val="20"/>
          <w:szCs w:val="20"/>
        </w:rPr>
        <w:t xml:space="preserve"> prema kojima će HBOR biti izložen do i u visini 400</w:t>
      </w:r>
      <w:r>
        <w:rPr>
          <w:rFonts w:ascii="Arial" w:eastAsia="Times New Roman" w:hAnsi="Arial" w:cs="Arial"/>
          <w:color w:val="000000" w:themeColor="text1"/>
          <w:sz w:val="20"/>
          <w:szCs w:val="20"/>
        </w:rPr>
        <w:t xml:space="preserve"> tisuća</w:t>
      </w:r>
      <w:r w:rsidRPr="007A7E34">
        <w:rPr>
          <w:rFonts w:ascii="Arial" w:eastAsia="Times New Roman" w:hAnsi="Arial" w:cs="Arial"/>
          <w:color w:val="000000" w:themeColor="text1"/>
          <w:sz w:val="20"/>
          <w:szCs w:val="20"/>
        </w:rPr>
        <w:t xml:space="preserve"> EUR</w:t>
      </w:r>
      <w:r w:rsidRPr="003D1614">
        <w:rPr>
          <w:rFonts w:ascii="Arial" w:eastAsia="Times New Roman" w:hAnsi="Arial" w:cs="Arial"/>
          <w:color w:val="000000" w:themeColor="text1"/>
          <w:sz w:val="20"/>
          <w:szCs w:val="20"/>
        </w:rPr>
        <w:t>.</w:t>
      </w:r>
    </w:p>
    <w:p w14:paraId="1E1763C9" w14:textId="77777777" w:rsidR="00005CC6" w:rsidRPr="00476A0D" w:rsidRDefault="00005CC6" w:rsidP="00005CC6">
      <w:pPr>
        <w:suppressAutoHyphens/>
        <w:autoSpaceDN w:val="0"/>
        <w:jc w:val="both"/>
        <w:rPr>
          <w:rFonts w:ascii="Arial" w:eastAsia="Times New Roman" w:hAnsi="Arial" w:cs="Arial"/>
          <w:color w:val="000000" w:themeColor="text1"/>
          <w:sz w:val="20"/>
          <w:szCs w:val="20"/>
        </w:rPr>
      </w:pPr>
    </w:p>
    <w:p w14:paraId="025BC587" w14:textId="77777777" w:rsidR="00005CC6" w:rsidRDefault="00005CC6" w:rsidP="00005CC6">
      <w:pPr>
        <w:suppressAutoHyphens/>
        <w:autoSpaceDN w:val="0"/>
        <w:jc w:val="both"/>
        <w:rPr>
          <w:rFonts w:ascii="Arial" w:eastAsia="Times New Roman" w:hAnsi="Arial" w:cs="Arial"/>
          <w:color w:val="000000" w:themeColor="text1"/>
          <w:sz w:val="20"/>
          <w:szCs w:val="20"/>
        </w:rPr>
      </w:pPr>
      <w:r w:rsidRPr="00476A0D">
        <w:rPr>
          <w:rFonts w:ascii="Arial" w:eastAsia="Times New Roman" w:hAnsi="Arial" w:cs="Arial"/>
          <w:color w:val="000000" w:themeColor="text1"/>
          <w:sz w:val="20"/>
          <w:szCs w:val="20"/>
        </w:rPr>
        <w:t xml:space="preserve">Metodologija za projektno financiranje koristi se za ocjenu kreditnog rizika projekta temeljem podataka iz investicijske studije odnosno poslovnog plana klijenta. Koristi se u procesu odobravanja plasmana klijentima </w:t>
      </w:r>
      <w:r>
        <w:rPr>
          <w:rFonts w:ascii="Arial" w:eastAsia="Times New Roman" w:hAnsi="Arial" w:cs="Arial"/>
          <w:color w:val="000000" w:themeColor="text1"/>
          <w:sz w:val="20"/>
          <w:szCs w:val="20"/>
        </w:rPr>
        <w:t xml:space="preserve">ili grupama povezanih osoba </w:t>
      </w:r>
      <w:r w:rsidRPr="00476A0D">
        <w:rPr>
          <w:rFonts w:ascii="Arial" w:eastAsia="Times New Roman" w:hAnsi="Arial" w:cs="Arial"/>
          <w:color w:val="000000" w:themeColor="text1"/>
          <w:sz w:val="20"/>
          <w:szCs w:val="20"/>
        </w:rPr>
        <w:t>kod buduće bruto izloženosti prema kojima će HBOR biti izložen iznad 400 tisuća EUR-a na bazi 3 modela ocjene vezane za djelatnost investicije</w:t>
      </w:r>
      <w:r>
        <w:rPr>
          <w:rFonts w:ascii="Arial" w:eastAsia="Times New Roman" w:hAnsi="Arial" w:cs="Arial"/>
          <w:color w:val="000000" w:themeColor="text1"/>
          <w:sz w:val="20"/>
          <w:szCs w:val="20"/>
        </w:rPr>
        <w:t xml:space="preserve">: </w:t>
      </w:r>
    </w:p>
    <w:p w14:paraId="15B585AA" w14:textId="77777777" w:rsidR="00005CC6" w:rsidRPr="007A7E34" w:rsidRDefault="00005CC6" w:rsidP="00005CC6">
      <w:pPr>
        <w:numPr>
          <w:ilvl w:val="0"/>
          <w:numId w:val="10"/>
        </w:numPr>
        <w:suppressAutoHyphens/>
        <w:autoSpaceDN w:val="0"/>
        <w:ind w:left="567" w:hanging="283"/>
        <w:contextualSpacing/>
        <w:jc w:val="both"/>
        <w:rPr>
          <w:rFonts w:ascii="Arial" w:eastAsia="Times New Roman" w:hAnsi="Arial" w:cs="Arial"/>
          <w:color w:val="000000" w:themeColor="text1"/>
          <w:sz w:val="20"/>
          <w:szCs w:val="20"/>
        </w:rPr>
      </w:pPr>
      <w:r w:rsidRPr="007A7E34">
        <w:rPr>
          <w:rFonts w:ascii="Arial" w:eastAsia="Times New Roman" w:hAnsi="Arial" w:cs="Arial"/>
          <w:color w:val="000000" w:themeColor="text1"/>
          <w:sz w:val="20"/>
          <w:szCs w:val="20"/>
        </w:rPr>
        <w:t xml:space="preserve">uslužne djelatnosti (npr. izgradnja hotela, objekti namijenjeni iznajmljivanju), </w:t>
      </w:r>
    </w:p>
    <w:p w14:paraId="6FD59862" w14:textId="77777777" w:rsidR="00005CC6" w:rsidRPr="007A7E34" w:rsidRDefault="00005CC6" w:rsidP="00005CC6">
      <w:pPr>
        <w:numPr>
          <w:ilvl w:val="0"/>
          <w:numId w:val="10"/>
        </w:numPr>
        <w:suppressAutoHyphens/>
        <w:autoSpaceDN w:val="0"/>
        <w:ind w:left="567" w:hanging="283"/>
        <w:contextualSpacing/>
        <w:jc w:val="both"/>
        <w:rPr>
          <w:rFonts w:ascii="Arial" w:eastAsia="Times New Roman" w:hAnsi="Arial" w:cs="Arial"/>
          <w:color w:val="000000" w:themeColor="text1"/>
          <w:sz w:val="20"/>
          <w:szCs w:val="20"/>
        </w:rPr>
      </w:pPr>
      <w:r w:rsidRPr="007A7E34">
        <w:rPr>
          <w:rFonts w:ascii="Arial" w:eastAsia="Times New Roman" w:hAnsi="Arial" w:cs="Arial"/>
          <w:color w:val="000000" w:themeColor="text1"/>
          <w:sz w:val="20"/>
          <w:szCs w:val="20"/>
        </w:rPr>
        <w:t>obnovljivi izvori energije</w:t>
      </w:r>
      <w:r>
        <w:rPr>
          <w:rFonts w:ascii="Arial" w:eastAsia="Times New Roman" w:hAnsi="Arial" w:cs="Arial"/>
          <w:color w:val="000000" w:themeColor="text1"/>
          <w:sz w:val="20"/>
          <w:szCs w:val="20"/>
        </w:rPr>
        <w:t>,</w:t>
      </w:r>
    </w:p>
    <w:p w14:paraId="7043DF56" w14:textId="77777777" w:rsidR="00005CC6" w:rsidRDefault="00005CC6" w:rsidP="00005CC6">
      <w:pPr>
        <w:numPr>
          <w:ilvl w:val="0"/>
          <w:numId w:val="10"/>
        </w:numPr>
        <w:suppressAutoHyphens/>
        <w:autoSpaceDN w:val="0"/>
        <w:ind w:left="567" w:hanging="283"/>
        <w:contextualSpacing/>
        <w:jc w:val="both"/>
        <w:rPr>
          <w:rFonts w:ascii="Arial" w:eastAsia="Times New Roman" w:hAnsi="Arial" w:cs="Arial"/>
          <w:color w:val="000000" w:themeColor="text1"/>
          <w:sz w:val="20"/>
          <w:szCs w:val="20"/>
        </w:rPr>
      </w:pPr>
      <w:r w:rsidRPr="007A7E34">
        <w:rPr>
          <w:rFonts w:ascii="Arial" w:eastAsia="Times New Roman" w:hAnsi="Arial" w:cs="Arial"/>
          <w:color w:val="000000" w:themeColor="text1"/>
          <w:sz w:val="20"/>
          <w:szCs w:val="20"/>
        </w:rPr>
        <w:t>ostale industrije koje ne pripadaju u prethodna dva modela.</w:t>
      </w:r>
    </w:p>
    <w:p w14:paraId="76DBCA45" w14:textId="77777777" w:rsidR="00005CC6" w:rsidRPr="00476A0D" w:rsidRDefault="00005CC6" w:rsidP="00005CC6">
      <w:pPr>
        <w:suppressAutoHyphens/>
        <w:autoSpaceDN w:val="0"/>
        <w:ind w:left="567"/>
        <w:contextualSpacing/>
        <w:jc w:val="both"/>
        <w:rPr>
          <w:rFonts w:ascii="Arial" w:eastAsia="Times New Roman" w:hAnsi="Arial" w:cs="Arial"/>
          <w:color w:val="000000" w:themeColor="text1"/>
          <w:sz w:val="20"/>
          <w:szCs w:val="20"/>
        </w:rPr>
      </w:pPr>
    </w:p>
    <w:p w14:paraId="68EBA5C9" w14:textId="458F006E" w:rsidR="00005CC6" w:rsidRPr="003D1614" w:rsidRDefault="00005CC6" w:rsidP="00005CC6">
      <w:pPr>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color w:val="000000" w:themeColor="text1"/>
          <w:sz w:val="20"/>
          <w:szCs w:val="20"/>
        </w:rPr>
        <w:t xml:space="preserve">Sukladno Zakonu o HBOR-u Banka dio svojih plasmana odobrava putem poslovnih banaka i leasing društava pri čemu se za ocjenu banaka primjenjuju Metodologija za ocjenu i odabir banaka i Metodologija za ocjenu i odabir inozemnih banaka, a za ocjenu leasing društava Metodologija za </w:t>
      </w:r>
      <w:r>
        <w:rPr>
          <w:rFonts w:ascii="Arial" w:eastAsia="Times New Roman" w:hAnsi="Arial" w:cs="Arial"/>
          <w:color w:val="000000" w:themeColor="text1"/>
          <w:sz w:val="20"/>
          <w:szCs w:val="20"/>
        </w:rPr>
        <w:t>dodjelu rejtinga</w:t>
      </w:r>
      <w:r w:rsidRPr="003D1614">
        <w:rPr>
          <w:rFonts w:ascii="Arial" w:eastAsia="Times New Roman" w:hAnsi="Arial" w:cs="Arial"/>
          <w:color w:val="000000" w:themeColor="text1"/>
          <w:sz w:val="20"/>
          <w:szCs w:val="20"/>
        </w:rPr>
        <w:t xml:space="preserve"> leasing društv</w:t>
      </w:r>
      <w:r>
        <w:rPr>
          <w:rFonts w:ascii="Arial" w:eastAsia="Times New Roman" w:hAnsi="Arial" w:cs="Arial"/>
          <w:color w:val="000000" w:themeColor="text1"/>
          <w:sz w:val="20"/>
          <w:szCs w:val="20"/>
        </w:rPr>
        <w:t>im</w:t>
      </w:r>
      <w:r w:rsidRPr="003D1614">
        <w:rPr>
          <w:rFonts w:ascii="Arial" w:eastAsia="Times New Roman" w:hAnsi="Arial" w:cs="Arial"/>
          <w:color w:val="000000" w:themeColor="text1"/>
          <w:sz w:val="20"/>
          <w:szCs w:val="20"/>
        </w:rPr>
        <w:t>a. Radi lakše dostupnosti sredstava HBOR-a, dio svojih plasmana plasira se po modelu podjele rizika prema kojem u financiranju klijenata sudjeluje poslovna banka i HBOR u unaprijed dogovorenim omjerima financiranja.</w:t>
      </w:r>
    </w:p>
    <w:p w14:paraId="3343FF70" w14:textId="77777777" w:rsidR="00005CC6" w:rsidRPr="003D1614" w:rsidRDefault="00005CC6" w:rsidP="00005CC6">
      <w:pPr>
        <w:suppressAutoHyphens/>
        <w:autoSpaceDN w:val="0"/>
        <w:jc w:val="both"/>
        <w:rPr>
          <w:rFonts w:ascii="Arial" w:eastAsia="Times New Roman" w:hAnsi="Arial" w:cs="Arial"/>
          <w:color w:val="000000" w:themeColor="text1"/>
          <w:sz w:val="20"/>
          <w:szCs w:val="20"/>
        </w:rPr>
      </w:pPr>
    </w:p>
    <w:p w14:paraId="52AB4959" w14:textId="77777777" w:rsidR="00005CC6" w:rsidRDefault="00005CC6" w:rsidP="00005CC6">
      <w:pPr>
        <w:suppressAutoHyphens/>
        <w:autoSpaceDN w:val="0"/>
        <w:jc w:val="both"/>
        <w:rPr>
          <w:rFonts w:ascii="Arial" w:eastAsia="Times New Roman" w:hAnsi="Arial" w:cs="Arial"/>
          <w:color w:val="000000" w:themeColor="text1"/>
          <w:sz w:val="20"/>
          <w:szCs w:val="20"/>
        </w:rPr>
        <w:sectPr w:rsidR="00005CC6" w:rsidSect="00005CC6">
          <w:pgSz w:w="11906" w:h="16838"/>
          <w:pgMar w:top="1417" w:right="1417" w:bottom="1417" w:left="1417" w:header="708" w:footer="708" w:gutter="0"/>
          <w:cols w:space="708"/>
          <w:docGrid w:linePitch="360"/>
        </w:sectPr>
      </w:pPr>
      <w:r w:rsidRPr="003D1614">
        <w:rPr>
          <w:rFonts w:ascii="Arial" w:eastAsia="Times New Roman" w:hAnsi="Arial" w:cs="Arial"/>
          <w:color w:val="000000" w:themeColor="text1"/>
          <w:sz w:val="20"/>
          <w:szCs w:val="20"/>
        </w:rPr>
        <w:t xml:space="preserve">Banka kao razvojna financijska institucija podupire rast i razvoj hrvatskog gospodarstva kroz investicijsko ulaganje. Iz tog razloga klijenti se najčešće javljaju sa zahtjevima za kreditno praćenje razvojnih investicijskih projekata. Kako bi se rizik sveo na najmanju mjeru i što objektivnije procijenilo koji projekti su ekonomski održivi te osiguravaju povrat uloženog, Banka stalno unapređuje postojeća </w:t>
      </w:r>
    </w:p>
    <w:p w14:paraId="4609B302" w14:textId="77777777" w:rsidR="00CD630B" w:rsidRDefault="00CD630B" w:rsidP="00CD630B">
      <w:pPr>
        <w:suppressAutoHyphens/>
        <w:autoSpaceDN w:val="0"/>
        <w:jc w:val="both"/>
        <w:rPr>
          <w:rFonts w:ascii="Arial" w:eastAsia="Times New Roman" w:hAnsi="Arial" w:cs="Arial"/>
          <w:color w:val="000000" w:themeColor="text1"/>
          <w:sz w:val="20"/>
          <w:szCs w:val="20"/>
        </w:rPr>
      </w:pPr>
    </w:p>
    <w:p w14:paraId="7E536618" w14:textId="77777777" w:rsidR="002949C3" w:rsidRPr="003D1614" w:rsidRDefault="002949C3" w:rsidP="002949C3">
      <w:pPr>
        <w:tabs>
          <w:tab w:val="left" w:pos="567"/>
        </w:tabs>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lang w:eastAsia="hr-HR"/>
        </w:rPr>
        <w:t>2</w:t>
      </w:r>
      <w:r>
        <w:rPr>
          <w:rFonts w:ascii="Arial" w:eastAsia="Times New Roman" w:hAnsi="Arial" w:cs="Arial"/>
          <w:b/>
          <w:color w:val="000000" w:themeColor="text1"/>
          <w:sz w:val="20"/>
          <w:szCs w:val="20"/>
          <w:lang w:eastAsia="hr-HR"/>
        </w:rPr>
        <w:t>3</w:t>
      </w:r>
      <w:r w:rsidRPr="003D1614">
        <w:rPr>
          <w:rFonts w:ascii="Arial" w:eastAsia="Times New Roman" w:hAnsi="Arial" w:cs="Arial"/>
          <w:b/>
          <w:color w:val="000000" w:themeColor="text1"/>
          <w:sz w:val="20"/>
          <w:szCs w:val="20"/>
          <w:lang w:eastAsia="hr-HR"/>
        </w:rPr>
        <w:t>.</w:t>
      </w:r>
      <w:r w:rsidRPr="003D1614">
        <w:rPr>
          <w:rFonts w:ascii="Arial" w:eastAsia="Times New Roman" w:hAnsi="Arial" w:cs="Arial"/>
          <w:b/>
          <w:color w:val="000000" w:themeColor="text1"/>
          <w:sz w:val="20"/>
          <w:szCs w:val="20"/>
        </w:rPr>
        <w:tab/>
        <w:t>Upravljanje rizicima (nastavak)</w:t>
      </w:r>
    </w:p>
    <w:p w14:paraId="60809623" w14:textId="77777777" w:rsidR="002949C3" w:rsidRPr="003D1614" w:rsidRDefault="002949C3" w:rsidP="002949C3">
      <w:pPr>
        <w:suppressAutoHyphens/>
        <w:autoSpaceDN w:val="0"/>
        <w:jc w:val="both"/>
        <w:rPr>
          <w:rFonts w:ascii="Arial" w:eastAsia="Times New Roman" w:hAnsi="Arial" w:cs="Arial"/>
          <w:color w:val="000000" w:themeColor="text1"/>
          <w:sz w:val="20"/>
          <w:szCs w:val="20"/>
        </w:rPr>
      </w:pPr>
    </w:p>
    <w:p w14:paraId="400C9A73" w14:textId="77777777" w:rsidR="002949C3" w:rsidRPr="003D1614" w:rsidRDefault="002949C3" w:rsidP="002949C3">
      <w:pPr>
        <w:tabs>
          <w:tab w:val="left" w:pos="567"/>
        </w:tabs>
        <w:suppressAutoHyphens/>
        <w:autoSpaceDN w:val="0"/>
        <w:spacing w:line="300" w:lineRule="exact"/>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ab/>
        <w:t>Kreditni rizik (nastavak)</w:t>
      </w:r>
    </w:p>
    <w:p w14:paraId="3E8E1089" w14:textId="77777777" w:rsidR="002949C3" w:rsidRPr="003D1614" w:rsidRDefault="002949C3" w:rsidP="002949C3">
      <w:pPr>
        <w:suppressAutoHyphens/>
        <w:autoSpaceDN w:val="0"/>
        <w:jc w:val="both"/>
        <w:rPr>
          <w:rFonts w:ascii="Arial" w:eastAsia="Times New Roman" w:hAnsi="Arial" w:cs="Arial"/>
          <w:color w:val="000000" w:themeColor="text1"/>
          <w:sz w:val="20"/>
          <w:szCs w:val="20"/>
        </w:rPr>
      </w:pPr>
    </w:p>
    <w:p w14:paraId="6B1D1AAE" w14:textId="77777777" w:rsidR="002949C3" w:rsidRPr="003D1614" w:rsidRDefault="002949C3" w:rsidP="002949C3">
      <w:pPr>
        <w:suppressAutoHyphens/>
        <w:autoSpaceDN w:val="0"/>
        <w:jc w:val="both"/>
        <w:rPr>
          <w:rFonts w:ascii="Arial" w:eastAsia="Times New Roman" w:hAnsi="Arial" w:cs="Arial"/>
          <w:color w:val="000000"/>
          <w:sz w:val="20"/>
          <w:szCs w:val="20"/>
        </w:rPr>
      </w:pPr>
    </w:p>
    <w:p w14:paraId="569566EB" w14:textId="77777777" w:rsidR="002949C3" w:rsidRPr="003D1614" w:rsidRDefault="002949C3" w:rsidP="002949C3">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organizacijsko-tehnološka rješenja, izvještaje i akte te daje prijedloge novih organizacijskih propisa i provedbenih uputa.</w:t>
      </w:r>
    </w:p>
    <w:p w14:paraId="3C9A19D1" w14:textId="77777777" w:rsidR="002949C3" w:rsidRPr="003D1614" w:rsidRDefault="002949C3" w:rsidP="002949C3">
      <w:pPr>
        <w:suppressAutoHyphens/>
        <w:autoSpaceDN w:val="0"/>
        <w:jc w:val="both"/>
        <w:rPr>
          <w:rFonts w:ascii="Arial" w:eastAsia="Times New Roman" w:hAnsi="Arial" w:cs="Arial"/>
          <w:color w:val="000000" w:themeColor="text1"/>
          <w:sz w:val="20"/>
          <w:szCs w:val="20"/>
        </w:rPr>
      </w:pPr>
    </w:p>
    <w:p w14:paraId="7EDD3599" w14:textId="77777777" w:rsidR="002949C3" w:rsidRPr="003D1614" w:rsidRDefault="002949C3" w:rsidP="002949C3">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Stalnim praćenjem i ocjenjivanjem poslovanja klijenata nastoje se pravovremeno uočiti poteškoće u njihovom poslovanju. Kod klijenata koji su suočeni s problemima Banka pronalazi primjerene načine naplate potraživanja sagledavajući mogućnosti novih uvjeta otplate potraživanja s ciljem nastavka proizvodnog procesa i povećanja zapošljavanja. Posebno se uočavaju i prate uzroci loših plasmana te se postupci za njihovu prevenciju ugrađuju u procedure rada u svrhu smanjenja udjela rizičnih plasmana.</w:t>
      </w:r>
    </w:p>
    <w:p w14:paraId="075E2426" w14:textId="77777777" w:rsidR="002949C3" w:rsidRPr="003D1614" w:rsidRDefault="002949C3" w:rsidP="002949C3">
      <w:pPr>
        <w:suppressAutoHyphens/>
        <w:autoSpaceDN w:val="0"/>
        <w:jc w:val="both"/>
        <w:rPr>
          <w:rFonts w:ascii="Arial" w:eastAsia="Times New Roman" w:hAnsi="Arial" w:cs="Arial"/>
          <w:color w:val="000000" w:themeColor="text1"/>
          <w:sz w:val="20"/>
          <w:szCs w:val="20"/>
        </w:rPr>
      </w:pPr>
    </w:p>
    <w:p w14:paraId="419D7921" w14:textId="5D910490" w:rsidR="002949C3" w:rsidRPr="003D1614" w:rsidRDefault="002949C3" w:rsidP="002949C3">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U svrhu praćenja i kontrole rizika utvrđeni su sustavi limita za upravljanje kreditnim rizikom</w:t>
      </w:r>
      <w:r>
        <w:rPr>
          <w:rFonts w:ascii="Arial" w:eastAsia="Times New Roman" w:hAnsi="Arial" w:cs="Arial"/>
          <w:color w:val="000000" w:themeColor="text1"/>
          <w:sz w:val="20"/>
          <w:szCs w:val="20"/>
        </w:rPr>
        <w:t>,</w:t>
      </w:r>
      <w:r w:rsidR="00E34CDA">
        <w:rPr>
          <w:rFonts w:ascii="Arial" w:eastAsia="Times New Roman" w:hAnsi="Arial" w:cs="Arial"/>
          <w:color w:val="000000" w:themeColor="text1"/>
          <w:sz w:val="20"/>
          <w:szCs w:val="20"/>
        </w:rPr>
        <w:t xml:space="preserve"> </w:t>
      </w:r>
      <w:r w:rsidRPr="003D1614">
        <w:rPr>
          <w:rFonts w:ascii="Arial" w:eastAsia="Times New Roman" w:hAnsi="Arial" w:cs="Arial"/>
          <w:color w:val="000000" w:themeColor="text1"/>
          <w:sz w:val="20"/>
          <w:szCs w:val="20"/>
        </w:rPr>
        <w:t>limiti velike izloženosti i maksimalno dozvoljeni iznos kreditne izloženosti prema pojedinom korisniku i s njim povezanim osobama.</w:t>
      </w:r>
    </w:p>
    <w:p w14:paraId="146EFB14" w14:textId="77777777" w:rsidR="00F918AB" w:rsidRDefault="00F918AB" w:rsidP="00CD630B">
      <w:pPr>
        <w:suppressAutoHyphens/>
        <w:autoSpaceDN w:val="0"/>
        <w:jc w:val="both"/>
        <w:rPr>
          <w:rFonts w:ascii="Arial" w:eastAsia="Times New Roman" w:hAnsi="Arial" w:cs="Arial"/>
          <w:color w:val="000000" w:themeColor="text1"/>
          <w:sz w:val="20"/>
          <w:szCs w:val="20"/>
        </w:rPr>
      </w:pPr>
    </w:p>
    <w:p w14:paraId="1DAAE87B" w14:textId="77777777" w:rsidR="00680374" w:rsidRPr="003D1614" w:rsidRDefault="00680374" w:rsidP="00680374">
      <w:pPr>
        <w:tabs>
          <w:tab w:val="left" w:pos="567"/>
          <w:tab w:val="left" w:pos="851"/>
        </w:tabs>
        <w:suppressAutoHyphens/>
        <w:autoSpaceDN w:val="0"/>
        <w:spacing w:line="300" w:lineRule="exact"/>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.3.1.</w:t>
      </w:r>
      <w:r w:rsidRPr="003D1614">
        <w:rPr>
          <w:rFonts w:ascii="Arial" w:eastAsia="Calibri" w:hAnsi="Arial" w:cs="Arial"/>
          <w:b/>
          <w:color w:val="000000" w:themeColor="text1"/>
          <w:sz w:val="20"/>
          <w:szCs w:val="20"/>
        </w:rPr>
        <w:tab/>
        <w:t>Rizik povezan s kreditnim odobrenjima</w:t>
      </w:r>
    </w:p>
    <w:p w14:paraId="40A57553" w14:textId="77777777" w:rsidR="00680374" w:rsidRPr="003D1614" w:rsidRDefault="00680374" w:rsidP="00680374">
      <w:pPr>
        <w:suppressAutoHyphens/>
        <w:autoSpaceDN w:val="0"/>
        <w:jc w:val="both"/>
        <w:rPr>
          <w:rFonts w:ascii="Arial" w:eastAsia="Times New Roman" w:hAnsi="Arial" w:cs="Arial"/>
          <w:color w:val="000000" w:themeColor="text1"/>
          <w:sz w:val="20"/>
          <w:szCs w:val="20"/>
        </w:rPr>
      </w:pPr>
    </w:p>
    <w:p w14:paraId="2692C54C" w14:textId="77777777" w:rsidR="00680374" w:rsidRPr="003D1614" w:rsidRDefault="00680374" w:rsidP="00680374">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Klijentima banke omogućeno je izdavanje garancija i akreditiva (pokriće je moguće i iz kredita), po identičnoj proceduri koja je propisana za izravne klijente kod odobravanja kredita.</w:t>
      </w:r>
    </w:p>
    <w:p w14:paraId="67A7CDC6" w14:textId="77777777" w:rsidR="00680374" w:rsidRPr="003D1614" w:rsidRDefault="00680374" w:rsidP="00680374">
      <w:pPr>
        <w:suppressAutoHyphens/>
        <w:autoSpaceDN w:val="0"/>
        <w:jc w:val="both"/>
        <w:rPr>
          <w:rFonts w:ascii="Arial" w:eastAsia="Times New Roman" w:hAnsi="Arial" w:cs="Arial"/>
          <w:color w:val="000000" w:themeColor="text1"/>
          <w:sz w:val="20"/>
          <w:szCs w:val="20"/>
        </w:rPr>
      </w:pPr>
    </w:p>
    <w:p w14:paraId="2B8E049D" w14:textId="77777777" w:rsidR="00680374" w:rsidRDefault="00680374" w:rsidP="00680374">
      <w:pPr>
        <w:tabs>
          <w:tab w:val="left" w:pos="2694"/>
        </w:tabs>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Sve garancije prate se prema rokovima važnosti, a akreditivi s odgođenim polaganjem pokrića prema dospijećima. </w:t>
      </w:r>
      <w:r>
        <w:rPr>
          <w:rFonts w:ascii="Arial" w:eastAsia="Times New Roman" w:hAnsi="Arial" w:cs="Arial"/>
          <w:color w:val="000000" w:themeColor="text1"/>
          <w:sz w:val="20"/>
          <w:szCs w:val="20"/>
        </w:rPr>
        <w:t xml:space="preserve">Kod činidbenih garancija prati se vjerojatnost plaćanja po garancijama praćenjem ostvarenja uvjeta za plaćanje po garancijama (iz komercijalnih ugovora, namjenskom kontrolom i dr.). </w:t>
      </w:r>
    </w:p>
    <w:p w14:paraId="0253D328" w14:textId="77777777" w:rsidR="00680374" w:rsidRDefault="00680374" w:rsidP="00680374">
      <w:pPr>
        <w:tabs>
          <w:tab w:val="left" w:pos="2694"/>
        </w:tabs>
        <w:suppressAutoHyphens/>
        <w:autoSpaceDN w:val="0"/>
        <w:jc w:val="both"/>
        <w:rPr>
          <w:rFonts w:ascii="Arial" w:eastAsia="Times New Roman" w:hAnsi="Arial" w:cs="Arial"/>
          <w:color w:val="000000" w:themeColor="text1"/>
          <w:sz w:val="20"/>
          <w:szCs w:val="20"/>
        </w:rPr>
      </w:pPr>
    </w:p>
    <w:p w14:paraId="64D84A05" w14:textId="77777777" w:rsidR="00680374" w:rsidRPr="003D1614" w:rsidRDefault="00680374" w:rsidP="00680374">
      <w:pPr>
        <w:tabs>
          <w:tab w:val="left" w:pos="2694"/>
        </w:tabs>
        <w:suppressAutoHyphens/>
        <w:autoSpaceDN w:val="0"/>
        <w:jc w:val="both"/>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Ako</w:t>
      </w:r>
      <w:r w:rsidRPr="003D1614">
        <w:rPr>
          <w:rFonts w:ascii="Arial" w:eastAsia="Times New Roman" w:hAnsi="Arial" w:cs="Arial"/>
          <w:color w:val="000000" w:themeColor="text1"/>
          <w:sz w:val="20"/>
          <w:szCs w:val="20"/>
        </w:rPr>
        <w:t xml:space="preserve"> dođe do poziva za plaćanje Banka je obvezna izvršiti plaćanje u ime klijenta. Takve obveze Banku izlažu rizicima koji su slični kreditnima, a umanjuju se istim postupcima koji se primjenjuju na kredite.</w:t>
      </w:r>
    </w:p>
    <w:p w14:paraId="589C8D44" w14:textId="77777777" w:rsidR="00680374" w:rsidRPr="003D1614" w:rsidRDefault="00680374" w:rsidP="00680374">
      <w:pPr>
        <w:suppressAutoHyphens/>
        <w:autoSpaceDN w:val="0"/>
        <w:jc w:val="both"/>
        <w:rPr>
          <w:rFonts w:ascii="Arial" w:eastAsia="Calibri" w:hAnsi="Arial" w:cs="Arial"/>
          <w:b/>
          <w:bCs/>
          <w:color w:val="000000" w:themeColor="text1"/>
          <w:spacing w:val="-3"/>
          <w:sz w:val="20"/>
          <w:szCs w:val="20"/>
        </w:rPr>
      </w:pPr>
    </w:p>
    <w:p w14:paraId="08E44651" w14:textId="77777777" w:rsidR="00680374" w:rsidRPr="003D1614" w:rsidRDefault="00680374" w:rsidP="00680374">
      <w:pPr>
        <w:tabs>
          <w:tab w:val="left" w:pos="851"/>
        </w:tabs>
        <w:suppressAutoHyphens/>
        <w:autoSpaceDN w:val="0"/>
        <w:spacing w:line="300" w:lineRule="exact"/>
        <w:jc w:val="both"/>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.3.2.</w:t>
      </w:r>
      <w:r w:rsidRPr="003D1614">
        <w:rPr>
          <w:rFonts w:ascii="Arial" w:eastAsia="Calibri" w:hAnsi="Arial" w:cs="Arial"/>
          <w:b/>
          <w:color w:val="000000" w:themeColor="text1"/>
          <w:sz w:val="20"/>
          <w:szCs w:val="20"/>
        </w:rPr>
        <w:tab/>
        <w:t xml:space="preserve">Procjena umanjenja vrijednosti </w:t>
      </w:r>
    </w:p>
    <w:p w14:paraId="386A5862" w14:textId="77777777" w:rsidR="00680374" w:rsidRPr="003D1614" w:rsidRDefault="00680374" w:rsidP="00680374">
      <w:pPr>
        <w:suppressAutoHyphens/>
        <w:autoSpaceDN w:val="0"/>
        <w:jc w:val="both"/>
        <w:rPr>
          <w:rFonts w:ascii="Arial" w:eastAsia="Times New Roman" w:hAnsi="Arial" w:cs="Arial"/>
          <w:color w:val="000000" w:themeColor="text1"/>
          <w:sz w:val="20"/>
          <w:szCs w:val="20"/>
        </w:rPr>
      </w:pPr>
    </w:p>
    <w:p w14:paraId="62CD81F7" w14:textId="77777777" w:rsidR="00680374" w:rsidRPr="003D1614" w:rsidRDefault="00680374" w:rsidP="00680374">
      <w:pPr>
        <w:suppressAutoHyphens/>
        <w:autoSpaceDN w:val="0"/>
        <w:jc w:val="both"/>
        <w:rPr>
          <w:rFonts w:ascii="Arial" w:eastAsia="Times New Roman" w:hAnsi="Arial" w:cs="Arial"/>
          <w:color w:val="000000" w:themeColor="text1"/>
          <w:sz w:val="20"/>
          <w:szCs w:val="20"/>
        </w:rPr>
      </w:pPr>
      <w:bookmarkStart w:id="583" w:name="_Hlk166076360"/>
      <w:r w:rsidRPr="003D1614">
        <w:rPr>
          <w:rFonts w:ascii="Arial" w:eastAsia="Times New Roman" w:hAnsi="Arial" w:cs="Arial"/>
          <w:color w:val="000000" w:themeColor="text1"/>
          <w:sz w:val="20"/>
          <w:szCs w:val="20"/>
        </w:rPr>
        <w:t xml:space="preserve">Umanjenje vrijednosti formira se u skladu s Međunarodnim standardom financijskog izvještavanja 9, </w:t>
      </w:r>
      <w:r>
        <w:rPr>
          <w:rFonts w:ascii="Arial" w:eastAsia="Times New Roman" w:hAnsi="Arial" w:cs="Arial"/>
          <w:color w:val="000000" w:themeColor="text1"/>
          <w:sz w:val="20"/>
          <w:szCs w:val="20"/>
        </w:rPr>
        <w:t xml:space="preserve"> bankarskom regulativom</w:t>
      </w:r>
      <w:r w:rsidRPr="003D1614">
        <w:rPr>
          <w:rFonts w:ascii="Arial" w:eastAsia="Times New Roman" w:hAnsi="Arial" w:cs="Arial"/>
          <w:color w:val="000000" w:themeColor="text1"/>
          <w:sz w:val="20"/>
          <w:szCs w:val="20"/>
        </w:rPr>
        <w:t xml:space="preserve"> primjenjiv</w:t>
      </w:r>
      <w:r>
        <w:rPr>
          <w:rFonts w:ascii="Arial" w:eastAsia="Times New Roman" w:hAnsi="Arial" w:cs="Arial"/>
          <w:color w:val="000000" w:themeColor="text1"/>
          <w:sz w:val="20"/>
          <w:szCs w:val="20"/>
        </w:rPr>
        <w:t>o</w:t>
      </w:r>
      <w:r w:rsidRPr="003D1614">
        <w:rPr>
          <w:rFonts w:ascii="Arial" w:eastAsia="Times New Roman" w:hAnsi="Arial" w:cs="Arial"/>
          <w:color w:val="000000" w:themeColor="text1"/>
          <w:sz w:val="20"/>
          <w:szCs w:val="20"/>
        </w:rPr>
        <w:t>m na HBOR i internim pravilnicima i metodologijama rada.</w:t>
      </w:r>
    </w:p>
    <w:bookmarkEnd w:id="583"/>
    <w:p w14:paraId="00FFBCD2" w14:textId="77777777" w:rsidR="00680374" w:rsidRPr="003D1614" w:rsidRDefault="00680374" w:rsidP="00680374">
      <w:pPr>
        <w:suppressAutoHyphens/>
        <w:autoSpaceDN w:val="0"/>
        <w:jc w:val="both"/>
        <w:rPr>
          <w:rFonts w:ascii="Arial" w:eastAsia="Times New Roman" w:hAnsi="Arial" w:cs="Arial"/>
          <w:color w:val="000000" w:themeColor="text1"/>
          <w:sz w:val="20"/>
          <w:szCs w:val="20"/>
        </w:rPr>
      </w:pPr>
    </w:p>
    <w:p w14:paraId="6DFB80D4" w14:textId="77777777" w:rsidR="00680374" w:rsidRPr="003D1614" w:rsidRDefault="00680374" w:rsidP="00680374">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S obzirom na procijenjenu razinu kreditnog rizika te način izračuna očekivanih kreditnih gubitaka, </w:t>
      </w:r>
      <w:r>
        <w:rPr>
          <w:rFonts w:ascii="Arial" w:eastAsia="Times New Roman" w:hAnsi="Arial" w:cs="Arial"/>
          <w:color w:val="000000" w:themeColor="text1"/>
          <w:sz w:val="20"/>
          <w:szCs w:val="20"/>
        </w:rPr>
        <w:t xml:space="preserve">izloženosti prema </w:t>
      </w:r>
      <w:r w:rsidRPr="003D1614">
        <w:rPr>
          <w:rFonts w:ascii="Arial" w:eastAsia="Times New Roman" w:hAnsi="Arial" w:cs="Arial"/>
          <w:color w:val="000000" w:themeColor="text1"/>
          <w:sz w:val="20"/>
          <w:szCs w:val="20"/>
        </w:rPr>
        <w:t>klijenti</w:t>
      </w:r>
      <w:r>
        <w:rPr>
          <w:rFonts w:ascii="Arial" w:eastAsia="Times New Roman" w:hAnsi="Arial" w:cs="Arial"/>
          <w:color w:val="000000" w:themeColor="text1"/>
          <w:sz w:val="20"/>
          <w:szCs w:val="20"/>
        </w:rPr>
        <w:t>ma</w:t>
      </w:r>
      <w:r w:rsidRPr="003D1614">
        <w:rPr>
          <w:rFonts w:ascii="Arial" w:eastAsia="Times New Roman" w:hAnsi="Arial" w:cs="Arial"/>
          <w:color w:val="000000" w:themeColor="text1"/>
          <w:sz w:val="20"/>
          <w:szCs w:val="20"/>
        </w:rPr>
        <w:t xml:space="preserve"> se razvrstavaju u sljedeće kategorije:</w:t>
      </w:r>
      <w:bookmarkStart w:id="584" w:name="_Hlk498950823"/>
    </w:p>
    <w:bookmarkEnd w:id="584"/>
    <w:p w14:paraId="648A3C3A" w14:textId="77777777" w:rsidR="00680374" w:rsidRPr="003D1614" w:rsidRDefault="00680374" w:rsidP="00680374">
      <w:pPr>
        <w:numPr>
          <w:ilvl w:val="0"/>
          <w:numId w:val="12"/>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1. stupanj </w:t>
      </w:r>
      <w:r>
        <w:rPr>
          <w:rFonts w:ascii="Arial" w:eastAsia="Times New Roman" w:hAnsi="Arial" w:cs="Arial"/>
          <w:color w:val="000000" w:themeColor="text1"/>
          <w:sz w:val="20"/>
          <w:szCs w:val="20"/>
        </w:rPr>
        <w:t>–</w:t>
      </w:r>
      <w:r w:rsidRPr="003D1614">
        <w:rPr>
          <w:rFonts w:ascii="Arial" w:eastAsia="Times New Roman" w:hAnsi="Arial" w:cs="Arial"/>
          <w:color w:val="000000" w:themeColor="text1"/>
          <w:sz w:val="20"/>
          <w:szCs w:val="20"/>
        </w:rPr>
        <w:t xml:space="preserve"> obuhvaća</w:t>
      </w:r>
      <w:r>
        <w:rPr>
          <w:rFonts w:ascii="Arial" w:eastAsia="Times New Roman" w:hAnsi="Arial" w:cs="Arial"/>
          <w:color w:val="000000" w:themeColor="text1"/>
          <w:sz w:val="20"/>
          <w:szCs w:val="20"/>
        </w:rPr>
        <w:t xml:space="preserve"> izloženosti prema</w:t>
      </w:r>
      <w:r w:rsidRPr="003D1614">
        <w:rPr>
          <w:rFonts w:ascii="Arial" w:eastAsia="Times New Roman" w:hAnsi="Arial" w:cs="Arial"/>
          <w:color w:val="000000" w:themeColor="text1"/>
          <w:sz w:val="20"/>
          <w:szCs w:val="20"/>
        </w:rPr>
        <w:t xml:space="preserve"> klijent</w:t>
      </w:r>
      <w:r>
        <w:rPr>
          <w:rFonts w:ascii="Arial" w:eastAsia="Times New Roman" w:hAnsi="Arial" w:cs="Arial"/>
          <w:color w:val="000000" w:themeColor="text1"/>
          <w:sz w:val="20"/>
          <w:szCs w:val="20"/>
        </w:rPr>
        <w:t>ima</w:t>
      </w:r>
      <w:r w:rsidRPr="003D1614">
        <w:rPr>
          <w:rFonts w:ascii="Arial" w:eastAsia="Times New Roman" w:hAnsi="Arial" w:cs="Arial"/>
          <w:color w:val="000000" w:themeColor="text1"/>
          <w:sz w:val="20"/>
          <w:szCs w:val="20"/>
        </w:rPr>
        <w:t xml:space="preserve"> niskog kreditnog rizika kod kojih  nije došlo do značajnog povećanja kreditnog rizika,</w:t>
      </w:r>
    </w:p>
    <w:p w14:paraId="26356227" w14:textId="77777777" w:rsidR="00680374" w:rsidRPr="003D1614" w:rsidRDefault="00680374" w:rsidP="00680374">
      <w:pPr>
        <w:numPr>
          <w:ilvl w:val="0"/>
          <w:numId w:val="12"/>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2. stupanj </w:t>
      </w:r>
      <w:r>
        <w:rPr>
          <w:rFonts w:ascii="Arial" w:eastAsia="Times New Roman" w:hAnsi="Arial" w:cs="Arial"/>
          <w:color w:val="000000" w:themeColor="text1"/>
          <w:sz w:val="20"/>
          <w:szCs w:val="20"/>
        </w:rPr>
        <w:t>–</w:t>
      </w:r>
      <w:r w:rsidRPr="003D1614">
        <w:rPr>
          <w:rFonts w:ascii="Arial" w:eastAsia="Times New Roman" w:hAnsi="Arial" w:cs="Arial"/>
          <w:color w:val="000000" w:themeColor="text1"/>
          <w:sz w:val="20"/>
          <w:szCs w:val="20"/>
        </w:rPr>
        <w:t xml:space="preserve"> obuhvaća</w:t>
      </w:r>
      <w:r>
        <w:rPr>
          <w:rFonts w:ascii="Arial" w:eastAsia="Times New Roman" w:hAnsi="Arial" w:cs="Arial"/>
          <w:color w:val="000000" w:themeColor="text1"/>
          <w:sz w:val="20"/>
          <w:szCs w:val="20"/>
        </w:rPr>
        <w:t xml:space="preserve"> izloženosti prema</w:t>
      </w:r>
      <w:r w:rsidRPr="003D1614">
        <w:rPr>
          <w:rFonts w:ascii="Arial" w:eastAsia="Times New Roman" w:hAnsi="Arial" w:cs="Arial"/>
          <w:color w:val="000000" w:themeColor="text1"/>
          <w:sz w:val="20"/>
          <w:szCs w:val="20"/>
        </w:rPr>
        <w:t xml:space="preserve"> klijent</w:t>
      </w:r>
      <w:r>
        <w:rPr>
          <w:rFonts w:ascii="Arial" w:eastAsia="Times New Roman" w:hAnsi="Arial" w:cs="Arial"/>
          <w:color w:val="000000" w:themeColor="text1"/>
          <w:sz w:val="20"/>
          <w:szCs w:val="20"/>
        </w:rPr>
        <w:t>ima</w:t>
      </w:r>
      <w:r w:rsidRPr="003D1614">
        <w:rPr>
          <w:rFonts w:ascii="Arial" w:eastAsia="Times New Roman" w:hAnsi="Arial" w:cs="Arial"/>
          <w:color w:val="000000" w:themeColor="text1"/>
          <w:sz w:val="20"/>
          <w:szCs w:val="20"/>
        </w:rPr>
        <w:t xml:space="preserve"> kod kojih je došlo do značajnog povećanja kreditnog rizika nakon početnog priznavanja,</w:t>
      </w:r>
    </w:p>
    <w:p w14:paraId="690326EA" w14:textId="77777777" w:rsidR="00680374" w:rsidRPr="003D1614" w:rsidRDefault="00680374" w:rsidP="00680374">
      <w:pPr>
        <w:numPr>
          <w:ilvl w:val="0"/>
          <w:numId w:val="12"/>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3. stupanj </w:t>
      </w:r>
      <w:r>
        <w:rPr>
          <w:rFonts w:ascii="Arial" w:eastAsia="Times New Roman" w:hAnsi="Arial" w:cs="Arial"/>
          <w:color w:val="000000" w:themeColor="text1"/>
          <w:sz w:val="20"/>
          <w:szCs w:val="20"/>
        </w:rPr>
        <w:t>–</w:t>
      </w:r>
      <w:r w:rsidRPr="003D1614">
        <w:rPr>
          <w:rFonts w:ascii="Arial" w:eastAsia="Times New Roman" w:hAnsi="Arial" w:cs="Arial"/>
          <w:color w:val="000000" w:themeColor="text1"/>
          <w:sz w:val="20"/>
          <w:szCs w:val="20"/>
        </w:rPr>
        <w:t xml:space="preserve"> obuhvaća</w:t>
      </w:r>
      <w:r>
        <w:rPr>
          <w:rFonts w:ascii="Arial" w:eastAsia="Times New Roman" w:hAnsi="Arial" w:cs="Arial"/>
          <w:color w:val="000000" w:themeColor="text1"/>
          <w:sz w:val="20"/>
          <w:szCs w:val="20"/>
        </w:rPr>
        <w:t xml:space="preserve"> izloženosti prema</w:t>
      </w:r>
      <w:r w:rsidRPr="003D1614">
        <w:rPr>
          <w:rFonts w:ascii="Arial" w:eastAsia="Times New Roman" w:hAnsi="Arial" w:cs="Arial"/>
          <w:color w:val="000000" w:themeColor="text1"/>
          <w:sz w:val="20"/>
          <w:szCs w:val="20"/>
        </w:rPr>
        <w:t xml:space="preserve"> klijent</w:t>
      </w:r>
      <w:r>
        <w:rPr>
          <w:rFonts w:ascii="Arial" w:eastAsia="Times New Roman" w:hAnsi="Arial" w:cs="Arial"/>
          <w:color w:val="000000" w:themeColor="text1"/>
          <w:sz w:val="20"/>
          <w:szCs w:val="20"/>
        </w:rPr>
        <w:t>ima</w:t>
      </w:r>
      <w:r w:rsidRPr="003D1614">
        <w:rPr>
          <w:rFonts w:ascii="Arial" w:eastAsia="Times New Roman" w:hAnsi="Arial" w:cs="Arial"/>
          <w:color w:val="000000" w:themeColor="text1"/>
          <w:sz w:val="20"/>
          <w:szCs w:val="20"/>
        </w:rPr>
        <w:t xml:space="preserve"> u statusu neispunjavanja obveza odnosno  kod kojih postoje objektivni dokazi o umanjenju vrijednosti </w:t>
      </w:r>
    </w:p>
    <w:p w14:paraId="38F8DA6A" w14:textId="77777777" w:rsidR="00680374" w:rsidRPr="003D1614" w:rsidRDefault="00680374" w:rsidP="00680374">
      <w:pPr>
        <w:numPr>
          <w:ilvl w:val="0"/>
          <w:numId w:val="12"/>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te zasebnu kategoriju </w:t>
      </w:r>
      <w:r>
        <w:rPr>
          <w:rFonts w:ascii="Arial" w:eastAsia="Times New Roman" w:hAnsi="Arial" w:cs="Arial"/>
          <w:color w:val="000000" w:themeColor="text1"/>
          <w:sz w:val="20"/>
          <w:szCs w:val="20"/>
        </w:rPr>
        <w:t>–</w:t>
      </w:r>
      <w:r w:rsidRPr="003D1614">
        <w:rPr>
          <w:rFonts w:ascii="Arial" w:eastAsia="Times New Roman" w:hAnsi="Arial" w:cs="Arial"/>
          <w:color w:val="000000" w:themeColor="text1"/>
          <w:sz w:val="20"/>
          <w:szCs w:val="20"/>
        </w:rPr>
        <w:t xml:space="preserve"> </w:t>
      </w:r>
      <w:r>
        <w:rPr>
          <w:rFonts w:ascii="Arial" w:eastAsia="Times New Roman" w:hAnsi="Arial" w:cs="Arial"/>
          <w:color w:val="000000" w:themeColor="text1"/>
          <w:sz w:val="20"/>
          <w:szCs w:val="20"/>
        </w:rPr>
        <w:t xml:space="preserve">čini </w:t>
      </w:r>
      <w:r w:rsidRPr="003D1614">
        <w:rPr>
          <w:rFonts w:ascii="Arial" w:eastAsia="Times New Roman" w:hAnsi="Arial" w:cs="Arial"/>
          <w:color w:val="000000" w:themeColor="text1"/>
          <w:sz w:val="20"/>
          <w:szCs w:val="20"/>
        </w:rPr>
        <w:t>kupljen</w:t>
      </w:r>
      <w:r>
        <w:rPr>
          <w:rFonts w:ascii="Arial" w:eastAsia="Times New Roman" w:hAnsi="Arial" w:cs="Arial"/>
          <w:color w:val="000000" w:themeColor="text1"/>
          <w:sz w:val="20"/>
          <w:szCs w:val="20"/>
        </w:rPr>
        <w:t>a</w:t>
      </w:r>
      <w:r w:rsidRPr="003D1614">
        <w:rPr>
          <w:rFonts w:ascii="Arial" w:eastAsia="Times New Roman" w:hAnsi="Arial" w:cs="Arial"/>
          <w:color w:val="000000" w:themeColor="text1"/>
          <w:sz w:val="20"/>
          <w:szCs w:val="20"/>
        </w:rPr>
        <w:t xml:space="preserve"> ili stvoren</w:t>
      </w:r>
      <w:r>
        <w:rPr>
          <w:rFonts w:ascii="Arial" w:eastAsia="Times New Roman" w:hAnsi="Arial" w:cs="Arial"/>
          <w:color w:val="000000" w:themeColor="text1"/>
          <w:sz w:val="20"/>
          <w:szCs w:val="20"/>
        </w:rPr>
        <w:t>a</w:t>
      </w:r>
      <w:r w:rsidRPr="003D1614">
        <w:rPr>
          <w:rFonts w:ascii="Arial" w:eastAsia="Times New Roman" w:hAnsi="Arial" w:cs="Arial"/>
          <w:color w:val="000000" w:themeColor="text1"/>
          <w:sz w:val="20"/>
          <w:szCs w:val="20"/>
        </w:rPr>
        <w:t xml:space="preserve"> kreditno umanjen</w:t>
      </w:r>
      <w:r>
        <w:rPr>
          <w:rFonts w:ascii="Arial" w:eastAsia="Times New Roman" w:hAnsi="Arial" w:cs="Arial"/>
          <w:color w:val="000000" w:themeColor="text1"/>
          <w:sz w:val="20"/>
          <w:szCs w:val="20"/>
        </w:rPr>
        <w:t>a</w:t>
      </w:r>
      <w:r w:rsidRPr="003D1614">
        <w:rPr>
          <w:rFonts w:ascii="Arial" w:eastAsia="Times New Roman" w:hAnsi="Arial" w:cs="Arial"/>
          <w:color w:val="000000" w:themeColor="text1"/>
          <w:sz w:val="20"/>
          <w:szCs w:val="20"/>
        </w:rPr>
        <w:t xml:space="preserve"> financijsk</w:t>
      </w:r>
      <w:r>
        <w:rPr>
          <w:rFonts w:ascii="Arial" w:eastAsia="Times New Roman" w:hAnsi="Arial" w:cs="Arial"/>
          <w:color w:val="000000" w:themeColor="text1"/>
          <w:sz w:val="20"/>
          <w:szCs w:val="20"/>
        </w:rPr>
        <w:t>a</w:t>
      </w:r>
      <w:r w:rsidRPr="003D1614">
        <w:rPr>
          <w:rFonts w:ascii="Arial" w:eastAsia="Times New Roman" w:hAnsi="Arial" w:cs="Arial"/>
          <w:color w:val="000000" w:themeColor="text1"/>
          <w:sz w:val="20"/>
          <w:szCs w:val="20"/>
        </w:rPr>
        <w:t xml:space="preserve"> imovin</w:t>
      </w:r>
      <w:r>
        <w:rPr>
          <w:rFonts w:ascii="Arial" w:eastAsia="Times New Roman" w:hAnsi="Arial" w:cs="Arial"/>
          <w:color w:val="000000" w:themeColor="text1"/>
          <w:sz w:val="20"/>
          <w:szCs w:val="20"/>
        </w:rPr>
        <w:t>a</w:t>
      </w:r>
      <w:r w:rsidRPr="003D1614">
        <w:rPr>
          <w:rFonts w:ascii="Arial" w:eastAsia="Times New Roman" w:hAnsi="Arial" w:cs="Arial"/>
          <w:color w:val="000000" w:themeColor="text1"/>
          <w:sz w:val="20"/>
          <w:szCs w:val="20"/>
        </w:rPr>
        <w:t xml:space="preserve"> (eng. Purchased or originated credit impaired asset, POCI).</w:t>
      </w:r>
    </w:p>
    <w:p w14:paraId="76E725F6"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sectPr w:rsidR="00CD630B" w:rsidRPr="003D1614">
          <w:pgSz w:w="11906" w:h="16838"/>
          <w:pgMar w:top="1417" w:right="1417" w:bottom="1417" w:left="1417" w:header="708" w:footer="708" w:gutter="0"/>
          <w:cols w:space="708"/>
          <w:docGrid w:linePitch="360"/>
        </w:sectPr>
      </w:pPr>
    </w:p>
    <w:p w14:paraId="2CED2F44"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223B1155" w14:textId="5B8D7FC2" w:rsidR="00CD630B" w:rsidRPr="003D1614" w:rsidRDefault="00CD630B" w:rsidP="00CD630B">
      <w:pPr>
        <w:tabs>
          <w:tab w:val="left" w:pos="567"/>
        </w:tabs>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lang w:eastAsia="hr-HR"/>
        </w:rPr>
        <w:t>2</w:t>
      </w:r>
      <w:r w:rsidR="000E693B">
        <w:rPr>
          <w:rFonts w:ascii="Arial" w:eastAsia="Times New Roman" w:hAnsi="Arial" w:cs="Arial"/>
          <w:b/>
          <w:color w:val="000000" w:themeColor="text1"/>
          <w:sz w:val="20"/>
          <w:szCs w:val="20"/>
          <w:lang w:eastAsia="hr-HR"/>
        </w:rPr>
        <w:t>3</w:t>
      </w:r>
      <w:r w:rsidRPr="003D1614">
        <w:rPr>
          <w:rFonts w:ascii="Arial" w:eastAsia="Times New Roman" w:hAnsi="Arial" w:cs="Arial"/>
          <w:b/>
          <w:color w:val="000000" w:themeColor="text1"/>
          <w:sz w:val="20"/>
          <w:szCs w:val="20"/>
          <w:lang w:eastAsia="hr-HR"/>
        </w:rPr>
        <w:t>.</w:t>
      </w:r>
      <w:r w:rsidRPr="003D1614">
        <w:rPr>
          <w:rFonts w:ascii="Arial" w:eastAsia="Times New Roman" w:hAnsi="Arial" w:cs="Arial"/>
          <w:b/>
          <w:color w:val="000000" w:themeColor="text1"/>
          <w:sz w:val="20"/>
          <w:szCs w:val="20"/>
        </w:rPr>
        <w:tab/>
        <w:t>Upravljanje rizicima (nastavak)</w:t>
      </w:r>
    </w:p>
    <w:p w14:paraId="4F14A43F"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65EDF1D5" w14:textId="4EC9AA7B" w:rsidR="00CD630B" w:rsidRPr="003D1614" w:rsidRDefault="00CD630B" w:rsidP="00CD630B">
      <w:pPr>
        <w:tabs>
          <w:tab w:val="left" w:pos="567"/>
        </w:tabs>
        <w:suppressAutoHyphens/>
        <w:autoSpaceDN w:val="0"/>
        <w:spacing w:line="300" w:lineRule="exact"/>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ab/>
        <w:t>Kreditni rizik (nastavak)</w:t>
      </w:r>
    </w:p>
    <w:p w14:paraId="74635643"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76D3E346" w14:textId="77777777" w:rsidR="007D7645" w:rsidRPr="003D1614" w:rsidRDefault="007D7645" w:rsidP="007D7645">
      <w:pPr>
        <w:tabs>
          <w:tab w:val="left" w:pos="851"/>
        </w:tabs>
        <w:suppressAutoHyphens/>
        <w:autoSpaceDN w:val="0"/>
        <w:spacing w:line="300" w:lineRule="exact"/>
        <w:jc w:val="both"/>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.3.2.</w:t>
      </w:r>
      <w:r w:rsidRPr="003D1614">
        <w:rPr>
          <w:rFonts w:ascii="Arial" w:eastAsia="Calibri" w:hAnsi="Arial" w:cs="Arial"/>
          <w:b/>
          <w:color w:val="000000" w:themeColor="text1"/>
          <w:sz w:val="20"/>
          <w:szCs w:val="20"/>
        </w:rPr>
        <w:tab/>
        <w:t>Procjena umanjenja vrijednosti (nastavak)</w:t>
      </w:r>
    </w:p>
    <w:p w14:paraId="39C2DF6E" w14:textId="77777777" w:rsidR="007D7645" w:rsidRPr="003D1614" w:rsidRDefault="007D7645" w:rsidP="007D7645">
      <w:pPr>
        <w:suppressAutoHyphens/>
        <w:autoSpaceDN w:val="0"/>
        <w:jc w:val="both"/>
        <w:rPr>
          <w:rFonts w:ascii="Arial" w:eastAsia="Times New Roman" w:hAnsi="Arial" w:cs="Arial"/>
          <w:color w:val="000000" w:themeColor="text1"/>
          <w:sz w:val="20"/>
          <w:szCs w:val="20"/>
        </w:rPr>
      </w:pPr>
    </w:p>
    <w:p w14:paraId="04024120" w14:textId="77777777" w:rsidR="007D7645" w:rsidRPr="003D1614" w:rsidRDefault="007D7645" w:rsidP="007D7645">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Tijekom ugovornog odnosa s klijentom procjenjuje se razina očekivanih kreditnih gubitaka klijenta. Procjena se provodi praćenjem slijedeća tri kriterija:</w:t>
      </w:r>
    </w:p>
    <w:p w14:paraId="65892B02" w14:textId="77777777" w:rsidR="007D7645" w:rsidRPr="003D1614" w:rsidRDefault="007D7645" w:rsidP="007D7645">
      <w:pPr>
        <w:numPr>
          <w:ilvl w:val="0"/>
          <w:numId w:val="13"/>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kreditne sposobnosti dužnika</w:t>
      </w:r>
    </w:p>
    <w:p w14:paraId="5A43E961" w14:textId="77777777" w:rsidR="007D7645" w:rsidRPr="003D1614" w:rsidRDefault="007D7645" w:rsidP="007D7645">
      <w:pPr>
        <w:numPr>
          <w:ilvl w:val="0"/>
          <w:numId w:val="13"/>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urednosti podmirivanja obveza i</w:t>
      </w:r>
    </w:p>
    <w:p w14:paraId="7A5D1F87" w14:textId="77777777" w:rsidR="007D7645" w:rsidRPr="003D1614" w:rsidRDefault="007D7645" w:rsidP="007D7645">
      <w:pPr>
        <w:numPr>
          <w:ilvl w:val="0"/>
          <w:numId w:val="13"/>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kvalitete instrumenata osiguranja.</w:t>
      </w:r>
    </w:p>
    <w:p w14:paraId="618F7075" w14:textId="77777777" w:rsidR="007D7645" w:rsidRPr="003D1614" w:rsidRDefault="007D7645" w:rsidP="007D7645">
      <w:pPr>
        <w:suppressAutoHyphens/>
        <w:autoSpaceDN w:val="0"/>
        <w:jc w:val="both"/>
        <w:rPr>
          <w:rFonts w:ascii="Arial" w:eastAsia="Times New Roman" w:hAnsi="Arial" w:cs="Arial"/>
          <w:color w:val="000000" w:themeColor="text1"/>
          <w:sz w:val="20"/>
          <w:szCs w:val="20"/>
        </w:rPr>
      </w:pPr>
    </w:p>
    <w:p w14:paraId="56DA206E" w14:textId="77777777" w:rsidR="007D7645" w:rsidRPr="003D1614" w:rsidRDefault="007D7645" w:rsidP="007D7645">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Za cijelo vrijeme trajanja ugovornog odnosa procjenjuje se kreditna sposobnost dužnika s ciljem utvrđivanja moguće promjene financijskog položaja klijenta (dužnika) odnosno vjerojatnosti pogoršanja njegove kreditne sposobnosti. Kod utvrđivanja kreditne sposobnosti klijenta uzima se u obzir i grupa povezanih osoba zbog efekta zaraze odnosno mogućnosti prelijevanja rizika između povezanih osoba. Kreditna sposobnost klijenta se prati putem:</w:t>
      </w:r>
    </w:p>
    <w:p w14:paraId="091AF355" w14:textId="77777777" w:rsidR="007D7645" w:rsidRPr="003D1614" w:rsidRDefault="007D7645" w:rsidP="007D7645">
      <w:pPr>
        <w:numPr>
          <w:ilvl w:val="0"/>
          <w:numId w:val="14"/>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promjene financijskog rejtinga klijenta i s njim povezanih osoba, </w:t>
      </w:r>
    </w:p>
    <w:p w14:paraId="69F5AF69" w14:textId="77777777" w:rsidR="007D7645" w:rsidRPr="003D1614" w:rsidRDefault="007D7645" w:rsidP="007D7645">
      <w:pPr>
        <w:numPr>
          <w:ilvl w:val="0"/>
          <w:numId w:val="14"/>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kriterija kojima je svrha utvrđivanje financijskih poteškoća klijenta,</w:t>
      </w:r>
    </w:p>
    <w:p w14:paraId="11573D71" w14:textId="77777777" w:rsidR="007D7645" w:rsidRPr="003D1614" w:rsidRDefault="007D7645" w:rsidP="007D7645">
      <w:pPr>
        <w:numPr>
          <w:ilvl w:val="0"/>
          <w:numId w:val="14"/>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kriterija s Liste za pojačano praćenje klijenta te</w:t>
      </w:r>
    </w:p>
    <w:p w14:paraId="5ADCD9E9" w14:textId="77777777" w:rsidR="007D7645" w:rsidRPr="003D1614" w:rsidRDefault="007D7645" w:rsidP="007D7645">
      <w:pPr>
        <w:numPr>
          <w:ilvl w:val="0"/>
          <w:numId w:val="14"/>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kriterija za uočavanje povećanog kreditnog rizika.</w:t>
      </w:r>
    </w:p>
    <w:p w14:paraId="65A0B2E2" w14:textId="77777777" w:rsidR="007D7645" w:rsidRPr="003D1614" w:rsidRDefault="007D7645" w:rsidP="007D7645">
      <w:pPr>
        <w:suppressAutoHyphens/>
        <w:autoSpaceDN w:val="0"/>
        <w:jc w:val="both"/>
        <w:rPr>
          <w:rFonts w:ascii="Arial" w:eastAsia="Times New Roman" w:hAnsi="Arial" w:cs="Arial"/>
          <w:color w:val="000000" w:themeColor="text1"/>
          <w:sz w:val="20"/>
          <w:szCs w:val="20"/>
        </w:rPr>
      </w:pPr>
    </w:p>
    <w:p w14:paraId="60FB6FE0" w14:textId="77777777" w:rsidR="007D7645" w:rsidRDefault="007D7645" w:rsidP="007D7645">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Klijent se smatra urednim ako sve svoje obveze podmiruje u cijelosti (glavnica, kamate, provizije, naknade i druge troškove) u ugovorenim iznosima i ugovorenim rokovima dospijeća pri čemu se svi plasmani i izvanbilančne obveze jednog klijenta promatraju kao jedan</w:t>
      </w:r>
      <w:r>
        <w:rPr>
          <w:rFonts w:ascii="Arial" w:eastAsia="Times New Roman" w:hAnsi="Arial" w:cs="Arial"/>
          <w:color w:val="000000" w:themeColor="text1"/>
          <w:sz w:val="20"/>
          <w:szCs w:val="20"/>
        </w:rPr>
        <w:t>, a samo iznimno i povremeno po isteku dospijeća, pod uvjetom da:</w:t>
      </w:r>
    </w:p>
    <w:p w14:paraId="28FFD42B" w14:textId="77777777" w:rsidR="007D7645" w:rsidRPr="000146FE" w:rsidRDefault="007D7645" w:rsidP="007D7645">
      <w:pPr>
        <w:pStyle w:val="ListParagraph"/>
        <w:numPr>
          <w:ilvl w:val="0"/>
          <w:numId w:val="40"/>
        </w:numPr>
        <w:suppressAutoHyphens w:val="0"/>
        <w:autoSpaceDN/>
        <w:spacing w:line="276" w:lineRule="auto"/>
        <w:jc w:val="both"/>
        <w:rPr>
          <w:rFonts w:ascii="Arial" w:hAnsi="Arial"/>
          <w:sz w:val="20"/>
          <w:lang w:val="hr-HR"/>
        </w:rPr>
      </w:pPr>
      <w:r w:rsidRPr="000146FE">
        <w:rPr>
          <w:rFonts w:ascii="Arial" w:hAnsi="Arial"/>
          <w:sz w:val="20"/>
          <w:lang w:val="hr-HR"/>
        </w:rPr>
        <w:t>zakašnjenje u podmirivanju obveza dužnika nije duže od 90 dana</w:t>
      </w:r>
      <w:r w:rsidRPr="000146FE">
        <w:rPr>
          <w:rFonts w:ascii="Arial" w:hAnsi="Arial" w:cs="Arial"/>
          <w:sz w:val="20"/>
          <w:szCs w:val="20"/>
          <w:lang w:val="hr-HR"/>
        </w:rPr>
        <w:t xml:space="preserve"> i </w:t>
      </w:r>
    </w:p>
    <w:p w14:paraId="797B4FC2" w14:textId="77777777" w:rsidR="007D7645" w:rsidRPr="000146FE" w:rsidRDefault="007D7645" w:rsidP="007D7645">
      <w:pPr>
        <w:pStyle w:val="ListParagraph"/>
        <w:numPr>
          <w:ilvl w:val="0"/>
          <w:numId w:val="40"/>
        </w:numPr>
        <w:suppressAutoHyphens w:val="0"/>
        <w:autoSpaceDN/>
        <w:spacing w:line="276" w:lineRule="auto"/>
        <w:jc w:val="both"/>
        <w:rPr>
          <w:rFonts w:ascii="Arial" w:hAnsi="Arial"/>
          <w:sz w:val="20"/>
          <w:lang w:val="hr-HR"/>
        </w:rPr>
      </w:pPr>
      <w:r w:rsidRPr="000146FE">
        <w:rPr>
          <w:rFonts w:ascii="Arial" w:hAnsi="Arial"/>
          <w:sz w:val="20"/>
          <w:lang w:val="hr-HR"/>
        </w:rPr>
        <w:t>nije materijalno značajno.</w:t>
      </w:r>
    </w:p>
    <w:p w14:paraId="0AAFB306" w14:textId="77777777" w:rsidR="007D7645" w:rsidRPr="003D1614" w:rsidRDefault="007D7645" w:rsidP="007D7645">
      <w:pPr>
        <w:suppressAutoHyphens/>
        <w:autoSpaceDN w:val="0"/>
        <w:jc w:val="both"/>
        <w:rPr>
          <w:rFonts w:ascii="Arial" w:eastAsia="Times New Roman" w:hAnsi="Arial" w:cs="Arial"/>
          <w:color w:val="000000" w:themeColor="text1"/>
          <w:sz w:val="20"/>
          <w:szCs w:val="20"/>
        </w:rPr>
      </w:pPr>
    </w:p>
    <w:p w14:paraId="1173B63D" w14:textId="77777777" w:rsidR="007D7645" w:rsidRPr="003D1614" w:rsidRDefault="007D7645" w:rsidP="007D7645">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Procjena instrumenata osiguranja temelji se na njihovoj kvaliteti, procjeni vrijednosti i rokovima naplativosti.</w:t>
      </w:r>
    </w:p>
    <w:p w14:paraId="650F45BF" w14:textId="15F39C5C"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2A923912" w14:textId="77777777" w:rsidR="00ED24AE" w:rsidRPr="003D1614" w:rsidRDefault="00ED24AE" w:rsidP="00ED24AE">
      <w:pPr>
        <w:tabs>
          <w:tab w:val="left" w:pos="993"/>
          <w:tab w:val="left" w:pos="1276"/>
        </w:tabs>
        <w:suppressAutoHyphens/>
        <w:autoSpaceDN w:val="0"/>
        <w:spacing w:line="300" w:lineRule="exact"/>
        <w:jc w:val="both"/>
        <w:rPr>
          <w:rFonts w:ascii="Arial" w:eastAsia="Calibri" w:hAnsi="Arial" w:cs="Arial"/>
          <w:b/>
          <w:color w:val="000000" w:themeColor="text1"/>
          <w:sz w:val="20"/>
          <w:szCs w:val="20"/>
        </w:rPr>
      </w:pPr>
      <w:bookmarkStart w:id="585" w:name="_Hlk513704657"/>
      <w:r w:rsidRPr="003D1614">
        <w:rPr>
          <w:rFonts w:ascii="Arial" w:eastAsia="Calibri" w:hAnsi="Arial" w:cs="Arial"/>
          <w:b/>
          <w:color w:val="000000" w:themeColor="text1"/>
          <w:sz w:val="20"/>
          <w:szCs w:val="20"/>
        </w:rPr>
        <w:t>2</w:t>
      </w:r>
      <w:r>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.3.2.1.</w:t>
      </w:r>
      <w:r w:rsidRPr="003D1614">
        <w:rPr>
          <w:rFonts w:ascii="Arial" w:eastAsia="Calibri" w:hAnsi="Arial" w:cs="Arial"/>
          <w:b/>
          <w:color w:val="000000" w:themeColor="text1"/>
          <w:sz w:val="20"/>
          <w:szCs w:val="20"/>
        </w:rPr>
        <w:tab/>
        <w:t xml:space="preserve">Definicija statusa neispunjenja ugovornih obveza (engl. default) i izlaska iz statusa neispunjenja obveza (oporavka) </w:t>
      </w:r>
    </w:p>
    <w:bookmarkEnd w:id="585"/>
    <w:p w14:paraId="46A43CF5" w14:textId="77777777" w:rsidR="00ED24AE" w:rsidRPr="003D1614" w:rsidRDefault="00ED24AE" w:rsidP="00ED24AE">
      <w:pPr>
        <w:suppressAutoHyphens/>
        <w:autoSpaceDN w:val="0"/>
        <w:jc w:val="both"/>
        <w:rPr>
          <w:rFonts w:ascii="Arial" w:eastAsia="Times New Roman" w:hAnsi="Arial" w:cs="Arial"/>
          <w:color w:val="000000" w:themeColor="text1"/>
          <w:sz w:val="20"/>
          <w:szCs w:val="20"/>
        </w:rPr>
      </w:pPr>
    </w:p>
    <w:p w14:paraId="25C35F8B" w14:textId="77777777" w:rsidR="00ED24AE" w:rsidRPr="003D1614" w:rsidRDefault="00ED24AE" w:rsidP="00ED24AE">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Status neispunjenja obveza pojedinog klijenta je nastao kada je ispunjen jedan od sljedećih uvjeta ili oba sljedeća uvjeta:</w:t>
      </w:r>
    </w:p>
    <w:p w14:paraId="5335177C" w14:textId="77777777" w:rsidR="00ED24AE" w:rsidRPr="003D1614" w:rsidRDefault="00ED24AE" w:rsidP="00ED24AE">
      <w:pPr>
        <w:numPr>
          <w:ilvl w:val="0"/>
          <w:numId w:val="15"/>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ocjenjuje se vjerojatnim da klijent neće u cijelosti podmiriti svoje obveze prema HBOR-u ne uzimajući u obzir mogućnost naplate iz instrumenata osiguranja,</w:t>
      </w:r>
    </w:p>
    <w:p w14:paraId="36D2CE88" w14:textId="77777777" w:rsidR="00ED24AE" w:rsidRPr="003D1614" w:rsidRDefault="00ED24AE" w:rsidP="00ED24AE">
      <w:pPr>
        <w:numPr>
          <w:ilvl w:val="0"/>
          <w:numId w:val="15"/>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klijent više od 90 dana nije ispunio svoju dospjelu obvezu po bilo kojoj značajnoj kreditnoj obvezi.</w:t>
      </w:r>
    </w:p>
    <w:p w14:paraId="504A131E" w14:textId="77777777" w:rsidR="00ED24AE" w:rsidRPr="003D1614" w:rsidRDefault="00ED24AE" w:rsidP="00ED24AE">
      <w:pPr>
        <w:suppressAutoHyphens/>
        <w:autoSpaceDN w:val="0"/>
        <w:jc w:val="both"/>
        <w:rPr>
          <w:rFonts w:ascii="Arial" w:eastAsia="Times New Roman" w:hAnsi="Arial" w:cs="Arial"/>
          <w:color w:val="000000" w:themeColor="text1"/>
          <w:sz w:val="20"/>
          <w:szCs w:val="20"/>
        </w:rPr>
      </w:pPr>
    </w:p>
    <w:p w14:paraId="44CC4C53" w14:textId="77777777" w:rsidR="00ED24AE" w:rsidRPr="003D1614" w:rsidRDefault="00ED24AE" w:rsidP="00ED24AE">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Prag značajnosti iznosi </w:t>
      </w:r>
      <w:r>
        <w:rPr>
          <w:rFonts w:ascii="Arial" w:eastAsia="Times New Roman" w:hAnsi="Arial" w:cs="Arial"/>
          <w:color w:val="000000" w:themeColor="text1"/>
          <w:sz w:val="20"/>
          <w:szCs w:val="20"/>
        </w:rPr>
        <w:t>100 eura</w:t>
      </w:r>
      <w:r w:rsidRPr="003D1614">
        <w:rPr>
          <w:rFonts w:ascii="Arial" w:eastAsia="Times New Roman" w:hAnsi="Arial" w:cs="Arial"/>
          <w:color w:val="000000" w:themeColor="text1"/>
          <w:sz w:val="20"/>
          <w:szCs w:val="20"/>
        </w:rPr>
        <w:t xml:space="preserve"> za stanovništvo, a za ostale klijente </w:t>
      </w:r>
      <w:r>
        <w:rPr>
          <w:rFonts w:ascii="Arial" w:eastAsia="Times New Roman" w:hAnsi="Arial" w:cs="Arial"/>
          <w:color w:val="000000" w:themeColor="text1"/>
          <w:sz w:val="20"/>
          <w:szCs w:val="20"/>
        </w:rPr>
        <w:t>500 eura</w:t>
      </w:r>
      <w:r w:rsidRPr="003D1614">
        <w:rPr>
          <w:rFonts w:ascii="Arial" w:eastAsia="Times New Roman" w:hAnsi="Arial" w:cs="Arial"/>
          <w:color w:val="000000" w:themeColor="text1"/>
          <w:sz w:val="20"/>
          <w:szCs w:val="20"/>
        </w:rPr>
        <w:t>, računa se na nivou klijenta zbrajanjem dospjelih obveza po svim plasmanima klijenta.</w:t>
      </w:r>
    </w:p>
    <w:p w14:paraId="6C98F19A" w14:textId="77777777" w:rsidR="00ED24AE" w:rsidRPr="003D1614" w:rsidRDefault="00ED24AE" w:rsidP="00ED24AE">
      <w:pPr>
        <w:suppressAutoHyphens/>
        <w:autoSpaceDN w:val="0"/>
        <w:jc w:val="both"/>
        <w:rPr>
          <w:rFonts w:ascii="Arial" w:eastAsia="Times New Roman" w:hAnsi="Arial" w:cs="Arial"/>
          <w:color w:val="000000" w:themeColor="text1"/>
          <w:sz w:val="20"/>
          <w:szCs w:val="20"/>
        </w:rPr>
      </w:pPr>
    </w:p>
    <w:p w14:paraId="42799EE6" w14:textId="77777777" w:rsidR="00ED24AE" w:rsidRPr="003D1614" w:rsidRDefault="00ED24AE" w:rsidP="00ED24AE">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Pri procjeni vjerojatnosti da dužnik neće u cijelosti podmiriti svoje obveze uzimaju se u obzir slijedeći elementi:</w:t>
      </w:r>
    </w:p>
    <w:p w14:paraId="4ED1C46E" w14:textId="77777777" w:rsidR="00ED24AE" w:rsidRPr="003D1614" w:rsidRDefault="00ED24AE" w:rsidP="00ED24AE">
      <w:pPr>
        <w:numPr>
          <w:ilvl w:val="0"/>
          <w:numId w:val="16"/>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priznato je umanjenje vrijednosti</w:t>
      </w:r>
      <w:r>
        <w:rPr>
          <w:rFonts w:ascii="Arial" w:eastAsia="Times New Roman" w:hAnsi="Arial" w:cs="Arial"/>
          <w:color w:val="000000" w:themeColor="text1"/>
          <w:sz w:val="20"/>
          <w:szCs w:val="20"/>
        </w:rPr>
        <w:t xml:space="preserve"> i rezerviranja</w:t>
      </w:r>
      <w:r w:rsidRPr="003D1614">
        <w:rPr>
          <w:rFonts w:ascii="Arial" w:eastAsia="Times New Roman" w:hAnsi="Arial" w:cs="Arial"/>
          <w:color w:val="000000" w:themeColor="text1"/>
          <w:sz w:val="20"/>
          <w:szCs w:val="20"/>
        </w:rPr>
        <w:t xml:space="preserve"> za </w:t>
      </w:r>
      <w:r>
        <w:rPr>
          <w:rFonts w:ascii="Arial" w:eastAsia="Times New Roman" w:hAnsi="Arial" w:cs="Arial"/>
          <w:color w:val="000000" w:themeColor="text1"/>
          <w:sz w:val="20"/>
          <w:szCs w:val="20"/>
        </w:rPr>
        <w:t xml:space="preserve">očekivane </w:t>
      </w:r>
      <w:r w:rsidRPr="003D1614">
        <w:rPr>
          <w:rFonts w:ascii="Arial" w:eastAsia="Times New Roman" w:hAnsi="Arial" w:cs="Arial"/>
          <w:color w:val="000000" w:themeColor="text1"/>
          <w:sz w:val="20"/>
          <w:szCs w:val="20"/>
        </w:rPr>
        <w:t xml:space="preserve">kreditne gubitke zbog uočenoga značajnog pogoršanja kreditne kvalitete dužnika, </w:t>
      </w:r>
    </w:p>
    <w:p w14:paraId="606998DC" w14:textId="77777777" w:rsidR="00ED24AE" w:rsidRPr="003D1614" w:rsidRDefault="00ED24AE" w:rsidP="00ED24AE">
      <w:pPr>
        <w:numPr>
          <w:ilvl w:val="0"/>
          <w:numId w:val="16"/>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prodaja kreditne izloženosti uz značajan ekonomski gubitak,</w:t>
      </w:r>
    </w:p>
    <w:p w14:paraId="4E1A1526" w14:textId="77777777" w:rsidR="00ED24AE" w:rsidRPr="003D1614" w:rsidRDefault="00ED24AE" w:rsidP="00ED24AE">
      <w:pPr>
        <w:numPr>
          <w:ilvl w:val="0"/>
          <w:numId w:val="16"/>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reprogramiranje ili restrukturiranje kreditne izloženosti zbog financijskih poteškoća dužnika,</w:t>
      </w:r>
    </w:p>
    <w:p w14:paraId="59AA3BDA" w14:textId="77777777" w:rsidR="00ED24AE" w:rsidRPr="003D1614" w:rsidRDefault="00ED24AE" w:rsidP="00ED24AE">
      <w:pPr>
        <w:numPr>
          <w:ilvl w:val="0"/>
          <w:numId w:val="16"/>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stečajni ili sličan postupak (</w:t>
      </w:r>
      <w:r>
        <w:rPr>
          <w:rFonts w:ascii="Arial" w:eastAsia="Times New Roman" w:hAnsi="Arial" w:cs="Arial"/>
          <w:color w:val="000000" w:themeColor="text1"/>
          <w:sz w:val="20"/>
          <w:szCs w:val="20"/>
        </w:rPr>
        <w:t>predstečajni postupak</w:t>
      </w:r>
      <w:r w:rsidRPr="003D1614">
        <w:rPr>
          <w:rFonts w:ascii="Arial" w:eastAsia="Times New Roman" w:hAnsi="Arial" w:cs="Arial"/>
          <w:color w:val="000000" w:themeColor="text1"/>
          <w:sz w:val="20"/>
          <w:szCs w:val="20"/>
        </w:rPr>
        <w:t>, likvidacija</w:t>
      </w:r>
      <w:r>
        <w:rPr>
          <w:rFonts w:ascii="Arial" w:eastAsia="Times New Roman" w:hAnsi="Arial" w:cs="Arial"/>
          <w:color w:val="000000" w:themeColor="text1"/>
          <w:sz w:val="20"/>
          <w:szCs w:val="20"/>
        </w:rPr>
        <w:t>, sanacija</w:t>
      </w:r>
      <w:r w:rsidRPr="003D1614">
        <w:rPr>
          <w:rFonts w:ascii="Arial" w:eastAsia="Times New Roman" w:hAnsi="Arial" w:cs="Arial"/>
          <w:color w:val="000000" w:themeColor="text1"/>
          <w:sz w:val="20"/>
          <w:szCs w:val="20"/>
        </w:rPr>
        <w:t>) nad dužnikom,</w:t>
      </w:r>
    </w:p>
    <w:p w14:paraId="72C70D5B" w14:textId="77777777" w:rsidR="00ED24AE" w:rsidRDefault="00ED24AE" w:rsidP="00ED24AE">
      <w:pPr>
        <w:numPr>
          <w:ilvl w:val="0"/>
          <w:numId w:val="16"/>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imenovana posebna uprava, ukinuto odobrenje za rad, pokrenute mjere rane intervencije,</w:t>
      </w:r>
    </w:p>
    <w:p w14:paraId="5958633A" w14:textId="17879AF7" w:rsidR="00ED24AE" w:rsidRPr="004B671A" w:rsidRDefault="00ED24AE" w:rsidP="00ED24AE">
      <w:pPr>
        <w:numPr>
          <w:ilvl w:val="0"/>
          <w:numId w:val="16"/>
        </w:numPr>
        <w:suppressAutoHyphens/>
        <w:autoSpaceDN w:val="0"/>
        <w:jc w:val="both"/>
        <w:rPr>
          <w:rFonts w:ascii="Arial" w:eastAsia="Times New Roman" w:hAnsi="Arial" w:cs="Arial"/>
          <w:color w:val="000000" w:themeColor="text1"/>
          <w:sz w:val="20"/>
          <w:szCs w:val="20"/>
        </w:rPr>
      </w:pPr>
      <w:r w:rsidRPr="004B671A">
        <w:rPr>
          <w:rFonts w:ascii="Arial" w:eastAsia="Times New Roman" w:hAnsi="Arial" w:cs="Arial"/>
          <w:color w:val="000000" w:themeColor="text1"/>
          <w:sz w:val="20"/>
          <w:szCs w:val="20"/>
        </w:rPr>
        <w:t>otkaz ugovora</w:t>
      </w:r>
      <w:r w:rsidR="00327AB6">
        <w:rPr>
          <w:rFonts w:ascii="Arial" w:eastAsia="Times New Roman" w:hAnsi="Arial" w:cs="Arial"/>
          <w:color w:val="000000" w:themeColor="text1"/>
          <w:sz w:val="20"/>
          <w:szCs w:val="20"/>
        </w:rPr>
        <w:t>.</w:t>
      </w:r>
    </w:p>
    <w:p w14:paraId="20F4D07B"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sectPr w:rsidR="0088484F" w:rsidRPr="003D1614">
          <w:pgSz w:w="11906" w:h="16838"/>
          <w:pgMar w:top="1417" w:right="1417" w:bottom="1417" w:left="1417" w:header="708" w:footer="708" w:gutter="0"/>
          <w:cols w:space="708"/>
          <w:docGrid w:linePitch="360"/>
        </w:sectPr>
      </w:pPr>
    </w:p>
    <w:p w14:paraId="6867EB99"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75C64032" w14:textId="68F81D70" w:rsidR="0088484F" w:rsidRPr="003D1614" w:rsidRDefault="0088484F" w:rsidP="0088484F">
      <w:pPr>
        <w:keepNext/>
        <w:tabs>
          <w:tab w:val="left" w:pos="567"/>
        </w:tabs>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lang w:eastAsia="hr-HR"/>
        </w:rPr>
        <w:t>2</w:t>
      </w:r>
      <w:r w:rsidR="000E693B">
        <w:rPr>
          <w:rFonts w:ascii="Arial" w:eastAsia="Times New Roman" w:hAnsi="Arial" w:cs="Arial"/>
          <w:b/>
          <w:bCs/>
          <w:color w:val="000000" w:themeColor="text1"/>
          <w:sz w:val="20"/>
          <w:szCs w:val="20"/>
          <w:lang w:eastAsia="hr-HR"/>
        </w:rPr>
        <w:t>3</w:t>
      </w:r>
      <w:r w:rsidRPr="003D1614">
        <w:rPr>
          <w:rFonts w:ascii="Arial" w:eastAsia="Times New Roman" w:hAnsi="Arial" w:cs="Arial"/>
          <w:b/>
          <w:bCs/>
          <w:color w:val="000000" w:themeColor="text1"/>
          <w:sz w:val="20"/>
          <w:szCs w:val="20"/>
          <w:lang w:eastAsia="hr-HR"/>
        </w:rPr>
        <w:t>.</w:t>
      </w:r>
      <w:r w:rsidRPr="003D1614">
        <w:rPr>
          <w:rFonts w:ascii="Arial" w:eastAsia="Times New Roman" w:hAnsi="Arial" w:cs="Arial"/>
          <w:b/>
          <w:bCs/>
          <w:color w:val="000000" w:themeColor="text1"/>
          <w:sz w:val="20"/>
          <w:szCs w:val="20"/>
        </w:rPr>
        <w:tab/>
        <w:t>Upravljanje rizicima (nastavak)</w:t>
      </w:r>
    </w:p>
    <w:p w14:paraId="5199A26B"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0DF8BE36" w14:textId="1B58AFF8" w:rsidR="0088484F" w:rsidRPr="003D1614" w:rsidRDefault="0088484F" w:rsidP="0088484F">
      <w:pPr>
        <w:tabs>
          <w:tab w:val="left" w:pos="567"/>
        </w:tabs>
        <w:suppressAutoHyphens/>
        <w:autoSpaceDN w:val="0"/>
        <w:spacing w:line="300" w:lineRule="exact"/>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ab/>
        <w:t>Kreditni rizik (nastavak)</w:t>
      </w:r>
    </w:p>
    <w:p w14:paraId="1AA5E135" w14:textId="77777777" w:rsidR="0088484F" w:rsidRPr="003D1614" w:rsidRDefault="0088484F" w:rsidP="0088484F">
      <w:pPr>
        <w:suppressAutoHyphens/>
        <w:autoSpaceDN w:val="0"/>
        <w:spacing w:line="300" w:lineRule="exact"/>
        <w:jc w:val="both"/>
        <w:rPr>
          <w:rFonts w:ascii="Arial" w:eastAsia="Calibri" w:hAnsi="Arial" w:cs="Arial"/>
          <w:b/>
          <w:color w:val="000000" w:themeColor="text1"/>
          <w:sz w:val="20"/>
          <w:szCs w:val="20"/>
        </w:rPr>
      </w:pPr>
    </w:p>
    <w:p w14:paraId="68BD5B95" w14:textId="67F34AEA" w:rsidR="0088484F" w:rsidRPr="003D1614" w:rsidRDefault="0088484F" w:rsidP="0088484F">
      <w:pPr>
        <w:tabs>
          <w:tab w:val="left" w:pos="851"/>
        </w:tabs>
        <w:suppressAutoHyphens/>
        <w:autoSpaceDN w:val="0"/>
        <w:spacing w:line="300" w:lineRule="exact"/>
        <w:jc w:val="both"/>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.3.2.</w:t>
      </w:r>
      <w:r w:rsidRPr="003D1614">
        <w:rPr>
          <w:rFonts w:ascii="Arial" w:eastAsia="Calibri" w:hAnsi="Arial" w:cs="Arial"/>
          <w:b/>
          <w:color w:val="000000" w:themeColor="text1"/>
          <w:sz w:val="20"/>
          <w:szCs w:val="20"/>
        </w:rPr>
        <w:tab/>
        <w:t>Procjena umanjenja vrijednosti (nastavak)</w:t>
      </w:r>
    </w:p>
    <w:p w14:paraId="436F5F36" w14:textId="77777777" w:rsidR="0088484F" w:rsidRPr="003D1614" w:rsidRDefault="0088484F" w:rsidP="0088484F">
      <w:pPr>
        <w:suppressAutoHyphens/>
        <w:autoSpaceDN w:val="0"/>
        <w:spacing w:line="300" w:lineRule="exact"/>
        <w:jc w:val="both"/>
        <w:rPr>
          <w:rFonts w:ascii="Arial" w:eastAsia="Calibri" w:hAnsi="Arial" w:cs="Arial"/>
          <w:b/>
          <w:color w:val="000000" w:themeColor="text1"/>
          <w:sz w:val="20"/>
          <w:szCs w:val="20"/>
        </w:rPr>
      </w:pPr>
    </w:p>
    <w:p w14:paraId="4D3A421C" w14:textId="77777777" w:rsidR="00BE5EDE" w:rsidRPr="003D1614" w:rsidRDefault="00BE5EDE" w:rsidP="00BE5EDE">
      <w:pPr>
        <w:suppressAutoHyphens/>
        <w:autoSpaceDN w:val="0"/>
        <w:spacing w:after="120" w:line="300" w:lineRule="exact"/>
        <w:jc w:val="both"/>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.3.2.1. Definicija statusa neispunjenja ugovornih obveza (engl. default) i izlaska iz statusa neispunjenja obveza (oporavka) (nastavak)</w:t>
      </w:r>
    </w:p>
    <w:p w14:paraId="4F0715BF" w14:textId="77777777" w:rsidR="00BE5EDE" w:rsidRDefault="00BE5EDE" w:rsidP="00BE5EDE">
      <w:pPr>
        <w:numPr>
          <w:ilvl w:val="0"/>
          <w:numId w:val="16"/>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plaćanje po garanciji</w:t>
      </w:r>
      <w:r>
        <w:rPr>
          <w:rFonts w:ascii="Arial" w:eastAsia="Times New Roman" w:hAnsi="Arial" w:cs="Arial"/>
          <w:color w:val="000000" w:themeColor="text1"/>
          <w:sz w:val="20"/>
          <w:szCs w:val="20"/>
        </w:rPr>
        <w:t xml:space="preserve"> od strane HBOR-a,</w:t>
      </w:r>
    </w:p>
    <w:p w14:paraId="5DDA179A" w14:textId="77777777" w:rsidR="00BE5EDE" w:rsidRPr="003D1614" w:rsidRDefault="00BE5EDE" w:rsidP="00BE5EDE">
      <w:pPr>
        <w:numPr>
          <w:ilvl w:val="0"/>
          <w:numId w:val="16"/>
        </w:numPr>
        <w:suppressAutoHyphens/>
        <w:autoSpaceDN w:val="0"/>
        <w:jc w:val="both"/>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procjenjuje se da će status neispunjenja obveza povezane osobe uzrokovati status neispunjenja obveza dužnika.</w:t>
      </w:r>
    </w:p>
    <w:p w14:paraId="12C85946" w14:textId="77777777" w:rsidR="00BE5EDE" w:rsidRPr="003D1614" w:rsidRDefault="00BE5EDE" w:rsidP="00BE5EDE">
      <w:pPr>
        <w:suppressAutoHyphens/>
        <w:autoSpaceDN w:val="0"/>
        <w:jc w:val="both"/>
        <w:rPr>
          <w:rFonts w:ascii="Arial" w:eastAsia="Times New Roman" w:hAnsi="Arial" w:cs="Arial"/>
          <w:color w:val="000000" w:themeColor="text1"/>
          <w:sz w:val="20"/>
          <w:szCs w:val="20"/>
        </w:rPr>
      </w:pPr>
    </w:p>
    <w:p w14:paraId="2B157C3E" w14:textId="77777777" w:rsidR="00BE5EDE" w:rsidRPr="003D1614" w:rsidRDefault="00BE5EDE" w:rsidP="00BE5EDE">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Osim navedenog, prilikom utvrđivanja statusa neispunjenja obveza uzimaju se u obzir i odnosi unutar grupe povezanih osoba ako postoji status neispunjavanja obveza kod jednog dužnika unutar grupe povezanih osoba koji dovodi do učinka širenja statusa neispunjavanja obveza na druge subjekte unutar te grupe. </w:t>
      </w:r>
    </w:p>
    <w:p w14:paraId="724C17A2" w14:textId="77777777" w:rsidR="00BE5EDE" w:rsidRPr="003D1614" w:rsidRDefault="00BE5EDE" w:rsidP="00BE5EDE">
      <w:pPr>
        <w:suppressAutoHyphens/>
        <w:autoSpaceDN w:val="0"/>
        <w:jc w:val="both"/>
        <w:rPr>
          <w:rFonts w:ascii="Arial" w:eastAsia="Times New Roman" w:hAnsi="Arial" w:cs="Arial"/>
          <w:color w:val="000000" w:themeColor="text1"/>
          <w:sz w:val="20"/>
          <w:szCs w:val="20"/>
        </w:rPr>
      </w:pPr>
    </w:p>
    <w:p w14:paraId="6C339C22" w14:textId="77777777" w:rsidR="00BE5EDE" w:rsidRPr="003D1614" w:rsidRDefault="00BE5EDE" w:rsidP="00BE5EDE">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Svi</w:t>
      </w:r>
      <w:r w:rsidRPr="003D1614">
        <w:rPr>
          <w:rFonts w:ascii="Arial" w:eastAsia="Times New Roman" w:hAnsi="Arial" w:cs="Arial"/>
          <w:b/>
          <w:color w:val="000000" w:themeColor="text1"/>
          <w:sz w:val="20"/>
          <w:szCs w:val="20"/>
        </w:rPr>
        <w:t xml:space="preserve"> </w:t>
      </w:r>
      <w:r w:rsidRPr="003D1614">
        <w:rPr>
          <w:rFonts w:ascii="Arial" w:eastAsia="Times New Roman" w:hAnsi="Arial" w:cs="Arial"/>
          <w:color w:val="000000" w:themeColor="text1"/>
          <w:sz w:val="20"/>
          <w:szCs w:val="20"/>
        </w:rPr>
        <w:t>financijski instrumenti klijenta u statusu neispunjenja obveza se klasificiraju u 3. stupanj.</w:t>
      </w:r>
    </w:p>
    <w:p w14:paraId="12F9AEFA" w14:textId="77777777" w:rsidR="00BE5EDE" w:rsidRPr="003D1614" w:rsidRDefault="00BE5EDE" w:rsidP="00BE5EDE">
      <w:pPr>
        <w:suppressAutoHyphens/>
        <w:autoSpaceDN w:val="0"/>
        <w:jc w:val="both"/>
        <w:rPr>
          <w:rFonts w:ascii="Arial" w:eastAsia="Times New Roman" w:hAnsi="Arial" w:cs="Arial"/>
          <w:color w:val="000000" w:themeColor="text1"/>
          <w:sz w:val="20"/>
          <w:szCs w:val="20"/>
        </w:rPr>
      </w:pPr>
    </w:p>
    <w:p w14:paraId="0FBA7295" w14:textId="4850A16A" w:rsidR="00BE5EDE" w:rsidRPr="003D1614" w:rsidRDefault="00BE5EDE" w:rsidP="00BE5EDE">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Plasmani klijentima u statusu neispunjenja obveza zbog materijalnog kašnjenja u plaćanju obveza preko 90 dana mogu se klasificirati u ozdravljene/rehabilitirane </w:t>
      </w:r>
      <w:r w:rsidR="006E498C">
        <w:rPr>
          <w:rFonts w:ascii="Arial" w:eastAsia="Times New Roman" w:hAnsi="Arial" w:cs="Arial"/>
          <w:color w:val="000000" w:themeColor="text1"/>
          <w:sz w:val="20"/>
          <w:szCs w:val="20"/>
        </w:rPr>
        <w:t>ako</w:t>
      </w:r>
      <w:r w:rsidRPr="003D1614">
        <w:rPr>
          <w:rFonts w:ascii="Arial" w:eastAsia="Times New Roman" w:hAnsi="Arial" w:cs="Arial"/>
          <w:color w:val="000000" w:themeColor="text1"/>
          <w:sz w:val="20"/>
          <w:szCs w:val="20"/>
        </w:rPr>
        <w:t xml:space="preserve"> je prošlo 150 dana od trenutka ne postojanja okidača za status neispunjenja obveza. U razdoblju kušnje od 150 dana klijent ne smije kasniti u plaćanju obveza preko 30 dana u materijalno značajnom iznosu.</w:t>
      </w:r>
    </w:p>
    <w:p w14:paraId="7ECA75B9" w14:textId="77777777" w:rsidR="00BE5EDE" w:rsidRPr="003D1614" w:rsidRDefault="00BE5EDE" w:rsidP="00BE5EDE">
      <w:pPr>
        <w:suppressAutoHyphens/>
        <w:autoSpaceDN w:val="0"/>
        <w:jc w:val="both"/>
        <w:rPr>
          <w:rFonts w:ascii="Arial" w:eastAsia="Times New Roman" w:hAnsi="Arial" w:cs="Arial"/>
          <w:color w:val="000000" w:themeColor="text1"/>
          <w:sz w:val="20"/>
          <w:szCs w:val="20"/>
        </w:rPr>
      </w:pPr>
    </w:p>
    <w:p w14:paraId="381331DE" w14:textId="77777777" w:rsidR="00BE5EDE" w:rsidRPr="003D1614" w:rsidRDefault="00BE5EDE" w:rsidP="00BE5EDE">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Po proteku 150 dana ozdravljenim klijentima se smatraju samo klijenti za koje je utvrđeno da nisu u financijskim poteškoćama. Ako postoje naznake ponovnog ulaska u status neispunjenja obveza, status se ne mijenja sve do stvarnog i trajnog poboljšanja kreditne kvalitete klijenta.</w:t>
      </w:r>
    </w:p>
    <w:p w14:paraId="536CEEA2" w14:textId="77777777" w:rsidR="00BE5EDE" w:rsidRPr="003D1614" w:rsidRDefault="00BE5EDE" w:rsidP="00BE5EDE">
      <w:pPr>
        <w:suppressAutoHyphens/>
        <w:autoSpaceDN w:val="0"/>
        <w:jc w:val="both"/>
        <w:rPr>
          <w:rFonts w:ascii="Arial" w:eastAsia="Times New Roman" w:hAnsi="Arial" w:cs="Arial"/>
          <w:color w:val="000000" w:themeColor="text1"/>
          <w:sz w:val="20"/>
          <w:szCs w:val="20"/>
        </w:rPr>
      </w:pPr>
    </w:p>
    <w:p w14:paraId="150BA6A7" w14:textId="77777777" w:rsidR="00BE5EDE" w:rsidRPr="003D1614" w:rsidRDefault="00BE5EDE" w:rsidP="00BE5EDE">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Restrukturirane izloženosti kojima su uzrok financijske poteškoće i problemi u otplati </w:t>
      </w:r>
      <w:r>
        <w:rPr>
          <w:rFonts w:ascii="Arial" w:eastAsia="Times New Roman" w:hAnsi="Arial" w:cs="Arial"/>
          <w:color w:val="000000" w:themeColor="text1"/>
          <w:sz w:val="20"/>
          <w:szCs w:val="20"/>
        </w:rPr>
        <w:t xml:space="preserve">klijenta </w:t>
      </w:r>
      <w:r w:rsidRPr="003D1614">
        <w:rPr>
          <w:rFonts w:ascii="Arial" w:eastAsia="Times New Roman" w:hAnsi="Arial" w:cs="Arial"/>
          <w:color w:val="000000" w:themeColor="text1"/>
          <w:sz w:val="20"/>
          <w:szCs w:val="20"/>
        </w:rPr>
        <w:t>se mogu klasificirati kao ozdravljene/rehabilitirane nakon  godine</w:t>
      </w:r>
      <w:r>
        <w:rPr>
          <w:rFonts w:ascii="Arial" w:eastAsia="Times New Roman" w:hAnsi="Arial" w:cs="Arial"/>
          <w:color w:val="000000" w:themeColor="text1"/>
          <w:sz w:val="20"/>
          <w:szCs w:val="20"/>
        </w:rPr>
        <w:t xml:space="preserve"> dana</w:t>
      </w:r>
      <w:r w:rsidRPr="003D1614">
        <w:rPr>
          <w:rFonts w:ascii="Arial" w:eastAsia="Times New Roman" w:hAnsi="Arial" w:cs="Arial"/>
          <w:color w:val="000000" w:themeColor="text1"/>
          <w:sz w:val="20"/>
          <w:szCs w:val="20"/>
        </w:rPr>
        <w:t xml:space="preserve"> od posljednjeg među događajima:</w:t>
      </w:r>
    </w:p>
    <w:p w14:paraId="7B051A6C" w14:textId="77777777" w:rsidR="00BE5EDE" w:rsidRPr="003D1614" w:rsidRDefault="00BE5EDE" w:rsidP="00BE5EDE">
      <w:pPr>
        <w:numPr>
          <w:ilvl w:val="0"/>
          <w:numId w:val="17"/>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od dana restrukturiranja,</w:t>
      </w:r>
    </w:p>
    <w:p w14:paraId="0DD3A590" w14:textId="77777777" w:rsidR="00BE5EDE" w:rsidRPr="003D1614" w:rsidRDefault="00BE5EDE" w:rsidP="00BE5EDE">
      <w:pPr>
        <w:numPr>
          <w:ilvl w:val="0"/>
          <w:numId w:val="17"/>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od datuma dodjele statusa neispunjenja obveza,</w:t>
      </w:r>
    </w:p>
    <w:p w14:paraId="0B833066" w14:textId="77777777" w:rsidR="00BE5EDE" w:rsidRPr="003D1614" w:rsidRDefault="00BE5EDE" w:rsidP="00BE5EDE">
      <w:pPr>
        <w:numPr>
          <w:ilvl w:val="0"/>
          <w:numId w:val="17"/>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od proteka počeka ukoliko je odobren u sklopu restrukturiranja.</w:t>
      </w:r>
    </w:p>
    <w:p w14:paraId="42E47D8A" w14:textId="77777777" w:rsidR="00BE5EDE" w:rsidRPr="003D1614" w:rsidRDefault="00BE5EDE" w:rsidP="00BE5EDE">
      <w:pPr>
        <w:suppressAutoHyphens/>
        <w:autoSpaceDN w:val="0"/>
        <w:jc w:val="both"/>
        <w:rPr>
          <w:rFonts w:ascii="Arial" w:eastAsia="Times New Roman" w:hAnsi="Arial" w:cs="Arial"/>
          <w:color w:val="000000" w:themeColor="text1"/>
          <w:sz w:val="20"/>
          <w:szCs w:val="20"/>
        </w:rPr>
      </w:pPr>
    </w:p>
    <w:p w14:paraId="52B0F1B8" w14:textId="584D3560" w:rsidR="00BE5EDE" w:rsidRPr="003D1614" w:rsidRDefault="00BE5EDE" w:rsidP="00BE5EDE">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Tijekom razdoblja kušnje od godine </w:t>
      </w:r>
      <w:r>
        <w:rPr>
          <w:rFonts w:ascii="Arial" w:eastAsia="Times New Roman" w:hAnsi="Arial" w:cs="Arial"/>
          <w:color w:val="000000" w:themeColor="text1"/>
          <w:sz w:val="20"/>
          <w:szCs w:val="20"/>
        </w:rPr>
        <w:t xml:space="preserve">dana </w:t>
      </w:r>
      <w:r w:rsidRPr="003D1614">
        <w:rPr>
          <w:rFonts w:ascii="Arial" w:eastAsia="Times New Roman" w:hAnsi="Arial" w:cs="Arial"/>
          <w:color w:val="000000" w:themeColor="text1"/>
          <w:sz w:val="20"/>
          <w:szCs w:val="20"/>
        </w:rPr>
        <w:t>u izloženosti u statusu ispunjavanja obveza se mogu klasificirati izloženosti kojima su ispunjeni svi sljedeći uvjeti :</w:t>
      </w:r>
    </w:p>
    <w:p w14:paraId="693610D5" w14:textId="77777777" w:rsidR="00BE5EDE" w:rsidRPr="003D1614" w:rsidRDefault="00BE5EDE" w:rsidP="00BE5EDE">
      <w:pPr>
        <w:numPr>
          <w:ilvl w:val="0"/>
          <w:numId w:val="18"/>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dužnik je uredno platio po dospijeću najmanje iznos restrukturiranih obveza u visini dospjelih u trenutku provedbe restrukturiranja,</w:t>
      </w:r>
    </w:p>
    <w:p w14:paraId="5A30B848" w14:textId="77777777" w:rsidR="00BE5EDE" w:rsidRPr="003D1614" w:rsidRDefault="00BE5EDE" w:rsidP="00BE5EDE">
      <w:pPr>
        <w:numPr>
          <w:ilvl w:val="0"/>
          <w:numId w:val="18"/>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dužnik je redovito plaćao dospjele obveze u skladu s planom otplate (ili uz kašnjenje do 30 dana),</w:t>
      </w:r>
    </w:p>
    <w:p w14:paraId="1A1A9A7E" w14:textId="77777777" w:rsidR="00BE5EDE" w:rsidRPr="003D1614" w:rsidRDefault="00BE5EDE" w:rsidP="00BE5EDE">
      <w:pPr>
        <w:numPr>
          <w:ilvl w:val="0"/>
          <w:numId w:val="18"/>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nema vjerojatnosti stupanja u status neispunjenja obveza,</w:t>
      </w:r>
    </w:p>
    <w:p w14:paraId="09A5A2AD" w14:textId="77777777" w:rsidR="00BE5EDE" w:rsidRPr="003D1614" w:rsidRDefault="00BE5EDE" w:rsidP="00BE5EDE">
      <w:pPr>
        <w:numPr>
          <w:ilvl w:val="0"/>
          <w:numId w:val="18"/>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nema dospjelih nepodmirenih obveza nakon restrukturiranja,</w:t>
      </w:r>
    </w:p>
    <w:p w14:paraId="325E8497" w14:textId="77777777" w:rsidR="00BE5EDE" w:rsidRDefault="00BE5EDE" w:rsidP="00BE5EDE">
      <w:pPr>
        <w:numPr>
          <w:ilvl w:val="0"/>
          <w:numId w:val="18"/>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nema sumnje da dužnik neće plaćati i nadalje svoje obveze po dospijeću. </w:t>
      </w:r>
    </w:p>
    <w:p w14:paraId="6F11621B" w14:textId="77777777" w:rsidR="00BE5EDE" w:rsidRPr="003D1614" w:rsidRDefault="00BE5EDE" w:rsidP="00BE5EDE">
      <w:pPr>
        <w:suppressAutoHyphens/>
        <w:autoSpaceDN w:val="0"/>
        <w:ind w:left="720"/>
        <w:jc w:val="both"/>
        <w:rPr>
          <w:rFonts w:ascii="Arial" w:eastAsia="Times New Roman" w:hAnsi="Arial" w:cs="Arial"/>
          <w:color w:val="000000" w:themeColor="text1"/>
          <w:sz w:val="20"/>
          <w:szCs w:val="20"/>
        </w:rPr>
      </w:pPr>
    </w:p>
    <w:p w14:paraId="08ED8A11" w14:textId="77777777" w:rsidR="00BE5EDE" w:rsidRPr="003D1614" w:rsidRDefault="00BE5EDE" w:rsidP="00BE5EDE">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Svi ovi uvjeti trebaju biti zadovoljeni i za nove plasmane istom klijentu. Reklasificirati se u ozdravljene mogu samo plasmani klijent</w:t>
      </w:r>
      <w:r>
        <w:rPr>
          <w:rFonts w:ascii="Arial" w:eastAsia="Times New Roman" w:hAnsi="Arial" w:cs="Arial"/>
          <w:color w:val="000000" w:themeColor="text1"/>
          <w:sz w:val="20"/>
          <w:szCs w:val="20"/>
        </w:rPr>
        <w:t>a</w:t>
      </w:r>
      <w:r w:rsidRPr="003D1614">
        <w:rPr>
          <w:rFonts w:ascii="Arial" w:eastAsia="Times New Roman" w:hAnsi="Arial" w:cs="Arial"/>
          <w:color w:val="000000" w:themeColor="text1"/>
          <w:sz w:val="20"/>
          <w:szCs w:val="20"/>
        </w:rPr>
        <w:t xml:space="preserve"> koji nije u financijskim poteškoćama.</w:t>
      </w:r>
    </w:p>
    <w:p w14:paraId="1BD66327" w14:textId="77777777" w:rsidR="00BE5EDE" w:rsidRPr="003D1614" w:rsidRDefault="00BE5EDE" w:rsidP="00BE5EDE">
      <w:pPr>
        <w:suppressAutoHyphens/>
        <w:autoSpaceDN w:val="0"/>
        <w:jc w:val="both"/>
        <w:rPr>
          <w:rFonts w:ascii="Arial" w:eastAsia="Times New Roman" w:hAnsi="Arial" w:cs="Arial"/>
          <w:color w:val="000000" w:themeColor="text1"/>
          <w:sz w:val="20"/>
          <w:szCs w:val="20"/>
        </w:rPr>
      </w:pPr>
    </w:p>
    <w:p w14:paraId="0AA692C2" w14:textId="77777777" w:rsidR="00BE5EDE" w:rsidRPr="003D1614" w:rsidRDefault="00BE5EDE" w:rsidP="00BE5EDE">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Financijski instrumenti rehabilitiranih/ozdravljenih klijenata se nakon ispunjenja svih uvjeta iz razdoblja kušnje klasificiraju u prihodujuće izloženosti. Svi plasmani klijenata nakon reprograma/restrukuriranja smatraju se reprogramiranima (engl. Forbearance) još dvije godine od kad su klasificirani kao prihodujuće izloženosti i u tom periodu se klasificiraju u 2. stupanj rizika. </w:t>
      </w:r>
    </w:p>
    <w:p w14:paraId="3358C9CF" w14:textId="77777777" w:rsidR="00BE5EDE" w:rsidRPr="003D1614" w:rsidRDefault="00BE5EDE" w:rsidP="00BE5EDE">
      <w:pPr>
        <w:suppressAutoHyphens/>
        <w:autoSpaceDN w:val="0"/>
        <w:jc w:val="both"/>
        <w:rPr>
          <w:rFonts w:ascii="Arial" w:eastAsia="Times New Roman" w:hAnsi="Arial" w:cs="Arial"/>
          <w:color w:val="000000" w:themeColor="text1"/>
          <w:sz w:val="20"/>
          <w:szCs w:val="20"/>
        </w:rPr>
      </w:pPr>
    </w:p>
    <w:p w14:paraId="1397403D" w14:textId="3C0B9209" w:rsidR="0088484F" w:rsidRPr="003D1614" w:rsidRDefault="00BE5EDE"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Svi klijenti kojima nisu odobreni ustupci zbog financijskih poteškoća, a HBOR-ova izloženost prema njima je prestala biti neprihodujuća, nakon ozdravljenja klasificiraju se u 1. stupanj rizika.</w:t>
      </w:r>
    </w:p>
    <w:p w14:paraId="4863BE6A"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sectPr w:rsidR="0088484F" w:rsidRPr="003D1614">
          <w:pgSz w:w="11906" w:h="16838"/>
          <w:pgMar w:top="1417" w:right="1417" w:bottom="1417" w:left="1417" w:header="708" w:footer="708" w:gutter="0"/>
          <w:cols w:space="708"/>
          <w:docGrid w:linePitch="360"/>
        </w:sectPr>
      </w:pPr>
    </w:p>
    <w:p w14:paraId="5CFD4336"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7B08435C" w14:textId="02D27AF5" w:rsidR="0088484F" w:rsidRPr="003D1614" w:rsidRDefault="0088484F" w:rsidP="0088484F">
      <w:pPr>
        <w:keepNext/>
        <w:tabs>
          <w:tab w:val="left" w:pos="567"/>
        </w:tabs>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lang w:eastAsia="hr-HR"/>
        </w:rPr>
        <w:t>2</w:t>
      </w:r>
      <w:r w:rsidR="000E693B">
        <w:rPr>
          <w:rFonts w:ascii="Arial" w:eastAsia="Times New Roman" w:hAnsi="Arial" w:cs="Arial"/>
          <w:b/>
          <w:bCs/>
          <w:color w:val="000000" w:themeColor="text1"/>
          <w:sz w:val="20"/>
          <w:szCs w:val="20"/>
          <w:lang w:eastAsia="hr-HR"/>
        </w:rPr>
        <w:t>3</w:t>
      </w:r>
      <w:r w:rsidRPr="003D1614">
        <w:rPr>
          <w:rFonts w:ascii="Arial" w:eastAsia="Times New Roman" w:hAnsi="Arial" w:cs="Arial"/>
          <w:b/>
          <w:bCs/>
          <w:color w:val="000000" w:themeColor="text1"/>
          <w:sz w:val="20"/>
          <w:szCs w:val="20"/>
          <w:lang w:eastAsia="hr-HR"/>
        </w:rPr>
        <w:t>.</w:t>
      </w:r>
      <w:r w:rsidRPr="003D1614">
        <w:rPr>
          <w:rFonts w:ascii="Arial" w:eastAsia="Times New Roman" w:hAnsi="Arial" w:cs="Arial"/>
          <w:b/>
          <w:bCs/>
          <w:color w:val="000000" w:themeColor="text1"/>
          <w:sz w:val="20"/>
          <w:szCs w:val="20"/>
        </w:rPr>
        <w:tab/>
        <w:t>Upravljanje rizicima (nastavak)</w:t>
      </w:r>
    </w:p>
    <w:p w14:paraId="070D0AF9"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1A6AB153" w14:textId="7419C13C" w:rsidR="0088484F" w:rsidRPr="003D1614" w:rsidRDefault="0088484F" w:rsidP="0088484F">
      <w:pPr>
        <w:suppressAutoHyphens/>
        <w:autoSpaceDN w:val="0"/>
        <w:spacing w:line="300" w:lineRule="exact"/>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ab/>
        <w:t>Kreditni rizik (nastavak)</w:t>
      </w:r>
    </w:p>
    <w:p w14:paraId="0A217FD8" w14:textId="77777777" w:rsidR="0088484F" w:rsidRPr="003D1614" w:rsidRDefault="0088484F" w:rsidP="0088484F">
      <w:pPr>
        <w:tabs>
          <w:tab w:val="left" w:pos="851"/>
        </w:tabs>
        <w:suppressAutoHyphens/>
        <w:autoSpaceDN w:val="0"/>
        <w:spacing w:line="300" w:lineRule="exact"/>
        <w:jc w:val="both"/>
        <w:rPr>
          <w:rFonts w:ascii="Arial" w:eastAsia="Calibri" w:hAnsi="Arial" w:cs="Arial"/>
          <w:b/>
          <w:color w:val="000000" w:themeColor="text1"/>
          <w:sz w:val="20"/>
          <w:szCs w:val="20"/>
        </w:rPr>
      </w:pPr>
    </w:p>
    <w:p w14:paraId="423227E8" w14:textId="5CB66BE3" w:rsidR="0088484F" w:rsidRPr="003D1614" w:rsidRDefault="0088484F" w:rsidP="0088484F">
      <w:pPr>
        <w:tabs>
          <w:tab w:val="left" w:pos="851"/>
        </w:tabs>
        <w:suppressAutoHyphens/>
        <w:autoSpaceDN w:val="0"/>
        <w:spacing w:line="300" w:lineRule="exact"/>
        <w:jc w:val="both"/>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.3.2.</w:t>
      </w:r>
      <w:r w:rsidRPr="003D1614">
        <w:rPr>
          <w:rFonts w:ascii="Arial" w:eastAsia="Calibri" w:hAnsi="Arial" w:cs="Arial"/>
          <w:b/>
          <w:color w:val="000000" w:themeColor="text1"/>
          <w:sz w:val="20"/>
          <w:szCs w:val="20"/>
        </w:rPr>
        <w:tab/>
        <w:t>Procjena umanjenja vrijednosti (nastavak)</w:t>
      </w:r>
    </w:p>
    <w:p w14:paraId="1931D017" w14:textId="77777777" w:rsidR="0088484F" w:rsidRPr="003D1614" w:rsidRDefault="0088484F" w:rsidP="0088484F">
      <w:pPr>
        <w:keepNext/>
        <w:tabs>
          <w:tab w:val="left" w:pos="426"/>
        </w:tabs>
        <w:suppressAutoHyphens/>
        <w:autoSpaceDN w:val="0"/>
        <w:jc w:val="both"/>
        <w:rPr>
          <w:rFonts w:ascii="Arial" w:eastAsia="Times New Roman" w:hAnsi="Arial" w:cs="Arial"/>
          <w:b/>
          <w:bCs/>
          <w:color w:val="000000" w:themeColor="text1"/>
          <w:sz w:val="20"/>
          <w:szCs w:val="20"/>
          <w:lang w:eastAsia="hr-HR"/>
        </w:rPr>
      </w:pPr>
    </w:p>
    <w:p w14:paraId="699DC897" w14:textId="77777777" w:rsidR="002D16CA" w:rsidRPr="003D1614" w:rsidRDefault="002D16CA" w:rsidP="002D16CA">
      <w:pPr>
        <w:tabs>
          <w:tab w:val="left" w:pos="567"/>
          <w:tab w:val="left" w:pos="851"/>
        </w:tabs>
        <w:suppressAutoHyphens/>
        <w:autoSpaceDN w:val="0"/>
        <w:spacing w:line="300" w:lineRule="exact"/>
        <w:jc w:val="both"/>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.3.2.2.</w:t>
      </w:r>
      <w:r w:rsidRPr="003D1614">
        <w:rPr>
          <w:rFonts w:ascii="Arial" w:eastAsia="Calibri" w:hAnsi="Arial" w:cs="Arial"/>
          <w:b/>
          <w:color w:val="000000" w:themeColor="text1"/>
          <w:sz w:val="20"/>
          <w:szCs w:val="20"/>
        </w:rPr>
        <w:tab/>
        <w:t>Bančin postupak procjene internog rejtinga i vjerojatnosti neispunjenja ugovornih obveza (PD)</w:t>
      </w:r>
    </w:p>
    <w:p w14:paraId="65252FBB" w14:textId="77777777" w:rsidR="002D16CA" w:rsidRPr="003D1614" w:rsidRDefault="002D16CA" w:rsidP="002D16CA">
      <w:pPr>
        <w:suppressAutoHyphens/>
        <w:autoSpaceDN w:val="0"/>
        <w:jc w:val="both"/>
        <w:rPr>
          <w:rFonts w:ascii="Arial" w:eastAsia="Times New Roman" w:hAnsi="Arial" w:cs="Arial"/>
          <w:color w:val="000000" w:themeColor="text1"/>
          <w:sz w:val="20"/>
          <w:szCs w:val="20"/>
        </w:rPr>
      </w:pPr>
    </w:p>
    <w:p w14:paraId="5EA501D5" w14:textId="77777777" w:rsidR="002D16CA" w:rsidRPr="003D1614" w:rsidRDefault="002D16CA" w:rsidP="002D16CA">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Za modeliranje PD-ja koristi se pristup temeljen na TTC (engl. Through-the-Cycle) migracijskim matricama za izloženosti u homogenim skupinama izravnih korisnika i ostalo. Definirane su rizične skupine (eng. bucket) te se provodi analiza kretanja izloženosti između navedenih skupina. </w:t>
      </w:r>
    </w:p>
    <w:p w14:paraId="7B442D9B" w14:textId="77777777" w:rsidR="002D16CA" w:rsidRPr="003D1614" w:rsidRDefault="002D16CA" w:rsidP="002D16CA">
      <w:pPr>
        <w:suppressAutoHyphens/>
        <w:autoSpaceDN w:val="0"/>
        <w:jc w:val="both"/>
        <w:rPr>
          <w:rFonts w:ascii="Arial" w:eastAsia="Times New Roman" w:hAnsi="Arial" w:cs="Arial"/>
          <w:color w:val="000000" w:themeColor="text1"/>
          <w:sz w:val="20"/>
          <w:szCs w:val="20"/>
        </w:rPr>
      </w:pPr>
    </w:p>
    <w:p w14:paraId="01967C5D" w14:textId="77777777" w:rsidR="002D16CA" w:rsidRPr="003D1614" w:rsidRDefault="002D16CA" w:rsidP="002D16CA">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Za navedene izloženosti, rizične skupine su definirane temeljem dana kašnjenja i statusa restrukturiranih izloženosti. Modeliranju PD-ja prethodi prikupljanje podataka za prethodno relevantno razdoblje.</w:t>
      </w:r>
    </w:p>
    <w:p w14:paraId="052DA261" w14:textId="77777777" w:rsidR="002D16CA" w:rsidRPr="003D1614" w:rsidRDefault="002D16CA" w:rsidP="002D16CA">
      <w:pPr>
        <w:suppressAutoHyphens/>
        <w:autoSpaceDN w:val="0"/>
        <w:jc w:val="both"/>
        <w:rPr>
          <w:rFonts w:ascii="Arial" w:eastAsia="Times New Roman" w:hAnsi="Arial" w:cs="Arial"/>
          <w:color w:val="000000" w:themeColor="text1"/>
          <w:sz w:val="20"/>
          <w:szCs w:val="20"/>
        </w:rPr>
      </w:pPr>
    </w:p>
    <w:p w14:paraId="42BB0542" w14:textId="77777777" w:rsidR="002D16CA" w:rsidRPr="003D1614" w:rsidRDefault="002D16CA" w:rsidP="002D16CA">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Pri modeliranju PD-ja, analizira se kretanje izloženosti između sljedećih skupina:</w:t>
      </w:r>
    </w:p>
    <w:p w14:paraId="1BC585C9" w14:textId="77777777" w:rsidR="002D16CA" w:rsidRPr="003D1614" w:rsidRDefault="002D16CA" w:rsidP="002D16CA">
      <w:pPr>
        <w:numPr>
          <w:ilvl w:val="0"/>
          <w:numId w:val="19"/>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od 0 do 30 dana kašnjenja - skupina 1,</w:t>
      </w:r>
    </w:p>
    <w:p w14:paraId="03AA2B38" w14:textId="77777777" w:rsidR="002D16CA" w:rsidRPr="003D1614" w:rsidRDefault="002D16CA" w:rsidP="002D16CA">
      <w:pPr>
        <w:numPr>
          <w:ilvl w:val="0"/>
          <w:numId w:val="19"/>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od 31 do 90 dana kašnjenja - skupina 2,</w:t>
      </w:r>
    </w:p>
    <w:p w14:paraId="3248A37D" w14:textId="77777777" w:rsidR="002D16CA" w:rsidRPr="003D1614" w:rsidRDefault="002D16CA" w:rsidP="002D16CA">
      <w:pPr>
        <w:numPr>
          <w:ilvl w:val="0"/>
          <w:numId w:val="19"/>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više od 90 dana kašnjenja i restrukturiranje – događaj statusa neispunjenja obveza (defaulta).</w:t>
      </w:r>
    </w:p>
    <w:p w14:paraId="27B4C954" w14:textId="77777777" w:rsidR="002D16CA" w:rsidRPr="003D1614" w:rsidRDefault="002D16CA" w:rsidP="002D16CA">
      <w:pPr>
        <w:suppressAutoHyphens/>
        <w:autoSpaceDN w:val="0"/>
        <w:jc w:val="both"/>
        <w:rPr>
          <w:rFonts w:ascii="Arial" w:eastAsia="Times New Roman" w:hAnsi="Arial" w:cs="Arial"/>
          <w:color w:val="000000" w:themeColor="text1"/>
          <w:sz w:val="20"/>
          <w:szCs w:val="20"/>
        </w:rPr>
      </w:pPr>
    </w:p>
    <w:p w14:paraId="5D9C69F7" w14:textId="77777777" w:rsidR="002D16CA" w:rsidRPr="003D1614" w:rsidRDefault="002D16CA" w:rsidP="002D16CA">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Temeljem matrica kretanja izloženosti iz skupine u skupinu, izračunava se 12-mjesečna vrijednost PD-ja. Daljnjim množenjem matrica izračunavaju se granične vrijednosti PD-ja putem kojih se kreira vektor. Vektor graničnih vrijednosti PD-ja predstavlja osnovu pomoću koje se izračunava vrijednost cjeloživotnog PD-ja. Vrijednost cjeloživotnog PD-ja ovisi o tenoru, odnosno preostalom razdoblju do dospijeća pojedine izloženosti.</w:t>
      </w:r>
    </w:p>
    <w:p w14:paraId="549A0963" w14:textId="77777777" w:rsidR="002D16CA" w:rsidRPr="003D1614" w:rsidRDefault="002D16CA" w:rsidP="002D16CA">
      <w:pPr>
        <w:suppressAutoHyphens/>
        <w:autoSpaceDN w:val="0"/>
        <w:jc w:val="both"/>
        <w:rPr>
          <w:rFonts w:ascii="Arial" w:eastAsia="Times New Roman" w:hAnsi="Arial" w:cs="Arial"/>
          <w:color w:val="000000" w:themeColor="text1"/>
          <w:sz w:val="20"/>
          <w:szCs w:val="20"/>
        </w:rPr>
      </w:pPr>
    </w:p>
    <w:p w14:paraId="346700F1" w14:textId="77777777" w:rsidR="002D16CA" w:rsidRPr="003D1614" w:rsidRDefault="002D16CA" w:rsidP="002D16CA">
      <w:pPr>
        <w:tabs>
          <w:tab w:val="left" w:pos="2694"/>
        </w:tabs>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Pristup temeljen na vanjskom rejtingu koji objavljuju vanjske kreditne rejting agencije korišten je prilikom izračuna PD-ja za izloženosti iz homogenih skupina financijske institucije te središnja država i lokalna i područna (regionalna) samouprava.</w:t>
      </w:r>
    </w:p>
    <w:p w14:paraId="6E9BFF8E" w14:textId="77777777" w:rsidR="002D16CA" w:rsidRPr="003D1614" w:rsidRDefault="002D16CA" w:rsidP="002D16CA">
      <w:pPr>
        <w:suppressAutoHyphens/>
        <w:autoSpaceDN w:val="0"/>
        <w:jc w:val="both"/>
        <w:rPr>
          <w:rFonts w:ascii="Arial" w:eastAsia="Times New Roman" w:hAnsi="Arial" w:cs="Arial"/>
          <w:color w:val="000000" w:themeColor="text1"/>
          <w:sz w:val="20"/>
          <w:szCs w:val="20"/>
        </w:rPr>
      </w:pPr>
    </w:p>
    <w:p w14:paraId="71A7DAE7" w14:textId="77777777" w:rsidR="002D16CA" w:rsidRPr="003D1614" w:rsidRDefault="002D16CA" w:rsidP="002D16CA">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Za izloženosti prema domaćim financijskim institucijama, obzirom da ne postoji vanjski rejting za sve financijske institucije u portfelju Grupe, postojeći interni rejtinzi domaćih financijskih institucija mapirani su na vanjski rejting pri čemu se kao polazna točka mapiranja koristi financijska institucija koja ima vanjski rejting, slijedom čega je interni rejting u Grupi izjednačen s rejtingom S&amp;P-a "BBB+". Time je utvrđena gornja granica za domaće financijske institucije na razini rejtinga države. Distribucija vrijednosti PD-ja za preostale interne rejtinge određuje se metodom linearne interpolacije.</w:t>
      </w:r>
    </w:p>
    <w:p w14:paraId="4F85B48C" w14:textId="77777777" w:rsidR="002D16CA" w:rsidRPr="003D1614" w:rsidRDefault="002D16CA" w:rsidP="002D16CA">
      <w:pPr>
        <w:suppressAutoHyphens/>
        <w:autoSpaceDN w:val="0"/>
        <w:jc w:val="both"/>
        <w:rPr>
          <w:rFonts w:ascii="Arial" w:eastAsia="Times New Roman" w:hAnsi="Arial" w:cs="Arial"/>
          <w:color w:val="000000" w:themeColor="text1"/>
          <w:sz w:val="20"/>
          <w:szCs w:val="20"/>
        </w:rPr>
      </w:pPr>
    </w:p>
    <w:p w14:paraId="576C3699" w14:textId="77777777" w:rsidR="002D16CA" w:rsidRPr="003D1614" w:rsidRDefault="002D16CA" w:rsidP="002D16CA">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Za izloženosti prema inozemnim financijskim institucijama koriste se rejtinzi vanjskih kreditnih rejting agencija i sukladno tome primjenjuje odgovarajuća vrijednost PD-ja iz njihovih matrica, a ako nema onda se koristi interni rejting, odnosno primjenjuju se pravila istovjetna domaćim financijskim institucijama.</w:t>
      </w:r>
    </w:p>
    <w:p w14:paraId="6D778051" w14:textId="77777777" w:rsidR="002D16CA" w:rsidRPr="003D1614" w:rsidRDefault="002D16CA" w:rsidP="002D16CA">
      <w:pPr>
        <w:suppressAutoHyphens/>
        <w:autoSpaceDN w:val="0"/>
        <w:jc w:val="both"/>
        <w:rPr>
          <w:rFonts w:ascii="Arial" w:eastAsia="Times New Roman" w:hAnsi="Arial" w:cs="Arial"/>
          <w:color w:val="000000" w:themeColor="text1"/>
          <w:sz w:val="20"/>
          <w:szCs w:val="20"/>
        </w:rPr>
      </w:pPr>
    </w:p>
    <w:p w14:paraId="1C82A37B" w14:textId="77777777" w:rsidR="002D16CA" w:rsidRPr="003D1614" w:rsidRDefault="002D16CA" w:rsidP="002D16CA">
      <w:pPr>
        <w:tabs>
          <w:tab w:val="left" w:pos="2694"/>
        </w:tabs>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Vrijednost 12-mjesečnog PD-ja procjenjuje se množenjem TTC matrice sa samom sobom. Vrijednost cjeloživotnog PD-ja predstavlja kumulativnu vrijednost graničnih vrijednosti PD-ja, odnosno zbroj graničnih vrijednosti PD-ja, ovisno o tenoru izloženosti.</w:t>
      </w:r>
    </w:p>
    <w:p w14:paraId="5AC6697E" w14:textId="77777777" w:rsidR="002D16CA" w:rsidRPr="003D1614" w:rsidRDefault="002D16CA" w:rsidP="002D16CA">
      <w:pPr>
        <w:tabs>
          <w:tab w:val="left" w:pos="2694"/>
        </w:tabs>
        <w:suppressAutoHyphens/>
        <w:autoSpaceDN w:val="0"/>
        <w:jc w:val="both"/>
        <w:rPr>
          <w:rFonts w:ascii="Arial" w:eastAsia="Times New Roman" w:hAnsi="Arial" w:cs="Arial"/>
          <w:color w:val="000000" w:themeColor="text1"/>
          <w:sz w:val="20"/>
          <w:szCs w:val="20"/>
        </w:rPr>
      </w:pPr>
    </w:p>
    <w:p w14:paraId="5E3DB031" w14:textId="7F9D289B" w:rsidR="0088484F" w:rsidRPr="003D1614" w:rsidRDefault="0088484F" w:rsidP="0088484F">
      <w:pPr>
        <w:tabs>
          <w:tab w:val="left" w:pos="2694"/>
        </w:tabs>
        <w:suppressAutoHyphens/>
        <w:autoSpaceDN w:val="0"/>
        <w:jc w:val="both"/>
        <w:rPr>
          <w:rFonts w:ascii="Arial" w:eastAsia="Times New Roman" w:hAnsi="Arial" w:cs="Arial"/>
          <w:color w:val="000000" w:themeColor="text1"/>
          <w:sz w:val="20"/>
          <w:szCs w:val="20"/>
        </w:rPr>
      </w:pPr>
    </w:p>
    <w:p w14:paraId="66FA828B" w14:textId="77777777" w:rsidR="0088484F" w:rsidRPr="003D1614" w:rsidRDefault="0088484F" w:rsidP="0088484F">
      <w:pPr>
        <w:tabs>
          <w:tab w:val="left" w:pos="2694"/>
        </w:tabs>
        <w:suppressAutoHyphens/>
        <w:autoSpaceDN w:val="0"/>
        <w:jc w:val="both"/>
        <w:rPr>
          <w:rFonts w:ascii="Arial" w:eastAsia="Times New Roman" w:hAnsi="Arial" w:cs="Arial"/>
          <w:color w:val="000000" w:themeColor="text1"/>
          <w:sz w:val="20"/>
          <w:szCs w:val="20"/>
        </w:rPr>
        <w:sectPr w:rsidR="0088484F" w:rsidRPr="003D1614">
          <w:pgSz w:w="11906" w:h="16838"/>
          <w:pgMar w:top="1417" w:right="1417" w:bottom="1417" w:left="1417" w:header="708" w:footer="708" w:gutter="0"/>
          <w:cols w:space="708"/>
          <w:docGrid w:linePitch="360"/>
        </w:sectPr>
      </w:pPr>
    </w:p>
    <w:p w14:paraId="0923DC53" w14:textId="77777777" w:rsidR="0088484F" w:rsidRPr="003D1614" w:rsidRDefault="0088484F" w:rsidP="0088484F">
      <w:pPr>
        <w:suppressAutoHyphens/>
        <w:autoSpaceDN w:val="0"/>
        <w:jc w:val="both"/>
        <w:rPr>
          <w:rFonts w:ascii="Arial" w:eastAsia="Calibri" w:hAnsi="Arial" w:cs="Arial"/>
          <w:bCs/>
          <w:color w:val="000000" w:themeColor="text1"/>
          <w:spacing w:val="-3"/>
          <w:sz w:val="20"/>
          <w:szCs w:val="20"/>
        </w:rPr>
      </w:pPr>
    </w:p>
    <w:p w14:paraId="3FC81E9D" w14:textId="23D09AE6" w:rsidR="0088484F" w:rsidRPr="003D1614" w:rsidRDefault="0088484F" w:rsidP="0088484F">
      <w:pPr>
        <w:keepNext/>
        <w:tabs>
          <w:tab w:val="left" w:pos="567"/>
        </w:tabs>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lang w:eastAsia="hr-HR"/>
        </w:rPr>
        <w:t>2</w:t>
      </w:r>
      <w:r w:rsidR="000E693B">
        <w:rPr>
          <w:rFonts w:ascii="Arial" w:eastAsia="Times New Roman" w:hAnsi="Arial" w:cs="Arial"/>
          <w:b/>
          <w:bCs/>
          <w:color w:val="000000" w:themeColor="text1"/>
          <w:sz w:val="20"/>
          <w:szCs w:val="20"/>
          <w:lang w:eastAsia="hr-HR"/>
        </w:rPr>
        <w:t>3</w:t>
      </w:r>
      <w:r w:rsidRPr="003D1614">
        <w:rPr>
          <w:rFonts w:ascii="Arial" w:eastAsia="Times New Roman" w:hAnsi="Arial" w:cs="Arial"/>
          <w:b/>
          <w:bCs/>
          <w:color w:val="000000" w:themeColor="text1"/>
          <w:sz w:val="20"/>
          <w:szCs w:val="20"/>
          <w:lang w:eastAsia="hr-HR"/>
        </w:rPr>
        <w:t>.</w:t>
      </w:r>
      <w:r w:rsidRPr="003D1614">
        <w:rPr>
          <w:rFonts w:ascii="Arial" w:eastAsia="Times New Roman" w:hAnsi="Arial" w:cs="Arial"/>
          <w:b/>
          <w:bCs/>
          <w:color w:val="000000" w:themeColor="text1"/>
          <w:sz w:val="20"/>
          <w:szCs w:val="20"/>
        </w:rPr>
        <w:tab/>
        <w:t>Upravljanje rizicima (nastavak)</w:t>
      </w:r>
    </w:p>
    <w:p w14:paraId="7B4B4B4B"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1294696B" w14:textId="06EFF553" w:rsidR="0088484F" w:rsidRPr="003D1614" w:rsidRDefault="0088484F" w:rsidP="0088484F">
      <w:pPr>
        <w:tabs>
          <w:tab w:val="left" w:pos="567"/>
        </w:tabs>
        <w:suppressAutoHyphens/>
        <w:autoSpaceDN w:val="0"/>
        <w:spacing w:line="300" w:lineRule="exact"/>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ab/>
        <w:t>Kreditni rizik (nastavak)</w:t>
      </w:r>
    </w:p>
    <w:p w14:paraId="629CFA5F"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3B3DF9CF" w14:textId="153F54F6" w:rsidR="0088484F" w:rsidRPr="003D1614" w:rsidRDefault="0088484F" w:rsidP="0088484F">
      <w:pPr>
        <w:suppressAutoHyphens/>
        <w:autoSpaceDN w:val="0"/>
        <w:spacing w:line="300" w:lineRule="exact"/>
        <w:jc w:val="both"/>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.3.2.</w:t>
      </w:r>
      <w:r w:rsidRPr="003D1614">
        <w:rPr>
          <w:rFonts w:ascii="Arial" w:eastAsia="Calibri" w:hAnsi="Arial" w:cs="Arial"/>
          <w:b/>
          <w:color w:val="000000" w:themeColor="text1"/>
          <w:sz w:val="20"/>
          <w:szCs w:val="20"/>
        </w:rPr>
        <w:tab/>
        <w:t>Procjena umanjenja vrijednosti (nastavak)</w:t>
      </w:r>
    </w:p>
    <w:p w14:paraId="53A5583C" w14:textId="77777777" w:rsidR="0088484F" w:rsidRPr="003D1614" w:rsidRDefault="0088484F" w:rsidP="0088484F">
      <w:pPr>
        <w:suppressAutoHyphens/>
        <w:autoSpaceDN w:val="0"/>
        <w:spacing w:line="300" w:lineRule="exact"/>
        <w:rPr>
          <w:rFonts w:ascii="Arial" w:eastAsia="Calibri" w:hAnsi="Arial" w:cs="Arial"/>
          <w:b/>
          <w:color w:val="000000" w:themeColor="text1"/>
          <w:sz w:val="20"/>
          <w:szCs w:val="20"/>
        </w:rPr>
      </w:pPr>
    </w:p>
    <w:p w14:paraId="3816B2F0" w14:textId="77777777" w:rsidR="00EC6DD8" w:rsidRPr="003D1614" w:rsidRDefault="00EC6DD8" w:rsidP="00EC6DD8">
      <w:pPr>
        <w:suppressAutoHyphens/>
        <w:autoSpaceDN w:val="0"/>
        <w:spacing w:line="300" w:lineRule="exact"/>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 xml:space="preserve">.3.2.3. Izloženost u trenutku nastanka statusa neispunjenja obveza </w:t>
      </w:r>
    </w:p>
    <w:p w14:paraId="59DB6034" w14:textId="77777777" w:rsidR="00EC6DD8" w:rsidRPr="003D1614" w:rsidRDefault="00EC6DD8" w:rsidP="00EC6DD8">
      <w:pPr>
        <w:suppressAutoHyphens/>
        <w:autoSpaceDN w:val="0"/>
        <w:jc w:val="both"/>
        <w:rPr>
          <w:rFonts w:ascii="Arial" w:eastAsia="Times New Roman" w:hAnsi="Arial" w:cs="Arial"/>
          <w:color w:val="000000" w:themeColor="text1"/>
          <w:sz w:val="20"/>
          <w:szCs w:val="20"/>
        </w:rPr>
      </w:pPr>
    </w:p>
    <w:p w14:paraId="500686FA" w14:textId="77777777" w:rsidR="00EC6DD8" w:rsidRPr="003D1614" w:rsidRDefault="00EC6DD8" w:rsidP="00EC6DD8">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Za potrebe modeliranja izloženosti u trenutku nastanka statusa neispunjenja obveza (engl. Exposure at Default, dalje: EAD), odnosno za potrebe izračuna kreditnog konverzijskog parametra (dalje: CCF, eng. Credit Conversion Factor) i omjera prijevremene otplate, razmatraju se podaci za proteklo petogodišnje razdoblje.</w:t>
      </w:r>
    </w:p>
    <w:p w14:paraId="257507BA" w14:textId="77777777" w:rsidR="00EC6DD8" w:rsidRPr="003D1614" w:rsidRDefault="00EC6DD8" w:rsidP="00EC6DD8">
      <w:pPr>
        <w:suppressAutoHyphens/>
        <w:autoSpaceDN w:val="0"/>
        <w:jc w:val="both"/>
        <w:rPr>
          <w:rFonts w:ascii="Arial" w:eastAsia="Times New Roman" w:hAnsi="Arial" w:cs="Arial"/>
          <w:color w:val="000000" w:themeColor="text1"/>
          <w:sz w:val="20"/>
          <w:szCs w:val="20"/>
        </w:rPr>
      </w:pPr>
    </w:p>
    <w:p w14:paraId="15B63B6C" w14:textId="77777777" w:rsidR="00EC6DD8" w:rsidRPr="003D1614" w:rsidRDefault="00EC6DD8" w:rsidP="00EC6DD8">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Temeljem navedenih povijesnih podataka utvrđen je omjer prijevremene naplate približno jednak nuli te kreditni konverzijski faktor jednak 1.</w:t>
      </w:r>
    </w:p>
    <w:p w14:paraId="0B125157" w14:textId="77777777" w:rsidR="00EC6DD8" w:rsidRPr="003D1614" w:rsidRDefault="00EC6DD8" w:rsidP="00EC6DD8">
      <w:pPr>
        <w:suppressAutoHyphens/>
        <w:autoSpaceDN w:val="0"/>
        <w:jc w:val="both"/>
        <w:rPr>
          <w:rFonts w:ascii="Arial" w:eastAsia="Times New Roman" w:hAnsi="Arial" w:cs="Arial"/>
          <w:color w:val="000000" w:themeColor="text1"/>
          <w:sz w:val="20"/>
          <w:szCs w:val="20"/>
        </w:rPr>
      </w:pPr>
    </w:p>
    <w:p w14:paraId="58C7256F" w14:textId="77777777" w:rsidR="00EC6DD8" w:rsidRPr="003D1614" w:rsidRDefault="00EC6DD8" w:rsidP="00EC6DD8">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EAD se izračunava za svaki ugovor. Dva su pristupa izračunu EAD-a</w:t>
      </w:r>
      <w:r w:rsidRPr="003D1614">
        <w:rPr>
          <w:rFonts w:ascii="Arial" w:eastAsia="Times New Roman" w:hAnsi="Arial" w:cs="Arial"/>
          <w:sz w:val="24"/>
          <w:szCs w:val="24"/>
        </w:rPr>
        <w:t xml:space="preserve"> </w:t>
      </w:r>
      <w:r w:rsidRPr="003D1614">
        <w:rPr>
          <w:rFonts w:ascii="Arial" w:eastAsia="Times New Roman" w:hAnsi="Arial" w:cs="Arial"/>
          <w:color w:val="000000" w:themeColor="text1"/>
          <w:sz w:val="20"/>
          <w:szCs w:val="20"/>
        </w:rPr>
        <w:t>ako za izloženost:</w:t>
      </w:r>
    </w:p>
    <w:p w14:paraId="6AF40151" w14:textId="77777777" w:rsidR="00EC6DD8" w:rsidRPr="003D1614" w:rsidRDefault="00EC6DD8" w:rsidP="00EC6DD8">
      <w:pPr>
        <w:numPr>
          <w:ilvl w:val="0"/>
          <w:numId w:val="20"/>
        </w:numPr>
        <w:suppressAutoHyphens/>
        <w:autoSpaceDN w:val="0"/>
        <w:contextualSpacing/>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postoji plan otplate - temeljem novčanog toka iz plana otplate,</w:t>
      </w:r>
    </w:p>
    <w:p w14:paraId="2DE37324" w14:textId="77777777" w:rsidR="00EC6DD8" w:rsidRPr="003D1614" w:rsidRDefault="00EC6DD8" w:rsidP="00EC6DD8">
      <w:pPr>
        <w:numPr>
          <w:ilvl w:val="0"/>
          <w:numId w:val="20"/>
        </w:numPr>
        <w:suppressAutoHyphens/>
        <w:autoSpaceDN w:val="0"/>
        <w:contextualSpacing/>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ne postoji plan otplate - temeljem iznosa izloženosti na izvještajni datum.</w:t>
      </w:r>
    </w:p>
    <w:p w14:paraId="09C50984" w14:textId="77777777" w:rsidR="00EC6DD8" w:rsidRPr="003D1614" w:rsidRDefault="00EC6DD8" w:rsidP="00EC6DD8">
      <w:pPr>
        <w:suppressAutoHyphens/>
        <w:autoSpaceDN w:val="0"/>
        <w:jc w:val="both"/>
        <w:rPr>
          <w:rFonts w:ascii="Arial" w:eastAsia="Times New Roman" w:hAnsi="Arial" w:cs="Arial"/>
          <w:color w:val="000000" w:themeColor="text1"/>
          <w:sz w:val="20"/>
          <w:szCs w:val="20"/>
        </w:rPr>
      </w:pPr>
    </w:p>
    <w:p w14:paraId="670AD3D5" w14:textId="77777777" w:rsidR="00EC6DD8" w:rsidRPr="003D1614" w:rsidRDefault="00EC6DD8" w:rsidP="00EC6DD8">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Za izloženosti klasificirane u 1. stupanj rizika te za dospjele izloženosti EAD je jednak trenutnoj izloženosti. </w:t>
      </w:r>
    </w:p>
    <w:p w14:paraId="256D8C24" w14:textId="77777777" w:rsidR="00EC6DD8" w:rsidRPr="003D1614" w:rsidRDefault="00EC6DD8" w:rsidP="00EC6DD8">
      <w:pPr>
        <w:suppressAutoHyphens/>
        <w:autoSpaceDN w:val="0"/>
        <w:jc w:val="both"/>
        <w:rPr>
          <w:rFonts w:ascii="Arial" w:eastAsia="Times New Roman" w:hAnsi="Arial" w:cs="Arial"/>
          <w:color w:val="000000" w:themeColor="text1"/>
          <w:sz w:val="20"/>
          <w:szCs w:val="20"/>
        </w:rPr>
      </w:pPr>
    </w:p>
    <w:p w14:paraId="76A5FAEB" w14:textId="77777777" w:rsidR="00EC6DD8" w:rsidRPr="003D1614" w:rsidRDefault="00EC6DD8" w:rsidP="00EC6DD8">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Za nedospjele izloženosti, cjeloživotni EAD se izračunava temeljem plana otplate, uvažavajući iznose i razdoblje dospijeća, a maksimalno do posljednjeg datuma dospijeća izloženosti (tenora). </w:t>
      </w:r>
    </w:p>
    <w:p w14:paraId="58981244" w14:textId="77777777" w:rsidR="00EC6DD8" w:rsidRPr="003D1614" w:rsidRDefault="00EC6DD8" w:rsidP="00EC6DD8">
      <w:pPr>
        <w:suppressAutoHyphens/>
        <w:autoSpaceDN w:val="0"/>
        <w:spacing w:line="300" w:lineRule="exact"/>
        <w:rPr>
          <w:rFonts w:ascii="Arial" w:eastAsia="Calibri" w:hAnsi="Arial" w:cs="Arial"/>
          <w:b/>
          <w:color w:val="000000" w:themeColor="text1"/>
          <w:sz w:val="20"/>
          <w:szCs w:val="20"/>
        </w:rPr>
      </w:pPr>
    </w:p>
    <w:p w14:paraId="5D018F25" w14:textId="77777777" w:rsidR="00EC6DD8" w:rsidRPr="003D1614" w:rsidRDefault="00EC6DD8" w:rsidP="00EC6DD8">
      <w:pPr>
        <w:suppressAutoHyphens/>
        <w:autoSpaceDN w:val="0"/>
        <w:spacing w:line="300" w:lineRule="exact"/>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.3.2.4. Gubitak u trenutku nastanka statusa neispunjenja obveza</w:t>
      </w:r>
    </w:p>
    <w:p w14:paraId="1FDD737B" w14:textId="77777777" w:rsidR="00EC6DD8" w:rsidRPr="003D1614" w:rsidRDefault="00EC6DD8" w:rsidP="00EC6DD8">
      <w:pPr>
        <w:suppressAutoHyphens/>
        <w:autoSpaceDE w:val="0"/>
        <w:autoSpaceDN w:val="0"/>
        <w:adjustRightInd w:val="0"/>
        <w:jc w:val="both"/>
        <w:rPr>
          <w:rFonts w:ascii="Arial" w:eastAsia="Times New Roman" w:hAnsi="Arial" w:cs="Arial"/>
          <w:color w:val="000000" w:themeColor="text1"/>
          <w:sz w:val="20"/>
          <w:szCs w:val="20"/>
        </w:rPr>
      </w:pPr>
    </w:p>
    <w:p w14:paraId="0DA404E3" w14:textId="77777777" w:rsidR="00EC6DD8" w:rsidRPr="003D1614" w:rsidRDefault="00EC6DD8" w:rsidP="00EC6DD8">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Za skupine izravnih korisnika i ostalo, gubitak u trenutku nastanka statusa neispunjenja obveza (engl. Loss Given Default, dalje: LGD) se procjenjuje temeljem transakcija nakon datuma nastanka statusa neispunjenja obveza klijenta. Svaka se transakcija diskontira na datum nastanka statusa neispunjenja obveza odgovarajućom diskontnom stopom, a diskontni faktor ovisi o proteklom vremenu. Pojedinačnoj izloženosti se pribrajaju sva povećanja nakon datuma nastanka statusa neispunjenja obveza. Rezultat navedenog izračuna je stopa naplate za svaku izloženost u nekoj homogenoj skupini, a ukupnu stopu naplate za pojedinu homogenu skupinu čini težinski prosjek stopa naplate svih pojedinačnih izloženosti. </w:t>
      </w:r>
    </w:p>
    <w:p w14:paraId="685C2BB7" w14:textId="77777777" w:rsidR="00EC6DD8" w:rsidRPr="003D1614" w:rsidRDefault="00EC6DD8" w:rsidP="00EC6DD8">
      <w:pPr>
        <w:suppressAutoHyphens/>
        <w:autoSpaceDN w:val="0"/>
        <w:jc w:val="both"/>
        <w:rPr>
          <w:rFonts w:ascii="Arial" w:eastAsia="Times New Roman" w:hAnsi="Arial" w:cs="Arial"/>
          <w:color w:val="000000" w:themeColor="text1"/>
          <w:sz w:val="20"/>
          <w:szCs w:val="20"/>
        </w:rPr>
      </w:pPr>
    </w:p>
    <w:p w14:paraId="3305EE9D" w14:textId="77777777" w:rsidR="00EC6DD8" w:rsidRPr="003D1614" w:rsidRDefault="00EC6DD8" w:rsidP="00EC6DD8">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U izračun LGD-a također je uzeta u obzir i vjerojatnost izlaska iz statusa neispunjenja obveza. </w:t>
      </w:r>
    </w:p>
    <w:p w14:paraId="059FBC6E" w14:textId="77777777" w:rsidR="00EC6DD8" w:rsidRPr="003D1614" w:rsidRDefault="00EC6DD8" w:rsidP="00EC6DD8">
      <w:pPr>
        <w:suppressAutoHyphens/>
        <w:autoSpaceDE w:val="0"/>
        <w:autoSpaceDN w:val="0"/>
        <w:adjustRightInd w:val="0"/>
        <w:jc w:val="both"/>
        <w:rPr>
          <w:rFonts w:ascii="Arial" w:eastAsia="Times New Roman" w:hAnsi="Arial" w:cs="Arial"/>
          <w:color w:val="000000" w:themeColor="text1"/>
          <w:sz w:val="20"/>
          <w:szCs w:val="20"/>
        </w:rPr>
      </w:pPr>
    </w:p>
    <w:p w14:paraId="77BE5502" w14:textId="5C0C6EB3" w:rsidR="0088484F" w:rsidRPr="003D1614" w:rsidRDefault="00EC6DD8" w:rsidP="00EC6DD8">
      <w:pPr>
        <w:suppressAutoHyphens/>
        <w:autoSpaceDE w:val="0"/>
        <w:autoSpaceDN w:val="0"/>
        <w:adjustRightInd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Kao podloga za određivanje LGD-a za skupine središnja država i lokalna i područna (regionalna) samouprava i financijske institucije koristi se izvještaj vanjskih kreditnih rejting agencija. U godišnjim izvještajima o stopama nastanka statusa neispunjenja obveza i naplate, kreditne rejting agencije objavljuju i povijesne i tržišne stope naplate. Tržišna stopa naplate je tržišna cijena obveznice u odnosu na njezinu vrijednost neposredno prije defaulta ili u trenutku defaulta obveznice. Temeljem tržišnih stopa naplate za neosigurani nadređeni dug („senior unsecured debt“), određuje se stopa naplate ponderirana izdavateljem obveznica (eng. issuer-weighted recovery rate).</w:t>
      </w:r>
    </w:p>
    <w:p w14:paraId="421E1463" w14:textId="77777777" w:rsidR="0088484F" w:rsidRPr="003D1614" w:rsidRDefault="0088484F" w:rsidP="0088484F">
      <w:pPr>
        <w:suppressAutoHyphens/>
        <w:autoSpaceDE w:val="0"/>
        <w:autoSpaceDN w:val="0"/>
        <w:adjustRightInd w:val="0"/>
        <w:jc w:val="both"/>
        <w:rPr>
          <w:rFonts w:ascii="Arial" w:eastAsia="Times New Roman" w:hAnsi="Arial" w:cs="Arial"/>
          <w:color w:val="000000" w:themeColor="text1"/>
          <w:sz w:val="20"/>
          <w:szCs w:val="20"/>
        </w:rPr>
        <w:sectPr w:rsidR="0088484F" w:rsidRPr="003D1614">
          <w:pgSz w:w="11906" w:h="16838"/>
          <w:pgMar w:top="1417" w:right="1417" w:bottom="1417" w:left="1417" w:header="708" w:footer="708" w:gutter="0"/>
          <w:cols w:space="708"/>
          <w:docGrid w:linePitch="360"/>
        </w:sectPr>
      </w:pPr>
    </w:p>
    <w:p w14:paraId="3B119382" w14:textId="77777777" w:rsidR="0088484F" w:rsidRPr="003D1614" w:rsidRDefault="0088484F" w:rsidP="0088484F">
      <w:pPr>
        <w:suppressAutoHyphens/>
        <w:autoSpaceDE w:val="0"/>
        <w:autoSpaceDN w:val="0"/>
        <w:adjustRightInd w:val="0"/>
        <w:jc w:val="both"/>
        <w:rPr>
          <w:rFonts w:ascii="Arial" w:eastAsia="Times New Roman" w:hAnsi="Arial" w:cs="Arial"/>
          <w:color w:val="000000" w:themeColor="text1"/>
          <w:sz w:val="20"/>
          <w:szCs w:val="20"/>
        </w:rPr>
      </w:pPr>
    </w:p>
    <w:p w14:paraId="2C54B014" w14:textId="6E44B462" w:rsidR="0088484F" w:rsidRPr="003D1614" w:rsidRDefault="0088484F" w:rsidP="0088484F">
      <w:pPr>
        <w:keepNext/>
        <w:tabs>
          <w:tab w:val="left" w:pos="567"/>
        </w:tabs>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lang w:eastAsia="hr-HR"/>
        </w:rPr>
        <w:t>2</w:t>
      </w:r>
      <w:r w:rsidR="000E693B">
        <w:rPr>
          <w:rFonts w:ascii="Arial" w:eastAsia="Times New Roman" w:hAnsi="Arial" w:cs="Arial"/>
          <w:b/>
          <w:bCs/>
          <w:color w:val="000000" w:themeColor="text1"/>
          <w:sz w:val="20"/>
          <w:szCs w:val="20"/>
          <w:lang w:eastAsia="hr-HR"/>
        </w:rPr>
        <w:t>3</w:t>
      </w:r>
      <w:r w:rsidRPr="003D1614">
        <w:rPr>
          <w:rFonts w:ascii="Arial" w:eastAsia="Times New Roman" w:hAnsi="Arial" w:cs="Arial"/>
          <w:b/>
          <w:bCs/>
          <w:color w:val="000000" w:themeColor="text1"/>
          <w:sz w:val="20"/>
          <w:szCs w:val="20"/>
          <w:lang w:eastAsia="hr-HR"/>
        </w:rPr>
        <w:t>.</w:t>
      </w:r>
      <w:r w:rsidRPr="003D1614">
        <w:rPr>
          <w:rFonts w:ascii="Arial" w:eastAsia="Times New Roman" w:hAnsi="Arial" w:cs="Arial"/>
          <w:b/>
          <w:bCs/>
          <w:color w:val="000000" w:themeColor="text1"/>
          <w:sz w:val="20"/>
          <w:szCs w:val="20"/>
        </w:rPr>
        <w:tab/>
        <w:t>Upravljanje rizicima (nastavak)</w:t>
      </w:r>
    </w:p>
    <w:p w14:paraId="47F3BE8A"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6CE194B7" w14:textId="27630A85" w:rsidR="0088484F" w:rsidRPr="003D1614" w:rsidRDefault="0088484F" w:rsidP="0088484F">
      <w:pPr>
        <w:tabs>
          <w:tab w:val="left" w:pos="567"/>
        </w:tabs>
        <w:suppressAutoHyphens/>
        <w:autoSpaceDN w:val="0"/>
        <w:spacing w:line="300" w:lineRule="exact"/>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ab/>
        <w:t>Kreditni rizik (nastavak)</w:t>
      </w:r>
    </w:p>
    <w:p w14:paraId="25130F7E"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67461489" w14:textId="538B80D1" w:rsidR="0088484F" w:rsidRPr="003D1614" w:rsidRDefault="0088484F" w:rsidP="0088484F">
      <w:pPr>
        <w:suppressAutoHyphens/>
        <w:autoSpaceDN w:val="0"/>
        <w:spacing w:line="300" w:lineRule="exact"/>
        <w:jc w:val="both"/>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.3.2. Procjena umanjenja vrijednosti (nastavak)</w:t>
      </w:r>
    </w:p>
    <w:p w14:paraId="068EBBB7" w14:textId="77777777" w:rsidR="0088484F" w:rsidRPr="003D1614" w:rsidRDefault="0088484F" w:rsidP="0088484F">
      <w:pPr>
        <w:suppressAutoHyphens/>
        <w:autoSpaceDN w:val="0"/>
        <w:spacing w:line="300" w:lineRule="exact"/>
        <w:rPr>
          <w:rFonts w:ascii="Arial" w:eastAsia="Calibri" w:hAnsi="Arial" w:cs="Arial"/>
          <w:b/>
          <w:color w:val="000000" w:themeColor="text1"/>
          <w:sz w:val="20"/>
          <w:szCs w:val="20"/>
        </w:rPr>
      </w:pPr>
    </w:p>
    <w:p w14:paraId="783A9021" w14:textId="77777777" w:rsidR="00F77F41" w:rsidRPr="003D1614" w:rsidRDefault="00F77F41" w:rsidP="00F77F41">
      <w:pPr>
        <w:suppressAutoHyphens/>
        <w:autoSpaceDN w:val="0"/>
        <w:spacing w:line="300" w:lineRule="exact"/>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 xml:space="preserve">.3.2.5. Značajno povećanje kreditnog rizika </w:t>
      </w:r>
    </w:p>
    <w:p w14:paraId="79B82843" w14:textId="77777777" w:rsidR="00F77F41" w:rsidRPr="003D1614" w:rsidRDefault="00F77F41" w:rsidP="00F77F41">
      <w:pPr>
        <w:suppressAutoHyphens/>
        <w:autoSpaceDN w:val="0"/>
        <w:jc w:val="both"/>
        <w:rPr>
          <w:rFonts w:ascii="Arial" w:eastAsia="Times New Roman" w:hAnsi="Arial" w:cs="Arial"/>
          <w:color w:val="000000" w:themeColor="text1"/>
          <w:sz w:val="20"/>
          <w:szCs w:val="20"/>
        </w:rPr>
      </w:pPr>
    </w:p>
    <w:p w14:paraId="28ED904C" w14:textId="77777777" w:rsidR="00F77F41" w:rsidRPr="003D1614" w:rsidRDefault="00F77F41" w:rsidP="00F77F41">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U svrhu utvrđivanja povećanog kreditnog rizika </w:t>
      </w:r>
      <w:r>
        <w:rPr>
          <w:rFonts w:ascii="Arial" w:eastAsia="Times New Roman" w:hAnsi="Arial" w:cs="Arial"/>
          <w:color w:val="000000" w:themeColor="text1"/>
          <w:sz w:val="20"/>
          <w:szCs w:val="20"/>
        </w:rPr>
        <w:t xml:space="preserve">klijenata </w:t>
      </w:r>
      <w:r w:rsidRPr="003D1614">
        <w:rPr>
          <w:rFonts w:ascii="Arial" w:eastAsia="Times New Roman" w:hAnsi="Arial" w:cs="Arial"/>
          <w:color w:val="000000" w:themeColor="text1"/>
          <w:sz w:val="20"/>
          <w:szCs w:val="20"/>
        </w:rPr>
        <w:t xml:space="preserve">kontinuirano, a najmanje jednom godišnje prate se promjene za sve klijente Banke. Svi plasmani klijentu kod kojeg je utvrđen povećan kreditni rizik ili </w:t>
      </w:r>
      <w:r>
        <w:rPr>
          <w:rFonts w:ascii="Arial" w:eastAsia="Times New Roman" w:hAnsi="Arial" w:cs="Arial"/>
          <w:color w:val="000000" w:themeColor="text1"/>
          <w:sz w:val="20"/>
          <w:szCs w:val="20"/>
        </w:rPr>
        <w:t xml:space="preserve">plasmani </w:t>
      </w:r>
      <w:r w:rsidRPr="003D1614">
        <w:rPr>
          <w:rFonts w:ascii="Arial" w:eastAsia="Times New Roman" w:hAnsi="Arial" w:cs="Arial"/>
          <w:color w:val="000000" w:themeColor="text1"/>
          <w:sz w:val="20"/>
          <w:szCs w:val="20"/>
        </w:rPr>
        <w:t xml:space="preserve">u slučaju individualno značajnih klijenata čija je izloženost iznad </w:t>
      </w:r>
      <w:r>
        <w:rPr>
          <w:rFonts w:ascii="Arial" w:eastAsia="Times New Roman" w:hAnsi="Arial" w:cs="Arial"/>
          <w:color w:val="000000" w:themeColor="text1"/>
          <w:sz w:val="20"/>
          <w:szCs w:val="20"/>
        </w:rPr>
        <w:t>400</w:t>
      </w:r>
      <w:r w:rsidRPr="003D1614">
        <w:rPr>
          <w:rFonts w:ascii="Arial" w:eastAsia="Times New Roman" w:hAnsi="Arial" w:cs="Arial"/>
          <w:color w:val="000000" w:themeColor="text1"/>
          <w:sz w:val="20"/>
          <w:szCs w:val="20"/>
        </w:rPr>
        <w:t xml:space="preserve"> tisuća </w:t>
      </w:r>
      <w:r>
        <w:rPr>
          <w:rFonts w:ascii="Arial" w:eastAsia="Times New Roman" w:hAnsi="Arial" w:cs="Arial"/>
          <w:color w:val="000000" w:themeColor="text1"/>
          <w:sz w:val="20"/>
          <w:szCs w:val="20"/>
        </w:rPr>
        <w:t>eura</w:t>
      </w:r>
      <w:r w:rsidRPr="003D1614">
        <w:rPr>
          <w:rFonts w:ascii="Arial" w:eastAsia="Times New Roman" w:hAnsi="Arial" w:cs="Arial"/>
          <w:color w:val="000000" w:themeColor="text1"/>
          <w:sz w:val="20"/>
          <w:szCs w:val="20"/>
        </w:rPr>
        <w:t xml:space="preserve">, a nalaze se na Listi za pojačano praćenje, klasificiraju </w:t>
      </w:r>
      <w:r>
        <w:rPr>
          <w:rFonts w:ascii="Arial" w:eastAsia="Times New Roman" w:hAnsi="Arial" w:cs="Arial"/>
          <w:color w:val="000000" w:themeColor="text1"/>
          <w:sz w:val="20"/>
          <w:szCs w:val="20"/>
        </w:rPr>
        <w:t xml:space="preserve">na sljedeći izvještajni datum </w:t>
      </w:r>
      <w:r w:rsidRPr="003D1614">
        <w:rPr>
          <w:rFonts w:ascii="Arial" w:eastAsia="Times New Roman" w:hAnsi="Arial" w:cs="Arial"/>
          <w:color w:val="000000" w:themeColor="text1"/>
          <w:sz w:val="20"/>
          <w:szCs w:val="20"/>
        </w:rPr>
        <w:t xml:space="preserve">u 2. stupanj </w:t>
      </w:r>
      <w:r>
        <w:rPr>
          <w:rFonts w:ascii="Arial" w:eastAsia="Times New Roman" w:hAnsi="Arial" w:cs="Arial"/>
          <w:color w:val="000000" w:themeColor="text1"/>
          <w:sz w:val="20"/>
          <w:szCs w:val="20"/>
        </w:rPr>
        <w:t xml:space="preserve">kreditnog rizika </w:t>
      </w:r>
      <w:r w:rsidRPr="003D1614">
        <w:rPr>
          <w:rFonts w:ascii="Arial" w:eastAsia="Times New Roman" w:hAnsi="Arial" w:cs="Arial"/>
          <w:color w:val="000000" w:themeColor="text1"/>
          <w:sz w:val="20"/>
          <w:szCs w:val="20"/>
        </w:rPr>
        <w:t xml:space="preserve">temeljem uočenih kriterija </w:t>
      </w:r>
      <w:r>
        <w:rPr>
          <w:rFonts w:ascii="Arial" w:eastAsia="Times New Roman" w:hAnsi="Arial" w:cs="Arial"/>
          <w:color w:val="000000" w:themeColor="text1"/>
          <w:sz w:val="20"/>
          <w:szCs w:val="20"/>
        </w:rPr>
        <w:t xml:space="preserve">praćenja klijenata, </w:t>
      </w:r>
      <w:r w:rsidRPr="003D1614">
        <w:rPr>
          <w:rFonts w:ascii="Arial" w:eastAsia="Times New Roman" w:hAnsi="Arial" w:cs="Arial"/>
          <w:color w:val="000000" w:themeColor="text1"/>
          <w:sz w:val="20"/>
          <w:szCs w:val="20"/>
        </w:rPr>
        <w:t>kao na primjer:</w:t>
      </w:r>
    </w:p>
    <w:p w14:paraId="3CC57420" w14:textId="77777777" w:rsidR="00F77F41" w:rsidRPr="003D1614" w:rsidRDefault="00F77F41" w:rsidP="00F77F41">
      <w:pPr>
        <w:numPr>
          <w:ilvl w:val="0"/>
          <w:numId w:val="21"/>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kašnjenje u podmirenju bilo koje značajne dospjele obveze prema HBOR-u duže od 30 dana (a kraće od 90 dana), </w:t>
      </w:r>
    </w:p>
    <w:p w14:paraId="7E04B228" w14:textId="77777777" w:rsidR="00F77F41" w:rsidRPr="003D1614" w:rsidRDefault="00F77F41" w:rsidP="00F77F41">
      <w:pPr>
        <w:numPr>
          <w:ilvl w:val="0"/>
          <w:numId w:val="21"/>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klijent je u financijskim poteškoćama, ali nije u statusu neispunjenja obveza, </w:t>
      </w:r>
    </w:p>
    <w:p w14:paraId="1533B420" w14:textId="77777777" w:rsidR="00F77F41" w:rsidRPr="003D1614" w:rsidRDefault="00F77F41" w:rsidP="00F77F41">
      <w:pPr>
        <w:numPr>
          <w:ilvl w:val="0"/>
          <w:numId w:val="21"/>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pogoršanje rejtinga, nizak kreditni rejting klijenta,</w:t>
      </w:r>
    </w:p>
    <w:p w14:paraId="7B91F262" w14:textId="77777777" w:rsidR="00F77F41" w:rsidRPr="003D1614" w:rsidRDefault="00F77F41" w:rsidP="00F77F41">
      <w:pPr>
        <w:numPr>
          <w:ilvl w:val="0"/>
          <w:numId w:val="21"/>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nepoštivanje ugovornih odredbi</w:t>
      </w:r>
    </w:p>
    <w:p w14:paraId="290C93BD" w14:textId="77777777" w:rsidR="00F77F41" w:rsidRPr="003D1614" w:rsidRDefault="00F77F41" w:rsidP="00F77F41">
      <w:pPr>
        <w:numPr>
          <w:ilvl w:val="0"/>
          <w:numId w:val="21"/>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gubitak ključnih kupaca ili dobavljača i sl.</w:t>
      </w:r>
    </w:p>
    <w:p w14:paraId="628C7022" w14:textId="77777777" w:rsidR="00F77F41" w:rsidRPr="003D1614" w:rsidRDefault="00F77F41" w:rsidP="00F77F41">
      <w:pPr>
        <w:suppressAutoHyphens/>
        <w:autoSpaceDN w:val="0"/>
        <w:jc w:val="both"/>
        <w:rPr>
          <w:rFonts w:ascii="Arial" w:eastAsia="Times New Roman" w:hAnsi="Arial" w:cs="Arial"/>
          <w:color w:val="000000" w:themeColor="text1"/>
          <w:sz w:val="20"/>
          <w:szCs w:val="20"/>
        </w:rPr>
      </w:pPr>
    </w:p>
    <w:p w14:paraId="40B6A437" w14:textId="77777777" w:rsidR="00F77F41" w:rsidRPr="003D1614" w:rsidRDefault="00F77F41" w:rsidP="00F77F41">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Izlazak iz statusa povećanog kreditnog rizika uvjetovan je nepostojanjem svih kriterija koji su svrstali klijenta u predmetni status po njegovom događaju, a provjera svih pokazatelja provodi se najmanje jednom godišnje u okviru godišnjeg praćenja klijenta. Deaktiviranje dijela pokazatelja moguće je provesti nakon šest mjeseci. Pokazatelji povećanog kreditnog rizika su aktivni godinu dana, nakon čega ih je potrebno provjeriti te temeljem rezultata praćenja ponovo aktivirati odnosno deaktivirati. Rezultat promjene je reklasifikacija financijskih instrumenata klijenta u 1. stupanj odnosno njihovim ostankom u 2. stupnju rizika.</w:t>
      </w:r>
    </w:p>
    <w:p w14:paraId="39C69FFB" w14:textId="77777777" w:rsidR="00F77F41" w:rsidRPr="003D1614" w:rsidRDefault="00F77F41" w:rsidP="00F77F41">
      <w:pPr>
        <w:suppressAutoHyphens/>
        <w:autoSpaceDN w:val="0"/>
        <w:jc w:val="both"/>
        <w:rPr>
          <w:rFonts w:ascii="Arial" w:eastAsia="Times New Roman" w:hAnsi="Arial" w:cs="Arial"/>
          <w:color w:val="000000" w:themeColor="text1"/>
          <w:sz w:val="20"/>
          <w:szCs w:val="20"/>
        </w:rPr>
      </w:pPr>
    </w:p>
    <w:p w14:paraId="13F43D66" w14:textId="77777777" w:rsidR="00F77F41" w:rsidRPr="003D1614" w:rsidRDefault="00F77F41" w:rsidP="00F77F41">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Financijski instrumenti klijenta s investicijskim rejtingom vanjskih kreditnih rejting agencija smatraju se financijskim instrumentima niskog kreditnog rizika. Sve izloženosti prema Republici Hrvatskoj i jedinicama lokalne i područne (regionalne) samouprave (JLP(R)S), HNB-u, Europskoj investicijskoj banci (EIB) te ostalim razvojnim bankama smatraju se također financijskim instrumentima klijenata niskog kreditnog rizika. Financijski instrumenti klijenata niskog kreditnog rizika se uvijek raspoređuju u 1. stupanj.</w:t>
      </w:r>
    </w:p>
    <w:p w14:paraId="1BE42409" w14:textId="77777777" w:rsidR="00F77F41" w:rsidRPr="003D1614" w:rsidRDefault="00F77F41" w:rsidP="00F77F41">
      <w:pPr>
        <w:keepNext/>
        <w:tabs>
          <w:tab w:val="left" w:pos="426"/>
        </w:tabs>
        <w:suppressAutoHyphens/>
        <w:autoSpaceDN w:val="0"/>
        <w:jc w:val="both"/>
        <w:rPr>
          <w:rFonts w:ascii="Arial" w:eastAsia="Times New Roman" w:hAnsi="Arial" w:cs="Arial"/>
          <w:b/>
          <w:bCs/>
          <w:color w:val="000000" w:themeColor="text1"/>
          <w:sz w:val="20"/>
          <w:szCs w:val="20"/>
          <w:lang w:eastAsia="hr-HR"/>
        </w:rPr>
      </w:pPr>
    </w:p>
    <w:p w14:paraId="1A4726AB" w14:textId="77777777" w:rsidR="00F77F41" w:rsidRPr="003D1614" w:rsidRDefault="00F77F41" w:rsidP="00F77F41">
      <w:pPr>
        <w:suppressAutoHyphens/>
        <w:autoSpaceDN w:val="0"/>
        <w:spacing w:line="300" w:lineRule="exact"/>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.3.2.6. Svrstavanje financijske imovine koja se mjeri na skupnoj osnovi</w:t>
      </w:r>
    </w:p>
    <w:p w14:paraId="36A326D8" w14:textId="77777777" w:rsidR="00F77F41" w:rsidRPr="003D1614" w:rsidRDefault="00F77F41" w:rsidP="00F77F41">
      <w:pPr>
        <w:suppressAutoHyphens/>
        <w:autoSpaceDN w:val="0"/>
        <w:jc w:val="both"/>
        <w:rPr>
          <w:rFonts w:ascii="Arial" w:eastAsia="Times New Roman" w:hAnsi="Arial" w:cs="Arial"/>
          <w:color w:val="000000" w:themeColor="text1"/>
          <w:sz w:val="20"/>
          <w:szCs w:val="20"/>
        </w:rPr>
      </w:pPr>
    </w:p>
    <w:p w14:paraId="2C15F334" w14:textId="77777777" w:rsidR="00F77F41" w:rsidRPr="003D1614" w:rsidRDefault="00F77F41" w:rsidP="00F77F41">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Kreditni rizik se procjenjuje na skupnoj osnovi za sve izloženosti prema klijentima klasificiranim u 1. i 2. stupanj rizika te </w:t>
      </w:r>
      <w:r>
        <w:rPr>
          <w:rFonts w:ascii="Arial" w:eastAsia="Times New Roman" w:hAnsi="Arial" w:cs="Arial"/>
          <w:color w:val="000000" w:themeColor="text1"/>
          <w:sz w:val="20"/>
          <w:szCs w:val="20"/>
        </w:rPr>
        <w:t xml:space="preserve">svi financijski instrumenti uključujući POCI imovinu </w:t>
      </w:r>
      <w:r w:rsidRPr="003D1614">
        <w:rPr>
          <w:rFonts w:ascii="Arial" w:eastAsia="Times New Roman" w:hAnsi="Arial" w:cs="Arial"/>
          <w:color w:val="000000" w:themeColor="text1"/>
          <w:sz w:val="20"/>
          <w:szCs w:val="20"/>
        </w:rPr>
        <w:t xml:space="preserve">u 3. stupnju rizika koji pripadaju portfelju malih kredita. </w:t>
      </w:r>
      <w:r>
        <w:rPr>
          <w:rFonts w:ascii="Arial" w:eastAsia="Times New Roman" w:hAnsi="Arial" w:cs="Arial"/>
          <w:color w:val="000000" w:themeColor="text1"/>
          <w:sz w:val="20"/>
          <w:szCs w:val="20"/>
        </w:rPr>
        <w:t xml:space="preserve">Na skupnoj osnovi se procjenjuje rizik </w:t>
      </w:r>
      <w:r w:rsidRPr="003D1614">
        <w:rPr>
          <w:rFonts w:ascii="Arial" w:eastAsia="Times New Roman" w:hAnsi="Arial" w:cs="Arial"/>
          <w:color w:val="000000" w:themeColor="text1"/>
          <w:sz w:val="20"/>
          <w:szCs w:val="20"/>
        </w:rPr>
        <w:t>POCI imovin</w:t>
      </w:r>
      <w:r>
        <w:rPr>
          <w:rFonts w:ascii="Arial" w:eastAsia="Times New Roman" w:hAnsi="Arial" w:cs="Arial"/>
          <w:color w:val="000000" w:themeColor="text1"/>
          <w:sz w:val="20"/>
          <w:szCs w:val="20"/>
        </w:rPr>
        <w:t>e</w:t>
      </w:r>
      <w:r w:rsidRPr="003D1614">
        <w:rPr>
          <w:rFonts w:ascii="Arial" w:eastAsia="Times New Roman" w:hAnsi="Arial" w:cs="Arial"/>
          <w:color w:val="000000" w:themeColor="text1"/>
          <w:sz w:val="20"/>
          <w:szCs w:val="20"/>
        </w:rPr>
        <w:t xml:space="preserve"> klijenata </w:t>
      </w:r>
      <w:r>
        <w:rPr>
          <w:rFonts w:ascii="Arial" w:eastAsia="Times New Roman" w:hAnsi="Arial" w:cs="Arial"/>
          <w:color w:val="000000" w:themeColor="text1"/>
          <w:sz w:val="20"/>
          <w:szCs w:val="20"/>
        </w:rPr>
        <w:t>koji nisu u statusu neispunjenja obveza</w:t>
      </w:r>
      <w:r w:rsidRPr="003D1614">
        <w:rPr>
          <w:rFonts w:ascii="Arial" w:eastAsia="Times New Roman" w:hAnsi="Arial" w:cs="Arial"/>
          <w:color w:val="000000" w:themeColor="text1"/>
          <w:sz w:val="20"/>
          <w:szCs w:val="20"/>
        </w:rPr>
        <w:t>.</w:t>
      </w:r>
    </w:p>
    <w:p w14:paraId="611FD759" w14:textId="77777777" w:rsidR="00F77F41" w:rsidRPr="003D1614" w:rsidRDefault="00F77F41" w:rsidP="00F77F41">
      <w:pPr>
        <w:suppressAutoHyphens/>
        <w:autoSpaceDN w:val="0"/>
        <w:jc w:val="both"/>
        <w:rPr>
          <w:rFonts w:ascii="Arial" w:eastAsia="Times New Roman" w:hAnsi="Arial" w:cs="Arial"/>
          <w:color w:val="000000" w:themeColor="text1"/>
          <w:sz w:val="20"/>
          <w:szCs w:val="20"/>
        </w:rPr>
      </w:pPr>
    </w:p>
    <w:p w14:paraId="1D9559C9" w14:textId="77777777" w:rsidR="00F77F41" w:rsidRPr="003D1614" w:rsidRDefault="00F77F41" w:rsidP="00F77F41">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Za potrebe određivanja značajnog povećanja kreditnog rizika i priznavanja rezervacija za umanjenje vrijednosti na skupnoj osnovi, financijski instrumenti su grupirani u sljedeće skupine, i to na temelju zajedničkih obilježja kreditnog rizika, radi lakše procjene značajnog povećanja kreditnog rizika:</w:t>
      </w:r>
    </w:p>
    <w:p w14:paraId="05A22F71" w14:textId="77777777" w:rsidR="00F77F41" w:rsidRPr="003D1614" w:rsidRDefault="00F77F41" w:rsidP="00F77F41">
      <w:pPr>
        <w:numPr>
          <w:ilvl w:val="0"/>
          <w:numId w:val="22"/>
        </w:numPr>
        <w:tabs>
          <w:tab w:val="left" w:pos="8640"/>
        </w:tabs>
        <w:suppressAutoHyphens/>
        <w:autoSpaceDN w:val="0"/>
        <w:ind w:right="57"/>
        <w:contextualSpacing/>
        <w:jc w:val="both"/>
        <w:rPr>
          <w:rFonts w:ascii="Arial" w:eastAsia="PMingLiU" w:hAnsi="Arial" w:cs="Arial"/>
          <w:color w:val="000000" w:themeColor="text1"/>
          <w:sz w:val="20"/>
          <w:szCs w:val="20"/>
          <w:lang w:eastAsia="hr-HR" w:bidi="hr-HR"/>
        </w:rPr>
      </w:pPr>
      <w:r w:rsidRPr="003D1614">
        <w:rPr>
          <w:rFonts w:ascii="Arial" w:eastAsia="PMingLiU" w:hAnsi="Arial" w:cs="Arial"/>
          <w:color w:val="000000" w:themeColor="text1"/>
          <w:sz w:val="20"/>
          <w:szCs w:val="20"/>
          <w:lang w:eastAsia="hr-HR" w:bidi="hr-HR"/>
        </w:rPr>
        <w:t>financijske institucije,</w:t>
      </w:r>
    </w:p>
    <w:p w14:paraId="3A02B71A" w14:textId="77777777" w:rsidR="00F77F41" w:rsidRPr="003D1614" w:rsidRDefault="00F77F41" w:rsidP="00F77F41">
      <w:pPr>
        <w:numPr>
          <w:ilvl w:val="0"/>
          <w:numId w:val="22"/>
        </w:numPr>
        <w:tabs>
          <w:tab w:val="left" w:pos="8640"/>
        </w:tabs>
        <w:suppressAutoHyphens/>
        <w:autoSpaceDN w:val="0"/>
        <w:ind w:right="57"/>
        <w:contextualSpacing/>
        <w:jc w:val="both"/>
        <w:rPr>
          <w:rFonts w:ascii="Arial" w:eastAsia="PMingLiU" w:hAnsi="Arial" w:cs="Arial"/>
          <w:color w:val="000000" w:themeColor="text1"/>
          <w:sz w:val="20"/>
          <w:szCs w:val="20"/>
          <w:lang w:eastAsia="hr-HR" w:bidi="hr-HR"/>
        </w:rPr>
      </w:pPr>
      <w:r w:rsidRPr="003D1614">
        <w:rPr>
          <w:rFonts w:ascii="Arial" w:eastAsia="PMingLiU" w:hAnsi="Arial" w:cs="Arial"/>
          <w:color w:val="000000" w:themeColor="text1"/>
          <w:sz w:val="20"/>
          <w:szCs w:val="20"/>
          <w:lang w:eastAsia="hr-HR" w:bidi="hr-HR"/>
        </w:rPr>
        <w:t>središnja država i lokalna i područna (regionalna) samouprava,</w:t>
      </w:r>
    </w:p>
    <w:p w14:paraId="15372B00" w14:textId="77777777" w:rsidR="00F77F41" w:rsidRPr="003D1614" w:rsidRDefault="00F77F41" w:rsidP="00F77F41">
      <w:pPr>
        <w:numPr>
          <w:ilvl w:val="0"/>
          <w:numId w:val="22"/>
        </w:numPr>
        <w:tabs>
          <w:tab w:val="left" w:pos="8640"/>
        </w:tabs>
        <w:suppressAutoHyphens/>
        <w:autoSpaceDN w:val="0"/>
        <w:ind w:right="57"/>
        <w:contextualSpacing/>
        <w:jc w:val="both"/>
        <w:rPr>
          <w:rFonts w:ascii="Arial" w:eastAsia="PMingLiU" w:hAnsi="Arial" w:cs="Arial"/>
          <w:color w:val="000000" w:themeColor="text1"/>
          <w:sz w:val="20"/>
          <w:szCs w:val="20"/>
          <w:lang w:eastAsia="hr-HR" w:bidi="hr-HR"/>
        </w:rPr>
      </w:pPr>
      <w:r w:rsidRPr="003D1614">
        <w:rPr>
          <w:rFonts w:ascii="Arial" w:eastAsia="PMingLiU" w:hAnsi="Arial" w:cs="Arial"/>
          <w:color w:val="000000" w:themeColor="text1"/>
          <w:sz w:val="20"/>
          <w:szCs w:val="20"/>
          <w:lang w:eastAsia="hr-HR" w:bidi="hr-HR"/>
        </w:rPr>
        <w:t>izravni korisnici – veliki,</w:t>
      </w:r>
    </w:p>
    <w:p w14:paraId="00796E94" w14:textId="77777777" w:rsidR="00F77F41" w:rsidRPr="003D1614" w:rsidRDefault="00F77F41" w:rsidP="00F77F41">
      <w:pPr>
        <w:numPr>
          <w:ilvl w:val="0"/>
          <w:numId w:val="22"/>
        </w:numPr>
        <w:tabs>
          <w:tab w:val="left" w:pos="8640"/>
        </w:tabs>
        <w:ind w:right="57"/>
        <w:contextualSpacing/>
        <w:jc w:val="both"/>
        <w:rPr>
          <w:rFonts w:ascii="Arial" w:eastAsia="PMingLiU" w:hAnsi="Arial" w:cs="Arial"/>
          <w:color w:val="000000" w:themeColor="text1"/>
          <w:sz w:val="20"/>
          <w:szCs w:val="20"/>
          <w:lang w:eastAsia="hr-HR" w:bidi="hr-HR"/>
        </w:rPr>
      </w:pPr>
      <w:r w:rsidRPr="003D1614">
        <w:rPr>
          <w:rFonts w:ascii="Arial" w:eastAsia="PMingLiU" w:hAnsi="Arial" w:cs="Arial"/>
          <w:color w:val="000000" w:themeColor="text1"/>
          <w:sz w:val="20"/>
          <w:szCs w:val="20"/>
          <w:lang w:eastAsia="hr-HR" w:bidi="hr-HR"/>
        </w:rPr>
        <w:t xml:space="preserve">izravni korisnici – mali i srednji, </w:t>
      </w:r>
    </w:p>
    <w:p w14:paraId="4D93D37F" w14:textId="77777777" w:rsidR="00F77F41" w:rsidRPr="003D1614" w:rsidRDefault="00F77F41" w:rsidP="00F77F41">
      <w:pPr>
        <w:numPr>
          <w:ilvl w:val="0"/>
          <w:numId w:val="22"/>
        </w:numPr>
        <w:tabs>
          <w:tab w:val="left" w:pos="8640"/>
        </w:tabs>
        <w:ind w:right="57"/>
        <w:contextualSpacing/>
        <w:jc w:val="both"/>
        <w:rPr>
          <w:rFonts w:ascii="Arial" w:eastAsia="PMingLiU" w:hAnsi="Arial" w:cs="Arial"/>
          <w:color w:val="000000" w:themeColor="text1"/>
          <w:sz w:val="20"/>
          <w:szCs w:val="20"/>
          <w:lang w:eastAsia="hr-HR" w:bidi="hr-HR"/>
        </w:rPr>
      </w:pPr>
      <w:r w:rsidRPr="003D1614">
        <w:rPr>
          <w:rFonts w:ascii="Arial" w:eastAsia="PMingLiU" w:hAnsi="Arial" w:cs="Arial"/>
          <w:color w:val="000000" w:themeColor="text1"/>
          <w:sz w:val="20"/>
          <w:szCs w:val="20"/>
          <w:lang w:eastAsia="hr-HR" w:bidi="hr-HR"/>
        </w:rPr>
        <w:t xml:space="preserve">izravni korisnici – mikro, </w:t>
      </w:r>
    </w:p>
    <w:p w14:paraId="3B257DAA" w14:textId="77777777" w:rsidR="00F77F41" w:rsidRPr="003D1614" w:rsidRDefault="00F77F41" w:rsidP="00F77F41">
      <w:pPr>
        <w:numPr>
          <w:ilvl w:val="0"/>
          <w:numId w:val="22"/>
        </w:numPr>
        <w:tabs>
          <w:tab w:val="left" w:pos="8640"/>
        </w:tabs>
        <w:ind w:right="57"/>
        <w:contextualSpacing/>
        <w:jc w:val="both"/>
        <w:rPr>
          <w:rFonts w:ascii="Arial" w:eastAsia="PMingLiU" w:hAnsi="Arial" w:cs="Arial"/>
          <w:color w:val="000000" w:themeColor="text1"/>
          <w:sz w:val="20"/>
          <w:szCs w:val="20"/>
          <w:lang w:eastAsia="hr-HR" w:bidi="hr-HR"/>
        </w:rPr>
      </w:pPr>
      <w:r w:rsidRPr="003D1614">
        <w:rPr>
          <w:rFonts w:ascii="Arial" w:eastAsia="PMingLiU" w:hAnsi="Arial" w:cs="Arial"/>
          <w:color w:val="000000" w:themeColor="text1"/>
          <w:sz w:val="20"/>
          <w:szCs w:val="20"/>
          <w:lang w:eastAsia="hr-HR" w:bidi="hr-HR"/>
        </w:rPr>
        <w:t>izravni korisnici – stanovništvo,</w:t>
      </w:r>
    </w:p>
    <w:p w14:paraId="2852AF7C" w14:textId="77777777" w:rsidR="00F77F41" w:rsidRPr="003D1614" w:rsidRDefault="00F77F41" w:rsidP="00F77F41">
      <w:pPr>
        <w:numPr>
          <w:ilvl w:val="0"/>
          <w:numId w:val="22"/>
        </w:numPr>
        <w:tabs>
          <w:tab w:val="left" w:pos="8640"/>
        </w:tabs>
        <w:ind w:right="57"/>
        <w:contextualSpacing/>
        <w:jc w:val="both"/>
        <w:rPr>
          <w:rFonts w:ascii="Arial" w:eastAsia="PMingLiU" w:hAnsi="Arial" w:cs="Arial"/>
          <w:color w:val="000000" w:themeColor="text1"/>
          <w:sz w:val="20"/>
          <w:szCs w:val="20"/>
          <w:lang w:eastAsia="hr-HR" w:bidi="hr-HR"/>
        </w:rPr>
      </w:pPr>
      <w:r w:rsidRPr="003D1614">
        <w:rPr>
          <w:rFonts w:ascii="Arial" w:eastAsia="PMingLiU" w:hAnsi="Arial" w:cs="Arial"/>
          <w:color w:val="000000" w:themeColor="text1"/>
          <w:sz w:val="20"/>
          <w:szCs w:val="20"/>
          <w:lang w:eastAsia="hr-HR" w:bidi="hr-HR"/>
        </w:rPr>
        <w:t>ostalo.</w:t>
      </w:r>
    </w:p>
    <w:p w14:paraId="05DEEC6B"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sectPr w:rsidR="0088484F" w:rsidRPr="003D1614">
          <w:pgSz w:w="11906" w:h="16838"/>
          <w:pgMar w:top="1417" w:right="1417" w:bottom="1417" w:left="1417" w:header="708" w:footer="708" w:gutter="0"/>
          <w:cols w:space="708"/>
          <w:docGrid w:linePitch="360"/>
        </w:sectPr>
      </w:pPr>
    </w:p>
    <w:p w14:paraId="7D19F741"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682F669B" w14:textId="5B32E660" w:rsidR="0088484F" w:rsidRPr="003D1614" w:rsidRDefault="0088484F" w:rsidP="0088484F">
      <w:pPr>
        <w:keepNext/>
        <w:tabs>
          <w:tab w:val="left" w:pos="567"/>
        </w:tabs>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lang w:eastAsia="hr-HR"/>
        </w:rPr>
        <w:t>2</w:t>
      </w:r>
      <w:r w:rsidR="000E693B">
        <w:rPr>
          <w:rFonts w:ascii="Arial" w:eastAsia="Times New Roman" w:hAnsi="Arial" w:cs="Arial"/>
          <w:b/>
          <w:bCs/>
          <w:color w:val="000000" w:themeColor="text1"/>
          <w:sz w:val="20"/>
          <w:szCs w:val="20"/>
          <w:lang w:eastAsia="hr-HR"/>
        </w:rPr>
        <w:t>3</w:t>
      </w:r>
      <w:r w:rsidRPr="003D1614">
        <w:rPr>
          <w:rFonts w:ascii="Arial" w:eastAsia="Times New Roman" w:hAnsi="Arial" w:cs="Arial"/>
          <w:b/>
          <w:bCs/>
          <w:color w:val="000000" w:themeColor="text1"/>
          <w:sz w:val="20"/>
          <w:szCs w:val="20"/>
          <w:lang w:eastAsia="hr-HR"/>
        </w:rPr>
        <w:t>.</w:t>
      </w:r>
      <w:r w:rsidRPr="003D1614">
        <w:rPr>
          <w:rFonts w:ascii="Arial" w:eastAsia="Times New Roman" w:hAnsi="Arial" w:cs="Arial"/>
          <w:b/>
          <w:bCs/>
          <w:color w:val="000000" w:themeColor="text1"/>
          <w:sz w:val="20"/>
          <w:szCs w:val="20"/>
        </w:rPr>
        <w:tab/>
        <w:t>Upravljanje rizicima (nastavak)</w:t>
      </w:r>
    </w:p>
    <w:p w14:paraId="7D803B05"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3B65328A" w14:textId="49C7A87C" w:rsidR="0088484F" w:rsidRPr="003D1614" w:rsidRDefault="0088484F" w:rsidP="0088484F">
      <w:pPr>
        <w:tabs>
          <w:tab w:val="left" w:pos="567"/>
        </w:tabs>
        <w:suppressAutoHyphens/>
        <w:autoSpaceDN w:val="0"/>
        <w:spacing w:line="300" w:lineRule="exact"/>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ab/>
        <w:t>Kreditni rizik (nastavak)</w:t>
      </w:r>
    </w:p>
    <w:p w14:paraId="3450BE90"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18AB5968" w14:textId="4E9E7E48" w:rsidR="0088484F" w:rsidRPr="003D1614" w:rsidRDefault="0088484F" w:rsidP="0088484F">
      <w:pPr>
        <w:tabs>
          <w:tab w:val="left" w:pos="851"/>
          <w:tab w:val="left" w:pos="1134"/>
        </w:tabs>
        <w:suppressAutoHyphens/>
        <w:autoSpaceDN w:val="0"/>
        <w:spacing w:line="300" w:lineRule="exact"/>
        <w:jc w:val="both"/>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.3.2.</w:t>
      </w:r>
      <w:r w:rsidRPr="003D1614">
        <w:rPr>
          <w:rFonts w:ascii="Arial" w:eastAsia="Calibri" w:hAnsi="Arial" w:cs="Arial"/>
          <w:b/>
          <w:color w:val="000000" w:themeColor="text1"/>
          <w:sz w:val="20"/>
          <w:szCs w:val="20"/>
        </w:rPr>
        <w:tab/>
        <w:t>Procjena umanjenja vrijednosti (nastavak)</w:t>
      </w:r>
    </w:p>
    <w:p w14:paraId="00919C03"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3BEB3CBB" w14:textId="77777777" w:rsidR="00C63576" w:rsidRPr="003D1614" w:rsidRDefault="00C63576" w:rsidP="00C63576">
      <w:pPr>
        <w:suppressAutoHyphens/>
        <w:autoSpaceDN w:val="0"/>
        <w:spacing w:line="300" w:lineRule="exact"/>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.3.2.6. Svrstavanje financijske imovine koja se mjeri na skupnoj osnovi (nastavak)</w:t>
      </w:r>
    </w:p>
    <w:p w14:paraId="4A8599B7" w14:textId="77777777" w:rsidR="00C63576" w:rsidRPr="003D1614" w:rsidRDefault="00C63576" w:rsidP="00C63576">
      <w:pPr>
        <w:suppressAutoHyphens/>
        <w:autoSpaceDN w:val="0"/>
        <w:jc w:val="both"/>
        <w:rPr>
          <w:rFonts w:ascii="Arial" w:eastAsia="Times New Roman" w:hAnsi="Arial" w:cs="Arial"/>
          <w:color w:val="000000" w:themeColor="text1"/>
          <w:sz w:val="20"/>
          <w:szCs w:val="20"/>
        </w:rPr>
      </w:pPr>
    </w:p>
    <w:p w14:paraId="0266DBC6" w14:textId="77777777" w:rsidR="00C63576" w:rsidRPr="003D1614" w:rsidRDefault="00C63576" w:rsidP="00C63576">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Grupiranjem financijskih instrumenata u homogene skupine se osigurava da se u slučaju značajnog povećanja kreditnog rizika ispuni cilj priznavanja očekivanih kreditnih gubitaka tijekom cijelog vijeka trajanja financijskog instrumenta, čak i ako dokaz takvog značajnog povećanja kreditnog rizika još uvijek nije dostupan na razini pojedinog instrumenta.</w:t>
      </w:r>
    </w:p>
    <w:p w14:paraId="3F09E9AF" w14:textId="77777777" w:rsidR="00C63576" w:rsidRPr="003D1614" w:rsidRDefault="00C63576" w:rsidP="00C63576">
      <w:pPr>
        <w:suppressAutoHyphens/>
        <w:autoSpaceDN w:val="0"/>
        <w:jc w:val="both"/>
        <w:rPr>
          <w:rFonts w:ascii="Arial" w:eastAsia="Times New Roman" w:hAnsi="Arial" w:cs="Arial"/>
          <w:color w:val="000000" w:themeColor="text1"/>
          <w:sz w:val="20"/>
          <w:szCs w:val="20"/>
        </w:rPr>
      </w:pPr>
    </w:p>
    <w:p w14:paraId="7A56C59A" w14:textId="77777777" w:rsidR="00C63576" w:rsidRPr="003D1614" w:rsidRDefault="00C63576" w:rsidP="00C63576">
      <w:pPr>
        <w:tabs>
          <w:tab w:val="left" w:pos="851"/>
        </w:tabs>
        <w:suppressAutoHyphens/>
        <w:autoSpaceDN w:val="0"/>
        <w:spacing w:line="300" w:lineRule="exact"/>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.3.3.</w:t>
      </w:r>
      <w:r w:rsidRPr="003D1614">
        <w:rPr>
          <w:rFonts w:ascii="Arial" w:eastAsia="Calibri" w:hAnsi="Arial" w:cs="Arial"/>
          <w:b/>
          <w:color w:val="000000" w:themeColor="text1"/>
          <w:sz w:val="20"/>
          <w:szCs w:val="20"/>
        </w:rPr>
        <w:tab/>
        <w:t>Analiza inputa za ECL model u okviru utjecaja makroekonomskih uvjeta na PD</w:t>
      </w:r>
    </w:p>
    <w:p w14:paraId="6DE78C6B" w14:textId="77777777" w:rsidR="00C63576" w:rsidRPr="003D1614" w:rsidRDefault="00C63576" w:rsidP="00C63576">
      <w:pPr>
        <w:suppressAutoHyphens/>
        <w:autoSpaceDN w:val="0"/>
        <w:jc w:val="both"/>
        <w:rPr>
          <w:rFonts w:ascii="Arial" w:eastAsia="Times New Roman" w:hAnsi="Arial" w:cs="Arial"/>
          <w:color w:val="000000" w:themeColor="text1"/>
          <w:sz w:val="20"/>
          <w:szCs w:val="20"/>
        </w:rPr>
      </w:pPr>
    </w:p>
    <w:p w14:paraId="6702DF3A" w14:textId="77777777" w:rsidR="00C63576" w:rsidRPr="003D1614" w:rsidRDefault="00C63576" w:rsidP="00C63576">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Prilikom uključivanja informacija o budućnosti, koriste se dostupni izvori (HNB, DZS) o makroekonomskim uvjetima kako bi se projicirao njihov utjecaj na sadašnju vrijednost rizičnih parametara.</w:t>
      </w:r>
    </w:p>
    <w:p w14:paraId="743AA5BC" w14:textId="77777777" w:rsidR="00C63576" w:rsidRPr="003D1614" w:rsidRDefault="00C63576" w:rsidP="00C63576">
      <w:pPr>
        <w:suppressAutoHyphens/>
        <w:autoSpaceDN w:val="0"/>
        <w:jc w:val="both"/>
        <w:rPr>
          <w:rFonts w:ascii="Arial" w:eastAsia="Times New Roman" w:hAnsi="Arial" w:cs="Arial"/>
          <w:color w:val="000000" w:themeColor="text1"/>
          <w:sz w:val="20"/>
          <w:szCs w:val="20"/>
        </w:rPr>
      </w:pPr>
    </w:p>
    <w:p w14:paraId="08F50C32" w14:textId="77777777" w:rsidR="00C63576" w:rsidRPr="003D1614" w:rsidRDefault="00C63576" w:rsidP="00C63576">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Temeljem povijesne analize utjecaja makroekonomskih uvjeta i dostupnim makroekonomskim prognozama, utvrđuje se potencijalni utjecaj budućeg kretanja makroekonomskih uvjeta na vrijednost rizičnih parametara koristeći scenarije s pripadajućim vjerojatnostima nastanka pojedinog scenarija.</w:t>
      </w:r>
    </w:p>
    <w:p w14:paraId="3BE1870C" w14:textId="77777777" w:rsidR="00C63576" w:rsidRPr="003D1614" w:rsidRDefault="00C63576" w:rsidP="00C63576">
      <w:pPr>
        <w:suppressAutoHyphens/>
        <w:autoSpaceDN w:val="0"/>
        <w:jc w:val="both"/>
        <w:rPr>
          <w:rFonts w:ascii="Arial" w:eastAsia="Times New Roman" w:hAnsi="Arial" w:cs="Arial"/>
          <w:color w:val="000000" w:themeColor="text1"/>
          <w:sz w:val="20"/>
          <w:szCs w:val="20"/>
        </w:rPr>
      </w:pPr>
    </w:p>
    <w:p w14:paraId="5606A9A1" w14:textId="77777777" w:rsidR="00C63576" w:rsidRPr="003D1614" w:rsidRDefault="00C63576" w:rsidP="00C63576">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Kod procjene očekivanih kreditnih gubitaka primjenom ranijih iskustava o kreditnim gubicima, podaci o ranijim stopama kreditnog gubitka se primjenjuju na cjelokupni portfelj izravnih kredita, a primjenom određene metode omogućeno je povezivanje pojedine skupine financijskih instrumenata s podacima o ranijem iskustvu o kreditnim gubicima u skupinama financijskih instrumenata sličnih karakteristika kreditnog rizika, kao i s važnim odgovarajućim podacima koji odražavaju postojeće stanje. </w:t>
      </w:r>
    </w:p>
    <w:p w14:paraId="58A67043" w14:textId="77777777" w:rsidR="00C63576" w:rsidRPr="003D1614" w:rsidRDefault="00C63576" w:rsidP="00C63576">
      <w:pPr>
        <w:suppressAutoHyphens/>
        <w:autoSpaceDN w:val="0"/>
        <w:jc w:val="both"/>
        <w:rPr>
          <w:rFonts w:ascii="Arial" w:eastAsia="Times New Roman" w:hAnsi="Arial" w:cs="Arial"/>
          <w:color w:val="000000" w:themeColor="text1"/>
          <w:sz w:val="20"/>
          <w:szCs w:val="20"/>
        </w:rPr>
      </w:pPr>
    </w:p>
    <w:p w14:paraId="042D8DF7" w14:textId="77777777" w:rsidR="00C63576" w:rsidRPr="003D1614" w:rsidRDefault="00C63576" w:rsidP="00C63576">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Očekivani kreditni gubici odražavaju očekivanja Banke u pogledu kreditnih gubitaka. Međutim, kada pri procjeni očekivanih kreditnih gubitaka razmatra sve razumne i pouzdane podatke koji su dostupni bez nepotrebnih troškova i napora, Banka razmatra i odgovarajuće tržišne podatke o kreditnom riziku određenog financijskog instrumenta ili sličnih financijskih instrumenata. </w:t>
      </w:r>
    </w:p>
    <w:p w14:paraId="62ABE51D" w14:textId="77777777" w:rsidR="00C63576" w:rsidRPr="003D1614" w:rsidRDefault="00C63576" w:rsidP="00C63576">
      <w:pPr>
        <w:tabs>
          <w:tab w:val="left" w:pos="851"/>
        </w:tabs>
        <w:suppressAutoHyphens/>
        <w:autoSpaceDN w:val="0"/>
        <w:spacing w:line="300" w:lineRule="exact"/>
        <w:jc w:val="both"/>
        <w:rPr>
          <w:rFonts w:ascii="Arial" w:eastAsia="Times New Roman" w:hAnsi="Arial" w:cs="Arial"/>
          <w:color w:val="000000" w:themeColor="text1"/>
          <w:sz w:val="20"/>
          <w:szCs w:val="20"/>
        </w:rPr>
      </w:pPr>
    </w:p>
    <w:p w14:paraId="77818610" w14:textId="77777777" w:rsidR="00C63576" w:rsidRPr="003D1614" w:rsidRDefault="00C63576" w:rsidP="00C63576">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Banka za potrebe izračuna očekivanih kreditnih gubitaka koristi veći broj makroekonomskih uvjeta od kojih je za jedan (</w:t>
      </w:r>
      <w:bookmarkStart w:id="586" w:name="_Hlk65485396"/>
      <w:r w:rsidRPr="003D1614">
        <w:rPr>
          <w:rFonts w:ascii="Arial" w:eastAsia="Times New Roman" w:hAnsi="Arial" w:cs="Arial"/>
          <w:color w:val="000000" w:themeColor="text1"/>
          <w:sz w:val="20"/>
          <w:szCs w:val="20"/>
        </w:rPr>
        <w:t xml:space="preserve">realna stopa rasta BDP-a) </w:t>
      </w:r>
      <w:bookmarkEnd w:id="586"/>
      <w:r w:rsidRPr="003D1614">
        <w:rPr>
          <w:rFonts w:ascii="Arial" w:eastAsia="Times New Roman" w:hAnsi="Arial" w:cs="Arial"/>
          <w:color w:val="000000" w:themeColor="text1"/>
          <w:sz w:val="20"/>
          <w:szCs w:val="20"/>
        </w:rPr>
        <w:t>utvrđena korelacija ukupnog PD-ja za cjelokupni portfelj izravnih kredita.</w:t>
      </w:r>
    </w:p>
    <w:p w14:paraId="3F010FAB" w14:textId="77777777" w:rsidR="00C63576" w:rsidRPr="003D1614" w:rsidRDefault="00C63576" w:rsidP="00C63576">
      <w:pPr>
        <w:suppressAutoHyphens/>
        <w:autoSpaceDN w:val="0"/>
        <w:jc w:val="both"/>
        <w:rPr>
          <w:rFonts w:ascii="Arial" w:eastAsia="Times New Roman" w:hAnsi="Arial" w:cs="Arial"/>
          <w:color w:val="000000" w:themeColor="text1"/>
          <w:sz w:val="20"/>
          <w:szCs w:val="20"/>
        </w:rPr>
      </w:pPr>
    </w:p>
    <w:p w14:paraId="26C2F6B4" w14:textId="77777777" w:rsidR="00C63576" w:rsidRPr="003D1614" w:rsidRDefault="00C63576" w:rsidP="00C63576">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Kako bi se odredio utjecaj budućih makroekonomskih uvjeta na očekivane kreditne gubitke, putem analize na temelju povijesnih podataka, utvrđuje se veza između makroekonomskih uvjeta i PD-ja. Nakon toga, procjenjuje se utjecaj makroekonomskih prognoza na vrijednosti PD-ja i računa se koeficijent pomoću kojeg se korigira procijenjena vrijednost PD-ja u dva scenarija, optimistični i pesimistični.</w:t>
      </w:r>
    </w:p>
    <w:p w14:paraId="207F1A3B" w14:textId="77777777" w:rsidR="00C63576" w:rsidRPr="003D1614" w:rsidRDefault="00C63576" w:rsidP="00C63576">
      <w:pPr>
        <w:suppressAutoHyphens/>
        <w:autoSpaceDN w:val="0"/>
        <w:jc w:val="both"/>
        <w:rPr>
          <w:rFonts w:ascii="Arial" w:eastAsia="Times New Roman" w:hAnsi="Arial" w:cs="Arial"/>
          <w:color w:val="000000" w:themeColor="text1"/>
          <w:sz w:val="20"/>
          <w:szCs w:val="20"/>
        </w:rPr>
      </w:pPr>
    </w:p>
    <w:p w14:paraId="3FB8DA6A"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7262ADB4" w14:textId="1A8371FE" w:rsidR="00CD630B" w:rsidRPr="003D1614" w:rsidRDefault="00CD630B" w:rsidP="00CD630B">
      <w:pPr>
        <w:suppressAutoHyphens/>
        <w:autoSpaceDN w:val="0"/>
        <w:jc w:val="both"/>
        <w:rPr>
          <w:rFonts w:ascii="Arial" w:eastAsia="Times New Roman" w:hAnsi="Arial" w:cs="Arial"/>
          <w:color w:val="000000" w:themeColor="text1"/>
          <w:sz w:val="20"/>
          <w:szCs w:val="20"/>
        </w:rPr>
        <w:sectPr w:rsidR="00CD630B" w:rsidRPr="003D1614">
          <w:pgSz w:w="11906" w:h="16838"/>
          <w:pgMar w:top="1417" w:right="1417" w:bottom="1417" w:left="1417" w:header="708" w:footer="708" w:gutter="0"/>
          <w:cols w:space="708"/>
          <w:docGrid w:linePitch="360"/>
        </w:sectPr>
      </w:pPr>
    </w:p>
    <w:p w14:paraId="1C84F34F" w14:textId="77777777" w:rsidR="0088484F" w:rsidRPr="003D1614" w:rsidRDefault="0088484F" w:rsidP="0088484F">
      <w:pPr>
        <w:suppressAutoHyphens/>
        <w:autoSpaceDN w:val="0"/>
        <w:spacing w:line="300" w:lineRule="exact"/>
        <w:rPr>
          <w:rFonts w:ascii="Arial" w:eastAsia="Calibri" w:hAnsi="Arial" w:cs="Arial"/>
          <w:b/>
          <w:color w:val="000000" w:themeColor="text1"/>
          <w:sz w:val="20"/>
          <w:szCs w:val="20"/>
        </w:rPr>
      </w:pPr>
    </w:p>
    <w:p w14:paraId="3376D97E" w14:textId="64E902E6" w:rsidR="0088484F" w:rsidRPr="003D1614" w:rsidRDefault="0088484F" w:rsidP="0088484F">
      <w:pPr>
        <w:keepNext/>
        <w:tabs>
          <w:tab w:val="left" w:pos="567"/>
        </w:tabs>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lang w:eastAsia="hr-HR"/>
        </w:rPr>
        <w:t>2</w:t>
      </w:r>
      <w:r w:rsidR="000E693B">
        <w:rPr>
          <w:rFonts w:ascii="Arial" w:eastAsia="Times New Roman" w:hAnsi="Arial" w:cs="Arial"/>
          <w:b/>
          <w:bCs/>
          <w:color w:val="000000" w:themeColor="text1"/>
          <w:sz w:val="20"/>
          <w:szCs w:val="20"/>
          <w:lang w:eastAsia="hr-HR"/>
        </w:rPr>
        <w:t>3</w:t>
      </w:r>
      <w:r w:rsidRPr="003D1614">
        <w:rPr>
          <w:rFonts w:ascii="Arial" w:eastAsia="Times New Roman" w:hAnsi="Arial" w:cs="Arial"/>
          <w:b/>
          <w:bCs/>
          <w:color w:val="000000" w:themeColor="text1"/>
          <w:sz w:val="20"/>
          <w:szCs w:val="20"/>
          <w:lang w:eastAsia="hr-HR"/>
        </w:rPr>
        <w:t>.</w:t>
      </w:r>
      <w:r w:rsidRPr="003D1614">
        <w:rPr>
          <w:rFonts w:ascii="Arial" w:eastAsia="Times New Roman" w:hAnsi="Arial" w:cs="Arial"/>
          <w:b/>
          <w:bCs/>
          <w:color w:val="000000" w:themeColor="text1"/>
          <w:sz w:val="20"/>
          <w:szCs w:val="20"/>
        </w:rPr>
        <w:tab/>
        <w:t>Upravljanje rizicima (nastavak)</w:t>
      </w:r>
    </w:p>
    <w:p w14:paraId="71828EA9"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38A7EC12" w14:textId="46117610" w:rsidR="0088484F" w:rsidRPr="003D1614" w:rsidRDefault="0088484F" w:rsidP="0088484F">
      <w:pPr>
        <w:tabs>
          <w:tab w:val="left" w:pos="567"/>
        </w:tabs>
        <w:suppressAutoHyphens/>
        <w:autoSpaceDN w:val="0"/>
        <w:spacing w:line="300" w:lineRule="exact"/>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ab/>
        <w:t>Kreditni rizik (nastavak)</w:t>
      </w:r>
    </w:p>
    <w:p w14:paraId="218FA8EE"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2E1F833E" w14:textId="77777777" w:rsidR="009203C5" w:rsidRPr="003D1614" w:rsidRDefault="009203C5" w:rsidP="009203C5">
      <w:pPr>
        <w:suppressAutoHyphens/>
        <w:autoSpaceDN w:val="0"/>
        <w:jc w:val="both"/>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lang w:eastAsia="hr-HR"/>
        </w:rPr>
        <w:t>2</w:t>
      </w:r>
      <w:r>
        <w:rPr>
          <w:rFonts w:ascii="Arial" w:eastAsia="Calibri" w:hAnsi="Arial" w:cs="Arial"/>
          <w:b/>
          <w:color w:val="000000" w:themeColor="text1"/>
          <w:sz w:val="20"/>
          <w:szCs w:val="20"/>
          <w:lang w:eastAsia="hr-HR"/>
        </w:rPr>
        <w:t>3</w:t>
      </w:r>
      <w:r w:rsidRPr="003D1614">
        <w:rPr>
          <w:rFonts w:ascii="Arial" w:eastAsia="Calibri" w:hAnsi="Arial" w:cs="Arial"/>
          <w:b/>
          <w:color w:val="000000" w:themeColor="text1"/>
          <w:sz w:val="20"/>
          <w:szCs w:val="20"/>
          <w:lang w:eastAsia="hr-HR"/>
        </w:rPr>
        <w:t>.3.4.</w:t>
      </w:r>
      <w:r w:rsidRPr="003D1614">
        <w:rPr>
          <w:rFonts w:ascii="Arial" w:eastAsia="Calibri" w:hAnsi="Arial" w:cs="Arial"/>
          <w:b/>
          <w:color w:val="000000" w:themeColor="text1"/>
          <w:sz w:val="20"/>
          <w:szCs w:val="20"/>
          <w:lang w:eastAsia="hr-HR"/>
        </w:rPr>
        <w:tab/>
      </w:r>
      <w:r w:rsidRPr="003D1614">
        <w:rPr>
          <w:rFonts w:ascii="Arial" w:eastAsia="Calibri" w:hAnsi="Arial" w:cs="Arial"/>
          <w:b/>
          <w:color w:val="000000" w:themeColor="text1"/>
          <w:sz w:val="20"/>
          <w:szCs w:val="20"/>
        </w:rPr>
        <w:t xml:space="preserve">Kvantitativna analiza pouzdanosti informacija koje se koriste za izračun rezervacije za ECL </w:t>
      </w:r>
    </w:p>
    <w:p w14:paraId="09FAAA95" w14:textId="77777777" w:rsidR="009203C5" w:rsidRPr="003D1614" w:rsidRDefault="009203C5" w:rsidP="009203C5">
      <w:pPr>
        <w:suppressAutoHyphens/>
        <w:autoSpaceDN w:val="0"/>
        <w:jc w:val="both"/>
        <w:rPr>
          <w:rFonts w:ascii="Arial" w:eastAsia="Times New Roman" w:hAnsi="Arial" w:cs="Arial"/>
          <w:color w:val="000000" w:themeColor="text1"/>
          <w:sz w:val="20"/>
          <w:szCs w:val="20"/>
        </w:rPr>
      </w:pPr>
    </w:p>
    <w:p w14:paraId="706ECD6C" w14:textId="77777777" w:rsidR="009203C5" w:rsidRPr="003D1614" w:rsidRDefault="009203C5" w:rsidP="009203C5">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Za primjenu makroekonomskih faktora Banka koristi metodologiju sa nivoom pouzdanosti od 90%.</w:t>
      </w:r>
    </w:p>
    <w:p w14:paraId="65CBAA62" w14:textId="77777777" w:rsidR="009203C5" w:rsidRPr="003D1614" w:rsidRDefault="009203C5" w:rsidP="009203C5">
      <w:pPr>
        <w:keepNext/>
        <w:tabs>
          <w:tab w:val="left" w:pos="426"/>
        </w:tabs>
        <w:suppressAutoHyphens/>
        <w:autoSpaceDN w:val="0"/>
        <w:jc w:val="both"/>
        <w:rPr>
          <w:rFonts w:ascii="Arial" w:eastAsia="Times New Roman" w:hAnsi="Arial" w:cs="Arial"/>
          <w:b/>
          <w:bCs/>
          <w:color w:val="000000" w:themeColor="text1"/>
          <w:sz w:val="20"/>
          <w:szCs w:val="20"/>
          <w:lang w:eastAsia="hr-HR"/>
        </w:rPr>
      </w:pPr>
    </w:p>
    <w:p w14:paraId="51545F12" w14:textId="77777777" w:rsidR="009203C5" w:rsidRPr="003D1614" w:rsidRDefault="009203C5" w:rsidP="009203C5">
      <w:pPr>
        <w:tabs>
          <w:tab w:val="left" w:pos="851"/>
        </w:tabs>
        <w:suppressAutoHyphens/>
        <w:autoSpaceDN w:val="0"/>
        <w:spacing w:line="300" w:lineRule="exact"/>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.3.5.</w:t>
      </w:r>
      <w:r w:rsidRPr="003D1614">
        <w:rPr>
          <w:rFonts w:ascii="Arial" w:eastAsia="Calibri" w:hAnsi="Arial" w:cs="Arial"/>
          <w:b/>
          <w:color w:val="000000" w:themeColor="text1"/>
          <w:sz w:val="20"/>
          <w:szCs w:val="20"/>
        </w:rPr>
        <w:tab/>
        <w:t>Pregled modificiranih i restrukturiranih kredita</w:t>
      </w:r>
    </w:p>
    <w:p w14:paraId="2CD01DD7" w14:textId="77777777" w:rsidR="009203C5" w:rsidRPr="003D1614" w:rsidRDefault="009203C5" w:rsidP="009203C5">
      <w:pPr>
        <w:suppressAutoHyphens/>
        <w:autoSpaceDN w:val="0"/>
        <w:jc w:val="both"/>
        <w:rPr>
          <w:rFonts w:ascii="Arial" w:eastAsia="Times New Roman" w:hAnsi="Arial" w:cs="Arial"/>
          <w:color w:val="000000" w:themeColor="text1"/>
          <w:sz w:val="20"/>
          <w:szCs w:val="20"/>
        </w:rPr>
      </w:pPr>
    </w:p>
    <w:p w14:paraId="471594F3" w14:textId="77777777" w:rsidR="009203C5" w:rsidRPr="003D1614" w:rsidRDefault="009203C5" w:rsidP="009203C5">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Modifikacijom se smatra svaka izmjena ugovornih odredbi koja rezultira izmjenom ugovorenih novčanih tokova od financijske imovine.</w:t>
      </w:r>
    </w:p>
    <w:p w14:paraId="220011EF" w14:textId="77777777" w:rsidR="009203C5" w:rsidRPr="003D1614" w:rsidRDefault="009203C5" w:rsidP="009203C5">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Izmjena uvjeta po plasmanu obuhvaća promjene određenih ugovorom definiranih uvjeta najčešće radi prilagodbe promjenama u provedbi investicije, a moguće i tijekom otplate, koje nisu uzrokovane financijskim poteškoćama klijenta. Najčešće bi izmijenjeni uvjeti bili prihvaćeni kod odobrenja da su bili poznati ili su rezultat okolnosti koje nisu pod kontrolom klijenta.</w:t>
      </w:r>
    </w:p>
    <w:p w14:paraId="77BCC7A0" w14:textId="77777777" w:rsidR="009203C5" w:rsidRPr="003D1614" w:rsidRDefault="009203C5" w:rsidP="009203C5">
      <w:pPr>
        <w:suppressAutoHyphens/>
        <w:autoSpaceDN w:val="0"/>
        <w:jc w:val="both"/>
        <w:rPr>
          <w:rFonts w:ascii="Arial" w:eastAsia="Times New Roman" w:hAnsi="Arial" w:cs="Arial"/>
          <w:color w:val="000000" w:themeColor="text1"/>
          <w:sz w:val="20"/>
          <w:szCs w:val="20"/>
        </w:rPr>
      </w:pPr>
    </w:p>
    <w:p w14:paraId="2043421C" w14:textId="77777777" w:rsidR="009203C5" w:rsidRPr="003D1614" w:rsidRDefault="009203C5" w:rsidP="009203C5">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Sve promjene ugovornih obveza kojima se čini ustupak klijentu, a koji je u financijskim poteškoćama smatraju se reprogramom ili restrukturiranjem. Ustupak se može odnositi na bilo koju od sljedećih mjera:</w:t>
      </w:r>
    </w:p>
    <w:p w14:paraId="4F4BDEBF" w14:textId="77777777" w:rsidR="009203C5" w:rsidRPr="003D1614" w:rsidRDefault="009203C5" w:rsidP="009203C5">
      <w:pPr>
        <w:numPr>
          <w:ilvl w:val="0"/>
          <w:numId w:val="23"/>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izmjena ranijih uvjeta ugovora za koje se smatra da ih klijent ne može ispuniti a dovode do gubitka njegove sposobnosti podmirivanja obveza i koji ne bi bili odobreni da dužnik nema financijske poteškoće (npr. smanjenje kamatne stope, smanjenje ili otpis kamatnog prihoda, promjena visine glavnice, promjena tj. produženje rokova otplate i sl.)</w:t>
      </w:r>
    </w:p>
    <w:p w14:paraId="2CAD3688" w14:textId="77777777" w:rsidR="009203C5" w:rsidRPr="003D1614" w:rsidRDefault="009203C5" w:rsidP="009203C5">
      <w:pPr>
        <w:numPr>
          <w:ilvl w:val="0"/>
          <w:numId w:val="23"/>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potpuno ili djelomično refinanciranje plasmana koje ne bi bilo odobreno da dužnik nema financijske poteškoće.</w:t>
      </w:r>
    </w:p>
    <w:p w14:paraId="0C11BD86" w14:textId="77777777" w:rsidR="009203C5" w:rsidRPr="003D1614" w:rsidRDefault="009203C5" w:rsidP="009203C5">
      <w:pPr>
        <w:suppressAutoHyphens/>
        <w:autoSpaceDN w:val="0"/>
        <w:jc w:val="both"/>
        <w:rPr>
          <w:rFonts w:ascii="Arial" w:eastAsia="Times New Roman" w:hAnsi="Arial" w:cs="Arial"/>
          <w:color w:val="000000" w:themeColor="text1"/>
          <w:sz w:val="20"/>
          <w:szCs w:val="20"/>
        </w:rPr>
      </w:pPr>
    </w:p>
    <w:p w14:paraId="1FA08769" w14:textId="77777777" w:rsidR="009203C5" w:rsidRPr="003D1614" w:rsidRDefault="009203C5" w:rsidP="009203C5">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Dokaz o ustupku uključuje sljedeće:</w:t>
      </w:r>
    </w:p>
    <w:p w14:paraId="6C7796CA" w14:textId="77777777" w:rsidR="009203C5" w:rsidRPr="003D1614" w:rsidRDefault="009203C5" w:rsidP="009203C5">
      <w:pPr>
        <w:numPr>
          <w:ilvl w:val="0"/>
          <w:numId w:val="24"/>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razliku u korist klijenta između izmijenjenih uvjeta ugovora i ranijih uvjeta ugovora,</w:t>
      </w:r>
    </w:p>
    <w:p w14:paraId="42E0C6CF" w14:textId="77777777" w:rsidR="009203C5" w:rsidRPr="003D1614" w:rsidRDefault="009203C5" w:rsidP="009203C5">
      <w:pPr>
        <w:numPr>
          <w:ilvl w:val="0"/>
          <w:numId w:val="24"/>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uvrštenje povoljnijih uvjeta u izmijenjeni ugovor u odnosu na uvjete koje bi mogli postići drugi dužnici sa sličnim profilom rizičnosti u portfelju Banke.</w:t>
      </w:r>
    </w:p>
    <w:p w14:paraId="4437BDC1" w14:textId="77777777" w:rsidR="009203C5" w:rsidRPr="003D1614" w:rsidRDefault="009203C5" w:rsidP="009203C5">
      <w:pPr>
        <w:suppressAutoHyphens/>
        <w:autoSpaceDN w:val="0"/>
        <w:spacing w:line="300" w:lineRule="exact"/>
        <w:rPr>
          <w:rFonts w:ascii="Arial" w:eastAsia="Calibri" w:hAnsi="Arial" w:cs="Arial"/>
          <w:b/>
          <w:color w:val="000000" w:themeColor="text1"/>
          <w:sz w:val="20"/>
          <w:szCs w:val="20"/>
        </w:rPr>
      </w:pPr>
    </w:p>
    <w:p w14:paraId="297764B0" w14:textId="77777777" w:rsidR="009203C5" w:rsidRPr="003D1614" w:rsidRDefault="009203C5" w:rsidP="009203C5">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Reprogramom se smatra promjena prvobitno ugovorenih uvjeta kreditiranja zbog privremenih financijskih poteškoća klijenta. Restrukturiranjem se smatra promjena prvobitno ugovorenih uvjeta kreditiranja zbog značajnih financijskih poteškoća klijenta, kojemu je potrebno financijsko, poslovno i operativno restrukturiranje, odnosno klijentu koji se već nalazi u statusu neispunjenja obveza.</w:t>
      </w:r>
    </w:p>
    <w:p w14:paraId="645E8A07" w14:textId="77777777" w:rsidR="009203C5" w:rsidRPr="003D1614" w:rsidRDefault="009203C5" w:rsidP="009203C5">
      <w:pPr>
        <w:suppressAutoHyphens/>
        <w:autoSpaceDN w:val="0"/>
        <w:jc w:val="both"/>
        <w:rPr>
          <w:rFonts w:ascii="Arial" w:eastAsia="Times New Roman" w:hAnsi="Arial" w:cs="Arial"/>
          <w:color w:val="000000" w:themeColor="text1"/>
          <w:sz w:val="20"/>
          <w:szCs w:val="20"/>
        </w:rPr>
      </w:pPr>
    </w:p>
    <w:p w14:paraId="19E2236F" w14:textId="77777777" w:rsidR="009203C5" w:rsidRPr="003D1614" w:rsidRDefault="009203C5" w:rsidP="009203C5">
      <w:pPr>
        <w:tabs>
          <w:tab w:val="left" w:pos="851"/>
        </w:tabs>
        <w:suppressAutoHyphens/>
        <w:autoSpaceDN w:val="0"/>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.3.6.</w:t>
      </w:r>
      <w:r w:rsidRPr="003D1614">
        <w:rPr>
          <w:rFonts w:ascii="Arial" w:eastAsia="Calibri" w:hAnsi="Arial" w:cs="Arial"/>
          <w:b/>
          <w:color w:val="000000" w:themeColor="text1"/>
          <w:sz w:val="20"/>
          <w:szCs w:val="20"/>
        </w:rPr>
        <w:tab/>
        <w:t>Analiza koncentracije rizika</w:t>
      </w:r>
    </w:p>
    <w:p w14:paraId="13761A97" w14:textId="77777777" w:rsidR="009203C5" w:rsidRPr="003D1614" w:rsidRDefault="009203C5" w:rsidP="009203C5">
      <w:pPr>
        <w:suppressAutoHyphens/>
        <w:autoSpaceDN w:val="0"/>
        <w:jc w:val="both"/>
        <w:rPr>
          <w:rFonts w:ascii="Arial" w:eastAsia="Times New Roman" w:hAnsi="Arial" w:cs="Arial"/>
          <w:color w:val="000000" w:themeColor="text1"/>
          <w:sz w:val="20"/>
          <w:szCs w:val="20"/>
        </w:rPr>
      </w:pPr>
    </w:p>
    <w:p w14:paraId="34E6CE59" w14:textId="77777777" w:rsidR="009203C5" w:rsidRPr="003D1614" w:rsidRDefault="009203C5" w:rsidP="009203C5">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Banka kroz razvojne programe kreditiranja obuhvaća područje cijele Republike Hrvatske s naglaskom na potpomognuta područja. Kreditni rizik rasprostranjen je po geografskim područjima, djelatnostima, sektorima te kreditnim programima. Banka nastoji izbjeći pretjeranu koncentraciju kreditnog rizika te povoljnijim uvjetima i novim kreditnim programima (proizvodima) potaknuti razvoj slabije razvijenih područja Republike Hrvatske u skladu s državnom strategijom razvoja pojedinih djelatnosti. </w:t>
      </w:r>
    </w:p>
    <w:p w14:paraId="15870EB7" w14:textId="77777777" w:rsidR="009203C5" w:rsidRPr="003D1614" w:rsidRDefault="009203C5" w:rsidP="009203C5">
      <w:pPr>
        <w:suppressAutoHyphens/>
        <w:autoSpaceDN w:val="0"/>
        <w:jc w:val="both"/>
        <w:rPr>
          <w:rFonts w:ascii="Arial" w:eastAsia="Times New Roman" w:hAnsi="Arial" w:cs="Arial"/>
          <w:color w:val="000000" w:themeColor="text1"/>
          <w:sz w:val="20"/>
          <w:szCs w:val="20"/>
        </w:rPr>
      </w:pPr>
    </w:p>
    <w:p w14:paraId="794C48E9" w14:textId="77777777" w:rsidR="009203C5" w:rsidRPr="003D1614" w:rsidRDefault="009203C5" w:rsidP="009203C5">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Kreditiranjem različitih grana djelatnosti uz poticanje proizvodnje i razvoja s ciljem razvoja hrvatske privrede Banka stvara bolju bazu za povrate kredita i smanjenje rizika.</w:t>
      </w:r>
    </w:p>
    <w:p w14:paraId="7E9608F4" w14:textId="77777777" w:rsidR="009203C5" w:rsidRPr="003D1614" w:rsidRDefault="009203C5" w:rsidP="009203C5">
      <w:pPr>
        <w:suppressAutoHyphens/>
        <w:autoSpaceDN w:val="0"/>
        <w:jc w:val="both"/>
        <w:rPr>
          <w:rFonts w:ascii="Arial" w:eastAsia="Times New Roman" w:hAnsi="Arial" w:cs="Arial"/>
          <w:color w:val="000000" w:themeColor="text1"/>
          <w:sz w:val="20"/>
          <w:szCs w:val="20"/>
        </w:rPr>
      </w:pPr>
    </w:p>
    <w:p w14:paraId="5CE271A6" w14:textId="69498E5B" w:rsidR="009203C5" w:rsidRPr="003D1614" w:rsidRDefault="009203C5" w:rsidP="009203C5">
      <w:pPr>
        <w:suppressAutoHyphens/>
        <w:autoSpaceDN w:val="0"/>
        <w:jc w:val="both"/>
        <w:rPr>
          <w:rFonts w:ascii="Arial" w:eastAsia="Times New Roman" w:hAnsi="Arial" w:cs="Arial"/>
          <w:color w:val="000000" w:themeColor="text1"/>
          <w:sz w:val="20"/>
          <w:szCs w:val="20"/>
        </w:rPr>
      </w:pPr>
      <w:r w:rsidRPr="005D1219">
        <w:rPr>
          <w:rFonts w:ascii="Arial" w:eastAsia="Times New Roman" w:hAnsi="Arial" w:cs="Arial"/>
          <w:color w:val="000000" w:themeColor="text1"/>
          <w:sz w:val="20"/>
          <w:szCs w:val="20"/>
        </w:rPr>
        <w:t xml:space="preserve">Najveća kreditna izloženost </w:t>
      </w:r>
      <w:r w:rsidRPr="00CB3A21">
        <w:rPr>
          <w:rFonts w:ascii="Arial" w:eastAsia="Times New Roman" w:hAnsi="Arial" w:cs="Arial"/>
          <w:color w:val="000000" w:themeColor="text1"/>
          <w:sz w:val="20"/>
          <w:szCs w:val="20"/>
        </w:rPr>
        <w:t xml:space="preserve">prema jednom dužniku na </w:t>
      </w:r>
      <w:r w:rsidRPr="001541F1">
        <w:rPr>
          <w:rFonts w:ascii="Arial" w:eastAsia="Times New Roman" w:hAnsi="Arial" w:cs="Arial"/>
          <w:color w:val="000000" w:themeColor="text1"/>
          <w:sz w:val="20"/>
          <w:szCs w:val="20"/>
        </w:rPr>
        <w:t xml:space="preserve">30. </w:t>
      </w:r>
      <w:r w:rsidR="00CB3A21" w:rsidRPr="001541F1">
        <w:rPr>
          <w:rFonts w:ascii="Arial" w:eastAsia="Times New Roman" w:hAnsi="Arial" w:cs="Arial"/>
          <w:color w:val="000000" w:themeColor="text1"/>
          <w:sz w:val="20"/>
          <w:szCs w:val="20"/>
        </w:rPr>
        <w:t>rujna</w:t>
      </w:r>
      <w:r w:rsidRPr="001541F1">
        <w:rPr>
          <w:rFonts w:ascii="Arial" w:eastAsia="Times New Roman" w:hAnsi="Arial" w:cs="Arial"/>
          <w:color w:val="000000" w:themeColor="text1"/>
          <w:sz w:val="20"/>
          <w:szCs w:val="20"/>
        </w:rPr>
        <w:t xml:space="preserve"> 2024. za Grupu iznosi 3</w:t>
      </w:r>
      <w:r w:rsidR="00CB3A21">
        <w:rPr>
          <w:rFonts w:ascii="Arial" w:eastAsia="Times New Roman" w:hAnsi="Arial" w:cs="Arial"/>
          <w:color w:val="000000" w:themeColor="text1"/>
          <w:sz w:val="20"/>
          <w:szCs w:val="20"/>
        </w:rPr>
        <w:t>25</w:t>
      </w:r>
      <w:r w:rsidRPr="001541F1">
        <w:rPr>
          <w:rFonts w:ascii="Arial" w:eastAsia="Times New Roman" w:hAnsi="Arial" w:cs="Arial"/>
          <w:color w:val="000000" w:themeColor="text1"/>
          <w:sz w:val="20"/>
          <w:szCs w:val="20"/>
        </w:rPr>
        <w:t>.</w:t>
      </w:r>
      <w:r w:rsidR="00CB3A21">
        <w:rPr>
          <w:rFonts w:ascii="Arial" w:eastAsia="Times New Roman" w:hAnsi="Arial" w:cs="Arial"/>
          <w:color w:val="000000" w:themeColor="text1"/>
          <w:sz w:val="20"/>
          <w:szCs w:val="20"/>
        </w:rPr>
        <w:t>211</w:t>
      </w:r>
      <w:r w:rsidRPr="00CB3A21">
        <w:rPr>
          <w:rFonts w:ascii="Arial" w:eastAsia="Times New Roman" w:hAnsi="Arial" w:cs="Arial"/>
          <w:color w:val="000000" w:themeColor="text1"/>
          <w:sz w:val="20"/>
          <w:szCs w:val="20"/>
        </w:rPr>
        <w:t xml:space="preserve"> tisuća eura (31. prosinca 2023.: 272.844 tisuća eura), a za Banku iznosi </w:t>
      </w:r>
      <w:r w:rsidRPr="001541F1">
        <w:rPr>
          <w:rFonts w:ascii="Arial" w:eastAsia="Times New Roman" w:hAnsi="Arial" w:cs="Arial"/>
          <w:color w:val="000000" w:themeColor="text1"/>
          <w:sz w:val="20"/>
          <w:szCs w:val="20"/>
        </w:rPr>
        <w:t>3</w:t>
      </w:r>
      <w:r w:rsidR="00CB3A21" w:rsidRPr="001541F1">
        <w:rPr>
          <w:rFonts w:ascii="Arial" w:eastAsia="Times New Roman" w:hAnsi="Arial" w:cs="Arial"/>
          <w:color w:val="000000" w:themeColor="text1"/>
          <w:sz w:val="20"/>
          <w:szCs w:val="20"/>
        </w:rPr>
        <w:t>21</w:t>
      </w:r>
      <w:r w:rsidRPr="001541F1">
        <w:rPr>
          <w:rFonts w:ascii="Arial" w:eastAsia="Times New Roman" w:hAnsi="Arial" w:cs="Arial"/>
          <w:color w:val="000000" w:themeColor="text1"/>
          <w:sz w:val="20"/>
          <w:szCs w:val="20"/>
        </w:rPr>
        <w:t>.</w:t>
      </w:r>
      <w:r w:rsidR="00CB3A21" w:rsidRPr="001541F1">
        <w:rPr>
          <w:rFonts w:ascii="Arial" w:eastAsia="Times New Roman" w:hAnsi="Arial" w:cs="Arial"/>
          <w:color w:val="000000" w:themeColor="text1"/>
          <w:sz w:val="20"/>
          <w:szCs w:val="20"/>
        </w:rPr>
        <w:t>185</w:t>
      </w:r>
      <w:r w:rsidRPr="001541F1">
        <w:rPr>
          <w:rFonts w:ascii="Arial" w:eastAsia="Times New Roman" w:hAnsi="Arial" w:cs="Arial"/>
          <w:color w:val="000000" w:themeColor="text1"/>
          <w:sz w:val="20"/>
          <w:szCs w:val="20"/>
        </w:rPr>
        <w:t xml:space="preserve"> tisuća eura</w:t>
      </w:r>
      <w:r w:rsidRPr="00CB3A21">
        <w:rPr>
          <w:rFonts w:ascii="Arial" w:eastAsia="Times New Roman" w:hAnsi="Arial" w:cs="Arial"/>
          <w:color w:val="000000" w:themeColor="text1"/>
          <w:sz w:val="20"/>
          <w:szCs w:val="20"/>
        </w:rPr>
        <w:t xml:space="preserve"> (31. prosinca 2023.: </w:t>
      </w:r>
      <w:bookmarkStart w:id="587" w:name="_Hlk135731405"/>
      <w:r w:rsidRPr="00CB3A21">
        <w:rPr>
          <w:rFonts w:ascii="Arial" w:eastAsia="Times New Roman" w:hAnsi="Arial" w:cs="Arial"/>
          <w:color w:val="000000" w:themeColor="text1"/>
          <w:sz w:val="20"/>
          <w:szCs w:val="20"/>
        </w:rPr>
        <w:t xml:space="preserve">269.949 </w:t>
      </w:r>
      <w:bookmarkEnd w:id="587"/>
      <w:r w:rsidRPr="00CB3A21">
        <w:rPr>
          <w:rFonts w:ascii="Arial" w:eastAsia="Times New Roman" w:hAnsi="Arial" w:cs="Arial"/>
          <w:color w:val="000000" w:themeColor="text1"/>
          <w:sz w:val="20"/>
          <w:szCs w:val="20"/>
        </w:rPr>
        <w:t>tisuća eura), bez uzimanja</w:t>
      </w:r>
      <w:r w:rsidRPr="005D1219">
        <w:rPr>
          <w:rFonts w:ascii="Arial" w:eastAsia="Times New Roman" w:hAnsi="Arial" w:cs="Arial"/>
          <w:color w:val="000000" w:themeColor="text1"/>
          <w:sz w:val="20"/>
          <w:szCs w:val="20"/>
        </w:rPr>
        <w:t xml:space="preserve"> u obzir primljenih instrumenata osiguranja.</w:t>
      </w:r>
    </w:p>
    <w:p w14:paraId="762ED4A1" w14:textId="77777777" w:rsidR="009203C5" w:rsidRPr="003D1614" w:rsidRDefault="009203C5" w:rsidP="009203C5">
      <w:pPr>
        <w:suppressAutoHyphens/>
        <w:autoSpaceDN w:val="0"/>
        <w:jc w:val="both"/>
        <w:rPr>
          <w:rFonts w:ascii="Arial" w:eastAsia="Times New Roman" w:hAnsi="Arial" w:cs="Arial"/>
          <w:color w:val="000000" w:themeColor="text1"/>
          <w:sz w:val="20"/>
          <w:szCs w:val="20"/>
        </w:rPr>
      </w:pPr>
    </w:p>
    <w:p w14:paraId="7DA010D5" w14:textId="77777777" w:rsidR="009203C5" w:rsidRPr="003D1614" w:rsidRDefault="009203C5" w:rsidP="009203C5">
      <w:pPr>
        <w:suppressAutoHyphens/>
        <w:autoSpaceDN w:val="0"/>
        <w:jc w:val="both"/>
        <w:rPr>
          <w:rFonts w:ascii="Arial" w:eastAsia="Times New Roman" w:hAnsi="Arial" w:cs="Arial"/>
          <w:color w:val="000000" w:themeColor="text1"/>
          <w:sz w:val="20"/>
          <w:szCs w:val="20"/>
        </w:rPr>
      </w:pPr>
      <w:r w:rsidRPr="003D1614">
        <w:rPr>
          <w:rFonts w:ascii="Arial" w:eastAsia="Calibri" w:hAnsi="Arial" w:cs="Arial"/>
          <w:color w:val="000000" w:themeColor="text1"/>
          <w:sz w:val="20"/>
          <w:szCs w:val="20"/>
        </w:rPr>
        <w:t xml:space="preserve">Banka kao posebna financijska institucija provodi svoju razvojnu ulogu odobravajući plasmane krajnjim korisnicima kredita putem financijskih institucija s kojima ima sklopljene ugovore o poslovnoj suradnji. </w:t>
      </w:r>
    </w:p>
    <w:p w14:paraId="00B2AE66" w14:textId="77777777" w:rsidR="009203C5" w:rsidRPr="003D1614" w:rsidRDefault="009203C5" w:rsidP="009203C5">
      <w:pPr>
        <w:suppressAutoHyphens/>
        <w:autoSpaceDE w:val="0"/>
        <w:autoSpaceDN w:val="0"/>
        <w:rPr>
          <w:rFonts w:ascii="Arial" w:eastAsia="Calibri" w:hAnsi="Arial" w:cs="Arial"/>
          <w:b/>
          <w:bCs/>
          <w:color w:val="000000" w:themeColor="text1"/>
          <w:sz w:val="20"/>
          <w:szCs w:val="20"/>
        </w:rPr>
      </w:pPr>
    </w:p>
    <w:p w14:paraId="468C7F04"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sectPr w:rsidR="0088484F" w:rsidRPr="003D1614">
          <w:pgSz w:w="11906" w:h="16838"/>
          <w:pgMar w:top="1417" w:right="1417" w:bottom="1417" w:left="1417" w:header="708" w:footer="708" w:gutter="0"/>
          <w:cols w:space="708"/>
          <w:docGrid w:linePitch="360"/>
        </w:sectPr>
      </w:pPr>
    </w:p>
    <w:p w14:paraId="505600D0" w14:textId="77777777" w:rsidR="003311C4" w:rsidRPr="003D1614" w:rsidRDefault="003311C4" w:rsidP="003311C4">
      <w:pPr>
        <w:suppressAutoHyphens/>
        <w:autoSpaceDN w:val="0"/>
        <w:spacing w:line="300" w:lineRule="exact"/>
        <w:rPr>
          <w:rFonts w:ascii="Arial" w:eastAsia="Calibri" w:hAnsi="Arial" w:cs="Arial"/>
          <w:b/>
          <w:color w:val="000000" w:themeColor="text1"/>
          <w:sz w:val="20"/>
          <w:szCs w:val="20"/>
        </w:rPr>
      </w:pPr>
    </w:p>
    <w:p w14:paraId="0E6A1092" w14:textId="3D86EEA2" w:rsidR="003311C4" w:rsidRPr="003D1614" w:rsidRDefault="003311C4" w:rsidP="003311C4">
      <w:pPr>
        <w:keepNext/>
        <w:tabs>
          <w:tab w:val="left" w:pos="567"/>
        </w:tabs>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lang w:eastAsia="hr-HR"/>
        </w:rPr>
        <w:t>2</w:t>
      </w:r>
      <w:r w:rsidR="000E693B">
        <w:rPr>
          <w:rFonts w:ascii="Arial" w:eastAsia="Times New Roman" w:hAnsi="Arial" w:cs="Arial"/>
          <w:b/>
          <w:bCs/>
          <w:color w:val="000000" w:themeColor="text1"/>
          <w:sz w:val="20"/>
          <w:szCs w:val="20"/>
          <w:lang w:eastAsia="hr-HR"/>
        </w:rPr>
        <w:t>3</w:t>
      </w:r>
      <w:r w:rsidRPr="003D1614">
        <w:rPr>
          <w:rFonts w:ascii="Arial" w:eastAsia="Times New Roman" w:hAnsi="Arial" w:cs="Arial"/>
          <w:b/>
          <w:bCs/>
          <w:color w:val="000000" w:themeColor="text1"/>
          <w:sz w:val="20"/>
          <w:szCs w:val="20"/>
          <w:lang w:eastAsia="hr-HR"/>
        </w:rPr>
        <w:t>.</w:t>
      </w:r>
      <w:r w:rsidRPr="003D1614">
        <w:rPr>
          <w:rFonts w:ascii="Arial" w:eastAsia="Times New Roman" w:hAnsi="Arial" w:cs="Arial"/>
          <w:b/>
          <w:bCs/>
          <w:color w:val="000000" w:themeColor="text1"/>
          <w:sz w:val="20"/>
          <w:szCs w:val="20"/>
        </w:rPr>
        <w:tab/>
        <w:t>Upravljanje rizicima (nastavak)</w:t>
      </w:r>
    </w:p>
    <w:p w14:paraId="160A5ED3" w14:textId="77777777" w:rsidR="003311C4" w:rsidRPr="003D1614" w:rsidRDefault="003311C4" w:rsidP="003311C4">
      <w:pPr>
        <w:suppressAutoHyphens/>
        <w:autoSpaceDN w:val="0"/>
        <w:jc w:val="both"/>
        <w:rPr>
          <w:rFonts w:ascii="Arial" w:eastAsia="Times New Roman" w:hAnsi="Arial" w:cs="Arial"/>
          <w:color w:val="000000" w:themeColor="text1"/>
          <w:sz w:val="20"/>
          <w:szCs w:val="20"/>
        </w:rPr>
      </w:pPr>
    </w:p>
    <w:p w14:paraId="26E47775" w14:textId="7A60E694" w:rsidR="003311C4" w:rsidRPr="003D1614" w:rsidRDefault="003311C4" w:rsidP="003311C4">
      <w:pPr>
        <w:tabs>
          <w:tab w:val="left" w:pos="567"/>
        </w:tabs>
        <w:suppressAutoHyphens/>
        <w:autoSpaceDN w:val="0"/>
        <w:spacing w:line="300" w:lineRule="exact"/>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ab/>
        <w:t>Kreditni rizik (nastavak)</w:t>
      </w:r>
    </w:p>
    <w:p w14:paraId="25C77CD3" w14:textId="77777777" w:rsidR="003311C4" w:rsidRPr="003D1614" w:rsidRDefault="003311C4" w:rsidP="003311C4">
      <w:pPr>
        <w:suppressAutoHyphens/>
        <w:autoSpaceDN w:val="0"/>
        <w:jc w:val="both"/>
        <w:rPr>
          <w:rFonts w:ascii="Arial" w:eastAsia="Times New Roman" w:hAnsi="Arial" w:cs="Arial"/>
          <w:color w:val="000000" w:themeColor="text1"/>
          <w:sz w:val="20"/>
          <w:szCs w:val="20"/>
        </w:rPr>
      </w:pPr>
    </w:p>
    <w:p w14:paraId="46E4BFAE" w14:textId="77777777" w:rsidR="00F31F31" w:rsidRPr="003D1614" w:rsidRDefault="00F31F31" w:rsidP="00F31F31">
      <w:pPr>
        <w:tabs>
          <w:tab w:val="left" w:pos="851"/>
        </w:tabs>
        <w:suppressAutoHyphens/>
        <w:autoSpaceDE w:val="0"/>
        <w:autoSpaceDN w:val="0"/>
        <w:rPr>
          <w:rFonts w:ascii="Arial" w:eastAsia="Calibri" w:hAnsi="Arial" w:cs="Arial"/>
          <w:b/>
          <w:bCs/>
          <w:color w:val="000000" w:themeColor="text1"/>
          <w:sz w:val="20"/>
          <w:szCs w:val="20"/>
        </w:rPr>
      </w:pPr>
      <w:r w:rsidRPr="003D1614">
        <w:rPr>
          <w:rFonts w:ascii="Arial" w:eastAsia="Calibri" w:hAnsi="Arial" w:cs="Arial"/>
          <w:b/>
          <w:bCs/>
          <w:color w:val="000000" w:themeColor="text1"/>
          <w:sz w:val="20"/>
          <w:szCs w:val="20"/>
        </w:rPr>
        <w:t>2</w:t>
      </w:r>
      <w:r>
        <w:rPr>
          <w:rFonts w:ascii="Arial" w:eastAsia="Calibri" w:hAnsi="Arial" w:cs="Arial"/>
          <w:b/>
          <w:bCs/>
          <w:color w:val="000000" w:themeColor="text1"/>
          <w:sz w:val="20"/>
          <w:szCs w:val="20"/>
        </w:rPr>
        <w:t>3</w:t>
      </w:r>
      <w:r w:rsidRPr="003D1614">
        <w:rPr>
          <w:rFonts w:ascii="Arial" w:eastAsia="Calibri" w:hAnsi="Arial" w:cs="Arial"/>
          <w:b/>
          <w:bCs/>
          <w:color w:val="000000" w:themeColor="text1"/>
          <w:sz w:val="20"/>
          <w:szCs w:val="20"/>
        </w:rPr>
        <w:t>.3.7.</w:t>
      </w:r>
      <w:r w:rsidRPr="003D1614">
        <w:rPr>
          <w:rFonts w:ascii="Arial" w:eastAsia="Calibri" w:hAnsi="Arial" w:cs="Arial"/>
          <w:b/>
          <w:bCs/>
          <w:color w:val="000000" w:themeColor="text1"/>
          <w:sz w:val="20"/>
          <w:szCs w:val="20"/>
        </w:rPr>
        <w:tab/>
        <w:t>Model podjele rizika</w:t>
      </w:r>
    </w:p>
    <w:p w14:paraId="509A5D76" w14:textId="77777777" w:rsidR="00F31F31" w:rsidRPr="003D1614" w:rsidRDefault="00F31F31" w:rsidP="00F31F31">
      <w:pPr>
        <w:suppressAutoHyphens/>
        <w:autoSpaceDN w:val="0"/>
        <w:jc w:val="both"/>
        <w:rPr>
          <w:rFonts w:ascii="Arial" w:eastAsia="Times New Roman" w:hAnsi="Arial" w:cs="Arial"/>
          <w:color w:val="000000" w:themeColor="text1"/>
          <w:sz w:val="20"/>
          <w:szCs w:val="20"/>
        </w:rPr>
      </w:pPr>
    </w:p>
    <w:p w14:paraId="4D005D3F" w14:textId="77777777" w:rsidR="00F31F31" w:rsidRPr="003D1614" w:rsidRDefault="00F31F31" w:rsidP="00F31F31">
      <w:pPr>
        <w:suppressAutoHyphens/>
        <w:autoSpaceDE w:val="0"/>
        <w:autoSpaceDN w:val="0"/>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 xml:space="preserve">Model podjele rizika je način provedbe programa kreditiranja HBOR-a u suradnji s poslovnim bankama, pri čemu HBOR snosi dio rizika izravnog kredita (npr. 50%), dok za drugi dio kredita (neovisno je li isti financiran iz sredstava HBOR-a ili sredstava poslovne banke) rizik snosi poslovna banka. </w:t>
      </w:r>
    </w:p>
    <w:p w14:paraId="22060A83" w14:textId="77777777" w:rsidR="00F31F31" w:rsidRPr="003D1614" w:rsidRDefault="00F31F31" w:rsidP="00F31F31">
      <w:pPr>
        <w:suppressAutoHyphens/>
        <w:autoSpaceDE w:val="0"/>
        <w:autoSpaceDN w:val="0"/>
        <w:jc w:val="both"/>
        <w:rPr>
          <w:rFonts w:ascii="Arial" w:eastAsia="Calibri" w:hAnsi="Arial" w:cs="Arial"/>
          <w:color w:val="000000" w:themeColor="text1"/>
          <w:sz w:val="20"/>
          <w:szCs w:val="20"/>
        </w:rPr>
      </w:pPr>
    </w:p>
    <w:p w14:paraId="5CCE0826" w14:textId="77777777" w:rsidR="00F31F31" w:rsidRPr="003D1614" w:rsidRDefault="00F31F31" w:rsidP="00F31F31">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Krediti po modelima podjele rizika po kreditnim programima HBOR-a (prvenstveno krediti za investicije i restrukturiranja, a manjim djelom za likvidnost) se provode na način da su poslovne banke uključene u transakcije i nadalje agenti (administrativni, platni i agenti osiguranja), ali HBOR provodi uobičajenu proceduru kao i za bilo koji drugi izravni kredit te unosi, kako izloženosti tako i kolaterale, u poslovne knjige nakon ugovaranja odnosno provedbe osiguranja plasmana.</w:t>
      </w:r>
    </w:p>
    <w:p w14:paraId="671B7B5C" w14:textId="77777777" w:rsidR="00F31F31" w:rsidRPr="003D1614" w:rsidRDefault="00F31F31" w:rsidP="00F31F31">
      <w:pPr>
        <w:suppressAutoHyphens/>
        <w:autoSpaceDN w:val="0"/>
        <w:jc w:val="both"/>
        <w:rPr>
          <w:rFonts w:ascii="Arial" w:eastAsia="Times New Roman" w:hAnsi="Arial" w:cs="Arial"/>
          <w:color w:val="000000" w:themeColor="text1"/>
          <w:sz w:val="20"/>
          <w:szCs w:val="20"/>
        </w:rPr>
      </w:pPr>
    </w:p>
    <w:p w14:paraId="2458654B" w14:textId="77777777" w:rsidR="00F31F31" w:rsidRPr="003D1614" w:rsidRDefault="00F31F31" w:rsidP="00F31F31">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U HBOR-u praćenje klijenata prema kojima HBOR ima bruto izloženost višu od </w:t>
      </w:r>
      <w:r>
        <w:rPr>
          <w:rFonts w:ascii="Arial" w:eastAsia="Times New Roman" w:hAnsi="Arial" w:cs="Arial"/>
          <w:color w:val="000000" w:themeColor="text1"/>
          <w:sz w:val="20"/>
          <w:szCs w:val="20"/>
        </w:rPr>
        <w:t>400</w:t>
      </w:r>
      <w:r w:rsidRPr="003D1614">
        <w:rPr>
          <w:rFonts w:ascii="Arial" w:eastAsia="Times New Roman" w:hAnsi="Arial" w:cs="Arial"/>
          <w:color w:val="000000" w:themeColor="text1"/>
          <w:sz w:val="20"/>
          <w:szCs w:val="20"/>
        </w:rPr>
        <w:t xml:space="preserve"> tisuća </w:t>
      </w:r>
      <w:r>
        <w:rPr>
          <w:rFonts w:ascii="Arial" w:eastAsia="Times New Roman" w:hAnsi="Arial" w:cs="Arial"/>
          <w:color w:val="000000" w:themeColor="text1"/>
          <w:sz w:val="20"/>
          <w:szCs w:val="20"/>
        </w:rPr>
        <w:t>eura</w:t>
      </w:r>
      <w:r w:rsidRPr="003D1614">
        <w:rPr>
          <w:rFonts w:ascii="Arial" w:eastAsia="Times New Roman" w:hAnsi="Arial" w:cs="Arial"/>
          <w:color w:val="000000" w:themeColor="text1"/>
          <w:sz w:val="20"/>
          <w:szCs w:val="20"/>
        </w:rPr>
        <w:t xml:space="preserve"> po proceduri za izravne kredite, a obzirom da Banka često nema izravan kontakt s klijentom sve potrebne informacije za potrebe praćenja koristi kvartalna izvješća ili se informira kod poslovne banke.</w:t>
      </w:r>
    </w:p>
    <w:p w14:paraId="6E32C529" w14:textId="77777777" w:rsidR="00F31F31" w:rsidRPr="003D1614" w:rsidRDefault="00F31F31" w:rsidP="00F31F31">
      <w:pPr>
        <w:suppressAutoHyphens/>
        <w:autoSpaceDN w:val="0"/>
        <w:jc w:val="both"/>
        <w:rPr>
          <w:rFonts w:ascii="Arial" w:eastAsia="Times New Roman" w:hAnsi="Arial" w:cs="Arial"/>
          <w:color w:val="000000" w:themeColor="text1"/>
          <w:sz w:val="20"/>
          <w:szCs w:val="20"/>
        </w:rPr>
      </w:pPr>
    </w:p>
    <w:p w14:paraId="2CC2AAB6" w14:textId="77777777" w:rsidR="00F31F31" w:rsidRPr="003D1614" w:rsidRDefault="00F31F31" w:rsidP="00F31F31">
      <w:pPr>
        <w:tabs>
          <w:tab w:val="left" w:pos="851"/>
        </w:tabs>
        <w:suppressAutoHyphens/>
        <w:autoSpaceDN w:val="0"/>
        <w:spacing w:line="300" w:lineRule="exact"/>
        <w:rPr>
          <w:rFonts w:ascii="Arial" w:eastAsia="Calibri" w:hAnsi="Arial" w:cs="Arial"/>
          <w:b/>
          <w:color w:val="000000" w:themeColor="text1"/>
          <w:sz w:val="20"/>
          <w:szCs w:val="20"/>
        </w:rPr>
      </w:pPr>
      <w:bookmarkStart w:id="588" w:name="_Hlk96425018"/>
      <w:r w:rsidRPr="003D1614">
        <w:rPr>
          <w:rFonts w:ascii="Arial" w:eastAsia="Calibri" w:hAnsi="Arial" w:cs="Arial"/>
          <w:b/>
          <w:color w:val="000000" w:themeColor="text1"/>
          <w:sz w:val="20"/>
          <w:szCs w:val="20"/>
        </w:rPr>
        <w:t>2</w:t>
      </w:r>
      <w:r>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.3.8.</w:t>
      </w:r>
      <w:r w:rsidRPr="003D1614">
        <w:rPr>
          <w:rFonts w:ascii="Arial" w:eastAsia="Calibri" w:hAnsi="Arial" w:cs="Arial"/>
          <w:b/>
          <w:color w:val="000000" w:themeColor="text1"/>
          <w:sz w:val="20"/>
          <w:szCs w:val="20"/>
        </w:rPr>
        <w:tab/>
        <w:t>Instrumenti osiguranja i ostala poboljšanja kvalitete kredita (kreditne sposobnosti)</w:t>
      </w:r>
    </w:p>
    <w:bookmarkEnd w:id="588"/>
    <w:p w14:paraId="431BC27D" w14:textId="77777777" w:rsidR="00F31F31" w:rsidRPr="003D1614" w:rsidRDefault="00F31F31" w:rsidP="00F31F31">
      <w:pPr>
        <w:suppressAutoHyphens/>
        <w:autoSpaceDN w:val="0"/>
        <w:jc w:val="both"/>
        <w:rPr>
          <w:rFonts w:ascii="Arial" w:eastAsia="Times New Roman" w:hAnsi="Arial" w:cs="Arial"/>
          <w:color w:val="000000" w:themeColor="text1"/>
          <w:sz w:val="20"/>
          <w:szCs w:val="20"/>
        </w:rPr>
      </w:pPr>
    </w:p>
    <w:p w14:paraId="1B00FBFF" w14:textId="77777777" w:rsidR="00F31F31" w:rsidRPr="003D1614" w:rsidRDefault="00F31F31" w:rsidP="00F31F31">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Instrumenti osiguranja plasmana Banke su:</w:t>
      </w:r>
    </w:p>
    <w:p w14:paraId="0FD01D29" w14:textId="77777777" w:rsidR="00F31F31" w:rsidRPr="003D1614" w:rsidRDefault="00F31F31" w:rsidP="00F31F31">
      <w:pPr>
        <w:numPr>
          <w:ilvl w:val="0"/>
          <w:numId w:val="25"/>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obvezni (mjenice i zadužnice),</w:t>
      </w:r>
    </w:p>
    <w:p w14:paraId="3DFB7839" w14:textId="77777777" w:rsidR="00F31F31" w:rsidRPr="003D1614" w:rsidRDefault="00F31F31" w:rsidP="00F31F31">
      <w:pPr>
        <w:numPr>
          <w:ilvl w:val="0"/>
          <w:numId w:val="25"/>
        </w:numPr>
        <w:suppressAutoHyphens/>
        <w:autoSpaceDE w:val="0"/>
        <w:autoSpaceDN w:val="0"/>
        <w:adjustRightInd w:val="0"/>
        <w:ind w:right="-2"/>
        <w:jc w:val="both"/>
        <w:rPr>
          <w:rFonts w:ascii="Arial" w:eastAsia="Times New Roman" w:hAnsi="Arial" w:cs="Arial"/>
          <w:b/>
          <w:color w:val="000000" w:themeColor="text1"/>
          <w:sz w:val="20"/>
          <w:szCs w:val="20"/>
        </w:rPr>
      </w:pPr>
      <w:r w:rsidRPr="003D1614">
        <w:rPr>
          <w:rFonts w:ascii="Arial" w:eastAsia="Times New Roman" w:hAnsi="Arial" w:cs="Arial"/>
          <w:color w:val="000000" w:themeColor="text1"/>
          <w:sz w:val="20"/>
          <w:szCs w:val="20"/>
        </w:rPr>
        <w:t>uobičajeni (nekretnine, brodovi, zrakoplovi, bankarska garancija, jamstvo Republike Hrvatske, jamstvo jedinica lokalne i područne (regionalne) samouprave, jamstvo HAMAG-BICRO-a, polica osiguranja od političkih i/ili komercijalnih rizika), te</w:t>
      </w:r>
    </w:p>
    <w:p w14:paraId="734003BD" w14:textId="77777777" w:rsidR="00F31F31" w:rsidRPr="003D1614" w:rsidRDefault="00F31F31" w:rsidP="00F31F31">
      <w:pPr>
        <w:numPr>
          <w:ilvl w:val="0"/>
          <w:numId w:val="25"/>
        </w:numPr>
        <w:suppressAutoHyphens/>
        <w:autoSpaceDE w:val="0"/>
        <w:autoSpaceDN w:val="0"/>
        <w:adjustRightInd w:val="0"/>
        <w:ind w:right="-2"/>
        <w:jc w:val="both"/>
        <w:rPr>
          <w:rFonts w:ascii="Arial" w:eastAsia="Times New Roman" w:hAnsi="Arial" w:cs="Arial"/>
          <w:b/>
          <w:color w:val="000000" w:themeColor="text1"/>
          <w:sz w:val="20"/>
          <w:szCs w:val="20"/>
        </w:rPr>
      </w:pPr>
      <w:r w:rsidRPr="003D1614">
        <w:rPr>
          <w:rFonts w:ascii="Arial" w:eastAsia="Times New Roman" w:hAnsi="Arial" w:cs="Arial"/>
          <w:color w:val="000000" w:themeColor="text1"/>
          <w:sz w:val="20"/>
          <w:szCs w:val="20"/>
        </w:rPr>
        <w:t>ostali instrumenti osiguranja (pokretna imovina, mjenice ili jamstva drugih trgovačkih društva solidnog boniteta, prijenos vlasništva ili zalog dionica odnosno udjela trgovačkog društva, pljenidba novčanih potraživanja odnosno cesija naplativih potraživanja, pljenidba depozita, vinkuliranje police osiguranja imovine i/ili osoba, zalog na žigu ili robnoj marki i sl.).</w:t>
      </w:r>
    </w:p>
    <w:p w14:paraId="79DC4C1D" w14:textId="77777777" w:rsidR="00F31F31" w:rsidRPr="003D1614" w:rsidRDefault="00F31F31" w:rsidP="00F31F31">
      <w:pPr>
        <w:suppressAutoHyphens/>
        <w:autoSpaceDE w:val="0"/>
        <w:autoSpaceDN w:val="0"/>
        <w:adjustRightInd w:val="0"/>
        <w:ind w:right="426"/>
        <w:jc w:val="both"/>
        <w:rPr>
          <w:rFonts w:ascii="Arial" w:eastAsia="Times New Roman" w:hAnsi="Arial" w:cs="Arial"/>
          <w:color w:val="000000" w:themeColor="text1"/>
          <w:sz w:val="20"/>
          <w:szCs w:val="20"/>
        </w:rPr>
      </w:pPr>
    </w:p>
    <w:p w14:paraId="1360E874" w14:textId="77777777" w:rsidR="00F31F31" w:rsidRPr="003D1614" w:rsidRDefault="00F31F31" w:rsidP="00F31F31">
      <w:pPr>
        <w:suppressAutoHyphens/>
        <w:autoSpaceDE w:val="0"/>
        <w:autoSpaceDN w:val="0"/>
        <w:adjustRightInd w:val="0"/>
        <w:ind w:right="-1"/>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Svi plasmani Banke moraju biti osigurani obveznim instrumentima osiguranja. Plasmani manjih iznosa moraju biti osigurani barem jednim obveznim instrumentom osiguranja. Izbor prihvatljivih instrumenata osiguranja ne ovisi samo o postignutom omjeru osiguranja nego i o utvrđenim rizicima, pri čemu prednost imaju brže utrživi i vrjedniji instrumenti osiguranja.</w:t>
      </w:r>
    </w:p>
    <w:p w14:paraId="07C25D9F" w14:textId="77777777" w:rsidR="00F31F31" w:rsidRPr="003D1614" w:rsidRDefault="00F31F31" w:rsidP="00F31F31">
      <w:pPr>
        <w:suppressAutoHyphens/>
        <w:autoSpaceDE w:val="0"/>
        <w:autoSpaceDN w:val="0"/>
        <w:adjustRightInd w:val="0"/>
        <w:ind w:right="426"/>
        <w:jc w:val="both"/>
        <w:rPr>
          <w:rFonts w:ascii="Arial" w:eastAsia="Times New Roman" w:hAnsi="Arial" w:cs="Arial"/>
          <w:color w:val="000000" w:themeColor="text1"/>
          <w:sz w:val="20"/>
          <w:szCs w:val="20"/>
        </w:rPr>
      </w:pPr>
    </w:p>
    <w:p w14:paraId="468E4812" w14:textId="77777777" w:rsidR="00F31F31" w:rsidRPr="003D1614" w:rsidRDefault="00F31F31" w:rsidP="00F31F31">
      <w:pPr>
        <w:suppressAutoHyphens/>
        <w:autoSpaceDE w:val="0"/>
        <w:autoSpaceDN w:val="0"/>
        <w:adjustRightInd w:val="0"/>
        <w:ind w:right="-2"/>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Prihvatljivi uobičajeni i ostali instrumenti osiguranja razvrstani su prema kvaliteti u pet skupina. Ocjena instrumenata osiguranja temelji se na njihovoj kvaliteti koja se utvrđuje na bazi njihove tržišne unovčivosti, dokumentiranosti i mogućnosti nadzora od strane Banke te mogućnosti prisilne naplate. </w:t>
      </w:r>
    </w:p>
    <w:p w14:paraId="5B6FB3ED" w14:textId="77777777" w:rsidR="00F31F31" w:rsidRPr="003D1614" w:rsidRDefault="00F31F31" w:rsidP="00F31F31">
      <w:pPr>
        <w:suppressAutoHyphens/>
        <w:autoSpaceDE w:val="0"/>
        <w:autoSpaceDN w:val="0"/>
        <w:adjustRightInd w:val="0"/>
        <w:ind w:right="-2"/>
        <w:jc w:val="both"/>
        <w:rPr>
          <w:rFonts w:ascii="Arial" w:eastAsia="Times New Roman" w:hAnsi="Arial" w:cs="Arial"/>
          <w:color w:val="000000" w:themeColor="text1"/>
          <w:sz w:val="20"/>
          <w:szCs w:val="20"/>
        </w:rPr>
      </w:pPr>
    </w:p>
    <w:p w14:paraId="67567FAF" w14:textId="77777777" w:rsidR="00F31F31" w:rsidRPr="003D1614" w:rsidRDefault="00F31F31" w:rsidP="00F31F31">
      <w:pPr>
        <w:suppressAutoHyphens/>
        <w:autoSpaceDE w:val="0"/>
        <w:autoSpaceDN w:val="0"/>
        <w:adjustRightInd w:val="0"/>
        <w:ind w:right="-2"/>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Pri donošenju odluke o odobrenju kredita slaba se kreditna sposobnost ne može zamijeniti kvalitetom instrumenata osiguranja, osim u slučajevima osiguranja prvorazrednim instrumentima osiguranja: jamstvom Republike Hrvatske, jamstvom lokalne/područne (regionalne) samouprave (JLPS), jamstvom HAMAG-BICRO-a, policom osiguranja kredita i kada za obveze klijenta zakonskim aktima jamče Republika Hrvatska, JLPS ili druga državna tijela.</w:t>
      </w:r>
    </w:p>
    <w:p w14:paraId="4371672F" w14:textId="60FC0842" w:rsidR="003311C4" w:rsidRPr="003D1614" w:rsidRDefault="003311C4" w:rsidP="003311C4">
      <w:pPr>
        <w:suppressAutoHyphens/>
        <w:autoSpaceDN w:val="0"/>
        <w:jc w:val="both"/>
        <w:rPr>
          <w:rFonts w:ascii="Arial" w:eastAsia="Times New Roman" w:hAnsi="Arial" w:cs="Arial"/>
          <w:color w:val="000000" w:themeColor="text1"/>
          <w:sz w:val="20"/>
          <w:szCs w:val="20"/>
        </w:rPr>
      </w:pPr>
    </w:p>
    <w:p w14:paraId="068B6375" w14:textId="77777777" w:rsidR="003311C4" w:rsidRPr="003D1614" w:rsidRDefault="003311C4" w:rsidP="003311C4">
      <w:pPr>
        <w:suppressAutoHyphens/>
        <w:autoSpaceDN w:val="0"/>
        <w:jc w:val="both"/>
        <w:rPr>
          <w:rFonts w:ascii="Arial" w:eastAsia="Times New Roman" w:hAnsi="Arial" w:cs="Arial"/>
          <w:color w:val="000000" w:themeColor="text1"/>
          <w:sz w:val="20"/>
          <w:szCs w:val="20"/>
        </w:rPr>
        <w:sectPr w:rsidR="003311C4" w:rsidRPr="003D1614">
          <w:pgSz w:w="11906" w:h="16838"/>
          <w:pgMar w:top="1417" w:right="1417" w:bottom="1417" w:left="1417" w:header="708" w:footer="708" w:gutter="0"/>
          <w:cols w:space="708"/>
          <w:docGrid w:linePitch="360"/>
        </w:sectPr>
      </w:pPr>
    </w:p>
    <w:p w14:paraId="2C73396D" w14:textId="77777777" w:rsidR="003311C4" w:rsidRPr="003D1614" w:rsidRDefault="003311C4" w:rsidP="003311C4">
      <w:pPr>
        <w:suppressAutoHyphens/>
        <w:autoSpaceDN w:val="0"/>
        <w:spacing w:line="300" w:lineRule="exact"/>
        <w:rPr>
          <w:rFonts w:ascii="Arial" w:eastAsia="Calibri" w:hAnsi="Arial" w:cs="Arial"/>
          <w:b/>
          <w:color w:val="000000" w:themeColor="text1"/>
          <w:sz w:val="20"/>
          <w:szCs w:val="20"/>
        </w:rPr>
      </w:pPr>
    </w:p>
    <w:p w14:paraId="5B6ECDBB" w14:textId="39DAF541" w:rsidR="003311C4" w:rsidRPr="003D1614" w:rsidRDefault="003311C4" w:rsidP="003311C4">
      <w:pPr>
        <w:keepNext/>
        <w:tabs>
          <w:tab w:val="left" w:pos="567"/>
        </w:tabs>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lang w:eastAsia="hr-HR"/>
        </w:rPr>
        <w:t>2</w:t>
      </w:r>
      <w:r w:rsidR="000E693B">
        <w:rPr>
          <w:rFonts w:ascii="Arial" w:eastAsia="Times New Roman" w:hAnsi="Arial" w:cs="Arial"/>
          <w:b/>
          <w:bCs/>
          <w:color w:val="000000" w:themeColor="text1"/>
          <w:sz w:val="20"/>
          <w:szCs w:val="20"/>
          <w:lang w:eastAsia="hr-HR"/>
        </w:rPr>
        <w:t>3</w:t>
      </w:r>
      <w:r w:rsidRPr="003D1614">
        <w:rPr>
          <w:rFonts w:ascii="Arial" w:eastAsia="Times New Roman" w:hAnsi="Arial" w:cs="Arial"/>
          <w:b/>
          <w:bCs/>
          <w:color w:val="000000" w:themeColor="text1"/>
          <w:sz w:val="20"/>
          <w:szCs w:val="20"/>
          <w:lang w:eastAsia="hr-HR"/>
        </w:rPr>
        <w:t>.</w:t>
      </w:r>
      <w:r w:rsidRPr="003D1614">
        <w:rPr>
          <w:rFonts w:ascii="Arial" w:eastAsia="Times New Roman" w:hAnsi="Arial" w:cs="Arial"/>
          <w:b/>
          <w:bCs/>
          <w:color w:val="000000" w:themeColor="text1"/>
          <w:sz w:val="20"/>
          <w:szCs w:val="20"/>
        </w:rPr>
        <w:tab/>
        <w:t>Upravljanje rizicima (nastavak)</w:t>
      </w:r>
    </w:p>
    <w:p w14:paraId="44D7758C" w14:textId="77777777" w:rsidR="003311C4" w:rsidRPr="003D1614" w:rsidRDefault="003311C4" w:rsidP="003311C4">
      <w:pPr>
        <w:suppressAutoHyphens/>
        <w:autoSpaceDN w:val="0"/>
        <w:jc w:val="both"/>
        <w:rPr>
          <w:rFonts w:ascii="Arial" w:eastAsia="Times New Roman" w:hAnsi="Arial" w:cs="Arial"/>
          <w:color w:val="000000" w:themeColor="text1"/>
          <w:sz w:val="20"/>
          <w:szCs w:val="20"/>
        </w:rPr>
      </w:pPr>
    </w:p>
    <w:p w14:paraId="18C543F1" w14:textId="29FBBDA9" w:rsidR="003311C4" w:rsidRPr="003D1614" w:rsidRDefault="003311C4" w:rsidP="003311C4">
      <w:pPr>
        <w:tabs>
          <w:tab w:val="left" w:pos="567"/>
        </w:tabs>
        <w:suppressAutoHyphens/>
        <w:autoSpaceDN w:val="0"/>
        <w:spacing w:line="300" w:lineRule="exact"/>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ab/>
        <w:t>Kreditni rizik (nastavak)</w:t>
      </w:r>
    </w:p>
    <w:p w14:paraId="5CA93582" w14:textId="77777777" w:rsidR="003311C4" w:rsidRPr="003D1614" w:rsidRDefault="003311C4" w:rsidP="003311C4">
      <w:pPr>
        <w:suppressAutoHyphens/>
        <w:autoSpaceDE w:val="0"/>
        <w:autoSpaceDN w:val="0"/>
        <w:adjustRightInd w:val="0"/>
        <w:ind w:right="426"/>
        <w:jc w:val="both"/>
        <w:rPr>
          <w:rFonts w:ascii="Arial" w:eastAsia="Times New Roman" w:hAnsi="Arial" w:cs="Arial"/>
          <w:color w:val="000000" w:themeColor="text1"/>
          <w:sz w:val="20"/>
          <w:szCs w:val="20"/>
        </w:rPr>
      </w:pPr>
    </w:p>
    <w:p w14:paraId="466010AD" w14:textId="77777777" w:rsidR="009E17A4" w:rsidRPr="003D1614" w:rsidRDefault="009E17A4" w:rsidP="009E17A4">
      <w:pPr>
        <w:tabs>
          <w:tab w:val="left" w:pos="851"/>
        </w:tabs>
        <w:suppressAutoHyphens/>
        <w:autoSpaceDN w:val="0"/>
        <w:spacing w:line="300" w:lineRule="exact"/>
        <w:jc w:val="both"/>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.3.8.</w:t>
      </w:r>
      <w:r w:rsidRPr="003D1614">
        <w:rPr>
          <w:rFonts w:ascii="Arial" w:eastAsia="Calibri" w:hAnsi="Arial" w:cs="Arial"/>
          <w:b/>
          <w:color w:val="000000" w:themeColor="text1"/>
          <w:sz w:val="20"/>
          <w:szCs w:val="20"/>
        </w:rPr>
        <w:tab/>
        <w:t>Instrumenti osiguranja i ostala poboljšanja kvalitete kredita (kreditne sposobnosti) (nastavak)</w:t>
      </w:r>
    </w:p>
    <w:p w14:paraId="6E6CA020" w14:textId="77777777" w:rsidR="009E17A4" w:rsidRPr="003D1614" w:rsidRDefault="009E17A4" w:rsidP="009E17A4">
      <w:pPr>
        <w:suppressAutoHyphens/>
        <w:autoSpaceDE w:val="0"/>
        <w:autoSpaceDN w:val="0"/>
        <w:adjustRightInd w:val="0"/>
        <w:ind w:right="426"/>
        <w:jc w:val="both"/>
        <w:rPr>
          <w:rFonts w:ascii="Arial" w:eastAsia="Times New Roman" w:hAnsi="Arial" w:cs="Arial"/>
          <w:color w:val="000000" w:themeColor="text1"/>
          <w:sz w:val="20"/>
          <w:szCs w:val="20"/>
        </w:rPr>
      </w:pPr>
    </w:p>
    <w:p w14:paraId="5847DF50" w14:textId="77777777" w:rsidR="009E17A4" w:rsidRPr="003D1614" w:rsidRDefault="009E17A4" w:rsidP="009E17A4">
      <w:pPr>
        <w:suppressAutoHyphens/>
        <w:autoSpaceDE w:val="0"/>
        <w:autoSpaceDN w:val="0"/>
        <w:adjustRightInd w:val="0"/>
        <w:ind w:right="-2"/>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U svrhu ublažavanja kreditnog rizika i smanjenja troškova poslovanja, a sukladno Zakonu o HBOR-u, dio svojih plasmana Banka odobrava putem financijskih institucija. Za osiguranje plasmana odobrenih krajnjim korisnicima putem financijskih institucija Banka uzima obvezne instrumente osiguranja od poslovnih banaka i leasing društava. Financijska institucija ih je dužna deponirati temeljem</w:t>
      </w:r>
      <w:r w:rsidRPr="003D1614">
        <w:rPr>
          <w:rFonts w:ascii="Arial" w:eastAsia="Calibri" w:hAnsi="Arial" w:cs="Arial"/>
          <w:color w:val="000000" w:themeColor="text1"/>
          <w:sz w:val="20"/>
          <w:szCs w:val="20"/>
        </w:rPr>
        <w:t xml:space="preserve"> Ugovora o međusobnoj poslovnoj suradnji, a ne za svaki pojedinačni plasman krajnjem korisniku zaključen temeljem tog Ugovora. U svakom pojedinačnom ugovoru o plasmanu za krajnjeg korisnika ugovara se pravo korištenja obveznih instrumenata osiguranja </w:t>
      </w:r>
      <w:r w:rsidRPr="003D1614">
        <w:rPr>
          <w:rFonts w:ascii="Arial" w:eastAsia="Times New Roman" w:hAnsi="Arial" w:cs="Arial"/>
          <w:color w:val="000000" w:themeColor="text1"/>
          <w:sz w:val="20"/>
          <w:szCs w:val="20"/>
        </w:rPr>
        <w:t xml:space="preserve">deponiranih uz Ugovor o međusobnoj poslovnoj suradnji. Obzirom da financijske institucije snose rizik povrata plasmana krajnjeg korisnika ostavljena im je mogućnost ugovaranja dostatnih instrumenata osiguranja od krajnjeg korisnika kredita/leasinga. </w:t>
      </w:r>
    </w:p>
    <w:p w14:paraId="584EEB49" w14:textId="77777777" w:rsidR="009E17A4" w:rsidRPr="003D1614" w:rsidRDefault="009E17A4" w:rsidP="009E17A4">
      <w:pPr>
        <w:suppressAutoHyphens/>
        <w:autoSpaceDE w:val="0"/>
        <w:autoSpaceDN w:val="0"/>
        <w:adjustRightInd w:val="0"/>
        <w:ind w:right="426"/>
        <w:jc w:val="both"/>
        <w:rPr>
          <w:rFonts w:ascii="Arial" w:eastAsia="Times New Roman" w:hAnsi="Arial" w:cs="Arial"/>
          <w:color w:val="000000" w:themeColor="text1"/>
          <w:sz w:val="20"/>
          <w:szCs w:val="20"/>
        </w:rPr>
      </w:pPr>
    </w:p>
    <w:p w14:paraId="66A52696" w14:textId="77777777" w:rsidR="009E17A4" w:rsidRPr="003D1614" w:rsidRDefault="009E17A4" w:rsidP="009E17A4">
      <w:pPr>
        <w:suppressAutoHyphens/>
        <w:autoSpaceDE w:val="0"/>
        <w:autoSpaceDN w:val="0"/>
        <w:adjustRightInd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Kod odobrenja kredita putem poslovnih banaka, ovisno o njezinom internom rejtingu, zasniva se i nadhipoteka. Tada poslovna banka prenosi vlasništvo na predmetu osiguranja u svoju korist, uz zasnivanje založnog prava u korist Banke ili zasniva hipoteku na predmetu osiguranja u svoju korist, uz nadhipoteku u korist Banke.</w:t>
      </w:r>
    </w:p>
    <w:p w14:paraId="68C624E0" w14:textId="77777777" w:rsidR="009E17A4" w:rsidRPr="003D1614" w:rsidRDefault="009E17A4" w:rsidP="009E17A4">
      <w:pPr>
        <w:suppressAutoHyphens/>
        <w:autoSpaceDE w:val="0"/>
        <w:autoSpaceDN w:val="0"/>
        <w:adjustRightInd w:val="0"/>
        <w:ind w:right="426"/>
        <w:jc w:val="both"/>
        <w:rPr>
          <w:rFonts w:ascii="Arial" w:eastAsia="Times New Roman" w:hAnsi="Arial" w:cs="Arial"/>
          <w:color w:val="000000" w:themeColor="text1"/>
          <w:sz w:val="20"/>
          <w:szCs w:val="20"/>
        </w:rPr>
      </w:pPr>
    </w:p>
    <w:p w14:paraId="1481A428" w14:textId="77777777" w:rsidR="009E17A4" w:rsidRPr="003D1614" w:rsidRDefault="009E17A4" w:rsidP="009E17A4">
      <w:pPr>
        <w:suppressAutoHyphens/>
        <w:autoSpaceDE w:val="0"/>
        <w:autoSpaceDN w:val="0"/>
        <w:adjustRightInd w:val="0"/>
        <w:ind w:right="-2"/>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Potpisom Ugovora o međusobnoj poslovnoj suradnji ugovara se prijenos tražbina poslovne banke iz ugovora</w:t>
      </w:r>
      <w:r w:rsidRPr="003D1614">
        <w:rPr>
          <w:rFonts w:ascii="Arial" w:eastAsia="Calibri" w:hAnsi="Arial" w:cs="Arial"/>
          <w:color w:val="000000" w:themeColor="text1"/>
          <w:sz w:val="20"/>
          <w:szCs w:val="20"/>
        </w:rPr>
        <w:t xml:space="preserve"> o kreditu s krajnjim korisnikom kredita na HBOR. Ugovorom poslovna banka ovlašćuje HBOR </w:t>
      </w:r>
      <w:r w:rsidRPr="003D1614">
        <w:rPr>
          <w:rFonts w:ascii="Arial" w:eastAsia="Times New Roman" w:hAnsi="Arial" w:cs="Arial"/>
          <w:color w:val="000000" w:themeColor="text1"/>
          <w:sz w:val="20"/>
          <w:szCs w:val="20"/>
        </w:rPr>
        <w:t>da može jednostranom pisanom izjavom obavijestiti poslovnu banku da, u slučaju nelikvidnosti poslovne banke ili prijetećeg stečaja, neurednog ispunjavanja, odnosno neispunjavanja obveza iz ugovora o međubankarskom kreditu te otvaranja stečaja ili redovne likvidacije poslovne banke, nastupa ustupanje potraživanja prema krajnjem korisniku s poslovne banke na HBOR s učinkom cesije umjesto ispunjenja.</w:t>
      </w:r>
    </w:p>
    <w:p w14:paraId="4C8352E5" w14:textId="77777777" w:rsidR="009E17A4" w:rsidRPr="003D1614" w:rsidRDefault="009E17A4" w:rsidP="009E17A4">
      <w:pPr>
        <w:suppressAutoHyphens/>
        <w:autoSpaceDE w:val="0"/>
        <w:autoSpaceDN w:val="0"/>
        <w:adjustRightInd w:val="0"/>
        <w:ind w:right="426"/>
        <w:jc w:val="both"/>
        <w:rPr>
          <w:rFonts w:ascii="Arial" w:eastAsia="Times New Roman" w:hAnsi="Arial" w:cs="Arial"/>
          <w:color w:val="000000" w:themeColor="text1"/>
          <w:sz w:val="20"/>
          <w:szCs w:val="20"/>
        </w:rPr>
      </w:pPr>
    </w:p>
    <w:p w14:paraId="650FF627" w14:textId="77777777" w:rsidR="009E17A4" w:rsidRPr="003D1614" w:rsidRDefault="009E17A4" w:rsidP="009E17A4">
      <w:pPr>
        <w:suppressAutoHyphens/>
        <w:autoSpaceDE w:val="0"/>
        <w:autoSpaceDN w:val="0"/>
        <w:adjustRightInd w:val="0"/>
        <w:ind w:right="-2"/>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Također, poslovna banka ovlašćuje HBOR da se temeljem ugovora o međusobnoj poslovnoj suradnji i navedene izjave može bez ikakve njezine daljnje suglasnosti ili odobrenja upisati u sve javne registre, knjige i upisnike umjesto poslovne banke na mjesto vjerovnika po provedenim osiguranjima za ustupljene tražbine te u svim drugim postupcima stupiti na mjesto vjerovnika. </w:t>
      </w:r>
    </w:p>
    <w:p w14:paraId="306323A4" w14:textId="77777777" w:rsidR="009E17A4" w:rsidRPr="003D1614" w:rsidRDefault="009E17A4" w:rsidP="009E17A4">
      <w:pPr>
        <w:widowControl w:val="0"/>
        <w:suppressAutoHyphens/>
        <w:autoSpaceDN w:val="0"/>
        <w:jc w:val="both"/>
        <w:rPr>
          <w:rFonts w:ascii="Arial" w:eastAsia="Times New Roman" w:hAnsi="Arial" w:cs="Arial"/>
          <w:color w:val="000000" w:themeColor="text1"/>
          <w:sz w:val="20"/>
          <w:szCs w:val="20"/>
        </w:rPr>
      </w:pPr>
    </w:p>
    <w:p w14:paraId="665B0C83" w14:textId="77777777" w:rsidR="009E17A4" w:rsidRPr="003D1614" w:rsidRDefault="009E17A4" w:rsidP="009E17A4">
      <w:pPr>
        <w:suppressAutoHyphens/>
        <w:autoSpaceDE w:val="0"/>
        <w:autoSpaceDN w:val="0"/>
        <w:adjustRightInd w:val="0"/>
        <w:ind w:right="-2"/>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Od trenutka ustupanja, krajnji korisnik kredita je u obvezi sva plaćanja po ustupljenoj tražbini izvršavati izravno HBOR-u. Ako u tom slučaju poslovna banka eventualno primi neke uplate na ime naplate ustupljenog potraživanja, obvezna je sve što primi bez odgode proslijediti HBOR-u.</w:t>
      </w:r>
    </w:p>
    <w:p w14:paraId="4DFBF7CC" w14:textId="77777777" w:rsidR="009E17A4" w:rsidRPr="003D1614" w:rsidRDefault="009E17A4" w:rsidP="009E17A4">
      <w:pPr>
        <w:widowControl w:val="0"/>
        <w:suppressAutoHyphens/>
        <w:autoSpaceDN w:val="0"/>
        <w:jc w:val="both"/>
        <w:rPr>
          <w:rFonts w:ascii="Arial" w:eastAsia="Times New Roman" w:hAnsi="Arial" w:cs="Arial"/>
          <w:color w:val="000000" w:themeColor="text1"/>
          <w:sz w:val="20"/>
          <w:szCs w:val="20"/>
        </w:rPr>
      </w:pPr>
    </w:p>
    <w:p w14:paraId="565E30C3" w14:textId="77777777" w:rsidR="009E17A4" w:rsidRPr="003D1614" w:rsidRDefault="009E17A4" w:rsidP="009E17A4">
      <w:pPr>
        <w:suppressAutoHyphens/>
        <w:autoSpaceDE w:val="0"/>
        <w:autoSpaceDN w:val="0"/>
        <w:adjustRightInd w:val="0"/>
        <w:ind w:right="-1"/>
        <w:jc w:val="both"/>
        <w:rPr>
          <w:rFonts w:ascii="Arial" w:eastAsia="Times New Roman" w:hAnsi="Arial" w:cs="Arial"/>
          <w:color w:val="000000" w:themeColor="text1"/>
          <w:sz w:val="20"/>
          <w:szCs w:val="20"/>
        </w:rPr>
      </w:pPr>
      <w:r w:rsidRPr="003D1614">
        <w:rPr>
          <w:rFonts w:ascii="Arial" w:eastAsia="Calibri" w:hAnsi="Arial" w:cs="Arial"/>
          <w:color w:val="000000" w:themeColor="text1"/>
          <w:sz w:val="20"/>
          <w:szCs w:val="20"/>
        </w:rPr>
        <w:t xml:space="preserve">Svi izravni plasmani uglavnom su osigurani prijenosom vlasništva ili hipotekom na nekretninama te, ako je to moguće, kao osiguranje od kreditnog rizika Banka pribavlja jamstvo Hrvatske agencije za malo gospodarstvo, inovacije i investicije (HAMAG-BICRO), jamstvo EIF-a (Europski investicijski fond), jamstvo jedinice lokalne i područne (regionalne) </w:t>
      </w:r>
      <w:r w:rsidRPr="003D1614">
        <w:rPr>
          <w:rFonts w:ascii="Arial" w:eastAsia="Times New Roman" w:hAnsi="Arial" w:cs="Arial"/>
          <w:color w:val="000000" w:themeColor="text1"/>
          <w:sz w:val="20"/>
          <w:szCs w:val="20"/>
        </w:rPr>
        <w:t xml:space="preserve">samouprave, jamstvo Republike Hrvatske i slično. </w:t>
      </w:r>
    </w:p>
    <w:p w14:paraId="76819901" w14:textId="77777777" w:rsidR="009E17A4" w:rsidRPr="003D1614" w:rsidRDefault="009E17A4" w:rsidP="009E17A4">
      <w:pPr>
        <w:suppressAutoHyphens/>
        <w:autoSpaceDE w:val="0"/>
        <w:autoSpaceDN w:val="0"/>
        <w:adjustRightInd w:val="0"/>
        <w:ind w:right="426"/>
        <w:jc w:val="both"/>
        <w:rPr>
          <w:rFonts w:ascii="Arial" w:eastAsia="Times New Roman" w:hAnsi="Arial" w:cs="Arial"/>
          <w:color w:val="000000" w:themeColor="text1"/>
          <w:sz w:val="20"/>
          <w:szCs w:val="20"/>
        </w:rPr>
      </w:pPr>
    </w:p>
    <w:p w14:paraId="45DCD162" w14:textId="64D7B857" w:rsidR="003311C4" w:rsidRPr="003D1614" w:rsidRDefault="009E17A4" w:rsidP="009E17A4">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Banka je ovlaštena izvršiti verifikaciju procjene vrijednosti i tako utvrđena procjena se smatra konačnom vrijednosti instrumenta osiguranja.</w:t>
      </w:r>
    </w:p>
    <w:p w14:paraId="3A4D580C" w14:textId="77777777" w:rsidR="003311C4" w:rsidRPr="003D1614" w:rsidRDefault="003311C4" w:rsidP="003311C4">
      <w:pPr>
        <w:suppressAutoHyphens/>
        <w:autoSpaceDN w:val="0"/>
        <w:jc w:val="both"/>
        <w:rPr>
          <w:rFonts w:ascii="Arial" w:eastAsia="Times New Roman" w:hAnsi="Arial" w:cs="Arial"/>
          <w:color w:val="000000" w:themeColor="text1"/>
          <w:sz w:val="20"/>
          <w:szCs w:val="20"/>
        </w:rPr>
        <w:sectPr w:rsidR="003311C4" w:rsidRPr="003D1614">
          <w:pgSz w:w="11906" w:h="16838"/>
          <w:pgMar w:top="1417" w:right="1417" w:bottom="1417" w:left="1417" w:header="708" w:footer="708" w:gutter="0"/>
          <w:cols w:space="708"/>
          <w:docGrid w:linePitch="360"/>
        </w:sectPr>
      </w:pPr>
    </w:p>
    <w:p w14:paraId="0EFAE2BD" w14:textId="77777777" w:rsidR="003311C4" w:rsidRPr="003D1614" w:rsidRDefault="003311C4" w:rsidP="003311C4">
      <w:pPr>
        <w:suppressAutoHyphens/>
        <w:autoSpaceDN w:val="0"/>
        <w:spacing w:line="300" w:lineRule="exact"/>
        <w:rPr>
          <w:rFonts w:ascii="Arial" w:eastAsia="Calibri" w:hAnsi="Arial" w:cs="Arial"/>
          <w:b/>
          <w:color w:val="000000" w:themeColor="text1"/>
          <w:sz w:val="20"/>
          <w:szCs w:val="20"/>
        </w:rPr>
      </w:pPr>
    </w:p>
    <w:p w14:paraId="49D9315E" w14:textId="3CA93762" w:rsidR="003311C4" w:rsidRPr="003D1614" w:rsidRDefault="003311C4" w:rsidP="003311C4">
      <w:pPr>
        <w:keepNext/>
        <w:tabs>
          <w:tab w:val="left" w:pos="567"/>
        </w:tabs>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lang w:eastAsia="hr-HR"/>
        </w:rPr>
        <w:t>2</w:t>
      </w:r>
      <w:r w:rsidR="000E693B">
        <w:rPr>
          <w:rFonts w:ascii="Arial" w:eastAsia="Times New Roman" w:hAnsi="Arial" w:cs="Arial"/>
          <w:b/>
          <w:bCs/>
          <w:color w:val="000000" w:themeColor="text1"/>
          <w:sz w:val="20"/>
          <w:szCs w:val="20"/>
          <w:lang w:eastAsia="hr-HR"/>
        </w:rPr>
        <w:t>3</w:t>
      </w:r>
      <w:r w:rsidRPr="003D1614">
        <w:rPr>
          <w:rFonts w:ascii="Arial" w:eastAsia="Times New Roman" w:hAnsi="Arial" w:cs="Arial"/>
          <w:b/>
          <w:bCs/>
          <w:color w:val="000000" w:themeColor="text1"/>
          <w:sz w:val="20"/>
          <w:szCs w:val="20"/>
          <w:lang w:eastAsia="hr-HR"/>
        </w:rPr>
        <w:t>.</w:t>
      </w:r>
      <w:r w:rsidRPr="003D1614">
        <w:rPr>
          <w:rFonts w:ascii="Arial" w:eastAsia="Times New Roman" w:hAnsi="Arial" w:cs="Arial"/>
          <w:b/>
          <w:bCs/>
          <w:color w:val="000000" w:themeColor="text1"/>
          <w:sz w:val="20"/>
          <w:szCs w:val="20"/>
        </w:rPr>
        <w:tab/>
        <w:t>Upravljanje rizicima (nastavak)</w:t>
      </w:r>
    </w:p>
    <w:p w14:paraId="2C47D2A5" w14:textId="77777777" w:rsidR="003311C4" w:rsidRPr="003D1614" w:rsidRDefault="003311C4" w:rsidP="003311C4">
      <w:pPr>
        <w:suppressAutoHyphens/>
        <w:autoSpaceDN w:val="0"/>
        <w:jc w:val="both"/>
        <w:rPr>
          <w:rFonts w:ascii="Arial" w:eastAsia="Times New Roman" w:hAnsi="Arial" w:cs="Arial"/>
          <w:color w:val="000000" w:themeColor="text1"/>
          <w:sz w:val="20"/>
          <w:szCs w:val="20"/>
        </w:rPr>
      </w:pPr>
    </w:p>
    <w:p w14:paraId="5A68C235" w14:textId="1FC6AD6D" w:rsidR="003311C4" w:rsidRPr="003D1614" w:rsidRDefault="003311C4" w:rsidP="003311C4">
      <w:pPr>
        <w:tabs>
          <w:tab w:val="left" w:pos="567"/>
        </w:tabs>
        <w:suppressAutoHyphens/>
        <w:autoSpaceDN w:val="0"/>
        <w:spacing w:line="300" w:lineRule="exact"/>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ab/>
        <w:t>Kreditni rizik (nastavak)</w:t>
      </w:r>
    </w:p>
    <w:p w14:paraId="7FEF42EB" w14:textId="77777777" w:rsidR="003311C4" w:rsidRPr="003D1614" w:rsidRDefault="003311C4" w:rsidP="003311C4">
      <w:pPr>
        <w:suppressAutoHyphens/>
        <w:autoSpaceDE w:val="0"/>
        <w:autoSpaceDN w:val="0"/>
        <w:adjustRightInd w:val="0"/>
        <w:ind w:right="426"/>
        <w:jc w:val="both"/>
        <w:rPr>
          <w:rFonts w:ascii="Arial" w:eastAsia="Times New Roman" w:hAnsi="Arial" w:cs="Arial"/>
          <w:color w:val="000000" w:themeColor="text1"/>
          <w:sz w:val="20"/>
          <w:szCs w:val="20"/>
        </w:rPr>
      </w:pPr>
    </w:p>
    <w:p w14:paraId="7B22803A" w14:textId="77777777" w:rsidR="00654D7B" w:rsidRPr="003D1614" w:rsidRDefault="00654D7B" w:rsidP="00654D7B">
      <w:pPr>
        <w:tabs>
          <w:tab w:val="left" w:pos="851"/>
        </w:tabs>
        <w:suppressAutoHyphens/>
        <w:autoSpaceDN w:val="0"/>
        <w:spacing w:line="300" w:lineRule="exact"/>
        <w:jc w:val="both"/>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.3.8.</w:t>
      </w:r>
      <w:r w:rsidRPr="003D1614">
        <w:rPr>
          <w:rFonts w:ascii="Arial" w:eastAsia="Calibri" w:hAnsi="Arial" w:cs="Arial"/>
          <w:b/>
          <w:color w:val="000000" w:themeColor="text1"/>
          <w:sz w:val="20"/>
          <w:szCs w:val="20"/>
        </w:rPr>
        <w:tab/>
        <w:t>Instrumenti osiguranja i ostala poboljšanja kvalitete kredita (kreditne sposobnosti) (nastavak)</w:t>
      </w:r>
    </w:p>
    <w:p w14:paraId="759E2B6D" w14:textId="77777777" w:rsidR="00654D7B" w:rsidRPr="003D1614" w:rsidRDefault="00654D7B" w:rsidP="00654D7B">
      <w:pPr>
        <w:suppressAutoHyphens/>
        <w:autoSpaceDE w:val="0"/>
        <w:autoSpaceDN w:val="0"/>
        <w:adjustRightInd w:val="0"/>
        <w:ind w:right="426"/>
        <w:jc w:val="both"/>
        <w:rPr>
          <w:rFonts w:ascii="Arial" w:eastAsia="Times New Roman" w:hAnsi="Arial" w:cs="Arial"/>
          <w:color w:val="000000" w:themeColor="text1"/>
          <w:sz w:val="20"/>
          <w:szCs w:val="20"/>
        </w:rPr>
      </w:pPr>
    </w:p>
    <w:p w14:paraId="4FF4E643" w14:textId="77777777" w:rsidR="00654D7B" w:rsidRPr="003D1614" w:rsidRDefault="00654D7B" w:rsidP="00654D7B">
      <w:pPr>
        <w:suppressAutoHyphens/>
        <w:autoSpaceDE w:val="0"/>
        <w:autoSpaceDN w:val="0"/>
        <w:adjustRightInd w:val="0"/>
        <w:ind w:right="-1"/>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Ovisno o vrsti instrumenta osiguranja, kreditnom programu, općim uvjetima osiguranja ili odluci nadležnog tijela, Banka je odredila potreban omjer plasmana i osiguranja. </w:t>
      </w:r>
    </w:p>
    <w:p w14:paraId="01328750" w14:textId="77777777" w:rsidR="00654D7B" w:rsidRPr="003D1614" w:rsidRDefault="00654D7B" w:rsidP="00654D7B">
      <w:pPr>
        <w:keepNext/>
        <w:tabs>
          <w:tab w:val="left" w:pos="426"/>
        </w:tabs>
        <w:suppressAutoHyphens/>
        <w:autoSpaceDN w:val="0"/>
        <w:jc w:val="both"/>
        <w:rPr>
          <w:rFonts w:ascii="Arial" w:eastAsia="Times New Roman" w:hAnsi="Arial" w:cs="Arial"/>
          <w:b/>
          <w:bCs/>
          <w:color w:val="000000" w:themeColor="text1"/>
          <w:sz w:val="20"/>
          <w:szCs w:val="20"/>
          <w:lang w:eastAsia="hr-HR"/>
        </w:rPr>
      </w:pPr>
    </w:p>
    <w:p w14:paraId="0A7DBBEB" w14:textId="77777777" w:rsidR="00654D7B" w:rsidRPr="003D1614" w:rsidRDefault="00654D7B" w:rsidP="00654D7B">
      <w:pPr>
        <w:suppressAutoHyphens/>
        <w:autoSpaceDE w:val="0"/>
        <w:autoSpaceDN w:val="0"/>
        <w:adjustRightInd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Za nekretnine je potreban omjer iznosa plasmana i procijenjene prometne vrijednosti nekretnine 1:1,3, osim kod ulaganja na otocima, potpomognutim područjima gdje je taj omjer 1:1,2. Za pokretnine je potreban omjer iznosa plasmana i procijenjene prometne vrijednosti pokretnine 1:2. </w:t>
      </w:r>
      <w:r w:rsidRPr="003D1614">
        <w:rPr>
          <w:rFonts w:ascii="Arial" w:eastAsia="Arial" w:hAnsi="Arial" w:cs="Arial"/>
          <w:color w:val="000000" w:themeColor="text1"/>
          <w:sz w:val="20"/>
          <w:szCs w:val="20"/>
        </w:rPr>
        <w:t xml:space="preserve">Za slučaj predlaganja nižeg omjera vrijednosti osiguranja od propisanog, obrazlažu se razlozi i opravdanosti odstupanja od propisanog. </w:t>
      </w:r>
    </w:p>
    <w:p w14:paraId="149ECE2A" w14:textId="77777777" w:rsidR="00654D7B" w:rsidRPr="003D1614" w:rsidRDefault="00654D7B" w:rsidP="00654D7B">
      <w:pPr>
        <w:suppressAutoHyphens/>
        <w:autoSpaceDE w:val="0"/>
        <w:autoSpaceDN w:val="0"/>
        <w:adjustRightInd w:val="0"/>
        <w:jc w:val="both"/>
        <w:rPr>
          <w:rFonts w:ascii="Arial" w:eastAsia="Times New Roman" w:hAnsi="Arial" w:cs="Arial"/>
          <w:color w:val="000000" w:themeColor="text1"/>
          <w:sz w:val="20"/>
          <w:szCs w:val="20"/>
        </w:rPr>
      </w:pPr>
    </w:p>
    <w:p w14:paraId="2B57CB2F" w14:textId="77777777" w:rsidR="00654D7B" w:rsidRPr="003D1614" w:rsidRDefault="00654D7B" w:rsidP="00654D7B">
      <w:pPr>
        <w:suppressAutoHyphens/>
        <w:autoSpaceDE w:val="0"/>
        <w:autoSpaceDN w:val="0"/>
        <w:adjustRightInd w:val="0"/>
        <w:ind w:right="-1"/>
        <w:jc w:val="both"/>
        <w:rPr>
          <w:rFonts w:ascii="Arial" w:eastAsia="Calibri" w:hAnsi="Arial" w:cs="Arial"/>
          <w:color w:val="000000" w:themeColor="text1"/>
          <w:sz w:val="20"/>
          <w:szCs w:val="20"/>
        </w:rPr>
      </w:pPr>
      <w:r w:rsidRPr="003D1614">
        <w:rPr>
          <w:rFonts w:ascii="Arial" w:eastAsia="Times New Roman" w:hAnsi="Arial" w:cs="Arial"/>
          <w:color w:val="000000" w:themeColor="text1"/>
          <w:sz w:val="20"/>
          <w:szCs w:val="20"/>
        </w:rPr>
        <w:t>Banka kontinuirano prati vrijednost instrumenata osiguranja ponovnom procjenom ili potvrdom/verifikacijom vrijednosti. Praćenje vrijednosti založene nekretnine obavlja se za poslovne nekretnine jednom godišnje, a za stambene</w:t>
      </w:r>
      <w:r w:rsidRPr="003D1614">
        <w:rPr>
          <w:rFonts w:ascii="Arial" w:eastAsia="Calibri" w:hAnsi="Arial" w:cs="Arial"/>
          <w:color w:val="000000" w:themeColor="text1"/>
          <w:sz w:val="20"/>
          <w:szCs w:val="20"/>
        </w:rPr>
        <w:t xml:space="preserve"> nekretnine svake tri godine. Banka ima formiranu posebnu organizacijsku jedinicu za:</w:t>
      </w:r>
    </w:p>
    <w:p w14:paraId="621A8275" w14:textId="77777777" w:rsidR="00654D7B" w:rsidRPr="003D1614" w:rsidRDefault="00654D7B" w:rsidP="00654D7B">
      <w:pPr>
        <w:numPr>
          <w:ilvl w:val="0"/>
          <w:numId w:val="26"/>
        </w:numPr>
        <w:tabs>
          <w:tab w:val="right" w:pos="9129"/>
        </w:tabs>
        <w:suppressAutoHyphens/>
        <w:autoSpaceDN w:val="0"/>
        <w:ind w:right="-1"/>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 xml:space="preserve">procjenu vrijednosti i verifikaciju već procijenjenih vrijednosti ponuđenih instrumenata osiguranja (nekretnine i pokretnine), </w:t>
      </w:r>
    </w:p>
    <w:p w14:paraId="2E0BA36D" w14:textId="77777777" w:rsidR="00654D7B" w:rsidRPr="003D1614" w:rsidRDefault="00654D7B" w:rsidP="00654D7B">
      <w:pPr>
        <w:numPr>
          <w:ilvl w:val="0"/>
          <w:numId w:val="26"/>
        </w:numPr>
        <w:tabs>
          <w:tab w:val="right" w:pos="9129"/>
        </w:tabs>
        <w:suppressAutoHyphens/>
        <w:autoSpaceDN w:val="0"/>
        <w:ind w:right="-1"/>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 xml:space="preserve">tehničko-tehnološku analizu investicijskih projekata kao i </w:t>
      </w:r>
    </w:p>
    <w:p w14:paraId="0F895163" w14:textId="77777777" w:rsidR="00654D7B" w:rsidRPr="003D1614" w:rsidRDefault="00654D7B" w:rsidP="00654D7B">
      <w:pPr>
        <w:numPr>
          <w:ilvl w:val="0"/>
          <w:numId w:val="26"/>
        </w:numPr>
        <w:tabs>
          <w:tab w:val="right" w:pos="9129"/>
        </w:tabs>
        <w:suppressAutoHyphens/>
        <w:autoSpaceDN w:val="0"/>
        <w:ind w:right="-1"/>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financijski nadzor nad korištenjem sredstava kredita u svrhu izvedbe investicijskog projekta.</w:t>
      </w:r>
    </w:p>
    <w:p w14:paraId="2203ECB4" w14:textId="77777777" w:rsidR="00654D7B" w:rsidRPr="003D1614" w:rsidRDefault="00654D7B" w:rsidP="00654D7B">
      <w:pPr>
        <w:suppressAutoHyphens/>
        <w:autoSpaceDE w:val="0"/>
        <w:autoSpaceDN w:val="0"/>
        <w:adjustRightInd w:val="0"/>
        <w:ind w:right="-1"/>
        <w:jc w:val="both"/>
        <w:rPr>
          <w:rFonts w:ascii="Arial" w:eastAsia="Times New Roman" w:hAnsi="Arial" w:cs="Arial"/>
          <w:color w:val="000000" w:themeColor="text1"/>
          <w:sz w:val="20"/>
          <w:szCs w:val="20"/>
        </w:rPr>
      </w:pPr>
    </w:p>
    <w:p w14:paraId="0B9C6F8A" w14:textId="77777777" w:rsidR="00654D7B" w:rsidRPr="003D1614" w:rsidRDefault="00654D7B" w:rsidP="00654D7B">
      <w:pPr>
        <w:suppressAutoHyphens/>
        <w:autoSpaceDE w:val="0"/>
        <w:autoSpaceDN w:val="0"/>
        <w:adjustRightInd w:val="0"/>
        <w:ind w:right="-1"/>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U slučaju nemogućnosti naplate iz redovnog poslovanja Banka pokreće raspoložive instrumente osiguranja u svrhu naplate svojih potraživanja. To podrazumijeva pokretanje naplate iz obveznih instrumenata osiguranja zatim iz prvorazrednih bezuvjetnih na prvi poziv naplativih instrumenata, a zatim iz zaloga ili fiducije nad nekretninama ili pokretninama, uključujući i njihovo preuzimanje u vlasništvo Banke sa svrhom smanjenja ili naplate potraživanja. Preuzetu imovinu Banka ne koristi za svoje poslovne namjene.</w:t>
      </w:r>
    </w:p>
    <w:p w14:paraId="0B6FB2D0" w14:textId="77777777" w:rsidR="00654D7B" w:rsidRPr="003D1614" w:rsidRDefault="00654D7B" w:rsidP="00654D7B">
      <w:pPr>
        <w:suppressAutoHyphens/>
        <w:autoSpaceDE w:val="0"/>
        <w:autoSpaceDN w:val="0"/>
        <w:adjustRightInd w:val="0"/>
        <w:ind w:right="-1"/>
        <w:jc w:val="both"/>
        <w:rPr>
          <w:rFonts w:ascii="Arial" w:eastAsia="Times New Roman" w:hAnsi="Arial" w:cs="Arial"/>
          <w:color w:val="000000" w:themeColor="text1"/>
          <w:sz w:val="20"/>
          <w:szCs w:val="20"/>
        </w:rPr>
      </w:pPr>
    </w:p>
    <w:p w14:paraId="572B9972" w14:textId="77777777" w:rsidR="00654D7B" w:rsidRPr="003D1614" w:rsidRDefault="00654D7B" w:rsidP="00654D7B">
      <w:pPr>
        <w:suppressAutoHyphens/>
        <w:autoSpaceDE w:val="0"/>
        <w:autoSpaceDN w:val="0"/>
        <w:adjustRightInd w:val="0"/>
        <w:ind w:right="-1"/>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Kod modela podjele rizika, osiguranje se provodi ovisno o modelu: </w:t>
      </w:r>
    </w:p>
    <w:p w14:paraId="3EAA99FC" w14:textId="77777777" w:rsidR="00654D7B" w:rsidRPr="003D1614" w:rsidRDefault="00654D7B" w:rsidP="00654D7B">
      <w:pPr>
        <w:numPr>
          <w:ilvl w:val="0"/>
          <w:numId w:val="27"/>
        </w:numPr>
        <w:suppressAutoHyphens/>
        <w:autoSpaceDN w:val="0"/>
        <w:ind w:left="709" w:right="-1" w:hanging="349"/>
        <w:contextualSpacing/>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poslovna banka - sukladno vlastitim internim aktima i dobrim bankarskim praksama te se ne primjenjuju akti HBOR-a i njima propisani omjeri osiguranja,</w:t>
      </w:r>
    </w:p>
    <w:p w14:paraId="31E21DC8" w14:textId="77777777" w:rsidR="00654D7B" w:rsidRPr="003D1614" w:rsidRDefault="00654D7B" w:rsidP="00654D7B">
      <w:pPr>
        <w:numPr>
          <w:ilvl w:val="0"/>
          <w:numId w:val="27"/>
        </w:numPr>
        <w:suppressAutoHyphens/>
        <w:autoSpaceDE w:val="0"/>
        <w:autoSpaceDN w:val="0"/>
        <w:adjustRightInd w:val="0"/>
        <w:ind w:left="709" w:right="-1" w:hanging="349"/>
        <w:contextualSpacing/>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ili poslovna banka i HBOR - svaka za svoj dio kredita provodi osiguranje sukladno vlastitim aktima odlukama i/ili procedurama</w:t>
      </w:r>
      <w:r>
        <w:rPr>
          <w:rFonts w:ascii="Arial" w:eastAsia="Calibri" w:hAnsi="Arial" w:cs="Arial"/>
          <w:color w:val="000000" w:themeColor="text1"/>
          <w:sz w:val="20"/>
          <w:szCs w:val="20"/>
        </w:rPr>
        <w:t>.</w:t>
      </w:r>
    </w:p>
    <w:p w14:paraId="4A9D5533" w14:textId="77777777" w:rsidR="00654D7B" w:rsidRPr="003D1614" w:rsidRDefault="00654D7B" w:rsidP="00654D7B">
      <w:pPr>
        <w:suppressAutoHyphens/>
        <w:autoSpaceDE w:val="0"/>
        <w:autoSpaceDN w:val="0"/>
        <w:adjustRightInd w:val="0"/>
        <w:ind w:right="-1"/>
        <w:contextualSpacing/>
        <w:jc w:val="both"/>
        <w:rPr>
          <w:rFonts w:ascii="Arial" w:eastAsia="Calibri" w:hAnsi="Arial" w:cs="Arial"/>
          <w:b/>
          <w:color w:val="000000" w:themeColor="text1"/>
          <w:sz w:val="20"/>
          <w:szCs w:val="20"/>
        </w:rPr>
      </w:pPr>
    </w:p>
    <w:p w14:paraId="10DA73AD" w14:textId="77777777" w:rsidR="00654D7B" w:rsidRPr="003D1614" w:rsidRDefault="00654D7B" w:rsidP="00654D7B">
      <w:pPr>
        <w:suppressAutoHyphens/>
        <w:autoSpaceDE w:val="0"/>
        <w:autoSpaceDN w:val="0"/>
        <w:adjustRightInd w:val="0"/>
        <w:ind w:right="-1"/>
        <w:contextualSpacing/>
        <w:jc w:val="both"/>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Otpisi</w:t>
      </w:r>
    </w:p>
    <w:p w14:paraId="279467C6" w14:textId="77777777" w:rsidR="00654D7B" w:rsidRPr="003D1614" w:rsidRDefault="00654D7B" w:rsidP="00654D7B">
      <w:pPr>
        <w:suppressAutoHyphens/>
        <w:autoSpaceDE w:val="0"/>
        <w:autoSpaceDN w:val="0"/>
        <w:ind w:right="-1"/>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Otpis se provodi sukladno Metodologiji otpisa potraživanja.</w:t>
      </w:r>
    </w:p>
    <w:p w14:paraId="035DEC0D" w14:textId="77777777" w:rsidR="00654D7B" w:rsidRPr="003D1614" w:rsidRDefault="00654D7B" w:rsidP="00654D7B">
      <w:pPr>
        <w:suppressAutoHyphens/>
        <w:autoSpaceDE w:val="0"/>
        <w:autoSpaceDN w:val="0"/>
        <w:ind w:right="-1"/>
        <w:rPr>
          <w:rFonts w:ascii="Arial" w:eastAsia="Times New Roman" w:hAnsi="Arial" w:cs="Arial"/>
          <w:color w:val="000000" w:themeColor="text1"/>
          <w:sz w:val="20"/>
          <w:szCs w:val="20"/>
          <w:lang w:eastAsia="hr-HR"/>
        </w:rPr>
      </w:pPr>
      <w:r w:rsidRPr="003D1614">
        <w:rPr>
          <w:rFonts w:ascii="Arial" w:eastAsia="Times New Roman" w:hAnsi="Arial" w:cs="Arial"/>
          <w:color w:val="000000" w:themeColor="text1"/>
          <w:sz w:val="20"/>
          <w:szCs w:val="20"/>
          <w:lang w:eastAsia="hr-HR"/>
        </w:rPr>
        <w:t>Kriteriji razmatranja otpisa potraživanja mogu se grupirati u 3 osnovne skupine:</w:t>
      </w:r>
    </w:p>
    <w:p w14:paraId="45356F63" w14:textId="77777777" w:rsidR="00654D7B" w:rsidRPr="003D1614" w:rsidRDefault="00654D7B" w:rsidP="00654D7B">
      <w:pPr>
        <w:suppressAutoHyphens/>
        <w:autoSpaceDE w:val="0"/>
        <w:autoSpaceDN w:val="0"/>
        <w:ind w:right="-1" w:firstLine="680"/>
        <w:rPr>
          <w:rFonts w:ascii="Arial" w:eastAsia="Times New Roman" w:hAnsi="Arial" w:cs="Arial"/>
          <w:color w:val="000000" w:themeColor="text1"/>
          <w:sz w:val="20"/>
          <w:szCs w:val="20"/>
          <w:lang w:eastAsia="hr-HR"/>
        </w:rPr>
      </w:pPr>
      <w:r w:rsidRPr="003D1614">
        <w:rPr>
          <w:rFonts w:ascii="Arial" w:eastAsia="Times New Roman" w:hAnsi="Arial" w:cs="Arial"/>
          <w:color w:val="000000" w:themeColor="text1"/>
          <w:sz w:val="20"/>
          <w:szCs w:val="20"/>
          <w:lang w:eastAsia="hr-HR"/>
        </w:rPr>
        <w:t>A. iscrpljenost svih raspoloživih oblika redovne i prisilne naplate;</w:t>
      </w:r>
    </w:p>
    <w:p w14:paraId="2DFEF970" w14:textId="77777777" w:rsidR="00654D7B" w:rsidRPr="003D1614" w:rsidRDefault="00654D7B" w:rsidP="00654D7B">
      <w:pPr>
        <w:suppressAutoHyphens/>
        <w:autoSpaceDE w:val="0"/>
        <w:autoSpaceDN w:val="0"/>
        <w:ind w:right="-1" w:firstLine="680"/>
        <w:rPr>
          <w:rFonts w:ascii="Arial" w:eastAsia="Times New Roman" w:hAnsi="Arial" w:cs="Arial"/>
          <w:color w:val="000000" w:themeColor="text1"/>
          <w:sz w:val="20"/>
          <w:szCs w:val="20"/>
          <w:lang w:eastAsia="hr-HR"/>
        </w:rPr>
      </w:pPr>
      <w:r w:rsidRPr="003D1614">
        <w:rPr>
          <w:rFonts w:ascii="Arial" w:eastAsia="Times New Roman" w:hAnsi="Arial" w:cs="Arial"/>
          <w:color w:val="000000" w:themeColor="text1"/>
          <w:sz w:val="20"/>
          <w:szCs w:val="20"/>
          <w:lang w:eastAsia="hr-HR"/>
        </w:rPr>
        <w:t>B. ostvarivanje nagodbe, prodaje potraživanja ili restrukturiranja plasmana;</w:t>
      </w:r>
    </w:p>
    <w:p w14:paraId="29B41AAD" w14:textId="77777777" w:rsidR="00654D7B" w:rsidRPr="003D1614" w:rsidRDefault="00654D7B" w:rsidP="00654D7B">
      <w:pPr>
        <w:suppressAutoHyphens/>
        <w:autoSpaceDN w:val="0"/>
        <w:ind w:right="-1" w:firstLine="680"/>
        <w:rPr>
          <w:rFonts w:ascii="Arial" w:eastAsia="Times New Roman" w:hAnsi="Arial" w:cs="Arial"/>
          <w:color w:val="000000" w:themeColor="text1"/>
          <w:sz w:val="20"/>
          <w:szCs w:val="20"/>
          <w:lang w:eastAsia="hr-HR"/>
        </w:rPr>
      </w:pPr>
      <w:r w:rsidRPr="003D1614">
        <w:rPr>
          <w:rFonts w:ascii="Arial" w:eastAsia="Times New Roman" w:hAnsi="Arial" w:cs="Arial"/>
          <w:color w:val="000000" w:themeColor="text1"/>
          <w:sz w:val="20"/>
          <w:szCs w:val="20"/>
          <w:lang w:eastAsia="hr-HR"/>
        </w:rPr>
        <w:t>C. teško socijalno i/ili zdravstveno stanje dužnika (i/ili sudužnika, jamca).</w:t>
      </w:r>
    </w:p>
    <w:p w14:paraId="7D702248" w14:textId="77777777" w:rsidR="00654D7B" w:rsidRPr="003D1614" w:rsidRDefault="00654D7B" w:rsidP="00654D7B">
      <w:pPr>
        <w:suppressAutoHyphens/>
        <w:autoSpaceDE w:val="0"/>
        <w:autoSpaceDN w:val="0"/>
        <w:adjustRightInd w:val="0"/>
        <w:ind w:right="426"/>
        <w:jc w:val="both"/>
        <w:rPr>
          <w:rFonts w:ascii="Arial" w:eastAsia="Times New Roman" w:hAnsi="Arial" w:cs="Arial"/>
          <w:color w:val="000000" w:themeColor="text1"/>
          <w:sz w:val="20"/>
          <w:szCs w:val="20"/>
        </w:rPr>
      </w:pPr>
    </w:p>
    <w:p w14:paraId="4158240B" w14:textId="77777777" w:rsidR="003311C4" w:rsidRPr="003D1614" w:rsidRDefault="003311C4" w:rsidP="003311C4">
      <w:pPr>
        <w:suppressAutoHyphens/>
        <w:autoSpaceDN w:val="0"/>
        <w:jc w:val="both"/>
        <w:rPr>
          <w:rFonts w:ascii="Arial" w:eastAsia="Times New Roman" w:hAnsi="Arial" w:cs="Arial"/>
          <w:color w:val="000000" w:themeColor="text1"/>
          <w:sz w:val="20"/>
          <w:szCs w:val="20"/>
        </w:rPr>
        <w:sectPr w:rsidR="003311C4" w:rsidRPr="003D1614">
          <w:pgSz w:w="11906" w:h="16838"/>
          <w:pgMar w:top="1417" w:right="1417" w:bottom="1417" w:left="1417" w:header="708" w:footer="708" w:gutter="0"/>
          <w:cols w:space="708"/>
          <w:docGrid w:linePitch="360"/>
        </w:sectPr>
      </w:pPr>
    </w:p>
    <w:p w14:paraId="2C9D6EDE" w14:textId="77777777" w:rsidR="00A13103" w:rsidRPr="003D1614" w:rsidRDefault="00A13103" w:rsidP="00A13103">
      <w:pPr>
        <w:keepNext/>
        <w:suppressAutoHyphens/>
        <w:autoSpaceDN w:val="0"/>
        <w:jc w:val="both"/>
        <w:outlineLvl w:val="0"/>
        <w:rPr>
          <w:rFonts w:ascii="Arial" w:eastAsia="Times New Roman" w:hAnsi="Arial" w:cs="Arial"/>
          <w:b/>
          <w:bCs/>
          <w:color w:val="000000" w:themeColor="text1"/>
          <w:sz w:val="20"/>
          <w:szCs w:val="20"/>
        </w:rPr>
      </w:pPr>
    </w:p>
    <w:p w14:paraId="2EB317B6" w14:textId="4281A27D" w:rsidR="00A13103" w:rsidRPr="003D1614" w:rsidRDefault="00A13103" w:rsidP="00A13103">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27A16B86" w14:textId="77777777" w:rsidR="00A13103" w:rsidRPr="003D1614" w:rsidRDefault="00A13103" w:rsidP="00A13103">
      <w:pPr>
        <w:keepNext/>
        <w:suppressAutoHyphens/>
        <w:autoSpaceDN w:val="0"/>
        <w:jc w:val="both"/>
        <w:outlineLvl w:val="0"/>
        <w:rPr>
          <w:rFonts w:ascii="Arial" w:eastAsia="Times New Roman" w:hAnsi="Arial" w:cs="Arial"/>
          <w:b/>
          <w:bCs/>
          <w:color w:val="000000" w:themeColor="text1"/>
          <w:sz w:val="20"/>
          <w:szCs w:val="20"/>
        </w:rPr>
      </w:pPr>
    </w:p>
    <w:p w14:paraId="76A6B550" w14:textId="6F3DE55C" w:rsidR="00A13103" w:rsidRPr="003D1614" w:rsidRDefault="00A13103" w:rsidP="00A13103">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.3. </w:t>
      </w:r>
      <w:r w:rsidRPr="003D1614">
        <w:rPr>
          <w:rFonts w:ascii="Arial" w:eastAsia="Times New Roman" w:hAnsi="Arial" w:cs="Arial"/>
          <w:b/>
          <w:bCs/>
          <w:color w:val="000000" w:themeColor="text1"/>
          <w:sz w:val="20"/>
          <w:szCs w:val="20"/>
        </w:rPr>
        <w:tab/>
        <w:t>Kreditni rizik (nastavak)</w:t>
      </w:r>
    </w:p>
    <w:p w14:paraId="7486C2C2" w14:textId="77777777" w:rsidR="00A13103" w:rsidRPr="003D1614" w:rsidRDefault="00A13103" w:rsidP="00A13103">
      <w:pPr>
        <w:keepNext/>
        <w:suppressAutoHyphens/>
        <w:autoSpaceDN w:val="0"/>
        <w:jc w:val="both"/>
        <w:outlineLvl w:val="0"/>
        <w:rPr>
          <w:rFonts w:ascii="Arial" w:eastAsia="Times New Roman" w:hAnsi="Arial" w:cs="Arial"/>
          <w:b/>
          <w:bCs/>
          <w:color w:val="000000" w:themeColor="text1"/>
          <w:sz w:val="20"/>
          <w:szCs w:val="20"/>
        </w:rPr>
      </w:pPr>
    </w:p>
    <w:p w14:paraId="70EA80B0" w14:textId="77777777" w:rsidR="00A13103" w:rsidRPr="003D1614" w:rsidRDefault="00A13103" w:rsidP="00A13103">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Koncentracija rizika i maksimalna izloženost kreditnom riziku</w:t>
      </w:r>
    </w:p>
    <w:p w14:paraId="6F57D5A6" w14:textId="77777777" w:rsidR="00A13103" w:rsidRPr="003D1614" w:rsidRDefault="00A13103" w:rsidP="00A13103">
      <w:pPr>
        <w:suppressAutoHyphens/>
        <w:autoSpaceDN w:val="0"/>
        <w:jc w:val="both"/>
        <w:rPr>
          <w:rFonts w:ascii="Arial" w:eastAsia="Times New Roman" w:hAnsi="Arial" w:cs="Arial"/>
          <w:color w:val="000000" w:themeColor="text1"/>
          <w:sz w:val="20"/>
          <w:szCs w:val="20"/>
        </w:rPr>
      </w:pPr>
    </w:p>
    <w:p w14:paraId="17AC28EF" w14:textId="77777777" w:rsidR="00A13103" w:rsidRPr="003D1614" w:rsidRDefault="00A13103" w:rsidP="00A13103">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Tabela u nastavku prikazuje neto najveću izloženost kreditnom riziku prema pozicijama izvještaja o financijskom položaju i garancija i preuzetih obveza na dan izvještavanja, bez umanjenja za vrijednost sredstava osiguranja naplate:</w:t>
      </w:r>
    </w:p>
    <w:p w14:paraId="42AB1464" w14:textId="77777777" w:rsidR="00A13103" w:rsidRPr="003D1614" w:rsidRDefault="00A13103" w:rsidP="00A13103">
      <w:pPr>
        <w:suppressAutoHyphens/>
        <w:autoSpaceDN w:val="0"/>
        <w:jc w:val="both"/>
        <w:rPr>
          <w:rFonts w:ascii="Arial" w:eastAsia="Times New Roman" w:hAnsi="Arial" w:cs="Arial"/>
          <w:color w:val="000000" w:themeColor="text1"/>
          <w:sz w:val="20"/>
          <w:szCs w:val="20"/>
        </w:rPr>
      </w:pPr>
    </w:p>
    <w:p w14:paraId="383A29AE" w14:textId="77777777" w:rsidR="00A13103" w:rsidRPr="003D1614" w:rsidRDefault="00A13103" w:rsidP="00A13103">
      <w:pPr>
        <w:suppressAutoHyphens/>
        <w:autoSpaceDN w:val="0"/>
        <w:jc w:val="both"/>
        <w:rPr>
          <w:rFonts w:ascii="Arial" w:eastAsia="Times New Roman" w:hAnsi="Arial" w:cs="Arial"/>
          <w:color w:val="000000" w:themeColor="text1"/>
          <w:sz w:val="20"/>
          <w:szCs w:val="20"/>
        </w:rPr>
      </w:pPr>
    </w:p>
    <w:tbl>
      <w:tblPr>
        <w:tblW w:w="4944" w:type="pct"/>
        <w:tblLayout w:type="fixed"/>
        <w:tblCellMar>
          <w:left w:w="0" w:type="dxa"/>
          <w:right w:w="57" w:type="dxa"/>
        </w:tblCellMar>
        <w:tblLook w:val="0000" w:firstRow="0" w:lastRow="0" w:firstColumn="0" w:lastColumn="0" w:noHBand="0" w:noVBand="0"/>
      </w:tblPr>
      <w:tblGrid>
        <w:gridCol w:w="3714"/>
        <w:gridCol w:w="1313"/>
        <w:gridCol w:w="1315"/>
        <w:gridCol w:w="1313"/>
        <w:gridCol w:w="1315"/>
      </w:tblGrid>
      <w:tr w:rsidR="00A13103" w:rsidRPr="003D1614" w14:paraId="27391E30" w14:textId="77777777" w:rsidTr="007478FB">
        <w:trPr>
          <w:trHeight w:val="235"/>
        </w:trPr>
        <w:tc>
          <w:tcPr>
            <w:tcW w:w="2070" w:type="pct"/>
            <w:vAlign w:val="bottom"/>
          </w:tcPr>
          <w:p w14:paraId="2A5DBA86" w14:textId="77777777" w:rsidR="00A13103" w:rsidRPr="003D1614" w:rsidRDefault="00A13103" w:rsidP="00A13103">
            <w:pPr>
              <w:suppressAutoHyphens/>
              <w:autoSpaceDN w:val="0"/>
              <w:spacing w:line="360" w:lineRule="auto"/>
              <w:jc w:val="both"/>
              <w:rPr>
                <w:rFonts w:ascii="Arial" w:eastAsia="Times New Roman" w:hAnsi="Arial" w:cs="Arial"/>
                <w:bCs/>
                <w:color w:val="000000" w:themeColor="text1"/>
                <w:sz w:val="18"/>
                <w:szCs w:val="18"/>
              </w:rPr>
            </w:pPr>
          </w:p>
        </w:tc>
        <w:tc>
          <w:tcPr>
            <w:tcW w:w="1465" w:type="pct"/>
            <w:gridSpan w:val="2"/>
            <w:vAlign w:val="bottom"/>
          </w:tcPr>
          <w:p w14:paraId="68C97700" w14:textId="77777777" w:rsidR="00A13103" w:rsidRPr="003D1614" w:rsidRDefault="00A13103" w:rsidP="00A13103">
            <w:pPr>
              <w:suppressAutoHyphens/>
              <w:autoSpaceDN w:val="0"/>
              <w:spacing w:line="360" w:lineRule="auto"/>
              <w:jc w:val="right"/>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Grupa</w:t>
            </w:r>
          </w:p>
        </w:tc>
        <w:tc>
          <w:tcPr>
            <w:tcW w:w="1465" w:type="pct"/>
            <w:gridSpan w:val="2"/>
            <w:vAlign w:val="bottom"/>
          </w:tcPr>
          <w:p w14:paraId="13E7306A" w14:textId="77777777" w:rsidR="00A13103" w:rsidRPr="003D1614" w:rsidRDefault="00A13103" w:rsidP="00A13103">
            <w:pPr>
              <w:suppressAutoHyphens/>
              <w:autoSpaceDN w:val="0"/>
              <w:spacing w:line="360" w:lineRule="auto"/>
              <w:jc w:val="right"/>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Banka</w:t>
            </w:r>
          </w:p>
        </w:tc>
      </w:tr>
      <w:tr w:rsidR="00A13103" w:rsidRPr="003D1614" w14:paraId="3B1E402E" w14:textId="77777777" w:rsidTr="007478FB">
        <w:trPr>
          <w:trHeight w:val="764"/>
        </w:trPr>
        <w:tc>
          <w:tcPr>
            <w:tcW w:w="2070" w:type="pct"/>
            <w:vAlign w:val="bottom"/>
          </w:tcPr>
          <w:p w14:paraId="5547DC72" w14:textId="77777777" w:rsidR="00A13103" w:rsidRPr="003D1614" w:rsidRDefault="00A13103" w:rsidP="00A13103">
            <w:pPr>
              <w:suppressAutoHyphens/>
              <w:autoSpaceDN w:val="0"/>
              <w:rPr>
                <w:rFonts w:ascii="Arial" w:eastAsia="Times New Roman" w:hAnsi="Arial" w:cs="Arial"/>
                <w:color w:val="000000" w:themeColor="text1"/>
                <w:sz w:val="18"/>
                <w:szCs w:val="18"/>
              </w:rPr>
            </w:pPr>
            <w:r w:rsidRPr="003D1614">
              <w:rPr>
                <w:rFonts w:ascii="Arial" w:eastAsia="Times New Roman" w:hAnsi="Arial" w:cs="Arial"/>
                <w:b/>
                <w:bCs/>
                <w:color w:val="000000" w:themeColor="text1"/>
                <w:sz w:val="18"/>
                <w:szCs w:val="18"/>
              </w:rPr>
              <w:br w:type="page"/>
            </w:r>
          </w:p>
        </w:tc>
        <w:tc>
          <w:tcPr>
            <w:tcW w:w="732" w:type="pct"/>
            <w:vAlign w:val="bottom"/>
          </w:tcPr>
          <w:p w14:paraId="40E0E66B" w14:textId="77777777" w:rsidR="00A13103" w:rsidRPr="003D1614" w:rsidRDefault="00A13103" w:rsidP="00A13103">
            <w:pPr>
              <w:suppressAutoHyphens/>
              <w:autoSpaceDN w:val="0"/>
              <w:jc w:val="right"/>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Neto najveća izloženost</w:t>
            </w:r>
          </w:p>
          <w:p w14:paraId="16EEC759" w14:textId="77777777" w:rsidR="00184EBE" w:rsidRDefault="00184EBE" w:rsidP="00A13103">
            <w:pPr>
              <w:suppressAutoHyphens/>
              <w:autoSpaceDN w:val="0"/>
              <w:jc w:val="right"/>
              <w:rPr>
                <w:rFonts w:ascii="Arial" w:eastAsia="Times New Roman" w:hAnsi="Arial" w:cs="Arial"/>
                <w:b/>
                <w:color w:val="000000" w:themeColor="text1"/>
                <w:sz w:val="18"/>
                <w:szCs w:val="18"/>
              </w:rPr>
            </w:pPr>
            <w:r w:rsidRPr="00184EBE">
              <w:rPr>
                <w:rFonts w:ascii="Arial" w:eastAsia="Times New Roman" w:hAnsi="Arial" w:cs="Arial"/>
                <w:b/>
                <w:color w:val="000000" w:themeColor="text1"/>
                <w:sz w:val="18"/>
                <w:szCs w:val="18"/>
              </w:rPr>
              <w:t xml:space="preserve">30. rujna </w:t>
            </w:r>
          </w:p>
          <w:p w14:paraId="0EF46B05" w14:textId="15B0A847" w:rsidR="00A13103" w:rsidRPr="003D1614" w:rsidRDefault="00184EBE" w:rsidP="00A13103">
            <w:pPr>
              <w:suppressAutoHyphens/>
              <w:autoSpaceDN w:val="0"/>
              <w:jc w:val="right"/>
              <w:rPr>
                <w:rFonts w:ascii="Arial" w:eastAsia="Times New Roman" w:hAnsi="Arial" w:cs="Arial"/>
                <w:b/>
                <w:color w:val="000000" w:themeColor="text1"/>
                <w:sz w:val="18"/>
                <w:szCs w:val="18"/>
              </w:rPr>
            </w:pPr>
            <w:r w:rsidRPr="00184EBE">
              <w:rPr>
                <w:rFonts w:ascii="Arial" w:eastAsia="Times New Roman" w:hAnsi="Arial" w:cs="Arial"/>
                <w:b/>
                <w:color w:val="000000" w:themeColor="text1"/>
                <w:sz w:val="18"/>
                <w:szCs w:val="18"/>
              </w:rPr>
              <w:t>202</w:t>
            </w:r>
            <w:r w:rsidR="00010E89">
              <w:rPr>
                <w:rFonts w:ascii="Arial" w:eastAsia="Times New Roman" w:hAnsi="Arial" w:cs="Arial"/>
                <w:b/>
                <w:color w:val="000000" w:themeColor="text1"/>
                <w:sz w:val="18"/>
                <w:szCs w:val="18"/>
              </w:rPr>
              <w:t>4</w:t>
            </w:r>
            <w:r w:rsidRPr="00184EBE">
              <w:rPr>
                <w:rFonts w:ascii="Arial" w:eastAsia="Times New Roman" w:hAnsi="Arial" w:cs="Arial"/>
                <w:b/>
                <w:color w:val="000000" w:themeColor="text1"/>
                <w:sz w:val="18"/>
                <w:szCs w:val="18"/>
              </w:rPr>
              <w:t>.</w:t>
            </w:r>
          </w:p>
        </w:tc>
        <w:tc>
          <w:tcPr>
            <w:tcW w:w="733" w:type="pct"/>
            <w:vAlign w:val="bottom"/>
          </w:tcPr>
          <w:p w14:paraId="51BA519E" w14:textId="77777777" w:rsidR="00A13103" w:rsidRPr="003D1614" w:rsidRDefault="00A13103" w:rsidP="00A13103">
            <w:pPr>
              <w:suppressAutoHyphens/>
              <w:autoSpaceDN w:val="0"/>
              <w:jc w:val="right"/>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Neto najveća izloženost</w:t>
            </w:r>
          </w:p>
          <w:p w14:paraId="73D9FA14" w14:textId="36D2B93F" w:rsidR="00A13103" w:rsidRPr="003D1614" w:rsidRDefault="00A13103" w:rsidP="00A13103">
            <w:pPr>
              <w:suppressAutoHyphens/>
              <w:autoSpaceDN w:val="0"/>
              <w:jc w:val="right"/>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31. prosinca 202</w:t>
            </w:r>
            <w:r w:rsidR="00010E89">
              <w:rPr>
                <w:rFonts w:ascii="Arial" w:eastAsia="Times New Roman" w:hAnsi="Arial" w:cs="Arial"/>
                <w:b/>
                <w:color w:val="000000" w:themeColor="text1"/>
                <w:sz w:val="18"/>
                <w:szCs w:val="18"/>
              </w:rPr>
              <w:t>3</w:t>
            </w:r>
            <w:r w:rsidRPr="003D1614">
              <w:rPr>
                <w:rFonts w:ascii="Arial" w:eastAsia="Times New Roman" w:hAnsi="Arial" w:cs="Arial"/>
                <w:b/>
                <w:color w:val="000000" w:themeColor="text1"/>
                <w:sz w:val="18"/>
                <w:szCs w:val="18"/>
              </w:rPr>
              <w:t>.</w:t>
            </w:r>
          </w:p>
        </w:tc>
        <w:tc>
          <w:tcPr>
            <w:tcW w:w="732" w:type="pct"/>
            <w:vAlign w:val="bottom"/>
          </w:tcPr>
          <w:p w14:paraId="0C5BCFC0" w14:textId="77777777" w:rsidR="00A13103" w:rsidRPr="003D1614" w:rsidRDefault="00A13103" w:rsidP="00A13103">
            <w:pPr>
              <w:suppressAutoHyphens/>
              <w:autoSpaceDN w:val="0"/>
              <w:jc w:val="right"/>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Neto najveća izloženost</w:t>
            </w:r>
          </w:p>
          <w:p w14:paraId="5BC47A9E" w14:textId="77777777" w:rsidR="00184EBE" w:rsidRPr="00184EBE" w:rsidRDefault="00184EBE" w:rsidP="00184EBE">
            <w:pPr>
              <w:suppressAutoHyphens/>
              <w:autoSpaceDN w:val="0"/>
              <w:jc w:val="right"/>
              <w:rPr>
                <w:rFonts w:ascii="Arial" w:eastAsia="Times New Roman" w:hAnsi="Arial" w:cs="Arial"/>
                <w:b/>
                <w:color w:val="000000" w:themeColor="text1"/>
                <w:sz w:val="18"/>
                <w:szCs w:val="18"/>
              </w:rPr>
            </w:pPr>
            <w:r w:rsidRPr="00184EBE">
              <w:rPr>
                <w:rFonts w:ascii="Arial" w:eastAsia="Times New Roman" w:hAnsi="Arial" w:cs="Arial"/>
                <w:b/>
                <w:color w:val="000000" w:themeColor="text1"/>
                <w:sz w:val="18"/>
                <w:szCs w:val="18"/>
              </w:rPr>
              <w:t xml:space="preserve">30. rujna </w:t>
            </w:r>
          </w:p>
          <w:p w14:paraId="393D9D3E" w14:textId="6420CCF1" w:rsidR="00A13103" w:rsidRPr="003D1614" w:rsidRDefault="00184EBE" w:rsidP="00184EBE">
            <w:pPr>
              <w:suppressAutoHyphens/>
              <w:autoSpaceDN w:val="0"/>
              <w:jc w:val="right"/>
              <w:rPr>
                <w:rFonts w:ascii="Arial" w:eastAsia="Times New Roman" w:hAnsi="Arial" w:cs="Arial"/>
                <w:b/>
                <w:color w:val="000000" w:themeColor="text1"/>
                <w:sz w:val="18"/>
                <w:szCs w:val="18"/>
              </w:rPr>
            </w:pPr>
            <w:r w:rsidRPr="00184EBE">
              <w:rPr>
                <w:rFonts w:ascii="Arial" w:eastAsia="Times New Roman" w:hAnsi="Arial" w:cs="Arial"/>
                <w:b/>
                <w:color w:val="000000" w:themeColor="text1"/>
                <w:sz w:val="18"/>
                <w:szCs w:val="18"/>
              </w:rPr>
              <w:t>202</w:t>
            </w:r>
            <w:r w:rsidR="00010E89">
              <w:rPr>
                <w:rFonts w:ascii="Arial" w:eastAsia="Times New Roman" w:hAnsi="Arial" w:cs="Arial"/>
                <w:b/>
                <w:color w:val="000000" w:themeColor="text1"/>
                <w:sz w:val="18"/>
                <w:szCs w:val="18"/>
              </w:rPr>
              <w:t>4</w:t>
            </w:r>
            <w:r w:rsidRPr="00184EBE">
              <w:rPr>
                <w:rFonts w:ascii="Arial" w:eastAsia="Times New Roman" w:hAnsi="Arial" w:cs="Arial"/>
                <w:b/>
                <w:color w:val="000000" w:themeColor="text1"/>
                <w:sz w:val="18"/>
                <w:szCs w:val="18"/>
              </w:rPr>
              <w:t>.</w:t>
            </w:r>
          </w:p>
        </w:tc>
        <w:tc>
          <w:tcPr>
            <w:tcW w:w="733" w:type="pct"/>
            <w:vAlign w:val="bottom"/>
          </w:tcPr>
          <w:p w14:paraId="0BC6189C" w14:textId="77777777" w:rsidR="00A13103" w:rsidRPr="003D1614" w:rsidRDefault="00A13103" w:rsidP="00A13103">
            <w:pPr>
              <w:suppressAutoHyphens/>
              <w:autoSpaceDN w:val="0"/>
              <w:jc w:val="right"/>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Neto najveća izloženost</w:t>
            </w:r>
          </w:p>
          <w:p w14:paraId="49AADE48" w14:textId="4BD43381" w:rsidR="00A13103" w:rsidRPr="003D1614" w:rsidRDefault="00A13103" w:rsidP="00A13103">
            <w:pPr>
              <w:suppressAutoHyphens/>
              <w:autoSpaceDN w:val="0"/>
              <w:jc w:val="right"/>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31. prosinca 202</w:t>
            </w:r>
            <w:r w:rsidR="00010E89">
              <w:rPr>
                <w:rFonts w:ascii="Arial" w:eastAsia="Times New Roman" w:hAnsi="Arial" w:cs="Arial"/>
                <w:b/>
                <w:color w:val="000000" w:themeColor="text1"/>
                <w:sz w:val="18"/>
                <w:szCs w:val="18"/>
              </w:rPr>
              <w:t>3</w:t>
            </w:r>
            <w:r w:rsidRPr="003D1614">
              <w:rPr>
                <w:rFonts w:ascii="Arial" w:eastAsia="Times New Roman" w:hAnsi="Arial" w:cs="Arial"/>
                <w:b/>
                <w:color w:val="000000" w:themeColor="text1"/>
                <w:sz w:val="18"/>
                <w:szCs w:val="18"/>
              </w:rPr>
              <w:t>.</w:t>
            </w:r>
          </w:p>
        </w:tc>
      </w:tr>
      <w:tr w:rsidR="00A13103" w:rsidRPr="003D1614" w14:paraId="37C41DEA" w14:textId="77777777" w:rsidTr="007478FB">
        <w:tc>
          <w:tcPr>
            <w:tcW w:w="2070" w:type="pct"/>
            <w:vAlign w:val="bottom"/>
          </w:tcPr>
          <w:p w14:paraId="1290FE41" w14:textId="77777777" w:rsidR="00A13103" w:rsidRPr="003D1614" w:rsidRDefault="00A13103" w:rsidP="00A13103">
            <w:pPr>
              <w:suppressAutoHyphens/>
              <w:autoSpaceDN w:val="0"/>
              <w:rPr>
                <w:rFonts w:ascii="Arial" w:eastAsia="Times New Roman" w:hAnsi="Arial" w:cs="Arial"/>
                <w:color w:val="000000" w:themeColor="text1"/>
                <w:sz w:val="18"/>
                <w:szCs w:val="18"/>
              </w:rPr>
            </w:pPr>
          </w:p>
        </w:tc>
        <w:tc>
          <w:tcPr>
            <w:tcW w:w="732" w:type="pct"/>
            <w:vAlign w:val="bottom"/>
          </w:tcPr>
          <w:p w14:paraId="5F76B969" w14:textId="160C7E40" w:rsidR="00A13103" w:rsidRPr="003D1614" w:rsidRDefault="00A13103" w:rsidP="00A13103">
            <w:pPr>
              <w:suppressAutoHyphens/>
              <w:autoSpaceDN w:val="0"/>
              <w:jc w:val="right"/>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000 eura</w:t>
            </w:r>
          </w:p>
        </w:tc>
        <w:tc>
          <w:tcPr>
            <w:tcW w:w="733" w:type="pct"/>
            <w:vAlign w:val="bottom"/>
          </w:tcPr>
          <w:p w14:paraId="68B3DB04" w14:textId="4AF8CDEA" w:rsidR="00A13103" w:rsidRPr="003D1614" w:rsidRDefault="00A13103" w:rsidP="00A13103">
            <w:pPr>
              <w:suppressAutoHyphens/>
              <w:autoSpaceDN w:val="0"/>
              <w:jc w:val="right"/>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000 eura</w:t>
            </w:r>
          </w:p>
        </w:tc>
        <w:tc>
          <w:tcPr>
            <w:tcW w:w="732" w:type="pct"/>
            <w:vAlign w:val="bottom"/>
          </w:tcPr>
          <w:p w14:paraId="56E61B8B" w14:textId="1AFA2B5D" w:rsidR="00A13103" w:rsidRPr="003D1614" w:rsidRDefault="00A13103" w:rsidP="00A13103">
            <w:pPr>
              <w:suppressAutoHyphens/>
              <w:autoSpaceDN w:val="0"/>
              <w:jc w:val="right"/>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000 eura</w:t>
            </w:r>
          </w:p>
        </w:tc>
        <w:tc>
          <w:tcPr>
            <w:tcW w:w="733" w:type="pct"/>
            <w:vAlign w:val="bottom"/>
          </w:tcPr>
          <w:p w14:paraId="54BB7D56" w14:textId="60BE6C5E" w:rsidR="00A13103" w:rsidRPr="003D1614" w:rsidRDefault="00A13103" w:rsidP="00A13103">
            <w:pPr>
              <w:suppressAutoHyphens/>
              <w:autoSpaceDN w:val="0"/>
              <w:jc w:val="right"/>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000 eura</w:t>
            </w:r>
          </w:p>
        </w:tc>
      </w:tr>
      <w:tr w:rsidR="00A13103" w:rsidRPr="003D1614" w14:paraId="19FEFF77" w14:textId="77777777" w:rsidTr="007478FB">
        <w:tc>
          <w:tcPr>
            <w:tcW w:w="2070" w:type="pct"/>
            <w:vAlign w:val="bottom"/>
          </w:tcPr>
          <w:p w14:paraId="79BC7365" w14:textId="77777777" w:rsidR="00A13103" w:rsidRPr="003D1614" w:rsidRDefault="00A13103" w:rsidP="00A13103">
            <w:pPr>
              <w:tabs>
                <w:tab w:val="right" w:pos="1202"/>
              </w:tabs>
              <w:suppressAutoHyphens/>
              <w:autoSpaceDN w:val="0"/>
              <w:spacing w:line="301" w:lineRule="exact"/>
              <w:outlineLvl w:val="0"/>
              <w:rPr>
                <w:rFonts w:ascii="Arial" w:eastAsia="Times New Roman" w:hAnsi="Arial" w:cs="Arial"/>
                <w:b/>
                <w:bCs/>
                <w:color w:val="000000" w:themeColor="text1"/>
                <w:sz w:val="18"/>
                <w:szCs w:val="18"/>
              </w:rPr>
            </w:pPr>
            <w:bookmarkStart w:id="589" w:name="_Toc67329182"/>
            <w:r w:rsidRPr="003D1614">
              <w:rPr>
                <w:rFonts w:ascii="Arial" w:eastAsia="Times New Roman" w:hAnsi="Arial" w:cs="Arial"/>
                <w:b/>
                <w:bCs/>
                <w:color w:val="000000" w:themeColor="text1"/>
                <w:sz w:val="18"/>
                <w:szCs w:val="18"/>
              </w:rPr>
              <w:t>Imovina</w:t>
            </w:r>
            <w:bookmarkEnd w:id="589"/>
          </w:p>
        </w:tc>
        <w:tc>
          <w:tcPr>
            <w:tcW w:w="732" w:type="pct"/>
            <w:vAlign w:val="bottom"/>
          </w:tcPr>
          <w:p w14:paraId="4DA3DE48" w14:textId="77777777" w:rsidR="00A13103" w:rsidRPr="003D1614" w:rsidRDefault="00A13103" w:rsidP="00A13103">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p>
        </w:tc>
        <w:tc>
          <w:tcPr>
            <w:tcW w:w="733" w:type="pct"/>
            <w:vAlign w:val="bottom"/>
          </w:tcPr>
          <w:p w14:paraId="22933BE9" w14:textId="77777777" w:rsidR="00A13103" w:rsidRPr="003D1614" w:rsidRDefault="00A13103" w:rsidP="00A13103">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p>
        </w:tc>
        <w:tc>
          <w:tcPr>
            <w:tcW w:w="732" w:type="pct"/>
            <w:vAlign w:val="bottom"/>
          </w:tcPr>
          <w:p w14:paraId="056E25A0" w14:textId="77777777" w:rsidR="00A13103" w:rsidRPr="003D1614" w:rsidRDefault="00A13103" w:rsidP="00A13103">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p>
        </w:tc>
        <w:tc>
          <w:tcPr>
            <w:tcW w:w="733" w:type="pct"/>
            <w:vAlign w:val="bottom"/>
          </w:tcPr>
          <w:p w14:paraId="6DA625A4" w14:textId="77777777" w:rsidR="00A13103" w:rsidRPr="003D1614" w:rsidRDefault="00A13103" w:rsidP="00A13103">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p>
        </w:tc>
      </w:tr>
      <w:tr w:rsidR="00C2076C" w:rsidRPr="003D1614" w14:paraId="22C3B4D0" w14:textId="77777777" w:rsidTr="008A288C">
        <w:tc>
          <w:tcPr>
            <w:tcW w:w="2070" w:type="pct"/>
            <w:vAlign w:val="bottom"/>
          </w:tcPr>
          <w:p w14:paraId="669B2782" w14:textId="77777777" w:rsidR="00C2076C" w:rsidRPr="003D1614" w:rsidRDefault="00C2076C" w:rsidP="00C2076C">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590" w:name="_Toc67329183"/>
            <w:r w:rsidRPr="003D1614">
              <w:rPr>
                <w:rFonts w:ascii="Arial" w:eastAsia="Times New Roman" w:hAnsi="Arial" w:cs="Arial"/>
                <w:color w:val="000000" w:themeColor="text1"/>
                <w:sz w:val="18"/>
                <w:szCs w:val="18"/>
              </w:rPr>
              <w:t>Novčana sredstva i računi kod banaka</w:t>
            </w:r>
            <w:bookmarkEnd w:id="590"/>
          </w:p>
        </w:tc>
        <w:tc>
          <w:tcPr>
            <w:tcW w:w="732" w:type="pct"/>
            <w:tcBorders>
              <w:top w:val="nil"/>
              <w:left w:val="nil"/>
              <w:bottom w:val="nil"/>
              <w:right w:val="nil"/>
            </w:tcBorders>
            <w:shd w:val="clear" w:color="auto" w:fill="auto"/>
            <w:vAlign w:val="bottom"/>
          </w:tcPr>
          <w:p w14:paraId="694797AA" w14:textId="55E53D7E" w:rsidR="00C2076C" w:rsidRPr="003D1614" w:rsidRDefault="00C2076C" w:rsidP="00C2076C">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34.250</w:t>
            </w:r>
          </w:p>
        </w:tc>
        <w:tc>
          <w:tcPr>
            <w:tcW w:w="733" w:type="pct"/>
            <w:shd w:val="clear" w:color="auto" w:fill="auto"/>
            <w:vAlign w:val="bottom"/>
          </w:tcPr>
          <w:p w14:paraId="7A92551B" w14:textId="3A109EE1" w:rsidR="00C2076C" w:rsidRPr="002A06D3" w:rsidRDefault="00C2076C" w:rsidP="00C2076C">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0276E6">
              <w:rPr>
                <w:rFonts w:ascii="Arial" w:hAnsi="Arial" w:cs="Arial"/>
                <w:sz w:val="18"/>
                <w:szCs w:val="18"/>
              </w:rPr>
              <w:t>42.133</w:t>
            </w:r>
          </w:p>
        </w:tc>
        <w:tc>
          <w:tcPr>
            <w:tcW w:w="732" w:type="pct"/>
            <w:tcBorders>
              <w:top w:val="nil"/>
              <w:left w:val="nil"/>
              <w:bottom w:val="nil"/>
              <w:right w:val="nil"/>
            </w:tcBorders>
            <w:shd w:val="clear" w:color="auto" w:fill="auto"/>
          </w:tcPr>
          <w:p w14:paraId="5AD7F2C7" w14:textId="5D12F84F" w:rsidR="00C2076C" w:rsidRPr="00617755" w:rsidRDefault="00C2076C" w:rsidP="00C2076C">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Pr>
                <w:rFonts w:ascii="Arial" w:eastAsia="Times New Roman" w:hAnsi="Arial" w:cs="Arial"/>
                <w:snapToGrid w:val="0"/>
                <w:color w:val="000000" w:themeColor="text1"/>
                <w:sz w:val="18"/>
                <w:szCs w:val="18"/>
              </w:rPr>
              <w:t>34.087</w:t>
            </w:r>
          </w:p>
        </w:tc>
        <w:tc>
          <w:tcPr>
            <w:tcW w:w="733" w:type="pct"/>
            <w:shd w:val="clear" w:color="auto" w:fill="auto"/>
            <w:vAlign w:val="bottom"/>
          </w:tcPr>
          <w:p w14:paraId="2989B3CE" w14:textId="4308577D" w:rsidR="00C2076C" w:rsidRPr="003D1614" w:rsidRDefault="00C2076C" w:rsidP="00C2076C">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FB65D9">
              <w:rPr>
                <w:rFonts w:ascii="Arial" w:hAnsi="Arial" w:cs="Arial"/>
                <w:color w:val="000000" w:themeColor="text1"/>
                <w:sz w:val="18"/>
                <w:szCs w:val="18"/>
              </w:rPr>
              <w:t xml:space="preserve"> 41.543 </w:t>
            </w:r>
          </w:p>
        </w:tc>
      </w:tr>
      <w:tr w:rsidR="00C2076C" w:rsidRPr="003D1614" w14:paraId="56CD79BE" w14:textId="77777777" w:rsidTr="008A288C">
        <w:tc>
          <w:tcPr>
            <w:tcW w:w="2070" w:type="pct"/>
            <w:vAlign w:val="bottom"/>
          </w:tcPr>
          <w:p w14:paraId="48FC5446" w14:textId="77777777" w:rsidR="00C2076C" w:rsidRPr="003D1614" w:rsidRDefault="00C2076C" w:rsidP="00C2076C">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591" w:name="_Toc67329188"/>
            <w:r w:rsidRPr="003D1614">
              <w:rPr>
                <w:rFonts w:ascii="Arial" w:eastAsia="Times New Roman" w:hAnsi="Arial" w:cs="Arial"/>
                <w:color w:val="000000" w:themeColor="text1"/>
                <w:sz w:val="18"/>
                <w:szCs w:val="18"/>
              </w:rPr>
              <w:t>Depoziti kod drugih banaka</w:t>
            </w:r>
            <w:bookmarkEnd w:id="591"/>
          </w:p>
        </w:tc>
        <w:tc>
          <w:tcPr>
            <w:tcW w:w="732" w:type="pct"/>
            <w:tcBorders>
              <w:top w:val="nil"/>
              <w:left w:val="nil"/>
              <w:bottom w:val="nil"/>
              <w:right w:val="nil"/>
            </w:tcBorders>
            <w:shd w:val="clear" w:color="auto" w:fill="auto"/>
            <w:vAlign w:val="bottom"/>
          </w:tcPr>
          <w:p w14:paraId="1339CA90" w14:textId="5674FD30" w:rsidR="00C2076C" w:rsidRPr="003D1614" w:rsidRDefault="00C2076C" w:rsidP="00C2076C">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124.473</w:t>
            </w:r>
          </w:p>
        </w:tc>
        <w:tc>
          <w:tcPr>
            <w:tcW w:w="733" w:type="pct"/>
            <w:shd w:val="clear" w:color="auto" w:fill="auto"/>
            <w:vAlign w:val="bottom"/>
          </w:tcPr>
          <w:p w14:paraId="2B1CB494" w14:textId="2AABF3FB" w:rsidR="00C2076C" w:rsidRPr="002A06D3" w:rsidRDefault="00C2076C" w:rsidP="00C2076C">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0276E6">
              <w:rPr>
                <w:rFonts w:ascii="Arial" w:hAnsi="Arial" w:cs="Arial"/>
                <w:sz w:val="18"/>
                <w:szCs w:val="18"/>
              </w:rPr>
              <w:t>71.761</w:t>
            </w:r>
          </w:p>
        </w:tc>
        <w:tc>
          <w:tcPr>
            <w:tcW w:w="732" w:type="pct"/>
            <w:tcBorders>
              <w:top w:val="nil"/>
              <w:left w:val="nil"/>
              <w:bottom w:val="nil"/>
              <w:right w:val="nil"/>
            </w:tcBorders>
            <w:shd w:val="clear" w:color="auto" w:fill="auto"/>
          </w:tcPr>
          <w:p w14:paraId="0748696F" w14:textId="3BCCC398" w:rsidR="00C2076C" w:rsidRPr="00617755" w:rsidRDefault="00C2076C" w:rsidP="00C2076C">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Pr>
                <w:rFonts w:ascii="Arial" w:eastAsia="Times New Roman" w:hAnsi="Arial" w:cs="Arial"/>
                <w:snapToGrid w:val="0"/>
                <w:color w:val="000000" w:themeColor="text1"/>
                <w:sz w:val="18"/>
                <w:szCs w:val="18"/>
              </w:rPr>
              <w:t>120.610</w:t>
            </w:r>
          </w:p>
        </w:tc>
        <w:tc>
          <w:tcPr>
            <w:tcW w:w="733" w:type="pct"/>
            <w:shd w:val="clear" w:color="auto" w:fill="auto"/>
            <w:vAlign w:val="bottom"/>
          </w:tcPr>
          <w:p w14:paraId="00018EBC" w14:textId="321123BD" w:rsidR="00C2076C" w:rsidRPr="003D1614" w:rsidRDefault="00C2076C" w:rsidP="00C2076C">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FB65D9">
              <w:rPr>
                <w:rFonts w:ascii="Arial" w:hAnsi="Arial" w:cs="Arial"/>
                <w:color w:val="000000" w:themeColor="text1"/>
                <w:sz w:val="18"/>
                <w:szCs w:val="18"/>
              </w:rPr>
              <w:t xml:space="preserve"> 69.456 </w:t>
            </w:r>
          </w:p>
        </w:tc>
      </w:tr>
      <w:tr w:rsidR="00C2076C" w:rsidRPr="003D1614" w14:paraId="52F9D408" w14:textId="77777777" w:rsidTr="008A288C">
        <w:tc>
          <w:tcPr>
            <w:tcW w:w="2070" w:type="pct"/>
            <w:vAlign w:val="bottom"/>
          </w:tcPr>
          <w:p w14:paraId="23C457C0" w14:textId="77777777" w:rsidR="00C2076C" w:rsidRPr="003D1614" w:rsidRDefault="00C2076C" w:rsidP="00C2076C">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592" w:name="_Toc67329193"/>
            <w:r w:rsidRPr="003D1614">
              <w:rPr>
                <w:rFonts w:ascii="Arial" w:eastAsia="Times New Roman" w:hAnsi="Arial" w:cs="Arial"/>
                <w:color w:val="000000" w:themeColor="text1"/>
                <w:sz w:val="18"/>
                <w:szCs w:val="18"/>
              </w:rPr>
              <w:t>Krediti financijskim institucijama</w:t>
            </w:r>
            <w:bookmarkEnd w:id="592"/>
          </w:p>
        </w:tc>
        <w:tc>
          <w:tcPr>
            <w:tcW w:w="732" w:type="pct"/>
            <w:tcBorders>
              <w:top w:val="nil"/>
              <w:left w:val="nil"/>
              <w:bottom w:val="nil"/>
              <w:right w:val="nil"/>
            </w:tcBorders>
            <w:shd w:val="clear" w:color="auto" w:fill="auto"/>
            <w:vAlign w:val="bottom"/>
          </w:tcPr>
          <w:p w14:paraId="3E672D67" w14:textId="61220249" w:rsidR="00C2076C" w:rsidRPr="003D1614" w:rsidRDefault="00C2076C" w:rsidP="00C2076C">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1.167.204</w:t>
            </w:r>
          </w:p>
        </w:tc>
        <w:tc>
          <w:tcPr>
            <w:tcW w:w="733" w:type="pct"/>
            <w:shd w:val="clear" w:color="auto" w:fill="auto"/>
            <w:vAlign w:val="bottom"/>
          </w:tcPr>
          <w:p w14:paraId="17459B4B" w14:textId="21BBC0A6" w:rsidR="00C2076C" w:rsidRPr="002A06D3" w:rsidRDefault="00C2076C" w:rsidP="00C2076C">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0276E6">
              <w:rPr>
                <w:rFonts w:ascii="Arial" w:hAnsi="Arial" w:cs="Arial"/>
                <w:sz w:val="18"/>
                <w:szCs w:val="18"/>
              </w:rPr>
              <w:t>1.248.881</w:t>
            </w:r>
          </w:p>
        </w:tc>
        <w:tc>
          <w:tcPr>
            <w:tcW w:w="732" w:type="pct"/>
            <w:tcBorders>
              <w:top w:val="nil"/>
              <w:left w:val="nil"/>
              <w:bottom w:val="nil"/>
              <w:right w:val="nil"/>
            </w:tcBorders>
            <w:shd w:val="clear" w:color="auto" w:fill="auto"/>
          </w:tcPr>
          <w:p w14:paraId="64633BAC" w14:textId="39787057" w:rsidR="00C2076C" w:rsidRPr="00617755" w:rsidRDefault="00C2076C" w:rsidP="00C2076C">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Pr>
                <w:rFonts w:ascii="Arial" w:eastAsia="Times New Roman" w:hAnsi="Arial" w:cs="Arial"/>
                <w:snapToGrid w:val="0"/>
                <w:color w:val="000000" w:themeColor="text1"/>
                <w:sz w:val="18"/>
                <w:szCs w:val="18"/>
              </w:rPr>
              <w:t>1.167.204</w:t>
            </w:r>
          </w:p>
        </w:tc>
        <w:tc>
          <w:tcPr>
            <w:tcW w:w="733" w:type="pct"/>
            <w:shd w:val="clear" w:color="auto" w:fill="auto"/>
            <w:vAlign w:val="bottom"/>
          </w:tcPr>
          <w:p w14:paraId="4DF534DD" w14:textId="5694CE85" w:rsidR="00C2076C" w:rsidRPr="003D1614" w:rsidRDefault="00C2076C" w:rsidP="00C2076C">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FB65D9">
              <w:rPr>
                <w:rFonts w:ascii="Arial" w:hAnsi="Arial" w:cs="Arial"/>
                <w:color w:val="000000" w:themeColor="text1"/>
                <w:sz w:val="18"/>
                <w:szCs w:val="18"/>
              </w:rPr>
              <w:t xml:space="preserve"> 1.248.881 </w:t>
            </w:r>
          </w:p>
        </w:tc>
      </w:tr>
      <w:tr w:rsidR="00C2076C" w:rsidRPr="003D1614" w14:paraId="38F276B1" w14:textId="77777777" w:rsidTr="008A288C">
        <w:tc>
          <w:tcPr>
            <w:tcW w:w="2070" w:type="pct"/>
            <w:vAlign w:val="bottom"/>
          </w:tcPr>
          <w:p w14:paraId="55481743" w14:textId="77777777" w:rsidR="00C2076C" w:rsidRPr="003D1614" w:rsidRDefault="00C2076C" w:rsidP="00C2076C">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593" w:name="_Toc67329198"/>
            <w:r w:rsidRPr="003D1614">
              <w:rPr>
                <w:rFonts w:ascii="Arial" w:eastAsia="Times New Roman" w:hAnsi="Arial" w:cs="Arial"/>
                <w:color w:val="000000" w:themeColor="text1"/>
                <w:sz w:val="18"/>
                <w:szCs w:val="18"/>
              </w:rPr>
              <w:t>Krediti ostalim korisnicima</w:t>
            </w:r>
            <w:bookmarkEnd w:id="593"/>
          </w:p>
        </w:tc>
        <w:tc>
          <w:tcPr>
            <w:tcW w:w="732" w:type="pct"/>
            <w:tcBorders>
              <w:top w:val="nil"/>
              <w:left w:val="nil"/>
              <w:bottom w:val="nil"/>
              <w:right w:val="nil"/>
            </w:tcBorders>
            <w:shd w:val="clear" w:color="auto" w:fill="auto"/>
            <w:vAlign w:val="bottom"/>
          </w:tcPr>
          <w:p w14:paraId="49B155CF" w14:textId="70BEA147" w:rsidR="00C2076C" w:rsidRPr="003D1614" w:rsidRDefault="00C2076C" w:rsidP="00C2076C">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2.361.477</w:t>
            </w:r>
          </w:p>
        </w:tc>
        <w:tc>
          <w:tcPr>
            <w:tcW w:w="733" w:type="pct"/>
            <w:shd w:val="clear" w:color="auto" w:fill="auto"/>
            <w:vAlign w:val="bottom"/>
          </w:tcPr>
          <w:p w14:paraId="3335B254" w14:textId="3ADA5953" w:rsidR="00C2076C" w:rsidRPr="002A06D3" w:rsidRDefault="00C2076C" w:rsidP="00C2076C">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0276E6">
              <w:rPr>
                <w:rFonts w:ascii="Arial" w:hAnsi="Arial" w:cs="Arial"/>
                <w:sz w:val="18"/>
                <w:szCs w:val="18"/>
              </w:rPr>
              <w:t>2.351.196</w:t>
            </w:r>
          </w:p>
        </w:tc>
        <w:tc>
          <w:tcPr>
            <w:tcW w:w="732" w:type="pct"/>
            <w:tcBorders>
              <w:top w:val="nil"/>
              <w:left w:val="nil"/>
              <w:bottom w:val="nil"/>
              <w:right w:val="nil"/>
            </w:tcBorders>
            <w:shd w:val="clear" w:color="auto" w:fill="auto"/>
          </w:tcPr>
          <w:p w14:paraId="2E0708F9" w14:textId="5C7A9671" w:rsidR="00C2076C" w:rsidRPr="00617755" w:rsidRDefault="00C2076C" w:rsidP="00C2076C">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Pr>
                <w:rFonts w:ascii="Arial" w:eastAsia="Times New Roman" w:hAnsi="Arial" w:cs="Arial"/>
                <w:snapToGrid w:val="0"/>
                <w:color w:val="000000" w:themeColor="text1"/>
                <w:sz w:val="18"/>
                <w:szCs w:val="18"/>
              </w:rPr>
              <w:t>2.361.477</w:t>
            </w:r>
          </w:p>
        </w:tc>
        <w:tc>
          <w:tcPr>
            <w:tcW w:w="733" w:type="pct"/>
            <w:shd w:val="clear" w:color="auto" w:fill="auto"/>
            <w:vAlign w:val="bottom"/>
          </w:tcPr>
          <w:p w14:paraId="5EF004BC" w14:textId="25C39B63" w:rsidR="00C2076C" w:rsidRPr="002A06D3" w:rsidRDefault="00C2076C" w:rsidP="00C2076C">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FB65D9">
              <w:rPr>
                <w:rFonts w:ascii="Arial" w:hAnsi="Arial" w:cs="Arial"/>
                <w:color w:val="000000" w:themeColor="text1"/>
                <w:sz w:val="18"/>
                <w:szCs w:val="18"/>
              </w:rPr>
              <w:t xml:space="preserve"> 2.351.196 </w:t>
            </w:r>
          </w:p>
        </w:tc>
      </w:tr>
      <w:tr w:rsidR="00C2076C" w:rsidRPr="003D1614" w14:paraId="7931DE8E" w14:textId="77777777" w:rsidTr="008A288C">
        <w:tc>
          <w:tcPr>
            <w:tcW w:w="2070" w:type="pct"/>
            <w:vAlign w:val="bottom"/>
          </w:tcPr>
          <w:p w14:paraId="48C02856" w14:textId="77777777" w:rsidR="00C2076C" w:rsidRPr="003D1614" w:rsidRDefault="00C2076C" w:rsidP="00C2076C">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594" w:name="_Toc67329203"/>
            <w:r w:rsidRPr="003D1614">
              <w:rPr>
                <w:rFonts w:ascii="Arial" w:eastAsia="Times New Roman" w:hAnsi="Arial" w:cs="Arial"/>
                <w:color w:val="000000" w:themeColor="text1"/>
                <w:sz w:val="18"/>
                <w:szCs w:val="18"/>
              </w:rPr>
              <w:t>Financijska imovina po fer vrijednosti kroz dobit ili gubitak</w:t>
            </w:r>
            <w:bookmarkEnd w:id="594"/>
            <w:r w:rsidRPr="003D1614">
              <w:rPr>
                <w:rFonts w:ascii="Arial" w:eastAsia="Times New Roman" w:hAnsi="Arial" w:cs="Arial"/>
                <w:color w:val="000000" w:themeColor="text1"/>
                <w:sz w:val="18"/>
                <w:szCs w:val="18"/>
              </w:rPr>
              <w:t xml:space="preserve">      </w:t>
            </w:r>
          </w:p>
        </w:tc>
        <w:tc>
          <w:tcPr>
            <w:tcW w:w="732" w:type="pct"/>
            <w:tcBorders>
              <w:top w:val="nil"/>
              <w:left w:val="nil"/>
              <w:bottom w:val="nil"/>
              <w:right w:val="nil"/>
            </w:tcBorders>
            <w:shd w:val="clear" w:color="auto" w:fill="auto"/>
            <w:vAlign w:val="bottom"/>
          </w:tcPr>
          <w:p w14:paraId="0ED84263" w14:textId="5C3E1D2C" w:rsidR="00C2076C" w:rsidRPr="003D1614" w:rsidRDefault="00C2076C" w:rsidP="00C2076C">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32.946</w:t>
            </w:r>
          </w:p>
        </w:tc>
        <w:tc>
          <w:tcPr>
            <w:tcW w:w="733" w:type="pct"/>
            <w:shd w:val="clear" w:color="auto" w:fill="auto"/>
            <w:vAlign w:val="bottom"/>
          </w:tcPr>
          <w:p w14:paraId="19778CF6" w14:textId="65A1A7C2" w:rsidR="00C2076C" w:rsidRPr="002A06D3" w:rsidRDefault="00C2076C" w:rsidP="00C2076C">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0276E6">
              <w:rPr>
                <w:rFonts w:ascii="Arial" w:hAnsi="Arial" w:cs="Arial"/>
                <w:sz w:val="18"/>
                <w:szCs w:val="18"/>
              </w:rPr>
              <w:t>33.709</w:t>
            </w:r>
          </w:p>
        </w:tc>
        <w:tc>
          <w:tcPr>
            <w:tcW w:w="732" w:type="pct"/>
            <w:tcBorders>
              <w:top w:val="nil"/>
              <w:left w:val="nil"/>
              <w:bottom w:val="nil"/>
              <w:right w:val="nil"/>
            </w:tcBorders>
            <w:shd w:val="clear" w:color="auto" w:fill="auto"/>
            <w:vAlign w:val="bottom"/>
          </w:tcPr>
          <w:p w14:paraId="1A67674D" w14:textId="65EA48E9" w:rsidR="00C2076C" w:rsidRPr="00617755" w:rsidRDefault="00C2076C" w:rsidP="00C2076C">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Pr>
                <w:rFonts w:ascii="Arial" w:eastAsia="Times New Roman" w:hAnsi="Arial" w:cs="Arial"/>
                <w:snapToGrid w:val="0"/>
                <w:color w:val="000000" w:themeColor="text1"/>
                <w:sz w:val="18"/>
                <w:szCs w:val="18"/>
              </w:rPr>
              <w:t>32.946</w:t>
            </w:r>
          </w:p>
        </w:tc>
        <w:tc>
          <w:tcPr>
            <w:tcW w:w="733" w:type="pct"/>
            <w:shd w:val="clear" w:color="auto" w:fill="auto"/>
            <w:vAlign w:val="bottom"/>
          </w:tcPr>
          <w:p w14:paraId="0BF2B5B7" w14:textId="5C2CDAFD" w:rsidR="00C2076C" w:rsidRPr="002A06D3" w:rsidRDefault="00C2076C" w:rsidP="00C2076C">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FB65D9">
              <w:rPr>
                <w:rFonts w:ascii="Arial" w:hAnsi="Arial" w:cs="Arial"/>
                <w:color w:val="000000" w:themeColor="text1"/>
                <w:sz w:val="18"/>
                <w:szCs w:val="18"/>
              </w:rPr>
              <w:t>33.709</w:t>
            </w:r>
          </w:p>
        </w:tc>
      </w:tr>
      <w:tr w:rsidR="00C2076C" w:rsidRPr="003D1614" w14:paraId="4E6BB9F7" w14:textId="77777777" w:rsidTr="008A288C">
        <w:tc>
          <w:tcPr>
            <w:tcW w:w="2070" w:type="pct"/>
            <w:vAlign w:val="bottom"/>
          </w:tcPr>
          <w:p w14:paraId="0933ECD1" w14:textId="77777777" w:rsidR="00C2076C" w:rsidRPr="003D1614" w:rsidRDefault="00C2076C" w:rsidP="00C2076C">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595" w:name="_Toc67329208"/>
            <w:r w:rsidRPr="003D1614">
              <w:rPr>
                <w:rFonts w:ascii="Arial" w:eastAsia="Times New Roman" w:hAnsi="Arial" w:cs="Arial"/>
                <w:color w:val="000000" w:themeColor="text1"/>
                <w:sz w:val="18"/>
                <w:szCs w:val="18"/>
              </w:rPr>
              <w:t>Financijska imovina po fer vrijednosti kroz ostalu sveobuhvatnu dobit</w:t>
            </w:r>
            <w:bookmarkEnd w:id="595"/>
            <w:r w:rsidRPr="003D1614">
              <w:rPr>
                <w:rFonts w:ascii="Arial" w:eastAsia="Times New Roman" w:hAnsi="Arial" w:cs="Arial"/>
                <w:color w:val="000000" w:themeColor="text1"/>
                <w:sz w:val="18"/>
                <w:szCs w:val="18"/>
              </w:rPr>
              <w:t xml:space="preserve">        </w:t>
            </w:r>
          </w:p>
        </w:tc>
        <w:tc>
          <w:tcPr>
            <w:tcW w:w="732" w:type="pct"/>
            <w:tcBorders>
              <w:top w:val="nil"/>
              <w:left w:val="nil"/>
              <w:bottom w:val="nil"/>
              <w:right w:val="nil"/>
            </w:tcBorders>
            <w:shd w:val="clear" w:color="auto" w:fill="auto"/>
            <w:vAlign w:val="bottom"/>
          </w:tcPr>
          <w:p w14:paraId="2810D1E3" w14:textId="55F20EE7" w:rsidR="00C2076C" w:rsidRPr="003D1614" w:rsidRDefault="00C2076C" w:rsidP="00C2076C">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244.410</w:t>
            </w:r>
          </w:p>
        </w:tc>
        <w:tc>
          <w:tcPr>
            <w:tcW w:w="733" w:type="pct"/>
            <w:shd w:val="clear" w:color="auto" w:fill="auto"/>
            <w:vAlign w:val="bottom"/>
          </w:tcPr>
          <w:p w14:paraId="2850C1A4" w14:textId="05AD98D1" w:rsidR="00C2076C" w:rsidRPr="002A06D3" w:rsidRDefault="00C2076C" w:rsidP="00C2076C">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0276E6">
              <w:rPr>
                <w:rFonts w:ascii="Arial" w:hAnsi="Arial" w:cs="Arial"/>
                <w:sz w:val="18"/>
                <w:szCs w:val="18"/>
              </w:rPr>
              <w:t>227.434</w:t>
            </w:r>
          </w:p>
        </w:tc>
        <w:tc>
          <w:tcPr>
            <w:tcW w:w="732" w:type="pct"/>
            <w:tcBorders>
              <w:top w:val="nil"/>
              <w:left w:val="nil"/>
              <w:bottom w:val="nil"/>
              <w:right w:val="nil"/>
            </w:tcBorders>
            <w:shd w:val="clear" w:color="auto" w:fill="auto"/>
            <w:vAlign w:val="bottom"/>
          </w:tcPr>
          <w:p w14:paraId="3D2171B1" w14:textId="67FC0702" w:rsidR="00C2076C" w:rsidRPr="00617755" w:rsidRDefault="00C2076C" w:rsidP="00C2076C">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Pr>
                <w:rFonts w:ascii="Arial" w:eastAsia="Times New Roman" w:hAnsi="Arial" w:cs="Arial"/>
                <w:snapToGrid w:val="0"/>
                <w:color w:val="000000" w:themeColor="text1"/>
                <w:sz w:val="18"/>
                <w:szCs w:val="18"/>
              </w:rPr>
              <w:t>238.701</w:t>
            </w:r>
          </w:p>
        </w:tc>
        <w:tc>
          <w:tcPr>
            <w:tcW w:w="733" w:type="pct"/>
            <w:shd w:val="clear" w:color="auto" w:fill="auto"/>
            <w:vAlign w:val="bottom"/>
          </w:tcPr>
          <w:p w14:paraId="47136738" w14:textId="3FD9F453" w:rsidR="00C2076C" w:rsidRPr="002A06D3" w:rsidRDefault="00C2076C" w:rsidP="00C2076C">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FB65D9">
              <w:rPr>
                <w:rFonts w:ascii="Arial" w:hAnsi="Arial" w:cs="Arial"/>
                <w:color w:val="000000" w:themeColor="text1"/>
                <w:sz w:val="18"/>
                <w:szCs w:val="18"/>
              </w:rPr>
              <w:t>221.093</w:t>
            </w:r>
          </w:p>
        </w:tc>
      </w:tr>
      <w:tr w:rsidR="00C2076C" w:rsidRPr="003D1614" w14:paraId="595FF770" w14:textId="77777777" w:rsidTr="008A288C">
        <w:tc>
          <w:tcPr>
            <w:tcW w:w="2070" w:type="pct"/>
            <w:vAlign w:val="bottom"/>
          </w:tcPr>
          <w:p w14:paraId="15CA24C8" w14:textId="77777777" w:rsidR="00C2076C" w:rsidRPr="003D1614" w:rsidRDefault="00C2076C" w:rsidP="00C2076C">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596" w:name="_Toc67329218"/>
            <w:r w:rsidRPr="003D1614">
              <w:rPr>
                <w:rFonts w:ascii="Arial" w:eastAsia="Times New Roman" w:hAnsi="Arial" w:cs="Arial"/>
                <w:color w:val="000000" w:themeColor="text1"/>
                <w:sz w:val="18"/>
                <w:szCs w:val="18"/>
              </w:rPr>
              <w:t>Ostala imovina</w:t>
            </w:r>
            <w:bookmarkEnd w:id="596"/>
          </w:p>
        </w:tc>
        <w:tc>
          <w:tcPr>
            <w:tcW w:w="732" w:type="pct"/>
            <w:tcBorders>
              <w:top w:val="nil"/>
              <w:left w:val="nil"/>
              <w:bottom w:val="single" w:sz="4" w:space="0" w:color="auto"/>
              <w:right w:val="nil"/>
            </w:tcBorders>
            <w:shd w:val="clear" w:color="auto" w:fill="auto"/>
            <w:vAlign w:val="bottom"/>
          </w:tcPr>
          <w:p w14:paraId="06F1BD4A" w14:textId="42329FAA" w:rsidR="00C2076C" w:rsidRPr="003D1614" w:rsidRDefault="00C2076C" w:rsidP="00C2076C">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2.074</w:t>
            </w:r>
          </w:p>
        </w:tc>
        <w:tc>
          <w:tcPr>
            <w:tcW w:w="733" w:type="pct"/>
            <w:tcBorders>
              <w:bottom w:val="single" w:sz="6" w:space="0" w:color="auto"/>
            </w:tcBorders>
            <w:shd w:val="clear" w:color="auto" w:fill="auto"/>
            <w:vAlign w:val="bottom"/>
          </w:tcPr>
          <w:p w14:paraId="02F76EF1" w14:textId="6FCC4D82" w:rsidR="00C2076C" w:rsidRPr="002A06D3" w:rsidRDefault="00C2076C" w:rsidP="00C2076C">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0276E6">
              <w:rPr>
                <w:rFonts w:ascii="Arial" w:hAnsi="Arial" w:cs="Arial"/>
                <w:sz w:val="18"/>
                <w:szCs w:val="18"/>
              </w:rPr>
              <w:t>1.840</w:t>
            </w:r>
          </w:p>
        </w:tc>
        <w:tc>
          <w:tcPr>
            <w:tcW w:w="732" w:type="pct"/>
            <w:tcBorders>
              <w:top w:val="nil"/>
              <w:left w:val="nil"/>
              <w:bottom w:val="single" w:sz="4" w:space="0" w:color="auto"/>
              <w:right w:val="nil"/>
            </w:tcBorders>
            <w:shd w:val="clear" w:color="auto" w:fill="auto"/>
            <w:vAlign w:val="bottom"/>
          </w:tcPr>
          <w:p w14:paraId="6967C9B9" w14:textId="4AA5B4F0" w:rsidR="00C2076C" w:rsidRPr="00617755" w:rsidRDefault="00C2076C" w:rsidP="00C2076C">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Pr>
                <w:rFonts w:ascii="Arial" w:eastAsia="Times New Roman" w:hAnsi="Arial" w:cs="Arial"/>
                <w:snapToGrid w:val="0"/>
                <w:color w:val="000000" w:themeColor="text1"/>
                <w:sz w:val="18"/>
                <w:szCs w:val="18"/>
              </w:rPr>
              <w:t>1.447</w:t>
            </w:r>
          </w:p>
        </w:tc>
        <w:tc>
          <w:tcPr>
            <w:tcW w:w="733" w:type="pct"/>
            <w:tcBorders>
              <w:bottom w:val="single" w:sz="6" w:space="0" w:color="auto"/>
            </w:tcBorders>
            <w:shd w:val="clear" w:color="auto" w:fill="auto"/>
            <w:vAlign w:val="bottom"/>
          </w:tcPr>
          <w:p w14:paraId="4DB2A490" w14:textId="277EFAE1" w:rsidR="00C2076C" w:rsidRPr="003D1614" w:rsidRDefault="00C2076C" w:rsidP="00C2076C">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FB65D9">
              <w:rPr>
                <w:rFonts w:ascii="Arial" w:hAnsi="Arial" w:cs="Arial"/>
                <w:color w:val="000000" w:themeColor="text1"/>
                <w:sz w:val="18"/>
                <w:szCs w:val="18"/>
              </w:rPr>
              <w:t xml:space="preserve"> 1.080 </w:t>
            </w:r>
          </w:p>
        </w:tc>
      </w:tr>
      <w:tr w:rsidR="00C2076C" w:rsidRPr="003D1614" w14:paraId="599E97F7" w14:textId="77777777" w:rsidTr="008A288C">
        <w:trPr>
          <w:trHeight w:val="327"/>
        </w:trPr>
        <w:tc>
          <w:tcPr>
            <w:tcW w:w="2070" w:type="pct"/>
            <w:vAlign w:val="bottom"/>
          </w:tcPr>
          <w:p w14:paraId="51A45655" w14:textId="77777777" w:rsidR="00C2076C" w:rsidRPr="003D1614" w:rsidRDefault="00C2076C" w:rsidP="00C2076C">
            <w:pPr>
              <w:tabs>
                <w:tab w:val="right" w:pos="1202"/>
              </w:tabs>
              <w:suppressAutoHyphens/>
              <w:autoSpaceDN w:val="0"/>
              <w:spacing w:line="340" w:lineRule="exact"/>
              <w:outlineLvl w:val="0"/>
              <w:rPr>
                <w:rFonts w:ascii="Arial" w:eastAsia="Times New Roman" w:hAnsi="Arial" w:cs="Arial"/>
                <w:b/>
                <w:bCs/>
                <w:color w:val="000000" w:themeColor="text1"/>
                <w:sz w:val="18"/>
                <w:szCs w:val="18"/>
              </w:rPr>
            </w:pPr>
            <w:bookmarkStart w:id="597" w:name="_Toc67329223"/>
            <w:r w:rsidRPr="003D1614">
              <w:rPr>
                <w:rFonts w:ascii="Arial" w:eastAsia="Times New Roman" w:hAnsi="Arial" w:cs="Arial"/>
                <w:b/>
                <w:bCs/>
                <w:color w:val="000000" w:themeColor="text1"/>
                <w:sz w:val="18"/>
                <w:szCs w:val="18"/>
              </w:rPr>
              <w:t>Ukupno</w:t>
            </w:r>
            <w:bookmarkEnd w:id="597"/>
          </w:p>
        </w:tc>
        <w:tc>
          <w:tcPr>
            <w:tcW w:w="732" w:type="pct"/>
            <w:tcBorders>
              <w:top w:val="single" w:sz="4" w:space="0" w:color="auto"/>
              <w:bottom w:val="single" w:sz="12" w:space="0" w:color="auto"/>
            </w:tcBorders>
            <w:vAlign w:val="bottom"/>
          </w:tcPr>
          <w:p w14:paraId="2890E222" w14:textId="2B241E3E" w:rsidR="00C2076C" w:rsidRPr="003D1614" w:rsidRDefault="00C2076C" w:rsidP="00C2076C">
            <w:pPr>
              <w:tabs>
                <w:tab w:val="right" w:pos="1202"/>
              </w:tabs>
              <w:suppressAutoHyphens/>
              <w:autoSpaceDN w:val="0"/>
              <w:spacing w:line="340"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3.966.834</w:t>
            </w:r>
          </w:p>
        </w:tc>
        <w:tc>
          <w:tcPr>
            <w:tcW w:w="733" w:type="pct"/>
            <w:tcBorders>
              <w:top w:val="single" w:sz="6" w:space="0" w:color="auto"/>
              <w:bottom w:val="single" w:sz="12" w:space="0" w:color="auto"/>
            </w:tcBorders>
            <w:vAlign w:val="bottom"/>
          </w:tcPr>
          <w:p w14:paraId="593FF15D" w14:textId="0BC66E4A" w:rsidR="00C2076C" w:rsidRPr="007478FB" w:rsidRDefault="00C2076C" w:rsidP="00C2076C">
            <w:pPr>
              <w:tabs>
                <w:tab w:val="right" w:pos="1202"/>
              </w:tabs>
              <w:suppressAutoHyphens/>
              <w:autoSpaceDN w:val="0"/>
              <w:spacing w:line="340" w:lineRule="exact"/>
              <w:jc w:val="right"/>
              <w:outlineLvl w:val="0"/>
              <w:rPr>
                <w:rFonts w:ascii="Arial" w:eastAsia="Times New Roman" w:hAnsi="Arial" w:cs="Arial"/>
                <w:b/>
                <w:bCs/>
                <w:color w:val="000000" w:themeColor="text1"/>
                <w:sz w:val="18"/>
                <w:szCs w:val="18"/>
              </w:rPr>
            </w:pPr>
            <w:r w:rsidRPr="000276E6">
              <w:rPr>
                <w:rFonts w:ascii="Arial" w:hAnsi="Arial" w:cs="Arial"/>
                <w:b/>
                <w:bCs/>
                <w:color w:val="000000" w:themeColor="text1"/>
                <w:sz w:val="18"/>
                <w:szCs w:val="18"/>
              </w:rPr>
              <w:t>3.976.954</w:t>
            </w:r>
          </w:p>
        </w:tc>
        <w:tc>
          <w:tcPr>
            <w:tcW w:w="732" w:type="pct"/>
            <w:tcBorders>
              <w:top w:val="single" w:sz="4" w:space="0" w:color="auto"/>
              <w:bottom w:val="single" w:sz="12" w:space="0" w:color="auto"/>
            </w:tcBorders>
            <w:vAlign w:val="bottom"/>
          </w:tcPr>
          <w:p w14:paraId="051B73C6" w14:textId="521B3387" w:rsidR="00C2076C" w:rsidRPr="003D1614" w:rsidRDefault="00C2076C" w:rsidP="00C2076C">
            <w:pPr>
              <w:tabs>
                <w:tab w:val="right" w:pos="1202"/>
              </w:tabs>
              <w:suppressAutoHyphens/>
              <w:autoSpaceDN w:val="0"/>
              <w:spacing w:line="340"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3.956.472</w:t>
            </w:r>
          </w:p>
        </w:tc>
        <w:tc>
          <w:tcPr>
            <w:tcW w:w="733" w:type="pct"/>
            <w:tcBorders>
              <w:top w:val="single" w:sz="6" w:space="0" w:color="auto"/>
              <w:bottom w:val="single" w:sz="12" w:space="0" w:color="auto"/>
            </w:tcBorders>
            <w:vAlign w:val="bottom"/>
          </w:tcPr>
          <w:p w14:paraId="0935377E" w14:textId="4D6B64B3" w:rsidR="00C2076C" w:rsidRPr="007478FB" w:rsidRDefault="00C2076C" w:rsidP="00C2076C">
            <w:pPr>
              <w:tabs>
                <w:tab w:val="right" w:pos="1202"/>
              </w:tabs>
              <w:suppressAutoHyphens/>
              <w:autoSpaceDN w:val="0"/>
              <w:spacing w:line="340" w:lineRule="exact"/>
              <w:jc w:val="right"/>
              <w:outlineLvl w:val="0"/>
              <w:rPr>
                <w:rFonts w:ascii="Arial" w:eastAsia="Times New Roman" w:hAnsi="Arial" w:cs="Arial"/>
                <w:b/>
                <w:bCs/>
                <w:color w:val="000000" w:themeColor="text1"/>
                <w:sz w:val="18"/>
                <w:szCs w:val="18"/>
              </w:rPr>
            </w:pPr>
            <w:r w:rsidRPr="00FB65D9">
              <w:rPr>
                <w:rFonts w:ascii="Arial" w:hAnsi="Arial" w:cs="Arial"/>
                <w:b/>
                <w:bCs/>
                <w:color w:val="000000" w:themeColor="text1"/>
                <w:sz w:val="18"/>
                <w:szCs w:val="18"/>
              </w:rPr>
              <w:t>3.966.958</w:t>
            </w:r>
          </w:p>
        </w:tc>
      </w:tr>
      <w:tr w:rsidR="00C2076C" w:rsidRPr="003D1614" w14:paraId="3B8EE6B4" w14:textId="77777777" w:rsidTr="007478FB">
        <w:tc>
          <w:tcPr>
            <w:tcW w:w="2070" w:type="pct"/>
            <w:vAlign w:val="bottom"/>
          </w:tcPr>
          <w:p w14:paraId="3438CB9A" w14:textId="77777777" w:rsidR="00C2076C" w:rsidRPr="003D1614" w:rsidRDefault="00C2076C" w:rsidP="00C2076C">
            <w:pPr>
              <w:tabs>
                <w:tab w:val="right" w:pos="1202"/>
              </w:tabs>
              <w:suppressAutoHyphens/>
              <w:autoSpaceDN w:val="0"/>
              <w:spacing w:line="301" w:lineRule="exact"/>
              <w:outlineLvl w:val="0"/>
              <w:rPr>
                <w:rFonts w:ascii="Arial" w:eastAsia="Times New Roman" w:hAnsi="Arial" w:cs="Arial"/>
                <w:b/>
                <w:bCs/>
                <w:color w:val="000000" w:themeColor="text1"/>
                <w:sz w:val="18"/>
                <w:szCs w:val="18"/>
              </w:rPr>
            </w:pPr>
            <w:bookmarkStart w:id="598" w:name="_Toc67329228"/>
            <w:r w:rsidRPr="003D1614">
              <w:rPr>
                <w:rFonts w:ascii="Arial" w:eastAsia="Times New Roman" w:hAnsi="Arial" w:cs="Arial"/>
                <w:b/>
                <w:bCs/>
                <w:color w:val="000000" w:themeColor="text1"/>
                <w:sz w:val="18"/>
                <w:szCs w:val="18"/>
              </w:rPr>
              <w:t>Garancije i preuzete obveze</w:t>
            </w:r>
            <w:bookmarkEnd w:id="598"/>
          </w:p>
        </w:tc>
        <w:tc>
          <w:tcPr>
            <w:tcW w:w="732" w:type="pct"/>
            <w:tcBorders>
              <w:top w:val="single" w:sz="12" w:space="0" w:color="auto"/>
            </w:tcBorders>
            <w:vAlign w:val="bottom"/>
          </w:tcPr>
          <w:p w14:paraId="01E7A9DE" w14:textId="77777777" w:rsidR="00C2076C" w:rsidRPr="003D1614" w:rsidRDefault="00C2076C" w:rsidP="00C2076C">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p>
        </w:tc>
        <w:tc>
          <w:tcPr>
            <w:tcW w:w="733" w:type="pct"/>
            <w:tcBorders>
              <w:top w:val="single" w:sz="12" w:space="0" w:color="auto"/>
            </w:tcBorders>
            <w:vAlign w:val="bottom"/>
          </w:tcPr>
          <w:p w14:paraId="2F6C51BD" w14:textId="77777777" w:rsidR="00C2076C" w:rsidRPr="002A06D3" w:rsidRDefault="00C2076C" w:rsidP="00C2076C">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p>
        </w:tc>
        <w:tc>
          <w:tcPr>
            <w:tcW w:w="732" w:type="pct"/>
            <w:tcBorders>
              <w:top w:val="single" w:sz="12" w:space="0" w:color="auto"/>
            </w:tcBorders>
            <w:vAlign w:val="bottom"/>
          </w:tcPr>
          <w:p w14:paraId="698879F4" w14:textId="77777777" w:rsidR="00C2076C" w:rsidRPr="003D1614" w:rsidRDefault="00C2076C" w:rsidP="00C2076C">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p>
        </w:tc>
        <w:tc>
          <w:tcPr>
            <w:tcW w:w="733" w:type="pct"/>
            <w:tcBorders>
              <w:top w:val="single" w:sz="12" w:space="0" w:color="auto"/>
            </w:tcBorders>
            <w:vAlign w:val="bottom"/>
          </w:tcPr>
          <w:p w14:paraId="33BB829F" w14:textId="77777777" w:rsidR="00C2076C" w:rsidRPr="002A06D3" w:rsidRDefault="00C2076C" w:rsidP="00C2076C">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p>
        </w:tc>
      </w:tr>
      <w:tr w:rsidR="00BB6700" w:rsidRPr="003D1614" w14:paraId="624A14A2" w14:textId="77777777" w:rsidTr="008A288C">
        <w:tc>
          <w:tcPr>
            <w:tcW w:w="2070" w:type="pct"/>
            <w:vAlign w:val="bottom"/>
          </w:tcPr>
          <w:p w14:paraId="7435522B" w14:textId="62B21DE1" w:rsidR="00BB6700" w:rsidRPr="00711634" w:rsidRDefault="00BB6700" w:rsidP="00BB6700">
            <w:pPr>
              <w:tabs>
                <w:tab w:val="right" w:pos="1202"/>
              </w:tabs>
              <w:suppressAutoHyphens/>
              <w:autoSpaceDN w:val="0"/>
              <w:spacing w:line="301" w:lineRule="exact"/>
              <w:outlineLvl w:val="0"/>
              <w:rPr>
                <w:rFonts w:ascii="Arial" w:eastAsia="Times New Roman" w:hAnsi="Arial" w:cs="Arial"/>
                <w:b/>
                <w:bCs/>
                <w:color w:val="000000" w:themeColor="text1"/>
                <w:sz w:val="18"/>
                <w:szCs w:val="18"/>
              </w:rPr>
            </w:pPr>
            <w:bookmarkStart w:id="599" w:name="_Toc67329229"/>
            <w:r w:rsidRPr="00711634">
              <w:rPr>
                <w:rFonts w:ascii="Arial" w:eastAsia="Times New Roman" w:hAnsi="Arial" w:cs="Arial"/>
                <w:color w:val="000000" w:themeColor="text1"/>
                <w:sz w:val="18"/>
                <w:szCs w:val="18"/>
              </w:rPr>
              <w:t>Izdane garancije</w:t>
            </w:r>
            <w:bookmarkEnd w:id="599"/>
          </w:p>
        </w:tc>
        <w:tc>
          <w:tcPr>
            <w:tcW w:w="732" w:type="pct"/>
            <w:tcBorders>
              <w:top w:val="nil"/>
              <w:left w:val="nil"/>
              <w:bottom w:val="nil"/>
              <w:right w:val="nil"/>
            </w:tcBorders>
            <w:shd w:val="clear" w:color="auto" w:fill="auto"/>
            <w:vAlign w:val="bottom"/>
          </w:tcPr>
          <w:p w14:paraId="3C9E201A" w14:textId="0C8F7F46" w:rsidR="00BB6700" w:rsidRPr="002973F3" w:rsidRDefault="00BB6700" w:rsidP="00BB6700">
            <w:pPr>
              <w:tabs>
                <w:tab w:val="right" w:pos="1202"/>
              </w:tabs>
              <w:suppressAutoHyphens/>
              <w:autoSpaceDN w:val="0"/>
              <w:spacing w:line="301" w:lineRule="exact"/>
              <w:jc w:val="right"/>
              <w:outlineLvl w:val="0"/>
              <w:rPr>
                <w:rFonts w:ascii="Arial" w:eastAsia="Times New Roman" w:hAnsi="Arial" w:cs="Arial"/>
                <w:color w:val="000000" w:themeColor="text1"/>
                <w:sz w:val="18"/>
                <w:szCs w:val="18"/>
                <w:highlight w:val="yellow"/>
              </w:rPr>
            </w:pPr>
            <w:r w:rsidRPr="00035CE2">
              <w:rPr>
                <w:rFonts w:ascii="Arial" w:eastAsia="Times New Roman" w:hAnsi="Arial" w:cs="Arial"/>
                <w:color w:val="000000" w:themeColor="text1"/>
                <w:sz w:val="18"/>
                <w:szCs w:val="18"/>
              </w:rPr>
              <w:t>43.586</w:t>
            </w:r>
          </w:p>
        </w:tc>
        <w:tc>
          <w:tcPr>
            <w:tcW w:w="733" w:type="pct"/>
            <w:shd w:val="clear" w:color="auto" w:fill="auto"/>
            <w:vAlign w:val="bottom"/>
          </w:tcPr>
          <w:p w14:paraId="19424F41" w14:textId="5681BC50" w:rsidR="00BB6700" w:rsidRPr="002A06D3" w:rsidRDefault="00BB6700" w:rsidP="00BB6700">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0276E6">
              <w:rPr>
                <w:rFonts w:ascii="Arial" w:hAnsi="Arial" w:cs="Arial"/>
                <w:sz w:val="18"/>
                <w:szCs w:val="18"/>
              </w:rPr>
              <w:t>44.545</w:t>
            </w:r>
          </w:p>
        </w:tc>
        <w:tc>
          <w:tcPr>
            <w:tcW w:w="732" w:type="pct"/>
            <w:tcBorders>
              <w:top w:val="nil"/>
              <w:left w:val="nil"/>
              <w:bottom w:val="nil"/>
              <w:right w:val="nil"/>
            </w:tcBorders>
            <w:shd w:val="clear" w:color="auto" w:fill="auto"/>
            <w:vAlign w:val="bottom"/>
          </w:tcPr>
          <w:p w14:paraId="1FE720DF" w14:textId="714687C7" w:rsidR="00BB6700" w:rsidRPr="002973F3" w:rsidRDefault="00BB6700" w:rsidP="00BB6700">
            <w:pPr>
              <w:tabs>
                <w:tab w:val="right" w:pos="1202"/>
              </w:tabs>
              <w:suppressAutoHyphens/>
              <w:autoSpaceDN w:val="0"/>
              <w:spacing w:line="301" w:lineRule="exact"/>
              <w:jc w:val="right"/>
              <w:outlineLvl w:val="0"/>
              <w:rPr>
                <w:rFonts w:ascii="Arial" w:eastAsia="Times New Roman" w:hAnsi="Arial" w:cs="Arial"/>
                <w:color w:val="000000" w:themeColor="text1"/>
                <w:sz w:val="18"/>
                <w:szCs w:val="18"/>
                <w:highlight w:val="yellow"/>
              </w:rPr>
            </w:pPr>
            <w:r w:rsidRPr="000A0C54">
              <w:rPr>
                <w:rFonts w:ascii="Arial" w:eastAsia="Times New Roman" w:hAnsi="Arial" w:cs="Arial"/>
                <w:color w:val="000000" w:themeColor="text1"/>
                <w:sz w:val="18"/>
                <w:szCs w:val="18"/>
              </w:rPr>
              <w:t>43.586</w:t>
            </w:r>
          </w:p>
        </w:tc>
        <w:tc>
          <w:tcPr>
            <w:tcW w:w="733" w:type="pct"/>
            <w:shd w:val="clear" w:color="auto" w:fill="auto"/>
            <w:vAlign w:val="bottom"/>
          </w:tcPr>
          <w:p w14:paraId="00E4BD98" w14:textId="2C031480" w:rsidR="00BB6700" w:rsidRPr="002A06D3" w:rsidRDefault="00BB6700" w:rsidP="00BB6700">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FB65D9">
              <w:rPr>
                <w:rFonts w:ascii="Arial" w:hAnsi="Arial" w:cs="Arial"/>
                <w:snapToGrid w:val="0"/>
                <w:color w:val="000000" w:themeColor="text1"/>
                <w:sz w:val="18"/>
                <w:szCs w:val="18"/>
              </w:rPr>
              <w:t xml:space="preserve"> 44.545 </w:t>
            </w:r>
          </w:p>
        </w:tc>
      </w:tr>
      <w:tr w:rsidR="00BB6700" w:rsidRPr="003D1614" w14:paraId="3860FD0A" w14:textId="77777777" w:rsidTr="008A288C">
        <w:tc>
          <w:tcPr>
            <w:tcW w:w="2070" w:type="pct"/>
            <w:vAlign w:val="bottom"/>
          </w:tcPr>
          <w:p w14:paraId="4F066F55" w14:textId="77777777" w:rsidR="00BB6700" w:rsidRPr="00711634" w:rsidRDefault="00BB6700" w:rsidP="00BB6700">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00" w:name="_Toc67329234"/>
            <w:r w:rsidRPr="00711634">
              <w:rPr>
                <w:rFonts w:ascii="Arial" w:eastAsia="Times New Roman" w:hAnsi="Arial" w:cs="Arial"/>
                <w:color w:val="000000" w:themeColor="text1"/>
                <w:sz w:val="18"/>
                <w:szCs w:val="18"/>
              </w:rPr>
              <w:t>Izdane garancije u devizama</w:t>
            </w:r>
            <w:bookmarkEnd w:id="600"/>
          </w:p>
        </w:tc>
        <w:tc>
          <w:tcPr>
            <w:tcW w:w="732" w:type="pct"/>
            <w:tcBorders>
              <w:top w:val="nil"/>
              <w:left w:val="nil"/>
              <w:bottom w:val="nil"/>
              <w:right w:val="nil"/>
            </w:tcBorders>
            <w:shd w:val="clear" w:color="auto" w:fill="auto"/>
            <w:vAlign w:val="bottom"/>
          </w:tcPr>
          <w:p w14:paraId="44E9E513" w14:textId="78126A4E" w:rsidR="00BB6700" w:rsidRPr="002973F3" w:rsidRDefault="00BB6700" w:rsidP="00BB6700">
            <w:pPr>
              <w:tabs>
                <w:tab w:val="right" w:pos="1202"/>
              </w:tabs>
              <w:suppressAutoHyphens/>
              <w:autoSpaceDN w:val="0"/>
              <w:spacing w:line="301" w:lineRule="exact"/>
              <w:jc w:val="right"/>
              <w:outlineLvl w:val="0"/>
              <w:rPr>
                <w:rFonts w:ascii="Arial" w:eastAsia="Times New Roman" w:hAnsi="Arial" w:cs="Arial"/>
                <w:color w:val="000000" w:themeColor="text1"/>
                <w:sz w:val="18"/>
                <w:szCs w:val="18"/>
                <w:highlight w:val="yellow"/>
              </w:rPr>
            </w:pPr>
            <w:r w:rsidRPr="00035CE2">
              <w:rPr>
                <w:rFonts w:ascii="Arial" w:eastAsia="Times New Roman" w:hAnsi="Arial" w:cs="Arial"/>
                <w:color w:val="000000" w:themeColor="text1"/>
                <w:sz w:val="18"/>
                <w:szCs w:val="18"/>
              </w:rPr>
              <w:t>3.437</w:t>
            </w:r>
          </w:p>
        </w:tc>
        <w:tc>
          <w:tcPr>
            <w:tcW w:w="733" w:type="pct"/>
            <w:shd w:val="clear" w:color="auto" w:fill="auto"/>
            <w:vAlign w:val="bottom"/>
          </w:tcPr>
          <w:p w14:paraId="5C05D188" w14:textId="4A222214" w:rsidR="00BB6700" w:rsidRPr="002A06D3" w:rsidRDefault="00BB6700" w:rsidP="00BB6700">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0276E6">
              <w:rPr>
                <w:rFonts w:ascii="Arial" w:hAnsi="Arial" w:cs="Arial"/>
                <w:sz w:val="18"/>
                <w:szCs w:val="18"/>
              </w:rPr>
              <w:t>5.357</w:t>
            </w:r>
          </w:p>
        </w:tc>
        <w:tc>
          <w:tcPr>
            <w:tcW w:w="732" w:type="pct"/>
            <w:tcBorders>
              <w:top w:val="nil"/>
              <w:left w:val="nil"/>
              <w:bottom w:val="nil"/>
              <w:right w:val="nil"/>
            </w:tcBorders>
            <w:shd w:val="clear" w:color="auto" w:fill="auto"/>
            <w:vAlign w:val="bottom"/>
          </w:tcPr>
          <w:p w14:paraId="6644411F" w14:textId="39D3C418" w:rsidR="00BB6700" w:rsidRPr="002973F3" w:rsidRDefault="00BB6700" w:rsidP="00BB6700">
            <w:pPr>
              <w:tabs>
                <w:tab w:val="right" w:pos="1202"/>
              </w:tabs>
              <w:suppressAutoHyphens/>
              <w:autoSpaceDN w:val="0"/>
              <w:spacing w:line="301" w:lineRule="exact"/>
              <w:jc w:val="right"/>
              <w:outlineLvl w:val="0"/>
              <w:rPr>
                <w:rFonts w:ascii="Arial" w:eastAsia="Times New Roman" w:hAnsi="Arial" w:cs="Arial"/>
                <w:color w:val="000000" w:themeColor="text1"/>
                <w:sz w:val="18"/>
                <w:szCs w:val="18"/>
                <w:highlight w:val="yellow"/>
              </w:rPr>
            </w:pPr>
            <w:r w:rsidRPr="000A0C54">
              <w:rPr>
                <w:rFonts w:ascii="Arial" w:eastAsia="Times New Roman" w:hAnsi="Arial" w:cs="Arial"/>
                <w:color w:val="000000" w:themeColor="text1"/>
                <w:sz w:val="18"/>
                <w:szCs w:val="18"/>
              </w:rPr>
              <w:t>3.437</w:t>
            </w:r>
          </w:p>
        </w:tc>
        <w:tc>
          <w:tcPr>
            <w:tcW w:w="733" w:type="pct"/>
            <w:shd w:val="clear" w:color="auto" w:fill="auto"/>
            <w:vAlign w:val="bottom"/>
          </w:tcPr>
          <w:p w14:paraId="63831F9F" w14:textId="0D363471" w:rsidR="00BB6700" w:rsidRPr="002A06D3" w:rsidRDefault="00BB6700" w:rsidP="00BB6700">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FB65D9">
              <w:rPr>
                <w:rFonts w:ascii="Arial" w:hAnsi="Arial" w:cs="Arial"/>
                <w:snapToGrid w:val="0"/>
                <w:color w:val="000000" w:themeColor="text1"/>
                <w:sz w:val="18"/>
                <w:szCs w:val="18"/>
              </w:rPr>
              <w:t xml:space="preserve"> 5.357 </w:t>
            </w:r>
          </w:p>
        </w:tc>
      </w:tr>
      <w:tr w:rsidR="00BB6700" w:rsidRPr="003D1614" w14:paraId="484DE4D9" w14:textId="77777777" w:rsidTr="008A288C">
        <w:tc>
          <w:tcPr>
            <w:tcW w:w="2070" w:type="pct"/>
            <w:vAlign w:val="bottom"/>
          </w:tcPr>
          <w:p w14:paraId="0DEE68A5" w14:textId="77777777" w:rsidR="00BB6700" w:rsidRPr="003D1614" w:rsidRDefault="00BB6700" w:rsidP="00BB6700">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01" w:name="_Toc67329244"/>
            <w:r w:rsidRPr="003D1614">
              <w:rPr>
                <w:rFonts w:ascii="Arial" w:eastAsia="Times New Roman" w:hAnsi="Arial" w:cs="Arial"/>
                <w:color w:val="000000" w:themeColor="text1"/>
                <w:sz w:val="18"/>
                <w:szCs w:val="18"/>
              </w:rPr>
              <w:t>Preuzete obveze po kreditima</w:t>
            </w:r>
            <w:bookmarkEnd w:id="601"/>
          </w:p>
        </w:tc>
        <w:tc>
          <w:tcPr>
            <w:tcW w:w="732" w:type="pct"/>
            <w:tcBorders>
              <w:top w:val="nil"/>
              <w:left w:val="nil"/>
              <w:bottom w:val="nil"/>
              <w:right w:val="nil"/>
            </w:tcBorders>
            <w:shd w:val="clear" w:color="auto" w:fill="auto"/>
            <w:vAlign w:val="bottom"/>
          </w:tcPr>
          <w:p w14:paraId="0E314AB3" w14:textId="75853648" w:rsidR="00BB6700" w:rsidRPr="003D1614" w:rsidRDefault="00BB6700" w:rsidP="00BB6700">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461.332</w:t>
            </w:r>
          </w:p>
        </w:tc>
        <w:tc>
          <w:tcPr>
            <w:tcW w:w="733" w:type="pct"/>
            <w:tcBorders>
              <w:bottom w:val="single" w:sz="6" w:space="0" w:color="auto"/>
            </w:tcBorders>
            <w:shd w:val="clear" w:color="auto" w:fill="auto"/>
            <w:vAlign w:val="bottom"/>
          </w:tcPr>
          <w:p w14:paraId="140B76D1" w14:textId="1A822B04" w:rsidR="00BB6700" w:rsidRPr="002A06D3" w:rsidRDefault="00BB6700" w:rsidP="00BB6700">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0276E6">
              <w:rPr>
                <w:rFonts w:ascii="Arial" w:hAnsi="Arial" w:cs="Arial"/>
                <w:sz w:val="18"/>
                <w:szCs w:val="18"/>
              </w:rPr>
              <w:t>441.073</w:t>
            </w:r>
          </w:p>
        </w:tc>
        <w:tc>
          <w:tcPr>
            <w:tcW w:w="732" w:type="pct"/>
            <w:tcBorders>
              <w:top w:val="nil"/>
              <w:left w:val="nil"/>
              <w:bottom w:val="nil"/>
              <w:right w:val="nil"/>
            </w:tcBorders>
            <w:shd w:val="clear" w:color="auto" w:fill="auto"/>
            <w:vAlign w:val="bottom"/>
          </w:tcPr>
          <w:p w14:paraId="16D9F5D6" w14:textId="0C16AEA7" w:rsidR="00BB6700" w:rsidRPr="003D1614" w:rsidRDefault="00BB6700" w:rsidP="00BB6700">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461.332</w:t>
            </w:r>
          </w:p>
        </w:tc>
        <w:tc>
          <w:tcPr>
            <w:tcW w:w="733" w:type="pct"/>
            <w:tcBorders>
              <w:bottom w:val="single" w:sz="6" w:space="0" w:color="auto"/>
            </w:tcBorders>
            <w:shd w:val="clear" w:color="auto" w:fill="auto"/>
            <w:vAlign w:val="bottom"/>
          </w:tcPr>
          <w:p w14:paraId="42B8D847" w14:textId="73868088" w:rsidR="00BB6700" w:rsidRPr="002A06D3" w:rsidRDefault="00BB6700" w:rsidP="00BB6700">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FB65D9">
              <w:rPr>
                <w:rFonts w:ascii="Arial" w:hAnsi="Arial" w:cs="Arial"/>
                <w:snapToGrid w:val="0"/>
                <w:color w:val="000000" w:themeColor="text1"/>
                <w:sz w:val="18"/>
                <w:szCs w:val="18"/>
              </w:rPr>
              <w:t xml:space="preserve"> 441.073 </w:t>
            </w:r>
          </w:p>
        </w:tc>
      </w:tr>
      <w:tr w:rsidR="00BB6700" w:rsidRPr="003D1614" w14:paraId="1951D2BF" w14:textId="77777777" w:rsidTr="008A288C">
        <w:tc>
          <w:tcPr>
            <w:tcW w:w="2070" w:type="pct"/>
            <w:vAlign w:val="bottom"/>
          </w:tcPr>
          <w:p w14:paraId="6F51367D" w14:textId="77777777" w:rsidR="00BB6700" w:rsidRPr="003D1614" w:rsidRDefault="00BB6700" w:rsidP="00BB6700">
            <w:pPr>
              <w:tabs>
                <w:tab w:val="right" w:pos="1202"/>
              </w:tabs>
              <w:suppressAutoHyphens/>
              <w:autoSpaceDN w:val="0"/>
              <w:spacing w:line="340" w:lineRule="exact"/>
              <w:outlineLvl w:val="0"/>
              <w:rPr>
                <w:rFonts w:ascii="Arial" w:eastAsia="Times New Roman" w:hAnsi="Arial" w:cs="Arial"/>
                <w:b/>
                <w:bCs/>
                <w:color w:val="000000" w:themeColor="text1"/>
                <w:sz w:val="18"/>
                <w:szCs w:val="18"/>
              </w:rPr>
            </w:pPr>
            <w:bookmarkStart w:id="602" w:name="_Toc67329254"/>
            <w:r w:rsidRPr="003D1614">
              <w:rPr>
                <w:rFonts w:ascii="Arial" w:eastAsia="Times New Roman" w:hAnsi="Arial" w:cs="Arial"/>
                <w:b/>
                <w:bCs/>
                <w:color w:val="000000" w:themeColor="text1"/>
                <w:sz w:val="18"/>
                <w:szCs w:val="18"/>
              </w:rPr>
              <w:t>Ukupno</w:t>
            </w:r>
            <w:bookmarkEnd w:id="602"/>
          </w:p>
        </w:tc>
        <w:tc>
          <w:tcPr>
            <w:tcW w:w="732" w:type="pct"/>
            <w:tcBorders>
              <w:top w:val="single" w:sz="4" w:space="0" w:color="auto"/>
              <w:bottom w:val="single" w:sz="12" w:space="0" w:color="auto"/>
            </w:tcBorders>
            <w:vAlign w:val="bottom"/>
          </w:tcPr>
          <w:p w14:paraId="19A45B90" w14:textId="1280636B" w:rsidR="00BB6700" w:rsidRPr="003D1614" w:rsidRDefault="00BB6700" w:rsidP="00BB6700">
            <w:pPr>
              <w:tabs>
                <w:tab w:val="right" w:pos="1202"/>
              </w:tabs>
              <w:suppressAutoHyphens/>
              <w:autoSpaceDN w:val="0"/>
              <w:spacing w:line="340"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508.355</w:t>
            </w:r>
          </w:p>
        </w:tc>
        <w:tc>
          <w:tcPr>
            <w:tcW w:w="733" w:type="pct"/>
            <w:tcBorders>
              <w:top w:val="single" w:sz="6" w:space="0" w:color="auto"/>
              <w:bottom w:val="single" w:sz="12" w:space="0" w:color="auto"/>
            </w:tcBorders>
            <w:vAlign w:val="bottom"/>
          </w:tcPr>
          <w:p w14:paraId="51596A6B" w14:textId="0EB8F273" w:rsidR="00BB6700" w:rsidRPr="007478FB" w:rsidRDefault="00BB6700" w:rsidP="00BB6700">
            <w:pPr>
              <w:tabs>
                <w:tab w:val="right" w:pos="1202"/>
              </w:tabs>
              <w:suppressAutoHyphens/>
              <w:autoSpaceDN w:val="0"/>
              <w:spacing w:line="340" w:lineRule="exact"/>
              <w:jc w:val="right"/>
              <w:outlineLvl w:val="0"/>
              <w:rPr>
                <w:rFonts w:ascii="Arial" w:eastAsia="Times New Roman" w:hAnsi="Arial" w:cs="Arial"/>
                <w:b/>
                <w:bCs/>
                <w:color w:val="000000" w:themeColor="text1"/>
                <w:sz w:val="18"/>
                <w:szCs w:val="18"/>
              </w:rPr>
            </w:pPr>
            <w:r w:rsidRPr="000276E6">
              <w:rPr>
                <w:rFonts w:ascii="Arial" w:hAnsi="Arial" w:cs="Arial"/>
                <w:b/>
                <w:bCs/>
                <w:color w:val="000000" w:themeColor="text1"/>
                <w:sz w:val="18"/>
                <w:szCs w:val="18"/>
              </w:rPr>
              <w:t>490.975</w:t>
            </w:r>
          </w:p>
        </w:tc>
        <w:tc>
          <w:tcPr>
            <w:tcW w:w="732" w:type="pct"/>
            <w:tcBorders>
              <w:top w:val="single" w:sz="4" w:space="0" w:color="auto"/>
              <w:bottom w:val="single" w:sz="12" w:space="0" w:color="auto"/>
            </w:tcBorders>
            <w:vAlign w:val="bottom"/>
          </w:tcPr>
          <w:p w14:paraId="6E54732B" w14:textId="5D36FFA7" w:rsidR="00BB6700" w:rsidRPr="003D1614" w:rsidRDefault="00BB6700" w:rsidP="00BB6700">
            <w:pPr>
              <w:tabs>
                <w:tab w:val="right" w:pos="1202"/>
              </w:tabs>
              <w:suppressAutoHyphens/>
              <w:autoSpaceDN w:val="0"/>
              <w:spacing w:line="340"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508.355</w:t>
            </w:r>
          </w:p>
        </w:tc>
        <w:tc>
          <w:tcPr>
            <w:tcW w:w="733" w:type="pct"/>
            <w:tcBorders>
              <w:top w:val="single" w:sz="6" w:space="0" w:color="auto"/>
              <w:bottom w:val="single" w:sz="12" w:space="0" w:color="auto"/>
            </w:tcBorders>
            <w:vAlign w:val="bottom"/>
          </w:tcPr>
          <w:p w14:paraId="38D332D4" w14:textId="09FDC511" w:rsidR="00BB6700" w:rsidRPr="007478FB" w:rsidRDefault="00BB6700" w:rsidP="00BB6700">
            <w:pPr>
              <w:tabs>
                <w:tab w:val="right" w:pos="1202"/>
              </w:tabs>
              <w:suppressAutoHyphens/>
              <w:autoSpaceDN w:val="0"/>
              <w:spacing w:line="340" w:lineRule="exact"/>
              <w:jc w:val="right"/>
              <w:outlineLvl w:val="0"/>
              <w:rPr>
                <w:rFonts w:ascii="Arial" w:eastAsia="Times New Roman" w:hAnsi="Arial" w:cs="Arial"/>
                <w:b/>
                <w:bCs/>
                <w:color w:val="000000" w:themeColor="text1"/>
                <w:sz w:val="18"/>
                <w:szCs w:val="18"/>
              </w:rPr>
            </w:pPr>
            <w:r w:rsidRPr="00FB65D9">
              <w:rPr>
                <w:rFonts w:ascii="Arial" w:hAnsi="Arial" w:cs="Arial"/>
                <w:b/>
                <w:bCs/>
                <w:snapToGrid w:val="0"/>
                <w:color w:val="000000" w:themeColor="text1"/>
                <w:sz w:val="18"/>
                <w:szCs w:val="18"/>
              </w:rPr>
              <w:t>490.975</w:t>
            </w:r>
          </w:p>
        </w:tc>
      </w:tr>
      <w:tr w:rsidR="00BB6700" w:rsidRPr="003D1614" w14:paraId="6FC7FA39" w14:textId="77777777" w:rsidTr="001D4CBB">
        <w:trPr>
          <w:trHeight w:val="289"/>
        </w:trPr>
        <w:tc>
          <w:tcPr>
            <w:tcW w:w="2070" w:type="pct"/>
            <w:vAlign w:val="bottom"/>
          </w:tcPr>
          <w:p w14:paraId="730EBA28" w14:textId="77777777" w:rsidR="00BB6700" w:rsidRPr="003D1614" w:rsidRDefault="00BB6700" w:rsidP="00BB6700">
            <w:pPr>
              <w:tabs>
                <w:tab w:val="right" w:pos="1202"/>
              </w:tabs>
              <w:suppressAutoHyphens/>
              <w:autoSpaceDN w:val="0"/>
              <w:spacing w:line="340" w:lineRule="exact"/>
              <w:outlineLvl w:val="0"/>
              <w:rPr>
                <w:rFonts w:ascii="Arial" w:eastAsia="Times New Roman" w:hAnsi="Arial" w:cs="Arial"/>
                <w:b/>
                <w:bCs/>
                <w:color w:val="000000" w:themeColor="text1"/>
                <w:sz w:val="18"/>
                <w:szCs w:val="18"/>
              </w:rPr>
            </w:pPr>
            <w:bookmarkStart w:id="603" w:name="_Toc67329259"/>
            <w:r w:rsidRPr="003D1614">
              <w:rPr>
                <w:rFonts w:ascii="Arial" w:eastAsia="Times New Roman" w:hAnsi="Arial" w:cs="Arial"/>
                <w:b/>
                <w:bCs/>
                <w:color w:val="000000" w:themeColor="text1"/>
                <w:sz w:val="18"/>
                <w:szCs w:val="18"/>
              </w:rPr>
              <w:t>Ukupna izloženost kreditnom riziku</w:t>
            </w:r>
            <w:bookmarkEnd w:id="603"/>
          </w:p>
        </w:tc>
        <w:tc>
          <w:tcPr>
            <w:tcW w:w="732" w:type="pct"/>
            <w:tcBorders>
              <w:top w:val="single" w:sz="12" w:space="0" w:color="auto"/>
              <w:bottom w:val="single" w:sz="12" w:space="0" w:color="auto"/>
            </w:tcBorders>
            <w:vAlign w:val="bottom"/>
          </w:tcPr>
          <w:p w14:paraId="17088965" w14:textId="6272ABB4" w:rsidR="00BB6700" w:rsidRPr="003D1614" w:rsidRDefault="00BB6700" w:rsidP="00BB6700">
            <w:pPr>
              <w:tabs>
                <w:tab w:val="right" w:pos="1202"/>
              </w:tabs>
              <w:suppressAutoHyphens/>
              <w:autoSpaceDN w:val="0"/>
              <w:spacing w:line="340"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4.475.189</w:t>
            </w:r>
          </w:p>
        </w:tc>
        <w:tc>
          <w:tcPr>
            <w:tcW w:w="733" w:type="pct"/>
            <w:tcBorders>
              <w:top w:val="single" w:sz="12" w:space="0" w:color="auto"/>
              <w:bottom w:val="single" w:sz="12" w:space="0" w:color="auto"/>
            </w:tcBorders>
            <w:vAlign w:val="bottom"/>
          </w:tcPr>
          <w:p w14:paraId="3D8B9AB8" w14:textId="6839EFE1" w:rsidR="00BB6700" w:rsidRPr="007478FB" w:rsidRDefault="00BB6700" w:rsidP="00BB6700">
            <w:pPr>
              <w:tabs>
                <w:tab w:val="right" w:pos="1202"/>
              </w:tabs>
              <w:suppressAutoHyphens/>
              <w:autoSpaceDN w:val="0"/>
              <w:spacing w:line="340" w:lineRule="exact"/>
              <w:jc w:val="right"/>
              <w:outlineLvl w:val="0"/>
              <w:rPr>
                <w:rFonts w:ascii="Arial" w:eastAsia="Times New Roman" w:hAnsi="Arial" w:cs="Arial"/>
                <w:b/>
                <w:bCs/>
                <w:color w:val="000000" w:themeColor="text1"/>
                <w:sz w:val="18"/>
                <w:szCs w:val="18"/>
              </w:rPr>
            </w:pPr>
            <w:r w:rsidRPr="000276E6">
              <w:rPr>
                <w:rFonts w:ascii="Arial" w:hAnsi="Arial" w:cs="Arial"/>
                <w:b/>
                <w:bCs/>
                <w:color w:val="000000" w:themeColor="text1"/>
                <w:sz w:val="18"/>
                <w:szCs w:val="18"/>
              </w:rPr>
              <w:t>4.467.929</w:t>
            </w:r>
          </w:p>
        </w:tc>
        <w:tc>
          <w:tcPr>
            <w:tcW w:w="732" w:type="pct"/>
            <w:tcBorders>
              <w:top w:val="single" w:sz="12" w:space="0" w:color="auto"/>
              <w:bottom w:val="single" w:sz="12" w:space="0" w:color="auto"/>
            </w:tcBorders>
            <w:vAlign w:val="bottom"/>
          </w:tcPr>
          <w:p w14:paraId="2FBB5312" w14:textId="21FA9258" w:rsidR="00BB6700" w:rsidRPr="003D1614" w:rsidRDefault="00BB6700" w:rsidP="00BB6700">
            <w:pPr>
              <w:tabs>
                <w:tab w:val="right" w:pos="1202"/>
              </w:tabs>
              <w:suppressAutoHyphens/>
              <w:autoSpaceDN w:val="0"/>
              <w:spacing w:line="340"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4.464.827</w:t>
            </w:r>
          </w:p>
        </w:tc>
        <w:tc>
          <w:tcPr>
            <w:tcW w:w="733" w:type="pct"/>
            <w:tcBorders>
              <w:top w:val="single" w:sz="12" w:space="0" w:color="auto"/>
              <w:bottom w:val="single" w:sz="12" w:space="0" w:color="auto"/>
            </w:tcBorders>
            <w:vAlign w:val="bottom"/>
          </w:tcPr>
          <w:p w14:paraId="406EA54B" w14:textId="677DC0C4" w:rsidR="00BB6700" w:rsidRPr="007478FB" w:rsidRDefault="00BB6700" w:rsidP="00BB6700">
            <w:pPr>
              <w:tabs>
                <w:tab w:val="right" w:pos="1202"/>
              </w:tabs>
              <w:suppressAutoHyphens/>
              <w:autoSpaceDN w:val="0"/>
              <w:spacing w:line="340" w:lineRule="exact"/>
              <w:jc w:val="right"/>
              <w:outlineLvl w:val="0"/>
              <w:rPr>
                <w:rFonts w:ascii="Arial" w:eastAsia="Times New Roman" w:hAnsi="Arial" w:cs="Arial"/>
                <w:b/>
                <w:bCs/>
                <w:color w:val="000000" w:themeColor="text1"/>
                <w:sz w:val="18"/>
                <w:szCs w:val="18"/>
              </w:rPr>
            </w:pPr>
            <w:r w:rsidRPr="00FB65D9">
              <w:rPr>
                <w:rFonts w:ascii="Arial" w:hAnsi="Arial" w:cs="Arial"/>
                <w:b/>
                <w:bCs/>
                <w:color w:val="000000" w:themeColor="text1"/>
                <w:sz w:val="18"/>
                <w:szCs w:val="18"/>
              </w:rPr>
              <w:t>4.457.933</w:t>
            </w:r>
          </w:p>
        </w:tc>
      </w:tr>
    </w:tbl>
    <w:p w14:paraId="65D73D96" w14:textId="77777777" w:rsidR="00A13103" w:rsidRPr="003D1614" w:rsidRDefault="00A13103" w:rsidP="00A13103">
      <w:pPr>
        <w:suppressAutoHyphens/>
        <w:autoSpaceDN w:val="0"/>
        <w:jc w:val="both"/>
        <w:rPr>
          <w:rFonts w:ascii="Arial" w:eastAsia="Times New Roman" w:hAnsi="Arial" w:cs="Arial"/>
          <w:i/>
          <w:color w:val="000000" w:themeColor="text1"/>
          <w:sz w:val="20"/>
          <w:szCs w:val="20"/>
        </w:rPr>
      </w:pPr>
    </w:p>
    <w:p w14:paraId="04503B47" w14:textId="77777777" w:rsidR="00A13103" w:rsidRPr="003D1614" w:rsidRDefault="00A13103" w:rsidP="003311C4">
      <w:pPr>
        <w:suppressAutoHyphens/>
        <w:autoSpaceDN w:val="0"/>
        <w:jc w:val="both"/>
        <w:rPr>
          <w:rFonts w:ascii="Arial" w:eastAsia="Times New Roman" w:hAnsi="Arial" w:cs="Arial"/>
          <w:color w:val="000000" w:themeColor="text1"/>
          <w:sz w:val="20"/>
          <w:szCs w:val="20"/>
        </w:rPr>
        <w:sectPr w:rsidR="00A13103" w:rsidRPr="003D1614">
          <w:pgSz w:w="11906" w:h="16838"/>
          <w:pgMar w:top="1417" w:right="1417" w:bottom="1417" w:left="1417" w:header="708" w:footer="708" w:gutter="0"/>
          <w:cols w:space="708"/>
          <w:docGrid w:linePitch="360"/>
        </w:sectPr>
      </w:pPr>
    </w:p>
    <w:p w14:paraId="53045E0A" w14:textId="77777777" w:rsidR="00A13103" w:rsidRPr="003D1614" w:rsidRDefault="00A13103" w:rsidP="00A13103">
      <w:pPr>
        <w:keepNext/>
        <w:suppressAutoHyphens/>
        <w:autoSpaceDN w:val="0"/>
        <w:jc w:val="both"/>
        <w:outlineLvl w:val="0"/>
        <w:rPr>
          <w:rFonts w:ascii="Arial" w:eastAsia="Times New Roman" w:hAnsi="Arial" w:cs="Arial"/>
          <w:b/>
          <w:bCs/>
          <w:color w:val="000000" w:themeColor="text1"/>
          <w:sz w:val="20"/>
          <w:szCs w:val="20"/>
        </w:rPr>
      </w:pPr>
    </w:p>
    <w:p w14:paraId="6998859D" w14:textId="5165A020" w:rsidR="00A13103" w:rsidRPr="003D1614" w:rsidRDefault="00A13103" w:rsidP="00A13103">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1B4ACC07" w14:textId="77777777" w:rsidR="00A13103" w:rsidRPr="003D1614" w:rsidRDefault="00A13103" w:rsidP="00A13103">
      <w:pPr>
        <w:suppressAutoHyphens/>
        <w:autoSpaceDN w:val="0"/>
        <w:jc w:val="both"/>
        <w:rPr>
          <w:rFonts w:ascii="Arial" w:eastAsia="Times New Roman" w:hAnsi="Arial" w:cs="Arial"/>
          <w:b/>
          <w:color w:val="000000" w:themeColor="text1"/>
          <w:sz w:val="20"/>
          <w:szCs w:val="20"/>
        </w:rPr>
      </w:pPr>
    </w:p>
    <w:p w14:paraId="1F81E2EA" w14:textId="608B4568" w:rsidR="00A13103" w:rsidRPr="003D1614" w:rsidRDefault="00A13103" w:rsidP="00A13103">
      <w:pPr>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2</w:t>
      </w:r>
      <w:r w:rsidR="000E693B">
        <w:rPr>
          <w:rFonts w:ascii="Arial" w:eastAsia="Times New Roman" w:hAnsi="Arial" w:cs="Arial"/>
          <w:b/>
          <w:color w:val="000000" w:themeColor="text1"/>
          <w:sz w:val="20"/>
          <w:szCs w:val="20"/>
        </w:rPr>
        <w:t>3</w:t>
      </w:r>
      <w:r w:rsidRPr="003D1614">
        <w:rPr>
          <w:rFonts w:ascii="Arial" w:eastAsia="Times New Roman" w:hAnsi="Arial" w:cs="Arial"/>
          <w:b/>
          <w:color w:val="000000" w:themeColor="text1"/>
          <w:sz w:val="20"/>
          <w:szCs w:val="20"/>
        </w:rPr>
        <w:t xml:space="preserve">.3. </w:t>
      </w:r>
      <w:r w:rsidRPr="003D1614">
        <w:rPr>
          <w:rFonts w:ascii="Arial" w:eastAsia="Times New Roman" w:hAnsi="Arial" w:cs="Arial"/>
          <w:b/>
          <w:color w:val="000000" w:themeColor="text1"/>
          <w:sz w:val="20"/>
          <w:szCs w:val="20"/>
        </w:rPr>
        <w:tab/>
        <w:t>Kreditni rizik (nastavak)</w:t>
      </w:r>
    </w:p>
    <w:p w14:paraId="54EAF197" w14:textId="77777777" w:rsidR="00A13103" w:rsidRPr="003D1614" w:rsidRDefault="00A13103" w:rsidP="00A13103">
      <w:pPr>
        <w:suppressAutoHyphens/>
        <w:autoSpaceDN w:val="0"/>
        <w:jc w:val="both"/>
        <w:rPr>
          <w:rFonts w:ascii="Arial" w:eastAsia="Times New Roman" w:hAnsi="Arial" w:cs="Arial"/>
          <w:b/>
          <w:color w:val="000000" w:themeColor="text1"/>
          <w:sz w:val="20"/>
          <w:szCs w:val="20"/>
        </w:rPr>
      </w:pPr>
    </w:p>
    <w:p w14:paraId="54430BBD" w14:textId="77777777" w:rsidR="00A13103" w:rsidRPr="003D1614" w:rsidRDefault="00A13103" w:rsidP="00A13103">
      <w:pPr>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Koncentracija rizika i maksimalna izloženost kreditnom riziku (nastavak)</w:t>
      </w:r>
    </w:p>
    <w:p w14:paraId="2B26425B" w14:textId="77777777" w:rsidR="00A13103" w:rsidRPr="003D1614" w:rsidRDefault="00A13103" w:rsidP="00A13103">
      <w:pPr>
        <w:keepNext/>
        <w:suppressAutoHyphens/>
        <w:autoSpaceDN w:val="0"/>
        <w:jc w:val="both"/>
        <w:outlineLvl w:val="0"/>
        <w:rPr>
          <w:rFonts w:ascii="Arial" w:eastAsia="Times New Roman" w:hAnsi="Arial" w:cs="Arial"/>
          <w:color w:val="000000" w:themeColor="text1"/>
          <w:sz w:val="20"/>
          <w:szCs w:val="20"/>
        </w:rPr>
      </w:pPr>
    </w:p>
    <w:p w14:paraId="75CC57B9" w14:textId="77777777" w:rsidR="00A13103" w:rsidRPr="003D1614" w:rsidRDefault="00A13103" w:rsidP="00A13103">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Koncentracija imovine i garancija te preuzetih obveza prema zemljopisnim segmentima, neto izloženost, </w:t>
      </w:r>
      <w:r w:rsidRPr="003D1614">
        <w:rPr>
          <w:rFonts w:ascii="Arial" w:eastAsia="Times New Roman" w:hAnsi="Arial" w:cs="Arial"/>
          <w:bCs/>
          <w:color w:val="000000" w:themeColor="text1"/>
          <w:sz w:val="20"/>
          <w:szCs w:val="20"/>
        </w:rPr>
        <w:t>bez umanjenja za vrijednost sredstava osiguranja naplate</w:t>
      </w:r>
      <w:r w:rsidRPr="003D1614">
        <w:rPr>
          <w:rFonts w:ascii="Arial" w:eastAsia="Times New Roman" w:hAnsi="Arial" w:cs="Arial"/>
          <w:color w:val="000000" w:themeColor="text1"/>
          <w:sz w:val="20"/>
          <w:szCs w:val="20"/>
        </w:rPr>
        <w:t xml:space="preserve">: </w:t>
      </w:r>
    </w:p>
    <w:p w14:paraId="3B4E5D07" w14:textId="77777777" w:rsidR="00A13103" w:rsidRPr="003D1614" w:rsidRDefault="00A13103" w:rsidP="00A13103">
      <w:pPr>
        <w:keepNext/>
        <w:suppressAutoHyphens/>
        <w:autoSpaceDN w:val="0"/>
        <w:jc w:val="both"/>
        <w:outlineLvl w:val="0"/>
        <w:rPr>
          <w:rFonts w:ascii="Arial" w:eastAsia="Times New Roman" w:hAnsi="Arial" w:cs="Arial"/>
          <w:color w:val="000000" w:themeColor="text1"/>
          <w:sz w:val="20"/>
          <w:szCs w:val="20"/>
        </w:rPr>
      </w:pPr>
    </w:p>
    <w:p w14:paraId="4853A318" w14:textId="77777777" w:rsidR="00A13103" w:rsidRPr="003D1614" w:rsidRDefault="00A13103" w:rsidP="00A13103">
      <w:pPr>
        <w:keepNext/>
        <w:suppressAutoHyphens/>
        <w:autoSpaceDN w:val="0"/>
        <w:jc w:val="both"/>
        <w:outlineLvl w:val="0"/>
        <w:rPr>
          <w:rFonts w:ascii="Arial" w:eastAsia="Times New Roman" w:hAnsi="Arial" w:cs="Arial"/>
          <w:color w:val="000000" w:themeColor="text1"/>
          <w:sz w:val="20"/>
          <w:szCs w:val="20"/>
        </w:rPr>
      </w:pPr>
    </w:p>
    <w:tbl>
      <w:tblPr>
        <w:tblW w:w="4985" w:type="pct"/>
        <w:tblLayout w:type="fixed"/>
        <w:tblCellMar>
          <w:left w:w="30" w:type="dxa"/>
          <w:right w:w="30" w:type="dxa"/>
        </w:tblCellMar>
        <w:tblLook w:val="0000" w:firstRow="0" w:lastRow="0" w:firstColumn="0" w:lastColumn="0" w:noHBand="0" w:noVBand="0"/>
      </w:tblPr>
      <w:tblGrid>
        <w:gridCol w:w="4619"/>
        <w:gridCol w:w="1107"/>
        <w:gridCol w:w="1107"/>
        <w:gridCol w:w="1107"/>
        <w:gridCol w:w="1105"/>
      </w:tblGrid>
      <w:tr w:rsidR="00F252CE" w:rsidRPr="003D1614" w14:paraId="543D7FCD" w14:textId="77777777" w:rsidTr="00061A35">
        <w:trPr>
          <w:cantSplit/>
          <w:trHeight w:val="265"/>
          <w:tblHeader/>
        </w:trPr>
        <w:tc>
          <w:tcPr>
            <w:tcW w:w="2553" w:type="pct"/>
            <w:vAlign w:val="bottom"/>
          </w:tcPr>
          <w:p w14:paraId="6CB2EC8A" w14:textId="77777777" w:rsidR="00F252CE" w:rsidRPr="003D1614" w:rsidRDefault="00F252CE" w:rsidP="00061A35">
            <w:pPr>
              <w:tabs>
                <w:tab w:val="right" w:pos="1202"/>
              </w:tabs>
              <w:suppressAutoHyphens/>
              <w:autoSpaceDN w:val="0"/>
              <w:spacing w:line="240" w:lineRule="atLeast"/>
              <w:outlineLvl w:val="0"/>
              <w:rPr>
                <w:rFonts w:ascii="Arial" w:eastAsia="Times New Roman" w:hAnsi="Arial" w:cs="Arial"/>
                <w:b/>
                <w:color w:val="000000" w:themeColor="text1"/>
                <w:sz w:val="18"/>
                <w:szCs w:val="18"/>
              </w:rPr>
            </w:pPr>
            <w:bookmarkStart w:id="604" w:name="_Toc67329264"/>
            <w:bookmarkStart w:id="605" w:name="_Hlk499021691"/>
            <w:r w:rsidRPr="003D1614">
              <w:rPr>
                <w:rFonts w:ascii="Arial" w:eastAsia="Times New Roman" w:hAnsi="Arial" w:cs="Arial"/>
                <w:b/>
                <w:color w:val="000000" w:themeColor="text1"/>
                <w:sz w:val="18"/>
                <w:szCs w:val="18"/>
              </w:rPr>
              <w:t>Grupa</w:t>
            </w:r>
            <w:bookmarkEnd w:id="604"/>
          </w:p>
          <w:p w14:paraId="27294B8B" w14:textId="77777777" w:rsidR="00F252CE" w:rsidRPr="003D1614" w:rsidRDefault="00F252CE" w:rsidP="00061A35">
            <w:pPr>
              <w:tabs>
                <w:tab w:val="right" w:pos="1202"/>
              </w:tabs>
              <w:suppressAutoHyphens/>
              <w:autoSpaceDN w:val="0"/>
              <w:spacing w:line="240" w:lineRule="atLeast"/>
              <w:outlineLvl w:val="0"/>
              <w:rPr>
                <w:rFonts w:ascii="Arial" w:eastAsia="Times New Roman" w:hAnsi="Arial" w:cs="Arial"/>
                <w:b/>
                <w:color w:val="000000" w:themeColor="text1"/>
                <w:sz w:val="18"/>
                <w:szCs w:val="18"/>
              </w:rPr>
            </w:pPr>
          </w:p>
          <w:p w14:paraId="7643CC10" w14:textId="77777777" w:rsidR="00F252CE" w:rsidRPr="003D1614" w:rsidRDefault="00F252CE" w:rsidP="00061A35">
            <w:pPr>
              <w:tabs>
                <w:tab w:val="right" w:pos="1202"/>
              </w:tabs>
              <w:suppressAutoHyphens/>
              <w:autoSpaceDN w:val="0"/>
              <w:spacing w:line="240" w:lineRule="atLeast"/>
              <w:outlineLvl w:val="0"/>
              <w:rPr>
                <w:rFonts w:ascii="Arial" w:eastAsia="Times New Roman" w:hAnsi="Arial" w:cs="Arial"/>
                <w:b/>
                <w:color w:val="000000" w:themeColor="text1"/>
                <w:sz w:val="18"/>
                <w:szCs w:val="18"/>
              </w:rPr>
            </w:pPr>
            <w:r w:rsidRPr="00184EBE">
              <w:rPr>
                <w:rFonts w:ascii="Arial" w:eastAsia="Times New Roman" w:hAnsi="Arial" w:cs="Arial"/>
                <w:b/>
                <w:color w:val="000000" w:themeColor="text1"/>
                <w:sz w:val="18"/>
                <w:szCs w:val="18"/>
              </w:rPr>
              <w:t xml:space="preserve">30. rujna </w:t>
            </w:r>
            <w:r>
              <w:rPr>
                <w:rFonts w:ascii="Arial" w:eastAsia="Times New Roman" w:hAnsi="Arial" w:cs="Arial"/>
                <w:b/>
                <w:color w:val="000000" w:themeColor="text1"/>
                <w:sz w:val="18"/>
                <w:szCs w:val="18"/>
              </w:rPr>
              <w:t>2</w:t>
            </w:r>
            <w:r w:rsidRPr="00184EBE">
              <w:rPr>
                <w:rFonts w:ascii="Arial" w:eastAsia="Times New Roman" w:hAnsi="Arial" w:cs="Arial"/>
                <w:b/>
                <w:color w:val="000000" w:themeColor="text1"/>
                <w:sz w:val="18"/>
                <w:szCs w:val="18"/>
              </w:rPr>
              <w:t>02</w:t>
            </w:r>
            <w:r>
              <w:rPr>
                <w:rFonts w:ascii="Arial" w:eastAsia="Times New Roman" w:hAnsi="Arial" w:cs="Arial"/>
                <w:b/>
                <w:color w:val="000000" w:themeColor="text1"/>
                <w:sz w:val="18"/>
                <w:szCs w:val="18"/>
              </w:rPr>
              <w:t>4</w:t>
            </w:r>
            <w:r w:rsidRPr="00184EBE">
              <w:rPr>
                <w:rFonts w:ascii="Arial" w:eastAsia="Times New Roman" w:hAnsi="Arial" w:cs="Arial"/>
                <w:b/>
                <w:color w:val="000000" w:themeColor="text1"/>
                <w:sz w:val="18"/>
                <w:szCs w:val="18"/>
              </w:rPr>
              <w:t>.</w:t>
            </w:r>
          </w:p>
        </w:tc>
        <w:tc>
          <w:tcPr>
            <w:tcW w:w="612" w:type="pct"/>
            <w:vAlign w:val="bottom"/>
          </w:tcPr>
          <w:p w14:paraId="21F88756" w14:textId="77777777" w:rsidR="00F252CE" w:rsidRPr="003D1614" w:rsidRDefault="00F252CE" w:rsidP="00061A35">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06" w:name="_Toc67329266"/>
            <w:r w:rsidRPr="003D1614">
              <w:rPr>
                <w:rFonts w:ascii="Arial" w:eastAsia="Times New Roman" w:hAnsi="Arial" w:cs="Arial"/>
                <w:b/>
                <w:color w:val="000000" w:themeColor="text1"/>
                <w:sz w:val="18"/>
                <w:szCs w:val="18"/>
              </w:rPr>
              <w:t>Republika Hrvatska</w:t>
            </w:r>
            <w:bookmarkEnd w:id="606"/>
          </w:p>
        </w:tc>
        <w:tc>
          <w:tcPr>
            <w:tcW w:w="612" w:type="pct"/>
            <w:vAlign w:val="bottom"/>
          </w:tcPr>
          <w:p w14:paraId="566CBC17" w14:textId="77777777" w:rsidR="00F252CE" w:rsidRPr="003D1614" w:rsidRDefault="00F252CE" w:rsidP="00061A35">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07" w:name="_Toc67329267"/>
            <w:r w:rsidRPr="003D1614">
              <w:rPr>
                <w:rFonts w:ascii="Arial" w:eastAsia="Times New Roman" w:hAnsi="Arial" w:cs="Arial"/>
                <w:b/>
                <w:color w:val="000000" w:themeColor="text1"/>
                <w:sz w:val="18"/>
                <w:szCs w:val="18"/>
              </w:rPr>
              <w:t>Zemlje Europske unije</w:t>
            </w:r>
            <w:bookmarkEnd w:id="607"/>
          </w:p>
        </w:tc>
        <w:tc>
          <w:tcPr>
            <w:tcW w:w="612" w:type="pct"/>
            <w:vAlign w:val="bottom"/>
          </w:tcPr>
          <w:p w14:paraId="2478B3FF" w14:textId="77777777" w:rsidR="00F252CE" w:rsidRPr="003D1614" w:rsidRDefault="00F252CE" w:rsidP="00061A35">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08" w:name="_Toc67329268"/>
            <w:r w:rsidRPr="003D1614">
              <w:rPr>
                <w:rFonts w:ascii="Arial" w:eastAsia="Times New Roman" w:hAnsi="Arial" w:cs="Arial"/>
                <w:b/>
                <w:color w:val="000000" w:themeColor="text1"/>
                <w:sz w:val="18"/>
                <w:szCs w:val="18"/>
              </w:rPr>
              <w:t>Ostale</w:t>
            </w:r>
            <w:bookmarkEnd w:id="608"/>
            <w:r w:rsidRPr="003D1614">
              <w:rPr>
                <w:rFonts w:ascii="Arial" w:eastAsia="Times New Roman" w:hAnsi="Arial" w:cs="Arial"/>
                <w:b/>
                <w:color w:val="000000" w:themeColor="text1"/>
                <w:sz w:val="18"/>
                <w:szCs w:val="18"/>
              </w:rPr>
              <w:t xml:space="preserve"> </w:t>
            </w:r>
          </w:p>
          <w:p w14:paraId="459DF7DB" w14:textId="77777777" w:rsidR="00F252CE" w:rsidRPr="003D1614" w:rsidRDefault="00F252CE" w:rsidP="00061A35">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09" w:name="_Toc67329269"/>
            <w:r w:rsidRPr="003D1614">
              <w:rPr>
                <w:rFonts w:ascii="Arial" w:eastAsia="Times New Roman" w:hAnsi="Arial" w:cs="Arial"/>
                <w:b/>
                <w:color w:val="000000" w:themeColor="text1"/>
                <w:sz w:val="18"/>
                <w:szCs w:val="18"/>
              </w:rPr>
              <w:t>zemlje</w:t>
            </w:r>
            <w:bookmarkEnd w:id="609"/>
            <w:r w:rsidRPr="003D1614">
              <w:rPr>
                <w:rFonts w:ascii="Arial" w:eastAsia="Times New Roman" w:hAnsi="Arial" w:cs="Arial"/>
                <w:b/>
                <w:color w:val="000000" w:themeColor="text1"/>
                <w:sz w:val="18"/>
                <w:szCs w:val="18"/>
              </w:rPr>
              <w:t xml:space="preserve"> </w:t>
            </w:r>
          </w:p>
        </w:tc>
        <w:tc>
          <w:tcPr>
            <w:tcW w:w="611" w:type="pct"/>
            <w:vAlign w:val="bottom"/>
          </w:tcPr>
          <w:p w14:paraId="583A6B91" w14:textId="77777777" w:rsidR="00F252CE" w:rsidRPr="003D1614" w:rsidRDefault="00F252CE" w:rsidP="00061A35">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10" w:name="_Toc67329270"/>
            <w:r w:rsidRPr="003D1614">
              <w:rPr>
                <w:rFonts w:ascii="Arial" w:eastAsia="Times New Roman" w:hAnsi="Arial" w:cs="Arial"/>
                <w:b/>
                <w:color w:val="000000" w:themeColor="text1"/>
                <w:sz w:val="18"/>
                <w:szCs w:val="18"/>
              </w:rPr>
              <w:t>Ukupno</w:t>
            </w:r>
            <w:bookmarkEnd w:id="610"/>
          </w:p>
        </w:tc>
      </w:tr>
      <w:tr w:rsidR="00F252CE" w:rsidRPr="003D1614" w14:paraId="608DB7DA" w14:textId="77777777" w:rsidTr="00061A35">
        <w:trPr>
          <w:cantSplit/>
          <w:trHeight w:val="265"/>
          <w:tblHeader/>
        </w:trPr>
        <w:tc>
          <w:tcPr>
            <w:tcW w:w="2553" w:type="pct"/>
            <w:vAlign w:val="bottom"/>
          </w:tcPr>
          <w:p w14:paraId="565CCB6A" w14:textId="77777777" w:rsidR="00F252CE" w:rsidRPr="003D1614" w:rsidRDefault="00F252CE" w:rsidP="00061A35">
            <w:pPr>
              <w:suppressAutoHyphens/>
              <w:autoSpaceDN w:val="0"/>
              <w:ind w:left="113" w:hanging="113"/>
              <w:rPr>
                <w:rFonts w:ascii="Arial" w:eastAsia="Times New Roman" w:hAnsi="Arial" w:cs="Arial"/>
                <w:color w:val="000000" w:themeColor="text1"/>
                <w:sz w:val="18"/>
                <w:szCs w:val="18"/>
              </w:rPr>
            </w:pPr>
          </w:p>
        </w:tc>
        <w:tc>
          <w:tcPr>
            <w:tcW w:w="612" w:type="pct"/>
            <w:vAlign w:val="bottom"/>
          </w:tcPr>
          <w:p w14:paraId="40F48995" w14:textId="77777777" w:rsidR="00F252CE" w:rsidRPr="003D1614" w:rsidRDefault="00F252CE" w:rsidP="00061A35">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11" w:name="_Toc67329271"/>
            <w:r w:rsidRPr="003D1614">
              <w:rPr>
                <w:rFonts w:ascii="Arial" w:eastAsia="Times New Roman" w:hAnsi="Arial" w:cs="Arial"/>
                <w:b/>
                <w:color w:val="000000" w:themeColor="text1"/>
                <w:sz w:val="18"/>
                <w:szCs w:val="18"/>
              </w:rPr>
              <w:t>000 eura</w:t>
            </w:r>
            <w:bookmarkEnd w:id="611"/>
          </w:p>
        </w:tc>
        <w:tc>
          <w:tcPr>
            <w:tcW w:w="612" w:type="pct"/>
            <w:vAlign w:val="bottom"/>
          </w:tcPr>
          <w:p w14:paraId="004EFE70" w14:textId="77777777" w:rsidR="00F252CE" w:rsidRPr="003D1614" w:rsidRDefault="00F252CE" w:rsidP="00061A35">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12" w:name="_Toc67329272"/>
            <w:r w:rsidRPr="003D1614">
              <w:rPr>
                <w:rFonts w:ascii="Arial" w:eastAsia="Times New Roman" w:hAnsi="Arial" w:cs="Arial"/>
                <w:b/>
                <w:color w:val="000000" w:themeColor="text1"/>
                <w:sz w:val="18"/>
                <w:szCs w:val="18"/>
              </w:rPr>
              <w:t>000 eura</w:t>
            </w:r>
            <w:bookmarkEnd w:id="612"/>
          </w:p>
        </w:tc>
        <w:tc>
          <w:tcPr>
            <w:tcW w:w="612" w:type="pct"/>
            <w:vAlign w:val="bottom"/>
          </w:tcPr>
          <w:p w14:paraId="7183B1FA" w14:textId="77777777" w:rsidR="00F252CE" w:rsidRPr="003D1614" w:rsidRDefault="00F252CE" w:rsidP="00061A35">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13" w:name="_Toc67329273"/>
            <w:r w:rsidRPr="003D1614">
              <w:rPr>
                <w:rFonts w:ascii="Arial" w:eastAsia="Times New Roman" w:hAnsi="Arial" w:cs="Arial"/>
                <w:b/>
                <w:color w:val="000000" w:themeColor="text1"/>
                <w:sz w:val="18"/>
                <w:szCs w:val="18"/>
              </w:rPr>
              <w:t>000 eura</w:t>
            </w:r>
            <w:bookmarkEnd w:id="613"/>
          </w:p>
        </w:tc>
        <w:tc>
          <w:tcPr>
            <w:tcW w:w="611" w:type="pct"/>
            <w:vAlign w:val="bottom"/>
          </w:tcPr>
          <w:p w14:paraId="644FB2DD" w14:textId="77777777" w:rsidR="00F252CE" w:rsidRPr="003D1614" w:rsidRDefault="00F252CE" w:rsidP="00061A35">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14" w:name="_Toc67329274"/>
            <w:r w:rsidRPr="003D1614">
              <w:rPr>
                <w:rFonts w:ascii="Arial" w:eastAsia="Times New Roman" w:hAnsi="Arial" w:cs="Arial"/>
                <w:b/>
                <w:color w:val="000000" w:themeColor="text1"/>
                <w:sz w:val="18"/>
                <w:szCs w:val="18"/>
              </w:rPr>
              <w:t>000 eura</w:t>
            </w:r>
            <w:bookmarkEnd w:id="614"/>
          </w:p>
        </w:tc>
      </w:tr>
      <w:tr w:rsidR="00F252CE" w:rsidRPr="003D1614" w14:paraId="55838A2A" w14:textId="77777777" w:rsidTr="00061A35">
        <w:trPr>
          <w:cantSplit/>
          <w:trHeight w:val="265"/>
          <w:tblHeader/>
        </w:trPr>
        <w:tc>
          <w:tcPr>
            <w:tcW w:w="2553" w:type="pct"/>
            <w:vAlign w:val="bottom"/>
          </w:tcPr>
          <w:p w14:paraId="37D311CB" w14:textId="77777777" w:rsidR="00F252CE" w:rsidRPr="003D1614" w:rsidRDefault="00F252CE" w:rsidP="00061A35">
            <w:pPr>
              <w:suppressAutoHyphens/>
              <w:autoSpaceDN w:val="0"/>
              <w:ind w:left="113" w:hanging="113"/>
              <w:rPr>
                <w:rFonts w:ascii="Arial" w:eastAsia="Times New Roman" w:hAnsi="Arial" w:cs="Arial"/>
                <w:color w:val="000000" w:themeColor="text1"/>
                <w:sz w:val="18"/>
                <w:szCs w:val="18"/>
              </w:rPr>
            </w:pPr>
          </w:p>
        </w:tc>
        <w:tc>
          <w:tcPr>
            <w:tcW w:w="612" w:type="pct"/>
            <w:vAlign w:val="bottom"/>
          </w:tcPr>
          <w:p w14:paraId="375E6C4B" w14:textId="77777777" w:rsidR="00F252CE" w:rsidRPr="003D1614" w:rsidRDefault="00F252CE" w:rsidP="00061A35">
            <w:pPr>
              <w:suppressAutoHyphens/>
              <w:autoSpaceDN w:val="0"/>
              <w:jc w:val="right"/>
              <w:rPr>
                <w:rFonts w:ascii="Arial" w:eastAsia="Times New Roman" w:hAnsi="Arial" w:cs="Arial"/>
                <w:color w:val="000000" w:themeColor="text1"/>
                <w:sz w:val="18"/>
                <w:szCs w:val="18"/>
              </w:rPr>
            </w:pPr>
          </w:p>
        </w:tc>
        <w:tc>
          <w:tcPr>
            <w:tcW w:w="612" w:type="pct"/>
            <w:vAlign w:val="bottom"/>
          </w:tcPr>
          <w:p w14:paraId="3C6D4107" w14:textId="77777777" w:rsidR="00F252CE" w:rsidRPr="003D1614" w:rsidRDefault="00F252CE" w:rsidP="00061A35">
            <w:pPr>
              <w:suppressAutoHyphens/>
              <w:autoSpaceDN w:val="0"/>
              <w:jc w:val="right"/>
              <w:rPr>
                <w:rFonts w:ascii="Arial" w:eastAsia="Times New Roman" w:hAnsi="Arial" w:cs="Arial"/>
                <w:color w:val="000000" w:themeColor="text1"/>
                <w:sz w:val="18"/>
                <w:szCs w:val="18"/>
              </w:rPr>
            </w:pPr>
          </w:p>
        </w:tc>
        <w:tc>
          <w:tcPr>
            <w:tcW w:w="612" w:type="pct"/>
            <w:vAlign w:val="bottom"/>
          </w:tcPr>
          <w:p w14:paraId="466483D5" w14:textId="77777777" w:rsidR="00F252CE" w:rsidRPr="003D1614" w:rsidRDefault="00F252CE" w:rsidP="00061A35">
            <w:pPr>
              <w:suppressAutoHyphens/>
              <w:autoSpaceDN w:val="0"/>
              <w:jc w:val="right"/>
              <w:rPr>
                <w:rFonts w:ascii="Arial" w:eastAsia="Times New Roman" w:hAnsi="Arial" w:cs="Arial"/>
                <w:color w:val="000000" w:themeColor="text1"/>
                <w:sz w:val="18"/>
                <w:szCs w:val="18"/>
              </w:rPr>
            </w:pPr>
          </w:p>
        </w:tc>
        <w:tc>
          <w:tcPr>
            <w:tcW w:w="611" w:type="pct"/>
            <w:vAlign w:val="bottom"/>
          </w:tcPr>
          <w:p w14:paraId="19225780" w14:textId="77777777" w:rsidR="00F252CE" w:rsidRPr="003D1614" w:rsidRDefault="00F252CE" w:rsidP="00061A35">
            <w:pPr>
              <w:suppressAutoHyphens/>
              <w:autoSpaceDN w:val="0"/>
              <w:jc w:val="center"/>
              <w:rPr>
                <w:rFonts w:ascii="Arial" w:eastAsia="Times New Roman" w:hAnsi="Arial" w:cs="Arial"/>
                <w:color w:val="000000" w:themeColor="text1"/>
                <w:sz w:val="18"/>
                <w:szCs w:val="18"/>
              </w:rPr>
            </w:pPr>
          </w:p>
        </w:tc>
      </w:tr>
      <w:tr w:rsidR="00F252CE" w:rsidRPr="003D1614" w14:paraId="1F5B77FF" w14:textId="77777777" w:rsidTr="00061A35">
        <w:trPr>
          <w:cantSplit/>
          <w:trHeight w:val="265"/>
          <w:tblHeader/>
        </w:trPr>
        <w:tc>
          <w:tcPr>
            <w:tcW w:w="2553" w:type="pct"/>
            <w:vAlign w:val="bottom"/>
          </w:tcPr>
          <w:p w14:paraId="32583DBB" w14:textId="77777777" w:rsidR="00F252CE" w:rsidRPr="003D1614" w:rsidRDefault="00F252CE" w:rsidP="00061A35">
            <w:pPr>
              <w:tabs>
                <w:tab w:val="right" w:pos="1202"/>
              </w:tabs>
              <w:suppressAutoHyphens/>
              <w:autoSpaceDN w:val="0"/>
              <w:spacing w:line="301" w:lineRule="exact"/>
              <w:outlineLvl w:val="0"/>
              <w:rPr>
                <w:rFonts w:ascii="Arial" w:eastAsia="Times New Roman" w:hAnsi="Arial" w:cs="Arial"/>
                <w:b/>
                <w:bCs/>
                <w:color w:val="000000" w:themeColor="text1"/>
                <w:sz w:val="18"/>
                <w:szCs w:val="18"/>
              </w:rPr>
            </w:pPr>
            <w:bookmarkStart w:id="615" w:name="_Toc67329275"/>
            <w:r w:rsidRPr="003D1614">
              <w:rPr>
                <w:rFonts w:ascii="Arial" w:eastAsia="Times New Roman" w:hAnsi="Arial" w:cs="Arial"/>
                <w:b/>
                <w:bCs/>
                <w:color w:val="000000" w:themeColor="text1"/>
                <w:sz w:val="18"/>
                <w:szCs w:val="18"/>
              </w:rPr>
              <w:t>Imovina</w:t>
            </w:r>
            <w:bookmarkEnd w:id="615"/>
          </w:p>
        </w:tc>
        <w:tc>
          <w:tcPr>
            <w:tcW w:w="612" w:type="pct"/>
            <w:vAlign w:val="bottom"/>
          </w:tcPr>
          <w:p w14:paraId="7E450BEB" w14:textId="77777777" w:rsidR="00F252CE" w:rsidRPr="003D1614" w:rsidRDefault="00F252CE" w:rsidP="00061A35">
            <w:pPr>
              <w:suppressAutoHyphens/>
              <w:autoSpaceDN w:val="0"/>
              <w:jc w:val="right"/>
              <w:rPr>
                <w:rFonts w:ascii="Arial" w:eastAsia="Times New Roman" w:hAnsi="Arial" w:cs="Arial"/>
                <w:color w:val="000000" w:themeColor="text1"/>
                <w:sz w:val="18"/>
                <w:szCs w:val="18"/>
              </w:rPr>
            </w:pPr>
          </w:p>
        </w:tc>
        <w:tc>
          <w:tcPr>
            <w:tcW w:w="612" w:type="pct"/>
            <w:vAlign w:val="bottom"/>
          </w:tcPr>
          <w:p w14:paraId="39E7202C" w14:textId="77777777" w:rsidR="00F252CE" w:rsidRPr="003D1614" w:rsidRDefault="00F252CE" w:rsidP="00061A35">
            <w:pPr>
              <w:suppressAutoHyphens/>
              <w:autoSpaceDN w:val="0"/>
              <w:jc w:val="right"/>
              <w:rPr>
                <w:rFonts w:ascii="Arial" w:eastAsia="Times New Roman" w:hAnsi="Arial" w:cs="Arial"/>
                <w:color w:val="000000" w:themeColor="text1"/>
                <w:sz w:val="18"/>
                <w:szCs w:val="18"/>
              </w:rPr>
            </w:pPr>
          </w:p>
        </w:tc>
        <w:tc>
          <w:tcPr>
            <w:tcW w:w="612" w:type="pct"/>
            <w:vAlign w:val="bottom"/>
          </w:tcPr>
          <w:p w14:paraId="72C9FDBD" w14:textId="77777777" w:rsidR="00F252CE" w:rsidRPr="003D1614" w:rsidRDefault="00F252CE" w:rsidP="00061A35">
            <w:pPr>
              <w:suppressAutoHyphens/>
              <w:autoSpaceDN w:val="0"/>
              <w:jc w:val="right"/>
              <w:rPr>
                <w:rFonts w:ascii="Arial" w:eastAsia="Times New Roman" w:hAnsi="Arial" w:cs="Arial"/>
                <w:color w:val="000000" w:themeColor="text1"/>
                <w:sz w:val="18"/>
                <w:szCs w:val="18"/>
              </w:rPr>
            </w:pPr>
          </w:p>
        </w:tc>
        <w:tc>
          <w:tcPr>
            <w:tcW w:w="611" w:type="pct"/>
            <w:vAlign w:val="bottom"/>
          </w:tcPr>
          <w:p w14:paraId="4A183FFC" w14:textId="77777777" w:rsidR="00F252CE" w:rsidRPr="003D1614" w:rsidRDefault="00F252CE" w:rsidP="00061A35">
            <w:pPr>
              <w:suppressAutoHyphens/>
              <w:autoSpaceDN w:val="0"/>
              <w:jc w:val="center"/>
              <w:rPr>
                <w:rFonts w:ascii="Arial" w:eastAsia="Times New Roman" w:hAnsi="Arial" w:cs="Arial"/>
                <w:color w:val="000000" w:themeColor="text1"/>
                <w:sz w:val="18"/>
                <w:szCs w:val="18"/>
              </w:rPr>
            </w:pPr>
          </w:p>
        </w:tc>
      </w:tr>
      <w:tr w:rsidR="00F252CE" w:rsidRPr="003D1614" w14:paraId="5270D07C" w14:textId="77777777" w:rsidTr="00061A35">
        <w:trPr>
          <w:cantSplit/>
          <w:trHeight w:val="265"/>
          <w:tblHeader/>
        </w:trPr>
        <w:tc>
          <w:tcPr>
            <w:tcW w:w="2553" w:type="pct"/>
            <w:vAlign w:val="bottom"/>
          </w:tcPr>
          <w:p w14:paraId="13173620" w14:textId="77777777" w:rsidR="00F252CE" w:rsidRPr="003D1614" w:rsidRDefault="00F252CE" w:rsidP="00061A35">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16" w:name="_Toc67329276"/>
            <w:r w:rsidRPr="003D1614">
              <w:rPr>
                <w:rFonts w:ascii="Arial" w:eastAsia="Times New Roman" w:hAnsi="Arial" w:cs="Arial"/>
                <w:color w:val="000000" w:themeColor="text1"/>
                <w:sz w:val="18"/>
                <w:szCs w:val="18"/>
              </w:rPr>
              <w:t>Novčana sredstva i računi kod banaka</w:t>
            </w:r>
            <w:bookmarkEnd w:id="616"/>
          </w:p>
        </w:tc>
        <w:tc>
          <w:tcPr>
            <w:tcW w:w="612" w:type="pct"/>
            <w:vAlign w:val="bottom"/>
          </w:tcPr>
          <w:p w14:paraId="7C841DD9" w14:textId="77777777" w:rsidR="00F252CE" w:rsidRPr="003D1614" w:rsidRDefault="00F252CE" w:rsidP="00061A3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34.022</w:t>
            </w:r>
          </w:p>
        </w:tc>
        <w:tc>
          <w:tcPr>
            <w:tcW w:w="612" w:type="pct"/>
            <w:tcBorders>
              <w:top w:val="nil"/>
              <w:left w:val="nil"/>
              <w:bottom w:val="nil"/>
              <w:right w:val="nil"/>
            </w:tcBorders>
            <w:shd w:val="clear" w:color="auto" w:fill="auto"/>
            <w:vAlign w:val="bottom"/>
          </w:tcPr>
          <w:p w14:paraId="7379FED2" w14:textId="77777777" w:rsidR="00F252CE" w:rsidRPr="003D1614" w:rsidRDefault="00F252CE" w:rsidP="00061A3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142</w:t>
            </w:r>
          </w:p>
        </w:tc>
        <w:tc>
          <w:tcPr>
            <w:tcW w:w="612" w:type="pct"/>
            <w:tcBorders>
              <w:top w:val="nil"/>
              <w:left w:val="nil"/>
              <w:bottom w:val="nil"/>
              <w:right w:val="nil"/>
            </w:tcBorders>
            <w:shd w:val="clear" w:color="auto" w:fill="auto"/>
            <w:vAlign w:val="bottom"/>
          </w:tcPr>
          <w:p w14:paraId="2A31BB32" w14:textId="77777777" w:rsidR="00F252CE" w:rsidRPr="003D1614" w:rsidRDefault="00F252CE" w:rsidP="00061A3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86</w:t>
            </w:r>
          </w:p>
        </w:tc>
        <w:tc>
          <w:tcPr>
            <w:tcW w:w="611" w:type="pct"/>
            <w:tcBorders>
              <w:top w:val="nil"/>
              <w:left w:val="nil"/>
              <w:bottom w:val="nil"/>
              <w:right w:val="nil"/>
            </w:tcBorders>
            <w:shd w:val="clear" w:color="auto" w:fill="auto"/>
            <w:vAlign w:val="bottom"/>
          </w:tcPr>
          <w:p w14:paraId="50E73F36" w14:textId="77777777" w:rsidR="00F252CE" w:rsidRPr="003D1614" w:rsidRDefault="00F252CE" w:rsidP="00061A3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34.250</w:t>
            </w:r>
          </w:p>
        </w:tc>
      </w:tr>
      <w:tr w:rsidR="00F252CE" w:rsidRPr="003D1614" w14:paraId="06F4267E" w14:textId="77777777" w:rsidTr="00061A35">
        <w:trPr>
          <w:cantSplit/>
          <w:trHeight w:val="265"/>
          <w:tblHeader/>
        </w:trPr>
        <w:tc>
          <w:tcPr>
            <w:tcW w:w="2553" w:type="pct"/>
            <w:vAlign w:val="bottom"/>
          </w:tcPr>
          <w:p w14:paraId="4CFB0508" w14:textId="77777777" w:rsidR="00F252CE" w:rsidRPr="003D1614" w:rsidRDefault="00F252CE" w:rsidP="00061A35">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17" w:name="_Toc67329281"/>
            <w:r w:rsidRPr="003D1614">
              <w:rPr>
                <w:rFonts w:ascii="Arial" w:eastAsia="Times New Roman" w:hAnsi="Arial" w:cs="Arial"/>
                <w:color w:val="000000" w:themeColor="text1"/>
                <w:sz w:val="18"/>
                <w:szCs w:val="18"/>
              </w:rPr>
              <w:t>Depoziti kod drugih banaka</w:t>
            </w:r>
            <w:bookmarkEnd w:id="617"/>
          </w:p>
        </w:tc>
        <w:tc>
          <w:tcPr>
            <w:tcW w:w="612" w:type="pct"/>
            <w:tcBorders>
              <w:top w:val="nil"/>
              <w:left w:val="nil"/>
              <w:bottom w:val="nil"/>
              <w:right w:val="nil"/>
            </w:tcBorders>
            <w:shd w:val="clear" w:color="auto" w:fill="auto"/>
            <w:vAlign w:val="bottom"/>
          </w:tcPr>
          <w:p w14:paraId="54FCD188" w14:textId="77777777" w:rsidR="00F252CE" w:rsidRPr="003D1614" w:rsidRDefault="00F252CE" w:rsidP="00061A3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57.609</w:t>
            </w:r>
          </w:p>
        </w:tc>
        <w:tc>
          <w:tcPr>
            <w:tcW w:w="612" w:type="pct"/>
            <w:tcBorders>
              <w:top w:val="nil"/>
              <w:left w:val="nil"/>
              <w:bottom w:val="nil"/>
              <w:right w:val="nil"/>
            </w:tcBorders>
            <w:shd w:val="clear" w:color="auto" w:fill="auto"/>
            <w:vAlign w:val="bottom"/>
          </w:tcPr>
          <w:p w14:paraId="01FF2F25" w14:textId="77777777" w:rsidR="00F252CE" w:rsidRPr="003D1614" w:rsidRDefault="00F252CE" w:rsidP="00061A3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66.864</w:t>
            </w:r>
          </w:p>
        </w:tc>
        <w:tc>
          <w:tcPr>
            <w:tcW w:w="612" w:type="pct"/>
            <w:tcBorders>
              <w:top w:val="nil"/>
              <w:left w:val="nil"/>
              <w:bottom w:val="nil"/>
              <w:right w:val="nil"/>
            </w:tcBorders>
            <w:shd w:val="clear" w:color="auto" w:fill="auto"/>
            <w:vAlign w:val="bottom"/>
          </w:tcPr>
          <w:p w14:paraId="35C03EA9" w14:textId="77777777" w:rsidR="00F252CE" w:rsidRPr="003D1614" w:rsidRDefault="00F252CE" w:rsidP="00061A3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611" w:type="pct"/>
            <w:tcBorders>
              <w:top w:val="nil"/>
              <w:left w:val="nil"/>
              <w:bottom w:val="nil"/>
              <w:right w:val="nil"/>
            </w:tcBorders>
            <w:shd w:val="clear" w:color="auto" w:fill="auto"/>
            <w:vAlign w:val="bottom"/>
          </w:tcPr>
          <w:p w14:paraId="2B30B749" w14:textId="77777777" w:rsidR="00F252CE" w:rsidRPr="003D1614" w:rsidRDefault="00F252CE" w:rsidP="00061A3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124.473</w:t>
            </w:r>
          </w:p>
        </w:tc>
      </w:tr>
      <w:tr w:rsidR="00F252CE" w:rsidRPr="003D1614" w14:paraId="15722E78" w14:textId="77777777" w:rsidTr="00061A35">
        <w:trPr>
          <w:cantSplit/>
          <w:trHeight w:val="265"/>
          <w:tblHeader/>
        </w:trPr>
        <w:tc>
          <w:tcPr>
            <w:tcW w:w="2553" w:type="pct"/>
            <w:vAlign w:val="bottom"/>
          </w:tcPr>
          <w:p w14:paraId="5F756160" w14:textId="77777777" w:rsidR="00F252CE" w:rsidRPr="003D1614" w:rsidRDefault="00F252CE" w:rsidP="00061A35">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18" w:name="_Toc67329286"/>
            <w:r w:rsidRPr="003D1614">
              <w:rPr>
                <w:rFonts w:ascii="Arial" w:eastAsia="Times New Roman" w:hAnsi="Arial" w:cs="Arial"/>
                <w:color w:val="000000" w:themeColor="text1"/>
                <w:sz w:val="18"/>
                <w:szCs w:val="18"/>
              </w:rPr>
              <w:t>Krediti financijskim institucijama</w:t>
            </w:r>
            <w:bookmarkEnd w:id="618"/>
          </w:p>
        </w:tc>
        <w:tc>
          <w:tcPr>
            <w:tcW w:w="612" w:type="pct"/>
            <w:tcBorders>
              <w:top w:val="nil"/>
              <w:left w:val="nil"/>
              <w:bottom w:val="nil"/>
              <w:right w:val="nil"/>
            </w:tcBorders>
            <w:shd w:val="clear" w:color="auto" w:fill="auto"/>
            <w:vAlign w:val="bottom"/>
          </w:tcPr>
          <w:p w14:paraId="35258328" w14:textId="77777777" w:rsidR="00F252CE" w:rsidRPr="003D1614" w:rsidRDefault="00F252CE" w:rsidP="00061A3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1.167.204</w:t>
            </w:r>
          </w:p>
        </w:tc>
        <w:tc>
          <w:tcPr>
            <w:tcW w:w="612" w:type="pct"/>
            <w:tcBorders>
              <w:top w:val="nil"/>
              <w:left w:val="nil"/>
              <w:bottom w:val="nil"/>
              <w:right w:val="nil"/>
            </w:tcBorders>
            <w:shd w:val="clear" w:color="auto" w:fill="auto"/>
            <w:vAlign w:val="bottom"/>
          </w:tcPr>
          <w:p w14:paraId="7B2562DB" w14:textId="77777777" w:rsidR="00F252CE" w:rsidRPr="003D1614" w:rsidRDefault="00F252CE" w:rsidP="00061A3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612" w:type="pct"/>
            <w:tcBorders>
              <w:top w:val="nil"/>
              <w:left w:val="nil"/>
              <w:bottom w:val="nil"/>
              <w:right w:val="nil"/>
            </w:tcBorders>
            <w:shd w:val="clear" w:color="auto" w:fill="auto"/>
            <w:vAlign w:val="bottom"/>
          </w:tcPr>
          <w:p w14:paraId="644E56C7" w14:textId="77777777" w:rsidR="00F252CE" w:rsidRPr="003D1614" w:rsidRDefault="00F252CE" w:rsidP="00061A3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611" w:type="pct"/>
            <w:tcBorders>
              <w:top w:val="nil"/>
              <w:left w:val="nil"/>
              <w:bottom w:val="nil"/>
              <w:right w:val="nil"/>
            </w:tcBorders>
            <w:shd w:val="clear" w:color="auto" w:fill="auto"/>
            <w:vAlign w:val="bottom"/>
          </w:tcPr>
          <w:p w14:paraId="2C640DCD" w14:textId="77777777" w:rsidR="00F252CE" w:rsidRPr="003D1614" w:rsidRDefault="00F252CE" w:rsidP="00061A3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1.167.204</w:t>
            </w:r>
          </w:p>
        </w:tc>
      </w:tr>
      <w:tr w:rsidR="00F252CE" w:rsidRPr="003D1614" w14:paraId="55CED17B" w14:textId="77777777" w:rsidTr="00061A35">
        <w:trPr>
          <w:cantSplit/>
          <w:trHeight w:val="265"/>
          <w:tblHeader/>
        </w:trPr>
        <w:tc>
          <w:tcPr>
            <w:tcW w:w="2553" w:type="pct"/>
            <w:vAlign w:val="bottom"/>
          </w:tcPr>
          <w:p w14:paraId="586D5F86" w14:textId="77777777" w:rsidR="00F252CE" w:rsidRPr="003D1614" w:rsidRDefault="00F252CE" w:rsidP="00061A35">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19" w:name="_Toc67329291"/>
            <w:r w:rsidRPr="003D1614">
              <w:rPr>
                <w:rFonts w:ascii="Arial" w:eastAsia="Times New Roman" w:hAnsi="Arial" w:cs="Arial"/>
                <w:color w:val="000000" w:themeColor="text1"/>
                <w:sz w:val="18"/>
                <w:szCs w:val="18"/>
              </w:rPr>
              <w:t>Krediti ostalim korisnicima</w:t>
            </w:r>
            <w:bookmarkEnd w:id="619"/>
          </w:p>
        </w:tc>
        <w:tc>
          <w:tcPr>
            <w:tcW w:w="612" w:type="pct"/>
            <w:tcBorders>
              <w:top w:val="nil"/>
              <w:left w:val="nil"/>
              <w:bottom w:val="nil"/>
              <w:right w:val="nil"/>
            </w:tcBorders>
            <w:shd w:val="clear" w:color="auto" w:fill="auto"/>
            <w:vAlign w:val="bottom"/>
          </w:tcPr>
          <w:p w14:paraId="76F67EC7" w14:textId="77777777" w:rsidR="00F252CE" w:rsidRPr="003D1614" w:rsidRDefault="00F252CE" w:rsidP="00061A3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2.354.857</w:t>
            </w:r>
          </w:p>
        </w:tc>
        <w:tc>
          <w:tcPr>
            <w:tcW w:w="612" w:type="pct"/>
            <w:tcBorders>
              <w:top w:val="nil"/>
              <w:left w:val="nil"/>
              <w:bottom w:val="nil"/>
              <w:right w:val="nil"/>
            </w:tcBorders>
            <w:shd w:val="clear" w:color="auto" w:fill="auto"/>
            <w:vAlign w:val="bottom"/>
          </w:tcPr>
          <w:p w14:paraId="696A9618" w14:textId="77777777" w:rsidR="00F252CE" w:rsidRPr="003D1614" w:rsidRDefault="00F252CE" w:rsidP="00061A3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135</w:t>
            </w:r>
          </w:p>
        </w:tc>
        <w:tc>
          <w:tcPr>
            <w:tcW w:w="612" w:type="pct"/>
            <w:tcBorders>
              <w:top w:val="nil"/>
              <w:left w:val="nil"/>
              <w:bottom w:val="nil"/>
              <w:right w:val="nil"/>
            </w:tcBorders>
            <w:shd w:val="clear" w:color="auto" w:fill="auto"/>
            <w:vAlign w:val="bottom"/>
          </w:tcPr>
          <w:p w14:paraId="390D1606" w14:textId="77777777" w:rsidR="00F252CE" w:rsidRPr="003D1614" w:rsidRDefault="00F252CE" w:rsidP="00061A3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6.485</w:t>
            </w:r>
          </w:p>
        </w:tc>
        <w:tc>
          <w:tcPr>
            <w:tcW w:w="611" w:type="pct"/>
            <w:tcBorders>
              <w:top w:val="nil"/>
              <w:left w:val="nil"/>
              <w:bottom w:val="nil"/>
              <w:right w:val="nil"/>
            </w:tcBorders>
            <w:shd w:val="clear" w:color="auto" w:fill="auto"/>
            <w:vAlign w:val="bottom"/>
          </w:tcPr>
          <w:p w14:paraId="4612AEF5" w14:textId="77777777" w:rsidR="00F252CE" w:rsidRPr="003D1614" w:rsidRDefault="00F252CE" w:rsidP="00061A3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2.361.477</w:t>
            </w:r>
          </w:p>
        </w:tc>
      </w:tr>
      <w:tr w:rsidR="00F252CE" w:rsidRPr="003D1614" w14:paraId="459AD97A" w14:textId="77777777" w:rsidTr="00061A35">
        <w:trPr>
          <w:cantSplit/>
          <w:trHeight w:val="265"/>
          <w:tblHeader/>
        </w:trPr>
        <w:tc>
          <w:tcPr>
            <w:tcW w:w="2553" w:type="pct"/>
            <w:vAlign w:val="bottom"/>
          </w:tcPr>
          <w:p w14:paraId="7A474BC6" w14:textId="77777777" w:rsidR="00F252CE" w:rsidRPr="003D1614" w:rsidRDefault="00F252CE" w:rsidP="00061A35">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20" w:name="_Toc67329296"/>
            <w:r w:rsidRPr="003D1614">
              <w:rPr>
                <w:rFonts w:ascii="Arial" w:eastAsia="Times New Roman" w:hAnsi="Arial" w:cs="Arial"/>
                <w:color w:val="000000" w:themeColor="text1"/>
                <w:sz w:val="18"/>
                <w:szCs w:val="18"/>
              </w:rPr>
              <w:t>Financijska imovina po fer vrijednosti kroz dobit ili gubitak</w:t>
            </w:r>
            <w:bookmarkEnd w:id="620"/>
          </w:p>
        </w:tc>
        <w:tc>
          <w:tcPr>
            <w:tcW w:w="612" w:type="pct"/>
            <w:tcBorders>
              <w:top w:val="nil"/>
              <w:left w:val="nil"/>
              <w:bottom w:val="nil"/>
              <w:right w:val="nil"/>
            </w:tcBorders>
            <w:shd w:val="clear" w:color="auto" w:fill="auto"/>
            <w:vAlign w:val="bottom"/>
          </w:tcPr>
          <w:p w14:paraId="1C32E0F2" w14:textId="77777777" w:rsidR="00F252CE" w:rsidRPr="003D1614" w:rsidRDefault="00F252CE" w:rsidP="00061A3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32.946</w:t>
            </w:r>
          </w:p>
        </w:tc>
        <w:tc>
          <w:tcPr>
            <w:tcW w:w="612" w:type="pct"/>
            <w:tcBorders>
              <w:top w:val="nil"/>
              <w:left w:val="nil"/>
              <w:bottom w:val="nil"/>
              <w:right w:val="nil"/>
            </w:tcBorders>
            <w:shd w:val="clear" w:color="auto" w:fill="auto"/>
            <w:vAlign w:val="bottom"/>
          </w:tcPr>
          <w:p w14:paraId="66EC5AAF" w14:textId="77777777" w:rsidR="00F252CE" w:rsidRPr="003D1614" w:rsidRDefault="00F252CE" w:rsidP="00061A3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612" w:type="pct"/>
            <w:tcBorders>
              <w:top w:val="nil"/>
              <w:left w:val="nil"/>
              <w:bottom w:val="nil"/>
              <w:right w:val="nil"/>
            </w:tcBorders>
            <w:shd w:val="clear" w:color="auto" w:fill="auto"/>
            <w:vAlign w:val="bottom"/>
          </w:tcPr>
          <w:p w14:paraId="145FE350" w14:textId="77777777" w:rsidR="00F252CE" w:rsidRPr="003D1614" w:rsidRDefault="00F252CE" w:rsidP="00061A3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611" w:type="pct"/>
            <w:tcBorders>
              <w:top w:val="nil"/>
              <w:left w:val="nil"/>
              <w:bottom w:val="nil"/>
              <w:right w:val="nil"/>
            </w:tcBorders>
            <w:shd w:val="clear" w:color="auto" w:fill="auto"/>
            <w:vAlign w:val="bottom"/>
          </w:tcPr>
          <w:p w14:paraId="3DA03194" w14:textId="77777777" w:rsidR="00F252CE" w:rsidRPr="003D1614" w:rsidRDefault="00F252CE" w:rsidP="00061A3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32.946</w:t>
            </w:r>
          </w:p>
        </w:tc>
      </w:tr>
      <w:tr w:rsidR="00F252CE" w:rsidRPr="003D1614" w14:paraId="6BC4CF2E" w14:textId="77777777" w:rsidTr="00061A35">
        <w:trPr>
          <w:cantSplit/>
          <w:trHeight w:val="265"/>
          <w:tblHeader/>
        </w:trPr>
        <w:tc>
          <w:tcPr>
            <w:tcW w:w="2553" w:type="pct"/>
            <w:vAlign w:val="bottom"/>
          </w:tcPr>
          <w:p w14:paraId="6095E793" w14:textId="77777777" w:rsidR="00F252CE" w:rsidRPr="003D1614" w:rsidRDefault="00F252CE" w:rsidP="00061A35">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21" w:name="_Toc67329301"/>
            <w:r w:rsidRPr="003D1614">
              <w:rPr>
                <w:rFonts w:ascii="Arial" w:eastAsia="Times New Roman" w:hAnsi="Arial" w:cs="Arial"/>
                <w:color w:val="000000" w:themeColor="text1"/>
                <w:sz w:val="18"/>
                <w:szCs w:val="18"/>
              </w:rPr>
              <w:t>Financijska imovina po fer vrijednosti kroz ostalu sveobuhvatnu dobit</w:t>
            </w:r>
            <w:bookmarkEnd w:id="621"/>
            <w:r w:rsidRPr="003D1614">
              <w:rPr>
                <w:rFonts w:ascii="Arial" w:eastAsia="Times New Roman" w:hAnsi="Arial" w:cs="Arial"/>
                <w:color w:val="000000" w:themeColor="text1"/>
                <w:sz w:val="18"/>
                <w:szCs w:val="18"/>
              </w:rPr>
              <w:t xml:space="preserve">  </w:t>
            </w:r>
          </w:p>
        </w:tc>
        <w:tc>
          <w:tcPr>
            <w:tcW w:w="612" w:type="pct"/>
            <w:tcBorders>
              <w:top w:val="nil"/>
              <w:left w:val="nil"/>
              <w:right w:val="nil"/>
            </w:tcBorders>
            <w:shd w:val="clear" w:color="auto" w:fill="auto"/>
            <w:vAlign w:val="bottom"/>
          </w:tcPr>
          <w:p w14:paraId="71E1CC77" w14:textId="77777777" w:rsidR="00F252CE" w:rsidRPr="003D1614" w:rsidRDefault="00F252CE" w:rsidP="00061A3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244.273</w:t>
            </w:r>
          </w:p>
        </w:tc>
        <w:tc>
          <w:tcPr>
            <w:tcW w:w="612" w:type="pct"/>
            <w:tcBorders>
              <w:top w:val="nil"/>
              <w:left w:val="nil"/>
              <w:bottom w:val="nil"/>
              <w:right w:val="nil"/>
            </w:tcBorders>
            <w:shd w:val="clear" w:color="auto" w:fill="auto"/>
            <w:vAlign w:val="bottom"/>
          </w:tcPr>
          <w:p w14:paraId="7E6DD7CE" w14:textId="77777777" w:rsidR="00F252CE" w:rsidRPr="003D1614" w:rsidRDefault="00F252CE" w:rsidP="00061A3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137</w:t>
            </w:r>
          </w:p>
        </w:tc>
        <w:tc>
          <w:tcPr>
            <w:tcW w:w="612" w:type="pct"/>
            <w:tcBorders>
              <w:top w:val="nil"/>
              <w:left w:val="nil"/>
              <w:bottom w:val="nil"/>
              <w:right w:val="nil"/>
            </w:tcBorders>
            <w:shd w:val="clear" w:color="auto" w:fill="auto"/>
            <w:vAlign w:val="bottom"/>
          </w:tcPr>
          <w:p w14:paraId="56FCED4D" w14:textId="77777777" w:rsidR="00F252CE" w:rsidRPr="003D1614" w:rsidRDefault="00F252CE" w:rsidP="00061A3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611" w:type="pct"/>
            <w:tcBorders>
              <w:top w:val="nil"/>
              <w:left w:val="nil"/>
              <w:bottom w:val="nil"/>
              <w:right w:val="nil"/>
            </w:tcBorders>
            <w:shd w:val="clear" w:color="auto" w:fill="auto"/>
            <w:vAlign w:val="bottom"/>
          </w:tcPr>
          <w:p w14:paraId="4028795E" w14:textId="77777777" w:rsidR="00F252CE" w:rsidRPr="003D1614" w:rsidRDefault="00F252CE" w:rsidP="00061A3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244.410</w:t>
            </w:r>
          </w:p>
        </w:tc>
      </w:tr>
      <w:tr w:rsidR="00F252CE" w:rsidRPr="003D1614" w14:paraId="60E2AF93" w14:textId="77777777" w:rsidTr="00061A35">
        <w:trPr>
          <w:cantSplit/>
          <w:trHeight w:val="265"/>
          <w:tblHeader/>
        </w:trPr>
        <w:tc>
          <w:tcPr>
            <w:tcW w:w="2553" w:type="pct"/>
            <w:vAlign w:val="bottom"/>
          </w:tcPr>
          <w:p w14:paraId="784D1536" w14:textId="77777777" w:rsidR="00F252CE" w:rsidRPr="003D1614" w:rsidRDefault="00F252CE" w:rsidP="00061A35">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22" w:name="_Toc67329311"/>
            <w:r w:rsidRPr="003D1614">
              <w:rPr>
                <w:rFonts w:ascii="Arial" w:eastAsia="Times New Roman" w:hAnsi="Arial" w:cs="Arial"/>
                <w:color w:val="000000" w:themeColor="text1"/>
                <w:sz w:val="18"/>
                <w:szCs w:val="18"/>
              </w:rPr>
              <w:t>Ostala imovina</w:t>
            </w:r>
            <w:bookmarkEnd w:id="622"/>
          </w:p>
        </w:tc>
        <w:tc>
          <w:tcPr>
            <w:tcW w:w="612" w:type="pct"/>
            <w:tcBorders>
              <w:top w:val="nil"/>
              <w:left w:val="nil"/>
              <w:bottom w:val="single" w:sz="4" w:space="0" w:color="auto"/>
              <w:right w:val="nil"/>
            </w:tcBorders>
            <w:shd w:val="clear" w:color="auto" w:fill="auto"/>
            <w:vAlign w:val="bottom"/>
          </w:tcPr>
          <w:p w14:paraId="4033C269" w14:textId="77777777" w:rsidR="00F252CE" w:rsidRPr="003D1614" w:rsidRDefault="00F252CE" w:rsidP="00061A3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1.041</w:t>
            </w:r>
          </w:p>
        </w:tc>
        <w:tc>
          <w:tcPr>
            <w:tcW w:w="612" w:type="pct"/>
            <w:tcBorders>
              <w:top w:val="nil"/>
              <w:left w:val="nil"/>
              <w:bottom w:val="single" w:sz="4" w:space="0" w:color="auto"/>
              <w:right w:val="nil"/>
            </w:tcBorders>
            <w:shd w:val="clear" w:color="auto" w:fill="auto"/>
            <w:vAlign w:val="bottom"/>
          </w:tcPr>
          <w:p w14:paraId="1CB6117C" w14:textId="77777777" w:rsidR="00F252CE" w:rsidRPr="003D1614" w:rsidRDefault="00F252CE" w:rsidP="00061A3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1.033</w:t>
            </w:r>
          </w:p>
        </w:tc>
        <w:tc>
          <w:tcPr>
            <w:tcW w:w="612" w:type="pct"/>
            <w:tcBorders>
              <w:top w:val="nil"/>
              <w:left w:val="nil"/>
              <w:bottom w:val="single" w:sz="4" w:space="0" w:color="auto"/>
              <w:right w:val="nil"/>
            </w:tcBorders>
            <w:shd w:val="clear" w:color="auto" w:fill="auto"/>
            <w:vAlign w:val="bottom"/>
          </w:tcPr>
          <w:p w14:paraId="0FC985A3" w14:textId="77777777" w:rsidR="00F252CE" w:rsidRPr="003D1614" w:rsidRDefault="00F252CE" w:rsidP="00061A3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611" w:type="pct"/>
            <w:tcBorders>
              <w:top w:val="nil"/>
              <w:left w:val="nil"/>
              <w:bottom w:val="single" w:sz="4" w:space="0" w:color="auto"/>
              <w:right w:val="nil"/>
            </w:tcBorders>
            <w:shd w:val="clear" w:color="auto" w:fill="auto"/>
            <w:vAlign w:val="bottom"/>
          </w:tcPr>
          <w:p w14:paraId="41186B8C" w14:textId="77777777" w:rsidR="00F252CE" w:rsidRPr="003D1614" w:rsidRDefault="00F252CE" w:rsidP="00061A3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2.074</w:t>
            </w:r>
          </w:p>
        </w:tc>
      </w:tr>
      <w:tr w:rsidR="00F252CE" w:rsidRPr="003D1614" w14:paraId="691A5CA2" w14:textId="77777777" w:rsidTr="00061A35">
        <w:trPr>
          <w:cantSplit/>
          <w:trHeight w:val="315"/>
          <w:tblHeader/>
        </w:trPr>
        <w:tc>
          <w:tcPr>
            <w:tcW w:w="2553" w:type="pct"/>
            <w:vAlign w:val="bottom"/>
          </w:tcPr>
          <w:p w14:paraId="737692CF" w14:textId="77777777" w:rsidR="00F252CE" w:rsidRPr="003D1614" w:rsidRDefault="00F252CE" w:rsidP="00061A35">
            <w:pPr>
              <w:tabs>
                <w:tab w:val="right" w:pos="1202"/>
              </w:tabs>
              <w:suppressAutoHyphens/>
              <w:autoSpaceDN w:val="0"/>
              <w:spacing w:line="301" w:lineRule="exact"/>
              <w:outlineLvl w:val="0"/>
              <w:rPr>
                <w:rFonts w:ascii="Arial" w:eastAsia="Times New Roman" w:hAnsi="Arial" w:cs="Arial"/>
                <w:b/>
                <w:bCs/>
                <w:color w:val="000000" w:themeColor="text1"/>
                <w:sz w:val="18"/>
                <w:szCs w:val="18"/>
              </w:rPr>
            </w:pPr>
            <w:bookmarkStart w:id="623" w:name="_Toc67329316"/>
            <w:r w:rsidRPr="003D1614">
              <w:rPr>
                <w:rFonts w:ascii="Arial" w:eastAsia="Times New Roman" w:hAnsi="Arial" w:cs="Arial"/>
                <w:b/>
                <w:bCs/>
                <w:color w:val="000000" w:themeColor="text1"/>
                <w:sz w:val="18"/>
                <w:szCs w:val="18"/>
              </w:rPr>
              <w:t>Ukupno</w:t>
            </w:r>
            <w:bookmarkEnd w:id="623"/>
            <w:r w:rsidRPr="003D1614">
              <w:rPr>
                <w:rFonts w:ascii="Arial" w:eastAsia="Times New Roman" w:hAnsi="Arial" w:cs="Arial"/>
                <w:b/>
                <w:bCs/>
                <w:color w:val="000000" w:themeColor="text1"/>
                <w:sz w:val="18"/>
                <w:szCs w:val="18"/>
              </w:rPr>
              <w:t xml:space="preserve"> </w:t>
            </w:r>
          </w:p>
        </w:tc>
        <w:tc>
          <w:tcPr>
            <w:tcW w:w="612" w:type="pct"/>
            <w:tcBorders>
              <w:top w:val="single" w:sz="4" w:space="0" w:color="auto"/>
              <w:left w:val="nil"/>
              <w:bottom w:val="single" w:sz="8" w:space="0" w:color="auto"/>
              <w:right w:val="nil"/>
            </w:tcBorders>
            <w:shd w:val="clear" w:color="auto" w:fill="auto"/>
            <w:vAlign w:val="bottom"/>
          </w:tcPr>
          <w:p w14:paraId="26EB0B6F" w14:textId="77777777" w:rsidR="00F252CE" w:rsidRPr="00F23DD1" w:rsidRDefault="00F252CE" w:rsidP="00061A35">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3.891.952</w:t>
            </w:r>
          </w:p>
        </w:tc>
        <w:tc>
          <w:tcPr>
            <w:tcW w:w="612" w:type="pct"/>
            <w:tcBorders>
              <w:top w:val="nil"/>
              <w:left w:val="nil"/>
              <w:bottom w:val="single" w:sz="8" w:space="0" w:color="auto"/>
              <w:right w:val="nil"/>
            </w:tcBorders>
            <w:shd w:val="clear" w:color="auto" w:fill="auto"/>
            <w:vAlign w:val="bottom"/>
          </w:tcPr>
          <w:p w14:paraId="22225B19" w14:textId="77777777" w:rsidR="00F252CE" w:rsidRPr="00F23DD1" w:rsidRDefault="00F252CE" w:rsidP="00061A35">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68.311</w:t>
            </w:r>
          </w:p>
        </w:tc>
        <w:tc>
          <w:tcPr>
            <w:tcW w:w="612" w:type="pct"/>
            <w:tcBorders>
              <w:top w:val="nil"/>
              <w:left w:val="nil"/>
              <w:bottom w:val="single" w:sz="8" w:space="0" w:color="auto"/>
              <w:right w:val="nil"/>
            </w:tcBorders>
            <w:shd w:val="clear" w:color="auto" w:fill="auto"/>
            <w:vAlign w:val="bottom"/>
          </w:tcPr>
          <w:p w14:paraId="1B0D8349" w14:textId="77777777" w:rsidR="00F252CE" w:rsidRPr="00F23DD1" w:rsidRDefault="00F252CE" w:rsidP="00061A35">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6.571</w:t>
            </w:r>
          </w:p>
        </w:tc>
        <w:tc>
          <w:tcPr>
            <w:tcW w:w="611" w:type="pct"/>
            <w:tcBorders>
              <w:top w:val="nil"/>
              <w:left w:val="nil"/>
              <w:bottom w:val="single" w:sz="8" w:space="0" w:color="auto"/>
              <w:right w:val="nil"/>
            </w:tcBorders>
            <w:shd w:val="clear" w:color="auto" w:fill="auto"/>
            <w:vAlign w:val="bottom"/>
          </w:tcPr>
          <w:p w14:paraId="707239A5" w14:textId="77777777" w:rsidR="00F252CE" w:rsidRPr="00F23DD1" w:rsidRDefault="00F252CE" w:rsidP="00061A35">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3.966.834</w:t>
            </w:r>
          </w:p>
        </w:tc>
      </w:tr>
      <w:tr w:rsidR="00F252CE" w:rsidRPr="003D1614" w14:paraId="62E98CB5" w14:textId="77777777" w:rsidTr="00061A35">
        <w:tblPrEx>
          <w:tblCellMar>
            <w:left w:w="31" w:type="dxa"/>
            <w:right w:w="31" w:type="dxa"/>
          </w:tblCellMar>
        </w:tblPrEx>
        <w:trPr>
          <w:cantSplit/>
          <w:trHeight w:val="265"/>
          <w:tblHeader/>
        </w:trPr>
        <w:tc>
          <w:tcPr>
            <w:tcW w:w="2553" w:type="pct"/>
            <w:vAlign w:val="bottom"/>
          </w:tcPr>
          <w:p w14:paraId="3360B00F" w14:textId="77777777" w:rsidR="00F252CE" w:rsidRPr="003D1614" w:rsidRDefault="00F252CE" w:rsidP="00061A35">
            <w:pPr>
              <w:tabs>
                <w:tab w:val="right" w:pos="1202"/>
              </w:tabs>
              <w:suppressAutoHyphens/>
              <w:autoSpaceDN w:val="0"/>
              <w:spacing w:line="301" w:lineRule="exact"/>
              <w:outlineLvl w:val="0"/>
              <w:rPr>
                <w:rFonts w:ascii="Arial" w:eastAsia="Times New Roman" w:hAnsi="Arial" w:cs="Arial"/>
                <w:b/>
                <w:bCs/>
                <w:color w:val="000000" w:themeColor="text1"/>
                <w:sz w:val="18"/>
                <w:szCs w:val="18"/>
              </w:rPr>
            </w:pPr>
          </w:p>
        </w:tc>
        <w:tc>
          <w:tcPr>
            <w:tcW w:w="612" w:type="pct"/>
            <w:tcBorders>
              <w:top w:val="single" w:sz="12" w:space="0" w:color="auto"/>
            </w:tcBorders>
            <w:vAlign w:val="bottom"/>
          </w:tcPr>
          <w:p w14:paraId="1F4EF6EF" w14:textId="77777777" w:rsidR="00F252CE" w:rsidRPr="003D1614" w:rsidRDefault="00F252CE" w:rsidP="00061A3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c>
          <w:tcPr>
            <w:tcW w:w="612" w:type="pct"/>
            <w:tcBorders>
              <w:top w:val="single" w:sz="12" w:space="0" w:color="auto"/>
            </w:tcBorders>
            <w:vAlign w:val="bottom"/>
          </w:tcPr>
          <w:p w14:paraId="3363ED3E" w14:textId="77777777" w:rsidR="00F252CE" w:rsidRPr="003D1614" w:rsidRDefault="00F252CE" w:rsidP="00061A3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c>
          <w:tcPr>
            <w:tcW w:w="612" w:type="pct"/>
            <w:tcBorders>
              <w:top w:val="single" w:sz="12" w:space="0" w:color="auto"/>
            </w:tcBorders>
            <w:vAlign w:val="bottom"/>
          </w:tcPr>
          <w:p w14:paraId="1B9122C4" w14:textId="77777777" w:rsidR="00F252CE" w:rsidRPr="003D1614" w:rsidRDefault="00F252CE" w:rsidP="00061A3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c>
          <w:tcPr>
            <w:tcW w:w="611" w:type="pct"/>
            <w:tcBorders>
              <w:top w:val="single" w:sz="12" w:space="0" w:color="auto"/>
            </w:tcBorders>
            <w:vAlign w:val="bottom"/>
          </w:tcPr>
          <w:p w14:paraId="29EF785F" w14:textId="77777777" w:rsidR="00F252CE" w:rsidRPr="003D1614" w:rsidRDefault="00F252CE" w:rsidP="00061A3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r>
      <w:tr w:rsidR="00F252CE" w:rsidRPr="003D1614" w14:paraId="0DF47373" w14:textId="77777777" w:rsidTr="00061A35">
        <w:tblPrEx>
          <w:tblCellMar>
            <w:left w:w="31" w:type="dxa"/>
            <w:right w:w="31" w:type="dxa"/>
          </w:tblCellMar>
        </w:tblPrEx>
        <w:trPr>
          <w:cantSplit/>
          <w:trHeight w:val="265"/>
          <w:tblHeader/>
        </w:trPr>
        <w:tc>
          <w:tcPr>
            <w:tcW w:w="2553" w:type="pct"/>
            <w:vAlign w:val="bottom"/>
          </w:tcPr>
          <w:p w14:paraId="34C7DE6F" w14:textId="77777777" w:rsidR="00F252CE" w:rsidRPr="003D1614" w:rsidRDefault="00F252CE" w:rsidP="00061A35">
            <w:pPr>
              <w:tabs>
                <w:tab w:val="right" w:pos="1202"/>
              </w:tabs>
              <w:suppressAutoHyphens/>
              <w:autoSpaceDN w:val="0"/>
              <w:spacing w:line="301" w:lineRule="exact"/>
              <w:outlineLvl w:val="0"/>
              <w:rPr>
                <w:rFonts w:ascii="Arial" w:eastAsia="Times New Roman" w:hAnsi="Arial" w:cs="Arial"/>
                <w:b/>
                <w:bCs/>
                <w:color w:val="000000" w:themeColor="text1"/>
                <w:sz w:val="18"/>
                <w:szCs w:val="18"/>
              </w:rPr>
            </w:pPr>
            <w:bookmarkStart w:id="624" w:name="_Toc67329321"/>
            <w:r w:rsidRPr="003D1614">
              <w:rPr>
                <w:rFonts w:ascii="Arial" w:eastAsia="Times New Roman" w:hAnsi="Arial" w:cs="Arial"/>
                <w:b/>
                <w:bCs/>
                <w:color w:val="000000" w:themeColor="text1"/>
                <w:sz w:val="18"/>
                <w:szCs w:val="18"/>
              </w:rPr>
              <w:t>Garancije i preuzete obveze</w:t>
            </w:r>
            <w:bookmarkEnd w:id="624"/>
          </w:p>
        </w:tc>
        <w:tc>
          <w:tcPr>
            <w:tcW w:w="612" w:type="pct"/>
            <w:vAlign w:val="bottom"/>
          </w:tcPr>
          <w:p w14:paraId="72AD2AA1" w14:textId="77777777" w:rsidR="00F252CE" w:rsidRPr="003D1614" w:rsidRDefault="00F252CE" w:rsidP="00061A3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c>
          <w:tcPr>
            <w:tcW w:w="612" w:type="pct"/>
            <w:vAlign w:val="bottom"/>
          </w:tcPr>
          <w:p w14:paraId="78494850" w14:textId="77777777" w:rsidR="00F252CE" w:rsidRPr="003D1614" w:rsidRDefault="00F252CE" w:rsidP="00061A3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c>
          <w:tcPr>
            <w:tcW w:w="612" w:type="pct"/>
            <w:vAlign w:val="bottom"/>
          </w:tcPr>
          <w:p w14:paraId="2E681F92" w14:textId="77777777" w:rsidR="00F252CE" w:rsidRPr="003D1614" w:rsidRDefault="00F252CE" w:rsidP="00061A3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c>
          <w:tcPr>
            <w:tcW w:w="611" w:type="pct"/>
            <w:vAlign w:val="bottom"/>
          </w:tcPr>
          <w:p w14:paraId="6B8FFD47" w14:textId="77777777" w:rsidR="00F252CE" w:rsidRPr="003D1614" w:rsidRDefault="00F252CE" w:rsidP="00061A3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r>
      <w:tr w:rsidR="00F252CE" w:rsidRPr="003D1614" w14:paraId="54802EB2" w14:textId="77777777" w:rsidTr="00061A35">
        <w:tblPrEx>
          <w:tblCellMar>
            <w:left w:w="31" w:type="dxa"/>
            <w:right w:w="31" w:type="dxa"/>
          </w:tblCellMar>
        </w:tblPrEx>
        <w:trPr>
          <w:cantSplit/>
          <w:trHeight w:val="265"/>
          <w:tblHeader/>
        </w:trPr>
        <w:tc>
          <w:tcPr>
            <w:tcW w:w="2553" w:type="pct"/>
            <w:vAlign w:val="bottom"/>
          </w:tcPr>
          <w:p w14:paraId="75FDB08E" w14:textId="77777777" w:rsidR="00F252CE" w:rsidRPr="003D1614" w:rsidRDefault="00F252CE" w:rsidP="00061A35">
            <w:pPr>
              <w:tabs>
                <w:tab w:val="right" w:pos="1202"/>
              </w:tabs>
              <w:suppressAutoHyphens/>
              <w:autoSpaceDN w:val="0"/>
              <w:spacing w:line="301" w:lineRule="exact"/>
              <w:outlineLvl w:val="0"/>
              <w:rPr>
                <w:rFonts w:ascii="Arial" w:eastAsia="Times New Roman" w:hAnsi="Arial" w:cs="Arial"/>
                <w:b/>
                <w:bCs/>
                <w:color w:val="000000" w:themeColor="text1"/>
                <w:sz w:val="18"/>
                <w:szCs w:val="18"/>
              </w:rPr>
            </w:pPr>
            <w:bookmarkStart w:id="625" w:name="_Toc67329322"/>
            <w:r w:rsidRPr="003D1614">
              <w:rPr>
                <w:rFonts w:ascii="Arial" w:eastAsia="Times New Roman" w:hAnsi="Arial" w:cs="Arial"/>
                <w:color w:val="000000" w:themeColor="text1"/>
                <w:sz w:val="18"/>
                <w:szCs w:val="18"/>
              </w:rPr>
              <w:t>Izdane garancije</w:t>
            </w:r>
            <w:bookmarkEnd w:id="625"/>
          </w:p>
        </w:tc>
        <w:tc>
          <w:tcPr>
            <w:tcW w:w="612" w:type="pct"/>
            <w:tcBorders>
              <w:top w:val="nil"/>
              <w:left w:val="nil"/>
              <w:bottom w:val="nil"/>
              <w:right w:val="nil"/>
            </w:tcBorders>
            <w:shd w:val="clear" w:color="auto" w:fill="auto"/>
            <w:vAlign w:val="bottom"/>
          </w:tcPr>
          <w:p w14:paraId="206B371E" w14:textId="77777777" w:rsidR="00F252CE" w:rsidRPr="003D1614" w:rsidRDefault="00F252CE" w:rsidP="00061A3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43.586</w:t>
            </w:r>
          </w:p>
        </w:tc>
        <w:tc>
          <w:tcPr>
            <w:tcW w:w="612" w:type="pct"/>
            <w:tcBorders>
              <w:top w:val="nil"/>
              <w:left w:val="nil"/>
              <w:bottom w:val="nil"/>
              <w:right w:val="nil"/>
            </w:tcBorders>
            <w:shd w:val="clear" w:color="auto" w:fill="auto"/>
            <w:vAlign w:val="bottom"/>
          </w:tcPr>
          <w:p w14:paraId="4C2E335E" w14:textId="77777777" w:rsidR="00F252CE" w:rsidRPr="003D1614" w:rsidRDefault="00F252CE" w:rsidP="00061A3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612" w:type="pct"/>
            <w:tcBorders>
              <w:top w:val="nil"/>
              <w:left w:val="nil"/>
              <w:bottom w:val="nil"/>
              <w:right w:val="nil"/>
            </w:tcBorders>
            <w:shd w:val="clear" w:color="auto" w:fill="auto"/>
            <w:vAlign w:val="bottom"/>
          </w:tcPr>
          <w:p w14:paraId="23758334" w14:textId="77777777" w:rsidR="00F252CE" w:rsidRPr="003D1614" w:rsidRDefault="00F252CE" w:rsidP="00061A3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611" w:type="pct"/>
            <w:tcBorders>
              <w:top w:val="nil"/>
              <w:left w:val="nil"/>
              <w:bottom w:val="nil"/>
              <w:right w:val="nil"/>
            </w:tcBorders>
            <w:shd w:val="clear" w:color="auto" w:fill="auto"/>
            <w:vAlign w:val="bottom"/>
          </w:tcPr>
          <w:p w14:paraId="6E372480" w14:textId="77777777" w:rsidR="00F252CE" w:rsidRPr="003D1614" w:rsidRDefault="00F252CE" w:rsidP="00061A3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43.586</w:t>
            </w:r>
          </w:p>
        </w:tc>
      </w:tr>
      <w:tr w:rsidR="00F252CE" w:rsidRPr="003D1614" w14:paraId="5B6B6295" w14:textId="77777777" w:rsidTr="00061A35">
        <w:tblPrEx>
          <w:tblCellMar>
            <w:left w:w="31" w:type="dxa"/>
            <w:right w:w="31" w:type="dxa"/>
          </w:tblCellMar>
        </w:tblPrEx>
        <w:trPr>
          <w:cantSplit/>
          <w:trHeight w:val="265"/>
          <w:tblHeader/>
        </w:trPr>
        <w:tc>
          <w:tcPr>
            <w:tcW w:w="2553" w:type="pct"/>
            <w:vAlign w:val="bottom"/>
          </w:tcPr>
          <w:p w14:paraId="548C4797" w14:textId="77777777" w:rsidR="00F252CE" w:rsidRPr="003D1614" w:rsidRDefault="00F252CE" w:rsidP="00061A35">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26" w:name="_Toc67329327"/>
            <w:r w:rsidRPr="003D1614">
              <w:rPr>
                <w:rFonts w:ascii="Arial" w:eastAsia="Times New Roman" w:hAnsi="Arial" w:cs="Arial"/>
                <w:color w:val="000000" w:themeColor="text1"/>
                <w:sz w:val="18"/>
                <w:szCs w:val="18"/>
              </w:rPr>
              <w:t>Izdane garancije u devizama</w:t>
            </w:r>
            <w:bookmarkEnd w:id="626"/>
          </w:p>
        </w:tc>
        <w:tc>
          <w:tcPr>
            <w:tcW w:w="612" w:type="pct"/>
            <w:tcBorders>
              <w:top w:val="nil"/>
              <w:left w:val="nil"/>
              <w:bottom w:val="nil"/>
              <w:right w:val="nil"/>
            </w:tcBorders>
            <w:shd w:val="clear" w:color="auto" w:fill="auto"/>
            <w:vAlign w:val="bottom"/>
          </w:tcPr>
          <w:p w14:paraId="24A35F66" w14:textId="77777777" w:rsidR="00F252CE" w:rsidRPr="003D1614" w:rsidRDefault="00F252CE" w:rsidP="00061A3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3.437</w:t>
            </w:r>
          </w:p>
        </w:tc>
        <w:tc>
          <w:tcPr>
            <w:tcW w:w="612" w:type="pct"/>
            <w:tcBorders>
              <w:top w:val="nil"/>
              <w:left w:val="nil"/>
              <w:bottom w:val="nil"/>
              <w:right w:val="nil"/>
            </w:tcBorders>
            <w:shd w:val="clear" w:color="auto" w:fill="auto"/>
            <w:vAlign w:val="bottom"/>
          </w:tcPr>
          <w:p w14:paraId="2A8F82FB" w14:textId="77777777" w:rsidR="00F252CE" w:rsidRPr="003D1614" w:rsidRDefault="00F252CE" w:rsidP="00061A3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612" w:type="pct"/>
            <w:tcBorders>
              <w:top w:val="nil"/>
              <w:left w:val="nil"/>
              <w:bottom w:val="nil"/>
              <w:right w:val="nil"/>
            </w:tcBorders>
            <w:shd w:val="clear" w:color="auto" w:fill="auto"/>
            <w:vAlign w:val="bottom"/>
          </w:tcPr>
          <w:p w14:paraId="5EA09021" w14:textId="77777777" w:rsidR="00F252CE" w:rsidRPr="003D1614" w:rsidRDefault="00F252CE" w:rsidP="00061A3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611" w:type="pct"/>
            <w:tcBorders>
              <w:top w:val="nil"/>
              <w:left w:val="nil"/>
              <w:bottom w:val="nil"/>
              <w:right w:val="nil"/>
            </w:tcBorders>
            <w:shd w:val="clear" w:color="auto" w:fill="auto"/>
            <w:vAlign w:val="bottom"/>
          </w:tcPr>
          <w:p w14:paraId="50C61DA0" w14:textId="77777777" w:rsidR="00F252CE" w:rsidRPr="003D1614" w:rsidRDefault="00F252CE" w:rsidP="00061A3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3.437</w:t>
            </w:r>
          </w:p>
        </w:tc>
      </w:tr>
      <w:tr w:rsidR="00F252CE" w:rsidRPr="003D1614" w14:paraId="043F17F4" w14:textId="77777777" w:rsidTr="00061A35">
        <w:tblPrEx>
          <w:tblCellMar>
            <w:left w:w="31" w:type="dxa"/>
            <w:right w:w="31" w:type="dxa"/>
          </w:tblCellMar>
        </w:tblPrEx>
        <w:trPr>
          <w:cantSplit/>
          <w:trHeight w:val="265"/>
          <w:tblHeader/>
        </w:trPr>
        <w:tc>
          <w:tcPr>
            <w:tcW w:w="2553" w:type="pct"/>
            <w:vAlign w:val="bottom"/>
          </w:tcPr>
          <w:p w14:paraId="41B1D7B4" w14:textId="77777777" w:rsidR="00F252CE" w:rsidRPr="003D1614" w:rsidRDefault="00F252CE" w:rsidP="00061A35">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27" w:name="_Toc67329337"/>
            <w:r w:rsidRPr="003D1614">
              <w:rPr>
                <w:rFonts w:ascii="Arial" w:eastAsia="Times New Roman" w:hAnsi="Arial" w:cs="Arial"/>
                <w:color w:val="000000" w:themeColor="text1"/>
                <w:sz w:val="18"/>
                <w:szCs w:val="18"/>
              </w:rPr>
              <w:t>Preuzete obveze po kreditima</w:t>
            </w:r>
            <w:bookmarkEnd w:id="627"/>
          </w:p>
        </w:tc>
        <w:tc>
          <w:tcPr>
            <w:tcW w:w="612" w:type="pct"/>
            <w:tcBorders>
              <w:top w:val="nil"/>
              <w:left w:val="nil"/>
              <w:bottom w:val="single" w:sz="4" w:space="0" w:color="auto"/>
              <w:right w:val="nil"/>
            </w:tcBorders>
            <w:shd w:val="clear" w:color="auto" w:fill="auto"/>
            <w:vAlign w:val="bottom"/>
          </w:tcPr>
          <w:p w14:paraId="5EACEB9B" w14:textId="77777777" w:rsidR="00F252CE" w:rsidRPr="003D1614" w:rsidRDefault="00F252CE" w:rsidP="00061A3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459.448</w:t>
            </w:r>
          </w:p>
        </w:tc>
        <w:tc>
          <w:tcPr>
            <w:tcW w:w="612" w:type="pct"/>
            <w:tcBorders>
              <w:top w:val="nil"/>
              <w:left w:val="nil"/>
              <w:bottom w:val="single" w:sz="4" w:space="0" w:color="auto"/>
              <w:right w:val="nil"/>
            </w:tcBorders>
            <w:shd w:val="clear" w:color="auto" w:fill="auto"/>
            <w:vAlign w:val="bottom"/>
          </w:tcPr>
          <w:p w14:paraId="2AD783A2" w14:textId="77777777" w:rsidR="00F252CE" w:rsidRPr="003D1614" w:rsidRDefault="00F252CE" w:rsidP="00061A3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662</w:t>
            </w:r>
          </w:p>
        </w:tc>
        <w:tc>
          <w:tcPr>
            <w:tcW w:w="612" w:type="pct"/>
            <w:tcBorders>
              <w:top w:val="nil"/>
              <w:left w:val="nil"/>
              <w:bottom w:val="single" w:sz="4" w:space="0" w:color="auto"/>
              <w:right w:val="nil"/>
            </w:tcBorders>
            <w:shd w:val="clear" w:color="auto" w:fill="auto"/>
            <w:vAlign w:val="bottom"/>
          </w:tcPr>
          <w:p w14:paraId="28E1AE07" w14:textId="77777777" w:rsidR="00F252CE" w:rsidRPr="003D1614" w:rsidRDefault="00F252CE" w:rsidP="00061A3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1.222</w:t>
            </w:r>
          </w:p>
        </w:tc>
        <w:tc>
          <w:tcPr>
            <w:tcW w:w="611" w:type="pct"/>
            <w:tcBorders>
              <w:top w:val="nil"/>
              <w:left w:val="nil"/>
              <w:bottom w:val="single" w:sz="4" w:space="0" w:color="auto"/>
              <w:right w:val="nil"/>
            </w:tcBorders>
            <w:shd w:val="clear" w:color="auto" w:fill="auto"/>
            <w:vAlign w:val="bottom"/>
          </w:tcPr>
          <w:p w14:paraId="74DE03A7" w14:textId="77777777" w:rsidR="00F252CE" w:rsidRPr="003D1614" w:rsidRDefault="00F252CE" w:rsidP="00061A3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461.332</w:t>
            </w:r>
          </w:p>
        </w:tc>
      </w:tr>
      <w:tr w:rsidR="00F252CE" w:rsidRPr="003D1614" w14:paraId="1BB5D6D3" w14:textId="77777777" w:rsidTr="00061A35">
        <w:tblPrEx>
          <w:tblCellMar>
            <w:left w:w="31" w:type="dxa"/>
            <w:right w:w="31" w:type="dxa"/>
          </w:tblCellMar>
        </w:tblPrEx>
        <w:trPr>
          <w:cantSplit/>
          <w:trHeight w:val="393"/>
          <w:tblHeader/>
        </w:trPr>
        <w:tc>
          <w:tcPr>
            <w:tcW w:w="2553" w:type="pct"/>
            <w:vAlign w:val="bottom"/>
          </w:tcPr>
          <w:p w14:paraId="0386AFE8" w14:textId="77777777" w:rsidR="00F252CE" w:rsidRPr="003D1614" w:rsidRDefault="00F252CE" w:rsidP="00061A35">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28" w:name="_Toc67329347"/>
            <w:r w:rsidRPr="003D1614">
              <w:rPr>
                <w:rFonts w:ascii="Arial" w:eastAsia="Times New Roman" w:hAnsi="Arial" w:cs="Arial"/>
                <w:b/>
                <w:bCs/>
                <w:color w:val="000000" w:themeColor="text1"/>
                <w:sz w:val="18"/>
                <w:szCs w:val="18"/>
              </w:rPr>
              <w:t>Ukupno</w:t>
            </w:r>
            <w:bookmarkEnd w:id="628"/>
          </w:p>
        </w:tc>
        <w:tc>
          <w:tcPr>
            <w:tcW w:w="612" w:type="pct"/>
            <w:tcBorders>
              <w:top w:val="single" w:sz="4" w:space="0" w:color="auto"/>
              <w:left w:val="nil"/>
              <w:bottom w:val="single" w:sz="12" w:space="0" w:color="auto"/>
              <w:right w:val="nil"/>
            </w:tcBorders>
            <w:shd w:val="clear" w:color="auto" w:fill="auto"/>
            <w:vAlign w:val="bottom"/>
          </w:tcPr>
          <w:p w14:paraId="6116F699" w14:textId="77777777" w:rsidR="00F252CE" w:rsidRPr="00AF283D" w:rsidRDefault="00F252CE" w:rsidP="00061A35">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506.471</w:t>
            </w:r>
          </w:p>
        </w:tc>
        <w:tc>
          <w:tcPr>
            <w:tcW w:w="612" w:type="pct"/>
            <w:tcBorders>
              <w:top w:val="single" w:sz="4" w:space="0" w:color="auto"/>
              <w:left w:val="nil"/>
              <w:bottom w:val="single" w:sz="12" w:space="0" w:color="auto"/>
              <w:right w:val="nil"/>
            </w:tcBorders>
            <w:shd w:val="clear" w:color="auto" w:fill="auto"/>
            <w:vAlign w:val="bottom"/>
          </w:tcPr>
          <w:p w14:paraId="48FF48F0" w14:textId="77777777" w:rsidR="00F252CE" w:rsidRPr="00AF283D" w:rsidRDefault="00F252CE" w:rsidP="00061A35">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662</w:t>
            </w:r>
          </w:p>
        </w:tc>
        <w:tc>
          <w:tcPr>
            <w:tcW w:w="612" w:type="pct"/>
            <w:tcBorders>
              <w:top w:val="single" w:sz="4" w:space="0" w:color="auto"/>
              <w:left w:val="nil"/>
              <w:bottom w:val="single" w:sz="12" w:space="0" w:color="auto"/>
              <w:right w:val="nil"/>
            </w:tcBorders>
            <w:shd w:val="clear" w:color="auto" w:fill="auto"/>
            <w:vAlign w:val="bottom"/>
          </w:tcPr>
          <w:p w14:paraId="049DF49C" w14:textId="77777777" w:rsidR="00F252CE" w:rsidRPr="00AF283D" w:rsidRDefault="00F252CE" w:rsidP="00061A35">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1.222</w:t>
            </w:r>
          </w:p>
        </w:tc>
        <w:tc>
          <w:tcPr>
            <w:tcW w:w="611" w:type="pct"/>
            <w:tcBorders>
              <w:top w:val="single" w:sz="4" w:space="0" w:color="auto"/>
              <w:left w:val="nil"/>
              <w:bottom w:val="single" w:sz="12" w:space="0" w:color="auto"/>
              <w:right w:val="nil"/>
            </w:tcBorders>
            <w:shd w:val="clear" w:color="auto" w:fill="auto"/>
            <w:vAlign w:val="bottom"/>
          </w:tcPr>
          <w:p w14:paraId="3ABDBAD8" w14:textId="77777777" w:rsidR="00F252CE" w:rsidRPr="00AF283D" w:rsidRDefault="00F252CE" w:rsidP="00061A35">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508.355</w:t>
            </w:r>
          </w:p>
        </w:tc>
      </w:tr>
      <w:tr w:rsidR="00F252CE" w:rsidRPr="003D1614" w14:paraId="6E885F41" w14:textId="77777777" w:rsidTr="00061A35">
        <w:tblPrEx>
          <w:tblCellMar>
            <w:left w:w="31" w:type="dxa"/>
            <w:right w:w="31" w:type="dxa"/>
          </w:tblCellMar>
        </w:tblPrEx>
        <w:trPr>
          <w:cantSplit/>
          <w:trHeight w:val="375"/>
          <w:tblHeader/>
        </w:trPr>
        <w:tc>
          <w:tcPr>
            <w:tcW w:w="2553" w:type="pct"/>
            <w:vAlign w:val="bottom"/>
          </w:tcPr>
          <w:p w14:paraId="29FF14C6" w14:textId="77777777" w:rsidR="00F252CE" w:rsidRPr="003D1614" w:rsidRDefault="00F252CE" w:rsidP="00061A35">
            <w:pPr>
              <w:tabs>
                <w:tab w:val="right" w:pos="1202"/>
              </w:tabs>
              <w:suppressAutoHyphens/>
              <w:autoSpaceDN w:val="0"/>
              <w:spacing w:line="301" w:lineRule="exact"/>
              <w:outlineLvl w:val="0"/>
              <w:rPr>
                <w:rFonts w:ascii="Arial" w:eastAsia="Times New Roman" w:hAnsi="Arial" w:cs="Arial"/>
                <w:b/>
                <w:bCs/>
                <w:color w:val="000000" w:themeColor="text1"/>
                <w:sz w:val="18"/>
                <w:szCs w:val="18"/>
              </w:rPr>
            </w:pPr>
            <w:bookmarkStart w:id="629" w:name="_Toc67329352"/>
            <w:r w:rsidRPr="003D1614">
              <w:rPr>
                <w:rFonts w:ascii="Arial" w:eastAsia="Times New Roman" w:hAnsi="Arial" w:cs="Arial"/>
                <w:b/>
                <w:bCs/>
                <w:color w:val="000000" w:themeColor="text1"/>
                <w:sz w:val="18"/>
                <w:szCs w:val="18"/>
              </w:rPr>
              <w:t>Ukupna izloženost kreditnom riziku</w:t>
            </w:r>
            <w:bookmarkEnd w:id="629"/>
          </w:p>
        </w:tc>
        <w:tc>
          <w:tcPr>
            <w:tcW w:w="612" w:type="pct"/>
            <w:tcBorders>
              <w:top w:val="nil"/>
              <w:left w:val="nil"/>
              <w:bottom w:val="single" w:sz="12" w:space="0" w:color="auto"/>
              <w:right w:val="nil"/>
            </w:tcBorders>
            <w:shd w:val="clear" w:color="auto" w:fill="auto"/>
            <w:vAlign w:val="bottom"/>
          </w:tcPr>
          <w:p w14:paraId="39CCCBA5" w14:textId="77777777" w:rsidR="00F252CE" w:rsidRPr="003D1614" w:rsidRDefault="00F252CE" w:rsidP="00061A35">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4.398.423</w:t>
            </w:r>
          </w:p>
        </w:tc>
        <w:tc>
          <w:tcPr>
            <w:tcW w:w="612" w:type="pct"/>
            <w:tcBorders>
              <w:top w:val="nil"/>
              <w:left w:val="nil"/>
              <w:bottom w:val="single" w:sz="12" w:space="0" w:color="auto"/>
              <w:right w:val="nil"/>
            </w:tcBorders>
            <w:shd w:val="clear" w:color="auto" w:fill="auto"/>
            <w:vAlign w:val="bottom"/>
          </w:tcPr>
          <w:p w14:paraId="00AD3902" w14:textId="77777777" w:rsidR="00F252CE" w:rsidRPr="003D1614" w:rsidRDefault="00F252CE" w:rsidP="00061A35">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68.973</w:t>
            </w:r>
          </w:p>
        </w:tc>
        <w:tc>
          <w:tcPr>
            <w:tcW w:w="612" w:type="pct"/>
            <w:tcBorders>
              <w:top w:val="nil"/>
              <w:left w:val="nil"/>
              <w:bottom w:val="single" w:sz="12" w:space="0" w:color="auto"/>
              <w:right w:val="nil"/>
            </w:tcBorders>
            <w:shd w:val="clear" w:color="auto" w:fill="auto"/>
            <w:vAlign w:val="bottom"/>
          </w:tcPr>
          <w:p w14:paraId="1070C0D2" w14:textId="77777777" w:rsidR="00F252CE" w:rsidRPr="003D1614" w:rsidRDefault="00F252CE" w:rsidP="00061A35">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7.793</w:t>
            </w:r>
          </w:p>
        </w:tc>
        <w:tc>
          <w:tcPr>
            <w:tcW w:w="611" w:type="pct"/>
            <w:tcBorders>
              <w:top w:val="nil"/>
              <w:left w:val="nil"/>
              <w:bottom w:val="single" w:sz="12" w:space="0" w:color="auto"/>
              <w:right w:val="nil"/>
            </w:tcBorders>
            <w:shd w:val="clear" w:color="auto" w:fill="auto"/>
            <w:vAlign w:val="bottom"/>
          </w:tcPr>
          <w:p w14:paraId="50A1E984" w14:textId="77777777" w:rsidR="00F252CE" w:rsidRPr="003D1614" w:rsidRDefault="00F252CE" w:rsidP="00061A35">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4.475.189</w:t>
            </w:r>
          </w:p>
        </w:tc>
      </w:tr>
      <w:bookmarkEnd w:id="605"/>
    </w:tbl>
    <w:p w14:paraId="09CF89BD" w14:textId="77777777" w:rsidR="00A13103" w:rsidRPr="003D1614" w:rsidRDefault="00A13103" w:rsidP="00A13103">
      <w:pPr>
        <w:suppressAutoHyphens/>
        <w:autoSpaceDN w:val="0"/>
        <w:rPr>
          <w:rFonts w:ascii="Arial" w:eastAsia="Times New Roman" w:hAnsi="Arial" w:cs="Arial"/>
          <w:b/>
          <w:bCs/>
          <w:color w:val="000000" w:themeColor="text1"/>
          <w:sz w:val="20"/>
          <w:szCs w:val="20"/>
        </w:rPr>
      </w:pPr>
    </w:p>
    <w:p w14:paraId="0129C3E8" w14:textId="4B303C7C" w:rsidR="003311C4" w:rsidRPr="003D1614" w:rsidRDefault="003311C4" w:rsidP="003311C4">
      <w:pPr>
        <w:suppressAutoHyphens/>
        <w:autoSpaceDN w:val="0"/>
        <w:jc w:val="both"/>
        <w:rPr>
          <w:rFonts w:ascii="Arial" w:eastAsia="Times New Roman" w:hAnsi="Arial" w:cs="Arial"/>
          <w:color w:val="000000" w:themeColor="text1"/>
          <w:sz w:val="20"/>
          <w:szCs w:val="20"/>
        </w:rPr>
      </w:pPr>
    </w:p>
    <w:p w14:paraId="2EC0B873" w14:textId="77777777" w:rsidR="00A13103" w:rsidRPr="003D1614" w:rsidRDefault="00A13103" w:rsidP="003311C4">
      <w:pPr>
        <w:suppressAutoHyphens/>
        <w:autoSpaceDN w:val="0"/>
        <w:jc w:val="both"/>
        <w:rPr>
          <w:rFonts w:ascii="Arial" w:eastAsia="Times New Roman" w:hAnsi="Arial" w:cs="Arial"/>
          <w:color w:val="000000" w:themeColor="text1"/>
          <w:sz w:val="20"/>
          <w:szCs w:val="20"/>
        </w:rPr>
        <w:sectPr w:rsidR="00A13103" w:rsidRPr="003D1614">
          <w:pgSz w:w="11906" w:h="16838"/>
          <w:pgMar w:top="1417" w:right="1417" w:bottom="1417" w:left="1417" w:header="708" w:footer="708" w:gutter="0"/>
          <w:cols w:space="708"/>
          <w:docGrid w:linePitch="360"/>
        </w:sectPr>
      </w:pPr>
    </w:p>
    <w:p w14:paraId="3653209D" w14:textId="77777777" w:rsidR="00A13103" w:rsidRPr="003D1614" w:rsidRDefault="00A13103" w:rsidP="00A13103">
      <w:pPr>
        <w:keepNext/>
        <w:suppressAutoHyphens/>
        <w:autoSpaceDN w:val="0"/>
        <w:jc w:val="both"/>
        <w:outlineLvl w:val="0"/>
        <w:rPr>
          <w:rFonts w:ascii="Arial" w:eastAsia="Times New Roman" w:hAnsi="Arial" w:cs="Arial"/>
          <w:b/>
          <w:bCs/>
          <w:color w:val="000000" w:themeColor="text1"/>
          <w:sz w:val="20"/>
          <w:szCs w:val="20"/>
        </w:rPr>
      </w:pPr>
    </w:p>
    <w:p w14:paraId="2E16FF61" w14:textId="4AD7DBEB" w:rsidR="00A13103" w:rsidRPr="003D1614" w:rsidRDefault="00A13103" w:rsidP="00A13103">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434FE5A2" w14:textId="77777777" w:rsidR="00A13103" w:rsidRPr="003D1614" w:rsidRDefault="00A13103" w:rsidP="00A13103">
      <w:pPr>
        <w:keepNext/>
        <w:suppressAutoHyphens/>
        <w:autoSpaceDN w:val="0"/>
        <w:jc w:val="both"/>
        <w:outlineLvl w:val="0"/>
        <w:rPr>
          <w:rFonts w:ascii="Arial" w:eastAsia="Times New Roman" w:hAnsi="Arial" w:cs="Arial"/>
          <w:b/>
          <w:bCs/>
          <w:color w:val="000000" w:themeColor="text1"/>
          <w:sz w:val="20"/>
          <w:szCs w:val="20"/>
        </w:rPr>
      </w:pPr>
    </w:p>
    <w:p w14:paraId="6B2956EF" w14:textId="262387CC" w:rsidR="00A13103" w:rsidRPr="003D1614" w:rsidRDefault="00A13103" w:rsidP="00A13103">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.3. </w:t>
      </w:r>
      <w:r w:rsidRPr="003D1614">
        <w:rPr>
          <w:rFonts w:ascii="Arial" w:eastAsia="Times New Roman" w:hAnsi="Arial" w:cs="Arial"/>
          <w:b/>
          <w:bCs/>
          <w:color w:val="000000" w:themeColor="text1"/>
          <w:sz w:val="20"/>
          <w:szCs w:val="20"/>
        </w:rPr>
        <w:tab/>
        <w:t>Kreditni rizik (nastavak)</w:t>
      </w:r>
    </w:p>
    <w:p w14:paraId="2BF8FBEC" w14:textId="77777777" w:rsidR="00A13103" w:rsidRPr="003D1614" w:rsidRDefault="00A13103" w:rsidP="00A13103">
      <w:pPr>
        <w:keepNext/>
        <w:suppressAutoHyphens/>
        <w:autoSpaceDN w:val="0"/>
        <w:jc w:val="both"/>
        <w:outlineLvl w:val="0"/>
        <w:rPr>
          <w:rFonts w:ascii="Arial" w:eastAsia="Times New Roman" w:hAnsi="Arial" w:cs="Arial"/>
          <w:b/>
          <w:bCs/>
          <w:color w:val="000000" w:themeColor="text1"/>
          <w:sz w:val="20"/>
          <w:szCs w:val="20"/>
        </w:rPr>
      </w:pPr>
    </w:p>
    <w:p w14:paraId="09E55232" w14:textId="77777777" w:rsidR="00A13103" w:rsidRPr="003D1614" w:rsidRDefault="00A13103" w:rsidP="00A13103">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Koncentracija rizika i maksimalna izloženost kreditnom riziku (nastavak)</w:t>
      </w:r>
    </w:p>
    <w:p w14:paraId="3D8F0A40" w14:textId="77777777" w:rsidR="00A13103" w:rsidRPr="003D1614" w:rsidRDefault="00A13103" w:rsidP="00A13103">
      <w:pPr>
        <w:keepNext/>
        <w:suppressAutoHyphens/>
        <w:autoSpaceDN w:val="0"/>
        <w:jc w:val="both"/>
        <w:outlineLvl w:val="0"/>
        <w:rPr>
          <w:rFonts w:ascii="Arial" w:eastAsia="Times New Roman" w:hAnsi="Arial" w:cs="Arial"/>
          <w:color w:val="000000" w:themeColor="text1"/>
          <w:sz w:val="20"/>
          <w:szCs w:val="20"/>
        </w:rPr>
      </w:pPr>
    </w:p>
    <w:p w14:paraId="33891B08" w14:textId="77777777" w:rsidR="00A13103" w:rsidRPr="003D1614" w:rsidRDefault="00A13103" w:rsidP="00A13103">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Koncentracija imovine i garancija te preuzetih obveza prema zemljopisnim segmentima, neto izloženost, </w:t>
      </w:r>
      <w:r w:rsidRPr="003D1614">
        <w:rPr>
          <w:rFonts w:ascii="Arial" w:eastAsia="Times New Roman" w:hAnsi="Arial" w:cs="Arial"/>
          <w:bCs/>
          <w:color w:val="000000" w:themeColor="text1"/>
          <w:sz w:val="20"/>
          <w:szCs w:val="20"/>
        </w:rPr>
        <w:t>bez umanjenja za vrijednost sredstava osiguranja naplate</w:t>
      </w:r>
      <w:r w:rsidRPr="003D1614">
        <w:rPr>
          <w:rFonts w:ascii="Arial" w:eastAsia="Times New Roman" w:hAnsi="Arial" w:cs="Arial"/>
          <w:color w:val="000000" w:themeColor="text1"/>
          <w:sz w:val="20"/>
          <w:szCs w:val="20"/>
        </w:rPr>
        <w:t xml:space="preserve"> (nastavak): </w:t>
      </w:r>
    </w:p>
    <w:p w14:paraId="148D4621" w14:textId="3270E85F" w:rsidR="00A13103" w:rsidRPr="003D1614" w:rsidRDefault="00A13103" w:rsidP="003311C4">
      <w:pPr>
        <w:suppressAutoHyphens/>
        <w:autoSpaceDN w:val="0"/>
        <w:jc w:val="both"/>
        <w:rPr>
          <w:rFonts w:ascii="Arial" w:eastAsia="Times New Roman" w:hAnsi="Arial" w:cs="Arial"/>
          <w:color w:val="000000" w:themeColor="text1"/>
          <w:sz w:val="20"/>
          <w:szCs w:val="20"/>
        </w:rPr>
      </w:pPr>
    </w:p>
    <w:p w14:paraId="308F6120" w14:textId="078DCF96" w:rsidR="00A13103" w:rsidRPr="003D1614" w:rsidRDefault="00A13103" w:rsidP="003311C4">
      <w:pPr>
        <w:suppressAutoHyphens/>
        <w:autoSpaceDN w:val="0"/>
        <w:jc w:val="both"/>
        <w:rPr>
          <w:rFonts w:ascii="Arial" w:eastAsia="Times New Roman" w:hAnsi="Arial" w:cs="Arial"/>
          <w:color w:val="000000" w:themeColor="text1"/>
          <w:sz w:val="20"/>
          <w:szCs w:val="20"/>
        </w:rPr>
      </w:pPr>
    </w:p>
    <w:tbl>
      <w:tblPr>
        <w:tblW w:w="4985" w:type="pct"/>
        <w:tblLayout w:type="fixed"/>
        <w:tblCellMar>
          <w:left w:w="30" w:type="dxa"/>
          <w:right w:w="30" w:type="dxa"/>
        </w:tblCellMar>
        <w:tblLook w:val="0000" w:firstRow="0" w:lastRow="0" w:firstColumn="0" w:lastColumn="0" w:noHBand="0" w:noVBand="0"/>
      </w:tblPr>
      <w:tblGrid>
        <w:gridCol w:w="4619"/>
        <w:gridCol w:w="1107"/>
        <w:gridCol w:w="1107"/>
        <w:gridCol w:w="1107"/>
        <w:gridCol w:w="1105"/>
      </w:tblGrid>
      <w:tr w:rsidR="00320CAB" w:rsidRPr="009C411C" w14:paraId="2CED82EE" w14:textId="77777777" w:rsidTr="0034622E">
        <w:trPr>
          <w:cantSplit/>
          <w:trHeight w:val="265"/>
          <w:tblHeader/>
        </w:trPr>
        <w:tc>
          <w:tcPr>
            <w:tcW w:w="2552" w:type="pct"/>
          </w:tcPr>
          <w:p w14:paraId="1C8D81EE" w14:textId="77777777" w:rsidR="00320CAB" w:rsidRPr="009C411C" w:rsidRDefault="00320CAB" w:rsidP="0034622E">
            <w:pPr>
              <w:tabs>
                <w:tab w:val="right" w:pos="1202"/>
              </w:tabs>
              <w:spacing w:line="240" w:lineRule="atLeast"/>
              <w:outlineLvl w:val="0"/>
              <w:rPr>
                <w:rFonts w:ascii="Arial" w:hAnsi="Arial" w:cs="Arial"/>
                <w:b/>
                <w:color w:val="000000" w:themeColor="text1"/>
                <w:sz w:val="18"/>
                <w:szCs w:val="18"/>
              </w:rPr>
            </w:pPr>
            <w:r w:rsidRPr="009C411C">
              <w:rPr>
                <w:rFonts w:ascii="Arial" w:hAnsi="Arial" w:cs="Arial"/>
                <w:b/>
                <w:color w:val="000000" w:themeColor="text1"/>
                <w:sz w:val="18"/>
                <w:szCs w:val="18"/>
              </w:rPr>
              <w:t>Grupa</w:t>
            </w:r>
          </w:p>
          <w:p w14:paraId="7BBE4A98" w14:textId="77777777" w:rsidR="00320CAB" w:rsidRPr="009C411C" w:rsidRDefault="00320CAB" w:rsidP="0034622E">
            <w:pPr>
              <w:tabs>
                <w:tab w:val="right" w:pos="1202"/>
              </w:tabs>
              <w:spacing w:line="240" w:lineRule="atLeast"/>
              <w:outlineLvl w:val="0"/>
              <w:rPr>
                <w:rFonts w:ascii="Arial" w:hAnsi="Arial" w:cs="Arial"/>
                <w:b/>
                <w:color w:val="000000" w:themeColor="text1"/>
                <w:sz w:val="18"/>
                <w:szCs w:val="18"/>
              </w:rPr>
            </w:pPr>
          </w:p>
          <w:p w14:paraId="4E409FD4" w14:textId="77777777" w:rsidR="00320CAB" w:rsidRPr="009C411C" w:rsidRDefault="00320CAB" w:rsidP="0034622E">
            <w:pPr>
              <w:tabs>
                <w:tab w:val="right" w:pos="1202"/>
              </w:tabs>
              <w:spacing w:line="240" w:lineRule="atLeast"/>
              <w:outlineLvl w:val="0"/>
              <w:rPr>
                <w:rFonts w:ascii="Arial" w:hAnsi="Arial" w:cs="Arial"/>
                <w:b/>
                <w:color w:val="000000" w:themeColor="text1"/>
                <w:sz w:val="18"/>
                <w:szCs w:val="18"/>
              </w:rPr>
            </w:pPr>
            <w:r w:rsidRPr="009C411C">
              <w:rPr>
                <w:rFonts w:ascii="Arial" w:hAnsi="Arial" w:cs="Arial"/>
                <w:b/>
                <w:color w:val="000000" w:themeColor="text1"/>
                <w:sz w:val="18"/>
                <w:szCs w:val="18"/>
              </w:rPr>
              <w:t>31. prosinca 202</w:t>
            </w:r>
            <w:r>
              <w:rPr>
                <w:rFonts w:ascii="Arial" w:hAnsi="Arial" w:cs="Arial"/>
                <w:b/>
                <w:color w:val="000000" w:themeColor="text1"/>
                <w:sz w:val="18"/>
                <w:szCs w:val="18"/>
              </w:rPr>
              <w:t>3</w:t>
            </w:r>
            <w:r w:rsidRPr="009C411C">
              <w:rPr>
                <w:rFonts w:ascii="Arial" w:hAnsi="Arial" w:cs="Arial"/>
                <w:b/>
                <w:color w:val="000000" w:themeColor="text1"/>
                <w:sz w:val="18"/>
                <w:szCs w:val="18"/>
              </w:rPr>
              <w:t xml:space="preserve">. </w:t>
            </w:r>
          </w:p>
        </w:tc>
        <w:tc>
          <w:tcPr>
            <w:tcW w:w="612" w:type="pct"/>
            <w:vAlign w:val="bottom"/>
          </w:tcPr>
          <w:p w14:paraId="2040768A" w14:textId="77777777" w:rsidR="00320CAB" w:rsidRPr="009C411C" w:rsidRDefault="00320CAB" w:rsidP="0034622E">
            <w:pPr>
              <w:tabs>
                <w:tab w:val="right" w:pos="1202"/>
              </w:tabs>
              <w:spacing w:line="240" w:lineRule="atLeast"/>
              <w:jc w:val="right"/>
              <w:outlineLvl w:val="0"/>
              <w:rPr>
                <w:rFonts w:ascii="Arial" w:hAnsi="Arial" w:cs="Arial"/>
                <w:b/>
                <w:color w:val="000000" w:themeColor="text1"/>
                <w:sz w:val="18"/>
                <w:szCs w:val="18"/>
              </w:rPr>
            </w:pPr>
            <w:r w:rsidRPr="009C411C">
              <w:rPr>
                <w:rFonts w:ascii="Arial" w:hAnsi="Arial" w:cs="Arial"/>
                <w:b/>
                <w:color w:val="000000" w:themeColor="text1"/>
                <w:sz w:val="18"/>
                <w:szCs w:val="18"/>
              </w:rPr>
              <w:t>Republika Hrvatska</w:t>
            </w:r>
          </w:p>
        </w:tc>
        <w:tc>
          <w:tcPr>
            <w:tcW w:w="612" w:type="pct"/>
            <w:vAlign w:val="bottom"/>
          </w:tcPr>
          <w:p w14:paraId="64103C89" w14:textId="77777777" w:rsidR="00320CAB" w:rsidRPr="009C411C" w:rsidRDefault="00320CAB" w:rsidP="0034622E">
            <w:pPr>
              <w:tabs>
                <w:tab w:val="right" w:pos="1202"/>
              </w:tabs>
              <w:spacing w:line="240" w:lineRule="atLeast"/>
              <w:jc w:val="right"/>
              <w:outlineLvl w:val="0"/>
              <w:rPr>
                <w:rFonts w:ascii="Arial" w:hAnsi="Arial" w:cs="Arial"/>
                <w:b/>
                <w:color w:val="000000" w:themeColor="text1"/>
                <w:sz w:val="18"/>
                <w:szCs w:val="18"/>
              </w:rPr>
            </w:pPr>
            <w:r w:rsidRPr="009C411C">
              <w:rPr>
                <w:rFonts w:ascii="Arial" w:hAnsi="Arial" w:cs="Arial"/>
                <w:b/>
                <w:color w:val="000000" w:themeColor="text1"/>
                <w:sz w:val="18"/>
                <w:szCs w:val="18"/>
              </w:rPr>
              <w:t>Zemlje Europske unije</w:t>
            </w:r>
          </w:p>
        </w:tc>
        <w:tc>
          <w:tcPr>
            <w:tcW w:w="612" w:type="pct"/>
            <w:vAlign w:val="bottom"/>
          </w:tcPr>
          <w:p w14:paraId="5DEF3AA5" w14:textId="77777777" w:rsidR="00320CAB" w:rsidRPr="009C411C" w:rsidRDefault="00320CAB" w:rsidP="0034622E">
            <w:pPr>
              <w:tabs>
                <w:tab w:val="right" w:pos="1202"/>
              </w:tabs>
              <w:spacing w:line="240" w:lineRule="atLeast"/>
              <w:jc w:val="right"/>
              <w:outlineLvl w:val="0"/>
              <w:rPr>
                <w:rFonts w:ascii="Arial" w:hAnsi="Arial" w:cs="Arial"/>
                <w:b/>
                <w:color w:val="000000" w:themeColor="text1"/>
                <w:sz w:val="18"/>
                <w:szCs w:val="18"/>
              </w:rPr>
            </w:pPr>
            <w:r w:rsidRPr="009C411C">
              <w:rPr>
                <w:rFonts w:ascii="Arial" w:hAnsi="Arial" w:cs="Arial"/>
                <w:b/>
                <w:color w:val="000000" w:themeColor="text1"/>
                <w:sz w:val="18"/>
                <w:szCs w:val="18"/>
              </w:rPr>
              <w:t xml:space="preserve">Ostale </w:t>
            </w:r>
          </w:p>
          <w:p w14:paraId="3DA9B4D7" w14:textId="77777777" w:rsidR="00320CAB" w:rsidRPr="009C411C" w:rsidRDefault="00320CAB" w:rsidP="0034622E">
            <w:pPr>
              <w:tabs>
                <w:tab w:val="right" w:pos="1202"/>
              </w:tabs>
              <w:spacing w:line="240" w:lineRule="atLeast"/>
              <w:jc w:val="right"/>
              <w:outlineLvl w:val="0"/>
              <w:rPr>
                <w:rFonts w:ascii="Arial" w:hAnsi="Arial" w:cs="Arial"/>
                <w:b/>
                <w:color w:val="000000" w:themeColor="text1"/>
                <w:sz w:val="18"/>
                <w:szCs w:val="18"/>
              </w:rPr>
            </w:pPr>
            <w:r w:rsidRPr="009C411C">
              <w:rPr>
                <w:rFonts w:ascii="Arial" w:hAnsi="Arial" w:cs="Arial"/>
                <w:b/>
                <w:color w:val="000000" w:themeColor="text1"/>
                <w:sz w:val="18"/>
                <w:szCs w:val="18"/>
              </w:rPr>
              <w:t xml:space="preserve">zemlje </w:t>
            </w:r>
          </w:p>
        </w:tc>
        <w:tc>
          <w:tcPr>
            <w:tcW w:w="611" w:type="pct"/>
            <w:vAlign w:val="bottom"/>
          </w:tcPr>
          <w:p w14:paraId="328B8156" w14:textId="77777777" w:rsidR="00320CAB" w:rsidRPr="009C411C" w:rsidRDefault="00320CAB" w:rsidP="0034622E">
            <w:pPr>
              <w:tabs>
                <w:tab w:val="right" w:pos="1202"/>
              </w:tabs>
              <w:spacing w:line="240" w:lineRule="atLeast"/>
              <w:jc w:val="right"/>
              <w:outlineLvl w:val="0"/>
              <w:rPr>
                <w:rFonts w:ascii="Arial" w:hAnsi="Arial" w:cs="Arial"/>
                <w:b/>
                <w:color w:val="000000" w:themeColor="text1"/>
                <w:sz w:val="18"/>
                <w:szCs w:val="18"/>
              </w:rPr>
            </w:pPr>
            <w:r w:rsidRPr="009C411C">
              <w:rPr>
                <w:rFonts w:ascii="Arial" w:hAnsi="Arial" w:cs="Arial"/>
                <w:b/>
                <w:color w:val="000000" w:themeColor="text1"/>
                <w:sz w:val="18"/>
                <w:szCs w:val="18"/>
              </w:rPr>
              <w:t>Ukupno</w:t>
            </w:r>
          </w:p>
        </w:tc>
      </w:tr>
      <w:tr w:rsidR="00320CAB" w:rsidRPr="009C411C" w14:paraId="55153491" w14:textId="77777777" w:rsidTr="0034622E">
        <w:trPr>
          <w:cantSplit/>
          <w:trHeight w:val="265"/>
          <w:tblHeader/>
        </w:trPr>
        <w:tc>
          <w:tcPr>
            <w:tcW w:w="2552" w:type="pct"/>
          </w:tcPr>
          <w:p w14:paraId="2EC4B144" w14:textId="77777777" w:rsidR="00320CAB" w:rsidRPr="009C411C" w:rsidRDefault="00320CAB" w:rsidP="0034622E">
            <w:pPr>
              <w:ind w:left="113" w:hanging="113"/>
              <w:rPr>
                <w:rFonts w:ascii="Arial" w:hAnsi="Arial" w:cs="Arial"/>
                <w:color w:val="000000" w:themeColor="text1"/>
                <w:sz w:val="18"/>
                <w:szCs w:val="18"/>
              </w:rPr>
            </w:pPr>
          </w:p>
        </w:tc>
        <w:tc>
          <w:tcPr>
            <w:tcW w:w="612" w:type="pct"/>
          </w:tcPr>
          <w:p w14:paraId="4AD13826" w14:textId="77777777" w:rsidR="00320CAB" w:rsidRPr="009C411C" w:rsidRDefault="00320CAB" w:rsidP="0034622E">
            <w:pPr>
              <w:tabs>
                <w:tab w:val="right" w:pos="1202"/>
              </w:tabs>
              <w:spacing w:line="240" w:lineRule="atLeast"/>
              <w:jc w:val="right"/>
              <w:outlineLvl w:val="0"/>
              <w:rPr>
                <w:rFonts w:ascii="Arial" w:hAnsi="Arial" w:cs="Arial"/>
                <w:b/>
                <w:color w:val="000000" w:themeColor="text1"/>
                <w:sz w:val="18"/>
                <w:szCs w:val="18"/>
              </w:rPr>
            </w:pPr>
            <w:r w:rsidRPr="009C411C">
              <w:rPr>
                <w:rFonts w:ascii="Arial" w:hAnsi="Arial" w:cs="Arial"/>
                <w:b/>
                <w:color w:val="000000" w:themeColor="text1"/>
                <w:sz w:val="18"/>
                <w:szCs w:val="18"/>
              </w:rPr>
              <w:t xml:space="preserve">000 </w:t>
            </w:r>
            <w:r>
              <w:rPr>
                <w:rFonts w:ascii="Arial" w:hAnsi="Arial" w:cs="Arial"/>
                <w:b/>
                <w:color w:val="000000" w:themeColor="text1"/>
                <w:sz w:val="18"/>
                <w:szCs w:val="18"/>
              </w:rPr>
              <w:t>eura</w:t>
            </w:r>
          </w:p>
        </w:tc>
        <w:tc>
          <w:tcPr>
            <w:tcW w:w="612" w:type="pct"/>
          </w:tcPr>
          <w:p w14:paraId="5763D75B" w14:textId="77777777" w:rsidR="00320CAB" w:rsidRPr="009C411C" w:rsidRDefault="00320CAB" w:rsidP="0034622E">
            <w:pPr>
              <w:tabs>
                <w:tab w:val="right" w:pos="1202"/>
              </w:tabs>
              <w:spacing w:line="240" w:lineRule="atLeast"/>
              <w:jc w:val="right"/>
              <w:outlineLvl w:val="0"/>
              <w:rPr>
                <w:rFonts w:ascii="Arial" w:hAnsi="Arial" w:cs="Arial"/>
                <w:b/>
                <w:color w:val="000000" w:themeColor="text1"/>
                <w:sz w:val="18"/>
                <w:szCs w:val="18"/>
              </w:rPr>
            </w:pPr>
            <w:r w:rsidRPr="009C411C">
              <w:rPr>
                <w:rFonts w:ascii="Arial" w:hAnsi="Arial" w:cs="Arial"/>
                <w:b/>
                <w:color w:val="000000" w:themeColor="text1"/>
                <w:sz w:val="18"/>
                <w:szCs w:val="18"/>
              </w:rPr>
              <w:t>000</w:t>
            </w:r>
            <w:r>
              <w:rPr>
                <w:rFonts w:ascii="Arial" w:hAnsi="Arial" w:cs="Arial"/>
                <w:b/>
                <w:color w:val="000000" w:themeColor="text1"/>
                <w:sz w:val="18"/>
                <w:szCs w:val="18"/>
              </w:rPr>
              <w:t xml:space="preserve"> eura</w:t>
            </w:r>
          </w:p>
        </w:tc>
        <w:tc>
          <w:tcPr>
            <w:tcW w:w="612" w:type="pct"/>
          </w:tcPr>
          <w:p w14:paraId="2C4997D3" w14:textId="77777777" w:rsidR="00320CAB" w:rsidRPr="009C411C" w:rsidRDefault="00320CAB" w:rsidP="0034622E">
            <w:pPr>
              <w:tabs>
                <w:tab w:val="right" w:pos="1202"/>
              </w:tabs>
              <w:spacing w:line="240" w:lineRule="atLeast"/>
              <w:jc w:val="right"/>
              <w:outlineLvl w:val="0"/>
              <w:rPr>
                <w:rFonts w:ascii="Arial" w:hAnsi="Arial" w:cs="Arial"/>
                <w:b/>
                <w:color w:val="000000" w:themeColor="text1"/>
                <w:sz w:val="18"/>
                <w:szCs w:val="18"/>
              </w:rPr>
            </w:pPr>
            <w:r w:rsidRPr="009C411C">
              <w:rPr>
                <w:rFonts w:ascii="Arial" w:hAnsi="Arial" w:cs="Arial"/>
                <w:b/>
                <w:color w:val="000000" w:themeColor="text1"/>
                <w:sz w:val="18"/>
                <w:szCs w:val="18"/>
              </w:rPr>
              <w:t xml:space="preserve">000 </w:t>
            </w:r>
            <w:r>
              <w:rPr>
                <w:rFonts w:ascii="Arial" w:hAnsi="Arial" w:cs="Arial"/>
                <w:b/>
                <w:color w:val="000000" w:themeColor="text1"/>
                <w:sz w:val="18"/>
                <w:szCs w:val="18"/>
              </w:rPr>
              <w:t>eura</w:t>
            </w:r>
          </w:p>
        </w:tc>
        <w:tc>
          <w:tcPr>
            <w:tcW w:w="611" w:type="pct"/>
          </w:tcPr>
          <w:p w14:paraId="1E52445C" w14:textId="77777777" w:rsidR="00320CAB" w:rsidRPr="009C411C" w:rsidRDefault="00320CAB" w:rsidP="0034622E">
            <w:pPr>
              <w:tabs>
                <w:tab w:val="right" w:pos="1202"/>
              </w:tabs>
              <w:spacing w:line="240" w:lineRule="atLeast"/>
              <w:jc w:val="right"/>
              <w:outlineLvl w:val="0"/>
              <w:rPr>
                <w:rFonts w:ascii="Arial" w:hAnsi="Arial" w:cs="Arial"/>
                <w:b/>
                <w:color w:val="000000" w:themeColor="text1"/>
                <w:sz w:val="18"/>
                <w:szCs w:val="18"/>
              </w:rPr>
            </w:pPr>
            <w:r w:rsidRPr="009C411C">
              <w:rPr>
                <w:rFonts w:ascii="Arial" w:hAnsi="Arial" w:cs="Arial"/>
                <w:b/>
                <w:color w:val="000000" w:themeColor="text1"/>
                <w:sz w:val="18"/>
                <w:szCs w:val="18"/>
              </w:rPr>
              <w:t>000</w:t>
            </w:r>
            <w:r>
              <w:rPr>
                <w:rFonts w:ascii="Arial" w:hAnsi="Arial" w:cs="Arial"/>
                <w:b/>
                <w:color w:val="000000" w:themeColor="text1"/>
                <w:sz w:val="18"/>
                <w:szCs w:val="18"/>
              </w:rPr>
              <w:t xml:space="preserve"> eura</w:t>
            </w:r>
          </w:p>
        </w:tc>
      </w:tr>
      <w:tr w:rsidR="00320CAB" w:rsidRPr="009C411C" w14:paraId="71167646" w14:textId="77777777" w:rsidTr="0034622E">
        <w:trPr>
          <w:cantSplit/>
          <w:trHeight w:val="265"/>
          <w:tblHeader/>
        </w:trPr>
        <w:tc>
          <w:tcPr>
            <w:tcW w:w="2552" w:type="pct"/>
          </w:tcPr>
          <w:p w14:paraId="298E92E4" w14:textId="77777777" w:rsidR="00320CAB" w:rsidRPr="009C411C" w:rsidRDefault="00320CAB" w:rsidP="0034622E">
            <w:pPr>
              <w:ind w:left="113" w:hanging="113"/>
              <w:rPr>
                <w:rFonts w:ascii="Arial" w:hAnsi="Arial" w:cs="Arial"/>
                <w:color w:val="000000" w:themeColor="text1"/>
                <w:sz w:val="18"/>
                <w:szCs w:val="18"/>
              </w:rPr>
            </w:pPr>
          </w:p>
        </w:tc>
        <w:tc>
          <w:tcPr>
            <w:tcW w:w="612" w:type="pct"/>
          </w:tcPr>
          <w:p w14:paraId="5DA6041A" w14:textId="77777777" w:rsidR="00320CAB" w:rsidRPr="009C411C" w:rsidRDefault="00320CAB" w:rsidP="0034622E">
            <w:pPr>
              <w:jc w:val="right"/>
              <w:rPr>
                <w:rFonts w:ascii="Arial" w:hAnsi="Arial" w:cs="Arial"/>
                <w:color w:val="000000" w:themeColor="text1"/>
                <w:sz w:val="18"/>
                <w:szCs w:val="18"/>
              </w:rPr>
            </w:pPr>
          </w:p>
        </w:tc>
        <w:tc>
          <w:tcPr>
            <w:tcW w:w="612" w:type="pct"/>
          </w:tcPr>
          <w:p w14:paraId="44F83A07" w14:textId="77777777" w:rsidR="00320CAB" w:rsidRPr="009C411C" w:rsidRDefault="00320CAB" w:rsidP="0034622E">
            <w:pPr>
              <w:jc w:val="right"/>
              <w:rPr>
                <w:rFonts w:ascii="Arial" w:hAnsi="Arial" w:cs="Arial"/>
                <w:color w:val="000000" w:themeColor="text1"/>
                <w:sz w:val="18"/>
                <w:szCs w:val="18"/>
              </w:rPr>
            </w:pPr>
          </w:p>
        </w:tc>
        <w:tc>
          <w:tcPr>
            <w:tcW w:w="612" w:type="pct"/>
          </w:tcPr>
          <w:p w14:paraId="01D6FD8E" w14:textId="77777777" w:rsidR="00320CAB" w:rsidRPr="009C411C" w:rsidRDefault="00320CAB" w:rsidP="0034622E">
            <w:pPr>
              <w:jc w:val="right"/>
              <w:rPr>
                <w:rFonts w:ascii="Arial" w:hAnsi="Arial" w:cs="Arial"/>
                <w:color w:val="000000" w:themeColor="text1"/>
                <w:sz w:val="18"/>
                <w:szCs w:val="18"/>
              </w:rPr>
            </w:pPr>
          </w:p>
        </w:tc>
        <w:tc>
          <w:tcPr>
            <w:tcW w:w="611" w:type="pct"/>
          </w:tcPr>
          <w:p w14:paraId="2FC9F05A" w14:textId="77777777" w:rsidR="00320CAB" w:rsidRPr="009C411C" w:rsidRDefault="00320CAB" w:rsidP="0034622E">
            <w:pPr>
              <w:jc w:val="center"/>
              <w:rPr>
                <w:rFonts w:ascii="Arial" w:hAnsi="Arial" w:cs="Arial"/>
                <w:color w:val="000000" w:themeColor="text1"/>
                <w:sz w:val="18"/>
                <w:szCs w:val="18"/>
              </w:rPr>
            </w:pPr>
          </w:p>
        </w:tc>
      </w:tr>
      <w:tr w:rsidR="00320CAB" w:rsidRPr="009C411C" w14:paraId="138DD663" w14:textId="77777777" w:rsidTr="0034622E">
        <w:trPr>
          <w:cantSplit/>
          <w:trHeight w:val="265"/>
          <w:tblHeader/>
        </w:trPr>
        <w:tc>
          <w:tcPr>
            <w:tcW w:w="2552" w:type="pct"/>
          </w:tcPr>
          <w:p w14:paraId="05C45A83" w14:textId="77777777" w:rsidR="00320CAB" w:rsidRPr="009C411C" w:rsidRDefault="00320CAB" w:rsidP="0034622E">
            <w:pPr>
              <w:tabs>
                <w:tab w:val="right" w:pos="1202"/>
              </w:tabs>
              <w:spacing w:line="301" w:lineRule="exact"/>
              <w:outlineLvl w:val="0"/>
              <w:rPr>
                <w:rFonts w:ascii="Arial" w:hAnsi="Arial" w:cs="Arial"/>
                <w:b/>
                <w:bCs/>
                <w:color w:val="000000" w:themeColor="text1"/>
                <w:sz w:val="18"/>
                <w:szCs w:val="18"/>
              </w:rPr>
            </w:pPr>
            <w:r w:rsidRPr="009C411C">
              <w:rPr>
                <w:rFonts w:ascii="Arial" w:hAnsi="Arial" w:cs="Arial"/>
                <w:b/>
                <w:bCs/>
                <w:color w:val="000000" w:themeColor="text1"/>
                <w:sz w:val="18"/>
                <w:szCs w:val="18"/>
              </w:rPr>
              <w:t>Imovina</w:t>
            </w:r>
          </w:p>
        </w:tc>
        <w:tc>
          <w:tcPr>
            <w:tcW w:w="612" w:type="pct"/>
          </w:tcPr>
          <w:p w14:paraId="58D10976" w14:textId="77777777" w:rsidR="00320CAB" w:rsidRPr="009C411C" w:rsidRDefault="00320CAB" w:rsidP="0034622E">
            <w:pPr>
              <w:jc w:val="right"/>
              <w:rPr>
                <w:rFonts w:ascii="Arial" w:hAnsi="Arial" w:cs="Arial"/>
                <w:color w:val="000000" w:themeColor="text1"/>
                <w:sz w:val="18"/>
                <w:szCs w:val="18"/>
              </w:rPr>
            </w:pPr>
          </w:p>
        </w:tc>
        <w:tc>
          <w:tcPr>
            <w:tcW w:w="612" w:type="pct"/>
          </w:tcPr>
          <w:p w14:paraId="6664E4B5" w14:textId="77777777" w:rsidR="00320CAB" w:rsidRPr="009C411C" w:rsidRDefault="00320CAB" w:rsidP="0034622E">
            <w:pPr>
              <w:jc w:val="right"/>
              <w:rPr>
                <w:rFonts w:ascii="Arial" w:hAnsi="Arial" w:cs="Arial"/>
                <w:color w:val="000000" w:themeColor="text1"/>
                <w:sz w:val="18"/>
                <w:szCs w:val="18"/>
              </w:rPr>
            </w:pPr>
          </w:p>
        </w:tc>
        <w:tc>
          <w:tcPr>
            <w:tcW w:w="612" w:type="pct"/>
          </w:tcPr>
          <w:p w14:paraId="47A6E2B9" w14:textId="77777777" w:rsidR="00320CAB" w:rsidRPr="009C411C" w:rsidRDefault="00320CAB" w:rsidP="0034622E">
            <w:pPr>
              <w:jc w:val="right"/>
              <w:rPr>
                <w:rFonts w:ascii="Arial" w:hAnsi="Arial" w:cs="Arial"/>
                <w:color w:val="000000" w:themeColor="text1"/>
                <w:sz w:val="18"/>
                <w:szCs w:val="18"/>
              </w:rPr>
            </w:pPr>
          </w:p>
        </w:tc>
        <w:tc>
          <w:tcPr>
            <w:tcW w:w="611" w:type="pct"/>
          </w:tcPr>
          <w:p w14:paraId="6854AD6B" w14:textId="77777777" w:rsidR="00320CAB" w:rsidRPr="009C411C" w:rsidRDefault="00320CAB" w:rsidP="0034622E">
            <w:pPr>
              <w:jc w:val="center"/>
              <w:rPr>
                <w:rFonts w:ascii="Arial" w:hAnsi="Arial" w:cs="Arial"/>
                <w:color w:val="000000" w:themeColor="text1"/>
                <w:sz w:val="18"/>
                <w:szCs w:val="18"/>
              </w:rPr>
            </w:pPr>
          </w:p>
        </w:tc>
      </w:tr>
      <w:tr w:rsidR="00320CAB" w:rsidRPr="009C411C" w14:paraId="73977401" w14:textId="77777777" w:rsidTr="0034622E">
        <w:trPr>
          <w:cantSplit/>
          <w:trHeight w:val="265"/>
          <w:tblHeader/>
        </w:trPr>
        <w:tc>
          <w:tcPr>
            <w:tcW w:w="2552" w:type="pct"/>
            <w:vAlign w:val="bottom"/>
          </w:tcPr>
          <w:p w14:paraId="436658C0" w14:textId="77777777" w:rsidR="00320CAB" w:rsidRPr="009C411C" w:rsidRDefault="00320CAB" w:rsidP="0034622E">
            <w:pPr>
              <w:tabs>
                <w:tab w:val="right" w:pos="1202"/>
              </w:tabs>
              <w:spacing w:line="301" w:lineRule="exact"/>
              <w:outlineLvl w:val="0"/>
              <w:rPr>
                <w:rFonts w:ascii="Arial" w:hAnsi="Arial" w:cs="Arial"/>
                <w:color w:val="000000" w:themeColor="text1"/>
                <w:sz w:val="18"/>
                <w:szCs w:val="18"/>
              </w:rPr>
            </w:pPr>
            <w:r w:rsidRPr="009C411C">
              <w:rPr>
                <w:rFonts w:ascii="Arial" w:hAnsi="Arial" w:cs="Arial"/>
                <w:color w:val="000000" w:themeColor="text1"/>
                <w:sz w:val="18"/>
                <w:szCs w:val="18"/>
              </w:rPr>
              <w:t>Novčana sredstva i računi kod banaka</w:t>
            </w:r>
          </w:p>
        </w:tc>
        <w:tc>
          <w:tcPr>
            <w:tcW w:w="612" w:type="pct"/>
            <w:tcBorders>
              <w:top w:val="nil"/>
              <w:left w:val="nil"/>
              <w:bottom w:val="nil"/>
              <w:right w:val="nil"/>
            </w:tcBorders>
            <w:shd w:val="clear" w:color="auto" w:fill="auto"/>
            <w:vAlign w:val="bottom"/>
          </w:tcPr>
          <w:p w14:paraId="48678DD9" w14:textId="77777777" w:rsidR="00320CAB" w:rsidRPr="009C411C" w:rsidRDefault="00320CAB" w:rsidP="0034622E">
            <w:pPr>
              <w:tabs>
                <w:tab w:val="right" w:pos="1202"/>
              </w:tabs>
              <w:spacing w:line="301" w:lineRule="exact"/>
              <w:jc w:val="right"/>
              <w:outlineLvl w:val="0"/>
              <w:rPr>
                <w:rFonts w:ascii="Arial" w:hAnsi="Arial" w:cs="Arial"/>
                <w:color w:val="000000" w:themeColor="text1"/>
                <w:sz w:val="18"/>
                <w:szCs w:val="18"/>
              </w:rPr>
            </w:pPr>
            <w:r w:rsidRPr="00F959D0">
              <w:rPr>
                <w:rFonts w:ascii="Arial" w:hAnsi="Arial" w:cs="Arial"/>
                <w:color w:val="000000" w:themeColor="text1"/>
                <w:sz w:val="18"/>
                <w:szCs w:val="18"/>
              </w:rPr>
              <w:t>41.828</w:t>
            </w:r>
          </w:p>
        </w:tc>
        <w:tc>
          <w:tcPr>
            <w:tcW w:w="612" w:type="pct"/>
            <w:tcBorders>
              <w:top w:val="nil"/>
              <w:left w:val="nil"/>
              <w:bottom w:val="nil"/>
              <w:right w:val="nil"/>
            </w:tcBorders>
            <w:shd w:val="clear" w:color="auto" w:fill="auto"/>
            <w:vAlign w:val="bottom"/>
          </w:tcPr>
          <w:p w14:paraId="47B99E57" w14:textId="77777777" w:rsidR="00320CAB" w:rsidRPr="009C411C" w:rsidRDefault="00320CAB" w:rsidP="0034622E">
            <w:pPr>
              <w:tabs>
                <w:tab w:val="right" w:pos="1202"/>
              </w:tabs>
              <w:spacing w:line="301" w:lineRule="exact"/>
              <w:jc w:val="right"/>
              <w:outlineLvl w:val="0"/>
              <w:rPr>
                <w:rFonts w:ascii="Arial" w:hAnsi="Arial" w:cs="Arial"/>
                <w:color w:val="000000" w:themeColor="text1"/>
                <w:sz w:val="18"/>
                <w:szCs w:val="18"/>
              </w:rPr>
            </w:pPr>
            <w:r w:rsidRPr="00F959D0">
              <w:rPr>
                <w:rFonts w:ascii="Arial" w:hAnsi="Arial" w:cs="Arial"/>
                <w:color w:val="000000" w:themeColor="text1"/>
                <w:sz w:val="18"/>
                <w:szCs w:val="18"/>
              </w:rPr>
              <w:t xml:space="preserve"> 215 </w:t>
            </w:r>
          </w:p>
        </w:tc>
        <w:tc>
          <w:tcPr>
            <w:tcW w:w="612" w:type="pct"/>
            <w:tcBorders>
              <w:top w:val="nil"/>
              <w:left w:val="nil"/>
              <w:bottom w:val="nil"/>
              <w:right w:val="nil"/>
            </w:tcBorders>
            <w:shd w:val="clear" w:color="auto" w:fill="auto"/>
            <w:vAlign w:val="bottom"/>
          </w:tcPr>
          <w:p w14:paraId="36FC47A6" w14:textId="77777777" w:rsidR="00320CAB" w:rsidRPr="009C411C" w:rsidRDefault="00320CAB" w:rsidP="0034622E">
            <w:pPr>
              <w:tabs>
                <w:tab w:val="right" w:pos="1202"/>
              </w:tabs>
              <w:spacing w:line="301" w:lineRule="exact"/>
              <w:jc w:val="right"/>
              <w:outlineLvl w:val="0"/>
              <w:rPr>
                <w:rFonts w:ascii="Arial" w:hAnsi="Arial" w:cs="Arial"/>
                <w:color w:val="000000" w:themeColor="text1"/>
                <w:sz w:val="18"/>
                <w:szCs w:val="18"/>
              </w:rPr>
            </w:pPr>
            <w:r w:rsidRPr="00F959D0">
              <w:rPr>
                <w:rFonts w:ascii="Arial" w:hAnsi="Arial" w:cs="Arial"/>
                <w:color w:val="000000" w:themeColor="text1"/>
                <w:sz w:val="18"/>
                <w:szCs w:val="18"/>
              </w:rPr>
              <w:t xml:space="preserve"> 90 </w:t>
            </w:r>
          </w:p>
        </w:tc>
        <w:tc>
          <w:tcPr>
            <w:tcW w:w="611" w:type="pct"/>
            <w:tcBorders>
              <w:top w:val="nil"/>
              <w:left w:val="nil"/>
              <w:bottom w:val="nil"/>
              <w:right w:val="nil"/>
            </w:tcBorders>
            <w:shd w:val="clear" w:color="auto" w:fill="auto"/>
            <w:vAlign w:val="bottom"/>
          </w:tcPr>
          <w:p w14:paraId="07556F32" w14:textId="77777777" w:rsidR="00320CAB" w:rsidRPr="009C411C" w:rsidRDefault="00320CAB" w:rsidP="0034622E">
            <w:pPr>
              <w:tabs>
                <w:tab w:val="right" w:pos="1202"/>
              </w:tabs>
              <w:spacing w:line="301" w:lineRule="exact"/>
              <w:jc w:val="right"/>
              <w:outlineLvl w:val="0"/>
              <w:rPr>
                <w:rFonts w:ascii="Arial" w:hAnsi="Arial" w:cs="Arial"/>
                <w:color w:val="000000" w:themeColor="text1"/>
                <w:sz w:val="18"/>
                <w:szCs w:val="18"/>
              </w:rPr>
            </w:pPr>
            <w:r w:rsidRPr="00F959D0">
              <w:rPr>
                <w:rFonts w:ascii="Arial" w:hAnsi="Arial" w:cs="Arial"/>
                <w:color w:val="000000" w:themeColor="text1"/>
                <w:sz w:val="18"/>
                <w:szCs w:val="18"/>
              </w:rPr>
              <w:t>42.133</w:t>
            </w:r>
          </w:p>
        </w:tc>
      </w:tr>
      <w:tr w:rsidR="00320CAB" w:rsidRPr="009C411C" w14:paraId="4B266DE7" w14:textId="77777777" w:rsidTr="0034622E">
        <w:trPr>
          <w:cantSplit/>
          <w:trHeight w:val="265"/>
          <w:tblHeader/>
        </w:trPr>
        <w:tc>
          <w:tcPr>
            <w:tcW w:w="2552" w:type="pct"/>
            <w:vAlign w:val="bottom"/>
          </w:tcPr>
          <w:p w14:paraId="144A35F7" w14:textId="77777777" w:rsidR="00320CAB" w:rsidRPr="009C411C" w:rsidRDefault="00320CAB" w:rsidP="0034622E">
            <w:pPr>
              <w:tabs>
                <w:tab w:val="right" w:pos="1202"/>
              </w:tabs>
              <w:spacing w:line="301" w:lineRule="exact"/>
              <w:outlineLvl w:val="0"/>
              <w:rPr>
                <w:rFonts w:ascii="Arial" w:hAnsi="Arial" w:cs="Arial"/>
                <w:color w:val="000000" w:themeColor="text1"/>
                <w:sz w:val="18"/>
                <w:szCs w:val="18"/>
              </w:rPr>
            </w:pPr>
            <w:r w:rsidRPr="009C411C">
              <w:rPr>
                <w:rFonts w:ascii="Arial" w:hAnsi="Arial" w:cs="Arial"/>
                <w:color w:val="000000" w:themeColor="text1"/>
                <w:sz w:val="18"/>
                <w:szCs w:val="18"/>
              </w:rPr>
              <w:t>Depoziti kod drugih banaka</w:t>
            </w:r>
          </w:p>
        </w:tc>
        <w:tc>
          <w:tcPr>
            <w:tcW w:w="612" w:type="pct"/>
            <w:tcBorders>
              <w:top w:val="nil"/>
              <w:left w:val="nil"/>
              <w:bottom w:val="nil"/>
              <w:right w:val="nil"/>
            </w:tcBorders>
            <w:shd w:val="clear" w:color="auto" w:fill="auto"/>
            <w:vAlign w:val="bottom"/>
          </w:tcPr>
          <w:p w14:paraId="7E04F1E9" w14:textId="77777777" w:rsidR="00320CAB" w:rsidRPr="009C411C" w:rsidRDefault="00320CAB" w:rsidP="0034622E">
            <w:pPr>
              <w:tabs>
                <w:tab w:val="right" w:pos="1202"/>
              </w:tabs>
              <w:spacing w:line="301" w:lineRule="exact"/>
              <w:jc w:val="right"/>
              <w:outlineLvl w:val="0"/>
              <w:rPr>
                <w:rFonts w:ascii="Arial" w:hAnsi="Arial" w:cs="Arial"/>
                <w:color w:val="000000" w:themeColor="text1"/>
                <w:sz w:val="18"/>
                <w:szCs w:val="18"/>
              </w:rPr>
            </w:pPr>
            <w:r w:rsidRPr="00F959D0">
              <w:rPr>
                <w:rFonts w:ascii="Arial" w:hAnsi="Arial" w:cs="Arial"/>
                <w:color w:val="000000" w:themeColor="text1"/>
                <w:sz w:val="18"/>
                <w:szCs w:val="18"/>
              </w:rPr>
              <w:t>38.119</w:t>
            </w:r>
          </w:p>
        </w:tc>
        <w:tc>
          <w:tcPr>
            <w:tcW w:w="612" w:type="pct"/>
            <w:tcBorders>
              <w:top w:val="nil"/>
              <w:left w:val="nil"/>
              <w:bottom w:val="nil"/>
              <w:right w:val="nil"/>
            </w:tcBorders>
            <w:shd w:val="clear" w:color="auto" w:fill="auto"/>
            <w:vAlign w:val="bottom"/>
          </w:tcPr>
          <w:p w14:paraId="1EC165CB" w14:textId="77777777" w:rsidR="00320CAB" w:rsidRPr="009C411C" w:rsidRDefault="00320CAB" w:rsidP="0034622E">
            <w:pPr>
              <w:tabs>
                <w:tab w:val="right" w:pos="1202"/>
              </w:tabs>
              <w:spacing w:line="301" w:lineRule="exact"/>
              <w:jc w:val="right"/>
              <w:outlineLvl w:val="0"/>
              <w:rPr>
                <w:rFonts w:ascii="Arial" w:hAnsi="Arial" w:cs="Arial"/>
                <w:color w:val="000000" w:themeColor="text1"/>
                <w:sz w:val="18"/>
                <w:szCs w:val="18"/>
              </w:rPr>
            </w:pPr>
            <w:r w:rsidRPr="00F959D0">
              <w:rPr>
                <w:rFonts w:ascii="Arial" w:hAnsi="Arial" w:cs="Arial"/>
                <w:color w:val="000000" w:themeColor="text1"/>
                <w:sz w:val="18"/>
                <w:szCs w:val="18"/>
              </w:rPr>
              <w:t xml:space="preserve"> 33.642 </w:t>
            </w:r>
          </w:p>
        </w:tc>
        <w:tc>
          <w:tcPr>
            <w:tcW w:w="612" w:type="pct"/>
            <w:tcBorders>
              <w:top w:val="nil"/>
              <w:left w:val="nil"/>
              <w:bottom w:val="nil"/>
              <w:right w:val="nil"/>
            </w:tcBorders>
            <w:shd w:val="clear" w:color="auto" w:fill="auto"/>
            <w:vAlign w:val="bottom"/>
          </w:tcPr>
          <w:p w14:paraId="7C6AD0D1" w14:textId="77777777" w:rsidR="00320CAB" w:rsidRPr="009C411C" w:rsidRDefault="00320CAB" w:rsidP="0034622E">
            <w:pPr>
              <w:tabs>
                <w:tab w:val="right" w:pos="1202"/>
              </w:tabs>
              <w:spacing w:line="301" w:lineRule="exact"/>
              <w:jc w:val="right"/>
              <w:outlineLvl w:val="0"/>
              <w:rPr>
                <w:rFonts w:ascii="Arial" w:hAnsi="Arial" w:cs="Arial"/>
                <w:color w:val="000000" w:themeColor="text1"/>
                <w:sz w:val="18"/>
                <w:szCs w:val="18"/>
              </w:rPr>
            </w:pPr>
            <w:r>
              <w:rPr>
                <w:rFonts w:ascii="Arial" w:hAnsi="Arial" w:cs="Arial"/>
                <w:color w:val="000000" w:themeColor="text1"/>
                <w:sz w:val="18"/>
                <w:szCs w:val="18"/>
              </w:rPr>
              <w:t>-</w:t>
            </w:r>
          </w:p>
        </w:tc>
        <w:tc>
          <w:tcPr>
            <w:tcW w:w="611" w:type="pct"/>
            <w:tcBorders>
              <w:top w:val="nil"/>
              <w:left w:val="nil"/>
              <w:bottom w:val="nil"/>
              <w:right w:val="nil"/>
            </w:tcBorders>
            <w:shd w:val="clear" w:color="auto" w:fill="auto"/>
            <w:vAlign w:val="bottom"/>
          </w:tcPr>
          <w:p w14:paraId="28D9EB59" w14:textId="77777777" w:rsidR="00320CAB" w:rsidRPr="009C411C" w:rsidRDefault="00320CAB" w:rsidP="0034622E">
            <w:pPr>
              <w:tabs>
                <w:tab w:val="right" w:pos="1202"/>
              </w:tabs>
              <w:spacing w:line="301" w:lineRule="exact"/>
              <w:jc w:val="right"/>
              <w:outlineLvl w:val="0"/>
              <w:rPr>
                <w:rFonts w:ascii="Arial" w:hAnsi="Arial" w:cs="Arial"/>
                <w:color w:val="000000" w:themeColor="text1"/>
                <w:sz w:val="18"/>
                <w:szCs w:val="18"/>
              </w:rPr>
            </w:pPr>
            <w:r w:rsidRPr="00F959D0">
              <w:rPr>
                <w:rFonts w:ascii="Arial" w:hAnsi="Arial" w:cs="Arial"/>
                <w:color w:val="000000" w:themeColor="text1"/>
                <w:sz w:val="18"/>
                <w:szCs w:val="18"/>
              </w:rPr>
              <w:t>71.761</w:t>
            </w:r>
          </w:p>
        </w:tc>
      </w:tr>
      <w:tr w:rsidR="00320CAB" w:rsidRPr="009C411C" w14:paraId="50C97EF6" w14:textId="77777777" w:rsidTr="0034622E">
        <w:trPr>
          <w:cantSplit/>
          <w:trHeight w:val="265"/>
          <w:tblHeader/>
        </w:trPr>
        <w:tc>
          <w:tcPr>
            <w:tcW w:w="2552" w:type="pct"/>
            <w:vAlign w:val="bottom"/>
          </w:tcPr>
          <w:p w14:paraId="1C531614" w14:textId="77777777" w:rsidR="00320CAB" w:rsidRPr="009C411C" w:rsidRDefault="00320CAB" w:rsidP="0034622E">
            <w:pPr>
              <w:tabs>
                <w:tab w:val="right" w:pos="1202"/>
              </w:tabs>
              <w:spacing w:line="301" w:lineRule="exact"/>
              <w:outlineLvl w:val="0"/>
              <w:rPr>
                <w:rFonts w:ascii="Arial" w:hAnsi="Arial" w:cs="Arial"/>
                <w:color w:val="000000" w:themeColor="text1"/>
                <w:sz w:val="18"/>
                <w:szCs w:val="18"/>
              </w:rPr>
            </w:pPr>
            <w:r w:rsidRPr="009C411C">
              <w:rPr>
                <w:rFonts w:ascii="Arial" w:hAnsi="Arial" w:cs="Arial"/>
                <w:color w:val="000000" w:themeColor="text1"/>
                <w:sz w:val="18"/>
                <w:szCs w:val="18"/>
              </w:rPr>
              <w:t>Krediti financijskim institucijama</w:t>
            </w:r>
          </w:p>
        </w:tc>
        <w:tc>
          <w:tcPr>
            <w:tcW w:w="612" w:type="pct"/>
            <w:tcBorders>
              <w:top w:val="nil"/>
              <w:left w:val="nil"/>
              <w:bottom w:val="nil"/>
              <w:right w:val="nil"/>
            </w:tcBorders>
            <w:shd w:val="clear" w:color="auto" w:fill="auto"/>
            <w:vAlign w:val="bottom"/>
          </w:tcPr>
          <w:p w14:paraId="3A82CAF8" w14:textId="77777777" w:rsidR="00320CAB" w:rsidRPr="009C411C" w:rsidRDefault="00320CAB" w:rsidP="0034622E">
            <w:pPr>
              <w:tabs>
                <w:tab w:val="right" w:pos="1202"/>
              </w:tabs>
              <w:spacing w:line="301" w:lineRule="exact"/>
              <w:jc w:val="right"/>
              <w:outlineLvl w:val="0"/>
              <w:rPr>
                <w:rFonts w:ascii="Arial" w:hAnsi="Arial" w:cs="Arial"/>
                <w:color w:val="000000" w:themeColor="text1"/>
                <w:sz w:val="18"/>
                <w:szCs w:val="18"/>
              </w:rPr>
            </w:pPr>
            <w:r w:rsidRPr="00F959D0">
              <w:rPr>
                <w:rFonts w:ascii="Arial" w:hAnsi="Arial" w:cs="Arial"/>
                <w:color w:val="000000" w:themeColor="text1"/>
                <w:sz w:val="18"/>
                <w:szCs w:val="18"/>
              </w:rPr>
              <w:t xml:space="preserve"> 1.248.881 </w:t>
            </w:r>
          </w:p>
        </w:tc>
        <w:tc>
          <w:tcPr>
            <w:tcW w:w="612" w:type="pct"/>
            <w:tcBorders>
              <w:top w:val="nil"/>
              <w:left w:val="nil"/>
              <w:bottom w:val="nil"/>
              <w:right w:val="nil"/>
            </w:tcBorders>
            <w:shd w:val="clear" w:color="auto" w:fill="auto"/>
            <w:vAlign w:val="bottom"/>
          </w:tcPr>
          <w:p w14:paraId="46B14D6E" w14:textId="77777777" w:rsidR="00320CAB" w:rsidRPr="009C411C" w:rsidRDefault="00320CAB" w:rsidP="0034622E">
            <w:pPr>
              <w:tabs>
                <w:tab w:val="right" w:pos="1202"/>
              </w:tabs>
              <w:spacing w:line="301" w:lineRule="exact"/>
              <w:jc w:val="right"/>
              <w:outlineLvl w:val="0"/>
              <w:rPr>
                <w:rFonts w:ascii="Arial" w:hAnsi="Arial" w:cs="Arial"/>
                <w:color w:val="000000" w:themeColor="text1"/>
                <w:sz w:val="18"/>
                <w:szCs w:val="18"/>
              </w:rPr>
            </w:pPr>
            <w:r w:rsidRPr="00F959D0">
              <w:rPr>
                <w:rFonts w:ascii="Arial" w:hAnsi="Arial" w:cs="Arial"/>
                <w:color w:val="000000" w:themeColor="text1"/>
                <w:sz w:val="18"/>
                <w:szCs w:val="18"/>
              </w:rPr>
              <w:t xml:space="preserve"> -   </w:t>
            </w:r>
          </w:p>
        </w:tc>
        <w:tc>
          <w:tcPr>
            <w:tcW w:w="612" w:type="pct"/>
            <w:tcBorders>
              <w:top w:val="nil"/>
              <w:left w:val="nil"/>
              <w:bottom w:val="nil"/>
              <w:right w:val="nil"/>
            </w:tcBorders>
            <w:shd w:val="clear" w:color="auto" w:fill="auto"/>
            <w:vAlign w:val="bottom"/>
          </w:tcPr>
          <w:p w14:paraId="1AF45DCA" w14:textId="77777777" w:rsidR="00320CAB" w:rsidRPr="009C411C" w:rsidRDefault="00320CAB" w:rsidP="0034622E">
            <w:pPr>
              <w:tabs>
                <w:tab w:val="right" w:pos="1202"/>
              </w:tabs>
              <w:spacing w:line="301" w:lineRule="exact"/>
              <w:jc w:val="right"/>
              <w:outlineLvl w:val="0"/>
              <w:rPr>
                <w:rFonts w:ascii="Arial" w:hAnsi="Arial" w:cs="Arial"/>
                <w:color w:val="000000" w:themeColor="text1"/>
                <w:sz w:val="18"/>
                <w:szCs w:val="18"/>
              </w:rPr>
            </w:pPr>
            <w:r w:rsidRPr="00F959D0">
              <w:rPr>
                <w:rFonts w:ascii="Arial" w:hAnsi="Arial" w:cs="Arial"/>
                <w:color w:val="000000" w:themeColor="text1"/>
                <w:sz w:val="18"/>
                <w:szCs w:val="18"/>
              </w:rPr>
              <w:t xml:space="preserve"> -   </w:t>
            </w:r>
          </w:p>
        </w:tc>
        <w:tc>
          <w:tcPr>
            <w:tcW w:w="611" w:type="pct"/>
            <w:tcBorders>
              <w:top w:val="nil"/>
              <w:left w:val="nil"/>
              <w:bottom w:val="nil"/>
              <w:right w:val="nil"/>
            </w:tcBorders>
            <w:shd w:val="clear" w:color="auto" w:fill="auto"/>
            <w:vAlign w:val="bottom"/>
          </w:tcPr>
          <w:p w14:paraId="2BBEC648" w14:textId="77777777" w:rsidR="00320CAB" w:rsidRPr="009C411C" w:rsidRDefault="00320CAB" w:rsidP="0034622E">
            <w:pPr>
              <w:tabs>
                <w:tab w:val="right" w:pos="1202"/>
              </w:tabs>
              <w:spacing w:line="301" w:lineRule="exact"/>
              <w:jc w:val="right"/>
              <w:outlineLvl w:val="0"/>
              <w:rPr>
                <w:rFonts w:ascii="Arial" w:hAnsi="Arial" w:cs="Arial"/>
                <w:color w:val="000000" w:themeColor="text1"/>
                <w:sz w:val="18"/>
                <w:szCs w:val="18"/>
              </w:rPr>
            </w:pPr>
            <w:r w:rsidRPr="00F959D0">
              <w:rPr>
                <w:rFonts w:ascii="Arial" w:hAnsi="Arial" w:cs="Arial"/>
                <w:color w:val="000000" w:themeColor="text1"/>
                <w:sz w:val="18"/>
                <w:szCs w:val="18"/>
              </w:rPr>
              <w:t xml:space="preserve"> 1.248.881 </w:t>
            </w:r>
          </w:p>
        </w:tc>
      </w:tr>
      <w:tr w:rsidR="00320CAB" w:rsidRPr="009C411C" w14:paraId="4505D2EA" w14:textId="77777777" w:rsidTr="0034622E">
        <w:trPr>
          <w:cantSplit/>
          <w:trHeight w:val="265"/>
          <w:tblHeader/>
        </w:trPr>
        <w:tc>
          <w:tcPr>
            <w:tcW w:w="2552" w:type="pct"/>
            <w:vAlign w:val="bottom"/>
          </w:tcPr>
          <w:p w14:paraId="5D189628" w14:textId="77777777" w:rsidR="00320CAB" w:rsidRPr="009C411C" w:rsidRDefault="00320CAB" w:rsidP="0034622E">
            <w:pPr>
              <w:tabs>
                <w:tab w:val="right" w:pos="1202"/>
              </w:tabs>
              <w:spacing w:line="301" w:lineRule="exact"/>
              <w:outlineLvl w:val="0"/>
              <w:rPr>
                <w:rFonts w:ascii="Arial" w:hAnsi="Arial" w:cs="Arial"/>
                <w:color w:val="000000" w:themeColor="text1"/>
                <w:sz w:val="18"/>
                <w:szCs w:val="18"/>
              </w:rPr>
            </w:pPr>
            <w:r w:rsidRPr="009C411C">
              <w:rPr>
                <w:rFonts w:ascii="Arial" w:hAnsi="Arial" w:cs="Arial"/>
                <w:color w:val="000000" w:themeColor="text1"/>
                <w:sz w:val="18"/>
                <w:szCs w:val="18"/>
              </w:rPr>
              <w:t>Krediti ostalim korisnicima</w:t>
            </w:r>
          </w:p>
        </w:tc>
        <w:tc>
          <w:tcPr>
            <w:tcW w:w="612" w:type="pct"/>
            <w:tcBorders>
              <w:top w:val="nil"/>
              <w:left w:val="nil"/>
              <w:bottom w:val="nil"/>
              <w:right w:val="nil"/>
            </w:tcBorders>
            <w:shd w:val="clear" w:color="auto" w:fill="auto"/>
            <w:vAlign w:val="bottom"/>
          </w:tcPr>
          <w:p w14:paraId="134560DD" w14:textId="77777777" w:rsidR="00320CAB" w:rsidRPr="009C411C" w:rsidRDefault="00320CAB" w:rsidP="0034622E">
            <w:pPr>
              <w:tabs>
                <w:tab w:val="right" w:pos="1202"/>
              </w:tabs>
              <w:spacing w:line="301" w:lineRule="exact"/>
              <w:jc w:val="right"/>
              <w:outlineLvl w:val="0"/>
              <w:rPr>
                <w:rFonts w:ascii="Arial" w:hAnsi="Arial" w:cs="Arial"/>
                <w:color w:val="000000" w:themeColor="text1"/>
                <w:sz w:val="18"/>
                <w:szCs w:val="18"/>
              </w:rPr>
            </w:pPr>
            <w:r w:rsidRPr="00F959D0">
              <w:rPr>
                <w:rFonts w:ascii="Arial" w:hAnsi="Arial" w:cs="Arial"/>
                <w:color w:val="000000" w:themeColor="text1"/>
                <w:sz w:val="18"/>
                <w:szCs w:val="18"/>
              </w:rPr>
              <w:t xml:space="preserve"> 2.351.196 </w:t>
            </w:r>
          </w:p>
        </w:tc>
        <w:tc>
          <w:tcPr>
            <w:tcW w:w="612" w:type="pct"/>
            <w:tcBorders>
              <w:top w:val="nil"/>
              <w:left w:val="nil"/>
              <w:bottom w:val="nil"/>
              <w:right w:val="nil"/>
            </w:tcBorders>
            <w:shd w:val="clear" w:color="auto" w:fill="auto"/>
            <w:vAlign w:val="bottom"/>
          </w:tcPr>
          <w:p w14:paraId="67A1BA13" w14:textId="77777777" w:rsidR="00320CAB" w:rsidRPr="009C411C" w:rsidRDefault="00320CAB" w:rsidP="0034622E">
            <w:pPr>
              <w:tabs>
                <w:tab w:val="right" w:pos="1202"/>
              </w:tabs>
              <w:spacing w:line="301" w:lineRule="exact"/>
              <w:jc w:val="right"/>
              <w:outlineLvl w:val="0"/>
              <w:rPr>
                <w:rFonts w:ascii="Arial" w:hAnsi="Arial" w:cs="Arial"/>
                <w:color w:val="000000" w:themeColor="text1"/>
                <w:sz w:val="18"/>
                <w:szCs w:val="18"/>
              </w:rPr>
            </w:pPr>
            <w:r w:rsidRPr="00F959D0">
              <w:rPr>
                <w:rFonts w:ascii="Arial" w:hAnsi="Arial" w:cs="Arial"/>
                <w:color w:val="000000" w:themeColor="text1"/>
                <w:sz w:val="18"/>
                <w:szCs w:val="18"/>
              </w:rPr>
              <w:t xml:space="preserve"> -   </w:t>
            </w:r>
          </w:p>
        </w:tc>
        <w:tc>
          <w:tcPr>
            <w:tcW w:w="612" w:type="pct"/>
            <w:tcBorders>
              <w:top w:val="nil"/>
              <w:left w:val="nil"/>
              <w:bottom w:val="nil"/>
              <w:right w:val="nil"/>
            </w:tcBorders>
            <w:shd w:val="clear" w:color="auto" w:fill="auto"/>
            <w:vAlign w:val="bottom"/>
          </w:tcPr>
          <w:p w14:paraId="426C6928" w14:textId="77777777" w:rsidR="00320CAB" w:rsidRPr="009C411C" w:rsidRDefault="00320CAB" w:rsidP="0034622E">
            <w:pPr>
              <w:tabs>
                <w:tab w:val="right" w:pos="1202"/>
              </w:tabs>
              <w:spacing w:line="301" w:lineRule="exact"/>
              <w:jc w:val="right"/>
              <w:outlineLvl w:val="0"/>
              <w:rPr>
                <w:rFonts w:ascii="Arial" w:hAnsi="Arial" w:cs="Arial"/>
                <w:color w:val="000000" w:themeColor="text1"/>
                <w:sz w:val="18"/>
                <w:szCs w:val="18"/>
              </w:rPr>
            </w:pPr>
            <w:r w:rsidRPr="00F959D0">
              <w:rPr>
                <w:rFonts w:ascii="Arial" w:hAnsi="Arial" w:cs="Arial"/>
                <w:color w:val="000000" w:themeColor="text1"/>
                <w:sz w:val="18"/>
                <w:szCs w:val="18"/>
              </w:rPr>
              <w:t xml:space="preserve"> -   </w:t>
            </w:r>
          </w:p>
        </w:tc>
        <w:tc>
          <w:tcPr>
            <w:tcW w:w="611" w:type="pct"/>
            <w:tcBorders>
              <w:top w:val="nil"/>
              <w:left w:val="nil"/>
              <w:bottom w:val="nil"/>
              <w:right w:val="nil"/>
            </w:tcBorders>
            <w:shd w:val="clear" w:color="auto" w:fill="auto"/>
            <w:vAlign w:val="bottom"/>
          </w:tcPr>
          <w:p w14:paraId="540AFFD8" w14:textId="77777777" w:rsidR="00320CAB" w:rsidRPr="009C411C" w:rsidRDefault="00320CAB" w:rsidP="0034622E">
            <w:pPr>
              <w:tabs>
                <w:tab w:val="right" w:pos="1202"/>
              </w:tabs>
              <w:spacing w:line="301" w:lineRule="exact"/>
              <w:jc w:val="right"/>
              <w:outlineLvl w:val="0"/>
              <w:rPr>
                <w:rFonts w:ascii="Arial" w:hAnsi="Arial" w:cs="Arial"/>
                <w:color w:val="000000" w:themeColor="text1"/>
                <w:sz w:val="18"/>
                <w:szCs w:val="18"/>
              </w:rPr>
            </w:pPr>
            <w:r w:rsidRPr="00F959D0">
              <w:rPr>
                <w:rFonts w:ascii="Arial" w:hAnsi="Arial" w:cs="Arial"/>
                <w:color w:val="000000" w:themeColor="text1"/>
                <w:sz w:val="18"/>
                <w:szCs w:val="18"/>
              </w:rPr>
              <w:t xml:space="preserve"> 2.351.196 </w:t>
            </w:r>
          </w:p>
        </w:tc>
      </w:tr>
      <w:tr w:rsidR="00320CAB" w:rsidRPr="009C411C" w14:paraId="368C91AA" w14:textId="77777777" w:rsidTr="0034622E">
        <w:trPr>
          <w:cantSplit/>
          <w:trHeight w:val="265"/>
          <w:tblHeader/>
        </w:trPr>
        <w:tc>
          <w:tcPr>
            <w:tcW w:w="2552" w:type="pct"/>
            <w:vAlign w:val="bottom"/>
          </w:tcPr>
          <w:p w14:paraId="0B7945DC" w14:textId="77777777" w:rsidR="00320CAB" w:rsidRPr="009C411C" w:rsidRDefault="00320CAB" w:rsidP="0034622E">
            <w:pPr>
              <w:tabs>
                <w:tab w:val="right" w:pos="1202"/>
              </w:tabs>
              <w:spacing w:line="301" w:lineRule="exact"/>
              <w:outlineLvl w:val="0"/>
              <w:rPr>
                <w:rFonts w:ascii="Arial" w:hAnsi="Arial" w:cs="Arial"/>
                <w:color w:val="000000" w:themeColor="text1"/>
                <w:sz w:val="18"/>
                <w:szCs w:val="18"/>
              </w:rPr>
            </w:pPr>
            <w:r w:rsidRPr="009C411C">
              <w:rPr>
                <w:rFonts w:ascii="Arial" w:hAnsi="Arial" w:cs="Arial"/>
                <w:color w:val="000000" w:themeColor="text1"/>
                <w:sz w:val="18"/>
                <w:szCs w:val="18"/>
              </w:rPr>
              <w:t>Financijska imovina po fer vrijednosti kroz dobit ili gubitak</w:t>
            </w:r>
          </w:p>
        </w:tc>
        <w:tc>
          <w:tcPr>
            <w:tcW w:w="612" w:type="pct"/>
            <w:tcBorders>
              <w:top w:val="nil"/>
              <w:left w:val="nil"/>
              <w:bottom w:val="nil"/>
              <w:right w:val="nil"/>
            </w:tcBorders>
            <w:shd w:val="clear" w:color="auto" w:fill="auto"/>
            <w:vAlign w:val="bottom"/>
          </w:tcPr>
          <w:p w14:paraId="4679BD26" w14:textId="77777777" w:rsidR="00320CAB" w:rsidRPr="009C411C" w:rsidRDefault="00320CAB" w:rsidP="0034622E">
            <w:pPr>
              <w:tabs>
                <w:tab w:val="right" w:pos="1202"/>
              </w:tabs>
              <w:spacing w:line="301" w:lineRule="exact"/>
              <w:jc w:val="right"/>
              <w:outlineLvl w:val="0"/>
              <w:rPr>
                <w:rFonts w:ascii="Arial" w:hAnsi="Arial" w:cs="Arial"/>
                <w:color w:val="000000" w:themeColor="text1"/>
                <w:sz w:val="18"/>
                <w:szCs w:val="18"/>
              </w:rPr>
            </w:pPr>
            <w:r w:rsidRPr="00F959D0">
              <w:rPr>
                <w:rFonts w:ascii="Arial" w:hAnsi="Arial" w:cs="Arial"/>
                <w:color w:val="000000" w:themeColor="text1"/>
                <w:sz w:val="18"/>
                <w:szCs w:val="18"/>
              </w:rPr>
              <w:t xml:space="preserve"> 33.709 </w:t>
            </w:r>
          </w:p>
        </w:tc>
        <w:tc>
          <w:tcPr>
            <w:tcW w:w="612" w:type="pct"/>
            <w:tcBorders>
              <w:top w:val="nil"/>
              <w:left w:val="nil"/>
              <w:bottom w:val="nil"/>
              <w:right w:val="nil"/>
            </w:tcBorders>
            <w:shd w:val="clear" w:color="auto" w:fill="auto"/>
            <w:vAlign w:val="bottom"/>
          </w:tcPr>
          <w:p w14:paraId="475A256F" w14:textId="77777777" w:rsidR="00320CAB" w:rsidRPr="009C411C" w:rsidRDefault="00320CAB" w:rsidP="0034622E">
            <w:pPr>
              <w:tabs>
                <w:tab w:val="right" w:pos="1202"/>
              </w:tabs>
              <w:spacing w:line="301" w:lineRule="exact"/>
              <w:jc w:val="right"/>
              <w:outlineLvl w:val="0"/>
              <w:rPr>
                <w:rFonts w:ascii="Arial" w:hAnsi="Arial" w:cs="Arial"/>
                <w:color w:val="000000" w:themeColor="text1"/>
                <w:sz w:val="18"/>
                <w:szCs w:val="18"/>
              </w:rPr>
            </w:pPr>
            <w:r w:rsidRPr="00F959D0">
              <w:rPr>
                <w:rFonts w:ascii="Arial" w:hAnsi="Arial" w:cs="Arial"/>
                <w:color w:val="000000" w:themeColor="text1"/>
                <w:sz w:val="18"/>
                <w:szCs w:val="18"/>
              </w:rPr>
              <w:t>-</w:t>
            </w:r>
          </w:p>
        </w:tc>
        <w:tc>
          <w:tcPr>
            <w:tcW w:w="612" w:type="pct"/>
            <w:tcBorders>
              <w:top w:val="nil"/>
              <w:left w:val="nil"/>
              <w:bottom w:val="nil"/>
              <w:right w:val="nil"/>
            </w:tcBorders>
            <w:shd w:val="clear" w:color="auto" w:fill="auto"/>
            <w:vAlign w:val="bottom"/>
          </w:tcPr>
          <w:p w14:paraId="685AE9DD" w14:textId="77777777" w:rsidR="00320CAB" w:rsidRPr="009C411C" w:rsidRDefault="00320CAB" w:rsidP="0034622E">
            <w:pPr>
              <w:tabs>
                <w:tab w:val="right" w:pos="1202"/>
              </w:tabs>
              <w:spacing w:line="301" w:lineRule="exact"/>
              <w:jc w:val="right"/>
              <w:outlineLvl w:val="0"/>
              <w:rPr>
                <w:rFonts w:ascii="Arial" w:hAnsi="Arial" w:cs="Arial"/>
                <w:color w:val="000000" w:themeColor="text1"/>
                <w:sz w:val="18"/>
                <w:szCs w:val="18"/>
              </w:rPr>
            </w:pPr>
            <w:r w:rsidRPr="00F959D0">
              <w:rPr>
                <w:rFonts w:ascii="Arial" w:hAnsi="Arial" w:cs="Arial"/>
                <w:color w:val="000000" w:themeColor="text1"/>
                <w:sz w:val="18"/>
                <w:szCs w:val="18"/>
              </w:rPr>
              <w:t>-</w:t>
            </w:r>
          </w:p>
        </w:tc>
        <w:tc>
          <w:tcPr>
            <w:tcW w:w="611" w:type="pct"/>
            <w:tcBorders>
              <w:top w:val="nil"/>
              <w:left w:val="nil"/>
              <w:bottom w:val="nil"/>
              <w:right w:val="nil"/>
            </w:tcBorders>
            <w:shd w:val="clear" w:color="auto" w:fill="auto"/>
            <w:vAlign w:val="bottom"/>
          </w:tcPr>
          <w:p w14:paraId="02CABBA0" w14:textId="77777777" w:rsidR="00320CAB" w:rsidRPr="009C411C" w:rsidRDefault="00320CAB" w:rsidP="0034622E">
            <w:pPr>
              <w:tabs>
                <w:tab w:val="right" w:pos="1202"/>
              </w:tabs>
              <w:spacing w:line="301" w:lineRule="exact"/>
              <w:jc w:val="right"/>
              <w:outlineLvl w:val="0"/>
              <w:rPr>
                <w:rFonts w:ascii="Arial" w:hAnsi="Arial" w:cs="Arial"/>
                <w:color w:val="000000" w:themeColor="text1"/>
                <w:sz w:val="18"/>
                <w:szCs w:val="18"/>
              </w:rPr>
            </w:pPr>
            <w:r w:rsidRPr="00F959D0">
              <w:rPr>
                <w:rFonts w:ascii="Arial" w:hAnsi="Arial" w:cs="Arial"/>
                <w:color w:val="000000" w:themeColor="text1"/>
                <w:sz w:val="18"/>
                <w:szCs w:val="18"/>
              </w:rPr>
              <w:t>33.709</w:t>
            </w:r>
          </w:p>
        </w:tc>
      </w:tr>
      <w:tr w:rsidR="00320CAB" w:rsidRPr="009C411C" w14:paraId="02208CEA" w14:textId="77777777" w:rsidTr="0034622E">
        <w:trPr>
          <w:cantSplit/>
          <w:trHeight w:val="265"/>
          <w:tblHeader/>
        </w:trPr>
        <w:tc>
          <w:tcPr>
            <w:tcW w:w="2552" w:type="pct"/>
          </w:tcPr>
          <w:p w14:paraId="49BCE480" w14:textId="77777777" w:rsidR="00320CAB" w:rsidRPr="009C411C" w:rsidRDefault="00320CAB" w:rsidP="0034622E">
            <w:pPr>
              <w:tabs>
                <w:tab w:val="right" w:pos="1202"/>
              </w:tabs>
              <w:spacing w:line="301" w:lineRule="exact"/>
              <w:outlineLvl w:val="0"/>
              <w:rPr>
                <w:rFonts w:ascii="Arial" w:hAnsi="Arial" w:cs="Arial"/>
                <w:color w:val="000000" w:themeColor="text1"/>
                <w:sz w:val="18"/>
                <w:szCs w:val="18"/>
              </w:rPr>
            </w:pPr>
            <w:r w:rsidRPr="009C411C">
              <w:rPr>
                <w:rFonts w:ascii="Arial" w:hAnsi="Arial" w:cs="Arial"/>
                <w:color w:val="000000" w:themeColor="text1"/>
                <w:sz w:val="18"/>
                <w:szCs w:val="18"/>
              </w:rPr>
              <w:t xml:space="preserve">Financijska imovina po fer vrijednosti kroz ostalu sveobuhvatnu dobit  </w:t>
            </w:r>
          </w:p>
        </w:tc>
        <w:tc>
          <w:tcPr>
            <w:tcW w:w="612" w:type="pct"/>
            <w:tcBorders>
              <w:top w:val="nil"/>
              <w:left w:val="nil"/>
              <w:bottom w:val="nil"/>
              <w:right w:val="nil"/>
            </w:tcBorders>
            <w:shd w:val="clear" w:color="auto" w:fill="auto"/>
            <w:vAlign w:val="bottom"/>
          </w:tcPr>
          <w:p w14:paraId="6E96E6C0" w14:textId="77777777" w:rsidR="00320CAB" w:rsidRPr="009C411C" w:rsidRDefault="00320CAB" w:rsidP="0034622E">
            <w:pPr>
              <w:tabs>
                <w:tab w:val="right" w:pos="1202"/>
              </w:tabs>
              <w:spacing w:line="301" w:lineRule="exact"/>
              <w:jc w:val="right"/>
              <w:outlineLvl w:val="0"/>
              <w:rPr>
                <w:rFonts w:ascii="Arial" w:hAnsi="Arial" w:cs="Arial"/>
                <w:color w:val="000000" w:themeColor="text1"/>
                <w:sz w:val="18"/>
                <w:szCs w:val="18"/>
              </w:rPr>
            </w:pPr>
            <w:r w:rsidRPr="00F959D0">
              <w:rPr>
                <w:rFonts w:ascii="Arial" w:hAnsi="Arial" w:cs="Arial"/>
                <w:color w:val="000000" w:themeColor="text1"/>
                <w:sz w:val="18"/>
                <w:szCs w:val="18"/>
              </w:rPr>
              <w:t>227.239</w:t>
            </w:r>
          </w:p>
        </w:tc>
        <w:tc>
          <w:tcPr>
            <w:tcW w:w="612" w:type="pct"/>
            <w:tcBorders>
              <w:top w:val="nil"/>
              <w:left w:val="nil"/>
              <w:bottom w:val="nil"/>
              <w:right w:val="nil"/>
            </w:tcBorders>
            <w:shd w:val="clear" w:color="auto" w:fill="auto"/>
            <w:vAlign w:val="bottom"/>
          </w:tcPr>
          <w:p w14:paraId="2E1F554D" w14:textId="77777777" w:rsidR="00320CAB" w:rsidRPr="009C411C" w:rsidRDefault="00320CAB" w:rsidP="0034622E">
            <w:pPr>
              <w:tabs>
                <w:tab w:val="right" w:pos="1202"/>
              </w:tabs>
              <w:spacing w:line="301" w:lineRule="exact"/>
              <w:jc w:val="right"/>
              <w:outlineLvl w:val="0"/>
              <w:rPr>
                <w:rFonts w:ascii="Arial" w:hAnsi="Arial" w:cs="Arial"/>
                <w:color w:val="000000" w:themeColor="text1"/>
                <w:sz w:val="18"/>
                <w:szCs w:val="18"/>
              </w:rPr>
            </w:pPr>
            <w:r w:rsidRPr="00F959D0">
              <w:rPr>
                <w:rFonts w:ascii="Arial" w:hAnsi="Arial" w:cs="Arial"/>
                <w:color w:val="000000" w:themeColor="text1"/>
                <w:sz w:val="18"/>
                <w:szCs w:val="18"/>
              </w:rPr>
              <w:t>195</w:t>
            </w:r>
          </w:p>
        </w:tc>
        <w:tc>
          <w:tcPr>
            <w:tcW w:w="612" w:type="pct"/>
            <w:tcBorders>
              <w:top w:val="nil"/>
              <w:left w:val="nil"/>
              <w:bottom w:val="nil"/>
              <w:right w:val="nil"/>
            </w:tcBorders>
            <w:shd w:val="clear" w:color="auto" w:fill="auto"/>
            <w:vAlign w:val="bottom"/>
          </w:tcPr>
          <w:p w14:paraId="03184710" w14:textId="77777777" w:rsidR="00320CAB" w:rsidRPr="009C411C" w:rsidRDefault="00320CAB" w:rsidP="0034622E">
            <w:pPr>
              <w:tabs>
                <w:tab w:val="right" w:pos="1202"/>
              </w:tabs>
              <w:spacing w:line="301" w:lineRule="exact"/>
              <w:jc w:val="right"/>
              <w:outlineLvl w:val="0"/>
              <w:rPr>
                <w:rFonts w:ascii="Arial" w:hAnsi="Arial" w:cs="Arial"/>
                <w:color w:val="000000" w:themeColor="text1"/>
                <w:sz w:val="18"/>
                <w:szCs w:val="18"/>
              </w:rPr>
            </w:pPr>
            <w:r w:rsidRPr="00F959D0">
              <w:rPr>
                <w:rFonts w:ascii="Arial" w:hAnsi="Arial" w:cs="Arial"/>
                <w:color w:val="000000" w:themeColor="text1"/>
                <w:sz w:val="18"/>
                <w:szCs w:val="18"/>
              </w:rPr>
              <w:t>-</w:t>
            </w:r>
          </w:p>
        </w:tc>
        <w:tc>
          <w:tcPr>
            <w:tcW w:w="611" w:type="pct"/>
            <w:tcBorders>
              <w:top w:val="nil"/>
              <w:left w:val="nil"/>
              <w:bottom w:val="nil"/>
              <w:right w:val="nil"/>
            </w:tcBorders>
            <w:shd w:val="clear" w:color="auto" w:fill="auto"/>
            <w:vAlign w:val="bottom"/>
          </w:tcPr>
          <w:p w14:paraId="556AED5B" w14:textId="77777777" w:rsidR="00320CAB" w:rsidRPr="009C411C" w:rsidRDefault="00320CAB" w:rsidP="0034622E">
            <w:pPr>
              <w:tabs>
                <w:tab w:val="right" w:pos="1202"/>
              </w:tabs>
              <w:spacing w:line="301" w:lineRule="exact"/>
              <w:jc w:val="right"/>
              <w:outlineLvl w:val="0"/>
              <w:rPr>
                <w:rFonts w:ascii="Arial" w:hAnsi="Arial" w:cs="Arial"/>
                <w:color w:val="000000" w:themeColor="text1"/>
                <w:sz w:val="18"/>
                <w:szCs w:val="18"/>
              </w:rPr>
            </w:pPr>
            <w:r w:rsidRPr="00F959D0">
              <w:rPr>
                <w:rFonts w:ascii="Arial" w:hAnsi="Arial" w:cs="Arial"/>
                <w:color w:val="000000" w:themeColor="text1"/>
                <w:sz w:val="18"/>
                <w:szCs w:val="18"/>
              </w:rPr>
              <w:t>227.434</w:t>
            </w:r>
          </w:p>
        </w:tc>
      </w:tr>
      <w:tr w:rsidR="00320CAB" w:rsidRPr="009C411C" w14:paraId="18B6E3B3" w14:textId="77777777" w:rsidTr="0034622E">
        <w:trPr>
          <w:cantSplit/>
          <w:trHeight w:val="265"/>
          <w:tblHeader/>
        </w:trPr>
        <w:tc>
          <w:tcPr>
            <w:tcW w:w="2552" w:type="pct"/>
            <w:vAlign w:val="bottom"/>
          </w:tcPr>
          <w:p w14:paraId="35CA90C0" w14:textId="77777777" w:rsidR="00320CAB" w:rsidRPr="009C411C" w:rsidRDefault="00320CAB" w:rsidP="0034622E">
            <w:pPr>
              <w:tabs>
                <w:tab w:val="right" w:pos="1202"/>
              </w:tabs>
              <w:spacing w:line="301" w:lineRule="exact"/>
              <w:outlineLvl w:val="0"/>
              <w:rPr>
                <w:rFonts w:ascii="Arial" w:hAnsi="Arial" w:cs="Arial"/>
                <w:color w:val="000000" w:themeColor="text1"/>
                <w:sz w:val="18"/>
                <w:szCs w:val="18"/>
              </w:rPr>
            </w:pPr>
            <w:r w:rsidRPr="009C411C">
              <w:rPr>
                <w:rFonts w:ascii="Arial" w:hAnsi="Arial" w:cs="Arial"/>
                <w:color w:val="000000" w:themeColor="text1"/>
                <w:sz w:val="18"/>
                <w:szCs w:val="18"/>
              </w:rPr>
              <w:t>Ostala imovina</w:t>
            </w:r>
          </w:p>
        </w:tc>
        <w:tc>
          <w:tcPr>
            <w:tcW w:w="612" w:type="pct"/>
            <w:tcBorders>
              <w:top w:val="nil"/>
              <w:left w:val="nil"/>
              <w:bottom w:val="single" w:sz="4" w:space="0" w:color="auto"/>
              <w:right w:val="nil"/>
            </w:tcBorders>
            <w:shd w:val="clear" w:color="auto" w:fill="auto"/>
            <w:vAlign w:val="bottom"/>
          </w:tcPr>
          <w:p w14:paraId="371FE1E1" w14:textId="77777777" w:rsidR="00320CAB" w:rsidRPr="009C411C" w:rsidRDefault="00320CAB" w:rsidP="0034622E">
            <w:pPr>
              <w:tabs>
                <w:tab w:val="right" w:pos="1202"/>
              </w:tabs>
              <w:spacing w:line="301" w:lineRule="exact"/>
              <w:jc w:val="right"/>
              <w:outlineLvl w:val="0"/>
              <w:rPr>
                <w:rFonts w:ascii="Arial" w:hAnsi="Arial" w:cs="Arial"/>
                <w:color w:val="000000" w:themeColor="text1"/>
                <w:sz w:val="18"/>
                <w:szCs w:val="18"/>
              </w:rPr>
            </w:pPr>
            <w:r w:rsidRPr="00F959D0">
              <w:rPr>
                <w:rFonts w:ascii="Arial" w:hAnsi="Arial" w:cs="Arial"/>
                <w:color w:val="000000" w:themeColor="text1"/>
                <w:sz w:val="18"/>
                <w:szCs w:val="18"/>
              </w:rPr>
              <w:t>1.153</w:t>
            </w:r>
          </w:p>
        </w:tc>
        <w:tc>
          <w:tcPr>
            <w:tcW w:w="612" w:type="pct"/>
            <w:tcBorders>
              <w:top w:val="nil"/>
              <w:left w:val="nil"/>
              <w:bottom w:val="single" w:sz="4" w:space="0" w:color="auto"/>
              <w:right w:val="nil"/>
            </w:tcBorders>
            <w:shd w:val="clear" w:color="auto" w:fill="auto"/>
            <w:vAlign w:val="bottom"/>
          </w:tcPr>
          <w:p w14:paraId="5D295432" w14:textId="77777777" w:rsidR="00320CAB" w:rsidRPr="009C411C" w:rsidRDefault="00320CAB" w:rsidP="0034622E">
            <w:pPr>
              <w:tabs>
                <w:tab w:val="right" w:pos="1202"/>
              </w:tabs>
              <w:spacing w:line="301" w:lineRule="exact"/>
              <w:jc w:val="right"/>
              <w:outlineLvl w:val="0"/>
              <w:rPr>
                <w:rFonts w:ascii="Arial" w:hAnsi="Arial" w:cs="Arial"/>
                <w:color w:val="000000" w:themeColor="text1"/>
                <w:sz w:val="18"/>
                <w:szCs w:val="18"/>
              </w:rPr>
            </w:pPr>
            <w:r w:rsidRPr="00F959D0">
              <w:rPr>
                <w:rFonts w:ascii="Arial" w:hAnsi="Arial" w:cs="Arial"/>
                <w:color w:val="000000" w:themeColor="text1"/>
                <w:sz w:val="18"/>
                <w:szCs w:val="18"/>
              </w:rPr>
              <w:t>683</w:t>
            </w:r>
          </w:p>
        </w:tc>
        <w:tc>
          <w:tcPr>
            <w:tcW w:w="612" w:type="pct"/>
            <w:tcBorders>
              <w:top w:val="nil"/>
              <w:left w:val="nil"/>
              <w:bottom w:val="single" w:sz="4" w:space="0" w:color="auto"/>
              <w:right w:val="nil"/>
            </w:tcBorders>
            <w:shd w:val="clear" w:color="auto" w:fill="auto"/>
            <w:vAlign w:val="bottom"/>
          </w:tcPr>
          <w:p w14:paraId="158FEBBE" w14:textId="77777777" w:rsidR="00320CAB" w:rsidRPr="009C411C" w:rsidRDefault="00320CAB" w:rsidP="0034622E">
            <w:pPr>
              <w:tabs>
                <w:tab w:val="right" w:pos="1202"/>
              </w:tabs>
              <w:spacing w:line="301" w:lineRule="exact"/>
              <w:jc w:val="right"/>
              <w:outlineLvl w:val="0"/>
              <w:rPr>
                <w:rFonts w:ascii="Arial" w:hAnsi="Arial" w:cs="Arial"/>
                <w:color w:val="000000" w:themeColor="text1"/>
                <w:sz w:val="18"/>
                <w:szCs w:val="18"/>
              </w:rPr>
            </w:pPr>
            <w:r w:rsidRPr="00F959D0">
              <w:rPr>
                <w:rFonts w:ascii="Arial" w:hAnsi="Arial" w:cs="Arial"/>
                <w:color w:val="000000" w:themeColor="text1"/>
                <w:sz w:val="18"/>
                <w:szCs w:val="18"/>
              </w:rPr>
              <w:t>4</w:t>
            </w:r>
          </w:p>
        </w:tc>
        <w:tc>
          <w:tcPr>
            <w:tcW w:w="611" w:type="pct"/>
            <w:tcBorders>
              <w:top w:val="nil"/>
              <w:left w:val="nil"/>
              <w:bottom w:val="single" w:sz="4" w:space="0" w:color="auto"/>
              <w:right w:val="nil"/>
            </w:tcBorders>
            <w:shd w:val="clear" w:color="auto" w:fill="auto"/>
            <w:vAlign w:val="bottom"/>
          </w:tcPr>
          <w:p w14:paraId="4D5388E0" w14:textId="77777777" w:rsidR="00320CAB" w:rsidRPr="009C411C" w:rsidRDefault="00320CAB" w:rsidP="0034622E">
            <w:pPr>
              <w:tabs>
                <w:tab w:val="right" w:pos="1202"/>
              </w:tabs>
              <w:spacing w:line="301" w:lineRule="exact"/>
              <w:jc w:val="right"/>
              <w:outlineLvl w:val="0"/>
              <w:rPr>
                <w:rFonts w:ascii="Arial" w:hAnsi="Arial" w:cs="Arial"/>
                <w:color w:val="000000" w:themeColor="text1"/>
                <w:sz w:val="18"/>
                <w:szCs w:val="18"/>
              </w:rPr>
            </w:pPr>
            <w:r w:rsidRPr="00F959D0">
              <w:rPr>
                <w:rFonts w:ascii="Arial" w:hAnsi="Arial" w:cs="Arial"/>
                <w:color w:val="000000" w:themeColor="text1"/>
                <w:sz w:val="18"/>
                <w:szCs w:val="18"/>
              </w:rPr>
              <w:t>1.840</w:t>
            </w:r>
          </w:p>
        </w:tc>
      </w:tr>
      <w:tr w:rsidR="00320CAB" w:rsidRPr="009C411C" w14:paraId="76B27A98" w14:textId="77777777" w:rsidTr="0034622E">
        <w:trPr>
          <w:cantSplit/>
          <w:trHeight w:val="315"/>
          <w:tblHeader/>
        </w:trPr>
        <w:tc>
          <w:tcPr>
            <w:tcW w:w="2552" w:type="pct"/>
            <w:vAlign w:val="bottom"/>
          </w:tcPr>
          <w:p w14:paraId="3B4A1A34" w14:textId="77777777" w:rsidR="00320CAB" w:rsidRPr="009C411C" w:rsidRDefault="00320CAB" w:rsidP="0034622E">
            <w:pPr>
              <w:tabs>
                <w:tab w:val="right" w:pos="1202"/>
              </w:tabs>
              <w:spacing w:line="301" w:lineRule="exact"/>
              <w:outlineLvl w:val="0"/>
              <w:rPr>
                <w:rFonts w:ascii="Arial" w:hAnsi="Arial" w:cs="Arial"/>
                <w:b/>
                <w:bCs/>
                <w:color w:val="000000" w:themeColor="text1"/>
                <w:sz w:val="18"/>
                <w:szCs w:val="18"/>
              </w:rPr>
            </w:pPr>
            <w:r w:rsidRPr="009C411C">
              <w:rPr>
                <w:rFonts w:ascii="Arial" w:hAnsi="Arial" w:cs="Arial"/>
                <w:b/>
                <w:bCs/>
                <w:color w:val="000000" w:themeColor="text1"/>
                <w:sz w:val="18"/>
                <w:szCs w:val="18"/>
              </w:rPr>
              <w:t xml:space="preserve">Ukupno </w:t>
            </w:r>
          </w:p>
        </w:tc>
        <w:tc>
          <w:tcPr>
            <w:tcW w:w="612" w:type="pct"/>
            <w:tcBorders>
              <w:top w:val="nil"/>
              <w:left w:val="nil"/>
              <w:bottom w:val="single" w:sz="8" w:space="0" w:color="auto"/>
              <w:right w:val="nil"/>
            </w:tcBorders>
            <w:shd w:val="clear" w:color="auto" w:fill="auto"/>
            <w:vAlign w:val="bottom"/>
          </w:tcPr>
          <w:p w14:paraId="24DBFE01" w14:textId="77777777" w:rsidR="00320CAB" w:rsidRPr="009C411C" w:rsidRDefault="00320CAB" w:rsidP="0034622E">
            <w:pPr>
              <w:tabs>
                <w:tab w:val="right" w:pos="1202"/>
              </w:tabs>
              <w:spacing w:line="301" w:lineRule="exact"/>
              <w:jc w:val="right"/>
              <w:outlineLvl w:val="0"/>
              <w:rPr>
                <w:rFonts w:ascii="Arial" w:hAnsi="Arial" w:cs="Arial"/>
                <w:b/>
                <w:bCs/>
                <w:color w:val="000000" w:themeColor="text1"/>
                <w:sz w:val="18"/>
                <w:szCs w:val="18"/>
              </w:rPr>
            </w:pPr>
            <w:r w:rsidRPr="00F959D0">
              <w:rPr>
                <w:rFonts w:ascii="Arial" w:hAnsi="Arial" w:cs="Arial"/>
                <w:b/>
                <w:bCs/>
                <w:color w:val="000000" w:themeColor="text1"/>
                <w:sz w:val="18"/>
                <w:szCs w:val="18"/>
              </w:rPr>
              <w:t>3.942.125</w:t>
            </w:r>
          </w:p>
        </w:tc>
        <w:tc>
          <w:tcPr>
            <w:tcW w:w="612" w:type="pct"/>
            <w:tcBorders>
              <w:top w:val="nil"/>
              <w:left w:val="nil"/>
              <w:bottom w:val="single" w:sz="8" w:space="0" w:color="auto"/>
              <w:right w:val="nil"/>
            </w:tcBorders>
            <w:shd w:val="clear" w:color="auto" w:fill="auto"/>
            <w:vAlign w:val="bottom"/>
          </w:tcPr>
          <w:p w14:paraId="26AC4049" w14:textId="77777777" w:rsidR="00320CAB" w:rsidRPr="009C411C" w:rsidRDefault="00320CAB" w:rsidP="0034622E">
            <w:pPr>
              <w:tabs>
                <w:tab w:val="right" w:pos="1202"/>
              </w:tabs>
              <w:spacing w:line="301" w:lineRule="exact"/>
              <w:jc w:val="right"/>
              <w:outlineLvl w:val="0"/>
              <w:rPr>
                <w:rFonts w:ascii="Arial" w:hAnsi="Arial" w:cs="Arial"/>
                <w:b/>
                <w:bCs/>
                <w:color w:val="000000" w:themeColor="text1"/>
                <w:sz w:val="18"/>
                <w:szCs w:val="18"/>
              </w:rPr>
            </w:pPr>
            <w:r w:rsidRPr="00F959D0">
              <w:rPr>
                <w:rFonts w:ascii="Arial" w:hAnsi="Arial" w:cs="Arial"/>
                <w:b/>
                <w:bCs/>
                <w:color w:val="000000" w:themeColor="text1"/>
                <w:sz w:val="18"/>
                <w:szCs w:val="18"/>
              </w:rPr>
              <w:t>34.735</w:t>
            </w:r>
          </w:p>
        </w:tc>
        <w:tc>
          <w:tcPr>
            <w:tcW w:w="612" w:type="pct"/>
            <w:tcBorders>
              <w:top w:val="nil"/>
              <w:left w:val="nil"/>
              <w:bottom w:val="single" w:sz="8" w:space="0" w:color="auto"/>
              <w:right w:val="nil"/>
            </w:tcBorders>
            <w:shd w:val="clear" w:color="auto" w:fill="auto"/>
            <w:vAlign w:val="bottom"/>
          </w:tcPr>
          <w:p w14:paraId="392AF4C8" w14:textId="77777777" w:rsidR="00320CAB" w:rsidRPr="009C411C" w:rsidRDefault="00320CAB" w:rsidP="0034622E">
            <w:pPr>
              <w:tabs>
                <w:tab w:val="right" w:pos="1202"/>
              </w:tabs>
              <w:spacing w:line="301" w:lineRule="exact"/>
              <w:jc w:val="right"/>
              <w:outlineLvl w:val="0"/>
              <w:rPr>
                <w:rFonts w:ascii="Arial" w:hAnsi="Arial" w:cs="Arial"/>
                <w:b/>
                <w:bCs/>
                <w:color w:val="000000" w:themeColor="text1"/>
                <w:sz w:val="18"/>
                <w:szCs w:val="18"/>
              </w:rPr>
            </w:pPr>
            <w:r w:rsidRPr="00F959D0">
              <w:rPr>
                <w:rFonts w:ascii="Arial" w:hAnsi="Arial" w:cs="Arial"/>
                <w:b/>
                <w:bCs/>
                <w:color w:val="000000" w:themeColor="text1"/>
                <w:sz w:val="18"/>
                <w:szCs w:val="18"/>
              </w:rPr>
              <w:t>94</w:t>
            </w:r>
          </w:p>
        </w:tc>
        <w:tc>
          <w:tcPr>
            <w:tcW w:w="611" w:type="pct"/>
            <w:tcBorders>
              <w:top w:val="nil"/>
              <w:left w:val="nil"/>
              <w:bottom w:val="single" w:sz="8" w:space="0" w:color="auto"/>
              <w:right w:val="nil"/>
            </w:tcBorders>
            <w:shd w:val="clear" w:color="auto" w:fill="auto"/>
            <w:vAlign w:val="bottom"/>
          </w:tcPr>
          <w:p w14:paraId="3FFD6257" w14:textId="77777777" w:rsidR="00320CAB" w:rsidRPr="009C411C" w:rsidRDefault="00320CAB" w:rsidP="0034622E">
            <w:pPr>
              <w:tabs>
                <w:tab w:val="right" w:pos="1202"/>
              </w:tabs>
              <w:spacing w:line="301" w:lineRule="exact"/>
              <w:jc w:val="right"/>
              <w:outlineLvl w:val="0"/>
              <w:rPr>
                <w:rFonts w:ascii="Arial" w:hAnsi="Arial" w:cs="Arial"/>
                <w:b/>
                <w:bCs/>
                <w:color w:val="000000" w:themeColor="text1"/>
                <w:sz w:val="18"/>
                <w:szCs w:val="18"/>
              </w:rPr>
            </w:pPr>
            <w:r w:rsidRPr="00F959D0">
              <w:rPr>
                <w:rFonts w:ascii="Arial" w:hAnsi="Arial" w:cs="Arial"/>
                <w:b/>
                <w:bCs/>
                <w:color w:val="000000" w:themeColor="text1"/>
                <w:sz w:val="18"/>
                <w:szCs w:val="18"/>
              </w:rPr>
              <w:t>3.976.954</w:t>
            </w:r>
          </w:p>
        </w:tc>
      </w:tr>
      <w:tr w:rsidR="00320CAB" w:rsidRPr="009C411C" w14:paraId="08536283" w14:textId="77777777" w:rsidTr="0034622E">
        <w:tblPrEx>
          <w:tblCellMar>
            <w:left w:w="31" w:type="dxa"/>
            <w:right w:w="31" w:type="dxa"/>
          </w:tblCellMar>
        </w:tblPrEx>
        <w:trPr>
          <w:cantSplit/>
          <w:trHeight w:val="265"/>
          <w:tblHeader/>
        </w:trPr>
        <w:tc>
          <w:tcPr>
            <w:tcW w:w="2552" w:type="pct"/>
            <w:vAlign w:val="bottom"/>
          </w:tcPr>
          <w:p w14:paraId="38161500" w14:textId="77777777" w:rsidR="00320CAB" w:rsidRPr="009C411C" w:rsidRDefault="00320CAB" w:rsidP="0034622E">
            <w:pPr>
              <w:tabs>
                <w:tab w:val="right" w:pos="1202"/>
              </w:tabs>
              <w:spacing w:line="301" w:lineRule="exact"/>
              <w:outlineLvl w:val="0"/>
              <w:rPr>
                <w:rFonts w:ascii="Arial" w:hAnsi="Arial" w:cs="Arial"/>
                <w:b/>
                <w:bCs/>
                <w:color w:val="000000" w:themeColor="text1"/>
                <w:sz w:val="18"/>
                <w:szCs w:val="18"/>
              </w:rPr>
            </w:pPr>
          </w:p>
        </w:tc>
        <w:tc>
          <w:tcPr>
            <w:tcW w:w="612" w:type="pct"/>
            <w:tcBorders>
              <w:top w:val="single" w:sz="12" w:space="0" w:color="auto"/>
            </w:tcBorders>
            <w:vAlign w:val="bottom"/>
          </w:tcPr>
          <w:p w14:paraId="42307D89" w14:textId="77777777" w:rsidR="00320CAB" w:rsidRPr="009C411C" w:rsidRDefault="00320CAB" w:rsidP="0034622E">
            <w:pPr>
              <w:tabs>
                <w:tab w:val="right" w:pos="1202"/>
              </w:tabs>
              <w:spacing w:line="301" w:lineRule="exact"/>
              <w:jc w:val="right"/>
              <w:outlineLvl w:val="0"/>
              <w:rPr>
                <w:rFonts w:ascii="Arial" w:hAnsi="Arial" w:cs="Arial"/>
                <w:color w:val="000000" w:themeColor="text1"/>
                <w:sz w:val="18"/>
                <w:szCs w:val="18"/>
              </w:rPr>
            </w:pPr>
          </w:p>
        </w:tc>
        <w:tc>
          <w:tcPr>
            <w:tcW w:w="612" w:type="pct"/>
            <w:tcBorders>
              <w:top w:val="single" w:sz="12" w:space="0" w:color="auto"/>
            </w:tcBorders>
            <w:vAlign w:val="bottom"/>
          </w:tcPr>
          <w:p w14:paraId="594CD71F" w14:textId="77777777" w:rsidR="00320CAB" w:rsidRPr="009C411C" w:rsidRDefault="00320CAB" w:rsidP="0034622E">
            <w:pPr>
              <w:tabs>
                <w:tab w:val="right" w:pos="1202"/>
              </w:tabs>
              <w:spacing w:line="301" w:lineRule="exact"/>
              <w:jc w:val="right"/>
              <w:outlineLvl w:val="0"/>
              <w:rPr>
                <w:rFonts w:ascii="Arial" w:hAnsi="Arial" w:cs="Arial"/>
                <w:color w:val="000000" w:themeColor="text1"/>
                <w:sz w:val="18"/>
                <w:szCs w:val="18"/>
              </w:rPr>
            </w:pPr>
          </w:p>
        </w:tc>
        <w:tc>
          <w:tcPr>
            <w:tcW w:w="612" w:type="pct"/>
            <w:tcBorders>
              <w:top w:val="single" w:sz="12" w:space="0" w:color="auto"/>
            </w:tcBorders>
            <w:vAlign w:val="bottom"/>
          </w:tcPr>
          <w:p w14:paraId="73E59EBE" w14:textId="77777777" w:rsidR="00320CAB" w:rsidRPr="009C411C" w:rsidRDefault="00320CAB" w:rsidP="0034622E">
            <w:pPr>
              <w:tabs>
                <w:tab w:val="right" w:pos="1202"/>
              </w:tabs>
              <w:spacing w:line="301" w:lineRule="exact"/>
              <w:jc w:val="right"/>
              <w:outlineLvl w:val="0"/>
              <w:rPr>
                <w:rFonts w:ascii="Arial" w:hAnsi="Arial" w:cs="Arial"/>
                <w:color w:val="000000" w:themeColor="text1"/>
                <w:sz w:val="18"/>
                <w:szCs w:val="18"/>
              </w:rPr>
            </w:pPr>
          </w:p>
        </w:tc>
        <w:tc>
          <w:tcPr>
            <w:tcW w:w="611" w:type="pct"/>
            <w:tcBorders>
              <w:top w:val="single" w:sz="12" w:space="0" w:color="auto"/>
            </w:tcBorders>
            <w:vAlign w:val="bottom"/>
          </w:tcPr>
          <w:p w14:paraId="4B07E119" w14:textId="77777777" w:rsidR="00320CAB" w:rsidRPr="009C411C" w:rsidRDefault="00320CAB" w:rsidP="0034622E">
            <w:pPr>
              <w:tabs>
                <w:tab w:val="right" w:pos="1202"/>
              </w:tabs>
              <w:spacing w:line="301" w:lineRule="exact"/>
              <w:jc w:val="right"/>
              <w:outlineLvl w:val="0"/>
              <w:rPr>
                <w:rFonts w:ascii="Arial" w:hAnsi="Arial" w:cs="Arial"/>
                <w:color w:val="000000" w:themeColor="text1"/>
                <w:sz w:val="18"/>
                <w:szCs w:val="18"/>
              </w:rPr>
            </w:pPr>
          </w:p>
        </w:tc>
      </w:tr>
      <w:tr w:rsidR="00320CAB" w:rsidRPr="009C411C" w14:paraId="57B7AC90" w14:textId="77777777" w:rsidTr="0034622E">
        <w:tblPrEx>
          <w:tblCellMar>
            <w:left w:w="31" w:type="dxa"/>
            <w:right w:w="31" w:type="dxa"/>
          </w:tblCellMar>
        </w:tblPrEx>
        <w:trPr>
          <w:cantSplit/>
          <w:trHeight w:val="265"/>
          <w:tblHeader/>
        </w:trPr>
        <w:tc>
          <w:tcPr>
            <w:tcW w:w="2552" w:type="pct"/>
          </w:tcPr>
          <w:p w14:paraId="01F6FAAF" w14:textId="77777777" w:rsidR="00320CAB" w:rsidRPr="009C411C" w:rsidRDefault="00320CAB" w:rsidP="0034622E">
            <w:pPr>
              <w:tabs>
                <w:tab w:val="right" w:pos="1202"/>
              </w:tabs>
              <w:spacing w:line="301" w:lineRule="exact"/>
              <w:outlineLvl w:val="0"/>
              <w:rPr>
                <w:rFonts w:ascii="Arial" w:hAnsi="Arial" w:cs="Arial"/>
                <w:b/>
                <w:bCs/>
                <w:color w:val="000000" w:themeColor="text1"/>
                <w:sz w:val="18"/>
                <w:szCs w:val="18"/>
              </w:rPr>
            </w:pPr>
            <w:r w:rsidRPr="009C411C">
              <w:rPr>
                <w:rFonts w:ascii="Arial" w:hAnsi="Arial" w:cs="Arial"/>
                <w:b/>
                <w:bCs/>
                <w:color w:val="000000" w:themeColor="text1"/>
                <w:sz w:val="18"/>
                <w:szCs w:val="18"/>
              </w:rPr>
              <w:t>Garancije i preuzete obveze</w:t>
            </w:r>
          </w:p>
        </w:tc>
        <w:tc>
          <w:tcPr>
            <w:tcW w:w="612" w:type="pct"/>
            <w:vAlign w:val="bottom"/>
          </w:tcPr>
          <w:p w14:paraId="7AFBBCCD" w14:textId="77777777" w:rsidR="00320CAB" w:rsidRPr="009C411C" w:rsidRDefault="00320CAB" w:rsidP="0034622E">
            <w:pPr>
              <w:tabs>
                <w:tab w:val="right" w:pos="1202"/>
              </w:tabs>
              <w:spacing w:line="301" w:lineRule="exact"/>
              <w:jc w:val="right"/>
              <w:outlineLvl w:val="0"/>
              <w:rPr>
                <w:rFonts w:ascii="Arial" w:hAnsi="Arial" w:cs="Arial"/>
                <w:color w:val="000000" w:themeColor="text1"/>
                <w:sz w:val="18"/>
                <w:szCs w:val="18"/>
              </w:rPr>
            </w:pPr>
          </w:p>
        </w:tc>
        <w:tc>
          <w:tcPr>
            <w:tcW w:w="612" w:type="pct"/>
            <w:vAlign w:val="bottom"/>
          </w:tcPr>
          <w:p w14:paraId="2686EB47" w14:textId="77777777" w:rsidR="00320CAB" w:rsidRPr="009C411C" w:rsidRDefault="00320CAB" w:rsidP="0034622E">
            <w:pPr>
              <w:tabs>
                <w:tab w:val="right" w:pos="1202"/>
              </w:tabs>
              <w:spacing w:line="301" w:lineRule="exact"/>
              <w:jc w:val="right"/>
              <w:outlineLvl w:val="0"/>
              <w:rPr>
                <w:rFonts w:ascii="Arial" w:hAnsi="Arial" w:cs="Arial"/>
                <w:color w:val="000000" w:themeColor="text1"/>
                <w:sz w:val="18"/>
                <w:szCs w:val="18"/>
              </w:rPr>
            </w:pPr>
          </w:p>
        </w:tc>
        <w:tc>
          <w:tcPr>
            <w:tcW w:w="612" w:type="pct"/>
            <w:vAlign w:val="bottom"/>
          </w:tcPr>
          <w:p w14:paraId="20FCD571" w14:textId="77777777" w:rsidR="00320CAB" w:rsidRPr="009C411C" w:rsidRDefault="00320CAB" w:rsidP="0034622E">
            <w:pPr>
              <w:tabs>
                <w:tab w:val="right" w:pos="1202"/>
              </w:tabs>
              <w:spacing w:line="301" w:lineRule="exact"/>
              <w:jc w:val="right"/>
              <w:outlineLvl w:val="0"/>
              <w:rPr>
                <w:rFonts w:ascii="Arial" w:hAnsi="Arial" w:cs="Arial"/>
                <w:color w:val="000000" w:themeColor="text1"/>
                <w:sz w:val="18"/>
                <w:szCs w:val="18"/>
              </w:rPr>
            </w:pPr>
          </w:p>
        </w:tc>
        <w:tc>
          <w:tcPr>
            <w:tcW w:w="611" w:type="pct"/>
            <w:vAlign w:val="bottom"/>
          </w:tcPr>
          <w:p w14:paraId="1E9510F1" w14:textId="77777777" w:rsidR="00320CAB" w:rsidRPr="009C411C" w:rsidRDefault="00320CAB" w:rsidP="0034622E">
            <w:pPr>
              <w:tabs>
                <w:tab w:val="right" w:pos="1202"/>
              </w:tabs>
              <w:spacing w:line="301" w:lineRule="exact"/>
              <w:jc w:val="right"/>
              <w:outlineLvl w:val="0"/>
              <w:rPr>
                <w:rFonts w:ascii="Arial" w:hAnsi="Arial" w:cs="Arial"/>
                <w:color w:val="000000" w:themeColor="text1"/>
                <w:sz w:val="18"/>
                <w:szCs w:val="18"/>
              </w:rPr>
            </w:pPr>
          </w:p>
        </w:tc>
      </w:tr>
      <w:tr w:rsidR="00320CAB" w:rsidRPr="009C411C" w14:paraId="36B609B7" w14:textId="77777777" w:rsidTr="0034622E">
        <w:tblPrEx>
          <w:tblCellMar>
            <w:left w:w="31" w:type="dxa"/>
            <w:right w:w="31" w:type="dxa"/>
          </w:tblCellMar>
        </w:tblPrEx>
        <w:trPr>
          <w:cantSplit/>
          <w:trHeight w:val="265"/>
          <w:tblHeader/>
        </w:trPr>
        <w:tc>
          <w:tcPr>
            <w:tcW w:w="2552" w:type="pct"/>
          </w:tcPr>
          <w:p w14:paraId="3C64074D" w14:textId="77777777" w:rsidR="00320CAB" w:rsidRPr="009C411C" w:rsidRDefault="00320CAB" w:rsidP="0034622E">
            <w:pPr>
              <w:tabs>
                <w:tab w:val="right" w:pos="1202"/>
              </w:tabs>
              <w:spacing w:line="301" w:lineRule="exact"/>
              <w:outlineLvl w:val="0"/>
              <w:rPr>
                <w:rFonts w:ascii="Arial" w:hAnsi="Arial" w:cs="Arial"/>
                <w:b/>
                <w:bCs/>
                <w:color w:val="000000" w:themeColor="text1"/>
                <w:sz w:val="18"/>
                <w:szCs w:val="18"/>
              </w:rPr>
            </w:pPr>
            <w:r w:rsidRPr="009C411C">
              <w:rPr>
                <w:rFonts w:ascii="Arial" w:hAnsi="Arial" w:cs="Arial"/>
                <w:color w:val="000000" w:themeColor="text1"/>
                <w:sz w:val="18"/>
                <w:szCs w:val="18"/>
              </w:rPr>
              <w:t xml:space="preserve">Izdane garancije </w:t>
            </w:r>
          </w:p>
        </w:tc>
        <w:tc>
          <w:tcPr>
            <w:tcW w:w="612" w:type="pct"/>
            <w:tcBorders>
              <w:top w:val="nil"/>
              <w:left w:val="nil"/>
              <w:bottom w:val="nil"/>
              <w:right w:val="nil"/>
            </w:tcBorders>
            <w:shd w:val="clear" w:color="auto" w:fill="auto"/>
            <w:vAlign w:val="bottom"/>
          </w:tcPr>
          <w:p w14:paraId="6478D988" w14:textId="77777777" w:rsidR="00320CAB" w:rsidRPr="009C411C" w:rsidRDefault="00320CAB" w:rsidP="0034622E">
            <w:pPr>
              <w:tabs>
                <w:tab w:val="right" w:pos="1202"/>
              </w:tabs>
              <w:spacing w:line="301" w:lineRule="exact"/>
              <w:jc w:val="right"/>
              <w:outlineLvl w:val="0"/>
              <w:rPr>
                <w:rFonts w:ascii="Arial" w:hAnsi="Arial" w:cs="Arial"/>
                <w:color w:val="000000" w:themeColor="text1"/>
                <w:sz w:val="18"/>
                <w:szCs w:val="18"/>
              </w:rPr>
            </w:pPr>
            <w:r w:rsidRPr="00F959D0">
              <w:rPr>
                <w:rFonts w:ascii="Arial" w:hAnsi="Arial" w:cs="Arial"/>
                <w:color w:val="000000" w:themeColor="text1"/>
                <w:sz w:val="18"/>
                <w:szCs w:val="18"/>
              </w:rPr>
              <w:t xml:space="preserve"> 44.545 </w:t>
            </w:r>
          </w:p>
        </w:tc>
        <w:tc>
          <w:tcPr>
            <w:tcW w:w="612" w:type="pct"/>
            <w:tcBorders>
              <w:top w:val="nil"/>
              <w:left w:val="nil"/>
              <w:bottom w:val="nil"/>
              <w:right w:val="nil"/>
            </w:tcBorders>
            <w:shd w:val="clear" w:color="auto" w:fill="auto"/>
            <w:vAlign w:val="bottom"/>
          </w:tcPr>
          <w:p w14:paraId="0B3E17F7" w14:textId="77777777" w:rsidR="00320CAB" w:rsidRPr="009C411C" w:rsidRDefault="00320CAB" w:rsidP="0034622E">
            <w:pPr>
              <w:tabs>
                <w:tab w:val="right" w:pos="1202"/>
              </w:tabs>
              <w:spacing w:line="301" w:lineRule="exact"/>
              <w:jc w:val="right"/>
              <w:outlineLvl w:val="0"/>
              <w:rPr>
                <w:rFonts w:ascii="Arial" w:hAnsi="Arial" w:cs="Arial"/>
                <w:color w:val="000000" w:themeColor="text1"/>
                <w:sz w:val="18"/>
                <w:szCs w:val="18"/>
              </w:rPr>
            </w:pPr>
            <w:r w:rsidRPr="00F959D0">
              <w:rPr>
                <w:rFonts w:ascii="Arial" w:hAnsi="Arial" w:cs="Arial"/>
                <w:color w:val="000000" w:themeColor="text1"/>
                <w:sz w:val="18"/>
                <w:szCs w:val="18"/>
              </w:rPr>
              <w:t xml:space="preserve"> -   </w:t>
            </w:r>
          </w:p>
        </w:tc>
        <w:tc>
          <w:tcPr>
            <w:tcW w:w="612" w:type="pct"/>
            <w:tcBorders>
              <w:top w:val="nil"/>
              <w:left w:val="nil"/>
              <w:bottom w:val="nil"/>
              <w:right w:val="nil"/>
            </w:tcBorders>
            <w:shd w:val="clear" w:color="auto" w:fill="auto"/>
            <w:vAlign w:val="bottom"/>
          </w:tcPr>
          <w:p w14:paraId="682A253C" w14:textId="77777777" w:rsidR="00320CAB" w:rsidRPr="009C411C" w:rsidRDefault="00320CAB" w:rsidP="0034622E">
            <w:pPr>
              <w:tabs>
                <w:tab w:val="right" w:pos="1202"/>
              </w:tabs>
              <w:spacing w:line="301" w:lineRule="exact"/>
              <w:jc w:val="right"/>
              <w:outlineLvl w:val="0"/>
              <w:rPr>
                <w:rFonts w:ascii="Arial" w:hAnsi="Arial" w:cs="Arial"/>
                <w:color w:val="000000" w:themeColor="text1"/>
                <w:sz w:val="18"/>
                <w:szCs w:val="18"/>
              </w:rPr>
            </w:pPr>
            <w:r w:rsidRPr="00F959D0">
              <w:rPr>
                <w:rFonts w:ascii="Arial" w:hAnsi="Arial" w:cs="Arial"/>
                <w:color w:val="000000" w:themeColor="text1"/>
                <w:sz w:val="18"/>
                <w:szCs w:val="18"/>
              </w:rPr>
              <w:t xml:space="preserve"> -   </w:t>
            </w:r>
          </w:p>
        </w:tc>
        <w:tc>
          <w:tcPr>
            <w:tcW w:w="611" w:type="pct"/>
            <w:tcBorders>
              <w:top w:val="nil"/>
              <w:left w:val="nil"/>
              <w:bottom w:val="nil"/>
              <w:right w:val="nil"/>
            </w:tcBorders>
            <w:shd w:val="clear" w:color="auto" w:fill="auto"/>
            <w:vAlign w:val="bottom"/>
          </w:tcPr>
          <w:p w14:paraId="33E36C14" w14:textId="77777777" w:rsidR="00320CAB" w:rsidRPr="009C411C" w:rsidRDefault="00320CAB" w:rsidP="0034622E">
            <w:pPr>
              <w:tabs>
                <w:tab w:val="right" w:pos="1202"/>
              </w:tabs>
              <w:spacing w:line="301" w:lineRule="exact"/>
              <w:jc w:val="right"/>
              <w:outlineLvl w:val="0"/>
              <w:rPr>
                <w:rFonts w:ascii="Arial" w:hAnsi="Arial" w:cs="Arial"/>
                <w:color w:val="000000" w:themeColor="text1"/>
                <w:sz w:val="18"/>
                <w:szCs w:val="18"/>
              </w:rPr>
            </w:pPr>
            <w:r w:rsidRPr="00F959D0">
              <w:rPr>
                <w:rFonts w:ascii="Arial" w:hAnsi="Arial" w:cs="Arial"/>
                <w:color w:val="000000" w:themeColor="text1"/>
                <w:sz w:val="18"/>
                <w:szCs w:val="18"/>
              </w:rPr>
              <w:t>44.545</w:t>
            </w:r>
          </w:p>
        </w:tc>
      </w:tr>
      <w:tr w:rsidR="00320CAB" w:rsidRPr="009C411C" w14:paraId="73CAEDF6" w14:textId="77777777" w:rsidTr="0034622E">
        <w:tblPrEx>
          <w:tblCellMar>
            <w:left w:w="31" w:type="dxa"/>
            <w:right w:w="31" w:type="dxa"/>
          </w:tblCellMar>
        </w:tblPrEx>
        <w:trPr>
          <w:cantSplit/>
          <w:trHeight w:val="265"/>
          <w:tblHeader/>
        </w:trPr>
        <w:tc>
          <w:tcPr>
            <w:tcW w:w="2552" w:type="pct"/>
            <w:vAlign w:val="bottom"/>
          </w:tcPr>
          <w:p w14:paraId="009F9224" w14:textId="77777777" w:rsidR="00320CAB" w:rsidRPr="009C411C" w:rsidRDefault="00320CAB" w:rsidP="0034622E">
            <w:pPr>
              <w:tabs>
                <w:tab w:val="right" w:pos="1202"/>
              </w:tabs>
              <w:spacing w:line="301" w:lineRule="exact"/>
              <w:outlineLvl w:val="0"/>
              <w:rPr>
                <w:rFonts w:ascii="Arial" w:hAnsi="Arial" w:cs="Arial"/>
                <w:color w:val="000000" w:themeColor="text1"/>
                <w:sz w:val="18"/>
                <w:szCs w:val="18"/>
              </w:rPr>
            </w:pPr>
            <w:r w:rsidRPr="009C411C">
              <w:rPr>
                <w:rFonts w:ascii="Arial" w:hAnsi="Arial" w:cs="Arial"/>
                <w:color w:val="000000" w:themeColor="text1"/>
                <w:sz w:val="18"/>
                <w:szCs w:val="18"/>
              </w:rPr>
              <w:t>Izdane garancije u devizama</w:t>
            </w:r>
          </w:p>
        </w:tc>
        <w:tc>
          <w:tcPr>
            <w:tcW w:w="612" w:type="pct"/>
            <w:tcBorders>
              <w:top w:val="nil"/>
              <w:left w:val="nil"/>
              <w:bottom w:val="nil"/>
              <w:right w:val="nil"/>
            </w:tcBorders>
            <w:shd w:val="clear" w:color="auto" w:fill="auto"/>
            <w:vAlign w:val="bottom"/>
          </w:tcPr>
          <w:p w14:paraId="04B62EB2" w14:textId="77777777" w:rsidR="00320CAB" w:rsidRPr="009C411C" w:rsidRDefault="00320CAB" w:rsidP="0034622E">
            <w:pPr>
              <w:tabs>
                <w:tab w:val="right" w:pos="1202"/>
              </w:tabs>
              <w:spacing w:line="301" w:lineRule="exact"/>
              <w:jc w:val="right"/>
              <w:outlineLvl w:val="0"/>
              <w:rPr>
                <w:rFonts w:ascii="Arial" w:hAnsi="Arial" w:cs="Arial"/>
                <w:color w:val="000000" w:themeColor="text1"/>
                <w:sz w:val="18"/>
                <w:szCs w:val="18"/>
              </w:rPr>
            </w:pPr>
            <w:r w:rsidRPr="00F959D0">
              <w:rPr>
                <w:rFonts w:ascii="Arial" w:hAnsi="Arial" w:cs="Arial"/>
                <w:color w:val="000000" w:themeColor="text1"/>
                <w:sz w:val="18"/>
                <w:szCs w:val="18"/>
              </w:rPr>
              <w:t xml:space="preserve"> 5.357 </w:t>
            </w:r>
          </w:p>
        </w:tc>
        <w:tc>
          <w:tcPr>
            <w:tcW w:w="612" w:type="pct"/>
            <w:tcBorders>
              <w:top w:val="nil"/>
              <w:left w:val="nil"/>
              <w:bottom w:val="nil"/>
              <w:right w:val="nil"/>
            </w:tcBorders>
            <w:shd w:val="clear" w:color="auto" w:fill="auto"/>
            <w:vAlign w:val="bottom"/>
          </w:tcPr>
          <w:p w14:paraId="5C2A1E4F" w14:textId="77777777" w:rsidR="00320CAB" w:rsidRPr="009C411C" w:rsidRDefault="00320CAB" w:rsidP="0034622E">
            <w:pPr>
              <w:tabs>
                <w:tab w:val="right" w:pos="1202"/>
              </w:tabs>
              <w:spacing w:line="301" w:lineRule="exact"/>
              <w:jc w:val="right"/>
              <w:outlineLvl w:val="0"/>
              <w:rPr>
                <w:rFonts w:ascii="Arial" w:hAnsi="Arial" w:cs="Arial"/>
                <w:color w:val="000000" w:themeColor="text1"/>
                <w:sz w:val="18"/>
                <w:szCs w:val="18"/>
              </w:rPr>
            </w:pPr>
            <w:r w:rsidRPr="00F959D0">
              <w:rPr>
                <w:rFonts w:ascii="Arial" w:hAnsi="Arial" w:cs="Arial"/>
                <w:color w:val="000000" w:themeColor="text1"/>
                <w:sz w:val="18"/>
                <w:szCs w:val="18"/>
              </w:rPr>
              <w:t xml:space="preserve"> -   </w:t>
            </w:r>
          </w:p>
        </w:tc>
        <w:tc>
          <w:tcPr>
            <w:tcW w:w="612" w:type="pct"/>
            <w:tcBorders>
              <w:top w:val="nil"/>
              <w:left w:val="nil"/>
              <w:bottom w:val="nil"/>
              <w:right w:val="nil"/>
            </w:tcBorders>
            <w:shd w:val="clear" w:color="auto" w:fill="auto"/>
            <w:vAlign w:val="bottom"/>
          </w:tcPr>
          <w:p w14:paraId="56D99226" w14:textId="77777777" w:rsidR="00320CAB" w:rsidRPr="009C411C" w:rsidRDefault="00320CAB" w:rsidP="0034622E">
            <w:pPr>
              <w:tabs>
                <w:tab w:val="right" w:pos="1202"/>
              </w:tabs>
              <w:spacing w:line="301" w:lineRule="exact"/>
              <w:jc w:val="right"/>
              <w:outlineLvl w:val="0"/>
              <w:rPr>
                <w:rFonts w:ascii="Arial" w:hAnsi="Arial" w:cs="Arial"/>
                <w:color w:val="000000" w:themeColor="text1"/>
                <w:sz w:val="18"/>
                <w:szCs w:val="18"/>
              </w:rPr>
            </w:pPr>
            <w:r w:rsidRPr="00F959D0">
              <w:rPr>
                <w:rFonts w:ascii="Arial" w:hAnsi="Arial" w:cs="Arial"/>
                <w:color w:val="000000" w:themeColor="text1"/>
                <w:sz w:val="18"/>
                <w:szCs w:val="18"/>
              </w:rPr>
              <w:t xml:space="preserve"> -   </w:t>
            </w:r>
          </w:p>
        </w:tc>
        <w:tc>
          <w:tcPr>
            <w:tcW w:w="611" w:type="pct"/>
            <w:tcBorders>
              <w:top w:val="nil"/>
              <w:left w:val="nil"/>
              <w:bottom w:val="nil"/>
              <w:right w:val="nil"/>
            </w:tcBorders>
            <w:shd w:val="clear" w:color="auto" w:fill="auto"/>
            <w:vAlign w:val="bottom"/>
          </w:tcPr>
          <w:p w14:paraId="73C8A766" w14:textId="77777777" w:rsidR="00320CAB" w:rsidRPr="009C411C" w:rsidRDefault="00320CAB" w:rsidP="0034622E">
            <w:pPr>
              <w:tabs>
                <w:tab w:val="right" w:pos="1202"/>
              </w:tabs>
              <w:spacing w:line="301" w:lineRule="exact"/>
              <w:jc w:val="right"/>
              <w:outlineLvl w:val="0"/>
              <w:rPr>
                <w:rFonts w:ascii="Arial" w:hAnsi="Arial" w:cs="Arial"/>
                <w:color w:val="000000" w:themeColor="text1"/>
                <w:sz w:val="18"/>
                <w:szCs w:val="18"/>
              </w:rPr>
            </w:pPr>
            <w:r w:rsidRPr="00F959D0">
              <w:rPr>
                <w:rFonts w:ascii="Arial" w:hAnsi="Arial" w:cs="Arial"/>
                <w:color w:val="000000" w:themeColor="text1"/>
                <w:sz w:val="18"/>
                <w:szCs w:val="18"/>
              </w:rPr>
              <w:t>5.357</w:t>
            </w:r>
          </w:p>
        </w:tc>
      </w:tr>
      <w:tr w:rsidR="00320CAB" w:rsidRPr="009C411C" w14:paraId="282C43B8" w14:textId="77777777" w:rsidTr="0034622E">
        <w:tblPrEx>
          <w:tblCellMar>
            <w:left w:w="31" w:type="dxa"/>
            <w:right w:w="31" w:type="dxa"/>
          </w:tblCellMar>
        </w:tblPrEx>
        <w:trPr>
          <w:cantSplit/>
          <w:trHeight w:val="265"/>
          <w:tblHeader/>
        </w:trPr>
        <w:tc>
          <w:tcPr>
            <w:tcW w:w="2552" w:type="pct"/>
            <w:vAlign w:val="bottom"/>
          </w:tcPr>
          <w:p w14:paraId="4B17E496" w14:textId="77777777" w:rsidR="00320CAB" w:rsidRPr="009C411C" w:rsidRDefault="00320CAB" w:rsidP="0034622E">
            <w:pPr>
              <w:tabs>
                <w:tab w:val="right" w:pos="1202"/>
              </w:tabs>
              <w:spacing w:line="301" w:lineRule="exact"/>
              <w:outlineLvl w:val="0"/>
              <w:rPr>
                <w:rFonts w:ascii="Arial" w:hAnsi="Arial" w:cs="Arial"/>
                <w:color w:val="000000" w:themeColor="text1"/>
                <w:sz w:val="18"/>
                <w:szCs w:val="18"/>
              </w:rPr>
            </w:pPr>
            <w:r w:rsidRPr="009C411C">
              <w:rPr>
                <w:rFonts w:ascii="Arial" w:hAnsi="Arial" w:cs="Arial"/>
                <w:color w:val="000000" w:themeColor="text1"/>
                <w:sz w:val="18"/>
                <w:szCs w:val="18"/>
              </w:rPr>
              <w:t>Preuzete obveze po kreditima</w:t>
            </w:r>
          </w:p>
        </w:tc>
        <w:tc>
          <w:tcPr>
            <w:tcW w:w="612" w:type="pct"/>
            <w:tcBorders>
              <w:top w:val="nil"/>
              <w:left w:val="nil"/>
              <w:bottom w:val="single" w:sz="4" w:space="0" w:color="auto"/>
              <w:right w:val="nil"/>
            </w:tcBorders>
            <w:shd w:val="clear" w:color="auto" w:fill="auto"/>
            <w:vAlign w:val="bottom"/>
          </w:tcPr>
          <w:p w14:paraId="6EA92FD2" w14:textId="77777777" w:rsidR="00320CAB" w:rsidRPr="009C411C" w:rsidRDefault="00320CAB" w:rsidP="0034622E">
            <w:pPr>
              <w:tabs>
                <w:tab w:val="right" w:pos="1202"/>
              </w:tabs>
              <w:spacing w:line="301" w:lineRule="exact"/>
              <w:jc w:val="right"/>
              <w:outlineLvl w:val="0"/>
              <w:rPr>
                <w:rFonts w:ascii="Arial" w:hAnsi="Arial" w:cs="Arial"/>
                <w:color w:val="000000" w:themeColor="text1"/>
                <w:sz w:val="18"/>
                <w:szCs w:val="18"/>
              </w:rPr>
            </w:pPr>
            <w:r w:rsidRPr="00F959D0">
              <w:rPr>
                <w:rFonts w:ascii="Arial" w:hAnsi="Arial" w:cs="Arial"/>
                <w:color w:val="000000" w:themeColor="text1"/>
                <w:sz w:val="18"/>
                <w:szCs w:val="18"/>
              </w:rPr>
              <w:t xml:space="preserve"> 432.651 </w:t>
            </w:r>
          </w:p>
        </w:tc>
        <w:tc>
          <w:tcPr>
            <w:tcW w:w="612" w:type="pct"/>
            <w:tcBorders>
              <w:top w:val="nil"/>
              <w:left w:val="nil"/>
              <w:bottom w:val="single" w:sz="4" w:space="0" w:color="auto"/>
              <w:right w:val="nil"/>
            </w:tcBorders>
            <w:shd w:val="clear" w:color="auto" w:fill="auto"/>
            <w:vAlign w:val="bottom"/>
          </w:tcPr>
          <w:p w14:paraId="6B9C899E" w14:textId="77777777" w:rsidR="00320CAB" w:rsidRPr="009C411C" w:rsidRDefault="00320CAB" w:rsidP="0034622E">
            <w:pPr>
              <w:tabs>
                <w:tab w:val="right" w:pos="1202"/>
              </w:tabs>
              <w:spacing w:line="301" w:lineRule="exact"/>
              <w:jc w:val="right"/>
              <w:outlineLvl w:val="0"/>
              <w:rPr>
                <w:rFonts w:ascii="Arial" w:hAnsi="Arial" w:cs="Arial"/>
                <w:color w:val="000000" w:themeColor="text1"/>
                <w:sz w:val="18"/>
                <w:szCs w:val="18"/>
              </w:rPr>
            </w:pPr>
            <w:r w:rsidRPr="00F959D0">
              <w:rPr>
                <w:rFonts w:ascii="Arial" w:hAnsi="Arial" w:cs="Arial"/>
                <w:color w:val="000000" w:themeColor="text1"/>
                <w:sz w:val="18"/>
                <w:szCs w:val="18"/>
              </w:rPr>
              <w:t xml:space="preserve"> 821 </w:t>
            </w:r>
          </w:p>
        </w:tc>
        <w:tc>
          <w:tcPr>
            <w:tcW w:w="612" w:type="pct"/>
            <w:tcBorders>
              <w:top w:val="nil"/>
              <w:left w:val="nil"/>
              <w:bottom w:val="single" w:sz="4" w:space="0" w:color="auto"/>
              <w:right w:val="nil"/>
            </w:tcBorders>
            <w:shd w:val="clear" w:color="auto" w:fill="auto"/>
            <w:vAlign w:val="bottom"/>
          </w:tcPr>
          <w:p w14:paraId="6F5855D3" w14:textId="77777777" w:rsidR="00320CAB" w:rsidRPr="009C411C" w:rsidRDefault="00320CAB" w:rsidP="0034622E">
            <w:pPr>
              <w:tabs>
                <w:tab w:val="right" w:pos="1202"/>
              </w:tabs>
              <w:spacing w:line="301" w:lineRule="exact"/>
              <w:jc w:val="right"/>
              <w:outlineLvl w:val="0"/>
              <w:rPr>
                <w:rFonts w:ascii="Arial" w:hAnsi="Arial" w:cs="Arial"/>
                <w:color w:val="000000" w:themeColor="text1"/>
                <w:sz w:val="18"/>
                <w:szCs w:val="18"/>
              </w:rPr>
            </w:pPr>
            <w:r w:rsidRPr="00F959D0">
              <w:rPr>
                <w:rFonts w:ascii="Arial" w:hAnsi="Arial" w:cs="Arial"/>
                <w:color w:val="000000" w:themeColor="text1"/>
                <w:sz w:val="18"/>
                <w:szCs w:val="18"/>
              </w:rPr>
              <w:t xml:space="preserve"> 7.601 </w:t>
            </w:r>
          </w:p>
        </w:tc>
        <w:tc>
          <w:tcPr>
            <w:tcW w:w="611" w:type="pct"/>
            <w:tcBorders>
              <w:top w:val="nil"/>
              <w:left w:val="nil"/>
              <w:bottom w:val="single" w:sz="4" w:space="0" w:color="auto"/>
              <w:right w:val="nil"/>
            </w:tcBorders>
            <w:shd w:val="clear" w:color="auto" w:fill="auto"/>
            <w:vAlign w:val="bottom"/>
          </w:tcPr>
          <w:p w14:paraId="2AE1815B" w14:textId="77777777" w:rsidR="00320CAB" w:rsidRPr="009C411C" w:rsidRDefault="00320CAB" w:rsidP="0034622E">
            <w:pPr>
              <w:tabs>
                <w:tab w:val="right" w:pos="1202"/>
              </w:tabs>
              <w:spacing w:line="301" w:lineRule="exact"/>
              <w:jc w:val="right"/>
              <w:outlineLvl w:val="0"/>
              <w:rPr>
                <w:rFonts w:ascii="Arial" w:hAnsi="Arial" w:cs="Arial"/>
                <w:color w:val="000000" w:themeColor="text1"/>
                <w:sz w:val="18"/>
                <w:szCs w:val="18"/>
              </w:rPr>
            </w:pPr>
            <w:r w:rsidRPr="00F959D0">
              <w:rPr>
                <w:rFonts w:ascii="Arial" w:hAnsi="Arial" w:cs="Arial"/>
                <w:color w:val="000000" w:themeColor="text1"/>
                <w:sz w:val="18"/>
                <w:szCs w:val="18"/>
              </w:rPr>
              <w:t>441.073</w:t>
            </w:r>
          </w:p>
        </w:tc>
      </w:tr>
      <w:tr w:rsidR="00320CAB" w:rsidRPr="009C411C" w14:paraId="4DB281FD" w14:textId="77777777" w:rsidTr="0034622E">
        <w:tblPrEx>
          <w:tblCellMar>
            <w:left w:w="31" w:type="dxa"/>
            <w:right w:w="31" w:type="dxa"/>
          </w:tblCellMar>
        </w:tblPrEx>
        <w:trPr>
          <w:cantSplit/>
          <w:trHeight w:val="393"/>
          <w:tblHeader/>
        </w:trPr>
        <w:tc>
          <w:tcPr>
            <w:tcW w:w="2552" w:type="pct"/>
            <w:vAlign w:val="bottom"/>
          </w:tcPr>
          <w:p w14:paraId="452EC482" w14:textId="77777777" w:rsidR="00320CAB" w:rsidRPr="009C411C" w:rsidRDefault="00320CAB" w:rsidP="0034622E">
            <w:pPr>
              <w:tabs>
                <w:tab w:val="right" w:pos="1202"/>
              </w:tabs>
              <w:spacing w:line="301" w:lineRule="exact"/>
              <w:outlineLvl w:val="0"/>
              <w:rPr>
                <w:rFonts w:ascii="Arial" w:hAnsi="Arial" w:cs="Arial"/>
                <w:color w:val="000000" w:themeColor="text1"/>
                <w:sz w:val="18"/>
                <w:szCs w:val="18"/>
              </w:rPr>
            </w:pPr>
            <w:r w:rsidRPr="009C411C">
              <w:rPr>
                <w:rFonts w:ascii="Arial" w:hAnsi="Arial" w:cs="Arial"/>
                <w:b/>
                <w:bCs/>
                <w:color w:val="000000" w:themeColor="text1"/>
                <w:sz w:val="18"/>
                <w:szCs w:val="18"/>
              </w:rPr>
              <w:t>Ukupno</w:t>
            </w:r>
          </w:p>
        </w:tc>
        <w:tc>
          <w:tcPr>
            <w:tcW w:w="612" w:type="pct"/>
            <w:tcBorders>
              <w:top w:val="single" w:sz="4" w:space="0" w:color="auto"/>
              <w:left w:val="nil"/>
              <w:bottom w:val="single" w:sz="12" w:space="0" w:color="auto"/>
              <w:right w:val="nil"/>
            </w:tcBorders>
            <w:shd w:val="clear" w:color="auto" w:fill="auto"/>
            <w:vAlign w:val="bottom"/>
          </w:tcPr>
          <w:p w14:paraId="2E3580D3" w14:textId="77777777" w:rsidR="00320CAB" w:rsidRPr="00634DB6" w:rsidRDefault="00320CAB" w:rsidP="0034622E">
            <w:pPr>
              <w:tabs>
                <w:tab w:val="right" w:pos="1202"/>
              </w:tabs>
              <w:spacing w:line="301" w:lineRule="exact"/>
              <w:jc w:val="right"/>
              <w:outlineLvl w:val="0"/>
              <w:rPr>
                <w:rFonts w:ascii="Arial" w:hAnsi="Arial" w:cs="Arial"/>
                <w:b/>
                <w:bCs/>
                <w:color w:val="000000" w:themeColor="text1"/>
                <w:sz w:val="18"/>
                <w:szCs w:val="18"/>
              </w:rPr>
            </w:pPr>
            <w:r w:rsidRPr="00F959D0">
              <w:rPr>
                <w:rFonts w:ascii="Arial" w:hAnsi="Arial" w:cs="Arial"/>
                <w:b/>
                <w:bCs/>
                <w:color w:val="000000" w:themeColor="text1"/>
                <w:sz w:val="18"/>
                <w:szCs w:val="18"/>
              </w:rPr>
              <w:t>482.553</w:t>
            </w:r>
          </w:p>
        </w:tc>
        <w:tc>
          <w:tcPr>
            <w:tcW w:w="612" w:type="pct"/>
            <w:tcBorders>
              <w:top w:val="single" w:sz="4" w:space="0" w:color="auto"/>
              <w:left w:val="nil"/>
              <w:bottom w:val="single" w:sz="12" w:space="0" w:color="auto"/>
              <w:right w:val="nil"/>
            </w:tcBorders>
            <w:shd w:val="clear" w:color="auto" w:fill="auto"/>
            <w:vAlign w:val="bottom"/>
          </w:tcPr>
          <w:p w14:paraId="559BF113" w14:textId="77777777" w:rsidR="00320CAB" w:rsidRPr="00634DB6" w:rsidRDefault="00320CAB" w:rsidP="0034622E">
            <w:pPr>
              <w:tabs>
                <w:tab w:val="right" w:pos="1202"/>
              </w:tabs>
              <w:spacing w:line="301" w:lineRule="exact"/>
              <w:jc w:val="right"/>
              <w:outlineLvl w:val="0"/>
              <w:rPr>
                <w:rFonts w:ascii="Arial" w:hAnsi="Arial" w:cs="Arial"/>
                <w:b/>
                <w:bCs/>
                <w:color w:val="000000" w:themeColor="text1"/>
                <w:sz w:val="18"/>
                <w:szCs w:val="18"/>
              </w:rPr>
            </w:pPr>
            <w:r w:rsidRPr="00F959D0">
              <w:rPr>
                <w:rFonts w:ascii="Arial" w:hAnsi="Arial" w:cs="Arial"/>
                <w:b/>
                <w:bCs/>
                <w:color w:val="000000" w:themeColor="text1"/>
                <w:sz w:val="18"/>
                <w:szCs w:val="18"/>
              </w:rPr>
              <w:t>821</w:t>
            </w:r>
          </w:p>
        </w:tc>
        <w:tc>
          <w:tcPr>
            <w:tcW w:w="612" w:type="pct"/>
            <w:tcBorders>
              <w:top w:val="single" w:sz="4" w:space="0" w:color="auto"/>
              <w:left w:val="nil"/>
              <w:bottom w:val="single" w:sz="12" w:space="0" w:color="auto"/>
              <w:right w:val="nil"/>
            </w:tcBorders>
            <w:shd w:val="clear" w:color="auto" w:fill="auto"/>
            <w:vAlign w:val="bottom"/>
          </w:tcPr>
          <w:p w14:paraId="5A7C383F" w14:textId="77777777" w:rsidR="00320CAB" w:rsidRPr="00634DB6" w:rsidRDefault="00320CAB" w:rsidP="0034622E">
            <w:pPr>
              <w:tabs>
                <w:tab w:val="right" w:pos="1202"/>
              </w:tabs>
              <w:spacing w:line="301" w:lineRule="exact"/>
              <w:jc w:val="right"/>
              <w:outlineLvl w:val="0"/>
              <w:rPr>
                <w:rFonts w:ascii="Arial" w:hAnsi="Arial" w:cs="Arial"/>
                <w:b/>
                <w:bCs/>
                <w:color w:val="000000" w:themeColor="text1"/>
                <w:sz w:val="18"/>
                <w:szCs w:val="18"/>
              </w:rPr>
            </w:pPr>
            <w:r w:rsidRPr="00F959D0">
              <w:rPr>
                <w:rFonts w:ascii="Arial" w:hAnsi="Arial" w:cs="Arial"/>
                <w:b/>
                <w:bCs/>
                <w:color w:val="000000" w:themeColor="text1"/>
                <w:sz w:val="18"/>
                <w:szCs w:val="18"/>
              </w:rPr>
              <w:t>7.601</w:t>
            </w:r>
          </w:p>
        </w:tc>
        <w:tc>
          <w:tcPr>
            <w:tcW w:w="611" w:type="pct"/>
            <w:tcBorders>
              <w:top w:val="single" w:sz="4" w:space="0" w:color="auto"/>
              <w:left w:val="nil"/>
              <w:bottom w:val="single" w:sz="12" w:space="0" w:color="auto"/>
              <w:right w:val="nil"/>
            </w:tcBorders>
            <w:shd w:val="clear" w:color="auto" w:fill="auto"/>
            <w:vAlign w:val="bottom"/>
          </w:tcPr>
          <w:p w14:paraId="6A86BAA0" w14:textId="77777777" w:rsidR="00320CAB" w:rsidRPr="00634DB6" w:rsidRDefault="00320CAB" w:rsidP="0034622E">
            <w:pPr>
              <w:tabs>
                <w:tab w:val="right" w:pos="1202"/>
              </w:tabs>
              <w:spacing w:line="301" w:lineRule="exact"/>
              <w:jc w:val="right"/>
              <w:outlineLvl w:val="0"/>
              <w:rPr>
                <w:rFonts w:ascii="Arial" w:hAnsi="Arial" w:cs="Arial"/>
                <w:b/>
                <w:bCs/>
                <w:color w:val="000000" w:themeColor="text1"/>
                <w:sz w:val="18"/>
                <w:szCs w:val="18"/>
              </w:rPr>
            </w:pPr>
            <w:r w:rsidRPr="00F959D0">
              <w:rPr>
                <w:rFonts w:ascii="Arial" w:hAnsi="Arial" w:cs="Arial"/>
                <w:b/>
                <w:bCs/>
                <w:color w:val="000000" w:themeColor="text1"/>
                <w:sz w:val="18"/>
                <w:szCs w:val="18"/>
              </w:rPr>
              <w:t>490.975</w:t>
            </w:r>
          </w:p>
        </w:tc>
      </w:tr>
      <w:tr w:rsidR="00320CAB" w:rsidRPr="009C411C" w14:paraId="52BB6722" w14:textId="77777777" w:rsidTr="0034622E">
        <w:tblPrEx>
          <w:tblCellMar>
            <w:left w:w="31" w:type="dxa"/>
            <w:right w:w="31" w:type="dxa"/>
          </w:tblCellMar>
        </w:tblPrEx>
        <w:trPr>
          <w:cantSplit/>
          <w:trHeight w:hRule="exact" w:val="120"/>
          <w:tblHeader/>
        </w:trPr>
        <w:tc>
          <w:tcPr>
            <w:tcW w:w="2552" w:type="pct"/>
            <w:vAlign w:val="bottom"/>
          </w:tcPr>
          <w:p w14:paraId="54319609" w14:textId="77777777" w:rsidR="00320CAB" w:rsidRPr="009C411C" w:rsidRDefault="00320CAB" w:rsidP="0034622E">
            <w:pPr>
              <w:tabs>
                <w:tab w:val="right" w:pos="1202"/>
              </w:tabs>
              <w:spacing w:line="301" w:lineRule="exact"/>
              <w:outlineLvl w:val="0"/>
              <w:rPr>
                <w:rFonts w:ascii="Arial" w:hAnsi="Arial" w:cs="Arial"/>
                <w:color w:val="000000" w:themeColor="text1"/>
                <w:sz w:val="18"/>
                <w:szCs w:val="18"/>
              </w:rPr>
            </w:pPr>
          </w:p>
        </w:tc>
        <w:tc>
          <w:tcPr>
            <w:tcW w:w="612" w:type="pct"/>
            <w:tcBorders>
              <w:top w:val="single" w:sz="12" w:space="0" w:color="auto"/>
            </w:tcBorders>
            <w:vAlign w:val="bottom"/>
          </w:tcPr>
          <w:p w14:paraId="0D55A9EB" w14:textId="77777777" w:rsidR="00320CAB" w:rsidRPr="00F959D0" w:rsidRDefault="00320CAB" w:rsidP="0034622E">
            <w:pPr>
              <w:tabs>
                <w:tab w:val="right" w:pos="1202"/>
              </w:tabs>
              <w:spacing w:line="301" w:lineRule="exact"/>
              <w:jc w:val="right"/>
              <w:outlineLvl w:val="0"/>
              <w:rPr>
                <w:rFonts w:ascii="Arial" w:hAnsi="Arial" w:cs="Arial"/>
                <w:color w:val="000000" w:themeColor="text1"/>
                <w:sz w:val="18"/>
                <w:szCs w:val="18"/>
              </w:rPr>
            </w:pPr>
          </w:p>
        </w:tc>
        <w:tc>
          <w:tcPr>
            <w:tcW w:w="612" w:type="pct"/>
            <w:tcBorders>
              <w:top w:val="single" w:sz="12" w:space="0" w:color="auto"/>
            </w:tcBorders>
            <w:vAlign w:val="bottom"/>
          </w:tcPr>
          <w:p w14:paraId="2A645D43" w14:textId="77777777" w:rsidR="00320CAB" w:rsidRPr="00F959D0" w:rsidRDefault="00320CAB" w:rsidP="0034622E">
            <w:pPr>
              <w:tabs>
                <w:tab w:val="right" w:pos="1202"/>
              </w:tabs>
              <w:spacing w:line="301" w:lineRule="exact"/>
              <w:jc w:val="right"/>
              <w:outlineLvl w:val="0"/>
              <w:rPr>
                <w:rFonts w:ascii="Arial" w:hAnsi="Arial" w:cs="Arial"/>
                <w:color w:val="000000" w:themeColor="text1"/>
                <w:sz w:val="18"/>
                <w:szCs w:val="18"/>
              </w:rPr>
            </w:pPr>
          </w:p>
        </w:tc>
        <w:tc>
          <w:tcPr>
            <w:tcW w:w="612" w:type="pct"/>
            <w:tcBorders>
              <w:top w:val="single" w:sz="12" w:space="0" w:color="auto"/>
            </w:tcBorders>
            <w:vAlign w:val="bottom"/>
          </w:tcPr>
          <w:p w14:paraId="675A925A" w14:textId="77777777" w:rsidR="00320CAB" w:rsidRPr="00F959D0" w:rsidRDefault="00320CAB" w:rsidP="0034622E">
            <w:pPr>
              <w:tabs>
                <w:tab w:val="right" w:pos="1202"/>
              </w:tabs>
              <w:spacing w:line="301" w:lineRule="exact"/>
              <w:jc w:val="right"/>
              <w:outlineLvl w:val="0"/>
              <w:rPr>
                <w:rFonts w:ascii="Arial" w:hAnsi="Arial" w:cs="Arial"/>
                <w:color w:val="000000" w:themeColor="text1"/>
                <w:sz w:val="18"/>
                <w:szCs w:val="18"/>
              </w:rPr>
            </w:pPr>
          </w:p>
        </w:tc>
        <w:tc>
          <w:tcPr>
            <w:tcW w:w="611" w:type="pct"/>
            <w:tcBorders>
              <w:top w:val="single" w:sz="12" w:space="0" w:color="auto"/>
            </w:tcBorders>
            <w:vAlign w:val="bottom"/>
          </w:tcPr>
          <w:p w14:paraId="18AD7DAF" w14:textId="77777777" w:rsidR="00320CAB" w:rsidRPr="00F959D0" w:rsidRDefault="00320CAB" w:rsidP="0034622E">
            <w:pPr>
              <w:tabs>
                <w:tab w:val="right" w:pos="1202"/>
              </w:tabs>
              <w:spacing w:line="301" w:lineRule="exact"/>
              <w:jc w:val="right"/>
              <w:outlineLvl w:val="0"/>
              <w:rPr>
                <w:rFonts w:ascii="Arial" w:hAnsi="Arial" w:cs="Arial"/>
                <w:color w:val="000000" w:themeColor="text1"/>
                <w:sz w:val="18"/>
                <w:szCs w:val="18"/>
              </w:rPr>
            </w:pPr>
          </w:p>
        </w:tc>
      </w:tr>
      <w:tr w:rsidR="00320CAB" w:rsidRPr="009C411C" w14:paraId="28917303" w14:textId="77777777" w:rsidTr="0034622E">
        <w:tblPrEx>
          <w:tblCellMar>
            <w:left w:w="31" w:type="dxa"/>
            <w:right w:w="31" w:type="dxa"/>
          </w:tblCellMar>
        </w:tblPrEx>
        <w:trPr>
          <w:cantSplit/>
          <w:trHeight w:val="375"/>
          <w:tblHeader/>
        </w:trPr>
        <w:tc>
          <w:tcPr>
            <w:tcW w:w="2552" w:type="pct"/>
            <w:vAlign w:val="bottom"/>
          </w:tcPr>
          <w:p w14:paraId="7A7064E8" w14:textId="77777777" w:rsidR="00320CAB" w:rsidRPr="009C411C" w:rsidRDefault="00320CAB" w:rsidP="0034622E">
            <w:pPr>
              <w:tabs>
                <w:tab w:val="right" w:pos="1202"/>
              </w:tabs>
              <w:spacing w:line="301" w:lineRule="exact"/>
              <w:outlineLvl w:val="0"/>
              <w:rPr>
                <w:rFonts w:ascii="Arial" w:hAnsi="Arial" w:cs="Arial"/>
                <w:b/>
                <w:bCs/>
                <w:color w:val="000000" w:themeColor="text1"/>
                <w:sz w:val="18"/>
                <w:szCs w:val="18"/>
              </w:rPr>
            </w:pPr>
            <w:r w:rsidRPr="009C411C">
              <w:rPr>
                <w:rFonts w:ascii="Arial" w:hAnsi="Arial" w:cs="Arial"/>
                <w:b/>
                <w:bCs/>
                <w:color w:val="000000" w:themeColor="text1"/>
                <w:sz w:val="18"/>
                <w:szCs w:val="18"/>
              </w:rPr>
              <w:t>Ukupna izloženost kreditnom riziku</w:t>
            </w:r>
          </w:p>
        </w:tc>
        <w:tc>
          <w:tcPr>
            <w:tcW w:w="612" w:type="pct"/>
            <w:tcBorders>
              <w:top w:val="nil"/>
              <w:left w:val="nil"/>
              <w:bottom w:val="single" w:sz="12" w:space="0" w:color="auto"/>
              <w:right w:val="nil"/>
            </w:tcBorders>
            <w:shd w:val="clear" w:color="auto" w:fill="auto"/>
            <w:vAlign w:val="bottom"/>
          </w:tcPr>
          <w:p w14:paraId="44DC0527" w14:textId="77777777" w:rsidR="00320CAB" w:rsidRPr="00634DB6" w:rsidRDefault="00320CAB" w:rsidP="0034622E">
            <w:pPr>
              <w:tabs>
                <w:tab w:val="right" w:pos="1202"/>
              </w:tabs>
              <w:spacing w:line="301" w:lineRule="exact"/>
              <w:jc w:val="right"/>
              <w:outlineLvl w:val="0"/>
              <w:rPr>
                <w:rFonts w:ascii="Arial" w:hAnsi="Arial" w:cs="Arial"/>
                <w:b/>
                <w:bCs/>
                <w:color w:val="000000" w:themeColor="text1"/>
                <w:sz w:val="18"/>
                <w:szCs w:val="18"/>
              </w:rPr>
            </w:pPr>
            <w:r w:rsidRPr="00F959D0">
              <w:rPr>
                <w:rFonts w:ascii="Arial" w:hAnsi="Arial" w:cs="Arial"/>
                <w:b/>
                <w:bCs/>
                <w:color w:val="000000" w:themeColor="text1"/>
                <w:sz w:val="18"/>
                <w:szCs w:val="18"/>
              </w:rPr>
              <w:t>4.424.678</w:t>
            </w:r>
          </w:p>
        </w:tc>
        <w:tc>
          <w:tcPr>
            <w:tcW w:w="612" w:type="pct"/>
            <w:tcBorders>
              <w:top w:val="nil"/>
              <w:left w:val="nil"/>
              <w:bottom w:val="single" w:sz="12" w:space="0" w:color="auto"/>
              <w:right w:val="nil"/>
            </w:tcBorders>
            <w:shd w:val="clear" w:color="auto" w:fill="auto"/>
            <w:vAlign w:val="bottom"/>
          </w:tcPr>
          <w:p w14:paraId="47BE8029" w14:textId="77777777" w:rsidR="00320CAB" w:rsidRPr="00634DB6" w:rsidRDefault="00320CAB" w:rsidP="0034622E">
            <w:pPr>
              <w:tabs>
                <w:tab w:val="right" w:pos="1202"/>
              </w:tabs>
              <w:spacing w:line="301" w:lineRule="exact"/>
              <w:jc w:val="right"/>
              <w:outlineLvl w:val="0"/>
              <w:rPr>
                <w:rFonts w:ascii="Arial" w:hAnsi="Arial" w:cs="Arial"/>
                <w:b/>
                <w:bCs/>
                <w:color w:val="000000" w:themeColor="text1"/>
                <w:sz w:val="18"/>
                <w:szCs w:val="18"/>
              </w:rPr>
            </w:pPr>
            <w:r w:rsidRPr="00F959D0">
              <w:rPr>
                <w:rFonts w:ascii="Arial" w:hAnsi="Arial" w:cs="Arial"/>
                <w:b/>
                <w:bCs/>
                <w:color w:val="000000" w:themeColor="text1"/>
                <w:sz w:val="18"/>
                <w:szCs w:val="18"/>
              </w:rPr>
              <w:t>35.556</w:t>
            </w:r>
          </w:p>
        </w:tc>
        <w:tc>
          <w:tcPr>
            <w:tcW w:w="612" w:type="pct"/>
            <w:tcBorders>
              <w:top w:val="nil"/>
              <w:left w:val="nil"/>
              <w:bottom w:val="single" w:sz="12" w:space="0" w:color="auto"/>
              <w:right w:val="nil"/>
            </w:tcBorders>
            <w:shd w:val="clear" w:color="auto" w:fill="auto"/>
            <w:vAlign w:val="bottom"/>
          </w:tcPr>
          <w:p w14:paraId="72477A4F" w14:textId="77777777" w:rsidR="00320CAB" w:rsidRPr="00634DB6" w:rsidRDefault="00320CAB" w:rsidP="0034622E">
            <w:pPr>
              <w:tabs>
                <w:tab w:val="right" w:pos="1202"/>
              </w:tabs>
              <w:spacing w:line="301" w:lineRule="exact"/>
              <w:jc w:val="right"/>
              <w:outlineLvl w:val="0"/>
              <w:rPr>
                <w:rFonts w:ascii="Arial" w:hAnsi="Arial" w:cs="Arial"/>
                <w:b/>
                <w:bCs/>
                <w:color w:val="000000" w:themeColor="text1"/>
                <w:sz w:val="18"/>
                <w:szCs w:val="18"/>
              </w:rPr>
            </w:pPr>
            <w:r w:rsidRPr="00F959D0">
              <w:rPr>
                <w:rFonts w:ascii="Arial" w:hAnsi="Arial" w:cs="Arial"/>
                <w:b/>
                <w:bCs/>
                <w:color w:val="000000" w:themeColor="text1"/>
                <w:sz w:val="18"/>
                <w:szCs w:val="18"/>
              </w:rPr>
              <w:t>7.695</w:t>
            </w:r>
          </w:p>
        </w:tc>
        <w:tc>
          <w:tcPr>
            <w:tcW w:w="611" w:type="pct"/>
            <w:tcBorders>
              <w:top w:val="nil"/>
              <w:left w:val="nil"/>
              <w:bottom w:val="single" w:sz="12" w:space="0" w:color="auto"/>
              <w:right w:val="nil"/>
            </w:tcBorders>
            <w:shd w:val="clear" w:color="auto" w:fill="auto"/>
            <w:vAlign w:val="bottom"/>
          </w:tcPr>
          <w:p w14:paraId="3B2C2B99" w14:textId="77777777" w:rsidR="00320CAB" w:rsidRPr="00634DB6" w:rsidRDefault="00320CAB" w:rsidP="0034622E">
            <w:pPr>
              <w:tabs>
                <w:tab w:val="right" w:pos="1202"/>
              </w:tabs>
              <w:spacing w:line="301" w:lineRule="exact"/>
              <w:jc w:val="right"/>
              <w:outlineLvl w:val="0"/>
              <w:rPr>
                <w:rFonts w:ascii="Arial" w:hAnsi="Arial" w:cs="Arial"/>
                <w:b/>
                <w:bCs/>
                <w:color w:val="000000" w:themeColor="text1"/>
                <w:sz w:val="18"/>
                <w:szCs w:val="18"/>
              </w:rPr>
            </w:pPr>
            <w:r w:rsidRPr="00F959D0">
              <w:rPr>
                <w:rFonts w:ascii="Arial" w:hAnsi="Arial" w:cs="Arial"/>
                <w:b/>
                <w:bCs/>
                <w:color w:val="000000" w:themeColor="text1"/>
                <w:sz w:val="18"/>
                <w:szCs w:val="18"/>
              </w:rPr>
              <w:t>4.467.929</w:t>
            </w:r>
          </w:p>
        </w:tc>
      </w:tr>
    </w:tbl>
    <w:p w14:paraId="6661617E" w14:textId="0CE65173" w:rsidR="00A13103" w:rsidRPr="003D1614" w:rsidRDefault="00A13103" w:rsidP="003311C4">
      <w:pPr>
        <w:suppressAutoHyphens/>
        <w:autoSpaceDN w:val="0"/>
        <w:jc w:val="both"/>
        <w:rPr>
          <w:rFonts w:ascii="Arial" w:eastAsia="Times New Roman" w:hAnsi="Arial" w:cs="Arial"/>
          <w:color w:val="000000" w:themeColor="text1"/>
          <w:sz w:val="20"/>
          <w:szCs w:val="20"/>
        </w:rPr>
      </w:pPr>
    </w:p>
    <w:p w14:paraId="1ED31C8F" w14:textId="77777777" w:rsidR="001A0FCB" w:rsidRPr="003D1614" w:rsidRDefault="001A0FCB" w:rsidP="003311C4">
      <w:pPr>
        <w:suppressAutoHyphens/>
        <w:autoSpaceDN w:val="0"/>
        <w:jc w:val="both"/>
        <w:rPr>
          <w:rFonts w:ascii="Arial" w:eastAsia="Times New Roman" w:hAnsi="Arial" w:cs="Arial"/>
          <w:color w:val="000000" w:themeColor="text1"/>
          <w:sz w:val="20"/>
          <w:szCs w:val="20"/>
        </w:rPr>
      </w:pPr>
    </w:p>
    <w:p w14:paraId="23FB5E83" w14:textId="77777777" w:rsidR="001A0FCB" w:rsidRPr="003D1614" w:rsidRDefault="001A0FCB" w:rsidP="003311C4">
      <w:pPr>
        <w:suppressAutoHyphens/>
        <w:autoSpaceDN w:val="0"/>
        <w:jc w:val="both"/>
        <w:rPr>
          <w:rFonts w:ascii="Arial" w:eastAsia="Times New Roman" w:hAnsi="Arial" w:cs="Arial"/>
          <w:color w:val="000000" w:themeColor="text1"/>
          <w:sz w:val="20"/>
          <w:szCs w:val="20"/>
        </w:rPr>
        <w:sectPr w:rsidR="001A0FCB" w:rsidRPr="003D1614">
          <w:pgSz w:w="11906" w:h="16838"/>
          <w:pgMar w:top="1417" w:right="1417" w:bottom="1417" w:left="1417" w:header="708" w:footer="708" w:gutter="0"/>
          <w:cols w:space="708"/>
          <w:docGrid w:linePitch="360"/>
        </w:sectPr>
      </w:pPr>
    </w:p>
    <w:p w14:paraId="15E3F9EC"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p>
    <w:p w14:paraId="572C5C69" w14:textId="4C9DB12C"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5BE219A9"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p>
    <w:p w14:paraId="0BFF495B" w14:textId="75AD9FC3"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.3. </w:t>
      </w:r>
      <w:r w:rsidRPr="003D1614">
        <w:rPr>
          <w:rFonts w:ascii="Arial" w:eastAsia="Times New Roman" w:hAnsi="Arial" w:cs="Arial"/>
          <w:b/>
          <w:bCs/>
          <w:color w:val="000000" w:themeColor="text1"/>
          <w:sz w:val="20"/>
          <w:szCs w:val="20"/>
        </w:rPr>
        <w:tab/>
        <w:t>Kreditni rizik (nastavak)</w:t>
      </w:r>
    </w:p>
    <w:p w14:paraId="5BADDD2E"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p>
    <w:p w14:paraId="380B2599"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Koncentracija rizika i maksimalna izloženost kreditnom riziku (nastavak)</w:t>
      </w:r>
    </w:p>
    <w:p w14:paraId="1EAE2A0A" w14:textId="77777777" w:rsidR="001A0FCB" w:rsidRPr="003D1614" w:rsidRDefault="001A0FCB" w:rsidP="001A0FCB">
      <w:pPr>
        <w:keepNext/>
        <w:suppressAutoHyphens/>
        <w:autoSpaceDN w:val="0"/>
        <w:jc w:val="both"/>
        <w:outlineLvl w:val="0"/>
        <w:rPr>
          <w:rFonts w:ascii="Arial" w:eastAsia="Times New Roman" w:hAnsi="Arial" w:cs="Arial"/>
          <w:color w:val="000000" w:themeColor="text1"/>
          <w:sz w:val="20"/>
          <w:szCs w:val="20"/>
        </w:rPr>
      </w:pPr>
    </w:p>
    <w:p w14:paraId="1A8F71BD" w14:textId="77777777" w:rsidR="001A0FCB" w:rsidRPr="003D1614" w:rsidRDefault="001A0FCB" w:rsidP="001A0FCB">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Koncentracija imovine i garancija te preuzetih obveza prema zemljopisnim segmentima, neto izloženost, </w:t>
      </w:r>
      <w:r w:rsidRPr="003D1614">
        <w:rPr>
          <w:rFonts w:ascii="Arial" w:eastAsia="Times New Roman" w:hAnsi="Arial" w:cs="Arial"/>
          <w:bCs/>
          <w:color w:val="000000" w:themeColor="text1"/>
          <w:sz w:val="20"/>
          <w:szCs w:val="20"/>
        </w:rPr>
        <w:t>bez umanjenja za vrijednost sredstava osiguranja naplate</w:t>
      </w:r>
      <w:r w:rsidRPr="003D1614">
        <w:rPr>
          <w:rFonts w:ascii="Arial" w:eastAsia="Times New Roman" w:hAnsi="Arial" w:cs="Arial"/>
          <w:color w:val="000000" w:themeColor="text1"/>
          <w:sz w:val="20"/>
          <w:szCs w:val="20"/>
        </w:rPr>
        <w:t xml:space="preserve"> (nastavak): </w:t>
      </w:r>
    </w:p>
    <w:p w14:paraId="0C0B2AAB" w14:textId="77777777" w:rsidR="001A0FCB" w:rsidRPr="003D1614" w:rsidRDefault="001A0FCB" w:rsidP="001A0FCB">
      <w:pPr>
        <w:keepNext/>
        <w:suppressAutoHyphens/>
        <w:autoSpaceDN w:val="0"/>
        <w:jc w:val="both"/>
        <w:outlineLvl w:val="0"/>
        <w:rPr>
          <w:rFonts w:ascii="Arial" w:eastAsia="Times New Roman" w:hAnsi="Arial" w:cs="Arial"/>
          <w:color w:val="000000" w:themeColor="text1"/>
          <w:sz w:val="20"/>
          <w:szCs w:val="20"/>
        </w:rPr>
      </w:pPr>
    </w:p>
    <w:p w14:paraId="23708EC8" w14:textId="77777777" w:rsidR="001A0FCB" w:rsidRPr="003D1614" w:rsidRDefault="001A0FCB" w:rsidP="001A0FCB">
      <w:pPr>
        <w:keepNext/>
        <w:suppressAutoHyphens/>
        <w:autoSpaceDN w:val="0"/>
        <w:jc w:val="both"/>
        <w:outlineLvl w:val="0"/>
        <w:rPr>
          <w:rFonts w:ascii="Arial" w:eastAsia="Times New Roman" w:hAnsi="Arial" w:cs="Arial"/>
          <w:color w:val="000000" w:themeColor="text1"/>
          <w:sz w:val="20"/>
          <w:szCs w:val="20"/>
        </w:rPr>
      </w:pPr>
    </w:p>
    <w:tbl>
      <w:tblPr>
        <w:tblW w:w="5000" w:type="pct"/>
        <w:tblLayout w:type="fixed"/>
        <w:tblCellMar>
          <w:left w:w="30" w:type="dxa"/>
          <w:right w:w="30" w:type="dxa"/>
        </w:tblCellMar>
        <w:tblLook w:val="0000" w:firstRow="0" w:lastRow="0" w:firstColumn="0" w:lastColumn="0" w:noHBand="0" w:noVBand="0"/>
      </w:tblPr>
      <w:tblGrid>
        <w:gridCol w:w="4538"/>
        <w:gridCol w:w="1134"/>
        <w:gridCol w:w="1134"/>
        <w:gridCol w:w="1134"/>
        <w:gridCol w:w="1132"/>
      </w:tblGrid>
      <w:tr w:rsidR="003C3063" w:rsidRPr="003D1614" w14:paraId="1CA1A6C8" w14:textId="77777777" w:rsidTr="00061A35">
        <w:trPr>
          <w:cantSplit/>
          <w:trHeight w:val="624"/>
          <w:tblHeader/>
        </w:trPr>
        <w:tc>
          <w:tcPr>
            <w:tcW w:w="2501" w:type="pct"/>
            <w:vAlign w:val="bottom"/>
          </w:tcPr>
          <w:p w14:paraId="7534E2BD" w14:textId="77777777" w:rsidR="003C3063" w:rsidRPr="003D1614" w:rsidRDefault="003C3063" w:rsidP="00061A35">
            <w:pPr>
              <w:tabs>
                <w:tab w:val="right" w:pos="1202"/>
              </w:tabs>
              <w:suppressAutoHyphens/>
              <w:autoSpaceDN w:val="0"/>
              <w:spacing w:line="240" w:lineRule="atLeast"/>
              <w:outlineLvl w:val="0"/>
              <w:rPr>
                <w:rFonts w:ascii="Arial" w:eastAsia="Times New Roman" w:hAnsi="Arial" w:cs="Arial"/>
                <w:b/>
                <w:color w:val="000000" w:themeColor="text1"/>
                <w:sz w:val="18"/>
                <w:szCs w:val="18"/>
              </w:rPr>
            </w:pPr>
            <w:bookmarkStart w:id="630" w:name="_Toc67329450"/>
            <w:r w:rsidRPr="003D1614">
              <w:rPr>
                <w:rFonts w:ascii="Arial" w:eastAsia="Times New Roman" w:hAnsi="Arial" w:cs="Arial"/>
                <w:b/>
                <w:color w:val="000000" w:themeColor="text1"/>
                <w:sz w:val="18"/>
                <w:szCs w:val="18"/>
              </w:rPr>
              <w:t>Banka</w:t>
            </w:r>
            <w:bookmarkEnd w:id="630"/>
          </w:p>
          <w:p w14:paraId="08EB63F3" w14:textId="77777777" w:rsidR="003C3063" w:rsidRPr="003D1614" w:rsidRDefault="003C3063" w:rsidP="00061A35">
            <w:pPr>
              <w:tabs>
                <w:tab w:val="right" w:pos="1202"/>
              </w:tabs>
              <w:suppressAutoHyphens/>
              <w:autoSpaceDN w:val="0"/>
              <w:spacing w:line="240" w:lineRule="atLeast"/>
              <w:outlineLvl w:val="0"/>
              <w:rPr>
                <w:rFonts w:ascii="Arial" w:eastAsia="Times New Roman" w:hAnsi="Arial" w:cs="Arial"/>
                <w:b/>
                <w:color w:val="000000" w:themeColor="text1"/>
                <w:sz w:val="18"/>
                <w:szCs w:val="18"/>
              </w:rPr>
            </w:pPr>
          </w:p>
          <w:p w14:paraId="49661B59" w14:textId="77777777" w:rsidR="003C3063" w:rsidRPr="003D1614" w:rsidRDefault="003C3063" w:rsidP="00061A35">
            <w:pPr>
              <w:tabs>
                <w:tab w:val="right" w:pos="1202"/>
              </w:tabs>
              <w:suppressAutoHyphens/>
              <w:autoSpaceDN w:val="0"/>
              <w:spacing w:line="240" w:lineRule="atLeast"/>
              <w:outlineLvl w:val="0"/>
              <w:rPr>
                <w:rFonts w:ascii="Arial" w:eastAsia="Times New Roman" w:hAnsi="Arial" w:cs="Arial"/>
                <w:b/>
                <w:color w:val="000000" w:themeColor="text1"/>
                <w:sz w:val="18"/>
                <w:szCs w:val="18"/>
              </w:rPr>
            </w:pPr>
            <w:r w:rsidRPr="00184EBE">
              <w:rPr>
                <w:rFonts w:ascii="Arial" w:eastAsia="Calibri" w:hAnsi="Arial" w:cs="Arial"/>
                <w:b/>
                <w:bCs/>
                <w:iCs/>
                <w:color w:val="000000" w:themeColor="text1"/>
                <w:sz w:val="18"/>
                <w:szCs w:val="18"/>
              </w:rPr>
              <w:t>30. rujna 202</w:t>
            </w:r>
            <w:r>
              <w:rPr>
                <w:rFonts w:ascii="Arial" w:eastAsia="Calibri" w:hAnsi="Arial" w:cs="Arial"/>
                <w:b/>
                <w:bCs/>
                <w:iCs/>
                <w:color w:val="000000" w:themeColor="text1"/>
                <w:sz w:val="18"/>
                <w:szCs w:val="18"/>
              </w:rPr>
              <w:t>4</w:t>
            </w:r>
            <w:r w:rsidRPr="00184EBE">
              <w:rPr>
                <w:rFonts w:ascii="Arial" w:eastAsia="Calibri" w:hAnsi="Arial" w:cs="Arial"/>
                <w:b/>
                <w:bCs/>
                <w:iCs/>
                <w:color w:val="000000" w:themeColor="text1"/>
                <w:sz w:val="18"/>
                <w:szCs w:val="18"/>
              </w:rPr>
              <w:t>.</w:t>
            </w:r>
          </w:p>
        </w:tc>
        <w:tc>
          <w:tcPr>
            <w:tcW w:w="625" w:type="pct"/>
            <w:vAlign w:val="bottom"/>
          </w:tcPr>
          <w:p w14:paraId="6D33F667" w14:textId="77777777" w:rsidR="003C3063" w:rsidRPr="003D1614" w:rsidRDefault="003C3063" w:rsidP="00061A35">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31" w:name="_Toc67329452"/>
            <w:r w:rsidRPr="003D1614">
              <w:rPr>
                <w:rFonts w:ascii="Arial" w:eastAsia="Times New Roman" w:hAnsi="Arial" w:cs="Arial"/>
                <w:b/>
                <w:color w:val="000000" w:themeColor="text1"/>
                <w:sz w:val="18"/>
                <w:szCs w:val="18"/>
              </w:rPr>
              <w:t>Republika Hrvatska</w:t>
            </w:r>
            <w:bookmarkEnd w:id="631"/>
          </w:p>
        </w:tc>
        <w:tc>
          <w:tcPr>
            <w:tcW w:w="625" w:type="pct"/>
            <w:vAlign w:val="bottom"/>
          </w:tcPr>
          <w:p w14:paraId="7D80BBC9" w14:textId="77777777" w:rsidR="003C3063" w:rsidRPr="003D1614" w:rsidRDefault="003C3063" w:rsidP="00061A35">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32" w:name="_Toc67329453"/>
            <w:r w:rsidRPr="003D1614">
              <w:rPr>
                <w:rFonts w:ascii="Arial" w:eastAsia="Times New Roman" w:hAnsi="Arial" w:cs="Arial"/>
                <w:b/>
                <w:color w:val="000000" w:themeColor="text1"/>
                <w:sz w:val="18"/>
                <w:szCs w:val="18"/>
              </w:rPr>
              <w:t>Zemlje Europske unije</w:t>
            </w:r>
            <w:bookmarkEnd w:id="632"/>
          </w:p>
        </w:tc>
        <w:tc>
          <w:tcPr>
            <w:tcW w:w="625" w:type="pct"/>
            <w:vAlign w:val="bottom"/>
          </w:tcPr>
          <w:p w14:paraId="4EB0FD4A" w14:textId="77777777" w:rsidR="003C3063" w:rsidRPr="003D1614" w:rsidRDefault="003C3063" w:rsidP="00061A35">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33" w:name="_Toc67329454"/>
            <w:r w:rsidRPr="003D1614">
              <w:rPr>
                <w:rFonts w:ascii="Arial" w:eastAsia="Times New Roman" w:hAnsi="Arial" w:cs="Arial"/>
                <w:b/>
                <w:color w:val="000000" w:themeColor="text1"/>
                <w:sz w:val="18"/>
                <w:szCs w:val="18"/>
              </w:rPr>
              <w:t>Ostale</w:t>
            </w:r>
            <w:bookmarkEnd w:id="633"/>
            <w:r w:rsidRPr="003D1614">
              <w:rPr>
                <w:rFonts w:ascii="Arial" w:eastAsia="Times New Roman" w:hAnsi="Arial" w:cs="Arial"/>
                <w:b/>
                <w:color w:val="000000" w:themeColor="text1"/>
                <w:sz w:val="18"/>
                <w:szCs w:val="18"/>
              </w:rPr>
              <w:t xml:space="preserve"> </w:t>
            </w:r>
          </w:p>
          <w:p w14:paraId="76F1CFAE" w14:textId="77777777" w:rsidR="003C3063" w:rsidRPr="003D1614" w:rsidRDefault="003C3063" w:rsidP="00061A35">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34" w:name="_Toc67329455"/>
            <w:r w:rsidRPr="003D1614">
              <w:rPr>
                <w:rFonts w:ascii="Arial" w:eastAsia="Times New Roman" w:hAnsi="Arial" w:cs="Arial"/>
                <w:b/>
                <w:color w:val="000000" w:themeColor="text1"/>
                <w:sz w:val="18"/>
                <w:szCs w:val="18"/>
              </w:rPr>
              <w:t>zemlje</w:t>
            </w:r>
            <w:bookmarkEnd w:id="634"/>
            <w:r w:rsidRPr="003D1614">
              <w:rPr>
                <w:rFonts w:ascii="Arial" w:eastAsia="Times New Roman" w:hAnsi="Arial" w:cs="Arial"/>
                <w:b/>
                <w:color w:val="000000" w:themeColor="text1"/>
                <w:sz w:val="18"/>
                <w:szCs w:val="18"/>
              </w:rPr>
              <w:t xml:space="preserve"> </w:t>
            </w:r>
          </w:p>
        </w:tc>
        <w:tc>
          <w:tcPr>
            <w:tcW w:w="624" w:type="pct"/>
            <w:vAlign w:val="bottom"/>
          </w:tcPr>
          <w:p w14:paraId="35B93136" w14:textId="77777777" w:rsidR="003C3063" w:rsidRPr="003D1614" w:rsidRDefault="003C3063" w:rsidP="00061A35">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35" w:name="_Toc67329456"/>
            <w:r w:rsidRPr="003D1614">
              <w:rPr>
                <w:rFonts w:ascii="Arial" w:eastAsia="Times New Roman" w:hAnsi="Arial" w:cs="Arial"/>
                <w:b/>
                <w:color w:val="000000" w:themeColor="text1"/>
                <w:sz w:val="18"/>
                <w:szCs w:val="18"/>
              </w:rPr>
              <w:t>Ukupno</w:t>
            </w:r>
            <w:bookmarkEnd w:id="635"/>
          </w:p>
        </w:tc>
      </w:tr>
      <w:tr w:rsidR="003C3063" w:rsidRPr="003D1614" w14:paraId="79E53406" w14:textId="77777777" w:rsidTr="00061A35">
        <w:trPr>
          <w:cantSplit/>
          <w:trHeight w:val="250"/>
          <w:tblHeader/>
        </w:trPr>
        <w:tc>
          <w:tcPr>
            <w:tcW w:w="2501" w:type="pct"/>
            <w:vAlign w:val="bottom"/>
          </w:tcPr>
          <w:p w14:paraId="0088090C" w14:textId="77777777" w:rsidR="003C3063" w:rsidRPr="003D1614" w:rsidRDefault="003C3063" w:rsidP="00061A35">
            <w:pPr>
              <w:suppressAutoHyphens/>
              <w:autoSpaceDN w:val="0"/>
              <w:ind w:left="113" w:hanging="113"/>
              <w:rPr>
                <w:rFonts w:ascii="Arial" w:eastAsia="Times New Roman" w:hAnsi="Arial" w:cs="Arial"/>
                <w:color w:val="000000" w:themeColor="text1"/>
                <w:sz w:val="18"/>
                <w:szCs w:val="18"/>
              </w:rPr>
            </w:pPr>
          </w:p>
        </w:tc>
        <w:tc>
          <w:tcPr>
            <w:tcW w:w="625" w:type="pct"/>
            <w:vAlign w:val="bottom"/>
          </w:tcPr>
          <w:p w14:paraId="7DCFC249" w14:textId="77777777" w:rsidR="003C3063" w:rsidRPr="003D1614" w:rsidRDefault="003C3063" w:rsidP="00061A35">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36" w:name="_Toc67329457"/>
            <w:r w:rsidRPr="003D1614">
              <w:rPr>
                <w:rFonts w:ascii="Arial" w:eastAsia="Times New Roman" w:hAnsi="Arial" w:cs="Arial"/>
                <w:b/>
                <w:color w:val="000000" w:themeColor="text1"/>
                <w:sz w:val="18"/>
                <w:szCs w:val="18"/>
              </w:rPr>
              <w:t>000 eura</w:t>
            </w:r>
            <w:bookmarkEnd w:id="636"/>
          </w:p>
        </w:tc>
        <w:tc>
          <w:tcPr>
            <w:tcW w:w="625" w:type="pct"/>
            <w:vAlign w:val="bottom"/>
          </w:tcPr>
          <w:p w14:paraId="265D5BD0" w14:textId="77777777" w:rsidR="003C3063" w:rsidRPr="003D1614" w:rsidRDefault="003C3063" w:rsidP="00061A35">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37" w:name="_Toc67329458"/>
            <w:r w:rsidRPr="003D1614">
              <w:rPr>
                <w:rFonts w:ascii="Arial" w:eastAsia="Times New Roman" w:hAnsi="Arial" w:cs="Arial"/>
                <w:b/>
                <w:color w:val="000000" w:themeColor="text1"/>
                <w:sz w:val="18"/>
                <w:szCs w:val="18"/>
              </w:rPr>
              <w:t>000 eura</w:t>
            </w:r>
            <w:bookmarkEnd w:id="637"/>
          </w:p>
        </w:tc>
        <w:tc>
          <w:tcPr>
            <w:tcW w:w="625" w:type="pct"/>
            <w:vAlign w:val="bottom"/>
          </w:tcPr>
          <w:p w14:paraId="66981227" w14:textId="77777777" w:rsidR="003C3063" w:rsidRPr="003D1614" w:rsidRDefault="003C3063" w:rsidP="00061A35">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38" w:name="_Toc67329459"/>
            <w:r w:rsidRPr="003D1614">
              <w:rPr>
                <w:rFonts w:ascii="Arial" w:eastAsia="Times New Roman" w:hAnsi="Arial" w:cs="Arial"/>
                <w:b/>
                <w:color w:val="000000" w:themeColor="text1"/>
                <w:sz w:val="18"/>
                <w:szCs w:val="18"/>
              </w:rPr>
              <w:t>000 eura</w:t>
            </w:r>
            <w:bookmarkEnd w:id="638"/>
          </w:p>
        </w:tc>
        <w:tc>
          <w:tcPr>
            <w:tcW w:w="624" w:type="pct"/>
            <w:vAlign w:val="bottom"/>
          </w:tcPr>
          <w:p w14:paraId="72FD48F8" w14:textId="77777777" w:rsidR="003C3063" w:rsidRPr="003D1614" w:rsidRDefault="003C3063" w:rsidP="00061A35">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39" w:name="_Toc67329460"/>
            <w:r w:rsidRPr="003D1614">
              <w:rPr>
                <w:rFonts w:ascii="Arial" w:eastAsia="Times New Roman" w:hAnsi="Arial" w:cs="Arial"/>
                <w:b/>
                <w:color w:val="000000" w:themeColor="text1"/>
                <w:sz w:val="18"/>
                <w:szCs w:val="18"/>
              </w:rPr>
              <w:t>000 eura</w:t>
            </w:r>
            <w:bookmarkEnd w:id="639"/>
          </w:p>
        </w:tc>
      </w:tr>
      <w:tr w:rsidR="003C3063" w:rsidRPr="003D1614" w14:paraId="49DC8D7D" w14:textId="77777777" w:rsidTr="00061A35">
        <w:trPr>
          <w:cantSplit/>
          <w:trHeight w:val="250"/>
          <w:tblHeader/>
        </w:trPr>
        <w:tc>
          <w:tcPr>
            <w:tcW w:w="2501" w:type="pct"/>
            <w:vAlign w:val="bottom"/>
          </w:tcPr>
          <w:p w14:paraId="6909B39A" w14:textId="77777777" w:rsidR="003C3063" w:rsidRPr="003D1614" w:rsidRDefault="003C3063" w:rsidP="00061A35">
            <w:pPr>
              <w:suppressAutoHyphens/>
              <w:autoSpaceDN w:val="0"/>
              <w:ind w:left="113" w:hanging="113"/>
              <w:rPr>
                <w:rFonts w:ascii="Arial" w:eastAsia="Times New Roman" w:hAnsi="Arial" w:cs="Arial"/>
                <w:color w:val="000000" w:themeColor="text1"/>
                <w:sz w:val="18"/>
                <w:szCs w:val="18"/>
              </w:rPr>
            </w:pPr>
          </w:p>
        </w:tc>
        <w:tc>
          <w:tcPr>
            <w:tcW w:w="625" w:type="pct"/>
            <w:vAlign w:val="bottom"/>
          </w:tcPr>
          <w:p w14:paraId="343C0AAA" w14:textId="77777777" w:rsidR="003C3063" w:rsidRPr="003D1614" w:rsidRDefault="003C3063" w:rsidP="00061A35">
            <w:pPr>
              <w:suppressAutoHyphens/>
              <w:autoSpaceDN w:val="0"/>
              <w:jc w:val="right"/>
              <w:rPr>
                <w:rFonts w:ascii="Arial" w:eastAsia="Times New Roman" w:hAnsi="Arial" w:cs="Arial"/>
                <w:color w:val="000000" w:themeColor="text1"/>
                <w:sz w:val="18"/>
                <w:szCs w:val="18"/>
              </w:rPr>
            </w:pPr>
          </w:p>
        </w:tc>
        <w:tc>
          <w:tcPr>
            <w:tcW w:w="625" w:type="pct"/>
            <w:vAlign w:val="bottom"/>
          </w:tcPr>
          <w:p w14:paraId="7E71EEED" w14:textId="77777777" w:rsidR="003C3063" w:rsidRPr="003D1614" w:rsidRDefault="003C3063" w:rsidP="00061A35">
            <w:pPr>
              <w:suppressAutoHyphens/>
              <w:autoSpaceDN w:val="0"/>
              <w:jc w:val="right"/>
              <w:rPr>
                <w:rFonts w:ascii="Arial" w:eastAsia="Times New Roman" w:hAnsi="Arial" w:cs="Arial"/>
                <w:color w:val="000000" w:themeColor="text1"/>
                <w:sz w:val="18"/>
                <w:szCs w:val="18"/>
              </w:rPr>
            </w:pPr>
          </w:p>
        </w:tc>
        <w:tc>
          <w:tcPr>
            <w:tcW w:w="625" w:type="pct"/>
            <w:vAlign w:val="bottom"/>
          </w:tcPr>
          <w:p w14:paraId="73E7EBC3" w14:textId="77777777" w:rsidR="003C3063" w:rsidRPr="003D1614" w:rsidRDefault="003C3063" w:rsidP="00061A35">
            <w:pPr>
              <w:suppressAutoHyphens/>
              <w:autoSpaceDN w:val="0"/>
              <w:jc w:val="right"/>
              <w:rPr>
                <w:rFonts w:ascii="Arial" w:eastAsia="Times New Roman" w:hAnsi="Arial" w:cs="Arial"/>
                <w:color w:val="000000" w:themeColor="text1"/>
                <w:sz w:val="18"/>
                <w:szCs w:val="18"/>
              </w:rPr>
            </w:pPr>
          </w:p>
        </w:tc>
        <w:tc>
          <w:tcPr>
            <w:tcW w:w="624" w:type="pct"/>
            <w:vAlign w:val="bottom"/>
          </w:tcPr>
          <w:p w14:paraId="234C86D0" w14:textId="77777777" w:rsidR="003C3063" w:rsidRPr="003D1614" w:rsidRDefault="003C3063" w:rsidP="00061A35">
            <w:pPr>
              <w:suppressAutoHyphens/>
              <w:autoSpaceDN w:val="0"/>
              <w:jc w:val="center"/>
              <w:rPr>
                <w:rFonts w:ascii="Arial" w:eastAsia="Times New Roman" w:hAnsi="Arial" w:cs="Arial"/>
                <w:color w:val="000000" w:themeColor="text1"/>
                <w:sz w:val="18"/>
                <w:szCs w:val="18"/>
              </w:rPr>
            </w:pPr>
          </w:p>
        </w:tc>
      </w:tr>
      <w:tr w:rsidR="003C3063" w:rsidRPr="003D1614" w14:paraId="35A36F26" w14:textId="77777777" w:rsidTr="00061A35">
        <w:trPr>
          <w:cantSplit/>
          <w:trHeight w:val="92"/>
          <w:tblHeader/>
        </w:trPr>
        <w:tc>
          <w:tcPr>
            <w:tcW w:w="2501" w:type="pct"/>
            <w:vAlign w:val="bottom"/>
          </w:tcPr>
          <w:p w14:paraId="2D2CC988" w14:textId="77777777" w:rsidR="003C3063" w:rsidRPr="003D1614" w:rsidRDefault="003C3063" w:rsidP="00061A35">
            <w:pPr>
              <w:tabs>
                <w:tab w:val="right" w:pos="1202"/>
              </w:tabs>
              <w:suppressAutoHyphens/>
              <w:autoSpaceDN w:val="0"/>
              <w:spacing w:line="301" w:lineRule="exact"/>
              <w:outlineLvl w:val="0"/>
              <w:rPr>
                <w:rFonts w:ascii="Arial" w:eastAsia="Times New Roman" w:hAnsi="Arial" w:cs="Arial"/>
                <w:b/>
                <w:bCs/>
                <w:color w:val="000000" w:themeColor="text1"/>
                <w:sz w:val="18"/>
                <w:szCs w:val="18"/>
              </w:rPr>
            </w:pPr>
            <w:bookmarkStart w:id="640" w:name="_Toc67329461"/>
            <w:r w:rsidRPr="003D1614">
              <w:rPr>
                <w:rFonts w:ascii="Arial" w:eastAsia="Times New Roman" w:hAnsi="Arial" w:cs="Arial"/>
                <w:b/>
                <w:bCs/>
                <w:color w:val="000000" w:themeColor="text1"/>
                <w:sz w:val="18"/>
                <w:szCs w:val="18"/>
              </w:rPr>
              <w:t>Imovina</w:t>
            </w:r>
            <w:bookmarkEnd w:id="640"/>
          </w:p>
        </w:tc>
        <w:tc>
          <w:tcPr>
            <w:tcW w:w="625" w:type="pct"/>
            <w:vAlign w:val="bottom"/>
          </w:tcPr>
          <w:p w14:paraId="2A3C2712" w14:textId="77777777" w:rsidR="003C3063" w:rsidRPr="003D1614" w:rsidRDefault="003C3063" w:rsidP="00061A35">
            <w:pPr>
              <w:suppressAutoHyphens/>
              <w:autoSpaceDN w:val="0"/>
              <w:jc w:val="right"/>
              <w:rPr>
                <w:rFonts w:ascii="Arial" w:eastAsia="Times New Roman" w:hAnsi="Arial" w:cs="Arial"/>
                <w:color w:val="000000" w:themeColor="text1"/>
                <w:sz w:val="18"/>
                <w:szCs w:val="18"/>
              </w:rPr>
            </w:pPr>
          </w:p>
        </w:tc>
        <w:tc>
          <w:tcPr>
            <w:tcW w:w="625" w:type="pct"/>
            <w:vAlign w:val="bottom"/>
          </w:tcPr>
          <w:p w14:paraId="60B3AE03" w14:textId="77777777" w:rsidR="003C3063" w:rsidRPr="003D1614" w:rsidRDefault="003C3063" w:rsidP="00061A35">
            <w:pPr>
              <w:suppressAutoHyphens/>
              <w:autoSpaceDN w:val="0"/>
              <w:jc w:val="right"/>
              <w:rPr>
                <w:rFonts w:ascii="Arial" w:eastAsia="Times New Roman" w:hAnsi="Arial" w:cs="Arial"/>
                <w:color w:val="000000" w:themeColor="text1"/>
                <w:sz w:val="18"/>
                <w:szCs w:val="18"/>
              </w:rPr>
            </w:pPr>
          </w:p>
        </w:tc>
        <w:tc>
          <w:tcPr>
            <w:tcW w:w="625" w:type="pct"/>
            <w:vAlign w:val="bottom"/>
          </w:tcPr>
          <w:p w14:paraId="68278613" w14:textId="77777777" w:rsidR="003C3063" w:rsidRPr="003D1614" w:rsidRDefault="003C3063" w:rsidP="00061A35">
            <w:pPr>
              <w:suppressAutoHyphens/>
              <w:autoSpaceDN w:val="0"/>
              <w:jc w:val="right"/>
              <w:rPr>
                <w:rFonts w:ascii="Arial" w:eastAsia="Times New Roman" w:hAnsi="Arial" w:cs="Arial"/>
                <w:color w:val="000000" w:themeColor="text1"/>
                <w:sz w:val="18"/>
                <w:szCs w:val="18"/>
              </w:rPr>
            </w:pPr>
          </w:p>
        </w:tc>
        <w:tc>
          <w:tcPr>
            <w:tcW w:w="624" w:type="pct"/>
            <w:vAlign w:val="bottom"/>
          </w:tcPr>
          <w:p w14:paraId="4F4F70B3" w14:textId="77777777" w:rsidR="003C3063" w:rsidRPr="003D1614" w:rsidRDefault="003C3063" w:rsidP="00061A35">
            <w:pPr>
              <w:suppressAutoHyphens/>
              <w:autoSpaceDN w:val="0"/>
              <w:jc w:val="center"/>
              <w:rPr>
                <w:rFonts w:ascii="Arial" w:eastAsia="Times New Roman" w:hAnsi="Arial" w:cs="Arial"/>
                <w:color w:val="000000" w:themeColor="text1"/>
                <w:sz w:val="18"/>
                <w:szCs w:val="18"/>
              </w:rPr>
            </w:pPr>
          </w:p>
        </w:tc>
      </w:tr>
      <w:tr w:rsidR="003C3063" w:rsidRPr="003D1614" w14:paraId="1B589F9E" w14:textId="77777777" w:rsidTr="00061A35">
        <w:trPr>
          <w:cantSplit/>
          <w:trHeight w:val="250"/>
          <w:tblHeader/>
        </w:trPr>
        <w:tc>
          <w:tcPr>
            <w:tcW w:w="2501" w:type="pct"/>
            <w:vAlign w:val="bottom"/>
          </w:tcPr>
          <w:p w14:paraId="59EBE2C3" w14:textId="77777777" w:rsidR="003C3063" w:rsidRPr="003D1614" w:rsidRDefault="003C3063" w:rsidP="00061A35">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41" w:name="_Toc67329462"/>
            <w:r w:rsidRPr="003D1614">
              <w:rPr>
                <w:rFonts w:ascii="Arial" w:eastAsia="Times New Roman" w:hAnsi="Arial" w:cs="Arial"/>
                <w:color w:val="000000" w:themeColor="text1"/>
                <w:sz w:val="18"/>
                <w:szCs w:val="18"/>
              </w:rPr>
              <w:t>Novčana sredstva i računi kod banaka</w:t>
            </w:r>
            <w:bookmarkEnd w:id="641"/>
          </w:p>
        </w:tc>
        <w:tc>
          <w:tcPr>
            <w:tcW w:w="625" w:type="pct"/>
            <w:tcBorders>
              <w:top w:val="nil"/>
              <w:left w:val="nil"/>
              <w:bottom w:val="nil"/>
              <w:right w:val="nil"/>
            </w:tcBorders>
            <w:shd w:val="clear" w:color="auto" w:fill="auto"/>
            <w:vAlign w:val="bottom"/>
          </w:tcPr>
          <w:p w14:paraId="49674A80" w14:textId="77777777" w:rsidR="003C3063" w:rsidRPr="003D1614" w:rsidRDefault="003C3063" w:rsidP="00061A3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33.859</w:t>
            </w:r>
          </w:p>
        </w:tc>
        <w:tc>
          <w:tcPr>
            <w:tcW w:w="625" w:type="pct"/>
            <w:tcBorders>
              <w:top w:val="nil"/>
              <w:left w:val="nil"/>
              <w:bottom w:val="nil"/>
              <w:right w:val="nil"/>
            </w:tcBorders>
            <w:shd w:val="clear" w:color="auto" w:fill="auto"/>
            <w:vAlign w:val="bottom"/>
          </w:tcPr>
          <w:p w14:paraId="1AA1ED6A" w14:textId="77777777" w:rsidR="003C3063" w:rsidRPr="003D1614" w:rsidRDefault="003C3063" w:rsidP="00061A3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142</w:t>
            </w:r>
          </w:p>
        </w:tc>
        <w:tc>
          <w:tcPr>
            <w:tcW w:w="625" w:type="pct"/>
            <w:tcBorders>
              <w:top w:val="nil"/>
              <w:left w:val="nil"/>
              <w:bottom w:val="nil"/>
              <w:right w:val="nil"/>
            </w:tcBorders>
            <w:shd w:val="clear" w:color="auto" w:fill="auto"/>
            <w:vAlign w:val="bottom"/>
          </w:tcPr>
          <w:p w14:paraId="511DB7F9" w14:textId="77777777" w:rsidR="003C3063" w:rsidRPr="003D1614" w:rsidRDefault="003C3063" w:rsidP="00061A3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86</w:t>
            </w:r>
          </w:p>
        </w:tc>
        <w:tc>
          <w:tcPr>
            <w:tcW w:w="624" w:type="pct"/>
            <w:tcBorders>
              <w:top w:val="nil"/>
              <w:left w:val="nil"/>
              <w:bottom w:val="nil"/>
              <w:right w:val="nil"/>
            </w:tcBorders>
            <w:shd w:val="clear" w:color="auto" w:fill="auto"/>
            <w:vAlign w:val="bottom"/>
          </w:tcPr>
          <w:p w14:paraId="7C27BBB2" w14:textId="77777777" w:rsidR="003C3063" w:rsidRPr="003D1614" w:rsidRDefault="003C3063" w:rsidP="00061A3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34.087</w:t>
            </w:r>
          </w:p>
        </w:tc>
      </w:tr>
      <w:tr w:rsidR="003C3063" w:rsidRPr="003D1614" w14:paraId="0AE86B8F" w14:textId="77777777" w:rsidTr="00061A35">
        <w:trPr>
          <w:cantSplit/>
          <w:trHeight w:val="250"/>
          <w:tblHeader/>
        </w:trPr>
        <w:tc>
          <w:tcPr>
            <w:tcW w:w="2501" w:type="pct"/>
            <w:vAlign w:val="bottom"/>
          </w:tcPr>
          <w:p w14:paraId="31F01EEE" w14:textId="77777777" w:rsidR="003C3063" w:rsidRPr="003D1614" w:rsidRDefault="003C3063" w:rsidP="00061A35">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42" w:name="_Toc67329467"/>
            <w:r w:rsidRPr="003D1614">
              <w:rPr>
                <w:rFonts w:ascii="Arial" w:eastAsia="Times New Roman" w:hAnsi="Arial" w:cs="Arial"/>
                <w:color w:val="000000" w:themeColor="text1"/>
                <w:sz w:val="18"/>
                <w:szCs w:val="18"/>
              </w:rPr>
              <w:t>Depoziti kod drugih banaka</w:t>
            </w:r>
            <w:bookmarkEnd w:id="642"/>
          </w:p>
        </w:tc>
        <w:tc>
          <w:tcPr>
            <w:tcW w:w="625" w:type="pct"/>
            <w:tcBorders>
              <w:top w:val="nil"/>
              <w:left w:val="nil"/>
              <w:bottom w:val="nil"/>
              <w:right w:val="nil"/>
            </w:tcBorders>
            <w:shd w:val="clear" w:color="auto" w:fill="auto"/>
            <w:vAlign w:val="bottom"/>
          </w:tcPr>
          <w:p w14:paraId="63DF6295" w14:textId="77777777" w:rsidR="003C3063" w:rsidRPr="003D1614" w:rsidRDefault="003C3063" w:rsidP="00061A3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53.746</w:t>
            </w:r>
          </w:p>
        </w:tc>
        <w:tc>
          <w:tcPr>
            <w:tcW w:w="625" w:type="pct"/>
            <w:tcBorders>
              <w:top w:val="nil"/>
              <w:left w:val="nil"/>
              <w:bottom w:val="nil"/>
              <w:right w:val="nil"/>
            </w:tcBorders>
            <w:shd w:val="clear" w:color="auto" w:fill="auto"/>
            <w:vAlign w:val="bottom"/>
          </w:tcPr>
          <w:p w14:paraId="0BD5CAF8" w14:textId="77777777" w:rsidR="003C3063" w:rsidRPr="003D1614" w:rsidRDefault="003C3063" w:rsidP="00061A3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66.864</w:t>
            </w:r>
          </w:p>
        </w:tc>
        <w:tc>
          <w:tcPr>
            <w:tcW w:w="625" w:type="pct"/>
            <w:tcBorders>
              <w:top w:val="nil"/>
              <w:left w:val="nil"/>
              <w:bottom w:val="nil"/>
              <w:right w:val="nil"/>
            </w:tcBorders>
            <w:shd w:val="clear" w:color="auto" w:fill="auto"/>
            <w:vAlign w:val="bottom"/>
          </w:tcPr>
          <w:p w14:paraId="23D84198" w14:textId="77777777" w:rsidR="003C3063" w:rsidRPr="003D1614" w:rsidRDefault="003C3063" w:rsidP="00061A3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624" w:type="pct"/>
            <w:tcBorders>
              <w:top w:val="nil"/>
              <w:left w:val="nil"/>
              <w:bottom w:val="nil"/>
              <w:right w:val="nil"/>
            </w:tcBorders>
            <w:shd w:val="clear" w:color="auto" w:fill="auto"/>
            <w:vAlign w:val="bottom"/>
          </w:tcPr>
          <w:p w14:paraId="3A593238" w14:textId="77777777" w:rsidR="003C3063" w:rsidRPr="003D1614" w:rsidRDefault="003C3063" w:rsidP="00061A3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120.610</w:t>
            </w:r>
          </w:p>
        </w:tc>
      </w:tr>
      <w:tr w:rsidR="003C3063" w:rsidRPr="003D1614" w14:paraId="483C2BC9" w14:textId="77777777" w:rsidTr="00061A35">
        <w:trPr>
          <w:cantSplit/>
          <w:trHeight w:val="250"/>
          <w:tblHeader/>
        </w:trPr>
        <w:tc>
          <w:tcPr>
            <w:tcW w:w="2501" w:type="pct"/>
            <w:vAlign w:val="bottom"/>
          </w:tcPr>
          <w:p w14:paraId="1172FEEE" w14:textId="77777777" w:rsidR="003C3063" w:rsidRPr="003D1614" w:rsidRDefault="003C3063" w:rsidP="00061A35">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43" w:name="_Toc67329472"/>
            <w:r w:rsidRPr="003D1614">
              <w:rPr>
                <w:rFonts w:ascii="Arial" w:eastAsia="Times New Roman" w:hAnsi="Arial" w:cs="Arial"/>
                <w:color w:val="000000" w:themeColor="text1"/>
                <w:sz w:val="18"/>
                <w:szCs w:val="18"/>
              </w:rPr>
              <w:t>Krediti financijskim institucijama</w:t>
            </w:r>
            <w:bookmarkEnd w:id="643"/>
          </w:p>
        </w:tc>
        <w:tc>
          <w:tcPr>
            <w:tcW w:w="625" w:type="pct"/>
            <w:tcBorders>
              <w:top w:val="nil"/>
              <w:left w:val="nil"/>
              <w:bottom w:val="nil"/>
              <w:right w:val="nil"/>
            </w:tcBorders>
            <w:shd w:val="clear" w:color="auto" w:fill="auto"/>
            <w:vAlign w:val="bottom"/>
          </w:tcPr>
          <w:p w14:paraId="03AAA9DC" w14:textId="77777777" w:rsidR="003C3063" w:rsidRPr="003D1614" w:rsidRDefault="003C3063" w:rsidP="00061A3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1.167.204</w:t>
            </w:r>
          </w:p>
        </w:tc>
        <w:tc>
          <w:tcPr>
            <w:tcW w:w="625" w:type="pct"/>
            <w:tcBorders>
              <w:top w:val="nil"/>
              <w:left w:val="nil"/>
              <w:bottom w:val="nil"/>
              <w:right w:val="nil"/>
            </w:tcBorders>
            <w:shd w:val="clear" w:color="auto" w:fill="auto"/>
            <w:vAlign w:val="bottom"/>
          </w:tcPr>
          <w:p w14:paraId="454315A5" w14:textId="77777777" w:rsidR="003C3063" w:rsidRPr="003D1614" w:rsidRDefault="003C3063" w:rsidP="00061A3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625" w:type="pct"/>
            <w:tcBorders>
              <w:top w:val="nil"/>
              <w:left w:val="nil"/>
              <w:bottom w:val="nil"/>
              <w:right w:val="nil"/>
            </w:tcBorders>
            <w:shd w:val="clear" w:color="auto" w:fill="auto"/>
            <w:vAlign w:val="bottom"/>
          </w:tcPr>
          <w:p w14:paraId="39A221AD" w14:textId="77777777" w:rsidR="003C3063" w:rsidRPr="003D1614" w:rsidRDefault="003C3063" w:rsidP="00061A3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624" w:type="pct"/>
            <w:tcBorders>
              <w:top w:val="nil"/>
              <w:left w:val="nil"/>
              <w:bottom w:val="nil"/>
              <w:right w:val="nil"/>
            </w:tcBorders>
            <w:shd w:val="clear" w:color="auto" w:fill="auto"/>
            <w:vAlign w:val="bottom"/>
          </w:tcPr>
          <w:p w14:paraId="1BF2AF4F" w14:textId="77777777" w:rsidR="003C3063" w:rsidRPr="003D1614" w:rsidRDefault="003C3063" w:rsidP="00061A3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1.167.204</w:t>
            </w:r>
          </w:p>
        </w:tc>
      </w:tr>
      <w:tr w:rsidR="003C3063" w:rsidRPr="003D1614" w14:paraId="5695CFC2" w14:textId="77777777" w:rsidTr="00061A35">
        <w:trPr>
          <w:cantSplit/>
          <w:trHeight w:val="250"/>
          <w:tblHeader/>
        </w:trPr>
        <w:tc>
          <w:tcPr>
            <w:tcW w:w="2501" w:type="pct"/>
            <w:vAlign w:val="bottom"/>
          </w:tcPr>
          <w:p w14:paraId="47689FCD" w14:textId="77777777" w:rsidR="003C3063" w:rsidRPr="003D1614" w:rsidRDefault="003C3063" w:rsidP="00061A35">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44" w:name="_Toc67329477"/>
            <w:r w:rsidRPr="003D1614">
              <w:rPr>
                <w:rFonts w:ascii="Arial" w:eastAsia="Times New Roman" w:hAnsi="Arial" w:cs="Arial"/>
                <w:color w:val="000000" w:themeColor="text1"/>
                <w:sz w:val="18"/>
                <w:szCs w:val="18"/>
              </w:rPr>
              <w:t>Krediti ostalim korisnicima</w:t>
            </w:r>
            <w:bookmarkEnd w:id="644"/>
          </w:p>
        </w:tc>
        <w:tc>
          <w:tcPr>
            <w:tcW w:w="625" w:type="pct"/>
            <w:tcBorders>
              <w:top w:val="nil"/>
              <w:left w:val="nil"/>
              <w:bottom w:val="nil"/>
              <w:right w:val="nil"/>
            </w:tcBorders>
            <w:shd w:val="clear" w:color="auto" w:fill="auto"/>
            <w:vAlign w:val="bottom"/>
          </w:tcPr>
          <w:p w14:paraId="13C756E3" w14:textId="77777777" w:rsidR="003C3063" w:rsidRPr="003D1614" w:rsidRDefault="003C3063" w:rsidP="00061A3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2.354.857</w:t>
            </w:r>
          </w:p>
        </w:tc>
        <w:tc>
          <w:tcPr>
            <w:tcW w:w="625" w:type="pct"/>
            <w:tcBorders>
              <w:top w:val="nil"/>
              <w:left w:val="nil"/>
              <w:bottom w:val="nil"/>
              <w:right w:val="nil"/>
            </w:tcBorders>
            <w:shd w:val="clear" w:color="auto" w:fill="auto"/>
            <w:vAlign w:val="bottom"/>
          </w:tcPr>
          <w:p w14:paraId="615D0D04" w14:textId="77777777" w:rsidR="003C3063" w:rsidRPr="003D1614" w:rsidRDefault="003C3063" w:rsidP="00061A3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135</w:t>
            </w:r>
          </w:p>
        </w:tc>
        <w:tc>
          <w:tcPr>
            <w:tcW w:w="625" w:type="pct"/>
            <w:tcBorders>
              <w:top w:val="nil"/>
              <w:left w:val="nil"/>
              <w:bottom w:val="nil"/>
              <w:right w:val="nil"/>
            </w:tcBorders>
            <w:shd w:val="clear" w:color="auto" w:fill="auto"/>
            <w:vAlign w:val="bottom"/>
          </w:tcPr>
          <w:p w14:paraId="49C94864" w14:textId="77777777" w:rsidR="003C3063" w:rsidRPr="003D1614" w:rsidRDefault="003C3063" w:rsidP="00061A3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6.485</w:t>
            </w:r>
          </w:p>
        </w:tc>
        <w:tc>
          <w:tcPr>
            <w:tcW w:w="624" w:type="pct"/>
            <w:tcBorders>
              <w:top w:val="nil"/>
              <w:left w:val="nil"/>
              <w:bottom w:val="nil"/>
              <w:right w:val="nil"/>
            </w:tcBorders>
            <w:shd w:val="clear" w:color="auto" w:fill="auto"/>
            <w:vAlign w:val="bottom"/>
          </w:tcPr>
          <w:p w14:paraId="49EAFA6C" w14:textId="77777777" w:rsidR="003C3063" w:rsidRPr="003D1614" w:rsidRDefault="003C3063" w:rsidP="00061A3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2.361.477</w:t>
            </w:r>
          </w:p>
        </w:tc>
      </w:tr>
      <w:tr w:rsidR="003C3063" w:rsidRPr="003D1614" w14:paraId="3E1685C7" w14:textId="77777777" w:rsidTr="00061A35">
        <w:trPr>
          <w:cantSplit/>
          <w:trHeight w:val="250"/>
          <w:tblHeader/>
        </w:trPr>
        <w:tc>
          <w:tcPr>
            <w:tcW w:w="2501" w:type="pct"/>
            <w:vAlign w:val="bottom"/>
          </w:tcPr>
          <w:p w14:paraId="4C502D1A" w14:textId="77777777" w:rsidR="003C3063" w:rsidRPr="003D1614" w:rsidRDefault="003C3063" w:rsidP="00061A35">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45" w:name="_Toc67329482"/>
            <w:r w:rsidRPr="003D1614">
              <w:rPr>
                <w:rFonts w:ascii="Arial" w:eastAsia="Times New Roman" w:hAnsi="Arial" w:cs="Arial"/>
                <w:color w:val="000000" w:themeColor="text1"/>
                <w:sz w:val="18"/>
                <w:szCs w:val="18"/>
              </w:rPr>
              <w:t>Financijska imovina po fer vrijednosti kroz dobit ili gubitak</w:t>
            </w:r>
            <w:bookmarkEnd w:id="645"/>
          </w:p>
        </w:tc>
        <w:tc>
          <w:tcPr>
            <w:tcW w:w="625" w:type="pct"/>
            <w:tcBorders>
              <w:top w:val="nil"/>
              <w:left w:val="nil"/>
              <w:bottom w:val="nil"/>
              <w:right w:val="nil"/>
            </w:tcBorders>
            <w:shd w:val="clear" w:color="auto" w:fill="auto"/>
            <w:vAlign w:val="bottom"/>
          </w:tcPr>
          <w:p w14:paraId="3ADF204D" w14:textId="77777777" w:rsidR="003C3063" w:rsidRPr="003D1614" w:rsidRDefault="003C3063" w:rsidP="00061A3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32.946</w:t>
            </w:r>
          </w:p>
        </w:tc>
        <w:tc>
          <w:tcPr>
            <w:tcW w:w="625" w:type="pct"/>
            <w:tcBorders>
              <w:top w:val="nil"/>
              <w:left w:val="nil"/>
              <w:bottom w:val="nil"/>
              <w:right w:val="nil"/>
            </w:tcBorders>
            <w:shd w:val="clear" w:color="auto" w:fill="auto"/>
            <w:vAlign w:val="bottom"/>
          </w:tcPr>
          <w:p w14:paraId="1CE70C5B" w14:textId="77777777" w:rsidR="003C3063" w:rsidRPr="003D1614" w:rsidRDefault="003C3063" w:rsidP="00061A3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625" w:type="pct"/>
            <w:tcBorders>
              <w:top w:val="nil"/>
              <w:left w:val="nil"/>
              <w:bottom w:val="nil"/>
              <w:right w:val="nil"/>
            </w:tcBorders>
            <w:shd w:val="clear" w:color="auto" w:fill="auto"/>
            <w:vAlign w:val="bottom"/>
          </w:tcPr>
          <w:p w14:paraId="66D1C57D" w14:textId="77777777" w:rsidR="003C3063" w:rsidRPr="003D1614" w:rsidRDefault="003C3063" w:rsidP="00061A3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624" w:type="pct"/>
            <w:tcBorders>
              <w:top w:val="nil"/>
              <w:left w:val="nil"/>
              <w:bottom w:val="nil"/>
              <w:right w:val="nil"/>
            </w:tcBorders>
            <w:shd w:val="clear" w:color="auto" w:fill="auto"/>
            <w:vAlign w:val="bottom"/>
          </w:tcPr>
          <w:p w14:paraId="189242BA" w14:textId="77777777" w:rsidR="003C3063" w:rsidRPr="003D1614" w:rsidRDefault="003C3063" w:rsidP="00061A3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32.946</w:t>
            </w:r>
          </w:p>
        </w:tc>
      </w:tr>
      <w:tr w:rsidR="003C3063" w:rsidRPr="003D1614" w14:paraId="07A1DC7E" w14:textId="77777777" w:rsidTr="00061A35">
        <w:trPr>
          <w:cantSplit/>
          <w:trHeight w:val="250"/>
          <w:tblHeader/>
        </w:trPr>
        <w:tc>
          <w:tcPr>
            <w:tcW w:w="2501" w:type="pct"/>
            <w:vAlign w:val="bottom"/>
          </w:tcPr>
          <w:p w14:paraId="01170394" w14:textId="77777777" w:rsidR="003C3063" w:rsidRPr="003D1614" w:rsidRDefault="003C3063" w:rsidP="00061A35">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46" w:name="_Toc67329487"/>
            <w:r w:rsidRPr="003D1614">
              <w:rPr>
                <w:rFonts w:ascii="Arial" w:eastAsia="Times New Roman" w:hAnsi="Arial" w:cs="Arial"/>
                <w:color w:val="000000" w:themeColor="text1"/>
                <w:sz w:val="18"/>
                <w:szCs w:val="18"/>
              </w:rPr>
              <w:t>Financijska imovina po fer vrijednosti kroz ostalu sveobuhvatnu dobit</w:t>
            </w:r>
            <w:bookmarkEnd w:id="646"/>
            <w:r w:rsidRPr="003D1614">
              <w:rPr>
                <w:rFonts w:ascii="Arial" w:eastAsia="Times New Roman" w:hAnsi="Arial" w:cs="Arial"/>
                <w:color w:val="000000" w:themeColor="text1"/>
                <w:sz w:val="18"/>
                <w:szCs w:val="18"/>
              </w:rPr>
              <w:t xml:space="preserve">        </w:t>
            </w:r>
          </w:p>
        </w:tc>
        <w:tc>
          <w:tcPr>
            <w:tcW w:w="625" w:type="pct"/>
            <w:tcBorders>
              <w:top w:val="nil"/>
              <w:left w:val="nil"/>
              <w:bottom w:val="nil"/>
              <w:right w:val="nil"/>
            </w:tcBorders>
            <w:shd w:val="clear" w:color="auto" w:fill="auto"/>
            <w:vAlign w:val="bottom"/>
          </w:tcPr>
          <w:p w14:paraId="6AF107E6" w14:textId="77777777" w:rsidR="003C3063" w:rsidRPr="003D1614" w:rsidRDefault="003C3063" w:rsidP="00061A3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238.564</w:t>
            </w:r>
          </w:p>
        </w:tc>
        <w:tc>
          <w:tcPr>
            <w:tcW w:w="625" w:type="pct"/>
            <w:tcBorders>
              <w:top w:val="nil"/>
              <w:left w:val="nil"/>
              <w:bottom w:val="nil"/>
              <w:right w:val="nil"/>
            </w:tcBorders>
            <w:shd w:val="clear" w:color="auto" w:fill="auto"/>
            <w:vAlign w:val="bottom"/>
          </w:tcPr>
          <w:p w14:paraId="3BC8F92B" w14:textId="77777777" w:rsidR="003C3063" w:rsidRPr="003D1614" w:rsidRDefault="003C3063" w:rsidP="00061A3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137</w:t>
            </w:r>
          </w:p>
        </w:tc>
        <w:tc>
          <w:tcPr>
            <w:tcW w:w="625" w:type="pct"/>
            <w:tcBorders>
              <w:top w:val="nil"/>
              <w:left w:val="nil"/>
              <w:bottom w:val="nil"/>
              <w:right w:val="nil"/>
            </w:tcBorders>
            <w:shd w:val="clear" w:color="auto" w:fill="auto"/>
            <w:vAlign w:val="bottom"/>
          </w:tcPr>
          <w:p w14:paraId="280BBA51" w14:textId="77777777" w:rsidR="003C3063" w:rsidRPr="003D1614" w:rsidRDefault="003C3063" w:rsidP="00061A3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624" w:type="pct"/>
            <w:tcBorders>
              <w:top w:val="nil"/>
              <w:left w:val="nil"/>
              <w:bottom w:val="nil"/>
              <w:right w:val="nil"/>
            </w:tcBorders>
            <w:shd w:val="clear" w:color="auto" w:fill="auto"/>
            <w:vAlign w:val="bottom"/>
          </w:tcPr>
          <w:p w14:paraId="64F78B24" w14:textId="77777777" w:rsidR="003C3063" w:rsidRPr="003D1614" w:rsidRDefault="003C3063" w:rsidP="00061A3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238.701</w:t>
            </w:r>
          </w:p>
        </w:tc>
      </w:tr>
      <w:tr w:rsidR="003C3063" w:rsidRPr="003D1614" w14:paraId="6D16C336" w14:textId="77777777" w:rsidTr="00061A35">
        <w:trPr>
          <w:cantSplit/>
          <w:trHeight w:val="250"/>
          <w:tblHeader/>
        </w:trPr>
        <w:tc>
          <w:tcPr>
            <w:tcW w:w="2501" w:type="pct"/>
            <w:vAlign w:val="bottom"/>
          </w:tcPr>
          <w:p w14:paraId="67947D47" w14:textId="77777777" w:rsidR="003C3063" w:rsidRPr="003D1614" w:rsidRDefault="003C3063" w:rsidP="00061A35">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47" w:name="_Toc67329492"/>
            <w:r w:rsidRPr="003D1614">
              <w:rPr>
                <w:rFonts w:ascii="Arial" w:eastAsia="Times New Roman" w:hAnsi="Arial" w:cs="Arial"/>
                <w:color w:val="000000" w:themeColor="text1"/>
                <w:sz w:val="18"/>
                <w:szCs w:val="18"/>
              </w:rPr>
              <w:t>Ostala imovina</w:t>
            </w:r>
            <w:bookmarkEnd w:id="647"/>
          </w:p>
        </w:tc>
        <w:tc>
          <w:tcPr>
            <w:tcW w:w="625" w:type="pct"/>
            <w:tcBorders>
              <w:top w:val="nil"/>
              <w:left w:val="nil"/>
              <w:bottom w:val="nil"/>
              <w:right w:val="nil"/>
            </w:tcBorders>
            <w:shd w:val="clear" w:color="auto" w:fill="auto"/>
            <w:vAlign w:val="bottom"/>
          </w:tcPr>
          <w:p w14:paraId="4696ECC7" w14:textId="77777777" w:rsidR="003C3063" w:rsidRPr="003D1614" w:rsidRDefault="003C3063" w:rsidP="00061A3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414</w:t>
            </w:r>
          </w:p>
        </w:tc>
        <w:tc>
          <w:tcPr>
            <w:tcW w:w="625" w:type="pct"/>
            <w:tcBorders>
              <w:top w:val="nil"/>
              <w:left w:val="nil"/>
              <w:bottom w:val="nil"/>
              <w:right w:val="nil"/>
            </w:tcBorders>
            <w:shd w:val="clear" w:color="auto" w:fill="auto"/>
            <w:vAlign w:val="bottom"/>
          </w:tcPr>
          <w:p w14:paraId="27065BEC" w14:textId="77777777" w:rsidR="003C3063" w:rsidRPr="003D1614" w:rsidRDefault="003C3063" w:rsidP="00061A3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1.033</w:t>
            </w:r>
          </w:p>
        </w:tc>
        <w:tc>
          <w:tcPr>
            <w:tcW w:w="625" w:type="pct"/>
            <w:tcBorders>
              <w:top w:val="nil"/>
              <w:left w:val="nil"/>
              <w:bottom w:val="nil"/>
              <w:right w:val="nil"/>
            </w:tcBorders>
            <w:shd w:val="clear" w:color="auto" w:fill="auto"/>
            <w:vAlign w:val="bottom"/>
          </w:tcPr>
          <w:p w14:paraId="3A01271B" w14:textId="77777777" w:rsidR="003C3063" w:rsidRPr="003D1614" w:rsidRDefault="003C3063" w:rsidP="00061A3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624" w:type="pct"/>
            <w:tcBorders>
              <w:top w:val="nil"/>
              <w:left w:val="nil"/>
              <w:bottom w:val="nil"/>
              <w:right w:val="nil"/>
            </w:tcBorders>
            <w:shd w:val="clear" w:color="auto" w:fill="auto"/>
            <w:vAlign w:val="bottom"/>
          </w:tcPr>
          <w:p w14:paraId="5945FD64" w14:textId="77777777" w:rsidR="003C3063" w:rsidRPr="003D1614" w:rsidRDefault="003C3063" w:rsidP="00061A3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1.447</w:t>
            </w:r>
          </w:p>
        </w:tc>
      </w:tr>
      <w:tr w:rsidR="003C3063" w:rsidRPr="003D1614" w14:paraId="5D884812" w14:textId="77777777" w:rsidTr="00061A35">
        <w:trPr>
          <w:cantSplit/>
          <w:trHeight w:hRule="exact" w:val="391"/>
          <w:tblHeader/>
        </w:trPr>
        <w:tc>
          <w:tcPr>
            <w:tcW w:w="2501" w:type="pct"/>
            <w:vAlign w:val="bottom"/>
          </w:tcPr>
          <w:p w14:paraId="1D4BDF50" w14:textId="77777777" w:rsidR="003C3063" w:rsidRPr="003D1614" w:rsidRDefault="003C3063" w:rsidP="00061A35">
            <w:pPr>
              <w:tabs>
                <w:tab w:val="right" w:pos="1202"/>
              </w:tabs>
              <w:suppressAutoHyphens/>
              <w:autoSpaceDN w:val="0"/>
              <w:spacing w:line="301" w:lineRule="exact"/>
              <w:outlineLvl w:val="0"/>
              <w:rPr>
                <w:rFonts w:ascii="Arial" w:eastAsia="Times New Roman" w:hAnsi="Arial" w:cs="Arial"/>
                <w:b/>
                <w:bCs/>
                <w:color w:val="000000" w:themeColor="text1"/>
                <w:sz w:val="18"/>
                <w:szCs w:val="18"/>
              </w:rPr>
            </w:pPr>
            <w:bookmarkStart w:id="648" w:name="_Toc67329497"/>
            <w:r w:rsidRPr="003D1614">
              <w:rPr>
                <w:rFonts w:ascii="Arial" w:eastAsia="Times New Roman" w:hAnsi="Arial" w:cs="Arial"/>
                <w:b/>
                <w:bCs/>
                <w:color w:val="000000" w:themeColor="text1"/>
                <w:sz w:val="18"/>
                <w:szCs w:val="18"/>
              </w:rPr>
              <w:t>Ukupno</w:t>
            </w:r>
            <w:bookmarkEnd w:id="648"/>
            <w:r w:rsidRPr="003D1614">
              <w:rPr>
                <w:rFonts w:ascii="Arial" w:eastAsia="Times New Roman" w:hAnsi="Arial" w:cs="Arial"/>
                <w:b/>
                <w:bCs/>
                <w:color w:val="000000" w:themeColor="text1"/>
                <w:sz w:val="18"/>
                <w:szCs w:val="18"/>
              </w:rPr>
              <w:t xml:space="preserve"> </w:t>
            </w:r>
          </w:p>
        </w:tc>
        <w:tc>
          <w:tcPr>
            <w:tcW w:w="625" w:type="pct"/>
            <w:tcBorders>
              <w:top w:val="single" w:sz="8" w:space="0" w:color="auto"/>
              <w:left w:val="nil"/>
              <w:bottom w:val="single" w:sz="8" w:space="0" w:color="auto"/>
              <w:right w:val="nil"/>
            </w:tcBorders>
            <w:shd w:val="clear" w:color="auto" w:fill="auto"/>
            <w:vAlign w:val="bottom"/>
          </w:tcPr>
          <w:p w14:paraId="02C2BABC" w14:textId="77777777" w:rsidR="003C3063" w:rsidRPr="003D1614" w:rsidRDefault="003C3063" w:rsidP="00061A35">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3.881.590</w:t>
            </w:r>
          </w:p>
        </w:tc>
        <w:tc>
          <w:tcPr>
            <w:tcW w:w="625" w:type="pct"/>
            <w:tcBorders>
              <w:top w:val="single" w:sz="8" w:space="0" w:color="auto"/>
              <w:left w:val="nil"/>
              <w:bottom w:val="single" w:sz="8" w:space="0" w:color="auto"/>
              <w:right w:val="nil"/>
            </w:tcBorders>
            <w:shd w:val="clear" w:color="auto" w:fill="auto"/>
            <w:vAlign w:val="bottom"/>
          </w:tcPr>
          <w:p w14:paraId="03827A65" w14:textId="77777777" w:rsidR="003C3063" w:rsidRPr="003D1614" w:rsidRDefault="003C3063" w:rsidP="00061A35">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68.311</w:t>
            </w:r>
          </w:p>
        </w:tc>
        <w:tc>
          <w:tcPr>
            <w:tcW w:w="625" w:type="pct"/>
            <w:tcBorders>
              <w:top w:val="single" w:sz="8" w:space="0" w:color="auto"/>
              <w:left w:val="nil"/>
              <w:bottom w:val="single" w:sz="8" w:space="0" w:color="auto"/>
              <w:right w:val="nil"/>
            </w:tcBorders>
            <w:shd w:val="clear" w:color="auto" w:fill="auto"/>
            <w:vAlign w:val="bottom"/>
          </w:tcPr>
          <w:p w14:paraId="3F9E1BBB" w14:textId="77777777" w:rsidR="003C3063" w:rsidRPr="003D1614" w:rsidRDefault="003C3063" w:rsidP="00061A35">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6.571</w:t>
            </w:r>
          </w:p>
        </w:tc>
        <w:tc>
          <w:tcPr>
            <w:tcW w:w="624" w:type="pct"/>
            <w:tcBorders>
              <w:top w:val="single" w:sz="8" w:space="0" w:color="auto"/>
              <w:left w:val="nil"/>
              <w:bottom w:val="single" w:sz="8" w:space="0" w:color="auto"/>
              <w:right w:val="nil"/>
            </w:tcBorders>
            <w:shd w:val="clear" w:color="auto" w:fill="auto"/>
            <w:vAlign w:val="bottom"/>
          </w:tcPr>
          <w:p w14:paraId="2F9AB7C2" w14:textId="77777777" w:rsidR="003C3063" w:rsidRPr="003D1614" w:rsidRDefault="003C3063" w:rsidP="00061A35">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3.956.472</w:t>
            </w:r>
          </w:p>
        </w:tc>
      </w:tr>
      <w:tr w:rsidR="003C3063" w:rsidRPr="003D1614" w14:paraId="5E5EEEBF" w14:textId="77777777" w:rsidTr="00061A35">
        <w:tblPrEx>
          <w:tblCellMar>
            <w:left w:w="31" w:type="dxa"/>
            <w:right w:w="31" w:type="dxa"/>
          </w:tblCellMar>
        </w:tblPrEx>
        <w:trPr>
          <w:cantSplit/>
          <w:trHeight w:val="250"/>
          <w:tblHeader/>
        </w:trPr>
        <w:tc>
          <w:tcPr>
            <w:tcW w:w="2501" w:type="pct"/>
            <w:vAlign w:val="bottom"/>
          </w:tcPr>
          <w:p w14:paraId="5041B607" w14:textId="77777777" w:rsidR="003C3063" w:rsidRPr="003D1614" w:rsidRDefault="003C3063" w:rsidP="00061A35">
            <w:pPr>
              <w:tabs>
                <w:tab w:val="right" w:pos="1202"/>
              </w:tabs>
              <w:suppressAutoHyphens/>
              <w:autoSpaceDN w:val="0"/>
              <w:spacing w:line="301" w:lineRule="exact"/>
              <w:outlineLvl w:val="0"/>
              <w:rPr>
                <w:rFonts w:ascii="Arial" w:eastAsia="Times New Roman" w:hAnsi="Arial" w:cs="Arial"/>
                <w:b/>
                <w:bCs/>
                <w:color w:val="000000" w:themeColor="text1"/>
                <w:sz w:val="18"/>
                <w:szCs w:val="18"/>
              </w:rPr>
            </w:pPr>
          </w:p>
        </w:tc>
        <w:tc>
          <w:tcPr>
            <w:tcW w:w="625" w:type="pct"/>
            <w:tcBorders>
              <w:top w:val="single" w:sz="12" w:space="0" w:color="auto"/>
            </w:tcBorders>
            <w:vAlign w:val="bottom"/>
          </w:tcPr>
          <w:p w14:paraId="03F0FC12" w14:textId="77777777" w:rsidR="003C3063" w:rsidRPr="003D1614" w:rsidRDefault="003C3063" w:rsidP="00061A3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c>
          <w:tcPr>
            <w:tcW w:w="625" w:type="pct"/>
            <w:tcBorders>
              <w:top w:val="single" w:sz="12" w:space="0" w:color="auto"/>
            </w:tcBorders>
            <w:vAlign w:val="bottom"/>
          </w:tcPr>
          <w:p w14:paraId="4F02E3A1" w14:textId="77777777" w:rsidR="003C3063" w:rsidRPr="003D1614" w:rsidRDefault="003C3063" w:rsidP="00061A3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c>
          <w:tcPr>
            <w:tcW w:w="625" w:type="pct"/>
            <w:tcBorders>
              <w:top w:val="single" w:sz="12" w:space="0" w:color="auto"/>
            </w:tcBorders>
            <w:vAlign w:val="bottom"/>
          </w:tcPr>
          <w:p w14:paraId="3CE36DF5" w14:textId="77777777" w:rsidR="003C3063" w:rsidRPr="003D1614" w:rsidRDefault="003C3063" w:rsidP="00061A3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c>
          <w:tcPr>
            <w:tcW w:w="624" w:type="pct"/>
            <w:tcBorders>
              <w:top w:val="single" w:sz="12" w:space="0" w:color="auto"/>
            </w:tcBorders>
            <w:vAlign w:val="bottom"/>
          </w:tcPr>
          <w:p w14:paraId="7BFE1B01" w14:textId="77777777" w:rsidR="003C3063" w:rsidRPr="003D1614" w:rsidRDefault="003C3063" w:rsidP="00061A3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r>
      <w:tr w:rsidR="003C3063" w:rsidRPr="003D1614" w14:paraId="712C25C1" w14:textId="77777777" w:rsidTr="00061A35">
        <w:tblPrEx>
          <w:tblCellMar>
            <w:left w:w="31" w:type="dxa"/>
            <w:right w:w="31" w:type="dxa"/>
          </w:tblCellMar>
        </w:tblPrEx>
        <w:trPr>
          <w:cantSplit/>
          <w:trHeight w:val="250"/>
          <w:tblHeader/>
        </w:trPr>
        <w:tc>
          <w:tcPr>
            <w:tcW w:w="2501" w:type="pct"/>
            <w:vAlign w:val="bottom"/>
          </w:tcPr>
          <w:p w14:paraId="7AF9F91D" w14:textId="77777777" w:rsidR="003C3063" w:rsidRPr="003D1614" w:rsidRDefault="003C3063" w:rsidP="00061A35">
            <w:pPr>
              <w:tabs>
                <w:tab w:val="right" w:pos="1202"/>
              </w:tabs>
              <w:suppressAutoHyphens/>
              <w:autoSpaceDN w:val="0"/>
              <w:spacing w:line="301" w:lineRule="exact"/>
              <w:outlineLvl w:val="0"/>
              <w:rPr>
                <w:rFonts w:ascii="Arial" w:eastAsia="Times New Roman" w:hAnsi="Arial" w:cs="Arial"/>
                <w:b/>
                <w:bCs/>
                <w:color w:val="000000" w:themeColor="text1"/>
                <w:sz w:val="18"/>
                <w:szCs w:val="18"/>
              </w:rPr>
            </w:pPr>
            <w:bookmarkStart w:id="649" w:name="_Toc67329502"/>
            <w:r w:rsidRPr="003D1614">
              <w:rPr>
                <w:rFonts w:ascii="Arial" w:eastAsia="Times New Roman" w:hAnsi="Arial" w:cs="Arial"/>
                <w:b/>
                <w:bCs/>
                <w:color w:val="000000" w:themeColor="text1"/>
                <w:sz w:val="18"/>
                <w:szCs w:val="18"/>
              </w:rPr>
              <w:t>Garancije i preuzete obveze</w:t>
            </w:r>
            <w:bookmarkEnd w:id="649"/>
          </w:p>
        </w:tc>
        <w:tc>
          <w:tcPr>
            <w:tcW w:w="625" w:type="pct"/>
            <w:vAlign w:val="bottom"/>
          </w:tcPr>
          <w:p w14:paraId="62D6C4AB" w14:textId="77777777" w:rsidR="003C3063" w:rsidRPr="003D1614" w:rsidRDefault="003C3063" w:rsidP="00061A3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c>
          <w:tcPr>
            <w:tcW w:w="625" w:type="pct"/>
            <w:vAlign w:val="bottom"/>
          </w:tcPr>
          <w:p w14:paraId="6443CD21" w14:textId="77777777" w:rsidR="003C3063" w:rsidRPr="003D1614" w:rsidRDefault="003C3063" w:rsidP="00061A3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c>
          <w:tcPr>
            <w:tcW w:w="625" w:type="pct"/>
            <w:vAlign w:val="bottom"/>
          </w:tcPr>
          <w:p w14:paraId="1821523E" w14:textId="77777777" w:rsidR="003C3063" w:rsidRPr="003D1614" w:rsidRDefault="003C3063" w:rsidP="00061A3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c>
          <w:tcPr>
            <w:tcW w:w="624" w:type="pct"/>
            <w:vAlign w:val="bottom"/>
          </w:tcPr>
          <w:p w14:paraId="515CD38A" w14:textId="77777777" w:rsidR="003C3063" w:rsidRPr="003D1614" w:rsidRDefault="003C3063" w:rsidP="00061A3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r>
      <w:tr w:rsidR="003C3063" w:rsidRPr="003D1614" w14:paraId="565372EF" w14:textId="77777777" w:rsidTr="00061A35">
        <w:tblPrEx>
          <w:tblCellMar>
            <w:left w:w="31" w:type="dxa"/>
            <w:right w:w="31" w:type="dxa"/>
          </w:tblCellMar>
        </w:tblPrEx>
        <w:trPr>
          <w:cantSplit/>
          <w:trHeight w:val="250"/>
          <w:tblHeader/>
        </w:trPr>
        <w:tc>
          <w:tcPr>
            <w:tcW w:w="2501" w:type="pct"/>
            <w:vAlign w:val="bottom"/>
          </w:tcPr>
          <w:p w14:paraId="45B14809" w14:textId="77777777" w:rsidR="003C3063" w:rsidRPr="003D1614" w:rsidRDefault="003C3063" w:rsidP="00061A35">
            <w:pPr>
              <w:tabs>
                <w:tab w:val="right" w:pos="1202"/>
              </w:tabs>
              <w:suppressAutoHyphens/>
              <w:autoSpaceDN w:val="0"/>
              <w:spacing w:line="301" w:lineRule="exact"/>
              <w:outlineLvl w:val="0"/>
              <w:rPr>
                <w:rFonts w:ascii="Arial" w:eastAsia="Times New Roman" w:hAnsi="Arial" w:cs="Arial"/>
                <w:b/>
                <w:bCs/>
                <w:color w:val="000000" w:themeColor="text1"/>
                <w:sz w:val="18"/>
                <w:szCs w:val="18"/>
              </w:rPr>
            </w:pPr>
            <w:bookmarkStart w:id="650" w:name="_Toc67329503"/>
            <w:r w:rsidRPr="003D1614">
              <w:rPr>
                <w:rFonts w:ascii="Arial" w:eastAsia="Times New Roman" w:hAnsi="Arial" w:cs="Arial"/>
                <w:color w:val="000000" w:themeColor="text1"/>
                <w:sz w:val="18"/>
                <w:szCs w:val="18"/>
              </w:rPr>
              <w:t xml:space="preserve">Izdane garancije </w:t>
            </w:r>
            <w:bookmarkEnd w:id="650"/>
          </w:p>
        </w:tc>
        <w:tc>
          <w:tcPr>
            <w:tcW w:w="625" w:type="pct"/>
            <w:tcBorders>
              <w:top w:val="nil"/>
              <w:left w:val="nil"/>
              <w:bottom w:val="nil"/>
              <w:right w:val="nil"/>
            </w:tcBorders>
            <w:shd w:val="clear" w:color="auto" w:fill="auto"/>
            <w:vAlign w:val="bottom"/>
          </w:tcPr>
          <w:p w14:paraId="3D2562E7" w14:textId="77777777" w:rsidR="003C3063" w:rsidRPr="003D1614" w:rsidRDefault="003C3063" w:rsidP="00061A3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43.586</w:t>
            </w:r>
          </w:p>
        </w:tc>
        <w:tc>
          <w:tcPr>
            <w:tcW w:w="625" w:type="pct"/>
            <w:tcBorders>
              <w:top w:val="nil"/>
              <w:left w:val="nil"/>
              <w:bottom w:val="nil"/>
              <w:right w:val="nil"/>
            </w:tcBorders>
            <w:shd w:val="clear" w:color="auto" w:fill="auto"/>
            <w:vAlign w:val="bottom"/>
          </w:tcPr>
          <w:p w14:paraId="5E500564" w14:textId="77777777" w:rsidR="003C3063" w:rsidRPr="003D1614" w:rsidRDefault="003C3063" w:rsidP="00061A3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625" w:type="pct"/>
            <w:tcBorders>
              <w:top w:val="nil"/>
              <w:left w:val="nil"/>
              <w:bottom w:val="nil"/>
              <w:right w:val="nil"/>
            </w:tcBorders>
            <w:shd w:val="clear" w:color="auto" w:fill="auto"/>
            <w:vAlign w:val="bottom"/>
          </w:tcPr>
          <w:p w14:paraId="3EEBC67D" w14:textId="77777777" w:rsidR="003C3063" w:rsidRPr="003D1614" w:rsidRDefault="003C3063" w:rsidP="00061A3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624" w:type="pct"/>
            <w:tcBorders>
              <w:top w:val="nil"/>
              <w:left w:val="nil"/>
              <w:bottom w:val="nil"/>
              <w:right w:val="nil"/>
            </w:tcBorders>
            <w:shd w:val="clear" w:color="auto" w:fill="auto"/>
            <w:vAlign w:val="bottom"/>
          </w:tcPr>
          <w:p w14:paraId="762A783B" w14:textId="77777777" w:rsidR="003C3063" w:rsidRPr="003D1614" w:rsidRDefault="003C3063" w:rsidP="00061A3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43.586</w:t>
            </w:r>
          </w:p>
        </w:tc>
      </w:tr>
      <w:tr w:rsidR="003C3063" w:rsidRPr="003D1614" w14:paraId="3853A8DE" w14:textId="77777777" w:rsidTr="00061A35">
        <w:tblPrEx>
          <w:tblCellMar>
            <w:left w:w="31" w:type="dxa"/>
            <w:right w:w="31" w:type="dxa"/>
          </w:tblCellMar>
        </w:tblPrEx>
        <w:trPr>
          <w:cantSplit/>
          <w:trHeight w:val="250"/>
          <w:tblHeader/>
        </w:trPr>
        <w:tc>
          <w:tcPr>
            <w:tcW w:w="2501" w:type="pct"/>
            <w:vAlign w:val="bottom"/>
          </w:tcPr>
          <w:p w14:paraId="5A6D0C45" w14:textId="77777777" w:rsidR="003C3063" w:rsidRPr="003D1614" w:rsidRDefault="003C3063" w:rsidP="00061A35">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51" w:name="_Toc67329508"/>
            <w:r w:rsidRPr="003D1614">
              <w:rPr>
                <w:rFonts w:ascii="Arial" w:eastAsia="Times New Roman" w:hAnsi="Arial" w:cs="Arial"/>
                <w:color w:val="000000" w:themeColor="text1"/>
                <w:sz w:val="18"/>
                <w:szCs w:val="18"/>
              </w:rPr>
              <w:t>Izdane garancije u devizama</w:t>
            </w:r>
            <w:bookmarkEnd w:id="651"/>
          </w:p>
        </w:tc>
        <w:tc>
          <w:tcPr>
            <w:tcW w:w="625" w:type="pct"/>
            <w:tcBorders>
              <w:top w:val="nil"/>
              <w:left w:val="nil"/>
              <w:bottom w:val="nil"/>
              <w:right w:val="nil"/>
            </w:tcBorders>
            <w:shd w:val="clear" w:color="auto" w:fill="auto"/>
            <w:vAlign w:val="bottom"/>
          </w:tcPr>
          <w:p w14:paraId="247C9DEB" w14:textId="77777777" w:rsidR="003C3063" w:rsidRPr="003D1614" w:rsidRDefault="003C3063" w:rsidP="00061A3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3.437</w:t>
            </w:r>
          </w:p>
        </w:tc>
        <w:tc>
          <w:tcPr>
            <w:tcW w:w="625" w:type="pct"/>
            <w:tcBorders>
              <w:top w:val="nil"/>
              <w:left w:val="nil"/>
              <w:bottom w:val="nil"/>
              <w:right w:val="nil"/>
            </w:tcBorders>
            <w:shd w:val="clear" w:color="auto" w:fill="auto"/>
            <w:vAlign w:val="bottom"/>
          </w:tcPr>
          <w:p w14:paraId="5BC2F498" w14:textId="77777777" w:rsidR="003C3063" w:rsidRPr="003D1614" w:rsidRDefault="003C3063" w:rsidP="00061A3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625" w:type="pct"/>
            <w:tcBorders>
              <w:top w:val="nil"/>
              <w:left w:val="nil"/>
              <w:bottom w:val="nil"/>
              <w:right w:val="nil"/>
            </w:tcBorders>
            <w:shd w:val="clear" w:color="auto" w:fill="auto"/>
            <w:vAlign w:val="bottom"/>
          </w:tcPr>
          <w:p w14:paraId="612E5C35" w14:textId="77777777" w:rsidR="003C3063" w:rsidRPr="003D1614" w:rsidRDefault="003C3063" w:rsidP="00061A3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624" w:type="pct"/>
            <w:tcBorders>
              <w:top w:val="nil"/>
              <w:left w:val="nil"/>
              <w:bottom w:val="nil"/>
              <w:right w:val="nil"/>
            </w:tcBorders>
            <w:shd w:val="clear" w:color="auto" w:fill="auto"/>
            <w:vAlign w:val="bottom"/>
          </w:tcPr>
          <w:p w14:paraId="4A945A29" w14:textId="77777777" w:rsidR="003C3063" w:rsidRPr="003D1614" w:rsidRDefault="003C3063" w:rsidP="00061A3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3.437</w:t>
            </w:r>
          </w:p>
        </w:tc>
      </w:tr>
      <w:tr w:rsidR="003C3063" w:rsidRPr="003D1614" w14:paraId="51C6FA21" w14:textId="77777777" w:rsidTr="00061A35">
        <w:tblPrEx>
          <w:tblCellMar>
            <w:left w:w="31" w:type="dxa"/>
            <w:right w:w="31" w:type="dxa"/>
          </w:tblCellMar>
        </w:tblPrEx>
        <w:trPr>
          <w:cantSplit/>
          <w:trHeight w:val="250"/>
          <w:tblHeader/>
        </w:trPr>
        <w:tc>
          <w:tcPr>
            <w:tcW w:w="2501" w:type="pct"/>
            <w:vAlign w:val="bottom"/>
          </w:tcPr>
          <w:p w14:paraId="7C821B8B" w14:textId="77777777" w:rsidR="003C3063" w:rsidRPr="003D1614" w:rsidRDefault="003C3063" w:rsidP="00061A35">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52" w:name="_Toc67329518"/>
            <w:r w:rsidRPr="003D1614">
              <w:rPr>
                <w:rFonts w:ascii="Arial" w:eastAsia="Times New Roman" w:hAnsi="Arial" w:cs="Arial"/>
                <w:color w:val="000000" w:themeColor="text1"/>
                <w:sz w:val="18"/>
                <w:szCs w:val="18"/>
              </w:rPr>
              <w:t>Preuzete obveze po kreditima</w:t>
            </w:r>
            <w:bookmarkEnd w:id="652"/>
          </w:p>
        </w:tc>
        <w:tc>
          <w:tcPr>
            <w:tcW w:w="625" w:type="pct"/>
            <w:tcBorders>
              <w:top w:val="nil"/>
              <w:left w:val="nil"/>
              <w:bottom w:val="single" w:sz="4" w:space="0" w:color="auto"/>
              <w:right w:val="nil"/>
            </w:tcBorders>
            <w:shd w:val="clear" w:color="auto" w:fill="auto"/>
            <w:vAlign w:val="bottom"/>
          </w:tcPr>
          <w:p w14:paraId="2667ADF7" w14:textId="77777777" w:rsidR="003C3063" w:rsidRPr="003D1614" w:rsidRDefault="003C3063" w:rsidP="00061A3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459.448</w:t>
            </w:r>
          </w:p>
        </w:tc>
        <w:tc>
          <w:tcPr>
            <w:tcW w:w="625" w:type="pct"/>
            <w:tcBorders>
              <w:top w:val="nil"/>
              <w:left w:val="nil"/>
              <w:bottom w:val="single" w:sz="4" w:space="0" w:color="auto"/>
              <w:right w:val="nil"/>
            </w:tcBorders>
            <w:shd w:val="clear" w:color="auto" w:fill="auto"/>
            <w:vAlign w:val="bottom"/>
          </w:tcPr>
          <w:p w14:paraId="7289A9FB" w14:textId="77777777" w:rsidR="003C3063" w:rsidRPr="003D1614" w:rsidRDefault="003C3063" w:rsidP="00061A3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662</w:t>
            </w:r>
          </w:p>
        </w:tc>
        <w:tc>
          <w:tcPr>
            <w:tcW w:w="625" w:type="pct"/>
            <w:tcBorders>
              <w:top w:val="nil"/>
              <w:left w:val="nil"/>
              <w:bottom w:val="single" w:sz="4" w:space="0" w:color="auto"/>
              <w:right w:val="nil"/>
            </w:tcBorders>
            <w:shd w:val="clear" w:color="auto" w:fill="auto"/>
            <w:vAlign w:val="bottom"/>
          </w:tcPr>
          <w:p w14:paraId="264AE671" w14:textId="77777777" w:rsidR="003C3063" w:rsidRPr="003D1614" w:rsidRDefault="003C3063" w:rsidP="00061A3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1.222</w:t>
            </w:r>
          </w:p>
        </w:tc>
        <w:tc>
          <w:tcPr>
            <w:tcW w:w="624" w:type="pct"/>
            <w:tcBorders>
              <w:top w:val="nil"/>
              <w:left w:val="nil"/>
              <w:bottom w:val="single" w:sz="4" w:space="0" w:color="auto"/>
              <w:right w:val="nil"/>
            </w:tcBorders>
            <w:shd w:val="clear" w:color="auto" w:fill="auto"/>
            <w:vAlign w:val="bottom"/>
          </w:tcPr>
          <w:p w14:paraId="22773207" w14:textId="77777777" w:rsidR="003C3063" w:rsidRPr="003D1614" w:rsidRDefault="003C3063" w:rsidP="00061A3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461.332</w:t>
            </w:r>
          </w:p>
        </w:tc>
      </w:tr>
      <w:tr w:rsidR="003C3063" w:rsidRPr="003D1614" w14:paraId="356A53F1" w14:textId="77777777" w:rsidTr="00061A35">
        <w:tblPrEx>
          <w:tblCellMar>
            <w:left w:w="31" w:type="dxa"/>
            <w:right w:w="31" w:type="dxa"/>
          </w:tblCellMar>
        </w:tblPrEx>
        <w:trPr>
          <w:cantSplit/>
          <w:trHeight w:val="399"/>
          <w:tblHeader/>
        </w:trPr>
        <w:tc>
          <w:tcPr>
            <w:tcW w:w="2501" w:type="pct"/>
            <w:vAlign w:val="bottom"/>
          </w:tcPr>
          <w:p w14:paraId="597697AF" w14:textId="77777777" w:rsidR="003C3063" w:rsidRPr="003D1614" w:rsidRDefault="003C3063" w:rsidP="00061A35">
            <w:pPr>
              <w:tabs>
                <w:tab w:val="right" w:pos="1202"/>
              </w:tabs>
              <w:suppressAutoHyphens/>
              <w:autoSpaceDN w:val="0"/>
              <w:spacing w:line="301" w:lineRule="exact"/>
              <w:outlineLvl w:val="0"/>
              <w:rPr>
                <w:rFonts w:ascii="Arial" w:eastAsia="Times New Roman" w:hAnsi="Arial" w:cs="Arial"/>
                <w:b/>
                <w:bCs/>
                <w:color w:val="000000" w:themeColor="text1"/>
                <w:sz w:val="18"/>
                <w:szCs w:val="18"/>
              </w:rPr>
            </w:pPr>
            <w:bookmarkStart w:id="653" w:name="_Toc67329528"/>
            <w:r w:rsidRPr="003D1614">
              <w:rPr>
                <w:rFonts w:ascii="Arial" w:eastAsia="Times New Roman" w:hAnsi="Arial" w:cs="Arial"/>
                <w:b/>
                <w:bCs/>
                <w:color w:val="000000" w:themeColor="text1"/>
                <w:sz w:val="18"/>
                <w:szCs w:val="18"/>
              </w:rPr>
              <w:t>Ukupno</w:t>
            </w:r>
            <w:bookmarkEnd w:id="653"/>
          </w:p>
        </w:tc>
        <w:tc>
          <w:tcPr>
            <w:tcW w:w="625" w:type="pct"/>
            <w:tcBorders>
              <w:top w:val="single" w:sz="4" w:space="0" w:color="auto"/>
              <w:left w:val="nil"/>
              <w:bottom w:val="single" w:sz="12" w:space="0" w:color="auto"/>
              <w:right w:val="nil"/>
            </w:tcBorders>
            <w:shd w:val="clear" w:color="auto" w:fill="auto"/>
            <w:vAlign w:val="bottom"/>
          </w:tcPr>
          <w:p w14:paraId="35A5EA4B" w14:textId="77777777" w:rsidR="003C3063" w:rsidRPr="003D1614" w:rsidRDefault="003C3063" w:rsidP="00061A35">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506.471</w:t>
            </w:r>
          </w:p>
        </w:tc>
        <w:tc>
          <w:tcPr>
            <w:tcW w:w="625" w:type="pct"/>
            <w:tcBorders>
              <w:top w:val="single" w:sz="4" w:space="0" w:color="auto"/>
              <w:left w:val="nil"/>
              <w:bottom w:val="single" w:sz="12" w:space="0" w:color="auto"/>
              <w:right w:val="nil"/>
            </w:tcBorders>
            <w:shd w:val="clear" w:color="auto" w:fill="auto"/>
            <w:vAlign w:val="bottom"/>
          </w:tcPr>
          <w:p w14:paraId="391A114B" w14:textId="77777777" w:rsidR="003C3063" w:rsidRPr="003D1614" w:rsidRDefault="003C3063" w:rsidP="00061A35">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662</w:t>
            </w:r>
          </w:p>
        </w:tc>
        <w:tc>
          <w:tcPr>
            <w:tcW w:w="625" w:type="pct"/>
            <w:tcBorders>
              <w:top w:val="single" w:sz="4" w:space="0" w:color="auto"/>
              <w:left w:val="nil"/>
              <w:bottom w:val="single" w:sz="12" w:space="0" w:color="auto"/>
              <w:right w:val="nil"/>
            </w:tcBorders>
            <w:shd w:val="clear" w:color="auto" w:fill="auto"/>
            <w:vAlign w:val="bottom"/>
          </w:tcPr>
          <w:p w14:paraId="3816401D" w14:textId="77777777" w:rsidR="003C3063" w:rsidRPr="003D1614" w:rsidRDefault="003C3063" w:rsidP="00061A35">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1.222</w:t>
            </w:r>
          </w:p>
        </w:tc>
        <w:tc>
          <w:tcPr>
            <w:tcW w:w="624" w:type="pct"/>
            <w:tcBorders>
              <w:top w:val="single" w:sz="4" w:space="0" w:color="auto"/>
              <w:left w:val="nil"/>
              <w:bottom w:val="single" w:sz="12" w:space="0" w:color="auto"/>
              <w:right w:val="nil"/>
            </w:tcBorders>
            <w:shd w:val="clear" w:color="auto" w:fill="auto"/>
            <w:vAlign w:val="bottom"/>
          </w:tcPr>
          <w:p w14:paraId="48A67885" w14:textId="77777777" w:rsidR="003C3063" w:rsidRPr="003D1614" w:rsidRDefault="003C3063" w:rsidP="00061A35">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508.355</w:t>
            </w:r>
          </w:p>
        </w:tc>
      </w:tr>
      <w:tr w:rsidR="003C3063" w:rsidRPr="00D76C72" w14:paraId="47E892FA" w14:textId="77777777" w:rsidTr="00061A35">
        <w:tblPrEx>
          <w:tblCellMar>
            <w:left w:w="31" w:type="dxa"/>
            <w:right w:w="31" w:type="dxa"/>
          </w:tblCellMar>
        </w:tblPrEx>
        <w:trPr>
          <w:cantSplit/>
          <w:trHeight w:val="70"/>
          <w:tblHeader/>
        </w:trPr>
        <w:tc>
          <w:tcPr>
            <w:tcW w:w="2501" w:type="pct"/>
            <w:vAlign w:val="bottom"/>
          </w:tcPr>
          <w:p w14:paraId="4B232548" w14:textId="77777777" w:rsidR="003C3063" w:rsidRPr="003D1614" w:rsidRDefault="003C3063" w:rsidP="00061A35">
            <w:pPr>
              <w:tabs>
                <w:tab w:val="right" w:pos="1202"/>
              </w:tabs>
              <w:suppressAutoHyphens/>
              <w:autoSpaceDN w:val="0"/>
              <w:spacing w:before="120" w:line="300" w:lineRule="exact"/>
              <w:jc w:val="both"/>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Ukupna izloženost kreditnom riziku</w:t>
            </w:r>
          </w:p>
        </w:tc>
        <w:tc>
          <w:tcPr>
            <w:tcW w:w="625" w:type="pct"/>
            <w:tcBorders>
              <w:top w:val="nil"/>
              <w:left w:val="nil"/>
              <w:bottom w:val="single" w:sz="12" w:space="0" w:color="auto"/>
              <w:right w:val="nil"/>
            </w:tcBorders>
            <w:shd w:val="clear" w:color="auto" w:fill="auto"/>
            <w:vAlign w:val="bottom"/>
          </w:tcPr>
          <w:p w14:paraId="1E5A281B" w14:textId="77777777" w:rsidR="003C3063" w:rsidRPr="003D1614" w:rsidRDefault="003C3063" w:rsidP="00061A35">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4.388.061</w:t>
            </w:r>
          </w:p>
        </w:tc>
        <w:tc>
          <w:tcPr>
            <w:tcW w:w="625" w:type="pct"/>
            <w:tcBorders>
              <w:top w:val="nil"/>
              <w:left w:val="nil"/>
              <w:bottom w:val="single" w:sz="12" w:space="0" w:color="auto"/>
              <w:right w:val="nil"/>
            </w:tcBorders>
            <w:shd w:val="clear" w:color="auto" w:fill="auto"/>
            <w:vAlign w:val="bottom"/>
          </w:tcPr>
          <w:p w14:paraId="03C14B56" w14:textId="77777777" w:rsidR="003C3063" w:rsidRPr="003D1614" w:rsidRDefault="003C3063" w:rsidP="00061A35">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68.973</w:t>
            </w:r>
          </w:p>
        </w:tc>
        <w:tc>
          <w:tcPr>
            <w:tcW w:w="625" w:type="pct"/>
            <w:tcBorders>
              <w:top w:val="nil"/>
              <w:left w:val="nil"/>
              <w:bottom w:val="single" w:sz="12" w:space="0" w:color="auto"/>
              <w:right w:val="nil"/>
            </w:tcBorders>
            <w:shd w:val="clear" w:color="auto" w:fill="auto"/>
            <w:vAlign w:val="bottom"/>
          </w:tcPr>
          <w:p w14:paraId="2973C636" w14:textId="77777777" w:rsidR="003C3063" w:rsidRPr="003D1614" w:rsidRDefault="003C3063" w:rsidP="00061A35">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7.793</w:t>
            </w:r>
          </w:p>
        </w:tc>
        <w:tc>
          <w:tcPr>
            <w:tcW w:w="624" w:type="pct"/>
            <w:tcBorders>
              <w:top w:val="nil"/>
              <w:left w:val="nil"/>
              <w:bottom w:val="single" w:sz="12" w:space="0" w:color="auto"/>
              <w:right w:val="nil"/>
            </w:tcBorders>
            <w:shd w:val="clear" w:color="auto" w:fill="auto"/>
            <w:vAlign w:val="bottom"/>
          </w:tcPr>
          <w:p w14:paraId="5987C049" w14:textId="77777777" w:rsidR="003C3063" w:rsidRPr="003D1614" w:rsidRDefault="003C3063" w:rsidP="00061A35">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4.464.827</w:t>
            </w:r>
          </w:p>
        </w:tc>
      </w:tr>
    </w:tbl>
    <w:p w14:paraId="0362F523" w14:textId="0662FEBC" w:rsidR="001A0FCB" w:rsidRPr="003D1614" w:rsidRDefault="001A0FCB" w:rsidP="003311C4">
      <w:pPr>
        <w:suppressAutoHyphens/>
        <w:autoSpaceDN w:val="0"/>
        <w:jc w:val="both"/>
        <w:rPr>
          <w:rFonts w:ascii="Arial" w:eastAsia="Times New Roman" w:hAnsi="Arial" w:cs="Arial"/>
          <w:color w:val="000000" w:themeColor="text1"/>
          <w:sz w:val="20"/>
          <w:szCs w:val="20"/>
        </w:rPr>
        <w:sectPr w:rsidR="001A0FCB" w:rsidRPr="003D1614">
          <w:pgSz w:w="11906" w:h="16838"/>
          <w:pgMar w:top="1417" w:right="1417" w:bottom="1417" w:left="1417" w:header="708" w:footer="708" w:gutter="0"/>
          <w:cols w:space="708"/>
          <w:docGrid w:linePitch="360"/>
        </w:sectPr>
      </w:pPr>
    </w:p>
    <w:p w14:paraId="3A579401"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p>
    <w:p w14:paraId="4CD5BECF" w14:textId="7195EEEB" w:rsidR="001A0FCB" w:rsidRPr="003D1614" w:rsidRDefault="001A0FCB" w:rsidP="001A0FCB">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3F05D9E0"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p>
    <w:p w14:paraId="5E843593" w14:textId="116A7E54" w:rsidR="001A0FCB" w:rsidRPr="003D1614" w:rsidRDefault="001A0FCB" w:rsidP="001A0FCB">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.3. </w:t>
      </w:r>
      <w:r w:rsidRPr="003D1614">
        <w:rPr>
          <w:rFonts w:ascii="Arial" w:eastAsia="Times New Roman" w:hAnsi="Arial" w:cs="Arial"/>
          <w:b/>
          <w:bCs/>
          <w:color w:val="000000" w:themeColor="text1"/>
          <w:sz w:val="20"/>
          <w:szCs w:val="20"/>
        </w:rPr>
        <w:tab/>
        <w:t>Kreditni rizik (nastavak)</w:t>
      </w:r>
    </w:p>
    <w:p w14:paraId="11082205"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p>
    <w:p w14:paraId="000DD696"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Koncentracija rizika i maksimalna izloženost kreditnom riziku (nastavak)</w:t>
      </w:r>
    </w:p>
    <w:p w14:paraId="2DEDF7E2" w14:textId="77777777" w:rsidR="001A0FCB" w:rsidRPr="003D1614" w:rsidRDefault="001A0FCB" w:rsidP="001A0FCB">
      <w:pPr>
        <w:keepNext/>
        <w:suppressAutoHyphens/>
        <w:autoSpaceDN w:val="0"/>
        <w:jc w:val="both"/>
        <w:outlineLvl w:val="0"/>
        <w:rPr>
          <w:rFonts w:ascii="Arial" w:eastAsia="Times New Roman" w:hAnsi="Arial" w:cs="Arial"/>
          <w:color w:val="000000" w:themeColor="text1"/>
          <w:sz w:val="20"/>
          <w:szCs w:val="20"/>
        </w:rPr>
      </w:pPr>
    </w:p>
    <w:p w14:paraId="1D4B6635" w14:textId="77777777" w:rsidR="001A0FCB" w:rsidRPr="003D1614" w:rsidRDefault="001A0FCB" w:rsidP="001A0FCB">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Koncentracija imovine i garancija te preuzetih obveza prema zemljopisnim segmentima, neto izloženost, </w:t>
      </w:r>
      <w:r w:rsidRPr="003D1614">
        <w:rPr>
          <w:rFonts w:ascii="Arial" w:eastAsia="Times New Roman" w:hAnsi="Arial" w:cs="Arial"/>
          <w:bCs/>
          <w:color w:val="000000" w:themeColor="text1"/>
          <w:sz w:val="20"/>
          <w:szCs w:val="20"/>
        </w:rPr>
        <w:t>bez umanjenja za vrijednost sredstava osiguranja naplate</w:t>
      </w:r>
      <w:r w:rsidRPr="003D1614">
        <w:rPr>
          <w:rFonts w:ascii="Arial" w:eastAsia="Times New Roman" w:hAnsi="Arial" w:cs="Arial"/>
          <w:color w:val="000000" w:themeColor="text1"/>
          <w:sz w:val="20"/>
          <w:szCs w:val="20"/>
        </w:rPr>
        <w:t xml:space="preserve"> (nastavak): </w:t>
      </w:r>
    </w:p>
    <w:p w14:paraId="7ACF725B" w14:textId="11714C55" w:rsidR="001A0FCB" w:rsidRPr="003D1614" w:rsidRDefault="001A0FCB" w:rsidP="003311C4">
      <w:pPr>
        <w:suppressAutoHyphens/>
        <w:autoSpaceDN w:val="0"/>
        <w:jc w:val="both"/>
        <w:rPr>
          <w:rFonts w:ascii="Arial" w:eastAsia="Times New Roman" w:hAnsi="Arial" w:cs="Arial"/>
          <w:color w:val="000000" w:themeColor="text1"/>
          <w:sz w:val="20"/>
          <w:szCs w:val="20"/>
        </w:rPr>
      </w:pPr>
    </w:p>
    <w:p w14:paraId="428A0F47" w14:textId="71C7F3E3" w:rsidR="001A0FCB" w:rsidRPr="003D1614" w:rsidRDefault="001A0FCB" w:rsidP="003311C4">
      <w:pPr>
        <w:suppressAutoHyphens/>
        <w:autoSpaceDN w:val="0"/>
        <w:jc w:val="both"/>
        <w:rPr>
          <w:rFonts w:ascii="Arial" w:eastAsia="Times New Roman" w:hAnsi="Arial" w:cs="Arial"/>
          <w:color w:val="000000" w:themeColor="text1"/>
          <w:sz w:val="20"/>
          <w:szCs w:val="20"/>
        </w:rPr>
      </w:pPr>
    </w:p>
    <w:tbl>
      <w:tblPr>
        <w:tblW w:w="5000" w:type="pct"/>
        <w:tblLayout w:type="fixed"/>
        <w:tblCellMar>
          <w:left w:w="30" w:type="dxa"/>
          <w:right w:w="30" w:type="dxa"/>
        </w:tblCellMar>
        <w:tblLook w:val="0000" w:firstRow="0" w:lastRow="0" w:firstColumn="0" w:lastColumn="0" w:noHBand="0" w:noVBand="0"/>
      </w:tblPr>
      <w:tblGrid>
        <w:gridCol w:w="4538"/>
        <w:gridCol w:w="1134"/>
        <w:gridCol w:w="1134"/>
        <w:gridCol w:w="1134"/>
        <w:gridCol w:w="1132"/>
      </w:tblGrid>
      <w:tr w:rsidR="00132E89" w:rsidRPr="009C411C" w14:paraId="45DEAEAE" w14:textId="77777777" w:rsidTr="0034622E">
        <w:trPr>
          <w:cantSplit/>
          <w:trHeight w:val="784"/>
          <w:tblHeader/>
        </w:trPr>
        <w:tc>
          <w:tcPr>
            <w:tcW w:w="2501" w:type="pct"/>
          </w:tcPr>
          <w:p w14:paraId="6AFD7200" w14:textId="77777777" w:rsidR="00132E89" w:rsidRPr="009C411C" w:rsidRDefault="00132E89" w:rsidP="0034622E">
            <w:pPr>
              <w:pStyle w:val="TH"/>
              <w:rPr>
                <w:rFonts w:cs="Arial"/>
                <w:color w:val="000000" w:themeColor="text1"/>
                <w:sz w:val="18"/>
                <w:szCs w:val="18"/>
                <w:lang w:val="hr-HR"/>
              </w:rPr>
            </w:pPr>
            <w:r w:rsidRPr="009C411C">
              <w:rPr>
                <w:rFonts w:cs="Arial"/>
                <w:color w:val="000000" w:themeColor="text1"/>
                <w:sz w:val="18"/>
                <w:szCs w:val="18"/>
                <w:lang w:val="hr-HR"/>
              </w:rPr>
              <w:t>Banka</w:t>
            </w:r>
          </w:p>
          <w:p w14:paraId="180B5D78" w14:textId="77777777" w:rsidR="00132E89" w:rsidRPr="009C411C" w:rsidRDefault="00132E89" w:rsidP="0034622E">
            <w:pPr>
              <w:pStyle w:val="TH"/>
              <w:rPr>
                <w:rFonts w:cs="Arial"/>
                <w:color w:val="000000" w:themeColor="text1"/>
                <w:sz w:val="18"/>
                <w:szCs w:val="18"/>
                <w:lang w:val="hr-HR"/>
              </w:rPr>
            </w:pPr>
          </w:p>
          <w:p w14:paraId="070D74A0" w14:textId="77777777" w:rsidR="00132E89" w:rsidRPr="009C411C" w:rsidRDefault="00132E89" w:rsidP="0034622E">
            <w:pPr>
              <w:pStyle w:val="TH"/>
              <w:rPr>
                <w:rFonts w:cs="Arial"/>
                <w:color w:val="000000" w:themeColor="text1"/>
                <w:sz w:val="18"/>
                <w:szCs w:val="18"/>
                <w:lang w:val="hr-HR"/>
              </w:rPr>
            </w:pPr>
            <w:r w:rsidRPr="009C411C">
              <w:rPr>
                <w:rFonts w:eastAsia="Calibri" w:cs="Arial"/>
                <w:bCs/>
                <w:iCs/>
                <w:color w:val="000000" w:themeColor="text1"/>
                <w:sz w:val="18"/>
                <w:szCs w:val="18"/>
                <w:lang w:val="hr-HR"/>
              </w:rPr>
              <w:t xml:space="preserve">31. prosinca </w:t>
            </w:r>
            <w:r w:rsidRPr="009C411C">
              <w:rPr>
                <w:rFonts w:cs="Arial"/>
                <w:color w:val="000000" w:themeColor="text1"/>
                <w:sz w:val="18"/>
                <w:szCs w:val="18"/>
                <w:lang w:val="hr-HR"/>
              </w:rPr>
              <w:t>202</w:t>
            </w:r>
            <w:r>
              <w:rPr>
                <w:rFonts w:cs="Arial"/>
                <w:color w:val="000000" w:themeColor="text1"/>
                <w:sz w:val="18"/>
                <w:szCs w:val="18"/>
                <w:lang w:val="hr-HR"/>
              </w:rPr>
              <w:t>3</w:t>
            </w:r>
            <w:r w:rsidRPr="009C411C">
              <w:rPr>
                <w:rFonts w:cs="Arial"/>
                <w:color w:val="000000" w:themeColor="text1"/>
                <w:sz w:val="18"/>
                <w:szCs w:val="18"/>
                <w:lang w:val="hr-HR"/>
              </w:rPr>
              <w:t xml:space="preserve">. </w:t>
            </w:r>
          </w:p>
        </w:tc>
        <w:tc>
          <w:tcPr>
            <w:tcW w:w="625" w:type="pct"/>
            <w:vAlign w:val="bottom"/>
          </w:tcPr>
          <w:p w14:paraId="2A3FE229" w14:textId="77777777" w:rsidR="00132E89" w:rsidRPr="009C411C" w:rsidRDefault="00132E89" w:rsidP="0034622E">
            <w:pPr>
              <w:pStyle w:val="TH"/>
              <w:jc w:val="right"/>
              <w:rPr>
                <w:rFonts w:cs="Arial"/>
                <w:color w:val="000000" w:themeColor="text1"/>
                <w:sz w:val="18"/>
                <w:szCs w:val="18"/>
                <w:lang w:val="hr-HR"/>
              </w:rPr>
            </w:pPr>
            <w:r w:rsidRPr="009C411C">
              <w:rPr>
                <w:rFonts w:cs="Arial"/>
                <w:color w:val="000000" w:themeColor="text1"/>
                <w:sz w:val="18"/>
                <w:szCs w:val="18"/>
                <w:lang w:val="hr-HR"/>
              </w:rPr>
              <w:t>Republika Hrvatska</w:t>
            </w:r>
          </w:p>
        </w:tc>
        <w:tc>
          <w:tcPr>
            <w:tcW w:w="625" w:type="pct"/>
            <w:vAlign w:val="bottom"/>
          </w:tcPr>
          <w:p w14:paraId="6FD41609" w14:textId="77777777" w:rsidR="00132E89" w:rsidRPr="009C411C" w:rsidRDefault="00132E89" w:rsidP="0034622E">
            <w:pPr>
              <w:pStyle w:val="TH"/>
              <w:jc w:val="right"/>
              <w:rPr>
                <w:rFonts w:cs="Arial"/>
                <w:color w:val="000000" w:themeColor="text1"/>
                <w:sz w:val="18"/>
                <w:szCs w:val="18"/>
                <w:lang w:val="hr-HR"/>
              </w:rPr>
            </w:pPr>
            <w:r w:rsidRPr="009C411C">
              <w:rPr>
                <w:rFonts w:cs="Arial"/>
                <w:color w:val="000000" w:themeColor="text1"/>
                <w:sz w:val="18"/>
                <w:szCs w:val="18"/>
                <w:lang w:val="hr-HR"/>
              </w:rPr>
              <w:t>Zemlje Europske unije</w:t>
            </w:r>
          </w:p>
        </w:tc>
        <w:tc>
          <w:tcPr>
            <w:tcW w:w="625" w:type="pct"/>
            <w:vAlign w:val="bottom"/>
          </w:tcPr>
          <w:p w14:paraId="365E3AA0" w14:textId="77777777" w:rsidR="00132E89" w:rsidRPr="009C411C" w:rsidRDefault="00132E89" w:rsidP="0034622E">
            <w:pPr>
              <w:pStyle w:val="TH"/>
              <w:jc w:val="right"/>
              <w:rPr>
                <w:rFonts w:cs="Arial"/>
                <w:color w:val="000000" w:themeColor="text1"/>
                <w:sz w:val="18"/>
                <w:szCs w:val="18"/>
                <w:lang w:val="hr-HR"/>
              </w:rPr>
            </w:pPr>
            <w:r w:rsidRPr="009C411C">
              <w:rPr>
                <w:rFonts w:cs="Arial"/>
                <w:color w:val="000000" w:themeColor="text1"/>
                <w:sz w:val="18"/>
                <w:szCs w:val="18"/>
                <w:lang w:val="hr-HR"/>
              </w:rPr>
              <w:t xml:space="preserve">Ostale </w:t>
            </w:r>
          </w:p>
          <w:p w14:paraId="57FBE091" w14:textId="77777777" w:rsidR="00132E89" w:rsidRPr="009C411C" w:rsidRDefault="00132E89" w:rsidP="0034622E">
            <w:pPr>
              <w:pStyle w:val="TH"/>
              <w:jc w:val="right"/>
              <w:rPr>
                <w:rFonts w:cs="Arial"/>
                <w:color w:val="000000" w:themeColor="text1"/>
                <w:sz w:val="18"/>
                <w:szCs w:val="18"/>
                <w:lang w:val="hr-HR"/>
              </w:rPr>
            </w:pPr>
            <w:r w:rsidRPr="009C411C">
              <w:rPr>
                <w:rFonts w:cs="Arial"/>
                <w:color w:val="000000" w:themeColor="text1"/>
                <w:sz w:val="18"/>
                <w:szCs w:val="18"/>
                <w:lang w:val="hr-HR"/>
              </w:rPr>
              <w:t xml:space="preserve">zemlje </w:t>
            </w:r>
          </w:p>
        </w:tc>
        <w:tc>
          <w:tcPr>
            <w:tcW w:w="624" w:type="pct"/>
            <w:vAlign w:val="bottom"/>
          </w:tcPr>
          <w:p w14:paraId="74E30FB6" w14:textId="77777777" w:rsidR="00132E89" w:rsidRPr="009C411C" w:rsidRDefault="00132E89" w:rsidP="0034622E">
            <w:pPr>
              <w:pStyle w:val="TH"/>
              <w:jc w:val="right"/>
              <w:rPr>
                <w:rFonts w:cs="Arial"/>
                <w:color w:val="000000" w:themeColor="text1"/>
                <w:sz w:val="18"/>
                <w:szCs w:val="18"/>
                <w:lang w:val="hr-HR"/>
              </w:rPr>
            </w:pPr>
            <w:r w:rsidRPr="009C411C">
              <w:rPr>
                <w:rFonts w:cs="Arial"/>
                <w:color w:val="000000" w:themeColor="text1"/>
                <w:sz w:val="18"/>
                <w:szCs w:val="18"/>
                <w:lang w:val="hr-HR"/>
              </w:rPr>
              <w:t>Ukupno</w:t>
            </w:r>
          </w:p>
        </w:tc>
      </w:tr>
      <w:tr w:rsidR="00132E89" w:rsidRPr="009C411C" w14:paraId="17A36E3B" w14:textId="77777777" w:rsidTr="0034622E">
        <w:trPr>
          <w:cantSplit/>
          <w:trHeight w:val="250"/>
          <w:tblHeader/>
        </w:trPr>
        <w:tc>
          <w:tcPr>
            <w:tcW w:w="2501" w:type="pct"/>
          </w:tcPr>
          <w:p w14:paraId="0AE022E7" w14:textId="77777777" w:rsidR="00132E89" w:rsidRPr="009C411C" w:rsidRDefault="00132E89" w:rsidP="0034622E">
            <w:pPr>
              <w:ind w:left="113" w:hanging="113"/>
              <w:rPr>
                <w:rFonts w:ascii="Arial" w:hAnsi="Arial" w:cs="Arial"/>
                <w:color w:val="000000" w:themeColor="text1"/>
                <w:sz w:val="18"/>
                <w:szCs w:val="18"/>
              </w:rPr>
            </w:pPr>
          </w:p>
        </w:tc>
        <w:tc>
          <w:tcPr>
            <w:tcW w:w="625" w:type="pct"/>
          </w:tcPr>
          <w:p w14:paraId="53A7BBA7" w14:textId="77777777" w:rsidR="00132E89" w:rsidRPr="00DF6358" w:rsidRDefault="00132E89" w:rsidP="0034622E">
            <w:pPr>
              <w:pStyle w:val="TH"/>
              <w:jc w:val="right"/>
              <w:rPr>
                <w:rFonts w:cs="Arial"/>
                <w:color w:val="000000" w:themeColor="text1"/>
                <w:sz w:val="18"/>
                <w:szCs w:val="18"/>
                <w:lang w:val="hr-HR"/>
              </w:rPr>
            </w:pPr>
            <w:r w:rsidRPr="00DF6358">
              <w:rPr>
                <w:rFonts w:cs="Arial"/>
                <w:color w:val="000000" w:themeColor="text1"/>
                <w:sz w:val="18"/>
                <w:szCs w:val="18"/>
                <w:lang w:val="hr-HR"/>
              </w:rPr>
              <w:t>000 eura</w:t>
            </w:r>
          </w:p>
        </w:tc>
        <w:tc>
          <w:tcPr>
            <w:tcW w:w="625" w:type="pct"/>
          </w:tcPr>
          <w:p w14:paraId="64D6D74C" w14:textId="77777777" w:rsidR="00132E89" w:rsidRPr="00DF6358" w:rsidRDefault="00132E89" w:rsidP="0034622E">
            <w:pPr>
              <w:pStyle w:val="TH"/>
              <w:jc w:val="right"/>
              <w:rPr>
                <w:rFonts w:cs="Arial"/>
                <w:color w:val="000000" w:themeColor="text1"/>
                <w:sz w:val="18"/>
                <w:szCs w:val="18"/>
                <w:lang w:val="hr-HR"/>
              </w:rPr>
            </w:pPr>
            <w:r w:rsidRPr="00DF6358">
              <w:rPr>
                <w:rFonts w:cs="Arial"/>
                <w:color w:val="000000" w:themeColor="text1"/>
                <w:sz w:val="18"/>
                <w:szCs w:val="18"/>
                <w:lang w:val="hr-HR"/>
              </w:rPr>
              <w:t>000 eura</w:t>
            </w:r>
          </w:p>
        </w:tc>
        <w:tc>
          <w:tcPr>
            <w:tcW w:w="625" w:type="pct"/>
          </w:tcPr>
          <w:p w14:paraId="210E7273" w14:textId="77777777" w:rsidR="00132E89" w:rsidRPr="00DF6358" w:rsidRDefault="00132E89" w:rsidP="0034622E">
            <w:pPr>
              <w:pStyle w:val="TH"/>
              <w:jc w:val="right"/>
              <w:rPr>
                <w:rFonts w:cs="Arial"/>
                <w:color w:val="000000" w:themeColor="text1"/>
                <w:sz w:val="18"/>
                <w:szCs w:val="18"/>
                <w:lang w:val="hr-HR"/>
              </w:rPr>
            </w:pPr>
            <w:r w:rsidRPr="00DF6358">
              <w:rPr>
                <w:rFonts w:cs="Arial"/>
                <w:color w:val="000000" w:themeColor="text1"/>
                <w:sz w:val="18"/>
                <w:szCs w:val="18"/>
                <w:lang w:val="hr-HR"/>
              </w:rPr>
              <w:t>000 eura</w:t>
            </w:r>
          </w:p>
        </w:tc>
        <w:tc>
          <w:tcPr>
            <w:tcW w:w="624" w:type="pct"/>
          </w:tcPr>
          <w:p w14:paraId="42497893" w14:textId="77777777" w:rsidR="00132E89" w:rsidRPr="00DF6358" w:rsidRDefault="00132E89" w:rsidP="0034622E">
            <w:pPr>
              <w:pStyle w:val="TH"/>
              <w:jc w:val="right"/>
              <w:rPr>
                <w:rFonts w:cs="Arial"/>
                <w:color w:val="000000" w:themeColor="text1"/>
                <w:sz w:val="18"/>
                <w:szCs w:val="18"/>
                <w:lang w:val="hr-HR"/>
              </w:rPr>
            </w:pPr>
            <w:r w:rsidRPr="00DF6358">
              <w:rPr>
                <w:rFonts w:cs="Arial"/>
                <w:color w:val="000000" w:themeColor="text1"/>
                <w:sz w:val="18"/>
                <w:szCs w:val="18"/>
                <w:lang w:val="hr-HR"/>
              </w:rPr>
              <w:t>000 eura</w:t>
            </w:r>
          </w:p>
        </w:tc>
      </w:tr>
      <w:tr w:rsidR="00132E89" w:rsidRPr="009C411C" w14:paraId="7A79D2D5" w14:textId="77777777" w:rsidTr="0034622E">
        <w:trPr>
          <w:cantSplit/>
          <w:trHeight w:val="250"/>
          <w:tblHeader/>
        </w:trPr>
        <w:tc>
          <w:tcPr>
            <w:tcW w:w="2501" w:type="pct"/>
          </w:tcPr>
          <w:p w14:paraId="73C88434" w14:textId="77777777" w:rsidR="00132E89" w:rsidRPr="009C411C" w:rsidRDefault="00132E89" w:rsidP="0034622E">
            <w:pPr>
              <w:ind w:left="113" w:hanging="113"/>
              <w:rPr>
                <w:rFonts w:ascii="Arial" w:hAnsi="Arial" w:cs="Arial"/>
                <w:color w:val="000000" w:themeColor="text1"/>
                <w:sz w:val="18"/>
                <w:szCs w:val="18"/>
              </w:rPr>
            </w:pPr>
          </w:p>
        </w:tc>
        <w:tc>
          <w:tcPr>
            <w:tcW w:w="625" w:type="pct"/>
          </w:tcPr>
          <w:p w14:paraId="6E84B6A0" w14:textId="77777777" w:rsidR="00132E89" w:rsidRPr="009C411C" w:rsidRDefault="00132E89" w:rsidP="0034622E">
            <w:pPr>
              <w:jc w:val="right"/>
              <w:rPr>
                <w:rFonts w:ascii="Arial" w:hAnsi="Arial" w:cs="Arial"/>
                <w:color w:val="000000" w:themeColor="text1"/>
                <w:sz w:val="18"/>
                <w:szCs w:val="18"/>
              </w:rPr>
            </w:pPr>
          </w:p>
        </w:tc>
        <w:tc>
          <w:tcPr>
            <w:tcW w:w="625" w:type="pct"/>
          </w:tcPr>
          <w:p w14:paraId="745EFC27" w14:textId="77777777" w:rsidR="00132E89" w:rsidRPr="009C411C" w:rsidRDefault="00132E89" w:rsidP="0034622E">
            <w:pPr>
              <w:jc w:val="right"/>
              <w:rPr>
                <w:rFonts w:ascii="Arial" w:hAnsi="Arial" w:cs="Arial"/>
                <w:color w:val="000000" w:themeColor="text1"/>
                <w:sz w:val="18"/>
                <w:szCs w:val="18"/>
              </w:rPr>
            </w:pPr>
          </w:p>
        </w:tc>
        <w:tc>
          <w:tcPr>
            <w:tcW w:w="625" w:type="pct"/>
          </w:tcPr>
          <w:p w14:paraId="7AFC50E3" w14:textId="77777777" w:rsidR="00132E89" w:rsidRPr="009C411C" w:rsidRDefault="00132E89" w:rsidP="0034622E">
            <w:pPr>
              <w:jc w:val="right"/>
              <w:rPr>
                <w:rFonts w:ascii="Arial" w:hAnsi="Arial" w:cs="Arial"/>
                <w:color w:val="000000" w:themeColor="text1"/>
                <w:sz w:val="18"/>
                <w:szCs w:val="18"/>
              </w:rPr>
            </w:pPr>
          </w:p>
        </w:tc>
        <w:tc>
          <w:tcPr>
            <w:tcW w:w="624" w:type="pct"/>
          </w:tcPr>
          <w:p w14:paraId="3CB803E2" w14:textId="77777777" w:rsidR="00132E89" w:rsidRPr="009C411C" w:rsidRDefault="00132E89" w:rsidP="0034622E">
            <w:pPr>
              <w:jc w:val="center"/>
              <w:rPr>
                <w:rFonts w:ascii="Arial" w:hAnsi="Arial" w:cs="Arial"/>
                <w:color w:val="000000" w:themeColor="text1"/>
                <w:sz w:val="18"/>
                <w:szCs w:val="18"/>
              </w:rPr>
            </w:pPr>
          </w:p>
        </w:tc>
      </w:tr>
      <w:tr w:rsidR="00132E89" w:rsidRPr="009C411C" w14:paraId="13197835" w14:textId="77777777" w:rsidTr="0034622E">
        <w:trPr>
          <w:cantSplit/>
          <w:trHeight w:val="92"/>
          <w:tblHeader/>
        </w:trPr>
        <w:tc>
          <w:tcPr>
            <w:tcW w:w="2501" w:type="pct"/>
          </w:tcPr>
          <w:p w14:paraId="2E9A3E80" w14:textId="77777777" w:rsidR="00132E89" w:rsidRPr="009C411C" w:rsidRDefault="00132E89" w:rsidP="0034622E">
            <w:pPr>
              <w:pStyle w:val="TT"/>
              <w:rPr>
                <w:rFonts w:cs="Arial"/>
                <w:b/>
                <w:bCs/>
                <w:color w:val="000000" w:themeColor="text1"/>
                <w:sz w:val="18"/>
                <w:szCs w:val="18"/>
                <w:lang w:val="hr-HR"/>
              </w:rPr>
            </w:pPr>
            <w:r w:rsidRPr="009C411C">
              <w:rPr>
                <w:rFonts w:cs="Arial"/>
                <w:b/>
                <w:bCs/>
                <w:color w:val="000000" w:themeColor="text1"/>
                <w:sz w:val="18"/>
                <w:szCs w:val="18"/>
                <w:lang w:val="hr-HR"/>
              </w:rPr>
              <w:t>Imovina</w:t>
            </w:r>
          </w:p>
        </w:tc>
        <w:tc>
          <w:tcPr>
            <w:tcW w:w="625" w:type="pct"/>
          </w:tcPr>
          <w:p w14:paraId="6E5C778F" w14:textId="77777777" w:rsidR="00132E89" w:rsidRPr="009C411C" w:rsidRDefault="00132E89" w:rsidP="0034622E">
            <w:pPr>
              <w:jc w:val="right"/>
              <w:rPr>
                <w:rFonts w:ascii="Arial" w:hAnsi="Arial" w:cs="Arial"/>
                <w:color w:val="000000" w:themeColor="text1"/>
                <w:sz w:val="18"/>
                <w:szCs w:val="18"/>
              </w:rPr>
            </w:pPr>
          </w:p>
        </w:tc>
        <w:tc>
          <w:tcPr>
            <w:tcW w:w="625" w:type="pct"/>
          </w:tcPr>
          <w:p w14:paraId="6C639897" w14:textId="77777777" w:rsidR="00132E89" w:rsidRPr="009C411C" w:rsidRDefault="00132E89" w:rsidP="0034622E">
            <w:pPr>
              <w:jc w:val="right"/>
              <w:rPr>
                <w:rFonts w:ascii="Arial" w:hAnsi="Arial" w:cs="Arial"/>
                <w:color w:val="000000" w:themeColor="text1"/>
                <w:sz w:val="18"/>
                <w:szCs w:val="18"/>
              </w:rPr>
            </w:pPr>
          </w:p>
        </w:tc>
        <w:tc>
          <w:tcPr>
            <w:tcW w:w="625" w:type="pct"/>
          </w:tcPr>
          <w:p w14:paraId="43E1CB92" w14:textId="77777777" w:rsidR="00132E89" w:rsidRPr="009C411C" w:rsidRDefault="00132E89" w:rsidP="0034622E">
            <w:pPr>
              <w:jc w:val="right"/>
              <w:rPr>
                <w:rFonts w:ascii="Arial" w:hAnsi="Arial" w:cs="Arial"/>
                <w:color w:val="000000" w:themeColor="text1"/>
                <w:sz w:val="18"/>
                <w:szCs w:val="18"/>
              </w:rPr>
            </w:pPr>
          </w:p>
        </w:tc>
        <w:tc>
          <w:tcPr>
            <w:tcW w:w="624" w:type="pct"/>
          </w:tcPr>
          <w:p w14:paraId="484B7D79" w14:textId="77777777" w:rsidR="00132E89" w:rsidRPr="009C411C" w:rsidRDefault="00132E89" w:rsidP="0034622E">
            <w:pPr>
              <w:jc w:val="center"/>
              <w:rPr>
                <w:rFonts w:ascii="Arial" w:hAnsi="Arial" w:cs="Arial"/>
                <w:color w:val="000000" w:themeColor="text1"/>
                <w:sz w:val="18"/>
                <w:szCs w:val="18"/>
              </w:rPr>
            </w:pPr>
          </w:p>
        </w:tc>
      </w:tr>
      <w:tr w:rsidR="00132E89" w:rsidRPr="009C411C" w14:paraId="1F2E082D" w14:textId="77777777" w:rsidTr="0034622E">
        <w:trPr>
          <w:cantSplit/>
          <w:trHeight w:val="250"/>
          <w:tblHeader/>
        </w:trPr>
        <w:tc>
          <w:tcPr>
            <w:tcW w:w="2501" w:type="pct"/>
            <w:vAlign w:val="bottom"/>
          </w:tcPr>
          <w:p w14:paraId="53253649" w14:textId="77777777" w:rsidR="00132E89" w:rsidRPr="009C411C" w:rsidRDefault="00132E89" w:rsidP="0034622E">
            <w:pPr>
              <w:pStyle w:val="TT"/>
              <w:rPr>
                <w:rFonts w:cs="Arial"/>
                <w:color w:val="000000" w:themeColor="text1"/>
                <w:sz w:val="18"/>
                <w:szCs w:val="18"/>
                <w:lang w:val="hr-HR"/>
              </w:rPr>
            </w:pPr>
            <w:r w:rsidRPr="009C411C">
              <w:rPr>
                <w:rFonts w:cs="Arial"/>
                <w:color w:val="000000" w:themeColor="text1"/>
                <w:sz w:val="18"/>
                <w:szCs w:val="18"/>
                <w:lang w:val="hr-HR"/>
              </w:rPr>
              <w:t>Novčana sredstva i računi kod banaka</w:t>
            </w:r>
          </w:p>
        </w:tc>
        <w:tc>
          <w:tcPr>
            <w:tcW w:w="625" w:type="pct"/>
            <w:tcBorders>
              <w:top w:val="nil"/>
              <w:left w:val="nil"/>
              <w:bottom w:val="nil"/>
              <w:right w:val="nil"/>
            </w:tcBorders>
            <w:shd w:val="clear" w:color="auto" w:fill="auto"/>
            <w:vAlign w:val="bottom"/>
          </w:tcPr>
          <w:p w14:paraId="55A06EBA" w14:textId="77777777" w:rsidR="00132E89" w:rsidRPr="009C411C" w:rsidRDefault="00132E89" w:rsidP="0034622E">
            <w:pPr>
              <w:pStyle w:val="TT"/>
              <w:jc w:val="right"/>
              <w:rPr>
                <w:rFonts w:cs="Arial"/>
                <w:color w:val="000000" w:themeColor="text1"/>
                <w:sz w:val="18"/>
                <w:szCs w:val="18"/>
                <w:lang w:val="hr-HR"/>
              </w:rPr>
            </w:pPr>
            <w:r w:rsidRPr="00F959D0">
              <w:rPr>
                <w:rFonts w:cs="Arial"/>
                <w:color w:val="000000" w:themeColor="text1"/>
                <w:sz w:val="18"/>
                <w:szCs w:val="18"/>
                <w:lang w:val="hr-HR"/>
              </w:rPr>
              <w:t xml:space="preserve"> 41.238 </w:t>
            </w:r>
          </w:p>
        </w:tc>
        <w:tc>
          <w:tcPr>
            <w:tcW w:w="625" w:type="pct"/>
            <w:tcBorders>
              <w:top w:val="nil"/>
              <w:left w:val="nil"/>
              <w:bottom w:val="nil"/>
              <w:right w:val="nil"/>
            </w:tcBorders>
            <w:shd w:val="clear" w:color="auto" w:fill="auto"/>
            <w:vAlign w:val="bottom"/>
          </w:tcPr>
          <w:p w14:paraId="06C4B81B" w14:textId="77777777" w:rsidR="00132E89" w:rsidRPr="009C411C" w:rsidRDefault="00132E89" w:rsidP="0034622E">
            <w:pPr>
              <w:pStyle w:val="TT"/>
              <w:jc w:val="right"/>
              <w:rPr>
                <w:rFonts w:cs="Arial"/>
                <w:color w:val="000000" w:themeColor="text1"/>
                <w:sz w:val="18"/>
                <w:szCs w:val="18"/>
                <w:lang w:val="hr-HR"/>
              </w:rPr>
            </w:pPr>
            <w:r w:rsidRPr="00F959D0">
              <w:rPr>
                <w:rFonts w:cs="Arial"/>
                <w:color w:val="000000" w:themeColor="text1"/>
                <w:sz w:val="18"/>
                <w:szCs w:val="18"/>
                <w:lang w:val="hr-HR"/>
              </w:rPr>
              <w:t xml:space="preserve"> 215 </w:t>
            </w:r>
          </w:p>
        </w:tc>
        <w:tc>
          <w:tcPr>
            <w:tcW w:w="625" w:type="pct"/>
            <w:tcBorders>
              <w:top w:val="nil"/>
              <w:left w:val="nil"/>
              <w:bottom w:val="nil"/>
              <w:right w:val="nil"/>
            </w:tcBorders>
            <w:shd w:val="clear" w:color="auto" w:fill="auto"/>
            <w:vAlign w:val="bottom"/>
          </w:tcPr>
          <w:p w14:paraId="43D791D1" w14:textId="77777777" w:rsidR="00132E89" w:rsidRPr="009C411C" w:rsidRDefault="00132E89" w:rsidP="0034622E">
            <w:pPr>
              <w:pStyle w:val="TT"/>
              <w:jc w:val="right"/>
              <w:rPr>
                <w:rFonts w:cs="Arial"/>
                <w:color w:val="000000" w:themeColor="text1"/>
                <w:sz w:val="18"/>
                <w:szCs w:val="18"/>
                <w:lang w:val="hr-HR"/>
              </w:rPr>
            </w:pPr>
            <w:r w:rsidRPr="00F959D0">
              <w:rPr>
                <w:rFonts w:cs="Arial"/>
                <w:color w:val="000000" w:themeColor="text1"/>
                <w:sz w:val="18"/>
                <w:szCs w:val="18"/>
                <w:lang w:val="hr-HR"/>
              </w:rPr>
              <w:t xml:space="preserve"> 90 </w:t>
            </w:r>
          </w:p>
        </w:tc>
        <w:tc>
          <w:tcPr>
            <w:tcW w:w="624" w:type="pct"/>
            <w:tcBorders>
              <w:top w:val="nil"/>
              <w:left w:val="nil"/>
              <w:bottom w:val="nil"/>
              <w:right w:val="nil"/>
            </w:tcBorders>
            <w:shd w:val="clear" w:color="auto" w:fill="auto"/>
            <w:vAlign w:val="bottom"/>
          </w:tcPr>
          <w:p w14:paraId="4001C6A2" w14:textId="77777777" w:rsidR="00132E89" w:rsidRPr="009C411C" w:rsidRDefault="00132E89" w:rsidP="0034622E">
            <w:pPr>
              <w:pStyle w:val="TT"/>
              <w:jc w:val="right"/>
              <w:rPr>
                <w:rFonts w:cs="Arial"/>
                <w:color w:val="000000" w:themeColor="text1"/>
                <w:sz w:val="18"/>
                <w:szCs w:val="18"/>
                <w:lang w:val="hr-HR"/>
              </w:rPr>
            </w:pPr>
            <w:r w:rsidRPr="00F959D0">
              <w:rPr>
                <w:rFonts w:cs="Arial"/>
                <w:color w:val="000000" w:themeColor="text1"/>
                <w:sz w:val="18"/>
                <w:szCs w:val="18"/>
                <w:lang w:val="hr-HR"/>
              </w:rPr>
              <w:t xml:space="preserve"> 41.543 </w:t>
            </w:r>
          </w:p>
        </w:tc>
      </w:tr>
      <w:tr w:rsidR="00132E89" w:rsidRPr="009C411C" w14:paraId="7D29FA17" w14:textId="77777777" w:rsidTr="0034622E">
        <w:trPr>
          <w:cantSplit/>
          <w:trHeight w:val="250"/>
          <w:tblHeader/>
        </w:trPr>
        <w:tc>
          <w:tcPr>
            <w:tcW w:w="2501" w:type="pct"/>
            <w:vAlign w:val="bottom"/>
          </w:tcPr>
          <w:p w14:paraId="43FC5939" w14:textId="77777777" w:rsidR="00132E89" w:rsidRPr="009C411C" w:rsidRDefault="00132E89" w:rsidP="0034622E">
            <w:pPr>
              <w:pStyle w:val="TT"/>
              <w:rPr>
                <w:rFonts w:cs="Arial"/>
                <w:color w:val="000000" w:themeColor="text1"/>
                <w:sz w:val="18"/>
                <w:szCs w:val="18"/>
                <w:lang w:val="hr-HR"/>
              </w:rPr>
            </w:pPr>
            <w:r w:rsidRPr="009C411C">
              <w:rPr>
                <w:rFonts w:cs="Arial"/>
                <w:color w:val="000000" w:themeColor="text1"/>
                <w:sz w:val="18"/>
                <w:szCs w:val="18"/>
                <w:lang w:val="hr-HR"/>
              </w:rPr>
              <w:t>Depoziti kod drugih banaka</w:t>
            </w:r>
          </w:p>
        </w:tc>
        <w:tc>
          <w:tcPr>
            <w:tcW w:w="625" w:type="pct"/>
            <w:tcBorders>
              <w:top w:val="nil"/>
              <w:left w:val="nil"/>
              <w:bottom w:val="nil"/>
              <w:right w:val="nil"/>
            </w:tcBorders>
            <w:shd w:val="clear" w:color="auto" w:fill="auto"/>
            <w:vAlign w:val="bottom"/>
          </w:tcPr>
          <w:p w14:paraId="42F7C65C" w14:textId="77777777" w:rsidR="00132E89" w:rsidRPr="009C411C" w:rsidRDefault="00132E89" w:rsidP="0034622E">
            <w:pPr>
              <w:pStyle w:val="TT"/>
              <w:jc w:val="right"/>
              <w:rPr>
                <w:rFonts w:cs="Arial"/>
                <w:color w:val="000000" w:themeColor="text1"/>
                <w:sz w:val="18"/>
                <w:szCs w:val="18"/>
                <w:lang w:val="hr-HR"/>
              </w:rPr>
            </w:pPr>
            <w:r w:rsidRPr="00F959D0">
              <w:rPr>
                <w:rFonts w:cs="Arial"/>
                <w:color w:val="000000" w:themeColor="text1"/>
                <w:sz w:val="18"/>
                <w:szCs w:val="18"/>
                <w:lang w:val="hr-HR"/>
              </w:rPr>
              <w:t xml:space="preserve"> 35.814 </w:t>
            </w:r>
          </w:p>
        </w:tc>
        <w:tc>
          <w:tcPr>
            <w:tcW w:w="625" w:type="pct"/>
            <w:tcBorders>
              <w:top w:val="nil"/>
              <w:left w:val="nil"/>
              <w:bottom w:val="nil"/>
              <w:right w:val="nil"/>
            </w:tcBorders>
            <w:shd w:val="clear" w:color="auto" w:fill="auto"/>
            <w:vAlign w:val="bottom"/>
          </w:tcPr>
          <w:p w14:paraId="36818B6B" w14:textId="77777777" w:rsidR="00132E89" w:rsidRPr="009C411C" w:rsidRDefault="00132E89" w:rsidP="0034622E">
            <w:pPr>
              <w:pStyle w:val="TT"/>
              <w:jc w:val="right"/>
              <w:rPr>
                <w:rFonts w:cs="Arial"/>
                <w:color w:val="000000" w:themeColor="text1"/>
                <w:sz w:val="18"/>
                <w:szCs w:val="18"/>
                <w:lang w:val="hr-HR"/>
              </w:rPr>
            </w:pPr>
            <w:r w:rsidRPr="00F959D0">
              <w:rPr>
                <w:rFonts w:cs="Arial"/>
                <w:color w:val="000000" w:themeColor="text1"/>
                <w:sz w:val="18"/>
                <w:szCs w:val="18"/>
                <w:lang w:val="hr-HR"/>
              </w:rPr>
              <w:t xml:space="preserve"> 33.642 </w:t>
            </w:r>
          </w:p>
        </w:tc>
        <w:tc>
          <w:tcPr>
            <w:tcW w:w="625" w:type="pct"/>
            <w:tcBorders>
              <w:top w:val="nil"/>
              <w:left w:val="nil"/>
              <w:bottom w:val="nil"/>
              <w:right w:val="nil"/>
            </w:tcBorders>
            <w:shd w:val="clear" w:color="auto" w:fill="auto"/>
            <w:vAlign w:val="bottom"/>
          </w:tcPr>
          <w:p w14:paraId="22CE531A" w14:textId="77777777" w:rsidR="00132E89" w:rsidRPr="009C411C" w:rsidRDefault="00132E89" w:rsidP="0034622E">
            <w:pPr>
              <w:pStyle w:val="TT"/>
              <w:jc w:val="right"/>
              <w:rPr>
                <w:rFonts w:cs="Arial"/>
                <w:color w:val="000000" w:themeColor="text1"/>
                <w:sz w:val="18"/>
                <w:szCs w:val="18"/>
                <w:lang w:val="hr-HR"/>
              </w:rPr>
            </w:pPr>
            <w:r w:rsidRPr="00F959D0">
              <w:rPr>
                <w:rFonts w:cs="Arial"/>
                <w:color w:val="000000" w:themeColor="text1"/>
                <w:sz w:val="18"/>
                <w:szCs w:val="18"/>
                <w:lang w:val="hr-HR"/>
              </w:rPr>
              <w:t xml:space="preserve"> -   </w:t>
            </w:r>
          </w:p>
        </w:tc>
        <w:tc>
          <w:tcPr>
            <w:tcW w:w="624" w:type="pct"/>
            <w:tcBorders>
              <w:top w:val="nil"/>
              <w:left w:val="nil"/>
              <w:bottom w:val="nil"/>
              <w:right w:val="nil"/>
            </w:tcBorders>
            <w:shd w:val="clear" w:color="auto" w:fill="auto"/>
            <w:vAlign w:val="bottom"/>
          </w:tcPr>
          <w:p w14:paraId="6056CE02" w14:textId="77777777" w:rsidR="00132E89" w:rsidRPr="009C411C" w:rsidRDefault="00132E89" w:rsidP="0034622E">
            <w:pPr>
              <w:pStyle w:val="TT"/>
              <w:jc w:val="right"/>
              <w:rPr>
                <w:rFonts w:cs="Arial"/>
                <w:color w:val="000000" w:themeColor="text1"/>
                <w:sz w:val="18"/>
                <w:szCs w:val="18"/>
                <w:lang w:val="hr-HR"/>
              </w:rPr>
            </w:pPr>
            <w:r w:rsidRPr="00F959D0">
              <w:rPr>
                <w:rFonts w:cs="Arial"/>
                <w:color w:val="000000" w:themeColor="text1"/>
                <w:sz w:val="18"/>
                <w:szCs w:val="18"/>
                <w:lang w:val="hr-HR"/>
              </w:rPr>
              <w:t xml:space="preserve"> 69.456 </w:t>
            </w:r>
          </w:p>
        </w:tc>
      </w:tr>
      <w:tr w:rsidR="00132E89" w:rsidRPr="009C411C" w14:paraId="6E6B94AD" w14:textId="77777777" w:rsidTr="0034622E">
        <w:trPr>
          <w:cantSplit/>
          <w:trHeight w:val="250"/>
          <w:tblHeader/>
        </w:trPr>
        <w:tc>
          <w:tcPr>
            <w:tcW w:w="2501" w:type="pct"/>
            <w:vAlign w:val="bottom"/>
          </w:tcPr>
          <w:p w14:paraId="4E6C3C9D" w14:textId="77777777" w:rsidR="00132E89" w:rsidRPr="009C411C" w:rsidRDefault="00132E89" w:rsidP="0034622E">
            <w:pPr>
              <w:pStyle w:val="TT"/>
              <w:rPr>
                <w:rFonts w:cs="Arial"/>
                <w:color w:val="000000" w:themeColor="text1"/>
                <w:sz w:val="18"/>
                <w:szCs w:val="18"/>
                <w:lang w:val="hr-HR"/>
              </w:rPr>
            </w:pPr>
            <w:r w:rsidRPr="009C411C">
              <w:rPr>
                <w:rFonts w:cs="Arial"/>
                <w:color w:val="000000" w:themeColor="text1"/>
                <w:sz w:val="18"/>
                <w:szCs w:val="18"/>
                <w:lang w:val="hr-HR"/>
              </w:rPr>
              <w:t>Krediti financijskim institucijama</w:t>
            </w:r>
          </w:p>
        </w:tc>
        <w:tc>
          <w:tcPr>
            <w:tcW w:w="625" w:type="pct"/>
            <w:tcBorders>
              <w:top w:val="nil"/>
              <w:left w:val="nil"/>
              <w:bottom w:val="nil"/>
              <w:right w:val="nil"/>
            </w:tcBorders>
            <w:shd w:val="clear" w:color="auto" w:fill="auto"/>
            <w:vAlign w:val="bottom"/>
          </w:tcPr>
          <w:p w14:paraId="295E4168" w14:textId="77777777" w:rsidR="00132E89" w:rsidRPr="009C411C" w:rsidRDefault="00132E89" w:rsidP="0034622E">
            <w:pPr>
              <w:pStyle w:val="TT"/>
              <w:jc w:val="right"/>
              <w:rPr>
                <w:rFonts w:cs="Arial"/>
                <w:color w:val="000000" w:themeColor="text1"/>
                <w:sz w:val="18"/>
                <w:szCs w:val="18"/>
                <w:lang w:val="hr-HR"/>
              </w:rPr>
            </w:pPr>
            <w:r w:rsidRPr="00F959D0">
              <w:rPr>
                <w:rFonts w:cs="Arial"/>
                <w:color w:val="000000" w:themeColor="text1"/>
                <w:sz w:val="18"/>
                <w:szCs w:val="18"/>
                <w:lang w:val="hr-HR"/>
              </w:rPr>
              <w:t xml:space="preserve"> 1.248.881 </w:t>
            </w:r>
          </w:p>
        </w:tc>
        <w:tc>
          <w:tcPr>
            <w:tcW w:w="625" w:type="pct"/>
            <w:tcBorders>
              <w:top w:val="nil"/>
              <w:left w:val="nil"/>
              <w:bottom w:val="nil"/>
              <w:right w:val="nil"/>
            </w:tcBorders>
            <w:shd w:val="clear" w:color="auto" w:fill="auto"/>
            <w:vAlign w:val="bottom"/>
          </w:tcPr>
          <w:p w14:paraId="1FFFFB9D" w14:textId="77777777" w:rsidR="00132E89" w:rsidRPr="009C411C" w:rsidRDefault="00132E89" w:rsidP="0034622E">
            <w:pPr>
              <w:pStyle w:val="TT"/>
              <w:jc w:val="right"/>
              <w:rPr>
                <w:rFonts w:cs="Arial"/>
                <w:color w:val="000000" w:themeColor="text1"/>
                <w:sz w:val="18"/>
                <w:szCs w:val="18"/>
                <w:lang w:val="hr-HR"/>
              </w:rPr>
            </w:pPr>
            <w:r w:rsidRPr="00F959D0">
              <w:rPr>
                <w:rFonts w:cs="Arial"/>
                <w:color w:val="000000" w:themeColor="text1"/>
                <w:sz w:val="18"/>
                <w:szCs w:val="18"/>
                <w:lang w:val="hr-HR"/>
              </w:rPr>
              <w:t xml:space="preserve"> -   </w:t>
            </w:r>
          </w:p>
        </w:tc>
        <w:tc>
          <w:tcPr>
            <w:tcW w:w="625" w:type="pct"/>
            <w:tcBorders>
              <w:top w:val="nil"/>
              <w:left w:val="nil"/>
              <w:bottom w:val="nil"/>
              <w:right w:val="nil"/>
            </w:tcBorders>
            <w:shd w:val="clear" w:color="auto" w:fill="auto"/>
            <w:vAlign w:val="bottom"/>
          </w:tcPr>
          <w:p w14:paraId="3A647ECB" w14:textId="77777777" w:rsidR="00132E89" w:rsidRPr="009C411C" w:rsidRDefault="00132E89" w:rsidP="0034622E">
            <w:pPr>
              <w:pStyle w:val="TT"/>
              <w:jc w:val="right"/>
              <w:rPr>
                <w:rFonts w:cs="Arial"/>
                <w:color w:val="000000" w:themeColor="text1"/>
                <w:sz w:val="18"/>
                <w:szCs w:val="18"/>
                <w:lang w:val="hr-HR"/>
              </w:rPr>
            </w:pPr>
            <w:r w:rsidRPr="00F959D0">
              <w:rPr>
                <w:rFonts w:cs="Arial"/>
                <w:color w:val="000000" w:themeColor="text1"/>
                <w:sz w:val="18"/>
                <w:szCs w:val="18"/>
                <w:lang w:val="hr-HR"/>
              </w:rPr>
              <w:t xml:space="preserve"> -   </w:t>
            </w:r>
          </w:p>
        </w:tc>
        <w:tc>
          <w:tcPr>
            <w:tcW w:w="624" w:type="pct"/>
            <w:tcBorders>
              <w:top w:val="nil"/>
              <w:left w:val="nil"/>
              <w:bottom w:val="nil"/>
              <w:right w:val="nil"/>
            </w:tcBorders>
            <w:shd w:val="clear" w:color="auto" w:fill="auto"/>
            <w:vAlign w:val="bottom"/>
          </w:tcPr>
          <w:p w14:paraId="3C60F389" w14:textId="77777777" w:rsidR="00132E89" w:rsidRPr="009C411C" w:rsidRDefault="00132E89" w:rsidP="0034622E">
            <w:pPr>
              <w:pStyle w:val="TT"/>
              <w:jc w:val="right"/>
              <w:rPr>
                <w:rFonts w:cs="Arial"/>
                <w:color w:val="000000" w:themeColor="text1"/>
                <w:sz w:val="18"/>
                <w:szCs w:val="18"/>
                <w:lang w:val="hr-HR"/>
              </w:rPr>
            </w:pPr>
            <w:r w:rsidRPr="00F959D0">
              <w:rPr>
                <w:rFonts w:cs="Arial"/>
                <w:color w:val="000000" w:themeColor="text1"/>
                <w:sz w:val="18"/>
                <w:szCs w:val="18"/>
                <w:lang w:val="hr-HR"/>
              </w:rPr>
              <w:t xml:space="preserve"> 1.248.881 </w:t>
            </w:r>
          </w:p>
        </w:tc>
      </w:tr>
      <w:tr w:rsidR="00132E89" w:rsidRPr="009C411C" w14:paraId="72D47643" w14:textId="77777777" w:rsidTr="0034622E">
        <w:trPr>
          <w:cantSplit/>
          <w:trHeight w:val="250"/>
          <w:tblHeader/>
        </w:trPr>
        <w:tc>
          <w:tcPr>
            <w:tcW w:w="2501" w:type="pct"/>
            <w:vAlign w:val="bottom"/>
          </w:tcPr>
          <w:p w14:paraId="30339CBF" w14:textId="77777777" w:rsidR="00132E89" w:rsidRPr="009C411C" w:rsidRDefault="00132E89" w:rsidP="0034622E">
            <w:pPr>
              <w:pStyle w:val="TT"/>
              <w:rPr>
                <w:rFonts w:cs="Arial"/>
                <w:color w:val="000000" w:themeColor="text1"/>
                <w:sz w:val="18"/>
                <w:szCs w:val="18"/>
                <w:lang w:val="hr-HR"/>
              </w:rPr>
            </w:pPr>
            <w:r w:rsidRPr="009C411C">
              <w:rPr>
                <w:rFonts w:cs="Arial"/>
                <w:color w:val="000000" w:themeColor="text1"/>
                <w:sz w:val="18"/>
                <w:szCs w:val="18"/>
                <w:lang w:val="hr-HR"/>
              </w:rPr>
              <w:t>Krediti ostalim korisnicima</w:t>
            </w:r>
          </w:p>
        </w:tc>
        <w:tc>
          <w:tcPr>
            <w:tcW w:w="625" w:type="pct"/>
            <w:tcBorders>
              <w:top w:val="nil"/>
              <w:left w:val="nil"/>
              <w:bottom w:val="nil"/>
              <w:right w:val="nil"/>
            </w:tcBorders>
            <w:shd w:val="clear" w:color="auto" w:fill="auto"/>
            <w:vAlign w:val="bottom"/>
          </w:tcPr>
          <w:p w14:paraId="47111471" w14:textId="77777777" w:rsidR="00132E89" w:rsidRPr="009C411C" w:rsidRDefault="00132E89" w:rsidP="0034622E">
            <w:pPr>
              <w:pStyle w:val="TT"/>
              <w:jc w:val="right"/>
              <w:rPr>
                <w:rFonts w:cs="Arial"/>
                <w:color w:val="000000" w:themeColor="text1"/>
                <w:sz w:val="18"/>
                <w:szCs w:val="18"/>
                <w:lang w:val="hr-HR"/>
              </w:rPr>
            </w:pPr>
            <w:r w:rsidRPr="00F959D0">
              <w:rPr>
                <w:rFonts w:cs="Arial"/>
                <w:color w:val="000000" w:themeColor="text1"/>
                <w:sz w:val="18"/>
                <w:szCs w:val="18"/>
                <w:lang w:val="hr-HR"/>
              </w:rPr>
              <w:t xml:space="preserve"> 2.351.196 </w:t>
            </w:r>
          </w:p>
        </w:tc>
        <w:tc>
          <w:tcPr>
            <w:tcW w:w="625" w:type="pct"/>
            <w:tcBorders>
              <w:top w:val="nil"/>
              <w:left w:val="nil"/>
              <w:bottom w:val="nil"/>
              <w:right w:val="nil"/>
            </w:tcBorders>
            <w:shd w:val="clear" w:color="auto" w:fill="auto"/>
            <w:vAlign w:val="bottom"/>
          </w:tcPr>
          <w:p w14:paraId="754A10B5" w14:textId="77777777" w:rsidR="00132E89" w:rsidRPr="009C411C" w:rsidRDefault="00132E89" w:rsidP="0034622E">
            <w:pPr>
              <w:pStyle w:val="TT"/>
              <w:jc w:val="right"/>
              <w:rPr>
                <w:rFonts w:cs="Arial"/>
                <w:color w:val="000000" w:themeColor="text1"/>
                <w:sz w:val="18"/>
                <w:szCs w:val="18"/>
                <w:lang w:val="hr-HR"/>
              </w:rPr>
            </w:pPr>
            <w:r w:rsidRPr="00F959D0">
              <w:rPr>
                <w:rFonts w:cs="Arial"/>
                <w:color w:val="000000" w:themeColor="text1"/>
                <w:sz w:val="18"/>
                <w:szCs w:val="18"/>
                <w:lang w:val="hr-HR"/>
              </w:rPr>
              <w:t xml:space="preserve"> -   </w:t>
            </w:r>
          </w:p>
        </w:tc>
        <w:tc>
          <w:tcPr>
            <w:tcW w:w="625" w:type="pct"/>
            <w:tcBorders>
              <w:top w:val="nil"/>
              <w:left w:val="nil"/>
              <w:bottom w:val="nil"/>
              <w:right w:val="nil"/>
            </w:tcBorders>
            <w:shd w:val="clear" w:color="auto" w:fill="auto"/>
            <w:vAlign w:val="bottom"/>
          </w:tcPr>
          <w:p w14:paraId="356FF1E8" w14:textId="77777777" w:rsidR="00132E89" w:rsidRPr="009C411C" w:rsidRDefault="00132E89" w:rsidP="0034622E">
            <w:pPr>
              <w:pStyle w:val="TT"/>
              <w:jc w:val="right"/>
              <w:rPr>
                <w:rFonts w:cs="Arial"/>
                <w:color w:val="000000" w:themeColor="text1"/>
                <w:sz w:val="18"/>
                <w:szCs w:val="18"/>
                <w:lang w:val="hr-HR"/>
              </w:rPr>
            </w:pPr>
          </w:p>
        </w:tc>
        <w:tc>
          <w:tcPr>
            <w:tcW w:w="624" w:type="pct"/>
            <w:tcBorders>
              <w:top w:val="nil"/>
              <w:left w:val="nil"/>
              <w:bottom w:val="nil"/>
              <w:right w:val="nil"/>
            </w:tcBorders>
            <w:shd w:val="clear" w:color="auto" w:fill="auto"/>
            <w:vAlign w:val="bottom"/>
          </w:tcPr>
          <w:p w14:paraId="22A01864" w14:textId="77777777" w:rsidR="00132E89" w:rsidRPr="009C411C" w:rsidRDefault="00132E89" w:rsidP="0034622E">
            <w:pPr>
              <w:pStyle w:val="TT"/>
              <w:jc w:val="right"/>
              <w:rPr>
                <w:rFonts w:cs="Arial"/>
                <w:color w:val="000000" w:themeColor="text1"/>
                <w:sz w:val="18"/>
                <w:szCs w:val="18"/>
                <w:lang w:val="hr-HR"/>
              </w:rPr>
            </w:pPr>
            <w:r w:rsidRPr="00F959D0">
              <w:rPr>
                <w:rFonts w:cs="Arial"/>
                <w:color w:val="000000" w:themeColor="text1"/>
                <w:sz w:val="18"/>
                <w:szCs w:val="18"/>
                <w:lang w:val="hr-HR"/>
              </w:rPr>
              <w:t xml:space="preserve"> 2.351.196 </w:t>
            </w:r>
          </w:p>
        </w:tc>
      </w:tr>
      <w:tr w:rsidR="00132E89" w:rsidRPr="009C411C" w14:paraId="3AC11479" w14:textId="77777777" w:rsidTr="0034622E">
        <w:trPr>
          <w:cantSplit/>
          <w:trHeight w:val="250"/>
          <w:tblHeader/>
        </w:trPr>
        <w:tc>
          <w:tcPr>
            <w:tcW w:w="2501" w:type="pct"/>
            <w:vAlign w:val="bottom"/>
          </w:tcPr>
          <w:p w14:paraId="5BC9E28C" w14:textId="77777777" w:rsidR="00132E89" w:rsidRPr="009C411C" w:rsidRDefault="00132E89" w:rsidP="0034622E">
            <w:pPr>
              <w:pStyle w:val="TT"/>
              <w:rPr>
                <w:rFonts w:cs="Arial"/>
                <w:color w:val="000000" w:themeColor="text1"/>
                <w:sz w:val="18"/>
                <w:szCs w:val="18"/>
                <w:lang w:val="hr-HR"/>
              </w:rPr>
            </w:pPr>
            <w:r w:rsidRPr="009C411C">
              <w:rPr>
                <w:rFonts w:cs="Arial"/>
                <w:color w:val="000000" w:themeColor="text1"/>
                <w:sz w:val="18"/>
                <w:szCs w:val="18"/>
                <w:lang w:val="hr-HR"/>
              </w:rPr>
              <w:t>Financijska imovina po fer vrijednosti kroz dobit ili gubitak</w:t>
            </w:r>
          </w:p>
        </w:tc>
        <w:tc>
          <w:tcPr>
            <w:tcW w:w="625" w:type="pct"/>
            <w:tcBorders>
              <w:top w:val="nil"/>
              <w:left w:val="nil"/>
              <w:bottom w:val="nil"/>
              <w:right w:val="nil"/>
            </w:tcBorders>
            <w:shd w:val="clear" w:color="auto" w:fill="auto"/>
            <w:vAlign w:val="bottom"/>
          </w:tcPr>
          <w:p w14:paraId="6B04F896" w14:textId="77777777" w:rsidR="00132E89" w:rsidRPr="009C411C" w:rsidRDefault="00132E89" w:rsidP="0034622E">
            <w:pPr>
              <w:pStyle w:val="TT"/>
              <w:jc w:val="right"/>
              <w:rPr>
                <w:rFonts w:cs="Arial"/>
                <w:color w:val="000000" w:themeColor="text1"/>
                <w:sz w:val="18"/>
                <w:szCs w:val="18"/>
                <w:lang w:val="hr-HR"/>
              </w:rPr>
            </w:pPr>
            <w:r w:rsidRPr="00F959D0">
              <w:rPr>
                <w:rFonts w:cs="Arial"/>
                <w:color w:val="000000" w:themeColor="text1"/>
                <w:sz w:val="18"/>
                <w:szCs w:val="18"/>
                <w:lang w:val="hr-HR"/>
              </w:rPr>
              <w:t>33.709</w:t>
            </w:r>
          </w:p>
        </w:tc>
        <w:tc>
          <w:tcPr>
            <w:tcW w:w="625" w:type="pct"/>
            <w:tcBorders>
              <w:top w:val="nil"/>
              <w:left w:val="nil"/>
              <w:bottom w:val="nil"/>
              <w:right w:val="nil"/>
            </w:tcBorders>
            <w:shd w:val="clear" w:color="auto" w:fill="auto"/>
            <w:vAlign w:val="bottom"/>
          </w:tcPr>
          <w:p w14:paraId="38C189A1" w14:textId="77777777" w:rsidR="00132E89" w:rsidRPr="009C411C" w:rsidRDefault="00132E89" w:rsidP="0034622E">
            <w:pPr>
              <w:pStyle w:val="TT"/>
              <w:jc w:val="right"/>
              <w:rPr>
                <w:rFonts w:cs="Arial"/>
                <w:color w:val="000000" w:themeColor="text1"/>
                <w:sz w:val="18"/>
                <w:szCs w:val="18"/>
                <w:lang w:val="hr-HR"/>
              </w:rPr>
            </w:pPr>
            <w:r w:rsidRPr="00F959D0">
              <w:rPr>
                <w:rFonts w:cs="Arial"/>
                <w:color w:val="000000" w:themeColor="text1"/>
                <w:sz w:val="18"/>
                <w:szCs w:val="18"/>
                <w:lang w:val="hr-HR"/>
              </w:rPr>
              <w:t xml:space="preserve"> -   </w:t>
            </w:r>
          </w:p>
        </w:tc>
        <w:tc>
          <w:tcPr>
            <w:tcW w:w="625" w:type="pct"/>
            <w:tcBorders>
              <w:top w:val="nil"/>
              <w:left w:val="nil"/>
              <w:bottom w:val="nil"/>
              <w:right w:val="nil"/>
            </w:tcBorders>
            <w:shd w:val="clear" w:color="auto" w:fill="auto"/>
            <w:vAlign w:val="bottom"/>
          </w:tcPr>
          <w:p w14:paraId="73C9B822" w14:textId="77777777" w:rsidR="00132E89" w:rsidRPr="009C411C" w:rsidRDefault="00132E89" w:rsidP="0034622E">
            <w:pPr>
              <w:pStyle w:val="TT"/>
              <w:jc w:val="right"/>
              <w:rPr>
                <w:rFonts w:cs="Arial"/>
                <w:color w:val="000000" w:themeColor="text1"/>
                <w:sz w:val="18"/>
                <w:szCs w:val="18"/>
                <w:lang w:val="hr-HR"/>
              </w:rPr>
            </w:pPr>
            <w:r w:rsidRPr="00F959D0">
              <w:rPr>
                <w:rFonts w:cs="Arial"/>
                <w:color w:val="000000" w:themeColor="text1"/>
                <w:sz w:val="18"/>
                <w:szCs w:val="18"/>
                <w:lang w:val="hr-HR"/>
              </w:rPr>
              <w:t xml:space="preserve"> -   </w:t>
            </w:r>
          </w:p>
        </w:tc>
        <w:tc>
          <w:tcPr>
            <w:tcW w:w="624" w:type="pct"/>
            <w:tcBorders>
              <w:top w:val="nil"/>
              <w:left w:val="nil"/>
              <w:bottom w:val="nil"/>
              <w:right w:val="nil"/>
            </w:tcBorders>
            <w:shd w:val="clear" w:color="auto" w:fill="auto"/>
            <w:vAlign w:val="bottom"/>
          </w:tcPr>
          <w:p w14:paraId="1CA9D79B" w14:textId="77777777" w:rsidR="00132E89" w:rsidRPr="009C411C" w:rsidRDefault="00132E89" w:rsidP="0034622E">
            <w:pPr>
              <w:pStyle w:val="TT"/>
              <w:jc w:val="right"/>
              <w:rPr>
                <w:rFonts w:cs="Arial"/>
                <w:color w:val="000000" w:themeColor="text1"/>
                <w:sz w:val="18"/>
                <w:szCs w:val="18"/>
                <w:lang w:val="hr-HR"/>
              </w:rPr>
            </w:pPr>
            <w:r w:rsidRPr="00F959D0">
              <w:rPr>
                <w:rFonts w:cs="Arial"/>
                <w:color w:val="000000" w:themeColor="text1"/>
                <w:sz w:val="18"/>
                <w:szCs w:val="18"/>
                <w:lang w:val="hr-HR"/>
              </w:rPr>
              <w:t>33.709</w:t>
            </w:r>
          </w:p>
        </w:tc>
      </w:tr>
      <w:tr w:rsidR="00132E89" w:rsidRPr="009C411C" w14:paraId="7CE52BD6" w14:textId="77777777" w:rsidTr="0034622E">
        <w:trPr>
          <w:cantSplit/>
          <w:trHeight w:val="250"/>
          <w:tblHeader/>
        </w:trPr>
        <w:tc>
          <w:tcPr>
            <w:tcW w:w="2501" w:type="pct"/>
          </w:tcPr>
          <w:p w14:paraId="1C3B4485" w14:textId="77777777" w:rsidR="00132E89" w:rsidRPr="009C411C" w:rsidRDefault="00132E89" w:rsidP="0034622E">
            <w:pPr>
              <w:pStyle w:val="TT"/>
              <w:rPr>
                <w:rFonts w:cs="Arial"/>
                <w:color w:val="000000" w:themeColor="text1"/>
                <w:sz w:val="18"/>
                <w:szCs w:val="18"/>
                <w:lang w:val="hr-HR"/>
              </w:rPr>
            </w:pPr>
            <w:r w:rsidRPr="009C411C">
              <w:rPr>
                <w:rFonts w:cs="Arial"/>
                <w:color w:val="000000" w:themeColor="text1"/>
                <w:sz w:val="18"/>
                <w:szCs w:val="18"/>
                <w:lang w:val="hr-HR"/>
              </w:rPr>
              <w:t xml:space="preserve">Financijska imovina po fer vrijednosti kroz ostalu sveobuhvatnu dobit        </w:t>
            </w:r>
          </w:p>
        </w:tc>
        <w:tc>
          <w:tcPr>
            <w:tcW w:w="625" w:type="pct"/>
            <w:tcBorders>
              <w:top w:val="nil"/>
              <w:left w:val="nil"/>
              <w:right w:val="nil"/>
            </w:tcBorders>
            <w:shd w:val="clear" w:color="auto" w:fill="auto"/>
            <w:vAlign w:val="bottom"/>
          </w:tcPr>
          <w:p w14:paraId="28C05EA3" w14:textId="77777777" w:rsidR="00132E89" w:rsidRPr="009C411C" w:rsidRDefault="00132E89" w:rsidP="0034622E">
            <w:pPr>
              <w:pStyle w:val="TT"/>
              <w:jc w:val="right"/>
              <w:rPr>
                <w:rFonts w:cs="Arial"/>
                <w:color w:val="000000" w:themeColor="text1"/>
                <w:sz w:val="18"/>
                <w:szCs w:val="18"/>
                <w:lang w:val="hr-HR"/>
              </w:rPr>
            </w:pPr>
            <w:r w:rsidRPr="00F959D0">
              <w:rPr>
                <w:rFonts w:cs="Arial"/>
                <w:color w:val="000000" w:themeColor="text1"/>
                <w:sz w:val="18"/>
                <w:szCs w:val="18"/>
                <w:lang w:val="hr-HR"/>
              </w:rPr>
              <w:t>220.898</w:t>
            </w:r>
          </w:p>
        </w:tc>
        <w:tc>
          <w:tcPr>
            <w:tcW w:w="625" w:type="pct"/>
            <w:tcBorders>
              <w:top w:val="nil"/>
              <w:left w:val="nil"/>
              <w:right w:val="nil"/>
            </w:tcBorders>
            <w:shd w:val="clear" w:color="auto" w:fill="auto"/>
            <w:vAlign w:val="bottom"/>
          </w:tcPr>
          <w:p w14:paraId="76FB4F28" w14:textId="77777777" w:rsidR="00132E89" w:rsidRPr="009C411C" w:rsidRDefault="00132E89" w:rsidP="0034622E">
            <w:pPr>
              <w:pStyle w:val="TT"/>
              <w:jc w:val="right"/>
              <w:rPr>
                <w:rFonts w:cs="Arial"/>
                <w:color w:val="000000" w:themeColor="text1"/>
                <w:sz w:val="18"/>
                <w:szCs w:val="18"/>
                <w:lang w:val="hr-HR"/>
              </w:rPr>
            </w:pPr>
            <w:r w:rsidRPr="00F959D0">
              <w:rPr>
                <w:rFonts w:cs="Arial"/>
                <w:color w:val="000000" w:themeColor="text1"/>
                <w:sz w:val="18"/>
                <w:szCs w:val="18"/>
                <w:lang w:val="hr-HR"/>
              </w:rPr>
              <w:t>195</w:t>
            </w:r>
          </w:p>
        </w:tc>
        <w:tc>
          <w:tcPr>
            <w:tcW w:w="625" w:type="pct"/>
            <w:tcBorders>
              <w:top w:val="nil"/>
              <w:left w:val="nil"/>
              <w:right w:val="nil"/>
            </w:tcBorders>
            <w:shd w:val="clear" w:color="auto" w:fill="auto"/>
            <w:vAlign w:val="bottom"/>
          </w:tcPr>
          <w:p w14:paraId="2218975C" w14:textId="77777777" w:rsidR="00132E89" w:rsidRPr="009C411C" w:rsidRDefault="00132E89" w:rsidP="0034622E">
            <w:pPr>
              <w:pStyle w:val="TT"/>
              <w:jc w:val="right"/>
              <w:rPr>
                <w:rFonts w:cs="Arial"/>
                <w:color w:val="000000" w:themeColor="text1"/>
                <w:sz w:val="18"/>
                <w:szCs w:val="18"/>
                <w:lang w:val="hr-HR"/>
              </w:rPr>
            </w:pPr>
            <w:r w:rsidRPr="00F959D0">
              <w:rPr>
                <w:rFonts w:cs="Arial"/>
                <w:color w:val="000000" w:themeColor="text1"/>
                <w:sz w:val="18"/>
                <w:szCs w:val="18"/>
                <w:lang w:val="hr-HR"/>
              </w:rPr>
              <w:t xml:space="preserve"> -   </w:t>
            </w:r>
          </w:p>
        </w:tc>
        <w:tc>
          <w:tcPr>
            <w:tcW w:w="624" w:type="pct"/>
            <w:tcBorders>
              <w:top w:val="nil"/>
              <w:left w:val="nil"/>
              <w:right w:val="nil"/>
            </w:tcBorders>
            <w:shd w:val="clear" w:color="auto" w:fill="auto"/>
            <w:vAlign w:val="bottom"/>
          </w:tcPr>
          <w:p w14:paraId="24737891" w14:textId="77777777" w:rsidR="00132E89" w:rsidRPr="009C411C" w:rsidRDefault="00132E89" w:rsidP="0034622E">
            <w:pPr>
              <w:pStyle w:val="TT"/>
              <w:jc w:val="right"/>
              <w:rPr>
                <w:rFonts w:cs="Arial"/>
                <w:color w:val="000000" w:themeColor="text1"/>
                <w:sz w:val="18"/>
                <w:szCs w:val="18"/>
                <w:lang w:val="hr-HR"/>
              </w:rPr>
            </w:pPr>
            <w:r w:rsidRPr="00F959D0">
              <w:rPr>
                <w:rFonts w:cs="Arial"/>
                <w:color w:val="000000" w:themeColor="text1"/>
                <w:sz w:val="18"/>
                <w:szCs w:val="18"/>
                <w:lang w:val="hr-HR"/>
              </w:rPr>
              <w:t>221.093</w:t>
            </w:r>
          </w:p>
        </w:tc>
      </w:tr>
      <w:tr w:rsidR="00132E89" w:rsidRPr="009C411C" w14:paraId="1ADF4378" w14:textId="77777777" w:rsidTr="0034622E">
        <w:trPr>
          <w:cantSplit/>
          <w:trHeight w:val="250"/>
          <w:tblHeader/>
        </w:trPr>
        <w:tc>
          <w:tcPr>
            <w:tcW w:w="2501" w:type="pct"/>
            <w:vAlign w:val="bottom"/>
          </w:tcPr>
          <w:p w14:paraId="7ECFB6C9" w14:textId="77777777" w:rsidR="00132E89" w:rsidRPr="009C411C" w:rsidRDefault="00132E89" w:rsidP="0034622E">
            <w:pPr>
              <w:pStyle w:val="TT"/>
              <w:rPr>
                <w:rFonts w:cs="Arial"/>
                <w:color w:val="000000" w:themeColor="text1"/>
                <w:sz w:val="18"/>
                <w:szCs w:val="18"/>
                <w:lang w:val="hr-HR"/>
              </w:rPr>
            </w:pPr>
            <w:r w:rsidRPr="009C411C">
              <w:rPr>
                <w:rFonts w:cs="Arial"/>
                <w:color w:val="000000" w:themeColor="text1"/>
                <w:sz w:val="18"/>
                <w:szCs w:val="18"/>
                <w:lang w:val="hr-HR"/>
              </w:rPr>
              <w:t>Ostala imovina</w:t>
            </w:r>
          </w:p>
        </w:tc>
        <w:tc>
          <w:tcPr>
            <w:tcW w:w="625" w:type="pct"/>
            <w:tcBorders>
              <w:top w:val="nil"/>
              <w:left w:val="nil"/>
              <w:bottom w:val="single" w:sz="6" w:space="0" w:color="auto"/>
              <w:right w:val="nil"/>
            </w:tcBorders>
            <w:shd w:val="clear" w:color="auto" w:fill="auto"/>
            <w:vAlign w:val="bottom"/>
          </w:tcPr>
          <w:p w14:paraId="01A43B94" w14:textId="77777777" w:rsidR="00132E89" w:rsidRPr="009C411C" w:rsidRDefault="00132E89" w:rsidP="0034622E">
            <w:pPr>
              <w:pStyle w:val="TT"/>
              <w:jc w:val="right"/>
              <w:rPr>
                <w:rFonts w:cs="Arial"/>
                <w:color w:val="000000" w:themeColor="text1"/>
                <w:sz w:val="18"/>
                <w:szCs w:val="18"/>
                <w:lang w:val="hr-HR"/>
              </w:rPr>
            </w:pPr>
            <w:r w:rsidRPr="00F959D0">
              <w:rPr>
                <w:rFonts w:cs="Arial"/>
                <w:color w:val="000000" w:themeColor="text1"/>
                <w:sz w:val="18"/>
                <w:szCs w:val="18"/>
                <w:lang w:val="hr-HR"/>
              </w:rPr>
              <w:t>393</w:t>
            </w:r>
          </w:p>
        </w:tc>
        <w:tc>
          <w:tcPr>
            <w:tcW w:w="625" w:type="pct"/>
            <w:tcBorders>
              <w:top w:val="nil"/>
              <w:left w:val="nil"/>
              <w:bottom w:val="single" w:sz="6" w:space="0" w:color="auto"/>
              <w:right w:val="nil"/>
            </w:tcBorders>
            <w:shd w:val="clear" w:color="auto" w:fill="auto"/>
            <w:vAlign w:val="bottom"/>
          </w:tcPr>
          <w:p w14:paraId="148E484D" w14:textId="77777777" w:rsidR="00132E89" w:rsidRPr="009C411C" w:rsidRDefault="00132E89" w:rsidP="0034622E">
            <w:pPr>
              <w:pStyle w:val="TT"/>
              <w:jc w:val="right"/>
              <w:rPr>
                <w:rFonts w:cs="Arial"/>
                <w:color w:val="000000" w:themeColor="text1"/>
                <w:sz w:val="18"/>
                <w:szCs w:val="18"/>
                <w:lang w:val="hr-HR"/>
              </w:rPr>
            </w:pPr>
            <w:r w:rsidRPr="00F959D0">
              <w:rPr>
                <w:rFonts w:cs="Arial"/>
                <w:color w:val="000000" w:themeColor="text1"/>
                <w:sz w:val="18"/>
                <w:szCs w:val="18"/>
                <w:lang w:val="hr-HR"/>
              </w:rPr>
              <w:t xml:space="preserve">683 </w:t>
            </w:r>
          </w:p>
        </w:tc>
        <w:tc>
          <w:tcPr>
            <w:tcW w:w="625" w:type="pct"/>
            <w:tcBorders>
              <w:top w:val="nil"/>
              <w:left w:val="nil"/>
              <w:bottom w:val="single" w:sz="6" w:space="0" w:color="auto"/>
              <w:right w:val="nil"/>
            </w:tcBorders>
            <w:shd w:val="clear" w:color="auto" w:fill="auto"/>
            <w:vAlign w:val="bottom"/>
          </w:tcPr>
          <w:p w14:paraId="317879E8" w14:textId="77777777" w:rsidR="00132E89" w:rsidRPr="009C411C" w:rsidRDefault="00132E89" w:rsidP="0034622E">
            <w:pPr>
              <w:pStyle w:val="TT"/>
              <w:jc w:val="right"/>
              <w:rPr>
                <w:rFonts w:cs="Arial"/>
                <w:color w:val="000000" w:themeColor="text1"/>
                <w:sz w:val="18"/>
                <w:szCs w:val="18"/>
                <w:lang w:val="hr-HR"/>
              </w:rPr>
            </w:pPr>
            <w:r w:rsidRPr="00F959D0">
              <w:rPr>
                <w:rFonts w:cs="Arial"/>
                <w:color w:val="000000" w:themeColor="text1"/>
                <w:sz w:val="18"/>
                <w:szCs w:val="18"/>
                <w:lang w:val="hr-HR"/>
              </w:rPr>
              <w:t xml:space="preserve"> 4 </w:t>
            </w:r>
          </w:p>
        </w:tc>
        <w:tc>
          <w:tcPr>
            <w:tcW w:w="624" w:type="pct"/>
            <w:tcBorders>
              <w:top w:val="nil"/>
              <w:left w:val="nil"/>
              <w:bottom w:val="single" w:sz="6" w:space="0" w:color="auto"/>
              <w:right w:val="nil"/>
            </w:tcBorders>
            <w:shd w:val="clear" w:color="auto" w:fill="auto"/>
            <w:vAlign w:val="bottom"/>
          </w:tcPr>
          <w:p w14:paraId="75E986A4" w14:textId="77777777" w:rsidR="00132E89" w:rsidRPr="009C411C" w:rsidRDefault="00132E89" w:rsidP="0034622E">
            <w:pPr>
              <w:pStyle w:val="TT"/>
              <w:jc w:val="right"/>
              <w:rPr>
                <w:rFonts w:cs="Arial"/>
                <w:color w:val="000000" w:themeColor="text1"/>
                <w:sz w:val="18"/>
                <w:szCs w:val="18"/>
                <w:lang w:val="hr-HR"/>
              </w:rPr>
            </w:pPr>
            <w:r w:rsidRPr="00F959D0">
              <w:rPr>
                <w:rFonts w:cs="Arial"/>
                <w:color w:val="000000" w:themeColor="text1"/>
                <w:sz w:val="18"/>
                <w:szCs w:val="18"/>
                <w:lang w:val="hr-HR"/>
              </w:rPr>
              <w:t xml:space="preserve"> 1.080 </w:t>
            </w:r>
          </w:p>
        </w:tc>
      </w:tr>
      <w:tr w:rsidR="00132E89" w:rsidRPr="009C411C" w14:paraId="71F1F623" w14:textId="77777777" w:rsidTr="0034622E">
        <w:trPr>
          <w:cantSplit/>
          <w:trHeight w:hRule="exact" w:val="391"/>
          <w:tblHeader/>
        </w:trPr>
        <w:tc>
          <w:tcPr>
            <w:tcW w:w="2501" w:type="pct"/>
            <w:vAlign w:val="bottom"/>
          </w:tcPr>
          <w:p w14:paraId="022C1476" w14:textId="77777777" w:rsidR="00132E89" w:rsidRPr="009C411C" w:rsidRDefault="00132E89" w:rsidP="0034622E">
            <w:pPr>
              <w:pStyle w:val="TT"/>
              <w:rPr>
                <w:rFonts w:cs="Arial"/>
                <w:b/>
                <w:bCs/>
                <w:color w:val="000000" w:themeColor="text1"/>
                <w:sz w:val="18"/>
                <w:szCs w:val="18"/>
                <w:lang w:val="hr-HR"/>
              </w:rPr>
            </w:pPr>
            <w:r w:rsidRPr="009C411C">
              <w:rPr>
                <w:rFonts w:cs="Arial"/>
                <w:b/>
                <w:bCs/>
                <w:color w:val="000000" w:themeColor="text1"/>
                <w:sz w:val="18"/>
                <w:szCs w:val="18"/>
                <w:lang w:val="hr-HR"/>
              </w:rPr>
              <w:t xml:space="preserve">Ukupno </w:t>
            </w:r>
          </w:p>
        </w:tc>
        <w:tc>
          <w:tcPr>
            <w:tcW w:w="625" w:type="pct"/>
            <w:tcBorders>
              <w:top w:val="single" w:sz="6" w:space="0" w:color="auto"/>
              <w:left w:val="nil"/>
              <w:bottom w:val="single" w:sz="8" w:space="0" w:color="auto"/>
              <w:right w:val="nil"/>
            </w:tcBorders>
            <w:shd w:val="clear" w:color="auto" w:fill="auto"/>
            <w:vAlign w:val="bottom"/>
          </w:tcPr>
          <w:p w14:paraId="70199961" w14:textId="77777777" w:rsidR="00132E89" w:rsidRPr="009C411C" w:rsidRDefault="00132E89" w:rsidP="0034622E">
            <w:pPr>
              <w:tabs>
                <w:tab w:val="right" w:pos="1202"/>
              </w:tabs>
              <w:spacing w:line="301" w:lineRule="exact"/>
              <w:jc w:val="right"/>
              <w:outlineLvl w:val="0"/>
              <w:rPr>
                <w:rFonts w:ascii="Arial" w:hAnsi="Arial" w:cs="Arial"/>
                <w:b/>
                <w:bCs/>
                <w:color w:val="000000" w:themeColor="text1"/>
                <w:sz w:val="18"/>
                <w:szCs w:val="18"/>
              </w:rPr>
            </w:pPr>
            <w:r w:rsidRPr="00F959D0">
              <w:rPr>
                <w:rFonts w:ascii="Arial" w:hAnsi="Arial" w:cs="Arial"/>
                <w:b/>
                <w:bCs/>
                <w:color w:val="000000" w:themeColor="text1"/>
                <w:sz w:val="18"/>
                <w:szCs w:val="18"/>
              </w:rPr>
              <w:t>3.932.129</w:t>
            </w:r>
          </w:p>
        </w:tc>
        <w:tc>
          <w:tcPr>
            <w:tcW w:w="625" w:type="pct"/>
            <w:tcBorders>
              <w:top w:val="single" w:sz="6" w:space="0" w:color="auto"/>
              <w:left w:val="nil"/>
              <w:bottom w:val="single" w:sz="8" w:space="0" w:color="auto"/>
              <w:right w:val="nil"/>
            </w:tcBorders>
            <w:shd w:val="clear" w:color="auto" w:fill="auto"/>
            <w:vAlign w:val="bottom"/>
          </w:tcPr>
          <w:p w14:paraId="211E0605" w14:textId="77777777" w:rsidR="00132E89" w:rsidRPr="009C411C" w:rsidRDefault="00132E89" w:rsidP="0034622E">
            <w:pPr>
              <w:tabs>
                <w:tab w:val="right" w:pos="1202"/>
              </w:tabs>
              <w:spacing w:line="301" w:lineRule="exact"/>
              <w:jc w:val="right"/>
              <w:outlineLvl w:val="0"/>
              <w:rPr>
                <w:rFonts w:ascii="Arial" w:hAnsi="Arial" w:cs="Arial"/>
                <w:b/>
                <w:bCs/>
                <w:color w:val="000000" w:themeColor="text1"/>
                <w:sz w:val="18"/>
                <w:szCs w:val="18"/>
              </w:rPr>
            </w:pPr>
            <w:r w:rsidRPr="00F959D0">
              <w:rPr>
                <w:rFonts w:ascii="Arial" w:hAnsi="Arial" w:cs="Arial"/>
                <w:b/>
                <w:bCs/>
                <w:color w:val="000000" w:themeColor="text1"/>
                <w:sz w:val="18"/>
                <w:szCs w:val="18"/>
              </w:rPr>
              <w:t>34.735</w:t>
            </w:r>
          </w:p>
        </w:tc>
        <w:tc>
          <w:tcPr>
            <w:tcW w:w="625" w:type="pct"/>
            <w:tcBorders>
              <w:top w:val="single" w:sz="6" w:space="0" w:color="auto"/>
              <w:left w:val="nil"/>
              <w:bottom w:val="single" w:sz="8" w:space="0" w:color="auto"/>
              <w:right w:val="nil"/>
            </w:tcBorders>
            <w:shd w:val="clear" w:color="auto" w:fill="auto"/>
            <w:vAlign w:val="bottom"/>
          </w:tcPr>
          <w:p w14:paraId="17D9A7E3" w14:textId="77777777" w:rsidR="00132E89" w:rsidRPr="009C411C" w:rsidRDefault="00132E89" w:rsidP="0034622E">
            <w:pPr>
              <w:tabs>
                <w:tab w:val="right" w:pos="1202"/>
              </w:tabs>
              <w:spacing w:line="301" w:lineRule="exact"/>
              <w:jc w:val="right"/>
              <w:outlineLvl w:val="0"/>
              <w:rPr>
                <w:rFonts w:ascii="Arial" w:hAnsi="Arial" w:cs="Arial"/>
                <w:b/>
                <w:bCs/>
                <w:color w:val="000000" w:themeColor="text1"/>
                <w:sz w:val="18"/>
                <w:szCs w:val="18"/>
              </w:rPr>
            </w:pPr>
            <w:r w:rsidRPr="00F959D0">
              <w:rPr>
                <w:rFonts w:ascii="Arial" w:hAnsi="Arial" w:cs="Arial"/>
                <w:b/>
                <w:bCs/>
                <w:color w:val="000000" w:themeColor="text1"/>
                <w:sz w:val="18"/>
                <w:szCs w:val="18"/>
              </w:rPr>
              <w:t>94</w:t>
            </w:r>
          </w:p>
        </w:tc>
        <w:tc>
          <w:tcPr>
            <w:tcW w:w="624" w:type="pct"/>
            <w:tcBorders>
              <w:top w:val="single" w:sz="6" w:space="0" w:color="auto"/>
              <w:left w:val="nil"/>
              <w:bottom w:val="single" w:sz="8" w:space="0" w:color="auto"/>
              <w:right w:val="nil"/>
            </w:tcBorders>
            <w:shd w:val="clear" w:color="auto" w:fill="auto"/>
            <w:vAlign w:val="bottom"/>
          </w:tcPr>
          <w:p w14:paraId="140A808A" w14:textId="77777777" w:rsidR="00132E89" w:rsidRPr="009C411C" w:rsidRDefault="00132E89" w:rsidP="0034622E">
            <w:pPr>
              <w:tabs>
                <w:tab w:val="right" w:pos="1202"/>
              </w:tabs>
              <w:spacing w:line="301" w:lineRule="exact"/>
              <w:jc w:val="right"/>
              <w:outlineLvl w:val="0"/>
              <w:rPr>
                <w:rFonts w:ascii="Arial" w:hAnsi="Arial" w:cs="Arial"/>
                <w:b/>
                <w:bCs/>
                <w:color w:val="000000" w:themeColor="text1"/>
                <w:sz w:val="18"/>
                <w:szCs w:val="18"/>
              </w:rPr>
            </w:pPr>
            <w:r w:rsidRPr="00F959D0">
              <w:rPr>
                <w:rFonts w:ascii="Arial" w:hAnsi="Arial" w:cs="Arial"/>
                <w:b/>
                <w:bCs/>
                <w:color w:val="000000" w:themeColor="text1"/>
                <w:sz w:val="18"/>
                <w:szCs w:val="18"/>
              </w:rPr>
              <w:t>3.966.958</w:t>
            </w:r>
          </w:p>
        </w:tc>
      </w:tr>
      <w:tr w:rsidR="00132E89" w:rsidRPr="009C411C" w14:paraId="16027ACE" w14:textId="77777777" w:rsidTr="0034622E">
        <w:tblPrEx>
          <w:tblCellMar>
            <w:left w:w="31" w:type="dxa"/>
            <w:right w:w="31" w:type="dxa"/>
          </w:tblCellMar>
        </w:tblPrEx>
        <w:trPr>
          <w:cantSplit/>
          <w:trHeight w:val="250"/>
          <w:tblHeader/>
        </w:trPr>
        <w:tc>
          <w:tcPr>
            <w:tcW w:w="2501" w:type="pct"/>
            <w:vAlign w:val="bottom"/>
          </w:tcPr>
          <w:p w14:paraId="6A7C8BE8" w14:textId="77777777" w:rsidR="00132E89" w:rsidRPr="009C411C" w:rsidRDefault="00132E89" w:rsidP="0034622E">
            <w:pPr>
              <w:pStyle w:val="TT"/>
              <w:rPr>
                <w:rFonts w:cs="Arial"/>
                <w:b/>
                <w:bCs/>
                <w:color w:val="000000" w:themeColor="text1"/>
                <w:sz w:val="18"/>
                <w:szCs w:val="18"/>
                <w:lang w:val="hr-HR"/>
              </w:rPr>
            </w:pPr>
          </w:p>
        </w:tc>
        <w:tc>
          <w:tcPr>
            <w:tcW w:w="625" w:type="pct"/>
            <w:tcBorders>
              <w:top w:val="single" w:sz="12" w:space="0" w:color="auto"/>
            </w:tcBorders>
            <w:vAlign w:val="bottom"/>
          </w:tcPr>
          <w:p w14:paraId="47103266" w14:textId="77777777" w:rsidR="00132E89" w:rsidRPr="009C411C" w:rsidRDefault="00132E89" w:rsidP="0034622E">
            <w:pPr>
              <w:pStyle w:val="TT"/>
              <w:jc w:val="right"/>
              <w:rPr>
                <w:rFonts w:cs="Arial"/>
                <w:color w:val="000000" w:themeColor="text1"/>
                <w:sz w:val="18"/>
                <w:szCs w:val="18"/>
                <w:lang w:val="hr-HR"/>
              </w:rPr>
            </w:pPr>
          </w:p>
        </w:tc>
        <w:tc>
          <w:tcPr>
            <w:tcW w:w="625" w:type="pct"/>
            <w:tcBorders>
              <w:top w:val="single" w:sz="12" w:space="0" w:color="auto"/>
            </w:tcBorders>
            <w:vAlign w:val="bottom"/>
          </w:tcPr>
          <w:p w14:paraId="536A5B34" w14:textId="77777777" w:rsidR="00132E89" w:rsidRPr="009C411C" w:rsidRDefault="00132E89" w:rsidP="0034622E">
            <w:pPr>
              <w:pStyle w:val="TT"/>
              <w:jc w:val="right"/>
              <w:rPr>
                <w:rFonts w:cs="Arial"/>
                <w:color w:val="000000" w:themeColor="text1"/>
                <w:sz w:val="18"/>
                <w:szCs w:val="18"/>
                <w:lang w:val="hr-HR"/>
              </w:rPr>
            </w:pPr>
          </w:p>
        </w:tc>
        <w:tc>
          <w:tcPr>
            <w:tcW w:w="625" w:type="pct"/>
            <w:tcBorders>
              <w:top w:val="single" w:sz="12" w:space="0" w:color="auto"/>
            </w:tcBorders>
            <w:vAlign w:val="bottom"/>
          </w:tcPr>
          <w:p w14:paraId="3239C62A" w14:textId="77777777" w:rsidR="00132E89" w:rsidRPr="009C411C" w:rsidRDefault="00132E89" w:rsidP="0034622E">
            <w:pPr>
              <w:pStyle w:val="TT"/>
              <w:jc w:val="right"/>
              <w:rPr>
                <w:rFonts w:cs="Arial"/>
                <w:color w:val="000000" w:themeColor="text1"/>
                <w:sz w:val="18"/>
                <w:szCs w:val="18"/>
                <w:lang w:val="hr-HR"/>
              </w:rPr>
            </w:pPr>
          </w:p>
        </w:tc>
        <w:tc>
          <w:tcPr>
            <w:tcW w:w="624" w:type="pct"/>
            <w:tcBorders>
              <w:top w:val="single" w:sz="12" w:space="0" w:color="auto"/>
            </w:tcBorders>
            <w:vAlign w:val="bottom"/>
          </w:tcPr>
          <w:p w14:paraId="6D73FECA" w14:textId="77777777" w:rsidR="00132E89" w:rsidRPr="009C411C" w:rsidRDefault="00132E89" w:rsidP="0034622E">
            <w:pPr>
              <w:pStyle w:val="TT"/>
              <w:jc w:val="right"/>
              <w:rPr>
                <w:rFonts w:cs="Arial"/>
                <w:color w:val="000000" w:themeColor="text1"/>
                <w:sz w:val="18"/>
                <w:szCs w:val="18"/>
                <w:lang w:val="hr-HR"/>
              </w:rPr>
            </w:pPr>
          </w:p>
        </w:tc>
      </w:tr>
      <w:tr w:rsidR="00132E89" w:rsidRPr="009C411C" w14:paraId="0D414A9C" w14:textId="77777777" w:rsidTr="0034622E">
        <w:tblPrEx>
          <w:tblCellMar>
            <w:left w:w="31" w:type="dxa"/>
            <w:right w:w="31" w:type="dxa"/>
          </w:tblCellMar>
        </w:tblPrEx>
        <w:trPr>
          <w:cantSplit/>
          <w:trHeight w:val="250"/>
          <w:tblHeader/>
        </w:trPr>
        <w:tc>
          <w:tcPr>
            <w:tcW w:w="2501" w:type="pct"/>
          </w:tcPr>
          <w:p w14:paraId="782DE834" w14:textId="77777777" w:rsidR="00132E89" w:rsidRPr="009C411C" w:rsidRDefault="00132E89" w:rsidP="0034622E">
            <w:pPr>
              <w:pStyle w:val="TT"/>
              <w:rPr>
                <w:rFonts w:cs="Arial"/>
                <w:b/>
                <w:bCs/>
                <w:color w:val="000000" w:themeColor="text1"/>
                <w:sz w:val="18"/>
                <w:szCs w:val="18"/>
                <w:lang w:val="hr-HR"/>
              </w:rPr>
            </w:pPr>
            <w:r w:rsidRPr="009C411C">
              <w:rPr>
                <w:rFonts w:cs="Arial"/>
                <w:b/>
                <w:bCs/>
                <w:color w:val="000000" w:themeColor="text1"/>
                <w:sz w:val="18"/>
                <w:szCs w:val="18"/>
                <w:lang w:val="hr-HR"/>
              </w:rPr>
              <w:t>Garancije i preuzete obveze</w:t>
            </w:r>
          </w:p>
        </w:tc>
        <w:tc>
          <w:tcPr>
            <w:tcW w:w="625" w:type="pct"/>
            <w:vAlign w:val="bottom"/>
          </w:tcPr>
          <w:p w14:paraId="14321C03" w14:textId="77777777" w:rsidR="00132E89" w:rsidRPr="009C411C" w:rsidRDefault="00132E89" w:rsidP="0034622E">
            <w:pPr>
              <w:pStyle w:val="TT"/>
              <w:jc w:val="right"/>
              <w:rPr>
                <w:rFonts w:cs="Arial"/>
                <w:color w:val="000000" w:themeColor="text1"/>
                <w:sz w:val="18"/>
                <w:szCs w:val="18"/>
                <w:lang w:val="hr-HR"/>
              </w:rPr>
            </w:pPr>
          </w:p>
        </w:tc>
        <w:tc>
          <w:tcPr>
            <w:tcW w:w="625" w:type="pct"/>
            <w:vAlign w:val="bottom"/>
          </w:tcPr>
          <w:p w14:paraId="61696226" w14:textId="77777777" w:rsidR="00132E89" w:rsidRPr="009C411C" w:rsidRDefault="00132E89" w:rsidP="0034622E">
            <w:pPr>
              <w:pStyle w:val="TT"/>
              <w:jc w:val="right"/>
              <w:rPr>
                <w:rFonts w:cs="Arial"/>
                <w:color w:val="000000" w:themeColor="text1"/>
                <w:sz w:val="18"/>
                <w:szCs w:val="18"/>
                <w:lang w:val="hr-HR"/>
              </w:rPr>
            </w:pPr>
          </w:p>
        </w:tc>
        <w:tc>
          <w:tcPr>
            <w:tcW w:w="625" w:type="pct"/>
            <w:vAlign w:val="bottom"/>
          </w:tcPr>
          <w:p w14:paraId="22E73B73" w14:textId="77777777" w:rsidR="00132E89" w:rsidRPr="009C411C" w:rsidRDefault="00132E89" w:rsidP="0034622E">
            <w:pPr>
              <w:pStyle w:val="TT"/>
              <w:jc w:val="right"/>
              <w:rPr>
                <w:rFonts w:cs="Arial"/>
                <w:color w:val="000000" w:themeColor="text1"/>
                <w:sz w:val="18"/>
                <w:szCs w:val="18"/>
                <w:lang w:val="hr-HR"/>
              </w:rPr>
            </w:pPr>
          </w:p>
        </w:tc>
        <w:tc>
          <w:tcPr>
            <w:tcW w:w="624" w:type="pct"/>
            <w:vAlign w:val="bottom"/>
          </w:tcPr>
          <w:p w14:paraId="1BE076FB" w14:textId="77777777" w:rsidR="00132E89" w:rsidRPr="009C411C" w:rsidRDefault="00132E89" w:rsidP="0034622E">
            <w:pPr>
              <w:pStyle w:val="TT"/>
              <w:jc w:val="right"/>
              <w:rPr>
                <w:rFonts w:cs="Arial"/>
                <w:color w:val="000000" w:themeColor="text1"/>
                <w:sz w:val="18"/>
                <w:szCs w:val="18"/>
                <w:lang w:val="hr-HR"/>
              </w:rPr>
            </w:pPr>
          </w:p>
        </w:tc>
      </w:tr>
      <w:tr w:rsidR="00132E89" w:rsidRPr="009C411C" w14:paraId="2C22E05D" w14:textId="77777777" w:rsidTr="0034622E">
        <w:tblPrEx>
          <w:tblCellMar>
            <w:left w:w="31" w:type="dxa"/>
            <w:right w:w="31" w:type="dxa"/>
          </w:tblCellMar>
        </w:tblPrEx>
        <w:trPr>
          <w:cantSplit/>
          <w:trHeight w:val="250"/>
          <w:tblHeader/>
        </w:trPr>
        <w:tc>
          <w:tcPr>
            <w:tcW w:w="2501" w:type="pct"/>
          </w:tcPr>
          <w:p w14:paraId="1CD80AD5" w14:textId="77777777" w:rsidR="00132E89" w:rsidRPr="009C411C" w:rsidRDefault="00132E89" w:rsidP="0034622E">
            <w:pPr>
              <w:tabs>
                <w:tab w:val="right" w:pos="1202"/>
              </w:tabs>
              <w:spacing w:line="301" w:lineRule="exact"/>
              <w:outlineLvl w:val="0"/>
              <w:rPr>
                <w:rFonts w:ascii="Arial" w:hAnsi="Arial" w:cs="Arial"/>
                <w:b/>
                <w:bCs/>
                <w:color w:val="000000" w:themeColor="text1"/>
                <w:sz w:val="18"/>
                <w:szCs w:val="18"/>
              </w:rPr>
            </w:pPr>
            <w:r w:rsidRPr="009C411C">
              <w:rPr>
                <w:rFonts w:ascii="Arial" w:hAnsi="Arial" w:cs="Arial"/>
                <w:color w:val="000000" w:themeColor="text1"/>
                <w:sz w:val="18"/>
                <w:szCs w:val="18"/>
              </w:rPr>
              <w:t xml:space="preserve">Izdane garancije </w:t>
            </w:r>
          </w:p>
        </w:tc>
        <w:tc>
          <w:tcPr>
            <w:tcW w:w="625" w:type="pct"/>
            <w:tcBorders>
              <w:top w:val="nil"/>
              <w:left w:val="nil"/>
              <w:bottom w:val="nil"/>
              <w:right w:val="nil"/>
            </w:tcBorders>
            <w:shd w:val="clear" w:color="auto" w:fill="auto"/>
            <w:vAlign w:val="bottom"/>
          </w:tcPr>
          <w:p w14:paraId="27243DC9" w14:textId="77777777" w:rsidR="00132E89" w:rsidRPr="009C411C" w:rsidRDefault="00132E89" w:rsidP="0034622E">
            <w:pPr>
              <w:pStyle w:val="TT"/>
              <w:jc w:val="right"/>
              <w:rPr>
                <w:rFonts w:cs="Arial"/>
                <w:color w:val="000000" w:themeColor="text1"/>
                <w:sz w:val="18"/>
                <w:szCs w:val="18"/>
                <w:lang w:val="hr-HR"/>
              </w:rPr>
            </w:pPr>
            <w:r w:rsidRPr="00F959D0">
              <w:rPr>
                <w:rFonts w:cs="Arial"/>
                <w:color w:val="000000" w:themeColor="text1"/>
                <w:sz w:val="18"/>
                <w:szCs w:val="18"/>
                <w:lang w:val="hr-HR"/>
              </w:rPr>
              <w:t xml:space="preserve"> 44.545 </w:t>
            </w:r>
          </w:p>
        </w:tc>
        <w:tc>
          <w:tcPr>
            <w:tcW w:w="625" w:type="pct"/>
            <w:tcBorders>
              <w:top w:val="nil"/>
              <w:left w:val="nil"/>
              <w:bottom w:val="nil"/>
              <w:right w:val="nil"/>
            </w:tcBorders>
            <w:shd w:val="clear" w:color="auto" w:fill="auto"/>
            <w:vAlign w:val="bottom"/>
          </w:tcPr>
          <w:p w14:paraId="34630889" w14:textId="77777777" w:rsidR="00132E89" w:rsidRPr="009C411C" w:rsidRDefault="00132E89" w:rsidP="0034622E">
            <w:pPr>
              <w:pStyle w:val="TT"/>
              <w:jc w:val="right"/>
              <w:rPr>
                <w:rFonts w:cs="Arial"/>
                <w:color w:val="000000" w:themeColor="text1"/>
                <w:sz w:val="18"/>
                <w:szCs w:val="18"/>
                <w:lang w:val="hr-HR"/>
              </w:rPr>
            </w:pPr>
            <w:r w:rsidRPr="00F959D0">
              <w:rPr>
                <w:rFonts w:cs="Arial"/>
                <w:color w:val="000000" w:themeColor="text1"/>
                <w:sz w:val="18"/>
                <w:szCs w:val="18"/>
                <w:lang w:val="hr-HR"/>
              </w:rPr>
              <w:t xml:space="preserve"> -   </w:t>
            </w:r>
          </w:p>
        </w:tc>
        <w:tc>
          <w:tcPr>
            <w:tcW w:w="625" w:type="pct"/>
            <w:tcBorders>
              <w:top w:val="nil"/>
              <w:left w:val="nil"/>
              <w:bottom w:val="nil"/>
              <w:right w:val="nil"/>
            </w:tcBorders>
            <w:shd w:val="clear" w:color="auto" w:fill="auto"/>
            <w:vAlign w:val="bottom"/>
          </w:tcPr>
          <w:p w14:paraId="564B324E" w14:textId="77777777" w:rsidR="00132E89" w:rsidRPr="009C411C" w:rsidRDefault="00132E89" w:rsidP="0034622E">
            <w:pPr>
              <w:pStyle w:val="TT"/>
              <w:jc w:val="right"/>
              <w:rPr>
                <w:rFonts w:cs="Arial"/>
                <w:color w:val="000000" w:themeColor="text1"/>
                <w:sz w:val="18"/>
                <w:szCs w:val="18"/>
                <w:lang w:val="hr-HR"/>
              </w:rPr>
            </w:pPr>
            <w:r w:rsidRPr="00F959D0">
              <w:rPr>
                <w:rFonts w:cs="Arial"/>
                <w:color w:val="000000" w:themeColor="text1"/>
                <w:sz w:val="18"/>
                <w:szCs w:val="18"/>
                <w:lang w:val="hr-HR"/>
              </w:rPr>
              <w:t xml:space="preserve"> -   </w:t>
            </w:r>
          </w:p>
        </w:tc>
        <w:tc>
          <w:tcPr>
            <w:tcW w:w="624" w:type="pct"/>
            <w:tcBorders>
              <w:top w:val="nil"/>
              <w:left w:val="nil"/>
              <w:bottom w:val="nil"/>
              <w:right w:val="nil"/>
            </w:tcBorders>
            <w:shd w:val="clear" w:color="auto" w:fill="auto"/>
            <w:vAlign w:val="bottom"/>
          </w:tcPr>
          <w:p w14:paraId="1DD5BF91" w14:textId="77777777" w:rsidR="00132E89" w:rsidRPr="009C411C" w:rsidRDefault="00132E89" w:rsidP="0034622E">
            <w:pPr>
              <w:pStyle w:val="TT"/>
              <w:jc w:val="right"/>
              <w:rPr>
                <w:rFonts w:cs="Arial"/>
                <w:color w:val="000000" w:themeColor="text1"/>
                <w:sz w:val="18"/>
                <w:szCs w:val="18"/>
                <w:lang w:val="hr-HR"/>
              </w:rPr>
            </w:pPr>
            <w:r w:rsidRPr="00F959D0">
              <w:rPr>
                <w:rFonts w:cs="Arial"/>
                <w:color w:val="000000" w:themeColor="text1"/>
                <w:sz w:val="18"/>
                <w:szCs w:val="18"/>
                <w:lang w:val="hr-HR"/>
              </w:rPr>
              <w:t xml:space="preserve"> 44.545 </w:t>
            </w:r>
          </w:p>
        </w:tc>
      </w:tr>
      <w:tr w:rsidR="00132E89" w:rsidRPr="009C411C" w14:paraId="0A26EE4E" w14:textId="77777777" w:rsidTr="0034622E">
        <w:tblPrEx>
          <w:tblCellMar>
            <w:left w:w="31" w:type="dxa"/>
            <w:right w:w="31" w:type="dxa"/>
          </w:tblCellMar>
        </w:tblPrEx>
        <w:trPr>
          <w:cantSplit/>
          <w:trHeight w:val="250"/>
          <w:tblHeader/>
        </w:trPr>
        <w:tc>
          <w:tcPr>
            <w:tcW w:w="2501" w:type="pct"/>
            <w:vAlign w:val="bottom"/>
          </w:tcPr>
          <w:p w14:paraId="51061C96" w14:textId="77777777" w:rsidR="00132E89" w:rsidRPr="009C411C" w:rsidRDefault="00132E89" w:rsidP="0034622E">
            <w:pPr>
              <w:tabs>
                <w:tab w:val="right" w:pos="1202"/>
              </w:tabs>
              <w:spacing w:line="301" w:lineRule="exact"/>
              <w:outlineLvl w:val="0"/>
              <w:rPr>
                <w:rFonts w:ascii="Arial" w:hAnsi="Arial" w:cs="Arial"/>
                <w:color w:val="000000" w:themeColor="text1"/>
                <w:sz w:val="18"/>
                <w:szCs w:val="18"/>
              </w:rPr>
            </w:pPr>
            <w:r w:rsidRPr="009C411C">
              <w:rPr>
                <w:rFonts w:ascii="Arial" w:hAnsi="Arial" w:cs="Arial"/>
                <w:color w:val="000000" w:themeColor="text1"/>
                <w:sz w:val="18"/>
                <w:szCs w:val="18"/>
              </w:rPr>
              <w:t>Izdane garancije u devizama</w:t>
            </w:r>
          </w:p>
        </w:tc>
        <w:tc>
          <w:tcPr>
            <w:tcW w:w="625" w:type="pct"/>
            <w:tcBorders>
              <w:top w:val="nil"/>
              <w:left w:val="nil"/>
              <w:bottom w:val="nil"/>
              <w:right w:val="nil"/>
            </w:tcBorders>
            <w:shd w:val="clear" w:color="auto" w:fill="auto"/>
            <w:vAlign w:val="bottom"/>
          </w:tcPr>
          <w:p w14:paraId="7283874C" w14:textId="77777777" w:rsidR="00132E89" w:rsidRPr="009C411C" w:rsidRDefault="00132E89" w:rsidP="0034622E">
            <w:pPr>
              <w:pStyle w:val="TT"/>
              <w:jc w:val="right"/>
              <w:rPr>
                <w:rFonts w:cs="Arial"/>
                <w:color w:val="000000" w:themeColor="text1"/>
                <w:sz w:val="18"/>
                <w:szCs w:val="18"/>
                <w:lang w:val="hr-HR"/>
              </w:rPr>
            </w:pPr>
            <w:r w:rsidRPr="00F959D0">
              <w:rPr>
                <w:rFonts w:cs="Arial"/>
                <w:color w:val="000000" w:themeColor="text1"/>
                <w:sz w:val="18"/>
                <w:szCs w:val="18"/>
                <w:lang w:val="hr-HR"/>
              </w:rPr>
              <w:t xml:space="preserve"> 5.357 </w:t>
            </w:r>
          </w:p>
        </w:tc>
        <w:tc>
          <w:tcPr>
            <w:tcW w:w="625" w:type="pct"/>
            <w:tcBorders>
              <w:top w:val="nil"/>
              <w:left w:val="nil"/>
              <w:bottom w:val="nil"/>
              <w:right w:val="nil"/>
            </w:tcBorders>
            <w:shd w:val="clear" w:color="auto" w:fill="auto"/>
            <w:vAlign w:val="bottom"/>
          </w:tcPr>
          <w:p w14:paraId="3AEA6286" w14:textId="77777777" w:rsidR="00132E89" w:rsidRPr="009C411C" w:rsidRDefault="00132E89" w:rsidP="0034622E">
            <w:pPr>
              <w:pStyle w:val="TT"/>
              <w:jc w:val="right"/>
              <w:rPr>
                <w:rFonts w:cs="Arial"/>
                <w:color w:val="000000" w:themeColor="text1"/>
                <w:sz w:val="18"/>
                <w:szCs w:val="18"/>
                <w:lang w:val="hr-HR"/>
              </w:rPr>
            </w:pPr>
            <w:r w:rsidRPr="00F959D0">
              <w:rPr>
                <w:rFonts w:cs="Arial"/>
                <w:color w:val="000000" w:themeColor="text1"/>
                <w:sz w:val="18"/>
                <w:szCs w:val="18"/>
                <w:lang w:val="hr-HR"/>
              </w:rPr>
              <w:t xml:space="preserve"> -   </w:t>
            </w:r>
          </w:p>
        </w:tc>
        <w:tc>
          <w:tcPr>
            <w:tcW w:w="625" w:type="pct"/>
            <w:tcBorders>
              <w:top w:val="nil"/>
              <w:left w:val="nil"/>
              <w:bottom w:val="nil"/>
              <w:right w:val="nil"/>
            </w:tcBorders>
            <w:shd w:val="clear" w:color="auto" w:fill="auto"/>
            <w:vAlign w:val="bottom"/>
          </w:tcPr>
          <w:p w14:paraId="4CD28885" w14:textId="77777777" w:rsidR="00132E89" w:rsidRPr="009C411C" w:rsidRDefault="00132E89" w:rsidP="0034622E">
            <w:pPr>
              <w:pStyle w:val="TT"/>
              <w:jc w:val="right"/>
              <w:rPr>
                <w:rFonts w:cs="Arial"/>
                <w:color w:val="000000" w:themeColor="text1"/>
                <w:sz w:val="18"/>
                <w:szCs w:val="18"/>
                <w:lang w:val="hr-HR"/>
              </w:rPr>
            </w:pPr>
            <w:r w:rsidRPr="00F959D0">
              <w:rPr>
                <w:rFonts w:cs="Arial"/>
                <w:color w:val="000000" w:themeColor="text1"/>
                <w:sz w:val="18"/>
                <w:szCs w:val="18"/>
                <w:lang w:val="hr-HR"/>
              </w:rPr>
              <w:t xml:space="preserve"> -   </w:t>
            </w:r>
          </w:p>
        </w:tc>
        <w:tc>
          <w:tcPr>
            <w:tcW w:w="624" w:type="pct"/>
            <w:tcBorders>
              <w:top w:val="nil"/>
              <w:left w:val="nil"/>
              <w:bottom w:val="nil"/>
              <w:right w:val="nil"/>
            </w:tcBorders>
            <w:shd w:val="clear" w:color="auto" w:fill="auto"/>
            <w:vAlign w:val="bottom"/>
          </w:tcPr>
          <w:p w14:paraId="43CC27FD" w14:textId="77777777" w:rsidR="00132E89" w:rsidRPr="009C411C" w:rsidRDefault="00132E89" w:rsidP="0034622E">
            <w:pPr>
              <w:pStyle w:val="TT"/>
              <w:jc w:val="right"/>
              <w:rPr>
                <w:rFonts w:cs="Arial"/>
                <w:color w:val="000000" w:themeColor="text1"/>
                <w:sz w:val="18"/>
                <w:szCs w:val="18"/>
                <w:lang w:val="hr-HR"/>
              </w:rPr>
            </w:pPr>
            <w:r w:rsidRPr="00F959D0">
              <w:rPr>
                <w:rFonts w:cs="Arial"/>
                <w:color w:val="000000" w:themeColor="text1"/>
                <w:sz w:val="18"/>
                <w:szCs w:val="18"/>
                <w:lang w:val="hr-HR"/>
              </w:rPr>
              <w:t xml:space="preserve"> 5.357 </w:t>
            </w:r>
          </w:p>
        </w:tc>
      </w:tr>
      <w:tr w:rsidR="00132E89" w:rsidRPr="009C411C" w14:paraId="72DFD811" w14:textId="77777777" w:rsidTr="0034622E">
        <w:tblPrEx>
          <w:tblCellMar>
            <w:left w:w="31" w:type="dxa"/>
            <w:right w:w="31" w:type="dxa"/>
          </w:tblCellMar>
        </w:tblPrEx>
        <w:trPr>
          <w:cantSplit/>
          <w:trHeight w:val="250"/>
          <w:tblHeader/>
        </w:trPr>
        <w:tc>
          <w:tcPr>
            <w:tcW w:w="2501" w:type="pct"/>
            <w:vAlign w:val="bottom"/>
          </w:tcPr>
          <w:p w14:paraId="1290CE33" w14:textId="77777777" w:rsidR="00132E89" w:rsidRPr="009C411C" w:rsidRDefault="00132E89" w:rsidP="0034622E">
            <w:pPr>
              <w:tabs>
                <w:tab w:val="right" w:pos="1202"/>
              </w:tabs>
              <w:spacing w:line="301" w:lineRule="exact"/>
              <w:outlineLvl w:val="0"/>
              <w:rPr>
                <w:rFonts w:ascii="Arial" w:hAnsi="Arial" w:cs="Arial"/>
                <w:color w:val="000000" w:themeColor="text1"/>
                <w:sz w:val="18"/>
                <w:szCs w:val="18"/>
              </w:rPr>
            </w:pPr>
            <w:r w:rsidRPr="009C411C">
              <w:rPr>
                <w:rFonts w:ascii="Arial" w:hAnsi="Arial" w:cs="Arial"/>
                <w:color w:val="000000" w:themeColor="text1"/>
                <w:sz w:val="18"/>
                <w:szCs w:val="18"/>
              </w:rPr>
              <w:t>Preuzete obveze po kreditima</w:t>
            </w:r>
          </w:p>
        </w:tc>
        <w:tc>
          <w:tcPr>
            <w:tcW w:w="625" w:type="pct"/>
            <w:tcBorders>
              <w:top w:val="nil"/>
              <w:left w:val="nil"/>
              <w:bottom w:val="single" w:sz="4" w:space="0" w:color="auto"/>
              <w:right w:val="nil"/>
            </w:tcBorders>
            <w:shd w:val="clear" w:color="auto" w:fill="auto"/>
            <w:vAlign w:val="bottom"/>
          </w:tcPr>
          <w:p w14:paraId="58434647" w14:textId="77777777" w:rsidR="00132E89" w:rsidRPr="009C411C" w:rsidRDefault="00132E89" w:rsidP="0034622E">
            <w:pPr>
              <w:pStyle w:val="TT"/>
              <w:jc w:val="right"/>
              <w:rPr>
                <w:rFonts w:cs="Arial"/>
                <w:color w:val="000000" w:themeColor="text1"/>
                <w:sz w:val="18"/>
                <w:szCs w:val="18"/>
                <w:lang w:val="hr-HR"/>
              </w:rPr>
            </w:pPr>
            <w:r w:rsidRPr="00F959D0">
              <w:rPr>
                <w:rFonts w:cs="Arial"/>
                <w:color w:val="000000" w:themeColor="text1"/>
                <w:sz w:val="18"/>
                <w:szCs w:val="18"/>
                <w:lang w:val="hr-HR"/>
              </w:rPr>
              <w:t xml:space="preserve"> 432.651 </w:t>
            </w:r>
          </w:p>
        </w:tc>
        <w:tc>
          <w:tcPr>
            <w:tcW w:w="625" w:type="pct"/>
            <w:tcBorders>
              <w:top w:val="nil"/>
              <w:left w:val="nil"/>
              <w:bottom w:val="single" w:sz="4" w:space="0" w:color="auto"/>
              <w:right w:val="nil"/>
            </w:tcBorders>
            <w:shd w:val="clear" w:color="auto" w:fill="auto"/>
            <w:vAlign w:val="bottom"/>
          </w:tcPr>
          <w:p w14:paraId="27EC0423" w14:textId="77777777" w:rsidR="00132E89" w:rsidRPr="009C411C" w:rsidRDefault="00132E89" w:rsidP="0034622E">
            <w:pPr>
              <w:pStyle w:val="TT"/>
              <w:jc w:val="right"/>
              <w:rPr>
                <w:rFonts w:cs="Arial"/>
                <w:color w:val="000000" w:themeColor="text1"/>
                <w:sz w:val="18"/>
                <w:szCs w:val="18"/>
                <w:lang w:val="hr-HR"/>
              </w:rPr>
            </w:pPr>
            <w:r w:rsidRPr="00F959D0">
              <w:rPr>
                <w:rFonts w:cs="Arial"/>
                <w:color w:val="000000" w:themeColor="text1"/>
                <w:sz w:val="18"/>
                <w:szCs w:val="18"/>
                <w:lang w:val="hr-HR"/>
              </w:rPr>
              <w:t xml:space="preserve"> 821 </w:t>
            </w:r>
          </w:p>
        </w:tc>
        <w:tc>
          <w:tcPr>
            <w:tcW w:w="625" w:type="pct"/>
            <w:tcBorders>
              <w:top w:val="nil"/>
              <w:left w:val="nil"/>
              <w:bottom w:val="single" w:sz="4" w:space="0" w:color="auto"/>
              <w:right w:val="nil"/>
            </w:tcBorders>
            <w:shd w:val="clear" w:color="auto" w:fill="auto"/>
            <w:vAlign w:val="bottom"/>
          </w:tcPr>
          <w:p w14:paraId="24676D3C" w14:textId="77777777" w:rsidR="00132E89" w:rsidRPr="009C411C" w:rsidRDefault="00132E89" w:rsidP="0034622E">
            <w:pPr>
              <w:pStyle w:val="TT"/>
              <w:jc w:val="right"/>
              <w:rPr>
                <w:rFonts w:cs="Arial"/>
                <w:color w:val="000000" w:themeColor="text1"/>
                <w:sz w:val="18"/>
                <w:szCs w:val="18"/>
                <w:lang w:val="hr-HR"/>
              </w:rPr>
            </w:pPr>
            <w:r w:rsidRPr="00F959D0">
              <w:rPr>
                <w:rFonts w:cs="Arial"/>
                <w:color w:val="000000" w:themeColor="text1"/>
                <w:sz w:val="18"/>
                <w:szCs w:val="18"/>
                <w:lang w:val="hr-HR"/>
              </w:rPr>
              <w:t xml:space="preserve"> 7.601 </w:t>
            </w:r>
          </w:p>
        </w:tc>
        <w:tc>
          <w:tcPr>
            <w:tcW w:w="624" w:type="pct"/>
            <w:tcBorders>
              <w:top w:val="nil"/>
              <w:left w:val="nil"/>
              <w:bottom w:val="single" w:sz="4" w:space="0" w:color="auto"/>
              <w:right w:val="nil"/>
            </w:tcBorders>
            <w:shd w:val="clear" w:color="auto" w:fill="auto"/>
            <w:vAlign w:val="bottom"/>
          </w:tcPr>
          <w:p w14:paraId="2ED66B51" w14:textId="77777777" w:rsidR="00132E89" w:rsidRPr="009C411C" w:rsidRDefault="00132E89" w:rsidP="0034622E">
            <w:pPr>
              <w:pStyle w:val="TT"/>
              <w:jc w:val="right"/>
              <w:rPr>
                <w:rFonts w:cs="Arial"/>
                <w:color w:val="000000" w:themeColor="text1"/>
                <w:sz w:val="18"/>
                <w:szCs w:val="18"/>
                <w:lang w:val="hr-HR"/>
              </w:rPr>
            </w:pPr>
            <w:r w:rsidRPr="00F959D0">
              <w:rPr>
                <w:rFonts w:cs="Arial"/>
                <w:color w:val="000000" w:themeColor="text1"/>
                <w:sz w:val="18"/>
                <w:szCs w:val="18"/>
                <w:lang w:val="hr-HR"/>
              </w:rPr>
              <w:t xml:space="preserve"> 441.073 </w:t>
            </w:r>
          </w:p>
        </w:tc>
      </w:tr>
      <w:tr w:rsidR="00132E89" w:rsidRPr="009C411C" w14:paraId="06B550ED" w14:textId="77777777" w:rsidTr="0034622E">
        <w:tblPrEx>
          <w:tblCellMar>
            <w:left w:w="31" w:type="dxa"/>
            <w:right w:w="31" w:type="dxa"/>
          </w:tblCellMar>
        </w:tblPrEx>
        <w:trPr>
          <w:cantSplit/>
          <w:trHeight w:val="399"/>
          <w:tblHeader/>
        </w:trPr>
        <w:tc>
          <w:tcPr>
            <w:tcW w:w="2501" w:type="pct"/>
            <w:vAlign w:val="bottom"/>
          </w:tcPr>
          <w:p w14:paraId="1070F59F" w14:textId="77777777" w:rsidR="00132E89" w:rsidRPr="009C411C" w:rsidRDefault="00132E89" w:rsidP="0034622E">
            <w:pPr>
              <w:pStyle w:val="TT"/>
              <w:rPr>
                <w:rFonts w:cs="Arial"/>
                <w:b/>
                <w:bCs/>
                <w:color w:val="000000" w:themeColor="text1"/>
                <w:sz w:val="18"/>
                <w:szCs w:val="18"/>
                <w:lang w:val="hr-HR"/>
              </w:rPr>
            </w:pPr>
            <w:r w:rsidRPr="009C411C">
              <w:rPr>
                <w:rFonts w:cs="Arial"/>
                <w:b/>
                <w:bCs/>
                <w:color w:val="000000" w:themeColor="text1"/>
                <w:sz w:val="18"/>
                <w:szCs w:val="18"/>
                <w:lang w:val="hr-HR"/>
              </w:rPr>
              <w:t>Ukupno</w:t>
            </w:r>
          </w:p>
        </w:tc>
        <w:tc>
          <w:tcPr>
            <w:tcW w:w="625" w:type="pct"/>
            <w:tcBorders>
              <w:top w:val="single" w:sz="4" w:space="0" w:color="auto"/>
              <w:left w:val="nil"/>
              <w:bottom w:val="single" w:sz="12" w:space="0" w:color="auto"/>
              <w:right w:val="nil"/>
            </w:tcBorders>
            <w:shd w:val="clear" w:color="auto" w:fill="auto"/>
            <w:vAlign w:val="bottom"/>
          </w:tcPr>
          <w:p w14:paraId="588B8889" w14:textId="77777777" w:rsidR="00132E89" w:rsidRPr="006F3C83" w:rsidRDefault="00132E89" w:rsidP="0034622E">
            <w:pPr>
              <w:pStyle w:val="TT"/>
              <w:jc w:val="right"/>
              <w:rPr>
                <w:rFonts w:cs="Arial"/>
                <w:b/>
                <w:bCs/>
                <w:color w:val="000000" w:themeColor="text1"/>
                <w:sz w:val="18"/>
                <w:szCs w:val="18"/>
                <w:lang w:val="hr-HR"/>
              </w:rPr>
            </w:pPr>
            <w:r w:rsidRPr="00F959D0">
              <w:rPr>
                <w:rFonts w:cs="Arial"/>
                <w:b/>
                <w:bCs/>
                <w:color w:val="000000" w:themeColor="text1"/>
                <w:sz w:val="18"/>
                <w:szCs w:val="18"/>
                <w:lang w:val="hr-HR"/>
              </w:rPr>
              <w:t xml:space="preserve"> 482.553 </w:t>
            </w:r>
          </w:p>
        </w:tc>
        <w:tc>
          <w:tcPr>
            <w:tcW w:w="625" w:type="pct"/>
            <w:tcBorders>
              <w:top w:val="single" w:sz="4" w:space="0" w:color="auto"/>
              <w:left w:val="nil"/>
              <w:bottom w:val="single" w:sz="12" w:space="0" w:color="auto"/>
              <w:right w:val="nil"/>
            </w:tcBorders>
            <w:shd w:val="clear" w:color="auto" w:fill="auto"/>
            <w:vAlign w:val="bottom"/>
          </w:tcPr>
          <w:p w14:paraId="7C01DD50" w14:textId="77777777" w:rsidR="00132E89" w:rsidRPr="006F3C83" w:rsidRDefault="00132E89" w:rsidP="0034622E">
            <w:pPr>
              <w:pStyle w:val="TT"/>
              <w:jc w:val="right"/>
              <w:rPr>
                <w:rFonts w:cs="Arial"/>
                <w:b/>
                <w:bCs/>
                <w:color w:val="000000" w:themeColor="text1"/>
                <w:sz w:val="18"/>
                <w:szCs w:val="18"/>
                <w:lang w:val="hr-HR"/>
              </w:rPr>
            </w:pPr>
            <w:r w:rsidRPr="00F959D0">
              <w:rPr>
                <w:rFonts w:cs="Arial"/>
                <w:b/>
                <w:bCs/>
                <w:color w:val="000000" w:themeColor="text1"/>
                <w:sz w:val="18"/>
                <w:szCs w:val="18"/>
                <w:lang w:val="hr-HR"/>
              </w:rPr>
              <w:t xml:space="preserve"> 821 </w:t>
            </w:r>
          </w:p>
        </w:tc>
        <w:tc>
          <w:tcPr>
            <w:tcW w:w="625" w:type="pct"/>
            <w:tcBorders>
              <w:top w:val="single" w:sz="4" w:space="0" w:color="auto"/>
              <w:left w:val="nil"/>
              <w:bottom w:val="single" w:sz="12" w:space="0" w:color="auto"/>
              <w:right w:val="nil"/>
            </w:tcBorders>
            <w:shd w:val="clear" w:color="auto" w:fill="auto"/>
            <w:vAlign w:val="bottom"/>
          </w:tcPr>
          <w:p w14:paraId="6E943554" w14:textId="77777777" w:rsidR="00132E89" w:rsidRPr="006F3C83" w:rsidRDefault="00132E89" w:rsidP="0034622E">
            <w:pPr>
              <w:pStyle w:val="TT"/>
              <w:jc w:val="right"/>
              <w:rPr>
                <w:rFonts w:cs="Arial"/>
                <w:b/>
                <w:bCs/>
                <w:color w:val="000000" w:themeColor="text1"/>
                <w:sz w:val="18"/>
                <w:szCs w:val="18"/>
                <w:lang w:val="hr-HR"/>
              </w:rPr>
            </w:pPr>
            <w:r w:rsidRPr="00F959D0">
              <w:rPr>
                <w:rFonts w:cs="Arial"/>
                <w:b/>
                <w:bCs/>
                <w:color w:val="000000" w:themeColor="text1"/>
                <w:sz w:val="18"/>
                <w:szCs w:val="18"/>
                <w:lang w:val="hr-HR"/>
              </w:rPr>
              <w:t xml:space="preserve"> 7.601 </w:t>
            </w:r>
          </w:p>
        </w:tc>
        <w:tc>
          <w:tcPr>
            <w:tcW w:w="624" w:type="pct"/>
            <w:tcBorders>
              <w:top w:val="single" w:sz="4" w:space="0" w:color="auto"/>
              <w:left w:val="nil"/>
              <w:bottom w:val="single" w:sz="12" w:space="0" w:color="auto"/>
              <w:right w:val="nil"/>
            </w:tcBorders>
            <w:shd w:val="clear" w:color="auto" w:fill="auto"/>
            <w:vAlign w:val="bottom"/>
          </w:tcPr>
          <w:p w14:paraId="46CECDAD" w14:textId="77777777" w:rsidR="00132E89" w:rsidRPr="006F3C83" w:rsidRDefault="00132E89" w:rsidP="0034622E">
            <w:pPr>
              <w:pStyle w:val="TT"/>
              <w:jc w:val="right"/>
              <w:rPr>
                <w:rFonts w:cs="Arial"/>
                <w:b/>
                <w:bCs/>
                <w:color w:val="000000" w:themeColor="text1"/>
                <w:sz w:val="18"/>
                <w:szCs w:val="18"/>
                <w:lang w:val="hr-HR"/>
              </w:rPr>
            </w:pPr>
            <w:r w:rsidRPr="00F959D0">
              <w:rPr>
                <w:rFonts w:cs="Arial"/>
                <w:b/>
                <w:bCs/>
                <w:color w:val="000000" w:themeColor="text1"/>
                <w:sz w:val="18"/>
                <w:szCs w:val="18"/>
                <w:lang w:val="hr-HR"/>
              </w:rPr>
              <w:t xml:space="preserve"> 490.975 </w:t>
            </w:r>
          </w:p>
        </w:tc>
      </w:tr>
      <w:tr w:rsidR="00132E89" w:rsidRPr="009C411C" w14:paraId="73EC9E0C" w14:textId="77777777" w:rsidTr="0034622E">
        <w:tblPrEx>
          <w:tblCellMar>
            <w:left w:w="31" w:type="dxa"/>
            <w:right w:w="31" w:type="dxa"/>
          </w:tblCellMar>
        </w:tblPrEx>
        <w:trPr>
          <w:cantSplit/>
          <w:trHeight w:hRule="exact" w:val="113"/>
          <w:tblHeader/>
        </w:trPr>
        <w:tc>
          <w:tcPr>
            <w:tcW w:w="2501" w:type="pct"/>
            <w:vAlign w:val="bottom"/>
          </w:tcPr>
          <w:p w14:paraId="74EE36DD" w14:textId="77777777" w:rsidR="00132E89" w:rsidRPr="009C411C" w:rsidRDefault="00132E89" w:rsidP="0034622E">
            <w:pPr>
              <w:pStyle w:val="TT"/>
              <w:spacing w:line="240" w:lineRule="auto"/>
              <w:rPr>
                <w:rFonts w:cs="Arial"/>
                <w:b/>
                <w:bCs/>
                <w:color w:val="000000" w:themeColor="text1"/>
                <w:sz w:val="18"/>
                <w:szCs w:val="18"/>
                <w:lang w:val="hr-HR"/>
              </w:rPr>
            </w:pPr>
          </w:p>
        </w:tc>
        <w:tc>
          <w:tcPr>
            <w:tcW w:w="625" w:type="pct"/>
            <w:tcBorders>
              <w:top w:val="single" w:sz="12" w:space="0" w:color="auto"/>
            </w:tcBorders>
            <w:vAlign w:val="bottom"/>
          </w:tcPr>
          <w:p w14:paraId="71BBA0E9" w14:textId="77777777" w:rsidR="00132E89" w:rsidRPr="006F3C83" w:rsidRDefault="00132E89" w:rsidP="0034622E">
            <w:pPr>
              <w:tabs>
                <w:tab w:val="right" w:pos="1202"/>
              </w:tabs>
              <w:jc w:val="right"/>
              <w:outlineLvl w:val="0"/>
              <w:rPr>
                <w:rFonts w:ascii="Arial" w:hAnsi="Arial" w:cs="Arial"/>
                <w:b/>
                <w:bCs/>
                <w:color w:val="000000" w:themeColor="text1"/>
                <w:sz w:val="18"/>
                <w:szCs w:val="18"/>
              </w:rPr>
            </w:pPr>
          </w:p>
        </w:tc>
        <w:tc>
          <w:tcPr>
            <w:tcW w:w="625" w:type="pct"/>
            <w:tcBorders>
              <w:top w:val="single" w:sz="12" w:space="0" w:color="auto"/>
            </w:tcBorders>
            <w:vAlign w:val="bottom"/>
          </w:tcPr>
          <w:p w14:paraId="461908C0" w14:textId="77777777" w:rsidR="00132E89" w:rsidRPr="006F3C83" w:rsidRDefault="00132E89" w:rsidP="0034622E">
            <w:pPr>
              <w:tabs>
                <w:tab w:val="right" w:pos="1202"/>
              </w:tabs>
              <w:jc w:val="right"/>
              <w:outlineLvl w:val="0"/>
              <w:rPr>
                <w:rFonts w:ascii="Arial" w:hAnsi="Arial" w:cs="Arial"/>
                <w:b/>
                <w:bCs/>
                <w:color w:val="000000" w:themeColor="text1"/>
                <w:sz w:val="18"/>
                <w:szCs w:val="18"/>
              </w:rPr>
            </w:pPr>
          </w:p>
        </w:tc>
        <w:tc>
          <w:tcPr>
            <w:tcW w:w="625" w:type="pct"/>
            <w:tcBorders>
              <w:top w:val="single" w:sz="12" w:space="0" w:color="auto"/>
            </w:tcBorders>
            <w:vAlign w:val="bottom"/>
          </w:tcPr>
          <w:p w14:paraId="49717C33" w14:textId="77777777" w:rsidR="00132E89" w:rsidRPr="006F3C83" w:rsidRDefault="00132E89" w:rsidP="0034622E">
            <w:pPr>
              <w:tabs>
                <w:tab w:val="right" w:pos="1202"/>
              </w:tabs>
              <w:jc w:val="right"/>
              <w:outlineLvl w:val="0"/>
              <w:rPr>
                <w:rFonts w:ascii="Arial" w:hAnsi="Arial" w:cs="Arial"/>
                <w:b/>
                <w:bCs/>
                <w:color w:val="000000" w:themeColor="text1"/>
                <w:sz w:val="18"/>
                <w:szCs w:val="18"/>
              </w:rPr>
            </w:pPr>
          </w:p>
        </w:tc>
        <w:tc>
          <w:tcPr>
            <w:tcW w:w="624" w:type="pct"/>
            <w:tcBorders>
              <w:top w:val="single" w:sz="12" w:space="0" w:color="auto"/>
            </w:tcBorders>
            <w:vAlign w:val="bottom"/>
          </w:tcPr>
          <w:p w14:paraId="21B69130" w14:textId="77777777" w:rsidR="00132E89" w:rsidRPr="006F3C83" w:rsidRDefault="00132E89" w:rsidP="0034622E">
            <w:pPr>
              <w:tabs>
                <w:tab w:val="right" w:pos="1202"/>
              </w:tabs>
              <w:jc w:val="right"/>
              <w:outlineLvl w:val="0"/>
              <w:rPr>
                <w:rFonts w:ascii="Arial" w:hAnsi="Arial" w:cs="Arial"/>
                <w:b/>
                <w:bCs/>
                <w:color w:val="000000" w:themeColor="text1"/>
                <w:sz w:val="18"/>
                <w:szCs w:val="18"/>
              </w:rPr>
            </w:pPr>
          </w:p>
        </w:tc>
      </w:tr>
      <w:tr w:rsidR="00132E89" w:rsidRPr="006F3C83" w14:paraId="5E2F011E" w14:textId="77777777" w:rsidTr="0034622E">
        <w:tblPrEx>
          <w:tblCellMar>
            <w:left w:w="31" w:type="dxa"/>
            <w:right w:w="31" w:type="dxa"/>
          </w:tblCellMar>
        </w:tblPrEx>
        <w:trPr>
          <w:cantSplit/>
          <w:trHeight w:val="70"/>
          <w:tblHeader/>
        </w:trPr>
        <w:tc>
          <w:tcPr>
            <w:tcW w:w="2501" w:type="pct"/>
            <w:vAlign w:val="bottom"/>
          </w:tcPr>
          <w:p w14:paraId="57783ABA" w14:textId="77777777" w:rsidR="00132E89" w:rsidRPr="009C411C" w:rsidRDefault="00132E89" w:rsidP="0034622E">
            <w:pPr>
              <w:pStyle w:val="TT"/>
              <w:spacing w:before="120" w:line="300" w:lineRule="exact"/>
              <w:jc w:val="both"/>
              <w:outlineLvl w:val="9"/>
              <w:rPr>
                <w:rFonts w:cs="Arial"/>
                <w:b/>
                <w:bCs/>
                <w:color w:val="000000" w:themeColor="text1"/>
                <w:sz w:val="18"/>
                <w:szCs w:val="18"/>
                <w:lang w:val="hr-HR"/>
              </w:rPr>
            </w:pPr>
            <w:r w:rsidRPr="009C411C">
              <w:rPr>
                <w:rFonts w:cs="Arial"/>
                <w:b/>
                <w:bCs/>
                <w:color w:val="000000" w:themeColor="text1"/>
                <w:sz w:val="18"/>
                <w:szCs w:val="18"/>
                <w:lang w:val="hr-HR"/>
              </w:rPr>
              <w:t>Ukupna izloženost kreditnom riziku</w:t>
            </w:r>
          </w:p>
        </w:tc>
        <w:tc>
          <w:tcPr>
            <w:tcW w:w="625" w:type="pct"/>
            <w:tcBorders>
              <w:top w:val="nil"/>
              <w:left w:val="nil"/>
              <w:bottom w:val="single" w:sz="12" w:space="0" w:color="auto"/>
              <w:right w:val="nil"/>
            </w:tcBorders>
            <w:shd w:val="clear" w:color="auto" w:fill="auto"/>
            <w:vAlign w:val="bottom"/>
          </w:tcPr>
          <w:p w14:paraId="3A71E1E3" w14:textId="77777777" w:rsidR="00132E89" w:rsidRPr="006F3C83" w:rsidRDefault="00132E89" w:rsidP="0034622E">
            <w:pPr>
              <w:tabs>
                <w:tab w:val="right" w:pos="1202"/>
              </w:tabs>
              <w:spacing w:line="301" w:lineRule="exact"/>
              <w:jc w:val="right"/>
              <w:outlineLvl w:val="0"/>
              <w:rPr>
                <w:rFonts w:ascii="Arial" w:hAnsi="Arial" w:cs="Arial"/>
                <w:b/>
                <w:bCs/>
                <w:color w:val="000000" w:themeColor="text1"/>
                <w:sz w:val="18"/>
                <w:szCs w:val="18"/>
              </w:rPr>
            </w:pPr>
            <w:r w:rsidRPr="00F959D0">
              <w:rPr>
                <w:rFonts w:ascii="Arial" w:hAnsi="Arial" w:cs="Arial"/>
                <w:b/>
                <w:bCs/>
                <w:color w:val="000000" w:themeColor="text1"/>
                <w:sz w:val="18"/>
                <w:szCs w:val="18"/>
              </w:rPr>
              <w:t xml:space="preserve"> 4.414.682 </w:t>
            </w:r>
          </w:p>
        </w:tc>
        <w:tc>
          <w:tcPr>
            <w:tcW w:w="625" w:type="pct"/>
            <w:tcBorders>
              <w:top w:val="nil"/>
              <w:left w:val="nil"/>
              <w:bottom w:val="single" w:sz="12" w:space="0" w:color="auto"/>
              <w:right w:val="nil"/>
            </w:tcBorders>
            <w:shd w:val="clear" w:color="auto" w:fill="auto"/>
            <w:vAlign w:val="bottom"/>
          </w:tcPr>
          <w:p w14:paraId="3DF3A605" w14:textId="77777777" w:rsidR="00132E89" w:rsidRPr="006F3C83" w:rsidRDefault="00132E89" w:rsidP="0034622E">
            <w:pPr>
              <w:tabs>
                <w:tab w:val="right" w:pos="1202"/>
              </w:tabs>
              <w:spacing w:line="301" w:lineRule="exact"/>
              <w:jc w:val="right"/>
              <w:outlineLvl w:val="0"/>
              <w:rPr>
                <w:rFonts w:ascii="Arial" w:hAnsi="Arial" w:cs="Arial"/>
                <w:b/>
                <w:bCs/>
                <w:color w:val="000000" w:themeColor="text1"/>
                <w:sz w:val="18"/>
                <w:szCs w:val="18"/>
              </w:rPr>
            </w:pPr>
            <w:r w:rsidRPr="00F959D0">
              <w:rPr>
                <w:rFonts w:ascii="Arial" w:hAnsi="Arial" w:cs="Arial"/>
                <w:b/>
                <w:bCs/>
                <w:color w:val="000000" w:themeColor="text1"/>
                <w:sz w:val="18"/>
                <w:szCs w:val="18"/>
              </w:rPr>
              <w:t xml:space="preserve"> 35.556 </w:t>
            </w:r>
          </w:p>
        </w:tc>
        <w:tc>
          <w:tcPr>
            <w:tcW w:w="625" w:type="pct"/>
            <w:tcBorders>
              <w:top w:val="nil"/>
              <w:left w:val="nil"/>
              <w:bottom w:val="single" w:sz="12" w:space="0" w:color="auto"/>
              <w:right w:val="nil"/>
            </w:tcBorders>
            <w:shd w:val="clear" w:color="auto" w:fill="auto"/>
            <w:vAlign w:val="bottom"/>
          </w:tcPr>
          <w:p w14:paraId="4734DE84" w14:textId="77777777" w:rsidR="00132E89" w:rsidRPr="006F3C83" w:rsidRDefault="00132E89" w:rsidP="0034622E">
            <w:pPr>
              <w:tabs>
                <w:tab w:val="right" w:pos="1202"/>
              </w:tabs>
              <w:spacing w:line="301" w:lineRule="exact"/>
              <w:jc w:val="right"/>
              <w:outlineLvl w:val="0"/>
              <w:rPr>
                <w:rFonts w:ascii="Arial" w:hAnsi="Arial" w:cs="Arial"/>
                <w:b/>
                <w:bCs/>
                <w:color w:val="000000" w:themeColor="text1"/>
                <w:sz w:val="18"/>
                <w:szCs w:val="18"/>
              </w:rPr>
            </w:pPr>
            <w:r w:rsidRPr="00F959D0">
              <w:rPr>
                <w:rFonts w:ascii="Arial" w:hAnsi="Arial" w:cs="Arial"/>
                <w:b/>
                <w:bCs/>
                <w:color w:val="000000" w:themeColor="text1"/>
                <w:sz w:val="18"/>
                <w:szCs w:val="18"/>
              </w:rPr>
              <w:t xml:space="preserve"> 7.695 </w:t>
            </w:r>
          </w:p>
        </w:tc>
        <w:tc>
          <w:tcPr>
            <w:tcW w:w="624" w:type="pct"/>
            <w:tcBorders>
              <w:top w:val="nil"/>
              <w:left w:val="nil"/>
              <w:bottom w:val="single" w:sz="12" w:space="0" w:color="auto"/>
              <w:right w:val="nil"/>
            </w:tcBorders>
            <w:shd w:val="clear" w:color="auto" w:fill="auto"/>
            <w:vAlign w:val="bottom"/>
          </w:tcPr>
          <w:p w14:paraId="5249397B" w14:textId="77777777" w:rsidR="00132E89" w:rsidRPr="006F3C83" w:rsidRDefault="00132E89" w:rsidP="0034622E">
            <w:pPr>
              <w:tabs>
                <w:tab w:val="right" w:pos="1202"/>
              </w:tabs>
              <w:spacing w:line="301" w:lineRule="exact"/>
              <w:jc w:val="right"/>
              <w:outlineLvl w:val="0"/>
              <w:rPr>
                <w:rFonts w:ascii="Arial" w:hAnsi="Arial" w:cs="Arial"/>
                <w:b/>
                <w:bCs/>
                <w:color w:val="000000" w:themeColor="text1"/>
                <w:sz w:val="18"/>
                <w:szCs w:val="18"/>
              </w:rPr>
            </w:pPr>
            <w:r w:rsidRPr="00F959D0">
              <w:rPr>
                <w:rFonts w:ascii="Arial" w:hAnsi="Arial" w:cs="Arial"/>
                <w:b/>
                <w:bCs/>
                <w:color w:val="000000" w:themeColor="text1"/>
                <w:sz w:val="18"/>
                <w:szCs w:val="18"/>
              </w:rPr>
              <w:t xml:space="preserve"> 4.457.933 </w:t>
            </w:r>
          </w:p>
        </w:tc>
      </w:tr>
    </w:tbl>
    <w:p w14:paraId="1EE44FDE" w14:textId="08D06065" w:rsidR="001A0FCB" w:rsidRPr="003D1614" w:rsidRDefault="001A0FCB" w:rsidP="003311C4">
      <w:pPr>
        <w:suppressAutoHyphens/>
        <w:autoSpaceDN w:val="0"/>
        <w:jc w:val="both"/>
        <w:rPr>
          <w:rFonts w:ascii="Arial" w:eastAsia="Times New Roman" w:hAnsi="Arial" w:cs="Arial"/>
          <w:color w:val="000000" w:themeColor="text1"/>
          <w:sz w:val="20"/>
          <w:szCs w:val="20"/>
        </w:rPr>
      </w:pPr>
    </w:p>
    <w:p w14:paraId="792A38E2" w14:textId="77777777" w:rsidR="001A0FCB" w:rsidRPr="003D1614" w:rsidRDefault="001A0FCB" w:rsidP="003311C4">
      <w:pPr>
        <w:suppressAutoHyphens/>
        <w:autoSpaceDN w:val="0"/>
        <w:jc w:val="both"/>
        <w:rPr>
          <w:rFonts w:ascii="Arial" w:eastAsia="Times New Roman" w:hAnsi="Arial" w:cs="Arial"/>
          <w:color w:val="000000" w:themeColor="text1"/>
          <w:sz w:val="20"/>
          <w:szCs w:val="20"/>
        </w:rPr>
        <w:sectPr w:rsidR="001A0FCB" w:rsidRPr="003D1614">
          <w:pgSz w:w="11906" w:h="16838"/>
          <w:pgMar w:top="1417" w:right="1417" w:bottom="1417" w:left="1417" w:header="708" w:footer="708" w:gutter="0"/>
          <w:cols w:space="708"/>
          <w:docGrid w:linePitch="360"/>
        </w:sectPr>
      </w:pPr>
    </w:p>
    <w:p w14:paraId="464EE674"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p>
    <w:p w14:paraId="5BEBB90B" w14:textId="01C1761D" w:rsidR="001A0FCB" w:rsidRPr="003D1614" w:rsidRDefault="001A0FCB" w:rsidP="001A0FCB">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7D26D114"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p>
    <w:p w14:paraId="552FF6A8" w14:textId="36C829BD" w:rsidR="001A0FCB" w:rsidRPr="003D1614" w:rsidRDefault="001A0FCB" w:rsidP="001A0FCB">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.3. </w:t>
      </w:r>
      <w:r w:rsidRPr="003D1614">
        <w:rPr>
          <w:rFonts w:ascii="Arial" w:eastAsia="Times New Roman" w:hAnsi="Arial" w:cs="Arial"/>
          <w:b/>
          <w:bCs/>
          <w:color w:val="000000" w:themeColor="text1"/>
          <w:sz w:val="20"/>
          <w:szCs w:val="20"/>
        </w:rPr>
        <w:tab/>
        <w:t>Kreditni rizik (nastavak)</w:t>
      </w:r>
    </w:p>
    <w:p w14:paraId="2C1677C1"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p>
    <w:p w14:paraId="74FCF017"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Koncentracija rizika i maksimalna izloženost kreditnom riziku (nastavak)</w:t>
      </w:r>
    </w:p>
    <w:p w14:paraId="26939F6A" w14:textId="77777777" w:rsidR="001A0FCB" w:rsidRPr="003D1614" w:rsidRDefault="001A0FCB" w:rsidP="001A0FCB">
      <w:pPr>
        <w:tabs>
          <w:tab w:val="right" w:pos="1202"/>
        </w:tabs>
        <w:suppressAutoHyphens/>
        <w:autoSpaceDN w:val="0"/>
        <w:outlineLvl w:val="0"/>
        <w:rPr>
          <w:rFonts w:ascii="Arial" w:eastAsia="Times New Roman" w:hAnsi="Arial" w:cs="Arial"/>
          <w:color w:val="000000" w:themeColor="text1"/>
          <w:sz w:val="20"/>
          <w:szCs w:val="20"/>
        </w:rPr>
      </w:pPr>
    </w:p>
    <w:p w14:paraId="08575F22" w14:textId="77777777" w:rsidR="001A0FCB" w:rsidRPr="003D1614" w:rsidRDefault="001A0FCB" w:rsidP="001A0FCB">
      <w:pPr>
        <w:tabs>
          <w:tab w:val="right" w:pos="1202"/>
        </w:tabs>
        <w:suppressAutoHyphens/>
        <w:autoSpaceDN w:val="0"/>
        <w:jc w:val="both"/>
        <w:outlineLvl w:val="0"/>
        <w:rPr>
          <w:rFonts w:ascii="Arial" w:eastAsia="Times New Roman" w:hAnsi="Arial" w:cs="Arial"/>
          <w:color w:val="000000" w:themeColor="text1"/>
          <w:sz w:val="20"/>
          <w:szCs w:val="20"/>
        </w:rPr>
      </w:pPr>
      <w:bookmarkStart w:id="654" w:name="_Toc67329624"/>
      <w:r w:rsidRPr="003D1614">
        <w:rPr>
          <w:rFonts w:ascii="Arial" w:eastAsia="Times New Roman" w:hAnsi="Arial" w:cs="Arial"/>
          <w:color w:val="000000" w:themeColor="text1"/>
          <w:sz w:val="20"/>
          <w:szCs w:val="20"/>
        </w:rPr>
        <w:t>Koncentracija imovine i garancija te preuzetih obveza prema industrijskim granama, neto</w:t>
      </w:r>
      <w:r w:rsidRPr="003D1614">
        <w:rPr>
          <w:rFonts w:ascii="Arial" w:eastAsia="Times New Roman" w:hAnsi="Arial" w:cs="Arial"/>
          <w:b/>
          <w:color w:val="000000" w:themeColor="text1"/>
          <w:sz w:val="20"/>
          <w:szCs w:val="20"/>
        </w:rPr>
        <w:t xml:space="preserve"> </w:t>
      </w:r>
      <w:r w:rsidRPr="003D1614">
        <w:rPr>
          <w:rFonts w:ascii="Arial" w:eastAsia="Times New Roman" w:hAnsi="Arial" w:cs="Arial"/>
          <w:color w:val="000000" w:themeColor="text1"/>
          <w:sz w:val="20"/>
          <w:szCs w:val="20"/>
        </w:rPr>
        <w:t>izloženost, prije i nakon uzimanja u obzir primljenih instrumenata osiguranja:</w:t>
      </w:r>
      <w:bookmarkEnd w:id="654"/>
    </w:p>
    <w:p w14:paraId="1AE9429E" w14:textId="60CB8E50" w:rsidR="001A0FCB" w:rsidRPr="003D1614" w:rsidRDefault="001A0FCB" w:rsidP="001A0FCB">
      <w:pPr>
        <w:tabs>
          <w:tab w:val="right" w:pos="1202"/>
        </w:tabs>
        <w:suppressAutoHyphens/>
        <w:autoSpaceDN w:val="0"/>
        <w:outlineLvl w:val="0"/>
        <w:rPr>
          <w:rFonts w:ascii="Arial" w:eastAsia="Times New Roman" w:hAnsi="Arial" w:cs="Arial"/>
          <w:color w:val="000000" w:themeColor="text1"/>
          <w:sz w:val="20"/>
          <w:szCs w:val="20"/>
        </w:rPr>
      </w:pPr>
    </w:p>
    <w:p w14:paraId="7C1F7CEF" w14:textId="77777777" w:rsidR="001A0FCB" w:rsidRPr="003D1614" w:rsidRDefault="001A0FCB" w:rsidP="001A0FCB">
      <w:pPr>
        <w:tabs>
          <w:tab w:val="right" w:pos="1202"/>
        </w:tabs>
        <w:suppressAutoHyphens/>
        <w:autoSpaceDN w:val="0"/>
        <w:outlineLvl w:val="0"/>
        <w:rPr>
          <w:rFonts w:ascii="Arial" w:eastAsia="Times New Roman" w:hAnsi="Arial" w:cs="Arial"/>
          <w:color w:val="000000" w:themeColor="text1"/>
          <w:sz w:val="20"/>
          <w:szCs w:val="20"/>
        </w:rPr>
      </w:pPr>
    </w:p>
    <w:tbl>
      <w:tblPr>
        <w:tblpPr w:leftFromText="181" w:rightFromText="181" w:vertAnchor="text" w:tblpY="1"/>
        <w:tblOverlap w:val="never"/>
        <w:tblW w:w="4948" w:type="pct"/>
        <w:tblLayout w:type="fixed"/>
        <w:tblCellMar>
          <w:left w:w="30" w:type="dxa"/>
          <w:right w:w="30" w:type="dxa"/>
        </w:tblCellMar>
        <w:tblLook w:val="0000" w:firstRow="0" w:lastRow="0" w:firstColumn="0" w:lastColumn="0" w:noHBand="0" w:noVBand="0"/>
      </w:tblPr>
      <w:tblGrid>
        <w:gridCol w:w="4508"/>
        <w:gridCol w:w="1101"/>
        <w:gridCol w:w="1101"/>
        <w:gridCol w:w="1135"/>
        <w:gridCol w:w="1133"/>
      </w:tblGrid>
      <w:tr w:rsidR="001A0FCB" w:rsidRPr="003D1614" w14:paraId="1579532E" w14:textId="77777777" w:rsidTr="007478FB">
        <w:trPr>
          <w:cantSplit/>
          <w:trHeight w:val="709"/>
          <w:tblHeader/>
        </w:trPr>
        <w:tc>
          <w:tcPr>
            <w:tcW w:w="2511" w:type="pct"/>
            <w:vAlign w:val="bottom"/>
          </w:tcPr>
          <w:p w14:paraId="07742E85" w14:textId="77777777" w:rsidR="001A0FCB" w:rsidRPr="003D1614" w:rsidRDefault="001A0FCB" w:rsidP="00EE09BF">
            <w:pPr>
              <w:tabs>
                <w:tab w:val="right" w:pos="1202"/>
              </w:tabs>
              <w:suppressAutoHyphens/>
              <w:autoSpaceDN w:val="0"/>
              <w:spacing w:line="240" w:lineRule="atLeast"/>
              <w:outlineLvl w:val="0"/>
              <w:rPr>
                <w:rFonts w:ascii="Arial" w:eastAsia="Times New Roman" w:hAnsi="Arial" w:cs="Arial"/>
                <w:b/>
                <w:color w:val="000000" w:themeColor="text1"/>
                <w:sz w:val="18"/>
                <w:szCs w:val="18"/>
              </w:rPr>
            </w:pPr>
            <w:bookmarkStart w:id="655" w:name="_Toc67329625"/>
            <w:r w:rsidRPr="003D1614">
              <w:rPr>
                <w:rFonts w:ascii="Arial" w:eastAsia="Times New Roman" w:hAnsi="Arial" w:cs="Arial"/>
                <w:b/>
                <w:color w:val="000000" w:themeColor="text1"/>
                <w:sz w:val="18"/>
                <w:szCs w:val="18"/>
              </w:rPr>
              <w:t>Grupa</w:t>
            </w:r>
            <w:bookmarkEnd w:id="655"/>
          </w:p>
        </w:tc>
        <w:tc>
          <w:tcPr>
            <w:tcW w:w="613" w:type="pct"/>
            <w:vAlign w:val="bottom"/>
          </w:tcPr>
          <w:p w14:paraId="0F29595E" w14:textId="77777777" w:rsidR="001A0FCB" w:rsidRPr="003D1614" w:rsidRDefault="001A0FCB" w:rsidP="00EE09BF">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56" w:name="_Toc67329626"/>
            <w:r w:rsidRPr="003D1614">
              <w:rPr>
                <w:rFonts w:ascii="Arial" w:eastAsia="Times New Roman" w:hAnsi="Arial" w:cs="Arial"/>
                <w:b/>
                <w:color w:val="000000" w:themeColor="text1"/>
                <w:sz w:val="18"/>
                <w:szCs w:val="18"/>
              </w:rPr>
              <w:t>Neto najveća izloženost</w:t>
            </w:r>
            <w:bookmarkEnd w:id="656"/>
          </w:p>
        </w:tc>
        <w:tc>
          <w:tcPr>
            <w:tcW w:w="613" w:type="pct"/>
            <w:vAlign w:val="bottom"/>
          </w:tcPr>
          <w:p w14:paraId="405635B4" w14:textId="77777777" w:rsidR="001A0FCB" w:rsidRPr="003D1614" w:rsidRDefault="001A0FCB" w:rsidP="00EE09BF">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57" w:name="_Toc67329627"/>
            <w:r w:rsidRPr="003D1614">
              <w:rPr>
                <w:rFonts w:ascii="Arial" w:eastAsia="Times New Roman" w:hAnsi="Arial" w:cs="Arial"/>
                <w:b/>
                <w:color w:val="000000" w:themeColor="text1"/>
                <w:sz w:val="18"/>
                <w:szCs w:val="18"/>
              </w:rPr>
              <w:t>Neto najveća izloženost nakon umanjenja za sredstva osiguranja</w:t>
            </w:r>
            <w:bookmarkEnd w:id="657"/>
          </w:p>
        </w:tc>
        <w:tc>
          <w:tcPr>
            <w:tcW w:w="632" w:type="pct"/>
            <w:vAlign w:val="bottom"/>
          </w:tcPr>
          <w:p w14:paraId="465709F7" w14:textId="77777777" w:rsidR="001A0FCB" w:rsidRPr="003D1614" w:rsidRDefault="001A0FCB" w:rsidP="00EE09BF">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58" w:name="_Toc67329628"/>
            <w:r w:rsidRPr="003D1614">
              <w:rPr>
                <w:rFonts w:ascii="Arial" w:eastAsia="Times New Roman" w:hAnsi="Arial" w:cs="Arial"/>
                <w:b/>
                <w:color w:val="000000" w:themeColor="text1"/>
                <w:sz w:val="18"/>
                <w:szCs w:val="18"/>
              </w:rPr>
              <w:t>Neto najveća izloženost</w:t>
            </w:r>
            <w:bookmarkEnd w:id="658"/>
          </w:p>
        </w:tc>
        <w:tc>
          <w:tcPr>
            <w:tcW w:w="631" w:type="pct"/>
            <w:vAlign w:val="bottom"/>
          </w:tcPr>
          <w:p w14:paraId="14261ED3" w14:textId="77777777" w:rsidR="001A0FCB" w:rsidRPr="003D1614" w:rsidRDefault="001A0FCB" w:rsidP="00EE09BF">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59" w:name="_Toc67329629"/>
            <w:r w:rsidRPr="003D1614">
              <w:rPr>
                <w:rFonts w:ascii="Arial" w:eastAsia="Times New Roman" w:hAnsi="Arial" w:cs="Arial"/>
                <w:b/>
                <w:color w:val="000000" w:themeColor="text1"/>
                <w:sz w:val="18"/>
                <w:szCs w:val="18"/>
              </w:rPr>
              <w:t>Neto najveća izloženost  nakon umanjenja za sredstva osiguranja</w:t>
            </w:r>
            <w:bookmarkEnd w:id="659"/>
          </w:p>
        </w:tc>
      </w:tr>
      <w:tr w:rsidR="001A0FCB" w:rsidRPr="003D1614" w14:paraId="47AC4B4D" w14:textId="77777777" w:rsidTr="007478FB">
        <w:trPr>
          <w:cantSplit/>
          <w:trHeight w:val="250"/>
          <w:tblHeader/>
        </w:trPr>
        <w:tc>
          <w:tcPr>
            <w:tcW w:w="2511" w:type="pct"/>
            <w:vAlign w:val="bottom"/>
          </w:tcPr>
          <w:p w14:paraId="6A78CCF9" w14:textId="77777777" w:rsidR="001A0FCB" w:rsidRPr="003D1614" w:rsidRDefault="001A0FCB" w:rsidP="00EE09BF">
            <w:pPr>
              <w:suppressAutoHyphens/>
              <w:autoSpaceDN w:val="0"/>
              <w:ind w:left="113" w:hanging="113"/>
              <w:rPr>
                <w:rFonts w:ascii="Arial" w:eastAsia="Times New Roman" w:hAnsi="Arial" w:cs="Arial"/>
                <w:color w:val="000000" w:themeColor="text1"/>
                <w:sz w:val="18"/>
                <w:szCs w:val="18"/>
              </w:rPr>
            </w:pPr>
          </w:p>
        </w:tc>
        <w:tc>
          <w:tcPr>
            <w:tcW w:w="613" w:type="pct"/>
            <w:vAlign w:val="bottom"/>
          </w:tcPr>
          <w:p w14:paraId="375C4E50" w14:textId="55148F5B" w:rsidR="001A0FCB" w:rsidRPr="003D1614" w:rsidRDefault="00184EBE" w:rsidP="00EE09BF">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184EBE">
              <w:rPr>
                <w:rFonts w:ascii="Arial" w:eastAsia="Times New Roman" w:hAnsi="Arial" w:cs="Arial"/>
                <w:b/>
                <w:color w:val="000000" w:themeColor="text1"/>
                <w:sz w:val="18"/>
                <w:szCs w:val="18"/>
              </w:rPr>
              <w:t>30. rujna 202</w:t>
            </w:r>
            <w:r w:rsidR="00A64B4D">
              <w:rPr>
                <w:rFonts w:ascii="Arial" w:eastAsia="Times New Roman" w:hAnsi="Arial" w:cs="Arial"/>
                <w:b/>
                <w:color w:val="000000" w:themeColor="text1"/>
                <w:sz w:val="18"/>
                <w:szCs w:val="18"/>
              </w:rPr>
              <w:t>4</w:t>
            </w:r>
            <w:r w:rsidRPr="00184EBE">
              <w:rPr>
                <w:rFonts w:ascii="Arial" w:eastAsia="Times New Roman" w:hAnsi="Arial" w:cs="Arial"/>
                <w:b/>
                <w:color w:val="000000" w:themeColor="text1"/>
                <w:sz w:val="18"/>
                <w:szCs w:val="18"/>
              </w:rPr>
              <w:t>.</w:t>
            </w:r>
          </w:p>
        </w:tc>
        <w:tc>
          <w:tcPr>
            <w:tcW w:w="613" w:type="pct"/>
            <w:vAlign w:val="bottom"/>
          </w:tcPr>
          <w:p w14:paraId="6B353571" w14:textId="10C1FBA4" w:rsidR="001A0FCB" w:rsidRPr="003D1614" w:rsidRDefault="00184EBE" w:rsidP="00EE09BF">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184EBE">
              <w:rPr>
                <w:rFonts w:ascii="Arial" w:eastAsia="Times New Roman" w:hAnsi="Arial" w:cs="Arial"/>
                <w:b/>
                <w:color w:val="000000" w:themeColor="text1"/>
                <w:sz w:val="18"/>
                <w:szCs w:val="18"/>
              </w:rPr>
              <w:t>30. rujna 202</w:t>
            </w:r>
            <w:r w:rsidR="00A64B4D">
              <w:rPr>
                <w:rFonts w:ascii="Arial" w:eastAsia="Times New Roman" w:hAnsi="Arial" w:cs="Arial"/>
                <w:b/>
                <w:color w:val="000000" w:themeColor="text1"/>
                <w:sz w:val="18"/>
                <w:szCs w:val="18"/>
              </w:rPr>
              <w:t>4</w:t>
            </w:r>
            <w:r w:rsidRPr="00184EBE">
              <w:rPr>
                <w:rFonts w:ascii="Arial" w:eastAsia="Times New Roman" w:hAnsi="Arial" w:cs="Arial"/>
                <w:b/>
                <w:color w:val="000000" w:themeColor="text1"/>
                <w:sz w:val="18"/>
                <w:szCs w:val="18"/>
              </w:rPr>
              <w:t>.</w:t>
            </w:r>
          </w:p>
        </w:tc>
        <w:tc>
          <w:tcPr>
            <w:tcW w:w="632" w:type="pct"/>
            <w:vAlign w:val="bottom"/>
          </w:tcPr>
          <w:p w14:paraId="73501CD8" w14:textId="23480E31" w:rsidR="001A0FCB" w:rsidRPr="003D1614" w:rsidRDefault="001A0FCB" w:rsidP="00EE09BF">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60" w:name="_Toc67329632"/>
            <w:r w:rsidRPr="003D1614">
              <w:rPr>
                <w:rFonts w:ascii="Arial" w:eastAsia="Times New Roman" w:hAnsi="Arial" w:cs="Arial"/>
                <w:b/>
                <w:color w:val="000000" w:themeColor="text1"/>
                <w:sz w:val="18"/>
                <w:szCs w:val="18"/>
              </w:rPr>
              <w:t>31. prosinca 202</w:t>
            </w:r>
            <w:r w:rsidR="00A64B4D">
              <w:rPr>
                <w:rFonts w:ascii="Arial" w:eastAsia="Times New Roman" w:hAnsi="Arial" w:cs="Arial"/>
                <w:b/>
                <w:color w:val="000000" w:themeColor="text1"/>
                <w:sz w:val="18"/>
                <w:szCs w:val="18"/>
              </w:rPr>
              <w:t>3</w:t>
            </w:r>
            <w:r w:rsidRPr="003D1614">
              <w:rPr>
                <w:rFonts w:ascii="Arial" w:eastAsia="Times New Roman" w:hAnsi="Arial" w:cs="Arial"/>
                <w:b/>
                <w:color w:val="000000" w:themeColor="text1"/>
                <w:sz w:val="18"/>
                <w:szCs w:val="18"/>
              </w:rPr>
              <w:t>.</w:t>
            </w:r>
            <w:bookmarkEnd w:id="660"/>
          </w:p>
        </w:tc>
        <w:tc>
          <w:tcPr>
            <w:tcW w:w="631" w:type="pct"/>
            <w:vAlign w:val="bottom"/>
          </w:tcPr>
          <w:p w14:paraId="636F80C7" w14:textId="45CA515B" w:rsidR="001A0FCB" w:rsidRPr="003D1614" w:rsidRDefault="001A0FCB" w:rsidP="00EE09BF">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61" w:name="_Toc67329633"/>
            <w:r w:rsidRPr="003D1614">
              <w:rPr>
                <w:rFonts w:ascii="Arial" w:eastAsia="Times New Roman" w:hAnsi="Arial" w:cs="Arial"/>
                <w:b/>
                <w:color w:val="000000" w:themeColor="text1"/>
                <w:sz w:val="18"/>
                <w:szCs w:val="18"/>
              </w:rPr>
              <w:t>31. prosinca 202</w:t>
            </w:r>
            <w:r w:rsidR="00A64B4D">
              <w:rPr>
                <w:rFonts w:ascii="Arial" w:eastAsia="Times New Roman" w:hAnsi="Arial" w:cs="Arial"/>
                <w:b/>
                <w:color w:val="000000" w:themeColor="text1"/>
                <w:sz w:val="18"/>
                <w:szCs w:val="18"/>
              </w:rPr>
              <w:t>3</w:t>
            </w:r>
            <w:r w:rsidRPr="003D1614">
              <w:rPr>
                <w:rFonts w:ascii="Arial" w:eastAsia="Times New Roman" w:hAnsi="Arial" w:cs="Arial"/>
                <w:b/>
                <w:color w:val="000000" w:themeColor="text1"/>
                <w:sz w:val="18"/>
                <w:szCs w:val="18"/>
              </w:rPr>
              <w:t>.</w:t>
            </w:r>
            <w:bookmarkEnd w:id="661"/>
          </w:p>
        </w:tc>
      </w:tr>
      <w:tr w:rsidR="001A0FCB" w:rsidRPr="003D1614" w14:paraId="1A53B032" w14:textId="77777777" w:rsidTr="007478FB">
        <w:trPr>
          <w:cantSplit/>
          <w:trHeight w:val="250"/>
          <w:tblHeader/>
        </w:trPr>
        <w:tc>
          <w:tcPr>
            <w:tcW w:w="2511" w:type="pct"/>
            <w:vAlign w:val="bottom"/>
          </w:tcPr>
          <w:p w14:paraId="37D1B03A" w14:textId="77777777" w:rsidR="001A0FCB" w:rsidRPr="003D1614" w:rsidRDefault="001A0FCB" w:rsidP="00EE09BF">
            <w:pPr>
              <w:suppressAutoHyphens/>
              <w:autoSpaceDN w:val="0"/>
              <w:ind w:left="113" w:hanging="113"/>
              <w:rPr>
                <w:rFonts w:ascii="Arial" w:eastAsia="Times New Roman" w:hAnsi="Arial" w:cs="Arial"/>
                <w:color w:val="000000" w:themeColor="text1"/>
                <w:sz w:val="18"/>
                <w:szCs w:val="18"/>
              </w:rPr>
            </w:pPr>
          </w:p>
        </w:tc>
        <w:tc>
          <w:tcPr>
            <w:tcW w:w="613" w:type="pct"/>
            <w:vAlign w:val="bottom"/>
          </w:tcPr>
          <w:p w14:paraId="02626017" w14:textId="7043A597" w:rsidR="001A0FCB" w:rsidRPr="003D1614" w:rsidRDefault="001A0FCB" w:rsidP="00EE09BF">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62" w:name="_Toc67329634"/>
            <w:r w:rsidRPr="003D1614">
              <w:rPr>
                <w:rFonts w:ascii="Arial" w:eastAsia="Times New Roman" w:hAnsi="Arial" w:cs="Arial"/>
                <w:b/>
                <w:color w:val="000000" w:themeColor="text1"/>
                <w:sz w:val="18"/>
                <w:szCs w:val="18"/>
              </w:rPr>
              <w:t>000 eura</w:t>
            </w:r>
            <w:bookmarkEnd w:id="662"/>
          </w:p>
        </w:tc>
        <w:tc>
          <w:tcPr>
            <w:tcW w:w="613" w:type="pct"/>
            <w:vAlign w:val="bottom"/>
          </w:tcPr>
          <w:p w14:paraId="130CFC9E" w14:textId="48C4A863" w:rsidR="001A0FCB" w:rsidRPr="003D1614" w:rsidRDefault="001A0FCB" w:rsidP="00EE09BF">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63" w:name="_Toc67329635"/>
            <w:r w:rsidRPr="003D1614">
              <w:rPr>
                <w:rFonts w:ascii="Arial" w:eastAsia="Times New Roman" w:hAnsi="Arial" w:cs="Arial"/>
                <w:b/>
                <w:color w:val="000000" w:themeColor="text1"/>
                <w:sz w:val="18"/>
                <w:szCs w:val="18"/>
              </w:rPr>
              <w:t>000 eura</w:t>
            </w:r>
            <w:bookmarkEnd w:id="663"/>
          </w:p>
        </w:tc>
        <w:tc>
          <w:tcPr>
            <w:tcW w:w="632" w:type="pct"/>
            <w:vAlign w:val="bottom"/>
          </w:tcPr>
          <w:p w14:paraId="7443FDF5" w14:textId="1930097B" w:rsidR="001A0FCB" w:rsidRPr="003D1614" w:rsidRDefault="001A0FCB" w:rsidP="00EE09BF">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64" w:name="_Toc67329636"/>
            <w:r w:rsidRPr="003D1614">
              <w:rPr>
                <w:rFonts w:ascii="Arial" w:eastAsia="Times New Roman" w:hAnsi="Arial" w:cs="Arial"/>
                <w:b/>
                <w:color w:val="000000" w:themeColor="text1"/>
                <w:sz w:val="18"/>
                <w:szCs w:val="18"/>
              </w:rPr>
              <w:t>000 eura</w:t>
            </w:r>
            <w:bookmarkEnd w:id="664"/>
          </w:p>
        </w:tc>
        <w:tc>
          <w:tcPr>
            <w:tcW w:w="631" w:type="pct"/>
            <w:vAlign w:val="bottom"/>
          </w:tcPr>
          <w:p w14:paraId="6F729890" w14:textId="333EDE2D" w:rsidR="001A0FCB" w:rsidRPr="003D1614" w:rsidRDefault="001A0FCB" w:rsidP="00EE09BF">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65" w:name="_Toc67329637"/>
            <w:r w:rsidRPr="003D1614">
              <w:rPr>
                <w:rFonts w:ascii="Arial" w:eastAsia="Times New Roman" w:hAnsi="Arial" w:cs="Arial"/>
                <w:b/>
                <w:color w:val="000000" w:themeColor="text1"/>
                <w:sz w:val="18"/>
                <w:szCs w:val="18"/>
              </w:rPr>
              <w:t>000 eura</w:t>
            </w:r>
            <w:bookmarkEnd w:id="665"/>
          </w:p>
        </w:tc>
      </w:tr>
      <w:tr w:rsidR="001A0FCB" w:rsidRPr="003D1614" w14:paraId="5083C9A8" w14:textId="77777777" w:rsidTr="007478FB">
        <w:trPr>
          <w:cantSplit/>
          <w:trHeight w:val="56"/>
          <w:tblHeader/>
        </w:trPr>
        <w:tc>
          <w:tcPr>
            <w:tcW w:w="2511" w:type="pct"/>
            <w:vAlign w:val="bottom"/>
          </w:tcPr>
          <w:p w14:paraId="179B2696" w14:textId="77777777" w:rsidR="001A0FCB" w:rsidRPr="003D1614" w:rsidRDefault="001A0FCB" w:rsidP="00EE09BF">
            <w:pPr>
              <w:suppressAutoHyphens/>
              <w:autoSpaceDN w:val="0"/>
              <w:ind w:left="113" w:hanging="113"/>
              <w:jc w:val="right"/>
              <w:rPr>
                <w:rFonts w:ascii="Arial" w:eastAsia="Times New Roman" w:hAnsi="Arial" w:cs="Arial"/>
                <w:color w:val="000000" w:themeColor="text1"/>
                <w:sz w:val="18"/>
                <w:szCs w:val="18"/>
              </w:rPr>
            </w:pPr>
          </w:p>
        </w:tc>
        <w:tc>
          <w:tcPr>
            <w:tcW w:w="613" w:type="pct"/>
            <w:vAlign w:val="bottom"/>
          </w:tcPr>
          <w:p w14:paraId="362419B7" w14:textId="77777777" w:rsidR="001A0FCB" w:rsidRPr="003D1614" w:rsidRDefault="001A0FCB" w:rsidP="00EE09BF">
            <w:pPr>
              <w:tabs>
                <w:tab w:val="right" w:pos="1202"/>
              </w:tabs>
              <w:suppressAutoHyphens/>
              <w:autoSpaceDN w:val="0"/>
              <w:jc w:val="right"/>
              <w:outlineLvl w:val="0"/>
              <w:rPr>
                <w:rFonts w:ascii="Arial" w:eastAsia="Times New Roman" w:hAnsi="Arial" w:cs="Arial"/>
                <w:b/>
                <w:color w:val="000000" w:themeColor="text1"/>
                <w:sz w:val="18"/>
                <w:szCs w:val="18"/>
              </w:rPr>
            </w:pPr>
          </w:p>
        </w:tc>
        <w:tc>
          <w:tcPr>
            <w:tcW w:w="613" w:type="pct"/>
            <w:vAlign w:val="bottom"/>
          </w:tcPr>
          <w:p w14:paraId="21FB576D" w14:textId="77777777" w:rsidR="001A0FCB" w:rsidRPr="003D1614" w:rsidRDefault="001A0FCB" w:rsidP="00EE09BF">
            <w:pPr>
              <w:tabs>
                <w:tab w:val="right" w:pos="1202"/>
              </w:tabs>
              <w:suppressAutoHyphens/>
              <w:autoSpaceDN w:val="0"/>
              <w:jc w:val="right"/>
              <w:outlineLvl w:val="0"/>
              <w:rPr>
                <w:rFonts w:ascii="Arial" w:eastAsia="Times New Roman" w:hAnsi="Arial" w:cs="Arial"/>
                <w:b/>
                <w:color w:val="000000" w:themeColor="text1"/>
                <w:sz w:val="18"/>
                <w:szCs w:val="18"/>
              </w:rPr>
            </w:pPr>
          </w:p>
        </w:tc>
        <w:tc>
          <w:tcPr>
            <w:tcW w:w="632" w:type="pct"/>
            <w:vAlign w:val="bottom"/>
          </w:tcPr>
          <w:p w14:paraId="4255B130" w14:textId="77777777" w:rsidR="001A0FCB" w:rsidRPr="003D1614" w:rsidRDefault="001A0FCB" w:rsidP="00EE09BF">
            <w:pPr>
              <w:tabs>
                <w:tab w:val="right" w:pos="1202"/>
              </w:tabs>
              <w:suppressAutoHyphens/>
              <w:autoSpaceDN w:val="0"/>
              <w:jc w:val="right"/>
              <w:outlineLvl w:val="0"/>
              <w:rPr>
                <w:rFonts w:ascii="Arial" w:eastAsia="Times New Roman" w:hAnsi="Arial" w:cs="Arial"/>
                <w:b/>
                <w:color w:val="000000" w:themeColor="text1"/>
                <w:sz w:val="18"/>
                <w:szCs w:val="18"/>
              </w:rPr>
            </w:pPr>
          </w:p>
        </w:tc>
        <w:tc>
          <w:tcPr>
            <w:tcW w:w="631" w:type="pct"/>
            <w:vAlign w:val="bottom"/>
          </w:tcPr>
          <w:p w14:paraId="6C7B47F1" w14:textId="77777777" w:rsidR="001A0FCB" w:rsidRPr="003D1614" w:rsidRDefault="001A0FCB" w:rsidP="00EE09BF">
            <w:pPr>
              <w:tabs>
                <w:tab w:val="right" w:pos="1202"/>
              </w:tabs>
              <w:suppressAutoHyphens/>
              <w:autoSpaceDN w:val="0"/>
              <w:jc w:val="right"/>
              <w:outlineLvl w:val="0"/>
              <w:rPr>
                <w:rFonts w:ascii="Arial" w:eastAsia="Times New Roman" w:hAnsi="Arial" w:cs="Arial"/>
                <w:b/>
                <w:color w:val="000000" w:themeColor="text1"/>
                <w:sz w:val="18"/>
                <w:szCs w:val="18"/>
              </w:rPr>
            </w:pPr>
          </w:p>
        </w:tc>
      </w:tr>
      <w:tr w:rsidR="0075256F" w:rsidRPr="003D1614" w14:paraId="6E0BBEDC" w14:textId="77777777" w:rsidTr="00AF283D">
        <w:trPr>
          <w:cantSplit/>
          <w:trHeight w:val="250"/>
          <w:tblHeader/>
        </w:trPr>
        <w:tc>
          <w:tcPr>
            <w:tcW w:w="2511" w:type="pct"/>
            <w:vAlign w:val="bottom"/>
          </w:tcPr>
          <w:p w14:paraId="6ADC1B74" w14:textId="77777777" w:rsidR="0075256F" w:rsidRPr="003D1614" w:rsidRDefault="0075256F" w:rsidP="0075256F">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66" w:name="_Toc67329638"/>
            <w:r w:rsidRPr="003D1614">
              <w:rPr>
                <w:rFonts w:ascii="Arial" w:eastAsia="Times New Roman" w:hAnsi="Arial" w:cs="Arial"/>
                <w:color w:val="000000" w:themeColor="text1"/>
                <w:sz w:val="18"/>
                <w:szCs w:val="18"/>
              </w:rPr>
              <w:t>Financijske djelatnosti i djelatnosti osiguranja</w:t>
            </w:r>
            <w:bookmarkEnd w:id="666"/>
          </w:p>
        </w:tc>
        <w:tc>
          <w:tcPr>
            <w:tcW w:w="613" w:type="pct"/>
            <w:tcBorders>
              <w:top w:val="nil"/>
              <w:left w:val="nil"/>
              <w:bottom w:val="nil"/>
              <w:right w:val="nil"/>
            </w:tcBorders>
            <w:shd w:val="clear" w:color="auto" w:fill="auto"/>
            <w:vAlign w:val="bottom"/>
          </w:tcPr>
          <w:p w14:paraId="191620C9" w14:textId="3581FB6D" w:rsidR="0075256F" w:rsidRPr="003D1614" w:rsidRDefault="0075256F" w:rsidP="0075256F">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1.555.045</w:t>
            </w:r>
          </w:p>
        </w:tc>
        <w:tc>
          <w:tcPr>
            <w:tcW w:w="613" w:type="pct"/>
            <w:tcBorders>
              <w:top w:val="nil"/>
              <w:left w:val="nil"/>
              <w:bottom w:val="nil"/>
              <w:right w:val="nil"/>
            </w:tcBorders>
            <w:shd w:val="clear" w:color="auto" w:fill="auto"/>
            <w:vAlign w:val="bottom"/>
          </w:tcPr>
          <w:p w14:paraId="00F48B60" w14:textId="56974F13" w:rsidR="0075256F" w:rsidRPr="003D1614" w:rsidRDefault="0075256F" w:rsidP="0075256F">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w:t>
            </w:r>
          </w:p>
        </w:tc>
        <w:tc>
          <w:tcPr>
            <w:tcW w:w="632" w:type="pct"/>
            <w:tcBorders>
              <w:top w:val="nil"/>
              <w:left w:val="nil"/>
              <w:bottom w:val="nil"/>
              <w:right w:val="nil"/>
            </w:tcBorders>
            <w:shd w:val="clear" w:color="auto" w:fill="auto"/>
            <w:vAlign w:val="bottom"/>
          </w:tcPr>
          <w:p w14:paraId="409398DF" w14:textId="179FE483" w:rsidR="0075256F" w:rsidRPr="00617755" w:rsidRDefault="0075256F" w:rsidP="0075256F">
            <w:pPr>
              <w:tabs>
                <w:tab w:val="right" w:pos="1202"/>
              </w:tabs>
              <w:suppressAutoHyphens/>
              <w:autoSpaceDN w:val="0"/>
              <w:spacing w:line="301" w:lineRule="exact"/>
              <w:jc w:val="right"/>
              <w:outlineLvl w:val="0"/>
              <w:rPr>
                <w:rFonts w:ascii="Arial" w:eastAsia="Times New Roman" w:hAnsi="Arial" w:cs="Arial"/>
                <w:sz w:val="18"/>
                <w:szCs w:val="18"/>
              </w:rPr>
            </w:pPr>
            <w:r w:rsidRPr="00F959D0">
              <w:rPr>
                <w:rFonts w:ascii="Arial" w:hAnsi="Arial" w:cs="Arial"/>
                <w:sz w:val="18"/>
                <w:szCs w:val="18"/>
              </w:rPr>
              <w:t>1.567.846</w:t>
            </w:r>
          </w:p>
        </w:tc>
        <w:tc>
          <w:tcPr>
            <w:tcW w:w="631" w:type="pct"/>
            <w:tcBorders>
              <w:top w:val="nil"/>
              <w:left w:val="nil"/>
              <w:bottom w:val="nil"/>
              <w:right w:val="nil"/>
            </w:tcBorders>
            <w:shd w:val="clear" w:color="auto" w:fill="auto"/>
            <w:vAlign w:val="bottom"/>
          </w:tcPr>
          <w:p w14:paraId="795C8949" w14:textId="6C0E2518" w:rsidR="0075256F" w:rsidRPr="00617755" w:rsidRDefault="0075256F" w:rsidP="0075256F">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w:t>
            </w:r>
          </w:p>
        </w:tc>
      </w:tr>
      <w:tr w:rsidR="0075256F" w:rsidRPr="003D1614" w14:paraId="3AA5C46F" w14:textId="77777777" w:rsidTr="00AF283D">
        <w:trPr>
          <w:cantSplit/>
          <w:trHeight w:val="250"/>
          <w:tblHeader/>
        </w:trPr>
        <w:tc>
          <w:tcPr>
            <w:tcW w:w="2511" w:type="pct"/>
            <w:vAlign w:val="bottom"/>
          </w:tcPr>
          <w:p w14:paraId="53A5FC2D" w14:textId="77777777" w:rsidR="0075256F" w:rsidRPr="003D1614" w:rsidRDefault="0075256F" w:rsidP="0075256F">
            <w:pPr>
              <w:tabs>
                <w:tab w:val="right" w:pos="1202"/>
              </w:tabs>
              <w:suppressAutoHyphens/>
              <w:autoSpaceDN w:val="0"/>
              <w:outlineLvl w:val="0"/>
              <w:rPr>
                <w:rFonts w:ascii="Arial" w:eastAsia="Times New Roman" w:hAnsi="Arial" w:cs="Arial"/>
                <w:color w:val="000000" w:themeColor="text1"/>
                <w:sz w:val="18"/>
                <w:szCs w:val="18"/>
              </w:rPr>
            </w:pPr>
            <w:bookmarkStart w:id="667" w:name="_Toc67329643"/>
            <w:r w:rsidRPr="003D1614">
              <w:rPr>
                <w:rFonts w:ascii="Arial" w:eastAsia="Times New Roman" w:hAnsi="Arial" w:cs="Arial"/>
                <w:color w:val="000000" w:themeColor="text1"/>
                <w:sz w:val="18"/>
                <w:szCs w:val="18"/>
              </w:rPr>
              <w:t>Vodoopskrba, opskrba električnom energijom i ostala infrastruktura</w:t>
            </w:r>
            <w:bookmarkEnd w:id="667"/>
          </w:p>
        </w:tc>
        <w:tc>
          <w:tcPr>
            <w:tcW w:w="613" w:type="pct"/>
            <w:tcBorders>
              <w:top w:val="nil"/>
              <w:left w:val="nil"/>
              <w:bottom w:val="nil"/>
              <w:right w:val="nil"/>
            </w:tcBorders>
            <w:shd w:val="clear" w:color="auto" w:fill="auto"/>
            <w:vAlign w:val="bottom"/>
          </w:tcPr>
          <w:p w14:paraId="21C826BD" w14:textId="05C17AE0" w:rsidR="0075256F" w:rsidRPr="003D1614" w:rsidRDefault="0075256F" w:rsidP="0075256F">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453.619</w:t>
            </w:r>
          </w:p>
        </w:tc>
        <w:tc>
          <w:tcPr>
            <w:tcW w:w="613" w:type="pct"/>
            <w:tcBorders>
              <w:top w:val="nil"/>
              <w:left w:val="nil"/>
              <w:bottom w:val="nil"/>
              <w:right w:val="nil"/>
            </w:tcBorders>
            <w:shd w:val="clear" w:color="auto" w:fill="auto"/>
            <w:vAlign w:val="bottom"/>
          </w:tcPr>
          <w:p w14:paraId="1682D2B7" w14:textId="6A939739" w:rsidR="0075256F" w:rsidRPr="003D1614" w:rsidRDefault="0075256F" w:rsidP="0075256F">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328.427</w:t>
            </w:r>
          </w:p>
        </w:tc>
        <w:tc>
          <w:tcPr>
            <w:tcW w:w="632" w:type="pct"/>
            <w:tcBorders>
              <w:top w:val="nil"/>
              <w:left w:val="nil"/>
              <w:bottom w:val="nil"/>
              <w:right w:val="nil"/>
            </w:tcBorders>
            <w:shd w:val="clear" w:color="auto" w:fill="auto"/>
            <w:vAlign w:val="bottom"/>
          </w:tcPr>
          <w:p w14:paraId="33DA76D8" w14:textId="75B1E9B3" w:rsidR="0075256F" w:rsidRPr="00617755" w:rsidRDefault="0075256F" w:rsidP="0075256F">
            <w:pPr>
              <w:tabs>
                <w:tab w:val="right" w:pos="1202"/>
              </w:tabs>
              <w:suppressAutoHyphens/>
              <w:autoSpaceDN w:val="0"/>
              <w:spacing w:line="301" w:lineRule="exact"/>
              <w:jc w:val="right"/>
              <w:outlineLvl w:val="0"/>
              <w:rPr>
                <w:rFonts w:ascii="Arial" w:eastAsia="Times New Roman" w:hAnsi="Arial" w:cs="Arial"/>
                <w:sz w:val="18"/>
                <w:szCs w:val="18"/>
              </w:rPr>
            </w:pPr>
            <w:r w:rsidRPr="00F959D0">
              <w:rPr>
                <w:rFonts w:ascii="Arial" w:hAnsi="Arial" w:cs="Arial"/>
                <w:sz w:val="18"/>
                <w:szCs w:val="18"/>
              </w:rPr>
              <w:t>336.728</w:t>
            </w:r>
          </w:p>
        </w:tc>
        <w:tc>
          <w:tcPr>
            <w:tcW w:w="631" w:type="pct"/>
            <w:tcBorders>
              <w:top w:val="nil"/>
              <w:left w:val="nil"/>
              <w:bottom w:val="nil"/>
              <w:right w:val="nil"/>
            </w:tcBorders>
            <w:shd w:val="clear" w:color="auto" w:fill="auto"/>
            <w:vAlign w:val="bottom"/>
          </w:tcPr>
          <w:p w14:paraId="5F0E176E" w14:textId="455F6C17" w:rsidR="0075256F" w:rsidRPr="00617755" w:rsidRDefault="0075256F" w:rsidP="0075256F">
            <w:pPr>
              <w:tabs>
                <w:tab w:val="right" w:pos="1202"/>
              </w:tabs>
              <w:suppressAutoHyphens/>
              <w:autoSpaceDN w:val="0"/>
              <w:spacing w:line="301" w:lineRule="exact"/>
              <w:jc w:val="right"/>
              <w:outlineLvl w:val="0"/>
              <w:rPr>
                <w:rFonts w:ascii="Arial" w:eastAsia="Times New Roman" w:hAnsi="Arial" w:cs="Arial"/>
                <w:sz w:val="18"/>
                <w:szCs w:val="18"/>
              </w:rPr>
            </w:pPr>
            <w:r w:rsidRPr="00F959D0">
              <w:rPr>
                <w:rFonts w:ascii="Arial" w:hAnsi="Arial" w:cs="Arial"/>
                <w:sz w:val="18"/>
                <w:szCs w:val="18"/>
              </w:rPr>
              <w:t>178.496</w:t>
            </w:r>
          </w:p>
        </w:tc>
      </w:tr>
      <w:tr w:rsidR="0075256F" w:rsidRPr="003D1614" w14:paraId="0FF25884" w14:textId="77777777" w:rsidTr="00AF283D">
        <w:trPr>
          <w:cantSplit/>
          <w:trHeight w:val="250"/>
          <w:tblHeader/>
        </w:trPr>
        <w:tc>
          <w:tcPr>
            <w:tcW w:w="2511" w:type="pct"/>
            <w:vAlign w:val="bottom"/>
          </w:tcPr>
          <w:p w14:paraId="046D9844" w14:textId="77777777" w:rsidR="0075256F" w:rsidRPr="003D1614" w:rsidRDefault="0075256F" w:rsidP="0075256F">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68" w:name="_Toc67329648"/>
            <w:r w:rsidRPr="003D1614">
              <w:rPr>
                <w:rFonts w:ascii="Arial" w:eastAsia="Times New Roman" w:hAnsi="Arial" w:cs="Arial"/>
                <w:color w:val="000000" w:themeColor="text1"/>
                <w:sz w:val="18"/>
                <w:szCs w:val="18"/>
              </w:rPr>
              <w:t>Turizam</w:t>
            </w:r>
            <w:bookmarkEnd w:id="668"/>
          </w:p>
        </w:tc>
        <w:tc>
          <w:tcPr>
            <w:tcW w:w="613" w:type="pct"/>
            <w:tcBorders>
              <w:top w:val="nil"/>
              <w:left w:val="nil"/>
              <w:bottom w:val="nil"/>
              <w:right w:val="nil"/>
            </w:tcBorders>
            <w:shd w:val="clear" w:color="auto" w:fill="auto"/>
            <w:vAlign w:val="bottom"/>
          </w:tcPr>
          <w:p w14:paraId="7B77162E" w14:textId="3B1D5A39" w:rsidR="0075256F" w:rsidRPr="003D1614" w:rsidRDefault="0075256F" w:rsidP="0075256F">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393.651</w:t>
            </w:r>
          </w:p>
        </w:tc>
        <w:tc>
          <w:tcPr>
            <w:tcW w:w="613" w:type="pct"/>
            <w:tcBorders>
              <w:top w:val="nil"/>
              <w:left w:val="nil"/>
              <w:bottom w:val="nil"/>
              <w:right w:val="nil"/>
            </w:tcBorders>
            <w:shd w:val="clear" w:color="auto" w:fill="auto"/>
            <w:vAlign w:val="bottom"/>
          </w:tcPr>
          <w:p w14:paraId="229AECBB" w14:textId="701B017D" w:rsidR="0075256F" w:rsidRPr="003D1614" w:rsidRDefault="0075256F" w:rsidP="0075256F">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13.412</w:t>
            </w:r>
          </w:p>
        </w:tc>
        <w:tc>
          <w:tcPr>
            <w:tcW w:w="632" w:type="pct"/>
            <w:tcBorders>
              <w:top w:val="nil"/>
              <w:left w:val="nil"/>
              <w:bottom w:val="nil"/>
              <w:right w:val="nil"/>
            </w:tcBorders>
            <w:shd w:val="clear" w:color="auto" w:fill="auto"/>
            <w:vAlign w:val="bottom"/>
          </w:tcPr>
          <w:p w14:paraId="2C788BE4" w14:textId="78C29621" w:rsidR="0075256F" w:rsidRPr="00617755" w:rsidRDefault="0075256F" w:rsidP="0075256F">
            <w:pPr>
              <w:tabs>
                <w:tab w:val="right" w:pos="1202"/>
              </w:tabs>
              <w:suppressAutoHyphens/>
              <w:autoSpaceDN w:val="0"/>
              <w:spacing w:line="301" w:lineRule="exact"/>
              <w:jc w:val="right"/>
              <w:outlineLvl w:val="0"/>
              <w:rPr>
                <w:rFonts w:ascii="Arial" w:eastAsia="Times New Roman" w:hAnsi="Arial" w:cs="Arial"/>
                <w:sz w:val="18"/>
                <w:szCs w:val="18"/>
              </w:rPr>
            </w:pPr>
            <w:r w:rsidRPr="00F959D0">
              <w:rPr>
                <w:rFonts w:ascii="Arial" w:hAnsi="Arial" w:cs="Arial"/>
                <w:sz w:val="18"/>
                <w:szCs w:val="18"/>
              </w:rPr>
              <w:t>421.616</w:t>
            </w:r>
          </w:p>
        </w:tc>
        <w:tc>
          <w:tcPr>
            <w:tcW w:w="631" w:type="pct"/>
            <w:tcBorders>
              <w:top w:val="nil"/>
              <w:left w:val="nil"/>
              <w:bottom w:val="nil"/>
              <w:right w:val="nil"/>
            </w:tcBorders>
            <w:shd w:val="clear" w:color="auto" w:fill="auto"/>
            <w:vAlign w:val="bottom"/>
          </w:tcPr>
          <w:p w14:paraId="279B6805" w14:textId="5C065FC8" w:rsidR="0075256F" w:rsidRPr="00617755" w:rsidRDefault="0075256F" w:rsidP="0075256F">
            <w:pPr>
              <w:tabs>
                <w:tab w:val="right" w:pos="1202"/>
              </w:tabs>
              <w:suppressAutoHyphens/>
              <w:autoSpaceDN w:val="0"/>
              <w:spacing w:line="301" w:lineRule="exact"/>
              <w:jc w:val="right"/>
              <w:outlineLvl w:val="0"/>
              <w:rPr>
                <w:rFonts w:ascii="Arial" w:eastAsia="Times New Roman" w:hAnsi="Arial" w:cs="Arial"/>
                <w:sz w:val="18"/>
                <w:szCs w:val="18"/>
              </w:rPr>
            </w:pPr>
            <w:r w:rsidRPr="00F959D0">
              <w:rPr>
                <w:rFonts w:ascii="Arial" w:hAnsi="Arial" w:cs="Arial"/>
                <w:sz w:val="18"/>
                <w:szCs w:val="18"/>
              </w:rPr>
              <w:t>15.995</w:t>
            </w:r>
          </w:p>
        </w:tc>
      </w:tr>
      <w:tr w:rsidR="0075256F" w:rsidRPr="003D1614" w14:paraId="1E3B7ECF" w14:textId="77777777" w:rsidTr="00AF283D">
        <w:trPr>
          <w:cantSplit/>
          <w:trHeight w:val="250"/>
          <w:tblHeader/>
        </w:trPr>
        <w:tc>
          <w:tcPr>
            <w:tcW w:w="2511" w:type="pct"/>
            <w:vAlign w:val="bottom"/>
          </w:tcPr>
          <w:p w14:paraId="5F3A8B7B" w14:textId="77777777" w:rsidR="0075256F" w:rsidRPr="003D1614" w:rsidRDefault="0075256F" w:rsidP="0075256F">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69" w:name="_Toc67329653"/>
            <w:r w:rsidRPr="003D1614">
              <w:rPr>
                <w:rFonts w:ascii="Arial" w:eastAsia="Times New Roman" w:hAnsi="Arial" w:cs="Arial"/>
                <w:color w:val="000000" w:themeColor="text1"/>
                <w:sz w:val="18"/>
                <w:szCs w:val="18"/>
              </w:rPr>
              <w:t>Prijevoz, skladištenje i veze</w:t>
            </w:r>
            <w:bookmarkEnd w:id="669"/>
          </w:p>
        </w:tc>
        <w:tc>
          <w:tcPr>
            <w:tcW w:w="613" w:type="pct"/>
            <w:tcBorders>
              <w:top w:val="nil"/>
              <w:left w:val="nil"/>
              <w:bottom w:val="nil"/>
              <w:right w:val="nil"/>
            </w:tcBorders>
            <w:shd w:val="clear" w:color="auto" w:fill="auto"/>
            <w:vAlign w:val="bottom"/>
          </w:tcPr>
          <w:p w14:paraId="6405CB1E" w14:textId="57150EDF" w:rsidR="0075256F" w:rsidRPr="003D1614" w:rsidRDefault="0075256F" w:rsidP="0075256F">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338.119</w:t>
            </w:r>
          </w:p>
        </w:tc>
        <w:tc>
          <w:tcPr>
            <w:tcW w:w="613" w:type="pct"/>
            <w:tcBorders>
              <w:top w:val="nil"/>
              <w:left w:val="nil"/>
              <w:bottom w:val="nil"/>
              <w:right w:val="nil"/>
            </w:tcBorders>
            <w:shd w:val="clear" w:color="auto" w:fill="auto"/>
            <w:vAlign w:val="bottom"/>
          </w:tcPr>
          <w:p w14:paraId="4D4E2B25" w14:textId="5DE86198" w:rsidR="0075256F" w:rsidRPr="003D1614" w:rsidRDefault="0075256F" w:rsidP="0075256F">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15.845</w:t>
            </w:r>
          </w:p>
        </w:tc>
        <w:tc>
          <w:tcPr>
            <w:tcW w:w="632" w:type="pct"/>
            <w:tcBorders>
              <w:top w:val="nil"/>
              <w:left w:val="nil"/>
              <w:bottom w:val="nil"/>
              <w:right w:val="nil"/>
            </w:tcBorders>
            <w:shd w:val="clear" w:color="auto" w:fill="auto"/>
            <w:vAlign w:val="bottom"/>
          </w:tcPr>
          <w:p w14:paraId="4AD9FDD6" w14:textId="7B9555CB" w:rsidR="0075256F" w:rsidRPr="00617755" w:rsidRDefault="0075256F" w:rsidP="0075256F">
            <w:pPr>
              <w:tabs>
                <w:tab w:val="right" w:pos="1202"/>
              </w:tabs>
              <w:suppressAutoHyphens/>
              <w:autoSpaceDN w:val="0"/>
              <w:spacing w:line="301" w:lineRule="exact"/>
              <w:jc w:val="right"/>
              <w:outlineLvl w:val="0"/>
              <w:rPr>
                <w:rFonts w:ascii="Arial" w:eastAsia="Times New Roman" w:hAnsi="Arial" w:cs="Arial"/>
                <w:sz w:val="18"/>
                <w:szCs w:val="18"/>
              </w:rPr>
            </w:pPr>
            <w:r w:rsidRPr="00F959D0">
              <w:rPr>
                <w:rFonts w:ascii="Arial" w:hAnsi="Arial" w:cs="Arial"/>
                <w:sz w:val="18"/>
                <w:szCs w:val="18"/>
              </w:rPr>
              <w:t>386.616</w:t>
            </w:r>
          </w:p>
        </w:tc>
        <w:tc>
          <w:tcPr>
            <w:tcW w:w="631" w:type="pct"/>
            <w:tcBorders>
              <w:top w:val="nil"/>
              <w:left w:val="nil"/>
              <w:bottom w:val="nil"/>
              <w:right w:val="nil"/>
            </w:tcBorders>
            <w:shd w:val="clear" w:color="auto" w:fill="auto"/>
            <w:vAlign w:val="bottom"/>
          </w:tcPr>
          <w:p w14:paraId="27EBDAF4" w14:textId="2B093A4B" w:rsidR="0075256F" w:rsidRPr="00617755" w:rsidRDefault="0075256F" w:rsidP="0075256F">
            <w:pPr>
              <w:tabs>
                <w:tab w:val="right" w:pos="1202"/>
              </w:tabs>
              <w:suppressAutoHyphens/>
              <w:autoSpaceDN w:val="0"/>
              <w:spacing w:line="301" w:lineRule="exact"/>
              <w:jc w:val="right"/>
              <w:outlineLvl w:val="0"/>
              <w:rPr>
                <w:rFonts w:ascii="Arial" w:eastAsia="Times New Roman" w:hAnsi="Arial" w:cs="Arial"/>
                <w:sz w:val="18"/>
                <w:szCs w:val="18"/>
              </w:rPr>
            </w:pPr>
            <w:r w:rsidRPr="00F959D0">
              <w:rPr>
                <w:rFonts w:ascii="Arial" w:hAnsi="Arial" w:cs="Arial"/>
                <w:sz w:val="18"/>
                <w:szCs w:val="18"/>
              </w:rPr>
              <w:t>62.267</w:t>
            </w:r>
          </w:p>
        </w:tc>
      </w:tr>
      <w:tr w:rsidR="0075256F" w:rsidRPr="003D1614" w14:paraId="7DE3534B" w14:textId="77777777" w:rsidTr="00AF283D">
        <w:trPr>
          <w:cantSplit/>
          <w:trHeight w:val="250"/>
          <w:tblHeader/>
        </w:trPr>
        <w:tc>
          <w:tcPr>
            <w:tcW w:w="2511" w:type="pct"/>
            <w:vAlign w:val="bottom"/>
          </w:tcPr>
          <w:p w14:paraId="6B7C9F91" w14:textId="77777777" w:rsidR="0075256F" w:rsidRPr="003D1614" w:rsidRDefault="0075256F" w:rsidP="0075256F">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70" w:name="_Toc67329658"/>
            <w:r w:rsidRPr="003D1614">
              <w:rPr>
                <w:rFonts w:ascii="Arial" w:eastAsia="Times New Roman" w:hAnsi="Arial" w:cs="Arial"/>
                <w:color w:val="000000" w:themeColor="text1"/>
                <w:sz w:val="18"/>
                <w:szCs w:val="18"/>
              </w:rPr>
              <w:t>Brodogradnja</w:t>
            </w:r>
            <w:bookmarkEnd w:id="670"/>
          </w:p>
        </w:tc>
        <w:tc>
          <w:tcPr>
            <w:tcW w:w="613" w:type="pct"/>
            <w:tcBorders>
              <w:top w:val="nil"/>
              <w:left w:val="nil"/>
              <w:bottom w:val="nil"/>
              <w:right w:val="nil"/>
            </w:tcBorders>
            <w:shd w:val="clear" w:color="auto" w:fill="auto"/>
            <w:vAlign w:val="bottom"/>
          </w:tcPr>
          <w:p w14:paraId="27026BBF" w14:textId="36F4E33B" w:rsidR="0075256F" w:rsidRPr="003D1614" w:rsidRDefault="0075256F" w:rsidP="0075256F">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162.159</w:t>
            </w:r>
          </w:p>
        </w:tc>
        <w:tc>
          <w:tcPr>
            <w:tcW w:w="613" w:type="pct"/>
            <w:tcBorders>
              <w:top w:val="nil"/>
              <w:left w:val="nil"/>
              <w:bottom w:val="nil"/>
              <w:right w:val="nil"/>
            </w:tcBorders>
            <w:shd w:val="clear" w:color="auto" w:fill="auto"/>
            <w:vAlign w:val="bottom"/>
          </w:tcPr>
          <w:p w14:paraId="22EC51C9" w14:textId="6BBE0E32" w:rsidR="0075256F" w:rsidRPr="003D1614" w:rsidRDefault="0075256F" w:rsidP="0075256F">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10.176</w:t>
            </w:r>
          </w:p>
        </w:tc>
        <w:tc>
          <w:tcPr>
            <w:tcW w:w="632" w:type="pct"/>
            <w:tcBorders>
              <w:top w:val="nil"/>
              <w:left w:val="nil"/>
              <w:bottom w:val="nil"/>
              <w:right w:val="nil"/>
            </w:tcBorders>
            <w:shd w:val="clear" w:color="auto" w:fill="auto"/>
            <w:vAlign w:val="bottom"/>
          </w:tcPr>
          <w:p w14:paraId="5F0A45DD" w14:textId="1C0E184E" w:rsidR="0075256F" w:rsidRPr="00617755" w:rsidRDefault="0075256F" w:rsidP="0075256F">
            <w:pPr>
              <w:tabs>
                <w:tab w:val="right" w:pos="1202"/>
              </w:tabs>
              <w:suppressAutoHyphens/>
              <w:autoSpaceDN w:val="0"/>
              <w:spacing w:line="301" w:lineRule="exact"/>
              <w:jc w:val="right"/>
              <w:outlineLvl w:val="0"/>
              <w:rPr>
                <w:rFonts w:ascii="Arial" w:eastAsia="Times New Roman" w:hAnsi="Arial" w:cs="Arial"/>
                <w:sz w:val="18"/>
                <w:szCs w:val="18"/>
              </w:rPr>
            </w:pPr>
            <w:r w:rsidRPr="00F959D0">
              <w:rPr>
                <w:rFonts w:ascii="Arial" w:hAnsi="Arial" w:cs="Arial"/>
                <w:sz w:val="18"/>
                <w:szCs w:val="18"/>
              </w:rPr>
              <w:t>162.243</w:t>
            </w:r>
          </w:p>
        </w:tc>
        <w:tc>
          <w:tcPr>
            <w:tcW w:w="631" w:type="pct"/>
            <w:tcBorders>
              <w:top w:val="nil"/>
              <w:left w:val="nil"/>
              <w:bottom w:val="nil"/>
              <w:right w:val="nil"/>
            </w:tcBorders>
            <w:shd w:val="clear" w:color="auto" w:fill="auto"/>
            <w:vAlign w:val="bottom"/>
          </w:tcPr>
          <w:p w14:paraId="282711D1" w14:textId="63C71FA2" w:rsidR="0075256F" w:rsidRPr="00617755" w:rsidRDefault="0075256F" w:rsidP="0075256F">
            <w:pPr>
              <w:tabs>
                <w:tab w:val="right" w:pos="1202"/>
              </w:tabs>
              <w:suppressAutoHyphens/>
              <w:autoSpaceDN w:val="0"/>
              <w:spacing w:line="301" w:lineRule="exact"/>
              <w:jc w:val="right"/>
              <w:outlineLvl w:val="0"/>
              <w:rPr>
                <w:rFonts w:ascii="Arial" w:eastAsia="Times New Roman" w:hAnsi="Arial" w:cs="Arial"/>
                <w:sz w:val="18"/>
                <w:szCs w:val="18"/>
              </w:rPr>
            </w:pPr>
            <w:r w:rsidRPr="00F959D0">
              <w:rPr>
                <w:rFonts w:ascii="Arial" w:hAnsi="Arial" w:cs="Arial"/>
                <w:sz w:val="18"/>
                <w:szCs w:val="18"/>
              </w:rPr>
              <w:t>17.674</w:t>
            </w:r>
          </w:p>
        </w:tc>
      </w:tr>
      <w:tr w:rsidR="0075256F" w:rsidRPr="003D1614" w14:paraId="6AAFFF7A" w14:textId="77777777" w:rsidTr="00AF283D">
        <w:trPr>
          <w:cantSplit/>
          <w:trHeight w:val="250"/>
          <w:tblHeader/>
        </w:trPr>
        <w:tc>
          <w:tcPr>
            <w:tcW w:w="2511" w:type="pct"/>
            <w:vAlign w:val="bottom"/>
          </w:tcPr>
          <w:p w14:paraId="14FF5252" w14:textId="77777777" w:rsidR="0075256F" w:rsidRPr="003D1614" w:rsidDel="00FF5490" w:rsidRDefault="0075256F" w:rsidP="0075256F">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71" w:name="_Toc67329663"/>
            <w:r w:rsidRPr="003D1614">
              <w:rPr>
                <w:rFonts w:ascii="Arial" w:eastAsia="Times New Roman" w:hAnsi="Arial" w:cs="Arial"/>
                <w:color w:val="000000" w:themeColor="text1"/>
                <w:sz w:val="18"/>
                <w:szCs w:val="18"/>
              </w:rPr>
              <w:t>Poljoprivreda i ribarstvo</w:t>
            </w:r>
            <w:bookmarkEnd w:id="671"/>
          </w:p>
        </w:tc>
        <w:tc>
          <w:tcPr>
            <w:tcW w:w="613" w:type="pct"/>
            <w:tcBorders>
              <w:top w:val="nil"/>
              <w:left w:val="nil"/>
              <w:bottom w:val="nil"/>
              <w:right w:val="nil"/>
            </w:tcBorders>
            <w:shd w:val="clear" w:color="auto" w:fill="auto"/>
            <w:vAlign w:val="bottom"/>
          </w:tcPr>
          <w:p w14:paraId="2205C0D3" w14:textId="7533841B" w:rsidR="0075256F" w:rsidRPr="003D1614" w:rsidRDefault="0075256F" w:rsidP="0075256F">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101.483</w:t>
            </w:r>
          </w:p>
        </w:tc>
        <w:tc>
          <w:tcPr>
            <w:tcW w:w="613" w:type="pct"/>
            <w:tcBorders>
              <w:top w:val="nil"/>
              <w:left w:val="nil"/>
              <w:bottom w:val="nil"/>
              <w:right w:val="nil"/>
            </w:tcBorders>
            <w:shd w:val="clear" w:color="auto" w:fill="auto"/>
            <w:vAlign w:val="bottom"/>
          </w:tcPr>
          <w:p w14:paraId="51C3187F" w14:textId="545FE808" w:rsidR="0075256F" w:rsidRPr="003D1614" w:rsidRDefault="0075256F" w:rsidP="0075256F">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33.987</w:t>
            </w:r>
          </w:p>
        </w:tc>
        <w:tc>
          <w:tcPr>
            <w:tcW w:w="632" w:type="pct"/>
            <w:tcBorders>
              <w:top w:val="nil"/>
              <w:left w:val="nil"/>
              <w:bottom w:val="nil"/>
              <w:right w:val="nil"/>
            </w:tcBorders>
            <w:shd w:val="clear" w:color="auto" w:fill="auto"/>
            <w:vAlign w:val="bottom"/>
          </w:tcPr>
          <w:p w14:paraId="448FA2AB" w14:textId="691565A3" w:rsidR="0075256F" w:rsidRPr="00617755" w:rsidRDefault="0075256F" w:rsidP="0075256F">
            <w:pPr>
              <w:tabs>
                <w:tab w:val="right" w:pos="1202"/>
              </w:tabs>
              <w:suppressAutoHyphens/>
              <w:autoSpaceDN w:val="0"/>
              <w:spacing w:line="301" w:lineRule="exact"/>
              <w:jc w:val="right"/>
              <w:outlineLvl w:val="0"/>
              <w:rPr>
                <w:rFonts w:ascii="Arial" w:eastAsia="Times New Roman" w:hAnsi="Arial" w:cs="Arial"/>
                <w:sz w:val="18"/>
                <w:szCs w:val="18"/>
              </w:rPr>
            </w:pPr>
            <w:r w:rsidRPr="00F959D0">
              <w:rPr>
                <w:rFonts w:ascii="Arial" w:hAnsi="Arial" w:cs="Arial"/>
                <w:sz w:val="18"/>
                <w:szCs w:val="18"/>
              </w:rPr>
              <w:t>100.210</w:t>
            </w:r>
          </w:p>
        </w:tc>
        <w:tc>
          <w:tcPr>
            <w:tcW w:w="631" w:type="pct"/>
            <w:tcBorders>
              <w:top w:val="nil"/>
              <w:left w:val="nil"/>
              <w:bottom w:val="nil"/>
              <w:right w:val="nil"/>
            </w:tcBorders>
            <w:shd w:val="clear" w:color="auto" w:fill="auto"/>
            <w:vAlign w:val="bottom"/>
          </w:tcPr>
          <w:p w14:paraId="55604E7D" w14:textId="74E90B9B" w:rsidR="0075256F" w:rsidRPr="00617755" w:rsidRDefault="0075256F" w:rsidP="0075256F">
            <w:pPr>
              <w:tabs>
                <w:tab w:val="right" w:pos="1202"/>
              </w:tabs>
              <w:suppressAutoHyphens/>
              <w:autoSpaceDN w:val="0"/>
              <w:spacing w:line="301" w:lineRule="exact"/>
              <w:jc w:val="right"/>
              <w:outlineLvl w:val="0"/>
              <w:rPr>
                <w:rFonts w:ascii="Arial" w:eastAsia="Times New Roman" w:hAnsi="Arial" w:cs="Arial"/>
                <w:sz w:val="18"/>
                <w:szCs w:val="18"/>
              </w:rPr>
            </w:pPr>
            <w:r w:rsidRPr="00F959D0">
              <w:rPr>
                <w:rFonts w:ascii="Arial" w:hAnsi="Arial" w:cs="Arial"/>
                <w:sz w:val="18"/>
                <w:szCs w:val="18"/>
              </w:rPr>
              <w:t>31.167</w:t>
            </w:r>
          </w:p>
        </w:tc>
      </w:tr>
      <w:tr w:rsidR="0075256F" w:rsidRPr="003D1614" w14:paraId="1193FB68" w14:textId="77777777" w:rsidTr="00AF283D">
        <w:trPr>
          <w:cantSplit/>
          <w:trHeight w:val="250"/>
          <w:tblHeader/>
        </w:trPr>
        <w:tc>
          <w:tcPr>
            <w:tcW w:w="2511" w:type="pct"/>
            <w:vAlign w:val="bottom"/>
          </w:tcPr>
          <w:p w14:paraId="7CE8E500" w14:textId="77777777" w:rsidR="0075256F" w:rsidRPr="003D1614" w:rsidDel="00FF5490" w:rsidRDefault="0075256F" w:rsidP="0075256F">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72" w:name="_Toc67329668"/>
            <w:r w:rsidRPr="003D1614">
              <w:rPr>
                <w:rFonts w:ascii="Arial" w:eastAsia="Times New Roman" w:hAnsi="Arial" w:cs="Arial"/>
                <w:color w:val="000000" w:themeColor="text1"/>
                <w:sz w:val="18"/>
                <w:szCs w:val="18"/>
              </w:rPr>
              <w:t>Proizvodnja prehrambenih proizvoda</w:t>
            </w:r>
            <w:bookmarkEnd w:id="672"/>
          </w:p>
        </w:tc>
        <w:tc>
          <w:tcPr>
            <w:tcW w:w="613" w:type="pct"/>
            <w:tcBorders>
              <w:top w:val="nil"/>
              <w:left w:val="nil"/>
              <w:bottom w:val="nil"/>
              <w:right w:val="nil"/>
            </w:tcBorders>
            <w:shd w:val="clear" w:color="auto" w:fill="auto"/>
            <w:vAlign w:val="bottom"/>
          </w:tcPr>
          <w:p w14:paraId="0DA6309B" w14:textId="7E556E38" w:rsidR="0075256F" w:rsidRPr="003D1614" w:rsidRDefault="0075256F" w:rsidP="0075256F">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122.620</w:t>
            </w:r>
          </w:p>
        </w:tc>
        <w:tc>
          <w:tcPr>
            <w:tcW w:w="613" w:type="pct"/>
            <w:tcBorders>
              <w:top w:val="nil"/>
              <w:left w:val="nil"/>
              <w:bottom w:val="nil"/>
              <w:right w:val="nil"/>
            </w:tcBorders>
            <w:shd w:val="clear" w:color="auto" w:fill="auto"/>
            <w:vAlign w:val="bottom"/>
          </w:tcPr>
          <w:p w14:paraId="3BA36AAC" w14:textId="2E724917" w:rsidR="0075256F" w:rsidRPr="003D1614" w:rsidRDefault="0075256F" w:rsidP="0075256F">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11.458</w:t>
            </w:r>
          </w:p>
        </w:tc>
        <w:tc>
          <w:tcPr>
            <w:tcW w:w="632" w:type="pct"/>
            <w:tcBorders>
              <w:top w:val="nil"/>
              <w:left w:val="nil"/>
              <w:bottom w:val="nil"/>
              <w:right w:val="nil"/>
            </w:tcBorders>
            <w:shd w:val="clear" w:color="auto" w:fill="auto"/>
            <w:vAlign w:val="bottom"/>
          </w:tcPr>
          <w:p w14:paraId="07402373" w14:textId="2B6F4101" w:rsidR="0075256F" w:rsidRPr="00617755" w:rsidRDefault="0075256F" w:rsidP="0075256F">
            <w:pPr>
              <w:tabs>
                <w:tab w:val="right" w:pos="1202"/>
              </w:tabs>
              <w:suppressAutoHyphens/>
              <w:autoSpaceDN w:val="0"/>
              <w:spacing w:line="301" w:lineRule="exact"/>
              <w:jc w:val="right"/>
              <w:outlineLvl w:val="0"/>
              <w:rPr>
                <w:rFonts w:ascii="Arial" w:eastAsia="Times New Roman" w:hAnsi="Arial" w:cs="Arial"/>
                <w:sz w:val="18"/>
                <w:szCs w:val="18"/>
              </w:rPr>
            </w:pPr>
            <w:r w:rsidRPr="00F959D0">
              <w:rPr>
                <w:rFonts w:ascii="Arial" w:hAnsi="Arial" w:cs="Arial"/>
                <w:sz w:val="18"/>
                <w:szCs w:val="18"/>
              </w:rPr>
              <w:t>141.837</w:t>
            </w:r>
          </w:p>
        </w:tc>
        <w:tc>
          <w:tcPr>
            <w:tcW w:w="631" w:type="pct"/>
            <w:tcBorders>
              <w:top w:val="nil"/>
              <w:left w:val="nil"/>
              <w:bottom w:val="nil"/>
              <w:right w:val="nil"/>
            </w:tcBorders>
            <w:shd w:val="clear" w:color="auto" w:fill="auto"/>
            <w:vAlign w:val="bottom"/>
          </w:tcPr>
          <w:p w14:paraId="429CB9E2" w14:textId="661D9B67" w:rsidR="0075256F" w:rsidRPr="00617755" w:rsidRDefault="0075256F" w:rsidP="0075256F">
            <w:pPr>
              <w:tabs>
                <w:tab w:val="right" w:pos="1202"/>
              </w:tabs>
              <w:suppressAutoHyphens/>
              <w:autoSpaceDN w:val="0"/>
              <w:spacing w:line="301" w:lineRule="exact"/>
              <w:jc w:val="right"/>
              <w:outlineLvl w:val="0"/>
              <w:rPr>
                <w:rFonts w:ascii="Arial" w:eastAsia="Times New Roman" w:hAnsi="Arial" w:cs="Arial"/>
                <w:sz w:val="18"/>
                <w:szCs w:val="18"/>
              </w:rPr>
            </w:pPr>
            <w:r w:rsidRPr="00F959D0">
              <w:rPr>
                <w:rFonts w:ascii="Arial" w:hAnsi="Arial" w:cs="Arial"/>
                <w:sz w:val="18"/>
                <w:szCs w:val="18"/>
              </w:rPr>
              <w:t>32.135</w:t>
            </w:r>
          </w:p>
        </w:tc>
      </w:tr>
      <w:tr w:rsidR="0075256F" w:rsidRPr="003D1614" w14:paraId="7881E3E2" w14:textId="77777777" w:rsidTr="00AF283D">
        <w:trPr>
          <w:cantSplit/>
          <w:trHeight w:val="250"/>
          <w:tblHeader/>
        </w:trPr>
        <w:tc>
          <w:tcPr>
            <w:tcW w:w="2511" w:type="pct"/>
            <w:vAlign w:val="bottom"/>
          </w:tcPr>
          <w:p w14:paraId="75207243" w14:textId="77777777" w:rsidR="0075256F" w:rsidRPr="003D1614" w:rsidDel="00FF5490" w:rsidRDefault="0075256F" w:rsidP="0075256F">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73" w:name="_Toc67329673"/>
            <w:r w:rsidRPr="003D1614">
              <w:rPr>
                <w:rFonts w:ascii="Arial" w:eastAsia="Times New Roman" w:hAnsi="Arial" w:cs="Arial"/>
                <w:color w:val="000000" w:themeColor="text1"/>
                <w:sz w:val="18"/>
                <w:szCs w:val="18"/>
              </w:rPr>
              <w:t>Građevinarstvo</w:t>
            </w:r>
            <w:bookmarkEnd w:id="673"/>
          </w:p>
        </w:tc>
        <w:tc>
          <w:tcPr>
            <w:tcW w:w="613" w:type="pct"/>
            <w:tcBorders>
              <w:top w:val="nil"/>
              <w:left w:val="nil"/>
              <w:bottom w:val="nil"/>
              <w:right w:val="nil"/>
            </w:tcBorders>
            <w:shd w:val="clear" w:color="auto" w:fill="auto"/>
            <w:vAlign w:val="bottom"/>
          </w:tcPr>
          <w:p w14:paraId="78CC57FE" w14:textId="716ABCD0" w:rsidR="0075256F" w:rsidRPr="003D1614" w:rsidRDefault="0075256F" w:rsidP="0075256F">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374.576</w:t>
            </w:r>
          </w:p>
        </w:tc>
        <w:tc>
          <w:tcPr>
            <w:tcW w:w="613" w:type="pct"/>
            <w:tcBorders>
              <w:top w:val="nil"/>
              <w:left w:val="nil"/>
              <w:bottom w:val="nil"/>
              <w:right w:val="nil"/>
            </w:tcBorders>
            <w:shd w:val="clear" w:color="auto" w:fill="auto"/>
            <w:vAlign w:val="bottom"/>
          </w:tcPr>
          <w:p w14:paraId="52589B97" w14:textId="26DA6004" w:rsidR="0075256F" w:rsidRPr="003D1614" w:rsidRDefault="0075256F" w:rsidP="0075256F">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9.244</w:t>
            </w:r>
          </w:p>
        </w:tc>
        <w:tc>
          <w:tcPr>
            <w:tcW w:w="632" w:type="pct"/>
            <w:tcBorders>
              <w:top w:val="nil"/>
              <w:left w:val="nil"/>
              <w:bottom w:val="nil"/>
              <w:right w:val="nil"/>
            </w:tcBorders>
            <w:shd w:val="clear" w:color="auto" w:fill="auto"/>
            <w:vAlign w:val="bottom"/>
          </w:tcPr>
          <w:p w14:paraId="2C55D47C" w14:textId="18DFA8AB" w:rsidR="0075256F" w:rsidRPr="00617755" w:rsidRDefault="0075256F" w:rsidP="0075256F">
            <w:pPr>
              <w:tabs>
                <w:tab w:val="right" w:pos="1202"/>
              </w:tabs>
              <w:suppressAutoHyphens/>
              <w:autoSpaceDN w:val="0"/>
              <w:spacing w:line="301" w:lineRule="exact"/>
              <w:jc w:val="right"/>
              <w:outlineLvl w:val="0"/>
              <w:rPr>
                <w:rFonts w:ascii="Arial" w:eastAsia="Times New Roman" w:hAnsi="Arial" w:cs="Arial"/>
                <w:sz w:val="18"/>
                <w:szCs w:val="18"/>
              </w:rPr>
            </w:pPr>
            <w:r w:rsidRPr="00F959D0">
              <w:rPr>
                <w:rFonts w:ascii="Arial" w:hAnsi="Arial" w:cs="Arial"/>
                <w:sz w:val="18"/>
                <w:szCs w:val="18"/>
              </w:rPr>
              <w:t>405.426</w:t>
            </w:r>
          </w:p>
        </w:tc>
        <w:tc>
          <w:tcPr>
            <w:tcW w:w="631" w:type="pct"/>
            <w:tcBorders>
              <w:top w:val="nil"/>
              <w:left w:val="nil"/>
              <w:bottom w:val="nil"/>
              <w:right w:val="nil"/>
            </w:tcBorders>
            <w:shd w:val="clear" w:color="auto" w:fill="auto"/>
            <w:vAlign w:val="bottom"/>
          </w:tcPr>
          <w:p w14:paraId="73C570B6" w14:textId="57567153" w:rsidR="0075256F" w:rsidRPr="00617755" w:rsidRDefault="0075256F" w:rsidP="0075256F">
            <w:pPr>
              <w:tabs>
                <w:tab w:val="right" w:pos="1202"/>
              </w:tabs>
              <w:suppressAutoHyphens/>
              <w:autoSpaceDN w:val="0"/>
              <w:spacing w:line="301" w:lineRule="exact"/>
              <w:jc w:val="right"/>
              <w:outlineLvl w:val="0"/>
              <w:rPr>
                <w:rFonts w:ascii="Arial" w:eastAsia="Times New Roman" w:hAnsi="Arial" w:cs="Arial"/>
                <w:sz w:val="18"/>
                <w:szCs w:val="18"/>
              </w:rPr>
            </w:pPr>
            <w:r w:rsidRPr="00F959D0">
              <w:rPr>
                <w:rFonts w:ascii="Arial" w:hAnsi="Arial" w:cs="Arial"/>
                <w:sz w:val="18"/>
                <w:szCs w:val="18"/>
              </w:rPr>
              <w:t>25.985</w:t>
            </w:r>
          </w:p>
        </w:tc>
      </w:tr>
      <w:tr w:rsidR="0075256F" w:rsidRPr="003D1614" w14:paraId="62572A88" w14:textId="77777777" w:rsidTr="00AF283D">
        <w:trPr>
          <w:cantSplit/>
          <w:trHeight w:val="250"/>
          <w:tblHeader/>
        </w:trPr>
        <w:tc>
          <w:tcPr>
            <w:tcW w:w="2511" w:type="pct"/>
            <w:vAlign w:val="bottom"/>
          </w:tcPr>
          <w:p w14:paraId="2A10595A" w14:textId="77777777" w:rsidR="0075256F" w:rsidRPr="003D1614" w:rsidDel="00FF5490" w:rsidRDefault="0075256F" w:rsidP="0075256F">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74" w:name="_Toc67329678"/>
            <w:r w:rsidRPr="003D1614">
              <w:rPr>
                <w:rFonts w:ascii="Arial" w:eastAsia="Times New Roman" w:hAnsi="Arial" w:cs="Arial"/>
                <w:color w:val="000000" w:themeColor="text1"/>
                <w:sz w:val="18"/>
                <w:szCs w:val="18"/>
              </w:rPr>
              <w:t>Ostala industrija</w:t>
            </w:r>
            <w:bookmarkEnd w:id="674"/>
          </w:p>
        </w:tc>
        <w:tc>
          <w:tcPr>
            <w:tcW w:w="613" w:type="pct"/>
            <w:tcBorders>
              <w:top w:val="nil"/>
              <w:left w:val="nil"/>
              <w:bottom w:val="nil"/>
              <w:right w:val="nil"/>
            </w:tcBorders>
            <w:shd w:val="clear" w:color="auto" w:fill="auto"/>
            <w:vAlign w:val="bottom"/>
          </w:tcPr>
          <w:p w14:paraId="50409C19" w14:textId="22A23506" w:rsidR="0075256F" w:rsidRPr="003D1614" w:rsidRDefault="0075256F" w:rsidP="0075256F">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149.739</w:t>
            </w:r>
          </w:p>
        </w:tc>
        <w:tc>
          <w:tcPr>
            <w:tcW w:w="613" w:type="pct"/>
            <w:tcBorders>
              <w:top w:val="nil"/>
              <w:left w:val="nil"/>
              <w:bottom w:val="nil"/>
              <w:right w:val="nil"/>
            </w:tcBorders>
            <w:shd w:val="clear" w:color="auto" w:fill="auto"/>
            <w:vAlign w:val="bottom"/>
          </w:tcPr>
          <w:p w14:paraId="59B15315" w14:textId="43D8EA2A" w:rsidR="0075256F" w:rsidRPr="003D1614" w:rsidRDefault="0075256F" w:rsidP="0075256F">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35.500</w:t>
            </w:r>
          </w:p>
        </w:tc>
        <w:tc>
          <w:tcPr>
            <w:tcW w:w="632" w:type="pct"/>
            <w:tcBorders>
              <w:top w:val="nil"/>
              <w:left w:val="nil"/>
              <w:bottom w:val="nil"/>
              <w:right w:val="nil"/>
            </w:tcBorders>
            <w:shd w:val="clear" w:color="auto" w:fill="auto"/>
            <w:vAlign w:val="bottom"/>
          </w:tcPr>
          <w:p w14:paraId="02CD2AF8" w14:textId="2A4668C0" w:rsidR="0075256F" w:rsidRPr="003D1614" w:rsidRDefault="0075256F" w:rsidP="0075256F">
            <w:pPr>
              <w:tabs>
                <w:tab w:val="right" w:pos="1202"/>
              </w:tabs>
              <w:suppressAutoHyphens/>
              <w:autoSpaceDN w:val="0"/>
              <w:spacing w:line="301" w:lineRule="exact"/>
              <w:jc w:val="right"/>
              <w:outlineLvl w:val="0"/>
              <w:rPr>
                <w:rFonts w:ascii="Arial" w:eastAsia="Times New Roman" w:hAnsi="Arial" w:cs="Arial"/>
                <w:sz w:val="18"/>
                <w:szCs w:val="18"/>
              </w:rPr>
            </w:pPr>
            <w:r w:rsidRPr="00F959D0">
              <w:rPr>
                <w:rFonts w:ascii="Arial" w:hAnsi="Arial" w:cs="Arial"/>
                <w:sz w:val="18"/>
                <w:szCs w:val="18"/>
              </w:rPr>
              <w:t>174.079</w:t>
            </w:r>
          </w:p>
        </w:tc>
        <w:tc>
          <w:tcPr>
            <w:tcW w:w="631" w:type="pct"/>
            <w:tcBorders>
              <w:top w:val="nil"/>
              <w:left w:val="nil"/>
              <w:bottom w:val="nil"/>
              <w:right w:val="nil"/>
            </w:tcBorders>
            <w:shd w:val="clear" w:color="auto" w:fill="auto"/>
            <w:vAlign w:val="bottom"/>
          </w:tcPr>
          <w:p w14:paraId="13F61382" w14:textId="6A2D614B" w:rsidR="0075256F" w:rsidRPr="003D1614" w:rsidRDefault="0075256F" w:rsidP="0075256F">
            <w:pPr>
              <w:tabs>
                <w:tab w:val="right" w:pos="1202"/>
              </w:tabs>
              <w:suppressAutoHyphens/>
              <w:autoSpaceDN w:val="0"/>
              <w:spacing w:line="301" w:lineRule="exact"/>
              <w:jc w:val="right"/>
              <w:outlineLvl w:val="0"/>
              <w:rPr>
                <w:rFonts w:ascii="Arial" w:eastAsia="Times New Roman" w:hAnsi="Arial" w:cs="Arial"/>
                <w:sz w:val="18"/>
                <w:szCs w:val="18"/>
              </w:rPr>
            </w:pPr>
            <w:r w:rsidRPr="00F959D0">
              <w:rPr>
                <w:rFonts w:ascii="Arial" w:hAnsi="Arial" w:cs="Arial"/>
                <w:sz w:val="18"/>
                <w:szCs w:val="18"/>
              </w:rPr>
              <w:t>56.170</w:t>
            </w:r>
          </w:p>
        </w:tc>
      </w:tr>
      <w:tr w:rsidR="0075256F" w:rsidRPr="003D1614" w14:paraId="39A54E0A" w14:textId="77777777" w:rsidTr="00AF283D">
        <w:trPr>
          <w:cantSplit/>
          <w:trHeight w:val="250"/>
          <w:tblHeader/>
        </w:trPr>
        <w:tc>
          <w:tcPr>
            <w:tcW w:w="2511" w:type="pct"/>
            <w:vAlign w:val="bottom"/>
          </w:tcPr>
          <w:p w14:paraId="45079F1D" w14:textId="77777777" w:rsidR="0075256F" w:rsidRPr="003D1614" w:rsidDel="00FF5490" w:rsidRDefault="0075256F" w:rsidP="0075256F">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75" w:name="_Toc67329683"/>
            <w:r w:rsidRPr="003D1614">
              <w:rPr>
                <w:rFonts w:ascii="Arial" w:eastAsia="Times New Roman" w:hAnsi="Arial" w:cs="Arial"/>
                <w:color w:val="000000" w:themeColor="text1"/>
                <w:sz w:val="18"/>
                <w:szCs w:val="18"/>
              </w:rPr>
              <w:t>Javna uprava</w:t>
            </w:r>
            <w:bookmarkEnd w:id="675"/>
          </w:p>
        </w:tc>
        <w:tc>
          <w:tcPr>
            <w:tcW w:w="613" w:type="pct"/>
            <w:tcBorders>
              <w:top w:val="nil"/>
              <w:left w:val="nil"/>
              <w:bottom w:val="nil"/>
              <w:right w:val="nil"/>
            </w:tcBorders>
            <w:shd w:val="clear" w:color="auto" w:fill="auto"/>
            <w:vAlign w:val="bottom"/>
          </w:tcPr>
          <w:p w14:paraId="506FF11A" w14:textId="739C35EE" w:rsidR="0075256F" w:rsidRPr="003D1614" w:rsidRDefault="0075256F" w:rsidP="0075256F">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299.435</w:t>
            </w:r>
          </w:p>
        </w:tc>
        <w:tc>
          <w:tcPr>
            <w:tcW w:w="613" w:type="pct"/>
            <w:tcBorders>
              <w:top w:val="nil"/>
              <w:left w:val="nil"/>
              <w:bottom w:val="nil"/>
              <w:right w:val="nil"/>
            </w:tcBorders>
            <w:shd w:val="clear" w:color="auto" w:fill="auto"/>
            <w:vAlign w:val="bottom"/>
          </w:tcPr>
          <w:p w14:paraId="71815CEA" w14:textId="4ACDE226" w:rsidR="0075256F" w:rsidRPr="003D1614" w:rsidRDefault="0075256F" w:rsidP="0075256F">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299.435</w:t>
            </w:r>
          </w:p>
        </w:tc>
        <w:tc>
          <w:tcPr>
            <w:tcW w:w="632" w:type="pct"/>
            <w:tcBorders>
              <w:top w:val="nil"/>
              <w:left w:val="nil"/>
              <w:bottom w:val="nil"/>
              <w:right w:val="nil"/>
            </w:tcBorders>
            <w:shd w:val="clear" w:color="auto" w:fill="auto"/>
            <w:vAlign w:val="bottom"/>
          </w:tcPr>
          <w:p w14:paraId="0AD6817C" w14:textId="69FA6863" w:rsidR="0075256F" w:rsidRPr="00617755" w:rsidRDefault="0075256F" w:rsidP="0075256F">
            <w:pPr>
              <w:tabs>
                <w:tab w:val="right" w:pos="1202"/>
              </w:tabs>
              <w:suppressAutoHyphens/>
              <w:autoSpaceDN w:val="0"/>
              <w:spacing w:line="301" w:lineRule="exact"/>
              <w:jc w:val="right"/>
              <w:outlineLvl w:val="0"/>
              <w:rPr>
                <w:rFonts w:ascii="Arial" w:eastAsia="Times New Roman" w:hAnsi="Arial" w:cs="Arial"/>
                <w:sz w:val="18"/>
                <w:szCs w:val="18"/>
              </w:rPr>
            </w:pPr>
            <w:r w:rsidRPr="00F959D0">
              <w:rPr>
                <w:rFonts w:ascii="Arial" w:hAnsi="Arial" w:cs="Arial"/>
                <w:sz w:val="18"/>
                <w:szCs w:val="18"/>
              </w:rPr>
              <w:t>238.315</w:t>
            </w:r>
          </w:p>
        </w:tc>
        <w:tc>
          <w:tcPr>
            <w:tcW w:w="631" w:type="pct"/>
            <w:tcBorders>
              <w:top w:val="nil"/>
              <w:left w:val="nil"/>
              <w:bottom w:val="nil"/>
              <w:right w:val="nil"/>
            </w:tcBorders>
            <w:shd w:val="clear" w:color="auto" w:fill="auto"/>
            <w:vAlign w:val="bottom"/>
          </w:tcPr>
          <w:p w14:paraId="62322AEA" w14:textId="46839E9E" w:rsidR="0075256F" w:rsidRPr="00617755" w:rsidRDefault="0075256F" w:rsidP="0075256F">
            <w:pPr>
              <w:tabs>
                <w:tab w:val="right" w:pos="1202"/>
              </w:tabs>
              <w:suppressAutoHyphens/>
              <w:autoSpaceDN w:val="0"/>
              <w:spacing w:line="301" w:lineRule="exact"/>
              <w:jc w:val="right"/>
              <w:outlineLvl w:val="0"/>
              <w:rPr>
                <w:rFonts w:ascii="Arial" w:eastAsia="Times New Roman" w:hAnsi="Arial" w:cs="Arial"/>
                <w:sz w:val="18"/>
                <w:szCs w:val="18"/>
              </w:rPr>
            </w:pPr>
            <w:r w:rsidRPr="00F959D0">
              <w:rPr>
                <w:rFonts w:ascii="Arial" w:hAnsi="Arial" w:cs="Arial"/>
                <w:sz w:val="18"/>
                <w:szCs w:val="18"/>
              </w:rPr>
              <w:t>237.890</w:t>
            </w:r>
          </w:p>
        </w:tc>
      </w:tr>
      <w:tr w:rsidR="0075256F" w:rsidRPr="003D1614" w14:paraId="370A3DF0" w14:textId="77777777" w:rsidTr="00AF283D">
        <w:trPr>
          <w:cantSplit/>
          <w:trHeight w:val="250"/>
          <w:tblHeader/>
        </w:trPr>
        <w:tc>
          <w:tcPr>
            <w:tcW w:w="2511" w:type="pct"/>
            <w:vAlign w:val="bottom"/>
          </w:tcPr>
          <w:p w14:paraId="15AFB937" w14:textId="77777777" w:rsidR="0075256F" w:rsidRPr="003D1614" w:rsidDel="00FF5490" w:rsidRDefault="0075256F" w:rsidP="0075256F">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76" w:name="_Toc67329688"/>
            <w:r w:rsidRPr="003D1614">
              <w:rPr>
                <w:rFonts w:ascii="Arial" w:eastAsia="Times New Roman" w:hAnsi="Arial" w:cs="Arial"/>
                <w:color w:val="000000" w:themeColor="text1"/>
                <w:sz w:val="18"/>
                <w:szCs w:val="18"/>
              </w:rPr>
              <w:t>Obrazovanje</w:t>
            </w:r>
            <w:bookmarkEnd w:id="676"/>
          </w:p>
        </w:tc>
        <w:tc>
          <w:tcPr>
            <w:tcW w:w="613" w:type="pct"/>
            <w:tcBorders>
              <w:top w:val="nil"/>
              <w:left w:val="nil"/>
              <w:bottom w:val="nil"/>
              <w:right w:val="nil"/>
            </w:tcBorders>
            <w:shd w:val="clear" w:color="auto" w:fill="auto"/>
            <w:vAlign w:val="bottom"/>
          </w:tcPr>
          <w:p w14:paraId="116135D2" w14:textId="57699ADA" w:rsidR="0075256F" w:rsidRPr="003D1614" w:rsidRDefault="0075256F" w:rsidP="0075256F">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7.678</w:t>
            </w:r>
          </w:p>
        </w:tc>
        <w:tc>
          <w:tcPr>
            <w:tcW w:w="613" w:type="pct"/>
            <w:tcBorders>
              <w:top w:val="nil"/>
              <w:left w:val="nil"/>
              <w:bottom w:val="nil"/>
              <w:right w:val="nil"/>
            </w:tcBorders>
            <w:shd w:val="clear" w:color="auto" w:fill="auto"/>
            <w:vAlign w:val="bottom"/>
          </w:tcPr>
          <w:p w14:paraId="595A6DAA" w14:textId="09668F3D" w:rsidR="0075256F" w:rsidRPr="003D1614" w:rsidRDefault="0075256F" w:rsidP="0075256F">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7.258</w:t>
            </w:r>
          </w:p>
        </w:tc>
        <w:tc>
          <w:tcPr>
            <w:tcW w:w="632" w:type="pct"/>
            <w:tcBorders>
              <w:top w:val="nil"/>
              <w:left w:val="nil"/>
              <w:bottom w:val="nil"/>
              <w:right w:val="nil"/>
            </w:tcBorders>
            <w:shd w:val="clear" w:color="auto" w:fill="auto"/>
            <w:vAlign w:val="bottom"/>
          </w:tcPr>
          <w:p w14:paraId="7D2DEB52" w14:textId="4268E884" w:rsidR="0075256F" w:rsidRPr="00617755" w:rsidRDefault="0075256F" w:rsidP="0075256F">
            <w:pPr>
              <w:tabs>
                <w:tab w:val="right" w:pos="1202"/>
              </w:tabs>
              <w:suppressAutoHyphens/>
              <w:autoSpaceDN w:val="0"/>
              <w:spacing w:line="301" w:lineRule="exact"/>
              <w:jc w:val="right"/>
              <w:outlineLvl w:val="0"/>
              <w:rPr>
                <w:rFonts w:ascii="Arial" w:eastAsia="Times New Roman" w:hAnsi="Arial" w:cs="Arial"/>
                <w:sz w:val="18"/>
                <w:szCs w:val="18"/>
              </w:rPr>
            </w:pPr>
            <w:r w:rsidRPr="00F959D0">
              <w:rPr>
                <w:rFonts w:ascii="Arial" w:hAnsi="Arial" w:cs="Arial"/>
                <w:sz w:val="18"/>
                <w:szCs w:val="18"/>
              </w:rPr>
              <w:t>10.128</w:t>
            </w:r>
          </w:p>
        </w:tc>
        <w:tc>
          <w:tcPr>
            <w:tcW w:w="631" w:type="pct"/>
            <w:tcBorders>
              <w:top w:val="nil"/>
              <w:left w:val="nil"/>
              <w:bottom w:val="nil"/>
              <w:right w:val="nil"/>
            </w:tcBorders>
            <w:shd w:val="clear" w:color="auto" w:fill="auto"/>
            <w:vAlign w:val="bottom"/>
          </w:tcPr>
          <w:p w14:paraId="65A99D73" w14:textId="4DACF6FB" w:rsidR="0075256F" w:rsidRPr="00617755" w:rsidRDefault="0075256F" w:rsidP="0075256F">
            <w:pPr>
              <w:tabs>
                <w:tab w:val="right" w:pos="1202"/>
              </w:tabs>
              <w:suppressAutoHyphens/>
              <w:autoSpaceDN w:val="0"/>
              <w:spacing w:line="301" w:lineRule="exact"/>
              <w:jc w:val="right"/>
              <w:outlineLvl w:val="0"/>
              <w:rPr>
                <w:rFonts w:ascii="Arial" w:eastAsia="Times New Roman" w:hAnsi="Arial" w:cs="Arial"/>
                <w:sz w:val="18"/>
                <w:szCs w:val="18"/>
              </w:rPr>
            </w:pPr>
            <w:r w:rsidRPr="00F959D0">
              <w:rPr>
                <w:rFonts w:ascii="Arial" w:hAnsi="Arial" w:cs="Arial"/>
                <w:sz w:val="18"/>
                <w:szCs w:val="18"/>
              </w:rPr>
              <w:t>9.737</w:t>
            </w:r>
          </w:p>
        </w:tc>
      </w:tr>
      <w:tr w:rsidR="0075256F" w:rsidRPr="003D1614" w14:paraId="101A9E8A" w14:textId="77777777" w:rsidTr="00AF283D">
        <w:trPr>
          <w:cantSplit/>
          <w:trHeight w:val="395"/>
          <w:tblHeader/>
        </w:trPr>
        <w:tc>
          <w:tcPr>
            <w:tcW w:w="2511" w:type="pct"/>
            <w:vAlign w:val="bottom"/>
          </w:tcPr>
          <w:p w14:paraId="1EF6EF04" w14:textId="77777777" w:rsidR="0075256F" w:rsidRPr="003D1614" w:rsidRDefault="0075256F" w:rsidP="0075256F">
            <w:pPr>
              <w:tabs>
                <w:tab w:val="right" w:pos="1202"/>
              </w:tabs>
              <w:suppressAutoHyphens/>
              <w:autoSpaceDN w:val="0"/>
              <w:outlineLvl w:val="0"/>
              <w:rPr>
                <w:rFonts w:ascii="Arial" w:eastAsia="Times New Roman" w:hAnsi="Arial" w:cs="Arial"/>
                <w:color w:val="000000" w:themeColor="text1"/>
                <w:sz w:val="18"/>
                <w:szCs w:val="18"/>
              </w:rPr>
            </w:pPr>
            <w:bookmarkStart w:id="677" w:name="_Toc67329693"/>
            <w:r w:rsidRPr="003D1614">
              <w:rPr>
                <w:rFonts w:ascii="Arial" w:eastAsia="Times New Roman" w:hAnsi="Arial" w:cs="Arial"/>
                <w:color w:val="000000" w:themeColor="text1"/>
                <w:sz w:val="18"/>
                <w:szCs w:val="18"/>
              </w:rPr>
              <w:t>Proizvodnja metala i gotovih metalnih proizvoda, osim strojeva i opreme</w:t>
            </w:r>
            <w:bookmarkEnd w:id="677"/>
            <w:r w:rsidRPr="003D1614">
              <w:rPr>
                <w:rFonts w:ascii="Arial" w:eastAsia="Times New Roman" w:hAnsi="Arial" w:cs="Arial"/>
                <w:color w:val="000000" w:themeColor="text1"/>
                <w:sz w:val="18"/>
                <w:szCs w:val="18"/>
              </w:rPr>
              <w:t xml:space="preserve"> </w:t>
            </w:r>
          </w:p>
        </w:tc>
        <w:tc>
          <w:tcPr>
            <w:tcW w:w="613" w:type="pct"/>
            <w:tcBorders>
              <w:top w:val="nil"/>
              <w:left w:val="nil"/>
              <w:bottom w:val="nil"/>
              <w:right w:val="nil"/>
            </w:tcBorders>
            <w:shd w:val="clear" w:color="auto" w:fill="auto"/>
            <w:vAlign w:val="bottom"/>
          </w:tcPr>
          <w:p w14:paraId="023C233B" w14:textId="3E91DC2B" w:rsidR="0075256F" w:rsidRPr="003D1614" w:rsidRDefault="0075256F" w:rsidP="0075256F">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50.015</w:t>
            </w:r>
          </w:p>
        </w:tc>
        <w:tc>
          <w:tcPr>
            <w:tcW w:w="613" w:type="pct"/>
            <w:tcBorders>
              <w:top w:val="nil"/>
              <w:left w:val="nil"/>
              <w:bottom w:val="nil"/>
              <w:right w:val="nil"/>
            </w:tcBorders>
            <w:shd w:val="clear" w:color="auto" w:fill="auto"/>
            <w:vAlign w:val="bottom"/>
          </w:tcPr>
          <w:p w14:paraId="58203971" w14:textId="7CB8429F" w:rsidR="0075256F" w:rsidRPr="003D1614" w:rsidRDefault="0075256F" w:rsidP="0075256F">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10.560</w:t>
            </w:r>
          </w:p>
        </w:tc>
        <w:tc>
          <w:tcPr>
            <w:tcW w:w="632" w:type="pct"/>
            <w:tcBorders>
              <w:top w:val="nil"/>
              <w:left w:val="nil"/>
              <w:bottom w:val="nil"/>
              <w:right w:val="nil"/>
            </w:tcBorders>
            <w:shd w:val="clear" w:color="auto" w:fill="auto"/>
            <w:vAlign w:val="bottom"/>
          </w:tcPr>
          <w:p w14:paraId="674887EE" w14:textId="7F8BCBA7" w:rsidR="0075256F" w:rsidRPr="00617755" w:rsidRDefault="0075256F" w:rsidP="0075256F">
            <w:pPr>
              <w:tabs>
                <w:tab w:val="right" w:pos="1202"/>
              </w:tabs>
              <w:suppressAutoHyphens/>
              <w:autoSpaceDN w:val="0"/>
              <w:spacing w:line="301" w:lineRule="exact"/>
              <w:jc w:val="right"/>
              <w:outlineLvl w:val="0"/>
              <w:rPr>
                <w:rFonts w:ascii="Arial" w:eastAsia="Times New Roman" w:hAnsi="Arial" w:cs="Arial"/>
                <w:sz w:val="18"/>
                <w:szCs w:val="18"/>
              </w:rPr>
            </w:pPr>
            <w:r w:rsidRPr="00F959D0">
              <w:rPr>
                <w:rFonts w:ascii="Arial" w:hAnsi="Arial" w:cs="Arial"/>
                <w:sz w:val="18"/>
                <w:szCs w:val="18"/>
              </w:rPr>
              <w:t>51.337</w:t>
            </w:r>
          </w:p>
        </w:tc>
        <w:tc>
          <w:tcPr>
            <w:tcW w:w="631" w:type="pct"/>
            <w:tcBorders>
              <w:top w:val="nil"/>
              <w:left w:val="nil"/>
              <w:bottom w:val="nil"/>
              <w:right w:val="nil"/>
            </w:tcBorders>
            <w:shd w:val="clear" w:color="auto" w:fill="auto"/>
            <w:vAlign w:val="bottom"/>
          </w:tcPr>
          <w:p w14:paraId="6493AB2C" w14:textId="3110C905" w:rsidR="0075256F" w:rsidRPr="00617755" w:rsidRDefault="0075256F" w:rsidP="0075256F">
            <w:pPr>
              <w:tabs>
                <w:tab w:val="right" w:pos="1202"/>
              </w:tabs>
              <w:suppressAutoHyphens/>
              <w:autoSpaceDN w:val="0"/>
              <w:spacing w:line="301" w:lineRule="exact"/>
              <w:jc w:val="right"/>
              <w:outlineLvl w:val="0"/>
              <w:rPr>
                <w:rFonts w:ascii="Arial" w:eastAsia="Times New Roman" w:hAnsi="Arial" w:cs="Arial"/>
                <w:sz w:val="18"/>
                <w:szCs w:val="18"/>
              </w:rPr>
            </w:pPr>
            <w:r w:rsidRPr="00F959D0">
              <w:rPr>
                <w:rFonts w:ascii="Arial" w:hAnsi="Arial" w:cs="Arial"/>
                <w:sz w:val="18"/>
                <w:szCs w:val="18"/>
              </w:rPr>
              <w:t>6.961</w:t>
            </w:r>
          </w:p>
        </w:tc>
      </w:tr>
      <w:tr w:rsidR="0075256F" w:rsidRPr="003D1614" w14:paraId="318AF931" w14:textId="77777777" w:rsidTr="00AF283D">
        <w:trPr>
          <w:cantSplit/>
          <w:trHeight w:val="250"/>
          <w:tblHeader/>
        </w:trPr>
        <w:tc>
          <w:tcPr>
            <w:tcW w:w="2511" w:type="pct"/>
            <w:vAlign w:val="bottom"/>
          </w:tcPr>
          <w:p w14:paraId="6840C8A8" w14:textId="77777777" w:rsidR="0075256F" w:rsidRPr="003D1614" w:rsidRDefault="0075256F" w:rsidP="0075256F">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78" w:name="_Toc67329698"/>
            <w:r w:rsidRPr="003D1614">
              <w:rPr>
                <w:rFonts w:ascii="Arial" w:eastAsia="Times New Roman" w:hAnsi="Arial" w:cs="Arial"/>
                <w:color w:val="000000" w:themeColor="text1"/>
                <w:sz w:val="18"/>
                <w:szCs w:val="18"/>
              </w:rPr>
              <w:t>Proizvodnja kemikalija i kemijskih proizvoda</w:t>
            </w:r>
            <w:bookmarkEnd w:id="678"/>
          </w:p>
        </w:tc>
        <w:tc>
          <w:tcPr>
            <w:tcW w:w="613" w:type="pct"/>
            <w:tcBorders>
              <w:top w:val="nil"/>
              <w:left w:val="nil"/>
              <w:bottom w:val="nil"/>
              <w:right w:val="nil"/>
            </w:tcBorders>
            <w:shd w:val="clear" w:color="auto" w:fill="auto"/>
            <w:vAlign w:val="bottom"/>
          </w:tcPr>
          <w:p w14:paraId="185EBB89" w14:textId="43E0C845" w:rsidR="0075256F" w:rsidRPr="003D1614" w:rsidRDefault="0075256F" w:rsidP="0075256F">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12.031</w:t>
            </w:r>
          </w:p>
        </w:tc>
        <w:tc>
          <w:tcPr>
            <w:tcW w:w="613" w:type="pct"/>
            <w:tcBorders>
              <w:top w:val="nil"/>
              <w:left w:val="nil"/>
              <w:bottom w:val="nil"/>
              <w:right w:val="nil"/>
            </w:tcBorders>
            <w:shd w:val="clear" w:color="auto" w:fill="auto"/>
            <w:vAlign w:val="bottom"/>
          </w:tcPr>
          <w:p w14:paraId="054D3CD5" w14:textId="216FD84F" w:rsidR="0075256F" w:rsidRPr="003D1614" w:rsidRDefault="0075256F" w:rsidP="0075256F">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952</w:t>
            </w:r>
          </w:p>
        </w:tc>
        <w:tc>
          <w:tcPr>
            <w:tcW w:w="632" w:type="pct"/>
            <w:tcBorders>
              <w:top w:val="nil"/>
              <w:left w:val="nil"/>
              <w:bottom w:val="nil"/>
              <w:right w:val="nil"/>
            </w:tcBorders>
            <w:shd w:val="clear" w:color="auto" w:fill="auto"/>
            <w:vAlign w:val="bottom"/>
          </w:tcPr>
          <w:p w14:paraId="7F23647B" w14:textId="6BFC8853" w:rsidR="0075256F" w:rsidRPr="00617755" w:rsidRDefault="0075256F" w:rsidP="0075256F">
            <w:pPr>
              <w:tabs>
                <w:tab w:val="right" w:pos="1202"/>
              </w:tabs>
              <w:suppressAutoHyphens/>
              <w:autoSpaceDN w:val="0"/>
              <w:spacing w:line="301" w:lineRule="exact"/>
              <w:jc w:val="right"/>
              <w:outlineLvl w:val="0"/>
              <w:rPr>
                <w:rFonts w:ascii="Arial" w:eastAsia="Times New Roman" w:hAnsi="Arial" w:cs="Arial"/>
                <w:sz w:val="18"/>
                <w:szCs w:val="18"/>
              </w:rPr>
            </w:pPr>
            <w:r w:rsidRPr="00F959D0">
              <w:rPr>
                <w:rFonts w:ascii="Arial" w:hAnsi="Arial" w:cs="Arial"/>
                <w:sz w:val="18"/>
                <w:szCs w:val="18"/>
              </w:rPr>
              <w:t>14.881</w:t>
            </w:r>
          </w:p>
        </w:tc>
        <w:tc>
          <w:tcPr>
            <w:tcW w:w="631" w:type="pct"/>
            <w:tcBorders>
              <w:top w:val="nil"/>
              <w:left w:val="nil"/>
              <w:bottom w:val="nil"/>
              <w:right w:val="nil"/>
            </w:tcBorders>
            <w:shd w:val="clear" w:color="auto" w:fill="auto"/>
            <w:vAlign w:val="bottom"/>
          </w:tcPr>
          <w:p w14:paraId="0BD2D03A" w14:textId="5206CB3E" w:rsidR="0075256F" w:rsidRPr="00617755" w:rsidRDefault="0075256F" w:rsidP="0075256F">
            <w:pPr>
              <w:tabs>
                <w:tab w:val="right" w:pos="1202"/>
              </w:tabs>
              <w:suppressAutoHyphens/>
              <w:autoSpaceDN w:val="0"/>
              <w:spacing w:line="301" w:lineRule="exact"/>
              <w:jc w:val="right"/>
              <w:outlineLvl w:val="0"/>
              <w:rPr>
                <w:rFonts w:ascii="Arial" w:eastAsia="Times New Roman" w:hAnsi="Arial" w:cs="Arial"/>
                <w:sz w:val="18"/>
                <w:szCs w:val="18"/>
              </w:rPr>
            </w:pPr>
            <w:r w:rsidRPr="00F959D0">
              <w:rPr>
                <w:rFonts w:ascii="Arial" w:hAnsi="Arial" w:cs="Arial"/>
                <w:sz w:val="18"/>
                <w:szCs w:val="18"/>
              </w:rPr>
              <w:t>1.239</w:t>
            </w:r>
          </w:p>
        </w:tc>
      </w:tr>
      <w:tr w:rsidR="0075256F" w:rsidRPr="003D1614" w14:paraId="54D9337E" w14:textId="77777777" w:rsidTr="00AF283D">
        <w:trPr>
          <w:cantSplit/>
          <w:trHeight w:val="250"/>
          <w:tblHeader/>
        </w:trPr>
        <w:tc>
          <w:tcPr>
            <w:tcW w:w="2511" w:type="pct"/>
            <w:vAlign w:val="bottom"/>
          </w:tcPr>
          <w:p w14:paraId="3B86A883" w14:textId="77777777" w:rsidR="0075256F" w:rsidRPr="003D1614" w:rsidRDefault="0075256F" w:rsidP="0075256F">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79" w:name="_Toc67329703"/>
            <w:r w:rsidRPr="003D1614">
              <w:rPr>
                <w:rFonts w:ascii="Arial" w:eastAsia="Times New Roman" w:hAnsi="Arial" w:cs="Arial"/>
                <w:color w:val="000000" w:themeColor="text1"/>
                <w:sz w:val="18"/>
                <w:szCs w:val="18"/>
              </w:rPr>
              <w:t>Proizvodnja ostalih nemetalnih mineralnih proizvoda</w:t>
            </w:r>
            <w:bookmarkEnd w:id="679"/>
            <w:r w:rsidRPr="003D1614">
              <w:rPr>
                <w:rFonts w:ascii="Arial" w:eastAsia="Times New Roman" w:hAnsi="Arial" w:cs="Arial"/>
                <w:color w:val="000000" w:themeColor="text1"/>
                <w:sz w:val="18"/>
                <w:szCs w:val="18"/>
              </w:rPr>
              <w:t xml:space="preserve"> </w:t>
            </w:r>
          </w:p>
        </w:tc>
        <w:tc>
          <w:tcPr>
            <w:tcW w:w="613" w:type="pct"/>
            <w:tcBorders>
              <w:top w:val="nil"/>
              <w:left w:val="nil"/>
              <w:bottom w:val="nil"/>
              <w:right w:val="nil"/>
            </w:tcBorders>
            <w:shd w:val="clear" w:color="auto" w:fill="auto"/>
            <w:vAlign w:val="bottom"/>
          </w:tcPr>
          <w:p w14:paraId="37FB9005" w14:textId="5ACA0EFD" w:rsidR="0075256F" w:rsidRPr="003D1614" w:rsidRDefault="0075256F" w:rsidP="0075256F">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32.248</w:t>
            </w:r>
          </w:p>
        </w:tc>
        <w:tc>
          <w:tcPr>
            <w:tcW w:w="613" w:type="pct"/>
            <w:tcBorders>
              <w:top w:val="nil"/>
              <w:left w:val="nil"/>
              <w:bottom w:val="nil"/>
              <w:right w:val="nil"/>
            </w:tcBorders>
            <w:shd w:val="clear" w:color="auto" w:fill="auto"/>
            <w:vAlign w:val="bottom"/>
          </w:tcPr>
          <w:p w14:paraId="48D0CEE8" w14:textId="14ADD3E8" w:rsidR="0075256F" w:rsidRPr="003D1614" w:rsidRDefault="0075256F" w:rsidP="0075256F">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7.720</w:t>
            </w:r>
          </w:p>
        </w:tc>
        <w:tc>
          <w:tcPr>
            <w:tcW w:w="632" w:type="pct"/>
            <w:tcBorders>
              <w:top w:val="nil"/>
              <w:left w:val="nil"/>
              <w:bottom w:val="nil"/>
              <w:right w:val="nil"/>
            </w:tcBorders>
            <w:shd w:val="clear" w:color="auto" w:fill="auto"/>
            <w:vAlign w:val="bottom"/>
          </w:tcPr>
          <w:p w14:paraId="0D9E71E0" w14:textId="69AFE35C" w:rsidR="0075256F" w:rsidRPr="00617755" w:rsidRDefault="0075256F" w:rsidP="0075256F">
            <w:pPr>
              <w:tabs>
                <w:tab w:val="right" w:pos="1202"/>
              </w:tabs>
              <w:suppressAutoHyphens/>
              <w:autoSpaceDN w:val="0"/>
              <w:spacing w:line="301" w:lineRule="exact"/>
              <w:jc w:val="right"/>
              <w:outlineLvl w:val="0"/>
              <w:rPr>
                <w:rFonts w:ascii="Arial" w:eastAsia="Times New Roman" w:hAnsi="Arial" w:cs="Arial"/>
                <w:sz w:val="18"/>
                <w:szCs w:val="18"/>
              </w:rPr>
            </w:pPr>
            <w:r w:rsidRPr="00F959D0">
              <w:rPr>
                <w:rFonts w:ascii="Arial" w:hAnsi="Arial" w:cs="Arial"/>
                <w:sz w:val="18"/>
                <w:szCs w:val="18"/>
              </w:rPr>
              <w:t>36.124</w:t>
            </w:r>
          </w:p>
        </w:tc>
        <w:tc>
          <w:tcPr>
            <w:tcW w:w="631" w:type="pct"/>
            <w:tcBorders>
              <w:top w:val="nil"/>
              <w:left w:val="nil"/>
              <w:bottom w:val="nil"/>
              <w:right w:val="nil"/>
            </w:tcBorders>
            <w:shd w:val="clear" w:color="auto" w:fill="auto"/>
            <w:vAlign w:val="bottom"/>
          </w:tcPr>
          <w:p w14:paraId="12835ED1" w14:textId="1BB23876" w:rsidR="0075256F" w:rsidRPr="00617755" w:rsidRDefault="0075256F" w:rsidP="0075256F">
            <w:pPr>
              <w:tabs>
                <w:tab w:val="right" w:pos="1202"/>
              </w:tabs>
              <w:suppressAutoHyphens/>
              <w:autoSpaceDN w:val="0"/>
              <w:spacing w:line="301" w:lineRule="exact"/>
              <w:jc w:val="right"/>
              <w:outlineLvl w:val="0"/>
              <w:rPr>
                <w:rFonts w:ascii="Arial" w:eastAsia="Times New Roman" w:hAnsi="Arial" w:cs="Arial"/>
                <w:sz w:val="18"/>
                <w:szCs w:val="18"/>
              </w:rPr>
            </w:pPr>
            <w:r w:rsidRPr="00F959D0">
              <w:rPr>
                <w:rFonts w:ascii="Arial" w:hAnsi="Arial" w:cs="Arial"/>
                <w:sz w:val="18"/>
                <w:szCs w:val="18"/>
              </w:rPr>
              <w:t>8.176</w:t>
            </w:r>
          </w:p>
        </w:tc>
      </w:tr>
      <w:tr w:rsidR="0075256F" w:rsidRPr="003D1614" w14:paraId="759005FC" w14:textId="77777777" w:rsidTr="00AF283D">
        <w:trPr>
          <w:cantSplit/>
          <w:trHeight w:val="250"/>
          <w:tblHeader/>
        </w:trPr>
        <w:tc>
          <w:tcPr>
            <w:tcW w:w="2511" w:type="pct"/>
            <w:vAlign w:val="bottom"/>
          </w:tcPr>
          <w:p w14:paraId="2B995220" w14:textId="77777777" w:rsidR="0075256F" w:rsidRPr="003D1614" w:rsidRDefault="0075256F" w:rsidP="0075256F">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80" w:name="_Toc67329708"/>
            <w:r w:rsidRPr="003D1614">
              <w:rPr>
                <w:rFonts w:ascii="Arial" w:eastAsia="Times New Roman" w:hAnsi="Arial" w:cs="Arial"/>
                <w:color w:val="000000" w:themeColor="text1"/>
                <w:sz w:val="18"/>
                <w:szCs w:val="18"/>
              </w:rPr>
              <w:t>Proizvodnja farmaceutskih pripravaka</w:t>
            </w:r>
            <w:bookmarkEnd w:id="680"/>
          </w:p>
        </w:tc>
        <w:tc>
          <w:tcPr>
            <w:tcW w:w="613" w:type="pct"/>
            <w:tcBorders>
              <w:top w:val="nil"/>
              <w:left w:val="nil"/>
              <w:bottom w:val="nil"/>
              <w:right w:val="nil"/>
            </w:tcBorders>
            <w:shd w:val="clear" w:color="auto" w:fill="auto"/>
            <w:vAlign w:val="bottom"/>
          </w:tcPr>
          <w:p w14:paraId="33F057F0" w14:textId="6BA73682" w:rsidR="0075256F" w:rsidRPr="003D1614" w:rsidRDefault="0075256F" w:rsidP="0075256F">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64.320</w:t>
            </w:r>
          </w:p>
        </w:tc>
        <w:tc>
          <w:tcPr>
            <w:tcW w:w="613" w:type="pct"/>
            <w:tcBorders>
              <w:top w:val="nil"/>
              <w:left w:val="nil"/>
              <w:bottom w:val="nil"/>
              <w:right w:val="nil"/>
            </w:tcBorders>
            <w:shd w:val="clear" w:color="auto" w:fill="auto"/>
            <w:vAlign w:val="bottom"/>
          </w:tcPr>
          <w:p w14:paraId="266A6283" w14:textId="08E30128" w:rsidR="0075256F" w:rsidRPr="003D1614" w:rsidRDefault="0075256F" w:rsidP="0075256F">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3.986</w:t>
            </w:r>
          </w:p>
        </w:tc>
        <w:tc>
          <w:tcPr>
            <w:tcW w:w="632" w:type="pct"/>
            <w:tcBorders>
              <w:top w:val="nil"/>
              <w:left w:val="nil"/>
              <w:bottom w:val="nil"/>
              <w:right w:val="nil"/>
            </w:tcBorders>
            <w:shd w:val="clear" w:color="auto" w:fill="auto"/>
            <w:vAlign w:val="bottom"/>
          </w:tcPr>
          <w:p w14:paraId="5A520AA3" w14:textId="1F2CB9E5" w:rsidR="0075256F" w:rsidRPr="00617755" w:rsidRDefault="0075256F" w:rsidP="0075256F">
            <w:pPr>
              <w:tabs>
                <w:tab w:val="right" w:pos="1202"/>
              </w:tabs>
              <w:suppressAutoHyphens/>
              <w:autoSpaceDN w:val="0"/>
              <w:spacing w:line="301" w:lineRule="exact"/>
              <w:jc w:val="right"/>
              <w:outlineLvl w:val="0"/>
              <w:rPr>
                <w:rFonts w:ascii="Arial" w:eastAsia="Times New Roman" w:hAnsi="Arial" w:cs="Arial"/>
                <w:sz w:val="18"/>
                <w:szCs w:val="18"/>
              </w:rPr>
            </w:pPr>
            <w:r w:rsidRPr="00F959D0">
              <w:rPr>
                <w:rFonts w:ascii="Arial" w:hAnsi="Arial" w:cs="Arial"/>
                <w:sz w:val="18"/>
                <w:szCs w:val="18"/>
              </w:rPr>
              <w:t>67.491</w:t>
            </w:r>
          </w:p>
        </w:tc>
        <w:tc>
          <w:tcPr>
            <w:tcW w:w="631" w:type="pct"/>
            <w:tcBorders>
              <w:top w:val="nil"/>
              <w:left w:val="nil"/>
              <w:bottom w:val="nil"/>
              <w:right w:val="nil"/>
            </w:tcBorders>
            <w:shd w:val="clear" w:color="auto" w:fill="auto"/>
            <w:vAlign w:val="bottom"/>
          </w:tcPr>
          <w:p w14:paraId="186F0142" w14:textId="11E4546B" w:rsidR="0075256F" w:rsidRPr="00617755" w:rsidRDefault="0075256F" w:rsidP="0075256F">
            <w:pPr>
              <w:tabs>
                <w:tab w:val="right" w:pos="1202"/>
              </w:tabs>
              <w:suppressAutoHyphens/>
              <w:autoSpaceDN w:val="0"/>
              <w:spacing w:line="301" w:lineRule="exact"/>
              <w:jc w:val="right"/>
              <w:outlineLvl w:val="0"/>
              <w:rPr>
                <w:rFonts w:ascii="Arial" w:eastAsia="Times New Roman" w:hAnsi="Arial" w:cs="Arial"/>
                <w:sz w:val="18"/>
                <w:szCs w:val="18"/>
              </w:rPr>
            </w:pPr>
            <w:r w:rsidRPr="00F959D0">
              <w:rPr>
                <w:rFonts w:ascii="Arial" w:hAnsi="Arial" w:cs="Arial"/>
                <w:sz w:val="18"/>
                <w:szCs w:val="18"/>
              </w:rPr>
              <w:t>7.555</w:t>
            </w:r>
          </w:p>
        </w:tc>
      </w:tr>
      <w:tr w:rsidR="0075256F" w:rsidRPr="003D1614" w14:paraId="0EBBCBB8" w14:textId="77777777" w:rsidTr="00AF283D">
        <w:trPr>
          <w:cantSplit/>
          <w:trHeight w:val="250"/>
          <w:tblHeader/>
        </w:trPr>
        <w:tc>
          <w:tcPr>
            <w:tcW w:w="2511" w:type="pct"/>
            <w:vAlign w:val="bottom"/>
          </w:tcPr>
          <w:p w14:paraId="3142798D" w14:textId="77777777" w:rsidR="0075256F" w:rsidRPr="003D1614" w:rsidRDefault="0075256F" w:rsidP="0075256F">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81" w:name="_Toc67329713"/>
            <w:r w:rsidRPr="003D1614">
              <w:rPr>
                <w:rFonts w:ascii="Arial" w:eastAsia="Times New Roman" w:hAnsi="Arial" w:cs="Arial"/>
                <w:color w:val="000000" w:themeColor="text1"/>
                <w:sz w:val="18"/>
                <w:szCs w:val="18"/>
              </w:rPr>
              <w:t>Proizvodnja motornih vozila, prikolica i poluprikolica</w:t>
            </w:r>
            <w:bookmarkEnd w:id="681"/>
          </w:p>
        </w:tc>
        <w:tc>
          <w:tcPr>
            <w:tcW w:w="613" w:type="pct"/>
            <w:tcBorders>
              <w:top w:val="nil"/>
              <w:left w:val="nil"/>
              <w:bottom w:val="nil"/>
              <w:right w:val="nil"/>
            </w:tcBorders>
            <w:shd w:val="clear" w:color="auto" w:fill="auto"/>
            <w:vAlign w:val="bottom"/>
          </w:tcPr>
          <w:p w14:paraId="5E3DEA5E" w14:textId="07B00C9D" w:rsidR="0075256F" w:rsidRPr="003D1614" w:rsidRDefault="0075256F" w:rsidP="0075256F">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11.979</w:t>
            </w:r>
          </w:p>
        </w:tc>
        <w:tc>
          <w:tcPr>
            <w:tcW w:w="613" w:type="pct"/>
            <w:tcBorders>
              <w:top w:val="nil"/>
              <w:left w:val="nil"/>
              <w:bottom w:val="nil"/>
              <w:right w:val="nil"/>
            </w:tcBorders>
            <w:shd w:val="clear" w:color="auto" w:fill="auto"/>
            <w:vAlign w:val="bottom"/>
          </w:tcPr>
          <w:p w14:paraId="0854F151" w14:textId="07E0958A" w:rsidR="0075256F" w:rsidRPr="003D1614" w:rsidRDefault="0075256F" w:rsidP="0075256F">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396</w:t>
            </w:r>
          </w:p>
        </w:tc>
        <w:tc>
          <w:tcPr>
            <w:tcW w:w="632" w:type="pct"/>
            <w:tcBorders>
              <w:top w:val="nil"/>
              <w:left w:val="nil"/>
              <w:bottom w:val="nil"/>
              <w:right w:val="nil"/>
            </w:tcBorders>
            <w:shd w:val="clear" w:color="auto" w:fill="auto"/>
            <w:vAlign w:val="bottom"/>
          </w:tcPr>
          <w:p w14:paraId="3DBA69BF" w14:textId="7F87589F" w:rsidR="0075256F" w:rsidRPr="00617755" w:rsidRDefault="0075256F" w:rsidP="0075256F">
            <w:pPr>
              <w:tabs>
                <w:tab w:val="right" w:pos="1202"/>
              </w:tabs>
              <w:suppressAutoHyphens/>
              <w:autoSpaceDN w:val="0"/>
              <w:spacing w:line="301" w:lineRule="exact"/>
              <w:jc w:val="right"/>
              <w:outlineLvl w:val="0"/>
              <w:rPr>
                <w:rFonts w:ascii="Arial" w:eastAsia="Times New Roman" w:hAnsi="Arial" w:cs="Arial"/>
                <w:sz w:val="18"/>
                <w:szCs w:val="18"/>
              </w:rPr>
            </w:pPr>
            <w:r w:rsidRPr="00F959D0">
              <w:rPr>
                <w:rFonts w:ascii="Arial" w:hAnsi="Arial" w:cs="Arial"/>
                <w:sz w:val="18"/>
                <w:szCs w:val="18"/>
              </w:rPr>
              <w:t>13.173</w:t>
            </w:r>
          </w:p>
        </w:tc>
        <w:tc>
          <w:tcPr>
            <w:tcW w:w="631" w:type="pct"/>
            <w:tcBorders>
              <w:top w:val="nil"/>
              <w:left w:val="nil"/>
              <w:bottom w:val="nil"/>
              <w:right w:val="nil"/>
            </w:tcBorders>
            <w:shd w:val="clear" w:color="auto" w:fill="auto"/>
            <w:vAlign w:val="bottom"/>
          </w:tcPr>
          <w:p w14:paraId="33779C81" w14:textId="065FBE1B" w:rsidR="0075256F" w:rsidRPr="00617755" w:rsidRDefault="0075256F" w:rsidP="0075256F">
            <w:pPr>
              <w:tabs>
                <w:tab w:val="right" w:pos="1202"/>
              </w:tabs>
              <w:suppressAutoHyphens/>
              <w:autoSpaceDN w:val="0"/>
              <w:spacing w:line="301" w:lineRule="exact"/>
              <w:jc w:val="right"/>
              <w:outlineLvl w:val="0"/>
              <w:rPr>
                <w:rFonts w:ascii="Arial" w:eastAsia="Times New Roman" w:hAnsi="Arial" w:cs="Arial"/>
                <w:sz w:val="18"/>
                <w:szCs w:val="18"/>
              </w:rPr>
            </w:pPr>
            <w:r w:rsidRPr="00F959D0">
              <w:rPr>
                <w:rFonts w:ascii="Arial" w:hAnsi="Arial" w:cs="Arial"/>
                <w:sz w:val="18"/>
                <w:szCs w:val="18"/>
              </w:rPr>
              <w:t>454</w:t>
            </w:r>
          </w:p>
        </w:tc>
      </w:tr>
      <w:tr w:rsidR="0075256F" w:rsidRPr="003D1614" w14:paraId="252B9070" w14:textId="77777777" w:rsidTr="00AF283D">
        <w:trPr>
          <w:cantSplit/>
          <w:trHeight w:val="250"/>
          <w:tblHeader/>
        </w:trPr>
        <w:tc>
          <w:tcPr>
            <w:tcW w:w="2511" w:type="pct"/>
            <w:vAlign w:val="bottom"/>
          </w:tcPr>
          <w:p w14:paraId="558316ED" w14:textId="77777777" w:rsidR="0075256F" w:rsidRPr="003D1614" w:rsidRDefault="0075256F" w:rsidP="0075256F">
            <w:pPr>
              <w:tabs>
                <w:tab w:val="right" w:pos="1202"/>
              </w:tabs>
              <w:suppressAutoHyphens/>
              <w:autoSpaceDN w:val="0"/>
              <w:spacing w:line="301" w:lineRule="exact"/>
              <w:outlineLvl w:val="0"/>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Proizvodnja električne opreme</w:t>
            </w:r>
          </w:p>
        </w:tc>
        <w:tc>
          <w:tcPr>
            <w:tcW w:w="613" w:type="pct"/>
            <w:tcBorders>
              <w:top w:val="nil"/>
              <w:left w:val="nil"/>
              <w:bottom w:val="nil"/>
              <w:right w:val="nil"/>
            </w:tcBorders>
            <w:shd w:val="clear" w:color="auto" w:fill="auto"/>
            <w:vAlign w:val="bottom"/>
          </w:tcPr>
          <w:p w14:paraId="21136E12" w14:textId="4DD592F1" w:rsidR="0075256F" w:rsidRPr="003D1614" w:rsidRDefault="0075256F" w:rsidP="0075256F">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40.043</w:t>
            </w:r>
          </w:p>
        </w:tc>
        <w:tc>
          <w:tcPr>
            <w:tcW w:w="613" w:type="pct"/>
            <w:tcBorders>
              <w:top w:val="nil"/>
              <w:left w:val="nil"/>
              <w:bottom w:val="nil"/>
              <w:right w:val="nil"/>
            </w:tcBorders>
            <w:shd w:val="clear" w:color="auto" w:fill="auto"/>
            <w:vAlign w:val="bottom"/>
          </w:tcPr>
          <w:p w14:paraId="01727891" w14:textId="15731027" w:rsidR="0075256F" w:rsidRPr="003D1614" w:rsidRDefault="0075256F" w:rsidP="0075256F">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27.782</w:t>
            </w:r>
          </w:p>
        </w:tc>
        <w:tc>
          <w:tcPr>
            <w:tcW w:w="632" w:type="pct"/>
            <w:tcBorders>
              <w:top w:val="nil"/>
              <w:left w:val="nil"/>
              <w:bottom w:val="nil"/>
              <w:right w:val="nil"/>
            </w:tcBorders>
            <w:shd w:val="clear" w:color="auto" w:fill="auto"/>
            <w:vAlign w:val="bottom"/>
          </w:tcPr>
          <w:p w14:paraId="1F8805DB" w14:textId="220CCC7B" w:rsidR="0075256F" w:rsidRPr="003D1614" w:rsidRDefault="0075256F" w:rsidP="0075256F">
            <w:pPr>
              <w:tabs>
                <w:tab w:val="right" w:pos="1202"/>
              </w:tabs>
              <w:suppressAutoHyphens/>
              <w:autoSpaceDN w:val="0"/>
              <w:spacing w:line="301" w:lineRule="exact"/>
              <w:jc w:val="right"/>
              <w:outlineLvl w:val="0"/>
              <w:rPr>
                <w:rFonts w:ascii="Arial" w:eastAsia="Times New Roman" w:hAnsi="Arial" w:cs="Arial"/>
                <w:sz w:val="18"/>
                <w:szCs w:val="18"/>
              </w:rPr>
            </w:pPr>
            <w:r w:rsidRPr="00F959D0">
              <w:rPr>
                <w:rFonts w:ascii="Arial" w:hAnsi="Arial" w:cs="Arial"/>
                <w:sz w:val="18"/>
                <w:szCs w:val="18"/>
              </w:rPr>
              <w:t>18.582</w:t>
            </w:r>
          </w:p>
        </w:tc>
        <w:tc>
          <w:tcPr>
            <w:tcW w:w="631" w:type="pct"/>
            <w:tcBorders>
              <w:top w:val="nil"/>
              <w:left w:val="nil"/>
              <w:bottom w:val="nil"/>
              <w:right w:val="nil"/>
            </w:tcBorders>
            <w:shd w:val="clear" w:color="auto" w:fill="auto"/>
            <w:vAlign w:val="bottom"/>
          </w:tcPr>
          <w:p w14:paraId="4055585C" w14:textId="600D46C6" w:rsidR="0075256F" w:rsidRPr="003D1614" w:rsidRDefault="0075256F" w:rsidP="0075256F">
            <w:pPr>
              <w:tabs>
                <w:tab w:val="right" w:pos="1202"/>
              </w:tabs>
              <w:suppressAutoHyphens/>
              <w:autoSpaceDN w:val="0"/>
              <w:spacing w:line="301" w:lineRule="exact"/>
              <w:jc w:val="right"/>
              <w:outlineLvl w:val="0"/>
              <w:rPr>
                <w:rFonts w:ascii="Arial" w:eastAsia="Times New Roman" w:hAnsi="Arial" w:cs="Arial"/>
                <w:sz w:val="18"/>
                <w:szCs w:val="18"/>
              </w:rPr>
            </w:pPr>
            <w:r w:rsidRPr="00F959D0">
              <w:rPr>
                <w:rFonts w:ascii="Arial" w:hAnsi="Arial" w:cs="Arial"/>
                <w:sz w:val="18"/>
                <w:szCs w:val="18"/>
              </w:rPr>
              <w:t>6.264</w:t>
            </w:r>
          </w:p>
        </w:tc>
      </w:tr>
      <w:tr w:rsidR="0075256F" w:rsidRPr="003D1614" w14:paraId="74074CEB" w14:textId="77777777" w:rsidTr="00032B66">
        <w:trPr>
          <w:cantSplit/>
          <w:trHeight w:val="250"/>
          <w:tblHeader/>
        </w:trPr>
        <w:tc>
          <w:tcPr>
            <w:tcW w:w="2511" w:type="pct"/>
            <w:vAlign w:val="bottom"/>
          </w:tcPr>
          <w:p w14:paraId="1350CDBD" w14:textId="77777777" w:rsidR="0075256F" w:rsidRPr="003D1614" w:rsidRDefault="0075256F" w:rsidP="0075256F">
            <w:pPr>
              <w:tabs>
                <w:tab w:val="right" w:pos="1202"/>
              </w:tabs>
              <w:suppressAutoHyphens/>
              <w:autoSpaceDN w:val="0"/>
              <w:spacing w:line="301" w:lineRule="exact"/>
              <w:outlineLvl w:val="0"/>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Proizvodnja strojeva i uređaja</w:t>
            </w:r>
          </w:p>
        </w:tc>
        <w:tc>
          <w:tcPr>
            <w:tcW w:w="613" w:type="pct"/>
            <w:tcBorders>
              <w:top w:val="nil"/>
              <w:left w:val="nil"/>
              <w:bottom w:val="nil"/>
              <w:right w:val="nil"/>
            </w:tcBorders>
            <w:shd w:val="clear" w:color="auto" w:fill="auto"/>
            <w:vAlign w:val="bottom"/>
          </w:tcPr>
          <w:p w14:paraId="1DF19637" w14:textId="7A3F7185" w:rsidR="0075256F" w:rsidRPr="003D1614" w:rsidRDefault="0075256F" w:rsidP="0075256F">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38.598</w:t>
            </w:r>
          </w:p>
        </w:tc>
        <w:tc>
          <w:tcPr>
            <w:tcW w:w="613" w:type="pct"/>
            <w:tcBorders>
              <w:top w:val="nil"/>
              <w:left w:val="nil"/>
              <w:bottom w:val="nil"/>
              <w:right w:val="nil"/>
            </w:tcBorders>
            <w:shd w:val="clear" w:color="auto" w:fill="auto"/>
            <w:vAlign w:val="bottom"/>
          </w:tcPr>
          <w:p w14:paraId="581C8B8E" w14:textId="6EF2F4D9" w:rsidR="0075256F" w:rsidRPr="003D1614" w:rsidRDefault="0075256F" w:rsidP="0075256F">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3.011</w:t>
            </w:r>
          </w:p>
        </w:tc>
        <w:tc>
          <w:tcPr>
            <w:tcW w:w="632" w:type="pct"/>
            <w:tcBorders>
              <w:top w:val="nil"/>
              <w:left w:val="nil"/>
              <w:right w:val="nil"/>
            </w:tcBorders>
            <w:shd w:val="clear" w:color="auto" w:fill="auto"/>
            <w:vAlign w:val="bottom"/>
          </w:tcPr>
          <w:p w14:paraId="5A229CAD" w14:textId="78610DB1" w:rsidR="0075256F" w:rsidRPr="003D1614" w:rsidRDefault="0075256F" w:rsidP="0075256F">
            <w:pPr>
              <w:tabs>
                <w:tab w:val="right" w:pos="1202"/>
              </w:tabs>
              <w:suppressAutoHyphens/>
              <w:autoSpaceDN w:val="0"/>
              <w:spacing w:line="301" w:lineRule="exact"/>
              <w:jc w:val="right"/>
              <w:outlineLvl w:val="0"/>
              <w:rPr>
                <w:rFonts w:ascii="Arial" w:eastAsia="Times New Roman" w:hAnsi="Arial" w:cs="Arial"/>
                <w:sz w:val="18"/>
                <w:szCs w:val="18"/>
              </w:rPr>
            </w:pPr>
            <w:r w:rsidRPr="00F959D0">
              <w:rPr>
                <w:rFonts w:ascii="Arial" w:hAnsi="Arial" w:cs="Arial"/>
                <w:sz w:val="18"/>
                <w:szCs w:val="18"/>
              </w:rPr>
              <w:t>30.898</w:t>
            </w:r>
          </w:p>
        </w:tc>
        <w:tc>
          <w:tcPr>
            <w:tcW w:w="631" w:type="pct"/>
            <w:tcBorders>
              <w:top w:val="nil"/>
              <w:left w:val="nil"/>
              <w:right w:val="nil"/>
            </w:tcBorders>
            <w:shd w:val="clear" w:color="auto" w:fill="auto"/>
            <w:vAlign w:val="bottom"/>
          </w:tcPr>
          <w:p w14:paraId="7CE18DBB" w14:textId="3E57317E" w:rsidR="0075256F" w:rsidRPr="003D1614" w:rsidRDefault="0075256F" w:rsidP="0075256F">
            <w:pPr>
              <w:tabs>
                <w:tab w:val="right" w:pos="1202"/>
              </w:tabs>
              <w:suppressAutoHyphens/>
              <w:autoSpaceDN w:val="0"/>
              <w:spacing w:line="301" w:lineRule="exact"/>
              <w:jc w:val="right"/>
              <w:outlineLvl w:val="0"/>
              <w:rPr>
                <w:rFonts w:ascii="Arial" w:eastAsia="Times New Roman" w:hAnsi="Arial" w:cs="Arial"/>
                <w:sz w:val="18"/>
                <w:szCs w:val="18"/>
              </w:rPr>
            </w:pPr>
            <w:r w:rsidRPr="00F959D0">
              <w:rPr>
                <w:rFonts w:ascii="Arial" w:hAnsi="Arial" w:cs="Arial"/>
                <w:sz w:val="18"/>
                <w:szCs w:val="18"/>
              </w:rPr>
              <w:t>3.016</w:t>
            </w:r>
          </w:p>
        </w:tc>
      </w:tr>
      <w:tr w:rsidR="0075256F" w:rsidRPr="003D1614" w14:paraId="5AF4D95C" w14:textId="77777777" w:rsidTr="00032B66">
        <w:trPr>
          <w:cantSplit/>
          <w:trHeight w:val="250"/>
          <w:tblHeader/>
        </w:trPr>
        <w:tc>
          <w:tcPr>
            <w:tcW w:w="2511" w:type="pct"/>
            <w:vAlign w:val="bottom"/>
          </w:tcPr>
          <w:p w14:paraId="571EDBAA" w14:textId="77777777" w:rsidR="0075256F" w:rsidRPr="003D1614" w:rsidRDefault="0075256F" w:rsidP="0075256F">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82" w:name="_Toc67329718"/>
            <w:r w:rsidRPr="003D1614">
              <w:rPr>
                <w:rFonts w:ascii="Arial" w:eastAsia="Times New Roman" w:hAnsi="Arial" w:cs="Arial"/>
                <w:color w:val="000000" w:themeColor="text1"/>
                <w:sz w:val="18"/>
                <w:szCs w:val="18"/>
              </w:rPr>
              <w:t>Ostalo</w:t>
            </w:r>
            <w:bookmarkEnd w:id="682"/>
          </w:p>
        </w:tc>
        <w:tc>
          <w:tcPr>
            <w:tcW w:w="613" w:type="pct"/>
            <w:tcBorders>
              <w:top w:val="nil"/>
              <w:left w:val="nil"/>
              <w:bottom w:val="nil"/>
              <w:right w:val="nil"/>
            </w:tcBorders>
            <w:shd w:val="clear" w:color="auto" w:fill="auto"/>
            <w:vAlign w:val="bottom"/>
          </w:tcPr>
          <w:p w14:paraId="55DDF22E" w14:textId="79A81AA5" w:rsidR="0075256F" w:rsidRPr="003D1614" w:rsidRDefault="0075256F" w:rsidP="0075256F">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267.831</w:t>
            </w:r>
          </w:p>
        </w:tc>
        <w:tc>
          <w:tcPr>
            <w:tcW w:w="613" w:type="pct"/>
            <w:tcBorders>
              <w:top w:val="nil"/>
              <w:left w:val="nil"/>
              <w:bottom w:val="nil"/>
              <w:right w:val="nil"/>
            </w:tcBorders>
            <w:shd w:val="clear" w:color="auto" w:fill="auto"/>
            <w:vAlign w:val="bottom"/>
          </w:tcPr>
          <w:p w14:paraId="3EA0BE5B" w14:textId="411328D9" w:rsidR="0075256F" w:rsidRPr="003D1614" w:rsidRDefault="0075256F" w:rsidP="0075256F">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73.342</w:t>
            </w:r>
          </w:p>
        </w:tc>
        <w:tc>
          <w:tcPr>
            <w:tcW w:w="632" w:type="pct"/>
            <w:tcBorders>
              <w:top w:val="nil"/>
              <w:left w:val="nil"/>
              <w:bottom w:val="single" w:sz="4" w:space="0" w:color="auto"/>
              <w:right w:val="nil"/>
            </w:tcBorders>
            <w:shd w:val="clear" w:color="auto" w:fill="auto"/>
            <w:vAlign w:val="bottom"/>
          </w:tcPr>
          <w:p w14:paraId="37B37543" w14:textId="321281B8" w:rsidR="0075256F" w:rsidRPr="00617755" w:rsidRDefault="0075256F" w:rsidP="0075256F">
            <w:pPr>
              <w:tabs>
                <w:tab w:val="right" w:pos="1202"/>
              </w:tabs>
              <w:suppressAutoHyphens/>
              <w:autoSpaceDN w:val="0"/>
              <w:spacing w:line="301" w:lineRule="exact"/>
              <w:jc w:val="right"/>
              <w:outlineLvl w:val="0"/>
              <w:rPr>
                <w:rFonts w:ascii="Arial" w:eastAsia="Times New Roman" w:hAnsi="Arial" w:cs="Arial"/>
                <w:sz w:val="18"/>
                <w:szCs w:val="18"/>
              </w:rPr>
            </w:pPr>
            <w:r w:rsidRPr="00F959D0">
              <w:rPr>
                <w:rFonts w:ascii="Arial" w:hAnsi="Arial" w:cs="Arial"/>
                <w:sz w:val="18"/>
                <w:szCs w:val="18"/>
              </w:rPr>
              <w:t>290.399</w:t>
            </w:r>
          </w:p>
        </w:tc>
        <w:tc>
          <w:tcPr>
            <w:tcW w:w="631" w:type="pct"/>
            <w:tcBorders>
              <w:top w:val="nil"/>
              <w:left w:val="nil"/>
              <w:bottom w:val="single" w:sz="4" w:space="0" w:color="auto"/>
              <w:right w:val="nil"/>
            </w:tcBorders>
            <w:shd w:val="clear" w:color="auto" w:fill="auto"/>
            <w:vAlign w:val="bottom"/>
          </w:tcPr>
          <w:p w14:paraId="7AA65AC3" w14:textId="0B074C9C" w:rsidR="0075256F" w:rsidRPr="00617755" w:rsidRDefault="0075256F" w:rsidP="0075256F">
            <w:pPr>
              <w:tabs>
                <w:tab w:val="right" w:pos="1202"/>
              </w:tabs>
              <w:suppressAutoHyphens/>
              <w:autoSpaceDN w:val="0"/>
              <w:spacing w:line="301" w:lineRule="exact"/>
              <w:jc w:val="right"/>
              <w:outlineLvl w:val="0"/>
              <w:rPr>
                <w:rFonts w:ascii="Arial" w:eastAsia="Times New Roman" w:hAnsi="Arial" w:cs="Arial"/>
                <w:sz w:val="18"/>
                <w:szCs w:val="18"/>
              </w:rPr>
            </w:pPr>
            <w:r w:rsidRPr="00F959D0">
              <w:rPr>
                <w:rFonts w:ascii="Arial" w:hAnsi="Arial" w:cs="Arial"/>
                <w:sz w:val="18"/>
                <w:szCs w:val="18"/>
              </w:rPr>
              <w:t>80.471</w:t>
            </w:r>
          </w:p>
        </w:tc>
      </w:tr>
      <w:tr w:rsidR="0075256F" w:rsidRPr="003D1614" w14:paraId="37AFC818" w14:textId="77777777" w:rsidTr="00AF283D">
        <w:tblPrEx>
          <w:tblCellMar>
            <w:left w:w="31" w:type="dxa"/>
            <w:right w:w="31" w:type="dxa"/>
          </w:tblCellMar>
        </w:tblPrEx>
        <w:trPr>
          <w:cantSplit/>
          <w:trHeight w:val="283"/>
          <w:tblHeader/>
        </w:trPr>
        <w:tc>
          <w:tcPr>
            <w:tcW w:w="2511" w:type="pct"/>
            <w:vAlign w:val="bottom"/>
          </w:tcPr>
          <w:p w14:paraId="063F2F8E" w14:textId="77777777" w:rsidR="0075256F" w:rsidRPr="003D1614" w:rsidRDefault="0075256F" w:rsidP="0075256F">
            <w:pPr>
              <w:suppressAutoHyphens/>
              <w:autoSpaceDN w:val="0"/>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Ukupna izloženost kreditnom riziku</w:t>
            </w:r>
          </w:p>
        </w:tc>
        <w:tc>
          <w:tcPr>
            <w:tcW w:w="613" w:type="pct"/>
            <w:tcBorders>
              <w:top w:val="single" w:sz="4" w:space="0" w:color="auto"/>
              <w:left w:val="nil"/>
              <w:bottom w:val="single" w:sz="12" w:space="0" w:color="auto"/>
              <w:right w:val="nil"/>
            </w:tcBorders>
            <w:shd w:val="clear" w:color="auto" w:fill="auto"/>
            <w:vAlign w:val="bottom"/>
          </w:tcPr>
          <w:p w14:paraId="41101029" w14:textId="1712DEE2" w:rsidR="0075256F" w:rsidRPr="00AF283D" w:rsidRDefault="0075256F" w:rsidP="0075256F">
            <w:pPr>
              <w:tabs>
                <w:tab w:val="right" w:pos="1202"/>
              </w:tabs>
              <w:suppressAutoHyphens/>
              <w:autoSpaceDN w:val="0"/>
              <w:jc w:val="right"/>
              <w:outlineLvl w:val="0"/>
              <w:rPr>
                <w:rFonts w:ascii="Arial" w:eastAsia="Times New Roman" w:hAnsi="Arial" w:cs="Arial"/>
                <w:b/>
                <w:noProof/>
                <w:color w:val="000000" w:themeColor="text1"/>
                <w:sz w:val="18"/>
                <w:szCs w:val="18"/>
                <w:lang w:eastAsia="hr-HR"/>
              </w:rPr>
            </w:pPr>
            <w:r>
              <w:rPr>
                <w:rFonts w:ascii="Arial" w:eastAsia="Times New Roman" w:hAnsi="Arial" w:cs="Arial"/>
                <w:b/>
                <w:noProof/>
                <w:color w:val="000000" w:themeColor="text1"/>
                <w:sz w:val="18"/>
                <w:szCs w:val="18"/>
                <w:lang w:eastAsia="hr-HR"/>
              </w:rPr>
              <w:t>4.475.189</w:t>
            </w:r>
          </w:p>
        </w:tc>
        <w:tc>
          <w:tcPr>
            <w:tcW w:w="613" w:type="pct"/>
            <w:tcBorders>
              <w:top w:val="single" w:sz="4" w:space="0" w:color="auto"/>
              <w:left w:val="nil"/>
              <w:bottom w:val="single" w:sz="12" w:space="0" w:color="auto"/>
              <w:right w:val="nil"/>
            </w:tcBorders>
            <w:shd w:val="clear" w:color="auto" w:fill="auto"/>
            <w:vAlign w:val="bottom"/>
          </w:tcPr>
          <w:p w14:paraId="2048C9DE" w14:textId="49FD339B" w:rsidR="0075256F" w:rsidRPr="00AF283D" w:rsidRDefault="0075256F" w:rsidP="0075256F">
            <w:pPr>
              <w:tabs>
                <w:tab w:val="right" w:pos="1202"/>
              </w:tabs>
              <w:suppressAutoHyphens/>
              <w:autoSpaceDN w:val="0"/>
              <w:jc w:val="right"/>
              <w:outlineLvl w:val="0"/>
              <w:rPr>
                <w:rFonts w:ascii="Arial" w:eastAsia="Times New Roman" w:hAnsi="Arial" w:cs="Arial"/>
                <w:b/>
                <w:noProof/>
                <w:color w:val="000000" w:themeColor="text1"/>
                <w:sz w:val="18"/>
                <w:szCs w:val="18"/>
                <w:lang w:eastAsia="hr-HR"/>
              </w:rPr>
            </w:pPr>
            <w:r>
              <w:rPr>
                <w:rFonts w:ascii="Arial" w:eastAsia="Times New Roman" w:hAnsi="Arial" w:cs="Arial"/>
                <w:b/>
                <w:noProof/>
                <w:color w:val="000000" w:themeColor="text1"/>
                <w:sz w:val="18"/>
                <w:szCs w:val="18"/>
                <w:lang w:eastAsia="hr-HR"/>
              </w:rPr>
              <w:t>892.491</w:t>
            </w:r>
          </w:p>
        </w:tc>
        <w:tc>
          <w:tcPr>
            <w:tcW w:w="632" w:type="pct"/>
            <w:tcBorders>
              <w:top w:val="single" w:sz="4" w:space="0" w:color="auto"/>
              <w:left w:val="nil"/>
              <w:bottom w:val="single" w:sz="12" w:space="0" w:color="auto"/>
              <w:right w:val="nil"/>
            </w:tcBorders>
            <w:shd w:val="clear" w:color="auto" w:fill="auto"/>
            <w:vAlign w:val="bottom"/>
          </w:tcPr>
          <w:p w14:paraId="2374FC61" w14:textId="3212AB34" w:rsidR="0075256F" w:rsidRPr="003D1614" w:rsidRDefault="0075256F" w:rsidP="0075256F">
            <w:pPr>
              <w:tabs>
                <w:tab w:val="right" w:pos="1202"/>
              </w:tabs>
              <w:suppressAutoHyphens/>
              <w:autoSpaceDN w:val="0"/>
              <w:jc w:val="right"/>
              <w:outlineLvl w:val="0"/>
              <w:rPr>
                <w:rFonts w:ascii="Arial" w:eastAsia="Times New Roman" w:hAnsi="Arial" w:cs="Arial"/>
                <w:b/>
                <w:noProof/>
                <w:color w:val="000000" w:themeColor="text1"/>
                <w:sz w:val="18"/>
                <w:szCs w:val="18"/>
                <w:lang w:eastAsia="hr-HR"/>
              </w:rPr>
            </w:pPr>
            <w:r w:rsidRPr="00BF3671">
              <w:rPr>
                <w:rFonts w:ascii="Arial" w:hAnsi="Arial" w:cs="Arial"/>
                <w:b/>
                <w:bCs/>
                <w:noProof/>
                <w:color w:val="000000" w:themeColor="text1"/>
                <w:sz w:val="18"/>
                <w:szCs w:val="18"/>
                <w:lang w:eastAsia="hr-HR"/>
              </w:rPr>
              <w:t>4.467.929</w:t>
            </w:r>
          </w:p>
        </w:tc>
        <w:tc>
          <w:tcPr>
            <w:tcW w:w="631" w:type="pct"/>
            <w:tcBorders>
              <w:top w:val="single" w:sz="4" w:space="0" w:color="auto"/>
              <w:left w:val="nil"/>
              <w:bottom w:val="single" w:sz="12" w:space="0" w:color="auto"/>
              <w:right w:val="nil"/>
            </w:tcBorders>
            <w:shd w:val="clear" w:color="auto" w:fill="auto"/>
            <w:vAlign w:val="bottom"/>
          </w:tcPr>
          <w:p w14:paraId="5A02C797" w14:textId="113EBC04" w:rsidR="0075256F" w:rsidRPr="003D1614" w:rsidRDefault="0075256F" w:rsidP="0075256F">
            <w:pPr>
              <w:tabs>
                <w:tab w:val="right" w:pos="1202"/>
              </w:tabs>
              <w:suppressAutoHyphens/>
              <w:autoSpaceDN w:val="0"/>
              <w:jc w:val="right"/>
              <w:outlineLvl w:val="0"/>
              <w:rPr>
                <w:rFonts w:ascii="Arial" w:eastAsia="Times New Roman" w:hAnsi="Arial" w:cs="Arial"/>
                <w:b/>
                <w:color w:val="000000" w:themeColor="text1"/>
                <w:sz w:val="18"/>
                <w:szCs w:val="18"/>
              </w:rPr>
            </w:pPr>
            <w:r w:rsidRPr="00BF3671">
              <w:rPr>
                <w:rFonts w:ascii="Arial" w:hAnsi="Arial" w:cs="Arial"/>
                <w:b/>
                <w:bCs/>
                <w:color w:val="000000" w:themeColor="text1"/>
                <w:sz w:val="18"/>
                <w:szCs w:val="18"/>
              </w:rPr>
              <w:t>781.652</w:t>
            </w:r>
          </w:p>
        </w:tc>
      </w:tr>
    </w:tbl>
    <w:p w14:paraId="3D0EBB0A" w14:textId="36474E26" w:rsidR="001A0FCB" w:rsidRPr="003D1614" w:rsidRDefault="001A0FCB" w:rsidP="003311C4">
      <w:pPr>
        <w:suppressAutoHyphens/>
        <w:autoSpaceDN w:val="0"/>
        <w:jc w:val="both"/>
        <w:rPr>
          <w:rFonts w:ascii="Arial" w:eastAsia="Times New Roman" w:hAnsi="Arial" w:cs="Arial"/>
          <w:color w:val="000000" w:themeColor="text1"/>
          <w:sz w:val="20"/>
          <w:szCs w:val="20"/>
        </w:rPr>
      </w:pPr>
    </w:p>
    <w:p w14:paraId="263E86CE" w14:textId="77777777" w:rsidR="001A0FCB" w:rsidRPr="003D1614" w:rsidRDefault="001A0FCB" w:rsidP="003311C4">
      <w:pPr>
        <w:suppressAutoHyphens/>
        <w:autoSpaceDN w:val="0"/>
        <w:jc w:val="both"/>
        <w:rPr>
          <w:rFonts w:ascii="Arial" w:eastAsia="Times New Roman" w:hAnsi="Arial" w:cs="Arial"/>
          <w:color w:val="000000" w:themeColor="text1"/>
          <w:sz w:val="20"/>
          <w:szCs w:val="20"/>
        </w:rPr>
        <w:sectPr w:rsidR="001A0FCB" w:rsidRPr="003D1614">
          <w:pgSz w:w="11906" w:h="16838"/>
          <w:pgMar w:top="1417" w:right="1417" w:bottom="1417" w:left="1417" w:header="708" w:footer="708" w:gutter="0"/>
          <w:cols w:space="708"/>
          <w:docGrid w:linePitch="360"/>
        </w:sectPr>
      </w:pPr>
    </w:p>
    <w:p w14:paraId="05321DDF"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p>
    <w:p w14:paraId="6EB0B5B9" w14:textId="7660694A"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0C385F83"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p>
    <w:p w14:paraId="69B4EE3E" w14:textId="7B18F941"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.3. </w:t>
      </w:r>
      <w:r w:rsidRPr="003D1614">
        <w:rPr>
          <w:rFonts w:ascii="Arial" w:eastAsia="Times New Roman" w:hAnsi="Arial" w:cs="Arial"/>
          <w:b/>
          <w:bCs/>
          <w:color w:val="000000" w:themeColor="text1"/>
          <w:sz w:val="20"/>
          <w:szCs w:val="20"/>
        </w:rPr>
        <w:tab/>
        <w:t>Kreditni rizik (nastavak)</w:t>
      </w:r>
    </w:p>
    <w:p w14:paraId="5D24AF91"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p>
    <w:p w14:paraId="63702EDB"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Koncentracija rizika i maksimalna izloženost kreditnom riziku (nastavak)</w:t>
      </w:r>
    </w:p>
    <w:p w14:paraId="61C277F3"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p>
    <w:p w14:paraId="7C8090CC" w14:textId="77777777" w:rsidR="001A0FCB" w:rsidRPr="003D1614" w:rsidRDefault="001A0FCB" w:rsidP="001A0FCB">
      <w:pPr>
        <w:tabs>
          <w:tab w:val="right" w:pos="1202"/>
        </w:tabs>
        <w:suppressAutoHyphens/>
        <w:autoSpaceDN w:val="0"/>
        <w:jc w:val="both"/>
        <w:outlineLvl w:val="0"/>
        <w:rPr>
          <w:rFonts w:ascii="Arial" w:eastAsia="Times New Roman" w:hAnsi="Arial" w:cs="Arial"/>
          <w:color w:val="000000" w:themeColor="text1"/>
          <w:sz w:val="20"/>
          <w:szCs w:val="20"/>
        </w:rPr>
      </w:pPr>
      <w:bookmarkStart w:id="683" w:name="_Toc67329727"/>
      <w:r w:rsidRPr="003D1614">
        <w:rPr>
          <w:rFonts w:ascii="Arial" w:eastAsia="Times New Roman" w:hAnsi="Arial" w:cs="Arial"/>
          <w:color w:val="000000" w:themeColor="text1"/>
          <w:sz w:val="20"/>
          <w:szCs w:val="20"/>
        </w:rPr>
        <w:t>Koncentracija imovine i garancija te preuzetih obveza prema industrijskim granama, neto</w:t>
      </w:r>
      <w:r w:rsidRPr="003D1614">
        <w:rPr>
          <w:rFonts w:ascii="Arial" w:eastAsia="Times New Roman" w:hAnsi="Arial" w:cs="Arial"/>
          <w:b/>
          <w:color w:val="000000" w:themeColor="text1"/>
          <w:sz w:val="20"/>
          <w:szCs w:val="20"/>
        </w:rPr>
        <w:t xml:space="preserve"> </w:t>
      </w:r>
      <w:r w:rsidRPr="003D1614">
        <w:rPr>
          <w:rFonts w:ascii="Arial" w:eastAsia="Times New Roman" w:hAnsi="Arial" w:cs="Arial"/>
          <w:color w:val="000000" w:themeColor="text1"/>
          <w:sz w:val="20"/>
          <w:szCs w:val="20"/>
        </w:rPr>
        <w:t>izloženost, prije i nakon uzimanja u obzir primljenih instrumenata osiguranja:</w:t>
      </w:r>
      <w:bookmarkEnd w:id="683"/>
    </w:p>
    <w:tbl>
      <w:tblPr>
        <w:tblpPr w:leftFromText="180" w:rightFromText="180" w:vertAnchor="text" w:horzAnchor="margin" w:tblpY="290"/>
        <w:tblOverlap w:val="never"/>
        <w:tblW w:w="4911" w:type="pct"/>
        <w:tblLayout w:type="fixed"/>
        <w:tblCellMar>
          <w:left w:w="30" w:type="dxa"/>
          <w:right w:w="30" w:type="dxa"/>
        </w:tblCellMar>
        <w:tblLook w:val="0000" w:firstRow="0" w:lastRow="0" w:firstColumn="0" w:lastColumn="0" w:noHBand="0" w:noVBand="0"/>
      </w:tblPr>
      <w:tblGrid>
        <w:gridCol w:w="4652"/>
        <w:gridCol w:w="1134"/>
        <w:gridCol w:w="1134"/>
        <w:gridCol w:w="1134"/>
        <w:gridCol w:w="1134"/>
      </w:tblGrid>
      <w:tr w:rsidR="001A0FCB" w:rsidRPr="003D1614" w14:paraId="35ECF592" w14:textId="77777777" w:rsidTr="007478FB">
        <w:trPr>
          <w:cantSplit/>
          <w:trHeight w:val="250"/>
          <w:tblHeader/>
        </w:trPr>
        <w:tc>
          <w:tcPr>
            <w:tcW w:w="2532" w:type="pct"/>
            <w:vAlign w:val="bottom"/>
          </w:tcPr>
          <w:p w14:paraId="6B3FD50C" w14:textId="77777777" w:rsidR="001A0FCB" w:rsidRPr="003D1614" w:rsidRDefault="001A0FCB" w:rsidP="001A0FCB">
            <w:pPr>
              <w:tabs>
                <w:tab w:val="right" w:pos="1202"/>
              </w:tabs>
              <w:suppressAutoHyphens/>
              <w:autoSpaceDN w:val="0"/>
              <w:spacing w:line="240" w:lineRule="atLeast"/>
              <w:outlineLvl w:val="0"/>
              <w:rPr>
                <w:rFonts w:ascii="Arial" w:eastAsia="Times New Roman" w:hAnsi="Arial" w:cs="Arial"/>
                <w:b/>
                <w:color w:val="000000" w:themeColor="text1"/>
                <w:sz w:val="18"/>
                <w:szCs w:val="18"/>
              </w:rPr>
            </w:pPr>
            <w:bookmarkStart w:id="684" w:name="_Toc67329728"/>
            <w:r w:rsidRPr="003D1614">
              <w:rPr>
                <w:rFonts w:ascii="Arial" w:eastAsia="Times New Roman" w:hAnsi="Arial" w:cs="Arial"/>
                <w:b/>
                <w:color w:val="000000" w:themeColor="text1"/>
                <w:sz w:val="18"/>
                <w:szCs w:val="18"/>
              </w:rPr>
              <w:t>Banka</w:t>
            </w:r>
            <w:bookmarkEnd w:id="684"/>
          </w:p>
        </w:tc>
        <w:tc>
          <w:tcPr>
            <w:tcW w:w="617" w:type="pct"/>
            <w:vAlign w:val="bottom"/>
          </w:tcPr>
          <w:p w14:paraId="0ADD1FC7" w14:textId="77777777" w:rsidR="001A0FCB" w:rsidRPr="003D1614" w:rsidRDefault="001A0FCB" w:rsidP="001A0FCB">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85" w:name="_Toc67329729"/>
            <w:r w:rsidRPr="003D1614">
              <w:rPr>
                <w:rFonts w:ascii="Arial" w:eastAsia="Times New Roman" w:hAnsi="Arial" w:cs="Arial"/>
                <w:b/>
                <w:color w:val="000000" w:themeColor="text1"/>
                <w:sz w:val="18"/>
                <w:szCs w:val="18"/>
              </w:rPr>
              <w:t>Neto najveća izloženost</w:t>
            </w:r>
            <w:bookmarkEnd w:id="685"/>
          </w:p>
        </w:tc>
        <w:tc>
          <w:tcPr>
            <w:tcW w:w="617" w:type="pct"/>
            <w:vAlign w:val="bottom"/>
          </w:tcPr>
          <w:p w14:paraId="6018D6DB" w14:textId="77777777" w:rsidR="001A0FCB" w:rsidRPr="003D1614" w:rsidRDefault="001A0FCB" w:rsidP="001A0FCB">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86" w:name="_Toc67329730"/>
            <w:r w:rsidRPr="003D1614">
              <w:rPr>
                <w:rFonts w:ascii="Arial" w:eastAsia="Times New Roman" w:hAnsi="Arial" w:cs="Arial"/>
                <w:b/>
                <w:color w:val="000000" w:themeColor="text1"/>
                <w:sz w:val="18"/>
                <w:szCs w:val="18"/>
              </w:rPr>
              <w:t xml:space="preserve">Neto najveća izloženost </w:t>
            </w:r>
            <w:r w:rsidRPr="003D1614">
              <w:rPr>
                <w:rFonts w:ascii="Arial" w:eastAsia="Times New Roman" w:hAnsi="Arial" w:cs="Arial"/>
                <w:color w:val="000000" w:themeColor="text1"/>
                <w:sz w:val="18"/>
                <w:szCs w:val="18"/>
              </w:rPr>
              <w:t xml:space="preserve"> </w:t>
            </w:r>
            <w:r w:rsidRPr="003D1614">
              <w:rPr>
                <w:rFonts w:ascii="Arial" w:eastAsia="Times New Roman" w:hAnsi="Arial" w:cs="Arial"/>
                <w:b/>
                <w:color w:val="000000" w:themeColor="text1"/>
                <w:sz w:val="18"/>
                <w:szCs w:val="18"/>
              </w:rPr>
              <w:t>nakon umanjenja za sredstva osiguranja</w:t>
            </w:r>
            <w:bookmarkEnd w:id="686"/>
          </w:p>
        </w:tc>
        <w:tc>
          <w:tcPr>
            <w:tcW w:w="617" w:type="pct"/>
            <w:vAlign w:val="bottom"/>
          </w:tcPr>
          <w:p w14:paraId="33F766ED" w14:textId="77777777" w:rsidR="001A0FCB" w:rsidRPr="003D1614" w:rsidRDefault="001A0FCB" w:rsidP="001A0FCB">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87" w:name="_Toc67329731"/>
            <w:r w:rsidRPr="003D1614">
              <w:rPr>
                <w:rFonts w:ascii="Arial" w:eastAsia="Times New Roman" w:hAnsi="Arial" w:cs="Arial"/>
                <w:b/>
                <w:color w:val="000000" w:themeColor="text1"/>
                <w:sz w:val="18"/>
                <w:szCs w:val="18"/>
              </w:rPr>
              <w:t>Neto najveća izloženost</w:t>
            </w:r>
            <w:bookmarkEnd w:id="687"/>
          </w:p>
        </w:tc>
        <w:tc>
          <w:tcPr>
            <w:tcW w:w="617" w:type="pct"/>
            <w:vAlign w:val="bottom"/>
          </w:tcPr>
          <w:p w14:paraId="353463FF" w14:textId="77777777" w:rsidR="001A0FCB" w:rsidRPr="003D1614" w:rsidRDefault="001A0FCB" w:rsidP="001A0FCB">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88" w:name="_Toc67329732"/>
            <w:r w:rsidRPr="003D1614">
              <w:rPr>
                <w:rFonts w:ascii="Arial" w:eastAsia="Times New Roman" w:hAnsi="Arial" w:cs="Arial"/>
                <w:b/>
                <w:color w:val="000000" w:themeColor="text1"/>
                <w:sz w:val="18"/>
                <w:szCs w:val="18"/>
              </w:rPr>
              <w:t>Neto najveća izloženost  nakon umanjenja za sredstva osiguranja</w:t>
            </w:r>
            <w:bookmarkEnd w:id="688"/>
          </w:p>
        </w:tc>
      </w:tr>
      <w:tr w:rsidR="001A0FCB" w:rsidRPr="003D1614" w14:paraId="380E7E52" w14:textId="77777777" w:rsidTr="007478FB">
        <w:trPr>
          <w:cantSplit/>
          <w:trHeight w:val="250"/>
          <w:tblHeader/>
        </w:trPr>
        <w:tc>
          <w:tcPr>
            <w:tcW w:w="2532" w:type="pct"/>
            <w:vAlign w:val="bottom"/>
          </w:tcPr>
          <w:p w14:paraId="5E95A3E6" w14:textId="77777777" w:rsidR="001A0FCB" w:rsidRPr="003D1614" w:rsidRDefault="001A0FCB" w:rsidP="001A0FCB">
            <w:pPr>
              <w:suppressAutoHyphens/>
              <w:autoSpaceDN w:val="0"/>
              <w:ind w:left="113" w:hanging="113"/>
              <w:rPr>
                <w:rFonts w:ascii="Arial" w:eastAsia="Times New Roman" w:hAnsi="Arial" w:cs="Arial"/>
                <w:color w:val="000000" w:themeColor="text1"/>
                <w:sz w:val="18"/>
                <w:szCs w:val="18"/>
              </w:rPr>
            </w:pPr>
          </w:p>
        </w:tc>
        <w:tc>
          <w:tcPr>
            <w:tcW w:w="617" w:type="pct"/>
            <w:vAlign w:val="bottom"/>
          </w:tcPr>
          <w:p w14:paraId="2DBDA1CC" w14:textId="71F7E2F3" w:rsidR="001A0FCB" w:rsidRPr="003D1614" w:rsidRDefault="00184EBE" w:rsidP="001A0FCB">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184EBE">
              <w:rPr>
                <w:rFonts w:ascii="Arial" w:eastAsia="Times New Roman" w:hAnsi="Arial" w:cs="Arial"/>
                <w:b/>
                <w:color w:val="000000" w:themeColor="text1"/>
                <w:sz w:val="18"/>
                <w:szCs w:val="18"/>
              </w:rPr>
              <w:t>30. rujna 202</w:t>
            </w:r>
            <w:r w:rsidR="002E1CB2">
              <w:rPr>
                <w:rFonts w:ascii="Arial" w:eastAsia="Times New Roman" w:hAnsi="Arial" w:cs="Arial"/>
                <w:b/>
                <w:color w:val="000000" w:themeColor="text1"/>
                <w:sz w:val="18"/>
                <w:szCs w:val="18"/>
              </w:rPr>
              <w:t>4</w:t>
            </w:r>
            <w:r w:rsidRPr="00184EBE">
              <w:rPr>
                <w:rFonts w:ascii="Arial" w:eastAsia="Times New Roman" w:hAnsi="Arial" w:cs="Arial"/>
                <w:b/>
                <w:color w:val="000000" w:themeColor="text1"/>
                <w:sz w:val="18"/>
                <w:szCs w:val="18"/>
              </w:rPr>
              <w:t>.</w:t>
            </w:r>
          </w:p>
        </w:tc>
        <w:tc>
          <w:tcPr>
            <w:tcW w:w="617" w:type="pct"/>
            <w:vAlign w:val="bottom"/>
          </w:tcPr>
          <w:p w14:paraId="5EF4D085" w14:textId="69F09AF8" w:rsidR="001A0FCB" w:rsidRPr="003D1614" w:rsidRDefault="00184EBE" w:rsidP="001A0FCB">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184EBE">
              <w:rPr>
                <w:rFonts w:ascii="Arial" w:eastAsia="Times New Roman" w:hAnsi="Arial" w:cs="Arial"/>
                <w:b/>
                <w:color w:val="000000" w:themeColor="text1"/>
                <w:sz w:val="18"/>
                <w:szCs w:val="18"/>
              </w:rPr>
              <w:t>30. rujna 202</w:t>
            </w:r>
            <w:r w:rsidR="002E1CB2">
              <w:rPr>
                <w:rFonts w:ascii="Arial" w:eastAsia="Times New Roman" w:hAnsi="Arial" w:cs="Arial"/>
                <w:b/>
                <w:color w:val="000000" w:themeColor="text1"/>
                <w:sz w:val="18"/>
                <w:szCs w:val="18"/>
              </w:rPr>
              <w:t>4</w:t>
            </w:r>
            <w:r w:rsidRPr="00184EBE">
              <w:rPr>
                <w:rFonts w:ascii="Arial" w:eastAsia="Times New Roman" w:hAnsi="Arial" w:cs="Arial"/>
                <w:b/>
                <w:color w:val="000000" w:themeColor="text1"/>
                <w:sz w:val="18"/>
                <w:szCs w:val="18"/>
              </w:rPr>
              <w:t>.</w:t>
            </w:r>
          </w:p>
        </w:tc>
        <w:tc>
          <w:tcPr>
            <w:tcW w:w="617" w:type="pct"/>
            <w:vAlign w:val="bottom"/>
          </w:tcPr>
          <w:p w14:paraId="70F06E1B" w14:textId="1F73F779" w:rsidR="001A0FCB" w:rsidRPr="003D1614" w:rsidRDefault="001A0FCB" w:rsidP="001A0FCB">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31. prosinca 202</w:t>
            </w:r>
            <w:r w:rsidR="002E1CB2">
              <w:rPr>
                <w:rFonts w:ascii="Arial" w:eastAsia="Times New Roman" w:hAnsi="Arial" w:cs="Arial"/>
                <w:b/>
                <w:color w:val="000000" w:themeColor="text1"/>
                <w:sz w:val="18"/>
                <w:szCs w:val="18"/>
              </w:rPr>
              <w:t>3</w:t>
            </w:r>
            <w:r w:rsidRPr="003D1614">
              <w:rPr>
                <w:rFonts w:ascii="Arial" w:eastAsia="Times New Roman" w:hAnsi="Arial" w:cs="Arial"/>
                <w:b/>
                <w:color w:val="000000" w:themeColor="text1"/>
                <w:sz w:val="18"/>
                <w:szCs w:val="18"/>
              </w:rPr>
              <w:t>.</w:t>
            </w:r>
          </w:p>
        </w:tc>
        <w:tc>
          <w:tcPr>
            <w:tcW w:w="617" w:type="pct"/>
            <w:vAlign w:val="bottom"/>
          </w:tcPr>
          <w:p w14:paraId="52BD024F" w14:textId="2153E421" w:rsidR="001A0FCB" w:rsidRPr="003D1614" w:rsidRDefault="001A0FCB" w:rsidP="001A0FCB">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31. prosinca 202</w:t>
            </w:r>
            <w:r w:rsidR="002E1CB2">
              <w:rPr>
                <w:rFonts w:ascii="Arial" w:eastAsia="Times New Roman" w:hAnsi="Arial" w:cs="Arial"/>
                <w:b/>
                <w:color w:val="000000" w:themeColor="text1"/>
                <w:sz w:val="18"/>
                <w:szCs w:val="18"/>
              </w:rPr>
              <w:t>3</w:t>
            </w:r>
            <w:r w:rsidRPr="003D1614">
              <w:rPr>
                <w:rFonts w:ascii="Arial" w:eastAsia="Times New Roman" w:hAnsi="Arial" w:cs="Arial"/>
                <w:b/>
                <w:color w:val="000000" w:themeColor="text1"/>
                <w:sz w:val="18"/>
                <w:szCs w:val="18"/>
              </w:rPr>
              <w:t>.</w:t>
            </w:r>
          </w:p>
        </w:tc>
      </w:tr>
      <w:tr w:rsidR="001A0FCB" w:rsidRPr="003D1614" w14:paraId="1AE3B880" w14:textId="77777777" w:rsidTr="007478FB">
        <w:trPr>
          <w:cantSplit/>
          <w:trHeight w:val="250"/>
          <w:tblHeader/>
        </w:trPr>
        <w:tc>
          <w:tcPr>
            <w:tcW w:w="2532" w:type="pct"/>
            <w:vAlign w:val="bottom"/>
          </w:tcPr>
          <w:p w14:paraId="1F10DFAA" w14:textId="77777777" w:rsidR="001A0FCB" w:rsidRPr="003D1614" w:rsidRDefault="001A0FCB" w:rsidP="001A0FCB">
            <w:pPr>
              <w:suppressAutoHyphens/>
              <w:autoSpaceDN w:val="0"/>
              <w:ind w:left="113" w:hanging="113"/>
              <w:rPr>
                <w:rFonts w:ascii="Arial" w:eastAsia="Times New Roman" w:hAnsi="Arial" w:cs="Arial"/>
                <w:color w:val="000000" w:themeColor="text1"/>
                <w:sz w:val="18"/>
                <w:szCs w:val="18"/>
              </w:rPr>
            </w:pPr>
          </w:p>
        </w:tc>
        <w:tc>
          <w:tcPr>
            <w:tcW w:w="617" w:type="pct"/>
            <w:vAlign w:val="bottom"/>
          </w:tcPr>
          <w:p w14:paraId="6561485C" w14:textId="01807513" w:rsidR="001A0FCB" w:rsidRPr="003D1614" w:rsidRDefault="001A0FCB" w:rsidP="001A0FCB">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89" w:name="_Toc67329737"/>
            <w:r w:rsidRPr="003D1614">
              <w:rPr>
                <w:rFonts w:ascii="Arial" w:eastAsia="Times New Roman" w:hAnsi="Arial" w:cs="Arial"/>
                <w:b/>
                <w:color w:val="000000" w:themeColor="text1"/>
                <w:sz w:val="18"/>
                <w:szCs w:val="18"/>
              </w:rPr>
              <w:t>000 eura</w:t>
            </w:r>
            <w:bookmarkEnd w:id="689"/>
          </w:p>
        </w:tc>
        <w:tc>
          <w:tcPr>
            <w:tcW w:w="617" w:type="pct"/>
            <w:vAlign w:val="bottom"/>
          </w:tcPr>
          <w:p w14:paraId="6021D5D3" w14:textId="67CF9462" w:rsidR="001A0FCB" w:rsidRPr="003D1614" w:rsidRDefault="001A0FCB" w:rsidP="001A0FCB">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90" w:name="_Toc67329738"/>
            <w:r w:rsidRPr="003D1614">
              <w:rPr>
                <w:rFonts w:ascii="Arial" w:eastAsia="Times New Roman" w:hAnsi="Arial" w:cs="Arial"/>
                <w:b/>
                <w:color w:val="000000" w:themeColor="text1"/>
                <w:sz w:val="18"/>
                <w:szCs w:val="18"/>
              </w:rPr>
              <w:t>000 eura</w:t>
            </w:r>
            <w:bookmarkEnd w:id="690"/>
          </w:p>
        </w:tc>
        <w:tc>
          <w:tcPr>
            <w:tcW w:w="617" w:type="pct"/>
            <w:vAlign w:val="bottom"/>
          </w:tcPr>
          <w:p w14:paraId="0D14E8C8" w14:textId="446ECAF5" w:rsidR="001A0FCB" w:rsidRPr="003D1614" w:rsidRDefault="001A0FCB" w:rsidP="001A0FCB">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91" w:name="_Toc67329739"/>
            <w:r w:rsidRPr="003D1614">
              <w:rPr>
                <w:rFonts w:ascii="Arial" w:eastAsia="Times New Roman" w:hAnsi="Arial" w:cs="Arial"/>
                <w:b/>
                <w:color w:val="000000" w:themeColor="text1"/>
                <w:sz w:val="18"/>
                <w:szCs w:val="18"/>
              </w:rPr>
              <w:t>000 eura</w:t>
            </w:r>
            <w:bookmarkEnd w:id="691"/>
          </w:p>
        </w:tc>
        <w:tc>
          <w:tcPr>
            <w:tcW w:w="617" w:type="pct"/>
            <w:vAlign w:val="bottom"/>
          </w:tcPr>
          <w:p w14:paraId="7632EE0F" w14:textId="20493802" w:rsidR="001A0FCB" w:rsidRPr="003D1614" w:rsidRDefault="001A0FCB" w:rsidP="001A0FCB">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92" w:name="_Toc67329740"/>
            <w:r w:rsidRPr="003D1614">
              <w:rPr>
                <w:rFonts w:ascii="Arial" w:eastAsia="Times New Roman" w:hAnsi="Arial" w:cs="Arial"/>
                <w:b/>
                <w:color w:val="000000" w:themeColor="text1"/>
                <w:sz w:val="18"/>
                <w:szCs w:val="18"/>
              </w:rPr>
              <w:t>000 eura</w:t>
            </w:r>
            <w:bookmarkEnd w:id="692"/>
          </w:p>
        </w:tc>
      </w:tr>
      <w:tr w:rsidR="001A0FCB" w:rsidRPr="003D1614" w14:paraId="50E53E54" w14:textId="77777777" w:rsidTr="007478FB">
        <w:trPr>
          <w:cantSplit/>
          <w:trHeight w:val="56"/>
          <w:tblHeader/>
        </w:trPr>
        <w:tc>
          <w:tcPr>
            <w:tcW w:w="2532" w:type="pct"/>
            <w:vAlign w:val="bottom"/>
          </w:tcPr>
          <w:p w14:paraId="2D29D480" w14:textId="77777777" w:rsidR="001A0FCB" w:rsidRPr="003D1614" w:rsidRDefault="001A0FCB" w:rsidP="001A0FCB">
            <w:pPr>
              <w:suppressAutoHyphens/>
              <w:autoSpaceDN w:val="0"/>
              <w:ind w:left="113" w:hanging="113"/>
              <w:jc w:val="right"/>
              <w:rPr>
                <w:rFonts w:ascii="Arial" w:eastAsia="Times New Roman" w:hAnsi="Arial" w:cs="Arial"/>
                <w:color w:val="000000" w:themeColor="text1"/>
                <w:sz w:val="18"/>
                <w:szCs w:val="18"/>
              </w:rPr>
            </w:pPr>
          </w:p>
        </w:tc>
        <w:tc>
          <w:tcPr>
            <w:tcW w:w="617" w:type="pct"/>
            <w:vAlign w:val="bottom"/>
          </w:tcPr>
          <w:p w14:paraId="38CA0FB6" w14:textId="77777777" w:rsidR="001A0FCB" w:rsidRPr="003D1614" w:rsidRDefault="001A0FCB" w:rsidP="001A0FCB">
            <w:pPr>
              <w:tabs>
                <w:tab w:val="right" w:pos="1202"/>
              </w:tabs>
              <w:suppressAutoHyphens/>
              <w:autoSpaceDN w:val="0"/>
              <w:jc w:val="right"/>
              <w:outlineLvl w:val="0"/>
              <w:rPr>
                <w:rFonts w:ascii="Arial" w:eastAsia="Times New Roman" w:hAnsi="Arial" w:cs="Arial"/>
                <w:b/>
                <w:color w:val="000000" w:themeColor="text1"/>
                <w:sz w:val="18"/>
                <w:szCs w:val="18"/>
              </w:rPr>
            </w:pPr>
          </w:p>
        </w:tc>
        <w:tc>
          <w:tcPr>
            <w:tcW w:w="617" w:type="pct"/>
            <w:vAlign w:val="bottom"/>
          </w:tcPr>
          <w:p w14:paraId="3AC99175" w14:textId="77777777" w:rsidR="001A0FCB" w:rsidRPr="003D1614" w:rsidRDefault="001A0FCB" w:rsidP="001A0FCB">
            <w:pPr>
              <w:tabs>
                <w:tab w:val="right" w:pos="1202"/>
              </w:tabs>
              <w:suppressAutoHyphens/>
              <w:autoSpaceDN w:val="0"/>
              <w:jc w:val="right"/>
              <w:outlineLvl w:val="0"/>
              <w:rPr>
                <w:rFonts w:ascii="Arial" w:eastAsia="Times New Roman" w:hAnsi="Arial" w:cs="Arial"/>
                <w:b/>
                <w:color w:val="000000" w:themeColor="text1"/>
                <w:sz w:val="18"/>
                <w:szCs w:val="18"/>
              </w:rPr>
            </w:pPr>
          </w:p>
        </w:tc>
        <w:tc>
          <w:tcPr>
            <w:tcW w:w="617" w:type="pct"/>
            <w:vAlign w:val="bottom"/>
          </w:tcPr>
          <w:p w14:paraId="61DE1543" w14:textId="77777777" w:rsidR="001A0FCB" w:rsidRPr="003D1614" w:rsidRDefault="001A0FCB" w:rsidP="001A0FCB">
            <w:pPr>
              <w:tabs>
                <w:tab w:val="right" w:pos="1202"/>
              </w:tabs>
              <w:suppressAutoHyphens/>
              <w:autoSpaceDN w:val="0"/>
              <w:jc w:val="right"/>
              <w:outlineLvl w:val="0"/>
              <w:rPr>
                <w:rFonts w:ascii="Arial" w:eastAsia="Times New Roman" w:hAnsi="Arial" w:cs="Arial"/>
                <w:b/>
                <w:color w:val="000000" w:themeColor="text1"/>
                <w:sz w:val="18"/>
                <w:szCs w:val="18"/>
              </w:rPr>
            </w:pPr>
          </w:p>
        </w:tc>
        <w:tc>
          <w:tcPr>
            <w:tcW w:w="617" w:type="pct"/>
            <w:vAlign w:val="bottom"/>
          </w:tcPr>
          <w:p w14:paraId="1FE28A6D" w14:textId="77777777" w:rsidR="001A0FCB" w:rsidRPr="003D1614" w:rsidRDefault="001A0FCB" w:rsidP="001A0FCB">
            <w:pPr>
              <w:tabs>
                <w:tab w:val="right" w:pos="1202"/>
              </w:tabs>
              <w:suppressAutoHyphens/>
              <w:autoSpaceDN w:val="0"/>
              <w:jc w:val="right"/>
              <w:outlineLvl w:val="0"/>
              <w:rPr>
                <w:rFonts w:ascii="Arial" w:eastAsia="Times New Roman" w:hAnsi="Arial" w:cs="Arial"/>
                <w:b/>
                <w:color w:val="000000" w:themeColor="text1"/>
                <w:sz w:val="18"/>
                <w:szCs w:val="18"/>
              </w:rPr>
            </w:pPr>
          </w:p>
        </w:tc>
      </w:tr>
      <w:tr w:rsidR="00577831" w:rsidRPr="003D1614" w14:paraId="59E794CC" w14:textId="77777777" w:rsidTr="007478FB">
        <w:trPr>
          <w:cantSplit/>
          <w:trHeight w:val="250"/>
          <w:tblHeader/>
        </w:trPr>
        <w:tc>
          <w:tcPr>
            <w:tcW w:w="2532" w:type="pct"/>
            <w:vAlign w:val="bottom"/>
          </w:tcPr>
          <w:p w14:paraId="05950857" w14:textId="77777777" w:rsidR="00577831" w:rsidRPr="003D1614" w:rsidRDefault="00577831" w:rsidP="00577831">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93" w:name="_Toc67329741"/>
            <w:r w:rsidRPr="003D1614">
              <w:rPr>
                <w:rFonts w:ascii="Arial" w:eastAsia="Times New Roman" w:hAnsi="Arial" w:cs="Arial"/>
                <w:color w:val="000000" w:themeColor="text1"/>
                <w:sz w:val="18"/>
                <w:szCs w:val="18"/>
              </w:rPr>
              <w:t>Financijske djelatnosti i djelatnosti osiguranja</w:t>
            </w:r>
            <w:bookmarkEnd w:id="693"/>
          </w:p>
        </w:tc>
        <w:tc>
          <w:tcPr>
            <w:tcW w:w="617" w:type="pct"/>
            <w:tcBorders>
              <w:top w:val="nil"/>
              <w:left w:val="nil"/>
              <w:bottom w:val="nil"/>
              <w:right w:val="nil"/>
            </w:tcBorders>
            <w:shd w:val="clear" w:color="auto" w:fill="auto"/>
            <w:vAlign w:val="bottom"/>
          </w:tcPr>
          <w:p w14:paraId="416DB3B1" w14:textId="27EF8CCC" w:rsidR="00577831" w:rsidRPr="003D1614" w:rsidRDefault="00577831" w:rsidP="00577831">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1.551.019</w:t>
            </w:r>
          </w:p>
        </w:tc>
        <w:tc>
          <w:tcPr>
            <w:tcW w:w="617" w:type="pct"/>
            <w:tcBorders>
              <w:top w:val="nil"/>
              <w:left w:val="nil"/>
              <w:bottom w:val="nil"/>
              <w:right w:val="nil"/>
            </w:tcBorders>
            <w:shd w:val="clear" w:color="auto" w:fill="auto"/>
            <w:vAlign w:val="bottom"/>
          </w:tcPr>
          <w:p w14:paraId="28936F15" w14:textId="2BF92329" w:rsidR="00577831" w:rsidRPr="003D1614" w:rsidRDefault="00577831" w:rsidP="00577831">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w:t>
            </w:r>
          </w:p>
        </w:tc>
        <w:tc>
          <w:tcPr>
            <w:tcW w:w="617" w:type="pct"/>
            <w:tcBorders>
              <w:top w:val="nil"/>
              <w:left w:val="nil"/>
              <w:bottom w:val="nil"/>
              <w:right w:val="nil"/>
            </w:tcBorders>
            <w:shd w:val="clear" w:color="auto" w:fill="auto"/>
            <w:vAlign w:val="bottom"/>
          </w:tcPr>
          <w:p w14:paraId="3B19540B" w14:textId="359F9F9C" w:rsidR="00577831" w:rsidRPr="00617755" w:rsidRDefault="00577831" w:rsidP="00577831">
            <w:pPr>
              <w:tabs>
                <w:tab w:val="right" w:pos="1202"/>
              </w:tabs>
              <w:suppressAutoHyphens/>
              <w:autoSpaceDN w:val="0"/>
              <w:spacing w:line="301" w:lineRule="exact"/>
              <w:jc w:val="right"/>
              <w:outlineLvl w:val="0"/>
              <w:rPr>
                <w:rFonts w:ascii="Arial" w:eastAsia="Times New Roman" w:hAnsi="Arial" w:cs="Arial"/>
                <w:sz w:val="18"/>
                <w:szCs w:val="18"/>
              </w:rPr>
            </w:pPr>
            <w:r w:rsidRPr="00AD7F10">
              <w:rPr>
                <w:rFonts w:ascii="Arial" w:hAnsi="Arial" w:cs="Arial"/>
                <w:sz w:val="18"/>
                <w:szCs w:val="18"/>
              </w:rPr>
              <w:t>1.564.952</w:t>
            </w:r>
          </w:p>
        </w:tc>
        <w:tc>
          <w:tcPr>
            <w:tcW w:w="617" w:type="pct"/>
            <w:tcBorders>
              <w:top w:val="nil"/>
              <w:left w:val="nil"/>
              <w:bottom w:val="nil"/>
              <w:right w:val="nil"/>
            </w:tcBorders>
            <w:shd w:val="clear" w:color="auto" w:fill="auto"/>
            <w:vAlign w:val="bottom"/>
          </w:tcPr>
          <w:p w14:paraId="55B9F48C" w14:textId="47BAFBA3" w:rsidR="00577831" w:rsidRPr="00617755" w:rsidRDefault="00577831" w:rsidP="00577831">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w:t>
            </w:r>
          </w:p>
        </w:tc>
      </w:tr>
      <w:tr w:rsidR="00577831" w:rsidRPr="003D1614" w14:paraId="29E3BBA6" w14:textId="77777777" w:rsidTr="007478FB">
        <w:trPr>
          <w:cantSplit/>
          <w:trHeight w:val="250"/>
          <w:tblHeader/>
        </w:trPr>
        <w:tc>
          <w:tcPr>
            <w:tcW w:w="2532" w:type="pct"/>
            <w:vAlign w:val="bottom"/>
          </w:tcPr>
          <w:p w14:paraId="24442C34" w14:textId="77777777" w:rsidR="00577831" w:rsidRPr="003D1614" w:rsidRDefault="00577831" w:rsidP="00577831">
            <w:pPr>
              <w:tabs>
                <w:tab w:val="right" w:pos="1202"/>
              </w:tabs>
              <w:suppressAutoHyphens/>
              <w:autoSpaceDN w:val="0"/>
              <w:outlineLvl w:val="0"/>
              <w:rPr>
                <w:rFonts w:ascii="Arial" w:eastAsia="Times New Roman" w:hAnsi="Arial" w:cs="Arial"/>
                <w:color w:val="000000" w:themeColor="text1"/>
                <w:sz w:val="18"/>
                <w:szCs w:val="18"/>
              </w:rPr>
            </w:pPr>
            <w:bookmarkStart w:id="694" w:name="_Toc67329746"/>
            <w:r w:rsidRPr="003D1614">
              <w:rPr>
                <w:rFonts w:ascii="Arial" w:eastAsia="Calibri" w:hAnsi="Arial" w:cs="Arial"/>
                <w:color w:val="000000" w:themeColor="text1"/>
                <w:sz w:val="18"/>
                <w:szCs w:val="18"/>
              </w:rPr>
              <w:t>Vodoopskrba, opskrba električnom energijom i ostala infrastruktura</w:t>
            </w:r>
            <w:bookmarkEnd w:id="694"/>
          </w:p>
        </w:tc>
        <w:tc>
          <w:tcPr>
            <w:tcW w:w="617" w:type="pct"/>
            <w:tcBorders>
              <w:top w:val="nil"/>
              <w:left w:val="nil"/>
              <w:bottom w:val="nil"/>
              <w:right w:val="nil"/>
            </w:tcBorders>
            <w:shd w:val="clear" w:color="auto" w:fill="auto"/>
            <w:vAlign w:val="bottom"/>
          </w:tcPr>
          <w:p w14:paraId="6660956A" w14:textId="0FC6A674" w:rsidR="00577831" w:rsidRPr="003D1614" w:rsidRDefault="00577831" w:rsidP="00577831">
            <w:pPr>
              <w:tabs>
                <w:tab w:val="right" w:pos="1202"/>
              </w:tabs>
              <w:suppressAutoHyphens/>
              <w:autoSpaceDN w:val="0"/>
              <w:spacing w:line="301" w:lineRule="exact"/>
              <w:jc w:val="right"/>
              <w:outlineLvl w:val="0"/>
              <w:rPr>
                <w:rFonts w:ascii="Arial" w:eastAsia="Times New Roman" w:hAnsi="Arial" w:cs="Arial"/>
                <w:sz w:val="18"/>
                <w:szCs w:val="18"/>
              </w:rPr>
            </w:pPr>
            <w:r w:rsidRPr="00871171">
              <w:rPr>
                <w:rFonts w:ascii="Arial" w:eastAsia="Times New Roman" w:hAnsi="Arial" w:cs="Arial"/>
                <w:sz w:val="18"/>
                <w:szCs w:val="18"/>
              </w:rPr>
              <w:t>453.619</w:t>
            </w:r>
          </w:p>
        </w:tc>
        <w:tc>
          <w:tcPr>
            <w:tcW w:w="617" w:type="pct"/>
            <w:tcBorders>
              <w:top w:val="nil"/>
              <w:left w:val="nil"/>
              <w:bottom w:val="nil"/>
              <w:right w:val="nil"/>
            </w:tcBorders>
            <w:shd w:val="clear" w:color="auto" w:fill="auto"/>
            <w:vAlign w:val="bottom"/>
          </w:tcPr>
          <w:p w14:paraId="2250EB23" w14:textId="52EC595A" w:rsidR="00577831" w:rsidRPr="003D1614" w:rsidRDefault="00577831" w:rsidP="00577831">
            <w:pPr>
              <w:tabs>
                <w:tab w:val="right" w:pos="1202"/>
              </w:tabs>
              <w:suppressAutoHyphens/>
              <w:autoSpaceDN w:val="0"/>
              <w:spacing w:line="301" w:lineRule="exact"/>
              <w:jc w:val="right"/>
              <w:outlineLvl w:val="0"/>
              <w:rPr>
                <w:rFonts w:ascii="Arial" w:eastAsia="Times New Roman" w:hAnsi="Arial" w:cs="Arial"/>
                <w:sz w:val="18"/>
                <w:szCs w:val="18"/>
              </w:rPr>
            </w:pPr>
            <w:r w:rsidRPr="00871171">
              <w:rPr>
                <w:rFonts w:ascii="Arial" w:eastAsia="Times New Roman" w:hAnsi="Arial" w:cs="Arial"/>
                <w:sz w:val="18"/>
                <w:szCs w:val="18"/>
              </w:rPr>
              <w:t>328.427</w:t>
            </w:r>
          </w:p>
        </w:tc>
        <w:tc>
          <w:tcPr>
            <w:tcW w:w="617" w:type="pct"/>
            <w:tcBorders>
              <w:top w:val="nil"/>
              <w:left w:val="nil"/>
              <w:bottom w:val="nil"/>
              <w:right w:val="nil"/>
            </w:tcBorders>
            <w:shd w:val="clear" w:color="auto" w:fill="auto"/>
            <w:vAlign w:val="bottom"/>
          </w:tcPr>
          <w:p w14:paraId="15595936" w14:textId="6B547F7E" w:rsidR="00577831" w:rsidRPr="00617755" w:rsidRDefault="00577831" w:rsidP="00577831">
            <w:pPr>
              <w:tabs>
                <w:tab w:val="right" w:pos="1202"/>
              </w:tabs>
              <w:suppressAutoHyphens/>
              <w:autoSpaceDN w:val="0"/>
              <w:spacing w:line="301" w:lineRule="exact"/>
              <w:jc w:val="right"/>
              <w:outlineLvl w:val="0"/>
              <w:rPr>
                <w:rFonts w:ascii="Arial" w:eastAsia="Times New Roman" w:hAnsi="Arial" w:cs="Arial"/>
                <w:sz w:val="18"/>
                <w:szCs w:val="18"/>
              </w:rPr>
            </w:pPr>
            <w:r w:rsidRPr="00AD7F10">
              <w:rPr>
                <w:rFonts w:ascii="Arial" w:hAnsi="Arial" w:cs="Arial"/>
                <w:sz w:val="18"/>
                <w:szCs w:val="18"/>
              </w:rPr>
              <w:t>336.728</w:t>
            </w:r>
          </w:p>
        </w:tc>
        <w:tc>
          <w:tcPr>
            <w:tcW w:w="617" w:type="pct"/>
            <w:tcBorders>
              <w:top w:val="nil"/>
              <w:left w:val="nil"/>
              <w:bottom w:val="nil"/>
              <w:right w:val="nil"/>
            </w:tcBorders>
            <w:shd w:val="clear" w:color="auto" w:fill="auto"/>
            <w:vAlign w:val="bottom"/>
          </w:tcPr>
          <w:p w14:paraId="1FC028A3" w14:textId="23ABF877" w:rsidR="00577831" w:rsidRPr="00617755" w:rsidRDefault="00577831" w:rsidP="00577831">
            <w:pPr>
              <w:tabs>
                <w:tab w:val="right" w:pos="1202"/>
              </w:tabs>
              <w:suppressAutoHyphens/>
              <w:autoSpaceDN w:val="0"/>
              <w:spacing w:line="301" w:lineRule="exact"/>
              <w:jc w:val="right"/>
              <w:outlineLvl w:val="0"/>
              <w:rPr>
                <w:rFonts w:ascii="Arial" w:eastAsia="Times New Roman" w:hAnsi="Arial" w:cs="Arial"/>
                <w:sz w:val="18"/>
                <w:szCs w:val="18"/>
              </w:rPr>
            </w:pPr>
            <w:r w:rsidRPr="00AD7F10">
              <w:rPr>
                <w:rFonts w:ascii="Arial" w:hAnsi="Arial" w:cs="Arial"/>
                <w:sz w:val="18"/>
                <w:szCs w:val="18"/>
              </w:rPr>
              <w:t>178.496</w:t>
            </w:r>
          </w:p>
        </w:tc>
      </w:tr>
      <w:tr w:rsidR="00577831" w:rsidRPr="003D1614" w14:paraId="0F9538B0" w14:textId="77777777" w:rsidTr="007478FB">
        <w:trPr>
          <w:cantSplit/>
          <w:trHeight w:val="250"/>
          <w:tblHeader/>
        </w:trPr>
        <w:tc>
          <w:tcPr>
            <w:tcW w:w="2532" w:type="pct"/>
            <w:vAlign w:val="bottom"/>
          </w:tcPr>
          <w:p w14:paraId="20A29F41" w14:textId="77777777" w:rsidR="00577831" w:rsidRPr="003D1614" w:rsidRDefault="00577831" w:rsidP="00577831">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95" w:name="_Toc67329751"/>
            <w:r w:rsidRPr="003D1614">
              <w:rPr>
                <w:rFonts w:ascii="Arial" w:eastAsia="Times New Roman" w:hAnsi="Arial" w:cs="Arial"/>
                <w:color w:val="000000" w:themeColor="text1"/>
                <w:sz w:val="18"/>
                <w:szCs w:val="18"/>
              </w:rPr>
              <w:t>Turizam</w:t>
            </w:r>
            <w:bookmarkEnd w:id="695"/>
          </w:p>
        </w:tc>
        <w:tc>
          <w:tcPr>
            <w:tcW w:w="617" w:type="pct"/>
            <w:tcBorders>
              <w:top w:val="nil"/>
              <w:left w:val="nil"/>
              <w:bottom w:val="nil"/>
              <w:right w:val="nil"/>
            </w:tcBorders>
            <w:shd w:val="clear" w:color="auto" w:fill="auto"/>
            <w:vAlign w:val="bottom"/>
          </w:tcPr>
          <w:p w14:paraId="19C45330" w14:textId="502CA7CA" w:rsidR="00577831" w:rsidRPr="003D1614" w:rsidRDefault="00577831" w:rsidP="00577831">
            <w:pPr>
              <w:tabs>
                <w:tab w:val="right" w:pos="1202"/>
              </w:tabs>
              <w:suppressAutoHyphens/>
              <w:autoSpaceDN w:val="0"/>
              <w:spacing w:line="301" w:lineRule="exact"/>
              <w:jc w:val="right"/>
              <w:outlineLvl w:val="0"/>
              <w:rPr>
                <w:rFonts w:ascii="Arial" w:eastAsia="Times New Roman" w:hAnsi="Arial" w:cs="Arial"/>
                <w:sz w:val="18"/>
                <w:szCs w:val="18"/>
              </w:rPr>
            </w:pPr>
            <w:r w:rsidRPr="00871171">
              <w:rPr>
                <w:rFonts w:ascii="Arial" w:eastAsia="Times New Roman" w:hAnsi="Arial" w:cs="Arial"/>
                <w:sz w:val="18"/>
                <w:szCs w:val="18"/>
              </w:rPr>
              <w:t>393.651</w:t>
            </w:r>
          </w:p>
        </w:tc>
        <w:tc>
          <w:tcPr>
            <w:tcW w:w="617" w:type="pct"/>
            <w:tcBorders>
              <w:top w:val="nil"/>
              <w:left w:val="nil"/>
              <w:bottom w:val="nil"/>
              <w:right w:val="nil"/>
            </w:tcBorders>
            <w:shd w:val="clear" w:color="auto" w:fill="auto"/>
            <w:vAlign w:val="bottom"/>
          </w:tcPr>
          <w:p w14:paraId="1BB8125C" w14:textId="5C2DBEE8" w:rsidR="00577831" w:rsidRPr="003D1614" w:rsidRDefault="00577831" w:rsidP="00577831">
            <w:pPr>
              <w:tabs>
                <w:tab w:val="right" w:pos="1202"/>
              </w:tabs>
              <w:suppressAutoHyphens/>
              <w:autoSpaceDN w:val="0"/>
              <w:spacing w:line="301" w:lineRule="exact"/>
              <w:jc w:val="right"/>
              <w:outlineLvl w:val="0"/>
              <w:rPr>
                <w:rFonts w:ascii="Arial" w:eastAsia="Times New Roman" w:hAnsi="Arial" w:cs="Arial"/>
                <w:sz w:val="18"/>
                <w:szCs w:val="18"/>
              </w:rPr>
            </w:pPr>
            <w:r w:rsidRPr="00871171">
              <w:rPr>
                <w:rFonts w:ascii="Arial" w:eastAsia="Times New Roman" w:hAnsi="Arial" w:cs="Arial"/>
                <w:sz w:val="18"/>
                <w:szCs w:val="18"/>
              </w:rPr>
              <w:t>13.412</w:t>
            </w:r>
          </w:p>
        </w:tc>
        <w:tc>
          <w:tcPr>
            <w:tcW w:w="617" w:type="pct"/>
            <w:tcBorders>
              <w:top w:val="nil"/>
              <w:left w:val="nil"/>
              <w:bottom w:val="nil"/>
              <w:right w:val="nil"/>
            </w:tcBorders>
            <w:shd w:val="clear" w:color="auto" w:fill="auto"/>
            <w:vAlign w:val="bottom"/>
          </w:tcPr>
          <w:p w14:paraId="7FA5168E" w14:textId="1767B218" w:rsidR="00577831" w:rsidRPr="00617755" w:rsidRDefault="00577831" w:rsidP="00577831">
            <w:pPr>
              <w:tabs>
                <w:tab w:val="right" w:pos="1202"/>
              </w:tabs>
              <w:suppressAutoHyphens/>
              <w:autoSpaceDN w:val="0"/>
              <w:spacing w:line="301" w:lineRule="exact"/>
              <w:jc w:val="right"/>
              <w:outlineLvl w:val="0"/>
              <w:rPr>
                <w:rFonts w:ascii="Arial" w:eastAsia="Times New Roman" w:hAnsi="Arial" w:cs="Arial"/>
                <w:sz w:val="18"/>
                <w:szCs w:val="18"/>
              </w:rPr>
            </w:pPr>
            <w:r w:rsidRPr="00AD7F10">
              <w:rPr>
                <w:rFonts w:ascii="Arial" w:hAnsi="Arial" w:cs="Arial"/>
                <w:sz w:val="18"/>
                <w:szCs w:val="18"/>
              </w:rPr>
              <w:t>421.616</w:t>
            </w:r>
          </w:p>
        </w:tc>
        <w:tc>
          <w:tcPr>
            <w:tcW w:w="617" w:type="pct"/>
            <w:tcBorders>
              <w:top w:val="nil"/>
              <w:left w:val="nil"/>
              <w:bottom w:val="nil"/>
              <w:right w:val="nil"/>
            </w:tcBorders>
            <w:shd w:val="clear" w:color="auto" w:fill="auto"/>
            <w:vAlign w:val="bottom"/>
          </w:tcPr>
          <w:p w14:paraId="7B5F3C32" w14:textId="0027F36D" w:rsidR="00577831" w:rsidRPr="00617755" w:rsidRDefault="00577831" w:rsidP="00577831">
            <w:pPr>
              <w:tabs>
                <w:tab w:val="right" w:pos="1202"/>
              </w:tabs>
              <w:suppressAutoHyphens/>
              <w:autoSpaceDN w:val="0"/>
              <w:spacing w:line="301" w:lineRule="exact"/>
              <w:jc w:val="right"/>
              <w:outlineLvl w:val="0"/>
              <w:rPr>
                <w:rFonts w:ascii="Arial" w:eastAsia="Times New Roman" w:hAnsi="Arial" w:cs="Arial"/>
                <w:sz w:val="18"/>
                <w:szCs w:val="18"/>
              </w:rPr>
            </w:pPr>
            <w:r w:rsidRPr="00AD7F10">
              <w:rPr>
                <w:rFonts w:ascii="Arial" w:hAnsi="Arial" w:cs="Arial"/>
                <w:sz w:val="18"/>
                <w:szCs w:val="18"/>
              </w:rPr>
              <w:t>15.995</w:t>
            </w:r>
          </w:p>
        </w:tc>
      </w:tr>
      <w:tr w:rsidR="00577831" w:rsidRPr="003D1614" w14:paraId="483533C5" w14:textId="77777777" w:rsidTr="007478FB">
        <w:trPr>
          <w:cantSplit/>
          <w:trHeight w:val="250"/>
          <w:tblHeader/>
        </w:trPr>
        <w:tc>
          <w:tcPr>
            <w:tcW w:w="2532" w:type="pct"/>
            <w:vAlign w:val="bottom"/>
          </w:tcPr>
          <w:p w14:paraId="6AAC686A" w14:textId="77777777" w:rsidR="00577831" w:rsidRPr="003D1614" w:rsidRDefault="00577831" w:rsidP="00577831">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96" w:name="_Toc67329756"/>
            <w:r w:rsidRPr="003D1614">
              <w:rPr>
                <w:rFonts w:ascii="Arial" w:eastAsia="Times New Roman" w:hAnsi="Arial" w:cs="Arial"/>
                <w:color w:val="000000" w:themeColor="text1"/>
                <w:sz w:val="18"/>
                <w:szCs w:val="18"/>
              </w:rPr>
              <w:t>Prijevoz, skladištenje i veze</w:t>
            </w:r>
            <w:bookmarkEnd w:id="696"/>
          </w:p>
        </w:tc>
        <w:tc>
          <w:tcPr>
            <w:tcW w:w="617" w:type="pct"/>
            <w:tcBorders>
              <w:top w:val="nil"/>
              <w:left w:val="nil"/>
              <w:bottom w:val="nil"/>
              <w:right w:val="nil"/>
            </w:tcBorders>
            <w:shd w:val="clear" w:color="auto" w:fill="auto"/>
            <w:vAlign w:val="bottom"/>
          </w:tcPr>
          <w:p w14:paraId="732E985A" w14:textId="6201B1E8" w:rsidR="00577831" w:rsidRPr="003D1614" w:rsidRDefault="00577831" w:rsidP="00577831">
            <w:pPr>
              <w:tabs>
                <w:tab w:val="right" w:pos="1202"/>
              </w:tabs>
              <w:suppressAutoHyphens/>
              <w:autoSpaceDN w:val="0"/>
              <w:spacing w:line="301" w:lineRule="exact"/>
              <w:jc w:val="right"/>
              <w:outlineLvl w:val="0"/>
              <w:rPr>
                <w:rFonts w:ascii="Arial" w:eastAsia="Times New Roman" w:hAnsi="Arial" w:cs="Arial"/>
                <w:sz w:val="18"/>
                <w:szCs w:val="18"/>
              </w:rPr>
            </w:pPr>
            <w:r w:rsidRPr="00871171">
              <w:rPr>
                <w:rFonts w:ascii="Arial" w:eastAsia="Times New Roman" w:hAnsi="Arial" w:cs="Arial"/>
                <w:sz w:val="18"/>
                <w:szCs w:val="18"/>
              </w:rPr>
              <w:t>338.113</w:t>
            </w:r>
          </w:p>
        </w:tc>
        <w:tc>
          <w:tcPr>
            <w:tcW w:w="617" w:type="pct"/>
            <w:tcBorders>
              <w:top w:val="nil"/>
              <w:left w:val="nil"/>
              <w:bottom w:val="nil"/>
              <w:right w:val="nil"/>
            </w:tcBorders>
            <w:shd w:val="clear" w:color="auto" w:fill="auto"/>
            <w:vAlign w:val="bottom"/>
          </w:tcPr>
          <w:p w14:paraId="5D979979" w14:textId="7612F322" w:rsidR="00577831" w:rsidRPr="003D1614" w:rsidRDefault="00577831" w:rsidP="00577831">
            <w:pPr>
              <w:tabs>
                <w:tab w:val="right" w:pos="1202"/>
              </w:tabs>
              <w:suppressAutoHyphens/>
              <w:autoSpaceDN w:val="0"/>
              <w:spacing w:line="301" w:lineRule="exact"/>
              <w:jc w:val="right"/>
              <w:outlineLvl w:val="0"/>
              <w:rPr>
                <w:rFonts w:ascii="Arial" w:eastAsia="Times New Roman" w:hAnsi="Arial" w:cs="Arial"/>
                <w:sz w:val="18"/>
                <w:szCs w:val="18"/>
              </w:rPr>
            </w:pPr>
            <w:r w:rsidRPr="00871171">
              <w:rPr>
                <w:rFonts w:ascii="Arial" w:eastAsia="Times New Roman" w:hAnsi="Arial" w:cs="Arial"/>
                <w:sz w:val="18"/>
                <w:szCs w:val="18"/>
              </w:rPr>
              <w:t>15.839</w:t>
            </w:r>
          </w:p>
        </w:tc>
        <w:tc>
          <w:tcPr>
            <w:tcW w:w="617" w:type="pct"/>
            <w:tcBorders>
              <w:top w:val="nil"/>
              <w:left w:val="nil"/>
              <w:bottom w:val="nil"/>
              <w:right w:val="nil"/>
            </w:tcBorders>
            <w:shd w:val="clear" w:color="auto" w:fill="auto"/>
            <w:vAlign w:val="bottom"/>
          </w:tcPr>
          <w:p w14:paraId="1BE79CA3" w14:textId="17B252A0" w:rsidR="00577831" w:rsidRPr="00617755" w:rsidRDefault="00577831" w:rsidP="00577831">
            <w:pPr>
              <w:tabs>
                <w:tab w:val="right" w:pos="1202"/>
              </w:tabs>
              <w:suppressAutoHyphens/>
              <w:autoSpaceDN w:val="0"/>
              <w:spacing w:line="301" w:lineRule="exact"/>
              <w:jc w:val="right"/>
              <w:outlineLvl w:val="0"/>
              <w:rPr>
                <w:rFonts w:ascii="Arial" w:eastAsia="Times New Roman" w:hAnsi="Arial" w:cs="Arial"/>
                <w:sz w:val="18"/>
                <w:szCs w:val="18"/>
              </w:rPr>
            </w:pPr>
            <w:r w:rsidRPr="00AD7F10">
              <w:rPr>
                <w:rFonts w:ascii="Arial" w:hAnsi="Arial" w:cs="Arial"/>
                <w:sz w:val="18"/>
                <w:szCs w:val="18"/>
              </w:rPr>
              <w:t>386.609</w:t>
            </w:r>
          </w:p>
        </w:tc>
        <w:tc>
          <w:tcPr>
            <w:tcW w:w="617" w:type="pct"/>
            <w:tcBorders>
              <w:top w:val="nil"/>
              <w:left w:val="nil"/>
              <w:bottom w:val="nil"/>
              <w:right w:val="nil"/>
            </w:tcBorders>
            <w:shd w:val="clear" w:color="auto" w:fill="auto"/>
            <w:vAlign w:val="bottom"/>
          </w:tcPr>
          <w:p w14:paraId="1F70DF5A" w14:textId="2F18762E" w:rsidR="00577831" w:rsidRPr="00617755" w:rsidRDefault="00577831" w:rsidP="00577831">
            <w:pPr>
              <w:tabs>
                <w:tab w:val="right" w:pos="1202"/>
              </w:tabs>
              <w:suppressAutoHyphens/>
              <w:autoSpaceDN w:val="0"/>
              <w:spacing w:line="301" w:lineRule="exact"/>
              <w:jc w:val="right"/>
              <w:outlineLvl w:val="0"/>
              <w:rPr>
                <w:rFonts w:ascii="Arial" w:eastAsia="Times New Roman" w:hAnsi="Arial" w:cs="Arial"/>
                <w:sz w:val="18"/>
                <w:szCs w:val="18"/>
              </w:rPr>
            </w:pPr>
            <w:r w:rsidRPr="00AD7F10">
              <w:rPr>
                <w:rFonts w:ascii="Arial" w:hAnsi="Arial" w:cs="Arial"/>
                <w:sz w:val="18"/>
                <w:szCs w:val="18"/>
              </w:rPr>
              <w:t>62.260</w:t>
            </w:r>
          </w:p>
        </w:tc>
      </w:tr>
      <w:tr w:rsidR="00577831" w:rsidRPr="003D1614" w14:paraId="711AC8C7" w14:textId="77777777" w:rsidTr="007478FB">
        <w:trPr>
          <w:cantSplit/>
          <w:trHeight w:val="250"/>
          <w:tblHeader/>
        </w:trPr>
        <w:tc>
          <w:tcPr>
            <w:tcW w:w="2532" w:type="pct"/>
            <w:vAlign w:val="bottom"/>
          </w:tcPr>
          <w:p w14:paraId="3C0FEF9F" w14:textId="77777777" w:rsidR="00577831" w:rsidRPr="003D1614" w:rsidDel="00FF5490" w:rsidRDefault="00577831" w:rsidP="00577831">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97" w:name="_Toc67329761"/>
            <w:r w:rsidRPr="003D1614">
              <w:rPr>
                <w:rFonts w:ascii="Arial" w:eastAsia="Times New Roman" w:hAnsi="Arial" w:cs="Arial"/>
                <w:color w:val="000000" w:themeColor="text1"/>
                <w:sz w:val="18"/>
                <w:szCs w:val="18"/>
              </w:rPr>
              <w:t>Brodogradnja</w:t>
            </w:r>
            <w:bookmarkEnd w:id="697"/>
          </w:p>
        </w:tc>
        <w:tc>
          <w:tcPr>
            <w:tcW w:w="617" w:type="pct"/>
            <w:tcBorders>
              <w:top w:val="nil"/>
              <w:left w:val="nil"/>
              <w:bottom w:val="nil"/>
              <w:right w:val="nil"/>
            </w:tcBorders>
            <w:shd w:val="clear" w:color="auto" w:fill="auto"/>
            <w:vAlign w:val="bottom"/>
          </w:tcPr>
          <w:p w14:paraId="4A68858C" w14:textId="50066818" w:rsidR="00577831" w:rsidRPr="003D1614" w:rsidRDefault="00577831" w:rsidP="00577831">
            <w:pPr>
              <w:tabs>
                <w:tab w:val="right" w:pos="1202"/>
              </w:tabs>
              <w:suppressAutoHyphens/>
              <w:autoSpaceDN w:val="0"/>
              <w:spacing w:line="301" w:lineRule="exact"/>
              <w:jc w:val="right"/>
              <w:outlineLvl w:val="0"/>
              <w:rPr>
                <w:rFonts w:ascii="Arial" w:eastAsia="Times New Roman" w:hAnsi="Arial" w:cs="Arial"/>
                <w:sz w:val="18"/>
                <w:szCs w:val="18"/>
              </w:rPr>
            </w:pPr>
            <w:r w:rsidRPr="00871171">
              <w:rPr>
                <w:rFonts w:ascii="Arial" w:eastAsia="Times New Roman" w:hAnsi="Arial" w:cs="Arial"/>
                <w:sz w:val="18"/>
                <w:szCs w:val="18"/>
              </w:rPr>
              <w:t>162.159</w:t>
            </w:r>
          </w:p>
        </w:tc>
        <w:tc>
          <w:tcPr>
            <w:tcW w:w="617" w:type="pct"/>
            <w:tcBorders>
              <w:top w:val="nil"/>
              <w:left w:val="nil"/>
              <w:bottom w:val="nil"/>
              <w:right w:val="nil"/>
            </w:tcBorders>
            <w:shd w:val="clear" w:color="auto" w:fill="auto"/>
            <w:vAlign w:val="bottom"/>
          </w:tcPr>
          <w:p w14:paraId="26D81D15" w14:textId="20D44D97" w:rsidR="00577831" w:rsidRPr="003D1614" w:rsidRDefault="00577831" w:rsidP="00577831">
            <w:pPr>
              <w:tabs>
                <w:tab w:val="right" w:pos="1202"/>
              </w:tabs>
              <w:suppressAutoHyphens/>
              <w:autoSpaceDN w:val="0"/>
              <w:spacing w:line="301" w:lineRule="exact"/>
              <w:jc w:val="right"/>
              <w:outlineLvl w:val="0"/>
              <w:rPr>
                <w:rFonts w:ascii="Arial" w:eastAsia="Times New Roman" w:hAnsi="Arial" w:cs="Arial"/>
                <w:sz w:val="18"/>
                <w:szCs w:val="18"/>
              </w:rPr>
            </w:pPr>
            <w:r w:rsidRPr="00871171">
              <w:rPr>
                <w:rFonts w:ascii="Arial" w:eastAsia="Times New Roman" w:hAnsi="Arial" w:cs="Arial"/>
                <w:sz w:val="18"/>
                <w:szCs w:val="18"/>
              </w:rPr>
              <w:t>10.176</w:t>
            </w:r>
          </w:p>
        </w:tc>
        <w:tc>
          <w:tcPr>
            <w:tcW w:w="617" w:type="pct"/>
            <w:tcBorders>
              <w:top w:val="nil"/>
              <w:left w:val="nil"/>
              <w:bottom w:val="nil"/>
              <w:right w:val="nil"/>
            </w:tcBorders>
            <w:shd w:val="clear" w:color="auto" w:fill="auto"/>
            <w:vAlign w:val="bottom"/>
          </w:tcPr>
          <w:p w14:paraId="4BE08492" w14:textId="587A9171" w:rsidR="00577831" w:rsidRPr="00617755" w:rsidRDefault="00577831" w:rsidP="00577831">
            <w:pPr>
              <w:tabs>
                <w:tab w:val="right" w:pos="1202"/>
              </w:tabs>
              <w:suppressAutoHyphens/>
              <w:autoSpaceDN w:val="0"/>
              <w:spacing w:line="301" w:lineRule="exact"/>
              <w:jc w:val="right"/>
              <w:outlineLvl w:val="0"/>
              <w:rPr>
                <w:rFonts w:ascii="Arial" w:eastAsia="Times New Roman" w:hAnsi="Arial" w:cs="Arial"/>
                <w:sz w:val="18"/>
                <w:szCs w:val="18"/>
              </w:rPr>
            </w:pPr>
            <w:r w:rsidRPr="00AD7F10">
              <w:rPr>
                <w:rFonts w:ascii="Arial" w:hAnsi="Arial" w:cs="Arial"/>
                <w:sz w:val="18"/>
                <w:szCs w:val="18"/>
              </w:rPr>
              <w:t>162.243</w:t>
            </w:r>
          </w:p>
        </w:tc>
        <w:tc>
          <w:tcPr>
            <w:tcW w:w="617" w:type="pct"/>
            <w:tcBorders>
              <w:top w:val="nil"/>
              <w:left w:val="nil"/>
              <w:bottom w:val="nil"/>
              <w:right w:val="nil"/>
            </w:tcBorders>
            <w:shd w:val="clear" w:color="auto" w:fill="auto"/>
            <w:vAlign w:val="bottom"/>
          </w:tcPr>
          <w:p w14:paraId="7F4ABBFD" w14:textId="712A7A15" w:rsidR="00577831" w:rsidRPr="00617755" w:rsidRDefault="00577831" w:rsidP="00577831">
            <w:pPr>
              <w:tabs>
                <w:tab w:val="right" w:pos="1202"/>
              </w:tabs>
              <w:suppressAutoHyphens/>
              <w:autoSpaceDN w:val="0"/>
              <w:spacing w:line="301" w:lineRule="exact"/>
              <w:jc w:val="right"/>
              <w:outlineLvl w:val="0"/>
              <w:rPr>
                <w:rFonts w:ascii="Arial" w:eastAsia="Times New Roman" w:hAnsi="Arial" w:cs="Arial"/>
                <w:sz w:val="18"/>
                <w:szCs w:val="18"/>
              </w:rPr>
            </w:pPr>
            <w:r w:rsidRPr="00AD7F10">
              <w:rPr>
                <w:rFonts w:ascii="Arial" w:hAnsi="Arial" w:cs="Arial"/>
                <w:sz w:val="18"/>
                <w:szCs w:val="18"/>
              </w:rPr>
              <w:t>17.674</w:t>
            </w:r>
          </w:p>
        </w:tc>
      </w:tr>
      <w:tr w:rsidR="00577831" w:rsidRPr="003D1614" w14:paraId="6F4924A0" w14:textId="77777777" w:rsidTr="007478FB">
        <w:trPr>
          <w:cantSplit/>
          <w:trHeight w:val="250"/>
          <w:tblHeader/>
        </w:trPr>
        <w:tc>
          <w:tcPr>
            <w:tcW w:w="2532" w:type="pct"/>
            <w:vAlign w:val="bottom"/>
          </w:tcPr>
          <w:p w14:paraId="2B955B7A" w14:textId="77777777" w:rsidR="00577831" w:rsidRPr="003D1614" w:rsidDel="00FF5490" w:rsidRDefault="00577831" w:rsidP="00577831">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98" w:name="_Toc67329766"/>
            <w:r w:rsidRPr="003D1614">
              <w:rPr>
                <w:rFonts w:ascii="Arial" w:eastAsia="Times New Roman" w:hAnsi="Arial" w:cs="Arial"/>
                <w:color w:val="000000" w:themeColor="text1"/>
                <w:sz w:val="18"/>
                <w:szCs w:val="18"/>
              </w:rPr>
              <w:t>Poljoprivreda i ribarstvo</w:t>
            </w:r>
            <w:bookmarkEnd w:id="698"/>
          </w:p>
        </w:tc>
        <w:tc>
          <w:tcPr>
            <w:tcW w:w="617" w:type="pct"/>
            <w:tcBorders>
              <w:top w:val="nil"/>
              <w:left w:val="nil"/>
              <w:bottom w:val="nil"/>
              <w:right w:val="nil"/>
            </w:tcBorders>
            <w:shd w:val="clear" w:color="auto" w:fill="auto"/>
            <w:vAlign w:val="bottom"/>
          </w:tcPr>
          <w:p w14:paraId="1BE3216D" w14:textId="0BB170C7" w:rsidR="00577831" w:rsidRPr="003D1614" w:rsidRDefault="00577831" w:rsidP="00577831">
            <w:pPr>
              <w:tabs>
                <w:tab w:val="right" w:pos="1202"/>
              </w:tabs>
              <w:suppressAutoHyphens/>
              <w:autoSpaceDN w:val="0"/>
              <w:spacing w:line="301" w:lineRule="exact"/>
              <w:jc w:val="right"/>
              <w:outlineLvl w:val="0"/>
              <w:rPr>
                <w:rFonts w:ascii="Arial" w:eastAsia="Times New Roman" w:hAnsi="Arial" w:cs="Arial"/>
                <w:sz w:val="18"/>
                <w:szCs w:val="18"/>
              </w:rPr>
            </w:pPr>
            <w:r w:rsidRPr="00871171">
              <w:rPr>
                <w:rFonts w:ascii="Arial" w:eastAsia="Times New Roman" w:hAnsi="Arial" w:cs="Arial"/>
                <w:sz w:val="18"/>
                <w:szCs w:val="18"/>
              </w:rPr>
              <w:t>101.481</w:t>
            </w:r>
          </w:p>
        </w:tc>
        <w:tc>
          <w:tcPr>
            <w:tcW w:w="617" w:type="pct"/>
            <w:tcBorders>
              <w:top w:val="nil"/>
              <w:left w:val="nil"/>
              <w:bottom w:val="nil"/>
              <w:right w:val="nil"/>
            </w:tcBorders>
            <w:shd w:val="clear" w:color="auto" w:fill="auto"/>
            <w:vAlign w:val="bottom"/>
          </w:tcPr>
          <w:p w14:paraId="73861EB9" w14:textId="31402A61" w:rsidR="00577831" w:rsidRPr="003D1614" w:rsidRDefault="00577831" w:rsidP="00577831">
            <w:pPr>
              <w:tabs>
                <w:tab w:val="right" w:pos="1202"/>
              </w:tabs>
              <w:suppressAutoHyphens/>
              <w:autoSpaceDN w:val="0"/>
              <w:spacing w:line="301" w:lineRule="exact"/>
              <w:jc w:val="right"/>
              <w:outlineLvl w:val="0"/>
              <w:rPr>
                <w:rFonts w:ascii="Arial" w:eastAsia="Times New Roman" w:hAnsi="Arial" w:cs="Arial"/>
                <w:sz w:val="18"/>
                <w:szCs w:val="18"/>
              </w:rPr>
            </w:pPr>
            <w:r w:rsidRPr="00871171">
              <w:rPr>
                <w:rFonts w:ascii="Arial" w:eastAsia="Times New Roman" w:hAnsi="Arial" w:cs="Arial"/>
                <w:sz w:val="18"/>
                <w:szCs w:val="18"/>
              </w:rPr>
              <w:t>33.985</w:t>
            </w:r>
          </w:p>
        </w:tc>
        <w:tc>
          <w:tcPr>
            <w:tcW w:w="617" w:type="pct"/>
            <w:tcBorders>
              <w:top w:val="nil"/>
              <w:left w:val="nil"/>
              <w:bottom w:val="nil"/>
              <w:right w:val="nil"/>
            </w:tcBorders>
            <w:shd w:val="clear" w:color="auto" w:fill="auto"/>
            <w:vAlign w:val="bottom"/>
          </w:tcPr>
          <w:p w14:paraId="7B558E06" w14:textId="059A7643" w:rsidR="00577831" w:rsidRPr="00617755" w:rsidRDefault="00577831" w:rsidP="00577831">
            <w:pPr>
              <w:tabs>
                <w:tab w:val="right" w:pos="1202"/>
              </w:tabs>
              <w:suppressAutoHyphens/>
              <w:autoSpaceDN w:val="0"/>
              <w:spacing w:line="301" w:lineRule="exact"/>
              <w:jc w:val="right"/>
              <w:outlineLvl w:val="0"/>
              <w:rPr>
                <w:rFonts w:ascii="Arial" w:eastAsia="Times New Roman" w:hAnsi="Arial" w:cs="Arial"/>
                <w:sz w:val="18"/>
                <w:szCs w:val="18"/>
              </w:rPr>
            </w:pPr>
            <w:r w:rsidRPr="00AD7F10">
              <w:rPr>
                <w:rFonts w:ascii="Arial" w:hAnsi="Arial" w:cs="Arial"/>
                <w:sz w:val="18"/>
                <w:szCs w:val="18"/>
              </w:rPr>
              <w:t>100.207</w:t>
            </w:r>
          </w:p>
        </w:tc>
        <w:tc>
          <w:tcPr>
            <w:tcW w:w="617" w:type="pct"/>
            <w:tcBorders>
              <w:top w:val="nil"/>
              <w:left w:val="nil"/>
              <w:bottom w:val="nil"/>
              <w:right w:val="nil"/>
            </w:tcBorders>
            <w:shd w:val="clear" w:color="auto" w:fill="auto"/>
            <w:vAlign w:val="bottom"/>
          </w:tcPr>
          <w:p w14:paraId="1C366EE6" w14:textId="11B79AEB" w:rsidR="00577831" w:rsidRPr="00617755" w:rsidRDefault="00577831" w:rsidP="00577831">
            <w:pPr>
              <w:tabs>
                <w:tab w:val="right" w:pos="1202"/>
              </w:tabs>
              <w:suppressAutoHyphens/>
              <w:autoSpaceDN w:val="0"/>
              <w:spacing w:line="301" w:lineRule="exact"/>
              <w:jc w:val="right"/>
              <w:outlineLvl w:val="0"/>
              <w:rPr>
                <w:rFonts w:ascii="Arial" w:eastAsia="Times New Roman" w:hAnsi="Arial" w:cs="Arial"/>
                <w:sz w:val="18"/>
                <w:szCs w:val="18"/>
              </w:rPr>
            </w:pPr>
            <w:r w:rsidRPr="00AD7F10">
              <w:rPr>
                <w:rFonts w:ascii="Arial" w:hAnsi="Arial" w:cs="Arial"/>
                <w:sz w:val="18"/>
                <w:szCs w:val="18"/>
              </w:rPr>
              <w:t>31.165</w:t>
            </w:r>
          </w:p>
        </w:tc>
      </w:tr>
      <w:tr w:rsidR="00577831" w:rsidRPr="003D1614" w14:paraId="1F1B782E" w14:textId="77777777" w:rsidTr="007478FB">
        <w:trPr>
          <w:cantSplit/>
          <w:trHeight w:val="250"/>
          <w:tblHeader/>
        </w:trPr>
        <w:tc>
          <w:tcPr>
            <w:tcW w:w="2532" w:type="pct"/>
            <w:vAlign w:val="bottom"/>
          </w:tcPr>
          <w:p w14:paraId="640EFB5E" w14:textId="77777777" w:rsidR="00577831" w:rsidRPr="003D1614" w:rsidDel="00FF5490" w:rsidRDefault="00577831" w:rsidP="00577831">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99" w:name="_Toc67329771"/>
            <w:r w:rsidRPr="003D1614">
              <w:rPr>
                <w:rFonts w:ascii="Arial" w:eastAsia="Times New Roman" w:hAnsi="Arial" w:cs="Arial"/>
                <w:color w:val="000000" w:themeColor="text1"/>
                <w:sz w:val="18"/>
                <w:szCs w:val="18"/>
              </w:rPr>
              <w:t>Proizvodnja prehrambenih proizvoda</w:t>
            </w:r>
            <w:bookmarkEnd w:id="699"/>
          </w:p>
        </w:tc>
        <w:tc>
          <w:tcPr>
            <w:tcW w:w="617" w:type="pct"/>
            <w:tcBorders>
              <w:top w:val="nil"/>
              <w:left w:val="nil"/>
              <w:bottom w:val="nil"/>
              <w:right w:val="nil"/>
            </w:tcBorders>
            <w:shd w:val="clear" w:color="auto" w:fill="auto"/>
            <w:vAlign w:val="bottom"/>
          </w:tcPr>
          <w:p w14:paraId="2DCE3F0F" w14:textId="05A6ABE6" w:rsidR="00577831" w:rsidRPr="003D1614" w:rsidRDefault="00577831" w:rsidP="00577831">
            <w:pPr>
              <w:tabs>
                <w:tab w:val="right" w:pos="1202"/>
              </w:tabs>
              <w:suppressAutoHyphens/>
              <w:autoSpaceDN w:val="0"/>
              <w:spacing w:line="301" w:lineRule="exact"/>
              <w:jc w:val="right"/>
              <w:outlineLvl w:val="0"/>
              <w:rPr>
                <w:rFonts w:ascii="Arial" w:eastAsia="Times New Roman" w:hAnsi="Arial" w:cs="Arial"/>
                <w:sz w:val="18"/>
                <w:szCs w:val="18"/>
              </w:rPr>
            </w:pPr>
            <w:r w:rsidRPr="00871171">
              <w:rPr>
                <w:rFonts w:ascii="Arial" w:eastAsia="Times New Roman" w:hAnsi="Arial" w:cs="Arial"/>
                <w:sz w:val="18"/>
                <w:szCs w:val="18"/>
              </w:rPr>
              <w:t>122.603</w:t>
            </w:r>
          </w:p>
        </w:tc>
        <w:tc>
          <w:tcPr>
            <w:tcW w:w="617" w:type="pct"/>
            <w:tcBorders>
              <w:top w:val="nil"/>
              <w:left w:val="nil"/>
              <w:bottom w:val="nil"/>
              <w:right w:val="nil"/>
            </w:tcBorders>
            <w:shd w:val="clear" w:color="auto" w:fill="auto"/>
            <w:vAlign w:val="bottom"/>
          </w:tcPr>
          <w:p w14:paraId="5C55EA3B" w14:textId="661D562B" w:rsidR="00577831" w:rsidRPr="003D1614" w:rsidRDefault="00577831" w:rsidP="00577831">
            <w:pPr>
              <w:tabs>
                <w:tab w:val="right" w:pos="1202"/>
              </w:tabs>
              <w:suppressAutoHyphens/>
              <w:autoSpaceDN w:val="0"/>
              <w:spacing w:line="301" w:lineRule="exact"/>
              <w:jc w:val="right"/>
              <w:outlineLvl w:val="0"/>
              <w:rPr>
                <w:rFonts w:ascii="Arial" w:eastAsia="Times New Roman" w:hAnsi="Arial" w:cs="Arial"/>
                <w:sz w:val="18"/>
                <w:szCs w:val="18"/>
              </w:rPr>
            </w:pPr>
            <w:r w:rsidRPr="00871171">
              <w:rPr>
                <w:rFonts w:ascii="Arial" w:eastAsia="Times New Roman" w:hAnsi="Arial" w:cs="Arial"/>
                <w:sz w:val="18"/>
                <w:szCs w:val="18"/>
              </w:rPr>
              <w:t>11.440</w:t>
            </w:r>
          </w:p>
        </w:tc>
        <w:tc>
          <w:tcPr>
            <w:tcW w:w="617" w:type="pct"/>
            <w:tcBorders>
              <w:top w:val="nil"/>
              <w:left w:val="nil"/>
              <w:bottom w:val="nil"/>
              <w:right w:val="nil"/>
            </w:tcBorders>
            <w:shd w:val="clear" w:color="auto" w:fill="auto"/>
            <w:vAlign w:val="bottom"/>
          </w:tcPr>
          <w:p w14:paraId="6707B3B8" w14:textId="4BBEF426" w:rsidR="00577831" w:rsidRPr="00617755" w:rsidRDefault="00577831" w:rsidP="00577831">
            <w:pPr>
              <w:tabs>
                <w:tab w:val="right" w:pos="1202"/>
              </w:tabs>
              <w:suppressAutoHyphens/>
              <w:autoSpaceDN w:val="0"/>
              <w:spacing w:line="301" w:lineRule="exact"/>
              <w:jc w:val="right"/>
              <w:outlineLvl w:val="0"/>
              <w:rPr>
                <w:rFonts w:ascii="Arial" w:eastAsia="Times New Roman" w:hAnsi="Arial" w:cs="Arial"/>
                <w:sz w:val="18"/>
                <w:szCs w:val="18"/>
              </w:rPr>
            </w:pPr>
            <w:r w:rsidRPr="00AD7F10">
              <w:rPr>
                <w:rFonts w:ascii="Arial" w:hAnsi="Arial" w:cs="Arial"/>
                <w:sz w:val="18"/>
                <w:szCs w:val="18"/>
              </w:rPr>
              <w:t>141.809</w:t>
            </w:r>
          </w:p>
        </w:tc>
        <w:tc>
          <w:tcPr>
            <w:tcW w:w="617" w:type="pct"/>
            <w:tcBorders>
              <w:top w:val="nil"/>
              <w:left w:val="nil"/>
              <w:bottom w:val="nil"/>
              <w:right w:val="nil"/>
            </w:tcBorders>
            <w:shd w:val="clear" w:color="auto" w:fill="auto"/>
            <w:vAlign w:val="bottom"/>
          </w:tcPr>
          <w:p w14:paraId="2D869554" w14:textId="77A93A48" w:rsidR="00577831" w:rsidRPr="00617755" w:rsidRDefault="00577831" w:rsidP="00577831">
            <w:pPr>
              <w:tabs>
                <w:tab w:val="right" w:pos="1202"/>
              </w:tabs>
              <w:suppressAutoHyphens/>
              <w:autoSpaceDN w:val="0"/>
              <w:spacing w:line="301" w:lineRule="exact"/>
              <w:jc w:val="right"/>
              <w:outlineLvl w:val="0"/>
              <w:rPr>
                <w:rFonts w:ascii="Arial" w:eastAsia="Times New Roman" w:hAnsi="Arial" w:cs="Arial"/>
                <w:sz w:val="18"/>
                <w:szCs w:val="18"/>
              </w:rPr>
            </w:pPr>
            <w:r w:rsidRPr="00AD7F10">
              <w:rPr>
                <w:rFonts w:ascii="Arial" w:hAnsi="Arial" w:cs="Arial"/>
                <w:sz w:val="18"/>
                <w:szCs w:val="18"/>
              </w:rPr>
              <w:t>32.107</w:t>
            </w:r>
          </w:p>
        </w:tc>
      </w:tr>
      <w:tr w:rsidR="00577831" w:rsidRPr="003D1614" w14:paraId="1BF54671" w14:textId="77777777" w:rsidTr="007478FB">
        <w:trPr>
          <w:cantSplit/>
          <w:trHeight w:val="250"/>
          <w:tblHeader/>
        </w:trPr>
        <w:tc>
          <w:tcPr>
            <w:tcW w:w="2532" w:type="pct"/>
            <w:vAlign w:val="bottom"/>
          </w:tcPr>
          <w:p w14:paraId="7BDE4D2E" w14:textId="77777777" w:rsidR="00577831" w:rsidRPr="003D1614" w:rsidDel="00FF5490" w:rsidRDefault="00577831" w:rsidP="00577831">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700" w:name="_Toc67329776"/>
            <w:r w:rsidRPr="003D1614">
              <w:rPr>
                <w:rFonts w:ascii="Arial" w:eastAsia="Times New Roman" w:hAnsi="Arial" w:cs="Arial"/>
                <w:color w:val="000000" w:themeColor="text1"/>
                <w:sz w:val="18"/>
                <w:szCs w:val="18"/>
              </w:rPr>
              <w:t>Građevinarstvo</w:t>
            </w:r>
            <w:bookmarkEnd w:id="700"/>
          </w:p>
        </w:tc>
        <w:tc>
          <w:tcPr>
            <w:tcW w:w="617" w:type="pct"/>
            <w:tcBorders>
              <w:top w:val="nil"/>
              <w:left w:val="nil"/>
              <w:bottom w:val="nil"/>
              <w:right w:val="nil"/>
            </w:tcBorders>
            <w:shd w:val="clear" w:color="auto" w:fill="auto"/>
            <w:vAlign w:val="bottom"/>
          </w:tcPr>
          <w:p w14:paraId="1A43E110" w14:textId="0E7F91A1" w:rsidR="00577831" w:rsidRPr="003D1614" w:rsidRDefault="00577831" w:rsidP="00577831">
            <w:pPr>
              <w:tabs>
                <w:tab w:val="right" w:pos="1202"/>
              </w:tabs>
              <w:suppressAutoHyphens/>
              <w:autoSpaceDN w:val="0"/>
              <w:spacing w:line="301" w:lineRule="exact"/>
              <w:jc w:val="right"/>
              <w:outlineLvl w:val="0"/>
              <w:rPr>
                <w:rFonts w:ascii="Arial" w:eastAsia="Times New Roman" w:hAnsi="Arial" w:cs="Arial"/>
                <w:sz w:val="18"/>
                <w:szCs w:val="18"/>
              </w:rPr>
            </w:pPr>
            <w:r w:rsidRPr="00871171">
              <w:rPr>
                <w:rFonts w:ascii="Arial" w:eastAsia="Times New Roman" w:hAnsi="Arial" w:cs="Arial"/>
                <w:sz w:val="18"/>
                <w:szCs w:val="18"/>
              </w:rPr>
              <w:t>374.455</w:t>
            </w:r>
          </w:p>
        </w:tc>
        <w:tc>
          <w:tcPr>
            <w:tcW w:w="617" w:type="pct"/>
            <w:tcBorders>
              <w:top w:val="nil"/>
              <w:left w:val="nil"/>
              <w:bottom w:val="nil"/>
              <w:right w:val="nil"/>
            </w:tcBorders>
            <w:shd w:val="clear" w:color="auto" w:fill="auto"/>
            <w:vAlign w:val="bottom"/>
          </w:tcPr>
          <w:p w14:paraId="391DE653" w14:textId="4F029771" w:rsidR="00577831" w:rsidRPr="003D1614" w:rsidRDefault="00577831" w:rsidP="00577831">
            <w:pPr>
              <w:tabs>
                <w:tab w:val="right" w:pos="1202"/>
              </w:tabs>
              <w:suppressAutoHyphens/>
              <w:autoSpaceDN w:val="0"/>
              <w:spacing w:line="301" w:lineRule="exact"/>
              <w:jc w:val="right"/>
              <w:outlineLvl w:val="0"/>
              <w:rPr>
                <w:rFonts w:ascii="Arial" w:eastAsia="Times New Roman" w:hAnsi="Arial" w:cs="Arial"/>
                <w:sz w:val="18"/>
                <w:szCs w:val="18"/>
              </w:rPr>
            </w:pPr>
            <w:r w:rsidRPr="00871171">
              <w:rPr>
                <w:rFonts w:ascii="Arial" w:eastAsia="Times New Roman" w:hAnsi="Arial" w:cs="Arial"/>
                <w:sz w:val="18"/>
                <w:szCs w:val="18"/>
              </w:rPr>
              <w:t>9.123</w:t>
            </w:r>
          </w:p>
        </w:tc>
        <w:tc>
          <w:tcPr>
            <w:tcW w:w="617" w:type="pct"/>
            <w:tcBorders>
              <w:top w:val="nil"/>
              <w:left w:val="nil"/>
              <w:bottom w:val="nil"/>
              <w:right w:val="nil"/>
            </w:tcBorders>
            <w:shd w:val="clear" w:color="auto" w:fill="auto"/>
            <w:vAlign w:val="bottom"/>
          </w:tcPr>
          <w:p w14:paraId="4B19CAE1" w14:textId="322DCC40" w:rsidR="00577831" w:rsidRPr="00617755" w:rsidRDefault="00577831" w:rsidP="00577831">
            <w:pPr>
              <w:tabs>
                <w:tab w:val="right" w:pos="1202"/>
              </w:tabs>
              <w:suppressAutoHyphens/>
              <w:autoSpaceDN w:val="0"/>
              <w:spacing w:line="301" w:lineRule="exact"/>
              <w:jc w:val="right"/>
              <w:outlineLvl w:val="0"/>
              <w:rPr>
                <w:rFonts w:ascii="Arial" w:eastAsia="Times New Roman" w:hAnsi="Arial" w:cs="Arial"/>
                <w:sz w:val="18"/>
                <w:szCs w:val="18"/>
              </w:rPr>
            </w:pPr>
            <w:r w:rsidRPr="00AD7F10">
              <w:rPr>
                <w:rFonts w:ascii="Arial" w:hAnsi="Arial" w:cs="Arial"/>
                <w:sz w:val="18"/>
                <w:szCs w:val="18"/>
              </w:rPr>
              <w:t>405.272</w:t>
            </w:r>
          </w:p>
        </w:tc>
        <w:tc>
          <w:tcPr>
            <w:tcW w:w="617" w:type="pct"/>
            <w:tcBorders>
              <w:top w:val="nil"/>
              <w:left w:val="nil"/>
              <w:bottom w:val="nil"/>
              <w:right w:val="nil"/>
            </w:tcBorders>
            <w:shd w:val="clear" w:color="auto" w:fill="auto"/>
            <w:vAlign w:val="bottom"/>
          </w:tcPr>
          <w:p w14:paraId="3788F394" w14:textId="220182E7" w:rsidR="00577831" w:rsidRPr="00617755" w:rsidRDefault="00577831" w:rsidP="00577831">
            <w:pPr>
              <w:tabs>
                <w:tab w:val="right" w:pos="1202"/>
              </w:tabs>
              <w:suppressAutoHyphens/>
              <w:autoSpaceDN w:val="0"/>
              <w:spacing w:line="301" w:lineRule="exact"/>
              <w:jc w:val="right"/>
              <w:outlineLvl w:val="0"/>
              <w:rPr>
                <w:rFonts w:ascii="Arial" w:eastAsia="Times New Roman" w:hAnsi="Arial" w:cs="Arial"/>
                <w:sz w:val="18"/>
                <w:szCs w:val="18"/>
              </w:rPr>
            </w:pPr>
            <w:r w:rsidRPr="00AD7F10">
              <w:rPr>
                <w:rFonts w:ascii="Arial" w:hAnsi="Arial" w:cs="Arial"/>
                <w:sz w:val="18"/>
                <w:szCs w:val="18"/>
              </w:rPr>
              <w:t>25.832</w:t>
            </w:r>
          </w:p>
        </w:tc>
      </w:tr>
      <w:tr w:rsidR="00577831" w:rsidRPr="003D1614" w14:paraId="2956D4A0" w14:textId="77777777" w:rsidTr="007478FB">
        <w:trPr>
          <w:cantSplit/>
          <w:trHeight w:val="250"/>
          <w:tblHeader/>
        </w:trPr>
        <w:tc>
          <w:tcPr>
            <w:tcW w:w="2532" w:type="pct"/>
            <w:vAlign w:val="bottom"/>
          </w:tcPr>
          <w:p w14:paraId="2B9C1014" w14:textId="77777777" w:rsidR="00577831" w:rsidRPr="003D1614" w:rsidDel="00FF5490" w:rsidRDefault="00577831" w:rsidP="00577831">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701" w:name="_Toc67329781"/>
            <w:r w:rsidRPr="003D1614">
              <w:rPr>
                <w:rFonts w:ascii="Arial" w:eastAsia="Times New Roman" w:hAnsi="Arial" w:cs="Arial"/>
                <w:color w:val="000000" w:themeColor="text1"/>
                <w:sz w:val="18"/>
                <w:szCs w:val="18"/>
              </w:rPr>
              <w:t>Ostala industrija</w:t>
            </w:r>
            <w:bookmarkEnd w:id="701"/>
          </w:p>
        </w:tc>
        <w:tc>
          <w:tcPr>
            <w:tcW w:w="617" w:type="pct"/>
            <w:tcBorders>
              <w:top w:val="nil"/>
              <w:left w:val="nil"/>
              <w:bottom w:val="nil"/>
              <w:right w:val="nil"/>
            </w:tcBorders>
            <w:shd w:val="clear" w:color="auto" w:fill="auto"/>
            <w:vAlign w:val="bottom"/>
          </w:tcPr>
          <w:p w14:paraId="1D219D7E" w14:textId="3178AE9B" w:rsidR="00577831" w:rsidRPr="003D1614" w:rsidRDefault="00577831" w:rsidP="00577831">
            <w:pPr>
              <w:tabs>
                <w:tab w:val="right" w:pos="1202"/>
              </w:tabs>
              <w:suppressAutoHyphens/>
              <w:autoSpaceDN w:val="0"/>
              <w:spacing w:line="301" w:lineRule="exact"/>
              <w:jc w:val="right"/>
              <w:outlineLvl w:val="0"/>
              <w:rPr>
                <w:rFonts w:ascii="Arial" w:eastAsia="Times New Roman" w:hAnsi="Arial" w:cs="Arial"/>
                <w:sz w:val="18"/>
                <w:szCs w:val="18"/>
              </w:rPr>
            </w:pPr>
            <w:r w:rsidRPr="00871171">
              <w:rPr>
                <w:rFonts w:ascii="Arial" w:eastAsia="Times New Roman" w:hAnsi="Arial" w:cs="Arial"/>
                <w:sz w:val="18"/>
                <w:szCs w:val="18"/>
              </w:rPr>
              <w:t>149.676</w:t>
            </w:r>
          </w:p>
        </w:tc>
        <w:tc>
          <w:tcPr>
            <w:tcW w:w="617" w:type="pct"/>
            <w:tcBorders>
              <w:top w:val="nil"/>
              <w:left w:val="nil"/>
              <w:bottom w:val="nil"/>
              <w:right w:val="nil"/>
            </w:tcBorders>
            <w:shd w:val="clear" w:color="auto" w:fill="auto"/>
            <w:vAlign w:val="bottom"/>
          </w:tcPr>
          <w:p w14:paraId="2DA3B687" w14:textId="7DCF4101" w:rsidR="00577831" w:rsidRPr="003D1614" w:rsidRDefault="00577831" w:rsidP="00577831">
            <w:pPr>
              <w:tabs>
                <w:tab w:val="right" w:pos="1202"/>
              </w:tabs>
              <w:suppressAutoHyphens/>
              <w:autoSpaceDN w:val="0"/>
              <w:spacing w:line="301" w:lineRule="exact"/>
              <w:jc w:val="right"/>
              <w:outlineLvl w:val="0"/>
              <w:rPr>
                <w:rFonts w:ascii="Arial" w:eastAsia="Times New Roman" w:hAnsi="Arial" w:cs="Arial"/>
                <w:sz w:val="18"/>
                <w:szCs w:val="18"/>
              </w:rPr>
            </w:pPr>
            <w:r w:rsidRPr="00871171">
              <w:rPr>
                <w:rFonts w:ascii="Arial" w:eastAsia="Times New Roman" w:hAnsi="Arial" w:cs="Arial"/>
                <w:sz w:val="18"/>
                <w:szCs w:val="18"/>
              </w:rPr>
              <w:t>35.438</w:t>
            </w:r>
          </w:p>
        </w:tc>
        <w:tc>
          <w:tcPr>
            <w:tcW w:w="617" w:type="pct"/>
            <w:tcBorders>
              <w:top w:val="nil"/>
              <w:left w:val="nil"/>
              <w:bottom w:val="nil"/>
              <w:right w:val="nil"/>
            </w:tcBorders>
            <w:shd w:val="clear" w:color="auto" w:fill="auto"/>
            <w:vAlign w:val="bottom"/>
          </w:tcPr>
          <w:p w14:paraId="7C9E2504" w14:textId="2F078E9E" w:rsidR="00577831" w:rsidRPr="003D1614" w:rsidRDefault="00577831" w:rsidP="00577831">
            <w:pPr>
              <w:tabs>
                <w:tab w:val="right" w:pos="1202"/>
              </w:tabs>
              <w:suppressAutoHyphens/>
              <w:autoSpaceDN w:val="0"/>
              <w:spacing w:line="301" w:lineRule="exact"/>
              <w:jc w:val="right"/>
              <w:outlineLvl w:val="0"/>
              <w:rPr>
                <w:rFonts w:ascii="Arial" w:eastAsia="Times New Roman" w:hAnsi="Arial" w:cs="Arial"/>
                <w:sz w:val="18"/>
                <w:szCs w:val="18"/>
              </w:rPr>
            </w:pPr>
            <w:r w:rsidRPr="00AD7F10">
              <w:rPr>
                <w:rFonts w:ascii="Arial" w:hAnsi="Arial" w:cs="Arial"/>
                <w:sz w:val="18"/>
                <w:szCs w:val="18"/>
              </w:rPr>
              <w:t>174.015</w:t>
            </w:r>
          </w:p>
        </w:tc>
        <w:tc>
          <w:tcPr>
            <w:tcW w:w="617" w:type="pct"/>
            <w:tcBorders>
              <w:top w:val="nil"/>
              <w:left w:val="nil"/>
              <w:bottom w:val="nil"/>
              <w:right w:val="nil"/>
            </w:tcBorders>
            <w:shd w:val="clear" w:color="auto" w:fill="auto"/>
            <w:vAlign w:val="bottom"/>
          </w:tcPr>
          <w:p w14:paraId="59FF11B3" w14:textId="4FF70DCD" w:rsidR="00577831" w:rsidRPr="003D1614" w:rsidRDefault="00577831" w:rsidP="00577831">
            <w:pPr>
              <w:tabs>
                <w:tab w:val="right" w:pos="1202"/>
              </w:tabs>
              <w:suppressAutoHyphens/>
              <w:autoSpaceDN w:val="0"/>
              <w:spacing w:line="301" w:lineRule="exact"/>
              <w:jc w:val="right"/>
              <w:outlineLvl w:val="0"/>
              <w:rPr>
                <w:rFonts w:ascii="Arial" w:eastAsia="Times New Roman" w:hAnsi="Arial" w:cs="Arial"/>
                <w:sz w:val="18"/>
                <w:szCs w:val="18"/>
              </w:rPr>
            </w:pPr>
            <w:r w:rsidRPr="00AD7F10">
              <w:rPr>
                <w:rFonts w:ascii="Arial" w:hAnsi="Arial" w:cs="Arial"/>
                <w:sz w:val="18"/>
                <w:szCs w:val="18"/>
              </w:rPr>
              <w:t>56.106</w:t>
            </w:r>
          </w:p>
        </w:tc>
      </w:tr>
      <w:tr w:rsidR="00577831" w:rsidRPr="003D1614" w14:paraId="756D209E" w14:textId="77777777" w:rsidTr="007478FB">
        <w:trPr>
          <w:cantSplit/>
          <w:trHeight w:val="250"/>
          <w:tblHeader/>
        </w:trPr>
        <w:tc>
          <w:tcPr>
            <w:tcW w:w="2532" w:type="pct"/>
            <w:vAlign w:val="bottom"/>
          </w:tcPr>
          <w:p w14:paraId="0327B461" w14:textId="77777777" w:rsidR="00577831" w:rsidRPr="003D1614" w:rsidDel="00FF5490" w:rsidRDefault="00577831" w:rsidP="00577831">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702" w:name="_Toc67329786"/>
            <w:r w:rsidRPr="003D1614">
              <w:rPr>
                <w:rFonts w:ascii="Arial" w:eastAsia="Times New Roman" w:hAnsi="Arial" w:cs="Arial"/>
                <w:color w:val="000000" w:themeColor="text1"/>
                <w:sz w:val="18"/>
                <w:szCs w:val="18"/>
              </w:rPr>
              <w:t>Javna uprava</w:t>
            </w:r>
            <w:bookmarkEnd w:id="702"/>
          </w:p>
        </w:tc>
        <w:tc>
          <w:tcPr>
            <w:tcW w:w="617" w:type="pct"/>
            <w:tcBorders>
              <w:top w:val="nil"/>
              <w:left w:val="nil"/>
              <w:bottom w:val="nil"/>
              <w:right w:val="nil"/>
            </w:tcBorders>
            <w:shd w:val="clear" w:color="auto" w:fill="auto"/>
            <w:vAlign w:val="bottom"/>
          </w:tcPr>
          <w:p w14:paraId="253F8DD6" w14:textId="12FDB542" w:rsidR="00577831" w:rsidRPr="003D1614" w:rsidRDefault="00577831" w:rsidP="00577831">
            <w:pPr>
              <w:tabs>
                <w:tab w:val="right" w:pos="1202"/>
              </w:tabs>
              <w:suppressAutoHyphens/>
              <w:autoSpaceDN w:val="0"/>
              <w:spacing w:line="301" w:lineRule="exact"/>
              <w:jc w:val="right"/>
              <w:outlineLvl w:val="0"/>
              <w:rPr>
                <w:rFonts w:ascii="Arial" w:eastAsia="Times New Roman" w:hAnsi="Arial" w:cs="Arial"/>
                <w:sz w:val="18"/>
                <w:szCs w:val="18"/>
              </w:rPr>
            </w:pPr>
            <w:r w:rsidRPr="00871171">
              <w:rPr>
                <w:rFonts w:ascii="Arial" w:eastAsia="Times New Roman" w:hAnsi="Arial" w:cs="Arial"/>
                <w:sz w:val="18"/>
                <w:szCs w:val="18"/>
              </w:rPr>
              <w:t>293.726</w:t>
            </w:r>
          </w:p>
        </w:tc>
        <w:tc>
          <w:tcPr>
            <w:tcW w:w="617" w:type="pct"/>
            <w:tcBorders>
              <w:top w:val="nil"/>
              <w:left w:val="nil"/>
              <w:bottom w:val="nil"/>
              <w:right w:val="nil"/>
            </w:tcBorders>
            <w:shd w:val="clear" w:color="auto" w:fill="auto"/>
            <w:vAlign w:val="bottom"/>
          </w:tcPr>
          <w:p w14:paraId="1230FEBF" w14:textId="2A1F5C0D" w:rsidR="00577831" w:rsidRPr="003D1614" w:rsidRDefault="00577831" w:rsidP="00577831">
            <w:pPr>
              <w:tabs>
                <w:tab w:val="right" w:pos="1202"/>
              </w:tabs>
              <w:suppressAutoHyphens/>
              <w:autoSpaceDN w:val="0"/>
              <w:spacing w:line="301" w:lineRule="exact"/>
              <w:jc w:val="right"/>
              <w:outlineLvl w:val="0"/>
              <w:rPr>
                <w:rFonts w:ascii="Arial" w:eastAsia="Times New Roman" w:hAnsi="Arial" w:cs="Arial"/>
                <w:sz w:val="18"/>
                <w:szCs w:val="18"/>
              </w:rPr>
            </w:pPr>
            <w:r w:rsidRPr="00871171">
              <w:rPr>
                <w:rFonts w:ascii="Arial" w:eastAsia="Times New Roman" w:hAnsi="Arial" w:cs="Arial"/>
                <w:sz w:val="18"/>
                <w:szCs w:val="18"/>
              </w:rPr>
              <w:t>293.</w:t>
            </w:r>
            <w:r>
              <w:rPr>
                <w:rFonts w:ascii="Arial" w:eastAsia="Times New Roman" w:hAnsi="Arial" w:cs="Arial"/>
                <w:sz w:val="18"/>
                <w:szCs w:val="18"/>
              </w:rPr>
              <w:t>726</w:t>
            </w:r>
          </w:p>
        </w:tc>
        <w:tc>
          <w:tcPr>
            <w:tcW w:w="617" w:type="pct"/>
            <w:tcBorders>
              <w:top w:val="nil"/>
              <w:left w:val="nil"/>
              <w:bottom w:val="nil"/>
              <w:right w:val="nil"/>
            </w:tcBorders>
            <w:shd w:val="clear" w:color="auto" w:fill="auto"/>
            <w:vAlign w:val="bottom"/>
          </w:tcPr>
          <w:p w14:paraId="7CA9B21C" w14:textId="53D95979" w:rsidR="00577831" w:rsidRPr="00617755" w:rsidRDefault="00577831" w:rsidP="00577831">
            <w:pPr>
              <w:tabs>
                <w:tab w:val="right" w:pos="1202"/>
              </w:tabs>
              <w:suppressAutoHyphens/>
              <w:autoSpaceDN w:val="0"/>
              <w:spacing w:line="301" w:lineRule="exact"/>
              <w:jc w:val="right"/>
              <w:outlineLvl w:val="0"/>
              <w:rPr>
                <w:rFonts w:ascii="Arial" w:eastAsia="Times New Roman" w:hAnsi="Arial" w:cs="Arial"/>
                <w:sz w:val="18"/>
                <w:szCs w:val="18"/>
              </w:rPr>
            </w:pPr>
            <w:r w:rsidRPr="00AD7F10">
              <w:rPr>
                <w:rFonts w:ascii="Arial" w:hAnsi="Arial" w:cs="Arial"/>
                <w:sz w:val="18"/>
                <w:szCs w:val="18"/>
              </w:rPr>
              <w:t>231.974</w:t>
            </w:r>
          </w:p>
        </w:tc>
        <w:tc>
          <w:tcPr>
            <w:tcW w:w="617" w:type="pct"/>
            <w:tcBorders>
              <w:top w:val="nil"/>
              <w:left w:val="nil"/>
              <w:bottom w:val="nil"/>
              <w:right w:val="nil"/>
            </w:tcBorders>
            <w:shd w:val="clear" w:color="auto" w:fill="auto"/>
            <w:vAlign w:val="bottom"/>
          </w:tcPr>
          <w:p w14:paraId="1522DC61" w14:textId="544A554A" w:rsidR="00577831" w:rsidRPr="00617755" w:rsidRDefault="00577831" w:rsidP="00577831">
            <w:pPr>
              <w:tabs>
                <w:tab w:val="right" w:pos="1202"/>
              </w:tabs>
              <w:suppressAutoHyphens/>
              <w:autoSpaceDN w:val="0"/>
              <w:spacing w:line="301" w:lineRule="exact"/>
              <w:jc w:val="right"/>
              <w:outlineLvl w:val="0"/>
              <w:rPr>
                <w:rFonts w:ascii="Arial" w:eastAsia="Times New Roman" w:hAnsi="Arial" w:cs="Arial"/>
                <w:sz w:val="18"/>
                <w:szCs w:val="18"/>
              </w:rPr>
            </w:pPr>
            <w:r w:rsidRPr="00AD7F10">
              <w:rPr>
                <w:rFonts w:ascii="Arial" w:hAnsi="Arial" w:cs="Arial"/>
                <w:sz w:val="18"/>
                <w:szCs w:val="18"/>
              </w:rPr>
              <w:t>231.548</w:t>
            </w:r>
          </w:p>
        </w:tc>
      </w:tr>
      <w:tr w:rsidR="00577831" w:rsidRPr="003D1614" w14:paraId="7370A060" w14:textId="77777777" w:rsidTr="007478FB">
        <w:trPr>
          <w:cantSplit/>
          <w:trHeight w:val="250"/>
          <w:tblHeader/>
        </w:trPr>
        <w:tc>
          <w:tcPr>
            <w:tcW w:w="2532" w:type="pct"/>
            <w:vAlign w:val="bottom"/>
          </w:tcPr>
          <w:p w14:paraId="7689541E" w14:textId="77777777" w:rsidR="00577831" w:rsidRPr="003D1614" w:rsidDel="00FF5490" w:rsidRDefault="00577831" w:rsidP="00577831">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703" w:name="_Toc67329791"/>
            <w:r w:rsidRPr="003D1614">
              <w:rPr>
                <w:rFonts w:ascii="Arial" w:eastAsia="Times New Roman" w:hAnsi="Arial" w:cs="Arial"/>
                <w:color w:val="000000" w:themeColor="text1"/>
                <w:sz w:val="18"/>
                <w:szCs w:val="18"/>
              </w:rPr>
              <w:t>Obrazovanje</w:t>
            </w:r>
            <w:bookmarkEnd w:id="703"/>
          </w:p>
        </w:tc>
        <w:tc>
          <w:tcPr>
            <w:tcW w:w="617" w:type="pct"/>
            <w:tcBorders>
              <w:top w:val="nil"/>
              <w:left w:val="nil"/>
              <w:bottom w:val="nil"/>
              <w:right w:val="nil"/>
            </w:tcBorders>
            <w:shd w:val="clear" w:color="auto" w:fill="auto"/>
            <w:vAlign w:val="bottom"/>
          </w:tcPr>
          <w:p w14:paraId="0D6CF385" w14:textId="101B259C" w:rsidR="00577831" w:rsidRPr="003D1614" w:rsidRDefault="00577831" w:rsidP="00577831">
            <w:pPr>
              <w:tabs>
                <w:tab w:val="right" w:pos="1202"/>
              </w:tabs>
              <w:suppressAutoHyphens/>
              <w:autoSpaceDN w:val="0"/>
              <w:spacing w:line="301" w:lineRule="exact"/>
              <w:jc w:val="right"/>
              <w:outlineLvl w:val="0"/>
              <w:rPr>
                <w:rFonts w:ascii="Arial" w:eastAsia="Times New Roman" w:hAnsi="Arial" w:cs="Arial"/>
                <w:sz w:val="18"/>
                <w:szCs w:val="18"/>
              </w:rPr>
            </w:pPr>
            <w:r w:rsidRPr="00871171">
              <w:rPr>
                <w:rFonts w:ascii="Arial" w:eastAsia="Times New Roman" w:hAnsi="Arial" w:cs="Arial"/>
                <w:sz w:val="18"/>
                <w:szCs w:val="18"/>
              </w:rPr>
              <w:t>7.678</w:t>
            </w:r>
          </w:p>
        </w:tc>
        <w:tc>
          <w:tcPr>
            <w:tcW w:w="617" w:type="pct"/>
            <w:tcBorders>
              <w:top w:val="nil"/>
              <w:left w:val="nil"/>
              <w:bottom w:val="nil"/>
              <w:right w:val="nil"/>
            </w:tcBorders>
            <w:shd w:val="clear" w:color="auto" w:fill="auto"/>
            <w:vAlign w:val="bottom"/>
          </w:tcPr>
          <w:p w14:paraId="27C6E918" w14:textId="7C7E7EB3" w:rsidR="00577831" w:rsidRPr="003D1614" w:rsidRDefault="00577831" w:rsidP="00577831">
            <w:pPr>
              <w:tabs>
                <w:tab w:val="right" w:pos="1202"/>
              </w:tabs>
              <w:suppressAutoHyphens/>
              <w:autoSpaceDN w:val="0"/>
              <w:spacing w:line="301" w:lineRule="exact"/>
              <w:jc w:val="right"/>
              <w:outlineLvl w:val="0"/>
              <w:rPr>
                <w:rFonts w:ascii="Arial" w:eastAsia="Times New Roman" w:hAnsi="Arial" w:cs="Arial"/>
                <w:sz w:val="18"/>
                <w:szCs w:val="18"/>
              </w:rPr>
            </w:pPr>
            <w:r w:rsidRPr="00871171">
              <w:rPr>
                <w:rFonts w:ascii="Arial" w:eastAsia="Times New Roman" w:hAnsi="Arial" w:cs="Arial"/>
                <w:sz w:val="18"/>
                <w:szCs w:val="18"/>
              </w:rPr>
              <w:t>7.258</w:t>
            </w:r>
          </w:p>
        </w:tc>
        <w:tc>
          <w:tcPr>
            <w:tcW w:w="617" w:type="pct"/>
            <w:tcBorders>
              <w:top w:val="nil"/>
              <w:left w:val="nil"/>
              <w:bottom w:val="nil"/>
              <w:right w:val="nil"/>
            </w:tcBorders>
            <w:shd w:val="clear" w:color="auto" w:fill="auto"/>
            <w:vAlign w:val="bottom"/>
          </w:tcPr>
          <w:p w14:paraId="14E904E7" w14:textId="42B6EC06" w:rsidR="00577831" w:rsidRPr="00617755" w:rsidRDefault="00577831" w:rsidP="00577831">
            <w:pPr>
              <w:tabs>
                <w:tab w:val="right" w:pos="1202"/>
              </w:tabs>
              <w:suppressAutoHyphens/>
              <w:autoSpaceDN w:val="0"/>
              <w:spacing w:line="301" w:lineRule="exact"/>
              <w:jc w:val="right"/>
              <w:outlineLvl w:val="0"/>
              <w:rPr>
                <w:rFonts w:ascii="Arial" w:eastAsia="Times New Roman" w:hAnsi="Arial" w:cs="Arial"/>
                <w:sz w:val="18"/>
                <w:szCs w:val="18"/>
              </w:rPr>
            </w:pPr>
            <w:r w:rsidRPr="00AD7F10">
              <w:rPr>
                <w:rFonts w:ascii="Arial" w:hAnsi="Arial" w:cs="Arial"/>
                <w:sz w:val="18"/>
                <w:szCs w:val="18"/>
              </w:rPr>
              <w:t>10.128</w:t>
            </w:r>
          </w:p>
        </w:tc>
        <w:tc>
          <w:tcPr>
            <w:tcW w:w="617" w:type="pct"/>
            <w:tcBorders>
              <w:top w:val="nil"/>
              <w:left w:val="nil"/>
              <w:bottom w:val="nil"/>
              <w:right w:val="nil"/>
            </w:tcBorders>
            <w:shd w:val="clear" w:color="auto" w:fill="auto"/>
            <w:vAlign w:val="bottom"/>
          </w:tcPr>
          <w:p w14:paraId="4A6DDAD3" w14:textId="7E896A7B" w:rsidR="00577831" w:rsidRPr="00617755" w:rsidRDefault="00577831" w:rsidP="00577831">
            <w:pPr>
              <w:tabs>
                <w:tab w:val="right" w:pos="1202"/>
              </w:tabs>
              <w:suppressAutoHyphens/>
              <w:autoSpaceDN w:val="0"/>
              <w:spacing w:line="301" w:lineRule="exact"/>
              <w:jc w:val="right"/>
              <w:outlineLvl w:val="0"/>
              <w:rPr>
                <w:rFonts w:ascii="Arial" w:eastAsia="Times New Roman" w:hAnsi="Arial" w:cs="Arial"/>
                <w:sz w:val="18"/>
                <w:szCs w:val="18"/>
              </w:rPr>
            </w:pPr>
            <w:r w:rsidRPr="00AD7F10">
              <w:rPr>
                <w:rFonts w:ascii="Arial" w:hAnsi="Arial" w:cs="Arial"/>
                <w:sz w:val="18"/>
                <w:szCs w:val="18"/>
              </w:rPr>
              <w:t>9.737</w:t>
            </w:r>
          </w:p>
        </w:tc>
      </w:tr>
      <w:tr w:rsidR="00577831" w:rsidRPr="003D1614" w14:paraId="167F9113" w14:textId="77777777" w:rsidTr="007478FB">
        <w:trPr>
          <w:cantSplit/>
          <w:trHeight w:val="20"/>
          <w:tblHeader/>
        </w:trPr>
        <w:tc>
          <w:tcPr>
            <w:tcW w:w="2532" w:type="pct"/>
            <w:vAlign w:val="bottom"/>
          </w:tcPr>
          <w:p w14:paraId="42C566E8" w14:textId="77777777" w:rsidR="00577831" w:rsidRPr="003D1614" w:rsidRDefault="00577831" w:rsidP="00577831">
            <w:pPr>
              <w:tabs>
                <w:tab w:val="right" w:pos="1202"/>
              </w:tabs>
              <w:suppressAutoHyphens/>
              <w:autoSpaceDN w:val="0"/>
              <w:outlineLvl w:val="0"/>
              <w:rPr>
                <w:rFonts w:ascii="Arial" w:eastAsia="Times New Roman" w:hAnsi="Arial" w:cs="Arial"/>
                <w:color w:val="000000" w:themeColor="text1"/>
                <w:sz w:val="18"/>
                <w:szCs w:val="18"/>
              </w:rPr>
            </w:pPr>
            <w:bookmarkStart w:id="704" w:name="_Toc67329796"/>
            <w:r w:rsidRPr="003D1614">
              <w:rPr>
                <w:rFonts w:ascii="Arial" w:eastAsia="Calibri" w:hAnsi="Arial" w:cs="Arial"/>
                <w:color w:val="000000" w:themeColor="text1"/>
                <w:sz w:val="18"/>
                <w:szCs w:val="18"/>
              </w:rPr>
              <w:t>Proizvodnja metala i gotovih metalnih proizvoda, osim strojeva i opreme</w:t>
            </w:r>
            <w:bookmarkEnd w:id="704"/>
            <w:r w:rsidRPr="003D1614">
              <w:rPr>
                <w:rFonts w:ascii="Arial" w:eastAsia="Times New Roman" w:hAnsi="Arial" w:cs="Arial"/>
                <w:color w:val="000000" w:themeColor="text1"/>
                <w:sz w:val="18"/>
                <w:szCs w:val="18"/>
              </w:rPr>
              <w:t xml:space="preserve"> </w:t>
            </w:r>
          </w:p>
        </w:tc>
        <w:tc>
          <w:tcPr>
            <w:tcW w:w="617" w:type="pct"/>
            <w:tcBorders>
              <w:top w:val="nil"/>
              <w:left w:val="nil"/>
              <w:bottom w:val="nil"/>
              <w:right w:val="nil"/>
            </w:tcBorders>
            <w:shd w:val="clear" w:color="auto" w:fill="auto"/>
            <w:vAlign w:val="bottom"/>
          </w:tcPr>
          <w:p w14:paraId="2A0998A4" w14:textId="1BCF9F9A" w:rsidR="00577831" w:rsidRPr="003D1614" w:rsidRDefault="00577831" w:rsidP="00577831">
            <w:pPr>
              <w:tabs>
                <w:tab w:val="right" w:pos="1202"/>
              </w:tabs>
              <w:suppressAutoHyphens/>
              <w:autoSpaceDN w:val="0"/>
              <w:spacing w:line="301" w:lineRule="exact"/>
              <w:jc w:val="right"/>
              <w:outlineLvl w:val="0"/>
              <w:rPr>
                <w:rFonts w:ascii="Arial" w:eastAsia="Times New Roman" w:hAnsi="Arial" w:cs="Arial"/>
                <w:sz w:val="18"/>
                <w:szCs w:val="18"/>
              </w:rPr>
            </w:pPr>
            <w:r w:rsidRPr="00871171">
              <w:rPr>
                <w:rFonts w:ascii="Arial" w:eastAsia="Times New Roman" w:hAnsi="Arial" w:cs="Arial"/>
                <w:sz w:val="18"/>
                <w:szCs w:val="18"/>
              </w:rPr>
              <w:t>50.005</w:t>
            </w:r>
          </w:p>
        </w:tc>
        <w:tc>
          <w:tcPr>
            <w:tcW w:w="617" w:type="pct"/>
            <w:tcBorders>
              <w:top w:val="nil"/>
              <w:left w:val="nil"/>
              <w:bottom w:val="nil"/>
              <w:right w:val="nil"/>
            </w:tcBorders>
            <w:shd w:val="clear" w:color="auto" w:fill="auto"/>
            <w:vAlign w:val="bottom"/>
          </w:tcPr>
          <w:p w14:paraId="4D31948F" w14:textId="072A931E" w:rsidR="00577831" w:rsidRPr="003D1614" w:rsidRDefault="00577831" w:rsidP="00577831">
            <w:pPr>
              <w:tabs>
                <w:tab w:val="right" w:pos="1202"/>
              </w:tabs>
              <w:suppressAutoHyphens/>
              <w:autoSpaceDN w:val="0"/>
              <w:spacing w:line="301" w:lineRule="exact"/>
              <w:jc w:val="right"/>
              <w:outlineLvl w:val="0"/>
              <w:rPr>
                <w:rFonts w:ascii="Arial" w:eastAsia="Times New Roman" w:hAnsi="Arial" w:cs="Arial"/>
                <w:sz w:val="18"/>
                <w:szCs w:val="18"/>
              </w:rPr>
            </w:pPr>
            <w:r w:rsidRPr="00871171">
              <w:rPr>
                <w:rFonts w:ascii="Arial" w:eastAsia="Times New Roman" w:hAnsi="Arial" w:cs="Arial"/>
                <w:sz w:val="18"/>
                <w:szCs w:val="18"/>
              </w:rPr>
              <w:t>10.550</w:t>
            </w:r>
          </w:p>
        </w:tc>
        <w:tc>
          <w:tcPr>
            <w:tcW w:w="617" w:type="pct"/>
            <w:tcBorders>
              <w:top w:val="nil"/>
              <w:left w:val="nil"/>
              <w:bottom w:val="nil"/>
              <w:right w:val="nil"/>
            </w:tcBorders>
            <w:shd w:val="clear" w:color="auto" w:fill="auto"/>
            <w:vAlign w:val="bottom"/>
          </w:tcPr>
          <w:p w14:paraId="021D08A5" w14:textId="78C6FBBF" w:rsidR="00577831" w:rsidRPr="00617755" w:rsidRDefault="00577831" w:rsidP="00577831">
            <w:pPr>
              <w:tabs>
                <w:tab w:val="right" w:pos="1202"/>
              </w:tabs>
              <w:suppressAutoHyphens/>
              <w:autoSpaceDN w:val="0"/>
              <w:spacing w:line="301" w:lineRule="exact"/>
              <w:jc w:val="right"/>
              <w:outlineLvl w:val="0"/>
              <w:rPr>
                <w:rFonts w:ascii="Arial" w:eastAsia="Times New Roman" w:hAnsi="Arial" w:cs="Arial"/>
                <w:sz w:val="18"/>
                <w:szCs w:val="18"/>
              </w:rPr>
            </w:pPr>
            <w:r w:rsidRPr="00AD7F10">
              <w:rPr>
                <w:rFonts w:ascii="Arial" w:hAnsi="Arial" w:cs="Arial"/>
                <w:sz w:val="18"/>
                <w:szCs w:val="18"/>
              </w:rPr>
              <w:t>51.331</w:t>
            </w:r>
          </w:p>
        </w:tc>
        <w:tc>
          <w:tcPr>
            <w:tcW w:w="617" w:type="pct"/>
            <w:tcBorders>
              <w:top w:val="nil"/>
              <w:left w:val="nil"/>
              <w:bottom w:val="nil"/>
              <w:right w:val="nil"/>
            </w:tcBorders>
            <w:shd w:val="clear" w:color="auto" w:fill="auto"/>
            <w:vAlign w:val="bottom"/>
          </w:tcPr>
          <w:p w14:paraId="2EE15B7D" w14:textId="04B4D363" w:rsidR="00577831" w:rsidRPr="00617755" w:rsidRDefault="00577831" w:rsidP="00577831">
            <w:pPr>
              <w:tabs>
                <w:tab w:val="right" w:pos="1202"/>
              </w:tabs>
              <w:suppressAutoHyphens/>
              <w:autoSpaceDN w:val="0"/>
              <w:spacing w:line="301" w:lineRule="exact"/>
              <w:jc w:val="right"/>
              <w:outlineLvl w:val="0"/>
              <w:rPr>
                <w:rFonts w:ascii="Arial" w:eastAsia="Times New Roman" w:hAnsi="Arial" w:cs="Arial"/>
                <w:sz w:val="18"/>
                <w:szCs w:val="18"/>
              </w:rPr>
            </w:pPr>
            <w:r w:rsidRPr="00AD7F10">
              <w:rPr>
                <w:rFonts w:ascii="Arial" w:hAnsi="Arial" w:cs="Arial"/>
                <w:sz w:val="18"/>
                <w:szCs w:val="18"/>
              </w:rPr>
              <w:t>6.955</w:t>
            </w:r>
          </w:p>
        </w:tc>
      </w:tr>
      <w:tr w:rsidR="00577831" w:rsidRPr="003D1614" w14:paraId="26E0273C" w14:textId="77777777" w:rsidTr="007478FB">
        <w:trPr>
          <w:cantSplit/>
          <w:trHeight w:val="250"/>
          <w:tblHeader/>
        </w:trPr>
        <w:tc>
          <w:tcPr>
            <w:tcW w:w="2532" w:type="pct"/>
            <w:vAlign w:val="bottom"/>
          </w:tcPr>
          <w:p w14:paraId="36ED3508" w14:textId="77777777" w:rsidR="00577831" w:rsidRPr="003D1614" w:rsidRDefault="00577831" w:rsidP="00577831">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705" w:name="_Toc67329801"/>
            <w:r w:rsidRPr="003D1614">
              <w:rPr>
                <w:rFonts w:ascii="Arial" w:eastAsia="Times New Roman" w:hAnsi="Arial" w:cs="Arial"/>
                <w:color w:val="000000" w:themeColor="text1"/>
                <w:sz w:val="18"/>
                <w:szCs w:val="18"/>
              </w:rPr>
              <w:t>Proizvodnja kemikalija i kemijskih proizvoda</w:t>
            </w:r>
            <w:bookmarkEnd w:id="705"/>
          </w:p>
        </w:tc>
        <w:tc>
          <w:tcPr>
            <w:tcW w:w="617" w:type="pct"/>
            <w:tcBorders>
              <w:top w:val="nil"/>
              <w:left w:val="nil"/>
              <w:bottom w:val="nil"/>
              <w:right w:val="nil"/>
            </w:tcBorders>
            <w:shd w:val="clear" w:color="auto" w:fill="auto"/>
            <w:vAlign w:val="bottom"/>
          </w:tcPr>
          <w:p w14:paraId="45185769" w14:textId="075A93E8" w:rsidR="00577831" w:rsidRPr="003D1614" w:rsidRDefault="00577831" w:rsidP="00577831">
            <w:pPr>
              <w:tabs>
                <w:tab w:val="right" w:pos="1202"/>
              </w:tabs>
              <w:suppressAutoHyphens/>
              <w:autoSpaceDN w:val="0"/>
              <w:spacing w:line="301" w:lineRule="exact"/>
              <w:jc w:val="right"/>
              <w:outlineLvl w:val="0"/>
              <w:rPr>
                <w:rFonts w:ascii="Arial" w:eastAsia="Times New Roman" w:hAnsi="Arial" w:cs="Arial"/>
                <w:sz w:val="18"/>
                <w:szCs w:val="18"/>
              </w:rPr>
            </w:pPr>
            <w:r w:rsidRPr="00871171">
              <w:rPr>
                <w:rFonts w:ascii="Arial" w:eastAsia="Times New Roman" w:hAnsi="Arial" w:cs="Arial"/>
                <w:sz w:val="18"/>
                <w:szCs w:val="18"/>
              </w:rPr>
              <w:t>12.031</w:t>
            </w:r>
          </w:p>
        </w:tc>
        <w:tc>
          <w:tcPr>
            <w:tcW w:w="617" w:type="pct"/>
            <w:tcBorders>
              <w:top w:val="nil"/>
              <w:left w:val="nil"/>
              <w:bottom w:val="nil"/>
              <w:right w:val="nil"/>
            </w:tcBorders>
            <w:shd w:val="clear" w:color="auto" w:fill="auto"/>
            <w:vAlign w:val="bottom"/>
          </w:tcPr>
          <w:p w14:paraId="51DE3960" w14:textId="38E8F2FD" w:rsidR="00577831" w:rsidRPr="003D1614" w:rsidRDefault="00577831" w:rsidP="00577831">
            <w:pPr>
              <w:tabs>
                <w:tab w:val="right" w:pos="1202"/>
              </w:tabs>
              <w:suppressAutoHyphens/>
              <w:autoSpaceDN w:val="0"/>
              <w:spacing w:line="301" w:lineRule="exact"/>
              <w:jc w:val="right"/>
              <w:outlineLvl w:val="0"/>
              <w:rPr>
                <w:rFonts w:ascii="Arial" w:eastAsia="Times New Roman" w:hAnsi="Arial" w:cs="Arial"/>
                <w:sz w:val="18"/>
                <w:szCs w:val="18"/>
              </w:rPr>
            </w:pPr>
            <w:r w:rsidRPr="00871171">
              <w:rPr>
                <w:rFonts w:ascii="Arial" w:eastAsia="Times New Roman" w:hAnsi="Arial" w:cs="Arial"/>
                <w:sz w:val="18"/>
                <w:szCs w:val="18"/>
              </w:rPr>
              <w:t>952</w:t>
            </w:r>
          </w:p>
        </w:tc>
        <w:tc>
          <w:tcPr>
            <w:tcW w:w="617" w:type="pct"/>
            <w:tcBorders>
              <w:top w:val="nil"/>
              <w:left w:val="nil"/>
              <w:bottom w:val="nil"/>
              <w:right w:val="nil"/>
            </w:tcBorders>
            <w:shd w:val="clear" w:color="auto" w:fill="auto"/>
            <w:vAlign w:val="bottom"/>
          </w:tcPr>
          <w:p w14:paraId="554BF6BC" w14:textId="281E4054" w:rsidR="00577831" w:rsidRPr="00617755" w:rsidRDefault="00577831" w:rsidP="00577831">
            <w:pPr>
              <w:tabs>
                <w:tab w:val="right" w:pos="1202"/>
              </w:tabs>
              <w:suppressAutoHyphens/>
              <w:autoSpaceDN w:val="0"/>
              <w:spacing w:line="301" w:lineRule="exact"/>
              <w:jc w:val="right"/>
              <w:outlineLvl w:val="0"/>
              <w:rPr>
                <w:rFonts w:ascii="Arial" w:eastAsia="Times New Roman" w:hAnsi="Arial" w:cs="Arial"/>
                <w:sz w:val="18"/>
                <w:szCs w:val="18"/>
              </w:rPr>
            </w:pPr>
            <w:r w:rsidRPr="00AD7F10">
              <w:rPr>
                <w:rFonts w:ascii="Arial" w:hAnsi="Arial" w:cs="Arial"/>
                <w:sz w:val="18"/>
                <w:szCs w:val="18"/>
              </w:rPr>
              <w:t>14.881</w:t>
            </w:r>
          </w:p>
        </w:tc>
        <w:tc>
          <w:tcPr>
            <w:tcW w:w="617" w:type="pct"/>
            <w:tcBorders>
              <w:top w:val="nil"/>
              <w:left w:val="nil"/>
              <w:bottom w:val="nil"/>
              <w:right w:val="nil"/>
            </w:tcBorders>
            <w:shd w:val="clear" w:color="auto" w:fill="auto"/>
            <w:vAlign w:val="bottom"/>
          </w:tcPr>
          <w:p w14:paraId="5E45627C" w14:textId="2B96954F" w:rsidR="00577831" w:rsidRPr="00617755" w:rsidRDefault="00577831" w:rsidP="00577831">
            <w:pPr>
              <w:tabs>
                <w:tab w:val="right" w:pos="1202"/>
              </w:tabs>
              <w:suppressAutoHyphens/>
              <w:autoSpaceDN w:val="0"/>
              <w:spacing w:line="301" w:lineRule="exact"/>
              <w:jc w:val="right"/>
              <w:outlineLvl w:val="0"/>
              <w:rPr>
                <w:rFonts w:ascii="Arial" w:eastAsia="Times New Roman" w:hAnsi="Arial" w:cs="Arial"/>
                <w:sz w:val="18"/>
                <w:szCs w:val="18"/>
              </w:rPr>
            </w:pPr>
            <w:r w:rsidRPr="00AD7F10">
              <w:rPr>
                <w:rFonts w:ascii="Arial" w:hAnsi="Arial" w:cs="Arial"/>
                <w:sz w:val="18"/>
                <w:szCs w:val="18"/>
              </w:rPr>
              <w:t>1.239</w:t>
            </w:r>
          </w:p>
        </w:tc>
      </w:tr>
      <w:tr w:rsidR="00577831" w:rsidRPr="003D1614" w14:paraId="6D7EBFF9" w14:textId="77777777" w:rsidTr="007478FB">
        <w:trPr>
          <w:cantSplit/>
          <w:trHeight w:val="250"/>
          <w:tblHeader/>
        </w:trPr>
        <w:tc>
          <w:tcPr>
            <w:tcW w:w="2532" w:type="pct"/>
            <w:vAlign w:val="bottom"/>
          </w:tcPr>
          <w:p w14:paraId="004DE9C4" w14:textId="77777777" w:rsidR="00577831" w:rsidRPr="003D1614" w:rsidRDefault="00577831" w:rsidP="00577831">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706" w:name="_Toc67329806"/>
            <w:r w:rsidRPr="003D1614">
              <w:rPr>
                <w:rFonts w:ascii="Arial" w:eastAsia="Times New Roman" w:hAnsi="Arial" w:cs="Arial"/>
                <w:color w:val="000000" w:themeColor="text1"/>
                <w:sz w:val="18"/>
                <w:szCs w:val="18"/>
              </w:rPr>
              <w:t>Proizvodnja ostalih nemetalnih mineralnih proizvoda</w:t>
            </w:r>
            <w:bookmarkEnd w:id="706"/>
            <w:r w:rsidRPr="003D1614">
              <w:rPr>
                <w:rFonts w:ascii="Arial" w:eastAsia="Times New Roman" w:hAnsi="Arial" w:cs="Arial"/>
                <w:color w:val="000000" w:themeColor="text1"/>
                <w:sz w:val="18"/>
                <w:szCs w:val="18"/>
              </w:rPr>
              <w:t xml:space="preserve"> </w:t>
            </w:r>
          </w:p>
        </w:tc>
        <w:tc>
          <w:tcPr>
            <w:tcW w:w="617" w:type="pct"/>
            <w:tcBorders>
              <w:top w:val="nil"/>
              <w:left w:val="nil"/>
              <w:bottom w:val="nil"/>
              <w:right w:val="nil"/>
            </w:tcBorders>
            <w:shd w:val="clear" w:color="auto" w:fill="auto"/>
            <w:vAlign w:val="bottom"/>
          </w:tcPr>
          <w:p w14:paraId="480DA3D3" w14:textId="5BBEA73B" w:rsidR="00577831" w:rsidRPr="003D1614" w:rsidRDefault="00577831" w:rsidP="00577831">
            <w:pPr>
              <w:tabs>
                <w:tab w:val="right" w:pos="1202"/>
              </w:tabs>
              <w:suppressAutoHyphens/>
              <w:autoSpaceDN w:val="0"/>
              <w:spacing w:line="301" w:lineRule="exact"/>
              <w:jc w:val="right"/>
              <w:outlineLvl w:val="0"/>
              <w:rPr>
                <w:rFonts w:ascii="Arial" w:eastAsia="Times New Roman" w:hAnsi="Arial" w:cs="Arial"/>
                <w:sz w:val="18"/>
                <w:szCs w:val="18"/>
              </w:rPr>
            </w:pPr>
            <w:r w:rsidRPr="00871171">
              <w:rPr>
                <w:rFonts w:ascii="Arial" w:eastAsia="Times New Roman" w:hAnsi="Arial" w:cs="Arial"/>
                <w:sz w:val="18"/>
                <w:szCs w:val="18"/>
              </w:rPr>
              <w:t>32.248</w:t>
            </w:r>
          </w:p>
        </w:tc>
        <w:tc>
          <w:tcPr>
            <w:tcW w:w="617" w:type="pct"/>
            <w:tcBorders>
              <w:top w:val="nil"/>
              <w:left w:val="nil"/>
              <w:bottom w:val="nil"/>
              <w:right w:val="nil"/>
            </w:tcBorders>
            <w:shd w:val="clear" w:color="auto" w:fill="auto"/>
            <w:vAlign w:val="bottom"/>
          </w:tcPr>
          <w:p w14:paraId="4E52A228" w14:textId="3C225BAC" w:rsidR="00577831" w:rsidRPr="003D1614" w:rsidRDefault="00577831" w:rsidP="00577831">
            <w:pPr>
              <w:tabs>
                <w:tab w:val="right" w:pos="1202"/>
              </w:tabs>
              <w:suppressAutoHyphens/>
              <w:autoSpaceDN w:val="0"/>
              <w:spacing w:line="301" w:lineRule="exact"/>
              <w:jc w:val="right"/>
              <w:outlineLvl w:val="0"/>
              <w:rPr>
                <w:rFonts w:ascii="Arial" w:eastAsia="Times New Roman" w:hAnsi="Arial" w:cs="Arial"/>
                <w:sz w:val="18"/>
                <w:szCs w:val="18"/>
              </w:rPr>
            </w:pPr>
            <w:r w:rsidRPr="00871171">
              <w:rPr>
                <w:rFonts w:ascii="Arial" w:eastAsia="Times New Roman" w:hAnsi="Arial" w:cs="Arial"/>
                <w:sz w:val="18"/>
                <w:szCs w:val="18"/>
              </w:rPr>
              <w:t>7.720</w:t>
            </w:r>
          </w:p>
        </w:tc>
        <w:tc>
          <w:tcPr>
            <w:tcW w:w="617" w:type="pct"/>
            <w:tcBorders>
              <w:top w:val="nil"/>
              <w:left w:val="nil"/>
              <w:bottom w:val="nil"/>
              <w:right w:val="nil"/>
            </w:tcBorders>
            <w:shd w:val="clear" w:color="auto" w:fill="auto"/>
            <w:vAlign w:val="bottom"/>
          </w:tcPr>
          <w:p w14:paraId="5323ABDA" w14:textId="4AEAB36B" w:rsidR="00577831" w:rsidRPr="00617755" w:rsidRDefault="00577831" w:rsidP="00577831">
            <w:pPr>
              <w:tabs>
                <w:tab w:val="right" w:pos="1202"/>
              </w:tabs>
              <w:suppressAutoHyphens/>
              <w:autoSpaceDN w:val="0"/>
              <w:spacing w:line="301" w:lineRule="exact"/>
              <w:jc w:val="right"/>
              <w:outlineLvl w:val="0"/>
              <w:rPr>
                <w:rFonts w:ascii="Arial" w:eastAsia="Times New Roman" w:hAnsi="Arial" w:cs="Arial"/>
                <w:sz w:val="18"/>
                <w:szCs w:val="18"/>
              </w:rPr>
            </w:pPr>
            <w:r w:rsidRPr="00AD7F10">
              <w:rPr>
                <w:rFonts w:ascii="Arial" w:hAnsi="Arial" w:cs="Arial"/>
                <w:sz w:val="18"/>
                <w:szCs w:val="18"/>
              </w:rPr>
              <w:t>36.124</w:t>
            </w:r>
          </w:p>
        </w:tc>
        <w:tc>
          <w:tcPr>
            <w:tcW w:w="617" w:type="pct"/>
            <w:tcBorders>
              <w:top w:val="nil"/>
              <w:left w:val="nil"/>
              <w:bottom w:val="nil"/>
              <w:right w:val="nil"/>
            </w:tcBorders>
            <w:shd w:val="clear" w:color="auto" w:fill="auto"/>
            <w:vAlign w:val="bottom"/>
          </w:tcPr>
          <w:p w14:paraId="1A84A370" w14:textId="28F1E0CC" w:rsidR="00577831" w:rsidRPr="00617755" w:rsidRDefault="00577831" w:rsidP="00577831">
            <w:pPr>
              <w:tabs>
                <w:tab w:val="right" w:pos="1202"/>
              </w:tabs>
              <w:suppressAutoHyphens/>
              <w:autoSpaceDN w:val="0"/>
              <w:spacing w:line="301" w:lineRule="exact"/>
              <w:jc w:val="right"/>
              <w:outlineLvl w:val="0"/>
              <w:rPr>
                <w:rFonts w:ascii="Arial" w:eastAsia="Times New Roman" w:hAnsi="Arial" w:cs="Arial"/>
                <w:sz w:val="18"/>
                <w:szCs w:val="18"/>
              </w:rPr>
            </w:pPr>
            <w:r w:rsidRPr="00AD7F10">
              <w:rPr>
                <w:rFonts w:ascii="Arial" w:hAnsi="Arial" w:cs="Arial"/>
                <w:sz w:val="18"/>
                <w:szCs w:val="18"/>
              </w:rPr>
              <w:t>8.176</w:t>
            </w:r>
          </w:p>
        </w:tc>
      </w:tr>
      <w:tr w:rsidR="00577831" w:rsidRPr="003D1614" w14:paraId="1913D922" w14:textId="77777777" w:rsidTr="007478FB">
        <w:trPr>
          <w:cantSplit/>
          <w:trHeight w:val="250"/>
          <w:tblHeader/>
        </w:trPr>
        <w:tc>
          <w:tcPr>
            <w:tcW w:w="2532" w:type="pct"/>
            <w:vAlign w:val="bottom"/>
          </w:tcPr>
          <w:p w14:paraId="3297ADD1" w14:textId="77777777" w:rsidR="00577831" w:rsidRPr="003D1614" w:rsidRDefault="00577831" w:rsidP="00577831">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707" w:name="_Toc67329811"/>
            <w:r w:rsidRPr="003D1614">
              <w:rPr>
                <w:rFonts w:ascii="Arial" w:eastAsia="Times New Roman" w:hAnsi="Arial" w:cs="Arial"/>
                <w:color w:val="000000" w:themeColor="text1"/>
                <w:sz w:val="18"/>
                <w:szCs w:val="18"/>
              </w:rPr>
              <w:t>Proizvodnja farmaceutskih pripravaka</w:t>
            </w:r>
            <w:bookmarkEnd w:id="707"/>
          </w:p>
        </w:tc>
        <w:tc>
          <w:tcPr>
            <w:tcW w:w="617" w:type="pct"/>
            <w:tcBorders>
              <w:top w:val="nil"/>
              <w:left w:val="nil"/>
              <w:bottom w:val="nil"/>
              <w:right w:val="nil"/>
            </w:tcBorders>
            <w:shd w:val="clear" w:color="auto" w:fill="auto"/>
            <w:vAlign w:val="bottom"/>
          </w:tcPr>
          <w:p w14:paraId="7FF3F63A" w14:textId="0D23BC24" w:rsidR="00577831" w:rsidRPr="003D1614" w:rsidRDefault="00577831" w:rsidP="00577831">
            <w:pPr>
              <w:tabs>
                <w:tab w:val="right" w:pos="1202"/>
              </w:tabs>
              <w:suppressAutoHyphens/>
              <w:autoSpaceDN w:val="0"/>
              <w:spacing w:line="301" w:lineRule="exact"/>
              <w:jc w:val="right"/>
              <w:outlineLvl w:val="0"/>
              <w:rPr>
                <w:rFonts w:ascii="Arial" w:eastAsia="Times New Roman" w:hAnsi="Arial" w:cs="Arial"/>
                <w:sz w:val="18"/>
                <w:szCs w:val="18"/>
              </w:rPr>
            </w:pPr>
            <w:r w:rsidRPr="00871171">
              <w:rPr>
                <w:rFonts w:ascii="Arial" w:eastAsia="Times New Roman" w:hAnsi="Arial" w:cs="Arial"/>
                <w:sz w:val="18"/>
                <w:szCs w:val="18"/>
              </w:rPr>
              <w:t>64.231</w:t>
            </w:r>
          </w:p>
        </w:tc>
        <w:tc>
          <w:tcPr>
            <w:tcW w:w="617" w:type="pct"/>
            <w:tcBorders>
              <w:top w:val="nil"/>
              <w:left w:val="nil"/>
              <w:bottom w:val="nil"/>
              <w:right w:val="nil"/>
            </w:tcBorders>
            <w:shd w:val="clear" w:color="auto" w:fill="auto"/>
            <w:vAlign w:val="bottom"/>
          </w:tcPr>
          <w:p w14:paraId="4D39FDF7" w14:textId="2EF55EB6" w:rsidR="00577831" w:rsidRPr="003D1614" w:rsidRDefault="00577831" w:rsidP="00577831">
            <w:pPr>
              <w:tabs>
                <w:tab w:val="right" w:pos="1202"/>
              </w:tabs>
              <w:suppressAutoHyphens/>
              <w:autoSpaceDN w:val="0"/>
              <w:spacing w:line="301" w:lineRule="exact"/>
              <w:jc w:val="right"/>
              <w:outlineLvl w:val="0"/>
              <w:rPr>
                <w:rFonts w:ascii="Arial" w:eastAsia="Times New Roman" w:hAnsi="Arial" w:cs="Arial"/>
                <w:sz w:val="18"/>
                <w:szCs w:val="18"/>
              </w:rPr>
            </w:pPr>
            <w:r w:rsidRPr="00871171">
              <w:rPr>
                <w:rFonts w:ascii="Arial" w:eastAsia="Times New Roman" w:hAnsi="Arial" w:cs="Arial"/>
                <w:sz w:val="18"/>
                <w:szCs w:val="18"/>
              </w:rPr>
              <w:t>3.897</w:t>
            </w:r>
          </w:p>
        </w:tc>
        <w:tc>
          <w:tcPr>
            <w:tcW w:w="617" w:type="pct"/>
            <w:tcBorders>
              <w:top w:val="nil"/>
              <w:left w:val="nil"/>
              <w:bottom w:val="nil"/>
              <w:right w:val="nil"/>
            </w:tcBorders>
            <w:shd w:val="clear" w:color="auto" w:fill="auto"/>
            <w:vAlign w:val="bottom"/>
          </w:tcPr>
          <w:p w14:paraId="44D0BFFA" w14:textId="6249AC2D" w:rsidR="00577831" w:rsidRPr="00617755" w:rsidRDefault="00577831" w:rsidP="00577831">
            <w:pPr>
              <w:tabs>
                <w:tab w:val="right" w:pos="1202"/>
              </w:tabs>
              <w:suppressAutoHyphens/>
              <w:autoSpaceDN w:val="0"/>
              <w:spacing w:line="301" w:lineRule="exact"/>
              <w:jc w:val="right"/>
              <w:outlineLvl w:val="0"/>
              <w:rPr>
                <w:rFonts w:ascii="Arial" w:eastAsia="Times New Roman" w:hAnsi="Arial" w:cs="Arial"/>
                <w:sz w:val="18"/>
                <w:szCs w:val="18"/>
              </w:rPr>
            </w:pPr>
            <w:r w:rsidRPr="00AD7F10">
              <w:rPr>
                <w:rFonts w:ascii="Arial" w:hAnsi="Arial" w:cs="Arial"/>
                <w:sz w:val="18"/>
                <w:szCs w:val="18"/>
              </w:rPr>
              <w:t>67.371</w:t>
            </w:r>
          </w:p>
        </w:tc>
        <w:tc>
          <w:tcPr>
            <w:tcW w:w="617" w:type="pct"/>
            <w:tcBorders>
              <w:top w:val="nil"/>
              <w:left w:val="nil"/>
              <w:bottom w:val="nil"/>
              <w:right w:val="nil"/>
            </w:tcBorders>
            <w:shd w:val="clear" w:color="auto" w:fill="auto"/>
            <w:vAlign w:val="bottom"/>
          </w:tcPr>
          <w:p w14:paraId="1761AC18" w14:textId="3F5F31C9" w:rsidR="00577831" w:rsidRPr="00617755" w:rsidRDefault="00577831" w:rsidP="00577831">
            <w:pPr>
              <w:tabs>
                <w:tab w:val="right" w:pos="1202"/>
              </w:tabs>
              <w:suppressAutoHyphens/>
              <w:autoSpaceDN w:val="0"/>
              <w:spacing w:line="301" w:lineRule="exact"/>
              <w:jc w:val="right"/>
              <w:outlineLvl w:val="0"/>
              <w:rPr>
                <w:rFonts w:ascii="Arial" w:eastAsia="Times New Roman" w:hAnsi="Arial" w:cs="Arial"/>
                <w:sz w:val="18"/>
                <w:szCs w:val="18"/>
              </w:rPr>
            </w:pPr>
            <w:r w:rsidRPr="00AD7F10">
              <w:rPr>
                <w:rFonts w:ascii="Arial" w:hAnsi="Arial" w:cs="Arial"/>
                <w:sz w:val="18"/>
                <w:szCs w:val="18"/>
              </w:rPr>
              <w:t>7.435</w:t>
            </w:r>
          </w:p>
        </w:tc>
      </w:tr>
      <w:tr w:rsidR="00577831" w:rsidRPr="003D1614" w14:paraId="33B5D809" w14:textId="77777777" w:rsidTr="007478FB">
        <w:trPr>
          <w:cantSplit/>
          <w:trHeight w:val="250"/>
          <w:tblHeader/>
        </w:trPr>
        <w:tc>
          <w:tcPr>
            <w:tcW w:w="2532" w:type="pct"/>
            <w:vAlign w:val="bottom"/>
          </w:tcPr>
          <w:p w14:paraId="297D9A9C" w14:textId="77777777" w:rsidR="00577831" w:rsidRPr="003D1614" w:rsidRDefault="00577831" w:rsidP="00577831">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708" w:name="_Toc67329816"/>
            <w:r w:rsidRPr="003D1614">
              <w:rPr>
                <w:rFonts w:ascii="Arial" w:eastAsia="Times New Roman" w:hAnsi="Arial" w:cs="Arial"/>
                <w:color w:val="000000" w:themeColor="text1"/>
                <w:sz w:val="18"/>
                <w:szCs w:val="18"/>
              </w:rPr>
              <w:t>Proizvodnja motornih vozila, prikolica i poluprikolica</w:t>
            </w:r>
            <w:bookmarkEnd w:id="708"/>
          </w:p>
        </w:tc>
        <w:tc>
          <w:tcPr>
            <w:tcW w:w="617" w:type="pct"/>
            <w:tcBorders>
              <w:top w:val="nil"/>
              <w:left w:val="nil"/>
              <w:bottom w:val="nil"/>
              <w:right w:val="nil"/>
            </w:tcBorders>
            <w:shd w:val="clear" w:color="auto" w:fill="auto"/>
            <w:vAlign w:val="bottom"/>
          </w:tcPr>
          <w:p w14:paraId="52A1216C" w14:textId="163F3759" w:rsidR="00577831" w:rsidRPr="003D1614" w:rsidRDefault="00577831" w:rsidP="00577831">
            <w:pPr>
              <w:tabs>
                <w:tab w:val="right" w:pos="1202"/>
              </w:tabs>
              <w:suppressAutoHyphens/>
              <w:autoSpaceDN w:val="0"/>
              <w:spacing w:line="301" w:lineRule="exact"/>
              <w:jc w:val="right"/>
              <w:outlineLvl w:val="0"/>
              <w:rPr>
                <w:rFonts w:ascii="Arial" w:eastAsia="Times New Roman" w:hAnsi="Arial" w:cs="Arial"/>
                <w:sz w:val="18"/>
                <w:szCs w:val="18"/>
              </w:rPr>
            </w:pPr>
            <w:r w:rsidRPr="00871171">
              <w:rPr>
                <w:rFonts w:ascii="Arial" w:eastAsia="Times New Roman" w:hAnsi="Arial" w:cs="Arial"/>
                <w:sz w:val="18"/>
                <w:szCs w:val="18"/>
              </w:rPr>
              <w:t>11.979</w:t>
            </w:r>
          </w:p>
        </w:tc>
        <w:tc>
          <w:tcPr>
            <w:tcW w:w="617" w:type="pct"/>
            <w:tcBorders>
              <w:top w:val="nil"/>
              <w:left w:val="nil"/>
              <w:bottom w:val="nil"/>
              <w:right w:val="nil"/>
            </w:tcBorders>
            <w:shd w:val="clear" w:color="auto" w:fill="auto"/>
            <w:vAlign w:val="bottom"/>
          </w:tcPr>
          <w:p w14:paraId="0A8C0268" w14:textId="123B12E6" w:rsidR="00577831" w:rsidRPr="003D1614" w:rsidRDefault="00577831" w:rsidP="00577831">
            <w:pPr>
              <w:tabs>
                <w:tab w:val="right" w:pos="1202"/>
              </w:tabs>
              <w:suppressAutoHyphens/>
              <w:autoSpaceDN w:val="0"/>
              <w:spacing w:line="301" w:lineRule="exact"/>
              <w:jc w:val="right"/>
              <w:outlineLvl w:val="0"/>
              <w:rPr>
                <w:rFonts w:ascii="Arial" w:eastAsia="Times New Roman" w:hAnsi="Arial" w:cs="Arial"/>
                <w:sz w:val="18"/>
                <w:szCs w:val="18"/>
              </w:rPr>
            </w:pPr>
            <w:r w:rsidRPr="00871171">
              <w:rPr>
                <w:rFonts w:ascii="Arial" w:eastAsia="Times New Roman" w:hAnsi="Arial" w:cs="Arial"/>
                <w:sz w:val="18"/>
                <w:szCs w:val="18"/>
              </w:rPr>
              <w:t>396</w:t>
            </w:r>
          </w:p>
        </w:tc>
        <w:tc>
          <w:tcPr>
            <w:tcW w:w="617" w:type="pct"/>
            <w:tcBorders>
              <w:top w:val="nil"/>
              <w:left w:val="nil"/>
              <w:bottom w:val="nil"/>
              <w:right w:val="nil"/>
            </w:tcBorders>
            <w:shd w:val="clear" w:color="auto" w:fill="auto"/>
            <w:vAlign w:val="bottom"/>
          </w:tcPr>
          <w:p w14:paraId="3844FEE9" w14:textId="4205B407" w:rsidR="00577831" w:rsidRPr="00617755" w:rsidRDefault="00577831" w:rsidP="00577831">
            <w:pPr>
              <w:tabs>
                <w:tab w:val="right" w:pos="1202"/>
              </w:tabs>
              <w:suppressAutoHyphens/>
              <w:autoSpaceDN w:val="0"/>
              <w:spacing w:line="301" w:lineRule="exact"/>
              <w:jc w:val="right"/>
              <w:outlineLvl w:val="0"/>
              <w:rPr>
                <w:rFonts w:ascii="Arial" w:eastAsia="Times New Roman" w:hAnsi="Arial" w:cs="Arial"/>
                <w:sz w:val="18"/>
                <w:szCs w:val="18"/>
              </w:rPr>
            </w:pPr>
            <w:r w:rsidRPr="00AD7F10">
              <w:rPr>
                <w:rFonts w:ascii="Arial" w:hAnsi="Arial" w:cs="Arial"/>
                <w:sz w:val="18"/>
                <w:szCs w:val="18"/>
              </w:rPr>
              <w:t>13.173</w:t>
            </w:r>
          </w:p>
        </w:tc>
        <w:tc>
          <w:tcPr>
            <w:tcW w:w="617" w:type="pct"/>
            <w:tcBorders>
              <w:top w:val="nil"/>
              <w:left w:val="nil"/>
              <w:bottom w:val="nil"/>
              <w:right w:val="nil"/>
            </w:tcBorders>
            <w:shd w:val="clear" w:color="auto" w:fill="auto"/>
            <w:vAlign w:val="bottom"/>
          </w:tcPr>
          <w:p w14:paraId="49F41426" w14:textId="6FD8395F" w:rsidR="00577831" w:rsidRPr="00617755" w:rsidRDefault="00577831" w:rsidP="00577831">
            <w:pPr>
              <w:tabs>
                <w:tab w:val="right" w:pos="1202"/>
              </w:tabs>
              <w:suppressAutoHyphens/>
              <w:autoSpaceDN w:val="0"/>
              <w:spacing w:line="301" w:lineRule="exact"/>
              <w:jc w:val="right"/>
              <w:outlineLvl w:val="0"/>
              <w:rPr>
                <w:rFonts w:ascii="Arial" w:eastAsia="Times New Roman" w:hAnsi="Arial" w:cs="Arial"/>
                <w:sz w:val="18"/>
                <w:szCs w:val="18"/>
              </w:rPr>
            </w:pPr>
            <w:r w:rsidRPr="00AD7F10">
              <w:rPr>
                <w:rFonts w:ascii="Arial" w:hAnsi="Arial" w:cs="Arial"/>
                <w:sz w:val="18"/>
                <w:szCs w:val="18"/>
              </w:rPr>
              <w:t>454</w:t>
            </w:r>
          </w:p>
        </w:tc>
      </w:tr>
      <w:tr w:rsidR="00577831" w:rsidRPr="003D1614" w14:paraId="271770A9" w14:textId="77777777" w:rsidTr="007478FB">
        <w:trPr>
          <w:cantSplit/>
          <w:trHeight w:val="250"/>
          <w:tblHeader/>
        </w:trPr>
        <w:tc>
          <w:tcPr>
            <w:tcW w:w="2532" w:type="pct"/>
            <w:vAlign w:val="bottom"/>
          </w:tcPr>
          <w:p w14:paraId="622DB021" w14:textId="77777777" w:rsidR="00577831" w:rsidRPr="003D1614" w:rsidRDefault="00577831" w:rsidP="00577831">
            <w:pPr>
              <w:tabs>
                <w:tab w:val="right" w:pos="1202"/>
              </w:tabs>
              <w:suppressAutoHyphens/>
              <w:autoSpaceDN w:val="0"/>
              <w:spacing w:line="301" w:lineRule="exact"/>
              <w:outlineLvl w:val="0"/>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Proizvodnja električne opreme</w:t>
            </w:r>
          </w:p>
        </w:tc>
        <w:tc>
          <w:tcPr>
            <w:tcW w:w="617" w:type="pct"/>
            <w:tcBorders>
              <w:top w:val="nil"/>
              <w:left w:val="nil"/>
              <w:bottom w:val="nil"/>
              <w:right w:val="nil"/>
            </w:tcBorders>
            <w:shd w:val="clear" w:color="auto" w:fill="auto"/>
            <w:vAlign w:val="bottom"/>
          </w:tcPr>
          <w:p w14:paraId="0DCABA2F" w14:textId="7F50B28E" w:rsidR="00577831" w:rsidRPr="003D1614" w:rsidRDefault="00577831" w:rsidP="00577831">
            <w:pPr>
              <w:tabs>
                <w:tab w:val="right" w:pos="1202"/>
              </w:tabs>
              <w:suppressAutoHyphens/>
              <w:autoSpaceDN w:val="0"/>
              <w:spacing w:line="301" w:lineRule="exact"/>
              <w:jc w:val="right"/>
              <w:outlineLvl w:val="0"/>
              <w:rPr>
                <w:rFonts w:ascii="Arial" w:eastAsia="Times New Roman" w:hAnsi="Arial" w:cs="Arial"/>
                <w:sz w:val="18"/>
                <w:szCs w:val="18"/>
              </w:rPr>
            </w:pPr>
            <w:r w:rsidRPr="00871171">
              <w:rPr>
                <w:rFonts w:ascii="Arial" w:eastAsia="Times New Roman" w:hAnsi="Arial" w:cs="Arial"/>
                <w:sz w:val="18"/>
                <w:szCs w:val="18"/>
              </w:rPr>
              <w:t>40.043</w:t>
            </w:r>
          </w:p>
        </w:tc>
        <w:tc>
          <w:tcPr>
            <w:tcW w:w="617" w:type="pct"/>
            <w:tcBorders>
              <w:top w:val="nil"/>
              <w:left w:val="nil"/>
              <w:bottom w:val="nil"/>
              <w:right w:val="nil"/>
            </w:tcBorders>
            <w:shd w:val="clear" w:color="auto" w:fill="auto"/>
            <w:vAlign w:val="bottom"/>
          </w:tcPr>
          <w:p w14:paraId="35554889" w14:textId="55DEE9D8" w:rsidR="00577831" w:rsidRPr="003D1614" w:rsidRDefault="00577831" w:rsidP="00577831">
            <w:pPr>
              <w:tabs>
                <w:tab w:val="right" w:pos="1202"/>
              </w:tabs>
              <w:suppressAutoHyphens/>
              <w:autoSpaceDN w:val="0"/>
              <w:spacing w:line="301" w:lineRule="exact"/>
              <w:jc w:val="right"/>
              <w:outlineLvl w:val="0"/>
              <w:rPr>
                <w:rFonts w:ascii="Arial" w:eastAsia="Times New Roman" w:hAnsi="Arial" w:cs="Arial"/>
                <w:sz w:val="18"/>
                <w:szCs w:val="18"/>
              </w:rPr>
            </w:pPr>
            <w:r w:rsidRPr="00871171">
              <w:rPr>
                <w:rFonts w:ascii="Arial" w:eastAsia="Times New Roman" w:hAnsi="Arial" w:cs="Arial"/>
                <w:sz w:val="18"/>
                <w:szCs w:val="18"/>
              </w:rPr>
              <w:t>27.782</w:t>
            </w:r>
          </w:p>
        </w:tc>
        <w:tc>
          <w:tcPr>
            <w:tcW w:w="617" w:type="pct"/>
            <w:tcBorders>
              <w:top w:val="nil"/>
              <w:left w:val="nil"/>
              <w:bottom w:val="nil"/>
              <w:right w:val="nil"/>
            </w:tcBorders>
            <w:shd w:val="clear" w:color="auto" w:fill="auto"/>
            <w:vAlign w:val="bottom"/>
          </w:tcPr>
          <w:p w14:paraId="23CC70BC" w14:textId="551DE0A1" w:rsidR="00577831" w:rsidRPr="003D1614" w:rsidRDefault="00577831" w:rsidP="00577831">
            <w:pPr>
              <w:tabs>
                <w:tab w:val="right" w:pos="1202"/>
              </w:tabs>
              <w:suppressAutoHyphens/>
              <w:autoSpaceDN w:val="0"/>
              <w:spacing w:line="301" w:lineRule="exact"/>
              <w:jc w:val="right"/>
              <w:outlineLvl w:val="0"/>
              <w:rPr>
                <w:rFonts w:ascii="Arial" w:eastAsia="Times New Roman" w:hAnsi="Arial" w:cs="Arial"/>
                <w:sz w:val="18"/>
                <w:szCs w:val="18"/>
              </w:rPr>
            </w:pPr>
            <w:r w:rsidRPr="00AD7F10">
              <w:rPr>
                <w:rFonts w:ascii="Arial" w:hAnsi="Arial" w:cs="Arial"/>
                <w:sz w:val="18"/>
                <w:szCs w:val="18"/>
              </w:rPr>
              <w:t>18.582</w:t>
            </w:r>
          </w:p>
        </w:tc>
        <w:tc>
          <w:tcPr>
            <w:tcW w:w="617" w:type="pct"/>
            <w:tcBorders>
              <w:top w:val="nil"/>
              <w:left w:val="nil"/>
              <w:bottom w:val="nil"/>
              <w:right w:val="nil"/>
            </w:tcBorders>
            <w:shd w:val="clear" w:color="auto" w:fill="auto"/>
            <w:vAlign w:val="bottom"/>
          </w:tcPr>
          <w:p w14:paraId="750DA247" w14:textId="763F68B6" w:rsidR="00577831" w:rsidRPr="003D1614" w:rsidRDefault="00577831" w:rsidP="00577831">
            <w:pPr>
              <w:tabs>
                <w:tab w:val="right" w:pos="1202"/>
              </w:tabs>
              <w:suppressAutoHyphens/>
              <w:autoSpaceDN w:val="0"/>
              <w:spacing w:line="301" w:lineRule="exact"/>
              <w:jc w:val="right"/>
              <w:outlineLvl w:val="0"/>
              <w:rPr>
                <w:rFonts w:ascii="Arial" w:eastAsia="Times New Roman" w:hAnsi="Arial" w:cs="Arial"/>
                <w:sz w:val="18"/>
                <w:szCs w:val="18"/>
              </w:rPr>
            </w:pPr>
            <w:r w:rsidRPr="00AD7F10">
              <w:rPr>
                <w:rFonts w:ascii="Arial" w:hAnsi="Arial" w:cs="Arial"/>
                <w:sz w:val="18"/>
                <w:szCs w:val="18"/>
              </w:rPr>
              <w:t>6.264</w:t>
            </w:r>
          </w:p>
        </w:tc>
      </w:tr>
      <w:tr w:rsidR="00577831" w:rsidRPr="003D1614" w14:paraId="70F12D8F" w14:textId="77777777" w:rsidTr="00E65E19">
        <w:trPr>
          <w:cantSplit/>
          <w:trHeight w:val="250"/>
          <w:tblHeader/>
        </w:trPr>
        <w:tc>
          <w:tcPr>
            <w:tcW w:w="2532" w:type="pct"/>
            <w:vAlign w:val="bottom"/>
          </w:tcPr>
          <w:p w14:paraId="4949C867" w14:textId="77777777" w:rsidR="00577831" w:rsidRPr="003D1614" w:rsidRDefault="00577831" w:rsidP="00577831">
            <w:pPr>
              <w:tabs>
                <w:tab w:val="right" w:pos="1202"/>
              </w:tabs>
              <w:suppressAutoHyphens/>
              <w:autoSpaceDN w:val="0"/>
              <w:spacing w:line="301" w:lineRule="exact"/>
              <w:outlineLvl w:val="0"/>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Proizvodnja strojeva i uređaja</w:t>
            </w:r>
          </w:p>
        </w:tc>
        <w:tc>
          <w:tcPr>
            <w:tcW w:w="617" w:type="pct"/>
            <w:tcBorders>
              <w:top w:val="nil"/>
              <w:left w:val="nil"/>
              <w:bottom w:val="nil"/>
              <w:right w:val="nil"/>
            </w:tcBorders>
            <w:shd w:val="clear" w:color="auto" w:fill="auto"/>
            <w:vAlign w:val="bottom"/>
          </w:tcPr>
          <w:p w14:paraId="2E99FC6C" w14:textId="63BDF1D6" w:rsidR="00577831" w:rsidRPr="003D1614" w:rsidRDefault="00577831" w:rsidP="00577831">
            <w:pPr>
              <w:tabs>
                <w:tab w:val="right" w:pos="1202"/>
              </w:tabs>
              <w:suppressAutoHyphens/>
              <w:autoSpaceDN w:val="0"/>
              <w:spacing w:line="301" w:lineRule="exact"/>
              <w:jc w:val="right"/>
              <w:outlineLvl w:val="0"/>
              <w:rPr>
                <w:rFonts w:ascii="Arial" w:eastAsia="Times New Roman" w:hAnsi="Arial" w:cs="Arial"/>
                <w:sz w:val="18"/>
                <w:szCs w:val="18"/>
              </w:rPr>
            </w:pPr>
            <w:r w:rsidRPr="00871171">
              <w:rPr>
                <w:rFonts w:ascii="Arial" w:eastAsia="Times New Roman" w:hAnsi="Arial" w:cs="Arial"/>
                <w:sz w:val="18"/>
                <w:szCs w:val="18"/>
              </w:rPr>
              <w:t>38.598</w:t>
            </w:r>
          </w:p>
        </w:tc>
        <w:tc>
          <w:tcPr>
            <w:tcW w:w="617" w:type="pct"/>
            <w:tcBorders>
              <w:top w:val="nil"/>
              <w:left w:val="nil"/>
              <w:bottom w:val="nil"/>
              <w:right w:val="nil"/>
            </w:tcBorders>
            <w:shd w:val="clear" w:color="auto" w:fill="auto"/>
            <w:vAlign w:val="bottom"/>
          </w:tcPr>
          <w:p w14:paraId="64758F60" w14:textId="08F38DF1" w:rsidR="00577831" w:rsidRPr="003D1614" w:rsidRDefault="00577831" w:rsidP="00577831">
            <w:pPr>
              <w:tabs>
                <w:tab w:val="right" w:pos="1202"/>
              </w:tabs>
              <w:suppressAutoHyphens/>
              <w:autoSpaceDN w:val="0"/>
              <w:spacing w:line="301" w:lineRule="exact"/>
              <w:jc w:val="right"/>
              <w:outlineLvl w:val="0"/>
              <w:rPr>
                <w:rFonts w:ascii="Arial" w:eastAsia="Times New Roman" w:hAnsi="Arial" w:cs="Arial"/>
                <w:sz w:val="18"/>
                <w:szCs w:val="18"/>
              </w:rPr>
            </w:pPr>
            <w:r w:rsidRPr="00871171">
              <w:rPr>
                <w:rFonts w:ascii="Arial" w:eastAsia="Times New Roman" w:hAnsi="Arial" w:cs="Arial"/>
                <w:sz w:val="18"/>
                <w:szCs w:val="18"/>
              </w:rPr>
              <w:t>3.011</w:t>
            </w:r>
          </w:p>
        </w:tc>
        <w:tc>
          <w:tcPr>
            <w:tcW w:w="617" w:type="pct"/>
            <w:tcBorders>
              <w:top w:val="nil"/>
              <w:left w:val="nil"/>
              <w:right w:val="nil"/>
            </w:tcBorders>
            <w:shd w:val="clear" w:color="auto" w:fill="auto"/>
            <w:vAlign w:val="bottom"/>
          </w:tcPr>
          <w:p w14:paraId="0D0A5568" w14:textId="79A1015B" w:rsidR="00577831" w:rsidRPr="003D1614" w:rsidRDefault="00577831" w:rsidP="00577831">
            <w:pPr>
              <w:tabs>
                <w:tab w:val="right" w:pos="1202"/>
              </w:tabs>
              <w:suppressAutoHyphens/>
              <w:autoSpaceDN w:val="0"/>
              <w:spacing w:line="301" w:lineRule="exact"/>
              <w:jc w:val="right"/>
              <w:outlineLvl w:val="0"/>
              <w:rPr>
                <w:rFonts w:ascii="Arial" w:eastAsia="Times New Roman" w:hAnsi="Arial" w:cs="Arial"/>
                <w:sz w:val="18"/>
                <w:szCs w:val="18"/>
              </w:rPr>
            </w:pPr>
            <w:r w:rsidRPr="00AD7F10">
              <w:rPr>
                <w:rFonts w:ascii="Arial" w:hAnsi="Arial" w:cs="Arial"/>
                <w:sz w:val="18"/>
                <w:szCs w:val="18"/>
              </w:rPr>
              <w:t>30.898</w:t>
            </w:r>
          </w:p>
        </w:tc>
        <w:tc>
          <w:tcPr>
            <w:tcW w:w="617" w:type="pct"/>
            <w:tcBorders>
              <w:top w:val="nil"/>
              <w:left w:val="nil"/>
              <w:right w:val="nil"/>
            </w:tcBorders>
            <w:shd w:val="clear" w:color="auto" w:fill="auto"/>
            <w:vAlign w:val="bottom"/>
          </w:tcPr>
          <w:p w14:paraId="607B301A" w14:textId="30BDE7FC" w:rsidR="00577831" w:rsidRPr="003D1614" w:rsidRDefault="00577831" w:rsidP="00577831">
            <w:pPr>
              <w:tabs>
                <w:tab w:val="right" w:pos="1202"/>
              </w:tabs>
              <w:suppressAutoHyphens/>
              <w:autoSpaceDN w:val="0"/>
              <w:spacing w:line="301" w:lineRule="exact"/>
              <w:jc w:val="right"/>
              <w:outlineLvl w:val="0"/>
              <w:rPr>
                <w:rFonts w:ascii="Arial" w:eastAsia="Times New Roman" w:hAnsi="Arial" w:cs="Arial"/>
                <w:sz w:val="18"/>
                <w:szCs w:val="18"/>
              </w:rPr>
            </w:pPr>
            <w:r w:rsidRPr="00AD7F10">
              <w:rPr>
                <w:rFonts w:ascii="Arial" w:hAnsi="Arial" w:cs="Arial"/>
                <w:sz w:val="18"/>
                <w:szCs w:val="18"/>
              </w:rPr>
              <w:t>3.016</w:t>
            </w:r>
          </w:p>
        </w:tc>
      </w:tr>
      <w:tr w:rsidR="00577831" w:rsidRPr="003D1614" w14:paraId="61C8DA64" w14:textId="77777777" w:rsidTr="00E65E19">
        <w:trPr>
          <w:cantSplit/>
          <w:trHeight w:val="250"/>
          <w:tblHeader/>
        </w:trPr>
        <w:tc>
          <w:tcPr>
            <w:tcW w:w="2532" w:type="pct"/>
            <w:vAlign w:val="bottom"/>
          </w:tcPr>
          <w:p w14:paraId="6F6DB82A" w14:textId="77777777" w:rsidR="00577831" w:rsidRPr="003D1614" w:rsidRDefault="00577831" w:rsidP="00577831">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709" w:name="_Toc67329821"/>
            <w:r w:rsidRPr="003D1614">
              <w:rPr>
                <w:rFonts w:ascii="Arial" w:eastAsia="Times New Roman" w:hAnsi="Arial" w:cs="Arial"/>
                <w:color w:val="000000" w:themeColor="text1"/>
                <w:sz w:val="18"/>
                <w:szCs w:val="18"/>
              </w:rPr>
              <w:t>Ostalo</w:t>
            </w:r>
            <w:bookmarkEnd w:id="709"/>
          </w:p>
        </w:tc>
        <w:tc>
          <w:tcPr>
            <w:tcW w:w="617" w:type="pct"/>
            <w:tcBorders>
              <w:top w:val="nil"/>
              <w:left w:val="nil"/>
              <w:bottom w:val="nil"/>
              <w:right w:val="nil"/>
            </w:tcBorders>
            <w:shd w:val="clear" w:color="auto" w:fill="auto"/>
            <w:vAlign w:val="bottom"/>
          </w:tcPr>
          <w:p w14:paraId="5F3F0EC7" w14:textId="0298F8F2" w:rsidR="00577831" w:rsidRPr="003D1614" w:rsidRDefault="00577831" w:rsidP="00577831">
            <w:pPr>
              <w:tabs>
                <w:tab w:val="right" w:pos="1202"/>
              </w:tabs>
              <w:suppressAutoHyphens/>
              <w:autoSpaceDN w:val="0"/>
              <w:spacing w:line="301" w:lineRule="exact"/>
              <w:jc w:val="right"/>
              <w:outlineLvl w:val="0"/>
              <w:rPr>
                <w:rFonts w:ascii="Arial" w:eastAsia="Times New Roman" w:hAnsi="Arial" w:cs="Arial"/>
                <w:sz w:val="18"/>
                <w:szCs w:val="18"/>
              </w:rPr>
            </w:pPr>
            <w:r w:rsidRPr="00871171">
              <w:rPr>
                <w:rFonts w:ascii="Arial" w:eastAsia="Times New Roman" w:hAnsi="Arial" w:cs="Arial"/>
                <w:sz w:val="18"/>
                <w:szCs w:val="18"/>
              </w:rPr>
              <w:t>267.512</w:t>
            </w:r>
          </w:p>
        </w:tc>
        <w:tc>
          <w:tcPr>
            <w:tcW w:w="617" w:type="pct"/>
            <w:tcBorders>
              <w:top w:val="nil"/>
              <w:left w:val="nil"/>
              <w:bottom w:val="nil"/>
              <w:right w:val="nil"/>
            </w:tcBorders>
            <w:shd w:val="clear" w:color="auto" w:fill="auto"/>
            <w:vAlign w:val="bottom"/>
          </w:tcPr>
          <w:p w14:paraId="1126DB50" w14:textId="41931DB4" w:rsidR="00577831" w:rsidRPr="003D1614" w:rsidRDefault="00577831" w:rsidP="00577831">
            <w:pPr>
              <w:tabs>
                <w:tab w:val="right" w:pos="1202"/>
              </w:tabs>
              <w:suppressAutoHyphens/>
              <w:autoSpaceDN w:val="0"/>
              <w:spacing w:line="301" w:lineRule="exact"/>
              <w:jc w:val="right"/>
              <w:outlineLvl w:val="0"/>
              <w:rPr>
                <w:rFonts w:ascii="Arial" w:eastAsia="Times New Roman" w:hAnsi="Arial" w:cs="Arial"/>
                <w:sz w:val="18"/>
                <w:szCs w:val="18"/>
              </w:rPr>
            </w:pPr>
            <w:r w:rsidRPr="00871171">
              <w:rPr>
                <w:rFonts w:ascii="Arial" w:eastAsia="Times New Roman" w:hAnsi="Arial" w:cs="Arial"/>
                <w:sz w:val="18"/>
                <w:szCs w:val="18"/>
              </w:rPr>
              <w:t>73.023</w:t>
            </w:r>
          </w:p>
        </w:tc>
        <w:tc>
          <w:tcPr>
            <w:tcW w:w="617" w:type="pct"/>
            <w:tcBorders>
              <w:top w:val="nil"/>
              <w:left w:val="nil"/>
              <w:bottom w:val="single" w:sz="4" w:space="0" w:color="auto"/>
              <w:right w:val="nil"/>
            </w:tcBorders>
            <w:shd w:val="clear" w:color="auto" w:fill="auto"/>
            <w:vAlign w:val="bottom"/>
          </w:tcPr>
          <w:p w14:paraId="1AB83893" w14:textId="007985FE" w:rsidR="00577831" w:rsidRPr="00617755" w:rsidRDefault="00577831" w:rsidP="00577831">
            <w:pPr>
              <w:tabs>
                <w:tab w:val="right" w:pos="1202"/>
              </w:tabs>
              <w:suppressAutoHyphens/>
              <w:autoSpaceDN w:val="0"/>
              <w:spacing w:line="301" w:lineRule="exact"/>
              <w:jc w:val="right"/>
              <w:outlineLvl w:val="0"/>
              <w:rPr>
                <w:rFonts w:ascii="Arial" w:eastAsia="Times New Roman" w:hAnsi="Arial" w:cs="Arial"/>
                <w:sz w:val="18"/>
                <w:szCs w:val="18"/>
              </w:rPr>
            </w:pPr>
            <w:r w:rsidRPr="00AD7F10">
              <w:rPr>
                <w:rFonts w:ascii="Arial" w:hAnsi="Arial" w:cs="Arial"/>
                <w:sz w:val="18"/>
                <w:szCs w:val="18"/>
              </w:rPr>
              <w:t>290.020</w:t>
            </w:r>
          </w:p>
        </w:tc>
        <w:tc>
          <w:tcPr>
            <w:tcW w:w="617" w:type="pct"/>
            <w:tcBorders>
              <w:top w:val="nil"/>
              <w:left w:val="nil"/>
              <w:bottom w:val="single" w:sz="4" w:space="0" w:color="auto"/>
              <w:right w:val="nil"/>
            </w:tcBorders>
            <w:shd w:val="clear" w:color="auto" w:fill="auto"/>
            <w:vAlign w:val="bottom"/>
          </w:tcPr>
          <w:p w14:paraId="285F0ED5" w14:textId="511613C6" w:rsidR="00577831" w:rsidRPr="00617755" w:rsidRDefault="00577831" w:rsidP="00577831">
            <w:pPr>
              <w:tabs>
                <w:tab w:val="right" w:pos="1202"/>
              </w:tabs>
              <w:suppressAutoHyphens/>
              <w:autoSpaceDN w:val="0"/>
              <w:spacing w:line="301" w:lineRule="exact"/>
              <w:jc w:val="right"/>
              <w:outlineLvl w:val="0"/>
              <w:rPr>
                <w:rFonts w:ascii="Arial" w:eastAsia="Times New Roman" w:hAnsi="Arial" w:cs="Arial"/>
                <w:sz w:val="18"/>
                <w:szCs w:val="18"/>
              </w:rPr>
            </w:pPr>
            <w:r w:rsidRPr="00AD7F10">
              <w:rPr>
                <w:rFonts w:ascii="Arial" w:hAnsi="Arial" w:cs="Arial"/>
                <w:sz w:val="18"/>
                <w:szCs w:val="18"/>
              </w:rPr>
              <w:t>80.092</w:t>
            </w:r>
          </w:p>
        </w:tc>
      </w:tr>
      <w:tr w:rsidR="00577831" w:rsidRPr="003D1614" w14:paraId="56E66FB1" w14:textId="77777777" w:rsidTr="007478FB">
        <w:tblPrEx>
          <w:tblCellMar>
            <w:left w:w="31" w:type="dxa"/>
            <w:right w:w="31" w:type="dxa"/>
          </w:tblCellMar>
        </w:tblPrEx>
        <w:trPr>
          <w:cantSplit/>
          <w:trHeight w:val="322"/>
          <w:tblHeader/>
        </w:trPr>
        <w:tc>
          <w:tcPr>
            <w:tcW w:w="2532" w:type="pct"/>
            <w:vAlign w:val="bottom"/>
          </w:tcPr>
          <w:p w14:paraId="42A5B195" w14:textId="77777777" w:rsidR="00577831" w:rsidRPr="003D1614" w:rsidRDefault="00577831" w:rsidP="00577831">
            <w:pPr>
              <w:suppressAutoHyphens/>
              <w:autoSpaceDN w:val="0"/>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Ukupna izloženost kreditnom riziku</w:t>
            </w:r>
          </w:p>
        </w:tc>
        <w:tc>
          <w:tcPr>
            <w:tcW w:w="617" w:type="pct"/>
            <w:tcBorders>
              <w:top w:val="single" w:sz="4" w:space="0" w:color="auto"/>
              <w:left w:val="nil"/>
              <w:bottom w:val="single" w:sz="12" w:space="0" w:color="auto"/>
              <w:right w:val="nil"/>
            </w:tcBorders>
            <w:shd w:val="clear" w:color="auto" w:fill="auto"/>
            <w:vAlign w:val="bottom"/>
          </w:tcPr>
          <w:p w14:paraId="699A88AD" w14:textId="43E7484D" w:rsidR="00577831" w:rsidRPr="003D1614" w:rsidRDefault="00577831" w:rsidP="00577831">
            <w:pPr>
              <w:tabs>
                <w:tab w:val="right" w:pos="1202"/>
              </w:tabs>
              <w:suppressAutoHyphens/>
              <w:autoSpaceDN w:val="0"/>
              <w:jc w:val="right"/>
              <w:outlineLvl w:val="0"/>
              <w:rPr>
                <w:rFonts w:ascii="Arial" w:eastAsia="Times New Roman" w:hAnsi="Arial" w:cs="Arial"/>
                <w:b/>
                <w:bCs/>
                <w:noProof/>
                <w:color w:val="000000" w:themeColor="text1"/>
                <w:sz w:val="18"/>
                <w:szCs w:val="18"/>
                <w:lang w:eastAsia="hr-HR"/>
              </w:rPr>
            </w:pPr>
            <w:r>
              <w:rPr>
                <w:rFonts w:ascii="Arial" w:eastAsia="Times New Roman" w:hAnsi="Arial" w:cs="Arial"/>
                <w:b/>
                <w:bCs/>
                <w:noProof/>
                <w:color w:val="000000" w:themeColor="text1"/>
                <w:sz w:val="18"/>
                <w:szCs w:val="18"/>
                <w:lang w:eastAsia="hr-HR"/>
              </w:rPr>
              <w:t>4.464.827</w:t>
            </w:r>
          </w:p>
        </w:tc>
        <w:tc>
          <w:tcPr>
            <w:tcW w:w="617" w:type="pct"/>
            <w:tcBorders>
              <w:top w:val="single" w:sz="4" w:space="0" w:color="auto"/>
              <w:left w:val="nil"/>
              <w:bottom w:val="single" w:sz="12" w:space="0" w:color="auto"/>
              <w:right w:val="nil"/>
            </w:tcBorders>
            <w:shd w:val="clear" w:color="auto" w:fill="auto"/>
            <w:vAlign w:val="bottom"/>
          </w:tcPr>
          <w:p w14:paraId="687A5619" w14:textId="1ACD8E83" w:rsidR="00577831" w:rsidRPr="003D1614" w:rsidRDefault="00577831" w:rsidP="00577831">
            <w:pPr>
              <w:tabs>
                <w:tab w:val="right" w:pos="1202"/>
              </w:tabs>
              <w:suppressAutoHyphens/>
              <w:autoSpaceDN w:val="0"/>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886.155</w:t>
            </w:r>
          </w:p>
        </w:tc>
        <w:tc>
          <w:tcPr>
            <w:tcW w:w="617" w:type="pct"/>
            <w:tcBorders>
              <w:top w:val="single" w:sz="4" w:space="0" w:color="auto"/>
              <w:left w:val="nil"/>
              <w:bottom w:val="single" w:sz="12" w:space="0" w:color="auto"/>
              <w:right w:val="nil"/>
            </w:tcBorders>
            <w:shd w:val="clear" w:color="auto" w:fill="auto"/>
            <w:vAlign w:val="bottom"/>
          </w:tcPr>
          <w:p w14:paraId="3845E396" w14:textId="57017D1A" w:rsidR="00577831" w:rsidRPr="003D1614" w:rsidRDefault="00577831" w:rsidP="00577831">
            <w:pPr>
              <w:tabs>
                <w:tab w:val="right" w:pos="1202"/>
              </w:tabs>
              <w:suppressAutoHyphens/>
              <w:autoSpaceDN w:val="0"/>
              <w:jc w:val="right"/>
              <w:outlineLvl w:val="0"/>
              <w:rPr>
                <w:rFonts w:ascii="Arial" w:eastAsia="Times New Roman" w:hAnsi="Arial" w:cs="Arial"/>
                <w:b/>
                <w:noProof/>
                <w:color w:val="000000" w:themeColor="text1"/>
                <w:sz w:val="18"/>
                <w:szCs w:val="18"/>
                <w:lang w:eastAsia="hr-HR"/>
              </w:rPr>
            </w:pPr>
            <w:r w:rsidRPr="006F3C83">
              <w:rPr>
                <w:rFonts w:ascii="Arial" w:hAnsi="Arial" w:cs="Arial"/>
                <w:b/>
                <w:bCs/>
                <w:noProof/>
                <w:color w:val="000000" w:themeColor="text1"/>
                <w:sz w:val="18"/>
                <w:szCs w:val="18"/>
                <w:lang w:eastAsia="hr-HR"/>
              </w:rPr>
              <w:t>4.457.933</w:t>
            </w:r>
          </w:p>
        </w:tc>
        <w:tc>
          <w:tcPr>
            <w:tcW w:w="617" w:type="pct"/>
            <w:tcBorders>
              <w:top w:val="single" w:sz="4" w:space="0" w:color="auto"/>
              <w:left w:val="nil"/>
              <w:bottom w:val="single" w:sz="12" w:space="0" w:color="auto"/>
              <w:right w:val="nil"/>
            </w:tcBorders>
            <w:shd w:val="clear" w:color="auto" w:fill="auto"/>
            <w:vAlign w:val="bottom"/>
          </w:tcPr>
          <w:p w14:paraId="6C38B78C" w14:textId="6F294282" w:rsidR="00577831" w:rsidRPr="003D1614" w:rsidRDefault="00577831" w:rsidP="00577831">
            <w:pPr>
              <w:tabs>
                <w:tab w:val="right" w:pos="1202"/>
              </w:tabs>
              <w:suppressAutoHyphens/>
              <w:autoSpaceDN w:val="0"/>
              <w:jc w:val="right"/>
              <w:outlineLvl w:val="0"/>
              <w:rPr>
                <w:rFonts w:ascii="Arial" w:eastAsia="Times New Roman" w:hAnsi="Arial" w:cs="Arial"/>
                <w:b/>
                <w:color w:val="000000" w:themeColor="text1"/>
                <w:sz w:val="18"/>
                <w:szCs w:val="18"/>
              </w:rPr>
            </w:pPr>
            <w:r w:rsidRPr="006F3C83">
              <w:rPr>
                <w:rFonts w:ascii="Arial" w:hAnsi="Arial" w:cs="Arial"/>
                <w:b/>
                <w:bCs/>
                <w:color w:val="000000" w:themeColor="text1"/>
                <w:sz w:val="18"/>
                <w:szCs w:val="18"/>
              </w:rPr>
              <w:t>774.551</w:t>
            </w:r>
          </w:p>
        </w:tc>
      </w:tr>
    </w:tbl>
    <w:p w14:paraId="6157C0A0" w14:textId="77777777" w:rsidR="001A0FCB" w:rsidRPr="003D1614" w:rsidRDefault="001A0FCB" w:rsidP="001A0FCB">
      <w:pPr>
        <w:keepNext/>
        <w:suppressAutoHyphens/>
        <w:autoSpaceDN w:val="0"/>
        <w:jc w:val="both"/>
        <w:outlineLvl w:val="0"/>
        <w:rPr>
          <w:rFonts w:ascii="Arial" w:eastAsia="Times New Roman" w:hAnsi="Arial" w:cs="Arial"/>
          <w:bCs/>
          <w:color w:val="000000" w:themeColor="text1"/>
          <w:sz w:val="20"/>
          <w:szCs w:val="20"/>
        </w:rPr>
      </w:pPr>
    </w:p>
    <w:p w14:paraId="7E85A678" w14:textId="77777777" w:rsidR="001A0FCB" w:rsidRPr="003D1614" w:rsidRDefault="001A0FCB" w:rsidP="001A0FCB">
      <w:pPr>
        <w:keepNext/>
        <w:suppressAutoHyphens/>
        <w:autoSpaceDN w:val="0"/>
        <w:jc w:val="both"/>
        <w:outlineLvl w:val="0"/>
        <w:rPr>
          <w:rFonts w:ascii="Arial" w:eastAsia="Times New Roman" w:hAnsi="Arial" w:cs="Arial"/>
          <w:bCs/>
          <w:color w:val="000000" w:themeColor="text1"/>
          <w:sz w:val="20"/>
          <w:szCs w:val="20"/>
        </w:rPr>
      </w:pPr>
    </w:p>
    <w:p w14:paraId="68503C75" w14:textId="77777777" w:rsidR="001A0FCB" w:rsidRPr="003D1614" w:rsidRDefault="001A0FCB" w:rsidP="001A0FCB">
      <w:pPr>
        <w:keepNext/>
        <w:suppressAutoHyphens/>
        <w:autoSpaceDN w:val="0"/>
        <w:jc w:val="both"/>
        <w:outlineLvl w:val="0"/>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 xml:space="preserve">Koncentracija imovine i garancija i preuzetih obveza prema industrijskim granama za obje godine sastavljena je sukladno Nacionalnoj klasifikaciji djelatnosti iz 2007. godine („NKD 2007.“). </w:t>
      </w:r>
    </w:p>
    <w:p w14:paraId="692C3FE0"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p>
    <w:p w14:paraId="619B5960" w14:textId="193C62B6" w:rsidR="001A0FCB" w:rsidRPr="003D1614" w:rsidRDefault="001A0FCB" w:rsidP="001A0FCB">
      <w:pPr>
        <w:suppressAutoHyphens/>
        <w:autoSpaceDN w:val="0"/>
        <w:jc w:val="both"/>
        <w:rPr>
          <w:rFonts w:ascii="Arial" w:eastAsia="Times New Roman" w:hAnsi="Arial" w:cs="Arial"/>
          <w:color w:val="000000" w:themeColor="text1"/>
          <w:sz w:val="20"/>
          <w:szCs w:val="20"/>
        </w:rPr>
        <w:sectPr w:rsidR="001A0FCB" w:rsidRPr="003D1614" w:rsidSect="00623DBA">
          <w:pgSz w:w="11907" w:h="16840" w:code="9"/>
          <w:pgMar w:top="1418" w:right="1134" w:bottom="1134" w:left="1418" w:header="851" w:footer="851" w:gutter="0"/>
          <w:cols w:space="720"/>
          <w:noEndnote/>
        </w:sectPr>
      </w:pPr>
      <w:r w:rsidRPr="003D1614">
        <w:rPr>
          <w:rFonts w:ascii="Arial" w:eastAsia="Times New Roman" w:hAnsi="Arial" w:cs="Arial"/>
          <w:color w:val="000000" w:themeColor="text1"/>
          <w:sz w:val="20"/>
          <w:szCs w:val="20"/>
        </w:rPr>
        <w:t>Pri sastavljanju bilješke primjenjuje se kombinirani pristup koji uvažava djelatnosti dužnika, zadržava nazive djelatnosti drugačije od onih u Nacionalnoj klasifikaciji djelatnosti te objedinjuje slične djelatnosti</w:t>
      </w:r>
      <w:r w:rsidR="00F92750">
        <w:rPr>
          <w:rFonts w:ascii="Arial" w:eastAsia="Times New Roman" w:hAnsi="Arial" w:cs="Arial"/>
          <w:color w:val="000000" w:themeColor="text1"/>
          <w:sz w:val="20"/>
          <w:szCs w:val="20"/>
        </w:rPr>
        <w:t>.</w:t>
      </w:r>
    </w:p>
    <w:p w14:paraId="493F509A"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p>
    <w:p w14:paraId="1D03FE16" w14:textId="30494989" w:rsidR="001A0FCB" w:rsidRPr="003D1614" w:rsidRDefault="003278AB" w:rsidP="001A0FCB">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001A0FCB" w:rsidRPr="003D1614">
        <w:rPr>
          <w:rFonts w:ascii="Arial" w:eastAsia="Times New Roman" w:hAnsi="Arial" w:cs="Arial"/>
          <w:b/>
          <w:bCs/>
          <w:color w:val="000000" w:themeColor="text1"/>
          <w:sz w:val="20"/>
          <w:szCs w:val="20"/>
        </w:rPr>
        <w:t>.</w:t>
      </w:r>
      <w:r w:rsidR="001A0FCB" w:rsidRPr="003D1614">
        <w:rPr>
          <w:rFonts w:ascii="Arial" w:eastAsia="Times New Roman" w:hAnsi="Arial" w:cs="Arial"/>
          <w:b/>
          <w:bCs/>
          <w:color w:val="000000" w:themeColor="text1"/>
          <w:sz w:val="20"/>
          <w:szCs w:val="20"/>
        </w:rPr>
        <w:tab/>
        <w:t>Upravljanje rizicima (nastavak)</w:t>
      </w:r>
    </w:p>
    <w:p w14:paraId="3D37592D"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p>
    <w:p w14:paraId="0F64DC42" w14:textId="648FF20F" w:rsidR="001A0FCB" w:rsidRPr="003D1614" w:rsidRDefault="003278AB" w:rsidP="001A0FCB">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001A0FCB" w:rsidRPr="003D1614">
        <w:rPr>
          <w:rFonts w:ascii="Arial" w:eastAsia="Times New Roman" w:hAnsi="Arial" w:cs="Arial"/>
          <w:b/>
          <w:bCs/>
          <w:color w:val="000000" w:themeColor="text1"/>
          <w:sz w:val="20"/>
          <w:szCs w:val="20"/>
        </w:rPr>
        <w:t xml:space="preserve">.3. </w:t>
      </w:r>
      <w:r w:rsidR="001A0FCB" w:rsidRPr="003D1614">
        <w:rPr>
          <w:rFonts w:ascii="Arial" w:eastAsia="Times New Roman" w:hAnsi="Arial" w:cs="Arial"/>
          <w:b/>
          <w:bCs/>
          <w:color w:val="000000" w:themeColor="text1"/>
          <w:sz w:val="20"/>
          <w:szCs w:val="20"/>
        </w:rPr>
        <w:tab/>
        <w:t>Kreditni rizik (nastavak)</w:t>
      </w:r>
    </w:p>
    <w:p w14:paraId="2B627957"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p>
    <w:p w14:paraId="7BD5BC45"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Koncentracija rizika i maksimalna izloženost kreditnom riziku (nastavak)</w:t>
      </w:r>
    </w:p>
    <w:p w14:paraId="51A48FB6" w14:textId="77777777" w:rsidR="001A0FCB" w:rsidRPr="003D1614" w:rsidRDefault="001A0FCB" w:rsidP="001A0FCB">
      <w:pPr>
        <w:tabs>
          <w:tab w:val="right" w:pos="9129"/>
        </w:tabs>
        <w:suppressAutoHyphens/>
        <w:autoSpaceDN w:val="0"/>
        <w:jc w:val="both"/>
        <w:rPr>
          <w:rFonts w:ascii="Arial" w:eastAsia="Times New Roman" w:hAnsi="Arial" w:cs="Arial"/>
          <w:bCs/>
          <w:color w:val="000000" w:themeColor="text1"/>
          <w:sz w:val="20"/>
          <w:szCs w:val="20"/>
        </w:rPr>
      </w:pPr>
    </w:p>
    <w:p w14:paraId="3C6DD6CF" w14:textId="77777777" w:rsidR="004C75B0" w:rsidRPr="003D1614" w:rsidRDefault="004C75B0" w:rsidP="004C75B0">
      <w:pPr>
        <w:tabs>
          <w:tab w:val="right" w:pos="9129"/>
        </w:tabs>
        <w:suppressAutoHyphens/>
        <w:autoSpaceDN w:val="0"/>
        <w:jc w:val="both"/>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 xml:space="preserve">Fer vrijednost instrumenata osiguranja </w:t>
      </w:r>
      <w:bookmarkStart w:id="710" w:name="_Hlk28596413"/>
      <w:r w:rsidRPr="003D1614">
        <w:rPr>
          <w:rFonts w:ascii="Arial" w:eastAsia="Times New Roman" w:hAnsi="Arial" w:cs="Arial"/>
          <w:bCs/>
          <w:color w:val="000000" w:themeColor="text1"/>
          <w:sz w:val="20"/>
          <w:szCs w:val="20"/>
        </w:rPr>
        <w:t>na dan 3</w:t>
      </w:r>
      <w:r>
        <w:rPr>
          <w:rFonts w:ascii="Arial" w:eastAsia="Times New Roman" w:hAnsi="Arial" w:cs="Arial"/>
          <w:bCs/>
          <w:color w:val="000000" w:themeColor="text1"/>
          <w:sz w:val="20"/>
          <w:szCs w:val="20"/>
        </w:rPr>
        <w:t>0</w:t>
      </w:r>
      <w:r w:rsidRPr="003D1614">
        <w:rPr>
          <w:rFonts w:ascii="Arial" w:eastAsia="Times New Roman" w:hAnsi="Arial" w:cs="Arial"/>
          <w:bCs/>
          <w:color w:val="000000" w:themeColor="text1"/>
          <w:sz w:val="20"/>
          <w:szCs w:val="20"/>
        </w:rPr>
        <w:t xml:space="preserve">. </w:t>
      </w:r>
      <w:r>
        <w:rPr>
          <w:rFonts w:ascii="Arial" w:eastAsia="Times New Roman" w:hAnsi="Arial" w:cs="Arial"/>
          <w:bCs/>
          <w:color w:val="000000" w:themeColor="text1"/>
          <w:sz w:val="20"/>
          <w:szCs w:val="20"/>
        </w:rPr>
        <w:t>rujna</w:t>
      </w:r>
      <w:r w:rsidRPr="003D1614">
        <w:rPr>
          <w:rFonts w:ascii="Arial" w:eastAsia="Times New Roman" w:hAnsi="Arial" w:cs="Arial"/>
          <w:bCs/>
          <w:color w:val="000000" w:themeColor="text1"/>
          <w:sz w:val="20"/>
          <w:szCs w:val="20"/>
        </w:rPr>
        <w:t xml:space="preserve"> 202</w:t>
      </w:r>
      <w:r>
        <w:rPr>
          <w:rFonts w:ascii="Arial" w:eastAsia="Times New Roman" w:hAnsi="Arial" w:cs="Arial"/>
          <w:bCs/>
          <w:color w:val="000000" w:themeColor="text1"/>
          <w:sz w:val="20"/>
          <w:szCs w:val="20"/>
        </w:rPr>
        <w:t>4</w:t>
      </w:r>
      <w:r w:rsidRPr="003D1614">
        <w:rPr>
          <w:rFonts w:ascii="Arial" w:eastAsia="Times New Roman" w:hAnsi="Arial" w:cs="Arial"/>
          <w:bCs/>
          <w:color w:val="000000" w:themeColor="text1"/>
          <w:sz w:val="20"/>
          <w:szCs w:val="20"/>
        </w:rPr>
        <w:t xml:space="preserve">. </w:t>
      </w:r>
      <w:bookmarkEnd w:id="710"/>
      <w:r w:rsidRPr="003D1614">
        <w:rPr>
          <w:rFonts w:ascii="Arial" w:eastAsia="Times New Roman" w:hAnsi="Arial" w:cs="Arial"/>
          <w:bCs/>
          <w:color w:val="000000" w:themeColor="text1"/>
          <w:sz w:val="20"/>
          <w:szCs w:val="20"/>
        </w:rPr>
        <w:t xml:space="preserve">za Grupu iznosi </w:t>
      </w:r>
      <w:bookmarkStart w:id="711" w:name="_Hlk135731852"/>
      <w:r>
        <w:rPr>
          <w:rFonts w:ascii="Arial" w:eastAsia="Times New Roman" w:hAnsi="Arial" w:cs="Arial"/>
          <w:bCs/>
          <w:color w:val="000000" w:themeColor="text1"/>
          <w:sz w:val="20"/>
          <w:szCs w:val="20"/>
        </w:rPr>
        <w:t>3.582.698</w:t>
      </w:r>
      <w:r w:rsidRPr="00C320FB">
        <w:rPr>
          <w:rFonts w:ascii="Arial" w:eastAsia="Times New Roman" w:hAnsi="Arial" w:cs="Arial"/>
          <w:bCs/>
          <w:color w:val="000000" w:themeColor="text1"/>
          <w:sz w:val="20"/>
          <w:szCs w:val="20"/>
        </w:rPr>
        <w:t xml:space="preserve"> </w:t>
      </w:r>
      <w:bookmarkEnd w:id="711"/>
      <w:r w:rsidRPr="003D1614">
        <w:rPr>
          <w:rFonts w:ascii="Arial" w:eastAsia="Times New Roman" w:hAnsi="Arial" w:cs="Arial"/>
          <w:bCs/>
          <w:color w:val="000000" w:themeColor="text1"/>
          <w:sz w:val="20"/>
          <w:szCs w:val="20"/>
        </w:rPr>
        <w:t>tisuća eura (31. prosinca 202</w:t>
      </w:r>
      <w:r>
        <w:rPr>
          <w:rFonts w:ascii="Arial" w:eastAsia="Times New Roman" w:hAnsi="Arial" w:cs="Arial"/>
          <w:bCs/>
          <w:color w:val="000000" w:themeColor="text1"/>
          <w:sz w:val="20"/>
          <w:szCs w:val="20"/>
        </w:rPr>
        <w:t>3</w:t>
      </w:r>
      <w:r w:rsidRPr="003D1614">
        <w:rPr>
          <w:rFonts w:ascii="Arial" w:eastAsia="Times New Roman" w:hAnsi="Arial" w:cs="Arial"/>
          <w:bCs/>
          <w:color w:val="000000" w:themeColor="text1"/>
          <w:sz w:val="20"/>
          <w:szCs w:val="20"/>
        </w:rPr>
        <w:t xml:space="preserve">.: </w:t>
      </w:r>
      <w:bookmarkStart w:id="712" w:name="_Hlk135731872"/>
      <w:r w:rsidRPr="00911029">
        <w:rPr>
          <w:rFonts w:ascii="Arial" w:eastAsia="Times New Roman" w:hAnsi="Arial" w:cs="Arial"/>
          <w:bCs/>
          <w:color w:val="000000" w:themeColor="text1"/>
          <w:sz w:val="20"/>
          <w:szCs w:val="20"/>
        </w:rPr>
        <w:t>3.</w:t>
      </w:r>
      <w:r>
        <w:rPr>
          <w:rFonts w:ascii="Arial" w:eastAsia="Times New Roman" w:hAnsi="Arial" w:cs="Arial"/>
          <w:bCs/>
          <w:color w:val="000000" w:themeColor="text1"/>
          <w:sz w:val="20"/>
          <w:szCs w:val="20"/>
        </w:rPr>
        <w:t>686.277</w:t>
      </w:r>
      <w:bookmarkEnd w:id="712"/>
      <w:r>
        <w:rPr>
          <w:rFonts w:ascii="Arial" w:eastAsia="Times New Roman" w:hAnsi="Arial" w:cs="Arial"/>
          <w:bCs/>
          <w:color w:val="000000" w:themeColor="text1"/>
          <w:sz w:val="20"/>
          <w:szCs w:val="20"/>
        </w:rPr>
        <w:t xml:space="preserve"> </w:t>
      </w:r>
      <w:r w:rsidRPr="003D1614">
        <w:rPr>
          <w:rFonts w:ascii="Arial" w:eastAsia="Times New Roman" w:hAnsi="Arial" w:cs="Arial"/>
          <w:bCs/>
          <w:color w:val="000000" w:themeColor="text1"/>
          <w:sz w:val="20"/>
          <w:szCs w:val="20"/>
        </w:rPr>
        <w:t xml:space="preserve">tisuća eura), a za Banku iznosi </w:t>
      </w:r>
      <w:bookmarkStart w:id="713" w:name="_Hlk135731861"/>
      <w:r>
        <w:rPr>
          <w:rFonts w:ascii="Arial" w:eastAsia="Times New Roman" w:hAnsi="Arial" w:cs="Arial"/>
          <w:bCs/>
          <w:color w:val="000000" w:themeColor="text1"/>
          <w:sz w:val="20"/>
          <w:szCs w:val="20"/>
        </w:rPr>
        <w:t>3.578.672</w:t>
      </w:r>
      <w:r w:rsidRPr="00C320FB">
        <w:rPr>
          <w:rFonts w:ascii="Arial" w:eastAsia="Times New Roman" w:hAnsi="Arial" w:cs="Arial"/>
          <w:bCs/>
          <w:color w:val="000000" w:themeColor="text1"/>
          <w:sz w:val="20"/>
          <w:szCs w:val="20"/>
        </w:rPr>
        <w:t xml:space="preserve"> </w:t>
      </w:r>
      <w:bookmarkEnd w:id="713"/>
      <w:r w:rsidRPr="003D1614">
        <w:rPr>
          <w:rFonts w:ascii="Arial" w:eastAsia="Times New Roman" w:hAnsi="Arial" w:cs="Arial"/>
          <w:bCs/>
          <w:color w:val="000000" w:themeColor="text1"/>
          <w:sz w:val="20"/>
          <w:szCs w:val="20"/>
        </w:rPr>
        <w:t>tisuća eura (31. prosinca 202</w:t>
      </w:r>
      <w:r>
        <w:rPr>
          <w:rFonts w:ascii="Arial" w:eastAsia="Times New Roman" w:hAnsi="Arial" w:cs="Arial"/>
          <w:bCs/>
          <w:color w:val="000000" w:themeColor="text1"/>
          <w:sz w:val="20"/>
          <w:szCs w:val="20"/>
        </w:rPr>
        <w:t>3</w:t>
      </w:r>
      <w:r w:rsidRPr="003D1614">
        <w:rPr>
          <w:rFonts w:ascii="Arial" w:eastAsia="Times New Roman" w:hAnsi="Arial" w:cs="Arial"/>
          <w:bCs/>
          <w:color w:val="000000" w:themeColor="text1"/>
          <w:sz w:val="20"/>
          <w:szCs w:val="20"/>
        </w:rPr>
        <w:t xml:space="preserve">.: </w:t>
      </w:r>
      <w:bookmarkStart w:id="714" w:name="_Hlk135731881"/>
      <w:r w:rsidRPr="00911029">
        <w:rPr>
          <w:rFonts w:ascii="Arial" w:eastAsia="Times New Roman" w:hAnsi="Arial" w:cs="Arial"/>
          <w:bCs/>
          <w:color w:val="000000" w:themeColor="text1"/>
          <w:sz w:val="20"/>
          <w:szCs w:val="20"/>
        </w:rPr>
        <w:t>3.</w:t>
      </w:r>
      <w:r>
        <w:rPr>
          <w:rFonts w:ascii="Arial" w:eastAsia="Times New Roman" w:hAnsi="Arial" w:cs="Arial"/>
          <w:bCs/>
          <w:color w:val="000000" w:themeColor="text1"/>
          <w:sz w:val="20"/>
          <w:szCs w:val="20"/>
        </w:rPr>
        <w:t>683.382</w:t>
      </w:r>
      <w:r w:rsidRPr="003D1614">
        <w:rPr>
          <w:rFonts w:ascii="Arial" w:eastAsia="Times New Roman" w:hAnsi="Arial" w:cs="Arial"/>
          <w:bCs/>
          <w:color w:val="000000" w:themeColor="text1"/>
          <w:sz w:val="20"/>
          <w:szCs w:val="20"/>
        </w:rPr>
        <w:t xml:space="preserve"> </w:t>
      </w:r>
      <w:bookmarkEnd w:id="714"/>
      <w:r w:rsidRPr="003D1614">
        <w:rPr>
          <w:rFonts w:ascii="Arial" w:eastAsia="Times New Roman" w:hAnsi="Arial" w:cs="Arial"/>
          <w:bCs/>
          <w:color w:val="000000" w:themeColor="text1"/>
          <w:sz w:val="20"/>
          <w:szCs w:val="20"/>
        </w:rPr>
        <w:t>tisuća eura).</w:t>
      </w:r>
    </w:p>
    <w:p w14:paraId="5CD6910C" w14:textId="77777777" w:rsidR="004C75B0" w:rsidRPr="003D1614" w:rsidRDefault="004C75B0" w:rsidP="004C75B0">
      <w:pPr>
        <w:tabs>
          <w:tab w:val="right" w:pos="9129"/>
        </w:tabs>
        <w:suppressAutoHyphens/>
        <w:autoSpaceDN w:val="0"/>
        <w:jc w:val="both"/>
        <w:rPr>
          <w:rFonts w:ascii="Arial" w:eastAsia="Times New Roman" w:hAnsi="Arial" w:cs="Arial"/>
          <w:bCs/>
          <w:color w:val="000000" w:themeColor="text1"/>
          <w:sz w:val="20"/>
          <w:szCs w:val="20"/>
          <w:highlight w:val="yellow"/>
        </w:rPr>
      </w:pPr>
    </w:p>
    <w:p w14:paraId="2E876F00" w14:textId="45E729C0" w:rsidR="004C75B0" w:rsidRPr="003D1614" w:rsidRDefault="004C75B0" w:rsidP="004C75B0">
      <w:pPr>
        <w:tabs>
          <w:tab w:val="right" w:pos="9129"/>
        </w:tabs>
        <w:suppressAutoHyphens/>
        <w:autoSpaceDN w:val="0"/>
        <w:jc w:val="both"/>
        <w:rPr>
          <w:rFonts w:ascii="Arial" w:eastAsia="Calibri" w:hAnsi="Arial" w:cs="Arial"/>
          <w:color w:val="000000" w:themeColor="text1"/>
          <w:sz w:val="20"/>
          <w:szCs w:val="20"/>
        </w:rPr>
      </w:pPr>
      <w:r w:rsidRPr="003D1614">
        <w:rPr>
          <w:rFonts w:ascii="Arial" w:eastAsia="Calibri" w:hAnsi="Arial" w:cs="Arial"/>
          <w:bCs/>
          <w:color w:val="000000" w:themeColor="text1"/>
          <w:sz w:val="20"/>
          <w:szCs w:val="20"/>
        </w:rPr>
        <w:t xml:space="preserve">Neto najveća izloženost </w:t>
      </w:r>
      <w:r w:rsidRPr="003D1614">
        <w:rPr>
          <w:rFonts w:ascii="Arial" w:eastAsia="Times New Roman" w:hAnsi="Arial" w:cs="Arial"/>
          <w:bCs/>
          <w:color w:val="000000" w:themeColor="text1"/>
          <w:sz w:val="20"/>
          <w:szCs w:val="20"/>
        </w:rPr>
        <w:t>na dan 3</w:t>
      </w:r>
      <w:r>
        <w:rPr>
          <w:rFonts w:ascii="Arial" w:eastAsia="Times New Roman" w:hAnsi="Arial" w:cs="Arial"/>
          <w:bCs/>
          <w:color w:val="000000" w:themeColor="text1"/>
          <w:sz w:val="20"/>
          <w:szCs w:val="20"/>
        </w:rPr>
        <w:t>0</w:t>
      </w:r>
      <w:r w:rsidRPr="003D1614">
        <w:rPr>
          <w:rFonts w:ascii="Arial" w:eastAsia="Times New Roman" w:hAnsi="Arial" w:cs="Arial"/>
          <w:bCs/>
          <w:color w:val="000000" w:themeColor="text1"/>
          <w:sz w:val="20"/>
          <w:szCs w:val="20"/>
        </w:rPr>
        <w:t xml:space="preserve">. </w:t>
      </w:r>
      <w:r>
        <w:rPr>
          <w:rFonts w:ascii="Arial" w:eastAsia="Times New Roman" w:hAnsi="Arial" w:cs="Arial"/>
          <w:bCs/>
          <w:color w:val="000000" w:themeColor="text1"/>
          <w:sz w:val="20"/>
          <w:szCs w:val="20"/>
        </w:rPr>
        <w:t>rujna</w:t>
      </w:r>
      <w:r w:rsidRPr="003D1614">
        <w:rPr>
          <w:rFonts w:ascii="Arial" w:eastAsia="Times New Roman" w:hAnsi="Arial" w:cs="Arial"/>
          <w:bCs/>
          <w:color w:val="000000" w:themeColor="text1"/>
          <w:sz w:val="20"/>
          <w:szCs w:val="20"/>
        </w:rPr>
        <w:t xml:space="preserve"> 202</w:t>
      </w:r>
      <w:r>
        <w:rPr>
          <w:rFonts w:ascii="Arial" w:eastAsia="Times New Roman" w:hAnsi="Arial" w:cs="Arial"/>
          <w:bCs/>
          <w:color w:val="000000" w:themeColor="text1"/>
          <w:sz w:val="20"/>
          <w:szCs w:val="20"/>
        </w:rPr>
        <w:t>4</w:t>
      </w:r>
      <w:r w:rsidRPr="003D1614">
        <w:rPr>
          <w:rFonts w:ascii="Arial" w:eastAsia="Times New Roman" w:hAnsi="Arial" w:cs="Arial"/>
          <w:bCs/>
          <w:color w:val="000000" w:themeColor="text1"/>
          <w:sz w:val="20"/>
          <w:szCs w:val="20"/>
        </w:rPr>
        <w:t xml:space="preserve">. </w:t>
      </w:r>
      <w:r w:rsidRPr="003D1614">
        <w:rPr>
          <w:rFonts w:ascii="Arial" w:eastAsia="Calibri" w:hAnsi="Arial" w:cs="Arial"/>
          <w:bCs/>
          <w:color w:val="000000" w:themeColor="text1"/>
          <w:sz w:val="20"/>
          <w:szCs w:val="20"/>
        </w:rPr>
        <w:t xml:space="preserve">za Grupu </w:t>
      </w:r>
      <w:r w:rsidRPr="007D2CDA">
        <w:rPr>
          <w:rFonts w:ascii="Arial" w:eastAsia="Calibri" w:hAnsi="Arial" w:cs="Arial"/>
          <w:bCs/>
          <w:color w:val="000000" w:themeColor="text1"/>
          <w:sz w:val="20"/>
          <w:szCs w:val="20"/>
        </w:rPr>
        <w:t>iznosi</w:t>
      </w:r>
      <w:bookmarkStart w:id="715" w:name="_Hlk28596462"/>
      <w:r w:rsidRPr="007D2CDA">
        <w:rPr>
          <w:rFonts w:ascii="Arial" w:eastAsia="Calibri" w:hAnsi="Arial" w:cs="Arial"/>
          <w:bCs/>
          <w:color w:val="000000" w:themeColor="text1"/>
          <w:sz w:val="20"/>
          <w:szCs w:val="20"/>
        </w:rPr>
        <w:t xml:space="preserve"> </w:t>
      </w:r>
      <w:bookmarkStart w:id="716" w:name="_Hlk135731888"/>
      <w:bookmarkEnd w:id="715"/>
      <w:r w:rsidRPr="007D2CDA">
        <w:rPr>
          <w:rFonts w:ascii="Arial" w:eastAsia="Calibri" w:hAnsi="Arial" w:cs="Arial"/>
          <w:bCs/>
          <w:color w:val="000000" w:themeColor="text1"/>
          <w:sz w:val="20"/>
          <w:szCs w:val="20"/>
        </w:rPr>
        <w:t xml:space="preserve">892.491 </w:t>
      </w:r>
      <w:bookmarkEnd w:id="716"/>
      <w:r w:rsidRPr="007D2CDA">
        <w:rPr>
          <w:rFonts w:ascii="Arial" w:eastAsia="Calibri" w:hAnsi="Arial" w:cs="Arial"/>
          <w:color w:val="000000" w:themeColor="text1"/>
          <w:sz w:val="20"/>
          <w:szCs w:val="20"/>
        </w:rPr>
        <w:t>tisuća</w:t>
      </w:r>
      <w:r w:rsidRPr="003D1614">
        <w:rPr>
          <w:rFonts w:ascii="Arial" w:eastAsia="Calibri" w:hAnsi="Arial" w:cs="Arial"/>
          <w:color w:val="000000" w:themeColor="text1"/>
          <w:sz w:val="20"/>
          <w:szCs w:val="20"/>
        </w:rPr>
        <w:t xml:space="preserve"> eura (31. prosinca 202</w:t>
      </w:r>
      <w:r>
        <w:rPr>
          <w:rFonts w:ascii="Arial" w:eastAsia="Calibri" w:hAnsi="Arial" w:cs="Arial"/>
          <w:color w:val="000000" w:themeColor="text1"/>
          <w:sz w:val="20"/>
          <w:szCs w:val="20"/>
        </w:rPr>
        <w:t>3</w:t>
      </w:r>
      <w:r w:rsidRPr="003D1614">
        <w:rPr>
          <w:rFonts w:ascii="Arial" w:eastAsia="Calibri" w:hAnsi="Arial" w:cs="Arial"/>
          <w:color w:val="000000" w:themeColor="text1"/>
          <w:sz w:val="20"/>
          <w:szCs w:val="20"/>
        </w:rPr>
        <w:t xml:space="preserve">.: </w:t>
      </w:r>
      <w:bookmarkStart w:id="717" w:name="_Hlk135731899"/>
      <w:r w:rsidRPr="00911029">
        <w:rPr>
          <w:rFonts w:ascii="Arial" w:eastAsia="Times New Roman" w:hAnsi="Arial" w:cs="Arial"/>
          <w:bCs/>
          <w:color w:val="000000" w:themeColor="text1"/>
          <w:sz w:val="20"/>
          <w:szCs w:val="20"/>
        </w:rPr>
        <w:t>7</w:t>
      </w:r>
      <w:r>
        <w:rPr>
          <w:rFonts w:ascii="Arial" w:eastAsia="Times New Roman" w:hAnsi="Arial" w:cs="Arial"/>
          <w:bCs/>
          <w:color w:val="000000" w:themeColor="text1"/>
          <w:sz w:val="20"/>
          <w:szCs w:val="20"/>
        </w:rPr>
        <w:t>81.652</w:t>
      </w:r>
      <w:r w:rsidRPr="00911029">
        <w:rPr>
          <w:rFonts w:ascii="Arial" w:eastAsia="Times New Roman" w:hAnsi="Arial" w:cs="Arial"/>
          <w:bCs/>
          <w:color w:val="000000" w:themeColor="text1"/>
          <w:sz w:val="20"/>
          <w:szCs w:val="20"/>
        </w:rPr>
        <w:t xml:space="preserve"> </w:t>
      </w:r>
      <w:bookmarkEnd w:id="717"/>
      <w:r w:rsidRPr="003D1614">
        <w:rPr>
          <w:rFonts w:ascii="Arial" w:eastAsia="Calibri" w:hAnsi="Arial" w:cs="Arial"/>
          <w:color w:val="000000" w:themeColor="text1"/>
          <w:sz w:val="20"/>
          <w:szCs w:val="20"/>
        </w:rPr>
        <w:t xml:space="preserve">tisuća eura), a za Banku </w:t>
      </w:r>
      <w:bookmarkStart w:id="718" w:name="_Hlk135731907"/>
      <w:r>
        <w:rPr>
          <w:rFonts w:ascii="Arial" w:eastAsia="Calibri" w:hAnsi="Arial" w:cs="Arial"/>
          <w:color w:val="000000" w:themeColor="text1"/>
          <w:sz w:val="20"/>
          <w:szCs w:val="20"/>
        </w:rPr>
        <w:t>886.</w:t>
      </w:r>
      <w:r w:rsidR="00180729">
        <w:rPr>
          <w:rFonts w:ascii="Arial" w:eastAsia="Calibri" w:hAnsi="Arial" w:cs="Arial"/>
          <w:color w:val="000000" w:themeColor="text1"/>
          <w:sz w:val="20"/>
          <w:szCs w:val="20"/>
        </w:rPr>
        <w:t>195</w:t>
      </w:r>
      <w:r>
        <w:rPr>
          <w:rFonts w:ascii="Arial" w:eastAsia="Calibri" w:hAnsi="Arial" w:cs="Arial"/>
          <w:color w:val="000000" w:themeColor="text1"/>
          <w:sz w:val="20"/>
          <w:szCs w:val="20"/>
        </w:rPr>
        <w:t xml:space="preserve"> </w:t>
      </w:r>
      <w:bookmarkEnd w:id="718"/>
      <w:r w:rsidRPr="003D1614">
        <w:rPr>
          <w:rFonts w:ascii="Arial" w:eastAsia="Calibri" w:hAnsi="Arial" w:cs="Arial"/>
          <w:color w:val="000000" w:themeColor="text1"/>
          <w:sz w:val="20"/>
          <w:szCs w:val="20"/>
        </w:rPr>
        <w:t>tisuća eura (31. prosinca 202</w:t>
      </w:r>
      <w:r>
        <w:rPr>
          <w:rFonts w:ascii="Arial" w:eastAsia="Calibri" w:hAnsi="Arial" w:cs="Arial"/>
          <w:color w:val="000000" w:themeColor="text1"/>
          <w:sz w:val="20"/>
          <w:szCs w:val="20"/>
        </w:rPr>
        <w:t>3</w:t>
      </w:r>
      <w:r w:rsidRPr="003D1614">
        <w:rPr>
          <w:rFonts w:ascii="Arial" w:eastAsia="Calibri" w:hAnsi="Arial" w:cs="Arial"/>
          <w:color w:val="000000" w:themeColor="text1"/>
          <w:sz w:val="20"/>
          <w:szCs w:val="20"/>
        </w:rPr>
        <w:t xml:space="preserve">.: </w:t>
      </w:r>
      <w:bookmarkStart w:id="719" w:name="_Hlk135731916"/>
      <w:r w:rsidRPr="00911029">
        <w:rPr>
          <w:rFonts w:ascii="Arial" w:eastAsia="Times New Roman" w:hAnsi="Arial" w:cs="Arial"/>
          <w:bCs/>
          <w:color w:val="000000" w:themeColor="text1"/>
          <w:sz w:val="20"/>
          <w:szCs w:val="20"/>
        </w:rPr>
        <w:t>7</w:t>
      </w:r>
      <w:r>
        <w:rPr>
          <w:rFonts w:ascii="Arial" w:eastAsia="Times New Roman" w:hAnsi="Arial" w:cs="Arial"/>
          <w:bCs/>
          <w:color w:val="000000" w:themeColor="text1"/>
          <w:sz w:val="20"/>
          <w:szCs w:val="20"/>
        </w:rPr>
        <w:t>74.551</w:t>
      </w:r>
      <w:r w:rsidRPr="003D1614">
        <w:rPr>
          <w:rFonts w:ascii="Arial" w:eastAsia="Times New Roman" w:hAnsi="Arial" w:cs="Arial"/>
          <w:bCs/>
          <w:color w:val="000000" w:themeColor="text1"/>
          <w:sz w:val="20"/>
          <w:szCs w:val="20"/>
        </w:rPr>
        <w:t xml:space="preserve"> </w:t>
      </w:r>
      <w:bookmarkEnd w:id="719"/>
      <w:r w:rsidRPr="003D1614">
        <w:rPr>
          <w:rFonts w:ascii="Arial" w:eastAsia="Calibri" w:hAnsi="Arial" w:cs="Arial"/>
          <w:color w:val="000000" w:themeColor="text1"/>
          <w:sz w:val="20"/>
          <w:szCs w:val="20"/>
        </w:rPr>
        <w:t>tisuća eura).</w:t>
      </w:r>
    </w:p>
    <w:p w14:paraId="1CBA0D39" w14:textId="77777777" w:rsidR="004C75B0" w:rsidRPr="003D1614" w:rsidRDefault="004C75B0" w:rsidP="004C75B0">
      <w:pPr>
        <w:tabs>
          <w:tab w:val="right" w:pos="9129"/>
        </w:tabs>
        <w:suppressAutoHyphens/>
        <w:autoSpaceDN w:val="0"/>
        <w:jc w:val="both"/>
        <w:rPr>
          <w:rFonts w:ascii="Arial" w:eastAsia="Calibri" w:hAnsi="Arial" w:cs="Arial"/>
          <w:color w:val="000000" w:themeColor="text1"/>
          <w:sz w:val="20"/>
          <w:szCs w:val="20"/>
          <w:highlight w:val="yellow"/>
        </w:rPr>
      </w:pPr>
    </w:p>
    <w:p w14:paraId="2899FC5B" w14:textId="77777777" w:rsidR="004C75B0" w:rsidRPr="003D1614" w:rsidRDefault="004C75B0" w:rsidP="004C75B0">
      <w:pPr>
        <w:suppressAutoHyphens/>
        <w:autoSpaceDN w:val="0"/>
        <w:jc w:val="both"/>
        <w:rPr>
          <w:rFonts w:ascii="Arial" w:eastAsia="Times New Roman" w:hAnsi="Arial" w:cs="Arial"/>
          <w:b/>
          <w:bCs/>
          <w:color w:val="000000" w:themeColor="text1"/>
          <w:sz w:val="20"/>
          <w:szCs w:val="20"/>
        </w:rPr>
      </w:pPr>
      <w:bookmarkStart w:id="720" w:name="_Hlk28596620"/>
      <w:r w:rsidRPr="00C320FB">
        <w:rPr>
          <w:rFonts w:ascii="Arial" w:eastAsia="Calibri" w:hAnsi="Arial" w:cs="Arial"/>
          <w:bCs/>
          <w:color w:val="000000" w:themeColor="text1"/>
          <w:sz w:val="20"/>
          <w:szCs w:val="20"/>
        </w:rPr>
        <w:t>U ukupnoj neto najvećoj izloženosti nakon umanjenja za sredstva osiguranja na dan 3</w:t>
      </w:r>
      <w:r>
        <w:rPr>
          <w:rFonts w:ascii="Arial" w:eastAsia="Calibri" w:hAnsi="Arial" w:cs="Arial"/>
          <w:bCs/>
          <w:color w:val="000000" w:themeColor="text1"/>
          <w:sz w:val="20"/>
          <w:szCs w:val="20"/>
        </w:rPr>
        <w:t>0</w:t>
      </w:r>
      <w:r w:rsidRPr="00C320FB">
        <w:rPr>
          <w:rFonts w:ascii="Arial" w:eastAsia="Calibri" w:hAnsi="Arial" w:cs="Arial"/>
          <w:bCs/>
          <w:color w:val="000000" w:themeColor="text1"/>
          <w:sz w:val="20"/>
          <w:szCs w:val="20"/>
        </w:rPr>
        <w:t xml:space="preserve">. </w:t>
      </w:r>
      <w:r>
        <w:rPr>
          <w:rFonts w:ascii="Arial" w:eastAsia="Calibri" w:hAnsi="Arial" w:cs="Arial"/>
          <w:bCs/>
          <w:color w:val="000000" w:themeColor="text1"/>
          <w:sz w:val="20"/>
          <w:szCs w:val="20"/>
        </w:rPr>
        <w:t>rujna</w:t>
      </w:r>
      <w:r w:rsidRPr="00C320FB">
        <w:rPr>
          <w:rFonts w:ascii="Arial" w:eastAsia="Calibri" w:hAnsi="Arial" w:cs="Arial"/>
          <w:bCs/>
          <w:color w:val="000000" w:themeColor="text1"/>
          <w:sz w:val="20"/>
          <w:szCs w:val="20"/>
        </w:rPr>
        <w:t xml:space="preserve"> 2024. iznos kreditnog rizika od </w:t>
      </w:r>
      <w:r>
        <w:rPr>
          <w:rFonts w:ascii="Arial" w:eastAsia="Calibri" w:hAnsi="Arial" w:cs="Arial"/>
          <w:bCs/>
          <w:color w:val="000000" w:themeColor="text1"/>
          <w:sz w:val="20"/>
          <w:szCs w:val="20"/>
        </w:rPr>
        <w:t>494.424</w:t>
      </w:r>
      <w:r w:rsidRPr="00C320FB">
        <w:rPr>
          <w:rFonts w:ascii="Arial" w:eastAsia="Calibri" w:hAnsi="Arial" w:cs="Arial"/>
          <w:bCs/>
          <w:color w:val="000000" w:themeColor="text1"/>
          <w:sz w:val="20"/>
          <w:szCs w:val="20"/>
        </w:rPr>
        <w:t xml:space="preserve"> tisuća eura za Grupu (31. prosinca 2023.: 418.339 tisuća eura) i </w:t>
      </w:r>
      <w:r>
        <w:rPr>
          <w:rFonts w:ascii="Arial" w:eastAsia="Calibri" w:hAnsi="Arial" w:cs="Arial"/>
          <w:bCs/>
          <w:color w:val="000000" w:themeColor="text1"/>
          <w:sz w:val="20"/>
          <w:szCs w:val="20"/>
        </w:rPr>
        <w:t>489.016</w:t>
      </w:r>
      <w:r w:rsidRPr="00C320FB">
        <w:rPr>
          <w:rFonts w:ascii="Arial" w:eastAsia="Calibri" w:hAnsi="Arial" w:cs="Arial"/>
          <w:bCs/>
          <w:color w:val="000000" w:themeColor="text1"/>
          <w:sz w:val="20"/>
          <w:szCs w:val="20"/>
        </w:rPr>
        <w:t xml:space="preserve"> tisuća eura za Banku (31. prosinca 2023.: 412.301 tisuća eura) nije pokriven uobičajenim instrumentima osiguranja, ali se odnosi na potraživanja i primljena sredstva od Republike Hrvatske za Grupu i Banku u iznosu od </w:t>
      </w:r>
      <w:r>
        <w:rPr>
          <w:rFonts w:ascii="Arial" w:eastAsia="Calibri" w:hAnsi="Arial" w:cs="Arial"/>
          <w:bCs/>
          <w:color w:val="000000" w:themeColor="text1"/>
          <w:sz w:val="20"/>
          <w:szCs w:val="20"/>
        </w:rPr>
        <w:t>50.188</w:t>
      </w:r>
      <w:r w:rsidRPr="00C320FB">
        <w:rPr>
          <w:rFonts w:ascii="Arial" w:eastAsia="Calibri" w:hAnsi="Arial" w:cs="Arial"/>
          <w:bCs/>
          <w:color w:val="000000" w:themeColor="text1"/>
          <w:sz w:val="20"/>
          <w:szCs w:val="20"/>
        </w:rPr>
        <w:t xml:space="preserve"> tisuća eura (31. prosinca 2023.: 58.915 tisuća eura), jedinica lokalne i područne (regionalne) samouprave u iznosu od </w:t>
      </w:r>
      <w:r>
        <w:rPr>
          <w:rFonts w:ascii="Arial" w:eastAsia="Calibri" w:hAnsi="Arial" w:cs="Arial"/>
          <w:bCs/>
          <w:color w:val="000000" w:themeColor="text1"/>
          <w:sz w:val="20"/>
          <w:szCs w:val="20"/>
        </w:rPr>
        <w:t>185.202</w:t>
      </w:r>
      <w:r w:rsidRPr="00C320FB">
        <w:rPr>
          <w:rFonts w:ascii="Arial" w:eastAsia="Calibri" w:hAnsi="Arial" w:cs="Arial"/>
          <w:bCs/>
          <w:color w:val="000000" w:themeColor="text1"/>
          <w:sz w:val="20"/>
          <w:szCs w:val="20"/>
        </w:rPr>
        <w:t xml:space="preserve"> tisuća eura (31. prosinca 2023.: 115.038 tisuća eura), državnih trgovačkih društava za čije obveze Republika Hrvatska odgovara solidarno i neograničeno u iznosu od </w:t>
      </w:r>
      <w:r>
        <w:rPr>
          <w:rFonts w:ascii="Arial" w:eastAsia="Calibri" w:hAnsi="Arial" w:cs="Arial"/>
          <w:bCs/>
          <w:color w:val="000000" w:themeColor="text1"/>
          <w:sz w:val="20"/>
          <w:szCs w:val="20"/>
        </w:rPr>
        <w:t>15.137</w:t>
      </w:r>
      <w:r w:rsidRPr="00C320FB">
        <w:rPr>
          <w:rFonts w:ascii="Arial" w:eastAsia="Calibri" w:hAnsi="Arial" w:cs="Arial"/>
          <w:bCs/>
          <w:color w:val="000000" w:themeColor="text1"/>
          <w:sz w:val="20"/>
          <w:szCs w:val="20"/>
        </w:rPr>
        <w:t xml:space="preserve"> tisuća eura (31. prosinca 2023.: 17.529 tisuća eura), republičkih fondova u iznosu od </w:t>
      </w:r>
      <w:r>
        <w:rPr>
          <w:rFonts w:ascii="Arial" w:eastAsia="Calibri" w:hAnsi="Arial" w:cs="Arial"/>
          <w:bCs/>
          <w:color w:val="000000" w:themeColor="text1"/>
          <w:sz w:val="20"/>
          <w:szCs w:val="20"/>
        </w:rPr>
        <w:t>2</w:t>
      </w:r>
      <w:r w:rsidRPr="00C320FB">
        <w:rPr>
          <w:rFonts w:ascii="Arial" w:eastAsia="Calibri" w:hAnsi="Arial" w:cs="Arial"/>
          <w:bCs/>
          <w:color w:val="000000" w:themeColor="text1"/>
          <w:sz w:val="20"/>
          <w:szCs w:val="20"/>
        </w:rPr>
        <w:t xml:space="preserve"> tisuća eura (31. prosinca 2023.: 4 tisuća eura), obveznica RH i trezorskih zapisa Ministarstva financija u iznosu od </w:t>
      </w:r>
      <w:r>
        <w:rPr>
          <w:rFonts w:ascii="Arial" w:eastAsia="Calibri" w:hAnsi="Arial" w:cs="Arial"/>
          <w:bCs/>
          <w:color w:val="000000" w:themeColor="text1"/>
          <w:sz w:val="20"/>
          <w:szCs w:val="20"/>
        </w:rPr>
        <w:t>243.895</w:t>
      </w:r>
      <w:r w:rsidRPr="00C320FB">
        <w:rPr>
          <w:rFonts w:ascii="Arial" w:eastAsia="Calibri" w:hAnsi="Arial" w:cs="Arial"/>
          <w:bCs/>
          <w:color w:val="000000" w:themeColor="text1"/>
          <w:sz w:val="20"/>
          <w:szCs w:val="20"/>
        </w:rPr>
        <w:t xml:space="preserve"> tisuća eura za Grupu i </w:t>
      </w:r>
      <w:r>
        <w:rPr>
          <w:rFonts w:ascii="Arial" w:eastAsia="Calibri" w:hAnsi="Arial" w:cs="Arial"/>
          <w:bCs/>
          <w:color w:val="000000" w:themeColor="text1"/>
          <w:sz w:val="20"/>
          <w:szCs w:val="20"/>
        </w:rPr>
        <w:t>238.487</w:t>
      </w:r>
      <w:r w:rsidRPr="00C320FB">
        <w:rPr>
          <w:rFonts w:ascii="Arial" w:eastAsia="Calibri" w:hAnsi="Arial" w:cs="Arial"/>
          <w:bCs/>
          <w:color w:val="000000" w:themeColor="text1"/>
          <w:sz w:val="20"/>
          <w:szCs w:val="20"/>
        </w:rPr>
        <w:t xml:space="preserve"> tisuća eura za Banku (31. prosinca 2023: 226.853 tisuća eura za Grupu i 220.815 tisuća eura za Banku).</w:t>
      </w:r>
      <w:bookmarkEnd w:id="720"/>
    </w:p>
    <w:p w14:paraId="3672EED3" w14:textId="77777777" w:rsidR="004C75B0" w:rsidRPr="003D1614" w:rsidRDefault="004C75B0" w:rsidP="004C75B0">
      <w:pPr>
        <w:tabs>
          <w:tab w:val="left" w:pos="6924"/>
        </w:tabs>
        <w:suppressAutoHyphens/>
        <w:autoSpaceDN w:val="0"/>
        <w:jc w:val="both"/>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ab/>
      </w:r>
    </w:p>
    <w:p w14:paraId="7240DE3B" w14:textId="77777777" w:rsidR="004C75B0" w:rsidRPr="003D1614" w:rsidRDefault="004C75B0" w:rsidP="004C75B0">
      <w:pPr>
        <w:tabs>
          <w:tab w:val="right" w:pos="9129"/>
        </w:tabs>
        <w:suppressAutoHyphens/>
        <w:autoSpaceDN w:val="0"/>
        <w:jc w:val="both"/>
        <w:rPr>
          <w:rFonts w:ascii="Arial" w:eastAsia="Calibri" w:hAnsi="Arial" w:cs="Arial"/>
          <w:bCs/>
          <w:color w:val="000000" w:themeColor="text1"/>
          <w:sz w:val="20"/>
          <w:szCs w:val="20"/>
        </w:rPr>
      </w:pPr>
      <w:r w:rsidRPr="003D1614">
        <w:rPr>
          <w:rFonts w:ascii="Arial" w:eastAsia="Calibri" w:hAnsi="Arial" w:cs="Arial"/>
          <w:bCs/>
          <w:color w:val="000000" w:themeColor="text1"/>
          <w:sz w:val="20"/>
          <w:szCs w:val="20"/>
        </w:rPr>
        <w:t xml:space="preserve">Dio plasmana koji imaju iskazanu neto izloženost odnosi se na plasmane koji su privremeno djelomično pokriveni instrumentima osiguranja te je daljnje plasiranje po odobrenom plasmanu obustavljeno sve do pribavljanja instrumenata osiguranja potrebnih za udovoljavanje potrebnog omjera vrijednosti predmeta osiguranja i plasmana. </w:t>
      </w:r>
    </w:p>
    <w:p w14:paraId="3D9A6582" w14:textId="77777777" w:rsidR="004C75B0" w:rsidRPr="003D1614" w:rsidRDefault="004C75B0" w:rsidP="004C75B0">
      <w:pPr>
        <w:tabs>
          <w:tab w:val="right" w:pos="9129"/>
        </w:tabs>
        <w:suppressAutoHyphens/>
        <w:autoSpaceDN w:val="0"/>
        <w:jc w:val="both"/>
        <w:rPr>
          <w:rFonts w:ascii="Arial" w:eastAsia="Calibri" w:hAnsi="Arial" w:cs="Arial"/>
          <w:bCs/>
          <w:color w:val="000000" w:themeColor="text1"/>
          <w:sz w:val="20"/>
          <w:szCs w:val="20"/>
        </w:rPr>
      </w:pPr>
    </w:p>
    <w:p w14:paraId="6735119A" w14:textId="77777777" w:rsidR="004C75B0" w:rsidRPr="003D1614" w:rsidRDefault="004C75B0" w:rsidP="004C75B0">
      <w:pPr>
        <w:suppressAutoHyphens/>
        <w:autoSpaceDN w:val="0"/>
        <w:jc w:val="both"/>
        <w:rPr>
          <w:rFonts w:ascii="Arial" w:eastAsia="Calibri" w:hAnsi="Arial" w:cs="Arial"/>
          <w:bCs/>
          <w:color w:val="000000" w:themeColor="text1"/>
          <w:sz w:val="20"/>
          <w:szCs w:val="20"/>
        </w:rPr>
      </w:pPr>
      <w:r w:rsidRPr="003D1614">
        <w:rPr>
          <w:rFonts w:ascii="Arial" w:eastAsia="Calibri" w:hAnsi="Arial" w:cs="Arial"/>
          <w:bCs/>
          <w:color w:val="000000" w:themeColor="text1"/>
          <w:sz w:val="20"/>
          <w:szCs w:val="20"/>
        </w:rPr>
        <w:t>Djelatnost financijskog posredovanja najvećim dijelom uključuje poslovne banke.</w:t>
      </w:r>
    </w:p>
    <w:p w14:paraId="1034CDA7" w14:textId="77777777" w:rsidR="00C94303" w:rsidRPr="003D1614" w:rsidRDefault="00C94303" w:rsidP="00C94303">
      <w:pPr>
        <w:suppressAutoHyphens/>
        <w:autoSpaceDN w:val="0"/>
        <w:jc w:val="both"/>
        <w:rPr>
          <w:rFonts w:ascii="Arial" w:eastAsia="Calibri" w:hAnsi="Arial" w:cs="Arial"/>
          <w:bCs/>
          <w:color w:val="000000" w:themeColor="text1"/>
          <w:sz w:val="20"/>
          <w:szCs w:val="20"/>
        </w:rPr>
      </w:pPr>
    </w:p>
    <w:p w14:paraId="54C2322B" w14:textId="77777777" w:rsidR="00C94303" w:rsidRPr="003D1614" w:rsidRDefault="00C94303" w:rsidP="00C94303">
      <w:pPr>
        <w:suppressAutoHyphens/>
        <w:autoSpaceDN w:val="0"/>
        <w:jc w:val="both"/>
        <w:rPr>
          <w:rFonts w:ascii="Arial" w:eastAsia="Calibri" w:hAnsi="Arial" w:cs="Arial"/>
          <w:bCs/>
          <w:color w:val="000000" w:themeColor="text1"/>
          <w:sz w:val="20"/>
          <w:szCs w:val="20"/>
        </w:rPr>
      </w:pPr>
    </w:p>
    <w:p w14:paraId="23D6B7FC" w14:textId="77777777" w:rsidR="003278AB" w:rsidRPr="003D1614" w:rsidRDefault="003278AB" w:rsidP="001A0FCB">
      <w:pPr>
        <w:suppressAutoHyphens/>
        <w:autoSpaceDN w:val="0"/>
        <w:jc w:val="both"/>
        <w:rPr>
          <w:rFonts w:ascii="Arial" w:eastAsia="Calibri" w:hAnsi="Arial" w:cs="Arial"/>
          <w:bCs/>
          <w:color w:val="000000" w:themeColor="text1"/>
          <w:sz w:val="20"/>
          <w:szCs w:val="20"/>
        </w:rPr>
      </w:pPr>
    </w:p>
    <w:p w14:paraId="314F61B5" w14:textId="77777777" w:rsidR="003278AB" w:rsidRPr="003D1614" w:rsidRDefault="003278AB" w:rsidP="001A0FCB">
      <w:pPr>
        <w:suppressAutoHyphens/>
        <w:autoSpaceDN w:val="0"/>
        <w:jc w:val="both"/>
        <w:rPr>
          <w:rFonts w:ascii="Arial" w:eastAsia="Calibri" w:hAnsi="Arial" w:cs="Arial"/>
          <w:bCs/>
          <w:color w:val="000000" w:themeColor="text1"/>
          <w:sz w:val="20"/>
          <w:szCs w:val="20"/>
        </w:rPr>
      </w:pPr>
    </w:p>
    <w:p w14:paraId="4D642B81" w14:textId="77777777" w:rsidR="003278AB" w:rsidRPr="003D1614" w:rsidRDefault="003278AB" w:rsidP="001A0FCB">
      <w:pPr>
        <w:suppressAutoHyphens/>
        <w:autoSpaceDN w:val="0"/>
        <w:jc w:val="both"/>
        <w:rPr>
          <w:rFonts w:ascii="Arial" w:eastAsia="Calibri" w:hAnsi="Arial" w:cs="Arial"/>
          <w:bCs/>
          <w:color w:val="000000" w:themeColor="text1"/>
          <w:sz w:val="20"/>
          <w:szCs w:val="20"/>
        </w:rPr>
        <w:sectPr w:rsidR="003278AB" w:rsidRPr="003D1614">
          <w:pgSz w:w="11906" w:h="16838"/>
          <w:pgMar w:top="1417" w:right="1417" w:bottom="1417" w:left="1417" w:header="708" w:footer="708" w:gutter="0"/>
          <w:cols w:space="708"/>
          <w:docGrid w:linePitch="360"/>
        </w:sectPr>
      </w:pPr>
    </w:p>
    <w:p w14:paraId="2E98320D" w14:textId="7A06B0DD" w:rsidR="003278AB" w:rsidRPr="003D1614" w:rsidRDefault="003278AB" w:rsidP="003278AB">
      <w:pPr>
        <w:keepNext/>
        <w:suppressAutoHyphens/>
        <w:autoSpaceDN w:val="0"/>
        <w:spacing w:before="120" w:after="120"/>
        <w:jc w:val="both"/>
        <w:outlineLvl w:val="0"/>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lastRenderedPageBreak/>
        <w:t>2</w:t>
      </w:r>
      <w:r w:rsidR="000E693B">
        <w:rPr>
          <w:rFonts w:ascii="Arial" w:eastAsia="Times New Roman" w:hAnsi="Arial" w:cs="Arial"/>
          <w:b/>
          <w:bCs/>
          <w:color w:val="000000" w:themeColor="text1"/>
          <w:sz w:val="18"/>
          <w:szCs w:val="18"/>
        </w:rPr>
        <w:t>3</w:t>
      </w:r>
      <w:r w:rsidRPr="003D1614">
        <w:rPr>
          <w:rFonts w:ascii="Arial" w:eastAsia="Times New Roman" w:hAnsi="Arial" w:cs="Arial"/>
          <w:b/>
          <w:bCs/>
          <w:color w:val="000000" w:themeColor="text1"/>
          <w:sz w:val="18"/>
          <w:szCs w:val="18"/>
        </w:rPr>
        <w:t>.</w:t>
      </w:r>
      <w:r w:rsidRPr="003D1614">
        <w:rPr>
          <w:rFonts w:ascii="Arial" w:eastAsia="Times New Roman" w:hAnsi="Arial" w:cs="Arial"/>
          <w:b/>
          <w:bCs/>
          <w:color w:val="000000" w:themeColor="text1"/>
          <w:sz w:val="18"/>
          <w:szCs w:val="18"/>
        </w:rPr>
        <w:tab/>
        <w:t>Upravljanje rizicima (nastavak)</w:t>
      </w:r>
    </w:p>
    <w:p w14:paraId="1FC4DC1D" w14:textId="63B840C8" w:rsidR="003278AB" w:rsidRPr="003D1614" w:rsidRDefault="003278AB" w:rsidP="003278AB">
      <w:pPr>
        <w:keepNext/>
        <w:suppressAutoHyphens/>
        <w:autoSpaceDN w:val="0"/>
        <w:spacing w:before="120" w:after="120"/>
        <w:jc w:val="both"/>
        <w:outlineLvl w:val="0"/>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2</w:t>
      </w:r>
      <w:r w:rsidR="000E693B">
        <w:rPr>
          <w:rFonts w:ascii="Arial" w:eastAsia="Times New Roman" w:hAnsi="Arial" w:cs="Arial"/>
          <w:b/>
          <w:bCs/>
          <w:color w:val="000000" w:themeColor="text1"/>
          <w:sz w:val="18"/>
          <w:szCs w:val="18"/>
        </w:rPr>
        <w:t>3</w:t>
      </w:r>
      <w:r w:rsidRPr="003D1614">
        <w:rPr>
          <w:rFonts w:ascii="Arial" w:eastAsia="Times New Roman" w:hAnsi="Arial" w:cs="Arial"/>
          <w:b/>
          <w:bCs/>
          <w:color w:val="000000" w:themeColor="text1"/>
          <w:sz w:val="18"/>
          <w:szCs w:val="18"/>
        </w:rPr>
        <w:t xml:space="preserve">.3. </w:t>
      </w:r>
      <w:r w:rsidRPr="003D1614">
        <w:rPr>
          <w:rFonts w:ascii="Arial" w:eastAsia="Times New Roman" w:hAnsi="Arial" w:cs="Arial"/>
          <w:b/>
          <w:bCs/>
          <w:color w:val="000000" w:themeColor="text1"/>
          <w:sz w:val="18"/>
          <w:szCs w:val="18"/>
        </w:rPr>
        <w:tab/>
        <w:t>Kreditni rizik (nastavak)</w:t>
      </w:r>
    </w:p>
    <w:p w14:paraId="5E3D11A3" w14:textId="77777777" w:rsidR="003278AB" w:rsidRPr="003D1614" w:rsidRDefault="003278AB" w:rsidP="003278AB">
      <w:pPr>
        <w:keepNext/>
        <w:suppressAutoHyphens/>
        <w:autoSpaceDN w:val="0"/>
        <w:spacing w:before="120" w:after="120"/>
        <w:jc w:val="both"/>
        <w:outlineLvl w:val="0"/>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 xml:space="preserve">Kvaliteta kreditnog rizika prema vrsti financijske imovine </w:t>
      </w:r>
    </w:p>
    <w:p w14:paraId="67DA7088" w14:textId="77777777" w:rsidR="003278AB" w:rsidRPr="003D1614" w:rsidRDefault="003278AB" w:rsidP="003278AB">
      <w:pPr>
        <w:suppressAutoHyphens/>
        <w:autoSpaceDN w:val="0"/>
        <w:jc w:val="both"/>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Analiza kreditnog rizika, neto izloženost, prije i nakon uzimanja u obzir primljenih instrumenata osiguranja, prema vrsti financijske imovine na pozicijama imovine i garancija i preuzetih obveza prema rizičnim skupinama:</w:t>
      </w:r>
    </w:p>
    <w:tbl>
      <w:tblPr>
        <w:tblW w:w="5566" w:type="pct"/>
        <w:jc w:val="center"/>
        <w:tblLayout w:type="fixed"/>
        <w:tblLook w:val="0000" w:firstRow="0" w:lastRow="0" w:firstColumn="0" w:lastColumn="0" w:noHBand="0" w:noVBand="0"/>
      </w:tblPr>
      <w:tblGrid>
        <w:gridCol w:w="1560"/>
        <w:gridCol w:w="957"/>
        <w:gridCol w:w="929"/>
        <w:gridCol w:w="920"/>
        <w:gridCol w:w="889"/>
        <w:gridCol w:w="973"/>
        <w:gridCol w:w="973"/>
        <w:gridCol w:w="1032"/>
        <w:gridCol w:w="1026"/>
        <w:gridCol w:w="1026"/>
        <w:gridCol w:w="1026"/>
        <w:gridCol w:w="1026"/>
        <w:gridCol w:w="998"/>
        <w:gridCol w:w="1132"/>
        <w:gridCol w:w="1122"/>
      </w:tblGrid>
      <w:tr w:rsidR="00E30660" w:rsidRPr="003D1614" w14:paraId="637B1BE6" w14:textId="77777777" w:rsidTr="00061A35">
        <w:trPr>
          <w:trHeight w:val="1607"/>
          <w:jc w:val="center"/>
        </w:trPr>
        <w:tc>
          <w:tcPr>
            <w:tcW w:w="500" w:type="pct"/>
          </w:tcPr>
          <w:p w14:paraId="2EEF7E4A" w14:textId="77777777" w:rsidR="00E30660" w:rsidRPr="003D1614" w:rsidRDefault="00E30660" w:rsidP="00061A35">
            <w:pPr>
              <w:suppressAutoHyphens/>
              <w:autoSpaceDN w:val="0"/>
              <w:rPr>
                <w:rFonts w:ascii="Arial" w:eastAsia="Calibri" w:hAnsi="Arial" w:cs="Arial"/>
                <w:b/>
                <w:bCs/>
                <w:color w:val="000000" w:themeColor="text1"/>
                <w:sz w:val="14"/>
                <w:szCs w:val="14"/>
              </w:rPr>
            </w:pPr>
            <w:bookmarkStart w:id="721" w:name="_Hlk530060318"/>
            <w:r w:rsidRPr="003D1614">
              <w:rPr>
                <w:rFonts w:ascii="Arial" w:eastAsia="Calibri" w:hAnsi="Arial" w:cs="Arial"/>
                <w:b/>
                <w:bCs/>
                <w:color w:val="000000" w:themeColor="text1"/>
                <w:sz w:val="14"/>
                <w:szCs w:val="14"/>
              </w:rPr>
              <w:br w:type="page"/>
              <w:t>Grupa</w:t>
            </w:r>
          </w:p>
          <w:p w14:paraId="34CC9EBF" w14:textId="77777777" w:rsidR="00E30660" w:rsidRPr="003D1614" w:rsidRDefault="00E30660" w:rsidP="00061A35">
            <w:pPr>
              <w:suppressAutoHyphens/>
              <w:autoSpaceDN w:val="0"/>
              <w:rPr>
                <w:rFonts w:ascii="Arial" w:eastAsia="Calibri" w:hAnsi="Arial" w:cs="Arial"/>
                <w:b/>
                <w:bCs/>
                <w:color w:val="000000" w:themeColor="text1"/>
                <w:sz w:val="14"/>
                <w:szCs w:val="14"/>
              </w:rPr>
            </w:pPr>
          </w:p>
          <w:p w14:paraId="28F2D244" w14:textId="77777777" w:rsidR="00E30660" w:rsidRPr="003D1614" w:rsidRDefault="00E30660" w:rsidP="00061A35">
            <w:pPr>
              <w:suppressAutoHyphens/>
              <w:autoSpaceDN w:val="0"/>
              <w:rPr>
                <w:rFonts w:ascii="Arial" w:eastAsia="Calibri" w:hAnsi="Arial" w:cs="Arial"/>
                <w:color w:val="000000" w:themeColor="text1"/>
                <w:sz w:val="14"/>
                <w:szCs w:val="14"/>
              </w:rPr>
            </w:pPr>
            <w:r w:rsidRPr="003D1614">
              <w:rPr>
                <w:rFonts w:ascii="Arial" w:eastAsia="Calibri" w:hAnsi="Arial" w:cs="Arial"/>
                <w:b/>
                <w:bCs/>
                <w:color w:val="000000" w:themeColor="text1"/>
                <w:sz w:val="14"/>
                <w:szCs w:val="14"/>
              </w:rPr>
              <w:t>3</w:t>
            </w:r>
            <w:r>
              <w:rPr>
                <w:rFonts w:ascii="Arial" w:eastAsia="Calibri" w:hAnsi="Arial" w:cs="Arial"/>
                <w:b/>
                <w:bCs/>
                <w:color w:val="000000" w:themeColor="text1"/>
                <w:sz w:val="14"/>
                <w:szCs w:val="14"/>
              </w:rPr>
              <w:t>0</w:t>
            </w:r>
            <w:r w:rsidRPr="003D1614">
              <w:rPr>
                <w:rFonts w:ascii="Arial" w:eastAsia="Calibri" w:hAnsi="Arial" w:cs="Arial"/>
                <w:b/>
                <w:bCs/>
                <w:color w:val="000000" w:themeColor="text1"/>
                <w:sz w:val="14"/>
                <w:szCs w:val="14"/>
              </w:rPr>
              <w:t xml:space="preserve">. </w:t>
            </w:r>
            <w:r>
              <w:rPr>
                <w:rFonts w:ascii="Arial" w:eastAsia="Calibri" w:hAnsi="Arial" w:cs="Arial"/>
                <w:b/>
                <w:bCs/>
                <w:color w:val="000000" w:themeColor="text1"/>
                <w:sz w:val="14"/>
                <w:szCs w:val="14"/>
              </w:rPr>
              <w:t>rujna</w:t>
            </w:r>
            <w:r w:rsidRPr="003D1614">
              <w:rPr>
                <w:rFonts w:ascii="Arial" w:eastAsia="Calibri" w:hAnsi="Arial" w:cs="Arial"/>
                <w:b/>
                <w:bCs/>
                <w:color w:val="000000" w:themeColor="text1"/>
                <w:sz w:val="14"/>
                <w:szCs w:val="14"/>
              </w:rPr>
              <w:t xml:space="preserve"> 202</w:t>
            </w:r>
            <w:r>
              <w:rPr>
                <w:rFonts w:ascii="Arial" w:eastAsia="Calibri" w:hAnsi="Arial" w:cs="Arial"/>
                <w:b/>
                <w:bCs/>
                <w:color w:val="000000" w:themeColor="text1"/>
                <w:sz w:val="14"/>
                <w:szCs w:val="14"/>
              </w:rPr>
              <w:t>4</w:t>
            </w:r>
            <w:r w:rsidRPr="003D1614">
              <w:rPr>
                <w:rFonts w:ascii="Arial" w:eastAsia="Calibri" w:hAnsi="Arial" w:cs="Arial"/>
                <w:b/>
                <w:bCs/>
                <w:color w:val="000000" w:themeColor="text1"/>
                <w:sz w:val="14"/>
                <w:szCs w:val="14"/>
              </w:rPr>
              <w:t xml:space="preserve">. </w:t>
            </w:r>
          </w:p>
        </w:tc>
        <w:tc>
          <w:tcPr>
            <w:tcW w:w="307" w:type="pct"/>
            <w:vAlign w:val="bottom"/>
          </w:tcPr>
          <w:p w14:paraId="06793C1F" w14:textId="77777777" w:rsidR="00E30660" w:rsidRPr="003D1614" w:rsidRDefault="00E30660" w:rsidP="00061A35">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 xml:space="preserve">Neto  izloženost portfelja - </w:t>
            </w:r>
            <w:r>
              <w:rPr>
                <w:rFonts w:ascii="Arial" w:eastAsia="Calibri" w:hAnsi="Arial" w:cs="Arial"/>
                <w:b/>
                <w:color w:val="000000" w:themeColor="text1"/>
                <w:sz w:val="14"/>
                <w:szCs w:val="14"/>
              </w:rPr>
              <w:t>S</w:t>
            </w:r>
            <w:r w:rsidRPr="003D1614">
              <w:rPr>
                <w:rFonts w:ascii="Arial" w:eastAsia="Calibri" w:hAnsi="Arial" w:cs="Arial"/>
                <w:b/>
                <w:color w:val="000000" w:themeColor="text1"/>
                <w:sz w:val="14"/>
                <w:szCs w:val="14"/>
              </w:rPr>
              <w:t>tupanj 1</w:t>
            </w:r>
          </w:p>
        </w:tc>
        <w:tc>
          <w:tcPr>
            <w:tcW w:w="298" w:type="pct"/>
            <w:vAlign w:val="bottom"/>
          </w:tcPr>
          <w:p w14:paraId="74041453" w14:textId="77777777" w:rsidR="00E30660" w:rsidRPr="003D1614" w:rsidRDefault="00E30660" w:rsidP="00061A35">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 xml:space="preserve">Neto izloženost portfelja - </w:t>
            </w:r>
            <w:r>
              <w:rPr>
                <w:rFonts w:ascii="Arial" w:eastAsia="Calibri" w:hAnsi="Arial" w:cs="Arial"/>
                <w:b/>
                <w:color w:val="000000" w:themeColor="text1"/>
                <w:sz w:val="14"/>
                <w:szCs w:val="14"/>
              </w:rPr>
              <w:t>S</w:t>
            </w:r>
            <w:r w:rsidRPr="003D1614">
              <w:rPr>
                <w:rFonts w:ascii="Arial" w:eastAsia="Calibri" w:hAnsi="Arial" w:cs="Arial"/>
                <w:b/>
                <w:color w:val="000000" w:themeColor="text1"/>
                <w:sz w:val="14"/>
                <w:szCs w:val="14"/>
              </w:rPr>
              <w:t>tupanj 2</w:t>
            </w:r>
          </w:p>
        </w:tc>
        <w:tc>
          <w:tcPr>
            <w:tcW w:w="295" w:type="pct"/>
            <w:vAlign w:val="bottom"/>
          </w:tcPr>
          <w:p w14:paraId="5B8CB4A7" w14:textId="77777777" w:rsidR="00E30660" w:rsidRPr="003D1614" w:rsidRDefault="00E30660" w:rsidP="00061A35">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 xml:space="preserve">Neto izloženost portfelja - </w:t>
            </w:r>
            <w:r>
              <w:rPr>
                <w:rFonts w:ascii="Arial" w:eastAsia="Calibri" w:hAnsi="Arial" w:cs="Arial"/>
                <w:b/>
                <w:color w:val="000000" w:themeColor="text1"/>
                <w:sz w:val="14"/>
                <w:szCs w:val="14"/>
              </w:rPr>
              <w:t>S</w:t>
            </w:r>
            <w:r w:rsidRPr="003D1614">
              <w:rPr>
                <w:rFonts w:ascii="Arial" w:eastAsia="Calibri" w:hAnsi="Arial" w:cs="Arial"/>
                <w:b/>
                <w:color w:val="000000" w:themeColor="text1"/>
                <w:sz w:val="14"/>
                <w:szCs w:val="14"/>
              </w:rPr>
              <w:t>tupanj 3</w:t>
            </w:r>
          </w:p>
        </w:tc>
        <w:tc>
          <w:tcPr>
            <w:tcW w:w="597" w:type="pct"/>
            <w:gridSpan w:val="2"/>
            <w:vAlign w:val="bottom"/>
          </w:tcPr>
          <w:p w14:paraId="3FFB584A" w14:textId="77777777" w:rsidR="00E30660" w:rsidRDefault="00E30660" w:rsidP="00061A35">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Neto izloženost</w:t>
            </w:r>
          </w:p>
          <w:p w14:paraId="2876DEC2" w14:textId="77777777" w:rsidR="00E30660" w:rsidRDefault="00E30660" w:rsidP="00061A35">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 xml:space="preserve"> portfelja rizične </w:t>
            </w:r>
          </w:p>
          <w:p w14:paraId="734C8414" w14:textId="77777777" w:rsidR="00E30660" w:rsidRPr="003D1614" w:rsidRDefault="00E30660" w:rsidP="00061A35">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skupine POCI</w:t>
            </w:r>
          </w:p>
        </w:tc>
        <w:tc>
          <w:tcPr>
            <w:tcW w:w="312" w:type="pct"/>
            <w:vAlign w:val="bottom"/>
          </w:tcPr>
          <w:p w14:paraId="5973D7AB" w14:textId="77777777" w:rsidR="00E30660" w:rsidRPr="003D1614" w:rsidRDefault="00E30660" w:rsidP="00061A35">
            <w:pPr>
              <w:suppressAutoHyphens/>
              <w:autoSpaceDN w:val="0"/>
              <w:jc w:val="right"/>
              <w:rPr>
                <w:rFonts w:ascii="Arial" w:eastAsia="Calibri" w:hAnsi="Arial" w:cs="Arial"/>
                <w:color w:val="000000" w:themeColor="text1"/>
                <w:sz w:val="14"/>
                <w:szCs w:val="14"/>
              </w:rPr>
            </w:pPr>
            <w:r w:rsidRPr="003D1614">
              <w:rPr>
                <w:rFonts w:ascii="Arial" w:eastAsia="Calibri" w:hAnsi="Arial" w:cs="Arial"/>
                <w:b/>
                <w:color w:val="000000" w:themeColor="text1"/>
                <w:sz w:val="14"/>
                <w:szCs w:val="14"/>
              </w:rPr>
              <w:t>Financijska imovina koja se ne raspoređuje u rizične skupine po MSFI-ju 9</w:t>
            </w:r>
          </w:p>
        </w:tc>
        <w:tc>
          <w:tcPr>
            <w:tcW w:w="331" w:type="pct"/>
            <w:vAlign w:val="bottom"/>
          </w:tcPr>
          <w:p w14:paraId="4C25A43F" w14:textId="77777777" w:rsidR="00E30660" w:rsidRPr="003D1614" w:rsidRDefault="00E30660" w:rsidP="00061A35">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Neto izloženost ukupnog portfelja</w:t>
            </w:r>
          </w:p>
        </w:tc>
        <w:tc>
          <w:tcPr>
            <w:tcW w:w="329" w:type="pct"/>
            <w:vAlign w:val="bottom"/>
          </w:tcPr>
          <w:p w14:paraId="5B1AD8A8" w14:textId="77777777" w:rsidR="00E30660" w:rsidRPr="003D1614" w:rsidRDefault="00E30660" w:rsidP="00061A35">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 xml:space="preserve">Neto izloženost portfelja nakon umanjenja za instrumente osiguranja- </w:t>
            </w:r>
            <w:r>
              <w:rPr>
                <w:rFonts w:ascii="Arial" w:eastAsia="Calibri" w:hAnsi="Arial" w:cs="Arial"/>
                <w:b/>
                <w:color w:val="000000" w:themeColor="text1"/>
                <w:sz w:val="14"/>
                <w:szCs w:val="14"/>
              </w:rPr>
              <w:t>S</w:t>
            </w:r>
            <w:r w:rsidRPr="003D1614">
              <w:rPr>
                <w:rFonts w:ascii="Arial" w:eastAsia="Calibri" w:hAnsi="Arial" w:cs="Arial"/>
                <w:b/>
                <w:color w:val="000000" w:themeColor="text1"/>
                <w:sz w:val="14"/>
                <w:szCs w:val="14"/>
              </w:rPr>
              <w:t>tupanj 1</w:t>
            </w:r>
          </w:p>
        </w:tc>
        <w:tc>
          <w:tcPr>
            <w:tcW w:w="329" w:type="pct"/>
            <w:vAlign w:val="bottom"/>
          </w:tcPr>
          <w:p w14:paraId="2FF681B8" w14:textId="77777777" w:rsidR="00E30660" w:rsidRPr="003D1614" w:rsidRDefault="00E30660" w:rsidP="00061A35">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 xml:space="preserve">Neto izloženost portfelja nakon umanjenja za instrumente osiguranja- </w:t>
            </w:r>
            <w:r>
              <w:rPr>
                <w:rFonts w:ascii="Arial" w:eastAsia="Calibri" w:hAnsi="Arial" w:cs="Arial"/>
                <w:b/>
                <w:color w:val="000000" w:themeColor="text1"/>
                <w:sz w:val="14"/>
                <w:szCs w:val="14"/>
              </w:rPr>
              <w:t>S</w:t>
            </w:r>
            <w:r w:rsidRPr="003D1614">
              <w:rPr>
                <w:rFonts w:ascii="Arial" w:eastAsia="Calibri" w:hAnsi="Arial" w:cs="Arial"/>
                <w:b/>
                <w:color w:val="000000" w:themeColor="text1"/>
                <w:sz w:val="14"/>
                <w:szCs w:val="14"/>
              </w:rPr>
              <w:t>tupanj 2</w:t>
            </w:r>
          </w:p>
        </w:tc>
        <w:tc>
          <w:tcPr>
            <w:tcW w:w="329" w:type="pct"/>
            <w:vAlign w:val="bottom"/>
          </w:tcPr>
          <w:p w14:paraId="1EDB3DC6" w14:textId="77777777" w:rsidR="00E30660" w:rsidRPr="003D1614" w:rsidRDefault="00E30660" w:rsidP="00061A35">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 xml:space="preserve">Neto izloženost portfelja nakon umanjenja za instrumente osiguranja- </w:t>
            </w:r>
            <w:r>
              <w:rPr>
                <w:rFonts w:ascii="Arial" w:eastAsia="Calibri" w:hAnsi="Arial" w:cs="Arial"/>
                <w:b/>
                <w:color w:val="000000" w:themeColor="text1"/>
                <w:sz w:val="14"/>
                <w:szCs w:val="14"/>
              </w:rPr>
              <w:t>S</w:t>
            </w:r>
            <w:r w:rsidRPr="003D1614">
              <w:rPr>
                <w:rFonts w:ascii="Arial" w:eastAsia="Calibri" w:hAnsi="Arial" w:cs="Arial"/>
                <w:b/>
                <w:color w:val="000000" w:themeColor="text1"/>
                <w:sz w:val="14"/>
                <w:szCs w:val="14"/>
              </w:rPr>
              <w:t>tupanj 3</w:t>
            </w:r>
          </w:p>
        </w:tc>
        <w:tc>
          <w:tcPr>
            <w:tcW w:w="649" w:type="pct"/>
            <w:gridSpan w:val="2"/>
            <w:vAlign w:val="bottom"/>
          </w:tcPr>
          <w:p w14:paraId="5BDD84CF" w14:textId="77777777" w:rsidR="00E30660" w:rsidRPr="003D1614" w:rsidRDefault="00E30660" w:rsidP="00061A35">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Neto izloženost portfelja nakon umanjenja za instrumente osiguranja- rizične skupine POCI</w:t>
            </w:r>
          </w:p>
        </w:tc>
        <w:tc>
          <w:tcPr>
            <w:tcW w:w="363" w:type="pct"/>
            <w:vAlign w:val="bottom"/>
          </w:tcPr>
          <w:p w14:paraId="5C3CD5A9" w14:textId="77777777" w:rsidR="00E30660" w:rsidRPr="003D1614" w:rsidRDefault="00E30660" w:rsidP="00061A35">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Financijska imovina  koja se ne raspoređuje u rizične skupine po MSFI-ju 9 nakon umanjenja za instrumente osiguranja</w:t>
            </w:r>
          </w:p>
        </w:tc>
        <w:tc>
          <w:tcPr>
            <w:tcW w:w="360" w:type="pct"/>
            <w:vAlign w:val="bottom"/>
          </w:tcPr>
          <w:p w14:paraId="24DD93C8" w14:textId="77777777" w:rsidR="00E30660" w:rsidRPr="003D1614" w:rsidRDefault="00E30660" w:rsidP="00061A35">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Neto izloženost ukupnog portfelja nakon umanjenja za</w:t>
            </w:r>
            <w:r>
              <w:rPr>
                <w:rFonts w:ascii="Arial" w:eastAsia="Calibri" w:hAnsi="Arial" w:cs="Arial"/>
                <w:b/>
                <w:color w:val="000000" w:themeColor="text1"/>
                <w:sz w:val="14"/>
                <w:szCs w:val="14"/>
              </w:rPr>
              <w:t xml:space="preserve"> </w:t>
            </w:r>
            <w:r w:rsidRPr="003D1614">
              <w:rPr>
                <w:rFonts w:ascii="Arial" w:eastAsia="Calibri" w:hAnsi="Arial" w:cs="Arial"/>
                <w:b/>
                <w:color w:val="000000" w:themeColor="text1"/>
                <w:sz w:val="14"/>
                <w:szCs w:val="14"/>
              </w:rPr>
              <w:t>instrumente osiguranja</w:t>
            </w:r>
          </w:p>
        </w:tc>
      </w:tr>
      <w:tr w:rsidR="00E30660" w:rsidRPr="003D1614" w14:paraId="7CF6BD11" w14:textId="77777777" w:rsidTr="00061A35">
        <w:trPr>
          <w:trHeight w:val="176"/>
          <w:jc w:val="center"/>
        </w:trPr>
        <w:tc>
          <w:tcPr>
            <w:tcW w:w="500" w:type="pct"/>
          </w:tcPr>
          <w:p w14:paraId="04EA21E5" w14:textId="77777777" w:rsidR="00E30660" w:rsidRPr="003D1614" w:rsidRDefault="00E30660" w:rsidP="00061A35">
            <w:pPr>
              <w:suppressAutoHyphens/>
              <w:autoSpaceDN w:val="0"/>
              <w:rPr>
                <w:rFonts w:ascii="Arial" w:eastAsia="Calibri" w:hAnsi="Arial" w:cs="Arial"/>
                <w:b/>
                <w:bCs/>
                <w:color w:val="000000" w:themeColor="text1"/>
                <w:sz w:val="14"/>
                <w:szCs w:val="14"/>
              </w:rPr>
            </w:pPr>
          </w:p>
        </w:tc>
        <w:tc>
          <w:tcPr>
            <w:tcW w:w="307" w:type="pct"/>
            <w:vAlign w:val="bottom"/>
          </w:tcPr>
          <w:p w14:paraId="252311C7" w14:textId="77777777" w:rsidR="00E30660" w:rsidRPr="003D1614" w:rsidRDefault="00E30660" w:rsidP="00061A35">
            <w:pPr>
              <w:suppressAutoHyphens/>
              <w:autoSpaceDN w:val="0"/>
              <w:jc w:val="right"/>
              <w:rPr>
                <w:rFonts w:ascii="Arial" w:eastAsia="Calibri" w:hAnsi="Arial" w:cs="Arial"/>
                <w:b/>
                <w:color w:val="000000" w:themeColor="text1"/>
                <w:sz w:val="14"/>
                <w:szCs w:val="14"/>
              </w:rPr>
            </w:pPr>
          </w:p>
        </w:tc>
        <w:tc>
          <w:tcPr>
            <w:tcW w:w="298" w:type="pct"/>
            <w:vAlign w:val="bottom"/>
          </w:tcPr>
          <w:p w14:paraId="4D6DD2FD" w14:textId="77777777" w:rsidR="00E30660" w:rsidRPr="003D1614" w:rsidRDefault="00E30660" w:rsidP="00061A35">
            <w:pPr>
              <w:suppressAutoHyphens/>
              <w:autoSpaceDN w:val="0"/>
              <w:jc w:val="right"/>
              <w:rPr>
                <w:rFonts w:ascii="Arial" w:eastAsia="Calibri" w:hAnsi="Arial" w:cs="Arial"/>
                <w:b/>
                <w:color w:val="000000" w:themeColor="text1"/>
                <w:sz w:val="14"/>
                <w:szCs w:val="14"/>
              </w:rPr>
            </w:pPr>
          </w:p>
        </w:tc>
        <w:tc>
          <w:tcPr>
            <w:tcW w:w="295" w:type="pct"/>
            <w:vAlign w:val="bottom"/>
          </w:tcPr>
          <w:p w14:paraId="094409A2" w14:textId="77777777" w:rsidR="00E30660" w:rsidRPr="003D1614" w:rsidRDefault="00E30660" w:rsidP="00061A35">
            <w:pPr>
              <w:suppressAutoHyphens/>
              <w:autoSpaceDN w:val="0"/>
              <w:jc w:val="right"/>
              <w:rPr>
                <w:rFonts w:ascii="Arial" w:eastAsia="Calibri" w:hAnsi="Arial" w:cs="Arial"/>
                <w:b/>
                <w:color w:val="000000" w:themeColor="text1"/>
                <w:sz w:val="14"/>
                <w:szCs w:val="14"/>
              </w:rPr>
            </w:pPr>
          </w:p>
        </w:tc>
        <w:tc>
          <w:tcPr>
            <w:tcW w:w="285" w:type="pct"/>
            <w:vAlign w:val="bottom"/>
          </w:tcPr>
          <w:p w14:paraId="1232378A" w14:textId="77777777" w:rsidR="00E30660" w:rsidRPr="003D1614" w:rsidRDefault="00E30660" w:rsidP="00061A35">
            <w:pPr>
              <w:suppressAutoHyphens/>
              <w:autoSpaceDN w:val="0"/>
              <w:jc w:val="right"/>
              <w:rPr>
                <w:rFonts w:ascii="Arial" w:eastAsia="Calibri" w:hAnsi="Arial" w:cs="Arial"/>
                <w:b/>
                <w:color w:val="000000" w:themeColor="text1"/>
                <w:sz w:val="14"/>
                <w:szCs w:val="14"/>
              </w:rPr>
            </w:pPr>
            <w:r>
              <w:rPr>
                <w:rFonts w:ascii="Arial" w:eastAsia="Calibri" w:hAnsi="Arial" w:cs="Arial"/>
                <w:b/>
                <w:color w:val="000000" w:themeColor="text1"/>
                <w:sz w:val="14"/>
                <w:szCs w:val="14"/>
              </w:rPr>
              <w:t>Stupanj 2</w:t>
            </w:r>
          </w:p>
        </w:tc>
        <w:tc>
          <w:tcPr>
            <w:tcW w:w="312" w:type="pct"/>
          </w:tcPr>
          <w:p w14:paraId="2B8958A4" w14:textId="77777777" w:rsidR="00E30660" w:rsidRPr="003D1614" w:rsidRDefault="00E30660" w:rsidP="00061A35">
            <w:pPr>
              <w:suppressAutoHyphens/>
              <w:autoSpaceDN w:val="0"/>
              <w:jc w:val="right"/>
              <w:rPr>
                <w:rFonts w:ascii="Arial" w:eastAsia="Calibri" w:hAnsi="Arial" w:cs="Arial"/>
                <w:b/>
                <w:color w:val="000000" w:themeColor="text1"/>
                <w:sz w:val="14"/>
                <w:szCs w:val="14"/>
              </w:rPr>
            </w:pPr>
            <w:r>
              <w:rPr>
                <w:rFonts w:ascii="Arial" w:eastAsia="Calibri" w:hAnsi="Arial" w:cs="Arial"/>
                <w:b/>
                <w:color w:val="000000" w:themeColor="text1"/>
                <w:sz w:val="14"/>
                <w:szCs w:val="14"/>
              </w:rPr>
              <w:t>Stupanj 3</w:t>
            </w:r>
          </w:p>
        </w:tc>
        <w:tc>
          <w:tcPr>
            <w:tcW w:w="312" w:type="pct"/>
            <w:vAlign w:val="bottom"/>
          </w:tcPr>
          <w:p w14:paraId="4F1A4533" w14:textId="77777777" w:rsidR="00E30660" w:rsidRPr="003D1614" w:rsidRDefault="00E30660" w:rsidP="00061A35">
            <w:pPr>
              <w:suppressAutoHyphens/>
              <w:autoSpaceDN w:val="0"/>
              <w:jc w:val="right"/>
              <w:rPr>
                <w:rFonts w:ascii="Arial" w:eastAsia="Calibri" w:hAnsi="Arial" w:cs="Arial"/>
                <w:b/>
                <w:color w:val="000000" w:themeColor="text1"/>
                <w:sz w:val="14"/>
                <w:szCs w:val="14"/>
              </w:rPr>
            </w:pPr>
          </w:p>
        </w:tc>
        <w:tc>
          <w:tcPr>
            <w:tcW w:w="331" w:type="pct"/>
            <w:vAlign w:val="bottom"/>
          </w:tcPr>
          <w:p w14:paraId="3DDD8327" w14:textId="77777777" w:rsidR="00E30660" w:rsidRPr="003D1614" w:rsidRDefault="00E30660" w:rsidP="00061A35">
            <w:pPr>
              <w:suppressAutoHyphens/>
              <w:autoSpaceDN w:val="0"/>
              <w:jc w:val="right"/>
              <w:rPr>
                <w:rFonts w:ascii="Arial" w:eastAsia="Calibri" w:hAnsi="Arial" w:cs="Arial"/>
                <w:b/>
                <w:color w:val="000000" w:themeColor="text1"/>
                <w:sz w:val="14"/>
                <w:szCs w:val="14"/>
              </w:rPr>
            </w:pPr>
          </w:p>
        </w:tc>
        <w:tc>
          <w:tcPr>
            <w:tcW w:w="329" w:type="pct"/>
            <w:vAlign w:val="bottom"/>
          </w:tcPr>
          <w:p w14:paraId="75FD4FE6" w14:textId="77777777" w:rsidR="00E30660" w:rsidRPr="003D1614" w:rsidRDefault="00E30660" w:rsidP="00061A35">
            <w:pPr>
              <w:suppressAutoHyphens/>
              <w:autoSpaceDN w:val="0"/>
              <w:jc w:val="right"/>
              <w:rPr>
                <w:rFonts w:ascii="Arial" w:eastAsia="Calibri" w:hAnsi="Arial" w:cs="Arial"/>
                <w:b/>
                <w:color w:val="000000" w:themeColor="text1"/>
                <w:sz w:val="14"/>
                <w:szCs w:val="14"/>
              </w:rPr>
            </w:pPr>
          </w:p>
        </w:tc>
        <w:tc>
          <w:tcPr>
            <w:tcW w:w="329" w:type="pct"/>
            <w:vAlign w:val="bottom"/>
          </w:tcPr>
          <w:p w14:paraId="11EF1781" w14:textId="77777777" w:rsidR="00E30660" w:rsidRPr="003D1614" w:rsidRDefault="00E30660" w:rsidP="00061A35">
            <w:pPr>
              <w:suppressAutoHyphens/>
              <w:autoSpaceDN w:val="0"/>
              <w:jc w:val="right"/>
              <w:rPr>
                <w:rFonts w:ascii="Arial" w:eastAsia="Calibri" w:hAnsi="Arial" w:cs="Arial"/>
                <w:b/>
                <w:color w:val="000000" w:themeColor="text1"/>
                <w:sz w:val="14"/>
                <w:szCs w:val="14"/>
              </w:rPr>
            </w:pPr>
          </w:p>
        </w:tc>
        <w:tc>
          <w:tcPr>
            <w:tcW w:w="329" w:type="pct"/>
            <w:vAlign w:val="bottom"/>
          </w:tcPr>
          <w:p w14:paraId="1C65678A" w14:textId="77777777" w:rsidR="00E30660" w:rsidRPr="003D1614" w:rsidRDefault="00E30660" w:rsidP="00061A35">
            <w:pPr>
              <w:suppressAutoHyphens/>
              <w:autoSpaceDN w:val="0"/>
              <w:jc w:val="right"/>
              <w:rPr>
                <w:rFonts w:ascii="Arial" w:eastAsia="Calibri" w:hAnsi="Arial" w:cs="Arial"/>
                <w:b/>
                <w:color w:val="000000" w:themeColor="text1"/>
                <w:sz w:val="14"/>
                <w:szCs w:val="14"/>
              </w:rPr>
            </w:pPr>
          </w:p>
        </w:tc>
        <w:tc>
          <w:tcPr>
            <w:tcW w:w="329" w:type="pct"/>
            <w:vAlign w:val="bottom"/>
          </w:tcPr>
          <w:p w14:paraId="7941CB08" w14:textId="77777777" w:rsidR="00E30660" w:rsidRPr="003D1614" w:rsidRDefault="00E30660" w:rsidP="00061A35">
            <w:pPr>
              <w:suppressAutoHyphens/>
              <w:autoSpaceDN w:val="0"/>
              <w:jc w:val="right"/>
              <w:rPr>
                <w:rFonts w:ascii="Arial" w:eastAsia="Calibri" w:hAnsi="Arial" w:cs="Arial"/>
                <w:b/>
                <w:color w:val="000000" w:themeColor="text1"/>
                <w:sz w:val="14"/>
                <w:szCs w:val="14"/>
              </w:rPr>
            </w:pPr>
            <w:r>
              <w:rPr>
                <w:rFonts w:ascii="Arial" w:eastAsia="Calibri" w:hAnsi="Arial" w:cs="Arial"/>
                <w:b/>
                <w:color w:val="000000" w:themeColor="text1"/>
                <w:sz w:val="14"/>
                <w:szCs w:val="14"/>
              </w:rPr>
              <w:t>Stupanj 2</w:t>
            </w:r>
          </w:p>
        </w:tc>
        <w:tc>
          <w:tcPr>
            <w:tcW w:w="320" w:type="pct"/>
          </w:tcPr>
          <w:p w14:paraId="6C16F10F" w14:textId="77777777" w:rsidR="00E30660" w:rsidRPr="003D1614" w:rsidRDefault="00E30660" w:rsidP="00061A35">
            <w:pPr>
              <w:suppressAutoHyphens/>
              <w:autoSpaceDN w:val="0"/>
              <w:jc w:val="right"/>
              <w:rPr>
                <w:rFonts w:ascii="Arial" w:eastAsia="Calibri" w:hAnsi="Arial" w:cs="Arial"/>
                <w:b/>
                <w:color w:val="000000" w:themeColor="text1"/>
                <w:sz w:val="14"/>
                <w:szCs w:val="14"/>
              </w:rPr>
            </w:pPr>
            <w:r>
              <w:rPr>
                <w:rFonts w:ascii="Arial" w:eastAsia="Calibri" w:hAnsi="Arial" w:cs="Arial"/>
                <w:b/>
                <w:color w:val="000000" w:themeColor="text1"/>
                <w:sz w:val="14"/>
                <w:szCs w:val="14"/>
              </w:rPr>
              <w:t>Stupanj 3</w:t>
            </w:r>
          </w:p>
        </w:tc>
        <w:tc>
          <w:tcPr>
            <w:tcW w:w="363" w:type="pct"/>
            <w:vAlign w:val="bottom"/>
          </w:tcPr>
          <w:p w14:paraId="472AAFBB" w14:textId="77777777" w:rsidR="00E30660" w:rsidRPr="003D1614" w:rsidRDefault="00E30660" w:rsidP="00061A35">
            <w:pPr>
              <w:suppressAutoHyphens/>
              <w:autoSpaceDN w:val="0"/>
              <w:jc w:val="right"/>
              <w:rPr>
                <w:rFonts w:ascii="Arial" w:eastAsia="Calibri" w:hAnsi="Arial" w:cs="Arial"/>
                <w:b/>
                <w:color w:val="000000" w:themeColor="text1"/>
                <w:sz w:val="14"/>
                <w:szCs w:val="14"/>
              </w:rPr>
            </w:pPr>
          </w:p>
        </w:tc>
        <w:tc>
          <w:tcPr>
            <w:tcW w:w="360" w:type="pct"/>
            <w:vAlign w:val="bottom"/>
          </w:tcPr>
          <w:p w14:paraId="4BA46656" w14:textId="77777777" w:rsidR="00E30660" w:rsidRPr="003D1614" w:rsidRDefault="00E30660" w:rsidP="00061A35">
            <w:pPr>
              <w:suppressAutoHyphens/>
              <w:autoSpaceDN w:val="0"/>
              <w:jc w:val="right"/>
              <w:rPr>
                <w:rFonts w:ascii="Arial" w:eastAsia="Calibri" w:hAnsi="Arial" w:cs="Arial"/>
                <w:b/>
                <w:color w:val="000000" w:themeColor="text1"/>
                <w:sz w:val="14"/>
                <w:szCs w:val="14"/>
              </w:rPr>
            </w:pPr>
          </w:p>
        </w:tc>
      </w:tr>
      <w:tr w:rsidR="00E30660" w:rsidRPr="003D1614" w14:paraId="7F238BFB" w14:textId="77777777" w:rsidTr="00061A35">
        <w:trPr>
          <w:trHeight w:val="160"/>
          <w:jc w:val="center"/>
        </w:trPr>
        <w:tc>
          <w:tcPr>
            <w:tcW w:w="500" w:type="pct"/>
          </w:tcPr>
          <w:p w14:paraId="20C02E7D" w14:textId="77777777" w:rsidR="00E30660" w:rsidRPr="003D1614" w:rsidRDefault="00E30660" w:rsidP="00061A35">
            <w:pPr>
              <w:suppressAutoHyphens/>
              <w:autoSpaceDN w:val="0"/>
              <w:rPr>
                <w:rFonts w:ascii="Arial" w:eastAsia="Calibri" w:hAnsi="Arial" w:cs="Arial"/>
                <w:b/>
                <w:bCs/>
                <w:color w:val="000000" w:themeColor="text1"/>
                <w:sz w:val="14"/>
                <w:szCs w:val="14"/>
              </w:rPr>
            </w:pPr>
          </w:p>
        </w:tc>
        <w:tc>
          <w:tcPr>
            <w:tcW w:w="307" w:type="pct"/>
          </w:tcPr>
          <w:p w14:paraId="07C427E3" w14:textId="77777777" w:rsidR="00E30660" w:rsidRPr="003D1614" w:rsidRDefault="00E30660" w:rsidP="00061A35">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298" w:type="pct"/>
          </w:tcPr>
          <w:p w14:paraId="0B3AE4F8" w14:textId="77777777" w:rsidR="00E30660" w:rsidRPr="003D1614" w:rsidRDefault="00E30660" w:rsidP="00061A35">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295" w:type="pct"/>
          </w:tcPr>
          <w:p w14:paraId="6D6EA5BA" w14:textId="77777777" w:rsidR="00E30660" w:rsidRPr="003D1614" w:rsidRDefault="00E30660" w:rsidP="00061A35">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285" w:type="pct"/>
          </w:tcPr>
          <w:p w14:paraId="48D8D425" w14:textId="77777777" w:rsidR="00E30660" w:rsidRPr="003D1614" w:rsidRDefault="00E30660" w:rsidP="00061A35">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12" w:type="pct"/>
          </w:tcPr>
          <w:p w14:paraId="414F67C8" w14:textId="77777777" w:rsidR="00E30660" w:rsidRPr="003D1614" w:rsidRDefault="00E30660" w:rsidP="00061A35">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12" w:type="pct"/>
          </w:tcPr>
          <w:p w14:paraId="1E4D436B" w14:textId="77777777" w:rsidR="00E30660" w:rsidRPr="003D1614" w:rsidRDefault="00E30660" w:rsidP="00061A35">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31" w:type="pct"/>
          </w:tcPr>
          <w:p w14:paraId="15201898" w14:textId="77777777" w:rsidR="00E30660" w:rsidRPr="003D1614" w:rsidRDefault="00E30660" w:rsidP="00061A35">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29" w:type="pct"/>
          </w:tcPr>
          <w:p w14:paraId="0B5C45F4" w14:textId="77777777" w:rsidR="00E30660" w:rsidRPr="003D1614" w:rsidRDefault="00E30660" w:rsidP="00061A35">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29" w:type="pct"/>
          </w:tcPr>
          <w:p w14:paraId="6DF46719" w14:textId="77777777" w:rsidR="00E30660" w:rsidRPr="003D1614" w:rsidRDefault="00E30660" w:rsidP="00061A35">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29" w:type="pct"/>
          </w:tcPr>
          <w:p w14:paraId="54241288" w14:textId="77777777" w:rsidR="00E30660" w:rsidRPr="003D1614" w:rsidRDefault="00E30660" w:rsidP="00061A35">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29" w:type="pct"/>
          </w:tcPr>
          <w:p w14:paraId="06E7CD57" w14:textId="77777777" w:rsidR="00E30660" w:rsidRPr="003D1614" w:rsidRDefault="00E30660" w:rsidP="00061A35">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20" w:type="pct"/>
          </w:tcPr>
          <w:p w14:paraId="05BD4598" w14:textId="77777777" w:rsidR="00E30660" w:rsidRPr="003D1614" w:rsidRDefault="00E30660" w:rsidP="00061A35">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63" w:type="pct"/>
          </w:tcPr>
          <w:p w14:paraId="49239A88" w14:textId="77777777" w:rsidR="00E30660" w:rsidRPr="003D1614" w:rsidRDefault="00E30660" w:rsidP="00061A35">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60" w:type="pct"/>
          </w:tcPr>
          <w:p w14:paraId="75EC23BA" w14:textId="77777777" w:rsidR="00E30660" w:rsidRPr="003D1614" w:rsidRDefault="00E30660" w:rsidP="00061A35">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r>
      <w:tr w:rsidR="00E30660" w:rsidRPr="003D1614" w14:paraId="169334D4" w14:textId="77777777" w:rsidTr="00061A35">
        <w:trPr>
          <w:trHeight w:val="113"/>
          <w:jc w:val="center"/>
        </w:trPr>
        <w:tc>
          <w:tcPr>
            <w:tcW w:w="500" w:type="pct"/>
          </w:tcPr>
          <w:p w14:paraId="11BE0E4D" w14:textId="77777777" w:rsidR="00E30660" w:rsidRPr="003D1614" w:rsidRDefault="00E30660" w:rsidP="00061A35">
            <w:pPr>
              <w:tabs>
                <w:tab w:val="right" w:pos="1202"/>
              </w:tabs>
              <w:suppressAutoHyphens/>
              <w:autoSpaceDN w:val="0"/>
              <w:outlineLvl w:val="0"/>
              <w:rPr>
                <w:rFonts w:ascii="Arial" w:eastAsia="Calibri" w:hAnsi="Arial" w:cs="Arial"/>
                <w:b/>
                <w:bCs/>
                <w:color w:val="000000" w:themeColor="text1"/>
                <w:sz w:val="14"/>
                <w:szCs w:val="14"/>
              </w:rPr>
            </w:pPr>
            <w:bookmarkStart w:id="722" w:name="_Toc67329830"/>
            <w:r w:rsidRPr="003D1614">
              <w:rPr>
                <w:rFonts w:ascii="Arial" w:eastAsia="Calibri" w:hAnsi="Arial" w:cs="Arial"/>
                <w:b/>
                <w:bCs/>
                <w:color w:val="000000" w:themeColor="text1"/>
                <w:sz w:val="14"/>
                <w:szCs w:val="14"/>
              </w:rPr>
              <w:t>Imovina</w:t>
            </w:r>
            <w:bookmarkEnd w:id="722"/>
          </w:p>
        </w:tc>
        <w:tc>
          <w:tcPr>
            <w:tcW w:w="307" w:type="pct"/>
            <w:vAlign w:val="bottom"/>
          </w:tcPr>
          <w:p w14:paraId="43376C06" w14:textId="77777777" w:rsidR="00E30660" w:rsidRPr="003D1614" w:rsidRDefault="00E30660" w:rsidP="00061A35">
            <w:pPr>
              <w:tabs>
                <w:tab w:val="right" w:pos="1202"/>
              </w:tabs>
              <w:suppressAutoHyphens/>
              <w:autoSpaceDN w:val="0"/>
              <w:jc w:val="right"/>
              <w:outlineLvl w:val="0"/>
              <w:rPr>
                <w:rFonts w:ascii="Arial" w:eastAsia="Calibri" w:hAnsi="Arial" w:cs="Arial"/>
                <w:b/>
                <w:bCs/>
                <w:color w:val="000000" w:themeColor="text1"/>
                <w:sz w:val="14"/>
                <w:szCs w:val="14"/>
              </w:rPr>
            </w:pPr>
          </w:p>
        </w:tc>
        <w:tc>
          <w:tcPr>
            <w:tcW w:w="298" w:type="pct"/>
            <w:vAlign w:val="bottom"/>
          </w:tcPr>
          <w:p w14:paraId="40380A08" w14:textId="77777777" w:rsidR="00E30660" w:rsidRPr="003D1614" w:rsidRDefault="00E30660" w:rsidP="00061A35">
            <w:pPr>
              <w:tabs>
                <w:tab w:val="right" w:pos="1202"/>
              </w:tabs>
              <w:suppressAutoHyphens/>
              <w:autoSpaceDN w:val="0"/>
              <w:jc w:val="right"/>
              <w:outlineLvl w:val="0"/>
              <w:rPr>
                <w:rFonts w:ascii="Arial" w:eastAsia="Calibri" w:hAnsi="Arial" w:cs="Arial"/>
                <w:b/>
                <w:bCs/>
                <w:color w:val="000000" w:themeColor="text1"/>
                <w:sz w:val="14"/>
                <w:szCs w:val="14"/>
              </w:rPr>
            </w:pPr>
          </w:p>
        </w:tc>
        <w:tc>
          <w:tcPr>
            <w:tcW w:w="295" w:type="pct"/>
            <w:vAlign w:val="bottom"/>
          </w:tcPr>
          <w:p w14:paraId="40E5A54E" w14:textId="77777777" w:rsidR="00E30660" w:rsidRPr="003D1614" w:rsidRDefault="00E30660" w:rsidP="00061A35">
            <w:pPr>
              <w:tabs>
                <w:tab w:val="right" w:pos="1202"/>
              </w:tabs>
              <w:suppressAutoHyphens/>
              <w:autoSpaceDN w:val="0"/>
              <w:jc w:val="right"/>
              <w:outlineLvl w:val="0"/>
              <w:rPr>
                <w:rFonts w:ascii="Arial" w:eastAsia="Calibri" w:hAnsi="Arial" w:cs="Arial"/>
                <w:b/>
                <w:bCs/>
                <w:color w:val="000000" w:themeColor="text1"/>
                <w:sz w:val="14"/>
                <w:szCs w:val="14"/>
              </w:rPr>
            </w:pPr>
          </w:p>
        </w:tc>
        <w:tc>
          <w:tcPr>
            <w:tcW w:w="285" w:type="pct"/>
            <w:vAlign w:val="bottom"/>
          </w:tcPr>
          <w:p w14:paraId="4503775B" w14:textId="77777777" w:rsidR="00E30660" w:rsidRPr="003D1614" w:rsidRDefault="00E30660" w:rsidP="00061A35">
            <w:pPr>
              <w:tabs>
                <w:tab w:val="right" w:pos="1202"/>
              </w:tabs>
              <w:suppressAutoHyphens/>
              <w:autoSpaceDN w:val="0"/>
              <w:jc w:val="right"/>
              <w:outlineLvl w:val="0"/>
              <w:rPr>
                <w:rFonts w:ascii="Arial" w:eastAsia="Calibri" w:hAnsi="Arial" w:cs="Arial"/>
                <w:b/>
                <w:bCs/>
                <w:color w:val="000000" w:themeColor="text1"/>
                <w:sz w:val="14"/>
                <w:szCs w:val="14"/>
              </w:rPr>
            </w:pPr>
          </w:p>
        </w:tc>
        <w:tc>
          <w:tcPr>
            <w:tcW w:w="312" w:type="pct"/>
          </w:tcPr>
          <w:p w14:paraId="3106A59E" w14:textId="77777777" w:rsidR="00E30660" w:rsidRPr="003D1614" w:rsidRDefault="00E30660" w:rsidP="00061A35">
            <w:pPr>
              <w:tabs>
                <w:tab w:val="right" w:pos="1202"/>
              </w:tabs>
              <w:suppressAutoHyphens/>
              <w:autoSpaceDN w:val="0"/>
              <w:jc w:val="right"/>
              <w:outlineLvl w:val="0"/>
              <w:rPr>
                <w:rFonts w:ascii="Arial" w:eastAsia="Calibri" w:hAnsi="Arial" w:cs="Arial"/>
                <w:b/>
                <w:bCs/>
                <w:color w:val="000000" w:themeColor="text1"/>
                <w:sz w:val="14"/>
                <w:szCs w:val="14"/>
              </w:rPr>
            </w:pPr>
          </w:p>
        </w:tc>
        <w:tc>
          <w:tcPr>
            <w:tcW w:w="312" w:type="pct"/>
            <w:vAlign w:val="bottom"/>
          </w:tcPr>
          <w:p w14:paraId="670C63C8" w14:textId="77777777" w:rsidR="00E30660" w:rsidRPr="003D1614" w:rsidRDefault="00E30660" w:rsidP="00061A35">
            <w:pPr>
              <w:tabs>
                <w:tab w:val="right" w:pos="1202"/>
              </w:tabs>
              <w:suppressAutoHyphens/>
              <w:autoSpaceDN w:val="0"/>
              <w:jc w:val="right"/>
              <w:outlineLvl w:val="0"/>
              <w:rPr>
                <w:rFonts w:ascii="Arial" w:eastAsia="Calibri" w:hAnsi="Arial" w:cs="Arial"/>
                <w:b/>
                <w:bCs/>
                <w:color w:val="000000" w:themeColor="text1"/>
                <w:sz w:val="14"/>
                <w:szCs w:val="14"/>
              </w:rPr>
            </w:pPr>
          </w:p>
        </w:tc>
        <w:tc>
          <w:tcPr>
            <w:tcW w:w="331" w:type="pct"/>
            <w:vAlign w:val="bottom"/>
          </w:tcPr>
          <w:p w14:paraId="615CD123" w14:textId="77777777" w:rsidR="00E30660" w:rsidRPr="003D1614" w:rsidRDefault="00E30660" w:rsidP="00061A35">
            <w:pPr>
              <w:tabs>
                <w:tab w:val="right" w:pos="1202"/>
              </w:tabs>
              <w:suppressAutoHyphens/>
              <w:autoSpaceDN w:val="0"/>
              <w:jc w:val="right"/>
              <w:outlineLvl w:val="0"/>
              <w:rPr>
                <w:rFonts w:ascii="Arial" w:eastAsia="Calibri" w:hAnsi="Arial" w:cs="Arial"/>
                <w:b/>
                <w:bCs/>
                <w:color w:val="000000" w:themeColor="text1"/>
                <w:sz w:val="14"/>
                <w:szCs w:val="14"/>
              </w:rPr>
            </w:pPr>
          </w:p>
        </w:tc>
        <w:tc>
          <w:tcPr>
            <w:tcW w:w="329" w:type="pct"/>
            <w:vAlign w:val="bottom"/>
          </w:tcPr>
          <w:p w14:paraId="40D0119E" w14:textId="77777777" w:rsidR="00E30660" w:rsidRPr="003D1614" w:rsidRDefault="00E30660" w:rsidP="00061A35">
            <w:pPr>
              <w:tabs>
                <w:tab w:val="right" w:pos="1202"/>
              </w:tabs>
              <w:suppressAutoHyphens/>
              <w:autoSpaceDN w:val="0"/>
              <w:jc w:val="right"/>
              <w:outlineLvl w:val="0"/>
              <w:rPr>
                <w:rFonts w:ascii="Arial" w:eastAsia="Calibri" w:hAnsi="Arial" w:cs="Arial"/>
                <w:b/>
                <w:bCs/>
                <w:color w:val="000000" w:themeColor="text1"/>
                <w:sz w:val="14"/>
                <w:szCs w:val="14"/>
              </w:rPr>
            </w:pPr>
          </w:p>
        </w:tc>
        <w:tc>
          <w:tcPr>
            <w:tcW w:w="329" w:type="pct"/>
            <w:vAlign w:val="bottom"/>
          </w:tcPr>
          <w:p w14:paraId="0940B571" w14:textId="77777777" w:rsidR="00E30660" w:rsidRPr="003D1614" w:rsidRDefault="00E30660" w:rsidP="00061A35">
            <w:pPr>
              <w:tabs>
                <w:tab w:val="right" w:pos="1202"/>
              </w:tabs>
              <w:suppressAutoHyphens/>
              <w:autoSpaceDN w:val="0"/>
              <w:jc w:val="right"/>
              <w:outlineLvl w:val="0"/>
              <w:rPr>
                <w:rFonts w:ascii="Arial" w:eastAsia="Calibri" w:hAnsi="Arial" w:cs="Arial"/>
                <w:b/>
                <w:bCs/>
                <w:color w:val="000000" w:themeColor="text1"/>
                <w:sz w:val="14"/>
                <w:szCs w:val="14"/>
              </w:rPr>
            </w:pPr>
          </w:p>
        </w:tc>
        <w:tc>
          <w:tcPr>
            <w:tcW w:w="329" w:type="pct"/>
            <w:vAlign w:val="bottom"/>
          </w:tcPr>
          <w:p w14:paraId="127D57C4" w14:textId="77777777" w:rsidR="00E30660" w:rsidRPr="003D1614" w:rsidRDefault="00E30660" w:rsidP="00061A35">
            <w:pPr>
              <w:tabs>
                <w:tab w:val="right" w:pos="1202"/>
              </w:tabs>
              <w:suppressAutoHyphens/>
              <w:autoSpaceDN w:val="0"/>
              <w:jc w:val="right"/>
              <w:outlineLvl w:val="0"/>
              <w:rPr>
                <w:rFonts w:ascii="Arial" w:eastAsia="Calibri" w:hAnsi="Arial" w:cs="Arial"/>
                <w:b/>
                <w:bCs/>
                <w:color w:val="000000" w:themeColor="text1"/>
                <w:sz w:val="14"/>
                <w:szCs w:val="14"/>
              </w:rPr>
            </w:pPr>
          </w:p>
        </w:tc>
        <w:tc>
          <w:tcPr>
            <w:tcW w:w="329" w:type="pct"/>
            <w:vAlign w:val="bottom"/>
          </w:tcPr>
          <w:p w14:paraId="6D9CB804" w14:textId="77777777" w:rsidR="00E30660" w:rsidRPr="003D1614" w:rsidRDefault="00E30660" w:rsidP="00061A35">
            <w:pPr>
              <w:tabs>
                <w:tab w:val="right" w:pos="1202"/>
              </w:tabs>
              <w:suppressAutoHyphens/>
              <w:autoSpaceDN w:val="0"/>
              <w:jc w:val="right"/>
              <w:outlineLvl w:val="0"/>
              <w:rPr>
                <w:rFonts w:ascii="Arial" w:eastAsia="Calibri" w:hAnsi="Arial" w:cs="Arial"/>
                <w:b/>
                <w:bCs/>
                <w:color w:val="000000" w:themeColor="text1"/>
                <w:sz w:val="14"/>
                <w:szCs w:val="14"/>
              </w:rPr>
            </w:pPr>
          </w:p>
        </w:tc>
        <w:tc>
          <w:tcPr>
            <w:tcW w:w="320" w:type="pct"/>
          </w:tcPr>
          <w:p w14:paraId="304C6C09" w14:textId="77777777" w:rsidR="00E30660" w:rsidRPr="003D1614" w:rsidRDefault="00E30660" w:rsidP="00061A35">
            <w:pPr>
              <w:tabs>
                <w:tab w:val="right" w:pos="1202"/>
              </w:tabs>
              <w:suppressAutoHyphens/>
              <w:autoSpaceDN w:val="0"/>
              <w:jc w:val="right"/>
              <w:outlineLvl w:val="0"/>
              <w:rPr>
                <w:rFonts w:ascii="Arial" w:eastAsia="Calibri" w:hAnsi="Arial" w:cs="Arial"/>
                <w:b/>
                <w:bCs/>
                <w:color w:val="000000" w:themeColor="text1"/>
                <w:sz w:val="14"/>
                <w:szCs w:val="14"/>
              </w:rPr>
            </w:pPr>
          </w:p>
        </w:tc>
        <w:tc>
          <w:tcPr>
            <w:tcW w:w="363" w:type="pct"/>
            <w:vAlign w:val="bottom"/>
          </w:tcPr>
          <w:p w14:paraId="7ED97566" w14:textId="77777777" w:rsidR="00E30660" w:rsidRPr="003D1614" w:rsidRDefault="00E30660" w:rsidP="00061A35">
            <w:pPr>
              <w:tabs>
                <w:tab w:val="right" w:pos="1202"/>
              </w:tabs>
              <w:suppressAutoHyphens/>
              <w:autoSpaceDN w:val="0"/>
              <w:jc w:val="right"/>
              <w:outlineLvl w:val="0"/>
              <w:rPr>
                <w:rFonts w:ascii="Arial" w:eastAsia="Calibri" w:hAnsi="Arial" w:cs="Arial"/>
                <w:b/>
                <w:bCs/>
                <w:color w:val="000000" w:themeColor="text1"/>
                <w:sz w:val="14"/>
                <w:szCs w:val="14"/>
              </w:rPr>
            </w:pPr>
          </w:p>
        </w:tc>
        <w:tc>
          <w:tcPr>
            <w:tcW w:w="360" w:type="pct"/>
            <w:vAlign w:val="bottom"/>
          </w:tcPr>
          <w:p w14:paraId="7779CBFA" w14:textId="77777777" w:rsidR="00E30660" w:rsidRPr="003D1614" w:rsidRDefault="00E30660" w:rsidP="00061A35">
            <w:pPr>
              <w:tabs>
                <w:tab w:val="right" w:pos="1202"/>
              </w:tabs>
              <w:suppressAutoHyphens/>
              <w:autoSpaceDN w:val="0"/>
              <w:jc w:val="right"/>
              <w:outlineLvl w:val="0"/>
              <w:rPr>
                <w:rFonts w:ascii="Arial" w:eastAsia="Calibri" w:hAnsi="Arial" w:cs="Arial"/>
                <w:b/>
                <w:bCs/>
                <w:color w:val="000000" w:themeColor="text1"/>
                <w:sz w:val="14"/>
                <w:szCs w:val="14"/>
              </w:rPr>
            </w:pPr>
          </w:p>
        </w:tc>
      </w:tr>
      <w:tr w:rsidR="00E30660" w:rsidRPr="003D1614" w14:paraId="290B1DB1" w14:textId="77777777" w:rsidTr="00061A35">
        <w:trPr>
          <w:trHeight w:val="189"/>
          <w:jc w:val="center"/>
        </w:trPr>
        <w:tc>
          <w:tcPr>
            <w:tcW w:w="500" w:type="pct"/>
            <w:vAlign w:val="bottom"/>
          </w:tcPr>
          <w:p w14:paraId="285E57FF" w14:textId="77777777" w:rsidR="00E30660" w:rsidRPr="003D1614" w:rsidRDefault="00E30660" w:rsidP="00061A35">
            <w:pPr>
              <w:tabs>
                <w:tab w:val="right" w:pos="1202"/>
              </w:tabs>
              <w:suppressAutoHyphens/>
              <w:autoSpaceDN w:val="0"/>
              <w:outlineLvl w:val="0"/>
              <w:rPr>
                <w:rFonts w:ascii="Arial" w:eastAsia="Calibri" w:hAnsi="Arial" w:cs="Arial"/>
                <w:color w:val="000000" w:themeColor="text1"/>
                <w:sz w:val="14"/>
                <w:szCs w:val="14"/>
              </w:rPr>
            </w:pPr>
            <w:bookmarkStart w:id="723" w:name="_Toc67329831"/>
            <w:r w:rsidRPr="003D1614">
              <w:rPr>
                <w:rFonts w:ascii="Arial" w:eastAsia="Calibri" w:hAnsi="Arial" w:cs="Arial"/>
                <w:color w:val="000000" w:themeColor="text1"/>
                <w:sz w:val="14"/>
                <w:szCs w:val="14"/>
              </w:rPr>
              <w:t>Novčana sredstva i računi kod banaka</w:t>
            </w:r>
            <w:bookmarkEnd w:id="723"/>
          </w:p>
        </w:tc>
        <w:tc>
          <w:tcPr>
            <w:tcW w:w="307" w:type="pct"/>
            <w:tcBorders>
              <w:top w:val="nil"/>
              <w:left w:val="nil"/>
              <w:bottom w:val="nil"/>
              <w:right w:val="nil"/>
            </w:tcBorders>
            <w:shd w:val="clear" w:color="auto" w:fill="auto"/>
            <w:vAlign w:val="bottom"/>
          </w:tcPr>
          <w:p w14:paraId="4662A734" w14:textId="77777777" w:rsidR="00E30660" w:rsidRDefault="00E30660" w:rsidP="00061A35">
            <w:pPr>
              <w:suppressAutoHyphens/>
              <w:autoSpaceDN w:val="0"/>
              <w:jc w:val="right"/>
              <w:rPr>
                <w:rFonts w:ascii="Arial" w:eastAsia="Calibri" w:hAnsi="Arial" w:cs="Arial"/>
                <w:color w:val="000000" w:themeColor="text1"/>
                <w:sz w:val="14"/>
                <w:szCs w:val="14"/>
              </w:rPr>
            </w:pPr>
          </w:p>
          <w:p w14:paraId="51B5605D" w14:textId="77777777" w:rsidR="00E30660" w:rsidRDefault="00E30660" w:rsidP="00061A35">
            <w:pPr>
              <w:suppressAutoHyphens/>
              <w:autoSpaceDN w:val="0"/>
              <w:jc w:val="right"/>
              <w:rPr>
                <w:rFonts w:ascii="Arial" w:eastAsia="Calibri" w:hAnsi="Arial" w:cs="Arial"/>
                <w:color w:val="000000" w:themeColor="text1"/>
                <w:sz w:val="14"/>
                <w:szCs w:val="14"/>
              </w:rPr>
            </w:pPr>
          </w:p>
          <w:p w14:paraId="363EADE5" w14:textId="77777777" w:rsidR="00E30660" w:rsidRPr="003D1614" w:rsidRDefault="00E30660" w:rsidP="00061A3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34.250</w:t>
            </w:r>
          </w:p>
        </w:tc>
        <w:tc>
          <w:tcPr>
            <w:tcW w:w="298" w:type="pct"/>
            <w:tcBorders>
              <w:top w:val="nil"/>
              <w:left w:val="nil"/>
              <w:bottom w:val="nil"/>
              <w:right w:val="nil"/>
            </w:tcBorders>
            <w:shd w:val="clear" w:color="auto" w:fill="auto"/>
            <w:vAlign w:val="bottom"/>
          </w:tcPr>
          <w:p w14:paraId="1DA2096D" w14:textId="77777777" w:rsidR="00E30660" w:rsidRPr="003D1614" w:rsidRDefault="00E30660" w:rsidP="00061A3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95" w:type="pct"/>
            <w:tcBorders>
              <w:top w:val="nil"/>
              <w:left w:val="nil"/>
              <w:bottom w:val="nil"/>
              <w:right w:val="nil"/>
            </w:tcBorders>
            <w:shd w:val="clear" w:color="auto" w:fill="auto"/>
            <w:vAlign w:val="bottom"/>
          </w:tcPr>
          <w:p w14:paraId="6C506F44" w14:textId="77777777" w:rsidR="00E30660" w:rsidRPr="003D1614" w:rsidRDefault="00E30660" w:rsidP="00061A3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85" w:type="pct"/>
            <w:tcBorders>
              <w:top w:val="nil"/>
              <w:left w:val="nil"/>
              <w:bottom w:val="nil"/>
              <w:right w:val="nil"/>
            </w:tcBorders>
            <w:shd w:val="clear" w:color="auto" w:fill="auto"/>
            <w:vAlign w:val="bottom"/>
          </w:tcPr>
          <w:p w14:paraId="64C96748" w14:textId="77777777" w:rsidR="00E30660" w:rsidRPr="003D1614" w:rsidRDefault="00E30660" w:rsidP="00061A3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12" w:type="pct"/>
            <w:tcBorders>
              <w:top w:val="nil"/>
              <w:left w:val="nil"/>
              <w:bottom w:val="nil"/>
              <w:right w:val="nil"/>
            </w:tcBorders>
            <w:vAlign w:val="bottom"/>
          </w:tcPr>
          <w:p w14:paraId="1D8C1E6F" w14:textId="77777777" w:rsidR="00E30660" w:rsidRPr="002A06D3" w:rsidRDefault="00E30660" w:rsidP="00061A3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12" w:type="pct"/>
            <w:tcBorders>
              <w:top w:val="nil"/>
              <w:left w:val="nil"/>
              <w:bottom w:val="nil"/>
              <w:right w:val="nil"/>
            </w:tcBorders>
            <w:shd w:val="clear" w:color="auto" w:fill="auto"/>
            <w:vAlign w:val="bottom"/>
          </w:tcPr>
          <w:p w14:paraId="237843AB" w14:textId="77777777" w:rsidR="00E30660" w:rsidRPr="003D1614" w:rsidRDefault="00E30660" w:rsidP="00061A3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1" w:type="pct"/>
            <w:tcBorders>
              <w:top w:val="nil"/>
              <w:left w:val="nil"/>
              <w:bottom w:val="nil"/>
              <w:right w:val="nil"/>
            </w:tcBorders>
            <w:shd w:val="clear" w:color="auto" w:fill="auto"/>
            <w:vAlign w:val="bottom"/>
          </w:tcPr>
          <w:p w14:paraId="57C8CB90" w14:textId="77777777" w:rsidR="00E30660" w:rsidRPr="003D1614" w:rsidRDefault="00E30660" w:rsidP="00061A3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34.250</w:t>
            </w:r>
          </w:p>
        </w:tc>
        <w:tc>
          <w:tcPr>
            <w:tcW w:w="329" w:type="pct"/>
            <w:tcBorders>
              <w:top w:val="nil"/>
              <w:left w:val="nil"/>
              <w:bottom w:val="nil"/>
              <w:right w:val="nil"/>
            </w:tcBorders>
            <w:vAlign w:val="bottom"/>
          </w:tcPr>
          <w:p w14:paraId="4D36485A" w14:textId="77777777" w:rsidR="00E30660" w:rsidRPr="003D1614" w:rsidRDefault="00E30660" w:rsidP="00061A3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9" w:type="pct"/>
            <w:tcBorders>
              <w:top w:val="nil"/>
              <w:left w:val="nil"/>
              <w:bottom w:val="nil"/>
              <w:right w:val="nil"/>
            </w:tcBorders>
            <w:vAlign w:val="bottom"/>
          </w:tcPr>
          <w:p w14:paraId="368273E5" w14:textId="77777777" w:rsidR="00E30660" w:rsidRPr="003D1614" w:rsidRDefault="00E30660" w:rsidP="00061A3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9" w:type="pct"/>
            <w:tcBorders>
              <w:top w:val="nil"/>
              <w:left w:val="nil"/>
              <w:bottom w:val="nil"/>
              <w:right w:val="nil"/>
            </w:tcBorders>
            <w:vAlign w:val="bottom"/>
          </w:tcPr>
          <w:p w14:paraId="45A4F1CE" w14:textId="77777777" w:rsidR="00E30660" w:rsidRPr="003D1614" w:rsidRDefault="00E30660" w:rsidP="00061A3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9" w:type="pct"/>
            <w:tcBorders>
              <w:top w:val="nil"/>
              <w:left w:val="nil"/>
              <w:bottom w:val="nil"/>
              <w:right w:val="nil"/>
            </w:tcBorders>
            <w:vAlign w:val="bottom"/>
          </w:tcPr>
          <w:p w14:paraId="63DD4EF7" w14:textId="77777777" w:rsidR="00E30660" w:rsidRPr="003D1614" w:rsidRDefault="00E30660" w:rsidP="00061A3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0" w:type="pct"/>
            <w:tcBorders>
              <w:top w:val="nil"/>
              <w:left w:val="nil"/>
              <w:bottom w:val="nil"/>
              <w:right w:val="nil"/>
            </w:tcBorders>
            <w:vAlign w:val="bottom"/>
          </w:tcPr>
          <w:p w14:paraId="3C2B3F7C" w14:textId="77777777" w:rsidR="00E30660" w:rsidRPr="002A06D3" w:rsidRDefault="00E30660" w:rsidP="00061A3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63" w:type="pct"/>
            <w:tcBorders>
              <w:top w:val="nil"/>
              <w:left w:val="nil"/>
              <w:bottom w:val="nil"/>
              <w:right w:val="nil"/>
            </w:tcBorders>
            <w:vAlign w:val="bottom"/>
          </w:tcPr>
          <w:p w14:paraId="622F4525" w14:textId="77777777" w:rsidR="00E30660" w:rsidRPr="003D1614" w:rsidRDefault="00E30660" w:rsidP="00061A3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60" w:type="pct"/>
            <w:tcBorders>
              <w:top w:val="nil"/>
              <w:left w:val="nil"/>
              <w:bottom w:val="nil"/>
              <w:right w:val="nil"/>
            </w:tcBorders>
            <w:vAlign w:val="bottom"/>
          </w:tcPr>
          <w:p w14:paraId="4A7C991F" w14:textId="77777777" w:rsidR="00E30660" w:rsidRPr="003D1614" w:rsidRDefault="00E30660" w:rsidP="00061A3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r>
      <w:tr w:rsidR="00E30660" w:rsidRPr="003D1614" w14:paraId="231E3479" w14:textId="77777777" w:rsidTr="00061A35">
        <w:trPr>
          <w:trHeight w:val="189"/>
          <w:jc w:val="center"/>
        </w:trPr>
        <w:tc>
          <w:tcPr>
            <w:tcW w:w="500" w:type="pct"/>
            <w:vAlign w:val="bottom"/>
          </w:tcPr>
          <w:p w14:paraId="2A7EEA91" w14:textId="77777777" w:rsidR="00E30660" w:rsidRPr="003D1614" w:rsidRDefault="00E30660" w:rsidP="00061A35">
            <w:pPr>
              <w:tabs>
                <w:tab w:val="right" w:pos="1202"/>
              </w:tabs>
              <w:suppressAutoHyphens/>
              <w:autoSpaceDN w:val="0"/>
              <w:outlineLvl w:val="0"/>
              <w:rPr>
                <w:rFonts w:ascii="Arial" w:eastAsia="Calibri" w:hAnsi="Arial" w:cs="Arial"/>
                <w:color w:val="000000" w:themeColor="text1"/>
                <w:sz w:val="14"/>
                <w:szCs w:val="14"/>
              </w:rPr>
            </w:pPr>
            <w:bookmarkStart w:id="724" w:name="_Toc67329832"/>
            <w:r w:rsidRPr="003D1614">
              <w:rPr>
                <w:rFonts w:ascii="Arial" w:eastAsia="Calibri" w:hAnsi="Arial" w:cs="Arial"/>
                <w:color w:val="000000" w:themeColor="text1"/>
                <w:sz w:val="14"/>
                <w:szCs w:val="14"/>
              </w:rPr>
              <w:t>Depoziti kod drugih banaka</w:t>
            </w:r>
            <w:bookmarkEnd w:id="724"/>
          </w:p>
        </w:tc>
        <w:tc>
          <w:tcPr>
            <w:tcW w:w="307" w:type="pct"/>
            <w:tcBorders>
              <w:top w:val="nil"/>
              <w:left w:val="nil"/>
              <w:bottom w:val="nil"/>
              <w:right w:val="nil"/>
            </w:tcBorders>
            <w:shd w:val="clear" w:color="auto" w:fill="auto"/>
            <w:vAlign w:val="bottom"/>
          </w:tcPr>
          <w:p w14:paraId="61F9794B" w14:textId="77777777" w:rsidR="00E30660" w:rsidRPr="003D1614" w:rsidRDefault="00E30660" w:rsidP="00061A3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124.473</w:t>
            </w:r>
          </w:p>
        </w:tc>
        <w:tc>
          <w:tcPr>
            <w:tcW w:w="298" w:type="pct"/>
            <w:tcBorders>
              <w:top w:val="nil"/>
              <w:left w:val="nil"/>
              <w:bottom w:val="nil"/>
              <w:right w:val="nil"/>
            </w:tcBorders>
            <w:shd w:val="clear" w:color="auto" w:fill="auto"/>
            <w:vAlign w:val="bottom"/>
          </w:tcPr>
          <w:p w14:paraId="3AAF0A10" w14:textId="77777777" w:rsidR="00E30660" w:rsidRPr="003D1614" w:rsidRDefault="00E30660" w:rsidP="00061A3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95" w:type="pct"/>
            <w:tcBorders>
              <w:top w:val="nil"/>
              <w:left w:val="nil"/>
              <w:bottom w:val="nil"/>
              <w:right w:val="nil"/>
            </w:tcBorders>
            <w:shd w:val="clear" w:color="auto" w:fill="auto"/>
            <w:vAlign w:val="bottom"/>
          </w:tcPr>
          <w:p w14:paraId="6821DD27" w14:textId="77777777" w:rsidR="00E30660" w:rsidRPr="003D1614" w:rsidRDefault="00E30660" w:rsidP="00061A3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85" w:type="pct"/>
            <w:tcBorders>
              <w:top w:val="nil"/>
              <w:left w:val="nil"/>
              <w:bottom w:val="nil"/>
              <w:right w:val="nil"/>
            </w:tcBorders>
            <w:shd w:val="clear" w:color="auto" w:fill="auto"/>
            <w:vAlign w:val="bottom"/>
          </w:tcPr>
          <w:p w14:paraId="762E1D19" w14:textId="77777777" w:rsidR="00E30660" w:rsidRPr="003D1614" w:rsidRDefault="00E30660" w:rsidP="00061A3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12" w:type="pct"/>
            <w:tcBorders>
              <w:top w:val="nil"/>
              <w:left w:val="nil"/>
              <w:bottom w:val="nil"/>
              <w:right w:val="nil"/>
            </w:tcBorders>
            <w:vAlign w:val="bottom"/>
          </w:tcPr>
          <w:p w14:paraId="621F328E" w14:textId="77777777" w:rsidR="00E30660" w:rsidRPr="002A06D3" w:rsidRDefault="00E30660" w:rsidP="00061A3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12" w:type="pct"/>
            <w:tcBorders>
              <w:top w:val="nil"/>
              <w:left w:val="nil"/>
              <w:bottom w:val="nil"/>
              <w:right w:val="nil"/>
            </w:tcBorders>
            <w:shd w:val="clear" w:color="auto" w:fill="auto"/>
            <w:vAlign w:val="bottom"/>
          </w:tcPr>
          <w:p w14:paraId="61E34FC5" w14:textId="77777777" w:rsidR="00E30660" w:rsidRPr="003D1614" w:rsidRDefault="00E30660" w:rsidP="00061A3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1" w:type="pct"/>
            <w:tcBorders>
              <w:top w:val="nil"/>
              <w:left w:val="nil"/>
              <w:bottom w:val="nil"/>
              <w:right w:val="nil"/>
            </w:tcBorders>
            <w:shd w:val="clear" w:color="auto" w:fill="auto"/>
            <w:vAlign w:val="bottom"/>
          </w:tcPr>
          <w:p w14:paraId="68781EC4" w14:textId="77777777" w:rsidR="00E30660" w:rsidRPr="003D1614" w:rsidRDefault="00E30660" w:rsidP="00061A3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124.473</w:t>
            </w:r>
          </w:p>
        </w:tc>
        <w:tc>
          <w:tcPr>
            <w:tcW w:w="329" w:type="pct"/>
            <w:tcBorders>
              <w:top w:val="nil"/>
              <w:left w:val="nil"/>
              <w:bottom w:val="nil"/>
              <w:right w:val="nil"/>
            </w:tcBorders>
            <w:vAlign w:val="bottom"/>
          </w:tcPr>
          <w:p w14:paraId="63413C1D" w14:textId="77777777" w:rsidR="00E30660" w:rsidRPr="003D1614" w:rsidRDefault="00E30660" w:rsidP="00061A3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9" w:type="pct"/>
            <w:tcBorders>
              <w:top w:val="nil"/>
              <w:left w:val="nil"/>
              <w:bottom w:val="nil"/>
              <w:right w:val="nil"/>
            </w:tcBorders>
            <w:vAlign w:val="bottom"/>
          </w:tcPr>
          <w:p w14:paraId="58AC087D" w14:textId="77777777" w:rsidR="00E30660" w:rsidRPr="003D1614" w:rsidRDefault="00E30660" w:rsidP="00061A3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9" w:type="pct"/>
            <w:tcBorders>
              <w:top w:val="nil"/>
              <w:left w:val="nil"/>
              <w:bottom w:val="nil"/>
              <w:right w:val="nil"/>
            </w:tcBorders>
            <w:vAlign w:val="bottom"/>
          </w:tcPr>
          <w:p w14:paraId="5ACE8916" w14:textId="77777777" w:rsidR="00E30660" w:rsidRPr="003D1614" w:rsidRDefault="00E30660" w:rsidP="00061A3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9" w:type="pct"/>
            <w:tcBorders>
              <w:top w:val="nil"/>
              <w:left w:val="nil"/>
              <w:bottom w:val="nil"/>
              <w:right w:val="nil"/>
            </w:tcBorders>
            <w:vAlign w:val="bottom"/>
          </w:tcPr>
          <w:p w14:paraId="406DFD7D" w14:textId="77777777" w:rsidR="00E30660" w:rsidRPr="003D1614" w:rsidRDefault="00E30660" w:rsidP="00061A3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0" w:type="pct"/>
            <w:tcBorders>
              <w:top w:val="nil"/>
              <w:left w:val="nil"/>
              <w:bottom w:val="nil"/>
              <w:right w:val="nil"/>
            </w:tcBorders>
            <w:vAlign w:val="bottom"/>
          </w:tcPr>
          <w:p w14:paraId="56A27ED9" w14:textId="77777777" w:rsidR="00E30660" w:rsidRPr="002A06D3" w:rsidRDefault="00E30660" w:rsidP="00061A3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63" w:type="pct"/>
            <w:tcBorders>
              <w:top w:val="nil"/>
              <w:left w:val="nil"/>
              <w:bottom w:val="nil"/>
              <w:right w:val="nil"/>
            </w:tcBorders>
            <w:vAlign w:val="bottom"/>
          </w:tcPr>
          <w:p w14:paraId="32E92DE3" w14:textId="77777777" w:rsidR="00E30660" w:rsidRPr="003D1614" w:rsidRDefault="00E30660" w:rsidP="00061A3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60" w:type="pct"/>
            <w:tcBorders>
              <w:top w:val="nil"/>
              <w:left w:val="nil"/>
              <w:bottom w:val="nil"/>
              <w:right w:val="nil"/>
            </w:tcBorders>
            <w:vAlign w:val="bottom"/>
          </w:tcPr>
          <w:p w14:paraId="36923C40" w14:textId="77777777" w:rsidR="00E30660" w:rsidRPr="003D1614" w:rsidRDefault="00E30660" w:rsidP="00061A3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r>
      <w:tr w:rsidR="00E30660" w:rsidRPr="003D1614" w14:paraId="744B6D94" w14:textId="77777777" w:rsidTr="00061A35">
        <w:trPr>
          <w:trHeight w:val="189"/>
          <w:jc w:val="center"/>
        </w:trPr>
        <w:tc>
          <w:tcPr>
            <w:tcW w:w="500" w:type="pct"/>
            <w:vAlign w:val="bottom"/>
          </w:tcPr>
          <w:p w14:paraId="58CFDBE6" w14:textId="77777777" w:rsidR="00E30660" w:rsidRPr="003D1614" w:rsidRDefault="00E30660" w:rsidP="00061A35">
            <w:pPr>
              <w:tabs>
                <w:tab w:val="right" w:pos="1202"/>
              </w:tabs>
              <w:suppressAutoHyphens/>
              <w:autoSpaceDN w:val="0"/>
              <w:outlineLvl w:val="0"/>
              <w:rPr>
                <w:rFonts w:ascii="Arial" w:eastAsia="Calibri" w:hAnsi="Arial" w:cs="Arial"/>
                <w:color w:val="000000" w:themeColor="text1"/>
                <w:sz w:val="14"/>
                <w:szCs w:val="14"/>
              </w:rPr>
            </w:pPr>
            <w:bookmarkStart w:id="725" w:name="_Toc67329833"/>
            <w:r w:rsidRPr="003D1614">
              <w:rPr>
                <w:rFonts w:ascii="Arial" w:eastAsia="Calibri" w:hAnsi="Arial" w:cs="Arial"/>
                <w:color w:val="000000" w:themeColor="text1"/>
                <w:sz w:val="14"/>
                <w:szCs w:val="14"/>
              </w:rPr>
              <w:t>Krediti financijskim institucijama</w:t>
            </w:r>
            <w:bookmarkEnd w:id="725"/>
          </w:p>
        </w:tc>
        <w:tc>
          <w:tcPr>
            <w:tcW w:w="307" w:type="pct"/>
            <w:tcBorders>
              <w:top w:val="nil"/>
              <w:left w:val="nil"/>
              <w:bottom w:val="nil"/>
              <w:right w:val="nil"/>
            </w:tcBorders>
            <w:shd w:val="clear" w:color="auto" w:fill="auto"/>
            <w:vAlign w:val="bottom"/>
          </w:tcPr>
          <w:p w14:paraId="3933ED82" w14:textId="77777777" w:rsidR="00E30660" w:rsidRPr="003D1614" w:rsidRDefault="00E30660" w:rsidP="00061A3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1.152.929</w:t>
            </w:r>
          </w:p>
        </w:tc>
        <w:tc>
          <w:tcPr>
            <w:tcW w:w="298" w:type="pct"/>
            <w:tcBorders>
              <w:top w:val="nil"/>
              <w:left w:val="nil"/>
              <w:bottom w:val="nil"/>
              <w:right w:val="nil"/>
            </w:tcBorders>
            <w:shd w:val="clear" w:color="auto" w:fill="auto"/>
            <w:vAlign w:val="bottom"/>
          </w:tcPr>
          <w:p w14:paraId="182B5DBC" w14:textId="77777777" w:rsidR="00E30660" w:rsidRPr="003D1614" w:rsidRDefault="00E30660" w:rsidP="00061A3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14.012</w:t>
            </w:r>
          </w:p>
        </w:tc>
        <w:tc>
          <w:tcPr>
            <w:tcW w:w="295" w:type="pct"/>
            <w:tcBorders>
              <w:top w:val="nil"/>
              <w:left w:val="nil"/>
              <w:bottom w:val="nil"/>
              <w:right w:val="nil"/>
            </w:tcBorders>
            <w:shd w:val="clear" w:color="auto" w:fill="auto"/>
            <w:vAlign w:val="bottom"/>
          </w:tcPr>
          <w:p w14:paraId="52B7B00A" w14:textId="77777777" w:rsidR="00E30660" w:rsidRPr="003D1614" w:rsidRDefault="00E30660" w:rsidP="00061A3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263</w:t>
            </w:r>
          </w:p>
        </w:tc>
        <w:tc>
          <w:tcPr>
            <w:tcW w:w="285" w:type="pct"/>
            <w:tcBorders>
              <w:top w:val="nil"/>
              <w:left w:val="nil"/>
              <w:bottom w:val="nil"/>
              <w:right w:val="nil"/>
            </w:tcBorders>
            <w:shd w:val="clear" w:color="auto" w:fill="auto"/>
            <w:vAlign w:val="bottom"/>
          </w:tcPr>
          <w:p w14:paraId="6BE9590E" w14:textId="77777777" w:rsidR="00E30660" w:rsidRPr="003D1614" w:rsidRDefault="00E30660" w:rsidP="00061A3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12" w:type="pct"/>
            <w:tcBorders>
              <w:top w:val="nil"/>
              <w:left w:val="nil"/>
              <w:bottom w:val="nil"/>
              <w:right w:val="nil"/>
            </w:tcBorders>
            <w:shd w:val="clear" w:color="auto" w:fill="auto"/>
            <w:vAlign w:val="bottom"/>
          </w:tcPr>
          <w:p w14:paraId="720A5DBA" w14:textId="77777777" w:rsidR="00E30660" w:rsidRPr="002A06D3" w:rsidRDefault="00E30660" w:rsidP="00061A3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12" w:type="pct"/>
            <w:tcBorders>
              <w:top w:val="nil"/>
              <w:left w:val="nil"/>
              <w:bottom w:val="nil"/>
              <w:right w:val="nil"/>
            </w:tcBorders>
            <w:shd w:val="clear" w:color="auto" w:fill="auto"/>
            <w:vAlign w:val="bottom"/>
          </w:tcPr>
          <w:p w14:paraId="12BA9B4A" w14:textId="77777777" w:rsidR="00E30660" w:rsidRPr="003D1614" w:rsidRDefault="00E30660" w:rsidP="00061A3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1" w:type="pct"/>
            <w:tcBorders>
              <w:top w:val="nil"/>
              <w:left w:val="nil"/>
              <w:bottom w:val="nil"/>
              <w:right w:val="nil"/>
            </w:tcBorders>
            <w:shd w:val="clear" w:color="auto" w:fill="auto"/>
            <w:vAlign w:val="bottom"/>
          </w:tcPr>
          <w:p w14:paraId="1BE41CF5" w14:textId="77777777" w:rsidR="00E30660" w:rsidRPr="003D1614" w:rsidRDefault="00E30660" w:rsidP="00061A3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1.167.204</w:t>
            </w:r>
          </w:p>
        </w:tc>
        <w:tc>
          <w:tcPr>
            <w:tcW w:w="329" w:type="pct"/>
            <w:tcBorders>
              <w:top w:val="nil"/>
              <w:left w:val="nil"/>
              <w:bottom w:val="nil"/>
              <w:right w:val="nil"/>
            </w:tcBorders>
            <w:vAlign w:val="bottom"/>
          </w:tcPr>
          <w:p w14:paraId="1937A9E4" w14:textId="77777777" w:rsidR="00E30660" w:rsidRPr="003D1614" w:rsidRDefault="00E30660" w:rsidP="00061A3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9" w:type="pct"/>
            <w:tcBorders>
              <w:top w:val="nil"/>
              <w:left w:val="nil"/>
              <w:bottom w:val="nil"/>
              <w:right w:val="nil"/>
            </w:tcBorders>
            <w:vAlign w:val="bottom"/>
          </w:tcPr>
          <w:p w14:paraId="077D3CDD" w14:textId="77777777" w:rsidR="00E30660" w:rsidRPr="003D1614" w:rsidRDefault="00E30660" w:rsidP="00061A3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9" w:type="pct"/>
            <w:tcBorders>
              <w:top w:val="nil"/>
              <w:left w:val="nil"/>
              <w:bottom w:val="nil"/>
              <w:right w:val="nil"/>
            </w:tcBorders>
            <w:vAlign w:val="bottom"/>
          </w:tcPr>
          <w:p w14:paraId="6A94A421" w14:textId="77777777" w:rsidR="00E30660" w:rsidRPr="003D1614" w:rsidRDefault="00E30660" w:rsidP="00061A3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9" w:type="pct"/>
            <w:tcBorders>
              <w:top w:val="nil"/>
              <w:left w:val="nil"/>
              <w:bottom w:val="nil"/>
              <w:right w:val="nil"/>
            </w:tcBorders>
            <w:vAlign w:val="bottom"/>
          </w:tcPr>
          <w:p w14:paraId="63696884" w14:textId="77777777" w:rsidR="00E30660" w:rsidRPr="003D1614" w:rsidRDefault="00E30660" w:rsidP="00061A3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0" w:type="pct"/>
            <w:tcBorders>
              <w:top w:val="nil"/>
              <w:left w:val="nil"/>
              <w:bottom w:val="nil"/>
              <w:right w:val="nil"/>
            </w:tcBorders>
            <w:vAlign w:val="bottom"/>
          </w:tcPr>
          <w:p w14:paraId="5DDB8AAF" w14:textId="77777777" w:rsidR="00E30660" w:rsidRPr="002A06D3" w:rsidRDefault="00E30660" w:rsidP="00061A3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63" w:type="pct"/>
            <w:tcBorders>
              <w:top w:val="nil"/>
              <w:left w:val="nil"/>
              <w:bottom w:val="nil"/>
              <w:right w:val="nil"/>
            </w:tcBorders>
            <w:vAlign w:val="bottom"/>
          </w:tcPr>
          <w:p w14:paraId="4A6449A5" w14:textId="77777777" w:rsidR="00E30660" w:rsidRPr="003D1614" w:rsidRDefault="00E30660" w:rsidP="00061A3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60" w:type="pct"/>
            <w:tcBorders>
              <w:top w:val="nil"/>
              <w:left w:val="nil"/>
              <w:bottom w:val="nil"/>
              <w:right w:val="nil"/>
            </w:tcBorders>
            <w:vAlign w:val="bottom"/>
          </w:tcPr>
          <w:p w14:paraId="046A1244" w14:textId="77777777" w:rsidR="00E30660" w:rsidRPr="003D1614" w:rsidRDefault="00E30660" w:rsidP="00061A3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r>
      <w:tr w:rsidR="00E30660" w:rsidRPr="003D1614" w14:paraId="240F0BD6" w14:textId="77777777" w:rsidTr="00061A35">
        <w:trPr>
          <w:trHeight w:val="189"/>
          <w:jc w:val="center"/>
        </w:trPr>
        <w:tc>
          <w:tcPr>
            <w:tcW w:w="500" w:type="pct"/>
            <w:vAlign w:val="bottom"/>
          </w:tcPr>
          <w:p w14:paraId="0CB7AD6C" w14:textId="77777777" w:rsidR="00E30660" w:rsidRPr="003D1614" w:rsidRDefault="00E30660" w:rsidP="00061A35">
            <w:pPr>
              <w:tabs>
                <w:tab w:val="right" w:pos="1202"/>
              </w:tabs>
              <w:suppressAutoHyphens/>
              <w:autoSpaceDN w:val="0"/>
              <w:outlineLvl w:val="0"/>
              <w:rPr>
                <w:rFonts w:ascii="Arial" w:eastAsia="Calibri" w:hAnsi="Arial" w:cs="Arial"/>
                <w:color w:val="000000" w:themeColor="text1"/>
                <w:sz w:val="14"/>
                <w:szCs w:val="14"/>
              </w:rPr>
            </w:pPr>
            <w:bookmarkStart w:id="726" w:name="_Toc67329834"/>
            <w:r w:rsidRPr="003D1614">
              <w:rPr>
                <w:rFonts w:ascii="Arial" w:eastAsia="Calibri" w:hAnsi="Arial" w:cs="Arial"/>
                <w:color w:val="000000" w:themeColor="text1"/>
                <w:sz w:val="14"/>
                <w:szCs w:val="14"/>
              </w:rPr>
              <w:t>Krediti ostalim korisnicima</w:t>
            </w:r>
            <w:bookmarkEnd w:id="726"/>
          </w:p>
        </w:tc>
        <w:tc>
          <w:tcPr>
            <w:tcW w:w="307" w:type="pct"/>
            <w:tcBorders>
              <w:top w:val="nil"/>
              <w:left w:val="nil"/>
              <w:bottom w:val="nil"/>
              <w:right w:val="nil"/>
            </w:tcBorders>
            <w:shd w:val="clear" w:color="auto" w:fill="auto"/>
            <w:vAlign w:val="bottom"/>
          </w:tcPr>
          <w:p w14:paraId="7D84B603" w14:textId="77777777" w:rsidR="00E30660" w:rsidRPr="003D1614" w:rsidRDefault="00E30660" w:rsidP="00061A3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1.761.861</w:t>
            </w:r>
          </w:p>
        </w:tc>
        <w:tc>
          <w:tcPr>
            <w:tcW w:w="298" w:type="pct"/>
            <w:tcBorders>
              <w:top w:val="nil"/>
              <w:left w:val="nil"/>
              <w:bottom w:val="nil"/>
              <w:right w:val="nil"/>
            </w:tcBorders>
            <w:shd w:val="clear" w:color="auto" w:fill="auto"/>
            <w:vAlign w:val="bottom"/>
          </w:tcPr>
          <w:p w14:paraId="6747909E" w14:textId="77777777" w:rsidR="00E30660" w:rsidRPr="003D1614" w:rsidRDefault="00E30660" w:rsidP="00061A3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249.164</w:t>
            </w:r>
          </w:p>
        </w:tc>
        <w:tc>
          <w:tcPr>
            <w:tcW w:w="295" w:type="pct"/>
            <w:tcBorders>
              <w:top w:val="nil"/>
              <w:left w:val="nil"/>
              <w:bottom w:val="nil"/>
              <w:right w:val="nil"/>
            </w:tcBorders>
            <w:shd w:val="clear" w:color="auto" w:fill="auto"/>
            <w:vAlign w:val="bottom"/>
          </w:tcPr>
          <w:p w14:paraId="3F83DD3B" w14:textId="77777777" w:rsidR="00E30660" w:rsidRPr="003D1614" w:rsidRDefault="00E30660" w:rsidP="00061A3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154.639</w:t>
            </w:r>
          </w:p>
        </w:tc>
        <w:tc>
          <w:tcPr>
            <w:tcW w:w="285" w:type="pct"/>
            <w:tcBorders>
              <w:top w:val="nil"/>
              <w:left w:val="nil"/>
              <w:bottom w:val="nil"/>
              <w:right w:val="nil"/>
            </w:tcBorders>
            <w:shd w:val="clear" w:color="auto" w:fill="auto"/>
            <w:vAlign w:val="bottom"/>
          </w:tcPr>
          <w:p w14:paraId="40CB067C" w14:textId="77777777" w:rsidR="00E30660" w:rsidRPr="003D1614" w:rsidRDefault="00E30660" w:rsidP="00061A3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42.681</w:t>
            </w:r>
          </w:p>
        </w:tc>
        <w:tc>
          <w:tcPr>
            <w:tcW w:w="312" w:type="pct"/>
            <w:tcBorders>
              <w:top w:val="nil"/>
              <w:left w:val="nil"/>
              <w:bottom w:val="nil"/>
              <w:right w:val="nil"/>
            </w:tcBorders>
            <w:shd w:val="clear" w:color="auto" w:fill="auto"/>
            <w:vAlign w:val="bottom"/>
          </w:tcPr>
          <w:p w14:paraId="47C4AC05" w14:textId="77777777" w:rsidR="00E30660" w:rsidRPr="002A06D3" w:rsidRDefault="00E30660" w:rsidP="00061A3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153.132</w:t>
            </w:r>
          </w:p>
        </w:tc>
        <w:tc>
          <w:tcPr>
            <w:tcW w:w="312" w:type="pct"/>
            <w:tcBorders>
              <w:top w:val="nil"/>
              <w:left w:val="nil"/>
              <w:bottom w:val="nil"/>
              <w:right w:val="nil"/>
            </w:tcBorders>
            <w:shd w:val="clear" w:color="auto" w:fill="auto"/>
            <w:vAlign w:val="bottom"/>
          </w:tcPr>
          <w:p w14:paraId="5F082803" w14:textId="77777777" w:rsidR="00E30660" w:rsidRPr="003D1614" w:rsidRDefault="00E30660" w:rsidP="00061A3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1" w:type="pct"/>
            <w:tcBorders>
              <w:top w:val="nil"/>
              <w:left w:val="nil"/>
              <w:bottom w:val="nil"/>
              <w:right w:val="nil"/>
            </w:tcBorders>
            <w:shd w:val="clear" w:color="auto" w:fill="auto"/>
            <w:vAlign w:val="bottom"/>
          </w:tcPr>
          <w:p w14:paraId="56F3E004" w14:textId="77777777" w:rsidR="00E30660" w:rsidRPr="003D1614" w:rsidRDefault="00E30660" w:rsidP="00061A3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2.361.477</w:t>
            </w:r>
          </w:p>
        </w:tc>
        <w:tc>
          <w:tcPr>
            <w:tcW w:w="329" w:type="pct"/>
            <w:tcBorders>
              <w:top w:val="nil"/>
              <w:left w:val="nil"/>
              <w:bottom w:val="nil"/>
              <w:right w:val="nil"/>
            </w:tcBorders>
            <w:vAlign w:val="bottom"/>
          </w:tcPr>
          <w:p w14:paraId="64E5ECFE" w14:textId="77777777" w:rsidR="00E30660" w:rsidRPr="003D1614" w:rsidRDefault="00E30660" w:rsidP="00061A3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392.150</w:t>
            </w:r>
          </w:p>
        </w:tc>
        <w:tc>
          <w:tcPr>
            <w:tcW w:w="329" w:type="pct"/>
            <w:tcBorders>
              <w:top w:val="nil"/>
              <w:left w:val="nil"/>
              <w:bottom w:val="nil"/>
              <w:right w:val="nil"/>
            </w:tcBorders>
            <w:vAlign w:val="bottom"/>
          </w:tcPr>
          <w:p w14:paraId="63C1A98F" w14:textId="77777777" w:rsidR="00E30660" w:rsidRPr="003D1614" w:rsidRDefault="00E30660" w:rsidP="00061A3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47.233</w:t>
            </w:r>
          </w:p>
        </w:tc>
        <w:tc>
          <w:tcPr>
            <w:tcW w:w="329" w:type="pct"/>
            <w:tcBorders>
              <w:top w:val="nil"/>
              <w:left w:val="nil"/>
              <w:bottom w:val="nil"/>
              <w:right w:val="nil"/>
            </w:tcBorders>
            <w:vAlign w:val="bottom"/>
          </w:tcPr>
          <w:p w14:paraId="1792B243" w14:textId="77777777" w:rsidR="00E30660" w:rsidRPr="003D1614" w:rsidRDefault="00E30660" w:rsidP="00061A3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8.441</w:t>
            </w:r>
          </w:p>
        </w:tc>
        <w:tc>
          <w:tcPr>
            <w:tcW w:w="329" w:type="pct"/>
            <w:tcBorders>
              <w:top w:val="nil"/>
              <w:left w:val="nil"/>
              <w:bottom w:val="nil"/>
              <w:right w:val="nil"/>
            </w:tcBorders>
            <w:vAlign w:val="bottom"/>
          </w:tcPr>
          <w:p w14:paraId="71CD699C" w14:textId="77777777" w:rsidR="00E30660" w:rsidRPr="003D1614" w:rsidRDefault="00E30660" w:rsidP="00061A3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36</w:t>
            </w:r>
          </w:p>
        </w:tc>
        <w:tc>
          <w:tcPr>
            <w:tcW w:w="320" w:type="pct"/>
            <w:tcBorders>
              <w:top w:val="nil"/>
              <w:left w:val="nil"/>
              <w:bottom w:val="nil"/>
              <w:right w:val="nil"/>
            </w:tcBorders>
            <w:vAlign w:val="bottom"/>
          </w:tcPr>
          <w:p w14:paraId="70598B7E" w14:textId="77777777" w:rsidR="00E30660" w:rsidRPr="002A06D3" w:rsidRDefault="00E30660" w:rsidP="00061A3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4.412</w:t>
            </w:r>
          </w:p>
        </w:tc>
        <w:tc>
          <w:tcPr>
            <w:tcW w:w="363" w:type="pct"/>
            <w:tcBorders>
              <w:top w:val="nil"/>
              <w:left w:val="nil"/>
              <w:bottom w:val="nil"/>
              <w:right w:val="nil"/>
            </w:tcBorders>
            <w:vAlign w:val="bottom"/>
          </w:tcPr>
          <w:p w14:paraId="36494A80" w14:textId="77777777" w:rsidR="00E30660" w:rsidRPr="003D1614" w:rsidRDefault="00E30660" w:rsidP="00061A3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60" w:type="pct"/>
            <w:tcBorders>
              <w:top w:val="nil"/>
              <w:left w:val="nil"/>
              <w:bottom w:val="nil"/>
              <w:right w:val="nil"/>
            </w:tcBorders>
            <w:vAlign w:val="bottom"/>
          </w:tcPr>
          <w:p w14:paraId="34BBCF5E" w14:textId="77777777" w:rsidR="00E30660" w:rsidRPr="003D1614" w:rsidRDefault="00E30660" w:rsidP="00061A3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452.272</w:t>
            </w:r>
          </w:p>
        </w:tc>
      </w:tr>
      <w:tr w:rsidR="00E30660" w:rsidRPr="003D1614" w14:paraId="2D4A1FC9" w14:textId="77777777" w:rsidTr="00061A35">
        <w:trPr>
          <w:trHeight w:val="189"/>
          <w:jc w:val="center"/>
        </w:trPr>
        <w:tc>
          <w:tcPr>
            <w:tcW w:w="500" w:type="pct"/>
            <w:vAlign w:val="bottom"/>
          </w:tcPr>
          <w:p w14:paraId="7045DD8B" w14:textId="77777777" w:rsidR="00E30660" w:rsidRPr="003D1614" w:rsidRDefault="00E30660" w:rsidP="00061A35">
            <w:pPr>
              <w:tabs>
                <w:tab w:val="right" w:pos="1202"/>
              </w:tabs>
              <w:suppressAutoHyphens/>
              <w:autoSpaceDN w:val="0"/>
              <w:outlineLvl w:val="0"/>
              <w:rPr>
                <w:rFonts w:ascii="Arial" w:eastAsia="Calibri" w:hAnsi="Arial" w:cs="Arial"/>
                <w:color w:val="000000" w:themeColor="text1"/>
                <w:sz w:val="14"/>
                <w:szCs w:val="14"/>
              </w:rPr>
            </w:pPr>
            <w:bookmarkStart w:id="727" w:name="_Toc67329835"/>
            <w:r w:rsidRPr="003D1614">
              <w:rPr>
                <w:rFonts w:ascii="Arial" w:eastAsia="Calibri" w:hAnsi="Arial" w:cs="Arial"/>
                <w:color w:val="000000" w:themeColor="text1"/>
                <w:sz w:val="14"/>
                <w:szCs w:val="14"/>
              </w:rPr>
              <w:t>Financijska imovina po fer vrijednosti kroz dobit ili gubitak</w:t>
            </w:r>
            <w:bookmarkEnd w:id="727"/>
          </w:p>
        </w:tc>
        <w:tc>
          <w:tcPr>
            <w:tcW w:w="307" w:type="pct"/>
            <w:tcBorders>
              <w:top w:val="nil"/>
              <w:left w:val="nil"/>
              <w:bottom w:val="nil"/>
              <w:right w:val="nil"/>
            </w:tcBorders>
            <w:shd w:val="clear" w:color="auto" w:fill="auto"/>
            <w:vAlign w:val="bottom"/>
          </w:tcPr>
          <w:p w14:paraId="4350FE4E" w14:textId="77777777" w:rsidR="00E30660" w:rsidRPr="003D1614" w:rsidRDefault="00E30660" w:rsidP="00061A3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98" w:type="pct"/>
            <w:tcBorders>
              <w:top w:val="nil"/>
              <w:left w:val="nil"/>
              <w:bottom w:val="nil"/>
              <w:right w:val="nil"/>
            </w:tcBorders>
            <w:shd w:val="clear" w:color="auto" w:fill="auto"/>
            <w:vAlign w:val="bottom"/>
          </w:tcPr>
          <w:p w14:paraId="1538C3E4" w14:textId="77777777" w:rsidR="00E30660" w:rsidRPr="003D1614" w:rsidRDefault="00E30660" w:rsidP="00061A3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95" w:type="pct"/>
            <w:tcBorders>
              <w:top w:val="nil"/>
              <w:left w:val="nil"/>
              <w:bottom w:val="nil"/>
              <w:right w:val="nil"/>
            </w:tcBorders>
            <w:shd w:val="clear" w:color="auto" w:fill="auto"/>
            <w:vAlign w:val="bottom"/>
          </w:tcPr>
          <w:p w14:paraId="3DBFB53B" w14:textId="77777777" w:rsidR="00E30660" w:rsidRPr="003D1614" w:rsidRDefault="00E30660" w:rsidP="00061A3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85" w:type="pct"/>
            <w:tcBorders>
              <w:top w:val="nil"/>
              <w:left w:val="nil"/>
              <w:bottom w:val="nil"/>
              <w:right w:val="nil"/>
            </w:tcBorders>
            <w:shd w:val="clear" w:color="auto" w:fill="auto"/>
            <w:vAlign w:val="bottom"/>
          </w:tcPr>
          <w:p w14:paraId="7E986322" w14:textId="77777777" w:rsidR="00E30660" w:rsidRPr="003D1614" w:rsidRDefault="00E30660" w:rsidP="00061A3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12" w:type="pct"/>
            <w:tcBorders>
              <w:top w:val="nil"/>
              <w:left w:val="nil"/>
              <w:bottom w:val="nil"/>
              <w:right w:val="nil"/>
            </w:tcBorders>
            <w:shd w:val="clear" w:color="auto" w:fill="auto"/>
            <w:vAlign w:val="bottom"/>
          </w:tcPr>
          <w:p w14:paraId="3720133A" w14:textId="77777777" w:rsidR="00E30660" w:rsidRPr="002A06D3" w:rsidRDefault="00E30660" w:rsidP="00061A3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12" w:type="pct"/>
            <w:tcBorders>
              <w:top w:val="nil"/>
              <w:left w:val="nil"/>
              <w:bottom w:val="nil"/>
              <w:right w:val="nil"/>
            </w:tcBorders>
            <w:shd w:val="clear" w:color="auto" w:fill="auto"/>
            <w:vAlign w:val="bottom"/>
          </w:tcPr>
          <w:p w14:paraId="648E65EB" w14:textId="77777777" w:rsidR="00E30660" w:rsidRPr="003D1614" w:rsidRDefault="00E30660" w:rsidP="00061A3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32.946</w:t>
            </w:r>
          </w:p>
        </w:tc>
        <w:tc>
          <w:tcPr>
            <w:tcW w:w="331" w:type="pct"/>
            <w:tcBorders>
              <w:top w:val="nil"/>
              <w:left w:val="nil"/>
              <w:bottom w:val="nil"/>
              <w:right w:val="nil"/>
            </w:tcBorders>
            <w:shd w:val="clear" w:color="auto" w:fill="auto"/>
            <w:vAlign w:val="bottom"/>
          </w:tcPr>
          <w:p w14:paraId="45E8DE02" w14:textId="77777777" w:rsidR="00E30660" w:rsidRPr="003D1614" w:rsidRDefault="00E30660" w:rsidP="00061A3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32.946</w:t>
            </w:r>
          </w:p>
        </w:tc>
        <w:tc>
          <w:tcPr>
            <w:tcW w:w="329" w:type="pct"/>
            <w:tcBorders>
              <w:top w:val="nil"/>
              <w:left w:val="nil"/>
              <w:bottom w:val="nil"/>
              <w:right w:val="nil"/>
            </w:tcBorders>
            <w:vAlign w:val="bottom"/>
          </w:tcPr>
          <w:p w14:paraId="1199D350" w14:textId="77777777" w:rsidR="00E30660" w:rsidRPr="003D1614" w:rsidRDefault="00E30660" w:rsidP="00061A3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9" w:type="pct"/>
            <w:tcBorders>
              <w:top w:val="nil"/>
              <w:left w:val="nil"/>
              <w:bottom w:val="nil"/>
              <w:right w:val="nil"/>
            </w:tcBorders>
            <w:vAlign w:val="bottom"/>
          </w:tcPr>
          <w:p w14:paraId="554C5CB5" w14:textId="77777777" w:rsidR="00E30660" w:rsidRPr="003D1614" w:rsidRDefault="00E30660" w:rsidP="00061A3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9" w:type="pct"/>
            <w:tcBorders>
              <w:top w:val="nil"/>
              <w:left w:val="nil"/>
              <w:bottom w:val="nil"/>
              <w:right w:val="nil"/>
            </w:tcBorders>
            <w:vAlign w:val="bottom"/>
          </w:tcPr>
          <w:p w14:paraId="6D8D71E1" w14:textId="77777777" w:rsidR="00E30660" w:rsidRPr="003D1614" w:rsidRDefault="00E30660" w:rsidP="00061A3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9" w:type="pct"/>
            <w:tcBorders>
              <w:top w:val="nil"/>
              <w:left w:val="nil"/>
              <w:bottom w:val="nil"/>
              <w:right w:val="nil"/>
            </w:tcBorders>
            <w:vAlign w:val="bottom"/>
          </w:tcPr>
          <w:p w14:paraId="6656B4AE" w14:textId="77777777" w:rsidR="00E30660" w:rsidRPr="003D1614" w:rsidRDefault="00E30660" w:rsidP="00061A3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0" w:type="pct"/>
            <w:tcBorders>
              <w:top w:val="nil"/>
              <w:left w:val="nil"/>
              <w:bottom w:val="nil"/>
              <w:right w:val="nil"/>
            </w:tcBorders>
            <w:vAlign w:val="bottom"/>
          </w:tcPr>
          <w:p w14:paraId="275E5F70" w14:textId="77777777" w:rsidR="00E30660" w:rsidRPr="002A06D3" w:rsidRDefault="00E30660" w:rsidP="00061A3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63" w:type="pct"/>
            <w:tcBorders>
              <w:top w:val="nil"/>
              <w:left w:val="nil"/>
              <w:bottom w:val="nil"/>
              <w:right w:val="nil"/>
            </w:tcBorders>
            <w:shd w:val="clear" w:color="auto" w:fill="auto"/>
            <w:vAlign w:val="bottom"/>
          </w:tcPr>
          <w:p w14:paraId="6A801890" w14:textId="77777777" w:rsidR="00E30660" w:rsidRPr="003D1614" w:rsidRDefault="00E30660" w:rsidP="00061A3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60" w:type="pct"/>
            <w:tcBorders>
              <w:top w:val="nil"/>
              <w:left w:val="nil"/>
              <w:bottom w:val="nil"/>
              <w:right w:val="nil"/>
            </w:tcBorders>
            <w:shd w:val="clear" w:color="auto" w:fill="auto"/>
            <w:vAlign w:val="bottom"/>
          </w:tcPr>
          <w:p w14:paraId="4F3B3416" w14:textId="77777777" w:rsidR="00E30660" w:rsidRPr="003D1614" w:rsidRDefault="00E30660" w:rsidP="00061A3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r>
      <w:tr w:rsidR="00E30660" w:rsidRPr="003D1614" w14:paraId="53FB5E44" w14:textId="77777777" w:rsidTr="00061A35">
        <w:trPr>
          <w:trHeight w:val="189"/>
          <w:jc w:val="center"/>
        </w:trPr>
        <w:tc>
          <w:tcPr>
            <w:tcW w:w="500" w:type="pct"/>
            <w:vAlign w:val="bottom"/>
          </w:tcPr>
          <w:p w14:paraId="0FB23C29" w14:textId="77777777" w:rsidR="00E30660" w:rsidRPr="003D1614" w:rsidRDefault="00E30660" w:rsidP="00061A35">
            <w:pPr>
              <w:tabs>
                <w:tab w:val="right" w:pos="1202"/>
              </w:tabs>
              <w:suppressAutoHyphens/>
              <w:autoSpaceDN w:val="0"/>
              <w:outlineLvl w:val="0"/>
              <w:rPr>
                <w:rFonts w:ascii="Arial" w:eastAsia="Calibri" w:hAnsi="Arial" w:cs="Arial"/>
                <w:color w:val="000000" w:themeColor="text1"/>
                <w:sz w:val="14"/>
                <w:szCs w:val="14"/>
              </w:rPr>
            </w:pPr>
            <w:bookmarkStart w:id="728" w:name="_Toc67329836"/>
            <w:r w:rsidRPr="003D1614">
              <w:rPr>
                <w:rFonts w:ascii="Arial" w:eastAsia="Calibri" w:hAnsi="Arial" w:cs="Arial"/>
                <w:color w:val="000000" w:themeColor="text1"/>
                <w:sz w:val="14"/>
                <w:szCs w:val="14"/>
              </w:rPr>
              <w:t>Financijska imovina po fer vrijednosti kroz ostalu sveobuhvatnu dobit</w:t>
            </w:r>
            <w:bookmarkEnd w:id="728"/>
          </w:p>
        </w:tc>
        <w:tc>
          <w:tcPr>
            <w:tcW w:w="307" w:type="pct"/>
            <w:tcBorders>
              <w:top w:val="nil"/>
              <w:left w:val="nil"/>
              <w:bottom w:val="nil"/>
              <w:right w:val="nil"/>
            </w:tcBorders>
            <w:shd w:val="clear" w:color="auto" w:fill="auto"/>
            <w:vAlign w:val="bottom"/>
          </w:tcPr>
          <w:p w14:paraId="43BAB814" w14:textId="77777777" w:rsidR="00E30660" w:rsidRPr="003D1614" w:rsidRDefault="00E30660" w:rsidP="00061A3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244.272</w:t>
            </w:r>
          </w:p>
        </w:tc>
        <w:tc>
          <w:tcPr>
            <w:tcW w:w="298" w:type="pct"/>
            <w:tcBorders>
              <w:top w:val="nil"/>
              <w:left w:val="nil"/>
              <w:bottom w:val="nil"/>
              <w:right w:val="nil"/>
            </w:tcBorders>
            <w:shd w:val="clear" w:color="auto" w:fill="auto"/>
            <w:vAlign w:val="bottom"/>
          </w:tcPr>
          <w:p w14:paraId="6D34A02B" w14:textId="77777777" w:rsidR="00E30660" w:rsidRPr="003D1614" w:rsidRDefault="00E30660" w:rsidP="00061A3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95" w:type="pct"/>
            <w:tcBorders>
              <w:top w:val="nil"/>
              <w:left w:val="nil"/>
              <w:bottom w:val="nil"/>
              <w:right w:val="nil"/>
            </w:tcBorders>
            <w:shd w:val="clear" w:color="auto" w:fill="auto"/>
            <w:vAlign w:val="bottom"/>
          </w:tcPr>
          <w:p w14:paraId="16F187B6" w14:textId="77777777" w:rsidR="00E30660" w:rsidRPr="003D1614" w:rsidRDefault="00E30660" w:rsidP="00061A3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138</w:t>
            </w:r>
          </w:p>
        </w:tc>
        <w:tc>
          <w:tcPr>
            <w:tcW w:w="285" w:type="pct"/>
            <w:tcBorders>
              <w:top w:val="nil"/>
              <w:left w:val="nil"/>
              <w:bottom w:val="nil"/>
              <w:right w:val="nil"/>
            </w:tcBorders>
            <w:shd w:val="clear" w:color="auto" w:fill="auto"/>
            <w:vAlign w:val="bottom"/>
          </w:tcPr>
          <w:p w14:paraId="4AF00EC8" w14:textId="77777777" w:rsidR="00E30660" w:rsidRPr="003D1614" w:rsidRDefault="00E30660" w:rsidP="00061A3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12" w:type="pct"/>
            <w:tcBorders>
              <w:top w:val="nil"/>
              <w:left w:val="nil"/>
              <w:bottom w:val="nil"/>
              <w:right w:val="nil"/>
            </w:tcBorders>
            <w:vAlign w:val="bottom"/>
          </w:tcPr>
          <w:p w14:paraId="7673FB4D" w14:textId="77777777" w:rsidR="00E30660" w:rsidRPr="002A06D3" w:rsidRDefault="00E30660" w:rsidP="00061A3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12" w:type="pct"/>
            <w:tcBorders>
              <w:top w:val="nil"/>
              <w:left w:val="nil"/>
              <w:bottom w:val="nil"/>
              <w:right w:val="nil"/>
            </w:tcBorders>
            <w:shd w:val="clear" w:color="auto" w:fill="auto"/>
            <w:vAlign w:val="bottom"/>
          </w:tcPr>
          <w:p w14:paraId="5A7CA159" w14:textId="77777777" w:rsidR="00E30660" w:rsidRPr="003D1614" w:rsidRDefault="00E30660" w:rsidP="00061A3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1" w:type="pct"/>
            <w:tcBorders>
              <w:top w:val="nil"/>
              <w:left w:val="nil"/>
              <w:bottom w:val="nil"/>
              <w:right w:val="nil"/>
            </w:tcBorders>
            <w:shd w:val="clear" w:color="auto" w:fill="auto"/>
            <w:vAlign w:val="bottom"/>
          </w:tcPr>
          <w:p w14:paraId="7A46AE38" w14:textId="77777777" w:rsidR="00E30660" w:rsidRPr="003D1614" w:rsidRDefault="00E30660" w:rsidP="00061A3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244.410</w:t>
            </w:r>
          </w:p>
        </w:tc>
        <w:tc>
          <w:tcPr>
            <w:tcW w:w="329" w:type="pct"/>
            <w:tcBorders>
              <w:top w:val="nil"/>
              <w:left w:val="nil"/>
              <w:bottom w:val="nil"/>
              <w:right w:val="nil"/>
            </w:tcBorders>
            <w:shd w:val="clear" w:color="auto" w:fill="auto"/>
            <w:vAlign w:val="bottom"/>
          </w:tcPr>
          <w:p w14:paraId="049680D9" w14:textId="77777777" w:rsidR="00E30660" w:rsidRPr="003D1614" w:rsidRDefault="00E30660" w:rsidP="00061A3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244.272</w:t>
            </w:r>
          </w:p>
        </w:tc>
        <w:tc>
          <w:tcPr>
            <w:tcW w:w="329" w:type="pct"/>
            <w:tcBorders>
              <w:top w:val="nil"/>
              <w:left w:val="nil"/>
              <w:bottom w:val="nil"/>
              <w:right w:val="nil"/>
            </w:tcBorders>
            <w:shd w:val="clear" w:color="auto" w:fill="auto"/>
            <w:vAlign w:val="bottom"/>
          </w:tcPr>
          <w:p w14:paraId="1CD9CAE4" w14:textId="77777777" w:rsidR="00E30660" w:rsidRPr="003D1614" w:rsidRDefault="00E30660" w:rsidP="00061A3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9" w:type="pct"/>
            <w:tcBorders>
              <w:top w:val="nil"/>
              <w:left w:val="nil"/>
              <w:bottom w:val="nil"/>
              <w:right w:val="nil"/>
            </w:tcBorders>
            <w:shd w:val="clear" w:color="auto" w:fill="auto"/>
            <w:vAlign w:val="bottom"/>
          </w:tcPr>
          <w:p w14:paraId="6A49604C" w14:textId="77777777" w:rsidR="00E30660" w:rsidRPr="003D1614" w:rsidRDefault="00E30660" w:rsidP="00061A3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138</w:t>
            </w:r>
          </w:p>
        </w:tc>
        <w:tc>
          <w:tcPr>
            <w:tcW w:w="329" w:type="pct"/>
            <w:tcBorders>
              <w:top w:val="nil"/>
              <w:left w:val="nil"/>
              <w:bottom w:val="nil"/>
              <w:right w:val="nil"/>
            </w:tcBorders>
            <w:shd w:val="clear" w:color="auto" w:fill="auto"/>
            <w:vAlign w:val="bottom"/>
          </w:tcPr>
          <w:p w14:paraId="1C002ACA" w14:textId="77777777" w:rsidR="00E30660" w:rsidRPr="003D1614" w:rsidRDefault="00E30660" w:rsidP="00061A3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0" w:type="pct"/>
            <w:tcBorders>
              <w:top w:val="nil"/>
              <w:left w:val="nil"/>
              <w:bottom w:val="nil"/>
              <w:right w:val="nil"/>
            </w:tcBorders>
            <w:vAlign w:val="bottom"/>
          </w:tcPr>
          <w:p w14:paraId="4D763F6E" w14:textId="77777777" w:rsidR="00E30660" w:rsidRPr="002A06D3" w:rsidRDefault="00E30660" w:rsidP="00061A3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63" w:type="pct"/>
            <w:tcBorders>
              <w:top w:val="nil"/>
              <w:left w:val="nil"/>
              <w:bottom w:val="nil"/>
              <w:right w:val="nil"/>
            </w:tcBorders>
            <w:shd w:val="clear" w:color="auto" w:fill="auto"/>
            <w:vAlign w:val="bottom"/>
          </w:tcPr>
          <w:p w14:paraId="4C6C33B4" w14:textId="77777777" w:rsidR="00E30660" w:rsidRPr="003D1614" w:rsidRDefault="00E30660" w:rsidP="00061A3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60" w:type="pct"/>
            <w:tcBorders>
              <w:top w:val="nil"/>
              <w:left w:val="nil"/>
              <w:bottom w:val="nil"/>
              <w:right w:val="nil"/>
            </w:tcBorders>
            <w:shd w:val="clear" w:color="auto" w:fill="auto"/>
            <w:vAlign w:val="bottom"/>
          </w:tcPr>
          <w:p w14:paraId="6E086AF0" w14:textId="77777777" w:rsidR="00E30660" w:rsidRPr="003D1614" w:rsidRDefault="00E30660" w:rsidP="00061A3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244.410</w:t>
            </w:r>
          </w:p>
        </w:tc>
      </w:tr>
      <w:tr w:rsidR="00E30660" w:rsidRPr="003D1614" w14:paraId="0551E3BB" w14:textId="77777777" w:rsidTr="00061A35">
        <w:trPr>
          <w:trHeight w:val="189"/>
          <w:jc w:val="center"/>
        </w:trPr>
        <w:tc>
          <w:tcPr>
            <w:tcW w:w="500" w:type="pct"/>
            <w:vAlign w:val="bottom"/>
          </w:tcPr>
          <w:p w14:paraId="6D5C31E3" w14:textId="77777777" w:rsidR="00E30660" w:rsidRPr="003D1614" w:rsidRDefault="00E30660" w:rsidP="00061A35">
            <w:pPr>
              <w:tabs>
                <w:tab w:val="right" w:pos="1202"/>
              </w:tabs>
              <w:suppressAutoHyphens/>
              <w:autoSpaceDN w:val="0"/>
              <w:outlineLvl w:val="0"/>
              <w:rPr>
                <w:rFonts w:ascii="Arial" w:eastAsia="Calibri" w:hAnsi="Arial" w:cs="Arial"/>
                <w:color w:val="000000" w:themeColor="text1"/>
                <w:sz w:val="14"/>
                <w:szCs w:val="14"/>
              </w:rPr>
            </w:pPr>
            <w:bookmarkStart w:id="729" w:name="_Toc67329838"/>
            <w:r w:rsidRPr="003D1614">
              <w:rPr>
                <w:rFonts w:ascii="Arial" w:eastAsia="Calibri" w:hAnsi="Arial" w:cs="Arial"/>
                <w:color w:val="000000" w:themeColor="text1"/>
                <w:sz w:val="14"/>
                <w:szCs w:val="14"/>
              </w:rPr>
              <w:t>Ostala imovina</w:t>
            </w:r>
            <w:bookmarkEnd w:id="729"/>
          </w:p>
        </w:tc>
        <w:tc>
          <w:tcPr>
            <w:tcW w:w="307" w:type="pct"/>
            <w:tcBorders>
              <w:top w:val="nil"/>
              <w:left w:val="nil"/>
              <w:bottom w:val="single" w:sz="8" w:space="0" w:color="auto"/>
              <w:right w:val="nil"/>
            </w:tcBorders>
            <w:shd w:val="clear" w:color="auto" w:fill="auto"/>
            <w:vAlign w:val="bottom"/>
          </w:tcPr>
          <w:p w14:paraId="04F2D3D8" w14:textId="77777777" w:rsidR="00E30660" w:rsidRPr="003D1614" w:rsidRDefault="00E30660" w:rsidP="00061A3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1.904</w:t>
            </w:r>
          </w:p>
        </w:tc>
        <w:tc>
          <w:tcPr>
            <w:tcW w:w="298" w:type="pct"/>
            <w:tcBorders>
              <w:top w:val="nil"/>
              <w:left w:val="nil"/>
              <w:bottom w:val="single" w:sz="8" w:space="0" w:color="auto"/>
              <w:right w:val="nil"/>
            </w:tcBorders>
            <w:shd w:val="clear" w:color="auto" w:fill="auto"/>
            <w:vAlign w:val="bottom"/>
          </w:tcPr>
          <w:p w14:paraId="72B5BB0A" w14:textId="77777777" w:rsidR="00E30660" w:rsidRPr="003D1614" w:rsidRDefault="00E30660" w:rsidP="00061A3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11</w:t>
            </w:r>
          </w:p>
        </w:tc>
        <w:tc>
          <w:tcPr>
            <w:tcW w:w="295" w:type="pct"/>
            <w:tcBorders>
              <w:top w:val="nil"/>
              <w:left w:val="nil"/>
              <w:bottom w:val="single" w:sz="8" w:space="0" w:color="auto"/>
              <w:right w:val="nil"/>
            </w:tcBorders>
            <w:shd w:val="clear" w:color="auto" w:fill="auto"/>
            <w:vAlign w:val="bottom"/>
          </w:tcPr>
          <w:p w14:paraId="40D569F7" w14:textId="77777777" w:rsidR="00E30660" w:rsidRPr="003D1614" w:rsidRDefault="00E30660" w:rsidP="00061A3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152</w:t>
            </w:r>
          </w:p>
        </w:tc>
        <w:tc>
          <w:tcPr>
            <w:tcW w:w="285" w:type="pct"/>
            <w:tcBorders>
              <w:top w:val="nil"/>
              <w:left w:val="nil"/>
              <w:bottom w:val="single" w:sz="8" w:space="0" w:color="auto"/>
              <w:right w:val="nil"/>
            </w:tcBorders>
            <w:shd w:val="clear" w:color="auto" w:fill="auto"/>
            <w:vAlign w:val="bottom"/>
          </w:tcPr>
          <w:p w14:paraId="564F01F8" w14:textId="77777777" w:rsidR="00E30660" w:rsidRPr="003D1614" w:rsidRDefault="00E30660" w:rsidP="00061A3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7</w:t>
            </w:r>
          </w:p>
        </w:tc>
        <w:tc>
          <w:tcPr>
            <w:tcW w:w="312" w:type="pct"/>
            <w:tcBorders>
              <w:top w:val="nil"/>
              <w:left w:val="nil"/>
              <w:bottom w:val="single" w:sz="8" w:space="0" w:color="auto"/>
              <w:right w:val="nil"/>
            </w:tcBorders>
          </w:tcPr>
          <w:p w14:paraId="300B6DBF" w14:textId="77777777" w:rsidR="00E30660" w:rsidRPr="002A06D3" w:rsidRDefault="00E30660" w:rsidP="00061A3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12" w:type="pct"/>
            <w:tcBorders>
              <w:top w:val="nil"/>
              <w:left w:val="nil"/>
              <w:bottom w:val="single" w:sz="8" w:space="0" w:color="auto"/>
              <w:right w:val="nil"/>
            </w:tcBorders>
            <w:shd w:val="clear" w:color="auto" w:fill="auto"/>
            <w:vAlign w:val="bottom"/>
          </w:tcPr>
          <w:p w14:paraId="417E0C62" w14:textId="77777777" w:rsidR="00E30660" w:rsidRPr="003D1614" w:rsidRDefault="00E30660" w:rsidP="00061A3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1" w:type="pct"/>
            <w:tcBorders>
              <w:top w:val="nil"/>
              <w:left w:val="nil"/>
              <w:bottom w:val="single" w:sz="8" w:space="0" w:color="auto"/>
              <w:right w:val="nil"/>
            </w:tcBorders>
            <w:shd w:val="clear" w:color="auto" w:fill="auto"/>
            <w:vAlign w:val="bottom"/>
          </w:tcPr>
          <w:p w14:paraId="1BADD6D5" w14:textId="77777777" w:rsidR="00E30660" w:rsidRPr="003D1614" w:rsidRDefault="00E30660" w:rsidP="00061A3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2.074</w:t>
            </w:r>
          </w:p>
        </w:tc>
        <w:tc>
          <w:tcPr>
            <w:tcW w:w="329" w:type="pct"/>
            <w:tcBorders>
              <w:top w:val="nil"/>
              <w:left w:val="nil"/>
              <w:bottom w:val="single" w:sz="8" w:space="0" w:color="auto"/>
              <w:right w:val="nil"/>
            </w:tcBorders>
            <w:vAlign w:val="bottom"/>
          </w:tcPr>
          <w:p w14:paraId="77176AF0" w14:textId="77777777" w:rsidR="00E30660" w:rsidRPr="003D1614" w:rsidRDefault="00E30660" w:rsidP="00061A3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810</w:t>
            </w:r>
          </w:p>
        </w:tc>
        <w:tc>
          <w:tcPr>
            <w:tcW w:w="329" w:type="pct"/>
            <w:tcBorders>
              <w:top w:val="nil"/>
              <w:left w:val="nil"/>
              <w:bottom w:val="single" w:sz="8" w:space="0" w:color="auto"/>
              <w:right w:val="nil"/>
            </w:tcBorders>
            <w:vAlign w:val="bottom"/>
          </w:tcPr>
          <w:p w14:paraId="586E76EB" w14:textId="77777777" w:rsidR="00E30660" w:rsidRPr="003D1614" w:rsidRDefault="00E30660" w:rsidP="00061A3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11</w:t>
            </w:r>
          </w:p>
        </w:tc>
        <w:tc>
          <w:tcPr>
            <w:tcW w:w="329" w:type="pct"/>
            <w:tcBorders>
              <w:top w:val="nil"/>
              <w:left w:val="nil"/>
              <w:bottom w:val="single" w:sz="8" w:space="0" w:color="auto"/>
              <w:right w:val="nil"/>
            </w:tcBorders>
            <w:vAlign w:val="bottom"/>
          </w:tcPr>
          <w:p w14:paraId="20D4E76B" w14:textId="77777777" w:rsidR="00E30660" w:rsidRPr="003D1614" w:rsidRDefault="00E30660" w:rsidP="00061A3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70</w:t>
            </w:r>
          </w:p>
        </w:tc>
        <w:tc>
          <w:tcPr>
            <w:tcW w:w="329" w:type="pct"/>
            <w:tcBorders>
              <w:top w:val="nil"/>
              <w:left w:val="nil"/>
              <w:bottom w:val="single" w:sz="8" w:space="0" w:color="auto"/>
              <w:right w:val="nil"/>
            </w:tcBorders>
            <w:vAlign w:val="bottom"/>
          </w:tcPr>
          <w:p w14:paraId="22BEC9BE" w14:textId="77777777" w:rsidR="00E30660" w:rsidRPr="003D1614" w:rsidRDefault="00E30660" w:rsidP="00061A3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7</w:t>
            </w:r>
          </w:p>
        </w:tc>
        <w:tc>
          <w:tcPr>
            <w:tcW w:w="320" w:type="pct"/>
            <w:tcBorders>
              <w:top w:val="nil"/>
              <w:left w:val="nil"/>
              <w:bottom w:val="single" w:sz="8" w:space="0" w:color="auto"/>
              <w:right w:val="nil"/>
            </w:tcBorders>
          </w:tcPr>
          <w:p w14:paraId="0C4E37A6" w14:textId="77777777" w:rsidR="00E30660" w:rsidRDefault="00E30660" w:rsidP="00061A3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63" w:type="pct"/>
            <w:tcBorders>
              <w:top w:val="nil"/>
              <w:left w:val="nil"/>
              <w:bottom w:val="single" w:sz="8" w:space="0" w:color="auto"/>
              <w:right w:val="nil"/>
            </w:tcBorders>
            <w:vAlign w:val="bottom"/>
          </w:tcPr>
          <w:p w14:paraId="2FB98292" w14:textId="77777777" w:rsidR="00E30660" w:rsidRPr="003D1614" w:rsidRDefault="00E30660" w:rsidP="00061A3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60" w:type="pct"/>
            <w:tcBorders>
              <w:top w:val="nil"/>
              <w:left w:val="nil"/>
              <w:bottom w:val="single" w:sz="8" w:space="0" w:color="auto"/>
              <w:right w:val="nil"/>
            </w:tcBorders>
            <w:vAlign w:val="bottom"/>
          </w:tcPr>
          <w:p w14:paraId="7AD2D568" w14:textId="77777777" w:rsidR="00E30660" w:rsidRPr="003D1614" w:rsidRDefault="00E30660" w:rsidP="00061A3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898</w:t>
            </w:r>
          </w:p>
        </w:tc>
      </w:tr>
      <w:tr w:rsidR="00E30660" w:rsidRPr="003D1614" w14:paraId="515F988E" w14:textId="77777777" w:rsidTr="00061A35">
        <w:trPr>
          <w:trHeight w:val="201"/>
          <w:jc w:val="center"/>
        </w:trPr>
        <w:tc>
          <w:tcPr>
            <w:tcW w:w="500" w:type="pct"/>
            <w:vAlign w:val="bottom"/>
          </w:tcPr>
          <w:p w14:paraId="319A349B" w14:textId="77777777" w:rsidR="00E30660" w:rsidRPr="003D1614" w:rsidRDefault="00E30660" w:rsidP="00061A35">
            <w:pPr>
              <w:tabs>
                <w:tab w:val="right" w:pos="1202"/>
              </w:tabs>
              <w:suppressAutoHyphens/>
              <w:autoSpaceDN w:val="0"/>
              <w:outlineLvl w:val="0"/>
              <w:rPr>
                <w:rFonts w:ascii="Arial" w:eastAsia="Calibri" w:hAnsi="Arial" w:cs="Arial"/>
                <w:b/>
                <w:bCs/>
                <w:color w:val="000000" w:themeColor="text1"/>
                <w:sz w:val="14"/>
                <w:szCs w:val="14"/>
              </w:rPr>
            </w:pPr>
            <w:bookmarkStart w:id="730" w:name="_Toc67329839"/>
            <w:r w:rsidRPr="003D1614">
              <w:rPr>
                <w:rFonts w:ascii="Arial" w:eastAsia="Calibri" w:hAnsi="Arial" w:cs="Arial"/>
                <w:b/>
                <w:bCs/>
                <w:color w:val="000000" w:themeColor="text1"/>
                <w:sz w:val="14"/>
                <w:szCs w:val="14"/>
              </w:rPr>
              <w:t>Ukupno</w:t>
            </w:r>
            <w:bookmarkEnd w:id="730"/>
          </w:p>
        </w:tc>
        <w:tc>
          <w:tcPr>
            <w:tcW w:w="307" w:type="pct"/>
            <w:tcBorders>
              <w:top w:val="nil"/>
              <w:left w:val="nil"/>
              <w:bottom w:val="single" w:sz="12" w:space="0" w:color="auto"/>
              <w:right w:val="nil"/>
            </w:tcBorders>
            <w:shd w:val="clear" w:color="auto" w:fill="auto"/>
            <w:vAlign w:val="bottom"/>
          </w:tcPr>
          <w:p w14:paraId="03E0F694" w14:textId="77777777" w:rsidR="00E30660" w:rsidRPr="003D1614" w:rsidRDefault="00E30660" w:rsidP="00061A35">
            <w:pPr>
              <w:suppressAutoHyphens/>
              <w:autoSpaceDN w:val="0"/>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3.319.689</w:t>
            </w:r>
          </w:p>
        </w:tc>
        <w:tc>
          <w:tcPr>
            <w:tcW w:w="298" w:type="pct"/>
            <w:tcBorders>
              <w:top w:val="nil"/>
              <w:left w:val="nil"/>
              <w:bottom w:val="single" w:sz="12" w:space="0" w:color="auto"/>
              <w:right w:val="nil"/>
            </w:tcBorders>
            <w:shd w:val="clear" w:color="auto" w:fill="auto"/>
            <w:vAlign w:val="bottom"/>
          </w:tcPr>
          <w:p w14:paraId="68603E31" w14:textId="77777777" w:rsidR="00E30660" w:rsidRPr="003D1614" w:rsidRDefault="00E30660" w:rsidP="00061A35">
            <w:pPr>
              <w:suppressAutoHyphens/>
              <w:autoSpaceDN w:val="0"/>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263.187</w:t>
            </w:r>
          </w:p>
        </w:tc>
        <w:tc>
          <w:tcPr>
            <w:tcW w:w="295" w:type="pct"/>
            <w:tcBorders>
              <w:top w:val="nil"/>
              <w:left w:val="nil"/>
              <w:bottom w:val="single" w:sz="12" w:space="0" w:color="auto"/>
              <w:right w:val="nil"/>
            </w:tcBorders>
            <w:shd w:val="clear" w:color="auto" w:fill="auto"/>
            <w:vAlign w:val="bottom"/>
          </w:tcPr>
          <w:p w14:paraId="4F3EC101" w14:textId="77777777" w:rsidR="00E30660" w:rsidRPr="003D1614" w:rsidRDefault="00E30660" w:rsidP="00061A35">
            <w:pPr>
              <w:suppressAutoHyphens/>
              <w:autoSpaceDN w:val="0"/>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155.192</w:t>
            </w:r>
          </w:p>
        </w:tc>
        <w:tc>
          <w:tcPr>
            <w:tcW w:w="285" w:type="pct"/>
            <w:tcBorders>
              <w:top w:val="nil"/>
              <w:left w:val="nil"/>
              <w:bottom w:val="single" w:sz="12" w:space="0" w:color="auto"/>
              <w:right w:val="nil"/>
            </w:tcBorders>
            <w:shd w:val="clear" w:color="auto" w:fill="auto"/>
            <w:vAlign w:val="bottom"/>
          </w:tcPr>
          <w:p w14:paraId="357F3016" w14:textId="77777777" w:rsidR="00E30660" w:rsidRPr="003D1614" w:rsidRDefault="00E30660" w:rsidP="00061A35">
            <w:pPr>
              <w:suppressAutoHyphens/>
              <w:autoSpaceDN w:val="0"/>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42.688</w:t>
            </w:r>
          </w:p>
        </w:tc>
        <w:tc>
          <w:tcPr>
            <w:tcW w:w="312" w:type="pct"/>
            <w:tcBorders>
              <w:top w:val="nil"/>
              <w:left w:val="nil"/>
              <w:bottom w:val="single" w:sz="12" w:space="0" w:color="auto"/>
              <w:right w:val="nil"/>
            </w:tcBorders>
            <w:vAlign w:val="bottom"/>
          </w:tcPr>
          <w:p w14:paraId="6B6484F8" w14:textId="77777777" w:rsidR="00E30660" w:rsidRPr="002A06D3" w:rsidRDefault="00E30660" w:rsidP="00061A35">
            <w:pPr>
              <w:suppressAutoHyphens/>
              <w:autoSpaceDN w:val="0"/>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153.132</w:t>
            </w:r>
          </w:p>
        </w:tc>
        <w:tc>
          <w:tcPr>
            <w:tcW w:w="312" w:type="pct"/>
            <w:tcBorders>
              <w:top w:val="nil"/>
              <w:left w:val="nil"/>
              <w:bottom w:val="single" w:sz="12" w:space="0" w:color="auto"/>
              <w:right w:val="nil"/>
            </w:tcBorders>
            <w:shd w:val="clear" w:color="auto" w:fill="auto"/>
            <w:vAlign w:val="bottom"/>
          </w:tcPr>
          <w:p w14:paraId="0A4E1B27" w14:textId="77777777" w:rsidR="00E30660" w:rsidRPr="003D1614" w:rsidRDefault="00E30660" w:rsidP="00061A35">
            <w:pPr>
              <w:suppressAutoHyphens/>
              <w:autoSpaceDN w:val="0"/>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32.946</w:t>
            </w:r>
          </w:p>
        </w:tc>
        <w:tc>
          <w:tcPr>
            <w:tcW w:w="331" w:type="pct"/>
            <w:tcBorders>
              <w:top w:val="nil"/>
              <w:left w:val="nil"/>
              <w:bottom w:val="single" w:sz="12" w:space="0" w:color="auto"/>
              <w:right w:val="nil"/>
            </w:tcBorders>
            <w:shd w:val="clear" w:color="auto" w:fill="auto"/>
            <w:vAlign w:val="bottom"/>
          </w:tcPr>
          <w:p w14:paraId="717460C9" w14:textId="77777777" w:rsidR="00E30660" w:rsidRPr="003D1614" w:rsidRDefault="00E30660" w:rsidP="00061A35">
            <w:pPr>
              <w:suppressAutoHyphens/>
              <w:autoSpaceDN w:val="0"/>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3.966.834</w:t>
            </w:r>
          </w:p>
        </w:tc>
        <w:tc>
          <w:tcPr>
            <w:tcW w:w="329" w:type="pct"/>
            <w:tcBorders>
              <w:top w:val="nil"/>
              <w:left w:val="nil"/>
              <w:bottom w:val="single" w:sz="12" w:space="0" w:color="auto"/>
              <w:right w:val="nil"/>
            </w:tcBorders>
            <w:vAlign w:val="bottom"/>
          </w:tcPr>
          <w:p w14:paraId="18B1F303" w14:textId="77777777" w:rsidR="00E30660" w:rsidRPr="003D1614" w:rsidRDefault="00E30660" w:rsidP="00061A35">
            <w:pPr>
              <w:suppressAutoHyphens/>
              <w:autoSpaceDN w:val="0"/>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637.232</w:t>
            </w:r>
          </w:p>
        </w:tc>
        <w:tc>
          <w:tcPr>
            <w:tcW w:w="329" w:type="pct"/>
            <w:tcBorders>
              <w:top w:val="nil"/>
              <w:left w:val="nil"/>
              <w:bottom w:val="single" w:sz="12" w:space="0" w:color="auto"/>
              <w:right w:val="nil"/>
            </w:tcBorders>
            <w:vAlign w:val="bottom"/>
          </w:tcPr>
          <w:p w14:paraId="7DC47475" w14:textId="77777777" w:rsidR="00E30660" w:rsidRPr="003D1614" w:rsidRDefault="00E30660" w:rsidP="00061A35">
            <w:pPr>
              <w:suppressAutoHyphens/>
              <w:autoSpaceDN w:val="0"/>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47.244</w:t>
            </w:r>
          </w:p>
        </w:tc>
        <w:tc>
          <w:tcPr>
            <w:tcW w:w="329" w:type="pct"/>
            <w:tcBorders>
              <w:top w:val="nil"/>
              <w:left w:val="nil"/>
              <w:bottom w:val="single" w:sz="12" w:space="0" w:color="auto"/>
              <w:right w:val="nil"/>
            </w:tcBorders>
            <w:vAlign w:val="bottom"/>
          </w:tcPr>
          <w:p w14:paraId="74B49972" w14:textId="77777777" w:rsidR="00E30660" w:rsidRPr="003D1614" w:rsidRDefault="00E30660" w:rsidP="00061A35">
            <w:pPr>
              <w:suppressAutoHyphens/>
              <w:autoSpaceDN w:val="0"/>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8.649</w:t>
            </w:r>
          </w:p>
        </w:tc>
        <w:tc>
          <w:tcPr>
            <w:tcW w:w="329" w:type="pct"/>
            <w:tcBorders>
              <w:top w:val="nil"/>
              <w:left w:val="nil"/>
              <w:bottom w:val="single" w:sz="12" w:space="0" w:color="auto"/>
              <w:right w:val="nil"/>
            </w:tcBorders>
            <w:vAlign w:val="bottom"/>
          </w:tcPr>
          <w:p w14:paraId="4F6FAED0" w14:textId="77777777" w:rsidR="00E30660" w:rsidRPr="003D1614" w:rsidRDefault="00E30660" w:rsidP="00061A35">
            <w:pPr>
              <w:suppressAutoHyphens/>
              <w:autoSpaceDN w:val="0"/>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43</w:t>
            </w:r>
          </w:p>
        </w:tc>
        <w:tc>
          <w:tcPr>
            <w:tcW w:w="320" w:type="pct"/>
            <w:tcBorders>
              <w:top w:val="nil"/>
              <w:left w:val="nil"/>
              <w:bottom w:val="single" w:sz="12" w:space="0" w:color="auto"/>
              <w:right w:val="nil"/>
            </w:tcBorders>
            <w:vAlign w:val="bottom"/>
          </w:tcPr>
          <w:p w14:paraId="0A9239E8" w14:textId="77777777" w:rsidR="00E30660" w:rsidRPr="002A06D3" w:rsidRDefault="00E30660" w:rsidP="00061A35">
            <w:pPr>
              <w:suppressAutoHyphens/>
              <w:autoSpaceDN w:val="0"/>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4.412</w:t>
            </w:r>
          </w:p>
        </w:tc>
        <w:tc>
          <w:tcPr>
            <w:tcW w:w="363" w:type="pct"/>
            <w:tcBorders>
              <w:top w:val="nil"/>
              <w:left w:val="nil"/>
              <w:bottom w:val="single" w:sz="12" w:space="0" w:color="auto"/>
              <w:right w:val="nil"/>
            </w:tcBorders>
            <w:vAlign w:val="bottom"/>
          </w:tcPr>
          <w:p w14:paraId="26C432AE" w14:textId="77777777" w:rsidR="00E30660" w:rsidRPr="003D1614" w:rsidRDefault="00E30660" w:rsidP="00061A35">
            <w:pPr>
              <w:suppressAutoHyphens/>
              <w:autoSpaceDN w:val="0"/>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w:t>
            </w:r>
          </w:p>
        </w:tc>
        <w:tc>
          <w:tcPr>
            <w:tcW w:w="360" w:type="pct"/>
            <w:tcBorders>
              <w:top w:val="nil"/>
              <w:left w:val="nil"/>
              <w:bottom w:val="single" w:sz="12" w:space="0" w:color="auto"/>
              <w:right w:val="nil"/>
            </w:tcBorders>
            <w:vAlign w:val="bottom"/>
          </w:tcPr>
          <w:p w14:paraId="4FD8F5EE" w14:textId="77777777" w:rsidR="00E30660" w:rsidRPr="003D1614" w:rsidRDefault="00E30660" w:rsidP="00061A35">
            <w:pPr>
              <w:suppressAutoHyphens/>
              <w:autoSpaceDN w:val="0"/>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697.580</w:t>
            </w:r>
          </w:p>
        </w:tc>
      </w:tr>
      <w:tr w:rsidR="00E30660" w:rsidRPr="003D1614" w14:paraId="47D02E69" w14:textId="77777777" w:rsidTr="00061A35">
        <w:trPr>
          <w:trHeight w:val="168"/>
          <w:jc w:val="center"/>
        </w:trPr>
        <w:tc>
          <w:tcPr>
            <w:tcW w:w="500" w:type="pct"/>
            <w:vAlign w:val="bottom"/>
          </w:tcPr>
          <w:p w14:paraId="5B6C6B68" w14:textId="77777777" w:rsidR="00E30660" w:rsidRPr="003D1614" w:rsidRDefault="00E30660" w:rsidP="00061A35">
            <w:pPr>
              <w:tabs>
                <w:tab w:val="right" w:pos="1202"/>
              </w:tabs>
              <w:suppressAutoHyphens/>
              <w:autoSpaceDN w:val="0"/>
              <w:outlineLvl w:val="0"/>
              <w:rPr>
                <w:rFonts w:ascii="Arial" w:eastAsia="Calibri" w:hAnsi="Arial" w:cs="Arial"/>
                <w:b/>
                <w:bCs/>
                <w:color w:val="000000" w:themeColor="text1"/>
                <w:sz w:val="14"/>
                <w:szCs w:val="14"/>
              </w:rPr>
            </w:pPr>
            <w:bookmarkStart w:id="731" w:name="_Toc67329840"/>
            <w:r w:rsidRPr="003D1614">
              <w:rPr>
                <w:rFonts w:ascii="Arial" w:eastAsia="Calibri" w:hAnsi="Arial" w:cs="Arial"/>
                <w:b/>
                <w:bCs/>
                <w:color w:val="000000" w:themeColor="text1"/>
                <w:sz w:val="14"/>
                <w:szCs w:val="14"/>
              </w:rPr>
              <w:t>Garancije i preuzete obveze</w:t>
            </w:r>
            <w:bookmarkEnd w:id="731"/>
          </w:p>
        </w:tc>
        <w:tc>
          <w:tcPr>
            <w:tcW w:w="307" w:type="pct"/>
            <w:tcBorders>
              <w:top w:val="nil"/>
              <w:left w:val="nil"/>
              <w:bottom w:val="nil"/>
              <w:right w:val="nil"/>
            </w:tcBorders>
            <w:shd w:val="clear" w:color="auto" w:fill="auto"/>
            <w:vAlign w:val="bottom"/>
          </w:tcPr>
          <w:p w14:paraId="69615D3B" w14:textId="77777777" w:rsidR="00E30660" w:rsidRPr="003D1614" w:rsidRDefault="00E30660" w:rsidP="00061A35">
            <w:pPr>
              <w:suppressAutoHyphens/>
              <w:autoSpaceDN w:val="0"/>
              <w:jc w:val="right"/>
              <w:rPr>
                <w:rFonts w:ascii="Arial" w:eastAsia="Calibri" w:hAnsi="Arial" w:cs="Arial"/>
                <w:color w:val="000000" w:themeColor="text1"/>
                <w:sz w:val="14"/>
                <w:szCs w:val="14"/>
              </w:rPr>
            </w:pPr>
          </w:p>
        </w:tc>
        <w:tc>
          <w:tcPr>
            <w:tcW w:w="298" w:type="pct"/>
            <w:tcBorders>
              <w:top w:val="nil"/>
              <w:left w:val="nil"/>
              <w:bottom w:val="nil"/>
              <w:right w:val="nil"/>
            </w:tcBorders>
            <w:shd w:val="clear" w:color="auto" w:fill="auto"/>
            <w:vAlign w:val="bottom"/>
          </w:tcPr>
          <w:p w14:paraId="57428237" w14:textId="77777777" w:rsidR="00E30660" w:rsidRPr="003D1614" w:rsidRDefault="00E30660" w:rsidP="00061A35">
            <w:pPr>
              <w:suppressAutoHyphens/>
              <w:autoSpaceDN w:val="0"/>
              <w:jc w:val="right"/>
              <w:rPr>
                <w:rFonts w:ascii="Arial" w:eastAsia="Calibri" w:hAnsi="Arial" w:cs="Arial"/>
                <w:color w:val="000000" w:themeColor="text1"/>
                <w:sz w:val="14"/>
                <w:szCs w:val="14"/>
              </w:rPr>
            </w:pPr>
          </w:p>
        </w:tc>
        <w:tc>
          <w:tcPr>
            <w:tcW w:w="295" w:type="pct"/>
            <w:tcBorders>
              <w:top w:val="nil"/>
              <w:left w:val="nil"/>
              <w:bottom w:val="nil"/>
              <w:right w:val="nil"/>
            </w:tcBorders>
            <w:shd w:val="clear" w:color="auto" w:fill="auto"/>
            <w:vAlign w:val="bottom"/>
          </w:tcPr>
          <w:p w14:paraId="2D8A5365" w14:textId="77777777" w:rsidR="00E30660" w:rsidRPr="003D1614" w:rsidRDefault="00E30660" w:rsidP="00061A35">
            <w:pPr>
              <w:suppressAutoHyphens/>
              <w:autoSpaceDN w:val="0"/>
              <w:jc w:val="right"/>
              <w:rPr>
                <w:rFonts w:ascii="Arial" w:eastAsia="Calibri" w:hAnsi="Arial" w:cs="Arial"/>
                <w:color w:val="000000" w:themeColor="text1"/>
                <w:sz w:val="14"/>
                <w:szCs w:val="14"/>
              </w:rPr>
            </w:pPr>
          </w:p>
        </w:tc>
        <w:tc>
          <w:tcPr>
            <w:tcW w:w="285" w:type="pct"/>
            <w:tcBorders>
              <w:top w:val="nil"/>
              <w:left w:val="nil"/>
              <w:bottom w:val="nil"/>
              <w:right w:val="nil"/>
            </w:tcBorders>
            <w:shd w:val="clear" w:color="auto" w:fill="auto"/>
            <w:vAlign w:val="bottom"/>
          </w:tcPr>
          <w:p w14:paraId="2EAE143F" w14:textId="77777777" w:rsidR="00E30660" w:rsidRPr="003D1614" w:rsidRDefault="00E30660" w:rsidP="00061A35">
            <w:pPr>
              <w:suppressAutoHyphens/>
              <w:autoSpaceDN w:val="0"/>
              <w:jc w:val="right"/>
              <w:rPr>
                <w:rFonts w:ascii="Arial" w:eastAsia="Calibri" w:hAnsi="Arial" w:cs="Arial"/>
                <w:color w:val="000000" w:themeColor="text1"/>
                <w:sz w:val="14"/>
                <w:szCs w:val="14"/>
              </w:rPr>
            </w:pPr>
          </w:p>
        </w:tc>
        <w:tc>
          <w:tcPr>
            <w:tcW w:w="312" w:type="pct"/>
            <w:tcBorders>
              <w:top w:val="nil"/>
              <w:left w:val="nil"/>
              <w:bottom w:val="nil"/>
              <w:right w:val="nil"/>
            </w:tcBorders>
          </w:tcPr>
          <w:p w14:paraId="674B8475" w14:textId="77777777" w:rsidR="00E30660" w:rsidRPr="003D1614" w:rsidRDefault="00E30660" w:rsidP="00061A35">
            <w:pPr>
              <w:suppressAutoHyphens/>
              <w:autoSpaceDN w:val="0"/>
              <w:rPr>
                <w:rFonts w:ascii="Arial" w:eastAsia="Calibri" w:hAnsi="Arial" w:cs="Arial"/>
                <w:color w:val="000000" w:themeColor="text1"/>
                <w:sz w:val="14"/>
                <w:szCs w:val="14"/>
              </w:rPr>
            </w:pPr>
          </w:p>
        </w:tc>
        <w:tc>
          <w:tcPr>
            <w:tcW w:w="312" w:type="pct"/>
            <w:tcBorders>
              <w:top w:val="nil"/>
              <w:left w:val="nil"/>
              <w:bottom w:val="nil"/>
              <w:right w:val="nil"/>
            </w:tcBorders>
            <w:shd w:val="clear" w:color="auto" w:fill="auto"/>
            <w:vAlign w:val="bottom"/>
          </w:tcPr>
          <w:p w14:paraId="572578F5" w14:textId="77777777" w:rsidR="00E30660" w:rsidRPr="003D1614" w:rsidRDefault="00E30660" w:rsidP="00061A35">
            <w:pPr>
              <w:suppressAutoHyphens/>
              <w:autoSpaceDN w:val="0"/>
              <w:jc w:val="right"/>
              <w:rPr>
                <w:rFonts w:ascii="Arial" w:eastAsia="Calibri" w:hAnsi="Arial" w:cs="Arial"/>
                <w:color w:val="000000" w:themeColor="text1"/>
                <w:sz w:val="14"/>
                <w:szCs w:val="14"/>
              </w:rPr>
            </w:pPr>
          </w:p>
        </w:tc>
        <w:tc>
          <w:tcPr>
            <w:tcW w:w="331" w:type="pct"/>
            <w:tcBorders>
              <w:top w:val="nil"/>
              <w:left w:val="nil"/>
              <w:bottom w:val="nil"/>
              <w:right w:val="nil"/>
            </w:tcBorders>
            <w:shd w:val="clear" w:color="auto" w:fill="auto"/>
            <w:vAlign w:val="bottom"/>
          </w:tcPr>
          <w:p w14:paraId="539E43E4" w14:textId="77777777" w:rsidR="00E30660" w:rsidRPr="003D1614" w:rsidRDefault="00E30660" w:rsidP="00061A35">
            <w:pPr>
              <w:suppressAutoHyphens/>
              <w:autoSpaceDN w:val="0"/>
              <w:jc w:val="right"/>
              <w:rPr>
                <w:rFonts w:ascii="Arial" w:eastAsia="Calibri" w:hAnsi="Arial" w:cs="Arial"/>
                <w:color w:val="000000" w:themeColor="text1"/>
                <w:sz w:val="14"/>
                <w:szCs w:val="14"/>
              </w:rPr>
            </w:pPr>
          </w:p>
        </w:tc>
        <w:tc>
          <w:tcPr>
            <w:tcW w:w="329" w:type="pct"/>
            <w:tcBorders>
              <w:top w:val="nil"/>
              <w:left w:val="nil"/>
              <w:bottom w:val="nil"/>
              <w:right w:val="nil"/>
            </w:tcBorders>
            <w:vAlign w:val="bottom"/>
          </w:tcPr>
          <w:p w14:paraId="799F6973" w14:textId="77777777" w:rsidR="00E30660" w:rsidRPr="003D1614" w:rsidRDefault="00E30660" w:rsidP="00061A35">
            <w:pPr>
              <w:suppressAutoHyphens/>
              <w:autoSpaceDN w:val="0"/>
              <w:jc w:val="right"/>
              <w:rPr>
                <w:rFonts w:ascii="Arial" w:eastAsia="Calibri" w:hAnsi="Arial" w:cs="Arial"/>
                <w:color w:val="000000" w:themeColor="text1"/>
                <w:sz w:val="14"/>
                <w:szCs w:val="14"/>
              </w:rPr>
            </w:pPr>
          </w:p>
        </w:tc>
        <w:tc>
          <w:tcPr>
            <w:tcW w:w="329" w:type="pct"/>
            <w:tcBorders>
              <w:top w:val="nil"/>
              <w:left w:val="nil"/>
              <w:bottom w:val="nil"/>
              <w:right w:val="nil"/>
            </w:tcBorders>
            <w:vAlign w:val="bottom"/>
          </w:tcPr>
          <w:p w14:paraId="739D68FF" w14:textId="77777777" w:rsidR="00E30660" w:rsidRPr="003D1614" w:rsidRDefault="00E30660" w:rsidP="00061A35">
            <w:pPr>
              <w:suppressAutoHyphens/>
              <w:autoSpaceDN w:val="0"/>
              <w:jc w:val="right"/>
              <w:rPr>
                <w:rFonts w:ascii="Arial" w:eastAsia="Calibri" w:hAnsi="Arial" w:cs="Arial"/>
                <w:color w:val="000000" w:themeColor="text1"/>
                <w:sz w:val="14"/>
                <w:szCs w:val="14"/>
              </w:rPr>
            </w:pPr>
          </w:p>
        </w:tc>
        <w:tc>
          <w:tcPr>
            <w:tcW w:w="329" w:type="pct"/>
            <w:tcBorders>
              <w:top w:val="nil"/>
              <w:left w:val="nil"/>
              <w:bottom w:val="nil"/>
              <w:right w:val="nil"/>
            </w:tcBorders>
            <w:vAlign w:val="bottom"/>
          </w:tcPr>
          <w:p w14:paraId="78D1E12A" w14:textId="77777777" w:rsidR="00E30660" w:rsidRPr="003D1614" w:rsidRDefault="00E30660" w:rsidP="00061A35">
            <w:pPr>
              <w:suppressAutoHyphens/>
              <w:autoSpaceDN w:val="0"/>
              <w:jc w:val="right"/>
              <w:rPr>
                <w:rFonts w:ascii="Arial" w:eastAsia="Calibri" w:hAnsi="Arial" w:cs="Arial"/>
                <w:color w:val="000000" w:themeColor="text1"/>
                <w:sz w:val="14"/>
                <w:szCs w:val="14"/>
              </w:rPr>
            </w:pPr>
          </w:p>
        </w:tc>
        <w:tc>
          <w:tcPr>
            <w:tcW w:w="329" w:type="pct"/>
            <w:tcBorders>
              <w:top w:val="nil"/>
              <w:left w:val="nil"/>
              <w:bottom w:val="nil"/>
              <w:right w:val="nil"/>
            </w:tcBorders>
            <w:vAlign w:val="bottom"/>
          </w:tcPr>
          <w:p w14:paraId="26B80311" w14:textId="77777777" w:rsidR="00E30660" w:rsidRPr="003D1614" w:rsidRDefault="00E30660" w:rsidP="00061A35">
            <w:pPr>
              <w:suppressAutoHyphens/>
              <w:autoSpaceDN w:val="0"/>
              <w:jc w:val="right"/>
              <w:rPr>
                <w:rFonts w:ascii="Arial" w:eastAsia="Calibri" w:hAnsi="Arial" w:cs="Arial"/>
                <w:color w:val="000000" w:themeColor="text1"/>
                <w:sz w:val="14"/>
                <w:szCs w:val="14"/>
              </w:rPr>
            </w:pPr>
          </w:p>
        </w:tc>
        <w:tc>
          <w:tcPr>
            <w:tcW w:w="320" w:type="pct"/>
            <w:tcBorders>
              <w:top w:val="nil"/>
              <w:left w:val="nil"/>
              <w:bottom w:val="nil"/>
              <w:right w:val="nil"/>
            </w:tcBorders>
          </w:tcPr>
          <w:p w14:paraId="7C5A71EC" w14:textId="77777777" w:rsidR="00E30660" w:rsidRPr="003D1614" w:rsidRDefault="00E30660" w:rsidP="00061A35">
            <w:pPr>
              <w:suppressAutoHyphens/>
              <w:autoSpaceDN w:val="0"/>
              <w:rPr>
                <w:rFonts w:ascii="Arial" w:eastAsia="Calibri" w:hAnsi="Arial" w:cs="Arial"/>
                <w:color w:val="000000" w:themeColor="text1"/>
                <w:sz w:val="14"/>
                <w:szCs w:val="14"/>
              </w:rPr>
            </w:pPr>
          </w:p>
        </w:tc>
        <w:tc>
          <w:tcPr>
            <w:tcW w:w="363" w:type="pct"/>
            <w:tcBorders>
              <w:top w:val="nil"/>
              <w:left w:val="nil"/>
              <w:bottom w:val="nil"/>
              <w:right w:val="nil"/>
            </w:tcBorders>
            <w:vAlign w:val="bottom"/>
          </w:tcPr>
          <w:p w14:paraId="34D16744" w14:textId="77777777" w:rsidR="00E30660" w:rsidRPr="003D1614" w:rsidRDefault="00E30660" w:rsidP="00061A35">
            <w:pPr>
              <w:suppressAutoHyphens/>
              <w:autoSpaceDN w:val="0"/>
              <w:jc w:val="right"/>
              <w:rPr>
                <w:rFonts w:ascii="Arial" w:eastAsia="Calibri" w:hAnsi="Arial" w:cs="Arial"/>
                <w:color w:val="000000" w:themeColor="text1"/>
                <w:sz w:val="14"/>
                <w:szCs w:val="14"/>
              </w:rPr>
            </w:pPr>
          </w:p>
        </w:tc>
        <w:tc>
          <w:tcPr>
            <w:tcW w:w="360" w:type="pct"/>
            <w:tcBorders>
              <w:top w:val="nil"/>
              <w:left w:val="nil"/>
              <w:bottom w:val="nil"/>
              <w:right w:val="nil"/>
            </w:tcBorders>
            <w:vAlign w:val="bottom"/>
          </w:tcPr>
          <w:p w14:paraId="60737158" w14:textId="77777777" w:rsidR="00E30660" w:rsidRPr="003D1614" w:rsidRDefault="00E30660" w:rsidP="00061A35">
            <w:pPr>
              <w:suppressAutoHyphens/>
              <w:autoSpaceDN w:val="0"/>
              <w:jc w:val="right"/>
              <w:rPr>
                <w:rFonts w:ascii="Arial" w:eastAsia="Calibri" w:hAnsi="Arial" w:cs="Arial"/>
                <w:color w:val="000000" w:themeColor="text1"/>
                <w:sz w:val="14"/>
                <w:szCs w:val="14"/>
              </w:rPr>
            </w:pPr>
          </w:p>
        </w:tc>
      </w:tr>
      <w:tr w:rsidR="00E30660" w:rsidRPr="003D1614" w14:paraId="34926C67" w14:textId="77777777" w:rsidTr="00061A35">
        <w:trPr>
          <w:trHeight w:val="189"/>
          <w:jc w:val="center"/>
        </w:trPr>
        <w:tc>
          <w:tcPr>
            <w:tcW w:w="500" w:type="pct"/>
            <w:vAlign w:val="bottom"/>
          </w:tcPr>
          <w:p w14:paraId="18914C23" w14:textId="77777777" w:rsidR="00E30660" w:rsidRPr="003D1614" w:rsidRDefault="00E30660" w:rsidP="00061A35">
            <w:pPr>
              <w:tabs>
                <w:tab w:val="right" w:pos="1202"/>
              </w:tabs>
              <w:suppressAutoHyphens/>
              <w:autoSpaceDN w:val="0"/>
              <w:outlineLvl w:val="0"/>
              <w:rPr>
                <w:rFonts w:ascii="Arial" w:eastAsia="Calibri" w:hAnsi="Arial" w:cs="Arial"/>
                <w:b/>
                <w:bCs/>
                <w:color w:val="000000" w:themeColor="text1"/>
                <w:sz w:val="14"/>
                <w:szCs w:val="14"/>
              </w:rPr>
            </w:pPr>
            <w:bookmarkStart w:id="732" w:name="_Toc67329841"/>
            <w:r w:rsidRPr="003D1614">
              <w:rPr>
                <w:rFonts w:ascii="Arial" w:eastAsia="Calibri" w:hAnsi="Arial" w:cs="Arial"/>
                <w:color w:val="000000" w:themeColor="text1"/>
                <w:sz w:val="14"/>
                <w:szCs w:val="14"/>
              </w:rPr>
              <w:t>Izdane garancije</w:t>
            </w:r>
            <w:bookmarkEnd w:id="732"/>
          </w:p>
        </w:tc>
        <w:tc>
          <w:tcPr>
            <w:tcW w:w="307" w:type="pct"/>
            <w:tcBorders>
              <w:top w:val="nil"/>
              <w:left w:val="nil"/>
              <w:bottom w:val="nil"/>
              <w:right w:val="nil"/>
            </w:tcBorders>
            <w:shd w:val="clear" w:color="auto" w:fill="auto"/>
            <w:vAlign w:val="bottom"/>
          </w:tcPr>
          <w:p w14:paraId="192293F6" w14:textId="77777777" w:rsidR="00E30660" w:rsidRPr="003D1614" w:rsidRDefault="00E30660" w:rsidP="00061A3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32.459</w:t>
            </w:r>
          </w:p>
        </w:tc>
        <w:tc>
          <w:tcPr>
            <w:tcW w:w="298" w:type="pct"/>
            <w:tcBorders>
              <w:top w:val="nil"/>
              <w:left w:val="nil"/>
              <w:bottom w:val="nil"/>
              <w:right w:val="nil"/>
            </w:tcBorders>
            <w:shd w:val="clear" w:color="auto" w:fill="auto"/>
            <w:vAlign w:val="bottom"/>
          </w:tcPr>
          <w:p w14:paraId="5E931583" w14:textId="77777777" w:rsidR="00E30660" w:rsidRPr="003D1614" w:rsidRDefault="00E30660" w:rsidP="00061A3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8.616</w:t>
            </w:r>
          </w:p>
        </w:tc>
        <w:tc>
          <w:tcPr>
            <w:tcW w:w="295" w:type="pct"/>
            <w:tcBorders>
              <w:top w:val="nil"/>
              <w:left w:val="nil"/>
              <w:bottom w:val="nil"/>
              <w:right w:val="nil"/>
            </w:tcBorders>
            <w:shd w:val="clear" w:color="auto" w:fill="auto"/>
            <w:vAlign w:val="bottom"/>
          </w:tcPr>
          <w:p w14:paraId="4BAD37ED" w14:textId="77777777" w:rsidR="00E30660" w:rsidRPr="003D1614" w:rsidRDefault="00E30660" w:rsidP="00061A3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2.511</w:t>
            </w:r>
          </w:p>
        </w:tc>
        <w:tc>
          <w:tcPr>
            <w:tcW w:w="285" w:type="pct"/>
            <w:tcBorders>
              <w:top w:val="nil"/>
              <w:left w:val="nil"/>
              <w:bottom w:val="nil"/>
              <w:right w:val="nil"/>
            </w:tcBorders>
            <w:shd w:val="clear" w:color="auto" w:fill="auto"/>
            <w:vAlign w:val="bottom"/>
          </w:tcPr>
          <w:p w14:paraId="4F476A2B" w14:textId="77777777" w:rsidR="00E30660" w:rsidRPr="003D1614" w:rsidRDefault="00E30660" w:rsidP="00061A3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12" w:type="pct"/>
            <w:tcBorders>
              <w:top w:val="nil"/>
              <w:left w:val="nil"/>
              <w:bottom w:val="nil"/>
              <w:right w:val="nil"/>
            </w:tcBorders>
            <w:shd w:val="clear" w:color="auto" w:fill="auto"/>
            <w:vAlign w:val="bottom"/>
          </w:tcPr>
          <w:p w14:paraId="01C0E31E" w14:textId="77777777" w:rsidR="00E30660" w:rsidRPr="002A06D3" w:rsidRDefault="00E30660" w:rsidP="00061A3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12" w:type="pct"/>
            <w:tcBorders>
              <w:top w:val="nil"/>
              <w:left w:val="nil"/>
              <w:bottom w:val="nil"/>
              <w:right w:val="nil"/>
            </w:tcBorders>
            <w:shd w:val="clear" w:color="auto" w:fill="auto"/>
            <w:vAlign w:val="bottom"/>
          </w:tcPr>
          <w:p w14:paraId="5FD5B42A" w14:textId="77777777" w:rsidR="00E30660" w:rsidRPr="003D1614" w:rsidRDefault="00E30660" w:rsidP="00061A3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1" w:type="pct"/>
            <w:tcBorders>
              <w:top w:val="nil"/>
              <w:left w:val="nil"/>
              <w:bottom w:val="nil"/>
              <w:right w:val="nil"/>
            </w:tcBorders>
            <w:shd w:val="clear" w:color="auto" w:fill="auto"/>
            <w:vAlign w:val="bottom"/>
          </w:tcPr>
          <w:p w14:paraId="246D86EE" w14:textId="77777777" w:rsidR="00E30660" w:rsidRPr="003D1614" w:rsidRDefault="00E30660" w:rsidP="00061A3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43.586</w:t>
            </w:r>
          </w:p>
        </w:tc>
        <w:tc>
          <w:tcPr>
            <w:tcW w:w="329" w:type="pct"/>
            <w:tcBorders>
              <w:top w:val="nil"/>
              <w:left w:val="nil"/>
              <w:bottom w:val="nil"/>
              <w:right w:val="nil"/>
            </w:tcBorders>
            <w:vAlign w:val="bottom"/>
          </w:tcPr>
          <w:p w14:paraId="18DE1083" w14:textId="77777777" w:rsidR="00E30660" w:rsidRPr="003D1614" w:rsidRDefault="00E30660" w:rsidP="00061A3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32.099</w:t>
            </w:r>
          </w:p>
        </w:tc>
        <w:tc>
          <w:tcPr>
            <w:tcW w:w="329" w:type="pct"/>
            <w:tcBorders>
              <w:top w:val="nil"/>
              <w:left w:val="nil"/>
              <w:bottom w:val="nil"/>
              <w:right w:val="nil"/>
            </w:tcBorders>
            <w:vAlign w:val="bottom"/>
          </w:tcPr>
          <w:p w14:paraId="1A2C1FF9" w14:textId="77777777" w:rsidR="00E30660" w:rsidRPr="003D1614" w:rsidRDefault="00E30660" w:rsidP="00061A3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5.677</w:t>
            </w:r>
          </w:p>
        </w:tc>
        <w:tc>
          <w:tcPr>
            <w:tcW w:w="329" w:type="pct"/>
            <w:tcBorders>
              <w:top w:val="nil"/>
              <w:left w:val="nil"/>
              <w:bottom w:val="nil"/>
              <w:right w:val="nil"/>
            </w:tcBorders>
            <w:vAlign w:val="bottom"/>
          </w:tcPr>
          <w:p w14:paraId="29D357A5" w14:textId="77777777" w:rsidR="00E30660" w:rsidRPr="003D1614" w:rsidRDefault="00E30660" w:rsidP="00061A3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1.945</w:t>
            </w:r>
          </w:p>
        </w:tc>
        <w:tc>
          <w:tcPr>
            <w:tcW w:w="329" w:type="pct"/>
            <w:tcBorders>
              <w:top w:val="nil"/>
              <w:left w:val="nil"/>
              <w:bottom w:val="nil"/>
              <w:right w:val="nil"/>
            </w:tcBorders>
            <w:vAlign w:val="bottom"/>
          </w:tcPr>
          <w:p w14:paraId="2BD613A8" w14:textId="77777777" w:rsidR="00E30660" w:rsidRPr="003D1614" w:rsidRDefault="00E30660" w:rsidP="00061A3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0" w:type="pct"/>
            <w:tcBorders>
              <w:top w:val="nil"/>
              <w:left w:val="nil"/>
              <w:bottom w:val="nil"/>
              <w:right w:val="nil"/>
            </w:tcBorders>
            <w:vAlign w:val="bottom"/>
          </w:tcPr>
          <w:p w14:paraId="4EBCEF25" w14:textId="77777777" w:rsidR="00E30660" w:rsidRPr="002A06D3" w:rsidRDefault="00E30660" w:rsidP="00061A3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63" w:type="pct"/>
            <w:tcBorders>
              <w:top w:val="nil"/>
              <w:left w:val="nil"/>
              <w:bottom w:val="nil"/>
              <w:right w:val="nil"/>
            </w:tcBorders>
            <w:vAlign w:val="bottom"/>
          </w:tcPr>
          <w:p w14:paraId="412F337C" w14:textId="77777777" w:rsidR="00E30660" w:rsidRPr="003D1614" w:rsidRDefault="00E30660" w:rsidP="00061A3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60" w:type="pct"/>
            <w:tcBorders>
              <w:top w:val="nil"/>
              <w:left w:val="nil"/>
              <w:bottom w:val="nil"/>
              <w:right w:val="nil"/>
            </w:tcBorders>
            <w:vAlign w:val="bottom"/>
          </w:tcPr>
          <w:p w14:paraId="4AD6FC1B" w14:textId="77777777" w:rsidR="00E30660" w:rsidRPr="003D1614" w:rsidRDefault="00E30660" w:rsidP="00061A3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39.721</w:t>
            </w:r>
          </w:p>
        </w:tc>
      </w:tr>
      <w:tr w:rsidR="00E30660" w:rsidRPr="003D1614" w14:paraId="5D4E41BC" w14:textId="77777777" w:rsidTr="00061A35">
        <w:trPr>
          <w:trHeight w:val="189"/>
          <w:jc w:val="center"/>
        </w:trPr>
        <w:tc>
          <w:tcPr>
            <w:tcW w:w="500" w:type="pct"/>
            <w:vAlign w:val="bottom"/>
          </w:tcPr>
          <w:p w14:paraId="70558807" w14:textId="77777777" w:rsidR="00E30660" w:rsidRPr="003D1614" w:rsidRDefault="00E30660" w:rsidP="00061A35">
            <w:pPr>
              <w:tabs>
                <w:tab w:val="right" w:pos="1202"/>
              </w:tabs>
              <w:suppressAutoHyphens/>
              <w:autoSpaceDN w:val="0"/>
              <w:outlineLvl w:val="0"/>
              <w:rPr>
                <w:rFonts w:ascii="Arial" w:eastAsia="Calibri" w:hAnsi="Arial" w:cs="Arial"/>
                <w:color w:val="000000" w:themeColor="text1"/>
                <w:sz w:val="14"/>
                <w:szCs w:val="14"/>
              </w:rPr>
            </w:pPr>
            <w:bookmarkStart w:id="733" w:name="_Toc67329842"/>
            <w:r w:rsidRPr="003D1614">
              <w:rPr>
                <w:rFonts w:ascii="Arial" w:eastAsia="Calibri" w:hAnsi="Arial" w:cs="Arial"/>
                <w:color w:val="000000" w:themeColor="text1"/>
                <w:sz w:val="14"/>
                <w:szCs w:val="14"/>
              </w:rPr>
              <w:t>Izdane garancije u devizama</w:t>
            </w:r>
            <w:bookmarkEnd w:id="733"/>
          </w:p>
        </w:tc>
        <w:tc>
          <w:tcPr>
            <w:tcW w:w="307" w:type="pct"/>
            <w:tcBorders>
              <w:top w:val="nil"/>
              <w:left w:val="nil"/>
              <w:bottom w:val="nil"/>
              <w:right w:val="nil"/>
            </w:tcBorders>
            <w:shd w:val="clear" w:color="auto" w:fill="auto"/>
            <w:vAlign w:val="bottom"/>
          </w:tcPr>
          <w:p w14:paraId="1C5061DE" w14:textId="77777777" w:rsidR="00E30660" w:rsidRPr="003D1614" w:rsidRDefault="00E30660" w:rsidP="00061A3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52</w:t>
            </w:r>
          </w:p>
        </w:tc>
        <w:tc>
          <w:tcPr>
            <w:tcW w:w="298" w:type="pct"/>
            <w:tcBorders>
              <w:top w:val="nil"/>
              <w:left w:val="nil"/>
              <w:bottom w:val="nil"/>
              <w:right w:val="nil"/>
            </w:tcBorders>
            <w:shd w:val="clear" w:color="auto" w:fill="auto"/>
            <w:vAlign w:val="bottom"/>
          </w:tcPr>
          <w:p w14:paraId="52C735B9" w14:textId="77777777" w:rsidR="00E30660" w:rsidRPr="003D1614" w:rsidRDefault="00E30660" w:rsidP="00061A3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3.385</w:t>
            </w:r>
          </w:p>
        </w:tc>
        <w:tc>
          <w:tcPr>
            <w:tcW w:w="295" w:type="pct"/>
            <w:tcBorders>
              <w:top w:val="nil"/>
              <w:left w:val="nil"/>
              <w:bottom w:val="nil"/>
              <w:right w:val="nil"/>
            </w:tcBorders>
            <w:shd w:val="clear" w:color="auto" w:fill="auto"/>
            <w:vAlign w:val="bottom"/>
          </w:tcPr>
          <w:p w14:paraId="3F64DD43" w14:textId="77777777" w:rsidR="00E30660" w:rsidRPr="003D1614" w:rsidRDefault="00E30660" w:rsidP="00061A3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85" w:type="pct"/>
            <w:tcBorders>
              <w:top w:val="nil"/>
              <w:left w:val="nil"/>
              <w:bottom w:val="nil"/>
              <w:right w:val="nil"/>
            </w:tcBorders>
            <w:shd w:val="clear" w:color="auto" w:fill="auto"/>
            <w:vAlign w:val="bottom"/>
          </w:tcPr>
          <w:p w14:paraId="1B893220" w14:textId="77777777" w:rsidR="00E30660" w:rsidRPr="003D1614" w:rsidRDefault="00E30660" w:rsidP="00061A3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12" w:type="pct"/>
            <w:tcBorders>
              <w:top w:val="nil"/>
              <w:left w:val="nil"/>
              <w:bottom w:val="nil"/>
              <w:right w:val="nil"/>
            </w:tcBorders>
            <w:shd w:val="clear" w:color="auto" w:fill="auto"/>
            <w:vAlign w:val="bottom"/>
          </w:tcPr>
          <w:p w14:paraId="7954C6D8" w14:textId="77777777" w:rsidR="00E30660" w:rsidRPr="002A06D3" w:rsidRDefault="00E30660" w:rsidP="00061A3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12" w:type="pct"/>
            <w:tcBorders>
              <w:top w:val="nil"/>
              <w:left w:val="nil"/>
              <w:bottom w:val="nil"/>
              <w:right w:val="nil"/>
            </w:tcBorders>
            <w:shd w:val="clear" w:color="auto" w:fill="auto"/>
            <w:vAlign w:val="bottom"/>
          </w:tcPr>
          <w:p w14:paraId="445D48C6" w14:textId="77777777" w:rsidR="00E30660" w:rsidRPr="003D1614" w:rsidRDefault="00E30660" w:rsidP="00061A3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1" w:type="pct"/>
            <w:tcBorders>
              <w:top w:val="nil"/>
              <w:left w:val="nil"/>
              <w:bottom w:val="nil"/>
              <w:right w:val="nil"/>
            </w:tcBorders>
            <w:shd w:val="clear" w:color="auto" w:fill="auto"/>
            <w:vAlign w:val="bottom"/>
          </w:tcPr>
          <w:p w14:paraId="49BDBAF5" w14:textId="77777777" w:rsidR="00E30660" w:rsidRPr="003D1614" w:rsidRDefault="00E30660" w:rsidP="00061A3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3.437</w:t>
            </w:r>
          </w:p>
        </w:tc>
        <w:tc>
          <w:tcPr>
            <w:tcW w:w="329" w:type="pct"/>
            <w:tcBorders>
              <w:top w:val="nil"/>
              <w:left w:val="nil"/>
              <w:bottom w:val="nil"/>
              <w:right w:val="nil"/>
            </w:tcBorders>
            <w:vAlign w:val="bottom"/>
          </w:tcPr>
          <w:p w14:paraId="0EBA197B" w14:textId="77777777" w:rsidR="00E30660" w:rsidRPr="003D1614" w:rsidRDefault="00E30660" w:rsidP="00061A3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52</w:t>
            </w:r>
          </w:p>
        </w:tc>
        <w:tc>
          <w:tcPr>
            <w:tcW w:w="329" w:type="pct"/>
            <w:tcBorders>
              <w:top w:val="nil"/>
              <w:left w:val="nil"/>
              <w:bottom w:val="nil"/>
              <w:right w:val="nil"/>
            </w:tcBorders>
            <w:vAlign w:val="bottom"/>
          </w:tcPr>
          <w:p w14:paraId="14703A4F" w14:textId="77777777" w:rsidR="00E30660" w:rsidRPr="003D1614" w:rsidRDefault="00E30660" w:rsidP="00061A3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3.385</w:t>
            </w:r>
          </w:p>
        </w:tc>
        <w:tc>
          <w:tcPr>
            <w:tcW w:w="329" w:type="pct"/>
            <w:tcBorders>
              <w:top w:val="nil"/>
              <w:left w:val="nil"/>
              <w:bottom w:val="nil"/>
              <w:right w:val="nil"/>
            </w:tcBorders>
            <w:vAlign w:val="bottom"/>
          </w:tcPr>
          <w:p w14:paraId="3079AC23" w14:textId="77777777" w:rsidR="00E30660" w:rsidRPr="003D1614" w:rsidRDefault="00E30660" w:rsidP="00061A3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9" w:type="pct"/>
            <w:tcBorders>
              <w:top w:val="nil"/>
              <w:left w:val="nil"/>
              <w:bottom w:val="nil"/>
              <w:right w:val="nil"/>
            </w:tcBorders>
            <w:vAlign w:val="bottom"/>
          </w:tcPr>
          <w:p w14:paraId="46CD8079" w14:textId="77777777" w:rsidR="00E30660" w:rsidRPr="003D1614" w:rsidRDefault="00E30660" w:rsidP="00061A3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0" w:type="pct"/>
            <w:tcBorders>
              <w:top w:val="nil"/>
              <w:left w:val="nil"/>
              <w:bottom w:val="nil"/>
              <w:right w:val="nil"/>
            </w:tcBorders>
            <w:vAlign w:val="bottom"/>
          </w:tcPr>
          <w:p w14:paraId="54C67FEB" w14:textId="77777777" w:rsidR="00E30660" w:rsidRPr="002A06D3" w:rsidRDefault="00E30660" w:rsidP="00061A3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63" w:type="pct"/>
            <w:tcBorders>
              <w:top w:val="nil"/>
              <w:left w:val="nil"/>
              <w:bottom w:val="nil"/>
              <w:right w:val="nil"/>
            </w:tcBorders>
            <w:vAlign w:val="bottom"/>
          </w:tcPr>
          <w:p w14:paraId="5E262BAB" w14:textId="77777777" w:rsidR="00E30660" w:rsidRPr="003D1614" w:rsidRDefault="00E30660" w:rsidP="00061A3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60" w:type="pct"/>
            <w:tcBorders>
              <w:top w:val="nil"/>
              <w:left w:val="nil"/>
              <w:bottom w:val="nil"/>
              <w:right w:val="nil"/>
            </w:tcBorders>
            <w:vAlign w:val="bottom"/>
          </w:tcPr>
          <w:p w14:paraId="79661C07" w14:textId="77777777" w:rsidR="00E30660" w:rsidRPr="003D1614" w:rsidRDefault="00E30660" w:rsidP="00061A3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3.437</w:t>
            </w:r>
          </w:p>
        </w:tc>
      </w:tr>
      <w:tr w:rsidR="00E30660" w:rsidRPr="003D1614" w14:paraId="58C4001F" w14:textId="77777777" w:rsidTr="00061A35">
        <w:trPr>
          <w:trHeight w:val="189"/>
          <w:jc w:val="center"/>
        </w:trPr>
        <w:tc>
          <w:tcPr>
            <w:tcW w:w="500" w:type="pct"/>
            <w:vAlign w:val="bottom"/>
          </w:tcPr>
          <w:p w14:paraId="1E3CB99E" w14:textId="77777777" w:rsidR="00E30660" w:rsidRPr="003D1614" w:rsidRDefault="00E30660" w:rsidP="00061A35">
            <w:pPr>
              <w:tabs>
                <w:tab w:val="right" w:pos="1202"/>
              </w:tabs>
              <w:suppressAutoHyphens/>
              <w:autoSpaceDN w:val="0"/>
              <w:outlineLvl w:val="0"/>
              <w:rPr>
                <w:rFonts w:ascii="Arial" w:eastAsia="Calibri" w:hAnsi="Arial" w:cs="Arial"/>
                <w:color w:val="000000" w:themeColor="text1"/>
                <w:sz w:val="14"/>
                <w:szCs w:val="14"/>
              </w:rPr>
            </w:pPr>
            <w:bookmarkStart w:id="734" w:name="_Toc67329844"/>
            <w:r w:rsidRPr="003D1614">
              <w:rPr>
                <w:rFonts w:ascii="Arial" w:eastAsia="Calibri" w:hAnsi="Arial" w:cs="Arial"/>
                <w:color w:val="000000" w:themeColor="text1"/>
                <w:sz w:val="14"/>
                <w:szCs w:val="14"/>
              </w:rPr>
              <w:t>Preuzete obveze po kreditima</w:t>
            </w:r>
            <w:bookmarkEnd w:id="734"/>
          </w:p>
        </w:tc>
        <w:tc>
          <w:tcPr>
            <w:tcW w:w="307" w:type="pct"/>
            <w:tcBorders>
              <w:top w:val="nil"/>
              <w:left w:val="nil"/>
              <w:bottom w:val="single" w:sz="6" w:space="0" w:color="auto"/>
              <w:right w:val="nil"/>
            </w:tcBorders>
            <w:shd w:val="clear" w:color="auto" w:fill="auto"/>
            <w:vAlign w:val="bottom"/>
          </w:tcPr>
          <w:p w14:paraId="1AA9A097" w14:textId="77777777" w:rsidR="00E30660" w:rsidRPr="003D1614" w:rsidRDefault="00E30660" w:rsidP="00061A3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456.088</w:t>
            </w:r>
          </w:p>
        </w:tc>
        <w:tc>
          <w:tcPr>
            <w:tcW w:w="298" w:type="pct"/>
            <w:tcBorders>
              <w:top w:val="nil"/>
              <w:left w:val="nil"/>
              <w:bottom w:val="single" w:sz="6" w:space="0" w:color="auto"/>
              <w:right w:val="nil"/>
            </w:tcBorders>
            <w:shd w:val="clear" w:color="auto" w:fill="auto"/>
            <w:vAlign w:val="bottom"/>
          </w:tcPr>
          <w:p w14:paraId="7882918D" w14:textId="77777777" w:rsidR="00E30660" w:rsidRPr="003D1614" w:rsidRDefault="00E30660" w:rsidP="00061A3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5.148</w:t>
            </w:r>
          </w:p>
        </w:tc>
        <w:tc>
          <w:tcPr>
            <w:tcW w:w="295" w:type="pct"/>
            <w:tcBorders>
              <w:top w:val="nil"/>
              <w:left w:val="nil"/>
              <w:bottom w:val="single" w:sz="6" w:space="0" w:color="auto"/>
              <w:right w:val="nil"/>
            </w:tcBorders>
            <w:shd w:val="clear" w:color="auto" w:fill="auto"/>
            <w:vAlign w:val="bottom"/>
          </w:tcPr>
          <w:p w14:paraId="4416C01D" w14:textId="77777777" w:rsidR="00E30660" w:rsidRPr="003D1614" w:rsidRDefault="00E30660" w:rsidP="00061A3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14</w:t>
            </w:r>
          </w:p>
        </w:tc>
        <w:tc>
          <w:tcPr>
            <w:tcW w:w="285" w:type="pct"/>
            <w:tcBorders>
              <w:top w:val="nil"/>
              <w:left w:val="nil"/>
              <w:bottom w:val="single" w:sz="6" w:space="0" w:color="auto"/>
              <w:right w:val="nil"/>
            </w:tcBorders>
            <w:shd w:val="clear" w:color="auto" w:fill="auto"/>
            <w:vAlign w:val="bottom"/>
          </w:tcPr>
          <w:p w14:paraId="37D4F5F9" w14:textId="77777777" w:rsidR="00E30660" w:rsidRPr="003D1614" w:rsidRDefault="00E30660" w:rsidP="00061A3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12" w:type="pct"/>
            <w:tcBorders>
              <w:top w:val="nil"/>
              <w:left w:val="nil"/>
              <w:bottom w:val="single" w:sz="6" w:space="0" w:color="auto"/>
              <w:right w:val="nil"/>
            </w:tcBorders>
            <w:shd w:val="clear" w:color="auto" w:fill="auto"/>
            <w:vAlign w:val="bottom"/>
          </w:tcPr>
          <w:p w14:paraId="7FED1856" w14:textId="77777777" w:rsidR="00E30660" w:rsidRPr="002A06D3" w:rsidRDefault="00E30660" w:rsidP="00061A3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82</w:t>
            </w:r>
          </w:p>
        </w:tc>
        <w:tc>
          <w:tcPr>
            <w:tcW w:w="312" w:type="pct"/>
            <w:tcBorders>
              <w:top w:val="nil"/>
              <w:left w:val="nil"/>
              <w:bottom w:val="single" w:sz="6" w:space="0" w:color="auto"/>
              <w:right w:val="nil"/>
            </w:tcBorders>
            <w:shd w:val="clear" w:color="auto" w:fill="auto"/>
            <w:vAlign w:val="bottom"/>
          </w:tcPr>
          <w:p w14:paraId="45CB9500" w14:textId="77777777" w:rsidR="00E30660" w:rsidRPr="003D1614" w:rsidRDefault="00E30660" w:rsidP="00061A3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1" w:type="pct"/>
            <w:tcBorders>
              <w:top w:val="nil"/>
              <w:left w:val="nil"/>
              <w:bottom w:val="single" w:sz="6" w:space="0" w:color="auto"/>
              <w:right w:val="nil"/>
            </w:tcBorders>
            <w:shd w:val="clear" w:color="auto" w:fill="auto"/>
            <w:vAlign w:val="bottom"/>
          </w:tcPr>
          <w:p w14:paraId="2E200149" w14:textId="77777777" w:rsidR="00E30660" w:rsidRPr="003D1614" w:rsidRDefault="00E30660" w:rsidP="00061A3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461.332</w:t>
            </w:r>
          </w:p>
        </w:tc>
        <w:tc>
          <w:tcPr>
            <w:tcW w:w="329" w:type="pct"/>
            <w:tcBorders>
              <w:top w:val="nil"/>
              <w:left w:val="nil"/>
              <w:bottom w:val="single" w:sz="6" w:space="0" w:color="auto"/>
              <w:right w:val="nil"/>
            </w:tcBorders>
            <w:vAlign w:val="bottom"/>
          </w:tcPr>
          <w:p w14:paraId="1CDE10A8" w14:textId="77777777" w:rsidR="00E30660" w:rsidRPr="003D1614" w:rsidRDefault="00E30660" w:rsidP="00061A3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150.138</w:t>
            </w:r>
          </w:p>
        </w:tc>
        <w:tc>
          <w:tcPr>
            <w:tcW w:w="329" w:type="pct"/>
            <w:tcBorders>
              <w:top w:val="nil"/>
              <w:left w:val="nil"/>
              <w:bottom w:val="single" w:sz="6" w:space="0" w:color="auto"/>
              <w:right w:val="nil"/>
            </w:tcBorders>
            <w:vAlign w:val="bottom"/>
          </w:tcPr>
          <w:p w14:paraId="0E31CD48" w14:textId="77777777" w:rsidR="00E30660" w:rsidRPr="003D1614" w:rsidRDefault="00E30660" w:rsidP="00061A3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1.602</w:t>
            </w:r>
          </w:p>
        </w:tc>
        <w:tc>
          <w:tcPr>
            <w:tcW w:w="329" w:type="pct"/>
            <w:tcBorders>
              <w:top w:val="nil"/>
              <w:left w:val="nil"/>
              <w:bottom w:val="single" w:sz="6" w:space="0" w:color="auto"/>
              <w:right w:val="nil"/>
            </w:tcBorders>
            <w:vAlign w:val="bottom"/>
          </w:tcPr>
          <w:p w14:paraId="279D0B3D" w14:textId="77777777" w:rsidR="00E30660" w:rsidRPr="003D1614" w:rsidRDefault="00E30660" w:rsidP="00061A3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13</w:t>
            </w:r>
          </w:p>
        </w:tc>
        <w:tc>
          <w:tcPr>
            <w:tcW w:w="329" w:type="pct"/>
            <w:tcBorders>
              <w:top w:val="nil"/>
              <w:left w:val="nil"/>
              <w:bottom w:val="single" w:sz="6" w:space="0" w:color="auto"/>
              <w:right w:val="nil"/>
            </w:tcBorders>
            <w:vAlign w:val="bottom"/>
          </w:tcPr>
          <w:p w14:paraId="4EC4F2F5" w14:textId="77777777" w:rsidR="00E30660" w:rsidRPr="003D1614" w:rsidRDefault="00E30660" w:rsidP="00061A3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0" w:type="pct"/>
            <w:tcBorders>
              <w:top w:val="nil"/>
              <w:left w:val="nil"/>
              <w:bottom w:val="single" w:sz="6" w:space="0" w:color="auto"/>
              <w:right w:val="nil"/>
            </w:tcBorders>
            <w:vAlign w:val="bottom"/>
          </w:tcPr>
          <w:p w14:paraId="74A98C00" w14:textId="77777777" w:rsidR="00E30660" w:rsidRPr="002A06D3" w:rsidRDefault="00E30660" w:rsidP="00061A3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63" w:type="pct"/>
            <w:tcBorders>
              <w:top w:val="nil"/>
              <w:left w:val="nil"/>
              <w:bottom w:val="single" w:sz="6" w:space="0" w:color="auto"/>
              <w:right w:val="nil"/>
            </w:tcBorders>
            <w:vAlign w:val="bottom"/>
          </w:tcPr>
          <w:p w14:paraId="276CC487" w14:textId="77777777" w:rsidR="00E30660" w:rsidRPr="003D1614" w:rsidRDefault="00E30660" w:rsidP="00061A3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60" w:type="pct"/>
            <w:tcBorders>
              <w:top w:val="nil"/>
              <w:left w:val="nil"/>
              <w:bottom w:val="single" w:sz="6" w:space="0" w:color="auto"/>
              <w:right w:val="nil"/>
            </w:tcBorders>
            <w:vAlign w:val="bottom"/>
          </w:tcPr>
          <w:p w14:paraId="12BC3182" w14:textId="77777777" w:rsidR="00E30660" w:rsidRPr="003D1614" w:rsidRDefault="00E30660" w:rsidP="00061A3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151.753</w:t>
            </w:r>
          </w:p>
        </w:tc>
      </w:tr>
      <w:tr w:rsidR="00E30660" w:rsidRPr="003D1614" w14:paraId="72FBC195" w14:textId="77777777" w:rsidTr="00061A35">
        <w:trPr>
          <w:trHeight w:val="170"/>
          <w:jc w:val="center"/>
        </w:trPr>
        <w:tc>
          <w:tcPr>
            <w:tcW w:w="500" w:type="pct"/>
            <w:vAlign w:val="bottom"/>
          </w:tcPr>
          <w:p w14:paraId="7245926E" w14:textId="77777777" w:rsidR="00E30660" w:rsidRPr="003D1614" w:rsidRDefault="00E30660" w:rsidP="00061A35">
            <w:pPr>
              <w:tabs>
                <w:tab w:val="right" w:pos="1202"/>
              </w:tabs>
              <w:suppressAutoHyphens/>
              <w:autoSpaceDN w:val="0"/>
              <w:outlineLvl w:val="0"/>
              <w:rPr>
                <w:rFonts w:ascii="Arial" w:eastAsia="Calibri" w:hAnsi="Arial" w:cs="Arial"/>
                <w:b/>
                <w:bCs/>
                <w:color w:val="000000" w:themeColor="text1"/>
                <w:sz w:val="14"/>
                <w:szCs w:val="14"/>
              </w:rPr>
            </w:pPr>
            <w:bookmarkStart w:id="735" w:name="_Toc67329846"/>
            <w:r w:rsidRPr="003D1614">
              <w:rPr>
                <w:rFonts w:ascii="Arial" w:eastAsia="Calibri" w:hAnsi="Arial" w:cs="Arial"/>
                <w:b/>
                <w:bCs/>
                <w:color w:val="000000" w:themeColor="text1"/>
                <w:sz w:val="14"/>
                <w:szCs w:val="14"/>
              </w:rPr>
              <w:t>Ukupno</w:t>
            </w:r>
            <w:bookmarkEnd w:id="735"/>
          </w:p>
        </w:tc>
        <w:tc>
          <w:tcPr>
            <w:tcW w:w="307" w:type="pct"/>
            <w:tcBorders>
              <w:top w:val="single" w:sz="6" w:space="0" w:color="auto"/>
              <w:left w:val="nil"/>
              <w:bottom w:val="single" w:sz="12" w:space="0" w:color="auto"/>
              <w:right w:val="nil"/>
            </w:tcBorders>
            <w:shd w:val="clear" w:color="auto" w:fill="auto"/>
            <w:vAlign w:val="bottom"/>
          </w:tcPr>
          <w:p w14:paraId="720F78C0" w14:textId="77777777" w:rsidR="00E30660" w:rsidRPr="003D1614" w:rsidRDefault="00E30660" w:rsidP="00061A35">
            <w:pPr>
              <w:suppressAutoHyphens/>
              <w:autoSpaceDN w:val="0"/>
              <w:jc w:val="right"/>
              <w:rPr>
                <w:rFonts w:ascii="Arial" w:eastAsia="Calibri" w:hAnsi="Arial" w:cs="Arial"/>
                <w:b/>
                <w:bCs/>
                <w:color w:val="000000" w:themeColor="text1"/>
                <w:sz w:val="14"/>
                <w:szCs w:val="14"/>
              </w:rPr>
            </w:pPr>
            <w:r>
              <w:rPr>
                <w:rFonts w:ascii="Arial" w:eastAsia="Calibri" w:hAnsi="Arial" w:cs="Arial"/>
                <w:b/>
                <w:bCs/>
                <w:sz w:val="14"/>
                <w:szCs w:val="14"/>
              </w:rPr>
              <w:t>488.599</w:t>
            </w:r>
          </w:p>
        </w:tc>
        <w:tc>
          <w:tcPr>
            <w:tcW w:w="298" w:type="pct"/>
            <w:tcBorders>
              <w:top w:val="single" w:sz="6" w:space="0" w:color="auto"/>
              <w:left w:val="nil"/>
              <w:bottom w:val="single" w:sz="12" w:space="0" w:color="auto"/>
              <w:right w:val="nil"/>
            </w:tcBorders>
            <w:shd w:val="clear" w:color="auto" w:fill="auto"/>
            <w:vAlign w:val="bottom"/>
          </w:tcPr>
          <w:p w14:paraId="56984214" w14:textId="77777777" w:rsidR="00E30660" w:rsidRPr="003D1614" w:rsidRDefault="00E30660" w:rsidP="00061A35">
            <w:pPr>
              <w:suppressAutoHyphens/>
              <w:autoSpaceDN w:val="0"/>
              <w:jc w:val="right"/>
              <w:rPr>
                <w:rFonts w:ascii="Arial" w:eastAsia="Calibri" w:hAnsi="Arial" w:cs="Arial"/>
                <w:b/>
                <w:bCs/>
                <w:color w:val="000000" w:themeColor="text1"/>
                <w:sz w:val="14"/>
                <w:szCs w:val="14"/>
              </w:rPr>
            </w:pPr>
            <w:r>
              <w:rPr>
                <w:rFonts w:ascii="Arial" w:eastAsia="Calibri" w:hAnsi="Arial" w:cs="Arial"/>
                <w:b/>
                <w:bCs/>
                <w:sz w:val="14"/>
                <w:szCs w:val="14"/>
              </w:rPr>
              <w:t>17.149</w:t>
            </w:r>
          </w:p>
        </w:tc>
        <w:tc>
          <w:tcPr>
            <w:tcW w:w="295" w:type="pct"/>
            <w:tcBorders>
              <w:top w:val="single" w:sz="6" w:space="0" w:color="auto"/>
              <w:left w:val="nil"/>
              <w:bottom w:val="single" w:sz="12" w:space="0" w:color="auto"/>
              <w:right w:val="nil"/>
            </w:tcBorders>
            <w:shd w:val="clear" w:color="auto" w:fill="auto"/>
            <w:vAlign w:val="bottom"/>
          </w:tcPr>
          <w:p w14:paraId="2A2BDB80" w14:textId="77777777" w:rsidR="00E30660" w:rsidRPr="003D1614" w:rsidRDefault="00E30660" w:rsidP="00061A35">
            <w:pPr>
              <w:suppressAutoHyphens/>
              <w:autoSpaceDN w:val="0"/>
              <w:jc w:val="right"/>
              <w:rPr>
                <w:rFonts w:ascii="Arial" w:eastAsia="Calibri" w:hAnsi="Arial" w:cs="Arial"/>
                <w:b/>
                <w:bCs/>
                <w:color w:val="000000" w:themeColor="text1"/>
                <w:sz w:val="14"/>
                <w:szCs w:val="14"/>
              </w:rPr>
            </w:pPr>
            <w:r>
              <w:rPr>
                <w:rFonts w:ascii="Arial" w:eastAsia="Calibri" w:hAnsi="Arial" w:cs="Arial"/>
                <w:b/>
                <w:bCs/>
                <w:sz w:val="14"/>
                <w:szCs w:val="14"/>
              </w:rPr>
              <w:t>2.525</w:t>
            </w:r>
          </w:p>
        </w:tc>
        <w:tc>
          <w:tcPr>
            <w:tcW w:w="285" w:type="pct"/>
            <w:tcBorders>
              <w:top w:val="single" w:sz="6" w:space="0" w:color="auto"/>
              <w:left w:val="nil"/>
              <w:bottom w:val="single" w:sz="12" w:space="0" w:color="auto"/>
              <w:right w:val="nil"/>
            </w:tcBorders>
            <w:shd w:val="clear" w:color="auto" w:fill="auto"/>
            <w:vAlign w:val="bottom"/>
          </w:tcPr>
          <w:p w14:paraId="6F9075FE" w14:textId="77777777" w:rsidR="00E30660" w:rsidRPr="003D1614" w:rsidRDefault="00E30660" w:rsidP="00061A35">
            <w:pPr>
              <w:suppressAutoHyphens/>
              <w:autoSpaceDN w:val="0"/>
              <w:jc w:val="right"/>
              <w:rPr>
                <w:rFonts w:ascii="Arial" w:eastAsia="Calibri" w:hAnsi="Arial" w:cs="Arial"/>
                <w:b/>
                <w:bCs/>
                <w:color w:val="000000" w:themeColor="text1"/>
                <w:sz w:val="14"/>
                <w:szCs w:val="14"/>
              </w:rPr>
            </w:pPr>
            <w:r>
              <w:rPr>
                <w:rFonts w:ascii="Arial" w:eastAsia="Calibri" w:hAnsi="Arial" w:cs="Arial"/>
                <w:b/>
                <w:bCs/>
                <w:sz w:val="14"/>
                <w:szCs w:val="14"/>
              </w:rPr>
              <w:t>-</w:t>
            </w:r>
          </w:p>
        </w:tc>
        <w:tc>
          <w:tcPr>
            <w:tcW w:w="312" w:type="pct"/>
            <w:tcBorders>
              <w:top w:val="nil"/>
              <w:left w:val="nil"/>
              <w:bottom w:val="single" w:sz="12" w:space="0" w:color="auto"/>
              <w:right w:val="nil"/>
            </w:tcBorders>
            <w:shd w:val="clear" w:color="auto" w:fill="auto"/>
            <w:vAlign w:val="bottom"/>
          </w:tcPr>
          <w:p w14:paraId="140B8FD5" w14:textId="77777777" w:rsidR="00E30660" w:rsidRPr="002A06D3" w:rsidRDefault="00E30660" w:rsidP="00061A35">
            <w:pPr>
              <w:suppressAutoHyphens/>
              <w:autoSpaceDN w:val="0"/>
              <w:jc w:val="right"/>
              <w:rPr>
                <w:rFonts w:ascii="Arial" w:eastAsia="Calibri" w:hAnsi="Arial" w:cs="Arial"/>
                <w:b/>
                <w:bCs/>
                <w:color w:val="000000" w:themeColor="text1"/>
                <w:sz w:val="14"/>
                <w:szCs w:val="14"/>
              </w:rPr>
            </w:pPr>
            <w:r>
              <w:rPr>
                <w:rFonts w:ascii="Arial" w:eastAsia="Calibri" w:hAnsi="Arial" w:cs="Arial"/>
                <w:b/>
                <w:bCs/>
                <w:sz w:val="14"/>
                <w:szCs w:val="14"/>
              </w:rPr>
              <w:t>82</w:t>
            </w:r>
          </w:p>
        </w:tc>
        <w:tc>
          <w:tcPr>
            <w:tcW w:w="312" w:type="pct"/>
            <w:tcBorders>
              <w:top w:val="single" w:sz="6" w:space="0" w:color="auto"/>
              <w:left w:val="nil"/>
              <w:bottom w:val="single" w:sz="12" w:space="0" w:color="auto"/>
              <w:right w:val="nil"/>
            </w:tcBorders>
            <w:shd w:val="clear" w:color="auto" w:fill="auto"/>
            <w:vAlign w:val="bottom"/>
          </w:tcPr>
          <w:p w14:paraId="1A9989EA" w14:textId="77777777" w:rsidR="00E30660" w:rsidRPr="003D1614" w:rsidRDefault="00E30660" w:rsidP="00061A35">
            <w:pPr>
              <w:suppressAutoHyphens/>
              <w:autoSpaceDN w:val="0"/>
              <w:jc w:val="right"/>
              <w:rPr>
                <w:rFonts w:ascii="Arial" w:eastAsia="Calibri" w:hAnsi="Arial" w:cs="Arial"/>
                <w:b/>
                <w:bCs/>
                <w:color w:val="000000" w:themeColor="text1"/>
                <w:sz w:val="14"/>
                <w:szCs w:val="14"/>
              </w:rPr>
            </w:pPr>
            <w:r>
              <w:rPr>
                <w:rFonts w:ascii="Arial" w:eastAsia="Calibri" w:hAnsi="Arial" w:cs="Arial"/>
                <w:b/>
                <w:bCs/>
                <w:sz w:val="14"/>
                <w:szCs w:val="14"/>
              </w:rPr>
              <w:t>-</w:t>
            </w:r>
          </w:p>
        </w:tc>
        <w:tc>
          <w:tcPr>
            <w:tcW w:w="331" w:type="pct"/>
            <w:tcBorders>
              <w:top w:val="single" w:sz="6" w:space="0" w:color="auto"/>
              <w:left w:val="nil"/>
              <w:bottom w:val="single" w:sz="12" w:space="0" w:color="auto"/>
              <w:right w:val="nil"/>
            </w:tcBorders>
            <w:shd w:val="clear" w:color="auto" w:fill="auto"/>
            <w:vAlign w:val="bottom"/>
          </w:tcPr>
          <w:p w14:paraId="0F4C9DF1" w14:textId="77777777" w:rsidR="00E30660" w:rsidRPr="003D1614" w:rsidRDefault="00E30660" w:rsidP="00061A35">
            <w:pPr>
              <w:suppressAutoHyphens/>
              <w:autoSpaceDN w:val="0"/>
              <w:jc w:val="right"/>
              <w:rPr>
                <w:rFonts w:ascii="Arial" w:eastAsia="Calibri" w:hAnsi="Arial" w:cs="Arial"/>
                <w:b/>
                <w:bCs/>
                <w:color w:val="000000" w:themeColor="text1"/>
                <w:sz w:val="14"/>
                <w:szCs w:val="14"/>
              </w:rPr>
            </w:pPr>
            <w:r>
              <w:rPr>
                <w:rFonts w:ascii="Arial" w:eastAsia="Calibri" w:hAnsi="Arial" w:cs="Arial"/>
                <w:b/>
                <w:bCs/>
                <w:sz w:val="14"/>
                <w:szCs w:val="14"/>
              </w:rPr>
              <w:t>508.355</w:t>
            </w:r>
          </w:p>
        </w:tc>
        <w:tc>
          <w:tcPr>
            <w:tcW w:w="329" w:type="pct"/>
            <w:tcBorders>
              <w:top w:val="single" w:sz="6" w:space="0" w:color="auto"/>
              <w:left w:val="nil"/>
              <w:bottom w:val="single" w:sz="12" w:space="0" w:color="auto"/>
              <w:right w:val="nil"/>
            </w:tcBorders>
            <w:vAlign w:val="bottom"/>
          </w:tcPr>
          <w:p w14:paraId="0953E86B" w14:textId="77777777" w:rsidR="00E30660" w:rsidRPr="003D1614" w:rsidRDefault="00E30660" w:rsidP="00061A35">
            <w:pPr>
              <w:suppressAutoHyphens/>
              <w:autoSpaceDN w:val="0"/>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182.289</w:t>
            </w:r>
          </w:p>
        </w:tc>
        <w:tc>
          <w:tcPr>
            <w:tcW w:w="329" w:type="pct"/>
            <w:tcBorders>
              <w:top w:val="single" w:sz="6" w:space="0" w:color="auto"/>
              <w:left w:val="nil"/>
              <w:bottom w:val="single" w:sz="12" w:space="0" w:color="auto"/>
              <w:right w:val="nil"/>
            </w:tcBorders>
            <w:vAlign w:val="bottom"/>
          </w:tcPr>
          <w:p w14:paraId="7307F762" w14:textId="77777777" w:rsidR="00E30660" w:rsidRPr="003D1614" w:rsidRDefault="00E30660" w:rsidP="00061A35">
            <w:pPr>
              <w:suppressAutoHyphens/>
              <w:autoSpaceDN w:val="0"/>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10.664</w:t>
            </w:r>
          </w:p>
        </w:tc>
        <w:tc>
          <w:tcPr>
            <w:tcW w:w="329" w:type="pct"/>
            <w:tcBorders>
              <w:top w:val="single" w:sz="6" w:space="0" w:color="auto"/>
              <w:left w:val="nil"/>
              <w:bottom w:val="single" w:sz="12" w:space="0" w:color="auto"/>
              <w:right w:val="nil"/>
            </w:tcBorders>
            <w:vAlign w:val="bottom"/>
          </w:tcPr>
          <w:p w14:paraId="13AA5261" w14:textId="77777777" w:rsidR="00E30660" w:rsidRPr="003D1614" w:rsidRDefault="00E30660" w:rsidP="00061A35">
            <w:pPr>
              <w:suppressAutoHyphens/>
              <w:autoSpaceDN w:val="0"/>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1.958</w:t>
            </w:r>
          </w:p>
        </w:tc>
        <w:tc>
          <w:tcPr>
            <w:tcW w:w="329" w:type="pct"/>
            <w:tcBorders>
              <w:top w:val="single" w:sz="6" w:space="0" w:color="auto"/>
              <w:left w:val="nil"/>
              <w:bottom w:val="single" w:sz="12" w:space="0" w:color="auto"/>
              <w:right w:val="nil"/>
            </w:tcBorders>
            <w:vAlign w:val="bottom"/>
          </w:tcPr>
          <w:p w14:paraId="08271CBF" w14:textId="77777777" w:rsidR="00E30660" w:rsidRPr="003D1614" w:rsidRDefault="00E30660" w:rsidP="00061A35">
            <w:pPr>
              <w:suppressAutoHyphens/>
              <w:autoSpaceDN w:val="0"/>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w:t>
            </w:r>
          </w:p>
        </w:tc>
        <w:tc>
          <w:tcPr>
            <w:tcW w:w="320" w:type="pct"/>
            <w:tcBorders>
              <w:top w:val="nil"/>
              <w:left w:val="nil"/>
              <w:bottom w:val="single" w:sz="12" w:space="0" w:color="auto"/>
              <w:right w:val="nil"/>
            </w:tcBorders>
            <w:shd w:val="clear" w:color="auto" w:fill="auto"/>
            <w:vAlign w:val="bottom"/>
          </w:tcPr>
          <w:p w14:paraId="5F868621" w14:textId="77777777" w:rsidR="00E30660" w:rsidRPr="002A06D3" w:rsidRDefault="00E30660" w:rsidP="00061A35">
            <w:pPr>
              <w:suppressAutoHyphens/>
              <w:autoSpaceDN w:val="0"/>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w:t>
            </w:r>
          </w:p>
        </w:tc>
        <w:tc>
          <w:tcPr>
            <w:tcW w:w="363" w:type="pct"/>
            <w:tcBorders>
              <w:top w:val="single" w:sz="6" w:space="0" w:color="auto"/>
              <w:left w:val="nil"/>
              <w:bottom w:val="single" w:sz="12" w:space="0" w:color="auto"/>
              <w:right w:val="nil"/>
            </w:tcBorders>
            <w:vAlign w:val="bottom"/>
          </w:tcPr>
          <w:p w14:paraId="46D4896A" w14:textId="77777777" w:rsidR="00E30660" w:rsidRPr="003D1614" w:rsidRDefault="00E30660" w:rsidP="00061A35">
            <w:pPr>
              <w:suppressAutoHyphens/>
              <w:autoSpaceDN w:val="0"/>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w:t>
            </w:r>
          </w:p>
        </w:tc>
        <w:tc>
          <w:tcPr>
            <w:tcW w:w="360" w:type="pct"/>
            <w:tcBorders>
              <w:top w:val="single" w:sz="6" w:space="0" w:color="auto"/>
              <w:left w:val="nil"/>
              <w:bottom w:val="single" w:sz="12" w:space="0" w:color="auto"/>
              <w:right w:val="nil"/>
            </w:tcBorders>
            <w:vAlign w:val="bottom"/>
          </w:tcPr>
          <w:p w14:paraId="62A870C9" w14:textId="77777777" w:rsidR="00E30660" w:rsidRPr="003D1614" w:rsidRDefault="00E30660" w:rsidP="00061A35">
            <w:pPr>
              <w:suppressAutoHyphens/>
              <w:autoSpaceDN w:val="0"/>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194.911</w:t>
            </w:r>
          </w:p>
        </w:tc>
      </w:tr>
      <w:tr w:rsidR="00E30660" w:rsidRPr="003D1614" w14:paraId="719953E7" w14:textId="77777777" w:rsidTr="00061A35">
        <w:trPr>
          <w:trHeight w:val="55"/>
          <w:jc w:val="center"/>
        </w:trPr>
        <w:tc>
          <w:tcPr>
            <w:tcW w:w="500" w:type="pct"/>
            <w:vAlign w:val="bottom"/>
          </w:tcPr>
          <w:p w14:paraId="3F3E66EB" w14:textId="77777777" w:rsidR="00E30660" w:rsidRPr="003D1614" w:rsidRDefault="00E30660" w:rsidP="00061A35">
            <w:pPr>
              <w:tabs>
                <w:tab w:val="right" w:pos="1202"/>
              </w:tabs>
              <w:suppressAutoHyphens/>
              <w:autoSpaceDN w:val="0"/>
              <w:outlineLvl w:val="0"/>
              <w:rPr>
                <w:rFonts w:ascii="Arial" w:eastAsia="Calibri" w:hAnsi="Arial" w:cs="Arial"/>
                <w:b/>
                <w:bCs/>
                <w:color w:val="000000" w:themeColor="text1"/>
                <w:sz w:val="14"/>
                <w:szCs w:val="14"/>
              </w:rPr>
            </w:pPr>
            <w:bookmarkStart w:id="736" w:name="_Toc67329847"/>
            <w:r w:rsidRPr="003D1614">
              <w:rPr>
                <w:rFonts w:ascii="Arial" w:eastAsia="Calibri" w:hAnsi="Arial" w:cs="Arial"/>
                <w:b/>
                <w:bCs/>
                <w:color w:val="000000" w:themeColor="text1"/>
                <w:sz w:val="14"/>
                <w:szCs w:val="14"/>
              </w:rPr>
              <w:t>Ukupna izloženost kreditnom riziku</w:t>
            </w:r>
            <w:bookmarkEnd w:id="736"/>
          </w:p>
        </w:tc>
        <w:tc>
          <w:tcPr>
            <w:tcW w:w="307" w:type="pct"/>
            <w:tcBorders>
              <w:top w:val="nil"/>
              <w:left w:val="nil"/>
              <w:bottom w:val="single" w:sz="12" w:space="0" w:color="auto"/>
              <w:right w:val="nil"/>
            </w:tcBorders>
            <w:shd w:val="clear" w:color="auto" w:fill="auto"/>
            <w:vAlign w:val="bottom"/>
          </w:tcPr>
          <w:p w14:paraId="57FF0D87" w14:textId="77777777" w:rsidR="00E30660" w:rsidRPr="003D1614" w:rsidRDefault="00E30660" w:rsidP="00061A35">
            <w:pPr>
              <w:suppressAutoHyphens/>
              <w:autoSpaceDN w:val="0"/>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3.808.288</w:t>
            </w:r>
          </w:p>
        </w:tc>
        <w:tc>
          <w:tcPr>
            <w:tcW w:w="298" w:type="pct"/>
            <w:tcBorders>
              <w:top w:val="nil"/>
              <w:left w:val="nil"/>
              <w:bottom w:val="single" w:sz="12" w:space="0" w:color="auto"/>
              <w:right w:val="nil"/>
            </w:tcBorders>
            <w:shd w:val="clear" w:color="auto" w:fill="auto"/>
            <w:vAlign w:val="bottom"/>
          </w:tcPr>
          <w:p w14:paraId="6EB6CACF" w14:textId="77777777" w:rsidR="00E30660" w:rsidRPr="003D1614" w:rsidRDefault="00E30660" w:rsidP="00061A35">
            <w:pPr>
              <w:suppressAutoHyphens/>
              <w:autoSpaceDN w:val="0"/>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280.336</w:t>
            </w:r>
          </w:p>
        </w:tc>
        <w:tc>
          <w:tcPr>
            <w:tcW w:w="295" w:type="pct"/>
            <w:tcBorders>
              <w:top w:val="nil"/>
              <w:left w:val="nil"/>
              <w:bottom w:val="single" w:sz="12" w:space="0" w:color="auto"/>
              <w:right w:val="nil"/>
            </w:tcBorders>
            <w:shd w:val="clear" w:color="auto" w:fill="auto"/>
            <w:vAlign w:val="bottom"/>
          </w:tcPr>
          <w:p w14:paraId="758F4E13" w14:textId="77777777" w:rsidR="00E30660" w:rsidRPr="003D1614" w:rsidRDefault="00E30660" w:rsidP="00061A35">
            <w:pPr>
              <w:suppressAutoHyphens/>
              <w:autoSpaceDN w:val="0"/>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157.717</w:t>
            </w:r>
          </w:p>
        </w:tc>
        <w:tc>
          <w:tcPr>
            <w:tcW w:w="285" w:type="pct"/>
            <w:tcBorders>
              <w:top w:val="nil"/>
              <w:left w:val="nil"/>
              <w:bottom w:val="single" w:sz="12" w:space="0" w:color="auto"/>
              <w:right w:val="nil"/>
            </w:tcBorders>
            <w:shd w:val="clear" w:color="auto" w:fill="auto"/>
            <w:vAlign w:val="bottom"/>
          </w:tcPr>
          <w:p w14:paraId="15B317E1" w14:textId="77777777" w:rsidR="00E30660" w:rsidRPr="003D1614" w:rsidRDefault="00E30660" w:rsidP="00061A35">
            <w:pPr>
              <w:suppressAutoHyphens/>
              <w:autoSpaceDN w:val="0"/>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42.688</w:t>
            </w:r>
          </w:p>
        </w:tc>
        <w:tc>
          <w:tcPr>
            <w:tcW w:w="312" w:type="pct"/>
            <w:tcBorders>
              <w:top w:val="nil"/>
              <w:left w:val="nil"/>
              <w:bottom w:val="single" w:sz="12" w:space="0" w:color="auto"/>
              <w:right w:val="nil"/>
            </w:tcBorders>
            <w:vAlign w:val="bottom"/>
          </w:tcPr>
          <w:p w14:paraId="12A7D8A6" w14:textId="77777777" w:rsidR="00E30660" w:rsidRPr="002A06D3" w:rsidRDefault="00E30660" w:rsidP="00061A35">
            <w:pPr>
              <w:suppressAutoHyphens/>
              <w:autoSpaceDN w:val="0"/>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153.214</w:t>
            </w:r>
          </w:p>
        </w:tc>
        <w:tc>
          <w:tcPr>
            <w:tcW w:w="312" w:type="pct"/>
            <w:tcBorders>
              <w:top w:val="nil"/>
              <w:left w:val="nil"/>
              <w:bottom w:val="single" w:sz="12" w:space="0" w:color="auto"/>
              <w:right w:val="nil"/>
            </w:tcBorders>
            <w:shd w:val="clear" w:color="auto" w:fill="auto"/>
            <w:vAlign w:val="bottom"/>
          </w:tcPr>
          <w:p w14:paraId="4C2F1DD6" w14:textId="77777777" w:rsidR="00E30660" w:rsidRPr="003D1614" w:rsidRDefault="00E30660" w:rsidP="00061A35">
            <w:pPr>
              <w:suppressAutoHyphens/>
              <w:autoSpaceDN w:val="0"/>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32.946</w:t>
            </w:r>
          </w:p>
        </w:tc>
        <w:tc>
          <w:tcPr>
            <w:tcW w:w="331" w:type="pct"/>
            <w:tcBorders>
              <w:top w:val="nil"/>
              <w:left w:val="nil"/>
              <w:bottom w:val="single" w:sz="12" w:space="0" w:color="auto"/>
              <w:right w:val="nil"/>
            </w:tcBorders>
            <w:shd w:val="clear" w:color="auto" w:fill="auto"/>
            <w:vAlign w:val="bottom"/>
          </w:tcPr>
          <w:p w14:paraId="46988A29" w14:textId="77777777" w:rsidR="00E30660" w:rsidRPr="003D1614" w:rsidRDefault="00E30660" w:rsidP="00061A35">
            <w:pPr>
              <w:suppressAutoHyphens/>
              <w:autoSpaceDN w:val="0"/>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4.475.189</w:t>
            </w:r>
          </w:p>
        </w:tc>
        <w:tc>
          <w:tcPr>
            <w:tcW w:w="329" w:type="pct"/>
            <w:tcBorders>
              <w:top w:val="nil"/>
              <w:left w:val="nil"/>
              <w:bottom w:val="single" w:sz="12" w:space="0" w:color="auto"/>
              <w:right w:val="nil"/>
            </w:tcBorders>
            <w:vAlign w:val="bottom"/>
          </w:tcPr>
          <w:p w14:paraId="64F9248E" w14:textId="77777777" w:rsidR="00E30660" w:rsidRPr="003D1614" w:rsidRDefault="00E30660" w:rsidP="00061A35">
            <w:pPr>
              <w:suppressAutoHyphens/>
              <w:autoSpaceDN w:val="0"/>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819.521</w:t>
            </w:r>
          </w:p>
        </w:tc>
        <w:tc>
          <w:tcPr>
            <w:tcW w:w="329" w:type="pct"/>
            <w:tcBorders>
              <w:top w:val="nil"/>
              <w:left w:val="nil"/>
              <w:bottom w:val="single" w:sz="12" w:space="0" w:color="auto"/>
              <w:right w:val="nil"/>
            </w:tcBorders>
            <w:vAlign w:val="bottom"/>
          </w:tcPr>
          <w:p w14:paraId="44FC3760" w14:textId="77777777" w:rsidR="00E30660" w:rsidRPr="003D1614" w:rsidRDefault="00E30660" w:rsidP="00061A35">
            <w:pPr>
              <w:suppressAutoHyphens/>
              <w:autoSpaceDN w:val="0"/>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57.908</w:t>
            </w:r>
          </w:p>
        </w:tc>
        <w:tc>
          <w:tcPr>
            <w:tcW w:w="329" w:type="pct"/>
            <w:tcBorders>
              <w:top w:val="nil"/>
              <w:left w:val="nil"/>
              <w:bottom w:val="single" w:sz="12" w:space="0" w:color="auto"/>
              <w:right w:val="nil"/>
            </w:tcBorders>
            <w:vAlign w:val="bottom"/>
          </w:tcPr>
          <w:p w14:paraId="1AE524E9" w14:textId="77777777" w:rsidR="00E30660" w:rsidRPr="003D1614" w:rsidRDefault="00E30660" w:rsidP="00061A35">
            <w:pPr>
              <w:suppressAutoHyphens/>
              <w:autoSpaceDN w:val="0"/>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10.607</w:t>
            </w:r>
          </w:p>
        </w:tc>
        <w:tc>
          <w:tcPr>
            <w:tcW w:w="329" w:type="pct"/>
            <w:tcBorders>
              <w:top w:val="nil"/>
              <w:left w:val="nil"/>
              <w:bottom w:val="single" w:sz="12" w:space="0" w:color="auto"/>
              <w:right w:val="nil"/>
            </w:tcBorders>
            <w:vAlign w:val="bottom"/>
          </w:tcPr>
          <w:p w14:paraId="63C5B99C" w14:textId="77777777" w:rsidR="00E30660" w:rsidRPr="003D1614" w:rsidRDefault="00E30660" w:rsidP="00061A35">
            <w:pPr>
              <w:suppressAutoHyphens/>
              <w:autoSpaceDN w:val="0"/>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43</w:t>
            </w:r>
          </w:p>
        </w:tc>
        <w:tc>
          <w:tcPr>
            <w:tcW w:w="320" w:type="pct"/>
            <w:tcBorders>
              <w:top w:val="nil"/>
              <w:left w:val="nil"/>
              <w:bottom w:val="single" w:sz="12" w:space="0" w:color="auto"/>
              <w:right w:val="nil"/>
            </w:tcBorders>
            <w:vAlign w:val="bottom"/>
          </w:tcPr>
          <w:p w14:paraId="336E9401" w14:textId="77777777" w:rsidR="00E30660" w:rsidRPr="002A06D3" w:rsidRDefault="00E30660" w:rsidP="00061A35">
            <w:pPr>
              <w:suppressAutoHyphens/>
              <w:autoSpaceDN w:val="0"/>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4.412</w:t>
            </w:r>
          </w:p>
        </w:tc>
        <w:tc>
          <w:tcPr>
            <w:tcW w:w="363" w:type="pct"/>
            <w:tcBorders>
              <w:top w:val="nil"/>
              <w:left w:val="nil"/>
              <w:bottom w:val="single" w:sz="12" w:space="0" w:color="auto"/>
              <w:right w:val="nil"/>
            </w:tcBorders>
            <w:vAlign w:val="bottom"/>
          </w:tcPr>
          <w:p w14:paraId="3430A748" w14:textId="77777777" w:rsidR="00E30660" w:rsidRPr="003D1614" w:rsidRDefault="00E30660" w:rsidP="00061A35">
            <w:pPr>
              <w:suppressAutoHyphens/>
              <w:autoSpaceDN w:val="0"/>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w:t>
            </w:r>
          </w:p>
        </w:tc>
        <w:tc>
          <w:tcPr>
            <w:tcW w:w="360" w:type="pct"/>
            <w:tcBorders>
              <w:top w:val="nil"/>
              <w:left w:val="nil"/>
              <w:bottom w:val="single" w:sz="12" w:space="0" w:color="auto"/>
              <w:right w:val="nil"/>
            </w:tcBorders>
            <w:vAlign w:val="bottom"/>
          </w:tcPr>
          <w:p w14:paraId="498E427B" w14:textId="77777777" w:rsidR="00E30660" w:rsidRPr="003D1614" w:rsidRDefault="00E30660" w:rsidP="00061A35">
            <w:pPr>
              <w:suppressAutoHyphens/>
              <w:autoSpaceDN w:val="0"/>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892.491</w:t>
            </w:r>
          </w:p>
        </w:tc>
      </w:tr>
      <w:bookmarkEnd w:id="721"/>
    </w:tbl>
    <w:p w14:paraId="04FE65E8" w14:textId="77777777" w:rsidR="003278AB" w:rsidRPr="003D1614" w:rsidRDefault="003278AB" w:rsidP="003278AB">
      <w:pPr>
        <w:rPr>
          <w:rFonts w:ascii="Arial" w:eastAsia="Calibri" w:hAnsi="Arial" w:cs="Arial"/>
          <w:bCs/>
          <w:color w:val="000000" w:themeColor="text1"/>
          <w:sz w:val="20"/>
          <w:szCs w:val="20"/>
        </w:rPr>
      </w:pPr>
    </w:p>
    <w:p w14:paraId="2CFEC3D5" w14:textId="09CAA5D2" w:rsidR="003278AB" w:rsidRPr="003D1614" w:rsidRDefault="003278AB" w:rsidP="003278AB">
      <w:pPr>
        <w:rPr>
          <w:rFonts w:ascii="Arial" w:eastAsia="Calibri" w:hAnsi="Arial" w:cs="Arial"/>
          <w:sz w:val="20"/>
          <w:szCs w:val="20"/>
        </w:rPr>
        <w:sectPr w:rsidR="003278AB" w:rsidRPr="003D1614" w:rsidSect="003278AB">
          <w:pgSz w:w="16838" w:h="11906" w:orient="landscape"/>
          <w:pgMar w:top="1417" w:right="1417" w:bottom="1417" w:left="1417" w:header="708" w:footer="708" w:gutter="0"/>
          <w:cols w:space="708"/>
          <w:docGrid w:linePitch="360"/>
        </w:sectPr>
      </w:pPr>
    </w:p>
    <w:p w14:paraId="38EF0BB7" w14:textId="77777777" w:rsidR="001406AE" w:rsidRPr="00B103C7" w:rsidRDefault="001406AE" w:rsidP="001406AE">
      <w:pPr>
        <w:keepNext/>
        <w:suppressAutoHyphens/>
        <w:autoSpaceDN w:val="0"/>
        <w:jc w:val="both"/>
        <w:outlineLvl w:val="0"/>
        <w:rPr>
          <w:rFonts w:ascii="Arial" w:eastAsia="Times New Roman" w:hAnsi="Arial" w:cs="Arial"/>
          <w:b/>
          <w:bCs/>
          <w:color w:val="000000" w:themeColor="text1"/>
          <w:sz w:val="16"/>
          <w:szCs w:val="16"/>
        </w:rPr>
      </w:pPr>
    </w:p>
    <w:p w14:paraId="538E4393" w14:textId="698F48F7" w:rsidR="003278AB" w:rsidRPr="003D1614" w:rsidRDefault="003278AB" w:rsidP="00B103C7">
      <w:pPr>
        <w:keepNext/>
        <w:suppressAutoHyphens/>
        <w:autoSpaceDN w:val="0"/>
        <w:spacing w:before="60"/>
        <w:jc w:val="both"/>
        <w:outlineLvl w:val="0"/>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2</w:t>
      </w:r>
      <w:r w:rsidR="000E693B">
        <w:rPr>
          <w:rFonts w:ascii="Arial" w:eastAsia="Times New Roman" w:hAnsi="Arial" w:cs="Arial"/>
          <w:b/>
          <w:bCs/>
          <w:color w:val="000000" w:themeColor="text1"/>
          <w:sz w:val="18"/>
          <w:szCs w:val="18"/>
        </w:rPr>
        <w:t>3</w:t>
      </w:r>
      <w:r w:rsidRPr="003D1614">
        <w:rPr>
          <w:rFonts w:ascii="Arial" w:eastAsia="Times New Roman" w:hAnsi="Arial" w:cs="Arial"/>
          <w:b/>
          <w:bCs/>
          <w:color w:val="000000" w:themeColor="text1"/>
          <w:sz w:val="18"/>
          <w:szCs w:val="18"/>
        </w:rPr>
        <w:t>.</w:t>
      </w:r>
      <w:r w:rsidRPr="003D1614">
        <w:rPr>
          <w:rFonts w:ascii="Arial" w:eastAsia="Times New Roman" w:hAnsi="Arial" w:cs="Arial"/>
          <w:b/>
          <w:bCs/>
          <w:color w:val="000000" w:themeColor="text1"/>
          <w:sz w:val="18"/>
          <w:szCs w:val="18"/>
        </w:rPr>
        <w:tab/>
        <w:t>Upravljanje rizicima (nastavak)</w:t>
      </w:r>
    </w:p>
    <w:p w14:paraId="13C337F2" w14:textId="67DB00BE" w:rsidR="003278AB" w:rsidRPr="003D1614" w:rsidRDefault="003278AB" w:rsidP="00B103C7">
      <w:pPr>
        <w:keepNext/>
        <w:suppressAutoHyphens/>
        <w:autoSpaceDN w:val="0"/>
        <w:spacing w:before="60"/>
        <w:jc w:val="both"/>
        <w:outlineLvl w:val="0"/>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2</w:t>
      </w:r>
      <w:r w:rsidR="000E693B">
        <w:rPr>
          <w:rFonts w:ascii="Arial" w:eastAsia="Times New Roman" w:hAnsi="Arial" w:cs="Arial"/>
          <w:b/>
          <w:bCs/>
          <w:color w:val="000000" w:themeColor="text1"/>
          <w:sz w:val="18"/>
          <w:szCs w:val="18"/>
        </w:rPr>
        <w:t>3</w:t>
      </w:r>
      <w:r w:rsidRPr="003D1614">
        <w:rPr>
          <w:rFonts w:ascii="Arial" w:eastAsia="Times New Roman" w:hAnsi="Arial" w:cs="Arial"/>
          <w:b/>
          <w:bCs/>
          <w:color w:val="000000" w:themeColor="text1"/>
          <w:sz w:val="18"/>
          <w:szCs w:val="18"/>
        </w:rPr>
        <w:t xml:space="preserve">.3. </w:t>
      </w:r>
      <w:r w:rsidRPr="003D1614">
        <w:rPr>
          <w:rFonts w:ascii="Arial" w:eastAsia="Times New Roman" w:hAnsi="Arial" w:cs="Arial"/>
          <w:b/>
          <w:bCs/>
          <w:color w:val="000000" w:themeColor="text1"/>
          <w:sz w:val="18"/>
          <w:szCs w:val="18"/>
        </w:rPr>
        <w:tab/>
        <w:t>Kreditni rizik (nastavak)</w:t>
      </w:r>
    </w:p>
    <w:p w14:paraId="4345F4B6" w14:textId="77777777" w:rsidR="003278AB" w:rsidRPr="003D1614" w:rsidRDefault="003278AB" w:rsidP="00B103C7">
      <w:pPr>
        <w:keepNext/>
        <w:suppressAutoHyphens/>
        <w:autoSpaceDN w:val="0"/>
        <w:spacing w:before="60"/>
        <w:jc w:val="both"/>
        <w:outlineLvl w:val="0"/>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 xml:space="preserve">Kvaliteta kreditnog rizika prema vrsti financijske imovine </w:t>
      </w:r>
    </w:p>
    <w:p w14:paraId="6DC9D3FD" w14:textId="77777777" w:rsidR="003278AB" w:rsidRPr="003D1614" w:rsidRDefault="003278AB" w:rsidP="00B103C7">
      <w:pPr>
        <w:suppressAutoHyphens/>
        <w:autoSpaceDN w:val="0"/>
        <w:spacing w:before="60"/>
        <w:jc w:val="both"/>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Analiza kreditnog rizika, neto izloženost, prije i nakon uzimanja u obzir primljenih instrumenata osiguranja, prema vrsti financijske imovine na pozicijama imovine i garancija i preuzetih obveza prema rizičnim skupinama:</w:t>
      </w:r>
    </w:p>
    <w:tbl>
      <w:tblPr>
        <w:tblW w:w="5542" w:type="pct"/>
        <w:jc w:val="center"/>
        <w:tblLayout w:type="fixed"/>
        <w:tblLook w:val="0000" w:firstRow="0" w:lastRow="0" w:firstColumn="0" w:lastColumn="0" w:noHBand="0" w:noVBand="0"/>
      </w:tblPr>
      <w:tblGrid>
        <w:gridCol w:w="1668"/>
        <w:gridCol w:w="932"/>
        <w:gridCol w:w="926"/>
        <w:gridCol w:w="917"/>
        <w:gridCol w:w="892"/>
        <w:gridCol w:w="903"/>
        <w:gridCol w:w="987"/>
        <w:gridCol w:w="1034"/>
        <w:gridCol w:w="1018"/>
        <w:gridCol w:w="1021"/>
        <w:gridCol w:w="1021"/>
        <w:gridCol w:w="1021"/>
        <w:gridCol w:w="1024"/>
        <w:gridCol w:w="1152"/>
        <w:gridCol w:w="1006"/>
      </w:tblGrid>
      <w:tr w:rsidR="001406AE" w:rsidRPr="00F12E3D" w14:paraId="469CED04" w14:textId="77777777" w:rsidTr="0034622E">
        <w:trPr>
          <w:trHeight w:val="1607"/>
          <w:jc w:val="center"/>
        </w:trPr>
        <w:tc>
          <w:tcPr>
            <w:tcW w:w="537" w:type="pct"/>
          </w:tcPr>
          <w:p w14:paraId="7A15DE5C" w14:textId="77777777" w:rsidR="001406AE" w:rsidRPr="00F12E3D" w:rsidRDefault="001406AE" w:rsidP="0034622E">
            <w:pPr>
              <w:rPr>
                <w:rFonts w:ascii="Arial" w:eastAsia="Calibri" w:hAnsi="Arial" w:cs="Arial"/>
                <w:b/>
                <w:bCs/>
                <w:color w:val="000000" w:themeColor="text1"/>
                <w:sz w:val="14"/>
                <w:szCs w:val="14"/>
              </w:rPr>
            </w:pPr>
            <w:r w:rsidRPr="00F12E3D">
              <w:rPr>
                <w:rFonts w:ascii="Arial" w:eastAsia="Calibri" w:hAnsi="Arial" w:cs="Arial"/>
                <w:b/>
                <w:bCs/>
                <w:color w:val="000000" w:themeColor="text1"/>
                <w:sz w:val="14"/>
                <w:szCs w:val="14"/>
              </w:rPr>
              <w:br w:type="page"/>
              <w:t>Grupa</w:t>
            </w:r>
          </w:p>
          <w:p w14:paraId="34005D91" w14:textId="77777777" w:rsidR="001406AE" w:rsidRPr="00F12E3D" w:rsidRDefault="001406AE" w:rsidP="0034622E">
            <w:pPr>
              <w:rPr>
                <w:rFonts w:ascii="Arial" w:eastAsia="Calibri" w:hAnsi="Arial" w:cs="Arial"/>
                <w:b/>
                <w:bCs/>
                <w:color w:val="000000" w:themeColor="text1"/>
                <w:sz w:val="14"/>
                <w:szCs w:val="14"/>
              </w:rPr>
            </w:pPr>
          </w:p>
          <w:p w14:paraId="0D125E1E" w14:textId="77777777" w:rsidR="001406AE" w:rsidRPr="00F12E3D" w:rsidRDefault="001406AE" w:rsidP="0034622E">
            <w:pPr>
              <w:rPr>
                <w:rFonts w:ascii="Arial" w:eastAsia="Calibri" w:hAnsi="Arial" w:cs="Arial"/>
                <w:color w:val="000000" w:themeColor="text1"/>
                <w:sz w:val="14"/>
                <w:szCs w:val="14"/>
              </w:rPr>
            </w:pPr>
            <w:r w:rsidRPr="00F12E3D">
              <w:rPr>
                <w:rFonts w:ascii="Arial" w:eastAsia="Calibri" w:hAnsi="Arial" w:cs="Arial"/>
                <w:b/>
                <w:bCs/>
                <w:color w:val="000000" w:themeColor="text1"/>
                <w:sz w:val="14"/>
                <w:szCs w:val="14"/>
              </w:rPr>
              <w:t xml:space="preserve">31. prosinca 2023. </w:t>
            </w:r>
          </w:p>
        </w:tc>
        <w:tc>
          <w:tcPr>
            <w:tcW w:w="300" w:type="pct"/>
            <w:vAlign w:val="bottom"/>
          </w:tcPr>
          <w:p w14:paraId="14B16198" w14:textId="77777777" w:rsidR="001406AE" w:rsidRPr="004D48F3" w:rsidRDefault="001406AE" w:rsidP="0034622E">
            <w:pPr>
              <w:jc w:val="right"/>
              <w:rPr>
                <w:rFonts w:ascii="Arial" w:eastAsia="Calibri" w:hAnsi="Arial" w:cs="Arial"/>
                <w:b/>
                <w:color w:val="000000" w:themeColor="text1"/>
                <w:sz w:val="14"/>
                <w:szCs w:val="14"/>
              </w:rPr>
            </w:pPr>
            <w:r w:rsidRPr="004D48F3">
              <w:rPr>
                <w:rFonts w:ascii="Arial" w:eastAsia="Calibri" w:hAnsi="Arial" w:cs="Arial"/>
                <w:b/>
                <w:color w:val="000000" w:themeColor="text1"/>
                <w:sz w:val="14"/>
                <w:szCs w:val="14"/>
              </w:rPr>
              <w:t xml:space="preserve">Neto  izloženost portfelja - </w:t>
            </w:r>
            <w:r>
              <w:rPr>
                <w:rFonts w:ascii="Arial" w:eastAsia="Calibri" w:hAnsi="Arial" w:cs="Arial"/>
                <w:b/>
                <w:color w:val="000000" w:themeColor="text1"/>
                <w:sz w:val="14"/>
                <w:szCs w:val="14"/>
              </w:rPr>
              <w:t>S</w:t>
            </w:r>
            <w:r w:rsidRPr="004D48F3">
              <w:rPr>
                <w:rFonts w:ascii="Arial" w:eastAsia="Calibri" w:hAnsi="Arial" w:cs="Arial"/>
                <w:b/>
                <w:color w:val="000000" w:themeColor="text1"/>
                <w:sz w:val="14"/>
                <w:szCs w:val="14"/>
              </w:rPr>
              <w:t>tupanj 1</w:t>
            </w:r>
          </w:p>
        </w:tc>
        <w:tc>
          <w:tcPr>
            <w:tcW w:w="298" w:type="pct"/>
            <w:vAlign w:val="bottom"/>
          </w:tcPr>
          <w:p w14:paraId="73F9BCA3" w14:textId="77777777" w:rsidR="001406AE" w:rsidRPr="004D48F3" w:rsidRDefault="001406AE" w:rsidP="0034622E">
            <w:pPr>
              <w:jc w:val="right"/>
              <w:rPr>
                <w:rFonts w:ascii="Arial" w:eastAsia="Calibri" w:hAnsi="Arial" w:cs="Arial"/>
                <w:b/>
                <w:color w:val="000000" w:themeColor="text1"/>
                <w:sz w:val="14"/>
                <w:szCs w:val="14"/>
              </w:rPr>
            </w:pPr>
            <w:r w:rsidRPr="004D48F3">
              <w:rPr>
                <w:rFonts w:ascii="Arial" w:eastAsia="Calibri" w:hAnsi="Arial" w:cs="Arial"/>
                <w:b/>
                <w:color w:val="000000" w:themeColor="text1"/>
                <w:sz w:val="14"/>
                <w:szCs w:val="14"/>
              </w:rPr>
              <w:t xml:space="preserve">Neto izloženost portfelja - </w:t>
            </w:r>
            <w:r>
              <w:rPr>
                <w:rFonts w:ascii="Arial" w:eastAsia="Calibri" w:hAnsi="Arial" w:cs="Arial"/>
                <w:b/>
                <w:color w:val="000000" w:themeColor="text1"/>
                <w:sz w:val="14"/>
                <w:szCs w:val="14"/>
              </w:rPr>
              <w:t>S</w:t>
            </w:r>
            <w:r w:rsidRPr="004D48F3">
              <w:rPr>
                <w:rFonts w:ascii="Arial" w:eastAsia="Calibri" w:hAnsi="Arial" w:cs="Arial"/>
                <w:b/>
                <w:color w:val="000000" w:themeColor="text1"/>
                <w:sz w:val="14"/>
                <w:szCs w:val="14"/>
              </w:rPr>
              <w:t>tupanj 2</w:t>
            </w:r>
          </w:p>
        </w:tc>
        <w:tc>
          <w:tcPr>
            <w:tcW w:w="295" w:type="pct"/>
            <w:vAlign w:val="bottom"/>
          </w:tcPr>
          <w:p w14:paraId="4EC6B0CD" w14:textId="77777777" w:rsidR="001406AE" w:rsidRPr="004D48F3" w:rsidRDefault="001406AE" w:rsidP="0034622E">
            <w:pPr>
              <w:jc w:val="right"/>
              <w:rPr>
                <w:rFonts w:ascii="Arial" w:eastAsia="Calibri" w:hAnsi="Arial" w:cs="Arial"/>
                <w:b/>
                <w:color w:val="000000" w:themeColor="text1"/>
                <w:sz w:val="14"/>
                <w:szCs w:val="14"/>
              </w:rPr>
            </w:pPr>
            <w:r w:rsidRPr="004D48F3">
              <w:rPr>
                <w:rFonts w:ascii="Arial" w:eastAsia="Calibri" w:hAnsi="Arial" w:cs="Arial"/>
                <w:b/>
                <w:color w:val="000000" w:themeColor="text1"/>
                <w:sz w:val="14"/>
                <w:szCs w:val="14"/>
              </w:rPr>
              <w:t xml:space="preserve">Neto izloženost portfelja - </w:t>
            </w:r>
            <w:r>
              <w:rPr>
                <w:rFonts w:ascii="Arial" w:eastAsia="Calibri" w:hAnsi="Arial" w:cs="Arial"/>
                <w:b/>
                <w:color w:val="000000" w:themeColor="text1"/>
                <w:sz w:val="14"/>
                <w:szCs w:val="14"/>
              </w:rPr>
              <w:t>S</w:t>
            </w:r>
            <w:r w:rsidRPr="004D48F3">
              <w:rPr>
                <w:rFonts w:ascii="Arial" w:eastAsia="Calibri" w:hAnsi="Arial" w:cs="Arial"/>
                <w:b/>
                <w:color w:val="000000" w:themeColor="text1"/>
                <w:sz w:val="14"/>
                <w:szCs w:val="14"/>
              </w:rPr>
              <w:t>tupanj 3</w:t>
            </w:r>
          </w:p>
        </w:tc>
        <w:tc>
          <w:tcPr>
            <w:tcW w:w="578" w:type="pct"/>
            <w:gridSpan w:val="2"/>
            <w:vAlign w:val="bottom"/>
          </w:tcPr>
          <w:p w14:paraId="37797E6B" w14:textId="77777777" w:rsidR="001406AE" w:rsidRPr="004D48F3" w:rsidRDefault="001406AE" w:rsidP="0034622E">
            <w:pPr>
              <w:jc w:val="right"/>
              <w:rPr>
                <w:rFonts w:ascii="Arial" w:eastAsia="Calibri" w:hAnsi="Arial" w:cs="Arial"/>
                <w:b/>
                <w:color w:val="000000" w:themeColor="text1"/>
                <w:sz w:val="14"/>
                <w:szCs w:val="14"/>
              </w:rPr>
            </w:pPr>
            <w:r w:rsidRPr="004D48F3">
              <w:rPr>
                <w:rFonts w:ascii="Arial" w:eastAsia="Calibri" w:hAnsi="Arial" w:cs="Arial"/>
                <w:b/>
                <w:color w:val="000000" w:themeColor="text1"/>
                <w:sz w:val="14"/>
                <w:szCs w:val="14"/>
              </w:rPr>
              <w:t>Neto izloženost portfelja rizične skupine POCI</w:t>
            </w:r>
          </w:p>
        </w:tc>
        <w:tc>
          <w:tcPr>
            <w:tcW w:w="318" w:type="pct"/>
            <w:vAlign w:val="bottom"/>
          </w:tcPr>
          <w:p w14:paraId="4AF38F75" w14:textId="77777777" w:rsidR="001406AE" w:rsidRPr="004D48F3" w:rsidRDefault="001406AE" w:rsidP="0034622E">
            <w:pPr>
              <w:jc w:val="right"/>
              <w:rPr>
                <w:rFonts w:ascii="Arial" w:eastAsia="Calibri" w:hAnsi="Arial" w:cs="Arial"/>
                <w:color w:val="000000" w:themeColor="text1"/>
                <w:sz w:val="14"/>
                <w:szCs w:val="14"/>
              </w:rPr>
            </w:pPr>
            <w:r w:rsidRPr="004D48F3">
              <w:rPr>
                <w:rFonts w:ascii="Arial" w:eastAsia="Calibri" w:hAnsi="Arial" w:cs="Arial"/>
                <w:b/>
                <w:color w:val="000000" w:themeColor="text1"/>
                <w:sz w:val="14"/>
                <w:szCs w:val="14"/>
              </w:rPr>
              <w:t>Financijska imovina koja se ne raspoređuje u rizične skupine po MSFI-ju 9</w:t>
            </w:r>
          </w:p>
        </w:tc>
        <w:tc>
          <w:tcPr>
            <w:tcW w:w="333" w:type="pct"/>
            <w:vAlign w:val="bottom"/>
          </w:tcPr>
          <w:p w14:paraId="7CD36B5E" w14:textId="77777777" w:rsidR="001406AE" w:rsidRPr="004D48F3" w:rsidRDefault="001406AE" w:rsidP="0034622E">
            <w:pPr>
              <w:jc w:val="right"/>
              <w:rPr>
                <w:rFonts w:ascii="Arial" w:eastAsia="Calibri" w:hAnsi="Arial" w:cs="Arial"/>
                <w:b/>
                <w:color w:val="000000" w:themeColor="text1"/>
                <w:sz w:val="14"/>
                <w:szCs w:val="14"/>
              </w:rPr>
            </w:pPr>
            <w:r w:rsidRPr="004D48F3">
              <w:rPr>
                <w:rFonts w:ascii="Arial" w:eastAsia="Calibri" w:hAnsi="Arial" w:cs="Arial"/>
                <w:b/>
                <w:color w:val="000000" w:themeColor="text1"/>
                <w:sz w:val="14"/>
                <w:szCs w:val="14"/>
              </w:rPr>
              <w:t>Neto izloženost ukupnog portfelja</w:t>
            </w:r>
          </w:p>
        </w:tc>
        <w:tc>
          <w:tcPr>
            <w:tcW w:w="328" w:type="pct"/>
            <w:vAlign w:val="bottom"/>
          </w:tcPr>
          <w:p w14:paraId="55CAFC9E" w14:textId="77777777" w:rsidR="001406AE" w:rsidRPr="004D48F3" w:rsidRDefault="001406AE" w:rsidP="0034622E">
            <w:pPr>
              <w:jc w:val="right"/>
              <w:rPr>
                <w:rFonts w:ascii="Arial" w:eastAsia="Calibri" w:hAnsi="Arial" w:cs="Arial"/>
                <w:b/>
                <w:color w:val="000000" w:themeColor="text1"/>
                <w:sz w:val="14"/>
                <w:szCs w:val="14"/>
              </w:rPr>
            </w:pPr>
            <w:r w:rsidRPr="004D48F3">
              <w:rPr>
                <w:rFonts w:ascii="Arial" w:eastAsia="Calibri" w:hAnsi="Arial" w:cs="Arial"/>
                <w:b/>
                <w:color w:val="000000" w:themeColor="text1"/>
                <w:sz w:val="14"/>
                <w:szCs w:val="14"/>
              </w:rPr>
              <w:t xml:space="preserve">Neto izloženost portfelja nakon umanjenja za instrumente osiguranja- </w:t>
            </w:r>
            <w:r>
              <w:rPr>
                <w:rFonts w:ascii="Arial" w:eastAsia="Calibri" w:hAnsi="Arial" w:cs="Arial"/>
                <w:b/>
                <w:color w:val="000000" w:themeColor="text1"/>
                <w:sz w:val="14"/>
                <w:szCs w:val="14"/>
              </w:rPr>
              <w:t>S</w:t>
            </w:r>
            <w:r w:rsidRPr="004D48F3">
              <w:rPr>
                <w:rFonts w:ascii="Arial" w:eastAsia="Calibri" w:hAnsi="Arial" w:cs="Arial"/>
                <w:b/>
                <w:color w:val="000000" w:themeColor="text1"/>
                <w:sz w:val="14"/>
                <w:szCs w:val="14"/>
              </w:rPr>
              <w:t>tupanj 1</w:t>
            </w:r>
          </w:p>
        </w:tc>
        <w:tc>
          <w:tcPr>
            <w:tcW w:w="329" w:type="pct"/>
            <w:vAlign w:val="bottom"/>
          </w:tcPr>
          <w:p w14:paraId="674A22D2" w14:textId="77777777" w:rsidR="001406AE" w:rsidRPr="004D48F3" w:rsidRDefault="001406AE" w:rsidP="0034622E">
            <w:pPr>
              <w:jc w:val="right"/>
              <w:rPr>
                <w:rFonts w:ascii="Arial" w:eastAsia="Calibri" w:hAnsi="Arial" w:cs="Arial"/>
                <w:b/>
                <w:color w:val="000000" w:themeColor="text1"/>
                <w:sz w:val="14"/>
                <w:szCs w:val="14"/>
              </w:rPr>
            </w:pPr>
            <w:r w:rsidRPr="004D48F3">
              <w:rPr>
                <w:rFonts w:ascii="Arial" w:eastAsia="Calibri" w:hAnsi="Arial" w:cs="Arial"/>
                <w:b/>
                <w:color w:val="000000" w:themeColor="text1"/>
                <w:sz w:val="14"/>
                <w:szCs w:val="14"/>
              </w:rPr>
              <w:t xml:space="preserve">Neto izloženost portfelja nakon umanjenja za instrumente osiguranja- </w:t>
            </w:r>
            <w:r>
              <w:rPr>
                <w:rFonts w:ascii="Arial" w:eastAsia="Calibri" w:hAnsi="Arial" w:cs="Arial"/>
                <w:b/>
                <w:color w:val="000000" w:themeColor="text1"/>
                <w:sz w:val="14"/>
                <w:szCs w:val="14"/>
              </w:rPr>
              <w:t>S</w:t>
            </w:r>
            <w:r w:rsidRPr="004D48F3">
              <w:rPr>
                <w:rFonts w:ascii="Arial" w:eastAsia="Calibri" w:hAnsi="Arial" w:cs="Arial"/>
                <w:b/>
                <w:color w:val="000000" w:themeColor="text1"/>
                <w:sz w:val="14"/>
                <w:szCs w:val="14"/>
              </w:rPr>
              <w:t>tupanj 2</w:t>
            </w:r>
          </w:p>
        </w:tc>
        <w:tc>
          <w:tcPr>
            <w:tcW w:w="329" w:type="pct"/>
            <w:vAlign w:val="bottom"/>
          </w:tcPr>
          <w:p w14:paraId="2226C1EF" w14:textId="77777777" w:rsidR="001406AE" w:rsidRPr="004D48F3" w:rsidRDefault="001406AE" w:rsidP="0034622E">
            <w:pPr>
              <w:jc w:val="right"/>
              <w:rPr>
                <w:rFonts w:ascii="Arial" w:eastAsia="Calibri" w:hAnsi="Arial" w:cs="Arial"/>
                <w:b/>
                <w:color w:val="000000" w:themeColor="text1"/>
                <w:sz w:val="14"/>
                <w:szCs w:val="14"/>
              </w:rPr>
            </w:pPr>
            <w:r w:rsidRPr="004D48F3">
              <w:rPr>
                <w:rFonts w:ascii="Arial" w:eastAsia="Calibri" w:hAnsi="Arial" w:cs="Arial"/>
                <w:b/>
                <w:color w:val="000000" w:themeColor="text1"/>
                <w:sz w:val="14"/>
                <w:szCs w:val="14"/>
              </w:rPr>
              <w:t xml:space="preserve">Neto izloženost portfelja nakon umanjenja za instrumente osiguranja- </w:t>
            </w:r>
            <w:r>
              <w:rPr>
                <w:rFonts w:ascii="Arial" w:eastAsia="Calibri" w:hAnsi="Arial" w:cs="Arial"/>
                <w:b/>
                <w:color w:val="000000" w:themeColor="text1"/>
                <w:sz w:val="14"/>
                <w:szCs w:val="14"/>
              </w:rPr>
              <w:t>S</w:t>
            </w:r>
            <w:r w:rsidRPr="004D48F3">
              <w:rPr>
                <w:rFonts w:ascii="Arial" w:eastAsia="Calibri" w:hAnsi="Arial" w:cs="Arial"/>
                <w:b/>
                <w:color w:val="000000" w:themeColor="text1"/>
                <w:sz w:val="14"/>
                <w:szCs w:val="14"/>
              </w:rPr>
              <w:t>tupanj 3</w:t>
            </w:r>
          </w:p>
        </w:tc>
        <w:tc>
          <w:tcPr>
            <w:tcW w:w="659" w:type="pct"/>
            <w:gridSpan w:val="2"/>
            <w:vAlign w:val="bottom"/>
          </w:tcPr>
          <w:p w14:paraId="43EABA07" w14:textId="77777777" w:rsidR="001406AE" w:rsidRPr="004D48F3" w:rsidRDefault="001406AE" w:rsidP="0034622E">
            <w:pPr>
              <w:jc w:val="right"/>
              <w:rPr>
                <w:rFonts w:ascii="Arial" w:eastAsia="Calibri" w:hAnsi="Arial" w:cs="Arial"/>
                <w:b/>
                <w:color w:val="000000" w:themeColor="text1"/>
                <w:sz w:val="14"/>
                <w:szCs w:val="14"/>
              </w:rPr>
            </w:pPr>
            <w:r w:rsidRPr="004D48F3">
              <w:rPr>
                <w:rFonts w:ascii="Arial" w:eastAsia="Calibri" w:hAnsi="Arial" w:cs="Arial"/>
                <w:b/>
                <w:color w:val="000000" w:themeColor="text1"/>
                <w:sz w:val="14"/>
                <w:szCs w:val="14"/>
              </w:rPr>
              <w:t>Neto izloženost portfelja nakon umanjenja za instrumente osiguranja- rizične skupine POCI</w:t>
            </w:r>
          </w:p>
        </w:tc>
        <w:tc>
          <w:tcPr>
            <w:tcW w:w="371" w:type="pct"/>
            <w:vAlign w:val="bottom"/>
          </w:tcPr>
          <w:p w14:paraId="1EEF6DF8" w14:textId="77777777" w:rsidR="001406AE" w:rsidRPr="004D48F3" w:rsidRDefault="001406AE" w:rsidP="0034622E">
            <w:pPr>
              <w:jc w:val="right"/>
              <w:rPr>
                <w:rFonts w:ascii="Arial" w:eastAsia="Calibri" w:hAnsi="Arial" w:cs="Arial"/>
                <w:b/>
                <w:color w:val="000000" w:themeColor="text1"/>
                <w:sz w:val="14"/>
                <w:szCs w:val="14"/>
              </w:rPr>
            </w:pPr>
            <w:r w:rsidRPr="004D48F3">
              <w:rPr>
                <w:rFonts w:ascii="Arial" w:eastAsia="Calibri" w:hAnsi="Arial" w:cs="Arial"/>
                <w:b/>
                <w:color w:val="000000" w:themeColor="text1"/>
                <w:sz w:val="14"/>
                <w:szCs w:val="14"/>
              </w:rPr>
              <w:t>Financijska imovina  koja se ne raspoređuje u rizične skupine po MSFI-ju 9 nakon umanjenja za instrumente osiguranja</w:t>
            </w:r>
          </w:p>
        </w:tc>
        <w:tc>
          <w:tcPr>
            <w:tcW w:w="324" w:type="pct"/>
            <w:vAlign w:val="bottom"/>
          </w:tcPr>
          <w:p w14:paraId="625A8B3F" w14:textId="77777777" w:rsidR="001406AE" w:rsidRPr="00F12E3D" w:rsidRDefault="001406AE" w:rsidP="0034622E">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Neto izloženost ukupnog portfelja nakon umanjenja za instrumente osiguranja</w:t>
            </w:r>
          </w:p>
        </w:tc>
      </w:tr>
      <w:tr w:rsidR="001406AE" w:rsidRPr="00F12E3D" w14:paraId="705F222C" w14:textId="77777777" w:rsidTr="0034622E">
        <w:trPr>
          <w:trHeight w:val="187"/>
          <w:jc w:val="center"/>
        </w:trPr>
        <w:tc>
          <w:tcPr>
            <w:tcW w:w="537" w:type="pct"/>
            <w:vAlign w:val="bottom"/>
          </w:tcPr>
          <w:p w14:paraId="0D3D9955" w14:textId="77777777" w:rsidR="001406AE" w:rsidRPr="00F12E3D" w:rsidRDefault="001406AE" w:rsidP="0034622E">
            <w:pPr>
              <w:rPr>
                <w:rFonts w:ascii="Arial" w:eastAsia="Calibri" w:hAnsi="Arial" w:cs="Arial"/>
                <w:b/>
                <w:bCs/>
                <w:color w:val="000000" w:themeColor="text1"/>
                <w:sz w:val="14"/>
                <w:szCs w:val="14"/>
              </w:rPr>
            </w:pPr>
          </w:p>
        </w:tc>
        <w:tc>
          <w:tcPr>
            <w:tcW w:w="300" w:type="pct"/>
            <w:vAlign w:val="bottom"/>
          </w:tcPr>
          <w:p w14:paraId="0F30146B" w14:textId="77777777" w:rsidR="001406AE" w:rsidRPr="004D48F3" w:rsidRDefault="001406AE" w:rsidP="0034622E">
            <w:pPr>
              <w:jc w:val="right"/>
              <w:rPr>
                <w:rFonts w:ascii="Arial" w:eastAsia="Calibri" w:hAnsi="Arial" w:cs="Arial"/>
                <w:b/>
                <w:color w:val="000000" w:themeColor="text1"/>
                <w:sz w:val="14"/>
                <w:szCs w:val="14"/>
              </w:rPr>
            </w:pPr>
          </w:p>
        </w:tc>
        <w:tc>
          <w:tcPr>
            <w:tcW w:w="298" w:type="pct"/>
            <w:vAlign w:val="bottom"/>
          </w:tcPr>
          <w:p w14:paraId="428C0BBC" w14:textId="77777777" w:rsidR="001406AE" w:rsidRPr="004D48F3" w:rsidRDefault="001406AE" w:rsidP="0034622E">
            <w:pPr>
              <w:jc w:val="right"/>
              <w:rPr>
                <w:rFonts w:ascii="Arial" w:eastAsia="Calibri" w:hAnsi="Arial" w:cs="Arial"/>
                <w:b/>
                <w:color w:val="000000" w:themeColor="text1"/>
                <w:sz w:val="14"/>
                <w:szCs w:val="14"/>
              </w:rPr>
            </w:pPr>
          </w:p>
        </w:tc>
        <w:tc>
          <w:tcPr>
            <w:tcW w:w="295" w:type="pct"/>
            <w:vAlign w:val="bottom"/>
          </w:tcPr>
          <w:p w14:paraId="11AB1459" w14:textId="77777777" w:rsidR="001406AE" w:rsidRPr="004D48F3" w:rsidRDefault="001406AE" w:rsidP="0034622E">
            <w:pPr>
              <w:jc w:val="right"/>
              <w:rPr>
                <w:rFonts w:ascii="Arial" w:eastAsia="Calibri" w:hAnsi="Arial" w:cs="Arial"/>
                <w:b/>
                <w:color w:val="000000" w:themeColor="text1"/>
                <w:sz w:val="14"/>
                <w:szCs w:val="14"/>
              </w:rPr>
            </w:pPr>
          </w:p>
        </w:tc>
        <w:tc>
          <w:tcPr>
            <w:tcW w:w="287" w:type="pct"/>
            <w:vAlign w:val="bottom"/>
          </w:tcPr>
          <w:p w14:paraId="6B386722" w14:textId="77777777" w:rsidR="001406AE" w:rsidRPr="004D48F3" w:rsidRDefault="001406AE" w:rsidP="0034622E">
            <w:pPr>
              <w:jc w:val="right"/>
              <w:rPr>
                <w:rFonts w:ascii="Arial" w:eastAsia="Calibri" w:hAnsi="Arial" w:cs="Arial"/>
                <w:b/>
                <w:color w:val="000000" w:themeColor="text1"/>
                <w:sz w:val="14"/>
                <w:szCs w:val="14"/>
              </w:rPr>
            </w:pPr>
            <w:r w:rsidRPr="004D48F3">
              <w:rPr>
                <w:rFonts w:ascii="Arial" w:eastAsia="Calibri" w:hAnsi="Arial" w:cs="Arial"/>
                <w:b/>
                <w:color w:val="000000" w:themeColor="text1"/>
                <w:sz w:val="14"/>
                <w:szCs w:val="14"/>
              </w:rPr>
              <w:t>Stupanj 2</w:t>
            </w:r>
          </w:p>
        </w:tc>
        <w:tc>
          <w:tcPr>
            <w:tcW w:w="291" w:type="pct"/>
            <w:vAlign w:val="bottom"/>
          </w:tcPr>
          <w:p w14:paraId="6DD96428" w14:textId="77777777" w:rsidR="001406AE" w:rsidRPr="004D48F3" w:rsidRDefault="001406AE" w:rsidP="0034622E">
            <w:pPr>
              <w:jc w:val="right"/>
              <w:rPr>
                <w:rFonts w:ascii="Arial" w:eastAsia="Calibri" w:hAnsi="Arial" w:cs="Arial"/>
                <w:b/>
                <w:color w:val="000000" w:themeColor="text1"/>
                <w:sz w:val="14"/>
                <w:szCs w:val="14"/>
              </w:rPr>
            </w:pPr>
            <w:r w:rsidRPr="004D48F3">
              <w:rPr>
                <w:rFonts w:ascii="Arial" w:eastAsia="Calibri" w:hAnsi="Arial" w:cs="Arial"/>
                <w:b/>
                <w:color w:val="000000" w:themeColor="text1"/>
                <w:sz w:val="14"/>
                <w:szCs w:val="14"/>
              </w:rPr>
              <w:t>Stupanj 3</w:t>
            </w:r>
          </w:p>
        </w:tc>
        <w:tc>
          <w:tcPr>
            <w:tcW w:w="318" w:type="pct"/>
            <w:vAlign w:val="bottom"/>
          </w:tcPr>
          <w:p w14:paraId="47E44672" w14:textId="77777777" w:rsidR="001406AE" w:rsidRPr="004D48F3" w:rsidRDefault="001406AE" w:rsidP="0034622E">
            <w:pPr>
              <w:jc w:val="right"/>
              <w:rPr>
                <w:rFonts w:ascii="Arial" w:eastAsia="Calibri" w:hAnsi="Arial" w:cs="Arial"/>
                <w:b/>
                <w:color w:val="000000" w:themeColor="text1"/>
                <w:sz w:val="14"/>
                <w:szCs w:val="14"/>
              </w:rPr>
            </w:pPr>
          </w:p>
        </w:tc>
        <w:tc>
          <w:tcPr>
            <w:tcW w:w="333" w:type="pct"/>
            <w:vAlign w:val="bottom"/>
          </w:tcPr>
          <w:p w14:paraId="1B6F5D41" w14:textId="77777777" w:rsidR="001406AE" w:rsidRPr="004D48F3" w:rsidRDefault="001406AE" w:rsidP="0034622E">
            <w:pPr>
              <w:jc w:val="right"/>
              <w:rPr>
                <w:rFonts w:ascii="Arial" w:eastAsia="Calibri" w:hAnsi="Arial" w:cs="Arial"/>
                <w:b/>
                <w:color w:val="000000" w:themeColor="text1"/>
                <w:sz w:val="14"/>
                <w:szCs w:val="14"/>
              </w:rPr>
            </w:pPr>
          </w:p>
        </w:tc>
        <w:tc>
          <w:tcPr>
            <w:tcW w:w="328" w:type="pct"/>
            <w:vAlign w:val="bottom"/>
          </w:tcPr>
          <w:p w14:paraId="1A59584A" w14:textId="77777777" w:rsidR="001406AE" w:rsidRPr="004D48F3" w:rsidRDefault="001406AE" w:rsidP="0034622E">
            <w:pPr>
              <w:jc w:val="right"/>
              <w:rPr>
                <w:rFonts w:ascii="Arial" w:eastAsia="Calibri" w:hAnsi="Arial" w:cs="Arial"/>
                <w:b/>
                <w:color w:val="000000" w:themeColor="text1"/>
                <w:sz w:val="14"/>
                <w:szCs w:val="14"/>
              </w:rPr>
            </w:pPr>
          </w:p>
        </w:tc>
        <w:tc>
          <w:tcPr>
            <w:tcW w:w="329" w:type="pct"/>
            <w:vAlign w:val="bottom"/>
          </w:tcPr>
          <w:p w14:paraId="709CC1E8" w14:textId="77777777" w:rsidR="001406AE" w:rsidRPr="004D48F3" w:rsidRDefault="001406AE" w:rsidP="0034622E">
            <w:pPr>
              <w:jc w:val="right"/>
              <w:rPr>
                <w:rFonts w:ascii="Arial" w:eastAsia="Calibri" w:hAnsi="Arial" w:cs="Arial"/>
                <w:b/>
                <w:color w:val="000000" w:themeColor="text1"/>
                <w:sz w:val="14"/>
                <w:szCs w:val="14"/>
              </w:rPr>
            </w:pPr>
          </w:p>
        </w:tc>
        <w:tc>
          <w:tcPr>
            <w:tcW w:w="329" w:type="pct"/>
            <w:vAlign w:val="bottom"/>
          </w:tcPr>
          <w:p w14:paraId="48C7D5DF" w14:textId="77777777" w:rsidR="001406AE" w:rsidRPr="004D48F3" w:rsidRDefault="001406AE" w:rsidP="0034622E">
            <w:pPr>
              <w:jc w:val="right"/>
              <w:rPr>
                <w:rFonts w:ascii="Arial" w:eastAsia="Calibri" w:hAnsi="Arial" w:cs="Arial"/>
                <w:b/>
                <w:color w:val="000000" w:themeColor="text1"/>
                <w:sz w:val="14"/>
                <w:szCs w:val="14"/>
              </w:rPr>
            </w:pPr>
          </w:p>
        </w:tc>
        <w:tc>
          <w:tcPr>
            <w:tcW w:w="329" w:type="pct"/>
            <w:vAlign w:val="bottom"/>
          </w:tcPr>
          <w:p w14:paraId="356497C4" w14:textId="77777777" w:rsidR="001406AE" w:rsidRPr="004D48F3" w:rsidRDefault="001406AE" w:rsidP="0034622E">
            <w:pPr>
              <w:jc w:val="right"/>
              <w:rPr>
                <w:rFonts w:ascii="Arial" w:eastAsia="Calibri" w:hAnsi="Arial" w:cs="Arial"/>
                <w:b/>
                <w:color w:val="000000" w:themeColor="text1"/>
                <w:sz w:val="14"/>
                <w:szCs w:val="14"/>
              </w:rPr>
            </w:pPr>
            <w:r w:rsidRPr="004D48F3">
              <w:rPr>
                <w:rFonts w:ascii="Arial" w:eastAsia="Calibri" w:hAnsi="Arial" w:cs="Arial"/>
                <w:b/>
                <w:color w:val="000000" w:themeColor="text1"/>
                <w:sz w:val="14"/>
                <w:szCs w:val="14"/>
              </w:rPr>
              <w:t>Stupanj 2</w:t>
            </w:r>
          </w:p>
        </w:tc>
        <w:tc>
          <w:tcPr>
            <w:tcW w:w="330" w:type="pct"/>
            <w:vAlign w:val="bottom"/>
          </w:tcPr>
          <w:p w14:paraId="6F1F062E" w14:textId="77777777" w:rsidR="001406AE" w:rsidRPr="004D48F3" w:rsidRDefault="001406AE" w:rsidP="0034622E">
            <w:pPr>
              <w:jc w:val="right"/>
              <w:rPr>
                <w:rFonts w:ascii="Arial" w:eastAsia="Calibri" w:hAnsi="Arial" w:cs="Arial"/>
                <w:b/>
                <w:color w:val="000000" w:themeColor="text1"/>
                <w:sz w:val="14"/>
                <w:szCs w:val="14"/>
              </w:rPr>
            </w:pPr>
            <w:r w:rsidRPr="004D48F3">
              <w:rPr>
                <w:rFonts w:ascii="Arial" w:eastAsia="Calibri" w:hAnsi="Arial" w:cs="Arial"/>
                <w:b/>
                <w:color w:val="000000" w:themeColor="text1"/>
                <w:sz w:val="14"/>
                <w:szCs w:val="14"/>
              </w:rPr>
              <w:t>Stupanj 3</w:t>
            </w:r>
          </w:p>
        </w:tc>
        <w:tc>
          <w:tcPr>
            <w:tcW w:w="371" w:type="pct"/>
            <w:vAlign w:val="bottom"/>
          </w:tcPr>
          <w:p w14:paraId="143CF399" w14:textId="77777777" w:rsidR="001406AE" w:rsidRPr="004D48F3" w:rsidRDefault="001406AE" w:rsidP="0034622E">
            <w:pPr>
              <w:jc w:val="right"/>
              <w:rPr>
                <w:rFonts w:ascii="Arial" w:eastAsia="Calibri" w:hAnsi="Arial" w:cs="Arial"/>
                <w:b/>
                <w:color w:val="000000" w:themeColor="text1"/>
                <w:sz w:val="14"/>
                <w:szCs w:val="14"/>
              </w:rPr>
            </w:pPr>
          </w:p>
        </w:tc>
        <w:tc>
          <w:tcPr>
            <w:tcW w:w="324" w:type="pct"/>
            <w:vAlign w:val="bottom"/>
          </w:tcPr>
          <w:p w14:paraId="0159E2D1" w14:textId="77777777" w:rsidR="001406AE" w:rsidRPr="00F12E3D" w:rsidRDefault="001406AE" w:rsidP="0034622E">
            <w:pPr>
              <w:jc w:val="right"/>
              <w:rPr>
                <w:rFonts w:ascii="Arial" w:eastAsia="Calibri" w:hAnsi="Arial" w:cs="Arial"/>
                <w:b/>
                <w:color w:val="000000" w:themeColor="text1"/>
                <w:sz w:val="14"/>
                <w:szCs w:val="14"/>
              </w:rPr>
            </w:pPr>
          </w:p>
        </w:tc>
      </w:tr>
      <w:tr w:rsidR="001406AE" w:rsidRPr="00F12E3D" w14:paraId="179FAEB1" w14:textId="77777777" w:rsidTr="0034622E">
        <w:trPr>
          <w:trHeight w:val="160"/>
          <w:jc w:val="center"/>
        </w:trPr>
        <w:tc>
          <w:tcPr>
            <w:tcW w:w="537" w:type="pct"/>
          </w:tcPr>
          <w:p w14:paraId="0CAEDF4F" w14:textId="77777777" w:rsidR="001406AE" w:rsidRPr="00F12E3D" w:rsidRDefault="001406AE" w:rsidP="0034622E">
            <w:pPr>
              <w:rPr>
                <w:rFonts w:ascii="Arial" w:eastAsia="Calibri" w:hAnsi="Arial" w:cs="Arial"/>
                <w:b/>
                <w:bCs/>
                <w:color w:val="000000" w:themeColor="text1"/>
                <w:sz w:val="14"/>
                <w:szCs w:val="14"/>
              </w:rPr>
            </w:pPr>
          </w:p>
        </w:tc>
        <w:tc>
          <w:tcPr>
            <w:tcW w:w="300" w:type="pct"/>
          </w:tcPr>
          <w:p w14:paraId="2BB99951" w14:textId="77777777" w:rsidR="001406AE" w:rsidRPr="004D48F3" w:rsidRDefault="001406AE" w:rsidP="0034622E">
            <w:pPr>
              <w:jc w:val="right"/>
              <w:rPr>
                <w:rFonts w:ascii="Arial" w:eastAsia="Calibri" w:hAnsi="Arial" w:cs="Arial"/>
                <w:b/>
                <w:color w:val="000000" w:themeColor="text1"/>
                <w:sz w:val="14"/>
                <w:szCs w:val="14"/>
              </w:rPr>
            </w:pPr>
            <w:r w:rsidRPr="004D48F3">
              <w:rPr>
                <w:rFonts w:ascii="Arial" w:eastAsia="Calibri" w:hAnsi="Arial" w:cs="Arial"/>
                <w:b/>
                <w:color w:val="000000" w:themeColor="text1"/>
                <w:sz w:val="14"/>
                <w:szCs w:val="14"/>
              </w:rPr>
              <w:t>000 eura</w:t>
            </w:r>
          </w:p>
        </w:tc>
        <w:tc>
          <w:tcPr>
            <w:tcW w:w="298" w:type="pct"/>
          </w:tcPr>
          <w:p w14:paraId="0A3B7413" w14:textId="77777777" w:rsidR="001406AE" w:rsidRPr="004D48F3" w:rsidRDefault="001406AE" w:rsidP="0034622E">
            <w:pPr>
              <w:jc w:val="right"/>
              <w:rPr>
                <w:rFonts w:ascii="Arial" w:eastAsia="Calibri" w:hAnsi="Arial" w:cs="Arial"/>
                <w:b/>
                <w:color w:val="000000" w:themeColor="text1"/>
                <w:sz w:val="14"/>
                <w:szCs w:val="14"/>
              </w:rPr>
            </w:pPr>
            <w:r w:rsidRPr="004D48F3">
              <w:rPr>
                <w:rFonts w:ascii="Arial" w:eastAsia="Calibri" w:hAnsi="Arial" w:cs="Arial"/>
                <w:b/>
                <w:color w:val="000000" w:themeColor="text1"/>
                <w:sz w:val="14"/>
                <w:szCs w:val="14"/>
              </w:rPr>
              <w:t>000 eura</w:t>
            </w:r>
          </w:p>
        </w:tc>
        <w:tc>
          <w:tcPr>
            <w:tcW w:w="295" w:type="pct"/>
          </w:tcPr>
          <w:p w14:paraId="25E0A07F" w14:textId="77777777" w:rsidR="001406AE" w:rsidRPr="004D48F3" w:rsidRDefault="001406AE" w:rsidP="0034622E">
            <w:pPr>
              <w:jc w:val="right"/>
              <w:rPr>
                <w:rFonts w:ascii="Arial" w:eastAsia="Calibri" w:hAnsi="Arial" w:cs="Arial"/>
                <w:b/>
                <w:color w:val="000000" w:themeColor="text1"/>
                <w:sz w:val="14"/>
                <w:szCs w:val="14"/>
              </w:rPr>
            </w:pPr>
            <w:r w:rsidRPr="004D48F3">
              <w:rPr>
                <w:rFonts w:ascii="Arial" w:eastAsia="Calibri" w:hAnsi="Arial" w:cs="Arial"/>
                <w:b/>
                <w:color w:val="000000" w:themeColor="text1"/>
                <w:sz w:val="14"/>
                <w:szCs w:val="14"/>
              </w:rPr>
              <w:t>000 eura</w:t>
            </w:r>
          </w:p>
        </w:tc>
        <w:tc>
          <w:tcPr>
            <w:tcW w:w="287" w:type="pct"/>
          </w:tcPr>
          <w:p w14:paraId="3579E654" w14:textId="77777777" w:rsidR="001406AE" w:rsidRPr="004D48F3" w:rsidRDefault="001406AE" w:rsidP="0034622E">
            <w:pPr>
              <w:jc w:val="right"/>
              <w:rPr>
                <w:rFonts w:ascii="Arial" w:eastAsia="Calibri" w:hAnsi="Arial" w:cs="Arial"/>
                <w:b/>
                <w:color w:val="000000" w:themeColor="text1"/>
                <w:sz w:val="14"/>
                <w:szCs w:val="14"/>
              </w:rPr>
            </w:pPr>
            <w:r w:rsidRPr="004D48F3">
              <w:rPr>
                <w:rFonts w:ascii="Arial" w:eastAsia="Calibri" w:hAnsi="Arial" w:cs="Arial"/>
                <w:b/>
                <w:color w:val="000000" w:themeColor="text1"/>
                <w:sz w:val="14"/>
                <w:szCs w:val="14"/>
              </w:rPr>
              <w:t>000 eura</w:t>
            </w:r>
          </w:p>
        </w:tc>
        <w:tc>
          <w:tcPr>
            <w:tcW w:w="291" w:type="pct"/>
          </w:tcPr>
          <w:p w14:paraId="2085F537" w14:textId="77777777" w:rsidR="001406AE" w:rsidRPr="004D48F3" w:rsidRDefault="001406AE" w:rsidP="0034622E">
            <w:pPr>
              <w:jc w:val="right"/>
              <w:rPr>
                <w:rFonts w:ascii="Arial" w:eastAsia="Calibri" w:hAnsi="Arial" w:cs="Arial"/>
                <w:b/>
                <w:color w:val="000000" w:themeColor="text1"/>
                <w:sz w:val="14"/>
                <w:szCs w:val="14"/>
              </w:rPr>
            </w:pPr>
            <w:r w:rsidRPr="004D48F3">
              <w:rPr>
                <w:rFonts w:ascii="Arial" w:eastAsia="Calibri" w:hAnsi="Arial" w:cs="Arial"/>
                <w:b/>
                <w:color w:val="000000" w:themeColor="text1"/>
                <w:sz w:val="14"/>
                <w:szCs w:val="14"/>
              </w:rPr>
              <w:t>000 eura</w:t>
            </w:r>
          </w:p>
        </w:tc>
        <w:tc>
          <w:tcPr>
            <w:tcW w:w="318" w:type="pct"/>
          </w:tcPr>
          <w:p w14:paraId="4E1D0A82" w14:textId="77777777" w:rsidR="001406AE" w:rsidRPr="004D48F3" w:rsidRDefault="001406AE" w:rsidP="0034622E">
            <w:pPr>
              <w:jc w:val="right"/>
              <w:rPr>
                <w:rFonts w:ascii="Arial" w:eastAsia="Calibri" w:hAnsi="Arial" w:cs="Arial"/>
                <w:b/>
                <w:color w:val="000000" w:themeColor="text1"/>
                <w:sz w:val="14"/>
                <w:szCs w:val="14"/>
              </w:rPr>
            </w:pPr>
            <w:r w:rsidRPr="004D48F3">
              <w:rPr>
                <w:rFonts w:ascii="Arial" w:eastAsia="Calibri" w:hAnsi="Arial" w:cs="Arial"/>
                <w:b/>
                <w:color w:val="000000" w:themeColor="text1"/>
                <w:sz w:val="14"/>
                <w:szCs w:val="14"/>
              </w:rPr>
              <w:t>000 eura</w:t>
            </w:r>
          </w:p>
        </w:tc>
        <w:tc>
          <w:tcPr>
            <w:tcW w:w="333" w:type="pct"/>
          </w:tcPr>
          <w:p w14:paraId="4B28FAA9" w14:textId="77777777" w:rsidR="001406AE" w:rsidRPr="004D48F3" w:rsidRDefault="001406AE" w:rsidP="0034622E">
            <w:pPr>
              <w:jc w:val="right"/>
              <w:rPr>
                <w:rFonts w:ascii="Arial" w:eastAsia="Calibri" w:hAnsi="Arial" w:cs="Arial"/>
                <w:b/>
                <w:color w:val="000000" w:themeColor="text1"/>
                <w:sz w:val="14"/>
                <w:szCs w:val="14"/>
              </w:rPr>
            </w:pPr>
            <w:r w:rsidRPr="004D48F3">
              <w:rPr>
                <w:rFonts w:ascii="Arial" w:eastAsia="Calibri" w:hAnsi="Arial" w:cs="Arial"/>
                <w:b/>
                <w:color w:val="000000" w:themeColor="text1"/>
                <w:sz w:val="14"/>
                <w:szCs w:val="14"/>
              </w:rPr>
              <w:t>000 eura</w:t>
            </w:r>
          </w:p>
        </w:tc>
        <w:tc>
          <w:tcPr>
            <w:tcW w:w="328" w:type="pct"/>
          </w:tcPr>
          <w:p w14:paraId="7E2512A3" w14:textId="77777777" w:rsidR="001406AE" w:rsidRPr="004D48F3" w:rsidRDefault="001406AE" w:rsidP="0034622E">
            <w:pPr>
              <w:jc w:val="right"/>
              <w:rPr>
                <w:rFonts w:ascii="Arial" w:eastAsia="Calibri" w:hAnsi="Arial" w:cs="Arial"/>
                <w:b/>
                <w:color w:val="000000" w:themeColor="text1"/>
                <w:sz w:val="14"/>
                <w:szCs w:val="14"/>
              </w:rPr>
            </w:pPr>
            <w:r w:rsidRPr="004D48F3">
              <w:rPr>
                <w:rFonts w:ascii="Arial" w:eastAsia="Calibri" w:hAnsi="Arial" w:cs="Arial"/>
                <w:b/>
                <w:color w:val="000000" w:themeColor="text1"/>
                <w:sz w:val="14"/>
                <w:szCs w:val="14"/>
              </w:rPr>
              <w:t>000 eura</w:t>
            </w:r>
          </w:p>
        </w:tc>
        <w:tc>
          <w:tcPr>
            <w:tcW w:w="329" w:type="pct"/>
          </w:tcPr>
          <w:p w14:paraId="6F48F0F9" w14:textId="77777777" w:rsidR="001406AE" w:rsidRPr="004D48F3" w:rsidRDefault="001406AE" w:rsidP="0034622E">
            <w:pPr>
              <w:jc w:val="right"/>
              <w:rPr>
                <w:rFonts w:ascii="Arial" w:eastAsia="Calibri" w:hAnsi="Arial" w:cs="Arial"/>
                <w:b/>
                <w:color w:val="000000" w:themeColor="text1"/>
                <w:sz w:val="14"/>
                <w:szCs w:val="14"/>
              </w:rPr>
            </w:pPr>
            <w:r w:rsidRPr="004D48F3">
              <w:rPr>
                <w:rFonts w:ascii="Arial" w:eastAsia="Calibri" w:hAnsi="Arial" w:cs="Arial"/>
                <w:b/>
                <w:color w:val="000000" w:themeColor="text1"/>
                <w:sz w:val="14"/>
                <w:szCs w:val="14"/>
              </w:rPr>
              <w:t>000 eura</w:t>
            </w:r>
          </w:p>
        </w:tc>
        <w:tc>
          <w:tcPr>
            <w:tcW w:w="329" w:type="pct"/>
          </w:tcPr>
          <w:p w14:paraId="5C5160BD" w14:textId="77777777" w:rsidR="001406AE" w:rsidRPr="004D48F3" w:rsidRDefault="001406AE" w:rsidP="0034622E">
            <w:pPr>
              <w:jc w:val="right"/>
              <w:rPr>
                <w:rFonts w:ascii="Arial" w:eastAsia="Calibri" w:hAnsi="Arial" w:cs="Arial"/>
                <w:b/>
                <w:color w:val="000000" w:themeColor="text1"/>
                <w:sz w:val="14"/>
                <w:szCs w:val="14"/>
              </w:rPr>
            </w:pPr>
            <w:r w:rsidRPr="004D48F3">
              <w:rPr>
                <w:rFonts w:ascii="Arial" w:eastAsia="Calibri" w:hAnsi="Arial" w:cs="Arial"/>
                <w:b/>
                <w:color w:val="000000" w:themeColor="text1"/>
                <w:sz w:val="14"/>
                <w:szCs w:val="14"/>
              </w:rPr>
              <w:t>000 eura</w:t>
            </w:r>
          </w:p>
        </w:tc>
        <w:tc>
          <w:tcPr>
            <w:tcW w:w="329" w:type="pct"/>
          </w:tcPr>
          <w:p w14:paraId="38F91C3C" w14:textId="77777777" w:rsidR="001406AE" w:rsidRPr="004D48F3" w:rsidRDefault="001406AE" w:rsidP="0034622E">
            <w:pPr>
              <w:jc w:val="right"/>
              <w:rPr>
                <w:rFonts w:ascii="Arial" w:eastAsia="Calibri" w:hAnsi="Arial" w:cs="Arial"/>
                <w:b/>
                <w:color w:val="000000" w:themeColor="text1"/>
                <w:sz w:val="14"/>
                <w:szCs w:val="14"/>
              </w:rPr>
            </w:pPr>
            <w:r w:rsidRPr="004D48F3">
              <w:rPr>
                <w:rFonts w:ascii="Arial" w:eastAsia="Calibri" w:hAnsi="Arial" w:cs="Arial"/>
                <w:b/>
                <w:color w:val="000000" w:themeColor="text1"/>
                <w:sz w:val="14"/>
                <w:szCs w:val="14"/>
              </w:rPr>
              <w:t>000 eura</w:t>
            </w:r>
          </w:p>
        </w:tc>
        <w:tc>
          <w:tcPr>
            <w:tcW w:w="330" w:type="pct"/>
          </w:tcPr>
          <w:p w14:paraId="47BD0103" w14:textId="77777777" w:rsidR="001406AE" w:rsidRPr="004D48F3" w:rsidRDefault="001406AE" w:rsidP="0034622E">
            <w:pPr>
              <w:jc w:val="right"/>
              <w:rPr>
                <w:rFonts w:ascii="Arial" w:eastAsia="Calibri" w:hAnsi="Arial" w:cs="Arial"/>
                <w:b/>
                <w:color w:val="000000" w:themeColor="text1"/>
                <w:sz w:val="14"/>
                <w:szCs w:val="14"/>
              </w:rPr>
            </w:pPr>
            <w:r w:rsidRPr="004D48F3">
              <w:rPr>
                <w:rFonts w:ascii="Arial" w:eastAsia="Calibri" w:hAnsi="Arial" w:cs="Arial"/>
                <w:b/>
                <w:color w:val="000000" w:themeColor="text1"/>
                <w:sz w:val="14"/>
                <w:szCs w:val="14"/>
              </w:rPr>
              <w:t>000 eura</w:t>
            </w:r>
          </w:p>
        </w:tc>
        <w:tc>
          <w:tcPr>
            <w:tcW w:w="371" w:type="pct"/>
          </w:tcPr>
          <w:p w14:paraId="38DCBA6A" w14:textId="77777777" w:rsidR="001406AE" w:rsidRPr="004D48F3" w:rsidRDefault="001406AE" w:rsidP="0034622E">
            <w:pPr>
              <w:jc w:val="right"/>
              <w:rPr>
                <w:rFonts w:ascii="Arial" w:eastAsia="Calibri" w:hAnsi="Arial" w:cs="Arial"/>
                <w:b/>
                <w:color w:val="000000" w:themeColor="text1"/>
                <w:sz w:val="14"/>
                <w:szCs w:val="14"/>
              </w:rPr>
            </w:pPr>
            <w:r w:rsidRPr="004D48F3">
              <w:rPr>
                <w:rFonts w:ascii="Arial" w:eastAsia="Calibri" w:hAnsi="Arial" w:cs="Arial"/>
                <w:b/>
                <w:color w:val="000000" w:themeColor="text1"/>
                <w:sz w:val="14"/>
                <w:szCs w:val="14"/>
              </w:rPr>
              <w:t>000 eura</w:t>
            </w:r>
          </w:p>
        </w:tc>
        <w:tc>
          <w:tcPr>
            <w:tcW w:w="324" w:type="pct"/>
          </w:tcPr>
          <w:p w14:paraId="06E844AF" w14:textId="77777777" w:rsidR="001406AE" w:rsidRPr="00F12E3D" w:rsidRDefault="001406AE" w:rsidP="0034622E">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000 eura</w:t>
            </w:r>
          </w:p>
        </w:tc>
      </w:tr>
      <w:tr w:rsidR="001406AE" w:rsidRPr="00F12E3D" w14:paraId="0798CDE2" w14:textId="77777777" w:rsidTr="0034622E">
        <w:trPr>
          <w:trHeight w:val="117"/>
          <w:jc w:val="center"/>
        </w:trPr>
        <w:tc>
          <w:tcPr>
            <w:tcW w:w="537" w:type="pct"/>
            <w:vAlign w:val="bottom"/>
          </w:tcPr>
          <w:p w14:paraId="63FD69DB" w14:textId="77777777" w:rsidR="001406AE" w:rsidRPr="003A2506" w:rsidRDefault="001406AE" w:rsidP="0034622E">
            <w:pPr>
              <w:tabs>
                <w:tab w:val="right" w:pos="1202"/>
              </w:tabs>
              <w:spacing w:line="200" w:lineRule="exact"/>
              <w:outlineLvl w:val="0"/>
              <w:rPr>
                <w:rFonts w:ascii="Arial" w:eastAsia="Calibri" w:hAnsi="Arial" w:cs="Arial"/>
                <w:b/>
                <w:bCs/>
                <w:color w:val="000000" w:themeColor="text1"/>
                <w:sz w:val="14"/>
                <w:szCs w:val="14"/>
              </w:rPr>
            </w:pPr>
            <w:r w:rsidRPr="003A2506">
              <w:rPr>
                <w:rFonts w:ascii="Arial" w:eastAsia="Calibri" w:hAnsi="Arial" w:cs="Arial"/>
                <w:b/>
                <w:bCs/>
                <w:color w:val="000000" w:themeColor="text1"/>
                <w:sz w:val="14"/>
                <w:szCs w:val="14"/>
              </w:rPr>
              <w:t>Imovina</w:t>
            </w:r>
          </w:p>
        </w:tc>
        <w:tc>
          <w:tcPr>
            <w:tcW w:w="300" w:type="pct"/>
            <w:vAlign w:val="bottom"/>
          </w:tcPr>
          <w:p w14:paraId="0BD2E12F" w14:textId="77777777" w:rsidR="001406AE" w:rsidRPr="004D48F3" w:rsidRDefault="001406AE" w:rsidP="0034622E">
            <w:pPr>
              <w:jc w:val="right"/>
              <w:rPr>
                <w:rFonts w:ascii="Arial" w:eastAsia="Calibri" w:hAnsi="Arial" w:cs="Arial"/>
                <w:color w:val="000000" w:themeColor="text1"/>
                <w:sz w:val="14"/>
                <w:szCs w:val="14"/>
              </w:rPr>
            </w:pPr>
          </w:p>
        </w:tc>
        <w:tc>
          <w:tcPr>
            <w:tcW w:w="298" w:type="pct"/>
            <w:vAlign w:val="bottom"/>
          </w:tcPr>
          <w:p w14:paraId="34158DC2" w14:textId="77777777" w:rsidR="001406AE" w:rsidRPr="004D48F3" w:rsidRDefault="001406AE" w:rsidP="0034622E">
            <w:pPr>
              <w:jc w:val="right"/>
              <w:rPr>
                <w:rFonts w:ascii="Arial" w:eastAsia="Calibri" w:hAnsi="Arial" w:cs="Arial"/>
                <w:color w:val="000000" w:themeColor="text1"/>
                <w:sz w:val="14"/>
                <w:szCs w:val="14"/>
              </w:rPr>
            </w:pPr>
          </w:p>
        </w:tc>
        <w:tc>
          <w:tcPr>
            <w:tcW w:w="295" w:type="pct"/>
            <w:vAlign w:val="bottom"/>
          </w:tcPr>
          <w:p w14:paraId="39EC2278" w14:textId="77777777" w:rsidR="001406AE" w:rsidRPr="004D48F3" w:rsidRDefault="001406AE" w:rsidP="0034622E">
            <w:pPr>
              <w:jc w:val="right"/>
              <w:rPr>
                <w:rFonts w:ascii="Arial" w:eastAsia="Calibri" w:hAnsi="Arial" w:cs="Arial"/>
                <w:color w:val="000000" w:themeColor="text1"/>
                <w:sz w:val="14"/>
                <w:szCs w:val="14"/>
              </w:rPr>
            </w:pPr>
          </w:p>
        </w:tc>
        <w:tc>
          <w:tcPr>
            <w:tcW w:w="287" w:type="pct"/>
            <w:vAlign w:val="bottom"/>
          </w:tcPr>
          <w:p w14:paraId="32F32B03" w14:textId="77777777" w:rsidR="001406AE" w:rsidRPr="004D48F3" w:rsidRDefault="001406AE" w:rsidP="0034622E">
            <w:pPr>
              <w:jc w:val="right"/>
              <w:rPr>
                <w:rFonts w:ascii="Arial" w:eastAsia="Calibri" w:hAnsi="Arial" w:cs="Arial"/>
                <w:color w:val="000000" w:themeColor="text1"/>
                <w:sz w:val="14"/>
                <w:szCs w:val="14"/>
              </w:rPr>
            </w:pPr>
          </w:p>
        </w:tc>
        <w:tc>
          <w:tcPr>
            <w:tcW w:w="291" w:type="pct"/>
            <w:vAlign w:val="bottom"/>
          </w:tcPr>
          <w:p w14:paraId="35C5EEA1" w14:textId="77777777" w:rsidR="001406AE" w:rsidRPr="004D48F3" w:rsidRDefault="001406AE" w:rsidP="0034622E">
            <w:pPr>
              <w:jc w:val="right"/>
              <w:rPr>
                <w:rFonts w:ascii="Arial" w:eastAsia="Calibri" w:hAnsi="Arial" w:cs="Arial"/>
                <w:color w:val="000000" w:themeColor="text1"/>
                <w:sz w:val="14"/>
                <w:szCs w:val="14"/>
              </w:rPr>
            </w:pPr>
          </w:p>
        </w:tc>
        <w:tc>
          <w:tcPr>
            <w:tcW w:w="318" w:type="pct"/>
            <w:vAlign w:val="bottom"/>
          </w:tcPr>
          <w:p w14:paraId="0560567B" w14:textId="77777777" w:rsidR="001406AE" w:rsidRPr="004D48F3" w:rsidRDefault="001406AE" w:rsidP="0034622E">
            <w:pPr>
              <w:jc w:val="right"/>
              <w:rPr>
                <w:rFonts w:ascii="Arial" w:eastAsia="Calibri" w:hAnsi="Arial" w:cs="Arial"/>
                <w:color w:val="000000" w:themeColor="text1"/>
                <w:sz w:val="14"/>
                <w:szCs w:val="14"/>
              </w:rPr>
            </w:pPr>
          </w:p>
        </w:tc>
        <w:tc>
          <w:tcPr>
            <w:tcW w:w="333" w:type="pct"/>
            <w:vAlign w:val="bottom"/>
          </w:tcPr>
          <w:p w14:paraId="5BE264CE" w14:textId="77777777" w:rsidR="001406AE" w:rsidRPr="004D48F3" w:rsidRDefault="001406AE" w:rsidP="0034622E">
            <w:pPr>
              <w:jc w:val="right"/>
              <w:rPr>
                <w:rFonts w:ascii="Arial" w:eastAsia="Calibri" w:hAnsi="Arial" w:cs="Arial"/>
                <w:color w:val="000000" w:themeColor="text1"/>
                <w:sz w:val="14"/>
                <w:szCs w:val="14"/>
              </w:rPr>
            </w:pPr>
          </w:p>
        </w:tc>
        <w:tc>
          <w:tcPr>
            <w:tcW w:w="328" w:type="pct"/>
            <w:vAlign w:val="bottom"/>
          </w:tcPr>
          <w:p w14:paraId="17420E8D" w14:textId="77777777" w:rsidR="001406AE" w:rsidRPr="004D48F3" w:rsidRDefault="001406AE" w:rsidP="0034622E">
            <w:pPr>
              <w:jc w:val="right"/>
              <w:rPr>
                <w:rFonts w:ascii="Arial" w:eastAsia="Calibri" w:hAnsi="Arial" w:cs="Arial"/>
                <w:color w:val="000000" w:themeColor="text1"/>
                <w:sz w:val="14"/>
                <w:szCs w:val="14"/>
              </w:rPr>
            </w:pPr>
          </w:p>
        </w:tc>
        <w:tc>
          <w:tcPr>
            <w:tcW w:w="329" w:type="pct"/>
            <w:vAlign w:val="bottom"/>
          </w:tcPr>
          <w:p w14:paraId="5C34F749" w14:textId="77777777" w:rsidR="001406AE" w:rsidRPr="004D48F3" w:rsidRDefault="001406AE" w:rsidP="0034622E">
            <w:pPr>
              <w:jc w:val="right"/>
              <w:rPr>
                <w:rFonts w:ascii="Arial" w:eastAsia="Calibri" w:hAnsi="Arial" w:cs="Arial"/>
                <w:color w:val="000000" w:themeColor="text1"/>
                <w:sz w:val="14"/>
                <w:szCs w:val="14"/>
              </w:rPr>
            </w:pPr>
          </w:p>
        </w:tc>
        <w:tc>
          <w:tcPr>
            <w:tcW w:w="329" w:type="pct"/>
            <w:vAlign w:val="bottom"/>
          </w:tcPr>
          <w:p w14:paraId="76FF90F8" w14:textId="77777777" w:rsidR="001406AE" w:rsidRPr="004D48F3" w:rsidRDefault="001406AE" w:rsidP="0034622E">
            <w:pPr>
              <w:jc w:val="right"/>
              <w:rPr>
                <w:rFonts w:ascii="Arial" w:eastAsia="Calibri" w:hAnsi="Arial" w:cs="Arial"/>
                <w:color w:val="000000" w:themeColor="text1"/>
                <w:sz w:val="14"/>
                <w:szCs w:val="14"/>
              </w:rPr>
            </w:pPr>
          </w:p>
        </w:tc>
        <w:tc>
          <w:tcPr>
            <w:tcW w:w="329" w:type="pct"/>
            <w:vAlign w:val="bottom"/>
          </w:tcPr>
          <w:p w14:paraId="4569780C" w14:textId="77777777" w:rsidR="001406AE" w:rsidRPr="004D48F3" w:rsidRDefault="001406AE" w:rsidP="0034622E">
            <w:pPr>
              <w:jc w:val="right"/>
              <w:rPr>
                <w:rFonts w:ascii="Arial" w:eastAsia="Calibri" w:hAnsi="Arial" w:cs="Arial"/>
                <w:color w:val="000000" w:themeColor="text1"/>
                <w:sz w:val="14"/>
                <w:szCs w:val="14"/>
              </w:rPr>
            </w:pPr>
          </w:p>
        </w:tc>
        <w:tc>
          <w:tcPr>
            <w:tcW w:w="330" w:type="pct"/>
            <w:vAlign w:val="bottom"/>
          </w:tcPr>
          <w:p w14:paraId="7A2F4B3C" w14:textId="77777777" w:rsidR="001406AE" w:rsidRPr="004D48F3" w:rsidRDefault="001406AE" w:rsidP="0034622E">
            <w:pPr>
              <w:jc w:val="right"/>
              <w:rPr>
                <w:rFonts w:ascii="Arial" w:eastAsia="Calibri" w:hAnsi="Arial" w:cs="Arial"/>
                <w:color w:val="000000" w:themeColor="text1"/>
                <w:sz w:val="14"/>
                <w:szCs w:val="14"/>
              </w:rPr>
            </w:pPr>
          </w:p>
        </w:tc>
        <w:tc>
          <w:tcPr>
            <w:tcW w:w="371" w:type="pct"/>
            <w:vAlign w:val="bottom"/>
          </w:tcPr>
          <w:p w14:paraId="036625B3" w14:textId="77777777" w:rsidR="001406AE" w:rsidRPr="004D48F3" w:rsidRDefault="001406AE" w:rsidP="0034622E">
            <w:pPr>
              <w:jc w:val="right"/>
              <w:rPr>
                <w:rFonts w:ascii="Arial" w:eastAsia="Calibri" w:hAnsi="Arial" w:cs="Arial"/>
                <w:color w:val="000000" w:themeColor="text1"/>
                <w:sz w:val="14"/>
                <w:szCs w:val="14"/>
              </w:rPr>
            </w:pPr>
          </w:p>
        </w:tc>
        <w:tc>
          <w:tcPr>
            <w:tcW w:w="324" w:type="pct"/>
            <w:vAlign w:val="bottom"/>
          </w:tcPr>
          <w:p w14:paraId="00C102E5" w14:textId="77777777" w:rsidR="001406AE" w:rsidRPr="00F959D0" w:rsidRDefault="001406AE" w:rsidP="0034622E">
            <w:pPr>
              <w:jc w:val="right"/>
              <w:rPr>
                <w:rFonts w:ascii="Arial" w:eastAsia="Calibri" w:hAnsi="Arial" w:cs="Arial"/>
                <w:color w:val="000000" w:themeColor="text1"/>
                <w:sz w:val="14"/>
                <w:szCs w:val="14"/>
              </w:rPr>
            </w:pPr>
          </w:p>
        </w:tc>
      </w:tr>
      <w:tr w:rsidR="001406AE" w:rsidRPr="00F12E3D" w14:paraId="62456483" w14:textId="77777777" w:rsidTr="0034622E">
        <w:trPr>
          <w:trHeight w:val="189"/>
          <w:jc w:val="center"/>
        </w:trPr>
        <w:tc>
          <w:tcPr>
            <w:tcW w:w="537" w:type="pct"/>
            <w:vAlign w:val="bottom"/>
          </w:tcPr>
          <w:p w14:paraId="0C1EFD8B" w14:textId="77777777" w:rsidR="001406AE" w:rsidRPr="00F12E3D" w:rsidRDefault="001406AE" w:rsidP="0034622E">
            <w:pPr>
              <w:tabs>
                <w:tab w:val="right" w:pos="1202"/>
              </w:tabs>
              <w:outlineLvl w:val="0"/>
              <w:rPr>
                <w:rFonts w:ascii="Arial" w:eastAsia="Calibri" w:hAnsi="Arial" w:cs="Arial"/>
                <w:color w:val="000000" w:themeColor="text1"/>
                <w:sz w:val="14"/>
                <w:szCs w:val="14"/>
              </w:rPr>
            </w:pPr>
            <w:r w:rsidRPr="00F12E3D">
              <w:rPr>
                <w:rFonts w:ascii="Arial" w:eastAsia="Calibri" w:hAnsi="Arial" w:cs="Arial"/>
                <w:color w:val="000000" w:themeColor="text1"/>
                <w:sz w:val="14"/>
                <w:szCs w:val="14"/>
              </w:rPr>
              <w:t>Novčana sredstva i računi kod banaka</w:t>
            </w:r>
          </w:p>
        </w:tc>
        <w:tc>
          <w:tcPr>
            <w:tcW w:w="300" w:type="pct"/>
            <w:tcBorders>
              <w:top w:val="nil"/>
              <w:left w:val="nil"/>
              <w:bottom w:val="nil"/>
              <w:right w:val="nil"/>
            </w:tcBorders>
            <w:shd w:val="clear" w:color="auto" w:fill="auto"/>
            <w:vAlign w:val="bottom"/>
          </w:tcPr>
          <w:p w14:paraId="1BF18372" w14:textId="77777777" w:rsidR="001406AE" w:rsidRPr="003A2506" w:rsidRDefault="001406AE" w:rsidP="0034622E">
            <w:pPr>
              <w:jc w:val="right"/>
              <w:rPr>
                <w:rFonts w:ascii="Arial" w:eastAsia="Calibri" w:hAnsi="Arial" w:cs="Arial"/>
                <w:color w:val="000000" w:themeColor="text1"/>
                <w:sz w:val="14"/>
                <w:szCs w:val="14"/>
              </w:rPr>
            </w:pPr>
            <w:r w:rsidRPr="0088632B">
              <w:rPr>
                <w:rFonts w:ascii="Arial" w:eastAsia="Calibri" w:hAnsi="Arial" w:cs="Arial"/>
                <w:color w:val="000000" w:themeColor="text1"/>
                <w:sz w:val="14"/>
                <w:szCs w:val="14"/>
              </w:rPr>
              <w:t>42.133</w:t>
            </w:r>
          </w:p>
        </w:tc>
        <w:tc>
          <w:tcPr>
            <w:tcW w:w="298" w:type="pct"/>
            <w:tcBorders>
              <w:top w:val="nil"/>
              <w:left w:val="nil"/>
              <w:bottom w:val="nil"/>
              <w:right w:val="nil"/>
            </w:tcBorders>
            <w:shd w:val="clear" w:color="auto" w:fill="auto"/>
            <w:vAlign w:val="bottom"/>
          </w:tcPr>
          <w:p w14:paraId="1B4C6241" w14:textId="77777777" w:rsidR="001406AE" w:rsidRPr="003A2506" w:rsidRDefault="001406AE" w:rsidP="0034622E">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95" w:type="pct"/>
            <w:tcBorders>
              <w:top w:val="nil"/>
              <w:left w:val="nil"/>
              <w:bottom w:val="nil"/>
              <w:right w:val="nil"/>
            </w:tcBorders>
            <w:shd w:val="clear" w:color="auto" w:fill="auto"/>
            <w:vAlign w:val="bottom"/>
          </w:tcPr>
          <w:p w14:paraId="5C620B6D" w14:textId="77777777" w:rsidR="001406AE" w:rsidRPr="003A2506" w:rsidRDefault="001406AE" w:rsidP="0034622E">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87" w:type="pct"/>
            <w:tcBorders>
              <w:top w:val="nil"/>
              <w:left w:val="nil"/>
              <w:bottom w:val="nil"/>
              <w:right w:val="nil"/>
            </w:tcBorders>
            <w:shd w:val="clear" w:color="auto" w:fill="auto"/>
            <w:vAlign w:val="bottom"/>
          </w:tcPr>
          <w:p w14:paraId="385D3272" w14:textId="77777777" w:rsidR="001406AE" w:rsidRPr="003A2506" w:rsidRDefault="001406AE" w:rsidP="0034622E">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91" w:type="pct"/>
            <w:tcBorders>
              <w:top w:val="nil"/>
              <w:left w:val="nil"/>
              <w:bottom w:val="nil"/>
              <w:right w:val="nil"/>
            </w:tcBorders>
            <w:shd w:val="clear" w:color="auto" w:fill="auto"/>
            <w:vAlign w:val="bottom"/>
          </w:tcPr>
          <w:p w14:paraId="6A65197A" w14:textId="77777777" w:rsidR="001406AE" w:rsidRPr="003A2506" w:rsidRDefault="001406AE" w:rsidP="0034622E">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18" w:type="pct"/>
            <w:tcBorders>
              <w:top w:val="nil"/>
              <w:left w:val="nil"/>
              <w:bottom w:val="nil"/>
              <w:right w:val="nil"/>
            </w:tcBorders>
            <w:shd w:val="clear" w:color="auto" w:fill="auto"/>
            <w:vAlign w:val="bottom"/>
          </w:tcPr>
          <w:p w14:paraId="438F43E6" w14:textId="77777777" w:rsidR="001406AE" w:rsidRPr="003A2506" w:rsidRDefault="001406AE" w:rsidP="0034622E">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3" w:type="pct"/>
            <w:tcBorders>
              <w:top w:val="nil"/>
              <w:left w:val="nil"/>
              <w:bottom w:val="nil"/>
              <w:right w:val="nil"/>
            </w:tcBorders>
            <w:shd w:val="clear" w:color="auto" w:fill="auto"/>
            <w:vAlign w:val="bottom"/>
          </w:tcPr>
          <w:p w14:paraId="6A2C9B94" w14:textId="77777777" w:rsidR="001406AE" w:rsidRPr="003A2506" w:rsidRDefault="001406AE" w:rsidP="0034622E">
            <w:pPr>
              <w:jc w:val="right"/>
              <w:rPr>
                <w:rFonts w:ascii="Arial" w:eastAsia="Calibri" w:hAnsi="Arial" w:cs="Arial"/>
                <w:color w:val="000000" w:themeColor="text1"/>
                <w:sz w:val="14"/>
                <w:szCs w:val="14"/>
              </w:rPr>
            </w:pPr>
            <w:r w:rsidRPr="0088632B">
              <w:rPr>
                <w:rFonts w:ascii="Arial" w:eastAsia="Calibri" w:hAnsi="Arial" w:cs="Arial"/>
                <w:color w:val="000000" w:themeColor="text1"/>
                <w:sz w:val="14"/>
                <w:szCs w:val="14"/>
              </w:rPr>
              <w:t>42.133</w:t>
            </w:r>
          </w:p>
        </w:tc>
        <w:tc>
          <w:tcPr>
            <w:tcW w:w="328" w:type="pct"/>
            <w:tcBorders>
              <w:top w:val="nil"/>
              <w:left w:val="nil"/>
              <w:bottom w:val="nil"/>
              <w:right w:val="nil"/>
            </w:tcBorders>
            <w:shd w:val="clear" w:color="auto" w:fill="auto"/>
            <w:vAlign w:val="bottom"/>
          </w:tcPr>
          <w:p w14:paraId="4C59727A" w14:textId="77777777" w:rsidR="001406AE" w:rsidRPr="003A2506" w:rsidRDefault="001406AE" w:rsidP="0034622E">
            <w:pPr>
              <w:jc w:val="right"/>
              <w:rPr>
                <w:rFonts w:ascii="Arial" w:eastAsia="Calibri" w:hAnsi="Arial" w:cs="Arial"/>
                <w:color w:val="000000" w:themeColor="text1"/>
                <w:sz w:val="14"/>
                <w:szCs w:val="14"/>
              </w:rPr>
            </w:pPr>
            <w:r w:rsidRPr="00D33446">
              <w:rPr>
                <w:rFonts w:ascii="Arial" w:hAnsi="Arial" w:cs="Arial"/>
                <w:sz w:val="14"/>
                <w:szCs w:val="14"/>
              </w:rPr>
              <w:t xml:space="preserve"> - </w:t>
            </w:r>
          </w:p>
        </w:tc>
        <w:tc>
          <w:tcPr>
            <w:tcW w:w="329" w:type="pct"/>
            <w:tcBorders>
              <w:top w:val="nil"/>
              <w:left w:val="nil"/>
              <w:bottom w:val="nil"/>
              <w:right w:val="nil"/>
            </w:tcBorders>
            <w:shd w:val="clear" w:color="auto" w:fill="auto"/>
            <w:vAlign w:val="bottom"/>
          </w:tcPr>
          <w:p w14:paraId="1E8999E0" w14:textId="77777777" w:rsidR="001406AE" w:rsidRPr="003A2506" w:rsidRDefault="001406AE" w:rsidP="0034622E">
            <w:pPr>
              <w:jc w:val="right"/>
              <w:rPr>
                <w:rFonts w:ascii="Arial" w:eastAsia="Calibri" w:hAnsi="Arial" w:cs="Arial"/>
                <w:color w:val="000000" w:themeColor="text1"/>
                <w:sz w:val="14"/>
                <w:szCs w:val="14"/>
              </w:rPr>
            </w:pPr>
            <w:r w:rsidRPr="00D33446">
              <w:rPr>
                <w:rFonts w:ascii="Arial" w:hAnsi="Arial" w:cs="Arial"/>
                <w:sz w:val="14"/>
                <w:szCs w:val="14"/>
              </w:rPr>
              <w:t xml:space="preserve"> - </w:t>
            </w:r>
          </w:p>
        </w:tc>
        <w:tc>
          <w:tcPr>
            <w:tcW w:w="329" w:type="pct"/>
            <w:tcBorders>
              <w:top w:val="nil"/>
              <w:left w:val="nil"/>
              <w:bottom w:val="nil"/>
              <w:right w:val="nil"/>
            </w:tcBorders>
            <w:shd w:val="clear" w:color="auto" w:fill="auto"/>
            <w:vAlign w:val="bottom"/>
          </w:tcPr>
          <w:p w14:paraId="1FE0DAE7" w14:textId="77777777" w:rsidR="001406AE" w:rsidRPr="003A2506" w:rsidRDefault="001406AE" w:rsidP="0034622E">
            <w:pPr>
              <w:jc w:val="right"/>
              <w:rPr>
                <w:rFonts w:ascii="Arial" w:eastAsia="Calibri" w:hAnsi="Arial" w:cs="Arial"/>
                <w:color w:val="000000" w:themeColor="text1"/>
                <w:sz w:val="14"/>
                <w:szCs w:val="14"/>
              </w:rPr>
            </w:pPr>
            <w:r w:rsidRPr="00D33446">
              <w:rPr>
                <w:rFonts w:ascii="Arial" w:hAnsi="Arial" w:cs="Arial"/>
                <w:sz w:val="14"/>
                <w:szCs w:val="14"/>
              </w:rPr>
              <w:t xml:space="preserve"> - </w:t>
            </w:r>
          </w:p>
        </w:tc>
        <w:tc>
          <w:tcPr>
            <w:tcW w:w="329" w:type="pct"/>
            <w:tcBorders>
              <w:top w:val="nil"/>
              <w:left w:val="nil"/>
              <w:bottom w:val="nil"/>
              <w:right w:val="nil"/>
            </w:tcBorders>
            <w:shd w:val="clear" w:color="auto" w:fill="auto"/>
            <w:vAlign w:val="bottom"/>
          </w:tcPr>
          <w:p w14:paraId="103A900F" w14:textId="77777777" w:rsidR="001406AE" w:rsidRPr="003A2506" w:rsidRDefault="001406AE" w:rsidP="0034622E">
            <w:pPr>
              <w:jc w:val="right"/>
              <w:rPr>
                <w:rFonts w:ascii="Arial" w:eastAsia="Calibri" w:hAnsi="Arial" w:cs="Arial"/>
                <w:color w:val="000000" w:themeColor="text1"/>
                <w:sz w:val="14"/>
                <w:szCs w:val="14"/>
              </w:rPr>
            </w:pPr>
            <w:r w:rsidRPr="00F84C24">
              <w:rPr>
                <w:rFonts w:ascii="Arial" w:hAnsi="Arial" w:cs="Arial"/>
                <w:sz w:val="14"/>
                <w:szCs w:val="14"/>
              </w:rPr>
              <w:t xml:space="preserve"> - </w:t>
            </w:r>
          </w:p>
        </w:tc>
        <w:tc>
          <w:tcPr>
            <w:tcW w:w="330" w:type="pct"/>
            <w:tcBorders>
              <w:top w:val="nil"/>
              <w:left w:val="nil"/>
              <w:bottom w:val="nil"/>
              <w:right w:val="nil"/>
            </w:tcBorders>
            <w:vAlign w:val="bottom"/>
          </w:tcPr>
          <w:p w14:paraId="31B55582" w14:textId="77777777" w:rsidR="001406AE" w:rsidRPr="003A2506" w:rsidRDefault="001406AE" w:rsidP="0034622E">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w:t>
            </w:r>
          </w:p>
        </w:tc>
        <w:tc>
          <w:tcPr>
            <w:tcW w:w="371" w:type="pct"/>
            <w:tcBorders>
              <w:top w:val="nil"/>
              <w:left w:val="nil"/>
              <w:bottom w:val="nil"/>
              <w:right w:val="nil"/>
            </w:tcBorders>
            <w:shd w:val="clear" w:color="auto" w:fill="auto"/>
            <w:vAlign w:val="bottom"/>
          </w:tcPr>
          <w:p w14:paraId="149E2FB3" w14:textId="77777777" w:rsidR="001406AE" w:rsidRPr="003A2506" w:rsidRDefault="001406AE" w:rsidP="0034622E">
            <w:pPr>
              <w:jc w:val="right"/>
              <w:rPr>
                <w:rFonts w:ascii="Arial" w:eastAsia="Calibri" w:hAnsi="Arial" w:cs="Arial"/>
                <w:color w:val="000000" w:themeColor="text1"/>
                <w:sz w:val="14"/>
                <w:szCs w:val="14"/>
              </w:rPr>
            </w:pPr>
            <w:r w:rsidRPr="00D33446">
              <w:rPr>
                <w:rFonts w:ascii="Arial" w:hAnsi="Arial" w:cs="Arial"/>
                <w:sz w:val="14"/>
                <w:szCs w:val="14"/>
              </w:rPr>
              <w:t xml:space="preserve"> - </w:t>
            </w:r>
          </w:p>
        </w:tc>
        <w:tc>
          <w:tcPr>
            <w:tcW w:w="324" w:type="pct"/>
            <w:tcBorders>
              <w:top w:val="nil"/>
              <w:left w:val="nil"/>
              <w:bottom w:val="nil"/>
              <w:right w:val="nil"/>
            </w:tcBorders>
            <w:shd w:val="clear" w:color="auto" w:fill="auto"/>
            <w:vAlign w:val="bottom"/>
          </w:tcPr>
          <w:p w14:paraId="1398A6D8" w14:textId="77777777" w:rsidR="001406AE" w:rsidRPr="003A2506" w:rsidRDefault="001406AE" w:rsidP="0034622E">
            <w:pPr>
              <w:jc w:val="right"/>
              <w:rPr>
                <w:rFonts w:ascii="Arial" w:eastAsia="Calibri" w:hAnsi="Arial" w:cs="Arial"/>
                <w:color w:val="000000" w:themeColor="text1"/>
                <w:sz w:val="14"/>
                <w:szCs w:val="14"/>
              </w:rPr>
            </w:pPr>
            <w:r w:rsidRPr="00D33446">
              <w:rPr>
                <w:rFonts w:ascii="Arial" w:hAnsi="Arial" w:cs="Arial"/>
                <w:sz w:val="14"/>
                <w:szCs w:val="14"/>
              </w:rPr>
              <w:t xml:space="preserve"> - </w:t>
            </w:r>
          </w:p>
        </w:tc>
      </w:tr>
      <w:tr w:rsidR="001406AE" w:rsidRPr="00F12E3D" w14:paraId="682612FA" w14:textId="77777777" w:rsidTr="0034622E">
        <w:trPr>
          <w:trHeight w:val="189"/>
          <w:jc w:val="center"/>
        </w:trPr>
        <w:tc>
          <w:tcPr>
            <w:tcW w:w="537" w:type="pct"/>
            <w:vAlign w:val="bottom"/>
          </w:tcPr>
          <w:p w14:paraId="1B2DF0B3" w14:textId="77777777" w:rsidR="001406AE" w:rsidRPr="00F12E3D" w:rsidRDefault="001406AE" w:rsidP="0034622E">
            <w:pPr>
              <w:tabs>
                <w:tab w:val="right" w:pos="1202"/>
              </w:tabs>
              <w:outlineLvl w:val="0"/>
              <w:rPr>
                <w:rFonts w:ascii="Arial" w:eastAsia="Calibri" w:hAnsi="Arial" w:cs="Arial"/>
                <w:color w:val="000000" w:themeColor="text1"/>
                <w:sz w:val="14"/>
                <w:szCs w:val="14"/>
              </w:rPr>
            </w:pPr>
            <w:r w:rsidRPr="00F12E3D">
              <w:rPr>
                <w:rFonts w:ascii="Arial" w:eastAsia="Calibri" w:hAnsi="Arial" w:cs="Arial"/>
                <w:color w:val="000000" w:themeColor="text1"/>
                <w:sz w:val="14"/>
                <w:szCs w:val="14"/>
              </w:rPr>
              <w:t>Depoziti kod drugih banaka</w:t>
            </w:r>
          </w:p>
        </w:tc>
        <w:tc>
          <w:tcPr>
            <w:tcW w:w="300" w:type="pct"/>
            <w:tcBorders>
              <w:top w:val="nil"/>
              <w:left w:val="nil"/>
              <w:bottom w:val="nil"/>
              <w:right w:val="nil"/>
            </w:tcBorders>
            <w:shd w:val="clear" w:color="auto" w:fill="auto"/>
            <w:vAlign w:val="bottom"/>
          </w:tcPr>
          <w:p w14:paraId="4C77C736" w14:textId="77777777" w:rsidR="001406AE" w:rsidRPr="003A2506" w:rsidRDefault="001406AE" w:rsidP="0034622E">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71.761</w:t>
            </w:r>
          </w:p>
        </w:tc>
        <w:tc>
          <w:tcPr>
            <w:tcW w:w="298" w:type="pct"/>
            <w:tcBorders>
              <w:top w:val="nil"/>
              <w:left w:val="nil"/>
              <w:bottom w:val="nil"/>
              <w:right w:val="nil"/>
            </w:tcBorders>
            <w:shd w:val="clear" w:color="auto" w:fill="auto"/>
            <w:vAlign w:val="bottom"/>
          </w:tcPr>
          <w:p w14:paraId="2A2247B2" w14:textId="77777777" w:rsidR="001406AE" w:rsidRPr="003A2506" w:rsidRDefault="001406AE" w:rsidP="0034622E">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95" w:type="pct"/>
            <w:tcBorders>
              <w:top w:val="nil"/>
              <w:left w:val="nil"/>
              <w:bottom w:val="nil"/>
              <w:right w:val="nil"/>
            </w:tcBorders>
            <w:shd w:val="clear" w:color="auto" w:fill="auto"/>
            <w:vAlign w:val="bottom"/>
          </w:tcPr>
          <w:p w14:paraId="002552C8" w14:textId="77777777" w:rsidR="001406AE" w:rsidRPr="003A2506" w:rsidRDefault="001406AE" w:rsidP="0034622E">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87" w:type="pct"/>
            <w:tcBorders>
              <w:top w:val="nil"/>
              <w:left w:val="nil"/>
              <w:bottom w:val="nil"/>
              <w:right w:val="nil"/>
            </w:tcBorders>
            <w:shd w:val="clear" w:color="auto" w:fill="auto"/>
            <w:vAlign w:val="bottom"/>
          </w:tcPr>
          <w:p w14:paraId="32E57156" w14:textId="77777777" w:rsidR="001406AE" w:rsidRPr="003A2506" w:rsidRDefault="001406AE" w:rsidP="0034622E">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91" w:type="pct"/>
            <w:tcBorders>
              <w:top w:val="nil"/>
              <w:left w:val="nil"/>
              <w:bottom w:val="nil"/>
              <w:right w:val="nil"/>
            </w:tcBorders>
            <w:shd w:val="clear" w:color="auto" w:fill="auto"/>
            <w:vAlign w:val="bottom"/>
          </w:tcPr>
          <w:p w14:paraId="2739D04E" w14:textId="77777777" w:rsidR="001406AE" w:rsidRPr="003A2506" w:rsidRDefault="001406AE" w:rsidP="0034622E">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18" w:type="pct"/>
            <w:tcBorders>
              <w:top w:val="nil"/>
              <w:left w:val="nil"/>
              <w:bottom w:val="nil"/>
              <w:right w:val="nil"/>
            </w:tcBorders>
            <w:shd w:val="clear" w:color="auto" w:fill="auto"/>
            <w:vAlign w:val="bottom"/>
          </w:tcPr>
          <w:p w14:paraId="6FF8FCF3" w14:textId="77777777" w:rsidR="001406AE" w:rsidRPr="003A2506" w:rsidRDefault="001406AE" w:rsidP="0034622E">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3" w:type="pct"/>
            <w:tcBorders>
              <w:top w:val="nil"/>
              <w:left w:val="nil"/>
              <w:bottom w:val="nil"/>
              <w:right w:val="nil"/>
            </w:tcBorders>
            <w:shd w:val="clear" w:color="auto" w:fill="auto"/>
            <w:vAlign w:val="bottom"/>
          </w:tcPr>
          <w:p w14:paraId="3E0CF475" w14:textId="77777777" w:rsidR="001406AE" w:rsidRPr="003A2506" w:rsidRDefault="001406AE" w:rsidP="0034622E">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71.761</w:t>
            </w:r>
          </w:p>
        </w:tc>
        <w:tc>
          <w:tcPr>
            <w:tcW w:w="328" w:type="pct"/>
            <w:tcBorders>
              <w:top w:val="nil"/>
              <w:left w:val="nil"/>
              <w:bottom w:val="nil"/>
              <w:right w:val="nil"/>
            </w:tcBorders>
            <w:shd w:val="clear" w:color="auto" w:fill="auto"/>
            <w:vAlign w:val="bottom"/>
          </w:tcPr>
          <w:p w14:paraId="120B01DA" w14:textId="77777777" w:rsidR="001406AE" w:rsidRPr="003A2506" w:rsidRDefault="001406AE" w:rsidP="0034622E">
            <w:pPr>
              <w:jc w:val="right"/>
              <w:rPr>
                <w:rFonts w:ascii="Arial" w:eastAsia="Calibri" w:hAnsi="Arial" w:cs="Arial"/>
                <w:color w:val="000000" w:themeColor="text1"/>
                <w:sz w:val="14"/>
                <w:szCs w:val="14"/>
              </w:rPr>
            </w:pPr>
            <w:r w:rsidRPr="00D33446">
              <w:rPr>
                <w:rFonts w:ascii="Arial" w:hAnsi="Arial" w:cs="Arial"/>
                <w:sz w:val="14"/>
                <w:szCs w:val="14"/>
              </w:rPr>
              <w:t xml:space="preserve"> - </w:t>
            </w:r>
          </w:p>
        </w:tc>
        <w:tc>
          <w:tcPr>
            <w:tcW w:w="329" w:type="pct"/>
            <w:tcBorders>
              <w:top w:val="nil"/>
              <w:left w:val="nil"/>
              <w:bottom w:val="nil"/>
              <w:right w:val="nil"/>
            </w:tcBorders>
            <w:shd w:val="clear" w:color="auto" w:fill="auto"/>
            <w:vAlign w:val="bottom"/>
          </w:tcPr>
          <w:p w14:paraId="4B52B766" w14:textId="77777777" w:rsidR="001406AE" w:rsidRPr="003A2506" w:rsidRDefault="001406AE" w:rsidP="0034622E">
            <w:pPr>
              <w:jc w:val="right"/>
              <w:rPr>
                <w:rFonts w:ascii="Arial" w:eastAsia="Calibri" w:hAnsi="Arial" w:cs="Arial"/>
                <w:color w:val="000000" w:themeColor="text1"/>
                <w:sz w:val="14"/>
                <w:szCs w:val="14"/>
              </w:rPr>
            </w:pPr>
            <w:r w:rsidRPr="00D33446">
              <w:rPr>
                <w:rFonts w:ascii="Arial" w:hAnsi="Arial" w:cs="Arial"/>
                <w:sz w:val="14"/>
                <w:szCs w:val="14"/>
              </w:rPr>
              <w:t xml:space="preserve"> - </w:t>
            </w:r>
          </w:p>
        </w:tc>
        <w:tc>
          <w:tcPr>
            <w:tcW w:w="329" w:type="pct"/>
            <w:tcBorders>
              <w:top w:val="nil"/>
              <w:left w:val="nil"/>
              <w:bottom w:val="nil"/>
              <w:right w:val="nil"/>
            </w:tcBorders>
            <w:shd w:val="clear" w:color="auto" w:fill="auto"/>
            <w:vAlign w:val="bottom"/>
          </w:tcPr>
          <w:p w14:paraId="3F52AE87" w14:textId="77777777" w:rsidR="001406AE" w:rsidRPr="003A2506" w:rsidRDefault="001406AE" w:rsidP="0034622E">
            <w:pPr>
              <w:jc w:val="right"/>
              <w:rPr>
                <w:rFonts w:ascii="Arial" w:eastAsia="Calibri" w:hAnsi="Arial" w:cs="Arial"/>
                <w:color w:val="000000" w:themeColor="text1"/>
                <w:sz w:val="14"/>
                <w:szCs w:val="14"/>
              </w:rPr>
            </w:pPr>
            <w:r w:rsidRPr="00D33446">
              <w:rPr>
                <w:rFonts w:ascii="Arial" w:hAnsi="Arial" w:cs="Arial"/>
                <w:sz w:val="14"/>
                <w:szCs w:val="14"/>
              </w:rPr>
              <w:t xml:space="preserve"> - </w:t>
            </w:r>
          </w:p>
        </w:tc>
        <w:tc>
          <w:tcPr>
            <w:tcW w:w="329" w:type="pct"/>
            <w:tcBorders>
              <w:top w:val="nil"/>
              <w:left w:val="nil"/>
              <w:bottom w:val="nil"/>
              <w:right w:val="nil"/>
            </w:tcBorders>
            <w:shd w:val="clear" w:color="auto" w:fill="auto"/>
            <w:vAlign w:val="bottom"/>
          </w:tcPr>
          <w:p w14:paraId="61FE4F27" w14:textId="77777777" w:rsidR="001406AE" w:rsidRPr="003A2506" w:rsidRDefault="001406AE" w:rsidP="0034622E">
            <w:pPr>
              <w:jc w:val="right"/>
              <w:rPr>
                <w:rFonts w:ascii="Arial" w:eastAsia="Calibri" w:hAnsi="Arial" w:cs="Arial"/>
                <w:color w:val="000000" w:themeColor="text1"/>
                <w:sz w:val="14"/>
                <w:szCs w:val="14"/>
              </w:rPr>
            </w:pPr>
            <w:r w:rsidRPr="00F84C24">
              <w:rPr>
                <w:rFonts w:ascii="Arial" w:hAnsi="Arial" w:cs="Arial"/>
                <w:sz w:val="14"/>
                <w:szCs w:val="14"/>
              </w:rPr>
              <w:t xml:space="preserve"> - </w:t>
            </w:r>
          </w:p>
        </w:tc>
        <w:tc>
          <w:tcPr>
            <w:tcW w:w="330" w:type="pct"/>
            <w:tcBorders>
              <w:top w:val="nil"/>
              <w:left w:val="nil"/>
              <w:bottom w:val="nil"/>
              <w:right w:val="nil"/>
            </w:tcBorders>
            <w:vAlign w:val="bottom"/>
          </w:tcPr>
          <w:p w14:paraId="742F6A66" w14:textId="77777777" w:rsidR="001406AE" w:rsidRPr="003A2506" w:rsidRDefault="001406AE" w:rsidP="0034622E">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w:t>
            </w:r>
          </w:p>
        </w:tc>
        <w:tc>
          <w:tcPr>
            <w:tcW w:w="371" w:type="pct"/>
            <w:tcBorders>
              <w:top w:val="nil"/>
              <w:left w:val="nil"/>
              <w:bottom w:val="nil"/>
              <w:right w:val="nil"/>
            </w:tcBorders>
            <w:shd w:val="clear" w:color="auto" w:fill="auto"/>
            <w:vAlign w:val="bottom"/>
          </w:tcPr>
          <w:p w14:paraId="5A11C616" w14:textId="77777777" w:rsidR="001406AE" w:rsidRPr="003A2506" w:rsidRDefault="001406AE" w:rsidP="0034622E">
            <w:pPr>
              <w:jc w:val="right"/>
              <w:rPr>
                <w:rFonts w:ascii="Arial" w:eastAsia="Calibri" w:hAnsi="Arial" w:cs="Arial"/>
                <w:color w:val="000000" w:themeColor="text1"/>
                <w:sz w:val="14"/>
                <w:szCs w:val="14"/>
              </w:rPr>
            </w:pPr>
            <w:r w:rsidRPr="00D33446">
              <w:rPr>
                <w:rFonts w:ascii="Arial" w:hAnsi="Arial" w:cs="Arial"/>
                <w:sz w:val="14"/>
                <w:szCs w:val="14"/>
              </w:rPr>
              <w:t xml:space="preserve"> - </w:t>
            </w:r>
          </w:p>
        </w:tc>
        <w:tc>
          <w:tcPr>
            <w:tcW w:w="324" w:type="pct"/>
            <w:tcBorders>
              <w:top w:val="nil"/>
              <w:left w:val="nil"/>
              <w:bottom w:val="nil"/>
              <w:right w:val="nil"/>
            </w:tcBorders>
            <w:shd w:val="clear" w:color="auto" w:fill="auto"/>
            <w:vAlign w:val="bottom"/>
          </w:tcPr>
          <w:p w14:paraId="76E91DB8" w14:textId="77777777" w:rsidR="001406AE" w:rsidRPr="003A2506" w:rsidRDefault="001406AE" w:rsidP="0034622E">
            <w:pPr>
              <w:jc w:val="right"/>
              <w:rPr>
                <w:rFonts w:ascii="Arial" w:eastAsia="Calibri" w:hAnsi="Arial" w:cs="Arial"/>
                <w:color w:val="000000" w:themeColor="text1"/>
                <w:sz w:val="14"/>
                <w:szCs w:val="14"/>
              </w:rPr>
            </w:pPr>
            <w:r w:rsidRPr="00D33446">
              <w:rPr>
                <w:rFonts w:ascii="Arial" w:hAnsi="Arial" w:cs="Arial"/>
                <w:sz w:val="14"/>
                <w:szCs w:val="14"/>
              </w:rPr>
              <w:t xml:space="preserve"> - </w:t>
            </w:r>
          </w:p>
        </w:tc>
      </w:tr>
      <w:tr w:rsidR="001406AE" w:rsidRPr="00F12E3D" w14:paraId="0EA76A04" w14:textId="77777777" w:rsidTr="0034622E">
        <w:trPr>
          <w:trHeight w:val="189"/>
          <w:jc w:val="center"/>
        </w:trPr>
        <w:tc>
          <w:tcPr>
            <w:tcW w:w="537" w:type="pct"/>
            <w:vAlign w:val="bottom"/>
          </w:tcPr>
          <w:p w14:paraId="17B2F9D5" w14:textId="77777777" w:rsidR="001406AE" w:rsidRPr="00F12E3D" w:rsidRDefault="001406AE" w:rsidP="0034622E">
            <w:pPr>
              <w:tabs>
                <w:tab w:val="right" w:pos="1202"/>
              </w:tabs>
              <w:outlineLvl w:val="0"/>
              <w:rPr>
                <w:rFonts w:ascii="Arial" w:eastAsia="Calibri" w:hAnsi="Arial" w:cs="Arial"/>
                <w:color w:val="000000" w:themeColor="text1"/>
                <w:sz w:val="14"/>
                <w:szCs w:val="14"/>
              </w:rPr>
            </w:pPr>
            <w:r w:rsidRPr="00F12E3D">
              <w:rPr>
                <w:rFonts w:ascii="Arial" w:eastAsia="Calibri" w:hAnsi="Arial" w:cs="Arial"/>
                <w:color w:val="000000" w:themeColor="text1"/>
                <w:sz w:val="14"/>
                <w:szCs w:val="14"/>
              </w:rPr>
              <w:t>Krediti financijskim institucijama</w:t>
            </w:r>
          </w:p>
        </w:tc>
        <w:tc>
          <w:tcPr>
            <w:tcW w:w="300" w:type="pct"/>
            <w:tcBorders>
              <w:top w:val="nil"/>
              <w:left w:val="nil"/>
              <w:bottom w:val="nil"/>
              <w:right w:val="nil"/>
            </w:tcBorders>
            <w:shd w:val="clear" w:color="auto" w:fill="auto"/>
            <w:vAlign w:val="bottom"/>
          </w:tcPr>
          <w:p w14:paraId="48272144" w14:textId="77777777" w:rsidR="001406AE" w:rsidRPr="003A2506" w:rsidRDefault="001406AE" w:rsidP="0034622E">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1.233.889 </w:t>
            </w:r>
          </w:p>
        </w:tc>
        <w:tc>
          <w:tcPr>
            <w:tcW w:w="298" w:type="pct"/>
            <w:tcBorders>
              <w:top w:val="nil"/>
              <w:left w:val="nil"/>
              <w:bottom w:val="nil"/>
              <w:right w:val="nil"/>
            </w:tcBorders>
            <w:shd w:val="clear" w:color="auto" w:fill="auto"/>
            <w:vAlign w:val="bottom"/>
          </w:tcPr>
          <w:p w14:paraId="20341315" w14:textId="77777777" w:rsidR="001406AE" w:rsidRPr="003A2506" w:rsidRDefault="001406AE" w:rsidP="0034622E">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14.713 </w:t>
            </w:r>
          </w:p>
        </w:tc>
        <w:tc>
          <w:tcPr>
            <w:tcW w:w="295" w:type="pct"/>
            <w:tcBorders>
              <w:top w:val="nil"/>
              <w:left w:val="nil"/>
              <w:bottom w:val="nil"/>
              <w:right w:val="nil"/>
            </w:tcBorders>
            <w:shd w:val="clear" w:color="auto" w:fill="auto"/>
            <w:vAlign w:val="bottom"/>
          </w:tcPr>
          <w:p w14:paraId="08CCDD41" w14:textId="77777777" w:rsidR="001406AE" w:rsidRPr="003A2506" w:rsidRDefault="001406AE" w:rsidP="0034622E">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279 </w:t>
            </w:r>
          </w:p>
        </w:tc>
        <w:tc>
          <w:tcPr>
            <w:tcW w:w="287" w:type="pct"/>
            <w:tcBorders>
              <w:top w:val="nil"/>
              <w:left w:val="nil"/>
              <w:bottom w:val="nil"/>
              <w:right w:val="nil"/>
            </w:tcBorders>
            <w:shd w:val="clear" w:color="auto" w:fill="auto"/>
            <w:vAlign w:val="bottom"/>
          </w:tcPr>
          <w:p w14:paraId="3650CB2C" w14:textId="77777777" w:rsidR="001406AE" w:rsidRPr="003A2506" w:rsidRDefault="001406AE" w:rsidP="0034622E">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 </w:t>
            </w:r>
          </w:p>
        </w:tc>
        <w:tc>
          <w:tcPr>
            <w:tcW w:w="291" w:type="pct"/>
            <w:tcBorders>
              <w:top w:val="nil"/>
              <w:left w:val="nil"/>
              <w:bottom w:val="nil"/>
              <w:right w:val="nil"/>
            </w:tcBorders>
            <w:shd w:val="clear" w:color="auto" w:fill="auto"/>
            <w:vAlign w:val="bottom"/>
          </w:tcPr>
          <w:p w14:paraId="548F388A" w14:textId="77777777" w:rsidR="001406AE" w:rsidRPr="003A2506" w:rsidRDefault="001406AE" w:rsidP="0034622E">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18" w:type="pct"/>
            <w:tcBorders>
              <w:top w:val="nil"/>
              <w:left w:val="nil"/>
              <w:bottom w:val="nil"/>
              <w:right w:val="nil"/>
            </w:tcBorders>
            <w:shd w:val="clear" w:color="auto" w:fill="auto"/>
            <w:vAlign w:val="bottom"/>
          </w:tcPr>
          <w:p w14:paraId="1578F302" w14:textId="77777777" w:rsidR="001406AE" w:rsidRPr="003A2506" w:rsidRDefault="001406AE" w:rsidP="0034622E">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 </w:t>
            </w:r>
          </w:p>
        </w:tc>
        <w:tc>
          <w:tcPr>
            <w:tcW w:w="333" w:type="pct"/>
            <w:tcBorders>
              <w:top w:val="nil"/>
              <w:left w:val="nil"/>
              <w:bottom w:val="nil"/>
              <w:right w:val="nil"/>
            </w:tcBorders>
            <w:shd w:val="clear" w:color="auto" w:fill="auto"/>
            <w:vAlign w:val="bottom"/>
          </w:tcPr>
          <w:p w14:paraId="5C0F4447" w14:textId="77777777" w:rsidR="001406AE" w:rsidRPr="003A2506" w:rsidRDefault="001406AE" w:rsidP="0034622E">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1.248.881 </w:t>
            </w:r>
          </w:p>
        </w:tc>
        <w:tc>
          <w:tcPr>
            <w:tcW w:w="328" w:type="pct"/>
            <w:tcBorders>
              <w:top w:val="nil"/>
              <w:left w:val="nil"/>
              <w:bottom w:val="nil"/>
              <w:right w:val="nil"/>
            </w:tcBorders>
            <w:vAlign w:val="bottom"/>
          </w:tcPr>
          <w:p w14:paraId="50BB4C9B" w14:textId="77777777" w:rsidR="001406AE" w:rsidRPr="003A2506" w:rsidRDefault="001406AE" w:rsidP="0034622E">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 </w:t>
            </w:r>
          </w:p>
        </w:tc>
        <w:tc>
          <w:tcPr>
            <w:tcW w:w="329" w:type="pct"/>
            <w:tcBorders>
              <w:top w:val="nil"/>
              <w:left w:val="nil"/>
              <w:bottom w:val="nil"/>
              <w:right w:val="nil"/>
            </w:tcBorders>
            <w:vAlign w:val="bottom"/>
          </w:tcPr>
          <w:p w14:paraId="3C76B6F7" w14:textId="77777777" w:rsidR="001406AE" w:rsidRPr="003A2506" w:rsidRDefault="001406AE" w:rsidP="0034622E">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 </w:t>
            </w:r>
          </w:p>
        </w:tc>
        <w:tc>
          <w:tcPr>
            <w:tcW w:w="329" w:type="pct"/>
            <w:tcBorders>
              <w:top w:val="nil"/>
              <w:left w:val="nil"/>
              <w:bottom w:val="nil"/>
              <w:right w:val="nil"/>
            </w:tcBorders>
            <w:vAlign w:val="bottom"/>
          </w:tcPr>
          <w:p w14:paraId="315607B6" w14:textId="77777777" w:rsidR="001406AE" w:rsidRPr="003A2506" w:rsidRDefault="001406AE" w:rsidP="0034622E">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 </w:t>
            </w:r>
          </w:p>
        </w:tc>
        <w:tc>
          <w:tcPr>
            <w:tcW w:w="329" w:type="pct"/>
            <w:tcBorders>
              <w:top w:val="nil"/>
              <w:left w:val="nil"/>
              <w:bottom w:val="nil"/>
              <w:right w:val="nil"/>
            </w:tcBorders>
            <w:vAlign w:val="bottom"/>
          </w:tcPr>
          <w:p w14:paraId="4C728CC2" w14:textId="77777777" w:rsidR="001406AE" w:rsidRPr="003A2506" w:rsidRDefault="001406AE" w:rsidP="0034622E">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 </w:t>
            </w:r>
          </w:p>
        </w:tc>
        <w:tc>
          <w:tcPr>
            <w:tcW w:w="330" w:type="pct"/>
            <w:tcBorders>
              <w:top w:val="nil"/>
              <w:left w:val="nil"/>
              <w:bottom w:val="nil"/>
              <w:right w:val="nil"/>
            </w:tcBorders>
            <w:vAlign w:val="bottom"/>
          </w:tcPr>
          <w:p w14:paraId="618EDECB" w14:textId="77777777" w:rsidR="001406AE" w:rsidRPr="003A2506" w:rsidRDefault="001406AE" w:rsidP="0034622E">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71" w:type="pct"/>
            <w:tcBorders>
              <w:top w:val="nil"/>
              <w:left w:val="nil"/>
              <w:bottom w:val="nil"/>
              <w:right w:val="nil"/>
            </w:tcBorders>
            <w:vAlign w:val="bottom"/>
          </w:tcPr>
          <w:p w14:paraId="4105F64D" w14:textId="77777777" w:rsidR="001406AE" w:rsidRPr="003A2506" w:rsidRDefault="001406AE" w:rsidP="0034622E">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 </w:t>
            </w:r>
          </w:p>
        </w:tc>
        <w:tc>
          <w:tcPr>
            <w:tcW w:w="324" w:type="pct"/>
            <w:tcBorders>
              <w:top w:val="nil"/>
              <w:left w:val="nil"/>
              <w:bottom w:val="nil"/>
              <w:right w:val="nil"/>
            </w:tcBorders>
            <w:vAlign w:val="bottom"/>
          </w:tcPr>
          <w:p w14:paraId="1CC6B8AC" w14:textId="77777777" w:rsidR="001406AE" w:rsidRPr="003A2506" w:rsidRDefault="001406AE" w:rsidP="0034622E">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 </w:t>
            </w:r>
          </w:p>
        </w:tc>
      </w:tr>
      <w:tr w:rsidR="001406AE" w:rsidRPr="00F12E3D" w14:paraId="3D8F472D" w14:textId="77777777" w:rsidTr="0034622E">
        <w:trPr>
          <w:trHeight w:val="189"/>
          <w:jc w:val="center"/>
        </w:trPr>
        <w:tc>
          <w:tcPr>
            <w:tcW w:w="537" w:type="pct"/>
            <w:vAlign w:val="bottom"/>
          </w:tcPr>
          <w:p w14:paraId="479AD286" w14:textId="77777777" w:rsidR="001406AE" w:rsidRPr="00F12E3D" w:rsidRDefault="001406AE" w:rsidP="0034622E">
            <w:pPr>
              <w:tabs>
                <w:tab w:val="right" w:pos="1202"/>
              </w:tabs>
              <w:outlineLvl w:val="0"/>
              <w:rPr>
                <w:rFonts w:ascii="Arial" w:eastAsia="Calibri" w:hAnsi="Arial" w:cs="Arial"/>
                <w:color w:val="000000" w:themeColor="text1"/>
                <w:sz w:val="14"/>
                <w:szCs w:val="14"/>
              </w:rPr>
            </w:pPr>
            <w:r w:rsidRPr="00F12E3D">
              <w:rPr>
                <w:rFonts w:ascii="Arial" w:eastAsia="Calibri" w:hAnsi="Arial" w:cs="Arial"/>
                <w:color w:val="000000" w:themeColor="text1"/>
                <w:sz w:val="14"/>
                <w:szCs w:val="14"/>
              </w:rPr>
              <w:t>Krediti ostalim korisnicima</w:t>
            </w:r>
          </w:p>
        </w:tc>
        <w:tc>
          <w:tcPr>
            <w:tcW w:w="300" w:type="pct"/>
            <w:tcBorders>
              <w:top w:val="nil"/>
              <w:left w:val="nil"/>
              <w:bottom w:val="nil"/>
              <w:right w:val="nil"/>
            </w:tcBorders>
            <w:shd w:val="clear" w:color="auto" w:fill="auto"/>
            <w:vAlign w:val="bottom"/>
          </w:tcPr>
          <w:p w14:paraId="198B4BEE" w14:textId="77777777" w:rsidR="001406AE" w:rsidRPr="003A2506" w:rsidRDefault="001406AE" w:rsidP="0034622E">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1.773.734 </w:t>
            </w:r>
          </w:p>
        </w:tc>
        <w:tc>
          <w:tcPr>
            <w:tcW w:w="298" w:type="pct"/>
            <w:tcBorders>
              <w:top w:val="nil"/>
              <w:left w:val="nil"/>
              <w:bottom w:val="nil"/>
              <w:right w:val="nil"/>
            </w:tcBorders>
            <w:shd w:val="clear" w:color="auto" w:fill="auto"/>
            <w:vAlign w:val="bottom"/>
          </w:tcPr>
          <w:p w14:paraId="0FEC967F" w14:textId="77777777" w:rsidR="001406AE" w:rsidRPr="003A2506" w:rsidRDefault="001406AE" w:rsidP="0034622E">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260.005 </w:t>
            </w:r>
          </w:p>
        </w:tc>
        <w:tc>
          <w:tcPr>
            <w:tcW w:w="295" w:type="pct"/>
            <w:tcBorders>
              <w:top w:val="nil"/>
              <w:left w:val="nil"/>
              <w:bottom w:val="nil"/>
              <w:right w:val="nil"/>
            </w:tcBorders>
            <w:shd w:val="clear" w:color="auto" w:fill="auto"/>
            <w:vAlign w:val="bottom"/>
          </w:tcPr>
          <w:p w14:paraId="02563FFC" w14:textId="77777777" w:rsidR="001406AE" w:rsidRPr="003A2506" w:rsidRDefault="001406AE" w:rsidP="0034622E">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132.676 </w:t>
            </w:r>
          </w:p>
        </w:tc>
        <w:tc>
          <w:tcPr>
            <w:tcW w:w="287" w:type="pct"/>
            <w:tcBorders>
              <w:top w:val="nil"/>
              <w:left w:val="nil"/>
              <w:bottom w:val="nil"/>
              <w:right w:val="nil"/>
            </w:tcBorders>
            <w:shd w:val="clear" w:color="auto" w:fill="auto"/>
            <w:vAlign w:val="bottom"/>
          </w:tcPr>
          <w:p w14:paraId="41E162B7" w14:textId="77777777" w:rsidR="001406AE" w:rsidRPr="003A2506" w:rsidRDefault="001406AE" w:rsidP="0034622E">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5.463</w:t>
            </w:r>
          </w:p>
        </w:tc>
        <w:tc>
          <w:tcPr>
            <w:tcW w:w="291" w:type="pct"/>
            <w:tcBorders>
              <w:top w:val="nil"/>
              <w:left w:val="nil"/>
              <w:bottom w:val="nil"/>
              <w:right w:val="nil"/>
            </w:tcBorders>
            <w:shd w:val="clear" w:color="auto" w:fill="auto"/>
            <w:vAlign w:val="bottom"/>
          </w:tcPr>
          <w:p w14:paraId="7E94DAD9" w14:textId="77777777" w:rsidR="001406AE" w:rsidRPr="003A2506" w:rsidRDefault="001406AE" w:rsidP="0034622E">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179.318</w:t>
            </w:r>
          </w:p>
        </w:tc>
        <w:tc>
          <w:tcPr>
            <w:tcW w:w="318" w:type="pct"/>
            <w:tcBorders>
              <w:top w:val="nil"/>
              <w:left w:val="nil"/>
              <w:bottom w:val="nil"/>
              <w:right w:val="nil"/>
            </w:tcBorders>
            <w:shd w:val="clear" w:color="auto" w:fill="auto"/>
            <w:vAlign w:val="bottom"/>
          </w:tcPr>
          <w:p w14:paraId="2F9CBBE8" w14:textId="77777777" w:rsidR="001406AE" w:rsidRPr="003A2506" w:rsidRDefault="001406AE" w:rsidP="0034622E">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 </w:t>
            </w:r>
          </w:p>
        </w:tc>
        <w:tc>
          <w:tcPr>
            <w:tcW w:w="333" w:type="pct"/>
            <w:tcBorders>
              <w:top w:val="nil"/>
              <w:left w:val="nil"/>
              <w:bottom w:val="nil"/>
              <w:right w:val="nil"/>
            </w:tcBorders>
            <w:shd w:val="clear" w:color="auto" w:fill="auto"/>
            <w:vAlign w:val="bottom"/>
          </w:tcPr>
          <w:p w14:paraId="2AE17D89" w14:textId="77777777" w:rsidR="001406AE" w:rsidRPr="003A2506" w:rsidRDefault="001406AE" w:rsidP="0034622E">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2.351.196 </w:t>
            </w:r>
          </w:p>
        </w:tc>
        <w:tc>
          <w:tcPr>
            <w:tcW w:w="328" w:type="pct"/>
            <w:tcBorders>
              <w:top w:val="nil"/>
              <w:left w:val="nil"/>
              <w:bottom w:val="nil"/>
              <w:right w:val="nil"/>
            </w:tcBorders>
            <w:vAlign w:val="bottom"/>
          </w:tcPr>
          <w:p w14:paraId="2799CAD6" w14:textId="77777777" w:rsidR="001406AE" w:rsidRPr="003A2506" w:rsidRDefault="001406AE" w:rsidP="0034622E">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330.589 </w:t>
            </w:r>
          </w:p>
        </w:tc>
        <w:tc>
          <w:tcPr>
            <w:tcW w:w="329" w:type="pct"/>
            <w:tcBorders>
              <w:top w:val="nil"/>
              <w:left w:val="nil"/>
              <w:bottom w:val="nil"/>
              <w:right w:val="nil"/>
            </w:tcBorders>
            <w:vAlign w:val="bottom"/>
          </w:tcPr>
          <w:p w14:paraId="520733F4" w14:textId="77777777" w:rsidR="001406AE" w:rsidRPr="003A2506" w:rsidRDefault="001406AE" w:rsidP="0034622E">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29.668 </w:t>
            </w:r>
          </w:p>
        </w:tc>
        <w:tc>
          <w:tcPr>
            <w:tcW w:w="329" w:type="pct"/>
            <w:tcBorders>
              <w:top w:val="nil"/>
              <w:left w:val="nil"/>
              <w:bottom w:val="nil"/>
              <w:right w:val="nil"/>
            </w:tcBorders>
            <w:vAlign w:val="bottom"/>
          </w:tcPr>
          <w:p w14:paraId="79610B07" w14:textId="77777777" w:rsidR="001406AE" w:rsidRPr="003A2506" w:rsidRDefault="001406AE" w:rsidP="0034622E">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8.431 </w:t>
            </w:r>
          </w:p>
        </w:tc>
        <w:tc>
          <w:tcPr>
            <w:tcW w:w="329" w:type="pct"/>
            <w:tcBorders>
              <w:top w:val="nil"/>
              <w:left w:val="nil"/>
              <w:bottom w:val="nil"/>
              <w:right w:val="nil"/>
            </w:tcBorders>
            <w:vAlign w:val="bottom"/>
          </w:tcPr>
          <w:p w14:paraId="1AF10142" w14:textId="77777777" w:rsidR="001406AE" w:rsidRPr="003A2506" w:rsidRDefault="001406AE" w:rsidP="0034622E">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66</w:t>
            </w:r>
          </w:p>
        </w:tc>
        <w:tc>
          <w:tcPr>
            <w:tcW w:w="330" w:type="pct"/>
            <w:tcBorders>
              <w:top w:val="nil"/>
              <w:left w:val="nil"/>
              <w:bottom w:val="nil"/>
              <w:right w:val="nil"/>
            </w:tcBorders>
            <w:vAlign w:val="bottom"/>
          </w:tcPr>
          <w:p w14:paraId="2ACA023E" w14:textId="77777777" w:rsidR="001406AE" w:rsidRPr="003A2506" w:rsidRDefault="001406AE" w:rsidP="0034622E">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9.546</w:t>
            </w:r>
          </w:p>
        </w:tc>
        <w:tc>
          <w:tcPr>
            <w:tcW w:w="371" w:type="pct"/>
            <w:tcBorders>
              <w:top w:val="nil"/>
              <w:left w:val="nil"/>
              <w:bottom w:val="nil"/>
              <w:right w:val="nil"/>
            </w:tcBorders>
            <w:vAlign w:val="bottom"/>
          </w:tcPr>
          <w:p w14:paraId="22C4C005" w14:textId="77777777" w:rsidR="001406AE" w:rsidRPr="003A2506" w:rsidRDefault="001406AE" w:rsidP="0034622E">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 </w:t>
            </w:r>
          </w:p>
        </w:tc>
        <w:tc>
          <w:tcPr>
            <w:tcW w:w="324" w:type="pct"/>
            <w:tcBorders>
              <w:top w:val="nil"/>
              <w:left w:val="nil"/>
              <w:bottom w:val="nil"/>
              <w:right w:val="nil"/>
            </w:tcBorders>
            <w:vAlign w:val="bottom"/>
          </w:tcPr>
          <w:p w14:paraId="71073BD5" w14:textId="77777777" w:rsidR="001406AE" w:rsidRPr="003A2506" w:rsidRDefault="001406AE" w:rsidP="0034622E">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378.300 </w:t>
            </w:r>
          </w:p>
        </w:tc>
      </w:tr>
      <w:tr w:rsidR="001406AE" w:rsidRPr="00F12E3D" w14:paraId="553D3475" w14:textId="77777777" w:rsidTr="0034622E">
        <w:trPr>
          <w:trHeight w:val="189"/>
          <w:jc w:val="center"/>
        </w:trPr>
        <w:tc>
          <w:tcPr>
            <w:tcW w:w="537" w:type="pct"/>
            <w:vAlign w:val="bottom"/>
          </w:tcPr>
          <w:p w14:paraId="3CAA594C" w14:textId="77777777" w:rsidR="001406AE" w:rsidRPr="00F12E3D" w:rsidRDefault="001406AE" w:rsidP="0034622E">
            <w:pPr>
              <w:tabs>
                <w:tab w:val="right" w:pos="1202"/>
              </w:tabs>
              <w:outlineLvl w:val="0"/>
              <w:rPr>
                <w:rFonts w:ascii="Arial" w:eastAsia="Calibri" w:hAnsi="Arial" w:cs="Arial"/>
                <w:color w:val="000000" w:themeColor="text1"/>
                <w:sz w:val="14"/>
                <w:szCs w:val="14"/>
              </w:rPr>
            </w:pPr>
            <w:r w:rsidRPr="00F12E3D">
              <w:rPr>
                <w:rFonts w:ascii="Arial" w:eastAsia="Calibri" w:hAnsi="Arial" w:cs="Arial"/>
                <w:color w:val="000000" w:themeColor="text1"/>
                <w:sz w:val="14"/>
                <w:szCs w:val="14"/>
              </w:rPr>
              <w:t>Financijska imovina po fer vrijednosti kroz dobit ili gubitak</w:t>
            </w:r>
          </w:p>
        </w:tc>
        <w:tc>
          <w:tcPr>
            <w:tcW w:w="300" w:type="pct"/>
            <w:tcBorders>
              <w:top w:val="nil"/>
              <w:left w:val="nil"/>
              <w:bottom w:val="nil"/>
              <w:right w:val="nil"/>
            </w:tcBorders>
            <w:shd w:val="clear" w:color="auto" w:fill="auto"/>
            <w:vAlign w:val="bottom"/>
          </w:tcPr>
          <w:p w14:paraId="6E308B2E" w14:textId="77777777" w:rsidR="001406AE" w:rsidRPr="003A2506" w:rsidRDefault="001406AE" w:rsidP="0034622E">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98" w:type="pct"/>
            <w:tcBorders>
              <w:top w:val="nil"/>
              <w:left w:val="nil"/>
              <w:bottom w:val="nil"/>
              <w:right w:val="nil"/>
            </w:tcBorders>
            <w:shd w:val="clear" w:color="auto" w:fill="auto"/>
            <w:vAlign w:val="bottom"/>
          </w:tcPr>
          <w:p w14:paraId="575843FE" w14:textId="77777777" w:rsidR="001406AE" w:rsidRPr="003A2506" w:rsidRDefault="001406AE" w:rsidP="0034622E">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95" w:type="pct"/>
            <w:tcBorders>
              <w:top w:val="nil"/>
              <w:left w:val="nil"/>
              <w:bottom w:val="nil"/>
              <w:right w:val="nil"/>
            </w:tcBorders>
            <w:shd w:val="clear" w:color="auto" w:fill="auto"/>
            <w:vAlign w:val="bottom"/>
          </w:tcPr>
          <w:p w14:paraId="703550D8" w14:textId="77777777" w:rsidR="001406AE" w:rsidRPr="003A2506" w:rsidRDefault="001406AE" w:rsidP="0034622E">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87" w:type="pct"/>
            <w:tcBorders>
              <w:top w:val="nil"/>
              <w:left w:val="nil"/>
              <w:bottom w:val="nil"/>
              <w:right w:val="nil"/>
            </w:tcBorders>
            <w:shd w:val="clear" w:color="auto" w:fill="auto"/>
            <w:vAlign w:val="bottom"/>
          </w:tcPr>
          <w:p w14:paraId="486B6C0C" w14:textId="77777777" w:rsidR="001406AE" w:rsidRPr="003A2506" w:rsidRDefault="001406AE" w:rsidP="0034622E">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91" w:type="pct"/>
            <w:tcBorders>
              <w:top w:val="nil"/>
              <w:left w:val="nil"/>
              <w:bottom w:val="nil"/>
              <w:right w:val="nil"/>
            </w:tcBorders>
            <w:shd w:val="clear" w:color="auto" w:fill="auto"/>
            <w:vAlign w:val="bottom"/>
          </w:tcPr>
          <w:p w14:paraId="5C1CF2AE" w14:textId="77777777" w:rsidR="001406AE" w:rsidRPr="003A2506" w:rsidRDefault="001406AE" w:rsidP="0034622E">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18" w:type="pct"/>
            <w:tcBorders>
              <w:top w:val="nil"/>
              <w:left w:val="nil"/>
              <w:bottom w:val="nil"/>
              <w:right w:val="nil"/>
            </w:tcBorders>
            <w:shd w:val="clear" w:color="auto" w:fill="auto"/>
            <w:vAlign w:val="bottom"/>
          </w:tcPr>
          <w:p w14:paraId="5D96F3BF" w14:textId="77777777" w:rsidR="001406AE" w:rsidRPr="003A2506" w:rsidRDefault="001406AE" w:rsidP="0034622E">
            <w:pPr>
              <w:jc w:val="right"/>
              <w:rPr>
                <w:rFonts w:ascii="Arial" w:eastAsia="Calibri" w:hAnsi="Arial" w:cs="Arial"/>
                <w:color w:val="000000" w:themeColor="text1"/>
                <w:sz w:val="14"/>
                <w:szCs w:val="14"/>
              </w:rPr>
            </w:pPr>
            <w:r w:rsidRPr="0088632B">
              <w:rPr>
                <w:rFonts w:ascii="Arial" w:eastAsia="Calibri" w:hAnsi="Arial" w:cs="Arial"/>
                <w:color w:val="000000" w:themeColor="text1"/>
                <w:sz w:val="14"/>
                <w:szCs w:val="14"/>
              </w:rPr>
              <w:t>33.709</w:t>
            </w:r>
          </w:p>
        </w:tc>
        <w:tc>
          <w:tcPr>
            <w:tcW w:w="333" w:type="pct"/>
            <w:tcBorders>
              <w:top w:val="nil"/>
              <w:left w:val="nil"/>
              <w:bottom w:val="nil"/>
              <w:right w:val="nil"/>
            </w:tcBorders>
            <w:shd w:val="clear" w:color="auto" w:fill="auto"/>
            <w:vAlign w:val="bottom"/>
          </w:tcPr>
          <w:p w14:paraId="0311CDDE" w14:textId="77777777" w:rsidR="001406AE" w:rsidRPr="003A2506" w:rsidRDefault="001406AE" w:rsidP="0034622E">
            <w:pPr>
              <w:jc w:val="right"/>
              <w:rPr>
                <w:rFonts w:ascii="Arial" w:eastAsia="Calibri" w:hAnsi="Arial" w:cs="Arial"/>
                <w:color w:val="000000" w:themeColor="text1"/>
                <w:sz w:val="14"/>
                <w:szCs w:val="14"/>
              </w:rPr>
            </w:pPr>
            <w:r w:rsidRPr="0088632B">
              <w:rPr>
                <w:rFonts w:ascii="Arial" w:eastAsia="Calibri" w:hAnsi="Arial" w:cs="Arial"/>
                <w:color w:val="000000" w:themeColor="text1"/>
                <w:sz w:val="14"/>
                <w:szCs w:val="14"/>
              </w:rPr>
              <w:t>33.709</w:t>
            </w:r>
          </w:p>
        </w:tc>
        <w:tc>
          <w:tcPr>
            <w:tcW w:w="328" w:type="pct"/>
            <w:tcBorders>
              <w:top w:val="nil"/>
              <w:left w:val="nil"/>
              <w:bottom w:val="nil"/>
              <w:right w:val="nil"/>
            </w:tcBorders>
            <w:shd w:val="clear" w:color="auto" w:fill="auto"/>
            <w:vAlign w:val="bottom"/>
          </w:tcPr>
          <w:p w14:paraId="5D136B34" w14:textId="77777777" w:rsidR="001406AE" w:rsidRPr="003A2506" w:rsidRDefault="001406AE" w:rsidP="0034622E">
            <w:pPr>
              <w:jc w:val="right"/>
              <w:rPr>
                <w:rFonts w:ascii="Arial" w:eastAsia="Calibri" w:hAnsi="Arial" w:cs="Arial"/>
                <w:color w:val="000000" w:themeColor="text1"/>
                <w:sz w:val="14"/>
                <w:szCs w:val="14"/>
              </w:rPr>
            </w:pPr>
            <w:r w:rsidRPr="00F959D0">
              <w:rPr>
                <w:rFonts w:ascii="Arial" w:eastAsia="Calibri" w:hAnsi="Arial" w:cs="Arial"/>
                <w:color w:val="000000" w:themeColor="text1"/>
                <w:sz w:val="14"/>
                <w:szCs w:val="14"/>
              </w:rPr>
              <w:t xml:space="preserve"> </w:t>
            </w:r>
            <w:r>
              <w:rPr>
                <w:rFonts w:ascii="Arial" w:eastAsia="Calibri" w:hAnsi="Arial" w:cs="Arial"/>
                <w:color w:val="000000" w:themeColor="text1"/>
                <w:sz w:val="14"/>
                <w:szCs w:val="14"/>
              </w:rPr>
              <w:t>-</w:t>
            </w:r>
            <w:r w:rsidRPr="00F959D0">
              <w:rPr>
                <w:rFonts w:ascii="Arial" w:eastAsia="Calibri" w:hAnsi="Arial" w:cs="Arial"/>
                <w:color w:val="000000" w:themeColor="text1"/>
                <w:sz w:val="14"/>
                <w:szCs w:val="14"/>
              </w:rPr>
              <w:t xml:space="preserve"> </w:t>
            </w:r>
          </w:p>
        </w:tc>
        <w:tc>
          <w:tcPr>
            <w:tcW w:w="329" w:type="pct"/>
            <w:tcBorders>
              <w:top w:val="nil"/>
              <w:left w:val="nil"/>
              <w:bottom w:val="nil"/>
              <w:right w:val="nil"/>
            </w:tcBorders>
            <w:shd w:val="clear" w:color="auto" w:fill="auto"/>
            <w:vAlign w:val="bottom"/>
          </w:tcPr>
          <w:p w14:paraId="4D049484" w14:textId="77777777" w:rsidR="001406AE" w:rsidRPr="003A2506" w:rsidRDefault="001406AE" w:rsidP="0034622E">
            <w:pPr>
              <w:jc w:val="right"/>
              <w:rPr>
                <w:rFonts w:ascii="Arial" w:eastAsia="Calibri" w:hAnsi="Arial" w:cs="Arial"/>
                <w:color w:val="000000" w:themeColor="text1"/>
                <w:sz w:val="14"/>
                <w:szCs w:val="14"/>
              </w:rPr>
            </w:pPr>
            <w:r w:rsidRPr="00F959D0">
              <w:rPr>
                <w:rFonts w:ascii="Arial" w:eastAsia="Calibri" w:hAnsi="Arial" w:cs="Arial"/>
                <w:color w:val="000000" w:themeColor="text1"/>
                <w:sz w:val="14"/>
                <w:szCs w:val="14"/>
              </w:rPr>
              <w:t xml:space="preserve"> - </w:t>
            </w:r>
          </w:p>
        </w:tc>
        <w:tc>
          <w:tcPr>
            <w:tcW w:w="329" w:type="pct"/>
            <w:tcBorders>
              <w:top w:val="nil"/>
              <w:left w:val="nil"/>
              <w:bottom w:val="nil"/>
              <w:right w:val="nil"/>
            </w:tcBorders>
            <w:shd w:val="clear" w:color="auto" w:fill="auto"/>
            <w:vAlign w:val="bottom"/>
          </w:tcPr>
          <w:p w14:paraId="43C268A4" w14:textId="77777777" w:rsidR="001406AE" w:rsidRPr="003A2506" w:rsidRDefault="001406AE" w:rsidP="0034622E">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r w:rsidRPr="00F959D0">
              <w:rPr>
                <w:rFonts w:ascii="Arial" w:eastAsia="Calibri" w:hAnsi="Arial" w:cs="Arial"/>
                <w:color w:val="000000" w:themeColor="text1"/>
                <w:sz w:val="14"/>
                <w:szCs w:val="14"/>
              </w:rPr>
              <w:t xml:space="preserve"> </w:t>
            </w:r>
          </w:p>
        </w:tc>
        <w:tc>
          <w:tcPr>
            <w:tcW w:w="329" w:type="pct"/>
            <w:tcBorders>
              <w:top w:val="nil"/>
              <w:left w:val="nil"/>
              <w:bottom w:val="nil"/>
              <w:right w:val="nil"/>
            </w:tcBorders>
            <w:shd w:val="clear" w:color="auto" w:fill="auto"/>
            <w:vAlign w:val="bottom"/>
          </w:tcPr>
          <w:p w14:paraId="14352982" w14:textId="77777777" w:rsidR="001406AE" w:rsidRPr="003A2506" w:rsidRDefault="001406AE" w:rsidP="0034622E">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0" w:type="pct"/>
            <w:tcBorders>
              <w:top w:val="nil"/>
              <w:left w:val="nil"/>
              <w:bottom w:val="nil"/>
              <w:right w:val="nil"/>
            </w:tcBorders>
            <w:vAlign w:val="bottom"/>
          </w:tcPr>
          <w:p w14:paraId="5686101B" w14:textId="77777777" w:rsidR="001406AE" w:rsidRPr="003A2506" w:rsidRDefault="001406AE" w:rsidP="0034622E">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71" w:type="pct"/>
            <w:tcBorders>
              <w:top w:val="nil"/>
              <w:left w:val="nil"/>
              <w:bottom w:val="nil"/>
              <w:right w:val="nil"/>
            </w:tcBorders>
            <w:shd w:val="clear" w:color="auto" w:fill="auto"/>
            <w:vAlign w:val="bottom"/>
          </w:tcPr>
          <w:p w14:paraId="7024B844" w14:textId="77777777" w:rsidR="001406AE" w:rsidRPr="003A2506" w:rsidRDefault="001406AE" w:rsidP="0034622E">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158</w:t>
            </w:r>
          </w:p>
        </w:tc>
        <w:tc>
          <w:tcPr>
            <w:tcW w:w="324" w:type="pct"/>
            <w:tcBorders>
              <w:top w:val="nil"/>
              <w:left w:val="nil"/>
              <w:bottom w:val="nil"/>
              <w:right w:val="nil"/>
            </w:tcBorders>
            <w:shd w:val="clear" w:color="auto" w:fill="auto"/>
            <w:vAlign w:val="bottom"/>
          </w:tcPr>
          <w:p w14:paraId="4BBE0E73" w14:textId="77777777" w:rsidR="001406AE" w:rsidRPr="003A2506" w:rsidRDefault="001406AE" w:rsidP="0034622E">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158</w:t>
            </w:r>
          </w:p>
        </w:tc>
      </w:tr>
      <w:tr w:rsidR="001406AE" w:rsidRPr="00F12E3D" w14:paraId="36D0DE42" w14:textId="77777777" w:rsidTr="0034622E">
        <w:trPr>
          <w:trHeight w:val="189"/>
          <w:jc w:val="center"/>
        </w:trPr>
        <w:tc>
          <w:tcPr>
            <w:tcW w:w="537" w:type="pct"/>
            <w:vAlign w:val="bottom"/>
          </w:tcPr>
          <w:p w14:paraId="28124ED0" w14:textId="77777777" w:rsidR="001406AE" w:rsidRPr="00F12E3D" w:rsidRDefault="001406AE" w:rsidP="0034622E">
            <w:pPr>
              <w:tabs>
                <w:tab w:val="right" w:pos="1202"/>
              </w:tabs>
              <w:outlineLvl w:val="0"/>
              <w:rPr>
                <w:rFonts w:ascii="Arial" w:eastAsia="Calibri" w:hAnsi="Arial" w:cs="Arial"/>
                <w:color w:val="000000" w:themeColor="text1"/>
                <w:sz w:val="14"/>
                <w:szCs w:val="14"/>
              </w:rPr>
            </w:pPr>
            <w:r w:rsidRPr="00F12E3D">
              <w:rPr>
                <w:rFonts w:ascii="Arial" w:eastAsia="Calibri" w:hAnsi="Arial" w:cs="Arial"/>
                <w:color w:val="000000" w:themeColor="text1"/>
                <w:sz w:val="14"/>
                <w:szCs w:val="14"/>
              </w:rPr>
              <w:t>Financijska imovina po fer vrijednosti kroz ostalu sveobuhvatnu dobit</w:t>
            </w:r>
          </w:p>
        </w:tc>
        <w:tc>
          <w:tcPr>
            <w:tcW w:w="300" w:type="pct"/>
            <w:tcBorders>
              <w:top w:val="nil"/>
              <w:left w:val="nil"/>
              <w:bottom w:val="nil"/>
              <w:right w:val="nil"/>
            </w:tcBorders>
            <w:shd w:val="clear" w:color="auto" w:fill="auto"/>
            <w:vAlign w:val="bottom"/>
          </w:tcPr>
          <w:p w14:paraId="61664106" w14:textId="77777777" w:rsidR="001406AE" w:rsidRPr="003A2506" w:rsidRDefault="001406AE" w:rsidP="0034622E">
            <w:pPr>
              <w:jc w:val="right"/>
              <w:rPr>
                <w:rFonts w:ascii="Arial" w:eastAsia="Calibri" w:hAnsi="Arial" w:cs="Arial"/>
                <w:color w:val="000000" w:themeColor="text1"/>
                <w:sz w:val="14"/>
                <w:szCs w:val="14"/>
              </w:rPr>
            </w:pPr>
            <w:r w:rsidRPr="0088632B">
              <w:rPr>
                <w:rFonts w:ascii="Arial" w:eastAsia="Calibri" w:hAnsi="Arial" w:cs="Arial"/>
                <w:color w:val="000000" w:themeColor="text1"/>
                <w:sz w:val="14"/>
                <w:szCs w:val="14"/>
              </w:rPr>
              <w:t>227.239</w:t>
            </w:r>
          </w:p>
        </w:tc>
        <w:tc>
          <w:tcPr>
            <w:tcW w:w="298" w:type="pct"/>
            <w:tcBorders>
              <w:top w:val="nil"/>
              <w:left w:val="nil"/>
              <w:bottom w:val="nil"/>
              <w:right w:val="nil"/>
            </w:tcBorders>
            <w:shd w:val="clear" w:color="auto" w:fill="auto"/>
            <w:vAlign w:val="bottom"/>
          </w:tcPr>
          <w:p w14:paraId="2AD97D9D" w14:textId="77777777" w:rsidR="001406AE" w:rsidRPr="003A2506" w:rsidRDefault="001406AE" w:rsidP="0034622E">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95" w:type="pct"/>
            <w:tcBorders>
              <w:top w:val="nil"/>
              <w:left w:val="nil"/>
              <w:bottom w:val="nil"/>
              <w:right w:val="nil"/>
            </w:tcBorders>
            <w:shd w:val="clear" w:color="auto" w:fill="auto"/>
            <w:vAlign w:val="bottom"/>
          </w:tcPr>
          <w:p w14:paraId="74B4C23B" w14:textId="77777777" w:rsidR="001406AE" w:rsidRPr="003A2506" w:rsidRDefault="001406AE" w:rsidP="0034622E">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195</w:t>
            </w:r>
          </w:p>
        </w:tc>
        <w:tc>
          <w:tcPr>
            <w:tcW w:w="287" w:type="pct"/>
            <w:tcBorders>
              <w:top w:val="nil"/>
              <w:left w:val="nil"/>
              <w:bottom w:val="nil"/>
              <w:right w:val="nil"/>
            </w:tcBorders>
            <w:shd w:val="clear" w:color="auto" w:fill="auto"/>
            <w:vAlign w:val="bottom"/>
          </w:tcPr>
          <w:p w14:paraId="558C353D" w14:textId="77777777" w:rsidR="001406AE" w:rsidRPr="003A2506" w:rsidRDefault="001406AE" w:rsidP="0034622E">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91" w:type="pct"/>
            <w:tcBorders>
              <w:top w:val="nil"/>
              <w:left w:val="nil"/>
              <w:bottom w:val="nil"/>
              <w:right w:val="nil"/>
            </w:tcBorders>
            <w:shd w:val="clear" w:color="auto" w:fill="auto"/>
            <w:vAlign w:val="bottom"/>
          </w:tcPr>
          <w:p w14:paraId="7EE33CE6" w14:textId="77777777" w:rsidR="001406AE" w:rsidRPr="003A2506" w:rsidRDefault="001406AE" w:rsidP="0034622E">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18" w:type="pct"/>
            <w:tcBorders>
              <w:top w:val="nil"/>
              <w:left w:val="nil"/>
              <w:bottom w:val="nil"/>
              <w:right w:val="nil"/>
            </w:tcBorders>
            <w:shd w:val="clear" w:color="auto" w:fill="auto"/>
            <w:vAlign w:val="bottom"/>
          </w:tcPr>
          <w:p w14:paraId="6EA4384A" w14:textId="77777777" w:rsidR="001406AE" w:rsidRPr="003A2506" w:rsidRDefault="001406AE" w:rsidP="0034622E">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3" w:type="pct"/>
            <w:tcBorders>
              <w:top w:val="nil"/>
              <w:left w:val="nil"/>
              <w:bottom w:val="nil"/>
              <w:right w:val="nil"/>
            </w:tcBorders>
            <w:shd w:val="clear" w:color="auto" w:fill="auto"/>
            <w:vAlign w:val="bottom"/>
          </w:tcPr>
          <w:p w14:paraId="2D106F16" w14:textId="77777777" w:rsidR="001406AE" w:rsidRPr="003A2506" w:rsidRDefault="001406AE" w:rsidP="0034622E">
            <w:pPr>
              <w:jc w:val="right"/>
              <w:rPr>
                <w:rFonts w:ascii="Arial" w:eastAsia="Calibri" w:hAnsi="Arial" w:cs="Arial"/>
                <w:color w:val="000000" w:themeColor="text1"/>
                <w:sz w:val="14"/>
                <w:szCs w:val="14"/>
              </w:rPr>
            </w:pPr>
            <w:r w:rsidRPr="0088632B">
              <w:rPr>
                <w:rFonts w:ascii="Arial" w:eastAsia="Calibri" w:hAnsi="Arial" w:cs="Arial"/>
                <w:color w:val="000000" w:themeColor="text1"/>
                <w:sz w:val="14"/>
                <w:szCs w:val="14"/>
              </w:rPr>
              <w:t>227.434</w:t>
            </w:r>
          </w:p>
        </w:tc>
        <w:tc>
          <w:tcPr>
            <w:tcW w:w="328" w:type="pct"/>
            <w:tcBorders>
              <w:top w:val="nil"/>
              <w:left w:val="nil"/>
              <w:bottom w:val="nil"/>
              <w:right w:val="nil"/>
            </w:tcBorders>
            <w:shd w:val="clear" w:color="auto" w:fill="auto"/>
            <w:vAlign w:val="bottom"/>
          </w:tcPr>
          <w:p w14:paraId="6A8270BD" w14:textId="77777777" w:rsidR="001406AE" w:rsidRPr="003A2506" w:rsidRDefault="001406AE" w:rsidP="0034622E">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227.239 </w:t>
            </w:r>
          </w:p>
        </w:tc>
        <w:tc>
          <w:tcPr>
            <w:tcW w:w="329" w:type="pct"/>
            <w:tcBorders>
              <w:top w:val="nil"/>
              <w:left w:val="nil"/>
              <w:bottom w:val="nil"/>
              <w:right w:val="nil"/>
            </w:tcBorders>
            <w:shd w:val="clear" w:color="auto" w:fill="auto"/>
            <w:vAlign w:val="bottom"/>
          </w:tcPr>
          <w:p w14:paraId="292BE305" w14:textId="77777777" w:rsidR="001406AE" w:rsidRPr="003A2506" w:rsidRDefault="001406AE" w:rsidP="0034622E">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 </w:t>
            </w:r>
          </w:p>
        </w:tc>
        <w:tc>
          <w:tcPr>
            <w:tcW w:w="329" w:type="pct"/>
            <w:tcBorders>
              <w:top w:val="nil"/>
              <w:left w:val="nil"/>
              <w:bottom w:val="nil"/>
              <w:right w:val="nil"/>
            </w:tcBorders>
            <w:shd w:val="clear" w:color="auto" w:fill="auto"/>
            <w:vAlign w:val="bottom"/>
          </w:tcPr>
          <w:p w14:paraId="13B100EC" w14:textId="77777777" w:rsidR="001406AE" w:rsidRPr="003A2506" w:rsidRDefault="001406AE" w:rsidP="0034622E">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195 </w:t>
            </w:r>
          </w:p>
        </w:tc>
        <w:tc>
          <w:tcPr>
            <w:tcW w:w="329" w:type="pct"/>
            <w:tcBorders>
              <w:top w:val="nil"/>
              <w:left w:val="nil"/>
              <w:bottom w:val="nil"/>
              <w:right w:val="nil"/>
            </w:tcBorders>
            <w:shd w:val="clear" w:color="auto" w:fill="auto"/>
            <w:vAlign w:val="bottom"/>
          </w:tcPr>
          <w:p w14:paraId="087D29DE" w14:textId="77777777" w:rsidR="001406AE" w:rsidRPr="003A2506" w:rsidRDefault="001406AE" w:rsidP="0034622E">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0" w:type="pct"/>
            <w:tcBorders>
              <w:top w:val="nil"/>
              <w:left w:val="nil"/>
              <w:bottom w:val="nil"/>
              <w:right w:val="nil"/>
            </w:tcBorders>
            <w:shd w:val="clear" w:color="auto" w:fill="auto"/>
            <w:vAlign w:val="bottom"/>
          </w:tcPr>
          <w:p w14:paraId="44BBCBBE" w14:textId="77777777" w:rsidR="001406AE" w:rsidRPr="003A2506" w:rsidRDefault="001406AE" w:rsidP="0034622E">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71" w:type="pct"/>
            <w:tcBorders>
              <w:top w:val="nil"/>
              <w:left w:val="nil"/>
              <w:bottom w:val="nil"/>
              <w:right w:val="nil"/>
            </w:tcBorders>
            <w:shd w:val="clear" w:color="auto" w:fill="auto"/>
            <w:vAlign w:val="bottom"/>
          </w:tcPr>
          <w:p w14:paraId="7384044C" w14:textId="77777777" w:rsidR="001406AE" w:rsidRPr="003A2506" w:rsidRDefault="001406AE" w:rsidP="0034622E">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4" w:type="pct"/>
            <w:tcBorders>
              <w:top w:val="nil"/>
              <w:left w:val="nil"/>
              <w:bottom w:val="nil"/>
              <w:right w:val="nil"/>
            </w:tcBorders>
            <w:shd w:val="clear" w:color="auto" w:fill="auto"/>
            <w:vAlign w:val="bottom"/>
          </w:tcPr>
          <w:p w14:paraId="2AA5D45E" w14:textId="77777777" w:rsidR="001406AE" w:rsidRPr="003A2506" w:rsidRDefault="001406AE" w:rsidP="0034622E">
            <w:pPr>
              <w:jc w:val="right"/>
              <w:rPr>
                <w:rFonts w:ascii="Arial" w:eastAsia="Calibri" w:hAnsi="Arial" w:cs="Arial"/>
                <w:color w:val="000000" w:themeColor="text1"/>
                <w:sz w:val="14"/>
                <w:szCs w:val="14"/>
              </w:rPr>
            </w:pPr>
            <w:r w:rsidRPr="0088632B">
              <w:rPr>
                <w:rFonts w:ascii="Arial" w:eastAsia="Calibri" w:hAnsi="Arial" w:cs="Arial"/>
                <w:color w:val="000000" w:themeColor="text1"/>
                <w:sz w:val="14"/>
                <w:szCs w:val="14"/>
              </w:rPr>
              <w:t>227.434</w:t>
            </w:r>
          </w:p>
        </w:tc>
      </w:tr>
      <w:tr w:rsidR="001406AE" w:rsidRPr="00F12E3D" w14:paraId="2A5F659D" w14:textId="77777777" w:rsidTr="0034622E">
        <w:trPr>
          <w:trHeight w:val="189"/>
          <w:jc w:val="center"/>
        </w:trPr>
        <w:tc>
          <w:tcPr>
            <w:tcW w:w="537" w:type="pct"/>
            <w:vAlign w:val="bottom"/>
          </w:tcPr>
          <w:p w14:paraId="05EB6817" w14:textId="77777777" w:rsidR="001406AE" w:rsidRPr="00F12E3D" w:rsidRDefault="001406AE" w:rsidP="0034622E">
            <w:pPr>
              <w:tabs>
                <w:tab w:val="right" w:pos="1202"/>
              </w:tabs>
              <w:outlineLvl w:val="0"/>
              <w:rPr>
                <w:rFonts w:ascii="Arial" w:eastAsia="Calibri" w:hAnsi="Arial" w:cs="Arial"/>
                <w:color w:val="000000" w:themeColor="text1"/>
                <w:sz w:val="14"/>
                <w:szCs w:val="14"/>
              </w:rPr>
            </w:pPr>
            <w:r w:rsidRPr="00F12E3D">
              <w:rPr>
                <w:rFonts w:ascii="Arial" w:eastAsia="Calibri" w:hAnsi="Arial" w:cs="Arial"/>
                <w:color w:val="000000" w:themeColor="text1"/>
                <w:sz w:val="14"/>
                <w:szCs w:val="14"/>
              </w:rPr>
              <w:t>Ostala imovina</w:t>
            </w:r>
          </w:p>
        </w:tc>
        <w:tc>
          <w:tcPr>
            <w:tcW w:w="300" w:type="pct"/>
            <w:tcBorders>
              <w:top w:val="nil"/>
              <w:left w:val="nil"/>
              <w:bottom w:val="single" w:sz="8" w:space="0" w:color="auto"/>
              <w:right w:val="nil"/>
            </w:tcBorders>
            <w:shd w:val="clear" w:color="auto" w:fill="auto"/>
            <w:vAlign w:val="bottom"/>
          </w:tcPr>
          <w:p w14:paraId="3304F33A" w14:textId="77777777" w:rsidR="001406AE" w:rsidRPr="003A2506" w:rsidRDefault="001406AE" w:rsidP="0034622E">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1.617</w:t>
            </w:r>
            <w:r w:rsidRPr="00F959D0">
              <w:rPr>
                <w:rFonts w:ascii="Arial" w:eastAsia="Calibri" w:hAnsi="Arial" w:cs="Arial"/>
                <w:color w:val="000000" w:themeColor="text1"/>
                <w:sz w:val="14"/>
                <w:szCs w:val="14"/>
              </w:rPr>
              <w:t xml:space="preserve"> </w:t>
            </w:r>
          </w:p>
        </w:tc>
        <w:tc>
          <w:tcPr>
            <w:tcW w:w="298" w:type="pct"/>
            <w:tcBorders>
              <w:top w:val="nil"/>
              <w:left w:val="nil"/>
              <w:bottom w:val="single" w:sz="8" w:space="0" w:color="auto"/>
              <w:right w:val="nil"/>
            </w:tcBorders>
            <w:shd w:val="clear" w:color="auto" w:fill="auto"/>
            <w:vAlign w:val="bottom"/>
          </w:tcPr>
          <w:p w14:paraId="5FF3CCBD" w14:textId="77777777" w:rsidR="001406AE" w:rsidRPr="003A2506" w:rsidRDefault="001406AE" w:rsidP="0034622E">
            <w:pPr>
              <w:jc w:val="right"/>
              <w:rPr>
                <w:rFonts w:ascii="Arial" w:eastAsia="Calibri" w:hAnsi="Arial" w:cs="Arial"/>
                <w:color w:val="000000" w:themeColor="text1"/>
                <w:sz w:val="14"/>
                <w:szCs w:val="14"/>
              </w:rPr>
            </w:pPr>
            <w:r w:rsidRPr="00F959D0">
              <w:rPr>
                <w:rFonts w:ascii="Arial" w:eastAsia="Calibri" w:hAnsi="Arial" w:cs="Arial"/>
                <w:color w:val="000000" w:themeColor="text1"/>
                <w:sz w:val="14"/>
                <w:szCs w:val="14"/>
              </w:rPr>
              <w:t xml:space="preserve"> 11 </w:t>
            </w:r>
          </w:p>
        </w:tc>
        <w:tc>
          <w:tcPr>
            <w:tcW w:w="295" w:type="pct"/>
            <w:tcBorders>
              <w:top w:val="nil"/>
              <w:left w:val="nil"/>
              <w:bottom w:val="single" w:sz="8" w:space="0" w:color="auto"/>
              <w:right w:val="nil"/>
            </w:tcBorders>
            <w:shd w:val="clear" w:color="auto" w:fill="auto"/>
            <w:vAlign w:val="bottom"/>
          </w:tcPr>
          <w:p w14:paraId="2702523E" w14:textId="77777777" w:rsidR="001406AE" w:rsidRPr="003A2506" w:rsidRDefault="001406AE" w:rsidP="0034622E">
            <w:pPr>
              <w:jc w:val="right"/>
              <w:rPr>
                <w:rFonts w:ascii="Arial" w:eastAsia="Calibri" w:hAnsi="Arial" w:cs="Arial"/>
                <w:color w:val="000000" w:themeColor="text1"/>
                <w:sz w:val="14"/>
                <w:szCs w:val="14"/>
              </w:rPr>
            </w:pPr>
            <w:r w:rsidRPr="00F959D0">
              <w:rPr>
                <w:rFonts w:ascii="Arial" w:eastAsia="Calibri" w:hAnsi="Arial" w:cs="Arial"/>
                <w:color w:val="000000" w:themeColor="text1"/>
                <w:sz w:val="14"/>
                <w:szCs w:val="14"/>
              </w:rPr>
              <w:t xml:space="preserve"> 205 </w:t>
            </w:r>
          </w:p>
        </w:tc>
        <w:tc>
          <w:tcPr>
            <w:tcW w:w="287" w:type="pct"/>
            <w:tcBorders>
              <w:top w:val="nil"/>
              <w:left w:val="nil"/>
              <w:bottom w:val="single" w:sz="8" w:space="0" w:color="auto"/>
              <w:right w:val="nil"/>
            </w:tcBorders>
            <w:shd w:val="clear" w:color="auto" w:fill="auto"/>
            <w:vAlign w:val="bottom"/>
          </w:tcPr>
          <w:p w14:paraId="1F19D75D" w14:textId="77777777" w:rsidR="001406AE" w:rsidRPr="003A2506" w:rsidRDefault="001406AE" w:rsidP="0034622E">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91" w:type="pct"/>
            <w:tcBorders>
              <w:top w:val="nil"/>
              <w:left w:val="nil"/>
              <w:bottom w:val="single" w:sz="8" w:space="0" w:color="auto"/>
              <w:right w:val="nil"/>
            </w:tcBorders>
            <w:shd w:val="clear" w:color="auto" w:fill="auto"/>
            <w:vAlign w:val="bottom"/>
          </w:tcPr>
          <w:p w14:paraId="3D67BF29" w14:textId="77777777" w:rsidR="001406AE" w:rsidRPr="003A2506" w:rsidRDefault="001406AE" w:rsidP="0034622E">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7</w:t>
            </w:r>
          </w:p>
        </w:tc>
        <w:tc>
          <w:tcPr>
            <w:tcW w:w="318" w:type="pct"/>
            <w:tcBorders>
              <w:top w:val="nil"/>
              <w:left w:val="nil"/>
              <w:bottom w:val="single" w:sz="8" w:space="0" w:color="auto"/>
              <w:right w:val="nil"/>
            </w:tcBorders>
            <w:shd w:val="clear" w:color="auto" w:fill="auto"/>
            <w:vAlign w:val="bottom"/>
          </w:tcPr>
          <w:p w14:paraId="501D6076" w14:textId="77777777" w:rsidR="001406AE" w:rsidRPr="003A2506" w:rsidRDefault="001406AE" w:rsidP="0034622E">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3" w:type="pct"/>
            <w:tcBorders>
              <w:top w:val="nil"/>
              <w:left w:val="nil"/>
              <w:bottom w:val="single" w:sz="8" w:space="0" w:color="auto"/>
              <w:right w:val="nil"/>
            </w:tcBorders>
            <w:shd w:val="clear" w:color="auto" w:fill="auto"/>
            <w:vAlign w:val="bottom"/>
          </w:tcPr>
          <w:p w14:paraId="120A5D2C" w14:textId="77777777" w:rsidR="001406AE" w:rsidRPr="003A2506" w:rsidRDefault="001406AE" w:rsidP="0034622E">
            <w:pPr>
              <w:jc w:val="right"/>
              <w:rPr>
                <w:rFonts w:ascii="Arial" w:eastAsia="Calibri" w:hAnsi="Arial" w:cs="Arial"/>
                <w:color w:val="000000" w:themeColor="text1"/>
                <w:sz w:val="14"/>
                <w:szCs w:val="14"/>
              </w:rPr>
            </w:pPr>
            <w:r w:rsidRPr="0088632B">
              <w:rPr>
                <w:rFonts w:ascii="Arial" w:eastAsia="Calibri" w:hAnsi="Arial" w:cs="Arial"/>
                <w:color w:val="000000" w:themeColor="text1"/>
                <w:sz w:val="14"/>
                <w:szCs w:val="14"/>
              </w:rPr>
              <w:t>1.</w:t>
            </w:r>
            <w:r>
              <w:rPr>
                <w:rFonts w:ascii="Arial" w:eastAsia="Calibri" w:hAnsi="Arial" w:cs="Arial"/>
                <w:color w:val="000000" w:themeColor="text1"/>
                <w:sz w:val="14"/>
                <w:szCs w:val="14"/>
              </w:rPr>
              <w:t>840</w:t>
            </w:r>
          </w:p>
        </w:tc>
        <w:tc>
          <w:tcPr>
            <w:tcW w:w="328" w:type="pct"/>
            <w:tcBorders>
              <w:top w:val="nil"/>
              <w:left w:val="nil"/>
              <w:bottom w:val="single" w:sz="8" w:space="0" w:color="auto"/>
              <w:right w:val="nil"/>
            </w:tcBorders>
            <w:shd w:val="clear" w:color="auto" w:fill="auto"/>
            <w:vAlign w:val="bottom"/>
          </w:tcPr>
          <w:p w14:paraId="32A50D58" w14:textId="77777777" w:rsidR="001406AE" w:rsidRPr="003A2506" w:rsidRDefault="001406AE" w:rsidP="0034622E">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869</w:t>
            </w:r>
          </w:p>
        </w:tc>
        <w:tc>
          <w:tcPr>
            <w:tcW w:w="329" w:type="pct"/>
            <w:tcBorders>
              <w:top w:val="nil"/>
              <w:left w:val="nil"/>
              <w:bottom w:val="single" w:sz="8" w:space="0" w:color="auto"/>
              <w:right w:val="nil"/>
            </w:tcBorders>
            <w:shd w:val="clear" w:color="auto" w:fill="auto"/>
            <w:vAlign w:val="bottom"/>
          </w:tcPr>
          <w:p w14:paraId="00FDB0D4" w14:textId="77777777" w:rsidR="001406AE" w:rsidRPr="003A2506" w:rsidRDefault="001406AE" w:rsidP="0034622E">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11</w:t>
            </w:r>
          </w:p>
        </w:tc>
        <w:tc>
          <w:tcPr>
            <w:tcW w:w="329" w:type="pct"/>
            <w:tcBorders>
              <w:top w:val="nil"/>
              <w:left w:val="nil"/>
              <w:bottom w:val="single" w:sz="8" w:space="0" w:color="auto"/>
              <w:right w:val="nil"/>
            </w:tcBorders>
            <w:shd w:val="clear" w:color="auto" w:fill="auto"/>
            <w:vAlign w:val="bottom"/>
          </w:tcPr>
          <w:p w14:paraId="1F756FE9" w14:textId="77777777" w:rsidR="001406AE" w:rsidRPr="003A2506" w:rsidRDefault="001406AE" w:rsidP="0034622E">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79</w:t>
            </w:r>
          </w:p>
        </w:tc>
        <w:tc>
          <w:tcPr>
            <w:tcW w:w="329" w:type="pct"/>
            <w:tcBorders>
              <w:top w:val="nil"/>
              <w:left w:val="nil"/>
              <w:bottom w:val="single" w:sz="8" w:space="0" w:color="auto"/>
              <w:right w:val="nil"/>
            </w:tcBorders>
            <w:shd w:val="clear" w:color="auto" w:fill="auto"/>
            <w:vAlign w:val="bottom"/>
          </w:tcPr>
          <w:p w14:paraId="77530EA4" w14:textId="77777777" w:rsidR="001406AE" w:rsidRPr="003A2506" w:rsidRDefault="001406AE" w:rsidP="0034622E">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0" w:type="pct"/>
            <w:tcBorders>
              <w:top w:val="nil"/>
              <w:left w:val="nil"/>
              <w:bottom w:val="single" w:sz="8" w:space="0" w:color="auto"/>
              <w:right w:val="nil"/>
            </w:tcBorders>
            <w:vAlign w:val="bottom"/>
          </w:tcPr>
          <w:p w14:paraId="48659C7B" w14:textId="77777777" w:rsidR="001406AE" w:rsidRPr="003A2506" w:rsidRDefault="001406AE" w:rsidP="0034622E">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8</w:t>
            </w:r>
          </w:p>
        </w:tc>
        <w:tc>
          <w:tcPr>
            <w:tcW w:w="371" w:type="pct"/>
            <w:tcBorders>
              <w:top w:val="nil"/>
              <w:left w:val="nil"/>
              <w:bottom w:val="single" w:sz="8" w:space="0" w:color="auto"/>
              <w:right w:val="nil"/>
            </w:tcBorders>
            <w:shd w:val="clear" w:color="auto" w:fill="auto"/>
            <w:vAlign w:val="bottom"/>
          </w:tcPr>
          <w:p w14:paraId="7D30F651" w14:textId="77777777" w:rsidR="001406AE" w:rsidRPr="003A2506" w:rsidRDefault="001406AE" w:rsidP="0034622E">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4" w:type="pct"/>
            <w:tcBorders>
              <w:top w:val="nil"/>
              <w:left w:val="nil"/>
              <w:bottom w:val="single" w:sz="8" w:space="0" w:color="auto"/>
              <w:right w:val="nil"/>
            </w:tcBorders>
            <w:shd w:val="clear" w:color="auto" w:fill="auto"/>
            <w:vAlign w:val="bottom"/>
          </w:tcPr>
          <w:p w14:paraId="5A66873F" w14:textId="77777777" w:rsidR="001406AE" w:rsidRPr="003A2506" w:rsidRDefault="001406AE" w:rsidP="0034622E">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967</w:t>
            </w:r>
          </w:p>
        </w:tc>
      </w:tr>
      <w:tr w:rsidR="001406AE" w:rsidRPr="00F12E3D" w14:paraId="59ACCEED" w14:textId="77777777" w:rsidTr="0034622E">
        <w:trPr>
          <w:trHeight w:val="201"/>
          <w:jc w:val="center"/>
        </w:trPr>
        <w:tc>
          <w:tcPr>
            <w:tcW w:w="537" w:type="pct"/>
            <w:vAlign w:val="bottom"/>
          </w:tcPr>
          <w:p w14:paraId="28C9F6D4" w14:textId="77777777" w:rsidR="001406AE" w:rsidRPr="00F12E3D" w:rsidRDefault="001406AE" w:rsidP="0034622E">
            <w:pPr>
              <w:tabs>
                <w:tab w:val="right" w:pos="1202"/>
              </w:tabs>
              <w:spacing w:line="200" w:lineRule="exact"/>
              <w:outlineLvl w:val="0"/>
              <w:rPr>
                <w:rFonts w:ascii="Arial" w:eastAsia="Calibri" w:hAnsi="Arial" w:cs="Arial"/>
                <w:b/>
                <w:bCs/>
                <w:color w:val="000000" w:themeColor="text1"/>
                <w:sz w:val="14"/>
                <w:szCs w:val="14"/>
              </w:rPr>
            </w:pPr>
            <w:r w:rsidRPr="00F12E3D">
              <w:rPr>
                <w:rFonts w:ascii="Arial" w:eastAsia="Calibri" w:hAnsi="Arial" w:cs="Arial"/>
                <w:b/>
                <w:bCs/>
                <w:color w:val="000000" w:themeColor="text1"/>
                <w:sz w:val="14"/>
                <w:szCs w:val="14"/>
              </w:rPr>
              <w:t>Ukupno</w:t>
            </w:r>
          </w:p>
        </w:tc>
        <w:tc>
          <w:tcPr>
            <w:tcW w:w="300" w:type="pct"/>
            <w:tcBorders>
              <w:top w:val="nil"/>
              <w:left w:val="nil"/>
              <w:bottom w:val="single" w:sz="12" w:space="0" w:color="auto"/>
              <w:right w:val="nil"/>
            </w:tcBorders>
            <w:shd w:val="clear" w:color="auto" w:fill="auto"/>
            <w:vAlign w:val="bottom"/>
          </w:tcPr>
          <w:p w14:paraId="670EDEBB" w14:textId="77777777" w:rsidR="001406AE" w:rsidRPr="003A2506" w:rsidRDefault="001406AE" w:rsidP="0034622E">
            <w:pPr>
              <w:jc w:val="right"/>
              <w:rPr>
                <w:rFonts w:ascii="Arial" w:eastAsia="Calibri" w:hAnsi="Arial" w:cs="Arial"/>
                <w:b/>
                <w:bCs/>
                <w:sz w:val="14"/>
                <w:szCs w:val="14"/>
              </w:rPr>
            </w:pPr>
            <w:r w:rsidRPr="00B726F1">
              <w:rPr>
                <w:rFonts w:ascii="Arial" w:eastAsia="Calibri" w:hAnsi="Arial" w:cs="Arial"/>
                <w:b/>
                <w:bCs/>
                <w:sz w:val="14"/>
                <w:szCs w:val="14"/>
              </w:rPr>
              <w:t>3.3</w:t>
            </w:r>
            <w:r>
              <w:rPr>
                <w:rFonts w:ascii="Arial" w:eastAsia="Calibri" w:hAnsi="Arial" w:cs="Arial"/>
                <w:b/>
                <w:bCs/>
                <w:sz w:val="14"/>
                <w:szCs w:val="14"/>
              </w:rPr>
              <w:t>50</w:t>
            </w:r>
            <w:r w:rsidRPr="00B726F1">
              <w:rPr>
                <w:rFonts w:ascii="Arial" w:eastAsia="Calibri" w:hAnsi="Arial" w:cs="Arial"/>
                <w:b/>
                <w:bCs/>
                <w:sz w:val="14"/>
                <w:szCs w:val="14"/>
              </w:rPr>
              <w:t>.</w:t>
            </w:r>
            <w:r>
              <w:rPr>
                <w:rFonts w:ascii="Arial" w:eastAsia="Calibri" w:hAnsi="Arial" w:cs="Arial"/>
                <w:b/>
                <w:bCs/>
                <w:sz w:val="14"/>
                <w:szCs w:val="14"/>
              </w:rPr>
              <w:t>373</w:t>
            </w:r>
          </w:p>
        </w:tc>
        <w:tc>
          <w:tcPr>
            <w:tcW w:w="298" w:type="pct"/>
            <w:tcBorders>
              <w:top w:val="nil"/>
              <w:left w:val="nil"/>
              <w:bottom w:val="single" w:sz="12" w:space="0" w:color="auto"/>
              <w:right w:val="nil"/>
            </w:tcBorders>
            <w:shd w:val="clear" w:color="auto" w:fill="auto"/>
            <w:vAlign w:val="bottom"/>
          </w:tcPr>
          <w:p w14:paraId="4083A338" w14:textId="77777777" w:rsidR="001406AE" w:rsidRPr="003A2506" w:rsidRDefault="001406AE" w:rsidP="0034622E">
            <w:pPr>
              <w:jc w:val="right"/>
              <w:rPr>
                <w:rFonts w:ascii="Arial" w:eastAsia="Calibri" w:hAnsi="Arial" w:cs="Arial"/>
                <w:b/>
                <w:bCs/>
                <w:sz w:val="14"/>
                <w:szCs w:val="14"/>
              </w:rPr>
            </w:pPr>
            <w:r w:rsidRPr="00B726F1">
              <w:rPr>
                <w:rFonts w:ascii="Arial" w:eastAsia="Calibri" w:hAnsi="Arial" w:cs="Arial"/>
                <w:b/>
                <w:bCs/>
                <w:sz w:val="14"/>
                <w:szCs w:val="14"/>
              </w:rPr>
              <w:t>274.729</w:t>
            </w:r>
          </w:p>
        </w:tc>
        <w:tc>
          <w:tcPr>
            <w:tcW w:w="295" w:type="pct"/>
            <w:tcBorders>
              <w:top w:val="nil"/>
              <w:left w:val="nil"/>
              <w:bottom w:val="single" w:sz="12" w:space="0" w:color="auto"/>
              <w:right w:val="nil"/>
            </w:tcBorders>
            <w:shd w:val="clear" w:color="auto" w:fill="auto"/>
            <w:vAlign w:val="bottom"/>
          </w:tcPr>
          <w:p w14:paraId="15197BC8" w14:textId="77777777" w:rsidR="001406AE" w:rsidRPr="003A2506" w:rsidRDefault="001406AE" w:rsidP="0034622E">
            <w:pPr>
              <w:jc w:val="right"/>
              <w:rPr>
                <w:rFonts w:ascii="Arial" w:eastAsia="Calibri" w:hAnsi="Arial" w:cs="Arial"/>
                <w:b/>
                <w:bCs/>
                <w:sz w:val="14"/>
                <w:szCs w:val="14"/>
              </w:rPr>
            </w:pPr>
            <w:r w:rsidRPr="00B726F1">
              <w:rPr>
                <w:rFonts w:ascii="Arial" w:eastAsia="Calibri" w:hAnsi="Arial" w:cs="Arial"/>
                <w:b/>
                <w:bCs/>
                <w:sz w:val="14"/>
                <w:szCs w:val="14"/>
              </w:rPr>
              <w:t>133.355</w:t>
            </w:r>
          </w:p>
        </w:tc>
        <w:tc>
          <w:tcPr>
            <w:tcW w:w="287" w:type="pct"/>
            <w:tcBorders>
              <w:top w:val="nil"/>
              <w:left w:val="nil"/>
              <w:bottom w:val="single" w:sz="12" w:space="0" w:color="auto"/>
              <w:right w:val="nil"/>
            </w:tcBorders>
            <w:shd w:val="clear" w:color="auto" w:fill="auto"/>
            <w:vAlign w:val="bottom"/>
          </w:tcPr>
          <w:p w14:paraId="0DAE525E" w14:textId="77777777" w:rsidR="001406AE" w:rsidRPr="003A2506" w:rsidRDefault="001406AE" w:rsidP="0034622E">
            <w:pPr>
              <w:jc w:val="right"/>
              <w:rPr>
                <w:rFonts w:ascii="Arial" w:eastAsia="Calibri" w:hAnsi="Arial" w:cs="Arial"/>
                <w:b/>
                <w:bCs/>
                <w:sz w:val="14"/>
                <w:szCs w:val="14"/>
              </w:rPr>
            </w:pPr>
            <w:r w:rsidRPr="0088632B">
              <w:rPr>
                <w:rFonts w:ascii="Arial" w:eastAsia="Calibri" w:hAnsi="Arial" w:cs="Arial"/>
                <w:b/>
                <w:bCs/>
                <w:sz w:val="14"/>
                <w:szCs w:val="14"/>
              </w:rPr>
              <w:t>5.463</w:t>
            </w:r>
          </w:p>
        </w:tc>
        <w:tc>
          <w:tcPr>
            <w:tcW w:w="291" w:type="pct"/>
            <w:tcBorders>
              <w:top w:val="nil"/>
              <w:left w:val="nil"/>
              <w:bottom w:val="single" w:sz="12" w:space="0" w:color="auto"/>
              <w:right w:val="nil"/>
            </w:tcBorders>
            <w:shd w:val="clear" w:color="auto" w:fill="auto"/>
            <w:vAlign w:val="bottom"/>
          </w:tcPr>
          <w:p w14:paraId="739AA827" w14:textId="77777777" w:rsidR="001406AE" w:rsidRPr="003A2506" w:rsidRDefault="001406AE" w:rsidP="0034622E">
            <w:pPr>
              <w:jc w:val="right"/>
              <w:rPr>
                <w:rFonts w:ascii="Arial" w:eastAsia="Calibri" w:hAnsi="Arial" w:cs="Arial"/>
                <w:b/>
                <w:bCs/>
                <w:sz w:val="14"/>
                <w:szCs w:val="14"/>
              </w:rPr>
            </w:pPr>
            <w:r>
              <w:rPr>
                <w:rFonts w:ascii="Arial" w:eastAsia="Calibri" w:hAnsi="Arial" w:cs="Arial"/>
                <w:b/>
                <w:bCs/>
                <w:sz w:val="14"/>
                <w:szCs w:val="14"/>
              </w:rPr>
              <w:t>179.325</w:t>
            </w:r>
          </w:p>
        </w:tc>
        <w:tc>
          <w:tcPr>
            <w:tcW w:w="318" w:type="pct"/>
            <w:tcBorders>
              <w:top w:val="nil"/>
              <w:left w:val="nil"/>
              <w:bottom w:val="single" w:sz="12" w:space="0" w:color="auto"/>
              <w:right w:val="nil"/>
            </w:tcBorders>
            <w:shd w:val="clear" w:color="auto" w:fill="auto"/>
            <w:vAlign w:val="bottom"/>
          </w:tcPr>
          <w:p w14:paraId="0F31CF5D" w14:textId="77777777" w:rsidR="001406AE" w:rsidRPr="003A2506" w:rsidRDefault="001406AE" w:rsidP="0034622E">
            <w:pPr>
              <w:jc w:val="right"/>
              <w:rPr>
                <w:rFonts w:ascii="Arial" w:eastAsia="Calibri" w:hAnsi="Arial" w:cs="Arial"/>
                <w:b/>
                <w:bCs/>
                <w:sz w:val="14"/>
                <w:szCs w:val="14"/>
              </w:rPr>
            </w:pPr>
            <w:r w:rsidRPr="0088632B">
              <w:rPr>
                <w:rFonts w:ascii="Arial" w:eastAsia="Calibri" w:hAnsi="Arial" w:cs="Arial"/>
                <w:b/>
                <w:bCs/>
                <w:sz w:val="14"/>
                <w:szCs w:val="14"/>
              </w:rPr>
              <w:t>33.709</w:t>
            </w:r>
          </w:p>
        </w:tc>
        <w:tc>
          <w:tcPr>
            <w:tcW w:w="333" w:type="pct"/>
            <w:tcBorders>
              <w:top w:val="nil"/>
              <w:left w:val="nil"/>
              <w:bottom w:val="single" w:sz="12" w:space="0" w:color="auto"/>
              <w:right w:val="nil"/>
            </w:tcBorders>
            <w:shd w:val="clear" w:color="auto" w:fill="auto"/>
            <w:vAlign w:val="bottom"/>
          </w:tcPr>
          <w:p w14:paraId="04ECEB8B" w14:textId="77777777" w:rsidR="001406AE" w:rsidRPr="003A2506" w:rsidRDefault="001406AE" w:rsidP="0034622E">
            <w:pPr>
              <w:jc w:val="right"/>
              <w:rPr>
                <w:rFonts w:ascii="Arial" w:eastAsia="Calibri" w:hAnsi="Arial" w:cs="Arial"/>
                <w:b/>
                <w:bCs/>
                <w:sz w:val="14"/>
                <w:szCs w:val="14"/>
              </w:rPr>
            </w:pPr>
            <w:r w:rsidRPr="0088632B">
              <w:rPr>
                <w:rFonts w:ascii="Arial" w:eastAsia="Calibri" w:hAnsi="Arial" w:cs="Arial"/>
                <w:b/>
                <w:bCs/>
                <w:sz w:val="14"/>
                <w:szCs w:val="14"/>
              </w:rPr>
              <w:t>3.9</w:t>
            </w:r>
            <w:r>
              <w:rPr>
                <w:rFonts w:ascii="Arial" w:eastAsia="Calibri" w:hAnsi="Arial" w:cs="Arial"/>
                <w:b/>
                <w:bCs/>
                <w:sz w:val="14"/>
                <w:szCs w:val="14"/>
              </w:rPr>
              <w:t>76</w:t>
            </w:r>
            <w:r w:rsidRPr="0088632B">
              <w:rPr>
                <w:rFonts w:ascii="Arial" w:eastAsia="Calibri" w:hAnsi="Arial" w:cs="Arial"/>
                <w:b/>
                <w:bCs/>
                <w:sz w:val="14"/>
                <w:szCs w:val="14"/>
              </w:rPr>
              <w:t>.</w:t>
            </w:r>
            <w:r>
              <w:rPr>
                <w:rFonts w:ascii="Arial" w:eastAsia="Calibri" w:hAnsi="Arial" w:cs="Arial"/>
                <w:b/>
                <w:bCs/>
                <w:sz w:val="14"/>
                <w:szCs w:val="14"/>
              </w:rPr>
              <w:t>954</w:t>
            </w:r>
          </w:p>
        </w:tc>
        <w:tc>
          <w:tcPr>
            <w:tcW w:w="328" w:type="pct"/>
            <w:tcBorders>
              <w:top w:val="nil"/>
              <w:left w:val="nil"/>
              <w:bottom w:val="single" w:sz="12" w:space="0" w:color="auto"/>
              <w:right w:val="nil"/>
            </w:tcBorders>
            <w:shd w:val="clear" w:color="auto" w:fill="auto"/>
            <w:vAlign w:val="bottom"/>
          </w:tcPr>
          <w:p w14:paraId="1014F549" w14:textId="77777777" w:rsidR="001406AE" w:rsidRPr="003A2506" w:rsidRDefault="001406AE" w:rsidP="0034622E">
            <w:pPr>
              <w:jc w:val="right"/>
              <w:rPr>
                <w:rFonts w:ascii="Arial" w:eastAsia="Calibri" w:hAnsi="Arial" w:cs="Arial"/>
                <w:b/>
                <w:bCs/>
                <w:sz w:val="14"/>
                <w:szCs w:val="14"/>
              </w:rPr>
            </w:pPr>
            <w:r w:rsidRPr="00F959D0">
              <w:rPr>
                <w:rFonts w:ascii="Arial" w:eastAsia="Calibri" w:hAnsi="Arial" w:cs="Arial"/>
                <w:b/>
                <w:bCs/>
                <w:sz w:val="14"/>
                <w:szCs w:val="14"/>
              </w:rPr>
              <w:t xml:space="preserve"> 558.</w:t>
            </w:r>
            <w:r>
              <w:rPr>
                <w:rFonts w:ascii="Arial" w:eastAsia="Calibri" w:hAnsi="Arial" w:cs="Arial"/>
                <w:b/>
                <w:bCs/>
                <w:sz w:val="14"/>
                <w:szCs w:val="14"/>
              </w:rPr>
              <w:t>697</w:t>
            </w:r>
          </w:p>
        </w:tc>
        <w:tc>
          <w:tcPr>
            <w:tcW w:w="329" w:type="pct"/>
            <w:tcBorders>
              <w:top w:val="nil"/>
              <w:left w:val="nil"/>
              <w:bottom w:val="single" w:sz="12" w:space="0" w:color="auto"/>
              <w:right w:val="nil"/>
            </w:tcBorders>
            <w:shd w:val="clear" w:color="auto" w:fill="auto"/>
            <w:vAlign w:val="bottom"/>
          </w:tcPr>
          <w:p w14:paraId="0F12B76E" w14:textId="77777777" w:rsidR="001406AE" w:rsidRPr="003A2506" w:rsidRDefault="001406AE" w:rsidP="0034622E">
            <w:pPr>
              <w:jc w:val="right"/>
              <w:rPr>
                <w:rFonts w:ascii="Arial" w:eastAsia="Calibri" w:hAnsi="Arial" w:cs="Arial"/>
                <w:b/>
                <w:bCs/>
                <w:sz w:val="14"/>
                <w:szCs w:val="14"/>
              </w:rPr>
            </w:pPr>
            <w:r w:rsidRPr="00F959D0">
              <w:rPr>
                <w:rFonts w:ascii="Arial" w:eastAsia="Calibri" w:hAnsi="Arial" w:cs="Arial"/>
                <w:b/>
                <w:bCs/>
                <w:sz w:val="14"/>
                <w:szCs w:val="14"/>
              </w:rPr>
              <w:t xml:space="preserve"> 29.67</w:t>
            </w:r>
            <w:r>
              <w:rPr>
                <w:rFonts w:ascii="Arial" w:eastAsia="Calibri" w:hAnsi="Arial" w:cs="Arial"/>
                <w:b/>
                <w:bCs/>
                <w:sz w:val="14"/>
                <w:szCs w:val="14"/>
              </w:rPr>
              <w:t>9</w:t>
            </w:r>
            <w:r w:rsidRPr="00F959D0">
              <w:rPr>
                <w:rFonts w:ascii="Arial" w:eastAsia="Calibri" w:hAnsi="Arial" w:cs="Arial"/>
                <w:b/>
                <w:bCs/>
                <w:sz w:val="14"/>
                <w:szCs w:val="14"/>
              </w:rPr>
              <w:t xml:space="preserve"> </w:t>
            </w:r>
          </w:p>
        </w:tc>
        <w:tc>
          <w:tcPr>
            <w:tcW w:w="329" w:type="pct"/>
            <w:tcBorders>
              <w:top w:val="nil"/>
              <w:left w:val="nil"/>
              <w:bottom w:val="single" w:sz="12" w:space="0" w:color="auto"/>
              <w:right w:val="nil"/>
            </w:tcBorders>
            <w:shd w:val="clear" w:color="auto" w:fill="auto"/>
            <w:vAlign w:val="bottom"/>
          </w:tcPr>
          <w:p w14:paraId="5C13BC7E" w14:textId="77777777" w:rsidR="001406AE" w:rsidRPr="003A2506" w:rsidRDefault="001406AE" w:rsidP="0034622E">
            <w:pPr>
              <w:jc w:val="right"/>
              <w:rPr>
                <w:rFonts w:ascii="Arial" w:eastAsia="Calibri" w:hAnsi="Arial" w:cs="Arial"/>
                <w:b/>
                <w:bCs/>
                <w:sz w:val="14"/>
                <w:szCs w:val="14"/>
              </w:rPr>
            </w:pPr>
            <w:r w:rsidRPr="00F959D0">
              <w:rPr>
                <w:rFonts w:ascii="Arial" w:eastAsia="Calibri" w:hAnsi="Arial" w:cs="Arial"/>
                <w:b/>
                <w:bCs/>
                <w:sz w:val="14"/>
                <w:szCs w:val="14"/>
              </w:rPr>
              <w:t xml:space="preserve"> 8.705 </w:t>
            </w:r>
          </w:p>
        </w:tc>
        <w:tc>
          <w:tcPr>
            <w:tcW w:w="329" w:type="pct"/>
            <w:tcBorders>
              <w:top w:val="nil"/>
              <w:left w:val="nil"/>
              <w:bottom w:val="single" w:sz="12" w:space="0" w:color="auto"/>
              <w:right w:val="nil"/>
            </w:tcBorders>
            <w:shd w:val="clear" w:color="auto" w:fill="auto"/>
            <w:vAlign w:val="bottom"/>
          </w:tcPr>
          <w:p w14:paraId="7C331D30" w14:textId="77777777" w:rsidR="001406AE" w:rsidRPr="003A2506" w:rsidRDefault="001406AE" w:rsidP="0034622E">
            <w:pPr>
              <w:jc w:val="right"/>
              <w:rPr>
                <w:rFonts w:ascii="Arial" w:eastAsia="Calibri" w:hAnsi="Arial" w:cs="Arial"/>
                <w:b/>
                <w:bCs/>
                <w:sz w:val="14"/>
                <w:szCs w:val="14"/>
              </w:rPr>
            </w:pPr>
            <w:r>
              <w:rPr>
                <w:rFonts w:ascii="Arial" w:eastAsia="Calibri" w:hAnsi="Arial" w:cs="Arial"/>
                <w:b/>
                <w:bCs/>
                <w:sz w:val="14"/>
                <w:szCs w:val="14"/>
              </w:rPr>
              <w:t>66</w:t>
            </w:r>
          </w:p>
        </w:tc>
        <w:tc>
          <w:tcPr>
            <w:tcW w:w="330" w:type="pct"/>
            <w:tcBorders>
              <w:top w:val="nil"/>
              <w:left w:val="nil"/>
              <w:bottom w:val="single" w:sz="12" w:space="0" w:color="auto"/>
              <w:right w:val="nil"/>
            </w:tcBorders>
            <w:shd w:val="clear" w:color="auto" w:fill="auto"/>
            <w:vAlign w:val="bottom"/>
          </w:tcPr>
          <w:p w14:paraId="4FF3BE76" w14:textId="77777777" w:rsidR="001406AE" w:rsidRPr="003A2506" w:rsidRDefault="001406AE" w:rsidP="0034622E">
            <w:pPr>
              <w:jc w:val="right"/>
              <w:rPr>
                <w:rFonts w:ascii="Arial" w:eastAsia="Calibri" w:hAnsi="Arial" w:cs="Arial"/>
                <w:b/>
                <w:bCs/>
                <w:sz w:val="14"/>
                <w:szCs w:val="14"/>
              </w:rPr>
            </w:pPr>
            <w:r>
              <w:rPr>
                <w:rFonts w:ascii="Arial" w:eastAsia="Calibri" w:hAnsi="Arial" w:cs="Arial"/>
                <w:b/>
                <w:bCs/>
                <w:sz w:val="14"/>
                <w:szCs w:val="14"/>
              </w:rPr>
              <w:t>9.554</w:t>
            </w:r>
          </w:p>
        </w:tc>
        <w:tc>
          <w:tcPr>
            <w:tcW w:w="371" w:type="pct"/>
            <w:tcBorders>
              <w:top w:val="nil"/>
              <w:left w:val="nil"/>
              <w:bottom w:val="single" w:sz="12" w:space="0" w:color="auto"/>
              <w:right w:val="nil"/>
            </w:tcBorders>
            <w:shd w:val="clear" w:color="auto" w:fill="auto"/>
            <w:vAlign w:val="bottom"/>
          </w:tcPr>
          <w:p w14:paraId="54DE90CE" w14:textId="77777777" w:rsidR="001406AE" w:rsidRPr="003A2506" w:rsidRDefault="001406AE" w:rsidP="0034622E">
            <w:pPr>
              <w:jc w:val="right"/>
              <w:rPr>
                <w:rFonts w:ascii="Arial" w:eastAsia="Calibri" w:hAnsi="Arial" w:cs="Arial"/>
                <w:b/>
                <w:bCs/>
                <w:sz w:val="14"/>
                <w:szCs w:val="14"/>
              </w:rPr>
            </w:pPr>
            <w:r w:rsidRPr="00F959D0">
              <w:rPr>
                <w:rFonts w:ascii="Arial" w:eastAsia="Calibri" w:hAnsi="Arial" w:cs="Arial"/>
                <w:b/>
                <w:bCs/>
                <w:sz w:val="14"/>
                <w:szCs w:val="14"/>
              </w:rPr>
              <w:t xml:space="preserve"> 158 </w:t>
            </w:r>
          </w:p>
        </w:tc>
        <w:tc>
          <w:tcPr>
            <w:tcW w:w="324" w:type="pct"/>
            <w:tcBorders>
              <w:top w:val="nil"/>
              <w:left w:val="nil"/>
              <w:bottom w:val="single" w:sz="12" w:space="0" w:color="auto"/>
              <w:right w:val="nil"/>
            </w:tcBorders>
            <w:shd w:val="clear" w:color="auto" w:fill="auto"/>
            <w:vAlign w:val="bottom"/>
          </w:tcPr>
          <w:p w14:paraId="796603CD" w14:textId="77777777" w:rsidR="001406AE" w:rsidRPr="003A2506" w:rsidRDefault="001406AE" w:rsidP="0034622E">
            <w:pPr>
              <w:jc w:val="right"/>
              <w:rPr>
                <w:rFonts w:ascii="Arial" w:eastAsia="Calibri" w:hAnsi="Arial" w:cs="Arial"/>
                <w:b/>
                <w:bCs/>
                <w:sz w:val="14"/>
                <w:szCs w:val="14"/>
              </w:rPr>
            </w:pPr>
            <w:r w:rsidRPr="00F959D0">
              <w:rPr>
                <w:rFonts w:ascii="Arial" w:eastAsia="Calibri" w:hAnsi="Arial" w:cs="Arial"/>
                <w:b/>
                <w:bCs/>
                <w:sz w:val="14"/>
                <w:szCs w:val="14"/>
              </w:rPr>
              <w:t xml:space="preserve"> 606.8</w:t>
            </w:r>
            <w:r>
              <w:rPr>
                <w:rFonts w:ascii="Arial" w:eastAsia="Calibri" w:hAnsi="Arial" w:cs="Arial"/>
                <w:b/>
                <w:bCs/>
                <w:sz w:val="14"/>
                <w:szCs w:val="14"/>
              </w:rPr>
              <w:t>5</w:t>
            </w:r>
            <w:r w:rsidRPr="00F959D0">
              <w:rPr>
                <w:rFonts w:ascii="Arial" w:eastAsia="Calibri" w:hAnsi="Arial" w:cs="Arial"/>
                <w:b/>
                <w:bCs/>
                <w:sz w:val="14"/>
                <w:szCs w:val="14"/>
              </w:rPr>
              <w:t xml:space="preserve">9 </w:t>
            </w:r>
          </w:p>
        </w:tc>
      </w:tr>
      <w:tr w:rsidR="001406AE" w:rsidRPr="00F12E3D" w14:paraId="2E5391DD" w14:textId="77777777" w:rsidTr="0034622E">
        <w:trPr>
          <w:trHeight w:val="57"/>
          <w:jc w:val="center"/>
        </w:trPr>
        <w:tc>
          <w:tcPr>
            <w:tcW w:w="537" w:type="pct"/>
            <w:vAlign w:val="bottom"/>
          </w:tcPr>
          <w:p w14:paraId="558B32E3" w14:textId="77777777" w:rsidR="001406AE" w:rsidRPr="003A2506" w:rsidRDefault="001406AE" w:rsidP="0034622E">
            <w:pPr>
              <w:tabs>
                <w:tab w:val="right" w:pos="1202"/>
              </w:tabs>
              <w:outlineLvl w:val="0"/>
              <w:rPr>
                <w:rFonts w:ascii="Arial" w:eastAsia="Calibri" w:hAnsi="Arial" w:cs="Arial"/>
                <w:b/>
                <w:bCs/>
                <w:color w:val="000000" w:themeColor="text1"/>
                <w:sz w:val="14"/>
                <w:szCs w:val="14"/>
              </w:rPr>
            </w:pPr>
            <w:r w:rsidRPr="003A2506">
              <w:rPr>
                <w:rFonts w:ascii="Arial" w:eastAsia="Calibri" w:hAnsi="Arial" w:cs="Arial"/>
                <w:b/>
                <w:bCs/>
                <w:color w:val="000000" w:themeColor="text1"/>
                <w:sz w:val="14"/>
                <w:szCs w:val="14"/>
              </w:rPr>
              <w:t>Garancije i preuzete obveze</w:t>
            </w:r>
          </w:p>
        </w:tc>
        <w:tc>
          <w:tcPr>
            <w:tcW w:w="300" w:type="pct"/>
            <w:tcBorders>
              <w:top w:val="nil"/>
              <w:left w:val="nil"/>
              <w:bottom w:val="nil"/>
              <w:right w:val="nil"/>
            </w:tcBorders>
            <w:shd w:val="clear" w:color="auto" w:fill="auto"/>
            <w:vAlign w:val="bottom"/>
          </w:tcPr>
          <w:p w14:paraId="582C11AB" w14:textId="77777777" w:rsidR="001406AE" w:rsidRPr="003A2506" w:rsidRDefault="001406AE" w:rsidP="0034622E">
            <w:pPr>
              <w:jc w:val="right"/>
              <w:rPr>
                <w:rFonts w:ascii="Arial" w:eastAsia="Calibri" w:hAnsi="Arial" w:cs="Arial"/>
                <w:color w:val="000000" w:themeColor="text1"/>
                <w:sz w:val="14"/>
                <w:szCs w:val="14"/>
              </w:rPr>
            </w:pPr>
          </w:p>
        </w:tc>
        <w:tc>
          <w:tcPr>
            <w:tcW w:w="298" w:type="pct"/>
            <w:tcBorders>
              <w:top w:val="nil"/>
              <w:left w:val="nil"/>
              <w:bottom w:val="nil"/>
              <w:right w:val="nil"/>
            </w:tcBorders>
            <w:shd w:val="clear" w:color="auto" w:fill="auto"/>
            <w:vAlign w:val="bottom"/>
          </w:tcPr>
          <w:p w14:paraId="2DAEB9D8" w14:textId="77777777" w:rsidR="001406AE" w:rsidRPr="003A2506" w:rsidRDefault="001406AE" w:rsidP="0034622E">
            <w:pPr>
              <w:jc w:val="right"/>
              <w:rPr>
                <w:rFonts w:ascii="Arial" w:eastAsia="Calibri" w:hAnsi="Arial" w:cs="Arial"/>
                <w:color w:val="000000" w:themeColor="text1"/>
                <w:sz w:val="14"/>
                <w:szCs w:val="14"/>
              </w:rPr>
            </w:pPr>
          </w:p>
        </w:tc>
        <w:tc>
          <w:tcPr>
            <w:tcW w:w="295" w:type="pct"/>
            <w:tcBorders>
              <w:top w:val="nil"/>
              <w:left w:val="nil"/>
              <w:bottom w:val="nil"/>
              <w:right w:val="nil"/>
            </w:tcBorders>
            <w:shd w:val="clear" w:color="auto" w:fill="auto"/>
            <w:vAlign w:val="bottom"/>
          </w:tcPr>
          <w:p w14:paraId="231C5C73" w14:textId="77777777" w:rsidR="001406AE" w:rsidRPr="003A2506" w:rsidRDefault="001406AE" w:rsidP="0034622E">
            <w:pPr>
              <w:jc w:val="right"/>
              <w:rPr>
                <w:rFonts w:ascii="Arial" w:eastAsia="Calibri" w:hAnsi="Arial" w:cs="Arial"/>
                <w:color w:val="000000" w:themeColor="text1"/>
                <w:sz w:val="14"/>
                <w:szCs w:val="14"/>
              </w:rPr>
            </w:pPr>
          </w:p>
        </w:tc>
        <w:tc>
          <w:tcPr>
            <w:tcW w:w="287" w:type="pct"/>
            <w:tcBorders>
              <w:top w:val="nil"/>
              <w:left w:val="nil"/>
              <w:bottom w:val="nil"/>
              <w:right w:val="nil"/>
            </w:tcBorders>
            <w:shd w:val="clear" w:color="auto" w:fill="auto"/>
            <w:vAlign w:val="bottom"/>
          </w:tcPr>
          <w:p w14:paraId="12137E79" w14:textId="77777777" w:rsidR="001406AE" w:rsidRPr="003A2506" w:rsidRDefault="001406AE" w:rsidP="0034622E">
            <w:pPr>
              <w:jc w:val="right"/>
              <w:rPr>
                <w:rFonts w:ascii="Arial" w:eastAsia="Calibri" w:hAnsi="Arial" w:cs="Arial"/>
                <w:color w:val="000000" w:themeColor="text1"/>
                <w:sz w:val="14"/>
                <w:szCs w:val="14"/>
              </w:rPr>
            </w:pPr>
          </w:p>
        </w:tc>
        <w:tc>
          <w:tcPr>
            <w:tcW w:w="291" w:type="pct"/>
            <w:tcBorders>
              <w:top w:val="nil"/>
              <w:left w:val="nil"/>
              <w:bottom w:val="nil"/>
              <w:right w:val="nil"/>
            </w:tcBorders>
            <w:shd w:val="clear" w:color="auto" w:fill="auto"/>
            <w:vAlign w:val="bottom"/>
          </w:tcPr>
          <w:p w14:paraId="10E7A181" w14:textId="77777777" w:rsidR="001406AE" w:rsidRPr="003A2506" w:rsidRDefault="001406AE" w:rsidP="0034622E">
            <w:pPr>
              <w:jc w:val="right"/>
              <w:rPr>
                <w:rFonts w:ascii="Arial" w:eastAsia="Calibri" w:hAnsi="Arial" w:cs="Arial"/>
                <w:color w:val="000000" w:themeColor="text1"/>
                <w:sz w:val="14"/>
                <w:szCs w:val="14"/>
              </w:rPr>
            </w:pPr>
          </w:p>
        </w:tc>
        <w:tc>
          <w:tcPr>
            <w:tcW w:w="318" w:type="pct"/>
            <w:tcBorders>
              <w:top w:val="nil"/>
              <w:left w:val="nil"/>
              <w:bottom w:val="nil"/>
              <w:right w:val="nil"/>
            </w:tcBorders>
            <w:shd w:val="clear" w:color="auto" w:fill="auto"/>
            <w:vAlign w:val="bottom"/>
          </w:tcPr>
          <w:p w14:paraId="212B9886" w14:textId="77777777" w:rsidR="001406AE" w:rsidRPr="003A2506" w:rsidRDefault="001406AE" w:rsidP="0034622E">
            <w:pPr>
              <w:jc w:val="right"/>
              <w:rPr>
                <w:rFonts w:ascii="Arial" w:eastAsia="Calibri" w:hAnsi="Arial" w:cs="Arial"/>
                <w:color w:val="000000" w:themeColor="text1"/>
                <w:sz w:val="14"/>
                <w:szCs w:val="14"/>
              </w:rPr>
            </w:pPr>
          </w:p>
        </w:tc>
        <w:tc>
          <w:tcPr>
            <w:tcW w:w="333" w:type="pct"/>
            <w:tcBorders>
              <w:top w:val="nil"/>
              <w:left w:val="nil"/>
              <w:bottom w:val="nil"/>
              <w:right w:val="nil"/>
            </w:tcBorders>
            <w:shd w:val="clear" w:color="auto" w:fill="auto"/>
            <w:vAlign w:val="bottom"/>
          </w:tcPr>
          <w:p w14:paraId="20870B2C" w14:textId="77777777" w:rsidR="001406AE" w:rsidRPr="003A2506" w:rsidRDefault="001406AE" w:rsidP="0034622E">
            <w:pPr>
              <w:jc w:val="right"/>
              <w:rPr>
                <w:rFonts w:ascii="Arial" w:eastAsia="Calibri" w:hAnsi="Arial" w:cs="Arial"/>
                <w:color w:val="000000" w:themeColor="text1"/>
                <w:sz w:val="14"/>
                <w:szCs w:val="14"/>
              </w:rPr>
            </w:pPr>
          </w:p>
        </w:tc>
        <w:tc>
          <w:tcPr>
            <w:tcW w:w="328" w:type="pct"/>
            <w:tcBorders>
              <w:top w:val="nil"/>
              <w:left w:val="nil"/>
              <w:bottom w:val="nil"/>
              <w:right w:val="nil"/>
            </w:tcBorders>
            <w:vAlign w:val="bottom"/>
          </w:tcPr>
          <w:p w14:paraId="77C45D30" w14:textId="77777777" w:rsidR="001406AE" w:rsidRPr="003A2506" w:rsidRDefault="001406AE" w:rsidP="0034622E">
            <w:pPr>
              <w:jc w:val="right"/>
              <w:rPr>
                <w:rFonts w:ascii="Arial" w:eastAsia="Calibri" w:hAnsi="Arial" w:cs="Arial"/>
                <w:color w:val="000000" w:themeColor="text1"/>
                <w:sz w:val="14"/>
                <w:szCs w:val="14"/>
              </w:rPr>
            </w:pPr>
          </w:p>
        </w:tc>
        <w:tc>
          <w:tcPr>
            <w:tcW w:w="329" w:type="pct"/>
            <w:tcBorders>
              <w:top w:val="nil"/>
              <w:left w:val="nil"/>
              <w:bottom w:val="nil"/>
              <w:right w:val="nil"/>
            </w:tcBorders>
            <w:vAlign w:val="bottom"/>
          </w:tcPr>
          <w:p w14:paraId="43380235" w14:textId="77777777" w:rsidR="001406AE" w:rsidRPr="003A2506" w:rsidRDefault="001406AE" w:rsidP="0034622E">
            <w:pPr>
              <w:jc w:val="right"/>
              <w:rPr>
                <w:rFonts w:ascii="Arial" w:eastAsia="Calibri" w:hAnsi="Arial" w:cs="Arial"/>
                <w:color w:val="000000" w:themeColor="text1"/>
                <w:sz w:val="14"/>
                <w:szCs w:val="14"/>
              </w:rPr>
            </w:pPr>
          </w:p>
        </w:tc>
        <w:tc>
          <w:tcPr>
            <w:tcW w:w="329" w:type="pct"/>
            <w:tcBorders>
              <w:top w:val="nil"/>
              <w:left w:val="nil"/>
              <w:bottom w:val="nil"/>
              <w:right w:val="nil"/>
            </w:tcBorders>
            <w:vAlign w:val="bottom"/>
          </w:tcPr>
          <w:p w14:paraId="56B98A30" w14:textId="77777777" w:rsidR="001406AE" w:rsidRPr="003A2506" w:rsidRDefault="001406AE" w:rsidP="0034622E">
            <w:pPr>
              <w:jc w:val="right"/>
              <w:rPr>
                <w:rFonts w:ascii="Arial" w:eastAsia="Calibri" w:hAnsi="Arial" w:cs="Arial"/>
                <w:color w:val="000000" w:themeColor="text1"/>
                <w:sz w:val="14"/>
                <w:szCs w:val="14"/>
              </w:rPr>
            </w:pPr>
          </w:p>
        </w:tc>
        <w:tc>
          <w:tcPr>
            <w:tcW w:w="329" w:type="pct"/>
            <w:tcBorders>
              <w:top w:val="nil"/>
              <w:left w:val="nil"/>
              <w:bottom w:val="nil"/>
              <w:right w:val="nil"/>
            </w:tcBorders>
            <w:vAlign w:val="bottom"/>
          </w:tcPr>
          <w:p w14:paraId="26F73299" w14:textId="77777777" w:rsidR="001406AE" w:rsidRPr="003A2506" w:rsidRDefault="001406AE" w:rsidP="0034622E">
            <w:pPr>
              <w:jc w:val="right"/>
              <w:rPr>
                <w:rFonts w:ascii="Arial" w:eastAsia="Calibri" w:hAnsi="Arial" w:cs="Arial"/>
                <w:color w:val="000000" w:themeColor="text1"/>
                <w:sz w:val="14"/>
                <w:szCs w:val="14"/>
              </w:rPr>
            </w:pPr>
          </w:p>
        </w:tc>
        <w:tc>
          <w:tcPr>
            <w:tcW w:w="330" w:type="pct"/>
            <w:tcBorders>
              <w:top w:val="nil"/>
              <w:left w:val="nil"/>
              <w:bottom w:val="nil"/>
              <w:right w:val="nil"/>
            </w:tcBorders>
            <w:vAlign w:val="bottom"/>
          </w:tcPr>
          <w:p w14:paraId="745CE548" w14:textId="77777777" w:rsidR="001406AE" w:rsidRPr="003A2506" w:rsidRDefault="001406AE" w:rsidP="0034622E">
            <w:pPr>
              <w:jc w:val="right"/>
              <w:rPr>
                <w:rFonts w:ascii="Arial" w:eastAsia="Calibri" w:hAnsi="Arial" w:cs="Arial"/>
                <w:color w:val="000000" w:themeColor="text1"/>
                <w:sz w:val="14"/>
                <w:szCs w:val="14"/>
              </w:rPr>
            </w:pPr>
          </w:p>
        </w:tc>
        <w:tc>
          <w:tcPr>
            <w:tcW w:w="371" w:type="pct"/>
            <w:tcBorders>
              <w:top w:val="nil"/>
              <w:left w:val="nil"/>
              <w:bottom w:val="nil"/>
              <w:right w:val="nil"/>
            </w:tcBorders>
            <w:vAlign w:val="bottom"/>
          </w:tcPr>
          <w:p w14:paraId="2AD4E2DC" w14:textId="77777777" w:rsidR="001406AE" w:rsidRPr="003A2506" w:rsidRDefault="001406AE" w:rsidP="0034622E">
            <w:pPr>
              <w:jc w:val="right"/>
              <w:rPr>
                <w:rFonts w:ascii="Arial" w:eastAsia="Calibri" w:hAnsi="Arial" w:cs="Arial"/>
                <w:color w:val="000000" w:themeColor="text1"/>
                <w:sz w:val="14"/>
                <w:szCs w:val="14"/>
              </w:rPr>
            </w:pPr>
          </w:p>
        </w:tc>
        <w:tc>
          <w:tcPr>
            <w:tcW w:w="324" w:type="pct"/>
            <w:tcBorders>
              <w:top w:val="nil"/>
              <w:left w:val="nil"/>
              <w:bottom w:val="nil"/>
              <w:right w:val="nil"/>
            </w:tcBorders>
            <w:vAlign w:val="bottom"/>
          </w:tcPr>
          <w:p w14:paraId="440FD462" w14:textId="77777777" w:rsidR="001406AE" w:rsidRPr="003A2506" w:rsidRDefault="001406AE" w:rsidP="0034622E">
            <w:pPr>
              <w:jc w:val="right"/>
              <w:rPr>
                <w:rFonts w:ascii="Arial" w:eastAsia="Calibri" w:hAnsi="Arial" w:cs="Arial"/>
                <w:color w:val="000000" w:themeColor="text1"/>
                <w:sz w:val="14"/>
                <w:szCs w:val="14"/>
              </w:rPr>
            </w:pPr>
          </w:p>
        </w:tc>
      </w:tr>
      <w:tr w:rsidR="001406AE" w:rsidRPr="00F12E3D" w14:paraId="5D54EF8A" w14:textId="77777777" w:rsidTr="0034622E">
        <w:trPr>
          <w:trHeight w:val="189"/>
          <w:jc w:val="center"/>
        </w:trPr>
        <w:tc>
          <w:tcPr>
            <w:tcW w:w="537" w:type="pct"/>
            <w:vAlign w:val="bottom"/>
          </w:tcPr>
          <w:p w14:paraId="570F9217" w14:textId="77777777" w:rsidR="001406AE" w:rsidRPr="00F12E3D" w:rsidRDefault="001406AE" w:rsidP="0034622E">
            <w:pPr>
              <w:tabs>
                <w:tab w:val="right" w:pos="1202"/>
              </w:tabs>
              <w:outlineLvl w:val="0"/>
              <w:rPr>
                <w:rFonts w:ascii="Arial" w:eastAsia="Calibri" w:hAnsi="Arial" w:cs="Arial"/>
                <w:b/>
                <w:bCs/>
                <w:color w:val="000000" w:themeColor="text1"/>
                <w:sz w:val="14"/>
                <w:szCs w:val="14"/>
              </w:rPr>
            </w:pPr>
            <w:r w:rsidRPr="00F12E3D">
              <w:rPr>
                <w:rFonts w:ascii="Arial" w:eastAsia="Calibri" w:hAnsi="Arial" w:cs="Arial"/>
                <w:color w:val="000000" w:themeColor="text1"/>
                <w:sz w:val="14"/>
                <w:szCs w:val="14"/>
              </w:rPr>
              <w:t xml:space="preserve">Izdane garancije </w:t>
            </w:r>
          </w:p>
        </w:tc>
        <w:tc>
          <w:tcPr>
            <w:tcW w:w="300" w:type="pct"/>
            <w:tcBorders>
              <w:top w:val="nil"/>
              <w:left w:val="nil"/>
              <w:bottom w:val="nil"/>
              <w:right w:val="nil"/>
            </w:tcBorders>
            <w:shd w:val="clear" w:color="auto" w:fill="auto"/>
            <w:vAlign w:val="bottom"/>
          </w:tcPr>
          <w:p w14:paraId="0B646F26" w14:textId="77777777" w:rsidR="001406AE" w:rsidRPr="003A2506" w:rsidRDefault="001406AE" w:rsidP="0034622E">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17.929 </w:t>
            </w:r>
          </w:p>
        </w:tc>
        <w:tc>
          <w:tcPr>
            <w:tcW w:w="298" w:type="pct"/>
            <w:tcBorders>
              <w:top w:val="nil"/>
              <w:left w:val="nil"/>
              <w:bottom w:val="nil"/>
              <w:right w:val="nil"/>
            </w:tcBorders>
            <w:shd w:val="clear" w:color="auto" w:fill="auto"/>
            <w:vAlign w:val="bottom"/>
          </w:tcPr>
          <w:p w14:paraId="2708C2C6" w14:textId="77777777" w:rsidR="001406AE" w:rsidRPr="003A2506" w:rsidRDefault="001406AE" w:rsidP="0034622E">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6.176 </w:t>
            </w:r>
          </w:p>
        </w:tc>
        <w:tc>
          <w:tcPr>
            <w:tcW w:w="295" w:type="pct"/>
            <w:tcBorders>
              <w:top w:val="nil"/>
              <w:left w:val="nil"/>
              <w:bottom w:val="nil"/>
              <w:right w:val="nil"/>
            </w:tcBorders>
            <w:shd w:val="clear" w:color="auto" w:fill="auto"/>
            <w:vAlign w:val="bottom"/>
          </w:tcPr>
          <w:p w14:paraId="1624E1BA" w14:textId="77777777" w:rsidR="001406AE" w:rsidRPr="003A2506" w:rsidRDefault="001406AE" w:rsidP="0034622E">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20.440 </w:t>
            </w:r>
          </w:p>
        </w:tc>
        <w:tc>
          <w:tcPr>
            <w:tcW w:w="287" w:type="pct"/>
            <w:tcBorders>
              <w:top w:val="nil"/>
              <w:left w:val="nil"/>
              <w:bottom w:val="nil"/>
              <w:right w:val="nil"/>
            </w:tcBorders>
            <w:shd w:val="clear" w:color="auto" w:fill="auto"/>
            <w:vAlign w:val="bottom"/>
          </w:tcPr>
          <w:p w14:paraId="1FF44E1A" w14:textId="77777777" w:rsidR="001406AE" w:rsidRPr="003A2506" w:rsidRDefault="001406AE" w:rsidP="0034622E">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 </w:t>
            </w:r>
          </w:p>
        </w:tc>
        <w:tc>
          <w:tcPr>
            <w:tcW w:w="291" w:type="pct"/>
            <w:tcBorders>
              <w:top w:val="nil"/>
              <w:left w:val="nil"/>
              <w:bottom w:val="nil"/>
              <w:right w:val="nil"/>
            </w:tcBorders>
            <w:shd w:val="clear" w:color="auto" w:fill="auto"/>
            <w:vAlign w:val="bottom"/>
          </w:tcPr>
          <w:p w14:paraId="7A64F164" w14:textId="77777777" w:rsidR="001406AE" w:rsidRPr="003A2506" w:rsidRDefault="001406AE" w:rsidP="0034622E">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18" w:type="pct"/>
            <w:tcBorders>
              <w:top w:val="nil"/>
              <w:left w:val="nil"/>
              <w:bottom w:val="nil"/>
              <w:right w:val="nil"/>
            </w:tcBorders>
            <w:shd w:val="clear" w:color="auto" w:fill="auto"/>
            <w:vAlign w:val="bottom"/>
          </w:tcPr>
          <w:p w14:paraId="0D8D8124" w14:textId="77777777" w:rsidR="001406AE" w:rsidRPr="003A2506" w:rsidRDefault="001406AE" w:rsidP="0034622E">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 </w:t>
            </w:r>
          </w:p>
        </w:tc>
        <w:tc>
          <w:tcPr>
            <w:tcW w:w="333" w:type="pct"/>
            <w:tcBorders>
              <w:top w:val="nil"/>
              <w:left w:val="nil"/>
              <w:bottom w:val="nil"/>
              <w:right w:val="nil"/>
            </w:tcBorders>
            <w:shd w:val="clear" w:color="auto" w:fill="auto"/>
            <w:vAlign w:val="bottom"/>
          </w:tcPr>
          <w:p w14:paraId="08A006A4" w14:textId="77777777" w:rsidR="001406AE" w:rsidRPr="003A2506" w:rsidRDefault="001406AE" w:rsidP="0034622E">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44.545 </w:t>
            </w:r>
          </w:p>
        </w:tc>
        <w:tc>
          <w:tcPr>
            <w:tcW w:w="328" w:type="pct"/>
            <w:tcBorders>
              <w:top w:val="nil"/>
              <w:left w:val="nil"/>
              <w:bottom w:val="nil"/>
              <w:right w:val="nil"/>
            </w:tcBorders>
            <w:vAlign w:val="bottom"/>
          </w:tcPr>
          <w:p w14:paraId="7E2B7CC5" w14:textId="77777777" w:rsidR="001406AE" w:rsidRPr="003A2506" w:rsidRDefault="001406AE" w:rsidP="0034622E">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17.537 </w:t>
            </w:r>
          </w:p>
        </w:tc>
        <w:tc>
          <w:tcPr>
            <w:tcW w:w="329" w:type="pct"/>
            <w:tcBorders>
              <w:top w:val="nil"/>
              <w:left w:val="nil"/>
              <w:bottom w:val="nil"/>
              <w:right w:val="nil"/>
            </w:tcBorders>
            <w:vAlign w:val="bottom"/>
          </w:tcPr>
          <w:p w14:paraId="655E7E6F" w14:textId="77777777" w:rsidR="001406AE" w:rsidRPr="003A2506" w:rsidRDefault="001406AE" w:rsidP="0034622E">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1.344 </w:t>
            </w:r>
          </w:p>
        </w:tc>
        <w:tc>
          <w:tcPr>
            <w:tcW w:w="329" w:type="pct"/>
            <w:tcBorders>
              <w:top w:val="nil"/>
              <w:left w:val="nil"/>
              <w:bottom w:val="nil"/>
              <w:right w:val="nil"/>
            </w:tcBorders>
            <w:vAlign w:val="bottom"/>
          </w:tcPr>
          <w:p w14:paraId="752565AD" w14:textId="77777777" w:rsidR="001406AE" w:rsidRPr="003A2506" w:rsidRDefault="001406AE" w:rsidP="0034622E">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14.348 </w:t>
            </w:r>
          </w:p>
        </w:tc>
        <w:tc>
          <w:tcPr>
            <w:tcW w:w="329" w:type="pct"/>
            <w:tcBorders>
              <w:top w:val="nil"/>
              <w:left w:val="nil"/>
              <w:bottom w:val="nil"/>
              <w:right w:val="nil"/>
            </w:tcBorders>
            <w:vAlign w:val="bottom"/>
          </w:tcPr>
          <w:p w14:paraId="36BA99A1" w14:textId="77777777" w:rsidR="001406AE" w:rsidRPr="003A2506" w:rsidRDefault="001406AE" w:rsidP="0034622E">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 </w:t>
            </w:r>
          </w:p>
        </w:tc>
        <w:tc>
          <w:tcPr>
            <w:tcW w:w="330" w:type="pct"/>
            <w:tcBorders>
              <w:top w:val="nil"/>
              <w:left w:val="nil"/>
              <w:bottom w:val="nil"/>
              <w:right w:val="nil"/>
            </w:tcBorders>
            <w:vAlign w:val="bottom"/>
          </w:tcPr>
          <w:p w14:paraId="2FA49207" w14:textId="77777777" w:rsidR="001406AE" w:rsidRPr="003A2506" w:rsidRDefault="001406AE" w:rsidP="0034622E">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71" w:type="pct"/>
            <w:tcBorders>
              <w:top w:val="nil"/>
              <w:left w:val="nil"/>
              <w:bottom w:val="nil"/>
              <w:right w:val="nil"/>
            </w:tcBorders>
            <w:vAlign w:val="bottom"/>
          </w:tcPr>
          <w:p w14:paraId="5782D688" w14:textId="77777777" w:rsidR="001406AE" w:rsidRPr="003A2506" w:rsidRDefault="001406AE" w:rsidP="0034622E">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4" w:type="pct"/>
            <w:tcBorders>
              <w:top w:val="nil"/>
              <w:left w:val="nil"/>
              <w:bottom w:val="nil"/>
              <w:right w:val="nil"/>
            </w:tcBorders>
            <w:vAlign w:val="bottom"/>
          </w:tcPr>
          <w:p w14:paraId="516CFDE4" w14:textId="77777777" w:rsidR="001406AE" w:rsidRPr="003A2506" w:rsidRDefault="001406AE" w:rsidP="0034622E">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33.229 </w:t>
            </w:r>
          </w:p>
        </w:tc>
      </w:tr>
      <w:tr w:rsidR="001406AE" w:rsidRPr="00F12E3D" w14:paraId="631BF773" w14:textId="77777777" w:rsidTr="0034622E">
        <w:trPr>
          <w:trHeight w:val="189"/>
          <w:jc w:val="center"/>
        </w:trPr>
        <w:tc>
          <w:tcPr>
            <w:tcW w:w="537" w:type="pct"/>
            <w:vAlign w:val="bottom"/>
          </w:tcPr>
          <w:p w14:paraId="1E766790" w14:textId="77777777" w:rsidR="001406AE" w:rsidRPr="00F12E3D" w:rsidRDefault="001406AE" w:rsidP="0034622E">
            <w:pPr>
              <w:tabs>
                <w:tab w:val="right" w:pos="1202"/>
              </w:tabs>
              <w:outlineLvl w:val="0"/>
              <w:rPr>
                <w:rFonts w:ascii="Arial" w:eastAsia="Calibri" w:hAnsi="Arial" w:cs="Arial"/>
                <w:color w:val="000000" w:themeColor="text1"/>
                <w:sz w:val="14"/>
                <w:szCs w:val="14"/>
              </w:rPr>
            </w:pPr>
            <w:r w:rsidRPr="00F12E3D">
              <w:rPr>
                <w:rFonts w:ascii="Arial" w:eastAsia="Calibri" w:hAnsi="Arial" w:cs="Arial"/>
                <w:color w:val="000000" w:themeColor="text1"/>
                <w:sz w:val="14"/>
                <w:szCs w:val="14"/>
              </w:rPr>
              <w:t>Izdane garancije u devizama</w:t>
            </w:r>
          </w:p>
        </w:tc>
        <w:tc>
          <w:tcPr>
            <w:tcW w:w="300" w:type="pct"/>
            <w:tcBorders>
              <w:top w:val="nil"/>
              <w:left w:val="nil"/>
              <w:bottom w:val="nil"/>
              <w:right w:val="nil"/>
            </w:tcBorders>
            <w:shd w:val="clear" w:color="auto" w:fill="auto"/>
            <w:vAlign w:val="bottom"/>
          </w:tcPr>
          <w:p w14:paraId="3F6FBE67" w14:textId="77777777" w:rsidR="001406AE" w:rsidRPr="003A2506" w:rsidRDefault="001406AE" w:rsidP="0034622E">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53 </w:t>
            </w:r>
          </w:p>
        </w:tc>
        <w:tc>
          <w:tcPr>
            <w:tcW w:w="298" w:type="pct"/>
            <w:tcBorders>
              <w:top w:val="nil"/>
              <w:left w:val="nil"/>
              <w:bottom w:val="nil"/>
              <w:right w:val="nil"/>
            </w:tcBorders>
            <w:shd w:val="clear" w:color="auto" w:fill="auto"/>
            <w:vAlign w:val="bottom"/>
          </w:tcPr>
          <w:p w14:paraId="3CE84D02" w14:textId="77777777" w:rsidR="001406AE" w:rsidRPr="003A2506" w:rsidRDefault="001406AE" w:rsidP="0034622E">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5.304 </w:t>
            </w:r>
          </w:p>
        </w:tc>
        <w:tc>
          <w:tcPr>
            <w:tcW w:w="295" w:type="pct"/>
            <w:tcBorders>
              <w:top w:val="nil"/>
              <w:left w:val="nil"/>
              <w:bottom w:val="nil"/>
              <w:right w:val="nil"/>
            </w:tcBorders>
            <w:shd w:val="clear" w:color="auto" w:fill="auto"/>
            <w:vAlign w:val="bottom"/>
          </w:tcPr>
          <w:p w14:paraId="36DF2C87" w14:textId="77777777" w:rsidR="001406AE" w:rsidRPr="003A2506" w:rsidRDefault="001406AE" w:rsidP="0034622E">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 </w:t>
            </w:r>
          </w:p>
        </w:tc>
        <w:tc>
          <w:tcPr>
            <w:tcW w:w="287" w:type="pct"/>
            <w:tcBorders>
              <w:top w:val="nil"/>
              <w:left w:val="nil"/>
              <w:bottom w:val="nil"/>
              <w:right w:val="nil"/>
            </w:tcBorders>
            <w:shd w:val="clear" w:color="auto" w:fill="auto"/>
            <w:vAlign w:val="bottom"/>
          </w:tcPr>
          <w:p w14:paraId="2ABC18FA" w14:textId="77777777" w:rsidR="001406AE" w:rsidRPr="003A2506" w:rsidRDefault="001406AE" w:rsidP="0034622E">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 </w:t>
            </w:r>
          </w:p>
        </w:tc>
        <w:tc>
          <w:tcPr>
            <w:tcW w:w="291" w:type="pct"/>
            <w:tcBorders>
              <w:top w:val="nil"/>
              <w:left w:val="nil"/>
              <w:bottom w:val="nil"/>
              <w:right w:val="nil"/>
            </w:tcBorders>
            <w:shd w:val="clear" w:color="auto" w:fill="auto"/>
            <w:vAlign w:val="bottom"/>
          </w:tcPr>
          <w:p w14:paraId="0D16F1CF" w14:textId="77777777" w:rsidR="001406AE" w:rsidRPr="003A2506" w:rsidRDefault="001406AE" w:rsidP="0034622E">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18" w:type="pct"/>
            <w:tcBorders>
              <w:top w:val="nil"/>
              <w:left w:val="nil"/>
              <w:bottom w:val="nil"/>
              <w:right w:val="nil"/>
            </w:tcBorders>
            <w:shd w:val="clear" w:color="auto" w:fill="auto"/>
            <w:vAlign w:val="bottom"/>
          </w:tcPr>
          <w:p w14:paraId="44475483" w14:textId="77777777" w:rsidR="001406AE" w:rsidRPr="003A2506" w:rsidRDefault="001406AE" w:rsidP="0034622E">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 </w:t>
            </w:r>
          </w:p>
        </w:tc>
        <w:tc>
          <w:tcPr>
            <w:tcW w:w="333" w:type="pct"/>
            <w:tcBorders>
              <w:top w:val="nil"/>
              <w:left w:val="nil"/>
              <w:bottom w:val="nil"/>
              <w:right w:val="nil"/>
            </w:tcBorders>
            <w:shd w:val="clear" w:color="auto" w:fill="auto"/>
            <w:vAlign w:val="bottom"/>
          </w:tcPr>
          <w:p w14:paraId="7F81F5E9" w14:textId="77777777" w:rsidR="001406AE" w:rsidRPr="003A2506" w:rsidRDefault="001406AE" w:rsidP="0034622E">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5.357 </w:t>
            </w:r>
          </w:p>
        </w:tc>
        <w:tc>
          <w:tcPr>
            <w:tcW w:w="328" w:type="pct"/>
            <w:tcBorders>
              <w:top w:val="nil"/>
              <w:left w:val="nil"/>
              <w:bottom w:val="nil"/>
              <w:right w:val="nil"/>
            </w:tcBorders>
            <w:vAlign w:val="bottom"/>
          </w:tcPr>
          <w:p w14:paraId="37C3E10F" w14:textId="77777777" w:rsidR="001406AE" w:rsidRPr="003A2506" w:rsidRDefault="001406AE" w:rsidP="0034622E">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15 </w:t>
            </w:r>
          </w:p>
        </w:tc>
        <w:tc>
          <w:tcPr>
            <w:tcW w:w="329" w:type="pct"/>
            <w:tcBorders>
              <w:top w:val="nil"/>
              <w:left w:val="nil"/>
              <w:bottom w:val="nil"/>
              <w:right w:val="nil"/>
            </w:tcBorders>
            <w:vAlign w:val="bottom"/>
          </w:tcPr>
          <w:p w14:paraId="709DC833" w14:textId="77777777" w:rsidR="001406AE" w:rsidRPr="003A2506" w:rsidRDefault="001406AE" w:rsidP="0034622E">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2.919 </w:t>
            </w:r>
          </w:p>
        </w:tc>
        <w:tc>
          <w:tcPr>
            <w:tcW w:w="329" w:type="pct"/>
            <w:tcBorders>
              <w:top w:val="nil"/>
              <w:left w:val="nil"/>
              <w:bottom w:val="nil"/>
              <w:right w:val="nil"/>
            </w:tcBorders>
            <w:vAlign w:val="bottom"/>
          </w:tcPr>
          <w:p w14:paraId="70163EDE" w14:textId="77777777" w:rsidR="001406AE" w:rsidRPr="003A2506" w:rsidRDefault="001406AE" w:rsidP="0034622E">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 </w:t>
            </w:r>
          </w:p>
        </w:tc>
        <w:tc>
          <w:tcPr>
            <w:tcW w:w="329" w:type="pct"/>
            <w:tcBorders>
              <w:top w:val="nil"/>
              <w:left w:val="nil"/>
              <w:bottom w:val="nil"/>
              <w:right w:val="nil"/>
            </w:tcBorders>
            <w:vAlign w:val="bottom"/>
          </w:tcPr>
          <w:p w14:paraId="2076ABAF" w14:textId="77777777" w:rsidR="001406AE" w:rsidRPr="003A2506" w:rsidRDefault="001406AE" w:rsidP="0034622E">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 </w:t>
            </w:r>
          </w:p>
        </w:tc>
        <w:tc>
          <w:tcPr>
            <w:tcW w:w="330" w:type="pct"/>
            <w:tcBorders>
              <w:top w:val="nil"/>
              <w:left w:val="nil"/>
              <w:bottom w:val="nil"/>
              <w:right w:val="nil"/>
            </w:tcBorders>
            <w:vAlign w:val="bottom"/>
          </w:tcPr>
          <w:p w14:paraId="03A514BF" w14:textId="77777777" w:rsidR="001406AE" w:rsidRPr="003A2506" w:rsidRDefault="001406AE" w:rsidP="0034622E">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71" w:type="pct"/>
            <w:tcBorders>
              <w:top w:val="nil"/>
              <w:left w:val="nil"/>
              <w:bottom w:val="nil"/>
              <w:right w:val="nil"/>
            </w:tcBorders>
            <w:vAlign w:val="bottom"/>
          </w:tcPr>
          <w:p w14:paraId="6F199164" w14:textId="77777777" w:rsidR="001406AE" w:rsidRPr="003A2506" w:rsidRDefault="001406AE" w:rsidP="0034622E">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4" w:type="pct"/>
            <w:tcBorders>
              <w:top w:val="nil"/>
              <w:left w:val="nil"/>
              <w:bottom w:val="nil"/>
              <w:right w:val="nil"/>
            </w:tcBorders>
            <w:vAlign w:val="bottom"/>
          </w:tcPr>
          <w:p w14:paraId="42EB9766" w14:textId="77777777" w:rsidR="001406AE" w:rsidRPr="003A2506" w:rsidRDefault="001406AE" w:rsidP="0034622E">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2.934 </w:t>
            </w:r>
          </w:p>
        </w:tc>
      </w:tr>
      <w:tr w:rsidR="001406AE" w:rsidRPr="00F12E3D" w14:paraId="0BCE63E8" w14:textId="77777777" w:rsidTr="0034622E">
        <w:trPr>
          <w:trHeight w:val="189"/>
          <w:jc w:val="center"/>
        </w:trPr>
        <w:tc>
          <w:tcPr>
            <w:tcW w:w="537" w:type="pct"/>
            <w:vAlign w:val="bottom"/>
          </w:tcPr>
          <w:p w14:paraId="42F0D6FC" w14:textId="77777777" w:rsidR="001406AE" w:rsidRPr="00F12E3D" w:rsidRDefault="001406AE" w:rsidP="0034622E">
            <w:pPr>
              <w:tabs>
                <w:tab w:val="right" w:pos="1202"/>
              </w:tabs>
              <w:outlineLvl w:val="0"/>
              <w:rPr>
                <w:rFonts w:ascii="Arial" w:eastAsia="Calibri" w:hAnsi="Arial" w:cs="Arial"/>
                <w:color w:val="000000" w:themeColor="text1"/>
                <w:sz w:val="14"/>
                <w:szCs w:val="14"/>
              </w:rPr>
            </w:pPr>
            <w:r w:rsidRPr="00F12E3D">
              <w:rPr>
                <w:rFonts w:ascii="Arial" w:eastAsia="Calibri" w:hAnsi="Arial" w:cs="Arial"/>
                <w:color w:val="000000" w:themeColor="text1"/>
                <w:sz w:val="14"/>
                <w:szCs w:val="14"/>
              </w:rPr>
              <w:t>Preuzete obveze po kreditima</w:t>
            </w:r>
          </w:p>
        </w:tc>
        <w:tc>
          <w:tcPr>
            <w:tcW w:w="300" w:type="pct"/>
            <w:tcBorders>
              <w:top w:val="nil"/>
              <w:left w:val="nil"/>
              <w:bottom w:val="single" w:sz="6" w:space="0" w:color="auto"/>
              <w:right w:val="nil"/>
            </w:tcBorders>
            <w:shd w:val="clear" w:color="auto" w:fill="auto"/>
            <w:vAlign w:val="bottom"/>
          </w:tcPr>
          <w:p w14:paraId="2C746414" w14:textId="77777777" w:rsidR="001406AE" w:rsidRPr="003A2506" w:rsidRDefault="001406AE" w:rsidP="0034622E">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423.683 </w:t>
            </w:r>
          </w:p>
        </w:tc>
        <w:tc>
          <w:tcPr>
            <w:tcW w:w="298" w:type="pct"/>
            <w:tcBorders>
              <w:top w:val="nil"/>
              <w:left w:val="nil"/>
              <w:bottom w:val="single" w:sz="6" w:space="0" w:color="auto"/>
              <w:right w:val="nil"/>
            </w:tcBorders>
            <w:shd w:val="clear" w:color="auto" w:fill="auto"/>
            <w:vAlign w:val="bottom"/>
          </w:tcPr>
          <w:p w14:paraId="083027A3" w14:textId="77777777" w:rsidR="001406AE" w:rsidRPr="003A2506" w:rsidRDefault="001406AE" w:rsidP="0034622E">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4.816 </w:t>
            </w:r>
          </w:p>
        </w:tc>
        <w:tc>
          <w:tcPr>
            <w:tcW w:w="295" w:type="pct"/>
            <w:tcBorders>
              <w:top w:val="nil"/>
              <w:left w:val="nil"/>
              <w:bottom w:val="single" w:sz="6" w:space="0" w:color="auto"/>
              <w:right w:val="nil"/>
            </w:tcBorders>
            <w:shd w:val="clear" w:color="auto" w:fill="auto"/>
            <w:vAlign w:val="bottom"/>
          </w:tcPr>
          <w:p w14:paraId="3A6D5FEC" w14:textId="77777777" w:rsidR="001406AE" w:rsidRPr="003A2506" w:rsidRDefault="001406AE" w:rsidP="0034622E">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 </w:t>
            </w:r>
          </w:p>
        </w:tc>
        <w:tc>
          <w:tcPr>
            <w:tcW w:w="287" w:type="pct"/>
            <w:tcBorders>
              <w:top w:val="nil"/>
              <w:left w:val="nil"/>
              <w:bottom w:val="single" w:sz="6" w:space="0" w:color="auto"/>
              <w:right w:val="nil"/>
            </w:tcBorders>
            <w:shd w:val="clear" w:color="auto" w:fill="auto"/>
            <w:vAlign w:val="bottom"/>
          </w:tcPr>
          <w:p w14:paraId="1105B40F" w14:textId="77777777" w:rsidR="001406AE" w:rsidRPr="003A2506" w:rsidRDefault="001406AE" w:rsidP="0034622E">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w:t>
            </w:r>
          </w:p>
        </w:tc>
        <w:tc>
          <w:tcPr>
            <w:tcW w:w="291" w:type="pct"/>
            <w:tcBorders>
              <w:top w:val="nil"/>
              <w:left w:val="nil"/>
              <w:bottom w:val="single" w:sz="6" w:space="0" w:color="auto"/>
              <w:right w:val="nil"/>
            </w:tcBorders>
            <w:shd w:val="clear" w:color="auto" w:fill="auto"/>
            <w:vAlign w:val="bottom"/>
          </w:tcPr>
          <w:p w14:paraId="22D95654" w14:textId="77777777" w:rsidR="001406AE" w:rsidRPr="003A2506" w:rsidRDefault="001406AE" w:rsidP="0034622E">
            <w:pPr>
              <w:jc w:val="right"/>
              <w:rPr>
                <w:rFonts w:ascii="Arial" w:eastAsia="Calibri" w:hAnsi="Arial" w:cs="Arial"/>
                <w:color w:val="000000" w:themeColor="text1"/>
                <w:sz w:val="14"/>
                <w:szCs w:val="14"/>
              </w:rPr>
            </w:pPr>
            <w:r w:rsidRPr="005315D0">
              <w:rPr>
                <w:rFonts w:ascii="Arial" w:eastAsia="Calibri" w:hAnsi="Arial" w:cs="Arial"/>
                <w:color w:val="000000" w:themeColor="text1"/>
                <w:sz w:val="14"/>
                <w:szCs w:val="14"/>
              </w:rPr>
              <w:t>12.574</w:t>
            </w:r>
          </w:p>
        </w:tc>
        <w:tc>
          <w:tcPr>
            <w:tcW w:w="318" w:type="pct"/>
            <w:tcBorders>
              <w:top w:val="nil"/>
              <w:left w:val="nil"/>
              <w:bottom w:val="single" w:sz="6" w:space="0" w:color="auto"/>
              <w:right w:val="nil"/>
            </w:tcBorders>
            <w:shd w:val="clear" w:color="auto" w:fill="auto"/>
            <w:vAlign w:val="bottom"/>
          </w:tcPr>
          <w:p w14:paraId="06D194CF" w14:textId="77777777" w:rsidR="001406AE" w:rsidRPr="003A2506" w:rsidRDefault="001406AE" w:rsidP="0034622E">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 </w:t>
            </w:r>
          </w:p>
        </w:tc>
        <w:tc>
          <w:tcPr>
            <w:tcW w:w="333" w:type="pct"/>
            <w:tcBorders>
              <w:top w:val="nil"/>
              <w:left w:val="nil"/>
              <w:bottom w:val="single" w:sz="6" w:space="0" w:color="auto"/>
              <w:right w:val="nil"/>
            </w:tcBorders>
            <w:shd w:val="clear" w:color="auto" w:fill="auto"/>
            <w:vAlign w:val="bottom"/>
          </w:tcPr>
          <w:p w14:paraId="314676D5" w14:textId="77777777" w:rsidR="001406AE" w:rsidRPr="003A2506" w:rsidRDefault="001406AE" w:rsidP="0034622E">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441.073 </w:t>
            </w:r>
          </w:p>
        </w:tc>
        <w:tc>
          <w:tcPr>
            <w:tcW w:w="328" w:type="pct"/>
            <w:tcBorders>
              <w:top w:val="nil"/>
              <w:left w:val="nil"/>
              <w:bottom w:val="single" w:sz="6" w:space="0" w:color="auto"/>
              <w:right w:val="nil"/>
            </w:tcBorders>
            <w:vAlign w:val="bottom"/>
          </w:tcPr>
          <w:p w14:paraId="7749949B" w14:textId="77777777" w:rsidR="001406AE" w:rsidRPr="003A2506" w:rsidRDefault="001406AE" w:rsidP="0034622E">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135.627 </w:t>
            </w:r>
          </w:p>
        </w:tc>
        <w:tc>
          <w:tcPr>
            <w:tcW w:w="329" w:type="pct"/>
            <w:tcBorders>
              <w:top w:val="nil"/>
              <w:left w:val="nil"/>
              <w:bottom w:val="single" w:sz="6" w:space="0" w:color="auto"/>
              <w:right w:val="nil"/>
            </w:tcBorders>
            <w:vAlign w:val="bottom"/>
          </w:tcPr>
          <w:p w14:paraId="5CD6E63C" w14:textId="77777777" w:rsidR="001406AE" w:rsidRPr="003A2506" w:rsidRDefault="001406AE" w:rsidP="0034622E">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2.938 </w:t>
            </w:r>
          </w:p>
        </w:tc>
        <w:tc>
          <w:tcPr>
            <w:tcW w:w="329" w:type="pct"/>
            <w:tcBorders>
              <w:top w:val="nil"/>
              <w:left w:val="nil"/>
              <w:bottom w:val="single" w:sz="6" w:space="0" w:color="auto"/>
              <w:right w:val="nil"/>
            </w:tcBorders>
            <w:vAlign w:val="bottom"/>
          </w:tcPr>
          <w:p w14:paraId="3B4B633D" w14:textId="77777777" w:rsidR="001406AE" w:rsidRPr="003A2506" w:rsidRDefault="001406AE" w:rsidP="0034622E">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 </w:t>
            </w:r>
          </w:p>
        </w:tc>
        <w:tc>
          <w:tcPr>
            <w:tcW w:w="329" w:type="pct"/>
            <w:tcBorders>
              <w:top w:val="nil"/>
              <w:left w:val="nil"/>
              <w:bottom w:val="single" w:sz="6" w:space="0" w:color="auto"/>
              <w:right w:val="nil"/>
            </w:tcBorders>
            <w:vAlign w:val="bottom"/>
          </w:tcPr>
          <w:p w14:paraId="562AF406" w14:textId="77777777" w:rsidR="001406AE" w:rsidRPr="003A2506" w:rsidRDefault="001406AE" w:rsidP="0034622E">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0" w:type="pct"/>
            <w:tcBorders>
              <w:top w:val="nil"/>
              <w:left w:val="nil"/>
              <w:bottom w:val="single" w:sz="6" w:space="0" w:color="auto"/>
              <w:right w:val="nil"/>
            </w:tcBorders>
            <w:vAlign w:val="bottom"/>
          </w:tcPr>
          <w:p w14:paraId="48E0745A" w14:textId="77777777" w:rsidR="001406AE" w:rsidRPr="003A2506" w:rsidRDefault="001406AE" w:rsidP="0034622E">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65</w:t>
            </w:r>
          </w:p>
        </w:tc>
        <w:tc>
          <w:tcPr>
            <w:tcW w:w="371" w:type="pct"/>
            <w:tcBorders>
              <w:top w:val="nil"/>
              <w:left w:val="nil"/>
              <w:bottom w:val="single" w:sz="6" w:space="0" w:color="auto"/>
              <w:right w:val="nil"/>
            </w:tcBorders>
            <w:vAlign w:val="bottom"/>
          </w:tcPr>
          <w:p w14:paraId="65DC894B" w14:textId="77777777" w:rsidR="001406AE" w:rsidRPr="003A2506" w:rsidRDefault="001406AE" w:rsidP="0034622E">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4" w:type="pct"/>
            <w:tcBorders>
              <w:top w:val="nil"/>
              <w:left w:val="nil"/>
              <w:bottom w:val="single" w:sz="6" w:space="0" w:color="auto"/>
              <w:right w:val="nil"/>
            </w:tcBorders>
            <w:vAlign w:val="bottom"/>
          </w:tcPr>
          <w:p w14:paraId="588BF1F7" w14:textId="77777777" w:rsidR="001406AE" w:rsidRPr="003A2506" w:rsidRDefault="001406AE" w:rsidP="0034622E">
            <w:pPr>
              <w:jc w:val="right"/>
              <w:rPr>
                <w:rFonts w:ascii="Arial" w:eastAsia="Calibri" w:hAnsi="Arial" w:cs="Arial"/>
                <w:color w:val="000000" w:themeColor="text1"/>
                <w:sz w:val="14"/>
                <w:szCs w:val="14"/>
              </w:rPr>
            </w:pPr>
            <w:r w:rsidRPr="009C51A3">
              <w:rPr>
                <w:rFonts w:ascii="Arial" w:eastAsia="Calibri" w:hAnsi="Arial" w:cs="Arial"/>
                <w:color w:val="000000" w:themeColor="text1"/>
                <w:sz w:val="14"/>
                <w:szCs w:val="14"/>
              </w:rPr>
              <w:t>138.630</w:t>
            </w:r>
          </w:p>
        </w:tc>
      </w:tr>
      <w:tr w:rsidR="001406AE" w:rsidRPr="00F12E3D" w14:paraId="70EA91A9" w14:textId="77777777" w:rsidTr="0034622E">
        <w:trPr>
          <w:trHeight w:val="227"/>
          <w:jc w:val="center"/>
        </w:trPr>
        <w:tc>
          <w:tcPr>
            <w:tcW w:w="537" w:type="pct"/>
            <w:vAlign w:val="bottom"/>
          </w:tcPr>
          <w:p w14:paraId="07DB603A" w14:textId="77777777" w:rsidR="001406AE" w:rsidRPr="00F12E3D" w:rsidRDefault="001406AE" w:rsidP="0034622E">
            <w:pPr>
              <w:tabs>
                <w:tab w:val="right" w:pos="1202"/>
              </w:tabs>
              <w:spacing w:line="200" w:lineRule="exact"/>
              <w:outlineLvl w:val="0"/>
              <w:rPr>
                <w:rFonts w:ascii="Arial" w:eastAsia="Calibri" w:hAnsi="Arial" w:cs="Arial"/>
                <w:b/>
                <w:bCs/>
                <w:color w:val="000000" w:themeColor="text1"/>
                <w:sz w:val="14"/>
                <w:szCs w:val="14"/>
              </w:rPr>
            </w:pPr>
            <w:r w:rsidRPr="00F12E3D">
              <w:rPr>
                <w:rFonts w:ascii="Arial" w:eastAsia="Calibri" w:hAnsi="Arial" w:cs="Arial"/>
                <w:b/>
                <w:bCs/>
                <w:color w:val="000000" w:themeColor="text1"/>
                <w:sz w:val="14"/>
                <w:szCs w:val="14"/>
              </w:rPr>
              <w:t>Ukupno</w:t>
            </w:r>
          </w:p>
        </w:tc>
        <w:tc>
          <w:tcPr>
            <w:tcW w:w="300" w:type="pct"/>
            <w:tcBorders>
              <w:top w:val="single" w:sz="6" w:space="0" w:color="auto"/>
              <w:left w:val="nil"/>
              <w:bottom w:val="single" w:sz="12" w:space="0" w:color="auto"/>
              <w:right w:val="nil"/>
            </w:tcBorders>
            <w:shd w:val="clear" w:color="auto" w:fill="auto"/>
            <w:vAlign w:val="bottom"/>
          </w:tcPr>
          <w:p w14:paraId="0607333E" w14:textId="77777777" w:rsidR="001406AE" w:rsidRPr="003A2506" w:rsidRDefault="001406AE" w:rsidP="0034622E">
            <w:pPr>
              <w:jc w:val="right"/>
              <w:rPr>
                <w:rFonts w:ascii="Arial" w:eastAsia="Calibri" w:hAnsi="Arial" w:cs="Arial"/>
                <w:b/>
                <w:bCs/>
                <w:sz w:val="14"/>
                <w:szCs w:val="14"/>
              </w:rPr>
            </w:pPr>
            <w:r w:rsidRPr="00F84C24">
              <w:rPr>
                <w:rFonts w:ascii="Arial" w:eastAsia="Calibri" w:hAnsi="Arial" w:cs="Arial"/>
                <w:b/>
                <w:bCs/>
                <w:color w:val="000000" w:themeColor="text1"/>
                <w:sz w:val="14"/>
                <w:szCs w:val="14"/>
              </w:rPr>
              <w:t xml:space="preserve"> 441.665 </w:t>
            </w:r>
          </w:p>
        </w:tc>
        <w:tc>
          <w:tcPr>
            <w:tcW w:w="298" w:type="pct"/>
            <w:tcBorders>
              <w:top w:val="single" w:sz="6" w:space="0" w:color="auto"/>
              <w:left w:val="nil"/>
              <w:bottom w:val="single" w:sz="12" w:space="0" w:color="auto"/>
              <w:right w:val="nil"/>
            </w:tcBorders>
            <w:shd w:val="clear" w:color="auto" w:fill="auto"/>
            <w:vAlign w:val="bottom"/>
          </w:tcPr>
          <w:p w14:paraId="5D457E67" w14:textId="77777777" w:rsidR="001406AE" w:rsidRPr="003A2506" w:rsidRDefault="001406AE" w:rsidP="0034622E">
            <w:pPr>
              <w:jc w:val="right"/>
              <w:rPr>
                <w:rFonts w:ascii="Arial" w:eastAsia="Calibri" w:hAnsi="Arial" w:cs="Arial"/>
                <w:b/>
                <w:bCs/>
                <w:sz w:val="14"/>
                <w:szCs w:val="14"/>
              </w:rPr>
            </w:pPr>
            <w:r w:rsidRPr="00F84C24">
              <w:rPr>
                <w:rFonts w:ascii="Arial" w:eastAsia="Calibri" w:hAnsi="Arial" w:cs="Arial"/>
                <w:b/>
                <w:bCs/>
                <w:color w:val="000000" w:themeColor="text1"/>
                <w:sz w:val="14"/>
                <w:szCs w:val="14"/>
              </w:rPr>
              <w:t xml:space="preserve"> 16.296 </w:t>
            </w:r>
          </w:p>
        </w:tc>
        <w:tc>
          <w:tcPr>
            <w:tcW w:w="295" w:type="pct"/>
            <w:tcBorders>
              <w:top w:val="single" w:sz="6" w:space="0" w:color="auto"/>
              <w:left w:val="nil"/>
              <w:bottom w:val="single" w:sz="12" w:space="0" w:color="auto"/>
              <w:right w:val="nil"/>
            </w:tcBorders>
            <w:shd w:val="clear" w:color="auto" w:fill="auto"/>
            <w:vAlign w:val="bottom"/>
          </w:tcPr>
          <w:p w14:paraId="4E0F2E0D" w14:textId="77777777" w:rsidR="001406AE" w:rsidRPr="003A2506" w:rsidRDefault="001406AE" w:rsidP="0034622E">
            <w:pPr>
              <w:jc w:val="right"/>
              <w:rPr>
                <w:rFonts w:ascii="Arial" w:eastAsia="Calibri" w:hAnsi="Arial" w:cs="Arial"/>
                <w:b/>
                <w:bCs/>
                <w:sz w:val="14"/>
                <w:szCs w:val="14"/>
              </w:rPr>
            </w:pPr>
            <w:r w:rsidRPr="00F84C24">
              <w:rPr>
                <w:rFonts w:ascii="Arial" w:eastAsia="Calibri" w:hAnsi="Arial" w:cs="Arial"/>
                <w:b/>
                <w:bCs/>
                <w:color w:val="000000" w:themeColor="text1"/>
                <w:sz w:val="14"/>
                <w:szCs w:val="14"/>
              </w:rPr>
              <w:t xml:space="preserve"> 20.440 </w:t>
            </w:r>
          </w:p>
        </w:tc>
        <w:tc>
          <w:tcPr>
            <w:tcW w:w="287" w:type="pct"/>
            <w:tcBorders>
              <w:top w:val="single" w:sz="6" w:space="0" w:color="auto"/>
              <w:left w:val="nil"/>
              <w:bottom w:val="single" w:sz="12" w:space="0" w:color="auto"/>
              <w:right w:val="nil"/>
            </w:tcBorders>
            <w:shd w:val="clear" w:color="auto" w:fill="auto"/>
            <w:vAlign w:val="bottom"/>
          </w:tcPr>
          <w:p w14:paraId="3766937F" w14:textId="77777777" w:rsidR="001406AE" w:rsidRPr="003A2506" w:rsidRDefault="001406AE" w:rsidP="0034622E">
            <w:pPr>
              <w:jc w:val="right"/>
              <w:rPr>
                <w:rFonts w:ascii="Arial" w:eastAsia="Calibri" w:hAnsi="Arial" w:cs="Arial"/>
                <w:b/>
                <w:bCs/>
                <w:sz w:val="14"/>
                <w:szCs w:val="14"/>
              </w:rPr>
            </w:pPr>
            <w:r w:rsidRPr="00F84C24">
              <w:rPr>
                <w:rFonts w:ascii="Arial" w:eastAsia="Calibri" w:hAnsi="Arial" w:cs="Arial"/>
                <w:b/>
                <w:bCs/>
                <w:color w:val="000000" w:themeColor="text1"/>
                <w:sz w:val="14"/>
                <w:szCs w:val="14"/>
              </w:rPr>
              <w:t>-</w:t>
            </w:r>
          </w:p>
        </w:tc>
        <w:tc>
          <w:tcPr>
            <w:tcW w:w="291" w:type="pct"/>
            <w:tcBorders>
              <w:top w:val="nil"/>
              <w:left w:val="nil"/>
              <w:bottom w:val="single" w:sz="12" w:space="0" w:color="auto"/>
              <w:right w:val="nil"/>
            </w:tcBorders>
            <w:shd w:val="clear" w:color="auto" w:fill="auto"/>
            <w:vAlign w:val="bottom"/>
          </w:tcPr>
          <w:p w14:paraId="753542C1" w14:textId="77777777" w:rsidR="001406AE" w:rsidRPr="003A2506" w:rsidRDefault="001406AE" w:rsidP="0034622E">
            <w:pPr>
              <w:jc w:val="right"/>
              <w:rPr>
                <w:rFonts w:ascii="Arial" w:eastAsia="Calibri" w:hAnsi="Arial" w:cs="Arial"/>
                <w:b/>
                <w:bCs/>
                <w:sz w:val="14"/>
                <w:szCs w:val="14"/>
              </w:rPr>
            </w:pPr>
            <w:r w:rsidRPr="005315D0">
              <w:rPr>
                <w:rFonts w:ascii="Arial" w:eastAsia="Calibri" w:hAnsi="Arial" w:cs="Arial"/>
                <w:b/>
                <w:bCs/>
                <w:sz w:val="14"/>
                <w:szCs w:val="14"/>
              </w:rPr>
              <w:t>12.574</w:t>
            </w:r>
          </w:p>
        </w:tc>
        <w:tc>
          <w:tcPr>
            <w:tcW w:w="318" w:type="pct"/>
            <w:tcBorders>
              <w:top w:val="single" w:sz="6" w:space="0" w:color="auto"/>
              <w:left w:val="nil"/>
              <w:bottom w:val="single" w:sz="12" w:space="0" w:color="auto"/>
              <w:right w:val="nil"/>
            </w:tcBorders>
            <w:shd w:val="clear" w:color="auto" w:fill="auto"/>
            <w:vAlign w:val="bottom"/>
          </w:tcPr>
          <w:p w14:paraId="174EDB3B" w14:textId="77777777" w:rsidR="001406AE" w:rsidRPr="003A2506" w:rsidRDefault="001406AE" w:rsidP="0034622E">
            <w:pPr>
              <w:jc w:val="right"/>
              <w:rPr>
                <w:rFonts w:ascii="Arial" w:eastAsia="Calibri" w:hAnsi="Arial" w:cs="Arial"/>
                <w:b/>
                <w:bCs/>
                <w:sz w:val="14"/>
                <w:szCs w:val="14"/>
              </w:rPr>
            </w:pPr>
            <w:r w:rsidRPr="00F84C24">
              <w:rPr>
                <w:rFonts w:ascii="Arial" w:eastAsia="Calibri" w:hAnsi="Arial" w:cs="Arial"/>
                <w:b/>
                <w:bCs/>
                <w:color w:val="000000" w:themeColor="text1"/>
                <w:sz w:val="14"/>
                <w:szCs w:val="14"/>
              </w:rPr>
              <w:t xml:space="preserve"> - </w:t>
            </w:r>
          </w:p>
        </w:tc>
        <w:tc>
          <w:tcPr>
            <w:tcW w:w="333" w:type="pct"/>
            <w:tcBorders>
              <w:top w:val="single" w:sz="6" w:space="0" w:color="auto"/>
              <w:left w:val="nil"/>
              <w:bottom w:val="single" w:sz="12" w:space="0" w:color="auto"/>
              <w:right w:val="nil"/>
            </w:tcBorders>
            <w:shd w:val="clear" w:color="auto" w:fill="auto"/>
            <w:vAlign w:val="bottom"/>
          </w:tcPr>
          <w:p w14:paraId="473D1650" w14:textId="77777777" w:rsidR="001406AE" w:rsidRPr="003A2506" w:rsidRDefault="001406AE" w:rsidP="0034622E">
            <w:pPr>
              <w:jc w:val="right"/>
              <w:rPr>
                <w:rFonts w:ascii="Arial" w:eastAsia="Calibri" w:hAnsi="Arial" w:cs="Arial"/>
                <w:b/>
                <w:bCs/>
                <w:sz w:val="14"/>
                <w:szCs w:val="14"/>
              </w:rPr>
            </w:pPr>
            <w:r w:rsidRPr="00F84C24">
              <w:rPr>
                <w:rFonts w:ascii="Arial" w:eastAsia="Calibri" w:hAnsi="Arial" w:cs="Arial"/>
                <w:b/>
                <w:bCs/>
                <w:color w:val="000000" w:themeColor="text1"/>
                <w:sz w:val="14"/>
                <w:szCs w:val="14"/>
              </w:rPr>
              <w:t xml:space="preserve"> 490.975 </w:t>
            </w:r>
          </w:p>
        </w:tc>
        <w:tc>
          <w:tcPr>
            <w:tcW w:w="328" w:type="pct"/>
            <w:tcBorders>
              <w:top w:val="single" w:sz="6" w:space="0" w:color="auto"/>
              <w:left w:val="nil"/>
              <w:bottom w:val="single" w:sz="12" w:space="0" w:color="auto"/>
              <w:right w:val="nil"/>
            </w:tcBorders>
            <w:vAlign w:val="bottom"/>
          </w:tcPr>
          <w:p w14:paraId="0D8DD787" w14:textId="77777777" w:rsidR="001406AE" w:rsidRPr="003A2506" w:rsidRDefault="001406AE" w:rsidP="0034622E">
            <w:pPr>
              <w:jc w:val="right"/>
              <w:rPr>
                <w:rFonts w:ascii="Arial" w:eastAsia="Calibri" w:hAnsi="Arial" w:cs="Arial"/>
                <w:b/>
                <w:bCs/>
                <w:sz w:val="14"/>
                <w:szCs w:val="14"/>
              </w:rPr>
            </w:pPr>
            <w:r w:rsidRPr="00F84C24">
              <w:rPr>
                <w:rFonts w:ascii="Arial" w:eastAsia="Calibri" w:hAnsi="Arial" w:cs="Arial"/>
                <w:b/>
                <w:bCs/>
                <w:color w:val="000000" w:themeColor="text1"/>
                <w:sz w:val="14"/>
                <w:szCs w:val="14"/>
              </w:rPr>
              <w:t xml:space="preserve"> 153.179 </w:t>
            </w:r>
          </w:p>
        </w:tc>
        <w:tc>
          <w:tcPr>
            <w:tcW w:w="329" w:type="pct"/>
            <w:tcBorders>
              <w:top w:val="single" w:sz="6" w:space="0" w:color="auto"/>
              <w:left w:val="nil"/>
              <w:bottom w:val="single" w:sz="12" w:space="0" w:color="auto"/>
              <w:right w:val="nil"/>
            </w:tcBorders>
            <w:vAlign w:val="bottom"/>
          </w:tcPr>
          <w:p w14:paraId="15920F11" w14:textId="77777777" w:rsidR="001406AE" w:rsidRPr="003A2506" w:rsidRDefault="001406AE" w:rsidP="0034622E">
            <w:pPr>
              <w:jc w:val="right"/>
              <w:rPr>
                <w:rFonts w:ascii="Arial" w:eastAsia="Calibri" w:hAnsi="Arial" w:cs="Arial"/>
                <w:b/>
                <w:bCs/>
                <w:sz w:val="14"/>
                <w:szCs w:val="14"/>
              </w:rPr>
            </w:pPr>
            <w:r w:rsidRPr="00F84C24">
              <w:rPr>
                <w:rFonts w:ascii="Arial" w:eastAsia="Calibri" w:hAnsi="Arial" w:cs="Arial"/>
                <w:b/>
                <w:bCs/>
                <w:color w:val="000000" w:themeColor="text1"/>
                <w:sz w:val="14"/>
                <w:szCs w:val="14"/>
              </w:rPr>
              <w:t xml:space="preserve"> 7.201 </w:t>
            </w:r>
          </w:p>
        </w:tc>
        <w:tc>
          <w:tcPr>
            <w:tcW w:w="329" w:type="pct"/>
            <w:tcBorders>
              <w:top w:val="single" w:sz="6" w:space="0" w:color="auto"/>
              <w:left w:val="nil"/>
              <w:bottom w:val="single" w:sz="12" w:space="0" w:color="auto"/>
              <w:right w:val="nil"/>
            </w:tcBorders>
            <w:vAlign w:val="bottom"/>
          </w:tcPr>
          <w:p w14:paraId="1F58BB6C" w14:textId="77777777" w:rsidR="001406AE" w:rsidRPr="003A2506" w:rsidRDefault="001406AE" w:rsidP="0034622E">
            <w:pPr>
              <w:jc w:val="right"/>
              <w:rPr>
                <w:rFonts w:ascii="Arial" w:eastAsia="Calibri" w:hAnsi="Arial" w:cs="Arial"/>
                <w:b/>
                <w:bCs/>
                <w:sz w:val="14"/>
                <w:szCs w:val="14"/>
              </w:rPr>
            </w:pPr>
            <w:r w:rsidRPr="00F84C24">
              <w:rPr>
                <w:rFonts w:ascii="Arial" w:eastAsia="Calibri" w:hAnsi="Arial" w:cs="Arial"/>
                <w:b/>
                <w:bCs/>
                <w:color w:val="000000" w:themeColor="text1"/>
                <w:sz w:val="14"/>
                <w:szCs w:val="14"/>
              </w:rPr>
              <w:t xml:space="preserve"> 14.348 </w:t>
            </w:r>
          </w:p>
        </w:tc>
        <w:tc>
          <w:tcPr>
            <w:tcW w:w="329" w:type="pct"/>
            <w:tcBorders>
              <w:top w:val="single" w:sz="6" w:space="0" w:color="auto"/>
              <w:left w:val="nil"/>
              <w:bottom w:val="single" w:sz="12" w:space="0" w:color="auto"/>
              <w:right w:val="nil"/>
            </w:tcBorders>
            <w:vAlign w:val="bottom"/>
          </w:tcPr>
          <w:p w14:paraId="2A1AD336" w14:textId="77777777" w:rsidR="001406AE" w:rsidRPr="003A2506" w:rsidRDefault="001406AE" w:rsidP="0034622E">
            <w:pPr>
              <w:jc w:val="right"/>
              <w:rPr>
                <w:rFonts w:ascii="Arial" w:eastAsia="Calibri" w:hAnsi="Arial" w:cs="Arial"/>
                <w:b/>
                <w:bCs/>
                <w:sz w:val="14"/>
                <w:szCs w:val="14"/>
              </w:rPr>
            </w:pPr>
            <w:r w:rsidRPr="00F84C24">
              <w:rPr>
                <w:rFonts w:ascii="Arial" w:eastAsia="Calibri" w:hAnsi="Arial" w:cs="Arial"/>
                <w:b/>
                <w:bCs/>
                <w:color w:val="000000" w:themeColor="text1"/>
                <w:sz w:val="14"/>
                <w:szCs w:val="14"/>
              </w:rPr>
              <w:t xml:space="preserve"> </w:t>
            </w:r>
            <w:r>
              <w:rPr>
                <w:rFonts w:ascii="Arial" w:eastAsia="Calibri" w:hAnsi="Arial" w:cs="Arial"/>
                <w:b/>
                <w:bCs/>
                <w:color w:val="000000" w:themeColor="text1"/>
                <w:sz w:val="14"/>
                <w:szCs w:val="14"/>
              </w:rPr>
              <w:t>-</w:t>
            </w:r>
          </w:p>
        </w:tc>
        <w:tc>
          <w:tcPr>
            <w:tcW w:w="330" w:type="pct"/>
            <w:tcBorders>
              <w:top w:val="nil"/>
              <w:left w:val="nil"/>
              <w:bottom w:val="single" w:sz="12" w:space="0" w:color="auto"/>
              <w:right w:val="nil"/>
            </w:tcBorders>
            <w:shd w:val="clear" w:color="auto" w:fill="auto"/>
            <w:vAlign w:val="bottom"/>
          </w:tcPr>
          <w:p w14:paraId="62258233" w14:textId="77777777" w:rsidR="001406AE" w:rsidRPr="003A2506" w:rsidRDefault="001406AE" w:rsidP="0034622E">
            <w:pPr>
              <w:jc w:val="right"/>
              <w:rPr>
                <w:rFonts w:ascii="Arial" w:eastAsia="Calibri" w:hAnsi="Arial" w:cs="Arial"/>
                <w:b/>
                <w:bCs/>
                <w:sz w:val="14"/>
                <w:szCs w:val="14"/>
              </w:rPr>
            </w:pPr>
            <w:r>
              <w:rPr>
                <w:rFonts w:ascii="Arial" w:eastAsia="Calibri" w:hAnsi="Arial" w:cs="Arial"/>
                <w:b/>
                <w:bCs/>
                <w:color w:val="000000" w:themeColor="text1"/>
                <w:sz w:val="14"/>
                <w:szCs w:val="14"/>
              </w:rPr>
              <w:t>65</w:t>
            </w:r>
          </w:p>
        </w:tc>
        <w:tc>
          <w:tcPr>
            <w:tcW w:w="371" w:type="pct"/>
            <w:tcBorders>
              <w:top w:val="single" w:sz="6" w:space="0" w:color="auto"/>
              <w:left w:val="nil"/>
              <w:bottom w:val="single" w:sz="12" w:space="0" w:color="auto"/>
              <w:right w:val="nil"/>
            </w:tcBorders>
            <w:vAlign w:val="bottom"/>
          </w:tcPr>
          <w:p w14:paraId="5400D896" w14:textId="77777777" w:rsidR="001406AE" w:rsidRPr="003A2506" w:rsidRDefault="001406AE" w:rsidP="0034622E">
            <w:pPr>
              <w:jc w:val="right"/>
              <w:rPr>
                <w:rFonts w:ascii="Arial" w:eastAsia="Calibri" w:hAnsi="Arial" w:cs="Arial"/>
                <w:b/>
                <w:bCs/>
                <w:sz w:val="14"/>
                <w:szCs w:val="14"/>
              </w:rPr>
            </w:pPr>
            <w:r>
              <w:rPr>
                <w:rFonts w:ascii="Arial" w:eastAsia="Calibri" w:hAnsi="Arial" w:cs="Arial"/>
                <w:b/>
                <w:bCs/>
                <w:color w:val="000000" w:themeColor="text1"/>
                <w:sz w:val="14"/>
                <w:szCs w:val="14"/>
              </w:rPr>
              <w:t>-</w:t>
            </w:r>
          </w:p>
        </w:tc>
        <w:tc>
          <w:tcPr>
            <w:tcW w:w="324" w:type="pct"/>
            <w:tcBorders>
              <w:top w:val="single" w:sz="6" w:space="0" w:color="auto"/>
              <w:left w:val="nil"/>
              <w:bottom w:val="single" w:sz="12" w:space="0" w:color="auto"/>
              <w:right w:val="nil"/>
            </w:tcBorders>
            <w:vAlign w:val="bottom"/>
          </w:tcPr>
          <w:p w14:paraId="3F81C836" w14:textId="77777777" w:rsidR="001406AE" w:rsidRPr="003A2506" w:rsidRDefault="001406AE" w:rsidP="0034622E">
            <w:pPr>
              <w:jc w:val="right"/>
              <w:rPr>
                <w:rFonts w:ascii="Arial" w:eastAsia="Calibri" w:hAnsi="Arial" w:cs="Arial"/>
                <w:b/>
                <w:bCs/>
                <w:sz w:val="14"/>
                <w:szCs w:val="14"/>
              </w:rPr>
            </w:pPr>
            <w:r w:rsidRPr="00F84C24">
              <w:rPr>
                <w:rFonts w:ascii="Arial" w:eastAsia="Calibri" w:hAnsi="Arial" w:cs="Arial"/>
                <w:b/>
                <w:bCs/>
                <w:color w:val="000000" w:themeColor="text1"/>
                <w:sz w:val="14"/>
                <w:szCs w:val="14"/>
              </w:rPr>
              <w:t>174.793</w:t>
            </w:r>
          </w:p>
        </w:tc>
      </w:tr>
      <w:tr w:rsidR="001406AE" w:rsidRPr="00F12E3D" w14:paraId="19CB8E4E" w14:textId="77777777" w:rsidTr="0034622E">
        <w:trPr>
          <w:trHeight w:val="55"/>
          <w:jc w:val="center"/>
        </w:trPr>
        <w:tc>
          <w:tcPr>
            <w:tcW w:w="537" w:type="pct"/>
            <w:vAlign w:val="bottom"/>
          </w:tcPr>
          <w:p w14:paraId="71E2FC9F" w14:textId="77777777" w:rsidR="001406AE" w:rsidRPr="00F12E3D" w:rsidRDefault="001406AE" w:rsidP="0034622E">
            <w:pPr>
              <w:tabs>
                <w:tab w:val="right" w:pos="1202"/>
              </w:tabs>
              <w:spacing w:line="200" w:lineRule="exact"/>
              <w:outlineLvl w:val="0"/>
              <w:rPr>
                <w:rFonts w:ascii="Arial" w:eastAsia="Calibri" w:hAnsi="Arial" w:cs="Arial"/>
                <w:b/>
                <w:bCs/>
                <w:color w:val="000000" w:themeColor="text1"/>
                <w:sz w:val="14"/>
                <w:szCs w:val="14"/>
              </w:rPr>
            </w:pPr>
            <w:r w:rsidRPr="00F12E3D">
              <w:rPr>
                <w:rFonts w:ascii="Arial" w:eastAsia="Calibri" w:hAnsi="Arial" w:cs="Arial"/>
                <w:b/>
                <w:bCs/>
                <w:color w:val="000000" w:themeColor="text1"/>
                <w:sz w:val="14"/>
                <w:szCs w:val="14"/>
              </w:rPr>
              <w:t>Ukupna izloženost kreditnom riziku</w:t>
            </w:r>
          </w:p>
        </w:tc>
        <w:tc>
          <w:tcPr>
            <w:tcW w:w="300" w:type="pct"/>
            <w:tcBorders>
              <w:top w:val="nil"/>
              <w:left w:val="nil"/>
              <w:bottom w:val="single" w:sz="12" w:space="0" w:color="auto"/>
              <w:right w:val="nil"/>
            </w:tcBorders>
            <w:shd w:val="clear" w:color="auto" w:fill="auto"/>
            <w:vAlign w:val="bottom"/>
          </w:tcPr>
          <w:p w14:paraId="2C026642" w14:textId="77777777" w:rsidR="001406AE" w:rsidRPr="00F959D0" w:rsidRDefault="001406AE" w:rsidP="0034622E">
            <w:pPr>
              <w:jc w:val="right"/>
              <w:rPr>
                <w:rFonts w:ascii="Arial" w:eastAsia="Calibri" w:hAnsi="Arial" w:cs="Arial"/>
                <w:b/>
                <w:bCs/>
                <w:color w:val="000000" w:themeColor="text1"/>
                <w:sz w:val="14"/>
                <w:szCs w:val="14"/>
              </w:rPr>
            </w:pPr>
            <w:r w:rsidRPr="00F959D0">
              <w:rPr>
                <w:rFonts w:ascii="Arial" w:eastAsia="Calibri" w:hAnsi="Arial" w:cs="Arial"/>
                <w:b/>
                <w:bCs/>
                <w:color w:val="000000" w:themeColor="text1"/>
                <w:sz w:val="14"/>
                <w:szCs w:val="14"/>
              </w:rPr>
              <w:t xml:space="preserve"> 3.</w:t>
            </w:r>
            <w:r>
              <w:rPr>
                <w:rFonts w:ascii="Arial" w:eastAsia="Calibri" w:hAnsi="Arial" w:cs="Arial"/>
                <w:b/>
                <w:bCs/>
                <w:color w:val="000000" w:themeColor="text1"/>
                <w:sz w:val="14"/>
                <w:szCs w:val="14"/>
              </w:rPr>
              <w:t>792</w:t>
            </w:r>
            <w:r w:rsidRPr="00F959D0">
              <w:rPr>
                <w:rFonts w:ascii="Arial" w:eastAsia="Calibri" w:hAnsi="Arial" w:cs="Arial"/>
                <w:b/>
                <w:bCs/>
                <w:color w:val="000000" w:themeColor="text1"/>
                <w:sz w:val="14"/>
                <w:szCs w:val="14"/>
              </w:rPr>
              <w:t>.</w:t>
            </w:r>
            <w:r>
              <w:rPr>
                <w:rFonts w:ascii="Arial" w:eastAsia="Calibri" w:hAnsi="Arial" w:cs="Arial"/>
                <w:b/>
                <w:bCs/>
                <w:color w:val="000000" w:themeColor="text1"/>
                <w:sz w:val="14"/>
                <w:szCs w:val="14"/>
              </w:rPr>
              <w:t>038</w:t>
            </w:r>
            <w:r w:rsidRPr="00F959D0">
              <w:rPr>
                <w:rFonts w:ascii="Arial" w:eastAsia="Calibri" w:hAnsi="Arial" w:cs="Arial"/>
                <w:b/>
                <w:bCs/>
                <w:color w:val="000000" w:themeColor="text1"/>
                <w:sz w:val="14"/>
                <w:szCs w:val="14"/>
              </w:rPr>
              <w:t xml:space="preserve"> </w:t>
            </w:r>
          </w:p>
        </w:tc>
        <w:tc>
          <w:tcPr>
            <w:tcW w:w="298" w:type="pct"/>
            <w:tcBorders>
              <w:top w:val="nil"/>
              <w:left w:val="nil"/>
              <w:bottom w:val="single" w:sz="12" w:space="0" w:color="auto"/>
              <w:right w:val="nil"/>
            </w:tcBorders>
            <w:shd w:val="clear" w:color="auto" w:fill="auto"/>
            <w:vAlign w:val="bottom"/>
          </w:tcPr>
          <w:p w14:paraId="7319CD9C" w14:textId="77777777" w:rsidR="001406AE" w:rsidRPr="00F959D0" w:rsidRDefault="001406AE" w:rsidP="0034622E">
            <w:pPr>
              <w:jc w:val="right"/>
              <w:rPr>
                <w:rFonts w:ascii="Arial" w:eastAsia="Calibri" w:hAnsi="Arial" w:cs="Arial"/>
                <w:b/>
                <w:bCs/>
                <w:color w:val="000000" w:themeColor="text1"/>
                <w:sz w:val="14"/>
                <w:szCs w:val="14"/>
              </w:rPr>
            </w:pPr>
            <w:r w:rsidRPr="00F959D0">
              <w:rPr>
                <w:rFonts w:ascii="Arial" w:eastAsia="Calibri" w:hAnsi="Arial" w:cs="Arial"/>
                <w:b/>
                <w:bCs/>
                <w:color w:val="000000" w:themeColor="text1"/>
                <w:sz w:val="14"/>
                <w:szCs w:val="14"/>
              </w:rPr>
              <w:t xml:space="preserve"> 291.025 </w:t>
            </w:r>
          </w:p>
        </w:tc>
        <w:tc>
          <w:tcPr>
            <w:tcW w:w="295" w:type="pct"/>
            <w:tcBorders>
              <w:top w:val="nil"/>
              <w:left w:val="nil"/>
              <w:bottom w:val="single" w:sz="12" w:space="0" w:color="auto"/>
              <w:right w:val="nil"/>
            </w:tcBorders>
            <w:shd w:val="clear" w:color="auto" w:fill="auto"/>
            <w:vAlign w:val="bottom"/>
          </w:tcPr>
          <w:p w14:paraId="3FF1DF7F" w14:textId="77777777" w:rsidR="001406AE" w:rsidRPr="00F959D0" w:rsidRDefault="001406AE" w:rsidP="0034622E">
            <w:pPr>
              <w:jc w:val="right"/>
              <w:rPr>
                <w:rFonts w:ascii="Arial" w:eastAsia="Calibri" w:hAnsi="Arial" w:cs="Arial"/>
                <w:b/>
                <w:bCs/>
                <w:color w:val="000000" w:themeColor="text1"/>
                <w:sz w:val="14"/>
                <w:szCs w:val="14"/>
              </w:rPr>
            </w:pPr>
            <w:r w:rsidRPr="00F959D0">
              <w:rPr>
                <w:rFonts w:ascii="Arial" w:eastAsia="Calibri" w:hAnsi="Arial" w:cs="Arial"/>
                <w:b/>
                <w:bCs/>
                <w:color w:val="000000" w:themeColor="text1"/>
                <w:sz w:val="14"/>
                <w:szCs w:val="14"/>
              </w:rPr>
              <w:t xml:space="preserve"> 153.795 </w:t>
            </w:r>
          </w:p>
        </w:tc>
        <w:tc>
          <w:tcPr>
            <w:tcW w:w="287" w:type="pct"/>
            <w:tcBorders>
              <w:top w:val="nil"/>
              <w:left w:val="nil"/>
              <w:bottom w:val="single" w:sz="12" w:space="0" w:color="auto"/>
              <w:right w:val="nil"/>
            </w:tcBorders>
            <w:shd w:val="clear" w:color="auto" w:fill="auto"/>
            <w:vAlign w:val="bottom"/>
          </w:tcPr>
          <w:p w14:paraId="3D17CE7F" w14:textId="77777777" w:rsidR="001406AE" w:rsidRPr="00F959D0" w:rsidRDefault="001406AE" w:rsidP="0034622E">
            <w:pPr>
              <w:jc w:val="right"/>
              <w:rPr>
                <w:rFonts w:ascii="Arial" w:eastAsia="Calibri" w:hAnsi="Arial" w:cs="Arial"/>
                <w:b/>
                <w:bCs/>
                <w:color w:val="000000" w:themeColor="text1"/>
                <w:sz w:val="14"/>
                <w:szCs w:val="14"/>
              </w:rPr>
            </w:pPr>
            <w:r w:rsidRPr="00B726F1">
              <w:rPr>
                <w:rFonts w:ascii="Arial" w:eastAsia="Calibri" w:hAnsi="Arial" w:cs="Arial"/>
                <w:b/>
                <w:bCs/>
                <w:color w:val="000000" w:themeColor="text1"/>
                <w:sz w:val="14"/>
                <w:szCs w:val="14"/>
              </w:rPr>
              <w:t>5.463</w:t>
            </w:r>
          </w:p>
        </w:tc>
        <w:tc>
          <w:tcPr>
            <w:tcW w:w="291" w:type="pct"/>
            <w:tcBorders>
              <w:top w:val="nil"/>
              <w:left w:val="nil"/>
              <w:bottom w:val="single" w:sz="12" w:space="0" w:color="auto"/>
              <w:right w:val="nil"/>
            </w:tcBorders>
            <w:shd w:val="clear" w:color="auto" w:fill="auto"/>
            <w:vAlign w:val="bottom"/>
          </w:tcPr>
          <w:p w14:paraId="5559C34A" w14:textId="77777777" w:rsidR="001406AE" w:rsidRPr="00F959D0" w:rsidRDefault="001406AE" w:rsidP="0034622E">
            <w:pPr>
              <w:jc w:val="right"/>
              <w:rPr>
                <w:rFonts w:ascii="Arial" w:eastAsia="Calibri" w:hAnsi="Arial" w:cs="Arial"/>
                <w:b/>
                <w:bCs/>
                <w:color w:val="000000" w:themeColor="text1"/>
                <w:sz w:val="14"/>
                <w:szCs w:val="14"/>
              </w:rPr>
            </w:pPr>
            <w:r w:rsidRPr="00B726F1">
              <w:rPr>
                <w:rFonts w:ascii="Arial" w:eastAsia="Calibri" w:hAnsi="Arial" w:cs="Arial"/>
                <w:b/>
                <w:bCs/>
                <w:color w:val="000000" w:themeColor="text1"/>
                <w:sz w:val="14"/>
                <w:szCs w:val="14"/>
              </w:rPr>
              <w:t>191.899</w:t>
            </w:r>
          </w:p>
        </w:tc>
        <w:tc>
          <w:tcPr>
            <w:tcW w:w="318" w:type="pct"/>
            <w:tcBorders>
              <w:top w:val="nil"/>
              <w:left w:val="nil"/>
              <w:bottom w:val="single" w:sz="12" w:space="0" w:color="auto"/>
              <w:right w:val="nil"/>
            </w:tcBorders>
            <w:shd w:val="clear" w:color="auto" w:fill="auto"/>
            <w:vAlign w:val="bottom"/>
          </w:tcPr>
          <w:p w14:paraId="6FA5CFF6" w14:textId="77777777" w:rsidR="001406AE" w:rsidRPr="00F959D0" w:rsidRDefault="001406AE" w:rsidP="0034622E">
            <w:pPr>
              <w:jc w:val="right"/>
              <w:rPr>
                <w:rFonts w:ascii="Arial" w:eastAsia="Calibri" w:hAnsi="Arial" w:cs="Arial"/>
                <w:b/>
                <w:bCs/>
                <w:color w:val="000000" w:themeColor="text1"/>
                <w:sz w:val="14"/>
                <w:szCs w:val="14"/>
              </w:rPr>
            </w:pPr>
            <w:r w:rsidRPr="00F959D0">
              <w:rPr>
                <w:rFonts w:ascii="Arial" w:eastAsia="Calibri" w:hAnsi="Arial" w:cs="Arial"/>
                <w:b/>
                <w:bCs/>
                <w:color w:val="000000" w:themeColor="text1"/>
                <w:sz w:val="14"/>
                <w:szCs w:val="14"/>
              </w:rPr>
              <w:t xml:space="preserve"> 33.709 </w:t>
            </w:r>
          </w:p>
        </w:tc>
        <w:tc>
          <w:tcPr>
            <w:tcW w:w="333" w:type="pct"/>
            <w:tcBorders>
              <w:top w:val="nil"/>
              <w:left w:val="nil"/>
              <w:bottom w:val="single" w:sz="12" w:space="0" w:color="auto"/>
              <w:right w:val="nil"/>
            </w:tcBorders>
            <w:shd w:val="clear" w:color="auto" w:fill="auto"/>
            <w:vAlign w:val="bottom"/>
          </w:tcPr>
          <w:p w14:paraId="472807A7" w14:textId="77777777" w:rsidR="001406AE" w:rsidRPr="00F959D0" w:rsidRDefault="001406AE" w:rsidP="0034622E">
            <w:pPr>
              <w:jc w:val="right"/>
              <w:rPr>
                <w:rFonts w:ascii="Arial" w:eastAsia="Calibri" w:hAnsi="Arial" w:cs="Arial"/>
                <w:b/>
                <w:bCs/>
                <w:color w:val="000000" w:themeColor="text1"/>
                <w:sz w:val="14"/>
                <w:szCs w:val="14"/>
              </w:rPr>
            </w:pPr>
            <w:r w:rsidRPr="00F959D0">
              <w:rPr>
                <w:rFonts w:ascii="Arial" w:eastAsia="Calibri" w:hAnsi="Arial" w:cs="Arial"/>
                <w:b/>
                <w:bCs/>
                <w:color w:val="000000" w:themeColor="text1"/>
                <w:sz w:val="14"/>
                <w:szCs w:val="14"/>
              </w:rPr>
              <w:t xml:space="preserve"> 4.</w:t>
            </w:r>
            <w:r>
              <w:rPr>
                <w:rFonts w:ascii="Arial" w:eastAsia="Calibri" w:hAnsi="Arial" w:cs="Arial"/>
                <w:b/>
                <w:bCs/>
                <w:color w:val="000000" w:themeColor="text1"/>
                <w:sz w:val="14"/>
                <w:szCs w:val="14"/>
              </w:rPr>
              <w:t>467.929</w:t>
            </w:r>
            <w:r w:rsidRPr="00F959D0">
              <w:rPr>
                <w:rFonts w:ascii="Arial" w:eastAsia="Calibri" w:hAnsi="Arial" w:cs="Arial"/>
                <w:b/>
                <w:bCs/>
                <w:color w:val="000000" w:themeColor="text1"/>
                <w:sz w:val="14"/>
                <w:szCs w:val="14"/>
              </w:rPr>
              <w:t xml:space="preserve"> </w:t>
            </w:r>
          </w:p>
        </w:tc>
        <w:tc>
          <w:tcPr>
            <w:tcW w:w="328" w:type="pct"/>
            <w:tcBorders>
              <w:top w:val="nil"/>
              <w:left w:val="nil"/>
              <w:bottom w:val="single" w:sz="12" w:space="0" w:color="auto"/>
              <w:right w:val="nil"/>
            </w:tcBorders>
            <w:shd w:val="clear" w:color="auto" w:fill="auto"/>
            <w:vAlign w:val="bottom"/>
          </w:tcPr>
          <w:p w14:paraId="65BA7219" w14:textId="77777777" w:rsidR="001406AE" w:rsidRPr="00F959D0" w:rsidRDefault="001406AE" w:rsidP="0034622E">
            <w:pPr>
              <w:jc w:val="right"/>
              <w:rPr>
                <w:rFonts w:ascii="Arial" w:eastAsia="Calibri" w:hAnsi="Arial" w:cs="Arial"/>
                <w:b/>
                <w:bCs/>
                <w:color w:val="000000" w:themeColor="text1"/>
                <w:sz w:val="14"/>
                <w:szCs w:val="14"/>
              </w:rPr>
            </w:pPr>
            <w:r w:rsidRPr="00F959D0">
              <w:rPr>
                <w:rFonts w:ascii="Arial" w:eastAsia="Calibri" w:hAnsi="Arial" w:cs="Arial"/>
                <w:b/>
                <w:bCs/>
                <w:color w:val="000000" w:themeColor="text1"/>
                <w:sz w:val="14"/>
                <w:szCs w:val="14"/>
              </w:rPr>
              <w:t xml:space="preserve"> 711.8</w:t>
            </w:r>
            <w:r>
              <w:rPr>
                <w:rFonts w:ascii="Arial" w:eastAsia="Calibri" w:hAnsi="Arial" w:cs="Arial"/>
                <w:b/>
                <w:bCs/>
                <w:color w:val="000000" w:themeColor="text1"/>
                <w:sz w:val="14"/>
                <w:szCs w:val="14"/>
              </w:rPr>
              <w:t>76</w:t>
            </w:r>
          </w:p>
        </w:tc>
        <w:tc>
          <w:tcPr>
            <w:tcW w:w="329" w:type="pct"/>
            <w:tcBorders>
              <w:top w:val="nil"/>
              <w:left w:val="nil"/>
              <w:bottom w:val="single" w:sz="12" w:space="0" w:color="auto"/>
              <w:right w:val="nil"/>
            </w:tcBorders>
            <w:shd w:val="clear" w:color="auto" w:fill="auto"/>
            <w:vAlign w:val="bottom"/>
          </w:tcPr>
          <w:p w14:paraId="3CB82085" w14:textId="77777777" w:rsidR="001406AE" w:rsidRPr="00F959D0" w:rsidRDefault="001406AE" w:rsidP="0034622E">
            <w:pPr>
              <w:jc w:val="right"/>
              <w:rPr>
                <w:rFonts w:ascii="Arial" w:eastAsia="Calibri" w:hAnsi="Arial" w:cs="Arial"/>
                <w:b/>
                <w:bCs/>
                <w:color w:val="000000" w:themeColor="text1"/>
                <w:sz w:val="14"/>
                <w:szCs w:val="14"/>
              </w:rPr>
            </w:pPr>
            <w:r w:rsidRPr="00F959D0">
              <w:rPr>
                <w:rFonts w:ascii="Arial" w:eastAsia="Calibri" w:hAnsi="Arial" w:cs="Arial"/>
                <w:b/>
                <w:bCs/>
                <w:color w:val="000000" w:themeColor="text1"/>
                <w:sz w:val="14"/>
                <w:szCs w:val="14"/>
              </w:rPr>
              <w:t xml:space="preserve"> 36.8</w:t>
            </w:r>
            <w:r>
              <w:rPr>
                <w:rFonts w:ascii="Arial" w:eastAsia="Calibri" w:hAnsi="Arial" w:cs="Arial"/>
                <w:b/>
                <w:bCs/>
                <w:color w:val="000000" w:themeColor="text1"/>
                <w:sz w:val="14"/>
                <w:szCs w:val="14"/>
              </w:rPr>
              <w:t>80</w:t>
            </w:r>
            <w:r w:rsidRPr="00F959D0">
              <w:rPr>
                <w:rFonts w:ascii="Arial" w:eastAsia="Calibri" w:hAnsi="Arial" w:cs="Arial"/>
                <w:b/>
                <w:bCs/>
                <w:color w:val="000000" w:themeColor="text1"/>
                <w:sz w:val="14"/>
                <w:szCs w:val="14"/>
              </w:rPr>
              <w:t xml:space="preserve"> </w:t>
            </w:r>
          </w:p>
        </w:tc>
        <w:tc>
          <w:tcPr>
            <w:tcW w:w="329" w:type="pct"/>
            <w:tcBorders>
              <w:top w:val="nil"/>
              <w:left w:val="nil"/>
              <w:bottom w:val="single" w:sz="12" w:space="0" w:color="auto"/>
              <w:right w:val="nil"/>
            </w:tcBorders>
            <w:shd w:val="clear" w:color="auto" w:fill="auto"/>
            <w:vAlign w:val="bottom"/>
          </w:tcPr>
          <w:p w14:paraId="7EC45652" w14:textId="77777777" w:rsidR="001406AE" w:rsidRPr="00F959D0" w:rsidRDefault="001406AE" w:rsidP="0034622E">
            <w:pPr>
              <w:jc w:val="right"/>
              <w:rPr>
                <w:rFonts w:ascii="Arial" w:eastAsia="Calibri" w:hAnsi="Arial" w:cs="Arial"/>
                <w:b/>
                <w:bCs/>
                <w:color w:val="000000" w:themeColor="text1"/>
                <w:sz w:val="14"/>
                <w:szCs w:val="14"/>
              </w:rPr>
            </w:pPr>
            <w:r w:rsidRPr="00F959D0">
              <w:rPr>
                <w:rFonts w:ascii="Arial" w:eastAsia="Calibri" w:hAnsi="Arial" w:cs="Arial"/>
                <w:b/>
                <w:bCs/>
                <w:color w:val="000000" w:themeColor="text1"/>
                <w:sz w:val="14"/>
                <w:szCs w:val="14"/>
              </w:rPr>
              <w:t xml:space="preserve"> 23.053 </w:t>
            </w:r>
          </w:p>
        </w:tc>
        <w:tc>
          <w:tcPr>
            <w:tcW w:w="329" w:type="pct"/>
            <w:tcBorders>
              <w:top w:val="nil"/>
              <w:left w:val="nil"/>
              <w:bottom w:val="single" w:sz="12" w:space="0" w:color="auto"/>
              <w:right w:val="nil"/>
            </w:tcBorders>
            <w:shd w:val="clear" w:color="auto" w:fill="auto"/>
            <w:vAlign w:val="bottom"/>
          </w:tcPr>
          <w:p w14:paraId="4D3076FB" w14:textId="77777777" w:rsidR="001406AE" w:rsidRPr="00F959D0" w:rsidRDefault="001406AE" w:rsidP="0034622E">
            <w:pPr>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66</w:t>
            </w:r>
          </w:p>
        </w:tc>
        <w:tc>
          <w:tcPr>
            <w:tcW w:w="330" w:type="pct"/>
            <w:tcBorders>
              <w:top w:val="nil"/>
              <w:left w:val="nil"/>
              <w:bottom w:val="single" w:sz="12" w:space="0" w:color="auto"/>
              <w:right w:val="nil"/>
            </w:tcBorders>
            <w:shd w:val="clear" w:color="auto" w:fill="auto"/>
            <w:vAlign w:val="bottom"/>
          </w:tcPr>
          <w:p w14:paraId="57516A4D" w14:textId="77777777" w:rsidR="001406AE" w:rsidRPr="00F959D0" w:rsidRDefault="001406AE" w:rsidP="0034622E">
            <w:pPr>
              <w:jc w:val="right"/>
              <w:rPr>
                <w:rFonts w:ascii="Arial" w:eastAsia="Calibri" w:hAnsi="Arial" w:cs="Arial"/>
                <w:b/>
                <w:bCs/>
                <w:color w:val="000000" w:themeColor="text1"/>
                <w:sz w:val="14"/>
                <w:szCs w:val="14"/>
              </w:rPr>
            </w:pPr>
            <w:r w:rsidRPr="00B726F1">
              <w:rPr>
                <w:rFonts w:ascii="Arial" w:eastAsia="Calibri" w:hAnsi="Arial" w:cs="Arial"/>
                <w:b/>
                <w:bCs/>
                <w:color w:val="000000" w:themeColor="text1"/>
                <w:sz w:val="14"/>
                <w:szCs w:val="14"/>
              </w:rPr>
              <w:t>9.619</w:t>
            </w:r>
          </w:p>
        </w:tc>
        <w:tc>
          <w:tcPr>
            <w:tcW w:w="371" w:type="pct"/>
            <w:tcBorders>
              <w:top w:val="nil"/>
              <w:left w:val="nil"/>
              <w:bottom w:val="single" w:sz="12" w:space="0" w:color="auto"/>
              <w:right w:val="nil"/>
            </w:tcBorders>
            <w:shd w:val="clear" w:color="auto" w:fill="auto"/>
            <w:vAlign w:val="bottom"/>
          </w:tcPr>
          <w:p w14:paraId="6967F41F" w14:textId="77777777" w:rsidR="001406AE" w:rsidRPr="00F959D0" w:rsidRDefault="001406AE" w:rsidP="0034622E">
            <w:pPr>
              <w:jc w:val="right"/>
              <w:rPr>
                <w:rFonts w:ascii="Arial" w:eastAsia="Calibri" w:hAnsi="Arial" w:cs="Arial"/>
                <w:b/>
                <w:bCs/>
                <w:color w:val="000000" w:themeColor="text1"/>
                <w:sz w:val="14"/>
                <w:szCs w:val="14"/>
              </w:rPr>
            </w:pPr>
            <w:r w:rsidRPr="00F959D0">
              <w:rPr>
                <w:rFonts w:ascii="Arial" w:eastAsia="Calibri" w:hAnsi="Arial" w:cs="Arial"/>
                <w:b/>
                <w:bCs/>
                <w:color w:val="000000" w:themeColor="text1"/>
                <w:sz w:val="14"/>
                <w:szCs w:val="14"/>
              </w:rPr>
              <w:t xml:space="preserve"> 158 </w:t>
            </w:r>
          </w:p>
        </w:tc>
        <w:tc>
          <w:tcPr>
            <w:tcW w:w="324" w:type="pct"/>
            <w:tcBorders>
              <w:top w:val="nil"/>
              <w:left w:val="nil"/>
              <w:bottom w:val="single" w:sz="12" w:space="0" w:color="auto"/>
              <w:right w:val="nil"/>
            </w:tcBorders>
            <w:shd w:val="clear" w:color="auto" w:fill="auto"/>
            <w:vAlign w:val="bottom"/>
          </w:tcPr>
          <w:p w14:paraId="540D3588" w14:textId="77777777" w:rsidR="001406AE" w:rsidRPr="00F959D0" w:rsidRDefault="001406AE" w:rsidP="0034622E">
            <w:pPr>
              <w:jc w:val="right"/>
              <w:rPr>
                <w:rFonts w:ascii="Arial" w:eastAsia="Calibri" w:hAnsi="Arial" w:cs="Arial"/>
                <w:b/>
                <w:bCs/>
                <w:color w:val="000000" w:themeColor="text1"/>
                <w:sz w:val="14"/>
                <w:szCs w:val="14"/>
              </w:rPr>
            </w:pPr>
            <w:r w:rsidRPr="00F959D0">
              <w:rPr>
                <w:rFonts w:ascii="Arial" w:eastAsia="Calibri" w:hAnsi="Arial" w:cs="Arial"/>
                <w:b/>
                <w:bCs/>
                <w:color w:val="000000" w:themeColor="text1"/>
                <w:sz w:val="14"/>
                <w:szCs w:val="14"/>
              </w:rPr>
              <w:t xml:space="preserve"> 781.6</w:t>
            </w:r>
            <w:r>
              <w:rPr>
                <w:rFonts w:ascii="Arial" w:eastAsia="Calibri" w:hAnsi="Arial" w:cs="Arial"/>
                <w:b/>
                <w:bCs/>
                <w:color w:val="000000" w:themeColor="text1"/>
                <w:sz w:val="14"/>
                <w:szCs w:val="14"/>
              </w:rPr>
              <w:t>5</w:t>
            </w:r>
            <w:r w:rsidRPr="00F959D0">
              <w:rPr>
                <w:rFonts w:ascii="Arial" w:eastAsia="Calibri" w:hAnsi="Arial" w:cs="Arial"/>
                <w:b/>
                <w:bCs/>
                <w:color w:val="000000" w:themeColor="text1"/>
                <w:sz w:val="14"/>
                <w:szCs w:val="14"/>
              </w:rPr>
              <w:t xml:space="preserve">2 </w:t>
            </w:r>
          </w:p>
        </w:tc>
      </w:tr>
    </w:tbl>
    <w:p w14:paraId="04AC06CD" w14:textId="77777777" w:rsidR="003278AB" w:rsidRPr="003D1614" w:rsidRDefault="003278AB" w:rsidP="003278AB">
      <w:pPr>
        <w:suppressAutoHyphens/>
        <w:autoSpaceDN w:val="0"/>
        <w:jc w:val="both"/>
        <w:rPr>
          <w:rFonts w:ascii="Arial" w:eastAsia="Calibri" w:hAnsi="Arial" w:cs="Arial"/>
          <w:bCs/>
          <w:color w:val="000000" w:themeColor="text1"/>
          <w:sz w:val="20"/>
          <w:szCs w:val="20"/>
        </w:rPr>
      </w:pPr>
    </w:p>
    <w:p w14:paraId="7D23427D" w14:textId="77777777" w:rsidR="003278AB" w:rsidRPr="003D1614" w:rsidRDefault="003278AB" w:rsidP="001A0FCB">
      <w:pPr>
        <w:suppressAutoHyphens/>
        <w:autoSpaceDN w:val="0"/>
        <w:jc w:val="both"/>
        <w:rPr>
          <w:rFonts w:ascii="Arial" w:eastAsia="Times New Roman" w:hAnsi="Arial" w:cs="Arial"/>
          <w:color w:val="000000" w:themeColor="text1"/>
          <w:sz w:val="20"/>
          <w:szCs w:val="20"/>
        </w:rPr>
        <w:sectPr w:rsidR="003278AB" w:rsidRPr="003D1614" w:rsidSect="003278AB">
          <w:pgSz w:w="16838" w:h="11906" w:orient="landscape"/>
          <w:pgMar w:top="1417" w:right="1417" w:bottom="1417" w:left="1417" w:header="708" w:footer="708" w:gutter="0"/>
          <w:cols w:space="708"/>
          <w:docGrid w:linePitch="360"/>
        </w:sectPr>
      </w:pPr>
    </w:p>
    <w:p w14:paraId="26330707" w14:textId="58C51220" w:rsidR="003278AB" w:rsidRPr="003D1614" w:rsidRDefault="003278AB" w:rsidP="003278AB">
      <w:pPr>
        <w:keepNext/>
        <w:suppressAutoHyphens/>
        <w:autoSpaceDN w:val="0"/>
        <w:spacing w:before="120" w:after="120"/>
        <w:jc w:val="both"/>
        <w:outlineLvl w:val="0"/>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lastRenderedPageBreak/>
        <w:t>2</w:t>
      </w:r>
      <w:r w:rsidR="000E693B">
        <w:rPr>
          <w:rFonts w:ascii="Arial" w:eastAsia="Times New Roman" w:hAnsi="Arial" w:cs="Arial"/>
          <w:b/>
          <w:bCs/>
          <w:color w:val="000000" w:themeColor="text1"/>
          <w:sz w:val="18"/>
          <w:szCs w:val="18"/>
        </w:rPr>
        <w:t>3</w:t>
      </w:r>
      <w:r w:rsidRPr="003D1614">
        <w:rPr>
          <w:rFonts w:ascii="Arial" w:eastAsia="Times New Roman" w:hAnsi="Arial" w:cs="Arial"/>
          <w:b/>
          <w:bCs/>
          <w:color w:val="000000" w:themeColor="text1"/>
          <w:sz w:val="18"/>
          <w:szCs w:val="18"/>
        </w:rPr>
        <w:t>.</w:t>
      </w:r>
      <w:r w:rsidRPr="003D1614">
        <w:rPr>
          <w:rFonts w:ascii="Arial" w:eastAsia="Times New Roman" w:hAnsi="Arial" w:cs="Arial"/>
          <w:b/>
          <w:bCs/>
          <w:color w:val="000000" w:themeColor="text1"/>
          <w:sz w:val="18"/>
          <w:szCs w:val="18"/>
        </w:rPr>
        <w:tab/>
        <w:t>Upravljanje rizicima (nastavak)</w:t>
      </w:r>
    </w:p>
    <w:p w14:paraId="33C4D2FC" w14:textId="2D7B005F" w:rsidR="003278AB" w:rsidRPr="003D1614" w:rsidRDefault="003278AB" w:rsidP="003278AB">
      <w:pPr>
        <w:keepNext/>
        <w:suppressAutoHyphens/>
        <w:autoSpaceDN w:val="0"/>
        <w:spacing w:before="120" w:after="120"/>
        <w:jc w:val="both"/>
        <w:outlineLvl w:val="0"/>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2</w:t>
      </w:r>
      <w:r w:rsidR="000E693B">
        <w:rPr>
          <w:rFonts w:ascii="Arial" w:eastAsia="Times New Roman" w:hAnsi="Arial" w:cs="Arial"/>
          <w:b/>
          <w:bCs/>
          <w:color w:val="000000" w:themeColor="text1"/>
          <w:sz w:val="18"/>
          <w:szCs w:val="18"/>
        </w:rPr>
        <w:t>3</w:t>
      </w:r>
      <w:r w:rsidRPr="003D1614">
        <w:rPr>
          <w:rFonts w:ascii="Arial" w:eastAsia="Times New Roman" w:hAnsi="Arial" w:cs="Arial"/>
          <w:b/>
          <w:bCs/>
          <w:color w:val="000000" w:themeColor="text1"/>
          <w:sz w:val="18"/>
          <w:szCs w:val="18"/>
        </w:rPr>
        <w:t xml:space="preserve">.3. </w:t>
      </w:r>
      <w:r w:rsidRPr="003D1614">
        <w:rPr>
          <w:rFonts w:ascii="Arial" w:eastAsia="Times New Roman" w:hAnsi="Arial" w:cs="Arial"/>
          <w:b/>
          <w:bCs/>
          <w:color w:val="000000" w:themeColor="text1"/>
          <w:sz w:val="18"/>
          <w:szCs w:val="18"/>
        </w:rPr>
        <w:tab/>
        <w:t>Kreditni rizik (nastavak)</w:t>
      </w:r>
    </w:p>
    <w:p w14:paraId="20DEEFA1" w14:textId="77777777" w:rsidR="003278AB" w:rsidRPr="003D1614" w:rsidRDefault="003278AB" w:rsidP="003278AB">
      <w:pPr>
        <w:keepNext/>
        <w:suppressAutoHyphens/>
        <w:autoSpaceDN w:val="0"/>
        <w:spacing w:before="120" w:after="120"/>
        <w:jc w:val="both"/>
        <w:outlineLvl w:val="0"/>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Kvaliteta kreditnog rizika prema vrsti financijske imovine (nastavak)</w:t>
      </w:r>
    </w:p>
    <w:p w14:paraId="239BC46A" w14:textId="77777777" w:rsidR="003278AB" w:rsidRPr="003D1614" w:rsidRDefault="003278AB" w:rsidP="003278AB">
      <w:pPr>
        <w:suppressAutoHyphens/>
        <w:autoSpaceDN w:val="0"/>
        <w:spacing w:before="120" w:after="120"/>
        <w:jc w:val="both"/>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Analiza kreditnog rizika, neto izloženost, prije i nakon uzimanja u obzir primljenih instrumenata osiguranja, prema vrsti financijske imovine na pozicijama imovine i garancija i preuzetih obveza prema rizičnim skupinama (nastavak):</w:t>
      </w:r>
    </w:p>
    <w:tbl>
      <w:tblPr>
        <w:tblpPr w:leftFromText="180" w:rightFromText="180" w:vertAnchor="text" w:horzAnchor="margin" w:tblpXSpec="center" w:tblpY="48"/>
        <w:tblW w:w="5542" w:type="pct"/>
        <w:tblLayout w:type="fixed"/>
        <w:tblLook w:val="0000" w:firstRow="0" w:lastRow="0" w:firstColumn="0" w:lastColumn="0" w:noHBand="0" w:noVBand="0"/>
      </w:tblPr>
      <w:tblGrid>
        <w:gridCol w:w="1671"/>
        <w:gridCol w:w="934"/>
        <w:gridCol w:w="925"/>
        <w:gridCol w:w="916"/>
        <w:gridCol w:w="891"/>
        <w:gridCol w:w="922"/>
        <w:gridCol w:w="969"/>
        <w:gridCol w:w="1034"/>
        <w:gridCol w:w="1018"/>
        <w:gridCol w:w="1021"/>
        <w:gridCol w:w="1021"/>
        <w:gridCol w:w="1021"/>
        <w:gridCol w:w="1024"/>
        <w:gridCol w:w="1152"/>
        <w:gridCol w:w="1003"/>
      </w:tblGrid>
      <w:tr w:rsidR="008B6CC4" w:rsidRPr="00F12E3D" w14:paraId="2FE8ABB6" w14:textId="77777777" w:rsidTr="00061A35">
        <w:trPr>
          <w:trHeight w:val="1607"/>
        </w:trPr>
        <w:tc>
          <w:tcPr>
            <w:tcW w:w="538" w:type="pct"/>
          </w:tcPr>
          <w:p w14:paraId="7968F40D" w14:textId="77777777" w:rsidR="008B6CC4" w:rsidRPr="00F12E3D" w:rsidRDefault="008B6CC4" w:rsidP="00061A35">
            <w:pPr>
              <w:rPr>
                <w:rFonts w:ascii="Arial" w:eastAsia="Calibri" w:hAnsi="Arial" w:cs="Arial"/>
                <w:b/>
                <w:bCs/>
                <w:color w:val="000000" w:themeColor="text1"/>
                <w:sz w:val="14"/>
                <w:szCs w:val="14"/>
              </w:rPr>
            </w:pPr>
            <w:r w:rsidRPr="00F12E3D">
              <w:rPr>
                <w:rFonts w:ascii="Arial" w:eastAsia="Calibri" w:hAnsi="Arial" w:cs="Arial"/>
                <w:b/>
                <w:bCs/>
                <w:color w:val="000000" w:themeColor="text1"/>
                <w:sz w:val="14"/>
                <w:szCs w:val="14"/>
              </w:rPr>
              <w:br w:type="page"/>
            </w:r>
            <w:r>
              <w:rPr>
                <w:rFonts w:ascii="Arial" w:eastAsia="Calibri" w:hAnsi="Arial" w:cs="Arial"/>
                <w:b/>
                <w:bCs/>
                <w:color w:val="000000" w:themeColor="text1"/>
                <w:sz w:val="14"/>
                <w:szCs w:val="14"/>
              </w:rPr>
              <w:t>Banka</w:t>
            </w:r>
          </w:p>
          <w:p w14:paraId="4A6781F2" w14:textId="77777777" w:rsidR="008B6CC4" w:rsidRPr="00F12E3D" w:rsidRDefault="008B6CC4" w:rsidP="00061A35">
            <w:pPr>
              <w:rPr>
                <w:rFonts w:ascii="Arial" w:eastAsia="Calibri" w:hAnsi="Arial" w:cs="Arial"/>
                <w:b/>
                <w:bCs/>
                <w:color w:val="000000" w:themeColor="text1"/>
                <w:sz w:val="14"/>
                <w:szCs w:val="14"/>
              </w:rPr>
            </w:pPr>
          </w:p>
          <w:p w14:paraId="7FF0F80D" w14:textId="77777777" w:rsidR="008B6CC4" w:rsidRPr="00F12E3D" w:rsidRDefault="008B6CC4" w:rsidP="00061A35">
            <w:pPr>
              <w:rPr>
                <w:rFonts w:ascii="Arial" w:eastAsia="Calibri" w:hAnsi="Arial" w:cs="Arial"/>
                <w:color w:val="000000" w:themeColor="text1"/>
                <w:sz w:val="14"/>
                <w:szCs w:val="14"/>
              </w:rPr>
            </w:pPr>
            <w:r w:rsidRPr="00F12E3D">
              <w:rPr>
                <w:rFonts w:ascii="Arial" w:eastAsia="Calibri" w:hAnsi="Arial" w:cs="Arial"/>
                <w:b/>
                <w:bCs/>
                <w:color w:val="000000" w:themeColor="text1"/>
                <w:sz w:val="14"/>
                <w:szCs w:val="14"/>
              </w:rPr>
              <w:t>3</w:t>
            </w:r>
            <w:r>
              <w:rPr>
                <w:rFonts w:ascii="Arial" w:eastAsia="Calibri" w:hAnsi="Arial" w:cs="Arial"/>
                <w:b/>
                <w:bCs/>
                <w:color w:val="000000" w:themeColor="text1"/>
                <w:sz w:val="14"/>
                <w:szCs w:val="14"/>
              </w:rPr>
              <w:t>0</w:t>
            </w:r>
            <w:r w:rsidRPr="00F12E3D">
              <w:rPr>
                <w:rFonts w:ascii="Arial" w:eastAsia="Calibri" w:hAnsi="Arial" w:cs="Arial"/>
                <w:b/>
                <w:bCs/>
                <w:color w:val="000000" w:themeColor="text1"/>
                <w:sz w:val="14"/>
                <w:szCs w:val="14"/>
              </w:rPr>
              <w:t xml:space="preserve">. </w:t>
            </w:r>
            <w:r>
              <w:rPr>
                <w:rFonts w:ascii="Arial" w:eastAsia="Calibri" w:hAnsi="Arial" w:cs="Arial"/>
                <w:b/>
                <w:bCs/>
                <w:color w:val="000000" w:themeColor="text1"/>
                <w:sz w:val="14"/>
                <w:szCs w:val="14"/>
              </w:rPr>
              <w:t>rujna</w:t>
            </w:r>
            <w:r w:rsidRPr="00F12E3D">
              <w:rPr>
                <w:rFonts w:ascii="Arial" w:eastAsia="Calibri" w:hAnsi="Arial" w:cs="Arial"/>
                <w:b/>
                <w:bCs/>
                <w:color w:val="000000" w:themeColor="text1"/>
                <w:sz w:val="14"/>
                <w:szCs w:val="14"/>
              </w:rPr>
              <w:t xml:space="preserve"> 202</w:t>
            </w:r>
            <w:r>
              <w:rPr>
                <w:rFonts w:ascii="Arial" w:eastAsia="Calibri" w:hAnsi="Arial" w:cs="Arial"/>
                <w:b/>
                <w:bCs/>
                <w:color w:val="000000" w:themeColor="text1"/>
                <w:sz w:val="14"/>
                <w:szCs w:val="14"/>
              </w:rPr>
              <w:t>4</w:t>
            </w:r>
            <w:r w:rsidRPr="00F12E3D">
              <w:rPr>
                <w:rFonts w:ascii="Arial" w:eastAsia="Calibri" w:hAnsi="Arial" w:cs="Arial"/>
                <w:b/>
                <w:bCs/>
                <w:color w:val="000000" w:themeColor="text1"/>
                <w:sz w:val="14"/>
                <w:szCs w:val="14"/>
              </w:rPr>
              <w:t xml:space="preserve">. </w:t>
            </w:r>
          </w:p>
        </w:tc>
        <w:tc>
          <w:tcPr>
            <w:tcW w:w="301" w:type="pct"/>
            <w:vAlign w:val="bottom"/>
          </w:tcPr>
          <w:p w14:paraId="5A691471" w14:textId="77777777" w:rsidR="008B6CC4" w:rsidRPr="00F12E3D" w:rsidRDefault="008B6CC4" w:rsidP="00061A35">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 xml:space="preserve">Neto  izloženost portfelja - </w:t>
            </w:r>
            <w:r>
              <w:rPr>
                <w:rFonts w:ascii="Arial" w:eastAsia="Calibri" w:hAnsi="Arial" w:cs="Arial"/>
                <w:b/>
                <w:color w:val="000000" w:themeColor="text1"/>
                <w:sz w:val="14"/>
                <w:szCs w:val="14"/>
              </w:rPr>
              <w:t>S</w:t>
            </w:r>
            <w:r w:rsidRPr="00F12E3D">
              <w:rPr>
                <w:rFonts w:ascii="Arial" w:eastAsia="Calibri" w:hAnsi="Arial" w:cs="Arial"/>
                <w:b/>
                <w:color w:val="000000" w:themeColor="text1"/>
                <w:sz w:val="14"/>
                <w:szCs w:val="14"/>
              </w:rPr>
              <w:t>tupanj 1</w:t>
            </w:r>
          </w:p>
        </w:tc>
        <w:tc>
          <w:tcPr>
            <w:tcW w:w="298" w:type="pct"/>
            <w:vAlign w:val="bottom"/>
          </w:tcPr>
          <w:p w14:paraId="0C420780" w14:textId="77777777" w:rsidR="008B6CC4" w:rsidRPr="00F12E3D" w:rsidRDefault="008B6CC4" w:rsidP="00061A35">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 xml:space="preserve">Neto izloženost portfelja - </w:t>
            </w:r>
            <w:r>
              <w:rPr>
                <w:rFonts w:ascii="Arial" w:eastAsia="Calibri" w:hAnsi="Arial" w:cs="Arial"/>
                <w:b/>
                <w:color w:val="000000" w:themeColor="text1"/>
                <w:sz w:val="14"/>
                <w:szCs w:val="14"/>
              </w:rPr>
              <w:t>S</w:t>
            </w:r>
            <w:r w:rsidRPr="00F12E3D">
              <w:rPr>
                <w:rFonts w:ascii="Arial" w:eastAsia="Calibri" w:hAnsi="Arial" w:cs="Arial"/>
                <w:b/>
                <w:color w:val="000000" w:themeColor="text1"/>
                <w:sz w:val="14"/>
                <w:szCs w:val="14"/>
              </w:rPr>
              <w:t>tupanj 2</w:t>
            </w:r>
          </w:p>
        </w:tc>
        <w:tc>
          <w:tcPr>
            <w:tcW w:w="295" w:type="pct"/>
            <w:vAlign w:val="bottom"/>
          </w:tcPr>
          <w:p w14:paraId="5C2661CF" w14:textId="77777777" w:rsidR="008B6CC4" w:rsidRPr="00F12E3D" w:rsidRDefault="008B6CC4" w:rsidP="00061A35">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 xml:space="preserve">Neto izloženost portfelja - </w:t>
            </w:r>
            <w:r>
              <w:rPr>
                <w:rFonts w:ascii="Arial" w:eastAsia="Calibri" w:hAnsi="Arial" w:cs="Arial"/>
                <w:b/>
                <w:color w:val="000000" w:themeColor="text1"/>
                <w:sz w:val="14"/>
                <w:szCs w:val="14"/>
              </w:rPr>
              <w:t>S</w:t>
            </w:r>
            <w:r w:rsidRPr="00F12E3D">
              <w:rPr>
                <w:rFonts w:ascii="Arial" w:eastAsia="Calibri" w:hAnsi="Arial" w:cs="Arial"/>
                <w:b/>
                <w:color w:val="000000" w:themeColor="text1"/>
                <w:sz w:val="14"/>
                <w:szCs w:val="14"/>
              </w:rPr>
              <w:t>tupanj 3</w:t>
            </w:r>
          </w:p>
        </w:tc>
        <w:tc>
          <w:tcPr>
            <w:tcW w:w="584" w:type="pct"/>
            <w:gridSpan w:val="2"/>
            <w:vAlign w:val="bottom"/>
          </w:tcPr>
          <w:p w14:paraId="478337C3" w14:textId="77777777" w:rsidR="008B6CC4" w:rsidRPr="00F12E3D" w:rsidRDefault="008B6CC4" w:rsidP="00061A35">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Neto izloženost portfelja rizične skupine POCI</w:t>
            </w:r>
          </w:p>
        </w:tc>
        <w:tc>
          <w:tcPr>
            <w:tcW w:w="312" w:type="pct"/>
            <w:vAlign w:val="bottom"/>
          </w:tcPr>
          <w:p w14:paraId="0FFF0D75" w14:textId="77777777" w:rsidR="008B6CC4" w:rsidRPr="00F12E3D" w:rsidRDefault="008B6CC4" w:rsidP="00061A35">
            <w:pPr>
              <w:jc w:val="right"/>
              <w:rPr>
                <w:rFonts w:ascii="Arial" w:eastAsia="Calibri" w:hAnsi="Arial" w:cs="Arial"/>
                <w:color w:val="000000" w:themeColor="text1"/>
                <w:sz w:val="14"/>
                <w:szCs w:val="14"/>
              </w:rPr>
            </w:pPr>
            <w:r w:rsidRPr="00F12E3D">
              <w:rPr>
                <w:rFonts w:ascii="Arial" w:eastAsia="Calibri" w:hAnsi="Arial" w:cs="Arial"/>
                <w:b/>
                <w:color w:val="000000" w:themeColor="text1"/>
                <w:sz w:val="14"/>
                <w:szCs w:val="14"/>
              </w:rPr>
              <w:t>Financijska imovina koja se ne raspoređuje u rizične skupine po MSFI-ju 9</w:t>
            </w:r>
          </w:p>
        </w:tc>
        <w:tc>
          <w:tcPr>
            <w:tcW w:w="333" w:type="pct"/>
            <w:vAlign w:val="bottom"/>
          </w:tcPr>
          <w:p w14:paraId="46B3FE45" w14:textId="77777777" w:rsidR="008B6CC4" w:rsidRPr="00F12E3D" w:rsidRDefault="008B6CC4" w:rsidP="00061A35">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Neto izloženost ukupnog portfelja</w:t>
            </w:r>
          </w:p>
        </w:tc>
        <w:tc>
          <w:tcPr>
            <w:tcW w:w="328" w:type="pct"/>
            <w:vAlign w:val="bottom"/>
          </w:tcPr>
          <w:p w14:paraId="022E82D3" w14:textId="77777777" w:rsidR="008B6CC4" w:rsidRPr="00F12E3D" w:rsidRDefault="008B6CC4" w:rsidP="00061A35">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 xml:space="preserve">Neto izloženost portfelja nakon umanjenja za instrumente osiguranja- </w:t>
            </w:r>
            <w:r>
              <w:rPr>
                <w:rFonts w:ascii="Arial" w:eastAsia="Calibri" w:hAnsi="Arial" w:cs="Arial"/>
                <w:b/>
                <w:color w:val="000000" w:themeColor="text1"/>
                <w:sz w:val="14"/>
                <w:szCs w:val="14"/>
              </w:rPr>
              <w:t>S</w:t>
            </w:r>
            <w:r w:rsidRPr="00F12E3D">
              <w:rPr>
                <w:rFonts w:ascii="Arial" w:eastAsia="Calibri" w:hAnsi="Arial" w:cs="Arial"/>
                <w:b/>
                <w:color w:val="000000" w:themeColor="text1"/>
                <w:sz w:val="14"/>
                <w:szCs w:val="14"/>
              </w:rPr>
              <w:t>tupanj 1</w:t>
            </w:r>
          </w:p>
        </w:tc>
        <w:tc>
          <w:tcPr>
            <w:tcW w:w="329" w:type="pct"/>
            <w:vAlign w:val="bottom"/>
          </w:tcPr>
          <w:p w14:paraId="4D5D7F64" w14:textId="77777777" w:rsidR="008B6CC4" w:rsidRPr="00F12E3D" w:rsidRDefault="008B6CC4" w:rsidP="00061A35">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Neto izloženost portfelja nakon umanjenja za instrumente o</w:t>
            </w:r>
            <w:r>
              <w:rPr>
                <w:rFonts w:ascii="Arial" w:eastAsia="Calibri" w:hAnsi="Arial" w:cs="Arial"/>
                <w:b/>
                <w:color w:val="000000" w:themeColor="text1"/>
                <w:sz w:val="14"/>
                <w:szCs w:val="14"/>
              </w:rPr>
              <w:t>s</w:t>
            </w:r>
            <w:r w:rsidRPr="00F12E3D">
              <w:rPr>
                <w:rFonts w:ascii="Arial" w:eastAsia="Calibri" w:hAnsi="Arial" w:cs="Arial"/>
                <w:b/>
                <w:color w:val="000000" w:themeColor="text1"/>
                <w:sz w:val="14"/>
                <w:szCs w:val="14"/>
              </w:rPr>
              <w:t xml:space="preserve">iguranja- </w:t>
            </w:r>
            <w:r>
              <w:rPr>
                <w:rFonts w:ascii="Arial" w:eastAsia="Calibri" w:hAnsi="Arial" w:cs="Arial"/>
                <w:b/>
                <w:color w:val="000000" w:themeColor="text1"/>
                <w:sz w:val="14"/>
                <w:szCs w:val="14"/>
              </w:rPr>
              <w:t>S</w:t>
            </w:r>
            <w:r w:rsidRPr="00F12E3D">
              <w:rPr>
                <w:rFonts w:ascii="Arial" w:eastAsia="Calibri" w:hAnsi="Arial" w:cs="Arial"/>
                <w:b/>
                <w:color w:val="000000" w:themeColor="text1"/>
                <w:sz w:val="14"/>
                <w:szCs w:val="14"/>
              </w:rPr>
              <w:t>tupanj 2</w:t>
            </w:r>
          </w:p>
        </w:tc>
        <w:tc>
          <w:tcPr>
            <w:tcW w:w="329" w:type="pct"/>
            <w:vAlign w:val="bottom"/>
          </w:tcPr>
          <w:p w14:paraId="16ECF5A7" w14:textId="77777777" w:rsidR="008B6CC4" w:rsidRPr="00F12E3D" w:rsidRDefault="008B6CC4" w:rsidP="00061A35">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 xml:space="preserve">Neto izloženost portfelja nakon umanjenja za instrumente osiguranja- </w:t>
            </w:r>
            <w:r>
              <w:rPr>
                <w:rFonts w:ascii="Arial" w:eastAsia="Calibri" w:hAnsi="Arial" w:cs="Arial"/>
                <w:b/>
                <w:color w:val="000000" w:themeColor="text1"/>
                <w:sz w:val="14"/>
                <w:szCs w:val="14"/>
              </w:rPr>
              <w:t>S</w:t>
            </w:r>
            <w:r w:rsidRPr="00F12E3D">
              <w:rPr>
                <w:rFonts w:ascii="Arial" w:eastAsia="Calibri" w:hAnsi="Arial" w:cs="Arial"/>
                <w:b/>
                <w:color w:val="000000" w:themeColor="text1"/>
                <w:sz w:val="14"/>
                <w:szCs w:val="14"/>
              </w:rPr>
              <w:t>tupanj 3</w:t>
            </w:r>
          </w:p>
        </w:tc>
        <w:tc>
          <w:tcPr>
            <w:tcW w:w="659" w:type="pct"/>
            <w:gridSpan w:val="2"/>
            <w:vAlign w:val="bottom"/>
          </w:tcPr>
          <w:p w14:paraId="1B98B560" w14:textId="77777777" w:rsidR="008B6CC4" w:rsidRPr="00F12E3D" w:rsidRDefault="008B6CC4" w:rsidP="00061A35">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Neto izloženost portfelja nakon umanjenja za instrumente osiguranja- rizične skupine POCI</w:t>
            </w:r>
          </w:p>
        </w:tc>
        <w:tc>
          <w:tcPr>
            <w:tcW w:w="371" w:type="pct"/>
            <w:vAlign w:val="bottom"/>
          </w:tcPr>
          <w:p w14:paraId="4C72F612" w14:textId="77777777" w:rsidR="008B6CC4" w:rsidRPr="00F12E3D" w:rsidRDefault="008B6CC4" w:rsidP="00061A35">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Financijska imovina  koja se ne raspoređuje u rizične skupine po MSFI-ju 9 nakon umanjenja za instrumente osiguranja</w:t>
            </w:r>
          </w:p>
        </w:tc>
        <w:tc>
          <w:tcPr>
            <w:tcW w:w="323" w:type="pct"/>
            <w:vAlign w:val="bottom"/>
          </w:tcPr>
          <w:p w14:paraId="7156F457" w14:textId="77777777" w:rsidR="008B6CC4" w:rsidRPr="00F12E3D" w:rsidRDefault="008B6CC4" w:rsidP="00061A35">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Neto izloženost ukupnog portfelja nakon umanjenja za instrumente osiguranja</w:t>
            </w:r>
          </w:p>
        </w:tc>
      </w:tr>
      <w:tr w:rsidR="008B6CC4" w:rsidRPr="00F12E3D" w14:paraId="5B8DD10E" w14:textId="77777777" w:rsidTr="00061A35">
        <w:trPr>
          <w:trHeight w:val="187"/>
        </w:trPr>
        <w:tc>
          <w:tcPr>
            <w:tcW w:w="538" w:type="pct"/>
            <w:vAlign w:val="bottom"/>
          </w:tcPr>
          <w:p w14:paraId="0C103392" w14:textId="77777777" w:rsidR="008B6CC4" w:rsidRPr="00F12E3D" w:rsidRDefault="008B6CC4" w:rsidP="00061A35">
            <w:pPr>
              <w:rPr>
                <w:rFonts w:ascii="Arial" w:eastAsia="Calibri" w:hAnsi="Arial" w:cs="Arial"/>
                <w:b/>
                <w:bCs/>
                <w:color w:val="000000" w:themeColor="text1"/>
                <w:sz w:val="14"/>
                <w:szCs w:val="14"/>
              </w:rPr>
            </w:pPr>
          </w:p>
        </w:tc>
        <w:tc>
          <w:tcPr>
            <w:tcW w:w="301" w:type="pct"/>
            <w:vAlign w:val="bottom"/>
          </w:tcPr>
          <w:p w14:paraId="64972255" w14:textId="77777777" w:rsidR="008B6CC4" w:rsidRPr="00F12E3D" w:rsidRDefault="008B6CC4" w:rsidP="00061A35">
            <w:pPr>
              <w:jc w:val="right"/>
              <w:rPr>
                <w:rFonts w:ascii="Arial" w:eastAsia="Calibri" w:hAnsi="Arial" w:cs="Arial"/>
                <w:b/>
                <w:color w:val="000000" w:themeColor="text1"/>
                <w:sz w:val="14"/>
                <w:szCs w:val="14"/>
              </w:rPr>
            </w:pPr>
          </w:p>
        </w:tc>
        <w:tc>
          <w:tcPr>
            <w:tcW w:w="298" w:type="pct"/>
            <w:vAlign w:val="bottom"/>
          </w:tcPr>
          <w:p w14:paraId="150CFCDC" w14:textId="77777777" w:rsidR="008B6CC4" w:rsidRPr="00F12E3D" w:rsidRDefault="008B6CC4" w:rsidP="00061A35">
            <w:pPr>
              <w:jc w:val="right"/>
              <w:rPr>
                <w:rFonts w:ascii="Arial" w:eastAsia="Calibri" w:hAnsi="Arial" w:cs="Arial"/>
                <w:b/>
                <w:color w:val="000000" w:themeColor="text1"/>
                <w:sz w:val="14"/>
                <w:szCs w:val="14"/>
              </w:rPr>
            </w:pPr>
          </w:p>
        </w:tc>
        <w:tc>
          <w:tcPr>
            <w:tcW w:w="295" w:type="pct"/>
            <w:vAlign w:val="bottom"/>
          </w:tcPr>
          <w:p w14:paraId="2E4D3F91" w14:textId="77777777" w:rsidR="008B6CC4" w:rsidRPr="00F12E3D" w:rsidRDefault="008B6CC4" w:rsidP="00061A35">
            <w:pPr>
              <w:jc w:val="right"/>
              <w:rPr>
                <w:rFonts w:ascii="Arial" w:eastAsia="Calibri" w:hAnsi="Arial" w:cs="Arial"/>
                <w:b/>
                <w:color w:val="000000" w:themeColor="text1"/>
                <w:sz w:val="14"/>
                <w:szCs w:val="14"/>
              </w:rPr>
            </w:pPr>
          </w:p>
        </w:tc>
        <w:tc>
          <w:tcPr>
            <w:tcW w:w="287" w:type="pct"/>
            <w:vAlign w:val="bottom"/>
          </w:tcPr>
          <w:p w14:paraId="648C67A1" w14:textId="77777777" w:rsidR="008B6CC4" w:rsidRPr="00F12E3D" w:rsidRDefault="008B6CC4" w:rsidP="00061A35">
            <w:pPr>
              <w:jc w:val="right"/>
              <w:rPr>
                <w:rFonts w:ascii="Arial" w:eastAsia="Calibri" w:hAnsi="Arial" w:cs="Arial"/>
                <w:b/>
                <w:color w:val="000000" w:themeColor="text1"/>
                <w:sz w:val="14"/>
                <w:szCs w:val="14"/>
              </w:rPr>
            </w:pPr>
            <w:r>
              <w:rPr>
                <w:rFonts w:ascii="Arial" w:eastAsia="Calibri" w:hAnsi="Arial" w:cs="Arial"/>
                <w:b/>
                <w:color w:val="000000" w:themeColor="text1"/>
                <w:sz w:val="14"/>
                <w:szCs w:val="14"/>
              </w:rPr>
              <w:t>Stupanj 2</w:t>
            </w:r>
          </w:p>
        </w:tc>
        <w:tc>
          <w:tcPr>
            <w:tcW w:w="297" w:type="pct"/>
            <w:vAlign w:val="bottom"/>
          </w:tcPr>
          <w:p w14:paraId="7970700A" w14:textId="77777777" w:rsidR="008B6CC4" w:rsidRPr="00F12E3D" w:rsidRDefault="008B6CC4" w:rsidP="00061A35">
            <w:pPr>
              <w:jc w:val="right"/>
              <w:rPr>
                <w:rFonts w:ascii="Arial" w:eastAsia="Calibri" w:hAnsi="Arial" w:cs="Arial"/>
                <w:b/>
                <w:color w:val="000000" w:themeColor="text1"/>
                <w:sz w:val="14"/>
                <w:szCs w:val="14"/>
              </w:rPr>
            </w:pPr>
            <w:r>
              <w:rPr>
                <w:rFonts w:ascii="Arial" w:eastAsia="Calibri" w:hAnsi="Arial" w:cs="Arial"/>
                <w:b/>
                <w:color w:val="000000" w:themeColor="text1"/>
                <w:sz w:val="14"/>
                <w:szCs w:val="14"/>
              </w:rPr>
              <w:t>Stupanj 3</w:t>
            </w:r>
          </w:p>
        </w:tc>
        <w:tc>
          <w:tcPr>
            <w:tcW w:w="312" w:type="pct"/>
            <w:vAlign w:val="bottom"/>
          </w:tcPr>
          <w:p w14:paraId="698726B1" w14:textId="77777777" w:rsidR="008B6CC4" w:rsidRPr="00F12E3D" w:rsidRDefault="008B6CC4" w:rsidP="00061A35">
            <w:pPr>
              <w:jc w:val="right"/>
              <w:rPr>
                <w:rFonts w:ascii="Arial" w:eastAsia="Calibri" w:hAnsi="Arial" w:cs="Arial"/>
                <w:b/>
                <w:color w:val="000000" w:themeColor="text1"/>
                <w:sz w:val="14"/>
                <w:szCs w:val="14"/>
              </w:rPr>
            </w:pPr>
          </w:p>
        </w:tc>
        <w:tc>
          <w:tcPr>
            <w:tcW w:w="333" w:type="pct"/>
            <w:vAlign w:val="bottom"/>
          </w:tcPr>
          <w:p w14:paraId="00E44645" w14:textId="77777777" w:rsidR="008B6CC4" w:rsidRPr="00F12E3D" w:rsidRDefault="008B6CC4" w:rsidP="00061A35">
            <w:pPr>
              <w:jc w:val="right"/>
              <w:rPr>
                <w:rFonts w:ascii="Arial" w:eastAsia="Calibri" w:hAnsi="Arial" w:cs="Arial"/>
                <w:b/>
                <w:color w:val="000000" w:themeColor="text1"/>
                <w:sz w:val="14"/>
                <w:szCs w:val="14"/>
              </w:rPr>
            </w:pPr>
          </w:p>
        </w:tc>
        <w:tc>
          <w:tcPr>
            <w:tcW w:w="328" w:type="pct"/>
            <w:vAlign w:val="bottom"/>
          </w:tcPr>
          <w:p w14:paraId="5068831B" w14:textId="77777777" w:rsidR="008B6CC4" w:rsidRPr="00F12E3D" w:rsidRDefault="008B6CC4" w:rsidP="00061A35">
            <w:pPr>
              <w:jc w:val="right"/>
              <w:rPr>
                <w:rFonts w:ascii="Arial" w:eastAsia="Calibri" w:hAnsi="Arial" w:cs="Arial"/>
                <w:b/>
                <w:color w:val="000000" w:themeColor="text1"/>
                <w:sz w:val="14"/>
                <w:szCs w:val="14"/>
              </w:rPr>
            </w:pPr>
          </w:p>
        </w:tc>
        <w:tc>
          <w:tcPr>
            <w:tcW w:w="329" w:type="pct"/>
            <w:vAlign w:val="bottom"/>
          </w:tcPr>
          <w:p w14:paraId="547A8BEF" w14:textId="77777777" w:rsidR="008B6CC4" w:rsidRPr="00F12E3D" w:rsidRDefault="008B6CC4" w:rsidP="00061A35">
            <w:pPr>
              <w:jc w:val="right"/>
              <w:rPr>
                <w:rFonts w:ascii="Arial" w:eastAsia="Calibri" w:hAnsi="Arial" w:cs="Arial"/>
                <w:b/>
                <w:color w:val="000000" w:themeColor="text1"/>
                <w:sz w:val="14"/>
                <w:szCs w:val="14"/>
              </w:rPr>
            </w:pPr>
          </w:p>
        </w:tc>
        <w:tc>
          <w:tcPr>
            <w:tcW w:w="329" w:type="pct"/>
            <w:vAlign w:val="bottom"/>
          </w:tcPr>
          <w:p w14:paraId="7C572F0E" w14:textId="77777777" w:rsidR="008B6CC4" w:rsidRPr="00F12E3D" w:rsidRDefault="008B6CC4" w:rsidP="00061A35">
            <w:pPr>
              <w:jc w:val="right"/>
              <w:rPr>
                <w:rFonts w:ascii="Arial" w:eastAsia="Calibri" w:hAnsi="Arial" w:cs="Arial"/>
                <w:b/>
                <w:color w:val="000000" w:themeColor="text1"/>
                <w:sz w:val="14"/>
                <w:szCs w:val="14"/>
              </w:rPr>
            </w:pPr>
          </w:p>
        </w:tc>
        <w:tc>
          <w:tcPr>
            <w:tcW w:w="329" w:type="pct"/>
            <w:vAlign w:val="bottom"/>
          </w:tcPr>
          <w:p w14:paraId="37B5271E" w14:textId="77777777" w:rsidR="008B6CC4" w:rsidRPr="00F12E3D" w:rsidRDefault="008B6CC4" w:rsidP="00061A35">
            <w:pPr>
              <w:jc w:val="right"/>
              <w:rPr>
                <w:rFonts w:ascii="Arial" w:eastAsia="Calibri" w:hAnsi="Arial" w:cs="Arial"/>
                <w:b/>
                <w:color w:val="000000" w:themeColor="text1"/>
                <w:sz w:val="14"/>
                <w:szCs w:val="14"/>
              </w:rPr>
            </w:pPr>
            <w:r>
              <w:rPr>
                <w:rFonts w:ascii="Arial" w:eastAsia="Calibri" w:hAnsi="Arial" w:cs="Arial"/>
                <w:b/>
                <w:color w:val="000000" w:themeColor="text1"/>
                <w:sz w:val="14"/>
                <w:szCs w:val="14"/>
              </w:rPr>
              <w:t>Stupanj 2</w:t>
            </w:r>
          </w:p>
        </w:tc>
        <w:tc>
          <w:tcPr>
            <w:tcW w:w="330" w:type="pct"/>
            <w:vAlign w:val="bottom"/>
          </w:tcPr>
          <w:p w14:paraId="3BAA8DA1" w14:textId="77777777" w:rsidR="008B6CC4" w:rsidRPr="00F12E3D" w:rsidRDefault="008B6CC4" w:rsidP="00061A35">
            <w:pPr>
              <w:jc w:val="right"/>
              <w:rPr>
                <w:rFonts w:ascii="Arial" w:eastAsia="Calibri" w:hAnsi="Arial" w:cs="Arial"/>
                <w:b/>
                <w:color w:val="000000" w:themeColor="text1"/>
                <w:sz w:val="14"/>
                <w:szCs w:val="14"/>
              </w:rPr>
            </w:pPr>
            <w:r>
              <w:rPr>
                <w:rFonts w:ascii="Arial" w:eastAsia="Calibri" w:hAnsi="Arial" w:cs="Arial"/>
                <w:b/>
                <w:color w:val="000000" w:themeColor="text1"/>
                <w:sz w:val="14"/>
                <w:szCs w:val="14"/>
              </w:rPr>
              <w:t>Stupanj 3</w:t>
            </w:r>
          </w:p>
        </w:tc>
        <w:tc>
          <w:tcPr>
            <w:tcW w:w="371" w:type="pct"/>
            <w:vAlign w:val="bottom"/>
          </w:tcPr>
          <w:p w14:paraId="19082A44" w14:textId="77777777" w:rsidR="008B6CC4" w:rsidRPr="00F12E3D" w:rsidRDefault="008B6CC4" w:rsidP="00061A35">
            <w:pPr>
              <w:jc w:val="right"/>
              <w:rPr>
                <w:rFonts w:ascii="Arial" w:eastAsia="Calibri" w:hAnsi="Arial" w:cs="Arial"/>
                <w:b/>
                <w:color w:val="000000" w:themeColor="text1"/>
                <w:sz w:val="14"/>
                <w:szCs w:val="14"/>
              </w:rPr>
            </w:pPr>
          </w:p>
        </w:tc>
        <w:tc>
          <w:tcPr>
            <w:tcW w:w="323" w:type="pct"/>
            <w:vAlign w:val="bottom"/>
          </w:tcPr>
          <w:p w14:paraId="694A1ED5" w14:textId="77777777" w:rsidR="008B6CC4" w:rsidRPr="00F12E3D" w:rsidRDefault="008B6CC4" w:rsidP="00061A35">
            <w:pPr>
              <w:jc w:val="right"/>
              <w:rPr>
                <w:rFonts w:ascii="Arial" w:eastAsia="Calibri" w:hAnsi="Arial" w:cs="Arial"/>
                <w:b/>
                <w:color w:val="000000" w:themeColor="text1"/>
                <w:sz w:val="14"/>
                <w:szCs w:val="14"/>
              </w:rPr>
            </w:pPr>
          </w:p>
        </w:tc>
      </w:tr>
      <w:tr w:rsidR="008B6CC4" w:rsidRPr="00F12E3D" w14:paraId="3DD3D900" w14:textId="77777777" w:rsidTr="00061A35">
        <w:trPr>
          <w:trHeight w:val="160"/>
        </w:trPr>
        <w:tc>
          <w:tcPr>
            <w:tcW w:w="538" w:type="pct"/>
          </w:tcPr>
          <w:p w14:paraId="6A99F3B4" w14:textId="77777777" w:rsidR="008B6CC4" w:rsidRPr="00F12E3D" w:rsidRDefault="008B6CC4" w:rsidP="00061A35">
            <w:pPr>
              <w:rPr>
                <w:rFonts w:ascii="Arial" w:eastAsia="Calibri" w:hAnsi="Arial" w:cs="Arial"/>
                <w:b/>
                <w:bCs/>
                <w:color w:val="000000" w:themeColor="text1"/>
                <w:sz w:val="14"/>
                <w:szCs w:val="14"/>
              </w:rPr>
            </w:pPr>
          </w:p>
        </w:tc>
        <w:tc>
          <w:tcPr>
            <w:tcW w:w="301" w:type="pct"/>
          </w:tcPr>
          <w:p w14:paraId="2F2736A1" w14:textId="77777777" w:rsidR="008B6CC4" w:rsidRPr="00F12E3D" w:rsidRDefault="008B6CC4" w:rsidP="00061A35">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000 eura</w:t>
            </w:r>
          </w:p>
        </w:tc>
        <w:tc>
          <w:tcPr>
            <w:tcW w:w="298" w:type="pct"/>
          </w:tcPr>
          <w:p w14:paraId="0E678A18" w14:textId="77777777" w:rsidR="008B6CC4" w:rsidRPr="00F12E3D" w:rsidRDefault="008B6CC4" w:rsidP="00061A35">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000 eura</w:t>
            </w:r>
          </w:p>
        </w:tc>
        <w:tc>
          <w:tcPr>
            <w:tcW w:w="295" w:type="pct"/>
          </w:tcPr>
          <w:p w14:paraId="352978C3" w14:textId="77777777" w:rsidR="008B6CC4" w:rsidRPr="00F12E3D" w:rsidRDefault="008B6CC4" w:rsidP="00061A35">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000 eura</w:t>
            </w:r>
          </w:p>
        </w:tc>
        <w:tc>
          <w:tcPr>
            <w:tcW w:w="287" w:type="pct"/>
          </w:tcPr>
          <w:p w14:paraId="130A939B" w14:textId="77777777" w:rsidR="008B6CC4" w:rsidRPr="00F12E3D" w:rsidRDefault="008B6CC4" w:rsidP="00061A35">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000 eura</w:t>
            </w:r>
          </w:p>
        </w:tc>
        <w:tc>
          <w:tcPr>
            <w:tcW w:w="297" w:type="pct"/>
          </w:tcPr>
          <w:p w14:paraId="17CD4EB8" w14:textId="77777777" w:rsidR="008B6CC4" w:rsidRPr="00F12E3D" w:rsidRDefault="008B6CC4" w:rsidP="00061A35">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000 eura</w:t>
            </w:r>
          </w:p>
        </w:tc>
        <w:tc>
          <w:tcPr>
            <w:tcW w:w="312" w:type="pct"/>
          </w:tcPr>
          <w:p w14:paraId="3A519F2B" w14:textId="77777777" w:rsidR="008B6CC4" w:rsidRPr="00F12E3D" w:rsidRDefault="008B6CC4" w:rsidP="00061A35">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000 eura</w:t>
            </w:r>
          </w:p>
        </w:tc>
        <w:tc>
          <w:tcPr>
            <w:tcW w:w="333" w:type="pct"/>
          </w:tcPr>
          <w:p w14:paraId="6854028B" w14:textId="77777777" w:rsidR="008B6CC4" w:rsidRPr="00F12E3D" w:rsidRDefault="008B6CC4" w:rsidP="00061A35">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000 eura</w:t>
            </w:r>
          </w:p>
        </w:tc>
        <w:tc>
          <w:tcPr>
            <w:tcW w:w="328" w:type="pct"/>
          </w:tcPr>
          <w:p w14:paraId="79F28B19" w14:textId="77777777" w:rsidR="008B6CC4" w:rsidRPr="00F12E3D" w:rsidRDefault="008B6CC4" w:rsidP="00061A35">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000 eura</w:t>
            </w:r>
          </w:p>
        </w:tc>
        <w:tc>
          <w:tcPr>
            <w:tcW w:w="329" w:type="pct"/>
          </w:tcPr>
          <w:p w14:paraId="68CF40E8" w14:textId="77777777" w:rsidR="008B6CC4" w:rsidRPr="00F12E3D" w:rsidRDefault="008B6CC4" w:rsidP="00061A35">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000 eura</w:t>
            </w:r>
          </w:p>
        </w:tc>
        <w:tc>
          <w:tcPr>
            <w:tcW w:w="329" w:type="pct"/>
          </w:tcPr>
          <w:p w14:paraId="71F9E3D0" w14:textId="77777777" w:rsidR="008B6CC4" w:rsidRPr="00F12E3D" w:rsidRDefault="008B6CC4" w:rsidP="00061A35">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000 eura</w:t>
            </w:r>
          </w:p>
        </w:tc>
        <w:tc>
          <w:tcPr>
            <w:tcW w:w="329" w:type="pct"/>
          </w:tcPr>
          <w:p w14:paraId="1AA5931B" w14:textId="77777777" w:rsidR="008B6CC4" w:rsidRPr="00F12E3D" w:rsidRDefault="008B6CC4" w:rsidP="00061A35">
            <w:pPr>
              <w:jc w:val="right"/>
              <w:rPr>
                <w:rFonts w:ascii="Arial" w:eastAsia="Calibri" w:hAnsi="Arial" w:cs="Arial"/>
                <w:b/>
                <w:color w:val="000000" w:themeColor="text1"/>
                <w:sz w:val="14"/>
                <w:szCs w:val="14"/>
              </w:rPr>
            </w:pPr>
            <w:r w:rsidRPr="003A2506">
              <w:rPr>
                <w:rFonts w:ascii="Arial" w:eastAsia="Calibri" w:hAnsi="Arial" w:cs="Arial"/>
                <w:b/>
                <w:color w:val="000000" w:themeColor="text1"/>
                <w:sz w:val="14"/>
                <w:szCs w:val="14"/>
              </w:rPr>
              <w:t>000 eura</w:t>
            </w:r>
          </w:p>
        </w:tc>
        <w:tc>
          <w:tcPr>
            <w:tcW w:w="330" w:type="pct"/>
          </w:tcPr>
          <w:p w14:paraId="5D09460D" w14:textId="77777777" w:rsidR="008B6CC4" w:rsidRPr="00F12E3D" w:rsidRDefault="008B6CC4" w:rsidP="00061A35">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000 eura</w:t>
            </w:r>
          </w:p>
        </w:tc>
        <w:tc>
          <w:tcPr>
            <w:tcW w:w="371" w:type="pct"/>
          </w:tcPr>
          <w:p w14:paraId="47D1595B" w14:textId="77777777" w:rsidR="008B6CC4" w:rsidRPr="00F12E3D" w:rsidRDefault="008B6CC4" w:rsidP="00061A35">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000 eura</w:t>
            </w:r>
          </w:p>
        </w:tc>
        <w:tc>
          <w:tcPr>
            <w:tcW w:w="323" w:type="pct"/>
          </w:tcPr>
          <w:p w14:paraId="455DE2D5" w14:textId="77777777" w:rsidR="008B6CC4" w:rsidRPr="00F12E3D" w:rsidRDefault="008B6CC4" w:rsidP="00061A35">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000 eura</w:t>
            </w:r>
          </w:p>
        </w:tc>
      </w:tr>
      <w:tr w:rsidR="008B6CC4" w:rsidRPr="00F12E3D" w14:paraId="317507D2" w14:textId="77777777" w:rsidTr="00061A35">
        <w:trPr>
          <w:trHeight w:val="117"/>
        </w:trPr>
        <w:tc>
          <w:tcPr>
            <w:tcW w:w="538" w:type="pct"/>
            <w:vAlign w:val="bottom"/>
          </w:tcPr>
          <w:p w14:paraId="0338A3C1" w14:textId="77777777" w:rsidR="008B6CC4" w:rsidRPr="003A2506" w:rsidRDefault="008B6CC4" w:rsidP="00061A35">
            <w:pPr>
              <w:tabs>
                <w:tab w:val="right" w:pos="1202"/>
              </w:tabs>
              <w:spacing w:line="200" w:lineRule="exact"/>
              <w:outlineLvl w:val="0"/>
              <w:rPr>
                <w:rFonts w:ascii="Arial" w:eastAsia="Calibri" w:hAnsi="Arial" w:cs="Arial"/>
                <w:b/>
                <w:bCs/>
                <w:color w:val="000000" w:themeColor="text1"/>
                <w:sz w:val="14"/>
                <w:szCs w:val="14"/>
              </w:rPr>
            </w:pPr>
            <w:r w:rsidRPr="003A2506">
              <w:rPr>
                <w:rFonts w:ascii="Arial" w:eastAsia="Calibri" w:hAnsi="Arial" w:cs="Arial"/>
                <w:b/>
                <w:bCs/>
                <w:color w:val="000000" w:themeColor="text1"/>
                <w:sz w:val="14"/>
                <w:szCs w:val="14"/>
              </w:rPr>
              <w:t>Imovina</w:t>
            </w:r>
          </w:p>
        </w:tc>
        <w:tc>
          <w:tcPr>
            <w:tcW w:w="301" w:type="pct"/>
            <w:vAlign w:val="bottom"/>
          </w:tcPr>
          <w:p w14:paraId="2EEED2EB" w14:textId="77777777" w:rsidR="008B6CC4" w:rsidRPr="00F84C24" w:rsidRDefault="008B6CC4" w:rsidP="00061A35">
            <w:pPr>
              <w:jc w:val="right"/>
              <w:rPr>
                <w:rFonts w:ascii="Arial" w:eastAsia="Calibri" w:hAnsi="Arial" w:cs="Arial"/>
                <w:color w:val="000000" w:themeColor="text1"/>
                <w:sz w:val="14"/>
                <w:szCs w:val="14"/>
              </w:rPr>
            </w:pPr>
          </w:p>
        </w:tc>
        <w:tc>
          <w:tcPr>
            <w:tcW w:w="298" w:type="pct"/>
            <w:vAlign w:val="bottom"/>
          </w:tcPr>
          <w:p w14:paraId="1B1E56DF" w14:textId="77777777" w:rsidR="008B6CC4" w:rsidRPr="00F84C24" w:rsidRDefault="008B6CC4" w:rsidP="00061A35">
            <w:pPr>
              <w:jc w:val="right"/>
              <w:rPr>
                <w:rFonts w:ascii="Arial" w:eastAsia="Calibri" w:hAnsi="Arial" w:cs="Arial"/>
                <w:color w:val="000000" w:themeColor="text1"/>
                <w:sz w:val="14"/>
                <w:szCs w:val="14"/>
              </w:rPr>
            </w:pPr>
          </w:p>
        </w:tc>
        <w:tc>
          <w:tcPr>
            <w:tcW w:w="295" w:type="pct"/>
            <w:vAlign w:val="bottom"/>
          </w:tcPr>
          <w:p w14:paraId="75F756CA" w14:textId="77777777" w:rsidR="008B6CC4" w:rsidRPr="00F84C24" w:rsidRDefault="008B6CC4" w:rsidP="00061A35">
            <w:pPr>
              <w:jc w:val="right"/>
              <w:rPr>
                <w:rFonts w:ascii="Arial" w:eastAsia="Calibri" w:hAnsi="Arial" w:cs="Arial"/>
                <w:color w:val="000000" w:themeColor="text1"/>
                <w:sz w:val="14"/>
                <w:szCs w:val="14"/>
              </w:rPr>
            </w:pPr>
          </w:p>
        </w:tc>
        <w:tc>
          <w:tcPr>
            <w:tcW w:w="287" w:type="pct"/>
            <w:vAlign w:val="bottom"/>
          </w:tcPr>
          <w:p w14:paraId="2CC982EA" w14:textId="77777777" w:rsidR="008B6CC4" w:rsidRPr="00F84C24" w:rsidRDefault="008B6CC4" w:rsidP="00061A35">
            <w:pPr>
              <w:jc w:val="right"/>
              <w:rPr>
                <w:rFonts w:ascii="Arial" w:eastAsia="Calibri" w:hAnsi="Arial" w:cs="Arial"/>
                <w:color w:val="000000" w:themeColor="text1"/>
                <w:sz w:val="14"/>
                <w:szCs w:val="14"/>
              </w:rPr>
            </w:pPr>
          </w:p>
        </w:tc>
        <w:tc>
          <w:tcPr>
            <w:tcW w:w="297" w:type="pct"/>
            <w:vAlign w:val="bottom"/>
          </w:tcPr>
          <w:p w14:paraId="49B0047A" w14:textId="77777777" w:rsidR="008B6CC4" w:rsidRPr="00F84C24" w:rsidRDefault="008B6CC4" w:rsidP="00061A35">
            <w:pPr>
              <w:jc w:val="right"/>
              <w:rPr>
                <w:rFonts w:ascii="Arial" w:eastAsia="Calibri" w:hAnsi="Arial" w:cs="Arial"/>
                <w:color w:val="000000" w:themeColor="text1"/>
                <w:sz w:val="14"/>
                <w:szCs w:val="14"/>
              </w:rPr>
            </w:pPr>
          </w:p>
        </w:tc>
        <w:tc>
          <w:tcPr>
            <w:tcW w:w="312" w:type="pct"/>
            <w:vAlign w:val="bottom"/>
          </w:tcPr>
          <w:p w14:paraId="00A8A260" w14:textId="77777777" w:rsidR="008B6CC4" w:rsidRPr="00F84C24" w:rsidRDefault="008B6CC4" w:rsidP="00061A35">
            <w:pPr>
              <w:jc w:val="right"/>
              <w:rPr>
                <w:rFonts w:ascii="Arial" w:eastAsia="Calibri" w:hAnsi="Arial" w:cs="Arial"/>
                <w:color w:val="000000" w:themeColor="text1"/>
                <w:sz w:val="14"/>
                <w:szCs w:val="14"/>
              </w:rPr>
            </w:pPr>
          </w:p>
        </w:tc>
        <w:tc>
          <w:tcPr>
            <w:tcW w:w="333" w:type="pct"/>
            <w:vAlign w:val="bottom"/>
          </w:tcPr>
          <w:p w14:paraId="6069FF7C" w14:textId="77777777" w:rsidR="008B6CC4" w:rsidRPr="00F84C24" w:rsidRDefault="008B6CC4" w:rsidP="00061A35">
            <w:pPr>
              <w:jc w:val="right"/>
              <w:rPr>
                <w:rFonts w:ascii="Arial" w:eastAsia="Calibri" w:hAnsi="Arial" w:cs="Arial"/>
                <w:color w:val="000000" w:themeColor="text1"/>
                <w:sz w:val="14"/>
                <w:szCs w:val="14"/>
              </w:rPr>
            </w:pPr>
          </w:p>
        </w:tc>
        <w:tc>
          <w:tcPr>
            <w:tcW w:w="328" w:type="pct"/>
            <w:vAlign w:val="bottom"/>
          </w:tcPr>
          <w:p w14:paraId="5D7B243E" w14:textId="77777777" w:rsidR="008B6CC4" w:rsidRPr="00F84C24" w:rsidRDefault="008B6CC4" w:rsidP="00061A35">
            <w:pPr>
              <w:jc w:val="right"/>
              <w:rPr>
                <w:rFonts w:ascii="Arial" w:eastAsia="Calibri" w:hAnsi="Arial" w:cs="Arial"/>
                <w:color w:val="000000" w:themeColor="text1"/>
                <w:sz w:val="14"/>
                <w:szCs w:val="14"/>
              </w:rPr>
            </w:pPr>
          </w:p>
        </w:tc>
        <w:tc>
          <w:tcPr>
            <w:tcW w:w="329" w:type="pct"/>
            <w:vAlign w:val="bottom"/>
          </w:tcPr>
          <w:p w14:paraId="582A4EEA" w14:textId="77777777" w:rsidR="008B6CC4" w:rsidRPr="00F84C24" w:rsidRDefault="008B6CC4" w:rsidP="00061A35">
            <w:pPr>
              <w:jc w:val="right"/>
              <w:rPr>
                <w:rFonts w:ascii="Arial" w:eastAsia="Calibri" w:hAnsi="Arial" w:cs="Arial"/>
                <w:color w:val="000000" w:themeColor="text1"/>
                <w:sz w:val="14"/>
                <w:szCs w:val="14"/>
              </w:rPr>
            </w:pPr>
          </w:p>
        </w:tc>
        <w:tc>
          <w:tcPr>
            <w:tcW w:w="329" w:type="pct"/>
            <w:vAlign w:val="bottom"/>
          </w:tcPr>
          <w:p w14:paraId="6A225287" w14:textId="77777777" w:rsidR="008B6CC4" w:rsidRPr="00F84C24" w:rsidRDefault="008B6CC4" w:rsidP="00061A35">
            <w:pPr>
              <w:jc w:val="right"/>
              <w:rPr>
                <w:rFonts w:ascii="Arial" w:eastAsia="Calibri" w:hAnsi="Arial" w:cs="Arial"/>
                <w:color w:val="000000" w:themeColor="text1"/>
                <w:sz w:val="14"/>
                <w:szCs w:val="14"/>
              </w:rPr>
            </w:pPr>
          </w:p>
        </w:tc>
        <w:tc>
          <w:tcPr>
            <w:tcW w:w="329" w:type="pct"/>
            <w:vAlign w:val="bottom"/>
          </w:tcPr>
          <w:p w14:paraId="41C4F7FC" w14:textId="77777777" w:rsidR="008B6CC4" w:rsidRPr="00F84C24" w:rsidRDefault="008B6CC4" w:rsidP="00061A35">
            <w:pPr>
              <w:jc w:val="right"/>
              <w:rPr>
                <w:rFonts w:ascii="Arial" w:eastAsia="Calibri" w:hAnsi="Arial" w:cs="Arial"/>
                <w:color w:val="000000" w:themeColor="text1"/>
                <w:sz w:val="14"/>
                <w:szCs w:val="14"/>
              </w:rPr>
            </w:pPr>
          </w:p>
        </w:tc>
        <w:tc>
          <w:tcPr>
            <w:tcW w:w="330" w:type="pct"/>
            <w:vAlign w:val="bottom"/>
          </w:tcPr>
          <w:p w14:paraId="3C6A4A73" w14:textId="77777777" w:rsidR="008B6CC4" w:rsidRPr="00F84C24" w:rsidRDefault="008B6CC4" w:rsidP="00061A35">
            <w:pPr>
              <w:jc w:val="right"/>
              <w:rPr>
                <w:rFonts w:ascii="Arial" w:eastAsia="Calibri" w:hAnsi="Arial" w:cs="Arial"/>
                <w:color w:val="000000" w:themeColor="text1"/>
                <w:sz w:val="14"/>
                <w:szCs w:val="14"/>
              </w:rPr>
            </w:pPr>
          </w:p>
        </w:tc>
        <w:tc>
          <w:tcPr>
            <w:tcW w:w="371" w:type="pct"/>
            <w:vAlign w:val="bottom"/>
          </w:tcPr>
          <w:p w14:paraId="54B6F7B1" w14:textId="77777777" w:rsidR="008B6CC4" w:rsidRPr="00F84C24" w:rsidRDefault="008B6CC4" w:rsidP="00061A35">
            <w:pPr>
              <w:jc w:val="right"/>
              <w:rPr>
                <w:rFonts w:ascii="Arial" w:eastAsia="Calibri" w:hAnsi="Arial" w:cs="Arial"/>
                <w:color w:val="000000" w:themeColor="text1"/>
                <w:sz w:val="14"/>
                <w:szCs w:val="14"/>
              </w:rPr>
            </w:pPr>
          </w:p>
        </w:tc>
        <w:tc>
          <w:tcPr>
            <w:tcW w:w="323" w:type="pct"/>
            <w:vAlign w:val="bottom"/>
          </w:tcPr>
          <w:p w14:paraId="0A4919F2" w14:textId="77777777" w:rsidR="008B6CC4" w:rsidRPr="00F84C24" w:rsidRDefault="008B6CC4" w:rsidP="00061A35">
            <w:pPr>
              <w:jc w:val="right"/>
              <w:rPr>
                <w:rFonts w:ascii="Arial" w:eastAsia="Calibri" w:hAnsi="Arial" w:cs="Arial"/>
                <w:color w:val="000000" w:themeColor="text1"/>
                <w:sz w:val="14"/>
                <w:szCs w:val="14"/>
              </w:rPr>
            </w:pPr>
          </w:p>
        </w:tc>
      </w:tr>
      <w:tr w:rsidR="008B6CC4" w:rsidRPr="00F12E3D" w14:paraId="7331ECAE" w14:textId="77777777" w:rsidTr="00061A35">
        <w:trPr>
          <w:trHeight w:val="189"/>
        </w:trPr>
        <w:tc>
          <w:tcPr>
            <w:tcW w:w="538" w:type="pct"/>
            <w:vAlign w:val="bottom"/>
          </w:tcPr>
          <w:p w14:paraId="71B9D1E3" w14:textId="77777777" w:rsidR="008B6CC4" w:rsidRPr="00F12E3D" w:rsidRDefault="008B6CC4" w:rsidP="00061A35">
            <w:pPr>
              <w:tabs>
                <w:tab w:val="right" w:pos="1202"/>
              </w:tabs>
              <w:outlineLvl w:val="0"/>
              <w:rPr>
                <w:rFonts w:ascii="Arial" w:eastAsia="Calibri" w:hAnsi="Arial" w:cs="Arial"/>
                <w:color w:val="000000" w:themeColor="text1"/>
                <w:sz w:val="14"/>
                <w:szCs w:val="14"/>
              </w:rPr>
            </w:pPr>
            <w:r w:rsidRPr="00F12E3D">
              <w:rPr>
                <w:rFonts w:ascii="Arial" w:eastAsia="Calibri" w:hAnsi="Arial" w:cs="Arial"/>
                <w:color w:val="000000" w:themeColor="text1"/>
                <w:sz w:val="14"/>
                <w:szCs w:val="14"/>
              </w:rPr>
              <w:t>Novčana sredstva i računi kod banaka</w:t>
            </w:r>
          </w:p>
        </w:tc>
        <w:tc>
          <w:tcPr>
            <w:tcW w:w="301" w:type="pct"/>
            <w:tcBorders>
              <w:top w:val="nil"/>
              <w:left w:val="nil"/>
              <w:bottom w:val="nil"/>
              <w:right w:val="nil"/>
            </w:tcBorders>
            <w:shd w:val="clear" w:color="auto" w:fill="auto"/>
            <w:vAlign w:val="bottom"/>
          </w:tcPr>
          <w:p w14:paraId="00B5E010" w14:textId="77777777" w:rsidR="008B6CC4" w:rsidRPr="003A2506" w:rsidRDefault="008B6CC4" w:rsidP="00061A35">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34.087</w:t>
            </w:r>
          </w:p>
        </w:tc>
        <w:tc>
          <w:tcPr>
            <w:tcW w:w="298" w:type="pct"/>
            <w:tcBorders>
              <w:top w:val="nil"/>
              <w:left w:val="nil"/>
              <w:bottom w:val="nil"/>
              <w:right w:val="nil"/>
            </w:tcBorders>
            <w:shd w:val="clear" w:color="auto" w:fill="auto"/>
            <w:vAlign w:val="bottom"/>
          </w:tcPr>
          <w:p w14:paraId="5C617D2F" w14:textId="77777777" w:rsidR="008B6CC4" w:rsidRPr="003A2506" w:rsidRDefault="008B6CC4" w:rsidP="00061A35">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95" w:type="pct"/>
            <w:tcBorders>
              <w:top w:val="nil"/>
              <w:left w:val="nil"/>
              <w:bottom w:val="nil"/>
              <w:right w:val="nil"/>
            </w:tcBorders>
            <w:shd w:val="clear" w:color="auto" w:fill="auto"/>
            <w:vAlign w:val="bottom"/>
          </w:tcPr>
          <w:p w14:paraId="230C56D5" w14:textId="77777777" w:rsidR="008B6CC4" w:rsidRPr="003A2506" w:rsidRDefault="008B6CC4" w:rsidP="00061A35">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87" w:type="pct"/>
            <w:tcBorders>
              <w:top w:val="nil"/>
              <w:left w:val="nil"/>
              <w:bottom w:val="nil"/>
              <w:right w:val="nil"/>
            </w:tcBorders>
            <w:shd w:val="clear" w:color="auto" w:fill="auto"/>
            <w:vAlign w:val="bottom"/>
          </w:tcPr>
          <w:p w14:paraId="2B6BF7C1" w14:textId="77777777" w:rsidR="008B6CC4" w:rsidRPr="00F959D0" w:rsidRDefault="008B6CC4" w:rsidP="00061A35">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97" w:type="pct"/>
            <w:tcBorders>
              <w:top w:val="nil"/>
              <w:left w:val="nil"/>
              <w:bottom w:val="nil"/>
              <w:right w:val="nil"/>
            </w:tcBorders>
            <w:shd w:val="clear" w:color="auto" w:fill="auto"/>
            <w:vAlign w:val="bottom"/>
          </w:tcPr>
          <w:p w14:paraId="680C80CD" w14:textId="77777777" w:rsidR="008B6CC4" w:rsidRPr="003A2506" w:rsidRDefault="008B6CC4" w:rsidP="00061A35">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12" w:type="pct"/>
            <w:tcBorders>
              <w:top w:val="nil"/>
              <w:left w:val="nil"/>
              <w:bottom w:val="nil"/>
              <w:right w:val="nil"/>
            </w:tcBorders>
            <w:shd w:val="clear" w:color="auto" w:fill="auto"/>
            <w:vAlign w:val="bottom"/>
          </w:tcPr>
          <w:p w14:paraId="42B62292" w14:textId="77777777" w:rsidR="008B6CC4" w:rsidRPr="003A2506" w:rsidRDefault="008B6CC4" w:rsidP="00061A35">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3" w:type="pct"/>
            <w:tcBorders>
              <w:top w:val="nil"/>
              <w:left w:val="nil"/>
              <w:bottom w:val="nil"/>
              <w:right w:val="nil"/>
            </w:tcBorders>
            <w:shd w:val="clear" w:color="auto" w:fill="auto"/>
            <w:vAlign w:val="bottom"/>
          </w:tcPr>
          <w:p w14:paraId="60591CAB" w14:textId="77777777" w:rsidR="008B6CC4" w:rsidRPr="003A2506" w:rsidRDefault="008B6CC4" w:rsidP="00061A35">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34.087</w:t>
            </w:r>
          </w:p>
        </w:tc>
        <w:tc>
          <w:tcPr>
            <w:tcW w:w="328" w:type="pct"/>
            <w:tcBorders>
              <w:top w:val="nil"/>
              <w:left w:val="nil"/>
              <w:bottom w:val="nil"/>
              <w:right w:val="nil"/>
            </w:tcBorders>
            <w:vAlign w:val="bottom"/>
          </w:tcPr>
          <w:p w14:paraId="55ADBFF6" w14:textId="77777777" w:rsidR="008B6CC4" w:rsidRPr="003A2506" w:rsidRDefault="008B6CC4" w:rsidP="00061A35">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9" w:type="pct"/>
            <w:tcBorders>
              <w:top w:val="nil"/>
              <w:left w:val="nil"/>
              <w:bottom w:val="nil"/>
              <w:right w:val="nil"/>
            </w:tcBorders>
            <w:vAlign w:val="bottom"/>
          </w:tcPr>
          <w:p w14:paraId="05AA132B" w14:textId="77777777" w:rsidR="008B6CC4" w:rsidRPr="003A2506" w:rsidRDefault="008B6CC4" w:rsidP="00061A35">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9" w:type="pct"/>
            <w:tcBorders>
              <w:top w:val="nil"/>
              <w:left w:val="nil"/>
              <w:bottom w:val="nil"/>
              <w:right w:val="nil"/>
            </w:tcBorders>
            <w:vAlign w:val="bottom"/>
          </w:tcPr>
          <w:p w14:paraId="68AE0115" w14:textId="77777777" w:rsidR="008B6CC4" w:rsidRPr="003A2506" w:rsidRDefault="008B6CC4" w:rsidP="00061A35">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9" w:type="pct"/>
            <w:tcBorders>
              <w:top w:val="nil"/>
              <w:left w:val="nil"/>
              <w:bottom w:val="nil"/>
              <w:right w:val="nil"/>
            </w:tcBorders>
            <w:vAlign w:val="bottom"/>
          </w:tcPr>
          <w:p w14:paraId="766C5FC3" w14:textId="77777777" w:rsidR="008B6CC4" w:rsidRPr="00F959D0" w:rsidRDefault="008B6CC4" w:rsidP="00061A35">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0" w:type="pct"/>
            <w:tcBorders>
              <w:top w:val="nil"/>
              <w:left w:val="nil"/>
              <w:bottom w:val="nil"/>
              <w:right w:val="nil"/>
            </w:tcBorders>
            <w:vAlign w:val="bottom"/>
          </w:tcPr>
          <w:p w14:paraId="36A2B393" w14:textId="77777777" w:rsidR="008B6CC4" w:rsidRPr="003A2506" w:rsidRDefault="008B6CC4" w:rsidP="00061A35">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71" w:type="pct"/>
            <w:tcBorders>
              <w:top w:val="nil"/>
              <w:left w:val="nil"/>
              <w:bottom w:val="nil"/>
              <w:right w:val="nil"/>
            </w:tcBorders>
            <w:vAlign w:val="bottom"/>
          </w:tcPr>
          <w:p w14:paraId="1ACFF26F" w14:textId="77777777" w:rsidR="008B6CC4" w:rsidRPr="003A2506" w:rsidRDefault="008B6CC4" w:rsidP="00061A35">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3" w:type="pct"/>
            <w:tcBorders>
              <w:top w:val="nil"/>
              <w:left w:val="nil"/>
              <w:bottom w:val="nil"/>
              <w:right w:val="nil"/>
            </w:tcBorders>
            <w:vAlign w:val="bottom"/>
          </w:tcPr>
          <w:p w14:paraId="3694529C" w14:textId="77777777" w:rsidR="008B6CC4" w:rsidRPr="003A2506" w:rsidRDefault="008B6CC4" w:rsidP="00061A35">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r>
      <w:tr w:rsidR="008B6CC4" w:rsidRPr="00F12E3D" w14:paraId="17126EEE" w14:textId="77777777" w:rsidTr="00061A35">
        <w:trPr>
          <w:trHeight w:val="189"/>
        </w:trPr>
        <w:tc>
          <w:tcPr>
            <w:tcW w:w="538" w:type="pct"/>
            <w:vAlign w:val="bottom"/>
          </w:tcPr>
          <w:p w14:paraId="5D51D063" w14:textId="77777777" w:rsidR="008B6CC4" w:rsidRPr="00F12E3D" w:rsidRDefault="008B6CC4" w:rsidP="00061A35">
            <w:pPr>
              <w:tabs>
                <w:tab w:val="right" w:pos="1202"/>
              </w:tabs>
              <w:outlineLvl w:val="0"/>
              <w:rPr>
                <w:rFonts w:ascii="Arial" w:eastAsia="Calibri" w:hAnsi="Arial" w:cs="Arial"/>
                <w:color w:val="000000" w:themeColor="text1"/>
                <w:sz w:val="14"/>
                <w:szCs w:val="14"/>
              </w:rPr>
            </w:pPr>
            <w:r w:rsidRPr="00F12E3D">
              <w:rPr>
                <w:rFonts w:ascii="Arial" w:eastAsia="Calibri" w:hAnsi="Arial" w:cs="Arial"/>
                <w:color w:val="000000" w:themeColor="text1"/>
                <w:sz w:val="14"/>
                <w:szCs w:val="14"/>
              </w:rPr>
              <w:t>Depoziti kod drugih banaka</w:t>
            </w:r>
          </w:p>
        </w:tc>
        <w:tc>
          <w:tcPr>
            <w:tcW w:w="301" w:type="pct"/>
            <w:tcBorders>
              <w:top w:val="nil"/>
              <w:left w:val="nil"/>
              <w:bottom w:val="nil"/>
              <w:right w:val="nil"/>
            </w:tcBorders>
            <w:shd w:val="clear" w:color="auto" w:fill="auto"/>
            <w:vAlign w:val="bottom"/>
          </w:tcPr>
          <w:p w14:paraId="26B44580" w14:textId="77777777" w:rsidR="008B6CC4" w:rsidRPr="003A2506" w:rsidRDefault="008B6CC4" w:rsidP="00061A35">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120.610</w:t>
            </w:r>
          </w:p>
        </w:tc>
        <w:tc>
          <w:tcPr>
            <w:tcW w:w="298" w:type="pct"/>
            <w:tcBorders>
              <w:top w:val="nil"/>
              <w:left w:val="nil"/>
              <w:bottom w:val="nil"/>
              <w:right w:val="nil"/>
            </w:tcBorders>
            <w:shd w:val="clear" w:color="auto" w:fill="auto"/>
            <w:vAlign w:val="bottom"/>
          </w:tcPr>
          <w:p w14:paraId="6CDB09AD" w14:textId="77777777" w:rsidR="008B6CC4" w:rsidRPr="003A2506" w:rsidRDefault="008B6CC4" w:rsidP="00061A35">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95" w:type="pct"/>
            <w:tcBorders>
              <w:top w:val="nil"/>
              <w:left w:val="nil"/>
              <w:bottom w:val="nil"/>
              <w:right w:val="nil"/>
            </w:tcBorders>
            <w:shd w:val="clear" w:color="auto" w:fill="auto"/>
            <w:vAlign w:val="bottom"/>
          </w:tcPr>
          <w:p w14:paraId="2A0F2B4F" w14:textId="77777777" w:rsidR="008B6CC4" w:rsidRPr="003A2506" w:rsidRDefault="008B6CC4" w:rsidP="00061A35">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87" w:type="pct"/>
            <w:tcBorders>
              <w:top w:val="nil"/>
              <w:left w:val="nil"/>
              <w:bottom w:val="nil"/>
              <w:right w:val="nil"/>
            </w:tcBorders>
            <w:shd w:val="clear" w:color="auto" w:fill="auto"/>
            <w:vAlign w:val="bottom"/>
          </w:tcPr>
          <w:p w14:paraId="22FD3A1C" w14:textId="77777777" w:rsidR="008B6CC4" w:rsidRPr="00F959D0" w:rsidRDefault="008B6CC4" w:rsidP="00061A35">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97" w:type="pct"/>
            <w:tcBorders>
              <w:top w:val="nil"/>
              <w:left w:val="nil"/>
              <w:bottom w:val="nil"/>
              <w:right w:val="nil"/>
            </w:tcBorders>
            <w:shd w:val="clear" w:color="auto" w:fill="auto"/>
            <w:vAlign w:val="bottom"/>
          </w:tcPr>
          <w:p w14:paraId="67AB17CA" w14:textId="77777777" w:rsidR="008B6CC4" w:rsidRPr="003A2506" w:rsidRDefault="008B6CC4" w:rsidP="00061A35">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12" w:type="pct"/>
            <w:tcBorders>
              <w:top w:val="nil"/>
              <w:left w:val="nil"/>
              <w:bottom w:val="nil"/>
              <w:right w:val="nil"/>
            </w:tcBorders>
            <w:shd w:val="clear" w:color="auto" w:fill="auto"/>
            <w:vAlign w:val="bottom"/>
          </w:tcPr>
          <w:p w14:paraId="29BC957F" w14:textId="77777777" w:rsidR="008B6CC4" w:rsidRPr="003A2506" w:rsidRDefault="008B6CC4" w:rsidP="00061A35">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3" w:type="pct"/>
            <w:tcBorders>
              <w:top w:val="nil"/>
              <w:left w:val="nil"/>
              <w:bottom w:val="nil"/>
              <w:right w:val="nil"/>
            </w:tcBorders>
            <w:shd w:val="clear" w:color="auto" w:fill="auto"/>
            <w:vAlign w:val="bottom"/>
          </w:tcPr>
          <w:p w14:paraId="42BFFF4E" w14:textId="77777777" w:rsidR="008B6CC4" w:rsidRPr="003A2506" w:rsidRDefault="008B6CC4" w:rsidP="00061A35">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120.610</w:t>
            </w:r>
          </w:p>
        </w:tc>
        <w:tc>
          <w:tcPr>
            <w:tcW w:w="328" w:type="pct"/>
            <w:tcBorders>
              <w:top w:val="nil"/>
              <w:left w:val="nil"/>
              <w:bottom w:val="nil"/>
              <w:right w:val="nil"/>
            </w:tcBorders>
            <w:vAlign w:val="bottom"/>
          </w:tcPr>
          <w:p w14:paraId="5AB228D4" w14:textId="77777777" w:rsidR="008B6CC4" w:rsidRPr="003A2506" w:rsidRDefault="008B6CC4" w:rsidP="00061A35">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9" w:type="pct"/>
            <w:tcBorders>
              <w:top w:val="nil"/>
              <w:left w:val="nil"/>
              <w:bottom w:val="nil"/>
              <w:right w:val="nil"/>
            </w:tcBorders>
            <w:vAlign w:val="bottom"/>
          </w:tcPr>
          <w:p w14:paraId="7FD53084" w14:textId="77777777" w:rsidR="008B6CC4" w:rsidRPr="003A2506" w:rsidRDefault="008B6CC4" w:rsidP="00061A35">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9" w:type="pct"/>
            <w:tcBorders>
              <w:top w:val="nil"/>
              <w:left w:val="nil"/>
              <w:bottom w:val="nil"/>
              <w:right w:val="nil"/>
            </w:tcBorders>
            <w:vAlign w:val="bottom"/>
          </w:tcPr>
          <w:p w14:paraId="30B3408C" w14:textId="77777777" w:rsidR="008B6CC4" w:rsidRPr="003A2506" w:rsidRDefault="008B6CC4" w:rsidP="00061A35">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9" w:type="pct"/>
            <w:tcBorders>
              <w:top w:val="nil"/>
              <w:left w:val="nil"/>
              <w:bottom w:val="nil"/>
              <w:right w:val="nil"/>
            </w:tcBorders>
            <w:vAlign w:val="bottom"/>
          </w:tcPr>
          <w:p w14:paraId="67C019CB" w14:textId="77777777" w:rsidR="008B6CC4" w:rsidRPr="00F959D0" w:rsidRDefault="008B6CC4" w:rsidP="00061A35">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0" w:type="pct"/>
            <w:tcBorders>
              <w:top w:val="nil"/>
              <w:left w:val="nil"/>
              <w:bottom w:val="nil"/>
              <w:right w:val="nil"/>
            </w:tcBorders>
            <w:vAlign w:val="bottom"/>
          </w:tcPr>
          <w:p w14:paraId="4FAA5FE8" w14:textId="77777777" w:rsidR="008B6CC4" w:rsidRPr="003A2506" w:rsidRDefault="008B6CC4" w:rsidP="00061A35">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71" w:type="pct"/>
            <w:tcBorders>
              <w:top w:val="nil"/>
              <w:left w:val="nil"/>
              <w:bottom w:val="nil"/>
              <w:right w:val="nil"/>
            </w:tcBorders>
            <w:vAlign w:val="bottom"/>
          </w:tcPr>
          <w:p w14:paraId="562E14FB" w14:textId="77777777" w:rsidR="008B6CC4" w:rsidRPr="003A2506" w:rsidRDefault="008B6CC4" w:rsidP="00061A35">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3" w:type="pct"/>
            <w:tcBorders>
              <w:top w:val="nil"/>
              <w:left w:val="nil"/>
              <w:bottom w:val="nil"/>
              <w:right w:val="nil"/>
            </w:tcBorders>
            <w:vAlign w:val="bottom"/>
          </w:tcPr>
          <w:p w14:paraId="40E7C8E2" w14:textId="77777777" w:rsidR="008B6CC4" w:rsidRPr="003A2506" w:rsidRDefault="008B6CC4" w:rsidP="00061A35">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r>
      <w:tr w:rsidR="008B6CC4" w:rsidRPr="00F12E3D" w14:paraId="48E91DE4" w14:textId="77777777" w:rsidTr="00061A35">
        <w:trPr>
          <w:trHeight w:val="189"/>
        </w:trPr>
        <w:tc>
          <w:tcPr>
            <w:tcW w:w="538" w:type="pct"/>
            <w:vAlign w:val="bottom"/>
          </w:tcPr>
          <w:p w14:paraId="3936585C" w14:textId="77777777" w:rsidR="008B6CC4" w:rsidRPr="00F12E3D" w:rsidRDefault="008B6CC4" w:rsidP="00061A35">
            <w:pPr>
              <w:tabs>
                <w:tab w:val="right" w:pos="1202"/>
              </w:tabs>
              <w:outlineLvl w:val="0"/>
              <w:rPr>
                <w:rFonts w:ascii="Arial" w:eastAsia="Calibri" w:hAnsi="Arial" w:cs="Arial"/>
                <w:color w:val="000000" w:themeColor="text1"/>
                <w:sz w:val="14"/>
                <w:szCs w:val="14"/>
              </w:rPr>
            </w:pPr>
            <w:r w:rsidRPr="00F12E3D">
              <w:rPr>
                <w:rFonts w:ascii="Arial" w:eastAsia="Calibri" w:hAnsi="Arial" w:cs="Arial"/>
                <w:color w:val="000000" w:themeColor="text1"/>
                <w:sz w:val="14"/>
                <w:szCs w:val="14"/>
              </w:rPr>
              <w:t>Krediti financijskim institucijama</w:t>
            </w:r>
          </w:p>
        </w:tc>
        <w:tc>
          <w:tcPr>
            <w:tcW w:w="301" w:type="pct"/>
            <w:tcBorders>
              <w:top w:val="nil"/>
              <w:left w:val="nil"/>
              <w:bottom w:val="nil"/>
              <w:right w:val="nil"/>
            </w:tcBorders>
            <w:shd w:val="clear" w:color="auto" w:fill="auto"/>
            <w:vAlign w:val="bottom"/>
          </w:tcPr>
          <w:p w14:paraId="74E8883A" w14:textId="77777777" w:rsidR="008B6CC4" w:rsidRPr="003A2506" w:rsidRDefault="008B6CC4" w:rsidP="00061A35">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1.152.929</w:t>
            </w:r>
          </w:p>
        </w:tc>
        <w:tc>
          <w:tcPr>
            <w:tcW w:w="298" w:type="pct"/>
            <w:tcBorders>
              <w:top w:val="nil"/>
              <w:left w:val="nil"/>
              <w:bottom w:val="nil"/>
              <w:right w:val="nil"/>
            </w:tcBorders>
            <w:shd w:val="clear" w:color="auto" w:fill="auto"/>
            <w:vAlign w:val="bottom"/>
          </w:tcPr>
          <w:p w14:paraId="17BF0BDD" w14:textId="77777777" w:rsidR="008B6CC4" w:rsidRPr="003A2506" w:rsidRDefault="008B6CC4" w:rsidP="00061A35">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14.012</w:t>
            </w:r>
          </w:p>
        </w:tc>
        <w:tc>
          <w:tcPr>
            <w:tcW w:w="295" w:type="pct"/>
            <w:tcBorders>
              <w:top w:val="nil"/>
              <w:left w:val="nil"/>
              <w:bottom w:val="nil"/>
              <w:right w:val="nil"/>
            </w:tcBorders>
            <w:shd w:val="clear" w:color="auto" w:fill="auto"/>
            <w:vAlign w:val="bottom"/>
          </w:tcPr>
          <w:p w14:paraId="1736DB41" w14:textId="77777777" w:rsidR="008B6CC4" w:rsidRPr="003A2506" w:rsidRDefault="008B6CC4" w:rsidP="00061A35">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263</w:t>
            </w:r>
          </w:p>
        </w:tc>
        <w:tc>
          <w:tcPr>
            <w:tcW w:w="287" w:type="pct"/>
            <w:tcBorders>
              <w:top w:val="nil"/>
              <w:left w:val="nil"/>
              <w:bottom w:val="nil"/>
              <w:right w:val="nil"/>
            </w:tcBorders>
            <w:shd w:val="clear" w:color="auto" w:fill="auto"/>
            <w:vAlign w:val="bottom"/>
          </w:tcPr>
          <w:p w14:paraId="2E860868" w14:textId="77777777" w:rsidR="008B6CC4" w:rsidRPr="00F959D0" w:rsidRDefault="008B6CC4" w:rsidP="00061A35">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97" w:type="pct"/>
            <w:tcBorders>
              <w:top w:val="nil"/>
              <w:left w:val="nil"/>
              <w:bottom w:val="nil"/>
              <w:right w:val="nil"/>
            </w:tcBorders>
            <w:shd w:val="clear" w:color="auto" w:fill="auto"/>
            <w:vAlign w:val="bottom"/>
          </w:tcPr>
          <w:p w14:paraId="66FD55AC" w14:textId="77777777" w:rsidR="008B6CC4" w:rsidRPr="003A2506" w:rsidRDefault="008B6CC4" w:rsidP="00061A35">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12" w:type="pct"/>
            <w:tcBorders>
              <w:top w:val="nil"/>
              <w:left w:val="nil"/>
              <w:bottom w:val="nil"/>
              <w:right w:val="nil"/>
            </w:tcBorders>
            <w:shd w:val="clear" w:color="auto" w:fill="auto"/>
            <w:vAlign w:val="bottom"/>
          </w:tcPr>
          <w:p w14:paraId="1FCC83CC" w14:textId="77777777" w:rsidR="008B6CC4" w:rsidRPr="003A2506" w:rsidRDefault="008B6CC4" w:rsidP="00061A35">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3" w:type="pct"/>
            <w:tcBorders>
              <w:top w:val="nil"/>
              <w:left w:val="nil"/>
              <w:bottom w:val="nil"/>
              <w:right w:val="nil"/>
            </w:tcBorders>
            <w:shd w:val="clear" w:color="auto" w:fill="auto"/>
            <w:vAlign w:val="bottom"/>
          </w:tcPr>
          <w:p w14:paraId="03E8FA8F" w14:textId="77777777" w:rsidR="008B6CC4" w:rsidRPr="003A2506" w:rsidRDefault="008B6CC4" w:rsidP="00061A35">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1.167.204</w:t>
            </w:r>
          </w:p>
        </w:tc>
        <w:tc>
          <w:tcPr>
            <w:tcW w:w="328" w:type="pct"/>
            <w:tcBorders>
              <w:top w:val="nil"/>
              <w:left w:val="nil"/>
              <w:bottom w:val="nil"/>
              <w:right w:val="nil"/>
            </w:tcBorders>
            <w:vAlign w:val="bottom"/>
          </w:tcPr>
          <w:p w14:paraId="1BE10470" w14:textId="77777777" w:rsidR="008B6CC4" w:rsidRPr="003A2506" w:rsidRDefault="008B6CC4" w:rsidP="00061A35">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9" w:type="pct"/>
            <w:tcBorders>
              <w:top w:val="nil"/>
              <w:left w:val="nil"/>
              <w:bottom w:val="nil"/>
              <w:right w:val="nil"/>
            </w:tcBorders>
            <w:vAlign w:val="bottom"/>
          </w:tcPr>
          <w:p w14:paraId="2273F0EA" w14:textId="77777777" w:rsidR="008B6CC4" w:rsidRPr="003A2506" w:rsidRDefault="008B6CC4" w:rsidP="00061A35">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9" w:type="pct"/>
            <w:tcBorders>
              <w:top w:val="nil"/>
              <w:left w:val="nil"/>
              <w:bottom w:val="nil"/>
              <w:right w:val="nil"/>
            </w:tcBorders>
            <w:vAlign w:val="bottom"/>
          </w:tcPr>
          <w:p w14:paraId="54EE0BA3" w14:textId="77777777" w:rsidR="008B6CC4" w:rsidRPr="003A2506" w:rsidRDefault="008B6CC4" w:rsidP="00061A35">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9" w:type="pct"/>
            <w:tcBorders>
              <w:top w:val="nil"/>
              <w:left w:val="nil"/>
              <w:bottom w:val="nil"/>
              <w:right w:val="nil"/>
            </w:tcBorders>
            <w:vAlign w:val="bottom"/>
          </w:tcPr>
          <w:p w14:paraId="4B4142C2" w14:textId="77777777" w:rsidR="008B6CC4" w:rsidRPr="00F959D0" w:rsidRDefault="008B6CC4" w:rsidP="00061A35">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0" w:type="pct"/>
            <w:tcBorders>
              <w:top w:val="nil"/>
              <w:left w:val="nil"/>
              <w:bottom w:val="nil"/>
              <w:right w:val="nil"/>
            </w:tcBorders>
            <w:vAlign w:val="bottom"/>
          </w:tcPr>
          <w:p w14:paraId="21AADE73" w14:textId="77777777" w:rsidR="008B6CC4" w:rsidRPr="003A2506" w:rsidRDefault="008B6CC4" w:rsidP="00061A35">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71" w:type="pct"/>
            <w:tcBorders>
              <w:top w:val="nil"/>
              <w:left w:val="nil"/>
              <w:bottom w:val="nil"/>
              <w:right w:val="nil"/>
            </w:tcBorders>
            <w:vAlign w:val="bottom"/>
          </w:tcPr>
          <w:p w14:paraId="3324B0AE" w14:textId="77777777" w:rsidR="008B6CC4" w:rsidRPr="003A2506" w:rsidRDefault="008B6CC4" w:rsidP="00061A35">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3" w:type="pct"/>
            <w:tcBorders>
              <w:top w:val="nil"/>
              <w:left w:val="nil"/>
              <w:bottom w:val="nil"/>
              <w:right w:val="nil"/>
            </w:tcBorders>
            <w:vAlign w:val="bottom"/>
          </w:tcPr>
          <w:p w14:paraId="219AC0F4" w14:textId="77777777" w:rsidR="008B6CC4" w:rsidRPr="003A2506" w:rsidRDefault="008B6CC4" w:rsidP="00061A35">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r>
      <w:tr w:rsidR="008B6CC4" w:rsidRPr="00F12E3D" w14:paraId="3BD5CDED" w14:textId="77777777" w:rsidTr="00061A35">
        <w:trPr>
          <w:trHeight w:val="189"/>
        </w:trPr>
        <w:tc>
          <w:tcPr>
            <w:tcW w:w="538" w:type="pct"/>
            <w:vAlign w:val="bottom"/>
          </w:tcPr>
          <w:p w14:paraId="322C9815" w14:textId="77777777" w:rsidR="008B6CC4" w:rsidRPr="00F12E3D" w:rsidRDefault="008B6CC4" w:rsidP="00061A35">
            <w:pPr>
              <w:tabs>
                <w:tab w:val="right" w:pos="1202"/>
              </w:tabs>
              <w:outlineLvl w:val="0"/>
              <w:rPr>
                <w:rFonts w:ascii="Arial" w:eastAsia="Calibri" w:hAnsi="Arial" w:cs="Arial"/>
                <w:color w:val="000000" w:themeColor="text1"/>
                <w:sz w:val="14"/>
                <w:szCs w:val="14"/>
              </w:rPr>
            </w:pPr>
            <w:r w:rsidRPr="00F12E3D">
              <w:rPr>
                <w:rFonts w:ascii="Arial" w:eastAsia="Calibri" w:hAnsi="Arial" w:cs="Arial"/>
                <w:color w:val="000000" w:themeColor="text1"/>
                <w:sz w:val="14"/>
                <w:szCs w:val="14"/>
              </w:rPr>
              <w:t>Krediti ostalim korisnicima</w:t>
            </w:r>
          </w:p>
        </w:tc>
        <w:tc>
          <w:tcPr>
            <w:tcW w:w="301" w:type="pct"/>
            <w:tcBorders>
              <w:top w:val="nil"/>
              <w:left w:val="nil"/>
              <w:bottom w:val="nil"/>
              <w:right w:val="nil"/>
            </w:tcBorders>
            <w:shd w:val="clear" w:color="auto" w:fill="auto"/>
            <w:vAlign w:val="bottom"/>
          </w:tcPr>
          <w:p w14:paraId="73D338D0" w14:textId="77777777" w:rsidR="008B6CC4" w:rsidRPr="003A2506" w:rsidRDefault="008B6CC4" w:rsidP="00061A35">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1.761.861</w:t>
            </w:r>
          </w:p>
        </w:tc>
        <w:tc>
          <w:tcPr>
            <w:tcW w:w="298" w:type="pct"/>
            <w:tcBorders>
              <w:top w:val="nil"/>
              <w:left w:val="nil"/>
              <w:bottom w:val="nil"/>
              <w:right w:val="nil"/>
            </w:tcBorders>
            <w:shd w:val="clear" w:color="auto" w:fill="auto"/>
            <w:vAlign w:val="bottom"/>
          </w:tcPr>
          <w:p w14:paraId="093785F1" w14:textId="77777777" w:rsidR="008B6CC4" w:rsidRPr="003A2506" w:rsidRDefault="008B6CC4" w:rsidP="00061A35">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249.164</w:t>
            </w:r>
          </w:p>
        </w:tc>
        <w:tc>
          <w:tcPr>
            <w:tcW w:w="295" w:type="pct"/>
            <w:tcBorders>
              <w:top w:val="nil"/>
              <w:left w:val="nil"/>
              <w:bottom w:val="nil"/>
              <w:right w:val="nil"/>
            </w:tcBorders>
            <w:shd w:val="clear" w:color="auto" w:fill="auto"/>
            <w:vAlign w:val="bottom"/>
          </w:tcPr>
          <w:p w14:paraId="321A2420" w14:textId="77777777" w:rsidR="008B6CC4" w:rsidRPr="003A2506" w:rsidRDefault="008B6CC4" w:rsidP="00061A35">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154.639</w:t>
            </w:r>
          </w:p>
        </w:tc>
        <w:tc>
          <w:tcPr>
            <w:tcW w:w="287" w:type="pct"/>
            <w:tcBorders>
              <w:top w:val="nil"/>
              <w:left w:val="nil"/>
              <w:bottom w:val="nil"/>
              <w:right w:val="nil"/>
            </w:tcBorders>
            <w:shd w:val="clear" w:color="auto" w:fill="auto"/>
            <w:vAlign w:val="bottom"/>
          </w:tcPr>
          <w:p w14:paraId="2FE8B498" w14:textId="77777777" w:rsidR="008B6CC4" w:rsidRPr="00F959D0" w:rsidRDefault="008B6CC4" w:rsidP="00061A35">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42.681</w:t>
            </w:r>
          </w:p>
        </w:tc>
        <w:tc>
          <w:tcPr>
            <w:tcW w:w="297" w:type="pct"/>
            <w:tcBorders>
              <w:top w:val="nil"/>
              <w:left w:val="nil"/>
              <w:bottom w:val="nil"/>
              <w:right w:val="nil"/>
            </w:tcBorders>
            <w:shd w:val="clear" w:color="auto" w:fill="auto"/>
            <w:vAlign w:val="bottom"/>
          </w:tcPr>
          <w:p w14:paraId="0D650450" w14:textId="77777777" w:rsidR="008B6CC4" w:rsidRPr="003A2506" w:rsidRDefault="008B6CC4" w:rsidP="00061A35">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153.132</w:t>
            </w:r>
          </w:p>
        </w:tc>
        <w:tc>
          <w:tcPr>
            <w:tcW w:w="312" w:type="pct"/>
            <w:tcBorders>
              <w:top w:val="nil"/>
              <w:left w:val="nil"/>
              <w:bottom w:val="nil"/>
              <w:right w:val="nil"/>
            </w:tcBorders>
            <w:shd w:val="clear" w:color="auto" w:fill="auto"/>
            <w:vAlign w:val="bottom"/>
          </w:tcPr>
          <w:p w14:paraId="77632369" w14:textId="77777777" w:rsidR="008B6CC4" w:rsidRPr="003A2506" w:rsidRDefault="008B6CC4" w:rsidP="00061A35">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3" w:type="pct"/>
            <w:tcBorders>
              <w:top w:val="nil"/>
              <w:left w:val="nil"/>
              <w:bottom w:val="nil"/>
              <w:right w:val="nil"/>
            </w:tcBorders>
            <w:shd w:val="clear" w:color="auto" w:fill="auto"/>
            <w:vAlign w:val="bottom"/>
          </w:tcPr>
          <w:p w14:paraId="315275BF" w14:textId="77777777" w:rsidR="008B6CC4" w:rsidRPr="003A2506" w:rsidRDefault="008B6CC4" w:rsidP="00061A35">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2.361.477</w:t>
            </w:r>
          </w:p>
        </w:tc>
        <w:tc>
          <w:tcPr>
            <w:tcW w:w="328" w:type="pct"/>
            <w:tcBorders>
              <w:top w:val="nil"/>
              <w:left w:val="nil"/>
              <w:bottom w:val="nil"/>
              <w:right w:val="nil"/>
            </w:tcBorders>
            <w:vAlign w:val="bottom"/>
          </w:tcPr>
          <w:p w14:paraId="437BEAF1" w14:textId="77777777" w:rsidR="008B6CC4" w:rsidRPr="003A2506" w:rsidRDefault="008B6CC4" w:rsidP="00061A35">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392.150</w:t>
            </w:r>
          </w:p>
        </w:tc>
        <w:tc>
          <w:tcPr>
            <w:tcW w:w="329" w:type="pct"/>
            <w:tcBorders>
              <w:top w:val="nil"/>
              <w:left w:val="nil"/>
              <w:bottom w:val="nil"/>
              <w:right w:val="nil"/>
            </w:tcBorders>
            <w:vAlign w:val="bottom"/>
          </w:tcPr>
          <w:p w14:paraId="03F0EF21" w14:textId="77777777" w:rsidR="008B6CC4" w:rsidRPr="003A2506" w:rsidRDefault="008B6CC4" w:rsidP="00061A35">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47.233</w:t>
            </w:r>
          </w:p>
        </w:tc>
        <w:tc>
          <w:tcPr>
            <w:tcW w:w="329" w:type="pct"/>
            <w:tcBorders>
              <w:top w:val="nil"/>
              <w:left w:val="nil"/>
              <w:bottom w:val="nil"/>
              <w:right w:val="nil"/>
            </w:tcBorders>
            <w:vAlign w:val="bottom"/>
          </w:tcPr>
          <w:p w14:paraId="4D1274B8" w14:textId="77777777" w:rsidR="008B6CC4" w:rsidRPr="003A2506" w:rsidRDefault="008B6CC4" w:rsidP="00061A35">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8.441</w:t>
            </w:r>
          </w:p>
        </w:tc>
        <w:tc>
          <w:tcPr>
            <w:tcW w:w="329" w:type="pct"/>
            <w:tcBorders>
              <w:top w:val="nil"/>
              <w:left w:val="nil"/>
              <w:bottom w:val="nil"/>
              <w:right w:val="nil"/>
            </w:tcBorders>
            <w:vAlign w:val="bottom"/>
          </w:tcPr>
          <w:p w14:paraId="5814855E" w14:textId="77777777" w:rsidR="008B6CC4" w:rsidRPr="00F959D0" w:rsidRDefault="008B6CC4" w:rsidP="00061A35">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36</w:t>
            </w:r>
          </w:p>
        </w:tc>
        <w:tc>
          <w:tcPr>
            <w:tcW w:w="330" w:type="pct"/>
            <w:tcBorders>
              <w:top w:val="nil"/>
              <w:left w:val="nil"/>
              <w:bottom w:val="nil"/>
              <w:right w:val="nil"/>
            </w:tcBorders>
            <w:vAlign w:val="bottom"/>
          </w:tcPr>
          <w:p w14:paraId="264D4EC7" w14:textId="77777777" w:rsidR="008B6CC4" w:rsidRPr="003A2506" w:rsidRDefault="008B6CC4" w:rsidP="00061A35">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4.412</w:t>
            </w:r>
          </w:p>
        </w:tc>
        <w:tc>
          <w:tcPr>
            <w:tcW w:w="371" w:type="pct"/>
            <w:tcBorders>
              <w:top w:val="nil"/>
              <w:left w:val="nil"/>
              <w:bottom w:val="nil"/>
              <w:right w:val="nil"/>
            </w:tcBorders>
            <w:vAlign w:val="bottom"/>
          </w:tcPr>
          <w:p w14:paraId="7ED3E3C8" w14:textId="77777777" w:rsidR="008B6CC4" w:rsidRPr="003A2506" w:rsidRDefault="008B6CC4" w:rsidP="00061A35">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3" w:type="pct"/>
            <w:tcBorders>
              <w:top w:val="nil"/>
              <w:left w:val="nil"/>
              <w:bottom w:val="nil"/>
              <w:right w:val="nil"/>
            </w:tcBorders>
            <w:vAlign w:val="bottom"/>
          </w:tcPr>
          <w:p w14:paraId="21D67867" w14:textId="77777777" w:rsidR="008B6CC4" w:rsidRPr="003A2506" w:rsidRDefault="008B6CC4" w:rsidP="00061A35">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452.272</w:t>
            </w:r>
          </w:p>
        </w:tc>
      </w:tr>
      <w:tr w:rsidR="008B6CC4" w:rsidRPr="00F12E3D" w14:paraId="181D489D" w14:textId="77777777" w:rsidTr="00061A35">
        <w:trPr>
          <w:trHeight w:val="189"/>
        </w:trPr>
        <w:tc>
          <w:tcPr>
            <w:tcW w:w="538" w:type="pct"/>
            <w:vAlign w:val="bottom"/>
          </w:tcPr>
          <w:p w14:paraId="1449D404" w14:textId="77777777" w:rsidR="008B6CC4" w:rsidRPr="00F12E3D" w:rsidRDefault="008B6CC4" w:rsidP="00061A35">
            <w:pPr>
              <w:tabs>
                <w:tab w:val="right" w:pos="1202"/>
              </w:tabs>
              <w:outlineLvl w:val="0"/>
              <w:rPr>
                <w:rFonts w:ascii="Arial" w:eastAsia="Calibri" w:hAnsi="Arial" w:cs="Arial"/>
                <w:color w:val="000000" w:themeColor="text1"/>
                <w:sz w:val="14"/>
                <w:szCs w:val="14"/>
              </w:rPr>
            </w:pPr>
            <w:r w:rsidRPr="00F12E3D">
              <w:rPr>
                <w:rFonts w:ascii="Arial" w:eastAsia="Calibri" w:hAnsi="Arial" w:cs="Arial"/>
                <w:color w:val="000000" w:themeColor="text1"/>
                <w:sz w:val="14"/>
                <w:szCs w:val="14"/>
              </w:rPr>
              <w:t>Financijska imovina po fer vrijednosti kroz dobit ili gubitak</w:t>
            </w:r>
          </w:p>
        </w:tc>
        <w:tc>
          <w:tcPr>
            <w:tcW w:w="301" w:type="pct"/>
            <w:tcBorders>
              <w:top w:val="nil"/>
              <w:left w:val="nil"/>
              <w:bottom w:val="nil"/>
              <w:right w:val="nil"/>
            </w:tcBorders>
            <w:shd w:val="clear" w:color="auto" w:fill="auto"/>
            <w:vAlign w:val="bottom"/>
          </w:tcPr>
          <w:p w14:paraId="6F576BE7" w14:textId="77777777" w:rsidR="008B6CC4" w:rsidRPr="003A2506" w:rsidRDefault="008B6CC4" w:rsidP="00061A35">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98" w:type="pct"/>
            <w:tcBorders>
              <w:top w:val="nil"/>
              <w:left w:val="nil"/>
              <w:bottom w:val="nil"/>
              <w:right w:val="nil"/>
            </w:tcBorders>
            <w:shd w:val="clear" w:color="auto" w:fill="auto"/>
            <w:vAlign w:val="bottom"/>
          </w:tcPr>
          <w:p w14:paraId="07D35D94" w14:textId="77777777" w:rsidR="008B6CC4" w:rsidRPr="003A2506" w:rsidRDefault="008B6CC4" w:rsidP="00061A35">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95" w:type="pct"/>
            <w:tcBorders>
              <w:top w:val="nil"/>
              <w:left w:val="nil"/>
              <w:bottom w:val="nil"/>
              <w:right w:val="nil"/>
            </w:tcBorders>
            <w:shd w:val="clear" w:color="auto" w:fill="auto"/>
            <w:vAlign w:val="bottom"/>
          </w:tcPr>
          <w:p w14:paraId="52B9B687" w14:textId="77777777" w:rsidR="008B6CC4" w:rsidRPr="003A2506" w:rsidRDefault="008B6CC4" w:rsidP="00061A35">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87" w:type="pct"/>
            <w:tcBorders>
              <w:top w:val="nil"/>
              <w:left w:val="nil"/>
              <w:bottom w:val="nil"/>
              <w:right w:val="nil"/>
            </w:tcBorders>
            <w:shd w:val="clear" w:color="auto" w:fill="auto"/>
            <w:vAlign w:val="bottom"/>
          </w:tcPr>
          <w:p w14:paraId="399C48FD" w14:textId="77777777" w:rsidR="008B6CC4" w:rsidRPr="00F959D0" w:rsidRDefault="008B6CC4" w:rsidP="00061A35">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97" w:type="pct"/>
            <w:tcBorders>
              <w:top w:val="nil"/>
              <w:left w:val="nil"/>
              <w:bottom w:val="nil"/>
              <w:right w:val="nil"/>
            </w:tcBorders>
            <w:shd w:val="clear" w:color="auto" w:fill="auto"/>
            <w:vAlign w:val="bottom"/>
          </w:tcPr>
          <w:p w14:paraId="3BA8D39F" w14:textId="77777777" w:rsidR="008B6CC4" w:rsidRPr="003A2506" w:rsidRDefault="008B6CC4" w:rsidP="00061A35">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12" w:type="pct"/>
            <w:tcBorders>
              <w:top w:val="nil"/>
              <w:left w:val="nil"/>
              <w:bottom w:val="nil"/>
              <w:right w:val="nil"/>
            </w:tcBorders>
            <w:shd w:val="clear" w:color="auto" w:fill="auto"/>
            <w:vAlign w:val="bottom"/>
          </w:tcPr>
          <w:p w14:paraId="56CB6010" w14:textId="77777777" w:rsidR="008B6CC4" w:rsidRPr="003A2506" w:rsidRDefault="008B6CC4" w:rsidP="00061A35">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32.946</w:t>
            </w:r>
          </w:p>
        </w:tc>
        <w:tc>
          <w:tcPr>
            <w:tcW w:w="333" w:type="pct"/>
            <w:tcBorders>
              <w:top w:val="nil"/>
              <w:left w:val="nil"/>
              <w:bottom w:val="nil"/>
              <w:right w:val="nil"/>
            </w:tcBorders>
            <w:shd w:val="clear" w:color="auto" w:fill="auto"/>
            <w:vAlign w:val="bottom"/>
          </w:tcPr>
          <w:p w14:paraId="533135D4" w14:textId="77777777" w:rsidR="008B6CC4" w:rsidRPr="003A2506" w:rsidRDefault="008B6CC4" w:rsidP="00061A35">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32.946</w:t>
            </w:r>
          </w:p>
        </w:tc>
        <w:tc>
          <w:tcPr>
            <w:tcW w:w="328" w:type="pct"/>
            <w:tcBorders>
              <w:top w:val="nil"/>
              <w:left w:val="nil"/>
              <w:bottom w:val="nil"/>
              <w:right w:val="nil"/>
            </w:tcBorders>
            <w:vAlign w:val="bottom"/>
          </w:tcPr>
          <w:p w14:paraId="21EAF510" w14:textId="77777777" w:rsidR="008B6CC4" w:rsidRPr="003A2506" w:rsidRDefault="008B6CC4" w:rsidP="00061A35">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9" w:type="pct"/>
            <w:tcBorders>
              <w:top w:val="nil"/>
              <w:left w:val="nil"/>
              <w:bottom w:val="nil"/>
              <w:right w:val="nil"/>
            </w:tcBorders>
            <w:vAlign w:val="bottom"/>
          </w:tcPr>
          <w:p w14:paraId="4DC821A1" w14:textId="77777777" w:rsidR="008B6CC4" w:rsidRPr="003A2506" w:rsidRDefault="008B6CC4" w:rsidP="00061A35">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9" w:type="pct"/>
            <w:tcBorders>
              <w:top w:val="nil"/>
              <w:left w:val="nil"/>
              <w:bottom w:val="nil"/>
              <w:right w:val="nil"/>
            </w:tcBorders>
            <w:vAlign w:val="bottom"/>
          </w:tcPr>
          <w:p w14:paraId="11BF0DE2" w14:textId="77777777" w:rsidR="008B6CC4" w:rsidRPr="003A2506" w:rsidRDefault="008B6CC4" w:rsidP="00061A35">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9" w:type="pct"/>
            <w:tcBorders>
              <w:top w:val="nil"/>
              <w:left w:val="nil"/>
              <w:bottom w:val="nil"/>
              <w:right w:val="nil"/>
            </w:tcBorders>
            <w:vAlign w:val="bottom"/>
          </w:tcPr>
          <w:p w14:paraId="69845C42" w14:textId="77777777" w:rsidR="008B6CC4" w:rsidRPr="00F959D0" w:rsidRDefault="008B6CC4" w:rsidP="00061A35">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0" w:type="pct"/>
            <w:tcBorders>
              <w:top w:val="nil"/>
              <w:left w:val="nil"/>
              <w:bottom w:val="nil"/>
              <w:right w:val="nil"/>
            </w:tcBorders>
            <w:vAlign w:val="bottom"/>
          </w:tcPr>
          <w:p w14:paraId="15D442EB" w14:textId="77777777" w:rsidR="008B6CC4" w:rsidRPr="003A2506" w:rsidRDefault="008B6CC4" w:rsidP="00061A35">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71" w:type="pct"/>
            <w:tcBorders>
              <w:top w:val="nil"/>
              <w:left w:val="nil"/>
              <w:bottom w:val="nil"/>
              <w:right w:val="nil"/>
            </w:tcBorders>
            <w:shd w:val="clear" w:color="auto" w:fill="auto"/>
            <w:vAlign w:val="bottom"/>
          </w:tcPr>
          <w:p w14:paraId="0B17FD47" w14:textId="77777777" w:rsidR="008B6CC4" w:rsidRPr="003A2506" w:rsidRDefault="008B6CC4" w:rsidP="00061A35">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3" w:type="pct"/>
            <w:tcBorders>
              <w:top w:val="nil"/>
              <w:left w:val="nil"/>
              <w:bottom w:val="nil"/>
              <w:right w:val="nil"/>
            </w:tcBorders>
            <w:shd w:val="clear" w:color="auto" w:fill="auto"/>
            <w:vAlign w:val="bottom"/>
          </w:tcPr>
          <w:p w14:paraId="325C4058" w14:textId="77777777" w:rsidR="008B6CC4" w:rsidRPr="003A2506" w:rsidRDefault="008B6CC4" w:rsidP="00061A35">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r>
      <w:tr w:rsidR="008B6CC4" w:rsidRPr="00F12E3D" w14:paraId="554A7DB2" w14:textId="77777777" w:rsidTr="00061A35">
        <w:trPr>
          <w:trHeight w:val="189"/>
        </w:trPr>
        <w:tc>
          <w:tcPr>
            <w:tcW w:w="538" w:type="pct"/>
            <w:vAlign w:val="bottom"/>
          </w:tcPr>
          <w:p w14:paraId="36775DF1" w14:textId="77777777" w:rsidR="008B6CC4" w:rsidRPr="00F12E3D" w:rsidRDefault="008B6CC4" w:rsidP="00061A35">
            <w:pPr>
              <w:tabs>
                <w:tab w:val="right" w:pos="1202"/>
              </w:tabs>
              <w:outlineLvl w:val="0"/>
              <w:rPr>
                <w:rFonts w:ascii="Arial" w:eastAsia="Calibri" w:hAnsi="Arial" w:cs="Arial"/>
                <w:color w:val="000000" w:themeColor="text1"/>
                <w:sz w:val="14"/>
                <w:szCs w:val="14"/>
              </w:rPr>
            </w:pPr>
            <w:r w:rsidRPr="00F12E3D">
              <w:rPr>
                <w:rFonts w:ascii="Arial" w:eastAsia="Calibri" w:hAnsi="Arial" w:cs="Arial"/>
                <w:color w:val="000000" w:themeColor="text1"/>
                <w:sz w:val="14"/>
                <w:szCs w:val="14"/>
              </w:rPr>
              <w:t>Financijska imovina po fer vrijednosti kroz ostalu sveobuhvatnu dobit</w:t>
            </w:r>
          </w:p>
        </w:tc>
        <w:tc>
          <w:tcPr>
            <w:tcW w:w="301" w:type="pct"/>
            <w:tcBorders>
              <w:top w:val="nil"/>
              <w:left w:val="nil"/>
              <w:bottom w:val="nil"/>
              <w:right w:val="nil"/>
            </w:tcBorders>
            <w:shd w:val="clear" w:color="auto" w:fill="auto"/>
            <w:vAlign w:val="bottom"/>
          </w:tcPr>
          <w:p w14:paraId="1C5BB527" w14:textId="77777777" w:rsidR="008B6CC4" w:rsidRPr="003A2506" w:rsidRDefault="008B6CC4" w:rsidP="00061A35">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238.563</w:t>
            </w:r>
          </w:p>
        </w:tc>
        <w:tc>
          <w:tcPr>
            <w:tcW w:w="298" w:type="pct"/>
            <w:tcBorders>
              <w:top w:val="nil"/>
              <w:left w:val="nil"/>
              <w:bottom w:val="nil"/>
              <w:right w:val="nil"/>
            </w:tcBorders>
            <w:shd w:val="clear" w:color="auto" w:fill="auto"/>
            <w:vAlign w:val="bottom"/>
          </w:tcPr>
          <w:p w14:paraId="05416167" w14:textId="77777777" w:rsidR="008B6CC4" w:rsidRPr="003A2506" w:rsidRDefault="008B6CC4" w:rsidP="00061A35">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95" w:type="pct"/>
            <w:tcBorders>
              <w:top w:val="nil"/>
              <w:left w:val="nil"/>
              <w:bottom w:val="nil"/>
              <w:right w:val="nil"/>
            </w:tcBorders>
            <w:shd w:val="clear" w:color="auto" w:fill="auto"/>
            <w:vAlign w:val="bottom"/>
          </w:tcPr>
          <w:p w14:paraId="384263CA" w14:textId="77777777" w:rsidR="008B6CC4" w:rsidRPr="003A2506" w:rsidRDefault="008B6CC4" w:rsidP="00061A35">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138</w:t>
            </w:r>
          </w:p>
        </w:tc>
        <w:tc>
          <w:tcPr>
            <w:tcW w:w="287" w:type="pct"/>
            <w:tcBorders>
              <w:top w:val="nil"/>
              <w:left w:val="nil"/>
              <w:bottom w:val="nil"/>
              <w:right w:val="nil"/>
            </w:tcBorders>
            <w:shd w:val="clear" w:color="auto" w:fill="auto"/>
            <w:vAlign w:val="bottom"/>
          </w:tcPr>
          <w:p w14:paraId="65FB1F23" w14:textId="77777777" w:rsidR="008B6CC4" w:rsidRPr="00F959D0" w:rsidRDefault="008B6CC4" w:rsidP="00061A35">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97" w:type="pct"/>
            <w:tcBorders>
              <w:top w:val="nil"/>
              <w:left w:val="nil"/>
              <w:bottom w:val="nil"/>
              <w:right w:val="nil"/>
            </w:tcBorders>
            <w:shd w:val="clear" w:color="auto" w:fill="auto"/>
            <w:vAlign w:val="bottom"/>
          </w:tcPr>
          <w:p w14:paraId="6DE66AFD" w14:textId="77777777" w:rsidR="008B6CC4" w:rsidRPr="003A2506" w:rsidRDefault="008B6CC4" w:rsidP="00061A35">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12" w:type="pct"/>
            <w:tcBorders>
              <w:top w:val="nil"/>
              <w:left w:val="nil"/>
              <w:bottom w:val="nil"/>
              <w:right w:val="nil"/>
            </w:tcBorders>
            <w:shd w:val="clear" w:color="auto" w:fill="auto"/>
            <w:vAlign w:val="bottom"/>
          </w:tcPr>
          <w:p w14:paraId="3BA34D9E" w14:textId="77777777" w:rsidR="008B6CC4" w:rsidRPr="003A2506" w:rsidRDefault="008B6CC4" w:rsidP="00061A35">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3" w:type="pct"/>
            <w:tcBorders>
              <w:top w:val="nil"/>
              <w:left w:val="nil"/>
              <w:bottom w:val="nil"/>
              <w:right w:val="nil"/>
            </w:tcBorders>
            <w:shd w:val="clear" w:color="auto" w:fill="auto"/>
            <w:vAlign w:val="bottom"/>
          </w:tcPr>
          <w:p w14:paraId="02E57AD9" w14:textId="77777777" w:rsidR="008B6CC4" w:rsidRPr="003A2506" w:rsidRDefault="008B6CC4" w:rsidP="00061A35">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238.701</w:t>
            </w:r>
          </w:p>
        </w:tc>
        <w:tc>
          <w:tcPr>
            <w:tcW w:w="328" w:type="pct"/>
            <w:tcBorders>
              <w:top w:val="nil"/>
              <w:left w:val="nil"/>
              <w:bottom w:val="nil"/>
              <w:right w:val="nil"/>
            </w:tcBorders>
            <w:shd w:val="clear" w:color="auto" w:fill="auto"/>
            <w:vAlign w:val="bottom"/>
          </w:tcPr>
          <w:p w14:paraId="38A67F25" w14:textId="77777777" w:rsidR="008B6CC4" w:rsidRPr="003A2506" w:rsidRDefault="008B6CC4" w:rsidP="00061A35">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238.563</w:t>
            </w:r>
          </w:p>
        </w:tc>
        <w:tc>
          <w:tcPr>
            <w:tcW w:w="329" w:type="pct"/>
            <w:tcBorders>
              <w:top w:val="nil"/>
              <w:left w:val="nil"/>
              <w:bottom w:val="nil"/>
              <w:right w:val="nil"/>
            </w:tcBorders>
            <w:shd w:val="clear" w:color="auto" w:fill="auto"/>
            <w:vAlign w:val="bottom"/>
          </w:tcPr>
          <w:p w14:paraId="66687DA4" w14:textId="77777777" w:rsidR="008B6CC4" w:rsidRPr="003A2506" w:rsidRDefault="008B6CC4" w:rsidP="00061A35">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9" w:type="pct"/>
            <w:tcBorders>
              <w:top w:val="nil"/>
              <w:left w:val="nil"/>
              <w:bottom w:val="nil"/>
              <w:right w:val="nil"/>
            </w:tcBorders>
            <w:shd w:val="clear" w:color="auto" w:fill="auto"/>
            <w:vAlign w:val="bottom"/>
          </w:tcPr>
          <w:p w14:paraId="51A8ED32" w14:textId="77777777" w:rsidR="008B6CC4" w:rsidRPr="003A2506" w:rsidRDefault="008B6CC4" w:rsidP="00061A35">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138</w:t>
            </w:r>
          </w:p>
        </w:tc>
        <w:tc>
          <w:tcPr>
            <w:tcW w:w="329" w:type="pct"/>
            <w:tcBorders>
              <w:top w:val="nil"/>
              <w:left w:val="nil"/>
              <w:bottom w:val="nil"/>
              <w:right w:val="nil"/>
            </w:tcBorders>
            <w:shd w:val="clear" w:color="auto" w:fill="auto"/>
            <w:vAlign w:val="bottom"/>
          </w:tcPr>
          <w:p w14:paraId="58A0713A" w14:textId="77777777" w:rsidR="008B6CC4" w:rsidRPr="00F959D0" w:rsidRDefault="008B6CC4" w:rsidP="00061A35">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0" w:type="pct"/>
            <w:tcBorders>
              <w:top w:val="nil"/>
              <w:left w:val="nil"/>
              <w:bottom w:val="nil"/>
              <w:right w:val="nil"/>
            </w:tcBorders>
            <w:shd w:val="clear" w:color="auto" w:fill="auto"/>
            <w:vAlign w:val="bottom"/>
          </w:tcPr>
          <w:p w14:paraId="1E24A4A6" w14:textId="77777777" w:rsidR="008B6CC4" w:rsidRPr="003A2506" w:rsidRDefault="008B6CC4" w:rsidP="00061A35">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71" w:type="pct"/>
            <w:tcBorders>
              <w:top w:val="nil"/>
              <w:left w:val="nil"/>
              <w:bottom w:val="nil"/>
              <w:right w:val="nil"/>
            </w:tcBorders>
            <w:shd w:val="clear" w:color="auto" w:fill="auto"/>
            <w:vAlign w:val="bottom"/>
          </w:tcPr>
          <w:p w14:paraId="7ECD4154" w14:textId="77777777" w:rsidR="008B6CC4" w:rsidRPr="003A2506" w:rsidRDefault="008B6CC4" w:rsidP="00061A35">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3" w:type="pct"/>
            <w:tcBorders>
              <w:top w:val="nil"/>
              <w:left w:val="nil"/>
              <w:bottom w:val="nil"/>
              <w:right w:val="nil"/>
            </w:tcBorders>
            <w:shd w:val="clear" w:color="auto" w:fill="auto"/>
            <w:vAlign w:val="bottom"/>
          </w:tcPr>
          <w:p w14:paraId="2350293B" w14:textId="77777777" w:rsidR="008B6CC4" w:rsidRPr="003A2506" w:rsidRDefault="008B6CC4" w:rsidP="00061A35">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238.701</w:t>
            </w:r>
          </w:p>
        </w:tc>
      </w:tr>
      <w:tr w:rsidR="008B6CC4" w:rsidRPr="00F12E3D" w14:paraId="48C5752E" w14:textId="77777777" w:rsidTr="00061A35">
        <w:trPr>
          <w:trHeight w:val="189"/>
        </w:trPr>
        <w:tc>
          <w:tcPr>
            <w:tcW w:w="538" w:type="pct"/>
            <w:vAlign w:val="bottom"/>
          </w:tcPr>
          <w:p w14:paraId="25C4F786" w14:textId="77777777" w:rsidR="008B6CC4" w:rsidRPr="00F12E3D" w:rsidRDefault="008B6CC4" w:rsidP="00061A35">
            <w:pPr>
              <w:tabs>
                <w:tab w:val="right" w:pos="1202"/>
              </w:tabs>
              <w:outlineLvl w:val="0"/>
              <w:rPr>
                <w:rFonts w:ascii="Arial" w:eastAsia="Calibri" w:hAnsi="Arial" w:cs="Arial"/>
                <w:color w:val="000000" w:themeColor="text1"/>
                <w:sz w:val="14"/>
                <w:szCs w:val="14"/>
              </w:rPr>
            </w:pPr>
            <w:r w:rsidRPr="00F12E3D">
              <w:rPr>
                <w:rFonts w:ascii="Arial" w:eastAsia="Calibri" w:hAnsi="Arial" w:cs="Arial"/>
                <w:color w:val="000000" w:themeColor="text1"/>
                <w:sz w:val="14"/>
                <w:szCs w:val="14"/>
              </w:rPr>
              <w:t>Ostala imovina</w:t>
            </w:r>
          </w:p>
        </w:tc>
        <w:tc>
          <w:tcPr>
            <w:tcW w:w="301" w:type="pct"/>
            <w:tcBorders>
              <w:top w:val="nil"/>
              <w:left w:val="nil"/>
              <w:bottom w:val="single" w:sz="8" w:space="0" w:color="auto"/>
              <w:right w:val="nil"/>
            </w:tcBorders>
            <w:shd w:val="clear" w:color="auto" w:fill="auto"/>
            <w:vAlign w:val="bottom"/>
          </w:tcPr>
          <w:p w14:paraId="10588BB3" w14:textId="77777777" w:rsidR="008B6CC4" w:rsidRPr="003A2506" w:rsidRDefault="008B6CC4" w:rsidP="00061A35">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1.277</w:t>
            </w:r>
          </w:p>
        </w:tc>
        <w:tc>
          <w:tcPr>
            <w:tcW w:w="298" w:type="pct"/>
            <w:tcBorders>
              <w:top w:val="nil"/>
              <w:left w:val="nil"/>
              <w:bottom w:val="single" w:sz="8" w:space="0" w:color="auto"/>
              <w:right w:val="nil"/>
            </w:tcBorders>
            <w:shd w:val="clear" w:color="auto" w:fill="auto"/>
            <w:vAlign w:val="bottom"/>
          </w:tcPr>
          <w:p w14:paraId="2FF41876" w14:textId="77777777" w:rsidR="008B6CC4" w:rsidRPr="003A2506" w:rsidRDefault="008B6CC4" w:rsidP="00061A35">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11</w:t>
            </w:r>
          </w:p>
        </w:tc>
        <w:tc>
          <w:tcPr>
            <w:tcW w:w="295" w:type="pct"/>
            <w:tcBorders>
              <w:top w:val="nil"/>
              <w:left w:val="nil"/>
              <w:bottom w:val="single" w:sz="8" w:space="0" w:color="auto"/>
              <w:right w:val="nil"/>
            </w:tcBorders>
            <w:shd w:val="clear" w:color="auto" w:fill="auto"/>
            <w:vAlign w:val="bottom"/>
          </w:tcPr>
          <w:p w14:paraId="425B36D1" w14:textId="77777777" w:rsidR="008B6CC4" w:rsidRPr="003A2506" w:rsidRDefault="008B6CC4" w:rsidP="00061A35">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152</w:t>
            </w:r>
          </w:p>
        </w:tc>
        <w:tc>
          <w:tcPr>
            <w:tcW w:w="287" w:type="pct"/>
            <w:tcBorders>
              <w:top w:val="nil"/>
              <w:left w:val="nil"/>
              <w:bottom w:val="single" w:sz="8" w:space="0" w:color="auto"/>
              <w:right w:val="nil"/>
            </w:tcBorders>
            <w:shd w:val="clear" w:color="auto" w:fill="auto"/>
            <w:vAlign w:val="bottom"/>
          </w:tcPr>
          <w:p w14:paraId="4052C27F" w14:textId="77777777" w:rsidR="008B6CC4" w:rsidRPr="00F959D0" w:rsidRDefault="008B6CC4" w:rsidP="00061A35">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97" w:type="pct"/>
            <w:tcBorders>
              <w:top w:val="nil"/>
              <w:left w:val="nil"/>
              <w:bottom w:val="single" w:sz="8" w:space="0" w:color="auto"/>
              <w:right w:val="nil"/>
            </w:tcBorders>
            <w:shd w:val="clear" w:color="auto" w:fill="auto"/>
            <w:vAlign w:val="bottom"/>
          </w:tcPr>
          <w:p w14:paraId="41FC626B" w14:textId="77777777" w:rsidR="008B6CC4" w:rsidRPr="003A2506" w:rsidRDefault="008B6CC4" w:rsidP="00061A35">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7</w:t>
            </w:r>
          </w:p>
        </w:tc>
        <w:tc>
          <w:tcPr>
            <w:tcW w:w="312" w:type="pct"/>
            <w:tcBorders>
              <w:top w:val="nil"/>
              <w:left w:val="nil"/>
              <w:bottom w:val="single" w:sz="8" w:space="0" w:color="auto"/>
              <w:right w:val="nil"/>
            </w:tcBorders>
            <w:shd w:val="clear" w:color="auto" w:fill="auto"/>
            <w:vAlign w:val="bottom"/>
          </w:tcPr>
          <w:p w14:paraId="0A588C60" w14:textId="77777777" w:rsidR="008B6CC4" w:rsidRPr="003A2506" w:rsidRDefault="008B6CC4" w:rsidP="00061A35">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3" w:type="pct"/>
            <w:tcBorders>
              <w:top w:val="nil"/>
              <w:left w:val="nil"/>
              <w:bottom w:val="single" w:sz="8" w:space="0" w:color="auto"/>
              <w:right w:val="nil"/>
            </w:tcBorders>
            <w:shd w:val="clear" w:color="auto" w:fill="auto"/>
            <w:vAlign w:val="bottom"/>
          </w:tcPr>
          <w:p w14:paraId="020DE8C4" w14:textId="77777777" w:rsidR="008B6CC4" w:rsidRPr="003A2506" w:rsidRDefault="008B6CC4" w:rsidP="00061A35">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1.447</w:t>
            </w:r>
          </w:p>
        </w:tc>
        <w:tc>
          <w:tcPr>
            <w:tcW w:w="328" w:type="pct"/>
            <w:tcBorders>
              <w:top w:val="nil"/>
              <w:left w:val="nil"/>
              <w:bottom w:val="single" w:sz="8" w:space="0" w:color="auto"/>
              <w:right w:val="nil"/>
            </w:tcBorders>
            <w:vAlign w:val="bottom"/>
          </w:tcPr>
          <w:p w14:paraId="6AA748EB" w14:textId="77777777" w:rsidR="008B6CC4" w:rsidRPr="003A2506" w:rsidRDefault="008B6CC4" w:rsidP="00061A35">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183</w:t>
            </w:r>
          </w:p>
        </w:tc>
        <w:tc>
          <w:tcPr>
            <w:tcW w:w="329" w:type="pct"/>
            <w:tcBorders>
              <w:top w:val="nil"/>
              <w:left w:val="nil"/>
              <w:bottom w:val="single" w:sz="8" w:space="0" w:color="auto"/>
              <w:right w:val="nil"/>
            </w:tcBorders>
            <w:vAlign w:val="bottom"/>
          </w:tcPr>
          <w:p w14:paraId="2EA55589" w14:textId="77777777" w:rsidR="008B6CC4" w:rsidRPr="003A2506" w:rsidRDefault="008B6CC4" w:rsidP="00061A35">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11</w:t>
            </w:r>
          </w:p>
        </w:tc>
        <w:tc>
          <w:tcPr>
            <w:tcW w:w="329" w:type="pct"/>
            <w:tcBorders>
              <w:top w:val="nil"/>
              <w:left w:val="nil"/>
              <w:bottom w:val="single" w:sz="8" w:space="0" w:color="auto"/>
              <w:right w:val="nil"/>
            </w:tcBorders>
            <w:vAlign w:val="bottom"/>
          </w:tcPr>
          <w:p w14:paraId="17CF4469" w14:textId="77777777" w:rsidR="008B6CC4" w:rsidRPr="003A2506" w:rsidRDefault="008B6CC4" w:rsidP="00061A35">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70</w:t>
            </w:r>
          </w:p>
        </w:tc>
        <w:tc>
          <w:tcPr>
            <w:tcW w:w="329" w:type="pct"/>
            <w:tcBorders>
              <w:top w:val="nil"/>
              <w:left w:val="nil"/>
              <w:bottom w:val="single" w:sz="8" w:space="0" w:color="auto"/>
              <w:right w:val="nil"/>
            </w:tcBorders>
            <w:vAlign w:val="bottom"/>
          </w:tcPr>
          <w:p w14:paraId="0580293E" w14:textId="77777777" w:rsidR="008B6CC4" w:rsidRPr="00F959D0" w:rsidRDefault="008B6CC4" w:rsidP="00061A35">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0" w:type="pct"/>
            <w:tcBorders>
              <w:top w:val="nil"/>
              <w:left w:val="nil"/>
              <w:bottom w:val="single" w:sz="8" w:space="0" w:color="auto"/>
              <w:right w:val="nil"/>
            </w:tcBorders>
            <w:vAlign w:val="bottom"/>
          </w:tcPr>
          <w:p w14:paraId="20BAF2BD" w14:textId="77777777" w:rsidR="008B6CC4" w:rsidRPr="003A2506" w:rsidRDefault="008B6CC4" w:rsidP="00061A35">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7</w:t>
            </w:r>
          </w:p>
        </w:tc>
        <w:tc>
          <w:tcPr>
            <w:tcW w:w="371" w:type="pct"/>
            <w:tcBorders>
              <w:top w:val="nil"/>
              <w:left w:val="nil"/>
              <w:bottom w:val="single" w:sz="8" w:space="0" w:color="auto"/>
              <w:right w:val="nil"/>
            </w:tcBorders>
            <w:vAlign w:val="bottom"/>
          </w:tcPr>
          <w:p w14:paraId="3EFEED84" w14:textId="77777777" w:rsidR="008B6CC4" w:rsidRPr="003A2506" w:rsidRDefault="008B6CC4" w:rsidP="00061A35">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3" w:type="pct"/>
            <w:tcBorders>
              <w:top w:val="nil"/>
              <w:left w:val="nil"/>
              <w:bottom w:val="single" w:sz="8" w:space="0" w:color="auto"/>
              <w:right w:val="nil"/>
            </w:tcBorders>
            <w:vAlign w:val="bottom"/>
          </w:tcPr>
          <w:p w14:paraId="54EAA4EA" w14:textId="77777777" w:rsidR="008B6CC4" w:rsidRPr="003A2506" w:rsidRDefault="008B6CC4" w:rsidP="00061A35">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271</w:t>
            </w:r>
          </w:p>
        </w:tc>
      </w:tr>
      <w:tr w:rsidR="008B6CC4" w:rsidRPr="00F12E3D" w14:paraId="6CB329A7" w14:textId="77777777" w:rsidTr="00061A35">
        <w:trPr>
          <w:trHeight w:val="170"/>
        </w:trPr>
        <w:tc>
          <w:tcPr>
            <w:tcW w:w="538" w:type="pct"/>
            <w:vAlign w:val="bottom"/>
          </w:tcPr>
          <w:p w14:paraId="5A2D4D30" w14:textId="77777777" w:rsidR="008B6CC4" w:rsidRPr="00F12E3D" w:rsidRDefault="008B6CC4" w:rsidP="00061A35">
            <w:pPr>
              <w:tabs>
                <w:tab w:val="right" w:pos="1202"/>
              </w:tabs>
              <w:outlineLvl w:val="0"/>
              <w:rPr>
                <w:rFonts w:ascii="Arial" w:eastAsia="Calibri" w:hAnsi="Arial" w:cs="Arial"/>
                <w:b/>
                <w:bCs/>
                <w:color w:val="000000" w:themeColor="text1"/>
                <w:sz w:val="14"/>
                <w:szCs w:val="14"/>
              </w:rPr>
            </w:pPr>
            <w:r w:rsidRPr="00F12E3D">
              <w:rPr>
                <w:rFonts w:ascii="Arial" w:eastAsia="Calibri" w:hAnsi="Arial" w:cs="Arial"/>
                <w:b/>
                <w:bCs/>
                <w:color w:val="000000" w:themeColor="text1"/>
                <w:sz w:val="14"/>
                <w:szCs w:val="14"/>
              </w:rPr>
              <w:t>Ukupno</w:t>
            </w:r>
          </w:p>
        </w:tc>
        <w:tc>
          <w:tcPr>
            <w:tcW w:w="301" w:type="pct"/>
            <w:tcBorders>
              <w:top w:val="nil"/>
              <w:left w:val="nil"/>
              <w:bottom w:val="single" w:sz="12" w:space="0" w:color="auto"/>
              <w:right w:val="nil"/>
            </w:tcBorders>
            <w:shd w:val="clear" w:color="auto" w:fill="auto"/>
            <w:vAlign w:val="bottom"/>
          </w:tcPr>
          <w:p w14:paraId="16F6FE5C" w14:textId="77777777" w:rsidR="008B6CC4" w:rsidRPr="003A2506" w:rsidRDefault="008B6CC4" w:rsidP="00061A35">
            <w:pPr>
              <w:jc w:val="right"/>
              <w:rPr>
                <w:rFonts w:ascii="Arial" w:eastAsia="Calibri" w:hAnsi="Arial" w:cs="Arial"/>
                <w:b/>
                <w:bCs/>
                <w:sz w:val="14"/>
                <w:szCs w:val="14"/>
              </w:rPr>
            </w:pPr>
            <w:r>
              <w:rPr>
                <w:rFonts w:ascii="Arial" w:eastAsia="Calibri" w:hAnsi="Arial" w:cs="Arial"/>
                <w:b/>
                <w:bCs/>
                <w:sz w:val="14"/>
                <w:szCs w:val="14"/>
              </w:rPr>
              <w:t>3.309.327</w:t>
            </w:r>
          </w:p>
        </w:tc>
        <w:tc>
          <w:tcPr>
            <w:tcW w:w="298" w:type="pct"/>
            <w:tcBorders>
              <w:top w:val="nil"/>
              <w:left w:val="nil"/>
              <w:bottom w:val="single" w:sz="12" w:space="0" w:color="auto"/>
              <w:right w:val="nil"/>
            </w:tcBorders>
            <w:shd w:val="clear" w:color="auto" w:fill="auto"/>
            <w:vAlign w:val="bottom"/>
          </w:tcPr>
          <w:p w14:paraId="1C88D3AF" w14:textId="77777777" w:rsidR="008B6CC4" w:rsidRPr="003A2506" w:rsidRDefault="008B6CC4" w:rsidP="00061A35">
            <w:pPr>
              <w:jc w:val="right"/>
              <w:rPr>
                <w:rFonts w:ascii="Arial" w:eastAsia="Calibri" w:hAnsi="Arial" w:cs="Arial"/>
                <w:b/>
                <w:bCs/>
                <w:sz w:val="14"/>
                <w:szCs w:val="14"/>
              </w:rPr>
            </w:pPr>
            <w:r>
              <w:rPr>
                <w:rFonts w:ascii="Arial" w:eastAsia="Calibri" w:hAnsi="Arial" w:cs="Arial"/>
                <w:b/>
                <w:bCs/>
                <w:sz w:val="14"/>
                <w:szCs w:val="14"/>
              </w:rPr>
              <w:t>263.187</w:t>
            </w:r>
          </w:p>
        </w:tc>
        <w:tc>
          <w:tcPr>
            <w:tcW w:w="295" w:type="pct"/>
            <w:tcBorders>
              <w:top w:val="nil"/>
              <w:left w:val="nil"/>
              <w:bottom w:val="single" w:sz="12" w:space="0" w:color="auto"/>
              <w:right w:val="nil"/>
            </w:tcBorders>
            <w:shd w:val="clear" w:color="auto" w:fill="auto"/>
            <w:vAlign w:val="bottom"/>
          </w:tcPr>
          <w:p w14:paraId="482DA642" w14:textId="77777777" w:rsidR="008B6CC4" w:rsidRPr="003A2506" w:rsidRDefault="008B6CC4" w:rsidP="00061A35">
            <w:pPr>
              <w:jc w:val="right"/>
              <w:rPr>
                <w:rFonts w:ascii="Arial" w:eastAsia="Calibri" w:hAnsi="Arial" w:cs="Arial"/>
                <w:b/>
                <w:bCs/>
                <w:sz w:val="14"/>
                <w:szCs w:val="14"/>
              </w:rPr>
            </w:pPr>
            <w:r>
              <w:rPr>
                <w:rFonts w:ascii="Arial" w:eastAsia="Calibri" w:hAnsi="Arial" w:cs="Arial"/>
                <w:b/>
                <w:bCs/>
                <w:sz w:val="14"/>
                <w:szCs w:val="14"/>
              </w:rPr>
              <w:t>155.192</w:t>
            </w:r>
          </w:p>
        </w:tc>
        <w:tc>
          <w:tcPr>
            <w:tcW w:w="287" w:type="pct"/>
            <w:tcBorders>
              <w:top w:val="nil"/>
              <w:left w:val="nil"/>
              <w:bottom w:val="single" w:sz="12" w:space="0" w:color="auto"/>
              <w:right w:val="nil"/>
            </w:tcBorders>
            <w:shd w:val="clear" w:color="auto" w:fill="auto"/>
            <w:vAlign w:val="bottom"/>
          </w:tcPr>
          <w:p w14:paraId="1A5008F9" w14:textId="77777777" w:rsidR="008B6CC4" w:rsidRPr="00F959D0" w:rsidRDefault="008B6CC4" w:rsidP="00061A35">
            <w:pPr>
              <w:jc w:val="right"/>
              <w:rPr>
                <w:rFonts w:ascii="Arial" w:eastAsia="Calibri" w:hAnsi="Arial" w:cs="Arial"/>
                <w:b/>
                <w:bCs/>
                <w:sz w:val="14"/>
                <w:szCs w:val="14"/>
              </w:rPr>
            </w:pPr>
            <w:r>
              <w:rPr>
                <w:rFonts w:ascii="Arial" w:eastAsia="Calibri" w:hAnsi="Arial" w:cs="Arial"/>
                <w:b/>
                <w:bCs/>
                <w:sz w:val="14"/>
                <w:szCs w:val="14"/>
              </w:rPr>
              <w:t>42.681</w:t>
            </w:r>
          </w:p>
        </w:tc>
        <w:tc>
          <w:tcPr>
            <w:tcW w:w="297" w:type="pct"/>
            <w:tcBorders>
              <w:top w:val="nil"/>
              <w:left w:val="nil"/>
              <w:bottom w:val="single" w:sz="12" w:space="0" w:color="auto"/>
              <w:right w:val="nil"/>
            </w:tcBorders>
            <w:shd w:val="clear" w:color="auto" w:fill="auto"/>
            <w:vAlign w:val="bottom"/>
          </w:tcPr>
          <w:p w14:paraId="0B74E784" w14:textId="77777777" w:rsidR="008B6CC4" w:rsidRPr="003A2506" w:rsidRDefault="008B6CC4" w:rsidP="00061A35">
            <w:pPr>
              <w:jc w:val="right"/>
              <w:rPr>
                <w:rFonts w:ascii="Arial" w:eastAsia="Calibri" w:hAnsi="Arial" w:cs="Arial"/>
                <w:b/>
                <w:bCs/>
                <w:sz w:val="14"/>
                <w:szCs w:val="14"/>
              </w:rPr>
            </w:pPr>
            <w:r>
              <w:rPr>
                <w:rFonts w:ascii="Arial" w:eastAsia="Calibri" w:hAnsi="Arial" w:cs="Arial"/>
                <w:b/>
                <w:bCs/>
                <w:sz w:val="14"/>
                <w:szCs w:val="14"/>
              </w:rPr>
              <w:t>153.139</w:t>
            </w:r>
          </w:p>
        </w:tc>
        <w:tc>
          <w:tcPr>
            <w:tcW w:w="312" w:type="pct"/>
            <w:tcBorders>
              <w:top w:val="nil"/>
              <w:left w:val="nil"/>
              <w:bottom w:val="single" w:sz="12" w:space="0" w:color="auto"/>
              <w:right w:val="nil"/>
            </w:tcBorders>
            <w:shd w:val="clear" w:color="auto" w:fill="auto"/>
            <w:vAlign w:val="bottom"/>
          </w:tcPr>
          <w:p w14:paraId="1EE26921" w14:textId="77777777" w:rsidR="008B6CC4" w:rsidRPr="003A2506" w:rsidRDefault="008B6CC4" w:rsidP="00061A35">
            <w:pPr>
              <w:jc w:val="right"/>
              <w:rPr>
                <w:rFonts w:ascii="Arial" w:eastAsia="Calibri" w:hAnsi="Arial" w:cs="Arial"/>
                <w:b/>
                <w:bCs/>
                <w:sz w:val="14"/>
                <w:szCs w:val="14"/>
              </w:rPr>
            </w:pPr>
            <w:r>
              <w:rPr>
                <w:rFonts w:ascii="Arial" w:eastAsia="Calibri" w:hAnsi="Arial" w:cs="Arial"/>
                <w:b/>
                <w:bCs/>
                <w:sz w:val="14"/>
                <w:szCs w:val="14"/>
              </w:rPr>
              <w:t>32.946</w:t>
            </w:r>
          </w:p>
        </w:tc>
        <w:tc>
          <w:tcPr>
            <w:tcW w:w="333" w:type="pct"/>
            <w:tcBorders>
              <w:top w:val="nil"/>
              <w:left w:val="nil"/>
              <w:bottom w:val="single" w:sz="12" w:space="0" w:color="auto"/>
              <w:right w:val="nil"/>
            </w:tcBorders>
            <w:shd w:val="clear" w:color="auto" w:fill="auto"/>
            <w:vAlign w:val="bottom"/>
          </w:tcPr>
          <w:p w14:paraId="6EE7D6F9" w14:textId="77777777" w:rsidR="008B6CC4" w:rsidRPr="003A2506" w:rsidRDefault="008B6CC4" w:rsidP="00061A35">
            <w:pPr>
              <w:jc w:val="right"/>
              <w:rPr>
                <w:rFonts w:ascii="Arial" w:eastAsia="Calibri" w:hAnsi="Arial" w:cs="Arial"/>
                <w:b/>
                <w:bCs/>
                <w:sz w:val="14"/>
                <w:szCs w:val="14"/>
              </w:rPr>
            </w:pPr>
            <w:r>
              <w:rPr>
                <w:rFonts w:ascii="Arial" w:eastAsia="Calibri" w:hAnsi="Arial" w:cs="Arial"/>
                <w:b/>
                <w:bCs/>
                <w:sz w:val="14"/>
                <w:szCs w:val="14"/>
              </w:rPr>
              <w:t>3.956.472</w:t>
            </w:r>
          </w:p>
        </w:tc>
        <w:tc>
          <w:tcPr>
            <w:tcW w:w="328" w:type="pct"/>
            <w:tcBorders>
              <w:top w:val="nil"/>
              <w:left w:val="nil"/>
              <w:bottom w:val="single" w:sz="12" w:space="0" w:color="auto"/>
              <w:right w:val="nil"/>
            </w:tcBorders>
            <w:vAlign w:val="bottom"/>
          </w:tcPr>
          <w:p w14:paraId="4F2F134E" w14:textId="77777777" w:rsidR="008B6CC4" w:rsidRPr="00F959D0" w:rsidRDefault="008B6CC4" w:rsidP="00061A35">
            <w:pPr>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630.896</w:t>
            </w:r>
          </w:p>
        </w:tc>
        <w:tc>
          <w:tcPr>
            <w:tcW w:w="329" w:type="pct"/>
            <w:tcBorders>
              <w:top w:val="nil"/>
              <w:left w:val="nil"/>
              <w:bottom w:val="single" w:sz="12" w:space="0" w:color="auto"/>
              <w:right w:val="nil"/>
            </w:tcBorders>
            <w:vAlign w:val="bottom"/>
          </w:tcPr>
          <w:p w14:paraId="5C04731F" w14:textId="77777777" w:rsidR="008B6CC4" w:rsidRPr="00F959D0" w:rsidRDefault="008B6CC4" w:rsidP="00061A35">
            <w:pPr>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47.244</w:t>
            </w:r>
          </w:p>
        </w:tc>
        <w:tc>
          <w:tcPr>
            <w:tcW w:w="329" w:type="pct"/>
            <w:tcBorders>
              <w:top w:val="nil"/>
              <w:left w:val="nil"/>
              <w:bottom w:val="single" w:sz="12" w:space="0" w:color="auto"/>
              <w:right w:val="nil"/>
            </w:tcBorders>
            <w:vAlign w:val="bottom"/>
          </w:tcPr>
          <w:p w14:paraId="31C159A9" w14:textId="77777777" w:rsidR="008B6CC4" w:rsidRPr="00F959D0" w:rsidRDefault="008B6CC4" w:rsidP="00061A35">
            <w:pPr>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8.649</w:t>
            </w:r>
          </w:p>
        </w:tc>
        <w:tc>
          <w:tcPr>
            <w:tcW w:w="329" w:type="pct"/>
            <w:tcBorders>
              <w:top w:val="nil"/>
              <w:left w:val="nil"/>
              <w:bottom w:val="single" w:sz="12" w:space="0" w:color="auto"/>
              <w:right w:val="nil"/>
            </w:tcBorders>
            <w:vAlign w:val="bottom"/>
          </w:tcPr>
          <w:p w14:paraId="6199635D" w14:textId="77777777" w:rsidR="008B6CC4" w:rsidRPr="00F959D0" w:rsidRDefault="008B6CC4" w:rsidP="00061A35">
            <w:pPr>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36</w:t>
            </w:r>
          </w:p>
        </w:tc>
        <w:tc>
          <w:tcPr>
            <w:tcW w:w="330" w:type="pct"/>
            <w:tcBorders>
              <w:top w:val="nil"/>
              <w:left w:val="nil"/>
              <w:bottom w:val="single" w:sz="12" w:space="0" w:color="auto"/>
              <w:right w:val="nil"/>
            </w:tcBorders>
            <w:shd w:val="clear" w:color="auto" w:fill="auto"/>
            <w:vAlign w:val="bottom"/>
          </w:tcPr>
          <w:p w14:paraId="5485BEC0" w14:textId="77777777" w:rsidR="008B6CC4" w:rsidRPr="00F959D0" w:rsidRDefault="008B6CC4" w:rsidP="00061A35">
            <w:pPr>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4.419</w:t>
            </w:r>
          </w:p>
        </w:tc>
        <w:tc>
          <w:tcPr>
            <w:tcW w:w="371" w:type="pct"/>
            <w:tcBorders>
              <w:top w:val="nil"/>
              <w:left w:val="nil"/>
              <w:bottom w:val="single" w:sz="12" w:space="0" w:color="auto"/>
              <w:right w:val="nil"/>
            </w:tcBorders>
            <w:vAlign w:val="bottom"/>
          </w:tcPr>
          <w:p w14:paraId="29F3AF08" w14:textId="77777777" w:rsidR="008B6CC4" w:rsidRPr="00F959D0" w:rsidRDefault="008B6CC4" w:rsidP="00061A35">
            <w:pPr>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w:t>
            </w:r>
          </w:p>
        </w:tc>
        <w:tc>
          <w:tcPr>
            <w:tcW w:w="323" w:type="pct"/>
            <w:tcBorders>
              <w:top w:val="nil"/>
              <w:left w:val="nil"/>
              <w:bottom w:val="single" w:sz="12" w:space="0" w:color="auto"/>
              <w:right w:val="nil"/>
            </w:tcBorders>
            <w:vAlign w:val="bottom"/>
          </w:tcPr>
          <w:p w14:paraId="048E933C" w14:textId="77777777" w:rsidR="008B6CC4" w:rsidRPr="00F959D0" w:rsidRDefault="008B6CC4" w:rsidP="00061A35">
            <w:pPr>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691.244</w:t>
            </w:r>
          </w:p>
        </w:tc>
      </w:tr>
      <w:tr w:rsidR="008B6CC4" w:rsidRPr="00F12E3D" w14:paraId="5BB748DD" w14:textId="77777777" w:rsidTr="00061A35">
        <w:trPr>
          <w:trHeight w:val="57"/>
        </w:trPr>
        <w:tc>
          <w:tcPr>
            <w:tcW w:w="538" w:type="pct"/>
            <w:vAlign w:val="bottom"/>
          </w:tcPr>
          <w:p w14:paraId="3051E919" w14:textId="77777777" w:rsidR="008B6CC4" w:rsidRPr="003A2506" w:rsidRDefault="008B6CC4" w:rsidP="00061A35">
            <w:pPr>
              <w:tabs>
                <w:tab w:val="right" w:pos="1202"/>
              </w:tabs>
              <w:outlineLvl w:val="0"/>
              <w:rPr>
                <w:rFonts w:ascii="Arial" w:eastAsia="Calibri" w:hAnsi="Arial" w:cs="Arial"/>
                <w:b/>
                <w:bCs/>
                <w:color w:val="000000" w:themeColor="text1"/>
                <w:sz w:val="14"/>
                <w:szCs w:val="14"/>
              </w:rPr>
            </w:pPr>
            <w:r w:rsidRPr="003A2506">
              <w:rPr>
                <w:rFonts w:ascii="Arial" w:eastAsia="Calibri" w:hAnsi="Arial" w:cs="Arial"/>
                <w:b/>
                <w:bCs/>
                <w:color w:val="000000" w:themeColor="text1"/>
                <w:sz w:val="14"/>
                <w:szCs w:val="14"/>
              </w:rPr>
              <w:t>Garancije i preuzete obveze</w:t>
            </w:r>
          </w:p>
        </w:tc>
        <w:tc>
          <w:tcPr>
            <w:tcW w:w="301" w:type="pct"/>
            <w:tcBorders>
              <w:top w:val="nil"/>
              <w:left w:val="nil"/>
              <w:bottom w:val="nil"/>
              <w:right w:val="nil"/>
            </w:tcBorders>
            <w:shd w:val="clear" w:color="auto" w:fill="auto"/>
            <w:vAlign w:val="bottom"/>
          </w:tcPr>
          <w:p w14:paraId="5168409E" w14:textId="77777777" w:rsidR="008B6CC4" w:rsidRPr="003A2506" w:rsidRDefault="008B6CC4" w:rsidP="00061A35">
            <w:pPr>
              <w:jc w:val="right"/>
              <w:rPr>
                <w:rFonts w:ascii="Arial" w:eastAsia="Calibri" w:hAnsi="Arial" w:cs="Arial"/>
                <w:color w:val="000000" w:themeColor="text1"/>
                <w:sz w:val="14"/>
                <w:szCs w:val="14"/>
              </w:rPr>
            </w:pPr>
          </w:p>
        </w:tc>
        <w:tc>
          <w:tcPr>
            <w:tcW w:w="298" w:type="pct"/>
            <w:tcBorders>
              <w:top w:val="nil"/>
              <w:left w:val="nil"/>
              <w:bottom w:val="nil"/>
              <w:right w:val="nil"/>
            </w:tcBorders>
            <w:shd w:val="clear" w:color="auto" w:fill="auto"/>
            <w:vAlign w:val="bottom"/>
          </w:tcPr>
          <w:p w14:paraId="2783D3C1" w14:textId="77777777" w:rsidR="008B6CC4" w:rsidRPr="003A2506" w:rsidRDefault="008B6CC4" w:rsidP="00061A35">
            <w:pPr>
              <w:jc w:val="right"/>
              <w:rPr>
                <w:rFonts w:ascii="Arial" w:eastAsia="Calibri" w:hAnsi="Arial" w:cs="Arial"/>
                <w:color w:val="000000" w:themeColor="text1"/>
                <w:sz w:val="14"/>
                <w:szCs w:val="14"/>
              </w:rPr>
            </w:pPr>
          </w:p>
        </w:tc>
        <w:tc>
          <w:tcPr>
            <w:tcW w:w="295" w:type="pct"/>
            <w:tcBorders>
              <w:top w:val="nil"/>
              <w:left w:val="nil"/>
              <w:bottom w:val="nil"/>
              <w:right w:val="nil"/>
            </w:tcBorders>
            <w:shd w:val="clear" w:color="auto" w:fill="auto"/>
            <w:vAlign w:val="bottom"/>
          </w:tcPr>
          <w:p w14:paraId="075F4B3D" w14:textId="77777777" w:rsidR="008B6CC4" w:rsidRPr="003A2506" w:rsidRDefault="008B6CC4" w:rsidP="00061A35">
            <w:pPr>
              <w:jc w:val="right"/>
              <w:rPr>
                <w:rFonts w:ascii="Arial" w:eastAsia="Calibri" w:hAnsi="Arial" w:cs="Arial"/>
                <w:color w:val="000000" w:themeColor="text1"/>
                <w:sz w:val="14"/>
                <w:szCs w:val="14"/>
              </w:rPr>
            </w:pPr>
          </w:p>
        </w:tc>
        <w:tc>
          <w:tcPr>
            <w:tcW w:w="287" w:type="pct"/>
            <w:tcBorders>
              <w:top w:val="nil"/>
              <w:left w:val="nil"/>
              <w:bottom w:val="nil"/>
              <w:right w:val="nil"/>
            </w:tcBorders>
            <w:shd w:val="clear" w:color="auto" w:fill="auto"/>
            <w:vAlign w:val="bottom"/>
          </w:tcPr>
          <w:p w14:paraId="6DD61882" w14:textId="77777777" w:rsidR="008B6CC4" w:rsidRPr="009C51A3" w:rsidRDefault="008B6CC4" w:rsidP="00061A35">
            <w:pPr>
              <w:jc w:val="right"/>
              <w:rPr>
                <w:rFonts w:ascii="Arial" w:eastAsia="Calibri" w:hAnsi="Arial" w:cs="Arial"/>
                <w:color w:val="000000" w:themeColor="text1"/>
                <w:sz w:val="14"/>
                <w:szCs w:val="14"/>
              </w:rPr>
            </w:pPr>
          </w:p>
        </w:tc>
        <w:tc>
          <w:tcPr>
            <w:tcW w:w="297" w:type="pct"/>
            <w:tcBorders>
              <w:top w:val="nil"/>
              <w:left w:val="nil"/>
              <w:bottom w:val="nil"/>
              <w:right w:val="nil"/>
            </w:tcBorders>
            <w:shd w:val="clear" w:color="auto" w:fill="auto"/>
            <w:vAlign w:val="bottom"/>
          </w:tcPr>
          <w:p w14:paraId="497719A7" w14:textId="77777777" w:rsidR="008B6CC4" w:rsidRPr="003A2506" w:rsidRDefault="008B6CC4" w:rsidP="00061A35">
            <w:pPr>
              <w:jc w:val="right"/>
              <w:rPr>
                <w:rFonts w:ascii="Arial" w:eastAsia="Calibri" w:hAnsi="Arial" w:cs="Arial"/>
                <w:color w:val="000000" w:themeColor="text1"/>
                <w:sz w:val="14"/>
                <w:szCs w:val="14"/>
              </w:rPr>
            </w:pPr>
          </w:p>
        </w:tc>
        <w:tc>
          <w:tcPr>
            <w:tcW w:w="312" w:type="pct"/>
            <w:tcBorders>
              <w:top w:val="nil"/>
              <w:left w:val="nil"/>
              <w:bottom w:val="nil"/>
              <w:right w:val="nil"/>
            </w:tcBorders>
            <w:shd w:val="clear" w:color="auto" w:fill="auto"/>
            <w:vAlign w:val="bottom"/>
          </w:tcPr>
          <w:p w14:paraId="79200131" w14:textId="77777777" w:rsidR="008B6CC4" w:rsidRPr="003A2506" w:rsidRDefault="008B6CC4" w:rsidP="00061A35">
            <w:pPr>
              <w:jc w:val="right"/>
              <w:rPr>
                <w:rFonts w:ascii="Arial" w:eastAsia="Calibri" w:hAnsi="Arial" w:cs="Arial"/>
                <w:color w:val="000000" w:themeColor="text1"/>
                <w:sz w:val="14"/>
                <w:szCs w:val="14"/>
              </w:rPr>
            </w:pPr>
          </w:p>
        </w:tc>
        <w:tc>
          <w:tcPr>
            <w:tcW w:w="333" w:type="pct"/>
            <w:tcBorders>
              <w:top w:val="nil"/>
              <w:left w:val="nil"/>
              <w:bottom w:val="nil"/>
              <w:right w:val="nil"/>
            </w:tcBorders>
            <w:shd w:val="clear" w:color="auto" w:fill="auto"/>
            <w:vAlign w:val="bottom"/>
          </w:tcPr>
          <w:p w14:paraId="5BDAB9B9" w14:textId="77777777" w:rsidR="008B6CC4" w:rsidRPr="003A2506" w:rsidRDefault="008B6CC4" w:rsidP="00061A35">
            <w:pPr>
              <w:jc w:val="center"/>
              <w:rPr>
                <w:rFonts w:ascii="Arial" w:eastAsia="Calibri" w:hAnsi="Arial" w:cs="Arial"/>
                <w:color w:val="000000" w:themeColor="text1"/>
                <w:sz w:val="14"/>
                <w:szCs w:val="14"/>
              </w:rPr>
            </w:pPr>
          </w:p>
        </w:tc>
        <w:tc>
          <w:tcPr>
            <w:tcW w:w="328" w:type="pct"/>
            <w:tcBorders>
              <w:top w:val="nil"/>
              <w:left w:val="nil"/>
              <w:bottom w:val="nil"/>
              <w:right w:val="nil"/>
            </w:tcBorders>
            <w:vAlign w:val="bottom"/>
          </w:tcPr>
          <w:p w14:paraId="7113D109" w14:textId="77777777" w:rsidR="008B6CC4" w:rsidRPr="003A2506" w:rsidRDefault="008B6CC4" w:rsidP="00061A35">
            <w:pPr>
              <w:jc w:val="right"/>
              <w:rPr>
                <w:rFonts w:ascii="Arial" w:eastAsia="Calibri" w:hAnsi="Arial" w:cs="Arial"/>
                <w:color w:val="000000" w:themeColor="text1"/>
                <w:sz w:val="14"/>
                <w:szCs w:val="14"/>
              </w:rPr>
            </w:pPr>
          </w:p>
        </w:tc>
        <w:tc>
          <w:tcPr>
            <w:tcW w:w="329" w:type="pct"/>
            <w:tcBorders>
              <w:top w:val="nil"/>
              <w:left w:val="nil"/>
              <w:bottom w:val="nil"/>
              <w:right w:val="nil"/>
            </w:tcBorders>
            <w:vAlign w:val="bottom"/>
          </w:tcPr>
          <w:p w14:paraId="20473684" w14:textId="77777777" w:rsidR="008B6CC4" w:rsidRPr="003A2506" w:rsidRDefault="008B6CC4" w:rsidP="00061A35">
            <w:pPr>
              <w:jc w:val="right"/>
              <w:rPr>
                <w:rFonts w:ascii="Arial" w:eastAsia="Calibri" w:hAnsi="Arial" w:cs="Arial"/>
                <w:color w:val="000000" w:themeColor="text1"/>
                <w:sz w:val="14"/>
                <w:szCs w:val="14"/>
              </w:rPr>
            </w:pPr>
          </w:p>
        </w:tc>
        <w:tc>
          <w:tcPr>
            <w:tcW w:w="329" w:type="pct"/>
            <w:tcBorders>
              <w:top w:val="nil"/>
              <w:left w:val="nil"/>
              <w:bottom w:val="nil"/>
              <w:right w:val="nil"/>
            </w:tcBorders>
            <w:vAlign w:val="bottom"/>
          </w:tcPr>
          <w:p w14:paraId="67031D53" w14:textId="77777777" w:rsidR="008B6CC4" w:rsidRPr="003A2506" w:rsidRDefault="008B6CC4" w:rsidP="00061A35">
            <w:pPr>
              <w:jc w:val="right"/>
              <w:rPr>
                <w:rFonts w:ascii="Arial" w:eastAsia="Calibri" w:hAnsi="Arial" w:cs="Arial"/>
                <w:color w:val="000000" w:themeColor="text1"/>
                <w:sz w:val="14"/>
                <w:szCs w:val="14"/>
              </w:rPr>
            </w:pPr>
          </w:p>
        </w:tc>
        <w:tc>
          <w:tcPr>
            <w:tcW w:w="329" w:type="pct"/>
            <w:tcBorders>
              <w:top w:val="nil"/>
              <w:left w:val="nil"/>
              <w:bottom w:val="nil"/>
              <w:right w:val="nil"/>
            </w:tcBorders>
            <w:vAlign w:val="bottom"/>
          </w:tcPr>
          <w:p w14:paraId="7D88DBE8" w14:textId="77777777" w:rsidR="008B6CC4" w:rsidRPr="003A2506" w:rsidRDefault="008B6CC4" w:rsidP="00061A35">
            <w:pPr>
              <w:jc w:val="right"/>
              <w:rPr>
                <w:rFonts w:ascii="Arial" w:eastAsia="Calibri" w:hAnsi="Arial" w:cs="Arial"/>
                <w:color w:val="000000" w:themeColor="text1"/>
                <w:sz w:val="14"/>
                <w:szCs w:val="14"/>
              </w:rPr>
            </w:pPr>
          </w:p>
        </w:tc>
        <w:tc>
          <w:tcPr>
            <w:tcW w:w="330" w:type="pct"/>
            <w:tcBorders>
              <w:top w:val="nil"/>
              <w:left w:val="nil"/>
              <w:bottom w:val="nil"/>
              <w:right w:val="nil"/>
            </w:tcBorders>
            <w:vAlign w:val="bottom"/>
          </w:tcPr>
          <w:p w14:paraId="06693C8F" w14:textId="77777777" w:rsidR="008B6CC4" w:rsidRPr="003A2506" w:rsidRDefault="008B6CC4" w:rsidP="00061A35">
            <w:pPr>
              <w:jc w:val="right"/>
              <w:rPr>
                <w:rFonts w:ascii="Arial" w:eastAsia="Calibri" w:hAnsi="Arial" w:cs="Arial"/>
                <w:color w:val="000000" w:themeColor="text1"/>
                <w:sz w:val="14"/>
                <w:szCs w:val="14"/>
              </w:rPr>
            </w:pPr>
          </w:p>
        </w:tc>
        <w:tc>
          <w:tcPr>
            <w:tcW w:w="371" w:type="pct"/>
            <w:tcBorders>
              <w:top w:val="nil"/>
              <w:left w:val="nil"/>
              <w:bottom w:val="nil"/>
              <w:right w:val="nil"/>
            </w:tcBorders>
            <w:vAlign w:val="bottom"/>
          </w:tcPr>
          <w:p w14:paraId="0E44F55F" w14:textId="77777777" w:rsidR="008B6CC4" w:rsidRPr="003A2506" w:rsidRDefault="008B6CC4" w:rsidP="00061A35">
            <w:pPr>
              <w:jc w:val="right"/>
              <w:rPr>
                <w:rFonts w:ascii="Arial" w:eastAsia="Calibri" w:hAnsi="Arial" w:cs="Arial"/>
                <w:color w:val="000000" w:themeColor="text1"/>
                <w:sz w:val="14"/>
                <w:szCs w:val="14"/>
              </w:rPr>
            </w:pPr>
          </w:p>
        </w:tc>
        <w:tc>
          <w:tcPr>
            <w:tcW w:w="323" w:type="pct"/>
            <w:tcBorders>
              <w:top w:val="nil"/>
              <w:left w:val="nil"/>
              <w:bottom w:val="nil"/>
              <w:right w:val="nil"/>
            </w:tcBorders>
            <w:vAlign w:val="bottom"/>
          </w:tcPr>
          <w:p w14:paraId="0685F291" w14:textId="77777777" w:rsidR="008B6CC4" w:rsidRPr="003A2506" w:rsidRDefault="008B6CC4" w:rsidP="00061A35">
            <w:pPr>
              <w:jc w:val="right"/>
              <w:rPr>
                <w:rFonts w:ascii="Arial" w:eastAsia="Calibri" w:hAnsi="Arial" w:cs="Arial"/>
                <w:color w:val="000000" w:themeColor="text1"/>
                <w:sz w:val="14"/>
                <w:szCs w:val="14"/>
              </w:rPr>
            </w:pPr>
          </w:p>
        </w:tc>
      </w:tr>
      <w:tr w:rsidR="008B6CC4" w:rsidRPr="00F12E3D" w14:paraId="2CD4713E" w14:textId="77777777" w:rsidTr="00061A35">
        <w:trPr>
          <w:trHeight w:val="189"/>
        </w:trPr>
        <w:tc>
          <w:tcPr>
            <w:tcW w:w="538" w:type="pct"/>
            <w:vAlign w:val="bottom"/>
          </w:tcPr>
          <w:p w14:paraId="21733C39" w14:textId="77777777" w:rsidR="008B6CC4" w:rsidRPr="00F12E3D" w:rsidRDefault="008B6CC4" w:rsidP="00061A35">
            <w:pPr>
              <w:tabs>
                <w:tab w:val="right" w:pos="1202"/>
              </w:tabs>
              <w:outlineLvl w:val="0"/>
              <w:rPr>
                <w:rFonts w:ascii="Arial" w:eastAsia="Calibri" w:hAnsi="Arial" w:cs="Arial"/>
                <w:b/>
                <w:bCs/>
                <w:color w:val="000000" w:themeColor="text1"/>
                <w:sz w:val="14"/>
                <w:szCs w:val="14"/>
              </w:rPr>
            </w:pPr>
            <w:r w:rsidRPr="00F12E3D">
              <w:rPr>
                <w:rFonts w:ascii="Arial" w:eastAsia="Calibri" w:hAnsi="Arial" w:cs="Arial"/>
                <w:color w:val="000000" w:themeColor="text1"/>
                <w:sz w:val="14"/>
                <w:szCs w:val="14"/>
              </w:rPr>
              <w:t xml:space="preserve">Izdane garancije </w:t>
            </w:r>
          </w:p>
        </w:tc>
        <w:tc>
          <w:tcPr>
            <w:tcW w:w="301" w:type="pct"/>
            <w:tcBorders>
              <w:top w:val="nil"/>
              <w:left w:val="nil"/>
              <w:bottom w:val="nil"/>
              <w:right w:val="nil"/>
            </w:tcBorders>
            <w:shd w:val="clear" w:color="auto" w:fill="auto"/>
            <w:vAlign w:val="bottom"/>
          </w:tcPr>
          <w:p w14:paraId="5CDA2CCC" w14:textId="77777777" w:rsidR="008B6CC4" w:rsidRPr="003A2506" w:rsidRDefault="008B6CC4" w:rsidP="00061A35">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32.459</w:t>
            </w:r>
          </w:p>
        </w:tc>
        <w:tc>
          <w:tcPr>
            <w:tcW w:w="298" w:type="pct"/>
            <w:tcBorders>
              <w:top w:val="nil"/>
              <w:left w:val="nil"/>
              <w:bottom w:val="nil"/>
              <w:right w:val="nil"/>
            </w:tcBorders>
            <w:shd w:val="clear" w:color="auto" w:fill="auto"/>
            <w:vAlign w:val="bottom"/>
          </w:tcPr>
          <w:p w14:paraId="38F58300" w14:textId="77777777" w:rsidR="008B6CC4" w:rsidRPr="003A2506" w:rsidRDefault="008B6CC4" w:rsidP="00061A35">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8.616</w:t>
            </w:r>
          </w:p>
        </w:tc>
        <w:tc>
          <w:tcPr>
            <w:tcW w:w="295" w:type="pct"/>
            <w:tcBorders>
              <w:top w:val="nil"/>
              <w:left w:val="nil"/>
              <w:bottom w:val="nil"/>
              <w:right w:val="nil"/>
            </w:tcBorders>
            <w:shd w:val="clear" w:color="auto" w:fill="auto"/>
            <w:vAlign w:val="bottom"/>
          </w:tcPr>
          <w:p w14:paraId="3DAF5843" w14:textId="77777777" w:rsidR="008B6CC4" w:rsidRPr="003A2506" w:rsidRDefault="008B6CC4" w:rsidP="00061A35">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2.511</w:t>
            </w:r>
          </w:p>
        </w:tc>
        <w:tc>
          <w:tcPr>
            <w:tcW w:w="287" w:type="pct"/>
            <w:tcBorders>
              <w:top w:val="nil"/>
              <w:left w:val="nil"/>
              <w:bottom w:val="nil"/>
              <w:right w:val="nil"/>
            </w:tcBorders>
            <w:shd w:val="clear" w:color="auto" w:fill="auto"/>
            <w:vAlign w:val="bottom"/>
          </w:tcPr>
          <w:p w14:paraId="0AD9E433" w14:textId="77777777" w:rsidR="008B6CC4" w:rsidRPr="00F959D0" w:rsidRDefault="008B6CC4" w:rsidP="00061A35">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97" w:type="pct"/>
            <w:tcBorders>
              <w:top w:val="nil"/>
              <w:left w:val="nil"/>
              <w:bottom w:val="nil"/>
              <w:right w:val="nil"/>
            </w:tcBorders>
            <w:shd w:val="clear" w:color="auto" w:fill="auto"/>
            <w:vAlign w:val="bottom"/>
          </w:tcPr>
          <w:p w14:paraId="6414348B" w14:textId="77777777" w:rsidR="008B6CC4" w:rsidRPr="003A2506" w:rsidRDefault="008B6CC4" w:rsidP="00061A35">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12" w:type="pct"/>
            <w:tcBorders>
              <w:top w:val="nil"/>
              <w:left w:val="nil"/>
              <w:bottom w:val="nil"/>
              <w:right w:val="nil"/>
            </w:tcBorders>
            <w:shd w:val="clear" w:color="auto" w:fill="auto"/>
            <w:vAlign w:val="bottom"/>
          </w:tcPr>
          <w:p w14:paraId="7630A54A" w14:textId="77777777" w:rsidR="008B6CC4" w:rsidRPr="003A2506" w:rsidRDefault="008B6CC4" w:rsidP="00061A35">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3" w:type="pct"/>
            <w:tcBorders>
              <w:top w:val="nil"/>
              <w:left w:val="nil"/>
              <w:bottom w:val="nil"/>
              <w:right w:val="nil"/>
            </w:tcBorders>
            <w:shd w:val="clear" w:color="auto" w:fill="auto"/>
            <w:vAlign w:val="bottom"/>
          </w:tcPr>
          <w:p w14:paraId="4341FE32" w14:textId="77777777" w:rsidR="008B6CC4" w:rsidRPr="003A2506" w:rsidRDefault="008B6CC4" w:rsidP="00061A35">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43.586</w:t>
            </w:r>
          </w:p>
        </w:tc>
        <w:tc>
          <w:tcPr>
            <w:tcW w:w="328" w:type="pct"/>
            <w:tcBorders>
              <w:top w:val="nil"/>
              <w:left w:val="nil"/>
              <w:bottom w:val="nil"/>
              <w:right w:val="nil"/>
            </w:tcBorders>
            <w:vAlign w:val="bottom"/>
          </w:tcPr>
          <w:p w14:paraId="55C196CF" w14:textId="77777777" w:rsidR="008B6CC4" w:rsidRPr="003A2506" w:rsidRDefault="008B6CC4" w:rsidP="00061A35">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32.099</w:t>
            </w:r>
          </w:p>
        </w:tc>
        <w:tc>
          <w:tcPr>
            <w:tcW w:w="329" w:type="pct"/>
            <w:tcBorders>
              <w:top w:val="nil"/>
              <w:left w:val="nil"/>
              <w:bottom w:val="nil"/>
              <w:right w:val="nil"/>
            </w:tcBorders>
            <w:vAlign w:val="bottom"/>
          </w:tcPr>
          <w:p w14:paraId="7EC36A72" w14:textId="77777777" w:rsidR="008B6CC4" w:rsidRPr="003A2506" w:rsidRDefault="008B6CC4" w:rsidP="00061A35">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5.677</w:t>
            </w:r>
          </w:p>
        </w:tc>
        <w:tc>
          <w:tcPr>
            <w:tcW w:w="329" w:type="pct"/>
            <w:tcBorders>
              <w:top w:val="nil"/>
              <w:left w:val="nil"/>
              <w:bottom w:val="nil"/>
              <w:right w:val="nil"/>
            </w:tcBorders>
            <w:vAlign w:val="bottom"/>
          </w:tcPr>
          <w:p w14:paraId="29D7A328" w14:textId="77777777" w:rsidR="008B6CC4" w:rsidRPr="003A2506" w:rsidRDefault="008B6CC4" w:rsidP="00061A35">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1.945</w:t>
            </w:r>
          </w:p>
        </w:tc>
        <w:tc>
          <w:tcPr>
            <w:tcW w:w="329" w:type="pct"/>
            <w:tcBorders>
              <w:top w:val="nil"/>
              <w:left w:val="nil"/>
              <w:bottom w:val="nil"/>
              <w:right w:val="nil"/>
            </w:tcBorders>
            <w:vAlign w:val="bottom"/>
          </w:tcPr>
          <w:p w14:paraId="509B063A" w14:textId="77777777" w:rsidR="008B6CC4" w:rsidRPr="00F959D0" w:rsidRDefault="008B6CC4" w:rsidP="00061A35">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0" w:type="pct"/>
            <w:tcBorders>
              <w:top w:val="nil"/>
              <w:left w:val="nil"/>
              <w:bottom w:val="nil"/>
              <w:right w:val="nil"/>
            </w:tcBorders>
            <w:vAlign w:val="bottom"/>
          </w:tcPr>
          <w:p w14:paraId="664AD0F6" w14:textId="77777777" w:rsidR="008B6CC4" w:rsidRPr="009C51A3" w:rsidRDefault="008B6CC4" w:rsidP="00061A35">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71" w:type="pct"/>
            <w:tcBorders>
              <w:top w:val="nil"/>
              <w:left w:val="nil"/>
              <w:bottom w:val="nil"/>
              <w:right w:val="nil"/>
            </w:tcBorders>
            <w:vAlign w:val="bottom"/>
          </w:tcPr>
          <w:p w14:paraId="5F3F4ACD" w14:textId="77777777" w:rsidR="008B6CC4" w:rsidRPr="003A2506" w:rsidRDefault="008B6CC4" w:rsidP="00061A35">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3" w:type="pct"/>
            <w:tcBorders>
              <w:top w:val="nil"/>
              <w:left w:val="nil"/>
              <w:bottom w:val="nil"/>
              <w:right w:val="nil"/>
            </w:tcBorders>
            <w:vAlign w:val="bottom"/>
          </w:tcPr>
          <w:p w14:paraId="1A2587B9" w14:textId="77777777" w:rsidR="008B6CC4" w:rsidRPr="003A2506" w:rsidRDefault="008B6CC4" w:rsidP="00061A35">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39.721</w:t>
            </w:r>
          </w:p>
        </w:tc>
      </w:tr>
      <w:tr w:rsidR="008B6CC4" w:rsidRPr="00F12E3D" w14:paraId="675C5EB3" w14:textId="77777777" w:rsidTr="00061A35">
        <w:trPr>
          <w:trHeight w:val="189"/>
        </w:trPr>
        <w:tc>
          <w:tcPr>
            <w:tcW w:w="538" w:type="pct"/>
            <w:vAlign w:val="bottom"/>
          </w:tcPr>
          <w:p w14:paraId="6D09115E" w14:textId="77777777" w:rsidR="008B6CC4" w:rsidRPr="00F12E3D" w:rsidRDefault="008B6CC4" w:rsidP="00061A35">
            <w:pPr>
              <w:tabs>
                <w:tab w:val="right" w:pos="1202"/>
              </w:tabs>
              <w:outlineLvl w:val="0"/>
              <w:rPr>
                <w:rFonts w:ascii="Arial" w:eastAsia="Calibri" w:hAnsi="Arial" w:cs="Arial"/>
                <w:color w:val="000000" w:themeColor="text1"/>
                <w:sz w:val="14"/>
                <w:szCs w:val="14"/>
              </w:rPr>
            </w:pPr>
            <w:r w:rsidRPr="00F12E3D">
              <w:rPr>
                <w:rFonts w:ascii="Arial" w:eastAsia="Calibri" w:hAnsi="Arial" w:cs="Arial"/>
                <w:color w:val="000000" w:themeColor="text1"/>
                <w:sz w:val="14"/>
                <w:szCs w:val="14"/>
              </w:rPr>
              <w:t>Izdane garancije u devizama</w:t>
            </w:r>
          </w:p>
        </w:tc>
        <w:tc>
          <w:tcPr>
            <w:tcW w:w="301" w:type="pct"/>
            <w:tcBorders>
              <w:top w:val="nil"/>
              <w:left w:val="nil"/>
              <w:bottom w:val="nil"/>
              <w:right w:val="nil"/>
            </w:tcBorders>
            <w:shd w:val="clear" w:color="auto" w:fill="auto"/>
            <w:vAlign w:val="bottom"/>
          </w:tcPr>
          <w:p w14:paraId="0FEC25AF" w14:textId="77777777" w:rsidR="008B6CC4" w:rsidRPr="003A2506" w:rsidRDefault="008B6CC4" w:rsidP="00061A35">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52</w:t>
            </w:r>
          </w:p>
        </w:tc>
        <w:tc>
          <w:tcPr>
            <w:tcW w:w="298" w:type="pct"/>
            <w:tcBorders>
              <w:top w:val="nil"/>
              <w:left w:val="nil"/>
              <w:bottom w:val="nil"/>
              <w:right w:val="nil"/>
            </w:tcBorders>
            <w:shd w:val="clear" w:color="auto" w:fill="auto"/>
            <w:vAlign w:val="bottom"/>
          </w:tcPr>
          <w:p w14:paraId="716E58A7" w14:textId="77777777" w:rsidR="008B6CC4" w:rsidRPr="003A2506" w:rsidRDefault="008B6CC4" w:rsidP="00061A35">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3.385</w:t>
            </w:r>
          </w:p>
        </w:tc>
        <w:tc>
          <w:tcPr>
            <w:tcW w:w="295" w:type="pct"/>
            <w:tcBorders>
              <w:top w:val="nil"/>
              <w:left w:val="nil"/>
              <w:bottom w:val="nil"/>
              <w:right w:val="nil"/>
            </w:tcBorders>
            <w:shd w:val="clear" w:color="auto" w:fill="auto"/>
            <w:vAlign w:val="bottom"/>
          </w:tcPr>
          <w:p w14:paraId="314BF3B5" w14:textId="77777777" w:rsidR="008B6CC4" w:rsidRPr="003A2506" w:rsidRDefault="008B6CC4" w:rsidP="00061A35">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87" w:type="pct"/>
            <w:tcBorders>
              <w:top w:val="nil"/>
              <w:left w:val="nil"/>
              <w:bottom w:val="nil"/>
              <w:right w:val="nil"/>
            </w:tcBorders>
            <w:shd w:val="clear" w:color="auto" w:fill="auto"/>
            <w:vAlign w:val="bottom"/>
          </w:tcPr>
          <w:p w14:paraId="49D1361A" w14:textId="77777777" w:rsidR="008B6CC4" w:rsidRPr="00F959D0" w:rsidRDefault="008B6CC4" w:rsidP="00061A35">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97" w:type="pct"/>
            <w:tcBorders>
              <w:top w:val="nil"/>
              <w:left w:val="nil"/>
              <w:bottom w:val="nil"/>
              <w:right w:val="nil"/>
            </w:tcBorders>
            <w:shd w:val="clear" w:color="auto" w:fill="auto"/>
            <w:vAlign w:val="bottom"/>
          </w:tcPr>
          <w:p w14:paraId="7A156AFE" w14:textId="77777777" w:rsidR="008B6CC4" w:rsidRPr="003A2506" w:rsidRDefault="008B6CC4" w:rsidP="00061A35">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12" w:type="pct"/>
            <w:tcBorders>
              <w:top w:val="nil"/>
              <w:left w:val="nil"/>
              <w:bottom w:val="nil"/>
              <w:right w:val="nil"/>
            </w:tcBorders>
            <w:shd w:val="clear" w:color="auto" w:fill="auto"/>
            <w:vAlign w:val="bottom"/>
          </w:tcPr>
          <w:p w14:paraId="22B69387" w14:textId="77777777" w:rsidR="008B6CC4" w:rsidRPr="003A2506" w:rsidRDefault="008B6CC4" w:rsidP="00061A35">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3" w:type="pct"/>
            <w:tcBorders>
              <w:top w:val="nil"/>
              <w:left w:val="nil"/>
              <w:bottom w:val="nil"/>
              <w:right w:val="nil"/>
            </w:tcBorders>
            <w:shd w:val="clear" w:color="auto" w:fill="auto"/>
            <w:vAlign w:val="bottom"/>
          </w:tcPr>
          <w:p w14:paraId="51466241" w14:textId="77777777" w:rsidR="008B6CC4" w:rsidRPr="003A2506" w:rsidRDefault="008B6CC4" w:rsidP="00061A35">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3.437</w:t>
            </w:r>
          </w:p>
        </w:tc>
        <w:tc>
          <w:tcPr>
            <w:tcW w:w="328" w:type="pct"/>
            <w:tcBorders>
              <w:top w:val="nil"/>
              <w:left w:val="nil"/>
              <w:bottom w:val="nil"/>
              <w:right w:val="nil"/>
            </w:tcBorders>
            <w:vAlign w:val="bottom"/>
          </w:tcPr>
          <w:p w14:paraId="14344B01" w14:textId="77777777" w:rsidR="008B6CC4" w:rsidRPr="003A2506" w:rsidRDefault="008B6CC4" w:rsidP="00061A35">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52</w:t>
            </w:r>
          </w:p>
        </w:tc>
        <w:tc>
          <w:tcPr>
            <w:tcW w:w="329" w:type="pct"/>
            <w:tcBorders>
              <w:top w:val="nil"/>
              <w:left w:val="nil"/>
              <w:bottom w:val="nil"/>
              <w:right w:val="nil"/>
            </w:tcBorders>
            <w:vAlign w:val="bottom"/>
          </w:tcPr>
          <w:p w14:paraId="352E34B7" w14:textId="77777777" w:rsidR="008B6CC4" w:rsidRPr="003A2506" w:rsidRDefault="008B6CC4" w:rsidP="00061A35">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3.385</w:t>
            </w:r>
          </w:p>
        </w:tc>
        <w:tc>
          <w:tcPr>
            <w:tcW w:w="329" w:type="pct"/>
            <w:tcBorders>
              <w:top w:val="nil"/>
              <w:left w:val="nil"/>
              <w:bottom w:val="nil"/>
              <w:right w:val="nil"/>
            </w:tcBorders>
            <w:vAlign w:val="bottom"/>
          </w:tcPr>
          <w:p w14:paraId="48A911AB" w14:textId="77777777" w:rsidR="008B6CC4" w:rsidRPr="003A2506" w:rsidRDefault="008B6CC4" w:rsidP="00061A35">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9" w:type="pct"/>
            <w:tcBorders>
              <w:top w:val="nil"/>
              <w:left w:val="nil"/>
              <w:bottom w:val="nil"/>
              <w:right w:val="nil"/>
            </w:tcBorders>
            <w:vAlign w:val="bottom"/>
          </w:tcPr>
          <w:p w14:paraId="1917A803" w14:textId="77777777" w:rsidR="008B6CC4" w:rsidRPr="00F959D0" w:rsidRDefault="008B6CC4" w:rsidP="00061A35">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0" w:type="pct"/>
            <w:tcBorders>
              <w:top w:val="nil"/>
              <w:left w:val="nil"/>
              <w:bottom w:val="nil"/>
              <w:right w:val="nil"/>
            </w:tcBorders>
            <w:vAlign w:val="bottom"/>
          </w:tcPr>
          <w:p w14:paraId="3B953B3B" w14:textId="77777777" w:rsidR="008B6CC4" w:rsidRPr="009C51A3" w:rsidRDefault="008B6CC4" w:rsidP="00061A35">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71" w:type="pct"/>
            <w:tcBorders>
              <w:top w:val="nil"/>
              <w:left w:val="nil"/>
              <w:bottom w:val="nil"/>
              <w:right w:val="nil"/>
            </w:tcBorders>
            <w:vAlign w:val="bottom"/>
          </w:tcPr>
          <w:p w14:paraId="670E0C7D" w14:textId="77777777" w:rsidR="008B6CC4" w:rsidRPr="003A2506" w:rsidRDefault="008B6CC4" w:rsidP="00061A35">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3" w:type="pct"/>
            <w:tcBorders>
              <w:top w:val="nil"/>
              <w:left w:val="nil"/>
              <w:bottom w:val="nil"/>
              <w:right w:val="nil"/>
            </w:tcBorders>
            <w:vAlign w:val="bottom"/>
          </w:tcPr>
          <w:p w14:paraId="2102113F" w14:textId="77777777" w:rsidR="008B6CC4" w:rsidRPr="003A2506" w:rsidRDefault="008B6CC4" w:rsidP="00061A35">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3.437</w:t>
            </w:r>
          </w:p>
        </w:tc>
      </w:tr>
      <w:tr w:rsidR="008B6CC4" w:rsidRPr="00F12E3D" w14:paraId="03FD2DFD" w14:textId="77777777" w:rsidTr="00061A35">
        <w:trPr>
          <w:trHeight w:val="189"/>
        </w:trPr>
        <w:tc>
          <w:tcPr>
            <w:tcW w:w="538" w:type="pct"/>
            <w:vAlign w:val="bottom"/>
          </w:tcPr>
          <w:p w14:paraId="5DA9D76F" w14:textId="77777777" w:rsidR="008B6CC4" w:rsidRPr="00F12E3D" w:rsidRDefault="008B6CC4" w:rsidP="00061A35">
            <w:pPr>
              <w:tabs>
                <w:tab w:val="right" w:pos="1202"/>
              </w:tabs>
              <w:outlineLvl w:val="0"/>
              <w:rPr>
                <w:rFonts w:ascii="Arial" w:eastAsia="Calibri" w:hAnsi="Arial" w:cs="Arial"/>
                <w:color w:val="000000" w:themeColor="text1"/>
                <w:sz w:val="14"/>
                <w:szCs w:val="14"/>
              </w:rPr>
            </w:pPr>
            <w:r w:rsidRPr="00F12E3D">
              <w:rPr>
                <w:rFonts w:ascii="Arial" w:eastAsia="Calibri" w:hAnsi="Arial" w:cs="Arial"/>
                <w:color w:val="000000" w:themeColor="text1"/>
                <w:sz w:val="14"/>
                <w:szCs w:val="14"/>
              </w:rPr>
              <w:t>Preuzete obveze po kreditima</w:t>
            </w:r>
          </w:p>
        </w:tc>
        <w:tc>
          <w:tcPr>
            <w:tcW w:w="301" w:type="pct"/>
            <w:tcBorders>
              <w:top w:val="nil"/>
              <w:left w:val="nil"/>
              <w:bottom w:val="single" w:sz="6" w:space="0" w:color="auto"/>
              <w:right w:val="nil"/>
            </w:tcBorders>
            <w:shd w:val="clear" w:color="auto" w:fill="auto"/>
            <w:vAlign w:val="bottom"/>
          </w:tcPr>
          <w:p w14:paraId="57BAB86E" w14:textId="77777777" w:rsidR="008B6CC4" w:rsidRPr="003A2506" w:rsidRDefault="008B6CC4" w:rsidP="00061A35">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456.088</w:t>
            </w:r>
          </w:p>
        </w:tc>
        <w:tc>
          <w:tcPr>
            <w:tcW w:w="298" w:type="pct"/>
            <w:tcBorders>
              <w:top w:val="nil"/>
              <w:left w:val="nil"/>
              <w:bottom w:val="single" w:sz="6" w:space="0" w:color="auto"/>
              <w:right w:val="nil"/>
            </w:tcBorders>
            <w:shd w:val="clear" w:color="auto" w:fill="auto"/>
            <w:vAlign w:val="bottom"/>
          </w:tcPr>
          <w:p w14:paraId="31423E83" w14:textId="77777777" w:rsidR="008B6CC4" w:rsidRPr="003A2506" w:rsidRDefault="008B6CC4" w:rsidP="00061A35">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5.148</w:t>
            </w:r>
          </w:p>
        </w:tc>
        <w:tc>
          <w:tcPr>
            <w:tcW w:w="295" w:type="pct"/>
            <w:tcBorders>
              <w:top w:val="nil"/>
              <w:left w:val="nil"/>
              <w:bottom w:val="single" w:sz="6" w:space="0" w:color="auto"/>
              <w:right w:val="nil"/>
            </w:tcBorders>
            <w:shd w:val="clear" w:color="auto" w:fill="auto"/>
            <w:vAlign w:val="bottom"/>
          </w:tcPr>
          <w:p w14:paraId="5564E64E" w14:textId="77777777" w:rsidR="008B6CC4" w:rsidRPr="003A2506" w:rsidRDefault="008B6CC4" w:rsidP="00061A35">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14</w:t>
            </w:r>
          </w:p>
        </w:tc>
        <w:tc>
          <w:tcPr>
            <w:tcW w:w="287" w:type="pct"/>
            <w:tcBorders>
              <w:top w:val="nil"/>
              <w:left w:val="nil"/>
              <w:bottom w:val="single" w:sz="6" w:space="0" w:color="auto"/>
              <w:right w:val="nil"/>
            </w:tcBorders>
            <w:shd w:val="clear" w:color="auto" w:fill="auto"/>
            <w:vAlign w:val="bottom"/>
          </w:tcPr>
          <w:p w14:paraId="1AE41974" w14:textId="77777777" w:rsidR="008B6CC4" w:rsidRPr="00F959D0" w:rsidRDefault="008B6CC4" w:rsidP="00061A35">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97" w:type="pct"/>
            <w:tcBorders>
              <w:top w:val="nil"/>
              <w:left w:val="nil"/>
              <w:bottom w:val="single" w:sz="6" w:space="0" w:color="auto"/>
              <w:right w:val="nil"/>
            </w:tcBorders>
            <w:shd w:val="clear" w:color="auto" w:fill="auto"/>
            <w:vAlign w:val="bottom"/>
          </w:tcPr>
          <w:p w14:paraId="3BB125D2" w14:textId="77777777" w:rsidR="008B6CC4" w:rsidRPr="003A2506" w:rsidRDefault="008B6CC4" w:rsidP="00061A35">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82</w:t>
            </w:r>
          </w:p>
        </w:tc>
        <w:tc>
          <w:tcPr>
            <w:tcW w:w="312" w:type="pct"/>
            <w:tcBorders>
              <w:top w:val="nil"/>
              <w:left w:val="nil"/>
              <w:bottom w:val="single" w:sz="6" w:space="0" w:color="auto"/>
              <w:right w:val="nil"/>
            </w:tcBorders>
            <w:shd w:val="clear" w:color="auto" w:fill="auto"/>
            <w:vAlign w:val="bottom"/>
          </w:tcPr>
          <w:p w14:paraId="1604C95A" w14:textId="77777777" w:rsidR="008B6CC4" w:rsidRPr="003A2506" w:rsidRDefault="008B6CC4" w:rsidP="00061A35">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3" w:type="pct"/>
            <w:tcBorders>
              <w:top w:val="nil"/>
              <w:left w:val="nil"/>
              <w:bottom w:val="single" w:sz="6" w:space="0" w:color="auto"/>
              <w:right w:val="nil"/>
            </w:tcBorders>
            <w:shd w:val="clear" w:color="auto" w:fill="auto"/>
            <w:vAlign w:val="bottom"/>
          </w:tcPr>
          <w:p w14:paraId="50AD2FED" w14:textId="77777777" w:rsidR="008B6CC4" w:rsidRPr="003A2506" w:rsidRDefault="008B6CC4" w:rsidP="00061A35">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461.332</w:t>
            </w:r>
          </w:p>
        </w:tc>
        <w:tc>
          <w:tcPr>
            <w:tcW w:w="328" w:type="pct"/>
            <w:tcBorders>
              <w:top w:val="nil"/>
              <w:left w:val="nil"/>
              <w:bottom w:val="single" w:sz="6" w:space="0" w:color="auto"/>
              <w:right w:val="nil"/>
            </w:tcBorders>
            <w:vAlign w:val="bottom"/>
          </w:tcPr>
          <w:p w14:paraId="1F1473B6" w14:textId="77777777" w:rsidR="008B6CC4" w:rsidRPr="003A2506" w:rsidRDefault="008B6CC4" w:rsidP="00061A35">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150.138</w:t>
            </w:r>
          </w:p>
        </w:tc>
        <w:tc>
          <w:tcPr>
            <w:tcW w:w="329" w:type="pct"/>
            <w:tcBorders>
              <w:top w:val="nil"/>
              <w:left w:val="nil"/>
              <w:bottom w:val="single" w:sz="6" w:space="0" w:color="auto"/>
              <w:right w:val="nil"/>
            </w:tcBorders>
            <w:vAlign w:val="bottom"/>
          </w:tcPr>
          <w:p w14:paraId="6EA7D412" w14:textId="77777777" w:rsidR="008B6CC4" w:rsidRPr="003A2506" w:rsidRDefault="008B6CC4" w:rsidP="00061A35">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1.602</w:t>
            </w:r>
          </w:p>
        </w:tc>
        <w:tc>
          <w:tcPr>
            <w:tcW w:w="329" w:type="pct"/>
            <w:tcBorders>
              <w:top w:val="nil"/>
              <w:left w:val="nil"/>
              <w:bottom w:val="single" w:sz="6" w:space="0" w:color="auto"/>
              <w:right w:val="nil"/>
            </w:tcBorders>
            <w:vAlign w:val="bottom"/>
          </w:tcPr>
          <w:p w14:paraId="377FB744" w14:textId="77777777" w:rsidR="008B6CC4" w:rsidRPr="003A2506" w:rsidRDefault="008B6CC4" w:rsidP="00061A35">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13</w:t>
            </w:r>
          </w:p>
        </w:tc>
        <w:tc>
          <w:tcPr>
            <w:tcW w:w="329" w:type="pct"/>
            <w:tcBorders>
              <w:top w:val="nil"/>
              <w:left w:val="nil"/>
              <w:bottom w:val="single" w:sz="6" w:space="0" w:color="auto"/>
              <w:right w:val="nil"/>
            </w:tcBorders>
            <w:vAlign w:val="bottom"/>
          </w:tcPr>
          <w:p w14:paraId="39A687F1" w14:textId="77777777" w:rsidR="008B6CC4" w:rsidRPr="00F959D0" w:rsidRDefault="008B6CC4" w:rsidP="00061A35">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0" w:type="pct"/>
            <w:tcBorders>
              <w:top w:val="nil"/>
              <w:left w:val="nil"/>
              <w:bottom w:val="single" w:sz="6" w:space="0" w:color="auto"/>
              <w:right w:val="nil"/>
            </w:tcBorders>
            <w:vAlign w:val="bottom"/>
          </w:tcPr>
          <w:p w14:paraId="44B9F308" w14:textId="77777777" w:rsidR="008B6CC4" w:rsidRPr="009C51A3" w:rsidRDefault="008B6CC4" w:rsidP="00061A35">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71" w:type="pct"/>
            <w:tcBorders>
              <w:top w:val="nil"/>
              <w:left w:val="nil"/>
              <w:bottom w:val="single" w:sz="6" w:space="0" w:color="auto"/>
              <w:right w:val="nil"/>
            </w:tcBorders>
            <w:vAlign w:val="bottom"/>
          </w:tcPr>
          <w:p w14:paraId="2CAD4283" w14:textId="77777777" w:rsidR="008B6CC4" w:rsidRPr="003A2506" w:rsidRDefault="008B6CC4" w:rsidP="00061A35">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3" w:type="pct"/>
            <w:tcBorders>
              <w:top w:val="nil"/>
              <w:left w:val="nil"/>
              <w:bottom w:val="single" w:sz="6" w:space="0" w:color="auto"/>
              <w:right w:val="nil"/>
            </w:tcBorders>
            <w:vAlign w:val="bottom"/>
          </w:tcPr>
          <w:p w14:paraId="0DDD75CF" w14:textId="77777777" w:rsidR="008B6CC4" w:rsidRPr="003A2506" w:rsidRDefault="008B6CC4" w:rsidP="00061A35">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151.753</w:t>
            </w:r>
          </w:p>
        </w:tc>
      </w:tr>
      <w:tr w:rsidR="008B6CC4" w:rsidRPr="00F12E3D" w14:paraId="595A6F97" w14:textId="77777777" w:rsidTr="00061A35">
        <w:trPr>
          <w:trHeight w:val="170"/>
        </w:trPr>
        <w:tc>
          <w:tcPr>
            <w:tcW w:w="538" w:type="pct"/>
            <w:vAlign w:val="bottom"/>
          </w:tcPr>
          <w:p w14:paraId="22DA07B2" w14:textId="77777777" w:rsidR="008B6CC4" w:rsidRPr="00F12E3D" w:rsidRDefault="008B6CC4" w:rsidP="00061A35">
            <w:pPr>
              <w:tabs>
                <w:tab w:val="right" w:pos="1202"/>
              </w:tabs>
              <w:outlineLvl w:val="0"/>
              <w:rPr>
                <w:rFonts w:ascii="Arial" w:eastAsia="Calibri" w:hAnsi="Arial" w:cs="Arial"/>
                <w:b/>
                <w:bCs/>
                <w:color w:val="000000" w:themeColor="text1"/>
                <w:sz w:val="14"/>
                <w:szCs w:val="14"/>
              </w:rPr>
            </w:pPr>
            <w:r w:rsidRPr="00F12E3D">
              <w:rPr>
                <w:rFonts w:ascii="Arial" w:eastAsia="Calibri" w:hAnsi="Arial" w:cs="Arial"/>
                <w:b/>
                <w:bCs/>
                <w:color w:val="000000" w:themeColor="text1"/>
                <w:sz w:val="14"/>
                <w:szCs w:val="14"/>
              </w:rPr>
              <w:t>Ukupno</w:t>
            </w:r>
          </w:p>
        </w:tc>
        <w:tc>
          <w:tcPr>
            <w:tcW w:w="301" w:type="pct"/>
            <w:tcBorders>
              <w:top w:val="single" w:sz="6" w:space="0" w:color="auto"/>
              <w:left w:val="nil"/>
              <w:bottom w:val="single" w:sz="12" w:space="0" w:color="auto"/>
              <w:right w:val="nil"/>
            </w:tcBorders>
            <w:shd w:val="clear" w:color="auto" w:fill="auto"/>
            <w:vAlign w:val="bottom"/>
          </w:tcPr>
          <w:p w14:paraId="216607C4" w14:textId="77777777" w:rsidR="008B6CC4" w:rsidRPr="003A2506" w:rsidRDefault="008B6CC4" w:rsidP="00061A35">
            <w:pPr>
              <w:jc w:val="right"/>
              <w:rPr>
                <w:rFonts w:ascii="Arial" w:eastAsia="Calibri" w:hAnsi="Arial" w:cs="Arial"/>
                <w:b/>
                <w:bCs/>
                <w:sz w:val="14"/>
                <w:szCs w:val="14"/>
              </w:rPr>
            </w:pPr>
            <w:r>
              <w:rPr>
                <w:rFonts w:ascii="Arial" w:eastAsia="Calibri" w:hAnsi="Arial" w:cs="Arial"/>
                <w:b/>
                <w:bCs/>
                <w:sz w:val="14"/>
                <w:szCs w:val="14"/>
              </w:rPr>
              <w:t>488.599</w:t>
            </w:r>
          </w:p>
        </w:tc>
        <w:tc>
          <w:tcPr>
            <w:tcW w:w="298" w:type="pct"/>
            <w:tcBorders>
              <w:top w:val="single" w:sz="6" w:space="0" w:color="auto"/>
              <w:left w:val="nil"/>
              <w:bottom w:val="single" w:sz="12" w:space="0" w:color="auto"/>
              <w:right w:val="nil"/>
            </w:tcBorders>
            <w:shd w:val="clear" w:color="auto" w:fill="auto"/>
            <w:vAlign w:val="bottom"/>
          </w:tcPr>
          <w:p w14:paraId="6244A459" w14:textId="77777777" w:rsidR="008B6CC4" w:rsidRPr="003A2506" w:rsidRDefault="008B6CC4" w:rsidP="00061A35">
            <w:pPr>
              <w:jc w:val="right"/>
              <w:rPr>
                <w:rFonts w:ascii="Arial" w:eastAsia="Calibri" w:hAnsi="Arial" w:cs="Arial"/>
                <w:b/>
                <w:bCs/>
                <w:sz w:val="14"/>
                <w:szCs w:val="14"/>
              </w:rPr>
            </w:pPr>
            <w:r>
              <w:rPr>
                <w:rFonts w:ascii="Arial" w:eastAsia="Calibri" w:hAnsi="Arial" w:cs="Arial"/>
                <w:b/>
                <w:bCs/>
                <w:sz w:val="14"/>
                <w:szCs w:val="14"/>
              </w:rPr>
              <w:t>17.149</w:t>
            </w:r>
          </w:p>
        </w:tc>
        <w:tc>
          <w:tcPr>
            <w:tcW w:w="295" w:type="pct"/>
            <w:tcBorders>
              <w:top w:val="single" w:sz="6" w:space="0" w:color="auto"/>
              <w:left w:val="nil"/>
              <w:bottom w:val="single" w:sz="12" w:space="0" w:color="auto"/>
              <w:right w:val="nil"/>
            </w:tcBorders>
            <w:shd w:val="clear" w:color="auto" w:fill="auto"/>
            <w:vAlign w:val="bottom"/>
          </w:tcPr>
          <w:p w14:paraId="7E61C25F" w14:textId="77777777" w:rsidR="008B6CC4" w:rsidRPr="003A2506" w:rsidRDefault="008B6CC4" w:rsidP="00061A35">
            <w:pPr>
              <w:jc w:val="right"/>
              <w:rPr>
                <w:rFonts w:ascii="Arial" w:eastAsia="Calibri" w:hAnsi="Arial" w:cs="Arial"/>
                <w:b/>
                <w:bCs/>
                <w:sz w:val="14"/>
                <w:szCs w:val="14"/>
              </w:rPr>
            </w:pPr>
            <w:r>
              <w:rPr>
                <w:rFonts w:ascii="Arial" w:eastAsia="Calibri" w:hAnsi="Arial" w:cs="Arial"/>
                <w:b/>
                <w:bCs/>
                <w:sz w:val="14"/>
                <w:szCs w:val="14"/>
              </w:rPr>
              <w:t>2.525</w:t>
            </w:r>
          </w:p>
        </w:tc>
        <w:tc>
          <w:tcPr>
            <w:tcW w:w="287" w:type="pct"/>
            <w:tcBorders>
              <w:top w:val="single" w:sz="6" w:space="0" w:color="auto"/>
              <w:left w:val="nil"/>
              <w:bottom w:val="single" w:sz="12" w:space="0" w:color="auto"/>
              <w:right w:val="nil"/>
            </w:tcBorders>
            <w:shd w:val="clear" w:color="auto" w:fill="auto"/>
            <w:vAlign w:val="bottom"/>
          </w:tcPr>
          <w:p w14:paraId="076AA0C4" w14:textId="77777777" w:rsidR="008B6CC4" w:rsidRPr="00F959D0" w:rsidRDefault="008B6CC4" w:rsidP="00061A35">
            <w:pPr>
              <w:jc w:val="right"/>
              <w:rPr>
                <w:rFonts w:ascii="Arial" w:eastAsia="Calibri" w:hAnsi="Arial" w:cs="Arial"/>
                <w:b/>
                <w:bCs/>
                <w:sz w:val="14"/>
                <w:szCs w:val="14"/>
              </w:rPr>
            </w:pPr>
            <w:r>
              <w:rPr>
                <w:rFonts w:ascii="Arial" w:eastAsia="Calibri" w:hAnsi="Arial" w:cs="Arial"/>
                <w:b/>
                <w:bCs/>
                <w:sz w:val="14"/>
                <w:szCs w:val="14"/>
              </w:rPr>
              <w:t>-</w:t>
            </w:r>
          </w:p>
        </w:tc>
        <w:tc>
          <w:tcPr>
            <w:tcW w:w="297" w:type="pct"/>
            <w:tcBorders>
              <w:top w:val="nil"/>
              <w:left w:val="nil"/>
              <w:bottom w:val="single" w:sz="12" w:space="0" w:color="auto"/>
              <w:right w:val="nil"/>
            </w:tcBorders>
            <w:shd w:val="clear" w:color="auto" w:fill="auto"/>
            <w:vAlign w:val="bottom"/>
          </w:tcPr>
          <w:p w14:paraId="20A62232" w14:textId="77777777" w:rsidR="008B6CC4" w:rsidRPr="003A2506" w:rsidRDefault="008B6CC4" w:rsidP="00061A35">
            <w:pPr>
              <w:jc w:val="right"/>
              <w:rPr>
                <w:rFonts w:ascii="Arial" w:eastAsia="Calibri" w:hAnsi="Arial" w:cs="Arial"/>
                <w:b/>
                <w:bCs/>
                <w:sz w:val="14"/>
                <w:szCs w:val="14"/>
              </w:rPr>
            </w:pPr>
            <w:r>
              <w:rPr>
                <w:rFonts w:ascii="Arial" w:eastAsia="Calibri" w:hAnsi="Arial" w:cs="Arial"/>
                <w:b/>
                <w:bCs/>
                <w:sz w:val="14"/>
                <w:szCs w:val="14"/>
              </w:rPr>
              <w:t>82</w:t>
            </w:r>
          </w:p>
        </w:tc>
        <w:tc>
          <w:tcPr>
            <w:tcW w:w="312" w:type="pct"/>
            <w:tcBorders>
              <w:top w:val="single" w:sz="6" w:space="0" w:color="auto"/>
              <w:left w:val="nil"/>
              <w:bottom w:val="single" w:sz="12" w:space="0" w:color="auto"/>
              <w:right w:val="nil"/>
            </w:tcBorders>
            <w:shd w:val="clear" w:color="auto" w:fill="auto"/>
            <w:vAlign w:val="bottom"/>
          </w:tcPr>
          <w:p w14:paraId="207AAB56" w14:textId="77777777" w:rsidR="008B6CC4" w:rsidRPr="003A2506" w:rsidRDefault="008B6CC4" w:rsidP="00061A35">
            <w:pPr>
              <w:jc w:val="right"/>
              <w:rPr>
                <w:rFonts w:ascii="Arial" w:eastAsia="Calibri" w:hAnsi="Arial" w:cs="Arial"/>
                <w:b/>
                <w:bCs/>
                <w:sz w:val="14"/>
                <w:szCs w:val="14"/>
              </w:rPr>
            </w:pPr>
            <w:r>
              <w:rPr>
                <w:rFonts w:ascii="Arial" w:eastAsia="Calibri" w:hAnsi="Arial" w:cs="Arial"/>
                <w:b/>
                <w:bCs/>
                <w:sz w:val="14"/>
                <w:szCs w:val="14"/>
              </w:rPr>
              <w:t>-</w:t>
            </w:r>
          </w:p>
        </w:tc>
        <w:tc>
          <w:tcPr>
            <w:tcW w:w="333" w:type="pct"/>
            <w:tcBorders>
              <w:top w:val="single" w:sz="6" w:space="0" w:color="auto"/>
              <w:left w:val="nil"/>
              <w:bottom w:val="single" w:sz="12" w:space="0" w:color="auto"/>
              <w:right w:val="nil"/>
            </w:tcBorders>
            <w:shd w:val="clear" w:color="auto" w:fill="auto"/>
            <w:vAlign w:val="bottom"/>
          </w:tcPr>
          <w:p w14:paraId="1D0BCD8C" w14:textId="77777777" w:rsidR="008B6CC4" w:rsidRPr="003A2506" w:rsidRDefault="008B6CC4" w:rsidP="00061A35">
            <w:pPr>
              <w:jc w:val="right"/>
              <w:rPr>
                <w:rFonts w:ascii="Arial" w:eastAsia="Calibri" w:hAnsi="Arial" w:cs="Arial"/>
                <w:b/>
                <w:bCs/>
                <w:sz w:val="14"/>
                <w:szCs w:val="14"/>
              </w:rPr>
            </w:pPr>
            <w:r>
              <w:rPr>
                <w:rFonts w:ascii="Arial" w:eastAsia="Calibri" w:hAnsi="Arial" w:cs="Arial"/>
                <w:b/>
                <w:bCs/>
                <w:sz w:val="14"/>
                <w:szCs w:val="14"/>
              </w:rPr>
              <w:t>508.355</w:t>
            </w:r>
          </w:p>
        </w:tc>
        <w:tc>
          <w:tcPr>
            <w:tcW w:w="328" w:type="pct"/>
            <w:tcBorders>
              <w:top w:val="single" w:sz="6" w:space="0" w:color="auto"/>
              <w:left w:val="nil"/>
              <w:bottom w:val="single" w:sz="12" w:space="0" w:color="auto"/>
              <w:right w:val="nil"/>
            </w:tcBorders>
            <w:vAlign w:val="bottom"/>
          </w:tcPr>
          <w:p w14:paraId="68D93C63" w14:textId="77777777" w:rsidR="008B6CC4" w:rsidRPr="00F959D0" w:rsidRDefault="008B6CC4" w:rsidP="00061A35">
            <w:pPr>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182.289</w:t>
            </w:r>
          </w:p>
        </w:tc>
        <w:tc>
          <w:tcPr>
            <w:tcW w:w="329" w:type="pct"/>
            <w:tcBorders>
              <w:top w:val="single" w:sz="6" w:space="0" w:color="auto"/>
              <w:left w:val="nil"/>
              <w:bottom w:val="single" w:sz="12" w:space="0" w:color="auto"/>
              <w:right w:val="nil"/>
            </w:tcBorders>
            <w:vAlign w:val="bottom"/>
          </w:tcPr>
          <w:p w14:paraId="70EE9B92" w14:textId="77777777" w:rsidR="008B6CC4" w:rsidRPr="00F959D0" w:rsidRDefault="008B6CC4" w:rsidP="00061A35">
            <w:pPr>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10.664</w:t>
            </w:r>
          </w:p>
        </w:tc>
        <w:tc>
          <w:tcPr>
            <w:tcW w:w="329" w:type="pct"/>
            <w:tcBorders>
              <w:top w:val="single" w:sz="6" w:space="0" w:color="auto"/>
              <w:left w:val="nil"/>
              <w:bottom w:val="single" w:sz="12" w:space="0" w:color="auto"/>
              <w:right w:val="nil"/>
            </w:tcBorders>
            <w:vAlign w:val="bottom"/>
          </w:tcPr>
          <w:p w14:paraId="0CD328AD" w14:textId="77777777" w:rsidR="008B6CC4" w:rsidRPr="00F959D0" w:rsidRDefault="008B6CC4" w:rsidP="00061A35">
            <w:pPr>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1.958</w:t>
            </w:r>
          </w:p>
        </w:tc>
        <w:tc>
          <w:tcPr>
            <w:tcW w:w="329" w:type="pct"/>
            <w:tcBorders>
              <w:top w:val="single" w:sz="6" w:space="0" w:color="auto"/>
              <w:left w:val="nil"/>
              <w:bottom w:val="single" w:sz="12" w:space="0" w:color="auto"/>
              <w:right w:val="nil"/>
            </w:tcBorders>
            <w:vAlign w:val="bottom"/>
          </w:tcPr>
          <w:p w14:paraId="1BCC3969" w14:textId="77777777" w:rsidR="008B6CC4" w:rsidRPr="00F959D0" w:rsidRDefault="008B6CC4" w:rsidP="00061A35">
            <w:pPr>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w:t>
            </w:r>
          </w:p>
        </w:tc>
        <w:tc>
          <w:tcPr>
            <w:tcW w:w="330" w:type="pct"/>
            <w:tcBorders>
              <w:top w:val="nil"/>
              <w:left w:val="nil"/>
              <w:bottom w:val="single" w:sz="12" w:space="0" w:color="auto"/>
              <w:right w:val="nil"/>
            </w:tcBorders>
            <w:shd w:val="clear" w:color="auto" w:fill="auto"/>
            <w:vAlign w:val="bottom"/>
          </w:tcPr>
          <w:p w14:paraId="04C32C58" w14:textId="77777777" w:rsidR="008B6CC4" w:rsidRPr="00F959D0" w:rsidRDefault="008B6CC4" w:rsidP="00061A35">
            <w:pPr>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w:t>
            </w:r>
          </w:p>
        </w:tc>
        <w:tc>
          <w:tcPr>
            <w:tcW w:w="371" w:type="pct"/>
            <w:tcBorders>
              <w:top w:val="single" w:sz="6" w:space="0" w:color="auto"/>
              <w:left w:val="nil"/>
              <w:bottom w:val="single" w:sz="12" w:space="0" w:color="auto"/>
              <w:right w:val="nil"/>
            </w:tcBorders>
            <w:vAlign w:val="bottom"/>
          </w:tcPr>
          <w:p w14:paraId="4E88CC1D" w14:textId="77777777" w:rsidR="008B6CC4" w:rsidRPr="00F959D0" w:rsidRDefault="008B6CC4" w:rsidP="00061A35">
            <w:pPr>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w:t>
            </w:r>
          </w:p>
        </w:tc>
        <w:tc>
          <w:tcPr>
            <w:tcW w:w="323" w:type="pct"/>
            <w:tcBorders>
              <w:top w:val="single" w:sz="6" w:space="0" w:color="auto"/>
              <w:left w:val="nil"/>
              <w:bottom w:val="single" w:sz="12" w:space="0" w:color="auto"/>
              <w:right w:val="nil"/>
            </w:tcBorders>
            <w:vAlign w:val="bottom"/>
          </w:tcPr>
          <w:p w14:paraId="710B4B73" w14:textId="77777777" w:rsidR="008B6CC4" w:rsidRPr="00F959D0" w:rsidRDefault="008B6CC4" w:rsidP="00061A35">
            <w:pPr>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194.911</w:t>
            </w:r>
          </w:p>
        </w:tc>
      </w:tr>
      <w:tr w:rsidR="008B6CC4" w:rsidRPr="00F12E3D" w14:paraId="4D29C1E5" w14:textId="77777777" w:rsidTr="00061A35">
        <w:trPr>
          <w:trHeight w:val="55"/>
        </w:trPr>
        <w:tc>
          <w:tcPr>
            <w:tcW w:w="538" w:type="pct"/>
            <w:vAlign w:val="bottom"/>
          </w:tcPr>
          <w:p w14:paraId="7D77D496" w14:textId="77777777" w:rsidR="008B6CC4" w:rsidRPr="00F12E3D" w:rsidRDefault="008B6CC4" w:rsidP="00061A35">
            <w:pPr>
              <w:tabs>
                <w:tab w:val="right" w:pos="1202"/>
              </w:tabs>
              <w:outlineLvl w:val="0"/>
              <w:rPr>
                <w:rFonts w:ascii="Arial" w:eastAsia="Calibri" w:hAnsi="Arial" w:cs="Arial"/>
                <w:b/>
                <w:bCs/>
                <w:color w:val="000000" w:themeColor="text1"/>
                <w:sz w:val="14"/>
                <w:szCs w:val="14"/>
              </w:rPr>
            </w:pPr>
            <w:r w:rsidRPr="00F12E3D">
              <w:rPr>
                <w:rFonts w:ascii="Arial" w:eastAsia="Calibri" w:hAnsi="Arial" w:cs="Arial"/>
                <w:b/>
                <w:bCs/>
                <w:color w:val="000000" w:themeColor="text1"/>
                <w:sz w:val="14"/>
                <w:szCs w:val="14"/>
              </w:rPr>
              <w:t>Ukupna izloženost kreditnom riziku</w:t>
            </w:r>
          </w:p>
        </w:tc>
        <w:tc>
          <w:tcPr>
            <w:tcW w:w="301" w:type="pct"/>
            <w:tcBorders>
              <w:top w:val="nil"/>
              <w:left w:val="nil"/>
              <w:bottom w:val="single" w:sz="12" w:space="0" w:color="auto"/>
              <w:right w:val="nil"/>
            </w:tcBorders>
            <w:shd w:val="clear" w:color="auto" w:fill="auto"/>
            <w:vAlign w:val="bottom"/>
          </w:tcPr>
          <w:p w14:paraId="79236B6F" w14:textId="77777777" w:rsidR="008B6CC4" w:rsidRPr="003A2506" w:rsidRDefault="008B6CC4" w:rsidP="00061A35">
            <w:pPr>
              <w:jc w:val="right"/>
              <w:rPr>
                <w:rFonts w:ascii="Arial" w:eastAsia="Calibri" w:hAnsi="Arial" w:cs="Arial"/>
                <w:b/>
                <w:bCs/>
                <w:sz w:val="14"/>
                <w:szCs w:val="14"/>
              </w:rPr>
            </w:pPr>
            <w:r>
              <w:rPr>
                <w:rFonts w:ascii="Arial" w:eastAsia="Calibri" w:hAnsi="Arial" w:cs="Arial"/>
                <w:b/>
                <w:bCs/>
                <w:sz w:val="14"/>
                <w:szCs w:val="14"/>
              </w:rPr>
              <w:t>3.797.926</w:t>
            </w:r>
          </w:p>
        </w:tc>
        <w:tc>
          <w:tcPr>
            <w:tcW w:w="298" w:type="pct"/>
            <w:tcBorders>
              <w:top w:val="nil"/>
              <w:left w:val="nil"/>
              <w:bottom w:val="single" w:sz="12" w:space="0" w:color="auto"/>
              <w:right w:val="nil"/>
            </w:tcBorders>
            <w:shd w:val="clear" w:color="auto" w:fill="auto"/>
            <w:vAlign w:val="bottom"/>
          </w:tcPr>
          <w:p w14:paraId="5EDD85B9" w14:textId="77777777" w:rsidR="008B6CC4" w:rsidRPr="003A2506" w:rsidRDefault="008B6CC4" w:rsidP="00061A35">
            <w:pPr>
              <w:jc w:val="right"/>
              <w:rPr>
                <w:rFonts w:ascii="Arial" w:eastAsia="Calibri" w:hAnsi="Arial" w:cs="Arial"/>
                <w:b/>
                <w:bCs/>
                <w:sz w:val="14"/>
                <w:szCs w:val="14"/>
              </w:rPr>
            </w:pPr>
            <w:r>
              <w:rPr>
                <w:rFonts w:ascii="Arial" w:eastAsia="Calibri" w:hAnsi="Arial" w:cs="Arial"/>
                <w:b/>
                <w:bCs/>
                <w:sz w:val="14"/>
                <w:szCs w:val="14"/>
              </w:rPr>
              <w:t>280.336</w:t>
            </w:r>
          </w:p>
        </w:tc>
        <w:tc>
          <w:tcPr>
            <w:tcW w:w="295" w:type="pct"/>
            <w:tcBorders>
              <w:top w:val="nil"/>
              <w:left w:val="nil"/>
              <w:bottom w:val="single" w:sz="12" w:space="0" w:color="auto"/>
              <w:right w:val="nil"/>
            </w:tcBorders>
            <w:shd w:val="clear" w:color="auto" w:fill="auto"/>
            <w:vAlign w:val="bottom"/>
          </w:tcPr>
          <w:p w14:paraId="735FE28B" w14:textId="77777777" w:rsidR="008B6CC4" w:rsidRPr="003A2506" w:rsidRDefault="008B6CC4" w:rsidP="00061A35">
            <w:pPr>
              <w:jc w:val="right"/>
              <w:rPr>
                <w:rFonts w:ascii="Arial" w:eastAsia="Calibri" w:hAnsi="Arial" w:cs="Arial"/>
                <w:b/>
                <w:bCs/>
                <w:sz w:val="14"/>
                <w:szCs w:val="14"/>
              </w:rPr>
            </w:pPr>
            <w:r>
              <w:rPr>
                <w:rFonts w:ascii="Arial" w:eastAsia="Calibri" w:hAnsi="Arial" w:cs="Arial"/>
                <w:b/>
                <w:bCs/>
                <w:sz w:val="14"/>
                <w:szCs w:val="14"/>
              </w:rPr>
              <w:t>157.717</w:t>
            </w:r>
          </w:p>
        </w:tc>
        <w:tc>
          <w:tcPr>
            <w:tcW w:w="287" w:type="pct"/>
            <w:tcBorders>
              <w:top w:val="nil"/>
              <w:left w:val="nil"/>
              <w:bottom w:val="single" w:sz="12" w:space="0" w:color="auto"/>
              <w:right w:val="nil"/>
            </w:tcBorders>
            <w:shd w:val="clear" w:color="auto" w:fill="auto"/>
            <w:vAlign w:val="bottom"/>
          </w:tcPr>
          <w:p w14:paraId="4082F49E" w14:textId="77777777" w:rsidR="008B6CC4" w:rsidRPr="00F959D0" w:rsidRDefault="008B6CC4" w:rsidP="00061A35">
            <w:pPr>
              <w:jc w:val="right"/>
              <w:rPr>
                <w:rFonts w:ascii="Arial" w:eastAsia="Calibri" w:hAnsi="Arial" w:cs="Arial"/>
                <w:b/>
                <w:bCs/>
                <w:sz w:val="14"/>
                <w:szCs w:val="14"/>
              </w:rPr>
            </w:pPr>
            <w:r>
              <w:rPr>
                <w:rFonts w:ascii="Arial" w:eastAsia="Calibri" w:hAnsi="Arial" w:cs="Arial"/>
                <w:b/>
                <w:bCs/>
                <w:sz w:val="14"/>
                <w:szCs w:val="14"/>
              </w:rPr>
              <w:t>42.681</w:t>
            </w:r>
          </w:p>
        </w:tc>
        <w:tc>
          <w:tcPr>
            <w:tcW w:w="297" w:type="pct"/>
            <w:tcBorders>
              <w:top w:val="nil"/>
              <w:left w:val="nil"/>
              <w:bottom w:val="single" w:sz="12" w:space="0" w:color="auto"/>
              <w:right w:val="nil"/>
            </w:tcBorders>
            <w:shd w:val="clear" w:color="auto" w:fill="auto"/>
            <w:vAlign w:val="bottom"/>
          </w:tcPr>
          <w:p w14:paraId="7AEF30A1" w14:textId="77777777" w:rsidR="008B6CC4" w:rsidRPr="003A2506" w:rsidRDefault="008B6CC4" w:rsidP="00061A35">
            <w:pPr>
              <w:jc w:val="right"/>
              <w:rPr>
                <w:rFonts w:ascii="Arial" w:eastAsia="Calibri" w:hAnsi="Arial" w:cs="Arial"/>
                <w:b/>
                <w:bCs/>
                <w:sz w:val="14"/>
                <w:szCs w:val="14"/>
              </w:rPr>
            </w:pPr>
            <w:r>
              <w:rPr>
                <w:rFonts w:ascii="Arial" w:eastAsia="Calibri" w:hAnsi="Arial" w:cs="Arial"/>
                <w:b/>
                <w:bCs/>
                <w:sz w:val="14"/>
                <w:szCs w:val="14"/>
              </w:rPr>
              <w:t>153.221</w:t>
            </w:r>
          </w:p>
        </w:tc>
        <w:tc>
          <w:tcPr>
            <w:tcW w:w="312" w:type="pct"/>
            <w:tcBorders>
              <w:top w:val="nil"/>
              <w:left w:val="nil"/>
              <w:bottom w:val="single" w:sz="12" w:space="0" w:color="auto"/>
              <w:right w:val="nil"/>
            </w:tcBorders>
            <w:shd w:val="clear" w:color="auto" w:fill="auto"/>
            <w:vAlign w:val="bottom"/>
          </w:tcPr>
          <w:p w14:paraId="45298B85" w14:textId="77777777" w:rsidR="008B6CC4" w:rsidRPr="003A2506" w:rsidRDefault="008B6CC4" w:rsidP="00061A35">
            <w:pPr>
              <w:jc w:val="right"/>
              <w:rPr>
                <w:rFonts w:ascii="Arial" w:eastAsia="Calibri" w:hAnsi="Arial" w:cs="Arial"/>
                <w:b/>
                <w:bCs/>
                <w:sz w:val="14"/>
                <w:szCs w:val="14"/>
              </w:rPr>
            </w:pPr>
            <w:r>
              <w:rPr>
                <w:rFonts w:ascii="Arial" w:eastAsia="Calibri" w:hAnsi="Arial" w:cs="Arial"/>
                <w:b/>
                <w:bCs/>
                <w:sz w:val="14"/>
                <w:szCs w:val="14"/>
              </w:rPr>
              <w:t>32.946</w:t>
            </w:r>
          </w:p>
        </w:tc>
        <w:tc>
          <w:tcPr>
            <w:tcW w:w="333" w:type="pct"/>
            <w:tcBorders>
              <w:top w:val="nil"/>
              <w:left w:val="nil"/>
              <w:bottom w:val="single" w:sz="12" w:space="0" w:color="auto"/>
              <w:right w:val="nil"/>
            </w:tcBorders>
            <w:shd w:val="clear" w:color="auto" w:fill="auto"/>
            <w:vAlign w:val="bottom"/>
          </w:tcPr>
          <w:p w14:paraId="65DA510B" w14:textId="77777777" w:rsidR="008B6CC4" w:rsidRPr="003A2506" w:rsidRDefault="008B6CC4" w:rsidP="00061A35">
            <w:pPr>
              <w:jc w:val="right"/>
              <w:rPr>
                <w:rFonts w:ascii="Arial" w:eastAsia="Calibri" w:hAnsi="Arial" w:cs="Arial"/>
                <w:b/>
                <w:bCs/>
                <w:sz w:val="14"/>
                <w:szCs w:val="14"/>
              </w:rPr>
            </w:pPr>
            <w:r>
              <w:rPr>
                <w:rFonts w:ascii="Arial" w:eastAsia="Calibri" w:hAnsi="Arial" w:cs="Arial"/>
                <w:b/>
                <w:bCs/>
                <w:sz w:val="14"/>
                <w:szCs w:val="14"/>
              </w:rPr>
              <w:t>4.464.827</w:t>
            </w:r>
          </w:p>
        </w:tc>
        <w:tc>
          <w:tcPr>
            <w:tcW w:w="328" w:type="pct"/>
            <w:tcBorders>
              <w:top w:val="nil"/>
              <w:left w:val="nil"/>
              <w:bottom w:val="single" w:sz="12" w:space="0" w:color="auto"/>
              <w:right w:val="nil"/>
            </w:tcBorders>
            <w:vAlign w:val="bottom"/>
          </w:tcPr>
          <w:p w14:paraId="03640A23" w14:textId="77777777" w:rsidR="008B6CC4" w:rsidRPr="00F959D0" w:rsidRDefault="008B6CC4" w:rsidP="00061A35">
            <w:pPr>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813.185</w:t>
            </w:r>
          </w:p>
        </w:tc>
        <w:tc>
          <w:tcPr>
            <w:tcW w:w="329" w:type="pct"/>
            <w:tcBorders>
              <w:top w:val="nil"/>
              <w:left w:val="nil"/>
              <w:bottom w:val="single" w:sz="12" w:space="0" w:color="auto"/>
              <w:right w:val="nil"/>
            </w:tcBorders>
            <w:vAlign w:val="bottom"/>
          </w:tcPr>
          <w:p w14:paraId="2FE58CD9" w14:textId="77777777" w:rsidR="008B6CC4" w:rsidRPr="00F959D0" w:rsidRDefault="008B6CC4" w:rsidP="00061A35">
            <w:pPr>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57.908</w:t>
            </w:r>
          </w:p>
        </w:tc>
        <w:tc>
          <w:tcPr>
            <w:tcW w:w="329" w:type="pct"/>
            <w:tcBorders>
              <w:top w:val="nil"/>
              <w:left w:val="nil"/>
              <w:bottom w:val="single" w:sz="12" w:space="0" w:color="auto"/>
              <w:right w:val="nil"/>
            </w:tcBorders>
            <w:vAlign w:val="bottom"/>
          </w:tcPr>
          <w:p w14:paraId="14593A26" w14:textId="77777777" w:rsidR="008B6CC4" w:rsidRPr="00F959D0" w:rsidRDefault="008B6CC4" w:rsidP="00061A35">
            <w:pPr>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10.607</w:t>
            </w:r>
          </w:p>
        </w:tc>
        <w:tc>
          <w:tcPr>
            <w:tcW w:w="329" w:type="pct"/>
            <w:tcBorders>
              <w:top w:val="nil"/>
              <w:left w:val="nil"/>
              <w:bottom w:val="single" w:sz="12" w:space="0" w:color="auto"/>
              <w:right w:val="nil"/>
            </w:tcBorders>
            <w:vAlign w:val="bottom"/>
          </w:tcPr>
          <w:p w14:paraId="3E188B10" w14:textId="77777777" w:rsidR="008B6CC4" w:rsidRPr="00F959D0" w:rsidRDefault="008B6CC4" w:rsidP="00061A35">
            <w:pPr>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36</w:t>
            </w:r>
          </w:p>
        </w:tc>
        <w:tc>
          <w:tcPr>
            <w:tcW w:w="330" w:type="pct"/>
            <w:tcBorders>
              <w:top w:val="nil"/>
              <w:left w:val="nil"/>
              <w:bottom w:val="single" w:sz="12" w:space="0" w:color="auto"/>
              <w:right w:val="nil"/>
            </w:tcBorders>
            <w:shd w:val="clear" w:color="auto" w:fill="auto"/>
            <w:vAlign w:val="bottom"/>
          </w:tcPr>
          <w:p w14:paraId="4E9BB4AF" w14:textId="77777777" w:rsidR="008B6CC4" w:rsidRPr="00F959D0" w:rsidRDefault="008B6CC4" w:rsidP="00061A35">
            <w:pPr>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4.419</w:t>
            </w:r>
          </w:p>
        </w:tc>
        <w:tc>
          <w:tcPr>
            <w:tcW w:w="371" w:type="pct"/>
            <w:tcBorders>
              <w:top w:val="nil"/>
              <w:left w:val="nil"/>
              <w:bottom w:val="single" w:sz="12" w:space="0" w:color="auto"/>
              <w:right w:val="nil"/>
            </w:tcBorders>
            <w:vAlign w:val="bottom"/>
          </w:tcPr>
          <w:p w14:paraId="466F8F8A" w14:textId="77777777" w:rsidR="008B6CC4" w:rsidRPr="00F959D0" w:rsidRDefault="008B6CC4" w:rsidP="00061A35">
            <w:pPr>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w:t>
            </w:r>
          </w:p>
        </w:tc>
        <w:tc>
          <w:tcPr>
            <w:tcW w:w="323" w:type="pct"/>
            <w:tcBorders>
              <w:top w:val="nil"/>
              <w:left w:val="nil"/>
              <w:bottom w:val="single" w:sz="12" w:space="0" w:color="auto"/>
              <w:right w:val="nil"/>
            </w:tcBorders>
            <w:vAlign w:val="bottom"/>
          </w:tcPr>
          <w:p w14:paraId="40E28589" w14:textId="77777777" w:rsidR="008B6CC4" w:rsidRPr="00F959D0" w:rsidRDefault="008B6CC4" w:rsidP="00061A35">
            <w:pPr>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886.155</w:t>
            </w:r>
          </w:p>
        </w:tc>
      </w:tr>
    </w:tbl>
    <w:p w14:paraId="091862A1" w14:textId="0BB8A86E" w:rsidR="003278AB" w:rsidRPr="003D1614" w:rsidRDefault="003278AB" w:rsidP="001A0FCB">
      <w:pPr>
        <w:suppressAutoHyphens/>
        <w:autoSpaceDN w:val="0"/>
        <w:jc w:val="both"/>
        <w:rPr>
          <w:rFonts w:ascii="Arial" w:eastAsia="Times New Roman" w:hAnsi="Arial" w:cs="Arial"/>
          <w:color w:val="000000" w:themeColor="text1"/>
          <w:sz w:val="20"/>
          <w:szCs w:val="20"/>
        </w:rPr>
      </w:pPr>
    </w:p>
    <w:p w14:paraId="28B00121" w14:textId="77777777" w:rsidR="003278AB" w:rsidRPr="003D1614" w:rsidRDefault="003278AB" w:rsidP="001A0FCB">
      <w:pPr>
        <w:suppressAutoHyphens/>
        <w:autoSpaceDN w:val="0"/>
        <w:jc w:val="both"/>
        <w:rPr>
          <w:rFonts w:ascii="Arial" w:eastAsia="Times New Roman" w:hAnsi="Arial" w:cs="Arial"/>
          <w:color w:val="000000" w:themeColor="text1"/>
          <w:sz w:val="20"/>
          <w:szCs w:val="20"/>
        </w:rPr>
        <w:sectPr w:rsidR="003278AB" w:rsidRPr="003D1614" w:rsidSect="003278AB">
          <w:pgSz w:w="16838" w:h="11906" w:orient="landscape"/>
          <w:pgMar w:top="1417" w:right="1417" w:bottom="1417" w:left="1417" w:header="708" w:footer="708" w:gutter="0"/>
          <w:cols w:space="708"/>
          <w:docGrid w:linePitch="360"/>
        </w:sectPr>
      </w:pPr>
    </w:p>
    <w:p w14:paraId="03281FC4" w14:textId="7A1976C8" w:rsidR="003278AB" w:rsidRPr="003D1614" w:rsidRDefault="003278AB" w:rsidP="003278AB">
      <w:pPr>
        <w:keepNext/>
        <w:suppressAutoHyphens/>
        <w:autoSpaceDN w:val="0"/>
        <w:spacing w:before="120" w:after="120"/>
        <w:jc w:val="both"/>
        <w:outlineLvl w:val="0"/>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lastRenderedPageBreak/>
        <w:t>2</w:t>
      </w:r>
      <w:r w:rsidR="000E693B">
        <w:rPr>
          <w:rFonts w:ascii="Arial" w:eastAsia="Times New Roman" w:hAnsi="Arial" w:cs="Arial"/>
          <w:b/>
          <w:bCs/>
          <w:color w:val="000000" w:themeColor="text1"/>
          <w:sz w:val="18"/>
          <w:szCs w:val="18"/>
        </w:rPr>
        <w:t>3</w:t>
      </w:r>
      <w:r w:rsidRPr="003D1614">
        <w:rPr>
          <w:rFonts w:ascii="Arial" w:eastAsia="Times New Roman" w:hAnsi="Arial" w:cs="Arial"/>
          <w:b/>
          <w:bCs/>
          <w:color w:val="000000" w:themeColor="text1"/>
          <w:sz w:val="18"/>
          <w:szCs w:val="18"/>
        </w:rPr>
        <w:t>.</w:t>
      </w:r>
      <w:r w:rsidRPr="003D1614">
        <w:rPr>
          <w:rFonts w:ascii="Arial" w:eastAsia="Times New Roman" w:hAnsi="Arial" w:cs="Arial"/>
          <w:b/>
          <w:bCs/>
          <w:color w:val="000000" w:themeColor="text1"/>
          <w:sz w:val="18"/>
          <w:szCs w:val="18"/>
        </w:rPr>
        <w:tab/>
        <w:t>Upravljanje rizicima (nastavak)</w:t>
      </w:r>
    </w:p>
    <w:p w14:paraId="35574E56" w14:textId="0FFD38EE" w:rsidR="003278AB" w:rsidRPr="003D1614" w:rsidRDefault="003278AB" w:rsidP="003278AB">
      <w:pPr>
        <w:keepNext/>
        <w:suppressAutoHyphens/>
        <w:autoSpaceDN w:val="0"/>
        <w:spacing w:before="120" w:after="120"/>
        <w:jc w:val="both"/>
        <w:outlineLvl w:val="0"/>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2</w:t>
      </w:r>
      <w:r w:rsidR="000E693B">
        <w:rPr>
          <w:rFonts w:ascii="Arial" w:eastAsia="Times New Roman" w:hAnsi="Arial" w:cs="Arial"/>
          <w:b/>
          <w:bCs/>
          <w:color w:val="000000" w:themeColor="text1"/>
          <w:sz w:val="18"/>
          <w:szCs w:val="18"/>
        </w:rPr>
        <w:t>3</w:t>
      </w:r>
      <w:r w:rsidRPr="003D1614">
        <w:rPr>
          <w:rFonts w:ascii="Arial" w:eastAsia="Times New Roman" w:hAnsi="Arial" w:cs="Arial"/>
          <w:b/>
          <w:bCs/>
          <w:color w:val="000000" w:themeColor="text1"/>
          <w:sz w:val="18"/>
          <w:szCs w:val="18"/>
        </w:rPr>
        <w:t xml:space="preserve">.3. </w:t>
      </w:r>
      <w:r w:rsidRPr="003D1614">
        <w:rPr>
          <w:rFonts w:ascii="Arial" w:eastAsia="Times New Roman" w:hAnsi="Arial" w:cs="Arial"/>
          <w:b/>
          <w:bCs/>
          <w:color w:val="000000" w:themeColor="text1"/>
          <w:sz w:val="18"/>
          <w:szCs w:val="18"/>
        </w:rPr>
        <w:tab/>
        <w:t>Kreditni rizik (nastavak)</w:t>
      </w:r>
    </w:p>
    <w:p w14:paraId="7165128E" w14:textId="77777777" w:rsidR="003278AB" w:rsidRPr="003D1614" w:rsidRDefault="003278AB" w:rsidP="003278AB">
      <w:pPr>
        <w:keepNext/>
        <w:suppressAutoHyphens/>
        <w:autoSpaceDN w:val="0"/>
        <w:spacing w:before="120" w:after="120"/>
        <w:jc w:val="both"/>
        <w:outlineLvl w:val="0"/>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Kvaliteta kreditnog rizika prema vrsti financijske imovine (nastavak)</w:t>
      </w:r>
    </w:p>
    <w:p w14:paraId="4D85D635" w14:textId="77777777" w:rsidR="003278AB" w:rsidRPr="003D1614" w:rsidRDefault="003278AB" w:rsidP="003278AB">
      <w:pPr>
        <w:suppressAutoHyphens/>
        <w:autoSpaceDN w:val="0"/>
        <w:spacing w:before="120" w:after="120"/>
        <w:jc w:val="both"/>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Analiza kreditnog rizika, neto izloženost, prije i nakon uzimanja u obzir primljenih instrumenata osiguranja, prema vrsti financijske imovine na pozicijama imovine i garancija i preuzetih obveza prema rizičnim skupinama (nastavak):</w:t>
      </w:r>
    </w:p>
    <w:tbl>
      <w:tblPr>
        <w:tblpPr w:leftFromText="180" w:rightFromText="180" w:vertAnchor="text" w:horzAnchor="margin" w:tblpXSpec="center" w:tblpY="48"/>
        <w:tblW w:w="5542" w:type="pct"/>
        <w:tblLayout w:type="fixed"/>
        <w:tblLook w:val="0000" w:firstRow="0" w:lastRow="0" w:firstColumn="0" w:lastColumn="0" w:noHBand="0" w:noVBand="0"/>
      </w:tblPr>
      <w:tblGrid>
        <w:gridCol w:w="1671"/>
        <w:gridCol w:w="934"/>
        <w:gridCol w:w="925"/>
        <w:gridCol w:w="916"/>
        <w:gridCol w:w="891"/>
        <w:gridCol w:w="922"/>
        <w:gridCol w:w="969"/>
        <w:gridCol w:w="1034"/>
        <w:gridCol w:w="1018"/>
        <w:gridCol w:w="1021"/>
        <w:gridCol w:w="1021"/>
        <w:gridCol w:w="1021"/>
        <w:gridCol w:w="1024"/>
        <w:gridCol w:w="1152"/>
        <w:gridCol w:w="1003"/>
      </w:tblGrid>
      <w:tr w:rsidR="001E4D03" w:rsidRPr="00F12E3D" w14:paraId="0F0C229C" w14:textId="77777777" w:rsidTr="0034622E">
        <w:trPr>
          <w:trHeight w:val="1607"/>
        </w:trPr>
        <w:tc>
          <w:tcPr>
            <w:tcW w:w="538" w:type="pct"/>
          </w:tcPr>
          <w:p w14:paraId="36399E4E" w14:textId="77777777" w:rsidR="001E4D03" w:rsidRPr="00F12E3D" w:rsidRDefault="001E4D03" w:rsidP="0034622E">
            <w:pPr>
              <w:rPr>
                <w:rFonts w:ascii="Arial" w:eastAsia="Calibri" w:hAnsi="Arial" w:cs="Arial"/>
                <w:b/>
                <w:bCs/>
                <w:color w:val="000000" w:themeColor="text1"/>
                <w:sz w:val="14"/>
                <w:szCs w:val="14"/>
              </w:rPr>
            </w:pPr>
            <w:r w:rsidRPr="00F12E3D">
              <w:rPr>
                <w:rFonts w:ascii="Arial" w:eastAsia="Calibri" w:hAnsi="Arial" w:cs="Arial"/>
                <w:b/>
                <w:bCs/>
                <w:color w:val="000000" w:themeColor="text1"/>
                <w:sz w:val="14"/>
                <w:szCs w:val="14"/>
              </w:rPr>
              <w:br w:type="page"/>
            </w:r>
            <w:r>
              <w:rPr>
                <w:rFonts w:ascii="Arial" w:eastAsia="Calibri" w:hAnsi="Arial" w:cs="Arial"/>
                <w:b/>
                <w:bCs/>
                <w:color w:val="000000" w:themeColor="text1"/>
                <w:sz w:val="14"/>
                <w:szCs w:val="14"/>
              </w:rPr>
              <w:t>Banka</w:t>
            </w:r>
          </w:p>
          <w:p w14:paraId="5B7ADFC4" w14:textId="77777777" w:rsidR="001E4D03" w:rsidRPr="00F12E3D" w:rsidRDefault="001E4D03" w:rsidP="0034622E">
            <w:pPr>
              <w:rPr>
                <w:rFonts w:ascii="Arial" w:eastAsia="Calibri" w:hAnsi="Arial" w:cs="Arial"/>
                <w:b/>
                <w:bCs/>
                <w:color w:val="000000" w:themeColor="text1"/>
                <w:sz w:val="14"/>
                <w:szCs w:val="14"/>
              </w:rPr>
            </w:pPr>
          </w:p>
          <w:p w14:paraId="13E73C58" w14:textId="77777777" w:rsidR="001E4D03" w:rsidRPr="00F12E3D" w:rsidRDefault="001E4D03" w:rsidP="0034622E">
            <w:pPr>
              <w:rPr>
                <w:rFonts w:ascii="Arial" w:eastAsia="Calibri" w:hAnsi="Arial" w:cs="Arial"/>
                <w:color w:val="000000" w:themeColor="text1"/>
                <w:sz w:val="14"/>
                <w:szCs w:val="14"/>
              </w:rPr>
            </w:pPr>
            <w:r w:rsidRPr="00F12E3D">
              <w:rPr>
                <w:rFonts w:ascii="Arial" w:eastAsia="Calibri" w:hAnsi="Arial" w:cs="Arial"/>
                <w:b/>
                <w:bCs/>
                <w:color w:val="000000" w:themeColor="text1"/>
                <w:sz w:val="14"/>
                <w:szCs w:val="14"/>
              </w:rPr>
              <w:t xml:space="preserve">31. prosinca 2023. </w:t>
            </w:r>
          </w:p>
        </w:tc>
        <w:tc>
          <w:tcPr>
            <w:tcW w:w="301" w:type="pct"/>
            <w:vAlign w:val="bottom"/>
          </w:tcPr>
          <w:p w14:paraId="2902C327" w14:textId="77777777" w:rsidR="001E4D03" w:rsidRPr="00F12E3D" w:rsidRDefault="001E4D03" w:rsidP="0034622E">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 xml:space="preserve">Neto  izloženost portfelja - </w:t>
            </w:r>
            <w:r>
              <w:rPr>
                <w:rFonts w:ascii="Arial" w:eastAsia="Calibri" w:hAnsi="Arial" w:cs="Arial"/>
                <w:b/>
                <w:color w:val="000000" w:themeColor="text1"/>
                <w:sz w:val="14"/>
                <w:szCs w:val="14"/>
              </w:rPr>
              <w:t>S</w:t>
            </w:r>
            <w:r w:rsidRPr="00F12E3D">
              <w:rPr>
                <w:rFonts w:ascii="Arial" w:eastAsia="Calibri" w:hAnsi="Arial" w:cs="Arial"/>
                <w:b/>
                <w:color w:val="000000" w:themeColor="text1"/>
                <w:sz w:val="14"/>
                <w:szCs w:val="14"/>
              </w:rPr>
              <w:t>tupanj 1</w:t>
            </w:r>
          </w:p>
        </w:tc>
        <w:tc>
          <w:tcPr>
            <w:tcW w:w="298" w:type="pct"/>
            <w:vAlign w:val="bottom"/>
          </w:tcPr>
          <w:p w14:paraId="6A057812" w14:textId="77777777" w:rsidR="001E4D03" w:rsidRPr="00F12E3D" w:rsidRDefault="001E4D03" w:rsidP="0034622E">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 xml:space="preserve">Neto izloženost portfelja - </w:t>
            </w:r>
            <w:r>
              <w:rPr>
                <w:rFonts w:ascii="Arial" w:eastAsia="Calibri" w:hAnsi="Arial" w:cs="Arial"/>
                <w:b/>
                <w:color w:val="000000" w:themeColor="text1"/>
                <w:sz w:val="14"/>
                <w:szCs w:val="14"/>
              </w:rPr>
              <w:t>S</w:t>
            </w:r>
            <w:r w:rsidRPr="00F12E3D">
              <w:rPr>
                <w:rFonts w:ascii="Arial" w:eastAsia="Calibri" w:hAnsi="Arial" w:cs="Arial"/>
                <w:b/>
                <w:color w:val="000000" w:themeColor="text1"/>
                <w:sz w:val="14"/>
                <w:szCs w:val="14"/>
              </w:rPr>
              <w:t>tupanj 2</w:t>
            </w:r>
          </w:p>
        </w:tc>
        <w:tc>
          <w:tcPr>
            <w:tcW w:w="295" w:type="pct"/>
            <w:vAlign w:val="bottom"/>
          </w:tcPr>
          <w:p w14:paraId="6EDC40A0" w14:textId="77777777" w:rsidR="001E4D03" w:rsidRPr="00F12E3D" w:rsidRDefault="001E4D03" w:rsidP="0034622E">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 xml:space="preserve">Neto izloženost portfelja - </w:t>
            </w:r>
            <w:r>
              <w:rPr>
                <w:rFonts w:ascii="Arial" w:eastAsia="Calibri" w:hAnsi="Arial" w:cs="Arial"/>
                <w:b/>
                <w:color w:val="000000" w:themeColor="text1"/>
                <w:sz w:val="14"/>
                <w:szCs w:val="14"/>
              </w:rPr>
              <w:t>S</w:t>
            </w:r>
            <w:r w:rsidRPr="00F12E3D">
              <w:rPr>
                <w:rFonts w:ascii="Arial" w:eastAsia="Calibri" w:hAnsi="Arial" w:cs="Arial"/>
                <w:b/>
                <w:color w:val="000000" w:themeColor="text1"/>
                <w:sz w:val="14"/>
                <w:szCs w:val="14"/>
              </w:rPr>
              <w:t>tupanj 3</w:t>
            </w:r>
          </w:p>
        </w:tc>
        <w:tc>
          <w:tcPr>
            <w:tcW w:w="584" w:type="pct"/>
            <w:gridSpan w:val="2"/>
            <w:vAlign w:val="bottom"/>
          </w:tcPr>
          <w:p w14:paraId="12A81E28" w14:textId="77777777" w:rsidR="001E4D03" w:rsidRPr="00F12E3D" w:rsidRDefault="001E4D03" w:rsidP="0034622E">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Neto izloženost portfelja rizične skupine POCI</w:t>
            </w:r>
          </w:p>
        </w:tc>
        <w:tc>
          <w:tcPr>
            <w:tcW w:w="312" w:type="pct"/>
            <w:vAlign w:val="bottom"/>
          </w:tcPr>
          <w:p w14:paraId="5699AAE3" w14:textId="77777777" w:rsidR="001E4D03" w:rsidRPr="00F12E3D" w:rsidRDefault="001E4D03" w:rsidP="0034622E">
            <w:pPr>
              <w:jc w:val="right"/>
              <w:rPr>
                <w:rFonts w:ascii="Arial" w:eastAsia="Calibri" w:hAnsi="Arial" w:cs="Arial"/>
                <w:color w:val="000000" w:themeColor="text1"/>
                <w:sz w:val="14"/>
                <w:szCs w:val="14"/>
              </w:rPr>
            </w:pPr>
            <w:r w:rsidRPr="00F12E3D">
              <w:rPr>
                <w:rFonts w:ascii="Arial" w:eastAsia="Calibri" w:hAnsi="Arial" w:cs="Arial"/>
                <w:b/>
                <w:color w:val="000000" w:themeColor="text1"/>
                <w:sz w:val="14"/>
                <w:szCs w:val="14"/>
              </w:rPr>
              <w:t>Financijska imovina koja se ne raspoređuje u rizične skupine po MSFI-ju 9</w:t>
            </w:r>
          </w:p>
        </w:tc>
        <w:tc>
          <w:tcPr>
            <w:tcW w:w="333" w:type="pct"/>
            <w:vAlign w:val="bottom"/>
          </w:tcPr>
          <w:p w14:paraId="603DB5CF" w14:textId="77777777" w:rsidR="001E4D03" w:rsidRPr="00F12E3D" w:rsidRDefault="001E4D03" w:rsidP="0034622E">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Neto izloženost ukupnog portfelja</w:t>
            </w:r>
          </w:p>
        </w:tc>
        <w:tc>
          <w:tcPr>
            <w:tcW w:w="328" w:type="pct"/>
            <w:vAlign w:val="bottom"/>
          </w:tcPr>
          <w:p w14:paraId="3A749CE4" w14:textId="77777777" w:rsidR="001E4D03" w:rsidRPr="00F12E3D" w:rsidRDefault="001E4D03" w:rsidP="0034622E">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 xml:space="preserve">Neto izloženost portfelja nakon umanjenja za instrumente osiguranja- </w:t>
            </w:r>
            <w:r>
              <w:rPr>
                <w:rFonts w:ascii="Arial" w:eastAsia="Calibri" w:hAnsi="Arial" w:cs="Arial"/>
                <w:b/>
                <w:color w:val="000000" w:themeColor="text1"/>
                <w:sz w:val="14"/>
                <w:szCs w:val="14"/>
              </w:rPr>
              <w:t>S</w:t>
            </w:r>
            <w:r w:rsidRPr="00F12E3D">
              <w:rPr>
                <w:rFonts w:ascii="Arial" w:eastAsia="Calibri" w:hAnsi="Arial" w:cs="Arial"/>
                <w:b/>
                <w:color w:val="000000" w:themeColor="text1"/>
                <w:sz w:val="14"/>
                <w:szCs w:val="14"/>
              </w:rPr>
              <w:t>tupanj 1</w:t>
            </w:r>
          </w:p>
        </w:tc>
        <w:tc>
          <w:tcPr>
            <w:tcW w:w="329" w:type="pct"/>
            <w:vAlign w:val="bottom"/>
          </w:tcPr>
          <w:p w14:paraId="26B3B6BD" w14:textId="77777777" w:rsidR="001E4D03" w:rsidRPr="00F12E3D" w:rsidRDefault="001E4D03" w:rsidP="0034622E">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 xml:space="preserve">Neto izloženost portfelja nakon umanjenja za instrumente osiguranja- </w:t>
            </w:r>
            <w:r>
              <w:rPr>
                <w:rFonts w:ascii="Arial" w:eastAsia="Calibri" w:hAnsi="Arial" w:cs="Arial"/>
                <w:b/>
                <w:color w:val="000000" w:themeColor="text1"/>
                <w:sz w:val="14"/>
                <w:szCs w:val="14"/>
              </w:rPr>
              <w:t>S</w:t>
            </w:r>
            <w:r w:rsidRPr="00F12E3D">
              <w:rPr>
                <w:rFonts w:ascii="Arial" w:eastAsia="Calibri" w:hAnsi="Arial" w:cs="Arial"/>
                <w:b/>
                <w:color w:val="000000" w:themeColor="text1"/>
                <w:sz w:val="14"/>
                <w:szCs w:val="14"/>
              </w:rPr>
              <w:t>tupanj 2</w:t>
            </w:r>
          </w:p>
        </w:tc>
        <w:tc>
          <w:tcPr>
            <w:tcW w:w="329" w:type="pct"/>
            <w:vAlign w:val="bottom"/>
          </w:tcPr>
          <w:p w14:paraId="57763751" w14:textId="77777777" w:rsidR="001E4D03" w:rsidRPr="00F12E3D" w:rsidRDefault="001E4D03" w:rsidP="0034622E">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 xml:space="preserve">Neto izloženost portfelja nakon umanjenja za instrumente osiguranja- </w:t>
            </w:r>
            <w:r>
              <w:rPr>
                <w:rFonts w:ascii="Arial" w:eastAsia="Calibri" w:hAnsi="Arial" w:cs="Arial"/>
                <w:b/>
                <w:color w:val="000000" w:themeColor="text1"/>
                <w:sz w:val="14"/>
                <w:szCs w:val="14"/>
              </w:rPr>
              <w:t>S</w:t>
            </w:r>
            <w:r w:rsidRPr="00F12E3D">
              <w:rPr>
                <w:rFonts w:ascii="Arial" w:eastAsia="Calibri" w:hAnsi="Arial" w:cs="Arial"/>
                <w:b/>
                <w:color w:val="000000" w:themeColor="text1"/>
                <w:sz w:val="14"/>
                <w:szCs w:val="14"/>
              </w:rPr>
              <w:t>tupanj 3</w:t>
            </w:r>
          </w:p>
        </w:tc>
        <w:tc>
          <w:tcPr>
            <w:tcW w:w="659" w:type="pct"/>
            <w:gridSpan w:val="2"/>
            <w:vAlign w:val="bottom"/>
          </w:tcPr>
          <w:p w14:paraId="6D350347" w14:textId="77777777" w:rsidR="001E4D03" w:rsidRPr="00F12E3D" w:rsidRDefault="001E4D03" w:rsidP="0034622E">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Neto izloženost portfelja nakon umanjenja za instrumente osiguranja- rizične skupine POCI</w:t>
            </w:r>
          </w:p>
        </w:tc>
        <w:tc>
          <w:tcPr>
            <w:tcW w:w="371" w:type="pct"/>
            <w:vAlign w:val="bottom"/>
          </w:tcPr>
          <w:p w14:paraId="25CBA75E" w14:textId="77777777" w:rsidR="001E4D03" w:rsidRPr="00F12E3D" w:rsidRDefault="001E4D03" w:rsidP="0034622E">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Financijska imovina  koja se ne raspoređuje u rizične skupine po MSFI-ju 9 nakon umanjenja za instrumente osiguranja</w:t>
            </w:r>
          </w:p>
        </w:tc>
        <w:tc>
          <w:tcPr>
            <w:tcW w:w="323" w:type="pct"/>
            <w:vAlign w:val="bottom"/>
          </w:tcPr>
          <w:p w14:paraId="10E07C45" w14:textId="77777777" w:rsidR="001E4D03" w:rsidRPr="00F12E3D" w:rsidRDefault="001E4D03" w:rsidP="0034622E">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Neto izloženost ukupnog portfelja nakon umanjenja za instrumente osiguranja</w:t>
            </w:r>
          </w:p>
        </w:tc>
      </w:tr>
      <w:tr w:rsidR="001E4D03" w:rsidRPr="00F12E3D" w14:paraId="104FCF55" w14:textId="77777777" w:rsidTr="0034622E">
        <w:trPr>
          <w:trHeight w:val="187"/>
        </w:trPr>
        <w:tc>
          <w:tcPr>
            <w:tcW w:w="538" w:type="pct"/>
            <w:vAlign w:val="bottom"/>
          </w:tcPr>
          <w:p w14:paraId="5F986F58" w14:textId="77777777" w:rsidR="001E4D03" w:rsidRPr="00F12E3D" w:rsidRDefault="001E4D03" w:rsidP="0034622E">
            <w:pPr>
              <w:rPr>
                <w:rFonts w:ascii="Arial" w:eastAsia="Calibri" w:hAnsi="Arial" w:cs="Arial"/>
                <w:b/>
                <w:bCs/>
                <w:color w:val="000000" w:themeColor="text1"/>
                <w:sz w:val="14"/>
                <w:szCs w:val="14"/>
              </w:rPr>
            </w:pPr>
          </w:p>
        </w:tc>
        <w:tc>
          <w:tcPr>
            <w:tcW w:w="301" w:type="pct"/>
            <w:vAlign w:val="bottom"/>
          </w:tcPr>
          <w:p w14:paraId="75F47768" w14:textId="77777777" w:rsidR="001E4D03" w:rsidRPr="00F12E3D" w:rsidRDefault="001E4D03" w:rsidP="0034622E">
            <w:pPr>
              <w:jc w:val="right"/>
              <w:rPr>
                <w:rFonts w:ascii="Arial" w:eastAsia="Calibri" w:hAnsi="Arial" w:cs="Arial"/>
                <w:b/>
                <w:color w:val="000000" w:themeColor="text1"/>
                <w:sz w:val="14"/>
                <w:szCs w:val="14"/>
              </w:rPr>
            </w:pPr>
          </w:p>
        </w:tc>
        <w:tc>
          <w:tcPr>
            <w:tcW w:w="298" w:type="pct"/>
            <w:vAlign w:val="bottom"/>
          </w:tcPr>
          <w:p w14:paraId="3E95B4F6" w14:textId="77777777" w:rsidR="001E4D03" w:rsidRPr="00F12E3D" w:rsidRDefault="001E4D03" w:rsidP="0034622E">
            <w:pPr>
              <w:jc w:val="right"/>
              <w:rPr>
                <w:rFonts w:ascii="Arial" w:eastAsia="Calibri" w:hAnsi="Arial" w:cs="Arial"/>
                <w:b/>
                <w:color w:val="000000" w:themeColor="text1"/>
                <w:sz w:val="14"/>
                <w:szCs w:val="14"/>
              </w:rPr>
            </w:pPr>
          </w:p>
        </w:tc>
        <w:tc>
          <w:tcPr>
            <w:tcW w:w="295" w:type="pct"/>
            <w:vAlign w:val="bottom"/>
          </w:tcPr>
          <w:p w14:paraId="104C15AA" w14:textId="77777777" w:rsidR="001E4D03" w:rsidRPr="00F12E3D" w:rsidRDefault="001E4D03" w:rsidP="0034622E">
            <w:pPr>
              <w:jc w:val="right"/>
              <w:rPr>
                <w:rFonts w:ascii="Arial" w:eastAsia="Calibri" w:hAnsi="Arial" w:cs="Arial"/>
                <w:b/>
                <w:color w:val="000000" w:themeColor="text1"/>
                <w:sz w:val="14"/>
                <w:szCs w:val="14"/>
              </w:rPr>
            </w:pPr>
          </w:p>
        </w:tc>
        <w:tc>
          <w:tcPr>
            <w:tcW w:w="287" w:type="pct"/>
            <w:vAlign w:val="bottom"/>
          </w:tcPr>
          <w:p w14:paraId="51E7DB7F" w14:textId="77777777" w:rsidR="001E4D03" w:rsidRPr="00F12E3D" w:rsidRDefault="001E4D03" w:rsidP="0034622E">
            <w:pPr>
              <w:jc w:val="right"/>
              <w:rPr>
                <w:rFonts w:ascii="Arial" w:eastAsia="Calibri" w:hAnsi="Arial" w:cs="Arial"/>
                <w:b/>
                <w:color w:val="000000" w:themeColor="text1"/>
                <w:sz w:val="14"/>
                <w:szCs w:val="14"/>
              </w:rPr>
            </w:pPr>
            <w:r>
              <w:rPr>
                <w:rFonts w:ascii="Arial" w:eastAsia="Calibri" w:hAnsi="Arial" w:cs="Arial"/>
                <w:b/>
                <w:color w:val="000000" w:themeColor="text1"/>
                <w:sz w:val="14"/>
                <w:szCs w:val="14"/>
              </w:rPr>
              <w:t>Stupanj 2</w:t>
            </w:r>
          </w:p>
        </w:tc>
        <w:tc>
          <w:tcPr>
            <w:tcW w:w="297" w:type="pct"/>
            <w:vAlign w:val="bottom"/>
          </w:tcPr>
          <w:p w14:paraId="46DC6E94" w14:textId="77777777" w:rsidR="001E4D03" w:rsidRPr="00F12E3D" w:rsidRDefault="001E4D03" w:rsidP="0034622E">
            <w:pPr>
              <w:jc w:val="right"/>
              <w:rPr>
                <w:rFonts w:ascii="Arial" w:eastAsia="Calibri" w:hAnsi="Arial" w:cs="Arial"/>
                <w:b/>
                <w:color w:val="000000" w:themeColor="text1"/>
                <w:sz w:val="14"/>
                <w:szCs w:val="14"/>
              </w:rPr>
            </w:pPr>
            <w:r>
              <w:rPr>
                <w:rFonts w:ascii="Arial" w:eastAsia="Calibri" w:hAnsi="Arial" w:cs="Arial"/>
                <w:b/>
                <w:color w:val="000000" w:themeColor="text1"/>
                <w:sz w:val="14"/>
                <w:szCs w:val="14"/>
              </w:rPr>
              <w:t>Stupanj 3</w:t>
            </w:r>
          </w:p>
        </w:tc>
        <w:tc>
          <w:tcPr>
            <w:tcW w:w="312" w:type="pct"/>
            <w:vAlign w:val="bottom"/>
          </w:tcPr>
          <w:p w14:paraId="118AFCA2" w14:textId="77777777" w:rsidR="001E4D03" w:rsidRPr="00F12E3D" w:rsidRDefault="001E4D03" w:rsidP="0034622E">
            <w:pPr>
              <w:jc w:val="right"/>
              <w:rPr>
                <w:rFonts w:ascii="Arial" w:eastAsia="Calibri" w:hAnsi="Arial" w:cs="Arial"/>
                <w:b/>
                <w:color w:val="000000" w:themeColor="text1"/>
                <w:sz w:val="14"/>
                <w:szCs w:val="14"/>
              </w:rPr>
            </w:pPr>
          </w:p>
        </w:tc>
        <w:tc>
          <w:tcPr>
            <w:tcW w:w="333" w:type="pct"/>
            <w:vAlign w:val="bottom"/>
          </w:tcPr>
          <w:p w14:paraId="1C0A96AA" w14:textId="77777777" w:rsidR="001E4D03" w:rsidRPr="00F12E3D" w:rsidRDefault="001E4D03" w:rsidP="0034622E">
            <w:pPr>
              <w:jc w:val="right"/>
              <w:rPr>
                <w:rFonts w:ascii="Arial" w:eastAsia="Calibri" w:hAnsi="Arial" w:cs="Arial"/>
                <w:b/>
                <w:color w:val="000000" w:themeColor="text1"/>
                <w:sz w:val="14"/>
                <w:szCs w:val="14"/>
              </w:rPr>
            </w:pPr>
          </w:p>
        </w:tc>
        <w:tc>
          <w:tcPr>
            <w:tcW w:w="328" w:type="pct"/>
            <w:vAlign w:val="bottom"/>
          </w:tcPr>
          <w:p w14:paraId="5D42B9FE" w14:textId="77777777" w:rsidR="001E4D03" w:rsidRPr="00F12E3D" w:rsidRDefault="001E4D03" w:rsidP="0034622E">
            <w:pPr>
              <w:jc w:val="right"/>
              <w:rPr>
                <w:rFonts w:ascii="Arial" w:eastAsia="Calibri" w:hAnsi="Arial" w:cs="Arial"/>
                <w:b/>
                <w:color w:val="000000" w:themeColor="text1"/>
                <w:sz w:val="14"/>
                <w:szCs w:val="14"/>
              </w:rPr>
            </w:pPr>
          </w:p>
        </w:tc>
        <w:tc>
          <w:tcPr>
            <w:tcW w:w="329" w:type="pct"/>
            <w:vAlign w:val="bottom"/>
          </w:tcPr>
          <w:p w14:paraId="63E634FD" w14:textId="77777777" w:rsidR="001E4D03" w:rsidRPr="00F12E3D" w:rsidRDefault="001E4D03" w:rsidP="0034622E">
            <w:pPr>
              <w:jc w:val="right"/>
              <w:rPr>
                <w:rFonts w:ascii="Arial" w:eastAsia="Calibri" w:hAnsi="Arial" w:cs="Arial"/>
                <w:b/>
                <w:color w:val="000000" w:themeColor="text1"/>
                <w:sz w:val="14"/>
                <w:szCs w:val="14"/>
              </w:rPr>
            </w:pPr>
          </w:p>
        </w:tc>
        <w:tc>
          <w:tcPr>
            <w:tcW w:w="329" w:type="pct"/>
            <w:vAlign w:val="bottom"/>
          </w:tcPr>
          <w:p w14:paraId="118BC772" w14:textId="77777777" w:rsidR="001E4D03" w:rsidRPr="00F12E3D" w:rsidRDefault="001E4D03" w:rsidP="0034622E">
            <w:pPr>
              <w:jc w:val="right"/>
              <w:rPr>
                <w:rFonts w:ascii="Arial" w:eastAsia="Calibri" w:hAnsi="Arial" w:cs="Arial"/>
                <w:b/>
                <w:color w:val="000000" w:themeColor="text1"/>
                <w:sz w:val="14"/>
                <w:szCs w:val="14"/>
              </w:rPr>
            </w:pPr>
          </w:p>
        </w:tc>
        <w:tc>
          <w:tcPr>
            <w:tcW w:w="329" w:type="pct"/>
            <w:vAlign w:val="bottom"/>
          </w:tcPr>
          <w:p w14:paraId="3A6F2BB8" w14:textId="77777777" w:rsidR="001E4D03" w:rsidRPr="00F12E3D" w:rsidRDefault="001E4D03" w:rsidP="0034622E">
            <w:pPr>
              <w:jc w:val="right"/>
              <w:rPr>
                <w:rFonts w:ascii="Arial" w:eastAsia="Calibri" w:hAnsi="Arial" w:cs="Arial"/>
                <w:b/>
                <w:color w:val="000000" w:themeColor="text1"/>
                <w:sz w:val="14"/>
                <w:szCs w:val="14"/>
              </w:rPr>
            </w:pPr>
            <w:r>
              <w:rPr>
                <w:rFonts w:ascii="Arial" w:eastAsia="Calibri" w:hAnsi="Arial" w:cs="Arial"/>
                <w:b/>
                <w:color w:val="000000" w:themeColor="text1"/>
                <w:sz w:val="14"/>
                <w:szCs w:val="14"/>
              </w:rPr>
              <w:t>Stupanj 2</w:t>
            </w:r>
          </w:p>
        </w:tc>
        <w:tc>
          <w:tcPr>
            <w:tcW w:w="330" w:type="pct"/>
            <w:vAlign w:val="bottom"/>
          </w:tcPr>
          <w:p w14:paraId="55ECFA60" w14:textId="77777777" w:rsidR="001E4D03" w:rsidRPr="00F12E3D" w:rsidRDefault="001E4D03" w:rsidP="0034622E">
            <w:pPr>
              <w:jc w:val="right"/>
              <w:rPr>
                <w:rFonts w:ascii="Arial" w:eastAsia="Calibri" w:hAnsi="Arial" w:cs="Arial"/>
                <w:b/>
                <w:color w:val="000000" w:themeColor="text1"/>
                <w:sz w:val="14"/>
                <w:szCs w:val="14"/>
              </w:rPr>
            </w:pPr>
            <w:r>
              <w:rPr>
                <w:rFonts w:ascii="Arial" w:eastAsia="Calibri" w:hAnsi="Arial" w:cs="Arial"/>
                <w:b/>
                <w:color w:val="000000" w:themeColor="text1"/>
                <w:sz w:val="14"/>
                <w:szCs w:val="14"/>
              </w:rPr>
              <w:t>Stupanj 3</w:t>
            </w:r>
          </w:p>
        </w:tc>
        <w:tc>
          <w:tcPr>
            <w:tcW w:w="371" w:type="pct"/>
            <w:vAlign w:val="bottom"/>
          </w:tcPr>
          <w:p w14:paraId="7F4E081E" w14:textId="77777777" w:rsidR="001E4D03" w:rsidRPr="00F12E3D" w:rsidRDefault="001E4D03" w:rsidP="0034622E">
            <w:pPr>
              <w:jc w:val="right"/>
              <w:rPr>
                <w:rFonts w:ascii="Arial" w:eastAsia="Calibri" w:hAnsi="Arial" w:cs="Arial"/>
                <w:b/>
                <w:color w:val="000000" w:themeColor="text1"/>
                <w:sz w:val="14"/>
                <w:szCs w:val="14"/>
              </w:rPr>
            </w:pPr>
          </w:p>
        </w:tc>
        <w:tc>
          <w:tcPr>
            <w:tcW w:w="323" w:type="pct"/>
            <w:vAlign w:val="bottom"/>
          </w:tcPr>
          <w:p w14:paraId="6F9A5F88" w14:textId="77777777" w:rsidR="001E4D03" w:rsidRPr="00F12E3D" w:rsidRDefault="001E4D03" w:rsidP="0034622E">
            <w:pPr>
              <w:jc w:val="right"/>
              <w:rPr>
                <w:rFonts w:ascii="Arial" w:eastAsia="Calibri" w:hAnsi="Arial" w:cs="Arial"/>
                <w:b/>
                <w:color w:val="000000" w:themeColor="text1"/>
                <w:sz w:val="14"/>
                <w:szCs w:val="14"/>
              </w:rPr>
            </w:pPr>
          </w:p>
        </w:tc>
      </w:tr>
      <w:tr w:rsidR="001E4D03" w:rsidRPr="00F12E3D" w14:paraId="4F503FDC" w14:textId="77777777" w:rsidTr="0034622E">
        <w:trPr>
          <w:trHeight w:val="160"/>
        </w:trPr>
        <w:tc>
          <w:tcPr>
            <w:tcW w:w="538" w:type="pct"/>
          </w:tcPr>
          <w:p w14:paraId="60D1AB25" w14:textId="77777777" w:rsidR="001E4D03" w:rsidRPr="00F12E3D" w:rsidRDefault="001E4D03" w:rsidP="0034622E">
            <w:pPr>
              <w:rPr>
                <w:rFonts w:ascii="Arial" w:eastAsia="Calibri" w:hAnsi="Arial" w:cs="Arial"/>
                <w:b/>
                <w:bCs/>
                <w:color w:val="000000" w:themeColor="text1"/>
                <w:sz w:val="14"/>
                <w:szCs w:val="14"/>
              </w:rPr>
            </w:pPr>
          </w:p>
        </w:tc>
        <w:tc>
          <w:tcPr>
            <w:tcW w:w="301" w:type="pct"/>
          </w:tcPr>
          <w:p w14:paraId="669F9E47" w14:textId="77777777" w:rsidR="001E4D03" w:rsidRPr="00F12E3D" w:rsidRDefault="001E4D03" w:rsidP="0034622E">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000 eura</w:t>
            </w:r>
          </w:p>
        </w:tc>
        <w:tc>
          <w:tcPr>
            <w:tcW w:w="298" w:type="pct"/>
          </w:tcPr>
          <w:p w14:paraId="148802F4" w14:textId="77777777" w:rsidR="001E4D03" w:rsidRPr="00F12E3D" w:rsidRDefault="001E4D03" w:rsidP="0034622E">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000 eura</w:t>
            </w:r>
          </w:p>
        </w:tc>
        <w:tc>
          <w:tcPr>
            <w:tcW w:w="295" w:type="pct"/>
          </w:tcPr>
          <w:p w14:paraId="40E61977" w14:textId="77777777" w:rsidR="001E4D03" w:rsidRPr="00F12E3D" w:rsidRDefault="001E4D03" w:rsidP="0034622E">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000 eura</w:t>
            </w:r>
          </w:p>
        </w:tc>
        <w:tc>
          <w:tcPr>
            <w:tcW w:w="287" w:type="pct"/>
          </w:tcPr>
          <w:p w14:paraId="566BC75E" w14:textId="77777777" w:rsidR="001E4D03" w:rsidRPr="00F12E3D" w:rsidRDefault="001E4D03" w:rsidP="0034622E">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000 eura</w:t>
            </w:r>
          </w:p>
        </w:tc>
        <w:tc>
          <w:tcPr>
            <w:tcW w:w="297" w:type="pct"/>
          </w:tcPr>
          <w:p w14:paraId="7FCC3284" w14:textId="77777777" w:rsidR="001E4D03" w:rsidRPr="00F12E3D" w:rsidRDefault="001E4D03" w:rsidP="0034622E">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000 eura</w:t>
            </w:r>
          </w:p>
        </w:tc>
        <w:tc>
          <w:tcPr>
            <w:tcW w:w="312" w:type="pct"/>
          </w:tcPr>
          <w:p w14:paraId="57BAFC32" w14:textId="77777777" w:rsidR="001E4D03" w:rsidRPr="00F12E3D" w:rsidRDefault="001E4D03" w:rsidP="0034622E">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000 eura</w:t>
            </w:r>
          </w:p>
        </w:tc>
        <w:tc>
          <w:tcPr>
            <w:tcW w:w="333" w:type="pct"/>
          </w:tcPr>
          <w:p w14:paraId="3B69E8F3" w14:textId="77777777" w:rsidR="001E4D03" w:rsidRPr="00F12E3D" w:rsidRDefault="001E4D03" w:rsidP="0034622E">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000 eura</w:t>
            </w:r>
          </w:p>
        </w:tc>
        <w:tc>
          <w:tcPr>
            <w:tcW w:w="328" w:type="pct"/>
          </w:tcPr>
          <w:p w14:paraId="691A837F" w14:textId="77777777" w:rsidR="001E4D03" w:rsidRPr="00F12E3D" w:rsidRDefault="001E4D03" w:rsidP="0034622E">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000 eura</w:t>
            </w:r>
          </w:p>
        </w:tc>
        <w:tc>
          <w:tcPr>
            <w:tcW w:w="329" w:type="pct"/>
          </w:tcPr>
          <w:p w14:paraId="39339B72" w14:textId="77777777" w:rsidR="001E4D03" w:rsidRPr="00F12E3D" w:rsidRDefault="001E4D03" w:rsidP="0034622E">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000 eura</w:t>
            </w:r>
          </w:p>
        </w:tc>
        <w:tc>
          <w:tcPr>
            <w:tcW w:w="329" w:type="pct"/>
          </w:tcPr>
          <w:p w14:paraId="0BDF2501" w14:textId="77777777" w:rsidR="001E4D03" w:rsidRPr="00F12E3D" w:rsidRDefault="001E4D03" w:rsidP="0034622E">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000 eura</w:t>
            </w:r>
          </w:p>
        </w:tc>
        <w:tc>
          <w:tcPr>
            <w:tcW w:w="329" w:type="pct"/>
          </w:tcPr>
          <w:p w14:paraId="0A9B60DF" w14:textId="77777777" w:rsidR="001E4D03" w:rsidRPr="00F12E3D" w:rsidRDefault="001E4D03" w:rsidP="0034622E">
            <w:pPr>
              <w:jc w:val="right"/>
              <w:rPr>
                <w:rFonts w:ascii="Arial" w:eastAsia="Calibri" w:hAnsi="Arial" w:cs="Arial"/>
                <w:b/>
                <w:color w:val="000000" w:themeColor="text1"/>
                <w:sz w:val="14"/>
                <w:szCs w:val="14"/>
              </w:rPr>
            </w:pPr>
            <w:r w:rsidRPr="003A2506">
              <w:rPr>
                <w:rFonts w:ascii="Arial" w:eastAsia="Calibri" w:hAnsi="Arial" w:cs="Arial"/>
                <w:b/>
                <w:color w:val="000000" w:themeColor="text1"/>
                <w:sz w:val="14"/>
                <w:szCs w:val="14"/>
              </w:rPr>
              <w:t>000 eura</w:t>
            </w:r>
          </w:p>
        </w:tc>
        <w:tc>
          <w:tcPr>
            <w:tcW w:w="330" w:type="pct"/>
          </w:tcPr>
          <w:p w14:paraId="05E005C2" w14:textId="77777777" w:rsidR="001E4D03" w:rsidRPr="00F12E3D" w:rsidRDefault="001E4D03" w:rsidP="0034622E">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000 eura</w:t>
            </w:r>
          </w:p>
        </w:tc>
        <w:tc>
          <w:tcPr>
            <w:tcW w:w="371" w:type="pct"/>
          </w:tcPr>
          <w:p w14:paraId="7E49A689" w14:textId="77777777" w:rsidR="001E4D03" w:rsidRPr="00F12E3D" w:rsidRDefault="001E4D03" w:rsidP="0034622E">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000 eura</w:t>
            </w:r>
          </w:p>
        </w:tc>
        <w:tc>
          <w:tcPr>
            <w:tcW w:w="323" w:type="pct"/>
          </w:tcPr>
          <w:p w14:paraId="6A86C569" w14:textId="77777777" w:rsidR="001E4D03" w:rsidRPr="00F12E3D" w:rsidRDefault="001E4D03" w:rsidP="0034622E">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000 eura</w:t>
            </w:r>
          </w:p>
        </w:tc>
      </w:tr>
      <w:tr w:rsidR="001E4D03" w:rsidRPr="00F12E3D" w14:paraId="576018F2" w14:textId="77777777" w:rsidTr="0034622E">
        <w:trPr>
          <w:trHeight w:val="117"/>
        </w:trPr>
        <w:tc>
          <w:tcPr>
            <w:tcW w:w="538" w:type="pct"/>
            <w:vAlign w:val="bottom"/>
          </w:tcPr>
          <w:p w14:paraId="54AEB848" w14:textId="77777777" w:rsidR="001E4D03" w:rsidRPr="003A2506" w:rsidRDefault="001E4D03" w:rsidP="0034622E">
            <w:pPr>
              <w:tabs>
                <w:tab w:val="right" w:pos="1202"/>
              </w:tabs>
              <w:outlineLvl w:val="0"/>
              <w:rPr>
                <w:rFonts w:ascii="Arial" w:eastAsia="Calibri" w:hAnsi="Arial" w:cs="Arial"/>
                <w:b/>
                <w:bCs/>
                <w:color w:val="000000" w:themeColor="text1"/>
                <w:sz w:val="14"/>
                <w:szCs w:val="14"/>
              </w:rPr>
            </w:pPr>
            <w:r w:rsidRPr="003A2506">
              <w:rPr>
                <w:rFonts w:ascii="Arial" w:eastAsia="Calibri" w:hAnsi="Arial" w:cs="Arial"/>
                <w:b/>
                <w:bCs/>
                <w:color w:val="000000" w:themeColor="text1"/>
                <w:sz w:val="14"/>
                <w:szCs w:val="14"/>
              </w:rPr>
              <w:t>Imovina</w:t>
            </w:r>
          </w:p>
        </w:tc>
        <w:tc>
          <w:tcPr>
            <w:tcW w:w="301" w:type="pct"/>
            <w:vAlign w:val="bottom"/>
          </w:tcPr>
          <w:p w14:paraId="4DE0886F" w14:textId="77777777" w:rsidR="001E4D03" w:rsidRPr="00F84C24" w:rsidRDefault="001E4D03" w:rsidP="0034622E">
            <w:pPr>
              <w:jc w:val="right"/>
              <w:rPr>
                <w:rFonts w:ascii="Arial" w:eastAsia="Calibri" w:hAnsi="Arial" w:cs="Arial"/>
                <w:color w:val="000000" w:themeColor="text1"/>
                <w:sz w:val="14"/>
                <w:szCs w:val="14"/>
              </w:rPr>
            </w:pPr>
          </w:p>
        </w:tc>
        <w:tc>
          <w:tcPr>
            <w:tcW w:w="298" w:type="pct"/>
            <w:vAlign w:val="bottom"/>
          </w:tcPr>
          <w:p w14:paraId="39DEE1D7" w14:textId="77777777" w:rsidR="001E4D03" w:rsidRPr="00F84C24" w:rsidRDefault="001E4D03" w:rsidP="0034622E">
            <w:pPr>
              <w:jc w:val="right"/>
              <w:rPr>
                <w:rFonts w:ascii="Arial" w:eastAsia="Calibri" w:hAnsi="Arial" w:cs="Arial"/>
                <w:color w:val="000000" w:themeColor="text1"/>
                <w:sz w:val="14"/>
                <w:szCs w:val="14"/>
              </w:rPr>
            </w:pPr>
          </w:p>
        </w:tc>
        <w:tc>
          <w:tcPr>
            <w:tcW w:w="295" w:type="pct"/>
            <w:vAlign w:val="bottom"/>
          </w:tcPr>
          <w:p w14:paraId="368AD4F1" w14:textId="77777777" w:rsidR="001E4D03" w:rsidRPr="00F84C24" w:rsidRDefault="001E4D03" w:rsidP="0034622E">
            <w:pPr>
              <w:jc w:val="right"/>
              <w:rPr>
                <w:rFonts w:ascii="Arial" w:eastAsia="Calibri" w:hAnsi="Arial" w:cs="Arial"/>
                <w:color w:val="000000" w:themeColor="text1"/>
                <w:sz w:val="14"/>
                <w:szCs w:val="14"/>
              </w:rPr>
            </w:pPr>
          </w:p>
        </w:tc>
        <w:tc>
          <w:tcPr>
            <w:tcW w:w="287" w:type="pct"/>
            <w:vAlign w:val="bottom"/>
          </w:tcPr>
          <w:p w14:paraId="0717E13E" w14:textId="77777777" w:rsidR="001E4D03" w:rsidRPr="00F84C24" w:rsidRDefault="001E4D03" w:rsidP="0034622E">
            <w:pPr>
              <w:jc w:val="right"/>
              <w:rPr>
                <w:rFonts w:ascii="Arial" w:eastAsia="Calibri" w:hAnsi="Arial" w:cs="Arial"/>
                <w:color w:val="000000" w:themeColor="text1"/>
                <w:sz w:val="14"/>
                <w:szCs w:val="14"/>
              </w:rPr>
            </w:pPr>
          </w:p>
        </w:tc>
        <w:tc>
          <w:tcPr>
            <w:tcW w:w="297" w:type="pct"/>
            <w:vAlign w:val="bottom"/>
          </w:tcPr>
          <w:p w14:paraId="3A28CA23" w14:textId="77777777" w:rsidR="001E4D03" w:rsidRPr="00F84C24" w:rsidRDefault="001E4D03" w:rsidP="0034622E">
            <w:pPr>
              <w:jc w:val="right"/>
              <w:rPr>
                <w:rFonts w:ascii="Arial" w:eastAsia="Calibri" w:hAnsi="Arial" w:cs="Arial"/>
                <w:color w:val="000000" w:themeColor="text1"/>
                <w:sz w:val="14"/>
                <w:szCs w:val="14"/>
              </w:rPr>
            </w:pPr>
          </w:p>
        </w:tc>
        <w:tc>
          <w:tcPr>
            <w:tcW w:w="312" w:type="pct"/>
            <w:vAlign w:val="bottom"/>
          </w:tcPr>
          <w:p w14:paraId="49DF668C" w14:textId="77777777" w:rsidR="001E4D03" w:rsidRPr="00F84C24" w:rsidRDefault="001E4D03" w:rsidP="0034622E">
            <w:pPr>
              <w:jc w:val="right"/>
              <w:rPr>
                <w:rFonts w:ascii="Arial" w:eastAsia="Calibri" w:hAnsi="Arial" w:cs="Arial"/>
                <w:color w:val="000000" w:themeColor="text1"/>
                <w:sz w:val="14"/>
                <w:szCs w:val="14"/>
              </w:rPr>
            </w:pPr>
          </w:p>
        </w:tc>
        <w:tc>
          <w:tcPr>
            <w:tcW w:w="333" w:type="pct"/>
            <w:vAlign w:val="bottom"/>
          </w:tcPr>
          <w:p w14:paraId="1A6DEDCA" w14:textId="77777777" w:rsidR="001E4D03" w:rsidRPr="00F84C24" w:rsidRDefault="001E4D03" w:rsidP="0034622E">
            <w:pPr>
              <w:jc w:val="right"/>
              <w:rPr>
                <w:rFonts w:ascii="Arial" w:eastAsia="Calibri" w:hAnsi="Arial" w:cs="Arial"/>
                <w:color w:val="000000" w:themeColor="text1"/>
                <w:sz w:val="14"/>
                <w:szCs w:val="14"/>
              </w:rPr>
            </w:pPr>
          </w:p>
        </w:tc>
        <w:tc>
          <w:tcPr>
            <w:tcW w:w="328" w:type="pct"/>
            <w:vAlign w:val="bottom"/>
          </w:tcPr>
          <w:p w14:paraId="06482B90" w14:textId="77777777" w:rsidR="001E4D03" w:rsidRPr="00F84C24" w:rsidRDefault="001E4D03" w:rsidP="0034622E">
            <w:pPr>
              <w:jc w:val="right"/>
              <w:rPr>
                <w:rFonts w:ascii="Arial" w:eastAsia="Calibri" w:hAnsi="Arial" w:cs="Arial"/>
                <w:color w:val="000000" w:themeColor="text1"/>
                <w:sz w:val="14"/>
                <w:szCs w:val="14"/>
              </w:rPr>
            </w:pPr>
          </w:p>
        </w:tc>
        <w:tc>
          <w:tcPr>
            <w:tcW w:w="329" w:type="pct"/>
            <w:vAlign w:val="bottom"/>
          </w:tcPr>
          <w:p w14:paraId="19BBEA3D" w14:textId="77777777" w:rsidR="001E4D03" w:rsidRPr="00F84C24" w:rsidRDefault="001E4D03" w:rsidP="0034622E">
            <w:pPr>
              <w:jc w:val="right"/>
              <w:rPr>
                <w:rFonts w:ascii="Arial" w:eastAsia="Calibri" w:hAnsi="Arial" w:cs="Arial"/>
                <w:color w:val="000000" w:themeColor="text1"/>
                <w:sz w:val="14"/>
                <w:szCs w:val="14"/>
              </w:rPr>
            </w:pPr>
          </w:p>
        </w:tc>
        <w:tc>
          <w:tcPr>
            <w:tcW w:w="329" w:type="pct"/>
            <w:vAlign w:val="bottom"/>
          </w:tcPr>
          <w:p w14:paraId="5915DF1B" w14:textId="77777777" w:rsidR="001E4D03" w:rsidRPr="00F84C24" w:rsidRDefault="001E4D03" w:rsidP="0034622E">
            <w:pPr>
              <w:jc w:val="right"/>
              <w:rPr>
                <w:rFonts w:ascii="Arial" w:eastAsia="Calibri" w:hAnsi="Arial" w:cs="Arial"/>
                <w:color w:val="000000" w:themeColor="text1"/>
                <w:sz w:val="14"/>
                <w:szCs w:val="14"/>
              </w:rPr>
            </w:pPr>
          </w:p>
        </w:tc>
        <w:tc>
          <w:tcPr>
            <w:tcW w:w="329" w:type="pct"/>
            <w:vAlign w:val="bottom"/>
          </w:tcPr>
          <w:p w14:paraId="371CEA72" w14:textId="77777777" w:rsidR="001E4D03" w:rsidRPr="00F84C24" w:rsidRDefault="001E4D03" w:rsidP="0034622E">
            <w:pPr>
              <w:jc w:val="right"/>
              <w:rPr>
                <w:rFonts w:ascii="Arial" w:eastAsia="Calibri" w:hAnsi="Arial" w:cs="Arial"/>
                <w:color w:val="000000" w:themeColor="text1"/>
                <w:sz w:val="14"/>
                <w:szCs w:val="14"/>
              </w:rPr>
            </w:pPr>
          </w:p>
        </w:tc>
        <w:tc>
          <w:tcPr>
            <w:tcW w:w="330" w:type="pct"/>
            <w:vAlign w:val="bottom"/>
          </w:tcPr>
          <w:p w14:paraId="6B5AF6DF" w14:textId="77777777" w:rsidR="001E4D03" w:rsidRPr="00F84C24" w:rsidRDefault="001E4D03" w:rsidP="0034622E">
            <w:pPr>
              <w:jc w:val="right"/>
              <w:rPr>
                <w:rFonts w:ascii="Arial" w:eastAsia="Calibri" w:hAnsi="Arial" w:cs="Arial"/>
                <w:color w:val="000000" w:themeColor="text1"/>
                <w:sz w:val="14"/>
                <w:szCs w:val="14"/>
              </w:rPr>
            </w:pPr>
          </w:p>
        </w:tc>
        <w:tc>
          <w:tcPr>
            <w:tcW w:w="371" w:type="pct"/>
            <w:vAlign w:val="bottom"/>
          </w:tcPr>
          <w:p w14:paraId="1BBDB297" w14:textId="77777777" w:rsidR="001E4D03" w:rsidRPr="00F84C24" w:rsidRDefault="001E4D03" w:rsidP="0034622E">
            <w:pPr>
              <w:jc w:val="right"/>
              <w:rPr>
                <w:rFonts w:ascii="Arial" w:eastAsia="Calibri" w:hAnsi="Arial" w:cs="Arial"/>
                <w:color w:val="000000" w:themeColor="text1"/>
                <w:sz w:val="14"/>
                <w:szCs w:val="14"/>
              </w:rPr>
            </w:pPr>
          </w:p>
        </w:tc>
        <w:tc>
          <w:tcPr>
            <w:tcW w:w="323" w:type="pct"/>
            <w:vAlign w:val="bottom"/>
          </w:tcPr>
          <w:p w14:paraId="5778FBC8" w14:textId="77777777" w:rsidR="001E4D03" w:rsidRPr="00F84C24" w:rsidRDefault="001E4D03" w:rsidP="0034622E">
            <w:pPr>
              <w:jc w:val="right"/>
              <w:rPr>
                <w:rFonts w:ascii="Arial" w:eastAsia="Calibri" w:hAnsi="Arial" w:cs="Arial"/>
                <w:color w:val="000000" w:themeColor="text1"/>
                <w:sz w:val="14"/>
                <w:szCs w:val="14"/>
              </w:rPr>
            </w:pPr>
          </w:p>
        </w:tc>
      </w:tr>
      <w:tr w:rsidR="001E4D03" w:rsidRPr="00F12E3D" w14:paraId="1B57A9F4" w14:textId="77777777" w:rsidTr="0034622E">
        <w:trPr>
          <w:trHeight w:val="189"/>
        </w:trPr>
        <w:tc>
          <w:tcPr>
            <w:tcW w:w="538" w:type="pct"/>
            <w:vAlign w:val="bottom"/>
          </w:tcPr>
          <w:p w14:paraId="1CA9EE55" w14:textId="77777777" w:rsidR="001E4D03" w:rsidRPr="00F12E3D" w:rsidRDefault="001E4D03" w:rsidP="0034622E">
            <w:pPr>
              <w:tabs>
                <w:tab w:val="right" w:pos="1202"/>
              </w:tabs>
              <w:outlineLvl w:val="0"/>
              <w:rPr>
                <w:rFonts w:ascii="Arial" w:eastAsia="Calibri" w:hAnsi="Arial" w:cs="Arial"/>
                <w:color w:val="000000" w:themeColor="text1"/>
                <w:sz w:val="14"/>
                <w:szCs w:val="14"/>
              </w:rPr>
            </w:pPr>
            <w:r w:rsidRPr="00F12E3D">
              <w:rPr>
                <w:rFonts w:ascii="Arial" w:eastAsia="Calibri" w:hAnsi="Arial" w:cs="Arial"/>
                <w:color w:val="000000" w:themeColor="text1"/>
                <w:sz w:val="14"/>
                <w:szCs w:val="14"/>
              </w:rPr>
              <w:t>Novčana sredstva i računi kod banaka</w:t>
            </w:r>
          </w:p>
        </w:tc>
        <w:tc>
          <w:tcPr>
            <w:tcW w:w="301" w:type="pct"/>
            <w:tcBorders>
              <w:top w:val="nil"/>
              <w:left w:val="nil"/>
              <w:bottom w:val="nil"/>
              <w:right w:val="nil"/>
            </w:tcBorders>
            <w:shd w:val="clear" w:color="auto" w:fill="auto"/>
            <w:vAlign w:val="bottom"/>
          </w:tcPr>
          <w:p w14:paraId="3E28F45E" w14:textId="77777777" w:rsidR="001E4D03" w:rsidRPr="003A2506" w:rsidRDefault="001E4D03" w:rsidP="0034622E">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41.543 </w:t>
            </w:r>
          </w:p>
        </w:tc>
        <w:tc>
          <w:tcPr>
            <w:tcW w:w="298" w:type="pct"/>
            <w:tcBorders>
              <w:top w:val="nil"/>
              <w:left w:val="nil"/>
              <w:bottom w:val="nil"/>
              <w:right w:val="nil"/>
            </w:tcBorders>
            <w:shd w:val="clear" w:color="auto" w:fill="auto"/>
            <w:vAlign w:val="bottom"/>
          </w:tcPr>
          <w:p w14:paraId="44338A8C" w14:textId="77777777" w:rsidR="001E4D03" w:rsidRPr="003A2506" w:rsidRDefault="001E4D03" w:rsidP="0034622E">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 </w:t>
            </w:r>
          </w:p>
        </w:tc>
        <w:tc>
          <w:tcPr>
            <w:tcW w:w="295" w:type="pct"/>
            <w:tcBorders>
              <w:top w:val="nil"/>
              <w:left w:val="nil"/>
              <w:bottom w:val="nil"/>
              <w:right w:val="nil"/>
            </w:tcBorders>
            <w:shd w:val="clear" w:color="auto" w:fill="auto"/>
            <w:vAlign w:val="bottom"/>
          </w:tcPr>
          <w:p w14:paraId="0856F2E1" w14:textId="77777777" w:rsidR="001E4D03" w:rsidRPr="003A2506" w:rsidRDefault="001E4D03" w:rsidP="0034622E">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 </w:t>
            </w:r>
          </w:p>
        </w:tc>
        <w:tc>
          <w:tcPr>
            <w:tcW w:w="287" w:type="pct"/>
            <w:tcBorders>
              <w:top w:val="nil"/>
              <w:left w:val="nil"/>
              <w:bottom w:val="nil"/>
              <w:right w:val="nil"/>
            </w:tcBorders>
            <w:shd w:val="clear" w:color="auto" w:fill="auto"/>
            <w:vAlign w:val="bottom"/>
          </w:tcPr>
          <w:p w14:paraId="0AB0694C" w14:textId="77777777" w:rsidR="001E4D03" w:rsidRPr="00F959D0" w:rsidRDefault="001E4D03" w:rsidP="0034622E">
            <w:pPr>
              <w:jc w:val="right"/>
              <w:rPr>
                <w:rFonts w:ascii="Arial" w:eastAsia="Calibri" w:hAnsi="Arial" w:cs="Arial"/>
                <w:color w:val="000000" w:themeColor="text1"/>
                <w:sz w:val="14"/>
                <w:szCs w:val="14"/>
              </w:rPr>
            </w:pPr>
            <w:r w:rsidRPr="00F959D0">
              <w:rPr>
                <w:rFonts w:ascii="Arial" w:eastAsia="Calibri" w:hAnsi="Arial" w:cs="Arial"/>
                <w:color w:val="000000" w:themeColor="text1"/>
                <w:sz w:val="14"/>
                <w:szCs w:val="14"/>
              </w:rPr>
              <w:t xml:space="preserve"> - </w:t>
            </w:r>
          </w:p>
        </w:tc>
        <w:tc>
          <w:tcPr>
            <w:tcW w:w="297" w:type="pct"/>
            <w:tcBorders>
              <w:top w:val="nil"/>
              <w:left w:val="nil"/>
              <w:bottom w:val="nil"/>
              <w:right w:val="nil"/>
            </w:tcBorders>
            <w:shd w:val="clear" w:color="auto" w:fill="auto"/>
            <w:vAlign w:val="bottom"/>
          </w:tcPr>
          <w:p w14:paraId="2CC44DFF" w14:textId="77777777" w:rsidR="001E4D03" w:rsidRPr="003A2506" w:rsidRDefault="001E4D03" w:rsidP="0034622E">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12" w:type="pct"/>
            <w:tcBorders>
              <w:top w:val="nil"/>
              <w:left w:val="nil"/>
              <w:bottom w:val="nil"/>
              <w:right w:val="nil"/>
            </w:tcBorders>
            <w:shd w:val="clear" w:color="auto" w:fill="auto"/>
            <w:vAlign w:val="bottom"/>
          </w:tcPr>
          <w:p w14:paraId="01F0EAC2" w14:textId="77777777" w:rsidR="001E4D03" w:rsidRPr="003A2506" w:rsidRDefault="001E4D03" w:rsidP="0034622E">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 </w:t>
            </w:r>
          </w:p>
        </w:tc>
        <w:tc>
          <w:tcPr>
            <w:tcW w:w="333" w:type="pct"/>
            <w:tcBorders>
              <w:top w:val="nil"/>
              <w:left w:val="nil"/>
              <w:bottom w:val="nil"/>
              <w:right w:val="nil"/>
            </w:tcBorders>
            <w:shd w:val="clear" w:color="auto" w:fill="auto"/>
            <w:vAlign w:val="bottom"/>
          </w:tcPr>
          <w:p w14:paraId="126AD405" w14:textId="77777777" w:rsidR="001E4D03" w:rsidRPr="003A2506" w:rsidRDefault="001E4D03" w:rsidP="0034622E">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41.543 </w:t>
            </w:r>
          </w:p>
        </w:tc>
        <w:tc>
          <w:tcPr>
            <w:tcW w:w="328" w:type="pct"/>
            <w:tcBorders>
              <w:top w:val="nil"/>
              <w:left w:val="nil"/>
              <w:bottom w:val="nil"/>
              <w:right w:val="nil"/>
            </w:tcBorders>
            <w:vAlign w:val="bottom"/>
          </w:tcPr>
          <w:p w14:paraId="2754787F" w14:textId="77777777" w:rsidR="001E4D03" w:rsidRPr="003A2506" w:rsidRDefault="001E4D03" w:rsidP="0034622E">
            <w:pPr>
              <w:jc w:val="right"/>
              <w:rPr>
                <w:rFonts w:ascii="Arial" w:eastAsia="Calibri" w:hAnsi="Arial" w:cs="Arial"/>
                <w:color w:val="000000" w:themeColor="text1"/>
                <w:sz w:val="14"/>
                <w:szCs w:val="14"/>
              </w:rPr>
            </w:pPr>
            <w:r w:rsidRPr="00F959D0">
              <w:rPr>
                <w:rFonts w:ascii="Arial" w:eastAsia="Calibri" w:hAnsi="Arial" w:cs="Arial"/>
                <w:color w:val="000000" w:themeColor="text1"/>
                <w:sz w:val="14"/>
                <w:szCs w:val="14"/>
              </w:rPr>
              <w:t xml:space="preserve"> - </w:t>
            </w:r>
          </w:p>
        </w:tc>
        <w:tc>
          <w:tcPr>
            <w:tcW w:w="329" w:type="pct"/>
            <w:tcBorders>
              <w:top w:val="nil"/>
              <w:left w:val="nil"/>
              <w:bottom w:val="nil"/>
              <w:right w:val="nil"/>
            </w:tcBorders>
            <w:vAlign w:val="bottom"/>
          </w:tcPr>
          <w:p w14:paraId="6E9F5ED9" w14:textId="77777777" w:rsidR="001E4D03" w:rsidRPr="003A2506" w:rsidRDefault="001E4D03" w:rsidP="0034622E">
            <w:pPr>
              <w:jc w:val="right"/>
              <w:rPr>
                <w:rFonts w:ascii="Arial" w:eastAsia="Calibri" w:hAnsi="Arial" w:cs="Arial"/>
                <w:color w:val="000000" w:themeColor="text1"/>
                <w:sz w:val="14"/>
                <w:szCs w:val="14"/>
              </w:rPr>
            </w:pPr>
            <w:r w:rsidRPr="00F959D0">
              <w:rPr>
                <w:rFonts w:ascii="Arial" w:eastAsia="Calibri" w:hAnsi="Arial" w:cs="Arial"/>
                <w:color w:val="000000" w:themeColor="text1"/>
                <w:sz w:val="14"/>
                <w:szCs w:val="14"/>
              </w:rPr>
              <w:t xml:space="preserve"> - </w:t>
            </w:r>
          </w:p>
        </w:tc>
        <w:tc>
          <w:tcPr>
            <w:tcW w:w="329" w:type="pct"/>
            <w:tcBorders>
              <w:top w:val="nil"/>
              <w:left w:val="nil"/>
              <w:bottom w:val="nil"/>
              <w:right w:val="nil"/>
            </w:tcBorders>
            <w:vAlign w:val="bottom"/>
          </w:tcPr>
          <w:p w14:paraId="7306AC4E" w14:textId="77777777" w:rsidR="001E4D03" w:rsidRPr="003A2506" w:rsidRDefault="001E4D03" w:rsidP="0034622E">
            <w:pPr>
              <w:jc w:val="right"/>
              <w:rPr>
                <w:rFonts w:ascii="Arial" w:eastAsia="Calibri" w:hAnsi="Arial" w:cs="Arial"/>
                <w:color w:val="000000" w:themeColor="text1"/>
                <w:sz w:val="14"/>
                <w:szCs w:val="14"/>
              </w:rPr>
            </w:pPr>
            <w:r w:rsidRPr="00F959D0">
              <w:rPr>
                <w:rFonts w:ascii="Arial" w:eastAsia="Calibri" w:hAnsi="Arial" w:cs="Arial"/>
                <w:color w:val="000000" w:themeColor="text1"/>
                <w:sz w:val="14"/>
                <w:szCs w:val="14"/>
              </w:rPr>
              <w:t xml:space="preserve"> - </w:t>
            </w:r>
          </w:p>
        </w:tc>
        <w:tc>
          <w:tcPr>
            <w:tcW w:w="329" w:type="pct"/>
            <w:tcBorders>
              <w:top w:val="nil"/>
              <w:left w:val="nil"/>
              <w:bottom w:val="nil"/>
              <w:right w:val="nil"/>
            </w:tcBorders>
            <w:vAlign w:val="bottom"/>
          </w:tcPr>
          <w:p w14:paraId="620D27BE" w14:textId="77777777" w:rsidR="001E4D03" w:rsidRPr="00F959D0" w:rsidRDefault="001E4D03" w:rsidP="0034622E">
            <w:pPr>
              <w:jc w:val="right"/>
              <w:rPr>
                <w:rFonts w:ascii="Arial" w:eastAsia="Calibri" w:hAnsi="Arial" w:cs="Arial"/>
                <w:color w:val="000000" w:themeColor="text1"/>
                <w:sz w:val="14"/>
                <w:szCs w:val="14"/>
              </w:rPr>
            </w:pPr>
            <w:r w:rsidRPr="00F959D0">
              <w:rPr>
                <w:rFonts w:ascii="Arial" w:eastAsia="Calibri" w:hAnsi="Arial" w:cs="Arial"/>
                <w:color w:val="000000" w:themeColor="text1"/>
                <w:sz w:val="14"/>
                <w:szCs w:val="14"/>
              </w:rPr>
              <w:t xml:space="preserve"> - </w:t>
            </w:r>
          </w:p>
        </w:tc>
        <w:tc>
          <w:tcPr>
            <w:tcW w:w="330" w:type="pct"/>
            <w:tcBorders>
              <w:top w:val="nil"/>
              <w:left w:val="nil"/>
              <w:bottom w:val="nil"/>
              <w:right w:val="nil"/>
            </w:tcBorders>
            <w:vAlign w:val="bottom"/>
          </w:tcPr>
          <w:p w14:paraId="2DBA8428" w14:textId="77777777" w:rsidR="001E4D03" w:rsidRPr="003A2506" w:rsidRDefault="001E4D03" w:rsidP="0034622E">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71" w:type="pct"/>
            <w:tcBorders>
              <w:top w:val="nil"/>
              <w:left w:val="nil"/>
              <w:bottom w:val="nil"/>
              <w:right w:val="nil"/>
            </w:tcBorders>
            <w:vAlign w:val="bottom"/>
          </w:tcPr>
          <w:p w14:paraId="676CCE17" w14:textId="77777777" w:rsidR="001E4D03" w:rsidRPr="003A2506" w:rsidRDefault="001E4D03" w:rsidP="0034622E">
            <w:pPr>
              <w:jc w:val="right"/>
              <w:rPr>
                <w:rFonts w:ascii="Arial" w:eastAsia="Calibri" w:hAnsi="Arial" w:cs="Arial"/>
                <w:color w:val="000000" w:themeColor="text1"/>
                <w:sz w:val="14"/>
                <w:szCs w:val="14"/>
              </w:rPr>
            </w:pPr>
            <w:r w:rsidRPr="00F959D0">
              <w:rPr>
                <w:rFonts w:ascii="Arial" w:eastAsia="Calibri" w:hAnsi="Arial" w:cs="Arial"/>
                <w:color w:val="000000" w:themeColor="text1"/>
                <w:sz w:val="14"/>
                <w:szCs w:val="14"/>
              </w:rPr>
              <w:t xml:space="preserve"> - </w:t>
            </w:r>
          </w:p>
        </w:tc>
        <w:tc>
          <w:tcPr>
            <w:tcW w:w="323" w:type="pct"/>
            <w:tcBorders>
              <w:top w:val="nil"/>
              <w:left w:val="nil"/>
              <w:bottom w:val="nil"/>
              <w:right w:val="nil"/>
            </w:tcBorders>
            <w:vAlign w:val="bottom"/>
          </w:tcPr>
          <w:p w14:paraId="542B4735" w14:textId="77777777" w:rsidR="001E4D03" w:rsidRPr="003A2506" w:rsidRDefault="001E4D03" w:rsidP="0034622E">
            <w:pPr>
              <w:jc w:val="right"/>
              <w:rPr>
                <w:rFonts w:ascii="Arial" w:eastAsia="Calibri" w:hAnsi="Arial" w:cs="Arial"/>
                <w:color w:val="000000" w:themeColor="text1"/>
                <w:sz w:val="14"/>
                <w:szCs w:val="14"/>
              </w:rPr>
            </w:pPr>
            <w:r w:rsidRPr="00F959D0">
              <w:rPr>
                <w:rFonts w:ascii="Arial" w:eastAsia="Calibri" w:hAnsi="Arial" w:cs="Arial"/>
                <w:color w:val="000000" w:themeColor="text1"/>
                <w:sz w:val="14"/>
                <w:szCs w:val="14"/>
              </w:rPr>
              <w:t xml:space="preserve"> - </w:t>
            </w:r>
          </w:p>
        </w:tc>
      </w:tr>
      <w:tr w:rsidR="001E4D03" w:rsidRPr="00F12E3D" w14:paraId="20E4514F" w14:textId="77777777" w:rsidTr="0034622E">
        <w:trPr>
          <w:trHeight w:val="189"/>
        </w:trPr>
        <w:tc>
          <w:tcPr>
            <w:tcW w:w="538" w:type="pct"/>
            <w:vAlign w:val="bottom"/>
          </w:tcPr>
          <w:p w14:paraId="0D1FA61F" w14:textId="77777777" w:rsidR="001E4D03" w:rsidRPr="00F12E3D" w:rsidRDefault="001E4D03" w:rsidP="0034622E">
            <w:pPr>
              <w:tabs>
                <w:tab w:val="right" w:pos="1202"/>
              </w:tabs>
              <w:outlineLvl w:val="0"/>
              <w:rPr>
                <w:rFonts w:ascii="Arial" w:eastAsia="Calibri" w:hAnsi="Arial" w:cs="Arial"/>
                <w:color w:val="000000" w:themeColor="text1"/>
                <w:sz w:val="14"/>
                <w:szCs w:val="14"/>
              </w:rPr>
            </w:pPr>
            <w:r w:rsidRPr="00F12E3D">
              <w:rPr>
                <w:rFonts w:ascii="Arial" w:eastAsia="Calibri" w:hAnsi="Arial" w:cs="Arial"/>
                <w:color w:val="000000" w:themeColor="text1"/>
                <w:sz w:val="14"/>
                <w:szCs w:val="14"/>
              </w:rPr>
              <w:t>Depoziti kod drugih banaka</w:t>
            </w:r>
          </w:p>
        </w:tc>
        <w:tc>
          <w:tcPr>
            <w:tcW w:w="301" w:type="pct"/>
            <w:tcBorders>
              <w:top w:val="nil"/>
              <w:left w:val="nil"/>
              <w:bottom w:val="nil"/>
              <w:right w:val="nil"/>
            </w:tcBorders>
            <w:shd w:val="clear" w:color="auto" w:fill="auto"/>
            <w:vAlign w:val="bottom"/>
          </w:tcPr>
          <w:p w14:paraId="1234BABF" w14:textId="77777777" w:rsidR="001E4D03" w:rsidRPr="003A2506" w:rsidRDefault="001E4D03" w:rsidP="0034622E">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69.456 </w:t>
            </w:r>
          </w:p>
        </w:tc>
        <w:tc>
          <w:tcPr>
            <w:tcW w:w="298" w:type="pct"/>
            <w:tcBorders>
              <w:top w:val="nil"/>
              <w:left w:val="nil"/>
              <w:bottom w:val="nil"/>
              <w:right w:val="nil"/>
            </w:tcBorders>
            <w:shd w:val="clear" w:color="auto" w:fill="auto"/>
            <w:vAlign w:val="bottom"/>
          </w:tcPr>
          <w:p w14:paraId="0BECEFCE" w14:textId="77777777" w:rsidR="001E4D03" w:rsidRPr="003A2506" w:rsidRDefault="001E4D03" w:rsidP="0034622E">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 </w:t>
            </w:r>
          </w:p>
        </w:tc>
        <w:tc>
          <w:tcPr>
            <w:tcW w:w="295" w:type="pct"/>
            <w:tcBorders>
              <w:top w:val="nil"/>
              <w:left w:val="nil"/>
              <w:bottom w:val="nil"/>
              <w:right w:val="nil"/>
            </w:tcBorders>
            <w:shd w:val="clear" w:color="auto" w:fill="auto"/>
            <w:vAlign w:val="bottom"/>
          </w:tcPr>
          <w:p w14:paraId="1BB87114" w14:textId="77777777" w:rsidR="001E4D03" w:rsidRPr="003A2506" w:rsidRDefault="001E4D03" w:rsidP="0034622E">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 </w:t>
            </w:r>
          </w:p>
        </w:tc>
        <w:tc>
          <w:tcPr>
            <w:tcW w:w="287" w:type="pct"/>
            <w:tcBorders>
              <w:top w:val="nil"/>
              <w:left w:val="nil"/>
              <w:bottom w:val="nil"/>
              <w:right w:val="nil"/>
            </w:tcBorders>
            <w:shd w:val="clear" w:color="auto" w:fill="auto"/>
            <w:vAlign w:val="bottom"/>
          </w:tcPr>
          <w:p w14:paraId="0DD6CB6F" w14:textId="77777777" w:rsidR="001E4D03" w:rsidRPr="00F959D0" w:rsidRDefault="001E4D03" w:rsidP="0034622E">
            <w:pPr>
              <w:jc w:val="right"/>
              <w:rPr>
                <w:rFonts w:ascii="Arial" w:eastAsia="Calibri" w:hAnsi="Arial" w:cs="Arial"/>
                <w:color w:val="000000" w:themeColor="text1"/>
                <w:sz w:val="14"/>
                <w:szCs w:val="14"/>
              </w:rPr>
            </w:pPr>
            <w:r w:rsidRPr="00F959D0">
              <w:rPr>
                <w:rFonts w:ascii="Arial" w:eastAsia="Calibri" w:hAnsi="Arial" w:cs="Arial"/>
                <w:color w:val="000000" w:themeColor="text1"/>
                <w:sz w:val="14"/>
                <w:szCs w:val="14"/>
              </w:rPr>
              <w:t xml:space="preserve"> - </w:t>
            </w:r>
          </w:p>
        </w:tc>
        <w:tc>
          <w:tcPr>
            <w:tcW w:w="297" w:type="pct"/>
            <w:tcBorders>
              <w:top w:val="nil"/>
              <w:left w:val="nil"/>
              <w:bottom w:val="nil"/>
              <w:right w:val="nil"/>
            </w:tcBorders>
            <w:shd w:val="clear" w:color="auto" w:fill="auto"/>
            <w:vAlign w:val="bottom"/>
          </w:tcPr>
          <w:p w14:paraId="04471986" w14:textId="77777777" w:rsidR="001E4D03" w:rsidRPr="003A2506" w:rsidRDefault="001E4D03" w:rsidP="0034622E">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12" w:type="pct"/>
            <w:tcBorders>
              <w:top w:val="nil"/>
              <w:left w:val="nil"/>
              <w:bottom w:val="nil"/>
              <w:right w:val="nil"/>
            </w:tcBorders>
            <w:shd w:val="clear" w:color="auto" w:fill="auto"/>
            <w:vAlign w:val="bottom"/>
          </w:tcPr>
          <w:p w14:paraId="36AAE5FF" w14:textId="77777777" w:rsidR="001E4D03" w:rsidRPr="003A2506" w:rsidRDefault="001E4D03" w:rsidP="0034622E">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 </w:t>
            </w:r>
          </w:p>
        </w:tc>
        <w:tc>
          <w:tcPr>
            <w:tcW w:w="333" w:type="pct"/>
            <w:tcBorders>
              <w:top w:val="nil"/>
              <w:left w:val="nil"/>
              <w:bottom w:val="nil"/>
              <w:right w:val="nil"/>
            </w:tcBorders>
            <w:shd w:val="clear" w:color="auto" w:fill="auto"/>
            <w:vAlign w:val="bottom"/>
          </w:tcPr>
          <w:p w14:paraId="554649F1" w14:textId="77777777" w:rsidR="001E4D03" w:rsidRPr="003A2506" w:rsidRDefault="001E4D03" w:rsidP="0034622E">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69.456 </w:t>
            </w:r>
          </w:p>
        </w:tc>
        <w:tc>
          <w:tcPr>
            <w:tcW w:w="328" w:type="pct"/>
            <w:tcBorders>
              <w:top w:val="nil"/>
              <w:left w:val="nil"/>
              <w:bottom w:val="nil"/>
              <w:right w:val="nil"/>
            </w:tcBorders>
            <w:vAlign w:val="bottom"/>
          </w:tcPr>
          <w:p w14:paraId="048F8862" w14:textId="77777777" w:rsidR="001E4D03" w:rsidRPr="003A2506" w:rsidRDefault="001E4D03" w:rsidP="0034622E">
            <w:pPr>
              <w:jc w:val="right"/>
              <w:rPr>
                <w:rFonts w:ascii="Arial" w:eastAsia="Calibri" w:hAnsi="Arial" w:cs="Arial"/>
                <w:color w:val="000000" w:themeColor="text1"/>
                <w:sz w:val="14"/>
                <w:szCs w:val="14"/>
              </w:rPr>
            </w:pPr>
            <w:r w:rsidRPr="00F959D0">
              <w:rPr>
                <w:rFonts w:ascii="Arial" w:eastAsia="Calibri" w:hAnsi="Arial" w:cs="Arial"/>
                <w:color w:val="000000" w:themeColor="text1"/>
                <w:sz w:val="14"/>
                <w:szCs w:val="14"/>
              </w:rPr>
              <w:t xml:space="preserve"> - </w:t>
            </w:r>
          </w:p>
        </w:tc>
        <w:tc>
          <w:tcPr>
            <w:tcW w:w="329" w:type="pct"/>
            <w:tcBorders>
              <w:top w:val="nil"/>
              <w:left w:val="nil"/>
              <w:bottom w:val="nil"/>
              <w:right w:val="nil"/>
            </w:tcBorders>
            <w:vAlign w:val="bottom"/>
          </w:tcPr>
          <w:p w14:paraId="116FC550" w14:textId="77777777" w:rsidR="001E4D03" w:rsidRPr="003A2506" w:rsidRDefault="001E4D03" w:rsidP="0034622E">
            <w:pPr>
              <w:jc w:val="right"/>
              <w:rPr>
                <w:rFonts w:ascii="Arial" w:eastAsia="Calibri" w:hAnsi="Arial" w:cs="Arial"/>
                <w:color w:val="000000" w:themeColor="text1"/>
                <w:sz w:val="14"/>
                <w:szCs w:val="14"/>
              </w:rPr>
            </w:pPr>
            <w:r w:rsidRPr="00F959D0">
              <w:rPr>
                <w:rFonts w:ascii="Arial" w:eastAsia="Calibri" w:hAnsi="Arial" w:cs="Arial"/>
                <w:color w:val="000000" w:themeColor="text1"/>
                <w:sz w:val="14"/>
                <w:szCs w:val="14"/>
              </w:rPr>
              <w:t xml:space="preserve"> - </w:t>
            </w:r>
          </w:p>
        </w:tc>
        <w:tc>
          <w:tcPr>
            <w:tcW w:w="329" w:type="pct"/>
            <w:tcBorders>
              <w:top w:val="nil"/>
              <w:left w:val="nil"/>
              <w:bottom w:val="nil"/>
              <w:right w:val="nil"/>
            </w:tcBorders>
            <w:vAlign w:val="bottom"/>
          </w:tcPr>
          <w:p w14:paraId="07F139E6" w14:textId="77777777" w:rsidR="001E4D03" w:rsidRPr="003A2506" w:rsidRDefault="001E4D03" w:rsidP="0034622E">
            <w:pPr>
              <w:jc w:val="right"/>
              <w:rPr>
                <w:rFonts w:ascii="Arial" w:eastAsia="Calibri" w:hAnsi="Arial" w:cs="Arial"/>
                <w:color w:val="000000" w:themeColor="text1"/>
                <w:sz w:val="14"/>
                <w:szCs w:val="14"/>
              </w:rPr>
            </w:pPr>
            <w:r w:rsidRPr="00F959D0">
              <w:rPr>
                <w:rFonts w:ascii="Arial" w:eastAsia="Calibri" w:hAnsi="Arial" w:cs="Arial"/>
                <w:color w:val="000000" w:themeColor="text1"/>
                <w:sz w:val="14"/>
                <w:szCs w:val="14"/>
              </w:rPr>
              <w:t xml:space="preserve"> - </w:t>
            </w:r>
          </w:p>
        </w:tc>
        <w:tc>
          <w:tcPr>
            <w:tcW w:w="329" w:type="pct"/>
            <w:tcBorders>
              <w:top w:val="nil"/>
              <w:left w:val="nil"/>
              <w:bottom w:val="nil"/>
              <w:right w:val="nil"/>
            </w:tcBorders>
            <w:vAlign w:val="bottom"/>
          </w:tcPr>
          <w:p w14:paraId="4C46E9FF" w14:textId="77777777" w:rsidR="001E4D03" w:rsidRPr="00F959D0" w:rsidRDefault="001E4D03" w:rsidP="0034622E">
            <w:pPr>
              <w:jc w:val="right"/>
              <w:rPr>
                <w:rFonts w:ascii="Arial" w:eastAsia="Calibri" w:hAnsi="Arial" w:cs="Arial"/>
                <w:color w:val="000000" w:themeColor="text1"/>
                <w:sz w:val="14"/>
                <w:szCs w:val="14"/>
              </w:rPr>
            </w:pPr>
            <w:r w:rsidRPr="00F959D0">
              <w:rPr>
                <w:rFonts w:ascii="Arial" w:eastAsia="Calibri" w:hAnsi="Arial" w:cs="Arial"/>
                <w:color w:val="000000" w:themeColor="text1"/>
                <w:sz w:val="14"/>
                <w:szCs w:val="14"/>
              </w:rPr>
              <w:t xml:space="preserve"> - </w:t>
            </w:r>
          </w:p>
        </w:tc>
        <w:tc>
          <w:tcPr>
            <w:tcW w:w="330" w:type="pct"/>
            <w:tcBorders>
              <w:top w:val="nil"/>
              <w:left w:val="nil"/>
              <w:bottom w:val="nil"/>
              <w:right w:val="nil"/>
            </w:tcBorders>
            <w:vAlign w:val="bottom"/>
          </w:tcPr>
          <w:p w14:paraId="578BB360" w14:textId="77777777" w:rsidR="001E4D03" w:rsidRPr="003A2506" w:rsidRDefault="001E4D03" w:rsidP="0034622E">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71" w:type="pct"/>
            <w:tcBorders>
              <w:top w:val="nil"/>
              <w:left w:val="nil"/>
              <w:bottom w:val="nil"/>
              <w:right w:val="nil"/>
            </w:tcBorders>
            <w:vAlign w:val="bottom"/>
          </w:tcPr>
          <w:p w14:paraId="256D5E9D" w14:textId="77777777" w:rsidR="001E4D03" w:rsidRPr="003A2506" w:rsidRDefault="001E4D03" w:rsidP="0034622E">
            <w:pPr>
              <w:jc w:val="right"/>
              <w:rPr>
                <w:rFonts w:ascii="Arial" w:eastAsia="Calibri" w:hAnsi="Arial" w:cs="Arial"/>
                <w:color w:val="000000" w:themeColor="text1"/>
                <w:sz w:val="14"/>
                <w:szCs w:val="14"/>
              </w:rPr>
            </w:pPr>
            <w:r w:rsidRPr="00F959D0">
              <w:rPr>
                <w:rFonts w:ascii="Arial" w:eastAsia="Calibri" w:hAnsi="Arial" w:cs="Arial"/>
                <w:color w:val="000000" w:themeColor="text1"/>
                <w:sz w:val="14"/>
                <w:szCs w:val="14"/>
              </w:rPr>
              <w:t xml:space="preserve"> - </w:t>
            </w:r>
          </w:p>
        </w:tc>
        <w:tc>
          <w:tcPr>
            <w:tcW w:w="323" w:type="pct"/>
            <w:tcBorders>
              <w:top w:val="nil"/>
              <w:left w:val="nil"/>
              <w:bottom w:val="nil"/>
              <w:right w:val="nil"/>
            </w:tcBorders>
            <w:vAlign w:val="bottom"/>
          </w:tcPr>
          <w:p w14:paraId="6FD386B9" w14:textId="77777777" w:rsidR="001E4D03" w:rsidRPr="003A2506" w:rsidRDefault="001E4D03" w:rsidP="0034622E">
            <w:pPr>
              <w:jc w:val="right"/>
              <w:rPr>
                <w:rFonts w:ascii="Arial" w:eastAsia="Calibri" w:hAnsi="Arial" w:cs="Arial"/>
                <w:color w:val="000000" w:themeColor="text1"/>
                <w:sz w:val="14"/>
                <w:szCs w:val="14"/>
              </w:rPr>
            </w:pPr>
            <w:r w:rsidRPr="00F959D0">
              <w:rPr>
                <w:rFonts w:ascii="Arial" w:eastAsia="Calibri" w:hAnsi="Arial" w:cs="Arial"/>
                <w:color w:val="000000" w:themeColor="text1"/>
                <w:sz w:val="14"/>
                <w:szCs w:val="14"/>
              </w:rPr>
              <w:t xml:space="preserve"> - </w:t>
            </w:r>
          </w:p>
        </w:tc>
      </w:tr>
      <w:tr w:rsidR="001E4D03" w:rsidRPr="00F12E3D" w14:paraId="1AC20A83" w14:textId="77777777" w:rsidTr="0034622E">
        <w:trPr>
          <w:trHeight w:val="189"/>
        </w:trPr>
        <w:tc>
          <w:tcPr>
            <w:tcW w:w="538" w:type="pct"/>
            <w:vAlign w:val="bottom"/>
          </w:tcPr>
          <w:p w14:paraId="720FFEF7" w14:textId="77777777" w:rsidR="001E4D03" w:rsidRPr="00F12E3D" w:rsidRDefault="001E4D03" w:rsidP="0034622E">
            <w:pPr>
              <w:tabs>
                <w:tab w:val="right" w:pos="1202"/>
              </w:tabs>
              <w:outlineLvl w:val="0"/>
              <w:rPr>
                <w:rFonts w:ascii="Arial" w:eastAsia="Calibri" w:hAnsi="Arial" w:cs="Arial"/>
                <w:color w:val="000000" w:themeColor="text1"/>
                <w:sz w:val="14"/>
                <w:szCs w:val="14"/>
              </w:rPr>
            </w:pPr>
            <w:r w:rsidRPr="00F12E3D">
              <w:rPr>
                <w:rFonts w:ascii="Arial" w:eastAsia="Calibri" w:hAnsi="Arial" w:cs="Arial"/>
                <w:color w:val="000000" w:themeColor="text1"/>
                <w:sz w:val="14"/>
                <w:szCs w:val="14"/>
              </w:rPr>
              <w:t>Krediti financijskim institucijama</w:t>
            </w:r>
          </w:p>
        </w:tc>
        <w:tc>
          <w:tcPr>
            <w:tcW w:w="301" w:type="pct"/>
            <w:tcBorders>
              <w:top w:val="nil"/>
              <w:left w:val="nil"/>
              <w:bottom w:val="nil"/>
              <w:right w:val="nil"/>
            </w:tcBorders>
            <w:shd w:val="clear" w:color="auto" w:fill="auto"/>
            <w:vAlign w:val="bottom"/>
          </w:tcPr>
          <w:p w14:paraId="6AB53D91" w14:textId="77777777" w:rsidR="001E4D03" w:rsidRPr="003A2506" w:rsidRDefault="001E4D03" w:rsidP="0034622E">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1.233.889 </w:t>
            </w:r>
          </w:p>
        </w:tc>
        <w:tc>
          <w:tcPr>
            <w:tcW w:w="298" w:type="pct"/>
            <w:tcBorders>
              <w:top w:val="nil"/>
              <w:left w:val="nil"/>
              <w:bottom w:val="nil"/>
              <w:right w:val="nil"/>
            </w:tcBorders>
            <w:shd w:val="clear" w:color="auto" w:fill="auto"/>
            <w:vAlign w:val="bottom"/>
          </w:tcPr>
          <w:p w14:paraId="4607DCFC" w14:textId="77777777" w:rsidR="001E4D03" w:rsidRPr="003A2506" w:rsidRDefault="001E4D03" w:rsidP="0034622E">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14.713 </w:t>
            </w:r>
          </w:p>
        </w:tc>
        <w:tc>
          <w:tcPr>
            <w:tcW w:w="295" w:type="pct"/>
            <w:tcBorders>
              <w:top w:val="nil"/>
              <w:left w:val="nil"/>
              <w:bottom w:val="nil"/>
              <w:right w:val="nil"/>
            </w:tcBorders>
            <w:shd w:val="clear" w:color="auto" w:fill="auto"/>
            <w:vAlign w:val="bottom"/>
          </w:tcPr>
          <w:p w14:paraId="36B58C4F" w14:textId="77777777" w:rsidR="001E4D03" w:rsidRPr="003A2506" w:rsidRDefault="001E4D03" w:rsidP="0034622E">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279 </w:t>
            </w:r>
          </w:p>
        </w:tc>
        <w:tc>
          <w:tcPr>
            <w:tcW w:w="287" w:type="pct"/>
            <w:tcBorders>
              <w:top w:val="nil"/>
              <w:left w:val="nil"/>
              <w:bottom w:val="nil"/>
              <w:right w:val="nil"/>
            </w:tcBorders>
            <w:shd w:val="clear" w:color="auto" w:fill="auto"/>
            <w:vAlign w:val="bottom"/>
          </w:tcPr>
          <w:p w14:paraId="6DD48797" w14:textId="77777777" w:rsidR="001E4D03" w:rsidRPr="00F959D0" w:rsidRDefault="001E4D03" w:rsidP="0034622E">
            <w:pPr>
              <w:jc w:val="right"/>
              <w:rPr>
                <w:rFonts w:ascii="Arial" w:eastAsia="Calibri" w:hAnsi="Arial" w:cs="Arial"/>
                <w:color w:val="000000" w:themeColor="text1"/>
                <w:sz w:val="14"/>
                <w:szCs w:val="14"/>
              </w:rPr>
            </w:pPr>
            <w:r w:rsidRPr="00F959D0">
              <w:rPr>
                <w:rFonts w:ascii="Arial" w:eastAsia="Calibri" w:hAnsi="Arial" w:cs="Arial"/>
                <w:color w:val="000000" w:themeColor="text1"/>
                <w:sz w:val="14"/>
                <w:szCs w:val="14"/>
              </w:rPr>
              <w:t xml:space="preserve"> - </w:t>
            </w:r>
          </w:p>
        </w:tc>
        <w:tc>
          <w:tcPr>
            <w:tcW w:w="297" w:type="pct"/>
            <w:tcBorders>
              <w:top w:val="nil"/>
              <w:left w:val="nil"/>
              <w:bottom w:val="nil"/>
              <w:right w:val="nil"/>
            </w:tcBorders>
            <w:shd w:val="clear" w:color="auto" w:fill="auto"/>
            <w:vAlign w:val="bottom"/>
          </w:tcPr>
          <w:p w14:paraId="0D62A458" w14:textId="77777777" w:rsidR="001E4D03" w:rsidRPr="003A2506" w:rsidRDefault="001E4D03" w:rsidP="0034622E">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12" w:type="pct"/>
            <w:tcBorders>
              <w:top w:val="nil"/>
              <w:left w:val="nil"/>
              <w:bottom w:val="nil"/>
              <w:right w:val="nil"/>
            </w:tcBorders>
            <w:shd w:val="clear" w:color="auto" w:fill="auto"/>
            <w:vAlign w:val="bottom"/>
          </w:tcPr>
          <w:p w14:paraId="1C477A72" w14:textId="77777777" w:rsidR="001E4D03" w:rsidRPr="003A2506" w:rsidRDefault="001E4D03" w:rsidP="0034622E">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 </w:t>
            </w:r>
          </w:p>
        </w:tc>
        <w:tc>
          <w:tcPr>
            <w:tcW w:w="333" w:type="pct"/>
            <w:tcBorders>
              <w:top w:val="nil"/>
              <w:left w:val="nil"/>
              <w:bottom w:val="nil"/>
              <w:right w:val="nil"/>
            </w:tcBorders>
            <w:shd w:val="clear" w:color="auto" w:fill="auto"/>
            <w:vAlign w:val="bottom"/>
          </w:tcPr>
          <w:p w14:paraId="7D311CE9" w14:textId="77777777" w:rsidR="001E4D03" w:rsidRPr="003A2506" w:rsidRDefault="001E4D03" w:rsidP="0034622E">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1.248.881 </w:t>
            </w:r>
          </w:p>
        </w:tc>
        <w:tc>
          <w:tcPr>
            <w:tcW w:w="328" w:type="pct"/>
            <w:tcBorders>
              <w:top w:val="nil"/>
              <w:left w:val="nil"/>
              <w:bottom w:val="nil"/>
              <w:right w:val="nil"/>
            </w:tcBorders>
            <w:vAlign w:val="bottom"/>
          </w:tcPr>
          <w:p w14:paraId="602F0B02" w14:textId="77777777" w:rsidR="001E4D03" w:rsidRPr="003A2506" w:rsidRDefault="001E4D03" w:rsidP="0034622E">
            <w:pPr>
              <w:jc w:val="right"/>
              <w:rPr>
                <w:rFonts w:ascii="Arial" w:eastAsia="Calibri" w:hAnsi="Arial" w:cs="Arial"/>
                <w:color w:val="000000" w:themeColor="text1"/>
                <w:sz w:val="14"/>
                <w:szCs w:val="14"/>
              </w:rPr>
            </w:pPr>
            <w:r w:rsidRPr="00F959D0">
              <w:rPr>
                <w:rFonts w:ascii="Arial" w:eastAsia="Calibri" w:hAnsi="Arial" w:cs="Arial"/>
                <w:color w:val="000000" w:themeColor="text1"/>
                <w:sz w:val="14"/>
                <w:szCs w:val="14"/>
              </w:rPr>
              <w:t xml:space="preserve"> - </w:t>
            </w:r>
          </w:p>
        </w:tc>
        <w:tc>
          <w:tcPr>
            <w:tcW w:w="329" w:type="pct"/>
            <w:tcBorders>
              <w:top w:val="nil"/>
              <w:left w:val="nil"/>
              <w:bottom w:val="nil"/>
              <w:right w:val="nil"/>
            </w:tcBorders>
            <w:vAlign w:val="bottom"/>
          </w:tcPr>
          <w:p w14:paraId="07C62904" w14:textId="77777777" w:rsidR="001E4D03" w:rsidRPr="003A2506" w:rsidRDefault="001E4D03" w:rsidP="0034622E">
            <w:pPr>
              <w:jc w:val="right"/>
              <w:rPr>
                <w:rFonts w:ascii="Arial" w:eastAsia="Calibri" w:hAnsi="Arial" w:cs="Arial"/>
                <w:color w:val="000000" w:themeColor="text1"/>
                <w:sz w:val="14"/>
                <w:szCs w:val="14"/>
              </w:rPr>
            </w:pPr>
            <w:r w:rsidRPr="00F959D0">
              <w:rPr>
                <w:rFonts w:ascii="Arial" w:eastAsia="Calibri" w:hAnsi="Arial" w:cs="Arial"/>
                <w:color w:val="000000" w:themeColor="text1"/>
                <w:sz w:val="14"/>
                <w:szCs w:val="14"/>
              </w:rPr>
              <w:t xml:space="preserve"> - </w:t>
            </w:r>
          </w:p>
        </w:tc>
        <w:tc>
          <w:tcPr>
            <w:tcW w:w="329" w:type="pct"/>
            <w:tcBorders>
              <w:top w:val="nil"/>
              <w:left w:val="nil"/>
              <w:bottom w:val="nil"/>
              <w:right w:val="nil"/>
            </w:tcBorders>
            <w:vAlign w:val="bottom"/>
          </w:tcPr>
          <w:p w14:paraId="58203766" w14:textId="77777777" w:rsidR="001E4D03" w:rsidRPr="003A2506" w:rsidRDefault="001E4D03" w:rsidP="0034622E">
            <w:pPr>
              <w:jc w:val="right"/>
              <w:rPr>
                <w:rFonts w:ascii="Arial" w:eastAsia="Calibri" w:hAnsi="Arial" w:cs="Arial"/>
                <w:color w:val="000000" w:themeColor="text1"/>
                <w:sz w:val="14"/>
                <w:szCs w:val="14"/>
              </w:rPr>
            </w:pPr>
            <w:r w:rsidRPr="00F959D0">
              <w:rPr>
                <w:rFonts w:ascii="Arial" w:eastAsia="Calibri" w:hAnsi="Arial" w:cs="Arial"/>
                <w:color w:val="000000" w:themeColor="text1"/>
                <w:sz w:val="14"/>
                <w:szCs w:val="14"/>
              </w:rPr>
              <w:t xml:space="preserve"> - </w:t>
            </w:r>
          </w:p>
        </w:tc>
        <w:tc>
          <w:tcPr>
            <w:tcW w:w="329" w:type="pct"/>
            <w:tcBorders>
              <w:top w:val="nil"/>
              <w:left w:val="nil"/>
              <w:bottom w:val="nil"/>
              <w:right w:val="nil"/>
            </w:tcBorders>
            <w:vAlign w:val="bottom"/>
          </w:tcPr>
          <w:p w14:paraId="66FA1FB1" w14:textId="77777777" w:rsidR="001E4D03" w:rsidRPr="00F959D0" w:rsidRDefault="001E4D03" w:rsidP="0034622E">
            <w:pPr>
              <w:jc w:val="right"/>
              <w:rPr>
                <w:rFonts w:ascii="Arial" w:eastAsia="Calibri" w:hAnsi="Arial" w:cs="Arial"/>
                <w:color w:val="000000" w:themeColor="text1"/>
                <w:sz w:val="14"/>
                <w:szCs w:val="14"/>
              </w:rPr>
            </w:pPr>
            <w:r w:rsidRPr="00F959D0">
              <w:rPr>
                <w:rFonts w:ascii="Arial" w:eastAsia="Calibri" w:hAnsi="Arial" w:cs="Arial"/>
                <w:color w:val="000000" w:themeColor="text1"/>
                <w:sz w:val="14"/>
                <w:szCs w:val="14"/>
              </w:rPr>
              <w:t xml:space="preserve"> - </w:t>
            </w:r>
          </w:p>
        </w:tc>
        <w:tc>
          <w:tcPr>
            <w:tcW w:w="330" w:type="pct"/>
            <w:tcBorders>
              <w:top w:val="nil"/>
              <w:left w:val="nil"/>
              <w:bottom w:val="nil"/>
              <w:right w:val="nil"/>
            </w:tcBorders>
            <w:vAlign w:val="bottom"/>
          </w:tcPr>
          <w:p w14:paraId="249EA8C3" w14:textId="77777777" w:rsidR="001E4D03" w:rsidRPr="003A2506" w:rsidRDefault="001E4D03" w:rsidP="0034622E">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71" w:type="pct"/>
            <w:tcBorders>
              <w:top w:val="nil"/>
              <w:left w:val="nil"/>
              <w:bottom w:val="nil"/>
              <w:right w:val="nil"/>
            </w:tcBorders>
            <w:vAlign w:val="bottom"/>
          </w:tcPr>
          <w:p w14:paraId="75BD040C" w14:textId="77777777" w:rsidR="001E4D03" w:rsidRPr="003A2506" w:rsidRDefault="001E4D03" w:rsidP="0034622E">
            <w:pPr>
              <w:jc w:val="right"/>
              <w:rPr>
                <w:rFonts w:ascii="Arial" w:eastAsia="Calibri" w:hAnsi="Arial" w:cs="Arial"/>
                <w:color w:val="000000" w:themeColor="text1"/>
                <w:sz w:val="14"/>
                <w:szCs w:val="14"/>
              </w:rPr>
            </w:pPr>
            <w:r w:rsidRPr="00F959D0">
              <w:rPr>
                <w:rFonts w:ascii="Arial" w:eastAsia="Calibri" w:hAnsi="Arial" w:cs="Arial"/>
                <w:color w:val="000000" w:themeColor="text1"/>
                <w:sz w:val="14"/>
                <w:szCs w:val="14"/>
              </w:rPr>
              <w:t xml:space="preserve"> - </w:t>
            </w:r>
          </w:p>
        </w:tc>
        <w:tc>
          <w:tcPr>
            <w:tcW w:w="323" w:type="pct"/>
            <w:tcBorders>
              <w:top w:val="nil"/>
              <w:left w:val="nil"/>
              <w:bottom w:val="nil"/>
              <w:right w:val="nil"/>
            </w:tcBorders>
            <w:vAlign w:val="bottom"/>
          </w:tcPr>
          <w:p w14:paraId="6F513DF0" w14:textId="77777777" w:rsidR="001E4D03" w:rsidRPr="003A2506" w:rsidRDefault="001E4D03" w:rsidP="0034622E">
            <w:pPr>
              <w:jc w:val="right"/>
              <w:rPr>
                <w:rFonts w:ascii="Arial" w:eastAsia="Calibri" w:hAnsi="Arial" w:cs="Arial"/>
                <w:color w:val="000000" w:themeColor="text1"/>
                <w:sz w:val="14"/>
                <w:szCs w:val="14"/>
              </w:rPr>
            </w:pPr>
            <w:r w:rsidRPr="00F959D0">
              <w:rPr>
                <w:rFonts w:ascii="Arial" w:eastAsia="Calibri" w:hAnsi="Arial" w:cs="Arial"/>
                <w:color w:val="000000" w:themeColor="text1"/>
                <w:sz w:val="14"/>
                <w:szCs w:val="14"/>
              </w:rPr>
              <w:t xml:space="preserve"> - </w:t>
            </w:r>
          </w:p>
        </w:tc>
      </w:tr>
      <w:tr w:rsidR="001E4D03" w:rsidRPr="00F12E3D" w14:paraId="0AB1451E" w14:textId="77777777" w:rsidTr="0034622E">
        <w:trPr>
          <w:trHeight w:val="189"/>
        </w:trPr>
        <w:tc>
          <w:tcPr>
            <w:tcW w:w="538" w:type="pct"/>
            <w:vAlign w:val="bottom"/>
          </w:tcPr>
          <w:p w14:paraId="211A13D7" w14:textId="77777777" w:rsidR="001E4D03" w:rsidRPr="00F12E3D" w:rsidRDefault="001E4D03" w:rsidP="0034622E">
            <w:pPr>
              <w:tabs>
                <w:tab w:val="right" w:pos="1202"/>
              </w:tabs>
              <w:outlineLvl w:val="0"/>
              <w:rPr>
                <w:rFonts w:ascii="Arial" w:eastAsia="Calibri" w:hAnsi="Arial" w:cs="Arial"/>
                <w:color w:val="000000" w:themeColor="text1"/>
                <w:sz w:val="14"/>
                <w:szCs w:val="14"/>
              </w:rPr>
            </w:pPr>
            <w:r w:rsidRPr="00F12E3D">
              <w:rPr>
                <w:rFonts w:ascii="Arial" w:eastAsia="Calibri" w:hAnsi="Arial" w:cs="Arial"/>
                <w:color w:val="000000" w:themeColor="text1"/>
                <w:sz w:val="14"/>
                <w:szCs w:val="14"/>
              </w:rPr>
              <w:t>Krediti ostalim korisnicima</w:t>
            </w:r>
          </w:p>
        </w:tc>
        <w:tc>
          <w:tcPr>
            <w:tcW w:w="301" w:type="pct"/>
            <w:tcBorders>
              <w:top w:val="nil"/>
              <w:left w:val="nil"/>
              <w:bottom w:val="nil"/>
              <w:right w:val="nil"/>
            </w:tcBorders>
            <w:shd w:val="clear" w:color="auto" w:fill="auto"/>
            <w:vAlign w:val="bottom"/>
          </w:tcPr>
          <w:p w14:paraId="0077E731" w14:textId="77777777" w:rsidR="001E4D03" w:rsidRPr="003A2506" w:rsidRDefault="001E4D03" w:rsidP="0034622E">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1.773.734 </w:t>
            </w:r>
          </w:p>
        </w:tc>
        <w:tc>
          <w:tcPr>
            <w:tcW w:w="298" w:type="pct"/>
            <w:tcBorders>
              <w:top w:val="nil"/>
              <w:left w:val="nil"/>
              <w:bottom w:val="nil"/>
              <w:right w:val="nil"/>
            </w:tcBorders>
            <w:shd w:val="clear" w:color="auto" w:fill="auto"/>
            <w:vAlign w:val="bottom"/>
          </w:tcPr>
          <w:p w14:paraId="12ECEC3D" w14:textId="77777777" w:rsidR="001E4D03" w:rsidRPr="003A2506" w:rsidRDefault="001E4D03" w:rsidP="0034622E">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260.005 </w:t>
            </w:r>
          </w:p>
        </w:tc>
        <w:tc>
          <w:tcPr>
            <w:tcW w:w="295" w:type="pct"/>
            <w:tcBorders>
              <w:top w:val="nil"/>
              <w:left w:val="nil"/>
              <w:bottom w:val="nil"/>
              <w:right w:val="nil"/>
            </w:tcBorders>
            <w:shd w:val="clear" w:color="auto" w:fill="auto"/>
            <w:vAlign w:val="bottom"/>
          </w:tcPr>
          <w:p w14:paraId="262FA4CC" w14:textId="77777777" w:rsidR="001E4D03" w:rsidRPr="003A2506" w:rsidRDefault="001E4D03" w:rsidP="0034622E">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132.676 </w:t>
            </w:r>
          </w:p>
        </w:tc>
        <w:tc>
          <w:tcPr>
            <w:tcW w:w="287" w:type="pct"/>
            <w:tcBorders>
              <w:top w:val="nil"/>
              <w:left w:val="nil"/>
              <w:bottom w:val="nil"/>
              <w:right w:val="nil"/>
            </w:tcBorders>
            <w:shd w:val="clear" w:color="auto" w:fill="auto"/>
            <w:vAlign w:val="bottom"/>
          </w:tcPr>
          <w:p w14:paraId="0CD1F3C7" w14:textId="77777777" w:rsidR="001E4D03" w:rsidRPr="00F959D0" w:rsidRDefault="001E4D03" w:rsidP="0034622E">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5.463</w:t>
            </w:r>
          </w:p>
        </w:tc>
        <w:tc>
          <w:tcPr>
            <w:tcW w:w="297" w:type="pct"/>
            <w:tcBorders>
              <w:top w:val="nil"/>
              <w:left w:val="nil"/>
              <w:bottom w:val="nil"/>
              <w:right w:val="nil"/>
            </w:tcBorders>
            <w:shd w:val="clear" w:color="auto" w:fill="auto"/>
            <w:vAlign w:val="bottom"/>
          </w:tcPr>
          <w:p w14:paraId="6D81C3F6" w14:textId="77777777" w:rsidR="001E4D03" w:rsidRPr="003A2506" w:rsidRDefault="001E4D03" w:rsidP="0034622E">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179.318</w:t>
            </w:r>
          </w:p>
        </w:tc>
        <w:tc>
          <w:tcPr>
            <w:tcW w:w="312" w:type="pct"/>
            <w:tcBorders>
              <w:top w:val="nil"/>
              <w:left w:val="nil"/>
              <w:bottom w:val="nil"/>
              <w:right w:val="nil"/>
            </w:tcBorders>
            <w:shd w:val="clear" w:color="auto" w:fill="auto"/>
            <w:vAlign w:val="bottom"/>
          </w:tcPr>
          <w:p w14:paraId="2647B270" w14:textId="77777777" w:rsidR="001E4D03" w:rsidRPr="003A2506" w:rsidRDefault="001E4D03" w:rsidP="0034622E">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 </w:t>
            </w:r>
          </w:p>
        </w:tc>
        <w:tc>
          <w:tcPr>
            <w:tcW w:w="333" w:type="pct"/>
            <w:tcBorders>
              <w:top w:val="nil"/>
              <w:left w:val="nil"/>
              <w:bottom w:val="nil"/>
              <w:right w:val="nil"/>
            </w:tcBorders>
            <w:shd w:val="clear" w:color="auto" w:fill="auto"/>
            <w:vAlign w:val="bottom"/>
          </w:tcPr>
          <w:p w14:paraId="27952A83" w14:textId="77777777" w:rsidR="001E4D03" w:rsidRPr="003A2506" w:rsidRDefault="001E4D03" w:rsidP="0034622E">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2.351.196 </w:t>
            </w:r>
          </w:p>
        </w:tc>
        <w:tc>
          <w:tcPr>
            <w:tcW w:w="328" w:type="pct"/>
            <w:tcBorders>
              <w:top w:val="nil"/>
              <w:left w:val="nil"/>
              <w:bottom w:val="nil"/>
              <w:right w:val="nil"/>
            </w:tcBorders>
            <w:vAlign w:val="bottom"/>
          </w:tcPr>
          <w:p w14:paraId="208CA36E" w14:textId="77777777" w:rsidR="001E4D03" w:rsidRPr="003A2506" w:rsidRDefault="001E4D03" w:rsidP="0034622E">
            <w:pPr>
              <w:jc w:val="right"/>
              <w:rPr>
                <w:rFonts w:ascii="Arial" w:eastAsia="Calibri" w:hAnsi="Arial" w:cs="Arial"/>
                <w:color w:val="000000" w:themeColor="text1"/>
                <w:sz w:val="14"/>
                <w:szCs w:val="14"/>
              </w:rPr>
            </w:pPr>
            <w:r w:rsidRPr="00F959D0">
              <w:rPr>
                <w:rFonts w:ascii="Arial" w:eastAsia="Calibri" w:hAnsi="Arial" w:cs="Arial"/>
                <w:color w:val="000000" w:themeColor="text1"/>
                <w:sz w:val="14"/>
                <w:szCs w:val="14"/>
              </w:rPr>
              <w:t xml:space="preserve"> 330.589 </w:t>
            </w:r>
          </w:p>
        </w:tc>
        <w:tc>
          <w:tcPr>
            <w:tcW w:w="329" w:type="pct"/>
            <w:tcBorders>
              <w:top w:val="nil"/>
              <w:left w:val="nil"/>
              <w:bottom w:val="nil"/>
              <w:right w:val="nil"/>
            </w:tcBorders>
            <w:vAlign w:val="bottom"/>
          </w:tcPr>
          <w:p w14:paraId="4E668382" w14:textId="77777777" w:rsidR="001E4D03" w:rsidRPr="003A2506" w:rsidRDefault="001E4D03" w:rsidP="0034622E">
            <w:pPr>
              <w:jc w:val="right"/>
              <w:rPr>
                <w:rFonts w:ascii="Arial" w:eastAsia="Calibri" w:hAnsi="Arial" w:cs="Arial"/>
                <w:color w:val="000000" w:themeColor="text1"/>
                <w:sz w:val="14"/>
                <w:szCs w:val="14"/>
              </w:rPr>
            </w:pPr>
            <w:r w:rsidRPr="00F959D0">
              <w:rPr>
                <w:rFonts w:ascii="Arial" w:eastAsia="Calibri" w:hAnsi="Arial" w:cs="Arial"/>
                <w:color w:val="000000" w:themeColor="text1"/>
                <w:sz w:val="14"/>
                <w:szCs w:val="14"/>
              </w:rPr>
              <w:t xml:space="preserve"> 29.668 </w:t>
            </w:r>
          </w:p>
        </w:tc>
        <w:tc>
          <w:tcPr>
            <w:tcW w:w="329" w:type="pct"/>
            <w:tcBorders>
              <w:top w:val="nil"/>
              <w:left w:val="nil"/>
              <w:bottom w:val="nil"/>
              <w:right w:val="nil"/>
            </w:tcBorders>
            <w:vAlign w:val="bottom"/>
          </w:tcPr>
          <w:p w14:paraId="4DCFF62E" w14:textId="77777777" w:rsidR="001E4D03" w:rsidRPr="003A2506" w:rsidRDefault="001E4D03" w:rsidP="0034622E">
            <w:pPr>
              <w:jc w:val="right"/>
              <w:rPr>
                <w:rFonts w:ascii="Arial" w:eastAsia="Calibri" w:hAnsi="Arial" w:cs="Arial"/>
                <w:color w:val="000000" w:themeColor="text1"/>
                <w:sz w:val="14"/>
                <w:szCs w:val="14"/>
              </w:rPr>
            </w:pPr>
            <w:r w:rsidRPr="00F959D0">
              <w:rPr>
                <w:rFonts w:ascii="Arial" w:eastAsia="Calibri" w:hAnsi="Arial" w:cs="Arial"/>
                <w:color w:val="000000" w:themeColor="text1"/>
                <w:sz w:val="14"/>
                <w:szCs w:val="14"/>
              </w:rPr>
              <w:t xml:space="preserve"> 8.431 </w:t>
            </w:r>
          </w:p>
        </w:tc>
        <w:tc>
          <w:tcPr>
            <w:tcW w:w="329" w:type="pct"/>
            <w:tcBorders>
              <w:top w:val="nil"/>
              <w:left w:val="nil"/>
              <w:bottom w:val="nil"/>
              <w:right w:val="nil"/>
            </w:tcBorders>
            <w:vAlign w:val="bottom"/>
          </w:tcPr>
          <w:p w14:paraId="3E242864" w14:textId="77777777" w:rsidR="001E4D03" w:rsidRPr="00F959D0" w:rsidRDefault="001E4D03" w:rsidP="0034622E">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66</w:t>
            </w:r>
          </w:p>
        </w:tc>
        <w:tc>
          <w:tcPr>
            <w:tcW w:w="330" w:type="pct"/>
            <w:tcBorders>
              <w:top w:val="nil"/>
              <w:left w:val="nil"/>
              <w:bottom w:val="nil"/>
              <w:right w:val="nil"/>
            </w:tcBorders>
            <w:vAlign w:val="bottom"/>
          </w:tcPr>
          <w:p w14:paraId="0C2E4A77" w14:textId="77777777" w:rsidR="001E4D03" w:rsidRPr="003A2506" w:rsidRDefault="001E4D03" w:rsidP="0034622E">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9.546</w:t>
            </w:r>
          </w:p>
        </w:tc>
        <w:tc>
          <w:tcPr>
            <w:tcW w:w="371" w:type="pct"/>
            <w:tcBorders>
              <w:top w:val="nil"/>
              <w:left w:val="nil"/>
              <w:bottom w:val="nil"/>
              <w:right w:val="nil"/>
            </w:tcBorders>
            <w:vAlign w:val="bottom"/>
          </w:tcPr>
          <w:p w14:paraId="66EB6B4E" w14:textId="77777777" w:rsidR="001E4D03" w:rsidRPr="003A2506" w:rsidRDefault="001E4D03" w:rsidP="0034622E">
            <w:pPr>
              <w:jc w:val="right"/>
              <w:rPr>
                <w:rFonts w:ascii="Arial" w:eastAsia="Calibri" w:hAnsi="Arial" w:cs="Arial"/>
                <w:color w:val="000000" w:themeColor="text1"/>
                <w:sz w:val="14"/>
                <w:szCs w:val="14"/>
              </w:rPr>
            </w:pPr>
            <w:r w:rsidRPr="00F959D0">
              <w:rPr>
                <w:rFonts w:ascii="Arial" w:eastAsia="Calibri" w:hAnsi="Arial" w:cs="Arial"/>
                <w:color w:val="000000" w:themeColor="text1"/>
                <w:sz w:val="14"/>
                <w:szCs w:val="14"/>
              </w:rPr>
              <w:t xml:space="preserve"> - </w:t>
            </w:r>
          </w:p>
        </w:tc>
        <w:tc>
          <w:tcPr>
            <w:tcW w:w="323" w:type="pct"/>
            <w:tcBorders>
              <w:top w:val="nil"/>
              <w:left w:val="nil"/>
              <w:bottom w:val="nil"/>
              <w:right w:val="nil"/>
            </w:tcBorders>
            <w:vAlign w:val="bottom"/>
          </w:tcPr>
          <w:p w14:paraId="70807263" w14:textId="77777777" w:rsidR="001E4D03" w:rsidRPr="003A2506" w:rsidRDefault="001E4D03" w:rsidP="0034622E">
            <w:pPr>
              <w:jc w:val="right"/>
              <w:rPr>
                <w:rFonts w:ascii="Arial" w:eastAsia="Calibri" w:hAnsi="Arial" w:cs="Arial"/>
                <w:color w:val="000000" w:themeColor="text1"/>
                <w:sz w:val="14"/>
                <w:szCs w:val="14"/>
              </w:rPr>
            </w:pPr>
            <w:r w:rsidRPr="00F959D0">
              <w:rPr>
                <w:rFonts w:ascii="Arial" w:eastAsia="Calibri" w:hAnsi="Arial" w:cs="Arial"/>
                <w:color w:val="000000" w:themeColor="text1"/>
                <w:sz w:val="14"/>
                <w:szCs w:val="14"/>
              </w:rPr>
              <w:t xml:space="preserve"> 378.300 </w:t>
            </w:r>
          </w:p>
        </w:tc>
      </w:tr>
      <w:tr w:rsidR="001E4D03" w:rsidRPr="00F12E3D" w14:paraId="767EFC0B" w14:textId="77777777" w:rsidTr="0034622E">
        <w:trPr>
          <w:trHeight w:val="189"/>
        </w:trPr>
        <w:tc>
          <w:tcPr>
            <w:tcW w:w="538" w:type="pct"/>
            <w:vAlign w:val="bottom"/>
          </w:tcPr>
          <w:p w14:paraId="4DB53AD5" w14:textId="77777777" w:rsidR="001E4D03" w:rsidRPr="00F12E3D" w:rsidRDefault="001E4D03" w:rsidP="0034622E">
            <w:pPr>
              <w:tabs>
                <w:tab w:val="right" w:pos="1202"/>
              </w:tabs>
              <w:outlineLvl w:val="0"/>
              <w:rPr>
                <w:rFonts w:ascii="Arial" w:eastAsia="Calibri" w:hAnsi="Arial" w:cs="Arial"/>
                <w:color w:val="000000" w:themeColor="text1"/>
                <w:sz w:val="14"/>
                <w:szCs w:val="14"/>
              </w:rPr>
            </w:pPr>
            <w:r w:rsidRPr="00F12E3D">
              <w:rPr>
                <w:rFonts w:ascii="Arial" w:eastAsia="Calibri" w:hAnsi="Arial" w:cs="Arial"/>
                <w:color w:val="000000" w:themeColor="text1"/>
                <w:sz w:val="14"/>
                <w:szCs w:val="14"/>
              </w:rPr>
              <w:t>Financijska imovina po fer vrijednosti kroz dobit ili gubitak</w:t>
            </w:r>
          </w:p>
        </w:tc>
        <w:tc>
          <w:tcPr>
            <w:tcW w:w="301" w:type="pct"/>
            <w:tcBorders>
              <w:top w:val="nil"/>
              <w:left w:val="nil"/>
              <w:bottom w:val="nil"/>
              <w:right w:val="nil"/>
            </w:tcBorders>
            <w:shd w:val="clear" w:color="auto" w:fill="auto"/>
            <w:vAlign w:val="bottom"/>
          </w:tcPr>
          <w:p w14:paraId="3C9EDA4A" w14:textId="77777777" w:rsidR="001E4D03" w:rsidRPr="003A2506" w:rsidRDefault="001E4D03" w:rsidP="0034622E">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 </w:t>
            </w:r>
          </w:p>
        </w:tc>
        <w:tc>
          <w:tcPr>
            <w:tcW w:w="298" w:type="pct"/>
            <w:tcBorders>
              <w:top w:val="nil"/>
              <w:left w:val="nil"/>
              <w:bottom w:val="nil"/>
              <w:right w:val="nil"/>
            </w:tcBorders>
            <w:shd w:val="clear" w:color="auto" w:fill="auto"/>
            <w:vAlign w:val="bottom"/>
          </w:tcPr>
          <w:p w14:paraId="35292BB7" w14:textId="77777777" w:rsidR="001E4D03" w:rsidRPr="003A2506" w:rsidRDefault="001E4D03" w:rsidP="0034622E">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 </w:t>
            </w:r>
          </w:p>
        </w:tc>
        <w:tc>
          <w:tcPr>
            <w:tcW w:w="295" w:type="pct"/>
            <w:tcBorders>
              <w:top w:val="nil"/>
              <w:left w:val="nil"/>
              <w:bottom w:val="nil"/>
              <w:right w:val="nil"/>
            </w:tcBorders>
            <w:shd w:val="clear" w:color="auto" w:fill="auto"/>
            <w:vAlign w:val="bottom"/>
          </w:tcPr>
          <w:p w14:paraId="077ED55D" w14:textId="77777777" w:rsidR="001E4D03" w:rsidRPr="003A2506" w:rsidRDefault="001E4D03" w:rsidP="0034622E">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 </w:t>
            </w:r>
          </w:p>
        </w:tc>
        <w:tc>
          <w:tcPr>
            <w:tcW w:w="287" w:type="pct"/>
            <w:tcBorders>
              <w:top w:val="nil"/>
              <w:left w:val="nil"/>
              <w:bottom w:val="nil"/>
              <w:right w:val="nil"/>
            </w:tcBorders>
            <w:shd w:val="clear" w:color="auto" w:fill="auto"/>
            <w:vAlign w:val="bottom"/>
          </w:tcPr>
          <w:p w14:paraId="27CC0802" w14:textId="77777777" w:rsidR="001E4D03" w:rsidRPr="00F959D0" w:rsidRDefault="001E4D03" w:rsidP="0034622E">
            <w:pPr>
              <w:jc w:val="right"/>
              <w:rPr>
                <w:rFonts w:ascii="Arial" w:eastAsia="Calibri" w:hAnsi="Arial" w:cs="Arial"/>
                <w:color w:val="000000" w:themeColor="text1"/>
                <w:sz w:val="14"/>
                <w:szCs w:val="14"/>
              </w:rPr>
            </w:pPr>
            <w:r w:rsidRPr="00F959D0">
              <w:rPr>
                <w:rFonts w:ascii="Arial" w:eastAsia="Calibri" w:hAnsi="Arial" w:cs="Arial"/>
                <w:color w:val="000000" w:themeColor="text1"/>
                <w:sz w:val="14"/>
                <w:szCs w:val="14"/>
              </w:rPr>
              <w:t xml:space="preserve"> - </w:t>
            </w:r>
          </w:p>
        </w:tc>
        <w:tc>
          <w:tcPr>
            <w:tcW w:w="297" w:type="pct"/>
            <w:tcBorders>
              <w:top w:val="nil"/>
              <w:left w:val="nil"/>
              <w:bottom w:val="nil"/>
              <w:right w:val="nil"/>
            </w:tcBorders>
            <w:shd w:val="clear" w:color="auto" w:fill="auto"/>
            <w:vAlign w:val="bottom"/>
          </w:tcPr>
          <w:p w14:paraId="595C098B" w14:textId="77777777" w:rsidR="001E4D03" w:rsidRPr="003A2506" w:rsidRDefault="001E4D03" w:rsidP="0034622E">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12" w:type="pct"/>
            <w:tcBorders>
              <w:top w:val="nil"/>
              <w:left w:val="nil"/>
              <w:bottom w:val="nil"/>
              <w:right w:val="nil"/>
            </w:tcBorders>
            <w:shd w:val="clear" w:color="auto" w:fill="auto"/>
            <w:vAlign w:val="bottom"/>
          </w:tcPr>
          <w:p w14:paraId="3AE70B03" w14:textId="77777777" w:rsidR="001E4D03" w:rsidRPr="003A2506" w:rsidRDefault="001E4D03" w:rsidP="0034622E">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33.709 </w:t>
            </w:r>
          </w:p>
        </w:tc>
        <w:tc>
          <w:tcPr>
            <w:tcW w:w="333" w:type="pct"/>
            <w:tcBorders>
              <w:top w:val="nil"/>
              <w:left w:val="nil"/>
              <w:bottom w:val="nil"/>
              <w:right w:val="nil"/>
            </w:tcBorders>
            <w:shd w:val="clear" w:color="auto" w:fill="auto"/>
            <w:vAlign w:val="bottom"/>
          </w:tcPr>
          <w:p w14:paraId="4C9E530C" w14:textId="77777777" w:rsidR="001E4D03" w:rsidRPr="003A2506" w:rsidRDefault="001E4D03" w:rsidP="0034622E">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33.709 </w:t>
            </w:r>
          </w:p>
        </w:tc>
        <w:tc>
          <w:tcPr>
            <w:tcW w:w="328" w:type="pct"/>
            <w:tcBorders>
              <w:top w:val="nil"/>
              <w:left w:val="nil"/>
              <w:bottom w:val="nil"/>
              <w:right w:val="nil"/>
            </w:tcBorders>
            <w:vAlign w:val="bottom"/>
          </w:tcPr>
          <w:p w14:paraId="70E4CED8" w14:textId="77777777" w:rsidR="001E4D03" w:rsidRPr="003A2506" w:rsidRDefault="001E4D03" w:rsidP="0034622E">
            <w:pPr>
              <w:jc w:val="right"/>
              <w:rPr>
                <w:rFonts w:ascii="Arial" w:eastAsia="Calibri" w:hAnsi="Arial" w:cs="Arial"/>
                <w:color w:val="000000" w:themeColor="text1"/>
                <w:sz w:val="14"/>
                <w:szCs w:val="14"/>
              </w:rPr>
            </w:pPr>
            <w:r w:rsidRPr="00F959D0">
              <w:rPr>
                <w:rFonts w:ascii="Arial" w:eastAsia="Calibri" w:hAnsi="Arial" w:cs="Arial"/>
                <w:color w:val="000000" w:themeColor="text1"/>
                <w:sz w:val="14"/>
                <w:szCs w:val="14"/>
              </w:rPr>
              <w:t xml:space="preserve"> - </w:t>
            </w:r>
          </w:p>
        </w:tc>
        <w:tc>
          <w:tcPr>
            <w:tcW w:w="329" w:type="pct"/>
            <w:tcBorders>
              <w:top w:val="nil"/>
              <w:left w:val="nil"/>
              <w:bottom w:val="nil"/>
              <w:right w:val="nil"/>
            </w:tcBorders>
            <w:vAlign w:val="bottom"/>
          </w:tcPr>
          <w:p w14:paraId="14E02C5B" w14:textId="77777777" w:rsidR="001E4D03" w:rsidRPr="003A2506" w:rsidRDefault="001E4D03" w:rsidP="0034622E">
            <w:pPr>
              <w:jc w:val="right"/>
              <w:rPr>
                <w:rFonts w:ascii="Arial" w:eastAsia="Calibri" w:hAnsi="Arial" w:cs="Arial"/>
                <w:color w:val="000000" w:themeColor="text1"/>
                <w:sz w:val="14"/>
                <w:szCs w:val="14"/>
              </w:rPr>
            </w:pPr>
            <w:r w:rsidRPr="00F959D0">
              <w:rPr>
                <w:rFonts w:ascii="Arial" w:eastAsia="Calibri" w:hAnsi="Arial" w:cs="Arial"/>
                <w:color w:val="000000" w:themeColor="text1"/>
                <w:sz w:val="14"/>
                <w:szCs w:val="14"/>
              </w:rPr>
              <w:t xml:space="preserve"> - </w:t>
            </w:r>
          </w:p>
        </w:tc>
        <w:tc>
          <w:tcPr>
            <w:tcW w:w="329" w:type="pct"/>
            <w:tcBorders>
              <w:top w:val="nil"/>
              <w:left w:val="nil"/>
              <w:bottom w:val="nil"/>
              <w:right w:val="nil"/>
            </w:tcBorders>
            <w:vAlign w:val="bottom"/>
          </w:tcPr>
          <w:p w14:paraId="77126A82" w14:textId="77777777" w:rsidR="001E4D03" w:rsidRPr="003A2506" w:rsidRDefault="001E4D03" w:rsidP="0034622E">
            <w:pPr>
              <w:jc w:val="right"/>
              <w:rPr>
                <w:rFonts w:ascii="Arial" w:eastAsia="Calibri" w:hAnsi="Arial" w:cs="Arial"/>
                <w:color w:val="000000" w:themeColor="text1"/>
                <w:sz w:val="14"/>
                <w:szCs w:val="14"/>
              </w:rPr>
            </w:pPr>
            <w:r w:rsidRPr="00F959D0">
              <w:rPr>
                <w:rFonts w:ascii="Arial" w:eastAsia="Calibri" w:hAnsi="Arial" w:cs="Arial"/>
                <w:color w:val="000000" w:themeColor="text1"/>
                <w:sz w:val="14"/>
                <w:szCs w:val="14"/>
              </w:rPr>
              <w:t xml:space="preserve"> - </w:t>
            </w:r>
          </w:p>
        </w:tc>
        <w:tc>
          <w:tcPr>
            <w:tcW w:w="329" w:type="pct"/>
            <w:tcBorders>
              <w:top w:val="nil"/>
              <w:left w:val="nil"/>
              <w:bottom w:val="nil"/>
              <w:right w:val="nil"/>
            </w:tcBorders>
            <w:vAlign w:val="bottom"/>
          </w:tcPr>
          <w:p w14:paraId="188CFA0F" w14:textId="77777777" w:rsidR="001E4D03" w:rsidRPr="00F959D0" w:rsidRDefault="001E4D03" w:rsidP="0034622E">
            <w:pPr>
              <w:jc w:val="right"/>
              <w:rPr>
                <w:rFonts w:ascii="Arial" w:eastAsia="Calibri" w:hAnsi="Arial" w:cs="Arial"/>
                <w:color w:val="000000" w:themeColor="text1"/>
                <w:sz w:val="14"/>
                <w:szCs w:val="14"/>
              </w:rPr>
            </w:pPr>
            <w:r w:rsidRPr="00F959D0">
              <w:rPr>
                <w:rFonts w:ascii="Arial" w:eastAsia="Calibri" w:hAnsi="Arial" w:cs="Arial"/>
                <w:color w:val="000000" w:themeColor="text1"/>
                <w:sz w:val="14"/>
                <w:szCs w:val="14"/>
              </w:rPr>
              <w:t xml:space="preserve"> - </w:t>
            </w:r>
          </w:p>
        </w:tc>
        <w:tc>
          <w:tcPr>
            <w:tcW w:w="330" w:type="pct"/>
            <w:tcBorders>
              <w:top w:val="nil"/>
              <w:left w:val="nil"/>
              <w:bottom w:val="nil"/>
              <w:right w:val="nil"/>
            </w:tcBorders>
            <w:vAlign w:val="bottom"/>
          </w:tcPr>
          <w:p w14:paraId="7361DC99" w14:textId="77777777" w:rsidR="001E4D03" w:rsidRPr="003A2506" w:rsidRDefault="001E4D03" w:rsidP="0034622E">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71" w:type="pct"/>
            <w:tcBorders>
              <w:top w:val="nil"/>
              <w:left w:val="nil"/>
              <w:bottom w:val="nil"/>
              <w:right w:val="nil"/>
            </w:tcBorders>
            <w:shd w:val="clear" w:color="auto" w:fill="auto"/>
            <w:vAlign w:val="bottom"/>
          </w:tcPr>
          <w:p w14:paraId="0C58E0E8" w14:textId="77777777" w:rsidR="001E4D03" w:rsidRPr="003A2506" w:rsidRDefault="001E4D03" w:rsidP="0034622E">
            <w:pPr>
              <w:jc w:val="right"/>
              <w:rPr>
                <w:rFonts w:ascii="Arial" w:eastAsia="Calibri" w:hAnsi="Arial" w:cs="Arial"/>
                <w:color w:val="000000" w:themeColor="text1"/>
                <w:sz w:val="14"/>
                <w:szCs w:val="14"/>
              </w:rPr>
            </w:pPr>
            <w:r w:rsidRPr="00F959D0">
              <w:rPr>
                <w:rFonts w:ascii="Arial" w:eastAsia="Calibri" w:hAnsi="Arial" w:cs="Arial"/>
                <w:color w:val="000000" w:themeColor="text1"/>
                <w:sz w:val="14"/>
                <w:szCs w:val="14"/>
              </w:rPr>
              <w:t xml:space="preserve"> 158 </w:t>
            </w:r>
          </w:p>
        </w:tc>
        <w:tc>
          <w:tcPr>
            <w:tcW w:w="323" w:type="pct"/>
            <w:tcBorders>
              <w:top w:val="nil"/>
              <w:left w:val="nil"/>
              <w:bottom w:val="nil"/>
              <w:right w:val="nil"/>
            </w:tcBorders>
            <w:shd w:val="clear" w:color="auto" w:fill="auto"/>
            <w:vAlign w:val="bottom"/>
          </w:tcPr>
          <w:p w14:paraId="48B8D98E" w14:textId="77777777" w:rsidR="001E4D03" w:rsidRPr="003A2506" w:rsidRDefault="001E4D03" w:rsidP="0034622E">
            <w:pPr>
              <w:jc w:val="right"/>
              <w:rPr>
                <w:rFonts w:ascii="Arial" w:eastAsia="Calibri" w:hAnsi="Arial" w:cs="Arial"/>
                <w:color w:val="000000" w:themeColor="text1"/>
                <w:sz w:val="14"/>
                <w:szCs w:val="14"/>
              </w:rPr>
            </w:pPr>
            <w:r w:rsidRPr="00F959D0">
              <w:rPr>
                <w:rFonts w:ascii="Arial" w:eastAsia="Calibri" w:hAnsi="Arial" w:cs="Arial"/>
                <w:color w:val="000000" w:themeColor="text1"/>
                <w:sz w:val="14"/>
                <w:szCs w:val="14"/>
              </w:rPr>
              <w:t xml:space="preserve"> 158 </w:t>
            </w:r>
          </w:p>
        </w:tc>
      </w:tr>
      <w:tr w:rsidR="001E4D03" w:rsidRPr="00F12E3D" w14:paraId="1C98E296" w14:textId="77777777" w:rsidTr="0034622E">
        <w:trPr>
          <w:trHeight w:val="189"/>
        </w:trPr>
        <w:tc>
          <w:tcPr>
            <w:tcW w:w="538" w:type="pct"/>
            <w:vAlign w:val="bottom"/>
          </w:tcPr>
          <w:p w14:paraId="00981B93" w14:textId="77777777" w:rsidR="001E4D03" w:rsidRPr="00F12E3D" w:rsidRDefault="001E4D03" w:rsidP="0034622E">
            <w:pPr>
              <w:tabs>
                <w:tab w:val="right" w:pos="1202"/>
              </w:tabs>
              <w:outlineLvl w:val="0"/>
              <w:rPr>
                <w:rFonts w:ascii="Arial" w:eastAsia="Calibri" w:hAnsi="Arial" w:cs="Arial"/>
                <w:color w:val="000000" w:themeColor="text1"/>
                <w:sz w:val="14"/>
                <w:szCs w:val="14"/>
              </w:rPr>
            </w:pPr>
            <w:r w:rsidRPr="00F12E3D">
              <w:rPr>
                <w:rFonts w:ascii="Arial" w:eastAsia="Calibri" w:hAnsi="Arial" w:cs="Arial"/>
                <w:color w:val="000000" w:themeColor="text1"/>
                <w:sz w:val="14"/>
                <w:szCs w:val="14"/>
              </w:rPr>
              <w:t>Financijska imovina po fer vrijednosti kroz ostalu sveobuhvatnu dobit</w:t>
            </w:r>
          </w:p>
        </w:tc>
        <w:tc>
          <w:tcPr>
            <w:tcW w:w="301" w:type="pct"/>
            <w:tcBorders>
              <w:top w:val="nil"/>
              <w:left w:val="nil"/>
              <w:bottom w:val="nil"/>
              <w:right w:val="nil"/>
            </w:tcBorders>
            <w:shd w:val="clear" w:color="auto" w:fill="auto"/>
            <w:vAlign w:val="bottom"/>
          </w:tcPr>
          <w:p w14:paraId="66668754" w14:textId="77777777" w:rsidR="001E4D03" w:rsidRPr="003A2506" w:rsidRDefault="001E4D03" w:rsidP="0034622E">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220.898 </w:t>
            </w:r>
          </w:p>
        </w:tc>
        <w:tc>
          <w:tcPr>
            <w:tcW w:w="298" w:type="pct"/>
            <w:tcBorders>
              <w:top w:val="nil"/>
              <w:left w:val="nil"/>
              <w:bottom w:val="nil"/>
              <w:right w:val="nil"/>
            </w:tcBorders>
            <w:shd w:val="clear" w:color="auto" w:fill="auto"/>
            <w:vAlign w:val="bottom"/>
          </w:tcPr>
          <w:p w14:paraId="066292D0" w14:textId="77777777" w:rsidR="001E4D03" w:rsidRPr="003A2506" w:rsidRDefault="001E4D03" w:rsidP="0034622E">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 </w:t>
            </w:r>
          </w:p>
        </w:tc>
        <w:tc>
          <w:tcPr>
            <w:tcW w:w="295" w:type="pct"/>
            <w:tcBorders>
              <w:top w:val="nil"/>
              <w:left w:val="nil"/>
              <w:bottom w:val="nil"/>
              <w:right w:val="nil"/>
            </w:tcBorders>
            <w:shd w:val="clear" w:color="auto" w:fill="auto"/>
            <w:vAlign w:val="bottom"/>
          </w:tcPr>
          <w:p w14:paraId="0EA6E6B8" w14:textId="77777777" w:rsidR="001E4D03" w:rsidRPr="003A2506" w:rsidRDefault="001E4D03" w:rsidP="0034622E">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195 </w:t>
            </w:r>
          </w:p>
        </w:tc>
        <w:tc>
          <w:tcPr>
            <w:tcW w:w="287" w:type="pct"/>
            <w:tcBorders>
              <w:top w:val="nil"/>
              <w:left w:val="nil"/>
              <w:bottom w:val="nil"/>
              <w:right w:val="nil"/>
            </w:tcBorders>
            <w:shd w:val="clear" w:color="auto" w:fill="auto"/>
            <w:vAlign w:val="bottom"/>
          </w:tcPr>
          <w:p w14:paraId="33EDDA51" w14:textId="77777777" w:rsidR="001E4D03" w:rsidRPr="00F959D0" w:rsidRDefault="001E4D03" w:rsidP="0034622E">
            <w:pPr>
              <w:jc w:val="right"/>
              <w:rPr>
                <w:rFonts w:ascii="Arial" w:eastAsia="Calibri" w:hAnsi="Arial" w:cs="Arial"/>
                <w:color w:val="000000" w:themeColor="text1"/>
                <w:sz w:val="14"/>
                <w:szCs w:val="14"/>
              </w:rPr>
            </w:pPr>
            <w:r w:rsidRPr="00F959D0">
              <w:rPr>
                <w:rFonts w:ascii="Arial" w:eastAsia="Calibri" w:hAnsi="Arial" w:cs="Arial"/>
                <w:color w:val="000000" w:themeColor="text1"/>
                <w:sz w:val="14"/>
                <w:szCs w:val="14"/>
              </w:rPr>
              <w:t xml:space="preserve"> - </w:t>
            </w:r>
          </w:p>
        </w:tc>
        <w:tc>
          <w:tcPr>
            <w:tcW w:w="297" w:type="pct"/>
            <w:tcBorders>
              <w:top w:val="nil"/>
              <w:left w:val="nil"/>
              <w:bottom w:val="nil"/>
              <w:right w:val="nil"/>
            </w:tcBorders>
            <w:shd w:val="clear" w:color="auto" w:fill="auto"/>
            <w:vAlign w:val="bottom"/>
          </w:tcPr>
          <w:p w14:paraId="46DD151D" w14:textId="77777777" w:rsidR="001E4D03" w:rsidRPr="003A2506" w:rsidRDefault="001E4D03" w:rsidP="0034622E">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12" w:type="pct"/>
            <w:tcBorders>
              <w:top w:val="nil"/>
              <w:left w:val="nil"/>
              <w:bottom w:val="nil"/>
              <w:right w:val="nil"/>
            </w:tcBorders>
            <w:shd w:val="clear" w:color="auto" w:fill="auto"/>
            <w:vAlign w:val="bottom"/>
          </w:tcPr>
          <w:p w14:paraId="2A7FE283" w14:textId="77777777" w:rsidR="001E4D03" w:rsidRPr="003A2506" w:rsidRDefault="001E4D03" w:rsidP="0034622E">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 </w:t>
            </w:r>
          </w:p>
        </w:tc>
        <w:tc>
          <w:tcPr>
            <w:tcW w:w="333" w:type="pct"/>
            <w:tcBorders>
              <w:top w:val="nil"/>
              <w:left w:val="nil"/>
              <w:bottom w:val="nil"/>
              <w:right w:val="nil"/>
            </w:tcBorders>
            <w:shd w:val="clear" w:color="auto" w:fill="auto"/>
            <w:vAlign w:val="bottom"/>
          </w:tcPr>
          <w:p w14:paraId="0721816D" w14:textId="77777777" w:rsidR="001E4D03" w:rsidRPr="003A2506" w:rsidRDefault="001E4D03" w:rsidP="0034622E">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221.093 </w:t>
            </w:r>
          </w:p>
        </w:tc>
        <w:tc>
          <w:tcPr>
            <w:tcW w:w="328" w:type="pct"/>
            <w:tcBorders>
              <w:top w:val="nil"/>
              <w:left w:val="nil"/>
              <w:bottom w:val="nil"/>
              <w:right w:val="nil"/>
            </w:tcBorders>
            <w:shd w:val="clear" w:color="auto" w:fill="auto"/>
            <w:vAlign w:val="bottom"/>
          </w:tcPr>
          <w:p w14:paraId="2B6EF12A" w14:textId="77777777" w:rsidR="001E4D03" w:rsidRPr="003A2506" w:rsidRDefault="001E4D03" w:rsidP="0034622E">
            <w:pPr>
              <w:jc w:val="right"/>
              <w:rPr>
                <w:rFonts w:ascii="Arial" w:eastAsia="Calibri" w:hAnsi="Arial" w:cs="Arial"/>
                <w:color w:val="000000" w:themeColor="text1"/>
                <w:sz w:val="14"/>
                <w:szCs w:val="14"/>
              </w:rPr>
            </w:pPr>
            <w:r w:rsidRPr="00F959D0">
              <w:rPr>
                <w:rFonts w:ascii="Arial" w:eastAsia="Calibri" w:hAnsi="Arial" w:cs="Arial"/>
                <w:color w:val="000000" w:themeColor="text1"/>
                <w:sz w:val="14"/>
                <w:szCs w:val="14"/>
              </w:rPr>
              <w:t xml:space="preserve"> 220.898 </w:t>
            </w:r>
          </w:p>
        </w:tc>
        <w:tc>
          <w:tcPr>
            <w:tcW w:w="329" w:type="pct"/>
            <w:tcBorders>
              <w:top w:val="nil"/>
              <w:left w:val="nil"/>
              <w:bottom w:val="nil"/>
              <w:right w:val="nil"/>
            </w:tcBorders>
            <w:shd w:val="clear" w:color="auto" w:fill="auto"/>
            <w:vAlign w:val="bottom"/>
          </w:tcPr>
          <w:p w14:paraId="5A26A56F" w14:textId="77777777" w:rsidR="001E4D03" w:rsidRPr="003A2506" w:rsidRDefault="001E4D03" w:rsidP="0034622E">
            <w:pPr>
              <w:jc w:val="right"/>
              <w:rPr>
                <w:rFonts w:ascii="Arial" w:eastAsia="Calibri" w:hAnsi="Arial" w:cs="Arial"/>
                <w:color w:val="000000" w:themeColor="text1"/>
                <w:sz w:val="14"/>
                <w:szCs w:val="14"/>
              </w:rPr>
            </w:pPr>
            <w:r w:rsidRPr="00F959D0">
              <w:rPr>
                <w:rFonts w:ascii="Arial" w:eastAsia="Calibri" w:hAnsi="Arial" w:cs="Arial"/>
                <w:color w:val="000000" w:themeColor="text1"/>
                <w:sz w:val="14"/>
                <w:szCs w:val="14"/>
              </w:rPr>
              <w:t xml:space="preserve"> - </w:t>
            </w:r>
          </w:p>
        </w:tc>
        <w:tc>
          <w:tcPr>
            <w:tcW w:w="329" w:type="pct"/>
            <w:tcBorders>
              <w:top w:val="nil"/>
              <w:left w:val="nil"/>
              <w:bottom w:val="nil"/>
              <w:right w:val="nil"/>
            </w:tcBorders>
            <w:shd w:val="clear" w:color="auto" w:fill="auto"/>
            <w:vAlign w:val="bottom"/>
          </w:tcPr>
          <w:p w14:paraId="17A5709D" w14:textId="77777777" w:rsidR="001E4D03" w:rsidRPr="003A2506" w:rsidRDefault="001E4D03" w:rsidP="0034622E">
            <w:pPr>
              <w:jc w:val="right"/>
              <w:rPr>
                <w:rFonts w:ascii="Arial" w:eastAsia="Calibri" w:hAnsi="Arial" w:cs="Arial"/>
                <w:color w:val="000000" w:themeColor="text1"/>
                <w:sz w:val="14"/>
                <w:szCs w:val="14"/>
              </w:rPr>
            </w:pPr>
            <w:r w:rsidRPr="00F959D0">
              <w:rPr>
                <w:rFonts w:ascii="Arial" w:eastAsia="Calibri" w:hAnsi="Arial" w:cs="Arial"/>
                <w:color w:val="000000" w:themeColor="text1"/>
                <w:sz w:val="14"/>
                <w:szCs w:val="14"/>
              </w:rPr>
              <w:t xml:space="preserve"> 195 </w:t>
            </w:r>
          </w:p>
        </w:tc>
        <w:tc>
          <w:tcPr>
            <w:tcW w:w="329" w:type="pct"/>
            <w:tcBorders>
              <w:top w:val="nil"/>
              <w:left w:val="nil"/>
              <w:bottom w:val="nil"/>
              <w:right w:val="nil"/>
            </w:tcBorders>
            <w:shd w:val="clear" w:color="auto" w:fill="auto"/>
            <w:vAlign w:val="bottom"/>
          </w:tcPr>
          <w:p w14:paraId="40DDEFFB" w14:textId="77777777" w:rsidR="001E4D03" w:rsidRPr="00F959D0" w:rsidRDefault="001E4D03" w:rsidP="0034622E">
            <w:pPr>
              <w:jc w:val="right"/>
              <w:rPr>
                <w:rFonts w:ascii="Arial" w:eastAsia="Calibri" w:hAnsi="Arial" w:cs="Arial"/>
                <w:color w:val="000000" w:themeColor="text1"/>
                <w:sz w:val="14"/>
                <w:szCs w:val="14"/>
              </w:rPr>
            </w:pPr>
            <w:r w:rsidRPr="00F959D0">
              <w:rPr>
                <w:rFonts w:ascii="Arial" w:eastAsia="Calibri" w:hAnsi="Arial" w:cs="Arial"/>
                <w:color w:val="000000" w:themeColor="text1"/>
                <w:sz w:val="14"/>
                <w:szCs w:val="14"/>
              </w:rPr>
              <w:t xml:space="preserve"> - </w:t>
            </w:r>
          </w:p>
        </w:tc>
        <w:tc>
          <w:tcPr>
            <w:tcW w:w="330" w:type="pct"/>
            <w:tcBorders>
              <w:top w:val="nil"/>
              <w:left w:val="nil"/>
              <w:bottom w:val="nil"/>
              <w:right w:val="nil"/>
            </w:tcBorders>
            <w:shd w:val="clear" w:color="auto" w:fill="auto"/>
            <w:vAlign w:val="bottom"/>
          </w:tcPr>
          <w:p w14:paraId="1D4C4BD3" w14:textId="77777777" w:rsidR="001E4D03" w:rsidRPr="003A2506" w:rsidRDefault="001E4D03" w:rsidP="0034622E">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71" w:type="pct"/>
            <w:tcBorders>
              <w:top w:val="nil"/>
              <w:left w:val="nil"/>
              <w:bottom w:val="nil"/>
              <w:right w:val="nil"/>
            </w:tcBorders>
            <w:shd w:val="clear" w:color="auto" w:fill="auto"/>
            <w:vAlign w:val="bottom"/>
          </w:tcPr>
          <w:p w14:paraId="130596C0" w14:textId="77777777" w:rsidR="001E4D03" w:rsidRPr="003A2506" w:rsidRDefault="001E4D03" w:rsidP="0034622E">
            <w:pPr>
              <w:jc w:val="right"/>
              <w:rPr>
                <w:rFonts w:ascii="Arial" w:eastAsia="Calibri" w:hAnsi="Arial" w:cs="Arial"/>
                <w:color w:val="000000" w:themeColor="text1"/>
                <w:sz w:val="14"/>
                <w:szCs w:val="14"/>
              </w:rPr>
            </w:pPr>
            <w:r w:rsidRPr="00F959D0">
              <w:rPr>
                <w:rFonts w:ascii="Arial" w:eastAsia="Calibri" w:hAnsi="Arial" w:cs="Arial"/>
                <w:color w:val="000000" w:themeColor="text1"/>
                <w:sz w:val="14"/>
                <w:szCs w:val="14"/>
              </w:rPr>
              <w:t xml:space="preserve"> - </w:t>
            </w:r>
          </w:p>
        </w:tc>
        <w:tc>
          <w:tcPr>
            <w:tcW w:w="323" w:type="pct"/>
            <w:tcBorders>
              <w:top w:val="nil"/>
              <w:left w:val="nil"/>
              <w:bottom w:val="nil"/>
              <w:right w:val="nil"/>
            </w:tcBorders>
            <w:shd w:val="clear" w:color="auto" w:fill="auto"/>
            <w:vAlign w:val="bottom"/>
          </w:tcPr>
          <w:p w14:paraId="587506F6" w14:textId="77777777" w:rsidR="001E4D03" w:rsidRPr="003A2506" w:rsidRDefault="001E4D03" w:rsidP="0034622E">
            <w:pPr>
              <w:jc w:val="right"/>
              <w:rPr>
                <w:rFonts w:ascii="Arial" w:eastAsia="Calibri" w:hAnsi="Arial" w:cs="Arial"/>
                <w:color w:val="000000" w:themeColor="text1"/>
                <w:sz w:val="14"/>
                <w:szCs w:val="14"/>
              </w:rPr>
            </w:pPr>
            <w:r w:rsidRPr="00F959D0">
              <w:rPr>
                <w:rFonts w:ascii="Arial" w:eastAsia="Calibri" w:hAnsi="Arial" w:cs="Arial"/>
                <w:color w:val="000000" w:themeColor="text1"/>
                <w:sz w:val="14"/>
                <w:szCs w:val="14"/>
              </w:rPr>
              <w:t xml:space="preserve"> 221.093 </w:t>
            </w:r>
          </w:p>
        </w:tc>
      </w:tr>
      <w:tr w:rsidR="001E4D03" w:rsidRPr="00F12E3D" w14:paraId="78E0242E" w14:textId="77777777" w:rsidTr="0034622E">
        <w:trPr>
          <w:trHeight w:val="189"/>
        </w:trPr>
        <w:tc>
          <w:tcPr>
            <w:tcW w:w="538" w:type="pct"/>
            <w:vAlign w:val="bottom"/>
          </w:tcPr>
          <w:p w14:paraId="30395874" w14:textId="77777777" w:rsidR="001E4D03" w:rsidRPr="00F12E3D" w:rsidRDefault="001E4D03" w:rsidP="0034622E">
            <w:pPr>
              <w:tabs>
                <w:tab w:val="right" w:pos="1202"/>
              </w:tabs>
              <w:outlineLvl w:val="0"/>
              <w:rPr>
                <w:rFonts w:ascii="Arial" w:eastAsia="Calibri" w:hAnsi="Arial" w:cs="Arial"/>
                <w:color w:val="000000" w:themeColor="text1"/>
                <w:sz w:val="14"/>
                <w:szCs w:val="14"/>
              </w:rPr>
            </w:pPr>
            <w:r w:rsidRPr="00F12E3D">
              <w:rPr>
                <w:rFonts w:ascii="Arial" w:eastAsia="Calibri" w:hAnsi="Arial" w:cs="Arial"/>
                <w:color w:val="000000" w:themeColor="text1"/>
                <w:sz w:val="14"/>
                <w:szCs w:val="14"/>
              </w:rPr>
              <w:t>Ostala imovina</w:t>
            </w:r>
          </w:p>
        </w:tc>
        <w:tc>
          <w:tcPr>
            <w:tcW w:w="301" w:type="pct"/>
            <w:tcBorders>
              <w:top w:val="nil"/>
              <w:left w:val="nil"/>
              <w:bottom w:val="single" w:sz="8" w:space="0" w:color="auto"/>
              <w:right w:val="nil"/>
            </w:tcBorders>
            <w:shd w:val="clear" w:color="auto" w:fill="auto"/>
            <w:vAlign w:val="bottom"/>
          </w:tcPr>
          <w:p w14:paraId="23032A51" w14:textId="77777777" w:rsidR="001E4D03" w:rsidRPr="003A2506" w:rsidRDefault="001E4D03" w:rsidP="0034622E">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857 </w:t>
            </w:r>
          </w:p>
        </w:tc>
        <w:tc>
          <w:tcPr>
            <w:tcW w:w="298" w:type="pct"/>
            <w:tcBorders>
              <w:top w:val="nil"/>
              <w:left w:val="nil"/>
              <w:bottom w:val="single" w:sz="8" w:space="0" w:color="auto"/>
              <w:right w:val="nil"/>
            </w:tcBorders>
            <w:shd w:val="clear" w:color="auto" w:fill="auto"/>
            <w:vAlign w:val="bottom"/>
          </w:tcPr>
          <w:p w14:paraId="4B7B268A" w14:textId="77777777" w:rsidR="001E4D03" w:rsidRPr="003A2506" w:rsidRDefault="001E4D03" w:rsidP="0034622E">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11 </w:t>
            </w:r>
          </w:p>
        </w:tc>
        <w:tc>
          <w:tcPr>
            <w:tcW w:w="295" w:type="pct"/>
            <w:tcBorders>
              <w:top w:val="nil"/>
              <w:left w:val="nil"/>
              <w:bottom w:val="single" w:sz="8" w:space="0" w:color="auto"/>
              <w:right w:val="nil"/>
            </w:tcBorders>
            <w:shd w:val="clear" w:color="auto" w:fill="auto"/>
            <w:vAlign w:val="bottom"/>
          </w:tcPr>
          <w:p w14:paraId="4E82500D" w14:textId="77777777" w:rsidR="001E4D03" w:rsidRPr="003A2506" w:rsidRDefault="001E4D03" w:rsidP="0034622E">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205 </w:t>
            </w:r>
          </w:p>
        </w:tc>
        <w:tc>
          <w:tcPr>
            <w:tcW w:w="287" w:type="pct"/>
            <w:tcBorders>
              <w:top w:val="nil"/>
              <w:left w:val="nil"/>
              <w:bottom w:val="single" w:sz="8" w:space="0" w:color="auto"/>
              <w:right w:val="nil"/>
            </w:tcBorders>
            <w:shd w:val="clear" w:color="auto" w:fill="auto"/>
            <w:vAlign w:val="bottom"/>
          </w:tcPr>
          <w:p w14:paraId="7845ED58" w14:textId="77777777" w:rsidR="001E4D03" w:rsidRPr="00F959D0" w:rsidRDefault="001E4D03" w:rsidP="0034622E">
            <w:pPr>
              <w:jc w:val="right"/>
              <w:rPr>
                <w:rFonts w:ascii="Arial" w:eastAsia="Calibri" w:hAnsi="Arial" w:cs="Arial"/>
                <w:color w:val="000000" w:themeColor="text1"/>
                <w:sz w:val="14"/>
                <w:szCs w:val="14"/>
              </w:rPr>
            </w:pPr>
            <w:r w:rsidRPr="00F959D0">
              <w:rPr>
                <w:rFonts w:ascii="Arial" w:eastAsia="Calibri" w:hAnsi="Arial" w:cs="Arial"/>
                <w:color w:val="000000" w:themeColor="text1"/>
                <w:sz w:val="14"/>
                <w:szCs w:val="14"/>
              </w:rPr>
              <w:t>-</w:t>
            </w:r>
          </w:p>
        </w:tc>
        <w:tc>
          <w:tcPr>
            <w:tcW w:w="297" w:type="pct"/>
            <w:tcBorders>
              <w:top w:val="nil"/>
              <w:left w:val="nil"/>
              <w:bottom w:val="single" w:sz="8" w:space="0" w:color="auto"/>
              <w:right w:val="nil"/>
            </w:tcBorders>
            <w:shd w:val="clear" w:color="auto" w:fill="auto"/>
            <w:vAlign w:val="bottom"/>
          </w:tcPr>
          <w:p w14:paraId="2DAF3504" w14:textId="77777777" w:rsidR="001E4D03" w:rsidRPr="003A2506" w:rsidRDefault="001E4D03" w:rsidP="0034622E">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7</w:t>
            </w:r>
          </w:p>
        </w:tc>
        <w:tc>
          <w:tcPr>
            <w:tcW w:w="312" w:type="pct"/>
            <w:tcBorders>
              <w:top w:val="nil"/>
              <w:left w:val="nil"/>
              <w:bottom w:val="single" w:sz="8" w:space="0" w:color="auto"/>
              <w:right w:val="nil"/>
            </w:tcBorders>
            <w:shd w:val="clear" w:color="auto" w:fill="auto"/>
            <w:vAlign w:val="bottom"/>
          </w:tcPr>
          <w:p w14:paraId="3591B198" w14:textId="77777777" w:rsidR="001E4D03" w:rsidRPr="003A2506" w:rsidRDefault="001E4D03" w:rsidP="0034622E">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 </w:t>
            </w:r>
          </w:p>
        </w:tc>
        <w:tc>
          <w:tcPr>
            <w:tcW w:w="333" w:type="pct"/>
            <w:tcBorders>
              <w:top w:val="nil"/>
              <w:left w:val="nil"/>
              <w:bottom w:val="single" w:sz="8" w:space="0" w:color="auto"/>
              <w:right w:val="nil"/>
            </w:tcBorders>
            <w:shd w:val="clear" w:color="auto" w:fill="auto"/>
            <w:vAlign w:val="bottom"/>
          </w:tcPr>
          <w:p w14:paraId="3156F793" w14:textId="77777777" w:rsidR="001E4D03" w:rsidRPr="003A2506" w:rsidRDefault="001E4D03" w:rsidP="0034622E">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1.080 </w:t>
            </w:r>
          </w:p>
        </w:tc>
        <w:tc>
          <w:tcPr>
            <w:tcW w:w="328" w:type="pct"/>
            <w:tcBorders>
              <w:top w:val="nil"/>
              <w:left w:val="nil"/>
              <w:bottom w:val="single" w:sz="8" w:space="0" w:color="auto"/>
              <w:right w:val="nil"/>
            </w:tcBorders>
            <w:vAlign w:val="bottom"/>
          </w:tcPr>
          <w:p w14:paraId="706496B2" w14:textId="77777777" w:rsidR="001E4D03" w:rsidRPr="003A2506" w:rsidRDefault="001E4D03" w:rsidP="0034622E">
            <w:pPr>
              <w:jc w:val="right"/>
              <w:rPr>
                <w:rFonts w:ascii="Arial" w:eastAsia="Calibri" w:hAnsi="Arial" w:cs="Arial"/>
                <w:color w:val="000000" w:themeColor="text1"/>
                <w:sz w:val="14"/>
                <w:szCs w:val="14"/>
              </w:rPr>
            </w:pPr>
            <w:r w:rsidRPr="00F959D0">
              <w:rPr>
                <w:rFonts w:ascii="Arial" w:eastAsia="Calibri" w:hAnsi="Arial" w:cs="Arial"/>
                <w:color w:val="000000" w:themeColor="text1"/>
                <w:sz w:val="14"/>
                <w:szCs w:val="14"/>
              </w:rPr>
              <w:t xml:space="preserve"> 110 </w:t>
            </w:r>
          </w:p>
        </w:tc>
        <w:tc>
          <w:tcPr>
            <w:tcW w:w="329" w:type="pct"/>
            <w:tcBorders>
              <w:top w:val="nil"/>
              <w:left w:val="nil"/>
              <w:bottom w:val="single" w:sz="8" w:space="0" w:color="auto"/>
              <w:right w:val="nil"/>
            </w:tcBorders>
            <w:vAlign w:val="bottom"/>
          </w:tcPr>
          <w:p w14:paraId="5DF611C4" w14:textId="77777777" w:rsidR="001E4D03" w:rsidRPr="003A2506" w:rsidRDefault="001E4D03" w:rsidP="0034622E">
            <w:pPr>
              <w:jc w:val="right"/>
              <w:rPr>
                <w:rFonts w:ascii="Arial" w:eastAsia="Calibri" w:hAnsi="Arial" w:cs="Arial"/>
                <w:color w:val="000000" w:themeColor="text1"/>
                <w:sz w:val="14"/>
                <w:szCs w:val="14"/>
              </w:rPr>
            </w:pPr>
            <w:r w:rsidRPr="00F959D0">
              <w:rPr>
                <w:rFonts w:ascii="Arial" w:eastAsia="Calibri" w:hAnsi="Arial" w:cs="Arial"/>
                <w:color w:val="000000" w:themeColor="text1"/>
                <w:sz w:val="14"/>
                <w:szCs w:val="14"/>
              </w:rPr>
              <w:t xml:space="preserve"> 10 </w:t>
            </w:r>
          </w:p>
        </w:tc>
        <w:tc>
          <w:tcPr>
            <w:tcW w:w="329" w:type="pct"/>
            <w:tcBorders>
              <w:top w:val="nil"/>
              <w:left w:val="nil"/>
              <w:bottom w:val="single" w:sz="8" w:space="0" w:color="auto"/>
              <w:right w:val="nil"/>
            </w:tcBorders>
            <w:vAlign w:val="bottom"/>
          </w:tcPr>
          <w:p w14:paraId="441463A5" w14:textId="77777777" w:rsidR="001E4D03" w:rsidRPr="003A2506" w:rsidRDefault="001E4D03" w:rsidP="0034622E">
            <w:pPr>
              <w:jc w:val="right"/>
              <w:rPr>
                <w:rFonts w:ascii="Arial" w:eastAsia="Calibri" w:hAnsi="Arial" w:cs="Arial"/>
                <w:color w:val="000000" w:themeColor="text1"/>
                <w:sz w:val="14"/>
                <w:szCs w:val="14"/>
              </w:rPr>
            </w:pPr>
            <w:r w:rsidRPr="00F959D0">
              <w:rPr>
                <w:rFonts w:ascii="Arial" w:eastAsia="Calibri" w:hAnsi="Arial" w:cs="Arial"/>
                <w:color w:val="000000" w:themeColor="text1"/>
                <w:sz w:val="14"/>
                <w:szCs w:val="14"/>
              </w:rPr>
              <w:t xml:space="preserve"> 79 </w:t>
            </w:r>
          </w:p>
        </w:tc>
        <w:tc>
          <w:tcPr>
            <w:tcW w:w="329" w:type="pct"/>
            <w:tcBorders>
              <w:top w:val="nil"/>
              <w:left w:val="nil"/>
              <w:bottom w:val="single" w:sz="8" w:space="0" w:color="auto"/>
              <w:right w:val="nil"/>
            </w:tcBorders>
            <w:vAlign w:val="bottom"/>
          </w:tcPr>
          <w:p w14:paraId="5D3F89CE" w14:textId="77777777" w:rsidR="001E4D03" w:rsidRPr="00F959D0" w:rsidRDefault="001E4D03" w:rsidP="0034622E">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r w:rsidRPr="00F959D0">
              <w:rPr>
                <w:rFonts w:ascii="Arial" w:eastAsia="Calibri" w:hAnsi="Arial" w:cs="Arial"/>
                <w:color w:val="000000" w:themeColor="text1"/>
                <w:sz w:val="14"/>
                <w:szCs w:val="14"/>
              </w:rPr>
              <w:t xml:space="preserve"> </w:t>
            </w:r>
          </w:p>
        </w:tc>
        <w:tc>
          <w:tcPr>
            <w:tcW w:w="330" w:type="pct"/>
            <w:tcBorders>
              <w:top w:val="nil"/>
              <w:left w:val="nil"/>
              <w:bottom w:val="single" w:sz="8" w:space="0" w:color="auto"/>
              <w:right w:val="nil"/>
            </w:tcBorders>
            <w:vAlign w:val="bottom"/>
          </w:tcPr>
          <w:p w14:paraId="69968E02" w14:textId="77777777" w:rsidR="001E4D03" w:rsidRPr="003A2506" w:rsidRDefault="001E4D03" w:rsidP="0034622E">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8</w:t>
            </w:r>
          </w:p>
        </w:tc>
        <w:tc>
          <w:tcPr>
            <w:tcW w:w="371" w:type="pct"/>
            <w:tcBorders>
              <w:top w:val="nil"/>
              <w:left w:val="nil"/>
              <w:bottom w:val="single" w:sz="8" w:space="0" w:color="auto"/>
              <w:right w:val="nil"/>
            </w:tcBorders>
            <w:vAlign w:val="bottom"/>
          </w:tcPr>
          <w:p w14:paraId="4FD2CB53" w14:textId="77777777" w:rsidR="001E4D03" w:rsidRPr="003A2506" w:rsidRDefault="001E4D03" w:rsidP="0034622E">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3" w:type="pct"/>
            <w:tcBorders>
              <w:top w:val="nil"/>
              <w:left w:val="nil"/>
              <w:bottom w:val="single" w:sz="8" w:space="0" w:color="auto"/>
              <w:right w:val="nil"/>
            </w:tcBorders>
            <w:vAlign w:val="bottom"/>
          </w:tcPr>
          <w:p w14:paraId="64CF1EDE" w14:textId="77777777" w:rsidR="001E4D03" w:rsidRPr="003A2506" w:rsidRDefault="001E4D03" w:rsidP="0034622E">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207</w:t>
            </w:r>
          </w:p>
        </w:tc>
      </w:tr>
      <w:tr w:rsidR="001E4D03" w:rsidRPr="00F12E3D" w14:paraId="73C8C6D0" w14:textId="77777777" w:rsidTr="0034622E">
        <w:trPr>
          <w:trHeight w:val="170"/>
        </w:trPr>
        <w:tc>
          <w:tcPr>
            <w:tcW w:w="538" w:type="pct"/>
            <w:vAlign w:val="bottom"/>
          </w:tcPr>
          <w:p w14:paraId="49D8EA60" w14:textId="77777777" w:rsidR="001E4D03" w:rsidRPr="00F12E3D" w:rsidRDefault="001E4D03" w:rsidP="0034622E">
            <w:pPr>
              <w:tabs>
                <w:tab w:val="right" w:pos="1202"/>
              </w:tabs>
              <w:outlineLvl w:val="0"/>
              <w:rPr>
                <w:rFonts w:ascii="Arial" w:eastAsia="Calibri" w:hAnsi="Arial" w:cs="Arial"/>
                <w:b/>
                <w:bCs/>
                <w:color w:val="000000" w:themeColor="text1"/>
                <w:sz w:val="14"/>
                <w:szCs w:val="14"/>
              </w:rPr>
            </w:pPr>
            <w:r w:rsidRPr="00F12E3D">
              <w:rPr>
                <w:rFonts w:ascii="Arial" w:eastAsia="Calibri" w:hAnsi="Arial" w:cs="Arial"/>
                <w:b/>
                <w:bCs/>
                <w:color w:val="000000" w:themeColor="text1"/>
                <w:sz w:val="14"/>
                <w:szCs w:val="14"/>
              </w:rPr>
              <w:t>Ukupno</w:t>
            </w:r>
          </w:p>
        </w:tc>
        <w:tc>
          <w:tcPr>
            <w:tcW w:w="301" w:type="pct"/>
            <w:tcBorders>
              <w:top w:val="nil"/>
              <w:left w:val="nil"/>
              <w:bottom w:val="single" w:sz="12" w:space="0" w:color="auto"/>
              <w:right w:val="nil"/>
            </w:tcBorders>
            <w:shd w:val="clear" w:color="auto" w:fill="auto"/>
            <w:vAlign w:val="bottom"/>
          </w:tcPr>
          <w:p w14:paraId="21A453D9" w14:textId="77777777" w:rsidR="001E4D03" w:rsidRPr="003A2506" w:rsidRDefault="001E4D03" w:rsidP="0034622E">
            <w:pPr>
              <w:jc w:val="right"/>
              <w:rPr>
                <w:rFonts w:ascii="Arial" w:eastAsia="Calibri" w:hAnsi="Arial" w:cs="Arial"/>
                <w:b/>
                <w:bCs/>
                <w:sz w:val="14"/>
                <w:szCs w:val="14"/>
              </w:rPr>
            </w:pPr>
            <w:r w:rsidRPr="00F84C24">
              <w:rPr>
                <w:rFonts w:ascii="Arial" w:eastAsia="Calibri" w:hAnsi="Arial" w:cs="Arial"/>
                <w:b/>
                <w:bCs/>
                <w:color w:val="000000" w:themeColor="text1"/>
                <w:sz w:val="14"/>
                <w:szCs w:val="14"/>
              </w:rPr>
              <w:t xml:space="preserve"> 3.340.377 </w:t>
            </w:r>
          </w:p>
        </w:tc>
        <w:tc>
          <w:tcPr>
            <w:tcW w:w="298" w:type="pct"/>
            <w:tcBorders>
              <w:top w:val="nil"/>
              <w:left w:val="nil"/>
              <w:bottom w:val="single" w:sz="12" w:space="0" w:color="auto"/>
              <w:right w:val="nil"/>
            </w:tcBorders>
            <w:shd w:val="clear" w:color="auto" w:fill="auto"/>
            <w:vAlign w:val="bottom"/>
          </w:tcPr>
          <w:p w14:paraId="38315FAF" w14:textId="77777777" w:rsidR="001E4D03" w:rsidRPr="003A2506" w:rsidRDefault="001E4D03" w:rsidP="0034622E">
            <w:pPr>
              <w:jc w:val="right"/>
              <w:rPr>
                <w:rFonts w:ascii="Arial" w:eastAsia="Calibri" w:hAnsi="Arial" w:cs="Arial"/>
                <w:b/>
                <w:bCs/>
                <w:sz w:val="14"/>
                <w:szCs w:val="14"/>
              </w:rPr>
            </w:pPr>
            <w:r w:rsidRPr="00F84C24">
              <w:rPr>
                <w:rFonts w:ascii="Arial" w:eastAsia="Calibri" w:hAnsi="Arial" w:cs="Arial"/>
                <w:b/>
                <w:bCs/>
                <w:color w:val="000000" w:themeColor="text1"/>
                <w:sz w:val="14"/>
                <w:szCs w:val="14"/>
              </w:rPr>
              <w:t xml:space="preserve"> 274.729 </w:t>
            </w:r>
          </w:p>
        </w:tc>
        <w:tc>
          <w:tcPr>
            <w:tcW w:w="295" w:type="pct"/>
            <w:tcBorders>
              <w:top w:val="nil"/>
              <w:left w:val="nil"/>
              <w:bottom w:val="single" w:sz="12" w:space="0" w:color="auto"/>
              <w:right w:val="nil"/>
            </w:tcBorders>
            <w:shd w:val="clear" w:color="auto" w:fill="auto"/>
            <w:vAlign w:val="bottom"/>
          </w:tcPr>
          <w:p w14:paraId="59308AB9" w14:textId="77777777" w:rsidR="001E4D03" w:rsidRPr="003A2506" w:rsidRDefault="001E4D03" w:rsidP="0034622E">
            <w:pPr>
              <w:jc w:val="right"/>
              <w:rPr>
                <w:rFonts w:ascii="Arial" w:eastAsia="Calibri" w:hAnsi="Arial" w:cs="Arial"/>
                <w:b/>
                <w:bCs/>
                <w:sz w:val="14"/>
                <w:szCs w:val="14"/>
              </w:rPr>
            </w:pPr>
            <w:r w:rsidRPr="00F84C24">
              <w:rPr>
                <w:rFonts w:ascii="Arial" w:eastAsia="Calibri" w:hAnsi="Arial" w:cs="Arial"/>
                <w:b/>
                <w:bCs/>
                <w:color w:val="000000" w:themeColor="text1"/>
                <w:sz w:val="14"/>
                <w:szCs w:val="14"/>
              </w:rPr>
              <w:t xml:space="preserve"> 133.355 </w:t>
            </w:r>
          </w:p>
        </w:tc>
        <w:tc>
          <w:tcPr>
            <w:tcW w:w="287" w:type="pct"/>
            <w:tcBorders>
              <w:top w:val="nil"/>
              <w:left w:val="nil"/>
              <w:bottom w:val="single" w:sz="12" w:space="0" w:color="auto"/>
              <w:right w:val="nil"/>
            </w:tcBorders>
            <w:shd w:val="clear" w:color="auto" w:fill="auto"/>
            <w:vAlign w:val="bottom"/>
          </w:tcPr>
          <w:p w14:paraId="3646C65B" w14:textId="77777777" w:rsidR="001E4D03" w:rsidRPr="00F959D0" w:rsidRDefault="001E4D03" w:rsidP="0034622E">
            <w:pPr>
              <w:jc w:val="right"/>
              <w:rPr>
                <w:rFonts w:ascii="Arial" w:eastAsia="Calibri" w:hAnsi="Arial" w:cs="Arial"/>
                <w:b/>
                <w:bCs/>
                <w:sz w:val="14"/>
                <w:szCs w:val="14"/>
              </w:rPr>
            </w:pPr>
            <w:r>
              <w:rPr>
                <w:rFonts w:ascii="Arial" w:eastAsia="Calibri" w:hAnsi="Arial" w:cs="Arial"/>
                <w:b/>
                <w:bCs/>
                <w:color w:val="000000" w:themeColor="text1"/>
                <w:sz w:val="14"/>
                <w:szCs w:val="14"/>
              </w:rPr>
              <w:t>5.463</w:t>
            </w:r>
            <w:r w:rsidRPr="00F959D0">
              <w:rPr>
                <w:rFonts w:ascii="Arial" w:eastAsia="Calibri" w:hAnsi="Arial" w:cs="Arial"/>
                <w:b/>
                <w:bCs/>
                <w:color w:val="000000" w:themeColor="text1"/>
                <w:sz w:val="14"/>
                <w:szCs w:val="14"/>
              </w:rPr>
              <w:t xml:space="preserve"> </w:t>
            </w:r>
          </w:p>
        </w:tc>
        <w:tc>
          <w:tcPr>
            <w:tcW w:w="297" w:type="pct"/>
            <w:tcBorders>
              <w:top w:val="nil"/>
              <w:left w:val="nil"/>
              <w:bottom w:val="single" w:sz="12" w:space="0" w:color="auto"/>
              <w:right w:val="nil"/>
            </w:tcBorders>
            <w:shd w:val="clear" w:color="auto" w:fill="auto"/>
            <w:vAlign w:val="bottom"/>
          </w:tcPr>
          <w:p w14:paraId="54346128" w14:textId="77777777" w:rsidR="001E4D03" w:rsidRPr="003A2506" w:rsidRDefault="001E4D03" w:rsidP="0034622E">
            <w:pPr>
              <w:jc w:val="right"/>
              <w:rPr>
                <w:rFonts w:ascii="Arial" w:eastAsia="Calibri" w:hAnsi="Arial" w:cs="Arial"/>
                <w:b/>
                <w:bCs/>
                <w:sz w:val="14"/>
                <w:szCs w:val="14"/>
              </w:rPr>
            </w:pPr>
            <w:r>
              <w:rPr>
                <w:rFonts w:ascii="Arial" w:eastAsia="Calibri" w:hAnsi="Arial" w:cs="Arial"/>
                <w:b/>
                <w:bCs/>
                <w:sz w:val="14"/>
                <w:szCs w:val="14"/>
              </w:rPr>
              <w:t>179.325</w:t>
            </w:r>
          </w:p>
        </w:tc>
        <w:tc>
          <w:tcPr>
            <w:tcW w:w="312" w:type="pct"/>
            <w:tcBorders>
              <w:top w:val="nil"/>
              <w:left w:val="nil"/>
              <w:bottom w:val="single" w:sz="12" w:space="0" w:color="auto"/>
              <w:right w:val="nil"/>
            </w:tcBorders>
            <w:shd w:val="clear" w:color="auto" w:fill="auto"/>
            <w:vAlign w:val="bottom"/>
          </w:tcPr>
          <w:p w14:paraId="78801C09" w14:textId="77777777" w:rsidR="001E4D03" w:rsidRPr="003A2506" w:rsidRDefault="001E4D03" w:rsidP="0034622E">
            <w:pPr>
              <w:jc w:val="right"/>
              <w:rPr>
                <w:rFonts w:ascii="Arial" w:eastAsia="Calibri" w:hAnsi="Arial" w:cs="Arial"/>
                <w:b/>
                <w:bCs/>
                <w:sz w:val="14"/>
                <w:szCs w:val="14"/>
              </w:rPr>
            </w:pPr>
            <w:r w:rsidRPr="00F84C24">
              <w:rPr>
                <w:rFonts w:ascii="Arial" w:eastAsia="Calibri" w:hAnsi="Arial" w:cs="Arial"/>
                <w:b/>
                <w:bCs/>
                <w:color w:val="000000" w:themeColor="text1"/>
                <w:sz w:val="14"/>
                <w:szCs w:val="14"/>
              </w:rPr>
              <w:t xml:space="preserve"> 33.709 </w:t>
            </w:r>
          </w:p>
        </w:tc>
        <w:tc>
          <w:tcPr>
            <w:tcW w:w="333" w:type="pct"/>
            <w:tcBorders>
              <w:top w:val="nil"/>
              <w:left w:val="nil"/>
              <w:bottom w:val="single" w:sz="12" w:space="0" w:color="auto"/>
              <w:right w:val="nil"/>
            </w:tcBorders>
            <w:shd w:val="clear" w:color="auto" w:fill="auto"/>
            <w:vAlign w:val="bottom"/>
          </w:tcPr>
          <w:p w14:paraId="65C083AC" w14:textId="77777777" w:rsidR="001E4D03" w:rsidRPr="003A2506" w:rsidRDefault="001E4D03" w:rsidP="0034622E">
            <w:pPr>
              <w:jc w:val="right"/>
              <w:rPr>
                <w:rFonts w:ascii="Arial" w:eastAsia="Calibri" w:hAnsi="Arial" w:cs="Arial"/>
                <w:b/>
                <w:bCs/>
                <w:sz w:val="14"/>
                <w:szCs w:val="14"/>
              </w:rPr>
            </w:pPr>
            <w:r w:rsidRPr="00F84C24">
              <w:rPr>
                <w:rFonts w:ascii="Arial" w:eastAsia="Calibri" w:hAnsi="Arial" w:cs="Arial"/>
                <w:b/>
                <w:bCs/>
                <w:color w:val="000000" w:themeColor="text1"/>
                <w:sz w:val="14"/>
                <w:szCs w:val="14"/>
              </w:rPr>
              <w:t xml:space="preserve"> 3.966.958 </w:t>
            </w:r>
          </w:p>
        </w:tc>
        <w:tc>
          <w:tcPr>
            <w:tcW w:w="328" w:type="pct"/>
            <w:tcBorders>
              <w:top w:val="nil"/>
              <w:left w:val="nil"/>
              <w:bottom w:val="single" w:sz="12" w:space="0" w:color="auto"/>
              <w:right w:val="nil"/>
            </w:tcBorders>
            <w:vAlign w:val="bottom"/>
          </w:tcPr>
          <w:p w14:paraId="258847CF" w14:textId="77777777" w:rsidR="001E4D03" w:rsidRPr="00F959D0" w:rsidRDefault="001E4D03" w:rsidP="0034622E">
            <w:pPr>
              <w:jc w:val="right"/>
              <w:rPr>
                <w:rFonts w:ascii="Arial" w:eastAsia="Calibri" w:hAnsi="Arial" w:cs="Arial"/>
                <w:b/>
                <w:bCs/>
                <w:color w:val="000000" w:themeColor="text1"/>
                <w:sz w:val="14"/>
                <w:szCs w:val="14"/>
              </w:rPr>
            </w:pPr>
            <w:r w:rsidRPr="00F959D0">
              <w:rPr>
                <w:rFonts w:ascii="Arial" w:eastAsia="Calibri" w:hAnsi="Arial" w:cs="Arial"/>
                <w:b/>
                <w:bCs/>
                <w:color w:val="000000" w:themeColor="text1"/>
                <w:sz w:val="14"/>
                <w:szCs w:val="14"/>
              </w:rPr>
              <w:t xml:space="preserve"> 551.597 </w:t>
            </w:r>
          </w:p>
        </w:tc>
        <w:tc>
          <w:tcPr>
            <w:tcW w:w="329" w:type="pct"/>
            <w:tcBorders>
              <w:top w:val="nil"/>
              <w:left w:val="nil"/>
              <w:bottom w:val="single" w:sz="12" w:space="0" w:color="auto"/>
              <w:right w:val="nil"/>
            </w:tcBorders>
            <w:vAlign w:val="bottom"/>
          </w:tcPr>
          <w:p w14:paraId="7837A05F" w14:textId="77777777" w:rsidR="001E4D03" w:rsidRPr="00F959D0" w:rsidRDefault="001E4D03" w:rsidP="0034622E">
            <w:pPr>
              <w:jc w:val="right"/>
              <w:rPr>
                <w:rFonts w:ascii="Arial" w:eastAsia="Calibri" w:hAnsi="Arial" w:cs="Arial"/>
                <w:b/>
                <w:bCs/>
                <w:color w:val="000000" w:themeColor="text1"/>
                <w:sz w:val="14"/>
                <w:szCs w:val="14"/>
              </w:rPr>
            </w:pPr>
            <w:r w:rsidRPr="00F959D0">
              <w:rPr>
                <w:rFonts w:ascii="Arial" w:eastAsia="Calibri" w:hAnsi="Arial" w:cs="Arial"/>
                <w:b/>
                <w:bCs/>
                <w:color w:val="000000" w:themeColor="text1"/>
                <w:sz w:val="14"/>
                <w:szCs w:val="14"/>
              </w:rPr>
              <w:t xml:space="preserve"> 29.678 </w:t>
            </w:r>
          </w:p>
        </w:tc>
        <w:tc>
          <w:tcPr>
            <w:tcW w:w="329" w:type="pct"/>
            <w:tcBorders>
              <w:top w:val="nil"/>
              <w:left w:val="nil"/>
              <w:bottom w:val="single" w:sz="12" w:space="0" w:color="auto"/>
              <w:right w:val="nil"/>
            </w:tcBorders>
            <w:vAlign w:val="bottom"/>
          </w:tcPr>
          <w:p w14:paraId="091043FE" w14:textId="77777777" w:rsidR="001E4D03" w:rsidRPr="00F959D0" w:rsidRDefault="001E4D03" w:rsidP="0034622E">
            <w:pPr>
              <w:jc w:val="right"/>
              <w:rPr>
                <w:rFonts w:ascii="Arial" w:eastAsia="Calibri" w:hAnsi="Arial" w:cs="Arial"/>
                <w:b/>
                <w:bCs/>
                <w:color w:val="000000" w:themeColor="text1"/>
                <w:sz w:val="14"/>
                <w:szCs w:val="14"/>
              </w:rPr>
            </w:pPr>
            <w:r w:rsidRPr="00F959D0">
              <w:rPr>
                <w:rFonts w:ascii="Arial" w:eastAsia="Calibri" w:hAnsi="Arial" w:cs="Arial"/>
                <w:b/>
                <w:bCs/>
                <w:color w:val="000000" w:themeColor="text1"/>
                <w:sz w:val="14"/>
                <w:szCs w:val="14"/>
              </w:rPr>
              <w:t xml:space="preserve"> 8.705 </w:t>
            </w:r>
          </w:p>
        </w:tc>
        <w:tc>
          <w:tcPr>
            <w:tcW w:w="329" w:type="pct"/>
            <w:tcBorders>
              <w:top w:val="nil"/>
              <w:left w:val="nil"/>
              <w:bottom w:val="single" w:sz="12" w:space="0" w:color="auto"/>
              <w:right w:val="nil"/>
            </w:tcBorders>
            <w:vAlign w:val="bottom"/>
          </w:tcPr>
          <w:p w14:paraId="500D14E7" w14:textId="77777777" w:rsidR="001E4D03" w:rsidRPr="00F959D0" w:rsidRDefault="001E4D03" w:rsidP="0034622E">
            <w:pPr>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66</w:t>
            </w:r>
          </w:p>
        </w:tc>
        <w:tc>
          <w:tcPr>
            <w:tcW w:w="330" w:type="pct"/>
            <w:tcBorders>
              <w:top w:val="nil"/>
              <w:left w:val="nil"/>
              <w:bottom w:val="single" w:sz="12" w:space="0" w:color="auto"/>
              <w:right w:val="nil"/>
            </w:tcBorders>
            <w:shd w:val="clear" w:color="auto" w:fill="auto"/>
            <w:vAlign w:val="bottom"/>
          </w:tcPr>
          <w:p w14:paraId="20E7D383" w14:textId="77777777" w:rsidR="001E4D03" w:rsidRPr="00F959D0" w:rsidRDefault="001E4D03" w:rsidP="0034622E">
            <w:pPr>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9.554</w:t>
            </w:r>
          </w:p>
        </w:tc>
        <w:tc>
          <w:tcPr>
            <w:tcW w:w="371" w:type="pct"/>
            <w:tcBorders>
              <w:top w:val="nil"/>
              <w:left w:val="nil"/>
              <w:bottom w:val="single" w:sz="12" w:space="0" w:color="auto"/>
              <w:right w:val="nil"/>
            </w:tcBorders>
            <w:vAlign w:val="bottom"/>
          </w:tcPr>
          <w:p w14:paraId="78AA0A26" w14:textId="77777777" w:rsidR="001E4D03" w:rsidRPr="00F959D0" w:rsidRDefault="001E4D03" w:rsidP="0034622E">
            <w:pPr>
              <w:jc w:val="right"/>
              <w:rPr>
                <w:rFonts w:ascii="Arial" w:eastAsia="Calibri" w:hAnsi="Arial" w:cs="Arial"/>
                <w:b/>
                <w:bCs/>
                <w:color w:val="000000" w:themeColor="text1"/>
                <w:sz w:val="14"/>
                <w:szCs w:val="14"/>
              </w:rPr>
            </w:pPr>
            <w:r w:rsidRPr="00F959D0">
              <w:rPr>
                <w:rFonts w:ascii="Arial" w:eastAsia="Calibri" w:hAnsi="Arial" w:cs="Arial"/>
                <w:b/>
                <w:bCs/>
                <w:color w:val="000000" w:themeColor="text1"/>
                <w:sz w:val="14"/>
                <w:szCs w:val="14"/>
              </w:rPr>
              <w:t xml:space="preserve"> 158 </w:t>
            </w:r>
          </w:p>
        </w:tc>
        <w:tc>
          <w:tcPr>
            <w:tcW w:w="323" w:type="pct"/>
            <w:tcBorders>
              <w:top w:val="nil"/>
              <w:left w:val="nil"/>
              <w:bottom w:val="single" w:sz="12" w:space="0" w:color="auto"/>
              <w:right w:val="nil"/>
            </w:tcBorders>
            <w:vAlign w:val="bottom"/>
          </w:tcPr>
          <w:p w14:paraId="2E545189" w14:textId="77777777" w:rsidR="001E4D03" w:rsidRPr="00F959D0" w:rsidRDefault="001E4D03" w:rsidP="0034622E">
            <w:pPr>
              <w:jc w:val="right"/>
              <w:rPr>
                <w:rFonts w:ascii="Arial" w:eastAsia="Calibri" w:hAnsi="Arial" w:cs="Arial"/>
                <w:b/>
                <w:bCs/>
                <w:color w:val="000000" w:themeColor="text1"/>
                <w:sz w:val="14"/>
                <w:szCs w:val="14"/>
              </w:rPr>
            </w:pPr>
            <w:r w:rsidRPr="00F959D0">
              <w:rPr>
                <w:rFonts w:ascii="Arial" w:eastAsia="Calibri" w:hAnsi="Arial" w:cs="Arial"/>
                <w:b/>
                <w:bCs/>
                <w:color w:val="000000" w:themeColor="text1"/>
                <w:sz w:val="14"/>
                <w:szCs w:val="14"/>
              </w:rPr>
              <w:t xml:space="preserve"> 599.758 </w:t>
            </w:r>
          </w:p>
        </w:tc>
      </w:tr>
      <w:tr w:rsidR="001E4D03" w:rsidRPr="00F12E3D" w14:paraId="7BE61DA4" w14:textId="77777777" w:rsidTr="0034622E">
        <w:trPr>
          <w:trHeight w:val="57"/>
        </w:trPr>
        <w:tc>
          <w:tcPr>
            <w:tcW w:w="538" w:type="pct"/>
            <w:vAlign w:val="bottom"/>
          </w:tcPr>
          <w:p w14:paraId="788015CA" w14:textId="77777777" w:rsidR="001E4D03" w:rsidRPr="003A2506" w:rsidRDefault="001E4D03" w:rsidP="0034622E">
            <w:pPr>
              <w:tabs>
                <w:tab w:val="right" w:pos="1202"/>
              </w:tabs>
              <w:outlineLvl w:val="0"/>
              <w:rPr>
                <w:rFonts w:ascii="Arial" w:eastAsia="Calibri" w:hAnsi="Arial" w:cs="Arial"/>
                <w:b/>
                <w:bCs/>
                <w:color w:val="000000" w:themeColor="text1"/>
                <w:sz w:val="14"/>
                <w:szCs w:val="14"/>
              </w:rPr>
            </w:pPr>
            <w:r w:rsidRPr="003A2506">
              <w:rPr>
                <w:rFonts w:ascii="Arial" w:eastAsia="Calibri" w:hAnsi="Arial" w:cs="Arial"/>
                <w:b/>
                <w:bCs/>
                <w:color w:val="000000" w:themeColor="text1"/>
                <w:sz w:val="14"/>
                <w:szCs w:val="14"/>
              </w:rPr>
              <w:t>Garancije i preuzete obveze</w:t>
            </w:r>
          </w:p>
        </w:tc>
        <w:tc>
          <w:tcPr>
            <w:tcW w:w="301" w:type="pct"/>
            <w:tcBorders>
              <w:top w:val="nil"/>
              <w:left w:val="nil"/>
              <w:bottom w:val="nil"/>
              <w:right w:val="nil"/>
            </w:tcBorders>
            <w:shd w:val="clear" w:color="auto" w:fill="auto"/>
            <w:vAlign w:val="bottom"/>
          </w:tcPr>
          <w:p w14:paraId="64D0ECE1" w14:textId="77777777" w:rsidR="001E4D03" w:rsidRPr="003A2506" w:rsidRDefault="001E4D03" w:rsidP="0034622E">
            <w:pPr>
              <w:jc w:val="right"/>
              <w:rPr>
                <w:rFonts w:ascii="Arial" w:eastAsia="Calibri" w:hAnsi="Arial" w:cs="Arial"/>
                <w:color w:val="000000" w:themeColor="text1"/>
                <w:sz w:val="14"/>
                <w:szCs w:val="14"/>
              </w:rPr>
            </w:pPr>
          </w:p>
        </w:tc>
        <w:tc>
          <w:tcPr>
            <w:tcW w:w="298" w:type="pct"/>
            <w:tcBorders>
              <w:top w:val="nil"/>
              <w:left w:val="nil"/>
              <w:bottom w:val="nil"/>
              <w:right w:val="nil"/>
            </w:tcBorders>
            <w:shd w:val="clear" w:color="auto" w:fill="auto"/>
            <w:vAlign w:val="bottom"/>
          </w:tcPr>
          <w:p w14:paraId="3E1C4F60" w14:textId="77777777" w:rsidR="001E4D03" w:rsidRPr="003A2506" w:rsidRDefault="001E4D03" w:rsidP="0034622E">
            <w:pPr>
              <w:jc w:val="right"/>
              <w:rPr>
                <w:rFonts w:ascii="Arial" w:eastAsia="Calibri" w:hAnsi="Arial" w:cs="Arial"/>
                <w:color w:val="000000" w:themeColor="text1"/>
                <w:sz w:val="14"/>
                <w:szCs w:val="14"/>
              </w:rPr>
            </w:pPr>
          </w:p>
        </w:tc>
        <w:tc>
          <w:tcPr>
            <w:tcW w:w="295" w:type="pct"/>
            <w:tcBorders>
              <w:top w:val="nil"/>
              <w:left w:val="nil"/>
              <w:bottom w:val="nil"/>
              <w:right w:val="nil"/>
            </w:tcBorders>
            <w:shd w:val="clear" w:color="auto" w:fill="auto"/>
            <w:vAlign w:val="bottom"/>
          </w:tcPr>
          <w:p w14:paraId="5F1DF555" w14:textId="77777777" w:rsidR="001E4D03" w:rsidRPr="003A2506" w:rsidRDefault="001E4D03" w:rsidP="0034622E">
            <w:pPr>
              <w:jc w:val="right"/>
              <w:rPr>
                <w:rFonts w:ascii="Arial" w:eastAsia="Calibri" w:hAnsi="Arial" w:cs="Arial"/>
                <w:color w:val="000000" w:themeColor="text1"/>
                <w:sz w:val="14"/>
                <w:szCs w:val="14"/>
              </w:rPr>
            </w:pPr>
          </w:p>
        </w:tc>
        <w:tc>
          <w:tcPr>
            <w:tcW w:w="287" w:type="pct"/>
            <w:tcBorders>
              <w:top w:val="nil"/>
              <w:left w:val="nil"/>
              <w:bottom w:val="nil"/>
              <w:right w:val="nil"/>
            </w:tcBorders>
            <w:shd w:val="clear" w:color="auto" w:fill="auto"/>
            <w:vAlign w:val="bottom"/>
          </w:tcPr>
          <w:p w14:paraId="1B59A775" w14:textId="77777777" w:rsidR="001E4D03" w:rsidRPr="009C51A3" w:rsidRDefault="001E4D03" w:rsidP="0034622E">
            <w:pPr>
              <w:jc w:val="right"/>
              <w:rPr>
                <w:rFonts w:ascii="Arial" w:eastAsia="Calibri" w:hAnsi="Arial" w:cs="Arial"/>
                <w:color w:val="000000" w:themeColor="text1"/>
                <w:sz w:val="14"/>
                <w:szCs w:val="14"/>
              </w:rPr>
            </w:pPr>
          </w:p>
        </w:tc>
        <w:tc>
          <w:tcPr>
            <w:tcW w:w="297" w:type="pct"/>
            <w:tcBorders>
              <w:top w:val="nil"/>
              <w:left w:val="nil"/>
              <w:bottom w:val="nil"/>
              <w:right w:val="nil"/>
            </w:tcBorders>
            <w:shd w:val="clear" w:color="auto" w:fill="auto"/>
            <w:vAlign w:val="bottom"/>
          </w:tcPr>
          <w:p w14:paraId="5979E45B" w14:textId="77777777" w:rsidR="001E4D03" w:rsidRPr="003A2506" w:rsidRDefault="001E4D03" w:rsidP="0034622E">
            <w:pPr>
              <w:jc w:val="right"/>
              <w:rPr>
                <w:rFonts w:ascii="Arial" w:eastAsia="Calibri" w:hAnsi="Arial" w:cs="Arial"/>
                <w:color w:val="000000" w:themeColor="text1"/>
                <w:sz w:val="14"/>
                <w:szCs w:val="14"/>
              </w:rPr>
            </w:pPr>
          </w:p>
        </w:tc>
        <w:tc>
          <w:tcPr>
            <w:tcW w:w="312" w:type="pct"/>
            <w:tcBorders>
              <w:top w:val="nil"/>
              <w:left w:val="nil"/>
              <w:bottom w:val="nil"/>
              <w:right w:val="nil"/>
            </w:tcBorders>
            <w:shd w:val="clear" w:color="auto" w:fill="auto"/>
            <w:vAlign w:val="bottom"/>
          </w:tcPr>
          <w:p w14:paraId="343A6162" w14:textId="77777777" w:rsidR="001E4D03" w:rsidRPr="003A2506" w:rsidRDefault="001E4D03" w:rsidP="0034622E">
            <w:pPr>
              <w:jc w:val="right"/>
              <w:rPr>
                <w:rFonts w:ascii="Arial" w:eastAsia="Calibri" w:hAnsi="Arial" w:cs="Arial"/>
                <w:color w:val="000000" w:themeColor="text1"/>
                <w:sz w:val="14"/>
                <w:szCs w:val="14"/>
              </w:rPr>
            </w:pPr>
          </w:p>
        </w:tc>
        <w:tc>
          <w:tcPr>
            <w:tcW w:w="333" w:type="pct"/>
            <w:tcBorders>
              <w:top w:val="nil"/>
              <w:left w:val="nil"/>
              <w:bottom w:val="nil"/>
              <w:right w:val="nil"/>
            </w:tcBorders>
            <w:shd w:val="clear" w:color="auto" w:fill="auto"/>
            <w:vAlign w:val="bottom"/>
          </w:tcPr>
          <w:p w14:paraId="3EB6BCC6" w14:textId="77777777" w:rsidR="001E4D03" w:rsidRPr="003A2506" w:rsidRDefault="001E4D03" w:rsidP="0034622E">
            <w:pPr>
              <w:jc w:val="right"/>
              <w:rPr>
                <w:rFonts w:ascii="Arial" w:eastAsia="Calibri" w:hAnsi="Arial" w:cs="Arial"/>
                <w:color w:val="000000" w:themeColor="text1"/>
                <w:sz w:val="14"/>
                <w:szCs w:val="14"/>
              </w:rPr>
            </w:pPr>
          </w:p>
        </w:tc>
        <w:tc>
          <w:tcPr>
            <w:tcW w:w="328" w:type="pct"/>
            <w:tcBorders>
              <w:top w:val="nil"/>
              <w:left w:val="nil"/>
              <w:bottom w:val="nil"/>
              <w:right w:val="nil"/>
            </w:tcBorders>
            <w:vAlign w:val="bottom"/>
          </w:tcPr>
          <w:p w14:paraId="0374DF69" w14:textId="77777777" w:rsidR="001E4D03" w:rsidRPr="003A2506" w:rsidRDefault="001E4D03" w:rsidP="0034622E">
            <w:pPr>
              <w:jc w:val="right"/>
              <w:rPr>
                <w:rFonts w:ascii="Arial" w:eastAsia="Calibri" w:hAnsi="Arial" w:cs="Arial"/>
                <w:color w:val="000000" w:themeColor="text1"/>
                <w:sz w:val="14"/>
                <w:szCs w:val="14"/>
              </w:rPr>
            </w:pPr>
          </w:p>
        </w:tc>
        <w:tc>
          <w:tcPr>
            <w:tcW w:w="329" w:type="pct"/>
            <w:tcBorders>
              <w:top w:val="nil"/>
              <w:left w:val="nil"/>
              <w:bottom w:val="nil"/>
              <w:right w:val="nil"/>
            </w:tcBorders>
            <w:vAlign w:val="bottom"/>
          </w:tcPr>
          <w:p w14:paraId="35AB6CB4" w14:textId="77777777" w:rsidR="001E4D03" w:rsidRPr="003A2506" w:rsidRDefault="001E4D03" w:rsidP="0034622E">
            <w:pPr>
              <w:jc w:val="right"/>
              <w:rPr>
                <w:rFonts w:ascii="Arial" w:eastAsia="Calibri" w:hAnsi="Arial" w:cs="Arial"/>
                <w:color w:val="000000" w:themeColor="text1"/>
                <w:sz w:val="14"/>
                <w:szCs w:val="14"/>
              </w:rPr>
            </w:pPr>
          </w:p>
        </w:tc>
        <w:tc>
          <w:tcPr>
            <w:tcW w:w="329" w:type="pct"/>
            <w:tcBorders>
              <w:top w:val="nil"/>
              <w:left w:val="nil"/>
              <w:bottom w:val="nil"/>
              <w:right w:val="nil"/>
            </w:tcBorders>
            <w:vAlign w:val="bottom"/>
          </w:tcPr>
          <w:p w14:paraId="0C75F9A7" w14:textId="77777777" w:rsidR="001E4D03" w:rsidRPr="003A2506" w:rsidRDefault="001E4D03" w:rsidP="0034622E">
            <w:pPr>
              <w:jc w:val="right"/>
              <w:rPr>
                <w:rFonts w:ascii="Arial" w:eastAsia="Calibri" w:hAnsi="Arial" w:cs="Arial"/>
                <w:color w:val="000000" w:themeColor="text1"/>
                <w:sz w:val="14"/>
                <w:szCs w:val="14"/>
              </w:rPr>
            </w:pPr>
          </w:p>
        </w:tc>
        <w:tc>
          <w:tcPr>
            <w:tcW w:w="329" w:type="pct"/>
            <w:tcBorders>
              <w:top w:val="nil"/>
              <w:left w:val="nil"/>
              <w:bottom w:val="nil"/>
              <w:right w:val="nil"/>
            </w:tcBorders>
            <w:vAlign w:val="bottom"/>
          </w:tcPr>
          <w:p w14:paraId="24F7415A" w14:textId="77777777" w:rsidR="001E4D03" w:rsidRPr="003A2506" w:rsidRDefault="001E4D03" w:rsidP="0034622E">
            <w:pPr>
              <w:jc w:val="right"/>
              <w:rPr>
                <w:rFonts w:ascii="Arial" w:eastAsia="Calibri" w:hAnsi="Arial" w:cs="Arial"/>
                <w:color w:val="000000" w:themeColor="text1"/>
                <w:sz w:val="14"/>
                <w:szCs w:val="14"/>
              </w:rPr>
            </w:pPr>
          </w:p>
        </w:tc>
        <w:tc>
          <w:tcPr>
            <w:tcW w:w="330" w:type="pct"/>
            <w:tcBorders>
              <w:top w:val="nil"/>
              <w:left w:val="nil"/>
              <w:bottom w:val="nil"/>
              <w:right w:val="nil"/>
            </w:tcBorders>
            <w:vAlign w:val="bottom"/>
          </w:tcPr>
          <w:p w14:paraId="3C92F0B0" w14:textId="77777777" w:rsidR="001E4D03" w:rsidRPr="003A2506" w:rsidRDefault="001E4D03" w:rsidP="0034622E">
            <w:pPr>
              <w:jc w:val="right"/>
              <w:rPr>
                <w:rFonts w:ascii="Arial" w:eastAsia="Calibri" w:hAnsi="Arial" w:cs="Arial"/>
                <w:color w:val="000000" w:themeColor="text1"/>
                <w:sz w:val="14"/>
                <w:szCs w:val="14"/>
              </w:rPr>
            </w:pPr>
          </w:p>
        </w:tc>
        <w:tc>
          <w:tcPr>
            <w:tcW w:w="371" w:type="pct"/>
            <w:tcBorders>
              <w:top w:val="nil"/>
              <w:left w:val="nil"/>
              <w:bottom w:val="nil"/>
              <w:right w:val="nil"/>
            </w:tcBorders>
            <w:vAlign w:val="bottom"/>
          </w:tcPr>
          <w:p w14:paraId="6C28655A" w14:textId="77777777" w:rsidR="001E4D03" w:rsidRPr="003A2506" w:rsidRDefault="001E4D03" w:rsidP="0034622E">
            <w:pPr>
              <w:jc w:val="right"/>
              <w:rPr>
                <w:rFonts w:ascii="Arial" w:eastAsia="Calibri" w:hAnsi="Arial" w:cs="Arial"/>
                <w:color w:val="000000" w:themeColor="text1"/>
                <w:sz w:val="14"/>
                <w:szCs w:val="14"/>
              </w:rPr>
            </w:pPr>
          </w:p>
        </w:tc>
        <w:tc>
          <w:tcPr>
            <w:tcW w:w="323" w:type="pct"/>
            <w:tcBorders>
              <w:top w:val="nil"/>
              <w:left w:val="nil"/>
              <w:bottom w:val="nil"/>
              <w:right w:val="nil"/>
            </w:tcBorders>
            <w:vAlign w:val="bottom"/>
          </w:tcPr>
          <w:p w14:paraId="64C53098" w14:textId="77777777" w:rsidR="001E4D03" w:rsidRPr="003A2506" w:rsidRDefault="001E4D03" w:rsidP="0034622E">
            <w:pPr>
              <w:jc w:val="right"/>
              <w:rPr>
                <w:rFonts w:ascii="Arial" w:eastAsia="Calibri" w:hAnsi="Arial" w:cs="Arial"/>
                <w:color w:val="000000" w:themeColor="text1"/>
                <w:sz w:val="14"/>
                <w:szCs w:val="14"/>
              </w:rPr>
            </w:pPr>
          </w:p>
        </w:tc>
      </w:tr>
      <w:tr w:rsidR="001E4D03" w:rsidRPr="00F12E3D" w14:paraId="31AD405E" w14:textId="77777777" w:rsidTr="0034622E">
        <w:trPr>
          <w:trHeight w:val="189"/>
        </w:trPr>
        <w:tc>
          <w:tcPr>
            <w:tcW w:w="538" w:type="pct"/>
            <w:vAlign w:val="bottom"/>
          </w:tcPr>
          <w:p w14:paraId="460C2865" w14:textId="77777777" w:rsidR="001E4D03" w:rsidRPr="00F12E3D" w:rsidRDefault="001E4D03" w:rsidP="0034622E">
            <w:pPr>
              <w:tabs>
                <w:tab w:val="right" w:pos="1202"/>
              </w:tabs>
              <w:outlineLvl w:val="0"/>
              <w:rPr>
                <w:rFonts w:ascii="Arial" w:eastAsia="Calibri" w:hAnsi="Arial" w:cs="Arial"/>
                <w:b/>
                <w:bCs/>
                <w:color w:val="000000" w:themeColor="text1"/>
                <w:sz w:val="14"/>
                <w:szCs w:val="14"/>
              </w:rPr>
            </w:pPr>
            <w:r w:rsidRPr="00F12E3D">
              <w:rPr>
                <w:rFonts w:ascii="Arial" w:eastAsia="Calibri" w:hAnsi="Arial" w:cs="Arial"/>
                <w:color w:val="000000" w:themeColor="text1"/>
                <w:sz w:val="14"/>
                <w:szCs w:val="14"/>
              </w:rPr>
              <w:t xml:space="preserve">Izdane garancije </w:t>
            </w:r>
          </w:p>
        </w:tc>
        <w:tc>
          <w:tcPr>
            <w:tcW w:w="301" w:type="pct"/>
            <w:tcBorders>
              <w:top w:val="nil"/>
              <w:left w:val="nil"/>
              <w:bottom w:val="nil"/>
              <w:right w:val="nil"/>
            </w:tcBorders>
            <w:shd w:val="clear" w:color="auto" w:fill="auto"/>
            <w:vAlign w:val="bottom"/>
          </w:tcPr>
          <w:p w14:paraId="5B76826E" w14:textId="77777777" w:rsidR="001E4D03" w:rsidRPr="003A2506" w:rsidRDefault="001E4D03" w:rsidP="0034622E">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17.929 </w:t>
            </w:r>
          </w:p>
        </w:tc>
        <w:tc>
          <w:tcPr>
            <w:tcW w:w="298" w:type="pct"/>
            <w:tcBorders>
              <w:top w:val="nil"/>
              <w:left w:val="nil"/>
              <w:bottom w:val="nil"/>
              <w:right w:val="nil"/>
            </w:tcBorders>
            <w:shd w:val="clear" w:color="auto" w:fill="auto"/>
            <w:vAlign w:val="bottom"/>
          </w:tcPr>
          <w:p w14:paraId="6C76AAB2" w14:textId="77777777" w:rsidR="001E4D03" w:rsidRPr="003A2506" w:rsidRDefault="001E4D03" w:rsidP="0034622E">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6.176 </w:t>
            </w:r>
          </w:p>
        </w:tc>
        <w:tc>
          <w:tcPr>
            <w:tcW w:w="295" w:type="pct"/>
            <w:tcBorders>
              <w:top w:val="nil"/>
              <w:left w:val="nil"/>
              <w:bottom w:val="nil"/>
              <w:right w:val="nil"/>
            </w:tcBorders>
            <w:shd w:val="clear" w:color="auto" w:fill="auto"/>
            <w:vAlign w:val="bottom"/>
          </w:tcPr>
          <w:p w14:paraId="1F7F6EB8" w14:textId="77777777" w:rsidR="001E4D03" w:rsidRPr="003A2506" w:rsidRDefault="001E4D03" w:rsidP="0034622E">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20.440 </w:t>
            </w:r>
          </w:p>
        </w:tc>
        <w:tc>
          <w:tcPr>
            <w:tcW w:w="287" w:type="pct"/>
            <w:tcBorders>
              <w:top w:val="nil"/>
              <w:left w:val="nil"/>
              <w:bottom w:val="nil"/>
              <w:right w:val="nil"/>
            </w:tcBorders>
            <w:shd w:val="clear" w:color="auto" w:fill="auto"/>
            <w:vAlign w:val="bottom"/>
          </w:tcPr>
          <w:p w14:paraId="76C74CA7" w14:textId="77777777" w:rsidR="001E4D03" w:rsidRPr="00F959D0" w:rsidRDefault="001E4D03" w:rsidP="0034622E">
            <w:pPr>
              <w:jc w:val="right"/>
              <w:rPr>
                <w:rFonts w:ascii="Arial" w:eastAsia="Calibri" w:hAnsi="Arial" w:cs="Arial"/>
                <w:color w:val="000000" w:themeColor="text1"/>
                <w:sz w:val="14"/>
                <w:szCs w:val="14"/>
              </w:rPr>
            </w:pPr>
            <w:r w:rsidRPr="00F959D0">
              <w:rPr>
                <w:rFonts w:ascii="Arial" w:eastAsia="Calibri" w:hAnsi="Arial" w:cs="Arial"/>
                <w:color w:val="000000" w:themeColor="text1"/>
                <w:sz w:val="14"/>
                <w:szCs w:val="14"/>
              </w:rPr>
              <w:t xml:space="preserve"> - </w:t>
            </w:r>
          </w:p>
        </w:tc>
        <w:tc>
          <w:tcPr>
            <w:tcW w:w="297" w:type="pct"/>
            <w:tcBorders>
              <w:top w:val="nil"/>
              <w:left w:val="nil"/>
              <w:bottom w:val="nil"/>
              <w:right w:val="nil"/>
            </w:tcBorders>
            <w:shd w:val="clear" w:color="auto" w:fill="auto"/>
            <w:vAlign w:val="bottom"/>
          </w:tcPr>
          <w:p w14:paraId="56D48B44" w14:textId="77777777" w:rsidR="001E4D03" w:rsidRPr="003A2506" w:rsidRDefault="001E4D03" w:rsidP="0034622E">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12" w:type="pct"/>
            <w:tcBorders>
              <w:top w:val="nil"/>
              <w:left w:val="nil"/>
              <w:bottom w:val="nil"/>
              <w:right w:val="nil"/>
            </w:tcBorders>
            <w:shd w:val="clear" w:color="auto" w:fill="auto"/>
            <w:vAlign w:val="bottom"/>
          </w:tcPr>
          <w:p w14:paraId="32EF9F6C" w14:textId="77777777" w:rsidR="001E4D03" w:rsidRPr="003A2506" w:rsidRDefault="001E4D03" w:rsidP="0034622E">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 </w:t>
            </w:r>
          </w:p>
        </w:tc>
        <w:tc>
          <w:tcPr>
            <w:tcW w:w="333" w:type="pct"/>
            <w:tcBorders>
              <w:top w:val="nil"/>
              <w:left w:val="nil"/>
              <w:bottom w:val="nil"/>
              <w:right w:val="nil"/>
            </w:tcBorders>
            <w:shd w:val="clear" w:color="auto" w:fill="auto"/>
            <w:vAlign w:val="bottom"/>
          </w:tcPr>
          <w:p w14:paraId="2DC3C568" w14:textId="77777777" w:rsidR="001E4D03" w:rsidRPr="003A2506" w:rsidRDefault="001E4D03" w:rsidP="0034622E">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44.545 </w:t>
            </w:r>
          </w:p>
        </w:tc>
        <w:tc>
          <w:tcPr>
            <w:tcW w:w="328" w:type="pct"/>
            <w:tcBorders>
              <w:top w:val="nil"/>
              <w:left w:val="nil"/>
              <w:bottom w:val="nil"/>
              <w:right w:val="nil"/>
            </w:tcBorders>
            <w:vAlign w:val="bottom"/>
          </w:tcPr>
          <w:p w14:paraId="4A78F215" w14:textId="77777777" w:rsidR="001E4D03" w:rsidRPr="003A2506" w:rsidRDefault="001E4D03" w:rsidP="0034622E">
            <w:pPr>
              <w:jc w:val="right"/>
              <w:rPr>
                <w:rFonts w:ascii="Arial" w:eastAsia="Calibri" w:hAnsi="Arial" w:cs="Arial"/>
                <w:color w:val="000000" w:themeColor="text1"/>
                <w:sz w:val="14"/>
                <w:szCs w:val="14"/>
              </w:rPr>
            </w:pPr>
            <w:r w:rsidRPr="00F959D0">
              <w:rPr>
                <w:rFonts w:ascii="Arial" w:eastAsia="Calibri" w:hAnsi="Arial" w:cs="Arial"/>
                <w:color w:val="000000" w:themeColor="text1"/>
                <w:sz w:val="14"/>
                <w:szCs w:val="14"/>
              </w:rPr>
              <w:t xml:space="preserve"> 17.537 </w:t>
            </w:r>
          </w:p>
        </w:tc>
        <w:tc>
          <w:tcPr>
            <w:tcW w:w="329" w:type="pct"/>
            <w:tcBorders>
              <w:top w:val="nil"/>
              <w:left w:val="nil"/>
              <w:bottom w:val="nil"/>
              <w:right w:val="nil"/>
            </w:tcBorders>
            <w:vAlign w:val="bottom"/>
          </w:tcPr>
          <w:p w14:paraId="1CEBFE86" w14:textId="77777777" w:rsidR="001E4D03" w:rsidRPr="003A2506" w:rsidRDefault="001E4D03" w:rsidP="0034622E">
            <w:pPr>
              <w:jc w:val="right"/>
              <w:rPr>
                <w:rFonts w:ascii="Arial" w:eastAsia="Calibri" w:hAnsi="Arial" w:cs="Arial"/>
                <w:color w:val="000000" w:themeColor="text1"/>
                <w:sz w:val="14"/>
                <w:szCs w:val="14"/>
              </w:rPr>
            </w:pPr>
            <w:r w:rsidRPr="00F959D0">
              <w:rPr>
                <w:rFonts w:ascii="Arial" w:eastAsia="Calibri" w:hAnsi="Arial" w:cs="Arial"/>
                <w:color w:val="000000" w:themeColor="text1"/>
                <w:sz w:val="14"/>
                <w:szCs w:val="14"/>
              </w:rPr>
              <w:t xml:space="preserve"> 1.344 </w:t>
            </w:r>
          </w:p>
        </w:tc>
        <w:tc>
          <w:tcPr>
            <w:tcW w:w="329" w:type="pct"/>
            <w:tcBorders>
              <w:top w:val="nil"/>
              <w:left w:val="nil"/>
              <w:bottom w:val="nil"/>
              <w:right w:val="nil"/>
            </w:tcBorders>
            <w:vAlign w:val="bottom"/>
          </w:tcPr>
          <w:p w14:paraId="24902DED" w14:textId="77777777" w:rsidR="001E4D03" w:rsidRPr="003A2506" w:rsidRDefault="001E4D03" w:rsidP="0034622E">
            <w:pPr>
              <w:jc w:val="right"/>
              <w:rPr>
                <w:rFonts w:ascii="Arial" w:eastAsia="Calibri" w:hAnsi="Arial" w:cs="Arial"/>
                <w:color w:val="000000" w:themeColor="text1"/>
                <w:sz w:val="14"/>
                <w:szCs w:val="14"/>
              </w:rPr>
            </w:pPr>
            <w:r w:rsidRPr="00F959D0">
              <w:rPr>
                <w:rFonts w:ascii="Arial" w:eastAsia="Calibri" w:hAnsi="Arial" w:cs="Arial"/>
                <w:color w:val="000000" w:themeColor="text1"/>
                <w:sz w:val="14"/>
                <w:szCs w:val="14"/>
              </w:rPr>
              <w:t xml:space="preserve"> 14.348 </w:t>
            </w:r>
          </w:p>
        </w:tc>
        <w:tc>
          <w:tcPr>
            <w:tcW w:w="329" w:type="pct"/>
            <w:tcBorders>
              <w:top w:val="nil"/>
              <w:left w:val="nil"/>
              <w:bottom w:val="nil"/>
              <w:right w:val="nil"/>
            </w:tcBorders>
            <w:vAlign w:val="bottom"/>
          </w:tcPr>
          <w:p w14:paraId="4A3EAF5E" w14:textId="77777777" w:rsidR="001E4D03" w:rsidRPr="00F959D0" w:rsidRDefault="001E4D03" w:rsidP="0034622E">
            <w:pPr>
              <w:jc w:val="right"/>
              <w:rPr>
                <w:rFonts w:ascii="Arial" w:eastAsia="Calibri" w:hAnsi="Arial" w:cs="Arial"/>
                <w:color w:val="000000" w:themeColor="text1"/>
                <w:sz w:val="14"/>
                <w:szCs w:val="14"/>
              </w:rPr>
            </w:pPr>
            <w:r w:rsidRPr="00F959D0">
              <w:rPr>
                <w:rFonts w:ascii="Arial" w:eastAsia="Calibri" w:hAnsi="Arial" w:cs="Arial"/>
                <w:color w:val="000000" w:themeColor="text1"/>
                <w:sz w:val="14"/>
                <w:szCs w:val="14"/>
              </w:rPr>
              <w:t xml:space="preserve"> - </w:t>
            </w:r>
          </w:p>
        </w:tc>
        <w:tc>
          <w:tcPr>
            <w:tcW w:w="330" w:type="pct"/>
            <w:tcBorders>
              <w:top w:val="nil"/>
              <w:left w:val="nil"/>
              <w:bottom w:val="nil"/>
              <w:right w:val="nil"/>
            </w:tcBorders>
            <w:vAlign w:val="bottom"/>
          </w:tcPr>
          <w:p w14:paraId="61DA93EB" w14:textId="77777777" w:rsidR="001E4D03" w:rsidRPr="009C51A3" w:rsidRDefault="001E4D03" w:rsidP="0034622E">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71" w:type="pct"/>
            <w:tcBorders>
              <w:top w:val="nil"/>
              <w:left w:val="nil"/>
              <w:bottom w:val="nil"/>
              <w:right w:val="nil"/>
            </w:tcBorders>
            <w:vAlign w:val="bottom"/>
          </w:tcPr>
          <w:p w14:paraId="1969985B" w14:textId="77777777" w:rsidR="001E4D03" w:rsidRPr="003A2506" w:rsidRDefault="001E4D03" w:rsidP="0034622E">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3" w:type="pct"/>
            <w:tcBorders>
              <w:top w:val="nil"/>
              <w:left w:val="nil"/>
              <w:bottom w:val="nil"/>
              <w:right w:val="nil"/>
            </w:tcBorders>
            <w:vAlign w:val="bottom"/>
          </w:tcPr>
          <w:p w14:paraId="0306A9D0" w14:textId="77777777" w:rsidR="001E4D03" w:rsidRPr="003A2506" w:rsidRDefault="001E4D03" w:rsidP="0034622E">
            <w:pPr>
              <w:jc w:val="right"/>
              <w:rPr>
                <w:rFonts w:ascii="Arial" w:eastAsia="Calibri" w:hAnsi="Arial" w:cs="Arial"/>
                <w:color w:val="000000" w:themeColor="text1"/>
                <w:sz w:val="14"/>
                <w:szCs w:val="14"/>
              </w:rPr>
            </w:pPr>
            <w:r w:rsidRPr="00F959D0">
              <w:rPr>
                <w:rFonts w:ascii="Arial" w:eastAsia="Calibri" w:hAnsi="Arial" w:cs="Arial"/>
                <w:color w:val="000000" w:themeColor="text1"/>
                <w:sz w:val="14"/>
                <w:szCs w:val="14"/>
              </w:rPr>
              <w:t xml:space="preserve"> 33.229 </w:t>
            </w:r>
          </w:p>
        </w:tc>
      </w:tr>
      <w:tr w:rsidR="001E4D03" w:rsidRPr="00F12E3D" w14:paraId="65B010C4" w14:textId="77777777" w:rsidTr="0034622E">
        <w:trPr>
          <w:trHeight w:val="189"/>
        </w:trPr>
        <w:tc>
          <w:tcPr>
            <w:tcW w:w="538" w:type="pct"/>
            <w:vAlign w:val="bottom"/>
          </w:tcPr>
          <w:p w14:paraId="5E8B2BA4" w14:textId="77777777" w:rsidR="001E4D03" w:rsidRPr="00F12E3D" w:rsidRDefault="001E4D03" w:rsidP="0034622E">
            <w:pPr>
              <w:tabs>
                <w:tab w:val="right" w:pos="1202"/>
              </w:tabs>
              <w:outlineLvl w:val="0"/>
              <w:rPr>
                <w:rFonts w:ascii="Arial" w:eastAsia="Calibri" w:hAnsi="Arial" w:cs="Arial"/>
                <w:color w:val="000000" w:themeColor="text1"/>
                <w:sz w:val="14"/>
                <w:szCs w:val="14"/>
              </w:rPr>
            </w:pPr>
            <w:r w:rsidRPr="00F12E3D">
              <w:rPr>
                <w:rFonts w:ascii="Arial" w:eastAsia="Calibri" w:hAnsi="Arial" w:cs="Arial"/>
                <w:color w:val="000000" w:themeColor="text1"/>
                <w:sz w:val="14"/>
                <w:szCs w:val="14"/>
              </w:rPr>
              <w:t>Izdane garancije u devizama</w:t>
            </w:r>
          </w:p>
        </w:tc>
        <w:tc>
          <w:tcPr>
            <w:tcW w:w="301" w:type="pct"/>
            <w:tcBorders>
              <w:top w:val="nil"/>
              <w:left w:val="nil"/>
              <w:bottom w:val="nil"/>
              <w:right w:val="nil"/>
            </w:tcBorders>
            <w:shd w:val="clear" w:color="auto" w:fill="auto"/>
            <w:vAlign w:val="bottom"/>
          </w:tcPr>
          <w:p w14:paraId="1C162D17" w14:textId="77777777" w:rsidR="001E4D03" w:rsidRPr="003A2506" w:rsidRDefault="001E4D03" w:rsidP="0034622E">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53 </w:t>
            </w:r>
          </w:p>
        </w:tc>
        <w:tc>
          <w:tcPr>
            <w:tcW w:w="298" w:type="pct"/>
            <w:tcBorders>
              <w:top w:val="nil"/>
              <w:left w:val="nil"/>
              <w:bottom w:val="nil"/>
              <w:right w:val="nil"/>
            </w:tcBorders>
            <w:shd w:val="clear" w:color="auto" w:fill="auto"/>
            <w:vAlign w:val="bottom"/>
          </w:tcPr>
          <w:p w14:paraId="19CC7E29" w14:textId="77777777" w:rsidR="001E4D03" w:rsidRPr="003A2506" w:rsidRDefault="001E4D03" w:rsidP="0034622E">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5.304 </w:t>
            </w:r>
          </w:p>
        </w:tc>
        <w:tc>
          <w:tcPr>
            <w:tcW w:w="295" w:type="pct"/>
            <w:tcBorders>
              <w:top w:val="nil"/>
              <w:left w:val="nil"/>
              <w:bottom w:val="nil"/>
              <w:right w:val="nil"/>
            </w:tcBorders>
            <w:shd w:val="clear" w:color="auto" w:fill="auto"/>
            <w:vAlign w:val="bottom"/>
          </w:tcPr>
          <w:p w14:paraId="5510A437" w14:textId="77777777" w:rsidR="001E4D03" w:rsidRPr="003A2506" w:rsidRDefault="001E4D03" w:rsidP="0034622E">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 </w:t>
            </w:r>
          </w:p>
        </w:tc>
        <w:tc>
          <w:tcPr>
            <w:tcW w:w="287" w:type="pct"/>
            <w:tcBorders>
              <w:top w:val="nil"/>
              <w:left w:val="nil"/>
              <w:bottom w:val="nil"/>
              <w:right w:val="nil"/>
            </w:tcBorders>
            <w:shd w:val="clear" w:color="auto" w:fill="auto"/>
            <w:vAlign w:val="bottom"/>
          </w:tcPr>
          <w:p w14:paraId="7A78AA18" w14:textId="77777777" w:rsidR="001E4D03" w:rsidRPr="00F959D0" w:rsidRDefault="001E4D03" w:rsidP="0034622E">
            <w:pPr>
              <w:jc w:val="right"/>
              <w:rPr>
                <w:rFonts w:ascii="Arial" w:eastAsia="Calibri" w:hAnsi="Arial" w:cs="Arial"/>
                <w:color w:val="000000" w:themeColor="text1"/>
                <w:sz w:val="14"/>
                <w:szCs w:val="14"/>
              </w:rPr>
            </w:pPr>
            <w:r w:rsidRPr="00F959D0">
              <w:rPr>
                <w:rFonts w:ascii="Arial" w:eastAsia="Calibri" w:hAnsi="Arial" w:cs="Arial"/>
                <w:color w:val="000000" w:themeColor="text1"/>
                <w:sz w:val="14"/>
                <w:szCs w:val="14"/>
              </w:rPr>
              <w:t xml:space="preserve"> - </w:t>
            </w:r>
          </w:p>
        </w:tc>
        <w:tc>
          <w:tcPr>
            <w:tcW w:w="297" w:type="pct"/>
            <w:tcBorders>
              <w:top w:val="nil"/>
              <w:left w:val="nil"/>
              <w:bottom w:val="nil"/>
              <w:right w:val="nil"/>
            </w:tcBorders>
            <w:shd w:val="clear" w:color="auto" w:fill="auto"/>
            <w:vAlign w:val="bottom"/>
          </w:tcPr>
          <w:p w14:paraId="02224BF1" w14:textId="77777777" w:rsidR="001E4D03" w:rsidRPr="003A2506" w:rsidRDefault="001E4D03" w:rsidP="0034622E">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12" w:type="pct"/>
            <w:tcBorders>
              <w:top w:val="nil"/>
              <w:left w:val="nil"/>
              <w:bottom w:val="nil"/>
              <w:right w:val="nil"/>
            </w:tcBorders>
            <w:shd w:val="clear" w:color="auto" w:fill="auto"/>
            <w:vAlign w:val="bottom"/>
          </w:tcPr>
          <w:p w14:paraId="78C7FB58" w14:textId="77777777" w:rsidR="001E4D03" w:rsidRPr="003A2506" w:rsidRDefault="001E4D03" w:rsidP="0034622E">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 </w:t>
            </w:r>
          </w:p>
        </w:tc>
        <w:tc>
          <w:tcPr>
            <w:tcW w:w="333" w:type="pct"/>
            <w:tcBorders>
              <w:top w:val="nil"/>
              <w:left w:val="nil"/>
              <w:bottom w:val="nil"/>
              <w:right w:val="nil"/>
            </w:tcBorders>
            <w:shd w:val="clear" w:color="auto" w:fill="auto"/>
            <w:vAlign w:val="bottom"/>
          </w:tcPr>
          <w:p w14:paraId="2B0251EA" w14:textId="77777777" w:rsidR="001E4D03" w:rsidRPr="003A2506" w:rsidRDefault="001E4D03" w:rsidP="0034622E">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5.357 </w:t>
            </w:r>
          </w:p>
        </w:tc>
        <w:tc>
          <w:tcPr>
            <w:tcW w:w="328" w:type="pct"/>
            <w:tcBorders>
              <w:top w:val="nil"/>
              <w:left w:val="nil"/>
              <w:bottom w:val="nil"/>
              <w:right w:val="nil"/>
            </w:tcBorders>
            <w:vAlign w:val="bottom"/>
          </w:tcPr>
          <w:p w14:paraId="130D3AA1" w14:textId="77777777" w:rsidR="001E4D03" w:rsidRPr="003A2506" w:rsidRDefault="001E4D03" w:rsidP="0034622E">
            <w:pPr>
              <w:jc w:val="right"/>
              <w:rPr>
                <w:rFonts w:ascii="Arial" w:eastAsia="Calibri" w:hAnsi="Arial" w:cs="Arial"/>
                <w:color w:val="000000" w:themeColor="text1"/>
                <w:sz w:val="14"/>
                <w:szCs w:val="14"/>
              </w:rPr>
            </w:pPr>
            <w:r w:rsidRPr="00F959D0">
              <w:rPr>
                <w:rFonts w:ascii="Arial" w:eastAsia="Calibri" w:hAnsi="Arial" w:cs="Arial"/>
                <w:color w:val="000000" w:themeColor="text1"/>
                <w:sz w:val="14"/>
                <w:szCs w:val="14"/>
              </w:rPr>
              <w:t xml:space="preserve"> 15 </w:t>
            </w:r>
          </w:p>
        </w:tc>
        <w:tc>
          <w:tcPr>
            <w:tcW w:w="329" w:type="pct"/>
            <w:tcBorders>
              <w:top w:val="nil"/>
              <w:left w:val="nil"/>
              <w:bottom w:val="nil"/>
              <w:right w:val="nil"/>
            </w:tcBorders>
            <w:vAlign w:val="bottom"/>
          </w:tcPr>
          <w:p w14:paraId="7D8EE3F0" w14:textId="77777777" w:rsidR="001E4D03" w:rsidRPr="003A2506" w:rsidRDefault="001E4D03" w:rsidP="0034622E">
            <w:pPr>
              <w:jc w:val="right"/>
              <w:rPr>
                <w:rFonts w:ascii="Arial" w:eastAsia="Calibri" w:hAnsi="Arial" w:cs="Arial"/>
                <w:color w:val="000000" w:themeColor="text1"/>
                <w:sz w:val="14"/>
                <w:szCs w:val="14"/>
              </w:rPr>
            </w:pPr>
            <w:r w:rsidRPr="00F959D0">
              <w:rPr>
                <w:rFonts w:ascii="Arial" w:eastAsia="Calibri" w:hAnsi="Arial" w:cs="Arial"/>
                <w:color w:val="000000" w:themeColor="text1"/>
                <w:sz w:val="14"/>
                <w:szCs w:val="14"/>
              </w:rPr>
              <w:t xml:space="preserve"> 2.919 </w:t>
            </w:r>
          </w:p>
        </w:tc>
        <w:tc>
          <w:tcPr>
            <w:tcW w:w="329" w:type="pct"/>
            <w:tcBorders>
              <w:top w:val="nil"/>
              <w:left w:val="nil"/>
              <w:bottom w:val="nil"/>
              <w:right w:val="nil"/>
            </w:tcBorders>
            <w:vAlign w:val="bottom"/>
          </w:tcPr>
          <w:p w14:paraId="6DCB69E4" w14:textId="77777777" w:rsidR="001E4D03" w:rsidRPr="003A2506" w:rsidRDefault="001E4D03" w:rsidP="0034622E">
            <w:pPr>
              <w:jc w:val="right"/>
              <w:rPr>
                <w:rFonts w:ascii="Arial" w:eastAsia="Calibri" w:hAnsi="Arial" w:cs="Arial"/>
                <w:color w:val="000000" w:themeColor="text1"/>
                <w:sz w:val="14"/>
                <w:szCs w:val="14"/>
              </w:rPr>
            </w:pPr>
            <w:r w:rsidRPr="00F959D0">
              <w:rPr>
                <w:rFonts w:ascii="Arial" w:eastAsia="Calibri" w:hAnsi="Arial" w:cs="Arial"/>
                <w:color w:val="000000" w:themeColor="text1"/>
                <w:sz w:val="14"/>
                <w:szCs w:val="14"/>
              </w:rPr>
              <w:t xml:space="preserve"> - </w:t>
            </w:r>
          </w:p>
        </w:tc>
        <w:tc>
          <w:tcPr>
            <w:tcW w:w="329" w:type="pct"/>
            <w:tcBorders>
              <w:top w:val="nil"/>
              <w:left w:val="nil"/>
              <w:bottom w:val="nil"/>
              <w:right w:val="nil"/>
            </w:tcBorders>
            <w:vAlign w:val="bottom"/>
          </w:tcPr>
          <w:p w14:paraId="2FAA4BD6" w14:textId="77777777" w:rsidR="001E4D03" w:rsidRPr="00F959D0" w:rsidRDefault="001E4D03" w:rsidP="0034622E">
            <w:pPr>
              <w:jc w:val="right"/>
              <w:rPr>
                <w:rFonts w:ascii="Arial" w:eastAsia="Calibri" w:hAnsi="Arial" w:cs="Arial"/>
                <w:color w:val="000000" w:themeColor="text1"/>
                <w:sz w:val="14"/>
                <w:szCs w:val="14"/>
              </w:rPr>
            </w:pPr>
            <w:r w:rsidRPr="00F959D0">
              <w:rPr>
                <w:rFonts w:ascii="Arial" w:eastAsia="Calibri" w:hAnsi="Arial" w:cs="Arial"/>
                <w:color w:val="000000" w:themeColor="text1"/>
                <w:sz w:val="14"/>
                <w:szCs w:val="14"/>
              </w:rPr>
              <w:t xml:space="preserve"> - </w:t>
            </w:r>
          </w:p>
        </w:tc>
        <w:tc>
          <w:tcPr>
            <w:tcW w:w="330" w:type="pct"/>
            <w:tcBorders>
              <w:top w:val="nil"/>
              <w:left w:val="nil"/>
              <w:bottom w:val="nil"/>
              <w:right w:val="nil"/>
            </w:tcBorders>
            <w:vAlign w:val="bottom"/>
          </w:tcPr>
          <w:p w14:paraId="332C1BE5" w14:textId="77777777" w:rsidR="001E4D03" w:rsidRPr="009C51A3" w:rsidRDefault="001E4D03" w:rsidP="0034622E">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71" w:type="pct"/>
            <w:tcBorders>
              <w:top w:val="nil"/>
              <w:left w:val="nil"/>
              <w:bottom w:val="nil"/>
              <w:right w:val="nil"/>
            </w:tcBorders>
            <w:vAlign w:val="bottom"/>
          </w:tcPr>
          <w:p w14:paraId="3E370126" w14:textId="77777777" w:rsidR="001E4D03" w:rsidRPr="003A2506" w:rsidRDefault="001E4D03" w:rsidP="0034622E">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3" w:type="pct"/>
            <w:tcBorders>
              <w:top w:val="nil"/>
              <w:left w:val="nil"/>
              <w:bottom w:val="nil"/>
              <w:right w:val="nil"/>
            </w:tcBorders>
            <w:vAlign w:val="bottom"/>
          </w:tcPr>
          <w:p w14:paraId="5F33EA4A" w14:textId="77777777" w:rsidR="001E4D03" w:rsidRPr="003A2506" w:rsidRDefault="001E4D03" w:rsidP="0034622E">
            <w:pPr>
              <w:jc w:val="right"/>
              <w:rPr>
                <w:rFonts w:ascii="Arial" w:eastAsia="Calibri" w:hAnsi="Arial" w:cs="Arial"/>
                <w:color w:val="000000" w:themeColor="text1"/>
                <w:sz w:val="14"/>
                <w:szCs w:val="14"/>
              </w:rPr>
            </w:pPr>
            <w:r w:rsidRPr="00F959D0">
              <w:rPr>
                <w:rFonts w:ascii="Arial" w:eastAsia="Calibri" w:hAnsi="Arial" w:cs="Arial"/>
                <w:color w:val="000000" w:themeColor="text1"/>
                <w:sz w:val="14"/>
                <w:szCs w:val="14"/>
              </w:rPr>
              <w:t xml:space="preserve"> 2.934 </w:t>
            </w:r>
          </w:p>
        </w:tc>
      </w:tr>
      <w:tr w:rsidR="001E4D03" w:rsidRPr="00F12E3D" w14:paraId="0EE0894A" w14:textId="77777777" w:rsidTr="0034622E">
        <w:trPr>
          <w:trHeight w:val="189"/>
        </w:trPr>
        <w:tc>
          <w:tcPr>
            <w:tcW w:w="538" w:type="pct"/>
            <w:vAlign w:val="bottom"/>
          </w:tcPr>
          <w:p w14:paraId="2E802105" w14:textId="77777777" w:rsidR="001E4D03" w:rsidRPr="00F12E3D" w:rsidRDefault="001E4D03" w:rsidP="0034622E">
            <w:pPr>
              <w:tabs>
                <w:tab w:val="right" w:pos="1202"/>
              </w:tabs>
              <w:outlineLvl w:val="0"/>
              <w:rPr>
                <w:rFonts w:ascii="Arial" w:eastAsia="Calibri" w:hAnsi="Arial" w:cs="Arial"/>
                <w:color w:val="000000" w:themeColor="text1"/>
                <w:sz w:val="14"/>
                <w:szCs w:val="14"/>
              </w:rPr>
            </w:pPr>
            <w:r w:rsidRPr="00F12E3D">
              <w:rPr>
                <w:rFonts w:ascii="Arial" w:eastAsia="Calibri" w:hAnsi="Arial" w:cs="Arial"/>
                <w:color w:val="000000" w:themeColor="text1"/>
                <w:sz w:val="14"/>
                <w:szCs w:val="14"/>
              </w:rPr>
              <w:t>Preuzete obveze po kreditima</w:t>
            </w:r>
          </w:p>
        </w:tc>
        <w:tc>
          <w:tcPr>
            <w:tcW w:w="301" w:type="pct"/>
            <w:tcBorders>
              <w:top w:val="nil"/>
              <w:left w:val="nil"/>
              <w:bottom w:val="single" w:sz="6" w:space="0" w:color="auto"/>
              <w:right w:val="nil"/>
            </w:tcBorders>
            <w:shd w:val="clear" w:color="auto" w:fill="auto"/>
            <w:vAlign w:val="bottom"/>
          </w:tcPr>
          <w:p w14:paraId="047F934A" w14:textId="77777777" w:rsidR="001E4D03" w:rsidRPr="003A2506" w:rsidRDefault="001E4D03" w:rsidP="0034622E">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423.683 </w:t>
            </w:r>
          </w:p>
        </w:tc>
        <w:tc>
          <w:tcPr>
            <w:tcW w:w="298" w:type="pct"/>
            <w:tcBorders>
              <w:top w:val="nil"/>
              <w:left w:val="nil"/>
              <w:bottom w:val="single" w:sz="6" w:space="0" w:color="auto"/>
              <w:right w:val="nil"/>
            </w:tcBorders>
            <w:shd w:val="clear" w:color="auto" w:fill="auto"/>
            <w:vAlign w:val="bottom"/>
          </w:tcPr>
          <w:p w14:paraId="2D422286" w14:textId="77777777" w:rsidR="001E4D03" w:rsidRPr="003A2506" w:rsidRDefault="001E4D03" w:rsidP="0034622E">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4.816 </w:t>
            </w:r>
          </w:p>
        </w:tc>
        <w:tc>
          <w:tcPr>
            <w:tcW w:w="295" w:type="pct"/>
            <w:tcBorders>
              <w:top w:val="nil"/>
              <w:left w:val="nil"/>
              <w:bottom w:val="single" w:sz="6" w:space="0" w:color="auto"/>
              <w:right w:val="nil"/>
            </w:tcBorders>
            <w:shd w:val="clear" w:color="auto" w:fill="auto"/>
            <w:vAlign w:val="bottom"/>
          </w:tcPr>
          <w:p w14:paraId="5D3341B3" w14:textId="77777777" w:rsidR="001E4D03" w:rsidRPr="003A2506" w:rsidRDefault="001E4D03" w:rsidP="0034622E">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 </w:t>
            </w:r>
          </w:p>
        </w:tc>
        <w:tc>
          <w:tcPr>
            <w:tcW w:w="287" w:type="pct"/>
            <w:tcBorders>
              <w:top w:val="nil"/>
              <w:left w:val="nil"/>
              <w:bottom w:val="single" w:sz="6" w:space="0" w:color="auto"/>
              <w:right w:val="nil"/>
            </w:tcBorders>
            <w:shd w:val="clear" w:color="auto" w:fill="auto"/>
            <w:vAlign w:val="bottom"/>
          </w:tcPr>
          <w:p w14:paraId="126C53C3" w14:textId="77777777" w:rsidR="001E4D03" w:rsidRPr="00F959D0" w:rsidRDefault="001E4D03" w:rsidP="0034622E">
            <w:pPr>
              <w:jc w:val="right"/>
              <w:rPr>
                <w:rFonts w:ascii="Arial" w:eastAsia="Calibri" w:hAnsi="Arial" w:cs="Arial"/>
                <w:color w:val="000000" w:themeColor="text1"/>
                <w:sz w:val="14"/>
                <w:szCs w:val="14"/>
              </w:rPr>
            </w:pPr>
            <w:r w:rsidRPr="00F959D0">
              <w:rPr>
                <w:rFonts w:ascii="Arial" w:eastAsia="Calibri" w:hAnsi="Arial" w:cs="Arial"/>
                <w:color w:val="000000" w:themeColor="text1"/>
                <w:sz w:val="14"/>
                <w:szCs w:val="14"/>
              </w:rPr>
              <w:t xml:space="preserve">- </w:t>
            </w:r>
          </w:p>
        </w:tc>
        <w:tc>
          <w:tcPr>
            <w:tcW w:w="297" w:type="pct"/>
            <w:tcBorders>
              <w:top w:val="nil"/>
              <w:left w:val="nil"/>
              <w:bottom w:val="single" w:sz="6" w:space="0" w:color="auto"/>
              <w:right w:val="nil"/>
            </w:tcBorders>
            <w:shd w:val="clear" w:color="auto" w:fill="auto"/>
            <w:vAlign w:val="bottom"/>
          </w:tcPr>
          <w:p w14:paraId="60D60A3F" w14:textId="77777777" w:rsidR="001E4D03" w:rsidRPr="003A2506" w:rsidRDefault="001E4D03" w:rsidP="0034622E">
            <w:pPr>
              <w:jc w:val="right"/>
              <w:rPr>
                <w:rFonts w:ascii="Arial" w:eastAsia="Calibri" w:hAnsi="Arial" w:cs="Arial"/>
                <w:color w:val="000000" w:themeColor="text1"/>
                <w:sz w:val="14"/>
                <w:szCs w:val="14"/>
              </w:rPr>
            </w:pPr>
            <w:r w:rsidRPr="005315D0">
              <w:rPr>
                <w:rFonts w:ascii="Arial" w:eastAsia="Calibri" w:hAnsi="Arial" w:cs="Arial"/>
                <w:color w:val="000000" w:themeColor="text1"/>
                <w:sz w:val="14"/>
                <w:szCs w:val="14"/>
              </w:rPr>
              <w:t>12.574</w:t>
            </w:r>
          </w:p>
        </w:tc>
        <w:tc>
          <w:tcPr>
            <w:tcW w:w="312" w:type="pct"/>
            <w:tcBorders>
              <w:top w:val="nil"/>
              <w:left w:val="nil"/>
              <w:bottom w:val="single" w:sz="6" w:space="0" w:color="auto"/>
              <w:right w:val="nil"/>
            </w:tcBorders>
            <w:shd w:val="clear" w:color="auto" w:fill="auto"/>
            <w:vAlign w:val="bottom"/>
          </w:tcPr>
          <w:p w14:paraId="0E540BC0" w14:textId="77777777" w:rsidR="001E4D03" w:rsidRPr="003A2506" w:rsidRDefault="001E4D03" w:rsidP="0034622E">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 </w:t>
            </w:r>
          </w:p>
        </w:tc>
        <w:tc>
          <w:tcPr>
            <w:tcW w:w="333" w:type="pct"/>
            <w:tcBorders>
              <w:top w:val="nil"/>
              <w:left w:val="nil"/>
              <w:bottom w:val="single" w:sz="6" w:space="0" w:color="auto"/>
              <w:right w:val="nil"/>
            </w:tcBorders>
            <w:shd w:val="clear" w:color="auto" w:fill="auto"/>
            <w:vAlign w:val="bottom"/>
          </w:tcPr>
          <w:p w14:paraId="495377B3" w14:textId="77777777" w:rsidR="001E4D03" w:rsidRPr="003A2506" w:rsidRDefault="001E4D03" w:rsidP="0034622E">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441.073 </w:t>
            </w:r>
          </w:p>
        </w:tc>
        <w:tc>
          <w:tcPr>
            <w:tcW w:w="328" w:type="pct"/>
            <w:tcBorders>
              <w:top w:val="nil"/>
              <w:left w:val="nil"/>
              <w:bottom w:val="single" w:sz="6" w:space="0" w:color="auto"/>
              <w:right w:val="nil"/>
            </w:tcBorders>
            <w:vAlign w:val="bottom"/>
          </w:tcPr>
          <w:p w14:paraId="2223FBA6" w14:textId="77777777" w:rsidR="001E4D03" w:rsidRPr="003A2506" w:rsidRDefault="001E4D03" w:rsidP="0034622E">
            <w:pPr>
              <w:jc w:val="right"/>
              <w:rPr>
                <w:rFonts w:ascii="Arial" w:eastAsia="Calibri" w:hAnsi="Arial" w:cs="Arial"/>
                <w:color w:val="000000" w:themeColor="text1"/>
                <w:sz w:val="14"/>
                <w:szCs w:val="14"/>
              </w:rPr>
            </w:pPr>
            <w:r w:rsidRPr="00F959D0">
              <w:rPr>
                <w:rFonts w:ascii="Arial" w:eastAsia="Calibri" w:hAnsi="Arial" w:cs="Arial"/>
                <w:color w:val="000000" w:themeColor="text1"/>
                <w:sz w:val="14"/>
                <w:szCs w:val="14"/>
              </w:rPr>
              <w:t xml:space="preserve"> 135.627 </w:t>
            </w:r>
          </w:p>
        </w:tc>
        <w:tc>
          <w:tcPr>
            <w:tcW w:w="329" w:type="pct"/>
            <w:tcBorders>
              <w:top w:val="nil"/>
              <w:left w:val="nil"/>
              <w:bottom w:val="single" w:sz="6" w:space="0" w:color="auto"/>
              <w:right w:val="nil"/>
            </w:tcBorders>
            <w:vAlign w:val="bottom"/>
          </w:tcPr>
          <w:p w14:paraId="5979DF2D" w14:textId="77777777" w:rsidR="001E4D03" w:rsidRPr="003A2506" w:rsidRDefault="001E4D03" w:rsidP="0034622E">
            <w:pPr>
              <w:jc w:val="right"/>
              <w:rPr>
                <w:rFonts w:ascii="Arial" w:eastAsia="Calibri" w:hAnsi="Arial" w:cs="Arial"/>
                <w:color w:val="000000" w:themeColor="text1"/>
                <w:sz w:val="14"/>
                <w:szCs w:val="14"/>
              </w:rPr>
            </w:pPr>
            <w:r w:rsidRPr="00F959D0">
              <w:rPr>
                <w:rFonts w:ascii="Arial" w:eastAsia="Calibri" w:hAnsi="Arial" w:cs="Arial"/>
                <w:color w:val="000000" w:themeColor="text1"/>
                <w:sz w:val="14"/>
                <w:szCs w:val="14"/>
              </w:rPr>
              <w:t xml:space="preserve"> 2.938 </w:t>
            </w:r>
          </w:p>
        </w:tc>
        <w:tc>
          <w:tcPr>
            <w:tcW w:w="329" w:type="pct"/>
            <w:tcBorders>
              <w:top w:val="nil"/>
              <w:left w:val="nil"/>
              <w:bottom w:val="single" w:sz="6" w:space="0" w:color="auto"/>
              <w:right w:val="nil"/>
            </w:tcBorders>
            <w:vAlign w:val="bottom"/>
          </w:tcPr>
          <w:p w14:paraId="3373B351" w14:textId="77777777" w:rsidR="001E4D03" w:rsidRPr="003A2506" w:rsidRDefault="001E4D03" w:rsidP="0034622E">
            <w:pPr>
              <w:jc w:val="right"/>
              <w:rPr>
                <w:rFonts w:ascii="Arial" w:eastAsia="Calibri" w:hAnsi="Arial" w:cs="Arial"/>
                <w:color w:val="000000" w:themeColor="text1"/>
                <w:sz w:val="14"/>
                <w:szCs w:val="14"/>
              </w:rPr>
            </w:pPr>
            <w:r w:rsidRPr="00F959D0">
              <w:rPr>
                <w:rFonts w:ascii="Arial" w:eastAsia="Calibri" w:hAnsi="Arial" w:cs="Arial"/>
                <w:color w:val="000000" w:themeColor="text1"/>
                <w:sz w:val="14"/>
                <w:szCs w:val="14"/>
              </w:rPr>
              <w:t xml:space="preserve"> - </w:t>
            </w:r>
          </w:p>
        </w:tc>
        <w:tc>
          <w:tcPr>
            <w:tcW w:w="329" w:type="pct"/>
            <w:tcBorders>
              <w:top w:val="nil"/>
              <w:left w:val="nil"/>
              <w:bottom w:val="single" w:sz="6" w:space="0" w:color="auto"/>
              <w:right w:val="nil"/>
            </w:tcBorders>
            <w:vAlign w:val="bottom"/>
          </w:tcPr>
          <w:p w14:paraId="78B2E877" w14:textId="77777777" w:rsidR="001E4D03" w:rsidRPr="00F959D0" w:rsidRDefault="001E4D03" w:rsidP="0034622E">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0" w:type="pct"/>
            <w:tcBorders>
              <w:top w:val="nil"/>
              <w:left w:val="nil"/>
              <w:bottom w:val="single" w:sz="6" w:space="0" w:color="auto"/>
              <w:right w:val="nil"/>
            </w:tcBorders>
            <w:vAlign w:val="bottom"/>
          </w:tcPr>
          <w:p w14:paraId="028D065C" w14:textId="77777777" w:rsidR="001E4D03" w:rsidRPr="009C51A3" w:rsidRDefault="001E4D03" w:rsidP="0034622E">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65</w:t>
            </w:r>
          </w:p>
        </w:tc>
        <w:tc>
          <w:tcPr>
            <w:tcW w:w="371" w:type="pct"/>
            <w:tcBorders>
              <w:top w:val="nil"/>
              <w:left w:val="nil"/>
              <w:bottom w:val="single" w:sz="6" w:space="0" w:color="auto"/>
              <w:right w:val="nil"/>
            </w:tcBorders>
            <w:vAlign w:val="bottom"/>
          </w:tcPr>
          <w:p w14:paraId="7739A4E6" w14:textId="77777777" w:rsidR="001E4D03" w:rsidRPr="003A2506" w:rsidRDefault="001E4D03" w:rsidP="0034622E">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3" w:type="pct"/>
            <w:tcBorders>
              <w:top w:val="nil"/>
              <w:left w:val="nil"/>
              <w:bottom w:val="single" w:sz="6" w:space="0" w:color="auto"/>
              <w:right w:val="nil"/>
            </w:tcBorders>
            <w:vAlign w:val="bottom"/>
          </w:tcPr>
          <w:p w14:paraId="79781592" w14:textId="77777777" w:rsidR="001E4D03" w:rsidRPr="003A2506" w:rsidRDefault="001E4D03" w:rsidP="0034622E">
            <w:pPr>
              <w:jc w:val="right"/>
              <w:rPr>
                <w:rFonts w:ascii="Arial" w:eastAsia="Calibri" w:hAnsi="Arial" w:cs="Arial"/>
                <w:color w:val="000000" w:themeColor="text1"/>
                <w:sz w:val="14"/>
                <w:szCs w:val="14"/>
              </w:rPr>
            </w:pPr>
            <w:r w:rsidRPr="009C51A3">
              <w:rPr>
                <w:rFonts w:ascii="Arial" w:eastAsia="Calibri" w:hAnsi="Arial" w:cs="Arial"/>
                <w:color w:val="000000" w:themeColor="text1"/>
                <w:sz w:val="14"/>
                <w:szCs w:val="14"/>
              </w:rPr>
              <w:t>138.630</w:t>
            </w:r>
          </w:p>
        </w:tc>
      </w:tr>
      <w:tr w:rsidR="001E4D03" w:rsidRPr="00F12E3D" w14:paraId="02E51747" w14:textId="77777777" w:rsidTr="0034622E">
        <w:trPr>
          <w:trHeight w:val="170"/>
        </w:trPr>
        <w:tc>
          <w:tcPr>
            <w:tcW w:w="538" w:type="pct"/>
            <w:vAlign w:val="bottom"/>
          </w:tcPr>
          <w:p w14:paraId="56FF8A1D" w14:textId="77777777" w:rsidR="001E4D03" w:rsidRPr="00F12E3D" w:rsidRDefault="001E4D03" w:rsidP="0034622E">
            <w:pPr>
              <w:tabs>
                <w:tab w:val="right" w:pos="1202"/>
              </w:tabs>
              <w:spacing w:line="200" w:lineRule="exact"/>
              <w:outlineLvl w:val="0"/>
              <w:rPr>
                <w:rFonts w:ascii="Arial" w:eastAsia="Calibri" w:hAnsi="Arial" w:cs="Arial"/>
                <w:b/>
                <w:bCs/>
                <w:color w:val="000000" w:themeColor="text1"/>
                <w:sz w:val="14"/>
                <w:szCs w:val="14"/>
              </w:rPr>
            </w:pPr>
            <w:r w:rsidRPr="00F12E3D">
              <w:rPr>
                <w:rFonts w:ascii="Arial" w:eastAsia="Calibri" w:hAnsi="Arial" w:cs="Arial"/>
                <w:b/>
                <w:bCs/>
                <w:color w:val="000000" w:themeColor="text1"/>
                <w:sz w:val="14"/>
                <w:szCs w:val="14"/>
              </w:rPr>
              <w:t>Ukupno</w:t>
            </w:r>
          </w:p>
        </w:tc>
        <w:tc>
          <w:tcPr>
            <w:tcW w:w="301" w:type="pct"/>
            <w:tcBorders>
              <w:top w:val="single" w:sz="6" w:space="0" w:color="auto"/>
              <w:left w:val="nil"/>
              <w:bottom w:val="single" w:sz="12" w:space="0" w:color="auto"/>
              <w:right w:val="nil"/>
            </w:tcBorders>
            <w:shd w:val="clear" w:color="auto" w:fill="auto"/>
            <w:vAlign w:val="bottom"/>
          </w:tcPr>
          <w:p w14:paraId="24625726" w14:textId="77777777" w:rsidR="001E4D03" w:rsidRPr="003A2506" w:rsidRDefault="001E4D03" w:rsidP="0034622E">
            <w:pPr>
              <w:jc w:val="right"/>
              <w:rPr>
                <w:rFonts w:ascii="Arial" w:eastAsia="Calibri" w:hAnsi="Arial" w:cs="Arial"/>
                <w:b/>
                <w:bCs/>
                <w:sz w:val="14"/>
                <w:szCs w:val="14"/>
              </w:rPr>
            </w:pPr>
            <w:r w:rsidRPr="00F84C24">
              <w:rPr>
                <w:rFonts w:ascii="Arial" w:eastAsia="Calibri" w:hAnsi="Arial" w:cs="Arial"/>
                <w:b/>
                <w:bCs/>
                <w:color w:val="000000" w:themeColor="text1"/>
                <w:sz w:val="14"/>
                <w:szCs w:val="14"/>
              </w:rPr>
              <w:t xml:space="preserve"> 441.665 </w:t>
            </w:r>
          </w:p>
        </w:tc>
        <w:tc>
          <w:tcPr>
            <w:tcW w:w="298" w:type="pct"/>
            <w:tcBorders>
              <w:top w:val="single" w:sz="6" w:space="0" w:color="auto"/>
              <w:left w:val="nil"/>
              <w:bottom w:val="single" w:sz="12" w:space="0" w:color="auto"/>
              <w:right w:val="nil"/>
            </w:tcBorders>
            <w:shd w:val="clear" w:color="auto" w:fill="auto"/>
            <w:vAlign w:val="bottom"/>
          </w:tcPr>
          <w:p w14:paraId="6BB613C2" w14:textId="77777777" w:rsidR="001E4D03" w:rsidRPr="003A2506" w:rsidRDefault="001E4D03" w:rsidP="0034622E">
            <w:pPr>
              <w:jc w:val="right"/>
              <w:rPr>
                <w:rFonts w:ascii="Arial" w:eastAsia="Calibri" w:hAnsi="Arial" w:cs="Arial"/>
                <w:b/>
                <w:bCs/>
                <w:sz w:val="14"/>
                <w:szCs w:val="14"/>
              </w:rPr>
            </w:pPr>
            <w:r w:rsidRPr="00F84C24">
              <w:rPr>
                <w:rFonts w:ascii="Arial" w:eastAsia="Calibri" w:hAnsi="Arial" w:cs="Arial"/>
                <w:b/>
                <w:bCs/>
                <w:color w:val="000000" w:themeColor="text1"/>
                <w:sz w:val="14"/>
                <w:szCs w:val="14"/>
              </w:rPr>
              <w:t xml:space="preserve"> 16.296 </w:t>
            </w:r>
          </w:p>
        </w:tc>
        <w:tc>
          <w:tcPr>
            <w:tcW w:w="295" w:type="pct"/>
            <w:tcBorders>
              <w:top w:val="single" w:sz="6" w:space="0" w:color="auto"/>
              <w:left w:val="nil"/>
              <w:bottom w:val="single" w:sz="12" w:space="0" w:color="auto"/>
              <w:right w:val="nil"/>
            </w:tcBorders>
            <w:shd w:val="clear" w:color="auto" w:fill="auto"/>
            <w:vAlign w:val="bottom"/>
          </w:tcPr>
          <w:p w14:paraId="4320FA34" w14:textId="77777777" w:rsidR="001E4D03" w:rsidRPr="003A2506" w:rsidRDefault="001E4D03" w:rsidP="0034622E">
            <w:pPr>
              <w:jc w:val="right"/>
              <w:rPr>
                <w:rFonts w:ascii="Arial" w:eastAsia="Calibri" w:hAnsi="Arial" w:cs="Arial"/>
                <w:b/>
                <w:bCs/>
                <w:sz w:val="14"/>
                <w:szCs w:val="14"/>
              </w:rPr>
            </w:pPr>
            <w:r w:rsidRPr="00F84C24">
              <w:rPr>
                <w:rFonts w:ascii="Arial" w:eastAsia="Calibri" w:hAnsi="Arial" w:cs="Arial"/>
                <w:b/>
                <w:bCs/>
                <w:color w:val="000000" w:themeColor="text1"/>
                <w:sz w:val="14"/>
                <w:szCs w:val="14"/>
              </w:rPr>
              <w:t xml:space="preserve"> 20.440 </w:t>
            </w:r>
          </w:p>
        </w:tc>
        <w:tc>
          <w:tcPr>
            <w:tcW w:w="287" w:type="pct"/>
            <w:tcBorders>
              <w:top w:val="single" w:sz="6" w:space="0" w:color="auto"/>
              <w:left w:val="nil"/>
              <w:bottom w:val="single" w:sz="12" w:space="0" w:color="auto"/>
              <w:right w:val="nil"/>
            </w:tcBorders>
            <w:shd w:val="clear" w:color="auto" w:fill="auto"/>
            <w:vAlign w:val="bottom"/>
          </w:tcPr>
          <w:p w14:paraId="632B7920" w14:textId="77777777" w:rsidR="001E4D03" w:rsidRPr="00F959D0" w:rsidRDefault="001E4D03" w:rsidP="0034622E">
            <w:pPr>
              <w:jc w:val="right"/>
              <w:rPr>
                <w:rFonts w:ascii="Arial" w:eastAsia="Calibri" w:hAnsi="Arial" w:cs="Arial"/>
                <w:b/>
                <w:bCs/>
                <w:sz w:val="14"/>
                <w:szCs w:val="14"/>
              </w:rPr>
            </w:pPr>
            <w:r w:rsidRPr="00F959D0">
              <w:rPr>
                <w:rFonts w:ascii="Arial" w:eastAsia="Calibri" w:hAnsi="Arial" w:cs="Arial"/>
                <w:b/>
                <w:bCs/>
                <w:color w:val="000000" w:themeColor="text1"/>
                <w:sz w:val="14"/>
                <w:szCs w:val="14"/>
              </w:rPr>
              <w:t>-</w:t>
            </w:r>
          </w:p>
        </w:tc>
        <w:tc>
          <w:tcPr>
            <w:tcW w:w="297" w:type="pct"/>
            <w:tcBorders>
              <w:top w:val="nil"/>
              <w:left w:val="nil"/>
              <w:bottom w:val="single" w:sz="12" w:space="0" w:color="auto"/>
              <w:right w:val="nil"/>
            </w:tcBorders>
            <w:shd w:val="clear" w:color="auto" w:fill="auto"/>
            <w:vAlign w:val="bottom"/>
          </w:tcPr>
          <w:p w14:paraId="15D2B178" w14:textId="77777777" w:rsidR="001E4D03" w:rsidRPr="003A2506" w:rsidRDefault="001E4D03" w:rsidP="0034622E">
            <w:pPr>
              <w:jc w:val="right"/>
              <w:rPr>
                <w:rFonts w:ascii="Arial" w:eastAsia="Calibri" w:hAnsi="Arial" w:cs="Arial"/>
                <w:b/>
                <w:bCs/>
                <w:sz w:val="14"/>
                <w:szCs w:val="14"/>
              </w:rPr>
            </w:pPr>
            <w:r w:rsidRPr="005315D0">
              <w:rPr>
                <w:rFonts w:ascii="Arial" w:eastAsia="Calibri" w:hAnsi="Arial" w:cs="Arial"/>
                <w:b/>
                <w:bCs/>
                <w:sz w:val="14"/>
                <w:szCs w:val="14"/>
              </w:rPr>
              <w:t>12.574</w:t>
            </w:r>
          </w:p>
        </w:tc>
        <w:tc>
          <w:tcPr>
            <w:tcW w:w="312" w:type="pct"/>
            <w:tcBorders>
              <w:top w:val="single" w:sz="6" w:space="0" w:color="auto"/>
              <w:left w:val="nil"/>
              <w:bottom w:val="single" w:sz="12" w:space="0" w:color="auto"/>
              <w:right w:val="nil"/>
            </w:tcBorders>
            <w:shd w:val="clear" w:color="auto" w:fill="auto"/>
            <w:vAlign w:val="bottom"/>
          </w:tcPr>
          <w:p w14:paraId="4EEF1133" w14:textId="77777777" w:rsidR="001E4D03" w:rsidRPr="003A2506" w:rsidRDefault="001E4D03" w:rsidP="0034622E">
            <w:pPr>
              <w:jc w:val="right"/>
              <w:rPr>
                <w:rFonts w:ascii="Arial" w:eastAsia="Calibri" w:hAnsi="Arial" w:cs="Arial"/>
                <w:b/>
                <w:bCs/>
                <w:sz w:val="14"/>
                <w:szCs w:val="14"/>
              </w:rPr>
            </w:pPr>
            <w:r w:rsidRPr="00F84C24">
              <w:rPr>
                <w:rFonts w:ascii="Arial" w:eastAsia="Calibri" w:hAnsi="Arial" w:cs="Arial"/>
                <w:b/>
                <w:bCs/>
                <w:color w:val="000000" w:themeColor="text1"/>
                <w:sz w:val="14"/>
                <w:szCs w:val="14"/>
              </w:rPr>
              <w:t xml:space="preserve"> - </w:t>
            </w:r>
          </w:p>
        </w:tc>
        <w:tc>
          <w:tcPr>
            <w:tcW w:w="333" w:type="pct"/>
            <w:tcBorders>
              <w:top w:val="single" w:sz="6" w:space="0" w:color="auto"/>
              <w:left w:val="nil"/>
              <w:bottom w:val="single" w:sz="12" w:space="0" w:color="auto"/>
              <w:right w:val="nil"/>
            </w:tcBorders>
            <w:shd w:val="clear" w:color="auto" w:fill="auto"/>
            <w:vAlign w:val="bottom"/>
          </w:tcPr>
          <w:p w14:paraId="4473ABBE" w14:textId="77777777" w:rsidR="001E4D03" w:rsidRPr="003A2506" w:rsidRDefault="001E4D03" w:rsidP="0034622E">
            <w:pPr>
              <w:jc w:val="right"/>
              <w:rPr>
                <w:rFonts w:ascii="Arial" w:eastAsia="Calibri" w:hAnsi="Arial" w:cs="Arial"/>
                <w:b/>
                <w:bCs/>
                <w:sz w:val="14"/>
                <w:szCs w:val="14"/>
              </w:rPr>
            </w:pPr>
            <w:r w:rsidRPr="00F84C24">
              <w:rPr>
                <w:rFonts w:ascii="Arial" w:eastAsia="Calibri" w:hAnsi="Arial" w:cs="Arial"/>
                <w:b/>
                <w:bCs/>
                <w:color w:val="000000" w:themeColor="text1"/>
                <w:sz w:val="14"/>
                <w:szCs w:val="14"/>
              </w:rPr>
              <w:t xml:space="preserve"> 490.975 </w:t>
            </w:r>
          </w:p>
        </w:tc>
        <w:tc>
          <w:tcPr>
            <w:tcW w:w="328" w:type="pct"/>
            <w:tcBorders>
              <w:top w:val="single" w:sz="6" w:space="0" w:color="auto"/>
              <w:left w:val="nil"/>
              <w:bottom w:val="single" w:sz="12" w:space="0" w:color="auto"/>
              <w:right w:val="nil"/>
            </w:tcBorders>
            <w:vAlign w:val="bottom"/>
          </w:tcPr>
          <w:p w14:paraId="2490662D" w14:textId="77777777" w:rsidR="001E4D03" w:rsidRPr="00F959D0" w:rsidRDefault="001E4D03" w:rsidP="0034622E">
            <w:pPr>
              <w:jc w:val="right"/>
              <w:rPr>
                <w:rFonts w:ascii="Arial" w:eastAsia="Calibri" w:hAnsi="Arial" w:cs="Arial"/>
                <w:b/>
                <w:bCs/>
                <w:color w:val="000000" w:themeColor="text1"/>
                <w:sz w:val="14"/>
                <w:szCs w:val="14"/>
              </w:rPr>
            </w:pPr>
            <w:r w:rsidRPr="00F959D0">
              <w:rPr>
                <w:rFonts w:ascii="Arial" w:eastAsia="Calibri" w:hAnsi="Arial" w:cs="Arial"/>
                <w:b/>
                <w:bCs/>
                <w:color w:val="000000" w:themeColor="text1"/>
                <w:sz w:val="14"/>
                <w:szCs w:val="14"/>
              </w:rPr>
              <w:t xml:space="preserve"> 153.179 </w:t>
            </w:r>
          </w:p>
        </w:tc>
        <w:tc>
          <w:tcPr>
            <w:tcW w:w="329" w:type="pct"/>
            <w:tcBorders>
              <w:top w:val="single" w:sz="6" w:space="0" w:color="auto"/>
              <w:left w:val="nil"/>
              <w:bottom w:val="single" w:sz="12" w:space="0" w:color="auto"/>
              <w:right w:val="nil"/>
            </w:tcBorders>
            <w:vAlign w:val="bottom"/>
          </w:tcPr>
          <w:p w14:paraId="52AC9122" w14:textId="77777777" w:rsidR="001E4D03" w:rsidRPr="00F959D0" w:rsidRDefault="001E4D03" w:rsidP="0034622E">
            <w:pPr>
              <w:jc w:val="right"/>
              <w:rPr>
                <w:rFonts w:ascii="Arial" w:eastAsia="Calibri" w:hAnsi="Arial" w:cs="Arial"/>
                <w:b/>
                <w:bCs/>
                <w:color w:val="000000" w:themeColor="text1"/>
                <w:sz w:val="14"/>
                <w:szCs w:val="14"/>
              </w:rPr>
            </w:pPr>
            <w:r w:rsidRPr="00F959D0">
              <w:rPr>
                <w:rFonts w:ascii="Arial" w:eastAsia="Calibri" w:hAnsi="Arial" w:cs="Arial"/>
                <w:b/>
                <w:bCs/>
                <w:color w:val="000000" w:themeColor="text1"/>
                <w:sz w:val="14"/>
                <w:szCs w:val="14"/>
              </w:rPr>
              <w:t xml:space="preserve"> 7.201 </w:t>
            </w:r>
          </w:p>
        </w:tc>
        <w:tc>
          <w:tcPr>
            <w:tcW w:w="329" w:type="pct"/>
            <w:tcBorders>
              <w:top w:val="single" w:sz="6" w:space="0" w:color="auto"/>
              <w:left w:val="nil"/>
              <w:bottom w:val="single" w:sz="12" w:space="0" w:color="auto"/>
              <w:right w:val="nil"/>
            </w:tcBorders>
            <w:vAlign w:val="bottom"/>
          </w:tcPr>
          <w:p w14:paraId="41489573" w14:textId="77777777" w:rsidR="001E4D03" w:rsidRPr="00F959D0" w:rsidRDefault="001E4D03" w:rsidP="0034622E">
            <w:pPr>
              <w:jc w:val="right"/>
              <w:rPr>
                <w:rFonts w:ascii="Arial" w:eastAsia="Calibri" w:hAnsi="Arial" w:cs="Arial"/>
                <w:b/>
                <w:bCs/>
                <w:color w:val="000000" w:themeColor="text1"/>
                <w:sz w:val="14"/>
                <w:szCs w:val="14"/>
              </w:rPr>
            </w:pPr>
            <w:r w:rsidRPr="00F959D0">
              <w:rPr>
                <w:rFonts w:ascii="Arial" w:eastAsia="Calibri" w:hAnsi="Arial" w:cs="Arial"/>
                <w:b/>
                <w:bCs/>
                <w:color w:val="000000" w:themeColor="text1"/>
                <w:sz w:val="14"/>
                <w:szCs w:val="14"/>
              </w:rPr>
              <w:t xml:space="preserve"> 14.348 </w:t>
            </w:r>
          </w:p>
        </w:tc>
        <w:tc>
          <w:tcPr>
            <w:tcW w:w="329" w:type="pct"/>
            <w:tcBorders>
              <w:top w:val="single" w:sz="6" w:space="0" w:color="auto"/>
              <w:left w:val="nil"/>
              <w:bottom w:val="single" w:sz="12" w:space="0" w:color="auto"/>
              <w:right w:val="nil"/>
            </w:tcBorders>
            <w:vAlign w:val="bottom"/>
          </w:tcPr>
          <w:p w14:paraId="189A3D4A" w14:textId="77777777" w:rsidR="001E4D03" w:rsidRPr="00F959D0" w:rsidRDefault="001E4D03" w:rsidP="0034622E">
            <w:pPr>
              <w:jc w:val="right"/>
              <w:rPr>
                <w:rFonts w:ascii="Arial" w:eastAsia="Calibri" w:hAnsi="Arial" w:cs="Arial"/>
                <w:b/>
                <w:bCs/>
                <w:color w:val="000000" w:themeColor="text1"/>
                <w:sz w:val="14"/>
                <w:szCs w:val="14"/>
              </w:rPr>
            </w:pPr>
            <w:r w:rsidRPr="00F959D0">
              <w:rPr>
                <w:rFonts w:ascii="Arial" w:eastAsia="Calibri" w:hAnsi="Arial" w:cs="Arial"/>
                <w:b/>
                <w:bCs/>
                <w:color w:val="000000" w:themeColor="text1"/>
                <w:sz w:val="14"/>
                <w:szCs w:val="14"/>
              </w:rPr>
              <w:t xml:space="preserve"> </w:t>
            </w:r>
            <w:r>
              <w:rPr>
                <w:rFonts w:ascii="Arial" w:eastAsia="Calibri" w:hAnsi="Arial" w:cs="Arial"/>
                <w:b/>
                <w:bCs/>
                <w:color w:val="000000" w:themeColor="text1"/>
                <w:sz w:val="14"/>
                <w:szCs w:val="14"/>
              </w:rPr>
              <w:t>-</w:t>
            </w:r>
          </w:p>
        </w:tc>
        <w:tc>
          <w:tcPr>
            <w:tcW w:w="330" w:type="pct"/>
            <w:tcBorders>
              <w:top w:val="nil"/>
              <w:left w:val="nil"/>
              <w:bottom w:val="single" w:sz="12" w:space="0" w:color="auto"/>
              <w:right w:val="nil"/>
            </w:tcBorders>
            <w:shd w:val="clear" w:color="auto" w:fill="auto"/>
            <w:vAlign w:val="bottom"/>
          </w:tcPr>
          <w:p w14:paraId="702DF18F" w14:textId="77777777" w:rsidR="001E4D03" w:rsidRPr="00F959D0" w:rsidRDefault="001E4D03" w:rsidP="0034622E">
            <w:pPr>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65</w:t>
            </w:r>
          </w:p>
        </w:tc>
        <w:tc>
          <w:tcPr>
            <w:tcW w:w="371" w:type="pct"/>
            <w:tcBorders>
              <w:top w:val="single" w:sz="6" w:space="0" w:color="auto"/>
              <w:left w:val="nil"/>
              <w:bottom w:val="single" w:sz="12" w:space="0" w:color="auto"/>
              <w:right w:val="nil"/>
            </w:tcBorders>
            <w:vAlign w:val="bottom"/>
          </w:tcPr>
          <w:p w14:paraId="2D98E533" w14:textId="77777777" w:rsidR="001E4D03" w:rsidRPr="00F959D0" w:rsidRDefault="001E4D03" w:rsidP="0034622E">
            <w:pPr>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w:t>
            </w:r>
          </w:p>
        </w:tc>
        <w:tc>
          <w:tcPr>
            <w:tcW w:w="323" w:type="pct"/>
            <w:tcBorders>
              <w:top w:val="single" w:sz="6" w:space="0" w:color="auto"/>
              <w:left w:val="nil"/>
              <w:bottom w:val="single" w:sz="12" w:space="0" w:color="auto"/>
              <w:right w:val="nil"/>
            </w:tcBorders>
            <w:vAlign w:val="bottom"/>
          </w:tcPr>
          <w:p w14:paraId="5D9D9EE1" w14:textId="77777777" w:rsidR="001E4D03" w:rsidRPr="00F959D0" w:rsidRDefault="001E4D03" w:rsidP="0034622E">
            <w:pPr>
              <w:jc w:val="right"/>
              <w:rPr>
                <w:rFonts w:ascii="Arial" w:eastAsia="Calibri" w:hAnsi="Arial" w:cs="Arial"/>
                <w:b/>
                <w:bCs/>
                <w:color w:val="000000" w:themeColor="text1"/>
                <w:sz w:val="14"/>
                <w:szCs w:val="14"/>
              </w:rPr>
            </w:pPr>
            <w:r w:rsidRPr="00F959D0">
              <w:rPr>
                <w:rFonts w:ascii="Arial" w:eastAsia="Calibri" w:hAnsi="Arial" w:cs="Arial"/>
                <w:b/>
                <w:bCs/>
                <w:color w:val="000000" w:themeColor="text1"/>
                <w:sz w:val="14"/>
                <w:szCs w:val="14"/>
              </w:rPr>
              <w:t>174.793</w:t>
            </w:r>
          </w:p>
        </w:tc>
      </w:tr>
      <w:tr w:rsidR="001E4D03" w:rsidRPr="00F12E3D" w14:paraId="1AB317DC" w14:textId="77777777" w:rsidTr="0034622E">
        <w:trPr>
          <w:trHeight w:val="55"/>
        </w:trPr>
        <w:tc>
          <w:tcPr>
            <w:tcW w:w="538" w:type="pct"/>
            <w:vAlign w:val="bottom"/>
          </w:tcPr>
          <w:p w14:paraId="29BAA3BC" w14:textId="77777777" w:rsidR="001E4D03" w:rsidRPr="00F12E3D" w:rsidRDefault="001E4D03" w:rsidP="0034622E">
            <w:pPr>
              <w:tabs>
                <w:tab w:val="right" w:pos="1202"/>
              </w:tabs>
              <w:outlineLvl w:val="0"/>
              <w:rPr>
                <w:rFonts w:ascii="Arial" w:eastAsia="Calibri" w:hAnsi="Arial" w:cs="Arial"/>
                <w:b/>
                <w:bCs/>
                <w:color w:val="000000" w:themeColor="text1"/>
                <w:sz w:val="14"/>
                <w:szCs w:val="14"/>
              </w:rPr>
            </w:pPr>
            <w:r w:rsidRPr="00F12E3D">
              <w:rPr>
                <w:rFonts w:ascii="Arial" w:eastAsia="Calibri" w:hAnsi="Arial" w:cs="Arial"/>
                <w:b/>
                <w:bCs/>
                <w:color w:val="000000" w:themeColor="text1"/>
                <w:sz w:val="14"/>
                <w:szCs w:val="14"/>
              </w:rPr>
              <w:t>Ukupna izloženost kreditnom riziku</w:t>
            </w:r>
          </w:p>
        </w:tc>
        <w:tc>
          <w:tcPr>
            <w:tcW w:w="301" w:type="pct"/>
            <w:tcBorders>
              <w:top w:val="nil"/>
              <w:left w:val="nil"/>
              <w:bottom w:val="single" w:sz="12" w:space="0" w:color="auto"/>
              <w:right w:val="nil"/>
            </w:tcBorders>
            <w:shd w:val="clear" w:color="auto" w:fill="auto"/>
            <w:vAlign w:val="bottom"/>
          </w:tcPr>
          <w:p w14:paraId="78282BD4" w14:textId="77777777" w:rsidR="001E4D03" w:rsidRPr="003A2506" w:rsidRDefault="001E4D03" w:rsidP="0034622E">
            <w:pPr>
              <w:jc w:val="right"/>
              <w:rPr>
                <w:rFonts w:ascii="Arial" w:eastAsia="Calibri" w:hAnsi="Arial" w:cs="Arial"/>
                <w:b/>
                <w:bCs/>
                <w:sz w:val="14"/>
                <w:szCs w:val="14"/>
              </w:rPr>
            </w:pPr>
            <w:r w:rsidRPr="00F84C24">
              <w:rPr>
                <w:rFonts w:ascii="Arial" w:eastAsia="Calibri" w:hAnsi="Arial" w:cs="Arial"/>
                <w:b/>
                <w:bCs/>
                <w:color w:val="000000" w:themeColor="text1"/>
                <w:sz w:val="14"/>
                <w:szCs w:val="14"/>
              </w:rPr>
              <w:t xml:space="preserve"> 3.782.042 </w:t>
            </w:r>
          </w:p>
        </w:tc>
        <w:tc>
          <w:tcPr>
            <w:tcW w:w="298" w:type="pct"/>
            <w:tcBorders>
              <w:top w:val="nil"/>
              <w:left w:val="nil"/>
              <w:bottom w:val="single" w:sz="12" w:space="0" w:color="auto"/>
              <w:right w:val="nil"/>
            </w:tcBorders>
            <w:shd w:val="clear" w:color="auto" w:fill="auto"/>
            <w:vAlign w:val="bottom"/>
          </w:tcPr>
          <w:p w14:paraId="38264E44" w14:textId="77777777" w:rsidR="001E4D03" w:rsidRPr="003A2506" w:rsidRDefault="001E4D03" w:rsidP="0034622E">
            <w:pPr>
              <w:jc w:val="right"/>
              <w:rPr>
                <w:rFonts w:ascii="Arial" w:eastAsia="Calibri" w:hAnsi="Arial" w:cs="Arial"/>
                <w:b/>
                <w:bCs/>
                <w:sz w:val="14"/>
                <w:szCs w:val="14"/>
              </w:rPr>
            </w:pPr>
            <w:r w:rsidRPr="00F84C24">
              <w:rPr>
                <w:rFonts w:ascii="Arial" w:eastAsia="Calibri" w:hAnsi="Arial" w:cs="Arial"/>
                <w:b/>
                <w:bCs/>
                <w:color w:val="000000" w:themeColor="text1"/>
                <w:sz w:val="14"/>
                <w:szCs w:val="14"/>
              </w:rPr>
              <w:t xml:space="preserve"> 291.025 </w:t>
            </w:r>
          </w:p>
        </w:tc>
        <w:tc>
          <w:tcPr>
            <w:tcW w:w="295" w:type="pct"/>
            <w:tcBorders>
              <w:top w:val="nil"/>
              <w:left w:val="nil"/>
              <w:bottom w:val="single" w:sz="12" w:space="0" w:color="auto"/>
              <w:right w:val="nil"/>
            </w:tcBorders>
            <w:shd w:val="clear" w:color="auto" w:fill="auto"/>
            <w:vAlign w:val="bottom"/>
          </w:tcPr>
          <w:p w14:paraId="3095500F" w14:textId="77777777" w:rsidR="001E4D03" w:rsidRPr="003A2506" w:rsidRDefault="001E4D03" w:rsidP="0034622E">
            <w:pPr>
              <w:jc w:val="right"/>
              <w:rPr>
                <w:rFonts w:ascii="Arial" w:eastAsia="Calibri" w:hAnsi="Arial" w:cs="Arial"/>
                <w:b/>
                <w:bCs/>
                <w:sz w:val="14"/>
                <w:szCs w:val="14"/>
              </w:rPr>
            </w:pPr>
            <w:r w:rsidRPr="00F84C24">
              <w:rPr>
                <w:rFonts w:ascii="Arial" w:eastAsia="Calibri" w:hAnsi="Arial" w:cs="Arial"/>
                <w:b/>
                <w:bCs/>
                <w:color w:val="000000" w:themeColor="text1"/>
                <w:sz w:val="14"/>
                <w:szCs w:val="14"/>
              </w:rPr>
              <w:t xml:space="preserve"> 153.795 </w:t>
            </w:r>
          </w:p>
        </w:tc>
        <w:tc>
          <w:tcPr>
            <w:tcW w:w="287" w:type="pct"/>
            <w:tcBorders>
              <w:top w:val="nil"/>
              <w:left w:val="nil"/>
              <w:bottom w:val="single" w:sz="12" w:space="0" w:color="auto"/>
              <w:right w:val="nil"/>
            </w:tcBorders>
            <w:shd w:val="clear" w:color="auto" w:fill="auto"/>
            <w:vAlign w:val="bottom"/>
          </w:tcPr>
          <w:p w14:paraId="6B2D229E" w14:textId="77777777" w:rsidR="001E4D03" w:rsidRPr="00F959D0" w:rsidRDefault="001E4D03" w:rsidP="0034622E">
            <w:pPr>
              <w:jc w:val="right"/>
              <w:rPr>
                <w:rFonts w:ascii="Arial" w:eastAsia="Calibri" w:hAnsi="Arial" w:cs="Arial"/>
                <w:b/>
                <w:bCs/>
                <w:sz w:val="14"/>
                <w:szCs w:val="14"/>
              </w:rPr>
            </w:pPr>
            <w:r>
              <w:rPr>
                <w:rFonts w:ascii="Arial" w:eastAsia="Calibri" w:hAnsi="Arial" w:cs="Arial"/>
                <w:b/>
                <w:bCs/>
                <w:sz w:val="14"/>
                <w:szCs w:val="14"/>
              </w:rPr>
              <w:t>5.463</w:t>
            </w:r>
          </w:p>
        </w:tc>
        <w:tc>
          <w:tcPr>
            <w:tcW w:w="297" w:type="pct"/>
            <w:tcBorders>
              <w:top w:val="nil"/>
              <w:left w:val="nil"/>
              <w:bottom w:val="single" w:sz="12" w:space="0" w:color="auto"/>
              <w:right w:val="nil"/>
            </w:tcBorders>
            <w:shd w:val="clear" w:color="auto" w:fill="auto"/>
            <w:vAlign w:val="bottom"/>
          </w:tcPr>
          <w:p w14:paraId="3D95F911" w14:textId="77777777" w:rsidR="001E4D03" w:rsidRPr="003A2506" w:rsidRDefault="001E4D03" w:rsidP="0034622E">
            <w:pPr>
              <w:jc w:val="right"/>
              <w:rPr>
                <w:rFonts w:ascii="Arial" w:eastAsia="Calibri" w:hAnsi="Arial" w:cs="Arial"/>
                <w:b/>
                <w:bCs/>
                <w:sz w:val="14"/>
                <w:szCs w:val="14"/>
              </w:rPr>
            </w:pPr>
            <w:r>
              <w:rPr>
                <w:rFonts w:ascii="Arial" w:eastAsia="Calibri" w:hAnsi="Arial" w:cs="Arial"/>
                <w:b/>
                <w:bCs/>
                <w:sz w:val="14"/>
                <w:szCs w:val="14"/>
              </w:rPr>
              <w:t>191.899</w:t>
            </w:r>
          </w:p>
        </w:tc>
        <w:tc>
          <w:tcPr>
            <w:tcW w:w="312" w:type="pct"/>
            <w:tcBorders>
              <w:top w:val="nil"/>
              <w:left w:val="nil"/>
              <w:bottom w:val="single" w:sz="12" w:space="0" w:color="auto"/>
              <w:right w:val="nil"/>
            </w:tcBorders>
            <w:shd w:val="clear" w:color="auto" w:fill="auto"/>
            <w:vAlign w:val="bottom"/>
          </w:tcPr>
          <w:p w14:paraId="3D80C9C8" w14:textId="77777777" w:rsidR="001E4D03" w:rsidRPr="003A2506" w:rsidRDefault="001E4D03" w:rsidP="0034622E">
            <w:pPr>
              <w:jc w:val="right"/>
              <w:rPr>
                <w:rFonts w:ascii="Arial" w:eastAsia="Calibri" w:hAnsi="Arial" w:cs="Arial"/>
                <w:b/>
                <w:bCs/>
                <w:sz w:val="14"/>
                <w:szCs w:val="14"/>
              </w:rPr>
            </w:pPr>
            <w:r w:rsidRPr="00F84C24">
              <w:rPr>
                <w:rFonts w:ascii="Arial" w:eastAsia="Calibri" w:hAnsi="Arial" w:cs="Arial"/>
                <w:b/>
                <w:bCs/>
                <w:color w:val="000000" w:themeColor="text1"/>
                <w:sz w:val="14"/>
                <w:szCs w:val="14"/>
              </w:rPr>
              <w:t xml:space="preserve"> 33.709 </w:t>
            </w:r>
          </w:p>
        </w:tc>
        <w:tc>
          <w:tcPr>
            <w:tcW w:w="333" w:type="pct"/>
            <w:tcBorders>
              <w:top w:val="nil"/>
              <w:left w:val="nil"/>
              <w:bottom w:val="single" w:sz="12" w:space="0" w:color="auto"/>
              <w:right w:val="nil"/>
            </w:tcBorders>
            <w:shd w:val="clear" w:color="auto" w:fill="auto"/>
            <w:vAlign w:val="bottom"/>
          </w:tcPr>
          <w:p w14:paraId="10C9D7E0" w14:textId="77777777" w:rsidR="001E4D03" w:rsidRPr="003A2506" w:rsidRDefault="001E4D03" w:rsidP="0034622E">
            <w:pPr>
              <w:jc w:val="right"/>
              <w:rPr>
                <w:rFonts w:ascii="Arial" w:eastAsia="Calibri" w:hAnsi="Arial" w:cs="Arial"/>
                <w:b/>
                <w:bCs/>
                <w:sz w:val="14"/>
                <w:szCs w:val="14"/>
              </w:rPr>
            </w:pPr>
            <w:r w:rsidRPr="00F84C24">
              <w:rPr>
                <w:rFonts w:ascii="Arial" w:eastAsia="Calibri" w:hAnsi="Arial" w:cs="Arial"/>
                <w:b/>
                <w:bCs/>
                <w:color w:val="000000" w:themeColor="text1"/>
                <w:sz w:val="14"/>
                <w:szCs w:val="14"/>
              </w:rPr>
              <w:t xml:space="preserve"> 4.457.933 </w:t>
            </w:r>
          </w:p>
        </w:tc>
        <w:tc>
          <w:tcPr>
            <w:tcW w:w="328" w:type="pct"/>
            <w:tcBorders>
              <w:top w:val="nil"/>
              <w:left w:val="nil"/>
              <w:bottom w:val="single" w:sz="12" w:space="0" w:color="auto"/>
              <w:right w:val="nil"/>
            </w:tcBorders>
            <w:vAlign w:val="bottom"/>
          </w:tcPr>
          <w:p w14:paraId="2A6B542A" w14:textId="77777777" w:rsidR="001E4D03" w:rsidRPr="00F959D0" w:rsidRDefault="001E4D03" w:rsidP="0034622E">
            <w:pPr>
              <w:jc w:val="right"/>
              <w:rPr>
                <w:rFonts w:ascii="Arial" w:eastAsia="Calibri" w:hAnsi="Arial" w:cs="Arial"/>
                <w:b/>
                <w:bCs/>
                <w:color w:val="000000" w:themeColor="text1"/>
                <w:sz w:val="14"/>
                <w:szCs w:val="14"/>
              </w:rPr>
            </w:pPr>
            <w:r w:rsidRPr="00F959D0">
              <w:rPr>
                <w:rFonts w:ascii="Arial" w:eastAsia="Calibri" w:hAnsi="Arial" w:cs="Arial"/>
                <w:b/>
                <w:bCs/>
                <w:color w:val="000000" w:themeColor="text1"/>
                <w:sz w:val="14"/>
                <w:szCs w:val="14"/>
              </w:rPr>
              <w:t xml:space="preserve"> 704.776 </w:t>
            </w:r>
          </w:p>
        </w:tc>
        <w:tc>
          <w:tcPr>
            <w:tcW w:w="329" w:type="pct"/>
            <w:tcBorders>
              <w:top w:val="nil"/>
              <w:left w:val="nil"/>
              <w:bottom w:val="single" w:sz="12" w:space="0" w:color="auto"/>
              <w:right w:val="nil"/>
            </w:tcBorders>
            <w:vAlign w:val="bottom"/>
          </w:tcPr>
          <w:p w14:paraId="7288940A" w14:textId="77777777" w:rsidR="001E4D03" w:rsidRPr="00F959D0" w:rsidRDefault="001E4D03" w:rsidP="0034622E">
            <w:pPr>
              <w:jc w:val="right"/>
              <w:rPr>
                <w:rFonts w:ascii="Arial" w:eastAsia="Calibri" w:hAnsi="Arial" w:cs="Arial"/>
                <w:b/>
                <w:bCs/>
                <w:color w:val="000000" w:themeColor="text1"/>
                <w:sz w:val="14"/>
                <w:szCs w:val="14"/>
              </w:rPr>
            </w:pPr>
            <w:r w:rsidRPr="00F959D0">
              <w:rPr>
                <w:rFonts w:ascii="Arial" w:eastAsia="Calibri" w:hAnsi="Arial" w:cs="Arial"/>
                <w:b/>
                <w:bCs/>
                <w:color w:val="000000" w:themeColor="text1"/>
                <w:sz w:val="14"/>
                <w:szCs w:val="14"/>
              </w:rPr>
              <w:t xml:space="preserve"> 36.879 </w:t>
            </w:r>
          </w:p>
        </w:tc>
        <w:tc>
          <w:tcPr>
            <w:tcW w:w="329" w:type="pct"/>
            <w:tcBorders>
              <w:top w:val="nil"/>
              <w:left w:val="nil"/>
              <w:bottom w:val="single" w:sz="12" w:space="0" w:color="auto"/>
              <w:right w:val="nil"/>
            </w:tcBorders>
            <w:vAlign w:val="bottom"/>
          </w:tcPr>
          <w:p w14:paraId="7CA43A17" w14:textId="77777777" w:rsidR="001E4D03" w:rsidRPr="00F959D0" w:rsidRDefault="001E4D03" w:rsidP="0034622E">
            <w:pPr>
              <w:jc w:val="right"/>
              <w:rPr>
                <w:rFonts w:ascii="Arial" w:eastAsia="Calibri" w:hAnsi="Arial" w:cs="Arial"/>
                <w:b/>
                <w:bCs/>
                <w:color w:val="000000" w:themeColor="text1"/>
                <w:sz w:val="14"/>
                <w:szCs w:val="14"/>
              </w:rPr>
            </w:pPr>
            <w:r w:rsidRPr="00F959D0">
              <w:rPr>
                <w:rFonts w:ascii="Arial" w:eastAsia="Calibri" w:hAnsi="Arial" w:cs="Arial"/>
                <w:b/>
                <w:bCs/>
                <w:color w:val="000000" w:themeColor="text1"/>
                <w:sz w:val="14"/>
                <w:szCs w:val="14"/>
              </w:rPr>
              <w:t xml:space="preserve"> 23.053 </w:t>
            </w:r>
          </w:p>
        </w:tc>
        <w:tc>
          <w:tcPr>
            <w:tcW w:w="329" w:type="pct"/>
            <w:tcBorders>
              <w:top w:val="nil"/>
              <w:left w:val="nil"/>
              <w:bottom w:val="single" w:sz="12" w:space="0" w:color="auto"/>
              <w:right w:val="nil"/>
            </w:tcBorders>
            <w:vAlign w:val="bottom"/>
          </w:tcPr>
          <w:p w14:paraId="43558B4D" w14:textId="77777777" w:rsidR="001E4D03" w:rsidRPr="00F959D0" w:rsidRDefault="001E4D03" w:rsidP="0034622E">
            <w:pPr>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66</w:t>
            </w:r>
            <w:r w:rsidRPr="00F959D0">
              <w:rPr>
                <w:rFonts w:ascii="Arial" w:eastAsia="Calibri" w:hAnsi="Arial" w:cs="Arial"/>
                <w:b/>
                <w:bCs/>
                <w:color w:val="000000" w:themeColor="text1"/>
                <w:sz w:val="14"/>
                <w:szCs w:val="14"/>
              </w:rPr>
              <w:t xml:space="preserve"> </w:t>
            </w:r>
          </w:p>
        </w:tc>
        <w:tc>
          <w:tcPr>
            <w:tcW w:w="330" w:type="pct"/>
            <w:tcBorders>
              <w:top w:val="nil"/>
              <w:left w:val="nil"/>
              <w:bottom w:val="single" w:sz="12" w:space="0" w:color="auto"/>
              <w:right w:val="nil"/>
            </w:tcBorders>
            <w:shd w:val="clear" w:color="auto" w:fill="auto"/>
            <w:vAlign w:val="bottom"/>
          </w:tcPr>
          <w:p w14:paraId="43CDE80F" w14:textId="77777777" w:rsidR="001E4D03" w:rsidRPr="00F959D0" w:rsidRDefault="001E4D03" w:rsidP="0034622E">
            <w:pPr>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9.619</w:t>
            </w:r>
          </w:p>
        </w:tc>
        <w:tc>
          <w:tcPr>
            <w:tcW w:w="371" w:type="pct"/>
            <w:tcBorders>
              <w:top w:val="nil"/>
              <w:left w:val="nil"/>
              <w:bottom w:val="single" w:sz="12" w:space="0" w:color="auto"/>
              <w:right w:val="nil"/>
            </w:tcBorders>
            <w:vAlign w:val="bottom"/>
          </w:tcPr>
          <w:p w14:paraId="4D4C4E2E" w14:textId="77777777" w:rsidR="001E4D03" w:rsidRPr="00F959D0" w:rsidRDefault="001E4D03" w:rsidP="0034622E">
            <w:pPr>
              <w:jc w:val="right"/>
              <w:rPr>
                <w:rFonts w:ascii="Arial" w:eastAsia="Calibri" w:hAnsi="Arial" w:cs="Arial"/>
                <w:b/>
                <w:bCs/>
                <w:color w:val="000000" w:themeColor="text1"/>
                <w:sz w:val="14"/>
                <w:szCs w:val="14"/>
              </w:rPr>
            </w:pPr>
            <w:r w:rsidRPr="00F959D0">
              <w:rPr>
                <w:rFonts w:ascii="Arial" w:eastAsia="Calibri" w:hAnsi="Arial" w:cs="Arial"/>
                <w:b/>
                <w:bCs/>
                <w:color w:val="000000" w:themeColor="text1"/>
                <w:sz w:val="14"/>
                <w:szCs w:val="14"/>
              </w:rPr>
              <w:t xml:space="preserve"> 158 </w:t>
            </w:r>
          </w:p>
        </w:tc>
        <w:tc>
          <w:tcPr>
            <w:tcW w:w="323" w:type="pct"/>
            <w:tcBorders>
              <w:top w:val="nil"/>
              <w:left w:val="nil"/>
              <w:bottom w:val="single" w:sz="12" w:space="0" w:color="auto"/>
              <w:right w:val="nil"/>
            </w:tcBorders>
            <w:vAlign w:val="bottom"/>
          </w:tcPr>
          <w:p w14:paraId="03602689" w14:textId="77777777" w:rsidR="001E4D03" w:rsidRPr="00F959D0" w:rsidRDefault="001E4D03" w:rsidP="0034622E">
            <w:pPr>
              <w:jc w:val="right"/>
              <w:rPr>
                <w:rFonts w:ascii="Arial" w:eastAsia="Calibri" w:hAnsi="Arial" w:cs="Arial"/>
                <w:b/>
                <w:bCs/>
                <w:color w:val="000000" w:themeColor="text1"/>
                <w:sz w:val="14"/>
                <w:szCs w:val="14"/>
              </w:rPr>
            </w:pPr>
            <w:r w:rsidRPr="00F959D0">
              <w:rPr>
                <w:rFonts w:ascii="Arial" w:eastAsia="Calibri" w:hAnsi="Arial" w:cs="Arial"/>
                <w:b/>
                <w:bCs/>
                <w:color w:val="000000" w:themeColor="text1"/>
                <w:sz w:val="14"/>
                <w:szCs w:val="14"/>
              </w:rPr>
              <w:t xml:space="preserve"> 774.551 </w:t>
            </w:r>
          </w:p>
        </w:tc>
      </w:tr>
    </w:tbl>
    <w:p w14:paraId="4622309E" w14:textId="04287B45" w:rsidR="003278AB" w:rsidRPr="003D1614" w:rsidRDefault="003278AB" w:rsidP="001A0FCB">
      <w:pPr>
        <w:suppressAutoHyphens/>
        <w:autoSpaceDN w:val="0"/>
        <w:jc w:val="both"/>
        <w:rPr>
          <w:rFonts w:ascii="Arial" w:eastAsia="Times New Roman" w:hAnsi="Arial" w:cs="Arial"/>
          <w:color w:val="000000" w:themeColor="text1"/>
          <w:sz w:val="20"/>
          <w:szCs w:val="20"/>
        </w:rPr>
      </w:pPr>
    </w:p>
    <w:p w14:paraId="4C00BF3C" w14:textId="77777777" w:rsidR="003278AB" w:rsidRPr="003D1614" w:rsidRDefault="003278AB" w:rsidP="001A0FCB">
      <w:pPr>
        <w:suppressAutoHyphens/>
        <w:autoSpaceDN w:val="0"/>
        <w:jc w:val="both"/>
        <w:rPr>
          <w:rFonts w:ascii="Arial" w:eastAsia="Times New Roman" w:hAnsi="Arial" w:cs="Arial"/>
          <w:color w:val="000000" w:themeColor="text1"/>
          <w:sz w:val="20"/>
          <w:szCs w:val="20"/>
        </w:rPr>
        <w:sectPr w:rsidR="003278AB" w:rsidRPr="003D1614" w:rsidSect="003278AB">
          <w:pgSz w:w="16838" w:h="11906" w:orient="landscape"/>
          <w:pgMar w:top="1417" w:right="1417" w:bottom="1417" w:left="1417" w:header="708" w:footer="708" w:gutter="0"/>
          <w:cols w:space="708"/>
          <w:docGrid w:linePitch="360"/>
        </w:sectPr>
      </w:pPr>
    </w:p>
    <w:p w14:paraId="27BBACF0" w14:textId="77777777" w:rsidR="003278AB" w:rsidRPr="003D1614" w:rsidRDefault="003278AB" w:rsidP="003278AB">
      <w:pPr>
        <w:keepNext/>
        <w:suppressAutoHyphens/>
        <w:autoSpaceDN w:val="0"/>
        <w:jc w:val="both"/>
        <w:outlineLvl w:val="0"/>
        <w:rPr>
          <w:rFonts w:ascii="Arial" w:eastAsia="Times New Roman" w:hAnsi="Arial" w:cs="Arial"/>
          <w:b/>
          <w:bCs/>
          <w:color w:val="000000" w:themeColor="text1"/>
          <w:sz w:val="20"/>
          <w:szCs w:val="20"/>
        </w:rPr>
      </w:pPr>
    </w:p>
    <w:p w14:paraId="65E632CD" w14:textId="71496EE6" w:rsidR="003278AB" w:rsidRPr="003D1614" w:rsidRDefault="003278AB" w:rsidP="003278AB">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4B37C47A" w14:textId="77777777" w:rsidR="003278AB" w:rsidRPr="003D1614" w:rsidRDefault="003278AB" w:rsidP="003278AB">
      <w:pPr>
        <w:keepNext/>
        <w:suppressAutoHyphens/>
        <w:autoSpaceDN w:val="0"/>
        <w:jc w:val="both"/>
        <w:outlineLvl w:val="0"/>
        <w:rPr>
          <w:rFonts w:ascii="Arial" w:eastAsia="Times New Roman" w:hAnsi="Arial" w:cs="Arial"/>
          <w:b/>
          <w:bCs/>
          <w:color w:val="000000" w:themeColor="text1"/>
          <w:sz w:val="20"/>
          <w:szCs w:val="20"/>
        </w:rPr>
      </w:pPr>
    </w:p>
    <w:p w14:paraId="35796CA4" w14:textId="42F51CEB" w:rsidR="003278AB" w:rsidRPr="003D1614" w:rsidRDefault="003278AB" w:rsidP="003278AB">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.3. </w:t>
      </w:r>
      <w:r w:rsidRPr="003D1614">
        <w:rPr>
          <w:rFonts w:ascii="Arial" w:eastAsia="Times New Roman" w:hAnsi="Arial" w:cs="Arial"/>
          <w:b/>
          <w:bCs/>
          <w:color w:val="000000" w:themeColor="text1"/>
          <w:sz w:val="20"/>
          <w:szCs w:val="20"/>
        </w:rPr>
        <w:tab/>
        <w:t>Kreditni rizik (nastavak)</w:t>
      </w:r>
    </w:p>
    <w:p w14:paraId="0E498DC6" w14:textId="77777777" w:rsidR="003278AB" w:rsidRPr="003D1614" w:rsidRDefault="003278AB" w:rsidP="003278AB">
      <w:pPr>
        <w:keepNext/>
        <w:suppressAutoHyphens/>
        <w:autoSpaceDN w:val="0"/>
        <w:jc w:val="both"/>
        <w:outlineLvl w:val="0"/>
        <w:rPr>
          <w:rFonts w:ascii="Arial" w:eastAsia="Times New Roman" w:hAnsi="Arial" w:cs="Arial"/>
          <w:b/>
          <w:bCs/>
          <w:color w:val="000000" w:themeColor="text1"/>
          <w:sz w:val="20"/>
          <w:szCs w:val="20"/>
        </w:rPr>
      </w:pPr>
    </w:p>
    <w:p w14:paraId="36D08F44" w14:textId="77777777" w:rsidR="003278AB" w:rsidRPr="003D1614" w:rsidRDefault="003278AB" w:rsidP="003278AB">
      <w:pPr>
        <w:keepNext/>
        <w:suppressAutoHyphens/>
        <w:autoSpaceDN w:val="0"/>
        <w:spacing w:before="12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Kvaliteta kreditnog rizika prema vrsti financijske imovine (nastavak)</w:t>
      </w:r>
    </w:p>
    <w:p w14:paraId="7A14EF3A" w14:textId="77777777" w:rsidR="003278AB" w:rsidRPr="003D1614" w:rsidRDefault="003278AB" w:rsidP="003278AB">
      <w:pPr>
        <w:tabs>
          <w:tab w:val="left" w:pos="9180"/>
        </w:tabs>
        <w:suppressAutoHyphens/>
        <w:autoSpaceDN w:val="0"/>
        <w:jc w:val="both"/>
        <w:rPr>
          <w:rFonts w:ascii="Arial" w:eastAsia="Calibri" w:hAnsi="Arial" w:cs="Arial"/>
          <w:bCs/>
          <w:color w:val="000000" w:themeColor="text1"/>
          <w:sz w:val="20"/>
          <w:szCs w:val="20"/>
        </w:rPr>
      </w:pPr>
    </w:p>
    <w:p w14:paraId="3069A4DE" w14:textId="77777777" w:rsidR="006B02F3" w:rsidRPr="003D1614" w:rsidRDefault="006B02F3" w:rsidP="006B02F3">
      <w:pPr>
        <w:suppressAutoHyphens/>
        <w:autoSpaceDN w:val="0"/>
        <w:jc w:val="both"/>
        <w:rPr>
          <w:rFonts w:ascii="Arial" w:eastAsia="Times New Roman" w:hAnsi="Arial" w:cs="Arial"/>
          <w:color w:val="000000" w:themeColor="text1"/>
          <w:sz w:val="20"/>
          <w:szCs w:val="20"/>
        </w:rPr>
      </w:pPr>
      <w:r w:rsidRPr="0092597D">
        <w:rPr>
          <w:rFonts w:ascii="Arial" w:eastAsia="Calibri" w:hAnsi="Arial" w:cs="Arial"/>
          <w:bCs/>
          <w:color w:val="000000" w:themeColor="text1"/>
          <w:sz w:val="20"/>
          <w:szCs w:val="20"/>
        </w:rPr>
        <w:t>Na dan 30. rujna 202</w:t>
      </w:r>
      <w:r>
        <w:rPr>
          <w:rFonts w:ascii="Arial" w:eastAsia="Calibri" w:hAnsi="Arial" w:cs="Arial"/>
          <w:bCs/>
          <w:color w:val="000000" w:themeColor="text1"/>
          <w:sz w:val="20"/>
          <w:szCs w:val="20"/>
        </w:rPr>
        <w:t>4</w:t>
      </w:r>
      <w:r w:rsidRPr="0092597D">
        <w:rPr>
          <w:rFonts w:ascii="Arial" w:eastAsia="Calibri" w:hAnsi="Arial" w:cs="Arial"/>
          <w:bCs/>
          <w:color w:val="000000" w:themeColor="text1"/>
          <w:sz w:val="20"/>
          <w:szCs w:val="20"/>
        </w:rPr>
        <w:t>. u ukupnoj neto najvećoj izloženosti Grupe i Banke i</w:t>
      </w:r>
      <w:r w:rsidRPr="0092597D">
        <w:rPr>
          <w:rFonts w:ascii="Arial" w:eastAsia="Calibri" w:hAnsi="Arial" w:cs="Arial"/>
          <w:color w:val="000000" w:themeColor="text1"/>
          <w:sz w:val="20"/>
          <w:szCs w:val="20"/>
        </w:rPr>
        <w:t xml:space="preserve">znos kredita ostalim korisnicima od </w:t>
      </w:r>
      <w:r>
        <w:rPr>
          <w:rFonts w:ascii="Arial" w:eastAsia="Times New Roman" w:hAnsi="Arial" w:cs="Arial"/>
          <w:color w:val="000000" w:themeColor="text1"/>
          <w:sz w:val="20"/>
          <w:szCs w:val="20"/>
        </w:rPr>
        <w:t>250.416</w:t>
      </w:r>
      <w:r w:rsidRPr="0092597D">
        <w:rPr>
          <w:rFonts w:ascii="Arial" w:eastAsia="Times New Roman" w:hAnsi="Arial" w:cs="Arial"/>
          <w:color w:val="000000" w:themeColor="text1"/>
          <w:sz w:val="20"/>
          <w:szCs w:val="20"/>
        </w:rPr>
        <w:t xml:space="preserve"> </w:t>
      </w:r>
      <w:r w:rsidRPr="0092597D">
        <w:rPr>
          <w:rFonts w:ascii="Arial" w:eastAsia="Calibri" w:hAnsi="Arial" w:cs="Arial"/>
          <w:color w:val="000000" w:themeColor="text1"/>
          <w:sz w:val="20"/>
          <w:szCs w:val="20"/>
        </w:rPr>
        <w:t xml:space="preserve">tisuća eura nije pokriven uobičajenim instrumentima osiguranja, ali se odnosi na potraživanja i primljena sredstva od Republike Hrvatske u iznosu od </w:t>
      </w:r>
      <w:r>
        <w:rPr>
          <w:rFonts w:ascii="Arial" w:eastAsia="Times New Roman" w:hAnsi="Arial" w:cs="Arial"/>
          <w:color w:val="000000" w:themeColor="text1"/>
          <w:sz w:val="20"/>
          <w:szCs w:val="20"/>
        </w:rPr>
        <w:t>50.077</w:t>
      </w:r>
      <w:r w:rsidRPr="0092597D">
        <w:rPr>
          <w:rFonts w:ascii="Arial" w:eastAsia="Times New Roman" w:hAnsi="Arial" w:cs="Arial"/>
          <w:color w:val="000000" w:themeColor="text1"/>
          <w:sz w:val="20"/>
          <w:szCs w:val="20"/>
        </w:rPr>
        <w:t xml:space="preserve"> </w:t>
      </w:r>
      <w:r w:rsidRPr="0092597D">
        <w:rPr>
          <w:rFonts w:ascii="Arial" w:eastAsia="Calibri" w:hAnsi="Arial" w:cs="Arial"/>
          <w:color w:val="000000" w:themeColor="text1"/>
          <w:sz w:val="20"/>
          <w:szCs w:val="20"/>
        </w:rPr>
        <w:t xml:space="preserve">tisuća eura, jedinica lokalne i područne (regionalne) samouprave u iznosu od </w:t>
      </w:r>
      <w:r>
        <w:rPr>
          <w:rFonts w:ascii="Arial" w:eastAsia="Times New Roman" w:hAnsi="Arial" w:cs="Arial"/>
          <w:color w:val="000000" w:themeColor="text1"/>
          <w:sz w:val="20"/>
          <w:szCs w:val="20"/>
        </w:rPr>
        <w:t>185.202</w:t>
      </w:r>
      <w:r w:rsidRPr="0092597D">
        <w:rPr>
          <w:rFonts w:ascii="Arial" w:eastAsia="Times New Roman" w:hAnsi="Arial" w:cs="Arial"/>
          <w:color w:val="000000" w:themeColor="text1"/>
          <w:sz w:val="20"/>
          <w:szCs w:val="20"/>
        </w:rPr>
        <w:t xml:space="preserve"> </w:t>
      </w:r>
      <w:r w:rsidRPr="0092597D">
        <w:rPr>
          <w:rFonts w:ascii="Arial" w:eastAsia="Calibri" w:hAnsi="Arial" w:cs="Arial"/>
          <w:color w:val="000000" w:themeColor="text1"/>
          <w:sz w:val="20"/>
          <w:szCs w:val="20"/>
        </w:rPr>
        <w:t xml:space="preserve">tisuća eura te državnih trgovačkih društava za čije obveze Republika Hrvatska odgovara solidarno i neograničeno u iznosu od </w:t>
      </w:r>
      <w:bookmarkStart w:id="737" w:name="_Hlk135732386"/>
      <w:r>
        <w:rPr>
          <w:rFonts w:ascii="Arial" w:eastAsia="Times New Roman" w:hAnsi="Arial" w:cs="Arial"/>
          <w:color w:val="000000" w:themeColor="text1"/>
          <w:sz w:val="20"/>
          <w:szCs w:val="20"/>
        </w:rPr>
        <w:t>15.137</w:t>
      </w:r>
      <w:r w:rsidRPr="007478FB">
        <w:rPr>
          <w:rFonts w:ascii="Arial" w:eastAsia="Times New Roman" w:hAnsi="Arial" w:cs="Arial"/>
          <w:color w:val="000000" w:themeColor="text1"/>
          <w:sz w:val="20"/>
          <w:szCs w:val="20"/>
        </w:rPr>
        <w:t xml:space="preserve"> </w:t>
      </w:r>
      <w:bookmarkEnd w:id="737"/>
      <w:r w:rsidRPr="003D1614">
        <w:rPr>
          <w:rFonts w:ascii="Arial" w:eastAsia="Calibri" w:hAnsi="Arial" w:cs="Arial"/>
          <w:color w:val="000000" w:themeColor="text1"/>
          <w:sz w:val="20"/>
          <w:szCs w:val="20"/>
        </w:rPr>
        <w:t xml:space="preserve">tisuća eura. </w:t>
      </w:r>
    </w:p>
    <w:p w14:paraId="5FE6B735" w14:textId="77777777" w:rsidR="006B02F3" w:rsidRPr="003D1614" w:rsidRDefault="006B02F3" w:rsidP="006B02F3">
      <w:pPr>
        <w:tabs>
          <w:tab w:val="left" w:pos="9180"/>
        </w:tabs>
        <w:suppressAutoHyphens/>
        <w:autoSpaceDN w:val="0"/>
        <w:ind w:right="-289"/>
        <w:jc w:val="both"/>
        <w:rPr>
          <w:rFonts w:ascii="Arial" w:eastAsia="Calibri" w:hAnsi="Arial" w:cs="Arial"/>
          <w:color w:val="000000" w:themeColor="text1"/>
          <w:sz w:val="20"/>
          <w:szCs w:val="20"/>
        </w:rPr>
      </w:pPr>
    </w:p>
    <w:p w14:paraId="310F4EF0" w14:textId="77777777" w:rsidR="006B02F3" w:rsidRPr="003D1614" w:rsidRDefault="006B02F3" w:rsidP="006B02F3">
      <w:pPr>
        <w:suppressAutoHyphens/>
        <w:autoSpaceDN w:val="0"/>
        <w:jc w:val="both"/>
        <w:rPr>
          <w:rFonts w:ascii="Arial" w:eastAsia="Times New Roman" w:hAnsi="Arial" w:cs="Arial"/>
          <w:b/>
          <w:bCs/>
          <w:color w:val="000000" w:themeColor="text1"/>
          <w:sz w:val="20"/>
          <w:szCs w:val="20"/>
        </w:rPr>
      </w:pPr>
      <w:r w:rsidRPr="003D1614">
        <w:rPr>
          <w:rFonts w:ascii="Arial" w:eastAsia="Calibri" w:hAnsi="Arial" w:cs="Arial"/>
          <w:bCs/>
          <w:color w:val="000000" w:themeColor="text1"/>
          <w:sz w:val="20"/>
          <w:szCs w:val="20"/>
        </w:rPr>
        <w:t xml:space="preserve">Na dan </w:t>
      </w:r>
      <w:r>
        <w:rPr>
          <w:rFonts w:ascii="Arial" w:eastAsia="Calibri" w:hAnsi="Arial" w:cs="Arial"/>
          <w:bCs/>
          <w:color w:val="000000" w:themeColor="text1"/>
          <w:sz w:val="20"/>
          <w:szCs w:val="20"/>
        </w:rPr>
        <w:t xml:space="preserve">30. rujna </w:t>
      </w:r>
      <w:r w:rsidRPr="003D1614">
        <w:rPr>
          <w:rFonts w:ascii="Arial" w:eastAsia="Calibri" w:hAnsi="Arial" w:cs="Arial"/>
          <w:bCs/>
          <w:color w:val="000000" w:themeColor="text1"/>
          <w:sz w:val="20"/>
          <w:szCs w:val="20"/>
        </w:rPr>
        <w:t>202</w:t>
      </w:r>
      <w:r>
        <w:rPr>
          <w:rFonts w:ascii="Arial" w:eastAsia="Calibri" w:hAnsi="Arial" w:cs="Arial"/>
          <w:bCs/>
          <w:color w:val="000000" w:themeColor="text1"/>
          <w:sz w:val="20"/>
          <w:szCs w:val="20"/>
        </w:rPr>
        <w:t>4</w:t>
      </w:r>
      <w:r w:rsidRPr="003D1614">
        <w:rPr>
          <w:rFonts w:ascii="Arial" w:eastAsia="Calibri" w:hAnsi="Arial" w:cs="Arial"/>
          <w:bCs/>
          <w:color w:val="000000" w:themeColor="text1"/>
          <w:sz w:val="20"/>
          <w:szCs w:val="20"/>
        </w:rPr>
        <w:t xml:space="preserve">. </w:t>
      </w:r>
      <w:r w:rsidRPr="003D1614">
        <w:rPr>
          <w:rFonts w:ascii="Arial" w:eastAsia="Calibri" w:hAnsi="Arial" w:cs="Arial"/>
          <w:color w:val="000000" w:themeColor="text1"/>
          <w:sz w:val="20"/>
          <w:szCs w:val="20"/>
        </w:rPr>
        <w:t>iznos financijske imovine po fer vrijednosti kroz ostalu sveobuhvatnu</w:t>
      </w:r>
      <w:r>
        <w:rPr>
          <w:rFonts w:ascii="Arial" w:eastAsia="Calibri" w:hAnsi="Arial" w:cs="Arial"/>
          <w:color w:val="000000" w:themeColor="text1"/>
          <w:sz w:val="20"/>
          <w:szCs w:val="20"/>
        </w:rPr>
        <w:t xml:space="preserve"> dobit</w:t>
      </w:r>
      <w:r w:rsidRPr="003D1614">
        <w:rPr>
          <w:rFonts w:ascii="Arial" w:eastAsia="Calibri" w:hAnsi="Arial" w:cs="Arial"/>
          <w:color w:val="000000" w:themeColor="text1"/>
          <w:sz w:val="20"/>
          <w:szCs w:val="20"/>
        </w:rPr>
        <w:t xml:space="preserve"> nije pokriven uobičajenim instrumentima, ali se odnosi na obveznice Republike Hrvatske i trezorske zapise Ministarstva financija u iznosu </w:t>
      </w:r>
      <w:r w:rsidRPr="0010470E">
        <w:rPr>
          <w:rFonts w:ascii="Arial" w:eastAsia="Calibri" w:hAnsi="Arial" w:cs="Arial"/>
          <w:color w:val="000000" w:themeColor="text1"/>
          <w:sz w:val="20"/>
          <w:szCs w:val="20"/>
        </w:rPr>
        <w:t xml:space="preserve">od </w:t>
      </w:r>
      <w:bookmarkStart w:id="738" w:name="_Hlk135732397"/>
      <w:r>
        <w:rPr>
          <w:rFonts w:ascii="Arial" w:eastAsia="Times New Roman" w:hAnsi="Arial" w:cs="Arial"/>
          <w:color w:val="000000" w:themeColor="text1"/>
          <w:sz w:val="20"/>
          <w:szCs w:val="20"/>
        </w:rPr>
        <w:t>243.895</w:t>
      </w:r>
      <w:r w:rsidRPr="003D1614">
        <w:rPr>
          <w:rFonts w:ascii="Arial" w:eastAsia="Calibri" w:hAnsi="Arial" w:cs="Arial"/>
          <w:color w:val="000000" w:themeColor="text1"/>
          <w:sz w:val="20"/>
          <w:szCs w:val="20"/>
        </w:rPr>
        <w:t xml:space="preserve"> </w:t>
      </w:r>
      <w:bookmarkEnd w:id="738"/>
      <w:r w:rsidRPr="003D1614">
        <w:rPr>
          <w:rFonts w:ascii="Arial" w:eastAsia="Calibri" w:hAnsi="Arial" w:cs="Arial"/>
          <w:color w:val="000000" w:themeColor="text1"/>
          <w:sz w:val="20"/>
          <w:szCs w:val="20"/>
        </w:rPr>
        <w:t xml:space="preserve">tisuća eura kod Grupe i </w:t>
      </w:r>
      <w:r>
        <w:rPr>
          <w:rFonts w:ascii="Arial" w:eastAsia="Times New Roman" w:hAnsi="Arial" w:cs="Arial"/>
          <w:color w:val="000000" w:themeColor="text1"/>
          <w:sz w:val="20"/>
          <w:szCs w:val="20"/>
        </w:rPr>
        <w:t>238.487</w:t>
      </w:r>
      <w:r w:rsidRPr="003D1614">
        <w:rPr>
          <w:rFonts w:ascii="Arial" w:eastAsia="Calibri" w:hAnsi="Arial" w:cs="Arial"/>
          <w:color w:val="000000" w:themeColor="text1"/>
          <w:sz w:val="20"/>
          <w:szCs w:val="20"/>
        </w:rPr>
        <w:t xml:space="preserve"> tisuća eura kod Banke.</w:t>
      </w:r>
    </w:p>
    <w:p w14:paraId="33540922" w14:textId="77777777" w:rsidR="006B02F3" w:rsidRPr="003D1614" w:rsidRDefault="006B02F3" w:rsidP="006B02F3">
      <w:pPr>
        <w:tabs>
          <w:tab w:val="left" w:pos="9180"/>
        </w:tabs>
        <w:suppressAutoHyphens/>
        <w:autoSpaceDN w:val="0"/>
        <w:jc w:val="both"/>
        <w:rPr>
          <w:rFonts w:ascii="Arial" w:eastAsia="Calibri" w:hAnsi="Arial" w:cs="Arial"/>
          <w:color w:val="000000" w:themeColor="text1"/>
          <w:sz w:val="20"/>
          <w:szCs w:val="20"/>
        </w:rPr>
      </w:pPr>
    </w:p>
    <w:p w14:paraId="39EF1CD1" w14:textId="77777777" w:rsidR="006B02F3" w:rsidRPr="003D1614" w:rsidRDefault="006B02F3" w:rsidP="006B02F3">
      <w:pPr>
        <w:tabs>
          <w:tab w:val="left" w:pos="9180"/>
        </w:tabs>
        <w:suppressAutoHyphens/>
        <w:autoSpaceDN w:val="0"/>
        <w:jc w:val="both"/>
        <w:rPr>
          <w:rFonts w:ascii="Arial" w:eastAsia="Calibri" w:hAnsi="Arial" w:cs="Arial"/>
          <w:color w:val="000000" w:themeColor="text1"/>
          <w:sz w:val="20"/>
          <w:szCs w:val="20"/>
        </w:rPr>
      </w:pPr>
      <w:r w:rsidRPr="003D1614">
        <w:rPr>
          <w:rFonts w:ascii="Arial" w:eastAsia="Calibri" w:hAnsi="Arial" w:cs="Arial"/>
          <w:bCs/>
          <w:color w:val="000000" w:themeColor="text1"/>
          <w:sz w:val="20"/>
          <w:szCs w:val="20"/>
        </w:rPr>
        <w:t xml:space="preserve">Na dan </w:t>
      </w:r>
      <w:r>
        <w:rPr>
          <w:rFonts w:ascii="Arial" w:eastAsia="Calibri" w:hAnsi="Arial" w:cs="Arial"/>
          <w:bCs/>
          <w:color w:val="000000" w:themeColor="text1"/>
          <w:sz w:val="20"/>
          <w:szCs w:val="20"/>
        </w:rPr>
        <w:t xml:space="preserve">30. rujna </w:t>
      </w:r>
      <w:r w:rsidRPr="003D1614">
        <w:rPr>
          <w:rFonts w:ascii="Arial" w:eastAsia="Calibri" w:hAnsi="Arial" w:cs="Arial"/>
          <w:bCs/>
          <w:color w:val="000000" w:themeColor="text1"/>
          <w:sz w:val="20"/>
          <w:szCs w:val="20"/>
        </w:rPr>
        <w:t>202</w:t>
      </w:r>
      <w:r>
        <w:rPr>
          <w:rFonts w:ascii="Arial" w:eastAsia="Calibri" w:hAnsi="Arial" w:cs="Arial"/>
          <w:bCs/>
          <w:color w:val="000000" w:themeColor="text1"/>
          <w:sz w:val="20"/>
          <w:szCs w:val="20"/>
        </w:rPr>
        <w:t>4</w:t>
      </w:r>
      <w:r w:rsidRPr="003D1614">
        <w:rPr>
          <w:rFonts w:ascii="Arial" w:eastAsia="Calibri" w:hAnsi="Arial" w:cs="Arial"/>
          <w:bCs/>
          <w:color w:val="000000" w:themeColor="text1"/>
          <w:sz w:val="20"/>
          <w:szCs w:val="20"/>
        </w:rPr>
        <w:t xml:space="preserve">. </w:t>
      </w:r>
      <w:r w:rsidRPr="003D1614">
        <w:rPr>
          <w:rFonts w:ascii="Arial" w:eastAsia="Calibri" w:hAnsi="Arial" w:cs="Arial"/>
          <w:color w:val="000000" w:themeColor="text1"/>
          <w:sz w:val="20"/>
          <w:szCs w:val="20"/>
        </w:rPr>
        <w:t xml:space="preserve">ostala imovina u iznosu od </w:t>
      </w:r>
      <w:r>
        <w:rPr>
          <w:rFonts w:ascii="Arial" w:eastAsia="Times New Roman" w:hAnsi="Arial" w:cs="Arial"/>
          <w:color w:val="000000" w:themeColor="text1"/>
          <w:sz w:val="20"/>
          <w:szCs w:val="20"/>
        </w:rPr>
        <w:t>113</w:t>
      </w:r>
      <w:r w:rsidRPr="003D1614">
        <w:rPr>
          <w:rFonts w:ascii="Arial" w:eastAsia="Calibri" w:hAnsi="Arial" w:cs="Arial"/>
          <w:color w:val="000000" w:themeColor="text1"/>
          <w:sz w:val="20"/>
          <w:szCs w:val="20"/>
        </w:rPr>
        <w:t xml:space="preserve"> tisuća eura nije pokrivena uobičajenim instrumentima osiguranja, ali se odnosi na potraživanja od Republike Hrvatske i republičkih fondova. </w:t>
      </w:r>
    </w:p>
    <w:p w14:paraId="253151FF" w14:textId="77777777" w:rsidR="006B02F3" w:rsidRPr="003D1614" w:rsidRDefault="006B02F3" w:rsidP="006B02F3">
      <w:pPr>
        <w:tabs>
          <w:tab w:val="left" w:pos="9180"/>
        </w:tabs>
        <w:suppressAutoHyphens/>
        <w:autoSpaceDN w:val="0"/>
        <w:jc w:val="both"/>
        <w:rPr>
          <w:rFonts w:ascii="Arial" w:eastAsia="Calibri" w:hAnsi="Arial" w:cs="Arial"/>
          <w:bCs/>
          <w:color w:val="000000" w:themeColor="text1"/>
          <w:sz w:val="20"/>
          <w:szCs w:val="20"/>
        </w:rPr>
      </w:pPr>
    </w:p>
    <w:p w14:paraId="702375D5" w14:textId="77777777" w:rsidR="006B02F3" w:rsidRPr="00AD5A5C" w:rsidRDefault="006B02F3" w:rsidP="006B02F3">
      <w:pPr>
        <w:jc w:val="both"/>
        <w:rPr>
          <w:rFonts w:ascii="Arial" w:hAnsi="Arial" w:cs="Arial"/>
          <w:sz w:val="20"/>
          <w:szCs w:val="20"/>
        </w:rPr>
      </w:pPr>
      <w:r w:rsidRPr="00AD5A5C">
        <w:rPr>
          <w:rFonts w:ascii="Arial" w:eastAsia="Calibri" w:hAnsi="Arial" w:cs="Arial"/>
          <w:bCs/>
          <w:color w:val="000000" w:themeColor="text1"/>
          <w:sz w:val="20"/>
          <w:szCs w:val="20"/>
        </w:rPr>
        <w:t>Na dan 31. prosinca 202</w:t>
      </w:r>
      <w:r>
        <w:rPr>
          <w:rFonts w:ascii="Arial" w:eastAsia="Calibri" w:hAnsi="Arial" w:cs="Arial"/>
          <w:bCs/>
          <w:color w:val="000000" w:themeColor="text1"/>
          <w:sz w:val="20"/>
          <w:szCs w:val="20"/>
        </w:rPr>
        <w:t>3</w:t>
      </w:r>
      <w:r w:rsidRPr="00AD5A5C">
        <w:rPr>
          <w:rFonts w:ascii="Arial" w:eastAsia="Calibri" w:hAnsi="Arial" w:cs="Arial"/>
          <w:bCs/>
          <w:color w:val="000000" w:themeColor="text1"/>
          <w:sz w:val="20"/>
          <w:szCs w:val="20"/>
        </w:rPr>
        <w:t>. u ukupnoj neto najvećoj izloženosti Grupe i Banke i</w:t>
      </w:r>
      <w:r w:rsidRPr="00AD5A5C">
        <w:rPr>
          <w:rFonts w:ascii="Arial" w:eastAsia="Calibri" w:hAnsi="Arial" w:cs="Arial"/>
          <w:color w:val="000000" w:themeColor="text1"/>
          <w:sz w:val="20"/>
          <w:szCs w:val="20"/>
        </w:rPr>
        <w:t xml:space="preserve">znos kredita ostalim korisnicima od </w:t>
      </w:r>
      <w:r>
        <w:rPr>
          <w:rFonts w:ascii="Arial" w:hAnsi="Arial" w:cs="Arial"/>
          <w:sz w:val="20"/>
          <w:szCs w:val="20"/>
        </w:rPr>
        <w:t xml:space="preserve">191.406 </w:t>
      </w:r>
      <w:r w:rsidRPr="00AD5A5C">
        <w:rPr>
          <w:rFonts w:ascii="Arial" w:eastAsia="Calibri" w:hAnsi="Arial" w:cs="Arial"/>
          <w:color w:val="000000" w:themeColor="text1"/>
          <w:sz w:val="20"/>
          <w:szCs w:val="20"/>
        </w:rPr>
        <w:t xml:space="preserve">tisuća </w:t>
      </w:r>
      <w:r>
        <w:rPr>
          <w:rFonts w:ascii="Arial" w:eastAsia="Calibri" w:hAnsi="Arial" w:cs="Arial"/>
          <w:color w:val="000000" w:themeColor="text1"/>
          <w:sz w:val="20"/>
          <w:szCs w:val="20"/>
        </w:rPr>
        <w:t>eura</w:t>
      </w:r>
      <w:r w:rsidRPr="00AD5A5C">
        <w:rPr>
          <w:rFonts w:ascii="Arial" w:eastAsia="Calibri" w:hAnsi="Arial" w:cs="Arial"/>
          <w:color w:val="000000" w:themeColor="text1"/>
          <w:sz w:val="20"/>
          <w:szCs w:val="20"/>
        </w:rPr>
        <w:t xml:space="preserve"> nije pokriven uobičajenim instrumentima osiguranja, ali se odnosi na potraživanja i primljena sredstva od Republike Hrvatske u iznosu od </w:t>
      </w:r>
      <w:r>
        <w:rPr>
          <w:rFonts w:ascii="Arial" w:hAnsi="Arial" w:cs="Arial"/>
          <w:sz w:val="20"/>
          <w:szCs w:val="20"/>
        </w:rPr>
        <w:t xml:space="preserve">58.839 </w:t>
      </w:r>
      <w:r w:rsidRPr="00AD5A5C">
        <w:rPr>
          <w:rFonts w:ascii="Arial" w:eastAsia="Calibri" w:hAnsi="Arial" w:cs="Arial"/>
          <w:color w:val="000000" w:themeColor="text1"/>
          <w:sz w:val="20"/>
          <w:szCs w:val="20"/>
        </w:rPr>
        <w:t xml:space="preserve">tisuća </w:t>
      </w:r>
      <w:r>
        <w:rPr>
          <w:rFonts w:ascii="Arial" w:eastAsia="Calibri" w:hAnsi="Arial" w:cs="Arial"/>
          <w:color w:val="000000" w:themeColor="text1"/>
          <w:sz w:val="20"/>
          <w:szCs w:val="20"/>
        </w:rPr>
        <w:t>eur</w:t>
      </w:r>
      <w:r w:rsidRPr="00AD5A5C">
        <w:rPr>
          <w:rFonts w:ascii="Arial" w:eastAsia="Calibri" w:hAnsi="Arial" w:cs="Arial"/>
          <w:color w:val="000000" w:themeColor="text1"/>
          <w:sz w:val="20"/>
          <w:szCs w:val="20"/>
        </w:rPr>
        <w:t xml:space="preserve">a, jedinica lokalne i područne (regionalne) samouprave u iznosu od </w:t>
      </w:r>
      <w:r>
        <w:rPr>
          <w:rFonts w:ascii="Arial" w:eastAsia="Calibri" w:hAnsi="Arial" w:cs="Arial"/>
          <w:color w:val="000000" w:themeColor="text1"/>
          <w:sz w:val="20"/>
          <w:szCs w:val="20"/>
        </w:rPr>
        <w:t xml:space="preserve">115.038 </w:t>
      </w:r>
      <w:r w:rsidRPr="00AD5A5C">
        <w:rPr>
          <w:rFonts w:ascii="Arial" w:eastAsia="Calibri" w:hAnsi="Arial" w:cs="Arial"/>
          <w:color w:val="000000" w:themeColor="text1"/>
          <w:sz w:val="20"/>
          <w:szCs w:val="20"/>
        </w:rPr>
        <w:t xml:space="preserve">tisuća </w:t>
      </w:r>
      <w:r>
        <w:rPr>
          <w:rFonts w:ascii="Arial" w:eastAsia="Calibri" w:hAnsi="Arial" w:cs="Arial"/>
          <w:color w:val="000000" w:themeColor="text1"/>
          <w:sz w:val="20"/>
          <w:szCs w:val="20"/>
        </w:rPr>
        <w:t>eur</w:t>
      </w:r>
      <w:r w:rsidRPr="00AD5A5C">
        <w:rPr>
          <w:rFonts w:ascii="Arial" w:eastAsia="Calibri" w:hAnsi="Arial" w:cs="Arial"/>
          <w:color w:val="000000" w:themeColor="text1"/>
          <w:sz w:val="20"/>
          <w:szCs w:val="20"/>
        </w:rPr>
        <w:t xml:space="preserve">a te državnih trgovačkih društava za čije obveze Republika Hrvatska odgovara solidarno i neograničeno u iznosu od </w:t>
      </w:r>
      <w:r>
        <w:rPr>
          <w:rFonts w:ascii="Arial" w:hAnsi="Arial" w:cs="Arial"/>
          <w:sz w:val="20"/>
          <w:szCs w:val="20"/>
        </w:rPr>
        <w:t xml:space="preserve">17.529 </w:t>
      </w:r>
      <w:r w:rsidRPr="00AD5A5C">
        <w:rPr>
          <w:rFonts w:ascii="Arial" w:eastAsia="Calibri" w:hAnsi="Arial" w:cs="Arial"/>
          <w:color w:val="000000" w:themeColor="text1"/>
          <w:sz w:val="20"/>
          <w:szCs w:val="20"/>
        </w:rPr>
        <w:t>tisuća</w:t>
      </w:r>
      <w:r>
        <w:rPr>
          <w:rFonts w:ascii="Arial" w:eastAsia="Calibri" w:hAnsi="Arial" w:cs="Arial"/>
          <w:color w:val="000000" w:themeColor="text1"/>
          <w:sz w:val="20"/>
          <w:szCs w:val="20"/>
        </w:rPr>
        <w:t xml:space="preserve"> eura</w:t>
      </w:r>
      <w:r w:rsidRPr="00AD5A5C">
        <w:rPr>
          <w:rFonts w:ascii="Arial" w:eastAsia="Calibri" w:hAnsi="Arial" w:cs="Arial"/>
          <w:color w:val="000000" w:themeColor="text1"/>
          <w:sz w:val="20"/>
          <w:szCs w:val="20"/>
        </w:rPr>
        <w:t xml:space="preserve">. </w:t>
      </w:r>
    </w:p>
    <w:p w14:paraId="1B6C5030" w14:textId="77777777" w:rsidR="006B02F3" w:rsidRPr="00AD5A5C" w:rsidRDefault="006B02F3" w:rsidP="006B02F3">
      <w:pPr>
        <w:tabs>
          <w:tab w:val="left" w:pos="9180"/>
        </w:tabs>
        <w:ind w:right="-289"/>
        <w:jc w:val="both"/>
        <w:rPr>
          <w:rFonts w:ascii="Arial" w:eastAsia="Calibri" w:hAnsi="Arial" w:cs="Arial"/>
          <w:color w:val="000000" w:themeColor="text1"/>
          <w:sz w:val="20"/>
          <w:szCs w:val="20"/>
        </w:rPr>
      </w:pPr>
    </w:p>
    <w:p w14:paraId="254CF2D1" w14:textId="77777777" w:rsidR="006B02F3" w:rsidRPr="00AD5A5C" w:rsidRDefault="006B02F3" w:rsidP="006B02F3">
      <w:pPr>
        <w:jc w:val="both"/>
        <w:rPr>
          <w:rFonts w:ascii="Arial" w:hAnsi="Arial" w:cs="Arial"/>
          <w:b/>
          <w:bCs/>
          <w:color w:val="FF0000"/>
          <w:sz w:val="20"/>
          <w:szCs w:val="20"/>
        </w:rPr>
      </w:pPr>
      <w:r w:rsidRPr="00AD5A5C">
        <w:rPr>
          <w:rFonts w:ascii="Arial" w:eastAsia="Calibri" w:hAnsi="Arial" w:cs="Arial"/>
          <w:bCs/>
          <w:color w:val="000000" w:themeColor="text1"/>
          <w:sz w:val="20"/>
          <w:szCs w:val="20"/>
        </w:rPr>
        <w:t>Na dan 31. prosinca 202</w:t>
      </w:r>
      <w:r>
        <w:rPr>
          <w:rFonts w:ascii="Arial" w:eastAsia="Calibri" w:hAnsi="Arial" w:cs="Arial"/>
          <w:bCs/>
          <w:color w:val="000000" w:themeColor="text1"/>
          <w:sz w:val="20"/>
          <w:szCs w:val="20"/>
        </w:rPr>
        <w:t>3</w:t>
      </w:r>
      <w:r w:rsidRPr="00AD5A5C">
        <w:rPr>
          <w:rFonts w:ascii="Arial" w:eastAsia="Calibri" w:hAnsi="Arial" w:cs="Arial"/>
          <w:bCs/>
          <w:color w:val="000000" w:themeColor="text1"/>
          <w:sz w:val="20"/>
          <w:szCs w:val="20"/>
        </w:rPr>
        <w:t xml:space="preserve">. </w:t>
      </w:r>
      <w:r w:rsidRPr="00AD5A5C">
        <w:rPr>
          <w:rFonts w:ascii="Arial" w:eastAsia="Calibri" w:hAnsi="Arial" w:cs="Arial"/>
          <w:color w:val="000000" w:themeColor="text1"/>
          <w:sz w:val="20"/>
          <w:szCs w:val="20"/>
        </w:rPr>
        <w:t xml:space="preserve">iznos financijske imovine po fer vrijednosti kroz ostalu sveobuhvatnu nije pokriven uobičajenim instrumentima, ali se odnosi na obveznice Republike Hrvatske i trezorske zapise Ministarstva financija u iznosu od </w:t>
      </w:r>
      <w:r>
        <w:rPr>
          <w:rFonts w:ascii="Arial" w:hAnsi="Arial" w:cs="Arial"/>
          <w:sz w:val="20"/>
          <w:szCs w:val="20"/>
        </w:rPr>
        <w:t xml:space="preserve">226.853 </w:t>
      </w:r>
      <w:r w:rsidRPr="00AD5A5C">
        <w:rPr>
          <w:rFonts w:ascii="Arial" w:eastAsia="Calibri" w:hAnsi="Arial" w:cs="Arial"/>
          <w:sz w:val="20"/>
          <w:szCs w:val="20"/>
        </w:rPr>
        <w:t xml:space="preserve">tisuća </w:t>
      </w:r>
      <w:r>
        <w:rPr>
          <w:rFonts w:ascii="Arial" w:eastAsia="Calibri" w:hAnsi="Arial" w:cs="Arial"/>
          <w:color w:val="000000" w:themeColor="text1"/>
          <w:sz w:val="20"/>
          <w:szCs w:val="20"/>
        </w:rPr>
        <w:t>eur</w:t>
      </w:r>
      <w:r w:rsidRPr="00AD5A5C">
        <w:rPr>
          <w:rFonts w:ascii="Arial" w:eastAsia="Calibri" w:hAnsi="Arial" w:cs="Arial"/>
          <w:color w:val="000000" w:themeColor="text1"/>
          <w:sz w:val="20"/>
          <w:szCs w:val="20"/>
        </w:rPr>
        <w:t xml:space="preserve">a kod Grupe i </w:t>
      </w:r>
      <w:r>
        <w:rPr>
          <w:rFonts w:ascii="Arial" w:hAnsi="Arial" w:cs="Arial"/>
          <w:sz w:val="20"/>
          <w:szCs w:val="20"/>
        </w:rPr>
        <w:t xml:space="preserve">220.815 </w:t>
      </w:r>
      <w:r w:rsidRPr="00AD5A5C">
        <w:rPr>
          <w:rFonts w:ascii="Arial" w:eastAsia="Calibri" w:hAnsi="Arial" w:cs="Arial"/>
          <w:color w:val="000000" w:themeColor="text1"/>
          <w:sz w:val="20"/>
          <w:szCs w:val="20"/>
        </w:rPr>
        <w:t xml:space="preserve">tisuća </w:t>
      </w:r>
      <w:r>
        <w:rPr>
          <w:rFonts w:ascii="Arial" w:eastAsia="Calibri" w:hAnsi="Arial" w:cs="Arial"/>
          <w:color w:val="000000" w:themeColor="text1"/>
          <w:sz w:val="20"/>
          <w:szCs w:val="20"/>
        </w:rPr>
        <w:t>eur</w:t>
      </w:r>
      <w:r w:rsidRPr="00AD5A5C">
        <w:rPr>
          <w:rFonts w:ascii="Arial" w:eastAsia="Calibri" w:hAnsi="Arial" w:cs="Arial"/>
          <w:color w:val="000000" w:themeColor="text1"/>
          <w:sz w:val="20"/>
          <w:szCs w:val="20"/>
        </w:rPr>
        <w:t>a kod Banke.</w:t>
      </w:r>
    </w:p>
    <w:p w14:paraId="140C0A4E" w14:textId="77777777" w:rsidR="006B02F3" w:rsidRPr="00AD5A5C" w:rsidRDefault="006B02F3" w:rsidP="006B02F3">
      <w:pPr>
        <w:tabs>
          <w:tab w:val="left" w:pos="9180"/>
        </w:tabs>
        <w:jc w:val="both"/>
        <w:rPr>
          <w:rFonts w:ascii="Arial" w:eastAsia="Calibri" w:hAnsi="Arial" w:cs="Arial"/>
          <w:color w:val="000000" w:themeColor="text1"/>
          <w:sz w:val="20"/>
          <w:szCs w:val="20"/>
        </w:rPr>
      </w:pPr>
    </w:p>
    <w:p w14:paraId="2CF405AA" w14:textId="77777777" w:rsidR="006B02F3" w:rsidRPr="00AD5A5C" w:rsidRDefault="006B02F3" w:rsidP="006B02F3">
      <w:pPr>
        <w:tabs>
          <w:tab w:val="left" w:pos="9180"/>
        </w:tabs>
        <w:jc w:val="both"/>
        <w:rPr>
          <w:rFonts w:ascii="Arial" w:eastAsia="Calibri" w:hAnsi="Arial" w:cs="Arial"/>
          <w:color w:val="000000" w:themeColor="text1"/>
          <w:sz w:val="20"/>
          <w:szCs w:val="20"/>
        </w:rPr>
      </w:pPr>
      <w:r w:rsidRPr="00AD5A5C">
        <w:rPr>
          <w:rFonts w:ascii="Arial" w:eastAsia="Calibri" w:hAnsi="Arial" w:cs="Arial"/>
          <w:bCs/>
          <w:color w:val="000000" w:themeColor="text1"/>
          <w:sz w:val="20"/>
          <w:szCs w:val="20"/>
        </w:rPr>
        <w:t>Na dan 31. prosinca 202</w:t>
      </w:r>
      <w:r>
        <w:rPr>
          <w:rFonts w:ascii="Arial" w:eastAsia="Calibri" w:hAnsi="Arial" w:cs="Arial"/>
          <w:bCs/>
          <w:color w:val="000000" w:themeColor="text1"/>
          <w:sz w:val="20"/>
          <w:szCs w:val="20"/>
        </w:rPr>
        <w:t>3</w:t>
      </w:r>
      <w:r w:rsidRPr="00AD5A5C">
        <w:rPr>
          <w:rFonts w:ascii="Arial" w:eastAsia="Calibri" w:hAnsi="Arial" w:cs="Arial"/>
          <w:bCs/>
          <w:color w:val="000000" w:themeColor="text1"/>
          <w:sz w:val="20"/>
          <w:szCs w:val="20"/>
        </w:rPr>
        <w:t xml:space="preserve">. </w:t>
      </w:r>
      <w:r w:rsidRPr="00AD5A5C">
        <w:rPr>
          <w:rFonts w:ascii="Arial" w:eastAsia="Calibri" w:hAnsi="Arial" w:cs="Arial"/>
          <w:color w:val="000000" w:themeColor="text1"/>
          <w:sz w:val="20"/>
          <w:szCs w:val="20"/>
        </w:rPr>
        <w:t xml:space="preserve">ostala imovina u iznosu od </w:t>
      </w:r>
      <w:r>
        <w:rPr>
          <w:rFonts w:ascii="Arial" w:eastAsia="Calibri" w:hAnsi="Arial" w:cs="Arial"/>
          <w:color w:val="000000" w:themeColor="text1"/>
          <w:sz w:val="20"/>
          <w:szCs w:val="20"/>
        </w:rPr>
        <w:t>80</w:t>
      </w:r>
      <w:r w:rsidRPr="00AD5A5C">
        <w:rPr>
          <w:rFonts w:ascii="Arial" w:eastAsia="Calibri" w:hAnsi="Arial" w:cs="Arial"/>
          <w:color w:val="000000" w:themeColor="text1"/>
          <w:sz w:val="20"/>
          <w:szCs w:val="20"/>
        </w:rPr>
        <w:t xml:space="preserve"> tisuća </w:t>
      </w:r>
      <w:r>
        <w:rPr>
          <w:rFonts w:ascii="Arial" w:eastAsia="Calibri" w:hAnsi="Arial" w:cs="Arial"/>
          <w:color w:val="000000" w:themeColor="text1"/>
          <w:sz w:val="20"/>
          <w:szCs w:val="20"/>
        </w:rPr>
        <w:t>eur</w:t>
      </w:r>
      <w:r w:rsidRPr="00AD5A5C">
        <w:rPr>
          <w:rFonts w:ascii="Arial" w:eastAsia="Calibri" w:hAnsi="Arial" w:cs="Arial"/>
          <w:color w:val="000000" w:themeColor="text1"/>
          <w:sz w:val="20"/>
          <w:szCs w:val="20"/>
        </w:rPr>
        <w:t xml:space="preserve">a nije pokrivena uobičajenim instrumentima osiguranja, ali se odnosi na potraživanja od Republike Hrvatske i republičkih fondova. </w:t>
      </w:r>
    </w:p>
    <w:p w14:paraId="34B43136" w14:textId="77777777" w:rsidR="003278AB" w:rsidRPr="003D1614" w:rsidRDefault="003278AB" w:rsidP="003278AB">
      <w:pPr>
        <w:tabs>
          <w:tab w:val="left" w:pos="9180"/>
        </w:tabs>
        <w:suppressAutoHyphens/>
        <w:autoSpaceDN w:val="0"/>
        <w:ind w:right="-289"/>
        <w:jc w:val="both"/>
        <w:rPr>
          <w:rFonts w:ascii="Arial" w:eastAsia="Calibri" w:hAnsi="Arial" w:cs="Arial"/>
          <w:bCs/>
          <w:color w:val="000000" w:themeColor="text1"/>
          <w:sz w:val="20"/>
          <w:szCs w:val="20"/>
        </w:rPr>
      </w:pPr>
    </w:p>
    <w:p w14:paraId="6C9489C9" w14:textId="77777777" w:rsidR="00D92646" w:rsidRPr="003D1614" w:rsidRDefault="00D92646" w:rsidP="001A0FCB">
      <w:pPr>
        <w:suppressAutoHyphens/>
        <w:autoSpaceDN w:val="0"/>
        <w:jc w:val="both"/>
        <w:rPr>
          <w:rFonts w:ascii="Arial" w:eastAsia="Times New Roman" w:hAnsi="Arial" w:cs="Arial"/>
          <w:color w:val="000000" w:themeColor="text1"/>
          <w:sz w:val="20"/>
          <w:szCs w:val="20"/>
        </w:rPr>
      </w:pPr>
    </w:p>
    <w:p w14:paraId="7E3708FB" w14:textId="64B41B9F" w:rsidR="00D92646" w:rsidRPr="003D1614" w:rsidRDefault="00D92646" w:rsidP="001A0FCB">
      <w:pPr>
        <w:suppressAutoHyphens/>
        <w:autoSpaceDN w:val="0"/>
        <w:jc w:val="both"/>
        <w:rPr>
          <w:rFonts w:ascii="Arial" w:eastAsia="Times New Roman" w:hAnsi="Arial" w:cs="Arial"/>
          <w:color w:val="000000" w:themeColor="text1"/>
          <w:sz w:val="20"/>
          <w:szCs w:val="20"/>
        </w:rPr>
        <w:sectPr w:rsidR="00D92646" w:rsidRPr="003D1614" w:rsidSect="003278AB">
          <w:pgSz w:w="11906" w:h="16838"/>
          <w:pgMar w:top="1417" w:right="1417" w:bottom="1417" w:left="1417" w:header="708" w:footer="708" w:gutter="0"/>
          <w:cols w:space="708"/>
          <w:docGrid w:linePitch="360"/>
        </w:sectPr>
      </w:pPr>
    </w:p>
    <w:p w14:paraId="0D92EB0F" w14:textId="77777777" w:rsidR="00D92646" w:rsidRPr="003D1614" w:rsidRDefault="00D92646" w:rsidP="00D92646">
      <w:pPr>
        <w:keepNext/>
        <w:suppressAutoHyphens/>
        <w:autoSpaceDN w:val="0"/>
        <w:jc w:val="both"/>
        <w:outlineLvl w:val="0"/>
        <w:rPr>
          <w:rFonts w:ascii="Arial" w:eastAsia="Times New Roman" w:hAnsi="Arial" w:cs="Arial"/>
          <w:b/>
          <w:bCs/>
          <w:color w:val="000000" w:themeColor="text1"/>
          <w:sz w:val="20"/>
          <w:szCs w:val="20"/>
        </w:rPr>
      </w:pPr>
    </w:p>
    <w:p w14:paraId="58505093" w14:textId="0B412602" w:rsidR="00D92646" w:rsidRPr="003D1614" w:rsidRDefault="00D92646" w:rsidP="00D92646">
      <w:pPr>
        <w:keepNext/>
        <w:suppressAutoHyphens/>
        <w:autoSpaceDN w:val="0"/>
        <w:jc w:val="both"/>
        <w:outlineLvl w:val="0"/>
        <w:rPr>
          <w:rFonts w:ascii="Arial" w:eastAsia="Times New Roman" w:hAnsi="Arial" w:cs="Arial"/>
          <w:b/>
          <w:bCs/>
          <w:color w:val="000000" w:themeColor="text1"/>
          <w:sz w:val="20"/>
          <w:szCs w:val="20"/>
        </w:rPr>
      </w:pPr>
      <w:bookmarkStart w:id="739" w:name="_Hlk1732888"/>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1C30051A" w14:textId="77777777" w:rsidR="00D92646" w:rsidRPr="003D1614" w:rsidRDefault="00D92646" w:rsidP="00D92646">
      <w:pPr>
        <w:keepNext/>
        <w:suppressAutoHyphens/>
        <w:autoSpaceDN w:val="0"/>
        <w:jc w:val="both"/>
        <w:outlineLvl w:val="0"/>
        <w:rPr>
          <w:rFonts w:ascii="Arial" w:eastAsia="Times New Roman" w:hAnsi="Arial" w:cs="Arial"/>
          <w:b/>
          <w:bCs/>
          <w:color w:val="000000" w:themeColor="text1"/>
          <w:sz w:val="20"/>
          <w:szCs w:val="20"/>
        </w:rPr>
      </w:pPr>
    </w:p>
    <w:p w14:paraId="794066EC" w14:textId="24C360EB" w:rsidR="00D92646" w:rsidRPr="003D1614" w:rsidRDefault="00D92646" w:rsidP="00D92646">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.3. </w:t>
      </w:r>
      <w:r w:rsidRPr="003D1614">
        <w:rPr>
          <w:rFonts w:ascii="Arial" w:eastAsia="Times New Roman" w:hAnsi="Arial" w:cs="Arial"/>
          <w:b/>
          <w:bCs/>
          <w:color w:val="000000" w:themeColor="text1"/>
          <w:sz w:val="20"/>
          <w:szCs w:val="20"/>
        </w:rPr>
        <w:tab/>
        <w:t>Kreditni rizik (nastavak)</w:t>
      </w:r>
    </w:p>
    <w:p w14:paraId="36B95995" w14:textId="77777777" w:rsidR="00D92646" w:rsidRPr="003D1614" w:rsidRDefault="00D92646" w:rsidP="00D92646">
      <w:pPr>
        <w:keepNext/>
        <w:suppressAutoHyphens/>
        <w:autoSpaceDN w:val="0"/>
        <w:jc w:val="both"/>
        <w:outlineLvl w:val="0"/>
        <w:rPr>
          <w:rFonts w:ascii="Arial" w:eastAsia="Times New Roman" w:hAnsi="Arial" w:cs="Arial"/>
          <w:b/>
          <w:bCs/>
          <w:color w:val="000000" w:themeColor="text1"/>
          <w:sz w:val="20"/>
          <w:szCs w:val="20"/>
        </w:rPr>
      </w:pPr>
    </w:p>
    <w:p w14:paraId="7FAE67B1" w14:textId="77777777" w:rsidR="00D92646" w:rsidRPr="003D1614" w:rsidRDefault="00D92646" w:rsidP="00D92646">
      <w:pPr>
        <w:keepNext/>
        <w:numPr>
          <w:ilvl w:val="8"/>
          <w:numId w:val="28"/>
        </w:numPr>
        <w:suppressAutoHyphens/>
        <w:autoSpaceDN w:val="0"/>
        <w:ind w:left="284" w:hanging="284"/>
        <w:rPr>
          <w:rFonts w:ascii="Arial" w:eastAsia="Times New Roman" w:hAnsi="Arial" w:cs="Arial"/>
          <w:bCs/>
          <w:i/>
          <w:color w:val="000000" w:themeColor="text1"/>
          <w:sz w:val="20"/>
          <w:szCs w:val="20"/>
        </w:rPr>
      </w:pPr>
      <w:r w:rsidRPr="003D1614">
        <w:rPr>
          <w:rFonts w:ascii="Arial" w:eastAsia="Times New Roman" w:hAnsi="Arial" w:cs="Arial"/>
          <w:bCs/>
          <w:i/>
          <w:color w:val="000000" w:themeColor="text1"/>
          <w:sz w:val="20"/>
          <w:szCs w:val="20"/>
        </w:rPr>
        <w:t>Promjene po rezerviranjima</w:t>
      </w:r>
    </w:p>
    <w:bookmarkEnd w:id="739"/>
    <w:p w14:paraId="60CCE4D7" w14:textId="77777777" w:rsidR="00D92646" w:rsidRPr="003D1614" w:rsidRDefault="00D92646" w:rsidP="00D92646">
      <w:pPr>
        <w:keepNext/>
        <w:suppressAutoHyphens/>
        <w:autoSpaceDN w:val="0"/>
        <w:outlineLvl w:val="0"/>
        <w:rPr>
          <w:rFonts w:ascii="Arial" w:eastAsia="Times New Roman" w:hAnsi="Arial" w:cs="Arial"/>
          <w:bCs/>
          <w:i/>
          <w:color w:val="000000" w:themeColor="text1"/>
          <w:sz w:val="20"/>
          <w:szCs w:val="20"/>
        </w:rPr>
      </w:pPr>
    </w:p>
    <w:p w14:paraId="2F73E98B" w14:textId="77777777" w:rsidR="00D92646" w:rsidRPr="003D1614" w:rsidRDefault="00D92646" w:rsidP="00D92646">
      <w:pPr>
        <w:keepNext/>
        <w:suppressAutoHyphens/>
        <w:autoSpaceDN w:val="0"/>
        <w:outlineLvl w:val="0"/>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U sljedećim tablicama prikazuju se promjene po rezerviranjima od početnog do završnog stanja prema vrsti financijskog instrumenta i prema rizičnim skupinama:</w:t>
      </w:r>
    </w:p>
    <w:p w14:paraId="0CD34062" w14:textId="77777777" w:rsidR="00D92646" w:rsidRPr="003D1614" w:rsidRDefault="00D92646" w:rsidP="00D92646">
      <w:pPr>
        <w:keepNext/>
        <w:suppressAutoHyphens/>
        <w:autoSpaceDN w:val="0"/>
        <w:outlineLvl w:val="0"/>
        <w:rPr>
          <w:rFonts w:ascii="Arial" w:eastAsia="Times New Roman" w:hAnsi="Arial" w:cs="Arial"/>
          <w:bCs/>
          <w:i/>
          <w:color w:val="000000" w:themeColor="text1"/>
          <w:sz w:val="20"/>
          <w:szCs w:val="20"/>
        </w:rPr>
      </w:pPr>
    </w:p>
    <w:p w14:paraId="1F599CA3" w14:textId="77777777" w:rsidR="00D92646" w:rsidRPr="003D1614" w:rsidRDefault="00D92646" w:rsidP="00D92646">
      <w:pPr>
        <w:keepNext/>
        <w:suppressAutoHyphens/>
        <w:autoSpaceDN w:val="0"/>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Novčana sredstva i računi kod banaka</w:t>
      </w:r>
    </w:p>
    <w:p w14:paraId="4BDAD30F"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tbl>
      <w:tblPr>
        <w:tblW w:w="9411" w:type="dxa"/>
        <w:tblInd w:w="-142" w:type="dxa"/>
        <w:tblLook w:val="04A0" w:firstRow="1" w:lastRow="0" w:firstColumn="1" w:lastColumn="0" w:noHBand="0" w:noVBand="1"/>
      </w:tblPr>
      <w:tblGrid>
        <w:gridCol w:w="3889"/>
        <w:gridCol w:w="1098"/>
        <w:gridCol w:w="1089"/>
        <w:gridCol w:w="1089"/>
        <w:gridCol w:w="1084"/>
        <w:gridCol w:w="1162"/>
      </w:tblGrid>
      <w:tr w:rsidR="00D92646" w:rsidRPr="003D1614" w14:paraId="35C20164" w14:textId="77777777" w:rsidTr="007478FB">
        <w:trPr>
          <w:trHeight w:val="164"/>
        </w:trPr>
        <w:tc>
          <w:tcPr>
            <w:tcW w:w="3889" w:type="dxa"/>
            <w:tcBorders>
              <w:top w:val="nil"/>
              <w:left w:val="nil"/>
              <w:bottom w:val="nil"/>
              <w:right w:val="nil"/>
            </w:tcBorders>
            <w:shd w:val="clear" w:color="auto" w:fill="auto"/>
            <w:vAlign w:val="bottom"/>
          </w:tcPr>
          <w:p w14:paraId="24DFC8FB" w14:textId="77777777" w:rsidR="00D92646" w:rsidRPr="003D1614" w:rsidRDefault="00D92646" w:rsidP="00D92646">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 xml:space="preserve">Grupa </w:t>
            </w:r>
          </w:p>
        </w:tc>
        <w:tc>
          <w:tcPr>
            <w:tcW w:w="1098" w:type="dxa"/>
            <w:tcBorders>
              <w:top w:val="nil"/>
              <w:left w:val="nil"/>
              <w:bottom w:val="nil"/>
              <w:right w:val="nil"/>
            </w:tcBorders>
            <w:shd w:val="clear" w:color="auto" w:fill="auto"/>
            <w:vAlign w:val="bottom"/>
          </w:tcPr>
          <w:p w14:paraId="382E198E"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89" w:type="dxa"/>
            <w:tcBorders>
              <w:top w:val="nil"/>
              <w:left w:val="nil"/>
              <w:bottom w:val="nil"/>
              <w:right w:val="nil"/>
            </w:tcBorders>
            <w:shd w:val="clear" w:color="auto" w:fill="auto"/>
            <w:vAlign w:val="bottom"/>
          </w:tcPr>
          <w:p w14:paraId="5B97244A"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89" w:type="dxa"/>
            <w:tcBorders>
              <w:top w:val="nil"/>
              <w:left w:val="nil"/>
              <w:bottom w:val="nil"/>
              <w:right w:val="nil"/>
            </w:tcBorders>
            <w:shd w:val="clear" w:color="auto" w:fill="auto"/>
            <w:vAlign w:val="bottom"/>
          </w:tcPr>
          <w:p w14:paraId="50582491"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84" w:type="dxa"/>
            <w:tcBorders>
              <w:top w:val="nil"/>
              <w:left w:val="nil"/>
              <w:bottom w:val="nil"/>
              <w:right w:val="nil"/>
            </w:tcBorders>
            <w:shd w:val="clear" w:color="auto" w:fill="auto"/>
            <w:vAlign w:val="bottom"/>
          </w:tcPr>
          <w:p w14:paraId="607FA7EA"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162" w:type="dxa"/>
            <w:tcBorders>
              <w:top w:val="nil"/>
              <w:left w:val="nil"/>
              <w:bottom w:val="nil"/>
              <w:right w:val="nil"/>
            </w:tcBorders>
            <w:shd w:val="clear" w:color="auto" w:fill="auto"/>
            <w:vAlign w:val="bottom"/>
          </w:tcPr>
          <w:p w14:paraId="1C59A2A9"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r>
      <w:tr w:rsidR="00D92646" w:rsidRPr="003D1614" w14:paraId="04F070B3" w14:textId="77777777" w:rsidTr="007478FB">
        <w:trPr>
          <w:trHeight w:val="164"/>
        </w:trPr>
        <w:tc>
          <w:tcPr>
            <w:tcW w:w="3889" w:type="dxa"/>
            <w:tcBorders>
              <w:top w:val="nil"/>
              <w:left w:val="nil"/>
              <w:bottom w:val="nil"/>
              <w:right w:val="nil"/>
            </w:tcBorders>
            <w:shd w:val="clear" w:color="auto" w:fill="auto"/>
            <w:vAlign w:val="bottom"/>
            <w:hideMark/>
          </w:tcPr>
          <w:p w14:paraId="6EBC248E" w14:textId="654C13E6" w:rsidR="00D92646" w:rsidRPr="003D1614" w:rsidRDefault="00CF64AC" w:rsidP="00D92646">
            <w:pPr>
              <w:suppressAutoHyphens/>
              <w:autoSpaceDN w:val="0"/>
              <w:rPr>
                <w:rFonts w:ascii="Arial" w:eastAsia="Calibri" w:hAnsi="Arial" w:cs="Arial"/>
                <w:b/>
                <w:bCs/>
                <w:color w:val="000000" w:themeColor="text1"/>
                <w:sz w:val="18"/>
                <w:szCs w:val="18"/>
              </w:rPr>
            </w:pPr>
            <w:bookmarkStart w:id="740" w:name="_Hlk138681905"/>
            <w:r>
              <w:rPr>
                <w:rFonts w:ascii="Arial" w:eastAsia="Calibri" w:hAnsi="Arial" w:cs="Arial"/>
                <w:b/>
                <w:bCs/>
                <w:color w:val="000000" w:themeColor="text1"/>
                <w:sz w:val="18"/>
                <w:szCs w:val="18"/>
              </w:rPr>
              <w:t xml:space="preserve">30. </w:t>
            </w:r>
            <w:r w:rsidR="00A2708A">
              <w:rPr>
                <w:rFonts w:ascii="Arial" w:eastAsia="Calibri" w:hAnsi="Arial" w:cs="Arial"/>
                <w:b/>
                <w:bCs/>
                <w:color w:val="000000" w:themeColor="text1"/>
                <w:sz w:val="18"/>
                <w:szCs w:val="18"/>
              </w:rPr>
              <w:t>rujna</w:t>
            </w:r>
            <w:r>
              <w:rPr>
                <w:rFonts w:ascii="Arial" w:eastAsia="Calibri" w:hAnsi="Arial" w:cs="Arial"/>
                <w:b/>
                <w:bCs/>
                <w:color w:val="000000" w:themeColor="text1"/>
                <w:sz w:val="18"/>
                <w:szCs w:val="18"/>
              </w:rPr>
              <w:t xml:space="preserve"> </w:t>
            </w:r>
            <w:bookmarkEnd w:id="740"/>
            <w:r w:rsidR="00D92646" w:rsidRPr="003D1614">
              <w:rPr>
                <w:rFonts w:ascii="Arial" w:eastAsia="Calibri" w:hAnsi="Arial" w:cs="Arial"/>
                <w:b/>
                <w:bCs/>
                <w:color w:val="000000" w:themeColor="text1"/>
                <w:sz w:val="18"/>
                <w:szCs w:val="18"/>
              </w:rPr>
              <w:t>202</w:t>
            </w:r>
            <w:r w:rsidR="00B00FA0">
              <w:rPr>
                <w:rFonts w:ascii="Arial" w:eastAsia="Calibri" w:hAnsi="Arial" w:cs="Arial"/>
                <w:b/>
                <w:bCs/>
                <w:color w:val="000000" w:themeColor="text1"/>
                <w:sz w:val="18"/>
                <w:szCs w:val="18"/>
              </w:rPr>
              <w:t>4</w:t>
            </w:r>
            <w:r w:rsidR="00D92646" w:rsidRPr="003D1614">
              <w:rPr>
                <w:rFonts w:ascii="Arial" w:eastAsia="Calibri" w:hAnsi="Arial" w:cs="Arial"/>
                <w:b/>
                <w:bCs/>
                <w:color w:val="000000" w:themeColor="text1"/>
                <w:sz w:val="18"/>
                <w:szCs w:val="18"/>
              </w:rPr>
              <w:t>.</w:t>
            </w:r>
          </w:p>
        </w:tc>
        <w:tc>
          <w:tcPr>
            <w:tcW w:w="1098" w:type="dxa"/>
            <w:tcBorders>
              <w:top w:val="nil"/>
              <w:left w:val="nil"/>
              <w:bottom w:val="nil"/>
              <w:right w:val="nil"/>
            </w:tcBorders>
            <w:shd w:val="clear" w:color="auto" w:fill="auto"/>
            <w:vAlign w:val="bottom"/>
            <w:hideMark/>
          </w:tcPr>
          <w:p w14:paraId="42D34383"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1</w:t>
            </w:r>
          </w:p>
        </w:tc>
        <w:tc>
          <w:tcPr>
            <w:tcW w:w="1089" w:type="dxa"/>
            <w:tcBorders>
              <w:top w:val="nil"/>
              <w:left w:val="nil"/>
              <w:bottom w:val="nil"/>
              <w:right w:val="nil"/>
            </w:tcBorders>
            <w:shd w:val="clear" w:color="auto" w:fill="auto"/>
            <w:vAlign w:val="bottom"/>
            <w:hideMark/>
          </w:tcPr>
          <w:p w14:paraId="3DD1D008"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2</w:t>
            </w:r>
          </w:p>
        </w:tc>
        <w:tc>
          <w:tcPr>
            <w:tcW w:w="1089" w:type="dxa"/>
            <w:tcBorders>
              <w:top w:val="nil"/>
              <w:left w:val="nil"/>
              <w:bottom w:val="nil"/>
              <w:right w:val="nil"/>
            </w:tcBorders>
            <w:shd w:val="clear" w:color="auto" w:fill="auto"/>
            <w:vAlign w:val="bottom"/>
            <w:hideMark/>
          </w:tcPr>
          <w:p w14:paraId="35269BC6"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3</w:t>
            </w:r>
          </w:p>
        </w:tc>
        <w:tc>
          <w:tcPr>
            <w:tcW w:w="1084" w:type="dxa"/>
            <w:tcBorders>
              <w:top w:val="nil"/>
              <w:left w:val="nil"/>
              <w:bottom w:val="nil"/>
              <w:right w:val="nil"/>
            </w:tcBorders>
            <w:shd w:val="clear" w:color="auto" w:fill="auto"/>
            <w:vAlign w:val="bottom"/>
            <w:hideMark/>
          </w:tcPr>
          <w:p w14:paraId="2532BEBE"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POCI</w:t>
            </w:r>
          </w:p>
        </w:tc>
        <w:tc>
          <w:tcPr>
            <w:tcW w:w="1162" w:type="dxa"/>
            <w:tcBorders>
              <w:top w:val="nil"/>
              <w:left w:val="nil"/>
              <w:bottom w:val="nil"/>
              <w:right w:val="nil"/>
            </w:tcBorders>
            <w:shd w:val="clear" w:color="auto" w:fill="auto"/>
            <w:vAlign w:val="bottom"/>
            <w:hideMark/>
          </w:tcPr>
          <w:p w14:paraId="26CC4143"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Ukupno</w:t>
            </w:r>
          </w:p>
        </w:tc>
      </w:tr>
      <w:tr w:rsidR="00D92646" w:rsidRPr="003D1614" w14:paraId="6D0F5D18" w14:textId="77777777" w:rsidTr="007478FB">
        <w:trPr>
          <w:trHeight w:val="164"/>
        </w:trPr>
        <w:tc>
          <w:tcPr>
            <w:tcW w:w="3889" w:type="dxa"/>
            <w:tcBorders>
              <w:top w:val="nil"/>
              <w:left w:val="nil"/>
              <w:bottom w:val="nil"/>
              <w:right w:val="nil"/>
            </w:tcBorders>
            <w:shd w:val="clear" w:color="auto" w:fill="auto"/>
            <w:vAlign w:val="bottom"/>
            <w:hideMark/>
          </w:tcPr>
          <w:p w14:paraId="17202FD6"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8" w:type="dxa"/>
            <w:tcBorders>
              <w:top w:val="nil"/>
              <w:left w:val="nil"/>
              <w:bottom w:val="nil"/>
              <w:right w:val="nil"/>
            </w:tcBorders>
            <w:shd w:val="clear" w:color="auto" w:fill="auto"/>
            <w:vAlign w:val="bottom"/>
            <w:hideMark/>
          </w:tcPr>
          <w:p w14:paraId="48D7F00B" w14:textId="0C1383AF"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89" w:type="dxa"/>
            <w:tcBorders>
              <w:top w:val="nil"/>
              <w:left w:val="nil"/>
              <w:bottom w:val="nil"/>
              <w:right w:val="nil"/>
            </w:tcBorders>
            <w:shd w:val="clear" w:color="auto" w:fill="auto"/>
            <w:vAlign w:val="bottom"/>
            <w:hideMark/>
          </w:tcPr>
          <w:p w14:paraId="1F20C4E4" w14:textId="6132C3D4"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89" w:type="dxa"/>
            <w:tcBorders>
              <w:top w:val="nil"/>
              <w:left w:val="nil"/>
              <w:bottom w:val="nil"/>
              <w:right w:val="nil"/>
            </w:tcBorders>
            <w:shd w:val="clear" w:color="auto" w:fill="auto"/>
            <w:vAlign w:val="bottom"/>
            <w:hideMark/>
          </w:tcPr>
          <w:p w14:paraId="472E3213" w14:textId="66E1C818"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84" w:type="dxa"/>
            <w:tcBorders>
              <w:top w:val="nil"/>
              <w:left w:val="nil"/>
              <w:bottom w:val="nil"/>
              <w:right w:val="nil"/>
            </w:tcBorders>
            <w:shd w:val="clear" w:color="auto" w:fill="auto"/>
            <w:vAlign w:val="bottom"/>
            <w:hideMark/>
          </w:tcPr>
          <w:p w14:paraId="5243D52C" w14:textId="112F2F0A"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162" w:type="dxa"/>
            <w:tcBorders>
              <w:top w:val="nil"/>
              <w:left w:val="nil"/>
              <w:bottom w:val="nil"/>
              <w:right w:val="nil"/>
            </w:tcBorders>
            <w:shd w:val="clear" w:color="auto" w:fill="auto"/>
            <w:vAlign w:val="bottom"/>
            <w:hideMark/>
          </w:tcPr>
          <w:p w14:paraId="0F55E3C3" w14:textId="6EA47C30"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r>
      <w:tr w:rsidR="00D92646" w:rsidRPr="003D1614" w14:paraId="1846735E" w14:textId="77777777" w:rsidTr="007478FB">
        <w:trPr>
          <w:trHeight w:val="164"/>
        </w:trPr>
        <w:tc>
          <w:tcPr>
            <w:tcW w:w="3889" w:type="dxa"/>
            <w:tcBorders>
              <w:top w:val="nil"/>
              <w:left w:val="nil"/>
              <w:bottom w:val="nil"/>
              <w:right w:val="nil"/>
            </w:tcBorders>
            <w:shd w:val="clear" w:color="auto" w:fill="auto"/>
            <w:vAlign w:val="bottom"/>
          </w:tcPr>
          <w:p w14:paraId="017356D6"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8" w:type="dxa"/>
            <w:tcBorders>
              <w:top w:val="nil"/>
              <w:left w:val="nil"/>
              <w:bottom w:val="nil"/>
              <w:right w:val="nil"/>
            </w:tcBorders>
            <w:shd w:val="clear" w:color="auto" w:fill="auto"/>
            <w:vAlign w:val="bottom"/>
          </w:tcPr>
          <w:p w14:paraId="40D6FF9F"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89" w:type="dxa"/>
            <w:tcBorders>
              <w:top w:val="nil"/>
              <w:left w:val="nil"/>
              <w:bottom w:val="nil"/>
              <w:right w:val="nil"/>
            </w:tcBorders>
            <w:shd w:val="clear" w:color="auto" w:fill="auto"/>
            <w:vAlign w:val="bottom"/>
          </w:tcPr>
          <w:p w14:paraId="1319533A"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89" w:type="dxa"/>
            <w:tcBorders>
              <w:top w:val="nil"/>
              <w:left w:val="nil"/>
              <w:bottom w:val="nil"/>
              <w:right w:val="nil"/>
            </w:tcBorders>
            <w:shd w:val="clear" w:color="auto" w:fill="auto"/>
            <w:vAlign w:val="bottom"/>
          </w:tcPr>
          <w:p w14:paraId="4D9A9C8E"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84" w:type="dxa"/>
            <w:tcBorders>
              <w:top w:val="nil"/>
              <w:left w:val="nil"/>
              <w:bottom w:val="nil"/>
              <w:right w:val="nil"/>
            </w:tcBorders>
            <w:shd w:val="clear" w:color="auto" w:fill="auto"/>
            <w:vAlign w:val="bottom"/>
          </w:tcPr>
          <w:p w14:paraId="3F74CE2D"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162" w:type="dxa"/>
            <w:tcBorders>
              <w:top w:val="nil"/>
              <w:left w:val="nil"/>
              <w:bottom w:val="nil"/>
              <w:right w:val="nil"/>
            </w:tcBorders>
            <w:shd w:val="clear" w:color="auto" w:fill="auto"/>
            <w:vAlign w:val="bottom"/>
          </w:tcPr>
          <w:p w14:paraId="7F165EF9"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r>
      <w:tr w:rsidR="009E280E" w:rsidRPr="003D1614" w14:paraId="103917CF" w14:textId="77777777" w:rsidTr="007478FB">
        <w:trPr>
          <w:trHeight w:val="164"/>
        </w:trPr>
        <w:tc>
          <w:tcPr>
            <w:tcW w:w="3889" w:type="dxa"/>
            <w:tcBorders>
              <w:top w:val="nil"/>
              <w:left w:val="nil"/>
              <w:bottom w:val="nil"/>
              <w:right w:val="nil"/>
            </w:tcBorders>
            <w:shd w:val="clear" w:color="auto" w:fill="auto"/>
            <w:vAlign w:val="bottom"/>
            <w:hideMark/>
          </w:tcPr>
          <w:p w14:paraId="61C488D4" w14:textId="7754EE45" w:rsidR="009E280E" w:rsidRPr="003D1614" w:rsidRDefault="009E280E" w:rsidP="009E280E">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Stanje 1. siječnja 202</w:t>
            </w:r>
            <w:r w:rsidR="00B00FA0">
              <w:rPr>
                <w:rFonts w:ascii="Arial" w:eastAsia="Calibri" w:hAnsi="Arial" w:cs="Arial"/>
                <w:color w:val="000000" w:themeColor="text1"/>
                <w:sz w:val="18"/>
                <w:szCs w:val="18"/>
              </w:rPr>
              <w:t>4</w:t>
            </w:r>
            <w:r w:rsidRPr="003D1614">
              <w:rPr>
                <w:rFonts w:ascii="Arial" w:eastAsia="Calibri" w:hAnsi="Arial" w:cs="Arial"/>
                <w:color w:val="000000" w:themeColor="text1"/>
                <w:sz w:val="18"/>
                <w:szCs w:val="18"/>
              </w:rPr>
              <w:t xml:space="preserve">. </w:t>
            </w:r>
          </w:p>
        </w:tc>
        <w:tc>
          <w:tcPr>
            <w:tcW w:w="1098" w:type="dxa"/>
            <w:shd w:val="clear" w:color="auto" w:fill="auto"/>
            <w:vAlign w:val="bottom"/>
          </w:tcPr>
          <w:p w14:paraId="4BC2293F" w14:textId="6B16EFEF" w:rsidR="009E280E" w:rsidRPr="003D1614" w:rsidRDefault="0028715F" w:rsidP="009E280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159</w:t>
            </w:r>
          </w:p>
        </w:tc>
        <w:tc>
          <w:tcPr>
            <w:tcW w:w="1089" w:type="dxa"/>
            <w:shd w:val="clear" w:color="auto" w:fill="auto"/>
            <w:vAlign w:val="bottom"/>
          </w:tcPr>
          <w:p w14:paraId="72B535DE" w14:textId="69FF98A3" w:rsidR="009E280E" w:rsidRPr="003D1614" w:rsidRDefault="0028715F" w:rsidP="009E280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89" w:type="dxa"/>
            <w:shd w:val="clear" w:color="auto" w:fill="auto"/>
            <w:vAlign w:val="bottom"/>
          </w:tcPr>
          <w:p w14:paraId="2CE079A4" w14:textId="0D8F85F3" w:rsidR="009E280E" w:rsidRPr="003D1614" w:rsidRDefault="0028715F" w:rsidP="009E280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84" w:type="dxa"/>
            <w:shd w:val="clear" w:color="auto" w:fill="auto"/>
            <w:vAlign w:val="bottom"/>
          </w:tcPr>
          <w:p w14:paraId="3AA742F3" w14:textId="561281DC" w:rsidR="009E280E" w:rsidRPr="003D1614" w:rsidRDefault="0028715F" w:rsidP="009E280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162" w:type="dxa"/>
            <w:shd w:val="clear" w:color="auto" w:fill="auto"/>
            <w:vAlign w:val="bottom"/>
          </w:tcPr>
          <w:p w14:paraId="3DC02ADC" w14:textId="09271114" w:rsidR="009E280E" w:rsidRPr="0028715F" w:rsidRDefault="0028715F" w:rsidP="009E280E">
            <w:pPr>
              <w:suppressAutoHyphens/>
              <w:autoSpaceDN w:val="0"/>
              <w:jc w:val="right"/>
              <w:rPr>
                <w:rFonts w:ascii="Arial" w:eastAsia="Calibri" w:hAnsi="Arial" w:cs="Arial"/>
                <w:b/>
                <w:bCs/>
                <w:color w:val="000000" w:themeColor="text1"/>
                <w:sz w:val="18"/>
                <w:szCs w:val="18"/>
              </w:rPr>
            </w:pPr>
            <w:r w:rsidRPr="0028715F">
              <w:rPr>
                <w:rFonts w:ascii="Arial" w:eastAsia="Calibri" w:hAnsi="Arial" w:cs="Arial"/>
                <w:b/>
                <w:bCs/>
                <w:color w:val="000000" w:themeColor="text1"/>
                <w:sz w:val="18"/>
                <w:szCs w:val="18"/>
              </w:rPr>
              <w:t>159</w:t>
            </w:r>
          </w:p>
        </w:tc>
      </w:tr>
      <w:tr w:rsidR="00AA31B9" w:rsidRPr="003D1614" w14:paraId="44274A9E" w14:textId="77777777" w:rsidTr="007478FB">
        <w:trPr>
          <w:trHeight w:val="164"/>
        </w:trPr>
        <w:tc>
          <w:tcPr>
            <w:tcW w:w="3889" w:type="dxa"/>
            <w:tcBorders>
              <w:top w:val="nil"/>
              <w:left w:val="nil"/>
              <w:bottom w:val="nil"/>
              <w:right w:val="nil"/>
            </w:tcBorders>
            <w:shd w:val="clear" w:color="auto" w:fill="auto"/>
            <w:vAlign w:val="bottom"/>
            <w:hideMark/>
          </w:tcPr>
          <w:p w14:paraId="79532A86" w14:textId="77777777" w:rsidR="00AA31B9" w:rsidRPr="003D1614" w:rsidRDefault="00AA31B9" w:rsidP="00AA31B9">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1</w:t>
            </w:r>
          </w:p>
        </w:tc>
        <w:tc>
          <w:tcPr>
            <w:tcW w:w="1098" w:type="dxa"/>
            <w:shd w:val="clear" w:color="auto" w:fill="auto"/>
            <w:vAlign w:val="bottom"/>
          </w:tcPr>
          <w:p w14:paraId="06935E14" w14:textId="4926E092" w:rsidR="00AA31B9" w:rsidRPr="003D1614" w:rsidRDefault="00BF209A" w:rsidP="00AA31B9">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89" w:type="dxa"/>
            <w:shd w:val="clear" w:color="auto" w:fill="auto"/>
            <w:vAlign w:val="bottom"/>
          </w:tcPr>
          <w:p w14:paraId="5E8CE16E" w14:textId="79715EA3" w:rsidR="00AA31B9" w:rsidRPr="003D1614" w:rsidRDefault="00BF209A" w:rsidP="00AA31B9">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89" w:type="dxa"/>
            <w:shd w:val="clear" w:color="auto" w:fill="auto"/>
            <w:vAlign w:val="bottom"/>
          </w:tcPr>
          <w:p w14:paraId="5DB133B1" w14:textId="0D488EB3" w:rsidR="00AA31B9" w:rsidRPr="003D1614" w:rsidRDefault="00BF209A" w:rsidP="00AA31B9">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84" w:type="dxa"/>
            <w:shd w:val="clear" w:color="auto" w:fill="auto"/>
            <w:vAlign w:val="bottom"/>
          </w:tcPr>
          <w:p w14:paraId="7218FB5E" w14:textId="025E8BF6" w:rsidR="00AA31B9" w:rsidRPr="003D1614" w:rsidRDefault="00BF209A" w:rsidP="00AA31B9">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162" w:type="dxa"/>
            <w:shd w:val="clear" w:color="auto" w:fill="auto"/>
            <w:vAlign w:val="bottom"/>
          </w:tcPr>
          <w:p w14:paraId="43703ED5" w14:textId="002C1F78" w:rsidR="00AA31B9" w:rsidRPr="0028715F" w:rsidRDefault="00BF209A" w:rsidP="00AA31B9">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r>
      <w:tr w:rsidR="00AA31B9" w:rsidRPr="003D1614" w14:paraId="4CE2399D" w14:textId="77777777" w:rsidTr="007478FB">
        <w:trPr>
          <w:trHeight w:val="164"/>
        </w:trPr>
        <w:tc>
          <w:tcPr>
            <w:tcW w:w="3889" w:type="dxa"/>
            <w:tcBorders>
              <w:top w:val="nil"/>
              <w:left w:val="nil"/>
              <w:bottom w:val="nil"/>
              <w:right w:val="nil"/>
            </w:tcBorders>
            <w:shd w:val="clear" w:color="auto" w:fill="auto"/>
            <w:vAlign w:val="bottom"/>
          </w:tcPr>
          <w:p w14:paraId="3266760D" w14:textId="77777777" w:rsidR="00AA31B9" w:rsidRPr="003D1614" w:rsidRDefault="00AA31B9" w:rsidP="00AA31B9">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2</w:t>
            </w:r>
          </w:p>
        </w:tc>
        <w:tc>
          <w:tcPr>
            <w:tcW w:w="1098" w:type="dxa"/>
            <w:shd w:val="clear" w:color="auto" w:fill="auto"/>
            <w:vAlign w:val="bottom"/>
          </w:tcPr>
          <w:p w14:paraId="1FCBA4B8" w14:textId="7382278A" w:rsidR="00AA31B9" w:rsidRPr="003D1614" w:rsidRDefault="00BF209A" w:rsidP="00AA31B9">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89" w:type="dxa"/>
            <w:shd w:val="clear" w:color="auto" w:fill="auto"/>
            <w:vAlign w:val="bottom"/>
          </w:tcPr>
          <w:p w14:paraId="627AF212" w14:textId="1D8E5C23" w:rsidR="00AA31B9" w:rsidRPr="003D1614" w:rsidRDefault="00BF209A" w:rsidP="00AA31B9">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89" w:type="dxa"/>
            <w:shd w:val="clear" w:color="auto" w:fill="auto"/>
            <w:vAlign w:val="bottom"/>
          </w:tcPr>
          <w:p w14:paraId="21A58477" w14:textId="339729B1" w:rsidR="00AA31B9" w:rsidRPr="003D1614" w:rsidRDefault="00BF209A" w:rsidP="00AA31B9">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84" w:type="dxa"/>
            <w:shd w:val="clear" w:color="auto" w:fill="auto"/>
            <w:vAlign w:val="bottom"/>
          </w:tcPr>
          <w:p w14:paraId="65D7A098" w14:textId="352FB5CF" w:rsidR="00AA31B9" w:rsidRPr="003D1614" w:rsidRDefault="00BF209A" w:rsidP="00AA31B9">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162" w:type="dxa"/>
            <w:shd w:val="clear" w:color="auto" w:fill="auto"/>
            <w:vAlign w:val="bottom"/>
          </w:tcPr>
          <w:p w14:paraId="1C38DF7B" w14:textId="37BFF82E" w:rsidR="00AA31B9" w:rsidRPr="0028715F" w:rsidRDefault="00BF209A" w:rsidP="00AA31B9">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r>
      <w:tr w:rsidR="00AA31B9" w:rsidRPr="003D1614" w14:paraId="232C48EE" w14:textId="77777777" w:rsidTr="007478FB">
        <w:trPr>
          <w:trHeight w:val="164"/>
        </w:trPr>
        <w:tc>
          <w:tcPr>
            <w:tcW w:w="3889" w:type="dxa"/>
            <w:tcBorders>
              <w:top w:val="nil"/>
              <w:left w:val="nil"/>
              <w:bottom w:val="nil"/>
              <w:right w:val="nil"/>
            </w:tcBorders>
            <w:shd w:val="clear" w:color="auto" w:fill="auto"/>
            <w:vAlign w:val="bottom"/>
          </w:tcPr>
          <w:p w14:paraId="1DC92443" w14:textId="77777777" w:rsidR="00AA31B9" w:rsidRPr="003D1614" w:rsidRDefault="00AA31B9" w:rsidP="00AA31B9">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3</w:t>
            </w:r>
          </w:p>
        </w:tc>
        <w:tc>
          <w:tcPr>
            <w:tcW w:w="1098" w:type="dxa"/>
            <w:shd w:val="clear" w:color="auto" w:fill="auto"/>
            <w:vAlign w:val="bottom"/>
          </w:tcPr>
          <w:p w14:paraId="4880EB37" w14:textId="6333C58D" w:rsidR="00AA31B9" w:rsidRPr="003D1614" w:rsidRDefault="00BF209A" w:rsidP="00AA31B9">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89" w:type="dxa"/>
            <w:shd w:val="clear" w:color="auto" w:fill="auto"/>
            <w:vAlign w:val="bottom"/>
          </w:tcPr>
          <w:p w14:paraId="14CC84C2" w14:textId="542EAC21" w:rsidR="00AA31B9" w:rsidRPr="003D1614" w:rsidRDefault="00BF209A" w:rsidP="00AA31B9">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89" w:type="dxa"/>
            <w:shd w:val="clear" w:color="auto" w:fill="auto"/>
            <w:vAlign w:val="bottom"/>
          </w:tcPr>
          <w:p w14:paraId="050DCFE9" w14:textId="49273BC6" w:rsidR="00AA31B9" w:rsidRPr="003D1614" w:rsidRDefault="00BF209A" w:rsidP="00AA31B9">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84" w:type="dxa"/>
            <w:shd w:val="clear" w:color="auto" w:fill="auto"/>
            <w:vAlign w:val="bottom"/>
          </w:tcPr>
          <w:p w14:paraId="7DEDD16B" w14:textId="012CF7EB" w:rsidR="00AA31B9" w:rsidRPr="003D1614" w:rsidRDefault="00BF209A" w:rsidP="00AA31B9">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162" w:type="dxa"/>
            <w:shd w:val="clear" w:color="auto" w:fill="auto"/>
            <w:vAlign w:val="bottom"/>
          </w:tcPr>
          <w:p w14:paraId="2787E36B" w14:textId="5AA0CAAB" w:rsidR="00AA31B9" w:rsidRPr="0028715F" w:rsidRDefault="00BF209A" w:rsidP="00AA31B9">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r>
      <w:tr w:rsidR="00AA31B9" w:rsidRPr="003D1614" w14:paraId="462C3BEE" w14:textId="77777777" w:rsidTr="007478FB">
        <w:trPr>
          <w:trHeight w:val="235"/>
        </w:trPr>
        <w:tc>
          <w:tcPr>
            <w:tcW w:w="3889" w:type="dxa"/>
            <w:tcBorders>
              <w:top w:val="nil"/>
              <w:left w:val="nil"/>
              <w:bottom w:val="nil"/>
              <w:right w:val="nil"/>
            </w:tcBorders>
            <w:shd w:val="clear" w:color="auto" w:fill="auto"/>
            <w:vAlign w:val="bottom"/>
            <w:hideMark/>
          </w:tcPr>
          <w:p w14:paraId="74F689C1" w14:textId="5F87ADBF" w:rsidR="00AA31B9" w:rsidRPr="003D1614" w:rsidRDefault="00AA31B9" w:rsidP="00AA31B9">
            <w:pPr>
              <w:suppressAutoHyphens/>
              <w:autoSpaceDN w:val="0"/>
              <w:rPr>
                <w:rFonts w:ascii="Arial" w:eastAsia="Calibri" w:hAnsi="Arial" w:cs="Arial"/>
                <w:color w:val="000000" w:themeColor="text1"/>
                <w:sz w:val="18"/>
                <w:szCs w:val="18"/>
              </w:rPr>
            </w:pPr>
            <w:r w:rsidRPr="00AA31B9">
              <w:rPr>
                <w:rFonts w:ascii="Arial" w:eastAsia="Calibri" w:hAnsi="Arial" w:cs="Arial"/>
                <w:color w:val="000000" w:themeColor="text1"/>
                <w:sz w:val="18"/>
                <w:szCs w:val="18"/>
              </w:rPr>
              <w:t xml:space="preserve">Neto </w:t>
            </w:r>
            <w:r w:rsidR="007227AA">
              <w:rPr>
                <w:rFonts w:ascii="Arial" w:eastAsia="Calibri" w:hAnsi="Arial" w:cs="Arial"/>
                <w:color w:val="000000" w:themeColor="text1"/>
                <w:sz w:val="18"/>
                <w:szCs w:val="18"/>
              </w:rPr>
              <w:t>(</w:t>
            </w:r>
            <w:r w:rsidRPr="00AA31B9">
              <w:rPr>
                <w:rFonts w:ascii="Arial" w:eastAsia="Calibri" w:hAnsi="Arial" w:cs="Arial"/>
                <w:color w:val="000000" w:themeColor="text1"/>
                <w:sz w:val="18"/>
                <w:szCs w:val="18"/>
              </w:rPr>
              <w:t>smanjenje</w:t>
            </w:r>
            <w:r w:rsidR="007227AA">
              <w:rPr>
                <w:rFonts w:ascii="Arial" w:eastAsia="Calibri" w:hAnsi="Arial" w:cs="Arial"/>
                <w:color w:val="000000" w:themeColor="text1"/>
                <w:sz w:val="18"/>
                <w:szCs w:val="18"/>
              </w:rPr>
              <w:t>)</w:t>
            </w:r>
            <w:r w:rsidRPr="003D1614">
              <w:rPr>
                <w:rFonts w:ascii="Arial" w:eastAsia="Calibri" w:hAnsi="Arial" w:cs="Arial"/>
                <w:color w:val="000000" w:themeColor="text1"/>
                <w:sz w:val="18"/>
                <w:szCs w:val="18"/>
              </w:rPr>
              <w:t xml:space="preserve"> rezerviranja za očekivane gubitke </w:t>
            </w:r>
          </w:p>
        </w:tc>
        <w:tc>
          <w:tcPr>
            <w:tcW w:w="1098" w:type="dxa"/>
            <w:shd w:val="clear" w:color="auto" w:fill="auto"/>
            <w:vAlign w:val="bottom"/>
          </w:tcPr>
          <w:p w14:paraId="310FB344" w14:textId="4156DEB5" w:rsidR="00AA31B9" w:rsidRPr="003D1614" w:rsidRDefault="000C1321" w:rsidP="00AA31B9">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(19)</w:t>
            </w:r>
          </w:p>
        </w:tc>
        <w:tc>
          <w:tcPr>
            <w:tcW w:w="1089" w:type="dxa"/>
            <w:shd w:val="clear" w:color="auto" w:fill="auto"/>
            <w:vAlign w:val="bottom"/>
          </w:tcPr>
          <w:p w14:paraId="425CFECF" w14:textId="3CAAA6A3" w:rsidR="00AA31B9" w:rsidRPr="003D1614" w:rsidRDefault="000C1321" w:rsidP="00AA31B9">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89" w:type="dxa"/>
            <w:shd w:val="clear" w:color="auto" w:fill="auto"/>
            <w:vAlign w:val="bottom"/>
          </w:tcPr>
          <w:p w14:paraId="04A83381" w14:textId="79C78FBB" w:rsidR="00AA31B9" w:rsidRPr="003D1614" w:rsidRDefault="000C1321" w:rsidP="00AA31B9">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84" w:type="dxa"/>
            <w:shd w:val="clear" w:color="auto" w:fill="auto"/>
            <w:vAlign w:val="bottom"/>
          </w:tcPr>
          <w:p w14:paraId="43CC8958" w14:textId="77E1F4F0" w:rsidR="00AA31B9" w:rsidRPr="003D1614" w:rsidRDefault="000C1321" w:rsidP="00AA31B9">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162" w:type="dxa"/>
            <w:shd w:val="clear" w:color="auto" w:fill="auto"/>
            <w:vAlign w:val="bottom"/>
          </w:tcPr>
          <w:p w14:paraId="18BDD8A0" w14:textId="675166B3" w:rsidR="00AA31B9" w:rsidRPr="0028715F" w:rsidRDefault="000C1321" w:rsidP="00AA31B9">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(19)</w:t>
            </w:r>
          </w:p>
        </w:tc>
      </w:tr>
      <w:tr w:rsidR="00AA31B9" w:rsidRPr="003D1614" w14:paraId="329045CD" w14:textId="77777777" w:rsidTr="007478FB">
        <w:trPr>
          <w:trHeight w:val="172"/>
        </w:trPr>
        <w:tc>
          <w:tcPr>
            <w:tcW w:w="3889" w:type="dxa"/>
            <w:tcBorders>
              <w:top w:val="nil"/>
              <w:left w:val="nil"/>
              <w:bottom w:val="nil"/>
              <w:right w:val="nil"/>
            </w:tcBorders>
            <w:shd w:val="clear" w:color="auto" w:fill="auto"/>
            <w:vAlign w:val="bottom"/>
            <w:hideMark/>
          </w:tcPr>
          <w:p w14:paraId="717788C4" w14:textId="61705B58" w:rsidR="00AA31B9" w:rsidRPr="003D1614" w:rsidRDefault="00AA31B9" w:rsidP="00AA31B9">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 xml:space="preserve">Stanje </w:t>
            </w:r>
            <w:r w:rsidRPr="00A2708A">
              <w:rPr>
                <w:rFonts w:ascii="Arial" w:eastAsia="Calibri" w:hAnsi="Arial" w:cs="Arial"/>
                <w:b/>
                <w:bCs/>
                <w:color w:val="000000" w:themeColor="text1"/>
                <w:sz w:val="18"/>
                <w:szCs w:val="18"/>
              </w:rPr>
              <w:t>30. rujna 202</w:t>
            </w:r>
            <w:r w:rsidR="00B00FA0">
              <w:rPr>
                <w:rFonts w:ascii="Arial" w:eastAsia="Calibri" w:hAnsi="Arial" w:cs="Arial"/>
                <w:b/>
                <w:bCs/>
                <w:color w:val="000000" w:themeColor="text1"/>
                <w:sz w:val="18"/>
                <w:szCs w:val="18"/>
              </w:rPr>
              <w:t>4</w:t>
            </w:r>
            <w:r w:rsidRPr="00A2708A">
              <w:rPr>
                <w:rFonts w:ascii="Arial" w:eastAsia="Calibri" w:hAnsi="Arial" w:cs="Arial"/>
                <w:b/>
                <w:bCs/>
                <w:color w:val="000000" w:themeColor="text1"/>
                <w:sz w:val="18"/>
                <w:szCs w:val="18"/>
              </w:rPr>
              <w:t>.</w:t>
            </w:r>
          </w:p>
        </w:tc>
        <w:tc>
          <w:tcPr>
            <w:tcW w:w="1098" w:type="dxa"/>
            <w:tcBorders>
              <w:top w:val="single" w:sz="4" w:space="0" w:color="auto"/>
              <w:left w:val="nil"/>
              <w:bottom w:val="single" w:sz="12" w:space="0" w:color="auto"/>
              <w:right w:val="nil"/>
            </w:tcBorders>
            <w:shd w:val="clear" w:color="auto" w:fill="auto"/>
            <w:vAlign w:val="bottom"/>
          </w:tcPr>
          <w:p w14:paraId="11C6AC5C" w14:textId="6FE899A4" w:rsidR="00AA31B9" w:rsidRPr="003D1614" w:rsidRDefault="000C1321" w:rsidP="00AA31B9">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140</w:t>
            </w:r>
          </w:p>
        </w:tc>
        <w:tc>
          <w:tcPr>
            <w:tcW w:w="1089" w:type="dxa"/>
            <w:tcBorders>
              <w:top w:val="single" w:sz="4" w:space="0" w:color="auto"/>
              <w:left w:val="nil"/>
              <w:bottom w:val="single" w:sz="12" w:space="0" w:color="auto"/>
              <w:right w:val="nil"/>
            </w:tcBorders>
            <w:shd w:val="clear" w:color="auto" w:fill="auto"/>
            <w:vAlign w:val="bottom"/>
          </w:tcPr>
          <w:p w14:paraId="0DCF014B" w14:textId="495B23D6" w:rsidR="00AA31B9" w:rsidRPr="005B7C30" w:rsidRDefault="000C1321" w:rsidP="00AA31B9">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c>
          <w:tcPr>
            <w:tcW w:w="1089" w:type="dxa"/>
            <w:tcBorders>
              <w:top w:val="single" w:sz="4" w:space="0" w:color="auto"/>
              <w:left w:val="nil"/>
              <w:bottom w:val="single" w:sz="12" w:space="0" w:color="auto"/>
              <w:right w:val="nil"/>
            </w:tcBorders>
            <w:shd w:val="clear" w:color="auto" w:fill="auto"/>
            <w:vAlign w:val="bottom"/>
          </w:tcPr>
          <w:p w14:paraId="597152BE" w14:textId="487A9AF0" w:rsidR="00AA31B9" w:rsidRPr="005B7C30" w:rsidRDefault="000C1321" w:rsidP="00AA31B9">
            <w:pPr>
              <w:suppressAutoHyphens/>
              <w:autoSpaceDN w:val="0"/>
              <w:jc w:val="right"/>
              <w:rPr>
                <w:rFonts w:ascii="Arial" w:eastAsia="Calibri" w:hAnsi="Arial" w:cs="Arial"/>
                <w:b/>
                <w:bCs/>
                <w:sz w:val="18"/>
                <w:szCs w:val="18"/>
              </w:rPr>
            </w:pPr>
            <w:r>
              <w:rPr>
                <w:rFonts w:ascii="Arial" w:eastAsia="Calibri" w:hAnsi="Arial" w:cs="Arial"/>
                <w:b/>
                <w:bCs/>
                <w:sz w:val="18"/>
                <w:szCs w:val="18"/>
              </w:rPr>
              <w:t>-</w:t>
            </w:r>
          </w:p>
        </w:tc>
        <w:tc>
          <w:tcPr>
            <w:tcW w:w="1084" w:type="dxa"/>
            <w:tcBorders>
              <w:top w:val="single" w:sz="4" w:space="0" w:color="auto"/>
              <w:left w:val="nil"/>
              <w:bottom w:val="single" w:sz="12" w:space="0" w:color="auto"/>
              <w:right w:val="nil"/>
            </w:tcBorders>
            <w:shd w:val="clear" w:color="auto" w:fill="auto"/>
            <w:vAlign w:val="bottom"/>
          </w:tcPr>
          <w:p w14:paraId="6B801B36" w14:textId="2296CCFE" w:rsidR="00AA31B9" w:rsidRPr="005B7C30" w:rsidRDefault="000C1321" w:rsidP="00AA31B9">
            <w:pPr>
              <w:suppressAutoHyphens/>
              <w:autoSpaceDN w:val="0"/>
              <w:jc w:val="right"/>
              <w:rPr>
                <w:rFonts w:ascii="Arial" w:eastAsia="Calibri" w:hAnsi="Arial" w:cs="Arial"/>
                <w:b/>
                <w:bCs/>
                <w:sz w:val="18"/>
                <w:szCs w:val="18"/>
              </w:rPr>
            </w:pPr>
            <w:r>
              <w:rPr>
                <w:rFonts w:ascii="Arial" w:eastAsia="Calibri" w:hAnsi="Arial" w:cs="Arial"/>
                <w:b/>
                <w:bCs/>
                <w:sz w:val="18"/>
                <w:szCs w:val="18"/>
              </w:rPr>
              <w:t>-</w:t>
            </w:r>
          </w:p>
        </w:tc>
        <w:tc>
          <w:tcPr>
            <w:tcW w:w="1162" w:type="dxa"/>
            <w:tcBorders>
              <w:top w:val="single" w:sz="4" w:space="0" w:color="auto"/>
              <w:left w:val="nil"/>
              <w:bottom w:val="single" w:sz="12" w:space="0" w:color="auto"/>
              <w:right w:val="nil"/>
            </w:tcBorders>
            <w:shd w:val="clear" w:color="auto" w:fill="auto"/>
            <w:vAlign w:val="bottom"/>
          </w:tcPr>
          <w:p w14:paraId="2CA0DECE" w14:textId="14E72DB5" w:rsidR="00AA31B9" w:rsidRPr="0028715F" w:rsidRDefault="000C1321" w:rsidP="00AA31B9">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140</w:t>
            </w:r>
          </w:p>
        </w:tc>
      </w:tr>
    </w:tbl>
    <w:p w14:paraId="63D28F74" w14:textId="77777777" w:rsidR="00D92646" w:rsidRPr="003D1614" w:rsidRDefault="00D92646" w:rsidP="00D92646">
      <w:pPr>
        <w:suppressAutoHyphens/>
        <w:autoSpaceDN w:val="0"/>
        <w:rPr>
          <w:rFonts w:ascii="Arial" w:eastAsia="Calibri" w:hAnsi="Arial" w:cs="Arial"/>
          <w:color w:val="000000" w:themeColor="text1"/>
          <w:sz w:val="20"/>
          <w:szCs w:val="20"/>
        </w:rPr>
      </w:pPr>
    </w:p>
    <w:p w14:paraId="1909CAF4" w14:textId="1E0EA754" w:rsidR="003278AB" w:rsidRDefault="003278AB" w:rsidP="001A0FCB">
      <w:pPr>
        <w:suppressAutoHyphens/>
        <w:autoSpaceDN w:val="0"/>
        <w:jc w:val="both"/>
        <w:rPr>
          <w:rFonts w:ascii="Arial" w:eastAsia="Times New Roman" w:hAnsi="Arial" w:cs="Arial"/>
          <w:color w:val="000000" w:themeColor="text1"/>
          <w:sz w:val="20"/>
          <w:szCs w:val="20"/>
        </w:rPr>
      </w:pPr>
    </w:p>
    <w:tbl>
      <w:tblPr>
        <w:tblW w:w="9411" w:type="dxa"/>
        <w:tblInd w:w="-142" w:type="dxa"/>
        <w:tblLook w:val="04A0" w:firstRow="1" w:lastRow="0" w:firstColumn="1" w:lastColumn="0" w:noHBand="0" w:noVBand="1"/>
      </w:tblPr>
      <w:tblGrid>
        <w:gridCol w:w="3889"/>
        <w:gridCol w:w="1098"/>
        <w:gridCol w:w="1089"/>
        <w:gridCol w:w="1089"/>
        <w:gridCol w:w="1084"/>
        <w:gridCol w:w="1162"/>
      </w:tblGrid>
      <w:tr w:rsidR="005F2985" w:rsidRPr="001B015B" w14:paraId="4F9B4838" w14:textId="77777777" w:rsidTr="0034622E">
        <w:trPr>
          <w:trHeight w:val="164"/>
        </w:trPr>
        <w:tc>
          <w:tcPr>
            <w:tcW w:w="3889" w:type="dxa"/>
            <w:tcBorders>
              <w:top w:val="nil"/>
              <w:left w:val="nil"/>
              <w:bottom w:val="nil"/>
              <w:right w:val="nil"/>
            </w:tcBorders>
            <w:shd w:val="clear" w:color="auto" w:fill="auto"/>
            <w:vAlign w:val="center"/>
          </w:tcPr>
          <w:p w14:paraId="5EB9189E" w14:textId="77777777" w:rsidR="005F2985" w:rsidRPr="001B015B" w:rsidRDefault="005F2985" w:rsidP="0034622E">
            <w:pPr>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 xml:space="preserve">Grupa </w:t>
            </w:r>
          </w:p>
        </w:tc>
        <w:tc>
          <w:tcPr>
            <w:tcW w:w="1098" w:type="dxa"/>
            <w:tcBorders>
              <w:top w:val="nil"/>
              <w:left w:val="nil"/>
              <w:bottom w:val="nil"/>
              <w:right w:val="nil"/>
            </w:tcBorders>
            <w:shd w:val="clear" w:color="auto" w:fill="auto"/>
            <w:vAlign w:val="center"/>
          </w:tcPr>
          <w:p w14:paraId="7DF24202" w14:textId="77777777" w:rsidR="005F2985" w:rsidRPr="001B015B" w:rsidRDefault="005F2985" w:rsidP="0034622E">
            <w:pPr>
              <w:jc w:val="right"/>
              <w:rPr>
                <w:rFonts w:ascii="Arial" w:eastAsia="Calibri" w:hAnsi="Arial" w:cs="Arial"/>
                <w:b/>
                <w:bCs/>
                <w:color w:val="000000" w:themeColor="text1"/>
                <w:sz w:val="18"/>
                <w:szCs w:val="18"/>
              </w:rPr>
            </w:pPr>
          </w:p>
        </w:tc>
        <w:tc>
          <w:tcPr>
            <w:tcW w:w="1089" w:type="dxa"/>
            <w:tcBorders>
              <w:top w:val="nil"/>
              <w:left w:val="nil"/>
              <w:bottom w:val="nil"/>
              <w:right w:val="nil"/>
            </w:tcBorders>
            <w:shd w:val="clear" w:color="auto" w:fill="auto"/>
            <w:vAlign w:val="center"/>
          </w:tcPr>
          <w:p w14:paraId="51DB340C" w14:textId="77777777" w:rsidR="005F2985" w:rsidRPr="001B015B" w:rsidRDefault="005F2985" w:rsidP="0034622E">
            <w:pPr>
              <w:jc w:val="right"/>
              <w:rPr>
                <w:rFonts w:ascii="Arial" w:eastAsia="Calibri" w:hAnsi="Arial" w:cs="Arial"/>
                <w:b/>
                <w:bCs/>
                <w:color w:val="000000" w:themeColor="text1"/>
                <w:sz w:val="18"/>
                <w:szCs w:val="18"/>
              </w:rPr>
            </w:pPr>
          </w:p>
        </w:tc>
        <w:tc>
          <w:tcPr>
            <w:tcW w:w="1089" w:type="dxa"/>
            <w:tcBorders>
              <w:top w:val="nil"/>
              <w:left w:val="nil"/>
              <w:bottom w:val="nil"/>
              <w:right w:val="nil"/>
            </w:tcBorders>
            <w:shd w:val="clear" w:color="auto" w:fill="auto"/>
            <w:vAlign w:val="center"/>
          </w:tcPr>
          <w:p w14:paraId="61688ACC" w14:textId="77777777" w:rsidR="005F2985" w:rsidRPr="001B015B" w:rsidRDefault="005F2985" w:rsidP="0034622E">
            <w:pPr>
              <w:jc w:val="right"/>
              <w:rPr>
                <w:rFonts w:ascii="Arial" w:eastAsia="Calibri" w:hAnsi="Arial" w:cs="Arial"/>
                <w:b/>
                <w:bCs/>
                <w:color w:val="000000" w:themeColor="text1"/>
                <w:sz w:val="18"/>
                <w:szCs w:val="18"/>
              </w:rPr>
            </w:pPr>
          </w:p>
        </w:tc>
        <w:tc>
          <w:tcPr>
            <w:tcW w:w="1084" w:type="dxa"/>
            <w:tcBorders>
              <w:top w:val="nil"/>
              <w:left w:val="nil"/>
              <w:bottom w:val="nil"/>
              <w:right w:val="nil"/>
            </w:tcBorders>
            <w:shd w:val="clear" w:color="auto" w:fill="auto"/>
            <w:vAlign w:val="center"/>
          </w:tcPr>
          <w:p w14:paraId="02A1972B" w14:textId="77777777" w:rsidR="005F2985" w:rsidRPr="001B015B" w:rsidRDefault="005F2985" w:rsidP="0034622E">
            <w:pPr>
              <w:jc w:val="right"/>
              <w:rPr>
                <w:rFonts w:ascii="Arial" w:eastAsia="Calibri" w:hAnsi="Arial" w:cs="Arial"/>
                <w:b/>
                <w:bCs/>
                <w:color w:val="000000" w:themeColor="text1"/>
                <w:sz w:val="18"/>
                <w:szCs w:val="18"/>
              </w:rPr>
            </w:pPr>
          </w:p>
        </w:tc>
        <w:tc>
          <w:tcPr>
            <w:tcW w:w="1162" w:type="dxa"/>
            <w:tcBorders>
              <w:top w:val="nil"/>
              <w:left w:val="nil"/>
              <w:bottom w:val="nil"/>
              <w:right w:val="nil"/>
            </w:tcBorders>
            <w:shd w:val="clear" w:color="auto" w:fill="auto"/>
            <w:vAlign w:val="center"/>
          </w:tcPr>
          <w:p w14:paraId="0C31050C" w14:textId="77777777" w:rsidR="005F2985" w:rsidRPr="001B015B" w:rsidRDefault="005F2985" w:rsidP="0034622E">
            <w:pPr>
              <w:jc w:val="right"/>
              <w:rPr>
                <w:rFonts w:ascii="Arial" w:eastAsia="Calibri" w:hAnsi="Arial" w:cs="Arial"/>
                <w:b/>
                <w:bCs/>
                <w:color w:val="000000" w:themeColor="text1"/>
                <w:sz w:val="18"/>
                <w:szCs w:val="18"/>
              </w:rPr>
            </w:pPr>
          </w:p>
        </w:tc>
      </w:tr>
      <w:tr w:rsidR="005F2985" w:rsidRPr="001B015B" w14:paraId="17EEA91E" w14:textId="77777777" w:rsidTr="0034622E">
        <w:trPr>
          <w:trHeight w:val="164"/>
        </w:trPr>
        <w:tc>
          <w:tcPr>
            <w:tcW w:w="3889" w:type="dxa"/>
            <w:tcBorders>
              <w:top w:val="nil"/>
              <w:left w:val="nil"/>
              <w:bottom w:val="nil"/>
              <w:right w:val="nil"/>
            </w:tcBorders>
            <w:shd w:val="clear" w:color="auto" w:fill="auto"/>
            <w:vAlign w:val="center"/>
            <w:hideMark/>
          </w:tcPr>
          <w:p w14:paraId="132E7948" w14:textId="77777777" w:rsidR="005F2985" w:rsidRPr="001B015B" w:rsidRDefault="005F2985" w:rsidP="0034622E">
            <w:pPr>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31. prosinca 202</w:t>
            </w:r>
            <w:r>
              <w:rPr>
                <w:rFonts w:ascii="Arial" w:eastAsia="Calibri" w:hAnsi="Arial" w:cs="Arial"/>
                <w:b/>
                <w:bCs/>
                <w:color w:val="000000" w:themeColor="text1"/>
                <w:sz w:val="18"/>
                <w:szCs w:val="18"/>
              </w:rPr>
              <w:t>3</w:t>
            </w:r>
            <w:r w:rsidRPr="001B015B">
              <w:rPr>
                <w:rFonts w:ascii="Arial" w:eastAsia="Calibri" w:hAnsi="Arial" w:cs="Arial"/>
                <w:b/>
                <w:bCs/>
                <w:color w:val="000000" w:themeColor="text1"/>
                <w:sz w:val="18"/>
                <w:szCs w:val="18"/>
              </w:rPr>
              <w:t>.</w:t>
            </w:r>
          </w:p>
        </w:tc>
        <w:tc>
          <w:tcPr>
            <w:tcW w:w="1098" w:type="dxa"/>
            <w:tcBorders>
              <w:top w:val="nil"/>
              <w:left w:val="nil"/>
              <w:bottom w:val="nil"/>
              <w:right w:val="nil"/>
            </w:tcBorders>
            <w:shd w:val="clear" w:color="auto" w:fill="auto"/>
            <w:vAlign w:val="center"/>
            <w:hideMark/>
          </w:tcPr>
          <w:p w14:paraId="78EF8DC1" w14:textId="77777777" w:rsidR="005F2985" w:rsidRPr="001B015B" w:rsidRDefault="005F2985" w:rsidP="0034622E">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Stupanj 1</w:t>
            </w:r>
          </w:p>
        </w:tc>
        <w:tc>
          <w:tcPr>
            <w:tcW w:w="1089" w:type="dxa"/>
            <w:tcBorders>
              <w:top w:val="nil"/>
              <w:left w:val="nil"/>
              <w:bottom w:val="nil"/>
              <w:right w:val="nil"/>
            </w:tcBorders>
            <w:shd w:val="clear" w:color="auto" w:fill="auto"/>
            <w:vAlign w:val="center"/>
            <w:hideMark/>
          </w:tcPr>
          <w:p w14:paraId="191E13B6" w14:textId="77777777" w:rsidR="005F2985" w:rsidRPr="001B015B" w:rsidRDefault="005F2985" w:rsidP="0034622E">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Stupanj 2</w:t>
            </w:r>
          </w:p>
        </w:tc>
        <w:tc>
          <w:tcPr>
            <w:tcW w:w="1089" w:type="dxa"/>
            <w:tcBorders>
              <w:top w:val="nil"/>
              <w:left w:val="nil"/>
              <w:bottom w:val="nil"/>
              <w:right w:val="nil"/>
            </w:tcBorders>
            <w:shd w:val="clear" w:color="auto" w:fill="auto"/>
            <w:vAlign w:val="center"/>
            <w:hideMark/>
          </w:tcPr>
          <w:p w14:paraId="31E6E47E" w14:textId="77777777" w:rsidR="005F2985" w:rsidRPr="001B015B" w:rsidRDefault="005F2985" w:rsidP="0034622E">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Stupanj 3</w:t>
            </w:r>
          </w:p>
        </w:tc>
        <w:tc>
          <w:tcPr>
            <w:tcW w:w="1084" w:type="dxa"/>
            <w:tcBorders>
              <w:top w:val="nil"/>
              <w:left w:val="nil"/>
              <w:bottom w:val="nil"/>
              <w:right w:val="nil"/>
            </w:tcBorders>
            <w:shd w:val="clear" w:color="auto" w:fill="auto"/>
            <w:vAlign w:val="center"/>
            <w:hideMark/>
          </w:tcPr>
          <w:p w14:paraId="01D8722B" w14:textId="77777777" w:rsidR="005F2985" w:rsidRPr="001B015B" w:rsidRDefault="005F2985" w:rsidP="0034622E">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POCI</w:t>
            </w:r>
          </w:p>
        </w:tc>
        <w:tc>
          <w:tcPr>
            <w:tcW w:w="1162" w:type="dxa"/>
            <w:tcBorders>
              <w:top w:val="nil"/>
              <w:left w:val="nil"/>
              <w:bottom w:val="nil"/>
              <w:right w:val="nil"/>
            </w:tcBorders>
            <w:shd w:val="clear" w:color="auto" w:fill="auto"/>
            <w:vAlign w:val="center"/>
            <w:hideMark/>
          </w:tcPr>
          <w:p w14:paraId="67A09E88" w14:textId="77777777" w:rsidR="005F2985" w:rsidRPr="001B015B" w:rsidRDefault="005F2985" w:rsidP="0034622E">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Ukupno</w:t>
            </w:r>
          </w:p>
        </w:tc>
      </w:tr>
      <w:tr w:rsidR="005F2985" w:rsidRPr="001B015B" w14:paraId="0E1634EC" w14:textId="77777777" w:rsidTr="0034622E">
        <w:trPr>
          <w:trHeight w:val="164"/>
        </w:trPr>
        <w:tc>
          <w:tcPr>
            <w:tcW w:w="3889" w:type="dxa"/>
            <w:tcBorders>
              <w:top w:val="nil"/>
              <w:left w:val="nil"/>
              <w:bottom w:val="nil"/>
              <w:right w:val="nil"/>
            </w:tcBorders>
            <w:shd w:val="clear" w:color="auto" w:fill="auto"/>
            <w:vAlign w:val="center"/>
            <w:hideMark/>
          </w:tcPr>
          <w:p w14:paraId="39DAA8FC" w14:textId="77777777" w:rsidR="005F2985" w:rsidRPr="001B015B" w:rsidRDefault="005F2985" w:rsidP="0034622E">
            <w:pPr>
              <w:jc w:val="right"/>
              <w:rPr>
                <w:rFonts w:ascii="Arial" w:eastAsia="Calibri" w:hAnsi="Arial" w:cs="Arial"/>
                <w:b/>
                <w:bCs/>
                <w:color w:val="000000" w:themeColor="text1"/>
                <w:sz w:val="18"/>
                <w:szCs w:val="18"/>
              </w:rPr>
            </w:pPr>
          </w:p>
        </w:tc>
        <w:tc>
          <w:tcPr>
            <w:tcW w:w="1098" w:type="dxa"/>
            <w:tcBorders>
              <w:top w:val="nil"/>
              <w:left w:val="nil"/>
              <w:bottom w:val="nil"/>
              <w:right w:val="nil"/>
            </w:tcBorders>
            <w:shd w:val="clear" w:color="auto" w:fill="auto"/>
            <w:vAlign w:val="center"/>
            <w:hideMark/>
          </w:tcPr>
          <w:p w14:paraId="14919129" w14:textId="77777777" w:rsidR="005F2985" w:rsidRPr="001B015B" w:rsidRDefault="005F2985" w:rsidP="0034622E">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 xml:space="preserve">000 </w:t>
            </w:r>
            <w:r>
              <w:rPr>
                <w:rFonts w:ascii="Arial" w:eastAsia="Calibri" w:hAnsi="Arial" w:cs="Arial"/>
                <w:b/>
                <w:bCs/>
                <w:color w:val="000000" w:themeColor="text1"/>
                <w:sz w:val="18"/>
                <w:szCs w:val="18"/>
              </w:rPr>
              <w:t>eur</w:t>
            </w:r>
            <w:r w:rsidRPr="001B015B">
              <w:rPr>
                <w:rFonts w:ascii="Arial" w:eastAsia="Calibri" w:hAnsi="Arial" w:cs="Arial"/>
                <w:b/>
                <w:bCs/>
                <w:color w:val="000000" w:themeColor="text1"/>
                <w:sz w:val="18"/>
                <w:szCs w:val="18"/>
              </w:rPr>
              <w:t>a</w:t>
            </w:r>
          </w:p>
        </w:tc>
        <w:tc>
          <w:tcPr>
            <w:tcW w:w="1089" w:type="dxa"/>
            <w:tcBorders>
              <w:top w:val="nil"/>
              <w:left w:val="nil"/>
              <w:bottom w:val="nil"/>
              <w:right w:val="nil"/>
            </w:tcBorders>
            <w:shd w:val="clear" w:color="auto" w:fill="auto"/>
            <w:vAlign w:val="center"/>
            <w:hideMark/>
          </w:tcPr>
          <w:p w14:paraId="2F7A7B8E" w14:textId="77777777" w:rsidR="005F2985" w:rsidRPr="001B015B" w:rsidRDefault="005F2985" w:rsidP="0034622E">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 xml:space="preserve">000 </w:t>
            </w:r>
            <w:r>
              <w:rPr>
                <w:rFonts w:ascii="Arial" w:eastAsia="Calibri" w:hAnsi="Arial" w:cs="Arial"/>
                <w:b/>
                <w:bCs/>
                <w:color w:val="000000" w:themeColor="text1"/>
                <w:sz w:val="18"/>
                <w:szCs w:val="18"/>
              </w:rPr>
              <w:t>eur</w:t>
            </w:r>
            <w:r w:rsidRPr="001B015B">
              <w:rPr>
                <w:rFonts w:ascii="Arial" w:eastAsia="Calibri" w:hAnsi="Arial" w:cs="Arial"/>
                <w:b/>
                <w:bCs/>
                <w:color w:val="000000" w:themeColor="text1"/>
                <w:sz w:val="18"/>
                <w:szCs w:val="18"/>
              </w:rPr>
              <w:t>a</w:t>
            </w:r>
          </w:p>
        </w:tc>
        <w:tc>
          <w:tcPr>
            <w:tcW w:w="1089" w:type="dxa"/>
            <w:tcBorders>
              <w:top w:val="nil"/>
              <w:left w:val="nil"/>
              <w:bottom w:val="nil"/>
              <w:right w:val="nil"/>
            </w:tcBorders>
            <w:shd w:val="clear" w:color="auto" w:fill="auto"/>
            <w:vAlign w:val="center"/>
            <w:hideMark/>
          </w:tcPr>
          <w:p w14:paraId="08E2D021" w14:textId="77777777" w:rsidR="005F2985" w:rsidRPr="001B015B" w:rsidRDefault="005F2985" w:rsidP="0034622E">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 xml:space="preserve">000 </w:t>
            </w:r>
            <w:r>
              <w:rPr>
                <w:rFonts w:ascii="Arial" w:eastAsia="Calibri" w:hAnsi="Arial" w:cs="Arial"/>
                <w:b/>
                <w:bCs/>
                <w:color w:val="000000" w:themeColor="text1"/>
                <w:sz w:val="18"/>
                <w:szCs w:val="18"/>
              </w:rPr>
              <w:t>eur</w:t>
            </w:r>
            <w:r w:rsidRPr="001B015B">
              <w:rPr>
                <w:rFonts w:ascii="Arial" w:eastAsia="Calibri" w:hAnsi="Arial" w:cs="Arial"/>
                <w:b/>
                <w:bCs/>
                <w:color w:val="000000" w:themeColor="text1"/>
                <w:sz w:val="18"/>
                <w:szCs w:val="18"/>
              </w:rPr>
              <w:t>a</w:t>
            </w:r>
          </w:p>
        </w:tc>
        <w:tc>
          <w:tcPr>
            <w:tcW w:w="1084" w:type="dxa"/>
            <w:tcBorders>
              <w:top w:val="nil"/>
              <w:left w:val="nil"/>
              <w:bottom w:val="nil"/>
              <w:right w:val="nil"/>
            </w:tcBorders>
            <w:shd w:val="clear" w:color="auto" w:fill="auto"/>
            <w:vAlign w:val="center"/>
            <w:hideMark/>
          </w:tcPr>
          <w:p w14:paraId="005737CA" w14:textId="77777777" w:rsidR="005F2985" w:rsidRPr="001B015B" w:rsidRDefault="005F2985" w:rsidP="0034622E">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 xml:space="preserve">000 </w:t>
            </w:r>
            <w:r>
              <w:rPr>
                <w:rFonts w:ascii="Arial" w:eastAsia="Calibri" w:hAnsi="Arial" w:cs="Arial"/>
                <w:b/>
                <w:bCs/>
                <w:color w:val="000000" w:themeColor="text1"/>
                <w:sz w:val="18"/>
                <w:szCs w:val="18"/>
              </w:rPr>
              <w:t>eur</w:t>
            </w:r>
            <w:r w:rsidRPr="001B015B">
              <w:rPr>
                <w:rFonts w:ascii="Arial" w:eastAsia="Calibri" w:hAnsi="Arial" w:cs="Arial"/>
                <w:b/>
                <w:bCs/>
                <w:color w:val="000000" w:themeColor="text1"/>
                <w:sz w:val="18"/>
                <w:szCs w:val="18"/>
              </w:rPr>
              <w:t>a</w:t>
            </w:r>
          </w:p>
        </w:tc>
        <w:tc>
          <w:tcPr>
            <w:tcW w:w="1162" w:type="dxa"/>
            <w:tcBorders>
              <w:top w:val="nil"/>
              <w:left w:val="nil"/>
              <w:bottom w:val="nil"/>
              <w:right w:val="nil"/>
            </w:tcBorders>
            <w:shd w:val="clear" w:color="auto" w:fill="auto"/>
            <w:vAlign w:val="center"/>
            <w:hideMark/>
          </w:tcPr>
          <w:p w14:paraId="2D0403E5" w14:textId="77777777" w:rsidR="005F2985" w:rsidRPr="001B015B" w:rsidRDefault="005F2985" w:rsidP="0034622E">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 xml:space="preserve">000 </w:t>
            </w:r>
            <w:r>
              <w:rPr>
                <w:rFonts w:ascii="Arial" w:eastAsia="Calibri" w:hAnsi="Arial" w:cs="Arial"/>
                <w:b/>
                <w:bCs/>
                <w:color w:val="000000" w:themeColor="text1"/>
                <w:sz w:val="18"/>
                <w:szCs w:val="18"/>
              </w:rPr>
              <w:t>eur</w:t>
            </w:r>
            <w:r w:rsidRPr="001B015B">
              <w:rPr>
                <w:rFonts w:ascii="Arial" w:eastAsia="Calibri" w:hAnsi="Arial" w:cs="Arial"/>
                <w:b/>
                <w:bCs/>
                <w:color w:val="000000" w:themeColor="text1"/>
                <w:sz w:val="18"/>
                <w:szCs w:val="18"/>
              </w:rPr>
              <w:t>a</w:t>
            </w:r>
          </w:p>
        </w:tc>
      </w:tr>
      <w:tr w:rsidR="005F2985" w:rsidRPr="001B015B" w14:paraId="2BFCF82D" w14:textId="77777777" w:rsidTr="0034622E">
        <w:trPr>
          <w:trHeight w:val="164"/>
        </w:trPr>
        <w:tc>
          <w:tcPr>
            <w:tcW w:w="3889" w:type="dxa"/>
            <w:tcBorders>
              <w:top w:val="nil"/>
              <w:left w:val="nil"/>
              <w:bottom w:val="nil"/>
              <w:right w:val="nil"/>
            </w:tcBorders>
            <w:shd w:val="clear" w:color="auto" w:fill="auto"/>
            <w:vAlign w:val="center"/>
          </w:tcPr>
          <w:p w14:paraId="04F9039A" w14:textId="77777777" w:rsidR="005F2985" w:rsidRPr="001B015B" w:rsidRDefault="005F2985" w:rsidP="0034622E">
            <w:pPr>
              <w:jc w:val="right"/>
              <w:rPr>
                <w:rFonts w:ascii="Arial" w:eastAsia="Calibri" w:hAnsi="Arial" w:cs="Arial"/>
                <w:b/>
                <w:bCs/>
                <w:color w:val="000000" w:themeColor="text1"/>
                <w:sz w:val="18"/>
                <w:szCs w:val="18"/>
              </w:rPr>
            </w:pPr>
          </w:p>
        </w:tc>
        <w:tc>
          <w:tcPr>
            <w:tcW w:w="1098" w:type="dxa"/>
            <w:tcBorders>
              <w:top w:val="nil"/>
              <w:left w:val="nil"/>
              <w:bottom w:val="nil"/>
              <w:right w:val="nil"/>
            </w:tcBorders>
            <w:shd w:val="clear" w:color="auto" w:fill="auto"/>
            <w:vAlign w:val="center"/>
          </w:tcPr>
          <w:p w14:paraId="600BD175" w14:textId="77777777" w:rsidR="005F2985" w:rsidRPr="001B015B" w:rsidRDefault="005F2985" w:rsidP="0034622E">
            <w:pPr>
              <w:jc w:val="right"/>
              <w:rPr>
                <w:rFonts w:ascii="Arial" w:eastAsia="Calibri" w:hAnsi="Arial" w:cs="Arial"/>
                <w:b/>
                <w:bCs/>
                <w:color w:val="000000" w:themeColor="text1"/>
                <w:sz w:val="18"/>
                <w:szCs w:val="18"/>
              </w:rPr>
            </w:pPr>
          </w:p>
        </w:tc>
        <w:tc>
          <w:tcPr>
            <w:tcW w:w="1089" w:type="dxa"/>
            <w:tcBorders>
              <w:top w:val="nil"/>
              <w:left w:val="nil"/>
              <w:bottom w:val="nil"/>
              <w:right w:val="nil"/>
            </w:tcBorders>
            <w:shd w:val="clear" w:color="auto" w:fill="auto"/>
            <w:vAlign w:val="center"/>
          </w:tcPr>
          <w:p w14:paraId="406F5D48" w14:textId="77777777" w:rsidR="005F2985" w:rsidRPr="001B015B" w:rsidRDefault="005F2985" w:rsidP="0034622E">
            <w:pPr>
              <w:jc w:val="right"/>
              <w:rPr>
                <w:rFonts w:ascii="Arial" w:eastAsia="Calibri" w:hAnsi="Arial" w:cs="Arial"/>
                <w:b/>
                <w:bCs/>
                <w:color w:val="000000" w:themeColor="text1"/>
                <w:sz w:val="18"/>
                <w:szCs w:val="18"/>
              </w:rPr>
            </w:pPr>
          </w:p>
        </w:tc>
        <w:tc>
          <w:tcPr>
            <w:tcW w:w="1089" w:type="dxa"/>
            <w:tcBorders>
              <w:top w:val="nil"/>
              <w:left w:val="nil"/>
              <w:bottom w:val="nil"/>
              <w:right w:val="nil"/>
            </w:tcBorders>
            <w:shd w:val="clear" w:color="auto" w:fill="auto"/>
            <w:vAlign w:val="center"/>
          </w:tcPr>
          <w:p w14:paraId="0B5A5C97" w14:textId="77777777" w:rsidR="005F2985" w:rsidRPr="001B015B" w:rsidRDefault="005F2985" w:rsidP="0034622E">
            <w:pPr>
              <w:jc w:val="right"/>
              <w:rPr>
                <w:rFonts w:ascii="Arial" w:eastAsia="Calibri" w:hAnsi="Arial" w:cs="Arial"/>
                <w:b/>
                <w:bCs/>
                <w:color w:val="000000" w:themeColor="text1"/>
                <w:sz w:val="18"/>
                <w:szCs w:val="18"/>
              </w:rPr>
            </w:pPr>
          </w:p>
        </w:tc>
        <w:tc>
          <w:tcPr>
            <w:tcW w:w="1084" w:type="dxa"/>
            <w:tcBorders>
              <w:top w:val="nil"/>
              <w:left w:val="nil"/>
              <w:bottom w:val="nil"/>
              <w:right w:val="nil"/>
            </w:tcBorders>
            <w:shd w:val="clear" w:color="auto" w:fill="auto"/>
            <w:vAlign w:val="center"/>
          </w:tcPr>
          <w:p w14:paraId="249EC0A2" w14:textId="77777777" w:rsidR="005F2985" w:rsidRPr="001B015B" w:rsidRDefault="005F2985" w:rsidP="0034622E">
            <w:pPr>
              <w:jc w:val="right"/>
              <w:rPr>
                <w:rFonts w:ascii="Arial" w:eastAsia="Calibri" w:hAnsi="Arial" w:cs="Arial"/>
                <w:b/>
                <w:bCs/>
                <w:color w:val="000000" w:themeColor="text1"/>
                <w:sz w:val="18"/>
                <w:szCs w:val="18"/>
              </w:rPr>
            </w:pPr>
          </w:p>
        </w:tc>
        <w:tc>
          <w:tcPr>
            <w:tcW w:w="1162" w:type="dxa"/>
            <w:tcBorders>
              <w:top w:val="nil"/>
              <w:left w:val="nil"/>
              <w:bottom w:val="nil"/>
              <w:right w:val="nil"/>
            </w:tcBorders>
            <w:shd w:val="clear" w:color="auto" w:fill="auto"/>
            <w:vAlign w:val="center"/>
          </w:tcPr>
          <w:p w14:paraId="7950CE08" w14:textId="77777777" w:rsidR="005F2985" w:rsidRPr="001B015B" w:rsidRDefault="005F2985" w:rsidP="0034622E">
            <w:pPr>
              <w:jc w:val="right"/>
              <w:rPr>
                <w:rFonts w:ascii="Arial" w:eastAsia="Calibri" w:hAnsi="Arial" w:cs="Arial"/>
                <w:b/>
                <w:bCs/>
                <w:color w:val="000000" w:themeColor="text1"/>
                <w:sz w:val="18"/>
                <w:szCs w:val="18"/>
              </w:rPr>
            </w:pPr>
          </w:p>
        </w:tc>
      </w:tr>
      <w:tr w:rsidR="005F2985" w:rsidRPr="001B015B" w14:paraId="4CBFA83C" w14:textId="77777777" w:rsidTr="0034622E">
        <w:trPr>
          <w:trHeight w:val="164"/>
        </w:trPr>
        <w:tc>
          <w:tcPr>
            <w:tcW w:w="3889" w:type="dxa"/>
            <w:tcBorders>
              <w:top w:val="nil"/>
              <w:left w:val="nil"/>
              <w:bottom w:val="nil"/>
              <w:right w:val="nil"/>
            </w:tcBorders>
            <w:shd w:val="clear" w:color="auto" w:fill="auto"/>
            <w:vAlign w:val="center"/>
            <w:hideMark/>
          </w:tcPr>
          <w:p w14:paraId="22C9A626" w14:textId="77777777" w:rsidR="005F2985" w:rsidRPr="001B015B" w:rsidRDefault="005F2985" w:rsidP="0034622E">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Stanje 1. siječnja 202</w:t>
            </w:r>
            <w:r>
              <w:rPr>
                <w:rFonts w:ascii="Arial" w:eastAsia="Calibri" w:hAnsi="Arial" w:cs="Arial"/>
                <w:color w:val="000000" w:themeColor="text1"/>
                <w:sz w:val="18"/>
                <w:szCs w:val="18"/>
              </w:rPr>
              <w:t>3</w:t>
            </w:r>
            <w:r w:rsidRPr="001B015B">
              <w:rPr>
                <w:rFonts w:ascii="Arial" w:eastAsia="Calibri" w:hAnsi="Arial" w:cs="Arial"/>
                <w:color w:val="000000" w:themeColor="text1"/>
                <w:sz w:val="18"/>
                <w:szCs w:val="18"/>
              </w:rPr>
              <w:t xml:space="preserve">. </w:t>
            </w:r>
          </w:p>
        </w:tc>
        <w:tc>
          <w:tcPr>
            <w:tcW w:w="1098" w:type="dxa"/>
            <w:shd w:val="clear" w:color="auto" w:fill="auto"/>
          </w:tcPr>
          <w:p w14:paraId="2CF7C471" w14:textId="77777777" w:rsidR="005F2985" w:rsidRPr="001B015B" w:rsidRDefault="005F2985" w:rsidP="0034622E">
            <w:pPr>
              <w:jc w:val="right"/>
              <w:rPr>
                <w:rFonts w:ascii="Arial" w:eastAsia="Calibri" w:hAnsi="Arial" w:cs="Arial"/>
                <w:color w:val="000000" w:themeColor="text1"/>
                <w:sz w:val="18"/>
                <w:szCs w:val="18"/>
              </w:rPr>
            </w:pPr>
            <w:r w:rsidRPr="00067DF8">
              <w:rPr>
                <w:rFonts w:ascii="Arial" w:eastAsia="Calibri" w:hAnsi="Arial" w:cs="Arial"/>
                <w:color w:val="000000" w:themeColor="text1"/>
                <w:sz w:val="18"/>
                <w:szCs w:val="18"/>
              </w:rPr>
              <w:t>805</w:t>
            </w:r>
          </w:p>
        </w:tc>
        <w:tc>
          <w:tcPr>
            <w:tcW w:w="1089" w:type="dxa"/>
            <w:tcBorders>
              <w:top w:val="nil"/>
              <w:left w:val="nil"/>
              <w:bottom w:val="nil"/>
              <w:right w:val="nil"/>
            </w:tcBorders>
            <w:shd w:val="clear" w:color="auto" w:fill="auto"/>
            <w:vAlign w:val="center"/>
          </w:tcPr>
          <w:p w14:paraId="3837E537" w14:textId="77777777" w:rsidR="005F2985" w:rsidRPr="001B015B" w:rsidRDefault="005F2985" w:rsidP="0034622E">
            <w:pPr>
              <w:jc w:val="right"/>
              <w:rPr>
                <w:rFonts w:ascii="Arial" w:eastAsia="Calibri" w:hAnsi="Arial" w:cs="Arial"/>
                <w:color w:val="000000" w:themeColor="text1"/>
                <w:sz w:val="18"/>
                <w:szCs w:val="18"/>
              </w:rPr>
            </w:pPr>
            <w:r w:rsidRPr="00E157E0">
              <w:rPr>
                <w:rFonts w:ascii="Arial" w:hAnsi="Arial" w:cs="Arial"/>
                <w:sz w:val="18"/>
                <w:szCs w:val="18"/>
              </w:rPr>
              <w:t xml:space="preserve">               - </w:t>
            </w:r>
          </w:p>
        </w:tc>
        <w:tc>
          <w:tcPr>
            <w:tcW w:w="1089" w:type="dxa"/>
            <w:tcBorders>
              <w:top w:val="nil"/>
              <w:left w:val="nil"/>
              <w:bottom w:val="nil"/>
              <w:right w:val="nil"/>
            </w:tcBorders>
            <w:shd w:val="clear" w:color="auto" w:fill="auto"/>
            <w:vAlign w:val="center"/>
          </w:tcPr>
          <w:p w14:paraId="5361315E" w14:textId="77777777" w:rsidR="005F2985" w:rsidRPr="001B015B" w:rsidRDefault="005F2985" w:rsidP="0034622E">
            <w:pPr>
              <w:jc w:val="right"/>
              <w:rPr>
                <w:rFonts w:ascii="Arial" w:eastAsia="Calibri" w:hAnsi="Arial" w:cs="Arial"/>
                <w:color w:val="000000" w:themeColor="text1"/>
                <w:sz w:val="18"/>
                <w:szCs w:val="18"/>
              </w:rPr>
            </w:pPr>
            <w:r w:rsidRPr="00E157E0">
              <w:rPr>
                <w:rFonts w:ascii="Arial" w:hAnsi="Arial" w:cs="Arial"/>
                <w:sz w:val="18"/>
                <w:szCs w:val="18"/>
              </w:rPr>
              <w:t xml:space="preserve">               - </w:t>
            </w:r>
          </w:p>
        </w:tc>
        <w:tc>
          <w:tcPr>
            <w:tcW w:w="1084" w:type="dxa"/>
            <w:tcBorders>
              <w:top w:val="nil"/>
              <w:left w:val="nil"/>
              <w:bottom w:val="nil"/>
              <w:right w:val="nil"/>
            </w:tcBorders>
            <w:shd w:val="clear" w:color="auto" w:fill="auto"/>
            <w:vAlign w:val="center"/>
          </w:tcPr>
          <w:p w14:paraId="52AFBA70" w14:textId="77777777" w:rsidR="005F2985" w:rsidRPr="001B015B" w:rsidRDefault="005F2985" w:rsidP="0034622E">
            <w:pPr>
              <w:jc w:val="right"/>
              <w:rPr>
                <w:rFonts w:ascii="Arial" w:eastAsia="Calibri" w:hAnsi="Arial" w:cs="Arial"/>
                <w:color w:val="000000" w:themeColor="text1"/>
                <w:sz w:val="18"/>
                <w:szCs w:val="18"/>
              </w:rPr>
            </w:pPr>
            <w:r w:rsidRPr="00E157E0">
              <w:rPr>
                <w:rFonts w:ascii="Arial" w:hAnsi="Arial" w:cs="Arial"/>
                <w:sz w:val="18"/>
                <w:szCs w:val="18"/>
              </w:rPr>
              <w:t xml:space="preserve">               - </w:t>
            </w:r>
          </w:p>
        </w:tc>
        <w:tc>
          <w:tcPr>
            <w:tcW w:w="1162" w:type="dxa"/>
            <w:shd w:val="clear" w:color="auto" w:fill="auto"/>
          </w:tcPr>
          <w:p w14:paraId="3A904BFB" w14:textId="77777777" w:rsidR="005F2985" w:rsidRPr="00F959D0" w:rsidRDefault="005F2985" w:rsidP="0034622E">
            <w:pPr>
              <w:jc w:val="right"/>
              <w:rPr>
                <w:rFonts w:ascii="Arial" w:eastAsia="Calibri" w:hAnsi="Arial" w:cs="Arial"/>
                <w:b/>
                <w:bCs/>
                <w:color w:val="000000" w:themeColor="text1"/>
                <w:sz w:val="18"/>
                <w:szCs w:val="18"/>
              </w:rPr>
            </w:pPr>
            <w:r w:rsidRPr="00F959D0">
              <w:rPr>
                <w:rFonts w:ascii="Arial" w:eastAsia="Calibri" w:hAnsi="Arial" w:cs="Arial"/>
                <w:b/>
                <w:bCs/>
                <w:color w:val="000000" w:themeColor="text1"/>
                <w:sz w:val="18"/>
                <w:szCs w:val="18"/>
              </w:rPr>
              <w:t>805</w:t>
            </w:r>
          </w:p>
        </w:tc>
      </w:tr>
      <w:tr w:rsidR="005F2985" w:rsidRPr="001B015B" w14:paraId="5B356349" w14:textId="77777777" w:rsidTr="0034622E">
        <w:trPr>
          <w:trHeight w:val="164"/>
        </w:trPr>
        <w:tc>
          <w:tcPr>
            <w:tcW w:w="3889" w:type="dxa"/>
            <w:tcBorders>
              <w:top w:val="nil"/>
              <w:left w:val="nil"/>
              <w:bottom w:val="nil"/>
              <w:right w:val="nil"/>
            </w:tcBorders>
            <w:shd w:val="clear" w:color="auto" w:fill="auto"/>
            <w:vAlign w:val="center"/>
            <w:hideMark/>
          </w:tcPr>
          <w:p w14:paraId="6FA5EDA5" w14:textId="77777777" w:rsidR="005F2985" w:rsidRPr="001B015B" w:rsidRDefault="005F2985" w:rsidP="0034622E">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Prijenos u Stupanj 1</w:t>
            </w:r>
          </w:p>
        </w:tc>
        <w:tc>
          <w:tcPr>
            <w:tcW w:w="1098" w:type="dxa"/>
            <w:shd w:val="clear" w:color="auto" w:fill="auto"/>
            <w:vAlign w:val="bottom"/>
          </w:tcPr>
          <w:p w14:paraId="4B9AC9B4" w14:textId="77777777" w:rsidR="005F2985" w:rsidRPr="001B015B" w:rsidRDefault="005F2985" w:rsidP="0034622E">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89" w:type="dxa"/>
            <w:tcBorders>
              <w:top w:val="nil"/>
              <w:left w:val="nil"/>
              <w:bottom w:val="nil"/>
              <w:right w:val="nil"/>
            </w:tcBorders>
            <w:shd w:val="clear" w:color="auto" w:fill="auto"/>
            <w:vAlign w:val="center"/>
          </w:tcPr>
          <w:p w14:paraId="0C38D47D" w14:textId="77777777" w:rsidR="005F2985" w:rsidRPr="001B015B" w:rsidRDefault="005F2985" w:rsidP="0034622E">
            <w:pPr>
              <w:jc w:val="right"/>
              <w:rPr>
                <w:rFonts w:ascii="Arial" w:eastAsia="Calibri" w:hAnsi="Arial" w:cs="Arial"/>
                <w:color w:val="000000" w:themeColor="text1"/>
                <w:sz w:val="18"/>
                <w:szCs w:val="18"/>
              </w:rPr>
            </w:pPr>
            <w:r w:rsidRPr="00E157E0">
              <w:rPr>
                <w:rFonts w:ascii="Arial" w:hAnsi="Arial" w:cs="Arial"/>
                <w:sz w:val="18"/>
                <w:szCs w:val="18"/>
              </w:rPr>
              <w:t xml:space="preserve">               - </w:t>
            </w:r>
          </w:p>
        </w:tc>
        <w:tc>
          <w:tcPr>
            <w:tcW w:w="1089" w:type="dxa"/>
            <w:tcBorders>
              <w:top w:val="nil"/>
              <w:left w:val="nil"/>
              <w:bottom w:val="nil"/>
              <w:right w:val="nil"/>
            </w:tcBorders>
            <w:shd w:val="clear" w:color="auto" w:fill="auto"/>
            <w:vAlign w:val="center"/>
          </w:tcPr>
          <w:p w14:paraId="7B3C6792" w14:textId="77777777" w:rsidR="005F2985" w:rsidRPr="001B015B" w:rsidRDefault="005F2985" w:rsidP="0034622E">
            <w:pPr>
              <w:jc w:val="right"/>
              <w:rPr>
                <w:rFonts w:ascii="Arial" w:eastAsia="Calibri" w:hAnsi="Arial" w:cs="Arial"/>
                <w:color w:val="000000" w:themeColor="text1"/>
                <w:sz w:val="18"/>
                <w:szCs w:val="18"/>
              </w:rPr>
            </w:pPr>
            <w:r w:rsidRPr="00E157E0">
              <w:rPr>
                <w:rFonts w:ascii="Arial" w:hAnsi="Arial" w:cs="Arial"/>
                <w:sz w:val="18"/>
                <w:szCs w:val="18"/>
              </w:rPr>
              <w:t xml:space="preserve">               - </w:t>
            </w:r>
          </w:p>
        </w:tc>
        <w:tc>
          <w:tcPr>
            <w:tcW w:w="1084" w:type="dxa"/>
            <w:tcBorders>
              <w:top w:val="nil"/>
              <w:left w:val="nil"/>
              <w:bottom w:val="nil"/>
              <w:right w:val="nil"/>
            </w:tcBorders>
            <w:shd w:val="clear" w:color="auto" w:fill="auto"/>
            <w:vAlign w:val="center"/>
          </w:tcPr>
          <w:p w14:paraId="575E33AA" w14:textId="77777777" w:rsidR="005F2985" w:rsidRPr="001B015B" w:rsidRDefault="005F2985" w:rsidP="0034622E">
            <w:pPr>
              <w:jc w:val="right"/>
              <w:rPr>
                <w:rFonts w:ascii="Arial" w:eastAsia="Calibri" w:hAnsi="Arial" w:cs="Arial"/>
                <w:color w:val="000000" w:themeColor="text1"/>
                <w:sz w:val="18"/>
                <w:szCs w:val="18"/>
              </w:rPr>
            </w:pPr>
            <w:r w:rsidRPr="00E157E0">
              <w:rPr>
                <w:rFonts w:ascii="Arial" w:hAnsi="Arial" w:cs="Arial"/>
                <w:sz w:val="18"/>
                <w:szCs w:val="18"/>
              </w:rPr>
              <w:t xml:space="preserve">               - </w:t>
            </w:r>
          </w:p>
        </w:tc>
        <w:tc>
          <w:tcPr>
            <w:tcW w:w="1162" w:type="dxa"/>
            <w:shd w:val="clear" w:color="auto" w:fill="auto"/>
            <w:vAlign w:val="bottom"/>
          </w:tcPr>
          <w:p w14:paraId="53F0E2B0" w14:textId="77777777" w:rsidR="005F2985" w:rsidRPr="00F959D0" w:rsidRDefault="005F2985" w:rsidP="0034622E">
            <w:pPr>
              <w:jc w:val="right"/>
              <w:rPr>
                <w:rFonts w:ascii="Arial" w:eastAsia="Calibri" w:hAnsi="Arial" w:cs="Arial"/>
                <w:b/>
                <w:bCs/>
                <w:color w:val="000000" w:themeColor="text1"/>
                <w:sz w:val="18"/>
                <w:szCs w:val="18"/>
              </w:rPr>
            </w:pPr>
            <w:r w:rsidRPr="00F959D0">
              <w:rPr>
                <w:rFonts w:ascii="Arial" w:eastAsia="Calibri" w:hAnsi="Arial" w:cs="Arial"/>
                <w:b/>
                <w:bCs/>
                <w:color w:val="000000" w:themeColor="text1"/>
                <w:sz w:val="18"/>
                <w:szCs w:val="18"/>
              </w:rPr>
              <w:t>-</w:t>
            </w:r>
          </w:p>
        </w:tc>
      </w:tr>
      <w:tr w:rsidR="005F2985" w:rsidRPr="001B015B" w14:paraId="3E5A28C2" w14:textId="77777777" w:rsidTr="0034622E">
        <w:trPr>
          <w:trHeight w:val="164"/>
        </w:trPr>
        <w:tc>
          <w:tcPr>
            <w:tcW w:w="3889" w:type="dxa"/>
            <w:tcBorders>
              <w:top w:val="nil"/>
              <w:left w:val="nil"/>
              <w:bottom w:val="nil"/>
              <w:right w:val="nil"/>
            </w:tcBorders>
            <w:shd w:val="clear" w:color="auto" w:fill="auto"/>
            <w:vAlign w:val="center"/>
          </w:tcPr>
          <w:p w14:paraId="2A2ED032" w14:textId="77777777" w:rsidR="005F2985" w:rsidRPr="001B015B" w:rsidRDefault="005F2985" w:rsidP="0034622E">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Prijenos u Stupanj 2</w:t>
            </w:r>
          </w:p>
        </w:tc>
        <w:tc>
          <w:tcPr>
            <w:tcW w:w="1098" w:type="dxa"/>
            <w:shd w:val="clear" w:color="auto" w:fill="auto"/>
            <w:vAlign w:val="bottom"/>
          </w:tcPr>
          <w:p w14:paraId="60F5DE7C" w14:textId="77777777" w:rsidR="005F2985" w:rsidRPr="001B015B" w:rsidRDefault="005F2985" w:rsidP="0034622E">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89" w:type="dxa"/>
            <w:tcBorders>
              <w:top w:val="nil"/>
              <w:left w:val="nil"/>
              <w:bottom w:val="nil"/>
              <w:right w:val="nil"/>
            </w:tcBorders>
            <w:shd w:val="clear" w:color="auto" w:fill="auto"/>
            <w:vAlign w:val="center"/>
          </w:tcPr>
          <w:p w14:paraId="53653075" w14:textId="77777777" w:rsidR="005F2985" w:rsidRPr="001B015B" w:rsidRDefault="005F2985" w:rsidP="0034622E">
            <w:pPr>
              <w:jc w:val="right"/>
              <w:rPr>
                <w:rFonts w:ascii="Arial" w:eastAsia="Calibri" w:hAnsi="Arial" w:cs="Arial"/>
                <w:color w:val="000000" w:themeColor="text1"/>
                <w:sz w:val="18"/>
                <w:szCs w:val="18"/>
              </w:rPr>
            </w:pPr>
            <w:r w:rsidRPr="00E157E0">
              <w:rPr>
                <w:rFonts w:ascii="Arial" w:hAnsi="Arial" w:cs="Arial"/>
                <w:sz w:val="18"/>
                <w:szCs w:val="18"/>
              </w:rPr>
              <w:t xml:space="preserve">               - </w:t>
            </w:r>
          </w:p>
        </w:tc>
        <w:tc>
          <w:tcPr>
            <w:tcW w:w="1089" w:type="dxa"/>
            <w:tcBorders>
              <w:top w:val="nil"/>
              <w:left w:val="nil"/>
              <w:bottom w:val="nil"/>
              <w:right w:val="nil"/>
            </w:tcBorders>
            <w:shd w:val="clear" w:color="auto" w:fill="auto"/>
            <w:vAlign w:val="center"/>
          </w:tcPr>
          <w:p w14:paraId="6C00EA8B" w14:textId="77777777" w:rsidR="005F2985" w:rsidRPr="001B015B" w:rsidRDefault="005F2985" w:rsidP="0034622E">
            <w:pPr>
              <w:jc w:val="right"/>
              <w:rPr>
                <w:rFonts w:ascii="Arial" w:eastAsia="Calibri" w:hAnsi="Arial" w:cs="Arial"/>
                <w:color w:val="000000" w:themeColor="text1"/>
                <w:sz w:val="18"/>
                <w:szCs w:val="18"/>
              </w:rPr>
            </w:pPr>
            <w:r w:rsidRPr="00E157E0">
              <w:rPr>
                <w:rFonts w:ascii="Arial" w:hAnsi="Arial" w:cs="Arial"/>
                <w:sz w:val="18"/>
                <w:szCs w:val="18"/>
              </w:rPr>
              <w:t xml:space="preserve">               - </w:t>
            </w:r>
          </w:p>
        </w:tc>
        <w:tc>
          <w:tcPr>
            <w:tcW w:w="1084" w:type="dxa"/>
            <w:tcBorders>
              <w:top w:val="nil"/>
              <w:left w:val="nil"/>
              <w:bottom w:val="nil"/>
              <w:right w:val="nil"/>
            </w:tcBorders>
            <w:shd w:val="clear" w:color="auto" w:fill="auto"/>
            <w:vAlign w:val="center"/>
          </w:tcPr>
          <w:p w14:paraId="7A32C1DD" w14:textId="77777777" w:rsidR="005F2985" w:rsidRPr="001B015B" w:rsidRDefault="005F2985" w:rsidP="0034622E">
            <w:pPr>
              <w:jc w:val="right"/>
              <w:rPr>
                <w:rFonts w:ascii="Arial" w:eastAsia="Calibri" w:hAnsi="Arial" w:cs="Arial"/>
                <w:color w:val="000000" w:themeColor="text1"/>
                <w:sz w:val="18"/>
                <w:szCs w:val="18"/>
              </w:rPr>
            </w:pPr>
            <w:r w:rsidRPr="00E157E0">
              <w:rPr>
                <w:rFonts w:ascii="Arial" w:hAnsi="Arial" w:cs="Arial"/>
                <w:sz w:val="18"/>
                <w:szCs w:val="18"/>
              </w:rPr>
              <w:t xml:space="preserve">               - </w:t>
            </w:r>
          </w:p>
        </w:tc>
        <w:tc>
          <w:tcPr>
            <w:tcW w:w="1162" w:type="dxa"/>
            <w:shd w:val="clear" w:color="auto" w:fill="auto"/>
            <w:vAlign w:val="bottom"/>
          </w:tcPr>
          <w:p w14:paraId="084446BB" w14:textId="77777777" w:rsidR="005F2985" w:rsidRPr="00F959D0" w:rsidRDefault="005F2985" w:rsidP="0034622E">
            <w:pPr>
              <w:jc w:val="right"/>
              <w:rPr>
                <w:rFonts w:ascii="Arial" w:eastAsia="Calibri" w:hAnsi="Arial" w:cs="Arial"/>
                <w:b/>
                <w:bCs/>
                <w:color w:val="000000" w:themeColor="text1"/>
                <w:sz w:val="18"/>
                <w:szCs w:val="18"/>
              </w:rPr>
            </w:pPr>
            <w:r w:rsidRPr="00F959D0">
              <w:rPr>
                <w:rFonts w:ascii="Arial" w:eastAsia="Calibri" w:hAnsi="Arial" w:cs="Arial"/>
                <w:b/>
                <w:bCs/>
                <w:color w:val="000000" w:themeColor="text1"/>
                <w:sz w:val="18"/>
                <w:szCs w:val="18"/>
              </w:rPr>
              <w:t>-</w:t>
            </w:r>
          </w:p>
        </w:tc>
      </w:tr>
      <w:tr w:rsidR="005F2985" w:rsidRPr="001B015B" w14:paraId="1618F8A3" w14:textId="77777777" w:rsidTr="0028715F">
        <w:trPr>
          <w:trHeight w:val="164"/>
        </w:trPr>
        <w:tc>
          <w:tcPr>
            <w:tcW w:w="3889" w:type="dxa"/>
            <w:tcBorders>
              <w:top w:val="nil"/>
              <w:left w:val="nil"/>
              <w:bottom w:val="nil"/>
              <w:right w:val="nil"/>
            </w:tcBorders>
            <w:shd w:val="clear" w:color="auto" w:fill="auto"/>
            <w:vAlign w:val="center"/>
          </w:tcPr>
          <w:p w14:paraId="23DA767E" w14:textId="77777777" w:rsidR="005F2985" w:rsidRPr="001B015B" w:rsidRDefault="005F2985" w:rsidP="0034622E">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Prijenos u Stupanj 3</w:t>
            </w:r>
          </w:p>
        </w:tc>
        <w:tc>
          <w:tcPr>
            <w:tcW w:w="1098" w:type="dxa"/>
            <w:shd w:val="clear" w:color="auto" w:fill="auto"/>
            <w:vAlign w:val="bottom"/>
          </w:tcPr>
          <w:p w14:paraId="0F00755A" w14:textId="77777777" w:rsidR="005F2985" w:rsidRPr="001B015B" w:rsidRDefault="005F2985" w:rsidP="0034622E">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89" w:type="dxa"/>
            <w:tcBorders>
              <w:top w:val="nil"/>
              <w:left w:val="nil"/>
              <w:right w:val="nil"/>
            </w:tcBorders>
            <w:shd w:val="clear" w:color="auto" w:fill="auto"/>
            <w:vAlign w:val="center"/>
          </w:tcPr>
          <w:p w14:paraId="1FA2AC4E" w14:textId="77777777" w:rsidR="005F2985" w:rsidRPr="001B015B" w:rsidRDefault="005F2985" w:rsidP="0034622E">
            <w:pPr>
              <w:jc w:val="right"/>
              <w:rPr>
                <w:rFonts w:ascii="Arial" w:eastAsia="Calibri" w:hAnsi="Arial" w:cs="Arial"/>
                <w:color w:val="000000" w:themeColor="text1"/>
                <w:sz w:val="18"/>
                <w:szCs w:val="18"/>
              </w:rPr>
            </w:pPr>
            <w:r w:rsidRPr="00E157E0">
              <w:rPr>
                <w:rFonts w:ascii="Arial" w:hAnsi="Arial" w:cs="Arial"/>
                <w:sz w:val="18"/>
                <w:szCs w:val="18"/>
              </w:rPr>
              <w:t xml:space="preserve">               - </w:t>
            </w:r>
          </w:p>
        </w:tc>
        <w:tc>
          <w:tcPr>
            <w:tcW w:w="1089" w:type="dxa"/>
            <w:tcBorders>
              <w:top w:val="nil"/>
              <w:left w:val="nil"/>
              <w:right w:val="nil"/>
            </w:tcBorders>
            <w:shd w:val="clear" w:color="auto" w:fill="auto"/>
            <w:vAlign w:val="center"/>
          </w:tcPr>
          <w:p w14:paraId="3EB8DF10" w14:textId="77777777" w:rsidR="005F2985" w:rsidRPr="001B015B" w:rsidRDefault="005F2985" w:rsidP="0034622E">
            <w:pPr>
              <w:jc w:val="right"/>
              <w:rPr>
                <w:rFonts w:ascii="Arial" w:eastAsia="Calibri" w:hAnsi="Arial" w:cs="Arial"/>
                <w:color w:val="000000" w:themeColor="text1"/>
                <w:sz w:val="18"/>
                <w:szCs w:val="18"/>
              </w:rPr>
            </w:pPr>
            <w:r w:rsidRPr="00E157E0">
              <w:rPr>
                <w:rFonts w:ascii="Arial" w:hAnsi="Arial" w:cs="Arial"/>
                <w:sz w:val="18"/>
                <w:szCs w:val="18"/>
              </w:rPr>
              <w:t xml:space="preserve">               - </w:t>
            </w:r>
          </w:p>
        </w:tc>
        <w:tc>
          <w:tcPr>
            <w:tcW w:w="1084" w:type="dxa"/>
            <w:tcBorders>
              <w:top w:val="nil"/>
              <w:left w:val="nil"/>
              <w:right w:val="nil"/>
            </w:tcBorders>
            <w:shd w:val="clear" w:color="auto" w:fill="auto"/>
            <w:vAlign w:val="center"/>
          </w:tcPr>
          <w:p w14:paraId="55524187" w14:textId="77777777" w:rsidR="005F2985" w:rsidRPr="001B015B" w:rsidRDefault="005F2985" w:rsidP="0034622E">
            <w:pPr>
              <w:jc w:val="right"/>
              <w:rPr>
                <w:rFonts w:ascii="Arial" w:eastAsia="Calibri" w:hAnsi="Arial" w:cs="Arial"/>
                <w:color w:val="000000" w:themeColor="text1"/>
                <w:sz w:val="18"/>
                <w:szCs w:val="18"/>
              </w:rPr>
            </w:pPr>
            <w:r w:rsidRPr="00E157E0">
              <w:rPr>
                <w:rFonts w:ascii="Arial" w:hAnsi="Arial" w:cs="Arial"/>
                <w:sz w:val="18"/>
                <w:szCs w:val="18"/>
              </w:rPr>
              <w:t xml:space="preserve">               - </w:t>
            </w:r>
          </w:p>
        </w:tc>
        <w:tc>
          <w:tcPr>
            <w:tcW w:w="1162" w:type="dxa"/>
            <w:shd w:val="clear" w:color="auto" w:fill="auto"/>
            <w:vAlign w:val="bottom"/>
          </w:tcPr>
          <w:p w14:paraId="4FA8B447" w14:textId="77777777" w:rsidR="005F2985" w:rsidRPr="00F959D0" w:rsidRDefault="005F2985" w:rsidP="0034622E">
            <w:pPr>
              <w:jc w:val="right"/>
              <w:rPr>
                <w:rFonts w:ascii="Arial" w:eastAsia="Calibri" w:hAnsi="Arial" w:cs="Arial"/>
                <w:b/>
                <w:bCs/>
                <w:color w:val="000000" w:themeColor="text1"/>
                <w:sz w:val="18"/>
                <w:szCs w:val="18"/>
              </w:rPr>
            </w:pPr>
            <w:r w:rsidRPr="00F959D0">
              <w:rPr>
                <w:rFonts w:ascii="Arial" w:eastAsia="Calibri" w:hAnsi="Arial" w:cs="Arial"/>
                <w:b/>
                <w:bCs/>
                <w:color w:val="000000" w:themeColor="text1"/>
                <w:sz w:val="18"/>
                <w:szCs w:val="18"/>
              </w:rPr>
              <w:t>-</w:t>
            </w:r>
          </w:p>
        </w:tc>
      </w:tr>
      <w:tr w:rsidR="005F2985" w:rsidRPr="001B015B" w14:paraId="1E680D17" w14:textId="77777777" w:rsidTr="0028715F">
        <w:trPr>
          <w:trHeight w:val="235"/>
        </w:trPr>
        <w:tc>
          <w:tcPr>
            <w:tcW w:w="3889" w:type="dxa"/>
            <w:tcBorders>
              <w:top w:val="nil"/>
              <w:left w:val="nil"/>
              <w:bottom w:val="nil"/>
              <w:right w:val="nil"/>
            </w:tcBorders>
            <w:shd w:val="clear" w:color="auto" w:fill="auto"/>
            <w:vAlign w:val="center"/>
            <w:hideMark/>
          </w:tcPr>
          <w:p w14:paraId="57074DD2" w14:textId="77777777" w:rsidR="005F2985" w:rsidRPr="001B015B" w:rsidRDefault="005F2985" w:rsidP="0034622E">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 xml:space="preserve">Neto </w:t>
            </w:r>
            <w:r>
              <w:rPr>
                <w:rFonts w:ascii="Arial" w:eastAsia="Calibri" w:hAnsi="Arial" w:cs="Arial"/>
                <w:color w:val="000000" w:themeColor="text1"/>
                <w:sz w:val="18"/>
                <w:szCs w:val="18"/>
              </w:rPr>
              <w:t>(smanjenje)</w:t>
            </w:r>
            <w:r w:rsidRPr="001B015B">
              <w:rPr>
                <w:rFonts w:ascii="Arial" w:eastAsia="Calibri" w:hAnsi="Arial" w:cs="Arial"/>
                <w:color w:val="000000" w:themeColor="text1"/>
                <w:sz w:val="18"/>
                <w:szCs w:val="18"/>
              </w:rPr>
              <w:t xml:space="preserve"> rezerviranja za očekivane gubitke </w:t>
            </w:r>
          </w:p>
        </w:tc>
        <w:tc>
          <w:tcPr>
            <w:tcW w:w="1098" w:type="dxa"/>
            <w:shd w:val="clear" w:color="auto" w:fill="auto"/>
            <w:vAlign w:val="bottom"/>
          </w:tcPr>
          <w:p w14:paraId="4E414B81" w14:textId="77777777" w:rsidR="005F2985" w:rsidRPr="001B015B" w:rsidRDefault="005F2985" w:rsidP="0034622E">
            <w:pPr>
              <w:jc w:val="right"/>
              <w:rPr>
                <w:rFonts w:ascii="Arial" w:eastAsia="Calibri" w:hAnsi="Arial" w:cs="Arial"/>
                <w:color w:val="000000" w:themeColor="text1"/>
                <w:sz w:val="18"/>
                <w:szCs w:val="18"/>
              </w:rPr>
            </w:pPr>
            <w:r w:rsidRPr="00067DF8">
              <w:rPr>
                <w:rFonts w:ascii="Arial" w:eastAsia="Calibri" w:hAnsi="Arial" w:cs="Arial"/>
                <w:color w:val="000000" w:themeColor="text1"/>
                <w:sz w:val="18"/>
                <w:szCs w:val="18"/>
              </w:rPr>
              <w:t>(646)</w:t>
            </w:r>
          </w:p>
        </w:tc>
        <w:tc>
          <w:tcPr>
            <w:tcW w:w="1089" w:type="dxa"/>
            <w:tcBorders>
              <w:top w:val="nil"/>
              <w:left w:val="nil"/>
              <w:bottom w:val="single" w:sz="4" w:space="0" w:color="auto"/>
              <w:right w:val="nil"/>
            </w:tcBorders>
            <w:shd w:val="clear" w:color="auto" w:fill="auto"/>
            <w:vAlign w:val="bottom"/>
          </w:tcPr>
          <w:p w14:paraId="39FA6204" w14:textId="77777777" w:rsidR="005F2985" w:rsidRPr="001B015B" w:rsidRDefault="005F2985" w:rsidP="0034622E">
            <w:pPr>
              <w:jc w:val="right"/>
              <w:rPr>
                <w:rFonts w:ascii="Arial" w:eastAsia="Calibri" w:hAnsi="Arial" w:cs="Arial"/>
                <w:color w:val="000000" w:themeColor="text1"/>
                <w:sz w:val="18"/>
                <w:szCs w:val="18"/>
              </w:rPr>
            </w:pPr>
            <w:r w:rsidRPr="00E157E0">
              <w:rPr>
                <w:rFonts w:ascii="Arial" w:hAnsi="Arial" w:cs="Arial"/>
                <w:sz w:val="18"/>
                <w:szCs w:val="18"/>
              </w:rPr>
              <w:t xml:space="preserve">               - </w:t>
            </w:r>
          </w:p>
        </w:tc>
        <w:tc>
          <w:tcPr>
            <w:tcW w:w="1089" w:type="dxa"/>
            <w:tcBorders>
              <w:top w:val="nil"/>
              <w:left w:val="nil"/>
              <w:bottom w:val="single" w:sz="4" w:space="0" w:color="auto"/>
              <w:right w:val="nil"/>
            </w:tcBorders>
            <w:shd w:val="clear" w:color="auto" w:fill="auto"/>
            <w:vAlign w:val="bottom"/>
          </w:tcPr>
          <w:p w14:paraId="558EF83C" w14:textId="77777777" w:rsidR="005F2985" w:rsidRPr="001B015B" w:rsidRDefault="005F2985" w:rsidP="0034622E">
            <w:pPr>
              <w:jc w:val="right"/>
              <w:rPr>
                <w:rFonts w:ascii="Arial" w:eastAsia="Calibri" w:hAnsi="Arial" w:cs="Arial"/>
                <w:color w:val="000000" w:themeColor="text1"/>
                <w:sz w:val="18"/>
                <w:szCs w:val="18"/>
              </w:rPr>
            </w:pPr>
            <w:r w:rsidRPr="00E157E0">
              <w:rPr>
                <w:rFonts w:ascii="Arial" w:hAnsi="Arial" w:cs="Arial"/>
                <w:sz w:val="18"/>
                <w:szCs w:val="18"/>
              </w:rPr>
              <w:t xml:space="preserve">               - </w:t>
            </w:r>
          </w:p>
        </w:tc>
        <w:tc>
          <w:tcPr>
            <w:tcW w:w="1084" w:type="dxa"/>
            <w:tcBorders>
              <w:top w:val="nil"/>
              <w:left w:val="nil"/>
              <w:bottom w:val="single" w:sz="4" w:space="0" w:color="auto"/>
              <w:right w:val="nil"/>
            </w:tcBorders>
            <w:shd w:val="clear" w:color="auto" w:fill="auto"/>
            <w:vAlign w:val="bottom"/>
          </w:tcPr>
          <w:p w14:paraId="68D60C42" w14:textId="77777777" w:rsidR="005F2985" w:rsidRPr="001B015B" w:rsidRDefault="005F2985" w:rsidP="0034622E">
            <w:pPr>
              <w:jc w:val="right"/>
              <w:rPr>
                <w:rFonts w:ascii="Arial" w:eastAsia="Calibri" w:hAnsi="Arial" w:cs="Arial"/>
                <w:color w:val="000000" w:themeColor="text1"/>
                <w:sz w:val="18"/>
                <w:szCs w:val="18"/>
              </w:rPr>
            </w:pPr>
            <w:r w:rsidRPr="00E157E0">
              <w:rPr>
                <w:rFonts w:ascii="Arial" w:hAnsi="Arial" w:cs="Arial"/>
                <w:sz w:val="18"/>
                <w:szCs w:val="18"/>
              </w:rPr>
              <w:t xml:space="preserve">               - </w:t>
            </w:r>
          </w:p>
        </w:tc>
        <w:tc>
          <w:tcPr>
            <w:tcW w:w="1162" w:type="dxa"/>
            <w:shd w:val="clear" w:color="auto" w:fill="auto"/>
            <w:vAlign w:val="bottom"/>
          </w:tcPr>
          <w:p w14:paraId="76A1207B" w14:textId="77777777" w:rsidR="005F2985" w:rsidRPr="00F959D0" w:rsidRDefault="005F2985" w:rsidP="0034622E">
            <w:pPr>
              <w:jc w:val="right"/>
              <w:rPr>
                <w:rFonts w:ascii="Arial" w:eastAsia="Calibri" w:hAnsi="Arial" w:cs="Arial"/>
                <w:b/>
                <w:bCs/>
                <w:color w:val="000000" w:themeColor="text1"/>
                <w:sz w:val="18"/>
                <w:szCs w:val="18"/>
              </w:rPr>
            </w:pPr>
            <w:r w:rsidRPr="00F959D0">
              <w:rPr>
                <w:rFonts w:ascii="Arial" w:eastAsia="Calibri" w:hAnsi="Arial" w:cs="Arial"/>
                <w:b/>
                <w:bCs/>
                <w:color w:val="000000" w:themeColor="text1"/>
                <w:sz w:val="18"/>
                <w:szCs w:val="18"/>
              </w:rPr>
              <w:t>(646)</w:t>
            </w:r>
          </w:p>
        </w:tc>
      </w:tr>
      <w:tr w:rsidR="005F2985" w:rsidRPr="001B015B" w14:paraId="332DFD2E" w14:textId="77777777" w:rsidTr="0028715F">
        <w:trPr>
          <w:trHeight w:val="172"/>
        </w:trPr>
        <w:tc>
          <w:tcPr>
            <w:tcW w:w="3889" w:type="dxa"/>
            <w:tcBorders>
              <w:top w:val="nil"/>
              <w:left w:val="nil"/>
              <w:bottom w:val="nil"/>
              <w:right w:val="nil"/>
            </w:tcBorders>
            <w:shd w:val="clear" w:color="auto" w:fill="auto"/>
            <w:vAlign w:val="bottom"/>
            <w:hideMark/>
          </w:tcPr>
          <w:p w14:paraId="18CAEF51" w14:textId="77777777" w:rsidR="005F2985" w:rsidRPr="001B015B" w:rsidRDefault="005F2985" w:rsidP="0034622E">
            <w:pPr>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Stanje 31. prosinca 202</w:t>
            </w:r>
            <w:r>
              <w:rPr>
                <w:rFonts w:ascii="Arial" w:eastAsia="Calibri" w:hAnsi="Arial" w:cs="Arial"/>
                <w:b/>
                <w:bCs/>
                <w:color w:val="000000" w:themeColor="text1"/>
                <w:sz w:val="18"/>
                <w:szCs w:val="18"/>
              </w:rPr>
              <w:t>3</w:t>
            </w:r>
            <w:r w:rsidRPr="001B015B">
              <w:rPr>
                <w:rFonts w:ascii="Arial" w:eastAsia="Calibri" w:hAnsi="Arial" w:cs="Arial"/>
                <w:b/>
                <w:bCs/>
                <w:color w:val="000000" w:themeColor="text1"/>
                <w:sz w:val="18"/>
                <w:szCs w:val="18"/>
              </w:rPr>
              <w:t>.</w:t>
            </w:r>
          </w:p>
        </w:tc>
        <w:tc>
          <w:tcPr>
            <w:tcW w:w="1098" w:type="dxa"/>
            <w:tcBorders>
              <w:top w:val="single" w:sz="4" w:space="0" w:color="auto"/>
              <w:left w:val="nil"/>
              <w:bottom w:val="single" w:sz="12" w:space="0" w:color="auto"/>
              <w:right w:val="nil"/>
            </w:tcBorders>
            <w:shd w:val="clear" w:color="auto" w:fill="auto"/>
          </w:tcPr>
          <w:p w14:paraId="3C4BC699" w14:textId="77777777" w:rsidR="005F2985" w:rsidRPr="001B015B" w:rsidRDefault="005F2985" w:rsidP="0034622E">
            <w:pPr>
              <w:jc w:val="right"/>
              <w:rPr>
                <w:rFonts w:ascii="Arial" w:eastAsia="Calibri" w:hAnsi="Arial" w:cs="Arial"/>
                <w:b/>
                <w:bCs/>
                <w:color w:val="000000" w:themeColor="text1"/>
                <w:sz w:val="18"/>
                <w:szCs w:val="18"/>
              </w:rPr>
            </w:pPr>
            <w:r w:rsidRPr="00067DF8">
              <w:rPr>
                <w:rFonts w:ascii="Arial" w:eastAsia="Calibri" w:hAnsi="Arial" w:cs="Arial"/>
                <w:b/>
                <w:bCs/>
                <w:color w:val="000000" w:themeColor="text1"/>
                <w:sz w:val="18"/>
                <w:szCs w:val="18"/>
              </w:rPr>
              <w:t>159</w:t>
            </w:r>
          </w:p>
        </w:tc>
        <w:tc>
          <w:tcPr>
            <w:tcW w:w="1089" w:type="dxa"/>
            <w:tcBorders>
              <w:top w:val="single" w:sz="4" w:space="0" w:color="auto"/>
              <w:left w:val="nil"/>
              <w:bottom w:val="single" w:sz="12" w:space="0" w:color="auto"/>
              <w:right w:val="nil"/>
            </w:tcBorders>
            <w:shd w:val="clear" w:color="auto" w:fill="auto"/>
            <w:vAlign w:val="center"/>
          </w:tcPr>
          <w:p w14:paraId="420EC30F" w14:textId="77777777" w:rsidR="005F2985" w:rsidRPr="001B015B" w:rsidRDefault="005F2985" w:rsidP="0034622E">
            <w:pPr>
              <w:jc w:val="right"/>
              <w:rPr>
                <w:rFonts w:ascii="Arial" w:eastAsia="Calibri" w:hAnsi="Arial" w:cs="Arial"/>
                <w:b/>
                <w:bCs/>
                <w:color w:val="000000" w:themeColor="text1"/>
                <w:sz w:val="18"/>
                <w:szCs w:val="18"/>
              </w:rPr>
            </w:pPr>
            <w:r w:rsidRPr="00E157E0">
              <w:rPr>
                <w:rFonts w:ascii="Arial" w:hAnsi="Arial" w:cs="Arial"/>
                <w:b/>
                <w:bCs/>
                <w:sz w:val="18"/>
                <w:szCs w:val="18"/>
              </w:rPr>
              <w:t xml:space="preserve">               - </w:t>
            </w:r>
          </w:p>
        </w:tc>
        <w:tc>
          <w:tcPr>
            <w:tcW w:w="1089" w:type="dxa"/>
            <w:tcBorders>
              <w:top w:val="single" w:sz="4" w:space="0" w:color="auto"/>
              <w:left w:val="nil"/>
              <w:bottom w:val="single" w:sz="12" w:space="0" w:color="auto"/>
              <w:right w:val="nil"/>
            </w:tcBorders>
            <w:shd w:val="clear" w:color="auto" w:fill="auto"/>
            <w:vAlign w:val="center"/>
          </w:tcPr>
          <w:p w14:paraId="4B5DEA5E" w14:textId="77777777" w:rsidR="005F2985" w:rsidRPr="001B015B" w:rsidRDefault="005F2985" w:rsidP="0034622E">
            <w:pPr>
              <w:jc w:val="right"/>
              <w:rPr>
                <w:rFonts w:ascii="Arial" w:eastAsia="Calibri" w:hAnsi="Arial" w:cs="Arial"/>
                <w:b/>
                <w:bCs/>
                <w:color w:val="000000" w:themeColor="text1"/>
                <w:sz w:val="18"/>
                <w:szCs w:val="18"/>
              </w:rPr>
            </w:pPr>
            <w:r w:rsidRPr="00E157E0">
              <w:rPr>
                <w:rFonts w:ascii="Arial" w:hAnsi="Arial" w:cs="Arial"/>
                <w:b/>
                <w:bCs/>
                <w:sz w:val="18"/>
                <w:szCs w:val="18"/>
              </w:rPr>
              <w:t xml:space="preserve">               - </w:t>
            </w:r>
          </w:p>
        </w:tc>
        <w:tc>
          <w:tcPr>
            <w:tcW w:w="1084" w:type="dxa"/>
            <w:tcBorders>
              <w:top w:val="single" w:sz="4" w:space="0" w:color="auto"/>
              <w:left w:val="nil"/>
              <w:bottom w:val="single" w:sz="12" w:space="0" w:color="auto"/>
              <w:right w:val="nil"/>
            </w:tcBorders>
            <w:shd w:val="clear" w:color="auto" w:fill="auto"/>
            <w:vAlign w:val="center"/>
          </w:tcPr>
          <w:p w14:paraId="6CF502C5" w14:textId="77777777" w:rsidR="005F2985" w:rsidRPr="001B015B" w:rsidRDefault="005F2985" w:rsidP="0034622E">
            <w:pPr>
              <w:jc w:val="right"/>
              <w:rPr>
                <w:rFonts w:ascii="Arial" w:eastAsia="Calibri" w:hAnsi="Arial" w:cs="Arial"/>
                <w:b/>
                <w:bCs/>
                <w:color w:val="000000" w:themeColor="text1"/>
                <w:sz w:val="18"/>
                <w:szCs w:val="18"/>
              </w:rPr>
            </w:pPr>
            <w:r w:rsidRPr="00E157E0">
              <w:rPr>
                <w:rFonts w:ascii="Arial" w:hAnsi="Arial" w:cs="Arial"/>
                <w:b/>
                <w:bCs/>
                <w:sz w:val="18"/>
                <w:szCs w:val="18"/>
              </w:rPr>
              <w:t xml:space="preserve">               - </w:t>
            </w:r>
          </w:p>
        </w:tc>
        <w:tc>
          <w:tcPr>
            <w:tcW w:w="1162" w:type="dxa"/>
            <w:tcBorders>
              <w:top w:val="single" w:sz="4" w:space="0" w:color="auto"/>
              <w:left w:val="nil"/>
              <w:bottom w:val="single" w:sz="12" w:space="0" w:color="auto"/>
              <w:right w:val="nil"/>
            </w:tcBorders>
            <w:shd w:val="clear" w:color="auto" w:fill="auto"/>
          </w:tcPr>
          <w:p w14:paraId="0E782B9E" w14:textId="77777777" w:rsidR="005F2985" w:rsidRPr="00067DF8" w:rsidRDefault="005F2985" w:rsidP="0034622E">
            <w:pPr>
              <w:jc w:val="right"/>
              <w:rPr>
                <w:rFonts w:ascii="Arial" w:eastAsia="Calibri" w:hAnsi="Arial" w:cs="Arial"/>
                <w:b/>
                <w:bCs/>
                <w:color w:val="000000" w:themeColor="text1"/>
                <w:sz w:val="18"/>
                <w:szCs w:val="18"/>
              </w:rPr>
            </w:pPr>
            <w:r w:rsidRPr="00067DF8">
              <w:rPr>
                <w:rFonts w:ascii="Arial" w:eastAsia="Calibri" w:hAnsi="Arial" w:cs="Arial"/>
                <w:b/>
                <w:bCs/>
                <w:color w:val="000000" w:themeColor="text1"/>
                <w:sz w:val="18"/>
                <w:szCs w:val="18"/>
              </w:rPr>
              <w:t>159</w:t>
            </w:r>
          </w:p>
        </w:tc>
      </w:tr>
    </w:tbl>
    <w:p w14:paraId="35DC47BE" w14:textId="77777777" w:rsidR="005F2985" w:rsidRPr="003D1614" w:rsidRDefault="005F2985" w:rsidP="001A0FCB">
      <w:pPr>
        <w:suppressAutoHyphens/>
        <w:autoSpaceDN w:val="0"/>
        <w:jc w:val="both"/>
        <w:rPr>
          <w:rFonts w:ascii="Arial" w:eastAsia="Times New Roman" w:hAnsi="Arial" w:cs="Arial"/>
          <w:color w:val="000000" w:themeColor="text1"/>
          <w:sz w:val="20"/>
          <w:szCs w:val="20"/>
        </w:rPr>
      </w:pPr>
    </w:p>
    <w:p w14:paraId="37E7C73D" w14:textId="77777777" w:rsidR="00D92646" w:rsidRPr="003D1614" w:rsidRDefault="00D92646" w:rsidP="001A0FCB">
      <w:pPr>
        <w:suppressAutoHyphens/>
        <w:autoSpaceDN w:val="0"/>
        <w:jc w:val="both"/>
        <w:rPr>
          <w:rFonts w:ascii="Arial" w:eastAsia="Times New Roman" w:hAnsi="Arial" w:cs="Arial"/>
          <w:color w:val="000000" w:themeColor="text1"/>
          <w:sz w:val="20"/>
          <w:szCs w:val="20"/>
        </w:rPr>
        <w:sectPr w:rsidR="00D92646" w:rsidRPr="003D1614" w:rsidSect="003278AB">
          <w:pgSz w:w="11906" w:h="16838"/>
          <w:pgMar w:top="1417" w:right="1417" w:bottom="1417" w:left="1417" w:header="708" w:footer="708" w:gutter="0"/>
          <w:cols w:space="708"/>
          <w:docGrid w:linePitch="360"/>
        </w:sectPr>
      </w:pPr>
    </w:p>
    <w:p w14:paraId="3DFEC42C"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71B891F7" w14:textId="58D61C1C"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50C4A398"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22C4E998" w14:textId="01DBF758"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.3. </w:t>
      </w:r>
      <w:r w:rsidRPr="003D1614">
        <w:rPr>
          <w:rFonts w:ascii="Arial" w:eastAsia="Times New Roman" w:hAnsi="Arial" w:cs="Arial"/>
          <w:b/>
          <w:bCs/>
          <w:color w:val="000000" w:themeColor="text1"/>
          <w:sz w:val="20"/>
          <w:szCs w:val="20"/>
        </w:rPr>
        <w:tab/>
        <w:t>Kreditni rizik (nastavak)</w:t>
      </w:r>
      <w:r w:rsidR="00F52285">
        <w:rPr>
          <w:rFonts w:ascii="Arial" w:eastAsia="Times New Roman" w:hAnsi="Arial" w:cs="Arial"/>
          <w:b/>
          <w:bCs/>
          <w:color w:val="000000" w:themeColor="text1"/>
          <w:sz w:val="20"/>
          <w:szCs w:val="20"/>
        </w:rPr>
        <w:t xml:space="preserve"> </w:t>
      </w:r>
    </w:p>
    <w:p w14:paraId="77422ADB"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40730E11" w14:textId="77777777" w:rsidR="00D92646" w:rsidRPr="003D1614" w:rsidRDefault="00D92646" w:rsidP="00D92646">
      <w:pPr>
        <w:keepNext/>
        <w:tabs>
          <w:tab w:val="left" w:pos="284"/>
        </w:tabs>
        <w:suppressAutoHyphens/>
        <w:autoSpaceDN w:val="0"/>
        <w:jc w:val="both"/>
        <w:rPr>
          <w:rFonts w:ascii="Arial" w:eastAsia="Times New Roman" w:hAnsi="Arial" w:cs="Arial"/>
          <w:bCs/>
          <w:i/>
          <w:color w:val="000000" w:themeColor="text1"/>
          <w:sz w:val="20"/>
          <w:szCs w:val="20"/>
        </w:rPr>
      </w:pPr>
      <w:r w:rsidRPr="003D1614">
        <w:rPr>
          <w:rFonts w:ascii="Arial" w:eastAsia="Times New Roman" w:hAnsi="Arial" w:cs="Arial"/>
          <w:bCs/>
          <w:i/>
          <w:color w:val="000000" w:themeColor="text1"/>
          <w:sz w:val="20"/>
          <w:szCs w:val="20"/>
        </w:rPr>
        <w:t>i.</w:t>
      </w:r>
      <w:r w:rsidRPr="003D1614">
        <w:rPr>
          <w:rFonts w:ascii="Arial" w:eastAsia="Times New Roman" w:hAnsi="Arial" w:cs="Arial"/>
          <w:bCs/>
          <w:i/>
          <w:color w:val="000000" w:themeColor="text1"/>
          <w:sz w:val="20"/>
          <w:szCs w:val="20"/>
        </w:rPr>
        <w:tab/>
        <w:t>Promjene po rezerviranjima (nastavak)</w:t>
      </w:r>
    </w:p>
    <w:p w14:paraId="18EF7B6B" w14:textId="77777777" w:rsidR="00D92646" w:rsidRPr="003D1614" w:rsidRDefault="00D92646" w:rsidP="00D92646">
      <w:pPr>
        <w:keepNext/>
        <w:suppressAutoHyphens/>
        <w:autoSpaceDN w:val="0"/>
        <w:rPr>
          <w:rFonts w:ascii="Arial" w:eastAsia="Times New Roman" w:hAnsi="Arial" w:cs="Arial"/>
          <w:bCs/>
          <w:i/>
          <w:color w:val="000000" w:themeColor="text1"/>
          <w:sz w:val="20"/>
          <w:szCs w:val="20"/>
        </w:rPr>
      </w:pPr>
    </w:p>
    <w:p w14:paraId="365E7829" w14:textId="77777777" w:rsidR="00D92646" w:rsidRPr="003D1614" w:rsidRDefault="00D92646" w:rsidP="00D92646">
      <w:pPr>
        <w:keepNext/>
        <w:suppressAutoHyphens/>
        <w:autoSpaceDN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Novčana sredstva i računi kod banaka (nastavak)</w:t>
      </w:r>
    </w:p>
    <w:p w14:paraId="613490E3"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tbl>
      <w:tblPr>
        <w:tblW w:w="9369" w:type="dxa"/>
        <w:tblInd w:w="-180" w:type="dxa"/>
        <w:tblLook w:val="04A0" w:firstRow="1" w:lastRow="0" w:firstColumn="1" w:lastColumn="0" w:noHBand="0" w:noVBand="1"/>
      </w:tblPr>
      <w:tblGrid>
        <w:gridCol w:w="4097"/>
        <w:gridCol w:w="1098"/>
        <w:gridCol w:w="1028"/>
        <w:gridCol w:w="1028"/>
        <w:gridCol w:w="1020"/>
        <w:gridCol w:w="1098"/>
      </w:tblGrid>
      <w:tr w:rsidR="00D92646" w:rsidRPr="003D1614" w14:paraId="28FDDED4" w14:textId="77777777" w:rsidTr="007478FB">
        <w:trPr>
          <w:trHeight w:val="173"/>
        </w:trPr>
        <w:tc>
          <w:tcPr>
            <w:tcW w:w="4097" w:type="dxa"/>
            <w:tcBorders>
              <w:top w:val="nil"/>
              <w:left w:val="nil"/>
              <w:bottom w:val="nil"/>
              <w:right w:val="nil"/>
            </w:tcBorders>
            <w:shd w:val="clear" w:color="auto" w:fill="auto"/>
            <w:vAlign w:val="bottom"/>
          </w:tcPr>
          <w:p w14:paraId="38A7460F" w14:textId="77777777" w:rsidR="00D92646" w:rsidRPr="003D1614" w:rsidRDefault="00D92646" w:rsidP="00D92646">
            <w:pPr>
              <w:suppressAutoHyphens/>
              <w:autoSpaceDN w:val="0"/>
              <w:rPr>
                <w:rFonts w:ascii="Arial" w:eastAsia="Calibri" w:hAnsi="Arial" w:cs="Arial"/>
                <w:b/>
                <w:bCs/>
                <w:color w:val="000000" w:themeColor="text1"/>
                <w:sz w:val="18"/>
                <w:szCs w:val="18"/>
              </w:rPr>
            </w:pPr>
            <w:bookmarkStart w:id="741" w:name="_Hlk24387129"/>
            <w:r w:rsidRPr="003D1614">
              <w:rPr>
                <w:rFonts w:ascii="Arial" w:eastAsia="Calibri" w:hAnsi="Arial" w:cs="Arial"/>
                <w:b/>
                <w:bCs/>
                <w:color w:val="000000" w:themeColor="text1"/>
                <w:sz w:val="18"/>
                <w:szCs w:val="18"/>
              </w:rPr>
              <w:t>Banka</w:t>
            </w:r>
          </w:p>
        </w:tc>
        <w:tc>
          <w:tcPr>
            <w:tcW w:w="1098" w:type="dxa"/>
            <w:tcBorders>
              <w:top w:val="nil"/>
              <w:left w:val="nil"/>
              <w:bottom w:val="nil"/>
              <w:right w:val="nil"/>
            </w:tcBorders>
            <w:shd w:val="clear" w:color="auto" w:fill="auto"/>
            <w:vAlign w:val="bottom"/>
          </w:tcPr>
          <w:p w14:paraId="04376F04"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28" w:type="dxa"/>
            <w:tcBorders>
              <w:top w:val="nil"/>
              <w:left w:val="nil"/>
              <w:bottom w:val="nil"/>
              <w:right w:val="nil"/>
            </w:tcBorders>
            <w:shd w:val="clear" w:color="auto" w:fill="auto"/>
            <w:vAlign w:val="bottom"/>
          </w:tcPr>
          <w:p w14:paraId="5DAA9D74"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28" w:type="dxa"/>
            <w:tcBorders>
              <w:top w:val="nil"/>
              <w:left w:val="nil"/>
              <w:bottom w:val="nil"/>
              <w:right w:val="nil"/>
            </w:tcBorders>
            <w:shd w:val="clear" w:color="auto" w:fill="auto"/>
            <w:vAlign w:val="bottom"/>
          </w:tcPr>
          <w:p w14:paraId="75676366"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20" w:type="dxa"/>
            <w:tcBorders>
              <w:top w:val="nil"/>
              <w:left w:val="nil"/>
              <w:bottom w:val="nil"/>
              <w:right w:val="nil"/>
            </w:tcBorders>
            <w:shd w:val="clear" w:color="auto" w:fill="auto"/>
            <w:vAlign w:val="bottom"/>
          </w:tcPr>
          <w:p w14:paraId="1A5D2E5A"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8" w:type="dxa"/>
            <w:tcBorders>
              <w:top w:val="nil"/>
              <w:left w:val="nil"/>
              <w:bottom w:val="nil"/>
              <w:right w:val="nil"/>
            </w:tcBorders>
            <w:shd w:val="clear" w:color="auto" w:fill="auto"/>
            <w:vAlign w:val="bottom"/>
          </w:tcPr>
          <w:p w14:paraId="03C7F490"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r>
      <w:tr w:rsidR="00D92646" w:rsidRPr="003D1614" w14:paraId="17EFFF48" w14:textId="77777777" w:rsidTr="007478FB">
        <w:trPr>
          <w:trHeight w:val="173"/>
        </w:trPr>
        <w:tc>
          <w:tcPr>
            <w:tcW w:w="4097" w:type="dxa"/>
            <w:tcBorders>
              <w:top w:val="nil"/>
              <w:left w:val="nil"/>
              <w:bottom w:val="nil"/>
              <w:right w:val="nil"/>
            </w:tcBorders>
            <w:shd w:val="clear" w:color="auto" w:fill="auto"/>
            <w:vAlign w:val="bottom"/>
            <w:hideMark/>
          </w:tcPr>
          <w:p w14:paraId="2E5A2C6E" w14:textId="7D6C5CC9" w:rsidR="00D92646" w:rsidRPr="003D1614" w:rsidRDefault="00A2708A" w:rsidP="00D92646">
            <w:pPr>
              <w:suppressAutoHyphens/>
              <w:autoSpaceDN w:val="0"/>
              <w:rPr>
                <w:rFonts w:ascii="Arial" w:eastAsia="Calibri" w:hAnsi="Arial" w:cs="Arial"/>
                <w:b/>
                <w:bCs/>
                <w:color w:val="000000" w:themeColor="text1"/>
                <w:sz w:val="18"/>
                <w:szCs w:val="18"/>
              </w:rPr>
            </w:pPr>
            <w:r w:rsidRPr="00A2708A">
              <w:rPr>
                <w:rFonts w:ascii="Arial" w:eastAsia="Calibri" w:hAnsi="Arial" w:cs="Arial"/>
                <w:b/>
                <w:bCs/>
                <w:color w:val="000000" w:themeColor="text1"/>
                <w:sz w:val="18"/>
                <w:szCs w:val="18"/>
              </w:rPr>
              <w:t>30. rujna 202</w:t>
            </w:r>
            <w:r w:rsidR="005F2985">
              <w:rPr>
                <w:rFonts w:ascii="Arial" w:eastAsia="Calibri" w:hAnsi="Arial" w:cs="Arial"/>
                <w:b/>
                <w:bCs/>
                <w:color w:val="000000" w:themeColor="text1"/>
                <w:sz w:val="18"/>
                <w:szCs w:val="18"/>
              </w:rPr>
              <w:t>4</w:t>
            </w:r>
            <w:r w:rsidRPr="00A2708A">
              <w:rPr>
                <w:rFonts w:ascii="Arial" w:eastAsia="Calibri" w:hAnsi="Arial" w:cs="Arial"/>
                <w:b/>
                <w:bCs/>
                <w:color w:val="000000" w:themeColor="text1"/>
                <w:sz w:val="18"/>
                <w:szCs w:val="18"/>
              </w:rPr>
              <w:t>.</w:t>
            </w:r>
          </w:p>
        </w:tc>
        <w:tc>
          <w:tcPr>
            <w:tcW w:w="1098" w:type="dxa"/>
            <w:tcBorders>
              <w:top w:val="nil"/>
              <w:left w:val="nil"/>
              <w:bottom w:val="nil"/>
              <w:right w:val="nil"/>
            </w:tcBorders>
            <w:shd w:val="clear" w:color="auto" w:fill="auto"/>
            <w:vAlign w:val="bottom"/>
            <w:hideMark/>
          </w:tcPr>
          <w:p w14:paraId="54674164"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1</w:t>
            </w:r>
          </w:p>
        </w:tc>
        <w:tc>
          <w:tcPr>
            <w:tcW w:w="1028" w:type="dxa"/>
            <w:tcBorders>
              <w:top w:val="nil"/>
              <w:left w:val="nil"/>
              <w:bottom w:val="nil"/>
              <w:right w:val="nil"/>
            </w:tcBorders>
            <w:shd w:val="clear" w:color="auto" w:fill="auto"/>
            <w:vAlign w:val="bottom"/>
            <w:hideMark/>
          </w:tcPr>
          <w:p w14:paraId="18447378"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2</w:t>
            </w:r>
          </w:p>
        </w:tc>
        <w:tc>
          <w:tcPr>
            <w:tcW w:w="1028" w:type="dxa"/>
            <w:tcBorders>
              <w:top w:val="nil"/>
              <w:left w:val="nil"/>
              <w:bottom w:val="nil"/>
              <w:right w:val="nil"/>
            </w:tcBorders>
            <w:shd w:val="clear" w:color="auto" w:fill="auto"/>
            <w:vAlign w:val="bottom"/>
            <w:hideMark/>
          </w:tcPr>
          <w:p w14:paraId="150E89C7"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3</w:t>
            </w:r>
          </w:p>
        </w:tc>
        <w:tc>
          <w:tcPr>
            <w:tcW w:w="1020" w:type="dxa"/>
            <w:tcBorders>
              <w:top w:val="nil"/>
              <w:left w:val="nil"/>
              <w:bottom w:val="nil"/>
              <w:right w:val="nil"/>
            </w:tcBorders>
            <w:shd w:val="clear" w:color="auto" w:fill="auto"/>
            <w:vAlign w:val="bottom"/>
            <w:hideMark/>
          </w:tcPr>
          <w:p w14:paraId="69C86032"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POCI</w:t>
            </w:r>
          </w:p>
        </w:tc>
        <w:tc>
          <w:tcPr>
            <w:tcW w:w="1098" w:type="dxa"/>
            <w:tcBorders>
              <w:top w:val="nil"/>
              <w:left w:val="nil"/>
              <w:bottom w:val="nil"/>
              <w:right w:val="nil"/>
            </w:tcBorders>
            <w:shd w:val="clear" w:color="auto" w:fill="auto"/>
            <w:vAlign w:val="bottom"/>
            <w:hideMark/>
          </w:tcPr>
          <w:p w14:paraId="471F5440"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Ukupno</w:t>
            </w:r>
          </w:p>
        </w:tc>
      </w:tr>
      <w:tr w:rsidR="00D92646" w:rsidRPr="003D1614" w14:paraId="7EB61633" w14:textId="77777777" w:rsidTr="007478FB">
        <w:trPr>
          <w:trHeight w:val="173"/>
        </w:trPr>
        <w:tc>
          <w:tcPr>
            <w:tcW w:w="4097" w:type="dxa"/>
            <w:tcBorders>
              <w:top w:val="nil"/>
              <w:left w:val="nil"/>
              <w:bottom w:val="nil"/>
              <w:right w:val="nil"/>
            </w:tcBorders>
            <w:shd w:val="clear" w:color="auto" w:fill="auto"/>
            <w:vAlign w:val="bottom"/>
            <w:hideMark/>
          </w:tcPr>
          <w:p w14:paraId="6D213370"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8" w:type="dxa"/>
            <w:tcBorders>
              <w:top w:val="nil"/>
              <w:left w:val="nil"/>
              <w:bottom w:val="nil"/>
              <w:right w:val="nil"/>
            </w:tcBorders>
            <w:shd w:val="clear" w:color="auto" w:fill="auto"/>
            <w:vAlign w:val="bottom"/>
            <w:hideMark/>
          </w:tcPr>
          <w:p w14:paraId="2DBF3810" w14:textId="06386FDB"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28" w:type="dxa"/>
            <w:tcBorders>
              <w:top w:val="nil"/>
              <w:left w:val="nil"/>
              <w:bottom w:val="nil"/>
              <w:right w:val="nil"/>
            </w:tcBorders>
            <w:shd w:val="clear" w:color="auto" w:fill="auto"/>
            <w:vAlign w:val="bottom"/>
            <w:hideMark/>
          </w:tcPr>
          <w:p w14:paraId="1BD698B4" w14:textId="1783DADF"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28" w:type="dxa"/>
            <w:tcBorders>
              <w:top w:val="nil"/>
              <w:left w:val="nil"/>
              <w:bottom w:val="nil"/>
              <w:right w:val="nil"/>
            </w:tcBorders>
            <w:shd w:val="clear" w:color="auto" w:fill="auto"/>
            <w:vAlign w:val="bottom"/>
            <w:hideMark/>
          </w:tcPr>
          <w:p w14:paraId="12ACF188" w14:textId="47008644"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20" w:type="dxa"/>
            <w:tcBorders>
              <w:top w:val="nil"/>
              <w:left w:val="nil"/>
              <w:bottom w:val="nil"/>
              <w:right w:val="nil"/>
            </w:tcBorders>
            <w:shd w:val="clear" w:color="auto" w:fill="auto"/>
            <w:vAlign w:val="bottom"/>
            <w:hideMark/>
          </w:tcPr>
          <w:p w14:paraId="0FBAB478" w14:textId="781D37A4"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98" w:type="dxa"/>
            <w:tcBorders>
              <w:top w:val="nil"/>
              <w:left w:val="nil"/>
              <w:bottom w:val="nil"/>
              <w:right w:val="nil"/>
            </w:tcBorders>
            <w:shd w:val="clear" w:color="auto" w:fill="auto"/>
            <w:vAlign w:val="bottom"/>
            <w:hideMark/>
          </w:tcPr>
          <w:p w14:paraId="08AA0CB4" w14:textId="760E9650"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r>
      <w:tr w:rsidR="00D92646" w:rsidRPr="003D1614" w14:paraId="1981A5EF" w14:textId="77777777" w:rsidTr="007478FB">
        <w:trPr>
          <w:trHeight w:val="173"/>
        </w:trPr>
        <w:tc>
          <w:tcPr>
            <w:tcW w:w="4097" w:type="dxa"/>
            <w:tcBorders>
              <w:top w:val="nil"/>
              <w:left w:val="nil"/>
              <w:bottom w:val="nil"/>
              <w:right w:val="nil"/>
            </w:tcBorders>
            <w:shd w:val="clear" w:color="auto" w:fill="auto"/>
            <w:vAlign w:val="bottom"/>
          </w:tcPr>
          <w:p w14:paraId="2A7EA74D"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8" w:type="dxa"/>
            <w:tcBorders>
              <w:top w:val="nil"/>
              <w:left w:val="nil"/>
              <w:bottom w:val="nil"/>
              <w:right w:val="nil"/>
            </w:tcBorders>
            <w:shd w:val="clear" w:color="auto" w:fill="auto"/>
            <w:vAlign w:val="bottom"/>
          </w:tcPr>
          <w:p w14:paraId="57E509B7"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28" w:type="dxa"/>
            <w:tcBorders>
              <w:top w:val="nil"/>
              <w:left w:val="nil"/>
              <w:bottom w:val="nil"/>
              <w:right w:val="nil"/>
            </w:tcBorders>
            <w:shd w:val="clear" w:color="auto" w:fill="auto"/>
            <w:vAlign w:val="bottom"/>
          </w:tcPr>
          <w:p w14:paraId="08B29C08"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28" w:type="dxa"/>
            <w:tcBorders>
              <w:top w:val="nil"/>
              <w:left w:val="nil"/>
              <w:bottom w:val="nil"/>
              <w:right w:val="nil"/>
            </w:tcBorders>
            <w:shd w:val="clear" w:color="auto" w:fill="auto"/>
            <w:vAlign w:val="bottom"/>
          </w:tcPr>
          <w:p w14:paraId="47189D9F"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20" w:type="dxa"/>
            <w:tcBorders>
              <w:top w:val="nil"/>
              <w:left w:val="nil"/>
              <w:bottom w:val="nil"/>
              <w:right w:val="nil"/>
            </w:tcBorders>
            <w:shd w:val="clear" w:color="auto" w:fill="auto"/>
            <w:vAlign w:val="bottom"/>
          </w:tcPr>
          <w:p w14:paraId="1663B7E1"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8" w:type="dxa"/>
            <w:tcBorders>
              <w:top w:val="nil"/>
              <w:left w:val="nil"/>
              <w:bottom w:val="nil"/>
              <w:right w:val="nil"/>
            </w:tcBorders>
            <w:shd w:val="clear" w:color="auto" w:fill="auto"/>
            <w:vAlign w:val="bottom"/>
          </w:tcPr>
          <w:p w14:paraId="0A91E16C"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r>
      <w:tr w:rsidR="00A93F0F" w:rsidRPr="003D1614" w14:paraId="48F081F4" w14:textId="77777777" w:rsidTr="007478FB">
        <w:trPr>
          <w:trHeight w:val="173"/>
        </w:trPr>
        <w:tc>
          <w:tcPr>
            <w:tcW w:w="4097" w:type="dxa"/>
            <w:tcBorders>
              <w:top w:val="nil"/>
              <w:left w:val="nil"/>
              <w:bottom w:val="nil"/>
              <w:right w:val="nil"/>
            </w:tcBorders>
            <w:shd w:val="clear" w:color="auto" w:fill="auto"/>
            <w:vAlign w:val="bottom"/>
            <w:hideMark/>
          </w:tcPr>
          <w:p w14:paraId="1DC7700F" w14:textId="7D658685" w:rsidR="00A93F0F" w:rsidRPr="003D1614" w:rsidRDefault="00A93F0F" w:rsidP="00A93F0F">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Stanje 1. siječnja 202</w:t>
            </w:r>
            <w:r w:rsidR="005F2985">
              <w:rPr>
                <w:rFonts w:ascii="Arial" w:eastAsia="Calibri" w:hAnsi="Arial" w:cs="Arial"/>
                <w:color w:val="000000" w:themeColor="text1"/>
                <w:sz w:val="18"/>
                <w:szCs w:val="18"/>
              </w:rPr>
              <w:t>4</w:t>
            </w:r>
            <w:r w:rsidRPr="003D1614">
              <w:rPr>
                <w:rFonts w:ascii="Arial" w:eastAsia="Calibri" w:hAnsi="Arial" w:cs="Arial"/>
                <w:color w:val="000000" w:themeColor="text1"/>
                <w:sz w:val="18"/>
                <w:szCs w:val="18"/>
              </w:rPr>
              <w:t xml:space="preserve">. </w:t>
            </w:r>
          </w:p>
        </w:tc>
        <w:tc>
          <w:tcPr>
            <w:tcW w:w="1098" w:type="dxa"/>
            <w:shd w:val="clear" w:color="auto" w:fill="auto"/>
            <w:vAlign w:val="bottom"/>
          </w:tcPr>
          <w:p w14:paraId="0722A5B3" w14:textId="1F120B9B" w:rsidR="00A93F0F" w:rsidRPr="003D1614" w:rsidRDefault="00BF209A" w:rsidP="00A93F0F">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158</w:t>
            </w:r>
          </w:p>
        </w:tc>
        <w:tc>
          <w:tcPr>
            <w:tcW w:w="1028" w:type="dxa"/>
            <w:shd w:val="clear" w:color="auto" w:fill="auto"/>
            <w:vAlign w:val="bottom"/>
          </w:tcPr>
          <w:p w14:paraId="573B8AFC" w14:textId="1254007E" w:rsidR="00A93F0F" w:rsidRPr="003D1614" w:rsidRDefault="00BF209A" w:rsidP="00A93F0F">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28" w:type="dxa"/>
            <w:shd w:val="clear" w:color="auto" w:fill="auto"/>
            <w:vAlign w:val="bottom"/>
          </w:tcPr>
          <w:p w14:paraId="224FBFEA" w14:textId="3BA3AAAE" w:rsidR="00A93F0F" w:rsidRPr="003D1614" w:rsidRDefault="00BF209A" w:rsidP="00A93F0F">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20" w:type="dxa"/>
            <w:shd w:val="clear" w:color="auto" w:fill="auto"/>
            <w:vAlign w:val="bottom"/>
          </w:tcPr>
          <w:p w14:paraId="688229BB" w14:textId="10D7A4F0" w:rsidR="00A93F0F" w:rsidRPr="003D1614" w:rsidRDefault="00BF209A" w:rsidP="00A93F0F">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8" w:type="dxa"/>
            <w:shd w:val="clear" w:color="auto" w:fill="auto"/>
            <w:vAlign w:val="bottom"/>
          </w:tcPr>
          <w:p w14:paraId="6487CDD6" w14:textId="519E837B" w:rsidR="00A93F0F" w:rsidRPr="003C1C2F" w:rsidRDefault="00BF209A" w:rsidP="00A93F0F">
            <w:pPr>
              <w:suppressAutoHyphens/>
              <w:autoSpaceDN w:val="0"/>
              <w:jc w:val="right"/>
              <w:rPr>
                <w:rFonts w:ascii="Arial" w:eastAsia="Calibri" w:hAnsi="Arial" w:cs="Arial"/>
                <w:b/>
                <w:bCs/>
                <w:color w:val="000000" w:themeColor="text1"/>
                <w:sz w:val="18"/>
                <w:szCs w:val="18"/>
              </w:rPr>
            </w:pPr>
            <w:r w:rsidRPr="003C1C2F">
              <w:rPr>
                <w:rFonts w:ascii="Arial" w:eastAsia="Calibri" w:hAnsi="Arial" w:cs="Arial"/>
                <w:b/>
                <w:bCs/>
                <w:color w:val="000000" w:themeColor="text1"/>
                <w:sz w:val="18"/>
                <w:szCs w:val="18"/>
              </w:rPr>
              <w:t>158</w:t>
            </w:r>
          </w:p>
        </w:tc>
      </w:tr>
      <w:tr w:rsidR="00A67874" w:rsidRPr="003D1614" w14:paraId="1DEAFEDA" w14:textId="77777777" w:rsidTr="007478FB">
        <w:trPr>
          <w:trHeight w:val="173"/>
        </w:trPr>
        <w:tc>
          <w:tcPr>
            <w:tcW w:w="4097" w:type="dxa"/>
            <w:tcBorders>
              <w:top w:val="nil"/>
              <w:left w:val="nil"/>
              <w:bottom w:val="nil"/>
              <w:right w:val="nil"/>
            </w:tcBorders>
            <w:shd w:val="clear" w:color="auto" w:fill="auto"/>
            <w:vAlign w:val="bottom"/>
            <w:hideMark/>
          </w:tcPr>
          <w:p w14:paraId="4DB6471B" w14:textId="77777777" w:rsidR="00A67874" w:rsidRPr="003D1614" w:rsidRDefault="00A67874" w:rsidP="00A67874">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1</w:t>
            </w:r>
          </w:p>
        </w:tc>
        <w:tc>
          <w:tcPr>
            <w:tcW w:w="1098" w:type="dxa"/>
            <w:shd w:val="clear" w:color="auto" w:fill="auto"/>
            <w:vAlign w:val="bottom"/>
          </w:tcPr>
          <w:p w14:paraId="64D2AC00" w14:textId="389B9B27" w:rsidR="00A67874" w:rsidRPr="003D1614" w:rsidRDefault="008452CB" w:rsidP="00A67874">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28" w:type="dxa"/>
            <w:shd w:val="clear" w:color="auto" w:fill="auto"/>
            <w:vAlign w:val="bottom"/>
          </w:tcPr>
          <w:p w14:paraId="011D6A00" w14:textId="1D832FCD" w:rsidR="00A67874" w:rsidRPr="003D1614" w:rsidRDefault="008452CB" w:rsidP="00A67874">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28" w:type="dxa"/>
            <w:shd w:val="clear" w:color="auto" w:fill="auto"/>
            <w:vAlign w:val="bottom"/>
          </w:tcPr>
          <w:p w14:paraId="607827FD" w14:textId="4CCD9640" w:rsidR="00A67874" w:rsidRPr="003D1614" w:rsidRDefault="008452CB" w:rsidP="00A67874">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20" w:type="dxa"/>
            <w:shd w:val="clear" w:color="auto" w:fill="auto"/>
            <w:vAlign w:val="bottom"/>
          </w:tcPr>
          <w:p w14:paraId="7CA2F245" w14:textId="513A37DF" w:rsidR="00A67874" w:rsidRPr="003D1614" w:rsidRDefault="008452CB" w:rsidP="00A67874">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8" w:type="dxa"/>
            <w:shd w:val="clear" w:color="auto" w:fill="auto"/>
            <w:vAlign w:val="bottom"/>
          </w:tcPr>
          <w:p w14:paraId="123532D0" w14:textId="417E4E03" w:rsidR="00A67874" w:rsidRPr="003C1C2F" w:rsidRDefault="008452CB" w:rsidP="00A67874">
            <w:pPr>
              <w:suppressAutoHyphens/>
              <w:autoSpaceDN w:val="0"/>
              <w:jc w:val="right"/>
              <w:rPr>
                <w:rFonts w:ascii="Arial" w:eastAsia="Calibri" w:hAnsi="Arial" w:cs="Arial"/>
                <w:b/>
                <w:bCs/>
                <w:color w:val="000000" w:themeColor="text1"/>
                <w:sz w:val="18"/>
                <w:szCs w:val="18"/>
              </w:rPr>
            </w:pPr>
            <w:r w:rsidRPr="003C1C2F">
              <w:rPr>
                <w:rFonts w:ascii="Arial" w:eastAsia="Calibri" w:hAnsi="Arial" w:cs="Arial"/>
                <w:b/>
                <w:bCs/>
                <w:color w:val="000000" w:themeColor="text1"/>
                <w:sz w:val="18"/>
                <w:szCs w:val="18"/>
              </w:rPr>
              <w:t>-</w:t>
            </w:r>
          </w:p>
        </w:tc>
      </w:tr>
      <w:tr w:rsidR="00A67874" w:rsidRPr="003D1614" w14:paraId="14AE23B0" w14:textId="77777777" w:rsidTr="007478FB">
        <w:trPr>
          <w:trHeight w:val="173"/>
        </w:trPr>
        <w:tc>
          <w:tcPr>
            <w:tcW w:w="4097" w:type="dxa"/>
            <w:tcBorders>
              <w:top w:val="nil"/>
              <w:left w:val="nil"/>
              <w:bottom w:val="nil"/>
              <w:right w:val="nil"/>
            </w:tcBorders>
            <w:shd w:val="clear" w:color="auto" w:fill="auto"/>
            <w:vAlign w:val="bottom"/>
          </w:tcPr>
          <w:p w14:paraId="5B3FA7E4" w14:textId="77777777" w:rsidR="00A67874" w:rsidRPr="003D1614" w:rsidRDefault="00A67874" w:rsidP="00A67874">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2</w:t>
            </w:r>
          </w:p>
        </w:tc>
        <w:tc>
          <w:tcPr>
            <w:tcW w:w="1098" w:type="dxa"/>
            <w:shd w:val="clear" w:color="auto" w:fill="auto"/>
            <w:vAlign w:val="bottom"/>
          </w:tcPr>
          <w:p w14:paraId="3418C699" w14:textId="449BF3AB" w:rsidR="00A67874" w:rsidRPr="003D1614" w:rsidRDefault="008452CB" w:rsidP="00A67874">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28" w:type="dxa"/>
            <w:shd w:val="clear" w:color="auto" w:fill="auto"/>
            <w:vAlign w:val="bottom"/>
          </w:tcPr>
          <w:p w14:paraId="35879D38" w14:textId="2F990C8C" w:rsidR="00A67874" w:rsidRPr="003D1614" w:rsidRDefault="008452CB" w:rsidP="00A67874">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28" w:type="dxa"/>
            <w:shd w:val="clear" w:color="auto" w:fill="auto"/>
            <w:vAlign w:val="bottom"/>
          </w:tcPr>
          <w:p w14:paraId="2EA74BAE" w14:textId="0609F9BC" w:rsidR="00A67874" w:rsidRPr="003D1614" w:rsidRDefault="008452CB" w:rsidP="00A67874">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20" w:type="dxa"/>
            <w:shd w:val="clear" w:color="auto" w:fill="auto"/>
            <w:vAlign w:val="bottom"/>
          </w:tcPr>
          <w:p w14:paraId="630F1FFC" w14:textId="2F725BD8" w:rsidR="00A67874" w:rsidRPr="003D1614" w:rsidRDefault="008452CB" w:rsidP="00A67874">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8" w:type="dxa"/>
            <w:shd w:val="clear" w:color="auto" w:fill="auto"/>
            <w:vAlign w:val="bottom"/>
          </w:tcPr>
          <w:p w14:paraId="564AF537" w14:textId="2583A76D" w:rsidR="00A67874" w:rsidRPr="003C1C2F" w:rsidRDefault="008452CB" w:rsidP="00A67874">
            <w:pPr>
              <w:suppressAutoHyphens/>
              <w:autoSpaceDN w:val="0"/>
              <w:jc w:val="right"/>
              <w:rPr>
                <w:rFonts w:ascii="Arial" w:eastAsia="Calibri" w:hAnsi="Arial" w:cs="Arial"/>
                <w:b/>
                <w:bCs/>
                <w:color w:val="000000" w:themeColor="text1"/>
                <w:sz w:val="18"/>
                <w:szCs w:val="18"/>
              </w:rPr>
            </w:pPr>
            <w:r w:rsidRPr="003C1C2F">
              <w:rPr>
                <w:rFonts w:ascii="Arial" w:eastAsia="Calibri" w:hAnsi="Arial" w:cs="Arial"/>
                <w:b/>
                <w:bCs/>
                <w:color w:val="000000" w:themeColor="text1"/>
                <w:sz w:val="18"/>
                <w:szCs w:val="18"/>
              </w:rPr>
              <w:t>-</w:t>
            </w:r>
          </w:p>
        </w:tc>
      </w:tr>
      <w:tr w:rsidR="00A67874" w:rsidRPr="003D1614" w14:paraId="3E909014" w14:textId="77777777" w:rsidTr="007478FB">
        <w:trPr>
          <w:trHeight w:val="173"/>
        </w:trPr>
        <w:tc>
          <w:tcPr>
            <w:tcW w:w="4097" w:type="dxa"/>
            <w:tcBorders>
              <w:top w:val="nil"/>
              <w:left w:val="nil"/>
              <w:bottom w:val="nil"/>
              <w:right w:val="nil"/>
            </w:tcBorders>
            <w:shd w:val="clear" w:color="auto" w:fill="auto"/>
            <w:vAlign w:val="bottom"/>
          </w:tcPr>
          <w:p w14:paraId="779BCF35" w14:textId="77777777" w:rsidR="00A67874" w:rsidRPr="003D1614" w:rsidRDefault="00A67874" w:rsidP="00A67874">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3</w:t>
            </w:r>
          </w:p>
        </w:tc>
        <w:tc>
          <w:tcPr>
            <w:tcW w:w="1098" w:type="dxa"/>
            <w:shd w:val="clear" w:color="auto" w:fill="auto"/>
            <w:vAlign w:val="bottom"/>
          </w:tcPr>
          <w:p w14:paraId="2F690DE7" w14:textId="2DDFD26B" w:rsidR="00A67874" w:rsidRPr="003D1614" w:rsidRDefault="008452CB" w:rsidP="00A67874">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28" w:type="dxa"/>
            <w:shd w:val="clear" w:color="auto" w:fill="auto"/>
            <w:vAlign w:val="bottom"/>
          </w:tcPr>
          <w:p w14:paraId="6C473540" w14:textId="7E9830E7" w:rsidR="00A67874" w:rsidRPr="003D1614" w:rsidRDefault="008452CB" w:rsidP="00A67874">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28" w:type="dxa"/>
            <w:shd w:val="clear" w:color="auto" w:fill="auto"/>
            <w:vAlign w:val="bottom"/>
          </w:tcPr>
          <w:p w14:paraId="02D2CC65" w14:textId="47BE44AA" w:rsidR="00A67874" w:rsidRPr="003D1614" w:rsidRDefault="008452CB" w:rsidP="00A67874">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20" w:type="dxa"/>
            <w:shd w:val="clear" w:color="auto" w:fill="auto"/>
            <w:vAlign w:val="bottom"/>
          </w:tcPr>
          <w:p w14:paraId="6BF7E0C8" w14:textId="695CFD68" w:rsidR="00A67874" w:rsidRPr="003D1614" w:rsidRDefault="008452CB" w:rsidP="00A67874">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8" w:type="dxa"/>
            <w:shd w:val="clear" w:color="auto" w:fill="auto"/>
            <w:vAlign w:val="bottom"/>
          </w:tcPr>
          <w:p w14:paraId="1F774B4D" w14:textId="46BACE60" w:rsidR="00A67874" w:rsidRPr="003C1C2F" w:rsidRDefault="008452CB" w:rsidP="00A67874">
            <w:pPr>
              <w:suppressAutoHyphens/>
              <w:autoSpaceDN w:val="0"/>
              <w:jc w:val="right"/>
              <w:rPr>
                <w:rFonts w:ascii="Arial" w:eastAsia="Calibri" w:hAnsi="Arial" w:cs="Arial"/>
                <w:b/>
                <w:bCs/>
                <w:color w:val="000000" w:themeColor="text1"/>
                <w:sz w:val="18"/>
                <w:szCs w:val="18"/>
              </w:rPr>
            </w:pPr>
            <w:r w:rsidRPr="003C1C2F">
              <w:rPr>
                <w:rFonts w:ascii="Arial" w:eastAsia="Calibri" w:hAnsi="Arial" w:cs="Arial"/>
                <w:b/>
                <w:bCs/>
                <w:color w:val="000000" w:themeColor="text1"/>
                <w:sz w:val="18"/>
                <w:szCs w:val="18"/>
              </w:rPr>
              <w:t>-</w:t>
            </w:r>
          </w:p>
        </w:tc>
      </w:tr>
      <w:tr w:rsidR="00A67874" w:rsidRPr="003D1614" w14:paraId="08BCD9B2" w14:textId="77777777" w:rsidTr="007478FB">
        <w:trPr>
          <w:trHeight w:val="113"/>
        </w:trPr>
        <w:tc>
          <w:tcPr>
            <w:tcW w:w="4097" w:type="dxa"/>
            <w:tcBorders>
              <w:top w:val="nil"/>
              <w:left w:val="nil"/>
              <w:bottom w:val="nil"/>
              <w:right w:val="nil"/>
            </w:tcBorders>
            <w:shd w:val="clear" w:color="auto" w:fill="auto"/>
            <w:vAlign w:val="bottom"/>
            <w:hideMark/>
          </w:tcPr>
          <w:p w14:paraId="4AF43791" w14:textId="36918C79" w:rsidR="00A67874" w:rsidRPr="003D1614" w:rsidRDefault="00A67874" w:rsidP="00A67874">
            <w:pPr>
              <w:suppressAutoHyphens/>
              <w:autoSpaceDN w:val="0"/>
              <w:rPr>
                <w:rFonts w:ascii="Arial" w:eastAsia="Calibri" w:hAnsi="Arial" w:cs="Arial"/>
                <w:color w:val="000000" w:themeColor="text1"/>
                <w:sz w:val="18"/>
                <w:szCs w:val="18"/>
              </w:rPr>
            </w:pPr>
            <w:r w:rsidRPr="00A93F0F">
              <w:rPr>
                <w:rFonts w:ascii="Arial" w:eastAsia="Calibri" w:hAnsi="Arial" w:cs="Arial"/>
                <w:color w:val="000000" w:themeColor="text1"/>
                <w:sz w:val="18"/>
                <w:szCs w:val="18"/>
              </w:rPr>
              <w:t xml:space="preserve">Neto </w:t>
            </w:r>
            <w:r w:rsidR="007227AA">
              <w:rPr>
                <w:rFonts w:ascii="Arial" w:eastAsia="Calibri" w:hAnsi="Arial" w:cs="Arial"/>
                <w:color w:val="000000" w:themeColor="text1"/>
                <w:sz w:val="18"/>
                <w:szCs w:val="18"/>
              </w:rPr>
              <w:t>(</w:t>
            </w:r>
            <w:r w:rsidRPr="00A67874">
              <w:rPr>
                <w:rFonts w:ascii="Arial" w:eastAsia="Calibri" w:hAnsi="Arial" w:cs="Arial"/>
                <w:color w:val="000000" w:themeColor="text1"/>
                <w:sz w:val="18"/>
                <w:szCs w:val="18"/>
              </w:rPr>
              <w:t>smanjenje</w:t>
            </w:r>
            <w:r w:rsidR="003E0E4A">
              <w:rPr>
                <w:rFonts w:ascii="Arial" w:eastAsia="Calibri" w:hAnsi="Arial" w:cs="Arial"/>
                <w:color w:val="000000" w:themeColor="text1"/>
                <w:sz w:val="18"/>
                <w:szCs w:val="18"/>
              </w:rPr>
              <w:t xml:space="preserve">) </w:t>
            </w:r>
            <w:r w:rsidRPr="00A93F0F">
              <w:rPr>
                <w:rFonts w:ascii="Arial" w:eastAsia="Calibri" w:hAnsi="Arial" w:cs="Arial"/>
                <w:color w:val="000000" w:themeColor="text1"/>
                <w:sz w:val="18"/>
                <w:szCs w:val="18"/>
              </w:rPr>
              <w:t>rezerviranja</w:t>
            </w:r>
            <w:r w:rsidRPr="003D1614">
              <w:rPr>
                <w:rFonts w:ascii="Arial" w:eastAsia="Calibri" w:hAnsi="Arial" w:cs="Arial"/>
                <w:color w:val="000000" w:themeColor="text1"/>
                <w:sz w:val="18"/>
                <w:szCs w:val="18"/>
              </w:rPr>
              <w:t xml:space="preserve"> za očekivane gubitke </w:t>
            </w:r>
          </w:p>
        </w:tc>
        <w:tc>
          <w:tcPr>
            <w:tcW w:w="1098" w:type="dxa"/>
            <w:shd w:val="clear" w:color="auto" w:fill="auto"/>
            <w:vAlign w:val="bottom"/>
          </w:tcPr>
          <w:p w14:paraId="16048986" w14:textId="641F3F64" w:rsidR="00A67874" w:rsidRPr="003D1614" w:rsidRDefault="008452CB" w:rsidP="00A67874">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(19)</w:t>
            </w:r>
          </w:p>
        </w:tc>
        <w:tc>
          <w:tcPr>
            <w:tcW w:w="1028" w:type="dxa"/>
            <w:shd w:val="clear" w:color="auto" w:fill="auto"/>
            <w:vAlign w:val="bottom"/>
          </w:tcPr>
          <w:p w14:paraId="471C96F9" w14:textId="1DCFC6BB" w:rsidR="00A67874" w:rsidRPr="003D1614" w:rsidRDefault="008452CB" w:rsidP="00A67874">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28" w:type="dxa"/>
            <w:shd w:val="clear" w:color="auto" w:fill="auto"/>
            <w:vAlign w:val="bottom"/>
          </w:tcPr>
          <w:p w14:paraId="2ED89843" w14:textId="4707C0E3" w:rsidR="00A67874" w:rsidRPr="003D1614" w:rsidRDefault="008452CB" w:rsidP="00A67874">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20" w:type="dxa"/>
            <w:shd w:val="clear" w:color="auto" w:fill="auto"/>
            <w:vAlign w:val="bottom"/>
          </w:tcPr>
          <w:p w14:paraId="465618F5" w14:textId="0F7F8CD9" w:rsidR="00A67874" w:rsidRPr="003D1614" w:rsidRDefault="008452CB" w:rsidP="00A67874">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8" w:type="dxa"/>
            <w:shd w:val="clear" w:color="auto" w:fill="auto"/>
            <w:vAlign w:val="bottom"/>
          </w:tcPr>
          <w:p w14:paraId="700847F1" w14:textId="5891E97A" w:rsidR="00A67874" w:rsidRPr="003C1C2F" w:rsidRDefault="008452CB" w:rsidP="00A67874">
            <w:pPr>
              <w:suppressAutoHyphens/>
              <w:autoSpaceDN w:val="0"/>
              <w:jc w:val="right"/>
              <w:rPr>
                <w:rFonts w:ascii="Arial" w:eastAsia="Calibri" w:hAnsi="Arial" w:cs="Arial"/>
                <w:b/>
                <w:bCs/>
                <w:color w:val="000000" w:themeColor="text1"/>
                <w:sz w:val="18"/>
                <w:szCs w:val="18"/>
              </w:rPr>
            </w:pPr>
            <w:r w:rsidRPr="003C1C2F">
              <w:rPr>
                <w:rFonts w:ascii="Arial" w:eastAsia="Calibri" w:hAnsi="Arial" w:cs="Arial"/>
                <w:b/>
                <w:bCs/>
                <w:color w:val="000000" w:themeColor="text1"/>
                <w:sz w:val="18"/>
                <w:szCs w:val="18"/>
              </w:rPr>
              <w:t>(19)</w:t>
            </w:r>
          </w:p>
        </w:tc>
      </w:tr>
      <w:tr w:rsidR="00A93F0F" w:rsidRPr="003D1614" w14:paraId="5AAB2ECD" w14:textId="77777777" w:rsidTr="007478FB">
        <w:trPr>
          <w:trHeight w:val="182"/>
        </w:trPr>
        <w:tc>
          <w:tcPr>
            <w:tcW w:w="4097" w:type="dxa"/>
            <w:tcBorders>
              <w:top w:val="nil"/>
              <w:left w:val="nil"/>
              <w:bottom w:val="nil"/>
              <w:right w:val="nil"/>
            </w:tcBorders>
            <w:shd w:val="clear" w:color="auto" w:fill="auto"/>
            <w:vAlign w:val="bottom"/>
            <w:hideMark/>
          </w:tcPr>
          <w:p w14:paraId="0508188A" w14:textId="3915AE69" w:rsidR="00A93F0F" w:rsidRPr="003D1614" w:rsidRDefault="00A93F0F" w:rsidP="00A93F0F">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 xml:space="preserve">Stanje </w:t>
            </w:r>
            <w:r w:rsidR="00A2708A" w:rsidRPr="00A2708A">
              <w:rPr>
                <w:rFonts w:ascii="Arial" w:eastAsia="Calibri" w:hAnsi="Arial" w:cs="Arial"/>
                <w:b/>
                <w:bCs/>
                <w:color w:val="000000" w:themeColor="text1"/>
                <w:sz w:val="18"/>
                <w:szCs w:val="18"/>
              </w:rPr>
              <w:t>30. rujna 202</w:t>
            </w:r>
            <w:r w:rsidR="005F2985">
              <w:rPr>
                <w:rFonts w:ascii="Arial" w:eastAsia="Calibri" w:hAnsi="Arial" w:cs="Arial"/>
                <w:b/>
                <w:bCs/>
                <w:color w:val="000000" w:themeColor="text1"/>
                <w:sz w:val="18"/>
                <w:szCs w:val="18"/>
              </w:rPr>
              <w:t>4</w:t>
            </w:r>
            <w:r w:rsidR="00A2708A" w:rsidRPr="00A2708A">
              <w:rPr>
                <w:rFonts w:ascii="Arial" w:eastAsia="Calibri" w:hAnsi="Arial" w:cs="Arial"/>
                <w:b/>
                <w:bCs/>
                <w:color w:val="000000" w:themeColor="text1"/>
                <w:sz w:val="18"/>
                <w:szCs w:val="18"/>
              </w:rPr>
              <w:t>.</w:t>
            </w:r>
          </w:p>
        </w:tc>
        <w:tc>
          <w:tcPr>
            <w:tcW w:w="1098" w:type="dxa"/>
            <w:tcBorders>
              <w:top w:val="single" w:sz="4" w:space="0" w:color="auto"/>
              <w:left w:val="nil"/>
              <w:bottom w:val="single" w:sz="12" w:space="0" w:color="auto"/>
              <w:right w:val="nil"/>
            </w:tcBorders>
            <w:shd w:val="clear" w:color="auto" w:fill="auto"/>
            <w:vAlign w:val="bottom"/>
          </w:tcPr>
          <w:p w14:paraId="22A21950" w14:textId="469092F7" w:rsidR="00A93F0F" w:rsidRPr="003D1614" w:rsidRDefault="008452CB" w:rsidP="00A93F0F">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139</w:t>
            </w:r>
          </w:p>
        </w:tc>
        <w:tc>
          <w:tcPr>
            <w:tcW w:w="1028" w:type="dxa"/>
            <w:tcBorders>
              <w:top w:val="single" w:sz="4" w:space="0" w:color="auto"/>
              <w:left w:val="nil"/>
              <w:bottom w:val="single" w:sz="12" w:space="0" w:color="auto"/>
              <w:right w:val="nil"/>
            </w:tcBorders>
            <w:shd w:val="clear" w:color="auto" w:fill="auto"/>
            <w:vAlign w:val="bottom"/>
          </w:tcPr>
          <w:p w14:paraId="3FB1C7DD" w14:textId="3362E3E6" w:rsidR="00A93F0F" w:rsidRPr="003D1614" w:rsidRDefault="008452CB" w:rsidP="00A93F0F">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c>
          <w:tcPr>
            <w:tcW w:w="1028" w:type="dxa"/>
            <w:tcBorders>
              <w:top w:val="single" w:sz="4" w:space="0" w:color="auto"/>
              <w:left w:val="nil"/>
              <w:bottom w:val="single" w:sz="12" w:space="0" w:color="auto"/>
              <w:right w:val="nil"/>
            </w:tcBorders>
            <w:shd w:val="clear" w:color="auto" w:fill="auto"/>
            <w:vAlign w:val="bottom"/>
          </w:tcPr>
          <w:p w14:paraId="224D2CCC" w14:textId="73CDC40C" w:rsidR="00A93F0F" w:rsidRPr="003D1614" w:rsidRDefault="008452CB" w:rsidP="00A93F0F">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c>
          <w:tcPr>
            <w:tcW w:w="1020" w:type="dxa"/>
            <w:tcBorders>
              <w:top w:val="single" w:sz="4" w:space="0" w:color="auto"/>
              <w:left w:val="nil"/>
              <w:bottom w:val="single" w:sz="12" w:space="0" w:color="auto"/>
              <w:right w:val="nil"/>
            </w:tcBorders>
            <w:shd w:val="clear" w:color="auto" w:fill="auto"/>
            <w:vAlign w:val="bottom"/>
          </w:tcPr>
          <w:p w14:paraId="05BC5AD7" w14:textId="37E6E3DD" w:rsidR="00A93F0F" w:rsidRPr="003D1614" w:rsidRDefault="008452CB" w:rsidP="00A93F0F">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c>
          <w:tcPr>
            <w:tcW w:w="1098" w:type="dxa"/>
            <w:tcBorders>
              <w:top w:val="single" w:sz="4" w:space="0" w:color="auto"/>
              <w:left w:val="nil"/>
              <w:bottom w:val="single" w:sz="12" w:space="0" w:color="auto"/>
              <w:right w:val="nil"/>
            </w:tcBorders>
            <w:shd w:val="clear" w:color="auto" w:fill="auto"/>
            <w:vAlign w:val="bottom"/>
          </w:tcPr>
          <w:p w14:paraId="25F59D95" w14:textId="63832126" w:rsidR="00A93F0F" w:rsidRPr="003D1614" w:rsidRDefault="008452CB" w:rsidP="00A93F0F">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139</w:t>
            </w:r>
          </w:p>
        </w:tc>
      </w:tr>
      <w:bookmarkEnd w:id="741"/>
    </w:tbl>
    <w:p w14:paraId="742F47DC" w14:textId="4E83B26B"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2D6083B8" w14:textId="77777777" w:rsidR="00D92646" w:rsidRDefault="00D92646" w:rsidP="00D92646">
      <w:pPr>
        <w:keepNext/>
        <w:suppressAutoHyphens/>
        <w:autoSpaceDN w:val="0"/>
        <w:jc w:val="both"/>
        <w:rPr>
          <w:rFonts w:ascii="Arial" w:eastAsia="Times New Roman" w:hAnsi="Arial" w:cs="Arial"/>
          <w:b/>
          <w:bCs/>
          <w:color w:val="000000" w:themeColor="text1"/>
          <w:sz w:val="20"/>
          <w:szCs w:val="20"/>
        </w:rPr>
      </w:pPr>
    </w:p>
    <w:tbl>
      <w:tblPr>
        <w:tblW w:w="9369" w:type="dxa"/>
        <w:tblInd w:w="-180" w:type="dxa"/>
        <w:tblLook w:val="04A0" w:firstRow="1" w:lastRow="0" w:firstColumn="1" w:lastColumn="0" w:noHBand="0" w:noVBand="1"/>
      </w:tblPr>
      <w:tblGrid>
        <w:gridCol w:w="4097"/>
        <w:gridCol w:w="1098"/>
        <w:gridCol w:w="1028"/>
        <w:gridCol w:w="1028"/>
        <w:gridCol w:w="1020"/>
        <w:gridCol w:w="1098"/>
      </w:tblGrid>
      <w:tr w:rsidR="006272C6" w:rsidRPr="001B015B" w14:paraId="242FF991" w14:textId="77777777" w:rsidTr="0034622E">
        <w:trPr>
          <w:trHeight w:val="173"/>
        </w:trPr>
        <w:tc>
          <w:tcPr>
            <w:tcW w:w="4097" w:type="dxa"/>
            <w:tcBorders>
              <w:top w:val="nil"/>
              <w:left w:val="nil"/>
              <w:bottom w:val="nil"/>
              <w:right w:val="nil"/>
            </w:tcBorders>
            <w:shd w:val="clear" w:color="auto" w:fill="auto"/>
            <w:vAlign w:val="center"/>
          </w:tcPr>
          <w:p w14:paraId="4249D722" w14:textId="77777777" w:rsidR="006272C6" w:rsidRPr="001B015B" w:rsidRDefault="006272C6" w:rsidP="0034622E">
            <w:pPr>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Banka</w:t>
            </w:r>
          </w:p>
        </w:tc>
        <w:tc>
          <w:tcPr>
            <w:tcW w:w="1098" w:type="dxa"/>
            <w:tcBorders>
              <w:top w:val="nil"/>
              <w:left w:val="nil"/>
              <w:bottom w:val="nil"/>
              <w:right w:val="nil"/>
            </w:tcBorders>
            <w:shd w:val="clear" w:color="auto" w:fill="auto"/>
            <w:vAlign w:val="center"/>
          </w:tcPr>
          <w:p w14:paraId="25CEF836" w14:textId="77777777" w:rsidR="006272C6" w:rsidRPr="001B015B" w:rsidRDefault="006272C6" w:rsidP="0034622E">
            <w:pPr>
              <w:jc w:val="right"/>
              <w:rPr>
                <w:rFonts w:ascii="Arial" w:eastAsia="Calibri" w:hAnsi="Arial" w:cs="Arial"/>
                <w:b/>
                <w:bCs/>
                <w:color w:val="000000" w:themeColor="text1"/>
                <w:sz w:val="18"/>
                <w:szCs w:val="18"/>
              </w:rPr>
            </w:pPr>
          </w:p>
        </w:tc>
        <w:tc>
          <w:tcPr>
            <w:tcW w:w="1028" w:type="dxa"/>
            <w:tcBorders>
              <w:top w:val="nil"/>
              <w:left w:val="nil"/>
              <w:bottom w:val="nil"/>
              <w:right w:val="nil"/>
            </w:tcBorders>
            <w:shd w:val="clear" w:color="auto" w:fill="auto"/>
            <w:vAlign w:val="center"/>
          </w:tcPr>
          <w:p w14:paraId="101506B0" w14:textId="77777777" w:rsidR="006272C6" w:rsidRPr="001B015B" w:rsidRDefault="006272C6" w:rsidP="0034622E">
            <w:pPr>
              <w:jc w:val="right"/>
              <w:rPr>
                <w:rFonts w:ascii="Arial" w:eastAsia="Calibri" w:hAnsi="Arial" w:cs="Arial"/>
                <w:b/>
                <w:bCs/>
                <w:color w:val="000000" w:themeColor="text1"/>
                <w:sz w:val="18"/>
                <w:szCs w:val="18"/>
              </w:rPr>
            </w:pPr>
          </w:p>
        </w:tc>
        <w:tc>
          <w:tcPr>
            <w:tcW w:w="1028" w:type="dxa"/>
            <w:tcBorders>
              <w:top w:val="nil"/>
              <w:left w:val="nil"/>
              <w:bottom w:val="nil"/>
              <w:right w:val="nil"/>
            </w:tcBorders>
            <w:shd w:val="clear" w:color="auto" w:fill="auto"/>
            <w:vAlign w:val="center"/>
          </w:tcPr>
          <w:p w14:paraId="11AE43F7" w14:textId="77777777" w:rsidR="006272C6" w:rsidRPr="001B015B" w:rsidRDefault="006272C6" w:rsidP="0034622E">
            <w:pPr>
              <w:jc w:val="right"/>
              <w:rPr>
                <w:rFonts w:ascii="Arial" w:eastAsia="Calibri" w:hAnsi="Arial" w:cs="Arial"/>
                <w:b/>
                <w:bCs/>
                <w:color w:val="000000" w:themeColor="text1"/>
                <w:sz w:val="18"/>
                <w:szCs w:val="18"/>
              </w:rPr>
            </w:pPr>
          </w:p>
        </w:tc>
        <w:tc>
          <w:tcPr>
            <w:tcW w:w="1020" w:type="dxa"/>
            <w:tcBorders>
              <w:top w:val="nil"/>
              <w:left w:val="nil"/>
              <w:bottom w:val="nil"/>
              <w:right w:val="nil"/>
            </w:tcBorders>
            <w:shd w:val="clear" w:color="auto" w:fill="auto"/>
            <w:vAlign w:val="center"/>
          </w:tcPr>
          <w:p w14:paraId="65720CC8" w14:textId="77777777" w:rsidR="006272C6" w:rsidRPr="001B015B" w:rsidRDefault="006272C6" w:rsidP="0034622E">
            <w:pPr>
              <w:jc w:val="right"/>
              <w:rPr>
                <w:rFonts w:ascii="Arial" w:eastAsia="Calibri" w:hAnsi="Arial" w:cs="Arial"/>
                <w:b/>
                <w:bCs/>
                <w:color w:val="000000" w:themeColor="text1"/>
                <w:sz w:val="18"/>
                <w:szCs w:val="18"/>
              </w:rPr>
            </w:pPr>
          </w:p>
        </w:tc>
        <w:tc>
          <w:tcPr>
            <w:tcW w:w="1098" w:type="dxa"/>
            <w:tcBorders>
              <w:top w:val="nil"/>
              <w:left w:val="nil"/>
              <w:bottom w:val="nil"/>
              <w:right w:val="nil"/>
            </w:tcBorders>
            <w:shd w:val="clear" w:color="auto" w:fill="auto"/>
            <w:vAlign w:val="center"/>
          </w:tcPr>
          <w:p w14:paraId="63613B62" w14:textId="77777777" w:rsidR="006272C6" w:rsidRPr="001B015B" w:rsidRDefault="006272C6" w:rsidP="0034622E">
            <w:pPr>
              <w:jc w:val="right"/>
              <w:rPr>
                <w:rFonts w:ascii="Arial" w:eastAsia="Calibri" w:hAnsi="Arial" w:cs="Arial"/>
                <w:b/>
                <w:bCs/>
                <w:color w:val="000000" w:themeColor="text1"/>
                <w:sz w:val="18"/>
                <w:szCs w:val="18"/>
              </w:rPr>
            </w:pPr>
          </w:p>
        </w:tc>
      </w:tr>
      <w:tr w:rsidR="006272C6" w:rsidRPr="001B015B" w14:paraId="56F58F85" w14:textId="77777777" w:rsidTr="0034622E">
        <w:trPr>
          <w:trHeight w:val="173"/>
        </w:trPr>
        <w:tc>
          <w:tcPr>
            <w:tcW w:w="4097" w:type="dxa"/>
            <w:tcBorders>
              <w:top w:val="nil"/>
              <w:left w:val="nil"/>
              <w:bottom w:val="nil"/>
              <w:right w:val="nil"/>
            </w:tcBorders>
            <w:shd w:val="clear" w:color="auto" w:fill="auto"/>
            <w:vAlign w:val="center"/>
            <w:hideMark/>
          </w:tcPr>
          <w:p w14:paraId="5F85F6C8" w14:textId="77777777" w:rsidR="006272C6" w:rsidRPr="001B015B" w:rsidRDefault="006272C6" w:rsidP="0034622E">
            <w:pPr>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31. prosinca 202</w:t>
            </w:r>
            <w:r>
              <w:rPr>
                <w:rFonts w:ascii="Arial" w:eastAsia="Calibri" w:hAnsi="Arial" w:cs="Arial"/>
                <w:b/>
                <w:bCs/>
                <w:color w:val="000000" w:themeColor="text1"/>
                <w:sz w:val="18"/>
                <w:szCs w:val="18"/>
              </w:rPr>
              <w:t>3</w:t>
            </w:r>
            <w:r w:rsidRPr="001B015B">
              <w:rPr>
                <w:rFonts w:ascii="Arial" w:eastAsia="Calibri" w:hAnsi="Arial" w:cs="Arial"/>
                <w:b/>
                <w:bCs/>
                <w:color w:val="000000" w:themeColor="text1"/>
                <w:sz w:val="18"/>
                <w:szCs w:val="18"/>
              </w:rPr>
              <w:t>.</w:t>
            </w:r>
          </w:p>
        </w:tc>
        <w:tc>
          <w:tcPr>
            <w:tcW w:w="1098" w:type="dxa"/>
            <w:tcBorders>
              <w:top w:val="nil"/>
              <w:left w:val="nil"/>
              <w:bottom w:val="nil"/>
              <w:right w:val="nil"/>
            </w:tcBorders>
            <w:shd w:val="clear" w:color="auto" w:fill="auto"/>
            <w:vAlign w:val="center"/>
            <w:hideMark/>
          </w:tcPr>
          <w:p w14:paraId="31593EF5" w14:textId="77777777" w:rsidR="006272C6" w:rsidRPr="001B015B" w:rsidRDefault="006272C6" w:rsidP="0034622E">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Stupanj 1</w:t>
            </w:r>
          </w:p>
        </w:tc>
        <w:tc>
          <w:tcPr>
            <w:tcW w:w="1028" w:type="dxa"/>
            <w:tcBorders>
              <w:top w:val="nil"/>
              <w:left w:val="nil"/>
              <w:bottom w:val="nil"/>
              <w:right w:val="nil"/>
            </w:tcBorders>
            <w:shd w:val="clear" w:color="auto" w:fill="auto"/>
            <w:vAlign w:val="center"/>
            <w:hideMark/>
          </w:tcPr>
          <w:p w14:paraId="47D110D9" w14:textId="77777777" w:rsidR="006272C6" w:rsidRPr="001B015B" w:rsidRDefault="006272C6" w:rsidP="0034622E">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Stupanj 2</w:t>
            </w:r>
          </w:p>
        </w:tc>
        <w:tc>
          <w:tcPr>
            <w:tcW w:w="1028" w:type="dxa"/>
            <w:tcBorders>
              <w:top w:val="nil"/>
              <w:left w:val="nil"/>
              <w:bottom w:val="nil"/>
              <w:right w:val="nil"/>
            </w:tcBorders>
            <w:shd w:val="clear" w:color="auto" w:fill="auto"/>
            <w:vAlign w:val="center"/>
            <w:hideMark/>
          </w:tcPr>
          <w:p w14:paraId="3A80387D" w14:textId="77777777" w:rsidR="006272C6" w:rsidRPr="001B015B" w:rsidRDefault="006272C6" w:rsidP="0034622E">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Stupanj 3</w:t>
            </w:r>
          </w:p>
        </w:tc>
        <w:tc>
          <w:tcPr>
            <w:tcW w:w="1020" w:type="dxa"/>
            <w:tcBorders>
              <w:top w:val="nil"/>
              <w:left w:val="nil"/>
              <w:bottom w:val="nil"/>
              <w:right w:val="nil"/>
            </w:tcBorders>
            <w:shd w:val="clear" w:color="auto" w:fill="auto"/>
            <w:vAlign w:val="center"/>
            <w:hideMark/>
          </w:tcPr>
          <w:p w14:paraId="6403DD36" w14:textId="77777777" w:rsidR="006272C6" w:rsidRPr="001B015B" w:rsidRDefault="006272C6" w:rsidP="0034622E">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POCI</w:t>
            </w:r>
          </w:p>
        </w:tc>
        <w:tc>
          <w:tcPr>
            <w:tcW w:w="1098" w:type="dxa"/>
            <w:tcBorders>
              <w:top w:val="nil"/>
              <w:left w:val="nil"/>
              <w:bottom w:val="nil"/>
              <w:right w:val="nil"/>
            </w:tcBorders>
            <w:shd w:val="clear" w:color="auto" w:fill="auto"/>
            <w:vAlign w:val="center"/>
            <w:hideMark/>
          </w:tcPr>
          <w:p w14:paraId="034A5D9A" w14:textId="77777777" w:rsidR="006272C6" w:rsidRPr="001B015B" w:rsidRDefault="006272C6" w:rsidP="0034622E">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Ukupno</w:t>
            </w:r>
          </w:p>
        </w:tc>
      </w:tr>
      <w:tr w:rsidR="006272C6" w:rsidRPr="001B015B" w14:paraId="138C7B78" w14:textId="77777777" w:rsidTr="0034622E">
        <w:trPr>
          <w:trHeight w:val="173"/>
        </w:trPr>
        <w:tc>
          <w:tcPr>
            <w:tcW w:w="4097" w:type="dxa"/>
            <w:tcBorders>
              <w:top w:val="nil"/>
              <w:left w:val="nil"/>
              <w:bottom w:val="nil"/>
              <w:right w:val="nil"/>
            </w:tcBorders>
            <w:shd w:val="clear" w:color="auto" w:fill="auto"/>
            <w:vAlign w:val="center"/>
            <w:hideMark/>
          </w:tcPr>
          <w:p w14:paraId="258FD276" w14:textId="77777777" w:rsidR="006272C6" w:rsidRPr="001B015B" w:rsidRDefault="006272C6" w:rsidP="0034622E">
            <w:pPr>
              <w:jc w:val="right"/>
              <w:rPr>
                <w:rFonts w:ascii="Arial" w:eastAsia="Calibri" w:hAnsi="Arial" w:cs="Arial"/>
                <w:b/>
                <w:bCs/>
                <w:color w:val="000000" w:themeColor="text1"/>
                <w:sz w:val="18"/>
                <w:szCs w:val="18"/>
              </w:rPr>
            </w:pPr>
          </w:p>
        </w:tc>
        <w:tc>
          <w:tcPr>
            <w:tcW w:w="1098" w:type="dxa"/>
            <w:tcBorders>
              <w:top w:val="nil"/>
              <w:left w:val="nil"/>
              <w:bottom w:val="nil"/>
              <w:right w:val="nil"/>
            </w:tcBorders>
            <w:shd w:val="clear" w:color="auto" w:fill="auto"/>
            <w:vAlign w:val="center"/>
            <w:hideMark/>
          </w:tcPr>
          <w:p w14:paraId="1989CDFD" w14:textId="77777777" w:rsidR="006272C6" w:rsidRPr="001B015B" w:rsidRDefault="006272C6" w:rsidP="0034622E">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 xml:space="preserve">000 </w:t>
            </w:r>
            <w:r>
              <w:rPr>
                <w:rFonts w:ascii="Arial" w:eastAsia="Calibri" w:hAnsi="Arial" w:cs="Arial"/>
                <w:b/>
                <w:bCs/>
                <w:color w:val="000000" w:themeColor="text1"/>
                <w:sz w:val="18"/>
                <w:szCs w:val="18"/>
              </w:rPr>
              <w:t>eur</w:t>
            </w:r>
            <w:r w:rsidRPr="001B015B">
              <w:rPr>
                <w:rFonts w:ascii="Arial" w:eastAsia="Calibri" w:hAnsi="Arial" w:cs="Arial"/>
                <w:b/>
                <w:bCs/>
                <w:color w:val="000000" w:themeColor="text1"/>
                <w:sz w:val="18"/>
                <w:szCs w:val="18"/>
              </w:rPr>
              <w:t>a</w:t>
            </w:r>
          </w:p>
        </w:tc>
        <w:tc>
          <w:tcPr>
            <w:tcW w:w="1028" w:type="dxa"/>
            <w:tcBorders>
              <w:top w:val="nil"/>
              <w:left w:val="nil"/>
              <w:bottom w:val="nil"/>
              <w:right w:val="nil"/>
            </w:tcBorders>
            <w:shd w:val="clear" w:color="auto" w:fill="auto"/>
            <w:vAlign w:val="center"/>
            <w:hideMark/>
          </w:tcPr>
          <w:p w14:paraId="56B02392" w14:textId="77777777" w:rsidR="006272C6" w:rsidRPr="001B015B" w:rsidRDefault="006272C6" w:rsidP="0034622E">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 xml:space="preserve">000 </w:t>
            </w:r>
            <w:r>
              <w:rPr>
                <w:rFonts w:ascii="Arial" w:eastAsia="Calibri" w:hAnsi="Arial" w:cs="Arial"/>
                <w:b/>
                <w:bCs/>
                <w:color w:val="000000" w:themeColor="text1"/>
                <w:sz w:val="18"/>
                <w:szCs w:val="18"/>
              </w:rPr>
              <w:t>eur</w:t>
            </w:r>
            <w:r w:rsidRPr="001B015B">
              <w:rPr>
                <w:rFonts w:ascii="Arial" w:eastAsia="Calibri" w:hAnsi="Arial" w:cs="Arial"/>
                <w:b/>
                <w:bCs/>
                <w:color w:val="000000" w:themeColor="text1"/>
                <w:sz w:val="18"/>
                <w:szCs w:val="18"/>
              </w:rPr>
              <w:t>a</w:t>
            </w:r>
          </w:p>
        </w:tc>
        <w:tc>
          <w:tcPr>
            <w:tcW w:w="1028" w:type="dxa"/>
            <w:tcBorders>
              <w:top w:val="nil"/>
              <w:left w:val="nil"/>
              <w:bottom w:val="nil"/>
              <w:right w:val="nil"/>
            </w:tcBorders>
            <w:shd w:val="clear" w:color="auto" w:fill="auto"/>
            <w:vAlign w:val="center"/>
            <w:hideMark/>
          </w:tcPr>
          <w:p w14:paraId="3E518EE0" w14:textId="77777777" w:rsidR="006272C6" w:rsidRPr="001B015B" w:rsidRDefault="006272C6" w:rsidP="0034622E">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 xml:space="preserve">000 </w:t>
            </w:r>
            <w:r>
              <w:rPr>
                <w:rFonts w:ascii="Arial" w:eastAsia="Calibri" w:hAnsi="Arial" w:cs="Arial"/>
                <w:b/>
                <w:bCs/>
                <w:color w:val="000000" w:themeColor="text1"/>
                <w:sz w:val="18"/>
                <w:szCs w:val="18"/>
              </w:rPr>
              <w:t>eur</w:t>
            </w:r>
            <w:r w:rsidRPr="001B015B">
              <w:rPr>
                <w:rFonts w:ascii="Arial" w:eastAsia="Calibri" w:hAnsi="Arial" w:cs="Arial"/>
                <w:b/>
                <w:bCs/>
                <w:color w:val="000000" w:themeColor="text1"/>
                <w:sz w:val="18"/>
                <w:szCs w:val="18"/>
              </w:rPr>
              <w:t>a</w:t>
            </w:r>
          </w:p>
        </w:tc>
        <w:tc>
          <w:tcPr>
            <w:tcW w:w="1020" w:type="dxa"/>
            <w:tcBorders>
              <w:top w:val="nil"/>
              <w:left w:val="nil"/>
              <w:bottom w:val="nil"/>
              <w:right w:val="nil"/>
            </w:tcBorders>
            <w:shd w:val="clear" w:color="auto" w:fill="auto"/>
            <w:vAlign w:val="center"/>
            <w:hideMark/>
          </w:tcPr>
          <w:p w14:paraId="59E3045C" w14:textId="77777777" w:rsidR="006272C6" w:rsidRPr="001B015B" w:rsidRDefault="006272C6" w:rsidP="0034622E">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 xml:space="preserve">000 </w:t>
            </w:r>
            <w:r>
              <w:rPr>
                <w:rFonts w:ascii="Arial" w:eastAsia="Calibri" w:hAnsi="Arial" w:cs="Arial"/>
                <w:b/>
                <w:bCs/>
                <w:color w:val="000000" w:themeColor="text1"/>
                <w:sz w:val="18"/>
                <w:szCs w:val="18"/>
              </w:rPr>
              <w:t>eur</w:t>
            </w:r>
            <w:r w:rsidRPr="001B015B">
              <w:rPr>
                <w:rFonts w:ascii="Arial" w:eastAsia="Calibri" w:hAnsi="Arial" w:cs="Arial"/>
                <w:b/>
                <w:bCs/>
                <w:color w:val="000000" w:themeColor="text1"/>
                <w:sz w:val="18"/>
                <w:szCs w:val="18"/>
              </w:rPr>
              <w:t>a</w:t>
            </w:r>
          </w:p>
        </w:tc>
        <w:tc>
          <w:tcPr>
            <w:tcW w:w="1098" w:type="dxa"/>
            <w:tcBorders>
              <w:top w:val="nil"/>
              <w:left w:val="nil"/>
              <w:bottom w:val="nil"/>
              <w:right w:val="nil"/>
            </w:tcBorders>
            <w:shd w:val="clear" w:color="auto" w:fill="auto"/>
            <w:vAlign w:val="center"/>
            <w:hideMark/>
          </w:tcPr>
          <w:p w14:paraId="752B2738" w14:textId="77777777" w:rsidR="006272C6" w:rsidRPr="001B015B" w:rsidRDefault="006272C6" w:rsidP="0034622E">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 xml:space="preserve">000 </w:t>
            </w:r>
            <w:r>
              <w:rPr>
                <w:rFonts w:ascii="Arial" w:eastAsia="Calibri" w:hAnsi="Arial" w:cs="Arial"/>
                <w:b/>
                <w:bCs/>
                <w:color w:val="000000" w:themeColor="text1"/>
                <w:sz w:val="18"/>
                <w:szCs w:val="18"/>
              </w:rPr>
              <w:t>eur</w:t>
            </w:r>
            <w:r w:rsidRPr="001B015B">
              <w:rPr>
                <w:rFonts w:ascii="Arial" w:eastAsia="Calibri" w:hAnsi="Arial" w:cs="Arial"/>
                <w:b/>
                <w:bCs/>
                <w:color w:val="000000" w:themeColor="text1"/>
                <w:sz w:val="18"/>
                <w:szCs w:val="18"/>
              </w:rPr>
              <w:t>a</w:t>
            </w:r>
          </w:p>
        </w:tc>
      </w:tr>
      <w:tr w:rsidR="006272C6" w:rsidRPr="001B015B" w14:paraId="6D6FE0A7" w14:textId="77777777" w:rsidTr="0034622E">
        <w:trPr>
          <w:trHeight w:val="173"/>
        </w:trPr>
        <w:tc>
          <w:tcPr>
            <w:tcW w:w="4097" w:type="dxa"/>
            <w:tcBorders>
              <w:top w:val="nil"/>
              <w:left w:val="nil"/>
              <w:bottom w:val="nil"/>
              <w:right w:val="nil"/>
            </w:tcBorders>
            <w:shd w:val="clear" w:color="auto" w:fill="auto"/>
            <w:vAlign w:val="center"/>
          </w:tcPr>
          <w:p w14:paraId="0F696245" w14:textId="77777777" w:rsidR="006272C6" w:rsidRPr="001B015B" w:rsidRDefault="006272C6" w:rsidP="0034622E">
            <w:pPr>
              <w:jc w:val="right"/>
              <w:rPr>
                <w:rFonts w:ascii="Arial" w:eastAsia="Calibri" w:hAnsi="Arial" w:cs="Arial"/>
                <w:b/>
                <w:bCs/>
                <w:color w:val="000000" w:themeColor="text1"/>
                <w:sz w:val="18"/>
                <w:szCs w:val="18"/>
              </w:rPr>
            </w:pPr>
          </w:p>
        </w:tc>
        <w:tc>
          <w:tcPr>
            <w:tcW w:w="1098" w:type="dxa"/>
            <w:tcBorders>
              <w:top w:val="nil"/>
              <w:left w:val="nil"/>
              <w:bottom w:val="nil"/>
              <w:right w:val="nil"/>
            </w:tcBorders>
            <w:shd w:val="clear" w:color="auto" w:fill="auto"/>
            <w:vAlign w:val="center"/>
          </w:tcPr>
          <w:p w14:paraId="58EBA2F8" w14:textId="77777777" w:rsidR="006272C6" w:rsidRPr="001B015B" w:rsidRDefault="006272C6" w:rsidP="0034622E">
            <w:pPr>
              <w:jc w:val="right"/>
              <w:rPr>
                <w:rFonts w:ascii="Arial" w:eastAsia="Calibri" w:hAnsi="Arial" w:cs="Arial"/>
                <w:b/>
                <w:bCs/>
                <w:color w:val="000000" w:themeColor="text1"/>
                <w:sz w:val="18"/>
                <w:szCs w:val="18"/>
              </w:rPr>
            </w:pPr>
          </w:p>
        </w:tc>
        <w:tc>
          <w:tcPr>
            <w:tcW w:w="1028" w:type="dxa"/>
            <w:tcBorders>
              <w:top w:val="nil"/>
              <w:left w:val="nil"/>
              <w:bottom w:val="nil"/>
              <w:right w:val="nil"/>
            </w:tcBorders>
            <w:shd w:val="clear" w:color="auto" w:fill="auto"/>
            <w:vAlign w:val="center"/>
          </w:tcPr>
          <w:p w14:paraId="62D7DCE2" w14:textId="77777777" w:rsidR="006272C6" w:rsidRPr="001B015B" w:rsidRDefault="006272C6" w:rsidP="0034622E">
            <w:pPr>
              <w:jc w:val="right"/>
              <w:rPr>
                <w:rFonts w:ascii="Arial" w:eastAsia="Calibri" w:hAnsi="Arial" w:cs="Arial"/>
                <w:b/>
                <w:bCs/>
                <w:color w:val="000000" w:themeColor="text1"/>
                <w:sz w:val="18"/>
                <w:szCs w:val="18"/>
              </w:rPr>
            </w:pPr>
          </w:p>
        </w:tc>
        <w:tc>
          <w:tcPr>
            <w:tcW w:w="1028" w:type="dxa"/>
            <w:tcBorders>
              <w:top w:val="nil"/>
              <w:left w:val="nil"/>
              <w:bottom w:val="nil"/>
              <w:right w:val="nil"/>
            </w:tcBorders>
            <w:shd w:val="clear" w:color="auto" w:fill="auto"/>
            <w:vAlign w:val="center"/>
          </w:tcPr>
          <w:p w14:paraId="0E41AD4F" w14:textId="77777777" w:rsidR="006272C6" w:rsidRPr="001B015B" w:rsidRDefault="006272C6" w:rsidP="0034622E">
            <w:pPr>
              <w:jc w:val="right"/>
              <w:rPr>
                <w:rFonts w:ascii="Arial" w:eastAsia="Calibri" w:hAnsi="Arial" w:cs="Arial"/>
                <w:b/>
                <w:bCs/>
                <w:color w:val="000000" w:themeColor="text1"/>
                <w:sz w:val="18"/>
                <w:szCs w:val="18"/>
              </w:rPr>
            </w:pPr>
          </w:p>
        </w:tc>
        <w:tc>
          <w:tcPr>
            <w:tcW w:w="1020" w:type="dxa"/>
            <w:tcBorders>
              <w:top w:val="nil"/>
              <w:left w:val="nil"/>
              <w:bottom w:val="nil"/>
              <w:right w:val="nil"/>
            </w:tcBorders>
            <w:shd w:val="clear" w:color="auto" w:fill="auto"/>
            <w:vAlign w:val="center"/>
          </w:tcPr>
          <w:p w14:paraId="08A27610" w14:textId="77777777" w:rsidR="006272C6" w:rsidRPr="001B015B" w:rsidRDefault="006272C6" w:rsidP="0034622E">
            <w:pPr>
              <w:jc w:val="right"/>
              <w:rPr>
                <w:rFonts w:ascii="Arial" w:eastAsia="Calibri" w:hAnsi="Arial" w:cs="Arial"/>
                <w:b/>
                <w:bCs/>
                <w:color w:val="000000" w:themeColor="text1"/>
                <w:sz w:val="18"/>
                <w:szCs w:val="18"/>
              </w:rPr>
            </w:pPr>
          </w:p>
        </w:tc>
        <w:tc>
          <w:tcPr>
            <w:tcW w:w="1098" w:type="dxa"/>
            <w:tcBorders>
              <w:top w:val="nil"/>
              <w:left w:val="nil"/>
              <w:bottom w:val="nil"/>
              <w:right w:val="nil"/>
            </w:tcBorders>
            <w:shd w:val="clear" w:color="auto" w:fill="auto"/>
            <w:vAlign w:val="center"/>
          </w:tcPr>
          <w:p w14:paraId="5B97E66E" w14:textId="77777777" w:rsidR="006272C6" w:rsidRPr="001B015B" w:rsidRDefault="006272C6" w:rsidP="0034622E">
            <w:pPr>
              <w:jc w:val="right"/>
              <w:rPr>
                <w:rFonts w:ascii="Arial" w:eastAsia="Calibri" w:hAnsi="Arial" w:cs="Arial"/>
                <w:b/>
                <w:bCs/>
                <w:color w:val="000000" w:themeColor="text1"/>
                <w:sz w:val="18"/>
                <w:szCs w:val="18"/>
              </w:rPr>
            </w:pPr>
          </w:p>
        </w:tc>
      </w:tr>
      <w:tr w:rsidR="006272C6" w:rsidRPr="001B015B" w14:paraId="4CFB78B1" w14:textId="77777777" w:rsidTr="0034622E">
        <w:trPr>
          <w:trHeight w:val="173"/>
        </w:trPr>
        <w:tc>
          <w:tcPr>
            <w:tcW w:w="4097" w:type="dxa"/>
            <w:tcBorders>
              <w:top w:val="nil"/>
              <w:left w:val="nil"/>
              <w:bottom w:val="nil"/>
              <w:right w:val="nil"/>
            </w:tcBorders>
            <w:shd w:val="clear" w:color="auto" w:fill="auto"/>
            <w:vAlign w:val="center"/>
            <w:hideMark/>
          </w:tcPr>
          <w:p w14:paraId="780A4693" w14:textId="77777777" w:rsidR="006272C6" w:rsidRPr="001B015B" w:rsidRDefault="006272C6" w:rsidP="0034622E">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Stanje 1. siječnja 202</w:t>
            </w:r>
            <w:r>
              <w:rPr>
                <w:rFonts w:ascii="Arial" w:eastAsia="Calibri" w:hAnsi="Arial" w:cs="Arial"/>
                <w:color w:val="000000" w:themeColor="text1"/>
                <w:sz w:val="18"/>
                <w:szCs w:val="18"/>
              </w:rPr>
              <w:t>3</w:t>
            </w:r>
            <w:r w:rsidRPr="001B015B">
              <w:rPr>
                <w:rFonts w:ascii="Arial" w:eastAsia="Calibri" w:hAnsi="Arial" w:cs="Arial"/>
                <w:color w:val="000000" w:themeColor="text1"/>
                <w:sz w:val="18"/>
                <w:szCs w:val="18"/>
              </w:rPr>
              <w:t xml:space="preserve">. </w:t>
            </w:r>
          </w:p>
        </w:tc>
        <w:tc>
          <w:tcPr>
            <w:tcW w:w="1098" w:type="dxa"/>
            <w:shd w:val="clear" w:color="auto" w:fill="auto"/>
            <w:vAlign w:val="bottom"/>
          </w:tcPr>
          <w:p w14:paraId="3D42626C" w14:textId="77777777" w:rsidR="006272C6" w:rsidRPr="001B015B" w:rsidRDefault="006272C6" w:rsidP="0034622E">
            <w:pPr>
              <w:jc w:val="right"/>
              <w:rPr>
                <w:rFonts w:ascii="Arial" w:eastAsia="Calibri" w:hAnsi="Arial" w:cs="Arial"/>
                <w:color w:val="000000" w:themeColor="text1"/>
                <w:sz w:val="18"/>
                <w:szCs w:val="18"/>
              </w:rPr>
            </w:pPr>
            <w:r w:rsidRPr="00067DF8">
              <w:rPr>
                <w:rFonts w:ascii="Arial" w:eastAsia="Calibri" w:hAnsi="Arial" w:cs="Arial"/>
                <w:color w:val="000000" w:themeColor="text1"/>
                <w:sz w:val="18"/>
                <w:szCs w:val="18"/>
              </w:rPr>
              <w:t>80</w:t>
            </w:r>
            <w:r>
              <w:rPr>
                <w:rFonts w:ascii="Arial" w:eastAsia="Calibri" w:hAnsi="Arial" w:cs="Arial"/>
                <w:color w:val="000000" w:themeColor="text1"/>
                <w:sz w:val="18"/>
                <w:szCs w:val="18"/>
              </w:rPr>
              <w:t>4</w:t>
            </w:r>
          </w:p>
        </w:tc>
        <w:tc>
          <w:tcPr>
            <w:tcW w:w="1028" w:type="dxa"/>
            <w:tcBorders>
              <w:top w:val="nil"/>
              <w:left w:val="nil"/>
              <w:bottom w:val="nil"/>
              <w:right w:val="nil"/>
            </w:tcBorders>
            <w:shd w:val="clear" w:color="auto" w:fill="auto"/>
            <w:vAlign w:val="bottom"/>
          </w:tcPr>
          <w:p w14:paraId="36C6AE2A" w14:textId="77777777" w:rsidR="006272C6" w:rsidRPr="001B015B" w:rsidRDefault="006272C6" w:rsidP="0034622E">
            <w:pPr>
              <w:jc w:val="right"/>
              <w:rPr>
                <w:rFonts w:ascii="Arial" w:eastAsia="Calibri" w:hAnsi="Arial" w:cs="Arial"/>
                <w:color w:val="000000" w:themeColor="text1"/>
                <w:sz w:val="18"/>
                <w:szCs w:val="18"/>
              </w:rPr>
            </w:pPr>
            <w:r w:rsidRPr="00E157E0">
              <w:rPr>
                <w:rFonts w:ascii="Arial" w:hAnsi="Arial" w:cs="Arial"/>
                <w:sz w:val="18"/>
                <w:szCs w:val="18"/>
              </w:rPr>
              <w:t xml:space="preserve">               - </w:t>
            </w:r>
          </w:p>
        </w:tc>
        <w:tc>
          <w:tcPr>
            <w:tcW w:w="1028" w:type="dxa"/>
            <w:tcBorders>
              <w:top w:val="nil"/>
              <w:left w:val="nil"/>
              <w:bottom w:val="nil"/>
              <w:right w:val="nil"/>
            </w:tcBorders>
            <w:shd w:val="clear" w:color="auto" w:fill="auto"/>
            <w:vAlign w:val="bottom"/>
          </w:tcPr>
          <w:p w14:paraId="7F144E6E" w14:textId="77777777" w:rsidR="006272C6" w:rsidRPr="001B015B" w:rsidRDefault="006272C6" w:rsidP="0034622E">
            <w:pPr>
              <w:jc w:val="right"/>
              <w:rPr>
                <w:rFonts w:ascii="Arial" w:eastAsia="Calibri" w:hAnsi="Arial" w:cs="Arial"/>
                <w:color w:val="000000" w:themeColor="text1"/>
                <w:sz w:val="18"/>
                <w:szCs w:val="18"/>
              </w:rPr>
            </w:pPr>
            <w:r w:rsidRPr="00E157E0">
              <w:rPr>
                <w:rFonts w:ascii="Arial" w:hAnsi="Arial" w:cs="Arial"/>
                <w:sz w:val="18"/>
                <w:szCs w:val="18"/>
              </w:rPr>
              <w:t xml:space="preserve">               - </w:t>
            </w:r>
          </w:p>
        </w:tc>
        <w:tc>
          <w:tcPr>
            <w:tcW w:w="1020" w:type="dxa"/>
            <w:tcBorders>
              <w:top w:val="nil"/>
              <w:left w:val="nil"/>
              <w:bottom w:val="nil"/>
              <w:right w:val="nil"/>
            </w:tcBorders>
            <w:shd w:val="clear" w:color="auto" w:fill="auto"/>
            <w:vAlign w:val="bottom"/>
          </w:tcPr>
          <w:p w14:paraId="4911D59C" w14:textId="77777777" w:rsidR="006272C6" w:rsidRPr="00F959D0" w:rsidRDefault="006272C6" w:rsidP="0034622E">
            <w:pPr>
              <w:jc w:val="right"/>
              <w:rPr>
                <w:rFonts w:ascii="Arial" w:hAnsi="Arial" w:cs="Arial"/>
                <w:sz w:val="18"/>
                <w:szCs w:val="18"/>
              </w:rPr>
            </w:pPr>
            <w:r w:rsidRPr="00E157E0">
              <w:rPr>
                <w:rFonts w:ascii="Arial" w:hAnsi="Arial" w:cs="Arial"/>
                <w:sz w:val="18"/>
                <w:szCs w:val="18"/>
              </w:rPr>
              <w:t xml:space="preserve">- </w:t>
            </w:r>
          </w:p>
        </w:tc>
        <w:tc>
          <w:tcPr>
            <w:tcW w:w="1098" w:type="dxa"/>
            <w:shd w:val="clear" w:color="auto" w:fill="auto"/>
            <w:vAlign w:val="bottom"/>
          </w:tcPr>
          <w:p w14:paraId="4C3CA10E" w14:textId="77777777" w:rsidR="006272C6" w:rsidRPr="001B015B" w:rsidRDefault="006272C6" w:rsidP="0034622E">
            <w:pPr>
              <w:jc w:val="right"/>
              <w:rPr>
                <w:rFonts w:ascii="Arial" w:eastAsia="Calibri" w:hAnsi="Arial" w:cs="Arial"/>
                <w:color w:val="000000" w:themeColor="text1"/>
                <w:sz w:val="18"/>
                <w:szCs w:val="18"/>
              </w:rPr>
            </w:pPr>
            <w:r w:rsidRPr="00671A0D">
              <w:rPr>
                <w:rFonts w:ascii="Arial" w:eastAsia="Calibri" w:hAnsi="Arial" w:cs="Arial"/>
                <w:b/>
                <w:bCs/>
                <w:color w:val="000000" w:themeColor="text1"/>
                <w:sz w:val="18"/>
                <w:szCs w:val="18"/>
              </w:rPr>
              <w:t>80</w:t>
            </w:r>
            <w:r>
              <w:rPr>
                <w:rFonts w:ascii="Arial" w:eastAsia="Calibri" w:hAnsi="Arial" w:cs="Arial"/>
                <w:b/>
                <w:bCs/>
                <w:color w:val="000000" w:themeColor="text1"/>
                <w:sz w:val="18"/>
                <w:szCs w:val="18"/>
              </w:rPr>
              <w:t>4</w:t>
            </w:r>
          </w:p>
        </w:tc>
      </w:tr>
      <w:tr w:rsidR="006272C6" w:rsidRPr="001B015B" w14:paraId="7F10D70D" w14:textId="77777777" w:rsidTr="0034622E">
        <w:trPr>
          <w:trHeight w:val="173"/>
        </w:trPr>
        <w:tc>
          <w:tcPr>
            <w:tcW w:w="4097" w:type="dxa"/>
            <w:tcBorders>
              <w:top w:val="nil"/>
              <w:left w:val="nil"/>
              <w:bottom w:val="nil"/>
              <w:right w:val="nil"/>
            </w:tcBorders>
            <w:shd w:val="clear" w:color="auto" w:fill="auto"/>
            <w:vAlign w:val="center"/>
            <w:hideMark/>
          </w:tcPr>
          <w:p w14:paraId="6651F9A3" w14:textId="77777777" w:rsidR="006272C6" w:rsidRPr="001B015B" w:rsidRDefault="006272C6" w:rsidP="0034622E">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Prijenos u Stupanj 1</w:t>
            </w:r>
          </w:p>
        </w:tc>
        <w:tc>
          <w:tcPr>
            <w:tcW w:w="1098" w:type="dxa"/>
            <w:shd w:val="clear" w:color="auto" w:fill="auto"/>
            <w:vAlign w:val="bottom"/>
          </w:tcPr>
          <w:p w14:paraId="71E2CC29" w14:textId="77777777" w:rsidR="006272C6" w:rsidRPr="001B015B" w:rsidRDefault="006272C6" w:rsidP="0034622E">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28" w:type="dxa"/>
            <w:tcBorders>
              <w:top w:val="nil"/>
              <w:left w:val="nil"/>
              <w:bottom w:val="nil"/>
              <w:right w:val="nil"/>
            </w:tcBorders>
            <w:shd w:val="clear" w:color="auto" w:fill="auto"/>
            <w:vAlign w:val="bottom"/>
          </w:tcPr>
          <w:p w14:paraId="24BF3AF4" w14:textId="77777777" w:rsidR="006272C6" w:rsidRPr="001B015B" w:rsidRDefault="006272C6" w:rsidP="0034622E">
            <w:pPr>
              <w:jc w:val="right"/>
              <w:rPr>
                <w:rFonts w:ascii="Arial" w:eastAsia="Calibri" w:hAnsi="Arial" w:cs="Arial"/>
                <w:color w:val="000000" w:themeColor="text1"/>
                <w:sz w:val="18"/>
                <w:szCs w:val="18"/>
              </w:rPr>
            </w:pPr>
            <w:r w:rsidRPr="00E157E0">
              <w:rPr>
                <w:rFonts w:ascii="Arial" w:hAnsi="Arial" w:cs="Arial"/>
                <w:sz w:val="18"/>
                <w:szCs w:val="18"/>
              </w:rPr>
              <w:t xml:space="preserve">               - </w:t>
            </w:r>
          </w:p>
        </w:tc>
        <w:tc>
          <w:tcPr>
            <w:tcW w:w="1028" w:type="dxa"/>
            <w:tcBorders>
              <w:top w:val="nil"/>
              <w:left w:val="nil"/>
              <w:bottom w:val="nil"/>
              <w:right w:val="nil"/>
            </w:tcBorders>
            <w:shd w:val="clear" w:color="auto" w:fill="auto"/>
            <w:vAlign w:val="bottom"/>
          </w:tcPr>
          <w:p w14:paraId="5745786F" w14:textId="77777777" w:rsidR="006272C6" w:rsidRPr="001B015B" w:rsidRDefault="006272C6" w:rsidP="0034622E">
            <w:pPr>
              <w:jc w:val="right"/>
              <w:rPr>
                <w:rFonts w:ascii="Arial" w:eastAsia="Calibri" w:hAnsi="Arial" w:cs="Arial"/>
                <w:color w:val="000000" w:themeColor="text1"/>
                <w:sz w:val="18"/>
                <w:szCs w:val="18"/>
              </w:rPr>
            </w:pPr>
            <w:r w:rsidRPr="00E157E0">
              <w:rPr>
                <w:rFonts w:ascii="Arial" w:hAnsi="Arial" w:cs="Arial"/>
                <w:sz w:val="18"/>
                <w:szCs w:val="18"/>
              </w:rPr>
              <w:t xml:space="preserve">               - </w:t>
            </w:r>
          </w:p>
        </w:tc>
        <w:tc>
          <w:tcPr>
            <w:tcW w:w="1020" w:type="dxa"/>
            <w:tcBorders>
              <w:top w:val="nil"/>
              <w:left w:val="nil"/>
              <w:bottom w:val="nil"/>
              <w:right w:val="nil"/>
            </w:tcBorders>
            <w:shd w:val="clear" w:color="auto" w:fill="auto"/>
            <w:vAlign w:val="bottom"/>
          </w:tcPr>
          <w:p w14:paraId="1F2A1357" w14:textId="77777777" w:rsidR="006272C6" w:rsidRPr="00F959D0" w:rsidRDefault="006272C6" w:rsidP="0034622E">
            <w:pPr>
              <w:jc w:val="right"/>
              <w:rPr>
                <w:rFonts w:ascii="Arial" w:hAnsi="Arial" w:cs="Arial"/>
                <w:sz w:val="18"/>
                <w:szCs w:val="18"/>
              </w:rPr>
            </w:pPr>
            <w:r w:rsidRPr="00E157E0">
              <w:rPr>
                <w:rFonts w:ascii="Arial" w:hAnsi="Arial" w:cs="Arial"/>
                <w:sz w:val="18"/>
                <w:szCs w:val="18"/>
              </w:rPr>
              <w:t xml:space="preserve">- </w:t>
            </w:r>
          </w:p>
        </w:tc>
        <w:tc>
          <w:tcPr>
            <w:tcW w:w="1098" w:type="dxa"/>
            <w:shd w:val="clear" w:color="auto" w:fill="auto"/>
            <w:vAlign w:val="bottom"/>
          </w:tcPr>
          <w:p w14:paraId="2C34C25B" w14:textId="77777777" w:rsidR="006272C6" w:rsidRPr="001B015B" w:rsidRDefault="006272C6" w:rsidP="0034622E">
            <w:pPr>
              <w:jc w:val="right"/>
              <w:rPr>
                <w:rFonts w:ascii="Arial" w:eastAsia="Calibri" w:hAnsi="Arial" w:cs="Arial"/>
                <w:color w:val="000000" w:themeColor="text1"/>
                <w:sz w:val="18"/>
                <w:szCs w:val="18"/>
              </w:rPr>
            </w:pPr>
            <w:r w:rsidRPr="00671A0D">
              <w:rPr>
                <w:rFonts w:ascii="Arial" w:eastAsia="Calibri" w:hAnsi="Arial" w:cs="Arial"/>
                <w:b/>
                <w:bCs/>
                <w:color w:val="000000" w:themeColor="text1"/>
                <w:sz w:val="18"/>
                <w:szCs w:val="18"/>
              </w:rPr>
              <w:t>-</w:t>
            </w:r>
          </w:p>
        </w:tc>
      </w:tr>
      <w:tr w:rsidR="006272C6" w:rsidRPr="001B015B" w14:paraId="76EB56AC" w14:textId="77777777" w:rsidTr="0034622E">
        <w:trPr>
          <w:trHeight w:val="173"/>
        </w:trPr>
        <w:tc>
          <w:tcPr>
            <w:tcW w:w="4097" w:type="dxa"/>
            <w:tcBorders>
              <w:top w:val="nil"/>
              <w:left w:val="nil"/>
              <w:bottom w:val="nil"/>
              <w:right w:val="nil"/>
            </w:tcBorders>
            <w:shd w:val="clear" w:color="auto" w:fill="auto"/>
            <w:vAlign w:val="center"/>
          </w:tcPr>
          <w:p w14:paraId="4416FE31" w14:textId="77777777" w:rsidR="006272C6" w:rsidRPr="001B015B" w:rsidRDefault="006272C6" w:rsidP="0034622E">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Prijenos u Stupanj 2</w:t>
            </w:r>
          </w:p>
        </w:tc>
        <w:tc>
          <w:tcPr>
            <w:tcW w:w="1098" w:type="dxa"/>
            <w:shd w:val="clear" w:color="auto" w:fill="auto"/>
            <w:vAlign w:val="bottom"/>
          </w:tcPr>
          <w:p w14:paraId="41226A01" w14:textId="77777777" w:rsidR="006272C6" w:rsidRPr="001B015B" w:rsidRDefault="006272C6" w:rsidP="0034622E">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28" w:type="dxa"/>
            <w:tcBorders>
              <w:top w:val="nil"/>
              <w:left w:val="nil"/>
              <w:bottom w:val="nil"/>
              <w:right w:val="nil"/>
            </w:tcBorders>
            <w:shd w:val="clear" w:color="auto" w:fill="auto"/>
            <w:vAlign w:val="bottom"/>
          </w:tcPr>
          <w:p w14:paraId="604977C9" w14:textId="77777777" w:rsidR="006272C6" w:rsidRPr="001B015B" w:rsidRDefault="006272C6" w:rsidP="0034622E">
            <w:pPr>
              <w:jc w:val="right"/>
              <w:rPr>
                <w:rFonts w:ascii="Arial" w:eastAsia="Calibri" w:hAnsi="Arial" w:cs="Arial"/>
                <w:color w:val="000000" w:themeColor="text1"/>
                <w:sz w:val="18"/>
                <w:szCs w:val="18"/>
              </w:rPr>
            </w:pPr>
            <w:r w:rsidRPr="00E157E0">
              <w:rPr>
                <w:rFonts w:ascii="Arial" w:hAnsi="Arial" w:cs="Arial"/>
                <w:sz w:val="18"/>
                <w:szCs w:val="18"/>
              </w:rPr>
              <w:t xml:space="preserve">               - </w:t>
            </w:r>
          </w:p>
        </w:tc>
        <w:tc>
          <w:tcPr>
            <w:tcW w:w="1028" w:type="dxa"/>
            <w:tcBorders>
              <w:top w:val="nil"/>
              <w:left w:val="nil"/>
              <w:bottom w:val="nil"/>
              <w:right w:val="nil"/>
            </w:tcBorders>
            <w:shd w:val="clear" w:color="auto" w:fill="auto"/>
            <w:vAlign w:val="bottom"/>
          </w:tcPr>
          <w:p w14:paraId="7D854889" w14:textId="77777777" w:rsidR="006272C6" w:rsidRPr="001B015B" w:rsidRDefault="006272C6" w:rsidP="0034622E">
            <w:pPr>
              <w:jc w:val="right"/>
              <w:rPr>
                <w:rFonts w:ascii="Arial" w:eastAsia="Calibri" w:hAnsi="Arial" w:cs="Arial"/>
                <w:color w:val="000000" w:themeColor="text1"/>
                <w:sz w:val="18"/>
                <w:szCs w:val="18"/>
              </w:rPr>
            </w:pPr>
            <w:r w:rsidRPr="00E157E0">
              <w:rPr>
                <w:rFonts w:ascii="Arial" w:hAnsi="Arial" w:cs="Arial"/>
                <w:sz w:val="18"/>
                <w:szCs w:val="18"/>
              </w:rPr>
              <w:t xml:space="preserve">               - </w:t>
            </w:r>
          </w:p>
        </w:tc>
        <w:tc>
          <w:tcPr>
            <w:tcW w:w="1020" w:type="dxa"/>
            <w:tcBorders>
              <w:top w:val="nil"/>
              <w:left w:val="nil"/>
              <w:bottom w:val="nil"/>
              <w:right w:val="nil"/>
            </w:tcBorders>
            <w:shd w:val="clear" w:color="auto" w:fill="auto"/>
            <w:vAlign w:val="bottom"/>
          </w:tcPr>
          <w:p w14:paraId="7D3CACE5" w14:textId="77777777" w:rsidR="006272C6" w:rsidRPr="00F959D0" w:rsidRDefault="006272C6" w:rsidP="0034622E">
            <w:pPr>
              <w:jc w:val="right"/>
              <w:rPr>
                <w:rFonts w:ascii="Arial" w:hAnsi="Arial" w:cs="Arial"/>
                <w:sz w:val="18"/>
                <w:szCs w:val="18"/>
              </w:rPr>
            </w:pPr>
            <w:r w:rsidRPr="00E157E0">
              <w:rPr>
                <w:rFonts w:ascii="Arial" w:hAnsi="Arial" w:cs="Arial"/>
                <w:sz w:val="18"/>
                <w:szCs w:val="18"/>
              </w:rPr>
              <w:t xml:space="preserve">- </w:t>
            </w:r>
          </w:p>
        </w:tc>
        <w:tc>
          <w:tcPr>
            <w:tcW w:w="1098" w:type="dxa"/>
            <w:shd w:val="clear" w:color="auto" w:fill="auto"/>
            <w:vAlign w:val="bottom"/>
          </w:tcPr>
          <w:p w14:paraId="1BC1DA95" w14:textId="77777777" w:rsidR="006272C6" w:rsidRPr="001B015B" w:rsidRDefault="006272C6" w:rsidP="0034622E">
            <w:pPr>
              <w:jc w:val="right"/>
              <w:rPr>
                <w:rFonts w:ascii="Arial" w:eastAsia="Calibri" w:hAnsi="Arial" w:cs="Arial"/>
                <w:color w:val="000000" w:themeColor="text1"/>
                <w:sz w:val="18"/>
                <w:szCs w:val="18"/>
              </w:rPr>
            </w:pPr>
            <w:r w:rsidRPr="00671A0D">
              <w:rPr>
                <w:rFonts w:ascii="Arial" w:eastAsia="Calibri" w:hAnsi="Arial" w:cs="Arial"/>
                <w:b/>
                <w:bCs/>
                <w:color w:val="000000" w:themeColor="text1"/>
                <w:sz w:val="18"/>
                <w:szCs w:val="18"/>
              </w:rPr>
              <w:t>-</w:t>
            </w:r>
          </w:p>
        </w:tc>
      </w:tr>
      <w:tr w:rsidR="006272C6" w:rsidRPr="001B015B" w14:paraId="658254AE" w14:textId="77777777" w:rsidTr="00BF209A">
        <w:trPr>
          <w:trHeight w:val="173"/>
        </w:trPr>
        <w:tc>
          <w:tcPr>
            <w:tcW w:w="4097" w:type="dxa"/>
            <w:tcBorders>
              <w:top w:val="nil"/>
              <w:left w:val="nil"/>
              <w:bottom w:val="nil"/>
              <w:right w:val="nil"/>
            </w:tcBorders>
            <w:shd w:val="clear" w:color="auto" w:fill="auto"/>
            <w:vAlign w:val="center"/>
          </w:tcPr>
          <w:p w14:paraId="3D690ECD" w14:textId="77777777" w:rsidR="006272C6" w:rsidRPr="001B015B" w:rsidRDefault="006272C6" w:rsidP="0034622E">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Prijenos u Stupanj 3</w:t>
            </w:r>
          </w:p>
        </w:tc>
        <w:tc>
          <w:tcPr>
            <w:tcW w:w="1098" w:type="dxa"/>
            <w:shd w:val="clear" w:color="auto" w:fill="auto"/>
            <w:vAlign w:val="bottom"/>
          </w:tcPr>
          <w:p w14:paraId="0269B44E" w14:textId="77777777" w:rsidR="006272C6" w:rsidRPr="001B015B" w:rsidRDefault="006272C6" w:rsidP="0034622E">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28" w:type="dxa"/>
            <w:tcBorders>
              <w:top w:val="nil"/>
              <w:left w:val="nil"/>
              <w:right w:val="nil"/>
            </w:tcBorders>
            <w:shd w:val="clear" w:color="auto" w:fill="auto"/>
            <w:vAlign w:val="bottom"/>
          </w:tcPr>
          <w:p w14:paraId="2C36C20B" w14:textId="77777777" w:rsidR="006272C6" w:rsidRPr="001B015B" w:rsidRDefault="006272C6" w:rsidP="0034622E">
            <w:pPr>
              <w:jc w:val="right"/>
              <w:rPr>
                <w:rFonts w:ascii="Arial" w:eastAsia="Calibri" w:hAnsi="Arial" w:cs="Arial"/>
                <w:color w:val="000000" w:themeColor="text1"/>
                <w:sz w:val="18"/>
                <w:szCs w:val="18"/>
              </w:rPr>
            </w:pPr>
            <w:r w:rsidRPr="00E157E0">
              <w:rPr>
                <w:rFonts w:ascii="Arial" w:hAnsi="Arial" w:cs="Arial"/>
                <w:sz w:val="18"/>
                <w:szCs w:val="18"/>
              </w:rPr>
              <w:t xml:space="preserve">               - </w:t>
            </w:r>
          </w:p>
        </w:tc>
        <w:tc>
          <w:tcPr>
            <w:tcW w:w="1028" w:type="dxa"/>
            <w:tcBorders>
              <w:top w:val="nil"/>
              <w:left w:val="nil"/>
              <w:right w:val="nil"/>
            </w:tcBorders>
            <w:shd w:val="clear" w:color="auto" w:fill="auto"/>
            <w:vAlign w:val="bottom"/>
          </w:tcPr>
          <w:p w14:paraId="4BBEF232" w14:textId="77777777" w:rsidR="006272C6" w:rsidRPr="001B015B" w:rsidRDefault="006272C6" w:rsidP="0034622E">
            <w:pPr>
              <w:jc w:val="right"/>
              <w:rPr>
                <w:rFonts w:ascii="Arial" w:eastAsia="Calibri" w:hAnsi="Arial" w:cs="Arial"/>
                <w:color w:val="000000" w:themeColor="text1"/>
                <w:sz w:val="18"/>
                <w:szCs w:val="18"/>
              </w:rPr>
            </w:pPr>
            <w:r w:rsidRPr="00E157E0">
              <w:rPr>
                <w:rFonts w:ascii="Arial" w:hAnsi="Arial" w:cs="Arial"/>
                <w:sz w:val="18"/>
                <w:szCs w:val="18"/>
              </w:rPr>
              <w:t xml:space="preserve">               - </w:t>
            </w:r>
          </w:p>
        </w:tc>
        <w:tc>
          <w:tcPr>
            <w:tcW w:w="1020" w:type="dxa"/>
            <w:tcBorders>
              <w:top w:val="nil"/>
              <w:left w:val="nil"/>
              <w:right w:val="nil"/>
            </w:tcBorders>
            <w:shd w:val="clear" w:color="auto" w:fill="auto"/>
            <w:vAlign w:val="bottom"/>
          </w:tcPr>
          <w:p w14:paraId="775E3C9B" w14:textId="77777777" w:rsidR="006272C6" w:rsidRPr="00F959D0" w:rsidRDefault="006272C6" w:rsidP="0034622E">
            <w:pPr>
              <w:jc w:val="right"/>
              <w:rPr>
                <w:rFonts w:ascii="Arial" w:hAnsi="Arial" w:cs="Arial"/>
                <w:sz w:val="18"/>
                <w:szCs w:val="18"/>
              </w:rPr>
            </w:pPr>
            <w:r w:rsidRPr="00E157E0">
              <w:rPr>
                <w:rFonts w:ascii="Arial" w:hAnsi="Arial" w:cs="Arial"/>
                <w:sz w:val="18"/>
                <w:szCs w:val="18"/>
              </w:rPr>
              <w:t xml:space="preserve">- </w:t>
            </w:r>
          </w:p>
        </w:tc>
        <w:tc>
          <w:tcPr>
            <w:tcW w:w="1098" w:type="dxa"/>
            <w:shd w:val="clear" w:color="auto" w:fill="auto"/>
            <w:vAlign w:val="bottom"/>
          </w:tcPr>
          <w:p w14:paraId="7547FB58" w14:textId="77777777" w:rsidR="006272C6" w:rsidRPr="001B015B" w:rsidRDefault="006272C6" w:rsidP="0034622E">
            <w:pPr>
              <w:jc w:val="right"/>
              <w:rPr>
                <w:rFonts w:ascii="Arial" w:eastAsia="Calibri" w:hAnsi="Arial" w:cs="Arial"/>
                <w:color w:val="000000" w:themeColor="text1"/>
                <w:sz w:val="18"/>
                <w:szCs w:val="18"/>
              </w:rPr>
            </w:pPr>
            <w:r w:rsidRPr="00671A0D">
              <w:rPr>
                <w:rFonts w:ascii="Arial" w:eastAsia="Calibri" w:hAnsi="Arial" w:cs="Arial"/>
                <w:b/>
                <w:bCs/>
                <w:color w:val="000000" w:themeColor="text1"/>
                <w:sz w:val="18"/>
                <w:szCs w:val="18"/>
              </w:rPr>
              <w:t>-</w:t>
            </w:r>
          </w:p>
        </w:tc>
      </w:tr>
      <w:tr w:rsidR="006272C6" w:rsidRPr="001B015B" w14:paraId="79859ECD" w14:textId="77777777" w:rsidTr="00BF209A">
        <w:trPr>
          <w:trHeight w:val="250"/>
        </w:trPr>
        <w:tc>
          <w:tcPr>
            <w:tcW w:w="4097" w:type="dxa"/>
            <w:tcBorders>
              <w:top w:val="nil"/>
              <w:left w:val="nil"/>
              <w:bottom w:val="nil"/>
              <w:right w:val="nil"/>
            </w:tcBorders>
            <w:shd w:val="clear" w:color="auto" w:fill="auto"/>
            <w:vAlign w:val="center"/>
            <w:hideMark/>
          </w:tcPr>
          <w:p w14:paraId="53F77ED6" w14:textId="77777777" w:rsidR="006272C6" w:rsidRPr="001B015B" w:rsidRDefault="006272C6" w:rsidP="0034622E">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 xml:space="preserve">Neto </w:t>
            </w:r>
            <w:r>
              <w:rPr>
                <w:rFonts w:ascii="Arial" w:eastAsia="Calibri" w:hAnsi="Arial" w:cs="Arial"/>
                <w:color w:val="000000" w:themeColor="text1"/>
                <w:sz w:val="18"/>
                <w:szCs w:val="18"/>
              </w:rPr>
              <w:t>(smanjenje)</w:t>
            </w:r>
            <w:r w:rsidRPr="001B015B">
              <w:rPr>
                <w:rFonts w:ascii="Arial" w:eastAsia="Calibri" w:hAnsi="Arial" w:cs="Arial"/>
                <w:color w:val="000000" w:themeColor="text1"/>
                <w:sz w:val="18"/>
                <w:szCs w:val="18"/>
              </w:rPr>
              <w:t xml:space="preserve"> rezerviranja za očekivane gubitke </w:t>
            </w:r>
          </w:p>
        </w:tc>
        <w:tc>
          <w:tcPr>
            <w:tcW w:w="1098" w:type="dxa"/>
            <w:shd w:val="clear" w:color="auto" w:fill="auto"/>
            <w:vAlign w:val="bottom"/>
          </w:tcPr>
          <w:p w14:paraId="58C9B999" w14:textId="77777777" w:rsidR="006272C6" w:rsidRPr="001B015B" w:rsidRDefault="006272C6" w:rsidP="0034622E">
            <w:pPr>
              <w:jc w:val="right"/>
              <w:rPr>
                <w:rFonts w:ascii="Arial" w:eastAsia="Calibri" w:hAnsi="Arial" w:cs="Arial"/>
                <w:color w:val="000000" w:themeColor="text1"/>
                <w:sz w:val="18"/>
                <w:szCs w:val="18"/>
              </w:rPr>
            </w:pPr>
            <w:r w:rsidRPr="00067DF8">
              <w:rPr>
                <w:rFonts w:ascii="Arial" w:eastAsia="Calibri" w:hAnsi="Arial" w:cs="Arial"/>
                <w:color w:val="000000" w:themeColor="text1"/>
                <w:sz w:val="18"/>
                <w:szCs w:val="18"/>
              </w:rPr>
              <w:t>(646)</w:t>
            </w:r>
          </w:p>
        </w:tc>
        <w:tc>
          <w:tcPr>
            <w:tcW w:w="1028" w:type="dxa"/>
            <w:tcBorders>
              <w:top w:val="nil"/>
              <w:left w:val="nil"/>
              <w:bottom w:val="single" w:sz="4" w:space="0" w:color="auto"/>
              <w:right w:val="nil"/>
            </w:tcBorders>
            <w:shd w:val="clear" w:color="auto" w:fill="auto"/>
            <w:vAlign w:val="bottom"/>
          </w:tcPr>
          <w:p w14:paraId="4DE204F6" w14:textId="77777777" w:rsidR="006272C6" w:rsidRPr="001B015B" w:rsidRDefault="006272C6" w:rsidP="0034622E">
            <w:pPr>
              <w:jc w:val="right"/>
              <w:rPr>
                <w:rFonts w:ascii="Arial" w:eastAsia="Calibri" w:hAnsi="Arial" w:cs="Arial"/>
                <w:color w:val="000000" w:themeColor="text1"/>
                <w:sz w:val="18"/>
                <w:szCs w:val="18"/>
              </w:rPr>
            </w:pPr>
            <w:r w:rsidRPr="00E157E0">
              <w:rPr>
                <w:rFonts w:ascii="Arial" w:hAnsi="Arial" w:cs="Arial"/>
                <w:sz w:val="18"/>
                <w:szCs w:val="18"/>
              </w:rPr>
              <w:t xml:space="preserve">               - </w:t>
            </w:r>
          </w:p>
        </w:tc>
        <w:tc>
          <w:tcPr>
            <w:tcW w:w="1028" w:type="dxa"/>
            <w:tcBorders>
              <w:top w:val="nil"/>
              <w:left w:val="nil"/>
              <w:bottom w:val="single" w:sz="4" w:space="0" w:color="auto"/>
              <w:right w:val="nil"/>
            </w:tcBorders>
            <w:shd w:val="clear" w:color="auto" w:fill="auto"/>
            <w:vAlign w:val="bottom"/>
          </w:tcPr>
          <w:p w14:paraId="72E53E29" w14:textId="77777777" w:rsidR="006272C6" w:rsidRPr="001B015B" w:rsidRDefault="006272C6" w:rsidP="0034622E">
            <w:pPr>
              <w:jc w:val="right"/>
              <w:rPr>
                <w:rFonts w:ascii="Arial" w:eastAsia="Calibri" w:hAnsi="Arial" w:cs="Arial"/>
                <w:color w:val="000000" w:themeColor="text1"/>
                <w:sz w:val="18"/>
                <w:szCs w:val="18"/>
              </w:rPr>
            </w:pPr>
            <w:r w:rsidRPr="00E157E0">
              <w:rPr>
                <w:rFonts w:ascii="Arial" w:hAnsi="Arial" w:cs="Arial"/>
                <w:sz w:val="18"/>
                <w:szCs w:val="18"/>
              </w:rPr>
              <w:t xml:space="preserve">               - </w:t>
            </w:r>
          </w:p>
        </w:tc>
        <w:tc>
          <w:tcPr>
            <w:tcW w:w="1020" w:type="dxa"/>
            <w:tcBorders>
              <w:top w:val="nil"/>
              <w:left w:val="nil"/>
              <w:bottom w:val="single" w:sz="4" w:space="0" w:color="auto"/>
              <w:right w:val="nil"/>
            </w:tcBorders>
            <w:shd w:val="clear" w:color="auto" w:fill="auto"/>
            <w:vAlign w:val="bottom"/>
          </w:tcPr>
          <w:p w14:paraId="5F8EA134" w14:textId="77777777" w:rsidR="006272C6" w:rsidRPr="00F959D0" w:rsidRDefault="006272C6" w:rsidP="0034622E">
            <w:pPr>
              <w:jc w:val="right"/>
              <w:rPr>
                <w:rFonts w:ascii="Arial" w:hAnsi="Arial" w:cs="Arial"/>
                <w:sz w:val="18"/>
                <w:szCs w:val="18"/>
              </w:rPr>
            </w:pPr>
            <w:r w:rsidRPr="00E157E0">
              <w:rPr>
                <w:rFonts w:ascii="Arial" w:hAnsi="Arial" w:cs="Arial"/>
                <w:sz w:val="18"/>
                <w:szCs w:val="18"/>
              </w:rPr>
              <w:t xml:space="preserve">- </w:t>
            </w:r>
          </w:p>
        </w:tc>
        <w:tc>
          <w:tcPr>
            <w:tcW w:w="1098" w:type="dxa"/>
            <w:shd w:val="clear" w:color="auto" w:fill="auto"/>
            <w:vAlign w:val="bottom"/>
          </w:tcPr>
          <w:p w14:paraId="7DCB40E5" w14:textId="77777777" w:rsidR="006272C6" w:rsidRPr="001B015B" w:rsidRDefault="006272C6" w:rsidP="0034622E">
            <w:pPr>
              <w:jc w:val="right"/>
              <w:rPr>
                <w:rFonts w:ascii="Arial" w:eastAsia="Calibri" w:hAnsi="Arial" w:cs="Arial"/>
                <w:color w:val="000000" w:themeColor="text1"/>
                <w:sz w:val="18"/>
                <w:szCs w:val="18"/>
              </w:rPr>
            </w:pPr>
            <w:r w:rsidRPr="00671A0D">
              <w:rPr>
                <w:rFonts w:ascii="Arial" w:eastAsia="Calibri" w:hAnsi="Arial" w:cs="Arial"/>
                <w:b/>
                <w:bCs/>
                <w:color w:val="000000" w:themeColor="text1"/>
                <w:sz w:val="18"/>
                <w:szCs w:val="18"/>
              </w:rPr>
              <w:t>(646)</w:t>
            </w:r>
          </w:p>
        </w:tc>
      </w:tr>
      <w:tr w:rsidR="006272C6" w:rsidRPr="001B015B" w14:paraId="23C90926" w14:textId="77777777" w:rsidTr="00BF209A">
        <w:trPr>
          <w:trHeight w:val="262"/>
        </w:trPr>
        <w:tc>
          <w:tcPr>
            <w:tcW w:w="4097" w:type="dxa"/>
            <w:tcBorders>
              <w:top w:val="nil"/>
              <w:left w:val="nil"/>
              <w:bottom w:val="nil"/>
              <w:right w:val="nil"/>
            </w:tcBorders>
            <w:shd w:val="clear" w:color="auto" w:fill="auto"/>
            <w:vAlign w:val="center"/>
            <w:hideMark/>
          </w:tcPr>
          <w:p w14:paraId="162A2A5E" w14:textId="77777777" w:rsidR="006272C6" w:rsidRPr="001B015B" w:rsidRDefault="006272C6" w:rsidP="0034622E">
            <w:pPr>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Stanje 31. prosinca 202</w:t>
            </w:r>
            <w:r>
              <w:rPr>
                <w:rFonts w:ascii="Arial" w:eastAsia="Calibri" w:hAnsi="Arial" w:cs="Arial"/>
                <w:b/>
                <w:bCs/>
                <w:color w:val="000000" w:themeColor="text1"/>
                <w:sz w:val="18"/>
                <w:szCs w:val="18"/>
              </w:rPr>
              <w:t>3</w:t>
            </w:r>
            <w:r w:rsidRPr="001B015B">
              <w:rPr>
                <w:rFonts w:ascii="Arial" w:eastAsia="Calibri" w:hAnsi="Arial" w:cs="Arial"/>
                <w:b/>
                <w:bCs/>
                <w:color w:val="000000" w:themeColor="text1"/>
                <w:sz w:val="18"/>
                <w:szCs w:val="18"/>
              </w:rPr>
              <w:t>.</w:t>
            </w:r>
          </w:p>
        </w:tc>
        <w:tc>
          <w:tcPr>
            <w:tcW w:w="1098" w:type="dxa"/>
            <w:tcBorders>
              <w:top w:val="single" w:sz="4" w:space="0" w:color="auto"/>
              <w:left w:val="nil"/>
              <w:bottom w:val="single" w:sz="12" w:space="0" w:color="auto"/>
              <w:right w:val="nil"/>
            </w:tcBorders>
            <w:shd w:val="clear" w:color="auto" w:fill="auto"/>
            <w:vAlign w:val="bottom"/>
          </w:tcPr>
          <w:p w14:paraId="6AA8106B" w14:textId="77777777" w:rsidR="006272C6" w:rsidRPr="001B015B" w:rsidRDefault="006272C6" w:rsidP="0034622E">
            <w:pPr>
              <w:jc w:val="right"/>
              <w:rPr>
                <w:rFonts w:ascii="Arial" w:eastAsia="Calibri" w:hAnsi="Arial" w:cs="Arial"/>
                <w:b/>
                <w:bCs/>
                <w:color w:val="000000" w:themeColor="text1"/>
                <w:sz w:val="18"/>
                <w:szCs w:val="18"/>
              </w:rPr>
            </w:pPr>
            <w:r w:rsidRPr="00067DF8">
              <w:rPr>
                <w:rFonts w:ascii="Arial" w:eastAsia="Calibri" w:hAnsi="Arial" w:cs="Arial"/>
                <w:b/>
                <w:bCs/>
                <w:color w:val="000000" w:themeColor="text1"/>
                <w:sz w:val="18"/>
                <w:szCs w:val="18"/>
              </w:rPr>
              <w:t>15</w:t>
            </w:r>
            <w:r>
              <w:rPr>
                <w:rFonts w:ascii="Arial" w:eastAsia="Calibri" w:hAnsi="Arial" w:cs="Arial"/>
                <w:b/>
                <w:bCs/>
                <w:color w:val="000000" w:themeColor="text1"/>
                <w:sz w:val="18"/>
                <w:szCs w:val="18"/>
              </w:rPr>
              <w:t>8</w:t>
            </w:r>
          </w:p>
        </w:tc>
        <w:tc>
          <w:tcPr>
            <w:tcW w:w="1028" w:type="dxa"/>
            <w:tcBorders>
              <w:top w:val="single" w:sz="4" w:space="0" w:color="auto"/>
              <w:left w:val="nil"/>
              <w:bottom w:val="single" w:sz="12" w:space="0" w:color="auto"/>
              <w:right w:val="nil"/>
            </w:tcBorders>
            <w:shd w:val="clear" w:color="auto" w:fill="auto"/>
            <w:vAlign w:val="bottom"/>
          </w:tcPr>
          <w:p w14:paraId="4C8AC285" w14:textId="77777777" w:rsidR="006272C6" w:rsidRPr="001B015B" w:rsidRDefault="006272C6" w:rsidP="0034622E">
            <w:pPr>
              <w:jc w:val="right"/>
              <w:rPr>
                <w:rFonts w:ascii="Arial" w:eastAsia="Calibri" w:hAnsi="Arial" w:cs="Arial"/>
                <w:b/>
                <w:bCs/>
                <w:color w:val="000000" w:themeColor="text1"/>
                <w:sz w:val="18"/>
                <w:szCs w:val="18"/>
              </w:rPr>
            </w:pPr>
            <w:r w:rsidRPr="00E157E0">
              <w:rPr>
                <w:rFonts w:ascii="Arial" w:hAnsi="Arial" w:cs="Arial"/>
                <w:b/>
                <w:bCs/>
                <w:sz w:val="18"/>
                <w:szCs w:val="18"/>
              </w:rPr>
              <w:t xml:space="preserve">               - </w:t>
            </w:r>
          </w:p>
        </w:tc>
        <w:tc>
          <w:tcPr>
            <w:tcW w:w="1028" w:type="dxa"/>
            <w:tcBorders>
              <w:top w:val="single" w:sz="4" w:space="0" w:color="auto"/>
              <w:left w:val="nil"/>
              <w:bottom w:val="single" w:sz="12" w:space="0" w:color="auto"/>
              <w:right w:val="nil"/>
            </w:tcBorders>
            <w:shd w:val="clear" w:color="auto" w:fill="auto"/>
            <w:vAlign w:val="bottom"/>
          </w:tcPr>
          <w:p w14:paraId="02554681" w14:textId="77777777" w:rsidR="006272C6" w:rsidRPr="001B015B" w:rsidRDefault="006272C6" w:rsidP="0034622E">
            <w:pPr>
              <w:jc w:val="right"/>
              <w:rPr>
                <w:rFonts w:ascii="Arial" w:eastAsia="Calibri" w:hAnsi="Arial" w:cs="Arial"/>
                <w:b/>
                <w:bCs/>
                <w:color w:val="000000" w:themeColor="text1"/>
                <w:sz w:val="18"/>
                <w:szCs w:val="18"/>
              </w:rPr>
            </w:pPr>
            <w:r w:rsidRPr="00E157E0">
              <w:rPr>
                <w:rFonts w:ascii="Arial" w:hAnsi="Arial" w:cs="Arial"/>
                <w:b/>
                <w:bCs/>
                <w:sz w:val="18"/>
                <w:szCs w:val="18"/>
              </w:rPr>
              <w:t xml:space="preserve">               - </w:t>
            </w:r>
          </w:p>
        </w:tc>
        <w:tc>
          <w:tcPr>
            <w:tcW w:w="1020" w:type="dxa"/>
            <w:tcBorders>
              <w:top w:val="single" w:sz="4" w:space="0" w:color="auto"/>
              <w:left w:val="nil"/>
              <w:bottom w:val="single" w:sz="12" w:space="0" w:color="auto"/>
              <w:right w:val="nil"/>
            </w:tcBorders>
            <w:shd w:val="clear" w:color="auto" w:fill="auto"/>
            <w:vAlign w:val="bottom"/>
          </w:tcPr>
          <w:p w14:paraId="1C7E82B4" w14:textId="77777777" w:rsidR="006272C6" w:rsidRPr="00F959D0" w:rsidRDefault="006272C6" w:rsidP="0034622E">
            <w:pPr>
              <w:jc w:val="right"/>
              <w:rPr>
                <w:rFonts w:ascii="Arial" w:hAnsi="Arial" w:cs="Arial"/>
                <w:sz w:val="18"/>
                <w:szCs w:val="18"/>
              </w:rPr>
            </w:pPr>
            <w:r w:rsidRPr="00F959D0">
              <w:rPr>
                <w:rFonts w:ascii="Arial" w:hAnsi="Arial" w:cs="Arial"/>
                <w:sz w:val="18"/>
                <w:szCs w:val="18"/>
              </w:rPr>
              <w:t xml:space="preserve">- </w:t>
            </w:r>
          </w:p>
        </w:tc>
        <w:tc>
          <w:tcPr>
            <w:tcW w:w="1098" w:type="dxa"/>
            <w:tcBorders>
              <w:top w:val="single" w:sz="4" w:space="0" w:color="auto"/>
              <w:left w:val="nil"/>
              <w:bottom w:val="single" w:sz="12" w:space="0" w:color="auto"/>
              <w:right w:val="nil"/>
            </w:tcBorders>
            <w:shd w:val="clear" w:color="auto" w:fill="auto"/>
            <w:vAlign w:val="bottom"/>
          </w:tcPr>
          <w:p w14:paraId="3C6903F1" w14:textId="77777777" w:rsidR="006272C6" w:rsidRPr="001B015B" w:rsidRDefault="006272C6" w:rsidP="0034622E">
            <w:pPr>
              <w:jc w:val="right"/>
              <w:rPr>
                <w:rFonts w:ascii="Arial" w:eastAsia="Calibri" w:hAnsi="Arial" w:cs="Arial"/>
                <w:b/>
                <w:bCs/>
                <w:color w:val="000000" w:themeColor="text1"/>
                <w:sz w:val="18"/>
                <w:szCs w:val="18"/>
              </w:rPr>
            </w:pPr>
            <w:r w:rsidRPr="00067DF8">
              <w:rPr>
                <w:rFonts w:ascii="Arial" w:eastAsia="Calibri" w:hAnsi="Arial" w:cs="Arial"/>
                <w:b/>
                <w:bCs/>
                <w:color w:val="000000" w:themeColor="text1"/>
                <w:sz w:val="18"/>
                <w:szCs w:val="18"/>
              </w:rPr>
              <w:t>15</w:t>
            </w:r>
            <w:r>
              <w:rPr>
                <w:rFonts w:ascii="Arial" w:eastAsia="Calibri" w:hAnsi="Arial" w:cs="Arial"/>
                <w:b/>
                <w:bCs/>
                <w:color w:val="000000" w:themeColor="text1"/>
                <w:sz w:val="18"/>
                <w:szCs w:val="18"/>
              </w:rPr>
              <w:t>8</w:t>
            </w:r>
          </w:p>
        </w:tc>
      </w:tr>
    </w:tbl>
    <w:p w14:paraId="26EF3826" w14:textId="77777777" w:rsidR="006272C6" w:rsidRPr="003D1614" w:rsidRDefault="006272C6" w:rsidP="00D92646">
      <w:pPr>
        <w:keepNext/>
        <w:suppressAutoHyphens/>
        <w:autoSpaceDN w:val="0"/>
        <w:jc w:val="both"/>
        <w:rPr>
          <w:rFonts w:ascii="Arial" w:eastAsia="Times New Roman" w:hAnsi="Arial" w:cs="Arial"/>
          <w:b/>
          <w:bCs/>
          <w:color w:val="000000" w:themeColor="text1"/>
          <w:sz w:val="20"/>
          <w:szCs w:val="20"/>
        </w:rPr>
      </w:pPr>
    </w:p>
    <w:p w14:paraId="3B43B631" w14:textId="77777777" w:rsidR="00D92646" w:rsidRPr="003D1614" w:rsidRDefault="00D92646" w:rsidP="001A0FCB">
      <w:pPr>
        <w:suppressAutoHyphens/>
        <w:autoSpaceDN w:val="0"/>
        <w:jc w:val="both"/>
        <w:rPr>
          <w:rFonts w:ascii="Arial" w:eastAsia="Times New Roman" w:hAnsi="Arial" w:cs="Arial"/>
          <w:color w:val="000000" w:themeColor="text1"/>
          <w:sz w:val="20"/>
          <w:szCs w:val="20"/>
        </w:rPr>
        <w:sectPr w:rsidR="00D92646" w:rsidRPr="003D1614" w:rsidSect="003278AB">
          <w:pgSz w:w="11906" w:h="16838"/>
          <w:pgMar w:top="1417" w:right="1417" w:bottom="1417" w:left="1417" w:header="708" w:footer="708" w:gutter="0"/>
          <w:cols w:space="708"/>
          <w:docGrid w:linePitch="360"/>
        </w:sectPr>
      </w:pPr>
    </w:p>
    <w:p w14:paraId="563019BB"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0E57F1C7" w14:textId="3C9A7969"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5EE326C6"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4B535EB5" w14:textId="19B59535"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.3. </w:t>
      </w:r>
      <w:r w:rsidRPr="003D1614">
        <w:rPr>
          <w:rFonts w:ascii="Arial" w:eastAsia="Times New Roman" w:hAnsi="Arial" w:cs="Arial"/>
          <w:b/>
          <w:bCs/>
          <w:color w:val="000000" w:themeColor="text1"/>
          <w:sz w:val="20"/>
          <w:szCs w:val="20"/>
        </w:rPr>
        <w:tab/>
        <w:t>Kreditni rizik (nastavak)</w:t>
      </w:r>
    </w:p>
    <w:p w14:paraId="58652B5B"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3C3D2796" w14:textId="77777777" w:rsidR="00D92646" w:rsidRPr="003D1614" w:rsidRDefault="00D92646" w:rsidP="00D92646">
      <w:pPr>
        <w:keepNext/>
        <w:numPr>
          <w:ilvl w:val="8"/>
          <w:numId w:val="29"/>
        </w:numPr>
        <w:suppressAutoHyphens/>
        <w:autoSpaceDN w:val="0"/>
        <w:rPr>
          <w:rFonts w:ascii="Arial" w:eastAsia="Times New Roman" w:hAnsi="Arial" w:cs="Arial"/>
          <w:bCs/>
          <w:i/>
          <w:color w:val="000000" w:themeColor="text1"/>
          <w:sz w:val="20"/>
          <w:szCs w:val="20"/>
        </w:rPr>
      </w:pPr>
      <w:r w:rsidRPr="003D1614">
        <w:rPr>
          <w:rFonts w:ascii="Arial" w:eastAsia="Times New Roman" w:hAnsi="Arial" w:cs="Arial"/>
          <w:bCs/>
          <w:i/>
          <w:color w:val="000000" w:themeColor="text1"/>
          <w:sz w:val="20"/>
          <w:szCs w:val="20"/>
        </w:rPr>
        <w:t>Promjene po rezerviranjima (nastavak)</w:t>
      </w:r>
    </w:p>
    <w:p w14:paraId="1124840E" w14:textId="77777777" w:rsidR="00D92646" w:rsidRPr="003D1614" w:rsidRDefault="00D92646" w:rsidP="00D92646">
      <w:pPr>
        <w:keepNext/>
        <w:suppressAutoHyphens/>
        <w:autoSpaceDN w:val="0"/>
        <w:rPr>
          <w:rFonts w:ascii="Arial" w:eastAsia="Times New Roman" w:hAnsi="Arial" w:cs="Arial"/>
          <w:bCs/>
          <w:i/>
          <w:color w:val="000000" w:themeColor="text1"/>
          <w:sz w:val="20"/>
          <w:szCs w:val="20"/>
        </w:rPr>
      </w:pPr>
    </w:p>
    <w:p w14:paraId="40EAC967" w14:textId="77777777" w:rsidR="00D92646" w:rsidRPr="003D1614" w:rsidRDefault="00D92646" w:rsidP="00D92646">
      <w:pPr>
        <w:keepNext/>
        <w:suppressAutoHyphens/>
        <w:autoSpaceDN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Depoziti kod drugih banaka</w:t>
      </w:r>
    </w:p>
    <w:p w14:paraId="0A3D56BA" w14:textId="77777777" w:rsidR="00D92646" w:rsidRPr="003D1614" w:rsidRDefault="00D92646" w:rsidP="00D92646">
      <w:pPr>
        <w:suppressAutoHyphens/>
        <w:autoSpaceDN w:val="0"/>
        <w:rPr>
          <w:rFonts w:ascii="Arial" w:eastAsia="Calibri" w:hAnsi="Arial" w:cs="Arial"/>
          <w:color w:val="000000" w:themeColor="text1"/>
          <w:sz w:val="20"/>
          <w:szCs w:val="20"/>
        </w:rPr>
      </w:pPr>
    </w:p>
    <w:tbl>
      <w:tblPr>
        <w:tblW w:w="9381" w:type="dxa"/>
        <w:tblInd w:w="-142" w:type="dxa"/>
        <w:tblLook w:val="04A0" w:firstRow="1" w:lastRow="0" w:firstColumn="1" w:lastColumn="0" w:noHBand="0" w:noVBand="1"/>
      </w:tblPr>
      <w:tblGrid>
        <w:gridCol w:w="3931"/>
        <w:gridCol w:w="1090"/>
        <w:gridCol w:w="1090"/>
        <w:gridCol w:w="1090"/>
        <w:gridCol w:w="1090"/>
        <w:gridCol w:w="1090"/>
      </w:tblGrid>
      <w:tr w:rsidR="00D92646" w:rsidRPr="003D1614" w14:paraId="6FDDB3F6" w14:textId="77777777" w:rsidTr="007478FB">
        <w:trPr>
          <w:trHeight w:val="164"/>
        </w:trPr>
        <w:tc>
          <w:tcPr>
            <w:tcW w:w="3931" w:type="dxa"/>
            <w:tcBorders>
              <w:top w:val="nil"/>
              <w:left w:val="nil"/>
              <w:bottom w:val="nil"/>
              <w:right w:val="nil"/>
            </w:tcBorders>
            <w:shd w:val="clear" w:color="auto" w:fill="auto"/>
            <w:vAlign w:val="bottom"/>
          </w:tcPr>
          <w:p w14:paraId="6E34DD08" w14:textId="77777777" w:rsidR="00D92646" w:rsidRPr="003D1614" w:rsidRDefault="00D92646" w:rsidP="00D92646">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Grupa</w:t>
            </w:r>
          </w:p>
        </w:tc>
        <w:tc>
          <w:tcPr>
            <w:tcW w:w="1090" w:type="dxa"/>
            <w:tcBorders>
              <w:top w:val="nil"/>
              <w:left w:val="nil"/>
              <w:bottom w:val="nil"/>
              <w:right w:val="nil"/>
            </w:tcBorders>
            <w:shd w:val="clear" w:color="auto" w:fill="auto"/>
            <w:vAlign w:val="bottom"/>
          </w:tcPr>
          <w:p w14:paraId="7D107656"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bottom"/>
          </w:tcPr>
          <w:p w14:paraId="7B98B9F3"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bottom"/>
          </w:tcPr>
          <w:p w14:paraId="2D229118"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bottom"/>
          </w:tcPr>
          <w:p w14:paraId="22251C43"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bottom"/>
          </w:tcPr>
          <w:p w14:paraId="04BA0851"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r>
      <w:tr w:rsidR="00D92646" w:rsidRPr="003D1614" w14:paraId="1F3220FD" w14:textId="77777777" w:rsidTr="007478FB">
        <w:trPr>
          <w:trHeight w:val="164"/>
        </w:trPr>
        <w:tc>
          <w:tcPr>
            <w:tcW w:w="3931" w:type="dxa"/>
            <w:tcBorders>
              <w:top w:val="nil"/>
              <w:left w:val="nil"/>
              <w:bottom w:val="nil"/>
              <w:right w:val="nil"/>
            </w:tcBorders>
            <w:shd w:val="clear" w:color="auto" w:fill="auto"/>
            <w:vAlign w:val="bottom"/>
            <w:hideMark/>
          </w:tcPr>
          <w:p w14:paraId="274DC879" w14:textId="27DF9232" w:rsidR="00D92646" w:rsidRPr="003D1614" w:rsidRDefault="00A2708A" w:rsidP="00D92646">
            <w:pPr>
              <w:suppressAutoHyphens/>
              <w:autoSpaceDN w:val="0"/>
              <w:rPr>
                <w:rFonts w:ascii="Arial" w:eastAsia="Calibri" w:hAnsi="Arial" w:cs="Arial"/>
                <w:b/>
                <w:bCs/>
                <w:color w:val="000000" w:themeColor="text1"/>
                <w:sz w:val="18"/>
                <w:szCs w:val="18"/>
              </w:rPr>
            </w:pPr>
            <w:r w:rsidRPr="00A2708A">
              <w:rPr>
                <w:rFonts w:ascii="Arial" w:eastAsia="Calibri" w:hAnsi="Arial" w:cs="Arial"/>
                <w:b/>
                <w:bCs/>
                <w:color w:val="000000" w:themeColor="text1"/>
                <w:sz w:val="18"/>
                <w:szCs w:val="18"/>
              </w:rPr>
              <w:t>30. rujna 202</w:t>
            </w:r>
            <w:r w:rsidR="00112C7E">
              <w:rPr>
                <w:rFonts w:ascii="Arial" w:eastAsia="Calibri" w:hAnsi="Arial" w:cs="Arial"/>
                <w:b/>
                <w:bCs/>
                <w:color w:val="000000" w:themeColor="text1"/>
                <w:sz w:val="18"/>
                <w:szCs w:val="18"/>
              </w:rPr>
              <w:t>4</w:t>
            </w:r>
            <w:r w:rsidRPr="00A2708A">
              <w:rPr>
                <w:rFonts w:ascii="Arial" w:eastAsia="Calibri" w:hAnsi="Arial" w:cs="Arial"/>
                <w:b/>
                <w:bCs/>
                <w:color w:val="000000" w:themeColor="text1"/>
                <w:sz w:val="18"/>
                <w:szCs w:val="18"/>
              </w:rPr>
              <w:t>.</w:t>
            </w:r>
          </w:p>
        </w:tc>
        <w:tc>
          <w:tcPr>
            <w:tcW w:w="1090" w:type="dxa"/>
            <w:tcBorders>
              <w:top w:val="nil"/>
              <w:left w:val="nil"/>
              <w:bottom w:val="nil"/>
              <w:right w:val="nil"/>
            </w:tcBorders>
            <w:shd w:val="clear" w:color="auto" w:fill="auto"/>
            <w:vAlign w:val="bottom"/>
            <w:hideMark/>
          </w:tcPr>
          <w:p w14:paraId="6E109735"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1</w:t>
            </w:r>
          </w:p>
        </w:tc>
        <w:tc>
          <w:tcPr>
            <w:tcW w:w="1090" w:type="dxa"/>
            <w:tcBorders>
              <w:top w:val="nil"/>
              <w:left w:val="nil"/>
              <w:bottom w:val="nil"/>
              <w:right w:val="nil"/>
            </w:tcBorders>
            <w:shd w:val="clear" w:color="auto" w:fill="auto"/>
            <w:vAlign w:val="bottom"/>
            <w:hideMark/>
          </w:tcPr>
          <w:p w14:paraId="0D85B083"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2</w:t>
            </w:r>
          </w:p>
        </w:tc>
        <w:tc>
          <w:tcPr>
            <w:tcW w:w="1090" w:type="dxa"/>
            <w:tcBorders>
              <w:top w:val="nil"/>
              <w:left w:val="nil"/>
              <w:bottom w:val="nil"/>
              <w:right w:val="nil"/>
            </w:tcBorders>
            <w:shd w:val="clear" w:color="auto" w:fill="auto"/>
            <w:vAlign w:val="bottom"/>
            <w:hideMark/>
          </w:tcPr>
          <w:p w14:paraId="5CD14690"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3</w:t>
            </w:r>
          </w:p>
        </w:tc>
        <w:tc>
          <w:tcPr>
            <w:tcW w:w="1090" w:type="dxa"/>
            <w:tcBorders>
              <w:top w:val="nil"/>
              <w:left w:val="nil"/>
              <w:bottom w:val="nil"/>
              <w:right w:val="nil"/>
            </w:tcBorders>
            <w:shd w:val="clear" w:color="auto" w:fill="auto"/>
            <w:vAlign w:val="bottom"/>
            <w:hideMark/>
          </w:tcPr>
          <w:p w14:paraId="638CEC42"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POCI</w:t>
            </w:r>
          </w:p>
        </w:tc>
        <w:tc>
          <w:tcPr>
            <w:tcW w:w="1090" w:type="dxa"/>
            <w:tcBorders>
              <w:top w:val="nil"/>
              <w:left w:val="nil"/>
              <w:bottom w:val="nil"/>
              <w:right w:val="nil"/>
            </w:tcBorders>
            <w:shd w:val="clear" w:color="auto" w:fill="auto"/>
            <w:vAlign w:val="bottom"/>
            <w:hideMark/>
          </w:tcPr>
          <w:p w14:paraId="30509A09"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Ukupno</w:t>
            </w:r>
          </w:p>
        </w:tc>
      </w:tr>
      <w:tr w:rsidR="00D92646" w:rsidRPr="003D1614" w14:paraId="4C22B5EE" w14:textId="77777777" w:rsidTr="007478FB">
        <w:trPr>
          <w:trHeight w:val="164"/>
        </w:trPr>
        <w:tc>
          <w:tcPr>
            <w:tcW w:w="3931" w:type="dxa"/>
            <w:tcBorders>
              <w:top w:val="nil"/>
              <w:left w:val="nil"/>
              <w:bottom w:val="nil"/>
              <w:right w:val="nil"/>
            </w:tcBorders>
            <w:shd w:val="clear" w:color="auto" w:fill="auto"/>
            <w:vAlign w:val="bottom"/>
            <w:hideMark/>
          </w:tcPr>
          <w:p w14:paraId="61285BF4"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bottom"/>
            <w:hideMark/>
          </w:tcPr>
          <w:p w14:paraId="645C9BDF" w14:textId="6ADAD9A3"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90" w:type="dxa"/>
            <w:tcBorders>
              <w:top w:val="nil"/>
              <w:left w:val="nil"/>
              <w:bottom w:val="nil"/>
              <w:right w:val="nil"/>
            </w:tcBorders>
            <w:shd w:val="clear" w:color="auto" w:fill="auto"/>
            <w:vAlign w:val="bottom"/>
            <w:hideMark/>
          </w:tcPr>
          <w:p w14:paraId="4FD499FF" w14:textId="6046CA28"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90" w:type="dxa"/>
            <w:tcBorders>
              <w:top w:val="nil"/>
              <w:left w:val="nil"/>
              <w:bottom w:val="nil"/>
              <w:right w:val="nil"/>
            </w:tcBorders>
            <w:shd w:val="clear" w:color="auto" w:fill="auto"/>
            <w:vAlign w:val="bottom"/>
            <w:hideMark/>
          </w:tcPr>
          <w:p w14:paraId="2A249944" w14:textId="516BD5A2"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90" w:type="dxa"/>
            <w:tcBorders>
              <w:top w:val="nil"/>
              <w:left w:val="nil"/>
              <w:bottom w:val="nil"/>
              <w:right w:val="nil"/>
            </w:tcBorders>
            <w:shd w:val="clear" w:color="auto" w:fill="auto"/>
            <w:vAlign w:val="bottom"/>
            <w:hideMark/>
          </w:tcPr>
          <w:p w14:paraId="59188012" w14:textId="7306AA2A"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90" w:type="dxa"/>
            <w:tcBorders>
              <w:top w:val="nil"/>
              <w:left w:val="nil"/>
              <w:bottom w:val="nil"/>
              <w:right w:val="nil"/>
            </w:tcBorders>
            <w:shd w:val="clear" w:color="auto" w:fill="auto"/>
            <w:vAlign w:val="bottom"/>
            <w:hideMark/>
          </w:tcPr>
          <w:p w14:paraId="1BF61F7D" w14:textId="5CBBBF2C"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r>
      <w:tr w:rsidR="00D92646" w:rsidRPr="003D1614" w14:paraId="6F7C4BDF" w14:textId="77777777" w:rsidTr="007478FB">
        <w:trPr>
          <w:trHeight w:val="164"/>
        </w:trPr>
        <w:tc>
          <w:tcPr>
            <w:tcW w:w="3931" w:type="dxa"/>
            <w:tcBorders>
              <w:top w:val="nil"/>
              <w:left w:val="nil"/>
              <w:bottom w:val="nil"/>
              <w:right w:val="nil"/>
            </w:tcBorders>
            <w:shd w:val="clear" w:color="auto" w:fill="auto"/>
            <w:vAlign w:val="bottom"/>
          </w:tcPr>
          <w:p w14:paraId="6AAA5C27"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bottom"/>
          </w:tcPr>
          <w:p w14:paraId="249E2534"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bottom"/>
          </w:tcPr>
          <w:p w14:paraId="6205F7FB"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bottom"/>
          </w:tcPr>
          <w:p w14:paraId="1A074BF3"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bottom"/>
          </w:tcPr>
          <w:p w14:paraId="24F9751B"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bottom"/>
          </w:tcPr>
          <w:p w14:paraId="110E5FC2"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r>
      <w:tr w:rsidR="009E280E" w:rsidRPr="003D1614" w14:paraId="1F6F1068" w14:textId="77777777" w:rsidTr="007478FB">
        <w:trPr>
          <w:trHeight w:val="164"/>
        </w:trPr>
        <w:tc>
          <w:tcPr>
            <w:tcW w:w="3931" w:type="dxa"/>
            <w:tcBorders>
              <w:top w:val="nil"/>
              <w:left w:val="nil"/>
              <w:bottom w:val="nil"/>
              <w:right w:val="nil"/>
            </w:tcBorders>
            <w:shd w:val="clear" w:color="auto" w:fill="auto"/>
            <w:vAlign w:val="bottom"/>
            <w:hideMark/>
          </w:tcPr>
          <w:p w14:paraId="0E77A546" w14:textId="5410CF21" w:rsidR="009E280E" w:rsidRPr="003D1614" w:rsidRDefault="009E280E" w:rsidP="009E280E">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Stanje 1. siječnja 202</w:t>
            </w:r>
            <w:r w:rsidR="00112C7E">
              <w:rPr>
                <w:rFonts w:ascii="Arial" w:eastAsia="Calibri" w:hAnsi="Arial" w:cs="Arial"/>
                <w:color w:val="000000" w:themeColor="text1"/>
                <w:sz w:val="18"/>
                <w:szCs w:val="18"/>
              </w:rPr>
              <w:t>4</w:t>
            </w:r>
            <w:r w:rsidRPr="003D1614">
              <w:rPr>
                <w:rFonts w:ascii="Arial" w:eastAsia="Calibri" w:hAnsi="Arial" w:cs="Arial"/>
                <w:color w:val="000000" w:themeColor="text1"/>
                <w:sz w:val="18"/>
                <w:szCs w:val="18"/>
              </w:rPr>
              <w:t xml:space="preserve">. </w:t>
            </w:r>
          </w:p>
        </w:tc>
        <w:tc>
          <w:tcPr>
            <w:tcW w:w="1090" w:type="dxa"/>
            <w:shd w:val="clear" w:color="auto" w:fill="auto"/>
            <w:vAlign w:val="bottom"/>
          </w:tcPr>
          <w:p w14:paraId="1F0C1A44" w14:textId="43D0E7F9" w:rsidR="009E280E" w:rsidRPr="003D1614" w:rsidRDefault="00CB679B" w:rsidP="009E280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221</w:t>
            </w:r>
          </w:p>
        </w:tc>
        <w:tc>
          <w:tcPr>
            <w:tcW w:w="1090" w:type="dxa"/>
            <w:shd w:val="clear" w:color="auto" w:fill="auto"/>
            <w:vAlign w:val="bottom"/>
          </w:tcPr>
          <w:p w14:paraId="2E586025" w14:textId="40601F69" w:rsidR="009E280E" w:rsidRPr="003D1614" w:rsidRDefault="00CB679B" w:rsidP="009E280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0F6D4330" w14:textId="42A1E4D3" w:rsidR="009E280E" w:rsidRPr="003D1614" w:rsidRDefault="00CB679B" w:rsidP="009E280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6DB73072" w14:textId="57D438C9" w:rsidR="009E280E" w:rsidRPr="003D1614" w:rsidRDefault="00CB679B" w:rsidP="009E280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27CA8578" w14:textId="7988C4BB" w:rsidR="009E280E" w:rsidRPr="003C1C2F" w:rsidRDefault="00CB679B" w:rsidP="009E280E">
            <w:pPr>
              <w:suppressAutoHyphens/>
              <w:autoSpaceDN w:val="0"/>
              <w:jc w:val="right"/>
              <w:rPr>
                <w:rFonts w:ascii="Arial" w:eastAsia="Calibri" w:hAnsi="Arial" w:cs="Arial"/>
                <w:b/>
                <w:bCs/>
                <w:color w:val="000000" w:themeColor="text1"/>
                <w:sz w:val="18"/>
                <w:szCs w:val="18"/>
              </w:rPr>
            </w:pPr>
            <w:r w:rsidRPr="003C1C2F">
              <w:rPr>
                <w:rFonts w:ascii="Arial" w:eastAsia="Calibri" w:hAnsi="Arial" w:cs="Arial"/>
                <w:b/>
                <w:bCs/>
                <w:color w:val="000000" w:themeColor="text1"/>
                <w:sz w:val="18"/>
                <w:szCs w:val="18"/>
              </w:rPr>
              <w:t>221</w:t>
            </w:r>
          </w:p>
        </w:tc>
      </w:tr>
      <w:tr w:rsidR="00AA31B9" w:rsidRPr="003D1614" w14:paraId="79EE2C5D" w14:textId="77777777" w:rsidTr="007478FB">
        <w:trPr>
          <w:trHeight w:val="164"/>
        </w:trPr>
        <w:tc>
          <w:tcPr>
            <w:tcW w:w="3931" w:type="dxa"/>
            <w:tcBorders>
              <w:top w:val="nil"/>
              <w:left w:val="nil"/>
              <w:bottom w:val="nil"/>
              <w:right w:val="nil"/>
            </w:tcBorders>
            <w:shd w:val="clear" w:color="auto" w:fill="auto"/>
            <w:vAlign w:val="bottom"/>
            <w:hideMark/>
          </w:tcPr>
          <w:p w14:paraId="02D52806" w14:textId="77777777" w:rsidR="00AA31B9" w:rsidRPr="003D1614" w:rsidRDefault="00AA31B9" w:rsidP="00AA31B9">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1</w:t>
            </w:r>
          </w:p>
        </w:tc>
        <w:tc>
          <w:tcPr>
            <w:tcW w:w="1090" w:type="dxa"/>
            <w:tcBorders>
              <w:top w:val="nil"/>
              <w:left w:val="nil"/>
              <w:right w:val="nil"/>
            </w:tcBorders>
            <w:shd w:val="clear" w:color="auto" w:fill="auto"/>
            <w:vAlign w:val="bottom"/>
          </w:tcPr>
          <w:p w14:paraId="466D112C" w14:textId="2A7DDCDD" w:rsidR="00AA31B9" w:rsidRPr="003D1614" w:rsidRDefault="00D0692E" w:rsidP="00AA31B9">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61389828" w14:textId="1E3E7E77" w:rsidR="00AA31B9" w:rsidRPr="003D1614" w:rsidRDefault="006755D2" w:rsidP="00AA31B9">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533218D6" w14:textId="4D7C7C25" w:rsidR="00AA31B9" w:rsidRPr="003D1614" w:rsidRDefault="006755D2" w:rsidP="00AA31B9">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43EFAF92" w14:textId="08517698" w:rsidR="00AA31B9" w:rsidRPr="003D1614" w:rsidRDefault="006755D2" w:rsidP="00AA31B9">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5D2F481B" w14:textId="5C28F64D" w:rsidR="00AA31B9" w:rsidRPr="003C1C2F" w:rsidRDefault="00CB679B" w:rsidP="00AA31B9">
            <w:pPr>
              <w:suppressAutoHyphens/>
              <w:autoSpaceDN w:val="0"/>
              <w:jc w:val="right"/>
              <w:rPr>
                <w:rFonts w:ascii="Arial" w:eastAsia="Calibri" w:hAnsi="Arial" w:cs="Arial"/>
                <w:b/>
                <w:bCs/>
                <w:color w:val="000000" w:themeColor="text1"/>
                <w:sz w:val="18"/>
                <w:szCs w:val="18"/>
              </w:rPr>
            </w:pPr>
            <w:r w:rsidRPr="003C1C2F">
              <w:rPr>
                <w:rFonts w:ascii="Arial" w:eastAsia="Calibri" w:hAnsi="Arial" w:cs="Arial"/>
                <w:b/>
                <w:bCs/>
                <w:color w:val="000000" w:themeColor="text1"/>
                <w:sz w:val="18"/>
                <w:szCs w:val="18"/>
              </w:rPr>
              <w:t>-</w:t>
            </w:r>
          </w:p>
        </w:tc>
      </w:tr>
      <w:tr w:rsidR="00AA31B9" w:rsidRPr="003D1614" w14:paraId="743AF0F0" w14:textId="77777777" w:rsidTr="007478FB">
        <w:trPr>
          <w:trHeight w:val="164"/>
        </w:trPr>
        <w:tc>
          <w:tcPr>
            <w:tcW w:w="3931" w:type="dxa"/>
            <w:tcBorders>
              <w:top w:val="nil"/>
              <w:left w:val="nil"/>
              <w:bottom w:val="nil"/>
              <w:right w:val="nil"/>
            </w:tcBorders>
            <w:shd w:val="clear" w:color="auto" w:fill="auto"/>
            <w:vAlign w:val="bottom"/>
          </w:tcPr>
          <w:p w14:paraId="4128F5F4" w14:textId="77777777" w:rsidR="00AA31B9" w:rsidRPr="003D1614" w:rsidRDefault="00AA31B9" w:rsidP="00AA31B9">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2</w:t>
            </w:r>
          </w:p>
        </w:tc>
        <w:tc>
          <w:tcPr>
            <w:tcW w:w="1090" w:type="dxa"/>
            <w:tcBorders>
              <w:top w:val="nil"/>
              <w:left w:val="nil"/>
              <w:right w:val="nil"/>
            </w:tcBorders>
            <w:shd w:val="clear" w:color="auto" w:fill="auto"/>
            <w:vAlign w:val="bottom"/>
          </w:tcPr>
          <w:p w14:paraId="5B706961" w14:textId="398ECB8C" w:rsidR="00AA31B9" w:rsidRPr="003D1614" w:rsidRDefault="00D0692E" w:rsidP="00AA31B9">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0287A2FB" w14:textId="2720D072" w:rsidR="00AA31B9" w:rsidRPr="003D1614" w:rsidRDefault="006755D2" w:rsidP="00AA31B9">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28842A83" w14:textId="1A8FFE1F" w:rsidR="00AA31B9" w:rsidRPr="003D1614" w:rsidRDefault="006755D2" w:rsidP="00AA31B9">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715FA753" w14:textId="48571343" w:rsidR="00AA31B9" w:rsidRPr="003D1614" w:rsidRDefault="006755D2" w:rsidP="00AA31B9">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7DA313C9" w14:textId="697C1FB3" w:rsidR="00AA31B9" w:rsidRPr="003C1C2F" w:rsidRDefault="006755D2" w:rsidP="00AA31B9">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r>
      <w:tr w:rsidR="00AA31B9" w:rsidRPr="003D1614" w14:paraId="554A73FB" w14:textId="77777777" w:rsidTr="007478FB">
        <w:trPr>
          <w:trHeight w:val="164"/>
        </w:trPr>
        <w:tc>
          <w:tcPr>
            <w:tcW w:w="3931" w:type="dxa"/>
            <w:tcBorders>
              <w:top w:val="nil"/>
              <w:left w:val="nil"/>
              <w:bottom w:val="nil"/>
              <w:right w:val="nil"/>
            </w:tcBorders>
            <w:shd w:val="clear" w:color="auto" w:fill="auto"/>
            <w:vAlign w:val="bottom"/>
          </w:tcPr>
          <w:p w14:paraId="143A2F2F" w14:textId="77777777" w:rsidR="00AA31B9" w:rsidRPr="003D1614" w:rsidRDefault="00AA31B9" w:rsidP="00AA31B9">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3</w:t>
            </w:r>
          </w:p>
        </w:tc>
        <w:tc>
          <w:tcPr>
            <w:tcW w:w="1090" w:type="dxa"/>
            <w:tcBorders>
              <w:top w:val="nil"/>
              <w:left w:val="nil"/>
              <w:right w:val="nil"/>
            </w:tcBorders>
            <w:shd w:val="clear" w:color="auto" w:fill="auto"/>
            <w:vAlign w:val="bottom"/>
          </w:tcPr>
          <w:p w14:paraId="1730EBA1" w14:textId="36239BB7" w:rsidR="00AA31B9" w:rsidRPr="003D1614" w:rsidRDefault="00D0692E" w:rsidP="00AA31B9">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4ACC32E4" w14:textId="4403A258" w:rsidR="00AA31B9" w:rsidRPr="003D1614" w:rsidRDefault="006755D2" w:rsidP="00AA31B9">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16C91F89" w14:textId="3DD7E478" w:rsidR="00AA31B9" w:rsidRPr="003D1614" w:rsidRDefault="006755D2" w:rsidP="00AA31B9">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3CCB81EB" w14:textId="240DDC52" w:rsidR="00AA31B9" w:rsidRPr="003D1614" w:rsidRDefault="006755D2" w:rsidP="00AA31B9">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6643E238" w14:textId="35C30E09" w:rsidR="00AA31B9" w:rsidRPr="003C1C2F" w:rsidRDefault="006755D2" w:rsidP="00AA31B9">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r>
      <w:tr w:rsidR="00AA31B9" w:rsidRPr="003D1614" w14:paraId="307784BC" w14:textId="77777777" w:rsidTr="007478FB">
        <w:trPr>
          <w:trHeight w:val="204"/>
        </w:trPr>
        <w:tc>
          <w:tcPr>
            <w:tcW w:w="3931" w:type="dxa"/>
            <w:tcBorders>
              <w:top w:val="nil"/>
              <w:left w:val="nil"/>
              <w:bottom w:val="nil"/>
              <w:right w:val="nil"/>
            </w:tcBorders>
            <w:shd w:val="clear" w:color="auto" w:fill="auto"/>
            <w:vAlign w:val="bottom"/>
            <w:hideMark/>
          </w:tcPr>
          <w:p w14:paraId="245044C5" w14:textId="32FE830C" w:rsidR="00AA31B9" w:rsidRPr="003D1614" w:rsidRDefault="00AA31B9" w:rsidP="00AA31B9">
            <w:pPr>
              <w:suppressAutoHyphens/>
              <w:autoSpaceDN w:val="0"/>
              <w:rPr>
                <w:rFonts w:ascii="Arial" w:eastAsia="Calibri" w:hAnsi="Arial" w:cs="Arial"/>
                <w:color w:val="000000" w:themeColor="text1"/>
                <w:sz w:val="18"/>
                <w:szCs w:val="18"/>
              </w:rPr>
            </w:pPr>
            <w:r w:rsidRPr="002708C9">
              <w:rPr>
                <w:rFonts w:ascii="Arial" w:eastAsia="Calibri" w:hAnsi="Arial" w:cs="Arial"/>
                <w:color w:val="000000" w:themeColor="text1"/>
                <w:sz w:val="18"/>
                <w:szCs w:val="18"/>
              </w:rPr>
              <w:t xml:space="preserve">Neto </w:t>
            </w:r>
            <w:r w:rsidR="003E0E4A">
              <w:rPr>
                <w:rFonts w:ascii="Arial" w:eastAsia="Calibri" w:hAnsi="Arial" w:cs="Arial"/>
                <w:color w:val="000000" w:themeColor="text1"/>
                <w:sz w:val="18"/>
                <w:szCs w:val="18"/>
              </w:rPr>
              <w:t>(smanjenje)</w:t>
            </w:r>
            <w:r w:rsidRPr="002708C9">
              <w:rPr>
                <w:rFonts w:ascii="Arial" w:eastAsia="Calibri" w:hAnsi="Arial" w:cs="Arial"/>
                <w:color w:val="000000" w:themeColor="text1"/>
                <w:sz w:val="18"/>
                <w:szCs w:val="18"/>
              </w:rPr>
              <w:t xml:space="preserve"> rezerviranja</w:t>
            </w:r>
            <w:r w:rsidRPr="003D1614">
              <w:rPr>
                <w:rFonts w:ascii="Arial" w:eastAsia="Calibri" w:hAnsi="Arial" w:cs="Arial"/>
                <w:color w:val="000000" w:themeColor="text1"/>
                <w:sz w:val="18"/>
                <w:szCs w:val="18"/>
              </w:rPr>
              <w:t xml:space="preserve"> za očekivane gubitke </w:t>
            </w:r>
          </w:p>
        </w:tc>
        <w:tc>
          <w:tcPr>
            <w:tcW w:w="1090" w:type="dxa"/>
            <w:shd w:val="clear" w:color="auto" w:fill="auto"/>
            <w:vAlign w:val="bottom"/>
          </w:tcPr>
          <w:p w14:paraId="366AF237" w14:textId="00E6ED52" w:rsidR="00AA31B9" w:rsidRPr="003D1614" w:rsidRDefault="00D0692E" w:rsidP="00AA31B9">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(92)</w:t>
            </w:r>
          </w:p>
        </w:tc>
        <w:tc>
          <w:tcPr>
            <w:tcW w:w="1090" w:type="dxa"/>
            <w:tcBorders>
              <w:top w:val="nil"/>
              <w:left w:val="nil"/>
              <w:right w:val="nil"/>
            </w:tcBorders>
            <w:shd w:val="clear" w:color="auto" w:fill="auto"/>
            <w:vAlign w:val="bottom"/>
          </w:tcPr>
          <w:p w14:paraId="3FDAE7BF" w14:textId="362B1CB6" w:rsidR="00AA31B9" w:rsidRPr="003D1614" w:rsidRDefault="00D0692E" w:rsidP="00AA31B9">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4BF953F7" w14:textId="2EF93541" w:rsidR="00AA31B9" w:rsidRPr="003D1614" w:rsidRDefault="00D0692E" w:rsidP="00AA31B9">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371712CF" w14:textId="297CDA54" w:rsidR="00AA31B9" w:rsidRPr="003D1614" w:rsidRDefault="00D0692E" w:rsidP="00AA31B9">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0B394E24" w14:textId="088CB9A1" w:rsidR="00AA31B9" w:rsidRPr="003C1C2F" w:rsidRDefault="00D0692E" w:rsidP="00AA31B9">
            <w:pPr>
              <w:suppressAutoHyphens/>
              <w:autoSpaceDN w:val="0"/>
              <w:jc w:val="right"/>
              <w:rPr>
                <w:rFonts w:ascii="Arial" w:eastAsia="Calibri" w:hAnsi="Arial" w:cs="Arial"/>
                <w:b/>
                <w:bCs/>
                <w:color w:val="000000" w:themeColor="text1"/>
                <w:sz w:val="18"/>
                <w:szCs w:val="18"/>
              </w:rPr>
            </w:pPr>
            <w:r w:rsidRPr="003C1C2F">
              <w:rPr>
                <w:rFonts w:ascii="Arial" w:eastAsia="Calibri" w:hAnsi="Arial" w:cs="Arial"/>
                <w:b/>
                <w:bCs/>
                <w:color w:val="000000" w:themeColor="text1"/>
                <w:sz w:val="18"/>
                <w:szCs w:val="18"/>
              </w:rPr>
              <w:t>(92)</w:t>
            </w:r>
          </w:p>
        </w:tc>
      </w:tr>
      <w:tr w:rsidR="00AA31B9" w:rsidRPr="003D1614" w14:paraId="18A782A6" w14:textId="77777777" w:rsidTr="007478FB">
        <w:trPr>
          <w:trHeight w:val="172"/>
        </w:trPr>
        <w:tc>
          <w:tcPr>
            <w:tcW w:w="3931" w:type="dxa"/>
            <w:tcBorders>
              <w:top w:val="nil"/>
              <w:left w:val="nil"/>
              <w:bottom w:val="nil"/>
              <w:right w:val="nil"/>
            </w:tcBorders>
            <w:shd w:val="clear" w:color="auto" w:fill="auto"/>
            <w:vAlign w:val="bottom"/>
            <w:hideMark/>
          </w:tcPr>
          <w:p w14:paraId="439D12CB" w14:textId="71043A0D" w:rsidR="00AA31B9" w:rsidRPr="003D1614" w:rsidRDefault="00AA31B9" w:rsidP="00AA31B9">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 xml:space="preserve">Stanje </w:t>
            </w:r>
            <w:r w:rsidRPr="00A2708A">
              <w:rPr>
                <w:rFonts w:ascii="Arial" w:eastAsia="Calibri" w:hAnsi="Arial" w:cs="Arial"/>
                <w:b/>
                <w:bCs/>
                <w:color w:val="000000" w:themeColor="text1"/>
                <w:sz w:val="18"/>
                <w:szCs w:val="18"/>
              </w:rPr>
              <w:t>30. rujna 202</w:t>
            </w:r>
            <w:r w:rsidR="00112C7E">
              <w:rPr>
                <w:rFonts w:ascii="Arial" w:eastAsia="Calibri" w:hAnsi="Arial" w:cs="Arial"/>
                <w:b/>
                <w:bCs/>
                <w:color w:val="000000" w:themeColor="text1"/>
                <w:sz w:val="18"/>
                <w:szCs w:val="18"/>
              </w:rPr>
              <w:t>4</w:t>
            </w:r>
            <w:r w:rsidRPr="00A2708A">
              <w:rPr>
                <w:rFonts w:ascii="Arial" w:eastAsia="Calibri" w:hAnsi="Arial" w:cs="Arial"/>
                <w:b/>
                <w:bCs/>
                <w:color w:val="000000" w:themeColor="text1"/>
                <w:sz w:val="18"/>
                <w:szCs w:val="18"/>
              </w:rPr>
              <w:t>.</w:t>
            </w:r>
          </w:p>
        </w:tc>
        <w:tc>
          <w:tcPr>
            <w:tcW w:w="1090" w:type="dxa"/>
            <w:tcBorders>
              <w:top w:val="single" w:sz="4" w:space="0" w:color="auto"/>
              <w:left w:val="nil"/>
              <w:bottom w:val="single" w:sz="12" w:space="0" w:color="auto"/>
              <w:right w:val="nil"/>
            </w:tcBorders>
            <w:shd w:val="clear" w:color="auto" w:fill="auto"/>
            <w:vAlign w:val="bottom"/>
          </w:tcPr>
          <w:p w14:paraId="7BE6CCE2" w14:textId="6A819DFF" w:rsidR="00AA31B9" w:rsidRPr="003D1614" w:rsidRDefault="00D0692E" w:rsidP="00AA31B9">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129</w:t>
            </w:r>
          </w:p>
        </w:tc>
        <w:tc>
          <w:tcPr>
            <w:tcW w:w="1090" w:type="dxa"/>
            <w:tcBorders>
              <w:top w:val="single" w:sz="4" w:space="0" w:color="auto"/>
              <w:left w:val="nil"/>
              <w:bottom w:val="single" w:sz="12" w:space="0" w:color="auto"/>
              <w:right w:val="nil"/>
            </w:tcBorders>
            <w:shd w:val="clear" w:color="auto" w:fill="auto"/>
            <w:vAlign w:val="bottom"/>
          </w:tcPr>
          <w:p w14:paraId="604F03D1" w14:textId="09973654" w:rsidR="00AA31B9" w:rsidRPr="003D1614" w:rsidRDefault="00D0692E" w:rsidP="00AA31B9">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c>
          <w:tcPr>
            <w:tcW w:w="1090" w:type="dxa"/>
            <w:tcBorders>
              <w:top w:val="single" w:sz="4" w:space="0" w:color="auto"/>
              <w:left w:val="nil"/>
              <w:bottom w:val="single" w:sz="12" w:space="0" w:color="auto"/>
              <w:right w:val="nil"/>
            </w:tcBorders>
            <w:shd w:val="clear" w:color="auto" w:fill="auto"/>
            <w:vAlign w:val="bottom"/>
          </w:tcPr>
          <w:p w14:paraId="525263BC" w14:textId="090BDD35" w:rsidR="00AA31B9" w:rsidRPr="003D1614" w:rsidRDefault="00D0692E" w:rsidP="00AA31B9">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c>
          <w:tcPr>
            <w:tcW w:w="1090" w:type="dxa"/>
            <w:tcBorders>
              <w:top w:val="single" w:sz="4" w:space="0" w:color="auto"/>
              <w:left w:val="nil"/>
              <w:bottom w:val="single" w:sz="12" w:space="0" w:color="auto"/>
              <w:right w:val="nil"/>
            </w:tcBorders>
            <w:shd w:val="clear" w:color="auto" w:fill="auto"/>
            <w:vAlign w:val="bottom"/>
          </w:tcPr>
          <w:p w14:paraId="3DC8F1F9" w14:textId="2731DF92" w:rsidR="00AA31B9" w:rsidRPr="003D1614" w:rsidRDefault="00D0692E" w:rsidP="00AA31B9">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c>
          <w:tcPr>
            <w:tcW w:w="1090" w:type="dxa"/>
            <w:tcBorders>
              <w:top w:val="single" w:sz="4" w:space="0" w:color="auto"/>
              <w:left w:val="nil"/>
              <w:bottom w:val="single" w:sz="12" w:space="0" w:color="auto"/>
              <w:right w:val="nil"/>
            </w:tcBorders>
            <w:shd w:val="clear" w:color="auto" w:fill="auto"/>
            <w:vAlign w:val="bottom"/>
          </w:tcPr>
          <w:p w14:paraId="60F7ACA8" w14:textId="61AAC1EE" w:rsidR="00AA31B9" w:rsidRPr="003D1614" w:rsidRDefault="00D0692E" w:rsidP="00AA31B9">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129</w:t>
            </w:r>
          </w:p>
        </w:tc>
      </w:tr>
    </w:tbl>
    <w:p w14:paraId="6D4BD712" w14:textId="77777777" w:rsidR="00D92646" w:rsidRPr="003D1614" w:rsidRDefault="00D92646" w:rsidP="00D92646">
      <w:pPr>
        <w:suppressAutoHyphens/>
        <w:autoSpaceDN w:val="0"/>
        <w:rPr>
          <w:rFonts w:ascii="Arial" w:eastAsia="Calibri" w:hAnsi="Arial" w:cs="Arial"/>
          <w:color w:val="000000" w:themeColor="text1"/>
          <w:sz w:val="20"/>
          <w:szCs w:val="20"/>
        </w:rPr>
      </w:pPr>
    </w:p>
    <w:p w14:paraId="3335F43E" w14:textId="3475B92D" w:rsidR="00D92646" w:rsidRPr="003D1614" w:rsidRDefault="00D92646" w:rsidP="001A0FCB">
      <w:pPr>
        <w:suppressAutoHyphens/>
        <w:autoSpaceDN w:val="0"/>
        <w:jc w:val="both"/>
        <w:rPr>
          <w:rFonts w:ascii="Arial" w:eastAsia="Times New Roman" w:hAnsi="Arial" w:cs="Arial"/>
          <w:color w:val="000000" w:themeColor="text1"/>
          <w:sz w:val="20"/>
          <w:szCs w:val="20"/>
        </w:rPr>
      </w:pPr>
    </w:p>
    <w:p w14:paraId="234DB9DB" w14:textId="262A88F3" w:rsidR="00D92646" w:rsidRPr="003D1614" w:rsidRDefault="00D92646" w:rsidP="001A0FCB">
      <w:pPr>
        <w:suppressAutoHyphens/>
        <w:autoSpaceDN w:val="0"/>
        <w:jc w:val="both"/>
        <w:rPr>
          <w:rFonts w:ascii="Arial" w:eastAsia="Times New Roman" w:hAnsi="Arial" w:cs="Arial"/>
          <w:color w:val="000000" w:themeColor="text1"/>
          <w:sz w:val="20"/>
          <w:szCs w:val="20"/>
        </w:rPr>
      </w:pPr>
    </w:p>
    <w:tbl>
      <w:tblPr>
        <w:tblW w:w="9381" w:type="dxa"/>
        <w:tblInd w:w="-142" w:type="dxa"/>
        <w:tblLook w:val="04A0" w:firstRow="1" w:lastRow="0" w:firstColumn="1" w:lastColumn="0" w:noHBand="0" w:noVBand="1"/>
      </w:tblPr>
      <w:tblGrid>
        <w:gridCol w:w="3931"/>
        <w:gridCol w:w="1090"/>
        <w:gridCol w:w="1090"/>
        <w:gridCol w:w="1090"/>
        <w:gridCol w:w="1090"/>
        <w:gridCol w:w="1090"/>
      </w:tblGrid>
      <w:tr w:rsidR="008E2F58" w:rsidRPr="001B015B" w14:paraId="47EF9E37" w14:textId="77777777" w:rsidTr="0034622E">
        <w:trPr>
          <w:trHeight w:val="164"/>
        </w:trPr>
        <w:tc>
          <w:tcPr>
            <w:tcW w:w="3931" w:type="dxa"/>
            <w:tcBorders>
              <w:top w:val="nil"/>
              <w:left w:val="nil"/>
              <w:bottom w:val="nil"/>
              <w:right w:val="nil"/>
            </w:tcBorders>
            <w:shd w:val="clear" w:color="auto" w:fill="auto"/>
            <w:vAlign w:val="center"/>
          </w:tcPr>
          <w:p w14:paraId="7BB0EC07" w14:textId="77777777" w:rsidR="008E2F58" w:rsidRPr="001B015B" w:rsidRDefault="008E2F58" w:rsidP="0034622E">
            <w:pPr>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Grupa</w:t>
            </w:r>
          </w:p>
        </w:tc>
        <w:tc>
          <w:tcPr>
            <w:tcW w:w="1090" w:type="dxa"/>
            <w:tcBorders>
              <w:top w:val="nil"/>
              <w:left w:val="nil"/>
              <w:bottom w:val="nil"/>
              <w:right w:val="nil"/>
            </w:tcBorders>
            <w:shd w:val="clear" w:color="auto" w:fill="auto"/>
            <w:vAlign w:val="center"/>
          </w:tcPr>
          <w:p w14:paraId="4D5BB650" w14:textId="77777777" w:rsidR="008E2F58" w:rsidRPr="001B015B" w:rsidRDefault="008E2F58" w:rsidP="0034622E">
            <w:pPr>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526DF8F2" w14:textId="77777777" w:rsidR="008E2F58" w:rsidRPr="001B015B" w:rsidRDefault="008E2F58" w:rsidP="0034622E">
            <w:pPr>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5FF44C9B" w14:textId="77777777" w:rsidR="008E2F58" w:rsidRPr="001B015B" w:rsidRDefault="008E2F58" w:rsidP="0034622E">
            <w:pPr>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3A2BB757" w14:textId="77777777" w:rsidR="008E2F58" w:rsidRPr="001B015B" w:rsidRDefault="008E2F58" w:rsidP="0034622E">
            <w:pPr>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3A256710" w14:textId="46531266" w:rsidR="008E2F58" w:rsidRPr="001B015B" w:rsidRDefault="008E2F58" w:rsidP="0034622E">
            <w:pPr>
              <w:jc w:val="right"/>
              <w:rPr>
                <w:rFonts w:ascii="Arial" w:eastAsia="Calibri" w:hAnsi="Arial" w:cs="Arial"/>
                <w:b/>
                <w:bCs/>
                <w:color w:val="000000" w:themeColor="text1"/>
                <w:sz w:val="18"/>
                <w:szCs w:val="18"/>
              </w:rPr>
            </w:pPr>
          </w:p>
        </w:tc>
      </w:tr>
      <w:tr w:rsidR="008E2F58" w:rsidRPr="001B015B" w14:paraId="1C9894DF" w14:textId="77777777" w:rsidTr="0034622E">
        <w:trPr>
          <w:trHeight w:val="164"/>
        </w:trPr>
        <w:tc>
          <w:tcPr>
            <w:tcW w:w="3931" w:type="dxa"/>
            <w:tcBorders>
              <w:top w:val="nil"/>
              <w:left w:val="nil"/>
              <w:bottom w:val="nil"/>
              <w:right w:val="nil"/>
            </w:tcBorders>
            <w:shd w:val="clear" w:color="auto" w:fill="auto"/>
            <w:vAlign w:val="center"/>
            <w:hideMark/>
          </w:tcPr>
          <w:p w14:paraId="4E956FCF" w14:textId="77777777" w:rsidR="008E2F58" w:rsidRPr="001B015B" w:rsidRDefault="008E2F58" w:rsidP="0034622E">
            <w:pPr>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31. prosinca 202</w:t>
            </w:r>
            <w:r>
              <w:rPr>
                <w:rFonts w:ascii="Arial" w:eastAsia="Calibri" w:hAnsi="Arial" w:cs="Arial"/>
                <w:b/>
                <w:bCs/>
                <w:color w:val="000000" w:themeColor="text1"/>
                <w:sz w:val="18"/>
                <w:szCs w:val="18"/>
              </w:rPr>
              <w:t>3</w:t>
            </w:r>
            <w:r w:rsidRPr="001B015B">
              <w:rPr>
                <w:rFonts w:ascii="Arial" w:eastAsia="Calibri" w:hAnsi="Arial" w:cs="Arial"/>
                <w:b/>
                <w:bCs/>
                <w:color w:val="000000" w:themeColor="text1"/>
                <w:sz w:val="18"/>
                <w:szCs w:val="18"/>
              </w:rPr>
              <w:t>.</w:t>
            </w:r>
          </w:p>
        </w:tc>
        <w:tc>
          <w:tcPr>
            <w:tcW w:w="1090" w:type="dxa"/>
            <w:tcBorders>
              <w:top w:val="nil"/>
              <w:left w:val="nil"/>
              <w:bottom w:val="nil"/>
              <w:right w:val="nil"/>
            </w:tcBorders>
            <w:shd w:val="clear" w:color="auto" w:fill="auto"/>
            <w:vAlign w:val="center"/>
            <w:hideMark/>
          </w:tcPr>
          <w:p w14:paraId="55EF2B25" w14:textId="77777777" w:rsidR="008E2F58" w:rsidRPr="001B015B" w:rsidRDefault="008E2F58" w:rsidP="0034622E">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Stupanj 1</w:t>
            </w:r>
          </w:p>
        </w:tc>
        <w:tc>
          <w:tcPr>
            <w:tcW w:w="1090" w:type="dxa"/>
            <w:tcBorders>
              <w:top w:val="nil"/>
              <w:left w:val="nil"/>
              <w:bottom w:val="nil"/>
              <w:right w:val="nil"/>
            </w:tcBorders>
            <w:shd w:val="clear" w:color="auto" w:fill="auto"/>
            <w:vAlign w:val="center"/>
            <w:hideMark/>
          </w:tcPr>
          <w:p w14:paraId="53570734" w14:textId="77777777" w:rsidR="008E2F58" w:rsidRPr="001B015B" w:rsidRDefault="008E2F58" w:rsidP="0034622E">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Stupanj 2</w:t>
            </w:r>
          </w:p>
        </w:tc>
        <w:tc>
          <w:tcPr>
            <w:tcW w:w="1090" w:type="dxa"/>
            <w:tcBorders>
              <w:top w:val="nil"/>
              <w:left w:val="nil"/>
              <w:bottom w:val="nil"/>
              <w:right w:val="nil"/>
            </w:tcBorders>
            <w:shd w:val="clear" w:color="auto" w:fill="auto"/>
            <w:vAlign w:val="center"/>
            <w:hideMark/>
          </w:tcPr>
          <w:p w14:paraId="4CBC2AC9" w14:textId="77777777" w:rsidR="008E2F58" w:rsidRPr="001B015B" w:rsidRDefault="008E2F58" w:rsidP="0034622E">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Stupanj 3</w:t>
            </w:r>
          </w:p>
        </w:tc>
        <w:tc>
          <w:tcPr>
            <w:tcW w:w="1090" w:type="dxa"/>
            <w:tcBorders>
              <w:top w:val="nil"/>
              <w:left w:val="nil"/>
              <w:bottom w:val="nil"/>
              <w:right w:val="nil"/>
            </w:tcBorders>
            <w:shd w:val="clear" w:color="auto" w:fill="auto"/>
            <w:vAlign w:val="center"/>
            <w:hideMark/>
          </w:tcPr>
          <w:p w14:paraId="69C23324" w14:textId="77777777" w:rsidR="008E2F58" w:rsidRPr="001B015B" w:rsidRDefault="008E2F58" w:rsidP="0034622E">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POCI</w:t>
            </w:r>
          </w:p>
        </w:tc>
        <w:tc>
          <w:tcPr>
            <w:tcW w:w="1090" w:type="dxa"/>
            <w:tcBorders>
              <w:top w:val="nil"/>
              <w:left w:val="nil"/>
              <w:bottom w:val="nil"/>
              <w:right w:val="nil"/>
            </w:tcBorders>
            <w:shd w:val="clear" w:color="auto" w:fill="auto"/>
            <w:vAlign w:val="center"/>
            <w:hideMark/>
          </w:tcPr>
          <w:p w14:paraId="5A30C8EA" w14:textId="77777777" w:rsidR="008E2F58" w:rsidRPr="001B015B" w:rsidRDefault="008E2F58" w:rsidP="0034622E">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Ukupno</w:t>
            </w:r>
          </w:p>
        </w:tc>
      </w:tr>
      <w:tr w:rsidR="008E2F58" w:rsidRPr="001B015B" w14:paraId="5FEC6D21" w14:textId="77777777" w:rsidTr="0034622E">
        <w:trPr>
          <w:trHeight w:val="164"/>
        </w:trPr>
        <w:tc>
          <w:tcPr>
            <w:tcW w:w="3931" w:type="dxa"/>
            <w:tcBorders>
              <w:top w:val="nil"/>
              <w:left w:val="nil"/>
              <w:bottom w:val="nil"/>
              <w:right w:val="nil"/>
            </w:tcBorders>
            <w:shd w:val="clear" w:color="auto" w:fill="auto"/>
            <w:vAlign w:val="center"/>
            <w:hideMark/>
          </w:tcPr>
          <w:p w14:paraId="2493FD04" w14:textId="77777777" w:rsidR="008E2F58" w:rsidRPr="001B015B" w:rsidRDefault="008E2F58" w:rsidP="0034622E">
            <w:pPr>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bottom"/>
            <w:hideMark/>
          </w:tcPr>
          <w:p w14:paraId="5C5E394D" w14:textId="77777777" w:rsidR="008E2F58" w:rsidRPr="001B015B" w:rsidRDefault="008E2F58" w:rsidP="0034622E">
            <w:pPr>
              <w:jc w:val="right"/>
              <w:rPr>
                <w:rFonts w:ascii="Arial" w:eastAsia="Calibri" w:hAnsi="Arial" w:cs="Arial"/>
                <w:b/>
                <w:bCs/>
                <w:color w:val="000000" w:themeColor="text1"/>
                <w:sz w:val="18"/>
                <w:szCs w:val="18"/>
              </w:rPr>
            </w:pPr>
            <w:r w:rsidRPr="00131510">
              <w:rPr>
                <w:rFonts w:ascii="Arial" w:eastAsia="Calibri" w:hAnsi="Arial" w:cs="Arial"/>
                <w:b/>
                <w:bCs/>
                <w:color w:val="000000" w:themeColor="text1"/>
                <w:sz w:val="18"/>
                <w:szCs w:val="18"/>
              </w:rPr>
              <w:t>000 eura</w:t>
            </w:r>
          </w:p>
        </w:tc>
        <w:tc>
          <w:tcPr>
            <w:tcW w:w="1090" w:type="dxa"/>
            <w:tcBorders>
              <w:top w:val="nil"/>
              <w:left w:val="nil"/>
              <w:bottom w:val="nil"/>
              <w:right w:val="nil"/>
            </w:tcBorders>
            <w:shd w:val="clear" w:color="auto" w:fill="auto"/>
            <w:vAlign w:val="bottom"/>
            <w:hideMark/>
          </w:tcPr>
          <w:p w14:paraId="25C91751" w14:textId="77777777" w:rsidR="008E2F58" w:rsidRPr="001B015B" w:rsidRDefault="008E2F58" w:rsidP="0034622E">
            <w:pPr>
              <w:jc w:val="right"/>
              <w:rPr>
                <w:rFonts w:ascii="Arial" w:eastAsia="Calibri" w:hAnsi="Arial" w:cs="Arial"/>
                <w:b/>
                <w:bCs/>
                <w:color w:val="000000" w:themeColor="text1"/>
                <w:sz w:val="18"/>
                <w:szCs w:val="18"/>
              </w:rPr>
            </w:pPr>
            <w:r w:rsidRPr="00131510">
              <w:rPr>
                <w:rFonts w:ascii="Arial" w:eastAsia="Calibri" w:hAnsi="Arial" w:cs="Arial"/>
                <w:b/>
                <w:bCs/>
                <w:color w:val="000000" w:themeColor="text1"/>
                <w:sz w:val="18"/>
                <w:szCs w:val="18"/>
              </w:rPr>
              <w:t>000 eura</w:t>
            </w:r>
          </w:p>
        </w:tc>
        <w:tc>
          <w:tcPr>
            <w:tcW w:w="1090" w:type="dxa"/>
            <w:tcBorders>
              <w:top w:val="nil"/>
              <w:left w:val="nil"/>
              <w:bottom w:val="nil"/>
              <w:right w:val="nil"/>
            </w:tcBorders>
            <w:shd w:val="clear" w:color="auto" w:fill="auto"/>
            <w:vAlign w:val="bottom"/>
            <w:hideMark/>
          </w:tcPr>
          <w:p w14:paraId="2E9037D2" w14:textId="77777777" w:rsidR="008E2F58" w:rsidRPr="001B015B" w:rsidRDefault="008E2F58" w:rsidP="0034622E">
            <w:pPr>
              <w:jc w:val="right"/>
              <w:rPr>
                <w:rFonts w:ascii="Arial" w:eastAsia="Calibri" w:hAnsi="Arial" w:cs="Arial"/>
                <w:b/>
                <w:bCs/>
                <w:color w:val="000000" w:themeColor="text1"/>
                <w:sz w:val="18"/>
                <w:szCs w:val="18"/>
              </w:rPr>
            </w:pPr>
            <w:r w:rsidRPr="00131510">
              <w:rPr>
                <w:rFonts w:ascii="Arial" w:eastAsia="Calibri" w:hAnsi="Arial" w:cs="Arial"/>
                <w:b/>
                <w:bCs/>
                <w:color w:val="000000" w:themeColor="text1"/>
                <w:sz w:val="18"/>
                <w:szCs w:val="18"/>
              </w:rPr>
              <w:t>000 eura</w:t>
            </w:r>
          </w:p>
        </w:tc>
        <w:tc>
          <w:tcPr>
            <w:tcW w:w="1090" w:type="dxa"/>
            <w:tcBorders>
              <w:top w:val="nil"/>
              <w:left w:val="nil"/>
              <w:bottom w:val="nil"/>
              <w:right w:val="nil"/>
            </w:tcBorders>
            <w:shd w:val="clear" w:color="auto" w:fill="auto"/>
            <w:vAlign w:val="bottom"/>
            <w:hideMark/>
          </w:tcPr>
          <w:p w14:paraId="6DBA525F" w14:textId="77777777" w:rsidR="008E2F58" w:rsidRPr="001B015B" w:rsidRDefault="008E2F58" w:rsidP="0034622E">
            <w:pPr>
              <w:jc w:val="right"/>
              <w:rPr>
                <w:rFonts w:ascii="Arial" w:eastAsia="Calibri" w:hAnsi="Arial" w:cs="Arial"/>
                <w:b/>
                <w:bCs/>
                <w:color w:val="000000" w:themeColor="text1"/>
                <w:sz w:val="18"/>
                <w:szCs w:val="18"/>
              </w:rPr>
            </w:pPr>
            <w:r w:rsidRPr="00131510">
              <w:rPr>
                <w:rFonts w:ascii="Arial" w:eastAsia="Calibri" w:hAnsi="Arial" w:cs="Arial"/>
                <w:b/>
                <w:bCs/>
                <w:color w:val="000000" w:themeColor="text1"/>
                <w:sz w:val="18"/>
                <w:szCs w:val="18"/>
              </w:rPr>
              <w:t>000 eura</w:t>
            </w:r>
          </w:p>
        </w:tc>
        <w:tc>
          <w:tcPr>
            <w:tcW w:w="1090" w:type="dxa"/>
            <w:tcBorders>
              <w:top w:val="nil"/>
              <w:left w:val="nil"/>
              <w:bottom w:val="nil"/>
              <w:right w:val="nil"/>
            </w:tcBorders>
            <w:shd w:val="clear" w:color="auto" w:fill="auto"/>
            <w:vAlign w:val="bottom"/>
            <w:hideMark/>
          </w:tcPr>
          <w:p w14:paraId="1FF6F39C" w14:textId="77777777" w:rsidR="008E2F58" w:rsidRPr="001B015B" w:rsidRDefault="008E2F58" w:rsidP="0034622E">
            <w:pPr>
              <w:jc w:val="right"/>
              <w:rPr>
                <w:rFonts w:ascii="Arial" w:eastAsia="Calibri" w:hAnsi="Arial" w:cs="Arial"/>
                <w:b/>
                <w:bCs/>
                <w:color w:val="000000" w:themeColor="text1"/>
                <w:sz w:val="18"/>
                <w:szCs w:val="18"/>
              </w:rPr>
            </w:pPr>
            <w:r w:rsidRPr="00131510">
              <w:rPr>
                <w:rFonts w:ascii="Arial" w:eastAsia="Calibri" w:hAnsi="Arial" w:cs="Arial"/>
                <w:b/>
                <w:bCs/>
                <w:color w:val="000000" w:themeColor="text1"/>
                <w:sz w:val="18"/>
                <w:szCs w:val="18"/>
              </w:rPr>
              <w:t>000 eura</w:t>
            </w:r>
          </w:p>
        </w:tc>
      </w:tr>
      <w:tr w:rsidR="008E2F58" w:rsidRPr="001B015B" w14:paraId="30267F12" w14:textId="77777777" w:rsidTr="0034622E">
        <w:trPr>
          <w:trHeight w:val="164"/>
        </w:trPr>
        <w:tc>
          <w:tcPr>
            <w:tcW w:w="3931" w:type="dxa"/>
            <w:tcBorders>
              <w:top w:val="nil"/>
              <w:left w:val="nil"/>
              <w:bottom w:val="nil"/>
              <w:right w:val="nil"/>
            </w:tcBorders>
            <w:shd w:val="clear" w:color="auto" w:fill="auto"/>
            <w:vAlign w:val="center"/>
          </w:tcPr>
          <w:p w14:paraId="0C237371" w14:textId="77777777" w:rsidR="008E2F58" w:rsidRPr="001B015B" w:rsidRDefault="008E2F58" w:rsidP="0034622E">
            <w:pPr>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47107178" w14:textId="77777777" w:rsidR="008E2F58" w:rsidRPr="001B015B" w:rsidRDefault="008E2F58" w:rsidP="0034622E">
            <w:pPr>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5CDDE401" w14:textId="77777777" w:rsidR="008E2F58" w:rsidRPr="001B015B" w:rsidRDefault="008E2F58" w:rsidP="0034622E">
            <w:pPr>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4780EB48" w14:textId="77777777" w:rsidR="008E2F58" w:rsidRPr="001B015B" w:rsidRDefault="008E2F58" w:rsidP="0034622E">
            <w:pPr>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37CEF8BB" w14:textId="77777777" w:rsidR="008E2F58" w:rsidRPr="001B015B" w:rsidRDefault="008E2F58" w:rsidP="0034622E">
            <w:pPr>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1A28F407" w14:textId="77777777" w:rsidR="008E2F58" w:rsidRPr="001B015B" w:rsidRDefault="008E2F58" w:rsidP="0034622E">
            <w:pPr>
              <w:jc w:val="right"/>
              <w:rPr>
                <w:rFonts w:ascii="Arial" w:eastAsia="Calibri" w:hAnsi="Arial" w:cs="Arial"/>
                <w:b/>
                <w:bCs/>
                <w:color w:val="000000" w:themeColor="text1"/>
                <w:sz w:val="18"/>
                <w:szCs w:val="18"/>
              </w:rPr>
            </w:pPr>
          </w:p>
        </w:tc>
      </w:tr>
      <w:tr w:rsidR="008E2F58" w:rsidRPr="001B015B" w14:paraId="4E8EC635" w14:textId="77777777" w:rsidTr="0034622E">
        <w:trPr>
          <w:trHeight w:val="164"/>
        </w:trPr>
        <w:tc>
          <w:tcPr>
            <w:tcW w:w="3931" w:type="dxa"/>
            <w:tcBorders>
              <w:top w:val="nil"/>
              <w:left w:val="nil"/>
              <w:bottom w:val="nil"/>
              <w:right w:val="nil"/>
            </w:tcBorders>
            <w:shd w:val="clear" w:color="auto" w:fill="auto"/>
            <w:vAlign w:val="center"/>
            <w:hideMark/>
          </w:tcPr>
          <w:p w14:paraId="4FE596CD" w14:textId="77777777" w:rsidR="008E2F58" w:rsidRPr="001B015B" w:rsidRDefault="008E2F58" w:rsidP="0034622E">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Stanje 1. siječnja 202</w:t>
            </w:r>
            <w:r>
              <w:rPr>
                <w:rFonts w:ascii="Arial" w:eastAsia="Calibri" w:hAnsi="Arial" w:cs="Arial"/>
                <w:color w:val="000000" w:themeColor="text1"/>
                <w:sz w:val="18"/>
                <w:szCs w:val="18"/>
              </w:rPr>
              <w:t>3</w:t>
            </w:r>
            <w:r w:rsidRPr="001B015B">
              <w:rPr>
                <w:rFonts w:ascii="Arial" w:eastAsia="Calibri" w:hAnsi="Arial" w:cs="Arial"/>
                <w:color w:val="000000" w:themeColor="text1"/>
                <w:sz w:val="18"/>
                <w:szCs w:val="18"/>
              </w:rPr>
              <w:t xml:space="preserve">. </w:t>
            </w:r>
          </w:p>
        </w:tc>
        <w:tc>
          <w:tcPr>
            <w:tcW w:w="1090" w:type="dxa"/>
            <w:shd w:val="clear" w:color="auto" w:fill="auto"/>
            <w:vAlign w:val="bottom"/>
          </w:tcPr>
          <w:p w14:paraId="35D71854" w14:textId="77777777" w:rsidR="008E2F58" w:rsidRPr="001B015B" w:rsidRDefault="008E2F58" w:rsidP="0034622E">
            <w:pPr>
              <w:jc w:val="right"/>
              <w:rPr>
                <w:rFonts w:ascii="Arial" w:eastAsia="Calibri" w:hAnsi="Arial" w:cs="Arial"/>
                <w:color w:val="000000" w:themeColor="text1"/>
                <w:sz w:val="18"/>
                <w:szCs w:val="18"/>
              </w:rPr>
            </w:pPr>
            <w:r>
              <w:rPr>
                <w:rFonts w:ascii="Arial" w:hAnsi="Arial" w:cs="Arial"/>
                <w:sz w:val="18"/>
                <w:szCs w:val="18"/>
              </w:rPr>
              <w:t>5</w:t>
            </w:r>
            <w:r w:rsidRPr="004770C0">
              <w:rPr>
                <w:rFonts w:ascii="Arial" w:hAnsi="Arial" w:cs="Arial"/>
                <w:sz w:val="18"/>
                <w:szCs w:val="18"/>
              </w:rPr>
              <w:t xml:space="preserve">    </w:t>
            </w:r>
          </w:p>
        </w:tc>
        <w:tc>
          <w:tcPr>
            <w:tcW w:w="1090" w:type="dxa"/>
            <w:shd w:val="clear" w:color="auto" w:fill="auto"/>
            <w:vAlign w:val="bottom"/>
          </w:tcPr>
          <w:p w14:paraId="17CD30E6" w14:textId="77777777" w:rsidR="008E2F58" w:rsidRPr="001B015B" w:rsidRDefault="008E2F58" w:rsidP="0034622E">
            <w:pPr>
              <w:jc w:val="right"/>
              <w:rPr>
                <w:rFonts w:ascii="Arial" w:eastAsia="Calibri" w:hAnsi="Arial" w:cs="Arial"/>
                <w:color w:val="000000" w:themeColor="text1"/>
                <w:sz w:val="18"/>
                <w:szCs w:val="18"/>
              </w:rPr>
            </w:pPr>
            <w:r w:rsidRPr="004770C0">
              <w:rPr>
                <w:rFonts w:ascii="Arial" w:hAnsi="Arial" w:cs="Arial"/>
                <w:sz w:val="18"/>
                <w:szCs w:val="18"/>
              </w:rPr>
              <w:t xml:space="preserve"> - </w:t>
            </w:r>
          </w:p>
        </w:tc>
        <w:tc>
          <w:tcPr>
            <w:tcW w:w="1090" w:type="dxa"/>
            <w:shd w:val="clear" w:color="auto" w:fill="auto"/>
            <w:vAlign w:val="bottom"/>
          </w:tcPr>
          <w:p w14:paraId="35D9ADFD" w14:textId="77777777" w:rsidR="008E2F58" w:rsidRPr="001B015B" w:rsidRDefault="008E2F58" w:rsidP="0034622E">
            <w:pPr>
              <w:jc w:val="right"/>
              <w:rPr>
                <w:rFonts w:ascii="Arial" w:eastAsia="Calibri" w:hAnsi="Arial" w:cs="Arial"/>
                <w:color w:val="000000" w:themeColor="text1"/>
                <w:sz w:val="18"/>
                <w:szCs w:val="18"/>
              </w:rPr>
            </w:pPr>
            <w:r w:rsidRPr="004770C0">
              <w:rPr>
                <w:rFonts w:ascii="Arial" w:hAnsi="Arial" w:cs="Arial"/>
                <w:sz w:val="18"/>
                <w:szCs w:val="18"/>
              </w:rPr>
              <w:t xml:space="preserve"> - </w:t>
            </w:r>
          </w:p>
        </w:tc>
        <w:tc>
          <w:tcPr>
            <w:tcW w:w="1090" w:type="dxa"/>
            <w:shd w:val="clear" w:color="auto" w:fill="auto"/>
            <w:vAlign w:val="bottom"/>
          </w:tcPr>
          <w:p w14:paraId="7AF492DB" w14:textId="77777777" w:rsidR="008E2F58" w:rsidRPr="001B015B" w:rsidRDefault="008E2F58" w:rsidP="0034622E">
            <w:pPr>
              <w:jc w:val="right"/>
              <w:rPr>
                <w:rFonts w:ascii="Arial" w:eastAsia="Calibri" w:hAnsi="Arial" w:cs="Arial"/>
                <w:color w:val="000000" w:themeColor="text1"/>
                <w:sz w:val="18"/>
                <w:szCs w:val="18"/>
              </w:rPr>
            </w:pPr>
            <w:r w:rsidRPr="004770C0">
              <w:rPr>
                <w:rFonts w:ascii="Arial" w:hAnsi="Arial" w:cs="Arial"/>
                <w:sz w:val="18"/>
                <w:szCs w:val="18"/>
              </w:rPr>
              <w:t xml:space="preserve"> - </w:t>
            </w:r>
          </w:p>
        </w:tc>
        <w:tc>
          <w:tcPr>
            <w:tcW w:w="1090" w:type="dxa"/>
            <w:shd w:val="clear" w:color="auto" w:fill="auto"/>
            <w:vAlign w:val="bottom"/>
          </w:tcPr>
          <w:p w14:paraId="13B2D47F" w14:textId="77777777" w:rsidR="008E2F58" w:rsidRPr="005D1219" w:rsidRDefault="008E2F58" w:rsidP="0034622E">
            <w:pPr>
              <w:jc w:val="right"/>
              <w:rPr>
                <w:rFonts w:ascii="Arial" w:eastAsia="Calibri" w:hAnsi="Arial" w:cs="Arial"/>
                <w:b/>
                <w:bCs/>
                <w:color w:val="000000" w:themeColor="text1"/>
                <w:sz w:val="18"/>
                <w:szCs w:val="18"/>
              </w:rPr>
            </w:pPr>
            <w:r w:rsidRPr="005D1219">
              <w:rPr>
                <w:rFonts w:ascii="Arial" w:hAnsi="Arial" w:cs="Arial"/>
                <w:b/>
                <w:bCs/>
                <w:sz w:val="18"/>
                <w:szCs w:val="18"/>
              </w:rPr>
              <w:t xml:space="preserve">5    </w:t>
            </w:r>
          </w:p>
        </w:tc>
      </w:tr>
      <w:tr w:rsidR="008E2F58" w:rsidRPr="001B015B" w14:paraId="19B08943" w14:textId="77777777" w:rsidTr="0034622E">
        <w:trPr>
          <w:trHeight w:val="164"/>
        </w:trPr>
        <w:tc>
          <w:tcPr>
            <w:tcW w:w="3931" w:type="dxa"/>
            <w:tcBorders>
              <w:top w:val="nil"/>
              <w:left w:val="nil"/>
              <w:bottom w:val="nil"/>
              <w:right w:val="nil"/>
            </w:tcBorders>
            <w:shd w:val="clear" w:color="auto" w:fill="auto"/>
            <w:hideMark/>
          </w:tcPr>
          <w:p w14:paraId="5656B053" w14:textId="77777777" w:rsidR="008E2F58" w:rsidRPr="001B015B" w:rsidRDefault="008E2F58" w:rsidP="0034622E">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Prijenos u Stupanj 1</w:t>
            </w:r>
          </w:p>
        </w:tc>
        <w:tc>
          <w:tcPr>
            <w:tcW w:w="1090" w:type="dxa"/>
            <w:tcBorders>
              <w:top w:val="nil"/>
              <w:left w:val="nil"/>
              <w:right w:val="nil"/>
            </w:tcBorders>
            <w:shd w:val="clear" w:color="auto" w:fill="auto"/>
            <w:vAlign w:val="bottom"/>
          </w:tcPr>
          <w:p w14:paraId="56B74E85" w14:textId="77777777" w:rsidR="008E2F58" w:rsidRPr="001B015B" w:rsidRDefault="008E2F58" w:rsidP="0034622E">
            <w:pPr>
              <w:jc w:val="right"/>
              <w:rPr>
                <w:rFonts w:ascii="Arial" w:eastAsia="Calibri" w:hAnsi="Arial" w:cs="Arial"/>
                <w:color w:val="000000" w:themeColor="text1"/>
                <w:sz w:val="18"/>
                <w:szCs w:val="18"/>
              </w:rPr>
            </w:pPr>
            <w:r w:rsidRPr="004770C0">
              <w:rPr>
                <w:rFonts w:ascii="Arial" w:hAnsi="Arial" w:cs="Arial"/>
                <w:sz w:val="18"/>
                <w:szCs w:val="18"/>
              </w:rPr>
              <w:t xml:space="preserve"> - </w:t>
            </w:r>
          </w:p>
        </w:tc>
        <w:tc>
          <w:tcPr>
            <w:tcW w:w="1090" w:type="dxa"/>
            <w:tcBorders>
              <w:top w:val="nil"/>
              <w:left w:val="nil"/>
              <w:right w:val="nil"/>
            </w:tcBorders>
            <w:shd w:val="clear" w:color="auto" w:fill="auto"/>
            <w:vAlign w:val="bottom"/>
          </w:tcPr>
          <w:p w14:paraId="514C3382" w14:textId="77777777" w:rsidR="008E2F58" w:rsidRPr="001B015B" w:rsidRDefault="008E2F58" w:rsidP="0034622E">
            <w:pPr>
              <w:jc w:val="right"/>
              <w:rPr>
                <w:rFonts w:ascii="Arial" w:eastAsia="Calibri" w:hAnsi="Arial" w:cs="Arial"/>
                <w:color w:val="000000" w:themeColor="text1"/>
                <w:sz w:val="18"/>
                <w:szCs w:val="18"/>
              </w:rPr>
            </w:pPr>
            <w:r w:rsidRPr="004770C0">
              <w:rPr>
                <w:rFonts w:ascii="Arial" w:hAnsi="Arial" w:cs="Arial"/>
                <w:sz w:val="18"/>
                <w:szCs w:val="18"/>
              </w:rPr>
              <w:t xml:space="preserve"> -    </w:t>
            </w:r>
          </w:p>
        </w:tc>
        <w:tc>
          <w:tcPr>
            <w:tcW w:w="1090" w:type="dxa"/>
            <w:tcBorders>
              <w:top w:val="nil"/>
              <w:left w:val="nil"/>
              <w:right w:val="nil"/>
            </w:tcBorders>
            <w:shd w:val="clear" w:color="auto" w:fill="auto"/>
            <w:vAlign w:val="bottom"/>
          </w:tcPr>
          <w:p w14:paraId="7360F158" w14:textId="77777777" w:rsidR="008E2F58" w:rsidRPr="001B015B" w:rsidRDefault="008E2F58" w:rsidP="0034622E">
            <w:pPr>
              <w:jc w:val="right"/>
              <w:rPr>
                <w:rFonts w:ascii="Arial" w:eastAsia="Calibri" w:hAnsi="Arial" w:cs="Arial"/>
                <w:color w:val="000000" w:themeColor="text1"/>
                <w:sz w:val="18"/>
                <w:szCs w:val="18"/>
              </w:rPr>
            </w:pPr>
            <w:r w:rsidRPr="004770C0">
              <w:rPr>
                <w:rFonts w:ascii="Arial" w:hAnsi="Arial" w:cs="Arial"/>
                <w:sz w:val="18"/>
                <w:szCs w:val="18"/>
              </w:rPr>
              <w:t xml:space="preserve"> -    </w:t>
            </w:r>
          </w:p>
        </w:tc>
        <w:tc>
          <w:tcPr>
            <w:tcW w:w="1090" w:type="dxa"/>
            <w:tcBorders>
              <w:top w:val="nil"/>
              <w:left w:val="nil"/>
              <w:right w:val="nil"/>
            </w:tcBorders>
            <w:shd w:val="clear" w:color="auto" w:fill="auto"/>
            <w:vAlign w:val="bottom"/>
          </w:tcPr>
          <w:p w14:paraId="6917A51E" w14:textId="77777777" w:rsidR="008E2F58" w:rsidRPr="001B015B" w:rsidRDefault="008E2F58" w:rsidP="0034622E">
            <w:pPr>
              <w:jc w:val="right"/>
              <w:rPr>
                <w:rFonts w:ascii="Arial" w:eastAsia="Calibri" w:hAnsi="Arial" w:cs="Arial"/>
                <w:color w:val="000000" w:themeColor="text1"/>
                <w:sz w:val="18"/>
                <w:szCs w:val="18"/>
              </w:rPr>
            </w:pPr>
            <w:r w:rsidRPr="004770C0">
              <w:rPr>
                <w:rFonts w:ascii="Arial" w:hAnsi="Arial" w:cs="Arial"/>
                <w:sz w:val="18"/>
                <w:szCs w:val="18"/>
              </w:rPr>
              <w:t xml:space="preserve"> -    </w:t>
            </w:r>
          </w:p>
        </w:tc>
        <w:tc>
          <w:tcPr>
            <w:tcW w:w="1090" w:type="dxa"/>
            <w:tcBorders>
              <w:top w:val="nil"/>
              <w:left w:val="nil"/>
              <w:right w:val="nil"/>
            </w:tcBorders>
            <w:shd w:val="clear" w:color="auto" w:fill="auto"/>
            <w:vAlign w:val="bottom"/>
          </w:tcPr>
          <w:p w14:paraId="4B265C52" w14:textId="77777777" w:rsidR="008E2F58" w:rsidRPr="005D1219" w:rsidRDefault="008E2F58" w:rsidP="0034622E">
            <w:pPr>
              <w:jc w:val="right"/>
              <w:rPr>
                <w:rFonts w:ascii="Arial" w:eastAsia="Calibri" w:hAnsi="Arial" w:cs="Arial"/>
                <w:b/>
                <w:bCs/>
                <w:color w:val="000000" w:themeColor="text1"/>
                <w:sz w:val="18"/>
                <w:szCs w:val="18"/>
              </w:rPr>
            </w:pPr>
            <w:r w:rsidRPr="005D1219">
              <w:rPr>
                <w:rFonts w:ascii="Arial" w:hAnsi="Arial" w:cs="Arial"/>
                <w:b/>
                <w:bCs/>
                <w:sz w:val="18"/>
                <w:szCs w:val="18"/>
              </w:rPr>
              <w:t xml:space="preserve"> -    </w:t>
            </w:r>
          </w:p>
        </w:tc>
      </w:tr>
      <w:tr w:rsidR="008E2F58" w:rsidRPr="001B015B" w14:paraId="1F0A3A27" w14:textId="77777777" w:rsidTr="0034622E">
        <w:trPr>
          <w:trHeight w:val="164"/>
        </w:trPr>
        <w:tc>
          <w:tcPr>
            <w:tcW w:w="3931" w:type="dxa"/>
            <w:tcBorders>
              <w:top w:val="nil"/>
              <w:left w:val="nil"/>
              <w:bottom w:val="nil"/>
              <w:right w:val="nil"/>
            </w:tcBorders>
            <w:shd w:val="clear" w:color="auto" w:fill="auto"/>
          </w:tcPr>
          <w:p w14:paraId="248E9028" w14:textId="77777777" w:rsidR="008E2F58" w:rsidRPr="001B015B" w:rsidRDefault="008E2F58" w:rsidP="0034622E">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Prijenos u Stupanj 2</w:t>
            </w:r>
          </w:p>
        </w:tc>
        <w:tc>
          <w:tcPr>
            <w:tcW w:w="1090" w:type="dxa"/>
            <w:tcBorders>
              <w:top w:val="nil"/>
              <w:left w:val="nil"/>
              <w:right w:val="nil"/>
            </w:tcBorders>
            <w:shd w:val="clear" w:color="auto" w:fill="auto"/>
            <w:vAlign w:val="bottom"/>
          </w:tcPr>
          <w:p w14:paraId="0C3D0695" w14:textId="77777777" w:rsidR="008E2F58" w:rsidRPr="001B015B" w:rsidRDefault="008E2F58" w:rsidP="0034622E">
            <w:pPr>
              <w:jc w:val="right"/>
              <w:rPr>
                <w:rFonts w:ascii="Arial" w:eastAsia="Calibri" w:hAnsi="Arial" w:cs="Arial"/>
                <w:color w:val="000000" w:themeColor="text1"/>
                <w:sz w:val="18"/>
                <w:szCs w:val="18"/>
              </w:rPr>
            </w:pPr>
            <w:r w:rsidRPr="004770C0">
              <w:rPr>
                <w:rFonts w:ascii="Arial" w:hAnsi="Arial" w:cs="Arial"/>
                <w:sz w:val="18"/>
                <w:szCs w:val="18"/>
              </w:rPr>
              <w:t xml:space="preserve"> - </w:t>
            </w:r>
          </w:p>
        </w:tc>
        <w:tc>
          <w:tcPr>
            <w:tcW w:w="1090" w:type="dxa"/>
            <w:tcBorders>
              <w:top w:val="nil"/>
              <w:left w:val="nil"/>
              <w:right w:val="nil"/>
            </w:tcBorders>
            <w:shd w:val="clear" w:color="auto" w:fill="auto"/>
            <w:vAlign w:val="bottom"/>
          </w:tcPr>
          <w:p w14:paraId="1C323083" w14:textId="77777777" w:rsidR="008E2F58" w:rsidRPr="001B015B" w:rsidRDefault="008E2F58" w:rsidP="0034622E">
            <w:pPr>
              <w:jc w:val="right"/>
              <w:rPr>
                <w:rFonts w:ascii="Arial" w:eastAsia="Calibri" w:hAnsi="Arial" w:cs="Arial"/>
                <w:color w:val="000000" w:themeColor="text1"/>
                <w:sz w:val="18"/>
                <w:szCs w:val="18"/>
              </w:rPr>
            </w:pPr>
            <w:r w:rsidRPr="004770C0">
              <w:rPr>
                <w:rFonts w:ascii="Arial" w:hAnsi="Arial" w:cs="Arial"/>
                <w:sz w:val="18"/>
                <w:szCs w:val="18"/>
              </w:rPr>
              <w:t xml:space="preserve"> -    </w:t>
            </w:r>
          </w:p>
        </w:tc>
        <w:tc>
          <w:tcPr>
            <w:tcW w:w="1090" w:type="dxa"/>
            <w:tcBorders>
              <w:top w:val="nil"/>
              <w:left w:val="nil"/>
              <w:right w:val="nil"/>
            </w:tcBorders>
            <w:shd w:val="clear" w:color="auto" w:fill="auto"/>
            <w:vAlign w:val="bottom"/>
          </w:tcPr>
          <w:p w14:paraId="4C7BD5C6" w14:textId="77777777" w:rsidR="008E2F58" w:rsidRPr="001B015B" w:rsidRDefault="008E2F58" w:rsidP="0034622E">
            <w:pPr>
              <w:jc w:val="right"/>
              <w:rPr>
                <w:rFonts w:ascii="Arial" w:eastAsia="Calibri" w:hAnsi="Arial" w:cs="Arial"/>
                <w:color w:val="000000" w:themeColor="text1"/>
                <w:sz w:val="18"/>
                <w:szCs w:val="18"/>
              </w:rPr>
            </w:pPr>
            <w:r w:rsidRPr="004770C0">
              <w:rPr>
                <w:rFonts w:ascii="Arial" w:hAnsi="Arial" w:cs="Arial"/>
                <w:sz w:val="18"/>
                <w:szCs w:val="18"/>
              </w:rPr>
              <w:t xml:space="preserve"> -    </w:t>
            </w:r>
          </w:p>
        </w:tc>
        <w:tc>
          <w:tcPr>
            <w:tcW w:w="1090" w:type="dxa"/>
            <w:tcBorders>
              <w:top w:val="nil"/>
              <w:left w:val="nil"/>
              <w:right w:val="nil"/>
            </w:tcBorders>
            <w:shd w:val="clear" w:color="auto" w:fill="auto"/>
            <w:vAlign w:val="bottom"/>
          </w:tcPr>
          <w:p w14:paraId="45C4F202" w14:textId="77777777" w:rsidR="008E2F58" w:rsidRPr="001B015B" w:rsidRDefault="008E2F58" w:rsidP="0034622E">
            <w:pPr>
              <w:jc w:val="right"/>
              <w:rPr>
                <w:rFonts w:ascii="Arial" w:eastAsia="Calibri" w:hAnsi="Arial" w:cs="Arial"/>
                <w:color w:val="000000" w:themeColor="text1"/>
                <w:sz w:val="18"/>
                <w:szCs w:val="18"/>
              </w:rPr>
            </w:pPr>
            <w:r w:rsidRPr="004770C0">
              <w:rPr>
                <w:rFonts w:ascii="Arial" w:hAnsi="Arial" w:cs="Arial"/>
                <w:sz w:val="18"/>
                <w:szCs w:val="18"/>
              </w:rPr>
              <w:t xml:space="preserve"> -    </w:t>
            </w:r>
          </w:p>
        </w:tc>
        <w:tc>
          <w:tcPr>
            <w:tcW w:w="1090" w:type="dxa"/>
            <w:tcBorders>
              <w:top w:val="nil"/>
              <w:left w:val="nil"/>
              <w:right w:val="nil"/>
            </w:tcBorders>
            <w:shd w:val="clear" w:color="auto" w:fill="auto"/>
            <w:vAlign w:val="bottom"/>
          </w:tcPr>
          <w:p w14:paraId="2F8511D7" w14:textId="77777777" w:rsidR="008E2F58" w:rsidRPr="005D1219" w:rsidRDefault="008E2F58" w:rsidP="0034622E">
            <w:pPr>
              <w:jc w:val="right"/>
              <w:rPr>
                <w:rFonts w:ascii="Arial" w:eastAsia="Calibri" w:hAnsi="Arial" w:cs="Arial"/>
                <w:b/>
                <w:bCs/>
                <w:color w:val="000000" w:themeColor="text1"/>
                <w:sz w:val="18"/>
                <w:szCs w:val="18"/>
              </w:rPr>
            </w:pPr>
            <w:r w:rsidRPr="005D1219">
              <w:rPr>
                <w:rFonts w:ascii="Arial" w:hAnsi="Arial" w:cs="Arial"/>
                <w:b/>
                <w:bCs/>
                <w:sz w:val="18"/>
                <w:szCs w:val="18"/>
              </w:rPr>
              <w:t xml:space="preserve"> -    </w:t>
            </w:r>
          </w:p>
        </w:tc>
      </w:tr>
      <w:tr w:rsidR="008E2F58" w:rsidRPr="001B015B" w14:paraId="064E89ED" w14:textId="77777777" w:rsidTr="0034622E">
        <w:trPr>
          <w:trHeight w:val="164"/>
        </w:trPr>
        <w:tc>
          <w:tcPr>
            <w:tcW w:w="3931" w:type="dxa"/>
            <w:tcBorders>
              <w:top w:val="nil"/>
              <w:left w:val="nil"/>
              <w:bottom w:val="nil"/>
              <w:right w:val="nil"/>
            </w:tcBorders>
            <w:shd w:val="clear" w:color="auto" w:fill="auto"/>
          </w:tcPr>
          <w:p w14:paraId="6665A3DC" w14:textId="77777777" w:rsidR="008E2F58" w:rsidRPr="001B015B" w:rsidRDefault="008E2F58" w:rsidP="0034622E">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Prijenos u Stupanj 3</w:t>
            </w:r>
          </w:p>
        </w:tc>
        <w:tc>
          <w:tcPr>
            <w:tcW w:w="1090" w:type="dxa"/>
            <w:shd w:val="clear" w:color="auto" w:fill="auto"/>
            <w:vAlign w:val="bottom"/>
          </w:tcPr>
          <w:p w14:paraId="644C29E1" w14:textId="77777777" w:rsidR="008E2F58" w:rsidRPr="001B015B" w:rsidRDefault="008E2F58" w:rsidP="0034622E">
            <w:pPr>
              <w:jc w:val="right"/>
              <w:rPr>
                <w:rFonts w:ascii="Arial" w:eastAsia="Calibri" w:hAnsi="Arial" w:cs="Arial"/>
                <w:color w:val="000000" w:themeColor="text1"/>
                <w:sz w:val="18"/>
                <w:szCs w:val="18"/>
              </w:rPr>
            </w:pPr>
            <w:r w:rsidRPr="004770C0">
              <w:rPr>
                <w:rFonts w:ascii="Arial" w:hAnsi="Arial" w:cs="Arial"/>
                <w:sz w:val="18"/>
                <w:szCs w:val="18"/>
              </w:rPr>
              <w:t xml:space="preserve"> -    </w:t>
            </w:r>
          </w:p>
        </w:tc>
        <w:tc>
          <w:tcPr>
            <w:tcW w:w="1090" w:type="dxa"/>
            <w:shd w:val="clear" w:color="auto" w:fill="auto"/>
            <w:vAlign w:val="bottom"/>
          </w:tcPr>
          <w:p w14:paraId="58EF7959" w14:textId="77777777" w:rsidR="008E2F58" w:rsidRPr="001B015B" w:rsidRDefault="008E2F58" w:rsidP="0034622E">
            <w:pPr>
              <w:jc w:val="right"/>
              <w:rPr>
                <w:rFonts w:ascii="Arial" w:eastAsia="Calibri" w:hAnsi="Arial" w:cs="Arial"/>
                <w:color w:val="000000" w:themeColor="text1"/>
                <w:sz w:val="18"/>
                <w:szCs w:val="18"/>
              </w:rPr>
            </w:pPr>
            <w:r w:rsidRPr="004770C0">
              <w:rPr>
                <w:rFonts w:ascii="Arial" w:hAnsi="Arial" w:cs="Arial"/>
                <w:sz w:val="18"/>
                <w:szCs w:val="18"/>
              </w:rPr>
              <w:t xml:space="preserve"> - </w:t>
            </w:r>
          </w:p>
        </w:tc>
        <w:tc>
          <w:tcPr>
            <w:tcW w:w="1090" w:type="dxa"/>
            <w:shd w:val="clear" w:color="auto" w:fill="auto"/>
            <w:vAlign w:val="bottom"/>
          </w:tcPr>
          <w:p w14:paraId="760F38A6" w14:textId="77777777" w:rsidR="008E2F58" w:rsidRPr="001B015B" w:rsidRDefault="008E2F58" w:rsidP="0034622E">
            <w:pPr>
              <w:jc w:val="right"/>
              <w:rPr>
                <w:rFonts w:ascii="Arial" w:eastAsia="Calibri" w:hAnsi="Arial" w:cs="Arial"/>
                <w:color w:val="000000" w:themeColor="text1"/>
                <w:sz w:val="18"/>
                <w:szCs w:val="18"/>
              </w:rPr>
            </w:pPr>
            <w:r w:rsidRPr="004770C0">
              <w:rPr>
                <w:rFonts w:ascii="Arial" w:hAnsi="Arial" w:cs="Arial"/>
                <w:sz w:val="18"/>
                <w:szCs w:val="18"/>
              </w:rPr>
              <w:t xml:space="preserve"> - </w:t>
            </w:r>
          </w:p>
        </w:tc>
        <w:tc>
          <w:tcPr>
            <w:tcW w:w="1090" w:type="dxa"/>
            <w:shd w:val="clear" w:color="auto" w:fill="auto"/>
            <w:vAlign w:val="bottom"/>
          </w:tcPr>
          <w:p w14:paraId="40FD3908" w14:textId="77777777" w:rsidR="008E2F58" w:rsidRPr="001B015B" w:rsidRDefault="008E2F58" w:rsidP="0034622E">
            <w:pPr>
              <w:jc w:val="right"/>
              <w:rPr>
                <w:rFonts w:ascii="Arial" w:eastAsia="Calibri" w:hAnsi="Arial" w:cs="Arial"/>
                <w:color w:val="000000" w:themeColor="text1"/>
                <w:sz w:val="18"/>
                <w:szCs w:val="18"/>
              </w:rPr>
            </w:pPr>
            <w:r w:rsidRPr="004770C0">
              <w:rPr>
                <w:rFonts w:ascii="Arial" w:hAnsi="Arial" w:cs="Arial"/>
                <w:sz w:val="18"/>
                <w:szCs w:val="18"/>
              </w:rPr>
              <w:t xml:space="preserve"> - </w:t>
            </w:r>
          </w:p>
        </w:tc>
        <w:tc>
          <w:tcPr>
            <w:tcW w:w="1090" w:type="dxa"/>
            <w:shd w:val="clear" w:color="auto" w:fill="auto"/>
            <w:vAlign w:val="bottom"/>
          </w:tcPr>
          <w:p w14:paraId="4D81C424" w14:textId="77777777" w:rsidR="008E2F58" w:rsidRPr="005D1219" w:rsidRDefault="008E2F58" w:rsidP="0034622E">
            <w:pPr>
              <w:jc w:val="right"/>
              <w:rPr>
                <w:rFonts w:ascii="Arial" w:eastAsia="Calibri" w:hAnsi="Arial" w:cs="Arial"/>
                <w:b/>
                <w:bCs/>
                <w:color w:val="000000" w:themeColor="text1"/>
                <w:sz w:val="18"/>
                <w:szCs w:val="18"/>
              </w:rPr>
            </w:pPr>
            <w:r w:rsidRPr="005D1219">
              <w:rPr>
                <w:rFonts w:ascii="Arial" w:hAnsi="Arial" w:cs="Arial"/>
                <w:b/>
                <w:bCs/>
                <w:sz w:val="18"/>
                <w:szCs w:val="18"/>
              </w:rPr>
              <w:t xml:space="preserve"> -    </w:t>
            </w:r>
          </w:p>
        </w:tc>
      </w:tr>
      <w:tr w:rsidR="008E2F58" w:rsidRPr="001B015B" w14:paraId="0CAF52DC" w14:textId="77777777" w:rsidTr="0034622E">
        <w:trPr>
          <w:trHeight w:val="204"/>
        </w:trPr>
        <w:tc>
          <w:tcPr>
            <w:tcW w:w="3931" w:type="dxa"/>
            <w:tcBorders>
              <w:top w:val="nil"/>
              <w:left w:val="nil"/>
              <w:bottom w:val="nil"/>
              <w:right w:val="nil"/>
            </w:tcBorders>
            <w:shd w:val="clear" w:color="auto" w:fill="auto"/>
            <w:vAlign w:val="center"/>
            <w:hideMark/>
          </w:tcPr>
          <w:p w14:paraId="0E0DEB58" w14:textId="77777777" w:rsidR="008E2F58" w:rsidRPr="001B015B" w:rsidRDefault="008E2F58" w:rsidP="0034622E">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 xml:space="preserve">Neto </w:t>
            </w:r>
            <w:r>
              <w:rPr>
                <w:rFonts w:ascii="Arial" w:eastAsia="Calibri" w:hAnsi="Arial" w:cs="Arial"/>
                <w:color w:val="000000" w:themeColor="text1"/>
                <w:sz w:val="18"/>
                <w:szCs w:val="18"/>
              </w:rPr>
              <w:t>povećanje</w:t>
            </w:r>
            <w:r w:rsidRPr="001B015B">
              <w:rPr>
                <w:rFonts w:ascii="Arial" w:eastAsia="Calibri" w:hAnsi="Arial" w:cs="Arial"/>
                <w:color w:val="000000" w:themeColor="text1"/>
                <w:sz w:val="18"/>
                <w:szCs w:val="18"/>
              </w:rPr>
              <w:t xml:space="preserve"> rezerviranja za očekivane gubitke </w:t>
            </w:r>
          </w:p>
        </w:tc>
        <w:tc>
          <w:tcPr>
            <w:tcW w:w="1090" w:type="dxa"/>
            <w:tcBorders>
              <w:top w:val="nil"/>
              <w:left w:val="nil"/>
              <w:right w:val="nil"/>
            </w:tcBorders>
            <w:shd w:val="clear" w:color="auto" w:fill="auto"/>
            <w:vAlign w:val="bottom"/>
          </w:tcPr>
          <w:p w14:paraId="470A42D2" w14:textId="77777777" w:rsidR="008E2F58" w:rsidRPr="001B015B" w:rsidRDefault="008E2F58" w:rsidP="0034622E">
            <w:pPr>
              <w:jc w:val="right"/>
              <w:rPr>
                <w:rFonts w:ascii="Arial" w:eastAsia="Calibri" w:hAnsi="Arial" w:cs="Arial"/>
                <w:color w:val="000000" w:themeColor="text1"/>
                <w:sz w:val="18"/>
                <w:szCs w:val="18"/>
              </w:rPr>
            </w:pPr>
            <w:r>
              <w:rPr>
                <w:rFonts w:ascii="Arial" w:hAnsi="Arial" w:cs="Arial"/>
                <w:sz w:val="18"/>
                <w:szCs w:val="18"/>
              </w:rPr>
              <w:t>216</w:t>
            </w:r>
            <w:r w:rsidRPr="004770C0">
              <w:rPr>
                <w:rFonts w:ascii="Arial" w:hAnsi="Arial" w:cs="Arial"/>
                <w:sz w:val="18"/>
                <w:szCs w:val="18"/>
              </w:rPr>
              <w:t xml:space="preserve"> </w:t>
            </w:r>
          </w:p>
        </w:tc>
        <w:tc>
          <w:tcPr>
            <w:tcW w:w="1090" w:type="dxa"/>
            <w:tcBorders>
              <w:top w:val="nil"/>
              <w:left w:val="nil"/>
              <w:right w:val="nil"/>
            </w:tcBorders>
            <w:shd w:val="clear" w:color="auto" w:fill="auto"/>
            <w:vAlign w:val="bottom"/>
          </w:tcPr>
          <w:p w14:paraId="6FB24070" w14:textId="77777777" w:rsidR="008E2F58" w:rsidRPr="001B015B" w:rsidRDefault="008E2F58" w:rsidP="0034622E">
            <w:pPr>
              <w:jc w:val="right"/>
              <w:rPr>
                <w:rFonts w:ascii="Arial" w:eastAsia="Calibri" w:hAnsi="Arial" w:cs="Arial"/>
                <w:color w:val="000000" w:themeColor="text1"/>
                <w:sz w:val="18"/>
                <w:szCs w:val="18"/>
              </w:rPr>
            </w:pPr>
            <w:r w:rsidRPr="004770C0">
              <w:rPr>
                <w:rFonts w:ascii="Arial" w:hAnsi="Arial" w:cs="Arial"/>
                <w:sz w:val="18"/>
                <w:szCs w:val="18"/>
              </w:rPr>
              <w:t xml:space="preserve"> -    </w:t>
            </w:r>
          </w:p>
        </w:tc>
        <w:tc>
          <w:tcPr>
            <w:tcW w:w="1090" w:type="dxa"/>
            <w:tcBorders>
              <w:top w:val="nil"/>
              <w:left w:val="nil"/>
              <w:right w:val="nil"/>
            </w:tcBorders>
            <w:shd w:val="clear" w:color="auto" w:fill="auto"/>
            <w:vAlign w:val="bottom"/>
          </w:tcPr>
          <w:p w14:paraId="245EF3D6" w14:textId="77777777" w:rsidR="008E2F58" w:rsidRPr="001B015B" w:rsidRDefault="008E2F58" w:rsidP="0034622E">
            <w:pPr>
              <w:jc w:val="right"/>
              <w:rPr>
                <w:rFonts w:ascii="Arial" w:eastAsia="Calibri" w:hAnsi="Arial" w:cs="Arial"/>
                <w:color w:val="000000" w:themeColor="text1"/>
                <w:sz w:val="18"/>
                <w:szCs w:val="18"/>
              </w:rPr>
            </w:pPr>
            <w:r w:rsidRPr="004770C0">
              <w:rPr>
                <w:rFonts w:ascii="Arial" w:hAnsi="Arial" w:cs="Arial"/>
                <w:sz w:val="18"/>
                <w:szCs w:val="18"/>
              </w:rPr>
              <w:t xml:space="preserve"> -    </w:t>
            </w:r>
          </w:p>
        </w:tc>
        <w:tc>
          <w:tcPr>
            <w:tcW w:w="1090" w:type="dxa"/>
            <w:tcBorders>
              <w:top w:val="nil"/>
              <w:left w:val="nil"/>
              <w:right w:val="nil"/>
            </w:tcBorders>
            <w:shd w:val="clear" w:color="auto" w:fill="auto"/>
            <w:vAlign w:val="bottom"/>
          </w:tcPr>
          <w:p w14:paraId="69BD28FD" w14:textId="77777777" w:rsidR="008E2F58" w:rsidRPr="001B015B" w:rsidRDefault="008E2F58" w:rsidP="0034622E">
            <w:pPr>
              <w:jc w:val="right"/>
              <w:rPr>
                <w:rFonts w:ascii="Arial" w:eastAsia="Calibri" w:hAnsi="Arial" w:cs="Arial"/>
                <w:color w:val="000000" w:themeColor="text1"/>
                <w:sz w:val="18"/>
                <w:szCs w:val="18"/>
              </w:rPr>
            </w:pPr>
            <w:r w:rsidRPr="004770C0">
              <w:rPr>
                <w:rFonts w:ascii="Arial" w:hAnsi="Arial" w:cs="Arial"/>
                <w:sz w:val="18"/>
                <w:szCs w:val="18"/>
              </w:rPr>
              <w:t xml:space="preserve"> -    </w:t>
            </w:r>
          </w:p>
        </w:tc>
        <w:tc>
          <w:tcPr>
            <w:tcW w:w="1090" w:type="dxa"/>
            <w:tcBorders>
              <w:top w:val="nil"/>
              <w:left w:val="nil"/>
              <w:right w:val="nil"/>
            </w:tcBorders>
            <w:shd w:val="clear" w:color="auto" w:fill="auto"/>
            <w:vAlign w:val="bottom"/>
          </w:tcPr>
          <w:p w14:paraId="18DA605B" w14:textId="77777777" w:rsidR="008E2F58" w:rsidRPr="005D1219" w:rsidRDefault="008E2F58" w:rsidP="0034622E">
            <w:pPr>
              <w:jc w:val="right"/>
              <w:rPr>
                <w:rFonts w:ascii="Arial" w:eastAsia="Calibri" w:hAnsi="Arial" w:cs="Arial"/>
                <w:b/>
                <w:bCs/>
                <w:color w:val="000000" w:themeColor="text1"/>
                <w:sz w:val="18"/>
                <w:szCs w:val="18"/>
              </w:rPr>
            </w:pPr>
            <w:r w:rsidRPr="005D1219">
              <w:rPr>
                <w:rFonts w:ascii="Arial" w:hAnsi="Arial" w:cs="Arial"/>
                <w:b/>
                <w:bCs/>
                <w:sz w:val="18"/>
                <w:szCs w:val="18"/>
              </w:rPr>
              <w:t xml:space="preserve">216    </w:t>
            </w:r>
          </w:p>
        </w:tc>
      </w:tr>
      <w:tr w:rsidR="008E2F58" w:rsidRPr="001B015B" w14:paraId="00C94295" w14:textId="77777777" w:rsidTr="0034622E">
        <w:trPr>
          <w:trHeight w:val="172"/>
        </w:trPr>
        <w:tc>
          <w:tcPr>
            <w:tcW w:w="3931" w:type="dxa"/>
            <w:tcBorders>
              <w:top w:val="nil"/>
              <w:left w:val="nil"/>
              <w:bottom w:val="nil"/>
              <w:right w:val="nil"/>
            </w:tcBorders>
            <w:shd w:val="clear" w:color="auto" w:fill="auto"/>
            <w:vAlign w:val="bottom"/>
            <w:hideMark/>
          </w:tcPr>
          <w:p w14:paraId="3D0A868F" w14:textId="77777777" w:rsidR="008E2F58" w:rsidRPr="001B015B" w:rsidRDefault="008E2F58" w:rsidP="0034622E">
            <w:pPr>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Stanje 31. prosinca 202</w:t>
            </w:r>
            <w:r>
              <w:rPr>
                <w:rFonts w:ascii="Arial" w:eastAsia="Calibri" w:hAnsi="Arial" w:cs="Arial"/>
                <w:b/>
                <w:bCs/>
                <w:color w:val="000000" w:themeColor="text1"/>
                <w:sz w:val="18"/>
                <w:szCs w:val="18"/>
              </w:rPr>
              <w:t>3</w:t>
            </w:r>
            <w:r w:rsidRPr="001B015B">
              <w:rPr>
                <w:rFonts w:ascii="Arial" w:eastAsia="Calibri" w:hAnsi="Arial" w:cs="Arial"/>
                <w:b/>
                <w:bCs/>
                <w:color w:val="000000" w:themeColor="text1"/>
                <w:sz w:val="18"/>
                <w:szCs w:val="18"/>
              </w:rPr>
              <w:t>.</w:t>
            </w:r>
          </w:p>
        </w:tc>
        <w:tc>
          <w:tcPr>
            <w:tcW w:w="1090" w:type="dxa"/>
            <w:tcBorders>
              <w:top w:val="single" w:sz="4" w:space="0" w:color="auto"/>
              <w:left w:val="nil"/>
              <w:bottom w:val="single" w:sz="12" w:space="0" w:color="auto"/>
              <w:right w:val="nil"/>
            </w:tcBorders>
            <w:shd w:val="clear" w:color="auto" w:fill="auto"/>
            <w:vAlign w:val="bottom"/>
          </w:tcPr>
          <w:p w14:paraId="57D8DE1C" w14:textId="77777777" w:rsidR="008E2F58" w:rsidRPr="001B015B" w:rsidRDefault="008E2F58" w:rsidP="0034622E">
            <w:pPr>
              <w:jc w:val="right"/>
              <w:rPr>
                <w:rFonts w:ascii="Arial" w:eastAsia="Calibri" w:hAnsi="Arial" w:cs="Arial"/>
                <w:b/>
                <w:bCs/>
                <w:color w:val="000000" w:themeColor="text1"/>
                <w:sz w:val="18"/>
                <w:szCs w:val="18"/>
              </w:rPr>
            </w:pPr>
            <w:r w:rsidRPr="00067DF8">
              <w:rPr>
                <w:rFonts w:ascii="Arial" w:eastAsia="Calibri" w:hAnsi="Arial" w:cs="Arial"/>
                <w:b/>
                <w:bCs/>
                <w:color w:val="000000" w:themeColor="text1"/>
                <w:sz w:val="18"/>
                <w:szCs w:val="18"/>
              </w:rPr>
              <w:t>221</w:t>
            </w:r>
          </w:p>
        </w:tc>
        <w:tc>
          <w:tcPr>
            <w:tcW w:w="1090" w:type="dxa"/>
            <w:tcBorders>
              <w:top w:val="single" w:sz="4" w:space="0" w:color="auto"/>
              <w:left w:val="nil"/>
              <w:bottom w:val="single" w:sz="12" w:space="0" w:color="auto"/>
              <w:right w:val="nil"/>
            </w:tcBorders>
            <w:shd w:val="clear" w:color="auto" w:fill="auto"/>
            <w:vAlign w:val="bottom"/>
          </w:tcPr>
          <w:p w14:paraId="35CDC0EC" w14:textId="77777777" w:rsidR="008E2F58" w:rsidRPr="001B015B" w:rsidRDefault="008E2F58" w:rsidP="0034622E">
            <w:pPr>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c>
          <w:tcPr>
            <w:tcW w:w="1090" w:type="dxa"/>
            <w:tcBorders>
              <w:top w:val="single" w:sz="4" w:space="0" w:color="auto"/>
              <w:left w:val="nil"/>
              <w:bottom w:val="single" w:sz="12" w:space="0" w:color="auto"/>
              <w:right w:val="nil"/>
            </w:tcBorders>
            <w:shd w:val="clear" w:color="auto" w:fill="auto"/>
            <w:vAlign w:val="bottom"/>
          </w:tcPr>
          <w:p w14:paraId="316EF507" w14:textId="77777777" w:rsidR="008E2F58" w:rsidRPr="001B015B" w:rsidRDefault="008E2F58" w:rsidP="0034622E">
            <w:pPr>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c>
          <w:tcPr>
            <w:tcW w:w="1090" w:type="dxa"/>
            <w:tcBorders>
              <w:top w:val="single" w:sz="4" w:space="0" w:color="auto"/>
              <w:left w:val="nil"/>
              <w:bottom w:val="single" w:sz="12" w:space="0" w:color="auto"/>
              <w:right w:val="nil"/>
            </w:tcBorders>
            <w:shd w:val="clear" w:color="auto" w:fill="auto"/>
            <w:vAlign w:val="bottom"/>
          </w:tcPr>
          <w:p w14:paraId="08BAD87A" w14:textId="77777777" w:rsidR="008E2F58" w:rsidRPr="001B015B" w:rsidRDefault="008E2F58" w:rsidP="0034622E">
            <w:pPr>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c>
          <w:tcPr>
            <w:tcW w:w="1090" w:type="dxa"/>
            <w:tcBorders>
              <w:top w:val="single" w:sz="4" w:space="0" w:color="auto"/>
              <w:left w:val="nil"/>
              <w:bottom w:val="single" w:sz="12" w:space="0" w:color="auto"/>
              <w:right w:val="nil"/>
            </w:tcBorders>
            <w:shd w:val="clear" w:color="auto" w:fill="auto"/>
            <w:vAlign w:val="bottom"/>
          </w:tcPr>
          <w:p w14:paraId="030F6603" w14:textId="77777777" w:rsidR="008E2F58" w:rsidRPr="001B015B" w:rsidRDefault="008E2F58" w:rsidP="0034622E">
            <w:pPr>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221</w:t>
            </w:r>
          </w:p>
        </w:tc>
      </w:tr>
    </w:tbl>
    <w:p w14:paraId="48D4A586" w14:textId="675262BF" w:rsidR="00D92646" w:rsidRPr="003D1614" w:rsidRDefault="00D92646" w:rsidP="001A0FCB">
      <w:pPr>
        <w:suppressAutoHyphens/>
        <w:autoSpaceDN w:val="0"/>
        <w:jc w:val="both"/>
        <w:rPr>
          <w:rFonts w:ascii="Arial" w:eastAsia="Times New Roman" w:hAnsi="Arial" w:cs="Arial"/>
          <w:color w:val="000000" w:themeColor="text1"/>
          <w:sz w:val="20"/>
          <w:szCs w:val="20"/>
        </w:rPr>
      </w:pPr>
    </w:p>
    <w:p w14:paraId="3410C81E" w14:textId="77777777" w:rsidR="00D92646" w:rsidRPr="003D1614" w:rsidRDefault="00D92646" w:rsidP="001A0FCB">
      <w:pPr>
        <w:suppressAutoHyphens/>
        <w:autoSpaceDN w:val="0"/>
        <w:jc w:val="both"/>
        <w:rPr>
          <w:rFonts w:ascii="Arial" w:eastAsia="Times New Roman" w:hAnsi="Arial" w:cs="Arial"/>
          <w:color w:val="000000" w:themeColor="text1"/>
          <w:sz w:val="20"/>
          <w:szCs w:val="20"/>
        </w:rPr>
        <w:sectPr w:rsidR="00D92646" w:rsidRPr="003D1614" w:rsidSect="003278AB">
          <w:pgSz w:w="11906" w:h="16838"/>
          <w:pgMar w:top="1417" w:right="1417" w:bottom="1417" w:left="1417" w:header="708" w:footer="708" w:gutter="0"/>
          <w:cols w:space="708"/>
          <w:docGrid w:linePitch="360"/>
        </w:sectPr>
      </w:pPr>
    </w:p>
    <w:p w14:paraId="2EA4F564"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0966CFAE" w14:textId="6EC0E401"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4839EB3A"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7101DF91" w14:textId="59F5D9A2"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.3. </w:t>
      </w:r>
      <w:r w:rsidRPr="003D1614">
        <w:rPr>
          <w:rFonts w:ascii="Arial" w:eastAsia="Times New Roman" w:hAnsi="Arial" w:cs="Arial"/>
          <w:b/>
          <w:bCs/>
          <w:color w:val="000000" w:themeColor="text1"/>
          <w:sz w:val="20"/>
          <w:szCs w:val="20"/>
        </w:rPr>
        <w:tab/>
        <w:t>Kreditni rizik (nastavak)</w:t>
      </w:r>
    </w:p>
    <w:p w14:paraId="6FEAB329"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19E824E8" w14:textId="77777777" w:rsidR="00D92646" w:rsidRPr="003D1614" w:rsidRDefault="00D92646" w:rsidP="00D92646">
      <w:pPr>
        <w:keepNext/>
        <w:numPr>
          <w:ilvl w:val="8"/>
          <w:numId w:val="29"/>
        </w:numPr>
        <w:suppressAutoHyphens/>
        <w:autoSpaceDN w:val="0"/>
        <w:rPr>
          <w:rFonts w:ascii="Arial" w:eastAsia="Times New Roman" w:hAnsi="Arial" w:cs="Arial"/>
          <w:bCs/>
          <w:i/>
          <w:color w:val="000000" w:themeColor="text1"/>
          <w:sz w:val="20"/>
          <w:szCs w:val="20"/>
        </w:rPr>
      </w:pPr>
      <w:r w:rsidRPr="003D1614">
        <w:rPr>
          <w:rFonts w:ascii="Arial" w:eastAsia="Times New Roman" w:hAnsi="Arial" w:cs="Arial"/>
          <w:bCs/>
          <w:i/>
          <w:color w:val="000000" w:themeColor="text1"/>
          <w:sz w:val="20"/>
          <w:szCs w:val="20"/>
        </w:rPr>
        <w:t>Promjene po rezerviranjima (nastavak)</w:t>
      </w:r>
    </w:p>
    <w:p w14:paraId="79DC993E" w14:textId="77777777" w:rsidR="00D92646" w:rsidRPr="003D1614" w:rsidRDefault="00D92646" w:rsidP="00D92646">
      <w:pPr>
        <w:keepNext/>
        <w:suppressAutoHyphens/>
        <w:autoSpaceDN w:val="0"/>
        <w:rPr>
          <w:rFonts w:ascii="Arial" w:eastAsia="Times New Roman" w:hAnsi="Arial" w:cs="Arial"/>
          <w:bCs/>
          <w:i/>
          <w:color w:val="000000" w:themeColor="text1"/>
          <w:sz w:val="20"/>
          <w:szCs w:val="20"/>
        </w:rPr>
      </w:pPr>
    </w:p>
    <w:p w14:paraId="1EEFCBDF" w14:textId="77777777" w:rsidR="00D92646" w:rsidRPr="003D1614" w:rsidRDefault="00D92646" w:rsidP="00D92646">
      <w:pPr>
        <w:keepNext/>
        <w:suppressAutoHyphens/>
        <w:autoSpaceDN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Depoziti kod drugih banaka</w:t>
      </w:r>
    </w:p>
    <w:p w14:paraId="706CF6A9" w14:textId="77777777" w:rsidR="00D92646" w:rsidRPr="003D1614" w:rsidRDefault="00D92646" w:rsidP="00D92646">
      <w:pPr>
        <w:suppressAutoHyphens/>
        <w:autoSpaceDN w:val="0"/>
        <w:rPr>
          <w:rFonts w:ascii="Arial" w:eastAsia="Calibri" w:hAnsi="Arial" w:cs="Arial"/>
          <w:color w:val="000000" w:themeColor="text1"/>
          <w:sz w:val="20"/>
          <w:szCs w:val="20"/>
        </w:rPr>
      </w:pPr>
    </w:p>
    <w:tbl>
      <w:tblPr>
        <w:tblW w:w="9381" w:type="dxa"/>
        <w:tblInd w:w="-142" w:type="dxa"/>
        <w:tblLook w:val="04A0" w:firstRow="1" w:lastRow="0" w:firstColumn="1" w:lastColumn="0" w:noHBand="0" w:noVBand="1"/>
      </w:tblPr>
      <w:tblGrid>
        <w:gridCol w:w="3931"/>
        <w:gridCol w:w="1090"/>
        <w:gridCol w:w="1090"/>
        <w:gridCol w:w="1090"/>
        <w:gridCol w:w="1090"/>
        <w:gridCol w:w="1090"/>
      </w:tblGrid>
      <w:tr w:rsidR="00D92646" w:rsidRPr="003D1614" w14:paraId="041767A4" w14:textId="77777777" w:rsidTr="007478FB">
        <w:trPr>
          <w:trHeight w:val="164"/>
        </w:trPr>
        <w:tc>
          <w:tcPr>
            <w:tcW w:w="3931" w:type="dxa"/>
            <w:tcBorders>
              <w:top w:val="nil"/>
              <w:left w:val="nil"/>
              <w:bottom w:val="nil"/>
              <w:right w:val="nil"/>
            </w:tcBorders>
            <w:shd w:val="clear" w:color="auto" w:fill="auto"/>
            <w:vAlign w:val="bottom"/>
          </w:tcPr>
          <w:p w14:paraId="1F3FAAA1" w14:textId="77777777" w:rsidR="00D92646" w:rsidRPr="003D1614" w:rsidRDefault="00D92646" w:rsidP="00D92646">
            <w:pPr>
              <w:suppressAutoHyphens/>
              <w:autoSpaceDN w:val="0"/>
              <w:rPr>
                <w:rFonts w:ascii="Arial" w:eastAsia="Calibri" w:hAnsi="Arial" w:cs="Arial"/>
                <w:b/>
                <w:bCs/>
                <w:color w:val="000000" w:themeColor="text1"/>
                <w:sz w:val="18"/>
                <w:szCs w:val="18"/>
              </w:rPr>
            </w:pPr>
            <w:bookmarkStart w:id="742" w:name="_Hlk24387098"/>
            <w:r w:rsidRPr="003D1614">
              <w:rPr>
                <w:rFonts w:ascii="Arial" w:eastAsia="Calibri" w:hAnsi="Arial" w:cs="Arial"/>
                <w:b/>
                <w:bCs/>
                <w:color w:val="000000" w:themeColor="text1"/>
                <w:sz w:val="18"/>
                <w:szCs w:val="18"/>
              </w:rPr>
              <w:t>Banka</w:t>
            </w:r>
          </w:p>
        </w:tc>
        <w:tc>
          <w:tcPr>
            <w:tcW w:w="1090" w:type="dxa"/>
            <w:tcBorders>
              <w:top w:val="nil"/>
              <w:left w:val="nil"/>
              <w:bottom w:val="nil"/>
              <w:right w:val="nil"/>
            </w:tcBorders>
            <w:shd w:val="clear" w:color="auto" w:fill="auto"/>
            <w:vAlign w:val="bottom"/>
          </w:tcPr>
          <w:p w14:paraId="6881B86E"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bottom"/>
          </w:tcPr>
          <w:p w14:paraId="538D3AE9"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bottom"/>
          </w:tcPr>
          <w:p w14:paraId="6C19EC83"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bottom"/>
          </w:tcPr>
          <w:p w14:paraId="39933EB3"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bottom"/>
          </w:tcPr>
          <w:p w14:paraId="60D91C16"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r>
      <w:tr w:rsidR="00D92646" w:rsidRPr="003D1614" w14:paraId="3C6F0F5F" w14:textId="77777777" w:rsidTr="007478FB">
        <w:trPr>
          <w:trHeight w:val="164"/>
        </w:trPr>
        <w:tc>
          <w:tcPr>
            <w:tcW w:w="3931" w:type="dxa"/>
            <w:tcBorders>
              <w:top w:val="nil"/>
              <w:left w:val="nil"/>
              <w:bottom w:val="nil"/>
              <w:right w:val="nil"/>
            </w:tcBorders>
            <w:shd w:val="clear" w:color="auto" w:fill="auto"/>
            <w:vAlign w:val="bottom"/>
            <w:hideMark/>
          </w:tcPr>
          <w:p w14:paraId="10EFA46C" w14:textId="63546342" w:rsidR="00D92646" w:rsidRPr="003D1614" w:rsidRDefault="00A2708A" w:rsidP="00D92646">
            <w:pPr>
              <w:suppressAutoHyphens/>
              <w:autoSpaceDN w:val="0"/>
              <w:rPr>
                <w:rFonts w:ascii="Arial" w:eastAsia="Calibri" w:hAnsi="Arial" w:cs="Arial"/>
                <w:b/>
                <w:bCs/>
                <w:color w:val="000000" w:themeColor="text1"/>
                <w:sz w:val="18"/>
                <w:szCs w:val="18"/>
              </w:rPr>
            </w:pPr>
            <w:r w:rsidRPr="00A2708A">
              <w:rPr>
                <w:rFonts w:ascii="Arial" w:eastAsia="Calibri" w:hAnsi="Arial" w:cs="Arial"/>
                <w:b/>
                <w:bCs/>
                <w:color w:val="000000" w:themeColor="text1"/>
                <w:sz w:val="18"/>
                <w:szCs w:val="18"/>
              </w:rPr>
              <w:t>30. rujna 202</w:t>
            </w:r>
            <w:r w:rsidR="008E2F58">
              <w:rPr>
                <w:rFonts w:ascii="Arial" w:eastAsia="Calibri" w:hAnsi="Arial" w:cs="Arial"/>
                <w:b/>
                <w:bCs/>
                <w:color w:val="000000" w:themeColor="text1"/>
                <w:sz w:val="18"/>
                <w:szCs w:val="18"/>
              </w:rPr>
              <w:t>4</w:t>
            </w:r>
            <w:r w:rsidRPr="00A2708A">
              <w:rPr>
                <w:rFonts w:ascii="Arial" w:eastAsia="Calibri" w:hAnsi="Arial" w:cs="Arial"/>
                <w:b/>
                <w:bCs/>
                <w:color w:val="000000" w:themeColor="text1"/>
                <w:sz w:val="18"/>
                <w:szCs w:val="18"/>
              </w:rPr>
              <w:t>.</w:t>
            </w:r>
          </w:p>
        </w:tc>
        <w:tc>
          <w:tcPr>
            <w:tcW w:w="1090" w:type="dxa"/>
            <w:tcBorders>
              <w:top w:val="nil"/>
              <w:left w:val="nil"/>
              <w:bottom w:val="nil"/>
              <w:right w:val="nil"/>
            </w:tcBorders>
            <w:shd w:val="clear" w:color="auto" w:fill="auto"/>
            <w:vAlign w:val="bottom"/>
            <w:hideMark/>
          </w:tcPr>
          <w:p w14:paraId="54836C4B"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1</w:t>
            </w:r>
          </w:p>
        </w:tc>
        <w:tc>
          <w:tcPr>
            <w:tcW w:w="1090" w:type="dxa"/>
            <w:tcBorders>
              <w:top w:val="nil"/>
              <w:left w:val="nil"/>
              <w:bottom w:val="nil"/>
              <w:right w:val="nil"/>
            </w:tcBorders>
            <w:shd w:val="clear" w:color="auto" w:fill="auto"/>
            <w:vAlign w:val="bottom"/>
            <w:hideMark/>
          </w:tcPr>
          <w:p w14:paraId="50DE67C4"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2</w:t>
            </w:r>
          </w:p>
        </w:tc>
        <w:tc>
          <w:tcPr>
            <w:tcW w:w="1090" w:type="dxa"/>
            <w:tcBorders>
              <w:top w:val="nil"/>
              <w:left w:val="nil"/>
              <w:bottom w:val="nil"/>
              <w:right w:val="nil"/>
            </w:tcBorders>
            <w:shd w:val="clear" w:color="auto" w:fill="auto"/>
            <w:vAlign w:val="bottom"/>
            <w:hideMark/>
          </w:tcPr>
          <w:p w14:paraId="7F3FA0F7"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3</w:t>
            </w:r>
          </w:p>
        </w:tc>
        <w:tc>
          <w:tcPr>
            <w:tcW w:w="1090" w:type="dxa"/>
            <w:tcBorders>
              <w:top w:val="nil"/>
              <w:left w:val="nil"/>
              <w:bottom w:val="nil"/>
              <w:right w:val="nil"/>
            </w:tcBorders>
            <w:shd w:val="clear" w:color="auto" w:fill="auto"/>
            <w:vAlign w:val="bottom"/>
            <w:hideMark/>
          </w:tcPr>
          <w:p w14:paraId="470F30F8"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POCI</w:t>
            </w:r>
          </w:p>
        </w:tc>
        <w:tc>
          <w:tcPr>
            <w:tcW w:w="1090" w:type="dxa"/>
            <w:tcBorders>
              <w:top w:val="nil"/>
              <w:left w:val="nil"/>
              <w:bottom w:val="nil"/>
              <w:right w:val="nil"/>
            </w:tcBorders>
            <w:shd w:val="clear" w:color="auto" w:fill="auto"/>
            <w:vAlign w:val="bottom"/>
            <w:hideMark/>
          </w:tcPr>
          <w:p w14:paraId="2CD68312"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Ukupno</w:t>
            </w:r>
          </w:p>
        </w:tc>
      </w:tr>
      <w:tr w:rsidR="00D92646" w:rsidRPr="003D1614" w14:paraId="0B2288C5" w14:textId="77777777" w:rsidTr="007478FB">
        <w:trPr>
          <w:trHeight w:val="164"/>
        </w:trPr>
        <w:tc>
          <w:tcPr>
            <w:tcW w:w="3931" w:type="dxa"/>
            <w:tcBorders>
              <w:top w:val="nil"/>
              <w:left w:val="nil"/>
              <w:bottom w:val="nil"/>
              <w:right w:val="nil"/>
            </w:tcBorders>
            <w:shd w:val="clear" w:color="auto" w:fill="auto"/>
            <w:vAlign w:val="bottom"/>
            <w:hideMark/>
          </w:tcPr>
          <w:p w14:paraId="0BAD9472"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bottom"/>
            <w:hideMark/>
          </w:tcPr>
          <w:p w14:paraId="1D24803B" w14:textId="76BCC9E8"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90" w:type="dxa"/>
            <w:tcBorders>
              <w:top w:val="nil"/>
              <w:left w:val="nil"/>
              <w:bottom w:val="nil"/>
              <w:right w:val="nil"/>
            </w:tcBorders>
            <w:shd w:val="clear" w:color="auto" w:fill="auto"/>
            <w:vAlign w:val="bottom"/>
            <w:hideMark/>
          </w:tcPr>
          <w:p w14:paraId="1C580E5C" w14:textId="23C050C4"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90" w:type="dxa"/>
            <w:tcBorders>
              <w:top w:val="nil"/>
              <w:left w:val="nil"/>
              <w:bottom w:val="nil"/>
              <w:right w:val="nil"/>
            </w:tcBorders>
            <w:shd w:val="clear" w:color="auto" w:fill="auto"/>
            <w:vAlign w:val="bottom"/>
            <w:hideMark/>
          </w:tcPr>
          <w:p w14:paraId="792B985D" w14:textId="762FD31C"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90" w:type="dxa"/>
            <w:tcBorders>
              <w:top w:val="nil"/>
              <w:left w:val="nil"/>
              <w:bottom w:val="nil"/>
              <w:right w:val="nil"/>
            </w:tcBorders>
            <w:shd w:val="clear" w:color="auto" w:fill="auto"/>
            <w:vAlign w:val="bottom"/>
            <w:hideMark/>
          </w:tcPr>
          <w:p w14:paraId="188129CA" w14:textId="06535B74"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90" w:type="dxa"/>
            <w:tcBorders>
              <w:top w:val="nil"/>
              <w:left w:val="nil"/>
              <w:bottom w:val="nil"/>
              <w:right w:val="nil"/>
            </w:tcBorders>
            <w:shd w:val="clear" w:color="auto" w:fill="auto"/>
            <w:vAlign w:val="bottom"/>
            <w:hideMark/>
          </w:tcPr>
          <w:p w14:paraId="2E2CE38E" w14:textId="546CA093"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r>
      <w:tr w:rsidR="00D92646" w:rsidRPr="003D1614" w14:paraId="57D0749F" w14:textId="77777777" w:rsidTr="007478FB">
        <w:trPr>
          <w:trHeight w:val="164"/>
        </w:trPr>
        <w:tc>
          <w:tcPr>
            <w:tcW w:w="3931" w:type="dxa"/>
            <w:tcBorders>
              <w:top w:val="nil"/>
              <w:left w:val="nil"/>
              <w:bottom w:val="nil"/>
              <w:right w:val="nil"/>
            </w:tcBorders>
            <w:shd w:val="clear" w:color="auto" w:fill="auto"/>
            <w:vAlign w:val="bottom"/>
          </w:tcPr>
          <w:p w14:paraId="46E59A4C"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bottom"/>
          </w:tcPr>
          <w:p w14:paraId="715D404E"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bottom"/>
          </w:tcPr>
          <w:p w14:paraId="2178E35A"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bottom"/>
          </w:tcPr>
          <w:p w14:paraId="35B6C6A4"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bottom"/>
          </w:tcPr>
          <w:p w14:paraId="3FEF5E57"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bottom"/>
          </w:tcPr>
          <w:p w14:paraId="5D03047F"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r>
      <w:tr w:rsidR="00A93F0F" w:rsidRPr="003D1614" w14:paraId="58DC5533" w14:textId="77777777" w:rsidTr="007478FB">
        <w:trPr>
          <w:trHeight w:val="164"/>
        </w:trPr>
        <w:tc>
          <w:tcPr>
            <w:tcW w:w="3931" w:type="dxa"/>
            <w:tcBorders>
              <w:top w:val="nil"/>
              <w:left w:val="nil"/>
              <w:bottom w:val="nil"/>
              <w:right w:val="nil"/>
            </w:tcBorders>
            <w:shd w:val="clear" w:color="auto" w:fill="auto"/>
            <w:vAlign w:val="bottom"/>
            <w:hideMark/>
          </w:tcPr>
          <w:p w14:paraId="7316D498" w14:textId="7EC36ED2" w:rsidR="00A93F0F" w:rsidRPr="003D1614" w:rsidRDefault="00A93F0F" w:rsidP="00A93F0F">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Stanje 1. siječnja 202</w:t>
            </w:r>
            <w:r w:rsidR="008E2F58">
              <w:rPr>
                <w:rFonts w:ascii="Arial" w:eastAsia="Calibri" w:hAnsi="Arial" w:cs="Arial"/>
                <w:color w:val="000000" w:themeColor="text1"/>
                <w:sz w:val="18"/>
                <w:szCs w:val="18"/>
              </w:rPr>
              <w:t>4</w:t>
            </w:r>
            <w:r w:rsidRPr="003D1614">
              <w:rPr>
                <w:rFonts w:ascii="Arial" w:eastAsia="Calibri" w:hAnsi="Arial" w:cs="Arial"/>
                <w:color w:val="000000" w:themeColor="text1"/>
                <w:sz w:val="18"/>
                <w:szCs w:val="18"/>
              </w:rPr>
              <w:t xml:space="preserve">. </w:t>
            </w:r>
          </w:p>
        </w:tc>
        <w:tc>
          <w:tcPr>
            <w:tcW w:w="1090" w:type="dxa"/>
            <w:shd w:val="clear" w:color="auto" w:fill="auto"/>
            <w:vAlign w:val="bottom"/>
          </w:tcPr>
          <w:p w14:paraId="4DE6CD72" w14:textId="67B22059" w:rsidR="00A93F0F" w:rsidRPr="003D1614" w:rsidRDefault="003E0E4A" w:rsidP="00A93F0F">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218</w:t>
            </w:r>
          </w:p>
        </w:tc>
        <w:tc>
          <w:tcPr>
            <w:tcW w:w="1090" w:type="dxa"/>
            <w:shd w:val="clear" w:color="auto" w:fill="auto"/>
            <w:vAlign w:val="bottom"/>
          </w:tcPr>
          <w:p w14:paraId="2A645C91" w14:textId="378FF7CF" w:rsidR="00A93F0F" w:rsidRPr="003D1614" w:rsidRDefault="003E0E4A" w:rsidP="00A93F0F">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673FEB75" w14:textId="2922953F" w:rsidR="00A93F0F" w:rsidRPr="003D1614" w:rsidRDefault="003E0E4A" w:rsidP="00A93F0F">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1A38DDF8" w14:textId="2EC44B95" w:rsidR="00A93F0F" w:rsidRPr="003D1614" w:rsidRDefault="003E0E4A" w:rsidP="00A93F0F">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12A82D3E" w14:textId="2F983F3F" w:rsidR="00A93F0F" w:rsidRPr="003C1C2F" w:rsidRDefault="003E0E4A" w:rsidP="00A93F0F">
            <w:pPr>
              <w:suppressAutoHyphens/>
              <w:autoSpaceDN w:val="0"/>
              <w:jc w:val="right"/>
              <w:rPr>
                <w:rFonts w:ascii="Arial" w:eastAsia="Calibri" w:hAnsi="Arial" w:cs="Arial"/>
                <w:b/>
                <w:bCs/>
                <w:color w:val="000000" w:themeColor="text1"/>
                <w:sz w:val="18"/>
                <w:szCs w:val="18"/>
              </w:rPr>
            </w:pPr>
            <w:r w:rsidRPr="003C1C2F">
              <w:rPr>
                <w:rFonts w:ascii="Arial" w:eastAsia="Calibri" w:hAnsi="Arial" w:cs="Arial"/>
                <w:b/>
                <w:bCs/>
                <w:color w:val="000000" w:themeColor="text1"/>
                <w:sz w:val="18"/>
                <w:szCs w:val="18"/>
              </w:rPr>
              <w:t>218</w:t>
            </w:r>
          </w:p>
        </w:tc>
      </w:tr>
      <w:tr w:rsidR="00A67874" w:rsidRPr="003D1614" w14:paraId="19641A41" w14:textId="77777777" w:rsidTr="004B480E">
        <w:trPr>
          <w:trHeight w:val="164"/>
        </w:trPr>
        <w:tc>
          <w:tcPr>
            <w:tcW w:w="3931" w:type="dxa"/>
            <w:tcBorders>
              <w:top w:val="nil"/>
              <w:left w:val="nil"/>
              <w:bottom w:val="nil"/>
              <w:right w:val="nil"/>
            </w:tcBorders>
            <w:shd w:val="clear" w:color="auto" w:fill="auto"/>
            <w:vAlign w:val="bottom"/>
            <w:hideMark/>
          </w:tcPr>
          <w:p w14:paraId="17BD6FC7" w14:textId="77777777" w:rsidR="00A67874" w:rsidRPr="003D1614" w:rsidRDefault="00A67874" w:rsidP="00A67874">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1</w:t>
            </w:r>
          </w:p>
        </w:tc>
        <w:tc>
          <w:tcPr>
            <w:tcW w:w="1090" w:type="dxa"/>
            <w:tcBorders>
              <w:top w:val="nil"/>
              <w:left w:val="nil"/>
              <w:right w:val="nil"/>
            </w:tcBorders>
            <w:shd w:val="clear" w:color="auto" w:fill="auto"/>
            <w:vAlign w:val="bottom"/>
          </w:tcPr>
          <w:p w14:paraId="5975EE7F" w14:textId="2D258718" w:rsidR="00A67874" w:rsidRPr="003D1614" w:rsidRDefault="000D7A7A" w:rsidP="00A67874">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1C4B69BC" w14:textId="60A412EA" w:rsidR="00A67874" w:rsidRPr="003D1614" w:rsidRDefault="000D7A7A" w:rsidP="00A67874">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142424D8" w14:textId="11768303" w:rsidR="00A67874" w:rsidRPr="003D1614" w:rsidRDefault="000D7A7A" w:rsidP="00A67874">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49A63A40" w14:textId="7DD2E337" w:rsidR="00A67874" w:rsidRPr="003D1614" w:rsidRDefault="000D7A7A" w:rsidP="00A67874">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0915838B" w14:textId="1E639EA2" w:rsidR="00A67874" w:rsidRPr="003C1C2F" w:rsidRDefault="000D7A7A" w:rsidP="00A67874">
            <w:pPr>
              <w:suppressAutoHyphens/>
              <w:autoSpaceDN w:val="0"/>
              <w:jc w:val="right"/>
              <w:rPr>
                <w:rFonts w:ascii="Arial" w:eastAsia="Calibri" w:hAnsi="Arial" w:cs="Arial"/>
                <w:b/>
                <w:bCs/>
                <w:color w:val="000000" w:themeColor="text1"/>
                <w:sz w:val="18"/>
                <w:szCs w:val="18"/>
              </w:rPr>
            </w:pPr>
            <w:r w:rsidRPr="003C1C2F">
              <w:rPr>
                <w:rFonts w:ascii="Arial" w:eastAsia="Calibri" w:hAnsi="Arial" w:cs="Arial"/>
                <w:b/>
                <w:bCs/>
                <w:color w:val="000000" w:themeColor="text1"/>
                <w:sz w:val="18"/>
                <w:szCs w:val="18"/>
              </w:rPr>
              <w:t>-</w:t>
            </w:r>
          </w:p>
        </w:tc>
      </w:tr>
      <w:tr w:rsidR="00A67874" w:rsidRPr="003D1614" w14:paraId="395A00AD" w14:textId="77777777" w:rsidTr="004B480E">
        <w:trPr>
          <w:trHeight w:val="164"/>
        </w:trPr>
        <w:tc>
          <w:tcPr>
            <w:tcW w:w="3931" w:type="dxa"/>
            <w:tcBorders>
              <w:top w:val="nil"/>
              <w:left w:val="nil"/>
              <w:bottom w:val="nil"/>
              <w:right w:val="nil"/>
            </w:tcBorders>
            <w:shd w:val="clear" w:color="auto" w:fill="auto"/>
            <w:vAlign w:val="bottom"/>
          </w:tcPr>
          <w:p w14:paraId="304FF047" w14:textId="77777777" w:rsidR="00A67874" w:rsidRPr="003D1614" w:rsidRDefault="00A67874" w:rsidP="00A67874">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2</w:t>
            </w:r>
          </w:p>
        </w:tc>
        <w:tc>
          <w:tcPr>
            <w:tcW w:w="1090" w:type="dxa"/>
            <w:tcBorders>
              <w:top w:val="nil"/>
              <w:left w:val="nil"/>
              <w:right w:val="nil"/>
            </w:tcBorders>
            <w:shd w:val="clear" w:color="auto" w:fill="auto"/>
            <w:vAlign w:val="bottom"/>
          </w:tcPr>
          <w:p w14:paraId="05C1A445" w14:textId="13BC61D6" w:rsidR="00A67874" w:rsidRPr="003D1614" w:rsidRDefault="000D7A7A" w:rsidP="00A67874">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70C7A1B0" w14:textId="67847C5E" w:rsidR="00A67874" w:rsidRPr="003D1614" w:rsidRDefault="000D7A7A" w:rsidP="00A67874">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3592C6BD" w14:textId="0A8CC211" w:rsidR="00A67874" w:rsidRPr="003D1614" w:rsidRDefault="000D7A7A" w:rsidP="00A67874">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5ADF066B" w14:textId="4F6C0399" w:rsidR="00A67874" w:rsidRPr="003D1614" w:rsidRDefault="000D7A7A" w:rsidP="00A67874">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390614D5" w14:textId="6EC964D2" w:rsidR="00A67874" w:rsidRPr="003C1C2F" w:rsidRDefault="000D7A7A" w:rsidP="00A67874">
            <w:pPr>
              <w:suppressAutoHyphens/>
              <w:autoSpaceDN w:val="0"/>
              <w:jc w:val="right"/>
              <w:rPr>
                <w:rFonts w:ascii="Arial" w:eastAsia="Calibri" w:hAnsi="Arial" w:cs="Arial"/>
                <w:b/>
                <w:bCs/>
                <w:color w:val="000000" w:themeColor="text1"/>
                <w:sz w:val="18"/>
                <w:szCs w:val="18"/>
              </w:rPr>
            </w:pPr>
            <w:r w:rsidRPr="003C1C2F">
              <w:rPr>
                <w:rFonts w:ascii="Arial" w:eastAsia="Calibri" w:hAnsi="Arial" w:cs="Arial"/>
                <w:b/>
                <w:bCs/>
                <w:color w:val="000000" w:themeColor="text1"/>
                <w:sz w:val="18"/>
                <w:szCs w:val="18"/>
              </w:rPr>
              <w:t>-</w:t>
            </w:r>
          </w:p>
        </w:tc>
      </w:tr>
      <w:tr w:rsidR="00A67874" w:rsidRPr="003D1614" w14:paraId="7E3035C3" w14:textId="77777777" w:rsidTr="004B480E">
        <w:trPr>
          <w:trHeight w:val="164"/>
        </w:trPr>
        <w:tc>
          <w:tcPr>
            <w:tcW w:w="3931" w:type="dxa"/>
            <w:tcBorders>
              <w:top w:val="nil"/>
              <w:left w:val="nil"/>
              <w:bottom w:val="nil"/>
              <w:right w:val="nil"/>
            </w:tcBorders>
            <w:shd w:val="clear" w:color="auto" w:fill="auto"/>
            <w:vAlign w:val="bottom"/>
          </w:tcPr>
          <w:p w14:paraId="4CD8C9C2" w14:textId="77777777" w:rsidR="00A67874" w:rsidRPr="003D1614" w:rsidRDefault="00A67874" w:rsidP="00A67874">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3</w:t>
            </w:r>
          </w:p>
        </w:tc>
        <w:tc>
          <w:tcPr>
            <w:tcW w:w="1090" w:type="dxa"/>
            <w:tcBorders>
              <w:top w:val="nil"/>
              <w:left w:val="nil"/>
              <w:right w:val="nil"/>
            </w:tcBorders>
            <w:shd w:val="clear" w:color="auto" w:fill="auto"/>
            <w:vAlign w:val="bottom"/>
          </w:tcPr>
          <w:p w14:paraId="33C0FA4F" w14:textId="3D021879" w:rsidR="00A67874" w:rsidRPr="003D1614" w:rsidRDefault="000D7A7A" w:rsidP="00A67874">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0D4F7295" w14:textId="1471A99C" w:rsidR="00A67874" w:rsidRPr="003D1614" w:rsidRDefault="000D7A7A" w:rsidP="00A67874">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3BEB755A" w14:textId="54FDAD96" w:rsidR="00A67874" w:rsidRPr="003D1614" w:rsidRDefault="000D7A7A" w:rsidP="00A67874">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5301D283" w14:textId="22F9422A" w:rsidR="00A67874" w:rsidRPr="003D1614" w:rsidRDefault="000D7A7A" w:rsidP="00A67874">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07F5DD1C" w14:textId="3F2DC06E" w:rsidR="00A67874" w:rsidRPr="003C1C2F" w:rsidRDefault="000D7A7A" w:rsidP="00A67874">
            <w:pPr>
              <w:suppressAutoHyphens/>
              <w:autoSpaceDN w:val="0"/>
              <w:jc w:val="right"/>
              <w:rPr>
                <w:rFonts w:ascii="Arial" w:eastAsia="Calibri" w:hAnsi="Arial" w:cs="Arial"/>
                <w:b/>
                <w:bCs/>
                <w:color w:val="000000" w:themeColor="text1"/>
                <w:sz w:val="18"/>
                <w:szCs w:val="18"/>
              </w:rPr>
            </w:pPr>
            <w:r w:rsidRPr="003C1C2F">
              <w:rPr>
                <w:rFonts w:ascii="Arial" w:eastAsia="Calibri" w:hAnsi="Arial" w:cs="Arial"/>
                <w:b/>
                <w:bCs/>
                <w:color w:val="000000" w:themeColor="text1"/>
                <w:sz w:val="18"/>
                <w:szCs w:val="18"/>
              </w:rPr>
              <w:t>-</w:t>
            </w:r>
          </w:p>
        </w:tc>
      </w:tr>
      <w:tr w:rsidR="00A67874" w:rsidRPr="003D1614" w14:paraId="1E80A9A0" w14:textId="77777777" w:rsidTr="004B480E">
        <w:trPr>
          <w:trHeight w:val="204"/>
        </w:trPr>
        <w:tc>
          <w:tcPr>
            <w:tcW w:w="3931" w:type="dxa"/>
            <w:tcBorders>
              <w:top w:val="nil"/>
              <w:left w:val="nil"/>
              <w:bottom w:val="nil"/>
              <w:right w:val="nil"/>
            </w:tcBorders>
            <w:shd w:val="clear" w:color="auto" w:fill="auto"/>
            <w:vAlign w:val="bottom"/>
            <w:hideMark/>
          </w:tcPr>
          <w:p w14:paraId="1A8B7BB1" w14:textId="480BCC53" w:rsidR="00A67874" w:rsidRPr="003D1614" w:rsidRDefault="00A67874" w:rsidP="00A67874">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Net</w:t>
            </w:r>
            <w:r w:rsidRPr="00A67874">
              <w:rPr>
                <w:rFonts w:ascii="Arial" w:eastAsia="Calibri" w:hAnsi="Arial" w:cs="Arial"/>
                <w:color w:val="000000" w:themeColor="text1"/>
                <w:sz w:val="18"/>
                <w:szCs w:val="18"/>
              </w:rPr>
              <w:t xml:space="preserve">o </w:t>
            </w:r>
            <w:r w:rsidR="00AC3B1A">
              <w:rPr>
                <w:rFonts w:ascii="Arial" w:eastAsia="Calibri" w:hAnsi="Arial" w:cs="Arial"/>
                <w:color w:val="000000" w:themeColor="text1"/>
                <w:sz w:val="18"/>
                <w:szCs w:val="18"/>
              </w:rPr>
              <w:t>(smanjenje)</w:t>
            </w:r>
            <w:r w:rsidRPr="003D1614">
              <w:rPr>
                <w:rFonts w:ascii="Arial" w:eastAsia="Calibri" w:hAnsi="Arial" w:cs="Arial"/>
                <w:color w:val="000000" w:themeColor="text1"/>
                <w:sz w:val="18"/>
                <w:szCs w:val="18"/>
              </w:rPr>
              <w:t xml:space="preserve"> rezerviranja za očekivane gubitke </w:t>
            </w:r>
          </w:p>
        </w:tc>
        <w:tc>
          <w:tcPr>
            <w:tcW w:w="1090" w:type="dxa"/>
            <w:shd w:val="clear" w:color="auto" w:fill="auto"/>
            <w:vAlign w:val="bottom"/>
          </w:tcPr>
          <w:p w14:paraId="741506E5" w14:textId="439DFF09" w:rsidR="00A67874" w:rsidRPr="003D1614" w:rsidRDefault="000D7A7A" w:rsidP="00A67874">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(95)</w:t>
            </w:r>
          </w:p>
        </w:tc>
        <w:tc>
          <w:tcPr>
            <w:tcW w:w="1090" w:type="dxa"/>
            <w:shd w:val="clear" w:color="auto" w:fill="auto"/>
            <w:vAlign w:val="bottom"/>
          </w:tcPr>
          <w:p w14:paraId="65B677F9" w14:textId="1F4DD9DB" w:rsidR="00A67874" w:rsidRPr="003D1614" w:rsidRDefault="000D7A7A" w:rsidP="00A67874">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2425842B" w14:textId="08AB7B62" w:rsidR="00A67874" w:rsidRPr="003D1614" w:rsidRDefault="000D7A7A" w:rsidP="00A67874">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4E4C3100" w14:textId="35A90364" w:rsidR="00A67874" w:rsidRPr="003D1614" w:rsidRDefault="000D7A7A" w:rsidP="00A67874">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5C009C7F" w14:textId="0EFD38B5" w:rsidR="00A67874" w:rsidRPr="003C1C2F" w:rsidRDefault="000D7A7A" w:rsidP="00A67874">
            <w:pPr>
              <w:suppressAutoHyphens/>
              <w:autoSpaceDN w:val="0"/>
              <w:jc w:val="right"/>
              <w:rPr>
                <w:rFonts w:ascii="Arial" w:eastAsia="Calibri" w:hAnsi="Arial" w:cs="Arial"/>
                <w:b/>
                <w:bCs/>
                <w:color w:val="000000" w:themeColor="text1"/>
                <w:sz w:val="18"/>
                <w:szCs w:val="18"/>
              </w:rPr>
            </w:pPr>
            <w:r w:rsidRPr="003C1C2F">
              <w:rPr>
                <w:rFonts w:ascii="Arial" w:eastAsia="Calibri" w:hAnsi="Arial" w:cs="Arial"/>
                <w:b/>
                <w:bCs/>
                <w:color w:val="000000" w:themeColor="text1"/>
                <w:sz w:val="18"/>
                <w:szCs w:val="18"/>
              </w:rPr>
              <w:t>(95)</w:t>
            </w:r>
          </w:p>
        </w:tc>
      </w:tr>
      <w:tr w:rsidR="00A93F0F" w:rsidRPr="003D1614" w14:paraId="1473DFDB" w14:textId="77777777" w:rsidTr="007478FB">
        <w:trPr>
          <w:trHeight w:val="172"/>
        </w:trPr>
        <w:tc>
          <w:tcPr>
            <w:tcW w:w="3931" w:type="dxa"/>
            <w:tcBorders>
              <w:top w:val="nil"/>
              <w:left w:val="nil"/>
              <w:bottom w:val="nil"/>
              <w:right w:val="nil"/>
            </w:tcBorders>
            <w:shd w:val="clear" w:color="auto" w:fill="auto"/>
            <w:vAlign w:val="bottom"/>
            <w:hideMark/>
          </w:tcPr>
          <w:p w14:paraId="5B211191" w14:textId="74C494B2" w:rsidR="00A93F0F" w:rsidRPr="003D1614" w:rsidRDefault="00A93F0F" w:rsidP="00A93F0F">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 xml:space="preserve">Stanje </w:t>
            </w:r>
            <w:r w:rsidR="00A2708A" w:rsidRPr="00A2708A">
              <w:rPr>
                <w:rFonts w:ascii="Arial" w:eastAsia="Calibri" w:hAnsi="Arial" w:cs="Arial"/>
                <w:b/>
                <w:bCs/>
                <w:color w:val="000000" w:themeColor="text1"/>
                <w:sz w:val="18"/>
                <w:szCs w:val="18"/>
              </w:rPr>
              <w:t>30. rujna 202</w:t>
            </w:r>
            <w:r w:rsidR="008E2F58">
              <w:rPr>
                <w:rFonts w:ascii="Arial" w:eastAsia="Calibri" w:hAnsi="Arial" w:cs="Arial"/>
                <w:b/>
                <w:bCs/>
                <w:color w:val="000000" w:themeColor="text1"/>
                <w:sz w:val="18"/>
                <w:szCs w:val="18"/>
              </w:rPr>
              <w:t>4</w:t>
            </w:r>
            <w:r w:rsidR="00A2708A" w:rsidRPr="00A2708A">
              <w:rPr>
                <w:rFonts w:ascii="Arial" w:eastAsia="Calibri" w:hAnsi="Arial" w:cs="Arial"/>
                <w:b/>
                <w:bCs/>
                <w:color w:val="000000" w:themeColor="text1"/>
                <w:sz w:val="18"/>
                <w:szCs w:val="18"/>
              </w:rPr>
              <w:t>.</w:t>
            </w:r>
          </w:p>
        </w:tc>
        <w:tc>
          <w:tcPr>
            <w:tcW w:w="1090" w:type="dxa"/>
            <w:tcBorders>
              <w:top w:val="single" w:sz="4" w:space="0" w:color="auto"/>
              <w:left w:val="nil"/>
              <w:bottom w:val="single" w:sz="12" w:space="0" w:color="auto"/>
              <w:right w:val="nil"/>
            </w:tcBorders>
            <w:shd w:val="clear" w:color="auto" w:fill="auto"/>
            <w:vAlign w:val="bottom"/>
          </w:tcPr>
          <w:p w14:paraId="1EABD5D3" w14:textId="3362701F" w:rsidR="00A93F0F" w:rsidRPr="003D1614" w:rsidRDefault="000D7A7A" w:rsidP="00A93F0F">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123</w:t>
            </w:r>
          </w:p>
        </w:tc>
        <w:tc>
          <w:tcPr>
            <w:tcW w:w="1090" w:type="dxa"/>
            <w:tcBorders>
              <w:top w:val="single" w:sz="4" w:space="0" w:color="auto"/>
              <w:left w:val="nil"/>
              <w:bottom w:val="single" w:sz="12" w:space="0" w:color="auto"/>
              <w:right w:val="nil"/>
            </w:tcBorders>
            <w:shd w:val="clear" w:color="auto" w:fill="auto"/>
            <w:vAlign w:val="bottom"/>
          </w:tcPr>
          <w:p w14:paraId="4136B394" w14:textId="627412A0" w:rsidR="00A93F0F" w:rsidRPr="003D1614" w:rsidRDefault="000D7A7A" w:rsidP="00A93F0F">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c>
          <w:tcPr>
            <w:tcW w:w="1090" w:type="dxa"/>
            <w:tcBorders>
              <w:top w:val="single" w:sz="4" w:space="0" w:color="auto"/>
              <w:left w:val="nil"/>
              <w:bottom w:val="single" w:sz="12" w:space="0" w:color="auto"/>
              <w:right w:val="nil"/>
            </w:tcBorders>
            <w:shd w:val="clear" w:color="auto" w:fill="auto"/>
            <w:vAlign w:val="bottom"/>
          </w:tcPr>
          <w:p w14:paraId="6A9409E2" w14:textId="19FB7B43" w:rsidR="00A93F0F" w:rsidRPr="003D1614" w:rsidRDefault="000D7A7A" w:rsidP="00A93F0F">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c>
          <w:tcPr>
            <w:tcW w:w="1090" w:type="dxa"/>
            <w:tcBorders>
              <w:top w:val="single" w:sz="4" w:space="0" w:color="auto"/>
              <w:left w:val="nil"/>
              <w:bottom w:val="single" w:sz="12" w:space="0" w:color="auto"/>
              <w:right w:val="nil"/>
            </w:tcBorders>
            <w:shd w:val="clear" w:color="auto" w:fill="auto"/>
            <w:vAlign w:val="bottom"/>
          </w:tcPr>
          <w:p w14:paraId="4C4C0A21" w14:textId="5FB48BD6" w:rsidR="00A93F0F" w:rsidRPr="003D1614" w:rsidRDefault="000D7A7A" w:rsidP="00A93F0F">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c>
          <w:tcPr>
            <w:tcW w:w="1090" w:type="dxa"/>
            <w:tcBorders>
              <w:top w:val="single" w:sz="4" w:space="0" w:color="auto"/>
              <w:left w:val="nil"/>
              <w:bottom w:val="single" w:sz="12" w:space="0" w:color="auto"/>
              <w:right w:val="nil"/>
            </w:tcBorders>
            <w:shd w:val="clear" w:color="auto" w:fill="auto"/>
            <w:vAlign w:val="bottom"/>
          </w:tcPr>
          <w:p w14:paraId="1C2D6477" w14:textId="7B6357A0" w:rsidR="00A93F0F" w:rsidRPr="003D1614" w:rsidRDefault="000D7A7A" w:rsidP="00A93F0F">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123</w:t>
            </w:r>
          </w:p>
        </w:tc>
      </w:tr>
      <w:bookmarkEnd w:id="742"/>
    </w:tbl>
    <w:p w14:paraId="3C5F97FF" w14:textId="77777777" w:rsidR="00D92646" w:rsidRPr="003D1614" w:rsidRDefault="00D92646" w:rsidP="00D92646">
      <w:pPr>
        <w:suppressAutoHyphens/>
        <w:autoSpaceDN w:val="0"/>
        <w:rPr>
          <w:rFonts w:ascii="Arial" w:eastAsia="Calibri" w:hAnsi="Arial" w:cs="Arial"/>
          <w:color w:val="000000" w:themeColor="text1"/>
          <w:sz w:val="20"/>
          <w:szCs w:val="20"/>
        </w:rPr>
      </w:pPr>
    </w:p>
    <w:p w14:paraId="5EA326B5" w14:textId="1F620ED2" w:rsidR="00D92646" w:rsidRPr="003D1614" w:rsidRDefault="00D92646" w:rsidP="001A0FCB">
      <w:pPr>
        <w:suppressAutoHyphens/>
        <w:autoSpaceDN w:val="0"/>
        <w:jc w:val="both"/>
        <w:rPr>
          <w:rFonts w:ascii="Arial" w:eastAsia="Times New Roman" w:hAnsi="Arial" w:cs="Arial"/>
          <w:color w:val="000000" w:themeColor="text1"/>
          <w:sz w:val="20"/>
          <w:szCs w:val="20"/>
        </w:rPr>
      </w:pPr>
    </w:p>
    <w:tbl>
      <w:tblPr>
        <w:tblW w:w="9381" w:type="dxa"/>
        <w:tblInd w:w="-142" w:type="dxa"/>
        <w:tblLook w:val="04A0" w:firstRow="1" w:lastRow="0" w:firstColumn="1" w:lastColumn="0" w:noHBand="0" w:noVBand="1"/>
      </w:tblPr>
      <w:tblGrid>
        <w:gridCol w:w="3931"/>
        <w:gridCol w:w="1090"/>
        <w:gridCol w:w="1090"/>
        <w:gridCol w:w="1090"/>
        <w:gridCol w:w="1090"/>
        <w:gridCol w:w="1090"/>
      </w:tblGrid>
      <w:tr w:rsidR="0030614F" w:rsidRPr="001B015B" w14:paraId="66AF0130" w14:textId="77777777" w:rsidTr="0034622E">
        <w:trPr>
          <w:trHeight w:val="164"/>
        </w:trPr>
        <w:tc>
          <w:tcPr>
            <w:tcW w:w="3931" w:type="dxa"/>
            <w:tcBorders>
              <w:top w:val="nil"/>
              <w:left w:val="nil"/>
              <w:bottom w:val="nil"/>
              <w:right w:val="nil"/>
            </w:tcBorders>
            <w:shd w:val="clear" w:color="auto" w:fill="auto"/>
            <w:vAlign w:val="center"/>
          </w:tcPr>
          <w:p w14:paraId="63B0F380" w14:textId="77777777" w:rsidR="0030614F" w:rsidRPr="001B015B" w:rsidRDefault="0030614F" w:rsidP="0034622E">
            <w:pPr>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Banka</w:t>
            </w:r>
          </w:p>
        </w:tc>
        <w:tc>
          <w:tcPr>
            <w:tcW w:w="1090" w:type="dxa"/>
            <w:tcBorders>
              <w:top w:val="nil"/>
              <w:left w:val="nil"/>
              <w:bottom w:val="nil"/>
              <w:right w:val="nil"/>
            </w:tcBorders>
            <w:shd w:val="clear" w:color="auto" w:fill="auto"/>
            <w:vAlign w:val="center"/>
          </w:tcPr>
          <w:p w14:paraId="167A685E" w14:textId="77777777" w:rsidR="0030614F" w:rsidRPr="001B015B" w:rsidRDefault="0030614F" w:rsidP="0034622E">
            <w:pPr>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7102A314" w14:textId="77777777" w:rsidR="0030614F" w:rsidRPr="001B015B" w:rsidRDefault="0030614F" w:rsidP="0034622E">
            <w:pPr>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0D373AAB" w14:textId="77777777" w:rsidR="0030614F" w:rsidRPr="001B015B" w:rsidRDefault="0030614F" w:rsidP="0034622E">
            <w:pPr>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1AD2641A" w14:textId="77777777" w:rsidR="0030614F" w:rsidRPr="001B015B" w:rsidRDefault="0030614F" w:rsidP="0034622E">
            <w:pPr>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1456F2D8" w14:textId="77777777" w:rsidR="0030614F" w:rsidRPr="001B015B" w:rsidRDefault="0030614F" w:rsidP="0034622E">
            <w:pPr>
              <w:jc w:val="right"/>
              <w:rPr>
                <w:rFonts w:ascii="Arial" w:eastAsia="Calibri" w:hAnsi="Arial" w:cs="Arial"/>
                <w:b/>
                <w:bCs/>
                <w:color w:val="000000" w:themeColor="text1"/>
                <w:sz w:val="18"/>
                <w:szCs w:val="18"/>
              </w:rPr>
            </w:pPr>
          </w:p>
        </w:tc>
      </w:tr>
      <w:tr w:rsidR="0030614F" w:rsidRPr="001B015B" w14:paraId="5BA98104" w14:textId="77777777" w:rsidTr="0034622E">
        <w:trPr>
          <w:trHeight w:val="164"/>
        </w:trPr>
        <w:tc>
          <w:tcPr>
            <w:tcW w:w="3931" w:type="dxa"/>
            <w:tcBorders>
              <w:top w:val="nil"/>
              <w:left w:val="nil"/>
              <w:bottom w:val="nil"/>
              <w:right w:val="nil"/>
            </w:tcBorders>
            <w:shd w:val="clear" w:color="auto" w:fill="auto"/>
            <w:vAlign w:val="center"/>
            <w:hideMark/>
          </w:tcPr>
          <w:p w14:paraId="62CD7B88" w14:textId="77777777" w:rsidR="0030614F" w:rsidRPr="001B015B" w:rsidRDefault="0030614F" w:rsidP="0034622E">
            <w:pPr>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31. prosinca 202</w:t>
            </w:r>
            <w:r>
              <w:rPr>
                <w:rFonts w:ascii="Arial" w:eastAsia="Calibri" w:hAnsi="Arial" w:cs="Arial"/>
                <w:b/>
                <w:bCs/>
                <w:color w:val="000000" w:themeColor="text1"/>
                <w:sz w:val="18"/>
                <w:szCs w:val="18"/>
              </w:rPr>
              <w:t>3</w:t>
            </w:r>
            <w:r w:rsidRPr="001B015B">
              <w:rPr>
                <w:rFonts w:ascii="Arial" w:eastAsia="Calibri" w:hAnsi="Arial" w:cs="Arial"/>
                <w:b/>
                <w:bCs/>
                <w:color w:val="000000" w:themeColor="text1"/>
                <w:sz w:val="18"/>
                <w:szCs w:val="18"/>
              </w:rPr>
              <w:t>.</w:t>
            </w:r>
          </w:p>
        </w:tc>
        <w:tc>
          <w:tcPr>
            <w:tcW w:w="1090" w:type="dxa"/>
            <w:tcBorders>
              <w:top w:val="nil"/>
              <w:left w:val="nil"/>
              <w:bottom w:val="nil"/>
              <w:right w:val="nil"/>
            </w:tcBorders>
            <w:shd w:val="clear" w:color="auto" w:fill="auto"/>
            <w:vAlign w:val="center"/>
            <w:hideMark/>
          </w:tcPr>
          <w:p w14:paraId="0008FC3B" w14:textId="77777777" w:rsidR="0030614F" w:rsidRPr="001B015B" w:rsidRDefault="0030614F" w:rsidP="0034622E">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Stupanj 1</w:t>
            </w:r>
          </w:p>
        </w:tc>
        <w:tc>
          <w:tcPr>
            <w:tcW w:w="1090" w:type="dxa"/>
            <w:tcBorders>
              <w:top w:val="nil"/>
              <w:left w:val="nil"/>
              <w:bottom w:val="nil"/>
              <w:right w:val="nil"/>
            </w:tcBorders>
            <w:shd w:val="clear" w:color="auto" w:fill="auto"/>
            <w:vAlign w:val="center"/>
            <w:hideMark/>
          </w:tcPr>
          <w:p w14:paraId="73C12584" w14:textId="77777777" w:rsidR="0030614F" w:rsidRPr="001B015B" w:rsidRDefault="0030614F" w:rsidP="0034622E">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Stupanj 2</w:t>
            </w:r>
          </w:p>
        </w:tc>
        <w:tc>
          <w:tcPr>
            <w:tcW w:w="1090" w:type="dxa"/>
            <w:tcBorders>
              <w:top w:val="nil"/>
              <w:left w:val="nil"/>
              <w:bottom w:val="nil"/>
              <w:right w:val="nil"/>
            </w:tcBorders>
            <w:shd w:val="clear" w:color="auto" w:fill="auto"/>
            <w:vAlign w:val="center"/>
            <w:hideMark/>
          </w:tcPr>
          <w:p w14:paraId="53C94119" w14:textId="77777777" w:rsidR="0030614F" w:rsidRPr="001B015B" w:rsidRDefault="0030614F" w:rsidP="0034622E">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Stupanj 3</w:t>
            </w:r>
          </w:p>
        </w:tc>
        <w:tc>
          <w:tcPr>
            <w:tcW w:w="1090" w:type="dxa"/>
            <w:tcBorders>
              <w:top w:val="nil"/>
              <w:left w:val="nil"/>
              <w:bottom w:val="nil"/>
              <w:right w:val="nil"/>
            </w:tcBorders>
            <w:shd w:val="clear" w:color="auto" w:fill="auto"/>
            <w:vAlign w:val="center"/>
            <w:hideMark/>
          </w:tcPr>
          <w:p w14:paraId="6AD34534" w14:textId="77777777" w:rsidR="0030614F" w:rsidRPr="001B015B" w:rsidRDefault="0030614F" w:rsidP="0034622E">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POCI</w:t>
            </w:r>
          </w:p>
        </w:tc>
        <w:tc>
          <w:tcPr>
            <w:tcW w:w="1090" w:type="dxa"/>
            <w:tcBorders>
              <w:top w:val="nil"/>
              <w:left w:val="nil"/>
              <w:bottom w:val="nil"/>
              <w:right w:val="nil"/>
            </w:tcBorders>
            <w:shd w:val="clear" w:color="auto" w:fill="auto"/>
            <w:vAlign w:val="center"/>
            <w:hideMark/>
          </w:tcPr>
          <w:p w14:paraId="4612D606" w14:textId="77777777" w:rsidR="0030614F" w:rsidRPr="001B015B" w:rsidRDefault="0030614F" w:rsidP="0034622E">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Ukupno</w:t>
            </w:r>
          </w:p>
        </w:tc>
      </w:tr>
      <w:tr w:rsidR="0030614F" w:rsidRPr="001B015B" w14:paraId="36B3D38F" w14:textId="77777777" w:rsidTr="0034622E">
        <w:trPr>
          <w:trHeight w:val="164"/>
        </w:trPr>
        <w:tc>
          <w:tcPr>
            <w:tcW w:w="3931" w:type="dxa"/>
            <w:tcBorders>
              <w:top w:val="nil"/>
              <w:left w:val="nil"/>
              <w:bottom w:val="nil"/>
              <w:right w:val="nil"/>
            </w:tcBorders>
            <w:shd w:val="clear" w:color="auto" w:fill="auto"/>
            <w:vAlign w:val="center"/>
            <w:hideMark/>
          </w:tcPr>
          <w:p w14:paraId="10C75252" w14:textId="77777777" w:rsidR="0030614F" w:rsidRPr="001B015B" w:rsidRDefault="0030614F" w:rsidP="0034622E">
            <w:pPr>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bottom"/>
            <w:hideMark/>
          </w:tcPr>
          <w:p w14:paraId="49ADBB6D" w14:textId="77777777" w:rsidR="0030614F" w:rsidRPr="001B015B" w:rsidRDefault="0030614F" w:rsidP="0034622E">
            <w:pPr>
              <w:jc w:val="right"/>
              <w:rPr>
                <w:rFonts w:ascii="Arial" w:eastAsia="Calibri" w:hAnsi="Arial" w:cs="Arial"/>
                <w:b/>
                <w:bCs/>
                <w:color w:val="000000" w:themeColor="text1"/>
                <w:sz w:val="18"/>
                <w:szCs w:val="18"/>
              </w:rPr>
            </w:pPr>
            <w:r w:rsidRPr="00131510">
              <w:rPr>
                <w:rFonts w:ascii="Arial" w:eastAsia="Calibri" w:hAnsi="Arial" w:cs="Arial"/>
                <w:b/>
                <w:bCs/>
                <w:color w:val="000000" w:themeColor="text1"/>
                <w:sz w:val="18"/>
                <w:szCs w:val="18"/>
              </w:rPr>
              <w:t>000 eura</w:t>
            </w:r>
          </w:p>
        </w:tc>
        <w:tc>
          <w:tcPr>
            <w:tcW w:w="1090" w:type="dxa"/>
            <w:tcBorders>
              <w:top w:val="nil"/>
              <w:left w:val="nil"/>
              <w:bottom w:val="nil"/>
              <w:right w:val="nil"/>
            </w:tcBorders>
            <w:shd w:val="clear" w:color="auto" w:fill="auto"/>
            <w:vAlign w:val="bottom"/>
            <w:hideMark/>
          </w:tcPr>
          <w:p w14:paraId="28FC21CF" w14:textId="77777777" w:rsidR="0030614F" w:rsidRPr="001B015B" w:rsidRDefault="0030614F" w:rsidP="0034622E">
            <w:pPr>
              <w:jc w:val="right"/>
              <w:rPr>
                <w:rFonts w:ascii="Arial" w:eastAsia="Calibri" w:hAnsi="Arial" w:cs="Arial"/>
                <w:b/>
                <w:bCs/>
                <w:color w:val="000000" w:themeColor="text1"/>
                <w:sz w:val="18"/>
                <w:szCs w:val="18"/>
              </w:rPr>
            </w:pPr>
            <w:r w:rsidRPr="00131510">
              <w:rPr>
                <w:rFonts w:ascii="Arial" w:eastAsia="Calibri" w:hAnsi="Arial" w:cs="Arial"/>
                <w:b/>
                <w:bCs/>
                <w:color w:val="000000" w:themeColor="text1"/>
                <w:sz w:val="18"/>
                <w:szCs w:val="18"/>
              </w:rPr>
              <w:t>000 eura</w:t>
            </w:r>
          </w:p>
        </w:tc>
        <w:tc>
          <w:tcPr>
            <w:tcW w:w="1090" w:type="dxa"/>
            <w:tcBorders>
              <w:top w:val="nil"/>
              <w:left w:val="nil"/>
              <w:bottom w:val="nil"/>
              <w:right w:val="nil"/>
            </w:tcBorders>
            <w:shd w:val="clear" w:color="auto" w:fill="auto"/>
            <w:vAlign w:val="bottom"/>
            <w:hideMark/>
          </w:tcPr>
          <w:p w14:paraId="6BA9DA8A" w14:textId="77777777" w:rsidR="0030614F" w:rsidRPr="001B015B" w:rsidRDefault="0030614F" w:rsidP="0034622E">
            <w:pPr>
              <w:jc w:val="right"/>
              <w:rPr>
                <w:rFonts w:ascii="Arial" w:eastAsia="Calibri" w:hAnsi="Arial" w:cs="Arial"/>
                <w:b/>
                <w:bCs/>
                <w:color w:val="000000" w:themeColor="text1"/>
                <w:sz w:val="18"/>
                <w:szCs w:val="18"/>
              </w:rPr>
            </w:pPr>
            <w:r w:rsidRPr="00131510">
              <w:rPr>
                <w:rFonts w:ascii="Arial" w:eastAsia="Calibri" w:hAnsi="Arial" w:cs="Arial"/>
                <w:b/>
                <w:bCs/>
                <w:color w:val="000000" w:themeColor="text1"/>
                <w:sz w:val="18"/>
                <w:szCs w:val="18"/>
              </w:rPr>
              <w:t>000 eura</w:t>
            </w:r>
          </w:p>
        </w:tc>
        <w:tc>
          <w:tcPr>
            <w:tcW w:w="1090" w:type="dxa"/>
            <w:tcBorders>
              <w:top w:val="nil"/>
              <w:left w:val="nil"/>
              <w:bottom w:val="nil"/>
              <w:right w:val="nil"/>
            </w:tcBorders>
            <w:shd w:val="clear" w:color="auto" w:fill="auto"/>
            <w:vAlign w:val="bottom"/>
            <w:hideMark/>
          </w:tcPr>
          <w:p w14:paraId="6E31BFE4" w14:textId="77777777" w:rsidR="0030614F" w:rsidRPr="001B015B" w:rsidRDefault="0030614F" w:rsidP="0034622E">
            <w:pPr>
              <w:jc w:val="right"/>
              <w:rPr>
                <w:rFonts w:ascii="Arial" w:eastAsia="Calibri" w:hAnsi="Arial" w:cs="Arial"/>
                <w:b/>
                <w:bCs/>
                <w:color w:val="000000" w:themeColor="text1"/>
                <w:sz w:val="18"/>
                <w:szCs w:val="18"/>
              </w:rPr>
            </w:pPr>
            <w:r w:rsidRPr="00131510">
              <w:rPr>
                <w:rFonts w:ascii="Arial" w:eastAsia="Calibri" w:hAnsi="Arial" w:cs="Arial"/>
                <w:b/>
                <w:bCs/>
                <w:color w:val="000000" w:themeColor="text1"/>
                <w:sz w:val="18"/>
                <w:szCs w:val="18"/>
              </w:rPr>
              <w:t>000 eura</w:t>
            </w:r>
          </w:p>
        </w:tc>
        <w:tc>
          <w:tcPr>
            <w:tcW w:w="1090" w:type="dxa"/>
            <w:tcBorders>
              <w:top w:val="nil"/>
              <w:left w:val="nil"/>
              <w:bottom w:val="nil"/>
              <w:right w:val="nil"/>
            </w:tcBorders>
            <w:shd w:val="clear" w:color="auto" w:fill="auto"/>
            <w:vAlign w:val="bottom"/>
            <w:hideMark/>
          </w:tcPr>
          <w:p w14:paraId="059B6D11" w14:textId="77777777" w:rsidR="0030614F" w:rsidRPr="001B015B" w:rsidRDefault="0030614F" w:rsidP="0034622E">
            <w:pPr>
              <w:jc w:val="right"/>
              <w:rPr>
                <w:rFonts w:ascii="Arial" w:eastAsia="Calibri" w:hAnsi="Arial" w:cs="Arial"/>
                <w:b/>
                <w:bCs/>
                <w:color w:val="000000" w:themeColor="text1"/>
                <w:sz w:val="18"/>
                <w:szCs w:val="18"/>
              </w:rPr>
            </w:pPr>
            <w:r w:rsidRPr="00131510">
              <w:rPr>
                <w:rFonts w:ascii="Arial" w:eastAsia="Calibri" w:hAnsi="Arial" w:cs="Arial"/>
                <w:b/>
                <w:bCs/>
                <w:color w:val="000000" w:themeColor="text1"/>
                <w:sz w:val="18"/>
                <w:szCs w:val="18"/>
              </w:rPr>
              <w:t>000 eura</w:t>
            </w:r>
          </w:p>
        </w:tc>
      </w:tr>
      <w:tr w:rsidR="0030614F" w:rsidRPr="001B015B" w14:paraId="672BD718" w14:textId="77777777" w:rsidTr="0034622E">
        <w:trPr>
          <w:trHeight w:val="164"/>
        </w:trPr>
        <w:tc>
          <w:tcPr>
            <w:tcW w:w="3931" w:type="dxa"/>
            <w:tcBorders>
              <w:top w:val="nil"/>
              <w:left w:val="nil"/>
              <w:bottom w:val="nil"/>
              <w:right w:val="nil"/>
            </w:tcBorders>
            <w:shd w:val="clear" w:color="auto" w:fill="auto"/>
            <w:vAlign w:val="center"/>
          </w:tcPr>
          <w:p w14:paraId="2BC7D923" w14:textId="77777777" w:rsidR="0030614F" w:rsidRPr="001B015B" w:rsidRDefault="0030614F" w:rsidP="0034622E">
            <w:pPr>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2CE1D26E" w14:textId="77777777" w:rsidR="0030614F" w:rsidRPr="001B015B" w:rsidRDefault="0030614F" w:rsidP="0034622E">
            <w:pPr>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6E52A112" w14:textId="77777777" w:rsidR="0030614F" w:rsidRPr="001B015B" w:rsidRDefault="0030614F" w:rsidP="0034622E">
            <w:pPr>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72FA2AF1" w14:textId="77777777" w:rsidR="0030614F" w:rsidRPr="001B015B" w:rsidRDefault="0030614F" w:rsidP="0034622E">
            <w:pPr>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024E660D" w14:textId="77777777" w:rsidR="0030614F" w:rsidRPr="001B015B" w:rsidRDefault="0030614F" w:rsidP="0034622E">
            <w:pPr>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14ADB600" w14:textId="77777777" w:rsidR="0030614F" w:rsidRPr="001B015B" w:rsidRDefault="0030614F" w:rsidP="0034622E">
            <w:pPr>
              <w:jc w:val="right"/>
              <w:rPr>
                <w:rFonts w:ascii="Arial" w:eastAsia="Calibri" w:hAnsi="Arial" w:cs="Arial"/>
                <w:b/>
                <w:bCs/>
                <w:color w:val="000000" w:themeColor="text1"/>
                <w:sz w:val="18"/>
                <w:szCs w:val="18"/>
              </w:rPr>
            </w:pPr>
          </w:p>
        </w:tc>
      </w:tr>
      <w:tr w:rsidR="0030614F" w:rsidRPr="001B015B" w14:paraId="34A71B11" w14:textId="77777777" w:rsidTr="0034622E">
        <w:trPr>
          <w:trHeight w:val="164"/>
        </w:trPr>
        <w:tc>
          <w:tcPr>
            <w:tcW w:w="3931" w:type="dxa"/>
            <w:tcBorders>
              <w:top w:val="nil"/>
              <w:left w:val="nil"/>
              <w:bottom w:val="nil"/>
              <w:right w:val="nil"/>
            </w:tcBorders>
            <w:shd w:val="clear" w:color="auto" w:fill="auto"/>
            <w:vAlign w:val="center"/>
            <w:hideMark/>
          </w:tcPr>
          <w:p w14:paraId="17E7B44C" w14:textId="77777777" w:rsidR="0030614F" w:rsidRPr="001B015B" w:rsidRDefault="0030614F" w:rsidP="0034622E">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Stanje 1. siječnja 202</w:t>
            </w:r>
            <w:r>
              <w:rPr>
                <w:rFonts w:ascii="Arial" w:eastAsia="Calibri" w:hAnsi="Arial" w:cs="Arial"/>
                <w:color w:val="000000" w:themeColor="text1"/>
                <w:sz w:val="18"/>
                <w:szCs w:val="18"/>
              </w:rPr>
              <w:t>3</w:t>
            </w:r>
            <w:r w:rsidRPr="001B015B">
              <w:rPr>
                <w:rFonts w:ascii="Arial" w:eastAsia="Calibri" w:hAnsi="Arial" w:cs="Arial"/>
                <w:color w:val="000000" w:themeColor="text1"/>
                <w:sz w:val="18"/>
                <w:szCs w:val="18"/>
              </w:rPr>
              <w:t xml:space="preserve">. </w:t>
            </w:r>
          </w:p>
        </w:tc>
        <w:tc>
          <w:tcPr>
            <w:tcW w:w="1090" w:type="dxa"/>
            <w:shd w:val="clear" w:color="auto" w:fill="auto"/>
            <w:vAlign w:val="bottom"/>
          </w:tcPr>
          <w:p w14:paraId="2EFC95C3" w14:textId="77777777" w:rsidR="0030614F" w:rsidRPr="001B015B" w:rsidRDefault="0030614F" w:rsidP="0034622E">
            <w:pPr>
              <w:jc w:val="right"/>
              <w:rPr>
                <w:rFonts w:ascii="Arial" w:eastAsia="Calibri" w:hAnsi="Arial" w:cs="Arial"/>
                <w:color w:val="000000" w:themeColor="text1"/>
                <w:sz w:val="18"/>
                <w:szCs w:val="18"/>
              </w:rPr>
            </w:pPr>
            <w:r>
              <w:rPr>
                <w:rFonts w:ascii="Arial" w:hAnsi="Arial" w:cs="Arial"/>
                <w:sz w:val="18"/>
                <w:szCs w:val="18"/>
              </w:rPr>
              <w:t>-</w:t>
            </w:r>
            <w:r w:rsidRPr="004770C0">
              <w:rPr>
                <w:rFonts w:ascii="Arial" w:hAnsi="Arial" w:cs="Arial"/>
                <w:sz w:val="18"/>
                <w:szCs w:val="18"/>
              </w:rPr>
              <w:t xml:space="preserve">    </w:t>
            </w:r>
          </w:p>
        </w:tc>
        <w:tc>
          <w:tcPr>
            <w:tcW w:w="1090" w:type="dxa"/>
            <w:shd w:val="clear" w:color="auto" w:fill="auto"/>
            <w:vAlign w:val="bottom"/>
          </w:tcPr>
          <w:p w14:paraId="2B0A1EA0" w14:textId="77777777" w:rsidR="0030614F" w:rsidRPr="001B015B" w:rsidRDefault="0030614F" w:rsidP="0034622E">
            <w:pPr>
              <w:jc w:val="right"/>
              <w:rPr>
                <w:rFonts w:ascii="Arial" w:eastAsia="Calibri" w:hAnsi="Arial" w:cs="Arial"/>
                <w:color w:val="000000" w:themeColor="text1"/>
                <w:sz w:val="18"/>
                <w:szCs w:val="18"/>
              </w:rPr>
            </w:pPr>
            <w:r w:rsidRPr="004770C0">
              <w:rPr>
                <w:rFonts w:ascii="Arial" w:hAnsi="Arial" w:cs="Arial"/>
                <w:sz w:val="18"/>
                <w:szCs w:val="18"/>
              </w:rPr>
              <w:t xml:space="preserve"> - </w:t>
            </w:r>
          </w:p>
        </w:tc>
        <w:tc>
          <w:tcPr>
            <w:tcW w:w="1090" w:type="dxa"/>
            <w:shd w:val="clear" w:color="auto" w:fill="auto"/>
            <w:vAlign w:val="bottom"/>
          </w:tcPr>
          <w:p w14:paraId="3E45B039" w14:textId="77777777" w:rsidR="0030614F" w:rsidRPr="001B015B" w:rsidRDefault="0030614F" w:rsidP="0034622E">
            <w:pPr>
              <w:jc w:val="right"/>
              <w:rPr>
                <w:rFonts w:ascii="Arial" w:eastAsia="Calibri" w:hAnsi="Arial" w:cs="Arial"/>
                <w:color w:val="000000" w:themeColor="text1"/>
                <w:sz w:val="18"/>
                <w:szCs w:val="18"/>
              </w:rPr>
            </w:pPr>
            <w:r w:rsidRPr="004770C0">
              <w:rPr>
                <w:rFonts w:ascii="Arial" w:hAnsi="Arial" w:cs="Arial"/>
                <w:sz w:val="18"/>
                <w:szCs w:val="18"/>
              </w:rPr>
              <w:t xml:space="preserve"> - </w:t>
            </w:r>
          </w:p>
        </w:tc>
        <w:tc>
          <w:tcPr>
            <w:tcW w:w="1090" w:type="dxa"/>
            <w:shd w:val="clear" w:color="auto" w:fill="auto"/>
            <w:vAlign w:val="bottom"/>
          </w:tcPr>
          <w:p w14:paraId="12865B38" w14:textId="77777777" w:rsidR="0030614F" w:rsidRPr="001B015B" w:rsidRDefault="0030614F" w:rsidP="0034622E">
            <w:pPr>
              <w:jc w:val="right"/>
              <w:rPr>
                <w:rFonts w:ascii="Arial" w:eastAsia="Calibri" w:hAnsi="Arial" w:cs="Arial"/>
                <w:color w:val="000000" w:themeColor="text1"/>
                <w:sz w:val="18"/>
                <w:szCs w:val="18"/>
              </w:rPr>
            </w:pPr>
            <w:r w:rsidRPr="004770C0">
              <w:rPr>
                <w:rFonts w:ascii="Arial" w:hAnsi="Arial" w:cs="Arial"/>
                <w:sz w:val="18"/>
                <w:szCs w:val="18"/>
              </w:rPr>
              <w:t xml:space="preserve"> - </w:t>
            </w:r>
          </w:p>
        </w:tc>
        <w:tc>
          <w:tcPr>
            <w:tcW w:w="1090" w:type="dxa"/>
            <w:shd w:val="clear" w:color="auto" w:fill="auto"/>
            <w:vAlign w:val="bottom"/>
          </w:tcPr>
          <w:p w14:paraId="47662505" w14:textId="77777777" w:rsidR="0030614F" w:rsidRPr="005D1219" w:rsidRDefault="0030614F" w:rsidP="0034622E">
            <w:pPr>
              <w:jc w:val="right"/>
              <w:rPr>
                <w:rFonts w:ascii="Arial" w:eastAsia="Calibri" w:hAnsi="Arial" w:cs="Arial"/>
                <w:b/>
                <w:bCs/>
                <w:color w:val="000000" w:themeColor="text1"/>
                <w:sz w:val="18"/>
                <w:szCs w:val="18"/>
              </w:rPr>
            </w:pPr>
            <w:r w:rsidRPr="005D1219">
              <w:rPr>
                <w:rFonts w:ascii="Arial" w:hAnsi="Arial" w:cs="Arial"/>
                <w:b/>
                <w:bCs/>
                <w:sz w:val="18"/>
                <w:szCs w:val="18"/>
              </w:rPr>
              <w:t>-</w:t>
            </w:r>
          </w:p>
        </w:tc>
      </w:tr>
      <w:tr w:rsidR="0030614F" w:rsidRPr="001B015B" w14:paraId="2A56D359" w14:textId="77777777" w:rsidTr="0034622E">
        <w:trPr>
          <w:trHeight w:val="164"/>
        </w:trPr>
        <w:tc>
          <w:tcPr>
            <w:tcW w:w="3931" w:type="dxa"/>
            <w:tcBorders>
              <w:top w:val="nil"/>
              <w:left w:val="nil"/>
              <w:bottom w:val="nil"/>
              <w:right w:val="nil"/>
            </w:tcBorders>
            <w:shd w:val="clear" w:color="auto" w:fill="auto"/>
            <w:hideMark/>
          </w:tcPr>
          <w:p w14:paraId="09C62462" w14:textId="77777777" w:rsidR="0030614F" w:rsidRPr="001B015B" w:rsidRDefault="0030614F" w:rsidP="0034622E">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Prijenos u Stupanj 1</w:t>
            </w:r>
          </w:p>
        </w:tc>
        <w:tc>
          <w:tcPr>
            <w:tcW w:w="1090" w:type="dxa"/>
            <w:tcBorders>
              <w:top w:val="nil"/>
              <w:left w:val="nil"/>
              <w:right w:val="nil"/>
            </w:tcBorders>
            <w:shd w:val="clear" w:color="auto" w:fill="auto"/>
            <w:vAlign w:val="bottom"/>
          </w:tcPr>
          <w:p w14:paraId="116E88D7" w14:textId="77777777" w:rsidR="0030614F" w:rsidRPr="001B015B" w:rsidRDefault="0030614F" w:rsidP="0034622E">
            <w:pPr>
              <w:jc w:val="right"/>
              <w:rPr>
                <w:rFonts w:ascii="Arial" w:eastAsia="Calibri" w:hAnsi="Arial" w:cs="Arial"/>
                <w:color w:val="000000" w:themeColor="text1"/>
                <w:sz w:val="18"/>
                <w:szCs w:val="18"/>
              </w:rPr>
            </w:pPr>
            <w:r w:rsidRPr="004770C0">
              <w:rPr>
                <w:rFonts w:ascii="Arial" w:hAnsi="Arial" w:cs="Arial"/>
                <w:sz w:val="18"/>
                <w:szCs w:val="18"/>
              </w:rPr>
              <w:t xml:space="preserve"> - </w:t>
            </w:r>
          </w:p>
        </w:tc>
        <w:tc>
          <w:tcPr>
            <w:tcW w:w="1090" w:type="dxa"/>
            <w:tcBorders>
              <w:top w:val="nil"/>
              <w:left w:val="nil"/>
              <w:right w:val="nil"/>
            </w:tcBorders>
            <w:shd w:val="clear" w:color="auto" w:fill="auto"/>
            <w:vAlign w:val="bottom"/>
          </w:tcPr>
          <w:p w14:paraId="58844D49" w14:textId="77777777" w:rsidR="0030614F" w:rsidRPr="001B015B" w:rsidRDefault="0030614F" w:rsidP="0034622E">
            <w:pPr>
              <w:jc w:val="right"/>
              <w:rPr>
                <w:rFonts w:ascii="Arial" w:eastAsia="Calibri" w:hAnsi="Arial" w:cs="Arial"/>
                <w:color w:val="000000" w:themeColor="text1"/>
                <w:sz w:val="18"/>
                <w:szCs w:val="18"/>
              </w:rPr>
            </w:pPr>
            <w:r w:rsidRPr="004770C0">
              <w:rPr>
                <w:rFonts w:ascii="Arial" w:hAnsi="Arial" w:cs="Arial"/>
                <w:sz w:val="18"/>
                <w:szCs w:val="18"/>
              </w:rPr>
              <w:t xml:space="preserve"> -    </w:t>
            </w:r>
          </w:p>
        </w:tc>
        <w:tc>
          <w:tcPr>
            <w:tcW w:w="1090" w:type="dxa"/>
            <w:tcBorders>
              <w:top w:val="nil"/>
              <w:left w:val="nil"/>
              <w:right w:val="nil"/>
            </w:tcBorders>
            <w:shd w:val="clear" w:color="auto" w:fill="auto"/>
            <w:vAlign w:val="bottom"/>
          </w:tcPr>
          <w:p w14:paraId="6695D7A9" w14:textId="77777777" w:rsidR="0030614F" w:rsidRPr="001B015B" w:rsidRDefault="0030614F" w:rsidP="0034622E">
            <w:pPr>
              <w:jc w:val="right"/>
              <w:rPr>
                <w:rFonts w:ascii="Arial" w:eastAsia="Calibri" w:hAnsi="Arial" w:cs="Arial"/>
                <w:color w:val="000000" w:themeColor="text1"/>
                <w:sz w:val="18"/>
                <w:szCs w:val="18"/>
              </w:rPr>
            </w:pPr>
            <w:r w:rsidRPr="004770C0">
              <w:rPr>
                <w:rFonts w:ascii="Arial" w:hAnsi="Arial" w:cs="Arial"/>
                <w:sz w:val="18"/>
                <w:szCs w:val="18"/>
              </w:rPr>
              <w:t xml:space="preserve"> -    </w:t>
            </w:r>
          </w:p>
        </w:tc>
        <w:tc>
          <w:tcPr>
            <w:tcW w:w="1090" w:type="dxa"/>
            <w:tcBorders>
              <w:top w:val="nil"/>
              <w:left w:val="nil"/>
              <w:right w:val="nil"/>
            </w:tcBorders>
            <w:shd w:val="clear" w:color="auto" w:fill="auto"/>
            <w:vAlign w:val="bottom"/>
          </w:tcPr>
          <w:p w14:paraId="1D7F6F0D" w14:textId="77777777" w:rsidR="0030614F" w:rsidRPr="001B015B" w:rsidRDefault="0030614F" w:rsidP="0034622E">
            <w:pPr>
              <w:jc w:val="right"/>
              <w:rPr>
                <w:rFonts w:ascii="Arial" w:eastAsia="Calibri" w:hAnsi="Arial" w:cs="Arial"/>
                <w:color w:val="000000" w:themeColor="text1"/>
                <w:sz w:val="18"/>
                <w:szCs w:val="18"/>
              </w:rPr>
            </w:pPr>
            <w:r w:rsidRPr="004770C0">
              <w:rPr>
                <w:rFonts w:ascii="Arial" w:hAnsi="Arial" w:cs="Arial"/>
                <w:sz w:val="18"/>
                <w:szCs w:val="18"/>
              </w:rPr>
              <w:t xml:space="preserve"> -    </w:t>
            </w:r>
          </w:p>
        </w:tc>
        <w:tc>
          <w:tcPr>
            <w:tcW w:w="1090" w:type="dxa"/>
            <w:tcBorders>
              <w:top w:val="nil"/>
              <w:left w:val="nil"/>
              <w:right w:val="nil"/>
            </w:tcBorders>
            <w:shd w:val="clear" w:color="auto" w:fill="auto"/>
            <w:vAlign w:val="bottom"/>
          </w:tcPr>
          <w:p w14:paraId="3CD3F47A" w14:textId="77777777" w:rsidR="0030614F" w:rsidRPr="005D1219" w:rsidRDefault="0030614F" w:rsidP="0034622E">
            <w:pPr>
              <w:jc w:val="right"/>
              <w:rPr>
                <w:rFonts w:ascii="Arial" w:eastAsia="Calibri" w:hAnsi="Arial" w:cs="Arial"/>
                <w:b/>
                <w:bCs/>
                <w:color w:val="000000" w:themeColor="text1"/>
                <w:sz w:val="18"/>
                <w:szCs w:val="18"/>
              </w:rPr>
            </w:pPr>
            <w:r w:rsidRPr="005D1219">
              <w:rPr>
                <w:rFonts w:ascii="Arial" w:hAnsi="Arial" w:cs="Arial"/>
                <w:b/>
                <w:bCs/>
                <w:sz w:val="18"/>
                <w:szCs w:val="18"/>
              </w:rPr>
              <w:t xml:space="preserve"> -    </w:t>
            </w:r>
          </w:p>
        </w:tc>
      </w:tr>
      <w:tr w:rsidR="0030614F" w:rsidRPr="001B015B" w14:paraId="48C26220" w14:textId="77777777" w:rsidTr="0034622E">
        <w:trPr>
          <w:trHeight w:val="164"/>
        </w:trPr>
        <w:tc>
          <w:tcPr>
            <w:tcW w:w="3931" w:type="dxa"/>
            <w:tcBorders>
              <w:top w:val="nil"/>
              <w:left w:val="nil"/>
              <w:bottom w:val="nil"/>
              <w:right w:val="nil"/>
            </w:tcBorders>
            <w:shd w:val="clear" w:color="auto" w:fill="auto"/>
          </w:tcPr>
          <w:p w14:paraId="5FF6CDCE" w14:textId="77777777" w:rsidR="0030614F" w:rsidRPr="001B015B" w:rsidRDefault="0030614F" w:rsidP="0034622E">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Prijenos u Stupanj 2</w:t>
            </w:r>
          </w:p>
        </w:tc>
        <w:tc>
          <w:tcPr>
            <w:tcW w:w="1090" w:type="dxa"/>
            <w:tcBorders>
              <w:top w:val="nil"/>
              <w:left w:val="nil"/>
              <w:right w:val="nil"/>
            </w:tcBorders>
            <w:shd w:val="clear" w:color="auto" w:fill="auto"/>
            <w:vAlign w:val="bottom"/>
          </w:tcPr>
          <w:p w14:paraId="1A4234D3" w14:textId="77777777" w:rsidR="0030614F" w:rsidRPr="001B015B" w:rsidRDefault="0030614F" w:rsidP="0034622E">
            <w:pPr>
              <w:jc w:val="right"/>
              <w:rPr>
                <w:rFonts w:ascii="Arial" w:eastAsia="Calibri" w:hAnsi="Arial" w:cs="Arial"/>
                <w:color w:val="000000" w:themeColor="text1"/>
                <w:sz w:val="18"/>
                <w:szCs w:val="18"/>
              </w:rPr>
            </w:pPr>
            <w:r w:rsidRPr="004770C0">
              <w:rPr>
                <w:rFonts w:ascii="Arial" w:hAnsi="Arial" w:cs="Arial"/>
                <w:sz w:val="18"/>
                <w:szCs w:val="18"/>
              </w:rPr>
              <w:t xml:space="preserve"> - </w:t>
            </w:r>
          </w:p>
        </w:tc>
        <w:tc>
          <w:tcPr>
            <w:tcW w:w="1090" w:type="dxa"/>
            <w:tcBorders>
              <w:top w:val="nil"/>
              <w:left w:val="nil"/>
              <w:right w:val="nil"/>
            </w:tcBorders>
            <w:shd w:val="clear" w:color="auto" w:fill="auto"/>
            <w:vAlign w:val="bottom"/>
          </w:tcPr>
          <w:p w14:paraId="78F14616" w14:textId="77777777" w:rsidR="0030614F" w:rsidRPr="001B015B" w:rsidRDefault="0030614F" w:rsidP="0034622E">
            <w:pPr>
              <w:jc w:val="right"/>
              <w:rPr>
                <w:rFonts w:ascii="Arial" w:eastAsia="Calibri" w:hAnsi="Arial" w:cs="Arial"/>
                <w:color w:val="000000" w:themeColor="text1"/>
                <w:sz w:val="18"/>
                <w:szCs w:val="18"/>
              </w:rPr>
            </w:pPr>
            <w:r w:rsidRPr="004770C0">
              <w:rPr>
                <w:rFonts w:ascii="Arial" w:hAnsi="Arial" w:cs="Arial"/>
                <w:sz w:val="18"/>
                <w:szCs w:val="18"/>
              </w:rPr>
              <w:t xml:space="preserve"> -    </w:t>
            </w:r>
          </w:p>
        </w:tc>
        <w:tc>
          <w:tcPr>
            <w:tcW w:w="1090" w:type="dxa"/>
            <w:tcBorders>
              <w:top w:val="nil"/>
              <w:left w:val="nil"/>
              <w:right w:val="nil"/>
            </w:tcBorders>
            <w:shd w:val="clear" w:color="auto" w:fill="auto"/>
            <w:vAlign w:val="bottom"/>
          </w:tcPr>
          <w:p w14:paraId="5B1AA61D" w14:textId="77777777" w:rsidR="0030614F" w:rsidRPr="001B015B" w:rsidRDefault="0030614F" w:rsidP="0034622E">
            <w:pPr>
              <w:jc w:val="right"/>
              <w:rPr>
                <w:rFonts w:ascii="Arial" w:eastAsia="Calibri" w:hAnsi="Arial" w:cs="Arial"/>
                <w:color w:val="000000" w:themeColor="text1"/>
                <w:sz w:val="18"/>
                <w:szCs w:val="18"/>
              </w:rPr>
            </w:pPr>
            <w:r w:rsidRPr="004770C0">
              <w:rPr>
                <w:rFonts w:ascii="Arial" w:hAnsi="Arial" w:cs="Arial"/>
                <w:sz w:val="18"/>
                <w:szCs w:val="18"/>
              </w:rPr>
              <w:t xml:space="preserve"> -    </w:t>
            </w:r>
          </w:p>
        </w:tc>
        <w:tc>
          <w:tcPr>
            <w:tcW w:w="1090" w:type="dxa"/>
            <w:tcBorders>
              <w:top w:val="nil"/>
              <w:left w:val="nil"/>
              <w:right w:val="nil"/>
            </w:tcBorders>
            <w:shd w:val="clear" w:color="auto" w:fill="auto"/>
            <w:vAlign w:val="bottom"/>
          </w:tcPr>
          <w:p w14:paraId="28638492" w14:textId="77777777" w:rsidR="0030614F" w:rsidRPr="001B015B" w:rsidRDefault="0030614F" w:rsidP="0034622E">
            <w:pPr>
              <w:jc w:val="right"/>
              <w:rPr>
                <w:rFonts w:ascii="Arial" w:eastAsia="Calibri" w:hAnsi="Arial" w:cs="Arial"/>
                <w:color w:val="000000" w:themeColor="text1"/>
                <w:sz w:val="18"/>
                <w:szCs w:val="18"/>
              </w:rPr>
            </w:pPr>
            <w:r w:rsidRPr="004770C0">
              <w:rPr>
                <w:rFonts w:ascii="Arial" w:hAnsi="Arial" w:cs="Arial"/>
                <w:sz w:val="18"/>
                <w:szCs w:val="18"/>
              </w:rPr>
              <w:t xml:space="preserve"> -    </w:t>
            </w:r>
          </w:p>
        </w:tc>
        <w:tc>
          <w:tcPr>
            <w:tcW w:w="1090" w:type="dxa"/>
            <w:tcBorders>
              <w:top w:val="nil"/>
              <w:left w:val="nil"/>
              <w:right w:val="nil"/>
            </w:tcBorders>
            <w:shd w:val="clear" w:color="auto" w:fill="auto"/>
            <w:vAlign w:val="bottom"/>
          </w:tcPr>
          <w:p w14:paraId="0CE1AD4F" w14:textId="77777777" w:rsidR="0030614F" w:rsidRPr="005D1219" w:rsidRDefault="0030614F" w:rsidP="0034622E">
            <w:pPr>
              <w:jc w:val="right"/>
              <w:rPr>
                <w:rFonts w:ascii="Arial" w:eastAsia="Calibri" w:hAnsi="Arial" w:cs="Arial"/>
                <w:b/>
                <w:bCs/>
                <w:color w:val="000000" w:themeColor="text1"/>
                <w:sz w:val="18"/>
                <w:szCs w:val="18"/>
              </w:rPr>
            </w:pPr>
            <w:r w:rsidRPr="005D1219">
              <w:rPr>
                <w:rFonts w:ascii="Arial" w:hAnsi="Arial" w:cs="Arial"/>
                <w:b/>
                <w:bCs/>
                <w:sz w:val="18"/>
                <w:szCs w:val="18"/>
              </w:rPr>
              <w:t xml:space="preserve"> -    </w:t>
            </w:r>
          </w:p>
        </w:tc>
      </w:tr>
      <w:tr w:rsidR="0030614F" w:rsidRPr="001B015B" w14:paraId="7F21BE2C" w14:textId="77777777" w:rsidTr="0034622E">
        <w:trPr>
          <w:trHeight w:val="164"/>
        </w:trPr>
        <w:tc>
          <w:tcPr>
            <w:tcW w:w="3931" w:type="dxa"/>
            <w:tcBorders>
              <w:top w:val="nil"/>
              <w:left w:val="nil"/>
              <w:bottom w:val="nil"/>
              <w:right w:val="nil"/>
            </w:tcBorders>
            <w:shd w:val="clear" w:color="auto" w:fill="auto"/>
          </w:tcPr>
          <w:p w14:paraId="643B48D4" w14:textId="77777777" w:rsidR="0030614F" w:rsidRPr="001B015B" w:rsidRDefault="0030614F" w:rsidP="0034622E">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Prijenos u Stupanj 3</w:t>
            </w:r>
          </w:p>
        </w:tc>
        <w:tc>
          <w:tcPr>
            <w:tcW w:w="1090" w:type="dxa"/>
            <w:shd w:val="clear" w:color="auto" w:fill="auto"/>
            <w:vAlign w:val="bottom"/>
          </w:tcPr>
          <w:p w14:paraId="5165D9BC" w14:textId="77777777" w:rsidR="0030614F" w:rsidRPr="001B015B" w:rsidRDefault="0030614F" w:rsidP="0034622E">
            <w:pPr>
              <w:jc w:val="right"/>
              <w:rPr>
                <w:rFonts w:ascii="Arial" w:eastAsia="Calibri" w:hAnsi="Arial" w:cs="Arial"/>
                <w:color w:val="000000" w:themeColor="text1"/>
                <w:sz w:val="18"/>
                <w:szCs w:val="18"/>
              </w:rPr>
            </w:pPr>
            <w:r w:rsidRPr="004770C0">
              <w:rPr>
                <w:rFonts w:ascii="Arial" w:hAnsi="Arial" w:cs="Arial"/>
                <w:sz w:val="18"/>
                <w:szCs w:val="18"/>
              </w:rPr>
              <w:t xml:space="preserve"> -    </w:t>
            </w:r>
          </w:p>
        </w:tc>
        <w:tc>
          <w:tcPr>
            <w:tcW w:w="1090" w:type="dxa"/>
            <w:shd w:val="clear" w:color="auto" w:fill="auto"/>
            <w:vAlign w:val="bottom"/>
          </w:tcPr>
          <w:p w14:paraId="4B5EF0A4" w14:textId="77777777" w:rsidR="0030614F" w:rsidRPr="001B015B" w:rsidRDefault="0030614F" w:rsidP="0034622E">
            <w:pPr>
              <w:jc w:val="right"/>
              <w:rPr>
                <w:rFonts w:ascii="Arial" w:eastAsia="Calibri" w:hAnsi="Arial" w:cs="Arial"/>
                <w:color w:val="000000" w:themeColor="text1"/>
                <w:sz w:val="18"/>
                <w:szCs w:val="18"/>
              </w:rPr>
            </w:pPr>
            <w:r w:rsidRPr="004770C0">
              <w:rPr>
                <w:rFonts w:ascii="Arial" w:hAnsi="Arial" w:cs="Arial"/>
                <w:sz w:val="18"/>
                <w:szCs w:val="18"/>
              </w:rPr>
              <w:t xml:space="preserve"> - </w:t>
            </w:r>
          </w:p>
        </w:tc>
        <w:tc>
          <w:tcPr>
            <w:tcW w:w="1090" w:type="dxa"/>
            <w:shd w:val="clear" w:color="auto" w:fill="auto"/>
            <w:vAlign w:val="bottom"/>
          </w:tcPr>
          <w:p w14:paraId="14429A46" w14:textId="77777777" w:rsidR="0030614F" w:rsidRPr="001B015B" w:rsidRDefault="0030614F" w:rsidP="0034622E">
            <w:pPr>
              <w:jc w:val="right"/>
              <w:rPr>
                <w:rFonts w:ascii="Arial" w:eastAsia="Calibri" w:hAnsi="Arial" w:cs="Arial"/>
                <w:color w:val="000000" w:themeColor="text1"/>
                <w:sz w:val="18"/>
                <w:szCs w:val="18"/>
              </w:rPr>
            </w:pPr>
            <w:r w:rsidRPr="004770C0">
              <w:rPr>
                <w:rFonts w:ascii="Arial" w:hAnsi="Arial" w:cs="Arial"/>
                <w:sz w:val="18"/>
                <w:szCs w:val="18"/>
              </w:rPr>
              <w:t xml:space="preserve"> - </w:t>
            </w:r>
          </w:p>
        </w:tc>
        <w:tc>
          <w:tcPr>
            <w:tcW w:w="1090" w:type="dxa"/>
            <w:shd w:val="clear" w:color="auto" w:fill="auto"/>
            <w:vAlign w:val="bottom"/>
          </w:tcPr>
          <w:p w14:paraId="5A2528F9" w14:textId="77777777" w:rsidR="0030614F" w:rsidRPr="001B015B" w:rsidRDefault="0030614F" w:rsidP="0034622E">
            <w:pPr>
              <w:jc w:val="right"/>
              <w:rPr>
                <w:rFonts w:ascii="Arial" w:eastAsia="Calibri" w:hAnsi="Arial" w:cs="Arial"/>
                <w:color w:val="000000" w:themeColor="text1"/>
                <w:sz w:val="18"/>
                <w:szCs w:val="18"/>
              </w:rPr>
            </w:pPr>
            <w:r w:rsidRPr="004770C0">
              <w:rPr>
                <w:rFonts w:ascii="Arial" w:hAnsi="Arial" w:cs="Arial"/>
                <w:sz w:val="18"/>
                <w:szCs w:val="18"/>
              </w:rPr>
              <w:t xml:space="preserve"> - </w:t>
            </w:r>
          </w:p>
        </w:tc>
        <w:tc>
          <w:tcPr>
            <w:tcW w:w="1090" w:type="dxa"/>
            <w:shd w:val="clear" w:color="auto" w:fill="auto"/>
            <w:vAlign w:val="bottom"/>
          </w:tcPr>
          <w:p w14:paraId="5EA1C57A" w14:textId="77777777" w:rsidR="0030614F" w:rsidRPr="005D1219" w:rsidRDefault="0030614F" w:rsidP="0034622E">
            <w:pPr>
              <w:jc w:val="right"/>
              <w:rPr>
                <w:rFonts w:ascii="Arial" w:eastAsia="Calibri" w:hAnsi="Arial" w:cs="Arial"/>
                <w:b/>
                <w:bCs/>
                <w:color w:val="000000" w:themeColor="text1"/>
                <w:sz w:val="18"/>
                <w:szCs w:val="18"/>
              </w:rPr>
            </w:pPr>
            <w:r w:rsidRPr="005D1219">
              <w:rPr>
                <w:rFonts w:ascii="Arial" w:hAnsi="Arial" w:cs="Arial"/>
                <w:b/>
                <w:bCs/>
                <w:sz w:val="18"/>
                <w:szCs w:val="18"/>
              </w:rPr>
              <w:t xml:space="preserve"> -    </w:t>
            </w:r>
          </w:p>
        </w:tc>
      </w:tr>
      <w:tr w:rsidR="0030614F" w:rsidRPr="001B015B" w14:paraId="35E4155F" w14:textId="77777777" w:rsidTr="0034622E">
        <w:trPr>
          <w:trHeight w:val="204"/>
        </w:trPr>
        <w:tc>
          <w:tcPr>
            <w:tcW w:w="3931" w:type="dxa"/>
            <w:tcBorders>
              <w:top w:val="nil"/>
              <w:left w:val="nil"/>
              <w:bottom w:val="nil"/>
              <w:right w:val="nil"/>
            </w:tcBorders>
            <w:shd w:val="clear" w:color="auto" w:fill="auto"/>
            <w:vAlign w:val="center"/>
            <w:hideMark/>
          </w:tcPr>
          <w:p w14:paraId="4C898A8E" w14:textId="77777777" w:rsidR="0030614F" w:rsidRPr="001B015B" w:rsidRDefault="0030614F" w:rsidP="0034622E">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 xml:space="preserve">Neto </w:t>
            </w:r>
            <w:r>
              <w:rPr>
                <w:rFonts w:ascii="Arial" w:eastAsia="Calibri" w:hAnsi="Arial" w:cs="Arial"/>
                <w:color w:val="000000" w:themeColor="text1"/>
                <w:sz w:val="18"/>
                <w:szCs w:val="18"/>
              </w:rPr>
              <w:t>povećanje</w:t>
            </w:r>
            <w:r w:rsidRPr="001B015B">
              <w:rPr>
                <w:rFonts w:ascii="Arial" w:eastAsia="Calibri" w:hAnsi="Arial" w:cs="Arial"/>
                <w:color w:val="000000" w:themeColor="text1"/>
                <w:sz w:val="18"/>
                <w:szCs w:val="18"/>
              </w:rPr>
              <w:t xml:space="preserve"> rezerviranja za očekivane gubitke </w:t>
            </w:r>
          </w:p>
        </w:tc>
        <w:tc>
          <w:tcPr>
            <w:tcW w:w="1090" w:type="dxa"/>
            <w:tcBorders>
              <w:top w:val="nil"/>
              <w:left w:val="nil"/>
              <w:right w:val="nil"/>
            </w:tcBorders>
            <w:shd w:val="clear" w:color="auto" w:fill="auto"/>
            <w:vAlign w:val="bottom"/>
          </w:tcPr>
          <w:p w14:paraId="53954B11" w14:textId="77777777" w:rsidR="0030614F" w:rsidRPr="001B015B" w:rsidRDefault="0030614F" w:rsidP="0034622E">
            <w:pPr>
              <w:jc w:val="right"/>
              <w:rPr>
                <w:rFonts w:ascii="Arial" w:eastAsia="Calibri" w:hAnsi="Arial" w:cs="Arial"/>
                <w:color w:val="000000" w:themeColor="text1"/>
                <w:sz w:val="18"/>
                <w:szCs w:val="18"/>
              </w:rPr>
            </w:pPr>
            <w:r>
              <w:rPr>
                <w:rFonts w:ascii="Arial" w:hAnsi="Arial" w:cs="Arial"/>
                <w:sz w:val="18"/>
                <w:szCs w:val="18"/>
              </w:rPr>
              <w:t>218</w:t>
            </w:r>
          </w:p>
        </w:tc>
        <w:tc>
          <w:tcPr>
            <w:tcW w:w="1090" w:type="dxa"/>
            <w:tcBorders>
              <w:top w:val="nil"/>
              <w:left w:val="nil"/>
              <w:right w:val="nil"/>
            </w:tcBorders>
            <w:shd w:val="clear" w:color="auto" w:fill="auto"/>
            <w:vAlign w:val="bottom"/>
          </w:tcPr>
          <w:p w14:paraId="216DB115" w14:textId="77777777" w:rsidR="0030614F" w:rsidRPr="001B015B" w:rsidRDefault="0030614F" w:rsidP="0034622E">
            <w:pPr>
              <w:jc w:val="right"/>
              <w:rPr>
                <w:rFonts w:ascii="Arial" w:eastAsia="Calibri" w:hAnsi="Arial" w:cs="Arial"/>
                <w:color w:val="000000" w:themeColor="text1"/>
                <w:sz w:val="18"/>
                <w:szCs w:val="18"/>
              </w:rPr>
            </w:pPr>
            <w:r w:rsidRPr="004770C0">
              <w:rPr>
                <w:rFonts w:ascii="Arial" w:hAnsi="Arial" w:cs="Arial"/>
                <w:sz w:val="18"/>
                <w:szCs w:val="18"/>
              </w:rPr>
              <w:t xml:space="preserve"> -    </w:t>
            </w:r>
          </w:p>
        </w:tc>
        <w:tc>
          <w:tcPr>
            <w:tcW w:w="1090" w:type="dxa"/>
            <w:tcBorders>
              <w:top w:val="nil"/>
              <w:left w:val="nil"/>
              <w:right w:val="nil"/>
            </w:tcBorders>
            <w:shd w:val="clear" w:color="auto" w:fill="auto"/>
            <w:vAlign w:val="bottom"/>
          </w:tcPr>
          <w:p w14:paraId="082F274F" w14:textId="77777777" w:rsidR="0030614F" w:rsidRPr="001B015B" w:rsidRDefault="0030614F" w:rsidP="0034622E">
            <w:pPr>
              <w:jc w:val="right"/>
              <w:rPr>
                <w:rFonts w:ascii="Arial" w:eastAsia="Calibri" w:hAnsi="Arial" w:cs="Arial"/>
                <w:color w:val="000000" w:themeColor="text1"/>
                <w:sz w:val="18"/>
                <w:szCs w:val="18"/>
              </w:rPr>
            </w:pPr>
            <w:r w:rsidRPr="004770C0">
              <w:rPr>
                <w:rFonts w:ascii="Arial" w:hAnsi="Arial" w:cs="Arial"/>
                <w:sz w:val="18"/>
                <w:szCs w:val="18"/>
              </w:rPr>
              <w:t xml:space="preserve"> -    </w:t>
            </w:r>
          </w:p>
        </w:tc>
        <w:tc>
          <w:tcPr>
            <w:tcW w:w="1090" w:type="dxa"/>
            <w:tcBorders>
              <w:top w:val="nil"/>
              <w:left w:val="nil"/>
              <w:right w:val="nil"/>
            </w:tcBorders>
            <w:shd w:val="clear" w:color="auto" w:fill="auto"/>
            <w:vAlign w:val="bottom"/>
          </w:tcPr>
          <w:p w14:paraId="1403A96A" w14:textId="77777777" w:rsidR="0030614F" w:rsidRPr="001B015B" w:rsidRDefault="0030614F" w:rsidP="0034622E">
            <w:pPr>
              <w:jc w:val="right"/>
              <w:rPr>
                <w:rFonts w:ascii="Arial" w:eastAsia="Calibri" w:hAnsi="Arial" w:cs="Arial"/>
                <w:color w:val="000000" w:themeColor="text1"/>
                <w:sz w:val="18"/>
                <w:szCs w:val="18"/>
              </w:rPr>
            </w:pPr>
            <w:r w:rsidRPr="004770C0">
              <w:rPr>
                <w:rFonts w:ascii="Arial" w:hAnsi="Arial" w:cs="Arial"/>
                <w:sz w:val="18"/>
                <w:szCs w:val="18"/>
              </w:rPr>
              <w:t xml:space="preserve"> -    </w:t>
            </w:r>
          </w:p>
        </w:tc>
        <w:tc>
          <w:tcPr>
            <w:tcW w:w="1090" w:type="dxa"/>
            <w:tcBorders>
              <w:top w:val="nil"/>
              <w:left w:val="nil"/>
              <w:right w:val="nil"/>
            </w:tcBorders>
            <w:shd w:val="clear" w:color="auto" w:fill="auto"/>
            <w:vAlign w:val="bottom"/>
          </w:tcPr>
          <w:p w14:paraId="6B870552" w14:textId="77777777" w:rsidR="0030614F" w:rsidRPr="005D1219" w:rsidRDefault="0030614F" w:rsidP="0034622E">
            <w:pPr>
              <w:jc w:val="right"/>
              <w:rPr>
                <w:rFonts w:ascii="Arial" w:eastAsia="Calibri" w:hAnsi="Arial" w:cs="Arial"/>
                <w:b/>
                <w:bCs/>
                <w:color w:val="000000" w:themeColor="text1"/>
                <w:sz w:val="18"/>
                <w:szCs w:val="18"/>
              </w:rPr>
            </w:pPr>
            <w:r w:rsidRPr="005D1219">
              <w:rPr>
                <w:rFonts w:ascii="Arial" w:hAnsi="Arial" w:cs="Arial"/>
                <w:b/>
                <w:bCs/>
                <w:sz w:val="18"/>
                <w:szCs w:val="18"/>
              </w:rPr>
              <w:t xml:space="preserve">218    </w:t>
            </w:r>
          </w:p>
        </w:tc>
      </w:tr>
      <w:tr w:rsidR="0030614F" w:rsidRPr="001B015B" w14:paraId="59631D02" w14:textId="77777777" w:rsidTr="0034622E">
        <w:trPr>
          <w:trHeight w:val="242"/>
        </w:trPr>
        <w:tc>
          <w:tcPr>
            <w:tcW w:w="3931" w:type="dxa"/>
            <w:tcBorders>
              <w:top w:val="nil"/>
              <w:left w:val="nil"/>
              <w:bottom w:val="nil"/>
              <w:right w:val="nil"/>
            </w:tcBorders>
            <w:shd w:val="clear" w:color="auto" w:fill="auto"/>
            <w:vAlign w:val="bottom"/>
            <w:hideMark/>
          </w:tcPr>
          <w:p w14:paraId="0A14BDA6" w14:textId="77777777" w:rsidR="0030614F" w:rsidRPr="001B015B" w:rsidRDefault="0030614F" w:rsidP="0034622E">
            <w:pPr>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Stanje 31. prosinca 202</w:t>
            </w:r>
            <w:r>
              <w:rPr>
                <w:rFonts w:ascii="Arial" w:eastAsia="Calibri" w:hAnsi="Arial" w:cs="Arial"/>
                <w:b/>
                <w:bCs/>
                <w:color w:val="000000" w:themeColor="text1"/>
                <w:sz w:val="18"/>
                <w:szCs w:val="18"/>
              </w:rPr>
              <w:t>3</w:t>
            </w:r>
            <w:r w:rsidRPr="001B015B">
              <w:rPr>
                <w:rFonts w:ascii="Arial" w:eastAsia="Calibri" w:hAnsi="Arial" w:cs="Arial"/>
                <w:b/>
                <w:bCs/>
                <w:color w:val="000000" w:themeColor="text1"/>
                <w:sz w:val="18"/>
                <w:szCs w:val="18"/>
              </w:rPr>
              <w:t>.</w:t>
            </w:r>
          </w:p>
        </w:tc>
        <w:tc>
          <w:tcPr>
            <w:tcW w:w="1090" w:type="dxa"/>
            <w:tcBorders>
              <w:top w:val="single" w:sz="4" w:space="0" w:color="auto"/>
              <w:left w:val="nil"/>
              <w:bottom w:val="single" w:sz="12" w:space="0" w:color="auto"/>
              <w:right w:val="nil"/>
            </w:tcBorders>
            <w:shd w:val="clear" w:color="auto" w:fill="auto"/>
            <w:vAlign w:val="bottom"/>
          </w:tcPr>
          <w:p w14:paraId="58BC3E81" w14:textId="77777777" w:rsidR="0030614F" w:rsidRPr="001B015B" w:rsidRDefault="0030614F" w:rsidP="0034622E">
            <w:pPr>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218</w:t>
            </w:r>
          </w:p>
        </w:tc>
        <w:tc>
          <w:tcPr>
            <w:tcW w:w="1090" w:type="dxa"/>
            <w:tcBorders>
              <w:top w:val="single" w:sz="4" w:space="0" w:color="auto"/>
              <w:left w:val="nil"/>
              <w:bottom w:val="single" w:sz="12" w:space="0" w:color="auto"/>
              <w:right w:val="nil"/>
            </w:tcBorders>
            <w:shd w:val="clear" w:color="auto" w:fill="auto"/>
            <w:vAlign w:val="bottom"/>
          </w:tcPr>
          <w:p w14:paraId="48B6B35A" w14:textId="77777777" w:rsidR="0030614F" w:rsidRPr="001B015B" w:rsidRDefault="0030614F" w:rsidP="0034622E">
            <w:pPr>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c>
          <w:tcPr>
            <w:tcW w:w="1090" w:type="dxa"/>
            <w:tcBorders>
              <w:top w:val="single" w:sz="4" w:space="0" w:color="auto"/>
              <w:left w:val="nil"/>
              <w:bottom w:val="single" w:sz="12" w:space="0" w:color="auto"/>
              <w:right w:val="nil"/>
            </w:tcBorders>
            <w:shd w:val="clear" w:color="auto" w:fill="auto"/>
            <w:vAlign w:val="bottom"/>
          </w:tcPr>
          <w:p w14:paraId="240B7164" w14:textId="77777777" w:rsidR="0030614F" w:rsidRPr="001B015B" w:rsidRDefault="0030614F" w:rsidP="0034622E">
            <w:pPr>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c>
          <w:tcPr>
            <w:tcW w:w="1090" w:type="dxa"/>
            <w:tcBorders>
              <w:top w:val="single" w:sz="4" w:space="0" w:color="auto"/>
              <w:left w:val="nil"/>
              <w:bottom w:val="single" w:sz="12" w:space="0" w:color="auto"/>
              <w:right w:val="nil"/>
            </w:tcBorders>
            <w:shd w:val="clear" w:color="auto" w:fill="auto"/>
            <w:vAlign w:val="bottom"/>
          </w:tcPr>
          <w:p w14:paraId="6609E02B" w14:textId="77777777" w:rsidR="0030614F" w:rsidRPr="001B015B" w:rsidRDefault="0030614F" w:rsidP="0034622E">
            <w:pPr>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c>
          <w:tcPr>
            <w:tcW w:w="1090" w:type="dxa"/>
            <w:tcBorders>
              <w:top w:val="single" w:sz="4" w:space="0" w:color="auto"/>
              <w:left w:val="nil"/>
              <w:bottom w:val="single" w:sz="12" w:space="0" w:color="auto"/>
              <w:right w:val="nil"/>
            </w:tcBorders>
            <w:shd w:val="clear" w:color="auto" w:fill="auto"/>
            <w:vAlign w:val="bottom"/>
          </w:tcPr>
          <w:p w14:paraId="23E9BF78" w14:textId="77777777" w:rsidR="0030614F" w:rsidRPr="001B015B" w:rsidRDefault="0030614F" w:rsidP="0034622E">
            <w:pPr>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218</w:t>
            </w:r>
          </w:p>
        </w:tc>
      </w:tr>
    </w:tbl>
    <w:p w14:paraId="0FDF5B05" w14:textId="3A01B4F1" w:rsidR="00D92646" w:rsidRPr="003D1614" w:rsidRDefault="00D92646" w:rsidP="001A0FCB">
      <w:pPr>
        <w:suppressAutoHyphens/>
        <w:autoSpaceDN w:val="0"/>
        <w:jc w:val="both"/>
        <w:rPr>
          <w:rFonts w:ascii="Arial" w:eastAsia="Times New Roman" w:hAnsi="Arial" w:cs="Arial"/>
          <w:color w:val="000000" w:themeColor="text1"/>
          <w:sz w:val="20"/>
          <w:szCs w:val="20"/>
        </w:rPr>
      </w:pPr>
    </w:p>
    <w:p w14:paraId="577C9783" w14:textId="77777777" w:rsidR="00D92646" w:rsidRPr="003D1614" w:rsidRDefault="00D92646" w:rsidP="001A0FCB">
      <w:pPr>
        <w:suppressAutoHyphens/>
        <w:autoSpaceDN w:val="0"/>
        <w:jc w:val="both"/>
        <w:rPr>
          <w:rFonts w:ascii="Arial" w:eastAsia="Times New Roman" w:hAnsi="Arial" w:cs="Arial"/>
          <w:color w:val="000000" w:themeColor="text1"/>
          <w:sz w:val="20"/>
          <w:szCs w:val="20"/>
        </w:rPr>
        <w:sectPr w:rsidR="00D92646" w:rsidRPr="003D1614" w:rsidSect="003278AB">
          <w:pgSz w:w="11906" w:h="16838"/>
          <w:pgMar w:top="1417" w:right="1417" w:bottom="1417" w:left="1417" w:header="708" w:footer="708" w:gutter="0"/>
          <w:cols w:space="708"/>
          <w:docGrid w:linePitch="360"/>
        </w:sectPr>
      </w:pPr>
    </w:p>
    <w:p w14:paraId="4379B1BB"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2EA42E93" w14:textId="08662D86"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6B9B767F"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461DCFB6" w14:textId="6D82942F"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.3. </w:t>
      </w:r>
      <w:r w:rsidRPr="003D1614">
        <w:rPr>
          <w:rFonts w:ascii="Arial" w:eastAsia="Times New Roman" w:hAnsi="Arial" w:cs="Arial"/>
          <w:b/>
          <w:bCs/>
          <w:color w:val="000000" w:themeColor="text1"/>
          <w:sz w:val="20"/>
          <w:szCs w:val="20"/>
        </w:rPr>
        <w:tab/>
        <w:t>Kreditni rizik (nastavak)</w:t>
      </w:r>
    </w:p>
    <w:p w14:paraId="00B6506A"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6D379712" w14:textId="77777777" w:rsidR="00D92646" w:rsidRPr="003D1614" w:rsidRDefault="00D92646" w:rsidP="00D92646">
      <w:pPr>
        <w:keepNext/>
        <w:tabs>
          <w:tab w:val="left" w:pos="284"/>
        </w:tabs>
        <w:suppressAutoHyphens/>
        <w:autoSpaceDN w:val="0"/>
        <w:jc w:val="both"/>
        <w:rPr>
          <w:rFonts w:ascii="Arial" w:eastAsia="Times New Roman" w:hAnsi="Arial" w:cs="Arial"/>
          <w:bCs/>
          <w:i/>
          <w:color w:val="000000" w:themeColor="text1"/>
          <w:sz w:val="20"/>
          <w:szCs w:val="20"/>
        </w:rPr>
      </w:pPr>
      <w:r w:rsidRPr="003D1614">
        <w:rPr>
          <w:rFonts w:ascii="Arial" w:eastAsia="Times New Roman" w:hAnsi="Arial" w:cs="Arial"/>
          <w:bCs/>
          <w:i/>
          <w:color w:val="000000" w:themeColor="text1"/>
          <w:sz w:val="20"/>
          <w:szCs w:val="20"/>
        </w:rPr>
        <w:t>i.</w:t>
      </w:r>
      <w:r w:rsidRPr="003D1614">
        <w:rPr>
          <w:rFonts w:ascii="Arial" w:eastAsia="Times New Roman" w:hAnsi="Arial" w:cs="Arial"/>
          <w:bCs/>
          <w:i/>
          <w:color w:val="000000" w:themeColor="text1"/>
          <w:sz w:val="20"/>
          <w:szCs w:val="20"/>
        </w:rPr>
        <w:tab/>
        <w:t>Promjene po rezerviranjima (nastavak)</w:t>
      </w:r>
    </w:p>
    <w:p w14:paraId="08AB7FF6"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3658A71B"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Krediti financijskim institucijama</w:t>
      </w:r>
    </w:p>
    <w:p w14:paraId="020F8D21"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tbl>
      <w:tblPr>
        <w:tblW w:w="9369" w:type="dxa"/>
        <w:tblInd w:w="-180" w:type="dxa"/>
        <w:tblLook w:val="04A0" w:firstRow="1" w:lastRow="0" w:firstColumn="1" w:lastColumn="0" w:noHBand="0" w:noVBand="1"/>
      </w:tblPr>
      <w:tblGrid>
        <w:gridCol w:w="3918"/>
        <w:gridCol w:w="1081"/>
        <w:gridCol w:w="1105"/>
        <w:gridCol w:w="1082"/>
        <w:gridCol w:w="1078"/>
        <w:gridCol w:w="1105"/>
      </w:tblGrid>
      <w:tr w:rsidR="00D92646" w:rsidRPr="003D1614" w14:paraId="552235CF" w14:textId="77777777" w:rsidTr="007478FB">
        <w:trPr>
          <w:trHeight w:val="174"/>
        </w:trPr>
        <w:tc>
          <w:tcPr>
            <w:tcW w:w="3918" w:type="dxa"/>
            <w:tcBorders>
              <w:top w:val="nil"/>
              <w:left w:val="nil"/>
              <w:bottom w:val="nil"/>
              <w:right w:val="nil"/>
            </w:tcBorders>
            <w:shd w:val="clear" w:color="auto" w:fill="auto"/>
            <w:vAlign w:val="bottom"/>
          </w:tcPr>
          <w:p w14:paraId="29A5E80E" w14:textId="77777777" w:rsidR="00D92646" w:rsidRPr="003D1614" w:rsidRDefault="00D92646" w:rsidP="00D92646">
            <w:pPr>
              <w:suppressAutoHyphens/>
              <w:autoSpaceDN w:val="0"/>
              <w:rPr>
                <w:rFonts w:ascii="Arial" w:eastAsia="Calibri" w:hAnsi="Arial" w:cs="Arial"/>
                <w:b/>
                <w:bCs/>
                <w:color w:val="000000" w:themeColor="text1"/>
                <w:sz w:val="18"/>
                <w:szCs w:val="18"/>
              </w:rPr>
            </w:pPr>
            <w:bookmarkStart w:id="743" w:name="_Hlk24387081"/>
            <w:r w:rsidRPr="003D1614">
              <w:rPr>
                <w:rFonts w:ascii="Arial" w:eastAsia="Calibri" w:hAnsi="Arial" w:cs="Arial"/>
                <w:b/>
                <w:bCs/>
                <w:color w:val="000000" w:themeColor="text1"/>
                <w:sz w:val="18"/>
                <w:szCs w:val="18"/>
              </w:rPr>
              <w:t>Grupa i Banka</w:t>
            </w:r>
          </w:p>
        </w:tc>
        <w:tc>
          <w:tcPr>
            <w:tcW w:w="1081" w:type="dxa"/>
            <w:tcBorders>
              <w:top w:val="nil"/>
              <w:left w:val="nil"/>
              <w:bottom w:val="nil"/>
              <w:right w:val="nil"/>
            </w:tcBorders>
            <w:shd w:val="clear" w:color="auto" w:fill="auto"/>
            <w:vAlign w:val="bottom"/>
          </w:tcPr>
          <w:p w14:paraId="5CC43C59"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105" w:type="dxa"/>
            <w:tcBorders>
              <w:top w:val="nil"/>
              <w:left w:val="nil"/>
              <w:bottom w:val="nil"/>
              <w:right w:val="nil"/>
            </w:tcBorders>
            <w:shd w:val="clear" w:color="auto" w:fill="auto"/>
            <w:vAlign w:val="bottom"/>
          </w:tcPr>
          <w:p w14:paraId="6F4C1C50"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82" w:type="dxa"/>
            <w:tcBorders>
              <w:top w:val="nil"/>
              <w:left w:val="nil"/>
              <w:bottom w:val="nil"/>
              <w:right w:val="nil"/>
            </w:tcBorders>
            <w:shd w:val="clear" w:color="auto" w:fill="auto"/>
            <w:vAlign w:val="bottom"/>
          </w:tcPr>
          <w:p w14:paraId="55E71E2D"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78" w:type="dxa"/>
            <w:tcBorders>
              <w:top w:val="nil"/>
              <w:left w:val="nil"/>
              <w:bottom w:val="nil"/>
              <w:right w:val="nil"/>
            </w:tcBorders>
            <w:shd w:val="clear" w:color="auto" w:fill="auto"/>
            <w:vAlign w:val="bottom"/>
          </w:tcPr>
          <w:p w14:paraId="1E7D7A98"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105" w:type="dxa"/>
            <w:tcBorders>
              <w:top w:val="nil"/>
              <w:left w:val="nil"/>
              <w:bottom w:val="nil"/>
              <w:right w:val="nil"/>
            </w:tcBorders>
            <w:shd w:val="clear" w:color="auto" w:fill="auto"/>
            <w:vAlign w:val="bottom"/>
          </w:tcPr>
          <w:p w14:paraId="4ED4CF51"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r>
      <w:tr w:rsidR="00D92646" w:rsidRPr="003D1614" w14:paraId="1B2B1B4C" w14:textId="77777777" w:rsidTr="007478FB">
        <w:trPr>
          <w:trHeight w:val="174"/>
        </w:trPr>
        <w:tc>
          <w:tcPr>
            <w:tcW w:w="3918" w:type="dxa"/>
            <w:tcBorders>
              <w:top w:val="nil"/>
              <w:left w:val="nil"/>
              <w:bottom w:val="nil"/>
              <w:right w:val="nil"/>
            </w:tcBorders>
            <w:shd w:val="clear" w:color="auto" w:fill="auto"/>
            <w:vAlign w:val="bottom"/>
            <w:hideMark/>
          </w:tcPr>
          <w:p w14:paraId="1C7728CF" w14:textId="61C02B59" w:rsidR="00D92646" w:rsidRPr="003D1614" w:rsidRDefault="00A2708A" w:rsidP="00D92646">
            <w:pPr>
              <w:suppressAutoHyphens/>
              <w:autoSpaceDN w:val="0"/>
              <w:rPr>
                <w:rFonts w:ascii="Arial" w:eastAsia="Calibri" w:hAnsi="Arial" w:cs="Arial"/>
                <w:b/>
                <w:bCs/>
                <w:color w:val="000000" w:themeColor="text1"/>
                <w:sz w:val="18"/>
                <w:szCs w:val="18"/>
              </w:rPr>
            </w:pPr>
            <w:r w:rsidRPr="00A2708A">
              <w:rPr>
                <w:rFonts w:ascii="Arial" w:eastAsia="Calibri" w:hAnsi="Arial" w:cs="Arial"/>
                <w:b/>
                <w:bCs/>
                <w:color w:val="000000" w:themeColor="text1"/>
                <w:sz w:val="18"/>
                <w:szCs w:val="18"/>
              </w:rPr>
              <w:t>30. rujna 202</w:t>
            </w:r>
            <w:r w:rsidR="00BE4BE8">
              <w:rPr>
                <w:rFonts w:ascii="Arial" w:eastAsia="Calibri" w:hAnsi="Arial" w:cs="Arial"/>
                <w:b/>
                <w:bCs/>
                <w:color w:val="000000" w:themeColor="text1"/>
                <w:sz w:val="18"/>
                <w:szCs w:val="18"/>
              </w:rPr>
              <w:t>4</w:t>
            </w:r>
            <w:r w:rsidRPr="00A2708A">
              <w:rPr>
                <w:rFonts w:ascii="Arial" w:eastAsia="Calibri" w:hAnsi="Arial" w:cs="Arial"/>
                <w:b/>
                <w:bCs/>
                <w:color w:val="000000" w:themeColor="text1"/>
                <w:sz w:val="18"/>
                <w:szCs w:val="18"/>
              </w:rPr>
              <w:t>.</w:t>
            </w:r>
          </w:p>
        </w:tc>
        <w:tc>
          <w:tcPr>
            <w:tcW w:w="1081" w:type="dxa"/>
            <w:tcBorders>
              <w:top w:val="nil"/>
              <w:left w:val="nil"/>
              <w:bottom w:val="nil"/>
              <w:right w:val="nil"/>
            </w:tcBorders>
            <w:shd w:val="clear" w:color="auto" w:fill="auto"/>
            <w:vAlign w:val="bottom"/>
            <w:hideMark/>
          </w:tcPr>
          <w:p w14:paraId="2265422D"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1</w:t>
            </w:r>
          </w:p>
        </w:tc>
        <w:tc>
          <w:tcPr>
            <w:tcW w:w="1105" w:type="dxa"/>
            <w:tcBorders>
              <w:top w:val="nil"/>
              <w:left w:val="nil"/>
              <w:bottom w:val="nil"/>
              <w:right w:val="nil"/>
            </w:tcBorders>
            <w:shd w:val="clear" w:color="auto" w:fill="auto"/>
            <w:vAlign w:val="bottom"/>
            <w:hideMark/>
          </w:tcPr>
          <w:p w14:paraId="21A87BEF"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2</w:t>
            </w:r>
          </w:p>
        </w:tc>
        <w:tc>
          <w:tcPr>
            <w:tcW w:w="1082" w:type="dxa"/>
            <w:tcBorders>
              <w:top w:val="nil"/>
              <w:left w:val="nil"/>
              <w:bottom w:val="nil"/>
              <w:right w:val="nil"/>
            </w:tcBorders>
            <w:shd w:val="clear" w:color="auto" w:fill="auto"/>
            <w:vAlign w:val="bottom"/>
            <w:hideMark/>
          </w:tcPr>
          <w:p w14:paraId="57A75385"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3</w:t>
            </w:r>
          </w:p>
        </w:tc>
        <w:tc>
          <w:tcPr>
            <w:tcW w:w="1078" w:type="dxa"/>
            <w:tcBorders>
              <w:top w:val="nil"/>
              <w:left w:val="nil"/>
              <w:bottom w:val="nil"/>
              <w:right w:val="nil"/>
            </w:tcBorders>
            <w:shd w:val="clear" w:color="auto" w:fill="auto"/>
            <w:vAlign w:val="bottom"/>
            <w:hideMark/>
          </w:tcPr>
          <w:p w14:paraId="493BEB09"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POCI</w:t>
            </w:r>
          </w:p>
        </w:tc>
        <w:tc>
          <w:tcPr>
            <w:tcW w:w="1105" w:type="dxa"/>
            <w:tcBorders>
              <w:top w:val="nil"/>
              <w:left w:val="nil"/>
              <w:bottom w:val="nil"/>
              <w:right w:val="nil"/>
            </w:tcBorders>
            <w:shd w:val="clear" w:color="auto" w:fill="auto"/>
            <w:vAlign w:val="bottom"/>
            <w:hideMark/>
          </w:tcPr>
          <w:p w14:paraId="1AB48A52"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Ukupno</w:t>
            </w:r>
          </w:p>
        </w:tc>
      </w:tr>
      <w:tr w:rsidR="00D92646" w:rsidRPr="003D1614" w14:paraId="5EE0ED0F" w14:textId="77777777" w:rsidTr="007478FB">
        <w:trPr>
          <w:trHeight w:val="174"/>
        </w:trPr>
        <w:tc>
          <w:tcPr>
            <w:tcW w:w="3918" w:type="dxa"/>
            <w:tcBorders>
              <w:top w:val="nil"/>
              <w:left w:val="nil"/>
              <w:bottom w:val="nil"/>
              <w:right w:val="nil"/>
            </w:tcBorders>
            <w:shd w:val="clear" w:color="auto" w:fill="auto"/>
            <w:vAlign w:val="bottom"/>
            <w:hideMark/>
          </w:tcPr>
          <w:p w14:paraId="5FC2EC3A"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81" w:type="dxa"/>
            <w:tcBorders>
              <w:top w:val="nil"/>
              <w:left w:val="nil"/>
              <w:bottom w:val="nil"/>
              <w:right w:val="nil"/>
            </w:tcBorders>
            <w:shd w:val="clear" w:color="auto" w:fill="auto"/>
            <w:vAlign w:val="bottom"/>
            <w:hideMark/>
          </w:tcPr>
          <w:p w14:paraId="53ED610F" w14:textId="398AD8D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105" w:type="dxa"/>
            <w:tcBorders>
              <w:top w:val="nil"/>
              <w:left w:val="nil"/>
              <w:bottom w:val="nil"/>
              <w:right w:val="nil"/>
            </w:tcBorders>
            <w:shd w:val="clear" w:color="auto" w:fill="auto"/>
            <w:vAlign w:val="bottom"/>
            <w:hideMark/>
          </w:tcPr>
          <w:p w14:paraId="54B15D2E" w14:textId="7FA39C56"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82" w:type="dxa"/>
            <w:tcBorders>
              <w:top w:val="nil"/>
              <w:left w:val="nil"/>
              <w:bottom w:val="nil"/>
              <w:right w:val="nil"/>
            </w:tcBorders>
            <w:shd w:val="clear" w:color="auto" w:fill="auto"/>
            <w:vAlign w:val="bottom"/>
            <w:hideMark/>
          </w:tcPr>
          <w:p w14:paraId="33509AA8" w14:textId="30FE3868"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78" w:type="dxa"/>
            <w:tcBorders>
              <w:top w:val="nil"/>
              <w:left w:val="nil"/>
              <w:bottom w:val="nil"/>
              <w:right w:val="nil"/>
            </w:tcBorders>
            <w:shd w:val="clear" w:color="auto" w:fill="auto"/>
            <w:vAlign w:val="bottom"/>
            <w:hideMark/>
          </w:tcPr>
          <w:p w14:paraId="3649FCEB" w14:textId="198C2B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105" w:type="dxa"/>
            <w:tcBorders>
              <w:top w:val="nil"/>
              <w:left w:val="nil"/>
              <w:bottom w:val="nil"/>
              <w:right w:val="nil"/>
            </w:tcBorders>
            <w:shd w:val="clear" w:color="auto" w:fill="auto"/>
            <w:vAlign w:val="bottom"/>
            <w:hideMark/>
          </w:tcPr>
          <w:p w14:paraId="4F788DB3" w14:textId="1FC2DF54"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r>
      <w:tr w:rsidR="00D92646" w:rsidRPr="003D1614" w14:paraId="32D43A9B" w14:textId="77777777" w:rsidTr="007478FB">
        <w:trPr>
          <w:trHeight w:val="174"/>
        </w:trPr>
        <w:tc>
          <w:tcPr>
            <w:tcW w:w="3918" w:type="dxa"/>
            <w:tcBorders>
              <w:top w:val="nil"/>
              <w:left w:val="nil"/>
              <w:bottom w:val="nil"/>
              <w:right w:val="nil"/>
            </w:tcBorders>
            <w:shd w:val="clear" w:color="auto" w:fill="auto"/>
            <w:vAlign w:val="bottom"/>
          </w:tcPr>
          <w:p w14:paraId="75F33AE7"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81" w:type="dxa"/>
            <w:tcBorders>
              <w:top w:val="nil"/>
              <w:left w:val="nil"/>
              <w:bottom w:val="nil"/>
              <w:right w:val="nil"/>
            </w:tcBorders>
            <w:shd w:val="clear" w:color="auto" w:fill="auto"/>
            <w:vAlign w:val="bottom"/>
          </w:tcPr>
          <w:p w14:paraId="0F27A3AF"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105" w:type="dxa"/>
            <w:tcBorders>
              <w:top w:val="nil"/>
              <w:left w:val="nil"/>
              <w:bottom w:val="nil"/>
              <w:right w:val="nil"/>
            </w:tcBorders>
            <w:shd w:val="clear" w:color="auto" w:fill="auto"/>
            <w:vAlign w:val="bottom"/>
          </w:tcPr>
          <w:p w14:paraId="7EBF3C79"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82" w:type="dxa"/>
            <w:tcBorders>
              <w:top w:val="nil"/>
              <w:left w:val="nil"/>
              <w:bottom w:val="nil"/>
              <w:right w:val="nil"/>
            </w:tcBorders>
            <w:shd w:val="clear" w:color="auto" w:fill="auto"/>
            <w:vAlign w:val="bottom"/>
          </w:tcPr>
          <w:p w14:paraId="097FEE3D"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78" w:type="dxa"/>
            <w:tcBorders>
              <w:top w:val="nil"/>
              <w:left w:val="nil"/>
              <w:bottom w:val="nil"/>
              <w:right w:val="nil"/>
            </w:tcBorders>
            <w:shd w:val="clear" w:color="auto" w:fill="auto"/>
            <w:vAlign w:val="bottom"/>
          </w:tcPr>
          <w:p w14:paraId="0BE34C71"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105" w:type="dxa"/>
            <w:tcBorders>
              <w:top w:val="nil"/>
              <w:left w:val="nil"/>
              <w:bottom w:val="nil"/>
              <w:right w:val="nil"/>
            </w:tcBorders>
            <w:shd w:val="clear" w:color="auto" w:fill="auto"/>
            <w:vAlign w:val="bottom"/>
          </w:tcPr>
          <w:p w14:paraId="29F839F5"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r>
      <w:tr w:rsidR="00D92646" w:rsidRPr="003D1614" w14:paraId="7DFEA78C" w14:textId="77777777" w:rsidTr="007478FB">
        <w:trPr>
          <w:trHeight w:val="174"/>
        </w:trPr>
        <w:tc>
          <w:tcPr>
            <w:tcW w:w="3918" w:type="dxa"/>
            <w:tcBorders>
              <w:top w:val="nil"/>
              <w:left w:val="nil"/>
              <w:bottom w:val="nil"/>
              <w:right w:val="nil"/>
            </w:tcBorders>
            <w:shd w:val="clear" w:color="auto" w:fill="auto"/>
            <w:vAlign w:val="bottom"/>
            <w:hideMark/>
          </w:tcPr>
          <w:p w14:paraId="12D9148B" w14:textId="0B01EE3E" w:rsidR="00D92646" w:rsidRPr="003D1614" w:rsidRDefault="00D92646" w:rsidP="00D92646">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Stanje 1. siječnja 202</w:t>
            </w:r>
            <w:r w:rsidR="00BE4BE8">
              <w:rPr>
                <w:rFonts w:ascii="Arial" w:eastAsia="Calibri" w:hAnsi="Arial" w:cs="Arial"/>
                <w:color w:val="000000" w:themeColor="text1"/>
                <w:sz w:val="18"/>
                <w:szCs w:val="18"/>
              </w:rPr>
              <w:t>4</w:t>
            </w:r>
            <w:r w:rsidRPr="003D1614">
              <w:rPr>
                <w:rFonts w:ascii="Arial" w:eastAsia="Calibri" w:hAnsi="Arial" w:cs="Arial"/>
                <w:color w:val="000000" w:themeColor="text1"/>
                <w:sz w:val="18"/>
                <w:szCs w:val="18"/>
              </w:rPr>
              <w:t xml:space="preserve">. </w:t>
            </w:r>
          </w:p>
        </w:tc>
        <w:tc>
          <w:tcPr>
            <w:tcW w:w="1081" w:type="dxa"/>
            <w:tcBorders>
              <w:top w:val="nil"/>
              <w:left w:val="nil"/>
              <w:bottom w:val="nil"/>
              <w:right w:val="nil"/>
            </w:tcBorders>
            <w:shd w:val="clear" w:color="auto" w:fill="auto"/>
            <w:vAlign w:val="bottom"/>
          </w:tcPr>
          <w:p w14:paraId="2CF5CFDF" w14:textId="48FADE0D" w:rsidR="00D92646" w:rsidRPr="003D1614" w:rsidRDefault="003C1C2F" w:rsidP="00D92646">
            <w:pPr>
              <w:suppressAutoHyphens/>
              <w:autoSpaceDN w:val="0"/>
              <w:jc w:val="right"/>
              <w:rPr>
                <w:rFonts w:ascii="Arial" w:eastAsia="Times New Roman" w:hAnsi="Arial" w:cs="Arial"/>
                <w:sz w:val="18"/>
                <w:szCs w:val="18"/>
              </w:rPr>
            </w:pPr>
            <w:r>
              <w:rPr>
                <w:rFonts w:ascii="Arial" w:eastAsia="Times New Roman" w:hAnsi="Arial" w:cs="Arial"/>
                <w:sz w:val="18"/>
                <w:szCs w:val="18"/>
              </w:rPr>
              <w:t>4.163</w:t>
            </w:r>
          </w:p>
        </w:tc>
        <w:tc>
          <w:tcPr>
            <w:tcW w:w="1105" w:type="dxa"/>
            <w:tcBorders>
              <w:top w:val="nil"/>
              <w:left w:val="nil"/>
              <w:bottom w:val="nil"/>
              <w:right w:val="nil"/>
            </w:tcBorders>
            <w:shd w:val="clear" w:color="auto" w:fill="auto"/>
            <w:vAlign w:val="bottom"/>
          </w:tcPr>
          <w:p w14:paraId="6D345A67" w14:textId="2C4DEAE7" w:rsidR="00D92646" w:rsidRPr="003D1614" w:rsidRDefault="003C1C2F" w:rsidP="00D92646">
            <w:pPr>
              <w:suppressAutoHyphens/>
              <w:autoSpaceDN w:val="0"/>
              <w:jc w:val="right"/>
              <w:rPr>
                <w:rFonts w:ascii="Arial" w:eastAsia="Times New Roman" w:hAnsi="Arial" w:cs="Arial"/>
                <w:sz w:val="18"/>
                <w:szCs w:val="18"/>
              </w:rPr>
            </w:pPr>
            <w:r>
              <w:rPr>
                <w:rFonts w:ascii="Arial" w:eastAsia="Times New Roman" w:hAnsi="Arial" w:cs="Arial"/>
                <w:sz w:val="18"/>
                <w:szCs w:val="18"/>
              </w:rPr>
              <w:t>1.707</w:t>
            </w:r>
          </w:p>
        </w:tc>
        <w:tc>
          <w:tcPr>
            <w:tcW w:w="1082" w:type="dxa"/>
            <w:tcBorders>
              <w:top w:val="nil"/>
              <w:left w:val="nil"/>
              <w:bottom w:val="nil"/>
              <w:right w:val="nil"/>
            </w:tcBorders>
            <w:shd w:val="clear" w:color="auto" w:fill="auto"/>
            <w:vAlign w:val="bottom"/>
          </w:tcPr>
          <w:p w14:paraId="0C7D0AB2" w14:textId="01772BD7" w:rsidR="00D92646" w:rsidRPr="003D1614" w:rsidRDefault="003C1C2F" w:rsidP="00D92646">
            <w:pPr>
              <w:suppressAutoHyphens/>
              <w:autoSpaceDN w:val="0"/>
              <w:jc w:val="right"/>
              <w:rPr>
                <w:rFonts w:ascii="Arial" w:eastAsia="Times New Roman" w:hAnsi="Arial" w:cs="Arial"/>
                <w:sz w:val="18"/>
                <w:szCs w:val="18"/>
              </w:rPr>
            </w:pPr>
            <w:r>
              <w:rPr>
                <w:rFonts w:ascii="Arial" w:eastAsia="Times New Roman" w:hAnsi="Arial" w:cs="Arial"/>
                <w:sz w:val="18"/>
                <w:szCs w:val="18"/>
              </w:rPr>
              <w:t>857</w:t>
            </w:r>
          </w:p>
        </w:tc>
        <w:tc>
          <w:tcPr>
            <w:tcW w:w="1078" w:type="dxa"/>
            <w:tcBorders>
              <w:top w:val="nil"/>
              <w:left w:val="nil"/>
              <w:bottom w:val="nil"/>
              <w:right w:val="nil"/>
            </w:tcBorders>
            <w:shd w:val="clear" w:color="auto" w:fill="auto"/>
            <w:vAlign w:val="bottom"/>
          </w:tcPr>
          <w:p w14:paraId="34100A15" w14:textId="53D9797F" w:rsidR="00D92646" w:rsidRPr="003D1614" w:rsidRDefault="003C1C2F" w:rsidP="00D92646">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105" w:type="dxa"/>
            <w:tcBorders>
              <w:top w:val="nil"/>
              <w:left w:val="nil"/>
              <w:bottom w:val="nil"/>
              <w:right w:val="nil"/>
            </w:tcBorders>
            <w:shd w:val="clear" w:color="auto" w:fill="auto"/>
            <w:vAlign w:val="bottom"/>
          </w:tcPr>
          <w:p w14:paraId="665FA30A" w14:textId="4355054D" w:rsidR="00D92646" w:rsidRPr="00423A2C" w:rsidRDefault="003C1C2F" w:rsidP="00D92646">
            <w:pPr>
              <w:suppressAutoHyphens/>
              <w:autoSpaceDN w:val="0"/>
              <w:jc w:val="right"/>
              <w:rPr>
                <w:rFonts w:ascii="Arial" w:eastAsia="Times New Roman" w:hAnsi="Arial" w:cs="Arial"/>
                <w:b/>
                <w:bCs/>
                <w:sz w:val="18"/>
                <w:szCs w:val="18"/>
              </w:rPr>
            </w:pPr>
            <w:r w:rsidRPr="00423A2C">
              <w:rPr>
                <w:rFonts w:ascii="Arial" w:eastAsia="Times New Roman" w:hAnsi="Arial" w:cs="Arial"/>
                <w:b/>
                <w:bCs/>
                <w:sz w:val="18"/>
                <w:szCs w:val="18"/>
              </w:rPr>
              <w:t>6.727</w:t>
            </w:r>
          </w:p>
        </w:tc>
      </w:tr>
      <w:tr w:rsidR="00A93F0F" w:rsidRPr="003D1614" w14:paraId="7CA58FA3" w14:textId="77777777" w:rsidTr="00A67874">
        <w:trPr>
          <w:trHeight w:val="174"/>
        </w:trPr>
        <w:tc>
          <w:tcPr>
            <w:tcW w:w="3918" w:type="dxa"/>
            <w:tcBorders>
              <w:top w:val="nil"/>
              <w:left w:val="nil"/>
              <w:bottom w:val="nil"/>
              <w:right w:val="nil"/>
            </w:tcBorders>
            <w:shd w:val="clear" w:color="auto" w:fill="auto"/>
            <w:vAlign w:val="bottom"/>
          </w:tcPr>
          <w:p w14:paraId="38A7368A" w14:textId="204791CD" w:rsidR="00A93F0F" w:rsidRPr="003D1614" w:rsidRDefault="00A93F0F" w:rsidP="00A93F0F">
            <w:pPr>
              <w:suppressAutoHyphens/>
              <w:autoSpaceDN w:val="0"/>
              <w:rPr>
                <w:rFonts w:ascii="Arial" w:eastAsia="Calibri" w:hAnsi="Arial" w:cs="Arial"/>
                <w:color w:val="000000" w:themeColor="text1"/>
                <w:sz w:val="18"/>
                <w:szCs w:val="18"/>
              </w:rPr>
            </w:pPr>
            <w:r w:rsidRPr="00E66367">
              <w:rPr>
                <w:rFonts w:ascii="Arial" w:eastAsia="Calibri" w:hAnsi="Arial" w:cs="Arial"/>
                <w:color w:val="000000" w:themeColor="text1"/>
                <w:sz w:val="18"/>
                <w:szCs w:val="18"/>
              </w:rPr>
              <w:t>Korekcija početnog stanja</w:t>
            </w:r>
          </w:p>
        </w:tc>
        <w:tc>
          <w:tcPr>
            <w:tcW w:w="1081" w:type="dxa"/>
            <w:tcBorders>
              <w:top w:val="nil"/>
              <w:left w:val="nil"/>
              <w:bottom w:val="nil"/>
              <w:right w:val="nil"/>
            </w:tcBorders>
            <w:shd w:val="clear" w:color="auto" w:fill="auto"/>
            <w:vAlign w:val="bottom"/>
          </w:tcPr>
          <w:p w14:paraId="01E417D1" w14:textId="1FD6E053" w:rsidR="00A93F0F" w:rsidRDefault="00A6341B" w:rsidP="00A93F0F">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105" w:type="dxa"/>
            <w:tcBorders>
              <w:top w:val="nil"/>
              <w:left w:val="nil"/>
              <w:bottom w:val="nil"/>
              <w:right w:val="nil"/>
            </w:tcBorders>
            <w:shd w:val="clear" w:color="auto" w:fill="auto"/>
            <w:vAlign w:val="bottom"/>
          </w:tcPr>
          <w:p w14:paraId="26724B93" w14:textId="44780A68" w:rsidR="00A93F0F" w:rsidRPr="00E66367" w:rsidRDefault="00A6341B" w:rsidP="00A93F0F">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82" w:type="dxa"/>
            <w:tcBorders>
              <w:top w:val="nil"/>
              <w:left w:val="nil"/>
              <w:bottom w:val="nil"/>
              <w:right w:val="nil"/>
            </w:tcBorders>
            <w:shd w:val="clear" w:color="auto" w:fill="auto"/>
            <w:vAlign w:val="bottom"/>
          </w:tcPr>
          <w:p w14:paraId="09CA050C" w14:textId="4C341178" w:rsidR="00A93F0F" w:rsidRPr="00E66367" w:rsidRDefault="00A6341B" w:rsidP="00A93F0F">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78" w:type="dxa"/>
            <w:tcBorders>
              <w:top w:val="nil"/>
              <w:left w:val="nil"/>
              <w:bottom w:val="nil"/>
              <w:right w:val="nil"/>
            </w:tcBorders>
            <w:shd w:val="clear" w:color="auto" w:fill="auto"/>
            <w:vAlign w:val="bottom"/>
          </w:tcPr>
          <w:p w14:paraId="26306225" w14:textId="50E5610C" w:rsidR="00A93F0F" w:rsidRDefault="00A6341B" w:rsidP="00A93F0F">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105" w:type="dxa"/>
            <w:tcBorders>
              <w:top w:val="nil"/>
              <w:left w:val="nil"/>
              <w:bottom w:val="nil"/>
              <w:right w:val="nil"/>
            </w:tcBorders>
            <w:shd w:val="clear" w:color="auto" w:fill="auto"/>
            <w:vAlign w:val="bottom"/>
          </w:tcPr>
          <w:p w14:paraId="2931F58B" w14:textId="0AC8F483" w:rsidR="00A93F0F" w:rsidRPr="00423A2C" w:rsidRDefault="00A6341B" w:rsidP="00A93F0F">
            <w:pPr>
              <w:suppressAutoHyphens/>
              <w:autoSpaceDN w:val="0"/>
              <w:jc w:val="right"/>
              <w:rPr>
                <w:rFonts w:ascii="Arial" w:eastAsia="Times New Roman" w:hAnsi="Arial" w:cs="Arial"/>
                <w:b/>
                <w:bCs/>
                <w:sz w:val="18"/>
                <w:szCs w:val="18"/>
              </w:rPr>
            </w:pPr>
            <w:r w:rsidRPr="00423A2C">
              <w:rPr>
                <w:rFonts w:ascii="Arial" w:eastAsia="Times New Roman" w:hAnsi="Arial" w:cs="Arial"/>
                <w:b/>
                <w:bCs/>
                <w:sz w:val="18"/>
                <w:szCs w:val="18"/>
              </w:rPr>
              <w:t>-</w:t>
            </w:r>
          </w:p>
        </w:tc>
      </w:tr>
      <w:tr w:rsidR="00A67874" w:rsidRPr="003D1614" w14:paraId="3B8FF076" w14:textId="77777777" w:rsidTr="00A67874">
        <w:trPr>
          <w:trHeight w:val="174"/>
        </w:trPr>
        <w:tc>
          <w:tcPr>
            <w:tcW w:w="3918" w:type="dxa"/>
            <w:tcBorders>
              <w:top w:val="nil"/>
              <w:left w:val="nil"/>
              <w:bottom w:val="nil"/>
              <w:right w:val="nil"/>
            </w:tcBorders>
            <w:shd w:val="clear" w:color="auto" w:fill="auto"/>
            <w:vAlign w:val="bottom"/>
            <w:hideMark/>
          </w:tcPr>
          <w:p w14:paraId="2D6E9BCC" w14:textId="77777777" w:rsidR="00A67874" w:rsidRPr="003D1614" w:rsidRDefault="00A67874" w:rsidP="00A67874">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1</w:t>
            </w:r>
          </w:p>
        </w:tc>
        <w:tc>
          <w:tcPr>
            <w:tcW w:w="1081" w:type="dxa"/>
            <w:tcBorders>
              <w:top w:val="nil"/>
              <w:left w:val="nil"/>
              <w:bottom w:val="nil"/>
              <w:right w:val="nil"/>
            </w:tcBorders>
            <w:shd w:val="clear" w:color="auto" w:fill="auto"/>
            <w:vAlign w:val="bottom"/>
          </w:tcPr>
          <w:p w14:paraId="075BB75B" w14:textId="1168A174" w:rsidR="00A67874" w:rsidRPr="003D1614" w:rsidRDefault="00A6341B" w:rsidP="00A67874">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105" w:type="dxa"/>
            <w:tcBorders>
              <w:top w:val="nil"/>
              <w:left w:val="nil"/>
              <w:bottom w:val="nil"/>
              <w:right w:val="nil"/>
            </w:tcBorders>
            <w:shd w:val="clear" w:color="auto" w:fill="auto"/>
            <w:vAlign w:val="bottom"/>
          </w:tcPr>
          <w:p w14:paraId="6495D428" w14:textId="117B5BA9" w:rsidR="00A67874" w:rsidRPr="003D1614" w:rsidRDefault="00A6341B" w:rsidP="00A67874">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82" w:type="dxa"/>
            <w:tcBorders>
              <w:top w:val="nil"/>
              <w:left w:val="nil"/>
              <w:bottom w:val="nil"/>
              <w:right w:val="nil"/>
            </w:tcBorders>
            <w:shd w:val="clear" w:color="auto" w:fill="auto"/>
            <w:vAlign w:val="bottom"/>
          </w:tcPr>
          <w:p w14:paraId="62F8E1EA" w14:textId="048F12B2" w:rsidR="00A67874" w:rsidRPr="003D1614" w:rsidRDefault="00A6341B" w:rsidP="00A67874">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78" w:type="dxa"/>
            <w:tcBorders>
              <w:top w:val="nil"/>
              <w:left w:val="nil"/>
              <w:bottom w:val="nil"/>
              <w:right w:val="nil"/>
            </w:tcBorders>
            <w:shd w:val="clear" w:color="auto" w:fill="auto"/>
            <w:vAlign w:val="bottom"/>
          </w:tcPr>
          <w:p w14:paraId="00FFB09E" w14:textId="2D3B241E" w:rsidR="00A67874" w:rsidRPr="003D1614" w:rsidRDefault="00A6341B" w:rsidP="00A67874">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105" w:type="dxa"/>
            <w:tcBorders>
              <w:top w:val="nil"/>
              <w:left w:val="nil"/>
              <w:bottom w:val="nil"/>
              <w:right w:val="nil"/>
            </w:tcBorders>
            <w:shd w:val="clear" w:color="auto" w:fill="auto"/>
            <w:vAlign w:val="bottom"/>
          </w:tcPr>
          <w:p w14:paraId="6C27525F" w14:textId="5A58EF53" w:rsidR="00A67874" w:rsidRPr="00423A2C" w:rsidRDefault="00A6341B" w:rsidP="00A67874">
            <w:pPr>
              <w:suppressAutoHyphens/>
              <w:autoSpaceDN w:val="0"/>
              <w:jc w:val="right"/>
              <w:rPr>
                <w:rFonts w:ascii="Arial" w:eastAsia="Times New Roman" w:hAnsi="Arial" w:cs="Arial"/>
                <w:b/>
                <w:bCs/>
                <w:sz w:val="18"/>
                <w:szCs w:val="18"/>
              </w:rPr>
            </w:pPr>
            <w:r w:rsidRPr="00423A2C">
              <w:rPr>
                <w:rFonts w:ascii="Arial" w:eastAsia="Times New Roman" w:hAnsi="Arial" w:cs="Arial"/>
                <w:b/>
                <w:bCs/>
                <w:sz w:val="18"/>
                <w:szCs w:val="18"/>
              </w:rPr>
              <w:t>-</w:t>
            </w:r>
          </w:p>
        </w:tc>
      </w:tr>
      <w:tr w:rsidR="00A67874" w:rsidRPr="003D1614" w14:paraId="4E9F2D0B" w14:textId="77777777" w:rsidTr="00A67874">
        <w:trPr>
          <w:trHeight w:val="174"/>
        </w:trPr>
        <w:tc>
          <w:tcPr>
            <w:tcW w:w="3918" w:type="dxa"/>
            <w:tcBorders>
              <w:top w:val="nil"/>
              <w:left w:val="nil"/>
              <w:bottom w:val="nil"/>
              <w:right w:val="nil"/>
            </w:tcBorders>
            <w:shd w:val="clear" w:color="auto" w:fill="auto"/>
            <w:vAlign w:val="bottom"/>
          </w:tcPr>
          <w:p w14:paraId="1C08BE1B" w14:textId="77777777" w:rsidR="00A67874" w:rsidRPr="003D1614" w:rsidRDefault="00A67874" w:rsidP="00A67874">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2</w:t>
            </w:r>
          </w:p>
        </w:tc>
        <w:tc>
          <w:tcPr>
            <w:tcW w:w="1081" w:type="dxa"/>
            <w:tcBorders>
              <w:top w:val="nil"/>
              <w:left w:val="nil"/>
              <w:bottom w:val="nil"/>
              <w:right w:val="nil"/>
            </w:tcBorders>
            <w:shd w:val="clear" w:color="auto" w:fill="auto"/>
            <w:vAlign w:val="bottom"/>
          </w:tcPr>
          <w:p w14:paraId="1671C01E" w14:textId="760695AF" w:rsidR="00A67874" w:rsidRPr="003D1614" w:rsidRDefault="00A6341B" w:rsidP="00A67874">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105" w:type="dxa"/>
            <w:tcBorders>
              <w:top w:val="nil"/>
              <w:left w:val="nil"/>
              <w:bottom w:val="nil"/>
              <w:right w:val="nil"/>
            </w:tcBorders>
            <w:shd w:val="clear" w:color="auto" w:fill="auto"/>
            <w:vAlign w:val="bottom"/>
          </w:tcPr>
          <w:p w14:paraId="24E3FC1E" w14:textId="0E4F40F3" w:rsidR="00A67874" w:rsidRPr="003D1614" w:rsidRDefault="00A6341B" w:rsidP="00A67874">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82" w:type="dxa"/>
            <w:tcBorders>
              <w:top w:val="nil"/>
              <w:left w:val="nil"/>
              <w:bottom w:val="nil"/>
              <w:right w:val="nil"/>
            </w:tcBorders>
            <w:shd w:val="clear" w:color="auto" w:fill="auto"/>
            <w:vAlign w:val="bottom"/>
          </w:tcPr>
          <w:p w14:paraId="594BCDBC" w14:textId="7FCCF1EE" w:rsidR="00A67874" w:rsidRPr="003D1614" w:rsidRDefault="00A6341B" w:rsidP="00A67874">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78" w:type="dxa"/>
            <w:tcBorders>
              <w:top w:val="nil"/>
              <w:left w:val="nil"/>
              <w:bottom w:val="nil"/>
              <w:right w:val="nil"/>
            </w:tcBorders>
            <w:shd w:val="clear" w:color="auto" w:fill="auto"/>
            <w:vAlign w:val="bottom"/>
          </w:tcPr>
          <w:p w14:paraId="4C208009" w14:textId="6ECC4334" w:rsidR="00A67874" w:rsidRPr="003D1614" w:rsidRDefault="00A6341B" w:rsidP="00A67874">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105" w:type="dxa"/>
            <w:tcBorders>
              <w:top w:val="nil"/>
              <w:left w:val="nil"/>
              <w:bottom w:val="nil"/>
              <w:right w:val="nil"/>
            </w:tcBorders>
            <w:shd w:val="clear" w:color="auto" w:fill="auto"/>
            <w:vAlign w:val="bottom"/>
          </w:tcPr>
          <w:p w14:paraId="15DCB1D6" w14:textId="20E223AA" w:rsidR="00A67874" w:rsidRPr="00423A2C" w:rsidRDefault="00A6341B" w:rsidP="00A67874">
            <w:pPr>
              <w:suppressAutoHyphens/>
              <w:autoSpaceDN w:val="0"/>
              <w:jc w:val="right"/>
              <w:rPr>
                <w:rFonts w:ascii="Arial" w:eastAsia="Times New Roman" w:hAnsi="Arial" w:cs="Arial"/>
                <w:b/>
                <w:bCs/>
                <w:sz w:val="18"/>
                <w:szCs w:val="18"/>
              </w:rPr>
            </w:pPr>
            <w:r w:rsidRPr="00423A2C">
              <w:rPr>
                <w:rFonts w:ascii="Arial" w:eastAsia="Times New Roman" w:hAnsi="Arial" w:cs="Arial"/>
                <w:b/>
                <w:bCs/>
                <w:sz w:val="18"/>
                <w:szCs w:val="18"/>
              </w:rPr>
              <w:t>-</w:t>
            </w:r>
          </w:p>
        </w:tc>
      </w:tr>
      <w:tr w:rsidR="00A67874" w:rsidRPr="003D1614" w14:paraId="6F87C678" w14:textId="77777777" w:rsidTr="00A67874">
        <w:trPr>
          <w:trHeight w:val="174"/>
        </w:trPr>
        <w:tc>
          <w:tcPr>
            <w:tcW w:w="3918" w:type="dxa"/>
            <w:tcBorders>
              <w:top w:val="nil"/>
              <w:left w:val="nil"/>
              <w:bottom w:val="nil"/>
              <w:right w:val="nil"/>
            </w:tcBorders>
            <w:shd w:val="clear" w:color="auto" w:fill="auto"/>
            <w:vAlign w:val="bottom"/>
          </w:tcPr>
          <w:p w14:paraId="4B8FD1B7" w14:textId="77777777" w:rsidR="00A67874" w:rsidRPr="003D1614" w:rsidRDefault="00A67874" w:rsidP="00A67874">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3</w:t>
            </w:r>
          </w:p>
        </w:tc>
        <w:tc>
          <w:tcPr>
            <w:tcW w:w="1081" w:type="dxa"/>
            <w:tcBorders>
              <w:top w:val="nil"/>
              <w:left w:val="nil"/>
              <w:bottom w:val="nil"/>
              <w:right w:val="nil"/>
            </w:tcBorders>
            <w:shd w:val="clear" w:color="auto" w:fill="auto"/>
            <w:vAlign w:val="bottom"/>
          </w:tcPr>
          <w:p w14:paraId="676D47B3" w14:textId="75A963C4" w:rsidR="00A67874" w:rsidRPr="003D1614" w:rsidRDefault="00A6341B" w:rsidP="00A67874">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105" w:type="dxa"/>
            <w:tcBorders>
              <w:top w:val="nil"/>
              <w:left w:val="nil"/>
              <w:bottom w:val="nil"/>
              <w:right w:val="nil"/>
            </w:tcBorders>
            <w:shd w:val="clear" w:color="auto" w:fill="auto"/>
            <w:vAlign w:val="bottom"/>
          </w:tcPr>
          <w:p w14:paraId="66647F48" w14:textId="7E654684" w:rsidR="00A67874" w:rsidRPr="003D1614" w:rsidRDefault="00A6341B" w:rsidP="00A67874">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82" w:type="dxa"/>
            <w:tcBorders>
              <w:top w:val="nil"/>
              <w:left w:val="nil"/>
              <w:bottom w:val="nil"/>
              <w:right w:val="nil"/>
            </w:tcBorders>
            <w:shd w:val="clear" w:color="auto" w:fill="auto"/>
            <w:vAlign w:val="bottom"/>
          </w:tcPr>
          <w:p w14:paraId="3873E485" w14:textId="746A2B4C" w:rsidR="00A67874" w:rsidRPr="003D1614" w:rsidRDefault="00A6341B" w:rsidP="00A67874">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78" w:type="dxa"/>
            <w:tcBorders>
              <w:top w:val="nil"/>
              <w:left w:val="nil"/>
              <w:bottom w:val="nil"/>
              <w:right w:val="nil"/>
            </w:tcBorders>
            <w:shd w:val="clear" w:color="auto" w:fill="auto"/>
            <w:vAlign w:val="bottom"/>
          </w:tcPr>
          <w:p w14:paraId="5112835A" w14:textId="280BFBEC" w:rsidR="00A67874" w:rsidRPr="003D1614" w:rsidRDefault="00A6341B" w:rsidP="00A67874">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105" w:type="dxa"/>
            <w:tcBorders>
              <w:top w:val="nil"/>
              <w:left w:val="nil"/>
              <w:bottom w:val="nil"/>
              <w:right w:val="nil"/>
            </w:tcBorders>
            <w:shd w:val="clear" w:color="auto" w:fill="auto"/>
            <w:vAlign w:val="bottom"/>
          </w:tcPr>
          <w:p w14:paraId="4E460702" w14:textId="1E7EE270" w:rsidR="00A67874" w:rsidRPr="00423A2C" w:rsidRDefault="00A6341B" w:rsidP="00A67874">
            <w:pPr>
              <w:suppressAutoHyphens/>
              <w:autoSpaceDN w:val="0"/>
              <w:jc w:val="right"/>
              <w:rPr>
                <w:rFonts w:ascii="Arial" w:eastAsia="Times New Roman" w:hAnsi="Arial" w:cs="Arial"/>
                <w:b/>
                <w:bCs/>
                <w:sz w:val="18"/>
                <w:szCs w:val="18"/>
              </w:rPr>
            </w:pPr>
            <w:r w:rsidRPr="00423A2C">
              <w:rPr>
                <w:rFonts w:ascii="Arial" w:eastAsia="Times New Roman" w:hAnsi="Arial" w:cs="Arial"/>
                <w:b/>
                <w:bCs/>
                <w:sz w:val="18"/>
                <w:szCs w:val="18"/>
              </w:rPr>
              <w:t>-</w:t>
            </w:r>
          </w:p>
        </w:tc>
      </w:tr>
      <w:tr w:rsidR="00A67874" w:rsidRPr="003D1614" w14:paraId="77D94140" w14:textId="77777777" w:rsidTr="00A67874">
        <w:trPr>
          <w:trHeight w:val="249"/>
        </w:trPr>
        <w:tc>
          <w:tcPr>
            <w:tcW w:w="3918" w:type="dxa"/>
            <w:tcBorders>
              <w:top w:val="nil"/>
              <w:left w:val="nil"/>
              <w:bottom w:val="nil"/>
              <w:right w:val="nil"/>
            </w:tcBorders>
            <w:shd w:val="clear" w:color="auto" w:fill="auto"/>
            <w:vAlign w:val="bottom"/>
            <w:hideMark/>
          </w:tcPr>
          <w:p w14:paraId="46D5D544" w14:textId="36091882" w:rsidR="00A67874" w:rsidRPr="003D1614" w:rsidRDefault="00A67874" w:rsidP="00A67874">
            <w:pPr>
              <w:suppressAutoHyphens/>
              <w:autoSpaceDN w:val="0"/>
              <w:rPr>
                <w:rFonts w:ascii="Arial" w:eastAsia="Calibri" w:hAnsi="Arial" w:cs="Arial"/>
                <w:color w:val="000000" w:themeColor="text1"/>
                <w:sz w:val="18"/>
                <w:szCs w:val="18"/>
              </w:rPr>
            </w:pPr>
            <w:r w:rsidRPr="00A93F0F">
              <w:rPr>
                <w:rFonts w:ascii="Arial" w:eastAsia="Calibri" w:hAnsi="Arial" w:cs="Arial"/>
                <w:color w:val="000000" w:themeColor="text1"/>
                <w:sz w:val="18"/>
                <w:szCs w:val="18"/>
              </w:rPr>
              <w:t xml:space="preserve">Neto </w:t>
            </w:r>
            <w:r w:rsidR="00215793">
              <w:rPr>
                <w:rFonts w:ascii="Arial" w:eastAsia="Calibri" w:hAnsi="Arial" w:cs="Arial"/>
                <w:color w:val="000000" w:themeColor="text1"/>
                <w:sz w:val="18"/>
                <w:szCs w:val="18"/>
              </w:rPr>
              <w:t>(</w:t>
            </w:r>
            <w:r w:rsidRPr="00A67874">
              <w:rPr>
                <w:rFonts w:ascii="Arial" w:eastAsia="Calibri" w:hAnsi="Arial" w:cs="Arial"/>
                <w:color w:val="000000" w:themeColor="text1"/>
                <w:sz w:val="18"/>
                <w:szCs w:val="18"/>
              </w:rPr>
              <w:t>smanjenje)</w:t>
            </w:r>
            <w:r w:rsidR="00215793">
              <w:rPr>
                <w:rFonts w:ascii="Arial" w:eastAsia="Calibri" w:hAnsi="Arial" w:cs="Arial"/>
                <w:color w:val="000000" w:themeColor="text1"/>
                <w:sz w:val="18"/>
                <w:szCs w:val="18"/>
              </w:rPr>
              <w:t>/povećanje</w:t>
            </w:r>
            <w:r w:rsidRPr="003D1614">
              <w:rPr>
                <w:rFonts w:ascii="Arial" w:eastAsia="Calibri" w:hAnsi="Arial" w:cs="Arial"/>
                <w:color w:val="000000" w:themeColor="text1"/>
                <w:sz w:val="18"/>
                <w:szCs w:val="18"/>
              </w:rPr>
              <w:t xml:space="preserve"> rezerviranja za očekivane gubitke </w:t>
            </w:r>
          </w:p>
        </w:tc>
        <w:tc>
          <w:tcPr>
            <w:tcW w:w="1081" w:type="dxa"/>
            <w:tcBorders>
              <w:top w:val="nil"/>
              <w:left w:val="nil"/>
              <w:bottom w:val="nil"/>
              <w:right w:val="nil"/>
            </w:tcBorders>
            <w:shd w:val="clear" w:color="auto" w:fill="auto"/>
            <w:vAlign w:val="bottom"/>
          </w:tcPr>
          <w:p w14:paraId="14636C4B" w14:textId="3BFBA1AC" w:rsidR="00A67874" w:rsidRPr="003D1614" w:rsidRDefault="00215793" w:rsidP="00A67874">
            <w:pPr>
              <w:suppressAutoHyphens/>
              <w:autoSpaceDN w:val="0"/>
              <w:jc w:val="right"/>
              <w:rPr>
                <w:rFonts w:ascii="Arial" w:eastAsia="Times New Roman" w:hAnsi="Arial" w:cs="Arial"/>
                <w:sz w:val="18"/>
                <w:szCs w:val="18"/>
              </w:rPr>
            </w:pPr>
            <w:r>
              <w:rPr>
                <w:rFonts w:ascii="Arial" w:eastAsia="Times New Roman" w:hAnsi="Arial" w:cs="Arial"/>
                <w:sz w:val="18"/>
                <w:szCs w:val="18"/>
              </w:rPr>
              <w:t>(219)</w:t>
            </w:r>
          </w:p>
        </w:tc>
        <w:tc>
          <w:tcPr>
            <w:tcW w:w="1105" w:type="dxa"/>
            <w:tcBorders>
              <w:top w:val="nil"/>
              <w:left w:val="nil"/>
              <w:bottom w:val="nil"/>
              <w:right w:val="nil"/>
            </w:tcBorders>
            <w:shd w:val="clear" w:color="auto" w:fill="auto"/>
            <w:vAlign w:val="bottom"/>
          </w:tcPr>
          <w:p w14:paraId="453E43E0" w14:textId="32134208" w:rsidR="00A67874" w:rsidRPr="003D1614" w:rsidRDefault="00215793" w:rsidP="00A67874">
            <w:pPr>
              <w:suppressAutoHyphens/>
              <w:autoSpaceDN w:val="0"/>
              <w:jc w:val="right"/>
              <w:rPr>
                <w:rFonts w:ascii="Arial" w:eastAsia="Times New Roman" w:hAnsi="Arial" w:cs="Arial"/>
                <w:sz w:val="18"/>
                <w:szCs w:val="18"/>
              </w:rPr>
            </w:pPr>
            <w:r>
              <w:rPr>
                <w:rFonts w:ascii="Arial" w:eastAsia="Times New Roman" w:hAnsi="Arial" w:cs="Arial"/>
                <w:sz w:val="18"/>
                <w:szCs w:val="18"/>
              </w:rPr>
              <w:t>13</w:t>
            </w:r>
          </w:p>
        </w:tc>
        <w:tc>
          <w:tcPr>
            <w:tcW w:w="1082" w:type="dxa"/>
            <w:tcBorders>
              <w:top w:val="nil"/>
              <w:left w:val="nil"/>
              <w:bottom w:val="nil"/>
              <w:right w:val="nil"/>
            </w:tcBorders>
            <w:shd w:val="clear" w:color="auto" w:fill="auto"/>
            <w:vAlign w:val="bottom"/>
          </w:tcPr>
          <w:p w14:paraId="00BEBEEC" w14:textId="17D1D47C" w:rsidR="00A67874" w:rsidRPr="003D1614" w:rsidRDefault="00215793" w:rsidP="00A67874">
            <w:pPr>
              <w:suppressAutoHyphens/>
              <w:autoSpaceDN w:val="0"/>
              <w:jc w:val="right"/>
              <w:rPr>
                <w:rFonts w:ascii="Arial" w:eastAsia="Times New Roman" w:hAnsi="Arial" w:cs="Arial"/>
                <w:sz w:val="18"/>
                <w:szCs w:val="18"/>
              </w:rPr>
            </w:pPr>
            <w:r>
              <w:rPr>
                <w:rFonts w:ascii="Arial" w:eastAsia="Times New Roman" w:hAnsi="Arial" w:cs="Arial"/>
                <w:sz w:val="18"/>
                <w:szCs w:val="18"/>
              </w:rPr>
              <w:t>(19)</w:t>
            </w:r>
          </w:p>
        </w:tc>
        <w:tc>
          <w:tcPr>
            <w:tcW w:w="1078" w:type="dxa"/>
            <w:tcBorders>
              <w:top w:val="nil"/>
              <w:left w:val="nil"/>
              <w:bottom w:val="nil"/>
              <w:right w:val="nil"/>
            </w:tcBorders>
            <w:shd w:val="clear" w:color="auto" w:fill="auto"/>
            <w:vAlign w:val="bottom"/>
          </w:tcPr>
          <w:p w14:paraId="30AF0F58" w14:textId="31B94DF1" w:rsidR="00A67874" w:rsidRPr="003D1614" w:rsidRDefault="00D40825" w:rsidP="00A67874">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105" w:type="dxa"/>
            <w:tcBorders>
              <w:top w:val="nil"/>
              <w:left w:val="nil"/>
              <w:bottom w:val="nil"/>
              <w:right w:val="nil"/>
            </w:tcBorders>
            <w:shd w:val="clear" w:color="auto" w:fill="auto"/>
            <w:vAlign w:val="bottom"/>
          </w:tcPr>
          <w:p w14:paraId="46EC71DF" w14:textId="54A6D316" w:rsidR="00A67874" w:rsidRPr="00423A2C" w:rsidRDefault="00D40825" w:rsidP="00A67874">
            <w:pPr>
              <w:suppressAutoHyphens/>
              <w:autoSpaceDN w:val="0"/>
              <w:jc w:val="right"/>
              <w:rPr>
                <w:rFonts w:ascii="Arial" w:eastAsia="Times New Roman" w:hAnsi="Arial" w:cs="Arial"/>
                <w:b/>
                <w:bCs/>
                <w:sz w:val="18"/>
                <w:szCs w:val="18"/>
              </w:rPr>
            </w:pPr>
            <w:r w:rsidRPr="00423A2C">
              <w:rPr>
                <w:rFonts w:ascii="Arial" w:eastAsia="Times New Roman" w:hAnsi="Arial" w:cs="Arial"/>
                <w:b/>
                <w:bCs/>
                <w:sz w:val="18"/>
                <w:szCs w:val="18"/>
              </w:rPr>
              <w:t>(225)</w:t>
            </w:r>
          </w:p>
        </w:tc>
      </w:tr>
      <w:tr w:rsidR="00A67874" w:rsidRPr="003D1614" w14:paraId="7A42882C" w14:textId="77777777" w:rsidTr="00A67874">
        <w:trPr>
          <w:trHeight w:val="182"/>
        </w:trPr>
        <w:tc>
          <w:tcPr>
            <w:tcW w:w="3918" w:type="dxa"/>
            <w:tcBorders>
              <w:top w:val="nil"/>
              <w:left w:val="nil"/>
              <w:bottom w:val="nil"/>
              <w:right w:val="nil"/>
            </w:tcBorders>
            <w:shd w:val="clear" w:color="auto" w:fill="auto"/>
            <w:vAlign w:val="bottom"/>
            <w:hideMark/>
          </w:tcPr>
          <w:p w14:paraId="6EE08954" w14:textId="5A062984" w:rsidR="00A67874" w:rsidRPr="003D1614" w:rsidRDefault="00A67874" w:rsidP="00A67874">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 xml:space="preserve">Stanje </w:t>
            </w:r>
            <w:r w:rsidRPr="00A2708A">
              <w:rPr>
                <w:rFonts w:ascii="Arial" w:eastAsia="Calibri" w:hAnsi="Arial" w:cs="Arial"/>
                <w:b/>
                <w:bCs/>
                <w:color w:val="000000" w:themeColor="text1"/>
                <w:sz w:val="18"/>
                <w:szCs w:val="18"/>
              </w:rPr>
              <w:t>30. rujna 202</w:t>
            </w:r>
            <w:r w:rsidR="00BE4BE8">
              <w:rPr>
                <w:rFonts w:ascii="Arial" w:eastAsia="Calibri" w:hAnsi="Arial" w:cs="Arial"/>
                <w:b/>
                <w:bCs/>
                <w:color w:val="000000" w:themeColor="text1"/>
                <w:sz w:val="18"/>
                <w:szCs w:val="18"/>
              </w:rPr>
              <w:t>4</w:t>
            </w:r>
            <w:r w:rsidRPr="00A2708A">
              <w:rPr>
                <w:rFonts w:ascii="Arial" w:eastAsia="Calibri" w:hAnsi="Arial" w:cs="Arial"/>
                <w:b/>
                <w:bCs/>
                <w:color w:val="000000" w:themeColor="text1"/>
                <w:sz w:val="18"/>
                <w:szCs w:val="18"/>
              </w:rPr>
              <w:t>.</w:t>
            </w:r>
          </w:p>
        </w:tc>
        <w:tc>
          <w:tcPr>
            <w:tcW w:w="1081" w:type="dxa"/>
            <w:tcBorders>
              <w:top w:val="single" w:sz="4" w:space="0" w:color="auto"/>
              <w:left w:val="nil"/>
              <w:bottom w:val="single" w:sz="12" w:space="0" w:color="auto"/>
              <w:right w:val="nil"/>
            </w:tcBorders>
            <w:shd w:val="clear" w:color="auto" w:fill="auto"/>
          </w:tcPr>
          <w:p w14:paraId="37013CA0" w14:textId="00BC3F7D" w:rsidR="00A67874" w:rsidRPr="003D1614" w:rsidRDefault="00D40825" w:rsidP="00A67874">
            <w:pPr>
              <w:suppressAutoHyphens/>
              <w:autoSpaceDN w:val="0"/>
              <w:jc w:val="right"/>
              <w:rPr>
                <w:rFonts w:ascii="Arial" w:eastAsia="Times New Roman" w:hAnsi="Arial" w:cs="Arial"/>
                <w:b/>
                <w:bCs/>
                <w:sz w:val="18"/>
                <w:szCs w:val="18"/>
              </w:rPr>
            </w:pPr>
            <w:r>
              <w:rPr>
                <w:rFonts w:ascii="Arial" w:eastAsia="Times New Roman" w:hAnsi="Arial" w:cs="Arial"/>
                <w:b/>
                <w:bCs/>
                <w:sz w:val="18"/>
                <w:szCs w:val="18"/>
              </w:rPr>
              <w:t>3.944</w:t>
            </w:r>
          </w:p>
        </w:tc>
        <w:tc>
          <w:tcPr>
            <w:tcW w:w="1105" w:type="dxa"/>
            <w:tcBorders>
              <w:top w:val="single" w:sz="4" w:space="0" w:color="auto"/>
              <w:left w:val="nil"/>
              <w:bottom w:val="single" w:sz="12" w:space="0" w:color="auto"/>
              <w:right w:val="nil"/>
            </w:tcBorders>
            <w:shd w:val="clear" w:color="auto" w:fill="auto"/>
          </w:tcPr>
          <w:p w14:paraId="457F8930" w14:textId="3F8E20C8" w:rsidR="00A67874" w:rsidRPr="003D1614" w:rsidRDefault="00D40825" w:rsidP="00A67874">
            <w:pPr>
              <w:suppressAutoHyphens/>
              <w:autoSpaceDN w:val="0"/>
              <w:jc w:val="right"/>
              <w:rPr>
                <w:rFonts w:ascii="Arial" w:eastAsia="Times New Roman" w:hAnsi="Arial" w:cs="Arial"/>
                <w:b/>
                <w:bCs/>
                <w:sz w:val="18"/>
                <w:szCs w:val="18"/>
              </w:rPr>
            </w:pPr>
            <w:r>
              <w:rPr>
                <w:rFonts w:ascii="Arial" w:eastAsia="Times New Roman" w:hAnsi="Arial" w:cs="Arial"/>
                <w:b/>
                <w:bCs/>
                <w:sz w:val="18"/>
                <w:szCs w:val="18"/>
              </w:rPr>
              <w:t>1.720</w:t>
            </w:r>
          </w:p>
        </w:tc>
        <w:tc>
          <w:tcPr>
            <w:tcW w:w="1082" w:type="dxa"/>
            <w:tcBorders>
              <w:top w:val="single" w:sz="4" w:space="0" w:color="auto"/>
              <w:left w:val="nil"/>
              <w:bottom w:val="single" w:sz="12" w:space="0" w:color="auto"/>
              <w:right w:val="nil"/>
            </w:tcBorders>
            <w:shd w:val="clear" w:color="auto" w:fill="auto"/>
          </w:tcPr>
          <w:p w14:paraId="48BEBFB8" w14:textId="392FF4F5" w:rsidR="00A67874" w:rsidRPr="003D1614" w:rsidRDefault="001C084A" w:rsidP="00A67874">
            <w:pPr>
              <w:suppressAutoHyphens/>
              <w:autoSpaceDN w:val="0"/>
              <w:jc w:val="right"/>
              <w:rPr>
                <w:rFonts w:ascii="Arial" w:eastAsia="Times New Roman" w:hAnsi="Arial" w:cs="Arial"/>
                <w:b/>
                <w:bCs/>
                <w:sz w:val="18"/>
                <w:szCs w:val="18"/>
              </w:rPr>
            </w:pPr>
            <w:r>
              <w:rPr>
                <w:rFonts w:ascii="Arial" w:eastAsia="Times New Roman" w:hAnsi="Arial" w:cs="Arial"/>
                <w:b/>
                <w:bCs/>
                <w:sz w:val="18"/>
                <w:szCs w:val="18"/>
              </w:rPr>
              <w:t>838</w:t>
            </w:r>
          </w:p>
        </w:tc>
        <w:tc>
          <w:tcPr>
            <w:tcW w:w="1078" w:type="dxa"/>
            <w:tcBorders>
              <w:top w:val="single" w:sz="4" w:space="0" w:color="auto"/>
              <w:left w:val="nil"/>
              <w:bottom w:val="single" w:sz="12" w:space="0" w:color="auto"/>
              <w:right w:val="nil"/>
            </w:tcBorders>
            <w:shd w:val="clear" w:color="auto" w:fill="auto"/>
          </w:tcPr>
          <w:p w14:paraId="58CDC20B" w14:textId="7FD527BA" w:rsidR="00A67874" w:rsidRPr="003D1614" w:rsidRDefault="001C084A" w:rsidP="00A67874">
            <w:pPr>
              <w:suppressAutoHyphens/>
              <w:autoSpaceDN w:val="0"/>
              <w:jc w:val="right"/>
              <w:rPr>
                <w:rFonts w:ascii="Arial" w:eastAsia="Times New Roman" w:hAnsi="Arial" w:cs="Arial"/>
                <w:b/>
                <w:bCs/>
                <w:sz w:val="18"/>
                <w:szCs w:val="18"/>
              </w:rPr>
            </w:pPr>
            <w:r>
              <w:rPr>
                <w:rFonts w:ascii="Arial" w:eastAsia="Times New Roman" w:hAnsi="Arial" w:cs="Arial"/>
                <w:b/>
                <w:bCs/>
                <w:sz w:val="18"/>
                <w:szCs w:val="18"/>
              </w:rPr>
              <w:t>-</w:t>
            </w:r>
          </w:p>
        </w:tc>
        <w:tc>
          <w:tcPr>
            <w:tcW w:w="1105" w:type="dxa"/>
            <w:tcBorders>
              <w:top w:val="single" w:sz="4" w:space="0" w:color="auto"/>
              <w:left w:val="nil"/>
              <w:bottom w:val="single" w:sz="12" w:space="0" w:color="auto"/>
              <w:right w:val="nil"/>
            </w:tcBorders>
            <w:shd w:val="clear" w:color="auto" w:fill="auto"/>
          </w:tcPr>
          <w:p w14:paraId="689A15C8" w14:textId="10C1148D" w:rsidR="00A67874" w:rsidRPr="003D1614" w:rsidRDefault="001C084A" w:rsidP="00A67874">
            <w:pPr>
              <w:suppressAutoHyphens/>
              <w:autoSpaceDN w:val="0"/>
              <w:jc w:val="right"/>
              <w:rPr>
                <w:rFonts w:ascii="Arial" w:eastAsia="Times New Roman" w:hAnsi="Arial" w:cs="Arial"/>
                <w:b/>
                <w:bCs/>
                <w:sz w:val="18"/>
                <w:szCs w:val="18"/>
              </w:rPr>
            </w:pPr>
            <w:r>
              <w:rPr>
                <w:rFonts w:ascii="Arial" w:eastAsia="Times New Roman" w:hAnsi="Arial" w:cs="Arial"/>
                <w:b/>
                <w:bCs/>
                <w:sz w:val="18"/>
                <w:szCs w:val="18"/>
              </w:rPr>
              <w:t>6.502</w:t>
            </w:r>
          </w:p>
        </w:tc>
      </w:tr>
      <w:bookmarkEnd w:id="743"/>
    </w:tbl>
    <w:p w14:paraId="656EFD1D"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6DF1288F" w14:textId="6039BC8D"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tbl>
      <w:tblPr>
        <w:tblW w:w="9369" w:type="dxa"/>
        <w:tblInd w:w="-180" w:type="dxa"/>
        <w:tblLook w:val="04A0" w:firstRow="1" w:lastRow="0" w:firstColumn="1" w:lastColumn="0" w:noHBand="0" w:noVBand="1"/>
      </w:tblPr>
      <w:tblGrid>
        <w:gridCol w:w="3946"/>
        <w:gridCol w:w="1084"/>
        <w:gridCol w:w="1084"/>
        <w:gridCol w:w="1085"/>
        <w:gridCol w:w="1084"/>
        <w:gridCol w:w="1086"/>
      </w:tblGrid>
      <w:tr w:rsidR="00EE0D57" w:rsidRPr="001B015B" w14:paraId="4497EC48" w14:textId="77777777" w:rsidTr="0034622E">
        <w:trPr>
          <w:trHeight w:val="174"/>
        </w:trPr>
        <w:tc>
          <w:tcPr>
            <w:tcW w:w="3946" w:type="dxa"/>
            <w:tcBorders>
              <w:top w:val="nil"/>
              <w:left w:val="nil"/>
              <w:bottom w:val="nil"/>
              <w:right w:val="nil"/>
            </w:tcBorders>
            <w:shd w:val="clear" w:color="auto" w:fill="auto"/>
            <w:vAlign w:val="center"/>
          </w:tcPr>
          <w:p w14:paraId="686F97D4" w14:textId="77777777" w:rsidR="00EE0D57" w:rsidRPr="001B015B" w:rsidRDefault="00EE0D57" w:rsidP="0034622E">
            <w:pPr>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Grupa i Banka</w:t>
            </w:r>
          </w:p>
        </w:tc>
        <w:tc>
          <w:tcPr>
            <w:tcW w:w="1084" w:type="dxa"/>
            <w:tcBorders>
              <w:top w:val="nil"/>
              <w:left w:val="nil"/>
              <w:bottom w:val="nil"/>
              <w:right w:val="nil"/>
            </w:tcBorders>
            <w:shd w:val="clear" w:color="auto" w:fill="auto"/>
            <w:vAlign w:val="center"/>
          </w:tcPr>
          <w:p w14:paraId="1C209176" w14:textId="77777777" w:rsidR="00EE0D57" w:rsidRPr="001B015B" w:rsidRDefault="00EE0D57" w:rsidP="0034622E">
            <w:pPr>
              <w:jc w:val="right"/>
              <w:rPr>
                <w:rFonts w:ascii="Arial" w:eastAsia="Calibri" w:hAnsi="Arial" w:cs="Arial"/>
                <w:b/>
                <w:bCs/>
                <w:color w:val="000000" w:themeColor="text1"/>
                <w:sz w:val="18"/>
                <w:szCs w:val="18"/>
              </w:rPr>
            </w:pPr>
          </w:p>
        </w:tc>
        <w:tc>
          <w:tcPr>
            <w:tcW w:w="1084" w:type="dxa"/>
            <w:tcBorders>
              <w:top w:val="nil"/>
              <w:left w:val="nil"/>
              <w:bottom w:val="nil"/>
              <w:right w:val="nil"/>
            </w:tcBorders>
            <w:shd w:val="clear" w:color="auto" w:fill="auto"/>
            <w:vAlign w:val="center"/>
          </w:tcPr>
          <w:p w14:paraId="28790F7F" w14:textId="77777777" w:rsidR="00EE0D57" w:rsidRPr="001B015B" w:rsidRDefault="00EE0D57" w:rsidP="0034622E">
            <w:pPr>
              <w:jc w:val="right"/>
              <w:rPr>
                <w:rFonts w:ascii="Arial" w:eastAsia="Calibri" w:hAnsi="Arial" w:cs="Arial"/>
                <w:b/>
                <w:bCs/>
                <w:color w:val="000000" w:themeColor="text1"/>
                <w:sz w:val="18"/>
                <w:szCs w:val="18"/>
              </w:rPr>
            </w:pPr>
          </w:p>
        </w:tc>
        <w:tc>
          <w:tcPr>
            <w:tcW w:w="1085" w:type="dxa"/>
            <w:tcBorders>
              <w:top w:val="nil"/>
              <w:left w:val="nil"/>
              <w:bottom w:val="nil"/>
              <w:right w:val="nil"/>
            </w:tcBorders>
            <w:shd w:val="clear" w:color="auto" w:fill="auto"/>
            <w:vAlign w:val="center"/>
          </w:tcPr>
          <w:p w14:paraId="47543462" w14:textId="77777777" w:rsidR="00EE0D57" w:rsidRPr="001B015B" w:rsidRDefault="00EE0D57" w:rsidP="0034622E">
            <w:pPr>
              <w:jc w:val="right"/>
              <w:rPr>
                <w:rFonts w:ascii="Arial" w:eastAsia="Calibri" w:hAnsi="Arial" w:cs="Arial"/>
                <w:b/>
                <w:bCs/>
                <w:color w:val="000000" w:themeColor="text1"/>
                <w:sz w:val="18"/>
                <w:szCs w:val="18"/>
              </w:rPr>
            </w:pPr>
          </w:p>
        </w:tc>
        <w:tc>
          <w:tcPr>
            <w:tcW w:w="1084" w:type="dxa"/>
            <w:tcBorders>
              <w:top w:val="nil"/>
              <w:left w:val="nil"/>
              <w:bottom w:val="nil"/>
              <w:right w:val="nil"/>
            </w:tcBorders>
            <w:shd w:val="clear" w:color="auto" w:fill="auto"/>
            <w:vAlign w:val="center"/>
          </w:tcPr>
          <w:p w14:paraId="046A64C1" w14:textId="77777777" w:rsidR="00EE0D57" w:rsidRPr="001B015B" w:rsidRDefault="00EE0D57" w:rsidP="0034622E">
            <w:pPr>
              <w:jc w:val="right"/>
              <w:rPr>
                <w:rFonts w:ascii="Arial" w:eastAsia="Calibri" w:hAnsi="Arial" w:cs="Arial"/>
                <w:b/>
                <w:bCs/>
                <w:color w:val="000000" w:themeColor="text1"/>
                <w:sz w:val="18"/>
                <w:szCs w:val="18"/>
              </w:rPr>
            </w:pPr>
          </w:p>
        </w:tc>
        <w:tc>
          <w:tcPr>
            <w:tcW w:w="1086" w:type="dxa"/>
            <w:tcBorders>
              <w:top w:val="nil"/>
              <w:left w:val="nil"/>
              <w:bottom w:val="nil"/>
              <w:right w:val="nil"/>
            </w:tcBorders>
            <w:shd w:val="clear" w:color="auto" w:fill="auto"/>
            <w:vAlign w:val="center"/>
          </w:tcPr>
          <w:p w14:paraId="00A7E8BB" w14:textId="77777777" w:rsidR="00EE0D57" w:rsidRPr="001B015B" w:rsidRDefault="00EE0D57" w:rsidP="0034622E">
            <w:pPr>
              <w:jc w:val="right"/>
              <w:rPr>
                <w:rFonts w:ascii="Arial" w:eastAsia="Calibri" w:hAnsi="Arial" w:cs="Arial"/>
                <w:b/>
                <w:bCs/>
                <w:color w:val="000000" w:themeColor="text1"/>
                <w:sz w:val="18"/>
                <w:szCs w:val="18"/>
              </w:rPr>
            </w:pPr>
          </w:p>
        </w:tc>
      </w:tr>
      <w:tr w:rsidR="00EE0D57" w:rsidRPr="001B015B" w14:paraId="7E313263" w14:textId="77777777" w:rsidTr="0034622E">
        <w:trPr>
          <w:trHeight w:val="174"/>
        </w:trPr>
        <w:tc>
          <w:tcPr>
            <w:tcW w:w="3946" w:type="dxa"/>
            <w:tcBorders>
              <w:top w:val="nil"/>
              <w:left w:val="nil"/>
              <w:bottom w:val="nil"/>
              <w:right w:val="nil"/>
            </w:tcBorders>
            <w:shd w:val="clear" w:color="auto" w:fill="auto"/>
            <w:vAlign w:val="center"/>
            <w:hideMark/>
          </w:tcPr>
          <w:p w14:paraId="13504F4A" w14:textId="77777777" w:rsidR="00EE0D57" w:rsidRPr="001B015B" w:rsidRDefault="00EE0D57" w:rsidP="0034622E">
            <w:pPr>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31. prosinca 202</w:t>
            </w:r>
            <w:r>
              <w:rPr>
                <w:rFonts w:ascii="Arial" w:eastAsia="Calibri" w:hAnsi="Arial" w:cs="Arial"/>
                <w:b/>
                <w:bCs/>
                <w:color w:val="000000" w:themeColor="text1"/>
                <w:sz w:val="18"/>
                <w:szCs w:val="18"/>
              </w:rPr>
              <w:t>3</w:t>
            </w:r>
            <w:r w:rsidRPr="001B015B">
              <w:rPr>
                <w:rFonts w:ascii="Arial" w:eastAsia="Calibri" w:hAnsi="Arial" w:cs="Arial"/>
                <w:b/>
                <w:bCs/>
                <w:color w:val="000000" w:themeColor="text1"/>
                <w:sz w:val="18"/>
                <w:szCs w:val="18"/>
              </w:rPr>
              <w:t>.</w:t>
            </w:r>
          </w:p>
        </w:tc>
        <w:tc>
          <w:tcPr>
            <w:tcW w:w="1084" w:type="dxa"/>
            <w:tcBorders>
              <w:top w:val="nil"/>
              <w:left w:val="nil"/>
              <w:bottom w:val="nil"/>
              <w:right w:val="nil"/>
            </w:tcBorders>
            <w:shd w:val="clear" w:color="auto" w:fill="auto"/>
            <w:vAlign w:val="center"/>
            <w:hideMark/>
          </w:tcPr>
          <w:p w14:paraId="0AFE939E" w14:textId="77777777" w:rsidR="00EE0D57" w:rsidRPr="001B015B" w:rsidRDefault="00EE0D57" w:rsidP="0034622E">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Stupanj 1</w:t>
            </w:r>
          </w:p>
        </w:tc>
        <w:tc>
          <w:tcPr>
            <w:tcW w:w="1084" w:type="dxa"/>
            <w:tcBorders>
              <w:top w:val="nil"/>
              <w:left w:val="nil"/>
              <w:bottom w:val="nil"/>
              <w:right w:val="nil"/>
            </w:tcBorders>
            <w:shd w:val="clear" w:color="auto" w:fill="auto"/>
            <w:vAlign w:val="center"/>
            <w:hideMark/>
          </w:tcPr>
          <w:p w14:paraId="6371BDAF" w14:textId="77777777" w:rsidR="00EE0D57" w:rsidRPr="001B015B" w:rsidRDefault="00EE0D57" w:rsidP="0034622E">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Stupanj 2</w:t>
            </w:r>
          </w:p>
        </w:tc>
        <w:tc>
          <w:tcPr>
            <w:tcW w:w="1085" w:type="dxa"/>
            <w:tcBorders>
              <w:top w:val="nil"/>
              <w:left w:val="nil"/>
              <w:bottom w:val="nil"/>
              <w:right w:val="nil"/>
            </w:tcBorders>
            <w:shd w:val="clear" w:color="auto" w:fill="auto"/>
            <w:vAlign w:val="center"/>
            <w:hideMark/>
          </w:tcPr>
          <w:p w14:paraId="1D86BFA3" w14:textId="77777777" w:rsidR="00EE0D57" w:rsidRPr="001B015B" w:rsidRDefault="00EE0D57" w:rsidP="0034622E">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Stupanj 3</w:t>
            </w:r>
          </w:p>
        </w:tc>
        <w:tc>
          <w:tcPr>
            <w:tcW w:w="1084" w:type="dxa"/>
            <w:tcBorders>
              <w:top w:val="nil"/>
              <w:left w:val="nil"/>
              <w:bottom w:val="nil"/>
              <w:right w:val="nil"/>
            </w:tcBorders>
            <w:shd w:val="clear" w:color="auto" w:fill="auto"/>
            <w:vAlign w:val="center"/>
            <w:hideMark/>
          </w:tcPr>
          <w:p w14:paraId="55729A9E" w14:textId="77777777" w:rsidR="00EE0D57" w:rsidRPr="001B015B" w:rsidRDefault="00EE0D57" w:rsidP="0034622E">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POCI</w:t>
            </w:r>
          </w:p>
        </w:tc>
        <w:tc>
          <w:tcPr>
            <w:tcW w:w="1086" w:type="dxa"/>
            <w:tcBorders>
              <w:top w:val="nil"/>
              <w:left w:val="nil"/>
              <w:bottom w:val="nil"/>
              <w:right w:val="nil"/>
            </w:tcBorders>
            <w:shd w:val="clear" w:color="auto" w:fill="auto"/>
            <w:vAlign w:val="center"/>
            <w:hideMark/>
          </w:tcPr>
          <w:p w14:paraId="28A28767" w14:textId="77777777" w:rsidR="00EE0D57" w:rsidRPr="001B015B" w:rsidRDefault="00EE0D57" w:rsidP="0034622E">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Ukupno</w:t>
            </w:r>
          </w:p>
        </w:tc>
      </w:tr>
      <w:tr w:rsidR="00EE0D57" w:rsidRPr="001B015B" w14:paraId="291BB4E5" w14:textId="77777777" w:rsidTr="0034622E">
        <w:trPr>
          <w:trHeight w:val="174"/>
        </w:trPr>
        <w:tc>
          <w:tcPr>
            <w:tcW w:w="3946" w:type="dxa"/>
            <w:tcBorders>
              <w:top w:val="nil"/>
              <w:left w:val="nil"/>
              <w:bottom w:val="nil"/>
              <w:right w:val="nil"/>
            </w:tcBorders>
            <w:shd w:val="clear" w:color="auto" w:fill="auto"/>
            <w:vAlign w:val="center"/>
            <w:hideMark/>
          </w:tcPr>
          <w:p w14:paraId="4066F41B" w14:textId="77777777" w:rsidR="00EE0D57" w:rsidRPr="001B015B" w:rsidRDefault="00EE0D57" w:rsidP="0034622E">
            <w:pPr>
              <w:jc w:val="right"/>
              <w:rPr>
                <w:rFonts w:ascii="Arial" w:eastAsia="Calibri" w:hAnsi="Arial" w:cs="Arial"/>
                <w:b/>
                <w:bCs/>
                <w:color w:val="000000" w:themeColor="text1"/>
                <w:sz w:val="18"/>
                <w:szCs w:val="18"/>
              </w:rPr>
            </w:pPr>
          </w:p>
        </w:tc>
        <w:tc>
          <w:tcPr>
            <w:tcW w:w="1084" w:type="dxa"/>
            <w:tcBorders>
              <w:top w:val="nil"/>
              <w:left w:val="nil"/>
              <w:bottom w:val="nil"/>
              <w:right w:val="nil"/>
            </w:tcBorders>
            <w:shd w:val="clear" w:color="auto" w:fill="auto"/>
            <w:vAlign w:val="bottom"/>
            <w:hideMark/>
          </w:tcPr>
          <w:p w14:paraId="48AF7844" w14:textId="77777777" w:rsidR="00EE0D57" w:rsidRPr="001B015B" w:rsidRDefault="00EE0D57" w:rsidP="0034622E">
            <w:pPr>
              <w:jc w:val="right"/>
              <w:rPr>
                <w:rFonts w:ascii="Arial" w:eastAsia="Calibri" w:hAnsi="Arial" w:cs="Arial"/>
                <w:b/>
                <w:bCs/>
                <w:color w:val="000000" w:themeColor="text1"/>
                <w:sz w:val="18"/>
                <w:szCs w:val="18"/>
              </w:rPr>
            </w:pPr>
            <w:r w:rsidRPr="00131510">
              <w:rPr>
                <w:rFonts w:ascii="Arial" w:eastAsia="Calibri" w:hAnsi="Arial" w:cs="Arial"/>
                <w:b/>
                <w:bCs/>
                <w:color w:val="000000" w:themeColor="text1"/>
                <w:sz w:val="18"/>
                <w:szCs w:val="18"/>
              </w:rPr>
              <w:t>000 eura</w:t>
            </w:r>
          </w:p>
        </w:tc>
        <w:tc>
          <w:tcPr>
            <w:tcW w:w="1084" w:type="dxa"/>
            <w:tcBorders>
              <w:top w:val="nil"/>
              <w:left w:val="nil"/>
              <w:bottom w:val="nil"/>
              <w:right w:val="nil"/>
            </w:tcBorders>
            <w:shd w:val="clear" w:color="auto" w:fill="auto"/>
            <w:vAlign w:val="bottom"/>
            <w:hideMark/>
          </w:tcPr>
          <w:p w14:paraId="0EA594FC" w14:textId="77777777" w:rsidR="00EE0D57" w:rsidRPr="001B015B" w:rsidRDefault="00EE0D57" w:rsidP="0034622E">
            <w:pPr>
              <w:jc w:val="right"/>
              <w:rPr>
                <w:rFonts w:ascii="Arial" w:eastAsia="Calibri" w:hAnsi="Arial" w:cs="Arial"/>
                <w:b/>
                <w:bCs/>
                <w:color w:val="000000" w:themeColor="text1"/>
                <w:sz w:val="18"/>
                <w:szCs w:val="18"/>
              </w:rPr>
            </w:pPr>
            <w:r w:rsidRPr="00131510">
              <w:rPr>
                <w:rFonts w:ascii="Arial" w:eastAsia="Calibri" w:hAnsi="Arial" w:cs="Arial"/>
                <w:b/>
                <w:bCs/>
                <w:color w:val="000000" w:themeColor="text1"/>
                <w:sz w:val="18"/>
                <w:szCs w:val="18"/>
              </w:rPr>
              <w:t>000 eura</w:t>
            </w:r>
          </w:p>
        </w:tc>
        <w:tc>
          <w:tcPr>
            <w:tcW w:w="1085" w:type="dxa"/>
            <w:tcBorders>
              <w:top w:val="nil"/>
              <w:left w:val="nil"/>
              <w:bottom w:val="nil"/>
              <w:right w:val="nil"/>
            </w:tcBorders>
            <w:shd w:val="clear" w:color="auto" w:fill="auto"/>
            <w:vAlign w:val="bottom"/>
            <w:hideMark/>
          </w:tcPr>
          <w:p w14:paraId="01513794" w14:textId="77777777" w:rsidR="00EE0D57" w:rsidRPr="001B015B" w:rsidRDefault="00EE0D57" w:rsidP="0034622E">
            <w:pPr>
              <w:jc w:val="right"/>
              <w:rPr>
                <w:rFonts w:ascii="Arial" w:eastAsia="Calibri" w:hAnsi="Arial" w:cs="Arial"/>
                <w:b/>
                <w:bCs/>
                <w:color w:val="000000" w:themeColor="text1"/>
                <w:sz w:val="18"/>
                <w:szCs w:val="18"/>
              </w:rPr>
            </w:pPr>
            <w:r w:rsidRPr="00131510">
              <w:rPr>
                <w:rFonts w:ascii="Arial" w:eastAsia="Calibri" w:hAnsi="Arial" w:cs="Arial"/>
                <w:b/>
                <w:bCs/>
                <w:color w:val="000000" w:themeColor="text1"/>
                <w:sz w:val="18"/>
                <w:szCs w:val="18"/>
              </w:rPr>
              <w:t>000 eura</w:t>
            </w:r>
          </w:p>
        </w:tc>
        <w:tc>
          <w:tcPr>
            <w:tcW w:w="1084" w:type="dxa"/>
            <w:tcBorders>
              <w:top w:val="nil"/>
              <w:left w:val="nil"/>
              <w:bottom w:val="nil"/>
              <w:right w:val="nil"/>
            </w:tcBorders>
            <w:shd w:val="clear" w:color="auto" w:fill="auto"/>
            <w:vAlign w:val="bottom"/>
            <w:hideMark/>
          </w:tcPr>
          <w:p w14:paraId="23CDECCD" w14:textId="77777777" w:rsidR="00EE0D57" w:rsidRPr="001B015B" w:rsidRDefault="00EE0D57" w:rsidP="0034622E">
            <w:pPr>
              <w:jc w:val="right"/>
              <w:rPr>
                <w:rFonts w:ascii="Arial" w:eastAsia="Calibri" w:hAnsi="Arial" w:cs="Arial"/>
                <w:b/>
                <w:bCs/>
                <w:color w:val="000000" w:themeColor="text1"/>
                <w:sz w:val="18"/>
                <w:szCs w:val="18"/>
              </w:rPr>
            </w:pPr>
            <w:r w:rsidRPr="00131510">
              <w:rPr>
                <w:rFonts w:ascii="Arial" w:eastAsia="Calibri" w:hAnsi="Arial" w:cs="Arial"/>
                <w:b/>
                <w:bCs/>
                <w:color w:val="000000" w:themeColor="text1"/>
                <w:sz w:val="18"/>
                <w:szCs w:val="18"/>
              </w:rPr>
              <w:t>000 eura</w:t>
            </w:r>
          </w:p>
        </w:tc>
        <w:tc>
          <w:tcPr>
            <w:tcW w:w="1086" w:type="dxa"/>
            <w:tcBorders>
              <w:top w:val="nil"/>
              <w:left w:val="nil"/>
              <w:bottom w:val="nil"/>
              <w:right w:val="nil"/>
            </w:tcBorders>
            <w:shd w:val="clear" w:color="auto" w:fill="auto"/>
            <w:vAlign w:val="bottom"/>
            <w:hideMark/>
          </w:tcPr>
          <w:p w14:paraId="2E024B9E" w14:textId="77777777" w:rsidR="00EE0D57" w:rsidRPr="001B015B" w:rsidRDefault="00EE0D57" w:rsidP="0034622E">
            <w:pPr>
              <w:jc w:val="right"/>
              <w:rPr>
                <w:rFonts w:ascii="Arial" w:eastAsia="Calibri" w:hAnsi="Arial" w:cs="Arial"/>
                <w:b/>
                <w:bCs/>
                <w:color w:val="000000" w:themeColor="text1"/>
                <w:sz w:val="18"/>
                <w:szCs w:val="18"/>
              </w:rPr>
            </w:pPr>
            <w:r w:rsidRPr="00131510">
              <w:rPr>
                <w:rFonts w:ascii="Arial" w:eastAsia="Calibri" w:hAnsi="Arial" w:cs="Arial"/>
                <w:b/>
                <w:bCs/>
                <w:color w:val="000000" w:themeColor="text1"/>
                <w:sz w:val="18"/>
                <w:szCs w:val="18"/>
              </w:rPr>
              <w:t>000 eura</w:t>
            </w:r>
          </w:p>
        </w:tc>
      </w:tr>
      <w:tr w:rsidR="00EE0D57" w:rsidRPr="001B015B" w14:paraId="5329DC04" w14:textId="77777777" w:rsidTr="0034622E">
        <w:trPr>
          <w:trHeight w:val="174"/>
        </w:trPr>
        <w:tc>
          <w:tcPr>
            <w:tcW w:w="3946" w:type="dxa"/>
            <w:tcBorders>
              <w:top w:val="nil"/>
              <w:left w:val="nil"/>
              <w:bottom w:val="nil"/>
              <w:right w:val="nil"/>
            </w:tcBorders>
            <w:shd w:val="clear" w:color="auto" w:fill="auto"/>
            <w:vAlign w:val="center"/>
          </w:tcPr>
          <w:p w14:paraId="26F771C6" w14:textId="77777777" w:rsidR="00EE0D57" w:rsidRPr="001B015B" w:rsidRDefault="00EE0D57" w:rsidP="0034622E">
            <w:pPr>
              <w:jc w:val="right"/>
              <w:rPr>
                <w:rFonts w:ascii="Arial" w:eastAsia="Calibri" w:hAnsi="Arial" w:cs="Arial"/>
                <w:b/>
                <w:bCs/>
                <w:color w:val="000000" w:themeColor="text1"/>
                <w:sz w:val="18"/>
                <w:szCs w:val="18"/>
              </w:rPr>
            </w:pPr>
          </w:p>
        </w:tc>
        <w:tc>
          <w:tcPr>
            <w:tcW w:w="1084" w:type="dxa"/>
            <w:tcBorders>
              <w:top w:val="nil"/>
              <w:left w:val="nil"/>
              <w:bottom w:val="nil"/>
              <w:right w:val="nil"/>
            </w:tcBorders>
            <w:shd w:val="clear" w:color="auto" w:fill="auto"/>
            <w:vAlign w:val="center"/>
          </w:tcPr>
          <w:p w14:paraId="7DD47A14" w14:textId="77777777" w:rsidR="00EE0D57" w:rsidRPr="001B015B" w:rsidRDefault="00EE0D57" w:rsidP="0034622E">
            <w:pPr>
              <w:jc w:val="right"/>
              <w:rPr>
                <w:rFonts w:ascii="Arial" w:eastAsia="Calibri" w:hAnsi="Arial" w:cs="Arial"/>
                <w:b/>
                <w:bCs/>
                <w:color w:val="000000" w:themeColor="text1"/>
                <w:sz w:val="18"/>
                <w:szCs w:val="18"/>
              </w:rPr>
            </w:pPr>
          </w:p>
        </w:tc>
        <w:tc>
          <w:tcPr>
            <w:tcW w:w="1084" w:type="dxa"/>
            <w:tcBorders>
              <w:top w:val="nil"/>
              <w:left w:val="nil"/>
              <w:bottom w:val="nil"/>
              <w:right w:val="nil"/>
            </w:tcBorders>
            <w:shd w:val="clear" w:color="auto" w:fill="auto"/>
            <w:vAlign w:val="center"/>
          </w:tcPr>
          <w:p w14:paraId="5B5C3BDA" w14:textId="77777777" w:rsidR="00EE0D57" w:rsidRPr="001B015B" w:rsidRDefault="00EE0D57" w:rsidP="0034622E">
            <w:pPr>
              <w:jc w:val="right"/>
              <w:rPr>
                <w:rFonts w:ascii="Arial" w:eastAsia="Calibri" w:hAnsi="Arial" w:cs="Arial"/>
                <w:b/>
                <w:bCs/>
                <w:color w:val="000000" w:themeColor="text1"/>
                <w:sz w:val="18"/>
                <w:szCs w:val="18"/>
              </w:rPr>
            </w:pPr>
          </w:p>
        </w:tc>
        <w:tc>
          <w:tcPr>
            <w:tcW w:w="1085" w:type="dxa"/>
            <w:tcBorders>
              <w:top w:val="nil"/>
              <w:left w:val="nil"/>
              <w:bottom w:val="nil"/>
              <w:right w:val="nil"/>
            </w:tcBorders>
            <w:shd w:val="clear" w:color="auto" w:fill="auto"/>
            <w:vAlign w:val="center"/>
          </w:tcPr>
          <w:p w14:paraId="7C70EFAF" w14:textId="77777777" w:rsidR="00EE0D57" w:rsidRPr="001B015B" w:rsidRDefault="00EE0D57" w:rsidP="0034622E">
            <w:pPr>
              <w:jc w:val="right"/>
              <w:rPr>
                <w:rFonts w:ascii="Arial" w:eastAsia="Calibri" w:hAnsi="Arial" w:cs="Arial"/>
                <w:b/>
                <w:bCs/>
                <w:color w:val="000000" w:themeColor="text1"/>
                <w:sz w:val="18"/>
                <w:szCs w:val="18"/>
              </w:rPr>
            </w:pPr>
          </w:p>
        </w:tc>
        <w:tc>
          <w:tcPr>
            <w:tcW w:w="1084" w:type="dxa"/>
            <w:tcBorders>
              <w:top w:val="nil"/>
              <w:left w:val="nil"/>
              <w:bottom w:val="nil"/>
              <w:right w:val="nil"/>
            </w:tcBorders>
            <w:shd w:val="clear" w:color="auto" w:fill="auto"/>
            <w:vAlign w:val="center"/>
          </w:tcPr>
          <w:p w14:paraId="13A81672" w14:textId="77777777" w:rsidR="00EE0D57" w:rsidRPr="001B015B" w:rsidRDefault="00EE0D57" w:rsidP="0034622E">
            <w:pPr>
              <w:jc w:val="right"/>
              <w:rPr>
                <w:rFonts w:ascii="Arial" w:eastAsia="Calibri" w:hAnsi="Arial" w:cs="Arial"/>
                <w:b/>
                <w:bCs/>
                <w:color w:val="000000" w:themeColor="text1"/>
                <w:sz w:val="18"/>
                <w:szCs w:val="18"/>
              </w:rPr>
            </w:pPr>
          </w:p>
        </w:tc>
        <w:tc>
          <w:tcPr>
            <w:tcW w:w="1086" w:type="dxa"/>
            <w:tcBorders>
              <w:top w:val="nil"/>
              <w:left w:val="nil"/>
              <w:bottom w:val="nil"/>
              <w:right w:val="nil"/>
            </w:tcBorders>
            <w:shd w:val="clear" w:color="auto" w:fill="auto"/>
            <w:vAlign w:val="center"/>
          </w:tcPr>
          <w:p w14:paraId="3271CF48" w14:textId="77777777" w:rsidR="00EE0D57" w:rsidRPr="001B015B" w:rsidRDefault="00EE0D57" w:rsidP="0034622E">
            <w:pPr>
              <w:jc w:val="right"/>
              <w:rPr>
                <w:rFonts w:ascii="Arial" w:eastAsia="Calibri" w:hAnsi="Arial" w:cs="Arial"/>
                <w:b/>
                <w:bCs/>
                <w:color w:val="000000" w:themeColor="text1"/>
                <w:sz w:val="18"/>
                <w:szCs w:val="18"/>
              </w:rPr>
            </w:pPr>
          </w:p>
        </w:tc>
      </w:tr>
      <w:tr w:rsidR="00EE0D57" w:rsidRPr="001B015B" w14:paraId="1151C32D" w14:textId="77777777" w:rsidTr="0034622E">
        <w:trPr>
          <w:trHeight w:val="174"/>
        </w:trPr>
        <w:tc>
          <w:tcPr>
            <w:tcW w:w="3946" w:type="dxa"/>
            <w:tcBorders>
              <w:top w:val="nil"/>
              <w:left w:val="nil"/>
              <w:bottom w:val="nil"/>
              <w:right w:val="nil"/>
            </w:tcBorders>
            <w:shd w:val="clear" w:color="auto" w:fill="auto"/>
            <w:vAlign w:val="center"/>
            <w:hideMark/>
          </w:tcPr>
          <w:p w14:paraId="07EA5DA6" w14:textId="77777777" w:rsidR="00EE0D57" w:rsidRPr="001B015B" w:rsidRDefault="00EE0D57" w:rsidP="0034622E">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Stanje 1. siječnja 202</w:t>
            </w:r>
            <w:r>
              <w:rPr>
                <w:rFonts w:ascii="Arial" w:eastAsia="Calibri" w:hAnsi="Arial" w:cs="Arial"/>
                <w:color w:val="000000" w:themeColor="text1"/>
                <w:sz w:val="18"/>
                <w:szCs w:val="18"/>
              </w:rPr>
              <w:t>3</w:t>
            </w:r>
            <w:r w:rsidRPr="001B015B">
              <w:rPr>
                <w:rFonts w:ascii="Arial" w:eastAsia="Calibri" w:hAnsi="Arial" w:cs="Arial"/>
                <w:color w:val="000000" w:themeColor="text1"/>
                <w:sz w:val="18"/>
                <w:szCs w:val="18"/>
              </w:rPr>
              <w:t xml:space="preserve">. </w:t>
            </w:r>
          </w:p>
        </w:tc>
        <w:tc>
          <w:tcPr>
            <w:tcW w:w="1084" w:type="dxa"/>
            <w:tcBorders>
              <w:top w:val="nil"/>
              <w:left w:val="nil"/>
              <w:bottom w:val="nil"/>
              <w:right w:val="nil"/>
            </w:tcBorders>
            <w:shd w:val="clear" w:color="auto" w:fill="auto"/>
            <w:vAlign w:val="bottom"/>
          </w:tcPr>
          <w:p w14:paraId="451754C3" w14:textId="77777777" w:rsidR="00EE0D57" w:rsidRPr="00852BF5" w:rsidRDefault="00EE0D57" w:rsidP="0034622E">
            <w:pPr>
              <w:jc w:val="right"/>
              <w:rPr>
                <w:rFonts w:ascii="Arial" w:hAnsi="Arial" w:cs="Arial"/>
                <w:sz w:val="18"/>
                <w:szCs w:val="18"/>
              </w:rPr>
            </w:pPr>
            <w:r w:rsidRPr="00F959D0">
              <w:rPr>
                <w:rFonts w:ascii="Arial" w:hAnsi="Arial" w:cs="Arial"/>
                <w:sz w:val="18"/>
                <w:szCs w:val="18"/>
              </w:rPr>
              <w:t xml:space="preserve"> 3.544 </w:t>
            </w:r>
          </w:p>
        </w:tc>
        <w:tc>
          <w:tcPr>
            <w:tcW w:w="1084" w:type="dxa"/>
            <w:tcBorders>
              <w:top w:val="nil"/>
              <w:left w:val="nil"/>
              <w:bottom w:val="nil"/>
              <w:right w:val="nil"/>
            </w:tcBorders>
            <w:shd w:val="clear" w:color="auto" w:fill="auto"/>
            <w:vAlign w:val="bottom"/>
          </w:tcPr>
          <w:p w14:paraId="2B1BA42B" w14:textId="77777777" w:rsidR="00EE0D57" w:rsidRPr="00852BF5" w:rsidRDefault="00EE0D57" w:rsidP="0034622E">
            <w:pPr>
              <w:jc w:val="right"/>
              <w:rPr>
                <w:rFonts w:ascii="Arial" w:hAnsi="Arial" w:cs="Arial"/>
                <w:sz w:val="18"/>
                <w:szCs w:val="18"/>
              </w:rPr>
            </w:pPr>
            <w:r w:rsidRPr="00F959D0">
              <w:rPr>
                <w:rFonts w:ascii="Arial" w:hAnsi="Arial" w:cs="Arial"/>
                <w:sz w:val="18"/>
                <w:szCs w:val="18"/>
              </w:rPr>
              <w:t xml:space="preserve"> 3.635 </w:t>
            </w:r>
          </w:p>
        </w:tc>
        <w:tc>
          <w:tcPr>
            <w:tcW w:w="1085" w:type="dxa"/>
            <w:tcBorders>
              <w:top w:val="nil"/>
              <w:left w:val="nil"/>
              <w:bottom w:val="nil"/>
              <w:right w:val="nil"/>
            </w:tcBorders>
            <w:shd w:val="clear" w:color="auto" w:fill="auto"/>
            <w:vAlign w:val="bottom"/>
          </w:tcPr>
          <w:p w14:paraId="5E75CB9A" w14:textId="77777777" w:rsidR="00EE0D57" w:rsidRPr="00852BF5" w:rsidRDefault="00EE0D57" w:rsidP="0034622E">
            <w:pPr>
              <w:jc w:val="right"/>
              <w:rPr>
                <w:rFonts w:ascii="Arial" w:hAnsi="Arial" w:cs="Arial"/>
                <w:sz w:val="18"/>
                <w:szCs w:val="18"/>
              </w:rPr>
            </w:pPr>
            <w:r w:rsidRPr="00F959D0">
              <w:rPr>
                <w:rFonts w:ascii="Arial" w:hAnsi="Arial" w:cs="Arial"/>
                <w:sz w:val="18"/>
                <w:szCs w:val="18"/>
              </w:rPr>
              <w:t xml:space="preserve"> 899 </w:t>
            </w:r>
          </w:p>
        </w:tc>
        <w:tc>
          <w:tcPr>
            <w:tcW w:w="1084" w:type="dxa"/>
            <w:tcBorders>
              <w:top w:val="nil"/>
              <w:left w:val="nil"/>
              <w:bottom w:val="nil"/>
              <w:right w:val="nil"/>
            </w:tcBorders>
            <w:shd w:val="clear" w:color="auto" w:fill="auto"/>
            <w:vAlign w:val="bottom"/>
          </w:tcPr>
          <w:p w14:paraId="6810C5CF" w14:textId="77777777" w:rsidR="00EE0D57" w:rsidRPr="00852BF5" w:rsidRDefault="00EE0D57" w:rsidP="0034622E">
            <w:pPr>
              <w:jc w:val="right"/>
              <w:rPr>
                <w:rFonts w:ascii="Arial" w:hAnsi="Arial" w:cs="Arial"/>
                <w:sz w:val="18"/>
                <w:szCs w:val="18"/>
              </w:rPr>
            </w:pPr>
            <w:r w:rsidRPr="00F959D0">
              <w:rPr>
                <w:rFonts w:ascii="Arial" w:hAnsi="Arial" w:cs="Arial"/>
                <w:sz w:val="18"/>
                <w:szCs w:val="18"/>
              </w:rPr>
              <w:t xml:space="preserve"> - </w:t>
            </w:r>
          </w:p>
        </w:tc>
        <w:tc>
          <w:tcPr>
            <w:tcW w:w="1086" w:type="dxa"/>
            <w:tcBorders>
              <w:top w:val="nil"/>
              <w:left w:val="nil"/>
              <w:bottom w:val="nil"/>
              <w:right w:val="nil"/>
            </w:tcBorders>
            <w:shd w:val="clear" w:color="auto" w:fill="auto"/>
            <w:vAlign w:val="bottom"/>
          </w:tcPr>
          <w:p w14:paraId="6681817F" w14:textId="77777777" w:rsidR="00EE0D57" w:rsidRPr="005D1219" w:rsidRDefault="00EE0D57" w:rsidP="0034622E">
            <w:pPr>
              <w:jc w:val="right"/>
              <w:rPr>
                <w:rFonts w:ascii="Arial" w:hAnsi="Arial" w:cs="Arial"/>
                <w:b/>
                <w:bCs/>
                <w:sz w:val="18"/>
                <w:szCs w:val="18"/>
              </w:rPr>
            </w:pPr>
            <w:r w:rsidRPr="005D1219">
              <w:rPr>
                <w:rFonts w:ascii="Arial" w:hAnsi="Arial" w:cs="Arial"/>
                <w:b/>
                <w:bCs/>
                <w:sz w:val="18"/>
                <w:szCs w:val="18"/>
              </w:rPr>
              <w:t xml:space="preserve"> 8.078 </w:t>
            </w:r>
          </w:p>
        </w:tc>
      </w:tr>
      <w:tr w:rsidR="00EE0D57" w:rsidRPr="001B015B" w14:paraId="7201D19B" w14:textId="77777777" w:rsidTr="0034622E">
        <w:trPr>
          <w:trHeight w:val="174"/>
        </w:trPr>
        <w:tc>
          <w:tcPr>
            <w:tcW w:w="3946" w:type="dxa"/>
            <w:tcBorders>
              <w:top w:val="nil"/>
              <w:left w:val="nil"/>
              <w:bottom w:val="nil"/>
              <w:right w:val="nil"/>
            </w:tcBorders>
            <w:shd w:val="clear" w:color="auto" w:fill="auto"/>
            <w:vAlign w:val="center"/>
          </w:tcPr>
          <w:p w14:paraId="08B94741" w14:textId="77777777" w:rsidR="00EE0D57" w:rsidRPr="001B015B" w:rsidRDefault="00EE0D57" w:rsidP="0034622E">
            <w:pPr>
              <w:rPr>
                <w:rFonts w:ascii="Arial" w:eastAsia="Calibri" w:hAnsi="Arial" w:cs="Arial"/>
                <w:color w:val="000000" w:themeColor="text1"/>
                <w:sz w:val="18"/>
                <w:szCs w:val="18"/>
              </w:rPr>
            </w:pPr>
            <w:r w:rsidRPr="00495ED1">
              <w:rPr>
                <w:rFonts w:ascii="Arial" w:eastAsia="Calibri" w:hAnsi="Arial" w:cs="Arial"/>
                <w:color w:val="000000" w:themeColor="text1"/>
                <w:sz w:val="18"/>
                <w:szCs w:val="18"/>
              </w:rPr>
              <w:t>Korekcija početnog stanja</w:t>
            </w:r>
          </w:p>
        </w:tc>
        <w:tc>
          <w:tcPr>
            <w:tcW w:w="1084" w:type="dxa"/>
            <w:tcBorders>
              <w:top w:val="nil"/>
              <w:left w:val="nil"/>
              <w:bottom w:val="nil"/>
              <w:right w:val="nil"/>
            </w:tcBorders>
            <w:shd w:val="clear" w:color="auto" w:fill="auto"/>
            <w:vAlign w:val="bottom"/>
          </w:tcPr>
          <w:p w14:paraId="46EF3B0A" w14:textId="77777777" w:rsidR="00EE0D57" w:rsidRPr="00852BF5" w:rsidRDefault="00EE0D57" w:rsidP="0034622E">
            <w:pPr>
              <w:jc w:val="right"/>
              <w:rPr>
                <w:rFonts w:ascii="Arial" w:hAnsi="Arial" w:cs="Arial"/>
                <w:sz w:val="18"/>
                <w:szCs w:val="18"/>
              </w:rPr>
            </w:pPr>
            <w:r>
              <w:rPr>
                <w:rFonts w:ascii="Arial" w:hAnsi="Arial" w:cs="Arial"/>
                <w:sz w:val="18"/>
                <w:szCs w:val="18"/>
              </w:rPr>
              <w:t>-</w:t>
            </w:r>
          </w:p>
        </w:tc>
        <w:tc>
          <w:tcPr>
            <w:tcW w:w="1084" w:type="dxa"/>
            <w:tcBorders>
              <w:top w:val="nil"/>
              <w:left w:val="nil"/>
              <w:bottom w:val="nil"/>
              <w:right w:val="nil"/>
            </w:tcBorders>
            <w:shd w:val="clear" w:color="auto" w:fill="auto"/>
            <w:vAlign w:val="bottom"/>
          </w:tcPr>
          <w:p w14:paraId="62B8D1D6" w14:textId="77777777" w:rsidR="00EE0D57" w:rsidRPr="00852BF5" w:rsidRDefault="00EE0D57" w:rsidP="0034622E">
            <w:pPr>
              <w:jc w:val="right"/>
              <w:rPr>
                <w:rFonts w:ascii="Arial" w:hAnsi="Arial" w:cs="Arial"/>
                <w:sz w:val="18"/>
                <w:szCs w:val="18"/>
              </w:rPr>
            </w:pPr>
            <w:r>
              <w:rPr>
                <w:rFonts w:ascii="Arial" w:hAnsi="Arial" w:cs="Arial"/>
                <w:sz w:val="18"/>
                <w:szCs w:val="18"/>
              </w:rPr>
              <w:t>-</w:t>
            </w:r>
          </w:p>
        </w:tc>
        <w:tc>
          <w:tcPr>
            <w:tcW w:w="1085" w:type="dxa"/>
            <w:tcBorders>
              <w:top w:val="nil"/>
              <w:left w:val="nil"/>
              <w:bottom w:val="nil"/>
              <w:right w:val="nil"/>
            </w:tcBorders>
            <w:shd w:val="clear" w:color="auto" w:fill="auto"/>
            <w:vAlign w:val="bottom"/>
          </w:tcPr>
          <w:p w14:paraId="6756EB76" w14:textId="77777777" w:rsidR="00EE0D57" w:rsidRPr="00852BF5" w:rsidRDefault="00EE0D57" w:rsidP="0034622E">
            <w:pPr>
              <w:jc w:val="right"/>
              <w:rPr>
                <w:rFonts w:ascii="Arial" w:hAnsi="Arial" w:cs="Arial"/>
                <w:sz w:val="18"/>
                <w:szCs w:val="18"/>
              </w:rPr>
            </w:pPr>
            <w:r w:rsidRPr="00495ED1">
              <w:rPr>
                <w:rFonts w:ascii="Arial" w:hAnsi="Arial" w:cs="Arial"/>
                <w:sz w:val="18"/>
                <w:szCs w:val="18"/>
              </w:rPr>
              <w:t>(5)</w:t>
            </w:r>
          </w:p>
        </w:tc>
        <w:tc>
          <w:tcPr>
            <w:tcW w:w="1084" w:type="dxa"/>
            <w:tcBorders>
              <w:top w:val="nil"/>
              <w:left w:val="nil"/>
              <w:bottom w:val="nil"/>
              <w:right w:val="nil"/>
            </w:tcBorders>
            <w:shd w:val="clear" w:color="auto" w:fill="auto"/>
            <w:vAlign w:val="bottom"/>
          </w:tcPr>
          <w:p w14:paraId="0C93FD37" w14:textId="77777777" w:rsidR="00EE0D57" w:rsidRPr="00852BF5" w:rsidRDefault="00EE0D57" w:rsidP="0034622E">
            <w:pPr>
              <w:jc w:val="right"/>
              <w:rPr>
                <w:rFonts w:ascii="Arial" w:hAnsi="Arial" w:cs="Arial"/>
                <w:sz w:val="18"/>
                <w:szCs w:val="18"/>
              </w:rPr>
            </w:pPr>
            <w:r>
              <w:rPr>
                <w:rFonts w:ascii="Arial" w:hAnsi="Arial" w:cs="Arial"/>
                <w:sz w:val="18"/>
                <w:szCs w:val="18"/>
              </w:rPr>
              <w:t>-</w:t>
            </w:r>
          </w:p>
        </w:tc>
        <w:tc>
          <w:tcPr>
            <w:tcW w:w="1086" w:type="dxa"/>
            <w:tcBorders>
              <w:top w:val="nil"/>
              <w:left w:val="nil"/>
              <w:bottom w:val="nil"/>
              <w:right w:val="nil"/>
            </w:tcBorders>
            <w:shd w:val="clear" w:color="auto" w:fill="auto"/>
            <w:vAlign w:val="bottom"/>
          </w:tcPr>
          <w:p w14:paraId="2465D750" w14:textId="77777777" w:rsidR="00EE0D57" w:rsidRPr="005D1219" w:rsidRDefault="00EE0D57" w:rsidP="0034622E">
            <w:pPr>
              <w:jc w:val="right"/>
              <w:rPr>
                <w:rFonts w:ascii="Arial" w:hAnsi="Arial" w:cs="Arial"/>
                <w:b/>
                <w:bCs/>
                <w:sz w:val="18"/>
                <w:szCs w:val="18"/>
              </w:rPr>
            </w:pPr>
            <w:r w:rsidRPr="005D1219">
              <w:rPr>
                <w:rFonts w:ascii="Arial" w:hAnsi="Arial" w:cs="Arial"/>
                <w:b/>
                <w:bCs/>
                <w:sz w:val="18"/>
                <w:szCs w:val="18"/>
              </w:rPr>
              <w:t>(5)</w:t>
            </w:r>
          </w:p>
        </w:tc>
      </w:tr>
      <w:tr w:rsidR="00EE0D57" w:rsidRPr="001B015B" w14:paraId="29416F68" w14:textId="77777777" w:rsidTr="0034622E">
        <w:trPr>
          <w:trHeight w:val="174"/>
        </w:trPr>
        <w:tc>
          <w:tcPr>
            <w:tcW w:w="3946" w:type="dxa"/>
            <w:tcBorders>
              <w:top w:val="nil"/>
              <w:left w:val="nil"/>
              <w:bottom w:val="nil"/>
              <w:right w:val="nil"/>
            </w:tcBorders>
            <w:shd w:val="clear" w:color="auto" w:fill="auto"/>
            <w:hideMark/>
          </w:tcPr>
          <w:p w14:paraId="4AD31454" w14:textId="77777777" w:rsidR="00EE0D57" w:rsidRPr="001B015B" w:rsidRDefault="00EE0D57" w:rsidP="0034622E">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Prijenos u Stupanj 1</w:t>
            </w:r>
          </w:p>
        </w:tc>
        <w:tc>
          <w:tcPr>
            <w:tcW w:w="1084" w:type="dxa"/>
            <w:tcBorders>
              <w:top w:val="nil"/>
              <w:left w:val="nil"/>
              <w:bottom w:val="nil"/>
              <w:right w:val="nil"/>
            </w:tcBorders>
            <w:shd w:val="clear" w:color="auto" w:fill="auto"/>
            <w:vAlign w:val="bottom"/>
          </w:tcPr>
          <w:p w14:paraId="1EBFBF72" w14:textId="77777777" w:rsidR="00EE0D57" w:rsidRPr="00852BF5" w:rsidRDefault="00EE0D57" w:rsidP="0034622E">
            <w:pPr>
              <w:jc w:val="right"/>
              <w:rPr>
                <w:rFonts w:ascii="Arial" w:hAnsi="Arial" w:cs="Arial"/>
                <w:sz w:val="18"/>
                <w:szCs w:val="18"/>
              </w:rPr>
            </w:pPr>
            <w:r w:rsidRPr="00F959D0">
              <w:rPr>
                <w:rFonts w:ascii="Arial" w:hAnsi="Arial" w:cs="Arial"/>
                <w:sz w:val="18"/>
                <w:szCs w:val="18"/>
              </w:rPr>
              <w:t xml:space="preserve"> 558 </w:t>
            </w:r>
          </w:p>
        </w:tc>
        <w:tc>
          <w:tcPr>
            <w:tcW w:w="1084" w:type="dxa"/>
            <w:tcBorders>
              <w:top w:val="nil"/>
              <w:left w:val="nil"/>
              <w:bottom w:val="nil"/>
              <w:right w:val="nil"/>
            </w:tcBorders>
            <w:shd w:val="clear" w:color="auto" w:fill="auto"/>
            <w:vAlign w:val="bottom"/>
          </w:tcPr>
          <w:p w14:paraId="3D204597" w14:textId="77777777" w:rsidR="00EE0D57" w:rsidRPr="00852BF5" w:rsidRDefault="00EE0D57" w:rsidP="0034622E">
            <w:pPr>
              <w:jc w:val="right"/>
              <w:rPr>
                <w:rFonts w:ascii="Arial" w:hAnsi="Arial" w:cs="Arial"/>
                <w:sz w:val="18"/>
                <w:szCs w:val="18"/>
              </w:rPr>
            </w:pPr>
            <w:r w:rsidRPr="00F959D0">
              <w:rPr>
                <w:rFonts w:ascii="Arial" w:hAnsi="Arial" w:cs="Arial"/>
                <w:sz w:val="18"/>
                <w:szCs w:val="18"/>
              </w:rPr>
              <w:t xml:space="preserve"> (558)</w:t>
            </w:r>
          </w:p>
        </w:tc>
        <w:tc>
          <w:tcPr>
            <w:tcW w:w="1085" w:type="dxa"/>
            <w:tcBorders>
              <w:top w:val="nil"/>
              <w:left w:val="nil"/>
              <w:bottom w:val="nil"/>
              <w:right w:val="nil"/>
            </w:tcBorders>
            <w:shd w:val="clear" w:color="auto" w:fill="auto"/>
            <w:vAlign w:val="bottom"/>
          </w:tcPr>
          <w:p w14:paraId="1A1A8F25" w14:textId="77777777" w:rsidR="00EE0D57" w:rsidRPr="00852BF5" w:rsidRDefault="00EE0D57" w:rsidP="0034622E">
            <w:pPr>
              <w:jc w:val="right"/>
              <w:rPr>
                <w:rFonts w:ascii="Arial" w:hAnsi="Arial" w:cs="Arial"/>
                <w:sz w:val="18"/>
                <w:szCs w:val="18"/>
              </w:rPr>
            </w:pPr>
            <w:r>
              <w:rPr>
                <w:rFonts w:ascii="Arial" w:hAnsi="Arial" w:cs="Arial"/>
                <w:sz w:val="18"/>
                <w:szCs w:val="18"/>
              </w:rPr>
              <w:t>-</w:t>
            </w:r>
          </w:p>
        </w:tc>
        <w:tc>
          <w:tcPr>
            <w:tcW w:w="1084" w:type="dxa"/>
            <w:tcBorders>
              <w:top w:val="nil"/>
              <w:left w:val="nil"/>
              <w:bottom w:val="nil"/>
              <w:right w:val="nil"/>
            </w:tcBorders>
            <w:shd w:val="clear" w:color="auto" w:fill="auto"/>
            <w:vAlign w:val="bottom"/>
          </w:tcPr>
          <w:p w14:paraId="07F23764" w14:textId="77777777" w:rsidR="00EE0D57" w:rsidRPr="00852BF5" w:rsidRDefault="00EE0D57" w:rsidP="0034622E">
            <w:pPr>
              <w:jc w:val="right"/>
              <w:rPr>
                <w:rFonts w:ascii="Arial" w:hAnsi="Arial" w:cs="Arial"/>
                <w:sz w:val="18"/>
                <w:szCs w:val="18"/>
              </w:rPr>
            </w:pPr>
            <w:r>
              <w:rPr>
                <w:rFonts w:ascii="Arial" w:hAnsi="Arial" w:cs="Arial"/>
                <w:sz w:val="18"/>
                <w:szCs w:val="18"/>
              </w:rPr>
              <w:t>-</w:t>
            </w:r>
          </w:p>
        </w:tc>
        <w:tc>
          <w:tcPr>
            <w:tcW w:w="1086" w:type="dxa"/>
            <w:tcBorders>
              <w:top w:val="nil"/>
              <w:left w:val="nil"/>
              <w:bottom w:val="nil"/>
              <w:right w:val="nil"/>
            </w:tcBorders>
            <w:shd w:val="clear" w:color="auto" w:fill="auto"/>
            <w:vAlign w:val="bottom"/>
          </w:tcPr>
          <w:p w14:paraId="7243AC99" w14:textId="77777777" w:rsidR="00EE0D57" w:rsidRPr="005D1219" w:rsidRDefault="00EE0D57" w:rsidP="0034622E">
            <w:pPr>
              <w:jc w:val="right"/>
              <w:rPr>
                <w:rFonts w:ascii="Arial" w:hAnsi="Arial" w:cs="Arial"/>
                <w:b/>
                <w:bCs/>
                <w:sz w:val="18"/>
                <w:szCs w:val="18"/>
              </w:rPr>
            </w:pPr>
            <w:r w:rsidRPr="005D1219">
              <w:rPr>
                <w:rFonts w:ascii="Arial" w:hAnsi="Arial" w:cs="Arial"/>
                <w:b/>
                <w:bCs/>
                <w:sz w:val="18"/>
                <w:szCs w:val="18"/>
              </w:rPr>
              <w:t xml:space="preserve"> - </w:t>
            </w:r>
          </w:p>
        </w:tc>
      </w:tr>
      <w:tr w:rsidR="00EE0D57" w:rsidRPr="001B015B" w14:paraId="75340B6F" w14:textId="77777777" w:rsidTr="0034622E">
        <w:trPr>
          <w:trHeight w:val="174"/>
        </w:trPr>
        <w:tc>
          <w:tcPr>
            <w:tcW w:w="3946" w:type="dxa"/>
            <w:tcBorders>
              <w:top w:val="nil"/>
              <w:left w:val="nil"/>
              <w:bottom w:val="nil"/>
              <w:right w:val="nil"/>
            </w:tcBorders>
            <w:shd w:val="clear" w:color="auto" w:fill="auto"/>
          </w:tcPr>
          <w:p w14:paraId="4E5BAC24" w14:textId="77777777" w:rsidR="00EE0D57" w:rsidRPr="001B015B" w:rsidRDefault="00EE0D57" w:rsidP="0034622E">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Prijenos u Stupanj 2</w:t>
            </w:r>
          </w:p>
        </w:tc>
        <w:tc>
          <w:tcPr>
            <w:tcW w:w="1084" w:type="dxa"/>
            <w:tcBorders>
              <w:top w:val="nil"/>
              <w:left w:val="nil"/>
              <w:bottom w:val="nil"/>
              <w:right w:val="nil"/>
            </w:tcBorders>
            <w:shd w:val="clear" w:color="auto" w:fill="auto"/>
            <w:vAlign w:val="bottom"/>
          </w:tcPr>
          <w:p w14:paraId="2DE7C63C" w14:textId="77777777" w:rsidR="00EE0D57" w:rsidRPr="00852BF5" w:rsidRDefault="00EE0D57" w:rsidP="0034622E">
            <w:pPr>
              <w:jc w:val="right"/>
              <w:rPr>
                <w:rFonts w:ascii="Arial" w:hAnsi="Arial" w:cs="Arial"/>
                <w:sz w:val="18"/>
                <w:szCs w:val="18"/>
              </w:rPr>
            </w:pPr>
            <w:r>
              <w:rPr>
                <w:rFonts w:ascii="Arial" w:hAnsi="Arial" w:cs="Arial"/>
                <w:sz w:val="18"/>
                <w:szCs w:val="18"/>
              </w:rPr>
              <w:t>-</w:t>
            </w:r>
          </w:p>
        </w:tc>
        <w:tc>
          <w:tcPr>
            <w:tcW w:w="1084" w:type="dxa"/>
            <w:tcBorders>
              <w:top w:val="nil"/>
              <w:left w:val="nil"/>
              <w:bottom w:val="nil"/>
              <w:right w:val="nil"/>
            </w:tcBorders>
            <w:shd w:val="clear" w:color="auto" w:fill="auto"/>
            <w:vAlign w:val="bottom"/>
          </w:tcPr>
          <w:p w14:paraId="2FACA784" w14:textId="77777777" w:rsidR="00EE0D57" w:rsidRPr="00852BF5" w:rsidRDefault="00EE0D57" w:rsidP="0034622E">
            <w:pPr>
              <w:jc w:val="right"/>
              <w:rPr>
                <w:rFonts w:ascii="Arial" w:hAnsi="Arial" w:cs="Arial"/>
                <w:sz w:val="18"/>
                <w:szCs w:val="18"/>
              </w:rPr>
            </w:pPr>
            <w:r>
              <w:rPr>
                <w:rFonts w:ascii="Arial" w:hAnsi="Arial" w:cs="Arial"/>
                <w:sz w:val="18"/>
                <w:szCs w:val="18"/>
              </w:rPr>
              <w:t>-</w:t>
            </w:r>
          </w:p>
        </w:tc>
        <w:tc>
          <w:tcPr>
            <w:tcW w:w="1085" w:type="dxa"/>
            <w:tcBorders>
              <w:top w:val="nil"/>
              <w:left w:val="nil"/>
              <w:bottom w:val="nil"/>
              <w:right w:val="nil"/>
            </w:tcBorders>
            <w:shd w:val="clear" w:color="auto" w:fill="auto"/>
            <w:vAlign w:val="bottom"/>
          </w:tcPr>
          <w:p w14:paraId="0DA343E1" w14:textId="77777777" w:rsidR="00EE0D57" w:rsidRPr="00852BF5" w:rsidRDefault="00EE0D57" w:rsidP="0034622E">
            <w:pPr>
              <w:jc w:val="right"/>
              <w:rPr>
                <w:rFonts w:ascii="Arial" w:hAnsi="Arial" w:cs="Arial"/>
                <w:sz w:val="18"/>
                <w:szCs w:val="18"/>
              </w:rPr>
            </w:pPr>
            <w:r>
              <w:rPr>
                <w:rFonts w:ascii="Arial" w:hAnsi="Arial" w:cs="Arial"/>
                <w:sz w:val="18"/>
                <w:szCs w:val="18"/>
              </w:rPr>
              <w:t>-</w:t>
            </w:r>
          </w:p>
        </w:tc>
        <w:tc>
          <w:tcPr>
            <w:tcW w:w="1084" w:type="dxa"/>
            <w:tcBorders>
              <w:top w:val="nil"/>
              <w:left w:val="nil"/>
              <w:bottom w:val="nil"/>
              <w:right w:val="nil"/>
            </w:tcBorders>
            <w:shd w:val="clear" w:color="auto" w:fill="auto"/>
            <w:vAlign w:val="bottom"/>
          </w:tcPr>
          <w:p w14:paraId="4B6FC8CF" w14:textId="77777777" w:rsidR="00EE0D57" w:rsidRPr="00852BF5" w:rsidRDefault="00EE0D57" w:rsidP="0034622E">
            <w:pPr>
              <w:jc w:val="right"/>
              <w:rPr>
                <w:rFonts w:ascii="Arial" w:hAnsi="Arial" w:cs="Arial"/>
                <w:sz w:val="18"/>
                <w:szCs w:val="18"/>
              </w:rPr>
            </w:pPr>
            <w:r>
              <w:rPr>
                <w:rFonts w:ascii="Arial" w:hAnsi="Arial" w:cs="Arial"/>
                <w:sz w:val="18"/>
                <w:szCs w:val="18"/>
              </w:rPr>
              <w:t>-</w:t>
            </w:r>
          </w:p>
        </w:tc>
        <w:tc>
          <w:tcPr>
            <w:tcW w:w="1086" w:type="dxa"/>
            <w:tcBorders>
              <w:top w:val="nil"/>
              <w:left w:val="nil"/>
              <w:bottom w:val="nil"/>
              <w:right w:val="nil"/>
            </w:tcBorders>
            <w:shd w:val="clear" w:color="auto" w:fill="auto"/>
            <w:vAlign w:val="bottom"/>
          </w:tcPr>
          <w:p w14:paraId="1A777E46" w14:textId="77777777" w:rsidR="00EE0D57" w:rsidRPr="005D1219" w:rsidRDefault="00EE0D57" w:rsidP="0034622E">
            <w:pPr>
              <w:jc w:val="right"/>
              <w:rPr>
                <w:rFonts w:ascii="Arial" w:hAnsi="Arial" w:cs="Arial"/>
                <w:b/>
                <w:bCs/>
                <w:sz w:val="18"/>
                <w:szCs w:val="18"/>
              </w:rPr>
            </w:pPr>
            <w:r w:rsidRPr="005D1219">
              <w:rPr>
                <w:rFonts w:ascii="Arial" w:hAnsi="Arial" w:cs="Arial"/>
                <w:b/>
                <w:bCs/>
                <w:sz w:val="18"/>
                <w:szCs w:val="18"/>
              </w:rPr>
              <w:t>-</w:t>
            </w:r>
          </w:p>
        </w:tc>
      </w:tr>
      <w:tr w:rsidR="00EE0D57" w:rsidRPr="001B015B" w14:paraId="79C4BBC5" w14:textId="77777777" w:rsidTr="0034622E">
        <w:trPr>
          <w:trHeight w:val="174"/>
        </w:trPr>
        <w:tc>
          <w:tcPr>
            <w:tcW w:w="3946" w:type="dxa"/>
            <w:tcBorders>
              <w:top w:val="nil"/>
              <w:left w:val="nil"/>
              <w:bottom w:val="nil"/>
              <w:right w:val="nil"/>
            </w:tcBorders>
            <w:shd w:val="clear" w:color="auto" w:fill="auto"/>
          </w:tcPr>
          <w:p w14:paraId="68A79084" w14:textId="77777777" w:rsidR="00EE0D57" w:rsidRPr="001B015B" w:rsidRDefault="00EE0D57" w:rsidP="0034622E">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Prijenos u Stupanj 3</w:t>
            </w:r>
          </w:p>
        </w:tc>
        <w:tc>
          <w:tcPr>
            <w:tcW w:w="1084" w:type="dxa"/>
            <w:tcBorders>
              <w:top w:val="nil"/>
              <w:left w:val="nil"/>
              <w:right w:val="nil"/>
            </w:tcBorders>
            <w:shd w:val="clear" w:color="auto" w:fill="auto"/>
            <w:vAlign w:val="bottom"/>
          </w:tcPr>
          <w:p w14:paraId="7F600711" w14:textId="77777777" w:rsidR="00EE0D57" w:rsidRPr="00852BF5" w:rsidRDefault="00EE0D57" w:rsidP="0034622E">
            <w:pPr>
              <w:jc w:val="right"/>
              <w:rPr>
                <w:rFonts w:ascii="Arial" w:hAnsi="Arial" w:cs="Arial"/>
                <w:sz w:val="18"/>
                <w:szCs w:val="18"/>
              </w:rPr>
            </w:pPr>
            <w:r>
              <w:rPr>
                <w:rFonts w:ascii="Arial" w:hAnsi="Arial" w:cs="Arial"/>
                <w:sz w:val="18"/>
                <w:szCs w:val="18"/>
              </w:rPr>
              <w:t>-</w:t>
            </w:r>
          </w:p>
        </w:tc>
        <w:tc>
          <w:tcPr>
            <w:tcW w:w="1084" w:type="dxa"/>
            <w:tcBorders>
              <w:top w:val="nil"/>
              <w:left w:val="nil"/>
              <w:right w:val="nil"/>
            </w:tcBorders>
            <w:shd w:val="clear" w:color="auto" w:fill="auto"/>
            <w:vAlign w:val="bottom"/>
          </w:tcPr>
          <w:p w14:paraId="21FC25B1" w14:textId="77777777" w:rsidR="00EE0D57" w:rsidRPr="00852BF5" w:rsidRDefault="00EE0D57" w:rsidP="0034622E">
            <w:pPr>
              <w:jc w:val="right"/>
              <w:rPr>
                <w:rFonts w:ascii="Arial" w:hAnsi="Arial" w:cs="Arial"/>
                <w:sz w:val="18"/>
                <w:szCs w:val="18"/>
              </w:rPr>
            </w:pPr>
            <w:r>
              <w:rPr>
                <w:rFonts w:ascii="Arial" w:hAnsi="Arial" w:cs="Arial"/>
                <w:sz w:val="18"/>
                <w:szCs w:val="18"/>
              </w:rPr>
              <w:t>-</w:t>
            </w:r>
          </w:p>
        </w:tc>
        <w:tc>
          <w:tcPr>
            <w:tcW w:w="1085" w:type="dxa"/>
            <w:tcBorders>
              <w:top w:val="nil"/>
              <w:left w:val="nil"/>
              <w:right w:val="nil"/>
            </w:tcBorders>
            <w:shd w:val="clear" w:color="auto" w:fill="auto"/>
            <w:vAlign w:val="bottom"/>
          </w:tcPr>
          <w:p w14:paraId="613EBD5B" w14:textId="77777777" w:rsidR="00EE0D57" w:rsidRPr="00852BF5" w:rsidRDefault="00EE0D57" w:rsidP="0034622E">
            <w:pPr>
              <w:jc w:val="right"/>
              <w:rPr>
                <w:rFonts w:ascii="Arial" w:hAnsi="Arial" w:cs="Arial"/>
                <w:sz w:val="18"/>
                <w:szCs w:val="18"/>
              </w:rPr>
            </w:pPr>
            <w:r>
              <w:rPr>
                <w:rFonts w:ascii="Arial" w:hAnsi="Arial" w:cs="Arial"/>
                <w:sz w:val="18"/>
                <w:szCs w:val="18"/>
              </w:rPr>
              <w:t>-</w:t>
            </w:r>
          </w:p>
        </w:tc>
        <w:tc>
          <w:tcPr>
            <w:tcW w:w="1084" w:type="dxa"/>
            <w:tcBorders>
              <w:top w:val="nil"/>
              <w:left w:val="nil"/>
              <w:right w:val="nil"/>
            </w:tcBorders>
            <w:shd w:val="clear" w:color="auto" w:fill="auto"/>
            <w:vAlign w:val="bottom"/>
          </w:tcPr>
          <w:p w14:paraId="3EF345E4" w14:textId="77777777" w:rsidR="00EE0D57" w:rsidRPr="00852BF5" w:rsidRDefault="00EE0D57" w:rsidP="0034622E">
            <w:pPr>
              <w:jc w:val="right"/>
              <w:rPr>
                <w:rFonts w:ascii="Arial" w:hAnsi="Arial" w:cs="Arial"/>
                <w:sz w:val="18"/>
                <w:szCs w:val="18"/>
              </w:rPr>
            </w:pPr>
            <w:r>
              <w:rPr>
                <w:rFonts w:ascii="Arial" w:hAnsi="Arial" w:cs="Arial"/>
                <w:sz w:val="18"/>
                <w:szCs w:val="18"/>
              </w:rPr>
              <w:t>-</w:t>
            </w:r>
          </w:p>
        </w:tc>
        <w:tc>
          <w:tcPr>
            <w:tcW w:w="1086" w:type="dxa"/>
            <w:tcBorders>
              <w:top w:val="nil"/>
              <w:left w:val="nil"/>
              <w:right w:val="nil"/>
            </w:tcBorders>
            <w:shd w:val="clear" w:color="auto" w:fill="auto"/>
            <w:vAlign w:val="bottom"/>
          </w:tcPr>
          <w:p w14:paraId="15CD2302" w14:textId="77777777" w:rsidR="00EE0D57" w:rsidRPr="005D1219" w:rsidRDefault="00EE0D57" w:rsidP="0034622E">
            <w:pPr>
              <w:jc w:val="right"/>
              <w:rPr>
                <w:rFonts w:ascii="Arial" w:hAnsi="Arial" w:cs="Arial"/>
                <w:b/>
                <w:bCs/>
                <w:sz w:val="18"/>
                <w:szCs w:val="18"/>
              </w:rPr>
            </w:pPr>
            <w:r w:rsidRPr="005D1219">
              <w:rPr>
                <w:rFonts w:ascii="Arial" w:hAnsi="Arial" w:cs="Arial"/>
                <w:b/>
                <w:bCs/>
                <w:sz w:val="18"/>
                <w:szCs w:val="18"/>
              </w:rPr>
              <w:t>-</w:t>
            </w:r>
          </w:p>
        </w:tc>
      </w:tr>
      <w:tr w:rsidR="00EE0D57" w:rsidRPr="001B015B" w14:paraId="24BEB7E4" w14:textId="77777777" w:rsidTr="0034622E">
        <w:trPr>
          <w:trHeight w:val="249"/>
        </w:trPr>
        <w:tc>
          <w:tcPr>
            <w:tcW w:w="3946" w:type="dxa"/>
            <w:tcBorders>
              <w:top w:val="nil"/>
              <w:left w:val="nil"/>
              <w:bottom w:val="nil"/>
              <w:right w:val="nil"/>
            </w:tcBorders>
            <w:shd w:val="clear" w:color="auto" w:fill="auto"/>
            <w:vAlign w:val="center"/>
            <w:hideMark/>
          </w:tcPr>
          <w:p w14:paraId="0B646FAD" w14:textId="77777777" w:rsidR="00EE0D57" w:rsidRPr="001B015B" w:rsidRDefault="00EE0D57" w:rsidP="0034622E">
            <w:pPr>
              <w:rPr>
                <w:rFonts w:ascii="Arial" w:eastAsia="Calibri" w:hAnsi="Arial" w:cs="Arial"/>
                <w:color w:val="000000" w:themeColor="text1"/>
                <w:sz w:val="18"/>
                <w:szCs w:val="18"/>
              </w:rPr>
            </w:pPr>
            <w:r w:rsidRPr="00852BF5">
              <w:rPr>
                <w:rFonts w:ascii="Arial" w:eastAsia="Calibri" w:hAnsi="Arial" w:cs="Arial"/>
                <w:color w:val="000000" w:themeColor="text1"/>
                <w:sz w:val="18"/>
                <w:szCs w:val="18"/>
              </w:rPr>
              <w:t xml:space="preserve">Neto </w:t>
            </w:r>
            <w:r>
              <w:rPr>
                <w:rFonts w:ascii="Arial" w:eastAsia="Calibri" w:hAnsi="Arial" w:cs="Arial"/>
                <w:color w:val="000000" w:themeColor="text1"/>
                <w:sz w:val="18"/>
                <w:szCs w:val="18"/>
              </w:rPr>
              <w:t>povećanje/</w:t>
            </w:r>
            <w:r w:rsidRPr="00852BF5">
              <w:rPr>
                <w:rFonts w:ascii="Arial" w:eastAsia="Calibri" w:hAnsi="Arial" w:cs="Arial"/>
                <w:color w:val="000000" w:themeColor="text1"/>
                <w:sz w:val="18"/>
                <w:szCs w:val="18"/>
              </w:rPr>
              <w:t>(smanjenje)</w:t>
            </w:r>
            <w:r w:rsidRPr="001B015B">
              <w:rPr>
                <w:rFonts w:ascii="Arial" w:eastAsia="Calibri" w:hAnsi="Arial" w:cs="Arial"/>
                <w:color w:val="000000" w:themeColor="text1"/>
                <w:sz w:val="18"/>
                <w:szCs w:val="18"/>
              </w:rPr>
              <w:t xml:space="preserve"> rezerviranja za očekivane gubitke </w:t>
            </w:r>
          </w:p>
        </w:tc>
        <w:tc>
          <w:tcPr>
            <w:tcW w:w="1084" w:type="dxa"/>
            <w:tcBorders>
              <w:top w:val="nil"/>
              <w:left w:val="nil"/>
              <w:bottom w:val="single" w:sz="4" w:space="0" w:color="auto"/>
              <w:right w:val="nil"/>
            </w:tcBorders>
            <w:shd w:val="clear" w:color="auto" w:fill="auto"/>
            <w:vAlign w:val="bottom"/>
          </w:tcPr>
          <w:p w14:paraId="271D041C" w14:textId="77777777" w:rsidR="00EE0D57" w:rsidRPr="00852BF5" w:rsidRDefault="00EE0D57" w:rsidP="0034622E">
            <w:pPr>
              <w:jc w:val="right"/>
              <w:rPr>
                <w:rFonts w:ascii="Arial" w:hAnsi="Arial" w:cs="Arial"/>
                <w:sz w:val="18"/>
                <w:szCs w:val="18"/>
              </w:rPr>
            </w:pPr>
            <w:r w:rsidRPr="00F959D0">
              <w:rPr>
                <w:rFonts w:ascii="Arial" w:hAnsi="Arial" w:cs="Arial"/>
                <w:sz w:val="18"/>
                <w:szCs w:val="18"/>
              </w:rPr>
              <w:t xml:space="preserve"> 61 </w:t>
            </w:r>
          </w:p>
        </w:tc>
        <w:tc>
          <w:tcPr>
            <w:tcW w:w="1084" w:type="dxa"/>
            <w:tcBorders>
              <w:top w:val="nil"/>
              <w:left w:val="nil"/>
              <w:bottom w:val="single" w:sz="4" w:space="0" w:color="auto"/>
              <w:right w:val="nil"/>
            </w:tcBorders>
            <w:shd w:val="clear" w:color="auto" w:fill="auto"/>
            <w:vAlign w:val="bottom"/>
          </w:tcPr>
          <w:p w14:paraId="1F336BDC" w14:textId="77777777" w:rsidR="00EE0D57" w:rsidRPr="00852BF5" w:rsidRDefault="00EE0D57" w:rsidP="0034622E">
            <w:pPr>
              <w:jc w:val="right"/>
              <w:rPr>
                <w:rFonts w:ascii="Arial" w:hAnsi="Arial" w:cs="Arial"/>
                <w:sz w:val="18"/>
                <w:szCs w:val="18"/>
              </w:rPr>
            </w:pPr>
            <w:r w:rsidRPr="00F959D0">
              <w:rPr>
                <w:rFonts w:ascii="Arial" w:hAnsi="Arial" w:cs="Arial"/>
                <w:sz w:val="18"/>
                <w:szCs w:val="18"/>
              </w:rPr>
              <w:t xml:space="preserve"> (1.370)</w:t>
            </w:r>
          </w:p>
        </w:tc>
        <w:tc>
          <w:tcPr>
            <w:tcW w:w="1085" w:type="dxa"/>
            <w:tcBorders>
              <w:top w:val="nil"/>
              <w:left w:val="nil"/>
              <w:bottom w:val="single" w:sz="4" w:space="0" w:color="auto"/>
              <w:right w:val="nil"/>
            </w:tcBorders>
            <w:shd w:val="clear" w:color="auto" w:fill="auto"/>
            <w:vAlign w:val="bottom"/>
          </w:tcPr>
          <w:p w14:paraId="12BD878E" w14:textId="77777777" w:rsidR="00EE0D57" w:rsidRPr="00852BF5" w:rsidRDefault="00EE0D57" w:rsidP="0034622E">
            <w:pPr>
              <w:jc w:val="right"/>
              <w:rPr>
                <w:rFonts w:ascii="Arial" w:hAnsi="Arial" w:cs="Arial"/>
                <w:sz w:val="18"/>
                <w:szCs w:val="18"/>
              </w:rPr>
            </w:pPr>
            <w:r w:rsidRPr="00F959D0">
              <w:rPr>
                <w:rFonts w:ascii="Arial" w:hAnsi="Arial" w:cs="Arial"/>
                <w:sz w:val="18"/>
                <w:szCs w:val="18"/>
              </w:rPr>
              <w:t xml:space="preserve"> (37)</w:t>
            </w:r>
          </w:p>
        </w:tc>
        <w:tc>
          <w:tcPr>
            <w:tcW w:w="1084" w:type="dxa"/>
            <w:tcBorders>
              <w:top w:val="nil"/>
              <w:left w:val="nil"/>
              <w:bottom w:val="single" w:sz="4" w:space="0" w:color="auto"/>
              <w:right w:val="nil"/>
            </w:tcBorders>
            <w:shd w:val="clear" w:color="auto" w:fill="auto"/>
            <w:vAlign w:val="bottom"/>
          </w:tcPr>
          <w:p w14:paraId="0C0601A5" w14:textId="5126AE10" w:rsidR="00EE0D57" w:rsidRPr="00852BF5" w:rsidRDefault="002916DF" w:rsidP="0034622E">
            <w:pPr>
              <w:jc w:val="right"/>
              <w:rPr>
                <w:rFonts w:ascii="Arial" w:hAnsi="Arial" w:cs="Arial"/>
                <w:sz w:val="18"/>
                <w:szCs w:val="18"/>
              </w:rPr>
            </w:pPr>
            <w:r>
              <w:rPr>
                <w:rFonts w:ascii="Arial" w:hAnsi="Arial" w:cs="Arial"/>
                <w:sz w:val="18"/>
                <w:szCs w:val="18"/>
              </w:rPr>
              <w:t>-</w:t>
            </w:r>
          </w:p>
        </w:tc>
        <w:tc>
          <w:tcPr>
            <w:tcW w:w="1086" w:type="dxa"/>
            <w:tcBorders>
              <w:top w:val="nil"/>
              <w:left w:val="nil"/>
              <w:bottom w:val="single" w:sz="4" w:space="0" w:color="auto"/>
              <w:right w:val="nil"/>
            </w:tcBorders>
            <w:shd w:val="clear" w:color="auto" w:fill="auto"/>
            <w:vAlign w:val="bottom"/>
          </w:tcPr>
          <w:p w14:paraId="5D79CD1D" w14:textId="77777777" w:rsidR="00EE0D57" w:rsidRPr="005D1219" w:rsidRDefault="00EE0D57" w:rsidP="0034622E">
            <w:pPr>
              <w:jc w:val="right"/>
              <w:rPr>
                <w:rFonts w:ascii="Arial" w:hAnsi="Arial" w:cs="Arial"/>
                <w:b/>
                <w:bCs/>
                <w:sz w:val="18"/>
                <w:szCs w:val="18"/>
              </w:rPr>
            </w:pPr>
            <w:r w:rsidRPr="005D1219">
              <w:rPr>
                <w:rFonts w:ascii="Arial" w:hAnsi="Arial" w:cs="Arial"/>
                <w:b/>
                <w:bCs/>
                <w:sz w:val="18"/>
                <w:szCs w:val="18"/>
              </w:rPr>
              <w:t xml:space="preserve"> (1.346)</w:t>
            </w:r>
          </w:p>
        </w:tc>
      </w:tr>
      <w:tr w:rsidR="00EE0D57" w:rsidRPr="001B015B" w14:paraId="3BB0AA71" w14:textId="77777777" w:rsidTr="0034622E">
        <w:trPr>
          <w:trHeight w:val="182"/>
        </w:trPr>
        <w:tc>
          <w:tcPr>
            <w:tcW w:w="3946" w:type="dxa"/>
            <w:tcBorders>
              <w:top w:val="nil"/>
              <w:left w:val="nil"/>
              <w:bottom w:val="nil"/>
              <w:right w:val="nil"/>
            </w:tcBorders>
            <w:shd w:val="clear" w:color="auto" w:fill="auto"/>
            <w:vAlign w:val="bottom"/>
            <w:hideMark/>
          </w:tcPr>
          <w:p w14:paraId="43A15DF3" w14:textId="77777777" w:rsidR="00EE0D57" w:rsidRPr="001B015B" w:rsidRDefault="00EE0D57" w:rsidP="0034622E">
            <w:pPr>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Stanje 31. prosinca 202</w:t>
            </w:r>
            <w:r>
              <w:rPr>
                <w:rFonts w:ascii="Arial" w:eastAsia="Calibri" w:hAnsi="Arial" w:cs="Arial"/>
                <w:b/>
                <w:bCs/>
                <w:color w:val="000000" w:themeColor="text1"/>
                <w:sz w:val="18"/>
                <w:szCs w:val="18"/>
              </w:rPr>
              <w:t>3</w:t>
            </w:r>
            <w:r w:rsidRPr="001B015B">
              <w:rPr>
                <w:rFonts w:ascii="Arial" w:eastAsia="Calibri" w:hAnsi="Arial" w:cs="Arial"/>
                <w:b/>
                <w:bCs/>
                <w:color w:val="000000" w:themeColor="text1"/>
                <w:sz w:val="18"/>
                <w:szCs w:val="18"/>
              </w:rPr>
              <w:t>.</w:t>
            </w:r>
          </w:p>
        </w:tc>
        <w:tc>
          <w:tcPr>
            <w:tcW w:w="1084" w:type="dxa"/>
            <w:tcBorders>
              <w:top w:val="single" w:sz="4" w:space="0" w:color="auto"/>
              <w:left w:val="nil"/>
              <w:bottom w:val="single" w:sz="12" w:space="0" w:color="auto"/>
              <w:right w:val="nil"/>
            </w:tcBorders>
            <w:shd w:val="clear" w:color="auto" w:fill="auto"/>
            <w:vAlign w:val="bottom"/>
          </w:tcPr>
          <w:p w14:paraId="209E0EFE" w14:textId="77777777" w:rsidR="00EE0D57" w:rsidRPr="00852BF5" w:rsidRDefault="00EE0D57" w:rsidP="0034622E">
            <w:pPr>
              <w:jc w:val="right"/>
              <w:rPr>
                <w:rFonts w:ascii="Arial" w:hAnsi="Arial" w:cs="Arial"/>
                <w:b/>
                <w:bCs/>
                <w:sz w:val="18"/>
                <w:szCs w:val="18"/>
              </w:rPr>
            </w:pPr>
            <w:r w:rsidRPr="00F959D0">
              <w:rPr>
                <w:rFonts w:ascii="Arial" w:hAnsi="Arial" w:cs="Arial"/>
                <w:b/>
                <w:bCs/>
                <w:sz w:val="18"/>
                <w:szCs w:val="18"/>
              </w:rPr>
              <w:t xml:space="preserve"> 4.163 </w:t>
            </w:r>
          </w:p>
        </w:tc>
        <w:tc>
          <w:tcPr>
            <w:tcW w:w="1084" w:type="dxa"/>
            <w:tcBorders>
              <w:top w:val="single" w:sz="4" w:space="0" w:color="auto"/>
              <w:left w:val="nil"/>
              <w:bottom w:val="single" w:sz="12" w:space="0" w:color="auto"/>
              <w:right w:val="nil"/>
            </w:tcBorders>
            <w:shd w:val="clear" w:color="auto" w:fill="auto"/>
            <w:vAlign w:val="bottom"/>
          </w:tcPr>
          <w:p w14:paraId="6AB1E656" w14:textId="77777777" w:rsidR="00EE0D57" w:rsidRPr="00852BF5" w:rsidRDefault="00EE0D57" w:rsidP="0034622E">
            <w:pPr>
              <w:jc w:val="right"/>
              <w:rPr>
                <w:rFonts w:ascii="Arial" w:hAnsi="Arial" w:cs="Arial"/>
                <w:b/>
                <w:bCs/>
                <w:sz w:val="18"/>
                <w:szCs w:val="18"/>
              </w:rPr>
            </w:pPr>
            <w:r w:rsidRPr="00F959D0">
              <w:rPr>
                <w:rFonts w:ascii="Arial" w:hAnsi="Arial" w:cs="Arial"/>
                <w:b/>
                <w:bCs/>
                <w:sz w:val="18"/>
                <w:szCs w:val="18"/>
              </w:rPr>
              <w:t xml:space="preserve"> 1.707 </w:t>
            </w:r>
          </w:p>
        </w:tc>
        <w:tc>
          <w:tcPr>
            <w:tcW w:w="1085" w:type="dxa"/>
            <w:tcBorders>
              <w:top w:val="single" w:sz="4" w:space="0" w:color="auto"/>
              <w:left w:val="nil"/>
              <w:bottom w:val="single" w:sz="12" w:space="0" w:color="auto"/>
              <w:right w:val="nil"/>
            </w:tcBorders>
            <w:shd w:val="clear" w:color="auto" w:fill="auto"/>
            <w:vAlign w:val="bottom"/>
          </w:tcPr>
          <w:p w14:paraId="45DE56B2" w14:textId="77777777" w:rsidR="00EE0D57" w:rsidRPr="00852BF5" w:rsidRDefault="00EE0D57" w:rsidP="0034622E">
            <w:pPr>
              <w:jc w:val="right"/>
              <w:rPr>
                <w:rFonts w:ascii="Arial" w:hAnsi="Arial" w:cs="Arial"/>
                <w:b/>
                <w:bCs/>
                <w:sz w:val="18"/>
                <w:szCs w:val="18"/>
              </w:rPr>
            </w:pPr>
            <w:r w:rsidRPr="00F959D0">
              <w:rPr>
                <w:rFonts w:ascii="Arial" w:hAnsi="Arial" w:cs="Arial"/>
                <w:b/>
                <w:bCs/>
                <w:sz w:val="18"/>
                <w:szCs w:val="18"/>
              </w:rPr>
              <w:t xml:space="preserve"> 857 </w:t>
            </w:r>
          </w:p>
        </w:tc>
        <w:tc>
          <w:tcPr>
            <w:tcW w:w="1084" w:type="dxa"/>
            <w:tcBorders>
              <w:top w:val="single" w:sz="4" w:space="0" w:color="auto"/>
              <w:left w:val="nil"/>
              <w:bottom w:val="single" w:sz="12" w:space="0" w:color="auto"/>
              <w:right w:val="nil"/>
            </w:tcBorders>
            <w:shd w:val="clear" w:color="auto" w:fill="auto"/>
            <w:vAlign w:val="bottom"/>
          </w:tcPr>
          <w:p w14:paraId="7DB0C240" w14:textId="77777777" w:rsidR="00EE0D57" w:rsidRPr="00852BF5" w:rsidRDefault="00EE0D57" w:rsidP="0034622E">
            <w:pPr>
              <w:jc w:val="right"/>
              <w:rPr>
                <w:rFonts w:ascii="Arial" w:hAnsi="Arial" w:cs="Arial"/>
                <w:b/>
                <w:bCs/>
                <w:sz w:val="18"/>
                <w:szCs w:val="18"/>
              </w:rPr>
            </w:pPr>
            <w:r w:rsidRPr="00F959D0">
              <w:rPr>
                <w:rFonts w:ascii="Arial" w:hAnsi="Arial" w:cs="Arial"/>
                <w:b/>
                <w:bCs/>
                <w:sz w:val="18"/>
                <w:szCs w:val="18"/>
              </w:rPr>
              <w:t xml:space="preserve"> - </w:t>
            </w:r>
          </w:p>
        </w:tc>
        <w:tc>
          <w:tcPr>
            <w:tcW w:w="1086" w:type="dxa"/>
            <w:tcBorders>
              <w:top w:val="single" w:sz="4" w:space="0" w:color="auto"/>
              <w:left w:val="nil"/>
              <w:bottom w:val="single" w:sz="12" w:space="0" w:color="auto"/>
              <w:right w:val="nil"/>
            </w:tcBorders>
            <w:shd w:val="clear" w:color="auto" w:fill="auto"/>
            <w:vAlign w:val="bottom"/>
          </w:tcPr>
          <w:p w14:paraId="01191E6B" w14:textId="77777777" w:rsidR="00EE0D57" w:rsidRPr="00852BF5" w:rsidRDefault="00EE0D57" w:rsidP="0034622E">
            <w:pPr>
              <w:jc w:val="right"/>
              <w:rPr>
                <w:rFonts w:ascii="Arial" w:hAnsi="Arial" w:cs="Arial"/>
                <w:b/>
                <w:bCs/>
                <w:sz w:val="18"/>
                <w:szCs w:val="18"/>
              </w:rPr>
            </w:pPr>
            <w:r w:rsidRPr="00F959D0">
              <w:rPr>
                <w:rFonts w:ascii="Arial" w:hAnsi="Arial" w:cs="Arial"/>
                <w:b/>
                <w:bCs/>
                <w:sz w:val="18"/>
                <w:szCs w:val="18"/>
              </w:rPr>
              <w:t xml:space="preserve"> 6.727 </w:t>
            </w:r>
          </w:p>
        </w:tc>
      </w:tr>
    </w:tbl>
    <w:p w14:paraId="220360FD"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050A733D" w14:textId="77777777" w:rsidR="00D92646" w:rsidRPr="003D1614" w:rsidRDefault="00D92646" w:rsidP="001A0FCB">
      <w:pPr>
        <w:suppressAutoHyphens/>
        <w:autoSpaceDN w:val="0"/>
        <w:jc w:val="both"/>
        <w:rPr>
          <w:rFonts w:ascii="Arial" w:eastAsia="Times New Roman" w:hAnsi="Arial" w:cs="Arial"/>
          <w:color w:val="000000" w:themeColor="text1"/>
          <w:sz w:val="20"/>
          <w:szCs w:val="20"/>
        </w:rPr>
        <w:sectPr w:rsidR="00D92646" w:rsidRPr="003D1614" w:rsidSect="003278AB">
          <w:pgSz w:w="11906" w:h="16838"/>
          <w:pgMar w:top="1417" w:right="1417" w:bottom="1417" w:left="1417" w:header="708" w:footer="708" w:gutter="0"/>
          <w:cols w:space="708"/>
          <w:docGrid w:linePitch="360"/>
        </w:sectPr>
      </w:pPr>
    </w:p>
    <w:p w14:paraId="56883E25"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43C4F240" w14:textId="38953682"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758E4ECC"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6F71E83C" w14:textId="212153FB"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.3. </w:t>
      </w:r>
      <w:r w:rsidRPr="003D1614">
        <w:rPr>
          <w:rFonts w:ascii="Arial" w:eastAsia="Times New Roman" w:hAnsi="Arial" w:cs="Arial"/>
          <w:b/>
          <w:bCs/>
          <w:color w:val="000000" w:themeColor="text1"/>
          <w:sz w:val="20"/>
          <w:szCs w:val="20"/>
        </w:rPr>
        <w:tab/>
        <w:t>Kreditni rizik (nastavak)</w:t>
      </w:r>
    </w:p>
    <w:p w14:paraId="7FE73703"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6436599C" w14:textId="77777777" w:rsidR="00D92646" w:rsidRPr="003D1614" w:rsidRDefault="00D92646" w:rsidP="00D92646">
      <w:pPr>
        <w:keepNext/>
        <w:tabs>
          <w:tab w:val="left" w:pos="284"/>
        </w:tabs>
        <w:suppressAutoHyphens/>
        <w:autoSpaceDN w:val="0"/>
        <w:jc w:val="both"/>
        <w:rPr>
          <w:rFonts w:ascii="Arial" w:eastAsia="Times New Roman" w:hAnsi="Arial" w:cs="Arial"/>
          <w:bCs/>
          <w:i/>
          <w:color w:val="000000" w:themeColor="text1"/>
          <w:sz w:val="20"/>
          <w:szCs w:val="20"/>
        </w:rPr>
      </w:pPr>
      <w:r w:rsidRPr="003D1614">
        <w:rPr>
          <w:rFonts w:ascii="Arial" w:eastAsia="Times New Roman" w:hAnsi="Arial" w:cs="Arial"/>
          <w:bCs/>
          <w:i/>
          <w:color w:val="000000" w:themeColor="text1"/>
          <w:sz w:val="20"/>
          <w:szCs w:val="20"/>
        </w:rPr>
        <w:t>i.</w:t>
      </w:r>
      <w:r w:rsidRPr="003D1614">
        <w:rPr>
          <w:rFonts w:ascii="Arial" w:eastAsia="Times New Roman" w:hAnsi="Arial" w:cs="Arial"/>
          <w:bCs/>
          <w:i/>
          <w:color w:val="000000" w:themeColor="text1"/>
          <w:sz w:val="20"/>
          <w:szCs w:val="20"/>
        </w:rPr>
        <w:tab/>
        <w:t>Promjene po rezerviranjima (nastavak)</w:t>
      </w:r>
    </w:p>
    <w:p w14:paraId="1418A8B1"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110C3AD0"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Krediti ostalim korisnicima</w:t>
      </w:r>
    </w:p>
    <w:p w14:paraId="1D38ECFF"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tbl>
      <w:tblPr>
        <w:tblW w:w="9363" w:type="dxa"/>
        <w:tblInd w:w="-180" w:type="dxa"/>
        <w:tblLayout w:type="fixed"/>
        <w:tblLook w:val="04A0" w:firstRow="1" w:lastRow="0" w:firstColumn="1" w:lastColumn="0" w:noHBand="0" w:noVBand="1"/>
      </w:tblPr>
      <w:tblGrid>
        <w:gridCol w:w="3912"/>
        <w:gridCol w:w="1081"/>
        <w:gridCol w:w="1082"/>
        <w:gridCol w:w="1081"/>
        <w:gridCol w:w="1048"/>
        <w:gridCol w:w="1159"/>
      </w:tblGrid>
      <w:tr w:rsidR="00D92646" w:rsidRPr="003D1614" w14:paraId="1BAF8F62" w14:textId="77777777" w:rsidTr="007478FB">
        <w:trPr>
          <w:trHeight w:val="159"/>
        </w:trPr>
        <w:tc>
          <w:tcPr>
            <w:tcW w:w="3912" w:type="dxa"/>
            <w:vAlign w:val="bottom"/>
            <w:hideMark/>
          </w:tcPr>
          <w:p w14:paraId="2BE8A54A" w14:textId="77777777" w:rsidR="00D92646" w:rsidRPr="003D1614" w:rsidRDefault="00D92646" w:rsidP="00D92646">
            <w:pPr>
              <w:suppressAutoHyphens/>
              <w:autoSpaceDN w:val="0"/>
              <w:spacing w:line="256" w:lineRule="auto"/>
              <w:rPr>
                <w:rFonts w:ascii="Arial" w:eastAsia="Calibri" w:hAnsi="Arial" w:cs="Arial"/>
                <w:b/>
                <w:bCs/>
                <w:color w:val="000000" w:themeColor="text1"/>
                <w:sz w:val="18"/>
                <w:szCs w:val="18"/>
              </w:rPr>
            </w:pPr>
            <w:bookmarkStart w:id="744" w:name="_Hlk24387066"/>
            <w:r w:rsidRPr="003D1614">
              <w:rPr>
                <w:rFonts w:ascii="Arial" w:eastAsia="Calibri" w:hAnsi="Arial" w:cs="Arial"/>
                <w:b/>
                <w:bCs/>
                <w:color w:val="000000" w:themeColor="text1"/>
                <w:sz w:val="18"/>
                <w:szCs w:val="18"/>
              </w:rPr>
              <w:t>Grupa i Banka</w:t>
            </w:r>
          </w:p>
        </w:tc>
        <w:tc>
          <w:tcPr>
            <w:tcW w:w="1081" w:type="dxa"/>
            <w:vAlign w:val="bottom"/>
          </w:tcPr>
          <w:p w14:paraId="1719D9A2" w14:textId="77777777" w:rsidR="00D92646" w:rsidRPr="003D1614" w:rsidRDefault="00D92646" w:rsidP="00D92646">
            <w:pPr>
              <w:suppressAutoHyphens/>
              <w:autoSpaceDN w:val="0"/>
              <w:spacing w:line="256" w:lineRule="auto"/>
              <w:jc w:val="right"/>
              <w:rPr>
                <w:rFonts w:ascii="Arial" w:eastAsia="Calibri" w:hAnsi="Arial" w:cs="Arial"/>
                <w:b/>
                <w:bCs/>
                <w:color w:val="000000" w:themeColor="text1"/>
                <w:sz w:val="18"/>
                <w:szCs w:val="18"/>
              </w:rPr>
            </w:pPr>
          </w:p>
        </w:tc>
        <w:tc>
          <w:tcPr>
            <w:tcW w:w="1082" w:type="dxa"/>
            <w:vAlign w:val="bottom"/>
          </w:tcPr>
          <w:p w14:paraId="55BED5D8" w14:textId="77777777" w:rsidR="00D92646" w:rsidRPr="003D1614" w:rsidRDefault="00D92646" w:rsidP="00D92646">
            <w:pPr>
              <w:suppressAutoHyphens/>
              <w:autoSpaceDN w:val="0"/>
              <w:spacing w:line="256" w:lineRule="auto"/>
              <w:jc w:val="right"/>
              <w:rPr>
                <w:rFonts w:ascii="Arial" w:eastAsia="Calibri" w:hAnsi="Arial" w:cs="Arial"/>
                <w:b/>
                <w:bCs/>
                <w:color w:val="000000" w:themeColor="text1"/>
                <w:sz w:val="18"/>
                <w:szCs w:val="18"/>
              </w:rPr>
            </w:pPr>
          </w:p>
        </w:tc>
        <w:tc>
          <w:tcPr>
            <w:tcW w:w="1081" w:type="dxa"/>
            <w:vAlign w:val="bottom"/>
          </w:tcPr>
          <w:p w14:paraId="151EAFF0" w14:textId="77777777" w:rsidR="00D92646" w:rsidRPr="003D1614" w:rsidRDefault="00D92646" w:rsidP="00D92646">
            <w:pPr>
              <w:suppressAutoHyphens/>
              <w:autoSpaceDN w:val="0"/>
              <w:spacing w:line="256" w:lineRule="auto"/>
              <w:jc w:val="right"/>
              <w:rPr>
                <w:rFonts w:ascii="Arial" w:eastAsia="Calibri" w:hAnsi="Arial" w:cs="Arial"/>
                <w:b/>
                <w:bCs/>
                <w:color w:val="000000" w:themeColor="text1"/>
                <w:sz w:val="18"/>
                <w:szCs w:val="18"/>
              </w:rPr>
            </w:pPr>
          </w:p>
        </w:tc>
        <w:tc>
          <w:tcPr>
            <w:tcW w:w="1048" w:type="dxa"/>
            <w:vAlign w:val="bottom"/>
          </w:tcPr>
          <w:p w14:paraId="55505650" w14:textId="77777777" w:rsidR="00D92646" w:rsidRPr="003D1614" w:rsidRDefault="00D92646" w:rsidP="00D92646">
            <w:pPr>
              <w:suppressAutoHyphens/>
              <w:autoSpaceDN w:val="0"/>
              <w:spacing w:line="256" w:lineRule="auto"/>
              <w:jc w:val="right"/>
              <w:rPr>
                <w:rFonts w:ascii="Arial" w:eastAsia="Calibri" w:hAnsi="Arial" w:cs="Arial"/>
                <w:b/>
                <w:bCs/>
                <w:color w:val="000000" w:themeColor="text1"/>
                <w:sz w:val="18"/>
                <w:szCs w:val="18"/>
              </w:rPr>
            </w:pPr>
          </w:p>
        </w:tc>
        <w:tc>
          <w:tcPr>
            <w:tcW w:w="1159" w:type="dxa"/>
            <w:vAlign w:val="bottom"/>
          </w:tcPr>
          <w:p w14:paraId="060C29E3" w14:textId="77777777" w:rsidR="00D92646" w:rsidRPr="003D1614" w:rsidRDefault="00D92646" w:rsidP="00D92646">
            <w:pPr>
              <w:suppressAutoHyphens/>
              <w:autoSpaceDN w:val="0"/>
              <w:spacing w:line="256" w:lineRule="auto"/>
              <w:jc w:val="right"/>
              <w:rPr>
                <w:rFonts w:ascii="Arial" w:eastAsia="Calibri" w:hAnsi="Arial" w:cs="Arial"/>
                <w:b/>
                <w:bCs/>
                <w:color w:val="000000" w:themeColor="text1"/>
                <w:sz w:val="18"/>
                <w:szCs w:val="18"/>
              </w:rPr>
            </w:pPr>
          </w:p>
        </w:tc>
      </w:tr>
      <w:tr w:rsidR="00D92646" w:rsidRPr="003D1614" w14:paraId="50312918" w14:textId="77777777" w:rsidTr="007478FB">
        <w:trPr>
          <w:trHeight w:val="159"/>
        </w:trPr>
        <w:tc>
          <w:tcPr>
            <w:tcW w:w="3912" w:type="dxa"/>
            <w:tcBorders>
              <w:top w:val="nil"/>
              <w:left w:val="nil"/>
              <w:bottom w:val="nil"/>
              <w:right w:val="nil"/>
            </w:tcBorders>
            <w:shd w:val="clear" w:color="auto" w:fill="auto"/>
            <w:vAlign w:val="bottom"/>
            <w:hideMark/>
          </w:tcPr>
          <w:p w14:paraId="391C52A2" w14:textId="3DF29078" w:rsidR="00D92646" w:rsidRPr="003D1614" w:rsidRDefault="00881155" w:rsidP="00D92646">
            <w:pPr>
              <w:suppressAutoHyphens/>
              <w:autoSpaceDN w:val="0"/>
              <w:spacing w:line="256" w:lineRule="auto"/>
              <w:rPr>
                <w:rFonts w:ascii="Arial" w:eastAsia="Calibri" w:hAnsi="Arial" w:cs="Arial"/>
                <w:b/>
                <w:bCs/>
                <w:color w:val="000000" w:themeColor="text1"/>
                <w:sz w:val="18"/>
                <w:szCs w:val="18"/>
              </w:rPr>
            </w:pPr>
            <w:r w:rsidRPr="00881155">
              <w:rPr>
                <w:rFonts w:ascii="Arial" w:eastAsia="Calibri" w:hAnsi="Arial" w:cs="Arial"/>
                <w:b/>
                <w:bCs/>
                <w:color w:val="000000" w:themeColor="text1"/>
                <w:sz w:val="18"/>
                <w:szCs w:val="18"/>
              </w:rPr>
              <w:t>30. rujna 202</w:t>
            </w:r>
            <w:r w:rsidR="00F222FE">
              <w:rPr>
                <w:rFonts w:ascii="Arial" w:eastAsia="Calibri" w:hAnsi="Arial" w:cs="Arial"/>
                <w:b/>
                <w:bCs/>
                <w:color w:val="000000" w:themeColor="text1"/>
                <w:sz w:val="18"/>
                <w:szCs w:val="18"/>
              </w:rPr>
              <w:t>4</w:t>
            </w:r>
            <w:r w:rsidRPr="00881155">
              <w:rPr>
                <w:rFonts w:ascii="Arial" w:eastAsia="Calibri" w:hAnsi="Arial" w:cs="Arial"/>
                <w:b/>
                <w:bCs/>
                <w:color w:val="000000" w:themeColor="text1"/>
                <w:sz w:val="18"/>
                <w:szCs w:val="18"/>
              </w:rPr>
              <w:t>.</w:t>
            </w:r>
          </w:p>
        </w:tc>
        <w:tc>
          <w:tcPr>
            <w:tcW w:w="1081" w:type="dxa"/>
            <w:vAlign w:val="bottom"/>
            <w:hideMark/>
          </w:tcPr>
          <w:p w14:paraId="0E9AD4E4" w14:textId="77777777" w:rsidR="00D92646" w:rsidRPr="003D1614" w:rsidRDefault="00D92646" w:rsidP="00D92646">
            <w:pPr>
              <w:suppressAutoHyphens/>
              <w:autoSpaceDN w:val="0"/>
              <w:spacing w:line="256" w:lineRule="auto"/>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1</w:t>
            </w:r>
          </w:p>
        </w:tc>
        <w:tc>
          <w:tcPr>
            <w:tcW w:w="1082" w:type="dxa"/>
            <w:vAlign w:val="bottom"/>
            <w:hideMark/>
          </w:tcPr>
          <w:p w14:paraId="64E5DF9B" w14:textId="77777777" w:rsidR="00D92646" w:rsidRPr="003D1614" w:rsidRDefault="00D92646" w:rsidP="00D92646">
            <w:pPr>
              <w:suppressAutoHyphens/>
              <w:autoSpaceDN w:val="0"/>
              <w:spacing w:line="256" w:lineRule="auto"/>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2</w:t>
            </w:r>
          </w:p>
        </w:tc>
        <w:tc>
          <w:tcPr>
            <w:tcW w:w="1081" w:type="dxa"/>
            <w:vAlign w:val="bottom"/>
            <w:hideMark/>
          </w:tcPr>
          <w:p w14:paraId="61C020A9" w14:textId="77777777" w:rsidR="00D92646" w:rsidRPr="003D1614" w:rsidRDefault="00D92646" w:rsidP="00D92646">
            <w:pPr>
              <w:suppressAutoHyphens/>
              <w:autoSpaceDN w:val="0"/>
              <w:spacing w:line="256" w:lineRule="auto"/>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3</w:t>
            </w:r>
          </w:p>
        </w:tc>
        <w:tc>
          <w:tcPr>
            <w:tcW w:w="1048" w:type="dxa"/>
            <w:vAlign w:val="bottom"/>
            <w:hideMark/>
          </w:tcPr>
          <w:p w14:paraId="22B1EE0E" w14:textId="77777777" w:rsidR="00D92646" w:rsidRPr="003D1614" w:rsidRDefault="00D92646" w:rsidP="00D92646">
            <w:pPr>
              <w:suppressAutoHyphens/>
              <w:autoSpaceDN w:val="0"/>
              <w:spacing w:line="256" w:lineRule="auto"/>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POCI</w:t>
            </w:r>
          </w:p>
        </w:tc>
        <w:tc>
          <w:tcPr>
            <w:tcW w:w="1159" w:type="dxa"/>
            <w:vAlign w:val="bottom"/>
            <w:hideMark/>
          </w:tcPr>
          <w:p w14:paraId="1F064FD4" w14:textId="77777777" w:rsidR="00D92646" w:rsidRPr="003D1614" w:rsidRDefault="00D92646" w:rsidP="00D92646">
            <w:pPr>
              <w:suppressAutoHyphens/>
              <w:autoSpaceDN w:val="0"/>
              <w:spacing w:line="256" w:lineRule="auto"/>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Ukupno</w:t>
            </w:r>
          </w:p>
        </w:tc>
      </w:tr>
      <w:tr w:rsidR="00D92646" w:rsidRPr="003D1614" w14:paraId="256F0334" w14:textId="77777777" w:rsidTr="007478FB">
        <w:trPr>
          <w:trHeight w:val="159"/>
        </w:trPr>
        <w:tc>
          <w:tcPr>
            <w:tcW w:w="3912" w:type="dxa"/>
            <w:tcBorders>
              <w:top w:val="nil"/>
              <w:left w:val="nil"/>
              <w:bottom w:val="nil"/>
              <w:right w:val="nil"/>
            </w:tcBorders>
            <w:shd w:val="clear" w:color="auto" w:fill="auto"/>
            <w:vAlign w:val="bottom"/>
            <w:hideMark/>
          </w:tcPr>
          <w:p w14:paraId="09025696" w14:textId="77777777" w:rsidR="00D92646" w:rsidRPr="003D1614" w:rsidRDefault="00D92646" w:rsidP="00D92646">
            <w:pPr>
              <w:suppressAutoHyphens/>
              <w:autoSpaceDN w:val="0"/>
              <w:rPr>
                <w:rFonts w:ascii="Arial" w:eastAsia="Calibri" w:hAnsi="Arial" w:cs="Arial"/>
                <w:b/>
                <w:bCs/>
                <w:color w:val="000000" w:themeColor="text1"/>
                <w:sz w:val="18"/>
                <w:szCs w:val="18"/>
              </w:rPr>
            </w:pPr>
          </w:p>
        </w:tc>
        <w:tc>
          <w:tcPr>
            <w:tcW w:w="1081" w:type="dxa"/>
            <w:vAlign w:val="bottom"/>
            <w:hideMark/>
          </w:tcPr>
          <w:p w14:paraId="39C07C4E" w14:textId="6AA83FEF" w:rsidR="00D92646" w:rsidRPr="003D1614" w:rsidRDefault="00D92646" w:rsidP="00D92646">
            <w:pPr>
              <w:suppressAutoHyphens/>
              <w:autoSpaceDN w:val="0"/>
              <w:spacing w:line="256" w:lineRule="auto"/>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82" w:type="dxa"/>
            <w:vAlign w:val="bottom"/>
            <w:hideMark/>
          </w:tcPr>
          <w:p w14:paraId="286D7E93" w14:textId="2FBCEA1B" w:rsidR="00D92646" w:rsidRPr="003D1614" w:rsidRDefault="00D92646" w:rsidP="00D92646">
            <w:pPr>
              <w:suppressAutoHyphens/>
              <w:autoSpaceDN w:val="0"/>
              <w:spacing w:line="256" w:lineRule="auto"/>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81" w:type="dxa"/>
            <w:vAlign w:val="bottom"/>
            <w:hideMark/>
          </w:tcPr>
          <w:p w14:paraId="0B9D96C3" w14:textId="79B91B5D" w:rsidR="00D92646" w:rsidRPr="003D1614" w:rsidRDefault="00D92646" w:rsidP="00D92646">
            <w:pPr>
              <w:suppressAutoHyphens/>
              <w:autoSpaceDN w:val="0"/>
              <w:spacing w:line="256" w:lineRule="auto"/>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48" w:type="dxa"/>
            <w:vAlign w:val="bottom"/>
            <w:hideMark/>
          </w:tcPr>
          <w:p w14:paraId="37AD63A6" w14:textId="5513B223" w:rsidR="00D92646" w:rsidRPr="003D1614" w:rsidRDefault="00D92646" w:rsidP="00D92646">
            <w:pPr>
              <w:suppressAutoHyphens/>
              <w:autoSpaceDN w:val="0"/>
              <w:spacing w:line="256" w:lineRule="auto"/>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159" w:type="dxa"/>
            <w:vAlign w:val="bottom"/>
            <w:hideMark/>
          </w:tcPr>
          <w:p w14:paraId="11D4A29C" w14:textId="46C0A0C4" w:rsidR="00D92646" w:rsidRPr="003D1614" w:rsidRDefault="00D92646" w:rsidP="00D92646">
            <w:pPr>
              <w:suppressAutoHyphens/>
              <w:autoSpaceDN w:val="0"/>
              <w:spacing w:line="256" w:lineRule="auto"/>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r>
      <w:tr w:rsidR="00D92646" w:rsidRPr="003D1614" w14:paraId="34BC4DDA" w14:textId="77777777" w:rsidTr="004E0091">
        <w:trPr>
          <w:trHeight w:val="159"/>
        </w:trPr>
        <w:tc>
          <w:tcPr>
            <w:tcW w:w="3912" w:type="dxa"/>
            <w:tcBorders>
              <w:top w:val="nil"/>
              <w:left w:val="nil"/>
              <w:bottom w:val="nil"/>
              <w:right w:val="nil"/>
            </w:tcBorders>
            <w:shd w:val="clear" w:color="auto" w:fill="auto"/>
            <w:vAlign w:val="bottom"/>
          </w:tcPr>
          <w:p w14:paraId="2EDAB523" w14:textId="77777777" w:rsidR="00D92646" w:rsidRPr="003D1614" w:rsidRDefault="00D92646" w:rsidP="00D92646">
            <w:pPr>
              <w:suppressAutoHyphens/>
              <w:autoSpaceDN w:val="0"/>
              <w:spacing w:line="256" w:lineRule="auto"/>
              <w:rPr>
                <w:rFonts w:ascii="Arial" w:eastAsia="Calibri" w:hAnsi="Arial" w:cs="Arial"/>
                <w:b/>
                <w:bCs/>
                <w:color w:val="000000" w:themeColor="text1"/>
                <w:sz w:val="18"/>
                <w:szCs w:val="18"/>
              </w:rPr>
            </w:pPr>
          </w:p>
        </w:tc>
        <w:tc>
          <w:tcPr>
            <w:tcW w:w="1081" w:type="dxa"/>
            <w:vAlign w:val="bottom"/>
          </w:tcPr>
          <w:p w14:paraId="1763D1FD" w14:textId="77777777" w:rsidR="00D92646" w:rsidRPr="003D1614" w:rsidRDefault="00D92646" w:rsidP="00D92646">
            <w:pPr>
              <w:suppressAutoHyphens/>
              <w:autoSpaceDN w:val="0"/>
              <w:spacing w:line="256" w:lineRule="auto"/>
              <w:rPr>
                <w:rFonts w:ascii="Arial" w:eastAsia="Calibri" w:hAnsi="Arial" w:cs="Arial"/>
                <w:b/>
                <w:bCs/>
                <w:color w:val="000000" w:themeColor="text1"/>
                <w:sz w:val="18"/>
                <w:szCs w:val="18"/>
              </w:rPr>
            </w:pPr>
          </w:p>
        </w:tc>
        <w:tc>
          <w:tcPr>
            <w:tcW w:w="1082" w:type="dxa"/>
            <w:vAlign w:val="bottom"/>
          </w:tcPr>
          <w:p w14:paraId="6B7B9B51" w14:textId="77777777" w:rsidR="00D92646" w:rsidRPr="003D1614" w:rsidRDefault="00D92646" w:rsidP="00D92646">
            <w:pPr>
              <w:suppressAutoHyphens/>
              <w:autoSpaceDN w:val="0"/>
              <w:spacing w:line="256" w:lineRule="auto"/>
              <w:rPr>
                <w:rFonts w:ascii="Arial" w:eastAsia="Calibri" w:hAnsi="Arial" w:cs="Arial"/>
                <w:b/>
                <w:bCs/>
                <w:color w:val="000000" w:themeColor="text1"/>
                <w:sz w:val="18"/>
                <w:szCs w:val="18"/>
              </w:rPr>
            </w:pPr>
          </w:p>
        </w:tc>
        <w:tc>
          <w:tcPr>
            <w:tcW w:w="1081" w:type="dxa"/>
            <w:vAlign w:val="bottom"/>
          </w:tcPr>
          <w:p w14:paraId="00026C6A" w14:textId="77777777" w:rsidR="00D92646" w:rsidRPr="003D1614" w:rsidRDefault="00D92646" w:rsidP="00D92646">
            <w:pPr>
              <w:suppressAutoHyphens/>
              <w:autoSpaceDN w:val="0"/>
              <w:spacing w:line="256" w:lineRule="auto"/>
              <w:rPr>
                <w:rFonts w:ascii="Arial" w:eastAsia="Calibri" w:hAnsi="Arial" w:cs="Arial"/>
                <w:b/>
                <w:bCs/>
                <w:color w:val="000000" w:themeColor="text1"/>
                <w:sz w:val="18"/>
                <w:szCs w:val="18"/>
              </w:rPr>
            </w:pPr>
          </w:p>
        </w:tc>
        <w:tc>
          <w:tcPr>
            <w:tcW w:w="1048" w:type="dxa"/>
            <w:vAlign w:val="bottom"/>
          </w:tcPr>
          <w:p w14:paraId="7805C6E4" w14:textId="77777777" w:rsidR="00D92646" w:rsidRPr="003D1614" w:rsidRDefault="00D92646" w:rsidP="00D92646">
            <w:pPr>
              <w:suppressAutoHyphens/>
              <w:autoSpaceDN w:val="0"/>
              <w:spacing w:line="256" w:lineRule="auto"/>
              <w:rPr>
                <w:rFonts w:ascii="Arial" w:eastAsia="Calibri" w:hAnsi="Arial" w:cs="Arial"/>
                <w:b/>
                <w:bCs/>
                <w:color w:val="000000" w:themeColor="text1"/>
                <w:sz w:val="18"/>
                <w:szCs w:val="18"/>
              </w:rPr>
            </w:pPr>
          </w:p>
        </w:tc>
        <w:tc>
          <w:tcPr>
            <w:tcW w:w="1159" w:type="dxa"/>
            <w:vAlign w:val="bottom"/>
          </w:tcPr>
          <w:p w14:paraId="10AC155D" w14:textId="77777777" w:rsidR="00D92646" w:rsidRPr="003D1614" w:rsidRDefault="00D92646" w:rsidP="00D92646">
            <w:pPr>
              <w:suppressAutoHyphens/>
              <w:autoSpaceDN w:val="0"/>
              <w:spacing w:line="256" w:lineRule="auto"/>
              <w:rPr>
                <w:rFonts w:ascii="Arial" w:eastAsia="Calibri" w:hAnsi="Arial" w:cs="Arial"/>
                <w:b/>
                <w:bCs/>
                <w:color w:val="000000" w:themeColor="text1"/>
                <w:sz w:val="18"/>
                <w:szCs w:val="18"/>
              </w:rPr>
            </w:pPr>
          </w:p>
        </w:tc>
      </w:tr>
      <w:tr w:rsidR="004E0091" w:rsidRPr="003D1614" w14:paraId="2C822636" w14:textId="77777777" w:rsidTr="004E0091">
        <w:trPr>
          <w:trHeight w:val="159"/>
        </w:trPr>
        <w:tc>
          <w:tcPr>
            <w:tcW w:w="3912" w:type="dxa"/>
            <w:tcBorders>
              <w:top w:val="nil"/>
              <w:left w:val="nil"/>
              <w:bottom w:val="nil"/>
              <w:right w:val="nil"/>
            </w:tcBorders>
            <w:shd w:val="clear" w:color="auto" w:fill="auto"/>
            <w:vAlign w:val="bottom"/>
            <w:hideMark/>
          </w:tcPr>
          <w:p w14:paraId="37037F75" w14:textId="2DAF87A8" w:rsidR="004E0091" w:rsidRPr="003D1614" w:rsidRDefault="004E0091" w:rsidP="004E0091">
            <w:pPr>
              <w:suppressAutoHyphens/>
              <w:autoSpaceDN w:val="0"/>
              <w:spacing w:line="256" w:lineRule="auto"/>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Stanje 1. siječnja 202</w:t>
            </w:r>
            <w:r>
              <w:rPr>
                <w:rFonts w:ascii="Arial" w:eastAsia="Calibri" w:hAnsi="Arial" w:cs="Arial"/>
                <w:color w:val="000000" w:themeColor="text1"/>
                <w:sz w:val="18"/>
                <w:szCs w:val="18"/>
              </w:rPr>
              <w:t>4</w:t>
            </w:r>
            <w:r w:rsidRPr="003D1614">
              <w:rPr>
                <w:rFonts w:ascii="Arial" w:eastAsia="Calibri" w:hAnsi="Arial" w:cs="Arial"/>
                <w:color w:val="000000" w:themeColor="text1"/>
                <w:sz w:val="18"/>
                <w:szCs w:val="18"/>
              </w:rPr>
              <w:t xml:space="preserve">. </w:t>
            </w:r>
          </w:p>
        </w:tc>
        <w:tc>
          <w:tcPr>
            <w:tcW w:w="1081" w:type="dxa"/>
            <w:tcBorders>
              <w:left w:val="nil"/>
              <w:right w:val="nil"/>
            </w:tcBorders>
            <w:shd w:val="clear" w:color="auto" w:fill="auto"/>
            <w:vAlign w:val="bottom"/>
          </w:tcPr>
          <w:p w14:paraId="1C3D8E7D" w14:textId="5ECF6E91" w:rsidR="004E0091" w:rsidRPr="004E0091" w:rsidRDefault="004E0091" w:rsidP="004E0091">
            <w:pPr>
              <w:suppressAutoHyphens/>
              <w:autoSpaceDN w:val="0"/>
              <w:jc w:val="right"/>
              <w:rPr>
                <w:rFonts w:ascii="Arial" w:eastAsia="Times New Roman" w:hAnsi="Arial" w:cs="Arial"/>
                <w:sz w:val="18"/>
                <w:szCs w:val="18"/>
              </w:rPr>
            </w:pPr>
            <w:r w:rsidRPr="004E0091">
              <w:rPr>
                <w:rFonts w:ascii="Arial" w:hAnsi="Arial" w:cs="Arial"/>
                <w:sz w:val="18"/>
                <w:szCs w:val="18"/>
              </w:rPr>
              <w:t xml:space="preserve"> 42.543 </w:t>
            </w:r>
          </w:p>
        </w:tc>
        <w:tc>
          <w:tcPr>
            <w:tcW w:w="1082" w:type="dxa"/>
            <w:tcBorders>
              <w:left w:val="nil"/>
              <w:right w:val="nil"/>
            </w:tcBorders>
            <w:shd w:val="clear" w:color="auto" w:fill="auto"/>
            <w:vAlign w:val="bottom"/>
          </w:tcPr>
          <w:p w14:paraId="009002DE" w14:textId="56D1AB2F" w:rsidR="004E0091" w:rsidRPr="004E0091" w:rsidRDefault="004E0091" w:rsidP="004E0091">
            <w:pPr>
              <w:suppressAutoHyphens/>
              <w:autoSpaceDN w:val="0"/>
              <w:spacing w:line="256" w:lineRule="auto"/>
              <w:jc w:val="right"/>
              <w:rPr>
                <w:rFonts w:ascii="Arial" w:eastAsia="Times New Roman" w:hAnsi="Arial" w:cs="Arial"/>
                <w:sz w:val="18"/>
                <w:szCs w:val="18"/>
              </w:rPr>
            </w:pPr>
            <w:r w:rsidRPr="004E0091">
              <w:rPr>
                <w:rFonts w:ascii="Arial" w:hAnsi="Arial" w:cs="Arial"/>
                <w:sz w:val="18"/>
                <w:szCs w:val="18"/>
              </w:rPr>
              <w:t xml:space="preserve"> 128.588 </w:t>
            </w:r>
          </w:p>
        </w:tc>
        <w:tc>
          <w:tcPr>
            <w:tcW w:w="1081" w:type="dxa"/>
            <w:tcBorders>
              <w:left w:val="nil"/>
              <w:right w:val="nil"/>
            </w:tcBorders>
            <w:shd w:val="clear" w:color="auto" w:fill="auto"/>
            <w:vAlign w:val="bottom"/>
          </w:tcPr>
          <w:p w14:paraId="2FCAADA1" w14:textId="44A1033D" w:rsidR="004E0091" w:rsidRPr="004E0091" w:rsidRDefault="004E0091" w:rsidP="004E0091">
            <w:pPr>
              <w:suppressAutoHyphens/>
              <w:autoSpaceDN w:val="0"/>
              <w:spacing w:line="256" w:lineRule="auto"/>
              <w:jc w:val="right"/>
              <w:rPr>
                <w:rFonts w:ascii="Arial" w:eastAsia="Times New Roman" w:hAnsi="Arial" w:cs="Arial"/>
                <w:sz w:val="18"/>
                <w:szCs w:val="18"/>
              </w:rPr>
            </w:pPr>
            <w:r w:rsidRPr="004E0091">
              <w:rPr>
                <w:rFonts w:ascii="Arial" w:hAnsi="Arial" w:cs="Arial"/>
                <w:sz w:val="18"/>
                <w:szCs w:val="18"/>
              </w:rPr>
              <w:t xml:space="preserve"> 267.359 </w:t>
            </w:r>
          </w:p>
        </w:tc>
        <w:tc>
          <w:tcPr>
            <w:tcW w:w="1048" w:type="dxa"/>
            <w:tcBorders>
              <w:left w:val="nil"/>
              <w:right w:val="nil"/>
            </w:tcBorders>
            <w:shd w:val="clear" w:color="auto" w:fill="auto"/>
            <w:vAlign w:val="bottom"/>
          </w:tcPr>
          <w:p w14:paraId="0D73CF10" w14:textId="70061AD7" w:rsidR="004E0091" w:rsidRPr="004E0091" w:rsidRDefault="004E0091" w:rsidP="004E0091">
            <w:pPr>
              <w:suppressAutoHyphens/>
              <w:autoSpaceDN w:val="0"/>
              <w:spacing w:line="256" w:lineRule="auto"/>
              <w:jc w:val="right"/>
              <w:rPr>
                <w:rFonts w:ascii="Arial" w:eastAsia="Times New Roman" w:hAnsi="Arial" w:cs="Arial"/>
                <w:sz w:val="18"/>
                <w:szCs w:val="18"/>
              </w:rPr>
            </w:pPr>
            <w:r w:rsidRPr="004E0091">
              <w:rPr>
                <w:rFonts w:ascii="Arial" w:hAnsi="Arial" w:cs="Arial"/>
                <w:sz w:val="18"/>
                <w:szCs w:val="18"/>
              </w:rPr>
              <w:t xml:space="preserve"> 32.267 </w:t>
            </w:r>
          </w:p>
        </w:tc>
        <w:tc>
          <w:tcPr>
            <w:tcW w:w="1159" w:type="dxa"/>
            <w:tcBorders>
              <w:left w:val="nil"/>
              <w:right w:val="nil"/>
            </w:tcBorders>
            <w:shd w:val="clear" w:color="auto" w:fill="auto"/>
            <w:vAlign w:val="bottom"/>
          </w:tcPr>
          <w:p w14:paraId="2EDB4210" w14:textId="3540A896" w:rsidR="004E0091" w:rsidRPr="003D1614" w:rsidRDefault="004E0091" w:rsidP="004E0091">
            <w:pPr>
              <w:suppressAutoHyphens/>
              <w:autoSpaceDN w:val="0"/>
              <w:spacing w:line="256" w:lineRule="auto"/>
              <w:jc w:val="right"/>
              <w:rPr>
                <w:rFonts w:ascii="Arial" w:eastAsia="Times New Roman" w:hAnsi="Arial" w:cs="Arial"/>
                <w:sz w:val="18"/>
                <w:szCs w:val="18"/>
              </w:rPr>
            </w:pPr>
            <w:r w:rsidRPr="00F959D0">
              <w:rPr>
                <w:rFonts w:ascii="Arial" w:hAnsi="Arial" w:cs="Arial"/>
                <w:b/>
                <w:bCs/>
                <w:sz w:val="18"/>
                <w:szCs w:val="18"/>
              </w:rPr>
              <w:t xml:space="preserve"> 470.757 </w:t>
            </w:r>
          </w:p>
        </w:tc>
      </w:tr>
      <w:tr w:rsidR="00C07475" w:rsidRPr="003D1614" w14:paraId="31781FDD" w14:textId="77777777" w:rsidTr="001541F1">
        <w:trPr>
          <w:trHeight w:val="159"/>
        </w:trPr>
        <w:tc>
          <w:tcPr>
            <w:tcW w:w="3912" w:type="dxa"/>
            <w:vAlign w:val="bottom"/>
            <w:hideMark/>
          </w:tcPr>
          <w:p w14:paraId="18009EE7" w14:textId="77777777" w:rsidR="00C07475" w:rsidRPr="003D1614" w:rsidRDefault="00C07475" w:rsidP="00C07475">
            <w:pPr>
              <w:suppressAutoHyphens/>
              <w:autoSpaceDN w:val="0"/>
              <w:spacing w:line="256" w:lineRule="auto"/>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1</w:t>
            </w:r>
          </w:p>
        </w:tc>
        <w:tc>
          <w:tcPr>
            <w:tcW w:w="1081" w:type="dxa"/>
            <w:vAlign w:val="bottom"/>
          </w:tcPr>
          <w:p w14:paraId="6ADCC55E" w14:textId="53229079" w:rsidR="00C07475" w:rsidRPr="00C07475" w:rsidRDefault="00C07475" w:rsidP="00C07475">
            <w:pPr>
              <w:suppressAutoHyphens/>
              <w:autoSpaceDN w:val="0"/>
              <w:jc w:val="right"/>
              <w:rPr>
                <w:rFonts w:ascii="Arial" w:eastAsia="Times New Roman" w:hAnsi="Arial" w:cs="Arial"/>
                <w:sz w:val="18"/>
                <w:szCs w:val="18"/>
              </w:rPr>
            </w:pPr>
            <w:r w:rsidRPr="001541F1">
              <w:rPr>
                <w:rFonts w:ascii="Arial" w:hAnsi="Arial" w:cs="Arial"/>
                <w:sz w:val="18"/>
                <w:szCs w:val="18"/>
              </w:rPr>
              <w:t xml:space="preserve"> 26.990 </w:t>
            </w:r>
          </w:p>
        </w:tc>
        <w:tc>
          <w:tcPr>
            <w:tcW w:w="1082" w:type="dxa"/>
            <w:vAlign w:val="bottom"/>
          </w:tcPr>
          <w:p w14:paraId="328C873F" w14:textId="700D6711" w:rsidR="00C07475" w:rsidRPr="00C07475" w:rsidRDefault="00C07475" w:rsidP="00C07475">
            <w:pPr>
              <w:suppressAutoHyphens/>
              <w:autoSpaceDN w:val="0"/>
              <w:jc w:val="right"/>
              <w:rPr>
                <w:rFonts w:ascii="Arial" w:eastAsia="Times New Roman" w:hAnsi="Arial" w:cs="Arial"/>
                <w:sz w:val="18"/>
                <w:szCs w:val="18"/>
              </w:rPr>
            </w:pPr>
            <w:r w:rsidRPr="001541F1">
              <w:rPr>
                <w:rFonts w:ascii="Arial" w:hAnsi="Arial" w:cs="Arial"/>
                <w:sz w:val="18"/>
                <w:szCs w:val="18"/>
              </w:rPr>
              <w:t xml:space="preserve"> (26.410)</w:t>
            </w:r>
          </w:p>
        </w:tc>
        <w:tc>
          <w:tcPr>
            <w:tcW w:w="1081" w:type="dxa"/>
            <w:vAlign w:val="bottom"/>
          </w:tcPr>
          <w:p w14:paraId="542D40E5" w14:textId="4D37F3B5" w:rsidR="00C07475" w:rsidRPr="00C07475" w:rsidRDefault="00C07475" w:rsidP="00C07475">
            <w:pPr>
              <w:suppressAutoHyphens/>
              <w:autoSpaceDN w:val="0"/>
              <w:jc w:val="right"/>
              <w:rPr>
                <w:rFonts w:ascii="Arial" w:eastAsia="Times New Roman" w:hAnsi="Arial" w:cs="Arial"/>
                <w:sz w:val="18"/>
                <w:szCs w:val="18"/>
              </w:rPr>
            </w:pPr>
            <w:r w:rsidRPr="001541F1">
              <w:rPr>
                <w:rFonts w:ascii="Arial" w:hAnsi="Arial" w:cs="Arial"/>
                <w:sz w:val="18"/>
                <w:szCs w:val="18"/>
              </w:rPr>
              <w:t xml:space="preserve"> (580)</w:t>
            </w:r>
          </w:p>
        </w:tc>
        <w:tc>
          <w:tcPr>
            <w:tcW w:w="1048" w:type="dxa"/>
            <w:vAlign w:val="bottom"/>
          </w:tcPr>
          <w:p w14:paraId="671F7631" w14:textId="3FAC6200" w:rsidR="00C07475" w:rsidRPr="00C07475" w:rsidRDefault="00C07475" w:rsidP="00C07475">
            <w:pPr>
              <w:suppressAutoHyphens/>
              <w:autoSpaceDN w:val="0"/>
              <w:jc w:val="right"/>
              <w:rPr>
                <w:rFonts w:ascii="Arial" w:eastAsia="Times New Roman" w:hAnsi="Arial" w:cs="Arial"/>
                <w:sz w:val="18"/>
                <w:szCs w:val="18"/>
              </w:rPr>
            </w:pPr>
            <w:r w:rsidRPr="00C07475">
              <w:rPr>
                <w:rFonts w:ascii="Arial" w:eastAsia="Times New Roman" w:hAnsi="Arial" w:cs="Arial"/>
                <w:sz w:val="18"/>
                <w:szCs w:val="18"/>
              </w:rPr>
              <w:t>-</w:t>
            </w:r>
          </w:p>
        </w:tc>
        <w:tc>
          <w:tcPr>
            <w:tcW w:w="1159" w:type="dxa"/>
            <w:vAlign w:val="bottom"/>
          </w:tcPr>
          <w:p w14:paraId="3D06304F" w14:textId="17F864EA" w:rsidR="00C07475" w:rsidRPr="001541F1" w:rsidRDefault="00C07475" w:rsidP="00C07475">
            <w:pPr>
              <w:suppressAutoHyphens/>
              <w:autoSpaceDN w:val="0"/>
              <w:jc w:val="right"/>
              <w:rPr>
                <w:rFonts w:ascii="Arial" w:eastAsia="Times New Roman" w:hAnsi="Arial" w:cs="Arial"/>
                <w:b/>
                <w:bCs/>
                <w:sz w:val="18"/>
                <w:szCs w:val="18"/>
              </w:rPr>
            </w:pPr>
            <w:r w:rsidRPr="001541F1">
              <w:rPr>
                <w:rFonts w:ascii="Arial" w:eastAsia="Times New Roman" w:hAnsi="Arial" w:cs="Arial"/>
                <w:b/>
                <w:bCs/>
                <w:sz w:val="18"/>
                <w:szCs w:val="18"/>
              </w:rPr>
              <w:t>-</w:t>
            </w:r>
          </w:p>
        </w:tc>
      </w:tr>
      <w:tr w:rsidR="00C07475" w:rsidRPr="003D1614" w14:paraId="3994AAB2" w14:textId="77777777" w:rsidTr="001541F1">
        <w:trPr>
          <w:trHeight w:val="159"/>
        </w:trPr>
        <w:tc>
          <w:tcPr>
            <w:tcW w:w="3912" w:type="dxa"/>
            <w:vAlign w:val="bottom"/>
          </w:tcPr>
          <w:p w14:paraId="686B40F7" w14:textId="77777777" w:rsidR="00C07475" w:rsidRPr="003D1614" w:rsidRDefault="00C07475" w:rsidP="00C07475">
            <w:pPr>
              <w:suppressAutoHyphens/>
              <w:autoSpaceDN w:val="0"/>
              <w:spacing w:line="256" w:lineRule="auto"/>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2</w:t>
            </w:r>
          </w:p>
        </w:tc>
        <w:tc>
          <w:tcPr>
            <w:tcW w:w="1081" w:type="dxa"/>
            <w:vAlign w:val="bottom"/>
          </w:tcPr>
          <w:p w14:paraId="75A84235" w14:textId="6568F1D9" w:rsidR="00C07475" w:rsidRPr="00C07475" w:rsidRDefault="00C07475" w:rsidP="00C07475">
            <w:pPr>
              <w:suppressAutoHyphens/>
              <w:autoSpaceDN w:val="0"/>
              <w:jc w:val="right"/>
              <w:rPr>
                <w:rFonts w:ascii="Arial" w:eastAsia="Times New Roman" w:hAnsi="Arial" w:cs="Arial"/>
                <w:sz w:val="18"/>
                <w:szCs w:val="18"/>
              </w:rPr>
            </w:pPr>
            <w:r w:rsidRPr="001541F1">
              <w:rPr>
                <w:rFonts w:ascii="Arial" w:hAnsi="Arial" w:cs="Arial"/>
                <w:sz w:val="18"/>
                <w:szCs w:val="18"/>
              </w:rPr>
              <w:t xml:space="preserve"> (5.660)</w:t>
            </w:r>
          </w:p>
        </w:tc>
        <w:tc>
          <w:tcPr>
            <w:tcW w:w="1082" w:type="dxa"/>
            <w:vAlign w:val="bottom"/>
          </w:tcPr>
          <w:p w14:paraId="5300DC78" w14:textId="0612FBDC" w:rsidR="00C07475" w:rsidRPr="00C07475" w:rsidRDefault="00C07475" w:rsidP="00C07475">
            <w:pPr>
              <w:suppressAutoHyphens/>
              <w:autoSpaceDN w:val="0"/>
              <w:jc w:val="right"/>
              <w:rPr>
                <w:rFonts w:ascii="Arial" w:eastAsia="Times New Roman" w:hAnsi="Arial" w:cs="Arial"/>
                <w:sz w:val="18"/>
                <w:szCs w:val="18"/>
              </w:rPr>
            </w:pPr>
            <w:r w:rsidRPr="001541F1">
              <w:rPr>
                <w:rFonts w:ascii="Arial" w:hAnsi="Arial" w:cs="Arial"/>
                <w:sz w:val="18"/>
                <w:szCs w:val="18"/>
              </w:rPr>
              <w:t xml:space="preserve"> 9.583 </w:t>
            </w:r>
          </w:p>
        </w:tc>
        <w:tc>
          <w:tcPr>
            <w:tcW w:w="1081" w:type="dxa"/>
            <w:vAlign w:val="bottom"/>
          </w:tcPr>
          <w:p w14:paraId="6316D31D" w14:textId="2154DB39" w:rsidR="00C07475" w:rsidRPr="00C07475" w:rsidRDefault="00C07475" w:rsidP="00C07475">
            <w:pPr>
              <w:suppressAutoHyphens/>
              <w:autoSpaceDN w:val="0"/>
              <w:jc w:val="right"/>
              <w:rPr>
                <w:rFonts w:ascii="Arial" w:eastAsia="Times New Roman" w:hAnsi="Arial" w:cs="Arial"/>
                <w:sz w:val="18"/>
                <w:szCs w:val="18"/>
              </w:rPr>
            </w:pPr>
            <w:r w:rsidRPr="001541F1">
              <w:rPr>
                <w:rFonts w:ascii="Arial" w:hAnsi="Arial" w:cs="Arial"/>
                <w:sz w:val="18"/>
                <w:szCs w:val="18"/>
              </w:rPr>
              <w:t xml:space="preserve"> (3.923)</w:t>
            </w:r>
          </w:p>
        </w:tc>
        <w:tc>
          <w:tcPr>
            <w:tcW w:w="1048" w:type="dxa"/>
            <w:vAlign w:val="bottom"/>
          </w:tcPr>
          <w:p w14:paraId="7DADF279" w14:textId="6714F682" w:rsidR="00C07475" w:rsidRPr="00C07475" w:rsidRDefault="00C07475" w:rsidP="00C07475">
            <w:pPr>
              <w:suppressAutoHyphens/>
              <w:autoSpaceDN w:val="0"/>
              <w:jc w:val="right"/>
              <w:rPr>
                <w:rFonts w:ascii="Arial" w:eastAsia="Times New Roman" w:hAnsi="Arial" w:cs="Arial"/>
                <w:sz w:val="18"/>
                <w:szCs w:val="18"/>
              </w:rPr>
            </w:pPr>
            <w:r w:rsidRPr="00C07475">
              <w:rPr>
                <w:rFonts w:ascii="Arial" w:eastAsia="Times New Roman" w:hAnsi="Arial" w:cs="Arial"/>
                <w:sz w:val="18"/>
                <w:szCs w:val="18"/>
              </w:rPr>
              <w:t>-</w:t>
            </w:r>
          </w:p>
        </w:tc>
        <w:tc>
          <w:tcPr>
            <w:tcW w:w="1159" w:type="dxa"/>
            <w:vAlign w:val="bottom"/>
          </w:tcPr>
          <w:p w14:paraId="153BFE3A" w14:textId="26FC0210" w:rsidR="00C07475" w:rsidRPr="001541F1" w:rsidRDefault="00C07475" w:rsidP="00C07475">
            <w:pPr>
              <w:suppressAutoHyphens/>
              <w:autoSpaceDN w:val="0"/>
              <w:jc w:val="right"/>
              <w:rPr>
                <w:rFonts w:ascii="Arial" w:eastAsia="Times New Roman" w:hAnsi="Arial" w:cs="Arial"/>
                <w:b/>
                <w:bCs/>
                <w:sz w:val="18"/>
                <w:szCs w:val="18"/>
              </w:rPr>
            </w:pPr>
            <w:r w:rsidRPr="001541F1">
              <w:rPr>
                <w:rFonts w:ascii="Arial" w:eastAsia="Times New Roman" w:hAnsi="Arial" w:cs="Arial"/>
                <w:b/>
                <w:bCs/>
                <w:sz w:val="18"/>
                <w:szCs w:val="18"/>
              </w:rPr>
              <w:t>-</w:t>
            </w:r>
          </w:p>
        </w:tc>
      </w:tr>
      <w:tr w:rsidR="00C07475" w:rsidRPr="003D1614" w14:paraId="3BE2B8BD" w14:textId="77777777" w:rsidTr="001541F1">
        <w:trPr>
          <w:trHeight w:val="159"/>
        </w:trPr>
        <w:tc>
          <w:tcPr>
            <w:tcW w:w="3912" w:type="dxa"/>
            <w:vAlign w:val="bottom"/>
          </w:tcPr>
          <w:p w14:paraId="17654E46" w14:textId="77777777" w:rsidR="00C07475" w:rsidRPr="003D1614" w:rsidRDefault="00C07475" w:rsidP="00C07475">
            <w:pPr>
              <w:suppressAutoHyphens/>
              <w:autoSpaceDN w:val="0"/>
              <w:spacing w:line="256" w:lineRule="auto"/>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3</w:t>
            </w:r>
          </w:p>
        </w:tc>
        <w:tc>
          <w:tcPr>
            <w:tcW w:w="1081" w:type="dxa"/>
            <w:vAlign w:val="bottom"/>
          </w:tcPr>
          <w:p w14:paraId="2478A494" w14:textId="11D0837A" w:rsidR="00C07475" w:rsidRPr="00C07475" w:rsidRDefault="00C07475" w:rsidP="00C07475">
            <w:pPr>
              <w:suppressAutoHyphens/>
              <w:autoSpaceDN w:val="0"/>
              <w:jc w:val="right"/>
              <w:rPr>
                <w:rFonts w:ascii="Arial" w:eastAsia="Times New Roman" w:hAnsi="Arial" w:cs="Arial"/>
                <w:sz w:val="18"/>
                <w:szCs w:val="18"/>
              </w:rPr>
            </w:pPr>
            <w:r w:rsidRPr="00C07475">
              <w:rPr>
                <w:rFonts w:ascii="Arial" w:eastAsia="Times New Roman" w:hAnsi="Arial" w:cs="Arial"/>
                <w:sz w:val="18"/>
                <w:szCs w:val="18"/>
              </w:rPr>
              <w:t>-</w:t>
            </w:r>
          </w:p>
        </w:tc>
        <w:tc>
          <w:tcPr>
            <w:tcW w:w="1082" w:type="dxa"/>
            <w:vAlign w:val="bottom"/>
          </w:tcPr>
          <w:p w14:paraId="434E90BD" w14:textId="69B06747" w:rsidR="00C07475" w:rsidRPr="00C07475" w:rsidRDefault="00C07475" w:rsidP="00C07475">
            <w:pPr>
              <w:suppressAutoHyphens/>
              <w:autoSpaceDN w:val="0"/>
              <w:jc w:val="right"/>
              <w:rPr>
                <w:rFonts w:ascii="Arial" w:eastAsia="Times New Roman" w:hAnsi="Arial" w:cs="Arial"/>
                <w:sz w:val="18"/>
                <w:szCs w:val="18"/>
              </w:rPr>
            </w:pPr>
            <w:r w:rsidRPr="001541F1">
              <w:rPr>
                <w:rFonts w:ascii="Arial" w:hAnsi="Arial" w:cs="Arial"/>
                <w:sz w:val="18"/>
                <w:szCs w:val="18"/>
              </w:rPr>
              <w:t xml:space="preserve"> (26.361)</w:t>
            </w:r>
          </w:p>
        </w:tc>
        <w:tc>
          <w:tcPr>
            <w:tcW w:w="1081" w:type="dxa"/>
            <w:vAlign w:val="bottom"/>
          </w:tcPr>
          <w:p w14:paraId="38138DBC" w14:textId="2F77094D" w:rsidR="00C07475" w:rsidRPr="00C07475" w:rsidRDefault="00C07475" w:rsidP="00C07475">
            <w:pPr>
              <w:suppressAutoHyphens/>
              <w:autoSpaceDN w:val="0"/>
              <w:jc w:val="right"/>
              <w:rPr>
                <w:rFonts w:ascii="Arial" w:eastAsia="Times New Roman" w:hAnsi="Arial" w:cs="Arial"/>
                <w:sz w:val="18"/>
                <w:szCs w:val="18"/>
              </w:rPr>
            </w:pPr>
            <w:r w:rsidRPr="001541F1">
              <w:rPr>
                <w:rFonts w:ascii="Arial" w:hAnsi="Arial" w:cs="Arial"/>
                <w:sz w:val="18"/>
                <w:szCs w:val="18"/>
              </w:rPr>
              <w:t xml:space="preserve"> 19.938 </w:t>
            </w:r>
          </w:p>
        </w:tc>
        <w:tc>
          <w:tcPr>
            <w:tcW w:w="1048" w:type="dxa"/>
            <w:vAlign w:val="bottom"/>
          </w:tcPr>
          <w:p w14:paraId="61312E6D" w14:textId="04ACA824" w:rsidR="00C07475" w:rsidRPr="00C07475" w:rsidRDefault="00C07475" w:rsidP="00C07475">
            <w:pPr>
              <w:suppressAutoHyphens/>
              <w:autoSpaceDN w:val="0"/>
              <w:jc w:val="right"/>
              <w:rPr>
                <w:rFonts w:ascii="Arial" w:eastAsia="Times New Roman" w:hAnsi="Arial" w:cs="Arial"/>
                <w:sz w:val="18"/>
                <w:szCs w:val="18"/>
              </w:rPr>
            </w:pPr>
            <w:r w:rsidRPr="001541F1">
              <w:rPr>
                <w:rFonts w:ascii="Arial" w:hAnsi="Arial" w:cs="Arial"/>
                <w:sz w:val="18"/>
                <w:szCs w:val="18"/>
              </w:rPr>
              <w:t xml:space="preserve"> 6.423 </w:t>
            </w:r>
          </w:p>
        </w:tc>
        <w:tc>
          <w:tcPr>
            <w:tcW w:w="1159" w:type="dxa"/>
            <w:vAlign w:val="bottom"/>
          </w:tcPr>
          <w:p w14:paraId="36CEF03A" w14:textId="77DB7BA1" w:rsidR="00C07475" w:rsidRPr="001541F1" w:rsidRDefault="00C07475" w:rsidP="00C07475">
            <w:pPr>
              <w:suppressAutoHyphens/>
              <w:autoSpaceDN w:val="0"/>
              <w:jc w:val="right"/>
              <w:rPr>
                <w:rFonts w:ascii="Arial" w:eastAsia="Times New Roman" w:hAnsi="Arial" w:cs="Arial"/>
                <w:b/>
                <w:bCs/>
                <w:sz w:val="18"/>
                <w:szCs w:val="18"/>
              </w:rPr>
            </w:pPr>
            <w:r w:rsidRPr="001541F1">
              <w:rPr>
                <w:rFonts w:ascii="Arial" w:eastAsia="Times New Roman" w:hAnsi="Arial" w:cs="Arial"/>
                <w:b/>
                <w:bCs/>
                <w:sz w:val="18"/>
                <w:szCs w:val="18"/>
              </w:rPr>
              <w:t>-</w:t>
            </w:r>
          </w:p>
        </w:tc>
      </w:tr>
      <w:tr w:rsidR="00C07475" w:rsidRPr="003D1614" w14:paraId="7FF0D2BF" w14:textId="77777777" w:rsidTr="001541F1">
        <w:trPr>
          <w:trHeight w:val="198"/>
        </w:trPr>
        <w:tc>
          <w:tcPr>
            <w:tcW w:w="3912" w:type="dxa"/>
            <w:vAlign w:val="bottom"/>
            <w:hideMark/>
          </w:tcPr>
          <w:p w14:paraId="03D5F212" w14:textId="77777777" w:rsidR="00C07475" w:rsidRPr="00A67874" w:rsidRDefault="00C07475" w:rsidP="00C07475">
            <w:pPr>
              <w:suppressAutoHyphens/>
              <w:autoSpaceDN w:val="0"/>
              <w:spacing w:line="256" w:lineRule="auto"/>
              <w:rPr>
                <w:rFonts w:ascii="Arial" w:eastAsia="Calibri" w:hAnsi="Arial" w:cs="Arial"/>
                <w:color w:val="000000" w:themeColor="text1"/>
                <w:sz w:val="18"/>
                <w:szCs w:val="18"/>
              </w:rPr>
            </w:pPr>
            <w:bookmarkStart w:id="745" w:name="_Hlk35351133"/>
            <w:r w:rsidRPr="00A67874">
              <w:rPr>
                <w:rFonts w:ascii="Arial" w:eastAsia="Calibri" w:hAnsi="Arial" w:cs="Arial"/>
                <w:color w:val="000000" w:themeColor="text1"/>
                <w:sz w:val="18"/>
                <w:szCs w:val="18"/>
              </w:rPr>
              <w:t xml:space="preserve">Neto (smanjenje)/povećanje rezerviranja za očekivane gubitke </w:t>
            </w:r>
            <w:bookmarkEnd w:id="745"/>
          </w:p>
        </w:tc>
        <w:tc>
          <w:tcPr>
            <w:tcW w:w="1081" w:type="dxa"/>
            <w:vAlign w:val="bottom"/>
          </w:tcPr>
          <w:p w14:paraId="41B453FC" w14:textId="4F0B20FB" w:rsidR="00C07475" w:rsidRPr="00C07475" w:rsidRDefault="00C07475" w:rsidP="00C07475">
            <w:pPr>
              <w:suppressAutoHyphens/>
              <w:autoSpaceDN w:val="0"/>
              <w:jc w:val="right"/>
              <w:rPr>
                <w:rFonts w:ascii="Arial" w:eastAsia="Times New Roman" w:hAnsi="Arial" w:cs="Arial"/>
                <w:sz w:val="18"/>
                <w:szCs w:val="18"/>
              </w:rPr>
            </w:pPr>
            <w:r w:rsidRPr="001541F1">
              <w:rPr>
                <w:rFonts w:ascii="Arial" w:hAnsi="Arial" w:cs="Arial"/>
                <w:sz w:val="18"/>
                <w:szCs w:val="18"/>
              </w:rPr>
              <w:t xml:space="preserve"> (19.015)</w:t>
            </w:r>
          </w:p>
        </w:tc>
        <w:tc>
          <w:tcPr>
            <w:tcW w:w="1082" w:type="dxa"/>
            <w:vAlign w:val="bottom"/>
          </w:tcPr>
          <w:p w14:paraId="3E06D445" w14:textId="78FD1BD1" w:rsidR="00C07475" w:rsidRPr="00C07475" w:rsidRDefault="00C07475" w:rsidP="00C07475">
            <w:pPr>
              <w:suppressAutoHyphens/>
              <w:autoSpaceDN w:val="0"/>
              <w:jc w:val="right"/>
              <w:rPr>
                <w:rFonts w:ascii="Arial" w:eastAsia="Times New Roman" w:hAnsi="Arial" w:cs="Arial"/>
                <w:sz w:val="18"/>
                <w:szCs w:val="18"/>
              </w:rPr>
            </w:pPr>
            <w:r w:rsidRPr="001541F1">
              <w:rPr>
                <w:rFonts w:ascii="Arial" w:hAnsi="Arial" w:cs="Arial"/>
                <w:sz w:val="18"/>
                <w:szCs w:val="18"/>
              </w:rPr>
              <w:t xml:space="preserve"> 24.542 </w:t>
            </w:r>
          </w:p>
        </w:tc>
        <w:tc>
          <w:tcPr>
            <w:tcW w:w="1081" w:type="dxa"/>
            <w:vAlign w:val="bottom"/>
          </w:tcPr>
          <w:p w14:paraId="270A4039" w14:textId="21210A94" w:rsidR="00C07475" w:rsidRPr="00C07475" w:rsidRDefault="00C07475" w:rsidP="00C07475">
            <w:pPr>
              <w:suppressAutoHyphens/>
              <w:autoSpaceDN w:val="0"/>
              <w:jc w:val="right"/>
              <w:rPr>
                <w:rFonts w:ascii="Arial" w:eastAsia="Times New Roman" w:hAnsi="Arial" w:cs="Arial"/>
                <w:sz w:val="18"/>
                <w:szCs w:val="18"/>
              </w:rPr>
            </w:pPr>
            <w:r w:rsidRPr="001541F1">
              <w:rPr>
                <w:rFonts w:ascii="Arial" w:hAnsi="Arial" w:cs="Arial"/>
                <w:sz w:val="18"/>
                <w:szCs w:val="18"/>
              </w:rPr>
              <w:t xml:space="preserve"> (7.117)</w:t>
            </w:r>
          </w:p>
        </w:tc>
        <w:tc>
          <w:tcPr>
            <w:tcW w:w="1048" w:type="dxa"/>
            <w:vAlign w:val="bottom"/>
          </w:tcPr>
          <w:p w14:paraId="4F4E866D" w14:textId="0B9F87BE" w:rsidR="00C07475" w:rsidRPr="00C07475" w:rsidRDefault="00C07475" w:rsidP="00C07475">
            <w:pPr>
              <w:suppressAutoHyphens/>
              <w:autoSpaceDN w:val="0"/>
              <w:jc w:val="right"/>
              <w:rPr>
                <w:rFonts w:ascii="Arial" w:eastAsia="Times New Roman" w:hAnsi="Arial" w:cs="Arial"/>
                <w:sz w:val="18"/>
                <w:szCs w:val="18"/>
              </w:rPr>
            </w:pPr>
            <w:r w:rsidRPr="001541F1">
              <w:rPr>
                <w:rFonts w:ascii="Arial" w:hAnsi="Arial" w:cs="Arial"/>
                <w:sz w:val="18"/>
                <w:szCs w:val="18"/>
              </w:rPr>
              <w:t xml:space="preserve"> (7.870)</w:t>
            </w:r>
          </w:p>
        </w:tc>
        <w:tc>
          <w:tcPr>
            <w:tcW w:w="1159" w:type="dxa"/>
            <w:vAlign w:val="bottom"/>
          </w:tcPr>
          <w:p w14:paraId="1287D486" w14:textId="02272B71" w:rsidR="00C07475" w:rsidRPr="001541F1" w:rsidRDefault="00C07475" w:rsidP="00C07475">
            <w:pPr>
              <w:suppressAutoHyphens/>
              <w:autoSpaceDN w:val="0"/>
              <w:jc w:val="right"/>
              <w:rPr>
                <w:rFonts w:ascii="Arial" w:eastAsia="Times New Roman" w:hAnsi="Arial" w:cs="Arial"/>
                <w:b/>
                <w:bCs/>
                <w:sz w:val="18"/>
                <w:szCs w:val="18"/>
              </w:rPr>
            </w:pPr>
            <w:r w:rsidRPr="001541F1">
              <w:rPr>
                <w:rFonts w:ascii="Arial" w:hAnsi="Arial" w:cs="Arial"/>
                <w:b/>
                <w:bCs/>
                <w:sz w:val="18"/>
                <w:szCs w:val="18"/>
              </w:rPr>
              <w:t xml:space="preserve"> (9.460)</w:t>
            </w:r>
          </w:p>
        </w:tc>
      </w:tr>
      <w:tr w:rsidR="00C07475" w:rsidRPr="003D1614" w14:paraId="01E13BD0" w14:textId="77777777" w:rsidTr="001541F1">
        <w:trPr>
          <w:trHeight w:val="228"/>
        </w:trPr>
        <w:tc>
          <w:tcPr>
            <w:tcW w:w="3912" w:type="dxa"/>
            <w:vAlign w:val="bottom"/>
            <w:hideMark/>
          </w:tcPr>
          <w:p w14:paraId="54D1E0D2" w14:textId="77777777" w:rsidR="00C07475" w:rsidRPr="003D1614" w:rsidRDefault="00C07475" w:rsidP="00C07475">
            <w:pPr>
              <w:suppressAutoHyphens/>
              <w:autoSpaceDN w:val="0"/>
              <w:spacing w:line="256" w:lineRule="auto"/>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Otpis</w:t>
            </w:r>
          </w:p>
        </w:tc>
        <w:tc>
          <w:tcPr>
            <w:tcW w:w="1081" w:type="dxa"/>
            <w:vAlign w:val="bottom"/>
          </w:tcPr>
          <w:p w14:paraId="12AAC6D0" w14:textId="0FC3E8B1" w:rsidR="00C07475" w:rsidRPr="00C07475" w:rsidRDefault="00C07475" w:rsidP="00C07475">
            <w:pPr>
              <w:suppressAutoHyphens/>
              <w:autoSpaceDN w:val="0"/>
              <w:jc w:val="right"/>
              <w:rPr>
                <w:rFonts w:ascii="Arial" w:eastAsia="Times New Roman" w:hAnsi="Arial" w:cs="Arial"/>
                <w:sz w:val="18"/>
                <w:szCs w:val="18"/>
              </w:rPr>
            </w:pPr>
            <w:r w:rsidRPr="001541F1">
              <w:rPr>
                <w:rFonts w:ascii="Arial" w:hAnsi="Arial" w:cs="Arial"/>
                <w:sz w:val="18"/>
                <w:szCs w:val="18"/>
              </w:rPr>
              <w:t xml:space="preserve"> (288)</w:t>
            </w:r>
          </w:p>
        </w:tc>
        <w:tc>
          <w:tcPr>
            <w:tcW w:w="1082" w:type="dxa"/>
            <w:vAlign w:val="bottom"/>
          </w:tcPr>
          <w:p w14:paraId="3C99C9F7" w14:textId="3D862010" w:rsidR="00C07475" w:rsidRPr="00C07475" w:rsidRDefault="00C07475" w:rsidP="00C07475">
            <w:pPr>
              <w:suppressAutoHyphens/>
              <w:autoSpaceDN w:val="0"/>
              <w:jc w:val="right"/>
              <w:rPr>
                <w:rFonts w:ascii="Arial" w:eastAsia="Times New Roman" w:hAnsi="Arial" w:cs="Arial"/>
                <w:sz w:val="18"/>
                <w:szCs w:val="18"/>
              </w:rPr>
            </w:pPr>
            <w:r w:rsidRPr="00C07475">
              <w:rPr>
                <w:rFonts w:ascii="Arial" w:eastAsia="Times New Roman" w:hAnsi="Arial" w:cs="Arial"/>
                <w:sz w:val="18"/>
                <w:szCs w:val="18"/>
              </w:rPr>
              <w:t>-</w:t>
            </w:r>
          </w:p>
        </w:tc>
        <w:tc>
          <w:tcPr>
            <w:tcW w:w="1081" w:type="dxa"/>
            <w:vAlign w:val="bottom"/>
          </w:tcPr>
          <w:p w14:paraId="72E5EF9B" w14:textId="69C29495" w:rsidR="00C07475" w:rsidRPr="00C07475" w:rsidRDefault="00C07475" w:rsidP="00C07475">
            <w:pPr>
              <w:suppressAutoHyphens/>
              <w:autoSpaceDN w:val="0"/>
              <w:jc w:val="right"/>
              <w:rPr>
                <w:rFonts w:ascii="Arial" w:eastAsia="Times New Roman" w:hAnsi="Arial" w:cs="Arial"/>
                <w:sz w:val="18"/>
                <w:szCs w:val="18"/>
              </w:rPr>
            </w:pPr>
            <w:r w:rsidRPr="001541F1">
              <w:rPr>
                <w:rFonts w:ascii="Arial" w:hAnsi="Arial" w:cs="Arial"/>
                <w:sz w:val="18"/>
                <w:szCs w:val="18"/>
              </w:rPr>
              <w:t xml:space="preserve"> (1.680)</w:t>
            </w:r>
          </w:p>
        </w:tc>
        <w:tc>
          <w:tcPr>
            <w:tcW w:w="1048" w:type="dxa"/>
            <w:vAlign w:val="bottom"/>
          </w:tcPr>
          <w:p w14:paraId="7A25F634" w14:textId="41E564F5" w:rsidR="00C07475" w:rsidRPr="00C07475" w:rsidRDefault="00C07475" w:rsidP="00C07475">
            <w:pPr>
              <w:suppressAutoHyphens/>
              <w:autoSpaceDN w:val="0"/>
              <w:jc w:val="right"/>
              <w:rPr>
                <w:rFonts w:ascii="Arial" w:eastAsia="Times New Roman" w:hAnsi="Arial" w:cs="Arial"/>
                <w:sz w:val="18"/>
                <w:szCs w:val="18"/>
              </w:rPr>
            </w:pPr>
            <w:r w:rsidRPr="00C07475">
              <w:rPr>
                <w:rFonts w:ascii="Arial" w:eastAsia="Times New Roman" w:hAnsi="Arial" w:cs="Arial"/>
                <w:sz w:val="18"/>
                <w:szCs w:val="18"/>
              </w:rPr>
              <w:t>-</w:t>
            </w:r>
          </w:p>
        </w:tc>
        <w:tc>
          <w:tcPr>
            <w:tcW w:w="1159" w:type="dxa"/>
            <w:vAlign w:val="bottom"/>
          </w:tcPr>
          <w:p w14:paraId="1D63347C" w14:textId="68CB0080" w:rsidR="00C07475" w:rsidRPr="001541F1" w:rsidRDefault="00C07475" w:rsidP="00C07475">
            <w:pPr>
              <w:suppressAutoHyphens/>
              <w:autoSpaceDN w:val="0"/>
              <w:jc w:val="right"/>
              <w:rPr>
                <w:rFonts w:ascii="Arial" w:eastAsia="Times New Roman" w:hAnsi="Arial" w:cs="Arial"/>
                <w:b/>
                <w:bCs/>
                <w:sz w:val="18"/>
                <w:szCs w:val="18"/>
              </w:rPr>
            </w:pPr>
            <w:r w:rsidRPr="001541F1">
              <w:rPr>
                <w:rFonts w:ascii="Arial" w:hAnsi="Arial" w:cs="Arial"/>
                <w:b/>
                <w:bCs/>
                <w:sz w:val="18"/>
                <w:szCs w:val="18"/>
              </w:rPr>
              <w:t xml:space="preserve"> (1.968)</w:t>
            </w:r>
          </w:p>
        </w:tc>
      </w:tr>
      <w:tr w:rsidR="00C07475" w:rsidRPr="003D1614" w14:paraId="7A8920DC" w14:textId="77777777" w:rsidTr="001541F1">
        <w:trPr>
          <w:trHeight w:val="228"/>
        </w:trPr>
        <w:tc>
          <w:tcPr>
            <w:tcW w:w="3912" w:type="dxa"/>
            <w:vAlign w:val="bottom"/>
            <w:hideMark/>
          </w:tcPr>
          <w:p w14:paraId="38C047F8" w14:textId="77777777" w:rsidR="00C07475" w:rsidRPr="003D1614" w:rsidRDefault="00C07475" w:rsidP="00C07475">
            <w:pPr>
              <w:suppressAutoHyphens/>
              <w:autoSpaceDN w:val="0"/>
              <w:spacing w:line="256" w:lineRule="auto"/>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Unwinding - promjena uslijed proteka vremena</w:t>
            </w:r>
          </w:p>
        </w:tc>
        <w:tc>
          <w:tcPr>
            <w:tcW w:w="1081" w:type="dxa"/>
            <w:vAlign w:val="bottom"/>
          </w:tcPr>
          <w:p w14:paraId="4395D1C8" w14:textId="67B36F98" w:rsidR="00C07475" w:rsidRPr="00C07475" w:rsidRDefault="00C07475" w:rsidP="00C07475">
            <w:pPr>
              <w:suppressAutoHyphens/>
              <w:autoSpaceDN w:val="0"/>
              <w:jc w:val="right"/>
              <w:rPr>
                <w:rFonts w:ascii="Arial" w:eastAsia="Times New Roman" w:hAnsi="Arial" w:cs="Arial"/>
                <w:sz w:val="18"/>
                <w:szCs w:val="18"/>
              </w:rPr>
            </w:pPr>
            <w:r w:rsidRPr="001541F1">
              <w:rPr>
                <w:rFonts w:ascii="Arial" w:hAnsi="Arial" w:cs="Arial"/>
                <w:sz w:val="18"/>
                <w:szCs w:val="18"/>
              </w:rPr>
              <w:t xml:space="preserve"> (6)</w:t>
            </w:r>
          </w:p>
        </w:tc>
        <w:tc>
          <w:tcPr>
            <w:tcW w:w="1082" w:type="dxa"/>
            <w:vAlign w:val="bottom"/>
          </w:tcPr>
          <w:p w14:paraId="659DCA95" w14:textId="69CD1420" w:rsidR="00C07475" w:rsidRPr="00C07475" w:rsidRDefault="00C07475" w:rsidP="00C07475">
            <w:pPr>
              <w:suppressAutoHyphens/>
              <w:autoSpaceDN w:val="0"/>
              <w:jc w:val="right"/>
              <w:rPr>
                <w:rFonts w:ascii="Arial" w:eastAsia="Times New Roman" w:hAnsi="Arial" w:cs="Arial"/>
                <w:sz w:val="18"/>
                <w:szCs w:val="18"/>
              </w:rPr>
            </w:pPr>
            <w:r w:rsidRPr="001541F1">
              <w:rPr>
                <w:rFonts w:ascii="Arial" w:hAnsi="Arial" w:cs="Arial"/>
                <w:sz w:val="18"/>
                <w:szCs w:val="18"/>
              </w:rPr>
              <w:t xml:space="preserve"> (292)</w:t>
            </w:r>
          </w:p>
        </w:tc>
        <w:tc>
          <w:tcPr>
            <w:tcW w:w="1081" w:type="dxa"/>
            <w:vAlign w:val="bottom"/>
          </w:tcPr>
          <w:p w14:paraId="7171A9AA" w14:textId="7B89FDC4" w:rsidR="00C07475" w:rsidRPr="00C07475" w:rsidRDefault="00C07475" w:rsidP="00C07475">
            <w:pPr>
              <w:suppressAutoHyphens/>
              <w:autoSpaceDN w:val="0"/>
              <w:jc w:val="right"/>
              <w:rPr>
                <w:rFonts w:ascii="Arial" w:eastAsia="Times New Roman" w:hAnsi="Arial" w:cs="Arial"/>
                <w:sz w:val="18"/>
                <w:szCs w:val="18"/>
              </w:rPr>
            </w:pPr>
            <w:r w:rsidRPr="001541F1">
              <w:rPr>
                <w:rFonts w:ascii="Arial" w:hAnsi="Arial" w:cs="Arial"/>
                <w:sz w:val="18"/>
                <w:szCs w:val="18"/>
              </w:rPr>
              <w:t xml:space="preserve"> 1.857 </w:t>
            </w:r>
          </w:p>
        </w:tc>
        <w:tc>
          <w:tcPr>
            <w:tcW w:w="1048" w:type="dxa"/>
            <w:vAlign w:val="bottom"/>
          </w:tcPr>
          <w:p w14:paraId="3086E268" w14:textId="77D948DA" w:rsidR="00C07475" w:rsidRPr="00C07475" w:rsidRDefault="00C07475" w:rsidP="00C07475">
            <w:pPr>
              <w:suppressAutoHyphens/>
              <w:autoSpaceDN w:val="0"/>
              <w:jc w:val="right"/>
              <w:rPr>
                <w:rFonts w:ascii="Arial" w:eastAsia="Times New Roman" w:hAnsi="Arial" w:cs="Arial"/>
                <w:sz w:val="18"/>
                <w:szCs w:val="18"/>
              </w:rPr>
            </w:pPr>
            <w:r w:rsidRPr="001541F1">
              <w:rPr>
                <w:rFonts w:ascii="Arial" w:hAnsi="Arial" w:cs="Arial"/>
                <w:sz w:val="18"/>
                <w:szCs w:val="18"/>
              </w:rPr>
              <w:t xml:space="preserve"> (2.087)</w:t>
            </w:r>
          </w:p>
        </w:tc>
        <w:tc>
          <w:tcPr>
            <w:tcW w:w="1159" w:type="dxa"/>
            <w:vAlign w:val="bottom"/>
          </w:tcPr>
          <w:p w14:paraId="41A88F2A" w14:textId="65CCCEC0" w:rsidR="00C07475" w:rsidRPr="001541F1" w:rsidRDefault="00C07475" w:rsidP="00C07475">
            <w:pPr>
              <w:suppressAutoHyphens/>
              <w:autoSpaceDN w:val="0"/>
              <w:jc w:val="right"/>
              <w:rPr>
                <w:rFonts w:ascii="Arial" w:eastAsia="Times New Roman" w:hAnsi="Arial" w:cs="Arial"/>
                <w:b/>
                <w:bCs/>
                <w:sz w:val="18"/>
                <w:szCs w:val="18"/>
              </w:rPr>
            </w:pPr>
            <w:r w:rsidRPr="001541F1">
              <w:rPr>
                <w:rFonts w:ascii="Arial" w:hAnsi="Arial" w:cs="Arial"/>
                <w:b/>
                <w:bCs/>
                <w:sz w:val="18"/>
                <w:szCs w:val="18"/>
              </w:rPr>
              <w:t xml:space="preserve"> (528)</w:t>
            </w:r>
          </w:p>
        </w:tc>
      </w:tr>
      <w:tr w:rsidR="00C07475" w:rsidRPr="003D1614" w14:paraId="605000BC" w14:textId="77777777" w:rsidTr="001541F1">
        <w:trPr>
          <w:trHeight w:val="228"/>
        </w:trPr>
        <w:tc>
          <w:tcPr>
            <w:tcW w:w="3912" w:type="dxa"/>
            <w:vAlign w:val="bottom"/>
          </w:tcPr>
          <w:p w14:paraId="79BE999F" w14:textId="77777777" w:rsidR="00C07475" w:rsidRPr="003D1614" w:rsidRDefault="00C07475" w:rsidP="00C07475">
            <w:pPr>
              <w:suppressAutoHyphens/>
              <w:autoSpaceDN w:val="0"/>
              <w:spacing w:line="256" w:lineRule="auto"/>
              <w:rPr>
                <w:rFonts w:ascii="Arial" w:eastAsia="Calibri" w:hAnsi="Arial" w:cs="Arial"/>
                <w:color w:val="000000" w:themeColor="text1"/>
                <w:sz w:val="18"/>
                <w:szCs w:val="18"/>
              </w:rPr>
            </w:pPr>
            <w:bookmarkStart w:id="746" w:name="_Hlk24387049"/>
            <w:r w:rsidRPr="003D1614">
              <w:rPr>
                <w:rFonts w:ascii="Arial" w:eastAsia="Calibri" w:hAnsi="Arial" w:cs="Arial"/>
                <w:color w:val="000000" w:themeColor="text1"/>
                <w:sz w:val="18"/>
                <w:szCs w:val="18"/>
              </w:rPr>
              <w:t>Ostalo</w:t>
            </w:r>
          </w:p>
        </w:tc>
        <w:tc>
          <w:tcPr>
            <w:tcW w:w="1081" w:type="dxa"/>
            <w:vAlign w:val="bottom"/>
          </w:tcPr>
          <w:p w14:paraId="201852CA" w14:textId="1F16E147" w:rsidR="00C07475" w:rsidRPr="00C07475" w:rsidRDefault="00C07475" w:rsidP="00C07475">
            <w:pPr>
              <w:suppressAutoHyphens/>
              <w:autoSpaceDN w:val="0"/>
              <w:jc w:val="right"/>
              <w:rPr>
                <w:rFonts w:ascii="Arial" w:eastAsia="Times New Roman" w:hAnsi="Arial" w:cs="Arial"/>
                <w:sz w:val="18"/>
                <w:szCs w:val="18"/>
              </w:rPr>
            </w:pPr>
            <w:r w:rsidRPr="00C07475">
              <w:rPr>
                <w:rFonts w:ascii="Arial" w:eastAsia="Times New Roman" w:hAnsi="Arial" w:cs="Arial"/>
                <w:sz w:val="18"/>
                <w:szCs w:val="18"/>
              </w:rPr>
              <w:t>-</w:t>
            </w:r>
          </w:p>
        </w:tc>
        <w:tc>
          <w:tcPr>
            <w:tcW w:w="1082" w:type="dxa"/>
            <w:vAlign w:val="bottom"/>
          </w:tcPr>
          <w:p w14:paraId="602CC3C2" w14:textId="2AEE30B7" w:rsidR="00C07475" w:rsidRPr="00C07475" w:rsidRDefault="00C07475" w:rsidP="00C07475">
            <w:pPr>
              <w:suppressAutoHyphens/>
              <w:autoSpaceDN w:val="0"/>
              <w:jc w:val="right"/>
              <w:rPr>
                <w:rFonts w:ascii="Arial" w:eastAsia="Times New Roman" w:hAnsi="Arial" w:cs="Arial"/>
                <w:sz w:val="18"/>
                <w:szCs w:val="18"/>
              </w:rPr>
            </w:pPr>
            <w:r w:rsidRPr="00C07475">
              <w:rPr>
                <w:rFonts w:ascii="Arial" w:eastAsia="Times New Roman" w:hAnsi="Arial" w:cs="Arial"/>
                <w:sz w:val="18"/>
                <w:szCs w:val="18"/>
              </w:rPr>
              <w:t>-</w:t>
            </w:r>
          </w:p>
        </w:tc>
        <w:tc>
          <w:tcPr>
            <w:tcW w:w="1081" w:type="dxa"/>
            <w:vAlign w:val="bottom"/>
          </w:tcPr>
          <w:p w14:paraId="305EC20B" w14:textId="7245CBEE" w:rsidR="00C07475" w:rsidRPr="00C07475" w:rsidRDefault="00C07475" w:rsidP="00C07475">
            <w:pPr>
              <w:suppressAutoHyphens/>
              <w:autoSpaceDN w:val="0"/>
              <w:jc w:val="right"/>
              <w:rPr>
                <w:rFonts w:ascii="Arial" w:eastAsia="Times New Roman" w:hAnsi="Arial" w:cs="Arial"/>
                <w:sz w:val="18"/>
                <w:szCs w:val="18"/>
              </w:rPr>
            </w:pPr>
            <w:r w:rsidRPr="00C07475">
              <w:rPr>
                <w:rFonts w:ascii="Arial" w:eastAsia="Times New Roman" w:hAnsi="Arial" w:cs="Arial"/>
                <w:sz w:val="18"/>
                <w:szCs w:val="18"/>
              </w:rPr>
              <w:t>-</w:t>
            </w:r>
          </w:p>
        </w:tc>
        <w:tc>
          <w:tcPr>
            <w:tcW w:w="1048" w:type="dxa"/>
            <w:vAlign w:val="bottom"/>
          </w:tcPr>
          <w:p w14:paraId="3E46EE4C" w14:textId="0874CD1B" w:rsidR="00C07475" w:rsidRPr="00C07475" w:rsidRDefault="00C07475" w:rsidP="00C07475">
            <w:pPr>
              <w:suppressAutoHyphens/>
              <w:autoSpaceDN w:val="0"/>
              <w:jc w:val="right"/>
              <w:rPr>
                <w:rFonts w:ascii="Arial" w:eastAsia="Times New Roman" w:hAnsi="Arial" w:cs="Arial"/>
                <w:sz w:val="18"/>
                <w:szCs w:val="18"/>
              </w:rPr>
            </w:pPr>
            <w:r w:rsidRPr="001541F1">
              <w:rPr>
                <w:rFonts w:ascii="Arial" w:hAnsi="Arial" w:cs="Arial"/>
                <w:sz w:val="18"/>
                <w:szCs w:val="18"/>
              </w:rPr>
              <w:t xml:space="preserve"> 5.155 </w:t>
            </w:r>
          </w:p>
        </w:tc>
        <w:tc>
          <w:tcPr>
            <w:tcW w:w="1159" w:type="dxa"/>
            <w:vAlign w:val="bottom"/>
          </w:tcPr>
          <w:p w14:paraId="4230AC55" w14:textId="03ED38D0" w:rsidR="00C07475" w:rsidRPr="001541F1" w:rsidRDefault="00C07475" w:rsidP="00C07475">
            <w:pPr>
              <w:suppressAutoHyphens/>
              <w:autoSpaceDN w:val="0"/>
              <w:jc w:val="right"/>
              <w:rPr>
                <w:rFonts w:ascii="Arial" w:eastAsia="Times New Roman" w:hAnsi="Arial" w:cs="Arial"/>
                <w:b/>
                <w:bCs/>
                <w:sz w:val="18"/>
                <w:szCs w:val="18"/>
              </w:rPr>
            </w:pPr>
            <w:r w:rsidRPr="001541F1">
              <w:rPr>
                <w:rFonts w:ascii="Arial" w:hAnsi="Arial" w:cs="Arial"/>
                <w:b/>
                <w:bCs/>
                <w:sz w:val="18"/>
                <w:szCs w:val="18"/>
              </w:rPr>
              <w:t xml:space="preserve"> 5.155 </w:t>
            </w:r>
          </w:p>
        </w:tc>
      </w:tr>
      <w:tr w:rsidR="00C07475" w:rsidRPr="003D1614" w14:paraId="72373852" w14:textId="77777777" w:rsidTr="001541F1">
        <w:trPr>
          <w:trHeight w:val="167"/>
        </w:trPr>
        <w:tc>
          <w:tcPr>
            <w:tcW w:w="3912" w:type="dxa"/>
            <w:vAlign w:val="bottom"/>
            <w:hideMark/>
          </w:tcPr>
          <w:p w14:paraId="78390D8D" w14:textId="77777777" w:rsidR="00C07475" w:rsidRPr="003D1614" w:rsidRDefault="00C07475" w:rsidP="00C07475">
            <w:pPr>
              <w:suppressAutoHyphens/>
              <w:autoSpaceDN w:val="0"/>
              <w:spacing w:line="256" w:lineRule="auto"/>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Neto dobit/gubitak od tečajnih razlika po rezerviranjima za očekivane gubitke</w:t>
            </w:r>
          </w:p>
        </w:tc>
        <w:tc>
          <w:tcPr>
            <w:tcW w:w="1081" w:type="dxa"/>
            <w:tcBorders>
              <w:top w:val="nil"/>
              <w:left w:val="nil"/>
              <w:bottom w:val="single" w:sz="4" w:space="0" w:color="auto"/>
              <w:right w:val="nil"/>
            </w:tcBorders>
            <w:vAlign w:val="bottom"/>
          </w:tcPr>
          <w:p w14:paraId="3FC9D195" w14:textId="10D0245E" w:rsidR="00C07475" w:rsidRPr="00C07475" w:rsidRDefault="00C07475" w:rsidP="00C07475">
            <w:pPr>
              <w:suppressAutoHyphens/>
              <w:autoSpaceDN w:val="0"/>
              <w:jc w:val="right"/>
              <w:rPr>
                <w:rFonts w:ascii="Arial" w:eastAsia="Times New Roman" w:hAnsi="Arial" w:cs="Arial"/>
                <w:sz w:val="18"/>
                <w:szCs w:val="18"/>
              </w:rPr>
            </w:pPr>
            <w:r w:rsidRPr="001541F1">
              <w:rPr>
                <w:rFonts w:ascii="Arial" w:hAnsi="Arial" w:cs="Arial"/>
                <w:sz w:val="18"/>
                <w:szCs w:val="18"/>
              </w:rPr>
              <w:t xml:space="preserve"> (2)</w:t>
            </w:r>
          </w:p>
        </w:tc>
        <w:tc>
          <w:tcPr>
            <w:tcW w:w="1082" w:type="dxa"/>
            <w:tcBorders>
              <w:top w:val="nil"/>
              <w:left w:val="nil"/>
              <w:bottom w:val="single" w:sz="4" w:space="0" w:color="auto"/>
              <w:right w:val="nil"/>
            </w:tcBorders>
            <w:vAlign w:val="bottom"/>
          </w:tcPr>
          <w:p w14:paraId="3C7A289B" w14:textId="6A7A0297" w:rsidR="00C07475" w:rsidRPr="00C07475" w:rsidRDefault="00946D50" w:rsidP="00C07475">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81" w:type="dxa"/>
            <w:tcBorders>
              <w:top w:val="nil"/>
              <w:left w:val="nil"/>
              <w:bottom w:val="single" w:sz="4" w:space="0" w:color="auto"/>
              <w:right w:val="nil"/>
            </w:tcBorders>
            <w:vAlign w:val="bottom"/>
          </w:tcPr>
          <w:p w14:paraId="3574963B" w14:textId="1C0FF1A2" w:rsidR="00C07475" w:rsidRPr="00C07475" w:rsidRDefault="00C07475" w:rsidP="00C07475">
            <w:pPr>
              <w:suppressAutoHyphens/>
              <w:autoSpaceDN w:val="0"/>
              <w:jc w:val="right"/>
              <w:rPr>
                <w:rFonts w:ascii="Arial" w:eastAsia="Times New Roman" w:hAnsi="Arial" w:cs="Arial"/>
                <w:sz w:val="18"/>
                <w:szCs w:val="18"/>
              </w:rPr>
            </w:pPr>
            <w:r w:rsidRPr="001541F1">
              <w:rPr>
                <w:rFonts w:ascii="Arial" w:hAnsi="Arial" w:cs="Arial"/>
                <w:sz w:val="18"/>
                <w:szCs w:val="18"/>
              </w:rPr>
              <w:t xml:space="preserve"> (120)</w:t>
            </w:r>
          </w:p>
        </w:tc>
        <w:tc>
          <w:tcPr>
            <w:tcW w:w="1048" w:type="dxa"/>
            <w:tcBorders>
              <w:top w:val="nil"/>
              <w:left w:val="nil"/>
              <w:bottom w:val="single" w:sz="4" w:space="0" w:color="auto"/>
              <w:right w:val="nil"/>
            </w:tcBorders>
            <w:vAlign w:val="bottom"/>
          </w:tcPr>
          <w:p w14:paraId="54B419B1" w14:textId="2AB59245" w:rsidR="00C07475" w:rsidRPr="00C07475" w:rsidRDefault="00C07475" w:rsidP="00C07475">
            <w:pPr>
              <w:suppressAutoHyphens/>
              <w:autoSpaceDN w:val="0"/>
              <w:jc w:val="right"/>
              <w:rPr>
                <w:rFonts w:ascii="Arial" w:eastAsia="Times New Roman" w:hAnsi="Arial" w:cs="Arial"/>
                <w:sz w:val="18"/>
                <w:szCs w:val="18"/>
              </w:rPr>
            </w:pPr>
            <w:r w:rsidRPr="001541F1">
              <w:rPr>
                <w:rFonts w:ascii="Arial" w:hAnsi="Arial" w:cs="Arial"/>
                <w:sz w:val="18"/>
                <w:szCs w:val="18"/>
              </w:rPr>
              <w:t xml:space="preserve"> (10)</w:t>
            </w:r>
          </w:p>
        </w:tc>
        <w:tc>
          <w:tcPr>
            <w:tcW w:w="1159" w:type="dxa"/>
            <w:tcBorders>
              <w:top w:val="nil"/>
              <w:left w:val="nil"/>
              <w:bottom w:val="single" w:sz="4" w:space="0" w:color="auto"/>
              <w:right w:val="nil"/>
            </w:tcBorders>
            <w:vAlign w:val="bottom"/>
          </w:tcPr>
          <w:p w14:paraId="1C4A875A" w14:textId="12B9204F" w:rsidR="00C07475" w:rsidRPr="001541F1" w:rsidRDefault="00C07475" w:rsidP="00C07475">
            <w:pPr>
              <w:suppressAutoHyphens/>
              <w:autoSpaceDN w:val="0"/>
              <w:jc w:val="right"/>
              <w:rPr>
                <w:rFonts w:ascii="Arial" w:eastAsia="Times New Roman" w:hAnsi="Arial" w:cs="Arial"/>
                <w:b/>
                <w:bCs/>
                <w:sz w:val="18"/>
                <w:szCs w:val="18"/>
              </w:rPr>
            </w:pPr>
            <w:r w:rsidRPr="001541F1">
              <w:rPr>
                <w:rFonts w:ascii="Arial" w:hAnsi="Arial" w:cs="Arial"/>
                <w:b/>
                <w:bCs/>
                <w:sz w:val="18"/>
                <w:szCs w:val="18"/>
              </w:rPr>
              <w:t xml:space="preserve"> (132)</w:t>
            </w:r>
          </w:p>
        </w:tc>
      </w:tr>
      <w:tr w:rsidR="00C07475" w:rsidRPr="003D1614" w14:paraId="47FF9158" w14:textId="77777777" w:rsidTr="001541F1">
        <w:trPr>
          <w:trHeight w:val="276"/>
        </w:trPr>
        <w:tc>
          <w:tcPr>
            <w:tcW w:w="3912" w:type="dxa"/>
            <w:vAlign w:val="bottom"/>
            <w:hideMark/>
          </w:tcPr>
          <w:p w14:paraId="4B789D92" w14:textId="4A16B86D" w:rsidR="00C07475" w:rsidRPr="003D1614" w:rsidRDefault="00C07475" w:rsidP="00C07475">
            <w:pPr>
              <w:suppressAutoHyphens/>
              <w:autoSpaceDN w:val="0"/>
              <w:spacing w:line="256" w:lineRule="auto"/>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 xml:space="preserve">Stanje </w:t>
            </w:r>
            <w:r w:rsidRPr="00881155">
              <w:rPr>
                <w:rFonts w:ascii="Arial" w:eastAsia="Calibri" w:hAnsi="Arial" w:cs="Arial"/>
                <w:b/>
                <w:bCs/>
                <w:color w:val="000000" w:themeColor="text1"/>
                <w:sz w:val="18"/>
                <w:szCs w:val="18"/>
              </w:rPr>
              <w:t>30. rujna 202</w:t>
            </w:r>
            <w:r>
              <w:rPr>
                <w:rFonts w:ascii="Arial" w:eastAsia="Calibri" w:hAnsi="Arial" w:cs="Arial"/>
                <w:b/>
                <w:bCs/>
                <w:color w:val="000000" w:themeColor="text1"/>
                <w:sz w:val="18"/>
                <w:szCs w:val="18"/>
              </w:rPr>
              <w:t>4</w:t>
            </w:r>
            <w:r w:rsidRPr="00881155">
              <w:rPr>
                <w:rFonts w:ascii="Arial" w:eastAsia="Calibri" w:hAnsi="Arial" w:cs="Arial"/>
                <w:b/>
                <w:bCs/>
                <w:color w:val="000000" w:themeColor="text1"/>
                <w:sz w:val="18"/>
                <w:szCs w:val="18"/>
              </w:rPr>
              <w:t>.</w:t>
            </w:r>
          </w:p>
        </w:tc>
        <w:tc>
          <w:tcPr>
            <w:tcW w:w="1081" w:type="dxa"/>
            <w:tcBorders>
              <w:top w:val="single" w:sz="4" w:space="0" w:color="auto"/>
              <w:left w:val="nil"/>
              <w:bottom w:val="single" w:sz="12" w:space="0" w:color="auto"/>
              <w:right w:val="nil"/>
            </w:tcBorders>
            <w:shd w:val="clear" w:color="auto" w:fill="auto"/>
            <w:vAlign w:val="bottom"/>
          </w:tcPr>
          <w:p w14:paraId="6D41C693" w14:textId="676D2832" w:rsidR="00C07475" w:rsidRPr="00C07475" w:rsidRDefault="00C07475" w:rsidP="00C07475">
            <w:pPr>
              <w:suppressAutoHyphens/>
              <w:autoSpaceDN w:val="0"/>
              <w:jc w:val="right"/>
              <w:rPr>
                <w:rFonts w:ascii="Arial" w:eastAsia="Times New Roman" w:hAnsi="Arial" w:cs="Arial"/>
                <w:b/>
                <w:bCs/>
                <w:sz w:val="18"/>
                <w:szCs w:val="18"/>
              </w:rPr>
            </w:pPr>
            <w:r w:rsidRPr="001541F1">
              <w:rPr>
                <w:rFonts w:ascii="Arial" w:hAnsi="Arial" w:cs="Arial"/>
                <w:b/>
                <w:bCs/>
                <w:sz w:val="18"/>
                <w:szCs w:val="18"/>
              </w:rPr>
              <w:t xml:space="preserve"> 44.562 </w:t>
            </w:r>
          </w:p>
        </w:tc>
        <w:tc>
          <w:tcPr>
            <w:tcW w:w="1082" w:type="dxa"/>
            <w:tcBorders>
              <w:top w:val="single" w:sz="4" w:space="0" w:color="auto"/>
              <w:left w:val="nil"/>
              <w:bottom w:val="single" w:sz="12" w:space="0" w:color="auto"/>
              <w:right w:val="nil"/>
            </w:tcBorders>
            <w:shd w:val="clear" w:color="auto" w:fill="auto"/>
            <w:vAlign w:val="bottom"/>
          </w:tcPr>
          <w:p w14:paraId="0F6BDBC2" w14:textId="61ABE399" w:rsidR="00C07475" w:rsidRPr="00C07475" w:rsidRDefault="00C07475" w:rsidP="00C07475">
            <w:pPr>
              <w:suppressAutoHyphens/>
              <w:autoSpaceDN w:val="0"/>
              <w:jc w:val="right"/>
              <w:rPr>
                <w:rFonts w:ascii="Arial" w:eastAsia="Times New Roman" w:hAnsi="Arial" w:cs="Arial"/>
                <w:b/>
                <w:bCs/>
                <w:sz w:val="18"/>
                <w:szCs w:val="18"/>
              </w:rPr>
            </w:pPr>
            <w:r w:rsidRPr="001541F1">
              <w:rPr>
                <w:rFonts w:ascii="Arial" w:hAnsi="Arial" w:cs="Arial"/>
                <w:b/>
                <w:bCs/>
                <w:sz w:val="18"/>
                <w:szCs w:val="18"/>
              </w:rPr>
              <w:t xml:space="preserve"> 109.650 </w:t>
            </w:r>
          </w:p>
        </w:tc>
        <w:tc>
          <w:tcPr>
            <w:tcW w:w="1081" w:type="dxa"/>
            <w:tcBorders>
              <w:top w:val="single" w:sz="4" w:space="0" w:color="auto"/>
              <w:left w:val="nil"/>
              <w:bottom w:val="single" w:sz="12" w:space="0" w:color="auto"/>
              <w:right w:val="nil"/>
            </w:tcBorders>
            <w:shd w:val="clear" w:color="auto" w:fill="auto"/>
            <w:vAlign w:val="bottom"/>
          </w:tcPr>
          <w:p w14:paraId="37DA59C0" w14:textId="1A4751D5" w:rsidR="00C07475" w:rsidRPr="00C07475" w:rsidRDefault="00C07475" w:rsidP="00C07475">
            <w:pPr>
              <w:suppressAutoHyphens/>
              <w:autoSpaceDN w:val="0"/>
              <w:jc w:val="right"/>
              <w:rPr>
                <w:rFonts w:ascii="Arial" w:eastAsia="Times New Roman" w:hAnsi="Arial" w:cs="Arial"/>
                <w:b/>
                <w:bCs/>
                <w:sz w:val="18"/>
                <w:szCs w:val="18"/>
              </w:rPr>
            </w:pPr>
            <w:r w:rsidRPr="001541F1">
              <w:rPr>
                <w:rFonts w:ascii="Arial" w:hAnsi="Arial" w:cs="Arial"/>
                <w:b/>
                <w:bCs/>
                <w:sz w:val="18"/>
                <w:szCs w:val="18"/>
              </w:rPr>
              <w:t xml:space="preserve"> 275.734 </w:t>
            </w:r>
          </w:p>
        </w:tc>
        <w:tc>
          <w:tcPr>
            <w:tcW w:w="1048" w:type="dxa"/>
            <w:tcBorders>
              <w:top w:val="single" w:sz="4" w:space="0" w:color="auto"/>
              <w:left w:val="nil"/>
              <w:bottom w:val="single" w:sz="12" w:space="0" w:color="auto"/>
              <w:right w:val="nil"/>
            </w:tcBorders>
            <w:shd w:val="clear" w:color="auto" w:fill="auto"/>
            <w:vAlign w:val="bottom"/>
          </w:tcPr>
          <w:p w14:paraId="4EB1DE09" w14:textId="3D1B0569" w:rsidR="00C07475" w:rsidRPr="00C07475" w:rsidRDefault="00C07475" w:rsidP="00C07475">
            <w:pPr>
              <w:suppressAutoHyphens/>
              <w:autoSpaceDN w:val="0"/>
              <w:jc w:val="right"/>
              <w:rPr>
                <w:rFonts w:ascii="Arial" w:eastAsia="Times New Roman" w:hAnsi="Arial" w:cs="Arial"/>
                <w:b/>
                <w:bCs/>
                <w:sz w:val="18"/>
                <w:szCs w:val="18"/>
              </w:rPr>
            </w:pPr>
            <w:r w:rsidRPr="001541F1">
              <w:rPr>
                <w:rFonts w:ascii="Arial" w:hAnsi="Arial" w:cs="Arial"/>
                <w:b/>
                <w:bCs/>
                <w:sz w:val="18"/>
                <w:szCs w:val="18"/>
              </w:rPr>
              <w:t xml:space="preserve"> 33.878 </w:t>
            </w:r>
          </w:p>
        </w:tc>
        <w:tc>
          <w:tcPr>
            <w:tcW w:w="1159" w:type="dxa"/>
            <w:tcBorders>
              <w:top w:val="single" w:sz="4" w:space="0" w:color="auto"/>
              <w:left w:val="nil"/>
              <w:bottom w:val="single" w:sz="12" w:space="0" w:color="auto"/>
              <w:right w:val="nil"/>
            </w:tcBorders>
            <w:shd w:val="clear" w:color="auto" w:fill="auto"/>
            <w:vAlign w:val="bottom"/>
          </w:tcPr>
          <w:p w14:paraId="189FDD75" w14:textId="50AB6D5A" w:rsidR="00C07475" w:rsidRPr="00C07475" w:rsidRDefault="00C07475" w:rsidP="00C07475">
            <w:pPr>
              <w:suppressAutoHyphens/>
              <w:autoSpaceDN w:val="0"/>
              <w:jc w:val="right"/>
              <w:rPr>
                <w:rFonts w:ascii="Arial" w:eastAsia="Times New Roman" w:hAnsi="Arial" w:cs="Arial"/>
                <w:b/>
                <w:bCs/>
                <w:sz w:val="18"/>
                <w:szCs w:val="18"/>
              </w:rPr>
            </w:pPr>
            <w:r w:rsidRPr="001541F1">
              <w:rPr>
                <w:rFonts w:ascii="Arial" w:hAnsi="Arial" w:cs="Arial"/>
                <w:b/>
                <w:bCs/>
                <w:sz w:val="18"/>
                <w:szCs w:val="18"/>
              </w:rPr>
              <w:t xml:space="preserve"> 463.824 </w:t>
            </w:r>
          </w:p>
        </w:tc>
      </w:tr>
      <w:bookmarkEnd w:id="744"/>
      <w:bookmarkEnd w:id="746"/>
    </w:tbl>
    <w:p w14:paraId="3277AD85" w14:textId="77777777" w:rsidR="00D92646" w:rsidRPr="003D1614" w:rsidRDefault="00D92646" w:rsidP="00D92646">
      <w:pPr>
        <w:suppressAutoHyphens/>
        <w:autoSpaceDN w:val="0"/>
        <w:rPr>
          <w:rFonts w:ascii="Arial" w:eastAsia="Calibri" w:hAnsi="Arial" w:cs="Arial"/>
          <w:color w:val="000000" w:themeColor="text1"/>
          <w:sz w:val="20"/>
          <w:szCs w:val="20"/>
        </w:rPr>
      </w:pPr>
    </w:p>
    <w:p w14:paraId="6E874C07" w14:textId="38B75683" w:rsidR="00D92646" w:rsidRPr="003D1614" w:rsidRDefault="00D92646" w:rsidP="001A0FCB">
      <w:pPr>
        <w:suppressAutoHyphens/>
        <w:autoSpaceDN w:val="0"/>
        <w:jc w:val="both"/>
        <w:rPr>
          <w:rFonts w:ascii="Arial" w:eastAsia="Times New Roman" w:hAnsi="Arial" w:cs="Arial"/>
          <w:color w:val="000000" w:themeColor="text1"/>
          <w:sz w:val="20"/>
          <w:szCs w:val="20"/>
        </w:rPr>
      </w:pPr>
    </w:p>
    <w:tbl>
      <w:tblPr>
        <w:tblW w:w="9363" w:type="dxa"/>
        <w:tblInd w:w="-180" w:type="dxa"/>
        <w:tblLayout w:type="fixed"/>
        <w:tblLook w:val="04A0" w:firstRow="1" w:lastRow="0" w:firstColumn="1" w:lastColumn="0" w:noHBand="0" w:noVBand="1"/>
      </w:tblPr>
      <w:tblGrid>
        <w:gridCol w:w="3912"/>
        <w:gridCol w:w="1081"/>
        <w:gridCol w:w="1082"/>
        <w:gridCol w:w="1081"/>
        <w:gridCol w:w="1048"/>
        <w:gridCol w:w="1159"/>
      </w:tblGrid>
      <w:tr w:rsidR="007C6BEE" w:rsidRPr="001B015B" w14:paraId="13A77AB6" w14:textId="77777777" w:rsidTr="0034622E">
        <w:trPr>
          <w:trHeight w:val="159"/>
        </w:trPr>
        <w:tc>
          <w:tcPr>
            <w:tcW w:w="3912" w:type="dxa"/>
            <w:vAlign w:val="center"/>
            <w:hideMark/>
          </w:tcPr>
          <w:p w14:paraId="46C5E149" w14:textId="77777777" w:rsidR="007C6BEE" w:rsidRPr="001B015B" w:rsidRDefault="007C6BEE" w:rsidP="0034622E">
            <w:pPr>
              <w:spacing w:line="256" w:lineRule="auto"/>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Grupa i Banka</w:t>
            </w:r>
          </w:p>
        </w:tc>
        <w:tc>
          <w:tcPr>
            <w:tcW w:w="1081" w:type="dxa"/>
            <w:vAlign w:val="center"/>
          </w:tcPr>
          <w:p w14:paraId="30607D78" w14:textId="77777777" w:rsidR="007C6BEE" w:rsidRPr="001B015B" w:rsidRDefault="007C6BEE" w:rsidP="0034622E">
            <w:pPr>
              <w:spacing w:line="256" w:lineRule="auto"/>
              <w:jc w:val="right"/>
              <w:rPr>
                <w:rFonts w:ascii="Arial" w:eastAsia="Calibri" w:hAnsi="Arial" w:cs="Arial"/>
                <w:b/>
                <w:bCs/>
                <w:color w:val="000000" w:themeColor="text1"/>
                <w:sz w:val="18"/>
                <w:szCs w:val="18"/>
              </w:rPr>
            </w:pPr>
          </w:p>
        </w:tc>
        <w:tc>
          <w:tcPr>
            <w:tcW w:w="1082" w:type="dxa"/>
            <w:vAlign w:val="center"/>
          </w:tcPr>
          <w:p w14:paraId="00BA372B" w14:textId="77777777" w:rsidR="007C6BEE" w:rsidRPr="001B015B" w:rsidRDefault="007C6BEE" w:rsidP="0034622E">
            <w:pPr>
              <w:spacing w:line="256" w:lineRule="auto"/>
              <w:jc w:val="right"/>
              <w:rPr>
                <w:rFonts w:ascii="Arial" w:eastAsia="Calibri" w:hAnsi="Arial" w:cs="Arial"/>
                <w:b/>
                <w:bCs/>
                <w:color w:val="000000" w:themeColor="text1"/>
                <w:sz w:val="18"/>
                <w:szCs w:val="18"/>
              </w:rPr>
            </w:pPr>
          </w:p>
        </w:tc>
        <w:tc>
          <w:tcPr>
            <w:tcW w:w="1081" w:type="dxa"/>
            <w:vAlign w:val="center"/>
          </w:tcPr>
          <w:p w14:paraId="02E3268B" w14:textId="77777777" w:rsidR="007C6BEE" w:rsidRPr="001B015B" w:rsidRDefault="007C6BEE" w:rsidP="0034622E">
            <w:pPr>
              <w:spacing w:line="256" w:lineRule="auto"/>
              <w:jc w:val="right"/>
              <w:rPr>
                <w:rFonts w:ascii="Arial" w:eastAsia="Calibri" w:hAnsi="Arial" w:cs="Arial"/>
                <w:b/>
                <w:bCs/>
                <w:color w:val="000000" w:themeColor="text1"/>
                <w:sz w:val="18"/>
                <w:szCs w:val="18"/>
              </w:rPr>
            </w:pPr>
          </w:p>
        </w:tc>
        <w:tc>
          <w:tcPr>
            <w:tcW w:w="1048" w:type="dxa"/>
            <w:vAlign w:val="center"/>
          </w:tcPr>
          <w:p w14:paraId="5F4A65A2" w14:textId="77777777" w:rsidR="007C6BEE" w:rsidRPr="001B015B" w:rsidRDefault="007C6BEE" w:rsidP="0034622E">
            <w:pPr>
              <w:spacing w:line="256" w:lineRule="auto"/>
              <w:jc w:val="right"/>
              <w:rPr>
                <w:rFonts w:ascii="Arial" w:eastAsia="Calibri" w:hAnsi="Arial" w:cs="Arial"/>
                <w:b/>
                <w:bCs/>
                <w:color w:val="000000" w:themeColor="text1"/>
                <w:sz w:val="18"/>
                <w:szCs w:val="18"/>
              </w:rPr>
            </w:pPr>
          </w:p>
        </w:tc>
        <w:tc>
          <w:tcPr>
            <w:tcW w:w="1159" w:type="dxa"/>
            <w:vAlign w:val="center"/>
          </w:tcPr>
          <w:p w14:paraId="4429D399" w14:textId="77777777" w:rsidR="007C6BEE" w:rsidRPr="001B015B" w:rsidRDefault="007C6BEE" w:rsidP="0034622E">
            <w:pPr>
              <w:spacing w:line="256" w:lineRule="auto"/>
              <w:jc w:val="right"/>
              <w:rPr>
                <w:rFonts w:ascii="Arial" w:eastAsia="Calibri" w:hAnsi="Arial" w:cs="Arial"/>
                <w:b/>
                <w:bCs/>
                <w:color w:val="000000" w:themeColor="text1"/>
                <w:sz w:val="18"/>
                <w:szCs w:val="18"/>
              </w:rPr>
            </w:pPr>
          </w:p>
        </w:tc>
      </w:tr>
      <w:tr w:rsidR="007C6BEE" w:rsidRPr="001B015B" w14:paraId="39D01765" w14:textId="77777777" w:rsidTr="0034622E">
        <w:trPr>
          <w:trHeight w:val="159"/>
        </w:trPr>
        <w:tc>
          <w:tcPr>
            <w:tcW w:w="3912" w:type="dxa"/>
            <w:vAlign w:val="center"/>
            <w:hideMark/>
          </w:tcPr>
          <w:p w14:paraId="1B1B61B3" w14:textId="77777777" w:rsidR="007C6BEE" w:rsidRPr="001B015B" w:rsidRDefault="007C6BEE" w:rsidP="0034622E">
            <w:pPr>
              <w:spacing w:line="256" w:lineRule="auto"/>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31. prosinca 202</w:t>
            </w:r>
            <w:r>
              <w:rPr>
                <w:rFonts w:ascii="Arial" w:eastAsia="Calibri" w:hAnsi="Arial" w:cs="Arial"/>
                <w:b/>
                <w:bCs/>
                <w:color w:val="000000" w:themeColor="text1"/>
                <w:sz w:val="18"/>
                <w:szCs w:val="18"/>
              </w:rPr>
              <w:t>3</w:t>
            </w:r>
            <w:r w:rsidRPr="001B015B">
              <w:rPr>
                <w:rFonts w:ascii="Arial" w:eastAsia="Calibri" w:hAnsi="Arial" w:cs="Arial"/>
                <w:b/>
                <w:bCs/>
                <w:color w:val="000000" w:themeColor="text1"/>
                <w:sz w:val="18"/>
                <w:szCs w:val="18"/>
              </w:rPr>
              <w:t>.</w:t>
            </w:r>
          </w:p>
        </w:tc>
        <w:tc>
          <w:tcPr>
            <w:tcW w:w="1081" w:type="dxa"/>
            <w:vAlign w:val="center"/>
            <w:hideMark/>
          </w:tcPr>
          <w:p w14:paraId="047FD1BE" w14:textId="77777777" w:rsidR="007C6BEE" w:rsidRPr="001B015B" w:rsidRDefault="007C6BEE" w:rsidP="0034622E">
            <w:pPr>
              <w:spacing w:line="256" w:lineRule="auto"/>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Stupanj 1</w:t>
            </w:r>
          </w:p>
        </w:tc>
        <w:tc>
          <w:tcPr>
            <w:tcW w:w="1082" w:type="dxa"/>
            <w:vAlign w:val="center"/>
            <w:hideMark/>
          </w:tcPr>
          <w:p w14:paraId="369E24F7" w14:textId="77777777" w:rsidR="007C6BEE" w:rsidRPr="001B015B" w:rsidRDefault="007C6BEE" w:rsidP="0034622E">
            <w:pPr>
              <w:spacing w:line="256" w:lineRule="auto"/>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Stupanj 2</w:t>
            </w:r>
          </w:p>
        </w:tc>
        <w:tc>
          <w:tcPr>
            <w:tcW w:w="1081" w:type="dxa"/>
            <w:vAlign w:val="center"/>
            <w:hideMark/>
          </w:tcPr>
          <w:p w14:paraId="6BFCE162" w14:textId="77777777" w:rsidR="007C6BEE" w:rsidRPr="001B015B" w:rsidRDefault="007C6BEE" w:rsidP="0034622E">
            <w:pPr>
              <w:spacing w:line="256" w:lineRule="auto"/>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Stupanj 3</w:t>
            </w:r>
          </w:p>
        </w:tc>
        <w:tc>
          <w:tcPr>
            <w:tcW w:w="1048" w:type="dxa"/>
            <w:vAlign w:val="center"/>
            <w:hideMark/>
          </w:tcPr>
          <w:p w14:paraId="5F5F5BA5" w14:textId="77777777" w:rsidR="007C6BEE" w:rsidRPr="001B015B" w:rsidRDefault="007C6BEE" w:rsidP="0034622E">
            <w:pPr>
              <w:spacing w:line="256" w:lineRule="auto"/>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POCI</w:t>
            </w:r>
          </w:p>
        </w:tc>
        <w:tc>
          <w:tcPr>
            <w:tcW w:w="1159" w:type="dxa"/>
            <w:vAlign w:val="center"/>
            <w:hideMark/>
          </w:tcPr>
          <w:p w14:paraId="684BAA45" w14:textId="77777777" w:rsidR="007C6BEE" w:rsidRPr="001B015B" w:rsidRDefault="007C6BEE" w:rsidP="0034622E">
            <w:pPr>
              <w:spacing w:line="256" w:lineRule="auto"/>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Ukupno</w:t>
            </w:r>
          </w:p>
        </w:tc>
      </w:tr>
      <w:tr w:rsidR="007C6BEE" w:rsidRPr="001B015B" w14:paraId="2AC6A7FD" w14:textId="77777777" w:rsidTr="0034622E">
        <w:trPr>
          <w:trHeight w:val="159"/>
        </w:trPr>
        <w:tc>
          <w:tcPr>
            <w:tcW w:w="3912" w:type="dxa"/>
            <w:vAlign w:val="center"/>
            <w:hideMark/>
          </w:tcPr>
          <w:p w14:paraId="7F1E60F8" w14:textId="77777777" w:rsidR="007C6BEE" w:rsidRPr="001B015B" w:rsidRDefault="007C6BEE" w:rsidP="0034622E">
            <w:pPr>
              <w:rPr>
                <w:rFonts w:ascii="Arial" w:eastAsia="Calibri" w:hAnsi="Arial" w:cs="Arial"/>
                <w:b/>
                <w:bCs/>
                <w:color w:val="000000" w:themeColor="text1"/>
                <w:sz w:val="18"/>
                <w:szCs w:val="18"/>
              </w:rPr>
            </w:pPr>
          </w:p>
        </w:tc>
        <w:tc>
          <w:tcPr>
            <w:tcW w:w="1081" w:type="dxa"/>
            <w:tcBorders>
              <w:top w:val="nil"/>
              <w:left w:val="nil"/>
              <w:bottom w:val="nil"/>
              <w:right w:val="nil"/>
            </w:tcBorders>
            <w:shd w:val="clear" w:color="auto" w:fill="auto"/>
            <w:vAlign w:val="bottom"/>
            <w:hideMark/>
          </w:tcPr>
          <w:p w14:paraId="4B7AFDC8" w14:textId="77777777" w:rsidR="007C6BEE" w:rsidRPr="001B015B" w:rsidRDefault="007C6BEE" w:rsidP="0034622E">
            <w:pPr>
              <w:spacing w:line="256" w:lineRule="auto"/>
              <w:jc w:val="right"/>
              <w:rPr>
                <w:rFonts w:ascii="Arial" w:eastAsia="Calibri" w:hAnsi="Arial" w:cs="Arial"/>
                <w:b/>
                <w:bCs/>
                <w:color w:val="000000" w:themeColor="text1"/>
                <w:sz w:val="18"/>
                <w:szCs w:val="18"/>
              </w:rPr>
            </w:pPr>
            <w:r w:rsidRPr="00131510">
              <w:rPr>
                <w:rFonts w:ascii="Arial" w:eastAsia="Calibri" w:hAnsi="Arial" w:cs="Arial"/>
                <w:b/>
                <w:bCs/>
                <w:color w:val="000000" w:themeColor="text1"/>
                <w:sz w:val="18"/>
                <w:szCs w:val="18"/>
              </w:rPr>
              <w:t>000 eura</w:t>
            </w:r>
          </w:p>
        </w:tc>
        <w:tc>
          <w:tcPr>
            <w:tcW w:w="1082" w:type="dxa"/>
            <w:tcBorders>
              <w:top w:val="nil"/>
              <w:left w:val="nil"/>
              <w:bottom w:val="nil"/>
              <w:right w:val="nil"/>
            </w:tcBorders>
            <w:shd w:val="clear" w:color="auto" w:fill="auto"/>
            <w:vAlign w:val="bottom"/>
            <w:hideMark/>
          </w:tcPr>
          <w:p w14:paraId="4866CCE1" w14:textId="77777777" w:rsidR="007C6BEE" w:rsidRPr="001B015B" w:rsidRDefault="007C6BEE" w:rsidP="0034622E">
            <w:pPr>
              <w:spacing w:line="256" w:lineRule="auto"/>
              <w:jc w:val="right"/>
              <w:rPr>
                <w:rFonts w:ascii="Arial" w:eastAsia="Calibri" w:hAnsi="Arial" w:cs="Arial"/>
                <w:b/>
                <w:bCs/>
                <w:color w:val="000000" w:themeColor="text1"/>
                <w:sz w:val="18"/>
                <w:szCs w:val="18"/>
              </w:rPr>
            </w:pPr>
            <w:r w:rsidRPr="00131510">
              <w:rPr>
                <w:rFonts w:ascii="Arial" w:eastAsia="Calibri" w:hAnsi="Arial" w:cs="Arial"/>
                <w:b/>
                <w:bCs/>
                <w:color w:val="000000" w:themeColor="text1"/>
                <w:sz w:val="18"/>
                <w:szCs w:val="18"/>
              </w:rPr>
              <w:t>000 eura</w:t>
            </w:r>
          </w:p>
        </w:tc>
        <w:tc>
          <w:tcPr>
            <w:tcW w:w="1081" w:type="dxa"/>
            <w:tcBorders>
              <w:top w:val="nil"/>
              <w:left w:val="nil"/>
              <w:bottom w:val="nil"/>
              <w:right w:val="nil"/>
            </w:tcBorders>
            <w:shd w:val="clear" w:color="auto" w:fill="auto"/>
            <w:vAlign w:val="bottom"/>
            <w:hideMark/>
          </w:tcPr>
          <w:p w14:paraId="2ACEAACE" w14:textId="77777777" w:rsidR="007C6BEE" w:rsidRPr="001B015B" w:rsidRDefault="007C6BEE" w:rsidP="0034622E">
            <w:pPr>
              <w:spacing w:line="256" w:lineRule="auto"/>
              <w:jc w:val="right"/>
              <w:rPr>
                <w:rFonts w:ascii="Arial" w:eastAsia="Calibri" w:hAnsi="Arial" w:cs="Arial"/>
                <w:b/>
                <w:bCs/>
                <w:color w:val="000000" w:themeColor="text1"/>
                <w:sz w:val="18"/>
                <w:szCs w:val="18"/>
              </w:rPr>
            </w:pPr>
            <w:r w:rsidRPr="00131510">
              <w:rPr>
                <w:rFonts w:ascii="Arial" w:eastAsia="Calibri" w:hAnsi="Arial" w:cs="Arial"/>
                <w:b/>
                <w:bCs/>
                <w:color w:val="000000" w:themeColor="text1"/>
                <w:sz w:val="18"/>
                <w:szCs w:val="18"/>
              </w:rPr>
              <w:t>000 eura</w:t>
            </w:r>
          </w:p>
        </w:tc>
        <w:tc>
          <w:tcPr>
            <w:tcW w:w="1048" w:type="dxa"/>
            <w:tcBorders>
              <w:top w:val="nil"/>
              <w:left w:val="nil"/>
              <w:bottom w:val="nil"/>
              <w:right w:val="nil"/>
            </w:tcBorders>
            <w:shd w:val="clear" w:color="auto" w:fill="auto"/>
            <w:vAlign w:val="bottom"/>
            <w:hideMark/>
          </w:tcPr>
          <w:p w14:paraId="557B7D39" w14:textId="77777777" w:rsidR="007C6BEE" w:rsidRPr="001B015B" w:rsidRDefault="007C6BEE" w:rsidP="0034622E">
            <w:pPr>
              <w:spacing w:line="256" w:lineRule="auto"/>
              <w:jc w:val="right"/>
              <w:rPr>
                <w:rFonts w:ascii="Arial" w:eastAsia="Calibri" w:hAnsi="Arial" w:cs="Arial"/>
                <w:b/>
                <w:bCs/>
                <w:color w:val="000000" w:themeColor="text1"/>
                <w:sz w:val="18"/>
                <w:szCs w:val="18"/>
              </w:rPr>
            </w:pPr>
            <w:r w:rsidRPr="00131510">
              <w:rPr>
                <w:rFonts w:ascii="Arial" w:eastAsia="Calibri" w:hAnsi="Arial" w:cs="Arial"/>
                <w:b/>
                <w:bCs/>
                <w:color w:val="000000" w:themeColor="text1"/>
                <w:sz w:val="18"/>
                <w:szCs w:val="18"/>
              </w:rPr>
              <w:t>000 eura</w:t>
            </w:r>
          </w:p>
        </w:tc>
        <w:tc>
          <w:tcPr>
            <w:tcW w:w="1159" w:type="dxa"/>
            <w:tcBorders>
              <w:top w:val="nil"/>
              <w:left w:val="nil"/>
              <w:bottom w:val="nil"/>
              <w:right w:val="nil"/>
            </w:tcBorders>
            <w:shd w:val="clear" w:color="auto" w:fill="auto"/>
            <w:vAlign w:val="bottom"/>
            <w:hideMark/>
          </w:tcPr>
          <w:p w14:paraId="7D7FCC1E" w14:textId="77777777" w:rsidR="007C6BEE" w:rsidRPr="001B015B" w:rsidRDefault="007C6BEE" w:rsidP="0034622E">
            <w:pPr>
              <w:spacing w:line="256" w:lineRule="auto"/>
              <w:jc w:val="right"/>
              <w:rPr>
                <w:rFonts w:ascii="Arial" w:eastAsia="Calibri" w:hAnsi="Arial" w:cs="Arial"/>
                <w:b/>
                <w:bCs/>
                <w:color w:val="000000" w:themeColor="text1"/>
                <w:sz w:val="18"/>
                <w:szCs w:val="18"/>
              </w:rPr>
            </w:pPr>
            <w:r w:rsidRPr="00131510">
              <w:rPr>
                <w:rFonts w:ascii="Arial" w:eastAsia="Calibri" w:hAnsi="Arial" w:cs="Arial"/>
                <w:b/>
                <w:bCs/>
                <w:color w:val="000000" w:themeColor="text1"/>
                <w:sz w:val="18"/>
                <w:szCs w:val="18"/>
              </w:rPr>
              <w:t>000 eura</w:t>
            </w:r>
          </w:p>
        </w:tc>
      </w:tr>
      <w:tr w:rsidR="007C6BEE" w:rsidRPr="001B015B" w14:paraId="46B4DB78" w14:textId="77777777" w:rsidTr="0034622E">
        <w:trPr>
          <w:trHeight w:val="159"/>
        </w:trPr>
        <w:tc>
          <w:tcPr>
            <w:tcW w:w="3912" w:type="dxa"/>
            <w:vAlign w:val="center"/>
          </w:tcPr>
          <w:p w14:paraId="22276FF3" w14:textId="77777777" w:rsidR="007C6BEE" w:rsidRPr="001B015B" w:rsidRDefault="007C6BEE" w:rsidP="0034622E">
            <w:pPr>
              <w:spacing w:line="256" w:lineRule="auto"/>
              <w:rPr>
                <w:rFonts w:ascii="Arial" w:eastAsia="Calibri" w:hAnsi="Arial" w:cs="Arial"/>
                <w:b/>
                <w:bCs/>
                <w:color w:val="000000" w:themeColor="text1"/>
                <w:sz w:val="18"/>
                <w:szCs w:val="18"/>
              </w:rPr>
            </w:pPr>
          </w:p>
        </w:tc>
        <w:tc>
          <w:tcPr>
            <w:tcW w:w="1081" w:type="dxa"/>
            <w:vAlign w:val="center"/>
          </w:tcPr>
          <w:p w14:paraId="5DFE8B5A" w14:textId="77777777" w:rsidR="007C6BEE" w:rsidRPr="001B015B" w:rsidRDefault="007C6BEE" w:rsidP="0034622E">
            <w:pPr>
              <w:spacing w:line="256" w:lineRule="auto"/>
              <w:rPr>
                <w:rFonts w:ascii="Arial" w:eastAsia="Calibri" w:hAnsi="Arial" w:cs="Arial"/>
                <w:b/>
                <w:bCs/>
                <w:color w:val="000000" w:themeColor="text1"/>
                <w:sz w:val="18"/>
                <w:szCs w:val="18"/>
              </w:rPr>
            </w:pPr>
          </w:p>
        </w:tc>
        <w:tc>
          <w:tcPr>
            <w:tcW w:w="1082" w:type="dxa"/>
            <w:vAlign w:val="center"/>
          </w:tcPr>
          <w:p w14:paraId="0934DFE1" w14:textId="77777777" w:rsidR="007C6BEE" w:rsidRPr="001B015B" w:rsidRDefault="007C6BEE" w:rsidP="0034622E">
            <w:pPr>
              <w:spacing w:line="256" w:lineRule="auto"/>
              <w:rPr>
                <w:rFonts w:ascii="Arial" w:eastAsia="Calibri" w:hAnsi="Arial" w:cs="Arial"/>
                <w:b/>
                <w:bCs/>
                <w:color w:val="000000" w:themeColor="text1"/>
                <w:sz w:val="18"/>
                <w:szCs w:val="18"/>
              </w:rPr>
            </w:pPr>
          </w:p>
        </w:tc>
        <w:tc>
          <w:tcPr>
            <w:tcW w:w="1081" w:type="dxa"/>
            <w:vAlign w:val="center"/>
          </w:tcPr>
          <w:p w14:paraId="4C7D6898" w14:textId="77777777" w:rsidR="007C6BEE" w:rsidRPr="001B015B" w:rsidRDefault="007C6BEE" w:rsidP="0034622E">
            <w:pPr>
              <w:spacing w:line="256" w:lineRule="auto"/>
              <w:rPr>
                <w:rFonts w:ascii="Arial" w:eastAsia="Calibri" w:hAnsi="Arial" w:cs="Arial"/>
                <w:b/>
                <w:bCs/>
                <w:color w:val="000000" w:themeColor="text1"/>
                <w:sz w:val="18"/>
                <w:szCs w:val="18"/>
              </w:rPr>
            </w:pPr>
          </w:p>
        </w:tc>
        <w:tc>
          <w:tcPr>
            <w:tcW w:w="1048" w:type="dxa"/>
            <w:vAlign w:val="center"/>
          </w:tcPr>
          <w:p w14:paraId="02226F5B" w14:textId="77777777" w:rsidR="007C6BEE" w:rsidRPr="001B015B" w:rsidRDefault="007C6BEE" w:rsidP="0034622E">
            <w:pPr>
              <w:spacing w:line="256" w:lineRule="auto"/>
              <w:rPr>
                <w:rFonts w:ascii="Arial" w:eastAsia="Calibri" w:hAnsi="Arial" w:cs="Arial"/>
                <w:b/>
                <w:bCs/>
                <w:color w:val="000000" w:themeColor="text1"/>
                <w:sz w:val="18"/>
                <w:szCs w:val="18"/>
              </w:rPr>
            </w:pPr>
          </w:p>
        </w:tc>
        <w:tc>
          <w:tcPr>
            <w:tcW w:w="1159" w:type="dxa"/>
            <w:vAlign w:val="center"/>
          </w:tcPr>
          <w:p w14:paraId="7E16AB41" w14:textId="77777777" w:rsidR="007C6BEE" w:rsidRPr="001B015B" w:rsidRDefault="007C6BEE" w:rsidP="0034622E">
            <w:pPr>
              <w:spacing w:line="256" w:lineRule="auto"/>
              <w:rPr>
                <w:rFonts w:ascii="Arial" w:eastAsia="Calibri" w:hAnsi="Arial" w:cs="Arial"/>
                <w:b/>
                <w:bCs/>
                <w:color w:val="000000" w:themeColor="text1"/>
                <w:sz w:val="18"/>
                <w:szCs w:val="18"/>
              </w:rPr>
            </w:pPr>
          </w:p>
        </w:tc>
      </w:tr>
      <w:tr w:rsidR="007C6BEE" w:rsidRPr="001B015B" w14:paraId="2E7F608F" w14:textId="77777777" w:rsidTr="0034622E">
        <w:trPr>
          <w:trHeight w:val="159"/>
        </w:trPr>
        <w:tc>
          <w:tcPr>
            <w:tcW w:w="3912" w:type="dxa"/>
            <w:vAlign w:val="center"/>
            <w:hideMark/>
          </w:tcPr>
          <w:p w14:paraId="235468EE" w14:textId="77777777" w:rsidR="007C6BEE" w:rsidRPr="001B015B" w:rsidRDefault="007C6BEE" w:rsidP="0034622E">
            <w:pPr>
              <w:spacing w:line="256" w:lineRule="auto"/>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Stanje 1. siječnja 202</w:t>
            </w:r>
            <w:r>
              <w:rPr>
                <w:rFonts w:ascii="Arial" w:eastAsia="Calibri" w:hAnsi="Arial" w:cs="Arial"/>
                <w:color w:val="000000" w:themeColor="text1"/>
                <w:sz w:val="18"/>
                <w:szCs w:val="18"/>
              </w:rPr>
              <w:t>3</w:t>
            </w:r>
            <w:r w:rsidRPr="001B015B">
              <w:rPr>
                <w:rFonts w:ascii="Arial" w:eastAsia="Calibri" w:hAnsi="Arial" w:cs="Arial"/>
                <w:color w:val="000000" w:themeColor="text1"/>
                <w:sz w:val="18"/>
                <w:szCs w:val="18"/>
              </w:rPr>
              <w:t xml:space="preserve">. </w:t>
            </w:r>
          </w:p>
        </w:tc>
        <w:tc>
          <w:tcPr>
            <w:tcW w:w="1081" w:type="dxa"/>
            <w:vAlign w:val="bottom"/>
          </w:tcPr>
          <w:p w14:paraId="784A403C" w14:textId="77777777" w:rsidR="007C6BEE" w:rsidRPr="00852BF5" w:rsidRDefault="007C6BEE" w:rsidP="0034622E">
            <w:pPr>
              <w:jc w:val="right"/>
              <w:rPr>
                <w:rFonts w:ascii="Arial" w:hAnsi="Arial" w:cs="Arial"/>
                <w:sz w:val="18"/>
                <w:szCs w:val="18"/>
              </w:rPr>
            </w:pPr>
            <w:r w:rsidRPr="00F959D0">
              <w:rPr>
                <w:rFonts w:ascii="Arial" w:hAnsi="Arial" w:cs="Arial"/>
                <w:sz w:val="18"/>
                <w:szCs w:val="18"/>
              </w:rPr>
              <w:t xml:space="preserve"> 47.280 </w:t>
            </w:r>
          </w:p>
        </w:tc>
        <w:tc>
          <w:tcPr>
            <w:tcW w:w="1082" w:type="dxa"/>
            <w:vAlign w:val="bottom"/>
          </w:tcPr>
          <w:p w14:paraId="538F2C77" w14:textId="77777777" w:rsidR="007C6BEE" w:rsidRPr="00852BF5" w:rsidRDefault="007C6BEE" w:rsidP="0034622E">
            <w:pPr>
              <w:spacing w:line="256" w:lineRule="auto"/>
              <w:jc w:val="right"/>
              <w:rPr>
                <w:rFonts w:ascii="Arial" w:hAnsi="Arial" w:cs="Arial"/>
                <w:sz w:val="18"/>
                <w:szCs w:val="18"/>
              </w:rPr>
            </w:pPr>
            <w:r w:rsidRPr="00F959D0">
              <w:rPr>
                <w:rFonts w:ascii="Arial" w:hAnsi="Arial" w:cs="Arial"/>
                <w:sz w:val="18"/>
                <w:szCs w:val="18"/>
              </w:rPr>
              <w:t xml:space="preserve"> 104.067 </w:t>
            </w:r>
          </w:p>
        </w:tc>
        <w:tc>
          <w:tcPr>
            <w:tcW w:w="1081" w:type="dxa"/>
            <w:vAlign w:val="bottom"/>
          </w:tcPr>
          <w:p w14:paraId="36A9B603" w14:textId="77777777" w:rsidR="007C6BEE" w:rsidRPr="00852BF5" w:rsidRDefault="007C6BEE" w:rsidP="0034622E">
            <w:pPr>
              <w:spacing w:line="256" w:lineRule="auto"/>
              <w:jc w:val="right"/>
              <w:rPr>
                <w:rFonts w:ascii="Arial" w:hAnsi="Arial" w:cs="Arial"/>
                <w:sz w:val="18"/>
                <w:szCs w:val="18"/>
              </w:rPr>
            </w:pPr>
            <w:r w:rsidRPr="00F959D0">
              <w:rPr>
                <w:rFonts w:ascii="Arial" w:hAnsi="Arial" w:cs="Arial"/>
                <w:sz w:val="18"/>
                <w:szCs w:val="18"/>
              </w:rPr>
              <w:t xml:space="preserve"> 277.638 </w:t>
            </w:r>
          </w:p>
        </w:tc>
        <w:tc>
          <w:tcPr>
            <w:tcW w:w="1048" w:type="dxa"/>
            <w:vAlign w:val="bottom"/>
          </w:tcPr>
          <w:p w14:paraId="27B85055" w14:textId="77777777" w:rsidR="007C6BEE" w:rsidRPr="00852BF5" w:rsidRDefault="007C6BEE" w:rsidP="0034622E">
            <w:pPr>
              <w:spacing w:line="256" w:lineRule="auto"/>
              <w:jc w:val="right"/>
              <w:rPr>
                <w:rFonts w:ascii="Arial" w:hAnsi="Arial" w:cs="Arial"/>
                <w:sz w:val="18"/>
                <w:szCs w:val="18"/>
              </w:rPr>
            </w:pPr>
            <w:r w:rsidRPr="00F959D0">
              <w:rPr>
                <w:rFonts w:ascii="Arial" w:hAnsi="Arial" w:cs="Arial"/>
                <w:sz w:val="18"/>
                <w:szCs w:val="18"/>
              </w:rPr>
              <w:t xml:space="preserve"> 29.576 </w:t>
            </w:r>
          </w:p>
        </w:tc>
        <w:tc>
          <w:tcPr>
            <w:tcW w:w="1159" w:type="dxa"/>
            <w:vAlign w:val="bottom"/>
          </w:tcPr>
          <w:p w14:paraId="64EE8C0B" w14:textId="77777777" w:rsidR="007C6BEE" w:rsidRPr="005D1219" w:rsidRDefault="007C6BEE" w:rsidP="0034622E">
            <w:pPr>
              <w:spacing w:line="256" w:lineRule="auto"/>
              <w:jc w:val="right"/>
              <w:rPr>
                <w:rFonts w:ascii="Arial" w:hAnsi="Arial" w:cs="Arial"/>
                <w:b/>
                <w:bCs/>
                <w:sz w:val="18"/>
                <w:szCs w:val="18"/>
              </w:rPr>
            </w:pPr>
            <w:r w:rsidRPr="005D1219">
              <w:rPr>
                <w:rFonts w:ascii="Arial" w:hAnsi="Arial" w:cs="Arial"/>
                <w:b/>
                <w:bCs/>
                <w:sz w:val="18"/>
                <w:szCs w:val="18"/>
              </w:rPr>
              <w:t xml:space="preserve"> 458.561 </w:t>
            </w:r>
          </w:p>
        </w:tc>
      </w:tr>
      <w:tr w:rsidR="007C6BEE" w:rsidRPr="001B015B" w14:paraId="21982DFE" w14:textId="77777777" w:rsidTr="0034622E">
        <w:trPr>
          <w:trHeight w:val="159"/>
        </w:trPr>
        <w:tc>
          <w:tcPr>
            <w:tcW w:w="3912" w:type="dxa"/>
            <w:vAlign w:val="center"/>
          </w:tcPr>
          <w:p w14:paraId="67A80A44" w14:textId="77777777" w:rsidR="007C6BEE" w:rsidRPr="001B015B" w:rsidRDefault="007C6BEE" w:rsidP="0034622E">
            <w:pPr>
              <w:spacing w:line="256" w:lineRule="auto"/>
              <w:rPr>
                <w:rFonts w:ascii="Arial" w:eastAsia="Calibri" w:hAnsi="Arial" w:cs="Arial"/>
                <w:color w:val="000000" w:themeColor="text1"/>
                <w:sz w:val="18"/>
                <w:szCs w:val="18"/>
              </w:rPr>
            </w:pPr>
            <w:r w:rsidRPr="00495ED1">
              <w:rPr>
                <w:rFonts w:ascii="Arial" w:eastAsia="Calibri" w:hAnsi="Arial" w:cs="Arial"/>
                <w:color w:val="000000" w:themeColor="text1"/>
                <w:sz w:val="18"/>
                <w:szCs w:val="18"/>
              </w:rPr>
              <w:t>Korekcija početnog stanja rezerviranja</w:t>
            </w:r>
          </w:p>
        </w:tc>
        <w:tc>
          <w:tcPr>
            <w:tcW w:w="1081" w:type="dxa"/>
            <w:vAlign w:val="bottom"/>
          </w:tcPr>
          <w:p w14:paraId="349EB503" w14:textId="77777777" w:rsidR="007C6BEE" w:rsidRPr="00852BF5" w:rsidRDefault="007C6BEE" w:rsidP="0034622E">
            <w:pPr>
              <w:jc w:val="right"/>
              <w:rPr>
                <w:rFonts w:ascii="Arial" w:hAnsi="Arial" w:cs="Arial"/>
                <w:sz w:val="18"/>
                <w:szCs w:val="18"/>
              </w:rPr>
            </w:pPr>
            <w:r>
              <w:rPr>
                <w:rFonts w:ascii="Arial" w:hAnsi="Arial" w:cs="Arial"/>
                <w:sz w:val="18"/>
                <w:szCs w:val="18"/>
              </w:rPr>
              <w:t>-</w:t>
            </w:r>
          </w:p>
        </w:tc>
        <w:tc>
          <w:tcPr>
            <w:tcW w:w="1082" w:type="dxa"/>
            <w:vAlign w:val="bottom"/>
          </w:tcPr>
          <w:p w14:paraId="4792F38E" w14:textId="77777777" w:rsidR="007C6BEE" w:rsidRPr="00852BF5" w:rsidRDefault="007C6BEE" w:rsidP="0034622E">
            <w:pPr>
              <w:spacing w:line="256" w:lineRule="auto"/>
              <w:jc w:val="right"/>
              <w:rPr>
                <w:rFonts w:ascii="Arial" w:hAnsi="Arial" w:cs="Arial"/>
                <w:sz w:val="18"/>
                <w:szCs w:val="18"/>
              </w:rPr>
            </w:pPr>
            <w:r>
              <w:rPr>
                <w:rFonts w:ascii="Arial" w:hAnsi="Arial" w:cs="Arial"/>
                <w:sz w:val="18"/>
                <w:szCs w:val="18"/>
              </w:rPr>
              <w:t>-</w:t>
            </w:r>
          </w:p>
        </w:tc>
        <w:tc>
          <w:tcPr>
            <w:tcW w:w="1081" w:type="dxa"/>
            <w:vAlign w:val="bottom"/>
          </w:tcPr>
          <w:p w14:paraId="6B9662A7" w14:textId="77777777" w:rsidR="007C6BEE" w:rsidRPr="00852BF5" w:rsidRDefault="007C6BEE" w:rsidP="0034622E">
            <w:pPr>
              <w:spacing w:line="256" w:lineRule="auto"/>
              <w:jc w:val="right"/>
              <w:rPr>
                <w:rFonts w:ascii="Arial" w:hAnsi="Arial" w:cs="Arial"/>
                <w:sz w:val="18"/>
                <w:szCs w:val="18"/>
              </w:rPr>
            </w:pPr>
            <w:r w:rsidRPr="00F959D0">
              <w:rPr>
                <w:rFonts w:ascii="Arial" w:hAnsi="Arial" w:cs="Arial"/>
                <w:sz w:val="18"/>
                <w:szCs w:val="18"/>
              </w:rPr>
              <w:t xml:space="preserve"> 472 </w:t>
            </w:r>
          </w:p>
        </w:tc>
        <w:tc>
          <w:tcPr>
            <w:tcW w:w="1048" w:type="dxa"/>
            <w:vAlign w:val="bottom"/>
          </w:tcPr>
          <w:p w14:paraId="0353993B" w14:textId="77777777" w:rsidR="007C6BEE" w:rsidRPr="00852BF5" w:rsidRDefault="007C6BEE" w:rsidP="0034622E">
            <w:pPr>
              <w:spacing w:line="256" w:lineRule="auto"/>
              <w:jc w:val="right"/>
              <w:rPr>
                <w:rFonts w:ascii="Arial" w:hAnsi="Arial" w:cs="Arial"/>
                <w:sz w:val="18"/>
                <w:szCs w:val="18"/>
              </w:rPr>
            </w:pPr>
            <w:r w:rsidRPr="00F959D0">
              <w:rPr>
                <w:rFonts w:ascii="Arial" w:hAnsi="Arial" w:cs="Arial"/>
                <w:sz w:val="18"/>
                <w:szCs w:val="18"/>
              </w:rPr>
              <w:t xml:space="preserve"> 17 </w:t>
            </w:r>
          </w:p>
        </w:tc>
        <w:tc>
          <w:tcPr>
            <w:tcW w:w="1159" w:type="dxa"/>
            <w:vAlign w:val="bottom"/>
          </w:tcPr>
          <w:p w14:paraId="392A29F3" w14:textId="77777777" w:rsidR="007C6BEE" w:rsidRPr="005D1219" w:rsidRDefault="007C6BEE" w:rsidP="0034622E">
            <w:pPr>
              <w:spacing w:line="256" w:lineRule="auto"/>
              <w:jc w:val="right"/>
              <w:rPr>
                <w:rFonts w:ascii="Arial" w:hAnsi="Arial" w:cs="Arial"/>
                <w:b/>
                <w:bCs/>
                <w:sz w:val="18"/>
                <w:szCs w:val="18"/>
              </w:rPr>
            </w:pPr>
            <w:r w:rsidRPr="005D1219">
              <w:rPr>
                <w:rFonts w:ascii="Arial" w:hAnsi="Arial" w:cs="Arial"/>
                <w:b/>
                <w:bCs/>
                <w:sz w:val="18"/>
                <w:szCs w:val="18"/>
              </w:rPr>
              <w:t xml:space="preserve"> 489 </w:t>
            </w:r>
          </w:p>
        </w:tc>
      </w:tr>
      <w:tr w:rsidR="007C6BEE" w:rsidRPr="001B015B" w14:paraId="15FEE608" w14:textId="77777777" w:rsidTr="0034622E">
        <w:trPr>
          <w:trHeight w:val="159"/>
        </w:trPr>
        <w:tc>
          <w:tcPr>
            <w:tcW w:w="3912" w:type="dxa"/>
            <w:hideMark/>
          </w:tcPr>
          <w:p w14:paraId="6629242A" w14:textId="77777777" w:rsidR="007C6BEE" w:rsidRPr="001B015B" w:rsidRDefault="007C6BEE" w:rsidP="0034622E">
            <w:pPr>
              <w:spacing w:line="256" w:lineRule="auto"/>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Prijenos u Stupanj 1</w:t>
            </w:r>
          </w:p>
        </w:tc>
        <w:tc>
          <w:tcPr>
            <w:tcW w:w="1081" w:type="dxa"/>
            <w:vAlign w:val="bottom"/>
          </w:tcPr>
          <w:p w14:paraId="535D569E" w14:textId="77777777" w:rsidR="007C6BEE" w:rsidRPr="00852BF5" w:rsidRDefault="007C6BEE" w:rsidP="0034622E">
            <w:pPr>
              <w:jc w:val="right"/>
              <w:rPr>
                <w:rFonts w:ascii="Arial" w:hAnsi="Arial" w:cs="Arial"/>
                <w:sz w:val="18"/>
                <w:szCs w:val="18"/>
              </w:rPr>
            </w:pPr>
            <w:r w:rsidRPr="00F959D0">
              <w:rPr>
                <w:rFonts w:ascii="Arial" w:hAnsi="Arial" w:cs="Arial"/>
                <w:sz w:val="18"/>
                <w:szCs w:val="18"/>
              </w:rPr>
              <w:t xml:space="preserve"> 47.177 </w:t>
            </w:r>
          </w:p>
        </w:tc>
        <w:tc>
          <w:tcPr>
            <w:tcW w:w="1082" w:type="dxa"/>
            <w:vAlign w:val="bottom"/>
          </w:tcPr>
          <w:p w14:paraId="3ED0D2CD" w14:textId="77777777" w:rsidR="007C6BEE" w:rsidRPr="00852BF5" w:rsidRDefault="007C6BEE" w:rsidP="0034622E">
            <w:pPr>
              <w:jc w:val="right"/>
              <w:rPr>
                <w:rFonts w:ascii="Arial" w:hAnsi="Arial" w:cs="Arial"/>
                <w:sz w:val="18"/>
                <w:szCs w:val="18"/>
              </w:rPr>
            </w:pPr>
            <w:r w:rsidRPr="00F959D0">
              <w:rPr>
                <w:rFonts w:ascii="Arial" w:hAnsi="Arial" w:cs="Arial"/>
                <w:sz w:val="18"/>
                <w:szCs w:val="18"/>
              </w:rPr>
              <w:t xml:space="preserve"> (43.608)</w:t>
            </w:r>
          </w:p>
        </w:tc>
        <w:tc>
          <w:tcPr>
            <w:tcW w:w="1081" w:type="dxa"/>
            <w:vAlign w:val="bottom"/>
          </w:tcPr>
          <w:p w14:paraId="6C33CF6C" w14:textId="77777777" w:rsidR="007C6BEE" w:rsidRPr="00852BF5" w:rsidRDefault="007C6BEE" w:rsidP="0034622E">
            <w:pPr>
              <w:jc w:val="right"/>
              <w:rPr>
                <w:rFonts w:ascii="Arial" w:hAnsi="Arial" w:cs="Arial"/>
                <w:sz w:val="18"/>
                <w:szCs w:val="18"/>
              </w:rPr>
            </w:pPr>
            <w:r w:rsidRPr="00F959D0">
              <w:rPr>
                <w:rFonts w:ascii="Arial" w:hAnsi="Arial" w:cs="Arial"/>
                <w:sz w:val="18"/>
                <w:szCs w:val="18"/>
              </w:rPr>
              <w:t xml:space="preserve"> (3.569)</w:t>
            </w:r>
          </w:p>
        </w:tc>
        <w:tc>
          <w:tcPr>
            <w:tcW w:w="1048" w:type="dxa"/>
            <w:vAlign w:val="bottom"/>
          </w:tcPr>
          <w:p w14:paraId="1AA950FB" w14:textId="77777777" w:rsidR="007C6BEE" w:rsidRPr="00852BF5" w:rsidRDefault="007C6BEE" w:rsidP="0034622E">
            <w:pPr>
              <w:jc w:val="right"/>
              <w:rPr>
                <w:rFonts w:ascii="Arial" w:hAnsi="Arial" w:cs="Arial"/>
                <w:sz w:val="18"/>
                <w:szCs w:val="18"/>
              </w:rPr>
            </w:pPr>
            <w:r>
              <w:rPr>
                <w:rFonts w:ascii="Arial" w:hAnsi="Arial" w:cs="Arial"/>
                <w:sz w:val="18"/>
                <w:szCs w:val="18"/>
              </w:rPr>
              <w:t>-</w:t>
            </w:r>
          </w:p>
        </w:tc>
        <w:tc>
          <w:tcPr>
            <w:tcW w:w="1159" w:type="dxa"/>
            <w:vAlign w:val="bottom"/>
          </w:tcPr>
          <w:p w14:paraId="6C9472A4" w14:textId="77777777" w:rsidR="007C6BEE" w:rsidRPr="005D1219" w:rsidRDefault="007C6BEE" w:rsidP="0034622E">
            <w:pPr>
              <w:jc w:val="right"/>
              <w:rPr>
                <w:rFonts w:ascii="Arial" w:hAnsi="Arial" w:cs="Arial"/>
                <w:b/>
                <w:bCs/>
                <w:sz w:val="18"/>
                <w:szCs w:val="18"/>
              </w:rPr>
            </w:pPr>
            <w:r w:rsidRPr="005D1219">
              <w:rPr>
                <w:rFonts w:ascii="Arial" w:hAnsi="Arial" w:cs="Arial"/>
                <w:b/>
                <w:bCs/>
                <w:sz w:val="18"/>
                <w:szCs w:val="18"/>
              </w:rPr>
              <w:t xml:space="preserve"> - </w:t>
            </w:r>
          </w:p>
        </w:tc>
      </w:tr>
      <w:tr w:rsidR="007C6BEE" w:rsidRPr="001B015B" w14:paraId="552DC53C" w14:textId="77777777" w:rsidTr="0034622E">
        <w:trPr>
          <w:trHeight w:val="159"/>
        </w:trPr>
        <w:tc>
          <w:tcPr>
            <w:tcW w:w="3912" w:type="dxa"/>
          </w:tcPr>
          <w:p w14:paraId="6ECB7C79" w14:textId="77777777" w:rsidR="007C6BEE" w:rsidRPr="001B015B" w:rsidRDefault="007C6BEE" w:rsidP="0034622E">
            <w:pPr>
              <w:spacing w:line="256" w:lineRule="auto"/>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Prijenos u Stupanj 2</w:t>
            </w:r>
          </w:p>
        </w:tc>
        <w:tc>
          <w:tcPr>
            <w:tcW w:w="1081" w:type="dxa"/>
            <w:vAlign w:val="bottom"/>
          </w:tcPr>
          <w:p w14:paraId="0F73174F" w14:textId="77777777" w:rsidR="007C6BEE" w:rsidRPr="00852BF5" w:rsidRDefault="007C6BEE" w:rsidP="0034622E">
            <w:pPr>
              <w:jc w:val="right"/>
              <w:rPr>
                <w:rFonts w:ascii="Arial" w:hAnsi="Arial" w:cs="Arial"/>
                <w:sz w:val="18"/>
                <w:szCs w:val="18"/>
              </w:rPr>
            </w:pPr>
            <w:r w:rsidRPr="00F959D0">
              <w:rPr>
                <w:rFonts w:ascii="Arial" w:hAnsi="Arial" w:cs="Arial"/>
                <w:sz w:val="18"/>
                <w:szCs w:val="18"/>
              </w:rPr>
              <w:t xml:space="preserve"> (8.890)</w:t>
            </w:r>
          </w:p>
        </w:tc>
        <w:tc>
          <w:tcPr>
            <w:tcW w:w="1082" w:type="dxa"/>
            <w:vAlign w:val="bottom"/>
          </w:tcPr>
          <w:p w14:paraId="4D51F429" w14:textId="77777777" w:rsidR="007C6BEE" w:rsidRPr="00852BF5" w:rsidRDefault="007C6BEE" w:rsidP="0034622E">
            <w:pPr>
              <w:jc w:val="right"/>
              <w:rPr>
                <w:rFonts w:ascii="Arial" w:hAnsi="Arial" w:cs="Arial"/>
                <w:sz w:val="18"/>
                <w:szCs w:val="18"/>
              </w:rPr>
            </w:pPr>
            <w:r w:rsidRPr="00F959D0">
              <w:rPr>
                <w:rFonts w:ascii="Arial" w:hAnsi="Arial" w:cs="Arial"/>
                <w:sz w:val="18"/>
                <w:szCs w:val="18"/>
              </w:rPr>
              <w:t xml:space="preserve"> 9.767 </w:t>
            </w:r>
          </w:p>
        </w:tc>
        <w:tc>
          <w:tcPr>
            <w:tcW w:w="1081" w:type="dxa"/>
            <w:vAlign w:val="bottom"/>
          </w:tcPr>
          <w:p w14:paraId="5C10A727" w14:textId="77777777" w:rsidR="007C6BEE" w:rsidRPr="00852BF5" w:rsidRDefault="007C6BEE" w:rsidP="0034622E">
            <w:pPr>
              <w:jc w:val="right"/>
              <w:rPr>
                <w:rFonts w:ascii="Arial" w:hAnsi="Arial" w:cs="Arial"/>
                <w:sz w:val="18"/>
                <w:szCs w:val="18"/>
              </w:rPr>
            </w:pPr>
            <w:r w:rsidRPr="00F959D0">
              <w:rPr>
                <w:rFonts w:ascii="Arial" w:hAnsi="Arial" w:cs="Arial"/>
                <w:sz w:val="18"/>
                <w:szCs w:val="18"/>
              </w:rPr>
              <w:t xml:space="preserve"> (877)</w:t>
            </w:r>
          </w:p>
        </w:tc>
        <w:tc>
          <w:tcPr>
            <w:tcW w:w="1048" w:type="dxa"/>
            <w:vAlign w:val="bottom"/>
          </w:tcPr>
          <w:p w14:paraId="05E97058" w14:textId="77777777" w:rsidR="007C6BEE" w:rsidRPr="00852BF5" w:rsidRDefault="007C6BEE" w:rsidP="0034622E">
            <w:pPr>
              <w:jc w:val="right"/>
              <w:rPr>
                <w:rFonts w:ascii="Arial" w:hAnsi="Arial" w:cs="Arial"/>
                <w:sz w:val="18"/>
                <w:szCs w:val="18"/>
              </w:rPr>
            </w:pPr>
            <w:r>
              <w:rPr>
                <w:rFonts w:ascii="Arial" w:hAnsi="Arial" w:cs="Arial"/>
                <w:sz w:val="18"/>
                <w:szCs w:val="18"/>
              </w:rPr>
              <w:t>-</w:t>
            </w:r>
          </w:p>
        </w:tc>
        <w:tc>
          <w:tcPr>
            <w:tcW w:w="1159" w:type="dxa"/>
            <w:vAlign w:val="bottom"/>
          </w:tcPr>
          <w:p w14:paraId="67878608" w14:textId="77777777" w:rsidR="007C6BEE" w:rsidRPr="005D1219" w:rsidRDefault="007C6BEE" w:rsidP="0034622E">
            <w:pPr>
              <w:jc w:val="right"/>
              <w:rPr>
                <w:rFonts w:ascii="Arial" w:hAnsi="Arial" w:cs="Arial"/>
                <w:b/>
                <w:bCs/>
                <w:sz w:val="18"/>
                <w:szCs w:val="18"/>
              </w:rPr>
            </w:pPr>
            <w:r w:rsidRPr="005D1219">
              <w:rPr>
                <w:rFonts w:ascii="Arial" w:hAnsi="Arial" w:cs="Arial"/>
                <w:b/>
                <w:bCs/>
                <w:sz w:val="18"/>
                <w:szCs w:val="18"/>
              </w:rPr>
              <w:t xml:space="preserve"> - </w:t>
            </w:r>
          </w:p>
        </w:tc>
      </w:tr>
      <w:tr w:rsidR="007C6BEE" w:rsidRPr="001B015B" w14:paraId="7664014E" w14:textId="77777777" w:rsidTr="0034622E">
        <w:trPr>
          <w:trHeight w:val="159"/>
        </w:trPr>
        <w:tc>
          <w:tcPr>
            <w:tcW w:w="3912" w:type="dxa"/>
          </w:tcPr>
          <w:p w14:paraId="57F470F4" w14:textId="77777777" w:rsidR="007C6BEE" w:rsidRPr="001B015B" w:rsidRDefault="007C6BEE" w:rsidP="0034622E">
            <w:pPr>
              <w:spacing w:line="256" w:lineRule="auto"/>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Prijenos u Stupanj 3</w:t>
            </w:r>
          </w:p>
        </w:tc>
        <w:tc>
          <w:tcPr>
            <w:tcW w:w="1081" w:type="dxa"/>
            <w:vAlign w:val="bottom"/>
          </w:tcPr>
          <w:p w14:paraId="579E1888" w14:textId="77777777" w:rsidR="007C6BEE" w:rsidRPr="00852BF5" w:rsidRDefault="007C6BEE" w:rsidP="0034622E">
            <w:pPr>
              <w:jc w:val="right"/>
              <w:rPr>
                <w:rFonts w:ascii="Arial" w:hAnsi="Arial" w:cs="Arial"/>
                <w:sz w:val="18"/>
                <w:szCs w:val="18"/>
              </w:rPr>
            </w:pPr>
            <w:r w:rsidRPr="00F959D0">
              <w:rPr>
                <w:rFonts w:ascii="Arial" w:hAnsi="Arial" w:cs="Arial"/>
                <w:sz w:val="18"/>
                <w:szCs w:val="18"/>
              </w:rPr>
              <w:t xml:space="preserve"> (4)</w:t>
            </w:r>
          </w:p>
        </w:tc>
        <w:tc>
          <w:tcPr>
            <w:tcW w:w="1082" w:type="dxa"/>
            <w:vAlign w:val="bottom"/>
          </w:tcPr>
          <w:p w14:paraId="671FF5B7" w14:textId="77777777" w:rsidR="007C6BEE" w:rsidRPr="00852BF5" w:rsidRDefault="007C6BEE" w:rsidP="0034622E">
            <w:pPr>
              <w:jc w:val="right"/>
              <w:rPr>
                <w:rFonts w:ascii="Arial" w:hAnsi="Arial" w:cs="Arial"/>
                <w:sz w:val="18"/>
                <w:szCs w:val="18"/>
              </w:rPr>
            </w:pPr>
            <w:r w:rsidRPr="00F959D0">
              <w:rPr>
                <w:rFonts w:ascii="Arial" w:hAnsi="Arial" w:cs="Arial"/>
                <w:sz w:val="18"/>
                <w:szCs w:val="18"/>
              </w:rPr>
              <w:t xml:space="preserve"> (4.446)</w:t>
            </w:r>
          </w:p>
        </w:tc>
        <w:tc>
          <w:tcPr>
            <w:tcW w:w="1081" w:type="dxa"/>
            <w:vAlign w:val="bottom"/>
          </w:tcPr>
          <w:p w14:paraId="5022654A" w14:textId="77777777" w:rsidR="007C6BEE" w:rsidRPr="00852BF5" w:rsidRDefault="007C6BEE" w:rsidP="0034622E">
            <w:pPr>
              <w:jc w:val="right"/>
              <w:rPr>
                <w:rFonts w:ascii="Arial" w:hAnsi="Arial" w:cs="Arial"/>
                <w:sz w:val="18"/>
                <w:szCs w:val="18"/>
              </w:rPr>
            </w:pPr>
            <w:r w:rsidRPr="00F959D0">
              <w:rPr>
                <w:rFonts w:ascii="Arial" w:hAnsi="Arial" w:cs="Arial"/>
                <w:sz w:val="18"/>
                <w:szCs w:val="18"/>
              </w:rPr>
              <w:t xml:space="preserve"> (3.576)</w:t>
            </w:r>
          </w:p>
        </w:tc>
        <w:tc>
          <w:tcPr>
            <w:tcW w:w="1048" w:type="dxa"/>
            <w:vAlign w:val="bottom"/>
          </w:tcPr>
          <w:p w14:paraId="5294B2BB" w14:textId="77777777" w:rsidR="007C6BEE" w:rsidRPr="00852BF5" w:rsidRDefault="007C6BEE" w:rsidP="0034622E">
            <w:pPr>
              <w:jc w:val="right"/>
              <w:rPr>
                <w:rFonts w:ascii="Arial" w:hAnsi="Arial" w:cs="Arial"/>
                <w:sz w:val="18"/>
                <w:szCs w:val="18"/>
              </w:rPr>
            </w:pPr>
            <w:r w:rsidRPr="00F959D0">
              <w:rPr>
                <w:rFonts w:ascii="Arial" w:hAnsi="Arial" w:cs="Arial"/>
                <w:sz w:val="18"/>
                <w:szCs w:val="18"/>
              </w:rPr>
              <w:t xml:space="preserve"> 8.026 </w:t>
            </w:r>
          </w:p>
        </w:tc>
        <w:tc>
          <w:tcPr>
            <w:tcW w:w="1159" w:type="dxa"/>
            <w:vAlign w:val="bottom"/>
          </w:tcPr>
          <w:p w14:paraId="2D998A86" w14:textId="77777777" w:rsidR="007C6BEE" w:rsidRPr="005D1219" w:rsidRDefault="007C6BEE" w:rsidP="0034622E">
            <w:pPr>
              <w:jc w:val="right"/>
              <w:rPr>
                <w:rFonts w:ascii="Arial" w:hAnsi="Arial" w:cs="Arial"/>
                <w:b/>
                <w:bCs/>
                <w:sz w:val="18"/>
                <w:szCs w:val="18"/>
              </w:rPr>
            </w:pPr>
            <w:r w:rsidRPr="005D1219">
              <w:rPr>
                <w:rFonts w:ascii="Arial" w:hAnsi="Arial" w:cs="Arial"/>
                <w:b/>
                <w:bCs/>
                <w:sz w:val="18"/>
                <w:szCs w:val="18"/>
              </w:rPr>
              <w:t xml:space="preserve"> - </w:t>
            </w:r>
          </w:p>
        </w:tc>
      </w:tr>
      <w:tr w:rsidR="007C6BEE" w:rsidRPr="001B015B" w14:paraId="4A57A547" w14:textId="77777777" w:rsidTr="0034622E">
        <w:trPr>
          <w:trHeight w:val="198"/>
        </w:trPr>
        <w:tc>
          <w:tcPr>
            <w:tcW w:w="3912" w:type="dxa"/>
            <w:vAlign w:val="bottom"/>
            <w:hideMark/>
          </w:tcPr>
          <w:p w14:paraId="75930A3D" w14:textId="77777777" w:rsidR="007C6BEE" w:rsidRPr="001B015B" w:rsidRDefault="007C6BEE" w:rsidP="0034622E">
            <w:pPr>
              <w:spacing w:line="256" w:lineRule="auto"/>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 xml:space="preserve">Neto </w:t>
            </w:r>
            <w:r w:rsidRPr="00852BF5">
              <w:rPr>
                <w:rFonts w:ascii="Arial" w:eastAsia="Calibri" w:hAnsi="Arial" w:cs="Arial"/>
                <w:color w:val="000000" w:themeColor="text1"/>
                <w:sz w:val="18"/>
                <w:szCs w:val="18"/>
              </w:rPr>
              <w:t>(smanjenje)/povećanje</w:t>
            </w:r>
            <w:r>
              <w:rPr>
                <w:rFonts w:ascii="Arial" w:eastAsia="Calibri" w:hAnsi="Arial" w:cs="Arial"/>
                <w:color w:val="000000" w:themeColor="text1"/>
                <w:sz w:val="18"/>
                <w:szCs w:val="18"/>
              </w:rPr>
              <w:t xml:space="preserve"> </w:t>
            </w:r>
            <w:r w:rsidRPr="001B015B">
              <w:rPr>
                <w:rFonts w:ascii="Arial" w:eastAsia="Calibri" w:hAnsi="Arial" w:cs="Arial"/>
                <w:color w:val="000000" w:themeColor="text1"/>
                <w:sz w:val="18"/>
                <w:szCs w:val="18"/>
              </w:rPr>
              <w:t xml:space="preserve">rezerviranja za očekivane gubitke </w:t>
            </w:r>
          </w:p>
        </w:tc>
        <w:tc>
          <w:tcPr>
            <w:tcW w:w="1081" w:type="dxa"/>
            <w:vAlign w:val="bottom"/>
          </w:tcPr>
          <w:p w14:paraId="24FCBE92" w14:textId="77777777" w:rsidR="007C6BEE" w:rsidRPr="00852BF5" w:rsidRDefault="007C6BEE" w:rsidP="0034622E">
            <w:pPr>
              <w:jc w:val="right"/>
              <w:rPr>
                <w:rFonts w:ascii="Arial" w:hAnsi="Arial" w:cs="Arial"/>
                <w:sz w:val="18"/>
                <w:szCs w:val="18"/>
              </w:rPr>
            </w:pPr>
            <w:r w:rsidRPr="00F959D0">
              <w:rPr>
                <w:rFonts w:ascii="Arial" w:hAnsi="Arial" w:cs="Arial"/>
                <w:sz w:val="18"/>
                <w:szCs w:val="18"/>
              </w:rPr>
              <w:t xml:space="preserve"> (41.292)</w:t>
            </w:r>
          </w:p>
        </w:tc>
        <w:tc>
          <w:tcPr>
            <w:tcW w:w="1082" w:type="dxa"/>
            <w:vAlign w:val="bottom"/>
          </w:tcPr>
          <w:p w14:paraId="0F27BCFC" w14:textId="77777777" w:rsidR="007C6BEE" w:rsidRPr="00852BF5" w:rsidRDefault="007C6BEE" w:rsidP="0034622E">
            <w:pPr>
              <w:jc w:val="right"/>
              <w:rPr>
                <w:rFonts w:ascii="Arial" w:hAnsi="Arial" w:cs="Arial"/>
                <w:sz w:val="18"/>
                <w:szCs w:val="18"/>
              </w:rPr>
            </w:pPr>
            <w:r w:rsidRPr="00F959D0">
              <w:rPr>
                <w:rFonts w:ascii="Arial" w:hAnsi="Arial" w:cs="Arial"/>
                <w:sz w:val="18"/>
                <w:szCs w:val="18"/>
              </w:rPr>
              <w:t xml:space="preserve"> 62.943 </w:t>
            </w:r>
          </w:p>
        </w:tc>
        <w:tc>
          <w:tcPr>
            <w:tcW w:w="1081" w:type="dxa"/>
            <w:vAlign w:val="bottom"/>
          </w:tcPr>
          <w:p w14:paraId="0289D024" w14:textId="77777777" w:rsidR="007C6BEE" w:rsidRPr="00852BF5" w:rsidRDefault="007C6BEE" w:rsidP="0034622E">
            <w:pPr>
              <w:jc w:val="right"/>
              <w:rPr>
                <w:rFonts w:ascii="Arial" w:hAnsi="Arial" w:cs="Arial"/>
                <w:sz w:val="18"/>
                <w:szCs w:val="18"/>
              </w:rPr>
            </w:pPr>
            <w:r w:rsidRPr="00F959D0">
              <w:rPr>
                <w:rFonts w:ascii="Arial" w:hAnsi="Arial" w:cs="Arial"/>
                <w:sz w:val="18"/>
                <w:szCs w:val="18"/>
              </w:rPr>
              <w:t xml:space="preserve"> 226 </w:t>
            </w:r>
          </w:p>
        </w:tc>
        <w:tc>
          <w:tcPr>
            <w:tcW w:w="1048" w:type="dxa"/>
            <w:vAlign w:val="bottom"/>
          </w:tcPr>
          <w:p w14:paraId="7C029837" w14:textId="77777777" w:rsidR="007C6BEE" w:rsidRPr="00852BF5" w:rsidRDefault="007C6BEE" w:rsidP="0034622E">
            <w:pPr>
              <w:jc w:val="right"/>
              <w:rPr>
                <w:rFonts w:ascii="Arial" w:hAnsi="Arial" w:cs="Arial"/>
                <w:sz w:val="18"/>
                <w:szCs w:val="18"/>
              </w:rPr>
            </w:pPr>
            <w:r w:rsidRPr="00F959D0">
              <w:rPr>
                <w:rFonts w:ascii="Arial" w:hAnsi="Arial" w:cs="Arial"/>
                <w:sz w:val="18"/>
                <w:szCs w:val="18"/>
              </w:rPr>
              <w:t xml:space="preserve"> (16.517)</w:t>
            </w:r>
          </w:p>
        </w:tc>
        <w:tc>
          <w:tcPr>
            <w:tcW w:w="1159" w:type="dxa"/>
            <w:vAlign w:val="bottom"/>
          </w:tcPr>
          <w:p w14:paraId="0A967D75" w14:textId="77777777" w:rsidR="007C6BEE" w:rsidRPr="005D1219" w:rsidRDefault="007C6BEE" w:rsidP="0034622E">
            <w:pPr>
              <w:jc w:val="right"/>
              <w:rPr>
                <w:rFonts w:ascii="Arial" w:hAnsi="Arial" w:cs="Arial"/>
                <w:b/>
                <w:bCs/>
                <w:sz w:val="18"/>
                <w:szCs w:val="18"/>
              </w:rPr>
            </w:pPr>
            <w:r w:rsidRPr="005D1219">
              <w:rPr>
                <w:rFonts w:ascii="Arial" w:hAnsi="Arial" w:cs="Arial"/>
                <w:b/>
                <w:bCs/>
                <w:sz w:val="18"/>
                <w:szCs w:val="18"/>
              </w:rPr>
              <w:t xml:space="preserve"> 5.360 </w:t>
            </w:r>
          </w:p>
        </w:tc>
      </w:tr>
      <w:tr w:rsidR="007C6BEE" w:rsidRPr="001B015B" w14:paraId="5BC8DEB0" w14:textId="77777777" w:rsidTr="0034622E">
        <w:trPr>
          <w:trHeight w:val="228"/>
        </w:trPr>
        <w:tc>
          <w:tcPr>
            <w:tcW w:w="3912" w:type="dxa"/>
            <w:hideMark/>
          </w:tcPr>
          <w:p w14:paraId="1F6C8257" w14:textId="77777777" w:rsidR="007C6BEE" w:rsidRPr="001B015B" w:rsidRDefault="007C6BEE" w:rsidP="0034622E">
            <w:pPr>
              <w:spacing w:line="256" w:lineRule="auto"/>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Otpis</w:t>
            </w:r>
          </w:p>
        </w:tc>
        <w:tc>
          <w:tcPr>
            <w:tcW w:w="1081" w:type="dxa"/>
            <w:vAlign w:val="bottom"/>
          </w:tcPr>
          <w:p w14:paraId="20D10C83" w14:textId="77777777" w:rsidR="007C6BEE" w:rsidRPr="00852BF5" w:rsidRDefault="007C6BEE" w:rsidP="0034622E">
            <w:pPr>
              <w:jc w:val="right"/>
              <w:rPr>
                <w:rFonts w:ascii="Arial" w:hAnsi="Arial" w:cs="Arial"/>
                <w:sz w:val="18"/>
                <w:szCs w:val="18"/>
              </w:rPr>
            </w:pPr>
            <w:r w:rsidRPr="00F959D0">
              <w:rPr>
                <w:rFonts w:ascii="Arial" w:hAnsi="Arial" w:cs="Arial"/>
                <w:sz w:val="18"/>
                <w:szCs w:val="18"/>
              </w:rPr>
              <w:t xml:space="preserve"> (1.652)</w:t>
            </w:r>
          </w:p>
        </w:tc>
        <w:tc>
          <w:tcPr>
            <w:tcW w:w="1082" w:type="dxa"/>
            <w:vAlign w:val="bottom"/>
          </w:tcPr>
          <w:p w14:paraId="0ED9CD51" w14:textId="77777777" w:rsidR="007C6BEE" w:rsidRPr="00852BF5" w:rsidRDefault="007C6BEE" w:rsidP="0034622E">
            <w:pPr>
              <w:jc w:val="right"/>
              <w:rPr>
                <w:rFonts w:ascii="Arial" w:hAnsi="Arial" w:cs="Arial"/>
                <w:sz w:val="18"/>
                <w:szCs w:val="18"/>
              </w:rPr>
            </w:pPr>
            <w:r>
              <w:rPr>
                <w:rFonts w:ascii="Arial" w:hAnsi="Arial" w:cs="Arial"/>
                <w:sz w:val="18"/>
                <w:szCs w:val="18"/>
              </w:rPr>
              <w:t>-</w:t>
            </w:r>
          </w:p>
        </w:tc>
        <w:tc>
          <w:tcPr>
            <w:tcW w:w="1081" w:type="dxa"/>
            <w:vAlign w:val="bottom"/>
          </w:tcPr>
          <w:p w14:paraId="54A65A17" w14:textId="77777777" w:rsidR="007C6BEE" w:rsidRPr="00852BF5" w:rsidRDefault="007C6BEE" w:rsidP="0034622E">
            <w:pPr>
              <w:jc w:val="right"/>
              <w:rPr>
                <w:rFonts w:ascii="Arial" w:hAnsi="Arial" w:cs="Arial"/>
                <w:sz w:val="18"/>
                <w:szCs w:val="18"/>
              </w:rPr>
            </w:pPr>
            <w:r w:rsidRPr="00F959D0">
              <w:rPr>
                <w:rFonts w:ascii="Arial" w:hAnsi="Arial" w:cs="Arial"/>
                <w:sz w:val="18"/>
                <w:szCs w:val="18"/>
              </w:rPr>
              <w:t xml:space="preserve"> (3.969)</w:t>
            </w:r>
          </w:p>
        </w:tc>
        <w:tc>
          <w:tcPr>
            <w:tcW w:w="1048" w:type="dxa"/>
            <w:vAlign w:val="bottom"/>
          </w:tcPr>
          <w:p w14:paraId="0CDB1101" w14:textId="77777777" w:rsidR="007C6BEE" w:rsidRPr="00852BF5" w:rsidRDefault="007C6BEE" w:rsidP="0034622E">
            <w:pPr>
              <w:jc w:val="right"/>
              <w:rPr>
                <w:rFonts w:ascii="Arial" w:hAnsi="Arial" w:cs="Arial"/>
                <w:sz w:val="18"/>
                <w:szCs w:val="18"/>
              </w:rPr>
            </w:pPr>
            <w:r w:rsidRPr="00F959D0">
              <w:rPr>
                <w:rFonts w:ascii="Arial" w:hAnsi="Arial" w:cs="Arial"/>
                <w:sz w:val="18"/>
                <w:szCs w:val="18"/>
              </w:rPr>
              <w:t xml:space="preserve"> (82)</w:t>
            </w:r>
          </w:p>
        </w:tc>
        <w:tc>
          <w:tcPr>
            <w:tcW w:w="1159" w:type="dxa"/>
            <w:vAlign w:val="bottom"/>
          </w:tcPr>
          <w:p w14:paraId="4B281560" w14:textId="77777777" w:rsidR="007C6BEE" w:rsidRPr="005D1219" w:rsidRDefault="007C6BEE" w:rsidP="0034622E">
            <w:pPr>
              <w:jc w:val="right"/>
              <w:rPr>
                <w:rFonts w:ascii="Arial" w:hAnsi="Arial" w:cs="Arial"/>
                <w:b/>
                <w:bCs/>
                <w:sz w:val="18"/>
                <w:szCs w:val="18"/>
              </w:rPr>
            </w:pPr>
            <w:r w:rsidRPr="005D1219">
              <w:rPr>
                <w:rFonts w:ascii="Arial" w:hAnsi="Arial" w:cs="Arial"/>
                <w:b/>
                <w:bCs/>
                <w:sz w:val="18"/>
                <w:szCs w:val="18"/>
              </w:rPr>
              <w:t xml:space="preserve"> (5.703)</w:t>
            </w:r>
          </w:p>
        </w:tc>
      </w:tr>
      <w:tr w:rsidR="007C6BEE" w:rsidRPr="001B015B" w14:paraId="58247E4A" w14:textId="77777777" w:rsidTr="0034622E">
        <w:trPr>
          <w:trHeight w:val="228"/>
        </w:trPr>
        <w:tc>
          <w:tcPr>
            <w:tcW w:w="3912" w:type="dxa"/>
            <w:hideMark/>
          </w:tcPr>
          <w:p w14:paraId="4413E579" w14:textId="77777777" w:rsidR="007C6BEE" w:rsidRPr="001B015B" w:rsidRDefault="007C6BEE" w:rsidP="0034622E">
            <w:pPr>
              <w:spacing w:line="256" w:lineRule="auto"/>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Unwinding - promjena uslijed proteka vremena</w:t>
            </w:r>
          </w:p>
        </w:tc>
        <w:tc>
          <w:tcPr>
            <w:tcW w:w="1081" w:type="dxa"/>
            <w:vAlign w:val="bottom"/>
          </w:tcPr>
          <w:p w14:paraId="4A571D23" w14:textId="77777777" w:rsidR="007C6BEE" w:rsidRPr="00852BF5" w:rsidRDefault="007C6BEE" w:rsidP="0034622E">
            <w:pPr>
              <w:jc w:val="right"/>
              <w:rPr>
                <w:rFonts w:ascii="Arial" w:hAnsi="Arial" w:cs="Arial"/>
                <w:sz w:val="18"/>
                <w:szCs w:val="18"/>
              </w:rPr>
            </w:pPr>
            <w:r w:rsidRPr="00F959D0">
              <w:rPr>
                <w:rFonts w:ascii="Arial" w:hAnsi="Arial" w:cs="Arial"/>
                <w:sz w:val="18"/>
                <w:szCs w:val="18"/>
              </w:rPr>
              <w:t xml:space="preserve"> (76)</w:t>
            </w:r>
          </w:p>
        </w:tc>
        <w:tc>
          <w:tcPr>
            <w:tcW w:w="1082" w:type="dxa"/>
            <w:vAlign w:val="bottom"/>
          </w:tcPr>
          <w:p w14:paraId="0B059AD0" w14:textId="77777777" w:rsidR="007C6BEE" w:rsidRPr="00852BF5" w:rsidRDefault="007C6BEE" w:rsidP="0034622E">
            <w:pPr>
              <w:jc w:val="right"/>
              <w:rPr>
                <w:rFonts w:ascii="Arial" w:hAnsi="Arial" w:cs="Arial"/>
                <w:sz w:val="18"/>
                <w:szCs w:val="18"/>
              </w:rPr>
            </w:pPr>
            <w:r w:rsidRPr="00F959D0">
              <w:rPr>
                <w:rFonts w:ascii="Arial" w:hAnsi="Arial" w:cs="Arial"/>
                <w:sz w:val="18"/>
                <w:szCs w:val="18"/>
              </w:rPr>
              <w:t xml:space="preserve"> (135)</w:t>
            </w:r>
          </w:p>
        </w:tc>
        <w:tc>
          <w:tcPr>
            <w:tcW w:w="1081" w:type="dxa"/>
            <w:vAlign w:val="bottom"/>
          </w:tcPr>
          <w:p w14:paraId="7110E1E5" w14:textId="77777777" w:rsidR="007C6BEE" w:rsidRPr="00852BF5" w:rsidRDefault="007C6BEE" w:rsidP="0034622E">
            <w:pPr>
              <w:jc w:val="right"/>
              <w:rPr>
                <w:rFonts w:ascii="Arial" w:hAnsi="Arial" w:cs="Arial"/>
                <w:sz w:val="18"/>
                <w:szCs w:val="18"/>
              </w:rPr>
            </w:pPr>
            <w:r w:rsidRPr="00F959D0">
              <w:rPr>
                <w:rFonts w:ascii="Arial" w:hAnsi="Arial" w:cs="Arial"/>
                <w:sz w:val="18"/>
                <w:szCs w:val="18"/>
              </w:rPr>
              <w:t xml:space="preserve"> 1.428 </w:t>
            </w:r>
          </w:p>
        </w:tc>
        <w:tc>
          <w:tcPr>
            <w:tcW w:w="1048" w:type="dxa"/>
            <w:vAlign w:val="bottom"/>
          </w:tcPr>
          <w:p w14:paraId="2FB70135" w14:textId="77777777" w:rsidR="007C6BEE" w:rsidRPr="00852BF5" w:rsidRDefault="007C6BEE" w:rsidP="0034622E">
            <w:pPr>
              <w:jc w:val="right"/>
              <w:rPr>
                <w:rFonts w:ascii="Arial" w:hAnsi="Arial" w:cs="Arial"/>
                <w:sz w:val="18"/>
                <w:szCs w:val="18"/>
              </w:rPr>
            </w:pPr>
            <w:r w:rsidRPr="00F959D0">
              <w:rPr>
                <w:rFonts w:ascii="Arial" w:hAnsi="Arial" w:cs="Arial"/>
                <w:sz w:val="18"/>
                <w:szCs w:val="18"/>
              </w:rPr>
              <w:t xml:space="preserve"> 2.779 </w:t>
            </w:r>
          </w:p>
        </w:tc>
        <w:tc>
          <w:tcPr>
            <w:tcW w:w="1159" w:type="dxa"/>
            <w:vAlign w:val="bottom"/>
          </w:tcPr>
          <w:p w14:paraId="1AB62134" w14:textId="77777777" w:rsidR="007C6BEE" w:rsidRPr="005D1219" w:rsidRDefault="007C6BEE" w:rsidP="0034622E">
            <w:pPr>
              <w:jc w:val="right"/>
              <w:rPr>
                <w:rFonts w:ascii="Arial" w:hAnsi="Arial" w:cs="Arial"/>
                <w:b/>
                <w:bCs/>
                <w:sz w:val="18"/>
                <w:szCs w:val="18"/>
              </w:rPr>
            </w:pPr>
            <w:r w:rsidRPr="005D1219">
              <w:rPr>
                <w:rFonts w:ascii="Arial" w:hAnsi="Arial" w:cs="Arial"/>
                <w:b/>
                <w:bCs/>
                <w:sz w:val="18"/>
                <w:szCs w:val="18"/>
              </w:rPr>
              <w:t xml:space="preserve"> 3.996 </w:t>
            </w:r>
          </w:p>
        </w:tc>
      </w:tr>
      <w:tr w:rsidR="007C6BEE" w:rsidRPr="001B015B" w14:paraId="0363A61F" w14:textId="77777777" w:rsidTr="0034622E">
        <w:trPr>
          <w:trHeight w:val="228"/>
        </w:trPr>
        <w:tc>
          <w:tcPr>
            <w:tcW w:w="3912" w:type="dxa"/>
          </w:tcPr>
          <w:p w14:paraId="0B0DB1C8" w14:textId="77777777" w:rsidR="007C6BEE" w:rsidRPr="001B015B" w:rsidRDefault="007C6BEE" w:rsidP="0034622E">
            <w:pPr>
              <w:spacing w:line="256" w:lineRule="auto"/>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Ostalo</w:t>
            </w:r>
          </w:p>
        </w:tc>
        <w:tc>
          <w:tcPr>
            <w:tcW w:w="1081" w:type="dxa"/>
            <w:vAlign w:val="bottom"/>
          </w:tcPr>
          <w:p w14:paraId="2769F16B" w14:textId="77777777" w:rsidR="007C6BEE" w:rsidRPr="00852BF5" w:rsidRDefault="007C6BEE" w:rsidP="0034622E">
            <w:pPr>
              <w:jc w:val="right"/>
              <w:rPr>
                <w:rFonts w:ascii="Arial" w:hAnsi="Arial" w:cs="Arial"/>
                <w:sz w:val="18"/>
                <w:szCs w:val="18"/>
              </w:rPr>
            </w:pPr>
            <w:r>
              <w:rPr>
                <w:rFonts w:ascii="Arial" w:hAnsi="Arial" w:cs="Arial"/>
                <w:sz w:val="18"/>
                <w:szCs w:val="18"/>
              </w:rPr>
              <w:t>-</w:t>
            </w:r>
          </w:p>
        </w:tc>
        <w:tc>
          <w:tcPr>
            <w:tcW w:w="1082" w:type="dxa"/>
            <w:vAlign w:val="bottom"/>
          </w:tcPr>
          <w:p w14:paraId="265F4C59" w14:textId="77777777" w:rsidR="007C6BEE" w:rsidRPr="00852BF5" w:rsidRDefault="007C6BEE" w:rsidP="0034622E">
            <w:pPr>
              <w:jc w:val="right"/>
              <w:rPr>
                <w:rFonts w:ascii="Arial" w:hAnsi="Arial" w:cs="Arial"/>
                <w:sz w:val="18"/>
                <w:szCs w:val="18"/>
              </w:rPr>
            </w:pPr>
            <w:r>
              <w:rPr>
                <w:rFonts w:ascii="Arial" w:hAnsi="Arial" w:cs="Arial"/>
                <w:sz w:val="18"/>
                <w:szCs w:val="18"/>
              </w:rPr>
              <w:t>-</w:t>
            </w:r>
          </w:p>
        </w:tc>
        <w:tc>
          <w:tcPr>
            <w:tcW w:w="1081" w:type="dxa"/>
            <w:vAlign w:val="bottom"/>
          </w:tcPr>
          <w:p w14:paraId="3100A7D5" w14:textId="77777777" w:rsidR="007C6BEE" w:rsidRPr="00852BF5" w:rsidRDefault="007C6BEE" w:rsidP="0034622E">
            <w:pPr>
              <w:jc w:val="right"/>
              <w:rPr>
                <w:rFonts w:ascii="Arial" w:hAnsi="Arial" w:cs="Arial"/>
                <w:sz w:val="18"/>
                <w:szCs w:val="18"/>
              </w:rPr>
            </w:pPr>
            <w:r>
              <w:rPr>
                <w:rFonts w:ascii="Arial" w:hAnsi="Arial" w:cs="Arial"/>
                <w:sz w:val="18"/>
                <w:szCs w:val="18"/>
              </w:rPr>
              <w:t>-</w:t>
            </w:r>
          </w:p>
        </w:tc>
        <w:tc>
          <w:tcPr>
            <w:tcW w:w="1048" w:type="dxa"/>
            <w:vAlign w:val="bottom"/>
          </w:tcPr>
          <w:p w14:paraId="01336462" w14:textId="77777777" w:rsidR="007C6BEE" w:rsidRPr="00852BF5" w:rsidRDefault="007C6BEE" w:rsidP="0034622E">
            <w:pPr>
              <w:jc w:val="right"/>
              <w:rPr>
                <w:rFonts w:ascii="Arial" w:hAnsi="Arial" w:cs="Arial"/>
                <w:sz w:val="18"/>
                <w:szCs w:val="18"/>
              </w:rPr>
            </w:pPr>
            <w:r w:rsidRPr="00F959D0">
              <w:rPr>
                <w:rFonts w:ascii="Arial" w:hAnsi="Arial" w:cs="Arial"/>
                <w:sz w:val="18"/>
                <w:szCs w:val="18"/>
              </w:rPr>
              <w:t xml:space="preserve"> 8.407 </w:t>
            </w:r>
          </w:p>
        </w:tc>
        <w:tc>
          <w:tcPr>
            <w:tcW w:w="1159" w:type="dxa"/>
            <w:vAlign w:val="bottom"/>
          </w:tcPr>
          <w:p w14:paraId="2B9EBA73" w14:textId="77777777" w:rsidR="007C6BEE" w:rsidRPr="005D1219" w:rsidRDefault="007C6BEE" w:rsidP="0034622E">
            <w:pPr>
              <w:jc w:val="right"/>
              <w:rPr>
                <w:rFonts w:ascii="Arial" w:hAnsi="Arial" w:cs="Arial"/>
                <w:b/>
                <w:bCs/>
                <w:sz w:val="18"/>
                <w:szCs w:val="18"/>
              </w:rPr>
            </w:pPr>
            <w:r w:rsidRPr="005D1219">
              <w:rPr>
                <w:rFonts w:ascii="Arial" w:hAnsi="Arial" w:cs="Arial"/>
                <w:b/>
                <w:bCs/>
                <w:sz w:val="18"/>
                <w:szCs w:val="18"/>
              </w:rPr>
              <w:t xml:space="preserve"> 8.407 </w:t>
            </w:r>
          </w:p>
        </w:tc>
      </w:tr>
      <w:tr w:rsidR="007C6BEE" w:rsidRPr="001B015B" w14:paraId="6E8CF4AD" w14:textId="77777777" w:rsidTr="0034622E">
        <w:trPr>
          <w:trHeight w:val="167"/>
        </w:trPr>
        <w:tc>
          <w:tcPr>
            <w:tcW w:w="3912" w:type="dxa"/>
            <w:vAlign w:val="center"/>
            <w:hideMark/>
          </w:tcPr>
          <w:p w14:paraId="20E8B829" w14:textId="77777777" w:rsidR="007C6BEE" w:rsidRPr="001B015B" w:rsidRDefault="007C6BEE" w:rsidP="0034622E">
            <w:pPr>
              <w:spacing w:line="256" w:lineRule="auto"/>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Neto dobit/gubitak od tečajnih razlika po rezerviranjima za očekivane gubitke</w:t>
            </w:r>
          </w:p>
        </w:tc>
        <w:tc>
          <w:tcPr>
            <w:tcW w:w="1081" w:type="dxa"/>
            <w:tcBorders>
              <w:top w:val="nil"/>
              <w:left w:val="nil"/>
              <w:bottom w:val="single" w:sz="4" w:space="0" w:color="auto"/>
              <w:right w:val="nil"/>
            </w:tcBorders>
            <w:vAlign w:val="bottom"/>
          </w:tcPr>
          <w:p w14:paraId="1AEDC444" w14:textId="77777777" w:rsidR="007C6BEE" w:rsidRPr="00852BF5" w:rsidRDefault="007C6BEE" w:rsidP="0034622E">
            <w:pPr>
              <w:jc w:val="right"/>
              <w:rPr>
                <w:rFonts w:ascii="Arial" w:hAnsi="Arial" w:cs="Arial"/>
                <w:sz w:val="18"/>
                <w:szCs w:val="18"/>
              </w:rPr>
            </w:pPr>
            <w:r>
              <w:rPr>
                <w:rFonts w:ascii="Arial" w:hAnsi="Arial" w:cs="Arial"/>
                <w:sz w:val="18"/>
                <w:szCs w:val="18"/>
              </w:rPr>
              <w:t>-</w:t>
            </w:r>
          </w:p>
        </w:tc>
        <w:tc>
          <w:tcPr>
            <w:tcW w:w="1082" w:type="dxa"/>
            <w:tcBorders>
              <w:top w:val="nil"/>
              <w:left w:val="nil"/>
              <w:bottom w:val="single" w:sz="4" w:space="0" w:color="auto"/>
              <w:right w:val="nil"/>
            </w:tcBorders>
            <w:vAlign w:val="bottom"/>
          </w:tcPr>
          <w:p w14:paraId="2E8F2BD9" w14:textId="77777777" w:rsidR="007C6BEE" w:rsidRPr="00852BF5" w:rsidRDefault="007C6BEE" w:rsidP="0034622E">
            <w:pPr>
              <w:jc w:val="right"/>
              <w:rPr>
                <w:rFonts w:ascii="Arial" w:hAnsi="Arial" w:cs="Arial"/>
                <w:sz w:val="18"/>
                <w:szCs w:val="18"/>
              </w:rPr>
            </w:pPr>
            <w:r>
              <w:rPr>
                <w:rFonts w:ascii="Arial" w:hAnsi="Arial" w:cs="Arial"/>
                <w:sz w:val="18"/>
                <w:szCs w:val="18"/>
              </w:rPr>
              <w:t>-</w:t>
            </w:r>
          </w:p>
        </w:tc>
        <w:tc>
          <w:tcPr>
            <w:tcW w:w="1081" w:type="dxa"/>
            <w:tcBorders>
              <w:top w:val="nil"/>
              <w:left w:val="nil"/>
              <w:bottom w:val="single" w:sz="4" w:space="0" w:color="auto"/>
              <w:right w:val="nil"/>
            </w:tcBorders>
            <w:vAlign w:val="bottom"/>
          </w:tcPr>
          <w:p w14:paraId="4591FC6F" w14:textId="77777777" w:rsidR="007C6BEE" w:rsidRPr="00852BF5" w:rsidRDefault="007C6BEE" w:rsidP="0034622E">
            <w:pPr>
              <w:jc w:val="right"/>
              <w:rPr>
                <w:rFonts w:ascii="Arial" w:hAnsi="Arial" w:cs="Arial"/>
                <w:sz w:val="18"/>
                <w:szCs w:val="18"/>
              </w:rPr>
            </w:pPr>
            <w:r w:rsidRPr="00F959D0">
              <w:rPr>
                <w:rFonts w:ascii="Arial" w:hAnsi="Arial" w:cs="Arial"/>
                <w:sz w:val="18"/>
                <w:szCs w:val="18"/>
              </w:rPr>
              <w:t xml:space="preserve"> (414)</w:t>
            </w:r>
          </w:p>
        </w:tc>
        <w:tc>
          <w:tcPr>
            <w:tcW w:w="1048" w:type="dxa"/>
            <w:tcBorders>
              <w:top w:val="nil"/>
              <w:left w:val="nil"/>
              <w:bottom w:val="single" w:sz="4" w:space="0" w:color="auto"/>
              <w:right w:val="nil"/>
            </w:tcBorders>
            <w:vAlign w:val="bottom"/>
          </w:tcPr>
          <w:p w14:paraId="0C8E134B" w14:textId="77777777" w:rsidR="007C6BEE" w:rsidRPr="00852BF5" w:rsidRDefault="007C6BEE" w:rsidP="0034622E">
            <w:pPr>
              <w:jc w:val="right"/>
              <w:rPr>
                <w:rFonts w:ascii="Arial" w:hAnsi="Arial" w:cs="Arial"/>
                <w:sz w:val="18"/>
                <w:szCs w:val="18"/>
              </w:rPr>
            </w:pPr>
            <w:r w:rsidRPr="00F959D0">
              <w:rPr>
                <w:rFonts w:ascii="Arial" w:hAnsi="Arial" w:cs="Arial"/>
                <w:sz w:val="18"/>
                <w:szCs w:val="18"/>
              </w:rPr>
              <w:t xml:space="preserve"> 61 </w:t>
            </w:r>
          </w:p>
        </w:tc>
        <w:tc>
          <w:tcPr>
            <w:tcW w:w="1159" w:type="dxa"/>
            <w:tcBorders>
              <w:top w:val="nil"/>
              <w:left w:val="nil"/>
              <w:bottom w:val="single" w:sz="4" w:space="0" w:color="auto"/>
              <w:right w:val="nil"/>
            </w:tcBorders>
            <w:vAlign w:val="bottom"/>
          </w:tcPr>
          <w:p w14:paraId="4186E1B0" w14:textId="77777777" w:rsidR="007C6BEE" w:rsidRPr="005D1219" w:rsidRDefault="007C6BEE" w:rsidP="0034622E">
            <w:pPr>
              <w:jc w:val="right"/>
              <w:rPr>
                <w:rFonts w:ascii="Arial" w:hAnsi="Arial" w:cs="Arial"/>
                <w:b/>
                <w:bCs/>
                <w:sz w:val="18"/>
                <w:szCs w:val="18"/>
              </w:rPr>
            </w:pPr>
            <w:r w:rsidRPr="005D1219">
              <w:rPr>
                <w:rFonts w:ascii="Arial" w:hAnsi="Arial" w:cs="Arial"/>
                <w:b/>
                <w:bCs/>
                <w:sz w:val="18"/>
                <w:szCs w:val="18"/>
              </w:rPr>
              <w:t xml:space="preserve"> (353)</w:t>
            </w:r>
          </w:p>
        </w:tc>
      </w:tr>
      <w:tr w:rsidR="007C6BEE" w:rsidRPr="001B015B" w14:paraId="7783DA95" w14:textId="77777777" w:rsidTr="0034622E">
        <w:trPr>
          <w:trHeight w:val="276"/>
        </w:trPr>
        <w:tc>
          <w:tcPr>
            <w:tcW w:w="3912" w:type="dxa"/>
            <w:vAlign w:val="bottom"/>
            <w:hideMark/>
          </w:tcPr>
          <w:p w14:paraId="30938596" w14:textId="77777777" w:rsidR="007C6BEE" w:rsidRPr="001B015B" w:rsidRDefault="007C6BEE" w:rsidP="0034622E">
            <w:pPr>
              <w:spacing w:line="256" w:lineRule="auto"/>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Stanje 31. prosinca 202</w:t>
            </w:r>
            <w:r>
              <w:rPr>
                <w:rFonts w:ascii="Arial" w:eastAsia="Calibri" w:hAnsi="Arial" w:cs="Arial"/>
                <w:b/>
                <w:bCs/>
                <w:color w:val="000000" w:themeColor="text1"/>
                <w:sz w:val="18"/>
                <w:szCs w:val="18"/>
              </w:rPr>
              <w:t>3</w:t>
            </w:r>
            <w:r w:rsidRPr="001B015B">
              <w:rPr>
                <w:rFonts w:ascii="Arial" w:eastAsia="Calibri" w:hAnsi="Arial" w:cs="Arial"/>
                <w:b/>
                <w:bCs/>
                <w:color w:val="000000" w:themeColor="text1"/>
                <w:sz w:val="18"/>
                <w:szCs w:val="18"/>
              </w:rPr>
              <w:t>.</w:t>
            </w:r>
          </w:p>
        </w:tc>
        <w:tc>
          <w:tcPr>
            <w:tcW w:w="1081" w:type="dxa"/>
            <w:tcBorders>
              <w:top w:val="single" w:sz="4" w:space="0" w:color="auto"/>
              <w:left w:val="nil"/>
              <w:bottom w:val="single" w:sz="12" w:space="0" w:color="auto"/>
              <w:right w:val="nil"/>
            </w:tcBorders>
            <w:shd w:val="clear" w:color="auto" w:fill="auto"/>
            <w:vAlign w:val="bottom"/>
          </w:tcPr>
          <w:p w14:paraId="2678A555" w14:textId="77777777" w:rsidR="007C6BEE" w:rsidRPr="00495ED1" w:rsidRDefault="007C6BEE" w:rsidP="0034622E">
            <w:pPr>
              <w:jc w:val="right"/>
              <w:rPr>
                <w:rFonts w:ascii="Arial" w:hAnsi="Arial" w:cs="Arial"/>
                <w:b/>
                <w:bCs/>
                <w:sz w:val="18"/>
                <w:szCs w:val="18"/>
              </w:rPr>
            </w:pPr>
            <w:r w:rsidRPr="00F959D0">
              <w:rPr>
                <w:rFonts w:ascii="Arial" w:hAnsi="Arial" w:cs="Arial"/>
                <w:b/>
                <w:bCs/>
                <w:sz w:val="18"/>
                <w:szCs w:val="18"/>
              </w:rPr>
              <w:t xml:space="preserve"> 42.543 </w:t>
            </w:r>
          </w:p>
        </w:tc>
        <w:tc>
          <w:tcPr>
            <w:tcW w:w="1082" w:type="dxa"/>
            <w:tcBorders>
              <w:top w:val="single" w:sz="4" w:space="0" w:color="auto"/>
              <w:left w:val="nil"/>
              <w:bottom w:val="single" w:sz="12" w:space="0" w:color="auto"/>
              <w:right w:val="nil"/>
            </w:tcBorders>
            <w:shd w:val="clear" w:color="auto" w:fill="auto"/>
            <w:vAlign w:val="bottom"/>
          </w:tcPr>
          <w:p w14:paraId="7D6B7F8C" w14:textId="77777777" w:rsidR="007C6BEE" w:rsidRPr="00495ED1" w:rsidRDefault="007C6BEE" w:rsidP="0034622E">
            <w:pPr>
              <w:jc w:val="right"/>
              <w:rPr>
                <w:rFonts w:ascii="Arial" w:hAnsi="Arial" w:cs="Arial"/>
                <w:b/>
                <w:bCs/>
                <w:sz w:val="18"/>
                <w:szCs w:val="18"/>
              </w:rPr>
            </w:pPr>
            <w:r w:rsidRPr="00F959D0">
              <w:rPr>
                <w:rFonts w:ascii="Arial" w:hAnsi="Arial" w:cs="Arial"/>
                <w:b/>
                <w:bCs/>
                <w:sz w:val="18"/>
                <w:szCs w:val="18"/>
              </w:rPr>
              <w:t xml:space="preserve"> 128.588 </w:t>
            </w:r>
          </w:p>
        </w:tc>
        <w:tc>
          <w:tcPr>
            <w:tcW w:w="1081" w:type="dxa"/>
            <w:tcBorders>
              <w:top w:val="single" w:sz="4" w:space="0" w:color="auto"/>
              <w:left w:val="nil"/>
              <w:bottom w:val="single" w:sz="12" w:space="0" w:color="auto"/>
              <w:right w:val="nil"/>
            </w:tcBorders>
            <w:shd w:val="clear" w:color="auto" w:fill="auto"/>
            <w:vAlign w:val="bottom"/>
          </w:tcPr>
          <w:p w14:paraId="20091D9D" w14:textId="77777777" w:rsidR="007C6BEE" w:rsidRPr="00495ED1" w:rsidRDefault="007C6BEE" w:rsidP="0034622E">
            <w:pPr>
              <w:jc w:val="right"/>
              <w:rPr>
                <w:rFonts w:ascii="Arial" w:hAnsi="Arial" w:cs="Arial"/>
                <w:b/>
                <w:bCs/>
                <w:sz w:val="18"/>
                <w:szCs w:val="18"/>
              </w:rPr>
            </w:pPr>
            <w:r w:rsidRPr="00F959D0">
              <w:rPr>
                <w:rFonts w:ascii="Arial" w:hAnsi="Arial" w:cs="Arial"/>
                <w:b/>
                <w:bCs/>
                <w:sz w:val="18"/>
                <w:szCs w:val="18"/>
              </w:rPr>
              <w:t xml:space="preserve"> 267.359 </w:t>
            </w:r>
          </w:p>
        </w:tc>
        <w:tc>
          <w:tcPr>
            <w:tcW w:w="1048" w:type="dxa"/>
            <w:tcBorders>
              <w:top w:val="single" w:sz="4" w:space="0" w:color="auto"/>
              <w:left w:val="nil"/>
              <w:bottom w:val="single" w:sz="12" w:space="0" w:color="auto"/>
              <w:right w:val="nil"/>
            </w:tcBorders>
            <w:shd w:val="clear" w:color="auto" w:fill="auto"/>
            <w:vAlign w:val="bottom"/>
          </w:tcPr>
          <w:p w14:paraId="18C1DE57" w14:textId="77777777" w:rsidR="007C6BEE" w:rsidRPr="00495ED1" w:rsidRDefault="007C6BEE" w:rsidP="0034622E">
            <w:pPr>
              <w:jc w:val="right"/>
              <w:rPr>
                <w:rFonts w:ascii="Arial" w:hAnsi="Arial" w:cs="Arial"/>
                <w:b/>
                <w:bCs/>
                <w:sz w:val="18"/>
                <w:szCs w:val="18"/>
              </w:rPr>
            </w:pPr>
            <w:r w:rsidRPr="00F959D0">
              <w:rPr>
                <w:rFonts w:ascii="Arial" w:hAnsi="Arial" w:cs="Arial"/>
                <w:b/>
                <w:bCs/>
                <w:sz w:val="18"/>
                <w:szCs w:val="18"/>
              </w:rPr>
              <w:t xml:space="preserve"> 32.267 </w:t>
            </w:r>
          </w:p>
        </w:tc>
        <w:tc>
          <w:tcPr>
            <w:tcW w:w="1159" w:type="dxa"/>
            <w:tcBorders>
              <w:top w:val="single" w:sz="4" w:space="0" w:color="auto"/>
              <w:left w:val="nil"/>
              <w:bottom w:val="single" w:sz="12" w:space="0" w:color="auto"/>
              <w:right w:val="nil"/>
            </w:tcBorders>
            <w:shd w:val="clear" w:color="auto" w:fill="auto"/>
            <w:vAlign w:val="bottom"/>
          </w:tcPr>
          <w:p w14:paraId="607B5BF6" w14:textId="77777777" w:rsidR="007C6BEE" w:rsidRPr="00495ED1" w:rsidRDefault="007C6BEE" w:rsidP="0034622E">
            <w:pPr>
              <w:jc w:val="right"/>
              <w:rPr>
                <w:rFonts w:ascii="Arial" w:hAnsi="Arial" w:cs="Arial"/>
                <w:b/>
                <w:bCs/>
                <w:sz w:val="18"/>
                <w:szCs w:val="18"/>
              </w:rPr>
            </w:pPr>
            <w:r w:rsidRPr="00F959D0">
              <w:rPr>
                <w:rFonts w:ascii="Arial" w:hAnsi="Arial" w:cs="Arial"/>
                <w:b/>
                <w:bCs/>
                <w:sz w:val="18"/>
                <w:szCs w:val="18"/>
              </w:rPr>
              <w:t xml:space="preserve"> 470.757 </w:t>
            </w:r>
          </w:p>
        </w:tc>
      </w:tr>
    </w:tbl>
    <w:p w14:paraId="6C7EB4B5" w14:textId="249AD30F" w:rsidR="00D92646" w:rsidRPr="003D1614" w:rsidRDefault="00D92646" w:rsidP="001A0FCB">
      <w:pPr>
        <w:suppressAutoHyphens/>
        <w:autoSpaceDN w:val="0"/>
        <w:jc w:val="both"/>
        <w:rPr>
          <w:rFonts w:ascii="Arial" w:eastAsia="Times New Roman" w:hAnsi="Arial" w:cs="Arial"/>
          <w:color w:val="000000" w:themeColor="text1"/>
          <w:sz w:val="20"/>
          <w:szCs w:val="20"/>
        </w:rPr>
      </w:pPr>
    </w:p>
    <w:p w14:paraId="21ACD614" w14:textId="77777777" w:rsidR="00D92646" w:rsidRPr="003D1614" w:rsidRDefault="00D92646" w:rsidP="001A0FCB">
      <w:pPr>
        <w:suppressAutoHyphens/>
        <w:autoSpaceDN w:val="0"/>
        <w:jc w:val="both"/>
        <w:rPr>
          <w:rFonts w:ascii="Arial" w:eastAsia="Times New Roman" w:hAnsi="Arial" w:cs="Arial"/>
          <w:color w:val="000000" w:themeColor="text1"/>
          <w:sz w:val="20"/>
          <w:szCs w:val="20"/>
        </w:rPr>
        <w:sectPr w:rsidR="00D92646" w:rsidRPr="003D1614" w:rsidSect="003278AB">
          <w:pgSz w:w="11906" w:h="16838"/>
          <w:pgMar w:top="1417" w:right="1417" w:bottom="1417" w:left="1417" w:header="708" w:footer="708" w:gutter="0"/>
          <w:cols w:space="708"/>
          <w:docGrid w:linePitch="360"/>
        </w:sectPr>
      </w:pPr>
    </w:p>
    <w:p w14:paraId="461AB722"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09F0645A" w14:textId="01F19B36"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664691BB"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3C51A640" w14:textId="1506E3B2"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.3. </w:t>
      </w:r>
      <w:r w:rsidRPr="003D1614">
        <w:rPr>
          <w:rFonts w:ascii="Arial" w:eastAsia="Times New Roman" w:hAnsi="Arial" w:cs="Arial"/>
          <w:b/>
          <w:bCs/>
          <w:color w:val="000000" w:themeColor="text1"/>
          <w:sz w:val="20"/>
          <w:szCs w:val="20"/>
        </w:rPr>
        <w:tab/>
        <w:t>Kreditni rizik (nastavak)</w:t>
      </w:r>
    </w:p>
    <w:p w14:paraId="2363ADA2"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4208E529" w14:textId="77777777" w:rsidR="00D92646" w:rsidRPr="003D1614" w:rsidRDefault="00D92646" w:rsidP="00D92646">
      <w:pPr>
        <w:keepNext/>
        <w:tabs>
          <w:tab w:val="left" w:pos="284"/>
        </w:tabs>
        <w:suppressAutoHyphens/>
        <w:autoSpaceDN w:val="0"/>
        <w:jc w:val="both"/>
        <w:rPr>
          <w:rFonts w:ascii="Arial" w:eastAsia="Times New Roman" w:hAnsi="Arial" w:cs="Arial"/>
          <w:bCs/>
          <w:i/>
          <w:color w:val="000000" w:themeColor="text1"/>
          <w:sz w:val="20"/>
          <w:szCs w:val="20"/>
        </w:rPr>
      </w:pPr>
      <w:r w:rsidRPr="003D1614">
        <w:rPr>
          <w:rFonts w:ascii="Arial" w:eastAsia="Times New Roman" w:hAnsi="Arial" w:cs="Arial"/>
          <w:bCs/>
          <w:i/>
          <w:color w:val="000000" w:themeColor="text1"/>
          <w:sz w:val="20"/>
          <w:szCs w:val="20"/>
        </w:rPr>
        <w:t>i.</w:t>
      </w:r>
      <w:r w:rsidRPr="003D1614">
        <w:rPr>
          <w:rFonts w:ascii="Arial" w:eastAsia="Times New Roman" w:hAnsi="Arial" w:cs="Arial"/>
          <w:bCs/>
          <w:i/>
          <w:color w:val="000000" w:themeColor="text1"/>
          <w:sz w:val="20"/>
          <w:szCs w:val="20"/>
        </w:rPr>
        <w:tab/>
        <w:t>Promjene po rezerviranjima (nastavak)</w:t>
      </w:r>
    </w:p>
    <w:p w14:paraId="6A4C3068" w14:textId="77777777" w:rsidR="00D92646" w:rsidRPr="003D1614" w:rsidRDefault="00D92646" w:rsidP="00D92646">
      <w:pPr>
        <w:keepNext/>
        <w:tabs>
          <w:tab w:val="left" w:pos="284"/>
        </w:tabs>
        <w:suppressAutoHyphens/>
        <w:autoSpaceDN w:val="0"/>
        <w:jc w:val="both"/>
        <w:rPr>
          <w:rFonts w:ascii="Arial" w:eastAsia="Times New Roman" w:hAnsi="Arial" w:cs="Arial"/>
          <w:bCs/>
          <w:i/>
          <w:color w:val="000000" w:themeColor="text1"/>
          <w:sz w:val="20"/>
          <w:szCs w:val="20"/>
        </w:rPr>
      </w:pPr>
    </w:p>
    <w:p w14:paraId="07E9EFCF"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Financijska imovina po fer vrijednosti kroz ostalu sveobuhvatnu dobit</w:t>
      </w:r>
    </w:p>
    <w:p w14:paraId="34A18C80"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tbl>
      <w:tblPr>
        <w:tblW w:w="9536" w:type="dxa"/>
        <w:tblInd w:w="-180" w:type="dxa"/>
        <w:tblLook w:val="04A0" w:firstRow="1" w:lastRow="0" w:firstColumn="1" w:lastColumn="0" w:noHBand="0" w:noVBand="1"/>
      </w:tblPr>
      <w:tblGrid>
        <w:gridCol w:w="4008"/>
        <w:gridCol w:w="1134"/>
        <w:gridCol w:w="1134"/>
        <w:gridCol w:w="1134"/>
        <w:gridCol w:w="992"/>
        <w:gridCol w:w="1134"/>
      </w:tblGrid>
      <w:tr w:rsidR="00D92646" w:rsidRPr="003D1614" w14:paraId="27044789" w14:textId="77777777" w:rsidTr="001541F1">
        <w:trPr>
          <w:trHeight w:val="172"/>
        </w:trPr>
        <w:tc>
          <w:tcPr>
            <w:tcW w:w="4008" w:type="dxa"/>
            <w:tcBorders>
              <w:top w:val="nil"/>
              <w:left w:val="nil"/>
              <w:bottom w:val="nil"/>
              <w:right w:val="nil"/>
            </w:tcBorders>
            <w:shd w:val="clear" w:color="auto" w:fill="auto"/>
            <w:vAlign w:val="bottom"/>
          </w:tcPr>
          <w:p w14:paraId="3497DC19" w14:textId="77777777" w:rsidR="00D92646" w:rsidRPr="003D1614" w:rsidRDefault="00D92646" w:rsidP="00D92646">
            <w:pPr>
              <w:suppressAutoHyphens/>
              <w:autoSpaceDN w:val="0"/>
              <w:rPr>
                <w:rFonts w:ascii="Arial" w:eastAsia="Calibri" w:hAnsi="Arial" w:cs="Arial"/>
                <w:b/>
                <w:bCs/>
                <w:color w:val="000000" w:themeColor="text1"/>
                <w:sz w:val="18"/>
                <w:szCs w:val="18"/>
              </w:rPr>
            </w:pPr>
            <w:bookmarkStart w:id="747" w:name="_Hlk5706812"/>
            <w:bookmarkStart w:id="748" w:name="_Hlk123641020"/>
            <w:r w:rsidRPr="003D1614">
              <w:rPr>
                <w:rFonts w:ascii="Arial" w:eastAsia="Calibri" w:hAnsi="Arial" w:cs="Arial"/>
                <w:b/>
                <w:bCs/>
                <w:color w:val="000000" w:themeColor="text1"/>
                <w:sz w:val="18"/>
                <w:szCs w:val="18"/>
              </w:rPr>
              <w:t xml:space="preserve">Grupa </w:t>
            </w:r>
          </w:p>
        </w:tc>
        <w:tc>
          <w:tcPr>
            <w:tcW w:w="1134" w:type="dxa"/>
            <w:tcBorders>
              <w:top w:val="nil"/>
              <w:left w:val="nil"/>
              <w:bottom w:val="nil"/>
              <w:right w:val="nil"/>
            </w:tcBorders>
            <w:shd w:val="clear" w:color="auto" w:fill="auto"/>
            <w:vAlign w:val="bottom"/>
          </w:tcPr>
          <w:p w14:paraId="40E37D81"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134" w:type="dxa"/>
            <w:tcBorders>
              <w:top w:val="nil"/>
              <w:left w:val="nil"/>
              <w:bottom w:val="nil"/>
              <w:right w:val="nil"/>
            </w:tcBorders>
            <w:shd w:val="clear" w:color="auto" w:fill="auto"/>
            <w:vAlign w:val="bottom"/>
          </w:tcPr>
          <w:p w14:paraId="72529035"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134" w:type="dxa"/>
            <w:tcBorders>
              <w:top w:val="nil"/>
              <w:left w:val="nil"/>
              <w:bottom w:val="nil"/>
              <w:right w:val="nil"/>
            </w:tcBorders>
            <w:shd w:val="clear" w:color="auto" w:fill="auto"/>
            <w:vAlign w:val="bottom"/>
          </w:tcPr>
          <w:p w14:paraId="647332FE"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992" w:type="dxa"/>
            <w:tcBorders>
              <w:top w:val="nil"/>
              <w:left w:val="nil"/>
              <w:bottom w:val="nil"/>
              <w:right w:val="nil"/>
            </w:tcBorders>
            <w:shd w:val="clear" w:color="auto" w:fill="auto"/>
            <w:vAlign w:val="bottom"/>
          </w:tcPr>
          <w:p w14:paraId="32783049"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134" w:type="dxa"/>
            <w:tcBorders>
              <w:top w:val="nil"/>
              <w:left w:val="nil"/>
              <w:bottom w:val="nil"/>
              <w:right w:val="nil"/>
            </w:tcBorders>
            <w:shd w:val="clear" w:color="auto" w:fill="auto"/>
            <w:vAlign w:val="bottom"/>
          </w:tcPr>
          <w:p w14:paraId="47E13D95"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r>
      <w:bookmarkEnd w:id="747"/>
      <w:tr w:rsidR="00A269B5" w:rsidRPr="003D1614" w14:paraId="3184B1AB" w14:textId="77777777" w:rsidTr="001541F1">
        <w:trPr>
          <w:trHeight w:val="172"/>
        </w:trPr>
        <w:tc>
          <w:tcPr>
            <w:tcW w:w="4008" w:type="dxa"/>
            <w:tcBorders>
              <w:top w:val="nil"/>
              <w:left w:val="nil"/>
              <w:bottom w:val="nil"/>
              <w:right w:val="nil"/>
            </w:tcBorders>
            <w:shd w:val="clear" w:color="auto" w:fill="auto"/>
            <w:vAlign w:val="bottom"/>
            <w:hideMark/>
          </w:tcPr>
          <w:p w14:paraId="6A391468" w14:textId="7FE8CAF0" w:rsidR="00A269B5" w:rsidRPr="003D1614" w:rsidRDefault="00881155" w:rsidP="00A269B5">
            <w:pPr>
              <w:suppressAutoHyphens/>
              <w:autoSpaceDN w:val="0"/>
              <w:rPr>
                <w:rFonts w:ascii="Arial" w:eastAsia="Calibri" w:hAnsi="Arial" w:cs="Arial"/>
                <w:b/>
                <w:bCs/>
                <w:color w:val="000000" w:themeColor="text1"/>
                <w:sz w:val="18"/>
                <w:szCs w:val="18"/>
              </w:rPr>
            </w:pPr>
            <w:r w:rsidRPr="00881155">
              <w:rPr>
                <w:rFonts w:ascii="Arial" w:eastAsia="Calibri" w:hAnsi="Arial" w:cs="Arial"/>
                <w:b/>
                <w:bCs/>
                <w:color w:val="000000" w:themeColor="text1"/>
                <w:sz w:val="18"/>
                <w:szCs w:val="18"/>
              </w:rPr>
              <w:t>30. rujna 202</w:t>
            </w:r>
            <w:r w:rsidR="00F34F3A">
              <w:rPr>
                <w:rFonts w:ascii="Arial" w:eastAsia="Calibri" w:hAnsi="Arial" w:cs="Arial"/>
                <w:b/>
                <w:bCs/>
                <w:color w:val="000000" w:themeColor="text1"/>
                <w:sz w:val="18"/>
                <w:szCs w:val="18"/>
              </w:rPr>
              <w:t>4</w:t>
            </w:r>
            <w:r w:rsidRPr="00881155">
              <w:rPr>
                <w:rFonts w:ascii="Arial" w:eastAsia="Calibri" w:hAnsi="Arial" w:cs="Arial"/>
                <w:b/>
                <w:bCs/>
                <w:color w:val="000000" w:themeColor="text1"/>
                <w:sz w:val="18"/>
                <w:szCs w:val="18"/>
              </w:rPr>
              <w:t>.</w:t>
            </w:r>
          </w:p>
        </w:tc>
        <w:tc>
          <w:tcPr>
            <w:tcW w:w="1134" w:type="dxa"/>
            <w:tcBorders>
              <w:top w:val="nil"/>
              <w:left w:val="nil"/>
              <w:bottom w:val="nil"/>
              <w:right w:val="nil"/>
            </w:tcBorders>
            <w:shd w:val="clear" w:color="auto" w:fill="auto"/>
            <w:vAlign w:val="bottom"/>
            <w:hideMark/>
          </w:tcPr>
          <w:p w14:paraId="2AD0B81E"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1</w:t>
            </w:r>
          </w:p>
        </w:tc>
        <w:tc>
          <w:tcPr>
            <w:tcW w:w="1134" w:type="dxa"/>
            <w:tcBorders>
              <w:top w:val="nil"/>
              <w:left w:val="nil"/>
              <w:bottom w:val="nil"/>
              <w:right w:val="nil"/>
            </w:tcBorders>
            <w:shd w:val="clear" w:color="auto" w:fill="auto"/>
            <w:vAlign w:val="bottom"/>
            <w:hideMark/>
          </w:tcPr>
          <w:p w14:paraId="243424AD"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2</w:t>
            </w:r>
          </w:p>
        </w:tc>
        <w:tc>
          <w:tcPr>
            <w:tcW w:w="1134" w:type="dxa"/>
            <w:tcBorders>
              <w:top w:val="nil"/>
              <w:left w:val="nil"/>
              <w:bottom w:val="nil"/>
              <w:right w:val="nil"/>
            </w:tcBorders>
            <w:shd w:val="clear" w:color="auto" w:fill="auto"/>
            <w:vAlign w:val="bottom"/>
            <w:hideMark/>
          </w:tcPr>
          <w:p w14:paraId="7F6FC926"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3</w:t>
            </w:r>
          </w:p>
        </w:tc>
        <w:tc>
          <w:tcPr>
            <w:tcW w:w="992" w:type="dxa"/>
            <w:tcBorders>
              <w:top w:val="nil"/>
              <w:left w:val="nil"/>
              <w:bottom w:val="nil"/>
              <w:right w:val="nil"/>
            </w:tcBorders>
            <w:shd w:val="clear" w:color="auto" w:fill="auto"/>
            <w:vAlign w:val="bottom"/>
            <w:hideMark/>
          </w:tcPr>
          <w:p w14:paraId="7E84C1DE"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POCI</w:t>
            </w:r>
          </w:p>
        </w:tc>
        <w:tc>
          <w:tcPr>
            <w:tcW w:w="1134" w:type="dxa"/>
            <w:tcBorders>
              <w:top w:val="nil"/>
              <w:left w:val="nil"/>
              <w:bottom w:val="nil"/>
              <w:right w:val="nil"/>
            </w:tcBorders>
            <w:shd w:val="clear" w:color="auto" w:fill="auto"/>
            <w:vAlign w:val="bottom"/>
            <w:hideMark/>
          </w:tcPr>
          <w:p w14:paraId="460E66A5"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Ukupno</w:t>
            </w:r>
          </w:p>
        </w:tc>
      </w:tr>
      <w:tr w:rsidR="00A269B5" w:rsidRPr="003D1614" w14:paraId="6CB95E82" w14:textId="77777777" w:rsidTr="001541F1">
        <w:trPr>
          <w:trHeight w:val="172"/>
        </w:trPr>
        <w:tc>
          <w:tcPr>
            <w:tcW w:w="4008" w:type="dxa"/>
            <w:tcBorders>
              <w:top w:val="nil"/>
              <w:left w:val="nil"/>
              <w:bottom w:val="nil"/>
              <w:right w:val="nil"/>
            </w:tcBorders>
            <w:shd w:val="clear" w:color="auto" w:fill="auto"/>
            <w:vAlign w:val="bottom"/>
            <w:hideMark/>
          </w:tcPr>
          <w:p w14:paraId="4AA0ABE9"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134" w:type="dxa"/>
            <w:tcBorders>
              <w:top w:val="nil"/>
              <w:left w:val="nil"/>
              <w:bottom w:val="nil"/>
              <w:right w:val="nil"/>
            </w:tcBorders>
            <w:shd w:val="clear" w:color="auto" w:fill="auto"/>
            <w:vAlign w:val="bottom"/>
            <w:hideMark/>
          </w:tcPr>
          <w:p w14:paraId="10EFEBBB" w14:textId="6C4B23F1"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134" w:type="dxa"/>
            <w:tcBorders>
              <w:top w:val="nil"/>
              <w:left w:val="nil"/>
              <w:bottom w:val="nil"/>
              <w:right w:val="nil"/>
            </w:tcBorders>
            <w:shd w:val="clear" w:color="auto" w:fill="auto"/>
            <w:vAlign w:val="bottom"/>
            <w:hideMark/>
          </w:tcPr>
          <w:p w14:paraId="5F330F7E" w14:textId="5E8E86BA"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134" w:type="dxa"/>
            <w:tcBorders>
              <w:top w:val="nil"/>
              <w:left w:val="nil"/>
              <w:bottom w:val="nil"/>
              <w:right w:val="nil"/>
            </w:tcBorders>
            <w:shd w:val="clear" w:color="auto" w:fill="auto"/>
            <w:vAlign w:val="bottom"/>
            <w:hideMark/>
          </w:tcPr>
          <w:p w14:paraId="44E63535" w14:textId="7604CF5F"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992" w:type="dxa"/>
            <w:tcBorders>
              <w:top w:val="nil"/>
              <w:left w:val="nil"/>
              <w:bottom w:val="nil"/>
              <w:right w:val="nil"/>
            </w:tcBorders>
            <w:shd w:val="clear" w:color="auto" w:fill="auto"/>
            <w:vAlign w:val="bottom"/>
            <w:hideMark/>
          </w:tcPr>
          <w:p w14:paraId="4E940353" w14:textId="2766279B"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134" w:type="dxa"/>
            <w:tcBorders>
              <w:top w:val="nil"/>
              <w:left w:val="nil"/>
              <w:bottom w:val="nil"/>
              <w:right w:val="nil"/>
            </w:tcBorders>
            <w:shd w:val="clear" w:color="auto" w:fill="auto"/>
            <w:vAlign w:val="bottom"/>
            <w:hideMark/>
          </w:tcPr>
          <w:p w14:paraId="1F507586" w14:textId="4117B52A"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r>
      <w:tr w:rsidR="00A269B5" w:rsidRPr="003D1614" w14:paraId="47904BAE" w14:textId="77777777" w:rsidTr="001541F1">
        <w:trPr>
          <w:trHeight w:val="172"/>
        </w:trPr>
        <w:tc>
          <w:tcPr>
            <w:tcW w:w="4008" w:type="dxa"/>
            <w:tcBorders>
              <w:top w:val="nil"/>
              <w:left w:val="nil"/>
              <w:bottom w:val="nil"/>
              <w:right w:val="nil"/>
            </w:tcBorders>
            <w:shd w:val="clear" w:color="auto" w:fill="auto"/>
            <w:vAlign w:val="bottom"/>
          </w:tcPr>
          <w:p w14:paraId="1E6B9059"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134" w:type="dxa"/>
            <w:tcBorders>
              <w:top w:val="nil"/>
              <w:left w:val="nil"/>
              <w:right w:val="nil"/>
            </w:tcBorders>
            <w:shd w:val="clear" w:color="auto" w:fill="auto"/>
            <w:vAlign w:val="bottom"/>
          </w:tcPr>
          <w:p w14:paraId="1F8D6832"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134" w:type="dxa"/>
            <w:tcBorders>
              <w:top w:val="nil"/>
              <w:left w:val="nil"/>
              <w:right w:val="nil"/>
            </w:tcBorders>
            <w:shd w:val="clear" w:color="auto" w:fill="auto"/>
            <w:vAlign w:val="bottom"/>
          </w:tcPr>
          <w:p w14:paraId="0EE3130B"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134" w:type="dxa"/>
            <w:tcBorders>
              <w:top w:val="nil"/>
              <w:left w:val="nil"/>
              <w:right w:val="nil"/>
            </w:tcBorders>
            <w:shd w:val="clear" w:color="auto" w:fill="auto"/>
            <w:vAlign w:val="bottom"/>
          </w:tcPr>
          <w:p w14:paraId="385E4E69"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992" w:type="dxa"/>
            <w:tcBorders>
              <w:top w:val="nil"/>
              <w:left w:val="nil"/>
              <w:right w:val="nil"/>
            </w:tcBorders>
            <w:shd w:val="clear" w:color="auto" w:fill="auto"/>
            <w:vAlign w:val="bottom"/>
          </w:tcPr>
          <w:p w14:paraId="14F2DB94"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134" w:type="dxa"/>
            <w:tcBorders>
              <w:top w:val="nil"/>
              <w:left w:val="nil"/>
              <w:right w:val="nil"/>
            </w:tcBorders>
            <w:shd w:val="clear" w:color="auto" w:fill="auto"/>
            <w:vAlign w:val="bottom"/>
          </w:tcPr>
          <w:p w14:paraId="43DE708B"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r>
      <w:tr w:rsidR="007B5CF7" w:rsidRPr="003D1614" w14:paraId="34A5429C" w14:textId="77777777" w:rsidTr="001541F1">
        <w:trPr>
          <w:trHeight w:val="172"/>
        </w:trPr>
        <w:tc>
          <w:tcPr>
            <w:tcW w:w="4008" w:type="dxa"/>
            <w:tcBorders>
              <w:top w:val="nil"/>
              <w:left w:val="nil"/>
              <w:bottom w:val="nil"/>
              <w:right w:val="nil"/>
            </w:tcBorders>
            <w:shd w:val="clear" w:color="auto" w:fill="auto"/>
            <w:vAlign w:val="bottom"/>
            <w:hideMark/>
          </w:tcPr>
          <w:p w14:paraId="05B41B1F" w14:textId="40D16A93" w:rsidR="007B5CF7" w:rsidRPr="003D1614" w:rsidRDefault="007B5CF7" w:rsidP="007B5CF7">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Stanje 1. siječnja 202</w:t>
            </w:r>
            <w:r>
              <w:rPr>
                <w:rFonts w:ascii="Arial" w:eastAsia="Calibri" w:hAnsi="Arial" w:cs="Arial"/>
                <w:color w:val="000000" w:themeColor="text1"/>
                <w:sz w:val="18"/>
                <w:szCs w:val="18"/>
              </w:rPr>
              <w:t>4</w:t>
            </w:r>
            <w:r w:rsidRPr="003D1614">
              <w:rPr>
                <w:rFonts w:ascii="Arial" w:eastAsia="Calibri" w:hAnsi="Arial" w:cs="Arial"/>
                <w:color w:val="000000" w:themeColor="text1"/>
                <w:sz w:val="18"/>
                <w:szCs w:val="18"/>
              </w:rPr>
              <w:t xml:space="preserve">. </w:t>
            </w:r>
          </w:p>
        </w:tc>
        <w:tc>
          <w:tcPr>
            <w:tcW w:w="1134" w:type="dxa"/>
            <w:tcBorders>
              <w:left w:val="nil"/>
              <w:right w:val="nil"/>
            </w:tcBorders>
            <w:shd w:val="clear" w:color="auto" w:fill="auto"/>
            <w:vAlign w:val="bottom"/>
          </w:tcPr>
          <w:p w14:paraId="69811D9F" w14:textId="0D7B4C36" w:rsidR="007B5CF7" w:rsidRPr="007D38EA" w:rsidRDefault="007B5CF7" w:rsidP="007B5CF7">
            <w:pPr>
              <w:suppressAutoHyphens/>
              <w:autoSpaceDN w:val="0"/>
              <w:jc w:val="right"/>
              <w:rPr>
                <w:rFonts w:ascii="Arial" w:eastAsia="Times New Roman" w:hAnsi="Arial" w:cs="Arial"/>
                <w:color w:val="000000"/>
                <w:sz w:val="18"/>
                <w:szCs w:val="18"/>
              </w:rPr>
            </w:pPr>
            <w:r w:rsidRPr="007D38EA">
              <w:rPr>
                <w:rFonts w:ascii="Arial" w:hAnsi="Arial" w:cs="Arial"/>
                <w:sz w:val="18"/>
                <w:szCs w:val="18"/>
              </w:rPr>
              <w:t xml:space="preserve"> 223 </w:t>
            </w:r>
          </w:p>
        </w:tc>
        <w:tc>
          <w:tcPr>
            <w:tcW w:w="1134" w:type="dxa"/>
            <w:tcBorders>
              <w:left w:val="nil"/>
              <w:right w:val="nil"/>
            </w:tcBorders>
            <w:shd w:val="clear" w:color="auto" w:fill="auto"/>
            <w:vAlign w:val="bottom"/>
          </w:tcPr>
          <w:p w14:paraId="195A40CB" w14:textId="4E277C99" w:rsidR="007B5CF7" w:rsidRPr="007D38EA" w:rsidRDefault="007B5CF7" w:rsidP="007B5CF7">
            <w:pPr>
              <w:suppressAutoHyphens/>
              <w:autoSpaceDN w:val="0"/>
              <w:jc w:val="right"/>
              <w:rPr>
                <w:rFonts w:ascii="Arial" w:eastAsia="Times New Roman" w:hAnsi="Arial" w:cs="Arial"/>
                <w:color w:val="000000"/>
                <w:sz w:val="18"/>
                <w:szCs w:val="18"/>
              </w:rPr>
            </w:pPr>
            <w:r w:rsidRPr="007D38EA">
              <w:rPr>
                <w:rFonts w:ascii="Arial" w:hAnsi="Arial" w:cs="Arial"/>
                <w:sz w:val="18"/>
                <w:szCs w:val="18"/>
              </w:rPr>
              <w:t xml:space="preserve"> - </w:t>
            </w:r>
          </w:p>
        </w:tc>
        <w:tc>
          <w:tcPr>
            <w:tcW w:w="1134" w:type="dxa"/>
            <w:tcBorders>
              <w:left w:val="nil"/>
              <w:right w:val="nil"/>
            </w:tcBorders>
            <w:shd w:val="clear" w:color="auto" w:fill="auto"/>
            <w:vAlign w:val="bottom"/>
          </w:tcPr>
          <w:p w14:paraId="36747208" w14:textId="5BE3D046" w:rsidR="007B5CF7" w:rsidRPr="007D38EA" w:rsidRDefault="007B5CF7" w:rsidP="007B5CF7">
            <w:pPr>
              <w:suppressAutoHyphens/>
              <w:autoSpaceDN w:val="0"/>
              <w:jc w:val="right"/>
              <w:rPr>
                <w:rFonts w:ascii="Arial" w:eastAsia="Times New Roman" w:hAnsi="Arial" w:cs="Arial"/>
                <w:color w:val="000000"/>
                <w:sz w:val="18"/>
                <w:szCs w:val="18"/>
              </w:rPr>
            </w:pPr>
            <w:r w:rsidRPr="007D38EA">
              <w:rPr>
                <w:rFonts w:ascii="Arial" w:hAnsi="Arial" w:cs="Arial"/>
                <w:sz w:val="18"/>
                <w:szCs w:val="18"/>
              </w:rPr>
              <w:t xml:space="preserve"> 231 </w:t>
            </w:r>
          </w:p>
        </w:tc>
        <w:tc>
          <w:tcPr>
            <w:tcW w:w="992" w:type="dxa"/>
            <w:tcBorders>
              <w:left w:val="nil"/>
              <w:right w:val="nil"/>
            </w:tcBorders>
            <w:shd w:val="clear" w:color="auto" w:fill="auto"/>
            <w:vAlign w:val="bottom"/>
          </w:tcPr>
          <w:p w14:paraId="2C475EEB" w14:textId="4DB9ED56" w:rsidR="007B5CF7" w:rsidRPr="007D38EA" w:rsidRDefault="007B5CF7" w:rsidP="007B5CF7">
            <w:pPr>
              <w:suppressAutoHyphens/>
              <w:autoSpaceDN w:val="0"/>
              <w:jc w:val="right"/>
              <w:rPr>
                <w:rFonts w:ascii="Arial" w:eastAsia="Times New Roman" w:hAnsi="Arial" w:cs="Arial"/>
                <w:color w:val="000000"/>
                <w:sz w:val="18"/>
                <w:szCs w:val="18"/>
              </w:rPr>
            </w:pPr>
            <w:r w:rsidRPr="007D38EA">
              <w:rPr>
                <w:rFonts w:ascii="Arial" w:hAnsi="Arial" w:cs="Arial"/>
                <w:sz w:val="18"/>
                <w:szCs w:val="18"/>
              </w:rPr>
              <w:t xml:space="preserve"> - </w:t>
            </w:r>
          </w:p>
        </w:tc>
        <w:tc>
          <w:tcPr>
            <w:tcW w:w="1134" w:type="dxa"/>
            <w:tcBorders>
              <w:left w:val="nil"/>
              <w:right w:val="nil"/>
            </w:tcBorders>
            <w:shd w:val="clear" w:color="auto" w:fill="auto"/>
            <w:vAlign w:val="bottom"/>
          </w:tcPr>
          <w:p w14:paraId="4911382F" w14:textId="70D2E943" w:rsidR="007B5CF7" w:rsidRPr="007D38EA" w:rsidRDefault="007B5CF7" w:rsidP="007B5CF7">
            <w:pPr>
              <w:suppressAutoHyphens/>
              <w:autoSpaceDN w:val="0"/>
              <w:jc w:val="right"/>
              <w:rPr>
                <w:rFonts w:ascii="Arial" w:eastAsia="Times New Roman" w:hAnsi="Arial" w:cs="Arial"/>
                <w:color w:val="000000"/>
                <w:sz w:val="18"/>
                <w:szCs w:val="18"/>
              </w:rPr>
            </w:pPr>
            <w:r w:rsidRPr="007D38EA">
              <w:rPr>
                <w:rFonts w:ascii="Arial" w:hAnsi="Arial" w:cs="Arial"/>
                <w:b/>
                <w:bCs/>
                <w:sz w:val="18"/>
                <w:szCs w:val="18"/>
              </w:rPr>
              <w:t xml:space="preserve"> 454 </w:t>
            </w:r>
          </w:p>
        </w:tc>
      </w:tr>
      <w:tr w:rsidR="007B5CF7" w:rsidRPr="003D1614" w14:paraId="60F1B8C1" w14:textId="77777777" w:rsidTr="001541F1">
        <w:trPr>
          <w:trHeight w:val="172"/>
        </w:trPr>
        <w:tc>
          <w:tcPr>
            <w:tcW w:w="4008" w:type="dxa"/>
            <w:shd w:val="clear" w:color="auto" w:fill="auto"/>
            <w:vAlign w:val="bottom"/>
          </w:tcPr>
          <w:p w14:paraId="42F924DA" w14:textId="77777777" w:rsidR="007B5CF7" w:rsidRPr="003D1614" w:rsidRDefault="007B5CF7" w:rsidP="007B5CF7">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1</w:t>
            </w:r>
          </w:p>
        </w:tc>
        <w:tc>
          <w:tcPr>
            <w:tcW w:w="1134" w:type="dxa"/>
            <w:shd w:val="clear" w:color="auto" w:fill="auto"/>
            <w:vAlign w:val="bottom"/>
          </w:tcPr>
          <w:p w14:paraId="6B07924A" w14:textId="6821F3E6" w:rsidR="007B5CF7" w:rsidRPr="007D38EA" w:rsidRDefault="007D38EA" w:rsidP="007B5CF7">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1134" w:type="dxa"/>
            <w:shd w:val="clear" w:color="auto" w:fill="auto"/>
            <w:vAlign w:val="bottom"/>
          </w:tcPr>
          <w:p w14:paraId="1C840B95" w14:textId="7996A7AD" w:rsidR="007B5CF7" w:rsidRPr="007D38EA" w:rsidRDefault="007D38EA" w:rsidP="007B5CF7">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1134" w:type="dxa"/>
            <w:shd w:val="clear" w:color="auto" w:fill="auto"/>
            <w:vAlign w:val="bottom"/>
          </w:tcPr>
          <w:p w14:paraId="10BD1FC9" w14:textId="23AB91FC" w:rsidR="007B5CF7" w:rsidRPr="007D38EA" w:rsidRDefault="007D38EA" w:rsidP="007B5CF7">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992" w:type="dxa"/>
            <w:shd w:val="clear" w:color="auto" w:fill="auto"/>
            <w:vAlign w:val="bottom"/>
          </w:tcPr>
          <w:p w14:paraId="42790E87" w14:textId="080C2706" w:rsidR="007B5CF7" w:rsidRPr="007D38EA" w:rsidRDefault="007D38EA" w:rsidP="007B5CF7">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1134" w:type="dxa"/>
            <w:shd w:val="clear" w:color="auto" w:fill="auto"/>
            <w:vAlign w:val="bottom"/>
          </w:tcPr>
          <w:p w14:paraId="392F26D6" w14:textId="5541C6AD" w:rsidR="007B5CF7" w:rsidRPr="007D38EA" w:rsidRDefault="007D38EA" w:rsidP="007B5CF7">
            <w:pPr>
              <w:suppressAutoHyphens/>
              <w:autoSpaceDN w:val="0"/>
              <w:jc w:val="right"/>
              <w:rPr>
                <w:rFonts w:ascii="Arial" w:eastAsia="Times New Roman" w:hAnsi="Arial" w:cs="Arial"/>
                <w:b/>
                <w:bCs/>
                <w:color w:val="000000"/>
                <w:sz w:val="18"/>
                <w:szCs w:val="18"/>
              </w:rPr>
            </w:pPr>
            <w:r w:rsidRPr="007D38EA">
              <w:rPr>
                <w:rFonts w:ascii="Arial" w:eastAsia="Times New Roman" w:hAnsi="Arial" w:cs="Arial"/>
                <w:b/>
                <w:bCs/>
                <w:color w:val="000000"/>
                <w:sz w:val="18"/>
                <w:szCs w:val="18"/>
              </w:rPr>
              <w:t>-</w:t>
            </w:r>
          </w:p>
        </w:tc>
      </w:tr>
      <w:tr w:rsidR="007B5CF7" w:rsidRPr="003D1614" w14:paraId="53DCF3A0" w14:textId="77777777" w:rsidTr="001541F1">
        <w:trPr>
          <w:trHeight w:val="172"/>
        </w:trPr>
        <w:tc>
          <w:tcPr>
            <w:tcW w:w="4008" w:type="dxa"/>
            <w:shd w:val="clear" w:color="auto" w:fill="auto"/>
            <w:vAlign w:val="bottom"/>
          </w:tcPr>
          <w:p w14:paraId="3449BC39" w14:textId="77777777" w:rsidR="007B5CF7" w:rsidRPr="003D1614" w:rsidRDefault="007B5CF7" w:rsidP="007B5CF7">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2</w:t>
            </w:r>
          </w:p>
        </w:tc>
        <w:tc>
          <w:tcPr>
            <w:tcW w:w="1134" w:type="dxa"/>
            <w:shd w:val="clear" w:color="auto" w:fill="auto"/>
            <w:vAlign w:val="bottom"/>
          </w:tcPr>
          <w:p w14:paraId="0BC6B711" w14:textId="576FCF36" w:rsidR="007B5CF7" w:rsidRPr="007D38EA" w:rsidRDefault="007D38EA" w:rsidP="007B5CF7">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1134" w:type="dxa"/>
            <w:shd w:val="clear" w:color="auto" w:fill="auto"/>
            <w:vAlign w:val="bottom"/>
          </w:tcPr>
          <w:p w14:paraId="6169D147" w14:textId="776D27D3" w:rsidR="007B5CF7" w:rsidRPr="007D38EA" w:rsidRDefault="007D38EA" w:rsidP="007B5CF7">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1134" w:type="dxa"/>
            <w:shd w:val="clear" w:color="auto" w:fill="auto"/>
            <w:vAlign w:val="bottom"/>
          </w:tcPr>
          <w:p w14:paraId="338E8349" w14:textId="319DC85B" w:rsidR="007B5CF7" w:rsidRPr="007D38EA" w:rsidRDefault="007D38EA" w:rsidP="007B5CF7">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992" w:type="dxa"/>
            <w:shd w:val="clear" w:color="auto" w:fill="auto"/>
            <w:vAlign w:val="bottom"/>
          </w:tcPr>
          <w:p w14:paraId="7D4F4FF9" w14:textId="0D1C2AE5" w:rsidR="007B5CF7" w:rsidRPr="007D38EA" w:rsidRDefault="007D38EA" w:rsidP="007B5CF7">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1134" w:type="dxa"/>
            <w:shd w:val="clear" w:color="auto" w:fill="auto"/>
            <w:vAlign w:val="bottom"/>
          </w:tcPr>
          <w:p w14:paraId="66BBF618" w14:textId="0CA652E2" w:rsidR="007B5CF7" w:rsidRPr="007D38EA" w:rsidRDefault="007D38EA" w:rsidP="007B5CF7">
            <w:pPr>
              <w:suppressAutoHyphens/>
              <w:autoSpaceDN w:val="0"/>
              <w:jc w:val="right"/>
              <w:rPr>
                <w:rFonts w:ascii="Arial" w:eastAsia="Times New Roman" w:hAnsi="Arial" w:cs="Arial"/>
                <w:b/>
                <w:bCs/>
                <w:color w:val="000000"/>
                <w:sz w:val="18"/>
                <w:szCs w:val="18"/>
              </w:rPr>
            </w:pPr>
            <w:r w:rsidRPr="007D38EA">
              <w:rPr>
                <w:rFonts w:ascii="Arial" w:eastAsia="Times New Roman" w:hAnsi="Arial" w:cs="Arial"/>
                <w:b/>
                <w:bCs/>
                <w:color w:val="000000"/>
                <w:sz w:val="18"/>
                <w:szCs w:val="18"/>
              </w:rPr>
              <w:t>-</w:t>
            </w:r>
          </w:p>
        </w:tc>
      </w:tr>
      <w:tr w:rsidR="007B5CF7" w:rsidRPr="003D1614" w14:paraId="46918A26" w14:textId="77777777" w:rsidTr="001541F1">
        <w:trPr>
          <w:trHeight w:val="172"/>
        </w:trPr>
        <w:tc>
          <w:tcPr>
            <w:tcW w:w="4008" w:type="dxa"/>
            <w:shd w:val="clear" w:color="auto" w:fill="auto"/>
            <w:vAlign w:val="bottom"/>
            <w:hideMark/>
          </w:tcPr>
          <w:p w14:paraId="5E7B1318" w14:textId="77777777" w:rsidR="007B5CF7" w:rsidRPr="003D1614" w:rsidRDefault="007B5CF7" w:rsidP="007B5CF7">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3</w:t>
            </w:r>
          </w:p>
        </w:tc>
        <w:tc>
          <w:tcPr>
            <w:tcW w:w="1134" w:type="dxa"/>
            <w:shd w:val="clear" w:color="auto" w:fill="auto"/>
            <w:vAlign w:val="bottom"/>
          </w:tcPr>
          <w:p w14:paraId="329874FC" w14:textId="63C66AB6" w:rsidR="007B5CF7" w:rsidRPr="007D38EA" w:rsidRDefault="007D38EA" w:rsidP="007B5CF7">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1134" w:type="dxa"/>
            <w:shd w:val="clear" w:color="auto" w:fill="auto"/>
            <w:vAlign w:val="bottom"/>
          </w:tcPr>
          <w:p w14:paraId="1DCCA54A" w14:textId="4DF8B450" w:rsidR="007B5CF7" w:rsidRPr="007D38EA" w:rsidRDefault="007D38EA" w:rsidP="007B5CF7">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1134" w:type="dxa"/>
            <w:shd w:val="clear" w:color="auto" w:fill="auto"/>
            <w:vAlign w:val="bottom"/>
          </w:tcPr>
          <w:p w14:paraId="4EEDD522" w14:textId="592A45FD" w:rsidR="007B5CF7" w:rsidRPr="007D38EA" w:rsidRDefault="007D38EA" w:rsidP="007B5CF7">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992" w:type="dxa"/>
            <w:shd w:val="clear" w:color="auto" w:fill="auto"/>
            <w:vAlign w:val="bottom"/>
          </w:tcPr>
          <w:p w14:paraId="15165D9C" w14:textId="45CBEE73" w:rsidR="007B5CF7" w:rsidRPr="007D38EA" w:rsidRDefault="007D38EA" w:rsidP="007B5CF7">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1134" w:type="dxa"/>
            <w:shd w:val="clear" w:color="auto" w:fill="auto"/>
            <w:vAlign w:val="bottom"/>
          </w:tcPr>
          <w:p w14:paraId="1611DE80" w14:textId="3B878F10" w:rsidR="007B5CF7" w:rsidRPr="007D38EA" w:rsidRDefault="007D38EA" w:rsidP="007B5CF7">
            <w:pPr>
              <w:suppressAutoHyphens/>
              <w:autoSpaceDN w:val="0"/>
              <w:jc w:val="right"/>
              <w:rPr>
                <w:rFonts w:ascii="Arial" w:eastAsia="Times New Roman" w:hAnsi="Arial" w:cs="Arial"/>
                <w:b/>
                <w:bCs/>
                <w:color w:val="000000"/>
                <w:sz w:val="18"/>
                <w:szCs w:val="18"/>
              </w:rPr>
            </w:pPr>
            <w:r w:rsidRPr="007D38EA">
              <w:rPr>
                <w:rFonts w:ascii="Arial" w:eastAsia="Times New Roman" w:hAnsi="Arial" w:cs="Arial"/>
                <w:b/>
                <w:bCs/>
                <w:color w:val="000000"/>
                <w:sz w:val="18"/>
                <w:szCs w:val="18"/>
              </w:rPr>
              <w:t>-</w:t>
            </w:r>
          </w:p>
        </w:tc>
      </w:tr>
      <w:tr w:rsidR="00D85CB2" w:rsidRPr="003D1614" w14:paraId="5313CDDC" w14:textId="77777777" w:rsidTr="001541F1">
        <w:trPr>
          <w:trHeight w:val="214"/>
        </w:trPr>
        <w:tc>
          <w:tcPr>
            <w:tcW w:w="4008" w:type="dxa"/>
            <w:tcBorders>
              <w:top w:val="nil"/>
              <w:left w:val="nil"/>
              <w:bottom w:val="nil"/>
              <w:right w:val="nil"/>
            </w:tcBorders>
            <w:shd w:val="clear" w:color="auto" w:fill="auto"/>
            <w:vAlign w:val="bottom"/>
            <w:hideMark/>
          </w:tcPr>
          <w:p w14:paraId="586DAFBE" w14:textId="098DA863" w:rsidR="00D85CB2" w:rsidRPr="003D1614" w:rsidRDefault="00D85CB2" w:rsidP="00D85CB2">
            <w:pPr>
              <w:suppressAutoHyphens/>
              <w:autoSpaceDN w:val="0"/>
              <w:rPr>
                <w:rFonts w:ascii="Arial" w:eastAsia="Calibri" w:hAnsi="Arial" w:cs="Arial"/>
                <w:color w:val="000000" w:themeColor="text1"/>
                <w:sz w:val="18"/>
                <w:szCs w:val="18"/>
              </w:rPr>
            </w:pPr>
            <w:r w:rsidRPr="00E870E5">
              <w:rPr>
                <w:rFonts w:ascii="Arial" w:eastAsia="Calibri" w:hAnsi="Arial" w:cs="Arial"/>
                <w:color w:val="000000" w:themeColor="text1"/>
                <w:sz w:val="18"/>
                <w:szCs w:val="18"/>
              </w:rPr>
              <w:t>N</w:t>
            </w:r>
            <w:r w:rsidRPr="00477D7D">
              <w:rPr>
                <w:rFonts w:ascii="Arial" w:eastAsia="Calibri" w:hAnsi="Arial" w:cs="Arial"/>
                <w:color w:val="000000" w:themeColor="text1"/>
                <w:sz w:val="18"/>
                <w:szCs w:val="18"/>
              </w:rPr>
              <w:t xml:space="preserve">eto </w:t>
            </w:r>
            <w:r w:rsidR="00D00A24">
              <w:rPr>
                <w:rFonts w:ascii="Arial" w:eastAsia="Calibri" w:hAnsi="Arial" w:cs="Arial"/>
                <w:color w:val="000000" w:themeColor="text1"/>
                <w:sz w:val="18"/>
                <w:szCs w:val="18"/>
              </w:rPr>
              <w:t>povećanje/</w:t>
            </w:r>
            <w:r w:rsidRPr="00477D7D">
              <w:rPr>
                <w:rFonts w:ascii="Arial" w:eastAsia="Calibri" w:hAnsi="Arial" w:cs="Arial"/>
                <w:color w:val="000000" w:themeColor="text1"/>
                <w:sz w:val="18"/>
                <w:szCs w:val="18"/>
              </w:rPr>
              <w:t>(smanjenje)</w:t>
            </w:r>
            <w:r w:rsidRPr="00E870E5">
              <w:rPr>
                <w:rFonts w:ascii="Arial" w:eastAsia="Calibri" w:hAnsi="Arial" w:cs="Arial"/>
                <w:color w:val="000000" w:themeColor="text1"/>
                <w:sz w:val="18"/>
                <w:szCs w:val="18"/>
              </w:rPr>
              <w:t xml:space="preserve"> rezerviranja za</w:t>
            </w:r>
            <w:r w:rsidRPr="003D1614">
              <w:rPr>
                <w:rFonts w:ascii="Arial" w:eastAsia="Calibri" w:hAnsi="Arial" w:cs="Arial"/>
                <w:color w:val="000000" w:themeColor="text1"/>
                <w:sz w:val="18"/>
                <w:szCs w:val="18"/>
              </w:rPr>
              <w:t xml:space="preserve"> očekivane gubitke </w:t>
            </w:r>
          </w:p>
        </w:tc>
        <w:tc>
          <w:tcPr>
            <w:tcW w:w="1134" w:type="dxa"/>
            <w:tcBorders>
              <w:top w:val="nil"/>
              <w:left w:val="nil"/>
              <w:bottom w:val="nil"/>
              <w:right w:val="nil"/>
            </w:tcBorders>
            <w:shd w:val="clear" w:color="auto" w:fill="auto"/>
            <w:vAlign w:val="bottom"/>
          </w:tcPr>
          <w:p w14:paraId="02FBE0FF" w14:textId="37E71634" w:rsidR="00D85CB2" w:rsidRPr="007D38EA" w:rsidRDefault="00D85CB2" w:rsidP="00D85CB2">
            <w:pPr>
              <w:suppressAutoHyphens/>
              <w:autoSpaceDN w:val="0"/>
              <w:jc w:val="right"/>
              <w:rPr>
                <w:rFonts w:ascii="Arial" w:eastAsia="Times New Roman" w:hAnsi="Arial" w:cs="Arial"/>
                <w:color w:val="000000"/>
                <w:sz w:val="18"/>
                <w:szCs w:val="18"/>
              </w:rPr>
            </w:pPr>
            <w:r w:rsidRPr="007D38EA">
              <w:rPr>
                <w:rFonts w:ascii="Arial" w:hAnsi="Arial" w:cs="Arial"/>
                <w:sz w:val="18"/>
                <w:szCs w:val="18"/>
              </w:rPr>
              <w:t xml:space="preserve"> 16 </w:t>
            </w:r>
          </w:p>
        </w:tc>
        <w:tc>
          <w:tcPr>
            <w:tcW w:w="1134" w:type="dxa"/>
            <w:tcBorders>
              <w:top w:val="nil"/>
              <w:left w:val="nil"/>
              <w:bottom w:val="nil"/>
              <w:right w:val="nil"/>
            </w:tcBorders>
            <w:shd w:val="clear" w:color="auto" w:fill="auto"/>
            <w:vAlign w:val="bottom"/>
          </w:tcPr>
          <w:p w14:paraId="13F3495E" w14:textId="374B92D9" w:rsidR="00D85CB2" w:rsidRPr="007D38EA" w:rsidRDefault="00D85CB2" w:rsidP="00D85CB2">
            <w:pPr>
              <w:suppressAutoHyphens/>
              <w:autoSpaceDN w:val="0"/>
              <w:jc w:val="right"/>
              <w:rPr>
                <w:rFonts w:ascii="Arial" w:eastAsia="Times New Roman" w:hAnsi="Arial" w:cs="Arial"/>
                <w:color w:val="000000"/>
                <w:sz w:val="18"/>
                <w:szCs w:val="18"/>
              </w:rPr>
            </w:pPr>
            <w:r w:rsidRPr="007D38EA">
              <w:rPr>
                <w:rFonts w:ascii="Arial" w:hAnsi="Arial" w:cs="Arial"/>
                <w:sz w:val="18"/>
                <w:szCs w:val="18"/>
              </w:rPr>
              <w:t xml:space="preserve"> - </w:t>
            </w:r>
          </w:p>
        </w:tc>
        <w:tc>
          <w:tcPr>
            <w:tcW w:w="1134" w:type="dxa"/>
            <w:tcBorders>
              <w:top w:val="nil"/>
              <w:left w:val="nil"/>
              <w:bottom w:val="nil"/>
              <w:right w:val="nil"/>
            </w:tcBorders>
            <w:shd w:val="clear" w:color="auto" w:fill="auto"/>
            <w:vAlign w:val="bottom"/>
          </w:tcPr>
          <w:p w14:paraId="77524D80" w14:textId="694D4D05" w:rsidR="00D85CB2" w:rsidRPr="007D38EA" w:rsidRDefault="00D85CB2" w:rsidP="00D85CB2">
            <w:pPr>
              <w:suppressAutoHyphens/>
              <w:autoSpaceDN w:val="0"/>
              <w:jc w:val="right"/>
              <w:rPr>
                <w:rFonts w:ascii="Arial" w:eastAsia="Times New Roman" w:hAnsi="Arial" w:cs="Arial"/>
                <w:color w:val="000000"/>
                <w:sz w:val="18"/>
                <w:szCs w:val="18"/>
              </w:rPr>
            </w:pPr>
            <w:r w:rsidRPr="007D38EA">
              <w:rPr>
                <w:rFonts w:ascii="Arial" w:hAnsi="Arial" w:cs="Arial"/>
                <w:sz w:val="18"/>
                <w:szCs w:val="18"/>
              </w:rPr>
              <w:t xml:space="preserve"> (35)</w:t>
            </w:r>
          </w:p>
        </w:tc>
        <w:tc>
          <w:tcPr>
            <w:tcW w:w="992" w:type="dxa"/>
            <w:tcBorders>
              <w:top w:val="nil"/>
              <w:left w:val="nil"/>
              <w:bottom w:val="nil"/>
              <w:right w:val="nil"/>
            </w:tcBorders>
            <w:shd w:val="clear" w:color="auto" w:fill="auto"/>
            <w:vAlign w:val="bottom"/>
          </w:tcPr>
          <w:p w14:paraId="2B741ABE" w14:textId="5A88381F" w:rsidR="00D85CB2" w:rsidRPr="007D38EA" w:rsidRDefault="007D38EA" w:rsidP="00D85CB2">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1134" w:type="dxa"/>
            <w:tcBorders>
              <w:top w:val="nil"/>
              <w:left w:val="nil"/>
              <w:bottom w:val="nil"/>
              <w:right w:val="nil"/>
            </w:tcBorders>
            <w:shd w:val="clear" w:color="auto" w:fill="auto"/>
            <w:vAlign w:val="bottom"/>
          </w:tcPr>
          <w:p w14:paraId="2032AC97" w14:textId="5590AFE0" w:rsidR="00D85CB2" w:rsidRPr="007D38EA" w:rsidRDefault="00D85CB2" w:rsidP="00D85CB2">
            <w:pPr>
              <w:suppressAutoHyphens/>
              <w:autoSpaceDN w:val="0"/>
              <w:jc w:val="right"/>
              <w:rPr>
                <w:rFonts w:ascii="Arial" w:eastAsia="Times New Roman" w:hAnsi="Arial" w:cs="Arial"/>
                <w:b/>
                <w:bCs/>
                <w:color w:val="000000"/>
                <w:sz w:val="18"/>
                <w:szCs w:val="18"/>
              </w:rPr>
            </w:pPr>
            <w:r w:rsidRPr="007D38EA">
              <w:rPr>
                <w:rFonts w:ascii="Arial" w:hAnsi="Arial" w:cs="Arial"/>
                <w:b/>
                <w:bCs/>
                <w:sz w:val="18"/>
                <w:szCs w:val="18"/>
              </w:rPr>
              <w:t xml:space="preserve"> (19)</w:t>
            </w:r>
          </w:p>
        </w:tc>
      </w:tr>
      <w:tr w:rsidR="007D38EA" w:rsidRPr="003D1614" w14:paraId="07BF6E6B" w14:textId="77777777" w:rsidTr="001541F1">
        <w:trPr>
          <w:trHeight w:val="180"/>
        </w:trPr>
        <w:tc>
          <w:tcPr>
            <w:tcW w:w="4008" w:type="dxa"/>
            <w:tcBorders>
              <w:top w:val="nil"/>
              <w:left w:val="nil"/>
              <w:bottom w:val="nil"/>
              <w:right w:val="nil"/>
            </w:tcBorders>
            <w:shd w:val="clear" w:color="auto" w:fill="auto"/>
            <w:vAlign w:val="bottom"/>
            <w:hideMark/>
          </w:tcPr>
          <w:p w14:paraId="79DBE2A0" w14:textId="3C2358AF" w:rsidR="007D38EA" w:rsidRPr="003D1614" w:rsidRDefault="007D38EA" w:rsidP="007D38EA">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 xml:space="preserve">Stanje </w:t>
            </w:r>
            <w:r w:rsidRPr="00881155">
              <w:rPr>
                <w:rFonts w:ascii="Arial" w:eastAsia="Calibri" w:hAnsi="Arial" w:cs="Arial"/>
                <w:b/>
                <w:bCs/>
                <w:color w:val="000000" w:themeColor="text1"/>
                <w:sz w:val="18"/>
                <w:szCs w:val="18"/>
              </w:rPr>
              <w:t>30. rujna 202</w:t>
            </w:r>
            <w:r>
              <w:rPr>
                <w:rFonts w:ascii="Arial" w:eastAsia="Calibri" w:hAnsi="Arial" w:cs="Arial"/>
                <w:b/>
                <w:bCs/>
                <w:color w:val="000000" w:themeColor="text1"/>
                <w:sz w:val="18"/>
                <w:szCs w:val="18"/>
              </w:rPr>
              <w:t>4</w:t>
            </w:r>
            <w:r w:rsidRPr="00881155">
              <w:rPr>
                <w:rFonts w:ascii="Arial" w:eastAsia="Calibri" w:hAnsi="Arial" w:cs="Arial"/>
                <w:b/>
                <w:bCs/>
                <w:color w:val="000000" w:themeColor="text1"/>
                <w:sz w:val="18"/>
                <w:szCs w:val="18"/>
              </w:rPr>
              <w:t>.</w:t>
            </w:r>
          </w:p>
        </w:tc>
        <w:tc>
          <w:tcPr>
            <w:tcW w:w="1134" w:type="dxa"/>
            <w:tcBorders>
              <w:top w:val="single" w:sz="4" w:space="0" w:color="auto"/>
              <w:left w:val="nil"/>
              <w:bottom w:val="single" w:sz="12" w:space="0" w:color="auto"/>
              <w:right w:val="nil"/>
            </w:tcBorders>
            <w:shd w:val="clear" w:color="auto" w:fill="auto"/>
            <w:vAlign w:val="bottom"/>
          </w:tcPr>
          <w:p w14:paraId="03920A5E" w14:textId="01609418" w:rsidR="007D38EA" w:rsidRPr="007D38EA" w:rsidRDefault="007D38EA" w:rsidP="007D38EA">
            <w:pPr>
              <w:suppressAutoHyphens/>
              <w:autoSpaceDN w:val="0"/>
              <w:jc w:val="right"/>
              <w:rPr>
                <w:rFonts w:ascii="Arial" w:eastAsia="Times New Roman" w:hAnsi="Arial" w:cs="Arial"/>
                <w:b/>
                <w:bCs/>
                <w:color w:val="000000"/>
                <w:sz w:val="18"/>
                <w:szCs w:val="18"/>
              </w:rPr>
            </w:pPr>
            <w:r w:rsidRPr="007D38EA">
              <w:rPr>
                <w:rFonts w:ascii="Arial" w:hAnsi="Arial" w:cs="Arial"/>
                <w:b/>
                <w:bCs/>
                <w:sz w:val="18"/>
                <w:szCs w:val="18"/>
              </w:rPr>
              <w:t xml:space="preserve"> 239 </w:t>
            </w:r>
          </w:p>
        </w:tc>
        <w:tc>
          <w:tcPr>
            <w:tcW w:w="1134" w:type="dxa"/>
            <w:tcBorders>
              <w:top w:val="single" w:sz="4" w:space="0" w:color="auto"/>
              <w:left w:val="nil"/>
              <w:bottom w:val="single" w:sz="12" w:space="0" w:color="auto"/>
              <w:right w:val="nil"/>
            </w:tcBorders>
            <w:shd w:val="clear" w:color="auto" w:fill="auto"/>
            <w:vAlign w:val="bottom"/>
          </w:tcPr>
          <w:p w14:paraId="14A45D8A" w14:textId="711E0721" w:rsidR="007D38EA" w:rsidRPr="007D38EA" w:rsidRDefault="007D38EA" w:rsidP="007D38EA">
            <w:pPr>
              <w:suppressAutoHyphens/>
              <w:autoSpaceDN w:val="0"/>
              <w:jc w:val="right"/>
              <w:rPr>
                <w:rFonts w:ascii="Arial" w:eastAsia="Times New Roman" w:hAnsi="Arial" w:cs="Arial"/>
                <w:b/>
                <w:bCs/>
                <w:color w:val="000000"/>
                <w:sz w:val="18"/>
                <w:szCs w:val="18"/>
              </w:rPr>
            </w:pPr>
            <w:r w:rsidRPr="007D38EA">
              <w:rPr>
                <w:rFonts w:ascii="Arial" w:hAnsi="Arial" w:cs="Arial"/>
                <w:b/>
                <w:bCs/>
                <w:sz w:val="18"/>
                <w:szCs w:val="18"/>
              </w:rPr>
              <w:t xml:space="preserve"> - </w:t>
            </w:r>
          </w:p>
        </w:tc>
        <w:tc>
          <w:tcPr>
            <w:tcW w:w="1134" w:type="dxa"/>
            <w:tcBorders>
              <w:top w:val="single" w:sz="4" w:space="0" w:color="auto"/>
              <w:left w:val="nil"/>
              <w:bottom w:val="single" w:sz="12" w:space="0" w:color="auto"/>
              <w:right w:val="nil"/>
            </w:tcBorders>
            <w:shd w:val="clear" w:color="auto" w:fill="auto"/>
            <w:vAlign w:val="bottom"/>
          </w:tcPr>
          <w:p w14:paraId="00A5431D" w14:textId="2804667C" w:rsidR="007D38EA" w:rsidRPr="007D38EA" w:rsidRDefault="007D38EA" w:rsidP="007D38EA">
            <w:pPr>
              <w:suppressAutoHyphens/>
              <w:autoSpaceDN w:val="0"/>
              <w:jc w:val="right"/>
              <w:rPr>
                <w:rFonts w:ascii="Arial" w:eastAsia="Times New Roman" w:hAnsi="Arial" w:cs="Arial"/>
                <w:b/>
                <w:bCs/>
                <w:color w:val="000000"/>
                <w:sz w:val="18"/>
                <w:szCs w:val="18"/>
              </w:rPr>
            </w:pPr>
            <w:r w:rsidRPr="007D38EA">
              <w:rPr>
                <w:rFonts w:ascii="Arial" w:hAnsi="Arial" w:cs="Arial"/>
                <w:b/>
                <w:bCs/>
                <w:sz w:val="18"/>
                <w:szCs w:val="18"/>
              </w:rPr>
              <w:t xml:space="preserve"> 196 </w:t>
            </w:r>
          </w:p>
        </w:tc>
        <w:tc>
          <w:tcPr>
            <w:tcW w:w="992" w:type="dxa"/>
            <w:tcBorders>
              <w:top w:val="single" w:sz="4" w:space="0" w:color="auto"/>
              <w:left w:val="nil"/>
              <w:bottom w:val="single" w:sz="12" w:space="0" w:color="auto"/>
              <w:right w:val="nil"/>
            </w:tcBorders>
            <w:shd w:val="clear" w:color="auto" w:fill="auto"/>
            <w:vAlign w:val="bottom"/>
          </w:tcPr>
          <w:p w14:paraId="5F0C6A0D" w14:textId="4BDC6043" w:rsidR="007D38EA" w:rsidRPr="007D38EA" w:rsidRDefault="007D38EA" w:rsidP="007D38EA">
            <w:pPr>
              <w:suppressAutoHyphens/>
              <w:autoSpaceDN w:val="0"/>
              <w:jc w:val="right"/>
              <w:rPr>
                <w:rFonts w:ascii="Arial" w:eastAsia="Times New Roman" w:hAnsi="Arial" w:cs="Arial"/>
                <w:b/>
                <w:bCs/>
                <w:color w:val="000000"/>
                <w:sz w:val="18"/>
                <w:szCs w:val="18"/>
              </w:rPr>
            </w:pPr>
            <w:r w:rsidRPr="007D38EA">
              <w:rPr>
                <w:rFonts w:ascii="Arial" w:hAnsi="Arial" w:cs="Arial"/>
                <w:b/>
                <w:bCs/>
                <w:sz w:val="18"/>
                <w:szCs w:val="18"/>
              </w:rPr>
              <w:t xml:space="preserve"> - </w:t>
            </w:r>
          </w:p>
        </w:tc>
        <w:tc>
          <w:tcPr>
            <w:tcW w:w="1134" w:type="dxa"/>
            <w:tcBorders>
              <w:top w:val="single" w:sz="4" w:space="0" w:color="auto"/>
              <w:left w:val="nil"/>
              <w:bottom w:val="single" w:sz="12" w:space="0" w:color="auto"/>
              <w:right w:val="nil"/>
            </w:tcBorders>
            <w:shd w:val="clear" w:color="auto" w:fill="auto"/>
            <w:vAlign w:val="bottom"/>
          </w:tcPr>
          <w:p w14:paraId="7A4D6F9A" w14:textId="6065D38A" w:rsidR="007D38EA" w:rsidRPr="007D38EA" w:rsidRDefault="007D38EA" w:rsidP="007D38EA">
            <w:pPr>
              <w:suppressAutoHyphens/>
              <w:autoSpaceDN w:val="0"/>
              <w:jc w:val="right"/>
              <w:rPr>
                <w:rFonts w:ascii="Arial" w:eastAsia="Times New Roman" w:hAnsi="Arial" w:cs="Arial"/>
                <w:b/>
                <w:bCs/>
                <w:color w:val="000000"/>
                <w:sz w:val="18"/>
                <w:szCs w:val="18"/>
              </w:rPr>
            </w:pPr>
            <w:r w:rsidRPr="007D38EA">
              <w:rPr>
                <w:rFonts w:ascii="Arial" w:hAnsi="Arial" w:cs="Arial"/>
                <w:b/>
                <w:bCs/>
                <w:sz w:val="18"/>
                <w:szCs w:val="18"/>
              </w:rPr>
              <w:t xml:space="preserve"> 435 </w:t>
            </w:r>
          </w:p>
        </w:tc>
      </w:tr>
      <w:bookmarkEnd w:id="748"/>
    </w:tbl>
    <w:p w14:paraId="55FBC1EE" w14:textId="77777777" w:rsidR="00D92646" w:rsidRDefault="00D92646" w:rsidP="00D92646">
      <w:pPr>
        <w:suppressAutoHyphens/>
        <w:autoSpaceDN w:val="0"/>
        <w:rPr>
          <w:rFonts w:ascii="Arial" w:eastAsia="Calibri" w:hAnsi="Arial" w:cs="Arial"/>
          <w:color w:val="000000" w:themeColor="text1"/>
          <w:sz w:val="20"/>
          <w:szCs w:val="20"/>
        </w:rPr>
      </w:pPr>
    </w:p>
    <w:p w14:paraId="2FE306E3" w14:textId="77777777" w:rsidR="000B7803" w:rsidRPr="003D1614" w:rsidRDefault="000B7803" w:rsidP="00D92646">
      <w:pPr>
        <w:suppressAutoHyphens/>
        <w:autoSpaceDN w:val="0"/>
        <w:rPr>
          <w:rFonts w:ascii="Arial" w:eastAsia="Calibri" w:hAnsi="Arial" w:cs="Arial"/>
          <w:color w:val="000000" w:themeColor="text1"/>
          <w:sz w:val="20"/>
          <w:szCs w:val="20"/>
        </w:rPr>
      </w:pPr>
    </w:p>
    <w:p w14:paraId="629FA5E9" w14:textId="240C58FA" w:rsidR="00D92646" w:rsidRPr="003D1614" w:rsidRDefault="00D92646" w:rsidP="001A0FCB">
      <w:pPr>
        <w:suppressAutoHyphens/>
        <w:autoSpaceDN w:val="0"/>
        <w:jc w:val="both"/>
        <w:rPr>
          <w:rFonts w:ascii="Arial" w:eastAsia="Times New Roman" w:hAnsi="Arial" w:cs="Arial"/>
          <w:color w:val="000000" w:themeColor="text1"/>
          <w:sz w:val="20"/>
          <w:szCs w:val="20"/>
        </w:rPr>
      </w:pPr>
    </w:p>
    <w:tbl>
      <w:tblPr>
        <w:tblW w:w="9493" w:type="dxa"/>
        <w:tblInd w:w="-180" w:type="dxa"/>
        <w:tblLook w:val="04A0" w:firstRow="1" w:lastRow="0" w:firstColumn="1" w:lastColumn="0" w:noHBand="0" w:noVBand="1"/>
      </w:tblPr>
      <w:tblGrid>
        <w:gridCol w:w="3947"/>
        <w:gridCol w:w="1198"/>
        <w:gridCol w:w="1077"/>
        <w:gridCol w:w="1077"/>
        <w:gridCol w:w="996"/>
        <w:gridCol w:w="1198"/>
      </w:tblGrid>
      <w:tr w:rsidR="000B7803" w:rsidRPr="001B015B" w14:paraId="75C7577D" w14:textId="77777777" w:rsidTr="0034622E">
        <w:trPr>
          <w:trHeight w:val="172"/>
        </w:trPr>
        <w:tc>
          <w:tcPr>
            <w:tcW w:w="3947" w:type="dxa"/>
            <w:tcBorders>
              <w:top w:val="nil"/>
              <w:left w:val="nil"/>
              <w:bottom w:val="nil"/>
              <w:right w:val="nil"/>
            </w:tcBorders>
            <w:shd w:val="clear" w:color="auto" w:fill="auto"/>
            <w:vAlign w:val="center"/>
          </w:tcPr>
          <w:p w14:paraId="56EF68E2" w14:textId="77777777" w:rsidR="000B7803" w:rsidRPr="001B015B" w:rsidRDefault="000B7803" w:rsidP="0034622E">
            <w:pPr>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 xml:space="preserve">Grupa </w:t>
            </w:r>
          </w:p>
        </w:tc>
        <w:tc>
          <w:tcPr>
            <w:tcW w:w="1198" w:type="dxa"/>
            <w:tcBorders>
              <w:top w:val="nil"/>
              <w:left w:val="nil"/>
              <w:bottom w:val="nil"/>
              <w:right w:val="nil"/>
            </w:tcBorders>
            <w:shd w:val="clear" w:color="auto" w:fill="auto"/>
            <w:vAlign w:val="center"/>
          </w:tcPr>
          <w:p w14:paraId="39977FA4" w14:textId="77777777" w:rsidR="000B7803" w:rsidRPr="001B015B" w:rsidRDefault="000B7803" w:rsidP="0034622E">
            <w:pPr>
              <w:jc w:val="right"/>
              <w:rPr>
                <w:rFonts w:ascii="Arial" w:eastAsia="Calibri" w:hAnsi="Arial" w:cs="Arial"/>
                <w:b/>
                <w:bCs/>
                <w:color w:val="000000" w:themeColor="text1"/>
                <w:sz w:val="18"/>
                <w:szCs w:val="18"/>
              </w:rPr>
            </w:pPr>
          </w:p>
        </w:tc>
        <w:tc>
          <w:tcPr>
            <w:tcW w:w="1077" w:type="dxa"/>
            <w:tcBorders>
              <w:top w:val="nil"/>
              <w:left w:val="nil"/>
              <w:bottom w:val="nil"/>
              <w:right w:val="nil"/>
            </w:tcBorders>
            <w:shd w:val="clear" w:color="auto" w:fill="auto"/>
            <w:vAlign w:val="center"/>
          </w:tcPr>
          <w:p w14:paraId="040892BE" w14:textId="77777777" w:rsidR="000B7803" w:rsidRPr="001B015B" w:rsidRDefault="000B7803" w:rsidP="0034622E">
            <w:pPr>
              <w:jc w:val="right"/>
              <w:rPr>
                <w:rFonts w:ascii="Arial" w:eastAsia="Calibri" w:hAnsi="Arial" w:cs="Arial"/>
                <w:b/>
                <w:bCs/>
                <w:color w:val="000000" w:themeColor="text1"/>
                <w:sz w:val="18"/>
                <w:szCs w:val="18"/>
              </w:rPr>
            </w:pPr>
          </w:p>
        </w:tc>
        <w:tc>
          <w:tcPr>
            <w:tcW w:w="1077" w:type="dxa"/>
            <w:tcBorders>
              <w:top w:val="nil"/>
              <w:left w:val="nil"/>
              <w:bottom w:val="nil"/>
              <w:right w:val="nil"/>
            </w:tcBorders>
            <w:shd w:val="clear" w:color="auto" w:fill="auto"/>
            <w:vAlign w:val="center"/>
          </w:tcPr>
          <w:p w14:paraId="57F24688" w14:textId="77777777" w:rsidR="000B7803" w:rsidRPr="001B015B" w:rsidRDefault="000B7803" w:rsidP="0034622E">
            <w:pPr>
              <w:jc w:val="right"/>
              <w:rPr>
                <w:rFonts w:ascii="Arial" w:eastAsia="Calibri" w:hAnsi="Arial" w:cs="Arial"/>
                <w:b/>
                <w:bCs/>
                <w:color w:val="000000" w:themeColor="text1"/>
                <w:sz w:val="18"/>
                <w:szCs w:val="18"/>
              </w:rPr>
            </w:pPr>
          </w:p>
        </w:tc>
        <w:tc>
          <w:tcPr>
            <w:tcW w:w="996" w:type="dxa"/>
            <w:tcBorders>
              <w:top w:val="nil"/>
              <w:left w:val="nil"/>
              <w:bottom w:val="nil"/>
              <w:right w:val="nil"/>
            </w:tcBorders>
            <w:shd w:val="clear" w:color="auto" w:fill="auto"/>
            <w:vAlign w:val="center"/>
          </w:tcPr>
          <w:p w14:paraId="0488C280" w14:textId="77777777" w:rsidR="000B7803" w:rsidRPr="001B015B" w:rsidRDefault="000B7803" w:rsidP="0034622E">
            <w:pPr>
              <w:jc w:val="right"/>
              <w:rPr>
                <w:rFonts w:ascii="Arial" w:eastAsia="Calibri" w:hAnsi="Arial" w:cs="Arial"/>
                <w:b/>
                <w:bCs/>
                <w:color w:val="000000" w:themeColor="text1"/>
                <w:sz w:val="18"/>
                <w:szCs w:val="18"/>
              </w:rPr>
            </w:pPr>
          </w:p>
        </w:tc>
        <w:tc>
          <w:tcPr>
            <w:tcW w:w="1198" w:type="dxa"/>
            <w:tcBorders>
              <w:top w:val="nil"/>
              <w:left w:val="nil"/>
              <w:bottom w:val="nil"/>
              <w:right w:val="nil"/>
            </w:tcBorders>
            <w:shd w:val="clear" w:color="auto" w:fill="auto"/>
            <w:vAlign w:val="center"/>
          </w:tcPr>
          <w:p w14:paraId="0D9A5BFB" w14:textId="77777777" w:rsidR="000B7803" w:rsidRPr="001B015B" w:rsidRDefault="000B7803" w:rsidP="0034622E">
            <w:pPr>
              <w:jc w:val="right"/>
              <w:rPr>
                <w:rFonts w:ascii="Arial" w:eastAsia="Calibri" w:hAnsi="Arial" w:cs="Arial"/>
                <w:b/>
                <w:bCs/>
                <w:color w:val="000000" w:themeColor="text1"/>
                <w:sz w:val="18"/>
                <w:szCs w:val="18"/>
              </w:rPr>
            </w:pPr>
          </w:p>
        </w:tc>
      </w:tr>
      <w:tr w:rsidR="000B7803" w:rsidRPr="001B015B" w14:paraId="48AAA6ED" w14:textId="77777777" w:rsidTr="0034622E">
        <w:trPr>
          <w:trHeight w:val="172"/>
        </w:trPr>
        <w:tc>
          <w:tcPr>
            <w:tcW w:w="3947" w:type="dxa"/>
            <w:tcBorders>
              <w:top w:val="nil"/>
              <w:left w:val="nil"/>
              <w:bottom w:val="nil"/>
              <w:right w:val="nil"/>
            </w:tcBorders>
            <w:shd w:val="clear" w:color="auto" w:fill="auto"/>
            <w:vAlign w:val="center"/>
            <w:hideMark/>
          </w:tcPr>
          <w:p w14:paraId="7B745629" w14:textId="77777777" w:rsidR="000B7803" w:rsidRPr="001B015B" w:rsidRDefault="000B7803" w:rsidP="0034622E">
            <w:pPr>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31. prosinca 202</w:t>
            </w:r>
            <w:r>
              <w:rPr>
                <w:rFonts w:ascii="Arial" w:eastAsia="Calibri" w:hAnsi="Arial" w:cs="Arial"/>
                <w:b/>
                <w:bCs/>
                <w:color w:val="000000" w:themeColor="text1"/>
                <w:sz w:val="18"/>
                <w:szCs w:val="18"/>
              </w:rPr>
              <w:t>3</w:t>
            </w:r>
            <w:r w:rsidRPr="001B015B">
              <w:rPr>
                <w:rFonts w:ascii="Arial" w:eastAsia="Calibri" w:hAnsi="Arial" w:cs="Arial"/>
                <w:b/>
                <w:bCs/>
                <w:color w:val="000000" w:themeColor="text1"/>
                <w:sz w:val="18"/>
                <w:szCs w:val="18"/>
              </w:rPr>
              <w:t>.</w:t>
            </w:r>
          </w:p>
        </w:tc>
        <w:tc>
          <w:tcPr>
            <w:tcW w:w="1198" w:type="dxa"/>
            <w:tcBorders>
              <w:top w:val="nil"/>
              <w:left w:val="nil"/>
              <w:bottom w:val="nil"/>
              <w:right w:val="nil"/>
            </w:tcBorders>
            <w:shd w:val="clear" w:color="auto" w:fill="auto"/>
            <w:vAlign w:val="center"/>
            <w:hideMark/>
          </w:tcPr>
          <w:p w14:paraId="391A578F" w14:textId="77777777" w:rsidR="000B7803" w:rsidRPr="001B015B" w:rsidRDefault="000B7803" w:rsidP="0034622E">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Stupanj 1</w:t>
            </w:r>
          </w:p>
        </w:tc>
        <w:tc>
          <w:tcPr>
            <w:tcW w:w="1077" w:type="dxa"/>
            <w:tcBorders>
              <w:top w:val="nil"/>
              <w:left w:val="nil"/>
              <w:bottom w:val="nil"/>
              <w:right w:val="nil"/>
            </w:tcBorders>
            <w:shd w:val="clear" w:color="auto" w:fill="auto"/>
            <w:vAlign w:val="center"/>
            <w:hideMark/>
          </w:tcPr>
          <w:p w14:paraId="429DDBBF" w14:textId="77777777" w:rsidR="000B7803" w:rsidRPr="001B015B" w:rsidRDefault="000B7803" w:rsidP="0034622E">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Stupanj 2</w:t>
            </w:r>
          </w:p>
        </w:tc>
        <w:tc>
          <w:tcPr>
            <w:tcW w:w="1077" w:type="dxa"/>
            <w:tcBorders>
              <w:top w:val="nil"/>
              <w:left w:val="nil"/>
              <w:bottom w:val="nil"/>
              <w:right w:val="nil"/>
            </w:tcBorders>
            <w:shd w:val="clear" w:color="auto" w:fill="auto"/>
            <w:vAlign w:val="center"/>
            <w:hideMark/>
          </w:tcPr>
          <w:p w14:paraId="3D03FD36" w14:textId="77777777" w:rsidR="000B7803" w:rsidRPr="001B015B" w:rsidRDefault="000B7803" w:rsidP="0034622E">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Stupanj 3</w:t>
            </w:r>
          </w:p>
        </w:tc>
        <w:tc>
          <w:tcPr>
            <w:tcW w:w="996" w:type="dxa"/>
            <w:tcBorders>
              <w:top w:val="nil"/>
              <w:left w:val="nil"/>
              <w:bottom w:val="nil"/>
              <w:right w:val="nil"/>
            </w:tcBorders>
            <w:shd w:val="clear" w:color="auto" w:fill="auto"/>
            <w:vAlign w:val="center"/>
            <w:hideMark/>
          </w:tcPr>
          <w:p w14:paraId="5D15DDC0" w14:textId="77777777" w:rsidR="000B7803" w:rsidRPr="001B015B" w:rsidRDefault="000B7803" w:rsidP="0034622E">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POCI</w:t>
            </w:r>
          </w:p>
        </w:tc>
        <w:tc>
          <w:tcPr>
            <w:tcW w:w="1198" w:type="dxa"/>
            <w:tcBorders>
              <w:top w:val="nil"/>
              <w:left w:val="nil"/>
              <w:bottom w:val="nil"/>
              <w:right w:val="nil"/>
            </w:tcBorders>
            <w:shd w:val="clear" w:color="auto" w:fill="auto"/>
            <w:vAlign w:val="center"/>
            <w:hideMark/>
          </w:tcPr>
          <w:p w14:paraId="2AE9067D" w14:textId="77777777" w:rsidR="000B7803" w:rsidRPr="001B015B" w:rsidRDefault="000B7803" w:rsidP="0034622E">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Ukupno</w:t>
            </w:r>
          </w:p>
        </w:tc>
      </w:tr>
      <w:tr w:rsidR="000B7803" w:rsidRPr="001B015B" w14:paraId="0D0D9CBA" w14:textId="77777777" w:rsidTr="0034622E">
        <w:trPr>
          <w:trHeight w:val="172"/>
        </w:trPr>
        <w:tc>
          <w:tcPr>
            <w:tcW w:w="3947" w:type="dxa"/>
            <w:tcBorders>
              <w:top w:val="nil"/>
              <w:left w:val="nil"/>
              <w:bottom w:val="nil"/>
              <w:right w:val="nil"/>
            </w:tcBorders>
            <w:shd w:val="clear" w:color="auto" w:fill="auto"/>
            <w:vAlign w:val="center"/>
            <w:hideMark/>
          </w:tcPr>
          <w:p w14:paraId="55D2B0CE" w14:textId="77777777" w:rsidR="000B7803" w:rsidRPr="001B015B" w:rsidRDefault="000B7803" w:rsidP="0034622E">
            <w:pPr>
              <w:jc w:val="right"/>
              <w:rPr>
                <w:rFonts w:ascii="Arial" w:eastAsia="Calibri" w:hAnsi="Arial" w:cs="Arial"/>
                <w:b/>
                <w:bCs/>
                <w:color w:val="000000" w:themeColor="text1"/>
                <w:sz w:val="18"/>
                <w:szCs w:val="18"/>
              </w:rPr>
            </w:pPr>
          </w:p>
        </w:tc>
        <w:tc>
          <w:tcPr>
            <w:tcW w:w="1198" w:type="dxa"/>
            <w:tcBorders>
              <w:top w:val="nil"/>
              <w:left w:val="nil"/>
              <w:bottom w:val="nil"/>
              <w:right w:val="nil"/>
            </w:tcBorders>
            <w:shd w:val="clear" w:color="auto" w:fill="auto"/>
            <w:vAlign w:val="bottom"/>
            <w:hideMark/>
          </w:tcPr>
          <w:p w14:paraId="0ED5BF75" w14:textId="77777777" w:rsidR="000B7803" w:rsidRPr="001B015B" w:rsidRDefault="000B7803" w:rsidP="0034622E">
            <w:pPr>
              <w:jc w:val="right"/>
              <w:rPr>
                <w:rFonts w:ascii="Arial" w:eastAsia="Calibri" w:hAnsi="Arial" w:cs="Arial"/>
                <w:b/>
                <w:bCs/>
                <w:color w:val="000000" w:themeColor="text1"/>
                <w:sz w:val="18"/>
                <w:szCs w:val="18"/>
              </w:rPr>
            </w:pPr>
            <w:r w:rsidRPr="000E026D">
              <w:rPr>
                <w:rFonts w:ascii="Arial" w:eastAsia="Calibri" w:hAnsi="Arial" w:cs="Arial"/>
                <w:b/>
                <w:bCs/>
                <w:color w:val="000000" w:themeColor="text1"/>
                <w:sz w:val="18"/>
                <w:szCs w:val="18"/>
              </w:rPr>
              <w:t>000 eura</w:t>
            </w:r>
          </w:p>
        </w:tc>
        <w:tc>
          <w:tcPr>
            <w:tcW w:w="1077" w:type="dxa"/>
            <w:tcBorders>
              <w:top w:val="nil"/>
              <w:left w:val="nil"/>
              <w:bottom w:val="nil"/>
              <w:right w:val="nil"/>
            </w:tcBorders>
            <w:shd w:val="clear" w:color="auto" w:fill="auto"/>
            <w:vAlign w:val="bottom"/>
            <w:hideMark/>
          </w:tcPr>
          <w:p w14:paraId="391E9F35" w14:textId="77777777" w:rsidR="000B7803" w:rsidRPr="001B015B" w:rsidRDefault="000B7803" w:rsidP="0034622E">
            <w:pPr>
              <w:jc w:val="right"/>
              <w:rPr>
                <w:rFonts w:ascii="Arial" w:eastAsia="Calibri" w:hAnsi="Arial" w:cs="Arial"/>
                <w:b/>
                <w:bCs/>
                <w:color w:val="000000" w:themeColor="text1"/>
                <w:sz w:val="18"/>
                <w:szCs w:val="18"/>
              </w:rPr>
            </w:pPr>
            <w:r w:rsidRPr="000E026D">
              <w:rPr>
                <w:rFonts w:ascii="Arial" w:eastAsia="Calibri" w:hAnsi="Arial" w:cs="Arial"/>
                <w:b/>
                <w:bCs/>
                <w:color w:val="000000" w:themeColor="text1"/>
                <w:sz w:val="18"/>
                <w:szCs w:val="18"/>
              </w:rPr>
              <w:t>000 eura</w:t>
            </w:r>
          </w:p>
        </w:tc>
        <w:tc>
          <w:tcPr>
            <w:tcW w:w="1077" w:type="dxa"/>
            <w:tcBorders>
              <w:top w:val="nil"/>
              <w:left w:val="nil"/>
              <w:bottom w:val="nil"/>
              <w:right w:val="nil"/>
            </w:tcBorders>
            <w:shd w:val="clear" w:color="auto" w:fill="auto"/>
            <w:vAlign w:val="bottom"/>
            <w:hideMark/>
          </w:tcPr>
          <w:p w14:paraId="66CE7477" w14:textId="77777777" w:rsidR="000B7803" w:rsidRPr="001B015B" w:rsidRDefault="000B7803" w:rsidP="0034622E">
            <w:pPr>
              <w:jc w:val="right"/>
              <w:rPr>
                <w:rFonts w:ascii="Arial" w:eastAsia="Calibri" w:hAnsi="Arial" w:cs="Arial"/>
                <w:b/>
                <w:bCs/>
                <w:color w:val="000000" w:themeColor="text1"/>
                <w:sz w:val="18"/>
                <w:szCs w:val="18"/>
              </w:rPr>
            </w:pPr>
            <w:r w:rsidRPr="000E026D">
              <w:rPr>
                <w:rFonts w:ascii="Arial" w:eastAsia="Calibri" w:hAnsi="Arial" w:cs="Arial"/>
                <w:b/>
                <w:bCs/>
                <w:color w:val="000000" w:themeColor="text1"/>
                <w:sz w:val="18"/>
                <w:szCs w:val="18"/>
              </w:rPr>
              <w:t>000 eura</w:t>
            </w:r>
          </w:p>
        </w:tc>
        <w:tc>
          <w:tcPr>
            <w:tcW w:w="996" w:type="dxa"/>
            <w:tcBorders>
              <w:top w:val="nil"/>
              <w:left w:val="nil"/>
              <w:bottom w:val="nil"/>
              <w:right w:val="nil"/>
            </w:tcBorders>
            <w:shd w:val="clear" w:color="auto" w:fill="auto"/>
            <w:vAlign w:val="bottom"/>
            <w:hideMark/>
          </w:tcPr>
          <w:p w14:paraId="1956EC9F" w14:textId="77777777" w:rsidR="000B7803" w:rsidRPr="001B015B" w:rsidRDefault="000B7803" w:rsidP="0034622E">
            <w:pPr>
              <w:jc w:val="right"/>
              <w:rPr>
                <w:rFonts w:ascii="Arial" w:eastAsia="Calibri" w:hAnsi="Arial" w:cs="Arial"/>
                <w:b/>
                <w:bCs/>
                <w:color w:val="000000" w:themeColor="text1"/>
                <w:sz w:val="18"/>
                <w:szCs w:val="18"/>
              </w:rPr>
            </w:pPr>
            <w:r w:rsidRPr="000E026D">
              <w:rPr>
                <w:rFonts w:ascii="Arial" w:eastAsia="Calibri" w:hAnsi="Arial" w:cs="Arial"/>
                <w:b/>
                <w:bCs/>
                <w:color w:val="000000" w:themeColor="text1"/>
                <w:sz w:val="18"/>
                <w:szCs w:val="18"/>
              </w:rPr>
              <w:t>000 eura</w:t>
            </w:r>
          </w:p>
        </w:tc>
        <w:tc>
          <w:tcPr>
            <w:tcW w:w="1198" w:type="dxa"/>
            <w:tcBorders>
              <w:top w:val="nil"/>
              <w:left w:val="nil"/>
              <w:bottom w:val="nil"/>
              <w:right w:val="nil"/>
            </w:tcBorders>
            <w:shd w:val="clear" w:color="auto" w:fill="auto"/>
            <w:vAlign w:val="bottom"/>
            <w:hideMark/>
          </w:tcPr>
          <w:p w14:paraId="36C05F1D" w14:textId="77777777" w:rsidR="000B7803" w:rsidRPr="001B015B" w:rsidRDefault="000B7803" w:rsidP="0034622E">
            <w:pPr>
              <w:jc w:val="right"/>
              <w:rPr>
                <w:rFonts w:ascii="Arial" w:eastAsia="Calibri" w:hAnsi="Arial" w:cs="Arial"/>
                <w:b/>
                <w:bCs/>
                <w:color w:val="000000" w:themeColor="text1"/>
                <w:sz w:val="18"/>
                <w:szCs w:val="18"/>
              </w:rPr>
            </w:pPr>
            <w:r w:rsidRPr="000E026D">
              <w:rPr>
                <w:rFonts w:ascii="Arial" w:eastAsia="Calibri" w:hAnsi="Arial" w:cs="Arial"/>
                <w:b/>
                <w:bCs/>
                <w:color w:val="000000" w:themeColor="text1"/>
                <w:sz w:val="18"/>
                <w:szCs w:val="18"/>
              </w:rPr>
              <w:t>000 eura</w:t>
            </w:r>
          </w:p>
        </w:tc>
      </w:tr>
      <w:tr w:rsidR="000B7803" w:rsidRPr="001B015B" w14:paraId="3FE37295" w14:textId="77777777" w:rsidTr="0034622E">
        <w:trPr>
          <w:trHeight w:val="172"/>
        </w:trPr>
        <w:tc>
          <w:tcPr>
            <w:tcW w:w="3947" w:type="dxa"/>
            <w:tcBorders>
              <w:top w:val="nil"/>
              <w:left w:val="nil"/>
              <w:bottom w:val="nil"/>
              <w:right w:val="nil"/>
            </w:tcBorders>
            <w:shd w:val="clear" w:color="auto" w:fill="auto"/>
            <w:vAlign w:val="center"/>
          </w:tcPr>
          <w:p w14:paraId="5E424018" w14:textId="77777777" w:rsidR="000B7803" w:rsidRPr="001B015B" w:rsidRDefault="000B7803" w:rsidP="0034622E">
            <w:pPr>
              <w:jc w:val="right"/>
              <w:rPr>
                <w:rFonts w:ascii="Arial" w:eastAsia="Calibri" w:hAnsi="Arial" w:cs="Arial"/>
                <w:b/>
                <w:bCs/>
                <w:color w:val="000000" w:themeColor="text1"/>
                <w:sz w:val="18"/>
                <w:szCs w:val="18"/>
              </w:rPr>
            </w:pPr>
          </w:p>
        </w:tc>
        <w:tc>
          <w:tcPr>
            <w:tcW w:w="1198" w:type="dxa"/>
            <w:tcBorders>
              <w:top w:val="nil"/>
              <w:left w:val="nil"/>
              <w:bottom w:val="nil"/>
              <w:right w:val="nil"/>
            </w:tcBorders>
            <w:shd w:val="clear" w:color="auto" w:fill="auto"/>
            <w:vAlign w:val="center"/>
          </w:tcPr>
          <w:p w14:paraId="2EA1BF39" w14:textId="77777777" w:rsidR="000B7803" w:rsidRPr="001B015B" w:rsidRDefault="000B7803" w:rsidP="0034622E">
            <w:pPr>
              <w:jc w:val="right"/>
              <w:rPr>
                <w:rFonts w:ascii="Arial" w:eastAsia="Calibri" w:hAnsi="Arial" w:cs="Arial"/>
                <w:b/>
                <w:bCs/>
                <w:color w:val="000000" w:themeColor="text1"/>
                <w:sz w:val="18"/>
                <w:szCs w:val="18"/>
              </w:rPr>
            </w:pPr>
          </w:p>
        </w:tc>
        <w:tc>
          <w:tcPr>
            <w:tcW w:w="1077" w:type="dxa"/>
            <w:tcBorders>
              <w:top w:val="nil"/>
              <w:left w:val="nil"/>
              <w:bottom w:val="nil"/>
              <w:right w:val="nil"/>
            </w:tcBorders>
            <w:shd w:val="clear" w:color="auto" w:fill="auto"/>
            <w:vAlign w:val="center"/>
          </w:tcPr>
          <w:p w14:paraId="0E31B3C5" w14:textId="77777777" w:rsidR="000B7803" w:rsidRPr="001B015B" w:rsidRDefault="000B7803" w:rsidP="0034622E">
            <w:pPr>
              <w:jc w:val="right"/>
              <w:rPr>
                <w:rFonts w:ascii="Arial" w:eastAsia="Calibri" w:hAnsi="Arial" w:cs="Arial"/>
                <w:b/>
                <w:bCs/>
                <w:color w:val="000000" w:themeColor="text1"/>
                <w:sz w:val="18"/>
                <w:szCs w:val="18"/>
              </w:rPr>
            </w:pPr>
          </w:p>
        </w:tc>
        <w:tc>
          <w:tcPr>
            <w:tcW w:w="1077" w:type="dxa"/>
            <w:tcBorders>
              <w:top w:val="nil"/>
              <w:left w:val="nil"/>
              <w:bottom w:val="nil"/>
              <w:right w:val="nil"/>
            </w:tcBorders>
            <w:shd w:val="clear" w:color="auto" w:fill="auto"/>
            <w:vAlign w:val="center"/>
          </w:tcPr>
          <w:p w14:paraId="23CA39AD" w14:textId="77777777" w:rsidR="000B7803" w:rsidRPr="001B015B" w:rsidRDefault="000B7803" w:rsidP="0034622E">
            <w:pPr>
              <w:jc w:val="right"/>
              <w:rPr>
                <w:rFonts w:ascii="Arial" w:eastAsia="Calibri" w:hAnsi="Arial" w:cs="Arial"/>
                <w:b/>
                <w:bCs/>
                <w:color w:val="000000" w:themeColor="text1"/>
                <w:sz w:val="18"/>
                <w:szCs w:val="18"/>
              </w:rPr>
            </w:pPr>
          </w:p>
        </w:tc>
        <w:tc>
          <w:tcPr>
            <w:tcW w:w="996" w:type="dxa"/>
            <w:tcBorders>
              <w:top w:val="nil"/>
              <w:left w:val="nil"/>
              <w:bottom w:val="nil"/>
              <w:right w:val="nil"/>
            </w:tcBorders>
            <w:shd w:val="clear" w:color="auto" w:fill="auto"/>
            <w:vAlign w:val="center"/>
          </w:tcPr>
          <w:p w14:paraId="201362AA" w14:textId="77777777" w:rsidR="000B7803" w:rsidRPr="001B015B" w:rsidRDefault="000B7803" w:rsidP="0034622E">
            <w:pPr>
              <w:jc w:val="right"/>
              <w:rPr>
                <w:rFonts w:ascii="Arial" w:eastAsia="Calibri" w:hAnsi="Arial" w:cs="Arial"/>
                <w:b/>
                <w:bCs/>
                <w:color w:val="000000" w:themeColor="text1"/>
                <w:sz w:val="18"/>
                <w:szCs w:val="18"/>
              </w:rPr>
            </w:pPr>
          </w:p>
        </w:tc>
        <w:tc>
          <w:tcPr>
            <w:tcW w:w="1198" w:type="dxa"/>
            <w:tcBorders>
              <w:top w:val="nil"/>
              <w:left w:val="nil"/>
              <w:bottom w:val="nil"/>
              <w:right w:val="nil"/>
            </w:tcBorders>
            <w:shd w:val="clear" w:color="auto" w:fill="auto"/>
            <w:vAlign w:val="center"/>
          </w:tcPr>
          <w:p w14:paraId="22BCCBCE" w14:textId="77777777" w:rsidR="000B7803" w:rsidRPr="001B015B" w:rsidRDefault="000B7803" w:rsidP="0034622E">
            <w:pPr>
              <w:jc w:val="right"/>
              <w:rPr>
                <w:rFonts w:ascii="Arial" w:eastAsia="Calibri" w:hAnsi="Arial" w:cs="Arial"/>
                <w:b/>
                <w:bCs/>
                <w:color w:val="000000" w:themeColor="text1"/>
                <w:sz w:val="18"/>
                <w:szCs w:val="18"/>
              </w:rPr>
            </w:pPr>
          </w:p>
        </w:tc>
      </w:tr>
      <w:tr w:rsidR="000B7803" w:rsidRPr="001B015B" w14:paraId="64DD72D3" w14:textId="77777777" w:rsidTr="0034622E">
        <w:trPr>
          <w:trHeight w:val="172"/>
        </w:trPr>
        <w:tc>
          <w:tcPr>
            <w:tcW w:w="3947" w:type="dxa"/>
            <w:tcBorders>
              <w:top w:val="nil"/>
              <w:left w:val="nil"/>
              <w:bottom w:val="nil"/>
              <w:right w:val="nil"/>
            </w:tcBorders>
            <w:shd w:val="clear" w:color="auto" w:fill="auto"/>
            <w:vAlign w:val="center"/>
            <w:hideMark/>
          </w:tcPr>
          <w:p w14:paraId="13AF8251" w14:textId="77777777" w:rsidR="000B7803" w:rsidRPr="001B015B" w:rsidRDefault="000B7803" w:rsidP="0034622E">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Stanje 1. siječnja 202</w:t>
            </w:r>
            <w:r>
              <w:rPr>
                <w:rFonts w:ascii="Arial" w:eastAsia="Calibri" w:hAnsi="Arial" w:cs="Arial"/>
                <w:color w:val="000000" w:themeColor="text1"/>
                <w:sz w:val="18"/>
                <w:szCs w:val="18"/>
              </w:rPr>
              <w:t>3</w:t>
            </w:r>
            <w:r w:rsidRPr="001B015B">
              <w:rPr>
                <w:rFonts w:ascii="Arial" w:eastAsia="Calibri" w:hAnsi="Arial" w:cs="Arial"/>
                <w:color w:val="000000" w:themeColor="text1"/>
                <w:sz w:val="18"/>
                <w:szCs w:val="18"/>
              </w:rPr>
              <w:t xml:space="preserve">. </w:t>
            </w:r>
          </w:p>
        </w:tc>
        <w:tc>
          <w:tcPr>
            <w:tcW w:w="1198" w:type="dxa"/>
            <w:shd w:val="clear" w:color="auto" w:fill="auto"/>
            <w:vAlign w:val="bottom"/>
          </w:tcPr>
          <w:p w14:paraId="4F271C24" w14:textId="77777777" w:rsidR="000B7803" w:rsidRPr="00F959D0" w:rsidRDefault="000B7803" w:rsidP="0034622E">
            <w:pPr>
              <w:jc w:val="right"/>
              <w:rPr>
                <w:rFonts w:ascii="Arial" w:hAnsi="Arial" w:cs="Arial"/>
                <w:sz w:val="18"/>
                <w:szCs w:val="18"/>
              </w:rPr>
            </w:pPr>
            <w:r w:rsidRPr="00F959D0">
              <w:rPr>
                <w:rFonts w:ascii="Arial" w:hAnsi="Arial" w:cs="Arial"/>
                <w:sz w:val="18"/>
                <w:szCs w:val="18"/>
              </w:rPr>
              <w:t xml:space="preserve"> 339 </w:t>
            </w:r>
          </w:p>
        </w:tc>
        <w:tc>
          <w:tcPr>
            <w:tcW w:w="1077" w:type="dxa"/>
            <w:shd w:val="clear" w:color="auto" w:fill="auto"/>
            <w:vAlign w:val="bottom"/>
          </w:tcPr>
          <w:p w14:paraId="2A6F6C31" w14:textId="77777777" w:rsidR="000B7803" w:rsidRPr="00F959D0" w:rsidRDefault="000B7803" w:rsidP="0034622E">
            <w:pPr>
              <w:jc w:val="right"/>
              <w:rPr>
                <w:rFonts w:ascii="Arial" w:hAnsi="Arial" w:cs="Arial"/>
                <w:sz w:val="18"/>
                <w:szCs w:val="18"/>
              </w:rPr>
            </w:pPr>
            <w:r w:rsidRPr="00F959D0">
              <w:rPr>
                <w:rFonts w:ascii="Arial" w:hAnsi="Arial" w:cs="Arial"/>
                <w:sz w:val="18"/>
                <w:szCs w:val="18"/>
              </w:rPr>
              <w:t xml:space="preserve"> 48 </w:t>
            </w:r>
          </w:p>
        </w:tc>
        <w:tc>
          <w:tcPr>
            <w:tcW w:w="1077" w:type="dxa"/>
            <w:shd w:val="clear" w:color="auto" w:fill="auto"/>
            <w:vAlign w:val="bottom"/>
          </w:tcPr>
          <w:p w14:paraId="0F9668D9" w14:textId="77777777" w:rsidR="000B7803" w:rsidRPr="00F959D0" w:rsidRDefault="000B7803" w:rsidP="0034622E">
            <w:pPr>
              <w:jc w:val="right"/>
              <w:rPr>
                <w:rFonts w:ascii="Arial" w:hAnsi="Arial" w:cs="Arial"/>
                <w:sz w:val="18"/>
                <w:szCs w:val="18"/>
              </w:rPr>
            </w:pPr>
            <w:r w:rsidRPr="00F959D0">
              <w:rPr>
                <w:rFonts w:ascii="Arial" w:hAnsi="Arial" w:cs="Arial"/>
                <w:sz w:val="18"/>
                <w:szCs w:val="18"/>
              </w:rPr>
              <w:t xml:space="preserve"> 231 </w:t>
            </w:r>
          </w:p>
        </w:tc>
        <w:tc>
          <w:tcPr>
            <w:tcW w:w="996" w:type="dxa"/>
            <w:shd w:val="clear" w:color="auto" w:fill="auto"/>
            <w:vAlign w:val="bottom"/>
          </w:tcPr>
          <w:p w14:paraId="18410688" w14:textId="77777777" w:rsidR="000B7803" w:rsidRPr="00F959D0" w:rsidRDefault="000B7803" w:rsidP="0034622E">
            <w:pPr>
              <w:jc w:val="right"/>
              <w:rPr>
                <w:rFonts w:ascii="Arial" w:hAnsi="Arial" w:cs="Arial"/>
                <w:sz w:val="18"/>
                <w:szCs w:val="18"/>
              </w:rPr>
            </w:pPr>
            <w:r w:rsidRPr="00F959D0">
              <w:rPr>
                <w:rFonts w:ascii="Arial" w:hAnsi="Arial" w:cs="Arial"/>
                <w:sz w:val="18"/>
                <w:szCs w:val="18"/>
              </w:rPr>
              <w:t xml:space="preserve">  -     </w:t>
            </w:r>
          </w:p>
        </w:tc>
        <w:tc>
          <w:tcPr>
            <w:tcW w:w="1198" w:type="dxa"/>
            <w:shd w:val="clear" w:color="auto" w:fill="auto"/>
            <w:vAlign w:val="bottom"/>
          </w:tcPr>
          <w:p w14:paraId="11A43DA4" w14:textId="77777777" w:rsidR="000B7803" w:rsidRPr="005D1219" w:rsidRDefault="000B7803" w:rsidP="0034622E">
            <w:pPr>
              <w:jc w:val="right"/>
              <w:rPr>
                <w:rFonts w:ascii="Arial" w:hAnsi="Arial" w:cs="Arial"/>
                <w:b/>
                <w:bCs/>
                <w:sz w:val="18"/>
                <w:szCs w:val="18"/>
              </w:rPr>
            </w:pPr>
            <w:r w:rsidRPr="005D1219">
              <w:rPr>
                <w:rFonts w:ascii="Arial" w:hAnsi="Arial" w:cs="Arial"/>
                <w:b/>
                <w:bCs/>
                <w:sz w:val="18"/>
                <w:szCs w:val="18"/>
              </w:rPr>
              <w:t xml:space="preserve"> 618 </w:t>
            </w:r>
          </w:p>
        </w:tc>
      </w:tr>
      <w:tr w:rsidR="000B7803" w:rsidRPr="001B015B" w14:paraId="13F2AEB6" w14:textId="77777777" w:rsidTr="0034622E">
        <w:trPr>
          <w:trHeight w:val="172"/>
        </w:trPr>
        <w:tc>
          <w:tcPr>
            <w:tcW w:w="3947" w:type="dxa"/>
            <w:shd w:val="clear" w:color="auto" w:fill="auto"/>
          </w:tcPr>
          <w:p w14:paraId="1E8AF5FA" w14:textId="77777777" w:rsidR="000B7803" w:rsidRPr="001B015B" w:rsidRDefault="000B7803" w:rsidP="0034622E">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Prijenos u Stupanj 1</w:t>
            </w:r>
          </w:p>
        </w:tc>
        <w:tc>
          <w:tcPr>
            <w:tcW w:w="1198" w:type="dxa"/>
            <w:shd w:val="clear" w:color="auto" w:fill="auto"/>
            <w:vAlign w:val="bottom"/>
          </w:tcPr>
          <w:p w14:paraId="540B2BD2" w14:textId="77777777" w:rsidR="000B7803" w:rsidRPr="00F959D0" w:rsidRDefault="000B7803" w:rsidP="0034622E">
            <w:pPr>
              <w:jc w:val="right"/>
              <w:rPr>
                <w:rFonts w:ascii="Arial" w:hAnsi="Arial" w:cs="Arial"/>
                <w:sz w:val="18"/>
                <w:szCs w:val="18"/>
              </w:rPr>
            </w:pPr>
            <w:r w:rsidRPr="00F959D0">
              <w:rPr>
                <w:rFonts w:ascii="Arial" w:hAnsi="Arial" w:cs="Arial"/>
                <w:sz w:val="18"/>
                <w:szCs w:val="18"/>
              </w:rPr>
              <w:t xml:space="preserve"> 44 </w:t>
            </w:r>
          </w:p>
        </w:tc>
        <w:tc>
          <w:tcPr>
            <w:tcW w:w="1077" w:type="dxa"/>
            <w:shd w:val="clear" w:color="auto" w:fill="auto"/>
            <w:vAlign w:val="bottom"/>
          </w:tcPr>
          <w:p w14:paraId="4B9CF360" w14:textId="77777777" w:rsidR="000B7803" w:rsidRPr="00F959D0" w:rsidRDefault="000B7803" w:rsidP="0034622E">
            <w:pPr>
              <w:jc w:val="right"/>
              <w:rPr>
                <w:rFonts w:ascii="Arial" w:hAnsi="Arial" w:cs="Arial"/>
                <w:sz w:val="18"/>
                <w:szCs w:val="18"/>
              </w:rPr>
            </w:pPr>
            <w:r w:rsidRPr="00F959D0">
              <w:rPr>
                <w:rFonts w:ascii="Arial" w:hAnsi="Arial" w:cs="Arial"/>
                <w:sz w:val="18"/>
                <w:szCs w:val="18"/>
              </w:rPr>
              <w:t xml:space="preserve"> (44)</w:t>
            </w:r>
          </w:p>
        </w:tc>
        <w:tc>
          <w:tcPr>
            <w:tcW w:w="1077" w:type="dxa"/>
            <w:shd w:val="clear" w:color="auto" w:fill="auto"/>
            <w:vAlign w:val="bottom"/>
          </w:tcPr>
          <w:p w14:paraId="5F318CC7" w14:textId="77777777" w:rsidR="000B7803" w:rsidRPr="00F959D0" w:rsidRDefault="000B7803" w:rsidP="0034622E">
            <w:pPr>
              <w:jc w:val="right"/>
              <w:rPr>
                <w:rFonts w:ascii="Arial" w:hAnsi="Arial" w:cs="Arial"/>
                <w:sz w:val="18"/>
                <w:szCs w:val="18"/>
              </w:rPr>
            </w:pPr>
            <w:r w:rsidRPr="00F959D0">
              <w:rPr>
                <w:rFonts w:ascii="Arial" w:hAnsi="Arial" w:cs="Arial"/>
                <w:sz w:val="18"/>
                <w:szCs w:val="18"/>
              </w:rPr>
              <w:t xml:space="preserve"> - </w:t>
            </w:r>
          </w:p>
        </w:tc>
        <w:tc>
          <w:tcPr>
            <w:tcW w:w="996" w:type="dxa"/>
            <w:shd w:val="clear" w:color="auto" w:fill="auto"/>
            <w:vAlign w:val="bottom"/>
          </w:tcPr>
          <w:p w14:paraId="0AF2A582" w14:textId="77777777" w:rsidR="000B7803" w:rsidRPr="00F959D0" w:rsidRDefault="000B7803" w:rsidP="0034622E">
            <w:pPr>
              <w:jc w:val="right"/>
              <w:rPr>
                <w:rFonts w:ascii="Arial" w:hAnsi="Arial" w:cs="Arial"/>
                <w:sz w:val="18"/>
                <w:szCs w:val="18"/>
              </w:rPr>
            </w:pPr>
            <w:r w:rsidRPr="00F959D0">
              <w:rPr>
                <w:rFonts w:ascii="Arial" w:hAnsi="Arial" w:cs="Arial"/>
                <w:sz w:val="18"/>
                <w:szCs w:val="18"/>
              </w:rPr>
              <w:t xml:space="preserve"> - </w:t>
            </w:r>
          </w:p>
        </w:tc>
        <w:tc>
          <w:tcPr>
            <w:tcW w:w="1198" w:type="dxa"/>
            <w:shd w:val="clear" w:color="auto" w:fill="auto"/>
            <w:vAlign w:val="bottom"/>
          </w:tcPr>
          <w:p w14:paraId="19C41F55" w14:textId="77777777" w:rsidR="000B7803" w:rsidRPr="005D1219" w:rsidRDefault="000B7803" w:rsidP="0034622E">
            <w:pPr>
              <w:jc w:val="right"/>
              <w:rPr>
                <w:rFonts w:ascii="Arial" w:hAnsi="Arial" w:cs="Arial"/>
                <w:b/>
                <w:bCs/>
                <w:sz w:val="18"/>
                <w:szCs w:val="18"/>
              </w:rPr>
            </w:pPr>
            <w:r w:rsidRPr="005D1219">
              <w:rPr>
                <w:rFonts w:ascii="Arial" w:hAnsi="Arial" w:cs="Arial"/>
                <w:b/>
                <w:bCs/>
                <w:sz w:val="18"/>
                <w:szCs w:val="18"/>
              </w:rPr>
              <w:t xml:space="preserve"> - </w:t>
            </w:r>
          </w:p>
        </w:tc>
      </w:tr>
      <w:tr w:rsidR="000B7803" w:rsidRPr="001B015B" w14:paraId="74E617A3" w14:textId="77777777" w:rsidTr="0034622E">
        <w:trPr>
          <w:trHeight w:val="172"/>
        </w:trPr>
        <w:tc>
          <w:tcPr>
            <w:tcW w:w="3947" w:type="dxa"/>
            <w:shd w:val="clear" w:color="auto" w:fill="auto"/>
          </w:tcPr>
          <w:p w14:paraId="602543BF" w14:textId="77777777" w:rsidR="000B7803" w:rsidRPr="001B015B" w:rsidRDefault="000B7803" w:rsidP="0034622E">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Prijenos u Stupanj 2</w:t>
            </w:r>
          </w:p>
        </w:tc>
        <w:tc>
          <w:tcPr>
            <w:tcW w:w="1198" w:type="dxa"/>
            <w:shd w:val="clear" w:color="auto" w:fill="auto"/>
            <w:vAlign w:val="bottom"/>
          </w:tcPr>
          <w:p w14:paraId="10A4E91B" w14:textId="77777777" w:rsidR="000B7803" w:rsidRPr="00F959D0" w:rsidRDefault="000B7803" w:rsidP="0034622E">
            <w:pPr>
              <w:jc w:val="right"/>
              <w:rPr>
                <w:rFonts w:ascii="Arial" w:hAnsi="Arial" w:cs="Arial"/>
                <w:sz w:val="18"/>
                <w:szCs w:val="18"/>
              </w:rPr>
            </w:pPr>
            <w:r w:rsidRPr="00F959D0">
              <w:rPr>
                <w:rFonts w:ascii="Arial" w:hAnsi="Arial" w:cs="Arial"/>
                <w:sz w:val="18"/>
                <w:szCs w:val="18"/>
              </w:rPr>
              <w:t xml:space="preserve"> - </w:t>
            </w:r>
          </w:p>
        </w:tc>
        <w:tc>
          <w:tcPr>
            <w:tcW w:w="1077" w:type="dxa"/>
            <w:shd w:val="clear" w:color="auto" w:fill="auto"/>
            <w:vAlign w:val="bottom"/>
          </w:tcPr>
          <w:p w14:paraId="218F67CF" w14:textId="77777777" w:rsidR="000B7803" w:rsidRPr="00F959D0" w:rsidRDefault="000B7803" w:rsidP="0034622E">
            <w:pPr>
              <w:jc w:val="right"/>
              <w:rPr>
                <w:rFonts w:ascii="Arial" w:hAnsi="Arial" w:cs="Arial"/>
                <w:sz w:val="18"/>
                <w:szCs w:val="18"/>
              </w:rPr>
            </w:pPr>
            <w:r w:rsidRPr="00F959D0">
              <w:rPr>
                <w:rFonts w:ascii="Arial" w:hAnsi="Arial" w:cs="Arial"/>
                <w:sz w:val="18"/>
                <w:szCs w:val="18"/>
              </w:rPr>
              <w:t xml:space="preserve"> - </w:t>
            </w:r>
          </w:p>
        </w:tc>
        <w:tc>
          <w:tcPr>
            <w:tcW w:w="1077" w:type="dxa"/>
            <w:shd w:val="clear" w:color="auto" w:fill="auto"/>
            <w:vAlign w:val="bottom"/>
          </w:tcPr>
          <w:p w14:paraId="158E301E" w14:textId="77777777" w:rsidR="000B7803" w:rsidRPr="00F959D0" w:rsidRDefault="000B7803" w:rsidP="0034622E">
            <w:pPr>
              <w:jc w:val="right"/>
              <w:rPr>
                <w:rFonts w:ascii="Arial" w:hAnsi="Arial" w:cs="Arial"/>
                <w:sz w:val="18"/>
                <w:szCs w:val="18"/>
              </w:rPr>
            </w:pPr>
            <w:r w:rsidRPr="00F959D0">
              <w:rPr>
                <w:rFonts w:ascii="Arial" w:hAnsi="Arial" w:cs="Arial"/>
                <w:sz w:val="18"/>
                <w:szCs w:val="18"/>
              </w:rPr>
              <w:t xml:space="preserve"> - </w:t>
            </w:r>
          </w:p>
        </w:tc>
        <w:tc>
          <w:tcPr>
            <w:tcW w:w="996" w:type="dxa"/>
            <w:shd w:val="clear" w:color="auto" w:fill="auto"/>
            <w:vAlign w:val="bottom"/>
          </w:tcPr>
          <w:p w14:paraId="0AD8A00E" w14:textId="77777777" w:rsidR="000B7803" w:rsidRPr="00F959D0" w:rsidRDefault="000B7803" w:rsidP="0034622E">
            <w:pPr>
              <w:jc w:val="right"/>
              <w:rPr>
                <w:rFonts w:ascii="Arial" w:hAnsi="Arial" w:cs="Arial"/>
                <w:sz w:val="18"/>
                <w:szCs w:val="18"/>
              </w:rPr>
            </w:pPr>
            <w:r w:rsidRPr="00F959D0">
              <w:rPr>
                <w:rFonts w:ascii="Arial" w:hAnsi="Arial" w:cs="Arial"/>
                <w:sz w:val="18"/>
                <w:szCs w:val="18"/>
              </w:rPr>
              <w:t xml:space="preserve"> - </w:t>
            </w:r>
          </w:p>
        </w:tc>
        <w:tc>
          <w:tcPr>
            <w:tcW w:w="1198" w:type="dxa"/>
            <w:shd w:val="clear" w:color="auto" w:fill="auto"/>
            <w:vAlign w:val="bottom"/>
          </w:tcPr>
          <w:p w14:paraId="3380F28F" w14:textId="77777777" w:rsidR="000B7803" w:rsidRPr="005D1219" w:rsidRDefault="000B7803" w:rsidP="0034622E">
            <w:pPr>
              <w:jc w:val="right"/>
              <w:rPr>
                <w:rFonts w:ascii="Arial" w:hAnsi="Arial" w:cs="Arial"/>
                <w:b/>
                <w:bCs/>
                <w:sz w:val="18"/>
                <w:szCs w:val="18"/>
              </w:rPr>
            </w:pPr>
            <w:r w:rsidRPr="005D1219">
              <w:rPr>
                <w:rFonts w:ascii="Arial" w:hAnsi="Arial" w:cs="Arial"/>
                <w:b/>
                <w:bCs/>
                <w:sz w:val="18"/>
                <w:szCs w:val="18"/>
              </w:rPr>
              <w:t xml:space="preserve"> - </w:t>
            </w:r>
          </w:p>
        </w:tc>
      </w:tr>
      <w:tr w:rsidR="000B7803" w:rsidRPr="001B015B" w14:paraId="1B7D879D" w14:textId="77777777" w:rsidTr="0034622E">
        <w:trPr>
          <w:trHeight w:val="172"/>
        </w:trPr>
        <w:tc>
          <w:tcPr>
            <w:tcW w:w="3947" w:type="dxa"/>
            <w:shd w:val="clear" w:color="auto" w:fill="auto"/>
            <w:hideMark/>
          </w:tcPr>
          <w:p w14:paraId="3A25B131" w14:textId="77777777" w:rsidR="000B7803" w:rsidRPr="001B015B" w:rsidRDefault="000B7803" w:rsidP="0034622E">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Prijenos u Stupanj 3</w:t>
            </w:r>
          </w:p>
        </w:tc>
        <w:tc>
          <w:tcPr>
            <w:tcW w:w="1198" w:type="dxa"/>
            <w:shd w:val="clear" w:color="auto" w:fill="auto"/>
            <w:vAlign w:val="bottom"/>
          </w:tcPr>
          <w:p w14:paraId="530B6AB5" w14:textId="77777777" w:rsidR="000B7803" w:rsidRPr="00F959D0" w:rsidRDefault="000B7803" w:rsidP="0034622E">
            <w:pPr>
              <w:jc w:val="right"/>
              <w:rPr>
                <w:rFonts w:ascii="Arial" w:hAnsi="Arial" w:cs="Arial"/>
                <w:sz w:val="18"/>
                <w:szCs w:val="18"/>
              </w:rPr>
            </w:pPr>
            <w:r w:rsidRPr="00F959D0">
              <w:rPr>
                <w:rFonts w:ascii="Arial" w:hAnsi="Arial" w:cs="Arial"/>
                <w:sz w:val="18"/>
                <w:szCs w:val="18"/>
              </w:rPr>
              <w:t xml:space="preserve"> - </w:t>
            </w:r>
          </w:p>
        </w:tc>
        <w:tc>
          <w:tcPr>
            <w:tcW w:w="1077" w:type="dxa"/>
            <w:shd w:val="clear" w:color="auto" w:fill="auto"/>
            <w:vAlign w:val="bottom"/>
          </w:tcPr>
          <w:p w14:paraId="78098DA6" w14:textId="77777777" w:rsidR="000B7803" w:rsidRPr="00F959D0" w:rsidRDefault="000B7803" w:rsidP="0034622E">
            <w:pPr>
              <w:jc w:val="right"/>
              <w:rPr>
                <w:rFonts w:ascii="Arial" w:hAnsi="Arial" w:cs="Arial"/>
                <w:sz w:val="18"/>
                <w:szCs w:val="18"/>
              </w:rPr>
            </w:pPr>
            <w:r w:rsidRPr="00F959D0">
              <w:rPr>
                <w:rFonts w:ascii="Arial" w:hAnsi="Arial" w:cs="Arial"/>
                <w:sz w:val="18"/>
                <w:szCs w:val="18"/>
              </w:rPr>
              <w:t xml:space="preserve"> - </w:t>
            </w:r>
          </w:p>
        </w:tc>
        <w:tc>
          <w:tcPr>
            <w:tcW w:w="1077" w:type="dxa"/>
            <w:shd w:val="clear" w:color="auto" w:fill="auto"/>
            <w:vAlign w:val="bottom"/>
          </w:tcPr>
          <w:p w14:paraId="218C08BA" w14:textId="77777777" w:rsidR="000B7803" w:rsidRPr="00F959D0" w:rsidRDefault="000B7803" w:rsidP="0034622E">
            <w:pPr>
              <w:jc w:val="right"/>
              <w:rPr>
                <w:rFonts w:ascii="Arial" w:hAnsi="Arial" w:cs="Arial"/>
                <w:sz w:val="18"/>
                <w:szCs w:val="18"/>
              </w:rPr>
            </w:pPr>
            <w:r w:rsidRPr="00F959D0">
              <w:rPr>
                <w:rFonts w:ascii="Arial" w:hAnsi="Arial" w:cs="Arial"/>
                <w:sz w:val="18"/>
                <w:szCs w:val="18"/>
              </w:rPr>
              <w:t xml:space="preserve"> - </w:t>
            </w:r>
          </w:p>
        </w:tc>
        <w:tc>
          <w:tcPr>
            <w:tcW w:w="996" w:type="dxa"/>
            <w:shd w:val="clear" w:color="auto" w:fill="auto"/>
            <w:vAlign w:val="bottom"/>
          </w:tcPr>
          <w:p w14:paraId="14377EF2" w14:textId="77777777" w:rsidR="000B7803" w:rsidRPr="00F959D0" w:rsidRDefault="000B7803" w:rsidP="0034622E">
            <w:pPr>
              <w:jc w:val="right"/>
              <w:rPr>
                <w:rFonts w:ascii="Arial" w:hAnsi="Arial" w:cs="Arial"/>
                <w:sz w:val="18"/>
                <w:szCs w:val="18"/>
              </w:rPr>
            </w:pPr>
            <w:r w:rsidRPr="00F959D0">
              <w:rPr>
                <w:rFonts w:ascii="Arial" w:hAnsi="Arial" w:cs="Arial"/>
                <w:sz w:val="18"/>
                <w:szCs w:val="18"/>
              </w:rPr>
              <w:t xml:space="preserve"> - </w:t>
            </w:r>
          </w:p>
        </w:tc>
        <w:tc>
          <w:tcPr>
            <w:tcW w:w="1198" w:type="dxa"/>
            <w:shd w:val="clear" w:color="auto" w:fill="auto"/>
            <w:vAlign w:val="bottom"/>
          </w:tcPr>
          <w:p w14:paraId="300DC64F" w14:textId="77777777" w:rsidR="000B7803" w:rsidRPr="005D1219" w:rsidRDefault="000B7803" w:rsidP="0034622E">
            <w:pPr>
              <w:jc w:val="right"/>
              <w:rPr>
                <w:rFonts w:ascii="Arial" w:hAnsi="Arial" w:cs="Arial"/>
                <w:b/>
                <w:bCs/>
                <w:sz w:val="18"/>
                <w:szCs w:val="18"/>
              </w:rPr>
            </w:pPr>
            <w:r w:rsidRPr="005D1219">
              <w:rPr>
                <w:rFonts w:ascii="Arial" w:hAnsi="Arial" w:cs="Arial"/>
                <w:b/>
                <w:bCs/>
                <w:sz w:val="18"/>
                <w:szCs w:val="18"/>
              </w:rPr>
              <w:t xml:space="preserve"> - </w:t>
            </w:r>
          </w:p>
        </w:tc>
      </w:tr>
      <w:tr w:rsidR="000B7803" w:rsidRPr="001B015B" w14:paraId="056E1243" w14:textId="77777777" w:rsidTr="0034622E">
        <w:trPr>
          <w:trHeight w:val="214"/>
        </w:trPr>
        <w:tc>
          <w:tcPr>
            <w:tcW w:w="3947" w:type="dxa"/>
            <w:tcBorders>
              <w:top w:val="nil"/>
              <w:left w:val="nil"/>
              <w:bottom w:val="nil"/>
              <w:right w:val="nil"/>
            </w:tcBorders>
            <w:shd w:val="clear" w:color="auto" w:fill="auto"/>
            <w:vAlign w:val="center"/>
            <w:hideMark/>
          </w:tcPr>
          <w:p w14:paraId="39C84D61" w14:textId="77777777" w:rsidR="000B7803" w:rsidRPr="001B015B" w:rsidRDefault="000B7803" w:rsidP="0034622E">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 xml:space="preserve">Neto </w:t>
            </w:r>
            <w:r w:rsidRPr="004E2136">
              <w:rPr>
                <w:rFonts w:ascii="Arial" w:eastAsia="Calibri" w:hAnsi="Arial" w:cs="Arial"/>
                <w:color w:val="000000" w:themeColor="text1"/>
                <w:sz w:val="18"/>
                <w:szCs w:val="18"/>
              </w:rPr>
              <w:t xml:space="preserve">(smanjenje) </w:t>
            </w:r>
            <w:r>
              <w:rPr>
                <w:rFonts w:ascii="Arial" w:eastAsia="Calibri" w:hAnsi="Arial" w:cs="Arial"/>
                <w:color w:val="000000" w:themeColor="text1"/>
                <w:sz w:val="18"/>
                <w:szCs w:val="18"/>
              </w:rPr>
              <w:t>r</w:t>
            </w:r>
            <w:r w:rsidRPr="004E2136">
              <w:rPr>
                <w:rFonts w:ascii="Arial" w:eastAsia="Calibri" w:hAnsi="Arial" w:cs="Arial"/>
                <w:color w:val="000000" w:themeColor="text1"/>
                <w:sz w:val="18"/>
                <w:szCs w:val="18"/>
              </w:rPr>
              <w:t>ezerviranja</w:t>
            </w:r>
            <w:r w:rsidRPr="001B015B">
              <w:rPr>
                <w:rFonts w:ascii="Arial" w:eastAsia="Calibri" w:hAnsi="Arial" w:cs="Arial"/>
                <w:color w:val="000000" w:themeColor="text1"/>
                <w:sz w:val="18"/>
                <w:szCs w:val="18"/>
              </w:rPr>
              <w:t xml:space="preserve"> za očekivane gubitke </w:t>
            </w:r>
          </w:p>
        </w:tc>
        <w:tc>
          <w:tcPr>
            <w:tcW w:w="1198" w:type="dxa"/>
            <w:tcBorders>
              <w:top w:val="nil"/>
              <w:left w:val="nil"/>
              <w:bottom w:val="nil"/>
              <w:right w:val="nil"/>
            </w:tcBorders>
            <w:shd w:val="clear" w:color="auto" w:fill="auto"/>
            <w:vAlign w:val="bottom"/>
          </w:tcPr>
          <w:p w14:paraId="544D56AE" w14:textId="77777777" w:rsidR="000B7803" w:rsidRPr="00F959D0" w:rsidRDefault="000B7803" w:rsidP="0034622E">
            <w:pPr>
              <w:jc w:val="right"/>
              <w:rPr>
                <w:rFonts w:ascii="Arial" w:hAnsi="Arial" w:cs="Arial"/>
                <w:sz w:val="18"/>
                <w:szCs w:val="18"/>
              </w:rPr>
            </w:pPr>
            <w:r w:rsidRPr="00F959D0">
              <w:rPr>
                <w:rFonts w:ascii="Arial" w:hAnsi="Arial" w:cs="Arial"/>
                <w:sz w:val="18"/>
                <w:szCs w:val="18"/>
              </w:rPr>
              <w:t xml:space="preserve"> (160)</w:t>
            </w:r>
          </w:p>
        </w:tc>
        <w:tc>
          <w:tcPr>
            <w:tcW w:w="1077" w:type="dxa"/>
            <w:tcBorders>
              <w:top w:val="nil"/>
              <w:left w:val="nil"/>
              <w:bottom w:val="nil"/>
              <w:right w:val="nil"/>
            </w:tcBorders>
            <w:shd w:val="clear" w:color="auto" w:fill="auto"/>
            <w:vAlign w:val="bottom"/>
          </w:tcPr>
          <w:p w14:paraId="36034640" w14:textId="77777777" w:rsidR="000B7803" w:rsidRPr="00F959D0" w:rsidRDefault="000B7803" w:rsidP="0034622E">
            <w:pPr>
              <w:jc w:val="right"/>
              <w:rPr>
                <w:rFonts w:ascii="Arial" w:hAnsi="Arial" w:cs="Arial"/>
                <w:sz w:val="18"/>
                <w:szCs w:val="18"/>
              </w:rPr>
            </w:pPr>
            <w:r w:rsidRPr="00F959D0">
              <w:rPr>
                <w:rFonts w:ascii="Arial" w:hAnsi="Arial" w:cs="Arial"/>
                <w:sz w:val="18"/>
                <w:szCs w:val="18"/>
              </w:rPr>
              <w:t xml:space="preserve"> (4)</w:t>
            </w:r>
          </w:p>
        </w:tc>
        <w:tc>
          <w:tcPr>
            <w:tcW w:w="1077" w:type="dxa"/>
            <w:tcBorders>
              <w:top w:val="nil"/>
              <w:left w:val="nil"/>
              <w:bottom w:val="nil"/>
              <w:right w:val="nil"/>
            </w:tcBorders>
            <w:shd w:val="clear" w:color="auto" w:fill="auto"/>
            <w:vAlign w:val="bottom"/>
          </w:tcPr>
          <w:p w14:paraId="36AAD473" w14:textId="77777777" w:rsidR="000B7803" w:rsidRPr="00F959D0" w:rsidRDefault="000B7803" w:rsidP="0034622E">
            <w:pPr>
              <w:jc w:val="right"/>
              <w:rPr>
                <w:rFonts w:ascii="Arial" w:hAnsi="Arial" w:cs="Arial"/>
                <w:sz w:val="18"/>
                <w:szCs w:val="18"/>
              </w:rPr>
            </w:pPr>
            <w:r w:rsidRPr="00F959D0">
              <w:rPr>
                <w:rFonts w:ascii="Arial" w:hAnsi="Arial" w:cs="Arial"/>
                <w:sz w:val="18"/>
                <w:szCs w:val="18"/>
              </w:rPr>
              <w:t xml:space="preserve"> - </w:t>
            </w:r>
          </w:p>
        </w:tc>
        <w:tc>
          <w:tcPr>
            <w:tcW w:w="996" w:type="dxa"/>
            <w:tcBorders>
              <w:top w:val="nil"/>
              <w:left w:val="nil"/>
              <w:bottom w:val="nil"/>
              <w:right w:val="nil"/>
            </w:tcBorders>
            <w:shd w:val="clear" w:color="auto" w:fill="auto"/>
            <w:vAlign w:val="bottom"/>
          </w:tcPr>
          <w:p w14:paraId="52A51964" w14:textId="77777777" w:rsidR="000B7803" w:rsidRPr="00F959D0" w:rsidRDefault="000B7803" w:rsidP="0034622E">
            <w:pPr>
              <w:jc w:val="right"/>
              <w:rPr>
                <w:rFonts w:ascii="Arial" w:hAnsi="Arial" w:cs="Arial"/>
                <w:sz w:val="18"/>
                <w:szCs w:val="18"/>
              </w:rPr>
            </w:pPr>
            <w:r w:rsidRPr="00F959D0">
              <w:rPr>
                <w:rFonts w:ascii="Arial" w:hAnsi="Arial" w:cs="Arial"/>
                <w:sz w:val="18"/>
                <w:szCs w:val="18"/>
              </w:rPr>
              <w:t xml:space="preserve"> - </w:t>
            </w:r>
          </w:p>
        </w:tc>
        <w:tc>
          <w:tcPr>
            <w:tcW w:w="1198" w:type="dxa"/>
            <w:tcBorders>
              <w:top w:val="nil"/>
              <w:left w:val="nil"/>
              <w:bottom w:val="nil"/>
              <w:right w:val="nil"/>
            </w:tcBorders>
            <w:shd w:val="clear" w:color="auto" w:fill="auto"/>
            <w:vAlign w:val="bottom"/>
          </w:tcPr>
          <w:p w14:paraId="22CBF476" w14:textId="77777777" w:rsidR="000B7803" w:rsidRPr="005D1219" w:rsidRDefault="000B7803" w:rsidP="0034622E">
            <w:pPr>
              <w:jc w:val="right"/>
              <w:rPr>
                <w:rFonts w:ascii="Arial" w:hAnsi="Arial" w:cs="Arial"/>
                <w:b/>
                <w:bCs/>
                <w:sz w:val="18"/>
                <w:szCs w:val="18"/>
              </w:rPr>
            </w:pPr>
            <w:r w:rsidRPr="005D1219">
              <w:rPr>
                <w:rFonts w:ascii="Arial" w:hAnsi="Arial" w:cs="Arial"/>
                <w:b/>
                <w:bCs/>
                <w:sz w:val="18"/>
                <w:szCs w:val="18"/>
              </w:rPr>
              <w:t xml:space="preserve"> (164)</w:t>
            </w:r>
          </w:p>
        </w:tc>
      </w:tr>
      <w:tr w:rsidR="000B7803" w:rsidRPr="001B015B" w14:paraId="22A84166" w14:textId="77777777" w:rsidTr="0034622E">
        <w:trPr>
          <w:trHeight w:val="180"/>
        </w:trPr>
        <w:tc>
          <w:tcPr>
            <w:tcW w:w="3947" w:type="dxa"/>
            <w:tcBorders>
              <w:top w:val="nil"/>
              <w:left w:val="nil"/>
              <w:bottom w:val="nil"/>
              <w:right w:val="nil"/>
            </w:tcBorders>
            <w:shd w:val="clear" w:color="auto" w:fill="auto"/>
            <w:vAlign w:val="bottom"/>
            <w:hideMark/>
          </w:tcPr>
          <w:p w14:paraId="6ABF3B13" w14:textId="77777777" w:rsidR="000B7803" w:rsidRPr="001B015B" w:rsidRDefault="000B7803" w:rsidP="0034622E">
            <w:pPr>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Stanje 31. prosinca 202</w:t>
            </w:r>
            <w:r>
              <w:rPr>
                <w:rFonts w:ascii="Arial" w:eastAsia="Calibri" w:hAnsi="Arial" w:cs="Arial"/>
                <w:b/>
                <w:bCs/>
                <w:color w:val="000000" w:themeColor="text1"/>
                <w:sz w:val="18"/>
                <w:szCs w:val="18"/>
              </w:rPr>
              <w:t>3</w:t>
            </w:r>
            <w:r w:rsidRPr="001B015B">
              <w:rPr>
                <w:rFonts w:ascii="Arial" w:eastAsia="Calibri" w:hAnsi="Arial" w:cs="Arial"/>
                <w:b/>
                <w:bCs/>
                <w:color w:val="000000" w:themeColor="text1"/>
                <w:sz w:val="18"/>
                <w:szCs w:val="18"/>
              </w:rPr>
              <w:t>.</w:t>
            </w:r>
          </w:p>
        </w:tc>
        <w:tc>
          <w:tcPr>
            <w:tcW w:w="1198" w:type="dxa"/>
            <w:tcBorders>
              <w:top w:val="single" w:sz="4" w:space="0" w:color="auto"/>
              <w:left w:val="nil"/>
              <w:bottom w:val="single" w:sz="12" w:space="0" w:color="auto"/>
              <w:right w:val="nil"/>
            </w:tcBorders>
            <w:shd w:val="clear" w:color="auto" w:fill="auto"/>
            <w:vAlign w:val="bottom"/>
          </w:tcPr>
          <w:p w14:paraId="454A4495" w14:textId="77777777" w:rsidR="000B7803" w:rsidRPr="00495ED1" w:rsidRDefault="000B7803" w:rsidP="0034622E">
            <w:pPr>
              <w:jc w:val="right"/>
              <w:rPr>
                <w:rFonts w:ascii="Arial" w:hAnsi="Arial" w:cs="Arial"/>
                <w:b/>
                <w:bCs/>
                <w:sz w:val="18"/>
                <w:szCs w:val="18"/>
              </w:rPr>
            </w:pPr>
            <w:r w:rsidRPr="00F959D0">
              <w:rPr>
                <w:rFonts w:ascii="Arial" w:hAnsi="Arial" w:cs="Arial"/>
                <w:b/>
                <w:bCs/>
                <w:sz w:val="18"/>
                <w:szCs w:val="18"/>
              </w:rPr>
              <w:t xml:space="preserve"> 223 </w:t>
            </w:r>
          </w:p>
        </w:tc>
        <w:tc>
          <w:tcPr>
            <w:tcW w:w="1077" w:type="dxa"/>
            <w:tcBorders>
              <w:top w:val="single" w:sz="4" w:space="0" w:color="auto"/>
              <w:left w:val="nil"/>
              <w:bottom w:val="single" w:sz="12" w:space="0" w:color="auto"/>
              <w:right w:val="nil"/>
            </w:tcBorders>
            <w:shd w:val="clear" w:color="auto" w:fill="auto"/>
            <w:vAlign w:val="bottom"/>
          </w:tcPr>
          <w:p w14:paraId="4D35EB8F" w14:textId="77777777" w:rsidR="000B7803" w:rsidRPr="00495ED1" w:rsidRDefault="000B7803" w:rsidP="0034622E">
            <w:pPr>
              <w:jc w:val="right"/>
              <w:rPr>
                <w:rFonts w:ascii="Arial" w:hAnsi="Arial" w:cs="Arial"/>
                <w:b/>
                <w:bCs/>
                <w:sz w:val="18"/>
                <w:szCs w:val="18"/>
              </w:rPr>
            </w:pPr>
            <w:r w:rsidRPr="00F959D0">
              <w:rPr>
                <w:rFonts w:ascii="Arial" w:hAnsi="Arial" w:cs="Arial"/>
                <w:b/>
                <w:bCs/>
                <w:sz w:val="18"/>
                <w:szCs w:val="18"/>
              </w:rPr>
              <w:t xml:space="preserve"> - </w:t>
            </w:r>
          </w:p>
        </w:tc>
        <w:tc>
          <w:tcPr>
            <w:tcW w:w="1077" w:type="dxa"/>
            <w:tcBorders>
              <w:top w:val="single" w:sz="4" w:space="0" w:color="auto"/>
              <w:left w:val="nil"/>
              <w:bottom w:val="single" w:sz="12" w:space="0" w:color="auto"/>
              <w:right w:val="nil"/>
            </w:tcBorders>
            <w:shd w:val="clear" w:color="auto" w:fill="auto"/>
            <w:vAlign w:val="bottom"/>
          </w:tcPr>
          <w:p w14:paraId="289AA837" w14:textId="77777777" w:rsidR="000B7803" w:rsidRPr="00495ED1" w:rsidRDefault="000B7803" w:rsidP="0034622E">
            <w:pPr>
              <w:jc w:val="right"/>
              <w:rPr>
                <w:rFonts w:ascii="Arial" w:hAnsi="Arial" w:cs="Arial"/>
                <w:b/>
                <w:bCs/>
                <w:sz w:val="18"/>
                <w:szCs w:val="18"/>
              </w:rPr>
            </w:pPr>
            <w:r w:rsidRPr="00F959D0">
              <w:rPr>
                <w:rFonts w:ascii="Arial" w:hAnsi="Arial" w:cs="Arial"/>
                <w:b/>
                <w:bCs/>
                <w:sz w:val="18"/>
                <w:szCs w:val="18"/>
              </w:rPr>
              <w:t xml:space="preserve"> 231 </w:t>
            </w:r>
          </w:p>
        </w:tc>
        <w:tc>
          <w:tcPr>
            <w:tcW w:w="996" w:type="dxa"/>
            <w:tcBorders>
              <w:top w:val="single" w:sz="4" w:space="0" w:color="auto"/>
              <w:left w:val="nil"/>
              <w:bottom w:val="single" w:sz="12" w:space="0" w:color="auto"/>
              <w:right w:val="nil"/>
            </w:tcBorders>
            <w:shd w:val="clear" w:color="auto" w:fill="auto"/>
            <w:vAlign w:val="bottom"/>
          </w:tcPr>
          <w:p w14:paraId="50340299" w14:textId="77777777" w:rsidR="000B7803" w:rsidRPr="00495ED1" w:rsidRDefault="000B7803" w:rsidP="0034622E">
            <w:pPr>
              <w:jc w:val="right"/>
              <w:rPr>
                <w:rFonts w:ascii="Arial" w:hAnsi="Arial" w:cs="Arial"/>
                <w:b/>
                <w:bCs/>
                <w:sz w:val="18"/>
                <w:szCs w:val="18"/>
              </w:rPr>
            </w:pPr>
            <w:r w:rsidRPr="00F959D0">
              <w:rPr>
                <w:rFonts w:ascii="Arial" w:hAnsi="Arial" w:cs="Arial"/>
                <w:b/>
                <w:bCs/>
                <w:sz w:val="18"/>
                <w:szCs w:val="18"/>
              </w:rPr>
              <w:t xml:space="preserve"> - </w:t>
            </w:r>
          </w:p>
        </w:tc>
        <w:tc>
          <w:tcPr>
            <w:tcW w:w="1198" w:type="dxa"/>
            <w:tcBorders>
              <w:top w:val="single" w:sz="4" w:space="0" w:color="auto"/>
              <w:left w:val="nil"/>
              <w:bottom w:val="single" w:sz="12" w:space="0" w:color="auto"/>
              <w:right w:val="nil"/>
            </w:tcBorders>
            <w:shd w:val="clear" w:color="auto" w:fill="auto"/>
            <w:vAlign w:val="bottom"/>
          </w:tcPr>
          <w:p w14:paraId="76547F65" w14:textId="77777777" w:rsidR="000B7803" w:rsidRPr="00495ED1" w:rsidRDefault="000B7803" w:rsidP="0034622E">
            <w:pPr>
              <w:jc w:val="right"/>
              <w:rPr>
                <w:rFonts w:ascii="Arial" w:hAnsi="Arial" w:cs="Arial"/>
                <w:b/>
                <w:bCs/>
                <w:sz w:val="18"/>
                <w:szCs w:val="18"/>
              </w:rPr>
            </w:pPr>
            <w:r w:rsidRPr="00F959D0">
              <w:rPr>
                <w:rFonts w:ascii="Arial" w:hAnsi="Arial" w:cs="Arial"/>
                <w:b/>
                <w:bCs/>
                <w:sz w:val="18"/>
                <w:szCs w:val="18"/>
              </w:rPr>
              <w:t xml:space="preserve"> 454 </w:t>
            </w:r>
          </w:p>
        </w:tc>
      </w:tr>
    </w:tbl>
    <w:p w14:paraId="08BE3A20" w14:textId="68BFE95A" w:rsidR="00A269B5" w:rsidRPr="003D1614" w:rsidRDefault="00A269B5" w:rsidP="001A0FCB">
      <w:pPr>
        <w:suppressAutoHyphens/>
        <w:autoSpaceDN w:val="0"/>
        <w:jc w:val="both"/>
        <w:rPr>
          <w:rFonts w:ascii="Arial" w:eastAsia="Times New Roman" w:hAnsi="Arial" w:cs="Arial"/>
          <w:color w:val="000000" w:themeColor="text1"/>
          <w:sz w:val="20"/>
          <w:szCs w:val="20"/>
        </w:rPr>
      </w:pPr>
    </w:p>
    <w:p w14:paraId="25FD90D5" w14:textId="77777777" w:rsidR="00A269B5" w:rsidRPr="003D1614" w:rsidRDefault="00A269B5" w:rsidP="001A0FCB">
      <w:pPr>
        <w:suppressAutoHyphens/>
        <w:autoSpaceDN w:val="0"/>
        <w:jc w:val="both"/>
        <w:rPr>
          <w:rFonts w:ascii="Arial" w:eastAsia="Times New Roman" w:hAnsi="Arial" w:cs="Arial"/>
          <w:color w:val="000000" w:themeColor="text1"/>
          <w:sz w:val="20"/>
          <w:szCs w:val="20"/>
        </w:rPr>
        <w:sectPr w:rsidR="00A269B5" w:rsidRPr="003D1614" w:rsidSect="003278AB">
          <w:pgSz w:w="11906" w:h="16838"/>
          <w:pgMar w:top="1417" w:right="1417" w:bottom="1417" w:left="1417" w:header="708" w:footer="708" w:gutter="0"/>
          <w:cols w:space="708"/>
          <w:docGrid w:linePitch="360"/>
        </w:sectPr>
      </w:pPr>
    </w:p>
    <w:p w14:paraId="51E42C60" w14:textId="77777777"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p>
    <w:p w14:paraId="398748C0" w14:textId="4606CD18"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15FEBA7B" w14:textId="77777777"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p>
    <w:p w14:paraId="6844B428" w14:textId="5569D69A"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.3. </w:t>
      </w:r>
      <w:r w:rsidRPr="003D1614">
        <w:rPr>
          <w:rFonts w:ascii="Arial" w:eastAsia="Times New Roman" w:hAnsi="Arial" w:cs="Arial"/>
          <w:b/>
          <w:bCs/>
          <w:color w:val="000000" w:themeColor="text1"/>
          <w:sz w:val="20"/>
          <w:szCs w:val="20"/>
        </w:rPr>
        <w:tab/>
        <w:t>Kreditni rizik (nastavak)</w:t>
      </w:r>
    </w:p>
    <w:p w14:paraId="2EC05A91" w14:textId="77777777"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p>
    <w:p w14:paraId="245F4611" w14:textId="77777777" w:rsidR="00A269B5" w:rsidRPr="003D1614" w:rsidRDefault="00A269B5" w:rsidP="00A269B5">
      <w:pPr>
        <w:keepNext/>
        <w:tabs>
          <w:tab w:val="left" w:pos="284"/>
        </w:tabs>
        <w:suppressAutoHyphens/>
        <w:autoSpaceDN w:val="0"/>
        <w:jc w:val="both"/>
        <w:rPr>
          <w:rFonts w:ascii="Arial" w:eastAsia="Times New Roman" w:hAnsi="Arial" w:cs="Arial"/>
          <w:bCs/>
          <w:i/>
          <w:color w:val="000000" w:themeColor="text1"/>
          <w:sz w:val="20"/>
          <w:szCs w:val="20"/>
        </w:rPr>
      </w:pPr>
      <w:r w:rsidRPr="003D1614">
        <w:rPr>
          <w:rFonts w:ascii="Arial" w:eastAsia="Times New Roman" w:hAnsi="Arial" w:cs="Arial"/>
          <w:bCs/>
          <w:i/>
          <w:color w:val="000000" w:themeColor="text1"/>
          <w:sz w:val="20"/>
          <w:szCs w:val="20"/>
        </w:rPr>
        <w:t>i.</w:t>
      </w:r>
      <w:r w:rsidRPr="003D1614">
        <w:rPr>
          <w:rFonts w:ascii="Arial" w:eastAsia="Times New Roman" w:hAnsi="Arial" w:cs="Arial"/>
          <w:bCs/>
          <w:i/>
          <w:color w:val="000000" w:themeColor="text1"/>
          <w:sz w:val="20"/>
          <w:szCs w:val="20"/>
        </w:rPr>
        <w:tab/>
        <w:t>Promjene po rezerviranjima (nastavak)</w:t>
      </w:r>
    </w:p>
    <w:p w14:paraId="760FC866" w14:textId="77777777" w:rsidR="00A269B5" w:rsidRPr="003D1614" w:rsidRDefault="00A269B5" w:rsidP="00A269B5">
      <w:pPr>
        <w:keepNext/>
        <w:tabs>
          <w:tab w:val="left" w:pos="284"/>
        </w:tabs>
        <w:suppressAutoHyphens/>
        <w:autoSpaceDN w:val="0"/>
        <w:jc w:val="both"/>
        <w:rPr>
          <w:rFonts w:ascii="Arial" w:eastAsia="Times New Roman" w:hAnsi="Arial" w:cs="Arial"/>
          <w:bCs/>
          <w:i/>
          <w:color w:val="000000" w:themeColor="text1"/>
          <w:sz w:val="20"/>
          <w:szCs w:val="20"/>
        </w:rPr>
      </w:pPr>
    </w:p>
    <w:p w14:paraId="5687E32B" w14:textId="77777777"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Financijska imovina po fer vrijednosti kroz ostalu sveobuhvatnu dobit (nastavak)</w:t>
      </w:r>
    </w:p>
    <w:p w14:paraId="3622DB0A" w14:textId="77777777"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p>
    <w:tbl>
      <w:tblPr>
        <w:tblW w:w="9361" w:type="dxa"/>
        <w:tblInd w:w="-180" w:type="dxa"/>
        <w:tblLook w:val="04A0" w:firstRow="1" w:lastRow="0" w:firstColumn="1" w:lastColumn="0" w:noHBand="0" w:noVBand="1"/>
      </w:tblPr>
      <w:tblGrid>
        <w:gridCol w:w="3876"/>
        <w:gridCol w:w="1134"/>
        <w:gridCol w:w="1077"/>
        <w:gridCol w:w="1077"/>
        <w:gridCol w:w="999"/>
        <w:gridCol w:w="1198"/>
      </w:tblGrid>
      <w:tr w:rsidR="00A269B5" w:rsidRPr="003D1614" w14:paraId="5882F13B" w14:textId="77777777" w:rsidTr="007478FB">
        <w:trPr>
          <w:trHeight w:val="185"/>
        </w:trPr>
        <w:tc>
          <w:tcPr>
            <w:tcW w:w="3876" w:type="dxa"/>
            <w:tcBorders>
              <w:top w:val="nil"/>
              <w:left w:val="nil"/>
              <w:bottom w:val="nil"/>
              <w:right w:val="nil"/>
            </w:tcBorders>
            <w:shd w:val="clear" w:color="auto" w:fill="auto"/>
            <w:vAlign w:val="bottom"/>
          </w:tcPr>
          <w:p w14:paraId="7239D01E" w14:textId="77777777" w:rsidR="00A269B5" w:rsidRPr="003D1614" w:rsidRDefault="00A269B5" w:rsidP="00A269B5">
            <w:pPr>
              <w:suppressAutoHyphens/>
              <w:autoSpaceDN w:val="0"/>
              <w:rPr>
                <w:rFonts w:ascii="Arial" w:eastAsia="Calibri" w:hAnsi="Arial" w:cs="Arial"/>
                <w:b/>
                <w:bCs/>
                <w:color w:val="000000" w:themeColor="text1"/>
                <w:sz w:val="18"/>
                <w:szCs w:val="18"/>
              </w:rPr>
            </w:pPr>
            <w:bookmarkStart w:id="749" w:name="_Hlk24387194"/>
            <w:r w:rsidRPr="003D1614">
              <w:rPr>
                <w:rFonts w:ascii="Arial" w:eastAsia="Calibri" w:hAnsi="Arial" w:cs="Arial"/>
                <w:b/>
                <w:bCs/>
                <w:color w:val="000000" w:themeColor="text1"/>
                <w:sz w:val="18"/>
                <w:szCs w:val="18"/>
              </w:rPr>
              <w:t>Banka</w:t>
            </w:r>
          </w:p>
        </w:tc>
        <w:tc>
          <w:tcPr>
            <w:tcW w:w="1134" w:type="dxa"/>
            <w:tcBorders>
              <w:top w:val="nil"/>
              <w:left w:val="nil"/>
              <w:bottom w:val="nil"/>
              <w:right w:val="nil"/>
            </w:tcBorders>
            <w:shd w:val="clear" w:color="auto" w:fill="auto"/>
            <w:vAlign w:val="bottom"/>
          </w:tcPr>
          <w:p w14:paraId="2EF205A9"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77" w:type="dxa"/>
            <w:tcBorders>
              <w:top w:val="nil"/>
              <w:left w:val="nil"/>
              <w:bottom w:val="nil"/>
              <w:right w:val="nil"/>
            </w:tcBorders>
            <w:shd w:val="clear" w:color="auto" w:fill="auto"/>
            <w:vAlign w:val="bottom"/>
          </w:tcPr>
          <w:p w14:paraId="15CFFA7D"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77" w:type="dxa"/>
            <w:tcBorders>
              <w:top w:val="nil"/>
              <w:left w:val="nil"/>
              <w:bottom w:val="nil"/>
              <w:right w:val="nil"/>
            </w:tcBorders>
            <w:shd w:val="clear" w:color="auto" w:fill="auto"/>
            <w:vAlign w:val="bottom"/>
          </w:tcPr>
          <w:p w14:paraId="66C95BEF"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999" w:type="dxa"/>
            <w:tcBorders>
              <w:top w:val="nil"/>
              <w:left w:val="nil"/>
              <w:bottom w:val="nil"/>
              <w:right w:val="nil"/>
            </w:tcBorders>
            <w:shd w:val="clear" w:color="auto" w:fill="auto"/>
            <w:vAlign w:val="bottom"/>
          </w:tcPr>
          <w:p w14:paraId="55D8C773"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198" w:type="dxa"/>
            <w:tcBorders>
              <w:top w:val="nil"/>
              <w:left w:val="nil"/>
              <w:bottom w:val="nil"/>
              <w:right w:val="nil"/>
            </w:tcBorders>
            <w:shd w:val="clear" w:color="auto" w:fill="auto"/>
            <w:vAlign w:val="bottom"/>
          </w:tcPr>
          <w:p w14:paraId="786868A1"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r>
      <w:tr w:rsidR="00A269B5" w:rsidRPr="003D1614" w14:paraId="1C0BA451" w14:textId="77777777" w:rsidTr="007478FB">
        <w:trPr>
          <w:trHeight w:val="185"/>
        </w:trPr>
        <w:tc>
          <w:tcPr>
            <w:tcW w:w="3876" w:type="dxa"/>
            <w:tcBorders>
              <w:top w:val="nil"/>
              <w:left w:val="nil"/>
              <w:bottom w:val="nil"/>
              <w:right w:val="nil"/>
            </w:tcBorders>
            <w:shd w:val="clear" w:color="auto" w:fill="auto"/>
            <w:vAlign w:val="bottom"/>
            <w:hideMark/>
          </w:tcPr>
          <w:p w14:paraId="326D514E" w14:textId="15DF18AD" w:rsidR="00A269B5" w:rsidRPr="003D1614" w:rsidRDefault="00881155" w:rsidP="00A269B5">
            <w:pPr>
              <w:suppressAutoHyphens/>
              <w:autoSpaceDN w:val="0"/>
              <w:rPr>
                <w:rFonts w:ascii="Arial" w:eastAsia="Calibri" w:hAnsi="Arial" w:cs="Arial"/>
                <w:b/>
                <w:bCs/>
                <w:color w:val="000000" w:themeColor="text1"/>
                <w:sz w:val="18"/>
                <w:szCs w:val="18"/>
              </w:rPr>
            </w:pPr>
            <w:r w:rsidRPr="00881155">
              <w:rPr>
                <w:rFonts w:ascii="Arial" w:eastAsia="Calibri" w:hAnsi="Arial" w:cs="Arial"/>
                <w:b/>
                <w:bCs/>
                <w:color w:val="000000" w:themeColor="text1"/>
                <w:sz w:val="18"/>
                <w:szCs w:val="18"/>
              </w:rPr>
              <w:t>30. rujna 202</w:t>
            </w:r>
            <w:r w:rsidR="00D90321">
              <w:rPr>
                <w:rFonts w:ascii="Arial" w:eastAsia="Calibri" w:hAnsi="Arial" w:cs="Arial"/>
                <w:b/>
                <w:bCs/>
                <w:color w:val="000000" w:themeColor="text1"/>
                <w:sz w:val="18"/>
                <w:szCs w:val="18"/>
              </w:rPr>
              <w:t>4</w:t>
            </w:r>
            <w:r w:rsidRPr="00881155">
              <w:rPr>
                <w:rFonts w:ascii="Arial" w:eastAsia="Calibri" w:hAnsi="Arial" w:cs="Arial"/>
                <w:b/>
                <w:bCs/>
                <w:color w:val="000000" w:themeColor="text1"/>
                <w:sz w:val="18"/>
                <w:szCs w:val="18"/>
              </w:rPr>
              <w:t>.</w:t>
            </w:r>
          </w:p>
        </w:tc>
        <w:tc>
          <w:tcPr>
            <w:tcW w:w="1134" w:type="dxa"/>
            <w:tcBorders>
              <w:top w:val="nil"/>
              <w:left w:val="nil"/>
              <w:bottom w:val="nil"/>
              <w:right w:val="nil"/>
            </w:tcBorders>
            <w:shd w:val="clear" w:color="auto" w:fill="auto"/>
            <w:vAlign w:val="bottom"/>
            <w:hideMark/>
          </w:tcPr>
          <w:p w14:paraId="26D4F441"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1</w:t>
            </w:r>
          </w:p>
        </w:tc>
        <w:tc>
          <w:tcPr>
            <w:tcW w:w="1077" w:type="dxa"/>
            <w:tcBorders>
              <w:top w:val="nil"/>
              <w:left w:val="nil"/>
              <w:bottom w:val="nil"/>
              <w:right w:val="nil"/>
            </w:tcBorders>
            <w:shd w:val="clear" w:color="auto" w:fill="auto"/>
            <w:vAlign w:val="bottom"/>
            <w:hideMark/>
          </w:tcPr>
          <w:p w14:paraId="52AB3010"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2</w:t>
            </w:r>
          </w:p>
        </w:tc>
        <w:tc>
          <w:tcPr>
            <w:tcW w:w="1077" w:type="dxa"/>
            <w:tcBorders>
              <w:top w:val="nil"/>
              <w:left w:val="nil"/>
              <w:bottom w:val="nil"/>
              <w:right w:val="nil"/>
            </w:tcBorders>
            <w:shd w:val="clear" w:color="auto" w:fill="auto"/>
            <w:vAlign w:val="bottom"/>
            <w:hideMark/>
          </w:tcPr>
          <w:p w14:paraId="0C5FB679"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3</w:t>
            </w:r>
          </w:p>
        </w:tc>
        <w:tc>
          <w:tcPr>
            <w:tcW w:w="999" w:type="dxa"/>
            <w:tcBorders>
              <w:top w:val="nil"/>
              <w:left w:val="nil"/>
              <w:bottom w:val="nil"/>
              <w:right w:val="nil"/>
            </w:tcBorders>
            <w:shd w:val="clear" w:color="auto" w:fill="auto"/>
            <w:vAlign w:val="bottom"/>
            <w:hideMark/>
          </w:tcPr>
          <w:p w14:paraId="4EE7FF92"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POCI</w:t>
            </w:r>
          </w:p>
        </w:tc>
        <w:tc>
          <w:tcPr>
            <w:tcW w:w="1198" w:type="dxa"/>
            <w:tcBorders>
              <w:top w:val="nil"/>
              <w:left w:val="nil"/>
              <w:bottom w:val="nil"/>
              <w:right w:val="nil"/>
            </w:tcBorders>
            <w:shd w:val="clear" w:color="auto" w:fill="auto"/>
            <w:vAlign w:val="bottom"/>
            <w:hideMark/>
          </w:tcPr>
          <w:p w14:paraId="3544660C"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Ukupno</w:t>
            </w:r>
          </w:p>
        </w:tc>
      </w:tr>
      <w:tr w:rsidR="00A269B5" w:rsidRPr="003D1614" w14:paraId="5F067EE4" w14:textId="77777777" w:rsidTr="007478FB">
        <w:trPr>
          <w:trHeight w:val="185"/>
        </w:trPr>
        <w:tc>
          <w:tcPr>
            <w:tcW w:w="3876" w:type="dxa"/>
            <w:tcBorders>
              <w:top w:val="nil"/>
              <w:left w:val="nil"/>
              <w:bottom w:val="nil"/>
              <w:right w:val="nil"/>
            </w:tcBorders>
            <w:shd w:val="clear" w:color="auto" w:fill="auto"/>
            <w:vAlign w:val="bottom"/>
            <w:hideMark/>
          </w:tcPr>
          <w:p w14:paraId="05AB759F"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134" w:type="dxa"/>
            <w:tcBorders>
              <w:top w:val="nil"/>
              <w:left w:val="nil"/>
              <w:bottom w:val="nil"/>
              <w:right w:val="nil"/>
            </w:tcBorders>
            <w:shd w:val="clear" w:color="auto" w:fill="auto"/>
            <w:vAlign w:val="bottom"/>
            <w:hideMark/>
          </w:tcPr>
          <w:p w14:paraId="1DCBFF19" w14:textId="4F7F0C5F"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77" w:type="dxa"/>
            <w:tcBorders>
              <w:top w:val="nil"/>
              <w:left w:val="nil"/>
              <w:bottom w:val="nil"/>
              <w:right w:val="nil"/>
            </w:tcBorders>
            <w:shd w:val="clear" w:color="auto" w:fill="auto"/>
            <w:vAlign w:val="bottom"/>
            <w:hideMark/>
          </w:tcPr>
          <w:p w14:paraId="36062D9C" w14:textId="26867934"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77" w:type="dxa"/>
            <w:tcBorders>
              <w:top w:val="nil"/>
              <w:left w:val="nil"/>
              <w:bottom w:val="nil"/>
              <w:right w:val="nil"/>
            </w:tcBorders>
            <w:shd w:val="clear" w:color="auto" w:fill="auto"/>
            <w:vAlign w:val="bottom"/>
            <w:hideMark/>
          </w:tcPr>
          <w:p w14:paraId="2610971C" w14:textId="4ABD4839"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999" w:type="dxa"/>
            <w:tcBorders>
              <w:top w:val="nil"/>
              <w:left w:val="nil"/>
              <w:bottom w:val="nil"/>
              <w:right w:val="nil"/>
            </w:tcBorders>
            <w:shd w:val="clear" w:color="auto" w:fill="auto"/>
            <w:vAlign w:val="bottom"/>
            <w:hideMark/>
          </w:tcPr>
          <w:p w14:paraId="6581D40D" w14:textId="4672E6C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198" w:type="dxa"/>
            <w:tcBorders>
              <w:top w:val="nil"/>
              <w:left w:val="nil"/>
              <w:bottom w:val="nil"/>
              <w:right w:val="nil"/>
            </w:tcBorders>
            <w:shd w:val="clear" w:color="auto" w:fill="auto"/>
            <w:vAlign w:val="bottom"/>
            <w:hideMark/>
          </w:tcPr>
          <w:p w14:paraId="40B0F07B" w14:textId="0CD71F43"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r>
      <w:tr w:rsidR="00A269B5" w:rsidRPr="003D1614" w14:paraId="49DDD4DD" w14:textId="77777777" w:rsidTr="00D2149F">
        <w:trPr>
          <w:trHeight w:val="185"/>
        </w:trPr>
        <w:tc>
          <w:tcPr>
            <w:tcW w:w="3876" w:type="dxa"/>
            <w:tcBorders>
              <w:top w:val="nil"/>
              <w:left w:val="nil"/>
              <w:bottom w:val="nil"/>
              <w:right w:val="nil"/>
            </w:tcBorders>
            <w:shd w:val="clear" w:color="auto" w:fill="auto"/>
            <w:vAlign w:val="bottom"/>
          </w:tcPr>
          <w:p w14:paraId="173ED35D"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134" w:type="dxa"/>
            <w:tcBorders>
              <w:top w:val="nil"/>
              <w:left w:val="nil"/>
              <w:right w:val="nil"/>
            </w:tcBorders>
            <w:shd w:val="clear" w:color="auto" w:fill="auto"/>
            <w:vAlign w:val="bottom"/>
          </w:tcPr>
          <w:p w14:paraId="603F44CA"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77" w:type="dxa"/>
            <w:tcBorders>
              <w:top w:val="nil"/>
              <w:left w:val="nil"/>
              <w:right w:val="nil"/>
            </w:tcBorders>
            <w:shd w:val="clear" w:color="auto" w:fill="auto"/>
            <w:vAlign w:val="bottom"/>
          </w:tcPr>
          <w:p w14:paraId="763EE773"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77" w:type="dxa"/>
            <w:tcBorders>
              <w:top w:val="nil"/>
              <w:left w:val="nil"/>
              <w:right w:val="nil"/>
            </w:tcBorders>
            <w:shd w:val="clear" w:color="auto" w:fill="auto"/>
            <w:vAlign w:val="bottom"/>
          </w:tcPr>
          <w:p w14:paraId="66422075"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999" w:type="dxa"/>
            <w:tcBorders>
              <w:top w:val="nil"/>
              <w:left w:val="nil"/>
              <w:right w:val="nil"/>
            </w:tcBorders>
            <w:shd w:val="clear" w:color="auto" w:fill="auto"/>
            <w:vAlign w:val="bottom"/>
          </w:tcPr>
          <w:p w14:paraId="11E4281C"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198" w:type="dxa"/>
            <w:tcBorders>
              <w:top w:val="nil"/>
              <w:left w:val="nil"/>
              <w:right w:val="nil"/>
            </w:tcBorders>
            <w:shd w:val="clear" w:color="auto" w:fill="auto"/>
            <w:vAlign w:val="bottom"/>
          </w:tcPr>
          <w:p w14:paraId="78E37A75"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r>
      <w:tr w:rsidR="00D2149F" w:rsidRPr="003D1614" w14:paraId="536F0968" w14:textId="77777777" w:rsidTr="00020EC8">
        <w:trPr>
          <w:trHeight w:val="185"/>
        </w:trPr>
        <w:tc>
          <w:tcPr>
            <w:tcW w:w="3876" w:type="dxa"/>
            <w:tcBorders>
              <w:top w:val="nil"/>
              <w:left w:val="nil"/>
              <w:bottom w:val="nil"/>
              <w:right w:val="nil"/>
            </w:tcBorders>
            <w:shd w:val="clear" w:color="auto" w:fill="auto"/>
            <w:vAlign w:val="bottom"/>
            <w:hideMark/>
          </w:tcPr>
          <w:p w14:paraId="5E3BED96" w14:textId="00BCCC0C" w:rsidR="00D2149F" w:rsidRPr="003D1614" w:rsidRDefault="00D2149F" w:rsidP="00D2149F">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Stanje 1. siječnja 202</w:t>
            </w:r>
            <w:r>
              <w:rPr>
                <w:rFonts w:ascii="Arial" w:eastAsia="Calibri" w:hAnsi="Arial" w:cs="Arial"/>
                <w:color w:val="000000" w:themeColor="text1"/>
                <w:sz w:val="18"/>
                <w:szCs w:val="18"/>
              </w:rPr>
              <w:t>4</w:t>
            </w:r>
            <w:r w:rsidRPr="003D1614">
              <w:rPr>
                <w:rFonts w:ascii="Arial" w:eastAsia="Calibri" w:hAnsi="Arial" w:cs="Arial"/>
                <w:color w:val="000000" w:themeColor="text1"/>
                <w:sz w:val="18"/>
                <w:szCs w:val="18"/>
              </w:rPr>
              <w:t xml:space="preserve">. </w:t>
            </w:r>
          </w:p>
        </w:tc>
        <w:tc>
          <w:tcPr>
            <w:tcW w:w="1134" w:type="dxa"/>
            <w:tcBorders>
              <w:left w:val="nil"/>
              <w:right w:val="nil"/>
            </w:tcBorders>
            <w:shd w:val="clear" w:color="auto" w:fill="auto"/>
            <w:vAlign w:val="bottom"/>
          </w:tcPr>
          <w:p w14:paraId="3C168263" w14:textId="067E8EBA" w:rsidR="00D2149F" w:rsidRPr="00020EC8" w:rsidRDefault="00D2149F" w:rsidP="00D2149F">
            <w:pPr>
              <w:suppressAutoHyphens/>
              <w:autoSpaceDN w:val="0"/>
              <w:jc w:val="right"/>
              <w:rPr>
                <w:rFonts w:ascii="Arial" w:eastAsia="Times New Roman" w:hAnsi="Arial" w:cs="Arial"/>
                <w:sz w:val="18"/>
                <w:szCs w:val="18"/>
              </w:rPr>
            </w:pPr>
            <w:r w:rsidRPr="00020EC8">
              <w:rPr>
                <w:rFonts w:ascii="Arial" w:hAnsi="Arial" w:cs="Arial"/>
                <w:sz w:val="18"/>
                <w:szCs w:val="18"/>
              </w:rPr>
              <w:t xml:space="preserve"> 211 </w:t>
            </w:r>
          </w:p>
        </w:tc>
        <w:tc>
          <w:tcPr>
            <w:tcW w:w="1077" w:type="dxa"/>
            <w:tcBorders>
              <w:left w:val="nil"/>
              <w:right w:val="nil"/>
            </w:tcBorders>
            <w:shd w:val="clear" w:color="auto" w:fill="auto"/>
            <w:vAlign w:val="bottom"/>
          </w:tcPr>
          <w:p w14:paraId="4694E336" w14:textId="4036205B" w:rsidR="00D2149F" w:rsidRPr="00020EC8" w:rsidRDefault="00D2149F" w:rsidP="00D2149F">
            <w:pPr>
              <w:suppressAutoHyphens/>
              <w:autoSpaceDN w:val="0"/>
              <w:jc w:val="right"/>
              <w:rPr>
                <w:rFonts w:ascii="Arial" w:eastAsia="Times New Roman" w:hAnsi="Arial" w:cs="Arial"/>
                <w:sz w:val="18"/>
                <w:szCs w:val="18"/>
              </w:rPr>
            </w:pPr>
            <w:r w:rsidRPr="00020EC8">
              <w:rPr>
                <w:rFonts w:ascii="Arial" w:hAnsi="Arial" w:cs="Arial"/>
                <w:sz w:val="18"/>
                <w:szCs w:val="18"/>
              </w:rPr>
              <w:t xml:space="preserve"> - </w:t>
            </w:r>
          </w:p>
        </w:tc>
        <w:tc>
          <w:tcPr>
            <w:tcW w:w="1077" w:type="dxa"/>
            <w:tcBorders>
              <w:left w:val="nil"/>
              <w:right w:val="nil"/>
            </w:tcBorders>
            <w:shd w:val="clear" w:color="auto" w:fill="auto"/>
            <w:vAlign w:val="bottom"/>
          </w:tcPr>
          <w:p w14:paraId="58DD60E3" w14:textId="77841208" w:rsidR="00D2149F" w:rsidRPr="00020EC8" w:rsidRDefault="00D2149F" w:rsidP="00D2149F">
            <w:pPr>
              <w:suppressAutoHyphens/>
              <w:autoSpaceDN w:val="0"/>
              <w:jc w:val="right"/>
              <w:rPr>
                <w:rFonts w:ascii="Arial" w:eastAsia="Times New Roman" w:hAnsi="Arial" w:cs="Arial"/>
                <w:sz w:val="18"/>
                <w:szCs w:val="18"/>
              </w:rPr>
            </w:pPr>
            <w:r w:rsidRPr="00020EC8">
              <w:rPr>
                <w:rFonts w:ascii="Arial" w:hAnsi="Arial" w:cs="Arial"/>
                <w:sz w:val="18"/>
                <w:szCs w:val="18"/>
              </w:rPr>
              <w:t xml:space="preserve"> 231 </w:t>
            </w:r>
          </w:p>
        </w:tc>
        <w:tc>
          <w:tcPr>
            <w:tcW w:w="999" w:type="dxa"/>
            <w:tcBorders>
              <w:left w:val="nil"/>
              <w:right w:val="nil"/>
            </w:tcBorders>
            <w:shd w:val="clear" w:color="auto" w:fill="auto"/>
            <w:vAlign w:val="bottom"/>
          </w:tcPr>
          <w:p w14:paraId="3FDACF3D" w14:textId="20B4A7FB" w:rsidR="00D2149F" w:rsidRPr="00020EC8" w:rsidRDefault="00D2149F" w:rsidP="00D2149F">
            <w:pPr>
              <w:suppressAutoHyphens/>
              <w:autoSpaceDN w:val="0"/>
              <w:jc w:val="right"/>
              <w:rPr>
                <w:rFonts w:ascii="Arial" w:eastAsia="Times New Roman" w:hAnsi="Arial" w:cs="Arial"/>
                <w:sz w:val="18"/>
                <w:szCs w:val="18"/>
              </w:rPr>
            </w:pPr>
            <w:r w:rsidRPr="00020EC8">
              <w:rPr>
                <w:rFonts w:ascii="Arial" w:hAnsi="Arial" w:cs="Arial"/>
                <w:sz w:val="18"/>
                <w:szCs w:val="18"/>
              </w:rPr>
              <w:t xml:space="preserve"> - </w:t>
            </w:r>
          </w:p>
        </w:tc>
        <w:tc>
          <w:tcPr>
            <w:tcW w:w="1198" w:type="dxa"/>
            <w:tcBorders>
              <w:left w:val="nil"/>
              <w:right w:val="nil"/>
            </w:tcBorders>
            <w:shd w:val="clear" w:color="auto" w:fill="auto"/>
            <w:vAlign w:val="bottom"/>
          </w:tcPr>
          <w:p w14:paraId="484D2AC8" w14:textId="4D9D1163" w:rsidR="00D2149F" w:rsidRPr="00020EC8" w:rsidRDefault="00D2149F" w:rsidP="00D2149F">
            <w:pPr>
              <w:suppressAutoHyphens/>
              <w:autoSpaceDN w:val="0"/>
              <w:jc w:val="right"/>
              <w:rPr>
                <w:rFonts w:ascii="Arial" w:eastAsia="Times New Roman" w:hAnsi="Arial" w:cs="Arial"/>
                <w:sz w:val="18"/>
                <w:szCs w:val="18"/>
              </w:rPr>
            </w:pPr>
            <w:r w:rsidRPr="00020EC8">
              <w:rPr>
                <w:rFonts w:ascii="Arial" w:hAnsi="Arial" w:cs="Arial"/>
                <w:b/>
                <w:bCs/>
                <w:sz w:val="18"/>
                <w:szCs w:val="18"/>
              </w:rPr>
              <w:t xml:space="preserve"> 442 </w:t>
            </w:r>
          </w:p>
        </w:tc>
      </w:tr>
      <w:tr w:rsidR="00D2149F" w:rsidRPr="003D1614" w14:paraId="2AD01435" w14:textId="77777777" w:rsidTr="00020EC8">
        <w:trPr>
          <w:trHeight w:val="185"/>
        </w:trPr>
        <w:tc>
          <w:tcPr>
            <w:tcW w:w="3876" w:type="dxa"/>
            <w:shd w:val="clear" w:color="auto" w:fill="auto"/>
            <w:vAlign w:val="bottom"/>
          </w:tcPr>
          <w:p w14:paraId="65C8B0F2" w14:textId="77777777" w:rsidR="00D2149F" w:rsidRPr="003D1614" w:rsidRDefault="00D2149F" w:rsidP="00D2149F">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1</w:t>
            </w:r>
          </w:p>
        </w:tc>
        <w:tc>
          <w:tcPr>
            <w:tcW w:w="1134" w:type="dxa"/>
            <w:shd w:val="clear" w:color="auto" w:fill="auto"/>
            <w:vAlign w:val="bottom"/>
          </w:tcPr>
          <w:p w14:paraId="5F392FC5" w14:textId="15065C9E" w:rsidR="00D2149F" w:rsidRPr="00020EC8" w:rsidRDefault="00132D03" w:rsidP="00D2149F">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77" w:type="dxa"/>
            <w:shd w:val="clear" w:color="auto" w:fill="auto"/>
            <w:vAlign w:val="bottom"/>
          </w:tcPr>
          <w:p w14:paraId="2FEA7C13" w14:textId="301BD292" w:rsidR="00D2149F" w:rsidRPr="00020EC8" w:rsidRDefault="00132D03" w:rsidP="00D2149F">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77" w:type="dxa"/>
            <w:shd w:val="clear" w:color="auto" w:fill="auto"/>
            <w:vAlign w:val="bottom"/>
          </w:tcPr>
          <w:p w14:paraId="51A6A0C5" w14:textId="3669F538" w:rsidR="00D2149F" w:rsidRPr="00020EC8" w:rsidRDefault="00132D03" w:rsidP="00D2149F">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999" w:type="dxa"/>
            <w:shd w:val="clear" w:color="auto" w:fill="auto"/>
            <w:vAlign w:val="bottom"/>
          </w:tcPr>
          <w:p w14:paraId="0072846E" w14:textId="19F13871" w:rsidR="00D2149F" w:rsidRPr="00020EC8" w:rsidRDefault="00132D03" w:rsidP="00D2149F">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198" w:type="dxa"/>
            <w:shd w:val="clear" w:color="auto" w:fill="auto"/>
            <w:vAlign w:val="bottom"/>
          </w:tcPr>
          <w:p w14:paraId="444F21CA" w14:textId="560F0B62" w:rsidR="00D2149F" w:rsidRPr="00132D03" w:rsidRDefault="00132D03" w:rsidP="00D2149F">
            <w:pPr>
              <w:suppressAutoHyphens/>
              <w:autoSpaceDN w:val="0"/>
              <w:jc w:val="right"/>
              <w:rPr>
                <w:rFonts w:ascii="Arial" w:eastAsia="Times New Roman" w:hAnsi="Arial" w:cs="Arial"/>
                <w:b/>
                <w:bCs/>
                <w:sz w:val="18"/>
                <w:szCs w:val="18"/>
              </w:rPr>
            </w:pPr>
            <w:r w:rsidRPr="00132D03">
              <w:rPr>
                <w:rFonts w:ascii="Arial" w:eastAsia="Times New Roman" w:hAnsi="Arial" w:cs="Arial"/>
                <w:b/>
                <w:bCs/>
                <w:sz w:val="18"/>
                <w:szCs w:val="18"/>
              </w:rPr>
              <w:t>-</w:t>
            </w:r>
          </w:p>
        </w:tc>
      </w:tr>
      <w:tr w:rsidR="00D2149F" w:rsidRPr="003D1614" w14:paraId="0311A5F2" w14:textId="77777777" w:rsidTr="00020EC8">
        <w:trPr>
          <w:trHeight w:val="185"/>
        </w:trPr>
        <w:tc>
          <w:tcPr>
            <w:tcW w:w="3876" w:type="dxa"/>
            <w:shd w:val="clear" w:color="auto" w:fill="auto"/>
            <w:vAlign w:val="bottom"/>
          </w:tcPr>
          <w:p w14:paraId="0BA401AF" w14:textId="77777777" w:rsidR="00D2149F" w:rsidRPr="003D1614" w:rsidRDefault="00D2149F" w:rsidP="00D2149F">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2</w:t>
            </w:r>
          </w:p>
        </w:tc>
        <w:tc>
          <w:tcPr>
            <w:tcW w:w="1134" w:type="dxa"/>
            <w:shd w:val="clear" w:color="auto" w:fill="auto"/>
            <w:vAlign w:val="bottom"/>
          </w:tcPr>
          <w:p w14:paraId="2DE1548B" w14:textId="1A34A19E" w:rsidR="00D2149F" w:rsidRPr="00020EC8" w:rsidRDefault="00132D03" w:rsidP="00D2149F">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77" w:type="dxa"/>
            <w:shd w:val="clear" w:color="auto" w:fill="auto"/>
            <w:vAlign w:val="bottom"/>
          </w:tcPr>
          <w:p w14:paraId="3875144A" w14:textId="7028FD44" w:rsidR="00D2149F" w:rsidRPr="00020EC8" w:rsidRDefault="00132D03" w:rsidP="00D2149F">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77" w:type="dxa"/>
            <w:shd w:val="clear" w:color="auto" w:fill="auto"/>
            <w:vAlign w:val="bottom"/>
          </w:tcPr>
          <w:p w14:paraId="7E9832C5" w14:textId="6F8915DB" w:rsidR="00D2149F" w:rsidRPr="00020EC8" w:rsidRDefault="00132D03" w:rsidP="00D2149F">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999" w:type="dxa"/>
            <w:shd w:val="clear" w:color="auto" w:fill="auto"/>
            <w:vAlign w:val="bottom"/>
          </w:tcPr>
          <w:p w14:paraId="2FE0B23E" w14:textId="79187202" w:rsidR="00D2149F" w:rsidRPr="00020EC8" w:rsidRDefault="00132D03" w:rsidP="00D2149F">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198" w:type="dxa"/>
            <w:shd w:val="clear" w:color="auto" w:fill="auto"/>
            <w:vAlign w:val="bottom"/>
          </w:tcPr>
          <w:p w14:paraId="5A22C5F8" w14:textId="39DAB5E1" w:rsidR="00D2149F" w:rsidRPr="00132D03" w:rsidRDefault="00132D03" w:rsidP="00D2149F">
            <w:pPr>
              <w:suppressAutoHyphens/>
              <w:autoSpaceDN w:val="0"/>
              <w:jc w:val="right"/>
              <w:rPr>
                <w:rFonts w:ascii="Arial" w:eastAsia="Times New Roman" w:hAnsi="Arial" w:cs="Arial"/>
                <w:b/>
                <w:bCs/>
                <w:sz w:val="18"/>
                <w:szCs w:val="18"/>
              </w:rPr>
            </w:pPr>
            <w:r w:rsidRPr="00132D03">
              <w:rPr>
                <w:rFonts w:ascii="Arial" w:eastAsia="Times New Roman" w:hAnsi="Arial" w:cs="Arial"/>
                <w:b/>
                <w:bCs/>
                <w:sz w:val="18"/>
                <w:szCs w:val="18"/>
              </w:rPr>
              <w:t>-</w:t>
            </w:r>
          </w:p>
        </w:tc>
      </w:tr>
      <w:tr w:rsidR="00D2149F" w:rsidRPr="003D1614" w14:paraId="479FC1EA" w14:textId="77777777" w:rsidTr="00020EC8">
        <w:trPr>
          <w:trHeight w:val="185"/>
        </w:trPr>
        <w:tc>
          <w:tcPr>
            <w:tcW w:w="3876" w:type="dxa"/>
            <w:shd w:val="clear" w:color="auto" w:fill="auto"/>
            <w:vAlign w:val="bottom"/>
            <w:hideMark/>
          </w:tcPr>
          <w:p w14:paraId="5717E923" w14:textId="77777777" w:rsidR="00D2149F" w:rsidRPr="003D1614" w:rsidRDefault="00D2149F" w:rsidP="00D2149F">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3</w:t>
            </w:r>
          </w:p>
        </w:tc>
        <w:tc>
          <w:tcPr>
            <w:tcW w:w="1134" w:type="dxa"/>
            <w:shd w:val="clear" w:color="auto" w:fill="auto"/>
            <w:vAlign w:val="bottom"/>
          </w:tcPr>
          <w:p w14:paraId="4B57D4B5" w14:textId="16805C05" w:rsidR="00D2149F" w:rsidRPr="00020EC8" w:rsidRDefault="00132D03" w:rsidP="00D2149F">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77" w:type="dxa"/>
            <w:shd w:val="clear" w:color="auto" w:fill="auto"/>
            <w:vAlign w:val="bottom"/>
          </w:tcPr>
          <w:p w14:paraId="0388114E" w14:textId="5556F924" w:rsidR="00D2149F" w:rsidRPr="00020EC8" w:rsidRDefault="00132D03" w:rsidP="00D2149F">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77" w:type="dxa"/>
            <w:shd w:val="clear" w:color="auto" w:fill="auto"/>
            <w:vAlign w:val="bottom"/>
          </w:tcPr>
          <w:p w14:paraId="160C7FE1" w14:textId="04A0C54E" w:rsidR="00D2149F" w:rsidRPr="00020EC8" w:rsidRDefault="00132D03" w:rsidP="00D2149F">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999" w:type="dxa"/>
            <w:shd w:val="clear" w:color="auto" w:fill="auto"/>
            <w:vAlign w:val="bottom"/>
          </w:tcPr>
          <w:p w14:paraId="7892AA75" w14:textId="26BDF20B" w:rsidR="00D2149F" w:rsidRPr="00020EC8" w:rsidRDefault="00132D03" w:rsidP="00D2149F">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198" w:type="dxa"/>
            <w:shd w:val="clear" w:color="auto" w:fill="auto"/>
            <w:vAlign w:val="bottom"/>
          </w:tcPr>
          <w:p w14:paraId="2DA254E6" w14:textId="5FFB4605" w:rsidR="00D2149F" w:rsidRPr="00132D03" w:rsidRDefault="00132D03" w:rsidP="00D2149F">
            <w:pPr>
              <w:suppressAutoHyphens/>
              <w:autoSpaceDN w:val="0"/>
              <w:jc w:val="right"/>
              <w:rPr>
                <w:rFonts w:ascii="Arial" w:eastAsia="Times New Roman" w:hAnsi="Arial" w:cs="Arial"/>
                <w:b/>
                <w:bCs/>
                <w:sz w:val="18"/>
                <w:szCs w:val="18"/>
              </w:rPr>
            </w:pPr>
            <w:r w:rsidRPr="00132D03">
              <w:rPr>
                <w:rFonts w:ascii="Arial" w:eastAsia="Times New Roman" w:hAnsi="Arial" w:cs="Arial"/>
                <w:b/>
                <w:bCs/>
                <w:sz w:val="18"/>
                <w:szCs w:val="18"/>
              </w:rPr>
              <w:t>-</w:t>
            </w:r>
          </w:p>
        </w:tc>
      </w:tr>
      <w:tr w:rsidR="00413781" w:rsidRPr="003D1614" w14:paraId="307B39AF" w14:textId="77777777" w:rsidTr="00020EC8">
        <w:trPr>
          <w:trHeight w:val="230"/>
        </w:trPr>
        <w:tc>
          <w:tcPr>
            <w:tcW w:w="3876" w:type="dxa"/>
            <w:tcBorders>
              <w:top w:val="nil"/>
              <w:left w:val="nil"/>
              <w:bottom w:val="nil"/>
              <w:right w:val="nil"/>
            </w:tcBorders>
            <w:shd w:val="clear" w:color="auto" w:fill="auto"/>
            <w:vAlign w:val="bottom"/>
            <w:hideMark/>
          </w:tcPr>
          <w:p w14:paraId="56DEF6FD" w14:textId="178D3218" w:rsidR="00413781" w:rsidRPr="003D1614" w:rsidRDefault="00413781" w:rsidP="00413781">
            <w:pPr>
              <w:suppressAutoHyphens/>
              <w:autoSpaceDN w:val="0"/>
              <w:rPr>
                <w:rFonts w:ascii="Arial" w:eastAsia="Calibri" w:hAnsi="Arial" w:cs="Arial"/>
                <w:color w:val="000000" w:themeColor="text1"/>
                <w:sz w:val="18"/>
                <w:szCs w:val="18"/>
              </w:rPr>
            </w:pPr>
            <w:r w:rsidRPr="0065246C">
              <w:rPr>
                <w:rFonts w:ascii="Arial" w:eastAsia="Calibri" w:hAnsi="Arial" w:cs="Arial"/>
                <w:color w:val="000000" w:themeColor="text1"/>
                <w:sz w:val="18"/>
                <w:szCs w:val="18"/>
              </w:rPr>
              <w:t xml:space="preserve">Neto </w:t>
            </w:r>
            <w:r w:rsidR="00020EC8">
              <w:rPr>
                <w:rFonts w:ascii="Arial" w:eastAsia="Calibri" w:hAnsi="Arial" w:cs="Arial"/>
                <w:color w:val="000000" w:themeColor="text1"/>
                <w:sz w:val="18"/>
                <w:szCs w:val="18"/>
              </w:rPr>
              <w:t>povećanje/</w:t>
            </w:r>
            <w:r w:rsidRPr="0065246C">
              <w:rPr>
                <w:rFonts w:ascii="Arial" w:eastAsia="Calibri" w:hAnsi="Arial" w:cs="Arial"/>
                <w:color w:val="000000" w:themeColor="text1"/>
                <w:sz w:val="18"/>
                <w:szCs w:val="18"/>
              </w:rPr>
              <w:t>(smanjenje)</w:t>
            </w:r>
            <w:r w:rsidRPr="003D1614">
              <w:rPr>
                <w:rFonts w:ascii="Arial" w:eastAsia="Calibri" w:hAnsi="Arial" w:cs="Arial"/>
                <w:color w:val="000000" w:themeColor="text1"/>
                <w:sz w:val="18"/>
                <w:szCs w:val="18"/>
              </w:rPr>
              <w:t xml:space="preserve"> rezerviranja za očekivane gubitke </w:t>
            </w:r>
          </w:p>
        </w:tc>
        <w:tc>
          <w:tcPr>
            <w:tcW w:w="1134" w:type="dxa"/>
            <w:tcBorders>
              <w:top w:val="nil"/>
              <w:left w:val="nil"/>
              <w:bottom w:val="nil"/>
              <w:right w:val="nil"/>
            </w:tcBorders>
            <w:shd w:val="clear" w:color="auto" w:fill="auto"/>
            <w:vAlign w:val="bottom"/>
          </w:tcPr>
          <w:p w14:paraId="42B61E9A" w14:textId="649C7F12" w:rsidR="00413781" w:rsidRPr="00020EC8" w:rsidRDefault="00413781" w:rsidP="00413781">
            <w:pPr>
              <w:suppressAutoHyphens/>
              <w:autoSpaceDN w:val="0"/>
              <w:jc w:val="right"/>
              <w:rPr>
                <w:rFonts w:ascii="Arial" w:eastAsia="Times New Roman" w:hAnsi="Arial" w:cs="Arial"/>
                <w:sz w:val="18"/>
                <w:szCs w:val="18"/>
              </w:rPr>
            </w:pPr>
            <w:r w:rsidRPr="00020EC8">
              <w:rPr>
                <w:rFonts w:ascii="Arial" w:hAnsi="Arial" w:cs="Arial"/>
                <w:sz w:val="18"/>
                <w:szCs w:val="18"/>
              </w:rPr>
              <w:t xml:space="preserve"> 16 </w:t>
            </w:r>
          </w:p>
        </w:tc>
        <w:tc>
          <w:tcPr>
            <w:tcW w:w="1077" w:type="dxa"/>
            <w:tcBorders>
              <w:top w:val="nil"/>
              <w:left w:val="nil"/>
              <w:bottom w:val="nil"/>
              <w:right w:val="nil"/>
            </w:tcBorders>
            <w:shd w:val="clear" w:color="auto" w:fill="auto"/>
            <w:vAlign w:val="bottom"/>
          </w:tcPr>
          <w:p w14:paraId="5FC0D9DA" w14:textId="45BA063B" w:rsidR="00413781" w:rsidRPr="00020EC8" w:rsidRDefault="00132D03" w:rsidP="00413781">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77" w:type="dxa"/>
            <w:tcBorders>
              <w:top w:val="nil"/>
              <w:left w:val="nil"/>
              <w:bottom w:val="nil"/>
              <w:right w:val="nil"/>
            </w:tcBorders>
            <w:shd w:val="clear" w:color="auto" w:fill="auto"/>
            <w:vAlign w:val="bottom"/>
          </w:tcPr>
          <w:p w14:paraId="04726D38" w14:textId="62C3C3D5" w:rsidR="00413781" w:rsidRPr="00020EC8" w:rsidRDefault="00413781" w:rsidP="00413781">
            <w:pPr>
              <w:suppressAutoHyphens/>
              <w:autoSpaceDN w:val="0"/>
              <w:jc w:val="right"/>
              <w:rPr>
                <w:rFonts w:ascii="Arial" w:eastAsia="Times New Roman" w:hAnsi="Arial" w:cs="Arial"/>
                <w:sz w:val="18"/>
                <w:szCs w:val="18"/>
              </w:rPr>
            </w:pPr>
            <w:r w:rsidRPr="00020EC8">
              <w:rPr>
                <w:rFonts w:ascii="Arial" w:hAnsi="Arial" w:cs="Arial"/>
                <w:sz w:val="18"/>
                <w:szCs w:val="18"/>
              </w:rPr>
              <w:t xml:space="preserve"> (35)</w:t>
            </w:r>
          </w:p>
        </w:tc>
        <w:tc>
          <w:tcPr>
            <w:tcW w:w="999" w:type="dxa"/>
            <w:tcBorders>
              <w:top w:val="nil"/>
              <w:left w:val="nil"/>
              <w:bottom w:val="nil"/>
              <w:right w:val="nil"/>
            </w:tcBorders>
            <w:shd w:val="clear" w:color="auto" w:fill="auto"/>
            <w:vAlign w:val="bottom"/>
          </w:tcPr>
          <w:p w14:paraId="34D4BBD6" w14:textId="0C8DEC2A" w:rsidR="00413781" w:rsidRPr="00020EC8" w:rsidRDefault="00132D03" w:rsidP="00413781">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198" w:type="dxa"/>
            <w:tcBorders>
              <w:top w:val="nil"/>
              <w:left w:val="nil"/>
              <w:bottom w:val="nil"/>
              <w:right w:val="nil"/>
            </w:tcBorders>
            <w:shd w:val="clear" w:color="auto" w:fill="auto"/>
            <w:vAlign w:val="bottom"/>
          </w:tcPr>
          <w:p w14:paraId="6036C6F3" w14:textId="0B3CAA9C" w:rsidR="00413781" w:rsidRPr="00132D03" w:rsidRDefault="00413781" w:rsidP="00413781">
            <w:pPr>
              <w:suppressAutoHyphens/>
              <w:autoSpaceDN w:val="0"/>
              <w:jc w:val="right"/>
              <w:rPr>
                <w:rFonts w:ascii="Arial" w:eastAsia="Times New Roman" w:hAnsi="Arial" w:cs="Arial"/>
                <w:b/>
                <w:bCs/>
                <w:sz w:val="18"/>
                <w:szCs w:val="18"/>
              </w:rPr>
            </w:pPr>
            <w:r w:rsidRPr="00132D03">
              <w:rPr>
                <w:rFonts w:ascii="Arial" w:hAnsi="Arial" w:cs="Arial"/>
                <w:b/>
                <w:bCs/>
                <w:sz w:val="18"/>
                <w:szCs w:val="18"/>
              </w:rPr>
              <w:t xml:space="preserve"> (19)</w:t>
            </w:r>
          </w:p>
        </w:tc>
      </w:tr>
      <w:tr w:rsidR="000E7832" w:rsidRPr="003D1614" w14:paraId="3E7FC88F" w14:textId="77777777" w:rsidTr="00020EC8">
        <w:trPr>
          <w:trHeight w:val="193"/>
        </w:trPr>
        <w:tc>
          <w:tcPr>
            <w:tcW w:w="3876" w:type="dxa"/>
            <w:tcBorders>
              <w:top w:val="nil"/>
              <w:left w:val="nil"/>
              <w:bottom w:val="nil"/>
              <w:right w:val="nil"/>
            </w:tcBorders>
            <w:shd w:val="clear" w:color="auto" w:fill="auto"/>
            <w:vAlign w:val="bottom"/>
            <w:hideMark/>
          </w:tcPr>
          <w:p w14:paraId="7BC86905" w14:textId="40E9B501" w:rsidR="000E7832" w:rsidRPr="003D1614" w:rsidRDefault="000E7832" w:rsidP="000E7832">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 xml:space="preserve">Stanje </w:t>
            </w:r>
            <w:r w:rsidRPr="00881155">
              <w:rPr>
                <w:rFonts w:ascii="Arial" w:eastAsia="Calibri" w:hAnsi="Arial" w:cs="Arial"/>
                <w:b/>
                <w:bCs/>
                <w:color w:val="000000" w:themeColor="text1"/>
                <w:sz w:val="18"/>
                <w:szCs w:val="18"/>
              </w:rPr>
              <w:t>30. rujna 202</w:t>
            </w:r>
            <w:r>
              <w:rPr>
                <w:rFonts w:ascii="Arial" w:eastAsia="Calibri" w:hAnsi="Arial" w:cs="Arial"/>
                <w:b/>
                <w:bCs/>
                <w:color w:val="000000" w:themeColor="text1"/>
                <w:sz w:val="18"/>
                <w:szCs w:val="18"/>
              </w:rPr>
              <w:t>4</w:t>
            </w:r>
            <w:r w:rsidRPr="00881155">
              <w:rPr>
                <w:rFonts w:ascii="Arial" w:eastAsia="Calibri" w:hAnsi="Arial" w:cs="Arial"/>
                <w:b/>
                <w:bCs/>
                <w:color w:val="000000" w:themeColor="text1"/>
                <w:sz w:val="18"/>
                <w:szCs w:val="18"/>
              </w:rPr>
              <w:t>.</w:t>
            </w:r>
          </w:p>
        </w:tc>
        <w:tc>
          <w:tcPr>
            <w:tcW w:w="1134" w:type="dxa"/>
            <w:tcBorders>
              <w:top w:val="single" w:sz="4" w:space="0" w:color="auto"/>
              <w:left w:val="nil"/>
              <w:bottom w:val="single" w:sz="12" w:space="0" w:color="auto"/>
              <w:right w:val="nil"/>
            </w:tcBorders>
            <w:shd w:val="clear" w:color="auto" w:fill="auto"/>
            <w:vAlign w:val="bottom"/>
          </w:tcPr>
          <w:p w14:paraId="5271EF82" w14:textId="6F849864" w:rsidR="000E7832" w:rsidRPr="00132D03" w:rsidRDefault="000E7832" w:rsidP="000E7832">
            <w:pPr>
              <w:suppressAutoHyphens/>
              <w:autoSpaceDN w:val="0"/>
              <w:jc w:val="right"/>
              <w:rPr>
                <w:rFonts w:ascii="Arial" w:eastAsia="Times New Roman" w:hAnsi="Arial" w:cs="Arial"/>
                <w:b/>
                <w:bCs/>
                <w:sz w:val="18"/>
                <w:szCs w:val="18"/>
              </w:rPr>
            </w:pPr>
            <w:r w:rsidRPr="00132D03">
              <w:rPr>
                <w:rFonts w:ascii="Arial" w:hAnsi="Arial" w:cs="Arial"/>
                <w:b/>
                <w:bCs/>
                <w:sz w:val="18"/>
                <w:szCs w:val="18"/>
              </w:rPr>
              <w:t xml:space="preserve"> 227 </w:t>
            </w:r>
          </w:p>
        </w:tc>
        <w:tc>
          <w:tcPr>
            <w:tcW w:w="1077" w:type="dxa"/>
            <w:tcBorders>
              <w:top w:val="single" w:sz="4" w:space="0" w:color="auto"/>
              <w:left w:val="nil"/>
              <w:bottom w:val="single" w:sz="12" w:space="0" w:color="auto"/>
              <w:right w:val="nil"/>
            </w:tcBorders>
            <w:shd w:val="clear" w:color="auto" w:fill="auto"/>
            <w:vAlign w:val="bottom"/>
          </w:tcPr>
          <w:p w14:paraId="77FE3074" w14:textId="4CD73728" w:rsidR="000E7832" w:rsidRPr="00132D03" w:rsidRDefault="000E7832" w:rsidP="000E7832">
            <w:pPr>
              <w:suppressAutoHyphens/>
              <w:autoSpaceDN w:val="0"/>
              <w:jc w:val="right"/>
              <w:rPr>
                <w:rFonts w:ascii="Arial" w:eastAsia="Times New Roman" w:hAnsi="Arial" w:cs="Arial"/>
                <w:b/>
                <w:bCs/>
                <w:sz w:val="18"/>
                <w:szCs w:val="18"/>
              </w:rPr>
            </w:pPr>
            <w:r w:rsidRPr="00132D03">
              <w:rPr>
                <w:rFonts w:ascii="Arial" w:hAnsi="Arial" w:cs="Arial"/>
                <w:b/>
                <w:bCs/>
                <w:sz w:val="18"/>
                <w:szCs w:val="18"/>
              </w:rPr>
              <w:t xml:space="preserve"> - </w:t>
            </w:r>
          </w:p>
        </w:tc>
        <w:tc>
          <w:tcPr>
            <w:tcW w:w="1077" w:type="dxa"/>
            <w:tcBorders>
              <w:top w:val="single" w:sz="4" w:space="0" w:color="auto"/>
              <w:left w:val="nil"/>
              <w:bottom w:val="single" w:sz="12" w:space="0" w:color="auto"/>
              <w:right w:val="nil"/>
            </w:tcBorders>
            <w:shd w:val="clear" w:color="auto" w:fill="auto"/>
            <w:vAlign w:val="bottom"/>
          </w:tcPr>
          <w:p w14:paraId="6D95D75C" w14:textId="776BC9A0" w:rsidR="000E7832" w:rsidRPr="00132D03" w:rsidRDefault="000E7832" w:rsidP="000E7832">
            <w:pPr>
              <w:suppressAutoHyphens/>
              <w:autoSpaceDN w:val="0"/>
              <w:jc w:val="right"/>
              <w:rPr>
                <w:rFonts w:ascii="Arial" w:eastAsia="Times New Roman" w:hAnsi="Arial" w:cs="Arial"/>
                <w:b/>
                <w:bCs/>
                <w:sz w:val="18"/>
                <w:szCs w:val="18"/>
              </w:rPr>
            </w:pPr>
            <w:r w:rsidRPr="00132D03">
              <w:rPr>
                <w:rFonts w:ascii="Arial" w:hAnsi="Arial" w:cs="Arial"/>
                <w:b/>
                <w:bCs/>
                <w:sz w:val="18"/>
                <w:szCs w:val="18"/>
              </w:rPr>
              <w:t xml:space="preserve"> 196 </w:t>
            </w:r>
          </w:p>
        </w:tc>
        <w:tc>
          <w:tcPr>
            <w:tcW w:w="999" w:type="dxa"/>
            <w:tcBorders>
              <w:top w:val="single" w:sz="4" w:space="0" w:color="auto"/>
              <w:left w:val="nil"/>
              <w:bottom w:val="single" w:sz="12" w:space="0" w:color="auto"/>
              <w:right w:val="nil"/>
            </w:tcBorders>
            <w:shd w:val="clear" w:color="auto" w:fill="auto"/>
            <w:vAlign w:val="bottom"/>
          </w:tcPr>
          <w:p w14:paraId="2873E321" w14:textId="7D2305FE" w:rsidR="000E7832" w:rsidRPr="00132D03" w:rsidRDefault="000E7832" w:rsidP="000E7832">
            <w:pPr>
              <w:suppressAutoHyphens/>
              <w:autoSpaceDN w:val="0"/>
              <w:jc w:val="right"/>
              <w:rPr>
                <w:rFonts w:ascii="Arial" w:eastAsia="Times New Roman" w:hAnsi="Arial" w:cs="Arial"/>
                <w:b/>
                <w:bCs/>
                <w:sz w:val="18"/>
                <w:szCs w:val="18"/>
              </w:rPr>
            </w:pPr>
            <w:r w:rsidRPr="00132D03">
              <w:rPr>
                <w:rFonts w:ascii="Arial" w:hAnsi="Arial" w:cs="Arial"/>
                <w:b/>
                <w:bCs/>
                <w:sz w:val="18"/>
                <w:szCs w:val="18"/>
              </w:rPr>
              <w:t xml:space="preserve"> - </w:t>
            </w:r>
          </w:p>
        </w:tc>
        <w:tc>
          <w:tcPr>
            <w:tcW w:w="1198" w:type="dxa"/>
            <w:tcBorders>
              <w:top w:val="single" w:sz="4" w:space="0" w:color="auto"/>
              <w:left w:val="nil"/>
              <w:bottom w:val="single" w:sz="12" w:space="0" w:color="auto"/>
              <w:right w:val="nil"/>
            </w:tcBorders>
            <w:shd w:val="clear" w:color="auto" w:fill="auto"/>
            <w:vAlign w:val="bottom"/>
          </w:tcPr>
          <w:p w14:paraId="00DD2276" w14:textId="43A9DFAD" w:rsidR="000E7832" w:rsidRPr="00132D03" w:rsidRDefault="000E7832" w:rsidP="000E7832">
            <w:pPr>
              <w:suppressAutoHyphens/>
              <w:autoSpaceDN w:val="0"/>
              <w:jc w:val="right"/>
              <w:rPr>
                <w:rFonts w:ascii="Arial" w:eastAsia="Times New Roman" w:hAnsi="Arial" w:cs="Arial"/>
                <w:b/>
                <w:bCs/>
                <w:sz w:val="18"/>
                <w:szCs w:val="18"/>
              </w:rPr>
            </w:pPr>
            <w:r w:rsidRPr="00132D03">
              <w:rPr>
                <w:rFonts w:ascii="Arial" w:hAnsi="Arial" w:cs="Arial"/>
                <w:b/>
                <w:bCs/>
                <w:sz w:val="18"/>
                <w:szCs w:val="18"/>
              </w:rPr>
              <w:t xml:space="preserve"> 423 </w:t>
            </w:r>
          </w:p>
        </w:tc>
      </w:tr>
      <w:bookmarkEnd w:id="749"/>
    </w:tbl>
    <w:p w14:paraId="473DD890" w14:textId="77777777" w:rsidR="00A269B5" w:rsidRPr="003D1614" w:rsidRDefault="00A269B5" w:rsidP="00A269B5">
      <w:pPr>
        <w:suppressAutoHyphens/>
        <w:autoSpaceDN w:val="0"/>
        <w:rPr>
          <w:rFonts w:ascii="Arial" w:eastAsia="Calibri" w:hAnsi="Arial" w:cs="Arial"/>
          <w:color w:val="000000" w:themeColor="text1"/>
          <w:sz w:val="20"/>
          <w:szCs w:val="20"/>
        </w:rPr>
      </w:pPr>
    </w:p>
    <w:p w14:paraId="25681BC1" w14:textId="5E19EF64" w:rsidR="00A269B5" w:rsidRDefault="00A269B5" w:rsidP="001A0FCB">
      <w:pPr>
        <w:suppressAutoHyphens/>
        <w:autoSpaceDN w:val="0"/>
        <w:jc w:val="both"/>
        <w:rPr>
          <w:rFonts w:ascii="Arial" w:eastAsia="Times New Roman" w:hAnsi="Arial" w:cs="Arial"/>
          <w:color w:val="000000" w:themeColor="text1"/>
          <w:sz w:val="20"/>
          <w:szCs w:val="20"/>
        </w:rPr>
      </w:pPr>
    </w:p>
    <w:p w14:paraId="0C4E90B9" w14:textId="77777777" w:rsidR="00910AA1" w:rsidRPr="003D1614" w:rsidRDefault="00910AA1" w:rsidP="001A0FCB">
      <w:pPr>
        <w:suppressAutoHyphens/>
        <w:autoSpaceDN w:val="0"/>
        <w:jc w:val="both"/>
        <w:rPr>
          <w:rFonts w:ascii="Arial" w:eastAsia="Times New Roman" w:hAnsi="Arial" w:cs="Arial"/>
          <w:color w:val="000000" w:themeColor="text1"/>
          <w:sz w:val="20"/>
          <w:szCs w:val="20"/>
        </w:rPr>
      </w:pPr>
    </w:p>
    <w:tbl>
      <w:tblPr>
        <w:tblW w:w="9361" w:type="dxa"/>
        <w:tblInd w:w="-180" w:type="dxa"/>
        <w:tblLook w:val="04A0" w:firstRow="1" w:lastRow="0" w:firstColumn="1" w:lastColumn="0" w:noHBand="0" w:noVBand="1"/>
      </w:tblPr>
      <w:tblGrid>
        <w:gridCol w:w="3876"/>
        <w:gridCol w:w="1134"/>
        <w:gridCol w:w="1077"/>
        <w:gridCol w:w="1077"/>
        <w:gridCol w:w="999"/>
        <w:gridCol w:w="1198"/>
      </w:tblGrid>
      <w:tr w:rsidR="00910AA1" w:rsidRPr="001B015B" w14:paraId="18498C1C" w14:textId="77777777" w:rsidTr="0034622E">
        <w:trPr>
          <w:trHeight w:val="185"/>
        </w:trPr>
        <w:tc>
          <w:tcPr>
            <w:tcW w:w="3876" w:type="dxa"/>
            <w:tcBorders>
              <w:top w:val="nil"/>
              <w:left w:val="nil"/>
              <w:bottom w:val="nil"/>
              <w:right w:val="nil"/>
            </w:tcBorders>
            <w:shd w:val="clear" w:color="auto" w:fill="auto"/>
            <w:vAlign w:val="center"/>
          </w:tcPr>
          <w:p w14:paraId="02141DC1" w14:textId="77777777" w:rsidR="00910AA1" w:rsidRPr="001B015B" w:rsidRDefault="00910AA1" w:rsidP="0034622E">
            <w:pPr>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Banka</w:t>
            </w:r>
          </w:p>
        </w:tc>
        <w:tc>
          <w:tcPr>
            <w:tcW w:w="1134" w:type="dxa"/>
            <w:tcBorders>
              <w:top w:val="nil"/>
              <w:left w:val="nil"/>
              <w:bottom w:val="nil"/>
              <w:right w:val="nil"/>
            </w:tcBorders>
            <w:shd w:val="clear" w:color="auto" w:fill="auto"/>
            <w:vAlign w:val="center"/>
          </w:tcPr>
          <w:p w14:paraId="58C633C1" w14:textId="77777777" w:rsidR="00910AA1" w:rsidRPr="001B015B" w:rsidRDefault="00910AA1" w:rsidP="0034622E">
            <w:pPr>
              <w:jc w:val="right"/>
              <w:rPr>
                <w:rFonts w:ascii="Arial" w:eastAsia="Calibri" w:hAnsi="Arial" w:cs="Arial"/>
                <w:b/>
                <w:bCs/>
                <w:color w:val="000000" w:themeColor="text1"/>
                <w:sz w:val="18"/>
                <w:szCs w:val="18"/>
              </w:rPr>
            </w:pPr>
          </w:p>
        </w:tc>
        <w:tc>
          <w:tcPr>
            <w:tcW w:w="1077" w:type="dxa"/>
            <w:tcBorders>
              <w:top w:val="nil"/>
              <w:left w:val="nil"/>
              <w:bottom w:val="nil"/>
              <w:right w:val="nil"/>
            </w:tcBorders>
            <w:shd w:val="clear" w:color="auto" w:fill="auto"/>
            <w:vAlign w:val="center"/>
          </w:tcPr>
          <w:p w14:paraId="46BC4743" w14:textId="77777777" w:rsidR="00910AA1" w:rsidRPr="001B015B" w:rsidRDefault="00910AA1" w:rsidP="0034622E">
            <w:pPr>
              <w:jc w:val="right"/>
              <w:rPr>
                <w:rFonts w:ascii="Arial" w:eastAsia="Calibri" w:hAnsi="Arial" w:cs="Arial"/>
                <w:b/>
                <w:bCs/>
                <w:color w:val="000000" w:themeColor="text1"/>
                <w:sz w:val="18"/>
                <w:szCs w:val="18"/>
              </w:rPr>
            </w:pPr>
          </w:p>
        </w:tc>
        <w:tc>
          <w:tcPr>
            <w:tcW w:w="1077" w:type="dxa"/>
            <w:tcBorders>
              <w:top w:val="nil"/>
              <w:left w:val="nil"/>
              <w:bottom w:val="nil"/>
              <w:right w:val="nil"/>
            </w:tcBorders>
            <w:shd w:val="clear" w:color="auto" w:fill="auto"/>
            <w:vAlign w:val="center"/>
          </w:tcPr>
          <w:p w14:paraId="40069F25" w14:textId="77777777" w:rsidR="00910AA1" w:rsidRPr="001B015B" w:rsidRDefault="00910AA1" w:rsidP="0034622E">
            <w:pPr>
              <w:jc w:val="right"/>
              <w:rPr>
                <w:rFonts w:ascii="Arial" w:eastAsia="Calibri" w:hAnsi="Arial" w:cs="Arial"/>
                <w:b/>
                <w:bCs/>
                <w:color w:val="000000" w:themeColor="text1"/>
                <w:sz w:val="18"/>
                <w:szCs w:val="18"/>
              </w:rPr>
            </w:pPr>
          </w:p>
        </w:tc>
        <w:tc>
          <w:tcPr>
            <w:tcW w:w="999" w:type="dxa"/>
            <w:tcBorders>
              <w:top w:val="nil"/>
              <w:left w:val="nil"/>
              <w:bottom w:val="nil"/>
              <w:right w:val="nil"/>
            </w:tcBorders>
            <w:shd w:val="clear" w:color="auto" w:fill="auto"/>
            <w:vAlign w:val="center"/>
          </w:tcPr>
          <w:p w14:paraId="5914250F" w14:textId="77777777" w:rsidR="00910AA1" w:rsidRPr="001B015B" w:rsidRDefault="00910AA1" w:rsidP="0034622E">
            <w:pPr>
              <w:jc w:val="right"/>
              <w:rPr>
                <w:rFonts w:ascii="Arial" w:eastAsia="Calibri" w:hAnsi="Arial" w:cs="Arial"/>
                <w:b/>
                <w:bCs/>
                <w:color w:val="000000" w:themeColor="text1"/>
                <w:sz w:val="18"/>
                <w:szCs w:val="18"/>
              </w:rPr>
            </w:pPr>
          </w:p>
        </w:tc>
        <w:tc>
          <w:tcPr>
            <w:tcW w:w="1198" w:type="dxa"/>
            <w:tcBorders>
              <w:top w:val="nil"/>
              <w:left w:val="nil"/>
              <w:bottom w:val="nil"/>
              <w:right w:val="nil"/>
            </w:tcBorders>
            <w:shd w:val="clear" w:color="auto" w:fill="auto"/>
            <w:vAlign w:val="center"/>
          </w:tcPr>
          <w:p w14:paraId="74DE8963" w14:textId="77777777" w:rsidR="00910AA1" w:rsidRPr="001B015B" w:rsidRDefault="00910AA1" w:rsidP="0034622E">
            <w:pPr>
              <w:jc w:val="right"/>
              <w:rPr>
                <w:rFonts w:ascii="Arial" w:eastAsia="Calibri" w:hAnsi="Arial" w:cs="Arial"/>
                <w:b/>
                <w:bCs/>
                <w:color w:val="000000" w:themeColor="text1"/>
                <w:sz w:val="18"/>
                <w:szCs w:val="18"/>
              </w:rPr>
            </w:pPr>
          </w:p>
        </w:tc>
      </w:tr>
      <w:tr w:rsidR="00910AA1" w:rsidRPr="001B015B" w14:paraId="0E36E7DA" w14:textId="77777777" w:rsidTr="0034622E">
        <w:trPr>
          <w:trHeight w:val="185"/>
        </w:trPr>
        <w:tc>
          <w:tcPr>
            <w:tcW w:w="3876" w:type="dxa"/>
            <w:tcBorders>
              <w:top w:val="nil"/>
              <w:left w:val="nil"/>
              <w:bottom w:val="nil"/>
              <w:right w:val="nil"/>
            </w:tcBorders>
            <w:shd w:val="clear" w:color="auto" w:fill="auto"/>
            <w:vAlign w:val="center"/>
            <w:hideMark/>
          </w:tcPr>
          <w:p w14:paraId="5890CC70" w14:textId="77777777" w:rsidR="00910AA1" w:rsidRPr="001B015B" w:rsidRDefault="00910AA1" w:rsidP="0034622E">
            <w:pPr>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31. prosinca 202</w:t>
            </w:r>
            <w:r>
              <w:rPr>
                <w:rFonts w:ascii="Arial" w:eastAsia="Calibri" w:hAnsi="Arial" w:cs="Arial"/>
                <w:b/>
                <w:bCs/>
                <w:color w:val="000000" w:themeColor="text1"/>
                <w:sz w:val="18"/>
                <w:szCs w:val="18"/>
              </w:rPr>
              <w:t>3</w:t>
            </w:r>
            <w:r w:rsidRPr="001B015B">
              <w:rPr>
                <w:rFonts w:ascii="Arial" w:eastAsia="Calibri" w:hAnsi="Arial" w:cs="Arial"/>
                <w:b/>
                <w:bCs/>
                <w:color w:val="000000" w:themeColor="text1"/>
                <w:sz w:val="18"/>
                <w:szCs w:val="18"/>
              </w:rPr>
              <w:t>.</w:t>
            </w:r>
          </w:p>
        </w:tc>
        <w:tc>
          <w:tcPr>
            <w:tcW w:w="1134" w:type="dxa"/>
            <w:tcBorders>
              <w:top w:val="nil"/>
              <w:left w:val="nil"/>
              <w:bottom w:val="nil"/>
              <w:right w:val="nil"/>
            </w:tcBorders>
            <w:shd w:val="clear" w:color="auto" w:fill="auto"/>
            <w:vAlign w:val="center"/>
            <w:hideMark/>
          </w:tcPr>
          <w:p w14:paraId="45FFBC5B" w14:textId="77777777" w:rsidR="00910AA1" w:rsidRPr="001B015B" w:rsidRDefault="00910AA1" w:rsidP="0034622E">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Stupanj 1</w:t>
            </w:r>
          </w:p>
        </w:tc>
        <w:tc>
          <w:tcPr>
            <w:tcW w:w="1077" w:type="dxa"/>
            <w:tcBorders>
              <w:top w:val="nil"/>
              <w:left w:val="nil"/>
              <w:bottom w:val="nil"/>
              <w:right w:val="nil"/>
            </w:tcBorders>
            <w:shd w:val="clear" w:color="auto" w:fill="auto"/>
            <w:vAlign w:val="center"/>
            <w:hideMark/>
          </w:tcPr>
          <w:p w14:paraId="7EE9B676" w14:textId="77777777" w:rsidR="00910AA1" w:rsidRPr="001B015B" w:rsidRDefault="00910AA1" w:rsidP="0034622E">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Stupanj 2</w:t>
            </w:r>
          </w:p>
        </w:tc>
        <w:tc>
          <w:tcPr>
            <w:tcW w:w="1077" w:type="dxa"/>
            <w:tcBorders>
              <w:top w:val="nil"/>
              <w:left w:val="nil"/>
              <w:bottom w:val="nil"/>
              <w:right w:val="nil"/>
            </w:tcBorders>
            <w:shd w:val="clear" w:color="auto" w:fill="auto"/>
            <w:vAlign w:val="center"/>
            <w:hideMark/>
          </w:tcPr>
          <w:p w14:paraId="6709D10A" w14:textId="77777777" w:rsidR="00910AA1" w:rsidRPr="001B015B" w:rsidRDefault="00910AA1" w:rsidP="0034622E">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Stupanj 3</w:t>
            </w:r>
          </w:p>
        </w:tc>
        <w:tc>
          <w:tcPr>
            <w:tcW w:w="999" w:type="dxa"/>
            <w:tcBorders>
              <w:top w:val="nil"/>
              <w:left w:val="nil"/>
              <w:bottom w:val="nil"/>
              <w:right w:val="nil"/>
            </w:tcBorders>
            <w:shd w:val="clear" w:color="auto" w:fill="auto"/>
            <w:vAlign w:val="center"/>
            <w:hideMark/>
          </w:tcPr>
          <w:p w14:paraId="7EA5565A" w14:textId="77777777" w:rsidR="00910AA1" w:rsidRPr="001B015B" w:rsidRDefault="00910AA1" w:rsidP="0034622E">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POCI</w:t>
            </w:r>
          </w:p>
        </w:tc>
        <w:tc>
          <w:tcPr>
            <w:tcW w:w="1198" w:type="dxa"/>
            <w:tcBorders>
              <w:top w:val="nil"/>
              <w:left w:val="nil"/>
              <w:bottom w:val="nil"/>
              <w:right w:val="nil"/>
            </w:tcBorders>
            <w:shd w:val="clear" w:color="auto" w:fill="auto"/>
            <w:vAlign w:val="center"/>
            <w:hideMark/>
          </w:tcPr>
          <w:p w14:paraId="27EEC637" w14:textId="77777777" w:rsidR="00910AA1" w:rsidRPr="001B015B" w:rsidRDefault="00910AA1" w:rsidP="0034622E">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Ukupno</w:t>
            </w:r>
          </w:p>
        </w:tc>
      </w:tr>
      <w:tr w:rsidR="00910AA1" w:rsidRPr="001B015B" w14:paraId="48621BC3" w14:textId="77777777" w:rsidTr="0034622E">
        <w:trPr>
          <w:trHeight w:val="185"/>
        </w:trPr>
        <w:tc>
          <w:tcPr>
            <w:tcW w:w="3876" w:type="dxa"/>
            <w:tcBorders>
              <w:top w:val="nil"/>
              <w:left w:val="nil"/>
              <w:bottom w:val="nil"/>
              <w:right w:val="nil"/>
            </w:tcBorders>
            <w:shd w:val="clear" w:color="auto" w:fill="auto"/>
            <w:vAlign w:val="center"/>
            <w:hideMark/>
          </w:tcPr>
          <w:p w14:paraId="6B694EB0" w14:textId="77777777" w:rsidR="00910AA1" w:rsidRPr="001B015B" w:rsidRDefault="00910AA1" w:rsidP="0034622E">
            <w:pPr>
              <w:jc w:val="right"/>
              <w:rPr>
                <w:rFonts w:ascii="Arial" w:eastAsia="Calibri" w:hAnsi="Arial" w:cs="Arial"/>
                <w:b/>
                <w:bCs/>
                <w:color w:val="000000" w:themeColor="text1"/>
                <w:sz w:val="18"/>
                <w:szCs w:val="18"/>
              </w:rPr>
            </w:pPr>
          </w:p>
        </w:tc>
        <w:tc>
          <w:tcPr>
            <w:tcW w:w="1134" w:type="dxa"/>
            <w:tcBorders>
              <w:top w:val="nil"/>
              <w:left w:val="nil"/>
              <w:bottom w:val="nil"/>
              <w:right w:val="nil"/>
            </w:tcBorders>
            <w:shd w:val="clear" w:color="auto" w:fill="auto"/>
            <w:vAlign w:val="bottom"/>
            <w:hideMark/>
          </w:tcPr>
          <w:p w14:paraId="41FCB47E" w14:textId="77777777" w:rsidR="00910AA1" w:rsidRPr="001B015B" w:rsidRDefault="00910AA1" w:rsidP="0034622E">
            <w:pPr>
              <w:jc w:val="right"/>
              <w:rPr>
                <w:rFonts w:ascii="Arial" w:eastAsia="Calibri" w:hAnsi="Arial" w:cs="Arial"/>
                <w:b/>
                <w:bCs/>
                <w:color w:val="000000" w:themeColor="text1"/>
                <w:sz w:val="18"/>
                <w:szCs w:val="18"/>
              </w:rPr>
            </w:pPr>
            <w:r w:rsidRPr="000E026D">
              <w:rPr>
                <w:rFonts w:ascii="Arial" w:eastAsia="Calibri" w:hAnsi="Arial" w:cs="Arial"/>
                <w:b/>
                <w:bCs/>
                <w:color w:val="000000" w:themeColor="text1"/>
                <w:sz w:val="18"/>
                <w:szCs w:val="18"/>
              </w:rPr>
              <w:t>000 eura</w:t>
            </w:r>
          </w:p>
        </w:tc>
        <w:tc>
          <w:tcPr>
            <w:tcW w:w="1077" w:type="dxa"/>
            <w:tcBorders>
              <w:top w:val="nil"/>
              <w:left w:val="nil"/>
              <w:bottom w:val="nil"/>
              <w:right w:val="nil"/>
            </w:tcBorders>
            <w:shd w:val="clear" w:color="auto" w:fill="auto"/>
            <w:vAlign w:val="bottom"/>
            <w:hideMark/>
          </w:tcPr>
          <w:p w14:paraId="16A517AC" w14:textId="77777777" w:rsidR="00910AA1" w:rsidRPr="001B015B" w:rsidRDefault="00910AA1" w:rsidP="0034622E">
            <w:pPr>
              <w:jc w:val="right"/>
              <w:rPr>
                <w:rFonts w:ascii="Arial" w:eastAsia="Calibri" w:hAnsi="Arial" w:cs="Arial"/>
                <w:b/>
                <w:bCs/>
                <w:color w:val="000000" w:themeColor="text1"/>
                <w:sz w:val="18"/>
                <w:szCs w:val="18"/>
              </w:rPr>
            </w:pPr>
            <w:r w:rsidRPr="000E026D">
              <w:rPr>
                <w:rFonts w:ascii="Arial" w:eastAsia="Calibri" w:hAnsi="Arial" w:cs="Arial"/>
                <w:b/>
                <w:bCs/>
                <w:color w:val="000000" w:themeColor="text1"/>
                <w:sz w:val="18"/>
                <w:szCs w:val="18"/>
              </w:rPr>
              <w:t>000 eura</w:t>
            </w:r>
          </w:p>
        </w:tc>
        <w:tc>
          <w:tcPr>
            <w:tcW w:w="1077" w:type="dxa"/>
            <w:tcBorders>
              <w:top w:val="nil"/>
              <w:left w:val="nil"/>
              <w:bottom w:val="nil"/>
              <w:right w:val="nil"/>
            </w:tcBorders>
            <w:shd w:val="clear" w:color="auto" w:fill="auto"/>
            <w:vAlign w:val="bottom"/>
            <w:hideMark/>
          </w:tcPr>
          <w:p w14:paraId="5689E96A" w14:textId="77777777" w:rsidR="00910AA1" w:rsidRPr="001B015B" w:rsidRDefault="00910AA1" w:rsidP="0034622E">
            <w:pPr>
              <w:jc w:val="right"/>
              <w:rPr>
                <w:rFonts w:ascii="Arial" w:eastAsia="Calibri" w:hAnsi="Arial" w:cs="Arial"/>
                <w:b/>
                <w:bCs/>
                <w:color w:val="000000" w:themeColor="text1"/>
                <w:sz w:val="18"/>
                <w:szCs w:val="18"/>
              </w:rPr>
            </w:pPr>
            <w:r w:rsidRPr="000E026D">
              <w:rPr>
                <w:rFonts w:ascii="Arial" w:eastAsia="Calibri" w:hAnsi="Arial" w:cs="Arial"/>
                <w:b/>
                <w:bCs/>
                <w:color w:val="000000" w:themeColor="text1"/>
                <w:sz w:val="18"/>
                <w:szCs w:val="18"/>
              </w:rPr>
              <w:t>000 eura</w:t>
            </w:r>
          </w:p>
        </w:tc>
        <w:tc>
          <w:tcPr>
            <w:tcW w:w="999" w:type="dxa"/>
            <w:tcBorders>
              <w:top w:val="nil"/>
              <w:left w:val="nil"/>
              <w:bottom w:val="nil"/>
              <w:right w:val="nil"/>
            </w:tcBorders>
            <w:shd w:val="clear" w:color="auto" w:fill="auto"/>
            <w:vAlign w:val="bottom"/>
            <w:hideMark/>
          </w:tcPr>
          <w:p w14:paraId="03CC6FBD" w14:textId="77777777" w:rsidR="00910AA1" w:rsidRPr="001B015B" w:rsidRDefault="00910AA1" w:rsidP="0034622E">
            <w:pPr>
              <w:jc w:val="right"/>
              <w:rPr>
                <w:rFonts w:ascii="Arial" w:eastAsia="Calibri" w:hAnsi="Arial" w:cs="Arial"/>
                <w:b/>
                <w:bCs/>
                <w:color w:val="000000" w:themeColor="text1"/>
                <w:sz w:val="18"/>
                <w:szCs w:val="18"/>
              </w:rPr>
            </w:pPr>
            <w:r w:rsidRPr="000E026D">
              <w:rPr>
                <w:rFonts w:ascii="Arial" w:eastAsia="Calibri" w:hAnsi="Arial" w:cs="Arial"/>
                <w:b/>
                <w:bCs/>
                <w:color w:val="000000" w:themeColor="text1"/>
                <w:sz w:val="18"/>
                <w:szCs w:val="18"/>
              </w:rPr>
              <w:t>000 eura</w:t>
            </w:r>
          </w:p>
        </w:tc>
        <w:tc>
          <w:tcPr>
            <w:tcW w:w="1198" w:type="dxa"/>
            <w:tcBorders>
              <w:top w:val="nil"/>
              <w:left w:val="nil"/>
              <w:bottom w:val="nil"/>
              <w:right w:val="nil"/>
            </w:tcBorders>
            <w:shd w:val="clear" w:color="auto" w:fill="auto"/>
            <w:vAlign w:val="bottom"/>
            <w:hideMark/>
          </w:tcPr>
          <w:p w14:paraId="54E74C2C" w14:textId="77777777" w:rsidR="00910AA1" w:rsidRPr="001B015B" w:rsidRDefault="00910AA1" w:rsidP="0034622E">
            <w:pPr>
              <w:jc w:val="right"/>
              <w:rPr>
                <w:rFonts w:ascii="Arial" w:eastAsia="Calibri" w:hAnsi="Arial" w:cs="Arial"/>
                <w:b/>
                <w:bCs/>
                <w:color w:val="000000" w:themeColor="text1"/>
                <w:sz w:val="18"/>
                <w:szCs w:val="18"/>
              </w:rPr>
            </w:pPr>
            <w:r w:rsidRPr="000E026D">
              <w:rPr>
                <w:rFonts w:ascii="Arial" w:eastAsia="Calibri" w:hAnsi="Arial" w:cs="Arial"/>
                <w:b/>
                <w:bCs/>
                <w:color w:val="000000" w:themeColor="text1"/>
                <w:sz w:val="18"/>
                <w:szCs w:val="18"/>
              </w:rPr>
              <w:t>000 eura</w:t>
            </w:r>
          </w:p>
        </w:tc>
      </w:tr>
      <w:tr w:rsidR="00910AA1" w:rsidRPr="001B015B" w14:paraId="50C3E7C8" w14:textId="77777777" w:rsidTr="0034622E">
        <w:trPr>
          <w:trHeight w:val="185"/>
        </w:trPr>
        <w:tc>
          <w:tcPr>
            <w:tcW w:w="3876" w:type="dxa"/>
            <w:tcBorders>
              <w:top w:val="nil"/>
              <w:left w:val="nil"/>
              <w:bottom w:val="nil"/>
              <w:right w:val="nil"/>
            </w:tcBorders>
            <w:shd w:val="clear" w:color="auto" w:fill="auto"/>
            <w:vAlign w:val="center"/>
          </w:tcPr>
          <w:p w14:paraId="76CFD144" w14:textId="77777777" w:rsidR="00910AA1" w:rsidRPr="001B015B" w:rsidRDefault="00910AA1" w:rsidP="0034622E">
            <w:pPr>
              <w:jc w:val="right"/>
              <w:rPr>
                <w:rFonts w:ascii="Arial" w:eastAsia="Calibri" w:hAnsi="Arial" w:cs="Arial"/>
                <w:b/>
                <w:bCs/>
                <w:color w:val="000000" w:themeColor="text1"/>
                <w:sz w:val="18"/>
                <w:szCs w:val="18"/>
              </w:rPr>
            </w:pPr>
          </w:p>
        </w:tc>
        <w:tc>
          <w:tcPr>
            <w:tcW w:w="1134" w:type="dxa"/>
            <w:tcBorders>
              <w:top w:val="nil"/>
              <w:left w:val="nil"/>
              <w:bottom w:val="nil"/>
              <w:right w:val="nil"/>
            </w:tcBorders>
            <w:shd w:val="clear" w:color="auto" w:fill="auto"/>
            <w:vAlign w:val="center"/>
          </w:tcPr>
          <w:p w14:paraId="1D9C1E35" w14:textId="77777777" w:rsidR="00910AA1" w:rsidRPr="001B015B" w:rsidRDefault="00910AA1" w:rsidP="0034622E">
            <w:pPr>
              <w:jc w:val="right"/>
              <w:rPr>
                <w:rFonts w:ascii="Arial" w:eastAsia="Calibri" w:hAnsi="Arial" w:cs="Arial"/>
                <w:b/>
                <w:bCs/>
                <w:color w:val="000000" w:themeColor="text1"/>
                <w:sz w:val="18"/>
                <w:szCs w:val="18"/>
              </w:rPr>
            </w:pPr>
          </w:p>
        </w:tc>
        <w:tc>
          <w:tcPr>
            <w:tcW w:w="1077" w:type="dxa"/>
            <w:tcBorders>
              <w:top w:val="nil"/>
              <w:left w:val="nil"/>
              <w:bottom w:val="nil"/>
              <w:right w:val="nil"/>
            </w:tcBorders>
            <w:shd w:val="clear" w:color="auto" w:fill="auto"/>
            <w:vAlign w:val="center"/>
          </w:tcPr>
          <w:p w14:paraId="093F9E84" w14:textId="77777777" w:rsidR="00910AA1" w:rsidRPr="001B015B" w:rsidRDefault="00910AA1" w:rsidP="0034622E">
            <w:pPr>
              <w:jc w:val="right"/>
              <w:rPr>
                <w:rFonts w:ascii="Arial" w:eastAsia="Calibri" w:hAnsi="Arial" w:cs="Arial"/>
                <w:b/>
                <w:bCs/>
                <w:color w:val="000000" w:themeColor="text1"/>
                <w:sz w:val="18"/>
                <w:szCs w:val="18"/>
              </w:rPr>
            </w:pPr>
          </w:p>
        </w:tc>
        <w:tc>
          <w:tcPr>
            <w:tcW w:w="1077" w:type="dxa"/>
            <w:tcBorders>
              <w:top w:val="nil"/>
              <w:left w:val="nil"/>
              <w:bottom w:val="nil"/>
              <w:right w:val="nil"/>
            </w:tcBorders>
            <w:shd w:val="clear" w:color="auto" w:fill="auto"/>
            <w:vAlign w:val="center"/>
          </w:tcPr>
          <w:p w14:paraId="68B0D776" w14:textId="77777777" w:rsidR="00910AA1" w:rsidRPr="001B015B" w:rsidRDefault="00910AA1" w:rsidP="0034622E">
            <w:pPr>
              <w:jc w:val="right"/>
              <w:rPr>
                <w:rFonts w:ascii="Arial" w:eastAsia="Calibri" w:hAnsi="Arial" w:cs="Arial"/>
                <w:b/>
                <w:bCs/>
                <w:color w:val="000000" w:themeColor="text1"/>
                <w:sz w:val="18"/>
                <w:szCs w:val="18"/>
              </w:rPr>
            </w:pPr>
          </w:p>
        </w:tc>
        <w:tc>
          <w:tcPr>
            <w:tcW w:w="999" w:type="dxa"/>
            <w:tcBorders>
              <w:top w:val="nil"/>
              <w:left w:val="nil"/>
              <w:bottom w:val="nil"/>
              <w:right w:val="nil"/>
            </w:tcBorders>
            <w:shd w:val="clear" w:color="auto" w:fill="auto"/>
            <w:vAlign w:val="center"/>
          </w:tcPr>
          <w:p w14:paraId="6346BBD5" w14:textId="77777777" w:rsidR="00910AA1" w:rsidRPr="001B015B" w:rsidRDefault="00910AA1" w:rsidP="0034622E">
            <w:pPr>
              <w:jc w:val="right"/>
              <w:rPr>
                <w:rFonts w:ascii="Arial" w:eastAsia="Calibri" w:hAnsi="Arial" w:cs="Arial"/>
                <w:b/>
                <w:bCs/>
                <w:color w:val="000000" w:themeColor="text1"/>
                <w:sz w:val="18"/>
                <w:szCs w:val="18"/>
              </w:rPr>
            </w:pPr>
          </w:p>
        </w:tc>
        <w:tc>
          <w:tcPr>
            <w:tcW w:w="1198" w:type="dxa"/>
            <w:tcBorders>
              <w:top w:val="nil"/>
              <w:left w:val="nil"/>
              <w:bottom w:val="nil"/>
              <w:right w:val="nil"/>
            </w:tcBorders>
            <w:shd w:val="clear" w:color="auto" w:fill="auto"/>
            <w:vAlign w:val="center"/>
          </w:tcPr>
          <w:p w14:paraId="2BA0BEC9" w14:textId="77777777" w:rsidR="00910AA1" w:rsidRPr="001B015B" w:rsidRDefault="00910AA1" w:rsidP="0034622E">
            <w:pPr>
              <w:jc w:val="right"/>
              <w:rPr>
                <w:rFonts w:ascii="Arial" w:eastAsia="Calibri" w:hAnsi="Arial" w:cs="Arial"/>
                <w:b/>
                <w:bCs/>
                <w:color w:val="000000" w:themeColor="text1"/>
                <w:sz w:val="18"/>
                <w:szCs w:val="18"/>
              </w:rPr>
            </w:pPr>
          </w:p>
        </w:tc>
      </w:tr>
      <w:tr w:rsidR="00910AA1" w:rsidRPr="001B015B" w14:paraId="3F145707" w14:textId="77777777" w:rsidTr="0034622E">
        <w:trPr>
          <w:trHeight w:val="185"/>
        </w:trPr>
        <w:tc>
          <w:tcPr>
            <w:tcW w:w="3876" w:type="dxa"/>
            <w:tcBorders>
              <w:top w:val="nil"/>
              <w:left w:val="nil"/>
              <w:bottom w:val="nil"/>
              <w:right w:val="nil"/>
            </w:tcBorders>
            <w:shd w:val="clear" w:color="auto" w:fill="auto"/>
            <w:vAlign w:val="center"/>
            <w:hideMark/>
          </w:tcPr>
          <w:p w14:paraId="069FB76E" w14:textId="77777777" w:rsidR="00910AA1" w:rsidRPr="001B015B" w:rsidRDefault="00910AA1" w:rsidP="0034622E">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Stanje 1. siječnja 202</w:t>
            </w:r>
            <w:r>
              <w:rPr>
                <w:rFonts w:ascii="Arial" w:eastAsia="Calibri" w:hAnsi="Arial" w:cs="Arial"/>
                <w:color w:val="000000" w:themeColor="text1"/>
                <w:sz w:val="18"/>
                <w:szCs w:val="18"/>
              </w:rPr>
              <w:t>3</w:t>
            </w:r>
            <w:r w:rsidRPr="001B015B">
              <w:rPr>
                <w:rFonts w:ascii="Arial" w:eastAsia="Calibri" w:hAnsi="Arial" w:cs="Arial"/>
                <w:color w:val="000000" w:themeColor="text1"/>
                <w:sz w:val="18"/>
                <w:szCs w:val="18"/>
              </w:rPr>
              <w:t xml:space="preserve">. </w:t>
            </w:r>
          </w:p>
        </w:tc>
        <w:tc>
          <w:tcPr>
            <w:tcW w:w="1134" w:type="dxa"/>
            <w:tcBorders>
              <w:top w:val="nil"/>
              <w:left w:val="nil"/>
              <w:bottom w:val="nil"/>
              <w:right w:val="nil"/>
            </w:tcBorders>
            <w:shd w:val="clear" w:color="auto" w:fill="auto"/>
            <w:vAlign w:val="bottom"/>
          </w:tcPr>
          <w:p w14:paraId="384CAD49" w14:textId="77777777" w:rsidR="00910AA1" w:rsidRPr="00593574" w:rsidRDefault="00910AA1" w:rsidP="0034622E">
            <w:pPr>
              <w:jc w:val="right"/>
              <w:rPr>
                <w:rFonts w:ascii="Arial" w:hAnsi="Arial" w:cs="Arial"/>
                <w:sz w:val="18"/>
                <w:szCs w:val="18"/>
              </w:rPr>
            </w:pPr>
            <w:r w:rsidRPr="00F959D0">
              <w:rPr>
                <w:rFonts w:ascii="Arial" w:hAnsi="Arial" w:cs="Arial"/>
                <w:sz w:val="18"/>
                <w:szCs w:val="18"/>
              </w:rPr>
              <w:t xml:space="preserve"> 327 </w:t>
            </w:r>
          </w:p>
        </w:tc>
        <w:tc>
          <w:tcPr>
            <w:tcW w:w="1077" w:type="dxa"/>
            <w:tcBorders>
              <w:top w:val="nil"/>
              <w:left w:val="nil"/>
              <w:bottom w:val="nil"/>
              <w:right w:val="nil"/>
            </w:tcBorders>
            <w:shd w:val="clear" w:color="auto" w:fill="auto"/>
            <w:vAlign w:val="bottom"/>
          </w:tcPr>
          <w:p w14:paraId="70A09771" w14:textId="77777777" w:rsidR="00910AA1" w:rsidRPr="00593574" w:rsidRDefault="00910AA1" w:rsidP="0034622E">
            <w:pPr>
              <w:jc w:val="right"/>
              <w:rPr>
                <w:rFonts w:ascii="Arial" w:hAnsi="Arial" w:cs="Arial"/>
                <w:sz w:val="18"/>
                <w:szCs w:val="18"/>
              </w:rPr>
            </w:pPr>
            <w:r w:rsidRPr="00F959D0">
              <w:rPr>
                <w:rFonts w:ascii="Arial" w:hAnsi="Arial" w:cs="Arial"/>
                <w:sz w:val="18"/>
                <w:szCs w:val="18"/>
              </w:rPr>
              <w:t xml:space="preserve"> 48 </w:t>
            </w:r>
          </w:p>
        </w:tc>
        <w:tc>
          <w:tcPr>
            <w:tcW w:w="1077" w:type="dxa"/>
            <w:tcBorders>
              <w:top w:val="nil"/>
              <w:left w:val="nil"/>
              <w:bottom w:val="nil"/>
              <w:right w:val="nil"/>
            </w:tcBorders>
            <w:shd w:val="clear" w:color="auto" w:fill="auto"/>
            <w:vAlign w:val="bottom"/>
          </w:tcPr>
          <w:p w14:paraId="5BDEC6A8" w14:textId="77777777" w:rsidR="00910AA1" w:rsidRPr="00593574" w:rsidRDefault="00910AA1" w:rsidP="0034622E">
            <w:pPr>
              <w:jc w:val="right"/>
              <w:rPr>
                <w:rFonts w:ascii="Arial" w:hAnsi="Arial" w:cs="Arial"/>
                <w:sz w:val="18"/>
                <w:szCs w:val="18"/>
              </w:rPr>
            </w:pPr>
            <w:r w:rsidRPr="00F959D0">
              <w:rPr>
                <w:rFonts w:ascii="Arial" w:hAnsi="Arial" w:cs="Arial"/>
                <w:sz w:val="18"/>
                <w:szCs w:val="18"/>
              </w:rPr>
              <w:t xml:space="preserve"> 231 </w:t>
            </w:r>
          </w:p>
        </w:tc>
        <w:tc>
          <w:tcPr>
            <w:tcW w:w="999" w:type="dxa"/>
            <w:tcBorders>
              <w:top w:val="nil"/>
              <w:left w:val="nil"/>
              <w:bottom w:val="nil"/>
              <w:right w:val="nil"/>
            </w:tcBorders>
            <w:shd w:val="clear" w:color="auto" w:fill="auto"/>
            <w:vAlign w:val="bottom"/>
          </w:tcPr>
          <w:p w14:paraId="0C77F792" w14:textId="77777777" w:rsidR="00910AA1" w:rsidRPr="00593574" w:rsidRDefault="00910AA1" w:rsidP="0034622E">
            <w:pPr>
              <w:jc w:val="right"/>
              <w:rPr>
                <w:rFonts w:ascii="Arial" w:hAnsi="Arial" w:cs="Arial"/>
                <w:sz w:val="18"/>
                <w:szCs w:val="18"/>
              </w:rPr>
            </w:pPr>
            <w:r>
              <w:rPr>
                <w:rFonts w:ascii="Arial" w:hAnsi="Arial" w:cs="Arial"/>
                <w:sz w:val="18"/>
                <w:szCs w:val="18"/>
              </w:rPr>
              <w:t>-</w:t>
            </w:r>
          </w:p>
        </w:tc>
        <w:tc>
          <w:tcPr>
            <w:tcW w:w="1198" w:type="dxa"/>
            <w:tcBorders>
              <w:top w:val="nil"/>
              <w:left w:val="nil"/>
              <w:bottom w:val="nil"/>
              <w:right w:val="nil"/>
            </w:tcBorders>
            <w:shd w:val="clear" w:color="auto" w:fill="auto"/>
            <w:vAlign w:val="bottom"/>
          </w:tcPr>
          <w:p w14:paraId="71615C06" w14:textId="77777777" w:rsidR="00910AA1" w:rsidRPr="005D1219" w:rsidRDefault="00910AA1" w:rsidP="0034622E">
            <w:pPr>
              <w:jc w:val="right"/>
              <w:rPr>
                <w:rFonts w:ascii="Arial" w:hAnsi="Arial" w:cs="Arial"/>
                <w:b/>
                <w:bCs/>
                <w:sz w:val="18"/>
                <w:szCs w:val="18"/>
              </w:rPr>
            </w:pPr>
            <w:r w:rsidRPr="005D1219">
              <w:rPr>
                <w:rFonts w:ascii="Arial" w:hAnsi="Arial" w:cs="Arial"/>
                <w:b/>
                <w:bCs/>
                <w:sz w:val="18"/>
                <w:szCs w:val="18"/>
              </w:rPr>
              <w:t xml:space="preserve"> 606 </w:t>
            </w:r>
          </w:p>
        </w:tc>
      </w:tr>
      <w:tr w:rsidR="00910AA1" w:rsidRPr="001B015B" w14:paraId="5B341F08" w14:textId="77777777" w:rsidTr="0034622E">
        <w:trPr>
          <w:trHeight w:val="185"/>
        </w:trPr>
        <w:tc>
          <w:tcPr>
            <w:tcW w:w="3876" w:type="dxa"/>
            <w:shd w:val="clear" w:color="auto" w:fill="auto"/>
          </w:tcPr>
          <w:p w14:paraId="0A5B8355" w14:textId="77777777" w:rsidR="00910AA1" w:rsidRPr="001B015B" w:rsidRDefault="00910AA1" w:rsidP="0034622E">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Prijenos u Stupanj 1</w:t>
            </w:r>
          </w:p>
        </w:tc>
        <w:tc>
          <w:tcPr>
            <w:tcW w:w="1134" w:type="dxa"/>
            <w:tcBorders>
              <w:top w:val="nil"/>
              <w:left w:val="nil"/>
              <w:bottom w:val="nil"/>
              <w:right w:val="nil"/>
            </w:tcBorders>
            <w:shd w:val="clear" w:color="auto" w:fill="auto"/>
            <w:vAlign w:val="bottom"/>
          </w:tcPr>
          <w:p w14:paraId="73CA1AE8" w14:textId="77777777" w:rsidR="00910AA1" w:rsidRPr="00593574" w:rsidRDefault="00910AA1" w:rsidP="0034622E">
            <w:pPr>
              <w:jc w:val="right"/>
              <w:rPr>
                <w:rFonts w:ascii="Arial" w:hAnsi="Arial" w:cs="Arial"/>
                <w:sz w:val="18"/>
                <w:szCs w:val="18"/>
              </w:rPr>
            </w:pPr>
            <w:r w:rsidRPr="00F959D0">
              <w:rPr>
                <w:rFonts w:ascii="Arial" w:hAnsi="Arial" w:cs="Arial"/>
                <w:sz w:val="18"/>
                <w:szCs w:val="18"/>
              </w:rPr>
              <w:t xml:space="preserve"> 44 </w:t>
            </w:r>
          </w:p>
        </w:tc>
        <w:tc>
          <w:tcPr>
            <w:tcW w:w="1077" w:type="dxa"/>
            <w:tcBorders>
              <w:top w:val="nil"/>
              <w:left w:val="nil"/>
              <w:bottom w:val="nil"/>
              <w:right w:val="nil"/>
            </w:tcBorders>
            <w:shd w:val="clear" w:color="auto" w:fill="auto"/>
            <w:vAlign w:val="bottom"/>
          </w:tcPr>
          <w:p w14:paraId="2B773DFA" w14:textId="77777777" w:rsidR="00910AA1" w:rsidRPr="00593574" w:rsidRDefault="00910AA1" w:rsidP="0034622E">
            <w:pPr>
              <w:jc w:val="right"/>
              <w:rPr>
                <w:rFonts w:ascii="Arial" w:hAnsi="Arial" w:cs="Arial"/>
                <w:sz w:val="18"/>
                <w:szCs w:val="18"/>
              </w:rPr>
            </w:pPr>
            <w:r w:rsidRPr="00F959D0">
              <w:rPr>
                <w:rFonts w:ascii="Arial" w:hAnsi="Arial" w:cs="Arial"/>
                <w:sz w:val="18"/>
                <w:szCs w:val="18"/>
              </w:rPr>
              <w:t xml:space="preserve"> (44)</w:t>
            </w:r>
          </w:p>
        </w:tc>
        <w:tc>
          <w:tcPr>
            <w:tcW w:w="1077" w:type="dxa"/>
            <w:tcBorders>
              <w:top w:val="nil"/>
              <w:left w:val="nil"/>
              <w:bottom w:val="nil"/>
              <w:right w:val="nil"/>
            </w:tcBorders>
            <w:shd w:val="clear" w:color="auto" w:fill="auto"/>
            <w:vAlign w:val="bottom"/>
          </w:tcPr>
          <w:p w14:paraId="189177DD" w14:textId="77777777" w:rsidR="00910AA1" w:rsidRPr="00593574" w:rsidRDefault="00910AA1" w:rsidP="0034622E">
            <w:pPr>
              <w:jc w:val="right"/>
              <w:rPr>
                <w:rFonts w:ascii="Arial" w:hAnsi="Arial" w:cs="Arial"/>
                <w:sz w:val="18"/>
                <w:szCs w:val="18"/>
              </w:rPr>
            </w:pPr>
            <w:r>
              <w:rPr>
                <w:rFonts w:ascii="Arial" w:hAnsi="Arial" w:cs="Arial"/>
                <w:sz w:val="18"/>
                <w:szCs w:val="18"/>
              </w:rPr>
              <w:t>-</w:t>
            </w:r>
          </w:p>
        </w:tc>
        <w:tc>
          <w:tcPr>
            <w:tcW w:w="999" w:type="dxa"/>
            <w:tcBorders>
              <w:top w:val="nil"/>
              <w:left w:val="nil"/>
              <w:bottom w:val="nil"/>
              <w:right w:val="nil"/>
            </w:tcBorders>
            <w:shd w:val="clear" w:color="auto" w:fill="auto"/>
            <w:vAlign w:val="bottom"/>
          </w:tcPr>
          <w:p w14:paraId="1FB01D2C" w14:textId="77777777" w:rsidR="00910AA1" w:rsidRPr="00593574" w:rsidRDefault="00910AA1" w:rsidP="0034622E">
            <w:pPr>
              <w:jc w:val="right"/>
              <w:rPr>
                <w:rFonts w:ascii="Arial" w:hAnsi="Arial" w:cs="Arial"/>
                <w:sz w:val="18"/>
                <w:szCs w:val="18"/>
              </w:rPr>
            </w:pPr>
            <w:r>
              <w:rPr>
                <w:rFonts w:ascii="Arial" w:hAnsi="Arial" w:cs="Arial"/>
                <w:sz w:val="18"/>
                <w:szCs w:val="18"/>
              </w:rPr>
              <w:t>-</w:t>
            </w:r>
          </w:p>
        </w:tc>
        <w:tc>
          <w:tcPr>
            <w:tcW w:w="1198" w:type="dxa"/>
            <w:tcBorders>
              <w:top w:val="nil"/>
              <w:left w:val="nil"/>
              <w:bottom w:val="nil"/>
              <w:right w:val="nil"/>
            </w:tcBorders>
            <w:shd w:val="clear" w:color="auto" w:fill="auto"/>
            <w:vAlign w:val="bottom"/>
          </w:tcPr>
          <w:p w14:paraId="425BEA31" w14:textId="77777777" w:rsidR="00910AA1" w:rsidRPr="005D1219" w:rsidRDefault="00910AA1" w:rsidP="0034622E">
            <w:pPr>
              <w:jc w:val="right"/>
              <w:rPr>
                <w:rFonts w:ascii="Arial" w:hAnsi="Arial" w:cs="Arial"/>
                <w:b/>
                <w:bCs/>
                <w:sz w:val="18"/>
                <w:szCs w:val="18"/>
              </w:rPr>
            </w:pPr>
            <w:r w:rsidRPr="005D1219">
              <w:rPr>
                <w:rFonts w:ascii="Arial" w:hAnsi="Arial" w:cs="Arial"/>
                <w:b/>
                <w:bCs/>
                <w:sz w:val="18"/>
                <w:szCs w:val="18"/>
              </w:rPr>
              <w:t xml:space="preserve"> - </w:t>
            </w:r>
          </w:p>
        </w:tc>
      </w:tr>
      <w:tr w:rsidR="00910AA1" w:rsidRPr="001B015B" w14:paraId="7292F2BE" w14:textId="77777777" w:rsidTr="0034622E">
        <w:trPr>
          <w:trHeight w:val="185"/>
        </w:trPr>
        <w:tc>
          <w:tcPr>
            <w:tcW w:w="3876" w:type="dxa"/>
            <w:shd w:val="clear" w:color="auto" w:fill="auto"/>
          </w:tcPr>
          <w:p w14:paraId="79976FD0" w14:textId="77777777" w:rsidR="00910AA1" w:rsidRPr="001B015B" w:rsidRDefault="00910AA1" w:rsidP="0034622E">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Prijenos u Stupanj 2</w:t>
            </w:r>
          </w:p>
        </w:tc>
        <w:tc>
          <w:tcPr>
            <w:tcW w:w="1134" w:type="dxa"/>
            <w:tcBorders>
              <w:top w:val="nil"/>
              <w:left w:val="nil"/>
              <w:bottom w:val="nil"/>
              <w:right w:val="nil"/>
            </w:tcBorders>
            <w:shd w:val="clear" w:color="auto" w:fill="auto"/>
            <w:vAlign w:val="bottom"/>
          </w:tcPr>
          <w:p w14:paraId="41A96CB5" w14:textId="77777777" w:rsidR="00910AA1" w:rsidRPr="00593574" w:rsidRDefault="00910AA1" w:rsidP="0034622E">
            <w:pPr>
              <w:jc w:val="right"/>
              <w:rPr>
                <w:rFonts w:ascii="Arial" w:hAnsi="Arial" w:cs="Arial"/>
                <w:sz w:val="18"/>
                <w:szCs w:val="18"/>
              </w:rPr>
            </w:pPr>
            <w:r w:rsidRPr="006539F7">
              <w:rPr>
                <w:rFonts w:ascii="Arial" w:hAnsi="Arial" w:cs="Arial"/>
                <w:sz w:val="18"/>
                <w:szCs w:val="18"/>
              </w:rPr>
              <w:t xml:space="preserve"> - </w:t>
            </w:r>
          </w:p>
        </w:tc>
        <w:tc>
          <w:tcPr>
            <w:tcW w:w="1077" w:type="dxa"/>
            <w:tcBorders>
              <w:top w:val="nil"/>
              <w:left w:val="nil"/>
              <w:bottom w:val="nil"/>
              <w:right w:val="nil"/>
            </w:tcBorders>
            <w:shd w:val="clear" w:color="auto" w:fill="auto"/>
            <w:vAlign w:val="bottom"/>
          </w:tcPr>
          <w:p w14:paraId="1BBC3632" w14:textId="77777777" w:rsidR="00910AA1" w:rsidRPr="00593574" w:rsidRDefault="00910AA1" w:rsidP="0034622E">
            <w:pPr>
              <w:jc w:val="right"/>
              <w:rPr>
                <w:rFonts w:ascii="Arial" w:hAnsi="Arial" w:cs="Arial"/>
                <w:sz w:val="18"/>
                <w:szCs w:val="18"/>
              </w:rPr>
            </w:pPr>
            <w:r w:rsidRPr="006539F7">
              <w:rPr>
                <w:rFonts w:ascii="Arial" w:hAnsi="Arial" w:cs="Arial"/>
                <w:sz w:val="18"/>
                <w:szCs w:val="18"/>
              </w:rPr>
              <w:t xml:space="preserve"> - </w:t>
            </w:r>
          </w:p>
        </w:tc>
        <w:tc>
          <w:tcPr>
            <w:tcW w:w="1077" w:type="dxa"/>
            <w:tcBorders>
              <w:top w:val="nil"/>
              <w:left w:val="nil"/>
              <w:bottom w:val="nil"/>
              <w:right w:val="nil"/>
            </w:tcBorders>
            <w:shd w:val="clear" w:color="auto" w:fill="auto"/>
            <w:vAlign w:val="bottom"/>
          </w:tcPr>
          <w:p w14:paraId="1E77D8DC" w14:textId="77777777" w:rsidR="00910AA1" w:rsidRPr="00593574" w:rsidRDefault="00910AA1" w:rsidP="0034622E">
            <w:pPr>
              <w:jc w:val="right"/>
              <w:rPr>
                <w:rFonts w:ascii="Arial" w:hAnsi="Arial" w:cs="Arial"/>
                <w:sz w:val="18"/>
                <w:szCs w:val="18"/>
              </w:rPr>
            </w:pPr>
            <w:r w:rsidRPr="006539F7">
              <w:rPr>
                <w:rFonts w:ascii="Arial" w:hAnsi="Arial" w:cs="Arial"/>
                <w:sz w:val="18"/>
                <w:szCs w:val="18"/>
              </w:rPr>
              <w:t xml:space="preserve"> - </w:t>
            </w:r>
          </w:p>
        </w:tc>
        <w:tc>
          <w:tcPr>
            <w:tcW w:w="999" w:type="dxa"/>
            <w:tcBorders>
              <w:top w:val="nil"/>
              <w:left w:val="nil"/>
              <w:bottom w:val="nil"/>
              <w:right w:val="nil"/>
            </w:tcBorders>
            <w:shd w:val="clear" w:color="auto" w:fill="auto"/>
            <w:vAlign w:val="bottom"/>
          </w:tcPr>
          <w:p w14:paraId="76C72857" w14:textId="77777777" w:rsidR="00910AA1" w:rsidRPr="00593574" w:rsidRDefault="00910AA1" w:rsidP="0034622E">
            <w:pPr>
              <w:jc w:val="right"/>
              <w:rPr>
                <w:rFonts w:ascii="Arial" w:hAnsi="Arial" w:cs="Arial"/>
                <w:sz w:val="18"/>
                <w:szCs w:val="18"/>
              </w:rPr>
            </w:pPr>
            <w:r w:rsidRPr="006539F7">
              <w:rPr>
                <w:rFonts w:ascii="Arial" w:hAnsi="Arial" w:cs="Arial"/>
                <w:sz w:val="18"/>
                <w:szCs w:val="18"/>
              </w:rPr>
              <w:t xml:space="preserve"> - </w:t>
            </w:r>
          </w:p>
        </w:tc>
        <w:tc>
          <w:tcPr>
            <w:tcW w:w="1198" w:type="dxa"/>
            <w:tcBorders>
              <w:top w:val="nil"/>
              <w:left w:val="nil"/>
              <w:bottom w:val="nil"/>
              <w:right w:val="nil"/>
            </w:tcBorders>
            <w:shd w:val="clear" w:color="auto" w:fill="auto"/>
            <w:vAlign w:val="bottom"/>
          </w:tcPr>
          <w:p w14:paraId="51638931" w14:textId="77777777" w:rsidR="00910AA1" w:rsidRPr="005D1219" w:rsidRDefault="00910AA1" w:rsidP="0034622E">
            <w:pPr>
              <w:jc w:val="right"/>
              <w:rPr>
                <w:rFonts w:ascii="Arial" w:hAnsi="Arial" w:cs="Arial"/>
                <w:b/>
                <w:bCs/>
                <w:sz w:val="18"/>
                <w:szCs w:val="18"/>
              </w:rPr>
            </w:pPr>
            <w:r w:rsidRPr="005D1219">
              <w:rPr>
                <w:rFonts w:ascii="Arial" w:hAnsi="Arial" w:cs="Arial"/>
                <w:b/>
                <w:bCs/>
                <w:sz w:val="18"/>
                <w:szCs w:val="18"/>
              </w:rPr>
              <w:t xml:space="preserve"> - </w:t>
            </w:r>
          </w:p>
        </w:tc>
      </w:tr>
      <w:tr w:rsidR="00910AA1" w:rsidRPr="001B015B" w14:paraId="01B86AC0" w14:textId="77777777" w:rsidTr="001541F1">
        <w:trPr>
          <w:trHeight w:val="185"/>
        </w:trPr>
        <w:tc>
          <w:tcPr>
            <w:tcW w:w="3876" w:type="dxa"/>
            <w:shd w:val="clear" w:color="auto" w:fill="auto"/>
            <w:hideMark/>
          </w:tcPr>
          <w:p w14:paraId="0A7749FB" w14:textId="77777777" w:rsidR="00910AA1" w:rsidRPr="001B015B" w:rsidRDefault="00910AA1" w:rsidP="0034622E">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Prijenos u Stupanj 3</w:t>
            </w:r>
          </w:p>
        </w:tc>
        <w:tc>
          <w:tcPr>
            <w:tcW w:w="1134" w:type="dxa"/>
            <w:tcBorders>
              <w:top w:val="nil"/>
              <w:left w:val="nil"/>
              <w:right w:val="nil"/>
            </w:tcBorders>
            <w:shd w:val="clear" w:color="auto" w:fill="auto"/>
            <w:vAlign w:val="bottom"/>
          </w:tcPr>
          <w:p w14:paraId="1D5DC57A" w14:textId="77777777" w:rsidR="00910AA1" w:rsidRPr="00593574" w:rsidRDefault="00910AA1" w:rsidP="0034622E">
            <w:pPr>
              <w:jc w:val="right"/>
              <w:rPr>
                <w:rFonts w:ascii="Arial" w:hAnsi="Arial" w:cs="Arial"/>
                <w:sz w:val="18"/>
                <w:szCs w:val="18"/>
              </w:rPr>
            </w:pPr>
            <w:r w:rsidRPr="006539F7">
              <w:rPr>
                <w:rFonts w:ascii="Arial" w:hAnsi="Arial" w:cs="Arial"/>
                <w:sz w:val="18"/>
                <w:szCs w:val="18"/>
              </w:rPr>
              <w:t xml:space="preserve"> - </w:t>
            </w:r>
          </w:p>
        </w:tc>
        <w:tc>
          <w:tcPr>
            <w:tcW w:w="1077" w:type="dxa"/>
            <w:tcBorders>
              <w:top w:val="nil"/>
              <w:left w:val="nil"/>
              <w:right w:val="nil"/>
            </w:tcBorders>
            <w:shd w:val="clear" w:color="auto" w:fill="auto"/>
            <w:vAlign w:val="bottom"/>
          </w:tcPr>
          <w:p w14:paraId="316DA201" w14:textId="77777777" w:rsidR="00910AA1" w:rsidRPr="00593574" w:rsidRDefault="00910AA1" w:rsidP="0034622E">
            <w:pPr>
              <w:jc w:val="right"/>
              <w:rPr>
                <w:rFonts w:ascii="Arial" w:hAnsi="Arial" w:cs="Arial"/>
                <w:sz w:val="18"/>
                <w:szCs w:val="18"/>
              </w:rPr>
            </w:pPr>
            <w:r w:rsidRPr="006539F7">
              <w:rPr>
                <w:rFonts w:ascii="Arial" w:hAnsi="Arial" w:cs="Arial"/>
                <w:sz w:val="18"/>
                <w:szCs w:val="18"/>
              </w:rPr>
              <w:t xml:space="preserve"> - </w:t>
            </w:r>
          </w:p>
        </w:tc>
        <w:tc>
          <w:tcPr>
            <w:tcW w:w="1077" w:type="dxa"/>
            <w:tcBorders>
              <w:top w:val="nil"/>
              <w:left w:val="nil"/>
              <w:right w:val="nil"/>
            </w:tcBorders>
            <w:shd w:val="clear" w:color="auto" w:fill="auto"/>
            <w:vAlign w:val="bottom"/>
          </w:tcPr>
          <w:p w14:paraId="55ECBB2E" w14:textId="77777777" w:rsidR="00910AA1" w:rsidRPr="00593574" w:rsidRDefault="00910AA1" w:rsidP="0034622E">
            <w:pPr>
              <w:jc w:val="right"/>
              <w:rPr>
                <w:rFonts w:ascii="Arial" w:hAnsi="Arial" w:cs="Arial"/>
                <w:sz w:val="18"/>
                <w:szCs w:val="18"/>
              </w:rPr>
            </w:pPr>
            <w:r w:rsidRPr="006539F7">
              <w:rPr>
                <w:rFonts w:ascii="Arial" w:hAnsi="Arial" w:cs="Arial"/>
                <w:sz w:val="18"/>
                <w:szCs w:val="18"/>
              </w:rPr>
              <w:t xml:space="preserve"> - </w:t>
            </w:r>
          </w:p>
        </w:tc>
        <w:tc>
          <w:tcPr>
            <w:tcW w:w="999" w:type="dxa"/>
            <w:tcBorders>
              <w:top w:val="nil"/>
              <w:left w:val="nil"/>
              <w:right w:val="nil"/>
            </w:tcBorders>
            <w:shd w:val="clear" w:color="auto" w:fill="auto"/>
            <w:vAlign w:val="bottom"/>
          </w:tcPr>
          <w:p w14:paraId="75D5C41A" w14:textId="77777777" w:rsidR="00910AA1" w:rsidRPr="00593574" w:rsidRDefault="00910AA1" w:rsidP="0034622E">
            <w:pPr>
              <w:jc w:val="right"/>
              <w:rPr>
                <w:rFonts w:ascii="Arial" w:hAnsi="Arial" w:cs="Arial"/>
                <w:sz w:val="18"/>
                <w:szCs w:val="18"/>
              </w:rPr>
            </w:pPr>
            <w:r w:rsidRPr="006539F7">
              <w:rPr>
                <w:rFonts w:ascii="Arial" w:hAnsi="Arial" w:cs="Arial"/>
                <w:sz w:val="18"/>
                <w:szCs w:val="18"/>
              </w:rPr>
              <w:t xml:space="preserve"> - </w:t>
            </w:r>
          </w:p>
        </w:tc>
        <w:tc>
          <w:tcPr>
            <w:tcW w:w="1198" w:type="dxa"/>
            <w:tcBorders>
              <w:top w:val="nil"/>
              <w:left w:val="nil"/>
              <w:right w:val="nil"/>
            </w:tcBorders>
            <w:shd w:val="clear" w:color="auto" w:fill="auto"/>
            <w:vAlign w:val="bottom"/>
          </w:tcPr>
          <w:p w14:paraId="24D104F8" w14:textId="77777777" w:rsidR="00910AA1" w:rsidRPr="005D1219" w:rsidRDefault="00910AA1" w:rsidP="0034622E">
            <w:pPr>
              <w:jc w:val="right"/>
              <w:rPr>
                <w:rFonts w:ascii="Arial" w:hAnsi="Arial" w:cs="Arial"/>
                <w:b/>
                <w:bCs/>
                <w:sz w:val="18"/>
                <w:szCs w:val="18"/>
              </w:rPr>
            </w:pPr>
            <w:r w:rsidRPr="005D1219">
              <w:rPr>
                <w:rFonts w:ascii="Arial" w:hAnsi="Arial" w:cs="Arial"/>
                <w:b/>
                <w:bCs/>
                <w:sz w:val="18"/>
                <w:szCs w:val="18"/>
              </w:rPr>
              <w:t xml:space="preserve"> - </w:t>
            </w:r>
          </w:p>
        </w:tc>
      </w:tr>
      <w:tr w:rsidR="00910AA1" w:rsidRPr="001B015B" w14:paraId="01B028D5" w14:textId="77777777" w:rsidTr="001541F1">
        <w:trPr>
          <w:trHeight w:val="230"/>
        </w:trPr>
        <w:tc>
          <w:tcPr>
            <w:tcW w:w="3876" w:type="dxa"/>
            <w:tcBorders>
              <w:top w:val="nil"/>
              <w:left w:val="nil"/>
              <w:bottom w:val="nil"/>
              <w:right w:val="nil"/>
            </w:tcBorders>
            <w:shd w:val="clear" w:color="auto" w:fill="auto"/>
            <w:vAlign w:val="center"/>
            <w:hideMark/>
          </w:tcPr>
          <w:p w14:paraId="1AE3F443" w14:textId="77777777" w:rsidR="00910AA1" w:rsidRPr="001B015B" w:rsidRDefault="00910AA1" w:rsidP="0034622E">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 xml:space="preserve">Neto </w:t>
            </w:r>
            <w:r w:rsidRPr="00593574">
              <w:rPr>
                <w:rFonts w:ascii="Arial" w:eastAsia="Calibri" w:hAnsi="Arial" w:cs="Arial"/>
                <w:color w:val="000000" w:themeColor="text1"/>
                <w:sz w:val="18"/>
                <w:szCs w:val="18"/>
              </w:rPr>
              <w:t>(smanjenje)</w:t>
            </w:r>
            <w:r w:rsidRPr="001B015B">
              <w:rPr>
                <w:rFonts w:ascii="Arial" w:eastAsia="Calibri" w:hAnsi="Arial" w:cs="Arial"/>
                <w:color w:val="000000" w:themeColor="text1"/>
                <w:sz w:val="18"/>
                <w:szCs w:val="18"/>
              </w:rPr>
              <w:t xml:space="preserve"> rezerviranja za očekivane gubitke </w:t>
            </w:r>
          </w:p>
        </w:tc>
        <w:tc>
          <w:tcPr>
            <w:tcW w:w="1134" w:type="dxa"/>
            <w:tcBorders>
              <w:top w:val="nil"/>
              <w:left w:val="nil"/>
              <w:bottom w:val="single" w:sz="8" w:space="0" w:color="auto"/>
              <w:right w:val="nil"/>
            </w:tcBorders>
            <w:shd w:val="clear" w:color="auto" w:fill="auto"/>
            <w:vAlign w:val="bottom"/>
          </w:tcPr>
          <w:p w14:paraId="361E5DC6" w14:textId="77777777" w:rsidR="00910AA1" w:rsidRPr="00593574" w:rsidRDefault="00910AA1" w:rsidP="0034622E">
            <w:pPr>
              <w:jc w:val="right"/>
              <w:rPr>
                <w:rFonts w:ascii="Arial" w:hAnsi="Arial" w:cs="Arial"/>
                <w:sz w:val="18"/>
                <w:szCs w:val="18"/>
              </w:rPr>
            </w:pPr>
            <w:r w:rsidRPr="00F959D0">
              <w:rPr>
                <w:rFonts w:ascii="Arial" w:hAnsi="Arial" w:cs="Arial"/>
                <w:sz w:val="18"/>
                <w:szCs w:val="18"/>
              </w:rPr>
              <w:t xml:space="preserve"> (160)</w:t>
            </w:r>
          </w:p>
        </w:tc>
        <w:tc>
          <w:tcPr>
            <w:tcW w:w="1077" w:type="dxa"/>
            <w:tcBorders>
              <w:top w:val="nil"/>
              <w:left w:val="nil"/>
              <w:bottom w:val="single" w:sz="8" w:space="0" w:color="auto"/>
              <w:right w:val="nil"/>
            </w:tcBorders>
            <w:shd w:val="clear" w:color="auto" w:fill="auto"/>
            <w:vAlign w:val="bottom"/>
          </w:tcPr>
          <w:p w14:paraId="46003E96" w14:textId="77777777" w:rsidR="00910AA1" w:rsidRPr="00593574" w:rsidRDefault="00910AA1" w:rsidP="0034622E">
            <w:pPr>
              <w:jc w:val="right"/>
              <w:rPr>
                <w:rFonts w:ascii="Arial" w:hAnsi="Arial" w:cs="Arial"/>
                <w:sz w:val="18"/>
                <w:szCs w:val="18"/>
              </w:rPr>
            </w:pPr>
            <w:r w:rsidRPr="00F959D0">
              <w:rPr>
                <w:rFonts w:ascii="Arial" w:hAnsi="Arial" w:cs="Arial"/>
                <w:sz w:val="18"/>
                <w:szCs w:val="18"/>
              </w:rPr>
              <w:t xml:space="preserve"> (4)</w:t>
            </w:r>
          </w:p>
        </w:tc>
        <w:tc>
          <w:tcPr>
            <w:tcW w:w="1077" w:type="dxa"/>
            <w:tcBorders>
              <w:top w:val="nil"/>
              <w:left w:val="nil"/>
              <w:bottom w:val="single" w:sz="8" w:space="0" w:color="auto"/>
              <w:right w:val="nil"/>
            </w:tcBorders>
            <w:shd w:val="clear" w:color="auto" w:fill="auto"/>
            <w:vAlign w:val="bottom"/>
          </w:tcPr>
          <w:p w14:paraId="126DC92D" w14:textId="77777777" w:rsidR="00910AA1" w:rsidRPr="00593574" w:rsidRDefault="00910AA1" w:rsidP="0034622E">
            <w:pPr>
              <w:jc w:val="right"/>
              <w:rPr>
                <w:rFonts w:ascii="Arial" w:hAnsi="Arial" w:cs="Arial"/>
                <w:sz w:val="18"/>
                <w:szCs w:val="18"/>
              </w:rPr>
            </w:pPr>
            <w:r>
              <w:rPr>
                <w:rFonts w:ascii="Arial" w:hAnsi="Arial" w:cs="Arial"/>
                <w:sz w:val="18"/>
                <w:szCs w:val="18"/>
              </w:rPr>
              <w:t>-</w:t>
            </w:r>
          </w:p>
        </w:tc>
        <w:tc>
          <w:tcPr>
            <w:tcW w:w="999" w:type="dxa"/>
            <w:tcBorders>
              <w:top w:val="nil"/>
              <w:left w:val="nil"/>
              <w:bottom w:val="single" w:sz="8" w:space="0" w:color="auto"/>
              <w:right w:val="nil"/>
            </w:tcBorders>
            <w:shd w:val="clear" w:color="auto" w:fill="auto"/>
            <w:vAlign w:val="bottom"/>
          </w:tcPr>
          <w:p w14:paraId="18CB7E2B" w14:textId="77777777" w:rsidR="00910AA1" w:rsidRPr="00593574" w:rsidRDefault="00910AA1" w:rsidP="0034622E">
            <w:pPr>
              <w:jc w:val="right"/>
              <w:rPr>
                <w:rFonts w:ascii="Arial" w:hAnsi="Arial" w:cs="Arial"/>
                <w:sz w:val="18"/>
                <w:szCs w:val="18"/>
              </w:rPr>
            </w:pPr>
            <w:r>
              <w:rPr>
                <w:rFonts w:ascii="Arial" w:hAnsi="Arial" w:cs="Arial"/>
                <w:sz w:val="18"/>
                <w:szCs w:val="18"/>
              </w:rPr>
              <w:t>-</w:t>
            </w:r>
          </w:p>
        </w:tc>
        <w:tc>
          <w:tcPr>
            <w:tcW w:w="1198" w:type="dxa"/>
            <w:tcBorders>
              <w:top w:val="nil"/>
              <w:left w:val="nil"/>
              <w:bottom w:val="single" w:sz="8" w:space="0" w:color="auto"/>
              <w:right w:val="nil"/>
            </w:tcBorders>
            <w:shd w:val="clear" w:color="auto" w:fill="auto"/>
            <w:vAlign w:val="bottom"/>
          </w:tcPr>
          <w:p w14:paraId="51B401A6" w14:textId="77777777" w:rsidR="00910AA1" w:rsidRPr="005D1219" w:rsidRDefault="00910AA1" w:rsidP="0034622E">
            <w:pPr>
              <w:jc w:val="right"/>
              <w:rPr>
                <w:rFonts w:ascii="Arial" w:hAnsi="Arial" w:cs="Arial"/>
                <w:b/>
                <w:bCs/>
                <w:sz w:val="18"/>
                <w:szCs w:val="18"/>
              </w:rPr>
            </w:pPr>
            <w:r w:rsidRPr="005D1219">
              <w:rPr>
                <w:rFonts w:ascii="Arial" w:hAnsi="Arial" w:cs="Arial"/>
                <w:b/>
                <w:bCs/>
                <w:sz w:val="18"/>
                <w:szCs w:val="18"/>
              </w:rPr>
              <w:t xml:space="preserve"> (164)</w:t>
            </w:r>
          </w:p>
        </w:tc>
      </w:tr>
      <w:tr w:rsidR="00910AA1" w:rsidRPr="001B015B" w14:paraId="795C2E92" w14:textId="77777777" w:rsidTr="001541F1">
        <w:trPr>
          <w:trHeight w:val="193"/>
        </w:trPr>
        <w:tc>
          <w:tcPr>
            <w:tcW w:w="3876" w:type="dxa"/>
            <w:tcBorders>
              <w:top w:val="nil"/>
              <w:left w:val="nil"/>
              <w:bottom w:val="nil"/>
              <w:right w:val="nil"/>
            </w:tcBorders>
            <w:shd w:val="clear" w:color="auto" w:fill="auto"/>
            <w:vAlign w:val="center"/>
            <w:hideMark/>
          </w:tcPr>
          <w:p w14:paraId="5E1B1997" w14:textId="77777777" w:rsidR="00910AA1" w:rsidRPr="001B015B" w:rsidRDefault="00910AA1" w:rsidP="0034622E">
            <w:pPr>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Stanje 31. prosinca 202</w:t>
            </w:r>
            <w:r>
              <w:rPr>
                <w:rFonts w:ascii="Arial" w:eastAsia="Calibri" w:hAnsi="Arial" w:cs="Arial"/>
                <w:b/>
                <w:bCs/>
                <w:color w:val="000000" w:themeColor="text1"/>
                <w:sz w:val="18"/>
                <w:szCs w:val="18"/>
              </w:rPr>
              <w:t>3</w:t>
            </w:r>
            <w:r w:rsidRPr="001B015B">
              <w:rPr>
                <w:rFonts w:ascii="Arial" w:eastAsia="Calibri" w:hAnsi="Arial" w:cs="Arial"/>
                <w:b/>
                <w:bCs/>
                <w:color w:val="000000" w:themeColor="text1"/>
                <w:sz w:val="18"/>
                <w:szCs w:val="18"/>
              </w:rPr>
              <w:t>.</w:t>
            </w:r>
          </w:p>
        </w:tc>
        <w:tc>
          <w:tcPr>
            <w:tcW w:w="1134" w:type="dxa"/>
            <w:tcBorders>
              <w:top w:val="single" w:sz="8" w:space="0" w:color="auto"/>
              <w:left w:val="nil"/>
              <w:bottom w:val="single" w:sz="12" w:space="0" w:color="auto"/>
              <w:right w:val="nil"/>
            </w:tcBorders>
            <w:shd w:val="clear" w:color="auto" w:fill="auto"/>
            <w:vAlign w:val="bottom"/>
          </w:tcPr>
          <w:p w14:paraId="50B1A81F" w14:textId="77777777" w:rsidR="00910AA1" w:rsidRPr="00593574" w:rsidRDefault="00910AA1" w:rsidP="0034622E">
            <w:pPr>
              <w:jc w:val="right"/>
              <w:rPr>
                <w:rFonts w:ascii="Arial" w:hAnsi="Arial" w:cs="Arial"/>
                <w:b/>
                <w:bCs/>
                <w:sz w:val="18"/>
                <w:szCs w:val="18"/>
              </w:rPr>
            </w:pPr>
            <w:r w:rsidRPr="00F959D0">
              <w:rPr>
                <w:rFonts w:ascii="Arial" w:hAnsi="Arial" w:cs="Arial"/>
                <w:b/>
                <w:bCs/>
                <w:sz w:val="18"/>
                <w:szCs w:val="18"/>
              </w:rPr>
              <w:t xml:space="preserve"> 211 </w:t>
            </w:r>
          </w:p>
        </w:tc>
        <w:tc>
          <w:tcPr>
            <w:tcW w:w="1077" w:type="dxa"/>
            <w:tcBorders>
              <w:top w:val="single" w:sz="8" w:space="0" w:color="auto"/>
              <w:left w:val="nil"/>
              <w:bottom w:val="single" w:sz="12" w:space="0" w:color="auto"/>
              <w:right w:val="nil"/>
            </w:tcBorders>
            <w:shd w:val="clear" w:color="auto" w:fill="auto"/>
            <w:vAlign w:val="bottom"/>
          </w:tcPr>
          <w:p w14:paraId="4A8B9E2E" w14:textId="77777777" w:rsidR="00910AA1" w:rsidRPr="00593574" w:rsidRDefault="00910AA1" w:rsidP="0034622E">
            <w:pPr>
              <w:jc w:val="right"/>
              <w:rPr>
                <w:rFonts w:ascii="Arial" w:hAnsi="Arial" w:cs="Arial"/>
                <w:b/>
                <w:bCs/>
                <w:sz w:val="18"/>
                <w:szCs w:val="18"/>
              </w:rPr>
            </w:pPr>
            <w:r w:rsidRPr="00F959D0">
              <w:rPr>
                <w:rFonts w:ascii="Arial" w:hAnsi="Arial" w:cs="Arial"/>
                <w:b/>
                <w:bCs/>
                <w:sz w:val="18"/>
                <w:szCs w:val="18"/>
              </w:rPr>
              <w:t xml:space="preserve"> - </w:t>
            </w:r>
          </w:p>
        </w:tc>
        <w:tc>
          <w:tcPr>
            <w:tcW w:w="1077" w:type="dxa"/>
            <w:tcBorders>
              <w:top w:val="single" w:sz="8" w:space="0" w:color="auto"/>
              <w:left w:val="nil"/>
              <w:bottom w:val="single" w:sz="12" w:space="0" w:color="auto"/>
              <w:right w:val="nil"/>
            </w:tcBorders>
            <w:shd w:val="clear" w:color="auto" w:fill="auto"/>
            <w:vAlign w:val="bottom"/>
          </w:tcPr>
          <w:p w14:paraId="69401A48" w14:textId="77777777" w:rsidR="00910AA1" w:rsidRPr="00593574" w:rsidRDefault="00910AA1" w:rsidP="0034622E">
            <w:pPr>
              <w:jc w:val="right"/>
              <w:rPr>
                <w:rFonts w:ascii="Arial" w:hAnsi="Arial" w:cs="Arial"/>
                <w:b/>
                <w:bCs/>
                <w:sz w:val="18"/>
                <w:szCs w:val="18"/>
              </w:rPr>
            </w:pPr>
            <w:r w:rsidRPr="00F959D0">
              <w:rPr>
                <w:rFonts w:ascii="Arial" w:hAnsi="Arial" w:cs="Arial"/>
                <w:b/>
                <w:bCs/>
                <w:sz w:val="18"/>
                <w:szCs w:val="18"/>
              </w:rPr>
              <w:t xml:space="preserve"> 231 </w:t>
            </w:r>
          </w:p>
        </w:tc>
        <w:tc>
          <w:tcPr>
            <w:tcW w:w="999" w:type="dxa"/>
            <w:tcBorders>
              <w:top w:val="single" w:sz="8" w:space="0" w:color="auto"/>
              <w:left w:val="nil"/>
              <w:bottom w:val="single" w:sz="12" w:space="0" w:color="auto"/>
              <w:right w:val="nil"/>
            </w:tcBorders>
            <w:shd w:val="clear" w:color="auto" w:fill="auto"/>
            <w:vAlign w:val="bottom"/>
          </w:tcPr>
          <w:p w14:paraId="5B3D389C" w14:textId="77777777" w:rsidR="00910AA1" w:rsidRPr="00593574" w:rsidRDefault="00910AA1" w:rsidP="0034622E">
            <w:pPr>
              <w:jc w:val="right"/>
              <w:rPr>
                <w:rFonts w:ascii="Arial" w:hAnsi="Arial" w:cs="Arial"/>
                <w:b/>
                <w:bCs/>
                <w:sz w:val="18"/>
                <w:szCs w:val="18"/>
              </w:rPr>
            </w:pPr>
            <w:r w:rsidRPr="00F959D0">
              <w:rPr>
                <w:rFonts w:ascii="Arial" w:hAnsi="Arial" w:cs="Arial"/>
                <w:b/>
                <w:bCs/>
                <w:sz w:val="18"/>
                <w:szCs w:val="18"/>
              </w:rPr>
              <w:t xml:space="preserve"> - </w:t>
            </w:r>
          </w:p>
        </w:tc>
        <w:tc>
          <w:tcPr>
            <w:tcW w:w="1198" w:type="dxa"/>
            <w:tcBorders>
              <w:top w:val="single" w:sz="8" w:space="0" w:color="auto"/>
              <w:left w:val="nil"/>
              <w:bottom w:val="single" w:sz="12" w:space="0" w:color="auto"/>
              <w:right w:val="nil"/>
            </w:tcBorders>
            <w:shd w:val="clear" w:color="auto" w:fill="auto"/>
            <w:vAlign w:val="bottom"/>
          </w:tcPr>
          <w:p w14:paraId="56B1AD8F" w14:textId="77777777" w:rsidR="00910AA1" w:rsidRPr="00593574" w:rsidRDefault="00910AA1" w:rsidP="0034622E">
            <w:pPr>
              <w:jc w:val="right"/>
              <w:rPr>
                <w:rFonts w:ascii="Arial" w:hAnsi="Arial" w:cs="Arial"/>
                <w:b/>
                <w:bCs/>
                <w:sz w:val="18"/>
                <w:szCs w:val="18"/>
              </w:rPr>
            </w:pPr>
            <w:r w:rsidRPr="00F959D0">
              <w:rPr>
                <w:rFonts w:ascii="Arial" w:hAnsi="Arial" w:cs="Arial"/>
                <w:b/>
                <w:bCs/>
                <w:sz w:val="18"/>
                <w:szCs w:val="18"/>
              </w:rPr>
              <w:t xml:space="preserve"> 442 </w:t>
            </w:r>
          </w:p>
        </w:tc>
      </w:tr>
    </w:tbl>
    <w:p w14:paraId="2401B7A1" w14:textId="2AFF9A1C" w:rsidR="00A269B5" w:rsidRPr="003D1614" w:rsidRDefault="00A269B5" w:rsidP="001A0FCB">
      <w:pPr>
        <w:suppressAutoHyphens/>
        <w:autoSpaceDN w:val="0"/>
        <w:jc w:val="both"/>
        <w:rPr>
          <w:rFonts w:ascii="Arial" w:eastAsia="Times New Roman" w:hAnsi="Arial" w:cs="Arial"/>
          <w:color w:val="000000" w:themeColor="text1"/>
          <w:sz w:val="20"/>
          <w:szCs w:val="20"/>
        </w:rPr>
      </w:pPr>
    </w:p>
    <w:p w14:paraId="5496B434" w14:textId="77777777" w:rsidR="00A269B5" w:rsidRPr="003D1614" w:rsidRDefault="00A269B5" w:rsidP="001A0FCB">
      <w:pPr>
        <w:suppressAutoHyphens/>
        <w:autoSpaceDN w:val="0"/>
        <w:jc w:val="both"/>
        <w:rPr>
          <w:rFonts w:ascii="Arial" w:eastAsia="Times New Roman" w:hAnsi="Arial" w:cs="Arial"/>
          <w:color w:val="000000" w:themeColor="text1"/>
          <w:sz w:val="20"/>
          <w:szCs w:val="20"/>
        </w:rPr>
        <w:sectPr w:rsidR="00A269B5" w:rsidRPr="003D1614" w:rsidSect="003278AB">
          <w:pgSz w:w="11906" w:h="16838"/>
          <w:pgMar w:top="1417" w:right="1417" w:bottom="1417" w:left="1417" w:header="708" w:footer="708" w:gutter="0"/>
          <w:cols w:space="708"/>
          <w:docGrid w:linePitch="360"/>
        </w:sectPr>
      </w:pPr>
    </w:p>
    <w:p w14:paraId="1A60DD73" w14:textId="77777777"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p>
    <w:p w14:paraId="111C3A21" w14:textId="2B5FF9F7"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02EEC40E" w14:textId="77777777"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p>
    <w:p w14:paraId="1CE40C2E" w14:textId="12E74098"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bookmarkStart w:id="750" w:name="_Hlk35340107"/>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.3. </w:t>
      </w:r>
      <w:r w:rsidRPr="003D1614">
        <w:rPr>
          <w:rFonts w:ascii="Arial" w:eastAsia="Times New Roman" w:hAnsi="Arial" w:cs="Arial"/>
          <w:b/>
          <w:bCs/>
          <w:color w:val="000000" w:themeColor="text1"/>
          <w:sz w:val="20"/>
          <w:szCs w:val="20"/>
        </w:rPr>
        <w:tab/>
        <w:t>Kreditni rizik (nastavak)</w:t>
      </w:r>
    </w:p>
    <w:p w14:paraId="73B3F1F0" w14:textId="77777777"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p>
    <w:p w14:paraId="595581FE" w14:textId="77777777" w:rsidR="00A269B5" w:rsidRPr="003D1614" w:rsidRDefault="00A269B5" w:rsidP="00A269B5">
      <w:pPr>
        <w:keepNext/>
        <w:tabs>
          <w:tab w:val="left" w:pos="284"/>
        </w:tabs>
        <w:suppressAutoHyphens/>
        <w:autoSpaceDN w:val="0"/>
        <w:jc w:val="both"/>
        <w:rPr>
          <w:rFonts w:ascii="Arial" w:eastAsia="Times New Roman" w:hAnsi="Arial" w:cs="Arial"/>
          <w:bCs/>
          <w:i/>
          <w:color w:val="000000" w:themeColor="text1"/>
          <w:sz w:val="20"/>
          <w:szCs w:val="20"/>
        </w:rPr>
      </w:pPr>
      <w:r w:rsidRPr="003D1614">
        <w:rPr>
          <w:rFonts w:ascii="Arial" w:eastAsia="Times New Roman" w:hAnsi="Arial" w:cs="Arial"/>
          <w:bCs/>
          <w:i/>
          <w:color w:val="000000" w:themeColor="text1"/>
          <w:sz w:val="20"/>
          <w:szCs w:val="20"/>
        </w:rPr>
        <w:t>i.</w:t>
      </w:r>
      <w:r w:rsidRPr="003D1614">
        <w:rPr>
          <w:rFonts w:ascii="Arial" w:eastAsia="Times New Roman" w:hAnsi="Arial" w:cs="Arial"/>
          <w:bCs/>
          <w:i/>
          <w:color w:val="000000" w:themeColor="text1"/>
          <w:sz w:val="20"/>
          <w:szCs w:val="20"/>
        </w:rPr>
        <w:tab/>
        <w:t>Promjene po rezerviranjima (nastavak)</w:t>
      </w:r>
    </w:p>
    <w:p w14:paraId="4068C637" w14:textId="77777777" w:rsidR="00A269B5" w:rsidRPr="003D1614" w:rsidRDefault="00A269B5" w:rsidP="00A269B5">
      <w:pPr>
        <w:keepNext/>
        <w:tabs>
          <w:tab w:val="left" w:pos="284"/>
        </w:tabs>
        <w:suppressAutoHyphens/>
        <w:autoSpaceDN w:val="0"/>
        <w:jc w:val="both"/>
        <w:rPr>
          <w:rFonts w:ascii="Arial" w:eastAsia="Times New Roman" w:hAnsi="Arial" w:cs="Arial"/>
          <w:bCs/>
          <w:i/>
          <w:color w:val="000000" w:themeColor="text1"/>
          <w:sz w:val="20"/>
          <w:szCs w:val="20"/>
        </w:rPr>
      </w:pPr>
    </w:p>
    <w:p w14:paraId="0E88F6C3" w14:textId="77777777" w:rsidR="00A269B5" w:rsidRPr="003D1614" w:rsidRDefault="00A269B5" w:rsidP="00A269B5">
      <w:pPr>
        <w:suppressAutoHyphens/>
        <w:autoSpaceDN w:val="0"/>
        <w:jc w:val="both"/>
        <w:rPr>
          <w:rFonts w:ascii="Arial" w:eastAsia="Calibri" w:hAnsi="Arial" w:cs="Arial"/>
          <w:b/>
          <w:bCs/>
          <w:color w:val="000000" w:themeColor="text1"/>
          <w:sz w:val="20"/>
          <w:szCs w:val="20"/>
        </w:rPr>
      </w:pPr>
      <w:r w:rsidRPr="003D1614">
        <w:rPr>
          <w:rFonts w:ascii="Arial" w:eastAsia="Calibri" w:hAnsi="Arial" w:cs="Arial"/>
          <w:b/>
          <w:bCs/>
          <w:color w:val="000000" w:themeColor="text1"/>
          <w:sz w:val="20"/>
          <w:szCs w:val="20"/>
        </w:rPr>
        <w:t xml:space="preserve">Ostala imovina </w:t>
      </w:r>
    </w:p>
    <w:p w14:paraId="376F54F5" w14:textId="77777777" w:rsidR="00A269B5" w:rsidRPr="003D1614" w:rsidRDefault="00A269B5" w:rsidP="00A269B5">
      <w:pPr>
        <w:suppressAutoHyphens/>
        <w:autoSpaceDN w:val="0"/>
        <w:jc w:val="both"/>
        <w:rPr>
          <w:rFonts w:ascii="Arial" w:eastAsia="Calibri" w:hAnsi="Arial" w:cs="Arial"/>
          <w:b/>
          <w:bCs/>
          <w:color w:val="000000" w:themeColor="text1"/>
          <w:sz w:val="20"/>
          <w:szCs w:val="20"/>
        </w:rPr>
      </w:pPr>
    </w:p>
    <w:tbl>
      <w:tblPr>
        <w:tblW w:w="9380" w:type="dxa"/>
        <w:tblInd w:w="-180" w:type="dxa"/>
        <w:tblLook w:val="04A0" w:firstRow="1" w:lastRow="0" w:firstColumn="1" w:lastColumn="0" w:noHBand="0" w:noVBand="1"/>
      </w:tblPr>
      <w:tblGrid>
        <w:gridCol w:w="4159"/>
        <w:gridCol w:w="1031"/>
        <w:gridCol w:w="1031"/>
        <w:gridCol w:w="1031"/>
        <w:gridCol w:w="1028"/>
        <w:gridCol w:w="1100"/>
      </w:tblGrid>
      <w:tr w:rsidR="00A269B5" w:rsidRPr="003D1614" w14:paraId="02323023" w14:textId="77777777" w:rsidTr="007478FB">
        <w:trPr>
          <w:trHeight w:val="203"/>
        </w:trPr>
        <w:tc>
          <w:tcPr>
            <w:tcW w:w="4159" w:type="dxa"/>
            <w:tcBorders>
              <w:top w:val="nil"/>
              <w:left w:val="nil"/>
              <w:bottom w:val="nil"/>
              <w:right w:val="nil"/>
            </w:tcBorders>
            <w:shd w:val="clear" w:color="auto" w:fill="auto"/>
            <w:vAlign w:val="bottom"/>
          </w:tcPr>
          <w:p w14:paraId="451B04BC" w14:textId="77777777" w:rsidR="00A269B5" w:rsidRPr="003D1614" w:rsidRDefault="00A269B5" w:rsidP="00A269B5">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 xml:space="preserve">Grupa </w:t>
            </w:r>
          </w:p>
        </w:tc>
        <w:tc>
          <w:tcPr>
            <w:tcW w:w="1031" w:type="dxa"/>
            <w:tcBorders>
              <w:top w:val="nil"/>
              <w:left w:val="nil"/>
              <w:bottom w:val="nil"/>
              <w:right w:val="nil"/>
            </w:tcBorders>
            <w:shd w:val="clear" w:color="auto" w:fill="auto"/>
            <w:vAlign w:val="bottom"/>
          </w:tcPr>
          <w:p w14:paraId="38916FF2"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31" w:type="dxa"/>
            <w:tcBorders>
              <w:top w:val="nil"/>
              <w:left w:val="nil"/>
              <w:bottom w:val="nil"/>
              <w:right w:val="nil"/>
            </w:tcBorders>
            <w:shd w:val="clear" w:color="auto" w:fill="auto"/>
            <w:vAlign w:val="bottom"/>
          </w:tcPr>
          <w:p w14:paraId="3E8073FA"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31" w:type="dxa"/>
            <w:tcBorders>
              <w:top w:val="nil"/>
              <w:left w:val="nil"/>
              <w:bottom w:val="nil"/>
              <w:right w:val="nil"/>
            </w:tcBorders>
            <w:shd w:val="clear" w:color="auto" w:fill="auto"/>
            <w:vAlign w:val="bottom"/>
          </w:tcPr>
          <w:p w14:paraId="60EE0839"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28" w:type="dxa"/>
            <w:tcBorders>
              <w:top w:val="nil"/>
              <w:left w:val="nil"/>
              <w:bottom w:val="nil"/>
              <w:right w:val="nil"/>
            </w:tcBorders>
            <w:shd w:val="clear" w:color="auto" w:fill="auto"/>
            <w:vAlign w:val="bottom"/>
          </w:tcPr>
          <w:p w14:paraId="26BE5AB6"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100" w:type="dxa"/>
            <w:tcBorders>
              <w:top w:val="nil"/>
              <w:left w:val="nil"/>
              <w:bottom w:val="nil"/>
              <w:right w:val="nil"/>
            </w:tcBorders>
            <w:shd w:val="clear" w:color="auto" w:fill="auto"/>
            <w:vAlign w:val="bottom"/>
          </w:tcPr>
          <w:p w14:paraId="6FAAB016"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r>
      <w:bookmarkEnd w:id="750"/>
      <w:tr w:rsidR="00A269B5" w:rsidRPr="003D1614" w14:paraId="57D2917A" w14:textId="77777777" w:rsidTr="007478FB">
        <w:trPr>
          <w:trHeight w:val="203"/>
        </w:trPr>
        <w:tc>
          <w:tcPr>
            <w:tcW w:w="4159" w:type="dxa"/>
            <w:tcBorders>
              <w:top w:val="nil"/>
              <w:left w:val="nil"/>
              <w:bottom w:val="nil"/>
              <w:right w:val="nil"/>
            </w:tcBorders>
            <w:shd w:val="clear" w:color="auto" w:fill="auto"/>
            <w:vAlign w:val="bottom"/>
            <w:hideMark/>
          </w:tcPr>
          <w:p w14:paraId="5A6D50CE" w14:textId="3EE4AFAB" w:rsidR="00A269B5" w:rsidRPr="003D1614" w:rsidRDefault="00881155" w:rsidP="00A269B5">
            <w:pPr>
              <w:suppressAutoHyphens/>
              <w:autoSpaceDN w:val="0"/>
              <w:rPr>
                <w:rFonts w:ascii="Arial" w:eastAsia="Calibri" w:hAnsi="Arial" w:cs="Arial"/>
                <w:b/>
                <w:bCs/>
                <w:color w:val="000000" w:themeColor="text1"/>
                <w:sz w:val="18"/>
                <w:szCs w:val="18"/>
              </w:rPr>
            </w:pPr>
            <w:r w:rsidRPr="00881155">
              <w:rPr>
                <w:rFonts w:ascii="Arial" w:eastAsia="Calibri" w:hAnsi="Arial" w:cs="Arial"/>
                <w:b/>
                <w:bCs/>
                <w:color w:val="000000" w:themeColor="text1"/>
                <w:sz w:val="18"/>
                <w:szCs w:val="18"/>
              </w:rPr>
              <w:t>30. rujna 202</w:t>
            </w:r>
            <w:r w:rsidR="001D058A">
              <w:rPr>
                <w:rFonts w:ascii="Arial" w:eastAsia="Calibri" w:hAnsi="Arial" w:cs="Arial"/>
                <w:b/>
                <w:bCs/>
                <w:color w:val="000000" w:themeColor="text1"/>
                <w:sz w:val="18"/>
                <w:szCs w:val="18"/>
              </w:rPr>
              <w:t>4</w:t>
            </w:r>
            <w:r w:rsidRPr="00881155">
              <w:rPr>
                <w:rFonts w:ascii="Arial" w:eastAsia="Calibri" w:hAnsi="Arial" w:cs="Arial"/>
                <w:b/>
                <w:bCs/>
                <w:color w:val="000000" w:themeColor="text1"/>
                <w:sz w:val="18"/>
                <w:szCs w:val="18"/>
              </w:rPr>
              <w:t>.</w:t>
            </w:r>
          </w:p>
        </w:tc>
        <w:tc>
          <w:tcPr>
            <w:tcW w:w="1031" w:type="dxa"/>
            <w:tcBorders>
              <w:top w:val="nil"/>
              <w:left w:val="nil"/>
              <w:bottom w:val="nil"/>
              <w:right w:val="nil"/>
            </w:tcBorders>
            <w:shd w:val="clear" w:color="auto" w:fill="auto"/>
            <w:vAlign w:val="bottom"/>
            <w:hideMark/>
          </w:tcPr>
          <w:p w14:paraId="2EC1E17B"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1</w:t>
            </w:r>
          </w:p>
        </w:tc>
        <w:tc>
          <w:tcPr>
            <w:tcW w:w="1031" w:type="dxa"/>
            <w:tcBorders>
              <w:top w:val="nil"/>
              <w:left w:val="nil"/>
              <w:bottom w:val="nil"/>
              <w:right w:val="nil"/>
            </w:tcBorders>
            <w:shd w:val="clear" w:color="auto" w:fill="auto"/>
            <w:vAlign w:val="bottom"/>
            <w:hideMark/>
          </w:tcPr>
          <w:p w14:paraId="5EF3F2B7"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2</w:t>
            </w:r>
          </w:p>
        </w:tc>
        <w:tc>
          <w:tcPr>
            <w:tcW w:w="1031" w:type="dxa"/>
            <w:tcBorders>
              <w:top w:val="nil"/>
              <w:left w:val="nil"/>
              <w:bottom w:val="nil"/>
              <w:right w:val="nil"/>
            </w:tcBorders>
            <w:shd w:val="clear" w:color="auto" w:fill="auto"/>
            <w:vAlign w:val="bottom"/>
            <w:hideMark/>
          </w:tcPr>
          <w:p w14:paraId="4FB337D0"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3</w:t>
            </w:r>
          </w:p>
        </w:tc>
        <w:tc>
          <w:tcPr>
            <w:tcW w:w="1028" w:type="dxa"/>
            <w:tcBorders>
              <w:top w:val="nil"/>
              <w:left w:val="nil"/>
              <w:bottom w:val="nil"/>
              <w:right w:val="nil"/>
            </w:tcBorders>
            <w:shd w:val="clear" w:color="auto" w:fill="auto"/>
            <w:vAlign w:val="bottom"/>
            <w:hideMark/>
          </w:tcPr>
          <w:p w14:paraId="2970FE88"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POCI</w:t>
            </w:r>
          </w:p>
        </w:tc>
        <w:tc>
          <w:tcPr>
            <w:tcW w:w="1100" w:type="dxa"/>
            <w:tcBorders>
              <w:top w:val="nil"/>
              <w:left w:val="nil"/>
              <w:bottom w:val="nil"/>
              <w:right w:val="nil"/>
            </w:tcBorders>
            <w:shd w:val="clear" w:color="auto" w:fill="auto"/>
            <w:vAlign w:val="bottom"/>
            <w:hideMark/>
          </w:tcPr>
          <w:p w14:paraId="6EE16452"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Ukupno</w:t>
            </w:r>
          </w:p>
        </w:tc>
      </w:tr>
      <w:tr w:rsidR="00A269B5" w:rsidRPr="003D1614" w14:paraId="42BEB73C" w14:textId="77777777" w:rsidTr="007478FB">
        <w:trPr>
          <w:trHeight w:val="203"/>
        </w:trPr>
        <w:tc>
          <w:tcPr>
            <w:tcW w:w="4159" w:type="dxa"/>
            <w:tcBorders>
              <w:top w:val="nil"/>
              <w:left w:val="nil"/>
              <w:bottom w:val="nil"/>
              <w:right w:val="nil"/>
            </w:tcBorders>
            <w:shd w:val="clear" w:color="auto" w:fill="auto"/>
            <w:vAlign w:val="bottom"/>
            <w:hideMark/>
          </w:tcPr>
          <w:p w14:paraId="4423E08B"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31" w:type="dxa"/>
            <w:tcBorders>
              <w:top w:val="nil"/>
              <w:left w:val="nil"/>
              <w:bottom w:val="nil"/>
              <w:right w:val="nil"/>
            </w:tcBorders>
            <w:shd w:val="clear" w:color="auto" w:fill="auto"/>
            <w:vAlign w:val="bottom"/>
            <w:hideMark/>
          </w:tcPr>
          <w:p w14:paraId="2F6A0B90" w14:textId="19E1ED56"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31" w:type="dxa"/>
            <w:tcBorders>
              <w:top w:val="nil"/>
              <w:left w:val="nil"/>
              <w:bottom w:val="nil"/>
              <w:right w:val="nil"/>
            </w:tcBorders>
            <w:shd w:val="clear" w:color="auto" w:fill="auto"/>
            <w:vAlign w:val="bottom"/>
            <w:hideMark/>
          </w:tcPr>
          <w:p w14:paraId="124A6FB4" w14:textId="32BD6460"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31" w:type="dxa"/>
            <w:tcBorders>
              <w:top w:val="nil"/>
              <w:left w:val="nil"/>
              <w:bottom w:val="nil"/>
              <w:right w:val="nil"/>
            </w:tcBorders>
            <w:shd w:val="clear" w:color="auto" w:fill="auto"/>
            <w:vAlign w:val="bottom"/>
            <w:hideMark/>
          </w:tcPr>
          <w:p w14:paraId="4CABFE71" w14:textId="4500C834"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28" w:type="dxa"/>
            <w:tcBorders>
              <w:top w:val="nil"/>
              <w:left w:val="nil"/>
              <w:bottom w:val="nil"/>
              <w:right w:val="nil"/>
            </w:tcBorders>
            <w:shd w:val="clear" w:color="auto" w:fill="auto"/>
            <w:vAlign w:val="bottom"/>
            <w:hideMark/>
          </w:tcPr>
          <w:p w14:paraId="7D4D1BC6" w14:textId="7B8A7080"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100" w:type="dxa"/>
            <w:tcBorders>
              <w:top w:val="nil"/>
              <w:left w:val="nil"/>
              <w:bottom w:val="nil"/>
              <w:right w:val="nil"/>
            </w:tcBorders>
            <w:shd w:val="clear" w:color="auto" w:fill="auto"/>
            <w:vAlign w:val="bottom"/>
            <w:hideMark/>
          </w:tcPr>
          <w:p w14:paraId="122F7C42" w14:textId="7DAA5831"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r>
      <w:tr w:rsidR="00A269B5" w:rsidRPr="003D1614" w14:paraId="5E2EB59F" w14:textId="77777777" w:rsidTr="007478FB">
        <w:trPr>
          <w:trHeight w:val="155"/>
        </w:trPr>
        <w:tc>
          <w:tcPr>
            <w:tcW w:w="4159" w:type="dxa"/>
            <w:tcBorders>
              <w:top w:val="nil"/>
              <w:left w:val="nil"/>
              <w:bottom w:val="nil"/>
              <w:right w:val="nil"/>
            </w:tcBorders>
            <w:shd w:val="clear" w:color="auto" w:fill="auto"/>
            <w:vAlign w:val="bottom"/>
          </w:tcPr>
          <w:p w14:paraId="298848AC"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31" w:type="dxa"/>
            <w:tcBorders>
              <w:top w:val="nil"/>
              <w:left w:val="nil"/>
              <w:bottom w:val="nil"/>
              <w:right w:val="nil"/>
            </w:tcBorders>
            <w:shd w:val="clear" w:color="auto" w:fill="auto"/>
            <w:vAlign w:val="bottom"/>
          </w:tcPr>
          <w:p w14:paraId="6C58BA16"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31" w:type="dxa"/>
            <w:tcBorders>
              <w:top w:val="nil"/>
              <w:left w:val="nil"/>
              <w:bottom w:val="nil"/>
              <w:right w:val="nil"/>
            </w:tcBorders>
            <w:shd w:val="clear" w:color="auto" w:fill="auto"/>
            <w:vAlign w:val="bottom"/>
          </w:tcPr>
          <w:p w14:paraId="22E7C266"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31" w:type="dxa"/>
            <w:tcBorders>
              <w:top w:val="nil"/>
              <w:left w:val="nil"/>
              <w:bottom w:val="nil"/>
              <w:right w:val="nil"/>
            </w:tcBorders>
            <w:shd w:val="clear" w:color="auto" w:fill="auto"/>
            <w:vAlign w:val="bottom"/>
          </w:tcPr>
          <w:p w14:paraId="301985D1"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28" w:type="dxa"/>
            <w:tcBorders>
              <w:top w:val="nil"/>
              <w:left w:val="nil"/>
              <w:bottom w:val="nil"/>
              <w:right w:val="nil"/>
            </w:tcBorders>
            <w:shd w:val="clear" w:color="auto" w:fill="auto"/>
            <w:vAlign w:val="bottom"/>
          </w:tcPr>
          <w:p w14:paraId="5E2F76B2"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100" w:type="dxa"/>
            <w:tcBorders>
              <w:top w:val="nil"/>
              <w:left w:val="nil"/>
              <w:bottom w:val="nil"/>
              <w:right w:val="nil"/>
            </w:tcBorders>
            <w:shd w:val="clear" w:color="auto" w:fill="auto"/>
            <w:vAlign w:val="bottom"/>
          </w:tcPr>
          <w:p w14:paraId="5DE96759"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r>
      <w:tr w:rsidR="00F85442" w:rsidRPr="003D1614" w14:paraId="1842EDE0" w14:textId="77777777" w:rsidTr="0079135E">
        <w:trPr>
          <w:trHeight w:val="228"/>
        </w:trPr>
        <w:tc>
          <w:tcPr>
            <w:tcW w:w="4159" w:type="dxa"/>
            <w:tcBorders>
              <w:top w:val="nil"/>
              <w:left w:val="nil"/>
              <w:bottom w:val="nil"/>
              <w:right w:val="nil"/>
            </w:tcBorders>
            <w:shd w:val="clear" w:color="auto" w:fill="auto"/>
            <w:vAlign w:val="bottom"/>
            <w:hideMark/>
          </w:tcPr>
          <w:p w14:paraId="40FA6B01" w14:textId="771E3CCF" w:rsidR="00F85442" w:rsidRPr="003D1614" w:rsidRDefault="00F85442" w:rsidP="00F85442">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Stanje 1. siječnja 202</w:t>
            </w:r>
            <w:r>
              <w:rPr>
                <w:rFonts w:ascii="Arial" w:eastAsia="Calibri" w:hAnsi="Arial" w:cs="Arial"/>
                <w:color w:val="000000" w:themeColor="text1"/>
                <w:sz w:val="18"/>
                <w:szCs w:val="18"/>
              </w:rPr>
              <w:t>4</w:t>
            </w:r>
            <w:r w:rsidRPr="003D1614">
              <w:rPr>
                <w:rFonts w:ascii="Arial" w:eastAsia="Calibri" w:hAnsi="Arial" w:cs="Arial"/>
                <w:color w:val="000000" w:themeColor="text1"/>
                <w:sz w:val="18"/>
                <w:szCs w:val="18"/>
              </w:rPr>
              <w:t xml:space="preserve">. </w:t>
            </w:r>
          </w:p>
        </w:tc>
        <w:tc>
          <w:tcPr>
            <w:tcW w:w="1031" w:type="dxa"/>
            <w:tcBorders>
              <w:top w:val="nil"/>
              <w:left w:val="nil"/>
              <w:bottom w:val="nil"/>
              <w:right w:val="nil"/>
            </w:tcBorders>
            <w:shd w:val="clear" w:color="auto" w:fill="auto"/>
            <w:vAlign w:val="bottom"/>
          </w:tcPr>
          <w:p w14:paraId="61E7E1D3" w14:textId="242D5FE2" w:rsidR="00F85442" w:rsidRPr="0079135E" w:rsidRDefault="00F85442" w:rsidP="00F85442">
            <w:pPr>
              <w:suppressAutoHyphens/>
              <w:autoSpaceDN w:val="0"/>
              <w:jc w:val="right"/>
              <w:rPr>
                <w:rFonts w:ascii="Arial" w:eastAsia="Times New Roman" w:hAnsi="Arial" w:cs="Arial"/>
                <w:sz w:val="18"/>
                <w:szCs w:val="18"/>
              </w:rPr>
            </w:pPr>
            <w:r w:rsidRPr="0079135E">
              <w:rPr>
                <w:rFonts w:ascii="Arial" w:hAnsi="Arial" w:cs="Arial"/>
                <w:sz w:val="18"/>
                <w:szCs w:val="18"/>
              </w:rPr>
              <w:t xml:space="preserve"> 27 </w:t>
            </w:r>
          </w:p>
        </w:tc>
        <w:tc>
          <w:tcPr>
            <w:tcW w:w="1031" w:type="dxa"/>
            <w:tcBorders>
              <w:top w:val="nil"/>
              <w:left w:val="nil"/>
              <w:bottom w:val="nil"/>
              <w:right w:val="nil"/>
            </w:tcBorders>
            <w:shd w:val="clear" w:color="auto" w:fill="auto"/>
            <w:vAlign w:val="bottom"/>
          </w:tcPr>
          <w:p w14:paraId="17CF3B0A" w14:textId="7BC415B3" w:rsidR="00F85442" w:rsidRPr="0079135E" w:rsidRDefault="00F85442" w:rsidP="00F85442">
            <w:pPr>
              <w:suppressAutoHyphens/>
              <w:autoSpaceDN w:val="0"/>
              <w:jc w:val="right"/>
              <w:rPr>
                <w:rFonts w:ascii="Arial" w:eastAsia="Times New Roman" w:hAnsi="Arial" w:cs="Arial"/>
                <w:sz w:val="18"/>
                <w:szCs w:val="18"/>
              </w:rPr>
            </w:pPr>
            <w:r w:rsidRPr="0079135E">
              <w:rPr>
                <w:rFonts w:ascii="Arial" w:hAnsi="Arial" w:cs="Arial"/>
                <w:sz w:val="18"/>
                <w:szCs w:val="18"/>
              </w:rPr>
              <w:t xml:space="preserve"> 1 </w:t>
            </w:r>
          </w:p>
        </w:tc>
        <w:tc>
          <w:tcPr>
            <w:tcW w:w="1031" w:type="dxa"/>
            <w:tcBorders>
              <w:top w:val="nil"/>
              <w:left w:val="nil"/>
              <w:bottom w:val="nil"/>
              <w:right w:val="nil"/>
            </w:tcBorders>
            <w:shd w:val="clear" w:color="auto" w:fill="auto"/>
            <w:vAlign w:val="bottom"/>
          </w:tcPr>
          <w:p w14:paraId="0418AAE1" w14:textId="2C816180" w:rsidR="00F85442" w:rsidRPr="0079135E" w:rsidRDefault="00F85442" w:rsidP="00F85442">
            <w:pPr>
              <w:suppressAutoHyphens/>
              <w:autoSpaceDN w:val="0"/>
              <w:jc w:val="right"/>
              <w:rPr>
                <w:rFonts w:ascii="Arial" w:eastAsia="Times New Roman" w:hAnsi="Arial" w:cs="Arial"/>
                <w:sz w:val="18"/>
                <w:szCs w:val="18"/>
              </w:rPr>
            </w:pPr>
            <w:r w:rsidRPr="0079135E">
              <w:rPr>
                <w:rFonts w:ascii="Arial" w:hAnsi="Arial" w:cs="Arial"/>
                <w:sz w:val="18"/>
                <w:szCs w:val="18"/>
              </w:rPr>
              <w:t xml:space="preserve"> 4.330 </w:t>
            </w:r>
          </w:p>
        </w:tc>
        <w:tc>
          <w:tcPr>
            <w:tcW w:w="1028" w:type="dxa"/>
            <w:tcBorders>
              <w:top w:val="nil"/>
              <w:left w:val="nil"/>
              <w:bottom w:val="nil"/>
              <w:right w:val="nil"/>
            </w:tcBorders>
            <w:shd w:val="clear" w:color="auto" w:fill="auto"/>
            <w:vAlign w:val="bottom"/>
          </w:tcPr>
          <w:p w14:paraId="41602EB6" w14:textId="7A862D82" w:rsidR="00F85442" w:rsidRPr="0079135E" w:rsidRDefault="00F85442" w:rsidP="00F85442">
            <w:pPr>
              <w:suppressAutoHyphens/>
              <w:autoSpaceDN w:val="0"/>
              <w:jc w:val="right"/>
              <w:rPr>
                <w:rFonts w:ascii="Arial" w:eastAsia="Times New Roman" w:hAnsi="Arial" w:cs="Arial"/>
                <w:sz w:val="18"/>
                <w:szCs w:val="18"/>
              </w:rPr>
            </w:pPr>
            <w:r w:rsidRPr="0079135E">
              <w:rPr>
                <w:rFonts w:ascii="Arial" w:hAnsi="Arial" w:cs="Arial"/>
                <w:sz w:val="18"/>
                <w:szCs w:val="18"/>
              </w:rPr>
              <w:t xml:space="preserve"> 35 </w:t>
            </w:r>
          </w:p>
        </w:tc>
        <w:tc>
          <w:tcPr>
            <w:tcW w:w="1100" w:type="dxa"/>
            <w:tcBorders>
              <w:top w:val="nil"/>
              <w:left w:val="nil"/>
              <w:bottom w:val="nil"/>
              <w:right w:val="nil"/>
            </w:tcBorders>
            <w:shd w:val="clear" w:color="auto" w:fill="auto"/>
            <w:vAlign w:val="bottom"/>
          </w:tcPr>
          <w:p w14:paraId="21ECE611" w14:textId="088CD568" w:rsidR="00F85442" w:rsidRPr="0079135E" w:rsidRDefault="00F85442" w:rsidP="00F85442">
            <w:pPr>
              <w:suppressAutoHyphens/>
              <w:autoSpaceDN w:val="0"/>
              <w:jc w:val="right"/>
              <w:rPr>
                <w:rFonts w:ascii="Arial" w:eastAsia="Times New Roman" w:hAnsi="Arial" w:cs="Arial"/>
                <w:b/>
                <w:bCs/>
                <w:sz w:val="18"/>
                <w:szCs w:val="18"/>
              </w:rPr>
            </w:pPr>
            <w:r w:rsidRPr="0079135E">
              <w:rPr>
                <w:rFonts w:ascii="Arial" w:hAnsi="Arial" w:cs="Arial"/>
                <w:b/>
                <w:bCs/>
                <w:sz w:val="18"/>
                <w:szCs w:val="18"/>
              </w:rPr>
              <w:t xml:space="preserve"> 4.393 </w:t>
            </w:r>
          </w:p>
        </w:tc>
      </w:tr>
      <w:tr w:rsidR="00416E8C" w:rsidRPr="003D1614" w14:paraId="1BB60A0B" w14:textId="77777777" w:rsidTr="0079135E">
        <w:trPr>
          <w:trHeight w:val="203"/>
        </w:trPr>
        <w:tc>
          <w:tcPr>
            <w:tcW w:w="4159" w:type="dxa"/>
            <w:shd w:val="clear" w:color="auto" w:fill="auto"/>
            <w:vAlign w:val="bottom"/>
          </w:tcPr>
          <w:p w14:paraId="5AAC59BA" w14:textId="77777777" w:rsidR="00416E8C" w:rsidRPr="003D1614" w:rsidRDefault="00416E8C" w:rsidP="00416E8C">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1</w:t>
            </w:r>
          </w:p>
        </w:tc>
        <w:tc>
          <w:tcPr>
            <w:tcW w:w="1031" w:type="dxa"/>
            <w:tcBorders>
              <w:top w:val="nil"/>
              <w:left w:val="nil"/>
              <w:bottom w:val="nil"/>
              <w:right w:val="nil"/>
            </w:tcBorders>
            <w:shd w:val="clear" w:color="auto" w:fill="auto"/>
            <w:vAlign w:val="bottom"/>
          </w:tcPr>
          <w:p w14:paraId="20FB2CFB" w14:textId="6EBAB6D9" w:rsidR="00416E8C" w:rsidRPr="0079135E" w:rsidRDefault="00416E8C" w:rsidP="00416E8C">
            <w:pPr>
              <w:suppressAutoHyphens/>
              <w:autoSpaceDN w:val="0"/>
              <w:jc w:val="right"/>
              <w:rPr>
                <w:rFonts w:ascii="Arial" w:eastAsia="Times New Roman" w:hAnsi="Arial" w:cs="Arial"/>
                <w:sz w:val="18"/>
                <w:szCs w:val="18"/>
              </w:rPr>
            </w:pPr>
            <w:r w:rsidRPr="0079135E">
              <w:rPr>
                <w:rFonts w:ascii="Arial" w:hAnsi="Arial" w:cs="Arial"/>
                <w:sz w:val="18"/>
                <w:szCs w:val="18"/>
              </w:rPr>
              <w:t xml:space="preserve"> 19 </w:t>
            </w:r>
          </w:p>
        </w:tc>
        <w:tc>
          <w:tcPr>
            <w:tcW w:w="1031" w:type="dxa"/>
            <w:tcBorders>
              <w:top w:val="nil"/>
              <w:left w:val="nil"/>
              <w:bottom w:val="nil"/>
              <w:right w:val="nil"/>
            </w:tcBorders>
            <w:shd w:val="clear" w:color="auto" w:fill="auto"/>
            <w:vAlign w:val="bottom"/>
          </w:tcPr>
          <w:p w14:paraId="5EF96F0D" w14:textId="0C058298" w:rsidR="00416E8C" w:rsidRPr="0079135E" w:rsidRDefault="00416E8C" w:rsidP="00416E8C">
            <w:pPr>
              <w:suppressAutoHyphens/>
              <w:autoSpaceDN w:val="0"/>
              <w:jc w:val="right"/>
              <w:rPr>
                <w:rFonts w:ascii="Arial" w:eastAsia="Times New Roman" w:hAnsi="Arial" w:cs="Arial"/>
                <w:sz w:val="18"/>
                <w:szCs w:val="18"/>
              </w:rPr>
            </w:pPr>
            <w:r w:rsidRPr="0079135E">
              <w:rPr>
                <w:rFonts w:ascii="Arial" w:hAnsi="Arial" w:cs="Arial"/>
                <w:sz w:val="18"/>
                <w:szCs w:val="18"/>
              </w:rPr>
              <w:t xml:space="preserve"> - </w:t>
            </w:r>
          </w:p>
        </w:tc>
        <w:tc>
          <w:tcPr>
            <w:tcW w:w="1031" w:type="dxa"/>
            <w:tcBorders>
              <w:top w:val="nil"/>
              <w:left w:val="nil"/>
              <w:bottom w:val="nil"/>
              <w:right w:val="nil"/>
            </w:tcBorders>
            <w:shd w:val="clear" w:color="auto" w:fill="auto"/>
            <w:vAlign w:val="bottom"/>
          </w:tcPr>
          <w:p w14:paraId="222625B5" w14:textId="4A6FBA17" w:rsidR="00416E8C" w:rsidRPr="0079135E" w:rsidRDefault="00416E8C" w:rsidP="00416E8C">
            <w:pPr>
              <w:suppressAutoHyphens/>
              <w:autoSpaceDN w:val="0"/>
              <w:jc w:val="right"/>
              <w:rPr>
                <w:rFonts w:ascii="Arial" w:eastAsia="Times New Roman" w:hAnsi="Arial" w:cs="Arial"/>
                <w:sz w:val="18"/>
                <w:szCs w:val="18"/>
              </w:rPr>
            </w:pPr>
            <w:r w:rsidRPr="0079135E">
              <w:rPr>
                <w:rFonts w:ascii="Arial" w:hAnsi="Arial" w:cs="Arial"/>
                <w:sz w:val="18"/>
                <w:szCs w:val="18"/>
              </w:rPr>
              <w:t xml:space="preserve"> (19)</w:t>
            </w:r>
          </w:p>
        </w:tc>
        <w:tc>
          <w:tcPr>
            <w:tcW w:w="1028" w:type="dxa"/>
            <w:tcBorders>
              <w:top w:val="nil"/>
              <w:left w:val="nil"/>
              <w:bottom w:val="nil"/>
              <w:right w:val="nil"/>
            </w:tcBorders>
            <w:shd w:val="clear" w:color="auto" w:fill="auto"/>
            <w:vAlign w:val="bottom"/>
          </w:tcPr>
          <w:p w14:paraId="2C815E62" w14:textId="3B42D906" w:rsidR="00416E8C" w:rsidRPr="0079135E" w:rsidRDefault="00416E8C" w:rsidP="00416E8C">
            <w:pPr>
              <w:suppressAutoHyphens/>
              <w:autoSpaceDN w:val="0"/>
              <w:jc w:val="right"/>
              <w:rPr>
                <w:rFonts w:ascii="Arial" w:eastAsia="Times New Roman" w:hAnsi="Arial" w:cs="Arial"/>
                <w:sz w:val="18"/>
                <w:szCs w:val="18"/>
              </w:rPr>
            </w:pPr>
            <w:r w:rsidRPr="0079135E">
              <w:rPr>
                <w:rFonts w:ascii="Arial" w:hAnsi="Arial" w:cs="Arial"/>
                <w:sz w:val="18"/>
                <w:szCs w:val="18"/>
              </w:rPr>
              <w:t xml:space="preserve"> - </w:t>
            </w:r>
          </w:p>
        </w:tc>
        <w:tc>
          <w:tcPr>
            <w:tcW w:w="1100" w:type="dxa"/>
            <w:tcBorders>
              <w:top w:val="nil"/>
              <w:left w:val="nil"/>
              <w:bottom w:val="nil"/>
              <w:right w:val="nil"/>
            </w:tcBorders>
            <w:shd w:val="clear" w:color="auto" w:fill="auto"/>
            <w:vAlign w:val="bottom"/>
          </w:tcPr>
          <w:p w14:paraId="7A0E8FF8" w14:textId="0E8C9EC3" w:rsidR="00416E8C" w:rsidRPr="0079135E" w:rsidRDefault="00416E8C" w:rsidP="00416E8C">
            <w:pPr>
              <w:suppressAutoHyphens/>
              <w:autoSpaceDN w:val="0"/>
              <w:jc w:val="right"/>
              <w:rPr>
                <w:rFonts w:ascii="Arial" w:eastAsia="Times New Roman" w:hAnsi="Arial" w:cs="Arial"/>
                <w:b/>
                <w:bCs/>
                <w:sz w:val="18"/>
                <w:szCs w:val="18"/>
              </w:rPr>
            </w:pPr>
            <w:r w:rsidRPr="0079135E">
              <w:rPr>
                <w:rFonts w:ascii="Arial" w:hAnsi="Arial" w:cs="Arial"/>
                <w:b/>
                <w:bCs/>
                <w:sz w:val="18"/>
                <w:szCs w:val="18"/>
              </w:rPr>
              <w:t xml:space="preserve"> - </w:t>
            </w:r>
          </w:p>
        </w:tc>
      </w:tr>
      <w:tr w:rsidR="00AA31B9" w:rsidRPr="003D1614" w14:paraId="4057EFB6" w14:textId="77777777" w:rsidTr="0079135E">
        <w:trPr>
          <w:trHeight w:val="203"/>
        </w:trPr>
        <w:tc>
          <w:tcPr>
            <w:tcW w:w="4159" w:type="dxa"/>
            <w:shd w:val="clear" w:color="auto" w:fill="auto"/>
            <w:vAlign w:val="bottom"/>
          </w:tcPr>
          <w:p w14:paraId="31ABFFAB" w14:textId="77777777" w:rsidR="00AA31B9" w:rsidRPr="003D1614" w:rsidRDefault="00AA31B9" w:rsidP="00AA31B9">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2</w:t>
            </w:r>
          </w:p>
        </w:tc>
        <w:tc>
          <w:tcPr>
            <w:tcW w:w="1031" w:type="dxa"/>
            <w:tcBorders>
              <w:top w:val="nil"/>
              <w:left w:val="nil"/>
              <w:bottom w:val="nil"/>
              <w:right w:val="nil"/>
            </w:tcBorders>
            <w:shd w:val="clear" w:color="auto" w:fill="auto"/>
            <w:vAlign w:val="bottom"/>
          </w:tcPr>
          <w:p w14:paraId="2E7C1B63" w14:textId="7EC26292" w:rsidR="00AA31B9" w:rsidRPr="0079135E" w:rsidRDefault="00ED7FF0" w:rsidP="00AA31B9">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31" w:type="dxa"/>
            <w:tcBorders>
              <w:top w:val="nil"/>
              <w:left w:val="nil"/>
              <w:bottom w:val="nil"/>
              <w:right w:val="nil"/>
            </w:tcBorders>
            <w:shd w:val="clear" w:color="auto" w:fill="auto"/>
            <w:vAlign w:val="bottom"/>
          </w:tcPr>
          <w:p w14:paraId="6A337DC1" w14:textId="024C7DA5" w:rsidR="00AA31B9" w:rsidRPr="0079135E" w:rsidRDefault="00ED7FF0" w:rsidP="00AA31B9">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31" w:type="dxa"/>
            <w:tcBorders>
              <w:top w:val="nil"/>
              <w:left w:val="nil"/>
              <w:bottom w:val="nil"/>
              <w:right w:val="nil"/>
            </w:tcBorders>
            <w:shd w:val="clear" w:color="auto" w:fill="auto"/>
            <w:vAlign w:val="bottom"/>
          </w:tcPr>
          <w:p w14:paraId="546C3851" w14:textId="4B7CC722" w:rsidR="00AA31B9" w:rsidRPr="0079135E" w:rsidRDefault="00ED7FF0" w:rsidP="00AA31B9">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28" w:type="dxa"/>
            <w:tcBorders>
              <w:top w:val="nil"/>
              <w:left w:val="nil"/>
              <w:bottom w:val="nil"/>
              <w:right w:val="nil"/>
            </w:tcBorders>
            <w:shd w:val="clear" w:color="auto" w:fill="auto"/>
            <w:vAlign w:val="bottom"/>
          </w:tcPr>
          <w:p w14:paraId="56B96825" w14:textId="0CF032EE" w:rsidR="00AA31B9" w:rsidRPr="0079135E" w:rsidRDefault="00ED7FF0" w:rsidP="00AA31B9">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100" w:type="dxa"/>
            <w:tcBorders>
              <w:top w:val="nil"/>
              <w:left w:val="nil"/>
              <w:bottom w:val="nil"/>
              <w:right w:val="nil"/>
            </w:tcBorders>
            <w:shd w:val="clear" w:color="auto" w:fill="auto"/>
            <w:vAlign w:val="bottom"/>
          </w:tcPr>
          <w:p w14:paraId="21DD42C9" w14:textId="75DE9B31" w:rsidR="00AA31B9" w:rsidRPr="0079135E" w:rsidRDefault="00ED7FF0" w:rsidP="00AA31B9">
            <w:pPr>
              <w:suppressAutoHyphens/>
              <w:autoSpaceDN w:val="0"/>
              <w:jc w:val="right"/>
              <w:rPr>
                <w:rFonts w:ascii="Arial" w:eastAsia="Times New Roman" w:hAnsi="Arial" w:cs="Arial"/>
                <w:b/>
                <w:bCs/>
                <w:sz w:val="18"/>
                <w:szCs w:val="18"/>
              </w:rPr>
            </w:pPr>
            <w:r>
              <w:rPr>
                <w:rFonts w:ascii="Arial" w:eastAsia="Times New Roman" w:hAnsi="Arial" w:cs="Arial"/>
                <w:b/>
                <w:bCs/>
                <w:sz w:val="18"/>
                <w:szCs w:val="18"/>
              </w:rPr>
              <w:t>-</w:t>
            </w:r>
          </w:p>
        </w:tc>
      </w:tr>
      <w:tr w:rsidR="00AA31B9" w:rsidRPr="003D1614" w14:paraId="1E869EAF" w14:textId="77777777" w:rsidTr="0079135E">
        <w:trPr>
          <w:trHeight w:val="203"/>
        </w:trPr>
        <w:tc>
          <w:tcPr>
            <w:tcW w:w="4159" w:type="dxa"/>
            <w:shd w:val="clear" w:color="auto" w:fill="auto"/>
            <w:vAlign w:val="bottom"/>
            <w:hideMark/>
          </w:tcPr>
          <w:p w14:paraId="0893F907" w14:textId="77777777" w:rsidR="00AA31B9" w:rsidRPr="003D1614" w:rsidRDefault="00AA31B9" w:rsidP="00AA31B9">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3</w:t>
            </w:r>
          </w:p>
        </w:tc>
        <w:tc>
          <w:tcPr>
            <w:tcW w:w="1031" w:type="dxa"/>
            <w:tcBorders>
              <w:top w:val="nil"/>
              <w:left w:val="nil"/>
              <w:bottom w:val="nil"/>
              <w:right w:val="nil"/>
            </w:tcBorders>
            <w:shd w:val="clear" w:color="auto" w:fill="auto"/>
            <w:vAlign w:val="bottom"/>
          </w:tcPr>
          <w:p w14:paraId="2FC54834" w14:textId="7CA9C649" w:rsidR="00AA31B9" w:rsidRPr="0079135E" w:rsidRDefault="00ED7FF0" w:rsidP="00AA31B9">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31" w:type="dxa"/>
            <w:tcBorders>
              <w:top w:val="nil"/>
              <w:left w:val="nil"/>
              <w:bottom w:val="nil"/>
              <w:right w:val="nil"/>
            </w:tcBorders>
            <w:shd w:val="clear" w:color="auto" w:fill="auto"/>
            <w:vAlign w:val="bottom"/>
          </w:tcPr>
          <w:p w14:paraId="3E6FB162" w14:textId="1828C759" w:rsidR="00AA31B9" w:rsidRPr="0079135E" w:rsidRDefault="00ED7FF0" w:rsidP="00AA31B9">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31" w:type="dxa"/>
            <w:tcBorders>
              <w:top w:val="nil"/>
              <w:left w:val="nil"/>
              <w:bottom w:val="nil"/>
              <w:right w:val="nil"/>
            </w:tcBorders>
            <w:shd w:val="clear" w:color="auto" w:fill="auto"/>
            <w:vAlign w:val="bottom"/>
          </w:tcPr>
          <w:p w14:paraId="5DF4C2CF" w14:textId="6F74594D" w:rsidR="00AA31B9" w:rsidRPr="0079135E" w:rsidRDefault="00ED7FF0" w:rsidP="00AA31B9">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28" w:type="dxa"/>
            <w:tcBorders>
              <w:top w:val="nil"/>
              <w:left w:val="nil"/>
              <w:bottom w:val="nil"/>
              <w:right w:val="nil"/>
            </w:tcBorders>
            <w:shd w:val="clear" w:color="auto" w:fill="auto"/>
            <w:vAlign w:val="bottom"/>
          </w:tcPr>
          <w:p w14:paraId="11E2609C" w14:textId="5D92D31C" w:rsidR="00AA31B9" w:rsidRPr="0079135E" w:rsidRDefault="00ED7FF0" w:rsidP="00AA31B9">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100" w:type="dxa"/>
            <w:tcBorders>
              <w:top w:val="nil"/>
              <w:left w:val="nil"/>
              <w:bottom w:val="nil"/>
              <w:right w:val="nil"/>
            </w:tcBorders>
            <w:shd w:val="clear" w:color="auto" w:fill="auto"/>
            <w:vAlign w:val="bottom"/>
          </w:tcPr>
          <w:p w14:paraId="34A0F93E" w14:textId="77F4929F" w:rsidR="00AA31B9" w:rsidRPr="0079135E" w:rsidRDefault="00ED7FF0" w:rsidP="00AA31B9">
            <w:pPr>
              <w:suppressAutoHyphens/>
              <w:autoSpaceDN w:val="0"/>
              <w:jc w:val="right"/>
              <w:rPr>
                <w:rFonts w:ascii="Arial" w:eastAsia="Times New Roman" w:hAnsi="Arial" w:cs="Arial"/>
                <w:b/>
                <w:bCs/>
                <w:sz w:val="18"/>
                <w:szCs w:val="18"/>
              </w:rPr>
            </w:pPr>
            <w:r>
              <w:rPr>
                <w:rFonts w:ascii="Arial" w:eastAsia="Times New Roman" w:hAnsi="Arial" w:cs="Arial"/>
                <w:b/>
                <w:bCs/>
                <w:sz w:val="18"/>
                <w:szCs w:val="18"/>
              </w:rPr>
              <w:t>-</w:t>
            </w:r>
          </w:p>
        </w:tc>
      </w:tr>
      <w:tr w:rsidR="009C115D" w:rsidRPr="003D1614" w14:paraId="4C73BAC7" w14:textId="77777777" w:rsidTr="0079135E">
        <w:trPr>
          <w:trHeight w:val="254"/>
        </w:trPr>
        <w:tc>
          <w:tcPr>
            <w:tcW w:w="4159" w:type="dxa"/>
            <w:tcBorders>
              <w:top w:val="nil"/>
              <w:left w:val="nil"/>
              <w:bottom w:val="nil"/>
              <w:right w:val="nil"/>
            </w:tcBorders>
            <w:shd w:val="clear" w:color="auto" w:fill="auto"/>
            <w:vAlign w:val="bottom"/>
            <w:hideMark/>
          </w:tcPr>
          <w:p w14:paraId="2D826D47" w14:textId="76AC64A3" w:rsidR="009C115D" w:rsidRPr="003D1614" w:rsidRDefault="009C115D" w:rsidP="009C115D">
            <w:pPr>
              <w:suppressAutoHyphens/>
              <w:autoSpaceDN w:val="0"/>
              <w:rPr>
                <w:rFonts w:ascii="Arial" w:eastAsia="Calibri" w:hAnsi="Arial" w:cs="Arial"/>
                <w:color w:val="000000" w:themeColor="text1"/>
                <w:sz w:val="18"/>
                <w:szCs w:val="18"/>
              </w:rPr>
            </w:pPr>
            <w:r w:rsidRPr="009B1838">
              <w:rPr>
                <w:rFonts w:ascii="Arial" w:eastAsia="Calibri" w:hAnsi="Arial" w:cs="Arial"/>
                <w:color w:val="000000" w:themeColor="text1"/>
                <w:sz w:val="18"/>
                <w:szCs w:val="18"/>
              </w:rPr>
              <w:t xml:space="preserve">Neto </w:t>
            </w:r>
            <w:r w:rsidRPr="00651C37">
              <w:rPr>
                <w:rFonts w:ascii="Arial" w:eastAsia="Calibri" w:hAnsi="Arial" w:cs="Arial"/>
                <w:color w:val="000000" w:themeColor="text1"/>
                <w:sz w:val="18"/>
                <w:szCs w:val="18"/>
              </w:rPr>
              <w:t>povećanje/(smanjenje)</w:t>
            </w:r>
            <w:r w:rsidRPr="003D1614">
              <w:rPr>
                <w:rFonts w:ascii="Arial" w:eastAsia="Calibri" w:hAnsi="Arial" w:cs="Arial"/>
                <w:color w:val="000000" w:themeColor="text1"/>
                <w:sz w:val="18"/>
                <w:szCs w:val="18"/>
              </w:rPr>
              <w:t xml:space="preserve"> rezerviranja za očekivane gubitke </w:t>
            </w:r>
          </w:p>
        </w:tc>
        <w:tc>
          <w:tcPr>
            <w:tcW w:w="1031" w:type="dxa"/>
            <w:tcBorders>
              <w:top w:val="nil"/>
              <w:left w:val="nil"/>
              <w:bottom w:val="nil"/>
              <w:right w:val="nil"/>
            </w:tcBorders>
            <w:shd w:val="clear" w:color="auto" w:fill="auto"/>
            <w:vAlign w:val="bottom"/>
          </w:tcPr>
          <w:p w14:paraId="7FA6FE20" w14:textId="67B0D3F5" w:rsidR="009C115D" w:rsidRPr="0079135E" w:rsidRDefault="009C115D" w:rsidP="009C115D">
            <w:pPr>
              <w:suppressAutoHyphens/>
              <w:autoSpaceDN w:val="0"/>
              <w:jc w:val="right"/>
              <w:rPr>
                <w:rFonts w:ascii="Arial" w:eastAsia="Times New Roman" w:hAnsi="Arial" w:cs="Arial"/>
                <w:sz w:val="18"/>
                <w:szCs w:val="18"/>
              </w:rPr>
            </w:pPr>
            <w:r w:rsidRPr="0079135E">
              <w:rPr>
                <w:rFonts w:ascii="Arial" w:hAnsi="Arial" w:cs="Arial"/>
                <w:sz w:val="18"/>
                <w:szCs w:val="18"/>
              </w:rPr>
              <w:t xml:space="preserve"> 3 </w:t>
            </w:r>
          </w:p>
        </w:tc>
        <w:tc>
          <w:tcPr>
            <w:tcW w:w="1031" w:type="dxa"/>
            <w:tcBorders>
              <w:top w:val="nil"/>
              <w:left w:val="nil"/>
              <w:bottom w:val="nil"/>
              <w:right w:val="nil"/>
            </w:tcBorders>
            <w:shd w:val="clear" w:color="auto" w:fill="auto"/>
            <w:vAlign w:val="bottom"/>
          </w:tcPr>
          <w:p w14:paraId="447020D0" w14:textId="05C0414A" w:rsidR="009C115D" w:rsidRPr="0079135E" w:rsidRDefault="009C115D" w:rsidP="009C115D">
            <w:pPr>
              <w:suppressAutoHyphens/>
              <w:autoSpaceDN w:val="0"/>
              <w:jc w:val="right"/>
              <w:rPr>
                <w:rFonts w:ascii="Arial" w:eastAsia="Times New Roman" w:hAnsi="Arial" w:cs="Arial"/>
                <w:sz w:val="18"/>
                <w:szCs w:val="18"/>
              </w:rPr>
            </w:pPr>
            <w:r w:rsidRPr="0079135E">
              <w:rPr>
                <w:rFonts w:ascii="Arial" w:hAnsi="Arial" w:cs="Arial"/>
                <w:sz w:val="18"/>
                <w:szCs w:val="18"/>
              </w:rPr>
              <w:t xml:space="preserve"> 1 </w:t>
            </w:r>
          </w:p>
        </w:tc>
        <w:tc>
          <w:tcPr>
            <w:tcW w:w="1031" w:type="dxa"/>
            <w:tcBorders>
              <w:top w:val="nil"/>
              <w:left w:val="nil"/>
              <w:bottom w:val="nil"/>
              <w:right w:val="nil"/>
            </w:tcBorders>
            <w:shd w:val="clear" w:color="auto" w:fill="auto"/>
            <w:vAlign w:val="bottom"/>
          </w:tcPr>
          <w:p w14:paraId="1CA7A9E6" w14:textId="3B955AD9" w:rsidR="009C115D" w:rsidRPr="0079135E" w:rsidRDefault="009C115D" w:rsidP="009C115D">
            <w:pPr>
              <w:suppressAutoHyphens/>
              <w:autoSpaceDN w:val="0"/>
              <w:jc w:val="right"/>
              <w:rPr>
                <w:rFonts w:ascii="Arial" w:eastAsia="Times New Roman" w:hAnsi="Arial" w:cs="Arial"/>
                <w:sz w:val="18"/>
                <w:szCs w:val="18"/>
              </w:rPr>
            </w:pPr>
            <w:r w:rsidRPr="0079135E">
              <w:rPr>
                <w:rFonts w:ascii="Arial" w:hAnsi="Arial" w:cs="Arial"/>
                <w:sz w:val="18"/>
                <w:szCs w:val="18"/>
              </w:rPr>
              <w:t xml:space="preserve"> 352 </w:t>
            </w:r>
          </w:p>
        </w:tc>
        <w:tc>
          <w:tcPr>
            <w:tcW w:w="1028" w:type="dxa"/>
            <w:tcBorders>
              <w:top w:val="nil"/>
              <w:left w:val="nil"/>
              <w:bottom w:val="nil"/>
              <w:right w:val="nil"/>
            </w:tcBorders>
            <w:shd w:val="clear" w:color="auto" w:fill="auto"/>
            <w:vAlign w:val="bottom"/>
          </w:tcPr>
          <w:p w14:paraId="672DAA54" w14:textId="6BCAFBB0" w:rsidR="009C115D" w:rsidRPr="0079135E" w:rsidRDefault="009C115D" w:rsidP="009C115D">
            <w:pPr>
              <w:suppressAutoHyphens/>
              <w:autoSpaceDN w:val="0"/>
              <w:jc w:val="right"/>
              <w:rPr>
                <w:rFonts w:ascii="Arial" w:eastAsia="Times New Roman" w:hAnsi="Arial" w:cs="Arial"/>
                <w:sz w:val="18"/>
                <w:szCs w:val="18"/>
              </w:rPr>
            </w:pPr>
            <w:r w:rsidRPr="0079135E">
              <w:rPr>
                <w:rFonts w:ascii="Arial" w:hAnsi="Arial" w:cs="Arial"/>
                <w:sz w:val="18"/>
                <w:szCs w:val="18"/>
              </w:rPr>
              <w:t xml:space="preserve"> (1)</w:t>
            </w:r>
          </w:p>
        </w:tc>
        <w:tc>
          <w:tcPr>
            <w:tcW w:w="1100" w:type="dxa"/>
            <w:tcBorders>
              <w:top w:val="nil"/>
              <w:left w:val="nil"/>
              <w:bottom w:val="nil"/>
              <w:right w:val="nil"/>
            </w:tcBorders>
            <w:shd w:val="clear" w:color="auto" w:fill="auto"/>
            <w:vAlign w:val="bottom"/>
          </w:tcPr>
          <w:p w14:paraId="5DEC472F" w14:textId="65268C5E" w:rsidR="009C115D" w:rsidRPr="0079135E" w:rsidRDefault="009C115D" w:rsidP="009C115D">
            <w:pPr>
              <w:suppressAutoHyphens/>
              <w:autoSpaceDN w:val="0"/>
              <w:jc w:val="right"/>
              <w:rPr>
                <w:rFonts w:ascii="Arial" w:eastAsia="Times New Roman" w:hAnsi="Arial" w:cs="Arial"/>
                <w:b/>
                <w:bCs/>
                <w:sz w:val="18"/>
                <w:szCs w:val="18"/>
              </w:rPr>
            </w:pPr>
            <w:r w:rsidRPr="0079135E">
              <w:rPr>
                <w:rFonts w:ascii="Arial" w:hAnsi="Arial" w:cs="Arial"/>
                <w:b/>
                <w:bCs/>
                <w:sz w:val="18"/>
                <w:szCs w:val="18"/>
              </w:rPr>
              <w:t xml:space="preserve"> 355 </w:t>
            </w:r>
          </w:p>
        </w:tc>
      </w:tr>
      <w:tr w:rsidR="00AB565C" w:rsidRPr="003D1614" w14:paraId="4597C373" w14:textId="77777777" w:rsidTr="0079135E">
        <w:trPr>
          <w:trHeight w:val="70"/>
        </w:trPr>
        <w:tc>
          <w:tcPr>
            <w:tcW w:w="4159" w:type="dxa"/>
            <w:tcBorders>
              <w:top w:val="nil"/>
              <w:left w:val="nil"/>
              <w:bottom w:val="nil"/>
              <w:right w:val="nil"/>
            </w:tcBorders>
            <w:shd w:val="clear" w:color="auto" w:fill="auto"/>
            <w:vAlign w:val="bottom"/>
          </w:tcPr>
          <w:p w14:paraId="0ED142EE" w14:textId="77777777" w:rsidR="00AB565C" w:rsidRPr="003D1614" w:rsidRDefault="00AB565C" w:rsidP="00AB565C">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Otpis</w:t>
            </w:r>
          </w:p>
        </w:tc>
        <w:tc>
          <w:tcPr>
            <w:tcW w:w="1031" w:type="dxa"/>
            <w:tcBorders>
              <w:top w:val="nil"/>
              <w:left w:val="nil"/>
              <w:bottom w:val="nil"/>
              <w:right w:val="nil"/>
            </w:tcBorders>
            <w:shd w:val="clear" w:color="auto" w:fill="auto"/>
            <w:vAlign w:val="bottom"/>
          </w:tcPr>
          <w:p w14:paraId="0D0167C0" w14:textId="2AB6F44B" w:rsidR="00AB565C" w:rsidRPr="0079135E" w:rsidRDefault="00AB565C" w:rsidP="00AB565C">
            <w:pPr>
              <w:suppressAutoHyphens/>
              <w:autoSpaceDN w:val="0"/>
              <w:jc w:val="right"/>
              <w:rPr>
                <w:rFonts w:ascii="Arial" w:eastAsia="Times New Roman" w:hAnsi="Arial" w:cs="Arial"/>
                <w:sz w:val="18"/>
                <w:szCs w:val="18"/>
              </w:rPr>
            </w:pPr>
            <w:r w:rsidRPr="0079135E">
              <w:rPr>
                <w:rFonts w:ascii="Arial" w:hAnsi="Arial" w:cs="Arial"/>
                <w:sz w:val="18"/>
                <w:szCs w:val="18"/>
              </w:rPr>
              <w:t xml:space="preserve"> (20)</w:t>
            </w:r>
          </w:p>
        </w:tc>
        <w:tc>
          <w:tcPr>
            <w:tcW w:w="1031" w:type="dxa"/>
            <w:tcBorders>
              <w:top w:val="nil"/>
              <w:left w:val="nil"/>
              <w:bottom w:val="nil"/>
              <w:right w:val="nil"/>
            </w:tcBorders>
            <w:shd w:val="clear" w:color="auto" w:fill="auto"/>
            <w:vAlign w:val="bottom"/>
          </w:tcPr>
          <w:p w14:paraId="09F5E893" w14:textId="64B9C7FD" w:rsidR="00AB565C" w:rsidRPr="0079135E" w:rsidRDefault="00ED7FF0" w:rsidP="00AB565C">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31" w:type="dxa"/>
            <w:tcBorders>
              <w:top w:val="nil"/>
              <w:left w:val="nil"/>
              <w:bottom w:val="nil"/>
              <w:right w:val="nil"/>
            </w:tcBorders>
            <w:shd w:val="clear" w:color="auto" w:fill="auto"/>
            <w:vAlign w:val="bottom"/>
          </w:tcPr>
          <w:p w14:paraId="39E80F3E" w14:textId="47C6ABBA" w:rsidR="00AB565C" w:rsidRPr="0079135E" w:rsidRDefault="00AB565C" w:rsidP="00AB565C">
            <w:pPr>
              <w:suppressAutoHyphens/>
              <w:autoSpaceDN w:val="0"/>
              <w:jc w:val="right"/>
              <w:rPr>
                <w:rFonts w:ascii="Arial" w:eastAsia="Times New Roman" w:hAnsi="Arial" w:cs="Arial"/>
                <w:sz w:val="18"/>
                <w:szCs w:val="18"/>
              </w:rPr>
            </w:pPr>
            <w:r w:rsidRPr="0079135E">
              <w:rPr>
                <w:rFonts w:ascii="Arial" w:hAnsi="Arial" w:cs="Arial"/>
                <w:sz w:val="18"/>
                <w:szCs w:val="18"/>
              </w:rPr>
              <w:t xml:space="preserve"> (16)</w:t>
            </w:r>
          </w:p>
        </w:tc>
        <w:tc>
          <w:tcPr>
            <w:tcW w:w="1028" w:type="dxa"/>
            <w:tcBorders>
              <w:top w:val="nil"/>
              <w:left w:val="nil"/>
              <w:bottom w:val="nil"/>
              <w:right w:val="nil"/>
            </w:tcBorders>
            <w:shd w:val="clear" w:color="auto" w:fill="auto"/>
            <w:vAlign w:val="bottom"/>
          </w:tcPr>
          <w:p w14:paraId="169D8E13" w14:textId="463A278D" w:rsidR="00AB565C" w:rsidRPr="0079135E" w:rsidRDefault="00ED7FF0" w:rsidP="00AB565C">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100" w:type="dxa"/>
            <w:tcBorders>
              <w:top w:val="nil"/>
              <w:left w:val="nil"/>
              <w:bottom w:val="nil"/>
              <w:right w:val="nil"/>
            </w:tcBorders>
            <w:shd w:val="clear" w:color="auto" w:fill="auto"/>
            <w:vAlign w:val="bottom"/>
          </w:tcPr>
          <w:p w14:paraId="35602C7F" w14:textId="2BB6DE2E" w:rsidR="00AB565C" w:rsidRPr="0079135E" w:rsidRDefault="00AB565C" w:rsidP="00AB565C">
            <w:pPr>
              <w:suppressAutoHyphens/>
              <w:autoSpaceDN w:val="0"/>
              <w:jc w:val="right"/>
              <w:rPr>
                <w:rFonts w:ascii="Arial" w:eastAsia="Times New Roman" w:hAnsi="Arial" w:cs="Arial"/>
                <w:b/>
                <w:bCs/>
                <w:sz w:val="18"/>
                <w:szCs w:val="18"/>
              </w:rPr>
            </w:pPr>
            <w:r w:rsidRPr="0079135E">
              <w:rPr>
                <w:rFonts w:ascii="Arial" w:hAnsi="Arial" w:cs="Arial"/>
                <w:b/>
                <w:bCs/>
                <w:sz w:val="18"/>
                <w:szCs w:val="18"/>
              </w:rPr>
              <w:t xml:space="preserve"> (36)</w:t>
            </w:r>
          </w:p>
        </w:tc>
      </w:tr>
      <w:tr w:rsidR="00AA31B9" w:rsidRPr="003D1614" w14:paraId="167ED407" w14:textId="77777777" w:rsidTr="0079135E">
        <w:trPr>
          <w:trHeight w:val="213"/>
        </w:trPr>
        <w:tc>
          <w:tcPr>
            <w:tcW w:w="4159" w:type="dxa"/>
            <w:tcBorders>
              <w:top w:val="nil"/>
              <w:left w:val="nil"/>
              <w:bottom w:val="nil"/>
              <w:right w:val="nil"/>
            </w:tcBorders>
            <w:shd w:val="clear" w:color="auto" w:fill="auto"/>
            <w:vAlign w:val="bottom"/>
            <w:hideMark/>
          </w:tcPr>
          <w:p w14:paraId="6A31FF45" w14:textId="77777777" w:rsidR="00AA31B9" w:rsidRPr="003D1614" w:rsidRDefault="00AA31B9" w:rsidP="00AA31B9">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Neto dobit/gubitak od tečajnih razlika po rezerviranjima za očekivane gubitke</w:t>
            </w:r>
          </w:p>
        </w:tc>
        <w:tc>
          <w:tcPr>
            <w:tcW w:w="1031" w:type="dxa"/>
            <w:tcBorders>
              <w:top w:val="nil"/>
              <w:left w:val="nil"/>
              <w:right w:val="nil"/>
            </w:tcBorders>
            <w:shd w:val="clear" w:color="auto" w:fill="auto"/>
            <w:vAlign w:val="bottom"/>
          </w:tcPr>
          <w:p w14:paraId="1B1AFADF" w14:textId="400C229E" w:rsidR="00AA31B9" w:rsidRPr="0079135E" w:rsidRDefault="00ED7FF0" w:rsidP="00AA31B9">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31" w:type="dxa"/>
            <w:tcBorders>
              <w:top w:val="nil"/>
              <w:left w:val="nil"/>
              <w:right w:val="nil"/>
            </w:tcBorders>
            <w:shd w:val="clear" w:color="auto" w:fill="auto"/>
            <w:vAlign w:val="bottom"/>
          </w:tcPr>
          <w:p w14:paraId="7516F9B3" w14:textId="2C98CB6F" w:rsidR="00AA31B9" w:rsidRPr="0079135E" w:rsidRDefault="00ED7FF0" w:rsidP="00AA31B9">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31" w:type="dxa"/>
            <w:tcBorders>
              <w:top w:val="nil"/>
              <w:left w:val="nil"/>
              <w:right w:val="nil"/>
            </w:tcBorders>
            <w:shd w:val="clear" w:color="auto" w:fill="auto"/>
            <w:vAlign w:val="bottom"/>
          </w:tcPr>
          <w:p w14:paraId="0D764D2E" w14:textId="52733E52" w:rsidR="00AA31B9" w:rsidRPr="0079135E" w:rsidRDefault="00AB565C" w:rsidP="00AA31B9">
            <w:pPr>
              <w:suppressAutoHyphens/>
              <w:autoSpaceDN w:val="0"/>
              <w:jc w:val="right"/>
              <w:rPr>
                <w:rFonts w:ascii="Arial" w:eastAsia="Times New Roman" w:hAnsi="Arial" w:cs="Arial"/>
                <w:sz w:val="18"/>
                <w:szCs w:val="18"/>
              </w:rPr>
            </w:pPr>
            <w:r w:rsidRPr="0079135E">
              <w:rPr>
                <w:rFonts w:ascii="Arial" w:eastAsia="Times New Roman" w:hAnsi="Arial" w:cs="Arial"/>
                <w:sz w:val="18"/>
                <w:szCs w:val="18"/>
              </w:rPr>
              <w:t>3</w:t>
            </w:r>
          </w:p>
        </w:tc>
        <w:tc>
          <w:tcPr>
            <w:tcW w:w="1028" w:type="dxa"/>
            <w:tcBorders>
              <w:top w:val="nil"/>
              <w:left w:val="nil"/>
              <w:right w:val="nil"/>
            </w:tcBorders>
            <w:shd w:val="clear" w:color="auto" w:fill="auto"/>
            <w:vAlign w:val="bottom"/>
          </w:tcPr>
          <w:p w14:paraId="0E7B88A6" w14:textId="7CC13876" w:rsidR="00AA31B9" w:rsidRPr="0079135E" w:rsidRDefault="00ED7FF0" w:rsidP="00AA31B9">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100" w:type="dxa"/>
            <w:tcBorders>
              <w:top w:val="nil"/>
              <w:left w:val="nil"/>
              <w:right w:val="nil"/>
            </w:tcBorders>
            <w:shd w:val="clear" w:color="auto" w:fill="auto"/>
            <w:vAlign w:val="bottom"/>
          </w:tcPr>
          <w:p w14:paraId="3435FEDB" w14:textId="2A2AA210" w:rsidR="00AA31B9" w:rsidRPr="0079135E" w:rsidRDefault="00AB565C" w:rsidP="00AA31B9">
            <w:pPr>
              <w:suppressAutoHyphens/>
              <w:autoSpaceDN w:val="0"/>
              <w:jc w:val="right"/>
              <w:rPr>
                <w:rFonts w:ascii="Arial" w:eastAsia="Times New Roman" w:hAnsi="Arial" w:cs="Arial"/>
                <w:b/>
                <w:bCs/>
                <w:sz w:val="18"/>
                <w:szCs w:val="18"/>
              </w:rPr>
            </w:pPr>
            <w:r w:rsidRPr="0079135E">
              <w:rPr>
                <w:rFonts w:ascii="Arial" w:eastAsia="Times New Roman" w:hAnsi="Arial" w:cs="Arial"/>
                <w:b/>
                <w:bCs/>
                <w:sz w:val="18"/>
                <w:szCs w:val="18"/>
              </w:rPr>
              <w:t>3</w:t>
            </w:r>
          </w:p>
        </w:tc>
      </w:tr>
      <w:tr w:rsidR="0079135E" w:rsidRPr="003D1614" w14:paraId="77D7AAEA" w14:textId="77777777" w:rsidTr="0079135E">
        <w:trPr>
          <w:trHeight w:val="213"/>
        </w:trPr>
        <w:tc>
          <w:tcPr>
            <w:tcW w:w="4159" w:type="dxa"/>
            <w:tcBorders>
              <w:top w:val="nil"/>
              <w:left w:val="nil"/>
              <w:bottom w:val="nil"/>
              <w:right w:val="nil"/>
            </w:tcBorders>
            <w:shd w:val="clear" w:color="auto" w:fill="auto"/>
            <w:vAlign w:val="bottom"/>
          </w:tcPr>
          <w:p w14:paraId="1A98DA6D" w14:textId="77777777" w:rsidR="0079135E" w:rsidRPr="003D1614" w:rsidRDefault="0079135E" w:rsidP="0079135E">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Ostala usklađenja</w:t>
            </w:r>
          </w:p>
        </w:tc>
        <w:tc>
          <w:tcPr>
            <w:tcW w:w="1031" w:type="dxa"/>
            <w:tcBorders>
              <w:top w:val="nil"/>
              <w:left w:val="nil"/>
              <w:bottom w:val="single" w:sz="4" w:space="0" w:color="auto"/>
              <w:right w:val="nil"/>
            </w:tcBorders>
            <w:shd w:val="clear" w:color="auto" w:fill="auto"/>
            <w:vAlign w:val="bottom"/>
          </w:tcPr>
          <w:p w14:paraId="75003ED1" w14:textId="41BD9B47" w:rsidR="0079135E" w:rsidRPr="0079135E" w:rsidRDefault="0079135E" w:rsidP="0079135E">
            <w:pPr>
              <w:suppressAutoHyphens/>
              <w:autoSpaceDN w:val="0"/>
              <w:jc w:val="right"/>
              <w:rPr>
                <w:rFonts w:ascii="Arial" w:eastAsia="Times New Roman" w:hAnsi="Arial" w:cs="Arial"/>
                <w:sz w:val="18"/>
                <w:szCs w:val="18"/>
              </w:rPr>
            </w:pPr>
            <w:r w:rsidRPr="0079135E">
              <w:rPr>
                <w:rFonts w:ascii="Arial" w:hAnsi="Arial" w:cs="Arial"/>
                <w:sz w:val="18"/>
                <w:szCs w:val="18"/>
              </w:rPr>
              <w:t xml:space="preserve"> 1 </w:t>
            </w:r>
          </w:p>
        </w:tc>
        <w:tc>
          <w:tcPr>
            <w:tcW w:w="1031" w:type="dxa"/>
            <w:tcBorders>
              <w:top w:val="nil"/>
              <w:left w:val="nil"/>
              <w:bottom w:val="single" w:sz="4" w:space="0" w:color="auto"/>
              <w:right w:val="nil"/>
            </w:tcBorders>
            <w:shd w:val="clear" w:color="auto" w:fill="auto"/>
            <w:vAlign w:val="bottom"/>
          </w:tcPr>
          <w:p w14:paraId="2576D31C" w14:textId="1BA01097" w:rsidR="0079135E" w:rsidRPr="0079135E" w:rsidRDefault="00ED7FF0" w:rsidP="0079135E">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31" w:type="dxa"/>
            <w:tcBorders>
              <w:top w:val="nil"/>
              <w:left w:val="nil"/>
              <w:bottom w:val="single" w:sz="4" w:space="0" w:color="auto"/>
              <w:right w:val="nil"/>
            </w:tcBorders>
            <w:shd w:val="clear" w:color="auto" w:fill="auto"/>
            <w:vAlign w:val="bottom"/>
          </w:tcPr>
          <w:p w14:paraId="5A8DA453" w14:textId="21FAC391" w:rsidR="0079135E" w:rsidRPr="0079135E" w:rsidRDefault="0079135E" w:rsidP="0079135E">
            <w:pPr>
              <w:suppressAutoHyphens/>
              <w:autoSpaceDN w:val="0"/>
              <w:jc w:val="right"/>
              <w:rPr>
                <w:rFonts w:ascii="Arial" w:eastAsia="Times New Roman" w:hAnsi="Arial" w:cs="Arial"/>
                <w:sz w:val="18"/>
                <w:szCs w:val="18"/>
              </w:rPr>
            </w:pPr>
            <w:r w:rsidRPr="0079135E">
              <w:rPr>
                <w:rFonts w:ascii="Arial" w:hAnsi="Arial" w:cs="Arial"/>
                <w:sz w:val="18"/>
                <w:szCs w:val="18"/>
              </w:rPr>
              <w:t xml:space="preserve"> - </w:t>
            </w:r>
          </w:p>
        </w:tc>
        <w:tc>
          <w:tcPr>
            <w:tcW w:w="1028" w:type="dxa"/>
            <w:tcBorders>
              <w:top w:val="nil"/>
              <w:left w:val="nil"/>
              <w:bottom w:val="single" w:sz="4" w:space="0" w:color="auto"/>
              <w:right w:val="nil"/>
            </w:tcBorders>
            <w:shd w:val="clear" w:color="auto" w:fill="auto"/>
            <w:vAlign w:val="bottom"/>
          </w:tcPr>
          <w:p w14:paraId="06E5E51D" w14:textId="2C2D642C" w:rsidR="0079135E" w:rsidRPr="0079135E" w:rsidRDefault="0079135E" w:rsidP="0079135E">
            <w:pPr>
              <w:suppressAutoHyphens/>
              <w:autoSpaceDN w:val="0"/>
              <w:jc w:val="right"/>
              <w:rPr>
                <w:rFonts w:ascii="Arial" w:eastAsia="Times New Roman" w:hAnsi="Arial" w:cs="Arial"/>
                <w:sz w:val="18"/>
                <w:szCs w:val="18"/>
              </w:rPr>
            </w:pPr>
            <w:r w:rsidRPr="0079135E">
              <w:rPr>
                <w:rFonts w:ascii="Arial" w:hAnsi="Arial" w:cs="Arial"/>
                <w:sz w:val="18"/>
                <w:szCs w:val="18"/>
              </w:rPr>
              <w:t xml:space="preserve"> 1 </w:t>
            </w:r>
          </w:p>
        </w:tc>
        <w:tc>
          <w:tcPr>
            <w:tcW w:w="1100" w:type="dxa"/>
            <w:tcBorders>
              <w:top w:val="nil"/>
              <w:left w:val="nil"/>
              <w:bottom w:val="single" w:sz="4" w:space="0" w:color="auto"/>
              <w:right w:val="nil"/>
            </w:tcBorders>
            <w:shd w:val="clear" w:color="auto" w:fill="auto"/>
            <w:vAlign w:val="bottom"/>
          </w:tcPr>
          <w:p w14:paraId="3C933EA9" w14:textId="6468C54C" w:rsidR="0079135E" w:rsidRPr="0079135E" w:rsidRDefault="0079135E" w:rsidP="0079135E">
            <w:pPr>
              <w:suppressAutoHyphens/>
              <w:autoSpaceDN w:val="0"/>
              <w:jc w:val="right"/>
              <w:rPr>
                <w:rFonts w:ascii="Arial" w:eastAsia="Times New Roman" w:hAnsi="Arial" w:cs="Arial"/>
                <w:b/>
                <w:bCs/>
                <w:sz w:val="18"/>
                <w:szCs w:val="18"/>
              </w:rPr>
            </w:pPr>
            <w:r w:rsidRPr="0079135E">
              <w:rPr>
                <w:rFonts w:ascii="Arial" w:hAnsi="Arial" w:cs="Arial"/>
                <w:b/>
                <w:bCs/>
                <w:sz w:val="18"/>
                <w:szCs w:val="18"/>
              </w:rPr>
              <w:t xml:space="preserve"> 2 </w:t>
            </w:r>
          </w:p>
        </w:tc>
      </w:tr>
      <w:tr w:rsidR="0079135E" w:rsidRPr="003D1614" w14:paraId="358BADC5" w14:textId="77777777" w:rsidTr="0079135E">
        <w:trPr>
          <w:trHeight w:val="213"/>
        </w:trPr>
        <w:tc>
          <w:tcPr>
            <w:tcW w:w="4159" w:type="dxa"/>
            <w:tcBorders>
              <w:top w:val="nil"/>
              <w:left w:val="nil"/>
              <w:bottom w:val="nil"/>
              <w:right w:val="nil"/>
            </w:tcBorders>
            <w:shd w:val="clear" w:color="auto" w:fill="auto"/>
            <w:vAlign w:val="bottom"/>
            <w:hideMark/>
          </w:tcPr>
          <w:p w14:paraId="27C4C4D3" w14:textId="20DE22C9" w:rsidR="0079135E" w:rsidRPr="003D1614" w:rsidRDefault="0079135E" w:rsidP="0079135E">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 xml:space="preserve">Stanje </w:t>
            </w:r>
            <w:r w:rsidRPr="00881155">
              <w:rPr>
                <w:rFonts w:ascii="Arial" w:eastAsia="Calibri" w:hAnsi="Arial" w:cs="Arial"/>
                <w:b/>
                <w:bCs/>
                <w:color w:val="000000" w:themeColor="text1"/>
                <w:sz w:val="18"/>
                <w:szCs w:val="18"/>
              </w:rPr>
              <w:t>30. rujna 202</w:t>
            </w:r>
            <w:r>
              <w:rPr>
                <w:rFonts w:ascii="Arial" w:eastAsia="Calibri" w:hAnsi="Arial" w:cs="Arial"/>
                <w:b/>
                <w:bCs/>
                <w:color w:val="000000" w:themeColor="text1"/>
                <w:sz w:val="18"/>
                <w:szCs w:val="18"/>
              </w:rPr>
              <w:t>4</w:t>
            </w:r>
            <w:r w:rsidRPr="00881155">
              <w:rPr>
                <w:rFonts w:ascii="Arial" w:eastAsia="Calibri" w:hAnsi="Arial" w:cs="Arial"/>
                <w:b/>
                <w:bCs/>
                <w:color w:val="000000" w:themeColor="text1"/>
                <w:sz w:val="18"/>
                <w:szCs w:val="18"/>
              </w:rPr>
              <w:t>.</w:t>
            </w:r>
          </w:p>
        </w:tc>
        <w:tc>
          <w:tcPr>
            <w:tcW w:w="1031" w:type="dxa"/>
            <w:tcBorders>
              <w:top w:val="single" w:sz="4" w:space="0" w:color="auto"/>
              <w:left w:val="nil"/>
              <w:bottom w:val="single" w:sz="12" w:space="0" w:color="auto"/>
              <w:right w:val="nil"/>
            </w:tcBorders>
            <w:shd w:val="clear" w:color="auto" w:fill="auto"/>
            <w:vAlign w:val="bottom"/>
          </w:tcPr>
          <w:p w14:paraId="42BFA932" w14:textId="484956E8" w:rsidR="0079135E" w:rsidRPr="0079135E" w:rsidRDefault="0079135E" w:rsidP="0079135E">
            <w:pPr>
              <w:suppressAutoHyphens/>
              <w:autoSpaceDN w:val="0"/>
              <w:jc w:val="right"/>
              <w:rPr>
                <w:rFonts w:ascii="Arial" w:eastAsia="Times New Roman" w:hAnsi="Arial" w:cs="Arial"/>
                <w:b/>
                <w:bCs/>
                <w:sz w:val="18"/>
                <w:szCs w:val="18"/>
              </w:rPr>
            </w:pPr>
            <w:r w:rsidRPr="0079135E">
              <w:rPr>
                <w:rFonts w:ascii="Arial" w:hAnsi="Arial" w:cs="Arial"/>
                <w:b/>
                <w:bCs/>
                <w:sz w:val="18"/>
                <w:szCs w:val="18"/>
              </w:rPr>
              <w:t xml:space="preserve"> 30 </w:t>
            </w:r>
          </w:p>
        </w:tc>
        <w:tc>
          <w:tcPr>
            <w:tcW w:w="1031" w:type="dxa"/>
            <w:tcBorders>
              <w:top w:val="single" w:sz="4" w:space="0" w:color="auto"/>
              <w:left w:val="nil"/>
              <w:bottom w:val="single" w:sz="12" w:space="0" w:color="auto"/>
              <w:right w:val="nil"/>
            </w:tcBorders>
            <w:shd w:val="clear" w:color="auto" w:fill="auto"/>
            <w:vAlign w:val="bottom"/>
          </w:tcPr>
          <w:p w14:paraId="4DCAB523" w14:textId="4097EC9B" w:rsidR="0079135E" w:rsidRPr="0079135E" w:rsidRDefault="0079135E" w:rsidP="0079135E">
            <w:pPr>
              <w:suppressAutoHyphens/>
              <w:autoSpaceDN w:val="0"/>
              <w:jc w:val="right"/>
              <w:rPr>
                <w:rFonts w:ascii="Arial" w:eastAsia="Times New Roman" w:hAnsi="Arial" w:cs="Arial"/>
                <w:b/>
                <w:bCs/>
                <w:sz w:val="18"/>
                <w:szCs w:val="18"/>
              </w:rPr>
            </w:pPr>
            <w:r w:rsidRPr="0079135E">
              <w:rPr>
                <w:rFonts w:ascii="Arial" w:hAnsi="Arial" w:cs="Arial"/>
                <w:b/>
                <w:bCs/>
                <w:sz w:val="18"/>
                <w:szCs w:val="18"/>
              </w:rPr>
              <w:t xml:space="preserve"> 2 </w:t>
            </w:r>
          </w:p>
        </w:tc>
        <w:tc>
          <w:tcPr>
            <w:tcW w:w="1031" w:type="dxa"/>
            <w:tcBorders>
              <w:top w:val="single" w:sz="4" w:space="0" w:color="auto"/>
              <w:left w:val="nil"/>
              <w:bottom w:val="single" w:sz="12" w:space="0" w:color="auto"/>
              <w:right w:val="nil"/>
            </w:tcBorders>
            <w:shd w:val="clear" w:color="auto" w:fill="auto"/>
            <w:vAlign w:val="bottom"/>
          </w:tcPr>
          <w:p w14:paraId="7493CE9D" w14:textId="1F5CC67C" w:rsidR="0079135E" w:rsidRPr="0079135E" w:rsidRDefault="0079135E" w:rsidP="0079135E">
            <w:pPr>
              <w:suppressAutoHyphens/>
              <w:autoSpaceDN w:val="0"/>
              <w:jc w:val="right"/>
              <w:rPr>
                <w:rFonts w:ascii="Arial" w:eastAsia="Times New Roman" w:hAnsi="Arial" w:cs="Arial"/>
                <w:b/>
                <w:bCs/>
                <w:sz w:val="18"/>
                <w:szCs w:val="18"/>
              </w:rPr>
            </w:pPr>
            <w:r w:rsidRPr="0079135E">
              <w:rPr>
                <w:rFonts w:ascii="Arial" w:hAnsi="Arial" w:cs="Arial"/>
                <w:b/>
                <w:bCs/>
                <w:sz w:val="18"/>
                <w:szCs w:val="18"/>
              </w:rPr>
              <w:t xml:space="preserve"> 4.650 </w:t>
            </w:r>
          </w:p>
        </w:tc>
        <w:tc>
          <w:tcPr>
            <w:tcW w:w="1028" w:type="dxa"/>
            <w:tcBorders>
              <w:top w:val="single" w:sz="4" w:space="0" w:color="auto"/>
              <w:left w:val="nil"/>
              <w:bottom w:val="single" w:sz="12" w:space="0" w:color="auto"/>
              <w:right w:val="nil"/>
            </w:tcBorders>
            <w:shd w:val="clear" w:color="auto" w:fill="auto"/>
            <w:vAlign w:val="bottom"/>
          </w:tcPr>
          <w:p w14:paraId="656A4123" w14:textId="45374429" w:rsidR="0079135E" w:rsidRPr="0079135E" w:rsidRDefault="0079135E" w:rsidP="0079135E">
            <w:pPr>
              <w:suppressAutoHyphens/>
              <w:autoSpaceDN w:val="0"/>
              <w:jc w:val="right"/>
              <w:rPr>
                <w:rFonts w:ascii="Arial" w:eastAsia="Times New Roman" w:hAnsi="Arial" w:cs="Arial"/>
                <w:b/>
                <w:bCs/>
                <w:sz w:val="18"/>
                <w:szCs w:val="18"/>
              </w:rPr>
            </w:pPr>
            <w:r w:rsidRPr="0079135E">
              <w:rPr>
                <w:rFonts w:ascii="Arial" w:hAnsi="Arial" w:cs="Arial"/>
                <w:b/>
                <w:bCs/>
                <w:sz w:val="18"/>
                <w:szCs w:val="18"/>
              </w:rPr>
              <w:t xml:space="preserve"> 35 </w:t>
            </w:r>
          </w:p>
        </w:tc>
        <w:tc>
          <w:tcPr>
            <w:tcW w:w="1100" w:type="dxa"/>
            <w:tcBorders>
              <w:top w:val="single" w:sz="4" w:space="0" w:color="auto"/>
              <w:left w:val="nil"/>
              <w:bottom w:val="single" w:sz="12" w:space="0" w:color="auto"/>
              <w:right w:val="nil"/>
            </w:tcBorders>
            <w:shd w:val="clear" w:color="auto" w:fill="auto"/>
            <w:vAlign w:val="bottom"/>
          </w:tcPr>
          <w:p w14:paraId="3851CF54" w14:textId="743EACD0" w:rsidR="0079135E" w:rsidRPr="0079135E" w:rsidRDefault="0079135E" w:rsidP="0079135E">
            <w:pPr>
              <w:suppressAutoHyphens/>
              <w:autoSpaceDN w:val="0"/>
              <w:jc w:val="right"/>
              <w:rPr>
                <w:rFonts w:ascii="Arial" w:eastAsia="Times New Roman" w:hAnsi="Arial" w:cs="Arial"/>
                <w:b/>
                <w:bCs/>
                <w:sz w:val="18"/>
                <w:szCs w:val="18"/>
              </w:rPr>
            </w:pPr>
            <w:r w:rsidRPr="0079135E">
              <w:rPr>
                <w:rFonts w:ascii="Arial" w:hAnsi="Arial" w:cs="Arial"/>
                <w:b/>
                <w:bCs/>
                <w:sz w:val="18"/>
                <w:szCs w:val="18"/>
              </w:rPr>
              <w:t xml:space="preserve"> 4.717 </w:t>
            </w:r>
          </w:p>
        </w:tc>
      </w:tr>
    </w:tbl>
    <w:p w14:paraId="4A9639C1" w14:textId="7DE88F00"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p>
    <w:p w14:paraId="5DC2F958" w14:textId="77777777" w:rsidR="00A269B5" w:rsidRDefault="00A269B5" w:rsidP="00A269B5">
      <w:pPr>
        <w:keepNext/>
        <w:suppressAutoHyphens/>
        <w:autoSpaceDN w:val="0"/>
        <w:jc w:val="both"/>
        <w:rPr>
          <w:rFonts w:ascii="Arial" w:eastAsia="Times New Roman" w:hAnsi="Arial" w:cs="Arial"/>
          <w:b/>
          <w:bCs/>
          <w:color w:val="000000" w:themeColor="text1"/>
          <w:sz w:val="20"/>
          <w:szCs w:val="20"/>
        </w:rPr>
      </w:pPr>
    </w:p>
    <w:p w14:paraId="3FBCDBC6" w14:textId="77777777" w:rsidR="00C927D9" w:rsidRPr="003D1614" w:rsidRDefault="00C927D9" w:rsidP="00A269B5">
      <w:pPr>
        <w:keepNext/>
        <w:suppressAutoHyphens/>
        <w:autoSpaceDN w:val="0"/>
        <w:jc w:val="both"/>
        <w:rPr>
          <w:rFonts w:ascii="Arial" w:eastAsia="Times New Roman" w:hAnsi="Arial" w:cs="Arial"/>
          <w:b/>
          <w:bCs/>
          <w:color w:val="000000" w:themeColor="text1"/>
          <w:sz w:val="20"/>
          <w:szCs w:val="20"/>
        </w:rPr>
      </w:pPr>
    </w:p>
    <w:tbl>
      <w:tblPr>
        <w:tblW w:w="9380" w:type="dxa"/>
        <w:tblInd w:w="-180" w:type="dxa"/>
        <w:tblLook w:val="04A0" w:firstRow="1" w:lastRow="0" w:firstColumn="1" w:lastColumn="0" w:noHBand="0" w:noVBand="1"/>
      </w:tblPr>
      <w:tblGrid>
        <w:gridCol w:w="4159"/>
        <w:gridCol w:w="1031"/>
        <w:gridCol w:w="1031"/>
        <w:gridCol w:w="1031"/>
        <w:gridCol w:w="1028"/>
        <w:gridCol w:w="1100"/>
      </w:tblGrid>
      <w:tr w:rsidR="00C927D9" w:rsidRPr="001B015B" w14:paraId="5A95A7E5" w14:textId="77777777" w:rsidTr="0034622E">
        <w:trPr>
          <w:trHeight w:val="203"/>
        </w:trPr>
        <w:tc>
          <w:tcPr>
            <w:tcW w:w="4159" w:type="dxa"/>
            <w:tcBorders>
              <w:top w:val="nil"/>
              <w:left w:val="nil"/>
              <w:bottom w:val="nil"/>
              <w:right w:val="nil"/>
            </w:tcBorders>
            <w:shd w:val="clear" w:color="auto" w:fill="auto"/>
            <w:vAlign w:val="center"/>
          </w:tcPr>
          <w:p w14:paraId="6E77F5D9" w14:textId="77777777" w:rsidR="00C927D9" w:rsidRPr="001B015B" w:rsidRDefault="00C927D9" w:rsidP="0034622E">
            <w:pPr>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 xml:space="preserve">Grupa </w:t>
            </w:r>
          </w:p>
        </w:tc>
        <w:tc>
          <w:tcPr>
            <w:tcW w:w="1031" w:type="dxa"/>
            <w:tcBorders>
              <w:top w:val="nil"/>
              <w:left w:val="nil"/>
              <w:bottom w:val="nil"/>
              <w:right w:val="nil"/>
            </w:tcBorders>
            <w:shd w:val="clear" w:color="auto" w:fill="auto"/>
            <w:vAlign w:val="center"/>
          </w:tcPr>
          <w:p w14:paraId="0B1F7D32" w14:textId="77777777" w:rsidR="00C927D9" w:rsidRPr="001B015B" w:rsidRDefault="00C927D9" w:rsidP="0034622E">
            <w:pPr>
              <w:jc w:val="right"/>
              <w:rPr>
                <w:rFonts w:ascii="Arial" w:eastAsia="Calibri" w:hAnsi="Arial" w:cs="Arial"/>
                <w:b/>
                <w:bCs/>
                <w:color w:val="000000" w:themeColor="text1"/>
                <w:sz w:val="18"/>
                <w:szCs w:val="18"/>
              </w:rPr>
            </w:pPr>
          </w:p>
        </w:tc>
        <w:tc>
          <w:tcPr>
            <w:tcW w:w="1031" w:type="dxa"/>
            <w:tcBorders>
              <w:top w:val="nil"/>
              <w:left w:val="nil"/>
              <w:bottom w:val="nil"/>
              <w:right w:val="nil"/>
            </w:tcBorders>
            <w:shd w:val="clear" w:color="auto" w:fill="auto"/>
            <w:vAlign w:val="center"/>
          </w:tcPr>
          <w:p w14:paraId="5212A847" w14:textId="77777777" w:rsidR="00C927D9" w:rsidRPr="001B015B" w:rsidRDefault="00C927D9" w:rsidP="0034622E">
            <w:pPr>
              <w:jc w:val="right"/>
              <w:rPr>
                <w:rFonts w:ascii="Arial" w:eastAsia="Calibri" w:hAnsi="Arial" w:cs="Arial"/>
                <w:b/>
                <w:bCs/>
                <w:color w:val="000000" w:themeColor="text1"/>
                <w:sz w:val="18"/>
                <w:szCs w:val="18"/>
              </w:rPr>
            </w:pPr>
          </w:p>
        </w:tc>
        <w:tc>
          <w:tcPr>
            <w:tcW w:w="1031" w:type="dxa"/>
            <w:tcBorders>
              <w:top w:val="nil"/>
              <w:left w:val="nil"/>
              <w:bottom w:val="nil"/>
              <w:right w:val="nil"/>
            </w:tcBorders>
            <w:shd w:val="clear" w:color="auto" w:fill="auto"/>
            <w:vAlign w:val="center"/>
          </w:tcPr>
          <w:p w14:paraId="30CE7FB7" w14:textId="77777777" w:rsidR="00C927D9" w:rsidRPr="001B015B" w:rsidRDefault="00C927D9" w:rsidP="0034622E">
            <w:pPr>
              <w:jc w:val="right"/>
              <w:rPr>
                <w:rFonts w:ascii="Arial" w:eastAsia="Calibri" w:hAnsi="Arial" w:cs="Arial"/>
                <w:b/>
                <w:bCs/>
                <w:color w:val="000000" w:themeColor="text1"/>
                <w:sz w:val="18"/>
                <w:szCs w:val="18"/>
              </w:rPr>
            </w:pPr>
          </w:p>
        </w:tc>
        <w:tc>
          <w:tcPr>
            <w:tcW w:w="1028" w:type="dxa"/>
            <w:tcBorders>
              <w:top w:val="nil"/>
              <w:left w:val="nil"/>
              <w:bottom w:val="nil"/>
              <w:right w:val="nil"/>
            </w:tcBorders>
            <w:shd w:val="clear" w:color="auto" w:fill="auto"/>
            <w:vAlign w:val="center"/>
          </w:tcPr>
          <w:p w14:paraId="7D0653BD" w14:textId="77777777" w:rsidR="00C927D9" w:rsidRPr="001B015B" w:rsidRDefault="00C927D9" w:rsidP="0034622E">
            <w:pPr>
              <w:jc w:val="right"/>
              <w:rPr>
                <w:rFonts w:ascii="Arial" w:eastAsia="Calibri" w:hAnsi="Arial" w:cs="Arial"/>
                <w:b/>
                <w:bCs/>
                <w:color w:val="000000" w:themeColor="text1"/>
                <w:sz w:val="18"/>
                <w:szCs w:val="18"/>
              </w:rPr>
            </w:pPr>
          </w:p>
        </w:tc>
        <w:tc>
          <w:tcPr>
            <w:tcW w:w="1100" w:type="dxa"/>
            <w:tcBorders>
              <w:top w:val="nil"/>
              <w:left w:val="nil"/>
              <w:bottom w:val="nil"/>
              <w:right w:val="nil"/>
            </w:tcBorders>
            <w:shd w:val="clear" w:color="auto" w:fill="auto"/>
            <w:vAlign w:val="center"/>
          </w:tcPr>
          <w:p w14:paraId="76C765B4" w14:textId="77777777" w:rsidR="00C927D9" w:rsidRPr="001B015B" w:rsidRDefault="00C927D9" w:rsidP="0034622E">
            <w:pPr>
              <w:jc w:val="right"/>
              <w:rPr>
                <w:rFonts w:ascii="Arial" w:eastAsia="Calibri" w:hAnsi="Arial" w:cs="Arial"/>
                <w:b/>
                <w:bCs/>
                <w:color w:val="000000" w:themeColor="text1"/>
                <w:sz w:val="18"/>
                <w:szCs w:val="18"/>
              </w:rPr>
            </w:pPr>
          </w:p>
        </w:tc>
      </w:tr>
      <w:tr w:rsidR="00C927D9" w:rsidRPr="001B015B" w14:paraId="08BC82CD" w14:textId="77777777" w:rsidTr="0034622E">
        <w:trPr>
          <w:trHeight w:val="203"/>
        </w:trPr>
        <w:tc>
          <w:tcPr>
            <w:tcW w:w="4159" w:type="dxa"/>
            <w:tcBorders>
              <w:top w:val="nil"/>
              <w:left w:val="nil"/>
              <w:bottom w:val="nil"/>
              <w:right w:val="nil"/>
            </w:tcBorders>
            <w:shd w:val="clear" w:color="auto" w:fill="auto"/>
            <w:vAlign w:val="center"/>
            <w:hideMark/>
          </w:tcPr>
          <w:p w14:paraId="3A56DF9F" w14:textId="77777777" w:rsidR="00C927D9" w:rsidRPr="001B015B" w:rsidRDefault="00C927D9" w:rsidP="0034622E">
            <w:pPr>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31. prosinca 202</w:t>
            </w:r>
            <w:r>
              <w:rPr>
                <w:rFonts w:ascii="Arial" w:eastAsia="Calibri" w:hAnsi="Arial" w:cs="Arial"/>
                <w:b/>
                <w:bCs/>
                <w:color w:val="000000" w:themeColor="text1"/>
                <w:sz w:val="18"/>
                <w:szCs w:val="18"/>
              </w:rPr>
              <w:t>3</w:t>
            </w:r>
            <w:r w:rsidRPr="001B015B">
              <w:rPr>
                <w:rFonts w:ascii="Arial" w:eastAsia="Calibri" w:hAnsi="Arial" w:cs="Arial"/>
                <w:b/>
                <w:bCs/>
                <w:color w:val="000000" w:themeColor="text1"/>
                <w:sz w:val="18"/>
                <w:szCs w:val="18"/>
              </w:rPr>
              <w:t>.</w:t>
            </w:r>
          </w:p>
        </w:tc>
        <w:tc>
          <w:tcPr>
            <w:tcW w:w="1031" w:type="dxa"/>
            <w:tcBorders>
              <w:top w:val="nil"/>
              <w:left w:val="nil"/>
              <w:bottom w:val="nil"/>
              <w:right w:val="nil"/>
            </w:tcBorders>
            <w:shd w:val="clear" w:color="auto" w:fill="auto"/>
            <w:vAlign w:val="center"/>
            <w:hideMark/>
          </w:tcPr>
          <w:p w14:paraId="31CDB207" w14:textId="77777777" w:rsidR="00C927D9" w:rsidRPr="001B015B" w:rsidRDefault="00C927D9" w:rsidP="0034622E">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Stupanj 1</w:t>
            </w:r>
          </w:p>
        </w:tc>
        <w:tc>
          <w:tcPr>
            <w:tcW w:w="1031" w:type="dxa"/>
            <w:tcBorders>
              <w:top w:val="nil"/>
              <w:left w:val="nil"/>
              <w:bottom w:val="nil"/>
              <w:right w:val="nil"/>
            </w:tcBorders>
            <w:shd w:val="clear" w:color="auto" w:fill="auto"/>
            <w:vAlign w:val="center"/>
            <w:hideMark/>
          </w:tcPr>
          <w:p w14:paraId="3B337329" w14:textId="77777777" w:rsidR="00C927D9" w:rsidRPr="001B015B" w:rsidRDefault="00C927D9" w:rsidP="0034622E">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Stupanj 2</w:t>
            </w:r>
          </w:p>
        </w:tc>
        <w:tc>
          <w:tcPr>
            <w:tcW w:w="1031" w:type="dxa"/>
            <w:tcBorders>
              <w:top w:val="nil"/>
              <w:left w:val="nil"/>
              <w:bottom w:val="nil"/>
              <w:right w:val="nil"/>
            </w:tcBorders>
            <w:shd w:val="clear" w:color="auto" w:fill="auto"/>
            <w:vAlign w:val="center"/>
            <w:hideMark/>
          </w:tcPr>
          <w:p w14:paraId="3FD5C3B6" w14:textId="77777777" w:rsidR="00C927D9" w:rsidRPr="001B015B" w:rsidRDefault="00C927D9" w:rsidP="0034622E">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Stupanj 3</w:t>
            </w:r>
          </w:p>
        </w:tc>
        <w:tc>
          <w:tcPr>
            <w:tcW w:w="1028" w:type="dxa"/>
            <w:tcBorders>
              <w:top w:val="nil"/>
              <w:left w:val="nil"/>
              <w:bottom w:val="nil"/>
              <w:right w:val="nil"/>
            </w:tcBorders>
            <w:shd w:val="clear" w:color="auto" w:fill="auto"/>
            <w:vAlign w:val="center"/>
            <w:hideMark/>
          </w:tcPr>
          <w:p w14:paraId="06C1F277" w14:textId="77777777" w:rsidR="00C927D9" w:rsidRPr="001B015B" w:rsidRDefault="00C927D9" w:rsidP="0034622E">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POCI</w:t>
            </w:r>
          </w:p>
        </w:tc>
        <w:tc>
          <w:tcPr>
            <w:tcW w:w="1100" w:type="dxa"/>
            <w:tcBorders>
              <w:top w:val="nil"/>
              <w:left w:val="nil"/>
              <w:bottom w:val="nil"/>
              <w:right w:val="nil"/>
            </w:tcBorders>
            <w:shd w:val="clear" w:color="auto" w:fill="auto"/>
            <w:vAlign w:val="center"/>
            <w:hideMark/>
          </w:tcPr>
          <w:p w14:paraId="597F6E6F" w14:textId="77777777" w:rsidR="00C927D9" w:rsidRPr="001B015B" w:rsidRDefault="00C927D9" w:rsidP="0034622E">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Ukupno</w:t>
            </w:r>
          </w:p>
        </w:tc>
      </w:tr>
      <w:tr w:rsidR="00C927D9" w:rsidRPr="001B015B" w14:paraId="25D11630" w14:textId="77777777" w:rsidTr="0034622E">
        <w:trPr>
          <w:trHeight w:val="203"/>
        </w:trPr>
        <w:tc>
          <w:tcPr>
            <w:tcW w:w="4159" w:type="dxa"/>
            <w:tcBorders>
              <w:top w:val="nil"/>
              <w:left w:val="nil"/>
              <w:bottom w:val="nil"/>
              <w:right w:val="nil"/>
            </w:tcBorders>
            <w:shd w:val="clear" w:color="auto" w:fill="auto"/>
            <w:vAlign w:val="center"/>
            <w:hideMark/>
          </w:tcPr>
          <w:p w14:paraId="42F2AA38" w14:textId="77777777" w:rsidR="00C927D9" w:rsidRPr="001B015B" w:rsidRDefault="00C927D9" w:rsidP="0034622E">
            <w:pPr>
              <w:jc w:val="right"/>
              <w:rPr>
                <w:rFonts w:ascii="Arial" w:eastAsia="Calibri" w:hAnsi="Arial" w:cs="Arial"/>
                <w:b/>
                <w:bCs/>
                <w:color w:val="000000" w:themeColor="text1"/>
                <w:sz w:val="18"/>
                <w:szCs w:val="18"/>
              </w:rPr>
            </w:pPr>
          </w:p>
        </w:tc>
        <w:tc>
          <w:tcPr>
            <w:tcW w:w="1031" w:type="dxa"/>
            <w:tcBorders>
              <w:top w:val="nil"/>
              <w:left w:val="nil"/>
              <w:bottom w:val="nil"/>
              <w:right w:val="nil"/>
            </w:tcBorders>
            <w:shd w:val="clear" w:color="auto" w:fill="auto"/>
            <w:vAlign w:val="bottom"/>
            <w:hideMark/>
          </w:tcPr>
          <w:p w14:paraId="72790593" w14:textId="77777777" w:rsidR="00C927D9" w:rsidRPr="001B015B" w:rsidRDefault="00C927D9" w:rsidP="0034622E">
            <w:pPr>
              <w:jc w:val="right"/>
              <w:rPr>
                <w:rFonts w:ascii="Arial" w:eastAsia="Calibri" w:hAnsi="Arial" w:cs="Arial"/>
                <w:b/>
                <w:bCs/>
                <w:color w:val="000000" w:themeColor="text1"/>
                <w:sz w:val="18"/>
                <w:szCs w:val="18"/>
              </w:rPr>
            </w:pPr>
            <w:r w:rsidRPr="006539F7">
              <w:rPr>
                <w:rFonts w:ascii="Arial" w:eastAsia="Calibri" w:hAnsi="Arial" w:cs="Arial"/>
                <w:b/>
                <w:bCs/>
                <w:color w:val="000000" w:themeColor="text1"/>
                <w:sz w:val="18"/>
                <w:szCs w:val="18"/>
              </w:rPr>
              <w:t>000 eura</w:t>
            </w:r>
          </w:p>
        </w:tc>
        <w:tc>
          <w:tcPr>
            <w:tcW w:w="1031" w:type="dxa"/>
            <w:tcBorders>
              <w:top w:val="nil"/>
              <w:left w:val="nil"/>
              <w:bottom w:val="nil"/>
              <w:right w:val="nil"/>
            </w:tcBorders>
            <w:shd w:val="clear" w:color="auto" w:fill="auto"/>
            <w:vAlign w:val="bottom"/>
            <w:hideMark/>
          </w:tcPr>
          <w:p w14:paraId="27D7D370" w14:textId="77777777" w:rsidR="00C927D9" w:rsidRPr="001B015B" w:rsidRDefault="00C927D9" w:rsidP="0034622E">
            <w:pPr>
              <w:jc w:val="right"/>
              <w:rPr>
                <w:rFonts w:ascii="Arial" w:eastAsia="Calibri" w:hAnsi="Arial" w:cs="Arial"/>
                <w:b/>
                <w:bCs/>
                <w:color w:val="000000" w:themeColor="text1"/>
                <w:sz w:val="18"/>
                <w:szCs w:val="18"/>
              </w:rPr>
            </w:pPr>
            <w:r w:rsidRPr="006539F7">
              <w:rPr>
                <w:rFonts w:ascii="Arial" w:eastAsia="Calibri" w:hAnsi="Arial" w:cs="Arial"/>
                <w:b/>
                <w:bCs/>
                <w:color w:val="000000" w:themeColor="text1"/>
                <w:sz w:val="18"/>
                <w:szCs w:val="18"/>
              </w:rPr>
              <w:t>000 eura</w:t>
            </w:r>
          </w:p>
        </w:tc>
        <w:tc>
          <w:tcPr>
            <w:tcW w:w="1031" w:type="dxa"/>
            <w:tcBorders>
              <w:top w:val="nil"/>
              <w:left w:val="nil"/>
              <w:bottom w:val="nil"/>
              <w:right w:val="nil"/>
            </w:tcBorders>
            <w:shd w:val="clear" w:color="auto" w:fill="auto"/>
            <w:vAlign w:val="bottom"/>
            <w:hideMark/>
          </w:tcPr>
          <w:p w14:paraId="1DD72D0E" w14:textId="77777777" w:rsidR="00C927D9" w:rsidRPr="001B015B" w:rsidRDefault="00C927D9" w:rsidP="0034622E">
            <w:pPr>
              <w:jc w:val="right"/>
              <w:rPr>
                <w:rFonts w:ascii="Arial" w:eastAsia="Calibri" w:hAnsi="Arial" w:cs="Arial"/>
                <w:b/>
                <w:bCs/>
                <w:color w:val="000000" w:themeColor="text1"/>
                <w:sz w:val="18"/>
                <w:szCs w:val="18"/>
              </w:rPr>
            </w:pPr>
            <w:r w:rsidRPr="006539F7">
              <w:rPr>
                <w:rFonts w:ascii="Arial" w:eastAsia="Calibri" w:hAnsi="Arial" w:cs="Arial"/>
                <w:b/>
                <w:bCs/>
                <w:color w:val="000000" w:themeColor="text1"/>
                <w:sz w:val="18"/>
                <w:szCs w:val="18"/>
              </w:rPr>
              <w:t>000 eura</w:t>
            </w:r>
          </w:p>
        </w:tc>
        <w:tc>
          <w:tcPr>
            <w:tcW w:w="1028" w:type="dxa"/>
            <w:tcBorders>
              <w:top w:val="nil"/>
              <w:left w:val="nil"/>
              <w:bottom w:val="nil"/>
              <w:right w:val="nil"/>
            </w:tcBorders>
            <w:shd w:val="clear" w:color="auto" w:fill="auto"/>
            <w:vAlign w:val="bottom"/>
            <w:hideMark/>
          </w:tcPr>
          <w:p w14:paraId="62E842DB" w14:textId="77777777" w:rsidR="00C927D9" w:rsidRPr="001B015B" w:rsidRDefault="00C927D9" w:rsidP="0034622E">
            <w:pPr>
              <w:jc w:val="right"/>
              <w:rPr>
                <w:rFonts w:ascii="Arial" w:eastAsia="Calibri" w:hAnsi="Arial" w:cs="Arial"/>
                <w:b/>
                <w:bCs/>
                <w:color w:val="000000" w:themeColor="text1"/>
                <w:sz w:val="18"/>
                <w:szCs w:val="18"/>
              </w:rPr>
            </w:pPr>
            <w:r w:rsidRPr="006539F7">
              <w:rPr>
                <w:rFonts w:ascii="Arial" w:eastAsia="Calibri" w:hAnsi="Arial" w:cs="Arial"/>
                <w:b/>
                <w:bCs/>
                <w:color w:val="000000" w:themeColor="text1"/>
                <w:sz w:val="18"/>
                <w:szCs w:val="18"/>
              </w:rPr>
              <w:t>000 eura</w:t>
            </w:r>
          </w:p>
        </w:tc>
        <w:tc>
          <w:tcPr>
            <w:tcW w:w="1100" w:type="dxa"/>
            <w:tcBorders>
              <w:top w:val="nil"/>
              <w:left w:val="nil"/>
              <w:bottom w:val="nil"/>
              <w:right w:val="nil"/>
            </w:tcBorders>
            <w:shd w:val="clear" w:color="auto" w:fill="auto"/>
            <w:vAlign w:val="bottom"/>
            <w:hideMark/>
          </w:tcPr>
          <w:p w14:paraId="0359C46C" w14:textId="77777777" w:rsidR="00C927D9" w:rsidRPr="001B015B" w:rsidRDefault="00C927D9" w:rsidP="0034622E">
            <w:pPr>
              <w:jc w:val="right"/>
              <w:rPr>
                <w:rFonts w:ascii="Arial" w:eastAsia="Calibri" w:hAnsi="Arial" w:cs="Arial"/>
                <w:b/>
                <w:bCs/>
                <w:color w:val="000000" w:themeColor="text1"/>
                <w:sz w:val="18"/>
                <w:szCs w:val="18"/>
              </w:rPr>
            </w:pPr>
            <w:r w:rsidRPr="006539F7">
              <w:rPr>
                <w:rFonts w:ascii="Arial" w:eastAsia="Calibri" w:hAnsi="Arial" w:cs="Arial"/>
                <w:b/>
                <w:bCs/>
                <w:color w:val="000000" w:themeColor="text1"/>
                <w:sz w:val="18"/>
                <w:szCs w:val="18"/>
              </w:rPr>
              <w:t>000 eura</w:t>
            </w:r>
          </w:p>
        </w:tc>
      </w:tr>
      <w:tr w:rsidR="00C927D9" w:rsidRPr="001B015B" w14:paraId="6DAB79DF" w14:textId="77777777" w:rsidTr="0034622E">
        <w:trPr>
          <w:trHeight w:val="203"/>
        </w:trPr>
        <w:tc>
          <w:tcPr>
            <w:tcW w:w="4159" w:type="dxa"/>
            <w:tcBorders>
              <w:top w:val="nil"/>
              <w:left w:val="nil"/>
              <w:bottom w:val="nil"/>
              <w:right w:val="nil"/>
            </w:tcBorders>
            <w:shd w:val="clear" w:color="auto" w:fill="auto"/>
            <w:vAlign w:val="center"/>
          </w:tcPr>
          <w:p w14:paraId="614CF6B1" w14:textId="77777777" w:rsidR="00C927D9" w:rsidRPr="001B015B" w:rsidRDefault="00C927D9" w:rsidP="0034622E">
            <w:pPr>
              <w:jc w:val="right"/>
              <w:rPr>
                <w:rFonts w:ascii="Arial" w:eastAsia="Calibri" w:hAnsi="Arial" w:cs="Arial"/>
                <w:b/>
                <w:bCs/>
                <w:color w:val="000000" w:themeColor="text1"/>
                <w:sz w:val="18"/>
                <w:szCs w:val="18"/>
              </w:rPr>
            </w:pPr>
          </w:p>
        </w:tc>
        <w:tc>
          <w:tcPr>
            <w:tcW w:w="1031" w:type="dxa"/>
            <w:tcBorders>
              <w:top w:val="nil"/>
              <w:left w:val="nil"/>
              <w:bottom w:val="nil"/>
              <w:right w:val="nil"/>
            </w:tcBorders>
            <w:shd w:val="clear" w:color="auto" w:fill="auto"/>
            <w:vAlign w:val="center"/>
          </w:tcPr>
          <w:p w14:paraId="60A0DA89" w14:textId="77777777" w:rsidR="00C927D9" w:rsidRPr="001B015B" w:rsidRDefault="00C927D9" w:rsidP="0034622E">
            <w:pPr>
              <w:jc w:val="right"/>
              <w:rPr>
                <w:rFonts w:ascii="Arial" w:eastAsia="Calibri" w:hAnsi="Arial" w:cs="Arial"/>
                <w:b/>
                <w:bCs/>
                <w:color w:val="000000" w:themeColor="text1"/>
                <w:sz w:val="18"/>
                <w:szCs w:val="18"/>
              </w:rPr>
            </w:pPr>
          </w:p>
        </w:tc>
        <w:tc>
          <w:tcPr>
            <w:tcW w:w="1031" w:type="dxa"/>
            <w:tcBorders>
              <w:top w:val="nil"/>
              <w:left w:val="nil"/>
              <w:bottom w:val="nil"/>
              <w:right w:val="nil"/>
            </w:tcBorders>
            <w:shd w:val="clear" w:color="auto" w:fill="auto"/>
            <w:vAlign w:val="center"/>
          </w:tcPr>
          <w:p w14:paraId="15ECABBD" w14:textId="77777777" w:rsidR="00C927D9" w:rsidRPr="001B015B" w:rsidRDefault="00C927D9" w:rsidP="0034622E">
            <w:pPr>
              <w:jc w:val="right"/>
              <w:rPr>
                <w:rFonts w:ascii="Arial" w:eastAsia="Calibri" w:hAnsi="Arial" w:cs="Arial"/>
                <w:b/>
                <w:bCs/>
                <w:color w:val="000000" w:themeColor="text1"/>
                <w:sz w:val="18"/>
                <w:szCs w:val="18"/>
              </w:rPr>
            </w:pPr>
          </w:p>
        </w:tc>
        <w:tc>
          <w:tcPr>
            <w:tcW w:w="1031" w:type="dxa"/>
            <w:tcBorders>
              <w:top w:val="nil"/>
              <w:left w:val="nil"/>
              <w:bottom w:val="nil"/>
              <w:right w:val="nil"/>
            </w:tcBorders>
            <w:shd w:val="clear" w:color="auto" w:fill="auto"/>
            <w:vAlign w:val="center"/>
          </w:tcPr>
          <w:p w14:paraId="33852FB4" w14:textId="77777777" w:rsidR="00C927D9" w:rsidRPr="001B015B" w:rsidRDefault="00C927D9" w:rsidP="0034622E">
            <w:pPr>
              <w:jc w:val="right"/>
              <w:rPr>
                <w:rFonts w:ascii="Arial" w:eastAsia="Calibri" w:hAnsi="Arial" w:cs="Arial"/>
                <w:b/>
                <w:bCs/>
                <w:color w:val="000000" w:themeColor="text1"/>
                <w:sz w:val="18"/>
                <w:szCs w:val="18"/>
              </w:rPr>
            </w:pPr>
          </w:p>
        </w:tc>
        <w:tc>
          <w:tcPr>
            <w:tcW w:w="1028" w:type="dxa"/>
            <w:tcBorders>
              <w:top w:val="nil"/>
              <w:left w:val="nil"/>
              <w:bottom w:val="nil"/>
              <w:right w:val="nil"/>
            </w:tcBorders>
            <w:shd w:val="clear" w:color="auto" w:fill="auto"/>
            <w:vAlign w:val="center"/>
          </w:tcPr>
          <w:p w14:paraId="1783CF28" w14:textId="77777777" w:rsidR="00C927D9" w:rsidRPr="001B015B" w:rsidRDefault="00C927D9" w:rsidP="0034622E">
            <w:pPr>
              <w:jc w:val="right"/>
              <w:rPr>
                <w:rFonts w:ascii="Arial" w:eastAsia="Calibri" w:hAnsi="Arial" w:cs="Arial"/>
                <w:b/>
                <w:bCs/>
                <w:color w:val="000000" w:themeColor="text1"/>
                <w:sz w:val="18"/>
                <w:szCs w:val="18"/>
              </w:rPr>
            </w:pPr>
          </w:p>
        </w:tc>
        <w:tc>
          <w:tcPr>
            <w:tcW w:w="1100" w:type="dxa"/>
            <w:tcBorders>
              <w:top w:val="nil"/>
              <w:left w:val="nil"/>
              <w:bottom w:val="nil"/>
              <w:right w:val="nil"/>
            </w:tcBorders>
            <w:shd w:val="clear" w:color="auto" w:fill="auto"/>
            <w:vAlign w:val="center"/>
          </w:tcPr>
          <w:p w14:paraId="36AEDEF0" w14:textId="77777777" w:rsidR="00C927D9" w:rsidRPr="001B015B" w:rsidRDefault="00C927D9" w:rsidP="0034622E">
            <w:pPr>
              <w:jc w:val="right"/>
              <w:rPr>
                <w:rFonts w:ascii="Arial" w:eastAsia="Calibri" w:hAnsi="Arial" w:cs="Arial"/>
                <w:b/>
                <w:bCs/>
                <w:color w:val="000000" w:themeColor="text1"/>
                <w:sz w:val="18"/>
                <w:szCs w:val="18"/>
              </w:rPr>
            </w:pPr>
          </w:p>
        </w:tc>
      </w:tr>
      <w:tr w:rsidR="00C927D9" w:rsidRPr="001B015B" w14:paraId="098FC510" w14:textId="77777777" w:rsidTr="0034622E">
        <w:trPr>
          <w:trHeight w:val="203"/>
        </w:trPr>
        <w:tc>
          <w:tcPr>
            <w:tcW w:w="4159" w:type="dxa"/>
            <w:tcBorders>
              <w:top w:val="nil"/>
              <w:left w:val="nil"/>
              <w:bottom w:val="nil"/>
              <w:right w:val="nil"/>
            </w:tcBorders>
            <w:shd w:val="clear" w:color="auto" w:fill="auto"/>
            <w:vAlign w:val="center"/>
            <w:hideMark/>
          </w:tcPr>
          <w:p w14:paraId="666F544C" w14:textId="77777777" w:rsidR="00C927D9" w:rsidRPr="001B015B" w:rsidRDefault="00C927D9" w:rsidP="0034622E">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Stanje 1. siječnja 202</w:t>
            </w:r>
            <w:r>
              <w:rPr>
                <w:rFonts w:ascii="Arial" w:eastAsia="Calibri" w:hAnsi="Arial" w:cs="Arial"/>
                <w:color w:val="000000" w:themeColor="text1"/>
                <w:sz w:val="18"/>
                <w:szCs w:val="18"/>
              </w:rPr>
              <w:t>3</w:t>
            </w:r>
            <w:r w:rsidRPr="001B015B">
              <w:rPr>
                <w:rFonts w:ascii="Arial" w:eastAsia="Calibri" w:hAnsi="Arial" w:cs="Arial"/>
                <w:color w:val="000000" w:themeColor="text1"/>
                <w:sz w:val="18"/>
                <w:szCs w:val="18"/>
              </w:rPr>
              <w:t xml:space="preserve">. </w:t>
            </w:r>
          </w:p>
        </w:tc>
        <w:tc>
          <w:tcPr>
            <w:tcW w:w="1031" w:type="dxa"/>
            <w:shd w:val="clear" w:color="auto" w:fill="auto"/>
            <w:vAlign w:val="bottom"/>
          </w:tcPr>
          <w:p w14:paraId="5801E437" w14:textId="77777777" w:rsidR="00C927D9" w:rsidRPr="00593574" w:rsidRDefault="00C927D9" w:rsidP="0034622E">
            <w:pPr>
              <w:jc w:val="right"/>
              <w:rPr>
                <w:rFonts w:ascii="Arial" w:hAnsi="Arial" w:cs="Arial"/>
                <w:sz w:val="18"/>
                <w:szCs w:val="18"/>
              </w:rPr>
            </w:pPr>
            <w:r w:rsidRPr="00F959D0">
              <w:rPr>
                <w:rFonts w:ascii="Arial" w:hAnsi="Arial" w:cs="Arial"/>
                <w:sz w:val="18"/>
                <w:szCs w:val="18"/>
              </w:rPr>
              <w:t xml:space="preserve"> 25 </w:t>
            </w:r>
          </w:p>
        </w:tc>
        <w:tc>
          <w:tcPr>
            <w:tcW w:w="1031" w:type="dxa"/>
            <w:shd w:val="clear" w:color="auto" w:fill="auto"/>
            <w:vAlign w:val="bottom"/>
          </w:tcPr>
          <w:p w14:paraId="5B9CEE71" w14:textId="77777777" w:rsidR="00C927D9" w:rsidRPr="00593574" w:rsidRDefault="00C927D9" w:rsidP="0034622E">
            <w:pPr>
              <w:jc w:val="right"/>
              <w:rPr>
                <w:rFonts w:ascii="Arial" w:hAnsi="Arial" w:cs="Arial"/>
                <w:sz w:val="18"/>
                <w:szCs w:val="18"/>
              </w:rPr>
            </w:pPr>
            <w:r w:rsidRPr="00F959D0">
              <w:rPr>
                <w:rFonts w:ascii="Arial" w:hAnsi="Arial" w:cs="Arial"/>
                <w:sz w:val="18"/>
                <w:szCs w:val="18"/>
              </w:rPr>
              <w:t xml:space="preserve"> - </w:t>
            </w:r>
          </w:p>
        </w:tc>
        <w:tc>
          <w:tcPr>
            <w:tcW w:w="1031" w:type="dxa"/>
            <w:shd w:val="clear" w:color="auto" w:fill="auto"/>
            <w:vAlign w:val="bottom"/>
          </w:tcPr>
          <w:p w14:paraId="2E744470" w14:textId="77777777" w:rsidR="00C927D9" w:rsidRPr="00593574" w:rsidRDefault="00C927D9" w:rsidP="0034622E">
            <w:pPr>
              <w:jc w:val="right"/>
              <w:rPr>
                <w:rFonts w:ascii="Arial" w:hAnsi="Arial" w:cs="Arial"/>
                <w:sz w:val="18"/>
                <w:szCs w:val="18"/>
              </w:rPr>
            </w:pPr>
            <w:r w:rsidRPr="00F959D0">
              <w:rPr>
                <w:rFonts w:ascii="Arial" w:hAnsi="Arial" w:cs="Arial"/>
                <w:sz w:val="18"/>
                <w:szCs w:val="18"/>
              </w:rPr>
              <w:t xml:space="preserve"> 4.631 </w:t>
            </w:r>
          </w:p>
        </w:tc>
        <w:tc>
          <w:tcPr>
            <w:tcW w:w="1028" w:type="dxa"/>
            <w:shd w:val="clear" w:color="auto" w:fill="auto"/>
            <w:vAlign w:val="bottom"/>
          </w:tcPr>
          <w:p w14:paraId="3D7238EE" w14:textId="77777777" w:rsidR="00C927D9" w:rsidRPr="00593574" w:rsidRDefault="00C927D9" w:rsidP="0034622E">
            <w:pPr>
              <w:jc w:val="right"/>
              <w:rPr>
                <w:rFonts w:ascii="Arial" w:hAnsi="Arial" w:cs="Arial"/>
                <w:sz w:val="18"/>
                <w:szCs w:val="18"/>
              </w:rPr>
            </w:pPr>
            <w:r w:rsidRPr="00F959D0">
              <w:rPr>
                <w:rFonts w:ascii="Arial" w:hAnsi="Arial" w:cs="Arial"/>
                <w:sz w:val="18"/>
                <w:szCs w:val="18"/>
              </w:rPr>
              <w:t xml:space="preserve"> 35 </w:t>
            </w:r>
          </w:p>
        </w:tc>
        <w:tc>
          <w:tcPr>
            <w:tcW w:w="1100" w:type="dxa"/>
            <w:shd w:val="clear" w:color="auto" w:fill="auto"/>
            <w:vAlign w:val="bottom"/>
          </w:tcPr>
          <w:p w14:paraId="61FEDDCC" w14:textId="77777777" w:rsidR="00C927D9" w:rsidRPr="005D1219" w:rsidRDefault="00C927D9" w:rsidP="0034622E">
            <w:pPr>
              <w:jc w:val="right"/>
              <w:rPr>
                <w:rFonts w:ascii="Arial" w:hAnsi="Arial" w:cs="Arial"/>
                <w:b/>
                <w:bCs/>
                <w:sz w:val="18"/>
                <w:szCs w:val="18"/>
              </w:rPr>
            </w:pPr>
            <w:r w:rsidRPr="005D1219">
              <w:rPr>
                <w:rFonts w:ascii="Arial" w:hAnsi="Arial" w:cs="Arial"/>
                <w:b/>
                <w:bCs/>
                <w:sz w:val="18"/>
                <w:szCs w:val="18"/>
              </w:rPr>
              <w:t xml:space="preserve"> 4.691 </w:t>
            </w:r>
          </w:p>
        </w:tc>
      </w:tr>
      <w:tr w:rsidR="00C927D9" w:rsidRPr="001B015B" w14:paraId="6A3B3CCE" w14:textId="77777777" w:rsidTr="0034622E">
        <w:trPr>
          <w:trHeight w:val="203"/>
        </w:trPr>
        <w:tc>
          <w:tcPr>
            <w:tcW w:w="4159" w:type="dxa"/>
            <w:shd w:val="clear" w:color="auto" w:fill="auto"/>
          </w:tcPr>
          <w:p w14:paraId="6B87A424" w14:textId="77777777" w:rsidR="00C927D9" w:rsidRPr="001B015B" w:rsidRDefault="00C927D9" w:rsidP="0034622E">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Prijenos u Stupanj 1</w:t>
            </w:r>
          </w:p>
        </w:tc>
        <w:tc>
          <w:tcPr>
            <w:tcW w:w="1031" w:type="dxa"/>
            <w:shd w:val="clear" w:color="auto" w:fill="auto"/>
            <w:vAlign w:val="bottom"/>
          </w:tcPr>
          <w:p w14:paraId="4DB0F529" w14:textId="77777777" w:rsidR="00C927D9" w:rsidRPr="00593574" w:rsidRDefault="00C927D9" w:rsidP="0034622E">
            <w:pPr>
              <w:jc w:val="right"/>
              <w:rPr>
                <w:rFonts w:ascii="Arial" w:hAnsi="Arial" w:cs="Arial"/>
                <w:sz w:val="18"/>
                <w:szCs w:val="18"/>
              </w:rPr>
            </w:pPr>
            <w:r w:rsidRPr="00F959D0">
              <w:rPr>
                <w:rFonts w:ascii="Arial" w:hAnsi="Arial" w:cs="Arial"/>
                <w:sz w:val="18"/>
                <w:szCs w:val="18"/>
              </w:rPr>
              <w:t xml:space="preserve"> - </w:t>
            </w:r>
          </w:p>
        </w:tc>
        <w:tc>
          <w:tcPr>
            <w:tcW w:w="1031" w:type="dxa"/>
            <w:shd w:val="clear" w:color="auto" w:fill="auto"/>
            <w:vAlign w:val="bottom"/>
          </w:tcPr>
          <w:p w14:paraId="18B9F7F2" w14:textId="77777777" w:rsidR="00C927D9" w:rsidRPr="00593574" w:rsidRDefault="00C927D9" w:rsidP="0034622E">
            <w:pPr>
              <w:jc w:val="right"/>
              <w:rPr>
                <w:rFonts w:ascii="Arial" w:hAnsi="Arial" w:cs="Arial"/>
                <w:sz w:val="18"/>
                <w:szCs w:val="18"/>
              </w:rPr>
            </w:pPr>
            <w:r w:rsidRPr="00F959D0">
              <w:rPr>
                <w:rFonts w:ascii="Arial" w:hAnsi="Arial" w:cs="Arial"/>
                <w:sz w:val="18"/>
                <w:szCs w:val="18"/>
              </w:rPr>
              <w:t xml:space="preserve"> - </w:t>
            </w:r>
          </w:p>
        </w:tc>
        <w:tc>
          <w:tcPr>
            <w:tcW w:w="1031" w:type="dxa"/>
            <w:shd w:val="clear" w:color="auto" w:fill="auto"/>
            <w:vAlign w:val="bottom"/>
          </w:tcPr>
          <w:p w14:paraId="3169AE6B" w14:textId="77777777" w:rsidR="00C927D9" w:rsidRPr="00593574" w:rsidRDefault="00C927D9" w:rsidP="0034622E">
            <w:pPr>
              <w:jc w:val="right"/>
              <w:rPr>
                <w:rFonts w:ascii="Arial" w:hAnsi="Arial" w:cs="Arial"/>
                <w:sz w:val="18"/>
                <w:szCs w:val="18"/>
              </w:rPr>
            </w:pPr>
            <w:r w:rsidRPr="00F959D0">
              <w:rPr>
                <w:rFonts w:ascii="Arial" w:hAnsi="Arial" w:cs="Arial"/>
                <w:sz w:val="18"/>
                <w:szCs w:val="18"/>
              </w:rPr>
              <w:t xml:space="preserve"> - </w:t>
            </w:r>
          </w:p>
        </w:tc>
        <w:tc>
          <w:tcPr>
            <w:tcW w:w="1028" w:type="dxa"/>
            <w:shd w:val="clear" w:color="auto" w:fill="auto"/>
            <w:vAlign w:val="bottom"/>
          </w:tcPr>
          <w:p w14:paraId="3E551EDB" w14:textId="77777777" w:rsidR="00C927D9" w:rsidRPr="00593574" w:rsidRDefault="00C927D9" w:rsidP="0034622E">
            <w:pPr>
              <w:jc w:val="right"/>
              <w:rPr>
                <w:rFonts w:ascii="Arial" w:hAnsi="Arial" w:cs="Arial"/>
                <w:sz w:val="18"/>
                <w:szCs w:val="18"/>
              </w:rPr>
            </w:pPr>
            <w:r w:rsidRPr="00F959D0">
              <w:rPr>
                <w:rFonts w:ascii="Arial" w:hAnsi="Arial" w:cs="Arial"/>
                <w:sz w:val="18"/>
                <w:szCs w:val="18"/>
              </w:rPr>
              <w:t xml:space="preserve"> - </w:t>
            </w:r>
          </w:p>
        </w:tc>
        <w:tc>
          <w:tcPr>
            <w:tcW w:w="1100" w:type="dxa"/>
            <w:shd w:val="clear" w:color="auto" w:fill="auto"/>
            <w:vAlign w:val="bottom"/>
          </w:tcPr>
          <w:p w14:paraId="628D852F" w14:textId="77777777" w:rsidR="00C927D9" w:rsidRPr="005D1219" w:rsidRDefault="00C927D9" w:rsidP="0034622E">
            <w:pPr>
              <w:jc w:val="right"/>
              <w:rPr>
                <w:rFonts w:ascii="Arial" w:hAnsi="Arial" w:cs="Arial"/>
                <w:b/>
                <w:bCs/>
                <w:sz w:val="18"/>
                <w:szCs w:val="18"/>
              </w:rPr>
            </w:pPr>
            <w:r w:rsidRPr="005D1219">
              <w:rPr>
                <w:rFonts w:ascii="Arial" w:hAnsi="Arial" w:cs="Arial"/>
                <w:b/>
                <w:bCs/>
                <w:sz w:val="18"/>
                <w:szCs w:val="18"/>
              </w:rPr>
              <w:t xml:space="preserve"> - </w:t>
            </w:r>
          </w:p>
        </w:tc>
      </w:tr>
      <w:tr w:rsidR="00C927D9" w:rsidRPr="001B015B" w14:paraId="45B1CBE5" w14:textId="77777777" w:rsidTr="0034622E">
        <w:trPr>
          <w:trHeight w:val="203"/>
        </w:trPr>
        <w:tc>
          <w:tcPr>
            <w:tcW w:w="4159" w:type="dxa"/>
            <w:shd w:val="clear" w:color="auto" w:fill="auto"/>
          </w:tcPr>
          <w:p w14:paraId="7D9897C7" w14:textId="77777777" w:rsidR="00C927D9" w:rsidRPr="001B015B" w:rsidRDefault="00C927D9" w:rsidP="0034622E">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Prijenos u Stupanj 2</w:t>
            </w:r>
          </w:p>
        </w:tc>
        <w:tc>
          <w:tcPr>
            <w:tcW w:w="1031" w:type="dxa"/>
            <w:shd w:val="clear" w:color="auto" w:fill="auto"/>
            <w:vAlign w:val="bottom"/>
          </w:tcPr>
          <w:p w14:paraId="6203B18A" w14:textId="77777777" w:rsidR="00C927D9" w:rsidRPr="00593574" w:rsidRDefault="00C927D9" w:rsidP="0034622E">
            <w:pPr>
              <w:jc w:val="right"/>
              <w:rPr>
                <w:rFonts w:ascii="Arial" w:hAnsi="Arial" w:cs="Arial"/>
                <w:sz w:val="18"/>
                <w:szCs w:val="18"/>
              </w:rPr>
            </w:pPr>
            <w:r w:rsidRPr="00F959D0">
              <w:rPr>
                <w:rFonts w:ascii="Arial" w:hAnsi="Arial" w:cs="Arial"/>
                <w:sz w:val="18"/>
                <w:szCs w:val="18"/>
              </w:rPr>
              <w:t xml:space="preserve"> - </w:t>
            </w:r>
          </w:p>
        </w:tc>
        <w:tc>
          <w:tcPr>
            <w:tcW w:w="1031" w:type="dxa"/>
            <w:shd w:val="clear" w:color="auto" w:fill="auto"/>
            <w:vAlign w:val="bottom"/>
          </w:tcPr>
          <w:p w14:paraId="42BEEBE6" w14:textId="77777777" w:rsidR="00C927D9" w:rsidRPr="00593574" w:rsidRDefault="00C927D9" w:rsidP="0034622E">
            <w:pPr>
              <w:jc w:val="right"/>
              <w:rPr>
                <w:rFonts w:ascii="Arial" w:hAnsi="Arial" w:cs="Arial"/>
                <w:sz w:val="18"/>
                <w:szCs w:val="18"/>
              </w:rPr>
            </w:pPr>
            <w:r w:rsidRPr="00F959D0">
              <w:rPr>
                <w:rFonts w:ascii="Arial" w:hAnsi="Arial" w:cs="Arial"/>
                <w:sz w:val="18"/>
                <w:szCs w:val="18"/>
              </w:rPr>
              <w:t xml:space="preserve"> - </w:t>
            </w:r>
          </w:p>
        </w:tc>
        <w:tc>
          <w:tcPr>
            <w:tcW w:w="1031" w:type="dxa"/>
            <w:shd w:val="clear" w:color="auto" w:fill="auto"/>
            <w:vAlign w:val="bottom"/>
          </w:tcPr>
          <w:p w14:paraId="316CBE8E" w14:textId="77777777" w:rsidR="00C927D9" w:rsidRPr="00593574" w:rsidRDefault="00C927D9" w:rsidP="0034622E">
            <w:pPr>
              <w:jc w:val="right"/>
              <w:rPr>
                <w:rFonts w:ascii="Arial" w:hAnsi="Arial" w:cs="Arial"/>
                <w:sz w:val="18"/>
                <w:szCs w:val="18"/>
              </w:rPr>
            </w:pPr>
            <w:r w:rsidRPr="00F959D0">
              <w:rPr>
                <w:rFonts w:ascii="Arial" w:hAnsi="Arial" w:cs="Arial"/>
                <w:sz w:val="18"/>
                <w:szCs w:val="18"/>
              </w:rPr>
              <w:t xml:space="preserve"> - </w:t>
            </w:r>
          </w:p>
        </w:tc>
        <w:tc>
          <w:tcPr>
            <w:tcW w:w="1028" w:type="dxa"/>
            <w:shd w:val="clear" w:color="auto" w:fill="auto"/>
            <w:vAlign w:val="bottom"/>
          </w:tcPr>
          <w:p w14:paraId="33D72BEC" w14:textId="77777777" w:rsidR="00C927D9" w:rsidRPr="00593574" w:rsidRDefault="00C927D9" w:rsidP="0034622E">
            <w:pPr>
              <w:jc w:val="right"/>
              <w:rPr>
                <w:rFonts w:ascii="Arial" w:hAnsi="Arial" w:cs="Arial"/>
                <w:sz w:val="18"/>
                <w:szCs w:val="18"/>
              </w:rPr>
            </w:pPr>
            <w:r w:rsidRPr="00F959D0">
              <w:rPr>
                <w:rFonts w:ascii="Arial" w:hAnsi="Arial" w:cs="Arial"/>
                <w:sz w:val="18"/>
                <w:szCs w:val="18"/>
              </w:rPr>
              <w:t xml:space="preserve"> - </w:t>
            </w:r>
          </w:p>
        </w:tc>
        <w:tc>
          <w:tcPr>
            <w:tcW w:w="1100" w:type="dxa"/>
            <w:shd w:val="clear" w:color="auto" w:fill="auto"/>
            <w:vAlign w:val="bottom"/>
          </w:tcPr>
          <w:p w14:paraId="60BCCA82" w14:textId="77777777" w:rsidR="00C927D9" w:rsidRPr="005D1219" w:rsidRDefault="00C927D9" w:rsidP="0034622E">
            <w:pPr>
              <w:jc w:val="right"/>
              <w:rPr>
                <w:rFonts w:ascii="Arial" w:hAnsi="Arial" w:cs="Arial"/>
                <w:b/>
                <w:bCs/>
                <w:sz w:val="18"/>
                <w:szCs w:val="18"/>
              </w:rPr>
            </w:pPr>
            <w:r w:rsidRPr="005D1219">
              <w:rPr>
                <w:rFonts w:ascii="Arial" w:hAnsi="Arial" w:cs="Arial"/>
                <w:b/>
                <w:bCs/>
                <w:sz w:val="18"/>
                <w:szCs w:val="18"/>
              </w:rPr>
              <w:t xml:space="preserve"> - </w:t>
            </w:r>
          </w:p>
        </w:tc>
      </w:tr>
      <w:tr w:rsidR="00C927D9" w:rsidRPr="001B015B" w14:paraId="3420D9D4" w14:textId="77777777" w:rsidTr="0034622E">
        <w:trPr>
          <w:trHeight w:val="203"/>
        </w:trPr>
        <w:tc>
          <w:tcPr>
            <w:tcW w:w="4159" w:type="dxa"/>
            <w:shd w:val="clear" w:color="auto" w:fill="auto"/>
            <w:hideMark/>
          </w:tcPr>
          <w:p w14:paraId="50E7F4E5" w14:textId="77777777" w:rsidR="00C927D9" w:rsidRPr="001B015B" w:rsidRDefault="00C927D9" w:rsidP="0034622E">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Prijenos u Stupanj 3</w:t>
            </w:r>
          </w:p>
        </w:tc>
        <w:tc>
          <w:tcPr>
            <w:tcW w:w="1031" w:type="dxa"/>
            <w:shd w:val="clear" w:color="auto" w:fill="auto"/>
            <w:vAlign w:val="bottom"/>
          </w:tcPr>
          <w:p w14:paraId="6DAAD3D3" w14:textId="77777777" w:rsidR="00C927D9" w:rsidRPr="00593574" w:rsidRDefault="00C927D9" w:rsidP="0034622E">
            <w:pPr>
              <w:jc w:val="right"/>
              <w:rPr>
                <w:rFonts w:ascii="Arial" w:hAnsi="Arial" w:cs="Arial"/>
                <w:sz w:val="18"/>
                <w:szCs w:val="18"/>
              </w:rPr>
            </w:pPr>
            <w:r w:rsidRPr="00F959D0">
              <w:rPr>
                <w:rFonts w:ascii="Arial" w:hAnsi="Arial" w:cs="Arial"/>
                <w:sz w:val="18"/>
                <w:szCs w:val="18"/>
              </w:rPr>
              <w:t xml:space="preserve"> - </w:t>
            </w:r>
          </w:p>
        </w:tc>
        <w:tc>
          <w:tcPr>
            <w:tcW w:w="1031" w:type="dxa"/>
            <w:shd w:val="clear" w:color="auto" w:fill="auto"/>
            <w:vAlign w:val="bottom"/>
          </w:tcPr>
          <w:p w14:paraId="4D8D2F4D" w14:textId="77777777" w:rsidR="00C927D9" w:rsidRPr="00593574" w:rsidRDefault="00C927D9" w:rsidP="0034622E">
            <w:pPr>
              <w:jc w:val="right"/>
              <w:rPr>
                <w:rFonts w:ascii="Arial" w:hAnsi="Arial" w:cs="Arial"/>
                <w:sz w:val="18"/>
                <w:szCs w:val="18"/>
              </w:rPr>
            </w:pPr>
            <w:r w:rsidRPr="00F959D0">
              <w:rPr>
                <w:rFonts w:ascii="Arial" w:hAnsi="Arial" w:cs="Arial"/>
                <w:sz w:val="18"/>
                <w:szCs w:val="18"/>
              </w:rPr>
              <w:t xml:space="preserve"> - </w:t>
            </w:r>
          </w:p>
        </w:tc>
        <w:tc>
          <w:tcPr>
            <w:tcW w:w="1031" w:type="dxa"/>
            <w:shd w:val="clear" w:color="auto" w:fill="auto"/>
            <w:vAlign w:val="bottom"/>
          </w:tcPr>
          <w:p w14:paraId="3C5C7B4F" w14:textId="77777777" w:rsidR="00C927D9" w:rsidRPr="00593574" w:rsidRDefault="00C927D9" w:rsidP="0034622E">
            <w:pPr>
              <w:jc w:val="right"/>
              <w:rPr>
                <w:rFonts w:ascii="Arial" w:hAnsi="Arial" w:cs="Arial"/>
                <w:sz w:val="18"/>
                <w:szCs w:val="18"/>
              </w:rPr>
            </w:pPr>
            <w:r w:rsidRPr="00F959D0">
              <w:rPr>
                <w:rFonts w:ascii="Arial" w:hAnsi="Arial" w:cs="Arial"/>
                <w:sz w:val="18"/>
                <w:szCs w:val="18"/>
              </w:rPr>
              <w:t xml:space="preserve"> - </w:t>
            </w:r>
          </w:p>
        </w:tc>
        <w:tc>
          <w:tcPr>
            <w:tcW w:w="1028" w:type="dxa"/>
            <w:shd w:val="clear" w:color="auto" w:fill="auto"/>
            <w:vAlign w:val="bottom"/>
          </w:tcPr>
          <w:p w14:paraId="42F3537A" w14:textId="77777777" w:rsidR="00C927D9" w:rsidRPr="00593574" w:rsidRDefault="00C927D9" w:rsidP="0034622E">
            <w:pPr>
              <w:jc w:val="right"/>
              <w:rPr>
                <w:rFonts w:ascii="Arial" w:hAnsi="Arial" w:cs="Arial"/>
                <w:sz w:val="18"/>
                <w:szCs w:val="18"/>
              </w:rPr>
            </w:pPr>
            <w:r w:rsidRPr="00F959D0">
              <w:rPr>
                <w:rFonts w:ascii="Arial" w:hAnsi="Arial" w:cs="Arial"/>
                <w:sz w:val="18"/>
                <w:szCs w:val="18"/>
              </w:rPr>
              <w:t xml:space="preserve"> - </w:t>
            </w:r>
          </w:p>
        </w:tc>
        <w:tc>
          <w:tcPr>
            <w:tcW w:w="1100" w:type="dxa"/>
            <w:shd w:val="clear" w:color="auto" w:fill="auto"/>
            <w:vAlign w:val="bottom"/>
          </w:tcPr>
          <w:p w14:paraId="0BD637A1" w14:textId="77777777" w:rsidR="00C927D9" w:rsidRPr="005D1219" w:rsidRDefault="00C927D9" w:rsidP="0034622E">
            <w:pPr>
              <w:jc w:val="right"/>
              <w:rPr>
                <w:rFonts w:ascii="Arial" w:hAnsi="Arial" w:cs="Arial"/>
                <w:b/>
                <w:bCs/>
                <w:sz w:val="18"/>
                <w:szCs w:val="18"/>
              </w:rPr>
            </w:pPr>
            <w:r w:rsidRPr="005D1219">
              <w:rPr>
                <w:rFonts w:ascii="Arial" w:hAnsi="Arial" w:cs="Arial"/>
                <w:b/>
                <w:bCs/>
                <w:sz w:val="18"/>
                <w:szCs w:val="18"/>
              </w:rPr>
              <w:t xml:space="preserve"> - </w:t>
            </w:r>
          </w:p>
        </w:tc>
      </w:tr>
      <w:tr w:rsidR="00C927D9" w:rsidRPr="001B015B" w14:paraId="5C220141" w14:textId="77777777" w:rsidTr="0034622E">
        <w:trPr>
          <w:trHeight w:val="254"/>
        </w:trPr>
        <w:tc>
          <w:tcPr>
            <w:tcW w:w="4159" w:type="dxa"/>
            <w:tcBorders>
              <w:top w:val="nil"/>
              <w:left w:val="nil"/>
              <w:bottom w:val="nil"/>
              <w:right w:val="nil"/>
            </w:tcBorders>
            <w:shd w:val="clear" w:color="auto" w:fill="auto"/>
            <w:vAlign w:val="center"/>
            <w:hideMark/>
          </w:tcPr>
          <w:p w14:paraId="6B5178A6" w14:textId="77777777" w:rsidR="00C927D9" w:rsidRPr="001B015B" w:rsidRDefault="00C927D9" w:rsidP="0034622E">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 xml:space="preserve">Neto </w:t>
            </w:r>
            <w:r w:rsidRPr="00593574">
              <w:rPr>
                <w:rFonts w:ascii="Arial" w:eastAsia="Calibri" w:hAnsi="Arial" w:cs="Arial"/>
                <w:color w:val="000000" w:themeColor="text1"/>
                <w:sz w:val="18"/>
                <w:szCs w:val="18"/>
              </w:rPr>
              <w:t>povećanje</w:t>
            </w:r>
            <w:r>
              <w:rPr>
                <w:rFonts w:ascii="Arial" w:eastAsia="Calibri" w:hAnsi="Arial" w:cs="Arial"/>
                <w:color w:val="000000" w:themeColor="text1"/>
                <w:sz w:val="18"/>
                <w:szCs w:val="18"/>
              </w:rPr>
              <w:t>/(smanjenje)</w:t>
            </w:r>
            <w:r w:rsidRPr="001B015B">
              <w:rPr>
                <w:rFonts w:ascii="Arial" w:eastAsia="Calibri" w:hAnsi="Arial" w:cs="Arial"/>
                <w:color w:val="000000" w:themeColor="text1"/>
                <w:sz w:val="18"/>
                <w:szCs w:val="18"/>
              </w:rPr>
              <w:t xml:space="preserve"> rezerviranja za očekivane gubitke </w:t>
            </w:r>
          </w:p>
        </w:tc>
        <w:tc>
          <w:tcPr>
            <w:tcW w:w="1031" w:type="dxa"/>
            <w:shd w:val="clear" w:color="auto" w:fill="auto"/>
            <w:vAlign w:val="bottom"/>
          </w:tcPr>
          <w:p w14:paraId="2F8E61F4" w14:textId="77777777" w:rsidR="00C927D9" w:rsidRPr="00593574" w:rsidRDefault="00C927D9" w:rsidP="0034622E">
            <w:pPr>
              <w:jc w:val="right"/>
              <w:rPr>
                <w:rFonts w:ascii="Arial" w:hAnsi="Arial" w:cs="Arial"/>
                <w:sz w:val="18"/>
                <w:szCs w:val="18"/>
              </w:rPr>
            </w:pPr>
            <w:r w:rsidRPr="00F959D0">
              <w:rPr>
                <w:rFonts w:ascii="Arial" w:hAnsi="Arial" w:cs="Arial"/>
                <w:sz w:val="18"/>
                <w:szCs w:val="18"/>
              </w:rPr>
              <w:t xml:space="preserve"> 14 </w:t>
            </w:r>
          </w:p>
        </w:tc>
        <w:tc>
          <w:tcPr>
            <w:tcW w:w="1031" w:type="dxa"/>
            <w:shd w:val="clear" w:color="auto" w:fill="auto"/>
            <w:vAlign w:val="bottom"/>
          </w:tcPr>
          <w:p w14:paraId="0450ABFB" w14:textId="77777777" w:rsidR="00C927D9" w:rsidRPr="00593574" w:rsidRDefault="00C927D9" w:rsidP="0034622E">
            <w:pPr>
              <w:jc w:val="right"/>
              <w:rPr>
                <w:rFonts w:ascii="Arial" w:hAnsi="Arial" w:cs="Arial"/>
                <w:sz w:val="18"/>
                <w:szCs w:val="18"/>
              </w:rPr>
            </w:pPr>
            <w:r w:rsidRPr="00F959D0">
              <w:rPr>
                <w:rFonts w:ascii="Arial" w:hAnsi="Arial" w:cs="Arial"/>
                <w:sz w:val="18"/>
                <w:szCs w:val="18"/>
              </w:rPr>
              <w:t xml:space="preserve"> 1 </w:t>
            </w:r>
          </w:p>
        </w:tc>
        <w:tc>
          <w:tcPr>
            <w:tcW w:w="1031" w:type="dxa"/>
            <w:shd w:val="clear" w:color="auto" w:fill="auto"/>
            <w:vAlign w:val="bottom"/>
          </w:tcPr>
          <w:p w14:paraId="25E26399" w14:textId="77777777" w:rsidR="00C927D9" w:rsidRPr="00593574" w:rsidRDefault="00C927D9" w:rsidP="0034622E">
            <w:pPr>
              <w:jc w:val="right"/>
              <w:rPr>
                <w:rFonts w:ascii="Arial" w:hAnsi="Arial" w:cs="Arial"/>
                <w:sz w:val="18"/>
                <w:szCs w:val="18"/>
              </w:rPr>
            </w:pPr>
            <w:r w:rsidRPr="00F959D0">
              <w:rPr>
                <w:rFonts w:ascii="Arial" w:hAnsi="Arial" w:cs="Arial"/>
                <w:sz w:val="18"/>
                <w:szCs w:val="18"/>
              </w:rPr>
              <w:t xml:space="preserve"> (206)</w:t>
            </w:r>
          </w:p>
        </w:tc>
        <w:tc>
          <w:tcPr>
            <w:tcW w:w="1028" w:type="dxa"/>
            <w:shd w:val="clear" w:color="auto" w:fill="auto"/>
            <w:vAlign w:val="bottom"/>
          </w:tcPr>
          <w:p w14:paraId="7913ACE2" w14:textId="77777777" w:rsidR="00C927D9" w:rsidRPr="00593574" w:rsidRDefault="00C927D9" w:rsidP="0034622E">
            <w:pPr>
              <w:jc w:val="right"/>
              <w:rPr>
                <w:rFonts w:ascii="Arial" w:hAnsi="Arial" w:cs="Arial"/>
                <w:sz w:val="18"/>
                <w:szCs w:val="18"/>
              </w:rPr>
            </w:pPr>
            <w:r w:rsidRPr="00F959D0">
              <w:rPr>
                <w:rFonts w:ascii="Arial" w:hAnsi="Arial" w:cs="Arial"/>
                <w:sz w:val="18"/>
                <w:szCs w:val="18"/>
              </w:rPr>
              <w:t xml:space="preserve"> (4)</w:t>
            </w:r>
          </w:p>
        </w:tc>
        <w:tc>
          <w:tcPr>
            <w:tcW w:w="1100" w:type="dxa"/>
            <w:shd w:val="clear" w:color="auto" w:fill="auto"/>
            <w:vAlign w:val="bottom"/>
          </w:tcPr>
          <w:p w14:paraId="02DC652C" w14:textId="77777777" w:rsidR="00C927D9" w:rsidRPr="005D1219" w:rsidRDefault="00C927D9" w:rsidP="0034622E">
            <w:pPr>
              <w:jc w:val="right"/>
              <w:rPr>
                <w:rFonts w:ascii="Arial" w:hAnsi="Arial" w:cs="Arial"/>
                <w:b/>
                <w:bCs/>
                <w:sz w:val="18"/>
                <w:szCs w:val="18"/>
              </w:rPr>
            </w:pPr>
            <w:r w:rsidRPr="005D1219">
              <w:rPr>
                <w:rFonts w:ascii="Arial" w:hAnsi="Arial" w:cs="Arial"/>
                <w:b/>
                <w:bCs/>
                <w:sz w:val="18"/>
                <w:szCs w:val="18"/>
              </w:rPr>
              <w:t xml:space="preserve"> (195)</w:t>
            </w:r>
          </w:p>
        </w:tc>
      </w:tr>
      <w:tr w:rsidR="00C927D9" w:rsidRPr="001B015B" w14:paraId="207C14A5" w14:textId="77777777" w:rsidTr="0034622E">
        <w:trPr>
          <w:trHeight w:val="70"/>
        </w:trPr>
        <w:tc>
          <w:tcPr>
            <w:tcW w:w="4159" w:type="dxa"/>
            <w:tcBorders>
              <w:top w:val="nil"/>
              <w:left w:val="nil"/>
              <w:bottom w:val="nil"/>
              <w:right w:val="nil"/>
            </w:tcBorders>
            <w:shd w:val="clear" w:color="auto" w:fill="auto"/>
            <w:vAlign w:val="center"/>
          </w:tcPr>
          <w:p w14:paraId="1F970444" w14:textId="77777777" w:rsidR="00C927D9" w:rsidRPr="001B015B" w:rsidRDefault="00C927D9" w:rsidP="0034622E">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Otpis</w:t>
            </w:r>
          </w:p>
        </w:tc>
        <w:tc>
          <w:tcPr>
            <w:tcW w:w="1031" w:type="dxa"/>
            <w:shd w:val="clear" w:color="auto" w:fill="auto"/>
            <w:vAlign w:val="bottom"/>
          </w:tcPr>
          <w:p w14:paraId="7F8B7386" w14:textId="470DA484" w:rsidR="00C927D9" w:rsidRPr="001B015B" w:rsidRDefault="005B1860" w:rsidP="0034622E">
            <w:pPr>
              <w:jc w:val="right"/>
              <w:rPr>
                <w:rFonts w:ascii="Arial" w:hAnsi="Arial" w:cs="Arial"/>
                <w:sz w:val="18"/>
                <w:szCs w:val="18"/>
              </w:rPr>
            </w:pPr>
            <w:r>
              <w:rPr>
                <w:rFonts w:ascii="Arial" w:hAnsi="Arial" w:cs="Arial"/>
                <w:sz w:val="18"/>
                <w:szCs w:val="18"/>
              </w:rPr>
              <w:t>-</w:t>
            </w:r>
          </w:p>
        </w:tc>
        <w:tc>
          <w:tcPr>
            <w:tcW w:w="1031" w:type="dxa"/>
            <w:shd w:val="clear" w:color="auto" w:fill="auto"/>
            <w:vAlign w:val="bottom"/>
          </w:tcPr>
          <w:p w14:paraId="23DBDF2E" w14:textId="77777777" w:rsidR="00C927D9" w:rsidRPr="001B015B" w:rsidRDefault="00C927D9" w:rsidP="0034622E">
            <w:pPr>
              <w:jc w:val="right"/>
              <w:rPr>
                <w:rFonts w:ascii="Arial" w:hAnsi="Arial" w:cs="Arial"/>
                <w:sz w:val="18"/>
                <w:szCs w:val="18"/>
              </w:rPr>
            </w:pPr>
            <w:r w:rsidRPr="00F959D0">
              <w:rPr>
                <w:rFonts w:ascii="Arial" w:hAnsi="Arial" w:cs="Arial"/>
                <w:sz w:val="18"/>
                <w:szCs w:val="18"/>
              </w:rPr>
              <w:t xml:space="preserve"> - </w:t>
            </w:r>
          </w:p>
        </w:tc>
        <w:tc>
          <w:tcPr>
            <w:tcW w:w="1031" w:type="dxa"/>
            <w:shd w:val="clear" w:color="auto" w:fill="auto"/>
            <w:vAlign w:val="bottom"/>
          </w:tcPr>
          <w:p w14:paraId="450DB928" w14:textId="77777777" w:rsidR="00C927D9" w:rsidRPr="001B015B" w:rsidRDefault="00C927D9" w:rsidP="0034622E">
            <w:pPr>
              <w:jc w:val="right"/>
              <w:rPr>
                <w:rFonts w:ascii="Arial" w:hAnsi="Arial" w:cs="Arial"/>
                <w:sz w:val="18"/>
                <w:szCs w:val="18"/>
              </w:rPr>
            </w:pPr>
            <w:r w:rsidRPr="00F959D0">
              <w:rPr>
                <w:rFonts w:ascii="Arial" w:hAnsi="Arial" w:cs="Arial"/>
                <w:sz w:val="18"/>
                <w:szCs w:val="18"/>
              </w:rPr>
              <w:t xml:space="preserve"> (93)</w:t>
            </w:r>
          </w:p>
        </w:tc>
        <w:tc>
          <w:tcPr>
            <w:tcW w:w="1028" w:type="dxa"/>
            <w:shd w:val="clear" w:color="auto" w:fill="auto"/>
            <w:vAlign w:val="bottom"/>
          </w:tcPr>
          <w:p w14:paraId="3A851E61" w14:textId="77777777" w:rsidR="00C927D9" w:rsidRPr="001B015B" w:rsidRDefault="00C927D9" w:rsidP="0034622E">
            <w:pPr>
              <w:jc w:val="right"/>
              <w:rPr>
                <w:rFonts w:ascii="Arial" w:hAnsi="Arial" w:cs="Arial"/>
                <w:sz w:val="18"/>
                <w:szCs w:val="18"/>
              </w:rPr>
            </w:pPr>
            <w:r w:rsidRPr="00F959D0">
              <w:rPr>
                <w:rFonts w:ascii="Arial" w:hAnsi="Arial" w:cs="Arial"/>
                <w:sz w:val="18"/>
                <w:szCs w:val="18"/>
              </w:rPr>
              <w:t xml:space="preserve"> - </w:t>
            </w:r>
          </w:p>
        </w:tc>
        <w:tc>
          <w:tcPr>
            <w:tcW w:w="1100" w:type="dxa"/>
            <w:shd w:val="clear" w:color="auto" w:fill="auto"/>
            <w:vAlign w:val="bottom"/>
          </w:tcPr>
          <w:p w14:paraId="1FEB49D4" w14:textId="77777777" w:rsidR="00C927D9" w:rsidRPr="005D1219" w:rsidRDefault="00C927D9" w:rsidP="0034622E">
            <w:pPr>
              <w:jc w:val="right"/>
              <w:rPr>
                <w:rFonts w:ascii="Arial" w:hAnsi="Arial" w:cs="Arial"/>
                <w:b/>
                <w:bCs/>
                <w:sz w:val="18"/>
                <w:szCs w:val="18"/>
              </w:rPr>
            </w:pPr>
            <w:r w:rsidRPr="005D1219">
              <w:rPr>
                <w:rFonts w:ascii="Arial" w:hAnsi="Arial" w:cs="Arial"/>
                <w:b/>
                <w:bCs/>
                <w:sz w:val="18"/>
                <w:szCs w:val="18"/>
              </w:rPr>
              <w:t xml:space="preserve"> (93)</w:t>
            </w:r>
          </w:p>
        </w:tc>
      </w:tr>
      <w:tr w:rsidR="00C927D9" w:rsidRPr="001B015B" w14:paraId="4E4193FB" w14:textId="77777777" w:rsidTr="0034622E">
        <w:trPr>
          <w:trHeight w:val="213"/>
        </w:trPr>
        <w:tc>
          <w:tcPr>
            <w:tcW w:w="4159" w:type="dxa"/>
            <w:tcBorders>
              <w:top w:val="nil"/>
              <w:left w:val="nil"/>
              <w:bottom w:val="nil"/>
              <w:right w:val="nil"/>
            </w:tcBorders>
            <w:shd w:val="clear" w:color="auto" w:fill="auto"/>
            <w:vAlign w:val="center"/>
            <w:hideMark/>
          </w:tcPr>
          <w:p w14:paraId="5330D47C" w14:textId="77777777" w:rsidR="00C927D9" w:rsidRPr="001B015B" w:rsidRDefault="00C927D9" w:rsidP="0034622E">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Neto dobit/gubitak od tečajnih razlika po rezerviranjima za očekivane gubitke</w:t>
            </w:r>
          </w:p>
        </w:tc>
        <w:tc>
          <w:tcPr>
            <w:tcW w:w="1031" w:type="dxa"/>
            <w:tcBorders>
              <w:top w:val="nil"/>
              <w:left w:val="nil"/>
              <w:right w:val="nil"/>
            </w:tcBorders>
            <w:shd w:val="clear" w:color="auto" w:fill="auto"/>
            <w:vAlign w:val="bottom"/>
          </w:tcPr>
          <w:p w14:paraId="13546B05" w14:textId="77777777" w:rsidR="00C927D9" w:rsidRPr="00593574" w:rsidRDefault="00C927D9" w:rsidP="0034622E">
            <w:pPr>
              <w:jc w:val="right"/>
              <w:rPr>
                <w:rFonts w:ascii="Arial" w:hAnsi="Arial" w:cs="Arial"/>
                <w:sz w:val="18"/>
                <w:szCs w:val="18"/>
              </w:rPr>
            </w:pPr>
            <w:r w:rsidRPr="00F959D0">
              <w:rPr>
                <w:rFonts w:ascii="Arial" w:hAnsi="Arial" w:cs="Arial"/>
                <w:sz w:val="18"/>
                <w:szCs w:val="18"/>
              </w:rPr>
              <w:t xml:space="preserve"> - </w:t>
            </w:r>
          </w:p>
        </w:tc>
        <w:tc>
          <w:tcPr>
            <w:tcW w:w="1031" w:type="dxa"/>
            <w:tcBorders>
              <w:top w:val="nil"/>
              <w:left w:val="nil"/>
              <w:right w:val="nil"/>
            </w:tcBorders>
            <w:shd w:val="clear" w:color="auto" w:fill="auto"/>
            <w:vAlign w:val="bottom"/>
          </w:tcPr>
          <w:p w14:paraId="289A6DB8" w14:textId="77777777" w:rsidR="00C927D9" w:rsidRPr="00593574" w:rsidRDefault="00C927D9" w:rsidP="0034622E">
            <w:pPr>
              <w:jc w:val="right"/>
              <w:rPr>
                <w:rFonts w:ascii="Arial" w:hAnsi="Arial" w:cs="Arial"/>
                <w:sz w:val="18"/>
                <w:szCs w:val="18"/>
              </w:rPr>
            </w:pPr>
            <w:r w:rsidRPr="00F959D0">
              <w:rPr>
                <w:rFonts w:ascii="Arial" w:hAnsi="Arial" w:cs="Arial"/>
                <w:sz w:val="18"/>
                <w:szCs w:val="18"/>
              </w:rPr>
              <w:t xml:space="preserve"> - </w:t>
            </w:r>
          </w:p>
        </w:tc>
        <w:tc>
          <w:tcPr>
            <w:tcW w:w="1031" w:type="dxa"/>
            <w:tcBorders>
              <w:top w:val="nil"/>
              <w:left w:val="nil"/>
              <w:right w:val="nil"/>
            </w:tcBorders>
            <w:shd w:val="clear" w:color="auto" w:fill="auto"/>
            <w:vAlign w:val="bottom"/>
          </w:tcPr>
          <w:p w14:paraId="476FE996" w14:textId="77777777" w:rsidR="00C927D9" w:rsidRPr="00593574" w:rsidRDefault="00C927D9" w:rsidP="0034622E">
            <w:pPr>
              <w:jc w:val="right"/>
              <w:rPr>
                <w:rFonts w:ascii="Arial" w:hAnsi="Arial" w:cs="Arial"/>
                <w:sz w:val="18"/>
                <w:szCs w:val="18"/>
              </w:rPr>
            </w:pPr>
            <w:r w:rsidRPr="00F959D0">
              <w:rPr>
                <w:rFonts w:ascii="Arial" w:hAnsi="Arial" w:cs="Arial"/>
                <w:sz w:val="18"/>
                <w:szCs w:val="18"/>
              </w:rPr>
              <w:t xml:space="preserve"> (2)</w:t>
            </w:r>
          </w:p>
        </w:tc>
        <w:tc>
          <w:tcPr>
            <w:tcW w:w="1028" w:type="dxa"/>
            <w:tcBorders>
              <w:top w:val="nil"/>
              <w:left w:val="nil"/>
              <w:right w:val="nil"/>
            </w:tcBorders>
            <w:shd w:val="clear" w:color="auto" w:fill="auto"/>
            <w:vAlign w:val="bottom"/>
          </w:tcPr>
          <w:p w14:paraId="2B60ECBF" w14:textId="77777777" w:rsidR="00C927D9" w:rsidRPr="00593574" w:rsidRDefault="00C927D9" w:rsidP="0034622E">
            <w:pPr>
              <w:jc w:val="right"/>
              <w:rPr>
                <w:rFonts w:ascii="Arial" w:hAnsi="Arial" w:cs="Arial"/>
                <w:sz w:val="18"/>
                <w:szCs w:val="18"/>
              </w:rPr>
            </w:pPr>
            <w:r w:rsidRPr="00F959D0">
              <w:rPr>
                <w:rFonts w:ascii="Arial" w:hAnsi="Arial" w:cs="Arial"/>
                <w:sz w:val="18"/>
                <w:szCs w:val="18"/>
              </w:rPr>
              <w:t xml:space="preserve"> - </w:t>
            </w:r>
          </w:p>
        </w:tc>
        <w:tc>
          <w:tcPr>
            <w:tcW w:w="1100" w:type="dxa"/>
            <w:tcBorders>
              <w:top w:val="nil"/>
              <w:left w:val="nil"/>
              <w:right w:val="nil"/>
            </w:tcBorders>
            <w:shd w:val="clear" w:color="auto" w:fill="auto"/>
            <w:vAlign w:val="bottom"/>
          </w:tcPr>
          <w:p w14:paraId="40671947" w14:textId="77777777" w:rsidR="00C927D9" w:rsidRPr="005D1219" w:rsidRDefault="00C927D9" w:rsidP="0034622E">
            <w:pPr>
              <w:jc w:val="right"/>
              <w:rPr>
                <w:rFonts w:ascii="Arial" w:hAnsi="Arial" w:cs="Arial"/>
                <w:b/>
                <w:bCs/>
                <w:sz w:val="18"/>
                <w:szCs w:val="18"/>
              </w:rPr>
            </w:pPr>
            <w:r w:rsidRPr="005D1219">
              <w:rPr>
                <w:rFonts w:ascii="Arial" w:hAnsi="Arial" w:cs="Arial"/>
                <w:b/>
                <w:bCs/>
                <w:sz w:val="18"/>
                <w:szCs w:val="18"/>
              </w:rPr>
              <w:t xml:space="preserve"> (2)</w:t>
            </w:r>
          </w:p>
        </w:tc>
      </w:tr>
      <w:tr w:rsidR="00C927D9" w:rsidRPr="001B015B" w14:paraId="4A1C57BE" w14:textId="77777777" w:rsidTr="0034622E">
        <w:trPr>
          <w:trHeight w:val="213"/>
        </w:trPr>
        <w:tc>
          <w:tcPr>
            <w:tcW w:w="4159" w:type="dxa"/>
            <w:tcBorders>
              <w:top w:val="nil"/>
              <w:left w:val="nil"/>
              <w:bottom w:val="nil"/>
              <w:right w:val="nil"/>
            </w:tcBorders>
            <w:shd w:val="clear" w:color="auto" w:fill="auto"/>
            <w:vAlign w:val="center"/>
          </w:tcPr>
          <w:p w14:paraId="44D6E032" w14:textId="77777777" w:rsidR="00C927D9" w:rsidRPr="001B015B" w:rsidRDefault="00C927D9" w:rsidP="0034622E">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Ostala usklađenja</w:t>
            </w:r>
          </w:p>
        </w:tc>
        <w:tc>
          <w:tcPr>
            <w:tcW w:w="1031" w:type="dxa"/>
            <w:tcBorders>
              <w:top w:val="nil"/>
              <w:left w:val="nil"/>
              <w:bottom w:val="single" w:sz="8" w:space="0" w:color="auto"/>
              <w:right w:val="nil"/>
            </w:tcBorders>
            <w:shd w:val="clear" w:color="auto" w:fill="auto"/>
            <w:vAlign w:val="bottom"/>
          </w:tcPr>
          <w:p w14:paraId="0263BA1B" w14:textId="77777777" w:rsidR="00C927D9" w:rsidRPr="00593574" w:rsidRDefault="00C927D9" w:rsidP="0034622E">
            <w:pPr>
              <w:jc w:val="right"/>
              <w:rPr>
                <w:rFonts w:ascii="Arial" w:hAnsi="Arial" w:cs="Arial"/>
                <w:sz w:val="18"/>
                <w:szCs w:val="18"/>
              </w:rPr>
            </w:pPr>
            <w:r w:rsidRPr="00F959D0">
              <w:rPr>
                <w:rFonts w:ascii="Arial" w:hAnsi="Arial" w:cs="Arial"/>
                <w:sz w:val="18"/>
                <w:szCs w:val="18"/>
              </w:rPr>
              <w:t xml:space="preserve"> (12)</w:t>
            </w:r>
          </w:p>
        </w:tc>
        <w:tc>
          <w:tcPr>
            <w:tcW w:w="1031" w:type="dxa"/>
            <w:tcBorders>
              <w:top w:val="nil"/>
              <w:left w:val="nil"/>
              <w:bottom w:val="single" w:sz="8" w:space="0" w:color="auto"/>
              <w:right w:val="nil"/>
            </w:tcBorders>
            <w:shd w:val="clear" w:color="auto" w:fill="auto"/>
            <w:vAlign w:val="bottom"/>
          </w:tcPr>
          <w:p w14:paraId="46E74C6A" w14:textId="77777777" w:rsidR="00C927D9" w:rsidRPr="00593574" w:rsidRDefault="00C927D9" w:rsidP="0034622E">
            <w:pPr>
              <w:jc w:val="right"/>
              <w:rPr>
                <w:rFonts w:ascii="Arial" w:hAnsi="Arial" w:cs="Arial"/>
                <w:sz w:val="18"/>
                <w:szCs w:val="18"/>
              </w:rPr>
            </w:pPr>
            <w:r w:rsidRPr="00F959D0">
              <w:rPr>
                <w:rFonts w:ascii="Arial" w:hAnsi="Arial" w:cs="Arial"/>
                <w:sz w:val="18"/>
                <w:szCs w:val="18"/>
              </w:rPr>
              <w:t xml:space="preserve"> - </w:t>
            </w:r>
          </w:p>
        </w:tc>
        <w:tc>
          <w:tcPr>
            <w:tcW w:w="1031" w:type="dxa"/>
            <w:tcBorders>
              <w:top w:val="nil"/>
              <w:left w:val="nil"/>
              <w:bottom w:val="single" w:sz="8" w:space="0" w:color="auto"/>
              <w:right w:val="nil"/>
            </w:tcBorders>
            <w:shd w:val="clear" w:color="auto" w:fill="auto"/>
            <w:vAlign w:val="bottom"/>
          </w:tcPr>
          <w:p w14:paraId="326B579A" w14:textId="77777777" w:rsidR="00C927D9" w:rsidRPr="00593574" w:rsidRDefault="00C927D9" w:rsidP="0034622E">
            <w:pPr>
              <w:jc w:val="right"/>
              <w:rPr>
                <w:rFonts w:ascii="Arial" w:hAnsi="Arial" w:cs="Arial"/>
                <w:sz w:val="18"/>
                <w:szCs w:val="18"/>
              </w:rPr>
            </w:pPr>
            <w:r w:rsidRPr="00F959D0">
              <w:rPr>
                <w:rFonts w:ascii="Arial" w:hAnsi="Arial" w:cs="Arial"/>
                <w:sz w:val="18"/>
                <w:szCs w:val="18"/>
              </w:rPr>
              <w:t xml:space="preserve"> - </w:t>
            </w:r>
          </w:p>
        </w:tc>
        <w:tc>
          <w:tcPr>
            <w:tcW w:w="1028" w:type="dxa"/>
            <w:tcBorders>
              <w:top w:val="nil"/>
              <w:left w:val="nil"/>
              <w:bottom w:val="single" w:sz="8" w:space="0" w:color="auto"/>
              <w:right w:val="nil"/>
            </w:tcBorders>
            <w:shd w:val="clear" w:color="auto" w:fill="auto"/>
            <w:vAlign w:val="bottom"/>
          </w:tcPr>
          <w:p w14:paraId="5B0C784C" w14:textId="77777777" w:rsidR="00C927D9" w:rsidRPr="00593574" w:rsidRDefault="00C927D9" w:rsidP="0034622E">
            <w:pPr>
              <w:jc w:val="right"/>
              <w:rPr>
                <w:rFonts w:ascii="Arial" w:hAnsi="Arial" w:cs="Arial"/>
                <w:sz w:val="18"/>
                <w:szCs w:val="18"/>
              </w:rPr>
            </w:pPr>
            <w:r w:rsidRPr="00F959D0">
              <w:rPr>
                <w:rFonts w:ascii="Arial" w:hAnsi="Arial" w:cs="Arial"/>
                <w:sz w:val="18"/>
                <w:szCs w:val="18"/>
              </w:rPr>
              <w:t xml:space="preserve"> 4 </w:t>
            </w:r>
          </w:p>
        </w:tc>
        <w:tc>
          <w:tcPr>
            <w:tcW w:w="1100" w:type="dxa"/>
            <w:tcBorders>
              <w:top w:val="nil"/>
              <w:left w:val="nil"/>
              <w:bottom w:val="single" w:sz="8" w:space="0" w:color="auto"/>
              <w:right w:val="nil"/>
            </w:tcBorders>
            <w:shd w:val="clear" w:color="auto" w:fill="auto"/>
            <w:vAlign w:val="bottom"/>
          </w:tcPr>
          <w:p w14:paraId="086FF526" w14:textId="77777777" w:rsidR="00C927D9" w:rsidRPr="005D1219" w:rsidRDefault="00C927D9" w:rsidP="0034622E">
            <w:pPr>
              <w:jc w:val="right"/>
              <w:rPr>
                <w:rFonts w:ascii="Arial" w:hAnsi="Arial" w:cs="Arial"/>
                <w:b/>
                <w:bCs/>
                <w:sz w:val="18"/>
                <w:szCs w:val="18"/>
              </w:rPr>
            </w:pPr>
            <w:r w:rsidRPr="005D1219">
              <w:rPr>
                <w:rFonts w:ascii="Arial" w:hAnsi="Arial" w:cs="Arial"/>
                <w:b/>
                <w:bCs/>
                <w:sz w:val="18"/>
                <w:szCs w:val="18"/>
              </w:rPr>
              <w:t xml:space="preserve"> (8)</w:t>
            </w:r>
          </w:p>
        </w:tc>
      </w:tr>
      <w:tr w:rsidR="00C927D9" w:rsidRPr="001B015B" w14:paraId="7BF3BE3A" w14:textId="77777777" w:rsidTr="0034622E">
        <w:trPr>
          <w:trHeight w:val="213"/>
        </w:trPr>
        <w:tc>
          <w:tcPr>
            <w:tcW w:w="4159" w:type="dxa"/>
            <w:tcBorders>
              <w:top w:val="nil"/>
              <w:left w:val="nil"/>
              <w:bottom w:val="nil"/>
              <w:right w:val="nil"/>
            </w:tcBorders>
            <w:shd w:val="clear" w:color="auto" w:fill="auto"/>
            <w:vAlign w:val="bottom"/>
            <w:hideMark/>
          </w:tcPr>
          <w:p w14:paraId="3C5F02EB" w14:textId="77777777" w:rsidR="00C927D9" w:rsidRPr="001B015B" w:rsidRDefault="00C927D9" w:rsidP="0034622E">
            <w:pPr>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Stanje 31. prosinca 202</w:t>
            </w:r>
            <w:r>
              <w:rPr>
                <w:rFonts w:ascii="Arial" w:eastAsia="Calibri" w:hAnsi="Arial" w:cs="Arial"/>
                <w:b/>
                <w:bCs/>
                <w:color w:val="000000" w:themeColor="text1"/>
                <w:sz w:val="18"/>
                <w:szCs w:val="18"/>
              </w:rPr>
              <w:t>3</w:t>
            </w:r>
            <w:r w:rsidRPr="001B015B">
              <w:rPr>
                <w:rFonts w:ascii="Arial" w:eastAsia="Calibri" w:hAnsi="Arial" w:cs="Arial"/>
                <w:b/>
                <w:bCs/>
                <w:color w:val="000000" w:themeColor="text1"/>
                <w:sz w:val="18"/>
                <w:szCs w:val="18"/>
              </w:rPr>
              <w:t>.</w:t>
            </w:r>
          </w:p>
        </w:tc>
        <w:tc>
          <w:tcPr>
            <w:tcW w:w="1031" w:type="dxa"/>
            <w:tcBorders>
              <w:top w:val="nil"/>
              <w:left w:val="nil"/>
              <w:bottom w:val="single" w:sz="12" w:space="0" w:color="auto"/>
              <w:right w:val="nil"/>
            </w:tcBorders>
            <w:shd w:val="clear" w:color="auto" w:fill="auto"/>
            <w:vAlign w:val="bottom"/>
          </w:tcPr>
          <w:p w14:paraId="23FFC49E" w14:textId="77777777" w:rsidR="00C927D9" w:rsidRPr="00563FC7" w:rsidRDefault="00C927D9" w:rsidP="0034622E">
            <w:pPr>
              <w:jc w:val="right"/>
              <w:rPr>
                <w:rFonts w:ascii="Arial" w:hAnsi="Arial" w:cs="Arial"/>
                <w:b/>
                <w:bCs/>
                <w:sz w:val="18"/>
                <w:szCs w:val="18"/>
              </w:rPr>
            </w:pPr>
            <w:r w:rsidRPr="00F959D0">
              <w:rPr>
                <w:rFonts w:ascii="Arial" w:hAnsi="Arial" w:cs="Arial"/>
                <w:b/>
                <w:bCs/>
                <w:sz w:val="18"/>
                <w:szCs w:val="18"/>
              </w:rPr>
              <w:t xml:space="preserve"> 27 </w:t>
            </w:r>
          </w:p>
        </w:tc>
        <w:tc>
          <w:tcPr>
            <w:tcW w:w="1031" w:type="dxa"/>
            <w:tcBorders>
              <w:top w:val="nil"/>
              <w:left w:val="nil"/>
              <w:bottom w:val="single" w:sz="12" w:space="0" w:color="auto"/>
              <w:right w:val="nil"/>
            </w:tcBorders>
            <w:shd w:val="clear" w:color="auto" w:fill="auto"/>
            <w:vAlign w:val="bottom"/>
          </w:tcPr>
          <w:p w14:paraId="2626B3AC" w14:textId="77777777" w:rsidR="00C927D9" w:rsidRPr="00563FC7" w:rsidRDefault="00C927D9" w:rsidP="0034622E">
            <w:pPr>
              <w:jc w:val="right"/>
              <w:rPr>
                <w:rFonts w:ascii="Arial" w:hAnsi="Arial" w:cs="Arial"/>
                <w:b/>
                <w:bCs/>
                <w:sz w:val="18"/>
                <w:szCs w:val="18"/>
              </w:rPr>
            </w:pPr>
            <w:r w:rsidRPr="00F959D0">
              <w:rPr>
                <w:rFonts w:ascii="Arial" w:hAnsi="Arial" w:cs="Arial"/>
                <w:b/>
                <w:bCs/>
                <w:sz w:val="18"/>
                <w:szCs w:val="18"/>
              </w:rPr>
              <w:t xml:space="preserve"> 1 </w:t>
            </w:r>
          </w:p>
        </w:tc>
        <w:tc>
          <w:tcPr>
            <w:tcW w:w="1031" w:type="dxa"/>
            <w:tcBorders>
              <w:top w:val="nil"/>
              <w:left w:val="nil"/>
              <w:bottom w:val="single" w:sz="12" w:space="0" w:color="auto"/>
              <w:right w:val="nil"/>
            </w:tcBorders>
            <w:shd w:val="clear" w:color="auto" w:fill="auto"/>
            <w:vAlign w:val="bottom"/>
          </w:tcPr>
          <w:p w14:paraId="35C791E5" w14:textId="77777777" w:rsidR="00C927D9" w:rsidRPr="00563FC7" w:rsidRDefault="00C927D9" w:rsidP="0034622E">
            <w:pPr>
              <w:jc w:val="right"/>
              <w:rPr>
                <w:rFonts w:ascii="Arial" w:hAnsi="Arial" w:cs="Arial"/>
                <w:b/>
                <w:bCs/>
                <w:sz w:val="18"/>
                <w:szCs w:val="18"/>
              </w:rPr>
            </w:pPr>
            <w:r w:rsidRPr="00F959D0">
              <w:rPr>
                <w:rFonts w:ascii="Arial" w:hAnsi="Arial" w:cs="Arial"/>
                <w:b/>
                <w:bCs/>
                <w:sz w:val="18"/>
                <w:szCs w:val="18"/>
              </w:rPr>
              <w:t xml:space="preserve"> 4.330 </w:t>
            </w:r>
          </w:p>
        </w:tc>
        <w:tc>
          <w:tcPr>
            <w:tcW w:w="1028" w:type="dxa"/>
            <w:tcBorders>
              <w:top w:val="nil"/>
              <w:left w:val="nil"/>
              <w:bottom w:val="single" w:sz="12" w:space="0" w:color="auto"/>
              <w:right w:val="nil"/>
            </w:tcBorders>
            <w:shd w:val="clear" w:color="auto" w:fill="auto"/>
            <w:vAlign w:val="bottom"/>
          </w:tcPr>
          <w:p w14:paraId="4434D1D0" w14:textId="77777777" w:rsidR="00C927D9" w:rsidRPr="00563FC7" w:rsidRDefault="00C927D9" w:rsidP="0034622E">
            <w:pPr>
              <w:jc w:val="right"/>
              <w:rPr>
                <w:rFonts w:ascii="Arial" w:hAnsi="Arial" w:cs="Arial"/>
                <w:b/>
                <w:bCs/>
                <w:sz w:val="18"/>
                <w:szCs w:val="18"/>
              </w:rPr>
            </w:pPr>
            <w:r w:rsidRPr="00F959D0">
              <w:rPr>
                <w:rFonts w:ascii="Arial" w:hAnsi="Arial" w:cs="Arial"/>
                <w:b/>
                <w:bCs/>
                <w:sz w:val="18"/>
                <w:szCs w:val="18"/>
              </w:rPr>
              <w:t xml:space="preserve"> 35 </w:t>
            </w:r>
          </w:p>
        </w:tc>
        <w:tc>
          <w:tcPr>
            <w:tcW w:w="1100" w:type="dxa"/>
            <w:tcBorders>
              <w:top w:val="nil"/>
              <w:left w:val="nil"/>
              <w:bottom w:val="single" w:sz="12" w:space="0" w:color="auto"/>
              <w:right w:val="nil"/>
            </w:tcBorders>
            <w:shd w:val="clear" w:color="auto" w:fill="auto"/>
            <w:vAlign w:val="bottom"/>
          </w:tcPr>
          <w:p w14:paraId="3961E750" w14:textId="77777777" w:rsidR="00C927D9" w:rsidRPr="00563FC7" w:rsidRDefault="00C927D9" w:rsidP="0034622E">
            <w:pPr>
              <w:jc w:val="right"/>
              <w:rPr>
                <w:rFonts w:ascii="Arial" w:hAnsi="Arial" w:cs="Arial"/>
                <w:b/>
                <w:bCs/>
                <w:sz w:val="18"/>
                <w:szCs w:val="18"/>
              </w:rPr>
            </w:pPr>
            <w:r w:rsidRPr="00F959D0">
              <w:rPr>
                <w:rFonts w:ascii="Arial" w:hAnsi="Arial" w:cs="Arial"/>
                <w:b/>
                <w:bCs/>
                <w:sz w:val="18"/>
                <w:szCs w:val="18"/>
              </w:rPr>
              <w:t xml:space="preserve"> 4.393 </w:t>
            </w:r>
          </w:p>
        </w:tc>
      </w:tr>
    </w:tbl>
    <w:p w14:paraId="2AC7F88B" w14:textId="32B7453D" w:rsidR="00A269B5" w:rsidRPr="003D1614" w:rsidRDefault="00A269B5" w:rsidP="001A0FCB">
      <w:pPr>
        <w:suppressAutoHyphens/>
        <w:autoSpaceDN w:val="0"/>
        <w:jc w:val="both"/>
        <w:rPr>
          <w:rFonts w:ascii="Arial" w:eastAsia="Times New Roman" w:hAnsi="Arial" w:cs="Arial"/>
          <w:color w:val="000000" w:themeColor="text1"/>
          <w:sz w:val="20"/>
          <w:szCs w:val="20"/>
        </w:rPr>
      </w:pPr>
    </w:p>
    <w:p w14:paraId="512F7DB0" w14:textId="77777777" w:rsidR="00A269B5" w:rsidRPr="003D1614" w:rsidRDefault="00A269B5" w:rsidP="001A0FCB">
      <w:pPr>
        <w:suppressAutoHyphens/>
        <w:autoSpaceDN w:val="0"/>
        <w:jc w:val="both"/>
        <w:rPr>
          <w:rFonts w:ascii="Arial" w:eastAsia="Times New Roman" w:hAnsi="Arial" w:cs="Arial"/>
          <w:color w:val="000000" w:themeColor="text1"/>
          <w:sz w:val="20"/>
          <w:szCs w:val="20"/>
        </w:rPr>
        <w:sectPr w:rsidR="00A269B5" w:rsidRPr="003D1614" w:rsidSect="003278AB">
          <w:pgSz w:w="11906" w:h="16838"/>
          <w:pgMar w:top="1417" w:right="1417" w:bottom="1417" w:left="1417" w:header="708" w:footer="708" w:gutter="0"/>
          <w:cols w:space="708"/>
          <w:docGrid w:linePitch="360"/>
        </w:sectPr>
      </w:pPr>
    </w:p>
    <w:p w14:paraId="2611F3EA" w14:textId="77777777"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p>
    <w:p w14:paraId="19C7208B" w14:textId="294C38D3" w:rsidR="00A269B5" w:rsidRPr="003D1614" w:rsidRDefault="000E693B" w:rsidP="00A269B5">
      <w:pPr>
        <w:keepNext/>
        <w:suppressAutoHyphens/>
        <w:autoSpaceDN w:val="0"/>
        <w:jc w:val="both"/>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23</w:t>
      </w:r>
      <w:r w:rsidR="00A269B5" w:rsidRPr="003D1614">
        <w:rPr>
          <w:rFonts w:ascii="Arial" w:eastAsia="Times New Roman" w:hAnsi="Arial" w:cs="Arial"/>
          <w:b/>
          <w:bCs/>
          <w:color w:val="000000" w:themeColor="text1"/>
          <w:sz w:val="20"/>
          <w:szCs w:val="20"/>
        </w:rPr>
        <w:t>.</w:t>
      </w:r>
      <w:r w:rsidR="00A269B5" w:rsidRPr="003D1614">
        <w:rPr>
          <w:rFonts w:ascii="Arial" w:eastAsia="Times New Roman" w:hAnsi="Arial" w:cs="Arial"/>
          <w:b/>
          <w:bCs/>
          <w:color w:val="000000" w:themeColor="text1"/>
          <w:sz w:val="20"/>
          <w:szCs w:val="20"/>
        </w:rPr>
        <w:tab/>
        <w:t>Upravljanje rizicima (nastavak)</w:t>
      </w:r>
    </w:p>
    <w:p w14:paraId="07382162" w14:textId="77777777"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p>
    <w:p w14:paraId="0F655883" w14:textId="2A04BDC4" w:rsidR="00A269B5" w:rsidRPr="003D1614" w:rsidRDefault="000E693B" w:rsidP="00A269B5">
      <w:pPr>
        <w:keepNext/>
        <w:suppressAutoHyphens/>
        <w:autoSpaceDN w:val="0"/>
        <w:jc w:val="both"/>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23</w:t>
      </w:r>
      <w:r w:rsidR="00A269B5" w:rsidRPr="003D1614">
        <w:rPr>
          <w:rFonts w:ascii="Arial" w:eastAsia="Times New Roman" w:hAnsi="Arial" w:cs="Arial"/>
          <w:b/>
          <w:bCs/>
          <w:color w:val="000000" w:themeColor="text1"/>
          <w:sz w:val="20"/>
          <w:szCs w:val="20"/>
        </w:rPr>
        <w:t xml:space="preserve">.3. </w:t>
      </w:r>
      <w:r w:rsidR="00A269B5" w:rsidRPr="003D1614">
        <w:rPr>
          <w:rFonts w:ascii="Arial" w:eastAsia="Times New Roman" w:hAnsi="Arial" w:cs="Arial"/>
          <w:b/>
          <w:bCs/>
          <w:color w:val="000000" w:themeColor="text1"/>
          <w:sz w:val="20"/>
          <w:szCs w:val="20"/>
        </w:rPr>
        <w:tab/>
        <w:t>Kreditni rizik (nastavak)</w:t>
      </w:r>
    </w:p>
    <w:p w14:paraId="3E015E00" w14:textId="77777777"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p>
    <w:p w14:paraId="557FF99E" w14:textId="77777777" w:rsidR="00A269B5" w:rsidRPr="003D1614" w:rsidRDefault="00A269B5" w:rsidP="00A269B5">
      <w:pPr>
        <w:keepNext/>
        <w:tabs>
          <w:tab w:val="left" w:pos="284"/>
        </w:tabs>
        <w:suppressAutoHyphens/>
        <w:autoSpaceDN w:val="0"/>
        <w:jc w:val="both"/>
        <w:rPr>
          <w:rFonts w:ascii="Arial" w:eastAsia="Times New Roman" w:hAnsi="Arial" w:cs="Arial"/>
          <w:bCs/>
          <w:i/>
          <w:color w:val="000000" w:themeColor="text1"/>
          <w:sz w:val="20"/>
          <w:szCs w:val="20"/>
        </w:rPr>
      </w:pPr>
      <w:r w:rsidRPr="003D1614">
        <w:rPr>
          <w:rFonts w:ascii="Arial" w:eastAsia="Times New Roman" w:hAnsi="Arial" w:cs="Arial"/>
          <w:bCs/>
          <w:i/>
          <w:color w:val="000000" w:themeColor="text1"/>
          <w:sz w:val="20"/>
          <w:szCs w:val="20"/>
        </w:rPr>
        <w:t>i.</w:t>
      </w:r>
      <w:r w:rsidRPr="003D1614">
        <w:rPr>
          <w:rFonts w:ascii="Arial" w:eastAsia="Times New Roman" w:hAnsi="Arial" w:cs="Arial"/>
          <w:bCs/>
          <w:i/>
          <w:color w:val="000000" w:themeColor="text1"/>
          <w:sz w:val="20"/>
          <w:szCs w:val="20"/>
        </w:rPr>
        <w:tab/>
        <w:t>Promjene po rezerviranjima (nastavak)</w:t>
      </w:r>
    </w:p>
    <w:p w14:paraId="29981783" w14:textId="77777777" w:rsidR="00A269B5" w:rsidRPr="003D1614" w:rsidRDefault="00A269B5" w:rsidP="00A269B5">
      <w:pPr>
        <w:keepNext/>
        <w:tabs>
          <w:tab w:val="left" w:pos="284"/>
        </w:tabs>
        <w:suppressAutoHyphens/>
        <w:autoSpaceDN w:val="0"/>
        <w:jc w:val="both"/>
        <w:rPr>
          <w:rFonts w:ascii="Arial" w:eastAsia="Times New Roman" w:hAnsi="Arial" w:cs="Arial"/>
          <w:bCs/>
          <w:i/>
          <w:color w:val="000000" w:themeColor="text1"/>
          <w:sz w:val="20"/>
          <w:szCs w:val="20"/>
        </w:rPr>
      </w:pPr>
    </w:p>
    <w:p w14:paraId="4ACAD2C2" w14:textId="77777777" w:rsidR="00A269B5" w:rsidRPr="003D1614" w:rsidRDefault="00A269B5" w:rsidP="00A269B5">
      <w:pPr>
        <w:suppressAutoHyphens/>
        <w:autoSpaceDN w:val="0"/>
        <w:jc w:val="both"/>
        <w:rPr>
          <w:rFonts w:ascii="Arial" w:eastAsia="Calibri" w:hAnsi="Arial" w:cs="Arial"/>
          <w:b/>
          <w:bCs/>
          <w:color w:val="000000" w:themeColor="text1"/>
          <w:sz w:val="20"/>
          <w:szCs w:val="20"/>
        </w:rPr>
      </w:pPr>
      <w:r w:rsidRPr="003D1614">
        <w:rPr>
          <w:rFonts w:ascii="Arial" w:eastAsia="Calibri" w:hAnsi="Arial" w:cs="Arial"/>
          <w:b/>
          <w:bCs/>
          <w:color w:val="000000" w:themeColor="text1"/>
          <w:sz w:val="20"/>
          <w:szCs w:val="20"/>
        </w:rPr>
        <w:t>Ostala imovina (nastavak)</w:t>
      </w:r>
    </w:p>
    <w:p w14:paraId="620431F8" w14:textId="77777777" w:rsidR="00A269B5" w:rsidRPr="003D1614" w:rsidRDefault="00A269B5" w:rsidP="00A269B5">
      <w:pPr>
        <w:suppressAutoHyphens/>
        <w:autoSpaceDN w:val="0"/>
        <w:jc w:val="both"/>
        <w:rPr>
          <w:rFonts w:ascii="Arial" w:eastAsia="Calibri" w:hAnsi="Arial" w:cs="Arial"/>
          <w:color w:val="000000" w:themeColor="text1"/>
          <w:sz w:val="20"/>
          <w:szCs w:val="20"/>
        </w:rPr>
      </w:pPr>
    </w:p>
    <w:tbl>
      <w:tblPr>
        <w:tblW w:w="9394" w:type="dxa"/>
        <w:tblInd w:w="-180" w:type="dxa"/>
        <w:tblLayout w:type="fixed"/>
        <w:tblLook w:val="04A0" w:firstRow="1" w:lastRow="0" w:firstColumn="1" w:lastColumn="0" w:noHBand="0" w:noVBand="1"/>
      </w:tblPr>
      <w:tblGrid>
        <w:gridCol w:w="4122"/>
        <w:gridCol w:w="1111"/>
        <w:gridCol w:w="1034"/>
        <w:gridCol w:w="1143"/>
        <w:gridCol w:w="992"/>
        <w:gridCol w:w="992"/>
      </w:tblGrid>
      <w:tr w:rsidR="00A269B5" w:rsidRPr="003D1614" w14:paraId="50FE7382" w14:textId="77777777" w:rsidTr="007478FB">
        <w:trPr>
          <w:trHeight w:val="248"/>
        </w:trPr>
        <w:tc>
          <w:tcPr>
            <w:tcW w:w="4122" w:type="dxa"/>
            <w:tcBorders>
              <w:top w:val="nil"/>
              <w:left w:val="nil"/>
              <w:bottom w:val="nil"/>
              <w:right w:val="nil"/>
            </w:tcBorders>
            <w:shd w:val="clear" w:color="auto" w:fill="auto"/>
            <w:vAlign w:val="bottom"/>
          </w:tcPr>
          <w:p w14:paraId="55FDDA99" w14:textId="77777777" w:rsidR="00A269B5" w:rsidRPr="003D1614" w:rsidRDefault="00A269B5" w:rsidP="00A269B5">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Banka</w:t>
            </w:r>
          </w:p>
        </w:tc>
        <w:tc>
          <w:tcPr>
            <w:tcW w:w="1111" w:type="dxa"/>
            <w:tcBorders>
              <w:top w:val="nil"/>
              <w:left w:val="nil"/>
              <w:bottom w:val="nil"/>
              <w:right w:val="nil"/>
            </w:tcBorders>
            <w:shd w:val="clear" w:color="auto" w:fill="auto"/>
            <w:vAlign w:val="bottom"/>
          </w:tcPr>
          <w:p w14:paraId="06B801D1"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34" w:type="dxa"/>
            <w:tcBorders>
              <w:top w:val="nil"/>
              <w:left w:val="nil"/>
              <w:bottom w:val="nil"/>
              <w:right w:val="nil"/>
            </w:tcBorders>
            <w:shd w:val="clear" w:color="auto" w:fill="auto"/>
            <w:vAlign w:val="bottom"/>
          </w:tcPr>
          <w:p w14:paraId="5C2A676C"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143" w:type="dxa"/>
            <w:tcBorders>
              <w:top w:val="nil"/>
              <w:left w:val="nil"/>
              <w:bottom w:val="nil"/>
              <w:right w:val="nil"/>
            </w:tcBorders>
            <w:shd w:val="clear" w:color="auto" w:fill="auto"/>
            <w:vAlign w:val="bottom"/>
          </w:tcPr>
          <w:p w14:paraId="61CE726C"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992" w:type="dxa"/>
            <w:tcBorders>
              <w:top w:val="nil"/>
              <w:left w:val="nil"/>
              <w:bottom w:val="nil"/>
              <w:right w:val="nil"/>
            </w:tcBorders>
            <w:shd w:val="clear" w:color="auto" w:fill="auto"/>
            <w:vAlign w:val="bottom"/>
          </w:tcPr>
          <w:p w14:paraId="4808916B"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992" w:type="dxa"/>
            <w:tcBorders>
              <w:top w:val="nil"/>
              <w:left w:val="nil"/>
              <w:bottom w:val="nil"/>
              <w:right w:val="nil"/>
            </w:tcBorders>
            <w:shd w:val="clear" w:color="auto" w:fill="auto"/>
            <w:vAlign w:val="bottom"/>
          </w:tcPr>
          <w:p w14:paraId="0BBF9D33"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r>
      <w:tr w:rsidR="00A269B5" w:rsidRPr="003D1614" w14:paraId="145D497F" w14:textId="77777777" w:rsidTr="007478FB">
        <w:trPr>
          <w:trHeight w:val="248"/>
        </w:trPr>
        <w:tc>
          <w:tcPr>
            <w:tcW w:w="4122" w:type="dxa"/>
            <w:tcBorders>
              <w:top w:val="nil"/>
              <w:left w:val="nil"/>
              <w:bottom w:val="nil"/>
              <w:right w:val="nil"/>
            </w:tcBorders>
            <w:shd w:val="clear" w:color="auto" w:fill="auto"/>
            <w:vAlign w:val="bottom"/>
            <w:hideMark/>
          </w:tcPr>
          <w:p w14:paraId="4CA23517" w14:textId="60C94CCC" w:rsidR="00A269B5" w:rsidRPr="003D1614" w:rsidRDefault="00881155" w:rsidP="00A269B5">
            <w:pPr>
              <w:suppressAutoHyphens/>
              <w:autoSpaceDN w:val="0"/>
              <w:rPr>
                <w:rFonts w:ascii="Arial" w:eastAsia="Calibri" w:hAnsi="Arial" w:cs="Arial"/>
                <w:b/>
                <w:bCs/>
                <w:color w:val="000000" w:themeColor="text1"/>
                <w:sz w:val="18"/>
                <w:szCs w:val="18"/>
              </w:rPr>
            </w:pPr>
            <w:r w:rsidRPr="00881155">
              <w:rPr>
                <w:rFonts w:ascii="Arial" w:eastAsia="Calibri" w:hAnsi="Arial" w:cs="Arial"/>
                <w:b/>
                <w:bCs/>
                <w:color w:val="000000" w:themeColor="text1"/>
                <w:sz w:val="18"/>
                <w:szCs w:val="18"/>
              </w:rPr>
              <w:t>30. rujna 202</w:t>
            </w:r>
            <w:r w:rsidR="00F105D4">
              <w:rPr>
                <w:rFonts w:ascii="Arial" w:eastAsia="Calibri" w:hAnsi="Arial" w:cs="Arial"/>
                <w:b/>
                <w:bCs/>
                <w:color w:val="000000" w:themeColor="text1"/>
                <w:sz w:val="18"/>
                <w:szCs w:val="18"/>
              </w:rPr>
              <w:t>4</w:t>
            </w:r>
            <w:r w:rsidRPr="00881155">
              <w:rPr>
                <w:rFonts w:ascii="Arial" w:eastAsia="Calibri" w:hAnsi="Arial" w:cs="Arial"/>
                <w:b/>
                <w:bCs/>
                <w:color w:val="000000" w:themeColor="text1"/>
                <w:sz w:val="18"/>
                <w:szCs w:val="18"/>
              </w:rPr>
              <w:t>.</w:t>
            </w:r>
          </w:p>
        </w:tc>
        <w:tc>
          <w:tcPr>
            <w:tcW w:w="1111" w:type="dxa"/>
            <w:tcBorders>
              <w:top w:val="nil"/>
              <w:left w:val="nil"/>
              <w:bottom w:val="nil"/>
              <w:right w:val="nil"/>
            </w:tcBorders>
            <w:shd w:val="clear" w:color="auto" w:fill="auto"/>
            <w:vAlign w:val="bottom"/>
            <w:hideMark/>
          </w:tcPr>
          <w:p w14:paraId="05DB9EA8"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1</w:t>
            </w:r>
          </w:p>
        </w:tc>
        <w:tc>
          <w:tcPr>
            <w:tcW w:w="1034" w:type="dxa"/>
            <w:tcBorders>
              <w:top w:val="nil"/>
              <w:left w:val="nil"/>
              <w:bottom w:val="nil"/>
              <w:right w:val="nil"/>
            </w:tcBorders>
            <w:shd w:val="clear" w:color="auto" w:fill="auto"/>
            <w:vAlign w:val="bottom"/>
            <w:hideMark/>
          </w:tcPr>
          <w:p w14:paraId="55624AB4"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2</w:t>
            </w:r>
          </w:p>
        </w:tc>
        <w:tc>
          <w:tcPr>
            <w:tcW w:w="1143" w:type="dxa"/>
            <w:tcBorders>
              <w:top w:val="nil"/>
              <w:left w:val="nil"/>
              <w:bottom w:val="nil"/>
              <w:right w:val="nil"/>
            </w:tcBorders>
            <w:shd w:val="clear" w:color="auto" w:fill="auto"/>
            <w:vAlign w:val="bottom"/>
            <w:hideMark/>
          </w:tcPr>
          <w:p w14:paraId="36D8B3A8"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3</w:t>
            </w:r>
          </w:p>
        </w:tc>
        <w:tc>
          <w:tcPr>
            <w:tcW w:w="992" w:type="dxa"/>
            <w:tcBorders>
              <w:top w:val="nil"/>
              <w:left w:val="nil"/>
              <w:bottom w:val="nil"/>
              <w:right w:val="nil"/>
            </w:tcBorders>
            <w:shd w:val="clear" w:color="auto" w:fill="auto"/>
            <w:vAlign w:val="bottom"/>
            <w:hideMark/>
          </w:tcPr>
          <w:p w14:paraId="32710CD3"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POCI</w:t>
            </w:r>
          </w:p>
        </w:tc>
        <w:tc>
          <w:tcPr>
            <w:tcW w:w="992" w:type="dxa"/>
            <w:tcBorders>
              <w:top w:val="nil"/>
              <w:left w:val="nil"/>
              <w:bottom w:val="nil"/>
              <w:right w:val="nil"/>
            </w:tcBorders>
            <w:shd w:val="clear" w:color="auto" w:fill="auto"/>
            <w:vAlign w:val="bottom"/>
            <w:hideMark/>
          </w:tcPr>
          <w:p w14:paraId="3605B77F"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Ukupno</w:t>
            </w:r>
          </w:p>
        </w:tc>
      </w:tr>
      <w:tr w:rsidR="00A269B5" w:rsidRPr="003D1614" w14:paraId="5ECF5057" w14:textId="77777777" w:rsidTr="007478FB">
        <w:trPr>
          <w:trHeight w:val="248"/>
        </w:trPr>
        <w:tc>
          <w:tcPr>
            <w:tcW w:w="4122" w:type="dxa"/>
            <w:tcBorders>
              <w:top w:val="nil"/>
              <w:left w:val="nil"/>
              <w:bottom w:val="nil"/>
              <w:right w:val="nil"/>
            </w:tcBorders>
            <w:shd w:val="clear" w:color="auto" w:fill="auto"/>
            <w:vAlign w:val="bottom"/>
            <w:hideMark/>
          </w:tcPr>
          <w:p w14:paraId="59D9561E"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111" w:type="dxa"/>
            <w:tcBorders>
              <w:top w:val="nil"/>
              <w:left w:val="nil"/>
              <w:bottom w:val="nil"/>
              <w:right w:val="nil"/>
            </w:tcBorders>
            <w:shd w:val="clear" w:color="auto" w:fill="auto"/>
            <w:vAlign w:val="bottom"/>
            <w:hideMark/>
          </w:tcPr>
          <w:p w14:paraId="01C99398" w14:textId="45F87452"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34" w:type="dxa"/>
            <w:tcBorders>
              <w:top w:val="nil"/>
              <w:left w:val="nil"/>
              <w:bottom w:val="nil"/>
              <w:right w:val="nil"/>
            </w:tcBorders>
            <w:shd w:val="clear" w:color="auto" w:fill="auto"/>
            <w:vAlign w:val="bottom"/>
            <w:hideMark/>
          </w:tcPr>
          <w:p w14:paraId="2D2FE7C4" w14:textId="1815DE54"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143" w:type="dxa"/>
            <w:tcBorders>
              <w:top w:val="nil"/>
              <w:left w:val="nil"/>
              <w:bottom w:val="nil"/>
              <w:right w:val="nil"/>
            </w:tcBorders>
            <w:shd w:val="clear" w:color="auto" w:fill="auto"/>
            <w:vAlign w:val="bottom"/>
            <w:hideMark/>
          </w:tcPr>
          <w:p w14:paraId="21DB10DD" w14:textId="640797EB"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992" w:type="dxa"/>
            <w:tcBorders>
              <w:top w:val="nil"/>
              <w:left w:val="nil"/>
              <w:bottom w:val="nil"/>
              <w:right w:val="nil"/>
            </w:tcBorders>
            <w:shd w:val="clear" w:color="auto" w:fill="auto"/>
            <w:vAlign w:val="bottom"/>
            <w:hideMark/>
          </w:tcPr>
          <w:p w14:paraId="6C22C3C7" w14:textId="6E2526E5"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992" w:type="dxa"/>
            <w:tcBorders>
              <w:top w:val="nil"/>
              <w:left w:val="nil"/>
              <w:bottom w:val="nil"/>
              <w:right w:val="nil"/>
            </w:tcBorders>
            <w:shd w:val="clear" w:color="auto" w:fill="auto"/>
            <w:vAlign w:val="bottom"/>
            <w:hideMark/>
          </w:tcPr>
          <w:p w14:paraId="0CBD8CCD" w14:textId="4212A84E"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r>
      <w:tr w:rsidR="00A269B5" w:rsidRPr="003D1614" w14:paraId="5380B8BA" w14:textId="77777777" w:rsidTr="007478FB">
        <w:trPr>
          <w:trHeight w:val="248"/>
        </w:trPr>
        <w:tc>
          <w:tcPr>
            <w:tcW w:w="4122" w:type="dxa"/>
            <w:tcBorders>
              <w:top w:val="nil"/>
              <w:left w:val="nil"/>
              <w:bottom w:val="nil"/>
              <w:right w:val="nil"/>
            </w:tcBorders>
            <w:shd w:val="clear" w:color="auto" w:fill="auto"/>
            <w:vAlign w:val="bottom"/>
          </w:tcPr>
          <w:p w14:paraId="5249F877"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111" w:type="dxa"/>
            <w:tcBorders>
              <w:top w:val="nil"/>
              <w:left w:val="nil"/>
              <w:bottom w:val="nil"/>
              <w:right w:val="nil"/>
            </w:tcBorders>
            <w:shd w:val="clear" w:color="auto" w:fill="auto"/>
            <w:vAlign w:val="bottom"/>
          </w:tcPr>
          <w:p w14:paraId="7ACDC56B"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34" w:type="dxa"/>
            <w:tcBorders>
              <w:top w:val="nil"/>
              <w:left w:val="nil"/>
              <w:bottom w:val="nil"/>
              <w:right w:val="nil"/>
            </w:tcBorders>
            <w:shd w:val="clear" w:color="auto" w:fill="auto"/>
            <w:vAlign w:val="bottom"/>
          </w:tcPr>
          <w:p w14:paraId="431B920E"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143" w:type="dxa"/>
            <w:tcBorders>
              <w:top w:val="nil"/>
              <w:left w:val="nil"/>
              <w:bottom w:val="nil"/>
              <w:right w:val="nil"/>
            </w:tcBorders>
            <w:shd w:val="clear" w:color="auto" w:fill="auto"/>
            <w:vAlign w:val="bottom"/>
          </w:tcPr>
          <w:p w14:paraId="13BF0A6A"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992" w:type="dxa"/>
            <w:tcBorders>
              <w:top w:val="nil"/>
              <w:left w:val="nil"/>
              <w:bottom w:val="nil"/>
              <w:right w:val="nil"/>
            </w:tcBorders>
            <w:shd w:val="clear" w:color="auto" w:fill="auto"/>
            <w:vAlign w:val="bottom"/>
          </w:tcPr>
          <w:p w14:paraId="22FF4A7E"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992" w:type="dxa"/>
            <w:tcBorders>
              <w:top w:val="nil"/>
              <w:left w:val="nil"/>
              <w:bottom w:val="nil"/>
              <w:right w:val="nil"/>
            </w:tcBorders>
            <w:shd w:val="clear" w:color="auto" w:fill="auto"/>
            <w:vAlign w:val="bottom"/>
          </w:tcPr>
          <w:p w14:paraId="36D99047"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r>
      <w:tr w:rsidR="00117C74" w:rsidRPr="003D1614" w14:paraId="67E09426" w14:textId="77777777" w:rsidTr="00DF6355">
        <w:trPr>
          <w:trHeight w:val="248"/>
        </w:trPr>
        <w:tc>
          <w:tcPr>
            <w:tcW w:w="4122" w:type="dxa"/>
            <w:tcBorders>
              <w:top w:val="nil"/>
              <w:left w:val="nil"/>
              <w:bottom w:val="nil"/>
              <w:right w:val="nil"/>
            </w:tcBorders>
            <w:shd w:val="clear" w:color="auto" w:fill="auto"/>
            <w:vAlign w:val="bottom"/>
            <w:hideMark/>
          </w:tcPr>
          <w:p w14:paraId="0C3B959C" w14:textId="3FFE0D87" w:rsidR="00117C74" w:rsidRPr="003D1614" w:rsidRDefault="00117C74" w:rsidP="00117C74">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Stanje 1. siječnja 202</w:t>
            </w:r>
            <w:r>
              <w:rPr>
                <w:rFonts w:ascii="Arial" w:eastAsia="Calibri" w:hAnsi="Arial" w:cs="Arial"/>
                <w:color w:val="000000" w:themeColor="text1"/>
                <w:sz w:val="18"/>
                <w:szCs w:val="18"/>
              </w:rPr>
              <w:t>4</w:t>
            </w:r>
            <w:r w:rsidRPr="003D1614">
              <w:rPr>
                <w:rFonts w:ascii="Arial" w:eastAsia="Calibri" w:hAnsi="Arial" w:cs="Arial"/>
                <w:color w:val="000000" w:themeColor="text1"/>
                <w:sz w:val="18"/>
                <w:szCs w:val="18"/>
              </w:rPr>
              <w:t xml:space="preserve">. </w:t>
            </w:r>
          </w:p>
        </w:tc>
        <w:tc>
          <w:tcPr>
            <w:tcW w:w="1111" w:type="dxa"/>
            <w:tcBorders>
              <w:top w:val="nil"/>
              <w:left w:val="nil"/>
              <w:bottom w:val="nil"/>
              <w:right w:val="nil"/>
            </w:tcBorders>
            <w:shd w:val="clear" w:color="auto" w:fill="auto"/>
            <w:vAlign w:val="bottom"/>
          </w:tcPr>
          <w:p w14:paraId="64E73392" w14:textId="6E963EE3" w:rsidR="00117C74" w:rsidRPr="00DF6355" w:rsidRDefault="00117C74" w:rsidP="00117C74">
            <w:pPr>
              <w:suppressAutoHyphens/>
              <w:autoSpaceDN w:val="0"/>
              <w:jc w:val="right"/>
              <w:rPr>
                <w:rFonts w:ascii="Arial" w:eastAsia="Times New Roman" w:hAnsi="Arial" w:cs="Arial"/>
                <w:sz w:val="18"/>
                <w:szCs w:val="18"/>
              </w:rPr>
            </w:pPr>
            <w:r w:rsidRPr="00DF6355">
              <w:rPr>
                <w:rFonts w:ascii="Arial" w:hAnsi="Arial" w:cs="Arial"/>
                <w:sz w:val="18"/>
                <w:szCs w:val="18"/>
              </w:rPr>
              <w:t xml:space="preserve"> 19 </w:t>
            </w:r>
          </w:p>
        </w:tc>
        <w:tc>
          <w:tcPr>
            <w:tcW w:w="1034" w:type="dxa"/>
            <w:tcBorders>
              <w:top w:val="nil"/>
              <w:left w:val="nil"/>
              <w:bottom w:val="nil"/>
              <w:right w:val="nil"/>
            </w:tcBorders>
            <w:shd w:val="clear" w:color="auto" w:fill="auto"/>
            <w:vAlign w:val="bottom"/>
          </w:tcPr>
          <w:p w14:paraId="14B26732" w14:textId="14F76A4D" w:rsidR="00117C74" w:rsidRPr="00DF6355" w:rsidRDefault="00117C74" w:rsidP="00117C74">
            <w:pPr>
              <w:suppressAutoHyphens/>
              <w:autoSpaceDN w:val="0"/>
              <w:jc w:val="right"/>
              <w:rPr>
                <w:rFonts w:ascii="Arial" w:eastAsia="Times New Roman" w:hAnsi="Arial" w:cs="Arial"/>
                <w:sz w:val="18"/>
                <w:szCs w:val="18"/>
              </w:rPr>
            </w:pPr>
            <w:r w:rsidRPr="00DF6355">
              <w:rPr>
                <w:rFonts w:ascii="Arial" w:hAnsi="Arial" w:cs="Arial"/>
                <w:sz w:val="18"/>
                <w:szCs w:val="18"/>
              </w:rPr>
              <w:t xml:space="preserve"> 1 </w:t>
            </w:r>
          </w:p>
        </w:tc>
        <w:tc>
          <w:tcPr>
            <w:tcW w:w="1143" w:type="dxa"/>
            <w:tcBorders>
              <w:top w:val="nil"/>
              <w:left w:val="nil"/>
              <w:bottom w:val="nil"/>
              <w:right w:val="nil"/>
            </w:tcBorders>
            <w:shd w:val="clear" w:color="auto" w:fill="auto"/>
            <w:vAlign w:val="bottom"/>
          </w:tcPr>
          <w:p w14:paraId="1B2DA602" w14:textId="72B5CBBC" w:rsidR="00117C74" w:rsidRPr="00DF6355" w:rsidRDefault="00117C74" w:rsidP="00117C74">
            <w:pPr>
              <w:suppressAutoHyphens/>
              <w:autoSpaceDN w:val="0"/>
              <w:jc w:val="right"/>
              <w:rPr>
                <w:rFonts w:ascii="Arial" w:eastAsia="Times New Roman" w:hAnsi="Arial" w:cs="Arial"/>
                <w:sz w:val="18"/>
                <w:szCs w:val="18"/>
              </w:rPr>
            </w:pPr>
            <w:r w:rsidRPr="00DF6355">
              <w:rPr>
                <w:rFonts w:ascii="Arial" w:hAnsi="Arial" w:cs="Arial"/>
                <w:sz w:val="18"/>
                <w:szCs w:val="18"/>
              </w:rPr>
              <w:t xml:space="preserve"> 4.330 </w:t>
            </w:r>
          </w:p>
        </w:tc>
        <w:tc>
          <w:tcPr>
            <w:tcW w:w="992" w:type="dxa"/>
            <w:tcBorders>
              <w:top w:val="nil"/>
              <w:left w:val="nil"/>
              <w:bottom w:val="nil"/>
              <w:right w:val="nil"/>
            </w:tcBorders>
            <w:shd w:val="clear" w:color="auto" w:fill="auto"/>
            <w:vAlign w:val="bottom"/>
          </w:tcPr>
          <w:p w14:paraId="41466116" w14:textId="4355DB3D" w:rsidR="00117C74" w:rsidRPr="00DF6355" w:rsidRDefault="00117C74" w:rsidP="00117C74">
            <w:pPr>
              <w:suppressAutoHyphens/>
              <w:autoSpaceDN w:val="0"/>
              <w:jc w:val="right"/>
              <w:rPr>
                <w:rFonts w:ascii="Arial" w:eastAsia="Times New Roman" w:hAnsi="Arial" w:cs="Arial"/>
                <w:sz w:val="18"/>
                <w:szCs w:val="18"/>
              </w:rPr>
            </w:pPr>
            <w:r w:rsidRPr="00DF6355">
              <w:rPr>
                <w:rFonts w:ascii="Arial" w:hAnsi="Arial" w:cs="Arial"/>
                <w:sz w:val="18"/>
                <w:szCs w:val="18"/>
              </w:rPr>
              <w:t xml:space="preserve"> 35 </w:t>
            </w:r>
          </w:p>
        </w:tc>
        <w:tc>
          <w:tcPr>
            <w:tcW w:w="992" w:type="dxa"/>
            <w:tcBorders>
              <w:top w:val="nil"/>
              <w:left w:val="nil"/>
              <w:bottom w:val="nil"/>
              <w:right w:val="nil"/>
            </w:tcBorders>
            <w:shd w:val="clear" w:color="auto" w:fill="auto"/>
            <w:vAlign w:val="bottom"/>
          </w:tcPr>
          <w:p w14:paraId="440751F9" w14:textId="4FC89B63" w:rsidR="00117C74" w:rsidRPr="00DF6355" w:rsidRDefault="00117C74" w:rsidP="00117C74">
            <w:pPr>
              <w:suppressAutoHyphens/>
              <w:autoSpaceDN w:val="0"/>
              <w:jc w:val="right"/>
              <w:rPr>
                <w:rFonts w:ascii="Arial" w:eastAsia="Times New Roman" w:hAnsi="Arial" w:cs="Arial"/>
                <w:b/>
                <w:bCs/>
                <w:sz w:val="18"/>
                <w:szCs w:val="18"/>
              </w:rPr>
            </w:pPr>
            <w:r w:rsidRPr="00DF6355">
              <w:rPr>
                <w:rFonts w:ascii="Arial" w:hAnsi="Arial" w:cs="Arial"/>
                <w:b/>
                <w:bCs/>
                <w:sz w:val="18"/>
                <w:szCs w:val="18"/>
              </w:rPr>
              <w:t xml:space="preserve"> 4.385 </w:t>
            </w:r>
          </w:p>
        </w:tc>
      </w:tr>
      <w:tr w:rsidR="00557BDC" w:rsidRPr="003D1614" w14:paraId="36134C47" w14:textId="77777777" w:rsidTr="00DF6355">
        <w:trPr>
          <w:trHeight w:val="248"/>
        </w:trPr>
        <w:tc>
          <w:tcPr>
            <w:tcW w:w="4122" w:type="dxa"/>
            <w:tcBorders>
              <w:top w:val="nil"/>
              <w:left w:val="nil"/>
              <w:bottom w:val="nil"/>
              <w:right w:val="nil"/>
            </w:tcBorders>
            <w:shd w:val="clear" w:color="auto" w:fill="auto"/>
            <w:vAlign w:val="bottom"/>
          </w:tcPr>
          <w:p w14:paraId="2DA055B7" w14:textId="77777777" w:rsidR="00557BDC" w:rsidRPr="003D1614" w:rsidRDefault="00557BDC" w:rsidP="00557BDC">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1</w:t>
            </w:r>
          </w:p>
        </w:tc>
        <w:tc>
          <w:tcPr>
            <w:tcW w:w="1111" w:type="dxa"/>
            <w:tcBorders>
              <w:top w:val="nil"/>
              <w:left w:val="nil"/>
              <w:bottom w:val="nil"/>
              <w:right w:val="nil"/>
            </w:tcBorders>
            <w:shd w:val="clear" w:color="auto" w:fill="auto"/>
            <w:vAlign w:val="bottom"/>
          </w:tcPr>
          <w:p w14:paraId="7B051422" w14:textId="600A6017" w:rsidR="00557BDC" w:rsidRPr="00DF6355" w:rsidRDefault="00557BDC" w:rsidP="00557BDC">
            <w:pPr>
              <w:suppressAutoHyphens/>
              <w:autoSpaceDN w:val="0"/>
              <w:jc w:val="right"/>
              <w:rPr>
                <w:rFonts w:ascii="Arial" w:eastAsia="Times New Roman" w:hAnsi="Arial" w:cs="Arial"/>
                <w:sz w:val="18"/>
                <w:szCs w:val="18"/>
              </w:rPr>
            </w:pPr>
            <w:r w:rsidRPr="00DF6355">
              <w:rPr>
                <w:rFonts w:ascii="Arial" w:hAnsi="Arial" w:cs="Arial"/>
                <w:sz w:val="18"/>
                <w:szCs w:val="18"/>
              </w:rPr>
              <w:t xml:space="preserve"> 19 </w:t>
            </w:r>
          </w:p>
        </w:tc>
        <w:tc>
          <w:tcPr>
            <w:tcW w:w="1034" w:type="dxa"/>
            <w:tcBorders>
              <w:top w:val="nil"/>
              <w:left w:val="nil"/>
              <w:bottom w:val="nil"/>
              <w:right w:val="nil"/>
            </w:tcBorders>
            <w:shd w:val="clear" w:color="auto" w:fill="auto"/>
            <w:vAlign w:val="bottom"/>
          </w:tcPr>
          <w:p w14:paraId="0CE26792" w14:textId="161A5A61" w:rsidR="00557BDC" w:rsidRPr="00DF6355" w:rsidRDefault="00DF6355" w:rsidP="00557BDC">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143" w:type="dxa"/>
            <w:tcBorders>
              <w:top w:val="nil"/>
              <w:left w:val="nil"/>
              <w:bottom w:val="nil"/>
              <w:right w:val="nil"/>
            </w:tcBorders>
            <w:shd w:val="clear" w:color="auto" w:fill="auto"/>
            <w:vAlign w:val="bottom"/>
          </w:tcPr>
          <w:p w14:paraId="64AC1265" w14:textId="0915400E" w:rsidR="00557BDC" w:rsidRPr="00DF6355" w:rsidRDefault="00557BDC" w:rsidP="00557BDC">
            <w:pPr>
              <w:suppressAutoHyphens/>
              <w:autoSpaceDN w:val="0"/>
              <w:jc w:val="right"/>
              <w:rPr>
                <w:rFonts w:ascii="Arial" w:eastAsia="Times New Roman" w:hAnsi="Arial" w:cs="Arial"/>
                <w:sz w:val="18"/>
                <w:szCs w:val="18"/>
              </w:rPr>
            </w:pPr>
            <w:r w:rsidRPr="00DF6355">
              <w:rPr>
                <w:rFonts w:ascii="Arial" w:hAnsi="Arial" w:cs="Arial"/>
                <w:sz w:val="18"/>
                <w:szCs w:val="18"/>
              </w:rPr>
              <w:t xml:space="preserve"> (19)</w:t>
            </w:r>
          </w:p>
        </w:tc>
        <w:tc>
          <w:tcPr>
            <w:tcW w:w="992" w:type="dxa"/>
            <w:tcBorders>
              <w:top w:val="nil"/>
              <w:left w:val="nil"/>
              <w:bottom w:val="nil"/>
              <w:right w:val="nil"/>
            </w:tcBorders>
            <w:shd w:val="clear" w:color="auto" w:fill="auto"/>
            <w:vAlign w:val="bottom"/>
          </w:tcPr>
          <w:p w14:paraId="384A9C09" w14:textId="0C09F037" w:rsidR="00557BDC" w:rsidRPr="00DF6355" w:rsidRDefault="00DF6355" w:rsidP="00557BDC">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992" w:type="dxa"/>
            <w:tcBorders>
              <w:top w:val="nil"/>
              <w:left w:val="nil"/>
              <w:bottom w:val="nil"/>
              <w:right w:val="nil"/>
            </w:tcBorders>
            <w:shd w:val="clear" w:color="auto" w:fill="auto"/>
            <w:vAlign w:val="bottom"/>
          </w:tcPr>
          <w:p w14:paraId="2150DBF7" w14:textId="0F471508" w:rsidR="00557BDC" w:rsidRPr="00DF6355" w:rsidRDefault="00557BDC" w:rsidP="00557BDC">
            <w:pPr>
              <w:suppressAutoHyphens/>
              <w:autoSpaceDN w:val="0"/>
              <w:jc w:val="right"/>
              <w:rPr>
                <w:rFonts w:ascii="Arial" w:eastAsia="Times New Roman" w:hAnsi="Arial" w:cs="Arial"/>
                <w:b/>
                <w:bCs/>
                <w:sz w:val="18"/>
                <w:szCs w:val="18"/>
              </w:rPr>
            </w:pPr>
            <w:r w:rsidRPr="00DF6355">
              <w:rPr>
                <w:rFonts w:ascii="Arial" w:hAnsi="Arial" w:cs="Arial"/>
                <w:b/>
                <w:bCs/>
                <w:sz w:val="18"/>
                <w:szCs w:val="18"/>
              </w:rPr>
              <w:t xml:space="preserve"> - </w:t>
            </w:r>
          </w:p>
        </w:tc>
      </w:tr>
      <w:tr w:rsidR="00D57E33" w:rsidRPr="003D1614" w14:paraId="13A7E166" w14:textId="77777777" w:rsidTr="00DF6355">
        <w:trPr>
          <w:trHeight w:val="248"/>
        </w:trPr>
        <w:tc>
          <w:tcPr>
            <w:tcW w:w="4122" w:type="dxa"/>
            <w:tcBorders>
              <w:top w:val="nil"/>
              <w:left w:val="nil"/>
              <w:bottom w:val="nil"/>
              <w:right w:val="nil"/>
            </w:tcBorders>
            <w:shd w:val="clear" w:color="auto" w:fill="auto"/>
            <w:vAlign w:val="bottom"/>
          </w:tcPr>
          <w:p w14:paraId="1D620674" w14:textId="77777777" w:rsidR="00D57E33" w:rsidRPr="003D1614" w:rsidRDefault="00D57E33" w:rsidP="00D57E33">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2</w:t>
            </w:r>
          </w:p>
        </w:tc>
        <w:tc>
          <w:tcPr>
            <w:tcW w:w="1111" w:type="dxa"/>
            <w:tcBorders>
              <w:top w:val="nil"/>
              <w:left w:val="nil"/>
              <w:bottom w:val="nil"/>
              <w:right w:val="nil"/>
            </w:tcBorders>
            <w:shd w:val="clear" w:color="auto" w:fill="auto"/>
            <w:vAlign w:val="bottom"/>
          </w:tcPr>
          <w:p w14:paraId="549E4EA1" w14:textId="74513190" w:rsidR="00D57E33" w:rsidRPr="00DF6355" w:rsidRDefault="00DF6355" w:rsidP="00D57E33">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34" w:type="dxa"/>
            <w:tcBorders>
              <w:top w:val="nil"/>
              <w:left w:val="nil"/>
              <w:bottom w:val="nil"/>
              <w:right w:val="nil"/>
            </w:tcBorders>
            <w:shd w:val="clear" w:color="auto" w:fill="auto"/>
            <w:vAlign w:val="bottom"/>
          </w:tcPr>
          <w:p w14:paraId="583B630F" w14:textId="526F865A" w:rsidR="00D57E33" w:rsidRPr="00DF6355" w:rsidRDefault="00DF6355" w:rsidP="00D57E33">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143" w:type="dxa"/>
            <w:tcBorders>
              <w:top w:val="nil"/>
              <w:left w:val="nil"/>
              <w:bottom w:val="nil"/>
              <w:right w:val="nil"/>
            </w:tcBorders>
            <w:shd w:val="clear" w:color="auto" w:fill="auto"/>
            <w:vAlign w:val="bottom"/>
          </w:tcPr>
          <w:p w14:paraId="795417DA" w14:textId="1B81FC72" w:rsidR="00D57E33" w:rsidRPr="00DF6355" w:rsidRDefault="00DF6355" w:rsidP="00D57E33">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992" w:type="dxa"/>
            <w:tcBorders>
              <w:top w:val="nil"/>
              <w:left w:val="nil"/>
              <w:bottom w:val="nil"/>
              <w:right w:val="nil"/>
            </w:tcBorders>
            <w:shd w:val="clear" w:color="auto" w:fill="auto"/>
            <w:vAlign w:val="bottom"/>
          </w:tcPr>
          <w:p w14:paraId="2A240B7F" w14:textId="37FB8461" w:rsidR="00D57E33" w:rsidRPr="00DF6355" w:rsidRDefault="00DF6355" w:rsidP="00D57E33">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992" w:type="dxa"/>
            <w:tcBorders>
              <w:top w:val="nil"/>
              <w:left w:val="nil"/>
              <w:bottom w:val="nil"/>
              <w:right w:val="nil"/>
            </w:tcBorders>
            <w:shd w:val="clear" w:color="auto" w:fill="auto"/>
            <w:vAlign w:val="bottom"/>
          </w:tcPr>
          <w:p w14:paraId="43D9C002" w14:textId="471245B2" w:rsidR="00D57E33" w:rsidRPr="00DF6355" w:rsidRDefault="00DF6355" w:rsidP="00D57E33">
            <w:pPr>
              <w:suppressAutoHyphens/>
              <w:autoSpaceDN w:val="0"/>
              <w:jc w:val="right"/>
              <w:rPr>
                <w:rFonts w:ascii="Arial" w:eastAsia="Times New Roman" w:hAnsi="Arial" w:cs="Arial"/>
                <w:b/>
                <w:bCs/>
                <w:sz w:val="18"/>
                <w:szCs w:val="18"/>
              </w:rPr>
            </w:pPr>
            <w:r>
              <w:rPr>
                <w:rFonts w:ascii="Arial" w:eastAsia="Times New Roman" w:hAnsi="Arial" w:cs="Arial"/>
                <w:b/>
                <w:bCs/>
                <w:sz w:val="18"/>
                <w:szCs w:val="18"/>
              </w:rPr>
              <w:t>-</w:t>
            </w:r>
          </w:p>
        </w:tc>
      </w:tr>
      <w:tr w:rsidR="00D57E33" w:rsidRPr="003D1614" w14:paraId="0D233A9C" w14:textId="77777777" w:rsidTr="00DF6355">
        <w:trPr>
          <w:trHeight w:val="248"/>
        </w:trPr>
        <w:tc>
          <w:tcPr>
            <w:tcW w:w="4122" w:type="dxa"/>
            <w:tcBorders>
              <w:top w:val="nil"/>
              <w:left w:val="nil"/>
              <w:bottom w:val="nil"/>
              <w:right w:val="nil"/>
            </w:tcBorders>
            <w:shd w:val="clear" w:color="auto" w:fill="auto"/>
            <w:vAlign w:val="bottom"/>
            <w:hideMark/>
          </w:tcPr>
          <w:p w14:paraId="2A7EC346" w14:textId="77777777" w:rsidR="00D57E33" w:rsidRPr="003D1614" w:rsidRDefault="00D57E33" w:rsidP="00D57E33">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3</w:t>
            </w:r>
          </w:p>
        </w:tc>
        <w:tc>
          <w:tcPr>
            <w:tcW w:w="1111" w:type="dxa"/>
            <w:tcBorders>
              <w:top w:val="nil"/>
              <w:left w:val="nil"/>
              <w:bottom w:val="nil"/>
              <w:right w:val="nil"/>
            </w:tcBorders>
            <w:shd w:val="clear" w:color="auto" w:fill="auto"/>
            <w:vAlign w:val="bottom"/>
          </w:tcPr>
          <w:p w14:paraId="5C161744" w14:textId="69E75B5E" w:rsidR="00D57E33" w:rsidRPr="00DF6355" w:rsidRDefault="00DF6355" w:rsidP="00D57E33">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34" w:type="dxa"/>
            <w:tcBorders>
              <w:top w:val="nil"/>
              <w:left w:val="nil"/>
              <w:bottom w:val="nil"/>
              <w:right w:val="nil"/>
            </w:tcBorders>
            <w:shd w:val="clear" w:color="auto" w:fill="auto"/>
            <w:vAlign w:val="bottom"/>
          </w:tcPr>
          <w:p w14:paraId="56876671" w14:textId="6BA9214D" w:rsidR="00D57E33" w:rsidRPr="00DF6355" w:rsidRDefault="00DF6355" w:rsidP="00D57E33">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143" w:type="dxa"/>
            <w:tcBorders>
              <w:top w:val="nil"/>
              <w:left w:val="nil"/>
              <w:bottom w:val="nil"/>
              <w:right w:val="nil"/>
            </w:tcBorders>
            <w:shd w:val="clear" w:color="auto" w:fill="auto"/>
            <w:vAlign w:val="bottom"/>
          </w:tcPr>
          <w:p w14:paraId="2371D59E" w14:textId="64BE5B68" w:rsidR="00D57E33" w:rsidRPr="00DF6355" w:rsidRDefault="00DF6355" w:rsidP="00D57E33">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992" w:type="dxa"/>
            <w:tcBorders>
              <w:top w:val="nil"/>
              <w:left w:val="nil"/>
              <w:bottom w:val="nil"/>
              <w:right w:val="nil"/>
            </w:tcBorders>
            <w:shd w:val="clear" w:color="auto" w:fill="auto"/>
            <w:vAlign w:val="bottom"/>
          </w:tcPr>
          <w:p w14:paraId="611CDCB2" w14:textId="75C5953F" w:rsidR="00D57E33" w:rsidRPr="00DF6355" w:rsidRDefault="00DF6355" w:rsidP="00D57E33">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992" w:type="dxa"/>
            <w:tcBorders>
              <w:top w:val="nil"/>
              <w:left w:val="nil"/>
              <w:bottom w:val="nil"/>
              <w:right w:val="nil"/>
            </w:tcBorders>
            <w:shd w:val="clear" w:color="auto" w:fill="auto"/>
            <w:vAlign w:val="bottom"/>
          </w:tcPr>
          <w:p w14:paraId="2B4B91C0" w14:textId="230889F1" w:rsidR="00D57E33" w:rsidRPr="00DF6355" w:rsidRDefault="00DF6355" w:rsidP="00D57E33">
            <w:pPr>
              <w:suppressAutoHyphens/>
              <w:autoSpaceDN w:val="0"/>
              <w:jc w:val="right"/>
              <w:rPr>
                <w:rFonts w:ascii="Arial" w:eastAsia="Times New Roman" w:hAnsi="Arial" w:cs="Arial"/>
                <w:b/>
                <w:bCs/>
                <w:sz w:val="18"/>
                <w:szCs w:val="18"/>
              </w:rPr>
            </w:pPr>
            <w:r>
              <w:rPr>
                <w:rFonts w:ascii="Arial" w:eastAsia="Times New Roman" w:hAnsi="Arial" w:cs="Arial"/>
                <w:b/>
                <w:bCs/>
                <w:sz w:val="18"/>
                <w:szCs w:val="18"/>
              </w:rPr>
              <w:t>-</w:t>
            </w:r>
          </w:p>
        </w:tc>
      </w:tr>
      <w:tr w:rsidR="00B01D44" w:rsidRPr="003D1614" w14:paraId="6E45F152" w14:textId="77777777" w:rsidTr="00DF6355">
        <w:trPr>
          <w:trHeight w:val="311"/>
        </w:trPr>
        <w:tc>
          <w:tcPr>
            <w:tcW w:w="4122" w:type="dxa"/>
            <w:tcBorders>
              <w:top w:val="nil"/>
              <w:left w:val="nil"/>
              <w:bottom w:val="nil"/>
              <w:right w:val="nil"/>
            </w:tcBorders>
            <w:shd w:val="clear" w:color="auto" w:fill="auto"/>
            <w:vAlign w:val="bottom"/>
            <w:hideMark/>
          </w:tcPr>
          <w:p w14:paraId="1B8C2D91" w14:textId="132B974A" w:rsidR="00B01D44" w:rsidRPr="003D1614" w:rsidRDefault="00B01D44" w:rsidP="00B01D44">
            <w:pPr>
              <w:suppressAutoHyphens/>
              <w:autoSpaceDN w:val="0"/>
              <w:rPr>
                <w:rFonts w:ascii="Arial" w:eastAsia="Calibri" w:hAnsi="Arial" w:cs="Arial"/>
                <w:color w:val="000000" w:themeColor="text1"/>
                <w:sz w:val="18"/>
                <w:szCs w:val="18"/>
              </w:rPr>
            </w:pPr>
            <w:r w:rsidRPr="00467C62">
              <w:rPr>
                <w:rFonts w:ascii="Arial" w:eastAsia="Calibri" w:hAnsi="Arial" w:cs="Arial"/>
                <w:color w:val="000000" w:themeColor="text1"/>
                <w:sz w:val="18"/>
                <w:szCs w:val="18"/>
              </w:rPr>
              <w:t>Neto (</w:t>
            </w:r>
            <w:r w:rsidRPr="00071AFB">
              <w:rPr>
                <w:rFonts w:ascii="Arial" w:eastAsia="Calibri" w:hAnsi="Arial" w:cs="Arial"/>
                <w:color w:val="000000" w:themeColor="text1"/>
                <w:sz w:val="18"/>
                <w:szCs w:val="18"/>
              </w:rPr>
              <w:t>smanjenje)/povećanje</w:t>
            </w:r>
            <w:r w:rsidRPr="003D1614">
              <w:rPr>
                <w:rFonts w:ascii="Arial" w:eastAsia="Calibri" w:hAnsi="Arial" w:cs="Arial"/>
                <w:color w:val="000000" w:themeColor="text1"/>
                <w:sz w:val="18"/>
                <w:szCs w:val="18"/>
              </w:rPr>
              <w:t xml:space="preserve"> rezerviranja za očekivane gubitke </w:t>
            </w:r>
          </w:p>
        </w:tc>
        <w:tc>
          <w:tcPr>
            <w:tcW w:w="1111" w:type="dxa"/>
            <w:tcBorders>
              <w:top w:val="nil"/>
              <w:left w:val="nil"/>
              <w:bottom w:val="nil"/>
              <w:right w:val="nil"/>
            </w:tcBorders>
            <w:shd w:val="clear" w:color="auto" w:fill="auto"/>
            <w:vAlign w:val="bottom"/>
          </w:tcPr>
          <w:p w14:paraId="6BBCE4AC" w14:textId="6F4FB39E" w:rsidR="00B01D44" w:rsidRPr="00DF6355" w:rsidRDefault="00B01D44" w:rsidP="00B01D44">
            <w:pPr>
              <w:suppressAutoHyphens/>
              <w:autoSpaceDN w:val="0"/>
              <w:jc w:val="right"/>
              <w:rPr>
                <w:rFonts w:ascii="Arial" w:eastAsia="Times New Roman" w:hAnsi="Arial" w:cs="Arial"/>
                <w:sz w:val="18"/>
                <w:szCs w:val="18"/>
              </w:rPr>
            </w:pPr>
            <w:r w:rsidRPr="00DF6355">
              <w:rPr>
                <w:rFonts w:ascii="Arial" w:hAnsi="Arial" w:cs="Arial"/>
                <w:sz w:val="18"/>
                <w:szCs w:val="18"/>
              </w:rPr>
              <w:t xml:space="preserve"> (16)</w:t>
            </w:r>
          </w:p>
        </w:tc>
        <w:tc>
          <w:tcPr>
            <w:tcW w:w="1034" w:type="dxa"/>
            <w:tcBorders>
              <w:top w:val="nil"/>
              <w:left w:val="nil"/>
              <w:bottom w:val="nil"/>
              <w:right w:val="nil"/>
            </w:tcBorders>
            <w:shd w:val="clear" w:color="auto" w:fill="auto"/>
            <w:vAlign w:val="bottom"/>
          </w:tcPr>
          <w:p w14:paraId="489D81E3" w14:textId="5FAAAFF4" w:rsidR="00B01D44" w:rsidRPr="00DF6355" w:rsidRDefault="00B01D44" w:rsidP="00B01D44">
            <w:pPr>
              <w:suppressAutoHyphens/>
              <w:autoSpaceDN w:val="0"/>
              <w:jc w:val="right"/>
              <w:rPr>
                <w:rFonts w:ascii="Arial" w:eastAsia="Times New Roman" w:hAnsi="Arial" w:cs="Arial"/>
                <w:sz w:val="18"/>
                <w:szCs w:val="18"/>
              </w:rPr>
            </w:pPr>
            <w:r w:rsidRPr="00DF6355">
              <w:rPr>
                <w:rFonts w:ascii="Arial" w:hAnsi="Arial" w:cs="Arial"/>
                <w:sz w:val="18"/>
                <w:szCs w:val="18"/>
              </w:rPr>
              <w:t xml:space="preserve"> 1 </w:t>
            </w:r>
          </w:p>
        </w:tc>
        <w:tc>
          <w:tcPr>
            <w:tcW w:w="1143" w:type="dxa"/>
            <w:tcBorders>
              <w:top w:val="nil"/>
              <w:left w:val="nil"/>
              <w:bottom w:val="nil"/>
              <w:right w:val="nil"/>
            </w:tcBorders>
            <w:shd w:val="clear" w:color="auto" w:fill="auto"/>
            <w:vAlign w:val="bottom"/>
          </w:tcPr>
          <w:p w14:paraId="5D8CAE6A" w14:textId="322D11B6" w:rsidR="00B01D44" w:rsidRPr="00DF6355" w:rsidRDefault="00B01D44" w:rsidP="00B01D44">
            <w:pPr>
              <w:suppressAutoHyphens/>
              <w:autoSpaceDN w:val="0"/>
              <w:jc w:val="right"/>
              <w:rPr>
                <w:rFonts w:ascii="Arial" w:eastAsia="Times New Roman" w:hAnsi="Arial" w:cs="Arial"/>
                <w:sz w:val="18"/>
                <w:szCs w:val="18"/>
              </w:rPr>
            </w:pPr>
            <w:r w:rsidRPr="00DF6355">
              <w:rPr>
                <w:rFonts w:ascii="Arial" w:hAnsi="Arial" w:cs="Arial"/>
                <w:sz w:val="18"/>
                <w:szCs w:val="18"/>
              </w:rPr>
              <w:t xml:space="preserve"> 352 </w:t>
            </w:r>
          </w:p>
        </w:tc>
        <w:tc>
          <w:tcPr>
            <w:tcW w:w="992" w:type="dxa"/>
            <w:tcBorders>
              <w:top w:val="nil"/>
              <w:left w:val="nil"/>
              <w:bottom w:val="nil"/>
              <w:right w:val="nil"/>
            </w:tcBorders>
            <w:shd w:val="clear" w:color="auto" w:fill="auto"/>
            <w:vAlign w:val="bottom"/>
          </w:tcPr>
          <w:p w14:paraId="790C0740" w14:textId="060D4671" w:rsidR="00B01D44" w:rsidRPr="00DF6355" w:rsidRDefault="00B01D44" w:rsidP="00B01D44">
            <w:pPr>
              <w:suppressAutoHyphens/>
              <w:autoSpaceDN w:val="0"/>
              <w:jc w:val="right"/>
              <w:rPr>
                <w:rFonts w:ascii="Arial" w:eastAsia="Times New Roman" w:hAnsi="Arial" w:cs="Arial"/>
                <w:sz w:val="18"/>
                <w:szCs w:val="18"/>
              </w:rPr>
            </w:pPr>
            <w:r w:rsidRPr="00DF6355">
              <w:rPr>
                <w:rFonts w:ascii="Arial" w:hAnsi="Arial" w:cs="Arial"/>
                <w:sz w:val="18"/>
                <w:szCs w:val="18"/>
              </w:rPr>
              <w:t xml:space="preserve"> (1)</w:t>
            </w:r>
          </w:p>
        </w:tc>
        <w:tc>
          <w:tcPr>
            <w:tcW w:w="992" w:type="dxa"/>
            <w:tcBorders>
              <w:top w:val="nil"/>
              <w:left w:val="nil"/>
              <w:bottom w:val="nil"/>
              <w:right w:val="nil"/>
            </w:tcBorders>
            <w:shd w:val="clear" w:color="auto" w:fill="auto"/>
            <w:vAlign w:val="bottom"/>
          </w:tcPr>
          <w:p w14:paraId="5D7F0DEC" w14:textId="46540FED" w:rsidR="00B01D44" w:rsidRPr="00DF6355" w:rsidRDefault="00B01D44" w:rsidP="00B01D44">
            <w:pPr>
              <w:suppressAutoHyphens/>
              <w:autoSpaceDN w:val="0"/>
              <w:jc w:val="right"/>
              <w:rPr>
                <w:rFonts w:ascii="Arial" w:eastAsia="Times New Roman" w:hAnsi="Arial" w:cs="Arial"/>
                <w:b/>
                <w:bCs/>
                <w:sz w:val="18"/>
                <w:szCs w:val="18"/>
              </w:rPr>
            </w:pPr>
            <w:r w:rsidRPr="00DF6355">
              <w:rPr>
                <w:rFonts w:ascii="Arial" w:hAnsi="Arial" w:cs="Arial"/>
                <w:b/>
                <w:bCs/>
                <w:sz w:val="18"/>
                <w:szCs w:val="18"/>
              </w:rPr>
              <w:t xml:space="preserve"> 336 </w:t>
            </w:r>
          </w:p>
        </w:tc>
      </w:tr>
      <w:tr w:rsidR="00B01D44" w:rsidRPr="003D1614" w14:paraId="2C4D7196" w14:textId="77777777" w:rsidTr="00DF6355">
        <w:trPr>
          <w:trHeight w:val="111"/>
        </w:trPr>
        <w:tc>
          <w:tcPr>
            <w:tcW w:w="4122" w:type="dxa"/>
            <w:tcBorders>
              <w:top w:val="nil"/>
              <w:left w:val="nil"/>
              <w:bottom w:val="nil"/>
              <w:right w:val="nil"/>
            </w:tcBorders>
            <w:shd w:val="clear" w:color="auto" w:fill="auto"/>
            <w:vAlign w:val="bottom"/>
          </w:tcPr>
          <w:p w14:paraId="0C47C7C9" w14:textId="77777777" w:rsidR="00B01D44" w:rsidRPr="003D1614" w:rsidRDefault="00B01D44" w:rsidP="00B01D44">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Otpis</w:t>
            </w:r>
          </w:p>
        </w:tc>
        <w:tc>
          <w:tcPr>
            <w:tcW w:w="1111" w:type="dxa"/>
            <w:tcBorders>
              <w:top w:val="nil"/>
              <w:left w:val="nil"/>
              <w:bottom w:val="nil"/>
              <w:right w:val="nil"/>
            </w:tcBorders>
            <w:shd w:val="clear" w:color="auto" w:fill="auto"/>
            <w:vAlign w:val="bottom"/>
          </w:tcPr>
          <w:p w14:paraId="38C81A33" w14:textId="517AA85D" w:rsidR="00B01D44" w:rsidRPr="00DF6355" w:rsidRDefault="00B01D44" w:rsidP="00B01D44">
            <w:pPr>
              <w:suppressAutoHyphens/>
              <w:autoSpaceDN w:val="0"/>
              <w:jc w:val="right"/>
              <w:rPr>
                <w:rFonts w:ascii="Arial" w:eastAsia="Times New Roman" w:hAnsi="Arial" w:cs="Arial"/>
                <w:sz w:val="18"/>
                <w:szCs w:val="18"/>
              </w:rPr>
            </w:pPr>
            <w:r w:rsidRPr="00DF6355">
              <w:rPr>
                <w:rFonts w:ascii="Arial" w:hAnsi="Arial" w:cs="Arial"/>
                <w:sz w:val="18"/>
                <w:szCs w:val="18"/>
              </w:rPr>
              <w:t xml:space="preserve"> (20)</w:t>
            </w:r>
          </w:p>
        </w:tc>
        <w:tc>
          <w:tcPr>
            <w:tcW w:w="1034" w:type="dxa"/>
            <w:tcBorders>
              <w:top w:val="nil"/>
              <w:left w:val="nil"/>
              <w:bottom w:val="nil"/>
              <w:right w:val="nil"/>
            </w:tcBorders>
            <w:shd w:val="clear" w:color="auto" w:fill="auto"/>
            <w:vAlign w:val="bottom"/>
          </w:tcPr>
          <w:p w14:paraId="6FA1E87F" w14:textId="19A0B8F2" w:rsidR="00B01D44" w:rsidRPr="00DF6355" w:rsidRDefault="00DF6355" w:rsidP="00B01D44">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143" w:type="dxa"/>
            <w:tcBorders>
              <w:top w:val="nil"/>
              <w:left w:val="nil"/>
              <w:bottom w:val="nil"/>
              <w:right w:val="nil"/>
            </w:tcBorders>
            <w:shd w:val="clear" w:color="auto" w:fill="auto"/>
            <w:vAlign w:val="bottom"/>
          </w:tcPr>
          <w:p w14:paraId="31614567" w14:textId="6999C735" w:rsidR="00B01D44" w:rsidRPr="00DF6355" w:rsidRDefault="00B01D44" w:rsidP="00B01D44">
            <w:pPr>
              <w:suppressAutoHyphens/>
              <w:autoSpaceDN w:val="0"/>
              <w:jc w:val="right"/>
              <w:rPr>
                <w:rFonts w:ascii="Arial" w:eastAsia="Times New Roman" w:hAnsi="Arial" w:cs="Arial"/>
                <w:sz w:val="18"/>
                <w:szCs w:val="18"/>
              </w:rPr>
            </w:pPr>
            <w:r w:rsidRPr="00DF6355">
              <w:rPr>
                <w:rFonts w:ascii="Arial" w:hAnsi="Arial" w:cs="Arial"/>
                <w:sz w:val="18"/>
                <w:szCs w:val="18"/>
              </w:rPr>
              <w:t xml:space="preserve"> (16)</w:t>
            </w:r>
          </w:p>
        </w:tc>
        <w:tc>
          <w:tcPr>
            <w:tcW w:w="992" w:type="dxa"/>
            <w:tcBorders>
              <w:top w:val="nil"/>
              <w:left w:val="nil"/>
              <w:bottom w:val="nil"/>
              <w:right w:val="nil"/>
            </w:tcBorders>
            <w:shd w:val="clear" w:color="auto" w:fill="auto"/>
            <w:vAlign w:val="bottom"/>
          </w:tcPr>
          <w:p w14:paraId="7BB03E3B" w14:textId="45E3DFF3" w:rsidR="00B01D44" w:rsidRPr="00DF6355" w:rsidRDefault="00DF6355" w:rsidP="00B01D44">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992" w:type="dxa"/>
            <w:tcBorders>
              <w:top w:val="nil"/>
              <w:left w:val="nil"/>
              <w:bottom w:val="nil"/>
              <w:right w:val="nil"/>
            </w:tcBorders>
            <w:shd w:val="clear" w:color="auto" w:fill="auto"/>
            <w:vAlign w:val="bottom"/>
          </w:tcPr>
          <w:p w14:paraId="33505804" w14:textId="4B7C2AC6" w:rsidR="00B01D44" w:rsidRPr="00DF6355" w:rsidRDefault="00B01D44" w:rsidP="00B01D44">
            <w:pPr>
              <w:suppressAutoHyphens/>
              <w:autoSpaceDN w:val="0"/>
              <w:jc w:val="right"/>
              <w:rPr>
                <w:rFonts w:ascii="Arial" w:eastAsia="Times New Roman" w:hAnsi="Arial" w:cs="Arial"/>
                <w:b/>
                <w:bCs/>
                <w:sz w:val="18"/>
                <w:szCs w:val="18"/>
              </w:rPr>
            </w:pPr>
            <w:r w:rsidRPr="00DF6355">
              <w:rPr>
                <w:rFonts w:ascii="Arial" w:hAnsi="Arial" w:cs="Arial"/>
                <w:b/>
                <w:bCs/>
                <w:sz w:val="18"/>
                <w:szCs w:val="18"/>
              </w:rPr>
              <w:t xml:space="preserve"> (36)</w:t>
            </w:r>
          </w:p>
        </w:tc>
      </w:tr>
      <w:tr w:rsidR="00B01D44" w:rsidRPr="003D1614" w14:paraId="2A0ADD2D" w14:textId="77777777" w:rsidTr="00DF6355">
        <w:trPr>
          <w:trHeight w:val="261"/>
        </w:trPr>
        <w:tc>
          <w:tcPr>
            <w:tcW w:w="4122" w:type="dxa"/>
            <w:tcBorders>
              <w:top w:val="nil"/>
              <w:left w:val="nil"/>
              <w:bottom w:val="nil"/>
              <w:right w:val="nil"/>
            </w:tcBorders>
            <w:shd w:val="clear" w:color="auto" w:fill="auto"/>
            <w:vAlign w:val="bottom"/>
            <w:hideMark/>
          </w:tcPr>
          <w:p w14:paraId="320B630E" w14:textId="77777777" w:rsidR="00B01D44" w:rsidRPr="003D1614" w:rsidRDefault="00B01D44" w:rsidP="00B01D44">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Neto dobit/gubitak od tečajnih razlika po rezerviranjima za očekivane gubitke</w:t>
            </w:r>
          </w:p>
        </w:tc>
        <w:tc>
          <w:tcPr>
            <w:tcW w:w="1111" w:type="dxa"/>
            <w:tcBorders>
              <w:top w:val="nil"/>
              <w:left w:val="nil"/>
              <w:right w:val="nil"/>
            </w:tcBorders>
            <w:shd w:val="clear" w:color="auto" w:fill="auto"/>
            <w:vAlign w:val="bottom"/>
          </w:tcPr>
          <w:p w14:paraId="79E3E893" w14:textId="5213446B" w:rsidR="00B01D44" w:rsidRPr="00DF6355" w:rsidRDefault="00DF6355" w:rsidP="00B01D44">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34" w:type="dxa"/>
            <w:tcBorders>
              <w:top w:val="nil"/>
              <w:left w:val="nil"/>
              <w:right w:val="nil"/>
            </w:tcBorders>
            <w:shd w:val="clear" w:color="auto" w:fill="auto"/>
            <w:vAlign w:val="bottom"/>
          </w:tcPr>
          <w:p w14:paraId="375E3D19" w14:textId="4834A03A" w:rsidR="00B01D44" w:rsidRPr="00DF6355" w:rsidRDefault="00DF6355" w:rsidP="00B01D44">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143" w:type="dxa"/>
            <w:tcBorders>
              <w:top w:val="nil"/>
              <w:left w:val="nil"/>
              <w:right w:val="nil"/>
            </w:tcBorders>
            <w:shd w:val="clear" w:color="auto" w:fill="auto"/>
            <w:vAlign w:val="bottom"/>
          </w:tcPr>
          <w:p w14:paraId="355ABEED" w14:textId="7D3BCA7E" w:rsidR="00B01D44" w:rsidRPr="00DF6355" w:rsidRDefault="00B01D44" w:rsidP="00B01D44">
            <w:pPr>
              <w:suppressAutoHyphens/>
              <w:autoSpaceDN w:val="0"/>
              <w:jc w:val="right"/>
              <w:rPr>
                <w:rFonts w:ascii="Arial" w:eastAsia="Times New Roman" w:hAnsi="Arial" w:cs="Arial"/>
                <w:sz w:val="18"/>
                <w:szCs w:val="18"/>
              </w:rPr>
            </w:pPr>
            <w:r w:rsidRPr="00DF6355">
              <w:rPr>
                <w:rFonts w:ascii="Arial" w:hAnsi="Arial" w:cs="Arial"/>
                <w:sz w:val="18"/>
                <w:szCs w:val="18"/>
              </w:rPr>
              <w:t xml:space="preserve"> 3 </w:t>
            </w:r>
          </w:p>
        </w:tc>
        <w:tc>
          <w:tcPr>
            <w:tcW w:w="992" w:type="dxa"/>
            <w:tcBorders>
              <w:top w:val="nil"/>
              <w:left w:val="nil"/>
              <w:right w:val="nil"/>
            </w:tcBorders>
            <w:shd w:val="clear" w:color="auto" w:fill="auto"/>
            <w:vAlign w:val="bottom"/>
          </w:tcPr>
          <w:p w14:paraId="755B5194" w14:textId="25F3A55E" w:rsidR="00B01D44" w:rsidRPr="00DF6355" w:rsidRDefault="00DF6355" w:rsidP="00B01D44">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992" w:type="dxa"/>
            <w:tcBorders>
              <w:top w:val="nil"/>
              <w:left w:val="nil"/>
              <w:right w:val="nil"/>
            </w:tcBorders>
            <w:shd w:val="clear" w:color="auto" w:fill="auto"/>
            <w:vAlign w:val="bottom"/>
          </w:tcPr>
          <w:p w14:paraId="4B557F8B" w14:textId="79D44399" w:rsidR="00B01D44" w:rsidRPr="00DF6355" w:rsidRDefault="00B01D44" w:rsidP="00B01D44">
            <w:pPr>
              <w:suppressAutoHyphens/>
              <w:autoSpaceDN w:val="0"/>
              <w:jc w:val="right"/>
              <w:rPr>
                <w:rFonts w:ascii="Arial" w:eastAsia="Times New Roman" w:hAnsi="Arial" w:cs="Arial"/>
                <w:b/>
                <w:bCs/>
                <w:sz w:val="18"/>
                <w:szCs w:val="18"/>
              </w:rPr>
            </w:pPr>
            <w:r w:rsidRPr="00DF6355">
              <w:rPr>
                <w:rFonts w:ascii="Arial" w:hAnsi="Arial" w:cs="Arial"/>
                <w:b/>
                <w:bCs/>
                <w:sz w:val="18"/>
                <w:szCs w:val="18"/>
              </w:rPr>
              <w:t xml:space="preserve"> 3 </w:t>
            </w:r>
          </w:p>
        </w:tc>
      </w:tr>
      <w:tr w:rsidR="00DF6355" w:rsidRPr="003D1614" w14:paraId="6EBA74AD" w14:textId="77777777" w:rsidTr="00DF6355">
        <w:trPr>
          <w:trHeight w:val="261"/>
        </w:trPr>
        <w:tc>
          <w:tcPr>
            <w:tcW w:w="4122" w:type="dxa"/>
            <w:tcBorders>
              <w:top w:val="nil"/>
              <w:left w:val="nil"/>
              <w:bottom w:val="nil"/>
              <w:right w:val="nil"/>
            </w:tcBorders>
            <w:shd w:val="clear" w:color="auto" w:fill="auto"/>
            <w:vAlign w:val="bottom"/>
          </w:tcPr>
          <w:p w14:paraId="7DD3CD7A" w14:textId="77777777" w:rsidR="00DF6355" w:rsidRPr="003D1614" w:rsidRDefault="00DF6355" w:rsidP="00DF6355">
            <w:pPr>
              <w:suppressAutoHyphens/>
              <w:autoSpaceDN w:val="0"/>
              <w:rPr>
                <w:rFonts w:ascii="Arial" w:eastAsia="Calibri" w:hAnsi="Arial" w:cs="Arial"/>
                <w:b/>
                <w:bCs/>
                <w:color w:val="000000" w:themeColor="text1"/>
                <w:sz w:val="18"/>
                <w:szCs w:val="18"/>
              </w:rPr>
            </w:pPr>
            <w:r w:rsidRPr="003D1614">
              <w:rPr>
                <w:rFonts w:ascii="Arial" w:eastAsia="Calibri" w:hAnsi="Arial" w:cs="Arial"/>
                <w:color w:val="000000" w:themeColor="text1"/>
                <w:sz w:val="18"/>
                <w:szCs w:val="18"/>
              </w:rPr>
              <w:t>Ostala usklađenja</w:t>
            </w:r>
          </w:p>
        </w:tc>
        <w:tc>
          <w:tcPr>
            <w:tcW w:w="1111" w:type="dxa"/>
            <w:tcBorders>
              <w:top w:val="nil"/>
              <w:left w:val="nil"/>
              <w:bottom w:val="single" w:sz="4" w:space="0" w:color="auto"/>
              <w:right w:val="nil"/>
            </w:tcBorders>
            <w:shd w:val="clear" w:color="auto" w:fill="auto"/>
            <w:vAlign w:val="bottom"/>
          </w:tcPr>
          <w:p w14:paraId="417EC21F" w14:textId="0F1BC7E4" w:rsidR="00DF6355" w:rsidRPr="00DF6355" w:rsidRDefault="00DF6355" w:rsidP="00DF6355">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34" w:type="dxa"/>
            <w:tcBorders>
              <w:top w:val="nil"/>
              <w:left w:val="nil"/>
              <w:bottom w:val="single" w:sz="4" w:space="0" w:color="auto"/>
              <w:right w:val="nil"/>
            </w:tcBorders>
            <w:shd w:val="clear" w:color="auto" w:fill="auto"/>
            <w:vAlign w:val="bottom"/>
          </w:tcPr>
          <w:p w14:paraId="36EA0265" w14:textId="37D026E8" w:rsidR="00DF6355" w:rsidRPr="00DF6355" w:rsidRDefault="00DF6355" w:rsidP="00DF6355">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143" w:type="dxa"/>
            <w:tcBorders>
              <w:top w:val="nil"/>
              <w:left w:val="nil"/>
              <w:bottom w:val="single" w:sz="4" w:space="0" w:color="auto"/>
              <w:right w:val="nil"/>
            </w:tcBorders>
            <w:shd w:val="clear" w:color="auto" w:fill="auto"/>
            <w:vAlign w:val="bottom"/>
          </w:tcPr>
          <w:p w14:paraId="4A6A9C15" w14:textId="47716B25" w:rsidR="00DF6355" w:rsidRPr="00DF6355" w:rsidRDefault="00DF6355" w:rsidP="00DF6355">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992" w:type="dxa"/>
            <w:tcBorders>
              <w:top w:val="nil"/>
              <w:left w:val="nil"/>
              <w:bottom w:val="single" w:sz="4" w:space="0" w:color="auto"/>
              <w:right w:val="nil"/>
            </w:tcBorders>
            <w:shd w:val="clear" w:color="auto" w:fill="auto"/>
            <w:vAlign w:val="bottom"/>
          </w:tcPr>
          <w:p w14:paraId="76F29EBA" w14:textId="6C9DC5EC" w:rsidR="00DF6355" w:rsidRPr="00DF6355" w:rsidRDefault="00DF6355" w:rsidP="00DF6355">
            <w:pPr>
              <w:suppressAutoHyphens/>
              <w:autoSpaceDN w:val="0"/>
              <w:jc w:val="right"/>
              <w:rPr>
                <w:rFonts w:ascii="Arial" w:eastAsia="Times New Roman" w:hAnsi="Arial" w:cs="Arial"/>
                <w:sz w:val="18"/>
                <w:szCs w:val="18"/>
              </w:rPr>
            </w:pPr>
            <w:r w:rsidRPr="00DF6355">
              <w:rPr>
                <w:rFonts w:ascii="Arial" w:hAnsi="Arial" w:cs="Arial"/>
                <w:sz w:val="18"/>
                <w:szCs w:val="18"/>
              </w:rPr>
              <w:t xml:space="preserve"> 1 </w:t>
            </w:r>
          </w:p>
        </w:tc>
        <w:tc>
          <w:tcPr>
            <w:tcW w:w="992" w:type="dxa"/>
            <w:tcBorders>
              <w:top w:val="nil"/>
              <w:left w:val="nil"/>
              <w:bottom w:val="single" w:sz="4" w:space="0" w:color="auto"/>
              <w:right w:val="nil"/>
            </w:tcBorders>
            <w:shd w:val="clear" w:color="auto" w:fill="auto"/>
            <w:vAlign w:val="bottom"/>
          </w:tcPr>
          <w:p w14:paraId="54C04240" w14:textId="7BBEDFA6" w:rsidR="00DF6355" w:rsidRPr="00DF6355" w:rsidRDefault="00DF6355" w:rsidP="00DF6355">
            <w:pPr>
              <w:suppressAutoHyphens/>
              <w:autoSpaceDN w:val="0"/>
              <w:jc w:val="right"/>
              <w:rPr>
                <w:rFonts w:ascii="Arial" w:eastAsia="Times New Roman" w:hAnsi="Arial" w:cs="Arial"/>
                <w:b/>
                <w:bCs/>
                <w:sz w:val="18"/>
                <w:szCs w:val="18"/>
              </w:rPr>
            </w:pPr>
            <w:r w:rsidRPr="00DF6355">
              <w:rPr>
                <w:rFonts w:ascii="Arial" w:hAnsi="Arial" w:cs="Arial"/>
                <w:b/>
                <w:bCs/>
                <w:sz w:val="18"/>
                <w:szCs w:val="18"/>
              </w:rPr>
              <w:t xml:space="preserve"> 1 </w:t>
            </w:r>
          </w:p>
        </w:tc>
      </w:tr>
      <w:tr w:rsidR="00DF6355" w:rsidRPr="003D1614" w14:paraId="3DEE3983" w14:textId="77777777" w:rsidTr="00DF6355">
        <w:trPr>
          <w:trHeight w:val="261"/>
        </w:trPr>
        <w:tc>
          <w:tcPr>
            <w:tcW w:w="4122" w:type="dxa"/>
            <w:tcBorders>
              <w:top w:val="nil"/>
              <w:left w:val="nil"/>
              <w:bottom w:val="nil"/>
              <w:right w:val="nil"/>
            </w:tcBorders>
            <w:shd w:val="clear" w:color="auto" w:fill="auto"/>
            <w:vAlign w:val="bottom"/>
            <w:hideMark/>
          </w:tcPr>
          <w:p w14:paraId="021B127A" w14:textId="61EB555F" w:rsidR="00DF6355" w:rsidRPr="003D1614" w:rsidRDefault="00DF6355" w:rsidP="00DF6355">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 xml:space="preserve">Stanje </w:t>
            </w:r>
            <w:r w:rsidRPr="00881155">
              <w:rPr>
                <w:rFonts w:ascii="Arial" w:eastAsia="Calibri" w:hAnsi="Arial" w:cs="Arial"/>
                <w:b/>
                <w:bCs/>
                <w:color w:val="000000" w:themeColor="text1"/>
                <w:sz w:val="18"/>
                <w:szCs w:val="18"/>
              </w:rPr>
              <w:t>30. rujna 202</w:t>
            </w:r>
            <w:r>
              <w:rPr>
                <w:rFonts w:ascii="Arial" w:eastAsia="Calibri" w:hAnsi="Arial" w:cs="Arial"/>
                <w:b/>
                <w:bCs/>
                <w:color w:val="000000" w:themeColor="text1"/>
                <w:sz w:val="18"/>
                <w:szCs w:val="18"/>
              </w:rPr>
              <w:t>4</w:t>
            </w:r>
            <w:r w:rsidRPr="00881155">
              <w:rPr>
                <w:rFonts w:ascii="Arial" w:eastAsia="Calibri" w:hAnsi="Arial" w:cs="Arial"/>
                <w:b/>
                <w:bCs/>
                <w:color w:val="000000" w:themeColor="text1"/>
                <w:sz w:val="18"/>
                <w:szCs w:val="18"/>
              </w:rPr>
              <w:t>.</w:t>
            </w:r>
          </w:p>
        </w:tc>
        <w:tc>
          <w:tcPr>
            <w:tcW w:w="1111" w:type="dxa"/>
            <w:tcBorders>
              <w:top w:val="single" w:sz="4" w:space="0" w:color="auto"/>
              <w:left w:val="nil"/>
              <w:bottom w:val="single" w:sz="12" w:space="0" w:color="auto"/>
              <w:right w:val="nil"/>
            </w:tcBorders>
            <w:shd w:val="clear" w:color="auto" w:fill="auto"/>
            <w:vAlign w:val="bottom"/>
          </w:tcPr>
          <w:p w14:paraId="63A08F16" w14:textId="7DA7DBA8" w:rsidR="00DF6355" w:rsidRPr="00DF6355" w:rsidRDefault="00DF6355" w:rsidP="00DF6355">
            <w:pPr>
              <w:suppressAutoHyphens/>
              <w:autoSpaceDN w:val="0"/>
              <w:jc w:val="right"/>
              <w:rPr>
                <w:rFonts w:ascii="Arial" w:eastAsia="Times New Roman" w:hAnsi="Arial" w:cs="Arial"/>
                <w:b/>
                <w:bCs/>
                <w:sz w:val="18"/>
                <w:szCs w:val="18"/>
              </w:rPr>
            </w:pPr>
            <w:r w:rsidRPr="00DF6355">
              <w:rPr>
                <w:rFonts w:ascii="Arial" w:hAnsi="Arial" w:cs="Arial"/>
                <w:b/>
                <w:bCs/>
                <w:sz w:val="18"/>
                <w:szCs w:val="18"/>
              </w:rPr>
              <w:t xml:space="preserve"> 2 </w:t>
            </w:r>
          </w:p>
        </w:tc>
        <w:tc>
          <w:tcPr>
            <w:tcW w:w="1034" w:type="dxa"/>
            <w:tcBorders>
              <w:top w:val="single" w:sz="4" w:space="0" w:color="auto"/>
              <w:left w:val="nil"/>
              <w:bottom w:val="single" w:sz="12" w:space="0" w:color="auto"/>
              <w:right w:val="nil"/>
            </w:tcBorders>
            <w:shd w:val="clear" w:color="auto" w:fill="auto"/>
            <w:vAlign w:val="bottom"/>
          </w:tcPr>
          <w:p w14:paraId="219E24C0" w14:textId="2BA2AFA6" w:rsidR="00DF6355" w:rsidRPr="00DF6355" w:rsidRDefault="00DF6355" w:rsidP="00DF6355">
            <w:pPr>
              <w:suppressAutoHyphens/>
              <w:autoSpaceDN w:val="0"/>
              <w:jc w:val="right"/>
              <w:rPr>
                <w:rFonts w:ascii="Arial" w:eastAsia="Times New Roman" w:hAnsi="Arial" w:cs="Arial"/>
                <w:b/>
                <w:bCs/>
                <w:sz w:val="18"/>
                <w:szCs w:val="18"/>
              </w:rPr>
            </w:pPr>
            <w:r w:rsidRPr="00DF6355">
              <w:rPr>
                <w:rFonts w:ascii="Arial" w:hAnsi="Arial" w:cs="Arial"/>
                <w:b/>
                <w:bCs/>
                <w:sz w:val="18"/>
                <w:szCs w:val="18"/>
              </w:rPr>
              <w:t xml:space="preserve"> 2 </w:t>
            </w:r>
          </w:p>
        </w:tc>
        <w:tc>
          <w:tcPr>
            <w:tcW w:w="1143" w:type="dxa"/>
            <w:tcBorders>
              <w:top w:val="single" w:sz="4" w:space="0" w:color="auto"/>
              <w:left w:val="nil"/>
              <w:bottom w:val="single" w:sz="12" w:space="0" w:color="auto"/>
              <w:right w:val="nil"/>
            </w:tcBorders>
            <w:shd w:val="clear" w:color="auto" w:fill="auto"/>
            <w:vAlign w:val="bottom"/>
          </w:tcPr>
          <w:p w14:paraId="4AF4977E" w14:textId="1B393146" w:rsidR="00DF6355" w:rsidRPr="00DF6355" w:rsidRDefault="00DF6355" w:rsidP="00DF6355">
            <w:pPr>
              <w:suppressAutoHyphens/>
              <w:autoSpaceDN w:val="0"/>
              <w:jc w:val="right"/>
              <w:rPr>
                <w:rFonts w:ascii="Arial" w:eastAsia="Times New Roman" w:hAnsi="Arial" w:cs="Arial"/>
                <w:b/>
                <w:bCs/>
                <w:sz w:val="18"/>
                <w:szCs w:val="18"/>
              </w:rPr>
            </w:pPr>
            <w:r w:rsidRPr="00DF6355">
              <w:rPr>
                <w:rFonts w:ascii="Arial" w:hAnsi="Arial" w:cs="Arial"/>
                <w:b/>
                <w:bCs/>
                <w:sz w:val="18"/>
                <w:szCs w:val="18"/>
              </w:rPr>
              <w:t xml:space="preserve"> 4.650 </w:t>
            </w:r>
          </w:p>
        </w:tc>
        <w:tc>
          <w:tcPr>
            <w:tcW w:w="992" w:type="dxa"/>
            <w:tcBorders>
              <w:top w:val="single" w:sz="4" w:space="0" w:color="auto"/>
              <w:left w:val="nil"/>
              <w:bottom w:val="single" w:sz="12" w:space="0" w:color="auto"/>
              <w:right w:val="nil"/>
            </w:tcBorders>
            <w:shd w:val="clear" w:color="auto" w:fill="auto"/>
            <w:vAlign w:val="bottom"/>
          </w:tcPr>
          <w:p w14:paraId="24648A07" w14:textId="7C240638" w:rsidR="00DF6355" w:rsidRPr="00DF6355" w:rsidRDefault="00DF6355" w:rsidP="00DF6355">
            <w:pPr>
              <w:suppressAutoHyphens/>
              <w:autoSpaceDN w:val="0"/>
              <w:jc w:val="right"/>
              <w:rPr>
                <w:rFonts w:ascii="Arial" w:eastAsia="Times New Roman" w:hAnsi="Arial" w:cs="Arial"/>
                <w:b/>
                <w:bCs/>
                <w:sz w:val="18"/>
                <w:szCs w:val="18"/>
              </w:rPr>
            </w:pPr>
            <w:r w:rsidRPr="00DF6355">
              <w:rPr>
                <w:rFonts w:ascii="Arial" w:hAnsi="Arial" w:cs="Arial"/>
                <w:b/>
                <w:bCs/>
                <w:sz w:val="18"/>
                <w:szCs w:val="18"/>
              </w:rPr>
              <w:t xml:space="preserve"> 35 </w:t>
            </w:r>
          </w:p>
        </w:tc>
        <w:tc>
          <w:tcPr>
            <w:tcW w:w="992" w:type="dxa"/>
            <w:tcBorders>
              <w:top w:val="single" w:sz="4" w:space="0" w:color="auto"/>
              <w:left w:val="nil"/>
              <w:bottom w:val="single" w:sz="12" w:space="0" w:color="auto"/>
              <w:right w:val="nil"/>
            </w:tcBorders>
            <w:shd w:val="clear" w:color="auto" w:fill="auto"/>
            <w:vAlign w:val="bottom"/>
          </w:tcPr>
          <w:p w14:paraId="400FEC6F" w14:textId="0D0F909A" w:rsidR="00DF6355" w:rsidRPr="00DF6355" w:rsidRDefault="00DF6355" w:rsidP="00DF6355">
            <w:pPr>
              <w:suppressAutoHyphens/>
              <w:autoSpaceDN w:val="0"/>
              <w:jc w:val="right"/>
              <w:rPr>
                <w:rFonts w:ascii="Arial" w:eastAsia="Times New Roman" w:hAnsi="Arial" w:cs="Arial"/>
                <w:b/>
                <w:bCs/>
                <w:sz w:val="18"/>
                <w:szCs w:val="18"/>
              </w:rPr>
            </w:pPr>
            <w:r w:rsidRPr="00DF6355">
              <w:rPr>
                <w:rFonts w:ascii="Arial" w:hAnsi="Arial" w:cs="Arial"/>
                <w:b/>
                <w:bCs/>
                <w:sz w:val="18"/>
                <w:szCs w:val="18"/>
              </w:rPr>
              <w:t xml:space="preserve"> 4.689 </w:t>
            </w:r>
          </w:p>
        </w:tc>
      </w:tr>
    </w:tbl>
    <w:p w14:paraId="77213299" w14:textId="77777777" w:rsidR="00A269B5" w:rsidRDefault="00A269B5" w:rsidP="00A269B5">
      <w:pPr>
        <w:suppressAutoHyphens/>
        <w:autoSpaceDN w:val="0"/>
        <w:jc w:val="both"/>
        <w:rPr>
          <w:rFonts w:ascii="Arial" w:eastAsia="Times New Roman" w:hAnsi="Arial" w:cs="Arial"/>
          <w:b/>
          <w:bCs/>
          <w:color w:val="000000" w:themeColor="text1"/>
          <w:sz w:val="20"/>
          <w:szCs w:val="20"/>
        </w:rPr>
      </w:pPr>
    </w:p>
    <w:p w14:paraId="68FA0332" w14:textId="77777777" w:rsidR="00B65BE2" w:rsidRPr="003D1614" w:rsidRDefault="00B65BE2" w:rsidP="00A269B5">
      <w:pPr>
        <w:suppressAutoHyphens/>
        <w:autoSpaceDN w:val="0"/>
        <w:jc w:val="both"/>
        <w:rPr>
          <w:rFonts w:ascii="Arial" w:eastAsia="Times New Roman" w:hAnsi="Arial" w:cs="Arial"/>
          <w:b/>
          <w:bCs/>
          <w:color w:val="000000" w:themeColor="text1"/>
          <w:sz w:val="20"/>
          <w:szCs w:val="20"/>
        </w:rPr>
      </w:pPr>
    </w:p>
    <w:p w14:paraId="3BE8130C" w14:textId="3515790D" w:rsidR="00A269B5" w:rsidRPr="003D1614" w:rsidRDefault="00A269B5" w:rsidP="001A0FCB">
      <w:pPr>
        <w:suppressAutoHyphens/>
        <w:autoSpaceDN w:val="0"/>
        <w:jc w:val="both"/>
        <w:rPr>
          <w:rFonts w:ascii="Arial" w:eastAsia="Times New Roman" w:hAnsi="Arial" w:cs="Arial"/>
          <w:color w:val="000000" w:themeColor="text1"/>
          <w:sz w:val="20"/>
          <w:szCs w:val="20"/>
        </w:rPr>
      </w:pPr>
    </w:p>
    <w:tbl>
      <w:tblPr>
        <w:tblW w:w="9394" w:type="dxa"/>
        <w:tblInd w:w="-180" w:type="dxa"/>
        <w:tblLayout w:type="fixed"/>
        <w:tblLook w:val="04A0" w:firstRow="1" w:lastRow="0" w:firstColumn="1" w:lastColumn="0" w:noHBand="0" w:noVBand="1"/>
      </w:tblPr>
      <w:tblGrid>
        <w:gridCol w:w="4122"/>
        <w:gridCol w:w="1111"/>
        <w:gridCol w:w="1034"/>
        <w:gridCol w:w="1143"/>
        <w:gridCol w:w="992"/>
        <w:gridCol w:w="992"/>
      </w:tblGrid>
      <w:tr w:rsidR="00B65BE2" w:rsidRPr="001B015B" w14:paraId="0F680BA4" w14:textId="77777777" w:rsidTr="0034622E">
        <w:trPr>
          <w:trHeight w:val="248"/>
        </w:trPr>
        <w:tc>
          <w:tcPr>
            <w:tcW w:w="4122" w:type="dxa"/>
            <w:tcBorders>
              <w:top w:val="nil"/>
              <w:left w:val="nil"/>
              <w:bottom w:val="nil"/>
              <w:right w:val="nil"/>
            </w:tcBorders>
            <w:shd w:val="clear" w:color="auto" w:fill="auto"/>
            <w:vAlign w:val="center"/>
          </w:tcPr>
          <w:p w14:paraId="36A4AA50" w14:textId="77777777" w:rsidR="00B65BE2" w:rsidRPr="001B015B" w:rsidRDefault="00B65BE2" w:rsidP="0034622E">
            <w:pPr>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Banka</w:t>
            </w:r>
          </w:p>
        </w:tc>
        <w:tc>
          <w:tcPr>
            <w:tcW w:w="1111" w:type="dxa"/>
            <w:tcBorders>
              <w:top w:val="nil"/>
              <w:left w:val="nil"/>
              <w:bottom w:val="nil"/>
              <w:right w:val="nil"/>
            </w:tcBorders>
            <w:shd w:val="clear" w:color="auto" w:fill="auto"/>
            <w:vAlign w:val="center"/>
          </w:tcPr>
          <w:p w14:paraId="662684F8" w14:textId="77777777" w:rsidR="00B65BE2" w:rsidRPr="001B015B" w:rsidRDefault="00B65BE2" w:rsidP="0034622E">
            <w:pPr>
              <w:jc w:val="right"/>
              <w:rPr>
                <w:rFonts w:ascii="Arial" w:eastAsia="Calibri" w:hAnsi="Arial" w:cs="Arial"/>
                <w:b/>
                <w:bCs/>
                <w:color w:val="000000" w:themeColor="text1"/>
                <w:sz w:val="18"/>
                <w:szCs w:val="18"/>
              </w:rPr>
            </w:pPr>
          </w:p>
        </w:tc>
        <w:tc>
          <w:tcPr>
            <w:tcW w:w="1034" w:type="dxa"/>
            <w:tcBorders>
              <w:top w:val="nil"/>
              <w:left w:val="nil"/>
              <w:bottom w:val="nil"/>
              <w:right w:val="nil"/>
            </w:tcBorders>
            <w:shd w:val="clear" w:color="auto" w:fill="auto"/>
            <w:vAlign w:val="center"/>
          </w:tcPr>
          <w:p w14:paraId="6EC809FD" w14:textId="77777777" w:rsidR="00B65BE2" w:rsidRPr="001B015B" w:rsidRDefault="00B65BE2" w:rsidP="0034622E">
            <w:pPr>
              <w:jc w:val="right"/>
              <w:rPr>
                <w:rFonts w:ascii="Arial" w:eastAsia="Calibri" w:hAnsi="Arial" w:cs="Arial"/>
                <w:b/>
                <w:bCs/>
                <w:color w:val="000000" w:themeColor="text1"/>
                <w:sz w:val="18"/>
                <w:szCs w:val="18"/>
              </w:rPr>
            </w:pPr>
          </w:p>
        </w:tc>
        <w:tc>
          <w:tcPr>
            <w:tcW w:w="1143" w:type="dxa"/>
            <w:tcBorders>
              <w:top w:val="nil"/>
              <w:left w:val="nil"/>
              <w:bottom w:val="nil"/>
              <w:right w:val="nil"/>
            </w:tcBorders>
            <w:shd w:val="clear" w:color="auto" w:fill="auto"/>
            <w:vAlign w:val="center"/>
          </w:tcPr>
          <w:p w14:paraId="0B341E55" w14:textId="77777777" w:rsidR="00B65BE2" w:rsidRPr="001B015B" w:rsidRDefault="00B65BE2" w:rsidP="0034622E">
            <w:pPr>
              <w:jc w:val="right"/>
              <w:rPr>
                <w:rFonts w:ascii="Arial" w:eastAsia="Calibri" w:hAnsi="Arial" w:cs="Arial"/>
                <w:b/>
                <w:bCs/>
                <w:color w:val="000000" w:themeColor="text1"/>
                <w:sz w:val="18"/>
                <w:szCs w:val="18"/>
              </w:rPr>
            </w:pPr>
          </w:p>
        </w:tc>
        <w:tc>
          <w:tcPr>
            <w:tcW w:w="992" w:type="dxa"/>
            <w:tcBorders>
              <w:top w:val="nil"/>
              <w:left w:val="nil"/>
              <w:bottom w:val="nil"/>
              <w:right w:val="nil"/>
            </w:tcBorders>
            <w:shd w:val="clear" w:color="auto" w:fill="auto"/>
            <w:vAlign w:val="center"/>
          </w:tcPr>
          <w:p w14:paraId="697C5A40" w14:textId="77777777" w:rsidR="00B65BE2" w:rsidRPr="001B015B" w:rsidRDefault="00B65BE2" w:rsidP="0034622E">
            <w:pPr>
              <w:jc w:val="right"/>
              <w:rPr>
                <w:rFonts w:ascii="Arial" w:eastAsia="Calibri" w:hAnsi="Arial" w:cs="Arial"/>
                <w:b/>
                <w:bCs/>
                <w:color w:val="000000" w:themeColor="text1"/>
                <w:sz w:val="18"/>
                <w:szCs w:val="18"/>
              </w:rPr>
            </w:pPr>
          </w:p>
        </w:tc>
        <w:tc>
          <w:tcPr>
            <w:tcW w:w="992" w:type="dxa"/>
            <w:tcBorders>
              <w:top w:val="nil"/>
              <w:left w:val="nil"/>
              <w:bottom w:val="nil"/>
              <w:right w:val="nil"/>
            </w:tcBorders>
            <w:shd w:val="clear" w:color="auto" w:fill="auto"/>
            <w:vAlign w:val="center"/>
          </w:tcPr>
          <w:p w14:paraId="629F2C01" w14:textId="77777777" w:rsidR="00B65BE2" w:rsidRPr="001B015B" w:rsidRDefault="00B65BE2" w:rsidP="0034622E">
            <w:pPr>
              <w:jc w:val="right"/>
              <w:rPr>
                <w:rFonts w:ascii="Arial" w:eastAsia="Calibri" w:hAnsi="Arial" w:cs="Arial"/>
                <w:b/>
                <w:bCs/>
                <w:color w:val="000000" w:themeColor="text1"/>
                <w:sz w:val="18"/>
                <w:szCs w:val="18"/>
              </w:rPr>
            </w:pPr>
          </w:p>
        </w:tc>
      </w:tr>
      <w:tr w:rsidR="00B65BE2" w:rsidRPr="001B015B" w14:paraId="08E90FD6" w14:textId="77777777" w:rsidTr="0034622E">
        <w:trPr>
          <w:trHeight w:val="248"/>
        </w:trPr>
        <w:tc>
          <w:tcPr>
            <w:tcW w:w="4122" w:type="dxa"/>
            <w:tcBorders>
              <w:top w:val="nil"/>
              <w:left w:val="nil"/>
              <w:bottom w:val="nil"/>
              <w:right w:val="nil"/>
            </w:tcBorders>
            <w:shd w:val="clear" w:color="auto" w:fill="auto"/>
            <w:vAlign w:val="center"/>
            <w:hideMark/>
          </w:tcPr>
          <w:p w14:paraId="25934DEC" w14:textId="77777777" w:rsidR="00B65BE2" w:rsidRPr="001B015B" w:rsidRDefault="00B65BE2" w:rsidP="0034622E">
            <w:pPr>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31. prosinca 202</w:t>
            </w:r>
            <w:r>
              <w:rPr>
                <w:rFonts w:ascii="Arial" w:eastAsia="Calibri" w:hAnsi="Arial" w:cs="Arial"/>
                <w:b/>
                <w:bCs/>
                <w:color w:val="000000" w:themeColor="text1"/>
                <w:sz w:val="18"/>
                <w:szCs w:val="18"/>
              </w:rPr>
              <w:t>3</w:t>
            </w:r>
            <w:r w:rsidRPr="001B015B">
              <w:rPr>
                <w:rFonts w:ascii="Arial" w:eastAsia="Calibri" w:hAnsi="Arial" w:cs="Arial"/>
                <w:b/>
                <w:bCs/>
                <w:color w:val="000000" w:themeColor="text1"/>
                <w:sz w:val="18"/>
                <w:szCs w:val="18"/>
              </w:rPr>
              <w:t>.</w:t>
            </w:r>
          </w:p>
        </w:tc>
        <w:tc>
          <w:tcPr>
            <w:tcW w:w="1111" w:type="dxa"/>
            <w:tcBorders>
              <w:top w:val="nil"/>
              <w:left w:val="nil"/>
              <w:bottom w:val="nil"/>
              <w:right w:val="nil"/>
            </w:tcBorders>
            <w:shd w:val="clear" w:color="auto" w:fill="auto"/>
            <w:vAlign w:val="center"/>
            <w:hideMark/>
          </w:tcPr>
          <w:p w14:paraId="1F212B2E" w14:textId="77777777" w:rsidR="00B65BE2" w:rsidRPr="001B015B" w:rsidRDefault="00B65BE2" w:rsidP="0034622E">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Stupanj 1</w:t>
            </w:r>
          </w:p>
        </w:tc>
        <w:tc>
          <w:tcPr>
            <w:tcW w:w="1034" w:type="dxa"/>
            <w:tcBorders>
              <w:top w:val="nil"/>
              <w:left w:val="nil"/>
              <w:bottom w:val="nil"/>
              <w:right w:val="nil"/>
            </w:tcBorders>
            <w:shd w:val="clear" w:color="auto" w:fill="auto"/>
            <w:vAlign w:val="center"/>
            <w:hideMark/>
          </w:tcPr>
          <w:p w14:paraId="56825262" w14:textId="77777777" w:rsidR="00B65BE2" w:rsidRPr="001B015B" w:rsidRDefault="00B65BE2" w:rsidP="0034622E">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Stupanj 2</w:t>
            </w:r>
          </w:p>
        </w:tc>
        <w:tc>
          <w:tcPr>
            <w:tcW w:w="1143" w:type="dxa"/>
            <w:tcBorders>
              <w:top w:val="nil"/>
              <w:left w:val="nil"/>
              <w:bottom w:val="nil"/>
              <w:right w:val="nil"/>
            </w:tcBorders>
            <w:shd w:val="clear" w:color="auto" w:fill="auto"/>
            <w:vAlign w:val="center"/>
            <w:hideMark/>
          </w:tcPr>
          <w:p w14:paraId="609F6F2A" w14:textId="77777777" w:rsidR="00B65BE2" w:rsidRPr="001B015B" w:rsidRDefault="00B65BE2" w:rsidP="0034622E">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Stupanj 3</w:t>
            </w:r>
          </w:p>
        </w:tc>
        <w:tc>
          <w:tcPr>
            <w:tcW w:w="992" w:type="dxa"/>
            <w:tcBorders>
              <w:top w:val="nil"/>
              <w:left w:val="nil"/>
              <w:bottom w:val="nil"/>
              <w:right w:val="nil"/>
            </w:tcBorders>
            <w:shd w:val="clear" w:color="auto" w:fill="auto"/>
            <w:vAlign w:val="center"/>
            <w:hideMark/>
          </w:tcPr>
          <w:p w14:paraId="5F7877DF" w14:textId="77777777" w:rsidR="00B65BE2" w:rsidRPr="001B015B" w:rsidRDefault="00B65BE2" w:rsidP="0034622E">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POCI</w:t>
            </w:r>
          </w:p>
        </w:tc>
        <w:tc>
          <w:tcPr>
            <w:tcW w:w="992" w:type="dxa"/>
            <w:tcBorders>
              <w:top w:val="nil"/>
              <w:left w:val="nil"/>
              <w:bottom w:val="nil"/>
              <w:right w:val="nil"/>
            </w:tcBorders>
            <w:shd w:val="clear" w:color="auto" w:fill="auto"/>
            <w:vAlign w:val="center"/>
            <w:hideMark/>
          </w:tcPr>
          <w:p w14:paraId="2B9B8925" w14:textId="77777777" w:rsidR="00B65BE2" w:rsidRPr="001B015B" w:rsidRDefault="00B65BE2" w:rsidP="0034622E">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Ukupno</w:t>
            </w:r>
          </w:p>
        </w:tc>
      </w:tr>
      <w:tr w:rsidR="00B65BE2" w:rsidRPr="001B015B" w14:paraId="347F6B75" w14:textId="77777777" w:rsidTr="0034622E">
        <w:trPr>
          <w:trHeight w:val="248"/>
        </w:trPr>
        <w:tc>
          <w:tcPr>
            <w:tcW w:w="4122" w:type="dxa"/>
            <w:tcBorders>
              <w:top w:val="nil"/>
              <w:left w:val="nil"/>
              <w:bottom w:val="nil"/>
              <w:right w:val="nil"/>
            </w:tcBorders>
            <w:shd w:val="clear" w:color="auto" w:fill="auto"/>
            <w:vAlign w:val="center"/>
            <w:hideMark/>
          </w:tcPr>
          <w:p w14:paraId="70112B7A" w14:textId="77777777" w:rsidR="00B65BE2" w:rsidRPr="001B015B" w:rsidRDefault="00B65BE2" w:rsidP="0034622E">
            <w:pPr>
              <w:jc w:val="right"/>
              <w:rPr>
                <w:rFonts w:ascii="Arial" w:eastAsia="Calibri" w:hAnsi="Arial" w:cs="Arial"/>
                <w:b/>
                <w:bCs/>
                <w:color w:val="000000" w:themeColor="text1"/>
                <w:sz w:val="18"/>
                <w:szCs w:val="18"/>
              </w:rPr>
            </w:pPr>
          </w:p>
        </w:tc>
        <w:tc>
          <w:tcPr>
            <w:tcW w:w="1111" w:type="dxa"/>
            <w:tcBorders>
              <w:top w:val="nil"/>
              <w:left w:val="nil"/>
              <w:bottom w:val="nil"/>
              <w:right w:val="nil"/>
            </w:tcBorders>
            <w:shd w:val="clear" w:color="auto" w:fill="auto"/>
            <w:vAlign w:val="bottom"/>
            <w:hideMark/>
          </w:tcPr>
          <w:p w14:paraId="5DBDE400" w14:textId="77777777" w:rsidR="00B65BE2" w:rsidRPr="001B015B" w:rsidRDefault="00B65BE2" w:rsidP="0034622E">
            <w:pPr>
              <w:jc w:val="right"/>
              <w:rPr>
                <w:rFonts w:ascii="Arial" w:eastAsia="Calibri" w:hAnsi="Arial" w:cs="Arial"/>
                <w:b/>
                <w:bCs/>
                <w:color w:val="000000" w:themeColor="text1"/>
                <w:sz w:val="18"/>
                <w:szCs w:val="18"/>
              </w:rPr>
            </w:pPr>
            <w:r w:rsidRPr="006539F7">
              <w:rPr>
                <w:rFonts w:ascii="Arial" w:eastAsia="Calibri" w:hAnsi="Arial" w:cs="Arial"/>
                <w:b/>
                <w:bCs/>
                <w:color w:val="000000" w:themeColor="text1"/>
                <w:sz w:val="18"/>
                <w:szCs w:val="18"/>
              </w:rPr>
              <w:t>000 eura</w:t>
            </w:r>
          </w:p>
        </w:tc>
        <w:tc>
          <w:tcPr>
            <w:tcW w:w="1034" w:type="dxa"/>
            <w:tcBorders>
              <w:top w:val="nil"/>
              <w:left w:val="nil"/>
              <w:bottom w:val="nil"/>
              <w:right w:val="nil"/>
            </w:tcBorders>
            <w:shd w:val="clear" w:color="auto" w:fill="auto"/>
            <w:vAlign w:val="bottom"/>
            <w:hideMark/>
          </w:tcPr>
          <w:p w14:paraId="58E0B76E" w14:textId="77777777" w:rsidR="00B65BE2" w:rsidRPr="001B015B" w:rsidRDefault="00B65BE2" w:rsidP="0034622E">
            <w:pPr>
              <w:jc w:val="right"/>
              <w:rPr>
                <w:rFonts w:ascii="Arial" w:eastAsia="Calibri" w:hAnsi="Arial" w:cs="Arial"/>
                <w:b/>
                <w:bCs/>
                <w:color w:val="000000" w:themeColor="text1"/>
                <w:sz w:val="18"/>
                <w:szCs w:val="18"/>
              </w:rPr>
            </w:pPr>
            <w:r w:rsidRPr="006539F7">
              <w:rPr>
                <w:rFonts w:ascii="Arial" w:eastAsia="Calibri" w:hAnsi="Arial" w:cs="Arial"/>
                <w:b/>
                <w:bCs/>
                <w:color w:val="000000" w:themeColor="text1"/>
                <w:sz w:val="18"/>
                <w:szCs w:val="18"/>
              </w:rPr>
              <w:t>000 eura</w:t>
            </w:r>
          </w:p>
        </w:tc>
        <w:tc>
          <w:tcPr>
            <w:tcW w:w="1143" w:type="dxa"/>
            <w:tcBorders>
              <w:top w:val="nil"/>
              <w:left w:val="nil"/>
              <w:bottom w:val="nil"/>
              <w:right w:val="nil"/>
            </w:tcBorders>
            <w:shd w:val="clear" w:color="auto" w:fill="auto"/>
            <w:vAlign w:val="bottom"/>
            <w:hideMark/>
          </w:tcPr>
          <w:p w14:paraId="3FE9D239" w14:textId="77777777" w:rsidR="00B65BE2" w:rsidRPr="001B015B" w:rsidRDefault="00B65BE2" w:rsidP="0034622E">
            <w:pPr>
              <w:jc w:val="right"/>
              <w:rPr>
                <w:rFonts w:ascii="Arial" w:eastAsia="Calibri" w:hAnsi="Arial" w:cs="Arial"/>
                <w:b/>
                <w:bCs/>
                <w:color w:val="000000" w:themeColor="text1"/>
                <w:sz w:val="18"/>
                <w:szCs w:val="18"/>
              </w:rPr>
            </w:pPr>
            <w:r w:rsidRPr="006539F7">
              <w:rPr>
                <w:rFonts w:ascii="Arial" w:eastAsia="Calibri" w:hAnsi="Arial" w:cs="Arial"/>
                <w:b/>
                <w:bCs/>
                <w:color w:val="000000" w:themeColor="text1"/>
                <w:sz w:val="18"/>
                <w:szCs w:val="18"/>
              </w:rPr>
              <w:t>000 eura</w:t>
            </w:r>
          </w:p>
        </w:tc>
        <w:tc>
          <w:tcPr>
            <w:tcW w:w="992" w:type="dxa"/>
            <w:tcBorders>
              <w:top w:val="nil"/>
              <w:left w:val="nil"/>
              <w:bottom w:val="nil"/>
              <w:right w:val="nil"/>
            </w:tcBorders>
            <w:shd w:val="clear" w:color="auto" w:fill="auto"/>
            <w:vAlign w:val="bottom"/>
            <w:hideMark/>
          </w:tcPr>
          <w:p w14:paraId="0832B7B1" w14:textId="77777777" w:rsidR="00B65BE2" w:rsidRPr="001B015B" w:rsidRDefault="00B65BE2" w:rsidP="0034622E">
            <w:pPr>
              <w:jc w:val="right"/>
              <w:rPr>
                <w:rFonts w:ascii="Arial" w:eastAsia="Calibri" w:hAnsi="Arial" w:cs="Arial"/>
                <w:b/>
                <w:bCs/>
                <w:color w:val="000000" w:themeColor="text1"/>
                <w:sz w:val="18"/>
                <w:szCs w:val="18"/>
              </w:rPr>
            </w:pPr>
            <w:r w:rsidRPr="006539F7">
              <w:rPr>
                <w:rFonts w:ascii="Arial" w:eastAsia="Calibri" w:hAnsi="Arial" w:cs="Arial"/>
                <w:b/>
                <w:bCs/>
                <w:color w:val="000000" w:themeColor="text1"/>
                <w:sz w:val="18"/>
                <w:szCs w:val="18"/>
              </w:rPr>
              <w:t>000 eura</w:t>
            </w:r>
          </w:p>
        </w:tc>
        <w:tc>
          <w:tcPr>
            <w:tcW w:w="992" w:type="dxa"/>
            <w:tcBorders>
              <w:top w:val="nil"/>
              <w:left w:val="nil"/>
              <w:bottom w:val="nil"/>
              <w:right w:val="nil"/>
            </w:tcBorders>
            <w:shd w:val="clear" w:color="auto" w:fill="auto"/>
            <w:vAlign w:val="bottom"/>
            <w:hideMark/>
          </w:tcPr>
          <w:p w14:paraId="1CBDB2C2" w14:textId="77777777" w:rsidR="00B65BE2" w:rsidRPr="001B015B" w:rsidRDefault="00B65BE2" w:rsidP="0034622E">
            <w:pPr>
              <w:jc w:val="right"/>
              <w:rPr>
                <w:rFonts w:ascii="Arial" w:eastAsia="Calibri" w:hAnsi="Arial" w:cs="Arial"/>
                <w:b/>
                <w:bCs/>
                <w:color w:val="000000" w:themeColor="text1"/>
                <w:sz w:val="18"/>
                <w:szCs w:val="18"/>
              </w:rPr>
            </w:pPr>
            <w:r w:rsidRPr="006539F7">
              <w:rPr>
                <w:rFonts w:ascii="Arial" w:eastAsia="Calibri" w:hAnsi="Arial" w:cs="Arial"/>
                <w:b/>
                <w:bCs/>
                <w:color w:val="000000" w:themeColor="text1"/>
                <w:sz w:val="18"/>
                <w:szCs w:val="18"/>
              </w:rPr>
              <w:t>000 eura</w:t>
            </w:r>
          </w:p>
        </w:tc>
      </w:tr>
      <w:tr w:rsidR="00B65BE2" w:rsidRPr="001B015B" w14:paraId="72442108" w14:textId="77777777" w:rsidTr="0034622E">
        <w:trPr>
          <w:trHeight w:val="248"/>
        </w:trPr>
        <w:tc>
          <w:tcPr>
            <w:tcW w:w="4122" w:type="dxa"/>
            <w:tcBorders>
              <w:top w:val="nil"/>
              <w:left w:val="nil"/>
              <w:bottom w:val="nil"/>
              <w:right w:val="nil"/>
            </w:tcBorders>
            <w:shd w:val="clear" w:color="auto" w:fill="auto"/>
            <w:vAlign w:val="center"/>
          </w:tcPr>
          <w:p w14:paraId="174A3D13" w14:textId="77777777" w:rsidR="00B65BE2" w:rsidRPr="001B015B" w:rsidRDefault="00B65BE2" w:rsidP="0034622E">
            <w:pPr>
              <w:jc w:val="right"/>
              <w:rPr>
                <w:rFonts w:ascii="Arial" w:eastAsia="Calibri" w:hAnsi="Arial" w:cs="Arial"/>
                <w:b/>
                <w:bCs/>
                <w:color w:val="000000" w:themeColor="text1"/>
                <w:sz w:val="18"/>
                <w:szCs w:val="18"/>
              </w:rPr>
            </w:pPr>
          </w:p>
        </w:tc>
        <w:tc>
          <w:tcPr>
            <w:tcW w:w="1111" w:type="dxa"/>
            <w:tcBorders>
              <w:top w:val="nil"/>
              <w:left w:val="nil"/>
              <w:bottom w:val="nil"/>
              <w:right w:val="nil"/>
            </w:tcBorders>
            <w:shd w:val="clear" w:color="auto" w:fill="auto"/>
            <w:vAlign w:val="center"/>
          </w:tcPr>
          <w:p w14:paraId="1615C604" w14:textId="77777777" w:rsidR="00B65BE2" w:rsidRPr="001B015B" w:rsidRDefault="00B65BE2" w:rsidP="0034622E">
            <w:pPr>
              <w:jc w:val="right"/>
              <w:rPr>
                <w:rFonts w:ascii="Arial" w:eastAsia="Calibri" w:hAnsi="Arial" w:cs="Arial"/>
                <w:b/>
                <w:bCs/>
                <w:color w:val="000000" w:themeColor="text1"/>
                <w:sz w:val="18"/>
                <w:szCs w:val="18"/>
              </w:rPr>
            </w:pPr>
          </w:p>
        </w:tc>
        <w:tc>
          <w:tcPr>
            <w:tcW w:w="1034" w:type="dxa"/>
            <w:tcBorders>
              <w:top w:val="nil"/>
              <w:left w:val="nil"/>
              <w:bottom w:val="nil"/>
              <w:right w:val="nil"/>
            </w:tcBorders>
            <w:shd w:val="clear" w:color="auto" w:fill="auto"/>
            <w:vAlign w:val="center"/>
          </w:tcPr>
          <w:p w14:paraId="5C5A3F33" w14:textId="77777777" w:rsidR="00B65BE2" w:rsidRPr="001B015B" w:rsidRDefault="00B65BE2" w:rsidP="0034622E">
            <w:pPr>
              <w:jc w:val="right"/>
              <w:rPr>
                <w:rFonts w:ascii="Arial" w:eastAsia="Calibri" w:hAnsi="Arial" w:cs="Arial"/>
                <w:b/>
                <w:bCs/>
                <w:color w:val="000000" w:themeColor="text1"/>
                <w:sz w:val="18"/>
                <w:szCs w:val="18"/>
              </w:rPr>
            </w:pPr>
          </w:p>
        </w:tc>
        <w:tc>
          <w:tcPr>
            <w:tcW w:w="1143" w:type="dxa"/>
            <w:tcBorders>
              <w:top w:val="nil"/>
              <w:left w:val="nil"/>
              <w:bottom w:val="nil"/>
              <w:right w:val="nil"/>
            </w:tcBorders>
            <w:shd w:val="clear" w:color="auto" w:fill="auto"/>
            <w:vAlign w:val="center"/>
          </w:tcPr>
          <w:p w14:paraId="0D3766C4" w14:textId="77777777" w:rsidR="00B65BE2" w:rsidRPr="001B015B" w:rsidRDefault="00B65BE2" w:rsidP="0034622E">
            <w:pPr>
              <w:jc w:val="right"/>
              <w:rPr>
                <w:rFonts w:ascii="Arial" w:eastAsia="Calibri" w:hAnsi="Arial" w:cs="Arial"/>
                <w:b/>
                <w:bCs/>
                <w:color w:val="000000" w:themeColor="text1"/>
                <w:sz w:val="18"/>
                <w:szCs w:val="18"/>
              </w:rPr>
            </w:pPr>
          </w:p>
        </w:tc>
        <w:tc>
          <w:tcPr>
            <w:tcW w:w="992" w:type="dxa"/>
            <w:tcBorders>
              <w:top w:val="nil"/>
              <w:left w:val="nil"/>
              <w:bottom w:val="nil"/>
              <w:right w:val="nil"/>
            </w:tcBorders>
            <w:shd w:val="clear" w:color="auto" w:fill="auto"/>
            <w:vAlign w:val="center"/>
          </w:tcPr>
          <w:p w14:paraId="216E1B83" w14:textId="77777777" w:rsidR="00B65BE2" w:rsidRPr="001B015B" w:rsidRDefault="00B65BE2" w:rsidP="0034622E">
            <w:pPr>
              <w:jc w:val="right"/>
              <w:rPr>
                <w:rFonts w:ascii="Arial" w:eastAsia="Calibri" w:hAnsi="Arial" w:cs="Arial"/>
                <w:b/>
                <w:bCs/>
                <w:color w:val="000000" w:themeColor="text1"/>
                <w:sz w:val="18"/>
                <w:szCs w:val="18"/>
              </w:rPr>
            </w:pPr>
          </w:p>
        </w:tc>
        <w:tc>
          <w:tcPr>
            <w:tcW w:w="992" w:type="dxa"/>
            <w:tcBorders>
              <w:top w:val="nil"/>
              <w:left w:val="nil"/>
              <w:bottom w:val="nil"/>
              <w:right w:val="nil"/>
            </w:tcBorders>
            <w:shd w:val="clear" w:color="auto" w:fill="auto"/>
            <w:vAlign w:val="center"/>
          </w:tcPr>
          <w:p w14:paraId="18222DCF" w14:textId="77777777" w:rsidR="00B65BE2" w:rsidRPr="001B015B" w:rsidRDefault="00B65BE2" w:rsidP="0034622E">
            <w:pPr>
              <w:jc w:val="right"/>
              <w:rPr>
                <w:rFonts w:ascii="Arial" w:eastAsia="Calibri" w:hAnsi="Arial" w:cs="Arial"/>
                <w:b/>
                <w:bCs/>
                <w:color w:val="000000" w:themeColor="text1"/>
                <w:sz w:val="18"/>
                <w:szCs w:val="18"/>
              </w:rPr>
            </w:pPr>
          </w:p>
        </w:tc>
      </w:tr>
      <w:tr w:rsidR="00B65BE2" w:rsidRPr="001B015B" w14:paraId="2A6DBFBE" w14:textId="77777777" w:rsidTr="0034622E">
        <w:trPr>
          <w:trHeight w:val="248"/>
        </w:trPr>
        <w:tc>
          <w:tcPr>
            <w:tcW w:w="4122" w:type="dxa"/>
            <w:tcBorders>
              <w:top w:val="nil"/>
              <w:left w:val="nil"/>
              <w:bottom w:val="nil"/>
              <w:right w:val="nil"/>
            </w:tcBorders>
            <w:shd w:val="clear" w:color="auto" w:fill="auto"/>
            <w:vAlign w:val="center"/>
            <w:hideMark/>
          </w:tcPr>
          <w:p w14:paraId="3AB43102" w14:textId="77777777" w:rsidR="00B65BE2" w:rsidRPr="001B015B" w:rsidRDefault="00B65BE2" w:rsidP="0034622E">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Stanje 1. siječnja 202</w:t>
            </w:r>
            <w:r>
              <w:rPr>
                <w:rFonts w:ascii="Arial" w:eastAsia="Calibri" w:hAnsi="Arial" w:cs="Arial"/>
                <w:color w:val="000000" w:themeColor="text1"/>
                <w:sz w:val="18"/>
                <w:szCs w:val="18"/>
              </w:rPr>
              <w:t>3</w:t>
            </w:r>
            <w:r w:rsidRPr="001B015B">
              <w:rPr>
                <w:rFonts w:ascii="Arial" w:eastAsia="Calibri" w:hAnsi="Arial" w:cs="Arial"/>
                <w:color w:val="000000" w:themeColor="text1"/>
                <w:sz w:val="18"/>
                <w:szCs w:val="18"/>
              </w:rPr>
              <w:t xml:space="preserve">. </w:t>
            </w:r>
          </w:p>
        </w:tc>
        <w:tc>
          <w:tcPr>
            <w:tcW w:w="1111" w:type="dxa"/>
            <w:tcBorders>
              <w:top w:val="nil"/>
              <w:left w:val="nil"/>
              <w:bottom w:val="nil"/>
              <w:right w:val="nil"/>
            </w:tcBorders>
            <w:shd w:val="clear" w:color="auto" w:fill="auto"/>
            <w:vAlign w:val="bottom"/>
          </w:tcPr>
          <w:p w14:paraId="2DC8F25E" w14:textId="77777777" w:rsidR="00B65BE2" w:rsidRPr="00593574" w:rsidRDefault="00B65BE2" w:rsidP="0034622E">
            <w:pPr>
              <w:jc w:val="right"/>
              <w:rPr>
                <w:rFonts w:ascii="Arial" w:hAnsi="Arial" w:cs="Arial"/>
                <w:sz w:val="18"/>
                <w:szCs w:val="18"/>
              </w:rPr>
            </w:pPr>
            <w:r w:rsidRPr="00F959D0">
              <w:rPr>
                <w:rFonts w:ascii="Arial" w:hAnsi="Arial" w:cs="Arial"/>
                <w:sz w:val="18"/>
                <w:szCs w:val="18"/>
              </w:rPr>
              <w:t xml:space="preserve"> 3 </w:t>
            </w:r>
          </w:p>
        </w:tc>
        <w:tc>
          <w:tcPr>
            <w:tcW w:w="1034" w:type="dxa"/>
            <w:tcBorders>
              <w:top w:val="nil"/>
              <w:left w:val="nil"/>
              <w:bottom w:val="nil"/>
              <w:right w:val="nil"/>
            </w:tcBorders>
            <w:shd w:val="clear" w:color="auto" w:fill="auto"/>
            <w:vAlign w:val="bottom"/>
          </w:tcPr>
          <w:p w14:paraId="1106D56C" w14:textId="77777777" w:rsidR="00B65BE2" w:rsidRPr="00593574" w:rsidRDefault="00B65BE2" w:rsidP="0034622E">
            <w:pPr>
              <w:jc w:val="right"/>
              <w:rPr>
                <w:rFonts w:ascii="Arial" w:hAnsi="Arial" w:cs="Arial"/>
                <w:sz w:val="18"/>
                <w:szCs w:val="18"/>
              </w:rPr>
            </w:pPr>
            <w:r>
              <w:rPr>
                <w:rFonts w:ascii="Arial" w:hAnsi="Arial" w:cs="Arial"/>
                <w:sz w:val="18"/>
                <w:szCs w:val="18"/>
              </w:rPr>
              <w:t>-</w:t>
            </w:r>
          </w:p>
        </w:tc>
        <w:tc>
          <w:tcPr>
            <w:tcW w:w="1143" w:type="dxa"/>
            <w:tcBorders>
              <w:top w:val="nil"/>
              <w:left w:val="nil"/>
              <w:bottom w:val="nil"/>
              <w:right w:val="nil"/>
            </w:tcBorders>
            <w:shd w:val="clear" w:color="auto" w:fill="auto"/>
            <w:vAlign w:val="bottom"/>
          </w:tcPr>
          <w:p w14:paraId="4E363878" w14:textId="77777777" w:rsidR="00B65BE2" w:rsidRPr="00593574" w:rsidRDefault="00B65BE2" w:rsidP="0034622E">
            <w:pPr>
              <w:jc w:val="right"/>
              <w:rPr>
                <w:rFonts w:ascii="Arial" w:hAnsi="Arial" w:cs="Arial"/>
                <w:sz w:val="18"/>
                <w:szCs w:val="18"/>
              </w:rPr>
            </w:pPr>
            <w:r w:rsidRPr="00F959D0">
              <w:rPr>
                <w:rFonts w:ascii="Arial" w:hAnsi="Arial" w:cs="Arial"/>
                <w:sz w:val="18"/>
                <w:szCs w:val="18"/>
              </w:rPr>
              <w:t xml:space="preserve"> 4.631 </w:t>
            </w:r>
          </w:p>
        </w:tc>
        <w:tc>
          <w:tcPr>
            <w:tcW w:w="992" w:type="dxa"/>
            <w:tcBorders>
              <w:top w:val="nil"/>
              <w:left w:val="nil"/>
              <w:bottom w:val="nil"/>
              <w:right w:val="nil"/>
            </w:tcBorders>
            <w:shd w:val="clear" w:color="auto" w:fill="auto"/>
            <w:vAlign w:val="bottom"/>
          </w:tcPr>
          <w:p w14:paraId="11214231" w14:textId="77777777" w:rsidR="00B65BE2" w:rsidRPr="00593574" w:rsidRDefault="00B65BE2" w:rsidP="0034622E">
            <w:pPr>
              <w:jc w:val="right"/>
              <w:rPr>
                <w:rFonts w:ascii="Arial" w:hAnsi="Arial" w:cs="Arial"/>
                <w:sz w:val="18"/>
                <w:szCs w:val="18"/>
              </w:rPr>
            </w:pPr>
            <w:r w:rsidRPr="00F959D0">
              <w:rPr>
                <w:rFonts w:ascii="Arial" w:hAnsi="Arial" w:cs="Arial"/>
                <w:sz w:val="18"/>
                <w:szCs w:val="18"/>
              </w:rPr>
              <w:t xml:space="preserve"> 35 </w:t>
            </w:r>
          </w:p>
        </w:tc>
        <w:tc>
          <w:tcPr>
            <w:tcW w:w="992" w:type="dxa"/>
            <w:tcBorders>
              <w:top w:val="nil"/>
              <w:left w:val="nil"/>
              <w:bottom w:val="nil"/>
              <w:right w:val="nil"/>
            </w:tcBorders>
            <w:shd w:val="clear" w:color="auto" w:fill="auto"/>
            <w:vAlign w:val="bottom"/>
          </w:tcPr>
          <w:p w14:paraId="43F5092C" w14:textId="77777777" w:rsidR="00B65BE2" w:rsidRPr="005D1219" w:rsidRDefault="00B65BE2" w:rsidP="0034622E">
            <w:pPr>
              <w:jc w:val="right"/>
              <w:rPr>
                <w:rFonts w:ascii="Arial" w:hAnsi="Arial" w:cs="Arial"/>
                <w:b/>
                <w:bCs/>
                <w:sz w:val="18"/>
                <w:szCs w:val="18"/>
              </w:rPr>
            </w:pPr>
            <w:r w:rsidRPr="005D1219">
              <w:rPr>
                <w:rFonts w:ascii="Arial" w:hAnsi="Arial" w:cs="Arial"/>
                <w:b/>
                <w:bCs/>
                <w:sz w:val="18"/>
                <w:szCs w:val="18"/>
              </w:rPr>
              <w:t xml:space="preserve"> 4.669 </w:t>
            </w:r>
          </w:p>
        </w:tc>
      </w:tr>
      <w:tr w:rsidR="00B65BE2" w:rsidRPr="001B015B" w14:paraId="3AB765A8" w14:textId="77777777" w:rsidTr="0034622E">
        <w:trPr>
          <w:trHeight w:val="248"/>
        </w:trPr>
        <w:tc>
          <w:tcPr>
            <w:tcW w:w="4122" w:type="dxa"/>
            <w:tcBorders>
              <w:top w:val="nil"/>
              <w:left w:val="nil"/>
              <w:bottom w:val="nil"/>
              <w:right w:val="nil"/>
            </w:tcBorders>
            <w:shd w:val="clear" w:color="auto" w:fill="auto"/>
          </w:tcPr>
          <w:p w14:paraId="4F619EEF" w14:textId="77777777" w:rsidR="00B65BE2" w:rsidRPr="001B015B" w:rsidRDefault="00B65BE2" w:rsidP="0034622E">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Prijenos u Stupanj 1</w:t>
            </w:r>
          </w:p>
        </w:tc>
        <w:tc>
          <w:tcPr>
            <w:tcW w:w="1111" w:type="dxa"/>
            <w:tcBorders>
              <w:top w:val="nil"/>
              <w:left w:val="nil"/>
              <w:right w:val="nil"/>
            </w:tcBorders>
            <w:shd w:val="clear" w:color="auto" w:fill="auto"/>
            <w:vAlign w:val="bottom"/>
          </w:tcPr>
          <w:p w14:paraId="6F1B1887" w14:textId="77777777" w:rsidR="00B65BE2" w:rsidRPr="00593574" w:rsidRDefault="00B65BE2" w:rsidP="0034622E">
            <w:pPr>
              <w:jc w:val="right"/>
              <w:rPr>
                <w:rFonts w:ascii="Arial" w:hAnsi="Arial" w:cs="Arial"/>
                <w:sz w:val="18"/>
                <w:szCs w:val="18"/>
              </w:rPr>
            </w:pPr>
            <w:r w:rsidRPr="003759CC">
              <w:rPr>
                <w:rFonts w:ascii="Arial" w:hAnsi="Arial" w:cs="Arial"/>
                <w:sz w:val="18"/>
                <w:szCs w:val="18"/>
              </w:rPr>
              <w:t xml:space="preserve"> - </w:t>
            </w:r>
          </w:p>
        </w:tc>
        <w:tc>
          <w:tcPr>
            <w:tcW w:w="1034" w:type="dxa"/>
            <w:tcBorders>
              <w:top w:val="nil"/>
              <w:left w:val="nil"/>
              <w:right w:val="nil"/>
            </w:tcBorders>
            <w:shd w:val="clear" w:color="auto" w:fill="auto"/>
            <w:vAlign w:val="bottom"/>
          </w:tcPr>
          <w:p w14:paraId="7D88EDD9" w14:textId="77777777" w:rsidR="00B65BE2" w:rsidRPr="00593574" w:rsidRDefault="00B65BE2" w:rsidP="0034622E">
            <w:pPr>
              <w:jc w:val="right"/>
              <w:rPr>
                <w:rFonts w:ascii="Arial" w:hAnsi="Arial" w:cs="Arial"/>
                <w:sz w:val="18"/>
                <w:szCs w:val="18"/>
              </w:rPr>
            </w:pPr>
            <w:r w:rsidRPr="003759CC">
              <w:rPr>
                <w:rFonts w:ascii="Arial" w:hAnsi="Arial" w:cs="Arial"/>
                <w:sz w:val="18"/>
                <w:szCs w:val="18"/>
              </w:rPr>
              <w:t xml:space="preserve"> - </w:t>
            </w:r>
          </w:p>
        </w:tc>
        <w:tc>
          <w:tcPr>
            <w:tcW w:w="1143" w:type="dxa"/>
            <w:tcBorders>
              <w:top w:val="nil"/>
              <w:left w:val="nil"/>
              <w:right w:val="nil"/>
            </w:tcBorders>
            <w:shd w:val="clear" w:color="auto" w:fill="auto"/>
            <w:vAlign w:val="bottom"/>
          </w:tcPr>
          <w:p w14:paraId="091992F3" w14:textId="77777777" w:rsidR="00B65BE2" w:rsidRPr="00593574" w:rsidRDefault="00B65BE2" w:rsidP="0034622E">
            <w:pPr>
              <w:jc w:val="right"/>
              <w:rPr>
                <w:rFonts w:ascii="Arial" w:hAnsi="Arial" w:cs="Arial"/>
                <w:sz w:val="18"/>
                <w:szCs w:val="18"/>
              </w:rPr>
            </w:pPr>
            <w:r w:rsidRPr="003759CC">
              <w:rPr>
                <w:rFonts w:ascii="Arial" w:hAnsi="Arial" w:cs="Arial"/>
                <w:sz w:val="18"/>
                <w:szCs w:val="18"/>
              </w:rPr>
              <w:t xml:space="preserve"> - </w:t>
            </w:r>
          </w:p>
        </w:tc>
        <w:tc>
          <w:tcPr>
            <w:tcW w:w="992" w:type="dxa"/>
            <w:tcBorders>
              <w:top w:val="nil"/>
              <w:left w:val="nil"/>
              <w:right w:val="nil"/>
            </w:tcBorders>
            <w:shd w:val="clear" w:color="auto" w:fill="auto"/>
            <w:vAlign w:val="bottom"/>
          </w:tcPr>
          <w:p w14:paraId="35272428" w14:textId="77777777" w:rsidR="00B65BE2" w:rsidRPr="00593574" w:rsidRDefault="00B65BE2" w:rsidP="0034622E">
            <w:pPr>
              <w:jc w:val="right"/>
              <w:rPr>
                <w:rFonts w:ascii="Arial" w:hAnsi="Arial" w:cs="Arial"/>
                <w:sz w:val="18"/>
                <w:szCs w:val="18"/>
              </w:rPr>
            </w:pPr>
            <w:r w:rsidRPr="003759CC">
              <w:rPr>
                <w:rFonts w:ascii="Arial" w:hAnsi="Arial" w:cs="Arial"/>
                <w:sz w:val="18"/>
                <w:szCs w:val="18"/>
              </w:rPr>
              <w:t xml:space="preserve"> - </w:t>
            </w:r>
          </w:p>
        </w:tc>
        <w:tc>
          <w:tcPr>
            <w:tcW w:w="992" w:type="dxa"/>
            <w:tcBorders>
              <w:top w:val="nil"/>
              <w:left w:val="nil"/>
              <w:bottom w:val="nil"/>
              <w:right w:val="nil"/>
            </w:tcBorders>
            <w:shd w:val="clear" w:color="auto" w:fill="auto"/>
            <w:vAlign w:val="bottom"/>
          </w:tcPr>
          <w:p w14:paraId="39A2EEFE" w14:textId="77777777" w:rsidR="00B65BE2" w:rsidRPr="005D1219" w:rsidRDefault="00B65BE2" w:rsidP="0034622E">
            <w:pPr>
              <w:jc w:val="right"/>
              <w:rPr>
                <w:rFonts w:ascii="Arial" w:hAnsi="Arial" w:cs="Arial"/>
                <w:b/>
                <w:bCs/>
                <w:sz w:val="18"/>
                <w:szCs w:val="18"/>
              </w:rPr>
            </w:pPr>
            <w:r w:rsidRPr="005D1219">
              <w:rPr>
                <w:rFonts w:ascii="Arial" w:hAnsi="Arial" w:cs="Arial"/>
                <w:b/>
                <w:bCs/>
                <w:sz w:val="18"/>
                <w:szCs w:val="18"/>
              </w:rPr>
              <w:t xml:space="preserve"> - </w:t>
            </w:r>
          </w:p>
        </w:tc>
      </w:tr>
      <w:tr w:rsidR="00B65BE2" w:rsidRPr="001B015B" w14:paraId="2E449F81" w14:textId="77777777" w:rsidTr="0034622E">
        <w:trPr>
          <w:trHeight w:val="248"/>
        </w:trPr>
        <w:tc>
          <w:tcPr>
            <w:tcW w:w="4122" w:type="dxa"/>
            <w:tcBorders>
              <w:top w:val="nil"/>
              <w:left w:val="nil"/>
              <w:bottom w:val="nil"/>
              <w:right w:val="nil"/>
            </w:tcBorders>
            <w:shd w:val="clear" w:color="auto" w:fill="auto"/>
          </w:tcPr>
          <w:p w14:paraId="28C3C0A3" w14:textId="77777777" w:rsidR="00B65BE2" w:rsidRPr="001B015B" w:rsidRDefault="00B65BE2" w:rsidP="0034622E">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Prijenos u Stupanj 2</w:t>
            </w:r>
          </w:p>
        </w:tc>
        <w:tc>
          <w:tcPr>
            <w:tcW w:w="1111" w:type="dxa"/>
            <w:tcBorders>
              <w:top w:val="nil"/>
              <w:left w:val="nil"/>
              <w:right w:val="nil"/>
            </w:tcBorders>
            <w:shd w:val="clear" w:color="auto" w:fill="auto"/>
            <w:vAlign w:val="bottom"/>
          </w:tcPr>
          <w:p w14:paraId="78C2088D" w14:textId="77777777" w:rsidR="00B65BE2" w:rsidRPr="00593574" w:rsidRDefault="00B65BE2" w:rsidP="0034622E">
            <w:pPr>
              <w:jc w:val="right"/>
              <w:rPr>
                <w:rFonts w:ascii="Arial" w:hAnsi="Arial" w:cs="Arial"/>
                <w:sz w:val="18"/>
                <w:szCs w:val="18"/>
              </w:rPr>
            </w:pPr>
            <w:r w:rsidRPr="003759CC">
              <w:rPr>
                <w:rFonts w:ascii="Arial" w:hAnsi="Arial" w:cs="Arial"/>
                <w:sz w:val="18"/>
                <w:szCs w:val="18"/>
              </w:rPr>
              <w:t xml:space="preserve"> - </w:t>
            </w:r>
          </w:p>
        </w:tc>
        <w:tc>
          <w:tcPr>
            <w:tcW w:w="1034" w:type="dxa"/>
            <w:tcBorders>
              <w:top w:val="nil"/>
              <w:left w:val="nil"/>
              <w:right w:val="nil"/>
            </w:tcBorders>
            <w:shd w:val="clear" w:color="auto" w:fill="auto"/>
            <w:vAlign w:val="bottom"/>
          </w:tcPr>
          <w:p w14:paraId="46CEF32C" w14:textId="77777777" w:rsidR="00B65BE2" w:rsidRPr="00593574" w:rsidRDefault="00B65BE2" w:rsidP="0034622E">
            <w:pPr>
              <w:jc w:val="right"/>
              <w:rPr>
                <w:rFonts w:ascii="Arial" w:hAnsi="Arial" w:cs="Arial"/>
                <w:sz w:val="18"/>
                <w:szCs w:val="18"/>
              </w:rPr>
            </w:pPr>
            <w:r w:rsidRPr="003759CC">
              <w:rPr>
                <w:rFonts w:ascii="Arial" w:hAnsi="Arial" w:cs="Arial"/>
                <w:sz w:val="18"/>
                <w:szCs w:val="18"/>
              </w:rPr>
              <w:t xml:space="preserve"> - </w:t>
            </w:r>
          </w:p>
        </w:tc>
        <w:tc>
          <w:tcPr>
            <w:tcW w:w="1143" w:type="dxa"/>
            <w:tcBorders>
              <w:top w:val="nil"/>
              <w:left w:val="nil"/>
              <w:right w:val="nil"/>
            </w:tcBorders>
            <w:shd w:val="clear" w:color="auto" w:fill="auto"/>
            <w:vAlign w:val="bottom"/>
          </w:tcPr>
          <w:p w14:paraId="0C53B2D5" w14:textId="77777777" w:rsidR="00B65BE2" w:rsidRPr="00593574" w:rsidRDefault="00B65BE2" w:rsidP="0034622E">
            <w:pPr>
              <w:jc w:val="right"/>
              <w:rPr>
                <w:rFonts w:ascii="Arial" w:hAnsi="Arial" w:cs="Arial"/>
                <w:sz w:val="18"/>
                <w:szCs w:val="18"/>
              </w:rPr>
            </w:pPr>
            <w:r w:rsidRPr="003759CC">
              <w:rPr>
                <w:rFonts w:ascii="Arial" w:hAnsi="Arial" w:cs="Arial"/>
                <w:sz w:val="18"/>
                <w:szCs w:val="18"/>
              </w:rPr>
              <w:t xml:space="preserve"> - </w:t>
            </w:r>
          </w:p>
        </w:tc>
        <w:tc>
          <w:tcPr>
            <w:tcW w:w="992" w:type="dxa"/>
            <w:tcBorders>
              <w:top w:val="nil"/>
              <w:left w:val="nil"/>
              <w:right w:val="nil"/>
            </w:tcBorders>
            <w:shd w:val="clear" w:color="auto" w:fill="auto"/>
            <w:vAlign w:val="bottom"/>
          </w:tcPr>
          <w:p w14:paraId="020052AD" w14:textId="77777777" w:rsidR="00B65BE2" w:rsidRPr="00593574" w:rsidRDefault="00B65BE2" w:rsidP="0034622E">
            <w:pPr>
              <w:jc w:val="right"/>
              <w:rPr>
                <w:rFonts w:ascii="Arial" w:hAnsi="Arial" w:cs="Arial"/>
                <w:sz w:val="18"/>
                <w:szCs w:val="18"/>
              </w:rPr>
            </w:pPr>
            <w:r w:rsidRPr="003759CC">
              <w:rPr>
                <w:rFonts w:ascii="Arial" w:hAnsi="Arial" w:cs="Arial"/>
                <w:sz w:val="18"/>
                <w:szCs w:val="18"/>
              </w:rPr>
              <w:t xml:space="preserve"> - </w:t>
            </w:r>
          </w:p>
        </w:tc>
        <w:tc>
          <w:tcPr>
            <w:tcW w:w="992" w:type="dxa"/>
            <w:tcBorders>
              <w:top w:val="nil"/>
              <w:left w:val="nil"/>
              <w:bottom w:val="nil"/>
              <w:right w:val="nil"/>
            </w:tcBorders>
            <w:shd w:val="clear" w:color="auto" w:fill="auto"/>
            <w:vAlign w:val="bottom"/>
          </w:tcPr>
          <w:p w14:paraId="61705A49" w14:textId="77777777" w:rsidR="00B65BE2" w:rsidRPr="005D1219" w:rsidRDefault="00B65BE2" w:rsidP="0034622E">
            <w:pPr>
              <w:jc w:val="right"/>
              <w:rPr>
                <w:rFonts w:ascii="Arial" w:hAnsi="Arial" w:cs="Arial"/>
                <w:b/>
                <w:bCs/>
                <w:sz w:val="18"/>
                <w:szCs w:val="18"/>
              </w:rPr>
            </w:pPr>
            <w:r w:rsidRPr="005D1219">
              <w:rPr>
                <w:rFonts w:ascii="Arial" w:hAnsi="Arial" w:cs="Arial"/>
                <w:b/>
                <w:bCs/>
                <w:sz w:val="18"/>
                <w:szCs w:val="18"/>
              </w:rPr>
              <w:t xml:space="preserve"> - </w:t>
            </w:r>
          </w:p>
        </w:tc>
      </w:tr>
      <w:tr w:rsidR="00B65BE2" w:rsidRPr="001B015B" w14:paraId="4F890161" w14:textId="77777777" w:rsidTr="0034622E">
        <w:trPr>
          <w:trHeight w:val="248"/>
        </w:trPr>
        <w:tc>
          <w:tcPr>
            <w:tcW w:w="4122" w:type="dxa"/>
            <w:tcBorders>
              <w:top w:val="nil"/>
              <w:left w:val="nil"/>
              <w:bottom w:val="nil"/>
              <w:right w:val="nil"/>
            </w:tcBorders>
            <w:shd w:val="clear" w:color="auto" w:fill="auto"/>
            <w:hideMark/>
          </w:tcPr>
          <w:p w14:paraId="19A7E172" w14:textId="77777777" w:rsidR="00B65BE2" w:rsidRPr="001B015B" w:rsidRDefault="00B65BE2" w:rsidP="0034622E">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Prijenos u Stupanj 3</w:t>
            </w:r>
          </w:p>
        </w:tc>
        <w:tc>
          <w:tcPr>
            <w:tcW w:w="1111" w:type="dxa"/>
            <w:tcBorders>
              <w:top w:val="nil"/>
              <w:left w:val="nil"/>
              <w:right w:val="nil"/>
            </w:tcBorders>
            <w:shd w:val="clear" w:color="auto" w:fill="auto"/>
            <w:vAlign w:val="bottom"/>
          </w:tcPr>
          <w:p w14:paraId="58809420" w14:textId="77777777" w:rsidR="00B65BE2" w:rsidRPr="00593574" w:rsidRDefault="00B65BE2" w:rsidP="0034622E">
            <w:pPr>
              <w:jc w:val="right"/>
              <w:rPr>
                <w:rFonts w:ascii="Arial" w:hAnsi="Arial" w:cs="Arial"/>
                <w:sz w:val="18"/>
                <w:szCs w:val="18"/>
              </w:rPr>
            </w:pPr>
            <w:r w:rsidRPr="003759CC">
              <w:rPr>
                <w:rFonts w:ascii="Arial" w:hAnsi="Arial" w:cs="Arial"/>
                <w:sz w:val="18"/>
                <w:szCs w:val="18"/>
              </w:rPr>
              <w:t xml:space="preserve"> - </w:t>
            </w:r>
          </w:p>
        </w:tc>
        <w:tc>
          <w:tcPr>
            <w:tcW w:w="1034" w:type="dxa"/>
            <w:tcBorders>
              <w:top w:val="nil"/>
              <w:left w:val="nil"/>
              <w:right w:val="nil"/>
            </w:tcBorders>
            <w:shd w:val="clear" w:color="auto" w:fill="auto"/>
            <w:vAlign w:val="bottom"/>
          </w:tcPr>
          <w:p w14:paraId="57BF74ED" w14:textId="77777777" w:rsidR="00B65BE2" w:rsidRPr="00593574" w:rsidRDefault="00B65BE2" w:rsidP="0034622E">
            <w:pPr>
              <w:jc w:val="right"/>
              <w:rPr>
                <w:rFonts w:ascii="Arial" w:hAnsi="Arial" w:cs="Arial"/>
                <w:sz w:val="18"/>
                <w:szCs w:val="18"/>
              </w:rPr>
            </w:pPr>
            <w:r w:rsidRPr="003759CC">
              <w:rPr>
                <w:rFonts w:ascii="Arial" w:hAnsi="Arial" w:cs="Arial"/>
                <w:sz w:val="18"/>
                <w:szCs w:val="18"/>
              </w:rPr>
              <w:t xml:space="preserve"> - </w:t>
            </w:r>
          </w:p>
        </w:tc>
        <w:tc>
          <w:tcPr>
            <w:tcW w:w="1143" w:type="dxa"/>
            <w:tcBorders>
              <w:top w:val="nil"/>
              <w:left w:val="nil"/>
              <w:right w:val="nil"/>
            </w:tcBorders>
            <w:shd w:val="clear" w:color="auto" w:fill="auto"/>
            <w:vAlign w:val="bottom"/>
          </w:tcPr>
          <w:p w14:paraId="66F5981D" w14:textId="77777777" w:rsidR="00B65BE2" w:rsidRPr="00593574" w:rsidRDefault="00B65BE2" w:rsidP="0034622E">
            <w:pPr>
              <w:jc w:val="right"/>
              <w:rPr>
                <w:rFonts w:ascii="Arial" w:hAnsi="Arial" w:cs="Arial"/>
                <w:sz w:val="18"/>
                <w:szCs w:val="18"/>
              </w:rPr>
            </w:pPr>
            <w:r w:rsidRPr="003759CC">
              <w:rPr>
                <w:rFonts w:ascii="Arial" w:hAnsi="Arial" w:cs="Arial"/>
                <w:sz w:val="18"/>
                <w:szCs w:val="18"/>
              </w:rPr>
              <w:t xml:space="preserve"> - </w:t>
            </w:r>
          </w:p>
        </w:tc>
        <w:tc>
          <w:tcPr>
            <w:tcW w:w="992" w:type="dxa"/>
            <w:tcBorders>
              <w:top w:val="nil"/>
              <w:left w:val="nil"/>
              <w:right w:val="nil"/>
            </w:tcBorders>
            <w:shd w:val="clear" w:color="auto" w:fill="auto"/>
            <w:vAlign w:val="bottom"/>
          </w:tcPr>
          <w:p w14:paraId="76D97F93" w14:textId="77777777" w:rsidR="00B65BE2" w:rsidRPr="00593574" w:rsidRDefault="00B65BE2" w:rsidP="0034622E">
            <w:pPr>
              <w:jc w:val="right"/>
              <w:rPr>
                <w:rFonts w:ascii="Arial" w:hAnsi="Arial" w:cs="Arial"/>
                <w:sz w:val="18"/>
                <w:szCs w:val="18"/>
              </w:rPr>
            </w:pPr>
            <w:r w:rsidRPr="003759CC">
              <w:rPr>
                <w:rFonts w:ascii="Arial" w:hAnsi="Arial" w:cs="Arial"/>
                <w:sz w:val="18"/>
                <w:szCs w:val="18"/>
              </w:rPr>
              <w:t xml:space="preserve"> - </w:t>
            </w:r>
          </w:p>
        </w:tc>
        <w:tc>
          <w:tcPr>
            <w:tcW w:w="992" w:type="dxa"/>
            <w:tcBorders>
              <w:top w:val="nil"/>
              <w:left w:val="nil"/>
              <w:bottom w:val="nil"/>
              <w:right w:val="nil"/>
            </w:tcBorders>
            <w:shd w:val="clear" w:color="auto" w:fill="auto"/>
            <w:vAlign w:val="bottom"/>
          </w:tcPr>
          <w:p w14:paraId="110031F3" w14:textId="77777777" w:rsidR="00B65BE2" w:rsidRPr="005D1219" w:rsidRDefault="00B65BE2" w:rsidP="0034622E">
            <w:pPr>
              <w:jc w:val="right"/>
              <w:rPr>
                <w:rFonts w:ascii="Arial" w:hAnsi="Arial" w:cs="Arial"/>
                <w:b/>
                <w:bCs/>
                <w:sz w:val="18"/>
                <w:szCs w:val="18"/>
              </w:rPr>
            </w:pPr>
            <w:r w:rsidRPr="005D1219">
              <w:rPr>
                <w:rFonts w:ascii="Arial" w:hAnsi="Arial" w:cs="Arial"/>
                <w:b/>
                <w:bCs/>
                <w:sz w:val="18"/>
                <w:szCs w:val="18"/>
              </w:rPr>
              <w:t xml:space="preserve"> - </w:t>
            </w:r>
          </w:p>
        </w:tc>
      </w:tr>
      <w:tr w:rsidR="00B65BE2" w:rsidRPr="001B015B" w14:paraId="769AFD03" w14:textId="77777777" w:rsidTr="0034622E">
        <w:trPr>
          <w:trHeight w:val="311"/>
        </w:trPr>
        <w:tc>
          <w:tcPr>
            <w:tcW w:w="4122" w:type="dxa"/>
            <w:tcBorders>
              <w:top w:val="nil"/>
              <w:left w:val="nil"/>
              <w:bottom w:val="nil"/>
              <w:right w:val="nil"/>
            </w:tcBorders>
            <w:shd w:val="clear" w:color="auto" w:fill="auto"/>
            <w:vAlign w:val="center"/>
            <w:hideMark/>
          </w:tcPr>
          <w:p w14:paraId="5606D8BA" w14:textId="77777777" w:rsidR="00B65BE2" w:rsidRPr="001B015B" w:rsidRDefault="00B65BE2" w:rsidP="0034622E">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 xml:space="preserve">Neto </w:t>
            </w:r>
            <w:r w:rsidRPr="00593574">
              <w:rPr>
                <w:rFonts w:ascii="Arial" w:eastAsia="Calibri" w:hAnsi="Arial" w:cs="Arial"/>
                <w:color w:val="000000" w:themeColor="text1"/>
                <w:sz w:val="18"/>
                <w:szCs w:val="18"/>
              </w:rPr>
              <w:t>povećanje/(smanjenje)</w:t>
            </w:r>
            <w:r>
              <w:rPr>
                <w:rFonts w:ascii="Arial" w:eastAsia="Calibri" w:hAnsi="Arial" w:cs="Arial"/>
                <w:color w:val="000000" w:themeColor="text1"/>
                <w:sz w:val="18"/>
                <w:szCs w:val="18"/>
              </w:rPr>
              <w:t xml:space="preserve"> </w:t>
            </w:r>
            <w:r w:rsidRPr="001B015B">
              <w:rPr>
                <w:rFonts w:ascii="Arial" w:eastAsia="Calibri" w:hAnsi="Arial" w:cs="Arial"/>
                <w:color w:val="000000" w:themeColor="text1"/>
                <w:sz w:val="18"/>
                <w:szCs w:val="18"/>
              </w:rPr>
              <w:t xml:space="preserve">rezerviranja za očekivane gubitke </w:t>
            </w:r>
          </w:p>
        </w:tc>
        <w:tc>
          <w:tcPr>
            <w:tcW w:w="1111" w:type="dxa"/>
            <w:tcBorders>
              <w:top w:val="nil"/>
              <w:left w:val="nil"/>
              <w:bottom w:val="nil"/>
              <w:right w:val="nil"/>
            </w:tcBorders>
            <w:shd w:val="clear" w:color="auto" w:fill="auto"/>
            <w:vAlign w:val="bottom"/>
          </w:tcPr>
          <w:p w14:paraId="5FB54663" w14:textId="77777777" w:rsidR="00B65BE2" w:rsidRPr="00593574" w:rsidRDefault="00B65BE2" w:rsidP="0034622E">
            <w:pPr>
              <w:jc w:val="right"/>
              <w:rPr>
                <w:rFonts w:ascii="Arial" w:hAnsi="Arial" w:cs="Arial"/>
                <w:sz w:val="18"/>
                <w:szCs w:val="18"/>
              </w:rPr>
            </w:pPr>
            <w:r w:rsidRPr="00F959D0">
              <w:rPr>
                <w:rFonts w:ascii="Arial" w:hAnsi="Arial" w:cs="Arial"/>
                <w:sz w:val="18"/>
                <w:szCs w:val="18"/>
              </w:rPr>
              <w:t xml:space="preserve"> 16 </w:t>
            </w:r>
          </w:p>
        </w:tc>
        <w:tc>
          <w:tcPr>
            <w:tcW w:w="1034" w:type="dxa"/>
            <w:tcBorders>
              <w:top w:val="nil"/>
              <w:left w:val="nil"/>
              <w:bottom w:val="nil"/>
              <w:right w:val="nil"/>
            </w:tcBorders>
            <w:shd w:val="clear" w:color="auto" w:fill="auto"/>
            <w:vAlign w:val="bottom"/>
          </w:tcPr>
          <w:p w14:paraId="485A369B" w14:textId="77777777" w:rsidR="00B65BE2" w:rsidRPr="00593574" w:rsidRDefault="00B65BE2" w:rsidP="0034622E">
            <w:pPr>
              <w:jc w:val="right"/>
              <w:rPr>
                <w:rFonts w:ascii="Arial" w:hAnsi="Arial" w:cs="Arial"/>
                <w:sz w:val="18"/>
                <w:szCs w:val="18"/>
              </w:rPr>
            </w:pPr>
            <w:r w:rsidRPr="00F959D0">
              <w:rPr>
                <w:rFonts w:ascii="Arial" w:hAnsi="Arial" w:cs="Arial"/>
                <w:sz w:val="18"/>
                <w:szCs w:val="18"/>
              </w:rPr>
              <w:t xml:space="preserve"> 1 </w:t>
            </w:r>
          </w:p>
        </w:tc>
        <w:tc>
          <w:tcPr>
            <w:tcW w:w="1143" w:type="dxa"/>
            <w:tcBorders>
              <w:top w:val="nil"/>
              <w:left w:val="nil"/>
              <w:bottom w:val="nil"/>
              <w:right w:val="nil"/>
            </w:tcBorders>
            <w:shd w:val="clear" w:color="auto" w:fill="auto"/>
            <w:vAlign w:val="bottom"/>
          </w:tcPr>
          <w:p w14:paraId="47EDAEB3" w14:textId="77777777" w:rsidR="00B65BE2" w:rsidRPr="00593574" w:rsidRDefault="00B65BE2" w:rsidP="0034622E">
            <w:pPr>
              <w:jc w:val="right"/>
              <w:rPr>
                <w:rFonts w:ascii="Arial" w:hAnsi="Arial" w:cs="Arial"/>
                <w:sz w:val="18"/>
                <w:szCs w:val="18"/>
              </w:rPr>
            </w:pPr>
            <w:r w:rsidRPr="00F959D0">
              <w:rPr>
                <w:rFonts w:ascii="Arial" w:hAnsi="Arial" w:cs="Arial"/>
                <w:sz w:val="18"/>
                <w:szCs w:val="18"/>
              </w:rPr>
              <w:t xml:space="preserve"> (206)</w:t>
            </w:r>
          </w:p>
        </w:tc>
        <w:tc>
          <w:tcPr>
            <w:tcW w:w="992" w:type="dxa"/>
            <w:tcBorders>
              <w:top w:val="nil"/>
              <w:left w:val="nil"/>
              <w:bottom w:val="nil"/>
              <w:right w:val="nil"/>
            </w:tcBorders>
            <w:shd w:val="clear" w:color="auto" w:fill="auto"/>
            <w:vAlign w:val="bottom"/>
          </w:tcPr>
          <w:p w14:paraId="0453F36E" w14:textId="77777777" w:rsidR="00B65BE2" w:rsidRPr="00593574" w:rsidRDefault="00B65BE2" w:rsidP="0034622E">
            <w:pPr>
              <w:jc w:val="right"/>
              <w:rPr>
                <w:rFonts w:ascii="Arial" w:hAnsi="Arial" w:cs="Arial"/>
                <w:sz w:val="18"/>
                <w:szCs w:val="18"/>
              </w:rPr>
            </w:pPr>
            <w:r w:rsidRPr="00F959D0">
              <w:rPr>
                <w:rFonts w:ascii="Arial" w:hAnsi="Arial" w:cs="Arial"/>
                <w:sz w:val="18"/>
                <w:szCs w:val="18"/>
              </w:rPr>
              <w:t xml:space="preserve"> (4)</w:t>
            </w:r>
          </w:p>
        </w:tc>
        <w:tc>
          <w:tcPr>
            <w:tcW w:w="992" w:type="dxa"/>
            <w:tcBorders>
              <w:top w:val="nil"/>
              <w:left w:val="nil"/>
              <w:bottom w:val="nil"/>
              <w:right w:val="nil"/>
            </w:tcBorders>
            <w:shd w:val="clear" w:color="auto" w:fill="auto"/>
            <w:vAlign w:val="bottom"/>
          </w:tcPr>
          <w:p w14:paraId="23AE73BE" w14:textId="77777777" w:rsidR="00B65BE2" w:rsidRPr="005D1219" w:rsidRDefault="00B65BE2" w:rsidP="0034622E">
            <w:pPr>
              <w:jc w:val="right"/>
              <w:rPr>
                <w:rFonts w:ascii="Arial" w:hAnsi="Arial" w:cs="Arial"/>
                <w:b/>
                <w:bCs/>
                <w:sz w:val="18"/>
                <w:szCs w:val="18"/>
              </w:rPr>
            </w:pPr>
            <w:r w:rsidRPr="005D1219">
              <w:rPr>
                <w:rFonts w:ascii="Arial" w:hAnsi="Arial" w:cs="Arial"/>
                <w:b/>
                <w:bCs/>
                <w:sz w:val="18"/>
                <w:szCs w:val="18"/>
              </w:rPr>
              <w:t xml:space="preserve"> (193)</w:t>
            </w:r>
          </w:p>
        </w:tc>
      </w:tr>
      <w:tr w:rsidR="00B65BE2" w:rsidRPr="001B015B" w14:paraId="2AF7B30C" w14:textId="77777777" w:rsidTr="0034622E">
        <w:trPr>
          <w:trHeight w:val="111"/>
        </w:trPr>
        <w:tc>
          <w:tcPr>
            <w:tcW w:w="4122" w:type="dxa"/>
            <w:tcBorders>
              <w:top w:val="nil"/>
              <w:left w:val="nil"/>
              <w:bottom w:val="nil"/>
              <w:right w:val="nil"/>
            </w:tcBorders>
            <w:shd w:val="clear" w:color="auto" w:fill="auto"/>
            <w:vAlign w:val="center"/>
          </w:tcPr>
          <w:p w14:paraId="32E956C0" w14:textId="77777777" w:rsidR="00B65BE2" w:rsidRPr="001B015B" w:rsidRDefault="00B65BE2" w:rsidP="0034622E">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Otpis</w:t>
            </w:r>
          </w:p>
        </w:tc>
        <w:tc>
          <w:tcPr>
            <w:tcW w:w="1111" w:type="dxa"/>
            <w:tcBorders>
              <w:top w:val="nil"/>
              <w:left w:val="nil"/>
              <w:right w:val="nil"/>
            </w:tcBorders>
            <w:shd w:val="clear" w:color="auto" w:fill="auto"/>
            <w:vAlign w:val="bottom"/>
          </w:tcPr>
          <w:p w14:paraId="3CB1C490" w14:textId="77777777" w:rsidR="00B65BE2" w:rsidRPr="001B015B" w:rsidRDefault="00B65BE2" w:rsidP="0034622E">
            <w:pPr>
              <w:jc w:val="right"/>
              <w:rPr>
                <w:rFonts w:ascii="Arial" w:hAnsi="Arial" w:cs="Arial"/>
                <w:sz w:val="18"/>
                <w:szCs w:val="18"/>
              </w:rPr>
            </w:pPr>
            <w:r w:rsidRPr="003759CC">
              <w:rPr>
                <w:rFonts w:ascii="Arial" w:hAnsi="Arial" w:cs="Arial"/>
                <w:sz w:val="18"/>
                <w:szCs w:val="18"/>
              </w:rPr>
              <w:t xml:space="preserve"> - </w:t>
            </w:r>
          </w:p>
        </w:tc>
        <w:tc>
          <w:tcPr>
            <w:tcW w:w="1034" w:type="dxa"/>
            <w:tcBorders>
              <w:top w:val="nil"/>
              <w:left w:val="nil"/>
              <w:right w:val="nil"/>
            </w:tcBorders>
            <w:shd w:val="clear" w:color="auto" w:fill="auto"/>
            <w:vAlign w:val="bottom"/>
          </w:tcPr>
          <w:p w14:paraId="0ACEA6BA" w14:textId="77777777" w:rsidR="00B65BE2" w:rsidRPr="001B015B" w:rsidRDefault="00B65BE2" w:rsidP="0034622E">
            <w:pPr>
              <w:jc w:val="right"/>
              <w:rPr>
                <w:rFonts w:ascii="Arial" w:hAnsi="Arial" w:cs="Arial"/>
                <w:sz w:val="18"/>
                <w:szCs w:val="18"/>
              </w:rPr>
            </w:pPr>
            <w:r w:rsidRPr="003759CC">
              <w:rPr>
                <w:rFonts w:ascii="Arial" w:hAnsi="Arial" w:cs="Arial"/>
                <w:sz w:val="18"/>
                <w:szCs w:val="18"/>
              </w:rPr>
              <w:t xml:space="preserve"> - </w:t>
            </w:r>
          </w:p>
        </w:tc>
        <w:tc>
          <w:tcPr>
            <w:tcW w:w="1143" w:type="dxa"/>
            <w:tcBorders>
              <w:top w:val="nil"/>
              <w:left w:val="nil"/>
              <w:bottom w:val="nil"/>
              <w:right w:val="nil"/>
            </w:tcBorders>
            <w:shd w:val="clear" w:color="auto" w:fill="auto"/>
            <w:vAlign w:val="bottom"/>
          </w:tcPr>
          <w:p w14:paraId="34DEDBF4" w14:textId="77777777" w:rsidR="00B65BE2" w:rsidRPr="001B015B" w:rsidRDefault="00B65BE2" w:rsidP="0034622E">
            <w:pPr>
              <w:jc w:val="right"/>
              <w:rPr>
                <w:rFonts w:ascii="Arial" w:hAnsi="Arial" w:cs="Arial"/>
                <w:sz w:val="18"/>
                <w:szCs w:val="18"/>
              </w:rPr>
            </w:pPr>
            <w:r w:rsidRPr="00F959D0">
              <w:rPr>
                <w:rFonts w:ascii="Arial" w:hAnsi="Arial" w:cs="Arial"/>
                <w:sz w:val="18"/>
                <w:szCs w:val="18"/>
              </w:rPr>
              <w:t xml:space="preserve"> (93)</w:t>
            </w:r>
          </w:p>
        </w:tc>
        <w:tc>
          <w:tcPr>
            <w:tcW w:w="992" w:type="dxa"/>
            <w:tcBorders>
              <w:top w:val="nil"/>
              <w:left w:val="nil"/>
              <w:bottom w:val="nil"/>
              <w:right w:val="nil"/>
            </w:tcBorders>
            <w:shd w:val="clear" w:color="auto" w:fill="auto"/>
            <w:vAlign w:val="bottom"/>
          </w:tcPr>
          <w:p w14:paraId="64A8E3D3" w14:textId="77777777" w:rsidR="00B65BE2" w:rsidRPr="001B015B" w:rsidRDefault="00B65BE2" w:rsidP="0034622E">
            <w:pPr>
              <w:jc w:val="right"/>
              <w:rPr>
                <w:rFonts w:ascii="Arial" w:hAnsi="Arial" w:cs="Arial"/>
                <w:sz w:val="18"/>
                <w:szCs w:val="18"/>
              </w:rPr>
            </w:pPr>
            <w:r>
              <w:rPr>
                <w:rFonts w:ascii="Arial" w:hAnsi="Arial" w:cs="Arial"/>
                <w:sz w:val="18"/>
                <w:szCs w:val="18"/>
              </w:rPr>
              <w:t>-</w:t>
            </w:r>
          </w:p>
        </w:tc>
        <w:tc>
          <w:tcPr>
            <w:tcW w:w="992" w:type="dxa"/>
            <w:tcBorders>
              <w:top w:val="nil"/>
              <w:left w:val="nil"/>
              <w:bottom w:val="nil"/>
              <w:right w:val="nil"/>
            </w:tcBorders>
            <w:shd w:val="clear" w:color="auto" w:fill="auto"/>
            <w:vAlign w:val="bottom"/>
          </w:tcPr>
          <w:p w14:paraId="3E38FABB" w14:textId="77777777" w:rsidR="00B65BE2" w:rsidRPr="005D1219" w:rsidRDefault="00B65BE2" w:rsidP="0034622E">
            <w:pPr>
              <w:jc w:val="right"/>
              <w:rPr>
                <w:rFonts w:ascii="Arial" w:hAnsi="Arial" w:cs="Arial"/>
                <w:b/>
                <w:bCs/>
                <w:sz w:val="18"/>
                <w:szCs w:val="18"/>
              </w:rPr>
            </w:pPr>
            <w:r w:rsidRPr="005D1219">
              <w:rPr>
                <w:rFonts w:ascii="Arial" w:hAnsi="Arial" w:cs="Arial"/>
                <w:b/>
                <w:bCs/>
                <w:sz w:val="18"/>
                <w:szCs w:val="18"/>
              </w:rPr>
              <w:t xml:space="preserve"> (93)</w:t>
            </w:r>
          </w:p>
        </w:tc>
      </w:tr>
      <w:tr w:rsidR="00B65BE2" w:rsidRPr="001B015B" w14:paraId="726CE6F2" w14:textId="77777777" w:rsidTr="0034622E">
        <w:trPr>
          <w:trHeight w:val="261"/>
        </w:trPr>
        <w:tc>
          <w:tcPr>
            <w:tcW w:w="4122" w:type="dxa"/>
            <w:tcBorders>
              <w:top w:val="nil"/>
              <w:left w:val="nil"/>
              <w:bottom w:val="nil"/>
              <w:right w:val="nil"/>
            </w:tcBorders>
            <w:shd w:val="clear" w:color="auto" w:fill="auto"/>
            <w:vAlign w:val="center"/>
            <w:hideMark/>
          </w:tcPr>
          <w:p w14:paraId="7B9CA866" w14:textId="77777777" w:rsidR="00B65BE2" w:rsidRPr="001B015B" w:rsidRDefault="00B65BE2" w:rsidP="0034622E">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Neto dobit/gubitak od tečajnih razlika po rezerviranjima za očekivane gubitke</w:t>
            </w:r>
          </w:p>
        </w:tc>
        <w:tc>
          <w:tcPr>
            <w:tcW w:w="1111" w:type="dxa"/>
            <w:tcBorders>
              <w:top w:val="nil"/>
              <w:left w:val="nil"/>
              <w:right w:val="nil"/>
            </w:tcBorders>
            <w:shd w:val="clear" w:color="auto" w:fill="auto"/>
            <w:vAlign w:val="bottom"/>
          </w:tcPr>
          <w:p w14:paraId="43F5577A" w14:textId="77777777" w:rsidR="00B65BE2" w:rsidRPr="00593574" w:rsidRDefault="00B65BE2" w:rsidP="0034622E">
            <w:pPr>
              <w:jc w:val="right"/>
              <w:rPr>
                <w:rFonts w:ascii="Arial" w:hAnsi="Arial" w:cs="Arial"/>
                <w:sz w:val="18"/>
                <w:szCs w:val="18"/>
              </w:rPr>
            </w:pPr>
            <w:r w:rsidRPr="003759CC">
              <w:rPr>
                <w:rFonts w:ascii="Arial" w:hAnsi="Arial" w:cs="Arial"/>
                <w:sz w:val="18"/>
                <w:szCs w:val="18"/>
              </w:rPr>
              <w:t xml:space="preserve"> - </w:t>
            </w:r>
          </w:p>
        </w:tc>
        <w:tc>
          <w:tcPr>
            <w:tcW w:w="1034" w:type="dxa"/>
            <w:tcBorders>
              <w:top w:val="nil"/>
              <w:left w:val="nil"/>
              <w:right w:val="nil"/>
            </w:tcBorders>
            <w:shd w:val="clear" w:color="auto" w:fill="auto"/>
            <w:vAlign w:val="bottom"/>
          </w:tcPr>
          <w:p w14:paraId="3629B811" w14:textId="77777777" w:rsidR="00B65BE2" w:rsidRPr="00593574" w:rsidRDefault="00B65BE2" w:rsidP="0034622E">
            <w:pPr>
              <w:jc w:val="right"/>
              <w:rPr>
                <w:rFonts w:ascii="Arial" w:hAnsi="Arial" w:cs="Arial"/>
                <w:sz w:val="18"/>
                <w:szCs w:val="18"/>
              </w:rPr>
            </w:pPr>
            <w:r w:rsidRPr="003759CC">
              <w:rPr>
                <w:rFonts w:ascii="Arial" w:hAnsi="Arial" w:cs="Arial"/>
                <w:sz w:val="18"/>
                <w:szCs w:val="18"/>
              </w:rPr>
              <w:t xml:space="preserve"> - </w:t>
            </w:r>
          </w:p>
        </w:tc>
        <w:tc>
          <w:tcPr>
            <w:tcW w:w="1143" w:type="dxa"/>
            <w:tcBorders>
              <w:top w:val="nil"/>
              <w:left w:val="nil"/>
              <w:right w:val="nil"/>
            </w:tcBorders>
            <w:shd w:val="clear" w:color="auto" w:fill="auto"/>
            <w:vAlign w:val="bottom"/>
          </w:tcPr>
          <w:p w14:paraId="7987285B" w14:textId="77777777" w:rsidR="00B65BE2" w:rsidRPr="00593574" w:rsidRDefault="00B65BE2" w:rsidP="0034622E">
            <w:pPr>
              <w:jc w:val="right"/>
              <w:rPr>
                <w:rFonts w:ascii="Arial" w:hAnsi="Arial" w:cs="Arial"/>
                <w:sz w:val="18"/>
                <w:szCs w:val="18"/>
              </w:rPr>
            </w:pPr>
            <w:r w:rsidRPr="00F959D0">
              <w:rPr>
                <w:rFonts w:ascii="Arial" w:hAnsi="Arial" w:cs="Arial"/>
                <w:sz w:val="18"/>
                <w:szCs w:val="18"/>
              </w:rPr>
              <w:t xml:space="preserve"> (2)</w:t>
            </w:r>
          </w:p>
        </w:tc>
        <w:tc>
          <w:tcPr>
            <w:tcW w:w="992" w:type="dxa"/>
            <w:tcBorders>
              <w:top w:val="nil"/>
              <w:left w:val="nil"/>
              <w:right w:val="nil"/>
            </w:tcBorders>
            <w:shd w:val="clear" w:color="auto" w:fill="auto"/>
            <w:vAlign w:val="bottom"/>
          </w:tcPr>
          <w:p w14:paraId="51243680" w14:textId="77777777" w:rsidR="00B65BE2" w:rsidRPr="00593574" w:rsidRDefault="00B65BE2" w:rsidP="0034622E">
            <w:pPr>
              <w:jc w:val="right"/>
              <w:rPr>
                <w:rFonts w:ascii="Arial" w:hAnsi="Arial" w:cs="Arial"/>
                <w:sz w:val="18"/>
                <w:szCs w:val="18"/>
              </w:rPr>
            </w:pPr>
            <w:r>
              <w:rPr>
                <w:rFonts w:ascii="Arial" w:hAnsi="Arial" w:cs="Arial"/>
                <w:sz w:val="18"/>
                <w:szCs w:val="18"/>
              </w:rPr>
              <w:t>-</w:t>
            </w:r>
          </w:p>
        </w:tc>
        <w:tc>
          <w:tcPr>
            <w:tcW w:w="992" w:type="dxa"/>
            <w:tcBorders>
              <w:top w:val="nil"/>
              <w:left w:val="nil"/>
              <w:right w:val="nil"/>
            </w:tcBorders>
            <w:shd w:val="clear" w:color="auto" w:fill="auto"/>
            <w:vAlign w:val="bottom"/>
          </w:tcPr>
          <w:p w14:paraId="754BA7AF" w14:textId="77777777" w:rsidR="00B65BE2" w:rsidRPr="005D1219" w:rsidRDefault="00B65BE2" w:rsidP="0034622E">
            <w:pPr>
              <w:jc w:val="right"/>
              <w:rPr>
                <w:rFonts w:ascii="Arial" w:hAnsi="Arial" w:cs="Arial"/>
                <w:b/>
                <w:bCs/>
                <w:sz w:val="18"/>
                <w:szCs w:val="18"/>
              </w:rPr>
            </w:pPr>
            <w:r w:rsidRPr="005D1219">
              <w:rPr>
                <w:rFonts w:ascii="Arial" w:hAnsi="Arial" w:cs="Arial"/>
                <w:b/>
                <w:bCs/>
                <w:sz w:val="18"/>
                <w:szCs w:val="18"/>
              </w:rPr>
              <w:t xml:space="preserve"> (2)</w:t>
            </w:r>
          </w:p>
        </w:tc>
      </w:tr>
      <w:tr w:rsidR="00B65BE2" w:rsidRPr="001B015B" w14:paraId="63253468" w14:textId="77777777" w:rsidTr="0034622E">
        <w:trPr>
          <w:trHeight w:val="261"/>
        </w:trPr>
        <w:tc>
          <w:tcPr>
            <w:tcW w:w="4122" w:type="dxa"/>
            <w:tcBorders>
              <w:top w:val="nil"/>
              <w:left w:val="nil"/>
              <w:bottom w:val="nil"/>
              <w:right w:val="nil"/>
            </w:tcBorders>
            <w:shd w:val="clear" w:color="auto" w:fill="auto"/>
            <w:vAlign w:val="center"/>
          </w:tcPr>
          <w:p w14:paraId="56E4D437" w14:textId="77777777" w:rsidR="00B65BE2" w:rsidRPr="001B015B" w:rsidRDefault="00B65BE2" w:rsidP="0034622E">
            <w:pPr>
              <w:rPr>
                <w:rFonts w:ascii="Arial" w:eastAsia="Calibri" w:hAnsi="Arial" w:cs="Arial"/>
                <w:b/>
                <w:bCs/>
                <w:color w:val="000000" w:themeColor="text1"/>
                <w:sz w:val="18"/>
                <w:szCs w:val="18"/>
              </w:rPr>
            </w:pPr>
            <w:r w:rsidRPr="00B32961">
              <w:rPr>
                <w:rFonts w:ascii="Arial" w:eastAsia="Calibri" w:hAnsi="Arial" w:cs="Arial"/>
                <w:color w:val="000000" w:themeColor="text1"/>
                <w:sz w:val="18"/>
                <w:szCs w:val="18"/>
              </w:rPr>
              <w:t>Ostala usklađenja</w:t>
            </w:r>
          </w:p>
        </w:tc>
        <w:tc>
          <w:tcPr>
            <w:tcW w:w="1111" w:type="dxa"/>
            <w:tcBorders>
              <w:top w:val="nil"/>
              <w:left w:val="nil"/>
              <w:bottom w:val="single" w:sz="4" w:space="0" w:color="auto"/>
              <w:right w:val="nil"/>
            </w:tcBorders>
            <w:shd w:val="clear" w:color="auto" w:fill="auto"/>
            <w:vAlign w:val="bottom"/>
          </w:tcPr>
          <w:p w14:paraId="23AE1707" w14:textId="77777777" w:rsidR="00B65BE2" w:rsidRPr="00B32961" w:rsidRDefault="00B65BE2" w:rsidP="0034622E">
            <w:pPr>
              <w:jc w:val="right"/>
              <w:rPr>
                <w:rFonts w:ascii="Arial" w:hAnsi="Arial" w:cs="Arial"/>
                <w:sz w:val="18"/>
                <w:szCs w:val="18"/>
              </w:rPr>
            </w:pPr>
            <w:r>
              <w:rPr>
                <w:rFonts w:ascii="Arial" w:hAnsi="Arial" w:cs="Arial"/>
                <w:sz w:val="18"/>
                <w:szCs w:val="18"/>
              </w:rPr>
              <w:t>-</w:t>
            </w:r>
          </w:p>
        </w:tc>
        <w:tc>
          <w:tcPr>
            <w:tcW w:w="1034" w:type="dxa"/>
            <w:tcBorders>
              <w:top w:val="nil"/>
              <w:left w:val="nil"/>
              <w:bottom w:val="single" w:sz="4" w:space="0" w:color="auto"/>
              <w:right w:val="nil"/>
            </w:tcBorders>
            <w:shd w:val="clear" w:color="auto" w:fill="auto"/>
            <w:vAlign w:val="bottom"/>
          </w:tcPr>
          <w:p w14:paraId="68B6213C" w14:textId="77777777" w:rsidR="00B65BE2" w:rsidRPr="00B32961" w:rsidRDefault="00B65BE2" w:rsidP="0034622E">
            <w:pPr>
              <w:jc w:val="right"/>
              <w:rPr>
                <w:rFonts w:ascii="Arial" w:hAnsi="Arial" w:cs="Arial"/>
                <w:sz w:val="18"/>
                <w:szCs w:val="18"/>
              </w:rPr>
            </w:pPr>
            <w:r>
              <w:rPr>
                <w:rFonts w:ascii="Arial" w:hAnsi="Arial" w:cs="Arial"/>
                <w:sz w:val="18"/>
                <w:szCs w:val="18"/>
              </w:rPr>
              <w:t>-</w:t>
            </w:r>
          </w:p>
        </w:tc>
        <w:tc>
          <w:tcPr>
            <w:tcW w:w="1143" w:type="dxa"/>
            <w:tcBorders>
              <w:top w:val="nil"/>
              <w:left w:val="nil"/>
              <w:bottom w:val="single" w:sz="4" w:space="0" w:color="auto"/>
              <w:right w:val="nil"/>
            </w:tcBorders>
            <w:shd w:val="clear" w:color="auto" w:fill="auto"/>
            <w:vAlign w:val="bottom"/>
          </w:tcPr>
          <w:p w14:paraId="2E25F5C1" w14:textId="77777777" w:rsidR="00B65BE2" w:rsidRPr="00B32961" w:rsidRDefault="00B65BE2" w:rsidP="0034622E">
            <w:pPr>
              <w:jc w:val="right"/>
              <w:rPr>
                <w:rFonts w:ascii="Arial" w:hAnsi="Arial" w:cs="Arial"/>
                <w:sz w:val="18"/>
                <w:szCs w:val="18"/>
              </w:rPr>
            </w:pPr>
            <w:r>
              <w:rPr>
                <w:rFonts w:ascii="Arial" w:hAnsi="Arial" w:cs="Arial"/>
                <w:sz w:val="18"/>
                <w:szCs w:val="18"/>
              </w:rPr>
              <w:t>-</w:t>
            </w:r>
          </w:p>
        </w:tc>
        <w:tc>
          <w:tcPr>
            <w:tcW w:w="992" w:type="dxa"/>
            <w:tcBorders>
              <w:top w:val="nil"/>
              <w:left w:val="nil"/>
              <w:bottom w:val="single" w:sz="4" w:space="0" w:color="auto"/>
              <w:right w:val="nil"/>
            </w:tcBorders>
            <w:shd w:val="clear" w:color="auto" w:fill="auto"/>
            <w:vAlign w:val="bottom"/>
          </w:tcPr>
          <w:p w14:paraId="0151C9BB" w14:textId="77777777" w:rsidR="00B65BE2" w:rsidRPr="00B32961" w:rsidRDefault="00B65BE2" w:rsidP="0034622E">
            <w:pPr>
              <w:jc w:val="right"/>
              <w:rPr>
                <w:rFonts w:ascii="Arial" w:hAnsi="Arial" w:cs="Arial"/>
                <w:sz w:val="18"/>
                <w:szCs w:val="18"/>
              </w:rPr>
            </w:pPr>
            <w:r w:rsidRPr="00F959D0">
              <w:rPr>
                <w:rFonts w:ascii="Arial" w:hAnsi="Arial" w:cs="Arial"/>
                <w:sz w:val="18"/>
                <w:szCs w:val="18"/>
              </w:rPr>
              <w:t xml:space="preserve"> 4 </w:t>
            </w:r>
          </w:p>
        </w:tc>
        <w:tc>
          <w:tcPr>
            <w:tcW w:w="992" w:type="dxa"/>
            <w:tcBorders>
              <w:top w:val="nil"/>
              <w:left w:val="nil"/>
              <w:bottom w:val="single" w:sz="4" w:space="0" w:color="auto"/>
              <w:right w:val="nil"/>
            </w:tcBorders>
            <w:shd w:val="clear" w:color="auto" w:fill="auto"/>
            <w:vAlign w:val="bottom"/>
          </w:tcPr>
          <w:p w14:paraId="39B4AB87" w14:textId="77777777" w:rsidR="00B65BE2" w:rsidRPr="005D1219" w:rsidRDefault="00B65BE2" w:rsidP="0034622E">
            <w:pPr>
              <w:jc w:val="right"/>
              <w:rPr>
                <w:rFonts w:ascii="Arial" w:hAnsi="Arial" w:cs="Arial"/>
                <w:b/>
                <w:bCs/>
                <w:sz w:val="18"/>
                <w:szCs w:val="18"/>
              </w:rPr>
            </w:pPr>
            <w:r w:rsidRPr="005D1219">
              <w:rPr>
                <w:rFonts w:ascii="Arial" w:hAnsi="Arial" w:cs="Arial"/>
                <w:b/>
                <w:bCs/>
                <w:sz w:val="18"/>
                <w:szCs w:val="18"/>
              </w:rPr>
              <w:t xml:space="preserve"> 4 </w:t>
            </w:r>
          </w:p>
        </w:tc>
      </w:tr>
      <w:tr w:rsidR="00B65BE2" w:rsidRPr="001B015B" w14:paraId="36D4BF0A" w14:textId="77777777" w:rsidTr="0034622E">
        <w:trPr>
          <w:trHeight w:val="261"/>
        </w:trPr>
        <w:tc>
          <w:tcPr>
            <w:tcW w:w="4122" w:type="dxa"/>
            <w:tcBorders>
              <w:top w:val="nil"/>
              <w:left w:val="nil"/>
              <w:bottom w:val="nil"/>
              <w:right w:val="nil"/>
            </w:tcBorders>
            <w:shd w:val="clear" w:color="auto" w:fill="auto"/>
            <w:vAlign w:val="center"/>
            <w:hideMark/>
          </w:tcPr>
          <w:p w14:paraId="25586156" w14:textId="77777777" w:rsidR="00B65BE2" w:rsidRPr="001B015B" w:rsidRDefault="00B65BE2" w:rsidP="0034622E">
            <w:pPr>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Stanje 31. prosinca 202</w:t>
            </w:r>
            <w:r>
              <w:rPr>
                <w:rFonts w:ascii="Arial" w:eastAsia="Calibri" w:hAnsi="Arial" w:cs="Arial"/>
                <w:b/>
                <w:bCs/>
                <w:color w:val="000000" w:themeColor="text1"/>
                <w:sz w:val="18"/>
                <w:szCs w:val="18"/>
              </w:rPr>
              <w:t>3</w:t>
            </w:r>
            <w:r w:rsidRPr="001B015B">
              <w:rPr>
                <w:rFonts w:ascii="Arial" w:eastAsia="Calibri" w:hAnsi="Arial" w:cs="Arial"/>
                <w:b/>
                <w:bCs/>
                <w:color w:val="000000" w:themeColor="text1"/>
                <w:sz w:val="18"/>
                <w:szCs w:val="18"/>
              </w:rPr>
              <w:t>.</w:t>
            </w:r>
          </w:p>
        </w:tc>
        <w:tc>
          <w:tcPr>
            <w:tcW w:w="1111" w:type="dxa"/>
            <w:tcBorders>
              <w:top w:val="single" w:sz="4" w:space="0" w:color="auto"/>
              <w:left w:val="nil"/>
              <w:bottom w:val="single" w:sz="12" w:space="0" w:color="auto"/>
              <w:right w:val="nil"/>
            </w:tcBorders>
            <w:shd w:val="clear" w:color="auto" w:fill="auto"/>
            <w:vAlign w:val="bottom"/>
          </w:tcPr>
          <w:p w14:paraId="4A9AD4C4" w14:textId="77777777" w:rsidR="00B65BE2" w:rsidRPr="00F959D0" w:rsidRDefault="00B65BE2" w:rsidP="0034622E">
            <w:pPr>
              <w:jc w:val="right"/>
              <w:rPr>
                <w:rFonts w:ascii="Arial" w:hAnsi="Arial" w:cs="Arial"/>
                <w:b/>
                <w:bCs/>
                <w:sz w:val="18"/>
                <w:szCs w:val="18"/>
              </w:rPr>
            </w:pPr>
            <w:r w:rsidRPr="00F959D0">
              <w:rPr>
                <w:rFonts w:ascii="Arial" w:hAnsi="Arial" w:cs="Arial"/>
                <w:b/>
                <w:bCs/>
                <w:sz w:val="18"/>
                <w:szCs w:val="18"/>
              </w:rPr>
              <w:t xml:space="preserve"> 19 </w:t>
            </w:r>
          </w:p>
        </w:tc>
        <w:tc>
          <w:tcPr>
            <w:tcW w:w="1034" w:type="dxa"/>
            <w:tcBorders>
              <w:top w:val="single" w:sz="4" w:space="0" w:color="auto"/>
              <w:left w:val="nil"/>
              <w:bottom w:val="single" w:sz="12" w:space="0" w:color="auto"/>
              <w:right w:val="nil"/>
            </w:tcBorders>
            <w:shd w:val="clear" w:color="auto" w:fill="auto"/>
            <w:vAlign w:val="bottom"/>
          </w:tcPr>
          <w:p w14:paraId="30E149B5" w14:textId="77777777" w:rsidR="00B65BE2" w:rsidRPr="00F959D0" w:rsidRDefault="00B65BE2" w:rsidP="0034622E">
            <w:pPr>
              <w:jc w:val="right"/>
              <w:rPr>
                <w:rFonts w:ascii="Arial" w:hAnsi="Arial" w:cs="Arial"/>
                <w:b/>
                <w:bCs/>
                <w:sz w:val="18"/>
                <w:szCs w:val="18"/>
              </w:rPr>
            </w:pPr>
            <w:r w:rsidRPr="00F959D0">
              <w:rPr>
                <w:rFonts w:ascii="Arial" w:hAnsi="Arial" w:cs="Arial"/>
                <w:b/>
                <w:bCs/>
                <w:sz w:val="18"/>
                <w:szCs w:val="18"/>
              </w:rPr>
              <w:t xml:space="preserve"> 1 </w:t>
            </w:r>
          </w:p>
        </w:tc>
        <w:tc>
          <w:tcPr>
            <w:tcW w:w="1143" w:type="dxa"/>
            <w:tcBorders>
              <w:top w:val="single" w:sz="4" w:space="0" w:color="auto"/>
              <w:left w:val="nil"/>
              <w:bottom w:val="single" w:sz="12" w:space="0" w:color="auto"/>
              <w:right w:val="nil"/>
            </w:tcBorders>
            <w:shd w:val="clear" w:color="auto" w:fill="auto"/>
            <w:vAlign w:val="bottom"/>
          </w:tcPr>
          <w:p w14:paraId="4DD56AD0" w14:textId="77777777" w:rsidR="00B65BE2" w:rsidRPr="00F959D0" w:rsidRDefault="00B65BE2" w:rsidP="0034622E">
            <w:pPr>
              <w:jc w:val="right"/>
              <w:rPr>
                <w:rFonts w:ascii="Arial" w:hAnsi="Arial" w:cs="Arial"/>
                <w:b/>
                <w:bCs/>
                <w:sz w:val="18"/>
                <w:szCs w:val="18"/>
              </w:rPr>
            </w:pPr>
            <w:r w:rsidRPr="00F959D0">
              <w:rPr>
                <w:rFonts w:ascii="Arial" w:hAnsi="Arial" w:cs="Arial"/>
                <w:b/>
                <w:bCs/>
                <w:sz w:val="18"/>
                <w:szCs w:val="18"/>
              </w:rPr>
              <w:t xml:space="preserve"> 4.330 </w:t>
            </w:r>
          </w:p>
        </w:tc>
        <w:tc>
          <w:tcPr>
            <w:tcW w:w="992" w:type="dxa"/>
            <w:tcBorders>
              <w:top w:val="single" w:sz="4" w:space="0" w:color="auto"/>
              <w:left w:val="nil"/>
              <w:bottom w:val="single" w:sz="12" w:space="0" w:color="auto"/>
              <w:right w:val="nil"/>
            </w:tcBorders>
            <w:shd w:val="clear" w:color="auto" w:fill="auto"/>
            <w:vAlign w:val="bottom"/>
          </w:tcPr>
          <w:p w14:paraId="0F6F8109" w14:textId="77777777" w:rsidR="00B65BE2" w:rsidRPr="00F959D0" w:rsidRDefault="00B65BE2" w:rsidP="0034622E">
            <w:pPr>
              <w:jc w:val="right"/>
              <w:rPr>
                <w:rFonts w:ascii="Arial" w:hAnsi="Arial" w:cs="Arial"/>
                <w:b/>
                <w:bCs/>
                <w:sz w:val="18"/>
                <w:szCs w:val="18"/>
              </w:rPr>
            </w:pPr>
            <w:r w:rsidRPr="00F959D0">
              <w:rPr>
                <w:rFonts w:ascii="Arial" w:hAnsi="Arial" w:cs="Arial"/>
                <w:b/>
                <w:bCs/>
                <w:sz w:val="18"/>
                <w:szCs w:val="18"/>
              </w:rPr>
              <w:t xml:space="preserve"> 35 </w:t>
            </w:r>
          </w:p>
        </w:tc>
        <w:tc>
          <w:tcPr>
            <w:tcW w:w="992" w:type="dxa"/>
            <w:tcBorders>
              <w:top w:val="single" w:sz="4" w:space="0" w:color="auto"/>
              <w:left w:val="nil"/>
              <w:bottom w:val="single" w:sz="12" w:space="0" w:color="auto"/>
              <w:right w:val="nil"/>
            </w:tcBorders>
            <w:shd w:val="clear" w:color="auto" w:fill="auto"/>
            <w:vAlign w:val="bottom"/>
          </w:tcPr>
          <w:p w14:paraId="43B5F715" w14:textId="77777777" w:rsidR="00B65BE2" w:rsidRPr="00F959D0" w:rsidRDefault="00B65BE2" w:rsidP="0034622E">
            <w:pPr>
              <w:jc w:val="right"/>
              <w:rPr>
                <w:rFonts w:ascii="Arial" w:hAnsi="Arial" w:cs="Arial"/>
                <w:b/>
                <w:bCs/>
                <w:sz w:val="18"/>
                <w:szCs w:val="18"/>
              </w:rPr>
            </w:pPr>
            <w:r w:rsidRPr="00F959D0">
              <w:rPr>
                <w:rFonts w:ascii="Arial" w:hAnsi="Arial" w:cs="Arial"/>
                <w:b/>
                <w:bCs/>
                <w:sz w:val="18"/>
                <w:szCs w:val="18"/>
              </w:rPr>
              <w:t xml:space="preserve"> 4.385 </w:t>
            </w:r>
          </w:p>
        </w:tc>
      </w:tr>
    </w:tbl>
    <w:p w14:paraId="13D1AE75" w14:textId="1007BB41" w:rsidR="00A269B5" w:rsidRPr="003D1614" w:rsidRDefault="00A269B5" w:rsidP="001A0FCB">
      <w:pPr>
        <w:suppressAutoHyphens/>
        <w:autoSpaceDN w:val="0"/>
        <w:jc w:val="both"/>
        <w:rPr>
          <w:rFonts w:ascii="Arial" w:eastAsia="Times New Roman" w:hAnsi="Arial" w:cs="Arial"/>
          <w:color w:val="000000" w:themeColor="text1"/>
          <w:sz w:val="20"/>
          <w:szCs w:val="20"/>
        </w:rPr>
      </w:pPr>
    </w:p>
    <w:p w14:paraId="19ECCF33" w14:textId="77777777" w:rsidR="00A269B5" w:rsidRPr="003D1614" w:rsidRDefault="00A269B5" w:rsidP="001A0FCB">
      <w:pPr>
        <w:suppressAutoHyphens/>
        <w:autoSpaceDN w:val="0"/>
        <w:jc w:val="both"/>
        <w:rPr>
          <w:rFonts w:ascii="Arial" w:eastAsia="Times New Roman" w:hAnsi="Arial" w:cs="Arial"/>
          <w:color w:val="000000" w:themeColor="text1"/>
          <w:sz w:val="20"/>
          <w:szCs w:val="20"/>
        </w:rPr>
        <w:sectPr w:rsidR="00A269B5" w:rsidRPr="003D1614" w:rsidSect="003278AB">
          <w:pgSz w:w="11906" w:h="16838"/>
          <w:pgMar w:top="1417" w:right="1417" w:bottom="1417" w:left="1417" w:header="708" w:footer="708" w:gutter="0"/>
          <w:cols w:space="708"/>
          <w:docGrid w:linePitch="360"/>
        </w:sectPr>
      </w:pPr>
    </w:p>
    <w:p w14:paraId="0613773E" w14:textId="77777777"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p>
    <w:p w14:paraId="33D2467D" w14:textId="3C08C998"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24E6EF65" w14:textId="77777777"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p>
    <w:p w14:paraId="4A7AC231" w14:textId="5665484D"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.3. </w:t>
      </w:r>
      <w:r w:rsidRPr="003D1614">
        <w:rPr>
          <w:rFonts w:ascii="Arial" w:eastAsia="Times New Roman" w:hAnsi="Arial" w:cs="Arial"/>
          <w:b/>
          <w:bCs/>
          <w:color w:val="000000" w:themeColor="text1"/>
          <w:sz w:val="20"/>
          <w:szCs w:val="20"/>
        </w:rPr>
        <w:tab/>
        <w:t>Kreditni rizik (nastavak)</w:t>
      </w:r>
    </w:p>
    <w:p w14:paraId="6278BD19" w14:textId="77777777"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p>
    <w:p w14:paraId="4CFB461E" w14:textId="77777777" w:rsidR="00A269B5" w:rsidRPr="003D1614" w:rsidRDefault="00A269B5" w:rsidP="00A269B5">
      <w:pPr>
        <w:keepNext/>
        <w:tabs>
          <w:tab w:val="left" w:pos="284"/>
        </w:tabs>
        <w:suppressAutoHyphens/>
        <w:autoSpaceDN w:val="0"/>
        <w:jc w:val="both"/>
        <w:rPr>
          <w:rFonts w:ascii="Arial" w:eastAsia="Times New Roman" w:hAnsi="Arial" w:cs="Arial"/>
          <w:bCs/>
          <w:i/>
          <w:color w:val="000000" w:themeColor="text1"/>
          <w:sz w:val="20"/>
          <w:szCs w:val="20"/>
        </w:rPr>
      </w:pPr>
      <w:r w:rsidRPr="003D1614">
        <w:rPr>
          <w:rFonts w:ascii="Arial" w:eastAsia="Times New Roman" w:hAnsi="Arial" w:cs="Arial"/>
          <w:bCs/>
          <w:i/>
          <w:color w:val="000000" w:themeColor="text1"/>
          <w:sz w:val="20"/>
          <w:szCs w:val="20"/>
        </w:rPr>
        <w:t>i.</w:t>
      </w:r>
      <w:r w:rsidRPr="003D1614">
        <w:rPr>
          <w:rFonts w:ascii="Arial" w:eastAsia="Times New Roman" w:hAnsi="Arial" w:cs="Arial"/>
          <w:bCs/>
          <w:i/>
          <w:color w:val="000000" w:themeColor="text1"/>
          <w:sz w:val="20"/>
          <w:szCs w:val="20"/>
        </w:rPr>
        <w:tab/>
        <w:t>Promjene po rezerviranjima (nastavak)</w:t>
      </w:r>
    </w:p>
    <w:p w14:paraId="5EBDC52A" w14:textId="77777777" w:rsidR="00A269B5" w:rsidRPr="003D1614" w:rsidRDefault="00A269B5" w:rsidP="00A269B5">
      <w:pPr>
        <w:keepNext/>
        <w:tabs>
          <w:tab w:val="left" w:pos="284"/>
        </w:tabs>
        <w:suppressAutoHyphens/>
        <w:autoSpaceDN w:val="0"/>
        <w:jc w:val="both"/>
        <w:rPr>
          <w:rFonts w:ascii="Arial" w:eastAsia="Times New Roman" w:hAnsi="Arial" w:cs="Arial"/>
          <w:bCs/>
          <w:i/>
          <w:color w:val="000000" w:themeColor="text1"/>
          <w:sz w:val="20"/>
          <w:szCs w:val="20"/>
        </w:rPr>
      </w:pPr>
    </w:p>
    <w:p w14:paraId="3141B50D" w14:textId="77777777" w:rsidR="00A269B5" w:rsidRPr="003D1614" w:rsidRDefault="00A269B5" w:rsidP="00A269B5">
      <w:pPr>
        <w:suppressAutoHyphens/>
        <w:autoSpaceDN w:val="0"/>
        <w:jc w:val="both"/>
        <w:rPr>
          <w:rFonts w:ascii="Arial" w:eastAsia="Calibri" w:hAnsi="Arial" w:cs="Arial"/>
          <w:b/>
          <w:bCs/>
          <w:color w:val="000000" w:themeColor="text1"/>
          <w:sz w:val="20"/>
          <w:szCs w:val="20"/>
        </w:rPr>
      </w:pPr>
      <w:r w:rsidRPr="003D1614">
        <w:rPr>
          <w:rFonts w:ascii="Arial" w:eastAsia="Calibri" w:hAnsi="Arial" w:cs="Arial"/>
          <w:b/>
          <w:bCs/>
          <w:color w:val="000000" w:themeColor="text1"/>
          <w:sz w:val="20"/>
          <w:szCs w:val="20"/>
        </w:rPr>
        <w:t>Garancije i preuzete obveze</w:t>
      </w:r>
    </w:p>
    <w:p w14:paraId="40CB7091" w14:textId="77777777" w:rsidR="00A269B5" w:rsidRPr="003D1614" w:rsidRDefault="00A269B5" w:rsidP="00A269B5">
      <w:pPr>
        <w:suppressAutoHyphens/>
        <w:autoSpaceDN w:val="0"/>
        <w:jc w:val="both"/>
        <w:rPr>
          <w:rFonts w:ascii="Arial" w:eastAsia="Calibri" w:hAnsi="Arial" w:cs="Arial"/>
          <w:b/>
          <w:bCs/>
          <w:color w:val="000000" w:themeColor="text1"/>
          <w:sz w:val="20"/>
          <w:szCs w:val="20"/>
        </w:rPr>
      </w:pPr>
    </w:p>
    <w:tbl>
      <w:tblPr>
        <w:tblW w:w="9369" w:type="dxa"/>
        <w:tblInd w:w="-180" w:type="dxa"/>
        <w:tblLook w:val="04A0" w:firstRow="1" w:lastRow="0" w:firstColumn="1" w:lastColumn="0" w:noHBand="0" w:noVBand="1"/>
      </w:tblPr>
      <w:tblGrid>
        <w:gridCol w:w="4148"/>
        <w:gridCol w:w="1036"/>
        <w:gridCol w:w="1030"/>
        <w:gridCol w:w="1030"/>
        <w:gridCol w:w="1026"/>
        <w:gridCol w:w="1099"/>
      </w:tblGrid>
      <w:tr w:rsidR="00A269B5" w:rsidRPr="003D1614" w14:paraId="5A9FD0FA" w14:textId="77777777" w:rsidTr="007478FB">
        <w:trPr>
          <w:trHeight w:val="176"/>
        </w:trPr>
        <w:tc>
          <w:tcPr>
            <w:tcW w:w="4148" w:type="dxa"/>
            <w:tcBorders>
              <w:top w:val="nil"/>
              <w:left w:val="nil"/>
              <w:bottom w:val="nil"/>
              <w:right w:val="nil"/>
            </w:tcBorders>
            <w:shd w:val="clear" w:color="auto" w:fill="auto"/>
            <w:vAlign w:val="bottom"/>
          </w:tcPr>
          <w:p w14:paraId="57AA3108" w14:textId="77777777" w:rsidR="00A269B5" w:rsidRPr="003D1614" w:rsidRDefault="00A269B5" w:rsidP="00A269B5">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Grupa i Banka</w:t>
            </w:r>
          </w:p>
        </w:tc>
        <w:tc>
          <w:tcPr>
            <w:tcW w:w="1036" w:type="dxa"/>
            <w:tcBorders>
              <w:top w:val="nil"/>
              <w:left w:val="nil"/>
              <w:bottom w:val="nil"/>
              <w:right w:val="nil"/>
            </w:tcBorders>
            <w:shd w:val="clear" w:color="auto" w:fill="auto"/>
            <w:vAlign w:val="bottom"/>
          </w:tcPr>
          <w:p w14:paraId="3727EF40"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30" w:type="dxa"/>
            <w:tcBorders>
              <w:top w:val="nil"/>
              <w:left w:val="nil"/>
              <w:bottom w:val="nil"/>
              <w:right w:val="nil"/>
            </w:tcBorders>
            <w:shd w:val="clear" w:color="auto" w:fill="auto"/>
            <w:vAlign w:val="bottom"/>
          </w:tcPr>
          <w:p w14:paraId="121240F2"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30" w:type="dxa"/>
            <w:tcBorders>
              <w:top w:val="nil"/>
              <w:left w:val="nil"/>
              <w:bottom w:val="nil"/>
              <w:right w:val="nil"/>
            </w:tcBorders>
            <w:shd w:val="clear" w:color="auto" w:fill="auto"/>
            <w:vAlign w:val="bottom"/>
          </w:tcPr>
          <w:p w14:paraId="61523D75"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26" w:type="dxa"/>
            <w:tcBorders>
              <w:top w:val="nil"/>
              <w:left w:val="nil"/>
              <w:bottom w:val="nil"/>
              <w:right w:val="nil"/>
            </w:tcBorders>
            <w:shd w:val="clear" w:color="auto" w:fill="auto"/>
            <w:vAlign w:val="bottom"/>
          </w:tcPr>
          <w:p w14:paraId="2B0C9E87"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99" w:type="dxa"/>
            <w:tcBorders>
              <w:top w:val="nil"/>
              <w:left w:val="nil"/>
              <w:bottom w:val="nil"/>
              <w:right w:val="nil"/>
            </w:tcBorders>
            <w:shd w:val="clear" w:color="auto" w:fill="auto"/>
            <w:vAlign w:val="bottom"/>
          </w:tcPr>
          <w:p w14:paraId="1E2A5F89"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r>
      <w:tr w:rsidR="00A269B5" w:rsidRPr="003D1614" w14:paraId="188F185A" w14:textId="77777777" w:rsidTr="007478FB">
        <w:trPr>
          <w:trHeight w:val="176"/>
        </w:trPr>
        <w:tc>
          <w:tcPr>
            <w:tcW w:w="4148" w:type="dxa"/>
            <w:tcBorders>
              <w:top w:val="nil"/>
              <w:left w:val="nil"/>
              <w:bottom w:val="nil"/>
              <w:right w:val="nil"/>
            </w:tcBorders>
            <w:shd w:val="clear" w:color="auto" w:fill="auto"/>
            <w:vAlign w:val="bottom"/>
            <w:hideMark/>
          </w:tcPr>
          <w:p w14:paraId="4020E83A" w14:textId="2E9DF808" w:rsidR="00A269B5" w:rsidRPr="003D1614" w:rsidRDefault="00881155" w:rsidP="00A269B5">
            <w:pPr>
              <w:suppressAutoHyphens/>
              <w:autoSpaceDN w:val="0"/>
              <w:rPr>
                <w:rFonts w:ascii="Arial" w:eastAsia="Calibri" w:hAnsi="Arial" w:cs="Arial"/>
                <w:b/>
                <w:bCs/>
                <w:color w:val="000000" w:themeColor="text1"/>
                <w:sz w:val="18"/>
                <w:szCs w:val="18"/>
              </w:rPr>
            </w:pPr>
            <w:r w:rsidRPr="00881155">
              <w:rPr>
                <w:rFonts w:ascii="Arial" w:eastAsia="Calibri" w:hAnsi="Arial" w:cs="Arial"/>
                <w:b/>
                <w:bCs/>
                <w:color w:val="000000" w:themeColor="text1"/>
                <w:sz w:val="18"/>
                <w:szCs w:val="18"/>
              </w:rPr>
              <w:t>30. rujna 202</w:t>
            </w:r>
            <w:r w:rsidR="00CC7A61">
              <w:rPr>
                <w:rFonts w:ascii="Arial" w:eastAsia="Calibri" w:hAnsi="Arial" w:cs="Arial"/>
                <w:b/>
                <w:bCs/>
                <w:color w:val="000000" w:themeColor="text1"/>
                <w:sz w:val="18"/>
                <w:szCs w:val="18"/>
              </w:rPr>
              <w:t>4</w:t>
            </w:r>
            <w:r w:rsidRPr="00881155">
              <w:rPr>
                <w:rFonts w:ascii="Arial" w:eastAsia="Calibri" w:hAnsi="Arial" w:cs="Arial"/>
                <w:b/>
                <w:bCs/>
                <w:color w:val="000000" w:themeColor="text1"/>
                <w:sz w:val="18"/>
                <w:szCs w:val="18"/>
              </w:rPr>
              <w:t>.</w:t>
            </w:r>
          </w:p>
        </w:tc>
        <w:tc>
          <w:tcPr>
            <w:tcW w:w="1036" w:type="dxa"/>
            <w:tcBorders>
              <w:top w:val="nil"/>
              <w:left w:val="nil"/>
              <w:bottom w:val="nil"/>
              <w:right w:val="nil"/>
            </w:tcBorders>
            <w:shd w:val="clear" w:color="auto" w:fill="auto"/>
            <w:vAlign w:val="bottom"/>
            <w:hideMark/>
          </w:tcPr>
          <w:p w14:paraId="4979D801"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1</w:t>
            </w:r>
          </w:p>
        </w:tc>
        <w:tc>
          <w:tcPr>
            <w:tcW w:w="1030" w:type="dxa"/>
            <w:tcBorders>
              <w:top w:val="nil"/>
              <w:left w:val="nil"/>
              <w:bottom w:val="nil"/>
              <w:right w:val="nil"/>
            </w:tcBorders>
            <w:shd w:val="clear" w:color="auto" w:fill="auto"/>
            <w:vAlign w:val="bottom"/>
            <w:hideMark/>
          </w:tcPr>
          <w:p w14:paraId="62607D85"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2</w:t>
            </w:r>
          </w:p>
        </w:tc>
        <w:tc>
          <w:tcPr>
            <w:tcW w:w="1030" w:type="dxa"/>
            <w:tcBorders>
              <w:top w:val="nil"/>
              <w:left w:val="nil"/>
              <w:bottom w:val="nil"/>
              <w:right w:val="nil"/>
            </w:tcBorders>
            <w:shd w:val="clear" w:color="auto" w:fill="auto"/>
            <w:vAlign w:val="bottom"/>
            <w:hideMark/>
          </w:tcPr>
          <w:p w14:paraId="2ABC4B62"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3</w:t>
            </w:r>
          </w:p>
        </w:tc>
        <w:tc>
          <w:tcPr>
            <w:tcW w:w="1026" w:type="dxa"/>
            <w:tcBorders>
              <w:top w:val="nil"/>
              <w:left w:val="nil"/>
              <w:bottom w:val="nil"/>
              <w:right w:val="nil"/>
            </w:tcBorders>
            <w:shd w:val="clear" w:color="auto" w:fill="auto"/>
            <w:vAlign w:val="bottom"/>
            <w:hideMark/>
          </w:tcPr>
          <w:p w14:paraId="14A4AFF1"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POCI</w:t>
            </w:r>
          </w:p>
        </w:tc>
        <w:tc>
          <w:tcPr>
            <w:tcW w:w="1099" w:type="dxa"/>
            <w:tcBorders>
              <w:top w:val="nil"/>
              <w:left w:val="nil"/>
              <w:bottom w:val="nil"/>
              <w:right w:val="nil"/>
            </w:tcBorders>
            <w:shd w:val="clear" w:color="auto" w:fill="auto"/>
            <w:vAlign w:val="bottom"/>
            <w:hideMark/>
          </w:tcPr>
          <w:p w14:paraId="0CFE7304"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Ukupno</w:t>
            </w:r>
          </w:p>
        </w:tc>
      </w:tr>
      <w:tr w:rsidR="00A269B5" w:rsidRPr="003D1614" w14:paraId="42FCF02D" w14:textId="77777777" w:rsidTr="007478FB">
        <w:trPr>
          <w:trHeight w:val="176"/>
        </w:trPr>
        <w:tc>
          <w:tcPr>
            <w:tcW w:w="4148" w:type="dxa"/>
            <w:tcBorders>
              <w:top w:val="nil"/>
              <w:left w:val="nil"/>
              <w:bottom w:val="nil"/>
              <w:right w:val="nil"/>
            </w:tcBorders>
            <w:shd w:val="clear" w:color="auto" w:fill="auto"/>
            <w:vAlign w:val="bottom"/>
            <w:hideMark/>
          </w:tcPr>
          <w:p w14:paraId="44A5FB81"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36" w:type="dxa"/>
            <w:tcBorders>
              <w:top w:val="nil"/>
              <w:left w:val="nil"/>
              <w:bottom w:val="nil"/>
              <w:right w:val="nil"/>
            </w:tcBorders>
            <w:shd w:val="clear" w:color="auto" w:fill="auto"/>
            <w:vAlign w:val="bottom"/>
            <w:hideMark/>
          </w:tcPr>
          <w:p w14:paraId="2EAE504B" w14:textId="4804B949"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30" w:type="dxa"/>
            <w:tcBorders>
              <w:top w:val="nil"/>
              <w:left w:val="nil"/>
              <w:bottom w:val="nil"/>
              <w:right w:val="nil"/>
            </w:tcBorders>
            <w:shd w:val="clear" w:color="auto" w:fill="auto"/>
            <w:vAlign w:val="bottom"/>
            <w:hideMark/>
          </w:tcPr>
          <w:p w14:paraId="704B0B36" w14:textId="098C838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30" w:type="dxa"/>
            <w:tcBorders>
              <w:top w:val="nil"/>
              <w:left w:val="nil"/>
              <w:bottom w:val="nil"/>
              <w:right w:val="nil"/>
            </w:tcBorders>
            <w:shd w:val="clear" w:color="auto" w:fill="auto"/>
            <w:vAlign w:val="bottom"/>
            <w:hideMark/>
          </w:tcPr>
          <w:p w14:paraId="09F9F8C7" w14:textId="5554EFE1"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26" w:type="dxa"/>
            <w:tcBorders>
              <w:top w:val="nil"/>
              <w:left w:val="nil"/>
              <w:bottom w:val="nil"/>
              <w:right w:val="nil"/>
            </w:tcBorders>
            <w:shd w:val="clear" w:color="auto" w:fill="auto"/>
            <w:vAlign w:val="bottom"/>
            <w:hideMark/>
          </w:tcPr>
          <w:p w14:paraId="55C99BF8" w14:textId="6C8AB2D8"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99" w:type="dxa"/>
            <w:tcBorders>
              <w:top w:val="nil"/>
              <w:left w:val="nil"/>
              <w:bottom w:val="nil"/>
              <w:right w:val="nil"/>
            </w:tcBorders>
            <w:shd w:val="clear" w:color="auto" w:fill="auto"/>
            <w:vAlign w:val="bottom"/>
            <w:hideMark/>
          </w:tcPr>
          <w:p w14:paraId="32716358" w14:textId="226CC5AA"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r>
      <w:tr w:rsidR="00A269B5" w:rsidRPr="003D1614" w14:paraId="697A01D3" w14:textId="77777777" w:rsidTr="007478FB">
        <w:trPr>
          <w:trHeight w:val="176"/>
        </w:trPr>
        <w:tc>
          <w:tcPr>
            <w:tcW w:w="4148" w:type="dxa"/>
            <w:tcBorders>
              <w:top w:val="nil"/>
              <w:left w:val="nil"/>
              <w:bottom w:val="nil"/>
              <w:right w:val="nil"/>
            </w:tcBorders>
            <w:shd w:val="clear" w:color="auto" w:fill="auto"/>
            <w:vAlign w:val="bottom"/>
          </w:tcPr>
          <w:p w14:paraId="7C96B394"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36" w:type="dxa"/>
            <w:tcBorders>
              <w:top w:val="nil"/>
              <w:left w:val="nil"/>
              <w:bottom w:val="nil"/>
              <w:right w:val="nil"/>
            </w:tcBorders>
            <w:shd w:val="clear" w:color="auto" w:fill="auto"/>
            <w:vAlign w:val="bottom"/>
          </w:tcPr>
          <w:p w14:paraId="3C742EAD"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30" w:type="dxa"/>
            <w:tcBorders>
              <w:top w:val="nil"/>
              <w:left w:val="nil"/>
              <w:bottom w:val="nil"/>
              <w:right w:val="nil"/>
            </w:tcBorders>
            <w:shd w:val="clear" w:color="auto" w:fill="auto"/>
            <w:vAlign w:val="bottom"/>
          </w:tcPr>
          <w:p w14:paraId="502F6AB4"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30" w:type="dxa"/>
            <w:tcBorders>
              <w:top w:val="nil"/>
              <w:left w:val="nil"/>
              <w:bottom w:val="nil"/>
              <w:right w:val="nil"/>
            </w:tcBorders>
            <w:shd w:val="clear" w:color="auto" w:fill="auto"/>
            <w:vAlign w:val="bottom"/>
          </w:tcPr>
          <w:p w14:paraId="461D5CA6"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26" w:type="dxa"/>
            <w:tcBorders>
              <w:top w:val="nil"/>
              <w:left w:val="nil"/>
              <w:bottom w:val="nil"/>
              <w:right w:val="nil"/>
            </w:tcBorders>
            <w:shd w:val="clear" w:color="auto" w:fill="auto"/>
            <w:vAlign w:val="bottom"/>
          </w:tcPr>
          <w:p w14:paraId="6F781D4D"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99" w:type="dxa"/>
            <w:tcBorders>
              <w:top w:val="nil"/>
              <w:left w:val="nil"/>
              <w:bottom w:val="nil"/>
              <w:right w:val="nil"/>
            </w:tcBorders>
            <w:shd w:val="clear" w:color="auto" w:fill="auto"/>
            <w:vAlign w:val="bottom"/>
          </w:tcPr>
          <w:p w14:paraId="6E08FA5F"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r>
      <w:tr w:rsidR="00893BA2" w:rsidRPr="003D1614" w14:paraId="628A6CF2" w14:textId="77777777" w:rsidTr="00960E94">
        <w:trPr>
          <w:trHeight w:val="176"/>
        </w:trPr>
        <w:tc>
          <w:tcPr>
            <w:tcW w:w="4148" w:type="dxa"/>
            <w:tcBorders>
              <w:top w:val="nil"/>
              <w:left w:val="nil"/>
              <w:bottom w:val="nil"/>
              <w:right w:val="nil"/>
            </w:tcBorders>
            <w:shd w:val="clear" w:color="auto" w:fill="auto"/>
            <w:vAlign w:val="bottom"/>
            <w:hideMark/>
          </w:tcPr>
          <w:p w14:paraId="08A4EA7A" w14:textId="43E14AF3" w:rsidR="00893BA2" w:rsidRPr="003D1614" w:rsidRDefault="00893BA2" w:rsidP="00893BA2">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Stanje 1. siječnja 202</w:t>
            </w:r>
            <w:r>
              <w:rPr>
                <w:rFonts w:ascii="Arial" w:eastAsia="Calibri" w:hAnsi="Arial" w:cs="Arial"/>
                <w:color w:val="000000" w:themeColor="text1"/>
                <w:sz w:val="18"/>
                <w:szCs w:val="18"/>
              </w:rPr>
              <w:t>4</w:t>
            </w:r>
            <w:r w:rsidRPr="003D1614">
              <w:rPr>
                <w:rFonts w:ascii="Arial" w:eastAsia="Calibri" w:hAnsi="Arial" w:cs="Arial"/>
                <w:color w:val="000000" w:themeColor="text1"/>
                <w:sz w:val="18"/>
                <w:szCs w:val="18"/>
              </w:rPr>
              <w:t xml:space="preserve">. </w:t>
            </w:r>
          </w:p>
        </w:tc>
        <w:tc>
          <w:tcPr>
            <w:tcW w:w="1036" w:type="dxa"/>
            <w:shd w:val="clear" w:color="auto" w:fill="auto"/>
            <w:vAlign w:val="bottom"/>
          </w:tcPr>
          <w:p w14:paraId="39C3F03C" w14:textId="6513472B" w:rsidR="00893BA2" w:rsidRPr="00960E94" w:rsidRDefault="00893BA2" w:rsidP="00893BA2">
            <w:pPr>
              <w:suppressAutoHyphens/>
              <w:autoSpaceDN w:val="0"/>
              <w:jc w:val="right"/>
              <w:rPr>
                <w:rFonts w:ascii="Arial" w:eastAsia="Times New Roman" w:hAnsi="Arial" w:cs="Arial"/>
                <w:sz w:val="18"/>
                <w:szCs w:val="18"/>
              </w:rPr>
            </w:pPr>
            <w:r w:rsidRPr="00960E94">
              <w:rPr>
                <w:rFonts w:ascii="Arial" w:hAnsi="Arial" w:cs="Arial"/>
                <w:sz w:val="18"/>
                <w:szCs w:val="18"/>
              </w:rPr>
              <w:t xml:space="preserve"> 4.243 </w:t>
            </w:r>
          </w:p>
        </w:tc>
        <w:tc>
          <w:tcPr>
            <w:tcW w:w="1030" w:type="dxa"/>
            <w:shd w:val="clear" w:color="auto" w:fill="auto"/>
            <w:vAlign w:val="bottom"/>
          </w:tcPr>
          <w:p w14:paraId="2CE40431" w14:textId="2F9E1AE2" w:rsidR="00893BA2" w:rsidRPr="00960E94" w:rsidRDefault="00893BA2" w:rsidP="00893BA2">
            <w:pPr>
              <w:suppressAutoHyphens/>
              <w:autoSpaceDN w:val="0"/>
              <w:jc w:val="right"/>
              <w:rPr>
                <w:rFonts w:ascii="Arial" w:eastAsia="Times New Roman" w:hAnsi="Arial" w:cs="Arial"/>
                <w:sz w:val="18"/>
                <w:szCs w:val="18"/>
              </w:rPr>
            </w:pPr>
            <w:r w:rsidRPr="00960E94">
              <w:rPr>
                <w:rFonts w:ascii="Arial" w:hAnsi="Arial" w:cs="Arial"/>
                <w:sz w:val="18"/>
                <w:szCs w:val="18"/>
              </w:rPr>
              <w:t xml:space="preserve"> 5.380 </w:t>
            </w:r>
          </w:p>
        </w:tc>
        <w:tc>
          <w:tcPr>
            <w:tcW w:w="1030" w:type="dxa"/>
            <w:shd w:val="clear" w:color="auto" w:fill="auto"/>
            <w:vAlign w:val="bottom"/>
          </w:tcPr>
          <w:p w14:paraId="42818FD6" w14:textId="5F7A16E8" w:rsidR="00893BA2" w:rsidRPr="00960E94" w:rsidRDefault="00893BA2" w:rsidP="00893BA2">
            <w:pPr>
              <w:suppressAutoHyphens/>
              <w:autoSpaceDN w:val="0"/>
              <w:jc w:val="right"/>
              <w:rPr>
                <w:rFonts w:ascii="Arial" w:eastAsia="Times New Roman" w:hAnsi="Arial" w:cs="Arial"/>
                <w:sz w:val="18"/>
                <w:szCs w:val="18"/>
              </w:rPr>
            </w:pPr>
            <w:r w:rsidRPr="00960E94">
              <w:rPr>
                <w:rFonts w:ascii="Arial" w:hAnsi="Arial" w:cs="Arial"/>
                <w:sz w:val="18"/>
                <w:szCs w:val="18"/>
              </w:rPr>
              <w:t xml:space="preserve"> 4.574 </w:t>
            </w:r>
          </w:p>
        </w:tc>
        <w:tc>
          <w:tcPr>
            <w:tcW w:w="1026" w:type="dxa"/>
            <w:shd w:val="clear" w:color="auto" w:fill="auto"/>
            <w:vAlign w:val="bottom"/>
          </w:tcPr>
          <w:p w14:paraId="7F77DBE1" w14:textId="69CDB512" w:rsidR="00893BA2" w:rsidRPr="00960E94" w:rsidRDefault="00893BA2" w:rsidP="00893BA2">
            <w:pPr>
              <w:suppressAutoHyphens/>
              <w:autoSpaceDN w:val="0"/>
              <w:jc w:val="right"/>
              <w:rPr>
                <w:rFonts w:ascii="Arial" w:eastAsia="Times New Roman" w:hAnsi="Arial" w:cs="Arial"/>
                <w:sz w:val="18"/>
                <w:szCs w:val="18"/>
              </w:rPr>
            </w:pPr>
            <w:r w:rsidRPr="00960E94">
              <w:rPr>
                <w:rFonts w:ascii="Arial" w:hAnsi="Arial" w:cs="Arial"/>
                <w:sz w:val="18"/>
                <w:szCs w:val="18"/>
              </w:rPr>
              <w:t xml:space="preserve"> 440 </w:t>
            </w:r>
          </w:p>
        </w:tc>
        <w:tc>
          <w:tcPr>
            <w:tcW w:w="1099" w:type="dxa"/>
            <w:shd w:val="clear" w:color="auto" w:fill="auto"/>
            <w:vAlign w:val="bottom"/>
          </w:tcPr>
          <w:p w14:paraId="343B5075" w14:textId="13A857DF" w:rsidR="00893BA2" w:rsidRPr="00960E94" w:rsidRDefault="00893BA2" w:rsidP="00893BA2">
            <w:pPr>
              <w:suppressAutoHyphens/>
              <w:autoSpaceDN w:val="0"/>
              <w:jc w:val="right"/>
              <w:rPr>
                <w:rFonts w:ascii="Arial" w:eastAsia="Times New Roman" w:hAnsi="Arial" w:cs="Arial"/>
                <w:b/>
                <w:bCs/>
                <w:sz w:val="18"/>
                <w:szCs w:val="18"/>
              </w:rPr>
            </w:pPr>
            <w:r w:rsidRPr="00960E94">
              <w:rPr>
                <w:rFonts w:ascii="Arial" w:hAnsi="Arial" w:cs="Arial"/>
                <w:b/>
                <w:bCs/>
                <w:sz w:val="18"/>
                <w:szCs w:val="18"/>
              </w:rPr>
              <w:t xml:space="preserve"> 14.637 </w:t>
            </w:r>
          </w:p>
        </w:tc>
      </w:tr>
      <w:tr w:rsidR="003C688D" w:rsidRPr="003D1614" w14:paraId="5A193BBB" w14:textId="77777777" w:rsidTr="00960E94">
        <w:trPr>
          <w:trHeight w:val="176"/>
        </w:trPr>
        <w:tc>
          <w:tcPr>
            <w:tcW w:w="4148" w:type="dxa"/>
            <w:shd w:val="clear" w:color="auto" w:fill="auto"/>
            <w:vAlign w:val="bottom"/>
            <w:hideMark/>
          </w:tcPr>
          <w:p w14:paraId="738274F3" w14:textId="77777777" w:rsidR="003C688D" w:rsidRPr="003D1614" w:rsidRDefault="003C688D" w:rsidP="003C688D">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1</w:t>
            </w:r>
          </w:p>
        </w:tc>
        <w:tc>
          <w:tcPr>
            <w:tcW w:w="1036" w:type="dxa"/>
            <w:shd w:val="clear" w:color="auto" w:fill="auto"/>
            <w:vAlign w:val="bottom"/>
          </w:tcPr>
          <w:p w14:paraId="6ECD83D6" w14:textId="58F404CA" w:rsidR="003C688D" w:rsidRPr="00960E94" w:rsidRDefault="005804CD" w:rsidP="003C688D">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30" w:type="dxa"/>
            <w:shd w:val="clear" w:color="auto" w:fill="auto"/>
            <w:vAlign w:val="bottom"/>
          </w:tcPr>
          <w:p w14:paraId="5D47A8CB" w14:textId="2468B085" w:rsidR="003C688D" w:rsidRPr="00960E94" w:rsidRDefault="005804CD" w:rsidP="003C688D">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30" w:type="dxa"/>
            <w:shd w:val="clear" w:color="auto" w:fill="auto"/>
            <w:vAlign w:val="bottom"/>
          </w:tcPr>
          <w:p w14:paraId="21235DEC" w14:textId="5F48B0D0" w:rsidR="003C688D" w:rsidRPr="00960E94" w:rsidRDefault="005804CD" w:rsidP="003C688D">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26" w:type="dxa"/>
            <w:shd w:val="clear" w:color="auto" w:fill="auto"/>
            <w:vAlign w:val="bottom"/>
          </w:tcPr>
          <w:p w14:paraId="64D6E8F8" w14:textId="02B3F4E2" w:rsidR="003C688D" w:rsidRPr="00960E94" w:rsidRDefault="005804CD" w:rsidP="003C688D">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99" w:type="dxa"/>
            <w:shd w:val="clear" w:color="auto" w:fill="auto"/>
            <w:vAlign w:val="bottom"/>
          </w:tcPr>
          <w:p w14:paraId="23B461D0" w14:textId="4CC622FF" w:rsidR="003C688D" w:rsidRPr="00960E94" w:rsidRDefault="005804CD" w:rsidP="003C688D">
            <w:pPr>
              <w:suppressAutoHyphens/>
              <w:autoSpaceDN w:val="0"/>
              <w:jc w:val="right"/>
              <w:rPr>
                <w:rFonts w:ascii="Arial" w:eastAsia="Times New Roman" w:hAnsi="Arial" w:cs="Arial"/>
                <w:b/>
                <w:bCs/>
                <w:sz w:val="18"/>
                <w:szCs w:val="18"/>
              </w:rPr>
            </w:pPr>
            <w:r>
              <w:rPr>
                <w:rFonts w:ascii="Arial" w:eastAsia="Times New Roman" w:hAnsi="Arial" w:cs="Arial"/>
                <w:b/>
                <w:bCs/>
                <w:sz w:val="18"/>
                <w:szCs w:val="18"/>
              </w:rPr>
              <w:t>-</w:t>
            </w:r>
          </w:p>
        </w:tc>
      </w:tr>
      <w:tr w:rsidR="00844276" w:rsidRPr="003D1614" w14:paraId="26D99AFA" w14:textId="77777777" w:rsidTr="00960E94">
        <w:trPr>
          <w:trHeight w:val="176"/>
        </w:trPr>
        <w:tc>
          <w:tcPr>
            <w:tcW w:w="4148" w:type="dxa"/>
            <w:shd w:val="clear" w:color="auto" w:fill="auto"/>
            <w:vAlign w:val="bottom"/>
          </w:tcPr>
          <w:p w14:paraId="1515669A" w14:textId="77777777" w:rsidR="00844276" w:rsidRPr="003D1614" w:rsidRDefault="00844276" w:rsidP="00844276">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2</w:t>
            </w:r>
          </w:p>
        </w:tc>
        <w:tc>
          <w:tcPr>
            <w:tcW w:w="1036" w:type="dxa"/>
            <w:shd w:val="clear" w:color="auto" w:fill="auto"/>
            <w:vAlign w:val="bottom"/>
          </w:tcPr>
          <w:p w14:paraId="710DEA79" w14:textId="5033AF20" w:rsidR="00844276" w:rsidRPr="00960E94" w:rsidRDefault="00844276" w:rsidP="00844276">
            <w:pPr>
              <w:suppressAutoHyphens/>
              <w:autoSpaceDN w:val="0"/>
              <w:jc w:val="right"/>
              <w:rPr>
                <w:rFonts w:ascii="Arial" w:eastAsia="Times New Roman" w:hAnsi="Arial" w:cs="Arial"/>
                <w:sz w:val="18"/>
                <w:szCs w:val="18"/>
              </w:rPr>
            </w:pPr>
            <w:r w:rsidRPr="00960E94">
              <w:rPr>
                <w:rFonts w:ascii="Arial" w:hAnsi="Arial" w:cs="Arial"/>
                <w:sz w:val="18"/>
                <w:szCs w:val="18"/>
              </w:rPr>
              <w:t xml:space="preserve"> (1)</w:t>
            </w:r>
          </w:p>
        </w:tc>
        <w:tc>
          <w:tcPr>
            <w:tcW w:w="1030" w:type="dxa"/>
            <w:shd w:val="clear" w:color="auto" w:fill="auto"/>
            <w:vAlign w:val="bottom"/>
          </w:tcPr>
          <w:p w14:paraId="3DE91D91" w14:textId="69D24606" w:rsidR="00844276" w:rsidRPr="00960E94" w:rsidRDefault="00844276" w:rsidP="00844276">
            <w:pPr>
              <w:suppressAutoHyphens/>
              <w:autoSpaceDN w:val="0"/>
              <w:jc w:val="right"/>
              <w:rPr>
                <w:rFonts w:ascii="Arial" w:eastAsia="Times New Roman" w:hAnsi="Arial" w:cs="Arial"/>
                <w:sz w:val="18"/>
                <w:szCs w:val="18"/>
              </w:rPr>
            </w:pPr>
            <w:r w:rsidRPr="00960E94">
              <w:rPr>
                <w:rFonts w:ascii="Arial" w:hAnsi="Arial" w:cs="Arial"/>
                <w:sz w:val="18"/>
                <w:szCs w:val="18"/>
              </w:rPr>
              <w:t xml:space="preserve"> 1.201 </w:t>
            </w:r>
          </w:p>
        </w:tc>
        <w:tc>
          <w:tcPr>
            <w:tcW w:w="1030" w:type="dxa"/>
            <w:shd w:val="clear" w:color="auto" w:fill="auto"/>
            <w:vAlign w:val="bottom"/>
          </w:tcPr>
          <w:p w14:paraId="33201606" w14:textId="42D5477F" w:rsidR="00844276" w:rsidRPr="00960E94" w:rsidRDefault="00844276" w:rsidP="00844276">
            <w:pPr>
              <w:suppressAutoHyphens/>
              <w:autoSpaceDN w:val="0"/>
              <w:jc w:val="right"/>
              <w:rPr>
                <w:rFonts w:ascii="Arial" w:eastAsia="Times New Roman" w:hAnsi="Arial" w:cs="Arial"/>
                <w:sz w:val="18"/>
                <w:szCs w:val="18"/>
              </w:rPr>
            </w:pPr>
            <w:r w:rsidRPr="00960E94">
              <w:rPr>
                <w:rFonts w:ascii="Arial" w:hAnsi="Arial" w:cs="Arial"/>
                <w:sz w:val="18"/>
                <w:szCs w:val="18"/>
              </w:rPr>
              <w:t xml:space="preserve"> (1.200)</w:t>
            </w:r>
          </w:p>
        </w:tc>
        <w:tc>
          <w:tcPr>
            <w:tcW w:w="1026" w:type="dxa"/>
            <w:shd w:val="clear" w:color="auto" w:fill="auto"/>
            <w:vAlign w:val="bottom"/>
          </w:tcPr>
          <w:p w14:paraId="70F9AF8E" w14:textId="68396083" w:rsidR="00844276" w:rsidRPr="00960E94" w:rsidRDefault="005804CD" w:rsidP="00844276">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99" w:type="dxa"/>
            <w:shd w:val="clear" w:color="auto" w:fill="auto"/>
            <w:vAlign w:val="bottom"/>
          </w:tcPr>
          <w:p w14:paraId="35D0D073" w14:textId="0B249B85" w:rsidR="00844276" w:rsidRPr="00960E94" w:rsidRDefault="00844276" w:rsidP="00844276">
            <w:pPr>
              <w:suppressAutoHyphens/>
              <w:autoSpaceDN w:val="0"/>
              <w:jc w:val="right"/>
              <w:rPr>
                <w:rFonts w:ascii="Arial" w:eastAsia="Times New Roman" w:hAnsi="Arial" w:cs="Arial"/>
                <w:b/>
                <w:bCs/>
                <w:sz w:val="18"/>
                <w:szCs w:val="18"/>
              </w:rPr>
            </w:pPr>
            <w:r w:rsidRPr="00960E94">
              <w:rPr>
                <w:rFonts w:ascii="Arial" w:hAnsi="Arial" w:cs="Arial"/>
                <w:b/>
                <w:bCs/>
                <w:sz w:val="18"/>
                <w:szCs w:val="18"/>
              </w:rPr>
              <w:t xml:space="preserve"> - </w:t>
            </w:r>
          </w:p>
        </w:tc>
      </w:tr>
      <w:tr w:rsidR="003C688D" w:rsidRPr="003D1614" w14:paraId="6CA596B8" w14:textId="77777777" w:rsidTr="00960E94">
        <w:trPr>
          <w:trHeight w:val="176"/>
        </w:trPr>
        <w:tc>
          <w:tcPr>
            <w:tcW w:w="4148" w:type="dxa"/>
            <w:shd w:val="clear" w:color="auto" w:fill="auto"/>
            <w:vAlign w:val="bottom"/>
          </w:tcPr>
          <w:p w14:paraId="051B4270" w14:textId="77777777" w:rsidR="003C688D" w:rsidRPr="003D1614" w:rsidRDefault="003C688D" w:rsidP="003C688D">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3</w:t>
            </w:r>
          </w:p>
        </w:tc>
        <w:tc>
          <w:tcPr>
            <w:tcW w:w="1036" w:type="dxa"/>
            <w:shd w:val="clear" w:color="auto" w:fill="auto"/>
            <w:vAlign w:val="bottom"/>
          </w:tcPr>
          <w:p w14:paraId="01D07F75" w14:textId="7C386431" w:rsidR="003C688D" w:rsidRPr="00960E94" w:rsidRDefault="005804CD" w:rsidP="003C688D">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30" w:type="dxa"/>
            <w:shd w:val="clear" w:color="auto" w:fill="auto"/>
            <w:vAlign w:val="bottom"/>
          </w:tcPr>
          <w:p w14:paraId="36B66AE5" w14:textId="1A68AD81" w:rsidR="003C688D" w:rsidRPr="00960E94" w:rsidRDefault="005804CD" w:rsidP="003C688D">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30" w:type="dxa"/>
            <w:shd w:val="clear" w:color="auto" w:fill="auto"/>
            <w:vAlign w:val="bottom"/>
          </w:tcPr>
          <w:p w14:paraId="0F2FA04C" w14:textId="3CD4F186" w:rsidR="003C688D" w:rsidRPr="00960E94" w:rsidRDefault="005804CD" w:rsidP="003C688D">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26" w:type="dxa"/>
            <w:shd w:val="clear" w:color="auto" w:fill="auto"/>
            <w:vAlign w:val="bottom"/>
          </w:tcPr>
          <w:p w14:paraId="31254A91" w14:textId="50427C58" w:rsidR="003C688D" w:rsidRPr="00960E94" w:rsidRDefault="005804CD" w:rsidP="003C688D">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99" w:type="dxa"/>
            <w:shd w:val="clear" w:color="auto" w:fill="auto"/>
            <w:vAlign w:val="bottom"/>
          </w:tcPr>
          <w:p w14:paraId="7EAA7709" w14:textId="21A90D91" w:rsidR="003C688D" w:rsidRPr="00960E94" w:rsidRDefault="005804CD" w:rsidP="003C688D">
            <w:pPr>
              <w:suppressAutoHyphens/>
              <w:autoSpaceDN w:val="0"/>
              <w:jc w:val="right"/>
              <w:rPr>
                <w:rFonts w:ascii="Arial" w:eastAsia="Times New Roman" w:hAnsi="Arial" w:cs="Arial"/>
                <w:b/>
                <w:bCs/>
                <w:sz w:val="18"/>
                <w:szCs w:val="18"/>
              </w:rPr>
            </w:pPr>
            <w:r>
              <w:rPr>
                <w:rFonts w:ascii="Arial" w:eastAsia="Times New Roman" w:hAnsi="Arial" w:cs="Arial"/>
                <w:b/>
                <w:bCs/>
                <w:sz w:val="18"/>
                <w:szCs w:val="18"/>
              </w:rPr>
              <w:t>-</w:t>
            </w:r>
          </w:p>
        </w:tc>
      </w:tr>
      <w:tr w:rsidR="00AF5E1A" w:rsidRPr="003D1614" w14:paraId="0927F917" w14:textId="77777777" w:rsidTr="00960E94">
        <w:trPr>
          <w:trHeight w:val="219"/>
        </w:trPr>
        <w:tc>
          <w:tcPr>
            <w:tcW w:w="4148" w:type="dxa"/>
            <w:tcBorders>
              <w:top w:val="nil"/>
              <w:left w:val="nil"/>
              <w:bottom w:val="nil"/>
              <w:right w:val="nil"/>
            </w:tcBorders>
            <w:shd w:val="clear" w:color="auto" w:fill="auto"/>
            <w:vAlign w:val="bottom"/>
            <w:hideMark/>
          </w:tcPr>
          <w:p w14:paraId="2793F3D3" w14:textId="43522845" w:rsidR="00AF5E1A" w:rsidRPr="003D1614" w:rsidRDefault="00AF5E1A" w:rsidP="00AF5E1A">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Net</w:t>
            </w:r>
            <w:r w:rsidRPr="003B0989">
              <w:rPr>
                <w:rFonts w:ascii="Arial" w:eastAsia="Calibri" w:hAnsi="Arial" w:cs="Arial"/>
                <w:color w:val="000000" w:themeColor="text1"/>
                <w:sz w:val="18"/>
                <w:szCs w:val="18"/>
              </w:rPr>
              <w:t xml:space="preserve">o </w:t>
            </w:r>
            <w:r w:rsidRPr="003C688D">
              <w:rPr>
                <w:rFonts w:ascii="Arial" w:eastAsia="Calibri" w:hAnsi="Arial" w:cs="Arial"/>
                <w:color w:val="000000" w:themeColor="text1"/>
                <w:sz w:val="18"/>
                <w:szCs w:val="18"/>
              </w:rPr>
              <w:t>(smanjenje</w:t>
            </w:r>
            <w:r w:rsidRPr="003B0989">
              <w:rPr>
                <w:rFonts w:ascii="Arial" w:eastAsia="Calibri" w:hAnsi="Arial" w:cs="Arial"/>
                <w:color w:val="000000" w:themeColor="text1"/>
                <w:sz w:val="18"/>
                <w:szCs w:val="18"/>
              </w:rPr>
              <w:t>) rezerviranja za očekivane gubitke</w:t>
            </w:r>
            <w:r w:rsidRPr="003D1614">
              <w:rPr>
                <w:rFonts w:ascii="Arial" w:eastAsia="Calibri" w:hAnsi="Arial" w:cs="Arial"/>
                <w:color w:val="000000" w:themeColor="text1"/>
                <w:sz w:val="18"/>
                <w:szCs w:val="18"/>
              </w:rPr>
              <w:t xml:space="preserve"> </w:t>
            </w:r>
          </w:p>
        </w:tc>
        <w:tc>
          <w:tcPr>
            <w:tcW w:w="1036" w:type="dxa"/>
            <w:shd w:val="clear" w:color="auto" w:fill="auto"/>
            <w:vAlign w:val="bottom"/>
          </w:tcPr>
          <w:p w14:paraId="71FDBD8A" w14:textId="4321C016" w:rsidR="00AF5E1A" w:rsidRPr="00960E94" w:rsidRDefault="00AF5E1A" w:rsidP="00AF5E1A">
            <w:pPr>
              <w:suppressAutoHyphens/>
              <w:autoSpaceDN w:val="0"/>
              <w:jc w:val="right"/>
              <w:rPr>
                <w:rFonts w:ascii="Arial" w:eastAsia="Times New Roman" w:hAnsi="Arial" w:cs="Arial"/>
                <w:sz w:val="18"/>
                <w:szCs w:val="18"/>
              </w:rPr>
            </w:pPr>
            <w:r w:rsidRPr="00960E94">
              <w:rPr>
                <w:rFonts w:ascii="Arial" w:hAnsi="Arial" w:cs="Arial"/>
                <w:sz w:val="18"/>
                <w:szCs w:val="18"/>
              </w:rPr>
              <w:t xml:space="preserve"> (2.534)</w:t>
            </w:r>
          </w:p>
        </w:tc>
        <w:tc>
          <w:tcPr>
            <w:tcW w:w="1030" w:type="dxa"/>
            <w:shd w:val="clear" w:color="auto" w:fill="auto"/>
            <w:vAlign w:val="bottom"/>
          </w:tcPr>
          <w:p w14:paraId="2E5D59CF" w14:textId="00D2EFBA" w:rsidR="00AF5E1A" w:rsidRPr="00960E94" w:rsidRDefault="00AF5E1A" w:rsidP="00AF5E1A">
            <w:pPr>
              <w:suppressAutoHyphens/>
              <w:autoSpaceDN w:val="0"/>
              <w:jc w:val="right"/>
              <w:rPr>
                <w:rFonts w:ascii="Arial" w:eastAsia="Times New Roman" w:hAnsi="Arial" w:cs="Arial"/>
                <w:sz w:val="18"/>
                <w:szCs w:val="18"/>
              </w:rPr>
            </w:pPr>
            <w:r w:rsidRPr="00960E94">
              <w:rPr>
                <w:rFonts w:ascii="Arial" w:hAnsi="Arial" w:cs="Arial"/>
                <w:sz w:val="18"/>
                <w:szCs w:val="18"/>
              </w:rPr>
              <w:t xml:space="preserve"> (1.368)</w:t>
            </w:r>
          </w:p>
        </w:tc>
        <w:tc>
          <w:tcPr>
            <w:tcW w:w="1030" w:type="dxa"/>
            <w:shd w:val="clear" w:color="auto" w:fill="auto"/>
            <w:vAlign w:val="bottom"/>
          </w:tcPr>
          <w:p w14:paraId="4E4B2BA5" w14:textId="37435CFB" w:rsidR="00AF5E1A" w:rsidRPr="00960E94" w:rsidRDefault="00AF5E1A" w:rsidP="00AF5E1A">
            <w:pPr>
              <w:suppressAutoHyphens/>
              <w:autoSpaceDN w:val="0"/>
              <w:jc w:val="right"/>
              <w:rPr>
                <w:rFonts w:ascii="Arial" w:eastAsia="Times New Roman" w:hAnsi="Arial" w:cs="Arial"/>
                <w:sz w:val="18"/>
                <w:szCs w:val="18"/>
              </w:rPr>
            </w:pPr>
            <w:r w:rsidRPr="00960E94">
              <w:rPr>
                <w:rFonts w:ascii="Arial" w:hAnsi="Arial" w:cs="Arial"/>
                <w:sz w:val="18"/>
                <w:szCs w:val="18"/>
              </w:rPr>
              <w:t xml:space="preserve"> (1.918)</w:t>
            </w:r>
          </w:p>
        </w:tc>
        <w:tc>
          <w:tcPr>
            <w:tcW w:w="1026" w:type="dxa"/>
            <w:shd w:val="clear" w:color="auto" w:fill="auto"/>
            <w:vAlign w:val="bottom"/>
          </w:tcPr>
          <w:p w14:paraId="34D643CA" w14:textId="2E52DBAF" w:rsidR="00AF5E1A" w:rsidRPr="00960E94" w:rsidRDefault="00AF5E1A" w:rsidP="00AF5E1A">
            <w:pPr>
              <w:suppressAutoHyphens/>
              <w:autoSpaceDN w:val="0"/>
              <w:jc w:val="right"/>
              <w:rPr>
                <w:rFonts w:ascii="Arial" w:eastAsia="Times New Roman" w:hAnsi="Arial" w:cs="Arial"/>
                <w:sz w:val="18"/>
                <w:szCs w:val="18"/>
              </w:rPr>
            </w:pPr>
            <w:r w:rsidRPr="00960E94">
              <w:rPr>
                <w:rFonts w:ascii="Arial" w:hAnsi="Arial" w:cs="Arial"/>
                <w:sz w:val="18"/>
                <w:szCs w:val="18"/>
              </w:rPr>
              <w:t xml:space="preserve"> (395)</w:t>
            </w:r>
          </w:p>
        </w:tc>
        <w:tc>
          <w:tcPr>
            <w:tcW w:w="1099" w:type="dxa"/>
            <w:shd w:val="clear" w:color="auto" w:fill="auto"/>
            <w:vAlign w:val="bottom"/>
          </w:tcPr>
          <w:p w14:paraId="1AF376F9" w14:textId="3BC286FD" w:rsidR="00AF5E1A" w:rsidRPr="00960E94" w:rsidRDefault="00AF5E1A" w:rsidP="00AF5E1A">
            <w:pPr>
              <w:suppressAutoHyphens/>
              <w:autoSpaceDN w:val="0"/>
              <w:jc w:val="right"/>
              <w:rPr>
                <w:rFonts w:ascii="Arial" w:eastAsia="Times New Roman" w:hAnsi="Arial" w:cs="Arial"/>
                <w:b/>
                <w:bCs/>
                <w:sz w:val="18"/>
                <w:szCs w:val="18"/>
              </w:rPr>
            </w:pPr>
            <w:r w:rsidRPr="00960E94">
              <w:rPr>
                <w:rFonts w:ascii="Arial" w:hAnsi="Arial" w:cs="Arial"/>
                <w:b/>
                <w:bCs/>
                <w:sz w:val="18"/>
                <w:szCs w:val="18"/>
              </w:rPr>
              <w:t xml:space="preserve"> (6.215)</w:t>
            </w:r>
          </w:p>
        </w:tc>
      </w:tr>
      <w:tr w:rsidR="00AF5E1A" w:rsidRPr="003D1614" w14:paraId="415A3040" w14:textId="77777777" w:rsidTr="00960E94">
        <w:trPr>
          <w:trHeight w:val="184"/>
        </w:trPr>
        <w:tc>
          <w:tcPr>
            <w:tcW w:w="4148" w:type="dxa"/>
            <w:tcBorders>
              <w:top w:val="nil"/>
              <w:left w:val="nil"/>
              <w:bottom w:val="nil"/>
              <w:right w:val="nil"/>
            </w:tcBorders>
            <w:shd w:val="clear" w:color="auto" w:fill="auto"/>
            <w:vAlign w:val="bottom"/>
            <w:hideMark/>
          </w:tcPr>
          <w:p w14:paraId="5D8B9788" w14:textId="77777777" w:rsidR="00AF5E1A" w:rsidRPr="003D1614" w:rsidRDefault="00AF5E1A" w:rsidP="00AF5E1A">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Neto dobit/gubitak od tečajnih razlika po rezerviranjima za očekivane gubitke</w:t>
            </w:r>
          </w:p>
        </w:tc>
        <w:tc>
          <w:tcPr>
            <w:tcW w:w="1036" w:type="dxa"/>
            <w:tcBorders>
              <w:top w:val="nil"/>
              <w:left w:val="nil"/>
              <w:bottom w:val="single" w:sz="4" w:space="0" w:color="auto"/>
              <w:right w:val="nil"/>
            </w:tcBorders>
            <w:shd w:val="clear" w:color="auto" w:fill="auto"/>
            <w:vAlign w:val="bottom"/>
          </w:tcPr>
          <w:p w14:paraId="4F4134BE" w14:textId="6B38AD8B" w:rsidR="00AF5E1A" w:rsidRPr="00960E94" w:rsidRDefault="00AF5E1A" w:rsidP="00AF5E1A">
            <w:pPr>
              <w:suppressAutoHyphens/>
              <w:autoSpaceDN w:val="0"/>
              <w:jc w:val="right"/>
              <w:rPr>
                <w:rFonts w:ascii="Arial" w:eastAsia="Times New Roman" w:hAnsi="Arial" w:cs="Arial"/>
                <w:sz w:val="18"/>
                <w:szCs w:val="18"/>
              </w:rPr>
            </w:pPr>
            <w:r w:rsidRPr="00960E94">
              <w:rPr>
                <w:rFonts w:ascii="Arial" w:hAnsi="Arial" w:cs="Arial"/>
                <w:sz w:val="18"/>
                <w:szCs w:val="18"/>
              </w:rPr>
              <w:t xml:space="preserve"> 1 </w:t>
            </w:r>
          </w:p>
        </w:tc>
        <w:tc>
          <w:tcPr>
            <w:tcW w:w="1030" w:type="dxa"/>
            <w:tcBorders>
              <w:top w:val="nil"/>
              <w:left w:val="nil"/>
              <w:bottom w:val="single" w:sz="4" w:space="0" w:color="auto"/>
              <w:right w:val="nil"/>
            </w:tcBorders>
            <w:shd w:val="clear" w:color="auto" w:fill="auto"/>
            <w:vAlign w:val="bottom"/>
          </w:tcPr>
          <w:p w14:paraId="13912BED" w14:textId="78668AC7" w:rsidR="00AF5E1A" w:rsidRPr="00960E94" w:rsidRDefault="00AF5E1A" w:rsidP="00AF5E1A">
            <w:pPr>
              <w:suppressAutoHyphens/>
              <w:autoSpaceDN w:val="0"/>
              <w:jc w:val="right"/>
              <w:rPr>
                <w:rFonts w:ascii="Arial" w:eastAsia="Times New Roman" w:hAnsi="Arial" w:cs="Arial"/>
                <w:sz w:val="18"/>
                <w:szCs w:val="18"/>
              </w:rPr>
            </w:pPr>
            <w:r w:rsidRPr="00960E94">
              <w:rPr>
                <w:rFonts w:ascii="Arial" w:hAnsi="Arial" w:cs="Arial"/>
                <w:sz w:val="18"/>
                <w:szCs w:val="18"/>
              </w:rPr>
              <w:t xml:space="preserve"> (76)</w:t>
            </w:r>
          </w:p>
        </w:tc>
        <w:tc>
          <w:tcPr>
            <w:tcW w:w="1030" w:type="dxa"/>
            <w:tcBorders>
              <w:top w:val="nil"/>
              <w:left w:val="nil"/>
              <w:bottom w:val="single" w:sz="4" w:space="0" w:color="auto"/>
              <w:right w:val="nil"/>
            </w:tcBorders>
            <w:shd w:val="clear" w:color="auto" w:fill="auto"/>
            <w:vAlign w:val="bottom"/>
          </w:tcPr>
          <w:p w14:paraId="434EE0D7" w14:textId="6D7A4618" w:rsidR="00AF5E1A" w:rsidRPr="00960E94" w:rsidRDefault="005804CD" w:rsidP="00AF5E1A">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26" w:type="dxa"/>
            <w:tcBorders>
              <w:top w:val="nil"/>
              <w:left w:val="nil"/>
              <w:bottom w:val="single" w:sz="4" w:space="0" w:color="auto"/>
              <w:right w:val="nil"/>
            </w:tcBorders>
            <w:shd w:val="clear" w:color="auto" w:fill="auto"/>
            <w:vAlign w:val="bottom"/>
          </w:tcPr>
          <w:p w14:paraId="4414655B" w14:textId="06DFFF6F" w:rsidR="00AF5E1A" w:rsidRPr="00960E94" w:rsidRDefault="005804CD" w:rsidP="00AF5E1A">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99" w:type="dxa"/>
            <w:tcBorders>
              <w:top w:val="nil"/>
              <w:left w:val="nil"/>
              <w:bottom w:val="single" w:sz="4" w:space="0" w:color="auto"/>
              <w:right w:val="nil"/>
            </w:tcBorders>
            <w:shd w:val="clear" w:color="auto" w:fill="auto"/>
            <w:vAlign w:val="bottom"/>
          </w:tcPr>
          <w:p w14:paraId="5D813850" w14:textId="10E6FA0B" w:rsidR="00AF5E1A" w:rsidRPr="00960E94" w:rsidRDefault="00AF5E1A" w:rsidP="00AF5E1A">
            <w:pPr>
              <w:suppressAutoHyphens/>
              <w:autoSpaceDN w:val="0"/>
              <w:jc w:val="right"/>
              <w:rPr>
                <w:rFonts w:ascii="Arial" w:eastAsia="Times New Roman" w:hAnsi="Arial" w:cs="Arial"/>
                <w:b/>
                <w:bCs/>
                <w:sz w:val="18"/>
                <w:szCs w:val="18"/>
              </w:rPr>
            </w:pPr>
            <w:r w:rsidRPr="00960E94">
              <w:rPr>
                <w:rFonts w:ascii="Arial" w:hAnsi="Arial" w:cs="Arial"/>
                <w:b/>
                <w:bCs/>
                <w:sz w:val="18"/>
                <w:szCs w:val="18"/>
              </w:rPr>
              <w:t xml:space="preserve"> (75)</w:t>
            </w:r>
          </w:p>
        </w:tc>
      </w:tr>
      <w:tr w:rsidR="00AF5E1A" w:rsidRPr="003D1614" w14:paraId="4B021860" w14:textId="77777777" w:rsidTr="00960E94">
        <w:trPr>
          <w:trHeight w:val="261"/>
        </w:trPr>
        <w:tc>
          <w:tcPr>
            <w:tcW w:w="4148" w:type="dxa"/>
            <w:tcBorders>
              <w:top w:val="nil"/>
              <w:left w:val="nil"/>
              <w:bottom w:val="nil"/>
              <w:right w:val="nil"/>
            </w:tcBorders>
            <w:shd w:val="clear" w:color="auto" w:fill="auto"/>
            <w:vAlign w:val="bottom"/>
            <w:hideMark/>
          </w:tcPr>
          <w:p w14:paraId="3BF9E343" w14:textId="24403FCB" w:rsidR="00AF5E1A" w:rsidRPr="003D1614" w:rsidRDefault="00AF5E1A" w:rsidP="00AF5E1A">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 xml:space="preserve">Stanje </w:t>
            </w:r>
            <w:r w:rsidRPr="00881155">
              <w:rPr>
                <w:rFonts w:ascii="Arial" w:eastAsia="Calibri" w:hAnsi="Arial" w:cs="Arial"/>
                <w:b/>
                <w:bCs/>
                <w:color w:val="000000" w:themeColor="text1"/>
                <w:sz w:val="18"/>
                <w:szCs w:val="18"/>
              </w:rPr>
              <w:t>30. rujna 202</w:t>
            </w:r>
            <w:r>
              <w:rPr>
                <w:rFonts w:ascii="Arial" w:eastAsia="Calibri" w:hAnsi="Arial" w:cs="Arial"/>
                <w:b/>
                <w:bCs/>
                <w:color w:val="000000" w:themeColor="text1"/>
                <w:sz w:val="18"/>
                <w:szCs w:val="18"/>
              </w:rPr>
              <w:t>4</w:t>
            </w:r>
            <w:r w:rsidRPr="00881155">
              <w:rPr>
                <w:rFonts w:ascii="Arial" w:eastAsia="Calibri" w:hAnsi="Arial" w:cs="Arial"/>
                <w:b/>
                <w:bCs/>
                <w:color w:val="000000" w:themeColor="text1"/>
                <w:sz w:val="18"/>
                <w:szCs w:val="18"/>
              </w:rPr>
              <w:t>.</w:t>
            </w:r>
          </w:p>
        </w:tc>
        <w:tc>
          <w:tcPr>
            <w:tcW w:w="1036" w:type="dxa"/>
            <w:tcBorders>
              <w:top w:val="single" w:sz="4" w:space="0" w:color="auto"/>
              <w:left w:val="nil"/>
              <w:bottom w:val="single" w:sz="12" w:space="0" w:color="auto"/>
              <w:right w:val="nil"/>
            </w:tcBorders>
            <w:shd w:val="clear" w:color="auto" w:fill="auto"/>
            <w:vAlign w:val="bottom"/>
          </w:tcPr>
          <w:p w14:paraId="7C905D46" w14:textId="7448491D" w:rsidR="00AF5E1A" w:rsidRPr="00960E94" w:rsidRDefault="00AF5E1A" w:rsidP="00AF5E1A">
            <w:pPr>
              <w:suppressAutoHyphens/>
              <w:autoSpaceDN w:val="0"/>
              <w:jc w:val="right"/>
              <w:rPr>
                <w:rFonts w:ascii="Arial" w:eastAsia="Times New Roman" w:hAnsi="Arial" w:cs="Arial"/>
                <w:b/>
                <w:bCs/>
                <w:sz w:val="18"/>
                <w:szCs w:val="18"/>
              </w:rPr>
            </w:pPr>
            <w:r w:rsidRPr="00960E94">
              <w:rPr>
                <w:rFonts w:ascii="Arial" w:hAnsi="Arial" w:cs="Arial"/>
                <w:b/>
                <w:bCs/>
                <w:sz w:val="18"/>
                <w:szCs w:val="18"/>
              </w:rPr>
              <w:t xml:space="preserve"> 1.709 </w:t>
            </w:r>
          </w:p>
        </w:tc>
        <w:tc>
          <w:tcPr>
            <w:tcW w:w="1030" w:type="dxa"/>
            <w:tcBorders>
              <w:top w:val="single" w:sz="4" w:space="0" w:color="auto"/>
              <w:left w:val="nil"/>
              <w:bottom w:val="single" w:sz="12" w:space="0" w:color="auto"/>
              <w:right w:val="nil"/>
            </w:tcBorders>
            <w:shd w:val="clear" w:color="auto" w:fill="auto"/>
            <w:vAlign w:val="bottom"/>
          </w:tcPr>
          <w:p w14:paraId="495741C3" w14:textId="1429C35E" w:rsidR="00AF5E1A" w:rsidRPr="00960E94" w:rsidRDefault="00AF5E1A" w:rsidP="00AF5E1A">
            <w:pPr>
              <w:suppressAutoHyphens/>
              <w:autoSpaceDN w:val="0"/>
              <w:jc w:val="right"/>
              <w:rPr>
                <w:rFonts w:ascii="Arial" w:eastAsia="Times New Roman" w:hAnsi="Arial" w:cs="Arial"/>
                <w:b/>
                <w:bCs/>
                <w:sz w:val="18"/>
                <w:szCs w:val="18"/>
              </w:rPr>
            </w:pPr>
            <w:r w:rsidRPr="00960E94">
              <w:rPr>
                <w:rFonts w:ascii="Arial" w:hAnsi="Arial" w:cs="Arial"/>
                <w:b/>
                <w:bCs/>
                <w:sz w:val="18"/>
                <w:szCs w:val="18"/>
              </w:rPr>
              <w:t xml:space="preserve"> 5.137 </w:t>
            </w:r>
          </w:p>
        </w:tc>
        <w:tc>
          <w:tcPr>
            <w:tcW w:w="1030" w:type="dxa"/>
            <w:tcBorders>
              <w:top w:val="single" w:sz="4" w:space="0" w:color="auto"/>
              <w:left w:val="nil"/>
              <w:bottom w:val="single" w:sz="12" w:space="0" w:color="auto"/>
              <w:right w:val="nil"/>
            </w:tcBorders>
            <w:shd w:val="clear" w:color="auto" w:fill="auto"/>
            <w:vAlign w:val="bottom"/>
          </w:tcPr>
          <w:p w14:paraId="3382AF15" w14:textId="21389AEF" w:rsidR="00AF5E1A" w:rsidRPr="00960E94" w:rsidRDefault="00AF5E1A" w:rsidP="00AF5E1A">
            <w:pPr>
              <w:suppressAutoHyphens/>
              <w:autoSpaceDN w:val="0"/>
              <w:jc w:val="right"/>
              <w:rPr>
                <w:rFonts w:ascii="Arial" w:eastAsia="Times New Roman" w:hAnsi="Arial" w:cs="Arial"/>
                <w:b/>
                <w:bCs/>
                <w:sz w:val="18"/>
                <w:szCs w:val="18"/>
              </w:rPr>
            </w:pPr>
            <w:r w:rsidRPr="00960E94">
              <w:rPr>
                <w:rFonts w:ascii="Arial" w:hAnsi="Arial" w:cs="Arial"/>
                <w:b/>
                <w:bCs/>
                <w:sz w:val="18"/>
                <w:szCs w:val="18"/>
              </w:rPr>
              <w:t xml:space="preserve"> 1.456 </w:t>
            </w:r>
          </w:p>
        </w:tc>
        <w:tc>
          <w:tcPr>
            <w:tcW w:w="1026" w:type="dxa"/>
            <w:tcBorders>
              <w:top w:val="single" w:sz="4" w:space="0" w:color="auto"/>
              <w:left w:val="nil"/>
              <w:bottom w:val="single" w:sz="12" w:space="0" w:color="auto"/>
              <w:right w:val="nil"/>
            </w:tcBorders>
            <w:shd w:val="clear" w:color="auto" w:fill="auto"/>
            <w:vAlign w:val="bottom"/>
          </w:tcPr>
          <w:p w14:paraId="378378EB" w14:textId="139C75A1" w:rsidR="00AF5E1A" w:rsidRPr="00960E94" w:rsidRDefault="00AF5E1A" w:rsidP="00AF5E1A">
            <w:pPr>
              <w:suppressAutoHyphens/>
              <w:autoSpaceDN w:val="0"/>
              <w:jc w:val="right"/>
              <w:rPr>
                <w:rFonts w:ascii="Arial" w:eastAsia="Times New Roman" w:hAnsi="Arial" w:cs="Arial"/>
                <w:b/>
                <w:bCs/>
                <w:sz w:val="18"/>
                <w:szCs w:val="18"/>
              </w:rPr>
            </w:pPr>
            <w:r w:rsidRPr="00960E94">
              <w:rPr>
                <w:rFonts w:ascii="Arial" w:hAnsi="Arial" w:cs="Arial"/>
                <w:b/>
                <w:bCs/>
                <w:sz w:val="18"/>
                <w:szCs w:val="18"/>
              </w:rPr>
              <w:t xml:space="preserve"> 45 </w:t>
            </w:r>
          </w:p>
        </w:tc>
        <w:tc>
          <w:tcPr>
            <w:tcW w:w="1099" w:type="dxa"/>
            <w:tcBorders>
              <w:top w:val="single" w:sz="4" w:space="0" w:color="auto"/>
              <w:left w:val="nil"/>
              <w:bottom w:val="single" w:sz="12" w:space="0" w:color="auto"/>
              <w:right w:val="nil"/>
            </w:tcBorders>
            <w:shd w:val="clear" w:color="auto" w:fill="auto"/>
            <w:vAlign w:val="bottom"/>
          </w:tcPr>
          <w:p w14:paraId="49C2A35E" w14:textId="74595ACE" w:rsidR="00AF5E1A" w:rsidRPr="00960E94" w:rsidRDefault="00AF5E1A" w:rsidP="00AF5E1A">
            <w:pPr>
              <w:suppressAutoHyphens/>
              <w:autoSpaceDN w:val="0"/>
              <w:jc w:val="right"/>
              <w:rPr>
                <w:rFonts w:ascii="Arial" w:eastAsia="Times New Roman" w:hAnsi="Arial" w:cs="Arial"/>
                <w:b/>
                <w:bCs/>
                <w:sz w:val="18"/>
                <w:szCs w:val="18"/>
              </w:rPr>
            </w:pPr>
            <w:r w:rsidRPr="00960E94">
              <w:rPr>
                <w:rFonts w:ascii="Arial" w:hAnsi="Arial" w:cs="Arial"/>
                <w:b/>
                <w:bCs/>
                <w:sz w:val="18"/>
                <w:szCs w:val="18"/>
              </w:rPr>
              <w:t xml:space="preserve"> 8.347 </w:t>
            </w:r>
          </w:p>
        </w:tc>
      </w:tr>
    </w:tbl>
    <w:p w14:paraId="13A772D3" w14:textId="497D41B0" w:rsidR="00A269B5" w:rsidRPr="003D1614" w:rsidRDefault="00A269B5" w:rsidP="001A0FCB">
      <w:pPr>
        <w:suppressAutoHyphens/>
        <w:autoSpaceDN w:val="0"/>
        <w:jc w:val="both"/>
        <w:rPr>
          <w:rFonts w:ascii="Arial" w:eastAsia="Times New Roman" w:hAnsi="Arial" w:cs="Arial"/>
          <w:color w:val="000000" w:themeColor="text1"/>
          <w:sz w:val="20"/>
          <w:szCs w:val="20"/>
        </w:rPr>
      </w:pPr>
    </w:p>
    <w:p w14:paraId="654DC7CA" w14:textId="73F67BD4" w:rsidR="00A269B5" w:rsidRPr="003D1614" w:rsidRDefault="00A269B5" w:rsidP="001A0FCB">
      <w:pPr>
        <w:suppressAutoHyphens/>
        <w:autoSpaceDN w:val="0"/>
        <w:jc w:val="both"/>
        <w:rPr>
          <w:rFonts w:ascii="Arial" w:eastAsia="Times New Roman" w:hAnsi="Arial" w:cs="Arial"/>
          <w:color w:val="000000" w:themeColor="text1"/>
          <w:sz w:val="20"/>
          <w:szCs w:val="20"/>
        </w:rPr>
      </w:pPr>
    </w:p>
    <w:tbl>
      <w:tblPr>
        <w:tblW w:w="9369" w:type="dxa"/>
        <w:tblInd w:w="-180" w:type="dxa"/>
        <w:tblLook w:val="04A0" w:firstRow="1" w:lastRow="0" w:firstColumn="1" w:lastColumn="0" w:noHBand="0" w:noVBand="1"/>
      </w:tblPr>
      <w:tblGrid>
        <w:gridCol w:w="4148"/>
        <w:gridCol w:w="1036"/>
        <w:gridCol w:w="1030"/>
        <w:gridCol w:w="1030"/>
        <w:gridCol w:w="1026"/>
        <w:gridCol w:w="1099"/>
      </w:tblGrid>
      <w:tr w:rsidR="006E48EE" w:rsidRPr="001B015B" w14:paraId="18B687BC" w14:textId="77777777" w:rsidTr="0034622E">
        <w:trPr>
          <w:trHeight w:val="176"/>
        </w:trPr>
        <w:tc>
          <w:tcPr>
            <w:tcW w:w="4148" w:type="dxa"/>
            <w:tcBorders>
              <w:top w:val="nil"/>
              <w:left w:val="nil"/>
              <w:bottom w:val="nil"/>
              <w:right w:val="nil"/>
            </w:tcBorders>
            <w:shd w:val="clear" w:color="auto" w:fill="auto"/>
            <w:vAlign w:val="center"/>
          </w:tcPr>
          <w:p w14:paraId="1C3DA000" w14:textId="77777777" w:rsidR="006E48EE" w:rsidRPr="001B015B" w:rsidRDefault="006E48EE" w:rsidP="0034622E">
            <w:pPr>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Grupa i Banka</w:t>
            </w:r>
          </w:p>
        </w:tc>
        <w:tc>
          <w:tcPr>
            <w:tcW w:w="1036" w:type="dxa"/>
            <w:tcBorders>
              <w:top w:val="nil"/>
              <w:left w:val="nil"/>
              <w:bottom w:val="nil"/>
              <w:right w:val="nil"/>
            </w:tcBorders>
            <w:shd w:val="clear" w:color="auto" w:fill="auto"/>
            <w:vAlign w:val="center"/>
          </w:tcPr>
          <w:p w14:paraId="032FEDA1" w14:textId="77777777" w:rsidR="006E48EE" w:rsidRPr="001B015B" w:rsidRDefault="006E48EE" w:rsidP="0034622E">
            <w:pPr>
              <w:jc w:val="right"/>
              <w:rPr>
                <w:rFonts w:ascii="Arial" w:eastAsia="Calibri" w:hAnsi="Arial" w:cs="Arial"/>
                <w:b/>
                <w:bCs/>
                <w:color w:val="000000" w:themeColor="text1"/>
                <w:sz w:val="18"/>
                <w:szCs w:val="18"/>
              </w:rPr>
            </w:pPr>
          </w:p>
        </w:tc>
        <w:tc>
          <w:tcPr>
            <w:tcW w:w="1030" w:type="dxa"/>
            <w:tcBorders>
              <w:top w:val="nil"/>
              <w:left w:val="nil"/>
              <w:bottom w:val="nil"/>
              <w:right w:val="nil"/>
            </w:tcBorders>
            <w:shd w:val="clear" w:color="auto" w:fill="auto"/>
            <w:vAlign w:val="center"/>
          </w:tcPr>
          <w:p w14:paraId="60BBF3DB" w14:textId="77777777" w:rsidR="006E48EE" w:rsidRPr="001B015B" w:rsidRDefault="006E48EE" w:rsidP="0034622E">
            <w:pPr>
              <w:jc w:val="right"/>
              <w:rPr>
                <w:rFonts w:ascii="Arial" w:eastAsia="Calibri" w:hAnsi="Arial" w:cs="Arial"/>
                <w:b/>
                <w:bCs/>
                <w:color w:val="000000" w:themeColor="text1"/>
                <w:sz w:val="18"/>
                <w:szCs w:val="18"/>
              </w:rPr>
            </w:pPr>
          </w:p>
        </w:tc>
        <w:tc>
          <w:tcPr>
            <w:tcW w:w="1030" w:type="dxa"/>
            <w:tcBorders>
              <w:top w:val="nil"/>
              <w:left w:val="nil"/>
              <w:bottom w:val="nil"/>
              <w:right w:val="nil"/>
            </w:tcBorders>
            <w:shd w:val="clear" w:color="auto" w:fill="auto"/>
            <w:vAlign w:val="center"/>
          </w:tcPr>
          <w:p w14:paraId="25870582" w14:textId="77777777" w:rsidR="006E48EE" w:rsidRPr="001B015B" w:rsidRDefault="006E48EE" w:rsidP="0034622E">
            <w:pPr>
              <w:jc w:val="right"/>
              <w:rPr>
                <w:rFonts w:ascii="Arial" w:eastAsia="Calibri" w:hAnsi="Arial" w:cs="Arial"/>
                <w:b/>
                <w:bCs/>
                <w:color w:val="000000" w:themeColor="text1"/>
                <w:sz w:val="18"/>
                <w:szCs w:val="18"/>
              </w:rPr>
            </w:pPr>
          </w:p>
        </w:tc>
        <w:tc>
          <w:tcPr>
            <w:tcW w:w="1026" w:type="dxa"/>
            <w:tcBorders>
              <w:top w:val="nil"/>
              <w:left w:val="nil"/>
              <w:bottom w:val="nil"/>
              <w:right w:val="nil"/>
            </w:tcBorders>
            <w:shd w:val="clear" w:color="auto" w:fill="auto"/>
            <w:vAlign w:val="center"/>
          </w:tcPr>
          <w:p w14:paraId="47EB1AC0" w14:textId="77777777" w:rsidR="006E48EE" w:rsidRPr="001B015B" w:rsidRDefault="006E48EE" w:rsidP="0034622E">
            <w:pPr>
              <w:jc w:val="right"/>
              <w:rPr>
                <w:rFonts w:ascii="Arial" w:eastAsia="Calibri" w:hAnsi="Arial" w:cs="Arial"/>
                <w:b/>
                <w:bCs/>
                <w:color w:val="000000" w:themeColor="text1"/>
                <w:sz w:val="18"/>
                <w:szCs w:val="18"/>
              </w:rPr>
            </w:pPr>
          </w:p>
        </w:tc>
        <w:tc>
          <w:tcPr>
            <w:tcW w:w="1099" w:type="dxa"/>
            <w:tcBorders>
              <w:top w:val="nil"/>
              <w:left w:val="nil"/>
              <w:bottom w:val="nil"/>
              <w:right w:val="nil"/>
            </w:tcBorders>
            <w:shd w:val="clear" w:color="auto" w:fill="auto"/>
            <w:vAlign w:val="center"/>
          </w:tcPr>
          <w:p w14:paraId="216E1F61" w14:textId="77777777" w:rsidR="006E48EE" w:rsidRPr="001B015B" w:rsidRDefault="006E48EE" w:rsidP="0034622E">
            <w:pPr>
              <w:jc w:val="right"/>
              <w:rPr>
                <w:rFonts w:ascii="Arial" w:eastAsia="Calibri" w:hAnsi="Arial" w:cs="Arial"/>
                <w:b/>
                <w:bCs/>
                <w:color w:val="000000" w:themeColor="text1"/>
                <w:sz w:val="18"/>
                <w:szCs w:val="18"/>
              </w:rPr>
            </w:pPr>
          </w:p>
        </w:tc>
      </w:tr>
      <w:tr w:rsidR="006E48EE" w:rsidRPr="001B015B" w14:paraId="3FB17722" w14:textId="77777777" w:rsidTr="0034622E">
        <w:trPr>
          <w:trHeight w:val="176"/>
        </w:trPr>
        <w:tc>
          <w:tcPr>
            <w:tcW w:w="4148" w:type="dxa"/>
            <w:tcBorders>
              <w:top w:val="nil"/>
              <w:left w:val="nil"/>
              <w:bottom w:val="nil"/>
              <w:right w:val="nil"/>
            </w:tcBorders>
            <w:shd w:val="clear" w:color="auto" w:fill="auto"/>
            <w:vAlign w:val="center"/>
            <w:hideMark/>
          </w:tcPr>
          <w:p w14:paraId="2D81F351" w14:textId="77777777" w:rsidR="006E48EE" w:rsidRPr="001B015B" w:rsidRDefault="006E48EE" w:rsidP="0034622E">
            <w:pPr>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31. prosinca 202</w:t>
            </w:r>
            <w:r>
              <w:rPr>
                <w:rFonts w:ascii="Arial" w:eastAsia="Calibri" w:hAnsi="Arial" w:cs="Arial"/>
                <w:b/>
                <w:bCs/>
                <w:color w:val="000000" w:themeColor="text1"/>
                <w:sz w:val="18"/>
                <w:szCs w:val="18"/>
              </w:rPr>
              <w:t>3</w:t>
            </w:r>
            <w:r w:rsidRPr="001B015B">
              <w:rPr>
                <w:rFonts w:ascii="Arial" w:eastAsia="Calibri" w:hAnsi="Arial" w:cs="Arial"/>
                <w:b/>
                <w:bCs/>
                <w:color w:val="000000" w:themeColor="text1"/>
                <w:sz w:val="18"/>
                <w:szCs w:val="18"/>
              </w:rPr>
              <w:t>.</w:t>
            </w:r>
          </w:p>
        </w:tc>
        <w:tc>
          <w:tcPr>
            <w:tcW w:w="1036" w:type="dxa"/>
            <w:tcBorders>
              <w:top w:val="nil"/>
              <w:left w:val="nil"/>
              <w:bottom w:val="nil"/>
              <w:right w:val="nil"/>
            </w:tcBorders>
            <w:shd w:val="clear" w:color="auto" w:fill="auto"/>
            <w:vAlign w:val="center"/>
            <w:hideMark/>
          </w:tcPr>
          <w:p w14:paraId="6D6030DB" w14:textId="77777777" w:rsidR="006E48EE" w:rsidRPr="001B015B" w:rsidRDefault="006E48EE" w:rsidP="0034622E">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Stupanj 1</w:t>
            </w:r>
          </w:p>
        </w:tc>
        <w:tc>
          <w:tcPr>
            <w:tcW w:w="1030" w:type="dxa"/>
            <w:tcBorders>
              <w:top w:val="nil"/>
              <w:left w:val="nil"/>
              <w:bottom w:val="nil"/>
              <w:right w:val="nil"/>
            </w:tcBorders>
            <w:shd w:val="clear" w:color="auto" w:fill="auto"/>
            <w:vAlign w:val="center"/>
            <w:hideMark/>
          </w:tcPr>
          <w:p w14:paraId="1E3F37DF" w14:textId="77777777" w:rsidR="006E48EE" w:rsidRPr="001B015B" w:rsidRDefault="006E48EE" w:rsidP="0034622E">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Stupanj 2</w:t>
            </w:r>
          </w:p>
        </w:tc>
        <w:tc>
          <w:tcPr>
            <w:tcW w:w="1030" w:type="dxa"/>
            <w:tcBorders>
              <w:top w:val="nil"/>
              <w:left w:val="nil"/>
              <w:bottom w:val="nil"/>
              <w:right w:val="nil"/>
            </w:tcBorders>
            <w:shd w:val="clear" w:color="auto" w:fill="auto"/>
            <w:vAlign w:val="center"/>
            <w:hideMark/>
          </w:tcPr>
          <w:p w14:paraId="7A4F38A8" w14:textId="77777777" w:rsidR="006E48EE" w:rsidRPr="001B015B" w:rsidRDefault="006E48EE" w:rsidP="0034622E">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Stupanj 3</w:t>
            </w:r>
          </w:p>
        </w:tc>
        <w:tc>
          <w:tcPr>
            <w:tcW w:w="1026" w:type="dxa"/>
            <w:tcBorders>
              <w:top w:val="nil"/>
              <w:left w:val="nil"/>
              <w:bottom w:val="nil"/>
              <w:right w:val="nil"/>
            </w:tcBorders>
            <w:shd w:val="clear" w:color="auto" w:fill="auto"/>
            <w:vAlign w:val="center"/>
            <w:hideMark/>
          </w:tcPr>
          <w:p w14:paraId="4C3D6C48" w14:textId="77777777" w:rsidR="006E48EE" w:rsidRPr="001B015B" w:rsidRDefault="006E48EE" w:rsidP="0034622E">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POCI</w:t>
            </w:r>
          </w:p>
        </w:tc>
        <w:tc>
          <w:tcPr>
            <w:tcW w:w="1099" w:type="dxa"/>
            <w:tcBorders>
              <w:top w:val="nil"/>
              <w:left w:val="nil"/>
              <w:bottom w:val="nil"/>
              <w:right w:val="nil"/>
            </w:tcBorders>
            <w:shd w:val="clear" w:color="auto" w:fill="auto"/>
            <w:vAlign w:val="center"/>
            <w:hideMark/>
          </w:tcPr>
          <w:p w14:paraId="6B6FEBAF" w14:textId="77777777" w:rsidR="006E48EE" w:rsidRPr="001B015B" w:rsidRDefault="006E48EE" w:rsidP="0034622E">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Ukupno</w:t>
            </w:r>
          </w:p>
        </w:tc>
      </w:tr>
      <w:tr w:rsidR="006E48EE" w:rsidRPr="001B015B" w14:paraId="771EA4C4" w14:textId="77777777" w:rsidTr="0034622E">
        <w:trPr>
          <w:trHeight w:val="176"/>
        </w:trPr>
        <w:tc>
          <w:tcPr>
            <w:tcW w:w="4148" w:type="dxa"/>
            <w:tcBorders>
              <w:top w:val="nil"/>
              <w:left w:val="nil"/>
              <w:bottom w:val="nil"/>
              <w:right w:val="nil"/>
            </w:tcBorders>
            <w:shd w:val="clear" w:color="auto" w:fill="auto"/>
            <w:vAlign w:val="center"/>
            <w:hideMark/>
          </w:tcPr>
          <w:p w14:paraId="1634362F" w14:textId="77777777" w:rsidR="006E48EE" w:rsidRPr="001B015B" w:rsidRDefault="006E48EE" w:rsidP="0034622E">
            <w:pPr>
              <w:jc w:val="right"/>
              <w:rPr>
                <w:rFonts w:ascii="Arial" w:eastAsia="Calibri" w:hAnsi="Arial" w:cs="Arial"/>
                <w:b/>
                <w:bCs/>
                <w:color w:val="000000" w:themeColor="text1"/>
                <w:sz w:val="18"/>
                <w:szCs w:val="18"/>
              </w:rPr>
            </w:pPr>
          </w:p>
        </w:tc>
        <w:tc>
          <w:tcPr>
            <w:tcW w:w="1036" w:type="dxa"/>
            <w:tcBorders>
              <w:top w:val="nil"/>
              <w:left w:val="nil"/>
              <w:bottom w:val="nil"/>
              <w:right w:val="nil"/>
            </w:tcBorders>
            <w:shd w:val="clear" w:color="auto" w:fill="auto"/>
            <w:vAlign w:val="bottom"/>
            <w:hideMark/>
          </w:tcPr>
          <w:p w14:paraId="6C0F72F3" w14:textId="77777777" w:rsidR="006E48EE" w:rsidRPr="001B015B" w:rsidRDefault="006E48EE" w:rsidP="0034622E">
            <w:pPr>
              <w:jc w:val="right"/>
              <w:rPr>
                <w:rFonts w:ascii="Arial" w:eastAsia="Calibri" w:hAnsi="Arial" w:cs="Arial"/>
                <w:b/>
                <w:bCs/>
                <w:color w:val="000000" w:themeColor="text1"/>
                <w:sz w:val="18"/>
                <w:szCs w:val="18"/>
              </w:rPr>
            </w:pPr>
            <w:r w:rsidRPr="003759CC">
              <w:rPr>
                <w:rFonts w:ascii="Arial" w:eastAsia="Calibri" w:hAnsi="Arial" w:cs="Arial"/>
                <w:b/>
                <w:bCs/>
                <w:color w:val="000000" w:themeColor="text1"/>
                <w:sz w:val="18"/>
                <w:szCs w:val="18"/>
              </w:rPr>
              <w:t>000 eura</w:t>
            </w:r>
          </w:p>
        </w:tc>
        <w:tc>
          <w:tcPr>
            <w:tcW w:w="1030" w:type="dxa"/>
            <w:tcBorders>
              <w:top w:val="nil"/>
              <w:left w:val="nil"/>
              <w:bottom w:val="nil"/>
              <w:right w:val="nil"/>
            </w:tcBorders>
            <w:shd w:val="clear" w:color="auto" w:fill="auto"/>
            <w:vAlign w:val="bottom"/>
            <w:hideMark/>
          </w:tcPr>
          <w:p w14:paraId="27B9D83A" w14:textId="77777777" w:rsidR="006E48EE" w:rsidRPr="001B015B" w:rsidRDefault="006E48EE" w:rsidP="0034622E">
            <w:pPr>
              <w:jc w:val="right"/>
              <w:rPr>
                <w:rFonts w:ascii="Arial" w:eastAsia="Calibri" w:hAnsi="Arial" w:cs="Arial"/>
                <w:b/>
                <w:bCs/>
                <w:color w:val="000000" w:themeColor="text1"/>
                <w:sz w:val="18"/>
                <w:szCs w:val="18"/>
              </w:rPr>
            </w:pPr>
            <w:r w:rsidRPr="003759CC">
              <w:rPr>
                <w:rFonts w:ascii="Arial" w:eastAsia="Calibri" w:hAnsi="Arial" w:cs="Arial"/>
                <w:b/>
                <w:bCs/>
                <w:color w:val="000000" w:themeColor="text1"/>
                <w:sz w:val="18"/>
                <w:szCs w:val="18"/>
              </w:rPr>
              <w:t>000 eura</w:t>
            </w:r>
          </w:p>
        </w:tc>
        <w:tc>
          <w:tcPr>
            <w:tcW w:w="1030" w:type="dxa"/>
            <w:tcBorders>
              <w:top w:val="nil"/>
              <w:left w:val="nil"/>
              <w:bottom w:val="nil"/>
              <w:right w:val="nil"/>
            </w:tcBorders>
            <w:shd w:val="clear" w:color="auto" w:fill="auto"/>
            <w:vAlign w:val="bottom"/>
            <w:hideMark/>
          </w:tcPr>
          <w:p w14:paraId="1FA8FDF7" w14:textId="77777777" w:rsidR="006E48EE" w:rsidRPr="001B015B" w:rsidRDefault="006E48EE" w:rsidP="0034622E">
            <w:pPr>
              <w:jc w:val="right"/>
              <w:rPr>
                <w:rFonts w:ascii="Arial" w:eastAsia="Calibri" w:hAnsi="Arial" w:cs="Arial"/>
                <w:b/>
                <w:bCs/>
                <w:color w:val="000000" w:themeColor="text1"/>
                <w:sz w:val="18"/>
                <w:szCs w:val="18"/>
              </w:rPr>
            </w:pPr>
            <w:r w:rsidRPr="003759CC">
              <w:rPr>
                <w:rFonts w:ascii="Arial" w:eastAsia="Calibri" w:hAnsi="Arial" w:cs="Arial"/>
                <w:b/>
                <w:bCs/>
                <w:color w:val="000000" w:themeColor="text1"/>
                <w:sz w:val="18"/>
                <w:szCs w:val="18"/>
              </w:rPr>
              <w:t>000 eura</w:t>
            </w:r>
          </w:p>
        </w:tc>
        <w:tc>
          <w:tcPr>
            <w:tcW w:w="1026" w:type="dxa"/>
            <w:tcBorders>
              <w:top w:val="nil"/>
              <w:left w:val="nil"/>
              <w:bottom w:val="nil"/>
              <w:right w:val="nil"/>
            </w:tcBorders>
            <w:shd w:val="clear" w:color="auto" w:fill="auto"/>
            <w:vAlign w:val="bottom"/>
            <w:hideMark/>
          </w:tcPr>
          <w:p w14:paraId="3123BEDA" w14:textId="77777777" w:rsidR="006E48EE" w:rsidRPr="001B015B" w:rsidRDefault="006E48EE" w:rsidP="0034622E">
            <w:pPr>
              <w:jc w:val="right"/>
              <w:rPr>
                <w:rFonts w:ascii="Arial" w:eastAsia="Calibri" w:hAnsi="Arial" w:cs="Arial"/>
                <w:b/>
                <w:bCs/>
                <w:color w:val="000000" w:themeColor="text1"/>
                <w:sz w:val="18"/>
                <w:szCs w:val="18"/>
              </w:rPr>
            </w:pPr>
            <w:r w:rsidRPr="003759CC">
              <w:rPr>
                <w:rFonts w:ascii="Arial" w:eastAsia="Calibri" w:hAnsi="Arial" w:cs="Arial"/>
                <w:b/>
                <w:bCs/>
                <w:color w:val="000000" w:themeColor="text1"/>
                <w:sz w:val="18"/>
                <w:szCs w:val="18"/>
              </w:rPr>
              <w:t>000 eura</w:t>
            </w:r>
          </w:p>
        </w:tc>
        <w:tc>
          <w:tcPr>
            <w:tcW w:w="1099" w:type="dxa"/>
            <w:tcBorders>
              <w:top w:val="nil"/>
              <w:left w:val="nil"/>
              <w:bottom w:val="nil"/>
              <w:right w:val="nil"/>
            </w:tcBorders>
            <w:shd w:val="clear" w:color="auto" w:fill="auto"/>
            <w:vAlign w:val="bottom"/>
            <w:hideMark/>
          </w:tcPr>
          <w:p w14:paraId="435D8E08" w14:textId="77777777" w:rsidR="006E48EE" w:rsidRPr="001B015B" w:rsidRDefault="006E48EE" w:rsidP="0034622E">
            <w:pPr>
              <w:jc w:val="right"/>
              <w:rPr>
                <w:rFonts w:ascii="Arial" w:eastAsia="Calibri" w:hAnsi="Arial" w:cs="Arial"/>
                <w:b/>
                <w:bCs/>
                <w:color w:val="000000" w:themeColor="text1"/>
                <w:sz w:val="18"/>
                <w:szCs w:val="18"/>
              </w:rPr>
            </w:pPr>
            <w:r w:rsidRPr="003759CC">
              <w:rPr>
                <w:rFonts w:ascii="Arial" w:eastAsia="Calibri" w:hAnsi="Arial" w:cs="Arial"/>
                <w:b/>
                <w:bCs/>
                <w:color w:val="000000" w:themeColor="text1"/>
                <w:sz w:val="18"/>
                <w:szCs w:val="18"/>
              </w:rPr>
              <w:t>000 eura</w:t>
            </w:r>
          </w:p>
        </w:tc>
      </w:tr>
      <w:tr w:rsidR="006E48EE" w:rsidRPr="001B015B" w14:paraId="43DDAF25" w14:textId="77777777" w:rsidTr="0034622E">
        <w:trPr>
          <w:trHeight w:val="176"/>
        </w:trPr>
        <w:tc>
          <w:tcPr>
            <w:tcW w:w="4148" w:type="dxa"/>
            <w:tcBorders>
              <w:top w:val="nil"/>
              <w:left w:val="nil"/>
              <w:bottom w:val="nil"/>
              <w:right w:val="nil"/>
            </w:tcBorders>
            <w:shd w:val="clear" w:color="auto" w:fill="auto"/>
            <w:vAlign w:val="center"/>
          </w:tcPr>
          <w:p w14:paraId="6DA3E790" w14:textId="77777777" w:rsidR="006E48EE" w:rsidRPr="001B015B" w:rsidRDefault="006E48EE" w:rsidP="0034622E">
            <w:pPr>
              <w:jc w:val="right"/>
              <w:rPr>
                <w:rFonts w:ascii="Arial" w:eastAsia="Calibri" w:hAnsi="Arial" w:cs="Arial"/>
                <w:b/>
                <w:bCs/>
                <w:color w:val="000000" w:themeColor="text1"/>
                <w:sz w:val="18"/>
                <w:szCs w:val="18"/>
              </w:rPr>
            </w:pPr>
          </w:p>
        </w:tc>
        <w:tc>
          <w:tcPr>
            <w:tcW w:w="1036" w:type="dxa"/>
            <w:tcBorders>
              <w:top w:val="nil"/>
              <w:left w:val="nil"/>
              <w:bottom w:val="nil"/>
              <w:right w:val="nil"/>
            </w:tcBorders>
            <w:shd w:val="clear" w:color="auto" w:fill="auto"/>
            <w:vAlign w:val="center"/>
          </w:tcPr>
          <w:p w14:paraId="43F782F6" w14:textId="77777777" w:rsidR="006E48EE" w:rsidRPr="001B015B" w:rsidRDefault="006E48EE" w:rsidP="0034622E">
            <w:pPr>
              <w:jc w:val="right"/>
              <w:rPr>
                <w:rFonts w:ascii="Arial" w:eastAsia="Calibri" w:hAnsi="Arial" w:cs="Arial"/>
                <w:b/>
                <w:bCs/>
                <w:color w:val="000000" w:themeColor="text1"/>
                <w:sz w:val="18"/>
                <w:szCs w:val="18"/>
              </w:rPr>
            </w:pPr>
          </w:p>
        </w:tc>
        <w:tc>
          <w:tcPr>
            <w:tcW w:w="1030" w:type="dxa"/>
            <w:tcBorders>
              <w:top w:val="nil"/>
              <w:left w:val="nil"/>
              <w:bottom w:val="nil"/>
              <w:right w:val="nil"/>
            </w:tcBorders>
            <w:shd w:val="clear" w:color="auto" w:fill="auto"/>
            <w:vAlign w:val="center"/>
          </w:tcPr>
          <w:p w14:paraId="0967F6C1" w14:textId="77777777" w:rsidR="006E48EE" w:rsidRPr="001B015B" w:rsidRDefault="006E48EE" w:rsidP="0034622E">
            <w:pPr>
              <w:jc w:val="right"/>
              <w:rPr>
                <w:rFonts w:ascii="Arial" w:eastAsia="Calibri" w:hAnsi="Arial" w:cs="Arial"/>
                <w:b/>
                <w:bCs/>
                <w:color w:val="000000" w:themeColor="text1"/>
                <w:sz w:val="18"/>
                <w:szCs w:val="18"/>
              </w:rPr>
            </w:pPr>
          </w:p>
        </w:tc>
        <w:tc>
          <w:tcPr>
            <w:tcW w:w="1030" w:type="dxa"/>
            <w:tcBorders>
              <w:top w:val="nil"/>
              <w:left w:val="nil"/>
              <w:bottom w:val="nil"/>
              <w:right w:val="nil"/>
            </w:tcBorders>
            <w:shd w:val="clear" w:color="auto" w:fill="auto"/>
            <w:vAlign w:val="center"/>
          </w:tcPr>
          <w:p w14:paraId="7472065A" w14:textId="77777777" w:rsidR="006E48EE" w:rsidRPr="001B015B" w:rsidRDefault="006E48EE" w:rsidP="0034622E">
            <w:pPr>
              <w:jc w:val="right"/>
              <w:rPr>
                <w:rFonts w:ascii="Arial" w:eastAsia="Calibri" w:hAnsi="Arial" w:cs="Arial"/>
                <w:b/>
                <w:bCs/>
                <w:color w:val="000000" w:themeColor="text1"/>
                <w:sz w:val="18"/>
                <w:szCs w:val="18"/>
              </w:rPr>
            </w:pPr>
          </w:p>
        </w:tc>
        <w:tc>
          <w:tcPr>
            <w:tcW w:w="1026" w:type="dxa"/>
            <w:tcBorders>
              <w:top w:val="nil"/>
              <w:left w:val="nil"/>
              <w:bottom w:val="nil"/>
              <w:right w:val="nil"/>
            </w:tcBorders>
            <w:shd w:val="clear" w:color="auto" w:fill="auto"/>
            <w:vAlign w:val="center"/>
          </w:tcPr>
          <w:p w14:paraId="556AAC65" w14:textId="77777777" w:rsidR="006E48EE" w:rsidRPr="001B015B" w:rsidRDefault="006E48EE" w:rsidP="0034622E">
            <w:pPr>
              <w:jc w:val="right"/>
              <w:rPr>
                <w:rFonts w:ascii="Arial" w:eastAsia="Calibri" w:hAnsi="Arial" w:cs="Arial"/>
                <w:b/>
                <w:bCs/>
                <w:color w:val="000000" w:themeColor="text1"/>
                <w:sz w:val="18"/>
                <w:szCs w:val="18"/>
              </w:rPr>
            </w:pPr>
          </w:p>
        </w:tc>
        <w:tc>
          <w:tcPr>
            <w:tcW w:w="1099" w:type="dxa"/>
            <w:tcBorders>
              <w:top w:val="nil"/>
              <w:left w:val="nil"/>
              <w:bottom w:val="nil"/>
              <w:right w:val="nil"/>
            </w:tcBorders>
            <w:shd w:val="clear" w:color="auto" w:fill="auto"/>
            <w:vAlign w:val="center"/>
          </w:tcPr>
          <w:p w14:paraId="786488B6" w14:textId="77777777" w:rsidR="006E48EE" w:rsidRPr="001B015B" w:rsidRDefault="006E48EE" w:rsidP="0034622E">
            <w:pPr>
              <w:jc w:val="right"/>
              <w:rPr>
                <w:rFonts w:ascii="Arial" w:eastAsia="Calibri" w:hAnsi="Arial" w:cs="Arial"/>
                <w:b/>
                <w:bCs/>
                <w:color w:val="000000" w:themeColor="text1"/>
                <w:sz w:val="18"/>
                <w:szCs w:val="18"/>
              </w:rPr>
            </w:pPr>
          </w:p>
        </w:tc>
      </w:tr>
      <w:tr w:rsidR="006E48EE" w:rsidRPr="001B015B" w14:paraId="4EC0B6BF" w14:textId="77777777" w:rsidTr="0034622E">
        <w:trPr>
          <w:trHeight w:val="176"/>
        </w:trPr>
        <w:tc>
          <w:tcPr>
            <w:tcW w:w="4148" w:type="dxa"/>
            <w:tcBorders>
              <w:top w:val="nil"/>
              <w:left w:val="nil"/>
              <w:bottom w:val="nil"/>
              <w:right w:val="nil"/>
            </w:tcBorders>
            <w:shd w:val="clear" w:color="auto" w:fill="auto"/>
            <w:vAlign w:val="center"/>
            <w:hideMark/>
          </w:tcPr>
          <w:p w14:paraId="2A94F031" w14:textId="77777777" w:rsidR="006E48EE" w:rsidRPr="001B015B" w:rsidRDefault="006E48EE" w:rsidP="0034622E">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Stanje 1. siječnja 202</w:t>
            </w:r>
            <w:r>
              <w:rPr>
                <w:rFonts w:ascii="Arial" w:eastAsia="Calibri" w:hAnsi="Arial" w:cs="Arial"/>
                <w:color w:val="000000" w:themeColor="text1"/>
                <w:sz w:val="18"/>
                <w:szCs w:val="18"/>
              </w:rPr>
              <w:t>3</w:t>
            </w:r>
            <w:r w:rsidRPr="001B015B">
              <w:rPr>
                <w:rFonts w:ascii="Arial" w:eastAsia="Calibri" w:hAnsi="Arial" w:cs="Arial"/>
                <w:color w:val="000000" w:themeColor="text1"/>
                <w:sz w:val="18"/>
                <w:szCs w:val="18"/>
              </w:rPr>
              <w:t xml:space="preserve">. </w:t>
            </w:r>
          </w:p>
        </w:tc>
        <w:tc>
          <w:tcPr>
            <w:tcW w:w="1036" w:type="dxa"/>
            <w:shd w:val="clear" w:color="auto" w:fill="auto"/>
            <w:vAlign w:val="bottom"/>
          </w:tcPr>
          <w:p w14:paraId="2ECF41CC" w14:textId="77777777" w:rsidR="006E48EE" w:rsidRPr="00223DA1" w:rsidRDefault="006E48EE" w:rsidP="0034622E">
            <w:pPr>
              <w:jc w:val="right"/>
              <w:rPr>
                <w:rFonts w:ascii="Arial" w:hAnsi="Arial" w:cs="Arial"/>
                <w:sz w:val="18"/>
                <w:szCs w:val="18"/>
              </w:rPr>
            </w:pPr>
            <w:r w:rsidRPr="00F959D0">
              <w:rPr>
                <w:rFonts w:ascii="Arial" w:hAnsi="Arial" w:cs="Arial"/>
                <w:sz w:val="18"/>
                <w:szCs w:val="18"/>
              </w:rPr>
              <w:t xml:space="preserve"> 1.387 </w:t>
            </w:r>
          </w:p>
        </w:tc>
        <w:tc>
          <w:tcPr>
            <w:tcW w:w="1030" w:type="dxa"/>
            <w:shd w:val="clear" w:color="auto" w:fill="auto"/>
            <w:vAlign w:val="bottom"/>
          </w:tcPr>
          <w:p w14:paraId="601BF936" w14:textId="77777777" w:rsidR="006E48EE" w:rsidRPr="00223DA1" w:rsidRDefault="006E48EE" w:rsidP="0034622E">
            <w:pPr>
              <w:jc w:val="right"/>
              <w:rPr>
                <w:rFonts w:ascii="Arial" w:hAnsi="Arial" w:cs="Arial"/>
                <w:sz w:val="18"/>
                <w:szCs w:val="18"/>
              </w:rPr>
            </w:pPr>
            <w:r w:rsidRPr="00F959D0">
              <w:rPr>
                <w:rFonts w:ascii="Arial" w:hAnsi="Arial" w:cs="Arial"/>
                <w:sz w:val="18"/>
                <w:szCs w:val="18"/>
              </w:rPr>
              <w:t xml:space="preserve"> 1.670 </w:t>
            </w:r>
          </w:p>
        </w:tc>
        <w:tc>
          <w:tcPr>
            <w:tcW w:w="1030" w:type="dxa"/>
            <w:shd w:val="clear" w:color="auto" w:fill="auto"/>
            <w:vAlign w:val="bottom"/>
          </w:tcPr>
          <w:p w14:paraId="2C347F1C" w14:textId="77777777" w:rsidR="006E48EE" w:rsidRPr="00223DA1" w:rsidRDefault="006E48EE" w:rsidP="0034622E">
            <w:pPr>
              <w:jc w:val="right"/>
              <w:rPr>
                <w:rFonts w:ascii="Arial" w:hAnsi="Arial" w:cs="Arial"/>
                <w:sz w:val="18"/>
                <w:szCs w:val="18"/>
              </w:rPr>
            </w:pPr>
            <w:r w:rsidRPr="00F959D0">
              <w:rPr>
                <w:rFonts w:ascii="Arial" w:hAnsi="Arial" w:cs="Arial"/>
                <w:sz w:val="18"/>
                <w:szCs w:val="18"/>
              </w:rPr>
              <w:t xml:space="preserve"> 7.093 </w:t>
            </w:r>
          </w:p>
        </w:tc>
        <w:tc>
          <w:tcPr>
            <w:tcW w:w="1026" w:type="dxa"/>
            <w:shd w:val="clear" w:color="auto" w:fill="auto"/>
            <w:vAlign w:val="bottom"/>
          </w:tcPr>
          <w:p w14:paraId="74FD1DA0" w14:textId="77777777" w:rsidR="006E48EE" w:rsidRPr="00223DA1" w:rsidRDefault="006E48EE" w:rsidP="0034622E">
            <w:pPr>
              <w:jc w:val="right"/>
              <w:rPr>
                <w:rFonts w:ascii="Arial" w:hAnsi="Arial" w:cs="Arial"/>
                <w:sz w:val="18"/>
                <w:szCs w:val="18"/>
              </w:rPr>
            </w:pPr>
            <w:r w:rsidRPr="00F959D0">
              <w:rPr>
                <w:rFonts w:ascii="Arial" w:hAnsi="Arial" w:cs="Arial"/>
                <w:sz w:val="18"/>
                <w:szCs w:val="18"/>
              </w:rPr>
              <w:t xml:space="preserve"> 564 </w:t>
            </w:r>
          </w:p>
        </w:tc>
        <w:tc>
          <w:tcPr>
            <w:tcW w:w="1099" w:type="dxa"/>
            <w:shd w:val="clear" w:color="auto" w:fill="auto"/>
            <w:vAlign w:val="bottom"/>
          </w:tcPr>
          <w:p w14:paraId="2D6675C4" w14:textId="77777777" w:rsidR="006E48EE" w:rsidRPr="005D1219" w:rsidRDefault="006E48EE" w:rsidP="0034622E">
            <w:pPr>
              <w:jc w:val="right"/>
              <w:rPr>
                <w:rFonts w:ascii="Arial" w:hAnsi="Arial" w:cs="Arial"/>
                <w:b/>
                <w:bCs/>
                <w:sz w:val="18"/>
                <w:szCs w:val="18"/>
              </w:rPr>
            </w:pPr>
            <w:r w:rsidRPr="005D1219">
              <w:rPr>
                <w:rFonts w:ascii="Arial" w:hAnsi="Arial" w:cs="Arial"/>
                <w:b/>
                <w:bCs/>
                <w:sz w:val="18"/>
                <w:szCs w:val="18"/>
              </w:rPr>
              <w:t xml:space="preserve"> 10.714 </w:t>
            </w:r>
          </w:p>
        </w:tc>
      </w:tr>
      <w:tr w:rsidR="006E48EE" w:rsidRPr="001B015B" w14:paraId="2AF71CB1" w14:textId="77777777" w:rsidTr="0034622E">
        <w:trPr>
          <w:trHeight w:val="176"/>
        </w:trPr>
        <w:tc>
          <w:tcPr>
            <w:tcW w:w="4148" w:type="dxa"/>
            <w:shd w:val="clear" w:color="auto" w:fill="auto"/>
            <w:hideMark/>
          </w:tcPr>
          <w:p w14:paraId="522F8F5C" w14:textId="77777777" w:rsidR="006E48EE" w:rsidRPr="001B015B" w:rsidRDefault="006E48EE" w:rsidP="0034622E">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Prijenos u Stupanj 1</w:t>
            </w:r>
          </w:p>
        </w:tc>
        <w:tc>
          <w:tcPr>
            <w:tcW w:w="1036" w:type="dxa"/>
            <w:shd w:val="clear" w:color="auto" w:fill="auto"/>
            <w:vAlign w:val="bottom"/>
          </w:tcPr>
          <w:p w14:paraId="059B8B53" w14:textId="77777777" w:rsidR="006E48EE" w:rsidRPr="00223DA1" w:rsidRDefault="006E48EE" w:rsidP="0034622E">
            <w:pPr>
              <w:jc w:val="right"/>
              <w:rPr>
                <w:rFonts w:ascii="Arial" w:hAnsi="Arial" w:cs="Arial"/>
                <w:sz w:val="18"/>
                <w:szCs w:val="18"/>
              </w:rPr>
            </w:pPr>
            <w:r w:rsidRPr="00F959D0">
              <w:rPr>
                <w:rFonts w:ascii="Arial" w:hAnsi="Arial" w:cs="Arial"/>
                <w:sz w:val="18"/>
                <w:szCs w:val="18"/>
              </w:rPr>
              <w:t xml:space="preserve"> 274 </w:t>
            </w:r>
          </w:p>
        </w:tc>
        <w:tc>
          <w:tcPr>
            <w:tcW w:w="1030" w:type="dxa"/>
            <w:shd w:val="clear" w:color="auto" w:fill="auto"/>
            <w:vAlign w:val="bottom"/>
          </w:tcPr>
          <w:p w14:paraId="3B3CACE5" w14:textId="77777777" w:rsidR="006E48EE" w:rsidRPr="00223DA1" w:rsidRDefault="006E48EE" w:rsidP="0034622E">
            <w:pPr>
              <w:jc w:val="right"/>
              <w:rPr>
                <w:rFonts w:ascii="Arial" w:hAnsi="Arial" w:cs="Arial"/>
                <w:sz w:val="18"/>
                <w:szCs w:val="18"/>
              </w:rPr>
            </w:pPr>
            <w:r w:rsidRPr="00F959D0">
              <w:rPr>
                <w:rFonts w:ascii="Arial" w:hAnsi="Arial" w:cs="Arial"/>
                <w:sz w:val="18"/>
                <w:szCs w:val="18"/>
              </w:rPr>
              <w:t xml:space="preserve"> (274)</w:t>
            </w:r>
          </w:p>
        </w:tc>
        <w:tc>
          <w:tcPr>
            <w:tcW w:w="1030" w:type="dxa"/>
            <w:shd w:val="clear" w:color="auto" w:fill="auto"/>
            <w:vAlign w:val="bottom"/>
          </w:tcPr>
          <w:p w14:paraId="21C19A72" w14:textId="77777777" w:rsidR="006E48EE" w:rsidRPr="00223DA1" w:rsidRDefault="006E48EE" w:rsidP="0034622E">
            <w:pPr>
              <w:jc w:val="right"/>
              <w:rPr>
                <w:rFonts w:ascii="Arial" w:hAnsi="Arial" w:cs="Arial"/>
                <w:sz w:val="18"/>
                <w:szCs w:val="18"/>
              </w:rPr>
            </w:pPr>
            <w:r>
              <w:rPr>
                <w:rFonts w:ascii="Arial" w:hAnsi="Arial" w:cs="Arial"/>
                <w:sz w:val="18"/>
                <w:szCs w:val="18"/>
              </w:rPr>
              <w:t>-</w:t>
            </w:r>
          </w:p>
        </w:tc>
        <w:tc>
          <w:tcPr>
            <w:tcW w:w="1026" w:type="dxa"/>
            <w:shd w:val="clear" w:color="auto" w:fill="auto"/>
            <w:vAlign w:val="bottom"/>
          </w:tcPr>
          <w:p w14:paraId="1B4EC54F" w14:textId="77777777" w:rsidR="006E48EE" w:rsidRPr="00223DA1" w:rsidRDefault="006E48EE" w:rsidP="0034622E">
            <w:pPr>
              <w:jc w:val="right"/>
              <w:rPr>
                <w:rFonts w:ascii="Arial" w:hAnsi="Arial" w:cs="Arial"/>
                <w:sz w:val="18"/>
                <w:szCs w:val="18"/>
              </w:rPr>
            </w:pPr>
            <w:r>
              <w:rPr>
                <w:rFonts w:ascii="Arial" w:hAnsi="Arial" w:cs="Arial"/>
                <w:sz w:val="18"/>
                <w:szCs w:val="18"/>
              </w:rPr>
              <w:t>-</w:t>
            </w:r>
          </w:p>
        </w:tc>
        <w:tc>
          <w:tcPr>
            <w:tcW w:w="1099" w:type="dxa"/>
            <w:shd w:val="clear" w:color="auto" w:fill="auto"/>
            <w:vAlign w:val="bottom"/>
          </w:tcPr>
          <w:p w14:paraId="37F41C86" w14:textId="77777777" w:rsidR="006E48EE" w:rsidRPr="005D1219" w:rsidRDefault="006E48EE" w:rsidP="0034622E">
            <w:pPr>
              <w:jc w:val="right"/>
              <w:rPr>
                <w:rFonts w:ascii="Arial" w:hAnsi="Arial" w:cs="Arial"/>
                <w:b/>
                <w:bCs/>
                <w:sz w:val="18"/>
                <w:szCs w:val="18"/>
              </w:rPr>
            </w:pPr>
            <w:r w:rsidRPr="005D1219">
              <w:rPr>
                <w:rFonts w:ascii="Arial" w:hAnsi="Arial" w:cs="Arial"/>
                <w:b/>
                <w:bCs/>
                <w:sz w:val="18"/>
                <w:szCs w:val="18"/>
              </w:rPr>
              <w:t xml:space="preserve"> - </w:t>
            </w:r>
          </w:p>
        </w:tc>
      </w:tr>
      <w:tr w:rsidR="006E48EE" w:rsidRPr="001B015B" w14:paraId="31ADDBF5" w14:textId="77777777" w:rsidTr="0034622E">
        <w:trPr>
          <w:trHeight w:val="176"/>
        </w:trPr>
        <w:tc>
          <w:tcPr>
            <w:tcW w:w="4148" w:type="dxa"/>
            <w:shd w:val="clear" w:color="auto" w:fill="auto"/>
          </w:tcPr>
          <w:p w14:paraId="65148E3C" w14:textId="77777777" w:rsidR="006E48EE" w:rsidRPr="001B015B" w:rsidRDefault="006E48EE" w:rsidP="0034622E">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Prijenos u Stupanj 2</w:t>
            </w:r>
          </w:p>
        </w:tc>
        <w:tc>
          <w:tcPr>
            <w:tcW w:w="1036" w:type="dxa"/>
            <w:shd w:val="clear" w:color="auto" w:fill="auto"/>
            <w:vAlign w:val="bottom"/>
          </w:tcPr>
          <w:p w14:paraId="60A18F21" w14:textId="77777777" w:rsidR="006E48EE" w:rsidRPr="00223DA1" w:rsidRDefault="006E48EE" w:rsidP="0034622E">
            <w:pPr>
              <w:jc w:val="right"/>
              <w:rPr>
                <w:rFonts w:ascii="Arial" w:hAnsi="Arial" w:cs="Arial"/>
                <w:sz w:val="18"/>
                <w:szCs w:val="18"/>
              </w:rPr>
            </w:pPr>
            <w:r w:rsidRPr="00F959D0">
              <w:rPr>
                <w:rFonts w:ascii="Arial" w:hAnsi="Arial" w:cs="Arial"/>
                <w:sz w:val="18"/>
                <w:szCs w:val="18"/>
              </w:rPr>
              <w:t xml:space="preserve"> (67)</w:t>
            </w:r>
          </w:p>
        </w:tc>
        <w:tc>
          <w:tcPr>
            <w:tcW w:w="1030" w:type="dxa"/>
            <w:shd w:val="clear" w:color="auto" w:fill="auto"/>
            <w:vAlign w:val="bottom"/>
          </w:tcPr>
          <w:p w14:paraId="30FCBE14" w14:textId="77777777" w:rsidR="006E48EE" w:rsidRPr="00223DA1" w:rsidRDefault="006E48EE" w:rsidP="0034622E">
            <w:pPr>
              <w:jc w:val="right"/>
              <w:rPr>
                <w:rFonts w:ascii="Arial" w:hAnsi="Arial" w:cs="Arial"/>
                <w:sz w:val="18"/>
                <w:szCs w:val="18"/>
              </w:rPr>
            </w:pPr>
            <w:r w:rsidRPr="00F959D0">
              <w:rPr>
                <w:rFonts w:ascii="Arial" w:hAnsi="Arial" w:cs="Arial"/>
                <w:sz w:val="18"/>
                <w:szCs w:val="18"/>
              </w:rPr>
              <w:t xml:space="preserve"> 2.277 </w:t>
            </w:r>
          </w:p>
        </w:tc>
        <w:tc>
          <w:tcPr>
            <w:tcW w:w="1030" w:type="dxa"/>
            <w:shd w:val="clear" w:color="auto" w:fill="auto"/>
            <w:vAlign w:val="bottom"/>
          </w:tcPr>
          <w:p w14:paraId="6B14DDFA" w14:textId="77777777" w:rsidR="006E48EE" w:rsidRPr="00223DA1" w:rsidRDefault="006E48EE" w:rsidP="0034622E">
            <w:pPr>
              <w:jc w:val="right"/>
              <w:rPr>
                <w:rFonts w:ascii="Arial" w:hAnsi="Arial" w:cs="Arial"/>
                <w:sz w:val="18"/>
                <w:szCs w:val="18"/>
              </w:rPr>
            </w:pPr>
            <w:r w:rsidRPr="00F959D0">
              <w:rPr>
                <w:rFonts w:ascii="Arial" w:hAnsi="Arial" w:cs="Arial"/>
                <w:sz w:val="18"/>
                <w:szCs w:val="18"/>
              </w:rPr>
              <w:t xml:space="preserve"> (2.210)</w:t>
            </w:r>
          </w:p>
        </w:tc>
        <w:tc>
          <w:tcPr>
            <w:tcW w:w="1026" w:type="dxa"/>
            <w:shd w:val="clear" w:color="auto" w:fill="auto"/>
            <w:vAlign w:val="bottom"/>
          </w:tcPr>
          <w:p w14:paraId="1A94C26C" w14:textId="77777777" w:rsidR="006E48EE" w:rsidRPr="00223DA1" w:rsidRDefault="006E48EE" w:rsidP="0034622E">
            <w:pPr>
              <w:jc w:val="right"/>
              <w:rPr>
                <w:rFonts w:ascii="Arial" w:hAnsi="Arial" w:cs="Arial"/>
                <w:sz w:val="18"/>
                <w:szCs w:val="18"/>
              </w:rPr>
            </w:pPr>
            <w:r>
              <w:rPr>
                <w:rFonts w:ascii="Arial" w:hAnsi="Arial" w:cs="Arial"/>
                <w:sz w:val="18"/>
                <w:szCs w:val="18"/>
              </w:rPr>
              <w:t>-</w:t>
            </w:r>
          </w:p>
        </w:tc>
        <w:tc>
          <w:tcPr>
            <w:tcW w:w="1099" w:type="dxa"/>
            <w:shd w:val="clear" w:color="auto" w:fill="auto"/>
            <w:vAlign w:val="bottom"/>
          </w:tcPr>
          <w:p w14:paraId="57F373C9" w14:textId="77777777" w:rsidR="006E48EE" w:rsidRPr="005D1219" w:rsidRDefault="006E48EE" w:rsidP="0034622E">
            <w:pPr>
              <w:jc w:val="right"/>
              <w:rPr>
                <w:rFonts w:ascii="Arial" w:hAnsi="Arial" w:cs="Arial"/>
                <w:b/>
                <w:bCs/>
                <w:sz w:val="18"/>
                <w:szCs w:val="18"/>
              </w:rPr>
            </w:pPr>
            <w:r w:rsidRPr="005D1219">
              <w:rPr>
                <w:rFonts w:ascii="Arial" w:hAnsi="Arial" w:cs="Arial"/>
                <w:b/>
                <w:bCs/>
                <w:sz w:val="18"/>
                <w:szCs w:val="18"/>
              </w:rPr>
              <w:t xml:space="preserve"> - </w:t>
            </w:r>
          </w:p>
        </w:tc>
      </w:tr>
      <w:tr w:rsidR="006E48EE" w:rsidRPr="001B015B" w14:paraId="295C1C9E" w14:textId="77777777" w:rsidTr="0034622E">
        <w:trPr>
          <w:trHeight w:val="176"/>
        </w:trPr>
        <w:tc>
          <w:tcPr>
            <w:tcW w:w="4148" w:type="dxa"/>
            <w:shd w:val="clear" w:color="auto" w:fill="auto"/>
          </w:tcPr>
          <w:p w14:paraId="75DC1C18" w14:textId="77777777" w:rsidR="006E48EE" w:rsidRPr="001B015B" w:rsidRDefault="006E48EE" w:rsidP="0034622E">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Prijenos u Stupanj 3</w:t>
            </w:r>
          </w:p>
        </w:tc>
        <w:tc>
          <w:tcPr>
            <w:tcW w:w="1036" w:type="dxa"/>
            <w:shd w:val="clear" w:color="auto" w:fill="auto"/>
            <w:vAlign w:val="bottom"/>
          </w:tcPr>
          <w:p w14:paraId="182EB99C" w14:textId="77777777" w:rsidR="006E48EE" w:rsidRPr="00223DA1" w:rsidRDefault="006E48EE" w:rsidP="0034622E">
            <w:pPr>
              <w:jc w:val="right"/>
              <w:rPr>
                <w:rFonts w:ascii="Arial" w:hAnsi="Arial" w:cs="Arial"/>
                <w:sz w:val="18"/>
                <w:szCs w:val="18"/>
              </w:rPr>
            </w:pPr>
            <w:r>
              <w:rPr>
                <w:rFonts w:ascii="Arial" w:hAnsi="Arial" w:cs="Arial"/>
                <w:sz w:val="18"/>
                <w:szCs w:val="18"/>
              </w:rPr>
              <w:t>-</w:t>
            </w:r>
          </w:p>
        </w:tc>
        <w:tc>
          <w:tcPr>
            <w:tcW w:w="1030" w:type="dxa"/>
            <w:shd w:val="clear" w:color="auto" w:fill="auto"/>
            <w:vAlign w:val="bottom"/>
          </w:tcPr>
          <w:p w14:paraId="539356EF" w14:textId="77777777" w:rsidR="006E48EE" w:rsidRPr="00223DA1" w:rsidRDefault="006E48EE" w:rsidP="0034622E">
            <w:pPr>
              <w:jc w:val="right"/>
              <w:rPr>
                <w:rFonts w:ascii="Arial" w:hAnsi="Arial" w:cs="Arial"/>
                <w:sz w:val="18"/>
                <w:szCs w:val="18"/>
              </w:rPr>
            </w:pPr>
            <w:r>
              <w:rPr>
                <w:rFonts w:ascii="Arial" w:hAnsi="Arial" w:cs="Arial"/>
                <w:sz w:val="18"/>
                <w:szCs w:val="18"/>
              </w:rPr>
              <w:t>-</w:t>
            </w:r>
          </w:p>
        </w:tc>
        <w:tc>
          <w:tcPr>
            <w:tcW w:w="1030" w:type="dxa"/>
            <w:shd w:val="clear" w:color="auto" w:fill="auto"/>
            <w:vAlign w:val="bottom"/>
          </w:tcPr>
          <w:p w14:paraId="567AF0AE" w14:textId="77777777" w:rsidR="006E48EE" w:rsidRPr="00223DA1" w:rsidRDefault="006E48EE" w:rsidP="0034622E">
            <w:pPr>
              <w:jc w:val="right"/>
              <w:rPr>
                <w:rFonts w:ascii="Arial" w:hAnsi="Arial" w:cs="Arial"/>
                <w:sz w:val="18"/>
                <w:szCs w:val="18"/>
              </w:rPr>
            </w:pPr>
            <w:r>
              <w:rPr>
                <w:rFonts w:ascii="Arial" w:hAnsi="Arial" w:cs="Arial"/>
                <w:sz w:val="18"/>
                <w:szCs w:val="18"/>
              </w:rPr>
              <w:t>-</w:t>
            </w:r>
          </w:p>
        </w:tc>
        <w:tc>
          <w:tcPr>
            <w:tcW w:w="1026" w:type="dxa"/>
            <w:shd w:val="clear" w:color="auto" w:fill="auto"/>
            <w:vAlign w:val="bottom"/>
          </w:tcPr>
          <w:p w14:paraId="45702597" w14:textId="77777777" w:rsidR="006E48EE" w:rsidRPr="00223DA1" w:rsidRDefault="006E48EE" w:rsidP="0034622E">
            <w:pPr>
              <w:jc w:val="right"/>
              <w:rPr>
                <w:rFonts w:ascii="Arial" w:hAnsi="Arial" w:cs="Arial"/>
                <w:sz w:val="18"/>
                <w:szCs w:val="18"/>
              </w:rPr>
            </w:pPr>
            <w:r>
              <w:rPr>
                <w:rFonts w:ascii="Arial" w:hAnsi="Arial" w:cs="Arial"/>
                <w:sz w:val="18"/>
                <w:szCs w:val="18"/>
              </w:rPr>
              <w:t>-</w:t>
            </w:r>
          </w:p>
        </w:tc>
        <w:tc>
          <w:tcPr>
            <w:tcW w:w="1099" w:type="dxa"/>
            <w:shd w:val="clear" w:color="auto" w:fill="auto"/>
            <w:vAlign w:val="bottom"/>
          </w:tcPr>
          <w:p w14:paraId="7A5EFEA6" w14:textId="77777777" w:rsidR="006E48EE" w:rsidRPr="005D1219" w:rsidRDefault="006E48EE" w:rsidP="0034622E">
            <w:pPr>
              <w:jc w:val="right"/>
              <w:rPr>
                <w:rFonts w:ascii="Arial" w:hAnsi="Arial" w:cs="Arial"/>
                <w:b/>
                <w:bCs/>
                <w:sz w:val="18"/>
                <w:szCs w:val="18"/>
              </w:rPr>
            </w:pPr>
            <w:r w:rsidRPr="005D1219">
              <w:rPr>
                <w:rFonts w:ascii="Arial" w:hAnsi="Arial" w:cs="Arial"/>
                <w:b/>
                <w:bCs/>
                <w:sz w:val="18"/>
                <w:szCs w:val="18"/>
              </w:rPr>
              <w:t xml:space="preserve"> - </w:t>
            </w:r>
          </w:p>
        </w:tc>
      </w:tr>
      <w:tr w:rsidR="006E48EE" w:rsidRPr="001B015B" w14:paraId="08610A61" w14:textId="77777777" w:rsidTr="00893BA2">
        <w:trPr>
          <w:trHeight w:val="219"/>
        </w:trPr>
        <w:tc>
          <w:tcPr>
            <w:tcW w:w="4148" w:type="dxa"/>
            <w:tcBorders>
              <w:top w:val="nil"/>
              <w:left w:val="nil"/>
              <w:bottom w:val="nil"/>
              <w:right w:val="nil"/>
            </w:tcBorders>
            <w:shd w:val="clear" w:color="auto" w:fill="auto"/>
            <w:vAlign w:val="center"/>
            <w:hideMark/>
          </w:tcPr>
          <w:p w14:paraId="4DC2AC0B" w14:textId="5063EFDC" w:rsidR="006E48EE" w:rsidRPr="001B015B" w:rsidRDefault="006E48EE" w:rsidP="0034622E">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 xml:space="preserve">Neto </w:t>
            </w:r>
            <w:r w:rsidR="00455382">
              <w:rPr>
                <w:rFonts w:ascii="Arial" w:eastAsia="Calibri" w:hAnsi="Arial" w:cs="Arial"/>
                <w:color w:val="000000" w:themeColor="text1"/>
                <w:sz w:val="18"/>
                <w:szCs w:val="18"/>
              </w:rPr>
              <w:t>povećanje/</w:t>
            </w:r>
            <w:r w:rsidRPr="00223DA1">
              <w:rPr>
                <w:rFonts w:ascii="Arial" w:eastAsia="Calibri" w:hAnsi="Arial" w:cs="Arial"/>
                <w:color w:val="000000" w:themeColor="text1"/>
                <w:sz w:val="18"/>
                <w:szCs w:val="18"/>
              </w:rPr>
              <w:t>(smanjenje)</w:t>
            </w:r>
            <w:r w:rsidRPr="001B015B">
              <w:rPr>
                <w:rFonts w:ascii="Arial" w:eastAsia="Calibri" w:hAnsi="Arial" w:cs="Arial"/>
                <w:color w:val="000000" w:themeColor="text1"/>
                <w:sz w:val="18"/>
                <w:szCs w:val="18"/>
              </w:rPr>
              <w:t xml:space="preserve"> rezerviranja za očekivane gubitke </w:t>
            </w:r>
          </w:p>
        </w:tc>
        <w:tc>
          <w:tcPr>
            <w:tcW w:w="1036" w:type="dxa"/>
            <w:shd w:val="clear" w:color="auto" w:fill="auto"/>
            <w:vAlign w:val="bottom"/>
          </w:tcPr>
          <w:p w14:paraId="404F093F" w14:textId="77777777" w:rsidR="006E48EE" w:rsidRPr="00223DA1" w:rsidRDefault="006E48EE" w:rsidP="0034622E">
            <w:pPr>
              <w:jc w:val="right"/>
              <w:rPr>
                <w:rFonts w:ascii="Arial" w:hAnsi="Arial" w:cs="Arial"/>
                <w:sz w:val="18"/>
                <w:szCs w:val="18"/>
              </w:rPr>
            </w:pPr>
            <w:r w:rsidRPr="00F959D0">
              <w:rPr>
                <w:rFonts w:ascii="Arial" w:hAnsi="Arial" w:cs="Arial"/>
                <w:sz w:val="18"/>
                <w:szCs w:val="18"/>
              </w:rPr>
              <w:t xml:space="preserve"> 2.649 </w:t>
            </w:r>
          </w:p>
        </w:tc>
        <w:tc>
          <w:tcPr>
            <w:tcW w:w="1030" w:type="dxa"/>
            <w:shd w:val="clear" w:color="auto" w:fill="auto"/>
            <w:vAlign w:val="bottom"/>
          </w:tcPr>
          <w:p w14:paraId="33229B44" w14:textId="77777777" w:rsidR="006E48EE" w:rsidRPr="00223DA1" w:rsidRDefault="006E48EE" w:rsidP="0034622E">
            <w:pPr>
              <w:jc w:val="right"/>
              <w:rPr>
                <w:rFonts w:ascii="Arial" w:hAnsi="Arial" w:cs="Arial"/>
                <w:sz w:val="18"/>
                <w:szCs w:val="18"/>
              </w:rPr>
            </w:pPr>
            <w:r w:rsidRPr="00F959D0">
              <w:rPr>
                <w:rFonts w:ascii="Arial" w:hAnsi="Arial" w:cs="Arial"/>
                <w:sz w:val="18"/>
                <w:szCs w:val="18"/>
              </w:rPr>
              <w:t xml:space="preserve"> 1.679 </w:t>
            </w:r>
          </w:p>
        </w:tc>
        <w:tc>
          <w:tcPr>
            <w:tcW w:w="1030" w:type="dxa"/>
            <w:shd w:val="clear" w:color="auto" w:fill="auto"/>
            <w:vAlign w:val="bottom"/>
          </w:tcPr>
          <w:p w14:paraId="51AB5053" w14:textId="77777777" w:rsidR="006E48EE" w:rsidRPr="00223DA1" w:rsidRDefault="006E48EE" w:rsidP="0034622E">
            <w:pPr>
              <w:jc w:val="right"/>
              <w:rPr>
                <w:rFonts w:ascii="Arial" w:hAnsi="Arial" w:cs="Arial"/>
                <w:sz w:val="18"/>
                <w:szCs w:val="18"/>
              </w:rPr>
            </w:pPr>
            <w:r w:rsidRPr="00F959D0">
              <w:rPr>
                <w:rFonts w:ascii="Arial" w:hAnsi="Arial" w:cs="Arial"/>
                <w:sz w:val="18"/>
                <w:szCs w:val="18"/>
              </w:rPr>
              <w:t xml:space="preserve"> (309)</w:t>
            </w:r>
          </w:p>
        </w:tc>
        <w:tc>
          <w:tcPr>
            <w:tcW w:w="1026" w:type="dxa"/>
            <w:shd w:val="clear" w:color="auto" w:fill="auto"/>
            <w:vAlign w:val="bottom"/>
          </w:tcPr>
          <w:p w14:paraId="34356B13" w14:textId="77777777" w:rsidR="006E48EE" w:rsidRPr="00223DA1" w:rsidRDefault="006E48EE" w:rsidP="0034622E">
            <w:pPr>
              <w:jc w:val="right"/>
              <w:rPr>
                <w:rFonts w:ascii="Arial" w:hAnsi="Arial" w:cs="Arial"/>
                <w:sz w:val="18"/>
                <w:szCs w:val="18"/>
              </w:rPr>
            </w:pPr>
            <w:r w:rsidRPr="00F959D0">
              <w:rPr>
                <w:rFonts w:ascii="Arial" w:hAnsi="Arial" w:cs="Arial"/>
                <w:sz w:val="18"/>
                <w:szCs w:val="18"/>
              </w:rPr>
              <w:t xml:space="preserve"> (124)</w:t>
            </w:r>
          </w:p>
        </w:tc>
        <w:tc>
          <w:tcPr>
            <w:tcW w:w="1099" w:type="dxa"/>
            <w:shd w:val="clear" w:color="auto" w:fill="auto"/>
            <w:vAlign w:val="bottom"/>
          </w:tcPr>
          <w:p w14:paraId="00599977" w14:textId="77777777" w:rsidR="006E48EE" w:rsidRPr="005D1219" w:rsidRDefault="006E48EE" w:rsidP="0034622E">
            <w:pPr>
              <w:jc w:val="right"/>
              <w:rPr>
                <w:rFonts w:ascii="Arial" w:hAnsi="Arial" w:cs="Arial"/>
                <w:b/>
                <w:bCs/>
                <w:sz w:val="18"/>
                <w:szCs w:val="18"/>
              </w:rPr>
            </w:pPr>
            <w:r w:rsidRPr="005D1219">
              <w:rPr>
                <w:rFonts w:ascii="Arial" w:hAnsi="Arial" w:cs="Arial"/>
                <w:b/>
                <w:bCs/>
                <w:sz w:val="18"/>
                <w:szCs w:val="18"/>
              </w:rPr>
              <w:t xml:space="preserve"> 3.895 </w:t>
            </w:r>
          </w:p>
        </w:tc>
      </w:tr>
      <w:tr w:rsidR="006E48EE" w:rsidRPr="001B015B" w14:paraId="383FB2A7" w14:textId="77777777" w:rsidTr="00893BA2">
        <w:trPr>
          <w:trHeight w:val="184"/>
        </w:trPr>
        <w:tc>
          <w:tcPr>
            <w:tcW w:w="4148" w:type="dxa"/>
            <w:tcBorders>
              <w:top w:val="nil"/>
              <w:left w:val="nil"/>
              <w:bottom w:val="nil"/>
              <w:right w:val="nil"/>
            </w:tcBorders>
            <w:shd w:val="clear" w:color="auto" w:fill="auto"/>
            <w:vAlign w:val="center"/>
            <w:hideMark/>
          </w:tcPr>
          <w:p w14:paraId="0DD7DBCC" w14:textId="77777777" w:rsidR="006E48EE" w:rsidRPr="001B015B" w:rsidRDefault="006E48EE" w:rsidP="0034622E">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Neto dobit/gubitak od tečajnih razlika po rezerviranjima za očekivane gubitke</w:t>
            </w:r>
          </w:p>
        </w:tc>
        <w:tc>
          <w:tcPr>
            <w:tcW w:w="1036" w:type="dxa"/>
            <w:tcBorders>
              <w:top w:val="nil"/>
              <w:left w:val="nil"/>
              <w:bottom w:val="single" w:sz="4" w:space="0" w:color="auto"/>
              <w:right w:val="nil"/>
            </w:tcBorders>
            <w:shd w:val="clear" w:color="auto" w:fill="auto"/>
            <w:vAlign w:val="bottom"/>
          </w:tcPr>
          <w:p w14:paraId="2D17D793" w14:textId="77777777" w:rsidR="006E48EE" w:rsidRPr="00223DA1" w:rsidRDefault="006E48EE" w:rsidP="0034622E">
            <w:pPr>
              <w:jc w:val="right"/>
              <w:rPr>
                <w:rFonts w:ascii="Arial" w:hAnsi="Arial" w:cs="Arial"/>
                <w:sz w:val="18"/>
                <w:szCs w:val="18"/>
              </w:rPr>
            </w:pPr>
            <w:r>
              <w:rPr>
                <w:rFonts w:ascii="Arial" w:hAnsi="Arial" w:cs="Arial"/>
                <w:sz w:val="18"/>
                <w:szCs w:val="18"/>
              </w:rPr>
              <w:t>-</w:t>
            </w:r>
          </w:p>
        </w:tc>
        <w:tc>
          <w:tcPr>
            <w:tcW w:w="1030" w:type="dxa"/>
            <w:tcBorders>
              <w:top w:val="nil"/>
              <w:left w:val="nil"/>
              <w:bottom w:val="single" w:sz="4" w:space="0" w:color="auto"/>
              <w:right w:val="nil"/>
            </w:tcBorders>
            <w:shd w:val="clear" w:color="auto" w:fill="auto"/>
            <w:vAlign w:val="bottom"/>
          </w:tcPr>
          <w:p w14:paraId="06B5EF05" w14:textId="77777777" w:rsidR="006E48EE" w:rsidRPr="00223DA1" w:rsidRDefault="006E48EE" w:rsidP="0034622E">
            <w:pPr>
              <w:jc w:val="right"/>
              <w:rPr>
                <w:rFonts w:ascii="Arial" w:hAnsi="Arial" w:cs="Arial"/>
                <w:sz w:val="18"/>
                <w:szCs w:val="18"/>
              </w:rPr>
            </w:pPr>
            <w:r w:rsidRPr="00F959D0">
              <w:rPr>
                <w:rFonts w:ascii="Arial" w:hAnsi="Arial" w:cs="Arial"/>
                <w:sz w:val="18"/>
                <w:szCs w:val="18"/>
              </w:rPr>
              <w:t xml:space="preserve"> 28 </w:t>
            </w:r>
          </w:p>
        </w:tc>
        <w:tc>
          <w:tcPr>
            <w:tcW w:w="1030" w:type="dxa"/>
            <w:tcBorders>
              <w:top w:val="nil"/>
              <w:left w:val="nil"/>
              <w:bottom w:val="single" w:sz="4" w:space="0" w:color="auto"/>
              <w:right w:val="nil"/>
            </w:tcBorders>
            <w:shd w:val="clear" w:color="auto" w:fill="auto"/>
            <w:vAlign w:val="bottom"/>
          </w:tcPr>
          <w:p w14:paraId="0C9F4F06" w14:textId="77777777" w:rsidR="006E48EE" w:rsidRPr="00223DA1" w:rsidRDefault="006E48EE" w:rsidP="0034622E">
            <w:pPr>
              <w:jc w:val="right"/>
              <w:rPr>
                <w:rFonts w:ascii="Arial" w:hAnsi="Arial" w:cs="Arial"/>
                <w:sz w:val="18"/>
                <w:szCs w:val="18"/>
              </w:rPr>
            </w:pPr>
            <w:r>
              <w:rPr>
                <w:rFonts w:ascii="Arial" w:hAnsi="Arial" w:cs="Arial"/>
                <w:sz w:val="18"/>
                <w:szCs w:val="18"/>
              </w:rPr>
              <w:t>-</w:t>
            </w:r>
          </w:p>
        </w:tc>
        <w:tc>
          <w:tcPr>
            <w:tcW w:w="1026" w:type="dxa"/>
            <w:tcBorders>
              <w:top w:val="nil"/>
              <w:left w:val="nil"/>
              <w:bottom w:val="single" w:sz="4" w:space="0" w:color="auto"/>
              <w:right w:val="nil"/>
            </w:tcBorders>
            <w:shd w:val="clear" w:color="auto" w:fill="auto"/>
            <w:vAlign w:val="bottom"/>
          </w:tcPr>
          <w:p w14:paraId="56A75DDA" w14:textId="77777777" w:rsidR="006E48EE" w:rsidRPr="00223DA1" w:rsidRDefault="006E48EE" w:rsidP="0034622E">
            <w:pPr>
              <w:jc w:val="right"/>
              <w:rPr>
                <w:rFonts w:ascii="Arial" w:hAnsi="Arial" w:cs="Arial"/>
                <w:sz w:val="18"/>
                <w:szCs w:val="18"/>
              </w:rPr>
            </w:pPr>
            <w:r>
              <w:rPr>
                <w:rFonts w:ascii="Arial" w:hAnsi="Arial" w:cs="Arial"/>
                <w:sz w:val="18"/>
                <w:szCs w:val="18"/>
              </w:rPr>
              <w:t>-</w:t>
            </w:r>
          </w:p>
        </w:tc>
        <w:tc>
          <w:tcPr>
            <w:tcW w:w="1099" w:type="dxa"/>
            <w:tcBorders>
              <w:top w:val="nil"/>
              <w:left w:val="nil"/>
              <w:bottom w:val="single" w:sz="4" w:space="0" w:color="auto"/>
              <w:right w:val="nil"/>
            </w:tcBorders>
            <w:shd w:val="clear" w:color="auto" w:fill="auto"/>
            <w:vAlign w:val="bottom"/>
          </w:tcPr>
          <w:p w14:paraId="6DC84D05" w14:textId="77777777" w:rsidR="006E48EE" w:rsidRPr="005D1219" w:rsidRDefault="006E48EE" w:rsidP="0034622E">
            <w:pPr>
              <w:jc w:val="right"/>
              <w:rPr>
                <w:rFonts w:ascii="Arial" w:hAnsi="Arial" w:cs="Arial"/>
                <w:b/>
                <w:bCs/>
                <w:sz w:val="18"/>
                <w:szCs w:val="18"/>
              </w:rPr>
            </w:pPr>
            <w:r w:rsidRPr="005D1219">
              <w:rPr>
                <w:rFonts w:ascii="Arial" w:hAnsi="Arial" w:cs="Arial"/>
                <w:b/>
                <w:bCs/>
                <w:sz w:val="18"/>
                <w:szCs w:val="18"/>
              </w:rPr>
              <w:t xml:space="preserve"> 28 </w:t>
            </w:r>
          </w:p>
        </w:tc>
      </w:tr>
      <w:tr w:rsidR="006E48EE" w:rsidRPr="001B015B" w14:paraId="07F9AA67" w14:textId="77777777" w:rsidTr="00D84B42">
        <w:trPr>
          <w:trHeight w:val="261"/>
        </w:trPr>
        <w:tc>
          <w:tcPr>
            <w:tcW w:w="4148" w:type="dxa"/>
            <w:tcBorders>
              <w:top w:val="nil"/>
              <w:left w:val="nil"/>
              <w:bottom w:val="nil"/>
              <w:right w:val="nil"/>
            </w:tcBorders>
            <w:shd w:val="clear" w:color="auto" w:fill="auto"/>
            <w:vAlign w:val="bottom"/>
            <w:hideMark/>
          </w:tcPr>
          <w:p w14:paraId="7EB571A1" w14:textId="77777777" w:rsidR="006E48EE" w:rsidRPr="001B015B" w:rsidRDefault="006E48EE" w:rsidP="0034622E">
            <w:pPr>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Stanje 31. prosinca 202</w:t>
            </w:r>
            <w:r>
              <w:rPr>
                <w:rFonts w:ascii="Arial" w:eastAsia="Calibri" w:hAnsi="Arial" w:cs="Arial"/>
                <w:b/>
                <w:bCs/>
                <w:color w:val="000000" w:themeColor="text1"/>
                <w:sz w:val="18"/>
                <w:szCs w:val="18"/>
              </w:rPr>
              <w:t>3</w:t>
            </w:r>
            <w:r w:rsidRPr="001B015B">
              <w:rPr>
                <w:rFonts w:ascii="Arial" w:eastAsia="Calibri" w:hAnsi="Arial" w:cs="Arial"/>
                <w:b/>
                <w:bCs/>
                <w:color w:val="000000" w:themeColor="text1"/>
                <w:sz w:val="18"/>
                <w:szCs w:val="18"/>
              </w:rPr>
              <w:t>.</w:t>
            </w:r>
          </w:p>
        </w:tc>
        <w:tc>
          <w:tcPr>
            <w:tcW w:w="1036" w:type="dxa"/>
            <w:tcBorders>
              <w:top w:val="single" w:sz="4" w:space="0" w:color="auto"/>
              <w:left w:val="nil"/>
              <w:bottom w:val="single" w:sz="12" w:space="0" w:color="auto"/>
              <w:right w:val="nil"/>
            </w:tcBorders>
            <w:shd w:val="clear" w:color="auto" w:fill="auto"/>
            <w:vAlign w:val="bottom"/>
          </w:tcPr>
          <w:p w14:paraId="11D519D6" w14:textId="77777777" w:rsidR="006E48EE" w:rsidRPr="009F58CD" w:rsidRDefault="006E48EE" w:rsidP="0034622E">
            <w:pPr>
              <w:jc w:val="right"/>
              <w:rPr>
                <w:rFonts w:ascii="Arial" w:hAnsi="Arial" w:cs="Arial"/>
                <w:b/>
                <w:bCs/>
                <w:sz w:val="18"/>
                <w:szCs w:val="18"/>
              </w:rPr>
            </w:pPr>
            <w:r w:rsidRPr="00F959D0">
              <w:rPr>
                <w:rFonts w:ascii="Arial" w:hAnsi="Arial" w:cs="Arial"/>
                <w:b/>
                <w:bCs/>
                <w:sz w:val="18"/>
                <w:szCs w:val="18"/>
              </w:rPr>
              <w:t xml:space="preserve"> 4.243 </w:t>
            </w:r>
          </w:p>
        </w:tc>
        <w:tc>
          <w:tcPr>
            <w:tcW w:w="1030" w:type="dxa"/>
            <w:tcBorders>
              <w:top w:val="single" w:sz="4" w:space="0" w:color="auto"/>
              <w:left w:val="nil"/>
              <w:bottom w:val="single" w:sz="12" w:space="0" w:color="auto"/>
              <w:right w:val="nil"/>
            </w:tcBorders>
            <w:shd w:val="clear" w:color="auto" w:fill="auto"/>
            <w:vAlign w:val="bottom"/>
          </w:tcPr>
          <w:p w14:paraId="374CF365" w14:textId="77777777" w:rsidR="006E48EE" w:rsidRPr="009F58CD" w:rsidRDefault="006E48EE" w:rsidP="0034622E">
            <w:pPr>
              <w:jc w:val="right"/>
              <w:rPr>
                <w:rFonts w:ascii="Arial" w:hAnsi="Arial" w:cs="Arial"/>
                <w:b/>
                <w:bCs/>
                <w:sz w:val="18"/>
                <w:szCs w:val="18"/>
              </w:rPr>
            </w:pPr>
            <w:r w:rsidRPr="00F959D0">
              <w:rPr>
                <w:rFonts w:ascii="Arial" w:hAnsi="Arial" w:cs="Arial"/>
                <w:b/>
                <w:bCs/>
                <w:sz w:val="18"/>
                <w:szCs w:val="18"/>
              </w:rPr>
              <w:t xml:space="preserve"> 5.380 </w:t>
            </w:r>
          </w:p>
        </w:tc>
        <w:tc>
          <w:tcPr>
            <w:tcW w:w="1030" w:type="dxa"/>
            <w:tcBorders>
              <w:top w:val="single" w:sz="4" w:space="0" w:color="auto"/>
              <w:left w:val="nil"/>
              <w:bottom w:val="single" w:sz="12" w:space="0" w:color="auto"/>
              <w:right w:val="nil"/>
            </w:tcBorders>
            <w:shd w:val="clear" w:color="auto" w:fill="auto"/>
            <w:vAlign w:val="bottom"/>
          </w:tcPr>
          <w:p w14:paraId="1E223C91" w14:textId="77777777" w:rsidR="006E48EE" w:rsidRPr="009F58CD" w:rsidRDefault="006E48EE" w:rsidP="0034622E">
            <w:pPr>
              <w:jc w:val="right"/>
              <w:rPr>
                <w:rFonts w:ascii="Arial" w:hAnsi="Arial" w:cs="Arial"/>
                <w:b/>
                <w:bCs/>
                <w:sz w:val="18"/>
                <w:szCs w:val="18"/>
              </w:rPr>
            </w:pPr>
            <w:r w:rsidRPr="00F959D0">
              <w:rPr>
                <w:rFonts w:ascii="Arial" w:hAnsi="Arial" w:cs="Arial"/>
                <w:b/>
                <w:bCs/>
                <w:sz w:val="18"/>
                <w:szCs w:val="18"/>
              </w:rPr>
              <w:t xml:space="preserve"> 4.574 </w:t>
            </w:r>
          </w:p>
        </w:tc>
        <w:tc>
          <w:tcPr>
            <w:tcW w:w="1026" w:type="dxa"/>
            <w:tcBorders>
              <w:top w:val="single" w:sz="4" w:space="0" w:color="auto"/>
              <w:left w:val="nil"/>
              <w:bottom w:val="single" w:sz="12" w:space="0" w:color="auto"/>
              <w:right w:val="nil"/>
            </w:tcBorders>
            <w:shd w:val="clear" w:color="auto" w:fill="auto"/>
            <w:vAlign w:val="bottom"/>
          </w:tcPr>
          <w:p w14:paraId="227A361C" w14:textId="77777777" w:rsidR="006E48EE" w:rsidRPr="009F58CD" w:rsidRDefault="006E48EE" w:rsidP="0034622E">
            <w:pPr>
              <w:jc w:val="right"/>
              <w:rPr>
                <w:rFonts w:ascii="Arial" w:hAnsi="Arial" w:cs="Arial"/>
                <w:b/>
                <w:bCs/>
                <w:sz w:val="18"/>
                <w:szCs w:val="18"/>
              </w:rPr>
            </w:pPr>
            <w:r w:rsidRPr="00F959D0">
              <w:rPr>
                <w:rFonts w:ascii="Arial" w:hAnsi="Arial" w:cs="Arial"/>
                <w:b/>
                <w:bCs/>
                <w:sz w:val="18"/>
                <w:szCs w:val="18"/>
              </w:rPr>
              <w:t xml:space="preserve"> 440 </w:t>
            </w:r>
          </w:p>
        </w:tc>
        <w:tc>
          <w:tcPr>
            <w:tcW w:w="1099" w:type="dxa"/>
            <w:tcBorders>
              <w:top w:val="single" w:sz="4" w:space="0" w:color="auto"/>
              <w:left w:val="nil"/>
              <w:bottom w:val="single" w:sz="12" w:space="0" w:color="auto"/>
              <w:right w:val="nil"/>
            </w:tcBorders>
            <w:shd w:val="clear" w:color="auto" w:fill="auto"/>
            <w:vAlign w:val="bottom"/>
          </w:tcPr>
          <w:p w14:paraId="457A82D3" w14:textId="77777777" w:rsidR="006E48EE" w:rsidRPr="009F58CD" w:rsidRDefault="006E48EE" w:rsidP="0034622E">
            <w:pPr>
              <w:jc w:val="right"/>
              <w:rPr>
                <w:rFonts w:ascii="Arial" w:hAnsi="Arial" w:cs="Arial"/>
                <w:b/>
                <w:bCs/>
                <w:sz w:val="18"/>
                <w:szCs w:val="18"/>
              </w:rPr>
            </w:pPr>
            <w:r w:rsidRPr="00F959D0">
              <w:rPr>
                <w:rFonts w:ascii="Arial" w:hAnsi="Arial" w:cs="Arial"/>
                <w:b/>
                <w:bCs/>
                <w:sz w:val="18"/>
                <w:szCs w:val="18"/>
              </w:rPr>
              <w:t xml:space="preserve"> 14.637 </w:t>
            </w:r>
          </w:p>
        </w:tc>
      </w:tr>
    </w:tbl>
    <w:p w14:paraId="51F95FFD" w14:textId="61233FF6" w:rsidR="00A269B5" w:rsidRPr="003D1614" w:rsidRDefault="00A269B5" w:rsidP="001A0FCB">
      <w:pPr>
        <w:suppressAutoHyphens/>
        <w:autoSpaceDN w:val="0"/>
        <w:jc w:val="both"/>
        <w:rPr>
          <w:rFonts w:ascii="Arial" w:eastAsia="Times New Roman" w:hAnsi="Arial" w:cs="Arial"/>
          <w:color w:val="000000" w:themeColor="text1"/>
          <w:sz w:val="20"/>
          <w:szCs w:val="20"/>
        </w:rPr>
      </w:pPr>
    </w:p>
    <w:p w14:paraId="20599B7B" w14:textId="28AE92BB" w:rsidR="00A269B5" w:rsidRPr="003D1614" w:rsidRDefault="00A269B5" w:rsidP="001A0FCB">
      <w:pPr>
        <w:suppressAutoHyphens/>
        <w:autoSpaceDN w:val="0"/>
        <w:jc w:val="both"/>
        <w:rPr>
          <w:rFonts w:ascii="Arial" w:eastAsia="Times New Roman" w:hAnsi="Arial" w:cs="Arial"/>
          <w:color w:val="000000" w:themeColor="text1"/>
          <w:sz w:val="20"/>
          <w:szCs w:val="20"/>
        </w:rPr>
      </w:pPr>
    </w:p>
    <w:p w14:paraId="4626FA15" w14:textId="77777777" w:rsidR="00A269B5" w:rsidRPr="003D1614" w:rsidRDefault="00A269B5" w:rsidP="001A0FCB">
      <w:pPr>
        <w:suppressAutoHyphens/>
        <w:autoSpaceDN w:val="0"/>
        <w:jc w:val="both"/>
        <w:rPr>
          <w:rFonts w:ascii="Arial" w:eastAsia="Times New Roman" w:hAnsi="Arial" w:cs="Arial"/>
          <w:color w:val="000000" w:themeColor="text1"/>
          <w:sz w:val="20"/>
          <w:szCs w:val="20"/>
        </w:rPr>
        <w:sectPr w:rsidR="00A269B5" w:rsidRPr="003D1614" w:rsidSect="003278AB">
          <w:pgSz w:w="11906" w:h="16838"/>
          <w:pgMar w:top="1417" w:right="1417" w:bottom="1417" w:left="1417" w:header="708" w:footer="708" w:gutter="0"/>
          <w:cols w:space="708"/>
          <w:docGrid w:linePitch="360"/>
        </w:sectPr>
      </w:pPr>
    </w:p>
    <w:p w14:paraId="521B4567" w14:textId="77777777" w:rsidR="00661446" w:rsidRPr="003D1614" w:rsidRDefault="00661446" w:rsidP="00661446">
      <w:pPr>
        <w:keepNext/>
        <w:suppressAutoHyphens/>
        <w:autoSpaceDN w:val="0"/>
        <w:jc w:val="both"/>
        <w:outlineLvl w:val="0"/>
        <w:rPr>
          <w:rFonts w:ascii="Arial" w:eastAsia="Times New Roman" w:hAnsi="Arial" w:cs="Arial"/>
          <w:b/>
          <w:bCs/>
          <w:color w:val="000000" w:themeColor="text1"/>
          <w:sz w:val="20"/>
          <w:szCs w:val="20"/>
        </w:rPr>
      </w:pPr>
    </w:p>
    <w:p w14:paraId="7B4266FE" w14:textId="68F0F37F" w:rsidR="00661446" w:rsidRPr="003D1614" w:rsidRDefault="00661446" w:rsidP="00661446">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3D7611AA" w14:textId="77777777" w:rsidR="00661446" w:rsidRPr="003D1614" w:rsidRDefault="00661446" w:rsidP="00661446">
      <w:pPr>
        <w:keepNext/>
        <w:suppressAutoHyphens/>
        <w:autoSpaceDN w:val="0"/>
        <w:jc w:val="both"/>
        <w:outlineLvl w:val="0"/>
        <w:rPr>
          <w:rFonts w:ascii="Arial" w:eastAsia="Times New Roman" w:hAnsi="Arial" w:cs="Arial"/>
          <w:b/>
          <w:bCs/>
          <w:color w:val="000000" w:themeColor="text1"/>
          <w:sz w:val="20"/>
          <w:szCs w:val="20"/>
        </w:rPr>
      </w:pPr>
    </w:p>
    <w:p w14:paraId="7590761B" w14:textId="66FA08C4" w:rsidR="00661446" w:rsidRPr="003D1614" w:rsidRDefault="00661446" w:rsidP="00661446">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00C55B0C">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 xml:space="preserve">4. </w:t>
      </w:r>
      <w:r w:rsidRPr="003D1614">
        <w:rPr>
          <w:rFonts w:ascii="Arial" w:eastAsia="Times New Roman" w:hAnsi="Arial" w:cs="Arial"/>
          <w:b/>
          <w:bCs/>
          <w:color w:val="000000" w:themeColor="text1"/>
          <w:sz w:val="20"/>
          <w:szCs w:val="20"/>
        </w:rPr>
        <w:tab/>
        <w:t xml:space="preserve">Rizik likvidnosti </w:t>
      </w:r>
    </w:p>
    <w:p w14:paraId="420FD15C" w14:textId="77777777" w:rsidR="00661446" w:rsidRPr="003D1614" w:rsidRDefault="00661446" w:rsidP="00661446">
      <w:pPr>
        <w:tabs>
          <w:tab w:val="left" w:pos="-720"/>
        </w:tabs>
        <w:suppressAutoHyphens/>
        <w:autoSpaceDN w:val="0"/>
        <w:jc w:val="both"/>
        <w:rPr>
          <w:rFonts w:ascii="Arial" w:eastAsia="Times New Roman" w:hAnsi="Arial" w:cs="Arial"/>
          <w:color w:val="000000" w:themeColor="text1"/>
          <w:sz w:val="20"/>
          <w:szCs w:val="20"/>
        </w:rPr>
      </w:pPr>
    </w:p>
    <w:p w14:paraId="73DF9175" w14:textId="0F947E96" w:rsidR="00661446" w:rsidRPr="003D1614" w:rsidRDefault="00661446" w:rsidP="00661446">
      <w:pPr>
        <w:tabs>
          <w:tab w:val="left" w:pos="-720"/>
        </w:tabs>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Iznos ukupne imovine, ukupnih obveza i garancija i preuzetih obveza na dan </w:t>
      </w:r>
      <w:r w:rsidR="00CF5FC2" w:rsidRPr="00CF5FC2">
        <w:rPr>
          <w:rFonts w:ascii="Arial" w:eastAsia="Times New Roman" w:hAnsi="Arial" w:cs="Arial"/>
          <w:color w:val="000000" w:themeColor="text1"/>
          <w:sz w:val="20"/>
          <w:szCs w:val="20"/>
        </w:rPr>
        <w:t xml:space="preserve">30. </w:t>
      </w:r>
      <w:r w:rsidR="008C3F47">
        <w:rPr>
          <w:rFonts w:ascii="Arial" w:eastAsia="Times New Roman" w:hAnsi="Arial" w:cs="Arial"/>
          <w:color w:val="000000" w:themeColor="text1"/>
          <w:sz w:val="20"/>
          <w:szCs w:val="20"/>
        </w:rPr>
        <w:t>rujna</w:t>
      </w:r>
      <w:r w:rsidR="00CF5FC2" w:rsidRPr="00CF5FC2">
        <w:rPr>
          <w:rFonts w:ascii="Arial" w:eastAsia="Times New Roman" w:hAnsi="Arial" w:cs="Arial"/>
          <w:color w:val="000000" w:themeColor="text1"/>
          <w:sz w:val="20"/>
          <w:szCs w:val="20"/>
        </w:rPr>
        <w:t xml:space="preserve"> </w:t>
      </w:r>
      <w:r w:rsidRPr="003D1614">
        <w:rPr>
          <w:rFonts w:ascii="Arial" w:eastAsia="Times New Roman" w:hAnsi="Arial" w:cs="Arial"/>
          <w:color w:val="000000" w:themeColor="text1"/>
          <w:sz w:val="20"/>
          <w:szCs w:val="20"/>
        </w:rPr>
        <w:t>202</w:t>
      </w:r>
      <w:r w:rsidR="006E48EE">
        <w:rPr>
          <w:rFonts w:ascii="Arial" w:eastAsia="Times New Roman" w:hAnsi="Arial" w:cs="Arial"/>
          <w:color w:val="000000" w:themeColor="text1"/>
          <w:sz w:val="20"/>
          <w:szCs w:val="20"/>
        </w:rPr>
        <w:t>4</w:t>
      </w:r>
      <w:r w:rsidRPr="003D1614">
        <w:rPr>
          <w:rFonts w:ascii="Arial" w:eastAsia="Times New Roman" w:hAnsi="Arial" w:cs="Arial"/>
          <w:color w:val="000000" w:themeColor="text1"/>
          <w:sz w:val="20"/>
          <w:szCs w:val="20"/>
        </w:rPr>
        <w:t>. i 31. prosinca 202</w:t>
      </w:r>
      <w:r w:rsidR="006E48EE">
        <w:rPr>
          <w:rFonts w:ascii="Arial" w:eastAsia="Times New Roman" w:hAnsi="Arial" w:cs="Arial"/>
          <w:color w:val="000000" w:themeColor="text1"/>
          <w:sz w:val="20"/>
          <w:szCs w:val="20"/>
        </w:rPr>
        <w:t>3</w:t>
      </w:r>
      <w:r w:rsidRPr="003D1614">
        <w:rPr>
          <w:rFonts w:ascii="Arial" w:eastAsia="Times New Roman" w:hAnsi="Arial" w:cs="Arial"/>
          <w:color w:val="000000" w:themeColor="text1"/>
          <w:sz w:val="20"/>
          <w:szCs w:val="20"/>
        </w:rPr>
        <w:t>. analiziran je kroz preostalo razdoblje od dana Izvještaja o financijskom položaju u odnosu na ugovoreni datum dospijeća kako slijedi:</w:t>
      </w:r>
    </w:p>
    <w:p w14:paraId="62DC29F1" w14:textId="77777777" w:rsidR="00661446" w:rsidRPr="003D1614" w:rsidRDefault="00661446" w:rsidP="00661446">
      <w:pPr>
        <w:tabs>
          <w:tab w:val="left" w:pos="-720"/>
        </w:tabs>
        <w:suppressAutoHyphens/>
        <w:autoSpaceDN w:val="0"/>
        <w:jc w:val="both"/>
        <w:rPr>
          <w:rFonts w:ascii="Arial" w:eastAsia="Times New Roman" w:hAnsi="Arial" w:cs="Arial"/>
          <w:color w:val="000000" w:themeColor="text1"/>
          <w:sz w:val="20"/>
          <w:szCs w:val="20"/>
        </w:rPr>
      </w:pPr>
    </w:p>
    <w:tbl>
      <w:tblPr>
        <w:tblW w:w="5106" w:type="pct"/>
        <w:tblInd w:w="-142" w:type="dxa"/>
        <w:tblLayout w:type="fixed"/>
        <w:tblCellMar>
          <w:left w:w="120" w:type="dxa"/>
          <w:right w:w="120" w:type="dxa"/>
        </w:tblCellMar>
        <w:tblLook w:val="0000" w:firstRow="0" w:lastRow="0" w:firstColumn="0" w:lastColumn="0" w:noHBand="0" w:noVBand="0"/>
      </w:tblPr>
      <w:tblGrid>
        <w:gridCol w:w="3041"/>
        <w:gridCol w:w="1014"/>
        <w:gridCol w:w="989"/>
        <w:gridCol w:w="978"/>
        <w:gridCol w:w="997"/>
        <w:gridCol w:w="1154"/>
        <w:gridCol w:w="1091"/>
      </w:tblGrid>
      <w:tr w:rsidR="00E159D9" w:rsidRPr="00E632E3" w14:paraId="2AF87542" w14:textId="77777777" w:rsidTr="004378AC">
        <w:trPr>
          <w:trHeight w:val="459"/>
        </w:trPr>
        <w:tc>
          <w:tcPr>
            <w:tcW w:w="1641" w:type="pct"/>
            <w:vAlign w:val="bottom"/>
          </w:tcPr>
          <w:p w14:paraId="0A65A2F6" w14:textId="77777777" w:rsidR="00E159D9" w:rsidRPr="00E632E3" w:rsidRDefault="00E159D9" w:rsidP="004378AC">
            <w:pPr>
              <w:tabs>
                <w:tab w:val="right" w:pos="1202"/>
              </w:tabs>
              <w:suppressAutoHyphens/>
              <w:autoSpaceDN w:val="0"/>
              <w:spacing w:line="220" w:lineRule="exact"/>
              <w:outlineLvl w:val="0"/>
              <w:rPr>
                <w:rFonts w:ascii="Arial" w:eastAsia="Times New Roman" w:hAnsi="Arial" w:cs="Arial"/>
                <w:b/>
                <w:color w:val="000000" w:themeColor="text1"/>
                <w:sz w:val="17"/>
                <w:szCs w:val="17"/>
              </w:rPr>
            </w:pPr>
            <w:bookmarkStart w:id="751" w:name="_Toc67330068"/>
            <w:r w:rsidRPr="00E632E3">
              <w:rPr>
                <w:rFonts w:ascii="Arial" w:eastAsia="Times New Roman" w:hAnsi="Arial" w:cs="Arial"/>
                <w:b/>
                <w:color w:val="000000" w:themeColor="text1"/>
                <w:sz w:val="17"/>
                <w:szCs w:val="17"/>
              </w:rPr>
              <w:t>Grupa</w:t>
            </w:r>
            <w:bookmarkEnd w:id="751"/>
          </w:p>
          <w:p w14:paraId="78295EED" w14:textId="77777777" w:rsidR="00E159D9" w:rsidRPr="00E632E3" w:rsidRDefault="00E159D9" w:rsidP="004378AC">
            <w:pPr>
              <w:tabs>
                <w:tab w:val="right" w:pos="1202"/>
              </w:tabs>
              <w:suppressAutoHyphens/>
              <w:autoSpaceDN w:val="0"/>
              <w:spacing w:line="220" w:lineRule="exact"/>
              <w:outlineLvl w:val="0"/>
              <w:rPr>
                <w:rFonts w:ascii="Arial" w:eastAsia="Times New Roman" w:hAnsi="Arial" w:cs="Arial"/>
                <w:b/>
                <w:color w:val="000000" w:themeColor="text1"/>
                <w:sz w:val="17"/>
                <w:szCs w:val="17"/>
              </w:rPr>
            </w:pPr>
            <w:r w:rsidRPr="00881155">
              <w:rPr>
                <w:rFonts w:ascii="Arial" w:eastAsia="Times New Roman" w:hAnsi="Arial" w:cs="Arial"/>
                <w:b/>
                <w:color w:val="000000" w:themeColor="text1"/>
                <w:sz w:val="17"/>
                <w:szCs w:val="17"/>
              </w:rPr>
              <w:t>30. rujna 202</w:t>
            </w:r>
            <w:r>
              <w:rPr>
                <w:rFonts w:ascii="Arial" w:eastAsia="Times New Roman" w:hAnsi="Arial" w:cs="Arial"/>
                <w:b/>
                <w:color w:val="000000" w:themeColor="text1"/>
                <w:sz w:val="17"/>
                <w:szCs w:val="17"/>
              </w:rPr>
              <w:t>4</w:t>
            </w:r>
            <w:r w:rsidRPr="00881155">
              <w:rPr>
                <w:rFonts w:ascii="Arial" w:eastAsia="Times New Roman" w:hAnsi="Arial" w:cs="Arial"/>
                <w:b/>
                <w:color w:val="000000" w:themeColor="text1"/>
                <w:sz w:val="17"/>
                <w:szCs w:val="17"/>
              </w:rPr>
              <w:t>.</w:t>
            </w:r>
          </w:p>
        </w:tc>
        <w:tc>
          <w:tcPr>
            <w:tcW w:w="547" w:type="pct"/>
            <w:vAlign w:val="bottom"/>
          </w:tcPr>
          <w:p w14:paraId="662BA6B4" w14:textId="77777777" w:rsidR="00E159D9" w:rsidRPr="00E632E3" w:rsidRDefault="00E159D9" w:rsidP="004378AC">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bookmarkStart w:id="752" w:name="_Toc67330070"/>
            <w:r w:rsidRPr="00E632E3">
              <w:rPr>
                <w:rFonts w:ascii="Arial" w:eastAsia="Times New Roman" w:hAnsi="Arial" w:cs="Arial"/>
                <w:b/>
                <w:color w:val="000000" w:themeColor="text1"/>
                <w:sz w:val="17"/>
                <w:szCs w:val="17"/>
              </w:rPr>
              <w:t>Do 1 mjesec</w:t>
            </w:r>
            <w:bookmarkEnd w:id="752"/>
          </w:p>
        </w:tc>
        <w:tc>
          <w:tcPr>
            <w:tcW w:w="534" w:type="pct"/>
            <w:vAlign w:val="bottom"/>
          </w:tcPr>
          <w:p w14:paraId="33A723EE" w14:textId="77777777" w:rsidR="00E159D9" w:rsidRPr="00E632E3" w:rsidRDefault="00E159D9" w:rsidP="004378AC">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bookmarkStart w:id="753" w:name="_Toc67330071"/>
            <w:r w:rsidRPr="00E632E3">
              <w:rPr>
                <w:rFonts w:ascii="Arial" w:eastAsia="Times New Roman" w:hAnsi="Arial" w:cs="Arial"/>
                <w:b/>
                <w:color w:val="000000" w:themeColor="text1"/>
                <w:sz w:val="17"/>
                <w:szCs w:val="17"/>
              </w:rPr>
              <w:t>1 do 3 mjeseca</w:t>
            </w:r>
            <w:bookmarkEnd w:id="753"/>
          </w:p>
        </w:tc>
        <w:tc>
          <w:tcPr>
            <w:tcW w:w="528" w:type="pct"/>
            <w:vAlign w:val="bottom"/>
          </w:tcPr>
          <w:p w14:paraId="2E1A2173" w14:textId="77777777" w:rsidR="00E159D9" w:rsidRPr="00E632E3" w:rsidRDefault="00E159D9" w:rsidP="004378AC">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bookmarkStart w:id="754" w:name="_Toc67330072"/>
            <w:r w:rsidRPr="00E632E3">
              <w:rPr>
                <w:rFonts w:ascii="Arial" w:eastAsia="Times New Roman" w:hAnsi="Arial" w:cs="Arial"/>
                <w:b/>
                <w:color w:val="000000" w:themeColor="text1"/>
                <w:sz w:val="17"/>
                <w:szCs w:val="17"/>
              </w:rPr>
              <w:t>3 mj. do 1 godine</w:t>
            </w:r>
            <w:bookmarkEnd w:id="754"/>
          </w:p>
        </w:tc>
        <w:tc>
          <w:tcPr>
            <w:tcW w:w="538" w:type="pct"/>
            <w:vAlign w:val="bottom"/>
          </w:tcPr>
          <w:p w14:paraId="3B821743" w14:textId="77777777" w:rsidR="00E159D9" w:rsidRPr="00E632E3" w:rsidRDefault="00E159D9" w:rsidP="004378AC">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bookmarkStart w:id="755" w:name="_Toc67330073"/>
            <w:r w:rsidRPr="00E632E3">
              <w:rPr>
                <w:rFonts w:ascii="Arial" w:eastAsia="Times New Roman" w:hAnsi="Arial" w:cs="Arial"/>
                <w:b/>
                <w:color w:val="000000" w:themeColor="text1"/>
                <w:sz w:val="17"/>
                <w:szCs w:val="17"/>
              </w:rPr>
              <w:t>1 do 3 godina</w:t>
            </w:r>
            <w:bookmarkEnd w:id="755"/>
          </w:p>
        </w:tc>
        <w:tc>
          <w:tcPr>
            <w:tcW w:w="623" w:type="pct"/>
            <w:vAlign w:val="bottom"/>
          </w:tcPr>
          <w:p w14:paraId="08C3410E" w14:textId="77777777" w:rsidR="00E159D9" w:rsidRPr="00E632E3" w:rsidRDefault="00E159D9" w:rsidP="004378AC">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bookmarkStart w:id="756" w:name="_Toc67330074"/>
            <w:r w:rsidRPr="00E632E3">
              <w:rPr>
                <w:rFonts w:ascii="Arial" w:eastAsia="Times New Roman" w:hAnsi="Arial" w:cs="Arial"/>
                <w:b/>
                <w:color w:val="000000" w:themeColor="text1"/>
                <w:sz w:val="17"/>
                <w:szCs w:val="17"/>
              </w:rPr>
              <w:t>Preko 3 godine</w:t>
            </w:r>
            <w:bookmarkEnd w:id="756"/>
          </w:p>
        </w:tc>
        <w:tc>
          <w:tcPr>
            <w:tcW w:w="589" w:type="pct"/>
          </w:tcPr>
          <w:p w14:paraId="45A37626" w14:textId="77777777" w:rsidR="00E159D9" w:rsidRPr="00E632E3" w:rsidRDefault="00E159D9" w:rsidP="004378AC">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bookmarkStart w:id="757" w:name="_Toc67330075"/>
            <w:r w:rsidRPr="00E632E3">
              <w:rPr>
                <w:rFonts w:ascii="Arial" w:eastAsia="Times New Roman" w:hAnsi="Arial" w:cs="Arial"/>
                <w:b/>
                <w:color w:val="000000" w:themeColor="text1"/>
                <w:sz w:val="17"/>
                <w:szCs w:val="17"/>
              </w:rPr>
              <w:t>Ukupno</w:t>
            </w:r>
            <w:bookmarkEnd w:id="757"/>
          </w:p>
        </w:tc>
      </w:tr>
      <w:tr w:rsidR="00E159D9" w:rsidRPr="00E632E3" w14:paraId="03048FDC" w14:textId="77777777" w:rsidTr="004378AC">
        <w:trPr>
          <w:trHeight w:val="161"/>
        </w:trPr>
        <w:tc>
          <w:tcPr>
            <w:tcW w:w="1641" w:type="pct"/>
            <w:vAlign w:val="bottom"/>
          </w:tcPr>
          <w:p w14:paraId="18B73C92" w14:textId="77777777" w:rsidR="00E159D9" w:rsidRPr="00E632E3" w:rsidRDefault="00E159D9" w:rsidP="004378AC">
            <w:pPr>
              <w:tabs>
                <w:tab w:val="left" w:pos="-720"/>
              </w:tabs>
              <w:suppressAutoHyphens/>
              <w:autoSpaceDN w:val="0"/>
              <w:jc w:val="center"/>
              <w:rPr>
                <w:rFonts w:ascii="Arial" w:eastAsia="Times New Roman" w:hAnsi="Arial" w:cs="Arial"/>
                <w:b/>
                <w:color w:val="000000" w:themeColor="text1"/>
                <w:spacing w:val="-2"/>
                <w:sz w:val="17"/>
                <w:szCs w:val="17"/>
              </w:rPr>
            </w:pPr>
          </w:p>
        </w:tc>
        <w:tc>
          <w:tcPr>
            <w:tcW w:w="547" w:type="pct"/>
            <w:vAlign w:val="bottom"/>
          </w:tcPr>
          <w:p w14:paraId="489B6D7A" w14:textId="77777777" w:rsidR="00E159D9" w:rsidRPr="00E632E3" w:rsidRDefault="00E159D9" w:rsidP="004378AC">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bookmarkStart w:id="758" w:name="_Toc67330076"/>
            <w:r w:rsidRPr="00E632E3">
              <w:rPr>
                <w:rFonts w:ascii="Arial" w:eastAsia="Times New Roman" w:hAnsi="Arial" w:cs="Arial"/>
                <w:b/>
                <w:bCs/>
                <w:color w:val="000000" w:themeColor="text1"/>
                <w:sz w:val="17"/>
                <w:szCs w:val="17"/>
              </w:rPr>
              <w:t>000 eura</w:t>
            </w:r>
            <w:bookmarkEnd w:id="758"/>
          </w:p>
        </w:tc>
        <w:tc>
          <w:tcPr>
            <w:tcW w:w="534" w:type="pct"/>
            <w:vAlign w:val="bottom"/>
          </w:tcPr>
          <w:p w14:paraId="0DC3C341" w14:textId="77777777" w:rsidR="00E159D9" w:rsidRPr="00E632E3" w:rsidRDefault="00E159D9" w:rsidP="004378AC">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bookmarkStart w:id="759" w:name="_Toc67330077"/>
            <w:r w:rsidRPr="00E632E3">
              <w:rPr>
                <w:rFonts w:ascii="Arial" w:eastAsia="Times New Roman" w:hAnsi="Arial" w:cs="Arial"/>
                <w:b/>
                <w:bCs/>
                <w:color w:val="000000" w:themeColor="text1"/>
                <w:sz w:val="17"/>
                <w:szCs w:val="17"/>
              </w:rPr>
              <w:t>000 eura</w:t>
            </w:r>
            <w:bookmarkEnd w:id="759"/>
          </w:p>
        </w:tc>
        <w:tc>
          <w:tcPr>
            <w:tcW w:w="528" w:type="pct"/>
            <w:vAlign w:val="bottom"/>
          </w:tcPr>
          <w:p w14:paraId="2A26579A" w14:textId="77777777" w:rsidR="00E159D9" w:rsidRPr="00E632E3" w:rsidRDefault="00E159D9" w:rsidP="004378AC">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bookmarkStart w:id="760" w:name="_Toc67330078"/>
            <w:r w:rsidRPr="00E632E3">
              <w:rPr>
                <w:rFonts w:ascii="Arial" w:eastAsia="Times New Roman" w:hAnsi="Arial" w:cs="Arial"/>
                <w:b/>
                <w:bCs/>
                <w:color w:val="000000" w:themeColor="text1"/>
                <w:sz w:val="17"/>
                <w:szCs w:val="17"/>
              </w:rPr>
              <w:t>000 eura</w:t>
            </w:r>
            <w:bookmarkEnd w:id="760"/>
          </w:p>
        </w:tc>
        <w:tc>
          <w:tcPr>
            <w:tcW w:w="538" w:type="pct"/>
            <w:vAlign w:val="bottom"/>
          </w:tcPr>
          <w:p w14:paraId="1BFB7142" w14:textId="77777777" w:rsidR="00E159D9" w:rsidRPr="00E632E3" w:rsidRDefault="00E159D9" w:rsidP="004378AC">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bookmarkStart w:id="761" w:name="_Toc67330079"/>
            <w:r w:rsidRPr="00E632E3">
              <w:rPr>
                <w:rFonts w:ascii="Arial" w:eastAsia="Times New Roman" w:hAnsi="Arial" w:cs="Arial"/>
                <w:b/>
                <w:bCs/>
                <w:color w:val="000000" w:themeColor="text1"/>
                <w:sz w:val="17"/>
                <w:szCs w:val="17"/>
              </w:rPr>
              <w:t>000 eura</w:t>
            </w:r>
            <w:bookmarkEnd w:id="761"/>
          </w:p>
        </w:tc>
        <w:tc>
          <w:tcPr>
            <w:tcW w:w="623" w:type="pct"/>
            <w:vAlign w:val="bottom"/>
          </w:tcPr>
          <w:p w14:paraId="1834C14D" w14:textId="77777777" w:rsidR="00E159D9" w:rsidRPr="00E632E3" w:rsidRDefault="00E159D9" w:rsidP="004378AC">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bookmarkStart w:id="762" w:name="_Toc67330080"/>
            <w:r w:rsidRPr="00E632E3">
              <w:rPr>
                <w:rFonts w:ascii="Arial" w:eastAsia="Times New Roman" w:hAnsi="Arial" w:cs="Arial"/>
                <w:b/>
                <w:bCs/>
                <w:color w:val="000000" w:themeColor="text1"/>
                <w:sz w:val="17"/>
                <w:szCs w:val="17"/>
              </w:rPr>
              <w:t>000 eura</w:t>
            </w:r>
            <w:bookmarkEnd w:id="762"/>
          </w:p>
        </w:tc>
        <w:tc>
          <w:tcPr>
            <w:tcW w:w="589" w:type="pct"/>
            <w:vAlign w:val="bottom"/>
          </w:tcPr>
          <w:p w14:paraId="3AE87606" w14:textId="77777777" w:rsidR="00E159D9" w:rsidRPr="00E632E3" w:rsidRDefault="00E159D9" w:rsidP="004378AC">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bookmarkStart w:id="763" w:name="_Toc67330081"/>
            <w:r w:rsidRPr="00E632E3">
              <w:rPr>
                <w:rFonts w:ascii="Arial" w:eastAsia="Times New Roman" w:hAnsi="Arial" w:cs="Arial"/>
                <w:b/>
                <w:bCs/>
                <w:color w:val="000000" w:themeColor="text1"/>
                <w:sz w:val="17"/>
                <w:szCs w:val="17"/>
              </w:rPr>
              <w:t>000 eura</w:t>
            </w:r>
            <w:bookmarkEnd w:id="763"/>
          </w:p>
        </w:tc>
      </w:tr>
      <w:tr w:rsidR="00E159D9" w:rsidRPr="00E632E3" w14:paraId="1A0FF20F" w14:textId="77777777" w:rsidTr="004378AC">
        <w:trPr>
          <w:trHeight w:val="255"/>
        </w:trPr>
        <w:tc>
          <w:tcPr>
            <w:tcW w:w="1641" w:type="pct"/>
            <w:vAlign w:val="bottom"/>
          </w:tcPr>
          <w:p w14:paraId="610FAFEE" w14:textId="77777777" w:rsidR="00E159D9" w:rsidRPr="00E632E3" w:rsidRDefault="00E159D9" w:rsidP="004378AC">
            <w:pPr>
              <w:tabs>
                <w:tab w:val="right" w:pos="1202"/>
              </w:tabs>
              <w:suppressAutoHyphens/>
              <w:autoSpaceDN w:val="0"/>
              <w:spacing w:line="220" w:lineRule="exact"/>
              <w:outlineLvl w:val="0"/>
              <w:rPr>
                <w:rFonts w:ascii="Arial" w:eastAsia="Times New Roman" w:hAnsi="Arial" w:cs="Arial"/>
                <w:b/>
                <w:bCs/>
                <w:color w:val="000000" w:themeColor="text1"/>
                <w:sz w:val="17"/>
                <w:szCs w:val="17"/>
              </w:rPr>
            </w:pPr>
            <w:bookmarkStart w:id="764" w:name="_Toc67330082"/>
            <w:r w:rsidRPr="00E632E3">
              <w:rPr>
                <w:rFonts w:ascii="Arial" w:eastAsia="Times New Roman" w:hAnsi="Arial" w:cs="Arial"/>
                <w:b/>
                <w:bCs/>
                <w:color w:val="000000" w:themeColor="text1"/>
                <w:sz w:val="17"/>
                <w:szCs w:val="17"/>
              </w:rPr>
              <w:t>Imovina</w:t>
            </w:r>
            <w:bookmarkEnd w:id="764"/>
          </w:p>
        </w:tc>
        <w:tc>
          <w:tcPr>
            <w:tcW w:w="547" w:type="pct"/>
            <w:vAlign w:val="bottom"/>
          </w:tcPr>
          <w:p w14:paraId="31DD2278" w14:textId="77777777" w:rsidR="00E159D9" w:rsidRPr="00E632E3" w:rsidRDefault="00E159D9" w:rsidP="004378AC">
            <w:pPr>
              <w:tabs>
                <w:tab w:val="right" w:pos="1202"/>
              </w:tabs>
              <w:suppressAutoHyphens/>
              <w:autoSpaceDN w:val="0"/>
              <w:spacing w:line="220" w:lineRule="exact"/>
              <w:jc w:val="right"/>
              <w:outlineLvl w:val="0"/>
              <w:rPr>
                <w:rFonts w:ascii="Arial" w:eastAsia="Times New Roman" w:hAnsi="Arial" w:cs="Arial"/>
                <w:b/>
                <w:bCs/>
                <w:color w:val="000000" w:themeColor="text1"/>
                <w:spacing w:val="-2"/>
                <w:sz w:val="17"/>
                <w:szCs w:val="17"/>
              </w:rPr>
            </w:pPr>
          </w:p>
        </w:tc>
        <w:tc>
          <w:tcPr>
            <w:tcW w:w="534" w:type="pct"/>
            <w:vAlign w:val="bottom"/>
          </w:tcPr>
          <w:p w14:paraId="0B801A62" w14:textId="77777777" w:rsidR="00E159D9" w:rsidRPr="00E632E3" w:rsidRDefault="00E159D9" w:rsidP="004378AC">
            <w:pPr>
              <w:tabs>
                <w:tab w:val="right" w:pos="1202"/>
              </w:tabs>
              <w:suppressAutoHyphens/>
              <w:autoSpaceDN w:val="0"/>
              <w:spacing w:line="220" w:lineRule="exact"/>
              <w:jc w:val="right"/>
              <w:outlineLvl w:val="0"/>
              <w:rPr>
                <w:rFonts w:ascii="Arial" w:eastAsia="Times New Roman" w:hAnsi="Arial" w:cs="Arial"/>
                <w:b/>
                <w:bCs/>
                <w:color w:val="000000" w:themeColor="text1"/>
                <w:spacing w:val="-2"/>
                <w:sz w:val="17"/>
                <w:szCs w:val="17"/>
              </w:rPr>
            </w:pPr>
          </w:p>
        </w:tc>
        <w:tc>
          <w:tcPr>
            <w:tcW w:w="528" w:type="pct"/>
            <w:vAlign w:val="bottom"/>
          </w:tcPr>
          <w:p w14:paraId="4C80CB56" w14:textId="77777777" w:rsidR="00E159D9" w:rsidRPr="00E632E3" w:rsidRDefault="00E159D9" w:rsidP="004378AC">
            <w:pPr>
              <w:tabs>
                <w:tab w:val="right" w:pos="1202"/>
              </w:tabs>
              <w:suppressAutoHyphens/>
              <w:autoSpaceDN w:val="0"/>
              <w:spacing w:line="220" w:lineRule="exact"/>
              <w:jc w:val="right"/>
              <w:outlineLvl w:val="0"/>
              <w:rPr>
                <w:rFonts w:ascii="Arial" w:eastAsia="Times New Roman" w:hAnsi="Arial" w:cs="Arial"/>
                <w:b/>
                <w:bCs/>
                <w:color w:val="000000" w:themeColor="text1"/>
                <w:spacing w:val="-2"/>
                <w:sz w:val="17"/>
                <w:szCs w:val="17"/>
              </w:rPr>
            </w:pPr>
          </w:p>
        </w:tc>
        <w:tc>
          <w:tcPr>
            <w:tcW w:w="538" w:type="pct"/>
            <w:vAlign w:val="bottom"/>
          </w:tcPr>
          <w:p w14:paraId="040582C1" w14:textId="77777777" w:rsidR="00E159D9" w:rsidRPr="00E632E3" w:rsidRDefault="00E159D9" w:rsidP="004378AC">
            <w:pPr>
              <w:tabs>
                <w:tab w:val="right" w:pos="1202"/>
              </w:tabs>
              <w:suppressAutoHyphens/>
              <w:autoSpaceDN w:val="0"/>
              <w:spacing w:line="220" w:lineRule="exact"/>
              <w:jc w:val="right"/>
              <w:outlineLvl w:val="0"/>
              <w:rPr>
                <w:rFonts w:ascii="Arial" w:eastAsia="Times New Roman" w:hAnsi="Arial" w:cs="Arial"/>
                <w:b/>
                <w:bCs/>
                <w:color w:val="000000" w:themeColor="text1"/>
                <w:spacing w:val="-2"/>
                <w:sz w:val="17"/>
                <w:szCs w:val="17"/>
              </w:rPr>
            </w:pPr>
          </w:p>
        </w:tc>
        <w:tc>
          <w:tcPr>
            <w:tcW w:w="623" w:type="pct"/>
            <w:vAlign w:val="bottom"/>
          </w:tcPr>
          <w:p w14:paraId="6275D7CA" w14:textId="77777777" w:rsidR="00E159D9" w:rsidRPr="00E632E3" w:rsidRDefault="00E159D9" w:rsidP="004378AC">
            <w:pPr>
              <w:tabs>
                <w:tab w:val="right" w:pos="1202"/>
              </w:tabs>
              <w:suppressAutoHyphens/>
              <w:autoSpaceDN w:val="0"/>
              <w:spacing w:line="220" w:lineRule="exact"/>
              <w:jc w:val="right"/>
              <w:outlineLvl w:val="0"/>
              <w:rPr>
                <w:rFonts w:ascii="Arial" w:eastAsia="Times New Roman" w:hAnsi="Arial" w:cs="Arial"/>
                <w:b/>
                <w:bCs/>
                <w:color w:val="000000" w:themeColor="text1"/>
                <w:spacing w:val="-2"/>
                <w:sz w:val="17"/>
                <w:szCs w:val="17"/>
              </w:rPr>
            </w:pPr>
          </w:p>
        </w:tc>
        <w:tc>
          <w:tcPr>
            <w:tcW w:w="589" w:type="pct"/>
            <w:vAlign w:val="bottom"/>
          </w:tcPr>
          <w:p w14:paraId="5DE44AA1" w14:textId="77777777" w:rsidR="00E159D9" w:rsidRPr="00E632E3" w:rsidRDefault="00E159D9" w:rsidP="004378AC">
            <w:pPr>
              <w:tabs>
                <w:tab w:val="right" w:pos="1202"/>
              </w:tabs>
              <w:suppressAutoHyphens/>
              <w:autoSpaceDN w:val="0"/>
              <w:spacing w:line="220" w:lineRule="exact"/>
              <w:jc w:val="right"/>
              <w:outlineLvl w:val="0"/>
              <w:rPr>
                <w:rFonts w:ascii="Arial" w:eastAsia="Times New Roman" w:hAnsi="Arial" w:cs="Arial"/>
                <w:b/>
                <w:bCs/>
                <w:color w:val="000000" w:themeColor="text1"/>
                <w:spacing w:val="-2"/>
                <w:sz w:val="17"/>
                <w:szCs w:val="17"/>
              </w:rPr>
            </w:pPr>
          </w:p>
        </w:tc>
      </w:tr>
      <w:tr w:rsidR="00E159D9" w:rsidRPr="00E632E3" w14:paraId="1FD39D56" w14:textId="77777777" w:rsidTr="004378AC">
        <w:trPr>
          <w:trHeight w:val="219"/>
        </w:trPr>
        <w:tc>
          <w:tcPr>
            <w:tcW w:w="1641" w:type="pct"/>
            <w:vAlign w:val="bottom"/>
          </w:tcPr>
          <w:p w14:paraId="70C5EEAE" w14:textId="77777777" w:rsidR="00E159D9" w:rsidRPr="00E632E3" w:rsidRDefault="00E159D9" w:rsidP="004378AC">
            <w:pPr>
              <w:tabs>
                <w:tab w:val="right" w:pos="1202"/>
              </w:tabs>
              <w:suppressAutoHyphens/>
              <w:autoSpaceDN w:val="0"/>
              <w:spacing w:line="220" w:lineRule="exact"/>
              <w:outlineLvl w:val="0"/>
              <w:rPr>
                <w:rFonts w:ascii="Arial" w:eastAsia="Times New Roman" w:hAnsi="Arial" w:cs="Arial"/>
                <w:color w:val="000000" w:themeColor="text1"/>
                <w:sz w:val="17"/>
                <w:szCs w:val="17"/>
              </w:rPr>
            </w:pPr>
            <w:bookmarkStart w:id="765" w:name="_Toc67330083"/>
            <w:r w:rsidRPr="00E632E3">
              <w:rPr>
                <w:rFonts w:ascii="Arial" w:eastAsia="Times New Roman" w:hAnsi="Arial" w:cs="Arial"/>
                <w:color w:val="000000" w:themeColor="text1"/>
                <w:spacing w:val="-2"/>
                <w:sz w:val="17"/>
                <w:szCs w:val="17"/>
              </w:rPr>
              <w:t>Novčana sredstva i računi kod banaka</w:t>
            </w:r>
            <w:bookmarkEnd w:id="765"/>
          </w:p>
        </w:tc>
        <w:tc>
          <w:tcPr>
            <w:tcW w:w="547" w:type="pct"/>
            <w:tcBorders>
              <w:top w:val="nil"/>
              <w:left w:val="nil"/>
              <w:bottom w:val="nil"/>
              <w:right w:val="nil"/>
            </w:tcBorders>
            <w:shd w:val="clear" w:color="auto" w:fill="auto"/>
            <w:vAlign w:val="bottom"/>
          </w:tcPr>
          <w:p w14:paraId="7462831E" w14:textId="77777777" w:rsidR="00E159D9" w:rsidRPr="00E632E3"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34.250</w:t>
            </w:r>
          </w:p>
        </w:tc>
        <w:tc>
          <w:tcPr>
            <w:tcW w:w="534" w:type="pct"/>
            <w:tcBorders>
              <w:top w:val="nil"/>
              <w:left w:val="nil"/>
              <w:bottom w:val="nil"/>
              <w:right w:val="nil"/>
            </w:tcBorders>
            <w:shd w:val="clear" w:color="auto" w:fill="auto"/>
            <w:vAlign w:val="bottom"/>
          </w:tcPr>
          <w:p w14:paraId="024D041F" w14:textId="77777777" w:rsidR="00E159D9" w:rsidRPr="00E632E3"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28" w:type="pct"/>
            <w:tcBorders>
              <w:top w:val="nil"/>
              <w:left w:val="nil"/>
              <w:bottom w:val="nil"/>
              <w:right w:val="nil"/>
            </w:tcBorders>
            <w:shd w:val="clear" w:color="auto" w:fill="auto"/>
            <w:vAlign w:val="bottom"/>
          </w:tcPr>
          <w:p w14:paraId="5FA3D43B" w14:textId="77777777" w:rsidR="00E159D9" w:rsidRPr="00E632E3"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38" w:type="pct"/>
            <w:tcBorders>
              <w:top w:val="nil"/>
              <w:left w:val="nil"/>
              <w:bottom w:val="nil"/>
              <w:right w:val="nil"/>
            </w:tcBorders>
            <w:shd w:val="clear" w:color="auto" w:fill="auto"/>
            <w:vAlign w:val="bottom"/>
          </w:tcPr>
          <w:p w14:paraId="2B11B367" w14:textId="77777777" w:rsidR="00E159D9" w:rsidRPr="00E632E3"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623" w:type="pct"/>
            <w:tcBorders>
              <w:top w:val="nil"/>
              <w:left w:val="nil"/>
              <w:bottom w:val="nil"/>
              <w:right w:val="nil"/>
            </w:tcBorders>
            <w:shd w:val="clear" w:color="auto" w:fill="auto"/>
            <w:vAlign w:val="bottom"/>
          </w:tcPr>
          <w:p w14:paraId="611C4A56" w14:textId="77777777" w:rsidR="00E159D9" w:rsidRPr="00E632E3"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89" w:type="pct"/>
            <w:tcBorders>
              <w:top w:val="nil"/>
              <w:left w:val="nil"/>
              <w:bottom w:val="nil"/>
              <w:right w:val="nil"/>
            </w:tcBorders>
            <w:shd w:val="clear" w:color="auto" w:fill="auto"/>
            <w:vAlign w:val="bottom"/>
          </w:tcPr>
          <w:p w14:paraId="155CAFDE" w14:textId="77777777" w:rsidR="00E159D9" w:rsidRPr="00E632E3"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34.250</w:t>
            </w:r>
          </w:p>
        </w:tc>
      </w:tr>
      <w:tr w:rsidR="00E159D9" w:rsidRPr="00E632E3" w14:paraId="3C0CCE50" w14:textId="77777777" w:rsidTr="004378AC">
        <w:trPr>
          <w:trHeight w:val="219"/>
        </w:trPr>
        <w:tc>
          <w:tcPr>
            <w:tcW w:w="1641" w:type="pct"/>
            <w:vAlign w:val="bottom"/>
          </w:tcPr>
          <w:p w14:paraId="14479CE0" w14:textId="77777777" w:rsidR="00E159D9" w:rsidRPr="00E632E3" w:rsidRDefault="00E159D9" w:rsidP="004378AC">
            <w:pPr>
              <w:tabs>
                <w:tab w:val="right" w:pos="1202"/>
              </w:tabs>
              <w:suppressAutoHyphens/>
              <w:autoSpaceDN w:val="0"/>
              <w:spacing w:line="220" w:lineRule="exact"/>
              <w:outlineLvl w:val="0"/>
              <w:rPr>
                <w:rFonts w:ascii="Arial" w:eastAsia="Times New Roman" w:hAnsi="Arial" w:cs="Arial"/>
                <w:color w:val="000000" w:themeColor="text1"/>
                <w:sz w:val="17"/>
                <w:szCs w:val="17"/>
              </w:rPr>
            </w:pPr>
            <w:bookmarkStart w:id="766" w:name="_Toc67330084"/>
            <w:r w:rsidRPr="00E632E3">
              <w:rPr>
                <w:rFonts w:ascii="Arial" w:eastAsia="Times New Roman" w:hAnsi="Arial" w:cs="Arial"/>
                <w:color w:val="000000" w:themeColor="text1"/>
                <w:spacing w:val="-2"/>
                <w:sz w:val="17"/>
                <w:szCs w:val="17"/>
              </w:rPr>
              <w:t>Depoziti kod drugih banaka</w:t>
            </w:r>
            <w:bookmarkEnd w:id="766"/>
          </w:p>
        </w:tc>
        <w:tc>
          <w:tcPr>
            <w:tcW w:w="547" w:type="pct"/>
            <w:tcBorders>
              <w:top w:val="nil"/>
              <w:left w:val="nil"/>
              <w:bottom w:val="nil"/>
              <w:right w:val="nil"/>
            </w:tcBorders>
            <w:shd w:val="clear" w:color="auto" w:fill="auto"/>
            <w:vAlign w:val="bottom"/>
          </w:tcPr>
          <w:p w14:paraId="1A59EC6F" w14:textId="77777777" w:rsidR="00E159D9" w:rsidRPr="00E632E3"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120.819</w:t>
            </w:r>
          </w:p>
        </w:tc>
        <w:tc>
          <w:tcPr>
            <w:tcW w:w="534" w:type="pct"/>
            <w:tcBorders>
              <w:top w:val="nil"/>
              <w:left w:val="nil"/>
              <w:bottom w:val="nil"/>
              <w:right w:val="nil"/>
            </w:tcBorders>
            <w:shd w:val="clear" w:color="auto" w:fill="auto"/>
            <w:vAlign w:val="bottom"/>
          </w:tcPr>
          <w:p w14:paraId="06D01480" w14:textId="77777777" w:rsidR="00E159D9" w:rsidRPr="00E632E3"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2.509</w:t>
            </w:r>
          </w:p>
        </w:tc>
        <w:tc>
          <w:tcPr>
            <w:tcW w:w="528" w:type="pct"/>
            <w:tcBorders>
              <w:top w:val="nil"/>
              <w:left w:val="nil"/>
              <w:bottom w:val="nil"/>
              <w:right w:val="nil"/>
            </w:tcBorders>
            <w:shd w:val="clear" w:color="auto" w:fill="auto"/>
            <w:vAlign w:val="bottom"/>
          </w:tcPr>
          <w:p w14:paraId="77AF327C" w14:textId="77777777" w:rsidR="00E159D9" w:rsidRPr="00E632E3"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805</w:t>
            </w:r>
          </w:p>
        </w:tc>
        <w:tc>
          <w:tcPr>
            <w:tcW w:w="538" w:type="pct"/>
            <w:tcBorders>
              <w:top w:val="nil"/>
              <w:left w:val="nil"/>
              <w:bottom w:val="nil"/>
              <w:right w:val="nil"/>
            </w:tcBorders>
            <w:shd w:val="clear" w:color="auto" w:fill="auto"/>
            <w:vAlign w:val="bottom"/>
          </w:tcPr>
          <w:p w14:paraId="1730C3E6" w14:textId="77777777" w:rsidR="00E159D9" w:rsidRPr="00E632E3"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623" w:type="pct"/>
            <w:tcBorders>
              <w:top w:val="nil"/>
              <w:left w:val="nil"/>
              <w:bottom w:val="nil"/>
              <w:right w:val="nil"/>
            </w:tcBorders>
            <w:shd w:val="clear" w:color="auto" w:fill="auto"/>
            <w:vAlign w:val="bottom"/>
          </w:tcPr>
          <w:p w14:paraId="44D803FB" w14:textId="77777777" w:rsidR="00E159D9" w:rsidRPr="00E632E3"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340</w:t>
            </w:r>
          </w:p>
        </w:tc>
        <w:tc>
          <w:tcPr>
            <w:tcW w:w="589" w:type="pct"/>
            <w:tcBorders>
              <w:top w:val="nil"/>
              <w:left w:val="nil"/>
              <w:bottom w:val="nil"/>
              <w:right w:val="nil"/>
            </w:tcBorders>
            <w:shd w:val="clear" w:color="auto" w:fill="auto"/>
            <w:vAlign w:val="bottom"/>
          </w:tcPr>
          <w:p w14:paraId="2E1D7B38" w14:textId="77777777" w:rsidR="00E159D9" w:rsidRPr="00E632E3"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124.473</w:t>
            </w:r>
          </w:p>
        </w:tc>
      </w:tr>
      <w:tr w:rsidR="00E159D9" w:rsidRPr="00E632E3" w14:paraId="0E6D127C" w14:textId="77777777" w:rsidTr="004378AC">
        <w:trPr>
          <w:trHeight w:val="219"/>
        </w:trPr>
        <w:tc>
          <w:tcPr>
            <w:tcW w:w="1641" w:type="pct"/>
            <w:vAlign w:val="bottom"/>
          </w:tcPr>
          <w:p w14:paraId="5253AB07" w14:textId="77777777" w:rsidR="00E159D9" w:rsidRPr="00E632E3" w:rsidRDefault="00E159D9" w:rsidP="004378AC">
            <w:pPr>
              <w:tabs>
                <w:tab w:val="right" w:pos="1202"/>
              </w:tabs>
              <w:suppressAutoHyphens/>
              <w:autoSpaceDN w:val="0"/>
              <w:spacing w:line="220" w:lineRule="exact"/>
              <w:outlineLvl w:val="0"/>
              <w:rPr>
                <w:rFonts w:ascii="Arial" w:eastAsia="Times New Roman" w:hAnsi="Arial" w:cs="Arial"/>
                <w:color w:val="000000" w:themeColor="text1"/>
                <w:sz w:val="17"/>
                <w:szCs w:val="17"/>
              </w:rPr>
            </w:pPr>
            <w:bookmarkStart w:id="767" w:name="_Toc67330085"/>
            <w:r w:rsidRPr="00E632E3">
              <w:rPr>
                <w:rFonts w:ascii="Arial" w:eastAsia="Times New Roman" w:hAnsi="Arial" w:cs="Arial"/>
                <w:color w:val="000000" w:themeColor="text1"/>
                <w:spacing w:val="-2"/>
                <w:sz w:val="17"/>
                <w:szCs w:val="17"/>
              </w:rPr>
              <w:t>Krediti financijskim institucijama</w:t>
            </w:r>
            <w:bookmarkEnd w:id="767"/>
            <w:r>
              <w:rPr>
                <w:rFonts w:ascii="Arial" w:eastAsia="Times New Roman" w:hAnsi="Arial" w:cs="Arial"/>
                <w:color w:val="000000" w:themeColor="text1"/>
                <w:spacing w:val="-2"/>
                <w:sz w:val="17"/>
                <w:szCs w:val="17"/>
              </w:rPr>
              <w:t>*</w:t>
            </w:r>
          </w:p>
        </w:tc>
        <w:tc>
          <w:tcPr>
            <w:tcW w:w="547" w:type="pct"/>
            <w:tcBorders>
              <w:top w:val="nil"/>
              <w:left w:val="nil"/>
              <w:bottom w:val="nil"/>
              <w:right w:val="nil"/>
            </w:tcBorders>
            <w:shd w:val="clear" w:color="auto" w:fill="auto"/>
            <w:vAlign w:val="bottom"/>
          </w:tcPr>
          <w:p w14:paraId="6ED50ED2" w14:textId="77777777" w:rsidR="00E159D9" w:rsidRPr="00E632E3"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49.773</w:t>
            </w:r>
          </w:p>
        </w:tc>
        <w:tc>
          <w:tcPr>
            <w:tcW w:w="534" w:type="pct"/>
            <w:tcBorders>
              <w:top w:val="nil"/>
              <w:left w:val="nil"/>
              <w:bottom w:val="nil"/>
              <w:right w:val="nil"/>
            </w:tcBorders>
            <w:shd w:val="clear" w:color="auto" w:fill="auto"/>
            <w:vAlign w:val="bottom"/>
          </w:tcPr>
          <w:p w14:paraId="7EA681FA" w14:textId="77777777" w:rsidR="00E159D9" w:rsidRPr="00E632E3"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38.779</w:t>
            </w:r>
          </w:p>
        </w:tc>
        <w:tc>
          <w:tcPr>
            <w:tcW w:w="528" w:type="pct"/>
            <w:tcBorders>
              <w:top w:val="nil"/>
              <w:left w:val="nil"/>
              <w:bottom w:val="nil"/>
              <w:right w:val="nil"/>
            </w:tcBorders>
            <w:shd w:val="clear" w:color="auto" w:fill="auto"/>
            <w:vAlign w:val="bottom"/>
          </w:tcPr>
          <w:p w14:paraId="54D53F0B" w14:textId="77777777" w:rsidR="00E159D9" w:rsidRPr="00E632E3"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147.023</w:t>
            </w:r>
          </w:p>
        </w:tc>
        <w:tc>
          <w:tcPr>
            <w:tcW w:w="538" w:type="pct"/>
            <w:tcBorders>
              <w:top w:val="nil"/>
              <w:left w:val="nil"/>
              <w:bottom w:val="nil"/>
              <w:right w:val="nil"/>
            </w:tcBorders>
            <w:shd w:val="clear" w:color="auto" w:fill="auto"/>
            <w:vAlign w:val="bottom"/>
          </w:tcPr>
          <w:p w14:paraId="13E06024" w14:textId="77777777" w:rsidR="00E159D9" w:rsidRPr="00E632E3"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349.284</w:t>
            </w:r>
          </w:p>
        </w:tc>
        <w:tc>
          <w:tcPr>
            <w:tcW w:w="623" w:type="pct"/>
            <w:tcBorders>
              <w:top w:val="nil"/>
              <w:left w:val="nil"/>
              <w:bottom w:val="nil"/>
              <w:right w:val="nil"/>
            </w:tcBorders>
            <w:shd w:val="clear" w:color="auto" w:fill="auto"/>
            <w:vAlign w:val="bottom"/>
          </w:tcPr>
          <w:p w14:paraId="21D50212" w14:textId="77777777" w:rsidR="00E159D9" w:rsidRPr="00E632E3"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582.345</w:t>
            </w:r>
          </w:p>
        </w:tc>
        <w:tc>
          <w:tcPr>
            <w:tcW w:w="589" w:type="pct"/>
            <w:tcBorders>
              <w:top w:val="nil"/>
              <w:left w:val="nil"/>
              <w:bottom w:val="nil"/>
              <w:right w:val="nil"/>
            </w:tcBorders>
            <w:shd w:val="clear" w:color="auto" w:fill="auto"/>
            <w:vAlign w:val="bottom"/>
          </w:tcPr>
          <w:p w14:paraId="03BD40D6" w14:textId="77777777" w:rsidR="00E159D9" w:rsidRPr="00E632E3"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1.167.204</w:t>
            </w:r>
          </w:p>
        </w:tc>
      </w:tr>
      <w:tr w:rsidR="00E159D9" w:rsidRPr="00E632E3" w14:paraId="6DB52EDB" w14:textId="77777777" w:rsidTr="004378AC">
        <w:trPr>
          <w:trHeight w:val="219"/>
        </w:trPr>
        <w:tc>
          <w:tcPr>
            <w:tcW w:w="1641" w:type="pct"/>
            <w:vAlign w:val="bottom"/>
          </w:tcPr>
          <w:p w14:paraId="096AD021" w14:textId="77777777" w:rsidR="00E159D9" w:rsidRPr="00E632E3" w:rsidRDefault="00E159D9" w:rsidP="004378AC">
            <w:pPr>
              <w:tabs>
                <w:tab w:val="right" w:pos="1202"/>
              </w:tabs>
              <w:suppressAutoHyphens/>
              <w:autoSpaceDN w:val="0"/>
              <w:spacing w:line="220" w:lineRule="exact"/>
              <w:outlineLvl w:val="0"/>
              <w:rPr>
                <w:rFonts w:ascii="Arial" w:eastAsia="Times New Roman" w:hAnsi="Arial" w:cs="Arial"/>
                <w:color w:val="000000" w:themeColor="text1"/>
                <w:sz w:val="17"/>
                <w:szCs w:val="17"/>
              </w:rPr>
            </w:pPr>
            <w:bookmarkStart w:id="768" w:name="_Toc67330086"/>
            <w:r w:rsidRPr="00E632E3">
              <w:rPr>
                <w:rFonts w:ascii="Arial" w:eastAsia="Times New Roman" w:hAnsi="Arial" w:cs="Arial"/>
                <w:color w:val="000000" w:themeColor="text1"/>
                <w:spacing w:val="-2"/>
                <w:sz w:val="17"/>
                <w:szCs w:val="17"/>
              </w:rPr>
              <w:t>Krediti ostalim korisnicima</w:t>
            </w:r>
            <w:bookmarkEnd w:id="768"/>
            <w:r>
              <w:rPr>
                <w:rFonts w:ascii="Arial" w:eastAsia="Times New Roman" w:hAnsi="Arial" w:cs="Arial"/>
                <w:color w:val="000000" w:themeColor="text1"/>
                <w:spacing w:val="-2"/>
                <w:sz w:val="17"/>
                <w:szCs w:val="17"/>
              </w:rPr>
              <w:t>**</w:t>
            </w:r>
          </w:p>
        </w:tc>
        <w:tc>
          <w:tcPr>
            <w:tcW w:w="547" w:type="pct"/>
            <w:tcBorders>
              <w:top w:val="nil"/>
              <w:left w:val="nil"/>
              <w:bottom w:val="nil"/>
              <w:right w:val="nil"/>
            </w:tcBorders>
            <w:shd w:val="clear" w:color="auto" w:fill="auto"/>
            <w:vAlign w:val="bottom"/>
          </w:tcPr>
          <w:p w14:paraId="61BF347D" w14:textId="77777777" w:rsidR="00E159D9" w:rsidRPr="00E632E3"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207.914</w:t>
            </w:r>
          </w:p>
        </w:tc>
        <w:tc>
          <w:tcPr>
            <w:tcW w:w="534" w:type="pct"/>
            <w:tcBorders>
              <w:top w:val="nil"/>
              <w:left w:val="nil"/>
              <w:bottom w:val="nil"/>
              <w:right w:val="nil"/>
            </w:tcBorders>
            <w:shd w:val="clear" w:color="auto" w:fill="auto"/>
            <w:vAlign w:val="bottom"/>
          </w:tcPr>
          <w:p w14:paraId="7F4D8994" w14:textId="77777777" w:rsidR="00E159D9" w:rsidRPr="00E632E3"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120.876</w:t>
            </w:r>
          </w:p>
        </w:tc>
        <w:tc>
          <w:tcPr>
            <w:tcW w:w="528" w:type="pct"/>
            <w:tcBorders>
              <w:top w:val="nil"/>
              <w:left w:val="nil"/>
              <w:bottom w:val="nil"/>
              <w:right w:val="nil"/>
            </w:tcBorders>
            <w:shd w:val="clear" w:color="auto" w:fill="auto"/>
            <w:vAlign w:val="bottom"/>
          </w:tcPr>
          <w:p w14:paraId="5CA401BA" w14:textId="77777777" w:rsidR="00E159D9" w:rsidRPr="00E632E3"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291.578</w:t>
            </w:r>
          </w:p>
        </w:tc>
        <w:tc>
          <w:tcPr>
            <w:tcW w:w="538" w:type="pct"/>
            <w:tcBorders>
              <w:top w:val="nil"/>
              <w:left w:val="nil"/>
              <w:bottom w:val="nil"/>
              <w:right w:val="nil"/>
            </w:tcBorders>
            <w:shd w:val="clear" w:color="auto" w:fill="auto"/>
            <w:vAlign w:val="bottom"/>
          </w:tcPr>
          <w:p w14:paraId="1AE32C4A" w14:textId="77777777" w:rsidR="00E159D9" w:rsidRPr="00E632E3"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613.609</w:t>
            </w:r>
          </w:p>
        </w:tc>
        <w:tc>
          <w:tcPr>
            <w:tcW w:w="623" w:type="pct"/>
            <w:tcBorders>
              <w:top w:val="nil"/>
              <w:left w:val="nil"/>
              <w:bottom w:val="nil"/>
              <w:right w:val="nil"/>
            </w:tcBorders>
            <w:shd w:val="clear" w:color="auto" w:fill="auto"/>
            <w:vAlign w:val="bottom"/>
          </w:tcPr>
          <w:p w14:paraId="1826E60E" w14:textId="77777777" w:rsidR="00E159D9" w:rsidRPr="00E632E3"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1.127.500</w:t>
            </w:r>
          </w:p>
        </w:tc>
        <w:tc>
          <w:tcPr>
            <w:tcW w:w="589" w:type="pct"/>
            <w:tcBorders>
              <w:top w:val="nil"/>
              <w:left w:val="nil"/>
              <w:bottom w:val="nil"/>
              <w:right w:val="nil"/>
            </w:tcBorders>
            <w:shd w:val="clear" w:color="auto" w:fill="auto"/>
            <w:vAlign w:val="bottom"/>
          </w:tcPr>
          <w:p w14:paraId="27547264" w14:textId="77777777" w:rsidR="00E159D9" w:rsidRPr="00E632E3"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2.361.477</w:t>
            </w:r>
          </w:p>
        </w:tc>
      </w:tr>
      <w:tr w:rsidR="00E159D9" w:rsidRPr="00E632E3" w14:paraId="2A13777F" w14:textId="77777777" w:rsidTr="004378AC">
        <w:trPr>
          <w:trHeight w:val="315"/>
        </w:trPr>
        <w:tc>
          <w:tcPr>
            <w:tcW w:w="1641" w:type="pct"/>
            <w:vAlign w:val="bottom"/>
          </w:tcPr>
          <w:p w14:paraId="5AD3812A" w14:textId="77777777" w:rsidR="00E159D9" w:rsidRPr="00E632E3" w:rsidRDefault="00E159D9" w:rsidP="004378AC">
            <w:pPr>
              <w:tabs>
                <w:tab w:val="right" w:pos="1202"/>
              </w:tabs>
              <w:suppressAutoHyphens/>
              <w:autoSpaceDN w:val="0"/>
              <w:spacing w:line="220" w:lineRule="exact"/>
              <w:outlineLvl w:val="0"/>
              <w:rPr>
                <w:rFonts w:ascii="Arial" w:eastAsia="Times New Roman" w:hAnsi="Arial" w:cs="Arial"/>
                <w:color w:val="000000" w:themeColor="text1"/>
                <w:spacing w:val="-2"/>
                <w:sz w:val="17"/>
                <w:szCs w:val="17"/>
              </w:rPr>
            </w:pPr>
            <w:bookmarkStart w:id="769" w:name="_Toc67330087"/>
            <w:r w:rsidRPr="00E632E3">
              <w:rPr>
                <w:rFonts w:ascii="Arial" w:eastAsia="Times New Roman" w:hAnsi="Arial" w:cs="Arial"/>
                <w:color w:val="000000" w:themeColor="text1"/>
                <w:spacing w:val="-2"/>
                <w:sz w:val="17"/>
                <w:szCs w:val="17"/>
              </w:rPr>
              <w:t>Financijska imovina po fer vrijednosti kroz dobit ili gubitak</w:t>
            </w:r>
            <w:bookmarkEnd w:id="769"/>
          </w:p>
        </w:tc>
        <w:tc>
          <w:tcPr>
            <w:tcW w:w="547" w:type="pct"/>
            <w:tcBorders>
              <w:top w:val="nil"/>
              <w:left w:val="nil"/>
              <w:bottom w:val="nil"/>
              <w:right w:val="nil"/>
            </w:tcBorders>
            <w:shd w:val="clear" w:color="auto" w:fill="auto"/>
            <w:vAlign w:val="bottom"/>
          </w:tcPr>
          <w:p w14:paraId="7F0F20F7" w14:textId="77777777" w:rsidR="00E159D9" w:rsidRPr="00E632E3"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9.075</w:t>
            </w:r>
          </w:p>
        </w:tc>
        <w:tc>
          <w:tcPr>
            <w:tcW w:w="534" w:type="pct"/>
            <w:tcBorders>
              <w:top w:val="nil"/>
              <w:left w:val="nil"/>
              <w:bottom w:val="nil"/>
              <w:right w:val="nil"/>
            </w:tcBorders>
            <w:shd w:val="clear" w:color="auto" w:fill="auto"/>
            <w:vAlign w:val="bottom"/>
          </w:tcPr>
          <w:p w14:paraId="0270957A" w14:textId="77777777" w:rsidR="00E159D9" w:rsidRPr="00E632E3"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6</w:t>
            </w:r>
          </w:p>
        </w:tc>
        <w:tc>
          <w:tcPr>
            <w:tcW w:w="528" w:type="pct"/>
            <w:tcBorders>
              <w:top w:val="nil"/>
              <w:left w:val="nil"/>
              <w:bottom w:val="nil"/>
              <w:right w:val="nil"/>
            </w:tcBorders>
            <w:shd w:val="clear" w:color="auto" w:fill="auto"/>
            <w:vAlign w:val="bottom"/>
          </w:tcPr>
          <w:p w14:paraId="3423129B" w14:textId="77777777" w:rsidR="00E159D9" w:rsidRPr="00E632E3"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38" w:type="pct"/>
            <w:tcBorders>
              <w:top w:val="nil"/>
              <w:left w:val="nil"/>
              <w:bottom w:val="nil"/>
              <w:right w:val="nil"/>
            </w:tcBorders>
            <w:shd w:val="clear" w:color="auto" w:fill="auto"/>
            <w:vAlign w:val="bottom"/>
          </w:tcPr>
          <w:p w14:paraId="408DA15F" w14:textId="77777777" w:rsidR="00E159D9" w:rsidRPr="00E632E3"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32.926</w:t>
            </w:r>
          </w:p>
        </w:tc>
        <w:tc>
          <w:tcPr>
            <w:tcW w:w="623" w:type="pct"/>
            <w:tcBorders>
              <w:top w:val="nil"/>
              <w:left w:val="nil"/>
              <w:bottom w:val="nil"/>
              <w:right w:val="nil"/>
            </w:tcBorders>
            <w:shd w:val="clear" w:color="auto" w:fill="auto"/>
            <w:vAlign w:val="bottom"/>
          </w:tcPr>
          <w:p w14:paraId="14749AEC" w14:textId="77777777" w:rsidR="00E159D9" w:rsidRPr="00E632E3"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24.025</w:t>
            </w:r>
          </w:p>
        </w:tc>
        <w:tc>
          <w:tcPr>
            <w:tcW w:w="589" w:type="pct"/>
            <w:tcBorders>
              <w:top w:val="nil"/>
              <w:left w:val="nil"/>
              <w:bottom w:val="nil"/>
              <w:right w:val="nil"/>
            </w:tcBorders>
            <w:shd w:val="clear" w:color="auto" w:fill="auto"/>
            <w:vAlign w:val="bottom"/>
          </w:tcPr>
          <w:p w14:paraId="5868084E" w14:textId="77777777" w:rsidR="00E159D9" w:rsidRPr="00E632E3"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66.032</w:t>
            </w:r>
          </w:p>
        </w:tc>
      </w:tr>
      <w:tr w:rsidR="00E159D9" w:rsidRPr="00E632E3" w14:paraId="399CE6C7" w14:textId="77777777" w:rsidTr="004378AC">
        <w:trPr>
          <w:trHeight w:val="153"/>
        </w:trPr>
        <w:tc>
          <w:tcPr>
            <w:tcW w:w="1641" w:type="pct"/>
            <w:vAlign w:val="bottom"/>
          </w:tcPr>
          <w:p w14:paraId="47DC10D6" w14:textId="77777777" w:rsidR="00E159D9" w:rsidRPr="00E632E3" w:rsidRDefault="00E159D9" w:rsidP="004378AC">
            <w:pPr>
              <w:tabs>
                <w:tab w:val="right" w:pos="1202"/>
              </w:tabs>
              <w:suppressAutoHyphens/>
              <w:autoSpaceDN w:val="0"/>
              <w:spacing w:line="220" w:lineRule="exact"/>
              <w:outlineLvl w:val="0"/>
              <w:rPr>
                <w:rFonts w:ascii="Arial" w:eastAsia="Times New Roman" w:hAnsi="Arial" w:cs="Arial"/>
                <w:color w:val="000000" w:themeColor="text1"/>
                <w:sz w:val="17"/>
                <w:szCs w:val="17"/>
              </w:rPr>
            </w:pPr>
            <w:bookmarkStart w:id="770" w:name="_Toc67330088"/>
            <w:r w:rsidRPr="00E632E3">
              <w:rPr>
                <w:rFonts w:ascii="Arial" w:eastAsia="Times New Roman" w:hAnsi="Arial" w:cs="Arial"/>
                <w:color w:val="000000" w:themeColor="text1"/>
                <w:spacing w:val="-2"/>
                <w:sz w:val="17"/>
                <w:szCs w:val="17"/>
              </w:rPr>
              <w:t>Financijska imovina po fer vrijednosti kroz ostalu sveobuhvatnu dobit</w:t>
            </w:r>
            <w:bookmarkEnd w:id="770"/>
          </w:p>
        </w:tc>
        <w:tc>
          <w:tcPr>
            <w:tcW w:w="547" w:type="pct"/>
            <w:tcBorders>
              <w:top w:val="nil"/>
              <w:left w:val="nil"/>
              <w:bottom w:val="nil"/>
              <w:right w:val="nil"/>
            </w:tcBorders>
            <w:shd w:val="clear" w:color="auto" w:fill="auto"/>
            <w:vAlign w:val="bottom"/>
          </w:tcPr>
          <w:p w14:paraId="607EC971" w14:textId="77777777" w:rsidR="00E159D9" w:rsidRPr="00E632E3"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244.443</w:t>
            </w:r>
          </w:p>
        </w:tc>
        <w:tc>
          <w:tcPr>
            <w:tcW w:w="534" w:type="pct"/>
            <w:tcBorders>
              <w:top w:val="nil"/>
              <w:left w:val="nil"/>
              <w:bottom w:val="nil"/>
              <w:right w:val="nil"/>
            </w:tcBorders>
            <w:shd w:val="clear" w:color="auto" w:fill="auto"/>
            <w:vAlign w:val="bottom"/>
          </w:tcPr>
          <w:p w14:paraId="7B02DCDF" w14:textId="77777777" w:rsidR="00E159D9" w:rsidRPr="00E632E3"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2.460</w:t>
            </w:r>
          </w:p>
        </w:tc>
        <w:tc>
          <w:tcPr>
            <w:tcW w:w="528" w:type="pct"/>
            <w:tcBorders>
              <w:top w:val="nil"/>
              <w:left w:val="nil"/>
              <w:bottom w:val="nil"/>
              <w:right w:val="nil"/>
            </w:tcBorders>
            <w:shd w:val="clear" w:color="auto" w:fill="auto"/>
            <w:vAlign w:val="bottom"/>
          </w:tcPr>
          <w:p w14:paraId="37E05BA3" w14:textId="77777777" w:rsidR="00E159D9" w:rsidRPr="00E632E3"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1.131</w:t>
            </w:r>
          </w:p>
        </w:tc>
        <w:tc>
          <w:tcPr>
            <w:tcW w:w="538" w:type="pct"/>
            <w:tcBorders>
              <w:top w:val="nil"/>
              <w:left w:val="nil"/>
              <w:bottom w:val="nil"/>
              <w:right w:val="nil"/>
            </w:tcBorders>
            <w:shd w:val="clear" w:color="auto" w:fill="auto"/>
            <w:vAlign w:val="bottom"/>
          </w:tcPr>
          <w:p w14:paraId="3528432C" w14:textId="77777777" w:rsidR="00E159D9" w:rsidRPr="00E632E3"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1.259</w:t>
            </w:r>
          </w:p>
        </w:tc>
        <w:tc>
          <w:tcPr>
            <w:tcW w:w="623" w:type="pct"/>
            <w:tcBorders>
              <w:top w:val="nil"/>
              <w:left w:val="nil"/>
              <w:bottom w:val="nil"/>
              <w:right w:val="nil"/>
            </w:tcBorders>
            <w:shd w:val="clear" w:color="auto" w:fill="auto"/>
            <w:vAlign w:val="bottom"/>
          </w:tcPr>
          <w:p w14:paraId="64A5C959" w14:textId="77777777" w:rsidR="00E159D9" w:rsidRPr="00E632E3"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3.190</w:t>
            </w:r>
          </w:p>
        </w:tc>
        <w:tc>
          <w:tcPr>
            <w:tcW w:w="589" w:type="pct"/>
            <w:tcBorders>
              <w:top w:val="nil"/>
              <w:left w:val="nil"/>
              <w:bottom w:val="nil"/>
              <w:right w:val="nil"/>
            </w:tcBorders>
            <w:shd w:val="clear" w:color="auto" w:fill="auto"/>
            <w:vAlign w:val="bottom"/>
          </w:tcPr>
          <w:p w14:paraId="472A376B" w14:textId="77777777" w:rsidR="00E159D9" w:rsidRPr="00E632E3"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252.483</w:t>
            </w:r>
          </w:p>
        </w:tc>
      </w:tr>
      <w:tr w:rsidR="00E159D9" w:rsidRPr="00E632E3" w14:paraId="2D9338CB" w14:textId="77777777" w:rsidTr="004378AC">
        <w:trPr>
          <w:trHeight w:val="324"/>
        </w:trPr>
        <w:tc>
          <w:tcPr>
            <w:tcW w:w="1641" w:type="pct"/>
            <w:vAlign w:val="bottom"/>
          </w:tcPr>
          <w:p w14:paraId="534E3124" w14:textId="77777777" w:rsidR="00E159D9" w:rsidRPr="00E632E3" w:rsidRDefault="00E159D9" w:rsidP="004378AC">
            <w:pPr>
              <w:tabs>
                <w:tab w:val="right" w:pos="1202"/>
              </w:tabs>
              <w:suppressAutoHyphens/>
              <w:autoSpaceDN w:val="0"/>
              <w:spacing w:line="220" w:lineRule="exact"/>
              <w:outlineLvl w:val="0"/>
              <w:rPr>
                <w:rFonts w:ascii="Arial" w:eastAsia="Times New Roman" w:hAnsi="Arial" w:cs="Arial"/>
                <w:color w:val="000000" w:themeColor="text1"/>
                <w:sz w:val="17"/>
                <w:szCs w:val="17"/>
              </w:rPr>
            </w:pPr>
            <w:bookmarkStart w:id="771" w:name="_Toc67330090"/>
            <w:r w:rsidRPr="00E632E3">
              <w:rPr>
                <w:rFonts w:ascii="Arial" w:eastAsia="Times New Roman" w:hAnsi="Arial" w:cs="Arial"/>
                <w:color w:val="000000" w:themeColor="text1"/>
                <w:spacing w:val="-2"/>
                <w:sz w:val="17"/>
                <w:szCs w:val="17"/>
              </w:rPr>
              <w:t>Nekretnine, postrojenja i oprema i nematerijalna imovina</w:t>
            </w:r>
            <w:bookmarkEnd w:id="771"/>
          </w:p>
        </w:tc>
        <w:tc>
          <w:tcPr>
            <w:tcW w:w="547" w:type="pct"/>
            <w:tcBorders>
              <w:top w:val="nil"/>
              <w:left w:val="nil"/>
              <w:right w:val="nil"/>
            </w:tcBorders>
            <w:shd w:val="clear" w:color="auto" w:fill="auto"/>
            <w:vAlign w:val="bottom"/>
          </w:tcPr>
          <w:p w14:paraId="79C00B8A" w14:textId="77777777" w:rsidR="00E159D9" w:rsidRPr="00E632E3"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34" w:type="pct"/>
            <w:tcBorders>
              <w:top w:val="nil"/>
              <w:left w:val="nil"/>
              <w:right w:val="nil"/>
            </w:tcBorders>
            <w:shd w:val="clear" w:color="auto" w:fill="auto"/>
            <w:vAlign w:val="bottom"/>
          </w:tcPr>
          <w:p w14:paraId="5787A8B0" w14:textId="77777777" w:rsidR="00E159D9" w:rsidRPr="00E632E3"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28" w:type="pct"/>
            <w:tcBorders>
              <w:top w:val="nil"/>
              <w:left w:val="nil"/>
              <w:right w:val="nil"/>
            </w:tcBorders>
            <w:shd w:val="clear" w:color="auto" w:fill="auto"/>
            <w:vAlign w:val="bottom"/>
          </w:tcPr>
          <w:p w14:paraId="0A5F5603" w14:textId="77777777" w:rsidR="00E159D9" w:rsidRPr="00E632E3"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38" w:type="pct"/>
            <w:tcBorders>
              <w:top w:val="nil"/>
              <w:left w:val="nil"/>
              <w:right w:val="nil"/>
            </w:tcBorders>
            <w:shd w:val="clear" w:color="auto" w:fill="auto"/>
            <w:vAlign w:val="bottom"/>
          </w:tcPr>
          <w:p w14:paraId="06735E0D" w14:textId="77777777" w:rsidR="00E159D9" w:rsidRPr="00E632E3"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623" w:type="pct"/>
            <w:tcBorders>
              <w:top w:val="nil"/>
              <w:left w:val="nil"/>
              <w:right w:val="nil"/>
            </w:tcBorders>
            <w:shd w:val="clear" w:color="auto" w:fill="auto"/>
            <w:vAlign w:val="bottom"/>
          </w:tcPr>
          <w:p w14:paraId="12EBCB9A" w14:textId="77777777" w:rsidR="00E159D9" w:rsidRPr="00E632E3"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5.239</w:t>
            </w:r>
          </w:p>
        </w:tc>
        <w:tc>
          <w:tcPr>
            <w:tcW w:w="589" w:type="pct"/>
            <w:tcBorders>
              <w:top w:val="nil"/>
              <w:left w:val="nil"/>
              <w:right w:val="nil"/>
            </w:tcBorders>
            <w:shd w:val="clear" w:color="auto" w:fill="auto"/>
            <w:vAlign w:val="bottom"/>
          </w:tcPr>
          <w:p w14:paraId="7AEE933B" w14:textId="77777777" w:rsidR="00E159D9" w:rsidRPr="00E632E3"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5.239</w:t>
            </w:r>
          </w:p>
        </w:tc>
      </w:tr>
      <w:tr w:rsidR="00E159D9" w:rsidRPr="00E632E3" w14:paraId="2BCA6413" w14:textId="77777777" w:rsidTr="004378AC">
        <w:trPr>
          <w:trHeight w:val="126"/>
        </w:trPr>
        <w:tc>
          <w:tcPr>
            <w:tcW w:w="1641" w:type="pct"/>
            <w:vAlign w:val="bottom"/>
          </w:tcPr>
          <w:p w14:paraId="03F68F0E" w14:textId="77777777" w:rsidR="00E159D9" w:rsidRPr="00E632E3" w:rsidRDefault="00E159D9" w:rsidP="004378AC">
            <w:pPr>
              <w:tabs>
                <w:tab w:val="right" w:pos="1202"/>
              </w:tabs>
              <w:suppressAutoHyphens/>
              <w:autoSpaceDN w:val="0"/>
              <w:spacing w:line="220" w:lineRule="exact"/>
              <w:outlineLvl w:val="0"/>
              <w:rPr>
                <w:rFonts w:ascii="Arial" w:eastAsia="Times New Roman" w:hAnsi="Arial" w:cs="Arial"/>
                <w:color w:val="000000" w:themeColor="text1"/>
                <w:sz w:val="17"/>
                <w:szCs w:val="17"/>
              </w:rPr>
            </w:pPr>
            <w:bookmarkStart w:id="772" w:name="_Toc67330091"/>
            <w:r w:rsidRPr="00E632E3">
              <w:rPr>
                <w:rFonts w:ascii="Arial" w:eastAsia="Times New Roman" w:hAnsi="Arial" w:cs="Arial"/>
                <w:color w:val="000000" w:themeColor="text1"/>
                <w:spacing w:val="-2"/>
                <w:sz w:val="17"/>
                <w:szCs w:val="17"/>
              </w:rPr>
              <w:t>Preuzeta imovina</w:t>
            </w:r>
            <w:bookmarkEnd w:id="772"/>
          </w:p>
        </w:tc>
        <w:tc>
          <w:tcPr>
            <w:tcW w:w="547" w:type="pct"/>
            <w:tcBorders>
              <w:top w:val="nil"/>
              <w:left w:val="nil"/>
              <w:bottom w:val="nil"/>
              <w:right w:val="nil"/>
            </w:tcBorders>
            <w:shd w:val="clear" w:color="auto" w:fill="auto"/>
            <w:vAlign w:val="bottom"/>
          </w:tcPr>
          <w:p w14:paraId="24DAAE41" w14:textId="77777777" w:rsidR="00E159D9" w:rsidRPr="00E632E3"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34" w:type="pct"/>
            <w:tcBorders>
              <w:top w:val="nil"/>
              <w:left w:val="nil"/>
              <w:bottom w:val="nil"/>
              <w:right w:val="nil"/>
            </w:tcBorders>
            <w:shd w:val="clear" w:color="auto" w:fill="auto"/>
            <w:vAlign w:val="bottom"/>
          </w:tcPr>
          <w:p w14:paraId="745BC6DB" w14:textId="77777777" w:rsidR="00E159D9" w:rsidRPr="00E632E3"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94</w:t>
            </w:r>
          </w:p>
        </w:tc>
        <w:tc>
          <w:tcPr>
            <w:tcW w:w="528" w:type="pct"/>
            <w:tcBorders>
              <w:top w:val="nil"/>
              <w:left w:val="nil"/>
              <w:bottom w:val="nil"/>
              <w:right w:val="nil"/>
            </w:tcBorders>
            <w:shd w:val="clear" w:color="auto" w:fill="auto"/>
            <w:vAlign w:val="bottom"/>
          </w:tcPr>
          <w:p w14:paraId="7FE8B831" w14:textId="77777777" w:rsidR="00E159D9" w:rsidRPr="00E632E3"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203</w:t>
            </w:r>
          </w:p>
        </w:tc>
        <w:tc>
          <w:tcPr>
            <w:tcW w:w="538" w:type="pct"/>
            <w:tcBorders>
              <w:top w:val="nil"/>
              <w:left w:val="nil"/>
              <w:bottom w:val="nil"/>
              <w:right w:val="nil"/>
            </w:tcBorders>
            <w:shd w:val="clear" w:color="auto" w:fill="auto"/>
            <w:vAlign w:val="bottom"/>
          </w:tcPr>
          <w:p w14:paraId="1DEF1ABA" w14:textId="77777777" w:rsidR="00E159D9" w:rsidRPr="00E632E3"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437</w:t>
            </w:r>
          </w:p>
        </w:tc>
        <w:tc>
          <w:tcPr>
            <w:tcW w:w="623" w:type="pct"/>
            <w:tcBorders>
              <w:top w:val="nil"/>
              <w:left w:val="nil"/>
              <w:bottom w:val="nil"/>
              <w:right w:val="nil"/>
            </w:tcBorders>
            <w:shd w:val="clear" w:color="auto" w:fill="auto"/>
            <w:vAlign w:val="bottom"/>
          </w:tcPr>
          <w:p w14:paraId="78E10CD6" w14:textId="77777777" w:rsidR="00E159D9" w:rsidRPr="00E632E3"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1.218</w:t>
            </w:r>
          </w:p>
        </w:tc>
        <w:tc>
          <w:tcPr>
            <w:tcW w:w="589" w:type="pct"/>
            <w:tcBorders>
              <w:top w:val="nil"/>
              <w:left w:val="nil"/>
              <w:bottom w:val="nil"/>
              <w:right w:val="nil"/>
            </w:tcBorders>
            <w:shd w:val="clear" w:color="auto" w:fill="auto"/>
            <w:vAlign w:val="bottom"/>
          </w:tcPr>
          <w:p w14:paraId="6CB66194" w14:textId="77777777" w:rsidR="00E159D9" w:rsidRPr="00E632E3"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1.952</w:t>
            </w:r>
          </w:p>
        </w:tc>
      </w:tr>
      <w:tr w:rsidR="00E159D9" w:rsidRPr="00E632E3" w14:paraId="047E61EB" w14:textId="77777777" w:rsidTr="004378AC">
        <w:trPr>
          <w:trHeight w:val="153"/>
        </w:trPr>
        <w:tc>
          <w:tcPr>
            <w:tcW w:w="1641" w:type="pct"/>
            <w:vAlign w:val="bottom"/>
          </w:tcPr>
          <w:p w14:paraId="0E6E09BE" w14:textId="77777777" w:rsidR="00E159D9" w:rsidRPr="00E632E3" w:rsidRDefault="00E159D9" w:rsidP="004378AC">
            <w:pPr>
              <w:tabs>
                <w:tab w:val="right" w:pos="1202"/>
              </w:tabs>
              <w:suppressAutoHyphens/>
              <w:autoSpaceDN w:val="0"/>
              <w:spacing w:line="220" w:lineRule="exact"/>
              <w:outlineLvl w:val="0"/>
              <w:rPr>
                <w:rFonts w:ascii="Arial" w:eastAsia="Times New Roman" w:hAnsi="Arial" w:cs="Arial"/>
                <w:color w:val="000000" w:themeColor="text1"/>
                <w:sz w:val="17"/>
                <w:szCs w:val="17"/>
              </w:rPr>
            </w:pPr>
            <w:bookmarkStart w:id="773" w:name="_Toc67330092"/>
            <w:r w:rsidRPr="00E632E3">
              <w:rPr>
                <w:rFonts w:ascii="Arial" w:eastAsia="Times New Roman" w:hAnsi="Arial" w:cs="Arial"/>
                <w:color w:val="000000" w:themeColor="text1"/>
                <w:spacing w:val="-2"/>
                <w:sz w:val="17"/>
                <w:szCs w:val="17"/>
              </w:rPr>
              <w:t>Ostala imovina</w:t>
            </w:r>
            <w:bookmarkEnd w:id="773"/>
          </w:p>
        </w:tc>
        <w:tc>
          <w:tcPr>
            <w:tcW w:w="547" w:type="pct"/>
            <w:tcBorders>
              <w:left w:val="nil"/>
              <w:bottom w:val="single" w:sz="8" w:space="0" w:color="auto"/>
              <w:right w:val="nil"/>
            </w:tcBorders>
            <w:shd w:val="clear" w:color="auto" w:fill="auto"/>
            <w:vAlign w:val="bottom"/>
          </w:tcPr>
          <w:p w14:paraId="2E787386" w14:textId="77777777" w:rsidR="00E159D9" w:rsidRPr="00E632E3"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2.197</w:t>
            </w:r>
          </w:p>
        </w:tc>
        <w:tc>
          <w:tcPr>
            <w:tcW w:w="534" w:type="pct"/>
            <w:tcBorders>
              <w:left w:val="nil"/>
              <w:bottom w:val="single" w:sz="8" w:space="0" w:color="auto"/>
              <w:right w:val="nil"/>
            </w:tcBorders>
            <w:shd w:val="clear" w:color="auto" w:fill="auto"/>
            <w:vAlign w:val="bottom"/>
          </w:tcPr>
          <w:p w14:paraId="5DF4A9AE" w14:textId="77777777" w:rsidR="00E159D9" w:rsidRPr="00E632E3"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144</w:t>
            </w:r>
          </w:p>
        </w:tc>
        <w:tc>
          <w:tcPr>
            <w:tcW w:w="528" w:type="pct"/>
            <w:tcBorders>
              <w:left w:val="nil"/>
              <w:bottom w:val="single" w:sz="8" w:space="0" w:color="auto"/>
              <w:right w:val="nil"/>
            </w:tcBorders>
            <w:shd w:val="clear" w:color="auto" w:fill="auto"/>
            <w:vAlign w:val="bottom"/>
          </w:tcPr>
          <w:p w14:paraId="0E1E556D" w14:textId="77777777" w:rsidR="00E159D9" w:rsidRPr="00E632E3"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2.982</w:t>
            </w:r>
          </w:p>
        </w:tc>
        <w:tc>
          <w:tcPr>
            <w:tcW w:w="538" w:type="pct"/>
            <w:tcBorders>
              <w:left w:val="nil"/>
              <w:bottom w:val="single" w:sz="8" w:space="0" w:color="auto"/>
              <w:right w:val="nil"/>
            </w:tcBorders>
            <w:shd w:val="clear" w:color="auto" w:fill="auto"/>
            <w:vAlign w:val="bottom"/>
          </w:tcPr>
          <w:p w14:paraId="3CBFE893" w14:textId="77777777" w:rsidR="00E159D9" w:rsidRPr="00E632E3"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2.455</w:t>
            </w:r>
          </w:p>
        </w:tc>
        <w:tc>
          <w:tcPr>
            <w:tcW w:w="623" w:type="pct"/>
            <w:tcBorders>
              <w:left w:val="nil"/>
              <w:bottom w:val="single" w:sz="8" w:space="0" w:color="auto"/>
              <w:right w:val="nil"/>
            </w:tcBorders>
            <w:shd w:val="clear" w:color="auto" w:fill="auto"/>
            <w:vAlign w:val="bottom"/>
          </w:tcPr>
          <w:p w14:paraId="294A2F2A" w14:textId="77777777" w:rsidR="00E159D9" w:rsidRPr="00E632E3"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157</w:t>
            </w:r>
          </w:p>
        </w:tc>
        <w:tc>
          <w:tcPr>
            <w:tcW w:w="589" w:type="pct"/>
            <w:tcBorders>
              <w:left w:val="nil"/>
              <w:bottom w:val="nil"/>
              <w:right w:val="nil"/>
            </w:tcBorders>
            <w:shd w:val="clear" w:color="auto" w:fill="auto"/>
            <w:vAlign w:val="bottom"/>
          </w:tcPr>
          <w:p w14:paraId="1E0016FB" w14:textId="77777777" w:rsidR="00E159D9" w:rsidRPr="00E632E3"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7.935</w:t>
            </w:r>
          </w:p>
        </w:tc>
      </w:tr>
      <w:tr w:rsidR="00E159D9" w:rsidRPr="00E632E3" w14:paraId="29A90C91" w14:textId="77777777" w:rsidTr="004378AC">
        <w:trPr>
          <w:trHeight w:val="161"/>
        </w:trPr>
        <w:tc>
          <w:tcPr>
            <w:tcW w:w="1641" w:type="pct"/>
            <w:vAlign w:val="bottom"/>
          </w:tcPr>
          <w:p w14:paraId="7F7F39D3" w14:textId="77777777" w:rsidR="00E159D9" w:rsidRPr="00E632E3" w:rsidRDefault="00E159D9" w:rsidP="004378AC">
            <w:pPr>
              <w:tabs>
                <w:tab w:val="right" w:pos="1202"/>
              </w:tabs>
              <w:suppressAutoHyphens/>
              <w:autoSpaceDN w:val="0"/>
              <w:spacing w:line="220" w:lineRule="exact"/>
              <w:outlineLvl w:val="0"/>
              <w:rPr>
                <w:rFonts w:ascii="Arial" w:eastAsia="Times New Roman" w:hAnsi="Arial" w:cs="Arial"/>
                <w:b/>
                <w:bCs/>
                <w:color w:val="000000" w:themeColor="text1"/>
                <w:sz w:val="17"/>
                <w:szCs w:val="17"/>
              </w:rPr>
            </w:pPr>
            <w:bookmarkStart w:id="774" w:name="_Toc67330093"/>
            <w:r w:rsidRPr="00E632E3">
              <w:rPr>
                <w:rFonts w:ascii="Arial" w:eastAsia="Times New Roman" w:hAnsi="Arial" w:cs="Arial"/>
                <w:b/>
                <w:bCs/>
                <w:color w:val="000000" w:themeColor="text1"/>
                <w:sz w:val="17"/>
                <w:szCs w:val="17"/>
              </w:rPr>
              <w:t>Ukupna imovina</w:t>
            </w:r>
            <w:bookmarkEnd w:id="774"/>
            <w:r w:rsidRPr="00E632E3">
              <w:rPr>
                <w:rFonts w:ascii="Arial" w:eastAsia="Times New Roman" w:hAnsi="Arial" w:cs="Arial"/>
                <w:b/>
                <w:bCs/>
                <w:color w:val="000000" w:themeColor="text1"/>
                <w:sz w:val="17"/>
                <w:szCs w:val="17"/>
              </w:rPr>
              <w:t xml:space="preserve"> </w:t>
            </w:r>
          </w:p>
        </w:tc>
        <w:tc>
          <w:tcPr>
            <w:tcW w:w="547" w:type="pct"/>
            <w:tcBorders>
              <w:top w:val="nil"/>
              <w:left w:val="nil"/>
              <w:bottom w:val="single" w:sz="8" w:space="0" w:color="auto"/>
              <w:right w:val="nil"/>
            </w:tcBorders>
            <w:shd w:val="clear" w:color="auto" w:fill="auto"/>
            <w:vAlign w:val="bottom"/>
          </w:tcPr>
          <w:p w14:paraId="4EDA6277" w14:textId="77777777" w:rsidR="00E159D9" w:rsidRPr="00E632E3" w:rsidRDefault="00E159D9" w:rsidP="004378AC">
            <w:pPr>
              <w:suppressAutoHyphens/>
              <w:autoSpaceDN w:val="0"/>
              <w:jc w:val="right"/>
              <w:rPr>
                <w:rFonts w:ascii="Arial" w:eastAsia="Times New Roman" w:hAnsi="Arial" w:cs="Arial"/>
                <w:b/>
                <w:bCs/>
                <w:color w:val="000000"/>
                <w:sz w:val="17"/>
                <w:szCs w:val="17"/>
              </w:rPr>
            </w:pPr>
            <w:r>
              <w:rPr>
                <w:rFonts w:ascii="Arial" w:eastAsia="Times New Roman" w:hAnsi="Arial" w:cs="Arial"/>
                <w:b/>
                <w:bCs/>
                <w:color w:val="000000"/>
                <w:sz w:val="17"/>
                <w:szCs w:val="17"/>
              </w:rPr>
              <w:t>668.471</w:t>
            </w:r>
          </w:p>
        </w:tc>
        <w:tc>
          <w:tcPr>
            <w:tcW w:w="534" w:type="pct"/>
            <w:tcBorders>
              <w:top w:val="nil"/>
              <w:left w:val="nil"/>
              <w:bottom w:val="single" w:sz="8" w:space="0" w:color="auto"/>
              <w:right w:val="nil"/>
            </w:tcBorders>
            <w:shd w:val="clear" w:color="auto" w:fill="auto"/>
            <w:vAlign w:val="bottom"/>
          </w:tcPr>
          <w:p w14:paraId="2B00512A" w14:textId="77777777" w:rsidR="00E159D9" w:rsidRPr="00E632E3" w:rsidRDefault="00E159D9" w:rsidP="004378AC">
            <w:pPr>
              <w:suppressAutoHyphens/>
              <w:autoSpaceDN w:val="0"/>
              <w:jc w:val="right"/>
              <w:rPr>
                <w:rFonts w:ascii="Arial" w:eastAsia="Times New Roman" w:hAnsi="Arial" w:cs="Arial"/>
                <w:b/>
                <w:bCs/>
                <w:color w:val="000000"/>
                <w:sz w:val="17"/>
                <w:szCs w:val="17"/>
              </w:rPr>
            </w:pPr>
            <w:r>
              <w:rPr>
                <w:rFonts w:ascii="Arial" w:eastAsia="Times New Roman" w:hAnsi="Arial" w:cs="Arial"/>
                <w:b/>
                <w:bCs/>
                <w:color w:val="000000"/>
                <w:sz w:val="17"/>
                <w:szCs w:val="17"/>
              </w:rPr>
              <w:t>164.868</w:t>
            </w:r>
          </w:p>
        </w:tc>
        <w:tc>
          <w:tcPr>
            <w:tcW w:w="528" w:type="pct"/>
            <w:tcBorders>
              <w:top w:val="nil"/>
              <w:left w:val="nil"/>
              <w:bottom w:val="single" w:sz="8" w:space="0" w:color="auto"/>
              <w:right w:val="nil"/>
            </w:tcBorders>
            <w:shd w:val="clear" w:color="auto" w:fill="auto"/>
            <w:vAlign w:val="bottom"/>
          </w:tcPr>
          <w:p w14:paraId="46367B3E" w14:textId="77777777" w:rsidR="00E159D9" w:rsidRPr="00E632E3" w:rsidRDefault="00E159D9" w:rsidP="004378AC">
            <w:pPr>
              <w:suppressAutoHyphens/>
              <w:autoSpaceDN w:val="0"/>
              <w:jc w:val="right"/>
              <w:rPr>
                <w:rFonts w:ascii="Arial" w:eastAsia="Times New Roman" w:hAnsi="Arial" w:cs="Arial"/>
                <w:b/>
                <w:bCs/>
                <w:color w:val="000000"/>
                <w:sz w:val="17"/>
                <w:szCs w:val="17"/>
              </w:rPr>
            </w:pPr>
            <w:r>
              <w:rPr>
                <w:rFonts w:ascii="Arial" w:eastAsia="Times New Roman" w:hAnsi="Arial" w:cs="Arial"/>
                <w:b/>
                <w:bCs/>
                <w:color w:val="000000"/>
                <w:sz w:val="17"/>
                <w:szCs w:val="17"/>
              </w:rPr>
              <w:t>443.722</w:t>
            </w:r>
          </w:p>
        </w:tc>
        <w:tc>
          <w:tcPr>
            <w:tcW w:w="538" w:type="pct"/>
            <w:tcBorders>
              <w:top w:val="nil"/>
              <w:left w:val="nil"/>
              <w:bottom w:val="single" w:sz="8" w:space="0" w:color="auto"/>
              <w:right w:val="nil"/>
            </w:tcBorders>
            <w:shd w:val="clear" w:color="auto" w:fill="auto"/>
            <w:vAlign w:val="bottom"/>
          </w:tcPr>
          <w:p w14:paraId="3322E233" w14:textId="77777777" w:rsidR="00E159D9" w:rsidRPr="00E632E3" w:rsidRDefault="00E159D9" w:rsidP="004378AC">
            <w:pPr>
              <w:suppressAutoHyphens/>
              <w:autoSpaceDN w:val="0"/>
              <w:jc w:val="right"/>
              <w:rPr>
                <w:rFonts w:ascii="Arial" w:eastAsia="Times New Roman" w:hAnsi="Arial" w:cs="Arial"/>
                <w:b/>
                <w:bCs/>
                <w:color w:val="000000"/>
                <w:sz w:val="17"/>
                <w:szCs w:val="17"/>
              </w:rPr>
            </w:pPr>
            <w:r>
              <w:rPr>
                <w:rFonts w:ascii="Arial" w:eastAsia="Times New Roman" w:hAnsi="Arial" w:cs="Arial"/>
                <w:b/>
                <w:bCs/>
                <w:color w:val="000000"/>
                <w:sz w:val="17"/>
                <w:szCs w:val="17"/>
              </w:rPr>
              <w:t>999.970</w:t>
            </w:r>
          </w:p>
        </w:tc>
        <w:tc>
          <w:tcPr>
            <w:tcW w:w="623" w:type="pct"/>
            <w:tcBorders>
              <w:top w:val="nil"/>
              <w:left w:val="nil"/>
              <w:bottom w:val="single" w:sz="8" w:space="0" w:color="auto"/>
              <w:right w:val="nil"/>
            </w:tcBorders>
            <w:shd w:val="clear" w:color="auto" w:fill="auto"/>
            <w:vAlign w:val="bottom"/>
          </w:tcPr>
          <w:p w14:paraId="5C4C8ED9" w14:textId="77777777" w:rsidR="00E159D9" w:rsidRPr="00E632E3" w:rsidRDefault="00E159D9" w:rsidP="004378AC">
            <w:pPr>
              <w:suppressAutoHyphens/>
              <w:autoSpaceDN w:val="0"/>
              <w:jc w:val="right"/>
              <w:rPr>
                <w:rFonts w:ascii="Arial" w:eastAsia="Times New Roman" w:hAnsi="Arial" w:cs="Arial"/>
                <w:b/>
                <w:bCs/>
                <w:color w:val="000000"/>
                <w:sz w:val="17"/>
                <w:szCs w:val="17"/>
              </w:rPr>
            </w:pPr>
            <w:r>
              <w:rPr>
                <w:rFonts w:ascii="Arial" w:eastAsia="Times New Roman" w:hAnsi="Arial" w:cs="Arial"/>
                <w:b/>
                <w:bCs/>
                <w:color w:val="000000"/>
                <w:sz w:val="17"/>
                <w:szCs w:val="17"/>
              </w:rPr>
              <w:t>1.744.014</w:t>
            </w:r>
          </w:p>
        </w:tc>
        <w:tc>
          <w:tcPr>
            <w:tcW w:w="589" w:type="pct"/>
            <w:tcBorders>
              <w:top w:val="single" w:sz="8" w:space="0" w:color="auto"/>
              <w:left w:val="nil"/>
              <w:bottom w:val="single" w:sz="8" w:space="0" w:color="auto"/>
              <w:right w:val="nil"/>
            </w:tcBorders>
            <w:shd w:val="clear" w:color="auto" w:fill="auto"/>
            <w:vAlign w:val="bottom"/>
          </w:tcPr>
          <w:p w14:paraId="00111040" w14:textId="77777777" w:rsidR="00E159D9" w:rsidRPr="00E632E3" w:rsidRDefault="00E159D9" w:rsidP="004378AC">
            <w:pPr>
              <w:suppressAutoHyphens/>
              <w:autoSpaceDN w:val="0"/>
              <w:jc w:val="right"/>
              <w:rPr>
                <w:rFonts w:ascii="Arial" w:eastAsia="Times New Roman" w:hAnsi="Arial" w:cs="Arial"/>
                <w:b/>
                <w:bCs/>
                <w:color w:val="000000"/>
                <w:sz w:val="17"/>
                <w:szCs w:val="17"/>
              </w:rPr>
            </w:pPr>
            <w:r>
              <w:rPr>
                <w:rFonts w:ascii="Arial" w:eastAsia="Times New Roman" w:hAnsi="Arial" w:cs="Arial"/>
                <w:b/>
                <w:bCs/>
                <w:color w:val="000000"/>
                <w:sz w:val="17"/>
                <w:szCs w:val="17"/>
              </w:rPr>
              <w:t>4.021.045</w:t>
            </w:r>
          </w:p>
        </w:tc>
      </w:tr>
      <w:tr w:rsidR="00E159D9" w:rsidRPr="00E632E3" w14:paraId="24C677B9" w14:textId="77777777" w:rsidTr="004378AC">
        <w:trPr>
          <w:trHeight w:val="236"/>
        </w:trPr>
        <w:tc>
          <w:tcPr>
            <w:tcW w:w="1641" w:type="pct"/>
            <w:vAlign w:val="bottom"/>
          </w:tcPr>
          <w:p w14:paraId="5553DBAF" w14:textId="77777777" w:rsidR="00E159D9" w:rsidRPr="00E632E3" w:rsidRDefault="00E159D9" w:rsidP="004378AC">
            <w:pPr>
              <w:keepNext/>
              <w:keepLines/>
              <w:tabs>
                <w:tab w:val="left" w:pos="1202"/>
              </w:tabs>
              <w:suppressAutoHyphens/>
              <w:autoSpaceDN w:val="0"/>
              <w:spacing w:line="60" w:lineRule="exact"/>
              <w:rPr>
                <w:rFonts w:ascii="Arial" w:eastAsia="Times New Roman" w:hAnsi="Arial" w:cs="Arial"/>
                <w:b/>
                <w:bCs/>
                <w:color w:val="000000" w:themeColor="text1"/>
                <w:position w:val="4"/>
                <w:sz w:val="17"/>
                <w:szCs w:val="17"/>
              </w:rPr>
            </w:pPr>
          </w:p>
        </w:tc>
        <w:tc>
          <w:tcPr>
            <w:tcW w:w="547" w:type="pct"/>
            <w:tcBorders>
              <w:top w:val="single" w:sz="12" w:space="0" w:color="auto"/>
            </w:tcBorders>
            <w:vAlign w:val="bottom"/>
          </w:tcPr>
          <w:p w14:paraId="0D1FBB38" w14:textId="77777777" w:rsidR="00E159D9" w:rsidRPr="00E632E3" w:rsidRDefault="00E159D9" w:rsidP="004378AC">
            <w:pPr>
              <w:suppressAutoHyphens/>
              <w:autoSpaceDN w:val="0"/>
              <w:jc w:val="right"/>
              <w:rPr>
                <w:rFonts w:ascii="Arial" w:eastAsia="Times New Roman" w:hAnsi="Arial" w:cs="Arial"/>
                <w:color w:val="000000"/>
                <w:sz w:val="17"/>
                <w:szCs w:val="17"/>
              </w:rPr>
            </w:pPr>
          </w:p>
        </w:tc>
        <w:tc>
          <w:tcPr>
            <w:tcW w:w="534" w:type="pct"/>
            <w:tcBorders>
              <w:top w:val="single" w:sz="12" w:space="0" w:color="auto"/>
            </w:tcBorders>
            <w:vAlign w:val="bottom"/>
          </w:tcPr>
          <w:p w14:paraId="155E0360" w14:textId="77777777" w:rsidR="00E159D9" w:rsidRPr="00E632E3" w:rsidRDefault="00E159D9" w:rsidP="004378AC">
            <w:pPr>
              <w:suppressAutoHyphens/>
              <w:autoSpaceDN w:val="0"/>
              <w:jc w:val="right"/>
              <w:rPr>
                <w:rFonts w:ascii="Arial" w:eastAsia="Times New Roman" w:hAnsi="Arial" w:cs="Arial"/>
                <w:color w:val="000000"/>
                <w:sz w:val="17"/>
                <w:szCs w:val="17"/>
              </w:rPr>
            </w:pPr>
          </w:p>
        </w:tc>
        <w:tc>
          <w:tcPr>
            <w:tcW w:w="528" w:type="pct"/>
            <w:tcBorders>
              <w:top w:val="single" w:sz="12" w:space="0" w:color="auto"/>
            </w:tcBorders>
            <w:vAlign w:val="bottom"/>
          </w:tcPr>
          <w:p w14:paraId="52B43DE9" w14:textId="77777777" w:rsidR="00E159D9" w:rsidRPr="00E632E3" w:rsidRDefault="00E159D9" w:rsidP="004378AC">
            <w:pPr>
              <w:suppressAutoHyphens/>
              <w:autoSpaceDN w:val="0"/>
              <w:jc w:val="right"/>
              <w:rPr>
                <w:rFonts w:ascii="Arial" w:eastAsia="Times New Roman" w:hAnsi="Arial" w:cs="Arial"/>
                <w:color w:val="000000"/>
                <w:sz w:val="17"/>
                <w:szCs w:val="17"/>
              </w:rPr>
            </w:pPr>
          </w:p>
        </w:tc>
        <w:tc>
          <w:tcPr>
            <w:tcW w:w="538" w:type="pct"/>
            <w:tcBorders>
              <w:top w:val="single" w:sz="12" w:space="0" w:color="auto"/>
            </w:tcBorders>
            <w:vAlign w:val="bottom"/>
          </w:tcPr>
          <w:p w14:paraId="67B7EAC9" w14:textId="77777777" w:rsidR="00E159D9" w:rsidRPr="00E632E3" w:rsidRDefault="00E159D9" w:rsidP="004378AC">
            <w:pPr>
              <w:suppressAutoHyphens/>
              <w:autoSpaceDN w:val="0"/>
              <w:jc w:val="right"/>
              <w:rPr>
                <w:rFonts w:ascii="Arial" w:eastAsia="Times New Roman" w:hAnsi="Arial" w:cs="Arial"/>
                <w:color w:val="000000"/>
                <w:sz w:val="17"/>
                <w:szCs w:val="17"/>
              </w:rPr>
            </w:pPr>
          </w:p>
        </w:tc>
        <w:tc>
          <w:tcPr>
            <w:tcW w:w="623" w:type="pct"/>
            <w:tcBorders>
              <w:top w:val="single" w:sz="12" w:space="0" w:color="auto"/>
            </w:tcBorders>
            <w:vAlign w:val="bottom"/>
          </w:tcPr>
          <w:p w14:paraId="15B70461" w14:textId="77777777" w:rsidR="00E159D9" w:rsidRPr="00E632E3" w:rsidRDefault="00E159D9" w:rsidP="004378AC">
            <w:pPr>
              <w:suppressAutoHyphens/>
              <w:autoSpaceDN w:val="0"/>
              <w:jc w:val="right"/>
              <w:rPr>
                <w:rFonts w:ascii="Arial" w:eastAsia="Times New Roman" w:hAnsi="Arial" w:cs="Arial"/>
                <w:color w:val="000000"/>
                <w:sz w:val="17"/>
                <w:szCs w:val="17"/>
              </w:rPr>
            </w:pPr>
          </w:p>
        </w:tc>
        <w:tc>
          <w:tcPr>
            <w:tcW w:w="589" w:type="pct"/>
            <w:tcBorders>
              <w:top w:val="single" w:sz="12" w:space="0" w:color="auto"/>
            </w:tcBorders>
            <w:vAlign w:val="bottom"/>
          </w:tcPr>
          <w:p w14:paraId="292FAB2C" w14:textId="77777777" w:rsidR="00E159D9" w:rsidRPr="00E632E3" w:rsidRDefault="00E159D9" w:rsidP="004378AC">
            <w:pPr>
              <w:suppressAutoHyphens/>
              <w:autoSpaceDN w:val="0"/>
              <w:jc w:val="right"/>
              <w:rPr>
                <w:rFonts w:ascii="Arial" w:eastAsia="Times New Roman" w:hAnsi="Arial" w:cs="Arial"/>
                <w:color w:val="000000"/>
                <w:sz w:val="17"/>
                <w:szCs w:val="17"/>
              </w:rPr>
            </w:pPr>
          </w:p>
        </w:tc>
      </w:tr>
      <w:tr w:rsidR="00E159D9" w:rsidRPr="00E632E3" w14:paraId="2EB4B0BD" w14:textId="77777777" w:rsidTr="004378AC">
        <w:trPr>
          <w:trHeight w:val="161"/>
        </w:trPr>
        <w:tc>
          <w:tcPr>
            <w:tcW w:w="1641" w:type="pct"/>
            <w:vAlign w:val="bottom"/>
          </w:tcPr>
          <w:p w14:paraId="6CEBCBA5" w14:textId="77777777" w:rsidR="00E159D9" w:rsidRPr="00E632E3" w:rsidRDefault="00E159D9" w:rsidP="004378AC">
            <w:pPr>
              <w:tabs>
                <w:tab w:val="right" w:pos="1202"/>
              </w:tabs>
              <w:suppressAutoHyphens/>
              <w:autoSpaceDN w:val="0"/>
              <w:spacing w:line="220" w:lineRule="exact"/>
              <w:outlineLvl w:val="0"/>
              <w:rPr>
                <w:rFonts w:ascii="Arial" w:eastAsia="Times New Roman" w:hAnsi="Arial" w:cs="Arial"/>
                <w:b/>
                <w:bCs/>
                <w:color w:val="000000" w:themeColor="text1"/>
                <w:sz w:val="17"/>
                <w:szCs w:val="17"/>
              </w:rPr>
            </w:pPr>
            <w:bookmarkStart w:id="775" w:name="_Toc67330094"/>
            <w:r w:rsidRPr="00E632E3">
              <w:rPr>
                <w:rFonts w:ascii="Arial" w:eastAsia="Times New Roman" w:hAnsi="Arial" w:cs="Arial"/>
                <w:b/>
                <w:bCs/>
                <w:color w:val="000000" w:themeColor="text1"/>
                <w:sz w:val="17"/>
                <w:szCs w:val="17"/>
              </w:rPr>
              <w:t>Obveze</w:t>
            </w:r>
            <w:bookmarkEnd w:id="775"/>
          </w:p>
        </w:tc>
        <w:tc>
          <w:tcPr>
            <w:tcW w:w="547" w:type="pct"/>
            <w:vAlign w:val="bottom"/>
          </w:tcPr>
          <w:p w14:paraId="2CF0782C" w14:textId="77777777" w:rsidR="00E159D9" w:rsidRPr="00E632E3" w:rsidRDefault="00E159D9" w:rsidP="004378AC">
            <w:pPr>
              <w:suppressAutoHyphens/>
              <w:autoSpaceDN w:val="0"/>
              <w:jc w:val="right"/>
              <w:rPr>
                <w:rFonts w:ascii="Arial" w:eastAsia="Times New Roman" w:hAnsi="Arial" w:cs="Arial"/>
                <w:color w:val="000000"/>
                <w:sz w:val="17"/>
                <w:szCs w:val="17"/>
              </w:rPr>
            </w:pPr>
          </w:p>
        </w:tc>
        <w:tc>
          <w:tcPr>
            <w:tcW w:w="534" w:type="pct"/>
            <w:vAlign w:val="bottom"/>
          </w:tcPr>
          <w:p w14:paraId="203EF3F2" w14:textId="77777777" w:rsidR="00E159D9" w:rsidRPr="00E632E3" w:rsidRDefault="00E159D9" w:rsidP="004378AC">
            <w:pPr>
              <w:suppressAutoHyphens/>
              <w:autoSpaceDN w:val="0"/>
              <w:jc w:val="right"/>
              <w:rPr>
                <w:rFonts w:ascii="Arial" w:eastAsia="Times New Roman" w:hAnsi="Arial" w:cs="Arial"/>
                <w:color w:val="000000"/>
                <w:sz w:val="17"/>
                <w:szCs w:val="17"/>
              </w:rPr>
            </w:pPr>
          </w:p>
        </w:tc>
        <w:tc>
          <w:tcPr>
            <w:tcW w:w="528" w:type="pct"/>
            <w:vAlign w:val="bottom"/>
          </w:tcPr>
          <w:p w14:paraId="2A215B17" w14:textId="77777777" w:rsidR="00E159D9" w:rsidRPr="00E632E3" w:rsidRDefault="00E159D9" w:rsidP="004378AC">
            <w:pPr>
              <w:suppressAutoHyphens/>
              <w:autoSpaceDN w:val="0"/>
              <w:jc w:val="right"/>
              <w:rPr>
                <w:rFonts w:ascii="Arial" w:eastAsia="Times New Roman" w:hAnsi="Arial" w:cs="Arial"/>
                <w:color w:val="000000"/>
                <w:sz w:val="17"/>
                <w:szCs w:val="17"/>
              </w:rPr>
            </w:pPr>
          </w:p>
        </w:tc>
        <w:tc>
          <w:tcPr>
            <w:tcW w:w="538" w:type="pct"/>
            <w:vAlign w:val="bottom"/>
          </w:tcPr>
          <w:p w14:paraId="5CB04277" w14:textId="77777777" w:rsidR="00E159D9" w:rsidRPr="00E632E3" w:rsidRDefault="00E159D9" w:rsidP="004378AC">
            <w:pPr>
              <w:suppressAutoHyphens/>
              <w:autoSpaceDN w:val="0"/>
              <w:jc w:val="right"/>
              <w:rPr>
                <w:rFonts w:ascii="Arial" w:eastAsia="Times New Roman" w:hAnsi="Arial" w:cs="Arial"/>
                <w:color w:val="000000"/>
                <w:sz w:val="17"/>
                <w:szCs w:val="17"/>
              </w:rPr>
            </w:pPr>
          </w:p>
        </w:tc>
        <w:tc>
          <w:tcPr>
            <w:tcW w:w="623" w:type="pct"/>
            <w:vAlign w:val="bottom"/>
          </w:tcPr>
          <w:p w14:paraId="70F2C983" w14:textId="77777777" w:rsidR="00E159D9" w:rsidRPr="00E632E3" w:rsidRDefault="00E159D9" w:rsidP="004378AC">
            <w:pPr>
              <w:suppressAutoHyphens/>
              <w:autoSpaceDN w:val="0"/>
              <w:jc w:val="right"/>
              <w:rPr>
                <w:rFonts w:ascii="Arial" w:eastAsia="Times New Roman" w:hAnsi="Arial" w:cs="Arial"/>
                <w:color w:val="000000"/>
                <w:sz w:val="17"/>
                <w:szCs w:val="17"/>
              </w:rPr>
            </w:pPr>
          </w:p>
        </w:tc>
        <w:tc>
          <w:tcPr>
            <w:tcW w:w="589" w:type="pct"/>
            <w:vAlign w:val="bottom"/>
          </w:tcPr>
          <w:p w14:paraId="2D299137" w14:textId="77777777" w:rsidR="00E159D9" w:rsidRPr="00E632E3" w:rsidRDefault="00E159D9" w:rsidP="004378AC">
            <w:pPr>
              <w:suppressAutoHyphens/>
              <w:autoSpaceDN w:val="0"/>
              <w:jc w:val="right"/>
              <w:rPr>
                <w:rFonts w:ascii="Arial" w:eastAsia="Times New Roman" w:hAnsi="Arial" w:cs="Arial"/>
                <w:color w:val="000000"/>
                <w:sz w:val="17"/>
                <w:szCs w:val="17"/>
              </w:rPr>
            </w:pPr>
          </w:p>
        </w:tc>
      </w:tr>
      <w:tr w:rsidR="00E159D9" w:rsidRPr="00E632E3" w14:paraId="2D8D2AAE" w14:textId="77777777" w:rsidTr="004378AC">
        <w:trPr>
          <w:trHeight w:val="161"/>
        </w:trPr>
        <w:tc>
          <w:tcPr>
            <w:tcW w:w="1641" w:type="pct"/>
            <w:vAlign w:val="bottom"/>
          </w:tcPr>
          <w:p w14:paraId="64ED209E" w14:textId="77777777" w:rsidR="00E159D9" w:rsidRPr="00E632E3" w:rsidRDefault="00E159D9" w:rsidP="004378AC">
            <w:pPr>
              <w:tabs>
                <w:tab w:val="right" w:pos="1202"/>
              </w:tabs>
              <w:suppressAutoHyphens/>
              <w:autoSpaceDN w:val="0"/>
              <w:spacing w:line="220" w:lineRule="exact"/>
              <w:outlineLvl w:val="0"/>
              <w:rPr>
                <w:rFonts w:ascii="Arial" w:eastAsia="Times New Roman" w:hAnsi="Arial" w:cs="Arial"/>
                <w:color w:val="000000" w:themeColor="text1"/>
                <w:sz w:val="17"/>
                <w:szCs w:val="17"/>
              </w:rPr>
            </w:pPr>
            <w:bookmarkStart w:id="776" w:name="_Toc67330095"/>
            <w:r w:rsidRPr="00E632E3">
              <w:rPr>
                <w:rFonts w:ascii="Arial" w:eastAsia="Times New Roman" w:hAnsi="Arial" w:cs="Arial"/>
                <w:color w:val="000000" w:themeColor="text1"/>
                <w:spacing w:val="-2"/>
                <w:sz w:val="17"/>
                <w:szCs w:val="17"/>
              </w:rPr>
              <w:t>Obveze po depozitima</w:t>
            </w:r>
            <w:bookmarkEnd w:id="776"/>
          </w:p>
        </w:tc>
        <w:tc>
          <w:tcPr>
            <w:tcW w:w="547" w:type="pct"/>
            <w:tcBorders>
              <w:top w:val="nil"/>
              <w:left w:val="nil"/>
              <w:bottom w:val="nil"/>
              <w:right w:val="nil"/>
            </w:tcBorders>
            <w:shd w:val="clear" w:color="auto" w:fill="auto"/>
            <w:vAlign w:val="bottom"/>
          </w:tcPr>
          <w:p w14:paraId="7809450E" w14:textId="77777777" w:rsidR="00E159D9" w:rsidRPr="00E632E3"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176.416</w:t>
            </w:r>
          </w:p>
        </w:tc>
        <w:tc>
          <w:tcPr>
            <w:tcW w:w="534" w:type="pct"/>
            <w:tcBorders>
              <w:top w:val="nil"/>
              <w:left w:val="nil"/>
              <w:bottom w:val="nil"/>
              <w:right w:val="nil"/>
            </w:tcBorders>
            <w:shd w:val="clear" w:color="auto" w:fill="auto"/>
            <w:vAlign w:val="bottom"/>
          </w:tcPr>
          <w:p w14:paraId="16AB2D5D" w14:textId="77777777" w:rsidR="00E159D9" w:rsidRPr="00E632E3"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387</w:t>
            </w:r>
          </w:p>
        </w:tc>
        <w:tc>
          <w:tcPr>
            <w:tcW w:w="528" w:type="pct"/>
            <w:tcBorders>
              <w:top w:val="nil"/>
              <w:left w:val="nil"/>
              <w:bottom w:val="nil"/>
              <w:right w:val="nil"/>
            </w:tcBorders>
            <w:shd w:val="clear" w:color="auto" w:fill="auto"/>
            <w:vAlign w:val="bottom"/>
          </w:tcPr>
          <w:p w14:paraId="3FF80541" w14:textId="77777777" w:rsidR="00E159D9" w:rsidRPr="00E632E3"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36.312</w:t>
            </w:r>
          </w:p>
        </w:tc>
        <w:tc>
          <w:tcPr>
            <w:tcW w:w="538" w:type="pct"/>
            <w:tcBorders>
              <w:top w:val="nil"/>
              <w:left w:val="nil"/>
              <w:bottom w:val="nil"/>
              <w:right w:val="nil"/>
            </w:tcBorders>
            <w:shd w:val="clear" w:color="auto" w:fill="auto"/>
            <w:vAlign w:val="bottom"/>
          </w:tcPr>
          <w:p w14:paraId="28EE587F" w14:textId="77777777" w:rsidR="00E159D9" w:rsidRPr="00E632E3"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49</w:t>
            </w:r>
          </w:p>
        </w:tc>
        <w:tc>
          <w:tcPr>
            <w:tcW w:w="623" w:type="pct"/>
            <w:tcBorders>
              <w:top w:val="nil"/>
              <w:left w:val="nil"/>
              <w:bottom w:val="nil"/>
              <w:right w:val="nil"/>
            </w:tcBorders>
            <w:shd w:val="clear" w:color="auto" w:fill="auto"/>
            <w:vAlign w:val="bottom"/>
          </w:tcPr>
          <w:p w14:paraId="5AC5B75C" w14:textId="77777777" w:rsidR="00E159D9" w:rsidRPr="00E632E3"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9.903</w:t>
            </w:r>
          </w:p>
        </w:tc>
        <w:tc>
          <w:tcPr>
            <w:tcW w:w="589" w:type="pct"/>
            <w:tcBorders>
              <w:top w:val="nil"/>
              <w:left w:val="nil"/>
              <w:bottom w:val="nil"/>
              <w:right w:val="nil"/>
            </w:tcBorders>
            <w:shd w:val="clear" w:color="auto" w:fill="auto"/>
            <w:vAlign w:val="bottom"/>
          </w:tcPr>
          <w:p w14:paraId="6E18193D" w14:textId="77777777" w:rsidR="00E159D9" w:rsidRPr="00E632E3"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223.067</w:t>
            </w:r>
          </w:p>
        </w:tc>
      </w:tr>
      <w:tr w:rsidR="00E159D9" w:rsidRPr="00E632E3" w14:paraId="148CCC35" w14:textId="77777777" w:rsidTr="004378AC">
        <w:trPr>
          <w:trHeight w:val="153"/>
        </w:trPr>
        <w:tc>
          <w:tcPr>
            <w:tcW w:w="1641" w:type="pct"/>
            <w:vAlign w:val="bottom"/>
          </w:tcPr>
          <w:p w14:paraId="1BAB0FE2" w14:textId="77777777" w:rsidR="00E159D9" w:rsidRPr="00E632E3" w:rsidRDefault="00E159D9" w:rsidP="004378AC">
            <w:pPr>
              <w:tabs>
                <w:tab w:val="right" w:pos="1202"/>
              </w:tabs>
              <w:suppressAutoHyphens/>
              <w:autoSpaceDN w:val="0"/>
              <w:spacing w:line="220" w:lineRule="exact"/>
              <w:outlineLvl w:val="0"/>
              <w:rPr>
                <w:rFonts w:ascii="Arial" w:eastAsia="Times New Roman" w:hAnsi="Arial" w:cs="Arial"/>
                <w:color w:val="000000" w:themeColor="text1"/>
                <w:sz w:val="17"/>
                <w:szCs w:val="17"/>
              </w:rPr>
            </w:pPr>
            <w:bookmarkStart w:id="777" w:name="_Toc67330096"/>
            <w:r w:rsidRPr="00E632E3">
              <w:rPr>
                <w:rFonts w:ascii="Arial" w:eastAsia="Times New Roman" w:hAnsi="Arial" w:cs="Arial"/>
                <w:color w:val="000000" w:themeColor="text1"/>
                <w:spacing w:val="-2"/>
                <w:sz w:val="17"/>
                <w:szCs w:val="17"/>
              </w:rPr>
              <w:t>Obveze po kreditima</w:t>
            </w:r>
            <w:bookmarkEnd w:id="777"/>
          </w:p>
        </w:tc>
        <w:tc>
          <w:tcPr>
            <w:tcW w:w="547" w:type="pct"/>
            <w:tcBorders>
              <w:top w:val="nil"/>
              <w:left w:val="nil"/>
              <w:bottom w:val="nil"/>
              <w:right w:val="nil"/>
            </w:tcBorders>
            <w:shd w:val="clear" w:color="auto" w:fill="auto"/>
            <w:vAlign w:val="bottom"/>
          </w:tcPr>
          <w:p w14:paraId="0C8D0D33" w14:textId="77777777" w:rsidR="00E159D9" w:rsidRPr="00E632E3"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51.725</w:t>
            </w:r>
          </w:p>
        </w:tc>
        <w:tc>
          <w:tcPr>
            <w:tcW w:w="534" w:type="pct"/>
            <w:tcBorders>
              <w:top w:val="nil"/>
              <w:left w:val="nil"/>
              <w:bottom w:val="nil"/>
              <w:right w:val="nil"/>
            </w:tcBorders>
            <w:shd w:val="clear" w:color="auto" w:fill="auto"/>
            <w:vAlign w:val="bottom"/>
          </w:tcPr>
          <w:p w14:paraId="1A400491" w14:textId="77777777" w:rsidR="00E159D9" w:rsidRPr="00E632E3"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69.041***</w:t>
            </w:r>
          </w:p>
        </w:tc>
        <w:tc>
          <w:tcPr>
            <w:tcW w:w="528" w:type="pct"/>
            <w:tcBorders>
              <w:top w:val="nil"/>
              <w:left w:val="nil"/>
              <w:bottom w:val="nil"/>
              <w:right w:val="nil"/>
            </w:tcBorders>
            <w:shd w:val="clear" w:color="auto" w:fill="auto"/>
            <w:vAlign w:val="bottom"/>
          </w:tcPr>
          <w:p w14:paraId="24FBFA81" w14:textId="77777777" w:rsidR="00E159D9" w:rsidRPr="00E632E3"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250.123</w:t>
            </w:r>
          </w:p>
        </w:tc>
        <w:tc>
          <w:tcPr>
            <w:tcW w:w="538" w:type="pct"/>
            <w:tcBorders>
              <w:top w:val="nil"/>
              <w:left w:val="nil"/>
              <w:bottom w:val="nil"/>
              <w:right w:val="nil"/>
            </w:tcBorders>
            <w:shd w:val="clear" w:color="auto" w:fill="auto"/>
            <w:vAlign w:val="bottom"/>
          </w:tcPr>
          <w:p w14:paraId="71C5F9CE" w14:textId="77777777" w:rsidR="00E159D9" w:rsidRPr="00E632E3"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661.116</w:t>
            </w:r>
          </w:p>
        </w:tc>
        <w:tc>
          <w:tcPr>
            <w:tcW w:w="623" w:type="pct"/>
            <w:tcBorders>
              <w:top w:val="nil"/>
              <w:left w:val="nil"/>
              <w:bottom w:val="nil"/>
              <w:right w:val="nil"/>
            </w:tcBorders>
            <w:shd w:val="clear" w:color="auto" w:fill="auto"/>
            <w:vAlign w:val="bottom"/>
          </w:tcPr>
          <w:p w14:paraId="530D56F6" w14:textId="77777777" w:rsidR="00E159D9" w:rsidRPr="00E632E3"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1.163.885</w:t>
            </w:r>
          </w:p>
        </w:tc>
        <w:tc>
          <w:tcPr>
            <w:tcW w:w="589" w:type="pct"/>
            <w:tcBorders>
              <w:top w:val="nil"/>
              <w:left w:val="nil"/>
              <w:bottom w:val="nil"/>
              <w:right w:val="nil"/>
            </w:tcBorders>
            <w:shd w:val="clear" w:color="auto" w:fill="auto"/>
            <w:vAlign w:val="bottom"/>
          </w:tcPr>
          <w:p w14:paraId="41CDF069" w14:textId="77777777" w:rsidR="00E159D9" w:rsidRPr="00E632E3"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2.195.890</w:t>
            </w:r>
          </w:p>
        </w:tc>
      </w:tr>
      <w:tr w:rsidR="00E159D9" w:rsidRPr="00E632E3" w14:paraId="605A6920" w14:textId="77777777" w:rsidTr="004378AC">
        <w:trPr>
          <w:trHeight w:val="315"/>
        </w:trPr>
        <w:tc>
          <w:tcPr>
            <w:tcW w:w="1641" w:type="pct"/>
            <w:vAlign w:val="bottom"/>
          </w:tcPr>
          <w:p w14:paraId="7882BB7B" w14:textId="77777777" w:rsidR="00E159D9" w:rsidRPr="00E632E3" w:rsidRDefault="00E159D9" w:rsidP="004378AC">
            <w:pPr>
              <w:tabs>
                <w:tab w:val="right" w:pos="1202"/>
              </w:tabs>
              <w:suppressAutoHyphens/>
              <w:autoSpaceDN w:val="0"/>
              <w:spacing w:line="220" w:lineRule="exact"/>
              <w:outlineLvl w:val="0"/>
              <w:rPr>
                <w:rFonts w:ascii="Arial" w:eastAsia="Times New Roman" w:hAnsi="Arial" w:cs="Arial"/>
                <w:color w:val="000000" w:themeColor="text1"/>
                <w:spacing w:val="-2"/>
                <w:sz w:val="17"/>
                <w:szCs w:val="17"/>
              </w:rPr>
            </w:pPr>
            <w:bookmarkStart w:id="778" w:name="_Toc67330098"/>
            <w:r w:rsidRPr="00E632E3">
              <w:rPr>
                <w:rFonts w:ascii="Arial" w:eastAsia="Times New Roman" w:hAnsi="Arial" w:cs="Arial"/>
                <w:color w:val="000000" w:themeColor="text1"/>
                <w:spacing w:val="-2"/>
                <w:sz w:val="17"/>
                <w:szCs w:val="17"/>
              </w:rPr>
              <w:t>Rezerviranja za garancije, preuzete i ostale obveze</w:t>
            </w:r>
            <w:bookmarkEnd w:id="778"/>
          </w:p>
        </w:tc>
        <w:tc>
          <w:tcPr>
            <w:tcW w:w="547" w:type="pct"/>
            <w:tcBorders>
              <w:top w:val="nil"/>
              <w:left w:val="nil"/>
              <w:bottom w:val="nil"/>
              <w:right w:val="nil"/>
            </w:tcBorders>
            <w:shd w:val="clear" w:color="auto" w:fill="auto"/>
            <w:vAlign w:val="bottom"/>
          </w:tcPr>
          <w:p w14:paraId="4A5F60A8" w14:textId="77777777" w:rsidR="00E159D9" w:rsidRPr="00E632E3" w:rsidDel="00F864B4"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7.862</w:t>
            </w:r>
          </w:p>
        </w:tc>
        <w:tc>
          <w:tcPr>
            <w:tcW w:w="534" w:type="pct"/>
            <w:tcBorders>
              <w:top w:val="nil"/>
              <w:left w:val="nil"/>
              <w:bottom w:val="nil"/>
              <w:right w:val="nil"/>
            </w:tcBorders>
            <w:shd w:val="clear" w:color="auto" w:fill="auto"/>
            <w:vAlign w:val="bottom"/>
          </w:tcPr>
          <w:p w14:paraId="480BFA5A" w14:textId="77777777" w:rsidR="00E159D9" w:rsidRPr="00E632E3" w:rsidDel="00F864B4"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683</w:t>
            </w:r>
          </w:p>
        </w:tc>
        <w:tc>
          <w:tcPr>
            <w:tcW w:w="528" w:type="pct"/>
            <w:tcBorders>
              <w:top w:val="nil"/>
              <w:left w:val="nil"/>
              <w:bottom w:val="nil"/>
              <w:right w:val="nil"/>
            </w:tcBorders>
            <w:shd w:val="clear" w:color="auto" w:fill="auto"/>
            <w:vAlign w:val="bottom"/>
          </w:tcPr>
          <w:p w14:paraId="0E902910" w14:textId="77777777" w:rsidR="00E159D9" w:rsidRPr="00E632E3" w:rsidDel="00F864B4"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2.326</w:t>
            </w:r>
          </w:p>
        </w:tc>
        <w:tc>
          <w:tcPr>
            <w:tcW w:w="538" w:type="pct"/>
            <w:tcBorders>
              <w:top w:val="nil"/>
              <w:left w:val="nil"/>
              <w:bottom w:val="nil"/>
              <w:right w:val="nil"/>
            </w:tcBorders>
            <w:shd w:val="clear" w:color="auto" w:fill="auto"/>
            <w:vAlign w:val="bottom"/>
          </w:tcPr>
          <w:p w14:paraId="4B840089" w14:textId="77777777" w:rsidR="00E159D9" w:rsidRPr="00E632E3" w:rsidDel="00F864B4"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5.112</w:t>
            </w:r>
          </w:p>
        </w:tc>
        <w:tc>
          <w:tcPr>
            <w:tcW w:w="623" w:type="pct"/>
            <w:tcBorders>
              <w:top w:val="nil"/>
              <w:left w:val="nil"/>
              <w:bottom w:val="nil"/>
              <w:right w:val="nil"/>
            </w:tcBorders>
            <w:shd w:val="clear" w:color="auto" w:fill="auto"/>
            <w:vAlign w:val="bottom"/>
          </w:tcPr>
          <w:p w14:paraId="22156AAD" w14:textId="77777777" w:rsidR="00E159D9" w:rsidRPr="00E632E3" w:rsidDel="00F864B4"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3.412</w:t>
            </w:r>
          </w:p>
        </w:tc>
        <w:tc>
          <w:tcPr>
            <w:tcW w:w="589" w:type="pct"/>
            <w:tcBorders>
              <w:top w:val="nil"/>
              <w:left w:val="nil"/>
              <w:bottom w:val="nil"/>
              <w:right w:val="nil"/>
            </w:tcBorders>
            <w:shd w:val="clear" w:color="auto" w:fill="auto"/>
            <w:vAlign w:val="bottom"/>
          </w:tcPr>
          <w:p w14:paraId="2AAA3FB2" w14:textId="77777777" w:rsidR="00E159D9" w:rsidRPr="00E632E3" w:rsidDel="00F864B4"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19.395</w:t>
            </w:r>
          </w:p>
        </w:tc>
      </w:tr>
      <w:tr w:rsidR="00E159D9" w:rsidRPr="00E632E3" w14:paraId="22F49092" w14:textId="77777777" w:rsidTr="004378AC">
        <w:trPr>
          <w:trHeight w:val="153"/>
        </w:trPr>
        <w:tc>
          <w:tcPr>
            <w:tcW w:w="1641" w:type="pct"/>
            <w:vAlign w:val="bottom"/>
          </w:tcPr>
          <w:p w14:paraId="077FEC2F" w14:textId="77777777" w:rsidR="00E159D9" w:rsidRPr="00E632E3" w:rsidRDefault="00E159D9" w:rsidP="004378AC">
            <w:pPr>
              <w:tabs>
                <w:tab w:val="right" w:pos="1202"/>
              </w:tabs>
              <w:suppressAutoHyphens/>
              <w:autoSpaceDN w:val="0"/>
              <w:spacing w:line="220" w:lineRule="exact"/>
              <w:outlineLvl w:val="0"/>
              <w:rPr>
                <w:rFonts w:ascii="Arial" w:eastAsia="Times New Roman" w:hAnsi="Arial" w:cs="Arial"/>
                <w:color w:val="000000" w:themeColor="text1"/>
                <w:sz w:val="17"/>
                <w:szCs w:val="17"/>
              </w:rPr>
            </w:pPr>
            <w:bookmarkStart w:id="779" w:name="_Toc67330099"/>
            <w:r w:rsidRPr="00E632E3">
              <w:rPr>
                <w:rFonts w:ascii="Arial" w:eastAsia="Times New Roman" w:hAnsi="Arial" w:cs="Arial"/>
                <w:color w:val="000000" w:themeColor="text1"/>
                <w:spacing w:val="-2"/>
                <w:sz w:val="17"/>
                <w:szCs w:val="17"/>
              </w:rPr>
              <w:t>Ostale obveze</w:t>
            </w:r>
            <w:bookmarkEnd w:id="779"/>
          </w:p>
        </w:tc>
        <w:tc>
          <w:tcPr>
            <w:tcW w:w="547" w:type="pct"/>
            <w:tcBorders>
              <w:top w:val="nil"/>
              <w:left w:val="nil"/>
              <w:bottom w:val="nil"/>
              <w:right w:val="nil"/>
            </w:tcBorders>
            <w:shd w:val="clear" w:color="auto" w:fill="auto"/>
            <w:vAlign w:val="bottom"/>
          </w:tcPr>
          <w:p w14:paraId="51948EB4" w14:textId="77777777" w:rsidR="00E159D9" w:rsidRPr="00E632E3"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30.646</w:t>
            </w:r>
          </w:p>
        </w:tc>
        <w:tc>
          <w:tcPr>
            <w:tcW w:w="534" w:type="pct"/>
            <w:tcBorders>
              <w:top w:val="nil"/>
              <w:left w:val="nil"/>
              <w:bottom w:val="nil"/>
              <w:right w:val="nil"/>
            </w:tcBorders>
            <w:shd w:val="clear" w:color="auto" w:fill="auto"/>
            <w:vAlign w:val="bottom"/>
          </w:tcPr>
          <w:p w14:paraId="4B33821B" w14:textId="77777777" w:rsidR="00E159D9" w:rsidRPr="00E632E3"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2.855</w:t>
            </w:r>
          </w:p>
        </w:tc>
        <w:tc>
          <w:tcPr>
            <w:tcW w:w="528" w:type="pct"/>
            <w:tcBorders>
              <w:top w:val="nil"/>
              <w:left w:val="nil"/>
              <w:bottom w:val="nil"/>
              <w:right w:val="nil"/>
            </w:tcBorders>
            <w:shd w:val="clear" w:color="auto" w:fill="auto"/>
            <w:vAlign w:val="bottom"/>
          </w:tcPr>
          <w:p w14:paraId="1213232C" w14:textId="77777777" w:rsidR="00E159D9" w:rsidRPr="00E632E3"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11.686</w:t>
            </w:r>
          </w:p>
        </w:tc>
        <w:tc>
          <w:tcPr>
            <w:tcW w:w="538" w:type="pct"/>
            <w:tcBorders>
              <w:top w:val="nil"/>
              <w:left w:val="nil"/>
              <w:bottom w:val="nil"/>
              <w:right w:val="nil"/>
            </w:tcBorders>
            <w:shd w:val="clear" w:color="auto" w:fill="auto"/>
            <w:vAlign w:val="bottom"/>
          </w:tcPr>
          <w:p w14:paraId="03390EE7" w14:textId="77777777" w:rsidR="00E159D9" w:rsidRPr="00E632E3"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19.926</w:t>
            </w:r>
          </w:p>
        </w:tc>
        <w:tc>
          <w:tcPr>
            <w:tcW w:w="623" w:type="pct"/>
            <w:tcBorders>
              <w:top w:val="nil"/>
              <w:left w:val="nil"/>
              <w:bottom w:val="nil"/>
              <w:right w:val="nil"/>
            </w:tcBorders>
            <w:shd w:val="clear" w:color="auto" w:fill="auto"/>
            <w:vAlign w:val="bottom"/>
          </w:tcPr>
          <w:p w14:paraId="3EFD6512" w14:textId="77777777" w:rsidR="00E159D9" w:rsidRPr="00E632E3"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13.298</w:t>
            </w:r>
          </w:p>
        </w:tc>
        <w:tc>
          <w:tcPr>
            <w:tcW w:w="589" w:type="pct"/>
            <w:tcBorders>
              <w:top w:val="nil"/>
              <w:left w:val="nil"/>
              <w:bottom w:val="nil"/>
              <w:right w:val="nil"/>
            </w:tcBorders>
            <w:shd w:val="clear" w:color="auto" w:fill="auto"/>
            <w:vAlign w:val="bottom"/>
          </w:tcPr>
          <w:p w14:paraId="1A1B4361" w14:textId="77777777" w:rsidR="00E159D9" w:rsidRPr="00E632E3"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78.411</w:t>
            </w:r>
          </w:p>
        </w:tc>
      </w:tr>
      <w:tr w:rsidR="00E159D9" w:rsidRPr="00E632E3" w14:paraId="4ADF5F01" w14:textId="77777777" w:rsidTr="004378AC">
        <w:trPr>
          <w:trHeight w:val="153"/>
        </w:trPr>
        <w:tc>
          <w:tcPr>
            <w:tcW w:w="1641" w:type="pct"/>
            <w:vAlign w:val="bottom"/>
          </w:tcPr>
          <w:p w14:paraId="1B5AEA96" w14:textId="77777777" w:rsidR="00E159D9" w:rsidRPr="00E632E3" w:rsidRDefault="00E159D9" w:rsidP="004378AC">
            <w:pPr>
              <w:tabs>
                <w:tab w:val="right" w:pos="1202"/>
              </w:tabs>
              <w:suppressAutoHyphens/>
              <w:autoSpaceDN w:val="0"/>
              <w:spacing w:line="220" w:lineRule="exact"/>
              <w:outlineLvl w:val="0"/>
              <w:rPr>
                <w:rFonts w:ascii="Arial" w:eastAsia="Times New Roman" w:hAnsi="Arial" w:cs="Arial"/>
                <w:b/>
                <w:bCs/>
                <w:color w:val="000000" w:themeColor="text1"/>
                <w:sz w:val="17"/>
                <w:szCs w:val="17"/>
              </w:rPr>
            </w:pPr>
            <w:bookmarkStart w:id="780" w:name="_Toc67330100"/>
            <w:r w:rsidRPr="00E632E3">
              <w:rPr>
                <w:rFonts w:ascii="Arial" w:eastAsia="Times New Roman" w:hAnsi="Arial" w:cs="Arial"/>
                <w:b/>
                <w:bCs/>
                <w:color w:val="000000" w:themeColor="text1"/>
                <w:sz w:val="17"/>
                <w:szCs w:val="17"/>
              </w:rPr>
              <w:t>Ukupne obveze</w:t>
            </w:r>
            <w:bookmarkEnd w:id="780"/>
          </w:p>
        </w:tc>
        <w:tc>
          <w:tcPr>
            <w:tcW w:w="547" w:type="pct"/>
            <w:tcBorders>
              <w:top w:val="single" w:sz="8" w:space="0" w:color="auto"/>
              <w:left w:val="nil"/>
              <w:bottom w:val="single" w:sz="8" w:space="0" w:color="auto"/>
              <w:right w:val="nil"/>
            </w:tcBorders>
            <w:shd w:val="clear" w:color="auto" w:fill="auto"/>
            <w:vAlign w:val="bottom"/>
          </w:tcPr>
          <w:p w14:paraId="09E64327" w14:textId="77777777" w:rsidR="00E159D9" w:rsidRPr="000F5B72" w:rsidRDefault="00E159D9" w:rsidP="004378AC">
            <w:pPr>
              <w:suppressAutoHyphens/>
              <w:autoSpaceDN w:val="0"/>
              <w:jc w:val="right"/>
              <w:rPr>
                <w:rFonts w:ascii="Arial" w:eastAsia="Times New Roman" w:hAnsi="Arial" w:cs="Arial"/>
                <w:b/>
                <w:bCs/>
                <w:color w:val="000000"/>
                <w:sz w:val="17"/>
                <w:szCs w:val="17"/>
              </w:rPr>
            </w:pPr>
            <w:r>
              <w:rPr>
                <w:rFonts w:ascii="Arial" w:eastAsia="Times New Roman" w:hAnsi="Arial" w:cs="Arial"/>
                <w:b/>
                <w:bCs/>
                <w:color w:val="000000"/>
                <w:sz w:val="17"/>
                <w:szCs w:val="17"/>
              </w:rPr>
              <w:t>266.649</w:t>
            </w:r>
          </w:p>
        </w:tc>
        <w:tc>
          <w:tcPr>
            <w:tcW w:w="534" w:type="pct"/>
            <w:tcBorders>
              <w:top w:val="single" w:sz="8" w:space="0" w:color="auto"/>
              <w:left w:val="nil"/>
              <w:bottom w:val="single" w:sz="8" w:space="0" w:color="auto"/>
              <w:right w:val="nil"/>
            </w:tcBorders>
            <w:shd w:val="clear" w:color="auto" w:fill="auto"/>
            <w:vAlign w:val="bottom"/>
          </w:tcPr>
          <w:p w14:paraId="61AAEDA8" w14:textId="77777777" w:rsidR="00E159D9" w:rsidRPr="000F5B72" w:rsidRDefault="00E159D9" w:rsidP="004378AC">
            <w:pPr>
              <w:suppressAutoHyphens/>
              <w:autoSpaceDN w:val="0"/>
              <w:jc w:val="right"/>
              <w:rPr>
                <w:rFonts w:ascii="Arial" w:eastAsia="Times New Roman" w:hAnsi="Arial" w:cs="Arial"/>
                <w:b/>
                <w:bCs/>
                <w:color w:val="000000"/>
                <w:sz w:val="17"/>
                <w:szCs w:val="17"/>
              </w:rPr>
            </w:pPr>
            <w:r>
              <w:rPr>
                <w:rFonts w:ascii="Arial" w:eastAsia="Times New Roman" w:hAnsi="Arial" w:cs="Arial"/>
                <w:b/>
                <w:bCs/>
                <w:color w:val="000000"/>
                <w:sz w:val="17"/>
                <w:szCs w:val="17"/>
              </w:rPr>
              <w:t>72.966</w:t>
            </w:r>
          </w:p>
        </w:tc>
        <w:tc>
          <w:tcPr>
            <w:tcW w:w="528" w:type="pct"/>
            <w:tcBorders>
              <w:top w:val="single" w:sz="8" w:space="0" w:color="auto"/>
              <w:left w:val="nil"/>
              <w:bottom w:val="single" w:sz="8" w:space="0" w:color="auto"/>
              <w:right w:val="nil"/>
            </w:tcBorders>
            <w:shd w:val="clear" w:color="auto" w:fill="auto"/>
            <w:vAlign w:val="bottom"/>
          </w:tcPr>
          <w:p w14:paraId="756C3299" w14:textId="77777777" w:rsidR="00E159D9" w:rsidRPr="000F5B72" w:rsidRDefault="00E159D9" w:rsidP="004378AC">
            <w:pPr>
              <w:suppressAutoHyphens/>
              <w:autoSpaceDN w:val="0"/>
              <w:jc w:val="right"/>
              <w:rPr>
                <w:rFonts w:ascii="Arial" w:eastAsia="Times New Roman" w:hAnsi="Arial" w:cs="Arial"/>
                <w:b/>
                <w:bCs/>
                <w:color w:val="000000"/>
                <w:sz w:val="17"/>
                <w:szCs w:val="17"/>
              </w:rPr>
            </w:pPr>
            <w:r>
              <w:rPr>
                <w:rFonts w:ascii="Arial" w:eastAsia="Times New Roman" w:hAnsi="Arial" w:cs="Arial"/>
                <w:b/>
                <w:bCs/>
                <w:color w:val="000000"/>
                <w:sz w:val="17"/>
                <w:szCs w:val="17"/>
              </w:rPr>
              <w:t>300.447</w:t>
            </w:r>
          </w:p>
        </w:tc>
        <w:tc>
          <w:tcPr>
            <w:tcW w:w="538" w:type="pct"/>
            <w:tcBorders>
              <w:top w:val="single" w:sz="8" w:space="0" w:color="auto"/>
              <w:left w:val="nil"/>
              <w:bottom w:val="single" w:sz="8" w:space="0" w:color="auto"/>
              <w:right w:val="nil"/>
            </w:tcBorders>
            <w:shd w:val="clear" w:color="auto" w:fill="auto"/>
            <w:vAlign w:val="bottom"/>
          </w:tcPr>
          <w:p w14:paraId="52DE1F5A" w14:textId="77777777" w:rsidR="00E159D9" w:rsidRPr="000F5B72" w:rsidRDefault="00E159D9" w:rsidP="004378AC">
            <w:pPr>
              <w:suppressAutoHyphens/>
              <w:autoSpaceDN w:val="0"/>
              <w:jc w:val="right"/>
              <w:rPr>
                <w:rFonts w:ascii="Arial" w:eastAsia="Times New Roman" w:hAnsi="Arial" w:cs="Arial"/>
                <w:b/>
                <w:bCs/>
                <w:color w:val="000000"/>
                <w:sz w:val="17"/>
                <w:szCs w:val="17"/>
              </w:rPr>
            </w:pPr>
            <w:r>
              <w:rPr>
                <w:rFonts w:ascii="Arial" w:eastAsia="Times New Roman" w:hAnsi="Arial" w:cs="Arial"/>
                <w:b/>
                <w:bCs/>
                <w:color w:val="000000"/>
                <w:sz w:val="17"/>
                <w:szCs w:val="17"/>
              </w:rPr>
              <w:t>686.203</w:t>
            </w:r>
          </w:p>
        </w:tc>
        <w:tc>
          <w:tcPr>
            <w:tcW w:w="623" w:type="pct"/>
            <w:tcBorders>
              <w:top w:val="single" w:sz="8" w:space="0" w:color="auto"/>
              <w:left w:val="nil"/>
              <w:bottom w:val="single" w:sz="8" w:space="0" w:color="auto"/>
              <w:right w:val="nil"/>
            </w:tcBorders>
            <w:shd w:val="clear" w:color="auto" w:fill="auto"/>
            <w:vAlign w:val="bottom"/>
          </w:tcPr>
          <w:p w14:paraId="2E659EA1" w14:textId="77777777" w:rsidR="00E159D9" w:rsidRPr="000F5B72" w:rsidRDefault="00E159D9" w:rsidP="004378AC">
            <w:pPr>
              <w:suppressAutoHyphens/>
              <w:autoSpaceDN w:val="0"/>
              <w:jc w:val="right"/>
              <w:rPr>
                <w:rFonts w:ascii="Arial" w:eastAsia="Times New Roman" w:hAnsi="Arial" w:cs="Arial"/>
                <w:b/>
                <w:bCs/>
                <w:color w:val="000000"/>
                <w:sz w:val="17"/>
                <w:szCs w:val="17"/>
              </w:rPr>
            </w:pPr>
            <w:r>
              <w:rPr>
                <w:rFonts w:ascii="Arial" w:eastAsia="Times New Roman" w:hAnsi="Arial" w:cs="Arial"/>
                <w:b/>
                <w:bCs/>
                <w:color w:val="000000"/>
                <w:sz w:val="17"/>
                <w:szCs w:val="17"/>
              </w:rPr>
              <w:t>1.190.498</w:t>
            </w:r>
          </w:p>
        </w:tc>
        <w:tc>
          <w:tcPr>
            <w:tcW w:w="589" w:type="pct"/>
            <w:tcBorders>
              <w:top w:val="single" w:sz="8" w:space="0" w:color="auto"/>
              <w:left w:val="nil"/>
              <w:bottom w:val="single" w:sz="8" w:space="0" w:color="auto"/>
              <w:right w:val="nil"/>
            </w:tcBorders>
            <w:shd w:val="clear" w:color="auto" w:fill="auto"/>
            <w:vAlign w:val="bottom"/>
          </w:tcPr>
          <w:p w14:paraId="0B8365A7" w14:textId="77777777" w:rsidR="00E159D9" w:rsidRPr="000F5B72" w:rsidRDefault="00E159D9" w:rsidP="004378AC">
            <w:pPr>
              <w:suppressAutoHyphens/>
              <w:autoSpaceDN w:val="0"/>
              <w:jc w:val="right"/>
              <w:rPr>
                <w:rFonts w:ascii="Arial" w:eastAsia="Times New Roman" w:hAnsi="Arial" w:cs="Arial"/>
                <w:b/>
                <w:bCs/>
                <w:color w:val="000000"/>
                <w:sz w:val="17"/>
                <w:szCs w:val="17"/>
              </w:rPr>
            </w:pPr>
            <w:r>
              <w:rPr>
                <w:rFonts w:ascii="Arial" w:eastAsia="Times New Roman" w:hAnsi="Arial" w:cs="Arial"/>
                <w:b/>
                <w:bCs/>
                <w:color w:val="000000"/>
                <w:sz w:val="17"/>
                <w:szCs w:val="17"/>
              </w:rPr>
              <w:t>2.516.763</w:t>
            </w:r>
          </w:p>
        </w:tc>
      </w:tr>
      <w:tr w:rsidR="00E159D9" w:rsidRPr="00E632E3" w14:paraId="260F0DB9" w14:textId="77777777" w:rsidTr="004378AC">
        <w:trPr>
          <w:trHeight w:val="229"/>
        </w:trPr>
        <w:tc>
          <w:tcPr>
            <w:tcW w:w="1641" w:type="pct"/>
            <w:vAlign w:val="bottom"/>
          </w:tcPr>
          <w:p w14:paraId="764C9110" w14:textId="77777777" w:rsidR="00E159D9" w:rsidRPr="00E632E3" w:rsidRDefault="00E159D9" w:rsidP="004378AC">
            <w:pPr>
              <w:tabs>
                <w:tab w:val="right" w:pos="1202"/>
              </w:tabs>
              <w:suppressAutoHyphens/>
              <w:autoSpaceDN w:val="0"/>
              <w:spacing w:line="220" w:lineRule="exact"/>
              <w:outlineLvl w:val="0"/>
              <w:rPr>
                <w:rFonts w:ascii="Arial" w:eastAsia="Times New Roman" w:hAnsi="Arial" w:cs="Arial"/>
                <w:b/>
                <w:bCs/>
                <w:color w:val="000000" w:themeColor="text1"/>
                <w:spacing w:val="-2"/>
                <w:sz w:val="17"/>
                <w:szCs w:val="17"/>
              </w:rPr>
            </w:pPr>
            <w:bookmarkStart w:id="781" w:name="_Toc67330101"/>
            <w:r w:rsidRPr="00E632E3">
              <w:rPr>
                <w:rFonts w:ascii="Arial" w:eastAsia="Calibri" w:hAnsi="Arial" w:cs="Arial"/>
                <w:b/>
                <w:bCs/>
                <w:color w:val="000000" w:themeColor="text1"/>
                <w:spacing w:val="-2"/>
                <w:sz w:val="17"/>
                <w:szCs w:val="17"/>
              </w:rPr>
              <w:t>Likvidnosni jaz</w:t>
            </w:r>
            <w:bookmarkEnd w:id="781"/>
          </w:p>
        </w:tc>
        <w:tc>
          <w:tcPr>
            <w:tcW w:w="547" w:type="pct"/>
            <w:tcBorders>
              <w:top w:val="single" w:sz="4" w:space="0" w:color="auto"/>
              <w:left w:val="nil"/>
              <w:bottom w:val="single" w:sz="8" w:space="0" w:color="auto"/>
              <w:right w:val="nil"/>
            </w:tcBorders>
            <w:shd w:val="clear" w:color="auto" w:fill="auto"/>
            <w:vAlign w:val="bottom"/>
          </w:tcPr>
          <w:p w14:paraId="7265FBA2" w14:textId="77777777" w:rsidR="00E159D9" w:rsidRPr="00E632E3" w:rsidRDefault="00E159D9" w:rsidP="004378AC">
            <w:pPr>
              <w:suppressAutoHyphens/>
              <w:autoSpaceDN w:val="0"/>
              <w:jc w:val="right"/>
              <w:rPr>
                <w:rFonts w:ascii="Arial" w:eastAsia="Times New Roman" w:hAnsi="Arial" w:cs="Arial"/>
                <w:b/>
                <w:bCs/>
                <w:color w:val="000000"/>
                <w:sz w:val="17"/>
                <w:szCs w:val="17"/>
              </w:rPr>
            </w:pPr>
            <w:r>
              <w:rPr>
                <w:rFonts w:ascii="Arial" w:eastAsia="Times New Roman" w:hAnsi="Arial" w:cs="Arial"/>
                <w:b/>
                <w:bCs/>
                <w:color w:val="000000"/>
                <w:sz w:val="17"/>
                <w:szCs w:val="17"/>
              </w:rPr>
              <w:t>401.822</w:t>
            </w:r>
          </w:p>
        </w:tc>
        <w:tc>
          <w:tcPr>
            <w:tcW w:w="534" w:type="pct"/>
            <w:tcBorders>
              <w:top w:val="single" w:sz="4" w:space="0" w:color="auto"/>
              <w:left w:val="nil"/>
              <w:bottom w:val="single" w:sz="8" w:space="0" w:color="auto"/>
              <w:right w:val="nil"/>
            </w:tcBorders>
            <w:shd w:val="clear" w:color="auto" w:fill="auto"/>
            <w:vAlign w:val="bottom"/>
          </w:tcPr>
          <w:p w14:paraId="4D737A8D" w14:textId="77777777" w:rsidR="00E159D9" w:rsidRPr="00E632E3" w:rsidRDefault="00E159D9" w:rsidP="004378AC">
            <w:pPr>
              <w:suppressAutoHyphens/>
              <w:autoSpaceDN w:val="0"/>
              <w:jc w:val="right"/>
              <w:rPr>
                <w:rFonts w:ascii="Arial" w:eastAsia="Times New Roman" w:hAnsi="Arial" w:cs="Arial"/>
                <w:b/>
                <w:bCs/>
                <w:color w:val="000000"/>
                <w:sz w:val="17"/>
                <w:szCs w:val="17"/>
              </w:rPr>
            </w:pPr>
            <w:r>
              <w:rPr>
                <w:rFonts w:ascii="Arial" w:eastAsia="Times New Roman" w:hAnsi="Arial" w:cs="Arial"/>
                <w:b/>
                <w:bCs/>
                <w:color w:val="000000"/>
                <w:sz w:val="17"/>
                <w:szCs w:val="17"/>
              </w:rPr>
              <w:t>91.902</w:t>
            </w:r>
          </w:p>
        </w:tc>
        <w:tc>
          <w:tcPr>
            <w:tcW w:w="528" w:type="pct"/>
            <w:tcBorders>
              <w:top w:val="single" w:sz="4" w:space="0" w:color="auto"/>
              <w:left w:val="nil"/>
              <w:bottom w:val="single" w:sz="8" w:space="0" w:color="auto"/>
              <w:right w:val="nil"/>
            </w:tcBorders>
            <w:shd w:val="clear" w:color="auto" w:fill="auto"/>
            <w:vAlign w:val="bottom"/>
          </w:tcPr>
          <w:p w14:paraId="62314112" w14:textId="77777777" w:rsidR="00E159D9" w:rsidRPr="00E632E3" w:rsidRDefault="00E159D9" w:rsidP="004378AC">
            <w:pPr>
              <w:suppressAutoHyphens/>
              <w:autoSpaceDN w:val="0"/>
              <w:jc w:val="right"/>
              <w:rPr>
                <w:rFonts w:ascii="Arial" w:eastAsia="Times New Roman" w:hAnsi="Arial" w:cs="Arial"/>
                <w:b/>
                <w:bCs/>
                <w:color w:val="000000"/>
                <w:sz w:val="17"/>
                <w:szCs w:val="17"/>
              </w:rPr>
            </w:pPr>
            <w:r>
              <w:rPr>
                <w:rFonts w:ascii="Arial" w:eastAsia="Times New Roman" w:hAnsi="Arial" w:cs="Arial"/>
                <w:b/>
                <w:bCs/>
                <w:color w:val="000000"/>
                <w:sz w:val="17"/>
                <w:szCs w:val="17"/>
              </w:rPr>
              <w:t>143.275</w:t>
            </w:r>
          </w:p>
        </w:tc>
        <w:tc>
          <w:tcPr>
            <w:tcW w:w="538" w:type="pct"/>
            <w:tcBorders>
              <w:top w:val="single" w:sz="4" w:space="0" w:color="auto"/>
              <w:left w:val="nil"/>
              <w:bottom w:val="single" w:sz="8" w:space="0" w:color="auto"/>
              <w:right w:val="nil"/>
            </w:tcBorders>
            <w:shd w:val="clear" w:color="auto" w:fill="auto"/>
            <w:vAlign w:val="bottom"/>
          </w:tcPr>
          <w:p w14:paraId="169A452E" w14:textId="77777777" w:rsidR="00E159D9" w:rsidRPr="00E632E3" w:rsidRDefault="00E159D9" w:rsidP="004378AC">
            <w:pPr>
              <w:suppressAutoHyphens/>
              <w:autoSpaceDN w:val="0"/>
              <w:jc w:val="right"/>
              <w:rPr>
                <w:rFonts w:ascii="Arial" w:eastAsia="Times New Roman" w:hAnsi="Arial" w:cs="Arial"/>
                <w:b/>
                <w:bCs/>
                <w:color w:val="000000"/>
                <w:sz w:val="17"/>
                <w:szCs w:val="17"/>
              </w:rPr>
            </w:pPr>
            <w:r>
              <w:rPr>
                <w:rFonts w:ascii="Arial" w:eastAsia="Times New Roman" w:hAnsi="Arial" w:cs="Arial"/>
                <w:b/>
                <w:bCs/>
                <w:color w:val="000000"/>
                <w:sz w:val="17"/>
                <w:szCs w:val="17"/>
              </w:rPr>
              <w:t>313.767</w:t>
            </w:r>
          </w:p>
        </w:tc>
        <w:tc>
          <w:tcPr>
            <w:tcW w:w="623" w:type="pct"/>
            <w:tcBorders>
              <w:top w:val="single" w:sz="4" w:space="0" w:color="auto"/>
              <w:left w:val="nil"/>
              <w:bottom w:val="single" w:sz="8" w:space="0" w:color="auto"/>
              <w:right w:val="nil"/>
            </w:tcBorders>
            <w:shd w:val="clear" w:color="auto" w:fill="auto"/>
            <w:vAlign w:val="bottom"/>
          </w:tcPr>
          <w:p w14:paraId="375CAFEE" w14:textId="77777777" w:rsidR="00E159D9" w:rsidRPr="00E632E3" w:rsidRDefault="00E159D9" w:rsidP="004378AC">
            <w:pPr>
              <w:suppressAutoHyphens/>
              <w:autoSpaceDN w:val="0"/>
              <w:jc w:val="right"/>
              <w:rPr>
                <w:rFonts w:ascii="Arial" w:eastAsia="Times New Roman" w:hAnsi="Arial" w:cs="Arial"/>
                <w:b/>
                <w:bCs/>
                <w:color w:val="000000"/>
                <w:sz w:val="17"/>
                <w:szCs w:val="17"/>
              </w:rPr>
            </w:pPr>
            <w:r>
              <w:rPr>
                <w:rFonts w:ascii="Arial" w:eastAsia="Times New Roman" w:hAnsi="Arial" w:cs="Arial"/>
                <w:b/>
                <w:bCs/>
                <w:color w:val="000000"/>
                <w:sz w:val="17"/>
                <w:szCs w:val="17"/>
              </w:rPr>
              <w:t>553.516</w:t>
            </w:r>
          </w:p>
        </w:tc>
        <w:tc>
          <w:tcPr>
            <w:tcW w:w="589" w:type="pct"/>
            <w:tcBorders>
              <w:top w:val="single" w:sz="4" w:space="0" w:color="auto"/>
              <w:left w:val="nil"/>
              <w:bottom w:val="single" w:sz="8" w:space="0" w:color="auto"/>
              <w:right w:val="nil"/>
            </w:tcBorders>
            <w:shd w:val="clear" w:color="auto" w:fill="auto"/>
            <w:vAlign w:val="bottom"/>
          </w:tcPr>
          <w:p w14:paraId="79D61C78" w14:textId="77777777" w:rsidR="00E159D9" w:rsidRPr="00E632E3" w:rsidRDefault="00E159D9" w:rsidP="004378AC">
            <w:pPr>
              <w:suppressAutoHyphens/>
              <w:autoSpaceDN w:val="0"/>
              <w:jc w:val="right"/>
              <w:rPr>
                <w:rFonts w:ascii="Arial" w:eastAsia="Times New Roman" w:hAnsi="Arial" w:cs="Arial"/>
                <w:b/>
                <w:bCs/>
                <w:color w:val="000000"/>
                <w:sz w:val="17"/>
                <w:szCs w:val="17"/>
              </w:rPr>
            </w:pPr>
            <w:r>
              <w:rPr>
                <w:rFonts w:ascii="Arial" w:eastAsia="Times New Roman" w:hAnsi="Arial" w:cs="Arial"/>
                <w:b/>
                <w:bCs/>
                <w:color w:val="000000"/>
                <w:sz w:val="17"/>
                <w:szCs w:val="17"/>
              </w:rPr>
              <w:t>1.504.282</w:t>
            </w:r>
          </w:p>
        </w:tc>
      </w:tr>
      <w:tr w:rsidR="00E159D9" w:rsidRPr="00E632E3" w14:paraId="5DDA3700" w14:textId="77777777" w:rsidTr="004378AC">
        <w:trPr>
          <w:trHeight w:val="229"/>
        </w:trPr>
        <w:tc>
          <w:tcPr>
            <w:tcW w:w="1641" w:type="pct"/>
            <w:vAlign w:val="bottom"/>
          </w:tcPr>
          <w:p w14:paraId="2A8E3BDD" w14:textId="77777777" w:rsidR="00E159D9" w:rsidRPr="00E632E3" w:rsidRDefault="00E159D9" w:rsidP="004378AC">
            <w:pPr>
              <w:tabs>
                <w:tab w:val="right" w:pos="1202"/>
              </w:tabs>
              <w:suppressAutoHyphens/>
              <w:autoSpaceDN w:val="0"/>
              <w:spacing w:line="220" w:lineRule="exact"/>
              <w:outlineLvl w:val="0"/>
              <w:rPr>
                <w:rFonts w:ascii="Arial" w:eastAsia="Calibri" w:hAnsi="Arial" w:cs="Arial"/>
                <w:b/>
                <w:bCs/>
                <w:color w:val="000000" w:themeColor="text1"/>
                <w:spacing w:val="-2"/>
                <w:sz w:val="17"/>
                <w:szCs w:val="17"/>
              </w:rPr>
            </w:pPr>
          </w:p>
        </w:tc>
        <w:tc>
          <w:tcPr>
            <w:tcW w:w="547" w:type="pct"/>
            <w:tcBorders>
              <w:top w:val="single" w:sz="12" w:space="0" w:color="auto"/>
              <w:left w:val="nil"/>
              <w:right w:val="nil"/>
            </w:tcBorders>
            <w:shd w:val="clear" w:color="auto" w:fill="auto"/>
            <w:vAlign w:val="bottom"/>
          </w:tcPr>
          <w:p w14:paraId="2D9B55F8" w14:textId="77777777" w:rsidR="00E159D9" w:rsidRPr="00E632E3" w:rsidRDefault="00E159D9" w:rsidP="004378AC">
            <w:pPr>
              <w:suppressAutoHyphens/>
              <w:autoSpaceDN w:val="0"/>
              <w:jc w:val="right"/>
              <w:rPr>
                <w:rFonts w:ascii="Arial" w:eastAsia="Times New Roman" w:hAnsi="Arial" w:cs="Arial"/>
                <w:color w:val="000000"/>
                <w:sz w:val="17"/>
                <w:szCs w:val="17"/>
              </w:rPr>
            </w:pPr>
          </w:p>
        </w:tc>
        <w:tc>
          <w:tcPr>
            <w:tcW w:w="534" w:type="pct"/>
            <w:tcBorders>
              <w:top w:val="single" w:sz="12" w:space="0" w:color="auto"/>
              <w:left w:val="nil"/>
              <w:right w:val="nil"/>
            </w:tcBorders>
            <w:shd w:val="clear" w:color="auto" w:fill="auto"/>
            <w:vAlign w:val="bottom"/>
          </w:tcPr>
          <w:p w14:paraId="3B3DC5EA" w14:textId="77777777" w:rsidR="00E159D9" w:rsidRPr="00E632E3" w:rsidRDefault="00E159D9" w:rsidP="004378AC">
            <w:pPr>
              <w:suppressAutoHyphens/>
              <w:autoSpaceDN w:val="0"/>
              <w:jc w:val="right"/>
              <w:rPr>
                <w:rFonts w:ascii="Arial" w:eastAsia="Times New Roman" w:hAnsi="Arial" w:cs="Arial"/>
                <w:color w:val="000000"/>
                <w:sz w:val="17"/>
                <w:szCs w:val="17"/>
              </w:rPr>
            </w:pPr>
          </w:p>
        </w:tc>
        <w:tc>
          <w:tcPr>
            <w:tcW w:w="528" w:type="pct"/>
            <w:tcBorders>
              <w:top w:val="single" w:sz="12" w:space="0" w:color="auto"/>
              <w:left w:val="nil"/>
              <w:right w:val="nil"/>
            </w:tcBorders>
            <w:shd w:val="clear" w:color="auto" w:fill="auto"/>
            <w:vAlign w:val="bottom"/>
          </w:tcPr>
          <w:p w14:paraId="4BDE6C09" w14:textId="77777777" w:rsidR="00E159D9" w:rsidRPr="00E632E3" w:rsidRDefault="00E159D9" w:rsidP="004378AC">
            <w:pPr>
              <w:suppressAutoHyphens/>
              <w:autoSpaceDN w:val="0"/>
              <w:jc w:val="right"/>
              <w:rPr>
                <w:rFonts w:ascii="Arial" w:eastAsia="Times New Roman" w:hAnsi="Arial" w:cs="Arial"/>
                <w:color w:val="000000"/>
                <w:sz w:val="17"/>
                <w:szCs w:val="17"/>
              </w:rPr>
            </w:pPr>
          </w:p>
        </w:tc>
        <w:tc>
          <w:tcPr>
            <w:tcW w:w="538" w:type="pct"/>
            <w:tcBorders>
              <w:top w:val="single" w:sz="12" w:space="0" w:color="auto"/>
              <w:left w:val="nil"/>
              <w:right w:val="nil"/>
            </w:tcBorders>
            <w:shd w:val="clear" w:color="auto" w:fill="auto"/>
            <w:vAlign w:val="bottom"/>
          </w:tcPr>
          <w:p w14:paraId="2EE380CB" w14:textId="77777777" w:rsidR="00E159D9" w:rsidRPr="00E632E3" w:rsidRDefault="00E159D9" w:rsidP="004378AC">
            <w:pPr>
              <w:suppressAutoHyphens/>
              <w:autoSpaceDN w:val="0"/>
              <w:jc w:val="right"/>
              <w:rPr>
                <w:rFonts w:ascii="Arial" w:eastAsia="Times New Roman" w:hAnsi="Arial" w:cs="Arial"/>
                <w:color w:val="000000"/>
                <w:sz w:val="17"/>
                <w:szCs w:val="17"/>
              </w:rPr>
            </w:pPr>
          </w:p>
        </w:tc>
        <w:tc>
          <w:tcPr>
            <w:tcW w:w="623" w:type="pct"/>
            <w:tcBorders>
              <w:top w:val="single" w:sz="12" w:space="0" w:color="auto"/>
              <w:left w:val="nil"/>
              <w:right w:val="nil"/>
            </w:tcBorders>
            <w:shd w:val="clear" w:color="auto" w:fill="auto"/>
            <w:vAlign w:val="bottom"/>
          </w:tcPr>
          <w:p w14:paraId="68D0B852" w14:textId="77777777" w:rsidR="00E159D9" w:rsidRPr="00E632E3" w:rsidRDefault="00E159D9" w:rsidP="004378AC">
            <w:pPr>
              <w:suppressAutoHyphens/>
              <w:autoSpaceDN w:val="0"/>
              <w:jc w:val="right"/>
              <w:rPr>
                <w:rFonts w:ascii="Arial" w:eastAsia="Times New Roman" w:hAnsi="Arial" w:cs="Arial"/>
                <w:color w:val="000000"/>
                <w:sz w:val="17"/>
                <w:szCs w:val="17"/>
              </w:rPr>
            </w:pPr>
          </w:p>
        </w:tc>
        <w:tc>
          <w:tcPr>
            <w:tcW w:w="589" w:type="pct"/>
            <w:tcBorders>
              <w:top w:val="single" w:sz="12" w:space="0" w:color="auto"/>
              <w:left w:val="nil"/>
              <w:right w:val="nil"/>
            </w:tcBorders>
            <w:shd w:val="clear" w:color="auto" w:fill="auto"/>
            <w:vAlign w:val="bottom"/>
          </w:tcPr>
          <w:p w14:paraId="2A3C140E" w14:textId="77777777" w:rsidR="00E159D9" w:rsidRPr="00E632E3" w:rsidRDefault="00E159D9" w:rsidP="004378AC">
            <w:pPr>
              <w:suppressAutoHyphens/>
              <w:autoSpaceDN w:val="0"/>
              <w:jc w:val="right"/>
              <w:rPr>
                <w:rFonts w:ascii="Arial" w:eastAsia="Times New Roman" w:hAnsi="Arial" w:cs="Arial"/>
                <w:color w:val="000000"/>
                <w:sz w:val="17"/>
                <w:szCs w:val="17"/>
              </w:rPr>
            </w:pPr>
          </w:p>
        </w:tc>
      </w:tr>
      <w:tr w:rsidR="00E159D9" w:rsidRPr="00E632E3" w14:paraId="76612D46" w14:textId="77777777" w:rsidTr="004378AC">
        <w:trPr>
          <w:trHeight w:val="229"/>
        </w:trPr>
        <w:tc>
          <w:tcPr>
            <w:tcW w:w="1641" w:type="pct"/>
            <w:tcBorders>
              <w:top w:val="nil"/>
              <w:left w:val="nil"/>
              <w:bottom w:val="nil"/>
              <w:right w:val="nil"/>
            </w:tcBorders>
            <w:shd w:val="clear" w:color="auto" w:fill="auto"/>
            <w:vAlign w:val="bottom"/>
          </w:tcPr>
          <w:p w14:paraId="177CD3A5" w14:textId="77777777" w:rsidR="00E159D9" w:rsidRPr="00E632E3" w:rsidRDefault="00E159D9" w:rsidP="004378AC">
            <w:pPr>
              <w:tabs>
                <w:tab w:val="right" w:pos="1202"/>
              </w:tabs>
              <w:suppressAutoHyphens/>
              <w:autoSpaceDN w:val="0"/>
              <w:spacing w:line="220" w:lineRule="exact"/>
              <w:outlineLvl w:val="0"/>
              <w:rPr>
                <w:rFonts w:ascii="Arial" w:eastAsia="Calibri" w:hAnsi="Arial" w:cs="Arial"/>
                <w:b/>
                <w:bCs/>
                <w:color w:val="000000" w:themeColor="text1"/>
                <w:spacing w:val="-2"/>
                <w:sz w:val="17"/>
                <w:szCs w:val="17"/>
              </w:rPr>
            </w:pPr>
            <w:bookmarkStart w:id="782" w:name="_Toc67330102"/>
            <w:r w:rsidRPr="00E632E3">
              <w:rPr>
                <w:rFonts w:ascii="Arial" w:eastAsia="Times New Roman" w:hAnsi="Arial" w:cs="Arial"/>
                <w:b/>
                <w:bCs/>
                <w:color w:val="000000" w:themeColor="text1"/>
                <w:sz w:val="17"/>
                <w:szCs w:val="17"/>
              </w:rPr>
              <w:t>Garancije i preuzete obveze</w:t>
            </w:r>
            <w:bookmarkEnd w:id="782"/>
          </w:p>
        </w:tc>
        <w:tc>
          <w:tcPr>
            <w:tcW w:w="547" w:type="pct"/>
            <w:tcBorders>
              <w:top w:val="nil"/>
              <w:left w:val="nil"/>
              <w:bottom w:val="nil"/>
              <w:right w:val="nil"/>
            </w:tcBorders>
            <w:shd w:val="clear" w:color="auto" w:fill="auto"/>
            <w:vAlign w:val="bottom"/>
          </w:tcPr>
          <w:p w14:paraId="2AD00FD9" w14:textId="77777777" w:rsidR="00E159D9" w:rsidRPr="00E632E3" w:rsidRDefault="00E159D9" w:rsidP="004378AC">
            <w:pPr>
              <w:suppressAutoHyphens/>
              <w:autoSpaceDN w:val="0"/>
              <w:jc w:val="right"/>
              <w:rPr>
                <w:rFonts w:ascii="Arial" w:eastAsia="Times New Roman" w:hAnsi="Arial" w:cs="Arial"/>
                <w:color w:val="000000"/>
                <w:sz w:val="17"/>
                <w:szCs w:val="17"/>
              </w:rPr>
            </w:pPr>
          </w:p>
        </w:tc>
        <w:tc>
          <w:tcPr>
            <w:tcW w:w="534" w:type="pct"/>
            <w:tcBorders>
              <w:top w:val="nil"/>
              <w:left w:val="nil"/>
              <w:bottom w:val="nil"/>
              <w:right w:val="nil"/>
            </w:tcBorders>
            <w:shd w:val="clear" w:color="auto" w:fill="auto"/>
            <w:vAlign w:val="bottom"/>
          </w:tcPr>
          <w:p w14:paraId="0AFCC66F" w14:textId="77777777" w:rsidR="00E159D9" w:rsidRPr="00E632E3" w:rsidRDefault="00E159D9" w:rsidP="004378AC">
            <w:pPr>
              <w:suppressAutoHyphens/>
              <w:autoSpaceDN w:val="0"/>
              <w:jc w:val="right"/>
              <w:rPr>
                <w:rFonts w:ascii="Arial" w:eastAsia="Times New Roman" w:hAnsi="Arial" w:cs="Arial"/>
                <w:color w:val="000000"/>
                <w:sz w:val="17"/>
                <w:szCs w:val="17"/>
              </w:rPr>
            </w:pPr>
          </w:p>
        </w:tc>
        <w:tc>
          <w:tcPr>
            <w:tcW w:w="528" w:type="pct"/>
            <w:tcBorders>
              <w:top w:val="nil"/>
              <w:left w:val="nil"/>
              <w:bottom w:val="nil"/>
              <w:right w:val="nil"/>
            </w:tcBorders>
            <w:shd w:val="clear" w:color="auto" w:fill="auto"/>
            <w:vAlign w:val="bottom"/>
          </w:tcPr>
          <w:p w14:paraId="1E55588F" w14:textId="77777777" w:rsidR="00E159D9" w:rsidRPr="00E632E3" w:rsidRDefault="00E159D9" w:rsidP="004378AC">
            <w:pPr>
              <w:suppressAutoHyphens/>
              <w:autoSpaceDN w:val="0"/>
              <w:jc w:val="right"/>
              <w:rPr>
                <w:rFonts w:ascii="Arial" w:eastAsia="Times New Roman" w:hAnsi="Arial" w:cs="Arial"/>
                <w:color w:val="000000"/>
                <w:sz w:val="17"/>
                <w:szCs w:val="17"/>
              </w:rPr>
            </w:pPr>
          </w:p>
        </w:tc>
        <w:tc>
          <w:tcPr>
            <w:tcW w:w="538" w:type="pct"/>
            <w:tcBorders>
              <w:top w:val="nil"/>
              <w:left w:val="nil"/>
              <w:bottom w:val="nil"/>
              <w:right w:val="nil"/>
            </w:tcBorders>
            <w:shd w:val="clear" w:color="auto" w:fill="auto"/>
            <w:vAlign w:val="bottom"/>
          </w:tcPr>
          <w:p w14:paraId="4B331D52" w14:textId="77777777" w:rsidR="00E159D9" w:rsidRPr="00E632E3" w:rsidRDefault="00E159D9" w:rsidP="004378AC">
            <w:pPr>
              <w:suppressAutoHyphens/>
              <w:autoSpaceDN w:val="0"/>
              <w:jc w:val="right"/>
              <w:rPr>
                <w:rFonts w:ascii="Arial" w:eastAsia="Times New Roman" w:hAnsi="Arial" w:cs="Arial"/>
                <w:color w:val="000000"/>
                <w:sz w:val="17"/>
                <w:szCs w:val="17"/>
              </w:rPr>
            </w:pPr>
          </w:p>
        </w:tc>
        <w:tc>
          <w:tcPr>
            <w:tcW w:w="623" w:type="pct"/>
            <w:tcBorders>
              <w:top w:val="nil"/>
              <w:left w:val="nil"/>
              <w:bottom w:val="nil"/>
              <w:right w:val="nil"/>
            </w:tcBorders>
            <w:shd w:val="clear" w:color="auto" w:fill="auto"/>
            <w:vAlign w:val="bottom"/>
          </w:tcPr>
          <w:p w14:paraId="02F8B58C" w14:textId="77777777" w:rsidR="00E159D9" w:rsidRPr="00E632E3" w:rsidRDefault="00E159D9" w:rsidP="004378AC">
            <w:pPr>
              <w:suppressAutoHyphens/>
              <w:autoSpaceDN w:val="0"/>
              <w:jc w:val="right"/>
              <w:rPr>
                <w:rFonts w:ascii="Arial" w:eastAsia="Times New Roman" w:hAnsi="Arial" w:cs="Arial"/>
                <w:color w:val="000000"/>
                <w:sz w:val="17"/>
                <w:szCs w:val="17"/>
              </w:rPr>
            </w:pPr>
          </w:p>
        </w:tc>
        <w:tc>
          <w:tcPr>
            <w:tcW w:w="589" w:type="pct"/>
            <w:tcBorders>
              <w:top w:val="nil"/>
              <w:left w:val="nil"/>
              <w:bottom w:val="nil"/>
              <w:right w:val="nil"/>
            </w:tcBorders>
            <w:shd w:val="clear" w:color="auto" w:fill="auto"/>
            <w:vAlign w:val="bottom"/>
          </w:tcPr>
          <w:p w14:paraId="1A597EC6" w14:textId="77777777" w:rsidR="00E159D9" w:rsidRPr="00E632E3" w:rsidRDefault="00E159D9" w:rsidP="004378AC">
            <w:pPr>
              <w:suppressAutoHyphens/>
              <w:autoSpaceDN w:val="0"/>
              <w:jc w:val="right"/>
              <w:rPr>
                <w:rFonts w:ascii="Arial" w:eastAsia="Times New Roman" w:hAnsi="Arial" w:cs="Arial"/>
                <w:color w:val="000000"/>
                <w:sz w:val="17"/>
                <w:szCs w:val="17"/>
              </w:rPr>
            </w:pPr>
          </w:p>
        </w:tc>
      </w:tr>
      <w:tr w:rsidR="00E159D9" w:rsidRPr="00E632E3" w14:paraId="69EB2B4D" w14:textId="77777777" w:rsidTr="004378AC">
        <w:trPr>
          <w:trHeight w:val="229"/>
        </w:trPr>
        <w:tc>
          <w:tcPr>
            <w:tcW w:w="1641" w:type="pct"/>
            <w:tcBorders>
              <w:top w:val="nil"/>
              <w:left w:val="nil"/>
              <w:bottom w:val="nil"/>
              <w:right w:val="nil"/>
            </w:tcBorders>
            <w:shd w:val="clear" w:color="auto" w:fill="auto"/>
            <w:vAlign w:val="bottom"/>
          </w:tcPr>
          <w:p w14:paraId="0912C1E1" w14:textId="77777777" w:rsidR="00E159D9" w:rsidRPr="00E632E3" w:rsidRDefault="00E159D9" w:rsidP="004378AC">
            <w:pPr>
              <w:tabs>
                <w:tab w:val="right" w:pos="1202"/>
              </w:tabs>
              <w:suppressAutoHyphens/>
              <w:autoSpaceDN w:val="0"/>
              <w:spacing w:line="220" w:lineRule="exact"/>
              <w:outlineLvl w:val="0"/>
              <w:rPr>
                <w:rFonts w:ascii="Arial" w:eastAsia="Calibri" w:hAnsi="Arial" w:cs="Arial"/>
                <w:b/>
                <w:bCs/>
                <w:color w:val="000000" w:themeColor="text1"/>
                <w:spacing w:val="-2"/>
                <w:sz w:val="17"/>
                <w:szCs w:val="17"/>
              </w:rPr>
            </w:pPr>
            <w:bookmarkStart w:id="783" w:name="_Toc67330103"/>
            <w:r w:rsidRPr="00E632E3">
              <w:rPr>
                <w:rFonts w:ascii="Arial" w:eastAsia="Times New Roman" w:hAnsi="Arial" w:cs="Arial"/>
                <w:color w:val="000000" w:themeColor="text1"/>
                <w:sz w:val="17"/>
                <w:szCs w:val="17"/>
              </w:rPr>
              <w:t xml:space="preserve">Izdane garancije </w:t>
            </w:r>
            <w:bookmarkEnd w:id="783"/>
          </w:p>
        </w:tc>
        <w:tc>
          <w:tcPr>
            <w:tcW w:w="547" w:type="pct"/>
            <w:tcBorders>
              <w:top w:val="nil"/>
              <w:left w:val="nil"/>
              <w:bottom w:val="nil"/>
              <w:right w:val="nil"/>
            </w:tcBorders>
            <w:shd w:val="clear" w:color="auto" w:fill="auto"/>
            <w:vAlign w:val="bottom"/>
          </w:tcPr>
          <w:p w14:paraId="2FA49A7F" w14:textId="77777777" w:rsidR="00E159D9" w:rsidRPr="00E632E3"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49.891</w:t>
            </w:r>
          </w:p>
        </w:tc>
        <w:tc>
          <w:tcPr>
            <w:tcW w:w="534" w:type="pct"/>
            <w:tcBorders>
              <w:top w:val="nil"/>
              <w:left w:val="nil"/>
              <w:bottom w:val="nil"/>
              <w:right w:val="nil"/>
            </w:tcBorders>
            <w:shd w:val="clear" w:color="auto" w:fill="auto"/>
            <w:vAlign w:val="bottom"/>
          </w:tcPr>
          <w:p w14:paraId="58C7D818" w14:textId="77777777" w:rsidR="00E159D9" w:rsidRPr="00E632E3"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28" w:type="pct"/>
            <w:tcBorders>
              <w:top w:val="nil"/>
              <w:left w:val="nil"/>
              <w:bottom w:val="nil"/>
              <w:right w:val="nil"/>
            </w:tcBorders>
            <w:shd w:val="clear" w:color="auto" w:fill="auto"/>
            <w:vAlign w:val="bottom"/>
          </w:tcPr>
          <w:p w14:paraId="05BA0862" w14:textId="77777777" w:rsidR="00E159D9" w:rsidRPr="00E632E3"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38" w:type="pct"/>
            <w:tcBorders>
              <w:top w:val="nil"/>
              <w:left w:val="nil"/>
              <w:bottom w:val="nil"/>
              <w:right w:val="nil"/>
            </w:tcBorders>
            <w:shd w:val="clear" w:color="auto" w:fill="auto"/>
            <w:vAlign w:val="bottom"/>
          </w:tcPr>
          <w:p w14:paraId="4CE04E26" w14:textId="77777777" w:rsidR="00E159D9" w:rsidRPr="00E632E3"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623" w:type="pct"/>
            <w:tcBorders>
              <w:top w:val="nil"/>
              <w:left w:val="nil"/>
              <w:bottom w:val="nil"/>
              <w:right w:val="nil"/>
            </w:tcBorders>
            <w:shd w:val="clear" w:color="auto" w:fill="auto"/>
            <w:vAlign w:val="bottom"/>
          </w:tcPr>
          <w:p w14:paraId="5422EAA2" w14:textId="77777777" w:rsidR="00E159D9" w:rsidRPr="00E632E3"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89" w:type="pct"/>
            <w:tcBorders>
              <w:top w:val="nil"/>
              <w:left w:val="nil"/>
              <w:bottom w:val="nil"/>
              <w:right w:val="nil"/>
            </w:tcBorders>
            <w:shd w:val="clear" w:color="auto" w:fill="auto"/>
            <w:vAlign w:val="bottom"/>
          </w:tcPr>
          <w:p w14:paraId="5A903918" w14:textId="77777777" w:rsidR="00E159D9" w:rsidRPr="00E632E3"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49.891</w:t>
            </w:r>
          </w:p>
        </w:tc>
      </w:tr>
      <w:tr w:rsidR="00E159D9" w:rsidRPr="00E632E3" w14:paraId="17324987" w14:textId="77777777" w:rsidTr="004378AC">
        <w:trPr>
          <w:trHeight w:val="229"/>
        </w:trPr>
        <w:tc>
          <w:tcPr>
            <w:tcW w:w="1641" w:type="pct"/>
            <w:tcBorders>
              <w:top w:val="nil"/>
              <w:left w:val="nil"/>
              <w:bottom w:val="nil"/>
              <w:right w:val="nil"/>
            </w:tcBorders>
            <w:shd w:val="clear" w:color="auto" w:fill="auto"/>
            <w:vAlign w:val="bottom"/>
          </w:tcPr>
          <w:p w14:paraId="7DE92427" w14:textId="77777777" w:rsidR="00E159D9" w:rsidRPr="00E632E3" w:rsidRDefault="00E159D9" w:rsidP="004378AC">
            <w:pPr>
              <w:tabs>
                <w:tab w:val="right" w:pos="1202"/>
              </w:tabs>
              <w:suppressAutoHyphens/>
              <w:autoSpaceDN w:val="0"/>
              <w:spacing w:line="220" w:lineRule="exact"/>
              <w:outlineLvl w:val="0"/>
              <w:rPr>
                <w:rFonts w:ascii="Arial" w:eastAsia="Calibri" w:hAnsi="Arial" w:cs="Arial"/>
                <w:b/>
                <w:bCs/>
                <w:color w:val="000000" w:themeColor="text1"/>
                <w:spacing w:val="-2"/>
                <w:sz w:val="17"/>
                <w:szCs w:val="17"/>
              </w:rPr>
            </w:pPr>
            <w:bookmarkStart w:id="784" w:name="_Toc67330104"/>
            <w:r w:rsidRPr="00E632E3">
              <w:rPr>
                <w:rFonts w:ascii="Arial" w:eastAsia="Times New Roman" w:hAnsi="Arial" w:cs="Arial"/>
                <w:color w:val="000000" w:themeColor="text1"/>
                <w:sz w:val="17"/>
                <w:szCs w:val="17"/>
              </w:rPr>
              <w:t>Izdane garancije u devizama</w:t>
            </w:r>
            <w:bookmarkEnd w:id="784"/>
          </w:p>
        </w:tc>
        <w:tc>
          <w:tcPr>
            <w:tcW w:w="547" w:type="pct"/>
            <w:tcBorders>
              <w:top w:val="nil"/>
              <w:left w:val="nil"/>
              <w:bottom w:val="nil"/>
              <w:right w:val="nil"/>
            </w:tcBorders>
            <w:shd w:val="clear" w:color="auto" w:fill="auto"/>
            <w:vAlign w:val="bottom"/>
          </w:tcPr>
          <w:p w14:paraId="741CDDAE" w14:textId="77777777" w:rsidR="00E159D9" w:rsidRPr="00E632E3"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4.892</w:t>
            </w:r>
          </w:p>
        </w:tc>
        <w:tc>
          <w:tcPr>
            <w:tcW w:w="534" w:type="pct"/>
            <w:tcBorders>
              <w:top w:val="nil"/>
              <w:left w:val="nil"/>
              <w:bottom w:val="nil"/>
              <w:right w:val="nil"/>
            </w:tcBorders>
            <w:shd w:val="clear" w:color="auto" w:fill="auto"/>
            <w:vAlign w:val="bottom"/>
          </w:tcPr>
          <w:p w14:paraId="1271639C" w14:textId="77777777" w:rsidR="00E159D9" w:rsidRPr="00E632E3"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28" w:type="pct"/>
            <w:tcBorders>
              <w:top w:val="nil"/>
              <w:left w:val="nil"/>
              <w:bottom w:val="nil"/>
              <w:right w:val="nil"/>
            </w:tcBorders>
            <w:shd w:val="clear" w:color="auto" w:fill="auto"/>
            <w:vAlign w:val="bottom"/>
          </w:tcPr>
          <w:p w14:paraId="230713D7" w14:textId="77777777" w:rsidR="00E159D9" w:rsidRPr="00E632E3"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38" w:type="pct"/>
            <w:tcBorders>
              <w:top w:val="nil"/>
              <w:left w:val="nil"/>
              <w:bottom w:val="nil"/>
              <w:right w:val="nil"/>
            </w:tcBorders>
            <w:shd w:val="clear" w:color="auto" w:fill="auto"/>
            <w:vAlign w:val="bottom"/>
          </w:tcPr>
          <w:p w14:paraId="6190F379" w14:textId="77777777" w:rsidR="00E159D9" w:rsidRPr="00E632E3"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623" w:type="pct"/>
            <w:tcBorders>
              <w:top w:val="nil"/>
              <w:left w:val="nil"/>
              <w:bottom w:val="nil"/>
              <w:right w:val="nil"/>
            </w:tcBorders>
            <w:shd w:val="clear" w:color="auto" w:fill="auto"/>
            <w:vAlign w:val="bottom"/>
          </w:tcPr>
          <w:p w14:paraId="10D95708" w14:textId="77777777" w:rsidR="00E159D9" w:rsidRPr="00E632E3"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89" w:type="pct"/>
            <w:tcBorders>
              <w:top w:val="nil"/>
              <w:left w:val="nil"/>
              <w:bottom w:val="nil"/>
              <w:right w:val="nil"/>
            </w:tcBorders>
            <w:shd w:val="clear" w:color="auto" w:fill="auto"/>
            <w:vAlign w:val="bottom"/>
          </w:tcPr>
          <w:p w14:paraId="7CEC7ADC" w14:textId="77777777" w:rsidR="00E159D9" w:rsidRPr="00E632E3"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4.892</w:t>
            </w:r>
          </w:p>
        </w:tc>
      </w:tr>
      <w:tr w:rsidR="00E159D9" w:rsidRPr="00E632E3" w14:paraId="54613BCD" w14:textId="77777777" w:rsidTr="004378AC">
        <w:trPr>
          <w:trHeight w:val="229"/>
        </w:trPr>
        <w:tc>
          <w:tcPr>
            <w:tcW w:w="1641" w:type="pct"/>
            <w:tcBorders>
              <w:top w:val="nil"/>
              <w:left w:val="nil"/>
              <w:bottom w:val="nil"/>
              <w:right w:val="nil"/>
            </w:tcBorders>
            <w:shd w:val="clear" w:color="auto" w:fill="auto"/>
            <w:vAlign w:val="bottom"/>
          </w:tcPr>
          <w:p w14:paraId="7F3B8067" w14:textId="77777777" w:rsidR="00E159D9" w:rsidRPr="00E632E3" w:rsidRDefault="00E159D9" w:rsidP="004378AC">
            <w:pPr>
              <w:tabs>
                <w:tab w:val="right" w:pos="1202"/>
              </w:tabs>
              <w:suppressAutoHyphens/>
              <w:autoSpaceDN w:val="0"/>
              <w:spacing w:line="220" w:lineRule="exact"/>
              <w:outlineLvl w:val="0"/>
              <w:rPr>
                <w:rFonts w:ascii="Arial" w:eastAsia="Calibri" w:hAnsi="Arial" w:cs="Arial"/>
                <w:b/>
                <w:bCs/>
                <w:color w:val="000000" w:themeColor="text1"/>
                <w:spacing w:val="-2"/>
                <w:sz w:val="17"/>
                <w:szCs w:val="17"/>
              </w:rPr>
            </w:pPr>
            <w:bookmarkStart w:id="785" w:name="_Toc67330106"/>
            <w:r w:rsidRPr="00E632E3">
              <w:rPr>
                <w:rFonts w:ascii="Arial" w:eastAsia="Times New Roman" w:hAnsi="Arial" w:cs="Arial"/>
                <w:color w:val="000000" w:themeColor="text1"/>
                <w:sz w:val="17"/>
                <w:szCs w:val="17"/>
              </w:rPr>
              <w:t>Preuzete obveze po kreditima</w:t>
            </w:r>
            <w:bookmarkEnd w:id="785"/>
          </w:p>
        </w:tc>
        <w:tc>
          <w:tcPr>
            <w:tcW w:w="547" w:type="pct"/>
            <w:tcBorders>
              <w:top w:val="nil"/>
              <w:left w:val="nil"/>
              <w:bottom w:val="nil"/>
              <w:right w:val="nil"/>
            </w:tcBorders>
            <w:shd w:val="clear" w:color="auto" w:fill="auto"/>
            <w:vAlign w:val="bottom"/>
          </w:tcPr>
          <w:p w14:paraId="28B9F0BF" w14:textId="77777777" w:rsidR="00E159D9" w:rsidRPr="00E632E3"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461.919</w:t>
            </w:r>
          </w:p>
        </w:tc>
        <w:tc>
          <w:tcPr>
            <w:tcW w:w="534" w:type="pct"/>
            <w:tcBorders>
              <w:top w:val="nil"/>
              <w:left w:val="nil"/>
              <w:bottom w:val="nil"/>
              <w:right w:val="nil"/>
            </w:tcBorders>
            <w:shd w:val="clear" w:color="auto" w:fill="auto"/>
            <w:vAlign w:val="bottom"/>
          </w:tcPr>
          <w:p w14:paraId="005596A6" w14:textId="77777777" w:rsidR="00E159D9" w:rsidRPr="00E632E3"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28" w:type="pct"/>
            <w:tcBorders>
              <w:top w:val="nil"/>
              <w:left w:val="nil"/>
              <w:bottom w:val="nil"/>
              <w:right w:val="nil"/>
            </w:tcBorders>
            <w:shd w:val="clear" w:color="auto" w:fill="auto"/>
            <w:vAlign w:val="bottom"/>
          </w:tcPr>
          <w:p w14:paraId="6E8107D0" w14:textId="77777777" w:rsidR="00E159D9" w:rsidRPr="00E632E3"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38" w:type="pct"/>
            <w:tcBorders>
              <w:top w:val="nil"/>
              <w:left w:val="nil"/>
              <w:bottom w:val="nil"/>
              <w:right w:val="nil"/>
            </w:tcBorders>
            <w:shd w:val="clear" w:color="auto" w:fill="auto"/>
            <w:vAlign w:val="bottom"/>
          </w:tcPr>
          <w:p w14:paraId="6715A887" w14:textId="77777777" w:rsidR="00E159D9" w:rsidRPr="00E632E3"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623" w:type="pct"/>
            <w:tcBorders>
              <w:top w:val="nil"/>
              <w:left w:val="nil"/>
              <w:bottom w:val="nil"/>
              <w:right w:val="nil"/>
            </w:tcBorders>
            <w:shd w:val="clear" w:color="auto" w:fill="auto"/>
            <w:vAlign w:val="bottom"/>
          </w:tcPr>
          <w:p w14:paraId="44EF35E8" w14:textId="77777777" w:rsidR="00E159D9" w:rsidRPr="00E632E3"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89" w:type="pct"/>
            <w:tcBorders>
              <w:top w:val="nil"/>
              <w:left w:val="nil"/>
              <w:bottom w:val="nil"/>
              <w:right w:val="nil"/>
            </w:tcBorders>
            <w:shd w:val="clear" w:color="auto" w:fill="auto"/>
            <w:vAlign w:val="bottom"/>
          </w:tcPr>
          <w:p w14:paraId="27F3F095" w14:textId="77777777" w:rsidR="00E159D9" w:rsidRPr="00E632E3"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461.919</w:t>
            </w:r>
          </w:p>
        </w:tc>
      </w:tr>
      <w:tr w:rsidR="00E159D9" w:rsidRPr="00E632E3" w14:paraId="744EC995" w14:textId="77777777" w:rsidTr="004378AC">
        <w:trPr>
          <w:trHeight w:val="229"/>
        </w:trPr>
        <w:tc>
          <w:tcPr>
            <w:tcW w:w="1641" w:type="pct"/>
            <w:tcBorders>
              <w:top w:val="nil"/>
              <w:left w:val="nil"/>
              <w:bottom w:val="nil"/>
              <w:right w:val="nil"/>
            </w:tcBorders>
            <w:shd w:val="clear" w:color="auto" w:fill="auto"/>
            <w:vAlign w:val="bottom"/>
          </w:tcPr>
          <w:p w14:paraId="313FFFBD" w14:textId="77777777" w:rsidR="00E159D9" w:rsidRPr="00E632E3" w:rsidRDefault="00E159D9" w:rsidP="004378AC">
            <w:pPr>
              <w:tabs>
                <w:tab w:val="right" w:pos="1202"/>
              </w:tabs>
              <w:suppressAutoHyphens/>
              <w:autoSpaceDN w:val="0"/>
              <w:spacing w:line="220" w:lineRule="exact"/>
              <w:outlineLvl w:val="0"/>
              <w:rPr>
                <w:rFonts w:ascii="Arial" w:eastAsia="Times New Roman" w:hAnsi="Arial" w:cs="Arial"/>
                <w:color w:val="000000" w:themeColor="text1"/>
                <w:sz w:val="17"/>
                <w:szCs w:val="17"/>
              </w:rPr>
            </w:pPr>
            <w:bookmarkStart w:id="786" w:name="_Toc67330107"/>
            <w:r w:rsidRPr="00E632E3">
              <w:rPr>
                <w:rFonts w:ascii="Arial" w:eastAsia="Times New Roman" w:hAnsi="Arial" w:cs="Arial"/>
                <w:color w:val="000000" w:themeColor="text1"/>
                <w:sz w:val="17"/>
                <w:szCs w:val="17"/>
              </w:rPr>
              <w:t>Upisani a neuplaćeni kapital EIF-a</w:t>
            </w:r>
            <w:bookmarkEnd w:id="786"/>
          </w:p>
        </w:tc>
        <w:tc>
          <w:tcPr>
            <w:tcW w:w="547" w:type="pct"/>
            <w:tcBorders>
              <w:top w:val="nil"/>
              <w:left w:val="nil"/>
              <w:bottom w:val="nil"/>
              <w:right w:val="nil"/>
            </w:tcBorders>
            <w:shd w:val="clear" w:color="auto" w:fill="auto"/>
            <w:vAlign w:val="bottom"/>
          </w:tcPr>
          <w:p w14:paraId="7F42CE72" w14:textId="77777777" w:rsidR="00E159D9" w:rsidRPr="00E632E3"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10.400</w:t>
            </w:r>
          </w:p>
        </w:tc>
        <w:tc>
          <w:tcPr>
            <w:tcW w:w="534" w:type="pct"/>
            <w:tcBorders>
              <w:top w:val="nil"/>
              <w:left w:val="nil"/>
              <w:bottom w:val="nil"/>
              <w:right w:val="nil"/>
            </w:tcBorders>
            <w:shd w:val="clear" w:color="auto" w:fill="auto"/>
            <w:vAlign w:val="bottom"/>
          </w:tcPr>
          <w:p w14:paraId="40F6F4FC" w14:textId="77777777" w:rsidR="00E159D9" w:rsidRPr="00E632E3"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28" w:type="pct"/>
            <w:tcBorders>
              <w:top w:val="nil"/>
              <w:left w:val="nil"/>
              <w:bottom w:val="nil"/>
              <w:right w:val="nil"/>
            </w:tcBorders>
            <w:shd w:val="clear" w:color="auto" w:fill="auto"/>
            <w:vAlign w:val="bottom"/>
          </w:tcPr>
          <w:p w14:paraId="5D212DE7" w14:textId="77777777" w:rsidR="00E159D9" w:rsidRPr="00E632E3"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38" w:type="pct"/>
            <w:tcBorders>
              <w:top w:val="nil"/>
              <w:left w:val="nil"/>
              <w:bottom w:val="nil"/>
              <w:right w:val="nil"/>
            </w:tcBorders>
            <w:shd w:val="clear" w:color="auto" w:fill="auto"/>
            <w:vAlign w:val="bottom"/>
          </w:tcPr>
          <w:p w14:paraId="5CEAE643" w14:textId="77777777" w:rsidR="00E159D9" w:rsidRPr="00E632E3"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623" w:type="pct"/>
            <w:tcBorders>
              <w:top w:val="nil"/>
              <w:left w:val="nil"/>
              <w:bottom w:val="nil"/>
              <w:right w:val="nil"/>
            </w:tcBorders>
            <w:shd w:val="clear" w:color="auto" w:fill="auto"/>
            <w:vAlign w:val="bottom"/>
          </w:tcPr>
          <w:p w14:paraId="3A906F08" w14:textId="77777777" w:rsidR="00E159D9" w:rsidRPr="00E632E3"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89" w:type="pct"/>
            <w:tcBorders>
              <w:top w:val="nil"/>
              <w:left w:val="nil"/>
              <w:bottom w:val="nil"/>
              <w:right w:val="nil"/>
            </w:tcBorders>
            <w:shd w:val="clear" w:color="auto" w:fill="auto"/>
            <w:vAlign w:val="bottom"/>
          </w:tcPr>
          <w:p w14:paraId="520065D0" w14:textId="77777777" w:rsidR="00E159D9" w:rsidRPr="00E632E3"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10.400</w:t>
            </w:r>
          </w:p>
        </w:tc>
      </w:tr>
      <w:tr w:rsidR="00E159D9" w:rsidRPr="00E632E3" w14:paraId="3350AFE8" w14:textId="77777777" w:rsidTr="004378AC">
        <w:trPr>
          <w:trHeight w:val="229"/>
        </w:trPr>
        <w:tc>
          <w:tcPr>
            <w:tcW w:w="1641" w:type="pct"/>
            <w:tcBorders>
              <w:top w:val="nil"/>
              <w:left w:val="nil"/>
              <w:bottom w:val="nil"/>
              <w:right w:val="nil"/>
            </w:tcBorders>
            <w:shd w:val="clear" w:color="auto" w:fill="auto"/>
            <w:vAlign w:val="bottom"/>
          </w:tcPr>
          <w:p w14:paraId="0D983DFC" w14:textId="77777777" w:rsidR="00E159D9" w:rsidRPr="00E632E3" w:rsidRDefault="00E159D9" w:rsidP="004378AC">
            <w:pPr>
              <w:tabs>
                <w:tab w:val="right" w:pos="1202"/>
              </w:tabs>
              <w:suppressAutoHyphens/>
              <w:autoSpaceDN w:val="0"/>
              <w:spacing w:line="220" w:lineRule="exact"/>
              <w:outlineLvl w:val="0"/>
              <w:rPr>
                <w:rFonts w:ascii="Arial" w:eastAsia="Times New Roman" w:hAnsi="Arial" w:cs="Arial"/>
                <w:color w:val="000000" w:themeColor="text1"/>
                <w:sz w:val="17"/>
                <w:szCs w:val="17"/>
              </w:rPr>
            </w:pPr>
            <w:bookmarkStart w:id="787" w:name="_Toc67330108"/>
            <w:r w:rsidRPr="00E632E3">
              <w:rPr>
                <w:rFonts w:ascii="Arial" w:eastAsia="Times New Roman" w:hAnsi="Arial" w:cs="Arial"/>
                <w:color w:val="000000" w:themeColor="text1"/>
                <w:sz w:val="17"/>
                <w:szCs w:val="17"/>
              </w:rPr>
              <w:t>Ugovorena obveza EIF CROGIP</w:t>
            </w:r>
            <w:bookmarkEnd w:id="787"/>
          </w:p>
        </w:tc>
        <w:tc>
          <w:tcPr>
            <w:tcW w:w="547" w:type="pct"/>
            <w:tcBorders>
              <w:top w:val="nil"/>
              <w:left w:val="nil"/>
              <w:bottom w:val="nil"/>
              <w:right w:val="nil"/>
            </w:tcBorders>
            <w:shd w:val="clear" w:color="auto" w:fill="auto"/>
            <w:vAlign w:val="bottom"/>
          </w:tcPr>
          <w:p w14:paraId="248EB2E8" w14:textId="77777777" w:rsidR="00E159D9" w:rsidRPr="00E632E3"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148</w:t>
            </w:r>
          </w:p>
        </w:tc>
        <w:tc>
          <w:tcPr>
            <w:tcW w:w="534" w:type="pct"/>
            <w:tcBorders>
              <w:top w:val="nil"/>
              <w:left w:val="nil"/>
              <w:bottom w:val="nil"/>
              <w:right w:val="nil"/>
            </w:tcBorders>
            <w:shd w:val="clear" w:color="auto" w:fill="auto"/>
            <w:vAlign w:val="bottom"/>
          </w:tcPr>
          <w:p w14:paraId="11723744" w14:textId="77777777" w:rsidR="00E159D9" w:rsidRPr="00E632E3"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2.780</w:t>
            </w:r>
          </w:p>
        </w:tc>
        <w:tc>
          <w:tcPr>
            <w:tcW w:w="528" w:type="pct"/>
            <w:tcBorders>
              <w:top w:val="nil"/>
              <w:left w:val="nil"/>
              <w:bottom w:val="nil"/>
              <w:right w:val="nil"/>
            </w:tcBorders>
            <w:shd w:val="clear" w:color="auto" w:fill="auto"/>
            <w:vAlign w:val="bottom"/>
          </w:tcPr>
          <w:p w14:paraId="65BEDC08" w14:textId="77777777" w:rsidR="00E159D9" w:rsidRPr="00E632E3"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5.924</w:t>
            </w:r>
          </w:p>
        </w:tc>
        <w:tc>
          <w:tcPr>
            <w:tcW w:w="538" w:type="pct"/>
            <w:tcBorders>
              <w:top w:val="nil"/>
              <w:left w:val="nil"/>
              <w:bottom w:val="nil"/>
              <w:right w:val="nil"/>
            </w:tcBorders>
            <w:shd w:val="clear" w:color="auto" w:fill="auto"/>
            <w:vAlign w:val="bottom"/>
          </w:tcPr>
          <w:p w14:paraId="660BFED0" w14:textId="77777777" w:rsidR="00E159D9" w:rsidRPr="00E632E3"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13.549</w:t>
            </w:r>
          </w:p>
        </w:tc>
        <w:tc>
          <w:tcPr>
            <w:tcW w:w="623" w:type="pct"/>
            <w:tcBorders>
              <w:top w:val="nil"/>
              <w:left w:val="nil"/>
              <w:bottom w:val="nil"/>
              <w:right w:val="nil"/>
            </w:tcBorders>
            <w:shd w:val="clear" w:color="auto" w:fill="auto"/>
            <w:vAlign w:val="bottom"/>
          </w:tcPr>
          <w:p w14:paraId="753B5E95" w14:textId="77777777" w:rsidR="00E159D9" w:rsidRPr="00E632E3"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5.059</w:t>
            </w:r>
          </w:p>
        </w:tc>
        <w:tc>
          <w:tcPr>
            <w:tcW w:w="589" w:type="pct"/>
            <w:tcBorders>
              <w:top w:val="nil"/>
              <w:left w:val="nil"/>
              <w:bottom w:val="nil"/>
              <w:right w:val="nil"/>
            </w:tcBorders>
            <w:shd w:val="clear" w:color="auto" w:fill="auto"/>
            <w:vAlign w:val="bottom"/>
          </w:tcPr>
          <w:p w14:paraId="01A85EFD" w14:textId="77777777" w:rsidR="00E159D9" w:rsidRPr="00E632E3"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27.460</w:t>
            </w:r>
          </w:p>
        </w:tc>
      </w:tr>
      <w:tr w:rsidR="00E159D9" w:rsidRPr="00E632E3" w14:paraId="75E72369" w14:textId="77777777" w:rsidTr="004378AC">
        <w:trPr>
          <w:trHeight w:val="229"/>
        </w:trPr>
        <w:tc>
          <w:tcPr>
            <w:tcW w:w="1641" w:type="pct"/>
            <w:tcBorders>
              <w:top w:val="nil"/>
              <w:left w:val="nil"/>
              <w:bottom w:val="nil"/>
              <w:right w:val="nil"/>
            </w:tcBorders>
            <w:shd w:val="clear" w:color="auto" w:fill="auto"/>
            <w:vAlign w:val="bottom"/>
          </w:tcPr>
          <w:p w14:paraId="39792043" w14:textId="77777777" w:rsidR="00E159D9" w:rsidRPr="00E632E3" w:rsidRDefault="00E159D9" w:rsidP="004378AC">
            <w:pPr>
              <w:tabs>
                <w:tab w:val="right" w:pos="1202"/>
              </w:tabs>
              <w:suppressAutoHyphens/>
              <w:autoSpaceDN w:val="0"/>
              <w:spacing w:line="220" w:lineRule="exact"/>
              <w:outlineLvl w:val="0"/>
              <w:rPr>
                <w:rFonts w:ascii="Arial" w:eastAsia="Times New Roman" w:hAnsi="Arial" w:cs="Arial"/>
                <w:color w:val="000000" w:themeColor="text1"/>
                <w:sz w:val="17"/>
                <w:szCs w:val="17"/>
              </w:rPr>
            </w:pPr>
            <w:bookmarkStart w:id="788" w:name="_Toc67330109"/>
            <w:r w:rsidRPr="00E632E3">
              <w:rPr>
                <w:rFonts w:ascii="Arial" w:eastAsia="Times New Roman" w:hAnsi="Arial" w:cs="Arial"/>
                <w:color w:val="000000" w:themeColor="text1"/>
                <w:sz w:val="17"/>
                <w:szCs w:val="17"/>
              </w:rPr>
              <w:t>Ugovorena obveza EIF FRC2</w:t>
            </w:r>
            <w:bookmarkEnd w:id="788"/>
          </w:p>
        </w:tc>
        <w:tc>
          <w:tcPr>
            <w:tcW w:w="547" w:type="pct"/>
            <w:tcBorders>
              <w:top w:val="nil"/>
              <w:left w:val="nil"/>
              <w:bottom w:val="single" w:sz="8" w:space="0" w:color="auto"/>
              <w:right w:val="nil"/>
            </w:tcBorders>
            <w:shd w:val="clear" w:color="auto" w:fill="auto"/>
            <w:vAlign w:val="bottom"/>
          </w:tcPr>
          <w:p w14:paraId="76D78C88" w14:textId="77777777" w:rsidR="00E159D9" w:rsidRPr="00E632E3"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6</w:t>
            </w:r>
          </w:p>
        </w:tc>
        <w:tc>
          <w:tcPr>
            <w:tcW w:w="534" w:type="pct"/>
            <w:tcBorders>
              <w:top w:val="nil"/>
              <w:left w:val="nil"/>
              <w:bottom w:val="single" w:sz="8" w:space="0" w:color="auto"/>
              <w:right w:val="nil"/>
            </w:tcBorders>
            <w:shd w:val="clear" w:color="auto" w:fill="auto"/>
            <w:vAlign w:val="bottom"/>
          </w:tcPr>
          <w:p w14:paraId="46372C00" w14:textId="77777777" w:rsidR="00E159D9" w:rsidRPr="00E632E3"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28" w:type="pct"/>
            <w:tcBorders>
              <w:top w:val="nil"/>
              <w:left w:val="nil"/>
              <w:bottom w:val="single" w:sz="8" w:space="0" w:color="auto"/>
              <w:right w:val="nil"/>
            </w:tcBorders>
            <w:shd w:val="clear" w:color="auto" w:fill="auto"/>
            <w:vAlign w:val="bottom"/>
          </w:tcPr>
          <w:p w14:paraId="4D9FD9BC" w14:textId="77777777" w:rsidR="00E159D9" w:rsidRPr="00E632E3"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6</w:t>
            </w:r>
          </w:p>
        </w:tc>
        <w:tc>
          <w:tcPr>
            <w:tcW w:w="538" w:type="pct"/>
            <w:tcBorders>
              <w:top w:val="nil"/>
              <w:left w:val="nil"/>
              <w:bottom w:val="single" w:sz="8" w:space="0" w:color="auto"/>
              <w:right w:val="nil"/>
            </w:tcBorders>
            <w:shd w:val="clear" w:color="auto" w:fill="auto"/>
            <w:vAlign w:val="bottom"/>
          </w:tcPr>
          <w:p w14:paraId="0870E40E" w14:textId="77777777" w:rsidR="00E159D9" w:rsidRPr="00E632E3"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16</w:t>
            </w:r>
          </w:p>
        </w:tc>
        <w:tc>
          <w:tcPr>
            <w:tcW w:w="623" w:type="pct"/>
            <w:tcBorders>
              <w:top w:val="nil"/>
              <w:left w:val="nil"/>
              <w:bottom w:val="single" w:sz="8" w:space="0" w:color="auto"/>
              <w:right w:val="nil"/>
            </w:tcBorders>
            <w:shd w:val="clear" w:color="auto" w:fill="auto"/>
            <w:vAlign w:val="bottom"/>
          </w:tcPr>
          <w:p w14:paraId="6DE9AFFF" w14:textId="77777777" w:rsidR="00E159D9" w:rsidRPr="00E632E3"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21</w:t>
            </w:r>
          </w:p>
        </w:tc>
        <w:tc>
          <w:tcPr>
            <w:tcW w:w="589" w:type="pct"/>
            <w:tcBorders>
              <w:top w:val="nil"/>
              <w:left w:val="nil"/>
              <w:bottom w:val="single" w:sz="8" w:space="0" w:color="auto"/>
              <w:right w:val="nil"/>
            </w:tcBorders>
            <w:shd w:val="clear" w:color="auto" w:fill="auto"/>
            <w:vAlign w:val="bottom"/>
          </w:tcPr>
          <w:p w14:paraId="3911AB58" w14:textId="77777777" w:rsidR="00E159D9" w:rsidRPr="00E632E3"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49</w:t>
            </w:r>
          </w:p>
        </w:tc>
      </w:tr>
      <w:tr w:rsidR="00E159D9" w:rsidRPr="00E632E3" w14:paraId="7BD9F578" w14:textId="77777777" w:rsidTr="004378AC">
        <w:trPr>
          <w:trHeight w:val="229"/>
        </w:trPr>
        <w:tc>
          <w:tcPr>
            <w:tcW w:w="1641" w:type="pct"/>
            <w:tcBorders>
              <w:top w:val="nil"/>
              <w:left w:val="nil"/>
              <w:bottom w:val="nil"/>
              <w:right w:val="nil"/>
            </w:tcBorders>
            <w:shd w:val="clear" w:color="auto" w:fill="auto"/>
            <w:vAlign w:val="bottom"/>
          </w:tcPr>
          <w:p w14:paraId="3F46682F" w14:textId="77777777" w:rsidR="00E159D9" w:rsidRPr="00E632E3" w:rsidRDefault="00E159D9" w:rsidP="004378AC">
            <w:pPr>
              <w:tabs>
                <w:tab w:val="right" w:pos="1202"/>
              </w:tabs>
              <w:suppressAutoHyphens/>
              <w:autoSpaceDN w:val="0"/>
              <w:spacing w:line="220" w:lineRule="exact"/>
              <w:outlineLvl w:val="0"/>
              <w:rPr>
                <w:rFonts w:ascii="Arial" w:eastAsia="Calibri" w:hAnsi="Arial" w:cs="Arial"/>
                <w:b/>
                <w:bCs/>
                <w:color w:val="000000" w:themeColor="text1"/>
                <w:spacing w:val="-2"/>
                <w:sz w:val="17"/>
                <w:szCs w:val="17"/>
              </w:rPr>
            </w:pPr>
            <w:bookmarkStart w:id="789" w:name="_Toc67330110"/>
            <w:r w:rsidRPr="00E632E3">
              <w:rPr>
                <w:rFonts w:ascii="Arial" w:eastAsia="Times New Roman" w:hAnsi="Arial" w:cs="Arial"/>
                <w:b/>
                <w:bCs/>
                <w:color w:val="000000" w:themeColor="text1"/>
                <w:sz w:val="17"/>
                <w:szCs w:val="17"/>
              </w:rPr>
              <w:t>Ukupne garancije i preuzete obveze</w:t>
            </w:r>
            <w:bookmarkEnd w:id="789"/>
          </w:p>
        </w:tc>
        <w:tc>
          <w:tcPr>
            <w:tcW w:w="547" w:type="pct"/>
            <w:tcBorders>
              <w:top w:val="single" w:sz="8" w:space="0" w:color="auto"/>
              <w:left w:val="nil"/>
              <w:bottom w:val="single" w:sz="12" w:space="0" w:color="auto"/>
              <w:right w:val="nil"/>
            </w:tcBorders>
            <w:shd w:val="clear" w:color="auto" w:fill="auto"/>
            <w:vAlign w:val="bottom"/>
          </w:tcPr>
          <w:p w14:paraId="0B17A26D" w14:textId="77777777" w:rsidR="00E159D9" w:rsidRPr="00E632E3" w:rsidRDefault="00E159D9" w:rsidP="004378AC">
            <w:pPr>
              <w:suppressAutoHyphens/>
              <w:autoSpaceDN w:val="0"/>
              <w:jc w:val="right"/>
              <w:rPr>
                <w:rFonts w:ascii="Arial" w:eastAsia="Times New Roman" w:hAnsi="Arial" w:cs="Arial"/>
                <w:b/>
                <w:bCs/>
                <w:color w:val="000000"/>
                <w:sz w:val="17"/>
                <w:szCs w:val="17"/>
              </w:rPr>
            </w:pPr>
            <w:r>
              <w:rPr>
                <w:rFonts w:ascii="Arial" w:eastAsia="Times New Roman" w:hAnsi="Arial" w:cs="Arial"/>
                <w:b/>
                <w:bCs/>
                <w:color w:val="000000"/>
                <w:sz w:val="17"/>
                <w:szCs w:val="17"/>
              </w:rPr>
              <w:t>527.256</w:t>
            </w:r>
          </w:p>
        </w:tc>
        <w:tc>
          <w:tcPr>
            <w:tcW w:w="534" w:type="pct"/>
            <w:tcBorders>
              <w:top w:val="single" w:sz="8" w:space="0" w:color="auto"/>
              <w:left w:val="nil"/>
              <w:bottom w:val="single" w:sz="12" w:space="0" w:color="auto"/>
              <w:right w:val="nil"/>
            </w:tcBorders>
            <w:shd w:val="clear" w:color="auto" w:fill="auto"/>
            <w:vAlign w:val="bottom"/>
          </w:tcPr>
          <w:p w14:paraId="24BEF0CA" w14:textId="77777777" w:rsidR="00E159D9" w:rsidRPr="00E632E3" w:rsidRDefault="00E159D9" w:rsidP="004378AC">
            <w:pPr>
              <w:suppressAutoHyphens/>
              <w:autoSpaceDN w:val="0"/>
              <w:jc w:val="right"/>
              <w:rPr>
                <w:rFonts w:ascii="Arial" w:eastAsia="Times New Roman" w:hAnsi="Arial" w:cs="Arial"/>
                <w:b/>
                <w:bCs/>
                <w:color w:val="000000"/>
                <w:sz w:val="17"/>
                <w:szCs w:val="17"/>
              </w:rPr>
            </w:pPr>
            <w:r>
              <w:rPr>
                <w:rFonts w:ascii="Arial" w:eastAsia="Times New Roman" w:hAnsi="Arial" w:cs="Arial"/>
                <w:b/>
                <w:bCs/>
                <w:color w:val="000000"/>
                <w:sz w:val="17"/>
                <w:szCs w:val="17"/>
              </w:rPr>
              <w:t>2.780</w:t>
            </w:r>
          </w:p>
        </w:tc>
        <w:tc>
          <w:tcPr>
            <w:tcW w:w="528" w:type="pct"/>
            <w:tcBorders>
              <w:top w:val="single" w:sz="8" w:space="0" w:color="auto"/>
              <w:left w:val="nil"/>
              <w:bottom w:val="single" w:sz="12" w:space="0" w:color="auto"/>
              <w:right w:val="nil"/>
            </w:tcBorders>
            <w:shd w:val="clear" w:color="auto" w:fill="auto"/>
            <w:vAlign w:val="bottom"/>
          </w:tcPr>
          <w:p w14:paraId="4C2829E8" w14:textId="77777777" w:rsidR="00E159D9" w:rsidRPr="00E632E3" w:rsidRDefault="00E159D9" w:rsidP="004378AC">
            <w:pPr>
              <w:suppressAutoHyphens/>
              <w:autoSpaceDN w:val="0"/>
              <w:jc w:val="right"/>
              <w:rPr>
                <w:rFonts w:ascii="Arial" w:eastAsia="Times New Roman" w:hAnsi="Arial" w:cs="Arial"/>
                <w:b/>
                <w:bCs/>
                <w:color w:val="000000"/>
                <w:sz w:val="17"/>
                <w:szCs w:val="17"/>
              </w:rPr>
            </w:pPr>
            <w:r>
              <w:rPr>
                <w:rFonts w:ascii="Arial" w:eastAsia="Times New Roman" w:hAnsi="Arial" w:cs="Arial"/>
                <w:b/>
                <w:bCs/>
                <w:color w:val="000000"/>
                <w:sz w:val="17"/>
                <w:szCs w:val="17"/>
              </w:rPr>
              <w:t>5.930</w:t>
            </w:r>
          </w:p>
        </w:tc>
        <w:tc>
          <w:tcPr>
            <w:tcW w:w="538" w:type="pct"/>
            <w:tcBorders>
              <w:top w:val="single" w:sz="8" w:space="0" w:color="auto"/>
              <w:left w:val="nil"/>
              <w:bottom w:val="single" w:sz="12" w:space="0" w:color="auto"/>
              <w:right w:val="nil"/>
            </w:tcBorders>
            <w:shd w:val="clear" w:color="auto" w:fill="auto"/>
            <w:vAlign w:val="bottom"/>
          </w:tcPr>
          <w:p w14:paraId="3BDC8FC9" w14:textId="77777777" w:rsidR="00E159D9" w:rsidRPr="00E632E3" w:rsidRDefault="00E159D9" w:rsidP="004378AC">
            <w:pPr>
              <w:suppressAutoHyphens/>
              <w:autoSpaceDN w:val="0"/>
              <w:jc w:val="right"/>
              <w:rPr>
                <w:rFonts w:ascii="Arial" w:eastAsia="Times New Roman" w:hAnsi="Arial" w:cs="Arial"/>
                <w:b/>
                <w:bCs/>
                <w:color w:val="000000"/>
                <w:sz w:val="17"/>
                <w:szCs w:val="17"/>
              </w:rPr>
            </w:pPr>
            <w:r>
              <w:rPr>
                <w:rFonts w:ascii="Arial" w:eastAsia="Times New Roman" w:hAnsi="Arial" w:cs="Arial"/>
                <w:b/>
                <w:bCs/>
                <w:color w:val="000000"/>
                <w:sz w:val="17"/>
                <w:szCs w:val="17"/>
              </w:rPr>
              <w:t>13.565</w:t>
            </w:r>
          </w:p>
        </w:tc>
        <w:tc>
          <w:tcPr>
            <w:tcW w:w="623" w:type="pct"/>
            <w:tcBorders>
              <w:top w:val="single" w:sz="8" w:space="0" w:color="auto"/>
              <w:left w:val="nil"/>
              <w:bottom w:val="single" w:sz="12" w:space="0" w:color="auto"/>
              <w:right w:val="nil"/>
            </w:tcBorders>
            <w:shd w:val="clear" w:color="auto" w:fill="auto"/>
            <w:vAlign w:val="bottom"/>
          </w:tcPr>
          <w:p w14:paraId="1784D815" w14:textId="77777777" w:rsidR="00E159D9" w:rsidRPr="00E632E3" w:rsidRDefault="00E159D9" w:rsidP="004378AC">
            <w:pPr>
              <w:suppressAutoHyphens/>
              <w:autoSpaceDN w:val="0"/>
              <w:jc w:val="right"/>
              <w:rPr>
                <w:rFonts w:ascii="Arial" w:eastAsia="Times New Roman" w:hAnsi="Arial" w:cs="Arial"/>
                <w:b/>
                <w:bCs/>
                <w:color w:val="000000"/>
                <w:sz w:val="17"/>
                <w:szCs w:val="17"/>
              </w:rPr>
            </w:pPr>
            <w:r>
              <w:rPr>
                <w:rFonts w:ascii="Arial" w:eastAsia="Times New Roman" w:hAnsi="Arial" w:cs="Arial"/>
                <w:b/>
                <w:bCs/>
                <w:color w:val="000000"/>
                <w:sz w:val="17"/>
                <w:szCs w:val="17"/>
              </w:rPr>
              <w:t>5.080</w:t>
            </w:r>
          </w:p>
        </w:tc>
        <w:tc>
          <w:tcPr>
            <w:tcW w:w="589" w:type="pct"/>
            <w:tcBorders>
              <w:top w:val="single" w:sz="8" w:space="0" w:color="auto"/>
              <w:left w:val="nil"/>
              <w:bottom w:val="single" w:sz="12" w:space="0" w:color="auto"/>
              <w:right w:val="nil"/>
            </w:tcBorders>
            <w:shd w:val="clear" w:color="auto" w:fill="auto"/>
            <w:vAlign w:val="bottom"/>
          </w:tcPr>
          <w:p w14:paraId="5E624ABC" w14:textId="77777777" w:rsidR="00E159D9" w:rsidRPr="00E632E3" w:rsidRDefault="00E159D9" w:rsidP="004378AC">
            <w:pPr>
              <w:suppressAutoHyphens/>
              <w:autoSpaceDN w:val="0"/>
              <w:jc w:val="right"/>
              <w:rPr>
                <w:rFonts w:ascii="Arial" w:eastAsia="Times New Roman" w:hAnsi="Arial" w:cs="Arial"/>
                <w:b/>
                <w:bCs/>
                <w:color w:val="000000"/>
                <w:sz w:val="17"/>
                <w:szCs w:val="17"/>
              </w:rPr>
            </w:pPr>
            <w:r>
              <w:rPr>
                <w:rFonts w:ascii="Arial" w:eastAsia="Times New Roman" w:hAnsi="Arial" w:cs="Arial"/>
                <w:b/>
                <w:bCs/>
                <w:color w:val="000000"/>
                <w:sz w:val="17"/>
                <w:szCs w:val="17"/>
              </w:rPr>
              <w:t>554.611</w:t>
            </w:r>
          </w:p>
        </w:tc>
      </w:tr>
    </w:tbl>
    <w:p w14:paraId="4E431389" w14:textId="77777777" w:rsidR="00661446" w:rsidRPr="003D1614" w:rsidRDefault="00661446" w:rsidP="00661446">
      <w:pPr>
        <w:suppressAutoHyphens/>
        <w:autoSpaceDN w:val="0"/>
        <w:jc w:val="both"/>
        <w:rPr>
          <w:rFonts w:ascii="Arial" w:eastAsia="Times New Roman" w:hAnsi="Arial" w:cs="Arial"/>
          <w:bCs/>
          <w:color w:val="000000" w:themeColor="text1"/>
          <w:sz w:val="20"/>
          <w:szCs w:val="20"/>
        </w:rPr>
      </w:pPr>
    </w:p>
    <w:p w14:paraId="7E514DB3" w14:textId="77777777" w:rsidR="00661446" w:rsidRPr="003D1614" w:rsidRDefault="00661446" w:rsidP="00661446">
      <w:pPr>
        <w:suppressAutoHyphens/>
        <w:autoSpaceDN w:val="0"/>
        <w:jc w:val="both"/>
        <w:rPr>
          <w:rFonts w:ascii="Arial" w:eastAsia="Times New Roman" w:hAnsi="Arial" w:cs="Arial"/>
          <w:bCs/>
          <w:color w:val="000000" w:themeColor="text1"/>
          <w:sz w:val="20"/>
          <w:szCs w:val="20"/>
        </w:rPr>
      </w:pPr>
    </w:p>
    <w:p w14:paraId="101ED18E" w14:textId="77777777" w:rsidR="00661446" w:rsidRPr="003D1614" w:rsidRDefault="00661446" w:rsidP="00661446">
      <w:pPr>
        <w:suppressAutoHyphens/>
        <w:autoSpaceDN w:val="0"/>
        <w:jc w:val="both"/>
        <w:rPr>
          <w:rFonts w:ascii="Arial" w:eastAsia="Times New Roman" w:hAnsi="Arial" w:cs="Arial"/>
          <w:i/>
          <w:color w:val="000000" w:themeColor="text1"/>
          <w:sz w:val="18"/>
          <w:szCs w:val="18"/>
        </w:rPr>
      </w:pPr>
      <w:r w:rsidRPr="003D1614">
        <w:rPr>
          <w:rFonts w:ascii="Arial" w:eastAsia="Times New Roman" w:hAnsi="Arial" w:cs="Arial"/>
          <w:bCs/>
          <w:color w:val="000000" w:themeColor="text1"/>
          <w:sz w:val="18"/>
          <w:szCs w:val="18"/>
        </w:rPr>
        <w:t>Stavke s neodređenim dospijećem iskazane su u razdoblju preko 3 godine.</w:t>
      </w:r>
      <w:r w:rsidRPr="003D1614">
        <w:rPr>
          <w:rFonts w:ascii="Arial" w:eastAsia="Times New Roman" w:hAnsi="Arial" w:cs="Arial"/>
          <w:i/>
          <w:color w:val="000000" w:themeColor="text1"/>
          <w:sz w:val="18"/>
          <w:szCs w:val="18"/>
        </w:rPr>
        <w:t xml:space="preserve"> </w:t>
      </w:r>
    </w:p>
    <w:p w14:paraId="0959DC14" w14:textId="77777777" w:rsidR="00661446" w:rsidRPr="003D1614" w:rsidRDefault="00661446" w:rsidP="00661446">
      <w:pPr>
        <w:suppressAutoHyphens/>
        <w:autoSpaceDN w:val="0"/>
        <w:jc w:val="both"/>
        <w:rPr>
          <w:rFonts w:ascii="Arial" w:eastAsia="Times New Roman" w:hAnsi="Arial" w:cs="Arial"/>
          <w:i/>
          <w:color w:val="000000" w:themeColor="text1"/>
          <w:sz w:val="20"/>
          <w:szCs w:val="20"/>
        </w:rPr>
      </w:pPr>
    </w:p>
    <w:p w14:paraId="6FF19B11" w14:textId="77777777" w:rsidR="00E159D9" w:rsidRDefault="00E159D9" w:rsidP="00E159D9">
      <w:pPr>
        <w:keepNext/>
        <w:ind w:right="-1"/>
        <w:jc w:val="both"/>
        <w:rPr>
          <w:rFonts w:ascii="Arial" w:hAnsi="Arial" w:cs="Arial"/>
          <w:bCs/>
          <w:i/>
          <w:color w:val="000000" w:themeColor="text1"/>
          <w:sz w:val="18"/>
          <w:szCs w:val="18"/>
        </w:rPr>
      </w:pPr>
      <w:r w:rsidRPr="00A20436">
        <w:rPr>
          <w:rFonts w:ascii="Arial" w:hAnsi="Arial" w:cs="Arial"/>
          <w:bCs/>
          <w:i/>
          <w:color w:val="000000" w:themeColor="text1"/>
          <w:sz w:val="18"/>
          <w:szCs w:val="18"/>
        </w:rPr>
        <w:t>*</w:t>
      </w:r>
      <w:r w:rsidRPr="00A20436">
        <w:rPr>
          <w:rFonts w:ascii="Arial" w:hAnsi="Arial" w:cs="Arial"/>
          <w:b/>
          <w:bCs/>
          <w:color w:val="000000" w:themeColor="text1"/>
          <w:sz w:val="18"/>
          <w:szCs w:val="18"/>
        </w:rPr>
        <w:t xml:space="preserve"> </w:t>
      </w:r>
      <w:r w:rsidRPr="00A20436">
        <w:rPr>
          <w:rFonts w:ascii="Arial" w:hAnsi="Arial" w:cs="Arial"/>
          <w:bCs/>
          <w:i/>
          <w:color w:val="000000" w:themeColor="text1"/>
          <w:sz w:val="18"/>
          <w:szCs w:val="18"/>
        </w:rPr>
        <w:t xml:space="preserve">Potraživanje u iznosu od </w:t>
      </w:r>
      <w:r>
        <w:rPr>
          <w:rFonts w:ascii="Arial" w:hAnsi="Arial" w:cs="Arial"/>
          <w:bCs/>
          <w:i/>
          <w:color w:val="000000" w:themeColor="text1"/>
          <w:sz w:val="18"/>
          <w:szCs w:val="18"/>
        </w:rPr>
        <w:t>4</w:t>
      </w:r>
      <w:r w:rsidRPr="00A20436">
        <w:rPr>
          <w:rFonts w:ascii="Arial" w:hAnsi="Arial" w:cs="Arial"/>
          <w:bCs/>
          <w:i/>
          <w:color w:val="000000" w:themeColor="text1"/>
          <w:sz w:val="18"/>
          <w:szCs w:val="18"/>
        </w:rPr>
        <w:t xml:space="preserve">0.000 tisuća eura odnosi se na obrnute repo poslove. </w:t>
      </w:r>
    </w:p>
    <w:p w14:paraId="22D6D9CF" w14:textId="090B87BC" w:rsidR="00E159D9" w:rsidRPr="00A20436" w:rsidRDefault="00E159D9" w:rsidP="00E159D9">
      <w:pPr>
        <w:keepNext/>
        <w:ind w:right="-1"/>
        <w:jc w:val="both"/>
        <w:rPr>
          <w:rFonts w:ascii="Arial" w:hAnsi="Arial" w:cs="Arial"/>
          <w:bCs/>
          <w:i/>
          <w:color w:val="000000" w:themeColor="text1"/>
          <w:sz w:val="18"/>
          <w:szCs w:val="18"/>
        </w:rPr>
      </w:pPr>
      <w:r>
        <w:rPr>
          <w:rFonts w:ascii="Arial" w:hAnsi="Arial" w:cs="Arial"/>
          <w:bCs/>
          <w:i/>
          <w:color w:val="000000" w:themeColor="text1"/>
          <w:sz w:val="18"/>
          <w:szCs w:val="18"/>
        </w:rPr>
        <w:t xml:space="preserve">** </w:t>
      </w:r>
      <w:r w:rsidRPr="00A20436">
        <w:rPr>
          <w:rFonts w:ascii="Arial" w:hAnsi="Arial" w:cs="Arial"/>
          <w:bCs/>
          <w:i/>
          <w:color w:val="000000" w:themeColor="text1"/>
          <w:sz w:val="18"/>
          <w:szCs w:val="18"/>
        </w:rPr>
        <w:t xml:space="preserve">Potraživanje u iznosu od </w:t>
      </w:r>
      <w:r>
        <w:rPr>
          <w:rFonts w:ascii="Arial" w:hAnsi="Arial" w:cs="Arial"/>
          <w:bCs/>
          <w:i/>
          <w:color w:val="000000" w:themeColor="text1"/>
          <w:sz w:val="18"/>
          <w:szCs w:val="18"/>
        </w:rPr>
        <w:t>7.260</w:t>
      </w:r>
      <w:r w:rsidRPr="00A20436">
        <w:rPr>
          <w:rFonts w:ascii="Arial" w:hAnsi="Arial" w:cs="Arial"/>
          <w:bCs/>
          <w:i/>
          <w:color w:val="000000" w:themeColor="text1"/>
          <w:sz w:val="18"/>
          <w:szCs w:val="18"/>
        </w:rPr>
        <w:t xml:space="preserve"> tisuća eura odnosi se na obrnute repo poslove</w:t>
      </w:r>
      <w:r>
        <w:rPr>
          <w:rFonts w:ascii="Arial" w:hAnsi="Arial" w:cs="Arial"/>
          <w:bCs/>
          <w:i/>
          <w:color w:val="000000" w:themeColor="text1"/>
          <w:sz w:val="18"/>
          <w:szCs w:val="18"/>
        </w:rPr>
        <w:t>.</w:t>
      </w:r>
    </w:p>
    <w:p w14:paraId="276E8CC7" w14:textId="77777777" w:rsidR="00E159D9" w:rsidRPr="00A20436" w:rsidRDefault="00E159D9" w:rsidP="00E159D9">
      <w:pPr>
        <w:suppressAutoHyphens/>
        <w:autoSpaceDN w:val="0"/>
        <w:jc w:val="both"/>
        <w:rPr>
          <w:rFonts w:ascii="Arial" w:eastAsia="Times New Roman" w:hAnsi="Arial" w:cs="Arial"/>
          <w:color w:val="000000" w:themeColor="text1"/>
          <w:sz w:val="20"/>
          <w:szCs w:val="20"/>
        </w:rPr>
      </w:pPr>
      <w:r w:rsidRPr="00A20436">
        <w:rPr>
          <w:rFonts w:ascii="Arial" w:eastAsia="Calibri" w:hAnsi="Arial" w:cs="Arial"/>
          <w:bCs/>
          <w:i/>
          <w:color w:val="000000" w:themeColor="text1"/>
          <w:sz w:val="18"/>
          <w:szCs w:val="18"/>
        </w:rPr>
        <w:t>*</w:t>
      </w:r>
      <w:r>
        <w:rPr>
          <w:rFonts w:ascii="Arial" w:eastAsia="Calibri" w:hAnsi="Arial" w:cs="Arial"/>
          <w:bCs/>
          <w:i/>
          <w:color w:val="000000" w:themeColor="text1"/>
          <w:sz w:val="18"/>
          <w:szCs w:val="18"/>
        </w:rPr>
        <w:t>**</w:t>
      </w:r>
      <w:r w:rsidRPr="00A20436">
        <w:rPr>
          <w:rFonts w:ascii="Arial" w:eastAsia="Calibri" w:hAnsi="Arial" w:cs="Arial"/>
          <w:bCs/>
          <w:i/>
          <w:color w:val="000000" w:themeColor="text1"/>
          <w:sz w:val="18"/>
          <w:szCs w:val="18"/>
        </w:rPr>
        <w:t>Obračunata nedospjela kamata po kreditima raspoređena je u kategoriji od 1 do 3 mjeseca.</w:t>
      </w:r>
    </w:p>
    <w:p w14:paraId="53BB2BC1" w14:textId="77777777" w:rsidR="00661446" w:rsidRPr="003D1614" w:rsidRDefault="00661446" w:rsidP="001A0FCB">
      <w:pPr>
        <w:suppressAutoHyphens/>
        <w:autoSpaceDN w:val="0"/>
        <w:jc w:val="both"/>
        <w:rPr>
          <w:rFonts w:ascii="Arial" w:eastAsia="Times New Roman" w:hAnsi="Arial" w:cs="Arial"/>
          <w:color w:val="000000" w:themeColor="text1"/>
          <w:sz w:val="20"/>
          <w:szCs w:val="20"/>
        </w:rPr>
        <w:sectPr w:rsidR="00661446" w:rsidRPr="003D1614" w:rsidSect="003278AB">
          <w:pgSz w:w="11906" w:h="16838"/>
          <w:pgMar w:top="1417" w:right="1417" w:bottom="1417" w:left="1417" w:header="708" w:footer="708" w:gutter="0"/>
          <w:cols w:space="708"/>
          <w:docGrid w:linePitch="360"/>
        </w:sectPr>
      </w:pPr>
    </w:p>
    <w:p w14:paraId="4E8A5EF5" w14:textId="77777777" w:rsidR="00661446" w:rsidRPr="003D1614" w:rsidRDefault="00661446" w:rsidP="00661446">
      <w:pPr>
        <w:keepNext/>
        <w:suppressAutoHyphens/>
        <w:autoSpaceDN w:val="0"/>
        <w:jc w:val="both"/>
        <w:outlineLvl w:val="0"/>
        <w:rPr>
          <w:rFonts w:ascii="Arial" w:eastAsia="Times New Roman" w:hAnsi="Arial" w:cs="Arial"/>
          <w:b/>
          <w:bCs/>
          <w:color w:val="000000" w:themeColor="text1"/>
          <w:sz w:val="20"/>
          <w:szCs w:val="20"/>
        </w:rPr>
      </w:pPr>
    </w:p>
    <w:p w14:paraId="2D69C0A9" w14:textId="53C2F446" w:rsidR="00661446" w:rsidRPr="003D1614" w:rsidRDefault="00661446" w:rsidP="00661446">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4D10DD33" w14:textId="77777777" w:rsidR="00661446" w:rsidRPr="003D1614" w:rsidRDefault="00661446" w:rsidP="00661446">
      <w:pPr>
        <w:keepNext/>
        <w:suppressAutoHyphens/>
        <w:autoSpaceDN w:val="0"/>
        <w:jc w:val="both"/>
        <w:outlineLvl w:val="0"/>
        <w:rPr>
          <w:rFonts w:ascii="Arial" w:eastAsia="Times New Roman" w:hAnsi="Arial" w:cs="Arial"/>
          <w:b/>
          <w:bCs/>
          <w:color w:val="000000" w:themeColor="text1"/>
          <w:sz w:val="20"/>
          <w:szCs w:val="20"/>
        </w:rPr>
      </w:pPr>
    </w:p>
    <w:p w14:paraId="1B02C426" w14:textId="2B322F64" w:rsidR="00661446" w:rsidRPr="003D1614" w:rsidRDefault="00661446" w:rsidP="00661446">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.4. </w:t>
      </w:r>
      <w:r w:rsidRPr="003D1614">
        <w:rPr>
          <w:rFonts w:ascii="Arial" w:eastAsia="Times New Roman" w:hAnsi="Arial" w:cs="Arial"/>
          <w:b/>
          <w:bCs/>
          <w:color w:val="000000" w:themeColor="text1"/>
          <w:sz w:val="20"/>
          <w:szCs w:val="20"/>
        </w:rPr>
        <w:tab/>
        <w:t xml:space="preserve">Rizik likvidnosti </w:t>
      </w:r>
    </w:p>
    <w:p w14:paraId="35A517B8" w14:textId="77777777" w:rsidR="00661446" w:rsidRPr="003D1614" w:rsidRDefault="00661446" w:rsidP="00661446">
      <w:pPr>
        <w:tabs>
          <w:tab w:val="left" w:pos="-720"/>
        </w:tabs>
        <w:suppressAutoHyphens/>
        <w:autoSpaceDN w:val="0"/>
        <w:jc w:val="both"/>
        <w:rPr>
          <w:rFonts w:ascii="Arial" w:eastAsia="Times New Roman" w:hAnsi="Arial" w:cs="Arial"/>
          <w:color w:val="000000" w:themeColor="text1"/>
          <w:sz w:val="20"/>
          <w:szCs w:val="20"/>
        </w:rPr>
      </w:pPr>
    </w:p>
    <w:p w14:paraId="198BB793" w14:textId="77777777" w:rsidR="00661446" w:rsidRPr="003D1614" w:rsidRDefault="00661446" w:rsidP="00661446">
      <w:pPr>
        <w:tabs>
          <w:tab w:val="left" w:pos="-720"/>
        </w:tabs>
        <w:suppressAutoHyphens/>
        <w:autoSpaceDN w:val="0"/>
        <w:jc w:val="both"/>
        <w:rPr>
          <w:rFonts w:ascii="Arial" w:eastAsia="Times New Roman" w:hAnsi="Arial" w:cs="Arial"/>
          <w:color w:val="000000" w:themeColor="text1"/>
          <w:sz w:val="20"/>
          <w:szCs w:val="20"/>
        </w:rPr>
      </w:pPr>
    </w:p>
    <w:tbl>
      <w:tblPr>
        <w:tblW w:w="5106" w:type="pct"/>
        <w:tblInd w:w="-142" w:type="dxa"/>
        <w:tblLayout w:type="fixed"/>
        <w:tblCellMar>
          <w:left w:w="120" w:type="dxa"/>
          <w:right w:w="120" w:type="dxa"/>
        </w:tblCellMar>
        <w:tblLook w:val="0000" w:firstRow="0" w:lastRow="0" w:firstColumn="0" w:lastColumn="0" w:noHBand="0" w:noVBand="0"/>
      </w:tblPr>
      <w:tblGrid>
        <w:gridCol w:w="3034"/>
        <w:gridCol w:w="1013"/>
        <w:gridCol w:w="989"/>
        <w:gridCol w:w="978"/>
        <w:gridCol w:w="997"/>
        <w:gridCol w:w="1154"/>
        <w:gridCol w:w="1099"/>
      </w:tblGrid>
      <w:tr w:rsidR="00897733" w:rsidRPr="005B35F4" w14:paraId="627DA8DA" w14:textId="77777777" w:rsidTr="0034622E">
        <w:trPr>
          <w:trHeight w:val="459"/>
        </w:trPr>
        <w:tc>
          <w:tcPr>
            <w:tcW w:w="1637" w:type="pct"/>
          </w:tcPr>
          <w:p w14:paraId="298D6D23" w14:textId="77777777" w:rsidR="00897733" w:rsidRPr="005B35F4" w:rsidRDefault="00897733" w:rsidP="0034622E">
            <w:pPr>
              <w:pStyle w:val="TH"/>
              <w:spacing w:line="220" w:lineRule="exact"/>
              <w:rPr>
                <w:rFonts w:cs="Arial"/>
                <w:color w:val="000000" w:themeColor="text1"/>
                <w:sz w:val="17"/>
                <w:szCs w:val="17"/>
                <w:lang w:val="hr-HR"/>
              </w:rPr>
            </w:pPr>
            <w:r w:rsidRPr="005B35F4">
              <w:rPr>
                <w:rFonts w:cs="Arial"/>
                <w:color w:val="000000" w:themeColor="text1"/>
                <w:sz w:val="17"/>
                <w:szCs w:val="17"/>
                <w:lang w:val="hr-HR"/>
              </w:rPr>
              <w:t>Grupa</w:t>
            </w:r>
          </w:p>
          <w:p w14:paraId="31A0A890" w14:textId="77777777" w:rsidR="00897733" w:rsidRPr="005B35F4" w:rsidRDefault="00897733" w:rsidP="0034622E">
            <w:pPr>
              <w:pStyle w:val="TH"/>
              <w:spacing w:line="220" w:lineRule="exact"/>
              <w:rPr>
                <w:rFonts w:cs="Arial"/>
                <w:color w:val="000000" w:themeColor="text1"/>
                <w:sz w:val="17"/>
                <w:szCs w:val="17"/>
                <w:lang w:val="hr-HR"/>
              </w:rPr>
            </w:pPr>
            <w:r w:rsidRPr="005B35F4">
              <w:rPr>
                <w:rFonts w:cs="Arial"/>
                <w:color w:val="000000" w:themeColor="text1"/>
                <w:sz w:val="17"/>
                <w:szCs w:val="17"/>
                <w:lang w:val="hr-HR"/>
              </w:rPr>
              <w:t>31. prosinca 202</w:t>
            </w:r>
            <w:r>
              <w:rPr>
                <w:rFonts w:cs="Arial"/>
                <w:color w:val="000000" w:themeColor="text1"/>
                <w:sz w:val="17"/>
                <w:szCs w:val="17"/>
                <w:lang w:val="hr-HR"/>
              </w:rPr>
              <w:t>3</w:t>
            </w:r>
            <w:r w:rsidRPr="005B35F4">
              <w:rPr>
                <w:rFonts w:cs="Arial"/>
                <w:color w:val="000000" w:themeColor="text1"/>
                <w:sz w:val="17"/>
                <w:szCs w:val="17"/>
                <w:lang w:val="hr-HR"/>
              </w:rPr>
              <w:t xml:space="preserve">. </w:t>
            </w:r>
          </w:p>
        </w:tc>
        <w:tc>
          <w:tcPr>
            <w:tcW w:w="547" w:type="pct"/>
          </w:tcPr>
          <w:p w14:paraId="7B6F75C6" w14:textId="77777777" w:rsidR="00897733" w:rsidRPr="005B35F4" w:rsidRDefault="00897733" w:rsidP="0034622E">
            <w:pPr>
              <w:pStyle w:val="TH"/>
              <w:spacing w:line="220" w:lineRule="exact"/>
              <w:jc w:val="right"/>
              <w:rPr>
                <w:rFonts w:cs="Arial"/>
                <w:color w:val="000000" w:themeColor="text1"/>
                <w:sz w:val="17"/>
                <w:szCs w:val="17"/>
                <w:lang w:val="hr-HR"/>
              </w:rPr>
            </w:pPr>
            <w:r w:rsidRPr="005B35F4">
              <w:rPr>
                <w:rFonts w:cs="Arial"/>
                <w:color w:val="000000" w:themeColor="text1"/>
                <w:sz w:val="17"/>
                <w:szCs w:val="17"/>
                <w:lang w:val="hr-HR"/>
              </w:rPr>
              <w:t>Do 1 mjesec</w:t>
            </w:r>
          </w:p>
        </w:tc>
        <w:tc>
          <w:tcPr>
            <w:tcW w:w="534" w:type="pct"/>
          </w:tcPr>
          <w:p w14:paraId="7E06287C" w14:textId="77777777" w:rsidR="00897733" w:rsidRPr="005B35F4" w:rsidRDefault="00897733" w:rsidP="0034622E">
            <w:pPr>
              <w:pStyle w:val="TH"/>
              <w:spacing w:line="220" w:lineRule="exact"/>
              <w:jc w:val="right"/>
              <w:rPr>
                <w:rFonts w:cs="Arial"/>
                <w:color w:val="000000" w:themeColor="text1"/>
                <w:sz w:val="17"/>
                <w:szCs w:val="17"/>
                <w:lang w:val="hr-HR"/>
              </w:rPr>
            </w:pPr>
            <w:r w:rsidRPr="005B35F4">
              <w:rPr>
                <w:rFonts w:cs="Arial"/>
                <w:color w:val="000000" w:themeColor="text1"/>
                <w:sz w:val="17"/>
                <w:szCs w:val="17"/>
                <w:lang w:val="hr-HR"/>
              </w:rPr>
              <w:t>1 do 3 mjeseca</w:t>
            </w:r>
          </w:p>
        </w:tc>
        <w:tc>
          <w:tcPr>
            <w:tcW w:w="528" w:type="pct"/>
          </w:tcPr>
          <w:p w14:paraId="4D4C0B1E" w14:textId="77777777" w:rsidR="00897733" w:rsidRPr="005B35F4" w:rsidRDefault="00897733" w:rsidP="0034622E">
            <w:pPr>
              <w:pStyle w:val="TH"/>
              <w:spacing w:line="220" w:lineRule="exact"/>
              <w:jc w:val="right"/>
              <w:rPr>
                <w:rFonts w:cs="Arial"/>
                <w:color w:val="000000" w:themeColor="text1"/>
                <w:sz w:val="17"/>
                <w:szCs w:val="17"/>
                <w:lang w:val="hr-HR"/>
              </w:rPr>
            </w:pPr>
            <w:r w:rsidRPr="005B35F4">
              <w:rPr>
                <w:rFonts w:cs="Arial"/>
                <w:color w:val="000000" w:themeColor="text1"/>
                <w:sz w:val="17"/>
                <w:szCs w:val="17"/>
                <w:lang w:val="hr-HR"/>
              </w:rPr>
              <w:t>3 mj. do 1 godine</w:t>
            </w:r>
          </w:p>
        </w:tc>
        <w:tc>
          <w:tcPr>
            <w:tcW w:w="538" w:type="pct"/>
          </w:tcPr>
          <w:p w14:paraId="7953514A" w14:textId="77777777" w:rsidR="00897733" w:rsidRPr="005B35F4" w:rsidRDefault="00897733" w:rsidP="0034622E">
            <w:pPr>
              <w:pStyle w:val="TH"/>
              <w:spacing w:line="220" w:lineRule="exact"/>
              <w:jc w:val="right"/>
              <w:rPr>
                <w:rFonts w:cs="Arial"/>
                <w:color w:val="000000" w:themeColor="text1"/>
                <w:sz w:val="17"/>
                <w:szCs w:val="17"/>
                <w:lang w:val="hr-HR"/>
              </w:rPr>
            </w:pPr>
            <w:r w:rsidRPr="005B35F4">
              <w:rPr>
                <w:rFonts w:cs="Arial"/>
                <w:color w:val="000000" w:themeColor="text1"/>
                <w:sz w:val="17"/>
                <w:szCs w:val="17"/>
                <w:lang w:val="hr-HR"/>
              </w:rPr>
              <w:t>1 do 3 godina</w:t>
            </w:r>
          </w:p>
        </w:tc>
        <w:tc>
          <w:tcPr>
            <w:tcW w:w="623" w:type="pct"/>
          </w:tcPr>
          <w:p w14:paraId="0C628A75" w14:textId="77777777" w:rsidR="00897733" w:rsidRPr="005B35F4" w:rsidRDefault="00897733" w:rsidP="0034622E">
            <w:pPr>
              <w:pStyle w:val="TH"/>
              <w:spacing w:line="220" w:lineRule="exact"/>
              <w:jc w:val="right"/>
              <w:rPr>
                <w:rFonts w:cs="Arial"/>
                <w:color w:val="000000" w:themeColor="text1"/>
                <w:sz w:val="17"/>
                <w:szCs w:val="17"/>
                <w:lang w:val="hr-HR"/>
              </w:rPr>
            </w:pPr>
            <w:r w:rsidRPr="005B35F4">
              <w:rPr>
                <w:rFonts w:cs="Arial"/>
                <w:color w:val="000000" w:themeColor="text1"/>
                <w:sz w:val="17"/>
                <w:szCs w:val="17"/>
                <w:lang w:val="hr-HR"/>
              </w:rPr>
              <w:t>Preko 3 godine</w:t>
            </w:r>
          </w:p>
        </w:tc>
        <w:tc>
          <w:tcPr>
            <w:tcW w:w="593" w:type="pct"/>
          </w:tcPr>
          <w:p w14:paraId="3B6666AC" w14:textId="77777777" w:rsidR="00897733" w:rsidRPr="005B35F4" w:rsidRDefault="00897733" w:rsidP="0034622E">
            <w:pPr>
              <w:pStyle w:val="TH"/>
              <w:spacing w:line="220" w:lineRule="exact"/>
              <w:jc w:val="right"/>
              <w:rPr>
                <w:rFonts w:cs="Arial"/>
                <w:color w:val="000000" w:themeColor="text1"/>
                <w:sz w:val="17"/>
                <w:szCs w:val="17"/>
                <w:lang w:val="hr-HR"/>
              </w:rPr>
            </w:pPr>
            <w:r w:rsidRPr="005B35F4">
              <w:rPr>
                <w:rFonts w:cs="Arial"/>
                <w:color w:val="000000" w:themeColor="text1"/>
                <w:sz w:val="17"/>
                <w:szCs w:val="17"/>
                <w:lang w:val="hr-HR"/>
              </w:rPr>
              <w:t>Ukupno</w:t>
            </w:r>
          </w:p>
        </w:tc>
      </w:tr>
      <w:tr w:rsidR="00897733" w:rsidRPr="005B35F4" w14:paraId="0DCF5147" w14:textId="77777777" w:rsidTr="0034622E">
        <w:trPr>
          <w:trHeight w:val="161"/>
        </w:trPr>
        <w:tc>
          <w:tcPr>
            <w:tcW w:w="1637" w:type="pct"/>
          </w:tcPr>
          <w:p w14:paraId="09C3A145" w14:textId="77777777" w:rsidR="00897733" w:rsidRPr="005B35F4" w:rsidRDefault="00897733" w:rsidP="0034622E">
            <w:pPr>
              <w:tabs>
                <w:tab w:val="left" w:pos="-720"/>
              </w:tabs>
              <w:suppressAutoHyphens/>
              <w:jc w:val="center"/>
              <w:rPr>
                <w:rFonts w:ascii="Arial" w:hAnsi="Arial" w:cs="Arial"/>
                <w:b/>
                <w:color w:val="000000" w:themeColor="text1"/>
                <w:spacing w:val="-2"/>
                <w:sz w:val="17"/>
                <w:szCs w:val="17"/>
              </w:rPr>
            </w:pPr>
          </w:p>
        </w:tc>
        <w:tc>
          <w:tcPr>
            <w:tcW w:w="547" w:type="pct"/>
            <w:tcBorders>
              <w:top w:val="nil"/>
              <w:left w:val="nil"/>
              <w:bottom w:val="nil"/>
              <w:right w:val="nil"/>
            </w:tcBorders>
            <w:shd w:val="clear" w:color="auto" w:fill="auto"/>
            <w:vAlign w:val="bottom"/>
          </w:tcPr>
          <w:p w14:paraId="310E8106" w14:textId="77777777" w:rsidR="00897733" w:rsidRPr="003759CC" w:rsidRDefault="00897733" w:rsidP="0034622E">
            <w:pPr>
              <w:pStyle w:val="TH"/>
              <w:spacing w:line="220" w:lineRule="exact"/>
              <w:jc w:val="right"/>
              <w:rPr>
                <w:rFonts w:cs="Arial"/>
                <w:bCs/>
                <w:color w:val="000000" w:themeColor="text1"/>
                <w:sz w:val="17"/>
                <w:szCs w:val="17"/>
                <w:lang w:val="hr-HR"/>
              </w:rPr>
            </w:pPr>
            <w:r w:rsidRPr="003759CC">
              <w:rPr>
                <w:rFonts w:eastAsia="Calibri" w:cs="Arial"/>
                <w:bCs/>
                <w:color w:val="000000" w:themeColor="text1"/>
                <w:sz w:val="17"/>
                <w:szCs w:val="17"/>
                <w:lang w:val="hr-HR"/>
              </w:rPr>
              <w:t>000 eura</w:t>
            </w:r>
          </w:p>
        </w:tc>
        <w:tc>
          <w:tcPr>
            <w:tcW w:w="534" w:type="pct"/>
            <w:tcBorders>
              <w:top w:val="nil"/>
              <w:left w:val="nil"/>
              <w:bottom w:val="nil"/>
              <w:right w:val="nil"/>
            </w:tcBorders>
            <w:shd w:val="clear" w:color="auto" w:fill="auto"/>
            <w:vAlign w:val="bottom"/>
          </w:tcPr>
          <w:p w14:paraId="14789C6C" w14:textId="77777777" w:rsidR="00897733" w:rsidRPr="003759CC" w:rsidRDefault="00897733" w:rsidP="0034622E">
            <w:pPr>
              <w:pStyle w:val="TH"/>
              <w:spacing w:line="220" w:lineRule="exact"/>
              <w:jc w:val="right"/>
              <w:rPr>
                <w:rFonts w:cs="Arial"/>
                <w:bCs/>
                <w:color w:val="000000" w:themeColor="text1"/>
                <w:sz w:val="17"/>
                <w:szCs w:val="17"/>
                <w:lang w:val="hr-HR"/>
              </w:rPr>
            </w:pPr>
            <w:r w:rsidRPr="003759CC">
              <w:rPr>
                <w:rFonts w:eastAsia="Calibri" w:cs="Arial"/>
                <w:bCs/>
                <w:color w:val="000000" w:themeColor="text1"/>
                <w:sz w:val="17"/>
                <w:szCs w:val="17"/>
                <w:lang w:val="hr-HR"/>
              </w:rPr>
              <w:t>000 eura</w:t>
            </w:r>
          </w:p>
        </w:tc>
        <w:tc>
          <w:tcPr>
            <w:tcW w:w="528" w:type="pct"/>
            <w:tcBorders>
              <w:top w:val="nil"/>
              <w:left w:val="nil"/>
              <w:bottom w:val="nil"/>
              <w:right w:val="nil"/>
            </w:tcBorders>
            <w:shd w:val="clear" w:color="auto" w:fill="auto"/>
            <w:vAlign w:val="bottom"/>
          </w:tcPr>
          <w:p w14:paraId="72159B85" w14:textId="77777777" w:rsidR="00897733" w:rsidRPr="003759CC" w:rsidRDefault="00897733" w:rsidP="0034622E">
            <w:pPr>
              <w:pStyle w:val="TH"/>
              <w:spacing w:line="220" w:lineRule="exact"/>
              <w:jc w:val="right"/>
              <w:rPr>
                <w:rFonts w:cs="Arial"/>
                <w:bCs/>
                <w:color w:val="000000" w:themeColor="text1"/>
                <w:sz w:val="17"/>
                <w:szCs w:val="17"/>
                <w:lang w:val="hr-HR"/>
              </w:rPr>
            </w:pPr>
            <w:r w:rsidRPr="003759CC">
              <w:rPr>
                <w:rFonts w:eastAsia="Calibri" w:cs="Arial"/>
                <w:bCs/>
                <w:color w:val="000000" w:themeColor="text1"/>
                <w:sz w:val="17"/>
                <w:szCs w:val="17"/>
                <w:lang w:val="hr-HR"/>
              </w:rPr>
              <w:t>000 eura</w:t>
            </w:r>
          </w:p>
        </w:tc>
        <w:tc>
          <w:tcPr>
            <w:tcW w:w="538" w:type="pct"/>
            <w:tcBorders>
              <w:top w:val="nil"/>
              <w:left w:val="nil"/>
              <w:bottom w:val="nil"/>
              <w:right w:val="nil"/>
            </w:tcBorders>
            <w:shd w:val="clear" w:color="auto" w:fill="auto"/>
            <w:vAlign w:val="bottom"/>
          </w:tcPr>
          <w:p w14:paraId="41FC37AD" w14:textId="77777777" w:rsidR="00897733" w:rsidRPr="003759CC" w:rsidRDefault="00897733" w:rsidP="0034622E">
            <w:pPr>
              <w:pStyle w:val="TH"/>
              <w:spacing w:line="220" w:lineRule="exact"/>
              <w:jc w:val="right"/>
              <w:rPr>
                <w:rFonts w:cs="Arial"/>
                <w:bCs/>
                <w:color w:val="000000" w:themeColor="text1"/>
                <w:sz w:val="17"/>
                <w:szCs w:val="17"/>
                <w:lang w:val="hr-HR"/>
              </w:rPr>
            </w:pPr>
            <w:r w:rsidRPr="003759CC">
              <w:rPr>
                <w:rFonts w:eastAsia="Calibri" w:cs="Arial"/>
                <w:bCs/>
                <w:color w:val="000000" w:themeColor="text1"/>
                <w:sz w:val="17"/>
                <w:szCs w:val="17"/>
                <w:lang w:val="hr-HR"/>
              </w:rPr>
              <w:t>000 eura</w:t>
            </w:r>
          </w:p>
        </w:tc>
        <w:tc>
          <w:tcPr>
            <w:tcW w:w="623" w:type="pct"/>
            <w:tcBorders>
              <w:top w:val="nil"/>
              <w:left w:val="nil"/>
              <w:bottom w:val="nil"/>
              <w:right w:val="nil"/>
            </w:tcBorders>
            <w:shd w:val="clear" w:color="auto" w:fill="auto"/>
            <w:vAlign w:val="bottom"/>
          </w:tcPr>
          <w:p w14:paraId="03F0B328" w14:textId="77777777" w:rsidR="00897733" w:rsidRPr="003759CC" w:rsidRDefault="00897733" w:rsidP="0034622E">
            <w:pPr>
              <w:pStyle w:val="TH"/>
              <w:spacing w:line="220" w:lineRule="exact"/>
              <w:jc w:val="right"/>
              <w:rPr>
                <w:rFonts w:cs="Arial"/>
                <w:bCs/>
                <w:color w:val="000000" w:themeColor="text1"/>
                <w:sz w:val="17"/>
                <w:szCs w:val="17"/>
                <w:lang w:val="hr-HR"/>
              </w:rPr>
            </w:pPr>
            <w:r w:rsidRPr="003759CC">
              <w:rPr>
                <w:rFonts w:eastAsia="Calibri" w:cs="Arial"/>
                <w:bCs/>
                <w:color w:val="000000" w:themeColor="text1"/>
                <w:sz w:val="17"/>
                <w:szCs w:val="17"/>
                <w:lang w:val="hr-HR"/>
              </w:rPr>
              <w:t>000 eura</w:t>
            </w:r>
          </w:p>
        </w:tc>
        <w:tc>
          <w:tcPr>
            <w:tcW w:w="593" w:type="pct"/>
            <w:vAlign w:val="bottom"/>
          </w:tcPr>
          <w:p w14:paraId="4415A7B3" w14:textId="77777777" w:rsidR="00897733" w:rsidRPr="005B35F4" w:rsidRDefault="00897733" w:rsidP="0034622E">
            <w:pPr>
              <w:pStyle w:val="TH"/>
              <w:spacing w:line="220" w:lineRule="exact"/>
              <w:jc w:val="right"/>
              <w:rPr>
                <w:rFonts w:cs="Arial"/>
                <w:color w:val="000000" w:themeColor="text1"/>
                <w:sz w:val="17"/>
                <w:szCs w:val="17"/>
                <w:lang w:val="hr-HR"/>
              </w:rPr>
            </w:pPr>
            <w:r w:rsidRPr="005B35F4">
              <w:rPr>
                <w:rFonts w:cs="Arial"/>
                <w:bCs/>
                <w:color w:val="000000" w:themeColor="text1"/>
                <w:sz w:val="17"/>
                <w:szCs w:val="17"/>
                <w:lang w:val="hr-HR"/>
              </w:rPr>
              <w:t xml:space="preserve">000 </w:t>
            </w:r>
            <w:r>
              <w:rPr>
                <w:rFonts w:cs="Arial"/>
                <w:bCs/>
                <w:color w:val="000000" w:themeColor="text1"/>
                <w:sz w:val="17"/>
                <w:szCs w:val="17"/>
                <w:lang w:val="hr-HR"/>
              </w:rPr>
              <w:t>eur</w:t>
            </w:r>
            <w:r w:rsidRPr="005B35F4">
              <w:rPr>
                <w:rFonts w:cs="Arial"/>
                <w:bCs/>
                <w:color w:val="000000" w:themeColor="text1"/>
                <w:sz w:val="17"/>
                <w:szCs w:val="17"/>
                <w:lang w:val="hr-HR"/>
              </w:rPr>
              <w:t>a</w:t>
            </w:r>
          </w:p>
        </w:tc>
      </w:tr>
      <w:tr w:rsidR="00897733" w:rsidRPr="005B35F4" w14:paraId="1DD358D6" w14:textId="77777777" w:rsidTr="0034622E">
        <w:trPr>
          <w:trHeight w:val="255"/>
        </w:trPr>
        <w:tc>
          <w:tcPr>
            <w:tcW w:w="1637" w:type="pct"/>
            <w:vAlign w:val="bottom"/>
          </w:tcPr>
          <w:p w14:paraId="656DBCB3" w14:textId="77777777" w:rsidR="00897733" w:rsidRPr="005B35F4" w:rsidRDefault="00897733" w:rsidP="0034622E">
            <w:pPr>
              <w:pStyle w:val="TT"/>
              <w:spacing w:line="220" w:lineRule="exact"/>
              <w:rPr>
                <w:rFonts w:cs="Arial"/>
                <w:b/>
                <w:bCs/>
                <w:color w:val="000000" w:themeColor="text1"/>
                <w:sz w:val="17"/>
                <w:szCs w:val="17"/>
                <w:lang w:val="hr-HR"/>
              </w:rPr>
            </w:pPr>
            <w:r w:rsidRPr="005B35F4">
              <w:rPr>
                <w:rFonts w:cs="Arial"/>
                <w:b/>
                <w:bCs/>
                <w:color w:val="000000" w:themeColor="text1"/>
                <w:sz w:val="17"/>
                <w:szCs w:val="17"/>
                <w:lang w:val="hr-HR"/>
              </w:rPr>
              <w:t>Imovina</w:t>
            </w:r>
          </w:p>
        </w:tc>
        <w:tc>
          <w:tcPr>
            <w:tcW w:w="547" w:type="pct"/>
            <w:vAlign w:val="bottom"/>
          </w:tcPr>
          <w:p w14:paraId="3DED09CD" w14:textId="77777777" w:rsidR="00897733" w:rsidRPr="005B35F4" w:rsidRDefault="00897733" w:rsidP="0034622E">
            <w:pPr>
              <w:pStyle w:val="TT"/>
              <w:spacing w:line="220" w:lineRule="exact"/>
              <w:jc w:val="right"/>
              <w:rPr>
                <w:rFonts w:cs="Arial"/>
                <w:b/>
                <w:bCs/>
                <w:color w:val="000000" w:themeColor="text1"/>
                <w:spacing w:val="-2"/>
                <w:sz w:val="17"/>
                <w:szCs w:val="17"/>
                <w:lang w:val="hr-HR"/>
              </w:rPr>
            </w:pPr>
          </w:p>
        </w:tc>
        <w:tc>
          <w:tcPr>
            <w:tcW w:w="534" w:type="pct"/>
            <w:vAlign w:val="bottom"/>
          </w:tcPr>
          <w:p w14:paraId="499DD118" w14:textId="77777777" w:rsidR="00897733" w:rsidRPr="005B35F4" w:rsidRDefault="00897733" w:rsidP="0034622E">
            <w:pPr>
              <w:pStyle w:val="TT"/>
              <w:spacing w:line="220" w:lineRule="exact"/>
              <w:jc w:val="right"/>
              <w:rPr>
                <w:rFonts w:cs="Arial"/>
                <w:b/>
                <w:bCs/>
                <w:color w:val="000000" w:themeColor="text1"/>
                <w:spacing w:val="-2"/>
                <w:sz w:val="17"/>
                <w:szCs w:val="17"/>
                <w:lang w:val="hr-HR"/>
              </w:rPr>
            </w:pPr>
          </w:p>
        </w:tc>
        <w:tc>
          <w:tcPr>
            <w:tcW w:w="528" w:type="pct"/>
            <w:vAlign w:val="bottom"/>
          </w:tcPr>
          <w:p w14:paraId="466B5478" w14:textId="77777777" w:rsidR="00897733" w:rsidRPr="005B35F4" w:rsidRDefault="00897733" w:rsidP="0034622E">
            <w:pPr>
              <w:pStyle w:val="TT"/>
              <w:spacing w:line="220" w:lineRule="exact"/>
              <w:jc w:val="right"/>
              <w:rPr>
                <w:rFonts w:cs="Arial"/>
                <w:b/>
                <w:bCs/>
                <w:color w:val="000000" w:themeColor="text1"/>
                <w:spacing w:val="-2"/>
                <w:sz w:val="17"/>
                <w:szCs w:val="17"/>
                <w:lang w:val="hr-HR"/>
              </w:rPr>
            </w:pPr>
          </w:p>
        </w:tc>
        <w:tc>
          <w:tcPr>
            <w:tcW w:w="538" w:type="pct"/>
            <w:vAlign w:val="bottom"/>
          </w:tcPr>
          <w:p w14:paraId="1E9455C3" w14:textId="77777777" w:rsidR="00897733" w:rsidRPr="005B35F4" w:rsidRDefault="00897733" w:rsidP="0034622E">
            <w:pPr>
              <w:pStyle w:val="TT"/>
              <w:spacing w:line="220" w:lineRule="exact"/>
              <w:jc w:val="right"/>
              <w:rPr>
                <w:rFonts w:cs="Arial"/>
                <w:b/>
                <w:bCs/>
                <w:color w:val="000000" w:themeColor="text1"/>
                <w:spacing w:val="-2"/>
                <w:sz w:val="17"/>
                <w:szCs w:val="17"/>
                <w:lang w:val="hr-HR"/>
              </w:rPr>
            </w:pPr>
          </w:p>
        </w:tc>
        <w:tc>
          <w:tcPr>
            <w:tcW w:w="623" w:type="pct"/>
            <w:vAlign w:val="bottom"/>
          </w:tcPr>
          <w:p w14:paraId="3BAAEF55" w14:textId="77777777" w:rsidR="00897733" w:rsidRPr="005B35F4" w:rsidRDefault="00897733" w:rsidP="0034622E">
            <w:pPr>
              <w:pStyle w:val="TT"/>
              <w:spacing w:line="220" w:lineRule="exact"/>
              <w:jc w:val="right"/>
              <w:rPr>
                <w:rFonts w:cs="Arial"/>
                <w:b/>
                <w:bCs/>
                <w:color w:val="000000" w:themeColor="text1"/>
                <w:spacing w:val="-2"/>
                <w:sz w:val="17"/>
                <w:szCs w:val="17"/>
                <w:lang w:val="hr-HR"/>
              </w:rPr>
            </w:pPr>
          </w:p>
        </w:tc>
        <w:tc>
          <w:tcPr>
            <w:tcW w:w="593" w:type="pct"/>
            <w:vAlign w:val="bottom"/>
          </w:tcPr>
          <w:p w14:paraId="27AC7363" w14:textId="77777777" w:rsidR="00897733" w:rsidRPr="005B35F4" w:rsidRDefault="00897733" w:rsidP="0034622E">
            <w:pPr>
              <w:pStyle w:val="TT"/>
              <w:spacing w:line="220" w:lineRule="exact"/>
              <w:jc w:val="right"/>
              <w:rPr>
                <w:rFonts w:cs="Arial"/>
                <w:b/>
                <w:bCs/>
                <w:color w:val="000000" w:themeColor="text1"/>
                <w:spacing w:val="-2"/>
                <w:sz w:val="17"/>
                <w:szCs w:val="17"/>
                <w:lang w:val="hr-HR"/>
              </w:rPr>
            </w:pPr>
          </w:p>
        </w:tc>
      </w:tr>
      <w:tr w:rsidR="00897733" w:rsidRPr="00BF22C7" w14:paraId="4ABD3CD9" w14:textId="77777777" w:rsidTr="0034622E">
        <w:trPr>
          <w:trHeight w:val="219"/>
        </w:trPr>
        <w:tc>
          <w:tcPr>
            <w:tcW w:w="1637" w:type="pct"/>
            <w:vAlign w:val="bottom"/>
          </w:tcPr>
          <w:p w14:paraId="5003C23D" w14:textId="77777777" w:rsidR="00897733" w:rsidRPr="005B35F4" w:rsidRDefault="00897733" w:rsidP="0034622E">
            <w:pPr>
              <w:pStyle w:val="TT"/>
              <w:spacing w:line="220" w:lineRule="exact"/>
              <w:rPr>
                <w:rFonts w:cs="Arial"/>
                <w:color w:val="000000" w:themeColor="text1"/>
                <w:sz w:val="17"/>
                <w:szCs w:val="17"/>
                <w:lang w:val="hr-HR"/>
              </w:rPr>
            </w:pPr>
            <w:r w:rsidRPr="005B35F4">
              <w:rPr>
                <w:rFonts w:cs="Arial"/>
                <w:color w:val="000000" w:themeColor="text1"/>
                <w:spacing w:val="-2"/>
                <w:sz w:val="17"/>
                <w:szCs w:val="17"/>
                <w:lang w:val="hr-HR"/>
              </w:rPr>
              <w:t>Novčana sredstva i računi kod banaka</w:t>
            </w:r>
          </w:p>
        </w:tc>
        <w:tc>
          <w:tcPr>
            <w:tcW w:w="547" w:type="pct"/>
            <w:tcBorders>
              <w:top w:val="nil"/>
              <w:left w:val="nil"/>
              <w:bottom w:val="nil"/>
              <w:right w:val="nil"/>
            </w:tcBorders>
            <w:shd w:val="clear" w:color="auto" w:fill="auto"/>
            <w:vAlign w:val="bottom"/>
          </w:tcPr>
          <w:p w14:paraId="3B3F765A" w14:textId="77777777" w:rsidR="00897733" w:rsidRPr="00F629B8" w:rsidRDefault="00897733" w:rsidP="0034622E">
            <w:pPr>
              <w:jc w:val="right"/>
              <w:rPr>
                <w:rFonts w:ascii="Arial" w:hAnsi="Arial" w:cs="Arial"/>
                <w:color w:val="000000"/>
                <w:sz w:val="17"/>
                <w:szCs w:val="17"/>
              </w:rPr>
            </w:pPr>
            <w:r w:rsidRPr="00F959D0">
              <w:rPr>
                <w:rFonts w:ascii="Arial" w:hAnsi="Arial" w:cs="Arial"/>
                <w:color w:val="000000"/>
                <w:sz w:val="17"/>
                <w:szCs w:val="17"/>
              </w:rPr>
              <w:t xml:space="preserve"> 42.133 </w:t>
            </w:r>
          </w:p>
        </w:tc>
        <w:tc>
          <w:tcPr>
            <w:tcW w:w="534" w:type="pct"/>
            <w:tcBorders>
              <w:top w:val="nil"/>
              <w:left w:val="nil"/>
              <w:bottom w:val="nil"/>
              <w:right w:val="nil"/>
            </w:tcBorders>
            <w:shd w:val="clear" w:color="auto" w:fill="auto"/>
            <w:vAlign w:val="bottom"/>
          </w:tcPr>
          <w:p w14:paraId="0CAC2C85" w14:textId="77777777" w:rsidR="00897733" w:rsidRPr="00F629B8" w:rsidRDefault="00897733" w:rsidP="0034622E">
            <w:pPr>
              <w:jc w:val="right"/>
              <w:rPr>
                <w:rFonts w:ascii="Arial" w:hAnsi="Arial" w:cs="Arial"/>
                <w:color w:val="000000"/>
                <w:sz w:val="17"/>
                <w:szCs w:val="17"/>
              </w:rPr>
            </w:pPr>
            <w:r w:rsidRPr="00F959D0">
              <w:rPr>
                <w:rFonts w:ascii="Arial" w:hAnsi="Arial" w:cs="Arial"/>
                <w:color w:val="000000"/>
                <w:sz w:val="17"/>
                <w:szCs w:val="17"/>
              </w:rPr>
              <w:t xml:space="preserve"> - </w:t>
            </w:r>
          </w:p>
        </w:tc>
        <w:tc>
          <w:tcPr>
            <w:tcW w:w="528" w:type="pct"/>
            <w:tcBorders>
              <w:top w:val="nil"/>
              <w:left w:val="nil"/>
              <w:bottom w:val="nil"/>
              <w:right w:val="nil"/>
            </w:tcBorders>
            <w:shd w:val="clear" w:color="auto" w:fill="auto"/>
            <w:vAlign w:val="bottom"/>
          </w:tcPr>
          <w:p w14:paraId="4434AB48" w14:textId="77777777" w:rsidR="00897733" w:rsidRPr="00F629B8" w:rsidRDefault="00897733" w:rsidP="0034622E">
            <w:pPr>
              <w:jc w:val="right"/>
              <w:rPr>
                <w:rFonts w:ascii="Arial" w:hAnsi="Arial" w:cs="Arial"/>
                <w:color w:val="000000"/>
                <w:sz w:val="17"/>
                <w:szCs w:val="17"/>
              </w:rPr>
            </w:pPr>
            <w:r w:rsidRPr="00F959D0">
              <w:rPr>
                <w:rFonts w:ascii="Arial" w:hAnsi="Arial" w:cs="Arial"/>
                <w:color w:val="000000"/>
                <w:sz w:val="17"/>
                <w:szCs w:val="17"/>
              </w:rPr>
              <w:t xml:space="preserve"> - </w:t>
            </w:r>
          </w:p>
        </w:tc>
        <w:tc>
          <w:tcPr>
            <w:tcW w:w="538" w:type="pct"/>
            <w:tcBorders>
              <w:top w:val="nil"/>
              <w:left w:val="nil"/>
              <w:bottom w:val="nil"/>
              <w:right w:val="nil"/>
            </w:tcBorders>
            <w:shd w:val="clear" w:color="auto" w:fill="auto"/>
            <w:vAlign w:val="bottom"/>
          </w:tcPr>
          <w:p w14:paraId="339BAF24" w14:textId="77777777" w:rsidR="00897733" w:rsidRPr="00F629B8" w:rsidRDefault="00897733" w:rsidP="0034622E">
            <w:pPr>
              <w:jc w:val="right"/>
              <w:rPr>
                <w:rFonts w:ascii="Arial" w:hAnsi="Arial" w:cs="Arial"/>
                <w:color w:val="000000"/>
                <w:sz w:val="17"/>
                <w:szCs w:val="17"/>
              </w:rPr>
            </w:pPr>
            <w:r w:rsidRPr="00F959D0">
              <w:rPr>
                <w:rFonts w:ascii="Arial" w:hAnsi="Arial" w:cs="Arial"/>
                <w:color w:val="000000"/>
                <w:sz w:val="17"/>
                <w:szCs w:val="17"/>
              </w:rPr>
              <w:t xml:space="preserve"> - </w:t>
            </w:r>
          </w:p>
        </w:tc>
        <w:tc>
          <w:tcPr>
            <w:tcW w:w="623" w:type="pct"/>
            <w:tcBorders>
              <w:top w:val="nil"/>
              <w:left w:val="nil"/>
              <w:bottom w:val="nil"/>
              <w:right w:val="nil"/>
            </w:tcBorders>
            <w:shd w:val="clear" w:color="auto" w:fill="auto"/>
            <w:vAlign w:val="bottom"/>
          </w:tcPr>
          <w:p w14:paraId="769AC494" w14:textId="77777777" w:rsidR="00897733" w:rsidRPr="00F629B8" w:rsidRDefault="00897733" w:rsidP="0034622E">
            <w:pPr>
              <w:jc w:val="right"/>
              <w:rPr>
                <w:rFonts w:ascii="Arial" w:hAnsi="Arial" w:cs="Arial"/>
                <w:color w:val="000000"/>
                <w:sz w:val="17"/>
                <w:szCs w:val="17"/>
              </w:rPr>
            </w:pPr>
            <w:r w:rsidRPr="00F959D0">
              <w:rPr>
                <w:rFonts w:ascii="Arial" w:hAnsi="Arial" w:cs="Arial"/>
                <w:color w:val="000000"/>
                <w:sz w:val="17"/>
                <w:szCs w:val="17"/>
              </w:rPr>
              <w:t xml:space="preserve"> - </w:t>
            </w:r>
          </w:p>
        </w:tc>
        <w:tc>
          <w:tcPr>
            <w:tcW w:w="593" w:type="pct"/>
            <w:tcBorders>
              <w:top w:val="nil"/>
              <w:left w:val="nil"/>
              <w:bottom w:val="nil"/>
              <w:right w:val="nil"/>
            </w:tcBorders>
            <w:shd w:val="clear" w:color="auto" w:fill="auto"/>
            <w:vAlign w:val="bottom"/>
          </w:tcPr>
          <w:p w14:paraId="2A744D11" w14:textId="77777777" w:rsidR="00897733" w:rsidRPr="00F629B8" w:rsidRDefault="00897733" w:rsidP="0034622E">
            <w:pPr>
              <w:jc w:val="right"/>
              <w:rPr>
                <w:rFonts w:ascii="Arial" w:hAnsi="Arial" w:cs="Arial"/>
                <w:color w:val="000000"/>
                <w:sz w:val="17"/>
                <w:szCs w:val="17"/>
              </w:rPr>
            </w:pPr>
            <w:r w:rsidRPr="00F959D0">
              <w:rPr>
                <w:rFonts w:ascii="Arial" w:hAnsi="Arial" w:cs="Arial"/>
                <w:color w:val="000000"/>
                <w:sz w:val="17"/>
                <w:szCs w:val="17"/>
              </w:rPr>
              <w:t xml:space="preserve"> 42.133 </w:t>
            </w:r>
          </w:p>
        </w:tc>
      </w:tr>
      <w:tr w:rsidR="00897733" w:rsidRPr="00BF22C7" w14:paraId="56399221" w14:textId="77777777" w:rsidTr="0034622E">
        <w:trPr>
          <w:trHeight w:val="219"/>
        </w:trPr>
        <w:tc>
          <w:tcPr>
            <w:tcW w:w="1637" w:type="pct"/>
            <w:vAlign w:val="bottom"/>
          </w:tcPr>
          <w:p w14:paraId="58D42919" w14:textId="77777777" w:rsidR="00897733" w:rsidRPr="005B35F4" w:rsidRDefault="00897733" w:rsidP="0034622E">
            <w:pPr>
              <w:pStyle w:val="TT"/>
              <w:spacing w:line="220" w:lineRule="exact"/>
              <w:rPr>
                <w:rFonts w:cs="Arial"/>
                <w:color w:val="000000" w:themeColor="text1"/>
                <w:sz w:val="17"/>
                <w:szCs w:val="17"/>
                <w:lang w:val="hr-HR"/>
              </w:rPr>
            </w:pPr>
            <w:r w:rsidRPr="005B35F4">
              <w:rPr>
                <w:rFonts w:cs="Arial"/>
                <w:color w:val="000000" w:themeColor="text1"/>
                <w:spacing w:val="-2"/>
                <w:sz w:val="17"/>
                <w:szCs w:val="17"/>
                <w:lang w:val="hr-HR"/>
              </w:rPr>
              <w:t>Depoziti kod drugih banaka</w:t>
            </w:r>
          </w:p>
        </w:tc>
        <w:tc>
          <w:tcPr>
            <w:tcW w:w="547" w:type="pct"/>
            <w:tcBorders>
              <w:top w:val="nil"/>
              <w:left w:val="nil"/>
              <w:bottom w:val="nil"/>
              <w:right w:val="nil"/>
            </w:tcBorders>
            <w:shd w:val="clear" w:color="auto" w:fill="auto"/>
            <w:vAlign w:val="bottom"/>
          </w:tcPr>
          <w:p w14:paraId="5E397CDF" w14:textId="77777777" w:rsidR="00897733" w:rsidRPr="00F629B8" w:rsidRDefault="00897733" w:rsidP="0034622E">
            <w:pPr>
              <w:jc w:val="right"/>
              <w:rPr>
                <w:rFonts w:ascii="Arial" w:hAnsi="Arial" w:cs="Arial"/>
                <w:color w:val="000000"/>
                <w:sz w:val="17"/>
                <w:szCs w:val="17"/>
              </w:rPr>
            </w:pPr>
            <w:r w:rsidRPr="00F959D0">
              <w:rPr>
                <w:rFonts w:ascii="Arial" w:hAnsi="Arial" w:cs="Arial"/>
                <w:color w:val="000000"/>
                <w:sz w:val="17"/>
                <w:szCs w:val="17"/>
              </w:rPr>
              <w:t xml:space="preserve"> 68.254 </w:t>
            </w:r>
          </w:p>
        </w:tc>
        <w:tc>
          <w:tcPr>
            <w:tcW w:w="534" w:type="pct"/>
            <w:tcBorders>
              <w:top w:val="nil"/>
              <w:left w:val="nil"/>
              <w:bottom w:val="nil"/>
              <w:right w:val="nil"/>
            </w:tcBorders>
            <w:shd w:val="clear" w:color="auto" w:fill="auto"/>
            <w:vAlign w:val="bottom"/>
          </w:tcPr>
          <w:p w14:paraId="5E785A37" w14:textId="77777777" w:rsidR="00897733" w:rsidRPr="00F629B8" w:rsidRDefault="00897733" w:rsidP="0034622E">
            <w:pPr>
              <w:jc w:val="right"/>
              <w:rPr>
                <w:rFonts w:ascii="Arial" w:hAnsi="Arial" w:cs="Arial"/>
                <w:color w:val="000000"/>
                <w:sz w:val="17"/>
                <w:szCs w:val="17"/>
              </w:rPr>
            </w:pPr>
            <w:r w:rsidRPr="00F959D0">
              <w:rPr>
                <w:rFonts w:ascii="Arial" w:hAnsi="Arial" w:cs="Arial"/>
                <w:color w:val="000000"/>
                <w:sz w:val="17"/>
                <w:szCs w:val="17"/>
              </w:rPr>
              <w:t xml:space="preserve"> 2.203 </w:t>
            </w:r>
          </w:p>
        </w:tc>
        <w:tc>
          <w:tcPr>
            <w:tcW w:w="528" w:type="pct"/>
            <w:tcBorders>
              <w:top w:val="nil"/>
              <w:left w:val="nil"/>
              <w:bottom w:val="nil"/>
              <w:right w:val="nil"/>
            </w:tcBorders>
            <w:shd w:val="clear" w:color="auto" w:fill="auto"/>
            <w:vAlign w:val="bottom"/>
          </w:tcPr>
          <w:p w14:paraId="4A29DCB3" w14:textId="77777777" w:rsidR="00897733" w:rsidRPr="00F629B8" w:rsidRDefault="00897733" w:rsidP="0034622E">
            <w:pPr>
              <w:jc w:val="right"/>
              <w:rPr>
                <w:rFonts w:ascii="Arial" w:hAnsi="Arial" w:cs="Arial"/>
                <w:color w:val="000000"/>
                <w:sz w:val="17"/>
                <w:szCs w:val="17"/>
              </w:rPr>
            </w:pPr>
            <w:r w:rsidRPr="00F959D0">
              <w:rPr>
                <w:rFonts w:ascii="Arial" w:hAnsi="Arial" w:cs="Arial"/>
                <w:color w:val="000000"/>
                <w:sz w:val="17"/>
                <w:szCs w:val="17"/>
              </w:rPr>
              <w:t xml:space="preserve"> - </w:t>
            </w:r>
          </w:p>
        </w:tc>
        <w:tc>
          <w:tcPr>
            <w:tcW w:w="538" w:type="pct"/>
            <w:tcBorders>
              <w:top w:val="nil"/>
              <w:left w:val="nil"/>
              <w:bottom w:val="nil"/>
              <w:right w:val="nil"/>
            </w:tcBorders>
            <w:shd w:val="clear" w:color="auto" w:fill="auto"/>
            <w:vAlign w:val="bottom"/>
          </w:tcPr>
          <w:p w14:paraId="4304AE5F" w14:textId="77777777" w:rsidR="00897733" w:rsidRPr="00F629B8" w:rsidRDefault="00897733" w:rsidP="0034622E">
            <w:pPr>
              <w:jc w:val="right"/>
              <w:rPr>
                <w:rFonts w:ascii="Arial" w:hAnsi="Arial" w:cs="Arial"/>
                <w:color w:val="000000"/>
                <w:sz w:val="17"/>
                <w:szCs w:val="17"/>
              </w:rPr>
            </w:pPr>
            <w:r w:rsidRPr="00F959D0">
              <w:rPr>
                <w:rFonts w:ascii="Arial" w:hAnsi="Arial" w:cs="Arial"/>
                <w:color w:val="000000"/>
                <w:sz w:val="17"/>
                <w:szCs w:val="17"/>
              </w:rPr>
              <w:t xml:space="preserve"> - </w:t>
            </w:r>
          </w:p>
        </w:tc>
        <w:tc>
          <w:tcPr>
            <w:tcW w:w="623" w:type="pct"/>
            <w:tcBorders>
              <w:top w:val="nil"/>
              <w:left w:val="nil"/>
              <w:bottom w:val="nil"/>
              <w:right w:val="nil"/>
            </w:tcBorders>
            <w:shd w:val="clear" w:color="auto" w:fill="auto"/>
            <w:vAlign w:val="bottom"/>
          </w:tcPr>
          <w:p w14:paraId="25A24935" w14:textId="77777777" w:rsidR="00897733" w:rsidRPr="00F629B8" w:rsidRDefault="00897733" w:rsidP="0034622E">
            <w:pPr>
              <w:jc w:val="right"/>
              <w:rPr>
                <w:rFonts w:ascii="Arial" w:hAnsi="Arial" w:cs="Arial"/>
                <w:color w:val="000000"/>
                <w:sz w:val="17"/>
                <w:szCs w:val="17"/>
              </w:rPr>
            </w:pPr>
            <w:r w:rsidRPr="00F959D0">
              <w:rPr>
                <w:rFonts w:ascii="Arial" w:hAnsi="Arial" w:cs="Arial"/>
                <w:color w:val="000000"/>
                <w:sz w:val="17"/>
                <w:szCs w:val="17"/>
              </w:rPr>
              <w:t xml:space="preserve"> 1.304 </w:t>
            </w:r>
          </w:p>
        </w:tc>
        <w:tc>
          <w:tcPr>
            <w:tcW w:w="593" w:type="pct"/>
            <w:tcBorders>
              <w:top w:val="nil"/>
              <w:left w:val="nil"/>
              <w:bottom w:val="nil"/>
              <w:right w:val="nil"/>
            </w:tcBorders>
            <w:shd w:val="clear" w:color="auto" w:fill="auto"/>
            <w:vAlign w:val="bottom"/>
          </w:tcPr>
          <w:p w14:paraId="5DDF2FCC" w14:textId="77777777" w:rsidR="00897733" w:rsidRPr="00F629B8" w:rsidRDefault="00897733" w:rsidP="0034622E">
            <w:pPr>
              <w:jc w:val="right"/>
              <w:rPr>
                <w:rFonts w:ascii="Arial" w:hAnsi="Arial" w:cs="Arial"/>
                <w:color w:val="000000"/>
                <w:sz w:val="17"/>
                <w:szCs w:val="17"/>
              </w:rPr>
            </w:pPr>
            <w:r w:rsidRPr="00F959D0">
              <w:rPr>
                <w:rFonts w:ascii="Arial" w:hAnsi="Arial" w:cs="Arial"/>
                <w:color w:val="000000"/>
                <w:sz w:val="17"/>
                <w:szCs w:val="17"/>
              </w:rPr>
              <w:t xml:space="preserve"> 71.761 </w:t>
            </w:r>
          </w:p>
        </w:tc>
      </w:tr>
      <w:tr w:rsidR="00897733" w:rsidRPr="00BF22C7" w14:paraId="6017B279" w14:textId="77777777" w:rsidTr="0034622E">
        <w:trPr>
          <w:trHeight w:val="219"/>
        </w:trPr>
        <w:tc>
          <w:tcPr>
            <w:tcW w:w="1637" w:type="pct"/>
            <w:vAlign w:val="bottom"/>
          </w:tcPr>
          <w:p w14:paraId="79A7E0D7" w14:textId="77777777" w:rsidR="00897733" w:rsidRPr="005B35F4" w:rsidRDefault="00897733" w:rsidP="0034622E">
            <w:pPr>
              <w:pStyle w:val="TT"/>
              <w:spacing w:line="220" w:lineRule="exact"/>
              <w:rPr>
                <w:rFonts w:cs="Arial"/>
                <w:color w:val="000000" w:themeColor="text1"/>
                <w:sz w:val="17"/>
                <w:szCs w:val="17"/>
                <w:lang w:val="hr-HR"/>
              </w:rPr>
            </w:pPr>
            <w:r w:rsidRPr="005B35F4">
              <w:rPr>
                <w:rFonts w:cs="Arial"/>
                <w:color w:val="000000" w:themeColor="text1"/>
                <w:spacing w:val="-2"/>
                <w:sz w:val="17"/>
                <w:szCs w:val="17"/>
                <w:lang w:val="hr-HR"/>
              </w:rPr>
              <w:t>Krediti financijskim institucijama</w:t>
            </w:r>
            <w:r>
              <w:rPr>
                <w:rFonts w:cs="Arial"/>
                <w:color w:val="000000" w:themeColor="text1"/>
                <w:spacing w:val="-2"/>
                <w:sz w:val="17"/>
                <w:szCs w:val="17"/>
                <w:lang w:val="hr-HR"/>
              </w:rPr>
              <w:t>*</w:t>
            </w:r>
          </w:p>
        </w:tc>
        <w:tc>
          <w:tcPr>
            <w:tcW w:w="547" w:type="pct"/>
            <w:tcBorders>
              <w:top w:val="nil"/>
              <w:left w:val="nil"/>
              <w:bottom w:val="nil"/>
              <w:right w:val="nil"/>
            </w:tcBorders>
            <w:shd w:val="clear" w:color="auto" w:fill="auto"/>
            <w:vAlign w:val="bottom"/>
          </w:tcPr>
          <w:p w14:paraId="386984AD" w14:textId="77777777" w:rsidR="00897733" w:rsidRPr="00F629B8" w:rsidRDefault="00897733" w:rsidP="0034622E">
            <w:pPr>
              <w:jc w:val="right"/>
              <w:rPr>
                <w:rFonts w:ascii="Arial" w:hAnsi="Arial" w:cs="Arial"/>
                <w:color w:val="000000"/>
                <w:sz w:val="17"/>
                <w:szCs w:val="17"/>
              </w:rPr>
            </w:pPr>
            <w:r w:rsidRPr="00F959D0">
              <w:rPr>
                <w:rFonts w:ascii="Arial" w:hAnsi="Arial" w:cs="Arial"/>
                <w:color w:val="000000"/>
                <w:sz w:val="17"/>
                <w:szCs w:val="17"/>
              </w:rPr>
              <w:t xml:space="preserve"> 90.275 </w:t>
            </w:r>
          </w:p>
        </w:tc>
        <w:tc>
          <w:tcPr>
            <w:tcW w:w="534" w:type="pct"/>
            <w:tcBorders>
              <w:top w:val="nil"/>
              <w:left w:val="nil"/>
              <w:bottom w:val="nil"/>
              <w:right w:val="nil"/>
            </w:tcBorders>
            <w:shd w:val="clear" w:color="auto" w:fill="auto"/>
            <w:vAlign w:val="bottom"/>
          </w:tcPr>
          <w:p w14:paraId="4313C254" w14:textId="77777777" w:rsidR="00897733" w:rsidRPr="00F629B8" w:rsidRDefault="00897733" w:rsidP="0034622E">
            <w:pPr>
              <w:jc w:val="right"/>
              <w:rPr>
                <w:rFonts w:ascii="Arial" w:hAnsi="Arial" w:cs="Arial"/>
                <w:color w:val="000000"/>
                <w:sz w:val="17"/>
                <w:szCs w:val="17"/>
              </w:rPr>
            </w:pPr>
            <w:r w:rsidRPr="00F959D0">
              <w:rPr>
                <w:rFonts w:ascii="Arial" w:hAnsi="Arial" w:cs="Arial"/>
                <w:color w:val="000000"/>
                <w:sz w:val="17"/>
                <w:szCs w:val="17"/>
              </w:rPr>
              <w:t xml:space="preserve"> 158.524 </w:t>
            </w:r>
          </w:p>
        </w:tc>
        <w:tc>
          <w:tcPr>
            <w:tcW w:w="528" w:type="pct"/>
            <w:tcBorders>
              <w:top w:val="nil"/>
              <w:left w:val="nil"/>
              <w:bottom w:val="nil"/>
              <w:right w:val="nil"/>
            </w:tcBorders>
            <w:shd w:val="clear" w:color="auto" w:fill="auto"/>
            <w:vAlign w:val="bottom"/>
          </w:tcPr>
          <w:p w14:paraId="6812F66A" w14:textId="77777777" w:rsidR="00897733" w:rsidRPr="00F629B8" w:rsidRDefault="00897733" w:rsidP="0034622E">
            <w:pPr>
              <w:jc w:val="right"/>
              <w:rPr>
                <w:rFonts w:ascii="Arial" w:hAnsi="Arial" w:cs="Arial"/>
                <w:color w:val="000000"/>
                <w:sz w:val="17"/>
                <w:szCs w:val="17"/>
              </w:rPr>
            </w:pPr>
            <w:r w:rsidRPr="00F959D0">
              <w:rPr>
                <w:rFonts w:ascii="Arial" w:hAnsi="Arial" w:cs="Arial"/>
                <w:color w:val="000000"/>
                <w:sz w:val="17"/>
                <w:szCs w:val="17"/>
              </w:rPr>
              <w:t xml:space="preserve"> 130.273 </w:t>
            </w:r>
          </w:p>
        </w:tc>
        <w:tc>
          <w:tcPr>
            <w:tcW w:w="538" w:type="pct"/>
            <w:tcBorders>
              <w:top w:val="nil"/>
              <w:left w:val="nil"/>
              <w:bottom w:val="nil"/>
              <w:right w:val="nil"/>
            </w:tcBorders>
            <w:shd w:val="clear" w:color="auto" w:fill="auto"/>
            <w:vAlign w:val="bottom"/>
          </w:tcPr>
          <w:p w14:paraId="3A8441E9" w14:textId="77777777" w:rsidR="00897733" w:rsidRPr="00F629B8" w:rsidRDefault="00897733" w:rsidP="0034622E">
            <w:pPr>
              <w:jc w:val="right"/>
              <w:rPr>
                <w:rFonts w:ascii="Arial" w:hAnsi="Arial" w:cs="Arial"/>
                <w:color w:val="000000"/>
                <w:sz w:val="17"/>
                <w:szCs w:val="17"/>
              </w:rPr>
            </w:pPr>
            <w:r w:rsidRPr="00F959D0">
              <w:rPr>
                <w:rFonts w:ascii="Arial" w:hAnsi="Arial" w:cs="Arial"/>
                <w:color w:val="000000"/>
                <w:sz w:val="17"/>
                <w:szCs w:val="17"/>
              </w:rPr>
              <w:t xml:space="preserve"> 306.450 </w:t>
            </w:r>
          </w:p>
        </w:tc>
        <w:tc>
          <w:tcPr>
            <w:tcW w:w="623" w:type="pct"/>
            <w:tcBorders>
              <w:top w:val="nil"/>
              <w:left w:val="nil"/>
              <w:bottom w:val="nil"/>
              <w:right w:val="nil"/>
            </w:tcBorders>
            <w:shd w:val="clear" w:color="auto" w:fill="auto"/>
            <w:vAlign w:val="bottom"/>
          </w:tcPr>
          <w:p w14:paraId="7EE155B7" w14:textId="77777777" w:rsidR="00897733" w:rsidRPr="00F629B8" w:rsidRDefault="00897733" w:rsidP="0034622E">
            <w:pPr>
              <w:jc w:val="right"/>
              <w:rPr>
                <w:rFonts w:ascii="Arial" w:hAnsi="Arial" w:cs="Arial"/>
                <w:color w:val="000000"/>
                <w:sz w:val="17"/>
                <w:szCs w:val="17"/>
              </w:rPr>
            </w:pPr>
            <w:r w:rsidRPr="00F959D0">
              <w:rPr>
                <w:rFonts w:ascii="Arial" w:hAnsi="Arial" w:cs="Arial"/>
                <w:color w:val="000000"/>
                <w:sz w:val="17"/>
                <w:szCs w:val="17"/>
              </w:rPr>
              <w:t xml:space="preserve"> 563.359 </w:t>
            </w:r>
          </w:p>
        </w:tc>
        <w:tc>
          <w:tcPr>
            <w:tcW w:w="593" w:type="pct"/>
            <w:tcBorders>
              <w:top w:val="nil"/>
              <w:left w:val="nil"/>
              <w:bottom w:val="nil"/>
              <w:right w:val="nil"/>
            </w:tcBorders>
            <w:shd w:val="clear" w:color="auto" w:fill="auto"/>
            <w:vAlign w:val="bottom"/>
          </w:tcPr>
          <w:p w14:paraId="25A25806" w14:textId="77777777" w:rsidR="00897733" w:rsidRPr="00F629B8" w:rsidRDefault="00897733" w:rsidP="0034622E">
            <w:pPr>
              <w:jc w:val="right"/>
              <w:rPr>
                <w:rFonts w:ascii="Arial" w:hAnsi="Arial" w:cs="Arial"/>
                <w:color w:val="000000"/>
                <w:sz w:val="17"/>
                <w:szCs w:val="17"/>
              </w:rPr>
            </w:pPr>
            <w:r w:rsidRPr="00F959D0">
              <w:rPr>
                <w:rFonts w:ascii="Arial" w:hAnsi="Arial" w:cs="Arial"/>
                <w:color w:val="000000"/>
                <w:sz w:val="17"/>
                <w:szCs w:val="17"/>
              </w:rPr>
              <w:t xml:space="preserve"> 1.248.881 </w:t>
            </w:r>
          </w:p>
        </w:tc>
      </w:tr>
      <w:tr w:rsidR="00897733" w:rsidRPr="00BF22C7" w14:paraId="6A1C4A87" w14:textId="77777777" w:rsidTr="0034622E">
        <w:trPr>
          <w:trHeight w:val="219"/>
        </w:trPr>
        <w:tc>
          <w:tcPr>
            <w:tcW w:w="1637" w:type="pct"/>
            <w:vAlign w:val="bottom"/>
          </w:tcPr>
          <w:p w14:paraId="0826B310" w14:textId="77777777" w:rsidR="00897733" w:rsidRPr="005B35F4" w:rsidRDefault="00897733" w:rsidP="0034622E">
            <w:pPr>
              <w:pStyle w:val="TT"/>
              <w:spacing w:line="220" w:lineRule="exact"/>
              <w:rPr>
                <w:rFonts w:cs="Arial"/>
                <w:color w:val="000000" w:themeColor="text1"/>
                <w:sz w:val="17"/>
                <w:szCs w:val="17"/>
                <w:lang w:val="hr-HR"/>
              </w:rPr>
            </w:pPr>
            <w:r w:rsidRPr="005B35F4">
              <w:rPr>
                <w:rFonts w:cs="Arial"/>
                <w:color w:val="000000" w:themeColor="text1"/>
                <w:spacing w:val="-2"/>
                <w:sz w:val="17"/>
                <w:szCs w:val="17"/>
                <w:lang w:val="hr-HR"/>
              </w:rPr>
              <w:t>Krediti ostalim korisnicima</w:t>
            </w:r>
          </w:p>
        </w:tc>
        <w:tc>
          <w:tcPr>
            <w:tcW w:w="547" w:type="pct"/>
            <w:tcBorders>
              <w:top w:val="nil"/>
              <w:left w:val="nil"/>
              <w:bottom w:val="nil"/>
              <w:right w:val="nil"/>
            </w:tcBorders>
            <w:shd w:val="clear" w:color="auto" w:fill="auto"/>
            <w:vAlign w:val="bottom"/>
          </w:tcPr>
          <w:p w14:paraId="4FB01DE4" w14:textId="77777777" w:rsidR="00897733" w:rsidRPr="00F629B8" w:rsidRDefault="00897733" w:rsidP="0034622E">
            <w:pPr>
              <w:jc w:val="right"/>
              <w:rPr>
                <w:rFonts w:ascii="Arial" w:hAnsi="Arial" w:cs="Arial"/>
                <w:color w:val="000000"/>
                <w:sz w:val="17"/>
                <w:szCs w:val="17"/>
              </w:rPr>
            </w:pPr>
            <w:r w:rsidRPr="00F959D0">
              <w:rPr>
                <w:rFonts w:ascii="Arial" w:hAnsi="Arial" w:cs="Arial"/>
                <w:color w:val="000000"/>
                <w:sz w:val="17"/>
                <w:szCs w:val="17"/>
              </w:rPr>
              <w:t xml:space="preserve"> 271.161 </w:t>
            </w:r>
          </w:p>
        </w:tc>
        <w:tc>
          <w:tcPr>
            <w:tcW w:w="534" w:type="pct"/>
            <w:tcBorders>
              <w:top w:val="nil"/>
              <w:left w:val="nil"/>
              <w:bottom w:val="nil"/>
              <w:right w:val="nil"/>
            </w:tcBorders>
            <w:shd w:val="clear" w:color="auto" w:fill="auto"/>
            <w:vAlign w:val="bottom"/>
          </w:tcPr>
          <w:p w14:paraId="32778CB2" w14:textId="77777777" w:rsidR="00897733" w:rsidRPr="00F629B8" w:rsidRDefault="00897733" w:rsidP="0034622E">
            <w:pPr>
              <w:jc w:val="right"/>
              <w:rPr>
                <w:rFonts w:ascii="Arial" w:hAnsi="Arial" w:cs="Arial"/>
                <w:color w:val="000000"/>
                <w:sz w:val="17"/>
                <w:szCs w:val="17"/>
              </w:rPr>
            </w:pPr>
            <w:r w:rsidRPr="00F959D0">
              <w:rPr>
                <w:rFonts w:ascii="Arial" w:hAnsi="Arial" w:cs="Arial"/>
                <w:color w:val="000000"/>
                <w:sz w:val="17"/>
                <w:szCs w:val="17"/>
              </w:rPr>
              <w:t xml:space="preserve"> 52.397 </w:t>
            </w:r>
          </w:p>
        </w:tc>
        <w:tc>
          <w:tcPr>
            <w:tcW w:w="528" w:type="pct"/>
            <w:tcBorders>
              <w:top w:val="nil"/>
              <w:left w:val="nil"/>
              <w:bottom w:val="nil"/>
              <w:right w:val="nil"/>
            </w:tcBorders>
            <w:shd w:val="clear" w:color="auto" w:fill="auto"/>
            <w:vAlign w:val="bottom"/>
          </w:tcPr>
          <w:p w14:paraId="2F5D4C7A" w14:textId="77777777" w:rsidR="00897733" w:rsidRPr="00F629B8" w:rsidRDefault="00897733" w:rsidP="0034622E">
            <w:pPr>
              <w:jc w:val="right"/>
              <w:rPr>
                <w:rFonts w:ascii="Arial" w:hAnsi="Arial" w:cs="Arial"/>
                <w:color w:val="000000"/>
                <w:sz w:val="17"/>
                <w:szCs w:val="17"/>
              </w:rPr>
            </w:pPr>
            <w:r w:rsidRPr="00F959D0">
              <w:rPr>
                <w:rFonts w:ascii="Arial" w:hAnsi="Arial" w:cs="Arial"/>
                <w:color w:val="000000"/>
                <w:sz w:val="17"/>
                <w:szCs w:val="17"/>
              </w:rPr>
              <w:t xml:space="preserve"> 286.532 </w:t>
            </w:r>
          </w:p>
        </w:tc>
        <w:tc>
          <w:tcPr>
            <w:tcW w:w="538" w:type="pct"/>
            <w:tcBorders>
              <w:top w:val="nil"/>
              <w:left w:val="nil"/>
              <w:bottom w:val="nil"/>
              <w:right w:val="nil"/>
            </w:tcBorders>
            <w:shd w:val="clear" w:color="auto" w:fill="auto"/>
            <w:vAlign w:val="bottom"/>
          </w:tcPr>
          <w:p w14:paraId="294BA68F" w14:textId="77777777" w:rsidR="00897733" w:rsidRPr="00F629B8" w:rsidRDefault="00897733" w:rsidP="0034622E">
            <w:pPr>
              <w:jc w:val="right"/>
              <w:rPr>
                <w:rFonts w:ascii="Arial" w:hAnsi="Arial" w:cs="Arial"/>
                <w:color w:val="000000"/>
                <w:sz w:val="17"/>
                <w:szCs w:val="17"/>
              </w:rPr>
            </w:pPr>
            <w:r w:rsidRPr="00F959D0">
              <w:rPr>
                <w:rFonts w:ascii="Arial" w:hAnsi="Arial" w:cs="Arial"/>
                <w:color w:val="000000"/>
                <w:sz w:val="17"/>
                <w:szCs w:val="17"/>
              </w:rPr>
              <w:t xml:space="preserve"> 586.168 </w:t>
            </w:r>
          </w:p>
        </w:tc>
        <w:tc>
          <w:tcPr>
            <w:tcW w:w="623" w:type="pct"/>
            <w:tcBorders>
              <w:top w:val="nil"/>
              <w:left w:val="nil"/>
              <w:bottom w:val="nil"/>
              <w:right w:val="nil"/>
            </w:tcBorders>
            <w:shd w:val="clear" w:color="auto" w:fill="auto"/>
            <w:vAlign w:val="bottom"/>
          </w:tcPr>
          <w:p w14:paraId="5641854E" w14:textId="77777777" w:rsidR="00897733" w:rsidRPr="00F629B8" w:rsidRDefault="00897733" w:rsidP="0034622E">
            <w:pPr>
              <w:jc w:val="right"/>
              <w:rPr>
                <w:rFonts w:ascii="Arial" w:hAnsi="Arial" w:cs="Arial"/>
                <w:color w:val="000000"/>
                <w:sz w:val="17"/>
                <w:szCs w:val="17"/>
              </w:rPr>
            </w:pPr>
            <w:r w:rsidRPr="00F959D0">
              <w:rPr>
                <w:rFonts w:ascii="Arial" w:hAnsi="Arial" w:cs="Arial"/>
                <w:color w:val="000000"/>
                <w:sz w:val="17"/>
                <w:szCs w:val="17"/>
              </w:rPr>
              <w:t xml:space="preserve"> 1.154.938 </w:t>
            </w:r>
          </w:p>
        </w:tc>
        <w:tc>
          <w:tcPr>
            <w:tcW w:w="593" w:type="pct"/>
            <w:tcBorders>
              <w:top w:val="nil"/>
              <w:left w:val="nil"/>
              <w:bottom w:val="nil"/>
              <w:right w:val="nil"/>
            </w:tcBorders>
            <w:shd w:val="clear" w:color="auto" w:fill="auto"/>
            <w:vAlign w:val="bottom"/>
          </w:tcPr>
          <w:p w14:paraId="2AA3D482" w14:textId="77777777" w:rsidR="00897733" w:rsidRPr="00F629B8" w:rsidRDefault="00897733" w:rsidP="0034622E">
            <w:pPr>
              <w:jc w:val="right"/>
              <w:rPr>
                <w:rFonts w:ascii="Arial" w:hAnsi="Arial" w:cs="Arial"/>
                <w:color w:val="000000"/>
                <w:sz w:val="17"/>
                <w:szCs w:val="17"/>
              </w:rPr>
            </w:pPr>
            <w:r w:rsidRPr="00F959D0">
              <w:rPr>
                <w:rFonts w:ascii="Arial" w:hAnsi="Arial" w:cs="Arial"/>
                <w:color w:val="000000"/>
                <w:sz w:val="17"/>
                <w:szCs w:val="17"/>
              </w:rPr>
              <w:t xml:space="preserve"> 2.351.196 </w:t>
            </w:r>
          </w:p>
        </w:tc>
      </w:tr>
      <w:tr w:rsidR="00897733" w:rsidRPr="00BF22C7" w14:paraId="2487FB57" w14:textId="77777777" w:rsidTr="0034622E">
        <w:trPr>
          <w:trHeight w:val="315"/>
        </w:trPr>
        <w:tc>
          <w:tcPr>
            <w:tcW w:w="1637" w:type="pct"/>
          </w:tcPr>
          <w:p w14:paraId="5A640BF0" w14:textId="77777777" w:rsidR="00897733" w:rsidRPr="005B35F4" w:rsidRDefault="00897733" w:rsidP="0034622E">
            <w:pPr>
              <w:pStyle w:val="TT"/>
              <w:spacing w:line="220" w:lineRule="exact"/>
              <w:rPr>
                <w:rFonts w:cs="Arial"/>
                <w:color w:val="000000" w:themeColor="text1"/>
                <w:spacing w:val="-2"/>
                <w:sz w:val="17"/>
                <w:szCs w:val="17"/>
                <w:lang w:val="hr-HR"/>
              </w:rPr>
            </w:pPr>
            <w:r w:rsidRPr="005B35F4">
              <w:rPr>
                <w:rFonts w:cs="Arial"/>
                <w:color w:val="000000" w:themeColor="text1"/>
                <w:spacing w:val="-2"/>
                <w:sz w:val="17"/>
                <w:szCs w:val="17"/>
                <w:lang w:val="hr-HR"/>
              </w:rPr>
              <w:t>Financijska imovina po fer vrijednosti kroz dobit ili gubitak</w:t>
            </w:r>
          </w:p>
        </w:tc>
        <w:tc>
          <w:tcPr>
            <w:tcW w:w="547" w:type="pct"/>
            <w:tcBorders>
              <w:top w:val="nil"/>
              <w:left w:val="nil"/>
              <w:bottom w:val="nil"/>
              <w:right w:val="nil"/>
            </w:tcBorders>
            <w:shd w:val="clear" w:color="auto" w:fill="auto"/>
            <w:vAlign w:val="bottom"/>
          </w:tcPr>
          <w:p w14:paraId="4B2AC96F" w14:textId="77777777" w:rsidR="00897733" w:rsidRPr="00F629B8" w:rsidRDefault="00897733" w:rsidP="0034622E">
            <w:pPr>
              <w:jc w:val="right"/>
              <w:rPr>
                <w:rFonts w:ascii="Arial" w:hAnsi="Arial" w:cs="Arial"/>
                <w:color w:val="000000"/>
                <w:sz w:val="17"/>
                <w:szCs w:val="17"/>
              </w:rPr>
            </w:pPr>
            <w:r w:rsidRPr="00F959D0">
              <w:rPr>
                <w:rFonts w:ascii="Arial" w:hAnsi="Arial" w:cs="Arial"/>
                <w:color w:val="000000"/>
                <w:sz w:val="17"/>
                <w:szCs w:val="17"/>
              </w:rPr>
              <w:t xml:space="preserve"> 42 </w:t>
            </w:r>
          </w:p>
        </w:tc>
        <w:tc>
          <w:tcPr>
            <w:tcW w:w="534" w:type="pct"/>
            <w:tcBorders>
              <w:top w:val="nil"/>
              <w:left w:val="nil"/>
              <w:bottom w:val="nil"/>
              <w:right w:val="nil"/>
            </w:tcBorders>
            <w:shd w:val="clear" w:color="auto" w:fill="auto"/>
            <w:vAlign w:val="bottom"/>
          </w:tcPr>
          <w:p w14:paraId="437E7998" w14:textId="77777777" w:rsidR="00897733" w:rsidRPr="00F629B8" w:rsidRDefault="00897733" w:rsidP="0034622E">
            <w:pPr>
              <w:jc w:val="right"/>
              <w:rPr>
                <w:rFonts w:ascii="Arial" w:hAnsi="Arial" w:cs="Arial"/>
                <w:color w:val="000000"/>
                <w:sz w:val="17"/>
                <w:szCs w:val="17"/>
              </w:rPr>
            </w:pPr>
            <w:r w:rsidRPr="00F959D0">
              <w:rPr>
                <w:rFonts w:ascii="Arial" w:hAnsi="Arial" w:cs="Arial"/>
                <w:color w:val="000000"/>
                <w:sz w:val="17"/>
                <w:szCs w:val="17"/>
              </w:rPr>
              <w:t xml:space="preserve"> 11 </w:t>
            </w:r>
          </w:p>
        </w:tc>
        <w:tc>
          <w:tcPr>
            <w:tcW w:w="528" w:type="pct"/>
            <w:tcBorders>
              <w:top w:val="nil"/>
              <w:left w:val="nil"/>
              <w:bottom w:val="nil"/>
              <w:right w:val="nil"/>
            </w:tcBorders>
            <w:shd w:val="clear" w:color="auto" w:fill="auto"/>
            <w:vAlign w:val="bottom"/>
          </w:tcPr>
          <w:p w14:paraId="660BA6FD" w14:textId="77777777" w:rsidR="00897733" w:rsidRPr="00F629B8" w:rsidRDefault="00897733" w:rsidP="0034622E">
            <w:pPr>
              <w:jc w:val="right"/>
              <w:rPr>
                <w:rFonts w:ascii="Arial" w:hAnsi="Arial" w:cs="Arial"/>
                <w:color w:val="000000"/>
                <w:sz w:val="17"/>
                <w:szCs w:val="17"/>
              </w:rPr>
            </w:pPr>
            <w:r w:rsidRPr="00F959D0">
              <w:rPr>
                <w:rFonts w:ascii="Arial" w:hAnsi="Arial" w:cs="Arial"/>
                <w:color w:val="000000"/>
                <w:sz w:val="17"/>
                <w:szCs w:val="17"/>
              </w:rPr>
              <w:t xml:space="preserve"> - </w:t>
            </w:r>
          </w:p>
        </w:tc>
        <w:tc>
          <w:tcPr>
            <w:tcW w:w="538" w:type="pct"/>
            <w:tcBorders>
              <w:top w:val="nil"/>
              <w:left w:val="nil"/>
              <w:bottom w:val="nil"/>
              <w:right w:val="nil"/>
            </w:tcBorders>
            <w:shd w:val="clear" w:color="auto" w:fill="auto"/>
            <w:vAlign w:val="bottom"/>
          </w:tcPr>
          <w:p w14:paraId="681231E4" w14:textId="77777777" w:rsidR="00897733" w:rsidRPr="00F629B8" w:rsidRDefault="00897733" w:rsidP="0034622E">
            <w:pPr>
              <w:jc w:val="right"/>
              <w:rPr>
                <w:rFonts w:ascii="Arial" w:hAnsi="Arial" w:cs="Arial"/>
                <w:color w:val="000000"/>
                <w:sz w:val="17"/>
                <w:szCs w:val="17"/>
              </w:rPr>
            </w:pPr>
            <w:r w:rsidRPr="00F959D0">
              <w:rPr>
                <w:rFonts w:ascii="Arial" w:hAnsi="Arial" w:cs="Arial"/>
                <w:color w:val="000000"/>
                <w:sz w:val="17"/>
                <w:szCs w:val="17"/>
              </w:rPr>
              <w:t xml:space="preserve"> 33.698 </w:t>
            </w:r>
          </w:p>
        </w:tc>
        <w:tc>
          <w:tcPr>
            <w:tcW w:w="623" w:type="pct"/>
            <w:tcBorders>
              <w:top w:val="nil"/>
              <w:left w:val="nil"/>
              <w:bottom w:val="nil"/>
              <w:right w:val="nil"/>
            </w:tcBorders>
            <w:shd w:val="clear" w:color="auto" w:fill="auto"/>
            <w:vAlign w:val="bottom"/>
          </w:tcPr>
          <w:p w14:paraId="1D10ECF2" w14:textId="77777777" w:rsidR="00897733" w:rsidRPr="00F629B8" w:rsidRDefault="00897733" w:rsidP="0034622E">
            <w:pPr>
              <w:jc w:val="right"/>
              <w:rPr>
                <w:rFonts w:ascii="Arial" w:hAnsi="Arial" w:cs="Arial"/>
                <w:color w:val="000000"/>
                <w:sz w:val="17"/>
                <w:szCs w:val="17"/>
              </w:rPr>
            </w:pPr>
            <w:r w:rsidRPr="00F959D0">
              <w:rPr>
                <w:rFonts w:ascii="Arial" w:hAnsi="Arial" w:cs="Arial"/>
                <w:color w:val="000000"/>
                <w:sz w:val="17"/>
                <w:szCs w:val="17"/>
              </w:rPr>
              <w:t xml:space="preserve"> 19.171 </w:t>
            </w:r>
          </w:p>
        </w:tc>
        <w:tc>
          <w:tcPr>
            <w:tcW w:w="593" w:type="pct"/>
            <w:tcBorders>
              <w:top w:val="nil"/>
              <w:left w:val="nil"/>
              <w:bottom w:val="nil"/>
              <w:right w:val="nil"/>
            </w:tcBorders>
            <w:shd w:val="clear" w:color="auto" w:fill="auto"/>
            <w:vAlign w:val="bottom"/>
          </w:tcPr>
          <w:p w14:paraId="2D5EAFB8" w14:textId="77777777" w:rsidR="00897733" w:rsidRPr="00F629B8" w:rsidRDefault="00897733" w:rsidP="0034622E">
            <w:pPr>
              <w:jc w:val="right"/>
              <w:rPr>
                <w:rFonts w:ascii="Arial" w:hAnsi="Arial" w:cs="Arial"/>
                <w:color w:val="000000"/>
                <w:sz w:val="17"/>
                <w:szCs w:val="17"/>
              </w:rPr>
            </w:pPr>
            <w:r w:rsidRPr="00F959D0">
              <w:rPr>
                <w:rFonts w:ascii="Arial" w:hAnsi="Arial" w:cs="Arial"/>
                <w:color w:val="000000"/>
                <w:sz w:val="17"/>
                <w:szCs w:val="17"/>
              </w:rPr>
              <w:t xml:space="preserve"> 52.922 </w:t>
            </w:r>
          </w:p>
        </w:tc>
      </w:tr>
      <w:tr w:rsidR="00897733" w:rsidRPr="00BF22C7" w14:paraId="3A65796A" w14:textId="77777777" w:rsidTr="0034622E">
        <w:trPr>
          <w:trHeight w:val="153"/>
        </w:trPr>
        <w:tc>
          <w:tcPr>
            <w:tcW w:w="1637" w:type="pct"/>
          </w:tcPr>
          <w:p w14:paraId="0FC1F5C0" w14:textId="77777777" w:rsidR="00897733" w:rsidRPr="005B35F4" w:rsidRDefault="00897733" w:rsidP="0034622E">
            <w:pPr>
              <w:pStyle w:val="TT"/>
              <w:spacing w:line="220" w:lineRule="exact"/>
              <w:rPr>
                <w:rFonts w:cs="Arial"/>
                <w:color w:val="000000" w:themeColor="text1"/>
                <w:sz w:val="17"/>
                <w:szCs w:val="17"/>
                <w:lang w:val="hr-HR"/>
              </w:rPr>
            </w:pPr>
            <w:r w:rsidRPr="005B35F4">
              <w:rPr>
                <w:rFonts w:cs="Arial"/>
                <w:color w:val="000000" w:themeColor="text1"/>
                <w:spacing w:val="-2"/>
                <w:sz w:val="17"/>
                <w:szCs w:val="17"/>
                <w:lang w:val="hr-HR"/>
              </w:rPr>
              <w:t>Financijska imovina po fer vrijednosti kroz ostalu sveobuhvatnu dobit</w:t>
            </w:r>
          </w:p>
        </w:tc>
        <w:tc>
          <w:tcPr>
            <w:tcW w:w="547" w:type="pct"/>
            <w:tcBorders>
              <w:top w:val="nil"/>
              <w:left w:val="nil"/>
              <w:bottom w:val="nil"/>
              <w:right w:val="nil"/>
            </w:tcBorders>
            <w:shd w:val="clear" w:color="auto" w:fill="auto"/>
            <w:vAlign w:val="bottom"/>
          </w:tcPr>
          <w:p w14:paraId="1EFD829F" w14:textId="77777777" w:rsidR="00897733" w:rsidRPr="00F629B8" w:rsidRDefault="00897733" w:rsidP="0034622E">
            <w:pPr>
              <w:jc w:val="right"/>
              <w:rPr>
                <w:rFonts w:ascii="Arial" w:hAnsi="Arial" w:cs="Arial"/>
                <w:color w:val="000000"/>
                <w:sz w:val="17"/>
                <w:szCs w:val="17"/>
              </w:rPr>
            </w:pPr>
            <w:r w:rsidRPr="00F959D0">
              <w:rPr>
                <w:rFonts w:ascii="Arial" w:hAnsi="Arial" w:cs="Arial"/>
                <w:color w:val="000000"/>
                <w:sz w:val="17"/>
                <w:szCs w:val="17"/>
              </w:rPr>
              <w:t xml:space="preserve"> 232.032 </w:t>
            </w:r>
          </w:p>
        </w:tc>
        <w:tc>
          <w:tcPr>
            <w:tcW w:w="534" w:type="pct"/>
            <w:tcBorders>
              <w:top w:val="nil"/>
              <w:left w:val="nil"/>
              <w:bottom w:val="nil"/>
              <w:right w:val="nil"/>
            </w:tcBorders>
            <w:shd w:val="clear" w:color="auto" w:fill="auto"/>
            <w:vAlign w:val="bottom"/>
          </w:tcPr>
          <w:p w14:paraId="7E88C641" w14:textId="77777777" w:rsidR="00897733" w:rsidRPr="00F629B8" w:rsidRDefault="00897733" w:rsidP="0034622E">
            <w:pPr>
              <w:jc w:val="right"/>
              <w:rPr>
                <w:rFonts w:ascii="Arial" w:hAnsi="Arial" w:cs="Arial"/>
                <w:color w:val="000000"/>
                <w:sz w:val="17"/>
                <w:szCs w:val="17"/>
              </w:rPr>
            </w:pPr>
            <w:r w:rsidRPr="00F959D0">
              <w:rPr>
                <w:rFonts w:ascii="Arial" w:hAnsi="Arial" w:cs="Arial"/>
                <w:color w:val="000000"/>
                <w:sz w:val="17"/>
                <w:szCs w:val="17"/>
              </w:rPr>
              <w:t xml:space="preserve"> 3.144 </w:t>
            </w:r>
          </w:p>
        </w:tc>
        <w:tc>
          <w:tcPr>
            <w:tcW w:w="528" w:type="pct"/>
            <w:tcBorders>
              <w:top w:val="nil"/>
              <w:left w:val="nil"/>
              <w:bottom w:val="nil"/>
              <w:right w:val="nil"/>
            </w:tcBorders>
            <w:shd w:val="clear" w:color="auto" w:fill="auto"/>
            <w:vAlign w:val="bottom"/>
          </w:tcPr>
          <w:p w14:paraId="602AAA2A" w14:textId="77777777" w:rsidR="00897733" w:rsidRPr="00F629B8" w:rsidRDefault="00897733" w:rsidP="0034622E">
            <w:pPr>
              <w:jc w:val="right"/>
              <w:rPr>
                <w:rFonts w:ascii="Arial" w:hAnsi="Arial" w:cs="Arial"/>
                <w:color w:val="000000"/>
                <w:sz w:val="17"/>
                <w:szCs w:val="17"/>
              </w:rPr>
            </w:pPr>
            <w:r w:rsidRPr="00F959D0">
              <w:rPr>
                <w:rFonts w:ascii="Arial" w:hAnsi="Arial" w:cs="Arial"/>
                <w:color w:val="000000"/>
                <w:sz w:val="17"/>
                <w:szCs w:val="17"/>
              </w:rPr>
              <w:t xml:space="preserve"> 23 </w:t>
            </w:r>
          </w:p>
        </w:tc>
        <w:tc>
          <w:tcPr>
            <w:tcW w:w="538" w:type="pct"/>
            <w:tcBorders>
              <w:top w:val="nil"/>
              <w:left w:val="nil"/>
              <w:bottom w:val="nil"/>
              <w:right w:val="nil"/>
            </w:tcBorders>
            <w:shd w:val="clear" w:color="auto" w:fill="auto"/>
            <w:vAlign w:val="bottom"/>
          </w:tcPr>
          <w:p w14:paraId="5FCF0584" w14:textId="77777777" w:rsidR="00897733" w:rsidRPr="00F629B8" w:rsidRDefault="00897733" w:rsidP="0034622E">
            <w:pPr>
              <w:jc w:val="right"/>
              <w:rPr>
                <w:rFonts w:ascii="Arial" w:hAnsi="Arial" w:cs="Arial"/>
                <w:color w:val="000000"/>
                <w:sz w:val="17"/>
                <w:szCs w:val="17"/>
              </w:rPr>
            </w:pPr>
            <w:r w:rsidRPr="00F959D0">
              <w:rPr>
                <w:rFonts w:ascii="Arial" w:hAnsi="Arial" w:cs="Arial"/>
                <w:color w:val="000000"/>
                <w:sz w:val="17"/>
                <w:szCs w:val="17"/>
              </w:rPr>
              <w:t xml:space="preserve"> - </w:t>
            </w:r>
          </w:p>
        </w:tc>
        <w:tc>
          <w:tcPr>
            <w:tcW w:w="623" w:type="pct"/>
            <w:tcBorders>
              <w:top w:val="nil"/>
              <w:left w:val="nil"/>
              <w:bottom w:val="nil"/>
              <w:right w:val="nil"/>
            </w:tcBorders>
            <w:shd w:val="clear" w:color="auto" w:fill="auto"/>
            <w:vAlign w:val="bottom"/>
          </w:tcPr>
          <w:p w14:paraId="24138740" w14:textId="77777777" w:rsidR="00897733" w:rsidRPr="00F629B8" w:rsidRDefault="00897733" w:rsidP="0034622E">
            <w:pPr>
              <w:jc w:val="right"/>
              <w:rPr>
                <w:rFonts w:ascii="Arial" w:hAnsi="Arial" w:cs="Arial"/>
                <w:color w:val="000000"/>
                <w:sz w:val="17"/>
                <w:szCs w:val="17"/>
              </w:rPr>
            </w:pPr>
            <w:r w:rsidRPr="00F959D0">
              <w:rPr>
                <w:rFonts w:ascii="Arial" w:hAnsi="Arial" w:cs="Arial"/>
                <w:color w:val="000000"/>
                <w:sz w:val="17"/>
                <w:szCs w:val="17"/>
              </w:rPr>
              <w:t xml:space="preserve"> - </w:t>
            </w:r>
          </w:p>
        </w:tc>
        <w:tc>
          <w:tcPr>
            <w:tcW w:w="593" w:type="pct"/>
            <w:tcBorders>
              <w:top w:val="nil"/>
              <w:left w:val="nil"/>
              <w:bottom w:val="nil"/>
              <w:right w:val="nil"/>
            </w:tcBorders>
            <w:shd w:val="clear" w:color="auto" w:fill="auto"/>
            <w:vAlign w:val="bottom"/>
          </w:tcPr>
          <w:p w14:paraId="1C38641D" w14:textId="77777777" w:rsidR="00897733" w:rsidRPr="00F629B8" w:rsidRDefault="00897733" w:rsidP="0034622E">
            <w:pPr>
              <w:jc w:val="right"/>
              <w:rPr>
                <w:rFonts w:ascii="Arial" w:hAnsi="Arial" w:cs="Arial"/>
                <w:color w:val="000000"/>
                <w:sz w:val="17"/>
                <w:szCs w:val="17"/>
              </w:rPr>
            </w:pPr>
            <w:r w:rsidRPr="00F959D0">
              <w:rPr>
                <w:rFonts w:ascii="Arial" w:hAnsi="Arial" w:cs="Arial"/>
                <w:color w:val="000000"/>
                <w:sz w:val="17"/>
                <w:szCs w:val="17"/>
              </w:rPr>
              <w:t xml:space="preserve"> 235.199 </w:t>
            </w:r>
          </w:p>
        </w:tc>
      </w:tr>
      <w:tr w:rsidR="00897733" w:rsidRPr="00BF22C7" w14:paraId="31DDFBDA" w14:textId="77777777" w:rsidTr="0034622E">
        <w:trPr>
          <w:trHeight w:val="324"/>
        </w:trPr>
        <w:tc>
          <w:tcPr>
            <w:tcW w:w="1637" w:type="pct"/>
          </w:tcPr>
          <w:p w14:paraId="61EF98EB" w14:textId="77777777" w:rsidR="00897733" w:rsidRPr="005B35F4" w:rsidRDefault="00897733" w:rsidP="0034622E">
            <w:pPr>
              <w:pStyle w:val="TT"/>
              <w:spacing w:line="220" w:lineRule="exact"/>
              <w:rPr>
                <w:rFonts w:cs="Arial"/>
                <w:color w:val="000000" w:themeColor="text1"/>
                <w:sz w:val="17"/>
                <w:szCs w:val="17"/>
                <w:lang w:val="hr-HR"/>
              </w:rPr>
            </w:pPr>
            <w:r w:rsidRPr="005B35F4">
              <w:rPr>
                <w:rFonts w:cs="Arial"/>
                <w:color w:val="000000" w:themeColor="text1"/>
                <w:spacing w:val="-2"/>
                <w:sz w:val="17"/>
                <w:szCs w:val="17"/>
                <w:lang w:val="hr-HR"/>
              </w:rPr>
              <w:t>Nekretnine, postrojenja i oprema i nematerijalna imovina</w:t>
            </w:r>
          </w:p>
        </w:tc>
        <w:tc>
          <w:tcPr>
            <w:tcW w:w="547" w:type="pct"/>
            <w:tcBorders>
              <w:top w:val="nil"/>
              <w:left w:val="nil"/>
              <w:right w:val="nil"/>
            </w:tcBorders>
            <w:shd w:val="clear" w:color="auto" w:fill="auto"/>
            <w:vAlign w:val="bottom"/>
          </w:tcPr>
          <w:p w14:paraId="3FCA5F2A" w14:textId="77777777" w:rsidR="00897733" w:rsidRPr="00F629B8" w:rsidRDefault="00897733" w:rsidP="0034622E">
            <w:pPr>
              <w:jc w:val="right"/>
              <w:rPr>
                <w:rFonts w:ascii="Arial" w:hAnsi="Arial" w:cs="Arial"/>
                <w:color w:val="000000"/>
                <w:sz w:val="17"/>
                <w:szCs w:val="17"/>
              </w:rPr>
            </w:pPr>
            <w:r w:rsidRPr="00F959D0">
              <w:rPr>
                <w:rFonts w:ascii="Arial" w:hAnsi="Arial" w:cs="Arial"/>
                <w:color w:val="000000"/>
                <w:sz w:val="17"/>
                <w:szCs w:val="17"/>
              </w:rPr>
              <w:t xml:space="preserve"> - </w:t>
            </w:r>
          </w:p>
        </w:tc>
        <w:tc>
          <w:tcPr>
            <w:tcW w:w="534" w:type="pct"/>
            <w:tcBorders>
              <w:top w:val="nil"/>
              <w:left w:val="nil"/>
              <w:right w:val="nil"/>
            </w:tcBorders>
            <w:shd w:val="clear" w:color="auto" w:fill="auto"/>
            <w:vAlign w:val="bottom"/>
          </w:tcPr>
          <w:p w14:paraId="51B1A865" w14:textId="77777777" w:rsidR="00897733" w:rsidRPr="00F629B8" w:rsidRDefault="00897733" w:rsidP="0034622E">
            <w:pPr>
              <w:jc w:val="right"/>
              <w:rPr>
                <w:rFonts w:ascii="Arial" w:hAnsi="Arial" w:cs="Arial"/>
                <w:color w:val="000000"/>
                <w:sz w:val="17"/>
                <w:szCs w:val="17"/>
              </w:rPr>
            </w:pPr>
            <w:r w:rsidRPr="00F959D0">
              <w:rPr>
                <w:rFonts w:ascii="Arial" w:hAnsi="Arial" w:cs="Arial"/>
                <w:color w:val="000000"/>
                <w:sz w:val="17"/>
                <w:szCs w:val="17"/>
              </w:rPr>
              <w:t xml:space="preserve"> - </w:t>
            </w:r>
          </w:p>
        </w:tc>
        <w:tc>
          <w:tcPr>
            <w:tcW w:w="528" w:type="pct"/>
            <w:tcBorders>
              <w:top w:val="nil"/>
              <w:left w:val="nil"/>
              <w:right w:val="nil"/>
            </w:tcBorders>
            <w:shd w:val="clear" w:color="auto" w:fill="auto"/>
            <w:vAlign w:val="bottom"/>
          </w:tcPr>
          <w:p w14:paraId="2796183D" w14:textId="77777777" w:rsidR="00897733" w:rsidRPr="00F629B8" w:rsidRDefault="00897733" w:rsidP="0034622E">
            <w:pPr>
              <w:jc w:val="right"/>
              <w:rPr>
                <w:rFonts w:ascii="Arial" w:hAnsi="Arial" w:cs="Arial"/>
                <w:color w:val="000000"/>
                <w:sz w:val="17"/>
                <w:szCs w:val="17"/>
              </w:rPr>
            </w:pPr>
            <w:r w:rsidRPr="00F959D0">
              <w:rPr>
                <w:rFonts w:ascii="Arial" w:hAnsi="Arial" w:cs="Arial"/>
                <w:color w:val="000000"/>
                <w:sz w:val="17"/>
                <w:szCs w:val="17"/>
              </w:rPr>
              <w:t xml:space="preserve"> - </w:t>
            </w:r>
          </w:p>
        </w:tc>
        <w:tc>
          <w:tcPr>
            <w:tcW w:w="538" w:type="pct"/>
            <w:tcBorders>
              <w:top w:val="nil"/>
              <w:left w:val="nil"/>
              <w:right w:val="nil"/>
            </w:tcBorders>
            <w:shd w:val="clear" w:color="auto" w:fill="auto"/>
            <w:vAlign w:val="bottom"/>
          </w:tcPr>
          <w:p w14:paraId="442CA511" w14:textId="77777777" w:rsidR="00897733" w:rsidRPr="00F629B8" w:rsidRDefault="00897733" w:rsidP="0034622E">
            <w:pPr>
              <w:jc w:val="right"/>
              <w:rPr>
                <w:rFonts w:ascii="Arial" w:hAnsi="Arial" w:cs="Arial"/>
                <w:color w:val="000000"/>
                <w:sz w:val="17"/>
                <w:szCs w:val="17"/>
              </w:rPr>
            </w:pPr>
            <w:r w:rsidRPr="00F959D0">
              <w:rPr>
                <w:rFonts w:ascii="Arial" w:hAnsi="Arial" w:cs="Arial"/>
                <w:color w:val="000000"/>
                <w:sz w:val="17"/>
                <w:szCs w:val="17"/>
              </w:rPr>
              <w:t xml:space="preserve"> - </w:t>
            </w:r>
          </w:p>
        </w:tc>
        <w:tc>
          <w:tcPr>
            <w:tcW w:w="623" w:type="pct"/>
            <w:tcBorders>
              <w:top w:val="nil"/>
              <w:left w:val="nil"/>
              <w:right w:val="nil"/>
            </w:tcBorders>
            <w:shd w:val="clear" w:color="auto" w:fill="auto"/>
            <w:vAlign w:val="bottom"/>
          </w:tcPr>
          <w:p w14:paraId="7FC54CE5" w14:textId="77777777" w:rsidR="00897733" w:rsidRPr="00F629B8" w:rsidRDefault="00897733" w:rsidP="0034622E">
            <w:pPr>
              <w:jc w:val="right"/>
              <w:rPr>
                <w:rFonts w:ascii="Arial" w:hAnsi="Arial" w:cs="Arial"/>
                <w:color w:val="000000"/>
                <w:sz w:val="17"/>
                <w:szCs w:val="17"/>
              </w:rPr>
            </w:pPr>
            <w:r w:rsidRPr="00F959D0">
              <w:rPr>
                <w:rFonts w:ascii="Arial" w:hAnsi="Arial" w:cs="Arial"/>
                <w:color w:val="000000"/>
                <w:sz w:val="17"/>
                <w:szCs w:val="17"/>
              </w:rPr>
              <w:t xml:space="preserve"> 4.868 </w:t>
            </w:r>
          </w:p>
        </w:tc>
        <w:tc>
          <w:tcPr>
            <w:tcW w:w="593" w:type="pct"/>
            <w:tcBorders>
              <w:top w:val="nil"/>
              <w:left w:val="nil"/>
              <w:right w:val="nil"/>
            </w:tcBorders>
            <w:shd w:val="clear" w:color="auto" w:fill="auto"/>
            <w:vAlign w:val="bottom"/>
          </w:tcPr>
          <w:p w14:paraId="4F23F795" w14:textId="77777777" w:rsidR="00897733" w:rsidRPr="00F629B8" w:rsidRDefault="00897733" w:rsidP="0034622E">
            <w:pPr>
              <w:jc w:val="right"/>
              <w:rPr>
                <w:rFonts w:ascii="Arial" w:hAnsi="Arial" w:cs="Arial"/>
                <w:color w:val="000000"/>
                <w:sz w:val="17"/>
                <w:szCs w:val="17"/>
              </w:rPr>
            </w:pPr>
            <w:r w:rsidRPr="00F959D0">
              <w:rPr>
                <w:rFonts w:ascii="Arial" w:hAnsi="Arial" w:cs="Arial"/>
                <w:color w:val="000000"/>
                <w:sz w:val="17"/>
                <w:szCs w:val="17"/>
              </w:rPr>
              <w:t xml:space="preserve"> 4.868 </w:t>
            </w:r>
          </w:p>
        </w:tc>
      </w:tr>
      <w:tr w:rsidR="00897733" w:rsidRPr="00BF22C7" w14:paraId="0A8EF999" w14:textId="77777777" w:rsidTr="0034622E">
        <w:trPr>
          <w:trHeight w:val="126"/>
        </w:trPr>
        <w:tc>
          <w:tcPr>
            <w:tcW w:w="1637" w:type="pct"/>
          </w:tcPr>
          <w:p w14:paraId="2C13A32D" w14:textId="77777777" w:rsidR="00897733" w:rsidRPr="005B35F4" w:rsidRDefault="00897733" w:rsidP="0034622E">
            <w:pPr>
              <w:pStyle w:val="TT"/>
              <w:spacing w:line="220" w:lineRule="exact"/>
              <w:rPr>
                <w:rFonts w:cs="Arial"/>
                <w:color w:val="000000" w:themeColor="text1"/>
                <w:sz w:val="17"/>
                <w:szCs w:val="17"/>
                <w:lang w:val="hr-HR"/>
              </w:rPr>
            </w:pPr>
            <w:r w:rsidRPr="005B35F4">
              <w:rPr>
                <w:rFonts w:cs="Arial"/>
                <w:color w:val="000000" w:themeColor="text1"/>
                <w:spacing w:val="-2"/>
                <w:sz w:val="17"/>
                <w:szCs w:val="17"/>
                <w:lang w:val="hr-HR"/>
              </w:rPr>
              <w:t>Preuzeta imovina</w:t>
            </w:r>
          </w:p>
        </w:tc>
        <w:tc>
          <w:tcPr>
            <w:tcW w:w="547" w:type="pct"/>
            <w:tcBorders>
              <w:top w:val="nil"/>
              <w:left w:val="nil"/>
              <w:bottom w:val="nil"/>
              <w:right w:val="nil"/>
            </w:tcBorders>
            <w:shd w:val="clear" w:color="auto" w:fill="auto"/>
            <w:vAlign w:val="bottom"/>
          </w:tcPr>
          <w:p w14:paraId="0867CC0B" w14:textId="77777777" w:rsidR="00897733" w:rsidRPr="00F629B8" w:rsidRDefault="00897733" w:rsidP="0034622E">
            <w:pPr>
              <w:jc w:val="right"/>
              <w:rPr>
                <w:rFonts w:ascii="Arial" w:hAnsi="Arial" w:cs="Arial"/>
                <w:color w:val="000000"/>
                <w:sz w:val="17"/>
                <w:szCs w:val="17"/>
              </w:rPr>
            </w:pPr>
            <w:r w:rsidRPr="00F959D0">
              <w:rPr>
                <w:rFonts w:ascii="Arial" w:hAnsi="Arial" w:cs="Arial"/>
                <w:color w:val="000000"/>
                <w:sz w:val="17"/>
                <w:szCs w:val="17"/>
              </w:rPr>
              <w:t xml:space="preserve"> 2 </w:t>
            </w:r>
          </w:p>
        </w:tc>
        <w:tc>
          <w:tcPr>
            <w:tcW w:w="534" w:type="pct"/>
            <w:tcBorders>
              <w:top w:val="nil"/>
              <w:left w:val="nil"/>
              <w:bottom w:val="nil"/>
              <w:right w:val="nil"/>
            </w:tcBorders>
            <w:shd w:val="clear" w:color="auto" w:fill="auto"/>
            <w:vAlign w:val="bottom"/>
          </w:tcPr>
          <w:p w14:paraId="110B7B8B" w14:textId="77777777" w:rsidR="00897733" w:rsidRPr="00F629B8" w:rsidRDefault="00897733" w:rsidP="0034622E">
            <w:pPr>
              <w:jc w:val="right"/>
              <w:rPr>
                <w:rFonts w:ascii="Arial" w:hAnsi="Arial" w:cs="Arial"/>
                <w:color w:val="000000"/>
                <w:sz w:val="17"/>
                <w:szCs w:val="17"/>
              </w:rPr>
            </w:pPr>
            <w:r w:rsidRPr="00F959D0">
              <w:rPr>
                <w:rFonts w:ascii="Arial" w:hAnsi="Arial" w:cs="Arial"/>
                <w:color w:val="000000"/>
                <w:sz w:val="17"/>
                <w:szCs w:val="17"/>
              </w:rPr>
              <w:t xml:space="preserve"> 148 </w:t>
            </w:r>
          </w:p>
        </w:tc>
        <w:tc>
          <w:tcPr>
            <w:tcW w:w="528" w:type="pct"/>
            <w:tcBorders>
              <w:top w:val="nil"/>
              <w:left w:val="nil"/>
              <w:bottom w:val="nil"/>
              <w:right w:val="nil"/>
            </w:tcBorders>
            <w:shd w:val="clear" w:color="auto" w:fill="auto"/>
            <w:vAlign w:val="bottom"/>
          </w:tcPr>
          <w:p w14:paraId="008F4A28" w14:textId="77777777" w:rsidR="00897733" w:rsidRPr="00F629B8" w:rsidRDefault="00897733" w:rsidP="0034622E">
            <w:pPr>
              <w:jc w:val="right"/>
              <w:rPr>
                <w:rFonts w:ascii="Arial" w:hAnsi="Arial" w:cs="Arial"/>
                <w:color w:val="000000"/>
                <w:sz w:val="17"/>
                <w:szCs w:val="17"/>
              </w:rPr>
            </w:pPr>
            <w:r w:rsidRPr="00F959D0">
              <w:rPr>
                <w:rFonts w:ascii="Arial" w:hAnsi="Arial" w:cs="Arial"/>
                <w:color w:val="000000"/>
                <w:sz w:val="17"/>
                <w:szCs w:val="17"/>
              </w:rPr>
              <w:t xml:space="preserve"> 149 </w:t>
            </w:r>
          </w:p>
        </w:tc>
        <w:tc>
          <w:tcPr>
            <w:tcW w:w="538" w:type="pct"/>
            <w:tcBorders>
              <w:top w:val="nil"/>
              <w:left w:val="nil"/>
              <w:bottom w:val="nil"/>
              <w:right w:val="nil"/>
            </w:tcBorders>
            <w:shd w:val="clear" w:color="auto" w:fill="auto"/>
            <w:vAlign w:val="bottom"/>
          </w:tcPr>
          <w:p w14:paraId="141C9F06" w14:textId="77777777" w:rsidR="00897733" w:rsidRPr="00F629B8" w:rsidRDefault="00897733" w:rsidP="0034622E">
            <w:pPr>
              <w:jc w:val="right"/>
              <w:rPr>
                <w:rFonts w:ascii="Arial" w:hAnsi="Arial" w:cs="Arial"/>
                <w:color w:val="000000"/>
                <w:sz w:val="17"/>
                <w:szCs w:val="17"/>
              </w:rPr>
            </w:pPr>
            <w:r w:rsidRPr="00F959D0">
              <w:rPr>
                <w:rFonts w:ascii="Arial" w:hAnsi="Arial" w:cs="Arial"/>
                <w:color w:val="000000"/>
                <w:sz w:val="17"/>
                <w:szCs w:val="17"/>
              </w:rPr>
              <w:t xml:space="preserve"> 820 </w:t>
            </w:r>
          </w:p>
        </w:tc>
        <w:tc>
          <w:tcPr>
            <w:tcW w:w="623" w:type="pct"/>
            <w:tcBorders>
              <w:top w:val="nil"/>
              <w:left w:val="nil"/>
              <w:bottom w:val="nil"/>
              <w:right w:val="nil"/>
            </w:tcBorders>
            <w:shd w:val="clear" w:color="auto" w:fill="auto"/>
            <w:vAlign w:val="bottom"/>
          </w:tcPr>
          <w:p w14:paraId="290D6F64" w14:textId="77777777" w:rsidR="00897733" w:rsidRPr="00F629B8" w:rsidRDefault="00897733" w:rsidP="0034622E">
            <w:pPr>
              <w:jc w:val="right"/>
              <w:rPr>
                <w:rFonts w:ascii="Arial" w:hAnsi="Arial" w:cs="Arial"/>
                <w:color w:val="000000"/>
                <w:sz w:val="17"/>
                <w:szCs w:val="17"/>
              </w:rPr>
            </w:pPr>
            <w:r w:rsidRPr="00F959D0">
              <w:rPr>
                <w:rFonts w:ascii="Arial" w:hAnsi="Arial" w:cs="Arial"/>
                <w:color w:val="000000"/>
                <w:sz w:val="17"/>
                <w:szCs w:val="17"/>
              </w:rPr>
              <w:t xml:space="preserve"> 1.172 </w:t>
            </w:r>
          </w:p>
        </w:tc>
        <w:tc>
          <w:tcPr>
            <w:tcW w:w="593" w:type="pct"/>
            <w:tcBorders>
              <w:top w:val="nil"/>
              <w:left w:val="nil"/>
              <w:bottom w:val="nil"/>
              <w:right w:val="nil"/>
            </w:tcBorders>
            <w:shd w:val="clear" w:color="auto" w:fill="auto"/>
            <w:vAlign w:val="bottom"/>
          </w:tcPr>
          <w:p w14:paraId="037715E1" w14:textId="77777777" w:rsidR="00897733" w:rsidRPr="00F629B8" w:rsidRDefault="00897733" w:rsidP="0034622E">
            <w:pPr>
              <w:jc w:val="right"/>
              <w:rPr>
                <w:rFonts w:ascii="Arial" w:hAnsi="Arial" w:cs="Arial"/>
                <w:color w:val="000000"/>
                <w:sz w:val="17"/>
                <w:szCs w:val="17"/>
              </w:rPr>
            </w:pPr>
            <w:r w:rsidRPr="00F959D0">
              <w:rPr>
                <w:rFonts w:ascii="Arial" w:hAnsi="Arial" w:cs="Arial"/>
                <w:color w:val="000000"/>
                <w:sz w:val="17"/>
                <w:szCs w:val="17"/>
              </w:rPr>
              <w:t xml:space="preserve"> 2.291 </w:t>
            </w:r>
          </w:p>
        </w:tc>
      </w:tr>
      <w:tr w:rsidR="00897733" w:rsidRPr="00BF22C7" w14:paraId="0989FEFA" w14:textId="77777777" w:rsidTr="0034622E">
        <w:trPr>
          <w:trHeight w:val="153"/>
        </w:trPr>
        <w:tc>
          <w:tcPr>
            <w:tcW w:w="1637" w:type="pct"/>
          </w:tcPr>
          <w:p w14:paraId="2A0A1BCB" w14:textId="77777777" w:rsidR="00897733" w:rsidRPr="005B35F4" w:rsidRDefault="00897733" w:rsidP="0034622E">
            <w:pPr>
              <w:pStyle w:val="TT"/>
              <w:spacing w:line="220" w:lineRule="exact"/>
              <w:rPr>
                <w:rFonts w:cs="Arial"/>
                <w:color w:val="000000" w:themeColor="text1"/>
                <w:sz w:val="17"/>
                <w:szCs w:val="17"/>
                <w:lang w:val="hr-HR"/>
              </w:rPr>
            </w:pPr>
            <w:r w:rsidRPr="005B35F4">
              <w:rPr>
                <w:rFonts w:cs="Arial"/>
                <w:color w:val="000000" w:themeColor="text1"/>
                <w:spacing w:val="-2"/>
                <w:sz w:val="17"/>
                <w:szCs w:val="17"/>
                <w:lang w:val="hr-HR"/>
              </w:rPr>
              <w:t>Ostala imovina</w:t>
            </w:r>
          </w:p>
        </w:tc>
        <w:tc>
          <w:tcPr>
            <w:tcW w:w="547" w:type="pct"/>
            <w:tcBorders>
              <w:left w:val="nil"/>
              <w:bottom w:val="single" w:sz="8" w:space="0" w:color="auto"/>
              <w:right w:val="nil"/>
            </w:tcBorders>
            <w:shd w:val="clear" w:color="auto" w:fill="auto"/>
            <w:vAlign w:val="bottom"/>
          </w:tcPr>
          <w:p w14:paraId="60D8F53A" w14:textId="77777777" w:rsidR="00897733" w:rsidRPr="00F629B8" w:rsidRDefault="00897733" w:rsidP="0034622E">
            <w:pPr>
              <w:jc w:val="right"/>
              <w:rPr>
                <w:rFonts w:ascii="Arial" w:hAnsi="Arial" w:cs="Arial"/>
                <w:color w:val="000000"/>
                <w:sz w:val="17"/>
                <w:szCs w:val="17"/>
              </w:rPr>
            </w:pPr>
            <w:r w:rsidRPr="00F959D0">
              <w:rPr>
                <w:rFonts w:ascii="Arial" w:hAnsi="Arial" w:cs="Arial"/>
                <w:color w:val="000000"/>
                <w:sz w:val="17"/>
                <w:szCs w:val="17"/>
              </w:rPr>
              <w:t xml:space="preserve"> 6.482 </w:t>
            </w:r>
          </w:p>
        </w:tc>
        <w:tc>
          <w:tcPr>
            <w:tcW w:w="534" w:type="pct"/>
            <w:tcBorders>
              <w:left w:val="nil"/>
              <w:bottom w:val="single" w:sz="8" w:space="0" w:color="auto"/>
              <w:right w:val="nil"/>
            </w:tcBorders>
            <w:shd w:val="clear" w:color="auto" w:fill="auto"/>
            <w:vAlign w:val="bottom"/>
          </w:tcPr>
          <w:p w14:paraId="7E449649" w14:textId="77777777" w:rsidR="00897733" w:rsidRPr="00F629B8" w:rsidRDefault="00897733" w:rsidP="0034622E">
            <w:pPr>
              <w:jc w:val="right"/>
              <w:rPr>
                <w:rFonts w:ascii="Arial" w:hAnsi="Arial" w:cs="Arial"/>
                <w:color w:val="000000"/>
                <w:sz w:val="17"/>
                <w:szCs w:val="17"/>
              </w:rPr>
            </w:pPr>
            <w:r w:rsidRPr="00F959D0">
              <w:rPr>
                <w:rFonts w:ascii="Arial" w:hAnsi="Arial" w:cs="Arial"/>
                <w:color w:val="000000"/>
                <w:sz w:val="17"/>
                <w:szCs w:val="17"/>
              </w:rPr>
              <w:t xml:space="preserve"> 118 </w:t>
            </w:r>
          </w:p>
        </w:tc>
        <w:tc>
          <w:tcPr>
            <w:tcW w:w="528" w:type="pct"/>
            <w:tcBorders>
              <w:left w:val="nil"/>
              <w:bottom w:val="single" w:sz="8" w:space="0" w:color="auto"/>
              <w:right w:val="nil"/>
            </w:tcBorders>
            <w:shd w:val="clear" w:color="auto" w:fill="auto"/>
            <w:vAlign w:val="bottom"/>
          </w:tcPr>
          <w:p w14:paraId="2846595E" w14:textId="77777777" w:rsidR="00897733" w:rsidRPr="00F629B8" w:rsidRDefault="00897733" w:rsidP="0034622E">
            <w:pPr>
              <w:jc w:val="right"/>
              <w:rPr>
                <w:rFonts w:ascii="Arial" w:hAnsi="Arial" w:cs="Arial"/>
                <w:color w:val="000000"/>
                <w:sz w:val="17"/>
                <w:szCs w:val="17"/>
              </w:rPr>
            </w:pPr>
            <w:r w:rsidRPr="00F959D0">
              <w:rPr>
                <w:rFonts w:ascii="Arial" w:hAnsi="Arial" w:cs="Arial"/>
                <w:color w:val="000000"/>
                <w:sz w:val="17"/>
                <w:szCs w:val="17"/>
              </w:rPr>
              <w:t xml:space="preserve"> 2.662 </w:t>
            </w:r>
          </w:p>
        </w:tc>
        <w:tc>
          <w:tcPr>
            <w:tcW w:w="538" w:type="pct"/>
            <w:tcBorders>
              <w:left w:val="nil"/>
              <w:bottom w:val="single" w:sz="8" w:space="0" w:color="auto"/>
              <w:right w:val="nil"/>
            </w:tcBorders>
            <w:shd w:val="clear" w:color="auto" w:fill="auto"/>
            <w:vAlign w:val="bottom"/>
          </w:tcPr>
          <w:p w14:paraId="2DDF45E3" w14:textId="77777777" w:rsidR="00897733" w:rsidRPr="00F629B8" w:rsidRDefault="00897733" w:rsidP="0034622E">
            <w:pPr>
              <w:jc w:val="right"/>
              <w:rPr>
                <w:rFonts w:ascii="Arial" w:hAnsi="Arial" w:cs="Arial"/>
                <w:color w:val="000000"/>
                <w:sz w:val="17"/>
                <w:szCs w:val="17"/>
              </w:rPr>
            </w:pPr>
            <w:r w:rsidRPr="00F959D0">
              <w:rPr>
                <w:rFonts w:ascii="Arial" w:hAnsi="Arial" w:cs="Arial"/>
                <w:color w:val="000000"/>
                <w:sz w:val="17"/>
                <w:szCs w:val="17"/>
              </w:rPr>
              <w:t xml:space="preserve"> 2.705 </w:t>
            </w:r>
          </w:p>
        </w:tc>
        <w:tc>
          <w:tcPr>
            <w:tcW w:w="623" w:type="pct"/>
            <w:tcBorders>
              <w:left w:val="nil"/>
              <w:bottom w:val="single" w:sz="8" w:space="0" w:color="auto"/>
              <w:right w:val="nil"/>
            </w:tcBorders>
            <w:shd w:val="clear" w:color="auto" w:fill="auto"/>
            <w:vAlign w:val="bottom"/>
          </w:tcPr>
          <w:p w14:paraId="6988EE07" w14:textId="77777777" w:rsidR="00897733" w:rsidRPr="00F629B8" w:rsidRDefault="00897733" w:rsidP="0034622E">
            <w:pPr>
              <w:jc w:val="right"/>
              <w:rPr>
                <w:rFonts w:ascii="Arial" w:hAnsi="Arial" w:cs="Arial"/>
                <w:color w:val="000000"/>
                <w:sz w:val="17"/>
                <w:szCs w:val="17"/>
              </w:rPr>
            </w:pPr>
            <w:r w:rsidRPr="00F959D0">
              <w:rPr>
                <w:rFonts w:ascii="Arial" w:hAnsi="Arial" w:cs="Arial"/>
                <w:color w:val="000000"/>
                <w:sz w:val="17"/>
                <w:szCs w:val="17"/>
              </w:rPr>
              <w:t xml:space="preserve"> 318 </w:t>
            </w:r>
          </w:p>
        </w:tc>
        <w:tc>
          <w:tcPr>
            <w:tcW w:w="593" w:type="pct"/>
            <w:tcBorders>
              <w:left w:val="nil"/>
              <w:bottom w:val="nil"/>
              <w:right w:val="nil"/>
            </w:tcBorders>
            <w:shd w:val="clear" w:color="auto" w:fill="auto"/>
            <w:vAlign w:val="bottom"/>
          </w:tcPr>
          <w:p w14:paraId="45207735" w14:textId="77777777" w:rsidR="00897733" w:rsidRPr="00F629B8" w:rsidRDefault="00897733" w:rsidP="0034622E">
            <w:pPr>
              <w:jc w:val="right"/>
              <w:rPr>
                <w:rFonts w:ascii="Arial" w:hAnsi="Arial" w:cs="Arial"/>
                <w:color w:val="000000"/>
                <w:sz w:val="17"/>
                <w:szCs w:val="17"/>
              </w:rPr>
            </w:pPr>
            <w:r w:rsidRPr="00F959D0">
              <w:rPr>
                <w:rFonts w:ascii="Arial" w:hAnsi="Arial" w:cs="Arial"/>
                <w:color w:val="000000"/>
                <w:sz w:val="17"/>
                <w:szCs w:val="17"/>
              </w:rPr>
              <w:t xml:space="preserve"> 12.285 </w:t>
            </w:r>
          </w:p>
        </w:tc>
      </w:tr>
      <w:tr w:rsidR="00897733" w:rsidRPr="00BF22C7" w14:paraId="5EE15277" w14:textId="77777777" w:rsidTr="0034622E">
        <w:trPr>
          <w:trHeight w:val="161"/>
        </w:trPr>
        <w:tc>
          <w:tcPr>
            <w:tcW w:w="1637" w:type="pct"/>
          </w:tcPr>
          <w:p w14:paraId="0E0784AE" w14:textId="77777777" w:rsidR="00897733" w:rsidRPr="005B35F4" w:rsidRDefault="00897733" w:rsidP="0034622E">
            <w:pPr>
              <w:pStyle w:val="Tot"/>
              <w:spacing w:line="220" w:lineRule="exact"/>
              <w:rPr>
                <w:rFonts w:cs="Arial"/>
                <w:b/>
                <w:bCs/>
                <w:color w:val="000000" w:themeColor="text1"/>
                <w:sz w:val="17"/>
                <w:szCs w:val="17"/>
                <w:lang w:val="hr-HR"/>
              </w:rPr>
            </w:pPr>
            <w:r w:rsidRPr="005B35F4">
              <w:rPr>
                <w:rFonts w:cs="Arial"/>
                <w:b/>
                <w:bCs/>
                <w:color w:val="000000" w:themeColor="text1"/>
                <w:sz w:val="17"/>
                <w:szCs w:val="17"/>
                <w:lang w:val="hr-HR"/>
              </w:rPr>
              <w:t xml:space="preserve">Ukupna imovina </w:t>
            </w:r>
          </w:p>
        </w:tc>
        <w:tc>
          <w:tcPr>
            <w:tcW w:w="547" w:type="pct"/>
            <w:tcBorders>
              <w:top w:val="nil"/>
              <w:left w:val="nil"/>
              <w:bottom w:val="single" w:sz="8" w:space="0" w:color="auto"/>
              <w:right w:val="nil"/>
            </w:tcBorders>
            <w:shd w:val="clear" w:color="auto" w:fill="auto"/>
            <w:vAlign w:val="bottom"/>
          </w:tcPr>
          <w:p w14:paraId="5179C21B" w14:textId="77777777" w:rsidR="00897733" w:rsidRPr="005B35F4" w:rsidRDefault="00897733" w:rsidP="0034622E">
            <w:pPr>
              <w:jc w:val="right"/>
              <w:rPr>
                <w:rFonts w:ascii="Arial" w:hAnsi="Arial" w:cs="Arial"/>
                <w:b/>
                <w:bCs/>
                <w:color w:val="000000"/>
                <w:sz w:val="17"/>
                <w:szCs w:val="17"/>
              </w:rPr>
            </w:pPr>
            <w:r w:rsidRPr="00F959D0">
              <w:rPr>
                <w:rFonts w:ascii="Arial" w:hAnsi="Arial" w:cs="Arial"/>
                <w:b/>
                <w:bCs/>
                <w:color w:val="000000"/>
                <w:sz w:val="17"/>
                <w:szCs w:val="17"/>
              </w:rPr>
              <w:t xml:space="preserve"> 710.381 </w:t>
            </w:r>
          </w:p>
        </w:tc>
        <w:tc>
          <w:tcPr>
            <w:tcW w:w="534" w:type="pct"/>
            <w:tcBorders>
              <w:top w:val="nil"/>
              <w:left w:val="nil"/>
              <w:bottom w:val="single" w:sz="8" w:space="0" w:color="auto"/>
              <w:right w:val="nil"/>
            </w:tcBorders>
            <w:shd w:val="clear" w:color="auto" w:fill="auto"/>
            <w:vAlign w:val="bottom"/>
          </w:tcPr>
          <w:p w14:paraId="471856CE" w14:textId="77777777" w:rsidR="00897733" w:rsidRPr="005B35F4" w:rsidRDefault="00897733" w:rsidP="0034622E">
            <w:pPr>
              <w:jc w:val="right"/>
              <w:rPr>
                <w:rFonts w:ascii="Arial" w:hAnsi="Arial" w:cs="Arial"/>
                <w:b/>
                <w:bCs/>
                <w:color w:val="000000"/>
                <w:sz w:val="17"/>
                <w:szCs w:val="17"/>
              </w:rPr>
            </w:pPr>
            <w:r w:rsidRPr="00F959D0">
              <w:rPr>
                <w:rFonts w:ascii="Arial" w:hAnsi="Arial" w:cs="Arial"/>
                <w:b/>
                <w:bCs/>
                <w:color w:val="000000"/>
                <w:sz w:val="17"/>
                <w:szCs w:val="17"/>
              </w:rPr>
              <w:t xml:space="preserve"> 216.545 </w:t>
            </w:r>
          </w:p>
        </w:tc>
        <w:tc>
          <w:tcPr>
            <w:tcW w:w="528" w:type="pct"/>
            <w:tcBorders>
              <w:top w:val="nil"/>
              <w:left w:val="nil"/>
              <w:bottom w:val="single" w:sz="8" w:space="0" w:color="auto"/>
              <w:right w:val="nil"/>
            </w:tcBorders>
            <w:shd w:val="clear" w:color="auto" w:fill="auto"/>
            <w:vAlign w:val="bottom"/>
          </w:tcPr>
          <w:p w14:paraId="0BC7043E" w14:textId="77777777" w:rsidR="00897733" w:rsidRPr="005B35F4" w:rsidRDefault="00897733" w:rsidP="0034622E">
            <w:pPr>
              <w:jc w:val="right"/>
              <w:rPr>
                <w:rFonts w:ascii="Arial" w:hAnsi="Arial" w:cs="Arial"/>
                <w:b/>
                <w:bCs/>
                <w:color w:val="000000"/>
                <w:sz w:val="17"/>
                <w:szCs w:val="17"/>
              </w:rPr>
            </w:pPr>
            <w:r w:rsidRPr="00F959D0">
              <w:rPr>
                <w:rFonts w:ascii="Arial" w:hAnsi="Arial" w:cs="Arial"/>
                <w:b/>
                <w:bCs/>
                <w:color w:val="000000"/>
                <w:sz w:val="17"/>
                <w:szCs w:val="17"/>
              </w:rPr>
              <w:t xml:space="preserve"> 419.639 </w:t>
            </w:r>
          </w:p>
        </w:tc>
        <w:tc>
          <w:tcPr>
            <w:tcW w:w="538" w:type="pct"/>
            <w:tcBorders>
              <w:top w:val="nil"/>
              <w:left w:val="nil"/>
              <w:bottom w:val="single" w:sz="8" w:space="0" w:color="auto"/>
              <w:right w:val="nil"/>
            </w:tcBorders>
            <w:shd w:val="clear" w:color="auto" w:fill="auto"/>
            <w:vAlign w:val="bottom"/>
          </w:tcPr>
          <w:p w14:paraId="6CFA651C" w14:textId="77777777" w:rsidR="00897733" w:rsidRPr="005B35F4" w:rsidRDefault="00897733" w:rsidP="0034622E">
            <w:pPr>
              <w:jc w:val="right"/>
              <w:rPr>
                <w:rFonts w:ascii="Arial" w:hAnsi="Arial" w:cs="Arial"/>
                <w:b/>
                <w:bCs/>
                <w:color w:val="000000"/>
                <w:sz w:val="17"/>
                <w:szCs w:val="17"/>
              </w:rPr>
            </w:pPr>
            <w:r w:rsidRPr="00F959D0">
              <w:rPr>
                <w:rFonts w:ascii="Arial" w:hAnsi="Arial" w:cs="Arial"/>
                <w:b/>
                <w:bCs/>
                <w:color w:val="000000"/>
                <w:sz w:val="17"/>
                <w:szCs w:val="17"/>
              </w:rPr>
              <w:t xml:space="preserve"> 929.841 </w:t>
            </w:r>
          </w:p>
        </w:tc>
        <w:tc>
          <w:tcPr>
            <w:tcW w:w="623" w:type="pct"/>
            <w:tcBorders>
              <w:top w:val="nil"/>
              <w:left w:val="nil"/>
              <w:bottom w:val="single" w:sz="8" w:space="0" w:color="auto"/>
              <w:right w:val="nil"/>
            </w:tcBorders>
            <w:shd w:val="clear" w:color="auto" w:fill="auto"/>
            <w:vAlign w:val="bottom"/>
          </w:tcPr>
          <w:p w14:paraId="5D05D1EA" w14:textId="77777777" w:rsidR="00897733" w:rsidRPr="005B35F4" w:rsidRDefault="00897733" w:rsidP="0034622E">
            <w:pPr>
              <w:jc w:val="right"/>
              <w:rPr>
                <w:rFonts w:ascii="Arial" w:hAnsi="Arial" w:cs="Arial"/>
                <w:b/>
                <w:bCs/>
                <w:color w:val="000000"/>
                <w:sz w:val="17"/>
                <w:szCs w:val="17"/>
              </w:rPr>
            </w:pPr>
            <w:r w:rsidRPr="00F959D0">
              <w:rPr>
                <w:rFonts w:ascii="Arial" w:hAnsi="Arial" w:cs="Arial"/>
                <w:b/>
                <w:bCs/>
                <w:color w:val="000000"/>
                <w:sz w:val="17"/>
                <w:szCs w:val="17"/>
              </w:rPr>
              <w:t xml:space="preserve"> 1.745.130 </w:t>
            </w:r>
          </w:p>
        </w:tc>
        <w:tc>
          <w:tcPr>
            <w:tcW w:w="593" w:type="pct"/>
            <w:tcBorders>
              <w:top w:val="single" w:sz="8" w:space="0" w:color="auto"/>
              <w:left w:val="nil"/>
              <w:bottom w:val="single" w:sz="8" w:space="0" w:color="auto"/>
              <w:right w:val="nil"/>
            </w:tcBorders>
            <w:shd w:val="clear" w:color="auto" w:fill="auto"/>
            <w:vAlign w:val="bottom"/>
          </w:tcPr>
          <w:p w14:paraId="4352E9D4" w14:textId="77777777" w:rsidR="00897733" w:rsidRPr="005B35F4" w:rsidRDefault="00897733" w:rsidP="0034622E">
            <w:pPr>
              <w:jc w:val="right"/>
              <w:rPr>
                <w:rFonts w:ascii="Arial" w:hAnsi="Arial" w:cs="Arial"/>
                <w:b/>
                <w:bCs/>
                <w:color w:val="000000"/>
                <w:sz w:val="17"/>
                <w:szCs w:val="17"/>
              </w:rPr>
            </w:pPr>
            <w:r w:rsidRPr="00F959D0">
              <w:rPr>
                <w:rFonts w:ascii="Arial" w:hAnsi="Arial" w:cs="Arial"/>
                <w:b/>
                <w:bCs/>
                <w:color w:val="000000"/>
                <w:sz w:val="17"/>
                <w:szCs w:val="17"/>
              </w:rPr>
              <w:t xml:space="preserve"> 4.021.536 </w:t>
            </w:r>
          </w:p>
        </w:tc>
      </w:tr>
      <w:tr w:rsidR="00897733" w:rsidRPr="005B35F4" w14:paraId="55DD4F58" w14:textId="77777777" w:rsidTr="0034622E">
        <w:trPr>
          <w:trHeight w:val="236"/>
        </w:trPr>
        <w:tc>
          <w:tcPr>
            <w:tcW w:w="1637" w:type="pct"/>
          </w:tcPr>
          <w:p w14:paraId="05258104" w14:textId="77777777" w:rsidR="00897733" w:rsidRPr="005B35F4" w:rsidRDefault="00897733" w:rsidP="0034622E">
            <w:pPr>
              <w:pStyle w:val="Thin"/>
              <w:spacing w:line="60" w:lineRule="exact"/>
              <w:rPr>
                <w:rFonts w:cs="Arial"/>
                <w:bCs/>
                <w:color w:val="000000" w:themeColor="text1"/>
                <w:sz w:val="17"/>
                <w:szCs w:val="17"/>
                <w:lang w:val="hr-HR"/>
              </w:rPr>
            </w:pPr>
          </w:p>
        </w:tc>
        <w:tc>
          <w:tcPr>
            <w:tcW w:w="547" w:type="pct"/>
            <w:tcBorders>
              <w:top w:val="single" w:sz="12" w:space="0" w:color="auto"/>
            </w:tcBorders>
            <w:vAlign w:val="bottom"/>
          </w:tcPr>
          <w:p w14:paraId="0AD32B82" w14:textId="77777777" w:rsidR="00897733" w:rsidRPr="005B35F4" w:rsidRDefault="00897733" w:rsidP="0034622E">
            <w:pPr>
              <w:jc w:val="right"/>
              <w:rPr>
                <w:rFonts w:ascii="Arial" w:hAnsi="Arial" w:cs="Arial"/>
                <w:color w:val="000000"/>
                <w:sz w:val="17"/>
                <w:szCs w:val="17"/>
              </w:rPr>
            </w:pPr>
          </w:p>
        </w:tc>
        <w:tc>
          <w:tcPr>
            <w:tcW w:w="534" w:type="pct"/>
            <w:tcBorders>
              <w:top w:val="single" w:sz="12" w:space="0" w:color="auto"/>
            </w:tcBorders>
            <w:vAlign w:val="bottom"/>
          </w:tcPr>
          <w:p w14:paraId="6238BE6A" w14:textId="77777777" w:rsidR="00897733" w:rsidRPr="005B35F4" w:rsidRDefault="00897733" w:rsidP="0034622E">
            <w:pPr>
              <w:jc w:val="right"/>
              <w:rPr>
                <w:rFonts w:ascii="Arial" w:hAnsi="Arial" w:cs="Arial"/>
                <w:color w:val="000000"/>
                <w:sz w:val="17"/>
                <w:szCs w:val="17"/>
              </w:rPr>
            </w:pPr>
          </w:p>
        </w:tc>
        <w:tc>
          <w:tcPr>
            <w:tcW w:w="528" w:type="pct"/>
            <w:tcBorders>
              <w:top w:val="single" w:sz="12" w:space="0" w:color="auto"/>
            </w:tcBorders>
            <w:vAlign w:val="bottom"/>
          </w:tcPr>
          <w:p w14:paraId="35EDDE72" w14:textId="77777777" w:rsidR="00897733" w:rsidRPr="005B35F4" w:rsidRDefault="00897733" w:rsidP="0034622E">
            <w:pPr>
              <w:jc w:val="right"/>
              <w:rPr>
                <w:rFonts w:ascii="Arial" w:hAnsi="Arial" w:cs="Arial"/>
                <w:color w:val="000000"/>
                <w:sz w:val="17"/>
                <w:szCs w:val="17"/>
              </w:rPr>
            </w:pPr>
          </w:p>
        </w:tc>
        <w:tc>
          <w:tcPr>
            <w:tcW w:w="538" w:type="pct"/>
            <w:tcBorders>
              <w:top w:val="single" w:sz="12" w:space="0" w:color="auto"/>
            </w:tcBorders>
            <w:vAlign w:val="bottom"/>
          </w:tcPr>
          <w:p w14:paraId="017B9183" w14:textId="77777777" w:rsidR="00897733" w:rsidRPr="005B35F4" w:rsidRDefault="00897733" w:rsidP="0034622E">
            <w:pPr>
              <w:jc w:val="right"/>
              <w:rPr>
                <w:rFonts w:ascii="Arial" w:hAnsi="Arial" w:cs="Arial"/>
                <w:color w:val="000000"/>
                <w:sz w:val="17"/>
                <w:szCs w:val="17"/>
              </w:rPr>
            </w:pPr>
          </w:p>
        </w:tc>
        <w:tc>
          <w:tcPr>
            <w:tcW w:w="623" w:type="pct"/>
            <w:tcBorders>
              <w:top w:val="single" w:sz="12" w:space="0" w:color="auto"/>
            </w:tcBorders>
            <w:vAlign w:val="bottom"/>
          </w:tcPr>
          <w:p w14:paraId="7C89F6BF" w14:textId="77777777" w:rsidR="00897733" w:rsidRPr="005B35F4" w:rsidRDefault="00897733" w:rsidP="0034622E">
            <w:pPr>
              <w:jc w:val="right"/>
              <w:rPr>
                <w:rFonts w:ascii="Arial" w:hAnsi="Arial" w:cs="Arial"/>
                <w:color w:val="000000"/>
                <w:sz w:val="17"/>
                <w:szCs w:val="17"/>
              </w:rPr>
            </w:pPr>
          </w:p>
        </w:tc>
        <w:tc>
          <w:tcPr>
            <w:tcW w:w="593" w:type="pct"/>
            <w:tcBorders>
              <w:top w:val="single" w:sz="12" w:space="0" w:color="auto"/>
            </w:tcBorders>
            <w:vAlign w:val="bottom"/>
          </w:tcPr>
          <w:p w14:paraId="53CC0B60" w14:textId="77777777" w:rsidR="00897733" w:rsidRPr="005B35F4" w:rsidRDefault="00897733" w:rsidP="0034622E">
            <w:pPr>
              <w:jc w:val="right"/>
              <w:rPr>
                <w:rFonts w:ascii="Arial" w:hAnsi="Arial" w:cs="Arial"/>
                <w:color w:val="000000"/>
                <w:sz w:val="17"/>
                <w:szCs w:val="17"/>
              </w:rPr>
            </w:pPr>
          </w:p>
        </w:tc>
      </w:tr>
      <w:tr w:rsidR="00897733" w:rsidRPr="005B35F4" w14:paraId="7344C96A" w14:textId="77777777" w:rsidTr="0034622E">
        <w:trPr>
          <w:trHeight w:val="161"/>
        </w:trPr>
        <w:tc>
          <w:tcPr>
            <w:tcW w:w="1637" w:type="pct"/>
          </w:tcPr>
          <w:p w14:paraId="2639CB45" w14:textId="77777777" w:rsidR="00897733" w:rsidRPr="005B35F4" w:rsidRDefault="00897733" w:rsidP="0034622E">
            <w:pPr>
              <w:pStyle w:val="TT"/>
              <w:spacing w:line="220" w:lineRule="exact"/>
              <w:rPr>
                <w:rFonts w:cs="Arial"/>
                <w:b/>
                <w:bCs/>
                <w:color w:val="000000" w:themeColor="text1"/>
                <w:sz w:val="17"/>
                <w:szCs w:val="17"/>
                <w:lang w:val="hr-HR"/>
              </w:rPr>
            </w:pPr>
            <w:r w:rsidRPr="005B35F4">
              <w:rPr>
                <w:rFonts w:cs="Arial"/>
                <w:b/>
                <w:bCs/>
                <w:color w:val="000000" w:themeColor="text1"/>
                <w:sz w:val="17"/>
                <w:szCs w:val="17"/>
                <w:lang w:val="hr-HR"/>
              </w:rPr>
              <w:t>Obveze</w:t>
            </w:r>
          </w:p>
        </w:tc>
        <w:tc>
          <w:tcPr>
            <w:tcW w:w="547" w:type="pct"/>
            <w:vAlign w:val="bottom"/>
          </w:tcPr>
          <w:p w14:paraId="1237E9EA" w14:textId="77777777" w:rsidR="00897733" w:rsidRPr="005B35F4" w:rsidRDefault="00897733" w:rsidP="0034622E">
            <w:pPr>
              <w:jc w:val="right"/>
              <w:rPr>
                <w:rFonts w:ascii="Arial" w:hAnsi="Arial" w:cs="Arial"/>
                <w:color w:val="000000"/>
                <w:sz w:val="17"/>
                <w:szCs w:val="17"/>
              </w:rPr>
            </w:pPr>
          </w:p>
        </w:tc>
        <w:tc>
          <w:tcPr>
            <w:tcW w:w="534" w:type="pct"/>
            <w:vAlign w:val="bottom"/>
          </w:tcPr>
          <w:p w14:paraId="0615734E" w14:textId="77777777" w:rsidR="00897733" w:rsidRPr="005B35F4" w:rsidRDefault="00897733" w:rsidP="0034622E">
            <w:pPr>
              <w:jc w:val="right"/>
              <w:rPr>
                <w:rFonts w:ascii="Arial" w:hAnsi="Arial" w:cs="Arial"/>
                <w:color w:val="000000"/>
                <w:sz w:val="17"/>
                <w:szCs w:val="17"/>
              </w:rPr>
            </w:pPr>
          </w:p>
        </w:tc>
        <w:tc>
          <w:tcPr>
            <w:tcW w:w="528" w:type="pct"/>
            <w:vAlign w:val="bottom"/>
          </w:tcPr>
          <w:p w14:paraId="7FF51AC6" w14:textId="77777777" w:rsidR="00897733" w:rsidRPr="005B35F4" w:rsidRDefault="00897733" w:rsidP="0034622E">
            <w:pPr>
              <w:jc w:val="right"/>
              <w:rPr>
                <w:rFonts w:ascii="Arial" w:hAnsi="Arial" w:cs="Arial"/>
                <w:color w:val="000000"/>
                <w:sz w:val="17"/>
                <w:szCs w:val="17"/>
              </w:rPr>
            </w:pPr>
          </w:p>
        </w:tc>
        <w:tc>
          <w:tcPr>
            <w:tcW w:w="538" w:type="pct"/>
            <w:vAlign w:val="bottom"/>
          </w:tcPr>
          <w:p w14:paraId="79111AE8" w14:textId="77777777" w:rsidR="00897733" w:rsidRPr="005B35F4" w:rsidRDefault="00897733" w:rsidP="0034622E">
            <w:pPr>
              <w:jc w:val="right"/>
              <w:rPr>
                <w:rFonts w:ascii="Arial" w:hAnsi="Arial" w:cs="Arial"/>
                <w:color w:val="000000"/>
                <w:sz w:val="17"/>
                <w:szCs w:val="17"/>
              </w:rPr>
            </w:pPr>
          </w:p>
        </w:tc>
        <w:tc>
          <w:tcPr>
            <w:tcW w:w="623" w:type="pct"/>
            <w:vAlign w:val="bottom"/>
          </w:tcPr>
          <w:p w14:paraId="20423596" w14:textId="77777777" w:rsidR="00897733" w:rsidRPr="005B35F4" w:rsidRDefault="00897733" w:rsidP="0034622E">
            <w:pPr>
              <w:jc w:val="right"/>
              <w:rPr>
                <w:rFonts w:ascii="Arial" w:hAnsi="Arial" w:cs="Arial"/>
                <w:color w:val="000000"/>
                <w:sz w:val="17"/>
                <w:szCs w:val="17"/>
              </w:rPr>
            </w:pPr>
          </w:p>
        </w:tc>
        <w:tc>
          <w:tcPr>
            <w:tcW w:w="593" w:type="pct"/>
            <w:vAlign w:val="bottom"/>
          </w:tcPr>
          <w:p w14:paraId="270E8659" w14:textId="77777777" w:rsidR="00897733" w:rsidRPr="005B35F4" w:rsidRDefault="00897733" w:rsidP="0034622E">
            <w:pPr>
              <w:jc w:val="right"/>
              <w:rPr>
                <w:rFonts w:ascii="Arial" w:hAnsi="Arial" w:cs="Arial"/>
                <w:color w:val="000000"/>
                <w:sz w:val="17"/>
                <w:szCs w:val="17"/>
              </w:rPr>
            </w:pPr>
          </w:p>
        </w:tc>
      </w:tr>
      <w:tr w:rsidR="00897733" w:rsidRPr="005B35F4" w14:paraId="56E44D6F" w14:textId="77777777" w:rsidTr="0034622E">
        <w:trPr>
          <w:trHeight w:val="161"/>
        </w:trPr>
        <w:tc>
          <w:tcPr>
            <w:tcW w:w="1637" w:type="pct"/>
          </w:tcPr>
          <w:p w14:paraId="30EFD37B" w14:textId="77777777" w:rsidR="00897733" w:rsidRPr="005B35F4" w:rsidRDefault="00897733" w:rsidP="0034622E">
            <w:pPr>
              <w:pStyle w:val="TT"/>
              <w:spacing w:line="220" w:lineRule="exact"/>
              <w:rPr>
                <w:rFonts w:cs="Arial"/>
                <w:color w:val="000000" w:themeColor="text1"/>
                <w:sz w:val="17"/>
                <w:szCs w:val="17"/>
                <w:lang w:val="hr-HR"/>
              </w:rPr>
            </w:pPr>
            <w:r w:rsidRPr="005B35F4">
              <w:rPr>
                <w:rFonts w:cs="Arial"/>
                <w:color w:val="000000" w:themeColor="text1"/>
                <w:spacing w:val="-2"/>
                <w:sz w:val="17"/>
                <w:szCs w:val="17"/>
                <w:lang w:val="hr-HR"/>
              </w:rPr>
              <w:t>Obveze po depozitima</w:t>
            </w:r>
          </w:p>
        </w:tc>
        <w:tc>
          <w:tcPr>
            <w:tcW w:w="547" w:type="pct"/>
            <w:tcBorders>
              <w:top w:val="nil"/>
              <w:left w:val="nil"/>
              <w:bottom w:val="nil"/>
              <w:right w:val="nil"/>
            </w:tcBorders>
            <w:shd w:val="clear" w:color="auto" w:fill="auto"/>
            <w:vAlign w:val="bottom"/>
          </w:tcPr>
          <w:p w14:paraId="7B90E5C7" w14:textId="77777777" w:rsidR="00897733" w:rsidRPr="005B35F4" w:rsidRDefault="00897733" w:rsidP="0034622E">
            <w:pPr>
              <w:jc w:val="right"/>
              <w:rPr>
                <w:rFonts w:ascii="Arial" w:hAnsi="Arial" w:cs="Arial"/>
                <w:color w:val="000000"/>
                <w:sz w:val="17"/>
                <w:szCs w:val="17"/>
              </w:rPr>
            </w:pPr>
            <w:r w:rsidRPr="00F959D0">
              <w:rPr>
                <w:rFonts w:ascii="Arial" w:hAnsi="Arial" w:cs="Arial"/>
                <w:color w:val="000000"/>
                <w:sz w:val="17"/>
                <w:szCs w:val="17"/>
              </w:rPr>
              <w:t xml:space="preserve"> 148.059 </w:t>
            </w:r>
          </w:p>
        </w:tc>
        <w:tc>
          <w:tcPr>
            <w:tcW w:w="534" w:type="pct"/>
            <w:tcBorders>
              <w:top w:val="nil"/>
              <w:left w:val="nil"/>
              <w:bottom w:val="nil"/>
              <w:right w:val="nil"/>
            </w:tcBorders>
            <w:shd w:val="clear" w:color="auto" w:fill="auto"/>
            <w:vAlign w:val="bottom"/>
          </w:tcPr>
          <w:p w14:paraId="00CC0A2B" w14:textId="77777777" w:rsidR="00897733" w:rsidRPr="005B35F4" w:rsidRDefault="00897733" w:rsidP="0034622E">
            <w:pPr>
              <w:jc w:val="right"/>
              <w:rPr>
                <w:rFonts w:ascii="Arial" w:hAnsi="Arial" w:cs="Arial"/>
                <w:color w:val="000000"/>
                <w:sz w:val="17"/>
                <w:szCs w:val="17"/>
              </w:rPr>
            </w:pPr>
            <w:r w:rsidRPr="00F959D0">
              <w:rPr>
                <w:rFonts w:ascii="Arial" w:hAnsi="Arial" w:cs="Arial"/>
                <w:color w:val="000000"/>
                <w:sz w:val="17"/>
                <w:szCs w:val="17"/>
              </w:rPr>
              <w:t xml:space="preserve"> 12.586 </w:t>
            </w:r>
          </w:p>
        </w:tc>
        <w:tc>
          <w:tcPr>
            <w:tcW w:w="528" w:type="pct"/>
            <w:tcBorders>
              <w:top w:val="nil"/>
              <w:left w:val="nil"/>
              <w:bottom w:val="nil"/>
              <w:right w:val="nil"/>
            </w:tcBorders>
            <w:shd w:val="clear" w:color="auto" w:fill="auto"/>
            <w:vAlign w:val="bottom"/>
          </w:tcPr>
          <w:p w14:paraId="2EAEC54D" w14:textId="77777777" w:rsidR="00897733" w:rsidRPr="005B35F4" w:rsidRDefault="00897733" w:rsidP="0034622E">
            <w:pPr>
              <w:jc w:val="right"/>
              <w:rPr>
                <w:rFonts w:ascii="Arial" w:hAnsi="Arial" w:cs="Arial"/>
                <w:color w:val="000000"/>
                <w:sz w:val="17"/>
                <w:szCs w:val="17"/>
              </w:rPr>
            </w:pPr>
            <w:r w:rsidRPr="00F959D0">
              <w:rPr>
                <w:rFonts w:ascii="Arial" w:hAnsi="Arial" w:cs="Arial"/>
                <w:color w:val="000000"/>
                <w:sz w:val="17"/>
                <w:szCs w:val="17"/>
              </w:rPr>
              <w:t xml:space="preserve"> 18.604 </w:t>
            </w:r>
          </w:p>
        </w:tc>
        <w:tc>
          <w:tcPr>
            <w:tcW w:w="538" w:type="pct"/>
            <w:tcBorders>
              <w:top w:val="nil"/>
              <w:left w:val="nil"/>
              <w:bottom w:val="nil"/>
              <w:right w:val="nil"/>
            </w:tcBorders>
            <w:shd w:val="clear" w:color="auto" w:fill="auto"/>
            <w:vAlign w:val="bottom"/>
          </w:tcPr>
          <w:p w14:paraId="01D3DEDD" w14:textId="77777777" w:rsidR="00897733" w:rsidRPr="005B35F4" w:rsidRDefault="00897733" w:rsidP="0034622E">
            <w:pPr>
              <w:jc w:val="right"/>
              <w:rPr>
                <w:rFonts w:ascii="Arial" w:hAnsi="Arial" w:cs="Arial"/>
                <w:color w:val="000000"/>
                <w:sz w:val="17"/>
                <w:szCs w:val="17"/>
              </w:rPr>
            </w:pPr>
            <w:r w:rsidRPr="00F959D0">
              <w:rPr>
                <w:rFonts w:ascii="Arial" w:hAnsi="Arial" w:cs="Arial"/>
                <w:color w:val="000000"/>
                <w:sz w:val="17"/>
                <w:szCs w:val="17"/>
              </w:rPr>
              <w:t xml:space="preserve"> 46 </w:t>
            </w:r>
          </w:p>
        </w:tc>
        <w:tc>
          <w:tcPr>
            <w:tcW w:w="623" w:type="pct"/>
            <w:tcBorders>
              <w:top w:val="nil"/>
              <w:left w:val="nil"/>
              <w:bottom w:val="nil"/>
              <w:right w:val="nil"/>
            </w:tcBorders>
            <w:shd w:val="clear" w:color="auto" w:fill="auto"/>
            <w:vAlign w:val="bottom"/>
          </w:tcPr>
          <w:p w14:paraId="381972A1" w14:textId="77777777" w:rsidR="00897733" w:rsidRPr="005B35F4" w:rsidRDefault="00897733" w:rsidP="0034622E">
            <w:pPr>
              <w:jc w:val="right"/>
              <w:rPr>
                <w:rFonts w:ascii="Arial" w:hAnsi="Arial" w:cs="Arial"/>
                <w:color w:val="000000"/>
                <w:sz w:val="17"/>
                <w:szCs w:val="17"/>
              </w:rPr>
            </w:pPr>
            <w:r w:rsidRPr="00F959D0">
              <w:rPr>
                <w:rFonts w:ascii="Arial" w:hAnsi="Arial" w:cs="Arial"/>
                <w:color w:val="000000"/>
                <w:sz w:val="17"/>
                <w:szCs w:val="17"/>
              </w:rPr>
              <w:t xml:space="preserve"> 15.581 </w:t>
            </w:r>
          </w:p>
        </w:tc>
        <w:tc>
          <w:tcPr>
            <w:tcW w:w="593" w:type="pct"/>
            <w:tcBorders>
              <w:top w:val="nil"/>
              <w:left w:val="nil"/>
              <w:bottom w:val="nil"/>
              <w:right w:val="nil"/>
            </w:tcBorders>
            <w:shd w:val="clear" w:color="auto" w:fill="auto"/>
            <w:vAlign w:val="bottom"/>
          </w:tcPr>
          <w:p w14:paraId="434F5E5F" w14:textId="77777777" w:rsidR="00897733" w:rsidRPr="005B35F4" w:rsidRDefault="00897733" w:rsidP="0034622E">
            <w:pPr>
              <w:jc w:val="right"/>
              <w:rPr>
                <w:rFonts w:ascii="Arial" w:hAnsi="Arial" w:cs="Arial"/>
                <w:color w:val="000000"/>
                <w:sz w:val="17"/>
                <w:szCs w:val="17"/>
              </w:rPr>
            </w:pPr>
            <w:r w:rsidRPr="00F959D0">
              <w:rPr>
                <w:rFonts w:ascii="Arial" w:hAnsi="Arial" w:cs="Arial"/>
                <w:color w:val="000000"/>
                <w:sz w:val="17"/>
                <w:szCs w:val="17"/>
              </w:rPr>
              <w:t xml:space="preserve"> 194.876 </w:t>
            </w:r>
          </w:p>
        </w:tc>
      </w:tr>
      <w:tr w:rsidR="00897733" w:rsidRPr="005B35F4" w14:paraId="171426B7" w14:textId="77777777" w:rsidTr="0034622E">
        <w:trPr>
          <w:trHeight w:val="153"/>
        </w:trPr>
        <w:tc>
          <w:tcPr>
            <w:tcW w:w="1637" w:type="pct"/>
          </w:tcPr>
          <w:p w14:paraId="0F7B7CE2" w14:textId="77777777" w:rsidR="00897733" w:rsidRPr="005B35F4" w:rsidRDefault="00897733" w:rsidP="0034622E">
            <w:pPr>
              <w:pStyle w:val="TT"/>
              <w:spacing w:line="220" w:lineRule="exact"/>
              <w:rPr>
                <w:rFonts w:cs="Arial"/>
                <w:color w:val="000000" w:themeColor="text1"/>
                <w:sz w:val="17"/>
                <w:szCs w:val="17"/>
                <w:lang w:val="hr-HR"/>
              </w:rPr>
            </w:pPr>
            <w:r w:rsidRPr="005B35F4">
              <w:rPr>
                <w:rFonts w:cs="Arial"/>
                <w:color w:val="000000" w:themeColor="text1"/>
                <w:spacing w:val="-2"/>
                <w:sz w:val="17"/>
                <w:szCs w:val="17"/>
                <w:lang w:val="hr-HR"/>
              </w:rPr>
              <w:t>Obveze po kreditima</w:t>
            </w:r>
          </w:p>
        </w:tc>
        <w:tc>
          <w:tcPr>
            <w:tcW w:w="547" w:type="pct"/>
            <w:tcBorders>
              <w:top w:val="nil"/>
              <w:left w:val="nil"/>
              <w:bottom w:val="nil"/>
              <w:right w:val="nil"/>
            </w:tcBorders>
            <w:shd w:val="clear" w:color="auto" w:fill="auto"/>
            <w:vAlign w:val="bottom"/>
          </w:tcPr>
          <w:p w14:paraId="0F72B09D" w14:textId="77777777" w:rsidR="00897733" w:rsidRPr="005B35F4" w:rsidRDefault="00897733" w:rsidP="0034622E">
            <w:pPr>
              <w:jc w:val="right"/>
              <w:rPr>
                <w:rFonts w:ascii="Arial" w:hAnsi="Arial" w:cs="Arial"/>
                <w:color w:val="000000"/>
                <w:sz w:val="17"/>
                <w:szCs w:val="17"/>
              </w:rPr>
            </w:pPr>
            <w:r w:rsidRPr="00F959D0">
              <w:rPr>
                <w:rFonts w:ascii="Arial" w:hAnsi="Arial" w:cs="Arial"/>
                <w:color w:val="000000"/>
                <w:sz w:val="17"/>
                <w:szCs w:val="17"/>
              </w:rPr>
              <w:t xml:space="preserve"> 59.784 </w:t>
            </w:r>
          </w:p>
        </w:tc>
        <w:tc>
          <w:tcPr>
            <w:tcW w:w="534" w:type="pct"/>
            <w:tcBorders>
              <w:top w:val="nil"/>
              <w:left w:val="nil"/>
              <w:bottom w:val="nil"/>
              <w:right w:val="nil"/>
            </w:tcBorders>
            <w:shd w:val="clear" w:color="auto" w:fill="auto"/>
            <w:vAlign w:val="bottom"/>
          </w:tcPr>
          <w:p w14:paraId="3DEE2797" w14:textId="77777777" w:rsidR="00897733" w:rsidRPr="005B35F4" w:rsidRDefault="00897733" w:rsidP="0034622E">
            <w:pPr>
              <w:jc w:val="right"/>
              <w:rPr>
                <w:rFonts w:ascii="Arial" w:hAnsi="Arial" w:cs="Arial"/>
                <w:color w:val="000000"/>
                <w:sz w:val="17"/>
                <w:szCs w:val="17"/>
              </w:rPr>
            </w:pPr>
            <w:r w:rsidRPr="00F959D0">
              <w:rPr>
                <w:rFonts w:ascii="Arial" w:hAnsi="Arial" w:cs="Arial"/>
                <w:color w:val="000000"/>
                <w:sz w:val="17"/>
                <w:szCs w:val="17"/>
              </w:rPr>
              <w:t>167.701</w:t>
            </w:r>
            <w:r>
              <w:rPr>
                <w:rFonts w:ascii="Arial" w:hAnsi="Arial" w:cs="Arial"/>
                <w:color w:val="000000"/>
                <w:sz w:val="17"/>
                <w:szCs w:val="17"/>
              </w:rPr>
              <w:t>**</w:t>
            </w:r>
            <w:r w:rsidRPr="00F959D0">
              <w:rPr>
                <w:rFonts w:ascii="Arial" w:hAnsi="Arial" w:cs="Arial"/>
                <w:color w:val="000000"/>
                <w:sz w:val="17"/>
                <w:szCs w:val="17"/>
              </w:rPr>
              <w:t xml:space="preserve"> </w:t>
            </w:r>
          </w:p>
        </w:tc>
        <w:tc>
          <w:tcPr>
            <w:tcW w:w="528" w:type="pct"/>
            <w:tcBorders>
              <w:top w:val="nil"/>
              <w:left w:val="nil"/>
              <w:bottom w:val="nil"/>
              <w:right w:val="nil"/>
            </w:tcBorders>
            <w:shd w:val="clear" w:color="auto" w:fill="auto"/>
            <w:vAlign w:val="bottom"/>
          </w:tcPr>
          <w:p w14:paraId="74719A4D" w14:textId="77777777" w:rsidR="00897733" w:rsidRPr="005B35F4" w:rsidRDefault="00897733" w:rsidP="0034622E">
            <w:pPr>
              <w:jc w:val="right"/>
              <w:rPr>
                <w:rFonts w:ascii="Arial" w:hAnsi="Arial" w:cs="Arial"/>
                <w:color w:val="000000"/>
                <w:sz w:val="17"/>
                <w:szCs w:val="17"/>
              </w:rPr>
            </w:pPr>
            <w:r w:rsidRPr="00F959D0">
              <w:rPr>
                <w:rFonts w:ascii="Arial" w:hAnsi="Arial" w:cs="Arial"/>
                <w:color w:val="000000"/>
                <w:sz w:val="17"/>
                <w:szCs w:val="17"/>
              </w:rPr>
              <w:t xml:space="preserve"> 262.670 </w:t>
            </w:r>
          </w:p>
        </w:tc>
        <w:tc>
          <w:tcPr>
            <w:tcW w:w="538" w:type="pct"/>
            <w:tcBorders>
              <w:top w:val="nil"/>
              <w:left w:val="nil"/>
              <w:bottom w:val="nil"/>
              <w:right w:val="nil"/>
            </w:tcBorders>
            <w:shd w:val="clear" w:color="auto" w:fill="auto"/>
            <w:vAlign w:val="bottom"/>
          </w:tcPr>
          <w:p w14:paraId="453982FE" w14:textId="77777777" w:rsidR="00897733" w:rsidRPr="005B35F4" w:rsidRDefault="00897733" w:rsidP="0034622E">
            <w:pPr>
              <w:jc w:val="right"/>
              <w:rPr>
                <w:rFonts w:ascii="Arial" w:hAnsi="Arial" w:cs="Arial"/>
                <w:color w:val="000000"/>
                <w:sz w:val="17"/>
                <w:szCs w:val="17"/>
              </w:rPr>
            </w:pPr>
            <w:r w:rsidRPr="00F959D0">
              <w:rPr>
                <w:rFonts w:ascii="Arial" w:hAnsi="Arial" w:cs="Arial"/>
                <w:color w:val="000000"/>
                <w:sz w:val="17"/>
                <w:szCs w:val="17"/>
              </w:rPr>
              <w:t xml:space="preserve"> 640.802 </w:t>
            </w:r>
          </w:p>
        </w:tc>
        <w:tc>
          <w:tcPr>
            <w:tcW w:w="623" w:type="pct"/>
            <w:tcBorders>
              <w:top w:val="nil"/>
              <w:left w:val="nil"/>
              <w:bottom w:val="nil"/>
              <w:right w:val="nil"/>
            </w:tcBorders>
            <w:shd w:val="clear" w:color="auto" w:fill="auto"/>
            <w:vAlign w:val="bottom"/>
          </w:tcPr>
          <w:p w14:paraId="4A633066" w14:textId="77777777" w:rsidR="00897733" w:rsidRPr="005B35F4" w:rsidRDefault="00897733" w:rsidP="0034622E">
            <w:pPr>
              <w:jc w:val="right"/>
              <w:rPr>
                <w:rFonts w:ascii="Arial" w:hAnsi="Arial" w:cs="Arial"/>
                <w:color w:val="000000"/>
                <w:sz w:val="17"/>
                <w:szCs w:val="17"/>
              </w:rPr>
            </w:pPr>
            <w:r w:rsidRPr="00F959D0">
              <w:rPr>
                <w:rFonts w:ascii="Arial" w:hAnsi="Arial" w:cs="Arial"/>
                <w:color w:val="000000"/>
                <w:sz w:val="17"/>
                <w:szCs w:val="17"/>
              </w:rPr>
              <w:t xml:space="preserve"> 1.120.219 </w:t>
            </w:r>
          </w:p>
        </w:tc>
        <w:tc>
          <w:tcPr>
            <w:tcW w:w="593" w:type="pct"/>
            <w:tcBorders>
              <w:top w:val="nil"/>
              <w:left w:val="nil"/>
              <w:bottom w:val="nil"/>
              <w:right w:val="nil"/>
            </w:tcBorders>
            <w:shd w:val="clear" w:color="auto" w:fill="auto"/>
            <w:vAlign w:val="bottom"/>
          </w:tcPr>
          <w:p w14:paraId="5A44A8FF" w14:textId="77777777" w:rsidR="00897733" w:rsidRPr="005B35F4" w:rsidRDefault="00897733" w:rsidP="0034622E">
            <w:pPr>
              <w:jc w:val="right"/>
              <w:rPr>
                <w:rFonts w:ascii="Arial" w:hAnsi="Arial" w:cs="Arial"/>
                <w:color w:val="000000"/>
                <w:sz w:val="17"/>
                <w:szCs w:val="17"/>
              </w:rPr>
            </w:pPr>
            <w:r w:rsidRPr="00F959D0">
              <w:rPr>
                <w:rFonts w:ascii="Arial" w:hAnsi="Arial" w:cs="Arial"/>
                <w:color w:val="000000"/>
                <w:sz w:val="17"/>
                <w:szCs w:val="17"/>
              </w:rPr>
              <w:t xml:space="preserve"> 2.251.176 </w:t>
            </w:r>
          </w:p>
        </w:tc>
      </w:tr>
      <w:tr w:rsidR="00897733" w:rsidRPr="005B35F4" w14:paraId="0C17E9A6" w14:textId="77777777" w:rsidTr="0034622E">
        <w:trPr>
          <w:trHeight w:val="315"/>
        </w:trPr>
        <w:tc>
          <w:tcPr>
            <w:tcW w:w="1637" w:type="pct"/>
            <w:vAlign w:val="bottom"/>
          </w:tcPr>
          <w:p w14:paraId="7B1DF96B" w14:textId="77777777" w:rsidR="00897733" w:rsidRPr="005B35F4" w:rsidRDefault="00897733" w:rsidP="0034622E">
            <w:pPr>
              <w:pStyle w:val="TT"/>
              <w:spacing w:line="220" w:lineRule="exact"/>
              <w:rPr>
                <w:rFonts w:cs="Arial"/>
                <w:color w:val="000000" w:themeColor="text1"/>
                <w:spacing w:val="-2"/>
                <w:sz w:val="17"/>
                <w:szCs w:val="17"/>
                <w:lang w:val="hr-HR"/>
              </w:rPr>
            </w:pPr>
            <w:r w:rsidRPr="005B35F4">
              <w:rPr>
                <w:rFonts w:cs="Arial"/>
                <w:color w:val="000000" w:themeColor="text1"/>
                <w:spacing w:val="-2"/>
                <w:sz w:val="17"/>
                <w:szCs w:val="17"/>
                <w:lang w:val="hr-HR"/>
              </w:rPr>
              <w:t>Rezerviranja za garancije, preuzete i ostale obveze</w:t>
            </w:r>
          </w:p>
        </w:tc>
        <w:tc>
          <w:tcPr>
            <w:tcW w:w="547" w:type="pct"/>
            <w:tcBorders>
              <w:top w:val="nil"/>
              <w:left w:val="nil"/>
              <w:bottom w:val="nil"/>
              <w:right w:val="nil"/>
            </w:tcBorders>
            <w:shd w:val="clear" w:color="auto" w:fill="auto"/>
            <w:vAlign w:val="bottom"/>
          </w:tcPr>
          <w:p w14:paraId="47F66DE4" w14:textId="77777777" w:rsidR="00897733" w:rsidRPr="005B35F4" w:rsidDel="00F864B4" w:rsidRDefault="00897733" w:rsidP="0034622E">
            <w:pPr>
              <w:jc w:val="right"/>
              <w:rPr>
                <w:rFonts w:ascii="Arial" w:hAnsi="Arial" w:cs="Arial"/>
                <w:color w:val="000000"/>
                <w:sz w:val="17"/>
                <w:szCs w:val="17"/>
              </w:rPr>
            </w:pPr>
            <w:r w:rsidRPr="00F959D0">
              <w:rPr>
                <w:rFonts w:ascii="Arial" w:hAnsi="Arial" w:cs="Arial"/>
                <w:color w:val="000000"/>
                <w:sz w:val="17"/>
                <w:szCs w:val="17"/>
              </w:rPr>
              <w:t xml:space="preserve"> 10.561 </w:t>
            </w:r>
          </w:p>
        </w:tc>
        <w:tc>
          <w:tcPr>
            <w:tcW w:w="534" w:type="pct"/>
            <w:tcBorders>
              <w:top w:val="nil"/>
              <w:left w:val="nil"/>
              <w:bottom w:val="nil"/>
              <w:right w:val="nil"/>
            </w:tcBorders>
            <w:shd w:val="clear" w:color="auto" w:fill="auto"/>
            <w:vAlign w:val="bottom"/>
          </w:tcPr>
          <w:p w14:paraId="53E28C95" w14:textId="77777777" w:rsidR="00897733" w:rsidRPr="005B35F4" w:rsidDel="00F864B4" w:rsidRDefault="00897733" w:rsidP="0034622E">
            <w:pPr>
              <w:jc w:val="right"/>
              <w:rPr>
                <w:rFonts w:ascii="Arial" w:hAnsi="Arial" w:cs="Arial"/>
                <w:color w:val="000000"/>
                <w:sz w:val="17"/>
                <w:szCs w:val="17"/>
              </w:rPr>
            </w:pPr>
            <w:r w:rsidRPr="00F959D0">
              <w:rPr>
                <w:rFonts w:ascii="Arial" w:hAnsi="Arial" w:cs="Arial"/>
                <w:color w:val="000000"/>
                <w:sz w:val="17"/>
                <w:szCs w:val="17"/>
              </w:rPr>
              <w:t xml:space="preserve"> 851 </w:t>
            </w:r>
          </w:p>
        </w:tc>
        <w:tc>
          <w:tcPr>
            <w:tcW w:w="528" w:type="pct"/>
            <w:tcBorders>
              <w:top w:val="nil"/>
              <w:left w:val="nil"/>
              <w:bottom w:val="nil"/>
              <w:right w:val="nil"/>
            </w:tcBorders>
            <w:shd w:val="clear" w:color="auto" w:fill="auto"/>
            <w:vAlign w:val="bottom"/>
          </w:tcPr>
          <w:p w14:paraId="35381848" w14:textId="77777777" w:rsidR="00897733" w:rsidRPr="005B35F4" w:rsidDel="00F864B4" w:rsidRDefault="00897733" w:rsidP="0034622E">
            <w:pPr>
              <w:jc w:val="right"/>
              <w:rPr>
                <w:rFonts w:ascii="Arial" w:hAnsi="Arial" w:cs="Arial"/>
                <w:color w:val="000000"/>
                <w:sz w:val="17"/>
                <w:szCs w:val="17"/>
              </w:rPr>
            </w:pPr>
            <w:r w:rsidRPr="00F959D0">
              <w:rPr>
                <w:rFonts w:ascii="Arial" w:hAnsi="Arial" w:cs="Arial"/>
                <w:color w:val="000000"/>
                <w:sz w:val="17"/>
                <w:szCs w:val="17"/>
              </w:rPr>
              <w:t xml:space="preserve"> 3.205 </w:t>
            </w:r>
          </w:p>
        </w:tc>
        <w:tc>
          <w:tcPr>
            <w:tcW w:w="538" w:type="pct"/>
            <w:tcBorders>
              <w:top w:val="nil"/>
              <w:left w:val="nil"/>
              <w:bottom w:val="nil"/>
              <w:right w:val="nil"/>
            </w:tcBorders>
            <w:shd w:val="clear" w:color="auto" w:fill="auto"/>
            <w:vAlign w:val="bottom"/>
          </w:tcPr>
          <w:p w14:paraId="44084810" w14:textId="77777777" w:rsidR="00897733" w:rsidRPr="005B35F4" w:rsidDel="00F864B4" w:rsidRDefault="00897733" w:rsidP="0034622E">
            <w:pPr>
              <w:jc w:val="right"/>
              <w:rPr>
                <w:rFonts w:ascii="Arial" w:hAnsi="Arial" w:cs="Arial"/>
                <w:color w:val="000000"/>
                <w:sz w:val="17"/>
                <w:szCs w:val="17"/>
              </w:rPr>
            </w:pPr>
            <w:r w:rsidRPr="00F959D0">
              <w:rPr>
                <w:rFonts w:ascii="Arial" w:hAnsi="Arial" w:cs="Arial"/>
                <w:color w:val="000000"/>
                <w:sz w:val="17"/>
                <w:szCs w:val="17"/>
              </w:rPr>
              <w:t xml:space="preserve"> 6.343 </w:t>
            </w:r>
          </w:p>
        </w:tc>
        <w:tc>
          <w:tcPr>
            <w:tcW w:w="623" w:type="pct"/>
            <w:tcBorders>
              <w:top w:val="nil"/>
              <w:left w:val="nil"/>
              <w:bottom w:val="nil"/>
              <w:right w:val="nil"/>
            </w:tcBorders>
            <w:shd w:val="clear" w:color="auto" w:fill="auto"/>
            <w:vAlign w:val="bottom"/>
          </w:tcPr>
          <w:p w14:paraId="0CC179B6" w14:textId="77777777" w:rsidR="00897733" w:rsidRPr="005B35F4" w:rsidDel="00F864B4" w:rsidRDefault="00897733" w:rsidP="0034622E">
            <w:pPr>
              <w:jc w:val="right"/>
              <w:rPr>
                <w:rFonts w:ascii="Arial" w:hAnsi="Arial" w:cs="Arial"/>
                <w:color w:val="000000"/>
                <w:sz w:val="17"/>
                <w:szCs w:val="17"/>
              </w:rPr>
            </w:pPr>
            <w:r w:rsidRPr="00F959D0">
              <w:rPr>
                <w:rFonts w:ascii="Arial" w:hAnsi="Arial" w:cs="Arial"/>
                <w:color w:val="000000"/>
                <w:sz w:val="17"/>
                <w:szCs w:val="17"/>
              </w:rPr>
              <w:t xml:space="preserve"> 3.422 </w:t>
            </w:r>
          </w:p>
        </w:tc>
        <w:tc>
          <w:tcPr>
            <w:tcW w:w="593" w:type="pct"/>
            <w:tcBorders>
              <w:top w:val="nil"/>
              <w:left w:val="nil"/>
              <w:bottom w:val="nil"/>
              <w:right w:val="nil"/>
            </w:tcBorders>
            <w:shd w:val="clear" w:color="auto" w:fill="auto"/>
            <w:vAlign w:val="bottom"/>
          </w:tcPr>
          <w:p w14:paraId="7567042B" w14:textId="77777777" w:rsidR="00897733" w:rsidRPr="005B35F4" w:rsidDel="00F864B4" w:rsidRDefault="00897733" w:rsidP="0034622E">
            <w:pPr>
              <w:jc w:val="right"/>
              <w:rPr>
                <w:rFonts w:ascii="Arial" w:hAnsi="Arial" w:cs="Arial"/>
                <w:color w:val="000000"/>
                <w:sz w:val="17"/>
                <w:szCs w:val="17"/>
              </w:rPr>
            </w:pPr>
            <w:r w:rsidRPr="00F959D0">
              <w:rPr>
                <w:rFonts w:ascii="Arial" w:hAnsi="Arial" w:cs="Arial"/>
                <w:color w:val="000000"/>
                <w:sz w:val="17"/>
                <w:szCs w:val="17"/>
              </w:rPr>
              <w:t xml:space="preserve"> 24.382 </w:t>
            </w:r>
          </w:p>
        </w:tc>
      </w:tr>
      <w:tr w:rsidR="00897733" w:rsidRPr="005B35F4" w14:paraId="16F877A9" w14:textId="77777777" w:rsidTr="0034622E">
        <w:trPr>
          <w:trHeight w:val="153"/>
        </w:trPr>
        <w:tc>
          <w:tcPr>
            <w:tcW w:w="1637" w:type="pct"/>
          </w:tcPr>
          <w:p w14:paraId="0C6B3AE2" w14:textId="77777777" w:rsidR="00897733" w:rsidRPr="005B35F4" w:rsidRDefault="00897733" w:rsidP="0034622E">
            <w:pPr>
              <w:pStyle w:val="TT"/>
              <w:spacing w:line="220" w:lineRule="exact"/>
              <w:rPr>
                <w:rFonts w:cs="Arial"/>
                <w:color w:val="000000" w:themeColor="text1"/>
                <w:sz w:val="17"/>
                <w:szCs w:val="17"/>
                <w:lang w:val="hr-HR"/>
              </w:rPr>
            </w:pPr>
            <w:r w:rsidRPr="005B35F4">
              <w:rPr>
                <w:rFonts w:cs="Arial"/>
                <w:color w:val="000000" w:themeColor="text1"/>
                <w:spacing w:val="-2"/>
                <w:sz w:val="17"/>
                <w:szCs w:val="17"/>
                <w:lang w:val="hr-HR"/>
              </w:rPr>
              <w:t>Ostale obveze</w:t>
            </w:r>
          </w:p>
        </w:tc>
        <w:tc>
          <w:tcPr>
            <w:tcW w:w="547" w:type="pct"/>
            <w:tcBorders>
              <w:top w:val="nil"/>
              <w:left w:val="nil"/>
              <w:bottom w:val="nil"/>
              <w:right w:val="nil"/>
            </w:tcBorders>
            <w:shd w:val="clear" w:color="auto" w:fill="auto"/>
            <w:vAlign w:val="bottom"/>
          </w:tcPr>
          <w:p w14:paraId="08BE9EB6" w14:textId="77777777" w:rsidR="00897733" w:rsidRPr="005B35F4" w:rsidRDefault="00897733" w:rsidP="0034622E">
            <w:pPr>
              <w:jc w:val="right"/>
              <w:rPr>
                <w:rFonts w:ascii="Arial" w:hAnsi="Arial" w:cs="Arial"/>
                <w:color w:val="000000"/>
                <w:sz w:val="17"/>
                <w:szCs w:val="17"/>
              </w:rPr>
            </w:pPr>
            <w:r w:rsidRPr="00F959D0">
              <w:rPr>
                <w:rFonts w:ascii="Arial" w:hAnsi="Arial" w:cs="Arial"/>
                <w:color w:val="000000"/>
                <w:sz w:val="17"/>
                <w:szCs w:val="17"/>
              </w:rPr>
              <w:t xml:space="preserve"> 39.304 </w:t>
            </w:r>
          </w:p>
        </w:tc>
        <w:tc>
          <w:tcPr>
            <w:tcW w:w="534" w:type="pct"/>
            <w:tcBorders>
              <w:top w:val="nil"/>
              <w:left w:val="nil"/>
              <w:bottom w:val="nil"/>
              <w:right w:val="nil"/>
            </w:tcBorders>
            <w:shd w:val="clear" w:color="auto" w:fill="auto"/>
            <w:vAlign w:val="bottom"/>
          </w:tcPr>
          <w:p w14:paraId="13DB5ED9" w14:textId="77777777" w:rsidR="00897733" w:rsidRPr="005B35F4" w:rsidRDefault="00897733" w:rsidP="0034622E">
            <w:pPr>
              <w:jc w:val="right"/>
              <w:rPr>
                <w:rFonts w:ascii="Arial" w:hAnsi="Arial" w:cs="Arial"/>
                <w:color w:val="000000"/>
                <w:sz w:val="17"/>
                <w:szCs w:val="17"/>
              </w:rPr>
            </w:pPr>
            <w:r w:rsidRPr="00F959D0">
              <w:rPr>
                <w:rFonts w:ascii="Arial" w:hAnsi="Arial" w:cs="Arial"/>
                <w:color w:val="000000"/>
                <w:sz w:val="17"/>
                <w:szCs w:val="17"/>
              </w:rPr>
              <w:t xml:space="preserve"> 3.261 </w:t>
            </w:r>
          </w:p>
        </w:tc>
        <w:tc>
          <w:tcPr>
            <w:tcW w:w="528" w:type="pct"/>
            <w:tcBorders>
              <w:top w:val="nil"/>
              <w:left w:val="nil"/>
              <w:bottom w:val="nil"/>
              <w:right w:val="nil"/>
            </w:tcBorders>
            <w:shd w:val="clear" w:color="auto" w:fill="auto"/>
            <w:vAlign w:val="bottom"/>
          </w:tcPr>
          <w:p w14:paraId="61D25D2F" w14:textId="77777777" w:rsidR="00897733" w:rsidRPr="005B35F4" w:rsidRDefault="00897733" w:rsidP="0034622E">
            <w:pPr>
              <w:jc w:val="right"/>
              <w:rPr>
                <w:rFonts w:ascii="Arial" w:hAnsi="Arial" w:cs="Arial"/>
                <w:color w:val="000000"/>
                <w:sz w:val="17"/>
                <w:szCs w:val="17"/>
              </w:rPr>
            </w:pPr>
            <w:r w:rsidRPr="00F959D0">
              <w:rPr>
                <w:rFonts w:ascii="Arial" w:hAnsi="Arial" w:cs="Arial"/>
                <w:color w:val="000000"/>
                <w:sz w:val="17"/>
                <w:szCs w:val="17"/>
              </w:rPr>
              <w:t xml:space="preserve"> 14.301 </w:t>
            </w:r>
          </w:p>
        </w:tc>
        <w:tc>
          <w:tcPr>
            <w:tcW w:w="538" w:type="pct"/>
            <w:tcBorders>
              <w:top w:val="nil"/>
              <w:left w:val="nil"/>
              <w:bottom w:val="nil"/>
              <w:right w:val="nil"/>
            </w:tcBorders>
            <w:shd w:val="clear" w:color="auto" w:fill="auto"/>
            <w:vAlign w:val="bottom"/>
          </w:tcPr>
          <w:p w14:paraId="5E4DB04F" w14:textId="77777777" w:rsidR="00897733" w:rsidRPr="005B35F4" w:rsidRDefault="00897733" w:rsidP="0034622E">
            <w:pPr>
              <w:jc w:val="right"/>
              <w:rPr>
                <w:rFonts w:ascii="Arial" w:hAnsi="Arial" w:cs="Arial"/>
                <w:color w:val="000000"/>
                <w:sz w:val="17"/>
                <w:szCs w:val="17"/>
              </w:rPr>
            </w:pPr>
            <w:r w:rsidRPr="00F959D0">
              <w:rPr>
                <w:rFonts w:ascii="Arial" w:hAnsi="Arial" w:cs="Arial"/>
                <w:color w:val="000000"/>
                <w:sz w:val="17"/>
                <w:szCs w:val="17"/>
              </w:rPr>
              <w:t xml:space="preserve"> 23.605 </w:t>
            </w:r>
          </w:p>
        </w:tc>
        <w:tc>
          <w:tcPr>
            <w:tcW w:w="623" w:type="pct"/>
            <w:tcBorders>
              <w:top w:val="nil"/>
              <w:left w:val="nil"/>
              <w:bottom w:val="nil"/>
              <w:right w:val="nil"/>
            </w:tcBorders>
            <w:shd w:val="clear" w:color="auto" w:fill="auto"/>
            <w:vAlign w:val="bottom"/>
          </w:tcPr>
          <w:p w14:paraId="6571B78A" w14:textId="77777777" w:rsidR="00897733" w:rsidRPr="005B35F4" w:rsidRDefault="00897733" w:rsidP="0034622E">
            <w:pPr>
              <w:jc w:val="right"/>
              <w:rPr>
                <w:rFonts w:ascii="Arial" w:hAnsi="Arial" w:cs="Arial"/>
                <w:color w:val="000000"/>
                <w:sz w:val="17"/>
                <w:szCs w:val="17"/>
              </w:rPr>
            </w:pPr>
            <w:r w:rsidRPr="00F959D0">
              <w:rPr>
                <w:rFonts w:ascii="Arial" w:hAnsi="Arial" w:cs="Arial"/>
                <w:color w:val="000000"/>
                <w:sz w:val="17"/>
                <w:szCs w:val="17"/>
              </w:rPr>
              <w:t xml:space="preserve"> 12.752 </w:t>
            </w:r>
          </w:p>
        </w:tc>
        <w:tc>
          <w:tcPr>
            <w:tcW w:w="593" w:type="pct"/>
            <w:tcBorders>
              <w:top w:val="nil"/>
              <w:left w:val="nil"/>
              <w:bottom w:val="nil"/>
              <w:right w:val="nil"/>
            </w:tcBorders>
            <w:shd w:val="clear" w:color="auto" w:fill="auto"/>
            <w:vAlign w:val="bottom"/>
          </w:tcPr>
          <w:p w14:paraId="569B181A" w14:textId="77777777" w:rsidR="00897733" w:rsidRPr="005B35F4" w:rsidRDefault="00897733" w:rsidP="0034622E">
            <w:pPr>
              <w:jc w:val="right"/>
              <w:rPr>
                <w:rFonts w:ascii="Arial" w:hAnsi="Arial" w:cs="Arial"/>
                <w:color w:val="000000"/>
                <w:sz w:val="17"/>
                <w:szCs w:val="17"/>
              </w:rPr>
            </w:pPr>
            <w:r w:rsidRPr="00F959D0">
              <w:rPr>
                <w:rFonts w:ascii="Arial" w:hAnsi="Arial" w:cs="Arial"/>
                <w:color w:val="000000"/>
                <w:sz w:val="17"/>
                <w:szCs w:val="17"/>
              </w:rPr>
              <w:t xml:space="preserve"> 93.223 </w:t>
            </w:r>
          </w:p>
        </w:tc>
      </w:tr>
      <w:tr w:rsidR="00897733" w:rsidRPr="005B35F4" w14:paraId="4E24DE53" w14:textId="77777777" w:rsidTr="0034622E">
        <w:trPr>
          <w:trHeight w:val="153"/>
        </w:trPr>
        <w:tc>
          <w:tcPr>
            <w:tcW w:w="1637" w:type="pct"/>
          </w:tcPr>
          <w:p w14:paraId="55135C8B" w14:textId="77777777" w:rsidR="00897733" w:rsidRPr="005B35F4" w:rsidRDefault="00897733" w:rsidP="0034622E">
            <w:pPr>
              <w:pStyle w:val="Tot"/>
              <w:spacing w:line="220" w:lineRule="exact"/>
              <w:rPr>
                <w:rFonts w:cs="Arial"/>
                <w:b/>
                <w:bCs/>
                <w:color w:val="000000" w:themeColor="text1"/>
                <w:sz w:val="17"/>
                <w:szCs w:val="17"/>
                <w:lang w:val="hr-HR"/>
              </w:rPr>
            </w:pPr>
            <w:r w:rsidRPr="005B35F4">
              <w:rPr>
                <w:rFonts w:cs="Arial"/>
                <w:b/>
                <w:bCs/>
                <w:color w:val="000000" w:themeColor="text1"/>
                <w:sz w:val="17"/>
                <w:szCs w:val="17"/>
                <w:lang w:val="hr-HR"/>
              </w:rPr>
              <w:t>Ukupne obveze</w:t>
            </w:r>
          </w:p>
        </w:tc>
        <w:tc>
          <w:tcPr>
            <w:tcW w:w="547" w:type="pct"/>
            <w:tcBorders>
              <w:top w:val="single" w:sz="8" w:space="0" w:color="auto"/>
              <w:left w:val="nil"/>
              <w:bottom w:val="single" w:sz="8" w:space="0" w:color="auto"/>
              <w:right w:val="nil"/>
            </w:tcBorders>
            <w:shd w:val="clear" w:color="auto" w:fill="auto"/>
            <w:vAlign w:val="bottom"/>
          </w:tcPr>
          <w:p w14:paraId="62D22BA4" w14:textId="77777777" w:rsidR="00897733" w:rsidRPr="00BF22C7" w:rsidRDefault="00897733" w:rsidP="0034622E">
            <w:pPr>
              <w:jc w:val="right"/>
              <w:rPr>
                <w:rFonts w:ascii="Arial" w:hAnsi="Arial" w:cs="Arial"/>
                <w:b/>
                <w:bCs/>
                <w:color w:val="000000"/>
                <w:sz w:val="17"/>
                <w:szCs w:val="17"/>
              </w:rPr>
            </w:pPr>
            <w:r w:rsidRPr="00F959D0">
              <w:rPr>
                <w:rFonts w:ascii="Arial" w:hAnsi="Arial" w:cs="Arial"/>
                <w:b/>
                <w:bCs/>
                <w:color w:val="000000"/>
                <w:sz w:val="17"/>
                <w:szCs w:val="17"/>
              </w:rPr>
              <w:t xml:space="preserve"> 257.708 </w:t>
            </w:r>
          </w:p>
        </w:tc>
        <w:tc>
          <w:tcPr>
            <w:tcW w:w="534" w:type="pct"/>
            <w:tcBorders>
              <w:top w:val="single" w:sz="8" w:space="0" w:color="auto"/>
              <w:left w:val="nil"/>
              <w:bottom w:val="single" w:sz="8" w:space="0" w:color="auto"/>
              <w:right w:val="nil"/>
            </w:tcBorders>
            <w:shd w:val="clear" w:color="auto" w:fill="auto"/>
            <w:vAlign w:val="bottom"/>
          </w:tcPr>
          <w:p w14:paraId="33E1290A" w14:textId="77777777" w:rsidR="00897733" w:rsidRPr="00BF22C7" w:rsidRDefault="00897733" w:rsidP="0034622E">
            <w:pPr>
              <w:jc w:val="right"/>
              <w:rPr>
                <w:rFonts w:ascii="Arial" w:hAnsi="Arial" w:cs="Arial"/>
                <w:b/>
                <w:bCs/>
                <w:color w:val="000000"/>
                <w:sz w:val="17"/>
                <w:szCs w:val="17"/>
              </w:rPr>
            </w:pPr>
            <w:r w:rsidRPr="00F959D0">
              <w:rPr>
                <w:rFonts w:ascii="Arial" w:hAnsi="Arial" w:cs="Arial"/>
                <w:b/>
                <w:bCs/>
                <w:color w:val="000000"/>
                <w:sz w:val="17"/>
                <w:szCs w:val="17"/>
              </w:rPr>
              <w:t xml:space="preserve"> 184.399 </w:t>
            </w:r>
          </w:p>
        </w:tc>
        <w:tc>
          <w:tcPr>
            <w:tcW w:w="528" w:type="pct"/>
            <w:tcBorders>
              <w:top w:val="single" w:sz="8" w:space="0" w:color="auto"/>
              <w:left w:val="nil"/>
              <w:bottom w:val="single" w:sz="8" w:space="0" w:color="auto"/>
              <w:right w:val="nil"/>
            </w:tcBorders>
            <w:shd w:val="clear" w:color="auto" w:fill="auto"/>
            <w:vAlign w:val="bottom"/>
          </w:tcPr>
          <w:p w14:paraId="5FF04524" w14:textId="77777777" w:rsidR="00897733" w:rsidRPr="00BF22C7" w:rsidRDefault="00897733" w:rsidP="0034622E">
            <w:pPr>
              <w:jc w:val="right"/>
              <w:rPr>
                <w:rFonts w:ascii="Arial" w:hAnsi="Arial" w:cs="Arial"/>
                <w:b/>
                <w:bCs/>
                <w:color w:val="000000"/>
                <w:sz w:val="17"/>
                <w:szCs w:val="17"/>
              </w:rPr>
            </w:pPr>
            <w:r w:rsidRPr="00F959D0">
              <w:rPr>
                <w:rFonts w:ascii="Arial" w:hAnsi="Arial" w:cs="Arial"/>
                <w:b/>
                <w:bCs/>
                <w:color w:val="000000"/>
                <w:sz w:val="17"/>
                <w:szCs w:val="17"/>
              </w:rPr>
              <w:t xml:space="preserve"> 298.780 </w:t>
            </w:r>
          </w:p>
        </w:tc>
        <w:tc>
          <w:tcPr>
            <w:tcW w:w="538" w:type="pct"/>
            <w:tcBorders>
              <w:top w:val="single" w:sz="8" w:space="0" w:color="auto"/>
              <w:left w:val="nil"/>
              <w:bottom w:val="single" w:sz="8" w:space="0" w:color="auto"/>
              <w:right w:val="nil"/>
            </w:tcBorders>
            <w:shd w:val="clear" w:color="auto" w:fill="auto"/>
            <w:vAlign w:val="bottom"/>
          </w:tcPr>
          <w:p w14:paraId="1F994E1F" w14:textId="77777777" w:rsidR="00897733" w:rsidRPr="00BF22C7" w:rsidRDefault="00897733" w:rsidP="0034622E">
            <w:pPr>
              <w:jc w:val="right"/>
              <w:rPr>
                <w:rFonts w:ascii="Arial" w:hAnsi="Arial" w:cs="Arial"/>
                <w:b/>
                <w:bCs/>
                <w:color w:val="000000"/>
                <w:sz w:val="17"/>
                <w:szCs w:val="17"/>
              </w:rPr>
            </w:pPr>
            <w:r w:rsidRPr="00F959D0">
              <w:rPr>
                <w:rFonts w:ascii="Arial" w:hAnsi="Arial" w:cs="Arial"/>
                <w:b/>
                <w:bCs/>
                <w:color w:val="000000"/>
                <w:sz w:val="17"/>
                <w:szCs w:val="17"/>
              </w:rPr>
              <w:t xml:space="preserve"> 670.796 </w:t>
            </w:r>
          </w:p>
        </w:tc>
        <w:tc>
          <w:tcPr>
            <w:tcW w:w="623" w:type="pct"/>
            <w:tcBorders>
              <w:top w:val="single" w:sz="8" w:space="0" w:color="auto"/>
              <w:left w:val="nil"/>
              <w:bottom w:val="single" w:sz="8" w:space="0" w:color="auto"/>
              <w:right w:val="nil"/>
            </w:tcBorders>
            <w:shd w:val="clear" w:color="auto" w:fill="auto"/>
            <w:vAlign w:val="bottom"/>
          </w:tcPr>
          <w:p w14:paraId="5756BF25" w14:textId="77777777" w:rsidR="00897733" w:rsidRPr="00BF22C7" w:rsidRDefault="00897733" w:rsidP="0034622E">
            <w:pPr>
              <w:jc w:val="right"/>
              <w:rPr>
                <w:rFonts w:ascii="Arial" w:hAnsi="Arial" w:cs="Arial"/>
                <w:b/>
                <w:bCs/>
                <w:color w:val="000000"/>
                <w:sz w:val="17"/>
                <w:szCs w:val="17"/>
              </w:rPr>
            </w:pPr>
            <w:r w:rsidRPr="00F959D0">
              <w:rPr>
                <w:rFonts w:ascii="Arial" w:hAnsi="Arial" w:cs="Arial"/>
                <w:b/>
                <w:bCs/>
                <w:color w:val="000000"/>
                <w:sz w:val="17"/>
                <w:szCs w:val="17"/>
              </w:rPr>
              <w:t xml:space="preserve"> 1.151.974 </w:t>
            </w:r>
          </w:p>
        </w:tc>
        <w:tc>
          <w:tcPr>
            <w:tcW w:w="593" w:type="pct"/>
            <w:tcBorders>
              <w:top w:val="single" w:sz="8" w:space="0" w:color="auto"/>
              <w:left w:val="nil"/>
              <w:bottom w:val="single" w:sz="8" w:space="0" w:color="auto"/>
              <w:right w:val="nil"/>
            </w:tcBorders>
            <w:shd w:val="clear" w:color="auto" w:fill="auto"/>
            <w:vAlign w:val="bottom"/>
          </w:tcPr>
          <w:p w14:paraId="35EFDE03" w14:textId="77777777" w:rsidR="00897733" w:rsidRPr="00BF22C7" w:rsidRDefault="00897733" w:rsidP="0034622E">
            <w:pPr>
              <w:jc w:val="right"/>
              <w:rPr>
                <w:rFonts w:ascii="Arial" w:hAnsi="Arial" w:cs="Arial"/>
                <w:b/>
                <w:bCs/>
                <w:color w:val="000000"/>
                <w:sz w:val="17"/>
                <w:szCs w:val="17"/>
              </w:rPr>
            </w:pPr>
            <w:r w:rsidRPr="00F959D0">
              <w:rPr>
                <w:rFonts w:ascii="Arial" w:hAnsi="Arial" w:cs="Arial"/>
                <w:b/>
                <w:bCs/>
                <w:color w:val="000000"/>
                <w:sz w:val="17"/>
                <w:szCs w:val="17"/>
              </w:rPr>
              <w:t xml:space="preserve"> 2.563.657 </w:t>
            </w:r>
          </w:p>
        </w:tc>
      </w:tr>
      <w:tr w:rsidR="00897733" w:rsidRPr="005B35F4" w14:paraId="6C000796" w14:textId="77777777" w:rsidTr="0034622E">
        <w:trPr>
          <w:trHeight w:val="229"/>
        </w:trPr>
        <w:tc>
          <w:tcPr>
            <w:tcW w:w="1637" w:type="pct"/>
            <w:vAlign w:val="bottom"/>
          </w:tcPr>
          <w:p w14:paraId="7771E9B2" w14:textId="77777777" w:rsidR="00897733" w:rsidRPr="005B35F4" w:rsidRDefault="00897733" w:rsidP="0034622E">
            <w:pPr>
              <w:pStyle w:val="Tot"/>
              <w:spacing w:line="220" w:lineRule="exact"/>
              <w:rPr>
                <w:rFonts w:cs="Arial"/>
                <w:b/>
                <w:bCs/>
                <w:color w:val="000000" w:themeColor="text1"/>
                <w:spacing w:val="-2"/>
                <w:sz w:val="17"/>
                <w:szCs w:val="17"/>
                <w:lang w:val="hr-HR"/>
              </w:rPr>
            </w:pPr>
            <w:r w:rsidRPr="005B35F4">
              <w:rPr>
                <w:rFonts w:eastAsia="Calibri" w:cs="Arial"/>
                <w:b/>
                <w:bCs/>
                <w:color w:val="000000" w:themeColor="text1"/>
                <w:spacing w:val="-2"/>
                <w:sz w:val="17"/>
                <w:szCs w:val="17"/>
                <w:lang w:val="hr-HR"/>
              </w:rPr>
              <w:t>Likvidnosni jaz</w:t>
            </w:r>
          </w:p>
        </w:tc>
        <w:tc>
          <w:tcPr>
            <w:tcW w:w="547" w:type="pct"/>
            <w:tcBorders>
              <w:top w:val="single" w:sz="4" w:space="0" w:color="auto"/>
              <w:left w:val="nil"/>
              <w:bottom w:val="single" w:sz="8" w:space="0" w:color="auto"/>
              <w:right w:val="nil"/>
            </w:tcBorders>
            <w:shd w:val="clear" w:color="auto" w:fill="auto"/>
            <w:vAlign w:val="bottom"/>
          </w:tcPr>
          <w:p w14:paraId="681F3FCE" w14:textId="77777777" w:rsidR="00897733" w:rsidRPr="00BF22C7" w:rsidRDefault="00897733" w:rsidP="0034622E">
            <w:pPr>
              <w:jc w:val="right"/>
              <w:rPr>
                <w:rFonts w:ascii="Arial" w:hAnsi="Arial" w:cs="Arial"/>
                <w:b/>
                <w:bCs/>
                <w:color w:val="000000"/>
                <w:sz w:val="17"/>
                <w:szCs w:val="17"/>
              </w:rPr>
            </w:pPr>
            <w:r w:rsidRPr="00F959D0">
              <w:rPr>
                <w:rFonts w:ascii="Arial" w:hAnsi="Arial" w:cs="Arial"/>
                <w:b/>
                <w:bCs/>
                <w:color w:val="000000"/>
                <w:sz w:val="17"/>
                <w:szCs w:val="17"/>
              </w:rPr>
              <w:t xml:space="preserve"> 452.673 </w:t>
            </w:r>
          </w:p>
        </w:tc>
        <w:tc>
          <w:tcPr>
            <w:tcW w:w="534" w:type="pct"/>
            <w:tcBorders>
              <w:top w:val="single" w:sz="4" w:space="0" w:color="auto"/>
              <w:left w:val="nil"/>
              <w:bottom w:val="single" w:sz="8" w:space="0" w:color="auto"/>
              <w:right w:val="nil"/>
            </w:tcBorders>
            <w:shd w:val="clear" w:color="auto" w:fill="auto"/>
            <w:vAlign w:val="bottom"/>
          </w:tcPr>
          <w:p w14:paraId="11DFC2A4" w14:textId="77777777" w:rsidR="00897733" w:rsidRPr="00BF22C7" w:rsidRDefault="00897733" w:rsidP="0034622E">
            <w:pPr>
              <w:jc w:val="right"/>
              <w:rPr>
                <w:rFonts w:ascii="Arial" w:hAnsi="Arial" w:cs="Arial"/>
                <w:b/>
                <w:bCs/>
                <w:color w:val="000000"/>
                <w:sz w:val="17"/>
                <w:szCs w:val="17"/>
              </w:rPr>
            </w:pPr>
            <w:r w:rsidRPr="00F959D0">
              <w:rPr>
                <w:rFonts w:ascii="Arial" w:hAnsi="Arial" w:cs="Arial"/>
                <w:b/>
                <w:bCs/>
                <w:color w:val="000000"/>
                <w:sz w:val="17"/>
                <w:szCs w:val="17"/>
              </w:rPr>
              <w:t xml:space="preserve"> 32.146 </w:t>
            </w:r>
          </w:p>
        </w:tc>
        <w:tc>
          <w:tcPr>
            <w:tcW w:w="528" w:type="pct"/>
            <w:tcBorders>
              <w:top w:val="single" w:sz="4" w:space="0" w:color="auto"/>
              <w:left w:val="nil"/>
              <w:bottom w:val="single" w:sz="8" w:space="0" w:color="auto"/>
              <w:right w:val="nil"/>
            </w:tcBorders>
            <w:shd w:val="clear" w:color="auto" w:fill="auto"/>
            <w:vAlign w:val="bottom"/>
          </w:tcPr>
          <w:p w14:paraId="503ACA45" w14:textId="77777777" w:rsidR="00897733" w:rsidRPr="00BF22C7" w:rsidRDefault="00897733" w:rsidP="0034622E">
            <w:pPr>
              <w:jc w:val="right"/>
              <w:rPr>
                <w:rFonts w:ascii="Arial" w:hAnsi="Arial" w:cs="Arial"/>
                <w:b/>
                <w:bCs/>
                <w:color w:val="000000"/>
                <w:sz w:val="17"/>
                <w:szCs w:val="17"/>
              </w:rPr>
            </w:pPr>
            <w:r w:rsidRPr="00F959D0">
              <w:rPr>
                <w:rFonts w:ascii="Arial" w:hAnsi="Arial" w:cs="Arial"/>
                <w:b/>
                <w:bCs/>
                <w:color w:val="000000"/>
                <w:sz w:val="17"/>
                <w:szCs w:val="17"/>
              </w:rPr>
              <w:t xml:space="preserve"> 120.859 </w:t>
            </w:r>
          </w:p>
        </w:tc>
        <w:tc>
          <w:tcPr>
            <w:tcW w:w="538" w:type="pct"/>
            <w:tcBorders>
              <w:top w:val="single" w:sz="4" w:space="0" w:color="auto"/>
              <w:left w:val="nil"/>
              <w:bottom w:val="single" w:sz="8" w:space="0" w:color="auto"/>
              <w:right w:val="nil"/>
            </w:tcBorders>
            <w:shd w:val="clear" w:color="auto" w:fill="auto"/>
            <w:vAlign w:val="bottom"/>
          </w:tcPr>
          <w:p w14:paraId="7A6E97D9" w14:textId="77777777" w:rsidR="00897733" w:rsidRPr="00BF22C7" w:rsidRDefault="00897733" w:rsidP="0034622E">
            <w:pPr>
              <w:jc w:val="right"/>
              <w:rPr>
                <w:rFonts w:ascii="Arial" w:hAnsi="Arial" w:cs="Arial"/>
                <w:b/>
                <w:bCs/>
                <w:color w:val="000000"/>
                <w:sz w:val="17"/>
                <w:szCs w:val="17"/>
              </w:rPr>
            </w:pPr>
            <w:r w:rsidRPr="00F959D0">
              <w:rPr>
                <w:rFonts w:ascii="Arial" w:hAnsi="Arial" w:cs="Arial"/>
                <w:b/>
                <w:bCs/>
                <w:color w:val="000000"/>
                <w:sz w:val="17"/>
                <w:szCs w:val="17"/>
              </w:rPr>
              <w:t xml:space="preserve"> 259.045 </w:t>
            </w:r>
          </w:p>
        </w:tc>
        <w:tc>
          <w:tcPr>
            <w:tcW w:w="623" w:type="pct"/>
            <w:tcBorders>
              <w:top w:val="single" w:sz="4" w:space="0" w:color="auto"/>
              <w:left w:val="nil"/>
              <w:bottom w:val="single" w:sz="8" w:space="0" w:color="auto"/>
              <w:right w:val="nil"/>
            </w:tcBorders>
            <w:shd w:val="clear" w:color="auto" w:fill="auto"/>
            <w:vAlign w:val="bottom"/>
          </w:tcPr>
          <w:p w14:paraId="7FC4576A" w14:textId="77777777" w:rsidR="00897733" w:rsidRPr="00BF22C7" w:rsidRDefault="00897733" w:rsidP="0034622E">
            <w:pPr>
              <w:jc w:val="right"/>
              <w:rPr>
                <w:rFonts w:ascii="Arial" w:hAnsi="Arial" w:cs="Arial"/>
                <w:b/>
                <w:bCs/>
                <w:color w:val="000000"/>
                <w:sz w:val="17"/>
                <w:szCs w:val="17"/>
              </w:rPr>
            </w:pPr>
            <w:r w:rsidRPr="00F959D0">
              <w:rPr>
                <w:rFonts w:ascii="Arial" w:hAnsi="Arial" w:cs="Arial"/>
                <w:b/>
                <w:bCs/>
                <w:color w:val="000000"/>
                <w:sz w:val="17"/>
                <w:szCs w:val="17"/>
              </w:rPr>
              <w:t xml:space="preserve"> 593.156 </w:t>
            </w:r>
          </w:p>
        </w:tc>
        <w:tc>
          <w:tcPr>
            <w:tcW w:w="593" w:type="pct"/>
            <w:tcBorders>
              <w:top w:val="single" w:sz="4" w:space="0" w:color="auto"/>
              <w:left w:val="nil"/>
              <w:bottom w:val="single" w:sz="8" w:space="0" w:color="auto"/>
              <w:right w:val="nil"/>
            </w:tcBorders>
            <w:shd w:val="clear" w:color="auto" w:fill="auto"/>
            <w:vAlign w:val="bottom"/>
          </w:tcPr>
          <w:p w14:paraId="2A5A79D1" w14:textId="77777777" w:rsidR="00897733" w:rsidRPr="00BF22C7" w:rsidRDefault="00897733" w:rsidP="0034622E">
            <w:pPr>
              <w:jc w:val="right"/>
              <w:rPr>
                <w:rFonts w:ascii="Arial" w:hAnsi="Arial" w:cs="Arial"/>
                <w:b/>
                <w:bCs/>
                <w:color w:val="000000"/>
                <w:sz w:val="17"/>
                <w:szCs w:val="17"/>
              </w:rPr>
            </w:pPr>
            <w:r w:rsidRPr="00F959D0">
              <w:rPr>
                <w:rFonts w:ascii="Arial" w:hAnsi="Arial" w:cs="Arial"/>
                <w:b/>
                <w:bCs/>
                <w:color w:val="000000"/>
                <w:sz w:val="17"/>
                <w:szCs w:val="17"/>
              </w:rPr>
              <w:t xml:space="preserve"> 1.457.879 </w:t>
            </w:r>
          </w:p>
        </w:tc>
      </w:tr>
      <w:tr w:rsidR="00897733" w:rsidRPr="005B35F4" w14:paraId="122783CD" w14:textId="77777777" w:rsidTr="0034622E">
        <w:trPr>
          <w:trHeight w:val="229"/>
        </w:trPr>
        <w:tc>
          <w:tcPr>
            <w:tcW w:w="1637" w:type="pct"/>
            <w:vAlign w:val="bottom"/>
          </w:tcPr>
          <w:p w14:paraId="582FFC54" w14:textId="77777777" w:rsidR="00897733" w:rsidRPr="005B35F4" w:rsidRDefault="00897733" w:rsidP="0034622E">
            <w:pPr>
              <w:pStyle w:val="Tot"/>
              <w:spacing w:line="220" w:lineRule="exact"/>
              <w:rPr>
                <w:rFonts w:eastAsia="Calibri" w:cs="Arial"/>
                <w:b/>
                <w:bCs/>
                <w:color w:val="000000" w:themeColor="text1"/>
                <w:spacing w:val="-2"/>
                <w:sz w:val="17"/>
                <w:szCs w:val="17"/>
                <w:lang w:val="hr-HR"/>
              </w:rPr>
            </w:pPr>
          </w:p>
        </w:tc>
        <w:tc>
          <w:tcPr>
            <w:tcW w:w="547" w:type="pct"/>
            <w:tcBorders>
              <w:top w:val="single" w:sz="12" w:space="0" w:color="auto"/>
              <w:left w:val="nil"/>
              <w:right w:val="nil"/>
            </w:tcBorders>
            <w:shd w:val="clear" w:color="auto" w:fill="auto"/>
            <w:vAlign w:val="bottom"/>
          </w:tcPr>
          <w:p w14:paraId="43EFFFA7" w14:textId="77777777" w:rsidR="00897733" w:rsidRPr="005B35F4" w:rsidRDefault="00897733" w:rsidP="0034622E">
            <w:pPr>
              <w:jc w:val="right"/>
              <w:rPr>
                <w:rFonts w:ascii="Arial" w:hAnsi="Arial" w:cs="Arial"/>
                <w:color w:val="000000"/>
                <w:sz w:val="17"/>
                <w:szCs w:val="17"/>
              </w:rPr>
            </w:pPr>
          </w:p>
        </w:tc>
        <w:tc>
          <w:tcPr>
            <w:tcW w:w="534" w:type="pct"/>
            <w:tcBorders>
              <w:top w:val="single" w:sz="12" w:space="0" w:color="auto"/>
              <w:left w:val="nil"/>
              <w:right w:val="nil"/>
            </w:tcBorders>
            <w:shd w:val="clear" w:color="auto" w:fill="auto"/>
            <w:vAlign w:val="bottom"/>
          </w:tcPr>
          <w:p w14:paraId="692F7B0A" w14:textId="77777777" w:rsidR="00897733" w:rsidRPr="005B35F4" w:rsidRDefault="00897733" w:rsidP="0034622E">
            <w:pPr>
              <w:jc w:val="right"/>
              <w:rPr>
                <w:rFonts w:ascii="Arial" w:hAnsi="Arial" w:cs="Arial"/>
                <w:color w:val="000000"/>
                <w:sz w:val="17"/>
                <w:szCs w:val="17"/>
              </w:rPr>
            </w:pPr>
          </w:p>
        </w:tc>
        <w:tc>
          <w:tcPr>
            <w:tcW w:w="528" w:type="pct"/>
            <w:tcBorders>
              <w:top w:val="single" w:sz="12" w:space="0" w:color="auto"/>
              <w:left w:val="nil"/>
              <w:right w:val="nil"/>
            </w:tcBorders>
            <w:shd w:val="clear" w:color="auto" w:fill="auto"/>
            <w:vAlign w:val="bottom"/>
          </w:tcPr>
          <w:p w14:paraId="5D901283" w14:textId="77777777" w:rsidR="00897733" w:rsidRPr="005B35F4" w:rsidRDefault="00897733" w:rsidP="0034622E">
            <w:pPr>
              <w:jc w:val="right"/>
              <w:rPr>
                <w:rFonts w:ascii="Arial" w:hAnsi="Arial" w:cs="Arial"/>
                <w:color w:val="000000"/>
                <w:sz w:val="17"/>
                <w:szCs w:val="17"/>
              </w:rPr>
            </w:pPr>
          </w:p>
        </w:tc>
        <w:tc>
          <w:tcPr>
            <w:tcW w:w="538" w:type="pct"/>
            <w:tcBorders>
              <w:top w:val="single" w:sz="12" w:space="0" w:color="auto"/>
              <w:left w:val="nil"/>
              <w:right w:val="nil"/>
            </w:tcBorders>
            <w:shd w:val="clear" w:color="auto" w:fill="auto"/>
            <w:vAlign w:val="bottom"/>
          </w:tcPr>
          <w:p w14:paraId="7B230A4C" w14:textId="77777777" w:rsidR="00897733" w:rsidRPr="005B35F4" w:rsidRDefault="00897733" w:rsidP="0034622E">
            <w:pPr>
              <w:jc w:val="right"/>
              <w:rPr>
                <w:rFonts w:ascii="Arial" w:hAnsi="Arial" w:cs="Arial"/>
                <w:color w:val="000000"/>
                <w:sz w:val="17"/>
                <w:szCs w:val="17"/>
              </w:rPr>
            </w:pPr>
          </w:p>
        </w:tc>
        <w:tc>
          <w:tcPr>
            <w:tcW w:w="623" w:type="pct"/>
            <w:tcBorders>
              <w:top w:val="single" w:sz="12" w:space="0" w:color="auto"/>
              <w:left w:val="nil"/>
              <w:right w:val="nil"/>
            </w:tcBorders>
            <w:shd w:val="clear" w:color="auto" w:fill="auto"/>
            <w:vAlign w:val="bottom"/>
          </w:tcPr>
          <w:p w14:paraId="0A4EF63B" w14:textId="77777777" w:rsidR="00897733" w:rsidRPr="005B35F4" w:rsidRDefault="00897733" w:rsidP="0034622E">
            <w:pPr>
              <w:jc w:val="right"/>
              <w:rPr>
                <w:rFonts w:ascii="Arial" w:hAnsi="Arial" w:cs="Arial"/>
                <w:color w:val="000000"/>
                <w:sz w:val="17"/>
                <w:szCs w:val="17"/>
              </w:rPr>
            </w:pPr>
          </w:p>
        </w:tc>
        <w:tc>
          <w:tcPr>
            <w:tcW w:w="593" w:type="pct"/>
            <w:tcBorders>
              <w:top w:val="single" w:sz="12" w:space="0" w:color="auto"/>
              <w:left w:val="nil"/>
              <w:right w:val="nil"/>
            </w:tcBorders>
            <w:shd w:val="clear" w:color="auto" w:fill="auto"/>
            <w:vAlign w:val="bottom"/>
          </w:tcPr>
          <w:p w14:paraId="1248E936" w14:textId="77777777" w:rsidR="00897733" w:rsidRPr="005B35F4" w:rsidRDefault="00897733" w:rsidP="0034622E">
            <w:pPr>
              <w:jc w:val="right"/>
              <w:rPr>
                <w:rFonts w:ascii="Arial" w:hAnsi="Arial" w:cs="Arial"/>
                <w:color w:val="000000"/>
                <w:sz w:val="17"/>
                <w:szCs w:val="17"/>
              </w:rPr>
            </w:pPr>
          </w:p>
        </w:tc>
      </w:tr>
      <w:tr w:rsidR="00897733" w:rsidRPr="005B35F4" w14:paraId="757B023C" w14:textId="77777777" w:rsidTr="0034622E">
        <w:trPr>
          <w:trHeight w:val="229"/>
        </w:trPr>
        <w:tc>
          <w:tcPr>
            <w:tcW w:w="1637" w:type="pct"/>
            <w:tcBorders>
              <w:top w:val="nil"/>
              <w:left w:val="nil"/>
              <w:bottom w:val="nil"/>
              <w:right w:val="nil"/>
            </w:tcBorders>
            <w:shd w:val="clear" w:color="auto" w:fill="auto"/>
            <w:vAlign w:val="center"/>
          </w:tcPr>
          <w:p w14:paraId="10F81862" w14:textId="77777777" w:rsidR="00897733" w:rsidRPr="005B35F4" w:rsidRDefault="00897733" w:rsidP="0034622E">
            <w:pPr>
              <w:pStyle w:val="Tot"/>
              <w:spacing w:line="220" w:lineRule="exact"/>
              <w:rPr>
                <w:rFonts w:eastAsia="Calibri" w:cs="Arial"/>
                <w:b/>
                <w:bCs/>
                <w:color w:val="000000" w:themeColor="text1"/>
                <w:spacing w:val="-2"/>
                <w:sz w:val="17"/>
                <w:szCs w:val="17"/>
                <w:lang w:val="hr-HR"/>
              </w:rPr>
            </w:pPr>
            <w:r w:rsidRPr="005B35F4">
              <w:rPr>
                <w:rFonts w:cs="Arial"/>
                <w:b/>
                <w:bCs/>
                <w:color w:val="000000" w:themeColor="text1"/>
                <w:sz w:val="17"/>
                <w:szCs w:val="17"/>
                <w:lang w:val="hr-HR"/>
              </w:rPr>
              <w:t>Garancije i preuzete obveze</w:t>
            </w:r>
          </w:p>
        </w:tc>
        <w:tc>
          <w:tcPr>
            <w:tcW w:w="547" w:type="pct"/>
            <w:tcBorders>
              <w:top w:val="nil"/>
              <w:left w:val="nil"/>
              <w:bottom w:val="nil"/>
              <w:right w:val="nil"/>
            </w:tcBorders>
            <w:shd w:val="clear" w:color="auto" w:fill="auto"/>
            <w:vAlign w:val="bottom"/>
          </w:tcPr>
          <w:p w14:paraId="18CC10F7" w14:textId="77777777" w:rsidR="00897733" w:rsidRPr="005B35F4" w:rsidRDefault="00897733" w:rsidP="0034622E">
            <w:pPr>
              <w:jc w:val="right"/>
              <w:rPr>
                <w:rFonts w:ascii="Arial" w:hAnsi="Arial" w:cs="Arial"/>
                <w:color w:val="000000"/>
                <w:sz w:val="17"/>
                <w:szCs w:val="17"/>
              </w:rPr>
            </w:pPr>
          </w:p>
        </w:tc>
        <w:tc>
          <w:tcPr>
            <w:tcW w:w="534" w:type="pct"/>
            <w:tcBorders>
              <w:top w:val="nil"/>
              <w:left w:val="nil"/>
              <w:bottom w:val="nil"/>
              <w:right w:val="nil"/>
            </w:tcBorders>
            <w:shd w:val="clear" w:color="auto" w:fill="auto"/>
            <w:vAlign w:val="bottom"/>
          </w:tcPr>
          <w:p w14:paraId="67B39165" w14:textId="77777777" w:rsidR="00897733" w:rsidRPr="005B35F4" w:rsidRDefault="00897733" w:rsidP="0034622E">
            <w:pPr>
              <w:jc w:val="right"/>
              <w:rPr>
                <w:rFonts w:ascii="Arial" w:hAnsi="Arial" w:cs="Arial"/>
                <w:color w:val="000000"/>
                <w:sz w:val="17"/>
                <w:szCs w:val="17"/>
              </w:rPr>
            </w:pPr>
          </w:p>
        </w:tc>
        <w:tc>
          <w:tcPr>
            <w:tcW w:w="528" w:type="pct"/>
            <w:tcBorders>
              <w:top w:val="nil"/>
              <w:left w:val="nil"/>
              <w:bottom w:val="nil"/>
              <w:right w:val="nil"/>
            </w:tcBorders>
            <w:shd w:val="clear" w:color="auto" w:fill="auto"/>
            <w:vAlign w:val="bottom"/>
          </w:tcPr>
          <w:p w14:paraId="6EDDBC56" w14:textId="77777777" w:rsidR="00897733" w:rsidRPr="005B35F4" w:rsidRDefault="00897733" w:rsidP="0034622E">
            <w:pPr>
              <w:jc w:val="right"/>
              <w:rPr>
                <w:rFonts w:ascii="Arial" w:hAnsi="Arial" w:cs="Arial"/>
                <w:color w:val="000000"/>
                <w:sz w:val="17"/>
                <w:szCs w:val="17"/>
              </w:rPr>
            </w:pPr>
          </w:p>
        </w:tc>
        <w:tc>
          <w:tcPr>
            <w:tcW w:w="538" w:type="pct"/>
            <w:tcBorders>
              <w:top w:val="nil"/>
              <w:left w:val="nil"/>
              <w:bottom w:val="nil"/>
              <w:right w:val="nil"/>
            </w:tcBorders>
            <w:shd w:val="clear" w:color="auto" w:fill="auto"/>
            <w:vAlign w:val="bottom"/>
          </w:tcPr>
          <w:p w14:paraId="4B8F179E" w14:textId="77777777" w:rsidR="00897733" w:rsidRPr="005B35F4" w:rsidRDefault="00897733" w:rsidP="0034622E">
            <w:pPr>
              <w:jc w:val="right"/>
              <w:rPr>
                <w:rFonts w:ascii="Arial" w:hAnsi="Arial" w:cs="Arial"/>
                <w:color w:val="000000"/>
                <w:sz w:val="17"/>
                <w:szCs w:val="17"/>
              </w:rPr>
            </w:pPr>
          </w:p>
        </w:tc>
        <w:tc>
          <w:tcPr>
            <w:tcW w:w="623" w:type="pct"/>
            <w:tcBorders>
              <w:top w:val="nil"/>
              <w:left w:val="nil"/>
              <w:bottom w:val="nil"/>
              <w:right w:val="nil"/>
            </w:tcBorders>
            <w:shd w:val="clear" w:color="auto" w:fill="auto"/>
            <w:vAlign w:val="bottom"/>
          </w:tcPr>
          <w:p w14:paraId="4B89E349" w14:textId="77777777" w:rsidR="00897733" w:rsidRPr="005B35F4" w:rsidRDefault="00897733" w:rsidP="0034622E">
            <w:pPr>
              <w:jc w:val="right"/>
              <w:rPr>
                <w:rFonts w:ascii="Arial" w:hAnsi="Arial" w:cs="Arial"/>
                <w:color w:val="000000"/>
                <w:sz w:val="17"/>
                <w:szCs w:val="17"/>
              </w:rPr>
            </w:pPr>
          </w:p>
        </w:tc>
        <w:tc>
          <w:tcPr>
            <w:tcW w:w="593" w:type="pct"/>
            <w:tcBorders>
              <w:top w:val="nil"/>
              <w:left w:val="nil"/>
              <w:bottom w:val="nil"/>
              <w:right w:val="nil"/>
            </w:tcBorders>
            <w:shd w:val="clear" w:color="auto" w:fill="auto"/>
            <w:vAlign w:val="bottom"/>
          </w:tcPr>
          <w:p w14:paraId="03E14E07" w14:textId="77777777" w:rsidR="00897733" w:rsidRPr="005B35F4" w:rsidRDefault="00897733" w:rsidP="0034622E">
            <w:pPr>
              <w:jc w:val="right"/>
              <w:rPr>
                <w:rFonts w:ascii="Arial" w:hAnsi="Arial" w:cs="Arial"/>
                <w:color w:val="000000"/>
                <w:sz w:val="17"/>
                <w:szCs w:val="17"/>
              </w:rPr>
            </w:pPr>
          </w:p>
        </w:tc>
      </w:tr>
      <w:tr w:rsidR="00897733" w:rsidRPr="005B35F4" w14:paraId="44215B40" w14:textId="77777777" w:rsidTr="0034622E">
        <w:trPr>
          <w:trHeight w:val="229"/>
        </w:trPr>
        <w:tc>
          <w:tcPr>
            <w:tcW w:w="1637" w:type="pct"/>
            <w:tcBorders>
              <w:top w:val="nil"/>
              <w:left w:val="nil"/>
              <w:bottom w:val="nil"/>
              <w:right w:val="nil"/>
            </w:tcBorders>
            <w:shd w:val="clear" w:color="auto" w:fill="auto"/>
            <w:vAlign w:val="center"/>
          </w:tcPr>
          <w:p w14:paraId="0B11B1A2" w14:textId="77777777" w:rsidR="00897733" w:rsidRPr="005B35F4" w:rsidRDefault="00897733" w:rsidP="0034622E">
            <w:pPr>
              <w:pStyle w:val="Tot"/>
              <w:spacing w:line="220" w:lineRule="exact"/>
              <w:rPr>
                <w:rFonts w:eastAsia="Calibri" w:cs="Arial"/>
                <w:b/>
                <w:bCs/>
                <w:color w:val="000000" w:themeColor="text1"/>
                <w:spacing w:val="-2"/>
                <w:sz w:val="17"/>
                <w:szCs w:val="17"/>
                <w:lang w:val="hr-HR"/>
              </w:rPr>
            </w:pPr>
            <w:r w:rsidRPr="005B35F4">
              <w:rPr>
                <w:rFonts w:cs="Arial"/>
                <w:color w:val="000000" w:themeColor="text1"/>
                <w:sz w:val="17"/>
                <w:szCs w:val="17"/>
                <w:lang w:val="hr-HR"/>
              </w:rPr>
              <w:t xml:space="preserve">Izdane garancije </w:t>
            </w:r>
          </w:p>
        </w:tc>
        <w:tc>
          <w:tcPr>
            <w:tcW w:w="547" w:type="pct"/>
            <w:tcBorders>
              <w:top w:val="nil"/>
              <w:left w:val="nil"/>
              <w:bottom w:val="nil"/>
              <w:right w:val="nil"/>
            </w:tcBorders>
            <w:shd w:val="clear" w:color="auto" w:fill="auto"/>
            <w:vAlign w:val="bottom"/>
          </w:tcPr>
          <w:p w14:paraId="40D854D1" w14:textId="77777777" w:rsidR="00897733" w:rsidRPr="005B35F4" w:rsidRDefault="00897733" w:rsidP="0034622E">
            <w:pPr>
              <w:jc w:val="right"/>
              <w:rPr>
                <w:rFonts w:ascii="Arial" w:hAnsi="Arial" w:cs="Arial"/>
                <w:color w:val="000000"/>
                <w:sz w:val="17"/>
                <w:szCs w:val="17"/>
              </w:rPr>
            </w:pPr>
            <w:r w:rsidRPr="00F84C24">
              <w:rPr>
                <w:rFonts w:ascii="Arial" w:hAnsi="Arial" w:cs="Arial"/>
                <w:color w:val="000000"/>
                <w:sz w:val="17"/>
                <w:szCs w:val="17"/>
              </w:rPr>
              <w:t xml:space="preserve"> 52.623 </w:t>
            </w:r>
          </w:p>
        </w:tc>
        <w:tc>
          <w:tcPr>
            <w:tcW w:w="534" w:type="pct"/>
            <w:tcBorders>
              <w:top w:val="nil"/>
              <w:left w:val="nil"/>
              <w:bottom w:val="nil"/>
              <w:right w:val="nil"/>
            </w:tcBorders>
            <w:shd w:val="clear" w:color="auto" w:fill="auto"/>
            <w:vAlign w:val="bottom"/>
          </w:tcPr>
          <w:p w14:paraId="463A9BE9" w14:textId="77777777" w:rsidR="00897733" w:rsidRPr="005B35F4" w:rsidRDefault="00897733" w:rsidP="0034622E">
            <w:pPr>
              <w:jc w:val="right"/>
              <w:rPr>
                <w:rFonts w:ascii="Arial" w:hAnsi="Arial" w:cs="Arial"/>
                <w:color w:val="000000"/>
                <w:sz w:val="17"/>
                <w:szCs w:val="17"/>
              </w:rPr>
            </w:pPr>
            <w:r w:rsidRPr="00F84C24">
              <w:rPr>
                <w:rFonts w:ascii="Arial" w:hAnsi="Arial" w:cs="Arial"/>
                <w:color w:val="000000"/>
                <w:sz w:val="17"/>
                <w:szCs w:val="17"/>
              </w:rPr>
              <w:t xml:space="preserve"> - </w:t>
            </w:r>
          </w:p>
        </w:tc>
        <w:tc>
          <w:tcPr>
            <w:tcW w:w="528" w:type="pct"/>
            <w:tcBorders>
              <w:top w:val="nil"/>
              <w:left w:val="nil"/>
              <w:bottom w:val="nil"/>
              <w:right w:val="nil"/>
            </w:tcBorders>
            <w:shd w:val="clear" w:color="auto" w:fill="auto"/>
            <w:vAlign w:val="bottom"/>
          </w:tcPr>
          <w:p w14:paraId="517C0625" w14:textId="77777777" w:rsidR="00897733" w:rsidRPr="005B35F4" w:rsidRDefault="00897733" w:rsidP="0034622E">
            <w:pPr>
              <w:jc w:val="right"/>
              <w:rPr>
                <w:rFonts w:ascii="Arial" w:hAnsi="Arial" w:cs="Arial"/>
                <w:color w:val="000000"/>
                <w:sz w:val="17"/>
                <w:szCs w:val="17"/>
              </w:rPr>
            </w:pPr>
            <w:r w:rsidRPr="00F84C24">
              <w:rPr>
                <w:rFonts w:ascii="Arial" w:hAnsi="Arial" w:cs="Arial"/>
                <w:color w:val="000000"/>
                <w:sz w:val="17"/>
                <w:szCs w:val="17"/>
              </w:rPr>
              <w:t xml:space="preserve"> - </w:t>
            </w:r>
          </w:p>
        </w:tc>
        <w:tc>
          <w:tcPr>
            <w:tcW w:w="538" w:type="pct"/>
            <w:tcBorders>
              <w:top w:val="nil"/>
              <w:left w:val="nil"/>
              <w:bottom w:val="nil"/>
              <w:right w:val="nil"/>
            </w:tcBorders>
            <w:shd w:val="clear" w:color="auto" w:fill="auto"/>
            <w:vAlign w:val="bottom"/>
          </w:tcPr>
          <w:p w14:paraId="1E04A4BE" w14:textId="77777777" w:rsidR="00897733" w:rsidRPr="005B35F4" w:rsidRDefault="00897733" w:rsidP="0034622E">
            <w:pPr>
              <w:jc w:val="right"/>
              <w:rPr>
                <w:rFonts w:ascii="Arial" w:hAnsi="Arial" w:cs="Arial"/>
                <w:color w:val="000000"/>
                <w:sz w:val="17"/>
                <w:szCs w:val="17"/>
              </w:rPr>
            </w:pPr>
            <w:r w:rsidRPr="00F84C24">
              <w:rPr>
                <w:rFonts w:ascii="Arial" w:hAnsi="Arial" w:cs="Arial"/>
                <w:color w:val="000000"/>
                <w:sz w:val="17"/>
                <w:szCs w:val="17"/>
              </w:rPr>
              <w:t xml:space="preserve"> - </w:t>
            </w:r>
          </w:p>
        </w:tc>
        <w:tc>
          <w:tcPr>
            <w:tcW w:w="623" w:type="pct"/>
            <w:tcBorders>
              <w:top w:val="nil"/>
              <w:left w:val="nil"/>
              <w:bottom w:val="nil"/>
              <w:right w:val="nil"/>
            </w:tcBorders>
            <w:shd w:val="clear" w:color="auto" w:fill="auto"/>
            <w:vAlign w:val="bottom"/>
          </w:tcPr>
          <w:p w14:paraId="3330C4B2" w14:textId="77777777" w:rsidR="00897733" w:rsidRPr="005B35F4" w:rsidRDefault="00897733" w:rsidP="0034622E">
            <w:pPr>
              <w:jc w:val="right"/>
              <w:rPr>
                <w:rFonts w:ascii="Arial" w:hAnsi="Arial" w:cs="Arial"/>
                <w:color w:val="000000"/>
                <w:sz w:val="17"/>
                <w:szCs w:val="17"/>
              </w:rPr>
            </w:pPr>
            <w:r w:rsidRPr="00F84C24">
              <w:rPr>
                <w:rFonts w:ascii="Arial" w:hAnsi="Arial" w:cs="Arial"/>
                <w:color w:val="000000"/>
                <w:sz w:val="17"/>
                <w:szCs w:val="17"/>
              </w:rPr>
              <w:t xml:space="preserve"> - </w:t>
            </w:r>
          </w:p>
        </w:tc>
        <w:tc>
          <w:tcPr>
            <w:tcW w:w="593" w:type="pct"/>
            <w:tcBorders>
              <w:top w:val="nil"/>
              <w:left w:val="nil"/>
              <w:bottom w:val="nil"/>
              <w:right w:val="nil"/>
            </w:tcBorders>
            <w:shd w:val="clear" w:color="auto" w:fill="auto"/>
            <w:vAlign w:val="bottom"/>
          </w:tcPr>
          <w:p w14:paraId="70F6B8ED" w14:textId="77777777" w:rsidR="00897733" w:rsidRPr="005B35F4" w:rsidRDefault="00897733" w:rsidP="0034622E">
            <w:pPr>
              <w:jc w:val="right"/>
              <w:rPr>
                <w:rFonts w:ascii="Arial" w:hAnsi="Arial" w:cs="Arial"/>
                <w:color w:val="000000"/>
                <w:sz w:val="17"/>
                <w:szCs w:val="17"/>
              </w:rPr>
            </w:pPr>
            <w:r w:rsidRPr="00F84C24">
              <w:rPr>
                <w:rFonts w:ascii="Arial" w:hAnsi="Arial" w:cs="Arial"/>
                <w:color w:val="000000"/>
                <w:sz w:val="17"/>
                <w:szCs w:val="17"/>
              </w:rPr>
              <w:t xml:space="preserve"> 52.623 </w:t>
            </w:r>
          </w:p>
        </w:tc>
      </w:tr>
      <w:tr w:rsidR="00897733" w:rsidRPr="005B35F4" w14:paraId="4CA6E49A" w14:textId="77777777" w:rsidTr="0034622E">
        <w:trPr>
          <w:trHeight w:val="229"/>
        </w:trPr>
        <w:tc>
          <w:tcPr>
            <w:tcW w:w="1637" w:type="pct"/>
            <w:tcBorders>
              <w:top w:val="nil"/>
              <w:left w:val="nil"/>
              <w:bottom w:val="nil"/>
              <w:right w:val="nil"/>
            </w:tcBorders>
            <w:shd w:val="clear" w:color="auto" w:fill="auto"/>
            <w:vAlign w:val="center"/>
          </w:tcPr>
          <w:p w14:paraId="4EB68988" w14:textId="77777777" w:rsidR="00897733" w:rsidRPr="005B35F4" w:rsidRDefault="00897733" w:rsidP="0034622E">
            <w:pPr>
              <w:pStyle w:val="Tot"/>
              <w:spacing w:line="220" w:lineRule="exact"/>
              <w:rPr>
                <w:rFonts w:eastAsia="Calibri" w:cs="Arial"/>
                <w:b/>
                <w:bCs/>
                <w:color w:val="000000" w:themeColor="text1"/>
                <w:spacing w:val="-2"/>
                <w:sz w:val="17"/>
                <w:szCs w:val="17"/>
                <w:lang w:val="hr-HR"/>
              </w:rPr>
            </w:pPr>
            <w:r w:rsidRPr="005B35F4">
              <w:rPr>
                <w:rFonts w:cs="Arial"/>
                <w:color w:val="000000" w:themeColor="text1"/>
                <w:sz w:val="17"/>
                <w:szCs w:val="17"/>
                <w:lang w:val="hr-HR"/>
              </w:rPr>
              <w:t>Izdane garancije u devizama</w:t>
            </w:r>
          </w:p>
        </w:tc>
        <w:tc>
          <w:tcPr>
            <w:tcW w:w="547" w:type="pct"/>
            <w:tcBorders>
              <w:top w:val="nil"/>
              <w:left w:val="nil"/>
              <w:bottom w:val="nil"/>
              <w:right w:val="nil"/>
            </w:tcBorders>
            <w:shd w:val="clear" w:color="auto" w:fill="auto"/>
            <w:vAlign w:val="bottom"/>
          </w:tcPr>
          <w:p w14:paraId="4BC6F3BB" w14:textId="77777777" w:rsidR="00897733" w:rsidRPr="005B35F4" w:rsidRDefault="00897733" w:rsidP="0034622E">
            <w:pPr>
              <w:jc w:val="right"/>
              <w:rPr>
                <w:rFonts w:ascii="Arial" w:hAnsi="Arial" w:cs="Arial"/>
                <w:color w:val="000000"/>
                <w:sz w:val="17"/>
                <w:szCs w:val="17"/>
              </w:rPr>
            </w:pPr>
            <w:r w:rsidRPr="00F84C24">
              <w:rPr>
                <w:rFonts w:ascii="Arial" w:hAnsi="Arial" w:cs="Arial"/>
                <w:color w:val="000000"/>
                <w:sz w:val="17"/>
                <w:szCs w:val="17"/>
              </w:rPr>
              <w:t xml:space="preserve"> 7.716 </w:t>
            </w:r>
          </w:p>
        </w:tc>
        <w:tc>
          <w:tcPr>
            <w:tcW w:w="534" w:type="pct"/>
            <w:tcBorders>
              <w:top w:val="nil"/>
              <w:left w:val="nil"/>
              <w:bottom w:val="nil"/>
              <w:right w:val="nil"/>
            </w:tcBorders>
            <w:shd w:val="clear" w:color="auto" w:fill="auto"/>
            <w:vAlign w:val="bottom"/>
          </w:tcPr>
          <w:p w14:paraId="2A813828" w14:textId="77777777" w:rsidR="00897733" w:rsidRPr="005B35F4" w:rsidRDefault="00897733" w:rsidP="0034622E">
            <w:pPr>
              <w:jc w:val="right"/>
              <w:rPr>
                <w:rFonts w:ascii="Arial" w:hAnsi="Arial" w:cs="Arial"/>
                <w:color w:val="000000"/>
                <w:sz w:val="17"/>
                <w:szCs w:val="17"/>
              </w:rPr>
            </w:pPr>
            <w:r w:rsidRPr="00F84C24">
              <w:rPr>
                <w:rFonts w:ascii="Arial" w:hAnsi="Arial" w:cs="Arial"/>
                <w:color w:val="000000"/>
                <w:sz w:val="17"/>
                <w:szCs w:val="17"/>
              </w:rPr>
              <w:t xml:space="preserve"> - </w:t>
            </w:r>
          </w:p>
        </w:tc>
        <w:tc>
          <w:tcPr>
            <w:tcW w:w="528" w:type="pct"/>
            <w:tcBorders>
              <w:top w:val="nil"/>
              <w:left w:val="nil"/>
              <w:bottom w:val="nil"/>
              <w:right w:val="nil"/>
            </w:tcBorders>
            <w:shd w:val="clear" w:color="auto" w:fill="auto"/>
            <w:vAlign w:val="bottom"/>
          </w:tcPr>
          <w:p w14:paraId="3A542D99" w14:textId="77777777" w:rsidR="00897733" w:rsidRPr="005B35F4" w:rsidRDefault="00897733" w:rsidP="0034622E">
            <w:pPr>
              <w:jc w:val="right"/>
              <w:rPr>
                <w:rFonts w:ascii="Arial" w:hAnsi="Arial" w:cs="Arial"/>
                <w:color w:val="000000"/>
                <w:sz w:val="17"/>
                <w:szCs w:val="17"/>
              </w:rPr>
            </w:pPr>
            <w:r w:rsidRPr="00F84C24">
              <w:rPr>
                <w:rFonts w:ascii="Arial" w:hAnsi="Arial" w:cs="Arial"/>
                <w:color w:val="000000"/>
                <w:sz w:val="17"/>
                <w:szCs w:val="17"/>
              </w:rPr>
              <w:t xml:space="preserve"> - </w:t>
            </w:r>
          </w:p>
        </w:tc>
        <w:tc>
          <w:tcPr>
            <w:tcW w:w="538" w:type="pct"/>
            <w:tcBorders>
              <w:top w:val="nil"/>
              <w:left w:val="nil"/>
              <w:bottom w:val="nil"/>
              <w:right w:val="nil"/>
            </w:tcBorders>
            <w:shd w:val="clear" w:color="auto" w:fill="auto"/>
            <w:vAlign w:val="bottom"/>
          </w:tcPr>
          <w:p w14:paraId="4A6622F8" w14:textId="77777777" w:rsidR="00897733" w:rsidRPr="005B35F4" w:rsidRDefault="00897733" w:rsidP="0034622E">
            <w:pPr>
              <w:jc w:val="right"/>
              <w:rPr>
                <w:rFonts w:ascii="Arial" w:hAnsi="Arial" w:cs="Arial"/>
                <w:color w:val="000000"/>
                <w:sz w:val="17"/>
                <w:szCs w:val="17"/>
              </w:rPr>
            </w:pPr>
            <w:r w:rsidRPr="00F84C24">
              <w:rPr>
                <w:rFonts w:ascii="Arial" w:hAnsi="Arial" w:cs="Arial"/>
                <w:color w:val="000000"/>
                <w:sz w:val="17"/>
                <w:szCs w:val="17"/>
              </w:rPr>
              <w:t xml:space="preserve"> - </w:t>
            </w:r>
          </w:p>
        </w:tc>
        <w:tc>
          <w:tcPr>
            <w:tcW w:w="623" w:type="pct"/>
            <w:tcBorders>
              <w:top w:val="nil"/>
              <w:left w:val="nil"/>
              <w:bottom w:val="nil"/>
              <w:right w:val="nil"/>
            </w:tcBorders>
            <w:shd w:val="clear" w:color="auto" w:fill="auto"/>
            <w:vAlign w:val="bottom"/>
          </w:tcPr>
          <w:p w14:paraId="4B585C82" w14:textId="77777777" w:rsidR="00897733" w:rsidRPr="005B35F4" w:rsidRDefault="00897733" w:rsidP="0034622E">
            <w:pPr>
              <w:jc w:val="right"/>
              <w:rPr>
                <w:rFonts w:ascii="Arial" w:hAnsi="Arial" w:cs="Arial"/>
                <w:color w:val="000000"/>
                <w:sz w:val="17"/>
                <w:szCs w:val="17"/>
              </w:rPr>
            </w:pPr>
            <w:r w:rsidRPr="00F84C24">
              <w:rPr>
                <w:rFonts w:ascii="Arial" w:hAnsi="Arial" w:cs="Arial"/>
                <w:color w:val="000000"/>
                <w:sz w:val="17"/>
                <w:szCs w:val="17"/>
              </w:rPr>
              <w:t xml:space="preserve"> - </w:t>
            </w:r>
          </w:p>
        </w:tc>
        <w:tc>
          <w:tcPr>
            <w:tcW w:w="593" w:type="pct"/>
            <w:tcBorders>
              <w:top w:val="nil"/>
              <w:left w:val="nil"/>
              <w:bottom w:val="nil"/>
              <w:right w:val="nil"/>
            </w:tcBorders>
            <w:shd w:val="clear" w:color="auto" w:fill="auto"/>
            <w:vAlign w:val="bottom"/>
          </w:tcPr>
          <w:p w14:paraId="17E1CDF5" w14:textId="77777777" w:rsidR="00897733" w:rsidRPr="005B35F4" w:rsidRDefault="00897733" w:rsidP="0034622E">
            <w:pPr>
              <w:jc w:val="right"/>
              <w:rPr>
                <w:rFonts w:ascii="Arial" w:hAnsi="Arial" w:cs="Arial"/>
                <w:color w:val="000000"/>
                <w:sz w:val="17"/>
                <w:szCs w:val="17"/>
              </w:rPr>
            </w:pPr>
            <w:r w:rsidRPr="00F84C24">
              <w:rPr>
                <w:rFonts w:ascii="Arial" w:hAnsi="Arial" w:cs="Arial"/>
                <w:color w:val="000000"/>
                <w:sz w:val="17"/>
                <w:szCs w:val="17"/>
              </w:rPr>
              <w:t xml:space="preserve"> 7.716 </w:t>
            </w:r>
          </w:p>
        </w:tc>
      </w:tr>
      <w:tr w:rsidR="00897733" w:rsidRPr="005B35F4" w14:paraId="496D5D82" w14:textId="77777777" w:rsidTr="0034622E">
        <w:trPr>
          <w:trHeight w:val="229"/>
        </w:trPr>
        <w:tc>
          <w:tcPr>
            <w:tcW w:w="1637" w:type="pct"/>
            <w:tcBorders>
              <w:top w:val="nil"/>
              <w:left w:val="nil"/>
              <w:bottom w:val="nil"/>
              <w:right w:val="nil"/>
            </w:tcBorders>
            <w:shd w:val="clear" w:color="auto" w:fill="auto"/>
            <w:vAlign w:val="center"/>
          </w:tcPr>
          <w:p w14:paraId="399CD56B" w14:textId="77777777" w:rsidR="00897733" w:rsidRPr="005B35F4" w:rsidRDefault="00897733" w:rsidP="0034622E">
            <w:pPr>
              <w:pStyle w:val="Tot"/>
              <w:spacing w:line="220" w:lineRule="exact"/>
              <w:rPr>
                <w:rFonts w:eastAsia="Calibri" w:cs="Arial"/>
                <w:b/>
                <w:bCs/>
                <w:color w:val="000000" w:themeColor="text1"/>
                <w:spacing w:val="-2"/>
                <w:sz w:val="17"/>
                <w:szCs w:val="17"/>
                <w:lang w:val="hr-HR"/>
              </w:rPr>
            </w:pPr>
            <w:r w:rsidRPr="005B35F4">
              <w:rPr>
                <w:rFonts w:cs="Arial"/>
                <w:color w:val="000000" w:themeColor="text1"/>
                <w:sz w:val="17"/>
                <w:szCs w:val="17"/>
                <w:lang w:val="hr-HR"/>
              </w:rPr>
              <w:t>Preuzete obveze po kreditima</w:t>
            </w:r>
          </w:p>
        </w:tc>
        <w:tc>
          <w:tcPr>
            <w:tcW w:w="547" w:type="pct"/>
            <w:tcBorders>
              <w:top w:val="nil"/>
              <w:left w:val="nil"/>
              <w:bottom w:val="nil"/>
              <w:right w:val="nil"/>
            </w:tcBorders>
            <w:shd w:val="clear" w:color="auto" w:fill="auto"/>
            <w:vAlign w:val="bottom"/>
          </w:tcPr>
          <w:p w14:paraId="50B42BCF" w14:textId="77777777" w:rsidR="00897733" w:rsidRPr="005B35F4" w:rsidRDefault="00897733" w:rsidP="0034622E">
            <w:pPr>
              <w:jc w:val="right"/>
              <w:rPr>
                <w:rFonts w:ascii="Arial" w:hAnsi="Arial" w:cs="Arial"/>
                <w:color w:val="000000"/>
                <w:sz w:val="17"/>
                <w:szCs w:val="17"/>
              </w:rPr>
            </w:pPr>
            <w:r w:rsidRPr="00F84C24">
              <w:rPr>
                <w:rFonts w:ascii="Arial" w:hAnsi="Arial" w:cs="Arial"/>
                <w:color w:val="000000"/>
                <w:sz w:val="17"/>
                <w:szCs w:val="17"/>
              </w:rPr>
              <w:t xml:space="preserve"> 445.273 </w:t>
            </w:r>
          </w:p>
        </w:tc>
        <w:tc>
          <w:tcPr>
            <w:tcW w:w="534" w:type="pct"/>
            <w:tcBorders>
              <w:top w:val="nil"/>
              <w:left w:val="nil"/>
              <w:bottom w:val="nil"/>
              <w:right w:val="nil"/>
            </w:tcBorders>
            <w:shd w:val="clear" w:color="auto" w:fill="auto"/>
            <w:vAlign w:val="bottom"/>
          </w:tcPr>
          <w:p w14:paraId="2B01780C" w14:textId="77777777" w:rsidR="00897733" w:rsidRPr="005B35F4" w:rsidRDefault="00897733" w:rsidP="0034622E">
            <w:pPr>
              <w:jc w:val="right"/>
              <w:rPr>
                <w:rFonts w:ascii="Arial" w:hAnsi="Arial" w:cs="Arial"/>
                <w:color w:val="000000"/>
                <w:sz w:val="17"/>
                <w:szCs w:val="17"/>
              </w:rPr>
            </w:pPr>
            <w:r w:rsidRPr="00F84C24">
              <w:rPr>
                <w:rFonts w:ascii="Arial" w:hAnsi="Arial" w:cs="Arial"/>
                <w:color w:val="000000"/>
                <w:sz w:val="17"/>
                <w:szCs w:val="17"/>
              </w:rPr>
              <w:t xml:space="preserve"> - </w:t>
            </w:r>
          </w:p>
        </w:tc>
        <w:tc>
          <w:tcPr>
            <w:tcW w:w="528" w:type="pct"/>
            <w:tcBorders>
              <w:top w:val="nil"/>
              <w:left w:val="nil"/>
              <w:bottom w:val="nil"/>
              <w:right w:val="nil"/>
            </w:tcBorders>
            <w:shd w:val="clear" w:color="auto" w:fill="auto"/>
            <w:vAlign w:val="bottom"/>
          </w:tcPr>
          <w:p w14:paraId="726721A6" w14:textId="77777777" w:rsidR="00897733" w:rsidRPr="005B35F4" w:rsidRDefault="00897733" w:rsidP="0034622E">
            <w:pPr>
              <w:jc w:val="right"/>
              <w:rPr>
                <w:rFonts w:ascii="Arial" w:hAnsi="Arial" w:cs="Arial"/>
                <w:color w:val="000000"/>
                <w:sz w:val="17"/>
                <w:szCs w:val="17"/>
              </w:rPr>
            </w:pPr>
            <w:r w:rsidRPr="00F84C24">
              <w:rPr>
                <w:rFonts w:ascii="Arial" w:hAnsi="Arial" w:cs="Arial"/>
                <w:color w:val="000000"/>
                <w:sz w:val="17"/>
                <w:szCs w:val="17"/>
              </w:rPr>
              <w:t xml:space="preserve"> - </w:t>
            </w:r>
          </w:p>
        </w:tc>
        <w:tc>
          <w:tcPr>
            <w:tcW w:w="538" w:type="pct"/>
            <w:tcBorders>
              <w:top w:val="nil"/>
              <w:left w:val="nil"/>
              <w:bottom w:val="nil"/>
              <w:right w:val="nil"/>
            </w:tcBorders>
            <w:shd w:val="clear" w:color="auto" w:fill="auto"/>
            <w:vAlign w:val="bottom"/>
          </w:tcPr>
          <w:p w14:paraId="7982CD78" w14:textId="77777777" w:rsidR="00897733" w:rsidRPr="005B35F4" w:rsidRDefault="00897733" w:rsidP="0034622E">
            <w:pPr>
              <w:jc w:val="right"/>
              <w:rPr>
                <w:rFonts w:ascii="Arial" w:hAnsi="Arial" w:cs="Arial"/>
                <w:color w:val="000000"/>
                <w:sz w:val="17"/>
                <w:szCs w:val="17"/>
              </w:rPr>
            </w:pPr>
            <w:r w:rsidRPr="00F84C24">
              <w:rPr>
                <w:rFonts w:ascii="Arial" w:hAnsi="Arial" w:cs="Arial"/>
                <w:color w:val="000000"/>
                <w:sz w:val="17"/>
                <w:szCs w:val="17"/>
              </w:rPr>
              <w:t xml:space="preserve"> - </w:t>
            </w:r>
          </w:p>
        </w:tc>
        <w:tc>
          <w:tcPr>
            <w:tcW w:w="623" w:type="pct"/>
            <w:tcBorders>
              <w:top w:val="nil"/>
              <w:left w:val="nil"/>
              <w:bottom w:val="nil"/>
              <w:right w:val="nil"/>
            </w:tcBorders>
            <w:shd w:val="clear" w:color="auto" w:fill="auto"/>
            <w:vAlign w:val="bottom"/>
          </w:tcPr>
          <w:p w14:paraId="2A1171A7" w14:textId="77777777" w:rsidR="00897733" w:rsidRPr="005B35F4" w:rsidRDefault="00897733" w:rsidP="0034622E">
            <w:pPr>
              <w:jc w:val="right"/>
              <w:rPr>
                <w:rFonts w:ascii="Arial" w:hAnsi="Arial" w:cs="Arial"/>
                <w:color w:val="000000"/>
                <w:sz w:val="17"/>
                <w:szCs w:val="17"/>
              </w:rPr>
            </w:pPr>
            <w:r w:rsidRPr="00F84C24">
              <w:rPr>
                <w:rFonts w:ascii="Arial" w:hAnsi="Arial" w:cs="Arial"/>
                <w:color w:val="000000"/>
                <w:sz w:val="17"/>
                <w:szCs w:val="17"/>
              </w:rPr>
              <w:t xml:space="preserve"> - </w:t>
            </w:r>
          </w:p>
        </w:tc>
        <w:tc>
          <w:tcPr>
            <w:tcW w:w="593" w:type="pct"/>
            <w:tcBorders>
              <w:top w:val="nil"/>
              <w:left w:val="nil"/>
              <w:bottom w:val="nil"/>
              <w:right w:val="nil"/>
            </w:tcBorders>
            <w:shd w:val="clear" w:color="auto" w:fill="auto"/>
            <w:vAlign w:val="bottom"/>
          </w:tcPr>
          <w:p w14:paraId="7A41CD49" w14:textId="77777777" w:rsidR="00897733" w:rsidRPr="005B35F4" w:rsidRDefault="00897733" w:rsidP="0034622E">
            <w:pPr>
              <w:jc w:val="right"/>
              <w:rPr>
                <w:rFonts w:ascii="Arial" w:hAnsi="Arial" w:cs="Arial"/>
                <w:color w:val="000000"/>
                <w:sz w:val="17"/>
                <w:szCs w:val="17"/>
              </w:rPr>
            </w:pPr>
            <w:r w:rsidRPr="00F84C24">
              <w:rPr>
                <w:rFonts w:ascii="Arial" w:hAnsi="Arial" w:cs="Arial"/>
                <w:color w:val="000000"/>
                <w:sz w:val="17"/>
                <w:szCs w:val="17"/>
              </w:rPr>
              <w:t xml:space="preserve"> 445.273 </w:t>
            </w:r>
          </w:p>
        </w:tc>
      </w:tr>
      <w:tr w:rsidR="00897733" w:rsidRPr="005B35F4" w14:paraId="123EC878" w14:textId="77777777" w:rsidTr="0034622E">
        <w:trPr>
          <w:trHeight w:val="229"/>
        </w:trPr>
        <w:tc>
          <w:tcPr>
            <w:tcW w:w="1637" w:type="pct"/>
            <w:tcBorders>
              <w:top w:val="nil"/>
              <w:left w:val="nil"/>
              <w:bottom w:val="nil"/>
              <w:right w:val="nil"/>
            </w:tcBorders>
            <w:shd w:val="clear" w:color="auto" w:fill="auto"/>
            <w:vAlign w:val="bottom"/>
          </w:tcPr>
          <w:p w14:paraId="03A924F7" w14:textId="77777777" w:rsidR="00897733" w:rsidRPr="005B35F4" w:rsidRDefault="00897733" w:rsidP="0034622E">
            <w:pPr>
              <w:pStyle w:val="Tot"/>
              <w:spacing w:line="220" w:lineRule="exact"/>
              <w:rPr>
                <w:rFonts w:cs="Arial"/>
                <w:color w:val="000000" w:themeColor="text1"/>
                <w:sz w:val="17"/>
                <w:szCs w:val="17"/>
                <w:lang w:val="hr-HR"/>
              </w:rPr>
            </w:pPr>
            <w:r w:rsidRPr="005B35F4">
              <w:rPr>
                <w:rFonts w:cs="Arial"/>
                <w:color w:val="000000" w:themeColor="text1"/>
                <w:sz w:val="17"/>
                <w:szCs w:val="17"/>
                <w:lang w:val="hr-HR"/>
              </w:rPr>
              <w:t>Upisani a neuplaćeni kapital EIF-a</w:t>
            </w:r>
          </w:p>
        </w:tc>
        <w:tc>
          <w:tcPr>
            <w:tcW w:w="547" w:type="pct"/>
            <w:tcBorders>
              <w:top w:val="nil"/>
              <w:left w:val="nil"/>
              <w:bottom w:val="nil"/>
              <w:right w:val="nil"/>
            </w:tcBorders>
            <w:shd w:val="clear" w:color="auto" w:fill="auto"/>
            <w:vAlign w:val="bottom"/>
          </w:tcPr>
          <w:p w14:paraId="0AFBB7F4" w14:textId="77777777" w:rsidR="00897733" w:rsidRPr="005B35F4" w:rsidRDefault="00897733" w:rsidP="0034622E">
            <w:pPr>
              <w:jc w:val="right"/>
              <w:rPr>
                <w:rFonts w:ascii="Arial" w:hAnsi="Arial" w:cs="Arial"/>
                <w:color w:val="000000"/>
                <w:sz w:val="17"/>
                <w:szCs w:val="17"/>
              </w:rPr>
            </w:pPr>
            <w:r w:rsidRPr="00F84C24">
              <w:rPr>
                <w:rFonts w:ascii="Arial" w:hAnsi="Arial" w:cs="Arial"/>
                <w:color w:val="000000"/>
                <w:sz w:val="17"/>
                <w:szCs w:val="17"/>
              </w:rPr>
              <w:t xml:space="preserve"> 10.400 </w:t>
            </w:r>
          </w:p>
        </w:tc>
        <w:tc>
          <w:tcPr>
            <w:tcW w:w="534" w:type="pct"/>
            <w:tcBorders>
              <w:top w:val="nil"/>
              <w:left w:val="nil"/>
              <w:bottom w:val="nil"/>
              <w:right w:val="nil"/>
            </w:tcBorders>
            <w:shd w:val="clear" w:color="auto" w:fill="auto"/>
            <w:vAlign w:val="bottom"/>
          </w:tcPr>
          <w:p w14:paraId="75CCC329" w14:textId="77777777" w:rsidR="00897733" w:rsidRPr="005B35F4" w:rsidRDefault="00897733" w:rsidP="0034622E">
            <w:pPr>
              <w:jc w:val="right"/>
              <w:rPr>
                <w:rFonts w:ascii="Arial" w:hAnsi="Arial" w:cs="Arial"/>
                <w:color w:val="000000"/>
                <w:sz w:val="17"/>
                <w:szCs w:val="17"/>
              </w:rPr>
            </w:pPr>
            <w:r w:rsidRPr="00F84C24">
              <w:rPr>
                <w:rFonts w:ascii="Arial" w:hAnsi="Arial" w:cs="Arial"/>
                <w:color w:val="000000"/>
                <w:sz w:val="17"/>
                <w:szCs w:val="17"/>
              </w:rPr>
              <w:t xml:space="preserve"> - </w:t>
            </w:r>
          </w:p>
        </w:tc>
        <w:tc>
          <w:tcPr>
            <w:tcW w:w="528" w:type="pct"/>
            <w:tcBorders>
              <w:top w:val="nil"/>
              <w:left w:val="nil"/>
              <w:bottom w:val="nil"/>
              <w:right w:val="nil"/>
            </w:tcBorders>
            <w:shd w:val="clear" w:color="auto" w:fill="auto"/>
            <w:vAlign w:val="bottom"/>
          </w:tcPr>
          <w:p w14:paraId="4B67EC96" w14:textId="77777777" w:rsidR="00897733" w:rsidRPr="005B35F4" w:rsidRDefault="00897733" w:rsidP="0034622E">
            <w:pPr>
              <w:jc w:val="right"/>
              <w:rPr>
                <w:rFonts w:ascii="Arial" w:hAnsi="Arial" w:cs="Arial"/>
                <w:color w:val="000000"/>
                <w:sz w:val="17"/>
                <w:szCs w:val="17"/>
              </w:rPr>
            </w:pPr>
            <w:r w:rsidRPr="00F84C24">
              <w:rPr>
                <w:rFonts w:ascii="Arial" w:hAnsi="Arial" w:cs="Arial"/>
                <w:color w:val="000000"/>
                <w:sz w:val="17"/>
                <w:szCs w:val="17"/>
              </w:rPr>
              <w:t xml:space="preserve"> - </w:t>
            </w:r>
          </w:p>
        </w:tc>
        <w:tc>
          <w:tcPr>
            <w:tcW w:w="538" w:type="pct"/>
            <w:tcBorders>
              <w:top w:val="nil"/>
              <w:left w:val="nil"/>
              <w:bottom w:val="nil"/>
              <w:right w:val="nil"/>
            </w:tcBorders>
            <w:shd w:val="clear" w:color="auto" w:fill="auto"/>
            <w:vAlign w:val="bottom"/>
          </w:tcPr>
          <w:p w14:paraId="6CEC1786" w14:textId="77777777" w:rsidR="00897733" w:rsidRPr="005B35F4" w:rsidRDefault="00897733" w:rsidP="0034622E">
            <w:pPr>
              <w:jc w:val="right"/>
              <w:rPr>
                <w:rFonts w:ascii="Arial" w:hAnsi="Arial" w:cs="Arial"/>
                <w:color w:val="000000"/>
                <w:sz w:val="17"/>
                <w:szCs w:val="17"/>
              </w:rPr>
            </w:pPr>
            <w:r w:rsidRPr="00F84C24">
              <w:rPr>
                <w:rFonts w:ascii="Arial" w:hAnsi="Arial" w:cs="Arial"/>
                <w:color w:val="000000"/>
                <w:sz w:val="17"/>
                <w:szCs w:val="17"/>
              </w:rPr>
              <w:t xml:space="preserve"> - </w:t>
            </w:r>
          </w:p>
        </w:tc>
        <w:tc>
          <w:tcPr>
            <w:tcW w:w="623" w:type="pct"/>
            <w:tcBorders>
              <w:top w:val="nil"/>
              <w:left w:val="nil"/>
              <w:bottom w:val="nil"/>
              <w:right w:val="nil"/>
            </w:tcBorders>
            <w:shd w:val="clear" w:color="auto" w:fill="auto"/>
            <w:vAlign w:val="bottom"/>
          </w:tcPr>
          <w:p w14:paraId="384F5223" w14:textId="77777777" w:rsidR="00897733" w:rsidRPr="005B35F4" w:rsidRDefault="00897733" w:rsidP="0034622E">
            <w:pPr>
              <w:jc w:val="right"/>
              <w:rPr>
                <w:rFonts w:ascii="Arial" w:hAnsi="Arial" w:cs="Arial"/>
                <w:color w:val="000000"/>
                <w:sz w:val="17"/>
                <w:szCs w:val="17"/>
              </w:rPr>
            </w:pPr>
            <w:r w:rsidRPr="00F84C24">
              <w:rPr>
                <w:rFonts w:ascii="Arial" w:hAnsi="Arial" w:cs="Arial"/>
                <w:color w:val="000000"/>
                <w:sz w:val="17"/>
                <w:szCs w:val="17"/>
              </w:rPr>
              <w:t xml:space="preserve"> - </w:t>
            </w:r>
          </w:p>
        </w:tc>
        <w:tc>
          <w:tcPr>
            <w:tcW w:w="593" w:type="pct"/>
            <w:tcBorders>
              <w:top w:val="nil"/>
              <w:left w:val="nil"/>
              <w:bottom w:val="nil"/>
              <w:right w:val="nil"/>
            </w:tcBorders>
            <w:shd w:val="clear" w:color="auto" w:fill="auto"/>
            <w:vAlign w:val="bottom"/>
          </w:tcPr>
          <w:p w14:paraId="560ED644" w14:textId="77777777" w:rsidR="00897733" w:rsidRPr="005B35F4" w:rsidRDefault="00897733" w:rsidP="0034622E">
            <w:pPr>
              <w:jc w:val="right"/>
              <w:rPr>
                <w:rFonts w:ascii="Arial" w:hAnsi="Arial" w:cs="Arial"/>
                <w:color w:val="000000"/>
                <w:sz w:val="17"/>
                <w:szCs w:val="17"/>
              </w:rPr>
            </w:pPr>
            <w:r w:rsidRPr="00F84C24">
              <w:rPr>
                <w:rFonts w:ascii="Arial" w:hAnsi="Arial" w:cs="Arial"/>
                <w:color w:val="000000"/>
                <w:sz w:val="17"/>
                <w:szCs w:val="17"/>
              </w:rPr>
              <w:t xml:space="preserve"> 10.400 </w:t>
            </w:r>
          </w:p>
        </w:tc>
      </w:tr>
      <w:tr w:rsidR="00897733" w:rsidRPr="005B35F4" w14:paraId="5C531D69" w14:textId="77777777" w:rsidTr="0034622E">
        <w:trPr>
          <w:trHeight w:val="229"/>
        </w:trPr>
        <w:tc>
          <w:tcPr>
            <w:tcW w:w="1637" w:type="pct"/>
            <w:tcBorders>
              <w:top w:val="nil"/>
              <w:left w:val="nil"/>
              <w:bottom w:val="nil"/>
              <w:right w:val="nil"/>
            </w:tcBorders>
            <w:shd w:val="clear" w:color="auto" w:fill="auto"/>
          </w:tcPr>
          <w:p w14:paraId="0D9D6E4D" w14:textId="77777777" w:rsidR="00897733" w:rsidRPr="005B35F4" w:rsidRDefault="00897733" w:rsidP="0034622E">
            <w:pPr>
              <w:pStyle w:val="Tot"/>
              <w:spacing w:line="220" w:lineRule="exact"/>
              <w:rPr>
                <w:rFonts w:cs="Arial"/>
                <w:color w:val="000000" w:themeColor="text1"/>
                <w:sz w:val="17"/>
                <w:szCs w:val="17"/>
                <w:lang w:val="hr-HR"/>
              </w:rPr>
            </w:pPr>
            <w:r w:rsidRPr="005B35F4">
              <w:rPr>
                <w:rFonts w:cs="Arial"/>
                <w:color w:val="000000" w:themeColor="text1"/>
                <w:sz w:val="17"/>
                <w:szCs w:val="17"/>
                <w:lang w:val="hr-HR"/>
              </w:rPr>
              <w:t>Ugovorena obveza EIF CROGIP</w:t>
            </w:r>
          </w:p>
        </w:tc>
        <w:tc>
          <w:tcPr>
            <w:tcW w:w="547" w:type="pct"/>
            <w:tcBorders>
              <w:top w:val="nil"/>
              <w:left w:val="nil"/>
              <w:bottom w:val="nil"/>
              <w:right w:val="nil"/>
            </w:tcBorders>
            <w:shd w:val="clear" w:color="auto" w:fill="auto"/>
            <w:vAlign w:val="bottom"/>
          </w:tcPr>
          <w:p w14:paraId="6B9D371E" w14:textId="77777777" w:rsidR="00897733" w:rsidRPr="005B35F4" w:rsidRDefault="00897733" w:rsidP="0034622E">
            <w:pPr>
              <w:jc w:val="right"/>
              <w:rPr>
                <w:rFonts w:ascii="Arial" w:hAnsi="Arial" w:cs="Arial"/>
                <w:color w:val="000000"/>
                <w:sz w:val="17"/>
                <w:szCs w:val="17"/>
              </w:rPr>
            </w:pPr>
            <w:r w:rsidRPr="00F84C24">
              <w:rPr>
                <w:rFonts w:ascii="Arial" w:hAnsi="Arial" w:cs="Arial"/>
                <w:color w:val="000000"/>
                <w:sz w:val="17"/>
                <w:szCs w:val="17"/>
              </w:rPr>
              <w:t xml:space="preserve"> 129 </w:t>
            </w:r>
          </w:p>
        </w:tc>
        <w:tc>
          <w:tcPr>
            <w:tcW w:w="534" w:type="pct"/>
            <w:tcBorders>
              <w:top w:val="nil"/>
              <w:left w:val="nil"/>
              <w:bottom w:val="nil"/>
              <w:right w:val="nil"/>
            </w:tcBorders>
            <w:shd w:val="clear" w:color="auto" w:fill="auto"/>
            <w:vAlign w:val="bottom"/>
          </w:tcPr>
          <w:p w14:paraId="09586E1E" w14:textId="77777777" w:rsidR="00897733" w:rsidRPr="005B35F4" w:rsidRDefault="00897733" w:rsidP="0034622E">
            <w:pPr>
              <w:jc w:val="right"/>
              <w:rPr>
                <w:rFonts w:ascii="Arial" w:hAnsi="Arial" w:cs="Arial"/>
                <w:color w:val="000000"/>
                <w:sz w:val="17"/>
                <w:szCs w:val="17"/>
              </w:rPr>
            </w:pPr>
            <w:r w:rsidRPr="00F84C24">
              <w:rPr>
                <w:rFonts w:ascii="Arial" w:hAnsi="Arial" w:cs="Arial"/>
                <w:color w:val="000000"/>
                <w:sz w:val="17"/>
                <w:szCs w:val="17"/>
              </w:rPr>
              <w:t xml:space="preserve"> 1.467 </w:t>
            </w:r>
          </w:p>
        </w:tc>
        <w:tc>
          <w:tcPr>
            <w:tcW w:w="528" w:type="pct"/>
            <w:tcBorders>
              <w:top w:val="nil"/>
              <w:left w:val="nil"/>
              <w:bottom w:val="nil"/>
              <w:right w:val="nil"/>
            </w:tcBorders>
            <w:shd w:val="clear" w:color="auto" w:fill="auto"/>
            <w:vAlign w:val="bottom"/>
          </w:tcPr>
          <w:p w14:paraId="20851DE3" w14:textId="77777777" w:rsidR="00897733" w:rsidRPr="005B35F4" w:rsidRDefault="00897733" w:rsidP="0034622E">
            <w:pPr>
              <w:jc w:val="right"/>
              <w:rPr>
                <w:rFonts w:ascii="Arial" w:hAnsi="Arial" w:cs="Arial"/>
                <w:color w:val="000000"/>
                <w:sz w:val="17"/>
                <w:szCs w:val="17"/>
              </w:rPr>
            </w:pPr>
            <w:r w:rsidRPr="00F84C24">
              <w:rPr>
                <w:rFonts w:ascii="Arial" w:hAnsi="Arial" w:cs="Arial"/>
                <w:color w:val="000000"/>
                <w:sz w:val="17"/>
                <w:szCs w:val="17"/>
              </w:rPr>
              <w:t xml:space="preserve"> 7.404 </w:t>
            </w:r>
          </w:p>
        </w:tc>
        <w:tc>
          <w:tcPr>
            <w:tcW w:w="538" w:type="pct"/>
            <w:tcBorders>
              <w:top w:val="nil"/>
              <w:left w:val="nil"/>
              <w:bottom w:val="nil"/>
              <w:right w:val="nil"/>
            </w:tcBorders>
            <w:shd w:val="clear" w:color="auto" w:fill="auto"/>
            <w:vAlign w:val="bottom"/>
          </w:tcPr>
          <w:p w14:paraId="2DD84EA7" w14:textId="77777777" w:rsidR="00897733" w:rsidRPr="005B35F4" w:rsidRDefault="00897733" w:rsidP="0034622E">
            <w:pPr>
              <w:jc w:val="right"/>
              <w:rPr>
                <w:rFonts w:ascii="Arial" w:hAnsi="Arial" w:cs="Arial"/>
                <w:color w:val="000000"/>
                <w:sz w:val="17"/>
                <w:szCs w:val="17"/>
              </w:rPr>
            </w:pPr>
            <w:r w:rsidRPr="00F84C24">
              <w:rPr>
                <w:rFonts w:ascii="Arial" w:hAnsi="Arial" w:cs="Arial"/>
                <w:color w:val="000000"/>
                <w:sz w:val="17"/>
                <w:szCs w:val="17"/>
              </w:rPr>
              <w:t xml:space="preserve"> 15.800 </w:t>
            </w:r>
          </w:p>
        </w:tc>
        <w:tc>
          <w:tcPr>
            <w:tcW w:w="623" w:type="pct"/>
            <w:tcBorders>
              <w:top w:val="nil"/>
              <w:left w:val="nil"/>
              <w:bottom w:val="nil"/>
              <w:right w:val="nil"/>
            </w:tcBorders>
            <w:shd w:val="clear" w:color="auto" w:fill="auto"/>
            <w:vAlign w:val="bottom"/>
          </w:tcPr>
          <w:p w14:paraId="5E4E378E" w14:textId="77777777" w:rsidR="00897733" w:rsidRPr="005B35F4" w:rsidRDefault="00897733" w:rsidP="0034622E">
            <w:pPr>
              <w:jc w:val="right"/>
              <w:rPr>
                <w:rFonts w:ascii="Arial" w:hAnsi="Arial" w:cs="Arial"/>
                <w:color w:val="000000"/>
                <w:sz w:val="17"/>
                <w:szCs w:val="17"/>
              </w:rPr>
            </w:pPr>
            <w:r w:rsidRPr="00F84C24">
              <w:rPr>
                <w:rFonts w:ascii="Arial" w:hAnsi="Arial" w:cs="Arial"/>
                <w:color w:val="000000"/>
                <w:sz w:val="17"/>
                <w:szCs w:val="17"/>
              </w:rPr>
              <w:t xml:space="preserve"> 6.660 </w:t>
            </w:r>
          </w:p>
        </w:tc>
        <w:tc>
          <w:tcPr>
            <w:tcW w:w="593" w:type="pct"/>
            <w:tcBorders>
              <w:top w:val="nil"/>
              <w:left w:val="nil"/>
              <w:bottom w:val="nil"/>
              <w:right w:val="nil"/>
            </w:tcBorders>
            <w:shd w:val="clear" w:color="auto" w:fill="auto"/>
            <w:vAlign w:val="bottom"/>
          </w:tcPr>
          <w:p w14:paraId="79B62916" w14:textId="77777777" w:rsidR="00897733" w:rsidRPr="005B35F4" w:rsidRDefault="00897733" w:rsidP="0034622E">
            <w:pPr>
              <w:jc w:val="right"/>
              <w:rPr>
                <w:rFonts w:ascii="Arial" w:hAnsi="Arial" w:cs="Arial"/>
                <w:color w:val="000000"/>
                <w:sz w:val="17"/>
                <w:szCs w:val="17"/>
              </w:rPr>
            </w:pPr>
            <w:r w:rsidRPr="00F84C24">
              <w:rPr>
                <w:rFonts w:ascii="Arial" w:hAnsi="Arial" w:cs="Arial"/>
                <w:color w:val="000000"/>
                <w:sz w:val="17"/>
                <w:szCs w:val="17"/>
              </w:rPr>
              <w:t xml:space="preserve"> 31.460 </w:t>
            </w:r>
          </w:p>
        </w:tc>
      </w:tr>
      <w:tr w:rsidR="00897733" w:rsidRPr="005B35F4" w14:paraId="14501CFB" w14:textId="77777777" w:rsidTr="0034622E">
        <w:trPr>
          <w:trHeight w:val="229"/>
        </w:trPr>
        <w:tc>
          <w:tcPr>
            <w:tcW w:w="1637" w:type="pct"/>
            <w:tcBorders>
              <w:top w:val="nil"/>
              <w:left w:val="nil"/>
              <w:bottom w:val="nil"/>
              <w:right w:val="nil"/>
            </w:tcBorders>
            <w:shd w:val="clear" w:color="auto" w:fill="auto"/>
          </w:tcPr>
          <w:p w14:paraId="7B9C3F0D" w14:textId="77777777" w:rsidR="00897733" w:rsidRPr="005B35F4" w:rsidRDefault="00897733" w:rsidP="0034622E">
            <w:pPr>
              <w:pStyle w:val="Tot"/>
              <w:spacing w:line="220" w:lineRule="exact"/>
              <w:rPr>
                <w:rFonts w:cs="Arial"/>
                <w:color w:val="000000" w:themeColor="text1"/>
                <w:sz w:val="17"/>
                <w:szCs w:val="17"/>
                <w:lang w:val="hr-HR"/>
              </w:rPr>
            </w:pPr>
            <w:r w:rsidRPr="005B35F4">
              <w:rPr>
                <w:rFonts w:cs="Arial"/>
                <w:color w:val="000000" w:themeColor="text1"/>
                <w:sz w:val="17"/>
                <w:szCs w:val="17"/>
                <w:lang w:val="hr-HR"/>
              </w:rPr>
              <w:t>Ugovorena obveza EIF FRC2</w:t>
            </w:r>
          </w:p>
        </w:tc>
        <w:tc>
          <w:tcPr>
            <w:tcW w:w="547" w:type="pct"/>
            <w:tcBorders>
              <w:top w:val="nil"/>
              <w:left w:val="nil"/>
              <w:bottom w:val="single" w:sz="8" w:space="0" w:color="auto"/>
              <w:right w:val="nil"/>
            </w:tcBorders>
            <w:shd w:val="clear" w:color="auto" w:fill="auto"/>
            <w:vAlign w:val="bottom"/>
          </w:tcPr>
          <w:p w14:paraId="342BC3DE" w14:textId="77777777" w:rsidR="00897733" w:rsidRPr="005B35F4" w:rsidRDefault="00897733" w:rsidP="0034622E">
            <w:pPr>
              <w:jc w:val="right"/>
              <w:rPr>
                <w:rFonts w:ascii="Arial" w:hAnsi="Arial" w:cs="Arial"/>
                <w:color w:val="000000"/>
                <w:sz w:val="17"/>
                <w:szCs w:val="17"/>
              </w:rPr>
            </w:pPr>
            <w:r w:rsidRPr="00F84C24">
              <w:rPr>
                <w:rFonts w:ascii="Arial" w:hAnsi="Arial" w:cs="Arial"/>
                <w:color w:val="000000"/>
                <w:sz w:val="17"/>
                <w:szCs w:val="17"/>
              </w:rPr>
              <w:t xml:space="preserve"> 14 </w:t>
            </w:r>
          </w:p>
        </w:tc>
        <w:tc>
          <w:tcPr>
            <w:tcW w:w="534" w:type="pct"/>
            <w:tcBorders>
              <w:top w:val="nil"/>
              <w:left w:val="nil"/>
              <w:bottom w:val="single" w:sz="8" w:space="0" w:color="auto"/>
              <w:right w:val="nil"/>
            </w:tcBorders>
            <w:shd w:val="clear" w:color="auto" w:fill="auto"/>
            <w:vAlign w:val="bottom"/>
          </w:tcPr>
          <w:p w14:paraId="0E05F617" w14:textId="77777777" w:rsidR="00897733" w:rsidRPr="005B35F4" w:rsidRDefault="00897733" w:rsidP="0034622E">
            <w:pPr>
              <w:jc w:val="right"/>
              <w:rPr>
                <w:rFonts w:ascii="Arial" w:hAnsi="Arial" w:cs="Arial"/>
                <w:color w:val="000000"/>
                <w:sz w:val="17"/>
                <w:szCs w:val="17"/>
              </w:rPr>
            </w:pPr>
            <w:r w:rsidRPr="00F84C24">
              <w:rPr>
                <w:rFonts w:ascii="Arial" w:hAnsi="Arial" w:cs="Arial"/>
                <w:color w:val="000000"/>
                <w:sz w:val="17"/>
                <w:szCs w:val="17"/>
              </w:rPr>
              <w:t xml:space="preserve"> 4 </w:t>
            </w:r>
          </w:p>
        </w:tc>
        <w:tc>
          <w:tcPr>
            <w:tcW w:w="528" w:type="pct"/>
            <w:tcBorders>
              <w:top w:val="nil"/>
              <w:left w:val="nil"/>
              <w:bottom w:val="single" w:sz="8" w:space="0" w:color="auto"/>
              <w:right w:val="nil"/>
            </w:tcBorders>
            <w:shd w:val="clear" w:color="auto" w:fill="auto"/>
            <w:vAlign w:val="bottom"/>
          </w:tcPr>
          <w:p w14:paraId="15BE8D0D" w14:textId="77777777" w:rsidR="00897733" w:rsidRPr="005B35F4" w:rsidRDefault="00897733" w:rsidP="0034622E">
            <w:pPr>
              <w:jc w:val="right"/>
              <w:rPr>
                <w:rFonts w:ascii="Arial" w:hAnsi="Arial" w:cs="Arial"/>
                <w:color w:val="000000"/>
                <w:sz w:val="17"/>
                <w:szCs w:val="17"/>
              </w:rPr>
            </w:pPr>
            <w:r w:rsidRPr="00F84C24">
              <w:rPr>
                <w:rFonts w:ascii="Arial" w:hAnsi="Arial" w:cs="Arial"/>
                <w:color w:val="000000"/>
                <w:sz w:val="17"/>
                <w:szCs w:val="17"/>
              </w:rPr>
              <w:t xml:space="preserve"> 13 </w:t>
            </w:r>
          </w:p>
        </w:tc>
        <w:tc>
          <w:tcPr>
            <w:tcW w:w="538" w:type="pct"/>
            <w:tcBorders>
              <w:top w:val="nil"/>
              <w:left w:val="nil"/>
              <w:bottom w:val="single" w:sz="8" w:space="0" w:color="auto"/>
              <w:right w:val="nil"/>
            </w:tcBorders>
            <w:shd w:val="clear" w:color="auto" w:fill="auto"/>
            <w:vAlign w:val="bottom"/>
          </w:tcPr>
          <w:p w14:paraId="4A35E425" w14:textId="77777777" w:rsidR="00897733" w:rsidRPr="005B35F4" w:rsidRDefault="00897733" w:rsidP="0034622E">
            <w:pPr>
              <w:jc w:val="right"/>
              <w:rPr>
                <w:rFonts w:ascii="Arial" w:hAnsi="Arial" w:cs="Arial"/>
                <w:color w:val="000000"/>
                <w:sz w:val="17"/>
                <w:szCs w:val="17"/>
              </w:rPr>
            </w:pPr>
            <w:r w:rsidRPr="00F84C24">
              <w:rPr>
                <w:rFonts w:ascii="Arial" w:hAnsi="Arial" w:cs="Arial"/>
                <w:color w:val="000000"/>
                <w:sz w:val="17"/>
                <w:szCs w:val="17"/>
              </w:rPr>
              <w:t xml:space="preserve"> 40 </w:t>
            </w:r>
          </w:p>
        </w:tc>
        <w:tc>
          <w:tcPr>
            <w:tcW w:w="623" w:type="pct"/>
            <w:tcBorders>
              <w:top w:val="nil"/>
              <w:left w:val="nil"/>
              <w:bottom w:val="single" w:sz="8" w:space="0" w:color="auto"/>
              <w:right w:val="nil"/>
            </w:tcBorders>
            <w:shd w:val="clear" w:color="auto" w:fill="auto"/>
            <w:vAlign w:val="bottom"/>
          </w:tcPr>
          <w:p w14:paraId="107E30AB" w14:textId="77777777" w:rsidR="00897733" w:rsidRPr="005B35F4" w:rsidRDefault="00897733" w:rsidP="0034622E">
            <w:pPr>
              <w:jc w:val="right"/>
              <w:rPr>
                <w:rFonts w:ascii="Arial" w:hAnsi="Arial" w:cs="Arial"/>
                <w:color w:val="000000"/>
                <w:sz w:val="17"/>
                <w:szCs w:val="17"/>
              </w:rPr>
            </w:pPr>
            <w:r w:rsidRPr="00F84C24">
              <w:rPr>
                <w:rFonts w:ascii="Arial" w:hAnsi="Arial" w:cs="Arial"/>
                <w:color w:val="000000"/>
                <w:sz w:val="17"/>
                <w:szCs w:val="17"/>
              </w:rPr>
              <w:t xml:space="preserve"> 10 </w:t>
            </w:r>
          </w:p>
        </w:tc>
        <w:tc>
          <w:tcPr>
            <w:tcW w:w="593" w:type="pct"/>
            <w:tcBorders>
              <w:top w:val="nil"/>
              <w:left w:val="nil"/>
              <w:bottom w:val="single" w:sz="8" w:space="0" w:color="auto"/>
              <w:right w:val="nil"/>
            </w:tcBorders>
            <w:shd w:val="clear" w:color="auto" w:fill="auto"/>
            <w:vAlign w:val="bottom"/>
          </w:tcPr>
          <w:p w14:paraId="541DBFB3" w14:textId="77777777" w:rsidR="00897733" w:rsidRPr="005B35F4" w:rsidRDefault="00897733" w:rsidP="0034622E">
            <w:pPr>
              <w:jc w:val="right"/>
              <w:rPr>
                <w:rFonts w:ascii="Arial" w:hAnsi="Arial" w:cs="Arial"/>
                <w:color w:val="000000"/>
                <w:sz w:val="17"/>
                <w:szCs w:val="17"/>
              </w:rPr>
            </w:pPr>
            <w:r w:rsidRPr="00F84C24">
              <w:rPr>
                <w:rFonts w:ascii="Arial" w:hAnsi="Arial" w:cs="Arial"/>
                <w:color w:val="000000"/>
                <w:sz w:val="17"/>
                <w:szCs w:val="17"/>
              </w:rPr>
              <w:t xml:space="preserve"> 81 </w:t>
            </w:r>
          </w:p>
        </w:tc>
      </w:tr>
      <w:tr w:rsidR="00897733" w:rsidRPr="005B35F4" w14:paraId="5617FD08" w14:textId="77777777" w:rsidTr="0034622E">
        <w:trPr>
          <w:trHeight w:val="229"/>
        </w:trPr>
        <w:tc>
          <w:tcPr>
            <w:tcW w:w="1637" w:type="pct"/>
            <w:tcBorders>
              <w:top w:val="nil"/>
              <w:left w:val="nil"/>
              <w:bottom w:val="nil"/>
              <w:right w:val="nil"/>
            </w:tcBorders>
            <w:shd w:val="clear" w:color="auto" w:fill="auto"/>
            <w:vAlign w:val="center"/>
          </w:tcPr>
          <w:p w14:paraId="607492B0" w14:textId="77777777" w:rsidR="00897733" w:rsidRPr="005B35F4" w:rsidRDefault="00897733" w:rsidP="0034622E">
            <w:pPr>
              <w:pStyle w:val="Tot"/>
              <w:spacing w:line="220" w:lineRule="exact"/>
              <w:rPr>
                <w:rFonts w:eastAsia="Calibri" w:cs="Arial"/>
                <w:b/>
                <w:bCs/>
                <w:color w:val="000000" w:themeColor="text1"/>
                <w:spacing w:val="-2"/>
                <w:sz w:val="17"/>
                <w:szCs w:val="17"/>
                <w:lang w:val="hr-HR"/>
              </w:rPr>
            </w:pPr>
            <w:r w:rsidRPr="005B35F4">
              <w:rPr>
                <w:rFonts w:cs="Arial"/>
                <w:b/>
                <w:bCs/>
                <w:color w:val="000000" w:themeColor="text1"/>
                <w:sz w:val="17"/>
                <w:szCs w:val="17"/>
                <w:lang w:val="hr-HR"/>
              </w:rPr>
              <w:t>Ukupne garancije i preuzete obveze</w:t>
            </w:r>
          </w:p>
        </w:tc>
        <w:tc>
          <w:tcPr>
            <w:tcW w:w="547" w:type="pct"/>
            <w:tcBorders>
              <w:top w:val="single" w:sz="8" w:space="0" w:color="auto"/>
              <w:left w:val="nil"/>
              <w:bottom w:val="single" w:sz="12" w:space="0" w:color="auto"/>
              <w:right w:val="nil"/>
            </w:tcBorders>
            <w:shd w:val="clear" w:color="auto" w:fill="auto"/>
            <w:vAlign w:val="bottom"/>
          </w:tcPr>
          <w:p w14:paraId="732C4B0B" w14:textId="77777777" w:rsidR="00897733" w:rsidRPr="005B35F4" w:rsidRDefault="00897733" w:rsidP="0034622E">
            <w:pPr>
              <w:jc w:val="right"/>
              <w:rPr>
                <w:rFonts w:ascii="Arial" w:hAnsi="Arial" w:cs="Arial"/>
                <w:b/>
                <w:bCs/>
                <w:color w:val="000000"/>
                <w:sz w:val="17"/>
                <w:szCs w:val="17"/>
              </w:rPr>
            </w:pPr>
            <w:r w:rsidRPr="00F84C24">
              <w:rPr>
                <w:rFonts w:ascii="Arial" w:hAnsi="Arial" w:cs="Arial"/>
                <w:b/>
                <w:bCs/>
                <w:color w:val="000000"/>
                <w:sz w:val="17"/>
                <w:szCs w:val="17"/>
              </w:rPr>
              <w:t>516.155</w:t>
            </w:r>
          </w:p>
        </w:tc>
        <w:tc>
          <w:tcPr>
            <w:tcW w:w="534" w:type="pct"/>
            <w:tcBorders>
              <w:top w:val="single" w:sz="8" w:space="0" w:color="auto"/>
              <w:left w:val="nil"/>
              <w:bottom w:val="single" w:sz="12" w:space="0" w:color="auto"/>
              <w:right w:val="nil"/>
            </w:tcBorders>
            <w:shd w:val="clear" w:color="auto" w:fill="auto"/>
            <w:vAlign w:val="bottom"/>
          </w:tcPr>
          <w:p w14:paraId="0547CE6D" w14:textId="77777777" w:rsidR="00897733" w:rsidRPr="005B35F4" w:rsidRDefault="00897733" w:rsidP="0034622E">
            <w:pPr>
              <w:jc w:val="right"/>
              <w:rPr>
                <w:rFonts w:ascii="Arial" w:hAnsi="Arial" w:cs="Arial"/>
                <w:b/>
                <w:bCs/>
                <w:color w:val="000000"/>
                <w:sz w:val="17"/>
                <w:szCs w:val="17"/>
              </w:rPr>
            </w:pPr>
            <w:r w:rsidRPr="00F84C24">
              <w:rPr>
                <w:rFonts w:ascii="Arial" w:hAnsi="Arial" w:cs="Arial"/>
                <w:b/>
                <w:bCs/>
                <w:color w:val="000000"/>
                <w:sz w:val="17"/>
                <w:szCs w:val="17"/>
              </w:rPr>
              <w:t>1.471</w:t>
            </w:r>
          </w:p>
        </w:tc>
        <w:tc>
          <w:tcPr>
            <w:tcW w:w="528" w:type="pct"/>
            <w:tcBorders>
              <w:top w:val="single" w:sz="8" w:space="0" w:color="auto"/>
              <w:left w:val="nil"/>
              <w:bottom w:val="single" w:sz="12" w:space="0" w:color="auto"/>
              <w:right w:val="nil"/>
            </w:tcBorders>
            <w:shd w:val="clear" w:color="auto" w:fill="auto"/>
            <w:vAlign w:val="bottom"/>
          </w:tcPr>
          <w:p w14:paraId="2EC6CE97" w14:textId="77777777" w:rsidR="00897733" w:rsidRPr="005B35F4" w:rsidRDefault="00897733" w:rsidP="0034622E">
            <w:pPr>
              <w:jc w:val="right"/>
              <w:rPr>
                <w:rFonts w:ascii="Arial" w:hAnsi="Arial" w:cs="Arial"/>
                <w:b/>
                <w:bCs/>
                <w:color w:val="000000"/>
                <w:sz w:val="17"/>
                <w:szCs w:val="17"/>
              </w:rPr>
            </w:pPr>
            <w:r w:rsidRPr="00F84C24">
              <w:rPr>
                <w:rFonts w:ascii="Arial" w:hAnsi="Arial" w:cs="Arial"/>
                <w:b/>
                <w:bCs/>
                <w:color w:val="000000"/>
                <w:sz w:val="17"/>
                <w:szCs w:val="17"/>
              </w:rPr>
              <w:t>7.417</w:t>
            </w:r>
          </w:p>
        </w:tc>
        <w:tc>
          <w:tcPr>
            <w:tcW w:w="538" w:type="pct"/>
            <w:tcBorders>
              <w:top w:val="single" w:sz="8" w:space="0" w:color="auto"/>
              <w:left w:val="nil"/>
              <w:bottom w:val="single" w:sz="12" w:space="0" w:color="auto"/>
              <w:right w:val="nil"/>
            </w:tcBorders>
            <w:shd w:val="clear" w:color="auto" w:fill="auto"/>
            <w:vAlign w:val="bottom"/>
          </w:tcPr>
          <w:p w14:paraId="1BF04A07" w14:textId="77777777" w:rsidR="00897733" w:rsidRPr="005B35F4" w:rsidRDefault="00897733" w:rsidP="0034622E">
            <w:pPr>
              <w:jc w:val="right"/>
              <w:rPr>
                <w:rFonts w:ascii="Arial" w:hAnsi="Arial" w:cs="Arial"/>
                <w:b/>
                <w:bCs/>
                <w:color w:val="000000"/>
                <w:sz w:val="17"/>
                <w:szCs w:val="17"/>
              </w:rPr>
            </w:pPr>
            <w:r w:rsidRPr="00F84C24">
              <w:rPr>
                <w:rFonts w:ascii="Arial" w:hAnsi="Arial" w:cs="Arial"/>
                <w:b/>
                <w:bCs/>
                <w:color w:val="000000"/>
                <w:sz w:val="17"/>
                <w:szCs w:val="17"/>
              </w:rPr>
              <w:t>15.840</w:t>
            </w:r>
          </w:p>
        </w:tc>
        <w:tc>
          <w:tcPr>
            <w:tcW w:w="623" w:type="pct"/>
            <w:tcBorders>
              <w:top w:val="single" w:sz="8" w:space="0" w:color="auto"/>
              <w:left w:val="nil"/>
              <w:bottom w:val="single" w:sz="12" w:space="0" w:color="auto"/>
              <w:right w:val="nil"/>
            </w:tcBorders>
            <w:shd w:val="clear" w:color="auto" w:fill="auto"/>
            <w:vAlign w:val="bottom"/>
          </w:tcPr>
          <w:p w14:paraId="6C54B9D8" w14:textId="77777777" w:rsidR="00897733" w:rsidRPr="005B35F4" w:rsidRDefault="00897733" w:rsidP="0034622E">
            <w:pPr>
              <w:jc w:val="right"/>
              <w:rPr>
                <w:rFonts w:ascii="Arial" w:hAnsi="Arial" w:cs="Arial"/>
                <w:b/>
                <w:bCs/>
                <w:color w:val="000000"/>
                <w:sz w:val="17"/>
                <w:szCs w:val="17"/>
              </w:rPr>
            </w:pPr>
            <w:r w:rsidRPr="00F84C24">
              <w:rPr>
                <w:rFonts w:ascii="Arial" w:hAnsi="Arial" w:cs="Arial"/>
                <w:b/>
                <w:bCs/>
                <w:color w:val="000000"/>
                <w:sz w:val="17"/>
                <w:szCs w:val="17"/>
              </w:rPr>
              <w:t>6.670</w:t>
            </w:r>
          </w:p>
        </w:tc>
        <w:tc>
          <w:tcPr>
            <w:tcW w:w="593" w:type="pct"/>
            <w:tcBorders>
              <w:top w:val="single" w:sz="8" w:space="0" w:color="auto"/>
              <w:left w:val="nil"/>
              <w:bottom w:val="single" w:sz="12" w:space="0" w:color="auto"/>
              <w:right w:val="nil"/>
            </w:tcBorders>
            <w:shd w:val="clear" w:color="auto" w:fill="auto"/>
            <w:vAlign w:val="bottom"/>
          </w:tcPr>
          <w:p w14:paraId="096A825E" w14:textId="77777777" w:rsidR="00897733" w:rsidRPr="005B35F4" w:rsidRDefault="00897733" w:rsidP="0034622E">
            <w:pPr>
              <w:jc w:val="right"/>
              <w:rPr>
                <w:rFonts w:ascii="Arial" w:hAnsi="Arial" w:cs="Arial"/>
                <w:b/>
                <w:bCs/>
                <w:color w:val="000000"/>
                <w:sz w:val="17"/>
                <w:szCs w:val="17"/>
              </w:rPr>
            </w:pPr>
            <w:r w:rsidRPr="00F84C24">
              <w:rPr>
                <w:rFonts w:ascii="Arial" w:hAnsi="Arial" w:cs="Arial"/>
                <w:b/>
                <w:bCs/>
                <w:color w:val="000000"/>
                <w:sz w:val="17"/>
                <w:szCs w:val="17"/>
              </w:rPr>
              <w:t>547.553</w:t>
            </w:r>
          </w:p>
        </w:tc>
      </w:tr>
    </w:tbl>
    <w:p w14:paraId="0B32D9C0" w14:textId="77777777" w:rsidR="00661446" w:rsidRPr="003D1614" w:rsidRDefault="00661446" w:rsidP="00661446">
      <w:pPr>
        <w:suppressAutoHyphens/>
        <w:autoSpaceDN w:val="0"/>
        <w:jc w:val="both"/>
        <w:rPr>
          <w:rFonts w:ascii="Arial" w:eastAsia="Times New Roman" w:hAnsi="Arial" w:cs="Arial"/>
          <w:bCs/>
          <w:color w:val="000000" w:themeColor="text1"/>
          <w:sz w:val="20"/>
          <w:szCs w:val="20"/>
        </w:rPr>
      </w:pPr>
    </w:p>
    <w:p w14:paraId="38D863A8" w14:textId="77777777" w:rsidR="00661446" w:rsidRPr="003D1614" w:rsidRDefault="00661446" w:rsidP="00661446">
      <w:pPr>
        <w:suppressAutoHyphens/>
        <w:autoSpaceDN w:val="0"/>
        <w:jc w:val="both"/>
        <w:rPr>
          <w:rFonts w:ascii="Arial" w:eastAsia="Times New Roman" w:hAnsi="Arial" w:cs="Arial"/>
          <w:bCs/>
          <w:color w:val="000000" w:themeColor="text1"/>
          <w:sz w:val="20"/>
          <w:szCs w:val="20"/>
        </w:rPr>
      </w:pPr>
    </w:p>
    <w:p w14:paraId="6073F3C1" w14:textId="77777777" w:rsidR="00661446" w:rsidRPr="003D1614" w:rsidRDefault="00661446" w:rsidP="00661446">
      <w:pPr>
        <w:suppressAutoHyphens/>
        <w:autoSpaceDN w:val="0"/>
        <w:jc w:val="both"/>
        <w:rPr>
          <w:rFonts w:ascii="Arial" w:eastAsia="Times New Roman" w:hAnsi="Arial" w:cs="Arial"/>
          <w:bCs/>
          <w:color w:val="000000" w:themeColor="text1"/>
          <w:sz w:val="20"/>
          <w:szCs w:val="20"/>
        </w:rPr>
      </w:pPr>
    </w:p>
    <w:p w14:paraId="5B5B1724" w14:textId="77777777" w:rsidR="00661446" w:rsidRPr="003D1614" w:rsidRDefault="00661446" w:rsidP="00661446">
      <w:pPr>
        <w:suppressAutoHyphens/>
        <w:autoSpaceDN w:val="0"/>
        <w:jc w:val="both"/>
        <w:rPr>
          <w:rFonts w:ascii="Arial" w:eastAsia="Times New Roman" w:hAnsi="Arial" w:cs="Arial"/>
          <w:i/>
          <w:color w:val="000000" w:themeColor="text1"/>
          <w:sz w:val="18"/>
          <w:szCs w:val="18"/>
        </w:rPr>
      </w:pPr>
      <w:r w:rsidRPr="003D1614">
        <w:rPr>
          <w:rFonts w:ascii="Arial" w:eastAsia="Times New Roman" w:hAnsi="Arial" w:cs="Arial"/>
          <w:bCs/>
          <w:color w:val="000000" w:themeColor="text1"/>
          <w:sz w:val="18"/>
          <w:szCs w:val="18"/>
        </w:rPr>
        <w:t>Stavke s neodređenim dospijećem iskazane su u razdoblju preko 3 godine.</w:t>
      </w:r>
      <w:r w:rsidRPr="003D1614">
        <w:rPr>
          <w:rFonts w:ascii="Arial" w:eastAsia="Times New Roman" w:hAnsi="Arial" w:cs="Arial"/>
          <w:i/>
          <w:color w:val="000000" w:themeColor="text1"/>
          <w:sz w:val="18"/>
          <w:szCs w:val="18"/>
        </w:rPr>
        <w:t xml:space="preserve"> </w:t>
      </w:r>
    </w:p>
    <w:p w14:paraId="5093ACB9" w14:textId="77777777" w:rsidR="00661446" w:rsidRPr="003D1614" w:rsidRDefault="00661446" w:rsidP="00661446">
      <w:pPr>
        <w:suppressAutoHyphens/>
        <w:autoSpaceDN w:val="0"/>
        <w:jc w:val="both"/>
        <w:rPr>
          <w:rFonts w:ascii="Arial" w:eastAsia="Times New Roman" w:hAnsi="Arial" w:cs="Arial"/>
          <w:i/>
          <w:color w:val="000000" w:themeColor="text1"/>
          <w:sz w:val="20"/>
          <w:szCs w:val="20"/>
        </w:rPr>
      </w:pPr>
    </w:p>
    <w:p w14:paraId="34005589" w14:textId="77777777" w:rsidR="00C15B2E" w:rsidRPr="00F959D0" w:rsidRDefault="00C15B2E" w:rsidP="00C15B2E">
      <w:pPr>
        <w:keepNext/>
        <w:ind w:right="-1"/>
        <w:jc w:val="both"/>
        <w:rPr>
          <w:rFonts w:cs="Arial"/>
          <w:b/>
          <w:bCs/>
          <w:strike/>
          <w:color w:val="000000" w:themeColor="text1"/>
          <w:sz w:val="18"/>
          <w:szCs w:val="18"/>
        </w:rPr>
      </w:pPr>
      <w:r w:rsidRPr="0013758D">
        <w:rPr>
          <w:rFonts w:ascii="Arial" w:hAnsi="Arial" w:cs="Arial"/>
          <w:bCs/>
          <w:i/>
          <w:color w:val="000000" w:themeColor="text1"/>
          <w:sz w:val="18"/>
          <w:szCs w:val="18"/>
        </w:rPr>
        <w:t>*</w:t>
      </w:r>
      <w:r w:rsidRPr="0013758D">
        <w:rPr>
          <w:rFonts w:ascii="Arial" w:hAnsi="Arial" w:cs="Arial"/>
          <w:b/>
          <w:bCs/>
          <w:color w:val="000000" w:themeColor="text1"/>
          <w:sz w:val="18"/>
          <w:szCs w:val="18"/>
        </w:rPr>
        <w:t xml:space="preserve"> </w:t>
      </w:r>
      <w:r w:rsidRPr="00001088">
        <w:rPr>
          <w:rFonts w:ascii="Arial" w:hAnsi="Arial" w:cs="Arial"/>
          <w:bCs/>
          <w:i/>
          <w:color w:val="000000" w:themeColor="text1"/>
          <w:sz w:val="18"/>
          <w:szCs w:val="18"/>
        </w:rPr>
        <w:t xml:space="preserve">Potraživanje u iznosu od </w:t>
      </w:r>
      <w:r>
        <w:rPr>
          <w:rFonts w:ascii="Arial" w:hAnsi="Arial" w:cs="Arial"/>
          <w:bCs/>
          <w:i/>
          <w:color w:val="000000" w:themeColor="text1"/>
          <w:sz w:val="18"/>
          <w:szCs w:val="18"/>
        </w:rPr>
        <w:t>193</w:t>
      </w:r>
      <w:r w:rsidRPr="00001088">
        <w:rPr>
          <w:rFonts w:ascii="Arial" w:hAnsi="Arial" w:cs="Arial"/>
          <w:bCs/>
          <w:i/>
          <w:color w:val="000000" w:themeColor="text1"/>
          <w:sz w:val="18"/>
          <w:szCs w:val="18"/>
        </w:rPr>
        <w:t xml:space="preserve">.000 tisuća eura odnosi se na obrnute repo poslove. Kako je dio iznosa potraživanja produžen nakon datuma Izvještaja o financijskom položaju njegovo dospijeće iskazano je u razdoblju od 1 do 3 mjeseca u iznosu od 128.000 tisuća </w:t>
      </w:r>
      <w:r>
        <w:rPr>
          <w:rFonts w:ascii="Arial" w:hAnsi="Arial" w:cs="Arial"/>
          <w:bCs/>
          <w:i/>
          <w:color w:val="000000" w:themeColor="text1"/>
          <w:sz w:val="18"/>
          <w:szCs w:val="18"/>
        </w:rPr>
        <w:t>eura</w:t>
      </w:r>
      <w:r w:rsidRPr="00001088">
        <w:rPr>
          <w:rFonts w:ascii="Arial" w:hAnsi="Arial" w:cs="Arial"/>
          <w:bCs/>
          <w:i/>
          <w:color w:val="000000" w:themeColor="text1"/>
          <w:sz w:val="18"/>
          <w:szCs w:val="18"/>
        </w:rPr>
        <w:t>.</w:t>
      </w:r>
    </w:p>
    <w:p w14:paraId="0BDE2C5C" w14:textId="77777777" w:rsidR="00C15B2E" w:rsidRPr="003D1614" w:rsidRDefault="00C15B2E" w:rsidP="00C15B2E">
      <w:pPr>
        <w:suppressAutoHyphens/>
        <w:autoSpaceDN w:val="0"/>
        <w:jc w:val="both"/>
        <w:rPr>
          <w:rFonts w:ascii="Arial" w:eastAsia="Calibri" w:hAnsi="Arial" w:cs="Arial"/>
          <w:bCs/>
          <w:i/>
          <w:color w:val="000000" w:themeColor="text1"/>
          <w:sz w:val="18"/>
          <w:szCs w:val="18"/>
        </w:rPr>
      </w:pPr>
      <w:r>
        <w:rPr>
          <w:rFonts w:ascii="Arial" w:eastAsia="Calibri" w:hAnsi="Arial" w:cs="Arial"/>
          <w:bCs/>
          <w:i/>
          <w:color w:val="000000" w:themeColor="text1"/>
          <w:sz w:val="18"/>
          <w:szCs w:val="18"/>
        </w:rPr>
        <w:t>*</w:t>
      </w:r>
      <w:r w:rsidRPr="003D1614">
        <w:rPr>
          <w:rFonts w:ascii="Arial" w:eastAsia="Calibri" w:hAnsi="Arial" w:cs="Arial"/>
          <w:bCs/>
          <w:i/>
          <w:color w:val="000000" w:themeColor="text1"/>
          <w:sz w:val="18"/>
          <w:szCs w:val="18"/>
        </w:rPr>
        <w:t>*Obračunata nedospjela kamata po kreditima raspoređena je u kategoriji od 1 do 3 mjeseca.</w:t>
      </w:r>
    </w:p>
    <w:p w14:paraId="1222FB91" w14:textId="63199369" w:rsidR="00661446" w:rsidRPr="003D1614" w:rsidRDefault="00661446" w:rsidP="00661446">
      <w:pPr>
        <w:suppressAutoHyphens/>
        <w:autoSpaceDN w:val="0"/>
        <w:jc w:val="both"/>
        <w:rPr>
          <w:rFonts w:ascii="Arial" w:eastAsia="Calibri" w:hAnsi="Arial" w:cs="Arial"/>
          <w:bCs/>
          <w:i/>
          <w:color w:val="000000" w:themeColor="text1"/>
          <w:sz w:val="18"/>
          <w:szCs w:val="18"/>
        </w:rPr>
      </w:pPr>
    </w:p>
    <w:p w14:paraId="114DF5B6" w14:textId="77777777" w:rsidR="00661446" w:rsidRPr="003D1614" w:rsidRDefault="00661446" w:rsidP="00661446">
      <w:pPr>
        <w:suppressAutoHyphens/>
        <w:autoSpaceDN w:val="0"/>
        <w:jc w:val="both"/>
        <w:rPr>
          <w:rFonts w:ascii="Arial" w:eastAsia="Times New Roman" w:hAnsi="Arial" w:cs="Arial"/>
          <w:color w:val="000000" w:themeColor="text1"/>
          <w:sz w:val="20"/>
          <w:szCs w:val="20"/>
        </w:rPr>
        <w:sectPr w:rsidR="00661446" w:rsidRPr="003D1614" w:rsidSect="003278AB">
          <w:pgSz w:w="11906" w:h="16838"/>
          <w:pgMar w:top="1417" w:right="1417" w:bottom="1417" w:left="1417" w:header="708" w:footer="708" w:gutter="0"/>
          <w:cols w:space="708"/>
          <w:docGrid w:linePitch="360"/>
        </w:sectPr>
      </w:pPr>
    </w:p>
    <w:p w14:paraId="77A09771" w14:textId="77777777" w:rsidR="00661446" w:rsidRPr="003D1614" w:rsidRDefault="00661446" w:rsidP="00661446">
      <w:pPr>
        <w:keepNext/>
        <w:suppressAutoHyphens/>
        <w:autoSpaceDN w:val="0"/>
        <w:jc w:val="both"/>
        <w:outlineLvl w:val="0"/>
        <w:rPr>
          <w:rFonts w:ascii="Arial" w:eastAsia="Times New Roman" w:hAnsi="Arial" w:cs="Arial"/>
          <w:b/>
          <w:bCs/>
          <w:color w:val="000000" w:themeColor="text1"/>
          <w:sz w:val="20"/>
          <w:szCs w:val="20"/>
        </w:rPr>
      </w:pPr>
    </w:p>
    <w:p w14:paraId="66DEB738" w14:textId="1B0B8AF4" w:rsidR="00661446" w:rsidRPr="003D1614" w:rsidRDefault="00661446" w:rsidP="00661446">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0927D236" w14:textId="77777777" w:rsidR="00661446" w:rsidRPr="003D1614" w:rsidRDefault="00661446" w:rsidP="00661446">
      <w:pPr>
        <w:keepNext/>
        <w:suppressAutoHyphens/>
        <w:autoSpaceDN w:val="0"/>
        <w:jc w:val="both"/>
        <w:outlineLvl w:val="0"/>
        <w:rPr>
          <w:rFonts w:ascii="Arial" w:eastAsia="Times New Roman" w:hAnsi="Arial" w:cs="Arial"/>
          <w:b/>
          <w:bCs/>
          <w:color w:val="000000" w:themeColor="text1"/>
          <w:sz w:val="20"/>
          <w:szCs w:val="20"/>
        </w:rPr>
      </w:pPr>
    </w:p>
    <w:p w14:paraId="57B8268D" w14:textId="07786B1A" w:rsidR="00661446" w:rsidRPr="003D1614" w:rsidRDefault="00661446" w:rsidP="00661446">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.4. </w:t>
      </w:r>
      <w:r w:rsidRPr="003D1614">
        <w:rPr>
          <w:rFonts w:ascii="Arial" w:eastAsia="Times New Roman" w:hAnsi="Arial" w:cs="Arial"/>
          <w:b/>
          <w:bCs/>
          <w:color w:val="000000" w:themeColor="text1"/>
          <w:sz w:val="20"/>
          <w:szCs w:val="20"/>
        </w:rPr>
        <w:tab/>
        <w:t>Rizik likvidnosti (nastavak)</w:t>
      </w:r>
    </w:p>
    <w:p w14:paraId="4EABCD42" w14:textId="77777777" w:rsidR="00661446" w:rsidRPr="003D1614" w:rsidRDefault="00661446" w:rsidP="00661446">
      <w:pPr>
        <w:tabs>
          <w:tab w:val="left" w:pos="-720"/>
        </w:tabs>
        <w:suppressAutoHyphens/>
        <w:autoSpaceDN w:val="0"/>
        <w:jc w:val="both"/>
        <w:rPr>
          <w:rFonts w:ascii="Arial" w:eastAsia="Times New Roman" w:hAnsi="Arial" w:cs="Arial"/>
          <w:color w:val="000000" w:themeColor="text1"/>
          <w:sz w:val="20"/>
          <w:szCs w:val="20"/>
        </w:rPr>
      </w:pPr>
    </w:p>
    <w:p w14:paraId="2FEE353E" w14:textId="6085BD4B" w:rsidR="00661446" w:rsidRPr="003D1614" w:rsidRDefault="00661446" w:rsidP="00661446">
      <w:pPr>
        <w:tabs>
          <w:tab w:val="left" w:pos="-720"/>
        </w:tabs>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Iznos ukupne imovine, ukupnih obveza i garancija i preuzetih obveza na dan </w:t>
      </w:r>
      <w:r w:rsidR="00CF5FC2" w:rsidRPr="00CF5FC2">
        <w:rPr>
          <w:rFonts w:ascii="Arial" w:eastAsia="Times New Roman" w:hAnsi="Arial" w:cs="Arial"/>
          <w:color w:val="000000" w:themeColor="text1"/>
          <w:sz w:val="20"/>
          <w:szCs w:val="20"/>
        </w:rPr>
        <w:t xml:space="preserve">30. </w:t>
      </w:r>
      <w:r w:rsidR="008C3F47">
        <w:rPr>
          <w:rFonts w:ascii="Arial" w:eastAsia="Times New Roman" w:hAnsi="Arial" w:cs="Arial"/>
          <w:color w:val="000000" w:themeColor="text1"/>
          <w:sz w:val="20"/>
          <w:szCs w:val="20"/>
        </w:rPr>
        <w:t>rujna</w:t>
      </w:r>
      <w:r w:rsidR="00CF5FC2" w:rsidRPr="00CF5FC2">
        <w:rPr>
          <w:rFonts w:ascii="Arial" w:eastAsia="Times New Roman" w:hAnsi="Arial" w:cs="Arial"/>
          <w:color w:val="000000" w:themeColor="text1"/>
          <w:sz w:val="20"/>
          <w:szCs w:val="20"/>
        </w:rPr>
        <w:t xml:space="preserve"> </w:t>
      </w:r>
      <w:r w:rsidRPr="003D1614">
        <w:rPr>
          <w:rFonts w:ascii="Arial" w:eastAsia="Times New Roman" w:hAnsi="Arial" w:cs="Arial"/>
          <w:color w:val="000000" w:themeColor="text1"/>
          <w:sz w:val="20"/>
          <w:szCs w:val="20"/>
        </w:rPr>
        <w:t>202</w:t>
      </w:r>
      <w:r w:rsidR="006556B0">
        <w:rPr>
          <w:rFonts w:ascii="Arial" w:eastAsia="Times New Roman" w:hAnsi="Arial" w:cs="Arial"/>
          <w:color w:val="000000" w:themeColor="text1"/>
          <w:sz w:val="20"/>
          <w:szCs w:val="20"/>
        </w:rPr>
        <w:t>4</w:t>
      </w:r>
      <w:r w:rsidRPr="003D1614">
        <w:rPr>
          <w:rFonts w:ascii="Arial" w:eastAsia="Times New Roman" w:hAnsi="Arial" w:cs="Arial"/>
          <w:color w:val="000000" w:themeColor="text1"/>
          <w:sz w:val="20"/>
          <w:szCs w:val="20"/>
        </w:rPr>
        <w:t>. i 31. prosinca 202</w:t>
      </w:r>
      <w:r w:rsidR="006556B0">
        <w:rPr>
          <w:rFonts w:ascii="Arial" w:eastAsia="Times New Roman" w:hAnsi="Arial" w:cs="Arial"/>
          <w:color w:val="000000" w:themeColor="text1"/>
          <w:sz w:val="20"/>
          <w:szCs w:val="20"/>
        </w:rPr>
        <w:t>3</w:t>
      </w:r>
      <w:r w:rsidRPr="003D1614">
        <w:rPr>
          <w:rFonts w:ascii="Arial" w:eastAsia="Times New Roman" w:hAnsi="Arial" w:cs="Arial"/>
          <w:color w:val="000000" w:themeColor="text1"/>
          <w:sz w:val="20"/>
          <w:szCs w:val="20"/>
        </w:rPr>
        <w:t>. analiziran je kroz preostalo razdoblje od dana Izvještaja o financijskom položaju u odnosu na ugovoreni datum dospijeća kako slijedi:</w:t>
      </w:r>
    </w:p>
    <w:p w14:paraId="607D6450" w14:textId="77777777" w:rsidR="00661446" w:rsidRPr="003D1614" w:rsidRDefault="00661446" w:rsidP="00661446">
      <w:pPr>
        <w:tabs>
          <w:tab w:val="left" w:pos="-720"/>
        </w:tabs>
        <w:suppressAutoHyphens/>
        <w:autoSpaceDN w:val="0"/>
        <w:jc w:val="both"/>
        <w:rPr>
          <w:rFonts w:ascii="Arial" w:eastAsia="Times New Roman" w:hAnsi="Arial" w:cs="Arial"/>
          <w:color w:val="000000" w:themeColor="text1"/>
          <w:sz w:val="20"/>
          <w:szCs w:val="20"/>
        </w:rPr>
      </w:pPr>
    </w:p>
    <w:p w14:paraId="457E3444" w14:textId="77777777" w:rsidR="00661446" w:rsidRPr="003D1614" w:rsidRDefault="00661446" w:rsidP="00661446">
      <w:pPr>
        <w:tabs>
          <w:tab w:val="left" w:pos="-720"/>
        </w:tabs>
        <w:suppressAutoHyphens/>
        <w:autoSpaceDN w:val="0"/>
        <w:jc w:val="both"/>
        <w:rPr>
          <w:rFonts w:ascii="Arial" w:eastAsia="Times New Roman" w:hAnsi="Arial" w:cs="Arial"/>
          <w:color w:val="000000" w:themeColor="text1"/>
          <w:sz w:val="20"/>
          <w:szCs w:val="20"/>
        </w:rPr>
      </w:pPr>
    </w:p>
    <w:tbl>
      <w:tblPr>
        <w:tblW w:w="5353" w:type="pct"/>
        <w:tblInd w:w="-142" w:type="dxa"/>
        <w:tblLayout w:type="fixed"/>
        <w:tblCellMar>
          <w:left w:w="120" w:type="dxa"/>
          <w:right w:w="120" w:type="dxa"/>
        </w:tblCellMar>
        <w:tblLook w:val="0000" w:firstRow="0" w:lastRow="0" w:firstColumn="0" w:lastColumn="0" w:noHBand="0" w:noVBand="0"/>
      </w:tblPr>
      <w:tblGrid>
        <w:gridCol w:w="2949"/>
        <w:gridCol w:w="1070"/>
        <w:gridCol w:w="1061"/>
        <w:gridCol w:w="1111"/>
        <w:gridCol w:w="1107"/>
        <w:gridCol w:w="1243"/>
        <w:gridCol w:w="1171"/>
      </w:tblGrid>
      <w:tr w:rsidR="00E159D9" w:rsidRPr="003D1614" w14:paraId="2E55CCAB" w14:textId="77777777" w:rsidTr="004378AC">
        <w:trPr>
          <w:trHeight w:val="463"/>
        </w:trPr>
        <w:tc>
          <w:tcPr>
            <w:tcW w:w="1518" w:type="pct"/>
            <w:vAlign w:val="bottom"/>
          </w:tcPr>
          <w:p w14:paraId="42FA3EF7" w14:textId="77777777" w:rsidR="00E159D9" w:rsidRPr="003D1614" w:rsidRDefault="00E159D9" w:rsidP="004378AC">
            <w:pPr>
              <w:tabs>
                <w:tab w:val="right" w:pos="1202"/>
              </w:tabs>
              <w:suppressAutoHyphens/>
              <w:autoSpaceDN w:val="0"/>
              <w:spacing w:line="240" w:lineRule="exact"/>
              <w:outlineLvl w:val="0"/>
              <w:rPr>
                <w:rFonts w:ascii="Arial" w:eastAsia="Times New Roman" w:hAnsi="Arial" w:cs="Arial"/>
                <w:b/>
                <w:color w:val="000000" w:themeColor="text1"/>
                <w:sz w:val="17"/>
                <w:szCs w:val="17"/>
              </w:rPr>
            </w:pPr>
            <w:bookmarkStart w:id="790" w:name="_Toc67330157"/>
            <w:r w:rsidRPr="003D1614">
              <w:rPr>
                <w:rFonts w:ascii="Arial" w:eastAsia="Times New Roman" w:hAnsi="Arial" w:cs="Arial"/>
                <w:b/>
                <w:color w:val="000000" w:themeColor="text1"/>
                <w:sz w:val="17"/>
                <w:szCs w:val="17"/>
              </w:rPr>
              <w:t>Banka</w:t>
            </w:r>
            <w:bookmarkEnd w:id="790"/>
          </w:p>
          <w:p w14:paraId="154E5CFB" w14:textId="77777777" w:rsidR="00E159D9" w:rsidRPr="003D1614" w:rsidRDefault="00E159D9" w:rsidP="004378AC">
            <w:pPr>
              <w:tabs>
                <w:tab w:val="right" w:pos="1202"/>
              </w:tabs>
              <w:suppressAutoHyphens/>
              <w:autoSpaceDN w:val="0"/>
              <w:spacing w:line="240" w:lineRule="exact"/>
              <w:outlineLvl w:val="0"/>
              <w:rPr>
                <w:rFonts w:ascii="Arial" w:eastAsia="Times New Roman" w:hAnsi="Arial" w:cs="Arial"/>
                <w:b/>
                <w:color w:val="000000" w:themeColor="text1"/>
                <w:sz w:val="17"/>
                <w:szCs w:val="17"/>
              </w:rPr>
            </w:pPr>
            <w:r w:rsidRPr="00881155">
              <w:rPr>
                <w:rFonts w:ascii="Arial" w:eastAsia="Times New Roman" w:hAnsi="Arial" w:cs="Arial"/>
                <w:b/>
                <w:color w:val="000000" w:themeColor="text1"/>
                <w:sz w:val="17"/>
                <w:szCs w:val="17"/>
              </w:rPr>
              <w:t>30. rujna 202</w:t>
            </w:r>
            <w:r>
              <w:rPr>
                <w:rFonts w:ascii="Arial" w:eastAsia="Times New Roman" w:hAnsi="Arial" w:cs="Arial"/>
                <w:b/>
                <w:color w:val="000000" w:themeColor="text1"/>
                <w:sz w:val="17"/>
                <w:szCs w:val="17"/>
              </w:rPr>
              <w:t>4</w:t>
            </w:r>
            <w:r w:rsidRPr="00881155">
              <w:rPr>
                <w:rFonts w:ascii="Arial" w:eastAsia="Times New Roman" w:hAnsi="Arial" w:cs="Arial"/>
                <w:b/>
                <w:color w:val="000000" w:themeColor="text1"/>
                <w:sz w:val="17"/>
                <w:szCs w:val="17"/>
              </w:rPr>
              <w:t>.</w:t>
            </w:r>
          </w:p>
        </w:tc>
        <w:tc>
          <w:tcPr>
            <w:tcW w:w="551" w:type="pct"/>
            <w:vAlign w:val="bottom"/>
          </w:tcPr>
          <w:p w14:paraId="7A51B517" w14:textId="77777777" w:rsidR="00E159D9" w:rsidRPr="003D1614" w:rsidRDefault="00E159D9" w:rsidP="004378AC">
            <w:pPr>
              <w:tabs>
                <w:tab w:val="right" w:pos="1202"/>
              </w:tabs>
              <w:suppressAutoHyphens/>
              <w:autoSpaceDN w:val="0"/>
              <w:spacing w:line="240" w:lineRule="exact"/>
              <w:jc w:val="right"/>
              <w:outlineLvl w:val="0"/>
              <w:rPr>
                <w:rFonts w:ascii="Arial" w:eastAsia="Times New Roman" w:hAnsi="Arial" w:cs="Arial"/>
                <w:b/>
                <w:color w:val="000000" w:themeColor="text1"/>
                <w:sz w:val="17"/>
                <w:szCs w:val="17"/>
              </w:rPr>
            </w:pPr>
            <w:bookmarkStart w:id="791" w:name="_Toc67330159"/>
            <w:r w:rsidRPr="003D1614">
              <w:rPr>
                <w:rFonts w:ascii="Arial" w:eastAsia="Times New Roman" w:hAnsi="Arial" w:cs="Arial"/>
                <w:b/>
                <w:color w:val="000000" w:themeColor="text1"/>
                <w:sz w:val="17"/>
                <w:szCs w:val="17"/>
              </w:rPr>
              <w:t>Do 1 mjesec</w:t>
            </w:r>
            <w:bookmarkEnd w:id="791"/>
          </w:p>
        </w:tc>
        <w:tc>
          <w:tcPr>
            <w:tcW w:w="546" w:type="pct"/>
            <w:vAlign w:val="bottom"/>
          </w:tcPr>
          <w:p w14:paraId="2B9D1E21" w14:textId="77777777" w:rsidR="00E159D9" w:rsidRPr="003D1614" w:rsidRDefault="00E159D9" w:rsidP="004378AC">
            <w:pPr>
              <w:tabs>
                <w:tab w:val="right" w:pos="1202"/>
              </w:tabs>
              <w:suppressAutoHyphens/>
              <w:autoSpaceDN w:val="0"/>
              <w:spacing w:line="240" w:lineRule="exact"/>
              <w:jc w:val="right"/>
              <w:outlineLvl w:val="0"/>
              <w:rPr>
                <w:rFonts w:ascii="Arial" w:eastAsia="Times New Roman" w:hAnsi="Arial" w:cs="Arial"/>
                <w:b/>
                <w:color w:val="000000" w:themeColor="text1"/>
                <w:sz w:val="17"/>
                <w:szCs w:val="17"/>
              </w:rPr>
            </w:pPr>
            <w:bookmarkStart w:id="792" w:name="_Toc67330160"/>
            <w:r w:rsidRPr="003D1614">
              <w:rPr>
                <w:rFonts w:ascii="Arial" w:eastAsia="Times New Roman" w:hAnsi="Arial" w:cs="Arial"/>
                <w:b/>
                <w:color w:val="000000" w:themeColor="text1"/>
                <w:sz w:val="17"/>
                <w:szCs w:val="17"/>
              </w:rPr>
              <w:t>1 do 3 mjeseca</w:t>
            </w:r>
            <w:bookmarkEnd w:id="792"/>
          </w:p>
        </w:tc>
        <w:tc>
          <w:tcPr>
            <w:tcW w:w="572" w:type="pct"/>
            <w:vAlign w:val="bottom"/>
          </w:tcPr>
          <w:p w14:paraId="4599ABAF" w14:textId="77777777" w:rsidR="00E159D9" w:rsidRPr="003D1614" w:rsidRDefault="00E159D9" w:rsidP="004378AC">
            <w:pPr>
              <w:tabs>
                <w:tab w:val="right" w:pos="1202"/>
              </w:tabs>
              <w:suppressAutoHyphens/>
              <w:autoSpaceDN w:val="0"/>
              <w:spacing w:line="240" w:lineRule="exact"/>
              <w:jc w:val="right"/>
              <w:outlineLvl w:val="0"/>
              <w:rPr>
                <w:rFonts w:ascii="Arial" w:eastAsia="Times New Roman" w:hAnsi="Arial" w:cs="Arial"/>
                <w:b/>
                <w:color w:val="000000" w:themeColor="text1"/>
                <w:sz w:val="17"/>
                <w:szCs w:val="17"/>
              </w:rPr>
            </w:pPr>
            <w:bookmarkStart w:id="793" w:name="_Toc67330161"/>
            <w:r w:rsidRPr="003D1614">
              <w:rPr>
                <w:rFonts w:ascii="Arial" w:eastAsia="Times New Roman" w:hAnsi="Arial" w:cs="Arial"/>
                <w:b/>
                <w:color w:val="000000" w:themeColor="text1"/>
                <w:sz w:val="17"/>
                <w:szCs w:val="17"/>
              </w:rPr>
              <w:t>3 mj. do 1 godine</w:t>
            </w:r>
            <w:bookmarkEnd w:id="793"/>
          </w:p>
        </w:tc>
        <w:tc>
          <w:tcPr>
            <w:tcW w:w="570" w:type="pct"/>
            <w:vAlign w:val="bottom"/>
          </w:tcPr>
          <w:p w14:paraId="335C2E4B" w14:textId="77777777" w:rsidR="00E159D9" w:rsidRPr="003D1614" w:rsidRDefault="00E159D9" w:rsidP="004378AC">
            <w:pPr>
              <w:tabs>
                <w:tab w:val="right" w:pos="1202"/>
              </w:tabs>
              <w:suppressAutoHyphens/>
              <w:autoSpaceDN w:val="0"/>
              <w:spacing w:line="240" w:lineRule="exact"/>
              <w:jc w:val="right"/>
              <w:outlineLvl w:val="0"/>
              <w:rPr>
                <w:rFonts w:ascii="Arial" w:eastAsia="Times New Roman" w:hAnsi="Arial" w:cs="Arial"/>
                <w:b/>
                <w:color w:val="000000" w:themeColor="text1"/>
                <w:sz w:val="17"/>
                <w:szCs w:val="17"/>
              </w:rPr>
            </w:pPr>
            <w:bookmarkStart w:id="794" w:name="_Toc67330162"/>
            <w:r w:rsidRPr="003D1614">
              <w:rPr>
                <w:rFonts w:ascii="Arial" w:eastAsia="Times New Roman" w:hAnsi="Arial" w:cs="Arial"/>
                <w:b/>
                <w:color w:val="000000" w:themeColor="text1"/>
                <w:sz w:val="17"/>
                <w:szCs w:val="17"/>
              </w:rPr>
              <w:t>1 do 3 godina</w:t>
            </w:r>
            <w:bookmarkEnd w:id="794"/>
          </w:p>
        </w:tc>
        <w:tc>
          <w:tcPr>
            <w:tcW w:w="640" w:type="pct"/>
            <w:vAlign w:val="bottom"/>
          </w:tcPr>
          <w:p w14:paraId="7268C54A" w14:textId="77777777" w:rsidR="00E159D9" w:rsidRPr="003D1614" w:rsidRDefault="00E159D9" w:rsidP="004378AC">
            <w:pPr>
              <w:tabs>
                <w:tab w:val="right" w:pos="1202"/>
              </w:tabs>
              <w:suppressAutoHyphens/>
              <w:autoSpaceDN w:val="0"/>
              <w:spacing w:line="240" w:lineRule="exact"/>
              <w:jc w:val="right"/>
              <w:outlineLvl w:val="0"/>
              <w:rPr>
                <w:rFonts w:ascii="Arial" w:eastAsia="Times New Roman" w:hAnsi="Arial" w:cs="Arial"/>
                <w:b/>
                <w:color w:val="000000" w:themeColor="text1"/>
                <w:sz w:val="17"/>
                <w:szCs w:val="17"/>
              </w:rPr>
            </w:pPr>
            <w:bookmarkStart w:id="795" w:name="_Toc67330163"/>
            <w:r w:rsidRPr="003D1614">
              <w:rPr>
                <w:rFonts w:ascii="Arial" w:eastAsia="Times New Roman" w:hAnsi="Arial" w:cs="Arial"/>
                <w:b/>
                <w:color w:val="000000" w:themeColor="text1"/>
                <w:sz w:val="17"/>
                <w:szCs w:val="17"/>
              </w:rPr>
              <w:t>Preko 3 godine</w:t>
            </w:r>
            <w:bookmarkEnd w:id="795"/>
          </w:p>
        </w:tc>
        <w:tc>
          <w:tcPr>
            <w:tcW w:w="603" w:type="pct"/>
          </w:tcPr>
          <w:p w14:paraId="3865A41D" w14:textId="77777777" w:rsidR="00E159D9" w:rsidRPr="003D1614" w:rsidRDefault="00E159D9" w:rsidP="004378AC">
            <w:pPr>
              <w:tabs>
                <w:tab w:val="right" w:pos="1202"/>
              </w:tabs>
              <w:suppressAutoHyphens/>
              <w:autoSpaceDN w:val="0"/>
              <w:spacing w:line="240" w:lineRule="exact"/>
              <w:jc w:val="right"/>
              <w:outlineLvl w:val="0"/>
              <w:rPr>
                <w:rFonts w:ascii="Arial" w:eastAsia="Times New Roman" w:hAnsi="Arial" w:cs="Arial"/>
                <w:b/>
                <w:color w:val="000000" w:themeColor="text1"/>
                <w:sz w:val="17"/>
                <w:szCs w:val="17"/>
              </w:rPr>
            </w:pPr>
            <w:bookmarkStart w:id="796" w:name="_Toc67330164"/>
            <w:r w:rsidRPr="003D1614">
              <w:rPr>
                <w:rFonts w:ascii="Arial" w:eastAsia="Times New Roman" w:hAnsi="Arial" w:cs="Arial"/>
                <w:b/>
                <w:color w:val="000000" w:themeColor="text1"/>
                <w:sz w:val="17"/>
                <w:szCs w:val="17"/>
              </w:rPr>
              <w:t>Ukupno</w:t>
            </w:r>
            <w:bookmarkEnd w:id="796"/>
          </w:p>
        </w:tc>
      </w:tr>
      <w:tr w:rsidR="00E159D9" w:rsidRPr="003D1614" w14:paraId="0738EDD2" w14:textId="77777777" w:rsidTr="004378AC">
        <w:trPr>
          <w:trHeight w:val="152"/>
        </w:trPr>
        <w:tc>
          <w:tcPr>
            <w:tcW w:w="1518" w:type="pct"/>
            <w:vAlign w:val="bottom"/>
          </w:tcPr>
          <w:p w14:paraId="2C9997AF" w14:textId="77777777" w:rsidR="00E159D9" w:rsidRPr="003D1614" w:rsidRDefault="00E159D9" w:rsidP="004378AC">
            <w:pPr>
              <w:tabs>
                <w:tab w:val="left" w:pos="-720"/>
              </w:tabs>
              <w:suppressAutoHyphens/>
              <w:autoSpaceDN w:val="0"/>
              <w:spacing w:line="240" w:lineRule="exact"/>
              <w:jc w:val="center"/>
              <w:rPr>
                <w:rFonts w:ascii="Arial" w:eastAsia="Times New Roman" w:hAnsi="Arial" w:cs="Arial"/>
                <w:b/>
                <w:color w:val="000000" w:themeColor="text1"/>
                <w:spacing w:val="-2"/>
                <w:sz w:val="17"/>
                <w:szCs w:val="17"/>
              </w:rPr>
            </w:pPr>
          </w:p>
        </w:tc>
        <w:tc>
          <w:tcPr>
            <w:tcW w:w="551" w:type="pct"/>
            <w:vAlign w:val="bottom"/>
          </w:tcPr>
          <w:p w14:paraId="1B5CED11" w14:textId="77777777" w:rsidR="00E159D9" w:rsidRPr="003D1614" w:rsidRDefault="00E159D9" w:rsidP="004378AC">
            <w:pPr>
              <w:tabs>
                <w:tab w:val="right" w:pos="1202"/>
              </w:tabs>
              <w:suppressAutoHyphens/>
              <w:autoSpaceDN w:val="0"/>
              <w:spacing w:line="240" w:lineRule="exact"/>
              <w:jc w:val="right"/>
              <w:outlineLvl w:val="0"/>
              <w:rPr>
                <w:rFonts w:ascii="Arial" w:eastAsia="Times New Roman" w:hAnsi="Arial" w:cs="Arial"/>
                <w:b/>
                <w:color w:val="000000" w:themeColor="text1"/>
                <w:sz w:val="17"/>
                <w:szCs w:val="17"/>
              </w:rPr>
            </w:pPr>
            <w:bookmarkStart w:id="797" w:name="_Toc67330165"/>
            <w:r w:rsidRPr="003D1614">
              <w:rPr>
                <w:rFonts w:ascii="Arial" w:eastAsia="Times New Roman" w:hAnsi="Arial" w:cs="Arial"/>
                <w:b/>
                <w:bCs/>
                <w:color w:val="000000" w:themeColor="text1"/>
                <w:sz w:val="17"/>
                <w:szCs w:val="17"/>
              </w:rPr>
              <w:t>000 eura</w:t>
            </w:r>
            <w:bookmarkEnd w:id="797"/>
          </w:p>
        </w:tc>
        <w:tc>
          <w:tcPr>
            <w:tcW w:w="546" w:type="pct"/>
            <w:vAlign w:val="bottom"/>
          </w:tcPr>
          <w:p w14:paraId="56FF6C82" w14:textId="77777777" w:rsidR="00E159D9" w:rsidRPr="003D1614" w:rsidRDefault="00E159D9" w:rsidP="004378AC">
            <w:pPr>
              <w:tabs>
                <w:tab w:val="right" w:pos="1202"/>
              </w:tabs>
              <w:suppressAutoHyphens/>
              <w:autoSpaceDN w:val="0"/>
              <w:spacing w:line="240" w:lineRule="exact"/>
              <w:jc w:val="right"/>
              <w:outlineLvl w:val="0"/>
              <w:rPr>
                <w:rFonts w:ascii="Arial" w:eastAsia="Times New Roman" w:hAnsi="Arial" w:cs="Arial"/>
                <w:b/>
                <w:color w:val="000000" w:themeColor="text1"/>
                <w:sz w:val="17"/>
                <w:szCs w:val="17"/>
              </w:rPr>
            </w:pPr>
            <w:bookmarkStart w:id="798" w:name="_Toc67330166"/>
            <w:r w:rsidRPr="003D1614">
              <w:rPr>
                <w:rFonts w:ascii="Arial" w:eastAsia="Times New Roman" w:hAnsi="Arial" w:cs="Arial"/>
                <w:b/>
                <w:bCs/>
                <w:color w:val="000000" w:themeColor="text1"/>
                <w:sz w:val="17"/>
                <w:szCs w:val="17"/>
              </w:rPr>
              <w:t>000 eura</w:t>
            </w:r>
            <w:bookmarkEnd w:id="798"/>
          </w:p>
        </w:tc>
        <w:tc>
          <w:tcPr>
            <w:tcW w:w="572" w:type="pct"/>
            <w:vAlign w:val="bottom"/>
          </w:tcPr>
          <w:p w14:paraId="1FF28E12" w14:textId="77777777" w:rsidR="00E159D9" w:rsidRPr="003D1614" w:rsidRDefault="00E159D9" w:rsidP="004378AC">
            <w:pPr>
              <w:tabs>
                <w:tab w:val="right" w:pos="1202"/>
              </w:tabs>
              <w:suppressAutoHyphens/>
              <w:autoSpaceDN w:val="0"/>
              <w:spacing w:line="240" w:lineRule="exact"/>
              <w:jc w:val="right"/>
              <w:outlineLvl w:val="0"/>
              <w:rPr>
                <w:rFonts w:ascii="Arial" w:eastAsia="Times New Roman" w:hAnsi="Arial" w:cs="Arial"/>
                <w:b/>
                <w:color w:val="000000" w:themeColor="text1"/>
                <w:sz w:val="17"/>
                <w:szCs w:val="17"/>
              </w:rPr>
            </w:pPr>
            <w:bookmarkStart w:id="799" w:name="_Toc67330167"/>
            <w:r w:rsidRPr="003D1614">
              <w:rPr>
                <w:rFonts w:ascii="Arial" w:eastAsia="Times New Roman" w:hAnsi="Arial" w:cs="Arial"/>
                <w:b/>
                <w:bCs/>
                <w:color w:val="000000" w:themeColor="text1"/>
                <w:sz w:val="17"/>
                <w:szCs w:val="17"/>
              </w:rPr>
              <w:t>000 eura</w:t>
            </w:r>
            <w:bookmarkEnd w:id="799"/>
          </w:p>
        </w:tc>
        <w:tc>
          <w:tcPr>
            <w:tcW w:w="570" w:type="pct"/>
            <w:vAlign w:val="bottom"/>
          </w:tcPr>
          <w:p w14:paraId="37411006" w14:textId="77777777" w:rsidR="00E159D9" w:rsidRPr="003D1614" w:rsidRDefault="00E159D9" w:rsidP="004378AC">
            <w:pPr>
              <w:tabs>
                <w:tab w:val="right" w:pos="1202"/>
              </w:tabs>
              <w:suppressAutoHyphens/>
              <w:autoSpaceDN w:val="0"/>
              <w:spacing w:line="240" w:lineRule="exact"/>
              <w:jc w:val="right"/>
              <w:outlineLvl w:val="0"/>
              <w:rPr>
                <w:rFonts w:ascii="Arial" w:eastAsia="Times New Roman" w:hAnsi="Arial" w:cs="Arial"/>
                <w:b/>
                <w:color w:val="000000" w:themeColor="text1"/>
                <w:sz w:val="17"/>
                <w:szCs w:val="17"/>
              </w:rPr>
            </w:pPr>
            <w:bookmarkStart w:id="800" w:name="_Toc67330168"/>
            <w:r w:rsidRPr="003D1614">
              <w:rPr>
                <w:rFonts w:ascii="Arial" w:eastAsia="Times New Roman" w:hAnsi="Arial" w:cs="Arial"/>
                <w:b/>
                <w:bCs/>
                <w:color w:val="000000" w:themeColor="text1"/>
                <w:sz w:val="17"/>
                <w:szCs w:val="17"/>
              </w:rPr>
              <w:t>000 eura</w:t>
            </w:r>
            <w:bookmarkEnd w:id="800"/>
          </w:p>
        </w:tc>
        <w:tc>
          <w:tcPr>
            <w:tcW w:w="640" w:type="pct"/>
            <w:vAlign w:val="bottom"/>
          </w:tcPr>
          <w:p w14:paraId="56107498" w14:textId="77777777" w:rsidR="00E159D9" w:rsidRPr="003D1614" w:rsidRDefault="00E159D9" w:rsidP="004378AC">
            <w:pPr>
              <w:tabs>
                <w:tab w:val="right" w:pos="1202"/>
              </w:tabs>
              <w:suppressAutoHyphens/>
              <w:autoSpaceDN w:val="0"/>
              <w:spacing w:line="240" w:lineRule="exact"/>
              <w:jc w:val="right"/>
              <w:outlineLvl w:val="0"/>
              <w:rPr>
                <w:rFonts w:ascii="Arial" w:eastAsia="Times New Roman" w:hAnsi="Arial" w:cs="Arial"/>
                <w:b/>
                <w:color w:val="000000" w:themeColor="text1"/>
                <w:sz w:val="17"/>
                <w:szCs w:val="17"/>
              </w:rPr>
            </w:pPr>
            <w:bookmarkStart w:id="801" w:name="_Toc67330169"/>
            <w:r w:rsidRPr="003D1614">
              <w:rPr>
                <w:rFonts w:ascii="Arial" w:eastAsia="Times New Roman" w:hAnsi="Arial" w:cs="Arial"/>
                <w:b/>
                <w:bCs/>
                <w:color w:val="000000" w:themeColor="text1"/>
                <w:sz w:val="17"/>
                <w:szCs w:val="17"/>
              </w:rPr>
              <w:t>000 eura</w:t>
            </w:r>
            <w:bookmarkEnd w:id="801"/>
          </w:p>
        </w:tc>
        <w:tc>
          <w:tcPr>
            <w:tcW w:w="603" w:type="pct"/>
            <w:vAlign w:val="bottom"/>
          </w:tcPr>
          <w:p w14:paraId="5055D0D2" w14:textId="77777777" w:rsidR="00E159D9" w:rsidRPr="003D1614" w:rsidRDefault="00E159D9" w:rsidP="004378AC">
            <w:pPr>
              <w:tabs>
                <w:tab w:val="right" w:pos="1202"/>
              </w:tabs>
              <w:suppressAutoHyphens/>
              <w:autoSpaceDN w:val="0"/>
              <w:spacing w:line="240" w:lineRule="exact"/>
              <w:jc w:val="right"/>
              <w:outlineLvl w:val="0"/>
              <w:rPr>
                <w:rFonts w:ascii="Arial" w:eastAsia="Times New Roman" w:hAnsi="Arial" w:cs="Arial"/>
                <w:b/>
                <w:color w:val="000000" w:themeColor="text1"/>
                <w:sz w:val="17"/>
                <w:szCs w:val="17"/>
              </w:rPr>
            </w:pPr>
            <w:bookmarkStart w:id="802" w:name="_Toc67330170"/>
            <w:r w:rsidRPr="003D1614">
              <w:rPr>
                <w:rFonts w:ascii="Arial" w:eastAsia="Times New Roman" w:hAnsi="Arial" w:cs="Arial"/>
                <w:b/>
                <w:bCs/>
                <w:color w:val="000000" w:themeColor="text1"/>
                <w:sz w:val="17"/>
                <w:szCs w:val="17"/>
              </w:rPr>
              <w:t>000 eura</w:t>
            </w:r>
            <w:bookmarkEnd w:id="802"/>
          </w:p>
        </w:tc>
      </w:tr>
      <w:tr w:rsidR="00E159D9" w:rsidRPr="003D1614" w14:paraId="6CB1DBA3" w14:textId="77777777" w:rsidTr="004378AC">
        <w:trPr>
          <w:trHeight w:val="145"/>
        </w:trPr>
        <w:tc>
          <w:tcPr>
            <w:tcW w:w="1518" w:type="pct"/>
            <w:vAlign w:val="bottom"/>
          </w:tcPr>
          <w:p w14:paraId="2E08497D" w14:textId="77777777" w:rsidR="00E159D9" w:rsidRPr="003D1614" w:rsidRDefault="00E159D9" w:rsidP="004378AC">
            <w:pPr>
              <w:tabs>
                <w:tab w:val="right" w:pos="1202"/>
              </w:tabs>
              <w:suppressAutoHyphens/>
              <w:autoSpaceDN w:val="0"/>
              <w:spacing w:line="240" w:lineRule="exact"/>
              <w:outlineLvl w:val="0"/>
              <w:rPr>
                <w:rFonts w:ascii="Arial" w:eastAsia="Times New Roman" w:hAnsi="Arial" w:cs="Arial"/>
                <w:b/>
                <w:bCs/>
                <w:color w:val="000000" w:themeColor="text1"/>
                <w:sz w:val="17"/>
                <w:szCs w:val="17"/>
              </w:rPr>
            </w:pPr>
            <w:bookmarkStart w:id="803" w:name="_Toc67330171"/>
            <w:r w:rsidRPr="003D1614">
              <w:rPr>
                <w:rFonts w:ascii="Arial" w:eastAsia="Times New Roman" w:hAnsi="Arial" w:cs="Arial"/>
                <w:b/>
                <w:bCs/>
                <w:color w:val="000000" w:themeColor="text1"/>
                <w:sz w:val="17"/>
                <w:szCs w:val="17"/>
              </w:rPr>
              <w:t>Imovina</w:t>
            </w:r>
            <w:bookmarkEnd w:id="803"/>
          </w:p>
        </w:tc>
        <w:tc>
          <w:tcPr>
            <w:tcW w:w="551" w:type="pct"/>
            <w:vAlign w:val="bottom"/>
          </w:tcPr>
          <w:p w14:paraId="0EF7FCBB" w14:textId="77777777" w:rsidR="00E159D9" w:rsidRPr="003D1614" w:rsidRDefault="00E159D9" w:rsidP="004378AC">
            <w:pPr>
              <w:tabs>
                <w:tab w:val="right" w:pos="1202"/>
              </w:tabs>
              <w:suppressAutoHyphens/>
              <w:autoSpaceDN w:val="0"/>
              <w:spacing w:line="240" w:lineRule="exact"/>
              <w:jc w:val="right"/>
              <w:outlineLvl w:val="0"/>
              <w:rPr>
                <w:rFonts w:ascii="Arial" w:eastAsia="Times New Roman" w:hAnsi="Arial" w:cs="Arial"/>
                <w:b/>
                <w:bCs/>
                <w:color w:val="000000" w:themeColor="text1"/>
                <w:spacing w:val="-2"/>
                <w:sz w:val="17"/>
                <w:szCs w:val="17"/>
              </w:rPr>
            </w:pPr>
          </w:p>
        </w:tc>
        <w:tc>
          <w:tcPr>
            <w:tcW w:w="546" w:type="pct"/>
            <w:vAlign w:val="bottom"/>
          </w:tcPr>
          <w:p w14:paraId="5AA74DE0" w14:textId="77777777" w:rsidR="00E159D9" w:rsidRPr="003D1614" w:rsidRDefault="00E159D9" w:rsidP="004378AC">
            <w:pPr>
              <w:tabs>
                <w:tab w:val="right" w:pos="1202"/>
              </w:tabs>
              <w:suppressAutoHyphens/>
              <w:autoSpaceDN w:val="0"/>
              <w:spacing w:line="240" w:lineRule="exact"/>
              <w:jc w:val="right"/>
              <w:outlineLvl w:val="0"/>
              <w:rPr>
                <w:rFonts w:ascii="Arial" w:eastAsia="Times New Roman" w:hAnsi="Arial" w:cs="Arial"/>
                <w:b/>
                <w:bCs/>
                <w:color w:val="000000" w:themeColor="text1"/>
                <w:spacing w:val="-2"/>
                <w:sz w:val="17"/>
                <w:szCs w:val="17"/>
              </w:rPr>
            </w:pPr>
          </w:p>
        </w:tc>
        <w:tc>
          <w:tcPr>
            <w:tcW w:w="572" w:type="pct"/>
            <w:vAlign w:val="bottom"/>
          </w:tcPr>
          <w:p w14:paraId="5F637033" w14:textId="77777777" w:rsidR="00E159D9" w:rsidRPr="003D1614" w:rsidRDefault="00E159D9" w:rsidP="004378AC">
            <w:pPr>
              <w:tabs>
                <w:tab w:val="right" w:pos="1202"/>
              </w:tabs>
              <w:suppressAutoHyphens/>
              <w:autoSpaceDN w:val="0"/>
              <w:spacing w:line="240" w:lineRule="exact"/>
              <w:jc w:val="right"/>
              <w:outlineLvl w:val="0"/>
              <w:rPr>
                <w:rFonts w:ascii="Arial" w:eastAsia="Times New Roman" w:hAnsi="Arial" w:cs="Arial"/>
                <w:b/>
                <w:bCs/>
                <w:color w:val="000000" w:themeColor="text1"/>
                <w:spacing w:val="-2"/>
                <w:sz w:val="17"/>
                <w:szCs w:val="17"/>
              </w:rPr>
            </w:pPr>
          </w:p>
        </w:tc>
        <w:tc>
          <w:tcPr>
            <w:tcW w:w="570" w:type="pct"/>
            <w:vAlign w:val="bottom"/>
          </w:tcPr>
          <w:p w14:paraId="04D44EF7" w14:textId="77777777" w:rsidR="00E159D9" w:rsidRPr="003D1614" w:rsidRDefault="00E159D9" w:rsidP="004378AC">
            <w:pPr>
              <w:tabs>
                <w:tab w:val="right" w:pos="1202"/>
              </w:tabs>
              <w:suppressAutoHyphens/>
              <w:autoSpaceDN w:val="0"/>
              <w:spacing w:line="240" w:lineRule="exact"/>
              <w:jc w:val="right"/>
              <w:outlineLvl w:val="0"/>
              <w:rPr>
                <w:rFonts w:ascii="Arial" w:eastAsia="Times New Roman" w:hAnsi="Arial" w:cs="Arial"/>
                <w:b/>
                <w:bCs/>
                <w:color w:val="000000" w:themeColor="text1"/>
                <w:spacing w:val="-2"/>
                <w:sz w:val="17"/>
                <w:szCs w:val="17"/>
              </w:rPr>
            </w:pPr>
          </w:p>
        </w:tc>
        <w:tc>
          <w:tcPr>
            <w:tcW w:w="640" w:type="pct"/>
            <w:vAlign w:val="bottom"/>
          </w:tcPr>
          <w:p w14:paraId="5FE60590" w14:textId="77777777" w:rsidR="00E159D9" w:rsidRPr="003D1614" w:rsidRDefault="00E159D9" w:rsidP="004378AC">
            <w:pPr>
              <w:tabs>
                <w:tab w:val="right" w:pos="1202"/>
              </w:tabs>
              <w:suppressAutoHyphens/>
              <w:autoSpaceDN w:val="0"/>
              <w:spacing w:line="240" w:lineRule="exact"/>
              <w:jc w:val="right"/>
              <w:outlineLvl w:val="0"/>
              <w:rPr>
                <w:rFonts w:ascii="Arial" w:eastAsia="Times New Roman" w:hAnsi="Arial" w:cs="Arial"/>
                <w:b/>
                <w:bCs/>
                <w:color w:val="000000" w:themeColor="text1"/>
                <w:spacing w:val="-2"/>
                <w:sz w:val="17"/>
                <w:szCs w:val="17"/>
              </w:rPr>
            </w:pPr>
          </w:p>
        </w:tc>
        <w:tc>
          <w:tcPr>
            <w:tcW w:w="603" w:type="pct"/>
            <w:vAlign w:val="bottom"/>
          </w:tcPr>
          <w:p w14:paraId="1670491F" w14:textId="77777777" w:rsidR="00E159D9" w:rsidRPr="003D1614" w:rsidRDefault="00E159D9" w:rsidP="004378AC">
            <w:pPr>
              <w:tabs>
                <w:tab w:val="right" w:pos="1202"/>
              </w:tabs>
              <w:suppressAutoHyphens/>
              <w:autoSpaceDN w:val="0"/>
              <w:spacing w:line="240" w:lineRule="exact"/>
              <w:jc w:val="right"/>
              <w:outlineLvl w:val="0"/>
              <w:rPr>
                <w:rFonts w:ascii="Arial" w:eastAsia="Times New Roman" w:hAnsi="Arial" w:cs="Arial"/>
                <w:b/>
                <w:bCs/>
                <w:color w:val="000000" w:themeColor="text1"/>
                <w:spacing w:val="-2"/>
                <w:sz w:val="17"/>
                <w:szCs w:val="17"/>
              </w:rPr>
            </w:pPr>
          </w:p>
        </w:tc>
      </w:tr>
      <w:tr w:rsidR="00E159D9" w:rsidRPr="003D1614" w14:paraId="6B1A5129" w14:textId="77777777" w:rsidTr="004378AC">
        <w:trPr>
          <w:trHeight w:val="261"/>
        </w:trPr>
        <w:tc>
          <w:tcPr>
            <w:tcW w:w="1518" w:type="pct"/>
            <w:vAlign w:val="bottom"/>
          </w:tcPr>
          <w:p w14:paraId="7E43F0F3" w14:textId="77777777" w:rsidR="00E159D9" w:rsidRPr="003D1614" w:rsidRDefault="00E159D9" w:rsidP="004378AC">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804" w:name="_Toc67330172"/>
            <w:r w:rsidRPr="003D1614">
              <w:rPr>
                <w:rFonts w:ascii="Arial" w:eastAsia="Times New Roman" w:hAnsi="Arial" w:cs="Arial"/>
                <w:color w:val="000000" w:themeColor="text1"/>
                <w:spacing w:val="-2"/>
                <w:sz w:val="17"/>
                <w:szCs w:val="17"/>
              </w:rPr>
              <w:t>Novčana sredstva i računi kod banaka</w:t>
            </w:r>
            <w:bookmarkEnd w:id="804"/>
          </w:p>
        </w:tc>
        <w:tc>
          <w:tcPr>
            <w:tcW w:w="551" w:type="pct"/>
            <w:tcBorders>
              <w:top w:val="nil"/>
              <w:left w:val="nil"/>
              <w:bottom w:val="nil"/>
              <w:right w:val="nil"/>
            </w:tcBorders>
            <w:shd w:val="clear" w:color="auto" w:fill="auto"/>
            <w:vAlign w:val="bottom"/>
          </w:tcPr>
          <w:p w14:paraId="0F7F9A7C" w14:textId="77777777" w:rsidR="00E159D9" w:rsidRPr="003D1614"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34.087</w:t>
            </w:r>
          </w:p>
        </w:tc>
        <w:tc>
          <w:tcPr>
            <w:tcW w:w="546" w:type="pct"/>
            <w:tcBorders>
              <w:top w:val="nil"/>
              <w:left w:val="nil"/>
              <w:bottom w:val="nil"/>
              <w:right w:val="nil"/>
            </w:tcBorders>
            <w:shd w:val="clear" w:color="auto" w:fill="auto"/>
            <w:vAlign w:val="bottom"/>
          </w:tcPr>
          <w:p w14:paraId="2D56326F" w14:textId="77777777" w:rsidR="00E159D9" w:rsidRPr="003D1614"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72" w:type="pct"/>
            <w:tcBorders>
              <w:top w:val="nil"/>
              <w:left w:val="nil"/>
              <w:bottom w:val="nil"/>
              <w:right w:val="nil"/>
            </w:tcBorders>
            <w:shd w:val="clear" w:color="auto" w:fill="auto"/>
            <w:vAlign w:val="bottom"/>
          </w:tcPr>
          <w:p w14:paraId="5ED98651" w14:textId="77777777" w:rsidR="00E159D9" w:rsidRPr="003D1614"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70" w:type="pct"/>
            <w:tcBorders>
              <w:top w:val="nil"/>
              <w:left w:val="nil"/>
              <w:bottom w:val="nil"/>
              <w:right w:val="nil"/>
            </w:tcBorders>
            <w:shd w:val="clear" w:color="auto" w:fill="auto"/>
            <w:vAlign w:val="bottom"/>
          </w:tcPr>
          <w:p w14:paraId="5A02C1E4" w14:textId="77777777" w:rsidR="00E159D9" w:rsidRPr="003D1614"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640" w:type="pct"/>
            <w:tcBorders>
              <w:top w:val="nil"/>
              <w:left w:val="nil"/>
              <w:bottom w:val="nil"/>
              <w:right w:val="nil"/>
            </w:tcBorders>
            <w:shd w:val="clear" w:color="auto" w:fill="auto"/>
            <w:vAlign w:val="bottom"/>
          </w:tcPr>
          <w:p w14:paraId="36D53A52" w14:textId="77777777" w:rsidR="00E159D9" w:rsidRPr="003D1614"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603" w:type="pct"/>
            <w:tcBorders>
              <w:top w:val="nil"/>
              <w:left w:val="nil"/>
              <w:bottom w:val="nil"/>
              <w:right w:val="nil"/>
            </w:tcBorders>
            <w:shd w:val="clear" w:color="auto" w:fill="auto"/>
            <w:vAlign w:val="bottom"/>
          </w:tcPr>
          <w:p w14:paraId="2D2B243F" w14:textId="77777777" w:rsidR="00E159D9" w:rsidRPr="003D1614"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34.087</w:t>
            </w:r>
          </w:p>
        </w:tc>
      </w:tr>
      <w:tr w:rsidR="00E159D9" w:rsidRPr="003D1614" w14:paraId="0803D10F" w14:textId="77777777" w:rsidTr="004378AC">
        <w:trPr>
          <w:trHeight w:val="261"/>
        </w:trPr>
        <w:tc>
          <w:tcPr>
            <w:tcW w:w="1518" w:type="pct"/>
            <w:vAlign w:val="bottom"/>
          </w:tcPr>
          <w:p w14:paraId="6BA88EA6" w14:textId="77777777" w:rsidR="00E159D9" w:rsidRPr="003D1614" w:rsidRDefault="00E159D9" w:rsidP="004378AC">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805" w:name="_Toc67330173"/>
            <w:r w:rsidRPr="003D1614">
              <w:rPr>
                <w:rFonts w:ascii="Arial" w:eastAsia="Times New Roman" w:hAnsi="Arial" w:cs="Arial"/>
                <w:color w:val="000000" w:themeColor="text1"/>
                <w:spacing w:val="-2"/>
                <w:sz w:val="17"/>
                <w:szCs w:val="17"/>
              </w:rPr>
              <w:t>Depoziti kod drugih banaka</w:t>
            </w:r>
            <w:bookmarkEnd w:id="805"/>
          </w:p>
        </w:tc>
        <w:tc>
          <w:tcPr>
            <w:tcW w:w="551" w:type="pct"/>
            <w:tcBorders>
              <w:top w:val="nil"/>
              <w:left w:val="nil"/>
              <w:bottom w:val="nil"/>
              <w:right w:val="nil"/>
            </w:tcBorders>
            <w:shd w:val="clear" w:color="auto" w:fill="auto"/>
            <w:vAlign w:val="bottom"/>
          </w:tcPr>
          <w:p w14:paraId="3C7560C7" w14:textId="77777777" w:rsidR="00E159D9" w:rsidRPr="003D1614"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120.270</w:t>
            </w:r>
          </w:p>
        </w:tc>
        <w:tc>
          <w:tcPr>
            <w:tcW w:w="546" w:type="pct"/>
            <w:tcBorders>
              <w:top w:val="nil"/>
              <w:left w:val="nil"/>
              <w:bottom w:val="nil"/>
              <w:right w:val="nil"/>
            </w:tcBorders>
            <w:shd w:val="clear" w:color="auto" w:fill="auto"/>
            <w:vAlign w:val="bottom"/>
          </w:tcPr>
          <w:p w14:paraId="7E0E9079" w14:textId="77777777" w:rsidR="00E159D9" w:rsidRPr="003D1614"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72" w:type="pct"/>
            <w:tcBorders>
              <w:top w:val="nil"/>
              <w:left w:val="nil"/>
              <w:bottom w:val="nil"/>
              <w:right w:val="nil"/>
            </w:tcBorders>
            <w:shd w:val="clear" w:color="auto" w:fill="auto"/>
            <w:vAlign w:val="bottom"/>
          </w:tcPr>
          <w:p w14:paraId="0FC97E87" w14:textId="77777777" w:rsidR="00E159D9" w:rsidRPr="003D1614"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70" w:type="pct"/>
            <w:tcBorders>
              <w:top w:val="nil"/>
              <w:left w:val="nil"/>
              <w:bottom w:val="nil"/>
              <w:right w:val="nil"/>
            </w:tcBorders>
            <w:shd w:val="clear" w:color="auto" w:fill="auto"/>
            <w:vAlign w:val="bottom"/>
          </w:tcPr>
          <w:p w14:paraId="4007AB3A" w14:textId="77777777" w:rsidR="00E159D9" w:rsidRPr="003D1614"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640" w:type="pct"/>
            <w:tcBorders>
              <w:top w:val="nil"/>
              <w:left w:val="nil"/>
              <w:bottom w:val="nil"/>
              <w:right w:val="nil"/>
            </w:tcBorders>
            <w:shd w:val="clear" w:color="auto" w:fill="auto"/>
            <w:vAlign w:val="bottom"/>
          </w:tcPr>
          <w:p w14:paraId="0140B407" w14:textId="77777777" w:rsidR="00E159D9" w:rsidRPr="003D1614"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340</w:t>
            </w:r>
          </w:p>
        </w:tc>
        <w:tc>
          <w:tcPr>
            <w:tcW w:w="603" w:type="pct"/>
            <w:tcBorders>
              <w:top w:val="nil"/>
              <w:left w:val="nil"/>
              <w:bottom w:val="nil"/>
              <w:right w:val="nil"/>
            </w:tcBorders>
            <w:shd w:val="clear" w:color="auto" w:fill="auto"/>
            <w:vAlign w:val="bottom"/>
          </w:tcPr>
          <w:p w14:paraId="2A472FDC" w14:textId="77777777" w:rsidR="00E159D9" w:rsidRPr="003D1614"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120.610</w:t>
            </w:r>
          </w:p>
        </w:tc>
      </w:tr>
      <w:tr w:rsidR="00E159D9" w:rsidRPr="003D1614" w14:paraId="62696E07" w14:textId="77777777" w:rsidTr="004378AC">
        <w:trPr>
          <w:trHeight w:val="261"/>
        </w:trPr>
        <w:tc>
          <w:tcPr>
            <w:tcW w:w="1518" w:type="pct"/>
            <w:vAlign w:val="bottom"/>
          </w:tcPr>
          <w:p w14:paraId="1577EC07" w14:textId="77777777" w:rsidR="00E159D9" w:rsidRPr="003D1614" w:rsidRDefault="00E159D9" w:rsidP="004378AC">
            <w:pPr>
              <w:tabs>
                <w:tab w:val="right" w:pos="1202"/>
              </w:tabs>
              <w:suppressAutoHyphens/>
              <w:autoSpaceDN w:val="0"/>
              <w:spacing w:line="240" w:lineRule="exact"/>
              <w:outlineLvl w:val="0"/>
              <w:rPr>
                <w:rFonts w:ascii="Arial" w:eastAsia="Times New Roman" w:hAnsi="Arial" w:cs="Arial"/>
                <w:color w:val="000000" w:themeColor="text1"/>
                <w:spacing w:val="-2"/>
                <w:sz w:val="17"/>
                <w:szCs w:val="17"/>
              </w:rPr>
            </w:pPr>
            <w:bookmarkStart w:id="806" w:name="_Toc67330174"/>
            <w:r w:rsidRPr="003D1614">
              <w:rPr>
                <w:rFonts w:ascii="Arial" w:eastAsia="Times New Roman" w:hAnsi="Arial" w:cs="Arial"/>
                <w:color w:val="000000" w:themeColor="text1"/>
                <w:spacing w:val="-2"/>
                <w:sz w:val="17"/>
                <w:szCs w:val="17"/>
              </w:rPr>
              <w:t>Krediti financijskim institucijama</w:t>
            </w:r>
            <w:bookmarkEnd w:id="806"/>
            <w:r>
              <w:rPr>
                <w:rFonts w:ascii="Arial" w:eastAsia="Times New Roman" w:hAnsi="Arial" w:cs="Arial"/>
                <w:color w:val="000000" w:themeColor="text1"/>
                <w:spacing w:val="-2"/>
                <w:sz w:val="17"/>
                <w:szCs w:val="17"/>
              </w:rPr>
              <w:t>*</w:t>
            </w:r>
          </w:p>
        </w:tc>
        <w:tc>
          <w:tcPr>
            <w:tcW w:w="551" w:type="pct"/>
            <w:tcBorders>
              <w:top w:val="nil"/>
              <w:left w:val="nil"/>
              <w:bottom w:val="nil"/>
              <w:right w:val="nil"/>
            </w:tcBorders>
            <w:shd w:val="clear" w:color="auto" w:fill="auto"/>
            <w:vAlign w:val="bottom"/>
          </w:tcPr>
          <w:p w14:paraId="34A693E2" w14:textId="77777777" w:rsidR="00E159D9" w:rsidRPr="003D1614"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49.773</w:t>
            </w:r>
          </w:p>
        </w:tc>
        <w:tc>
          <w:tcPr>
            <w:tcW w:w="546" w:type="pct"/>
            <w:tcBorders>
              <w:top w:val="nil"/>
              <w:left w:val="nil"/>
              <w:bottom w:val="nil"/>
              <w:right w:val="nil"/>
            </w:tcBorders>
            <w:shd w:val="clear" w:color="auto" w:fill="auto"/>
            <w:vAlign w:val="bottom"/>
          </w:tcPr>
          <w:p w14:paraId="7584244C" w14:textId="77777777" w:rsidR="00E159D9" w:rsidRPr="003D1614"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38.779</w:t>
            </w:r>
          </w:p>
        </w:tc>
        <w:tc>
          <w:tcPr>
            <w:tcW w:w="572" w:type="pct"/>
            <w:tcBorders>
              <w:top w:val="nil"/>
              <w:left w:val="nil"/>
              <w:bottom w:val="nil"/>
              <w:right w:val="nil"/>
            </w:tcBorders>
            <w:shd w:val="clear" w:color="auto" w:fill="auto"/>
            <w:vAlign w:val="bottom"/>
          </w:tcPr>
          <w:p w14:paraId="69715BF9" w14:textId="77777777" w:rsidR="00E159D9" w:rsidRPr="003D1614"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147.023</w:t>
            </w:r>
          </w:p>
        </w:tc>
        <w:tc>
          <w:tcPr>
            <w:tcW w:w="570" w:type="pct"/>
            <w:tcBorders>
              <w:top w:val="nil"/>
              <w:left w:val="nil"/>
              <w:bottom w:val="nil"/>
              <w:right w:val="nil"/>
            </w:tcBorders>
            <w:shd w:val="clear" w:color="auto" w:fill="auto"/>
            <w:vAlign w:val="bottom"/>
          </w:tcPr>
          <w:p w14:paraId="3CE25851" w14:textId="77777777" w:rsidR="00E159D9" w:rsidRPr="003D1614"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349.284</w:t>
            </w:r>
          </w:p>
        </w:tc>
        <w:tc>
          <w:tcPr>
            <w:tcW w:w="640" w:type="pct"/>
            <w:tcBorders>
              <w:top w:val="nil"/>
              <w:left w:val="nil"/>
              <w:bottom w:val="nil"/>
              <w:right w:val="nil"/>
            </w:tcBorders>
            <w:shd w:val="clear" w:color="auto" w:fill="auto"/>
            <w:vAlign w:val="bottom"/>
          </w:tcPr>
          <w:p w14:paraId="5262F4BD" w14:textId="77777777" w:rsidR="00E159D9" w:rsidRPr="003D1614"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582.345</w:t>
            </w:r>
          </w:p>
        </w:tc>
        <w:tc>
          <w:tcPr>
            <w:tcW w:w="603" w:type="pct"/>
            <w:tcBorders>
              <w:top w:val="nil"/>
              <w:left w:val="nil"/>
              <w:bottom w:val="nil"/>
              <w:right w:val="nil"/>
            </w:tcBorders>
            <w:shd w:val="clear" w:color="auto" w:fill="auto"/>
            <w:vAlign w:val="bottom"/>
          </w:tcPr>
          <w:p w14:paraId="3953E448" w14:textId="77777777" w:rsidR="00E159D9" w:rsidRPr="003D1614"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1.167.204</w:t>
            </w:r>
          </w:p>
        </w:tc>
      </w:tr>
      <w:tr w:rsidR="00E159D9" w:rsidRPr="003D1614" w14:paraId="32E446F8" w14:textId="77777777" w:rsidTr="004378AC">
        <w:trPr>
          <w:trHeight w:val="261"/>
        </w:trPr>
        <w:tc>
          <w:tcPr>
            <w:tcW w:w="1518" w:type="pct"/>
            <w:vAlign w:val="bottom"/>
          </w:tcPr>
          <w:p w14:paraId="01AEF483" w14:textId="77777777" w:rsidR="00E159D9" w:rsidRPr="003D1614" w:rsidRDefault="00E159D9" w:rsidP="004378AC">
            <w:pPr>
              <w:tabs>
                <w:tab w:val="right" w:pos="1202"/>
              </w:tabs>
              <w:suppressAutoHyphens/>
              <w:autoSpaceDN w:val="0"/>
              <w:spacing w:line="240" w:lineRule="exact"/>
              <w:outlineLvl w:val="0"/>
              <w:rPr>
                <w:rFonts w:ascii="Arial" w:eastAsia="Times New Roman" w:hAnsi="Arial" w:cs="Arial"/>
                <w:color w:val="000000" w:themeColor="text1"/>
                <w:spacing w:val="-2"/>
                <w:sz w:val="17"/>
                <w:szCs w:val="17"/>
              </w:rPr>
            </w:pPr>
            <w:bookmarkStart w:id="807" w:name="_Toc67330175"/>
            <w:r w:rsidRPr="003D1614">
              <w:rPr>
                <w:rFonts w:ascii="Arial" w:eastAsia="Times New Roman" w:hAnsi="Arial" w:cs="Arial"/>
                <w:color w:val="000000" w:themeColor="text1"/>
                <w:spacing w:val="-2"/>
                <w:sz w:val="17"/>
                <w:szCs w:val="17"/>
              </w:rPr>
              <w:t>Krediti ostalim korisnicima</w:t>
            </w:r>
            <w:bookmarkEnd w:id="807"/>
            <w:r>
              <w:rPr>
                <w:rFonts w:ascii="Arial" w:eastAsia="Times New Roman" w:hAnsi="Arial" w:cs="Arial"/>
                <w:color w:val="000000" w:themeColor="text1"/>
                <w:spacing w:val="-2"/>
                <w:sz w:val="17"/>
                <w:szCs w:val="17"/>
              </w:rPr>
              <w:t>**</w:t>
            </w:r>
          </w:p>
        </w:tc>
        <w:tc>
          <w:tcPr>
            <w:tcW w:w="551" w:type="pct"/>
            <w:tcBorders>
              <w:top w:val="nil"/>
              <w:left w:val="nil"/>
              <w:bottom w:val="nil"/>
              <w:right w:val="nil"/>
            </w:tcBorders>
            <w:shd w:val="clear" w:color="auto" w:fill="auto"/>
            <w:vAlign w:val="bottom"/>
          </w:tcPr>
          <w:p w14:paraId="2FE703A2" w14:textId="77777777" w:rsidR="00E159D9" w:rsidRPr="003D1614"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207.914</w:t>
            </w:r>
          </w:p>
        </w:tc>
        <w:tc>
          <w:tcPr>
            <w:tcW w:w="546" w:type="pct"/>
            <w:tcBorders>
              <w:top w:val="nil"/>
              <w:left w:val="nil"/>
              <w:bottom w:val="nil"/>
              <w:right w:val="nil"/>
            </w:tcBorders>
            <w:shd w:val="clear" w:color="auto" w:fill="auto"/>
            <w:vAlign w:val="bottom"/>
          </w:tcPr>
          <w:p w14:paraId="4C83209D" w14:textId="77777777" w:rsidR="00E159D9" w:rsidRPr="003D1614"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120.876</w:t>
            </w:r>
          </w:p>
        </w:tc>
        <w:tc>
          <w:tcPr>
            <w:tcW w:w="572" w:type="pct"/>
            <w:tcBorders>
              <w:top w:val="nil"/>
              <w:left w:val="nil"/>
              <w:bottom w:val="nil"/>
              <w:right w:val="nil"/>
            </w:tcBorders>
            <w:shd w:val="clear" w:color="auto" w:fill="auto"/>
            <w:vAlign w:val="bottom"/>
          </w:tcPr>
          <w:p w14:paraId="5D8711CE" w14:textId="77777777" w:rsidR="00E159D9" w:rsidRPr="003D1614"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291.578</w:t>
            </w:r>
          </w:p>
        </w:tc>
        <w:tc>
          <w:tcPr>
            <w:tcW w:w="570" w:type="pct"/>
            <w:tcBorders>
              <w:top w:val="nil"/>
              <w:left w:val="nil"/>
              <w:bottom w:val="nil"/>
              <w:right w:val="nil"/>
            </w:tcBorders>
            <w:shd w:val="clear" w:color="auto" w:fill="auto"/>
            <w:vAlign w:val="bottom"/>
          </w:tcPr>
          <w:p w14:paraId="21C305D2" w14:textId="77777777" w:rsidR="00E159D9" w:rsidRPr="003D1614"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613.609</w:t>
            </w:r>
          </w:p>
        </w:tc>
        <w:tc>
          <w:tcPr>
            <w:tcW w:w="640" w:type="pct"/>
            <w:tcBorders>
              <w:top w:val="nil"/>
              <w:left w:val="nil"/>
              <w:bottom w:val="nil"/>
              <w:right w:val="nil"/>
            </w:tcBorders>
            <w:shd w:val="clear" w:color="auto" w:fill="auto"/>
            <w:vAlign w:val="bottom"/>
          </w:tcPr>
          <w:p w14:paraId="51C3180A" w14:textId="77777777" w:rsidR="00E159D9" w:rsidRPr="003D1614"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1.127.500</w:t>
            </w:r>
          </w:p>
        </w:tc>
        <w:tc>
          <w:tcPr>
            <w:tcW w:w="603" w:type="pct"/>
            <w:tcBorders>
              <w:top w:val="nil"/>
              <w:left w:val="nil"/>
              <w:bottom w:val="nil"/>
              <w:right w:val="nil"/>
            </w:tcBorders>
            <w:shd w:val="clear" w:color="auto" w:fill="auto"/>
            <w:vAlign w:val="bottom"/>
          </w:tcPr>
          <w:p w14:paraId="447E0DCD" w14:textId="77777777" w:rsidR="00E159D9" w:rsidRPr="003D1614"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2.361.477</w:t>
            </w:r>
          </w:p>
        </w:tc>
      </w:tr>
      <w:tr w:rsidR="00E159D9" w:rsidRPr="003D1614" w14:paraId="3153D45F" w14:textId="77777777" w:rsidTr="004378AC">
        <w:trPr>
          <w:trHeight w:val="145"/>
        </w:trPr>
        <w:tc>
          <w:tcPr>
            <w:tcW w:w="1518" w:type="pct"/>
            <w:vAlign w:val="bottom"/>
          </w:tcPr>
          <w:p w14:paraId="7A83553B" w14:textId="77777777" w:rsidR="00E159D9" w:rsidRPr="003D1614" w:rsidRDefault="00E159D9" w:rsidP="004378AC">
            <w:pPr>
              <w:tabs>
                <w:tab w:val="right" w:pos="1202"/>
              </w:tabs>
              <w:suppressAutoHyphens/>
              <w:autoSpaceDN w:val="0"/>
              <w:spacing w:line="240" w:lineRule="exact"/>
              <w:outlineLvl w:val="0"/>
              <w:rPr>
                <w:rFonts w:ascii="Arial" w:eastAsia="Times New Roman" w:hAnsi="Arial" w:cs="Arial"/>
                <w:color w:val="000000" w:themeColor="text1"/>
                <w:spacing w:val="-2"/>
                <w:sz w:val="17"/>
                <w:szCs w:val="17"/>
              </w:rPr>
            </w:pPr>
            <w:bookmarkStart w:id="808" w:name="_Toc67330176"/>
            <w:r w:rsidRPr="003D1614">
              <w:rPr>
                <w:rFonts w:ascii="Arial" w:eastAsia="Times New Roman" w:hAnsi="Arial" w:cs="Arial"/>
                <w:color w:val="000000" w:themeColor="text1"/>
                <w:sz w:val="17"/>
                <w:szCs w:val="17"/>
              </w:rPr>
              <w:t>Financijska imovina po fer vrijednosti kroz dobit ili gubitak</w:t>
            </w:r>
            <w:bookmarkEnd w:id="808"/>
          </w:p>
        </w:tc>
        <w:tc>
          <w:tcPr>
            <w:tcW w:w="551" w:type="pct"/>
            <w:tcBorders>
              <w:top w:val="nil"/>
              <w:left w:val="nil"/>
              <w:bottom w:val="nil"/>
              <w:right w:val="nil"/>
            </w:tcBorders>
            <w:shd w:val="clear" w:color="auto" w:fill="auto"/>
            <w:vAlign w:val="bottom"/>
          </w:tcPr>
          <w:p w14:paraId="1B69C108" w14:textId="77777777" w:rsidR="00E159D9" w:rsidRPr="003D1614"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9.075</w:t>
            </w:r>
          </w:p>
        </w:tc>
        <w:tc>
          <w:tcPr>
            <w:tcW w:w="546" w:type="pct"/>
            <w:tcBorders>
              <w:top w:val="nil"/>
              <w:left w:val="nil"/>
              <w:bottom w:val="nil"/>
              <w:right w:val="nil"/>
            </w:tcBorders>
            <w:shd w:val="clear" w:color="auto" w:fill="auto"/>
            <w:vAlign w:val="bottom"/>
          </w:tcPr>
          <w:p w14:paraId="431F087A" w14:textId="77777777" w:rsidR="00E159D9" w:rsidRPr="003D1614"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6</w:t>
            </w:r>
          </w:p>
        </w:tc>
        <w:tc>
          <w:tcPr>
            <w:tcW w:w="572" w:type="pct"/>
            <w:tcBorders>
              <w:top w:val="nil"/>
              <w:left w:val="nil"/>
              <w:bottom w:val="nil"/>
              <w:right w:val="nil"/>
            </w:tcBorders>
            <w:shd w:val="clear" w:color="auto" w:fill="auto"/>
            <w:vAlign w:val="bottom"/>
          </w:tcPr>
          <w:p w14:paraId="18950F7B" w14:textId="77777777" w:rsidR="00E159D9" w:rsidRPr="003D1614"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70" w:type="pct"/>
            <w:tcBorders>
              <w:top w:val="nil"/>
              <w:left w:val="nil"/>
              <w:bottom w:val="nil"/>
              <w:right w:val="nil"/>
            </w:tcBorders>
            <w:shd w:val="clear" w:color="auto" w:fill="auto"/>
            <w:vAlign w:val="bottom"/>
          </w:tcPr>
          <w:p w14:paraId="297FAF63" w14:textId="77777777" w:rsidR="00E159D9" w:rsidRPr="003D1614"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32.926</w:t>
            </w:r>
          </w:p>
        </w:tc>
        <w:tc>
          <w:tcPr>
            <w:tcW w:w="640" w:type="pct"/>
            <w:tcBorders>
              <w:top w:val="nil"/>
              <w:left w:val="nil"/>
              <w:bottom w:val="nil"/>
              <w:right w:val="nil"/>
            </w:tcBorders>
            <w:shd w:val="clear" w:color="auto" w:fill="auto"/>
            <w:vAlign w:val="bottom"/>
          </w:tcPr>
          <w:p w14:paraId="22782A4E" w14:textId="77777777" w:rsidR="00E159D9" w:rsidRPr="003D1614"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24.025</w:t>
            </w:r>
          </w:p>
        </w:tc>
        <w:tc>
          <w:tcPr>
            <w:tcW w:w="603" w:type="pct"/>
            <w:tcBorders>
              <w:top w:val="nil"/>
              <w:left w:val="nil"/>
              <w:bottom w:val="nil"/>
              <w:right w:val="nil"/>
            </w:tcBorders>
            <w:shd w:val="clear" w:color="auto" w:fill="auto"/>
            <w:vAlign w:val="bottom"/>
          </w:tcPr>
          <w:p w14:paraId="76FBB4CB" w14:textId="77777777" w:rsidR="00E159D9" w:rsidRPr="003D1614"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66.032</w:t>
            </w:r>
          </w:p>
        </w:tc>
      </w:tr>
      <w:tr w:rsidR="00E159D9" w:rsidRPr="003D1614" w14:paraId="164BD3DF" w14:textId="77777777" w:rsidTr="004378AC">
        <w:trPr>
          <w:trHeight w:val="145"/>
        </w:trPr>
        <w:tc>
          <w:tcPr>
            <w:tcW w:w="1518" w:type="pct"/>
            <w:vAlign w:val="bottom"/>
          </w:tcPr>
          <w:p w14:paraId="78070777" w14:textId="77777777" w:rsidR="00E159D9" w:rsidRPr="003D1614" w:rsidRDefault="00E159D9" w:rsidP="004378AC">
            <w:pPr>
              <w:tabs>
                <w:tab w:val="right" w:pos="1202"/>
              </w:tabs>
              <w:suppressAutoHyphens/>
              <w:autoSpaceDN w:val="0"/>
              <w:spacing w:line="240" w:lineRule="exact"/>
              <w:outlineLvl w:val="0"/>
              <w:rPr>
                <w:rFonts w:ascii="Arial" w:eastAsia="Times New Roman" w:hAnsi="Arial" w:cs="Arial"/>
                <w:color w:val="000000" w:themeColor="text1"/>
                <w:spacing w:val="-2"/>
                <w:sz w:val="17"/>
                <w:szCs w:val="17"/>
              </w:rPr>
            </w:pPr>
            <w:bookmarkStart w:id="809" w:name="_Toc67330177"/>
            <w:r w:rsidRPr="003D1614">
              <w:rPr>
                <w:rFonts w:ascii="Arial" w:eastAsia="Times New Roman" w:hAnsi="Arial" w:cs="Arial"/>
                <w:color w:val="000000" w:themeColor="text1"/>
                <w:sz w:val="17"/>
                <w:szCs w:val="17"/>
              </w:rPr>
              <w:t>Financijska imovina po fer vrijednosti kroz ostalu sveobuhvatnu dobit</w:t>
            </w:r>
            <w:bookmarkEnd w:id="809"/>
          </w:p>
        </w:tc>
        <w:tc>
          <w:tcPr>
            <w:tcW w:w="551" w:type="pct"/>
            <w:tcBorders>
              <w:top w:val="nil"/>
              <w:left w:val="nil"/>
              <w:bottom w:val="nil"/>
              <w:right w:val="nil"/>
            </w:tcBorders>
            <w:shd w:val="clear" w:color="auto" w:fill="auto"/>
            <w:vAlign w:val="bottom"/>
          </w:tcPr>
          <w:p w14:paraId="40B660F5" w14:textId="77777777" w:rsidR="00E159D9" w:rsidRPr="003D1614"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244.314</w:t>
            </w:r>
          </w:p>
        </w:tc>
        <w:tc>
          <w:tcPr>
            <w:tcW w:w="546" w:type="pct"/>
            <w:tcBorders>
              <w:top w:val="nil"/>
              <w:left w:val="nil"/>
              <w:bottom w:val="nil"/>
              <w:right w:val="nil"/>
            </w:tcBorders>
            <w:shd w:val="clear" w:color="auto" w:fill="auto"/>
            <w:vAlign w:val="bottom"/>
          </w:tcPr>
          <w:p w14:paraId="2FB2733E" w14:textId="77777777" w:rsidR="00E159D9" w:rsidRPr="003D1614"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2.460</w:t>
            </w:r>
          </w:p>
        </w:tc>
        <w:tc>
          <w:tcPr>
            <w:tcW w:w="572" w:type="pct"/>
            <w:tcBorders>
              <w:top w:val="nil"/>
              <w:left w:val="nil"/>
              <w:bottom w:val="nil"/>
              <w:right w:val="nil"/>
            </w:tcBorders>
            <w:shd w:val="clear" w:color="auto" w:fill="auto"/>
            <w:vAlign w:val="bottom"/>
          </w:tcPr>
          <w:p w14:paraId="6BFBDC00" w14:textId="77777777" w:rsidR="00E159D9" w:rsidRPr="003D1614"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70" w:type="pct"/>
            <w:tcBorders>
              <w:top w:val="nil"/>
              <w:left w:val="nil"/>
              <w:bottom w:val="nil"/>
              <w:right w:val="nil"/>
            </w:tcBorders>
            <w:shd w:val="clear" w:color="auto" w:fill="auto"/>
            <w:vAlign w:val="bottom"/>
          </w:tcPr>
          <w:p w14:paraId="3833DAF8" w14:textId="77777777" w:rsidR="00E159D9" w:rsidRPr="003D1614"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640" w:type="pct"/>
            <w:tcBorders>
              <w:top w:val="nil"/>
              <w:left w:val="nil"/>
              <w:bottom w:val="nil"/>
              <w:right w:val="nil"/>
            </w:tcBorders>
            <w:shd w:val="clear" w:color="auto" w:fill="auto"/>
            <w:vAlign w:val="bottom"/>
          </w:tcPr>
          <w:p w14:paraId="38643662" w14:textId="77777777" w:rsidR="00E159D9" w:rsidRPr="003D1614"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603" w:type="pct"/>
            <w:tcBorders>
              <w:top w:val="nil"/>
              <w:left w:val="nil"/>
              <w:bottom w:val="nil"/>
              <w:right w:val="nil"/>
            </w:tcBorders>
            <w:shd w:val="clear" w:color="auto" w:fill="auto"/>
            <w:vAlign w:val="bottom"/>
          </w:tcPr>
          <w:p w14:paraId="778722B8" w14:textId="77777777" w:rsidR="00E159D9" w:rsidRPr="003D1614"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246.774</w:t>
            </w:r>
          </w:p>
        </w:tc>
      </w:tr>
      <w:tr w:rsidR="00E159D9" w:rsidRPr="003D1614" w14:paraId="312DF987" w14:textId="77777777" w:rsidTr="004378AC">
        <w:trPr>
          <w:trHeight w:val="145"/>
        </w:trPr>
        <w:tc>
          <w:tcPr>
            <w:tcW w:w="1518" w:type="pct"/>
            <w:vAlign w:val="bottom"/>
          </w:tcPr>
          <w:p w14:paraId="760BE28F" w14:textId="77777777" w:rsidR="00E159D9" w:rsidRPr="003D1614" w:rsidRDefault="00E159D9" w:rsidP="004378AC">
            <w:pPr>
              <w:tabs>
                <w:tab w:val="right" w:pos="1202"/>
              </w:tabs>
              <w:suppressAutoHyphens/>
              <w:autoSpaceDN w:val="0"/>
              <w:spacing w:line="240" w:lineRule="exact"/>
              <w:outlineLvl w:val="0"/>
              <w:rPr>
                <w:rFonts w:ascii="Arial" w:eastAsia="Times New Roman" w:hAnsi="Arial" w:cs="Arial"/>
                <w:color w:val="000000" w:themeColor="text1"/>
                <w:spacing w:val="-2"/>
                <w:sz w:val="17"/>
                <w:szCs w:val="17"/>
              </w:rPr>
            </w:pPr>
            <w:bookmarkStart w:id="810" w:name="_Toc67330178"/>
            <w:r w:rsidRPr="003D1614">
              <w:rPr>
                <w:rFonts w:ascii="Arial" w:eastAsia="Times New Roman" w:hAnsi="Arial" w:cs="Arial"/>
                <w:color w:val="000000" w:themeColor="text1"/>
                <w:spacing w:val="-2"/>
                <w:sz w:val="17"/>
                <w:szCs w:val="17"/>
              </w:rPr>
              <w:t>Ulaganja u ovisna društva</w:t>
            </w:r>
            <w:bookmarkEnd w:id="810"/>
          </w:p>
        </w:tc>
        <w:tc>
          <w:tcPr>
            <w:tcW w:w="551" w:type="pct"/>
            <w:tcBorders>
              <w:top w:val="nil"/>
              <w:left w:val="nil"/>
              <w:bottom w:val="nil"/>
              <w:right w:val="nil"/>
            </w:tcBorders>
            <w:shd w:val="clear" w:color="auto" w:fill="auto"/>
            <w:vAlign w:val="bottom"/>
          </w:tcPr>
          <w:p w14:paraId="40FF6BE7" w14:textId="77777777" w:rsidR="00E159D9" w:rsidRPr="003D1614"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46" w:type="pct"/>
            <w:tcBorders>
              <w:top w:val="nil"/>
              <w:left w:val="nil"/>
              <w:bottom w:val="nil"/>
              <w:right w:val="nil"/>
            </w:tcBorders>
            <w:shd w:val="clear" w:color="auto" w:fill="auto"/>
            <w:vAlign w:val="bottom"/>
          </w:tcPr>
          <w:p w14:paraId="21DB62BF" w14:textId="77777777" w:rsidR="00E159D9" w:rsidRPr="003D1614"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72" w:type="pct"/>
            <w:tcBorders>
              <w:top w:val="nil"/>
              <w:left w:val="nil"/>
              <w:bottom w:val="nil"/>
              <w:right w:val="nil"/>
            </w:tcBorders>
            <w:shd w:val="clear" w:color="auto" w:fill="auto"/>
            <w:vAlign w:val="bottom"/>
          </w:tcPr>
          <w:p w14:paraId="78680D74" w14:textId="77777777" w:rsidR="00E159D9" w:rsidRPr="003D1614"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70" w:type="pct"/>
            <w:tcBorders>
              <w:top w:val="nil"/>
              <w:left w:val="nil"/>
              <w:bottom w:val="nil"/>
              <w:right w:val="nil"/>
            </w:tcBorders>
            <w:shd w:val="clear" w:color="auto" w:fill="auto"/>
            <w:vAlign w:val="bottom"/>
          </w:tcPr>
          <w:p w14:paraId="4AD913B3" w14:textId="77777777" w:rsidR="00E159D9" w:rsidRPr="003D1614"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640" w:type="pct"/>
            <w:tcBorders>
              <w:top w:val="nil"/>
              <w:left w:val="nil"/>
              <w:bottom w:val="nil"/>
              <w:right w:val="nil"/>
            </w:tcBorders>
            <w:shd w:val="clear" w:color="auto" w:fill="auto"/>
            <w:vAlign w:val="bottom"/>
          </w:tcPr>
          <w:p w14:paraId="04D59DE9" w14:textId="77777777" w:rsidR="00E159D9" w:rsidRPr="003D1614"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7.449</w:t>
            </w:r>
          </w:p>
        </w:tc>
        <w:tc>
          <w:tcPr>
            <w:tcW w:w="603" w:type="pct"/>
            <w:tcBorders>
              <w:top w:val="nil"/>
              <w:left w:val="nil"/>
              <w:bottom w:val="nil"/>
              <w:right w:val="nil"/>
            </w:tcBorders>
            <w:shd w:val="clear" w:color="auto" w:fill="auto"/>
            <w:vAlign w:val="bottom"/>
          </w:tcPr>
          <w:p w14:paraId="1217ABFE" w14:textId="77777777" w:rsidR="00E159D9" w:rsidRPr="003D1614"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7.449</w:t>
            </w:r>
          </w:p>
        </w:tc>
      </w:tr>
      <w:tr w:rsidR="00E159D9" w:rsidRPr="003D1614" w14:paraId="199B51A9" w14:textId="77777777" w:rsidTr="004378AC">
        <w:trPr>
          <w:trHeight w:val="293"/>
        </w:trPr>
        <w:tc>
          <w:tcPr>
            <w:tcW w:w="1518" w:type="pct"/>
            <w:vAlign w:val="bottom"/>
          </w:tcPr>
          <w:p w14:paraId="4BCA8A1B" w14:textId="77777777" w:rsidR="00E159D9" w:rsidRPr="003D1614" w:rsidRDefault="00E159D9" w:rsidP="004378AC">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811" w:name="_Toc67330179"/>
            <w:r w:rsidRPr="003D1614">
              <w:rPr>
                <w:rFonts w:ascii="Arial" w:eastAsia="Times New Roman" w:hAnsi="Arial" w:cs="Arial"/>
                <w:color w:val="000000" w:themeColor="text1"/>
                <w:spacing w:val="-2"/>
                <w:sz w:val="17"/>
                <w:szCs w:val="17"/>
              </w:rPr>
              <w:t>Nekretnine, postrojenja i oprema i nematerijalna imovina</w:t>
            </w:r>
            <w:bookmarkEnd w:id="811"/>
          </w:p>
        </w:tc>
        <w:tc>
          <w:tcPr>
            <w:tcW w:w="551" w:type="pct"/>
            <w:tcBorders>
              <w:top w:val="nil"/>
              <w:left w:val="nil"/>
              <w:bottom w:val="nil"/>
              <w:right w:val="nil"/>
            </w:tcBorders>
            <w:shd w:val="clear" w:color="auto" w:fill="auto"/>
            <w:vAlign w:val="bottom"/>
          </w:tcPr>
          <w:p w14:paraId="34211463" w14:textId="77777777" w:rsidR="00E159D9" w:rsidRPr="003D1614"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46" w:type="pct"/>
            <w:tcBorders>
              <w:top w:val="nil"/>
              <w:left w:val="nil"/>
              <w:bottom w:val="nil"/>
              <w:right w:val="nil"/>
            </w:tcBorders>
            <w:shd w:val="clear" w:color="auto" w:fill="auto"/>
            <w:vAlign w:val="bottom"/>
          </w:tcPr>
          <w:p w14:paraId="7417E6FD" w14:textId="77777777" w:rsidR="00E159D9" w:rsidRPr="003D1614"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72" w:type="pct"/>
            <w:tcBorders>
              <w:top w:val="nil"/>
              <w:left w:val="nil"/>
              <w:bottom w:val="nil"/>
              <w:right w:val="nil"/>
            </w:tcBorders>
            <w:shd w:val="clear" w:color="auto" w:fill="auto"/>
            <w:vAlign w:val="bottom"/>
          </w:tcPr>
          <w:p w14:paraId="54056D9F" w14:textId="77777777" w:rsidR="00E159D9" w:rsidRPr="003D1614"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70" w:type="pct"/>
            <w:tcBorders>
              <w:top w:val="nil"/>
              <w:left w:val="nil"/>
              <w:bottom w:val="nil"/>
              <w:right w:val="nil"/>
            </w:tcBorders>
            <w:shd w:val="clear" w:color="auto" w:fill="auto"/>
            <w:vAlign w:val="bottom"/>
          </w:tcPr>
          <w:p w14:paraId="6F4B5463" w14:textId="77777777" w:rsidR="00E159D9" w:rsidRPr="003D1614"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640" w:type="pct"/>
            <w:tcBorders>
              <w:top w:val="nil"/>
              <w:left w:val="nil"/>
              <w:bottom w:val="nil"/>
              <w:right w:val="nil"/>
            </w:tcBorders>
            <w:shd w:val="clear" w:color="auto" w:fill="auto"/>
            <w:vAlign w:val="bottom"/>
          </w:tcPr>
          <w:p w14:paraId="37F13BD2" w14:textId="77777777" w:rsidR="00E159D9" w:rsidRPr="003D1614"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5.007</w:t>
            </w:r>
          </w:p>
        </w:tc>
        <w:tc>
          <w:tcPr>
            <w:tcW w:w="603" w:type="pct"/>
            <w:tcBorders>
              <w:top w:val="nil"/>
              <w:left w:val="nil"/>
              <w:bottom w:val="nil"/>
              <w:right w:val="nil"/>
            </w:tcBorders>
            <w:shd w:val="clear" w:color="auto" w:fill="auto"/>
            <w:vAlign w:val="bottom"/>
          </w:tcPr>
          <w:p w14:paraId="3C90C9D2" w14:textId="77777777" w:rsidR="00E159D9" w:rsidRPr="003D1614"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5.007</w:t>
            </w:r>
          </w:p>
        </w:tc>
      </w:tr>
      <w:tr w:rsidR="00E159D9" w:rsidRPr="003D1614" w14:paraId="713BE0EF" w14:textId="77777777" w:rsidTr="004378AC">
        <w:trPr>
          <w:trHeight w:val="134"/>
        </w:trPr>
        <w:tc>
          <w:tcPr>
            <w:tcW w:w="1518" w:type="pct"/>
            <w:vAlign w:val="bottom"/>
          </w:tcPr>
          <w:p w14:paraId="76988819" w14:textId="77777777" w:rsidR="00E159D9" w:rsidRPr="003D1614" w:rsidRDefault="00E159D9" w:rsidP="004378AC">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812" w:name="_Toc67330180"/>
            <w:r w:rsidRPr="003D1614">
              <w:rPr>
                <w:rFonts w:ascii="Arial" w:eastAsia="Times New Roman" w:hAnsi="Arial" w:cs="Arial"/>
                <w:color w:val="000000" w:themeColor="text1"/>
                <w:spacing w:val="-2"/>
                <w:sz w:val="17"/>
                <w:szCs w:val="17"/>
              </w:rPr>
              <w:t>Preuzeta imovina</w:t>
            </w:r>
            <w:bookmarkEnd w:id="812"/>
          </w:p>
        </w:tc>
        <w:tc>
          <w:tcPr>
            <w:tcW w:w="551" w:type="pct"/>
            <w:tcBorders>
              <w:top w:val="nil"/>
              <w:left w:val="nil"/>
              <w:bottom w:val="nil"/>
              <w:right w:val="nil"/>
            </w:tcBorders>
            <w:shd w:val="clear" w:color="auto" w:fill="auto"/>
            <w:vAlign w:val="bottom"/>
          </w:tcPr>
          <w:p w14:paraId="54AA20C4" w14:textId="77777777" w:rsidR="00E159D9" w:rsidRPr="003D1614"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46" w:type="pct"/>
            <w:tcBorders>
              <w:top w:val="nil"/>
              <w:left w:val="nil"/>
              <w:bottom w:val="nil"/>
              <w:right w:val="nil"/>
            </w:tcBorders>
            <w:shd w:val="clear" w:color="auto" w:fill="auto"/>
            <w:vAlign w:val="bottom"/>
          </w:tcPr>
          <w:p w14:paraId="1DB7D872" w14:textId="77777777" w:rsidR="00E159D9" w:rsidRPr="003D1614"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94</w:t>
            </w:r>
          </w:p>
        </w:tc>
        <w:tc>
          <w:tcPr>
            <w:tcW w:w="572" w:type="pct"/>
            <w:tcBorders>
              <w:top w:val="nil"/>
              <w:left w:val="nil"/>
              <w:bottom w:val="nil"/>
              <w:right w:val="nil"/>
            </w:tcBorders>
            <w:shd w:val="clear" w:color="auto" w:fill="auto"/>
            <w:vAlign w:val="bottom"/>
          </w:tcPr>
          <w:p w14:paraId="30F74DB4" w14:textId="77777777" w:rsidR="00E159D9" w:rsidRPr="003D1614"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203</w:t>
            </w:r>
          </w:p>
        </w:tc>
        <w:tc>
          <w:tcPr>
            <w:tcW w:w="570" w:type="pct"/>
            <w:tcBorders>
              <w:top w:val="nil"/>
              <w:left w:val="nil"/>
              <w:bottom w:val="nil"/>
              <w:right w:val="nil"/>
            </w:tcBorders>
            <w:shd w:val="clear" w:color="auto" w:fill="auto"/>
            <w:vAlign w:val="bottom"/>
          </w:tcPr>
          <w:p w14:paraId="1A6CC663" w14:textId="77777777" w:rsidR="00E159D9" w:rsidRPr="003D1614"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437</w:t>
            </w:r>
          </w:p>
        </w:tc>
        <w:tc>
          <w:tcPr>
            <w:tcW w:w="640" w:type="pct"/>
            <w:tcBorders>
              <w:top w:val="nil"/>
              <w:left w:val="nil"/>
              <w:bottom w:val="nil"/>
              <w:right w:val="nil"/>
            </w:tcBorders>
            <w:shd w:val="clear" w:color="auto" w:fill="auto"/>
            <w:vAlign w:val="bottom"/>
          </w:tcPr>
          <w:p w14:paraId="5A038F31" w14:textId="77777777" w:rsidR="00E159D9" w:rsidRPr="003D1614"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1.218</w:t>
            </w:r>
          </w:p>
        </w:tc>
        <w:tc>
          <w:tcPr>
            <w:tcW w:w="603" w:type="pct"/>
            <w:tcBorders>
              <w:top w:val="nil"/>
              <w:left w:val="nil"/>
              <w:bottom w:val="nil"/>
              <w:right w:val="nil"/>
            </w:tcBorders>
            <w:shd w:val="clear" w:color="auto" w:fill="auto"/>
            <w:vAlign w:val="bottom"/>
          </w:tcPr>
          <w:p w14:paraId="559932BA" w14:textId="77777777" w:rsidR="00E159D9" w:rsidRPr="003D1614"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1.952</w:t>
            </w:r>
          </w:p>
        </w:tc>
      </w:tr>
      <w:tr w:rsidR="00E159D9" w:rsidRPr="003D1614" w14:paraId="4A318249" w14:textId="77777777" w:rsidTr="004378AC">
        <w:trPr>
          <w:trHeight w:val="145"/>
        </w:trPr>
        <w:tc>
          <w:tcPr>
            <w:tcW w:w="1518" w:type="pct"/>
            <w:vAlign w:val="bottom"/>
          </w:tcPr>
          <w:p w14:paraId="21312916" w14:textId="77777777" w:rsidR="00E159D9" w:rsidRPr="003D1614" w:rsidRDefault="00E159D9" w:rsidP="004378AC">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813" w:name="_Toc67330181"/>
            <w:r w:rsidRPr="003D1614">
              <w:rPr>
                <w:rFonts w:ascii="Arial" w:eastAsia="Times New Roman" w:hAnsi="Arial" w:cs="Arial"/>
                <w:color w:val="000000" w:themeColor="text1"/>
                <w:spacing w:val="-2"/>
                <w:sz w:val="17"/>
                <w:szCs w:val="17"/>
              </w:rPr>
              <w:t>Ostala imovina</w:t>
            </w:r>
            <w:bookmarkEnd w:id="813"/>
          </w:p>
        </w:tc>
        <w:tc>
          <w:tcPr>
            <w:tcW w:w="551" w:type="pct"/>
            <w:tcBorders>
              <w:top w:val="nil"/>
              <w:left w:val="nil"/>
              <w:bottom w:val="single" w:sz="8" w:space="0" w:color="auto"/>
              <w:right w:val="nil"/>
            </w:tcBorders>
            <w:shd w:val="clear" w:color="auto" w:fill="auto"/>
            <w:vAlign w:val="bottom"/>
          </w:tcPr>
          <w:p w14:paraId="7601F8FF" w14:textId="77777777" w:rsidR="00E159D9" w:rsidRPr="003D1614"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1.551</w:t>
            </w:r>
          </w:p>
        </w:tc>
        <w:tc>
          <w:tcPr>
            <w:tcW w:w="546" w:type="pct"/>
            <w:tcBorders>
              <w:top w:val="nil"/>
              <w:left w:val="nil"/>
              <w:bottom w:val="single" w:sz="8" w:space="0" w:color="auto"/>
              <w:right w:val="nil"/>
            </w:tcBorders>
            <w:shd w:val="clear" w:color="auto" w:fill="auto"/>
            <w:vAlign w:val="bottom"/>
          </w:tcPr>
          <w:p w14:paraId="44BA3DD5" w14:textId="77777777" w:rsidR="00E159D9" w:rsidRPr="003D1614"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129</w:t>
            </w:r>
          </w:p>
        </w:tc>
        <w:tc>
          <w:tcPr>
            <w:tcW w:w="572" w:type="pct"/>
            <w:tcBorders>
              <w:top w:val="nil"/>
              <w:left w:val="nil"/>
              <w:bottom w:val="single" w:sz="8" w:space="0" w:color="auto"/>
              <w:right w:val="nil"/>
            </w:tcBorders>
            <w:shd w:val="clear" w:color="auto" w:fill="auto"/>
            <w:vAlign w:val="bottom"/>
          </w:tcPr>
          <w:p w14:paraId="37E2DD23" w14:textId="77777777" w:rsidR="00E159D9" w:rsidRPr="003D1614"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2.982</w:t>
            </w:r>
          </w:p>
        </w:tc>
        <w:tc>
          <w:tcPr>
            <w:tcW w:w="570" w:type="pct"/>
            <w:tcBorders>
              <w:top w:val="nil"/>
              <w:left w:val="nil"/>
              <w:bottom w:val="single" w:sz="8" w:space="0" w:color="auto"/>
              <w:right w:val="nil"/>
            </w:tcBorders>
            <w:shd w:val="clear" w:color="auto" w:fill="auto"/>
            <w:vAlign w:val="bottom"/>
          </w:tcPr>
          <w:p w14:paraId="154A4981" w14:textId="77777777" w:rsidR="00E159D9" w:rsidRPr="003D1614"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2.455</w:t>
            </w:r>
          </w:p>
        </w:tc>
        <w:tc>
          <w:tcPr>
            <w:tcW w:w="640" w:type="pct"/>
            <w:tcBorders>
              <w:top w:val="nil"/>
              <w:left w:val="nil"/>
              <w:bottom w:val="single" w:sz="8" w:space="0" w:color="auto"/>
              <w:right w:val="nil"/>
            </w:tcBorders>
            <w:shd w:val="clear" w:color="auto" w:fill="auto"/>
            <w:vAlign w:val="bottom"/>
          </w:tcPr>
          <w:p w14:paraId="5DF29FC5" w14:textId="77777777" w:rsidR="00E159D9" w:rsidRPr="003D1614"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32</w:t>
            </w:r>
          </w:p>
        </w:tc>
        <w:tc>
          <w:tcPr>
            <w:tcW w:w="603" w:type="pct"/>
            <w:tcBorders>
              <w:top w:val="nil"/>
              <w:left w:val="nil"/>
              <w:bottom w:val="single" w:sz="8" w:space="0" w:color="auto"/>
              <w:right w:val="nil"/>
            </w:tcBorders>
            <w:shd w:val="clear" w:color="auto" w:fill="auto"/>
            <w:vAlign w:val="bottom"/>
          </w:tcPr>
          <w:p w14:paraId="3FE83477" w14:textId="77777777" w:rsidR="00E159D9" w:rsidRPr="003D1614" w:rsidRDefault="00E159D9" w:rsidP="004378AC">
            <w:pPr>
              <w:suppressAutoHyphens/>
              <w:autoSpaceDN w:val="0"/>
              <w:jc w:val="right"/>
              <w:rPr>
                <w:rFonts w:ascii="Arial" w:eastAsia="Times New Roman" w:hAnsi="Arial" w:cs="Arial"/>
                <w:color w:val="000000"/>
                <w:sz w:val="17"/>
                <w:szCs w:val="17"/>
              </w:rPr>
            </w:pPr>
            <w:r w:rsidRPr="00862F1E">
              <w:rPr>
                <w:rFonts w:ascii="Arial" w:eastAsia="Times New Roman" w:hAnsi="Arial" w:cs="Arial"/>
                <w:color w:val="000000"/>
                <w:sz w:val="17"/>
                <w:szCs w:val="17"/>
              </w:rPr>
              <w:t>7.149</w:t>
            </w:r>
          </w:p>
        </w:tc>
      </w:tr>
      <w:tr w:rsidR="00E159D9" w:rsidRPr="000C68C3" w14:paraId="45D533D0" w14:textId="77777777" w:rsidTr="004378AC">
        <w:trPr>
          <w:trHeight w:val="145"/>
        </w:trPr>
        <w:tc>
          <w:tcPr>
            <w:tcW w:w="1518" w:type="pct"/>
            <w:vAlign w:val="bottom"/>
          </w:tcPr>
          <w:p w14:paraId="6860082E" w14:textId="77777777" w:rsidR="00E159D9" w:rsidRPr="003D1614" w:rsidRDefault="00E159D9" w:rsidP="004378AC">
            <w:pPr>
              <w:tabs>
                <w:tab w:val="right" w:pos="1202"/>
              </w:tabs>
              <w:suppressAutoHyphens/>
              <w:autoSpaceDN w:val="0"/>
              <w:spacing w:line="240" w:lineRule="exact"/>
              <w:outlineLvl w:val="0"/>
              <w:rPr>
                <w:rFonts w:ascii="Arial" w:eastAsia="Times New Roman" w:hAnsi="Arial" w:cs="Arial"/>
                <w:b/>
                <w:bCs/>
                <w:color w:val="000000" w:themeColor="text1"/>
                <w:sz w:val="17"/>
                <w:szCs w:val="17"/>
              </w:rPr>
            </w:pPr>
            <w:bookmarkStart w:id="814" w:name="_Toc67330182"/>
            <w:r w:rsidRPr="003D1614">
              <w:rPr>
                <w:rFonts w:ascii="Arial" w:eastAsia="Times New Roman" w:hAnsi="Arial" w:cs="Arial"/>
                <w:b/>
                <w:bCs/>
                <w:color w:val="000000" w:themeColor="text1"/>
                <w:sz w:val="17"/>
                <w:szCs w:val="17"/>
              </w:rPr>
              <w:t>Ukupna imovina</w:t>
            </w:r>
            <w:bookmarkEnd w:id="814"/>
          </w:p>
        </w:tc>
        <w:tc>
          <w:tcPr>
            <w:tcW w:w="551" w:type="pct"/>
            <w:tcBorders>
              <w:top w:val="single" w:sz="8" w:space="0" w:color="auto"/>
              <w:left w:val="nil"/>
              <w:bottom w:val="single" w:sz="12" w:space="0" w:color="auto"/>
              <w:right w:val="nil"/>
            </w:tcBorders>
            <w:shd w:val="clear" w:color="auto" w:fill="auto"/>
            <w:vAlign w:val="bottom"/>
          </w:tcPr>
          <w:p w14:paraId="4726A87F" w14:textId="77777777" w:rsidR="00E159D9" w:rsidRPr="000C68C3" w:rsidRDefault="00E159D9" w:rsidP="004378AC">
            <w:pPr>
              <w:suppressAutoHyphens/>
              <w:autoSpaceDN w:val="0"/>
              <w:jc w:val="right"/>
              <w:rPr>
                <w:rFonts w:ascii="Arial" w:eastAsia="Times New Roman" w:hAnsi="Arial" w:cs="Arial"/>
                <w:b/>
                <w:bCs/>
                <w:color w:val="000000"/>
                <w:sz w:val="17"/>
                <w:szCs w:val="17"/>
              </w:rPr>
            </w:pPr>
            <w:r w:rsidRPr="000C68C3">
              <w:rPr>
                <w:rFonts w:ascii="Arial" w:eastAsia="Times New Roman" w:hAnsi="Arial" w:cs="Arial"/>
                <w:b/>
                <w:bCs/>
                <w:color w:val="000000"/>
                <w:sz w:val="17"/>
                <w:szCs w:val="17"/>
              </w:rPr>
              <w:t>666.984</w:t>
            </w:r>
          </w:p>
        </w:tc>
        <w:tc>
          <w:tcPr>
            <w:tcW w:w="546" w:type="pct"/>
            <w:tcBorders>
              <w:top w:val="single" w:sz="8" w:space="0" w:color="auto"/>
              <w:left w:val="nil"/>
              <w:bottom w:val="single" w:sz="12" w:space="0" w:color="auto"/>
              <w:right w:val="nil"/>
            </w:tcBorders>
            <w:shd w:val="clear" w:color="auto" w:fill="auto"/>
            <w:vAlign w:val="bottom"/>
          </w:tcPr>
          <w:p w14:paraId="311AFD89" w14:textId="77777777" w:rsidR="00E159D9" w:rsidRPr="000C68C3" w:rsidRDefault="00E159D9" w:rsidP="004378AC">
            <w:pPr>
              <w:suppressAutoHyphens/>
              <w:autoSpaceDN w:val="0"/>
              <w:jc w:val="right"/>
              <w:rPr>
                <w:rFonts w:ascii="Arial" w:eastAsia="Times New Roman" w:hAnsi="Arial" w:cs="Arial"/>
                <w:b/>
                <w:bCs/>
                <w:color w:val="000000"/>
                <w:sz w:val="17"/>
                <w:szCs w:val="17"/>
              </w:rPr>
            </w:pPr>
            <w:r w:rsidRPr="000C68C3">
              <w:rPr>
                <w:rFonts w:ascii="Arial" w:eastAsia="Times New Roman" w:hAnsi="Arial" w:cs="Arial"/>
                <w:b/>
                <w:bCs/>
                <w:color w:val="000000"/>
                <w:sz w:val="17"/>
                <w:szCs w:val="17"/>
              </w:rPr>
              <w:t>162.344</w:t>
            </w:r>
          </w:p>
        </w:tc>
        <w:tc>
          <w:tcPr>
            <w:tcW w:w="572" w:type="pct"/>
            <w:tcBorders>
              <w:top w:val="single" w:sz="8" w:space="0" w:color="auto"/>
              <w:left w:val="nil"/>
              <w:bottom w:val="single" w:sz="12" w:space="0" w:color="auto"/>
              <w:right w:val="nil"/>
            </w:tcBorders>
            <w:shd w:val="clear" w:color="auto" w:fill="auto"/>
            <w:vAlign w:val="bottom"/>
          </w:tcPr>
          <w:p w14:paraId="737D2BBC" w14:textId="77777777" w:rsidR="00E159D9" w:rsidRPr="000C68C3" w:rsidRDefault="00E159D9" w:rsidP="004378AC">
            <w:pPr>
              <w:suppressAutoHyphens/>
              <w:autoSpaceDN w:val="0"/>
              <w:jc w:val="right"/>
              <w:rPr>
                <w:rFonts w:ascii="Arial" w:eastAsia="Times New Roman" w:hAnsi="Arial" w:cs="Arial"/>
                <w:b/>
                <w:bCs/>
                <w:color w:val="000000"/>
                <w:sz w:val="17"/>
                <w:szCs w:val="17"/>
              </w:rPr>
            </w:pPr>
            <w:r w:rsidRPr="000C68C3">
              <w:rPr>
                <w:rFonts w:ascii="Arial" w:eastAsia="Times New Roman" w:hAnsi="Arial" w:cs="Arial"/>
                <w:b/>
                <w:bCs/>
                <w:color w:val="000000"/>
                <w:sz w:val="17"/>
                <w:szCs w:val="17"/>
              </w:rPr>
              <w:t>441.786</w:t>
            </w:r>
          </w:p>
        </w:tc>
        <w:tc>
          <w:tcPr>
            <w:tcW w:w="570" w:type="pct"/>
            <w:tcBorders>
              <w:top w:val="single" w:sz="8" w:space="0" w:color="auto"/>
              <w:left w:val="nil"/>
              <w:bottom w:val="single" w:sz="12" w:space="0" w:color="auto"/>
              <w:right w:val="nil"/>
            </w:tcBorders>
            <w:shd w:val="clear" w:color="auto" w:fill="auto"/>
            <w:vAlign w:val="bottom"/>
          </w:tcPr>
          <w:p w14:paraId="2403C9A1" w14:textId="77777777" w:rsidR="00E159D9" w:rsidRPr="000C68C3" w:rsidRDefault="00E159D9" w:rsidP="004378AC">
            <w:pPr>
              <w:suppressAutoHyphens/>
              <w:autoSpaceDN w:val="0"/>
              <w:jc w:val="right"/>
              <w:rPr>
                <w:rFonts w:ascii="Arial" w:eastAsia="Times New Roman" w:hAnsi="Arial" w:cs="Arial"/>
                <w:b/>
                <w:bCs/>
                <w:color w:val="000000"/>
                <w:sz w:val="17"/>
                <w:szCs w:val="17"/>
              </w:rPr>
            </w:pPr>
            <w:r w:rsidRPr="000C68C3">
              <w:rPr>
                <w:rFonts w:ascii="Arial" w:eastAsia="Times New Roman" w:hAnsi="Arial" w:cs="Arial"/>
                <w:b/>
                <w:bCs/>
                <w:color w:val="000000"/>
                <w:sz w:val="17"/>
                <w:szCs w:val="17"/>
              </w:rPr>
              <w:t>998.711</w:t>
            </w:r>
          </w:p>
        </w:tc>
        <w:tc>
          <w:tcPr>
            <w:tcW w:w="640" w:type="pct"/>
            <w:tcBorders>
              <w:top w:val="single" w:sz="8" w:space="0" w:color="auto"/>
              <w:left w:val="nil"/>
              <w:bottom w:val="single" w:sz="12" w:space="0" w:color="auto"/>
              <w:right w:val="nil"/>
            </w:tcBorders>
            <w:shd w:val="clear" w:color="auto" w:fill="auto"/>
            <w:vAlign w:val="bottom"/>
          </w:tcPr>
          <w:p w14:paraId="405AE28E" w14:textId="77777777" w:rsidR="00E159D9" w:rsidRPr="000C68C3" w:rsidRDefault="00E159D9" w:rsidP="004378AC">
            <w:pPr>
              <w:suppressAutoHyphens/>
              <w:autoSpaceDN w:val="0"/>
              <w:jc w:val="right"/>
              <w:rPr>
                <w:rFonts w:ascii="Arial" w:eastAsia="Times New Roman" w:hAnsi="Arial" w:cs="Arial"/>
                <w:b/>
                <w:bCs/>
                <w:color w:val="000000"/>
                <w:sz w:val="17"/>
                <w:szCs w:val="17"/>
              </w:rPr>
            </w:pPr>
            <w:r w:rsidRPr="000C68C3">
              <w:rPr>
                <w:rFonts w:ascii="Arial" w:eastAsia="Times New Roman" w:hAnsi="Arial" w:cs="Arial"/>
                <w:b/>
                <w:bCs/>
                <w:color w:val="000000"/>
                <w:sz w:val="17"/>
                <w:szCs w:val="17"/>
              </w:rPr>
              <w:t>1.747.916</w:t>
            </w:r>
          </w:p>
        </w:tc>
        <w:tc>
          <w:tcPr>
            <w:tcW w:w="603" w:type="pct"/>
            <w:tcBorders>
              <w:top w:val="single" w:sz="8" w:space="0" w:color="auto"/>
              <w:left w:val="nil"/>
              <w:bottom w:val="single" w:sz="12" w:space="0" w:color="auto"/>
              <w:right w:val="nil"/>
            </w:tcBorders>
            <w:shd w:val="clear" w:color="auto" w:fill="auto"/>
            <w:vAlign w:val="bottom"/>
          </w:tcPr>
          <w:p w14:paraId="79B23CD8" w14:textId="77777777" w:rsidR="00E159D9" w:rsidRPr="000C68C3" w:rsidRDefault="00E159D9" w:rsidP="004378AC">
            <w:pPr>
              <w:suppressAutoHyphens/>
              <w:autoSpaceDN w:val="0"/>
              <w:jc w:val="right"/>
              <w:rPr>
                <w:rFonts w:ascii="Arial" w:eastAsia="Times New Roman" w:hAnsi="Arial" w:cs="Arial"/>
                <w:b/>
                <w:bCs/>
                <w:color w:val="000000"/>
                <w:sz w:val="17"/>
                <w:szCs w:val="17"/>
              </w:rPr>
            </w:pPr>
            <w:r w:rsidRPr="000C68C3">
              <w:rPr>
                <w:rFonts w:ascii="Arial" w:eastAsia="Times New Roman" w:hAnsi="Arial" w:cs="Arial"/>
                <w:b/>
                <w:bCs/>
                <w:color w:val="000000"/>
                <w:sz w:val="17"/>
                <w:szCs w:val="17"/>
              </w:rPr>
              <w:t>4.017.741</w:t>
            </w:r>
          </w:p>
        </w:tc>
      </w:tr>
      <w:tr w:rsidR="00E159D9" w:rsidRPr="003D1614" w14:paraId="4CD58B42" w14:textId="77777777" w:rsidTr="004378AC">
        <w:trPr>
          <w:trHeight w:hRule="exact" w:val="213"/>
        </w:trPr>
        <w:tc>
          <w:tcPr>
            <w:tcW w:w="1518" w:type="pct"/>
            <w:vAlign w:val="bottom"/>
          </w:tcPr>
          <w:p w14:paraId="1F318A75" w14:textId="77777777" w:rsidR="00E159D9" w:rsidRPr="003D1614" w:rsidRDefault="00E159D9" w:rsidP="004378AC">
            <w:pPr>
              <w:keepNext/>
              <w:keepLines/>
              <w:tabs>
                <w:tab w:val="decimal" w:pos="1202"/>
              </w:tabs>
              <w:suppressAutoHyphens/>
              <w:autoSpaceDN w:val="0"/>
              <w:spacing w:line="140" w:lineRule="exact"/>
              <w:rPr>
                <w:rFonts w:ascii="Arial" w:eastAsia="Times New Roman" w:hAnsi="Arial" w:cs="Arial"/>
                <w:b/>
                <w:bCs/>
                <w:color w:val="000000" w:themeColor="text1"/>
                <w:position w:val="4"/>
                <w:sz w:val="17"/>
                <w:szCs w:val="17"/>
              </w:rPr>
            </w:pPr>
          </w:p>
        </w:tc>
        <w:tc>
          <w:tcPr>
            <w:tcW w:w="551" w:type="pct"/>
            <w:tcBorders>
              <w:top w:val="single" w:sz="12" w:space="0" w:color="auto"/>
            </w:tcBorders>
            <w:vAlign w:val="bottom"/>
          </w:tcPr>
          <w:p w14:paraId="4A996074" w14:textId="77777777" w:rsidR="00E159D9" w:rsidRPr="003D1614" w:rsidRDefault="00E159D9" w:rsidP="004378AC">
            <w:pPr>
              <w:keepNext/>
              <w:keepLines/>
              <w:tabs>
                <w:tab w:val="decimal" w:pos="1202"/>
              </w:tabs>
              <w:suppressAutoHyphens/>
              <w:autoSpaceDN w:val="0"/>
              <w:spacing w:line="140" w:lineRule="exact"/>
              <w:jc w:val="right"/>
              <w:rPr>
                <w:rFonts w:ascii="Arial" w:eastAsia="Times New Roman" w:hAnsi="Arial" w:cs="Arial"/>
                <w:b/>
                <w:bCs/>
                <w:color w:val="000000" w:themeColor="text1"/>
                <w:position w:val="4"/>
                <w:sz w:val="17"/>
                <w:szCs w:val="17"/>
              </w:rPr>
            </w:pPr>
          </w:p>
        </w:tc>
        <w:tc>
          <w:tcPr>
            <w:tcW w:w="546" w:type="pct"/>
            <w:tcBorders>
              <w:top w:val="single" w:sz="12" w:space="0" w:color="auto"/>
            </w:tcBorders>
            <w:vAlign w:val="bottom"/>
          </w:tcPr>
          <w:p w14:paraId="79161396" w14:textId="77777777" w:rsidR="00E159D9" w:rsidRPr="003D1614" w:rsidRDefault="00E159D9" w:rsidP="004378AC">
            <w:pPr>
              <w:keepNext/>
              <w:keepLines/>
              <w:tabs>
                <w:tab w:val="decimal" w:pos="1202"/>
              </w:tabs>
              <w:suppressAutoHyphens/>
              <w:autoSpaceDN w:val="0"/>
              <w:spacing w:line="140" w:lineRule="exact"/>
              <w:jc w:val="right"/>
              <w:rPr>
                <w:rFonts w:ascii="Arial" w:eastAsia="Times New Roman" w:hAnsi="Arial" w:cs="Arial"/>
                <w:b/>
                <w:bCs/>
                <w:color w:val="000000" w:themeColor="text1"/>
                <w:position w:val="4"/>
                <w:sz w:val="17"/>
                <w:szCs w:val="17"/>
              </w:rPr>
            </w:pPr>
          </w:p>
        </w:tc>
        <w:tc>
          <w:tcPr>
            <w:tcW w:w="572" w:type="pct"/>
            <w:tcBorders>
              <w:top w:val="single" w:sz="12" w:space="0" w:color="auto"/>
            </w:tcBorders>
            <w:vAlign w:val="bottom"/>
          </w:tcPr>
          <w:p w14:paraId="5EFA4C57" w14:textId="77777777" w:rsidR="00E159D9" w:rsidRPr="003D1614" w:rsidRDefault="00E159D9" w:rsidP="004378AC">
            <w:pPr>
              <w:keepNext/>
              <w:keepLines/>
              <w:tabs>
                <w:tab w:val="decimal" w:pos="1202"/>
              </w:tabs>
              <w:suppressAutoHyphens/>
              <w:autoSpaceDN w:val="0"/>
              <w:spacing w:line="140" w:lineRule="exact"/>
              <w:jc w:val="right"/>
              <w:rPr>
                <w:rFonts w:ascii="Arial" w:eastAsia="Times New Roman" w:hAnsi="Arial" w:cs="Arial"/>
                <w:b/>
                <w:bCs/>
                <w:color w:val="000000" w:themeColor="text1"/>
                <w:position w:val="4"/>
                <w:sz w:val="17"/>
                <w:szCs w:val="17"/>
              </w:rPr>
            </w:pPr>
          </w:p>
        </w:tc>
        <w:tc>
          <w:tcPr>
            <w:tcW w:w="570" w:type="pct"/>
            <w:tcBorders>
              <w:top w:val="single" w:sz="12" w:space="0" w:color="auto"/>
            </w:tcBorders>
            <w:vAlign w:val="bottom"/>
          </w:tcPr>
          <w:p w14:paraId="434F8058" w14:textId="77777777" w:rsidR="00E159D9" w:rsidRPr="003D1614" w:rsidRDefault="00E159D9" w:rsidP="004378AC">
            <w:pPr>
              <w:keepNext/>
              <w:keepLines/>
              <w:tabs>
                <w:tab w:val="decimal" w:pos="1202"/>
              </w:tabs>
              <w:suppressAutoHyphens/>
              <w:autoSpaceDN w:val="0"/>
              <w:spacing w:line="140" w:lineRule="exact"/>
              <w:jc w:val="right"/>
              <w:rPr>
                <w:rFonts w:ascii="Arial" w:eastAsia="Times New Roman" w:hAnsi="Arial" w:cs="Arial"/>
                <w:b/>
                <w:bCs/>
                <w:color w:val="000000" w:themeColor="text1"/>
                <w:position w:val="4"/>
                <w:sz w:val="17"/>
                <w:szCs w:val="17"/>
              </w:rPr>
            </w:pPr>
          </w:p>
        </w:tc>
        <w:tc>
          <w:tcPr>
            <w:tcW w:w="640" w:type="pct"/>
            <w:tcBorders>
              <w:top w:val="single" w:sz="12" w:space="0" w:color="auto"/>
            </w:tcBorders>
            <w:vAlign w:val="bottom"/>
          </w:tcPr>
          <w:p w14:paraId="5BFB8888" w14:textId="77777777" w:rsidR="00E159D9" w:rsidRPr="003D1614" w:rsidRDefault="00E159D9" w:rsidP="004378AC">
            <w:pPr>
              <w:keepNext/>
              <w:keepLines/>
              <w:tabs>
                <w:tab w:val="decimal" w:pos="1202"/>
              </w:tabs>
              <w:suppressAutoHyphens/>
              <w:autoSpaceDN w:val="0"/>
              <w:spacing w:line="140" w:lineRule="exact"/>
              <w:jc w:val="right"/>
              <w:rPr>
                <w:rFonts w:ascii="Arial" w:eastAsia="Times New Roman" w:hAnsi="Arial" w:cs="Arial"/>
                <w:b/>
                <w:bCs/>
                <w:color w:val="000000" w:themeColor="text1"/>
                <w:position w:val="4"/>
                <w:sz w:val="17"/>
                <w:szCs w:val="17"/>
              </w:rPr>
            </w:pPr>
          </w:p>
        </w:tc>
        <w:tc>
          <w:tcPr>
            <w:tcW w:w="603" w:type="pct"/>
            <w:tcBorders>
              <w:top w:val="single" w:sz="12" w:space="0" w:color="auto"/>
            </w:tcBorders>
            <w:vAlign w:val="bottom"/>
          </w:tcPr>
          <w:p w14:paraId="5BB1BE11" w14:textId="77777777" w:rsidR="00E159D9" w:rsidRPr="003D1614" w:rsidRDefault="00E159D9" w:rsidP="004378AC">
            <w:pPr>
              <w:keepNext/>
              <w:keepLines/>
              <w:tabs>
                <w:tab w:val="decimal" w:pos="1202"/>
              </w:tabs>
              <w:suppressAutoHyphens/>
              <w:autoSpaceDN w:val="0"/>
              <w:spacing w:line="140" w:lineRule="exact"/>
              <w:jc w:val="right"/>
              <w:rPr>
                <w:rFonts w:ascii="Arial" w:eastAsia="Times New Roman" w:hAnsi="Arial" w:cs="Arial"/>
                <w:b/>
                <w:bCs/>
                <w:color w:val="000000" w:themeColor="text1"/>
                <w:position w:val="4"/>
                <w:sz w:val="17"/>
                <w:szCs w:val="17"/>
              </w:rPr>
            </w:pPr>
          </w:p>
        </w:tc>
      </w:tr>
      <w:tr w:rsidR="00E159D9" w:rsidRPr="003D1614" w14:paraId="0C1D64A3" w14:textId="77777777" w:rsidTr="004378AC">
        <w:trPr>
          <w:trHeight w:val="145"/>
        </w:trPr>
        <w:tc>
          <w:tcPr>
            <w:tcW w:w="1518" w:type="pct"/>
            <w:vAlign w:val="bottom"/>
          </w:tcPr>
          <w:p w14:paraId="374C5132" w14:textId="77777777" w:rsidR="00E159D9" w:rsidRPr="003D1614" w:rsidRDefault="00E159D9" w:rsidP="004378AC">
            <w:pPr>
              <w:tabs>
                <w:tab w:val="right" w:pos="1202"/>
              </w:tabs>
              <w:suppressAutoHyphens/>
              <w:autoSpaceDN w:val="0"/>
              <w:spacing w:line="240" w:lineRule="exact"/>
              <w:outlineLvl w:val="0"/>
              <w:rPr>
                <w:rFonts w:ascii="Arial" w:eastAsia="Times New Roman" w:hAnsi="Arial" w:cs="Arial"/>
                <w:b/>
                <w:bCs/>
                <w:color w:val="000000" w:themeColor="text1"/>
                <w:sz w:val="17"/>
                <w:szCs w:val="17"/>
              </w:rPr>
            </w:pPr>
            <w:bookmarkStart w:id="815" w:name="_Toc67330183"/>
            <w:r w:rsidRPr="003D1614">
              <w:rPr>
                <w:rFonts w:ascii="Arial" w:eastAsia="Times New Roman" w:hAnsi="Arial" w:cs="Arial"/>
                <w:b/>
                <w:bCs/>
                <w:color w:val="000000" w:themeColor="text1"/>
                <w:sz w:val="17"/>
                <w:szCs w:val="17"/>
              </w:rPr>
              <w:t>Obveze</w:t>
            </w:r>
            <w:bookmarkEnd w:id="815"/>
          </w:p>
        </w:tc>
        <w:tc>
          <w:tcPr>
            <w:tcW w:w="551" w:type="pct"/>
            <w:vAlign w:val="bottom"/>
          </w:tcPr>
          <w:p w14:paraId="05D3CC6D" w14:textId="77777777" w:rsidR="00E159D9" w:rsidRPr="003D1614" w:rsidRDefault="00E159D9" w:rsidP="004378AC">
            <w:pPr>
              <w:suppressAutoHyphens/>
              <w:autoSpaceDN w:val="0"/>
              <w:spacing w:line="240" w:lineRule="exact"/>
              <w:jc w:val="right"/>
              <w:outlineLvl w:val="0"/>
              <w:rPr>
                <w:rFonts w:ascii="Arial" w:eastAsia="Times New Roman" w:hAnsi="Arial" w:cs="Arial"/>
                <w:color w:val="000000" w:themeColor="text1"/>
                <w:spacing w:val="-2"/>
                <w:sz w:val="17"/>
                <w:szCs w:val="17"/>
              </w:rPr>
            </w:pPr>
          </w:p>
        </w:tc>
        <w:tc>
          <w:tcPr>
            <w:tcW w:w="546" w:type="pct"/>
            <w:vAlign w:val="bottom"/>
          </w:tcPr>
          <w:p w14:paraId="29561C3C" w14:textId="77777777" w:rsidR="00E159D9" w:rsidRPr="003D1614" w:rsidRDefault="00E159D9" w:rsidP="004378AC">
            <w:pPr>
              <w:suppressAutoHyphens/>
              <w:autoSpaceDN w:val="0"/>
              <w:spacing w:line="240" w:lineRule="exact"/>
              <w:jc w:val="right"/>
              <w:outlineLvl w:val="0"/>
              <w:rPr>
                <w:rFonts w:ascii="Arial" w:eastAsia="Times New Roman" w:hAnsi="Arial" w:cs="Arial"/>
                <w:color w:val="000000" w:themeColor="text1"/>
                <w:spacing w:val="-2"/>
                <w:sz w:val="17"/>
                <w:szCs w:val="17"/>
              </w:rPr>
            </w:pPr>
          </w:p>
        </w:tc>
        <w:tc>
          <w:tcPr>
            <w:tcW w:w="572" w:type="pct"/>
            <w:vAlign w:val="bottom"/>
          </w:tcPr>
          <w:p w14:paraId="6785EAD5" w14:textId="77777777" w:rsidR="00E159D9" w:rsidRPr="003D1614" w:rsidRDefault="00E159D9" w:rsidP="004378AC">
            <w:pPr>
              <w:suppressAutoHyphens/>
              <w:autoSpaceDN w:val="0"/>
              <w:spacing w:line="240" w:lineRule="exact"/>
              <w:jc w:val="right"/>
              <w:outlineLvl w:val="0"/>
              <w:rPr>
                <w:rFonts w:ascii="Arial" w:eastAsia="Times New Roman" w:hAnsi="Arial" w:cs="Arial"/>
                <w:color w:val="000000" w:themeColor="text1"/>
                <w:spacing w:val="-2"/>
                <w:sz w:val="17"/>
                <w:szCs w:val="17"/>
              </w:rPr>
            </w:pPr>
          </w:p>
        </w:tc>
        <w:tc>
          <w:tcPr>
            <w:tcW w:w="570" w:type="pct"/>
            <w:vAlign w:val="bottom"/>
          </w:tcPr>
          <w:p w14:paraId="178EE0B2" w14:textId="77777777" w:rsidR="00E159D9" w:rsidRPr="003D1614" w:rsidRDefault="00E159D9" w:rsidP="004378AC">
            <w:pPr>
              <w:suppressAutoHyphens/>
              <w:autoSpaceDN w:val="0"/>
              <w:spacing w:line="240" w:lineRule="exact"/>
              <w:jc w:val="right"/>
              <w:outlineLvl w:val="0"/>
              <w:rPr>
                <w:rFonts w:ascii="Arial" w:eastAsia="Times New Roman" w:hAnsi="Arial" w:cs="Arial"/>
                <w:color w:val="000000" w:themeColor="text1"/>
                <w:spacing w:val="-2"/>
                <w:sz w:val="17"/>
                <w:szCs w:val="17"/>
              </w:rPr>
            </w:pPr>
          </w:p>
        </w:tc>
        <w:tc>
          <w:tcPr>
            <w:tcW w:w="640" w:type="pct"/>
            <w:vAlign w:val="bottom"/>
          </w:tcPr>
          <w:p w14:paraId="5F4ED50B" w14:textId="77777777" w:rsidR="00E159D9" w:rsidRPr="003D1614" w:rsidRDefault="00E159D9" w:rsidP="004378AC">
            <w:pPr>
              <w:suppressAutoHyphens/>
              <w:autoSpaceDN w:val="0"/>
              <w:spacing w:line="240" w:lineRule="exact"/>
              <w:jc w:val="right"/>
              <w:outlineLvl w:val="0"/>
              <w:rPr>
                <w:rFonts w:ascii="Arial" w:eastAsia="Times New Roman" w:hAnsi="Arial" w:cs="Arial"/>
                <w:color w:val="000000" w:themeColor="text1"/>
                <w:spacing w:val="-2"/>
                <w:sz w:val="17"/>
                <w:szCs w:val="17"/>
              </w:rPr>
            </w:pPr>
          </w:p>
        </w:tc>
        <w:tc>
          <w:tcPr>
            <w:tcW w:w="603" w:type="pct"/>
            <w:vAlign w:val="bottom"/>
          </w:tcPr>
          <w:p w14:paraId="6E4FF2AA" w14:textId="77777777" w:rsidR="00E159D9" w:rsidRPr="003D1614" w:rsidRDefault="00E159D9" w:rsidP="004378AC">
            <w:pPr>
              <w:suppressAutoHyphens/>
              <w:autoSpaceDN w:val="0"/>
              <w:spacing w:line="240" w:lineRule="exact"/>
              <w:jc w:val="right"/>
              <w:outlineLvl w:val="0"/>
              <w:rPr>
                <w:rFonts w:ascii="Arial" w:eastAsia="Times New Roman" w:hAnsi="Arial" w:cs="Arial"/>
                <w:color w:val="000000" w:themeColor="text1"/>
                <w:spacing w:val="-2"/>
                <w:sz w:val="17"/>
                <w:szCs w:val="17"/>
              </w:rPr>
            </w:pPr>
          </w:p>
        </w:tc>
      </w:tr>
      <w:tr w:rsidR="00E159D9" w:rsidRPr="003D1614" w14:paraId="3EA84651" w14:textId="77777777" w:rsidTr="004378AC">
        <w:trPr>
          <w:trHeight w:val="152"/>
        </w:trPr>
        <w:tc>
          <w:tcPr>
            <w:tcW w:w="1518" w:type="pct"/>
            <w:vAlign w:val="bottom"/>
          </w:tcPr>
          <w:p w14:paraId="5EAA84E0" w14:textId="77777777" w:rsidR="00E159D9" w:rsidRPr="003D1614" w:rsidRDefault="00E159D9" w:rsidP="004378AC">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816" w:name="_Toc67330184"/>
            <w:r w:rsidRPr="003D1614">
              <w:rPr>
                <w:rFonts w:ascii="Arial" w:eastAsia="Times New Roman" w:hAnsi="Arial" w:cs="Arial"/>
                <w:color w:val="000000" w:themeColor="text1"/>
                <w:spacing w:val="-2"/>
                <w:sz w:val="17"/>
                <w:szCs w:val="17"/>
              </w:rPr>
              <w:t>Obveze po depozitima</w:t>
            </w:r>
            <w:bookmarkEnd w:id="816"/>
          </w:p>
        </w:tc>
        <w:tc>
          <w:tcPr>
            <w:tcW w:w="551" w:type="pct"/>
            <w:tcBorders>
              <w:top w:val="nil"/>
              <w:left w:val="nil"/>
              <w:bottom w:val="nil"/>
              <w:right w:val="nil"/>
            </w:tcBorders>
            <w:shd w:val="clear" w:color="auto" w:fill="auto"/>
            <w:vAlign w:val="bottom"/>
          </w:tcPr>
          <w:p w14:paraId="4EB8600A" w14:textId="77777777" w:rsidR="00E159D9" w:rsidRPr="003D1614"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176.416</w:t>
            </w:r>
          </w:p>
        </w:tc>
        <w:tc>
          <w:tcPr>
            <w:tcW w:w="546" w:type="pct"/>
            <w:tcBorders>
              <w:top w:val="nil"/>
              <w:left w:val="nil"/>
              <w:bottom w:val="nil"/>
              <w:right w:val="nil"/>
            </w:tcBorders>
            <w:shd w:val="clear" w:color="auto" w:fill="auto"/>
            <w:vAlign w:val="bottom"/>
          </w:tcPr>
          <w:p w14:paraId="1249313C" w14:textId="77777777" w:rsidR="00E159D9" w:rsidRPr="003D1614"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387</w:t>
            </w:r>
          </w:p>
        </w:tc>
        <w:tc>
          <w:tcPr>
            <w:tcW w:w="572" w:type="pct"/>
            <w:tcBorders>
              <w:top w:val="nil"/>
              <w:left w:val="nil"/>
              <w:bottom w:val="nil"/>
              <w:right w:val="nil"/>
            </w:tcBorders>
            <w:shd w:val="clear" w:color="auto" w:fill="auto"/>
            <w:vAlign w:val="bottom"/>
          </w:tcPr>
          <w:p w14:paraId="1CF276DB" w14:textId="77777777" w:rsidR="00E159D9" w:rsidRPr="003D1614"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36.312</w:t>
            </w:r>
          </w:p>
        </w:tc>
        <w:tc>
          <w:tcPr>
            <w:tcW w:w="570" w:type="pct"/>
            <w:tcBorders>
              <w:top w:val="nil"/>
              <w:left w:val="nil"/>
              <w:bottom w:val="nil"/>
              <w:right w:val="nil"/>
            </w:tcBorders>
            <w:shd w:val="clear" w:color="auto" w:fill="auto"/>
            <w:vAlign w:val="bottom"/>
          </w:tcPr>
          <w:p w14:paraId="1CC681E8" w14:textId="77777777" w:rsidR="00E159D9" w:rsidRPr="003D1614"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49</w:t>
            </w:r>
          </w:p>
        </w:tc>
        <w:tc>
          <w:tcPr>
            <w:tcW w:w="640" w:type="pct"/>
            <w:tcBorders>
              <w:top w:val="nil"/>
              <w:left w:val="nil"/>
              <w:bottom w:val="nil"/>
              <w:right w:val="nil"/>
            </w:tcBorders>
            <w:shd w:val="clear" w:color="auto" w:fill="auto"/>
            <w:vAlign w:val="bottom"/>
          </w:tcPr>
          <w:p w14:paraId="06726CAA" w14:textId="77777777" w:rsidR="00E159D9" w:rsidRPr="003D1614"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9.903</w:t>
            </w:r>
          </w:p>
        </w:tc>
        <w:tc>
          <w:tcPr>
            <w:tcW w:w="603" w:type="pct"/>
            <w:tcBorders>
              <w:top w:val="nil"/>
              <w:left w:val="nil"/>
              <w:bottom w:val="nil"/>
              <w:right w:val="nil"/>
            </w:tcBorders>
            <w:shd w:val="clear" w:color="auto" w:fill="auto"/>
            <w:vAlign w:val="bottom"/>
          </w:tcPr>
          <w:p w14:paraId="6EBF5EE4" w14:textId="77777777" w:rsidR="00E159D9" w:rsidRPr="003D1614"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223.067</w:t>
            </w:r>
          </w:p>
        </w:tc>
      </w:tr>
      <w:tr w:rsidR="00E159D9" w:rsidRPr="003D1614" w14:paraId="62281D5D" w14:textId="77777777" w:rsidTr="004378AC">
        <w:trPr>
          <w:trHeight w:val="80"/>
        </w:trPr>
        <w:tc>
          <w:tcPr>
            <w:tcW w:w="1518" w:type="pct"/>
            <w:vAlign w:val="bottom"/>
          </w:tcPr>
          <w:p w14:paraId="589E6412" w14:textId="77777777" w:rsidR="00E159D9" w:rsidRPr="003D1614" w:rsidRDefault="00E159D9" w:rsidP="004378AC">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817" w:name="_Toc67330185"/>
            <w:r w:rsidRPr="003D1614">
              <w:rPr>
                <w:rFonts w:ascii="Arial" w:eastAsia="Times New Roman" w:hAnsi="Arial" w:cs="Arial"/>
                <w:color w:val="000000" w:themeColor="text1"/>
                <w:spacing w:val="-2"/>
                <w:sz w:val="17"/>
                <w:szCs w:val="17"/>
              </w:rPr>
              <w:t>Obveze po kreditima</w:t>
            </w:r>
            <w:bookmarkEnd w:id="817"/>
          </w:p>
        </w:tc>
        <w:tc>
          <w:tcPr>
            <w:tcW w:w="551" w:type="pct"/>
            <w:tcBorders>
              <w:top w:val="nil"/>
              <w:left w:val="nil"/>
              <w:bottom w:val="nil"/>
              <w:right w:val="nil"/>
            </w:tcBorders>
            <w:shd w:val="clear" w:color="auto" w:fill="auto"/>
            <w:vAlign w:val="bottom"/>
          </w:tcPr>
          <w:p w14:paraId="4F71EDCA" w14:textId="77777777" w:rsidR="00E159D9" w:rsidRPr="003D1614"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51.726</w:t>
            </w:r>
          </w:p>
        </w:tc>
        <w:tc>
          <w:tcPr>
            <w:tcW w:w="546" w:type="pct"/>
            <w:tcBorders>
              <w:top w:val="nil"/>
              <w:left w:val="nil"/>
              <w:bottom w:val="nil"/>
              <w:right w:val="nil"/>
            </w:tcBorders>
            <w:shd w:val="clear" w:color="auto" w:fill="auto"/>
            <w:vAlign w:val="bottom"/>
          </w:tcPr>
          <w:p w14:paraId="60BC43C2" w14:textId="77777777" w:rsidR="00E159D9" w:rsidRPr="003D1614"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69.040***</w:t>
            </w:r>
          </w:p>
        </w:tc>
        <w:tc>
          <w:tcPr>
            <w:tcW w:w="572" w:type="pct"/>
            <w:tcBorders>
              <w:top w:val="nil"/>
              <w:left w:val="nil"/>
              <w:bottom w:val="nil"/>
              <w:right w:val="nil"/>
            </w:tcBorders>
            <w:shd w:val="clear" w:color="auto" w:fill="auto"/>
            <w:vAlign w:val="bottom"/>
          </w:tcPr>
          <w:p w14:paraId="31806077" w14:textId="77777777" w:rsidR="00E159D9" w:rsidRPr="003D1614"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250.123</w:t>
            </w:r>
          </w:p>
        </w:tc>
        <w:tc>
          <w:tcPr>
            <w:tcW w:w="570" w:type="pct"/>
            <w:tcBorders>
              <w:top w:val="nil"/>
              <w:left w:val="nil"/>
              <w:bottom w:val="nil"/>
              <w:right w:val="nil"/>
            </w:tcBorders>
            <w:shd w:val="clear" w:color="auto" w:fill="auto"/>
            <w:vAlign w:val="bottom"/>
          </w:tcPr>
          <w:p w14:paraId="250179CB" w14:textId="77777777" w:rsidR="00E159D9" w:rsidRPr="003D1614"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661.116</w:t>
            </w:r>
          </w:p>
        </w:tc>
        <w:tc>
          <w:tcPr>
            <w:tcW w:w="640" w:type="pct"/>
            <w:tcBorders>
              <w:top w:val="nil"/>
              <w:left w:val="nil"/>
              <w:bottom w:val="nil"/>
              <w:right w:val="nil"/>
            </w:tcBorders>
            <w:shd w:val="clear" w:color="auto" w:fill="auto"/>
            <w:vAlign w:val="bottom"/>
          </w:tcPr>
          <w:p w14:paraId="44AA1BF1" w14:textId="77777777" w:rsidR="00E159D9" w:rsidRPr="003D1614"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1.163.885</w:t>
            </w:r>
          </w:p>
        </w:tc>
        <w:tc>
          <w:tcPr>
            <w:tcW w:w="603" w:type="pct"/>
            <w:tcBorders>
              <w:top w:val="nil"/>
              <w:left w:val="nil"/>
              <w:bottom w:val="nil"/>
              <w:right w:val="nil"/>
            </w:tcBorders>
            <w:shd w:val="clear" w:color="auto" w:fill="auto"/>
            <w:vAlign w:val="bottom"/>
          </w:tcPr>
          <w:p w14:paraId="4CFEB30F" w14:textId="77777777" w:rsidR="00E159D9" w:rsidRPr="003D1614"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2.195.890</w:t>
            </w:r>
          </w:p>
        </w:tc>
      </w:tr>
      <w:tr w:rsidR="00E159D9" w:rsidRPr="003D1614" w14:paraId="7E1880D8" w14:textId="77777777" w:rsidTr="004378AC">
        <w:trPr>
          <w:trHeight w:val="293"/>
        </w:trPr>
        <w:tc>
          <w:tcPr>
            <w:tcW w:w="1518" w:type="pct"/>
            <w:vAlign w:val="bottom"/>
          </w:tcPr>
          <w:p w14:paraId="37FB6D99" w14:textId="77777777" w:rsidR="00E159D9" w:rsidRPr="003D1614" w:rsidRDefault="00E159D9" w:rsidP="004378AC">
            <w:pPr>
              <w:tabs>
                <w:tab w:val="right" w:pos="1202"/>
              </w:tabs>
              <w:suppressAutoHyphens/>
              <w:autoSpaceDN w:val="0"/>
              <w:spacing w:line="240" w:lineRule="exact"/>
              <w:outlineLvl w:val="0"/>
              <w:rPr>
                <w:rFonts w:ascii="Arial" w:eastAsia="Times New Roman" w:hAnsi="Arial" w:cs="Arial"/>
                <w:color w:val="000000" w:themeColor="text1"/>
                <w:spacing w:val="-2"/>
                <w:sz w:val="17"/>
                <w:szCs w:val="17"/>
              </w:rPr>
            </w:pPr>
            <w:bookmarkStart w:id="818" w:name="_Toc67330187"/>
            <w:r w:rsidRPr="003D1614">
              <w:rPr>
                <w:rFonts w:ascii="Arial" w:eastAsia="Times New Roman" w:hAnsi="Arial" w:cs="Arial"/>
                <w:color w:val="000000" w:themeColor="text1"/>
                <w:spacing w:val="-2"/>
                <w:sz w:val="17"/>
                <w:szCs w:val="17"/>
              </w:rPr>
              <w:t>Rezerviranja za garancije, preuzete i ostale obveze</w:t>
            </w:r>
            <w:bookmarkEnd w:id="818"/>
          </w:p>
        </w:tc>
        <w:tc>
          <w:tcPr>
            <w:tcW w:w="551" w:type="pct"/>
            <w:tcBorders>
              <w:top w:val="nil"/>
              <w:left w:val="nil"/>
              <w:bottom w:val="nil"/>
              <w:right w:val="nil"/>
            </w:tcBorders>
            <w:shd w:val="clear" w:color="auto" w:fill="auto"/>
            <w:vAlign w:val="bottom"/>
          </w:tcPr>
          <w:p w14:paraId="43A8673D" w14:textId="77777777" w:rsidR="00E159D9" w:rsidRPr="003D1614" w:rsidDel="00F864B4"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7.862</w:t>
            </w:r>
          </w:p>
        </w:tc>
        <w:tc>
          <w:tcPr>
            <w:tcW w:w="546" w:type="pct"/>
            <w:tcBorders>
              <w:top w:val="nil"/>
              <w:left w:val="nil"/>
              <w:bottom w:val="nil"/>
              <w:right w:val="nil"/>
            </w:tcBorders>
            <w:shd w:val="clear" w:color="auto" w:fill="auto"/>
            <w:vAlign w:val="bottom"/>
          </w:tcPr>
          <w:p w14:paraId="2E8D7524" w14:textId="77777777" w:rsidR="00E159D9" w:rsidRPr="003D1614" w:rsidDel="00F864B4"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683</w:t>
            </w:r>
          </w:p>
        </w:tc>
        <w:tc>
          <w:tcPr>
            <w:tcW w:w="572" w:type="pct"/>
            <w:tcBorders>
              <w:top w:val="nil"/>
              <w:left w:val="nil"/>
              <w:bottom w:val="nil"/>
              <w:right w:val="nil"/>
            </w:tcBorders>
            <w:shd w:val="clear" w:color="auto" w:fill="auto"/>
            <w:vAlign w:val="bottom"/>
          </w:tcPr>
          <w:p w14:paraId="03D3A1BA" w14:textId="77777777" w:rsidR="00E159D9" w:rsidRPr="003D1614" w:rsidDel="00F864B4"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2.325</w:t>
            </w:r>
          </w:p>
        </w:tc>
        <w:tc>
          <w:tcPr>
            <w:tcW w:w="570" w:type="pct"/>
            <w:tcBorders>
              <w:top w:val="nil"/>
              <w:left w:val="nil"/>
              <w:bottom w:val="nil"/>
              <w:right w:val="nil"/>
            </w:tcBorders>
            <w:shd w:val="clear" w:color="auto" w:fill="auto"/>
            <w:vAlign w:val="bottom"/>
          </w:tcPr>
          <w:p w14:paraId="68F00029" w14:textId="77777777" w:rsidR="00E159D9" w:rsidRPr="003D1614" w:rsidDel="00F864B4"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5.112</w:t>
            </w:r>
          </w:p>
        </w:tc>
        <w:tc>
          <w:tcPr>
            <w:tcW w:w="640" w:type="pct"/>
            <w:tcBorders>
              <w:top w:val="nil"/>
              <w:left w:val="nil"/>
              <w:bottom w:val="nil"/>
              <w:right w:val="nil"/>
            </w:tcBorders>
            <w:shd w:val="clear" w:color="auto" w:fill="auto"/>
            <w:vAlign w:val="bottom"/>
          </w:tcPr>
          <w:p w14:paraId="5A430972" w14:textId="77777777" w:rsidR="00E159D9" w:rsidRPr="003D1614" w:rsidDel="00F864B4"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3.413</w:t>
            </w:r>
          </w:p>
        </w:tc>
        <w:tc>
          <w:tcPr>
            <w:tcW w:w="603" w:type="pct"/>
            <w:tcBorders>
              <w:top w:val="nil"/>
              <w:left w:val="nil"/>
              <w:bottom w:val="nil"/>
              <w:right w:val="nil"/>
            </w:tcBorders>
            <w:shd w:val="clear" w:color="auto" w:fill="auto"/>
            <w:vAlign w:val="bottom"/>
          </w:tcPr>
          <w:p w14:paraId="58CE5179" w14:textId="77777777" w:rsidR="00E159D9" w:rsidRPr="003D1614" w:rsidDel="00F864B4"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19.395</w:t>
            </w:r>
          </w:p>
        </w:tc>
      </w:tr>
      <w:tr w:rsidR="00E159D9" w:rsidRPr="003D1614" w14:paraId="019A022F" w14:textId="77777777" w:rsidTr="004378AC">
        <w:trPr>
          <w:trHeight w:val="137"/>
        </w:trPr>
        <w:tc>
          <w:tcPr>
            <w:tcW w:w="1518" w:type="pct"/>
            <w:vAlign w:val="bottom"/>
          </w:tcPr>
          <w:p w14:paraId="0D13E245" w14:textId="77777777" w:rsidR="00E159D9" w:rsidRPr="003D1614" w:rsidRDefault="00E159D9" w:rsidP="004378AC">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819" w:name="_Toc67330188"/>
            <w:r w:rsidRPr="003D1614">
              <w:rPr>
                <w:rFonts w:ascii="Arial" w:eastAsia="Times New Roman" w:hAnsi="Arial" w:cs="Arial"/>
                <w:color w:val="000000" w:themeColor="text1"/>
                <w:spacing w:val="-2"/>
                <w:sz w:val="17"/>
                <w:szCs w:val="17"/>
              </w:rPr>
              <w:t>Ostale obveze</w:t>
            </w:r>
            <w:bookmarkEnd w:id="819"/>
          </w:p>
        </w:tc>
        <w:tc>
          <w:tcPr>
            <w:tcW w:w="551" w:type="pct"/>
            <w:tcBorders>
              <w:top w:val="nil"/>
              <w:left w:val="nil"/>
              <w:bottom w:val="nil"/>
              <w:right w:val="nil"/>
            </w:tcBorders>
            <w:shd w:val="clear" w:color="auto" w:fill="auto"/>
            <w:vAlign w:val="bottom"/>
          </w:tcPr>
          <w:p w14:paraId="4EDC3806" w14:textId="77777777" w:rsidR="00E159D9" w:rsidRPr="003D1614"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30.646</w:t>
            </w:r>
          </w:p>
        </w:tc>
        <w:tc>
          <w:tcPr>
            <w:tcW w:w="546" w:type="pct"/>
            <w:tcBorders>
              <w:top w:val="nil"/>
              <w:left w:val="nil"/>
              <w:bottom w:val="nil"/>
              <w:right w:val="nil"/>
            </w:tcBorders>
            <w:shd w:val="clear" w:color="auto" w:fill="auto"/>
            <w:vAlign w:val="bottom"/>
          </w:tcPr>
          <w:p w14:paraId="715E188A" w14:textId="77777777" w:rsidR="00E159D9" w:rsidRPr="003D1614"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2.662</w:t>
            </w:r>
          </w:p>
        </w:tc>
        <w:tc>
          <w:tcPr>
            <w:tcW w:w="572" w:type="pct"/>
            <w:tcBorders>
              <w:top w:val="nil"/>
              <w:left w:val="nil"/>
              <w:bottom w:val="nil"/>
              <w:right w:val="nil"/>
            </w:tcBorders>
            <w:shd w:val="clear" w:color="auto" w:fill="auto"/>
            <w:vAlign w:val="bottom"/>
          </w:tcPr>
          <w:p w14:paraId="41E06895" w14:textId="77777777" w:rsidR="00E159D9" w:rsidRPr="003D1614"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9.064</w:t>
            </w:r>
          </w:p>
        </w:tc>
        <w:tc>
          <w:tcPr>
            <w:tcW w:w="570" w:type="pct"/>
            <w:tcBorders>
              <w:top w:val="nil"/>
              <w:left w:val="nil"/>
              <w:bottom w:val="nil"/>
              <w:right w:val="nil"/>
            </w:tcBorders>
            <w:shd w:val="clear" w:color="auto" w:fill="auto"/>
            <w:vAlign w:val="bottom"/>
          </w:tcPr>
          <w:p w14:paraId="5918FF1C" w14:textId="77777777" w:rsidR="00E159D9" w:rsidRPr="003D1614"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19.925</w:t>
            </w:r>
          </w:p>
        </w:tc>
        <w:tc>
          <w:tcPr>
            <w:tcW w:w="640" w:type="pct"/>
            <w:tcBorders>
              <w:top w:val="nil"/>
              <w:left w:val="nil"/>
              <w:bottom w:val="nil"/>
              <w:right w:val="nil"/>
            </w:tcBorders>
            <w:shd w:val="clear" w:color="auto" w:fill="auto"/>
            <w:vAlign w:val="bottom"/>
          </w:tcPr>
          <w:p w14:paraId="2EFFACFD" w14:textId="77777777" w:rsidR="00E159D9" w:rsidRPr="003D1614" w:rsidRDefault="00E159D9" w:rsidP="004378AC">
            <w:pPr>
              <w:suppressAutoHyphens/>
              <w:autoSpaceDN w:val="0"/>
              <w:jc w:val="right"/>
              <w:rPr>
                <w:rFonts w:ascii="Arial" w:eastAsia="Times New Roman" w:hAnsi="Arial" w:cs="Arial"/>
                <w:color w:val="000000"/>
                <w:sz w:val="17"/>
                <w:szCs w:val="17"/>
              </w:rPr>
            </w:pPr>
            <w:r w:rsidRPr="00B05028">
              <w:rPr>
                <w:rFonts w:ascii="Arial" w:eastAsia="Times New Roman" w:hAnsi="Arial" w:cs="Arial"/>
                <w:sz w:val="17"/>
                <w:szCs w:val="17"/>
              </w:rPr>
              <w:t>13.298</w:t>
            </w:r>
          </w:p>
        </w:tc>
        <w:tc>
          <w:tcPr>
            <w:tcW w:w="603" w:type="pct"/>
            <w:tcBorders>
              <w:top w:val="nil"/>
              <w:left w:val="nil"/>
              <w:bottom w:val="nil"/>
              <w:right w:val="nil"/>
            </w:tcBorders>
            <w:shd w:val="clear" w:color="auto" w:fill="auto"/>
            <w:vAlign w:val="bottom"/>
          </w:tcPr>
          <w:p w14:paraId="219C3B41" w14:textId="77777777" w:rsidR="00E159D9" w:rsidRPr="003D1614" w:rsidRDefault="00E159D9" w:rsidP="004378AC">
            <w:pPr>
              <w:suppressAutoHyphens/>
              <w:autoSpaceDN w:val="0"/>
              <w:jc w:val="right"/>
              <w:rPr>
                <w:rFonts w:ascii="Arial" w:eastAsia="Times New Roman" w:hAnsi="Arial" w:cs="Arial"/>
                <w:color w:val="000000"/>
                <w:sz w:val="17"/>
                <w:szCs w:val="17"/>
              </w:rPr>
            </w:pPr>
            <w:r w:rsidRPr="00B05028">
              <w:rPr>
                <w:rFonts w:ascii="Arial" w:eastAsia="Times New Roman" w:hAnsi="Arial" w:cs="Arial"/>
                <w:sz w:val="17"/>
                <w:szCs w:val="17"/>
              </w:rPr>
              <w:t>75.595</w:t>
            </w:r>
          </w:p>
        </w:tc>
      </w:tr>
      <w:tr w:rsidR="00E159D9" w:rsidRPr="003D1614" w14:paraId="2FA112BA" w14:textId="77777777" w:rsidTr="004378AC">
        <w:trPr>
          <w:trHeight w:val="145"/>
        </w:trPr>
        <w:tc>
          <w:tcPr>
            <w:tcW w:w="1518" w:type="pct"/>
            <w:vAlign w:val="bottom"/>
          </w:tcPr>
          <w:p w14:paraId="0C528930" w14:textId="77777777" w:rsidR="00E159D9" w:rsidRPr="003D1614" w:rsidRDefault="00E159D9" w:rsidP="004378AC">
            <w:pPr>
              <w:tabs>
                <w:tab w:val="right" w:pos="1202"/>
              </w:tabs>
              <w:suppressAutoHyphens/>
              <w:autoSpaceDN w:val="0"/>
              <w:spacing w:line="240" w:lineRule="exact"/>
              <w:outlineLvl w:val="0"/>
              <w:rPr>
                <w:rFonts w:ascii="Arial" w:eastAsia="Times New Roman" w:hAnsi="Arial" w:cs="Arial"/>
                <w:b/>
                <w:bCs/>
                <w:color w:val="000000" w:themeColor="text1"/>
                <w:sz w:val="17"/>
                <w:szCs w:val="17"/>
              </w:rPr>
            </w:pPr>
            <w:bookmarkStart w:id="820" w:name="_Toc67330189"/>
            <w:r w:rsidRPr="003D1614">
              <w:rPr>
                <w:rFonts w:ascii="Arial" w:eastAsia="Times New Roman" w:hAnsi="Arial" w:cs="Arial"/>
                <w:b/>
                <w:bCs/>
                <w:color w:val="000000" w:themeColor="text1"/>
                <w:sz w:val="17"/>
                <w:szCs w:val="17"/>
              </w:rPr>
              <w:t>Ukupne obveze</w:t>
            </w:r>
            <w:bookmarkEnd w:id="820"/>
          </w:p>
        </w:tc>
        <w:tc>
          <w:tcPr>
            <w:tcW w:w="551" w:type="pct"/>
            <w:tcBorders>
              <w:top w:val="single" w:sz="8" w:space="0" w:color="auto"/>
              <w:left w:val="nil"/>
              <w:bottom w:val="single" w:sz="8" w:space="0" w:color="auto"/>
              <w:right w:val="nil"/>
            </w:tcBorders>
            <w:shd w:val="clear" w:color="auto" w:fill="auto"/>
            <w:vAlign w:val="bottom"/>
          </w:tcPr>
          <w:p w14:paraId="5565AE2F" w14:textId="77777777" w:rsidR="00E159D9" w:rsidRPr="000C68C3" w:rsidRDefault="00E159D9" w:rsidP="004378AC">
            <w:pPr>
              <w:suppressAutoHyphens/>
              <w:autoSpaceDN w:val="0"/>
              <w:jc w:val="right"/>
              <w:rPr>
                <w:rFonts w:ascii="Arial" w:eastAsia="Times New Roman" w:hAnsi="Arial" w:cs="Arial"/>
                <w:b/>
                <w:bCs/>
                <w:color w:val="000000"/>
                <w:sz w:val="17"/>
                <w:szCs w:val="17"/>
              </w:rPr>
            </w:pPr>
            <w:r>
              <w:rPr>
                <w:rFonts w:ascii="Arial" w:eastAsia="Times New Roman" w:hAnsi="Arial" w:cs="Arial"/>
                <w:b/>
                <w:bCs/>
                <w:color w:val="000000"/>
                <w:sz w:val="17"/>
                <w:szCs w:val="17"/>
              </w:rPr>
              <w:t>266.650</w:t>
            </w:r>
          </w:p>
        </w:tc>
        <w:tc>
          <w:tcPr>
            <w:tcW w:w="546" w:type="pct"/>
            <w:tcBorders>
              <w:top w:val="single" w:sz="8" w:space="0" w:color="auto"/>
              <w:left w:val="nil"/>
              <w:bottom w:val="single" w:sz="8" w:space="0" w:color="auto"/>
              <w:right w:val="nil"/>
            </w:tcBorders>
            <w:shd w:val="clear" w:color="auto" w:fill="auto"/>
            <w:vAlign w:val="bottom"/>
          </w:tcPr>
          <w:p w14:paraId="38D82BCF" w14:textId="77777777" w:rsidR="00E159D9" w:rsidRPr="000C68C3" w:rsidRDefault="00E159D9" w:rsidP="004378AC">
            <w:pPr>
              <w:suppressAutoHyphens/>
              <w:autoSpaceDN w:val="0"/>
              <w:jc w:val="right"/>
              <w:rPr>
                <w:rFonts w:ascii="Arial" w:eastAsia="Times New Roman" w:hAnsi="Arial" w:cs="Arial"/>
                <w:b/>
                <w:bCs/>
                <w:color w:val="000000"/>
                <w:sz w:val="17"/>
                <w:szCs w:val="17"/>
              </w:rPr>
            </w:pPr>
            <w:r>
              <w:rPr>
                <w:rFonts w:ascii="Arial" w:eastAsia="Times New Roman" w:hAnsi="Arial" w:cs="Arial"/>
                <w:b/>
                <w:bCs/>
                <w:color w:val="000000"/>
                <w:sz w:val="17"/>
                <w:szCs w:val="17"/>
              </w:rPr>
              <w:t>72.772</w:t>
            </w:r>
          </w:p>
        </w:tc>
        <w:tc>
          <w:tcPr>
            <w:tcW w:w="572" w:type="pct"/>
            <w:tcBorders>
              <w:top w:val="single" w:sz="8" w:space="0" w:color="auto"/>
              <w:left w:val="nil"/>
              <w:bottom w:val="single" w:sz="8" w:space="0" w:color="auto"/>
              <w:right w:val="nil"/>
            </w:tcBorders>
            <w:shd w:val="clear" w:color="auto" w:fill="auto"/>
            <w:vAlign w:val="bottom"/>
          </w:tcPr>
          <w:p w14:paraId="5815878E" w14:textId="77777777" w:rsidR="00E159D9" w:rsidRPr="000C68C3" w:rsidRDefault="00E159D9" w:rsidP="004378AC">
            <w:pPr>
              <w:suppressAutoHyphens/>
              <w:autoSpaceDN w:val="0"/>
              <w:jc w:val="right"/>
              <w:rPr>
                <w:rFonts w:ascii="Arial" w:eastAsia="Times New Roman" w:hAnsi="Arial" w:cs="Arial"/>
                <w:b/>
                <w:bCs/>
                <w:color w:val="000000"/>
                <w:sz w:val="17"/>
                <w:szCs w:val="17"/>
              </w:rPr>
            </w:pPr>
            <w:r>
              <w:rPr>
                <w:rFonts w:ascii="Arial" w:eastAsia="Times New Roman" w:hAnsi="Arial" w:cs="Arial"/>
                <w:b/>
                <w:bCs/>
                <w:color w:val="000000"/>
                <w:sz w:val="17"/>
                <w:szCs w:val="17"/>
              </w:rPr>
              <w:t>297.824</w:t>
            </w:r>
          </w:p>
        </w:tc>
        <w:tc>
          <w:tcPr>
            <w:tcW w:w="570" w:type="pct"/>
            <w:tcBorders>
              <w:top w:val="single" w:sz="8" w:space="0" w:color="auto"/>
              <w:left w:val="nil"/>
              <w:bottom w:val="single" w:sz="8" w:space="0" w:color="auto"/>
              <w:right w:val="nil"/>
            </w:tcBorders>
            <w:shd w:val="clear" w:color="auto" w:fill="auto"/>
            <w:vAlign w:val="bottom"/>
          </w:tcPr>
          <w:p w14:paraId="4CFE26E1" w14:textId="77777777" w:rsidR="00E159D9" w:rsidRPr="000C68C3" w:rsidRDefault="00E159D9" w:rsidP="004378AC">
            <w:pPr>
              <w:suppressAutoHyphens/>
              <w:autoSpaceDN w:val="0"/>
              <w:jc w:val="right"/>
              <w:rPr>
                <w:rFonts w:ascii="Arial" w:eastAsia="Times New Roman" w:hAnsi="Arial" w:cs="Arial"/>
                <w:b/>
                <w:bCs/>
                <w:color w:val="000000"/>
                <w:sz w:val="17"/>
                <w:szCs w:val="17"/>
              </w:rPr>
            </w:pPr>
            <w:r>
              <w:rPr>
                <w:rFonts w:ascii="Arial" w:eastAsia="Times New Roman" w:hAnsi="Arial" w:cs="Arial"/>
                <w:b/>
                <w:bCs/>
                <w:color w:val="000000"/>
                <w:sz w:val="17"/>
                <w:szCs w:val="17"/>
              </w:rPr>
              <w:t>686.202</w:t>
            </w:r>
          </w:p>
        </w:tc>
        <w:tc>
          <w:tcPr>
            <w:tcW w:w="640" w:type="pct"/>
            <w:tcBorders>
              <w:top w:val="single" w:sz="8" w:space="0" w:color="auto"/>
              <w:left w:val="nil"/>
              <w:bottom w:val="single" w:sz="8" w:space="0" w:color="auto"/>
              <w:right w:val="nil"/>
            </w:tcBorders>
            <w:shd w:val="clear" w:color="auto" w:fill="auto"/>
            <w:vAlign w:val="bottom"/>
          </w:tcPr>
          <w:p w14:paraId="4D266CD7" w14:textId="77777777" w:rsidR="00E159D9" w:rsidRPr="000C68C3" w:rsidRDefault="00E159D9" w:rsidP="004378AC">
            <w:pPr>
              <w:suppressAutoHyphens/>
              <w:autoSpaceDN w:val="0"/>
              <w:jc w:val="right"/>
              <w:rPr>
                <w:rFonts w:ascii="Arial" w:eastAsia="Times New Roman" w:hAnsi="Arial" w:cs="Arial"/>
                <w:b/>
                <w:bCs/>
                <w:color w:val="000000"/>
                <w:sz w:val="17"/>
                <w:szCs w:val="17"/>
              </w:rPr>
            </w:pPr>
            <w:r w:rsidRPr="000C68C3">
              <w:rPr>
                <w:rFonts w:ascii="Arial" w:eastAsia="Times New Roman" w:hAnsi="Arial" w:cs="Arial"/>
                <w:b/>
                <w:bCs/>
                <w:color w:val="000000"/>
                <w:sz w:val="17"/>
                <w:szCs w:val="17"/>
              </w:rPr>
              <w:t>1.</w:t>
            </w:r>
            <w:r>
              <w:rPr>
                <w:rFonts w:ascii="Arial" w:eastAsia="Times New Roman" w:hAnsi="Arial" w:cs="Arial"/>
                <w:b/>
                <w:bCs/>
                <w:color w:val="000000"/>
                <w:sz w:val="17"/>
                <w:szCs w:val="17"/>
              </w:rPr>
              <w:t>190.499</w:t>
            </w:r>
          </w:p>
        </w:tc>
        <w:tc>
          <w:tcPr>
            <w:tcW w:w="603" w:type="pct"/>
            <w:tcBorders>
              <w:top w:val="single" w:sz="8" w:space="0" w:color="auto"/>
              <w:left w:val="nil"/>
              <w:bottom w:val="single" w:sz="8" w:space="0" w:color="auto"/>
              <w:right w:val="nil"/>
            </w:tcBorders>
            <w:shd w:val="clear" w:color="auto" w:fill="auto"/>
            <w:vAlign w:val="bottom"/>
          </w:tcPr>
          <w:p w14:paraId="562A4B8C" w14:textId="77777777" w:rsidR="00E159D9" w:rsidRPr="000C68C3" w:rsidRDefault="00E159D9" w:rsidP="004378AC">
            <w:pPr>
              <w:suppressAutoHyphens/>
              <w:autoSpaceDN w:val="0"/>
              <w:jc w:val="right"/>
              <w:rPr>
                <w:rFonts w:ascii="Arial" w:eastAsia="Times New Roman" w:hAnsi="Arial" w:cs="Arial"/>
                <w:b/>
                <w:bCs/>
                <w:color w:val="000000"/>
                <w:sz w:val="17"/>
                <w:szCs w:val="17"/>
              </w:rPr>
            </w:pPr>
            <w:r>
              <w:rPr>
                <w:rFonts w:ascii="Arial" w:eastAsia="Times New Roman" w:hAnsi="Arial" w:cs="Arial"/>
                <w:b/>
                <w:bCs/>
                <w:color w:val="000000"/>
                <w:sz w:val="17"/>
                <w:szCs w:val="17"/>
              </w:rPr>
              <w:t>2.513.947</w:t>
            </w:r>
          </w:p>
        </w:tc>
      </w:tr>
      <w:tr w:rsidR="00E159D9" w:rsidRPr="003D1614" w14:paraId="147A84A1" w14:textId="77777777" w:rsidTr="004378AC">
        <w:trPr>
          <w:trHeight w:val="71"/>
        </w:trPr>
        <w:tc>
          <w:tcPr>
            <w:tcW w:w="1518" w:type="pct"/>
            <w:vAlign w:val="bottom"/>
          </w:tcPr>
          <w:p w14:paraId="51582D61" w14:textId="77777777" w:rsidR="00E159D9" w:rsidRPr="003D1614" w:rsidRDefault="00E159D9" w:rsidP="004378AC">
            <w:pPr>
              <w:tabs>
                <w:tab w:val="right" w:pos="1202"/>
              </w:tabs>
              <w:suppressAutoHyphens/>
              <w:autoSpaceDN w:val="0"/>
              <w:spacing w:line="240" w:lineRule="exact"/>
              <w:outlineLvl w:val="0"/>
              <w:rPr>
                <w:rFonts w:ascii="Arial" w:eastAsia="Times New Roman" w:hAnsi="Arial" w:cs="Arial"/>
                <w:b/>
                <w:bCs/>
                <w:color w:val="000000" w:themeColor="text1"/>
                <w:spacing w:val="-2"/>
                <w:sz w:val="17"/>
                <w:szCs w:val="17"/>
              </w:rPr>
            </w:pPr>
            <w:bookmarkStart w:id="821" w:name="_Toc67330190"/>
            <w:r w:rsidRPr="003D1614">
              <w:rPr>
                <w:rFonts w:ascii="Arial" w:eastAsia="Times New Roman" w:hAnsi="Arial" w:cs="Arial"/>
                <w:b/>
                <w:bCs/>
                <w:color w:val="000000" w:themeColor="text1"/>
                <w:spacing w:val="-2"/>
                <w:sz w:val="17"/>
                <w:szCs w:val="17"/>
              </w:rPr>
              <w:t>Likvidnosni jaz</w:t>
            </w:r>
            <w:bookmarkEnd w:id="821"/>
          </w:p>
        </w:tc>
        <w:tc>
          <w:tcPr>
            <w:tcW w:w="551" w:type="pct"/>
            <w:tcBorders>
              <w:top w:val="single" w:sz="12" w:space="0" w:color="auto"/>
              <w:left w:val="nil"/>
              <w:bottom w:val="single" w:sz="12" w:space="0" w:color="auto"/>
              <w:right w:val="nil"/>
            </w:tcBorders>
            <w:shd w:val="clear" w:color="auto" w:fill="auto"/>
            <w:vAlign w:val="bottom"/>
          </w:tcPr>
          <w:p w14:paraId="3ED1CAD7" w14:textId="77777777" w:rsidR="00E159D9" w:rsidRPr="000C68C3" w:rsidRDefault="00E159D9" w:rsidP="004378AC">
            <w:pPr>
              <w:suppressAutoHyphens/>
              <w:autoSpaceDN w:val="0"/>
              <w:jc w:val="right"/>
              <w:rPr>
                <w:rFonts w:ascii="Arial" w:eastAsia="Times New Roman" w:hAnsi="Arial" w:cs="Arial"/>
                <w:b/>
                <w:bCs/>
                <w:color w:val="000000"/>
                <w:sz w:val="17"/>
                <w:szCs w:val="17"/>
              </w:rPr>
            </w:pPr>
            <w:r w:rsidRPr="000C68C3">
              <w:rPr>
                <w:rFonts w:ascii="Arial" w:eastAsia="Times New Roman" w:hAnsi="Arial" w:cs="Arial"/>
                <w:b/>
                <w:bCs/>
                <w:color w:val="000000"/>
                <w:sz w:val="17"/>
                <w:szCs w:val="17"/>
              </w:rPr>
              <w:t>400.334</w:t>
            </w:r>
          </w:p>
        </w:tc>
        <w:tc>
          <w:tcPr>
            <w:tcW w:w="546" w:type="pct"/>
            <w:tcBorders>
              <w:top w:val="single" w:sz="12" w:space="0" w:color="auto"/>
              <w:left w:val="nil"/>
              <w:bottom w:val="single" w:sz="12" w:space="0" w:color="auto"/>
              <w:right w:val="nil"/>
            </w:tcBorders>
            <w:shd w:val="clear" w:color="auto" w:fill="auto"/>
            <w:vAlign w:val="bottom"/>
          </w:tcPr>
          <w:p w14:paraId="115F6377" w14:textId="77777777" w:rsidR="00E159D9" w:rsidRPr="000C68C3" w:rsidRDefault="00E159D9" w:rsidP="004378AC">
            <w:pPr>
              <w:suppressAutoHyphens/>
              <w:autoSpaceDN w:val="0"/>
              <w:jc w:val="right"/>
              <w:rPr>
                <w:rFonts w:ascii="Arial" w:eastAsia="Times New Roman" w:hAnsi="Arial" w:cs="Arial"/>
                <w:b/>
                <w:bCs/>
                <w:color w:val="000000"/>
                <w:sz w:val="17"/>
                <w:szCs w:val="17"/>
              </w:rPr>
            </w:pPr>
            <w:r w:rsidRPr="000C68C3">
              <w:rPr>
                <w:rFonts w:ascii="Arial" w:eastAsia="Times New Roman" w:hAnsi="Arial" w:cs="Arial"/>
                <w:b/>
                <w:bCs/>
                <w:color w:val="000000"/>
                <w:sz w:val="17"/>
                <w:szCs w:val="17"/>
              </w:rPr>
              <w:t>89.572</w:t>
            </w:r>
          </w:p>
        </w:tc>
        <w:tc>
          <w:tcPr>
            <w:tcW w:w="572" w:type="pct"/>
            <w:tcBorders>
              <w:top w:val="single" w:sz="12" w:space="0" w:color="auto"/>
              <w:left w:val="nil"/>
              <w:bottom w:val="single" w:sz="12" w:space="0" w:color="auto"/>
              <w:right w:val="nil"/>
            </w:tcBorders>
            <w:shd w:val="clear" w:color="auto" w:fill="auto"/>
            <w:vAlign w:val="bottom"/>
          </w:tcPr>
          <w:p w14:paraId="1377790A" w14:textId="77777777" w:rsidR="00E159D9" w:rsidRPr="000C68C3" w:rsidRDefault="00E159D9" w:rsidP="004378AC">
            <w:pPr>
              <w:suppressAutoHyphens/>
              <w:autoSpaceDN w:val="0"/>
              <w:jc w:val="right"/>
              <w:rPr>
                <w:rFonts w:ascii="Arial" w:eastAsia="Times New Roman" w:hAnsi="Arial" w:cs="Arial"/>
                <w:b/>
                <w:bCs/>
                <w:color w:val="000000"/>
                <w:sz w:val="17"/>
                <w:szCs w:val="17"/>
              </w:rPr>
            </w:pPr>
            <w:r w:rsidRPr="000C68C3">
              <w:rPr>
                <w:rFonts w:ascii="Arial" w:eastAsia="Times New Roman" w:hAnsi="Arial" w:cs="Arial"/>
                <w:b/>
                <w:bCs/>
                <w:color w:val="000000"/>
                <w:sz w:val="17"/>
                <w:szCs w:val="17"/>
              </w:rPr>
              <w:t>143.962</w:t>
            </w:r>
          </w:p>
        </w:tc>
        <w:tc>
          <w:tcPr>
            <w:tcW w:w="570" w:type="pct"/>
            <w:tcBorders>
              <w:top w:val="single" w:sz="12" w:space="0" w:color="auto"/>
              <w:left w:val="nil"/>
              <w:bottom w:val="single" w:sz="12" w:space="0" w:color="auto"/>
              <w:right w:val="nil"/>
            </w:tcBorders>
            <w:shd w:val="clear" w:color="auto" w:fill="auto"/>
            <w:vAlign w:val="bottom"/>
          </w:tcPr>
          <w:p w14:paraId="696B3FEF" w14:textId="77777777" w:rsidR="00E159D9" w:rsidRPr="000C68C3" w:rsidRDefault="00E159D9" w:rsidP="004378AC">
            <w:pPr>
              <w:suppressAutoHyphens/>
              <w:autoSpaceDN w:val="0"/>
              <w:jc w:val="right"/>
              <w:rPr>
                <w:rFonts w:ascii="Arial" w:eastAsia="Times New Roman" w:hAnsi="Arial" w:cs="Arial"/>
                <w:b/>
                <w:bCs/>
                <w:color w:val="000000"/>
                <w:sz w:val="17"/>
                <w:szCs w:val="17"/>
              </w:rPr>
            </w:pPr>
            <w:r w:rsidRPr="000C68C3">
              <w:rPr>
                <w:rFonts w:ascii="Arial" w:eastAsia="Times New Roman" w:hAnsi="Arial" w:cs="Arial"/>
                <w:b/>
                <w:bCs/>
                <w:color w:val="000000"/>
                <w:sz w:val="17"/>
                <w:szCs w:val="17"/>
              </w:rPr>
              <w:t>312.509</w:t>
            </w:r>
          </w:p>
        </w:tc>
        <w:tc>
          <w:tcPr>
            <w:tcW w:w="640" w:type="pct"/>
            <w:tcBorders>
              <w:top w:val="single" w:sz="12" w:space="0" w:color="auto"/>
              <w:left w:val="nil"/>
              <w:bottom w:val="single" w:sz="12" w:space="0" w:color="auto"/>
              <w:right w:val="nil"/>
            </w:tcBorders>
            <w:shd w:val="clear" w:color="auto" w:fill="auto"/>
            <w:vAlign w:val="bottom"/>
          </w:tcPr>
          <w:p w14:paraId="5280A2B8" w14:textId="77777777" w:rsidR="00E159D9" w:rsidRPr="000C68C3" w:rsidRDefault="00E159D9" w:rsidP="004378AC">
            <w:pPr>
              <w:suppressAutoHyphens/>
              <w:autoSpaceDN w:val="0"/>
              <w:jc w:val="right"/>
              <w:rPr>
                <w:rFonts w:ascii="Arial" w:eastAsia="Times New Roman" w:hAnsi="Arial" w:cs="Arial"/>
                <w:b/>
                <w:bCs/>
                <w:color w:val="000000"/>
                <w:sz w:val="17"/>
                <w:szCs w:val="17"/>
              </w:rPr>
            </w:pPr>
            <w:r w:rsidRPr="000C68C3">
              <w:rPr>
                <w:rFonts w:ascii="Arial" w:eastAsia="Times New Roman" w:hAnsi="Arial" w:cs="Arial"/>
                <w:b/>
                <w:bCs/>
                <w:color w:val="000000"/>
                <w:sz w:val="17"/>
                <w:szCs w:val="17"/>
              </w:rPr>
              <w:t>557.417</w:t>
            </w:r>
          </w:p>
        </w:tc>
        <w:tc>
          <w:tcPr>
            <w:tcW w:w="603" w:type="pct"/>
            <w:tcBorders>
              <w:top w:val="single" w:sz="12" w:space="0" w:color="auto"/>
              <w:left w:val="nil"/>
              <w:bottom w:val="single" w:sz="12" w:space="0" w:color="auto"/>
              <w:right w:val="nil"/>
            </w:tcBorders>
            <w:shd w:val="clear" w:color="auto" w:fill="auto"/>
            <w:vAlign w:val="bottom"/>
          </w:tcPr>
          <w:p w14:paraId="2BEF4017" w14:textId="77777777" w:rsidR="00E159D9" w:rsidRPr="000C68C3" w:rsidRDefault="00E159D9" w:rsidP="004378AC">
            <w:pPr>
              <w:suppressAutoHyphens/>
              <w:autoSpaceDN w:val="0"/>
              <w:jc w:val="right"/>
              <w:rPr>
                <w:rFonts w:ascii="Arial" w:eastAsia="Times New Roman" w:hAnsi="Arial" w:cs="Arial"/>
                <w:b/>
                <w:bCs/>
                <w:color w:val="000000"/>
                <w:sz w:val="17"/>
                <w:szCs w:val="17"/>
              </w:rPr>
            </w:pPr>
            <w:r w:rsidRPr="000C68C3">
              <w:rPr>
                <w:rFonts w:ascii="Arial" w:eastAsia="Times New Roman" w:hAnsi="Arial" w:cs="Arial"/>
                <w:b/>
                <w:bCs/>
                <w:color w:val="000000"/>
                <w:sz w:val="17"/>
                <w:szCs w:val="17"/>
              </w:rPr>
              <w:t>1.503.794</w:t>
            </w:r>
          </w:p>
        </w:tc>
      </w:tr>
      <w:tr w:rsidR="00E159D9" w:rsidRPr="003D1614" w14:paraId="6AC34DA8" w14:textId="77777777" w:rsidTr="004378AC">
        <w:trPr>
          <w:trHeight w:hRule="exact" w:val="219"/>
        </w:trPr>
        <w:tc>
          <w:tcPr>
            <w:tcW w:w="1518" w:type="pct"/>
            <w:vAlign w:val="bottom"/>
          </w:tcPr>
          <w:p w14:paraId="3B3ED8E6" w14:textId="77777777" w:rsidR="00E159D9" w:rsidRPr="003D1614" w:rsidRDefault="00E159D9" w:rsidP="004378AC">
            <w:pPr>
              <w:tabs>
                <w:tab w:val="right" w:pos="1202"/>
              </w:tabs>
              <w:suppressAutoHyphens/>
              <w:autoSpaceDN w:val="0"/>
              <w:spacing w:line="240" w:lineRule="exact"/>
              <w:outlineLvl w:val="0"/>
              <w:rPr>
                <w:rFonts w:ascii="Arial" w:eastAsia="Times New Roman" w:hAnsi="Arial" w:cs="Arial"/>
                <w:b/>
                <w:bCs/>
                <w:color w:val="000000" w:themeColor="text1"/>
                <w:spacing w:val="-2"/>
                <w:sz w:val="17"/>
                <w:szCs w:val="17"/>
              </w:rPr>
            </w:pPr>
          </w:p>
        </w:tc>
        <w:tc>
          <w:tcPr>
            <w:tcW w:w="551" w:type="pct"/>
            <w:tcBorders>
              <w:top w:val="single" w:sz="12" w:space="0" w:color="auto"/>
              <w:left w:val="nil"/>
              <w:right w:val="nil"/>
            </w:tcBorders>
            <w:shd w:val="clear" w:color="auto" w:fill="auto"/>
            <w:vAlign w:val="bottom"/>
          </w:tcPr>
          <w:p w14:paraId="7513C32C" w14:textId="77777777" w:rsidR="00E159D9" w:rsidRPr="003D1614" w:rsidRDefault="00E159D9" w:rsidP="004378AC">
            <w:pPr>
              <w:suppressAutoHyphens/>
              <w:autoSpaceDN w:val="0"/>
              <w:jc w:val="right"/>
              <w:rPr>
                <w:rFonts w:ascii="Arial" w:eastAsia="Times New Roman" w:hAnsi="Arial" w:cs="Arial"/>
                <w:color w:val="000000"/>
                <w:sz w:val="17"/>
                <w:szCs w:val="17"/>
              </w:rPr>
            </w:pPr>
          </w:p>
        </w:tc>
        <w:tc>
          <w:tcPr>
            <w:tcW w:w="546" w:type="pct"/>
            <w:tcBorders>
              <w:top w:val="single" w:sz="12" w:space="0" w:color="auto"/>
              <w:left w:val="nil"/>
              <w:right w:val="nil"/>
            </w:tcBorders>
            <w:shd w:val="clear" w:color="auto" w:fill="auto"/>
            <w:vAlign w:val="bottom"/>
          </w:tcPr>
          <w:p w14:paraId="1233641A" w14:textId="77777777" w:rsidR="00E159D9" w:rsidRPr="003D1614" w:rsidRDefault="00E159D9" w:rsidP="004378AC">
            <w:pPr>
              <w:suppressAutoHyphens/>
              <w:autoSpaceDN w:val="0"/>
              <w:jc w:val="right"/>
              <w:rPr>
                <w:rFonts w:ascii="Arial" w:eastAsia="Times New Roman" w:hAnsi="Arial" w:cs="Arial"/>
                <w:color w:val="000000"/>
                <w:sz w:val="17"/>
                <w:szCs w:val="17"/>
              </w:rPr>
            </w:pPr>
          </w:p>
        </w:tc>
        <w:tc>
          <w:tcPr>
            <w:tcW w:w="572" w:type="pct"/>
            <w:tcBorders>
              <w:top w:val="single" w:sz="12" w:space="0" w:color="auto"/>
              <w:left w:val="nil"/>
              <w:right w:val="nil"/>
            </w:tcBorders>
            <w:shd w:val="clear" w:color="auto" w:fill="auto"/>
            <w:vAlign w:val="bottom"/>
          </w:tcPr>
          <w:p w14:paraId="5893E953" w14:textId="77777777" w:rsidR="00E159D9" w:rsidRPr="003D1614" w:rsidRDefault="00E159D9" w:rsidP="004378AC">
            <w:pPr>
              <w:suppressAutoHyphens/>
              <w:autoSpaceDN w:val="0"/>
              <w:jc w:val="right"/>
              <w:rPr>
                <w:rFonts w:ascii="Arial" w:eastAsia="Times New Roman" w:hAnsi="Arial" w:cs="Arial"/>
                <w:color w:val="000000"/>
                <w:sz w:val="17"/>
                <w:szCs w:val="17"/>
              </w:rPr>
            </w:pPr>
          </w:p>
        </w:tc>
        <w:tc>
          <w:tcPr>
            <w:tcW w:w="570" w:type="pct"/>
            <w:tcBorders>
              <w:top w:val="single" w:sz="12" w:space="0" w:color="auto"/>
              <w:left w:val="nil"/>
              <w:right w:val="nil"/>
            </w:tcBorders>
            <w:shd w:val="clear" w:color="auto" w:fill="auto"/>
            <w:vAlign w:val="bottom"/>
          </w:tcPr>
          <w:p w14:paraId="3D6AF19D" w14:textId="77777777" w:rsidR="00E159D9" w:rsidRPr="003D1614" w:rsidRDefault="00E159D9" w:rsidP="004378AC">
            <w:pPr>
              <w:suppressAutoHyphens/>
              <w:autoSpaceDN w:val="0"/>
              <w:jc w:val="right"/>
              <w:rPr>
                <w:rFonts w:ascii="Arial" w:eastAsia="Times New Roman" w:hAnsi="Arial" w:cs="Arial"/>
                <w:color w:val="000000"/>
                <w:sz w:val="17"/>
                <w:szCs w:val="17"/>
              </w:rPr>
            </w:pPr>
          </w:p>
        </w:tc>
        <w:tc>
          <w:tcPr>
            <w:tcW w:w="640" w:type="pct"/>
            <w:tcBorders>
              <w:top w:val="single" w:sz="12" w:space="0" w:color="auto"/>
              <w:left w:val="nil"/>
              <w:right w:val="nil"/>
            </w:tcBorders>
            <w:shd w:val="clear" w:color="auto" w:fill="auto"/>
            <w:vAlign w:val="bottom"/>
          </w:tcPr>
          <w:p w14:paraId="4AC3F36B" w14:textId="77777777" w:rsidR="00E159D9" w:rsidRPr="003D1614" w:rsidRDefault="00E159D9" w:rsidP="004378AC">
            <w:pPr>
              <w:suppressAutoHyphens/>
              <w:autoSpaceDN w:val="0"/>
              <w:jc w:val="right"/>
              <w:rPr>
                <w:rFonts w:ascii="Arial" w:eastAsia="Times New Roman" w:hAnsi="Arial" w:cs="Arial"/>
                <w:color w:val="000000"/>
                <w:sz w:val="17"/>
                <w:szCs w:val="17"/>
              </w:rPr>
            </w:pPr>
          </w:p>
        </w:tc>
        <w:tc>
          <w:tcPr>
            <w:tcW w:w="603" w:type="pct"/>
            <w:tcBorders>
              <w:top w:val="single" w:sz="12" w:space="0" w:color="auto"/>
              <w:left w:val="nil"/>
              <w:right w:val="nil"/>
            </w:tcBorders>
            <w:shd w:val="clear" w:color="auto" w:fill="auto"/>
            <w:vAlign w:val="bottom"/>
          </w:tcPr>
          <w:p w14:paraId="5A5E327A" w14:textId="77777777" w:rsidR="00E159D9" w:rsidRPr="003D1614" w:rsidRDefault="00E159D9" w:rsidP="004378AC">
            <w:pPr>
              <w:suppressAutoHyphens/>
              <w:autoSpaceDN w:val="0"/>
              <w:jc w:val="right"/>
              <w:rPr>
                <w:rFonts w:ascii="Arial" w:eastAsia="Times New Roman" w:hAnsi="Arial" w:cs="Arial"/>
                <w:color w:val="000000"/>
                <w:sz w:val="17"/>
                <w:szCs w:val="17"/>
              </w:rPr>
            </w:pPr>
          </w:p>
        </w:tc>
      </w:tr>
      <w:tr w:rsidR="00E159D9" w:rsidRPr="003D1614" w14:paraId="36F5461C" w14:textId="77777777" w:rsidTr="004378AC">
        <w:trPr>
          <w:trHeight w:hRule="exact" w:val="271"/>
        </w:trPr>
        <w:tc>
          <w:tcPr>
            <w:tcW w:w="1518" w:type="pct"/>
            <w:tcBorders>
              <w:top w:val="nil"/>
              <w:left w:val="nil"/>
              <w:bottom w:val="nil"/>
              <w:right w:val="nil"/>
            </w:tcBorders>
            <w:shd w:val="clear" w:color="auto" w:fill="auto"/>
            <w:vAlign w:val="bottom"/>
          </w:tcPr>
          <w:p w14:paraId="61870FFA" w14:textId="77777777" w:rsidR="00E159D9" w:rsidRPr="003D1614" w:rsidRDefault="00E159D9" w:rsidP="004378AC">
            <w:pPr>
              <w:tabs>
                <w:tab w:val="right" w:pos="1202"/>
              </w:tabs>
              <w:suppressAutoHyphens/>
              <w:autoSpaceDN w:val="0"/>
              <w:spacing w:line="240" w:lineRule="exact"/>
              <w:outlineLvl w:val="0"/>
              <w:rPr>
                <w:rFonts w:ascii="Arial" w:eastAsia="Times New Roman" w:hAnsi="Arial" w:cs="Arial"/>
                <w:b/>
                <w:bCs/>
                <w:color w:val="000000" w:themeColor="text1"/>
                <w:spacing w:val="-2"/>
                <w:sz w:val="17"/>
                <w:szCs w:val="17"/>
              </w:rPr>
            </w:pPr>
            <w:bookmarkStart w:id="822" w:name="_Toc67330191"/>
            <w:r w:rsidRPr="003D1614">
              <w:rPr>
                <w:rFonts w:ascii="Arial" w:eastAsia="Times New Roman" w:hAnsi="Arial" w:cs="Arial"/>
                <w:b/>
                <w:bCs/>
                <w:color w:val="000000" w:themeColor="text1"/>
                <w:sz w:val="17"/>
                <w:szCs w:val="17"/>
              </w:rPr>
              <w:t>Garancije i preuzete obveze</w:t>
            </w:r>
            <w:bookmarkEnd w:id="822"/>
          </w:p>
        </w:tc>
        <w:tc>
          <w:tcPr>
            <w:tcW w:w="551" w:type="pct"/>
            <w:tcBorders>
              <w:top w:val="nil"/>
              <w:left w:val="nil"/>
              <w:bottom w:val="nil"/>
              <w:right w:val="nil"/>
            </w:tcBorders>
            <w:shd w:val="clear" w:color="auto" w:fill="auto"/>
            <w:vAlign w:val="bottom"/>
          </w:tcPr>
          <w:p w14:paraId="157CE3E2" w14:textId="77777777" w:rsidR="00E159D9" w:rsidRPr="003D1614" w:rsidRDefault="00E159D9" w:rsidP="004378AC">
            <w:pPr>
              <w:suppressAutoHyphens/>
              <w:autoSpaceDN w:val="0"/>
              <w:jc w:val="right"/>
              <w:rPr>
                <w:rFonts w:ascii="Arial" w:eastAsia="Times New Roman" w:hAnsi="Arial" w:cs="Arial"/>
                <w:color w:val="000000"/>
                <w:sz w:val="17"/>
                <w:szCs w:val="17"/>
              </w:rPr>
            </w:pPr>
          </w:p>
        </w:tc>
        <w:tc>
          <w:tcPr>
            <w:tcW w:w="546" w:type="pct"/>
            <w:tcBorders>
              <w:top w:val="nil"/>
              <w:left w:val="nil"/>
              <w:bottom w:val="nil"/>
              <w:right w:val="nil"/>
            </w:tcBorders>
            <w:shd w:val="clear" w:color="auto" w:fill="auto"/>
            <w:vAlign w:val="bottom"/>
          </w:tcPr>
          <w:p w14:paraId="733F0474" w14:textId="77777777" w:rsidR="00E159D9" w:rsidRPr="003D1614" w:rsidRDefault="00E159D9" w:rsidP="004378AC">
            <w:pPr>
              <w:suppressAutoHyphens/>
              <w:autoSpaceDN w:val="0"/>
              <w:jc w:val="right"/>
              <w:rPr>
                <w:rFonts w:ascii="Arial" w:eastAsia="Times New Roman" w:hAnsi="Arial" w:cs="Arial"/>
                <w:color w:val="000000"/>
                <w:sz w:val="17"/>
                <w:szCs w:val="17"/>
              </w:rPr>
            </w:pPr>
          </w:p>
        </w:tc>
        <w:tc>
          <w:tcPr>
            <w:tcW w:w="572" w:type="pct"/>
            <w:tcBorders>
              <w:top w:val="nil"/>
              <w:left w:val="nil"/>
              <w:bottom w:val="nil"/>
              <w:right w:val="nil"/>
            </w:tcBorders>
            <w:shd w:val="clear" w:color="auto" w:fill="auto"/>
            <w:vAlign w:val="bottom"/>
          </w:tcPr>
          <w:p w14:paraId="539ACE8D" w14:textId="77777777" w:rsidR="00E159D9" w:rsidRPr="003D1614" w:rsidRDefault="00E159D9" w:rsidP="004378AC">
            <w:pPr>
              <w:suppressAutoHyphens/>
              <w:autoSpaceDN w:val="0"/>
              <w:jc w:val="right"/>
              <w:rPr>
                <w:rFonts w:ascii="Arial" w:eastAsia="Times New Roman" w:hAnsi="Arial" w:cs="Arial"/>
                <w:color w:val="000000"/>
                <w:sz w:val="17"/>
                <w:szCs w:val="17"/>
              </w:rPr>
            </w:pPr>
          </w:p>
        </w:tc>
        <w:tc>
          <w:tcPr>
            <w:tcW w:w="570" w:type="pct"/>
            <w:tcBorders>
              <w:top w:val="nil"/>
              <w:left w:val="nil"/>
              <w:bottom w:val="nil"/>
              <w:right w:val="nil"/>
            </w:tcBorders>
            <w:shd w:val="clear" w:color="auto" w:fill="auto"/>
            <w:vAlign w:val="bottom"/>
          </w:tcPr>
          <w:p w14:paraId="74F2CD2A" w14:textId="77777777" w:rsidR="00E159D9" w:rsidRPr="003D1614" w:rsidRDefault="00E159D9" w:rsidP="004378AC">
            <w:pPr>
              <w:suppressAutoHyphens/>
              <w:autoSpaceDN w:val="0"/>
              <w:jc w:val="right"/>
              <w:rPr>
                <w:rFonts w:ascii="Arial" w:eastAsia="Times New Roman" w:hAnsi="Arial" w:cs="Arial"/>
                <w:color w:val="000000"/>
                <w:sz w:val="17"/>
                <w:szCs w:val="17"/>
              </w:rPr>
            </w:pPr>
          </w:p>
        </w:tc>
        <w:tc>
          <w:tcPr>
            <w:tcW w:w="640" w:type="pct"/>
            <w:tcBorders>
              <w:top w:val="nil"/>
              <w:left w:val="nil"/>
              <w:bottom w:val="nil"/>
              <w:right w:val="nil"/>
            </w:tcBorders>
            <w:shd w:val="clear" w:color="auto" w:fill="auto"/>
            <w:vAlign w:val="bottom"/>
          </w:tcPr>
          <w:p w14:paraId="21B5AB36" w14:textId="77777777" w:rsidR="00E159D9" w:rsidRPr="003D1614" w:rsidRDefault="00E159D9" w:rsidP="004378AC">
            <w:pPr>
              <w:suppressAutoHyphens/>
              <w:autoSpaceDN w:val="0"/>
              <w:jc w:val="right"/>
              <w:rPr>
                <w:rFonts w:ascii="Arial" w:eastAsia="Times New Roman" w:hAnsi="Arial" w:cs="Arial"/>
                <w:color w:val="000000"/>
                <w:sz w:val="17"/>
                <w:szCs w:val="17"/>
              </w:rPr>
            </w:pPr>
          </w:p>
        </w:tc>
        <w:tc>
          <w:tcPr>
            <w:tcW w:w="603" w:type="pct"/>
            <w:tcBorders>
              <w:top w:val="nil"/>
              <w:left w:val="nil"/>
              <w:bottom w:val="nil"/>
              <w:right w:val="nil"/>
            </w:tcBorders>
            <w:shd w:val="clear" w:color="auto" w:fill="auto"/>
            <w:vAlign w:val="bottom"/>
          </w:tcPr>
          <w:p w14:paraId="51760045" w14:textId="77777777" w:rsidR="00E159D9" w:rsidRPr="003D1614" w:rsidRDefault="00E159D9" w:rsidP="004378AC">
            <w:pPr>
              <w:suppressAutoHyphens/>
              <w:autoSpaceDN w:val="0"/>
              <w:jc w:val="right"/>
              <w:rPr>
                <w:rFonts w:ascii="Arial" w:eastAsia="Times New Roman" w:hAnsi="Arial" w:cs="Arial"/>
                <w:color w:val="000000"/>
                <w:sz w:val="17"/>
                <w:szCs w:val="17"/>
              </w:rPr>
            </w:pPr>
          </w:p>
        </w:tc>
      </w:tr>
      <w:tr w:rsidR="00E159D9" w:rsidRPr="003D1614" w14:paraId="6D80065A" w14:textId="77777777" w:rsidTr="004378AC">
        <w:trPr>
          <w:trHeight w:hRule="exact" w:val="271"/>
        </w:trPr>
        <w:tc>
          <w:tcPr>
            <w:tcW w:w="1518" w:type="pct"/>
            <w:tcBorders>
              <w:top w:val="nil"/>
              <w:left w:val="nil"/>
              <w:bottom w:val="nil"/>
              <w:right w:val="nil"/>
            </w:tcBorders>
            <w:shd w:val="clear" w:color="auto" w:fill="auto"/>
            <w:vAlign w:val="bottom"/>
          </w:tcPr>
          <w:p w14:paraId="7A8F815A" w14:textId="77777777" w:rsidR="00E159D9" w:rsidRPr="003D1614" w:rsidRDefault="00E159D9" w:rsidP="004378AC">
            <w:pPr>
              <w:tabs>
                <w:tab w:val="right" w:pos="1202"/>
              </w:tabs>
              <w:suppressAutoHyphens/>
              <w:autoSpaceDN w:val="0"/>
              <w:spacing w:line="240" w:lineRule="exact"/>
              <w:outlineLvl w:val="0"/>
              <w:rPr>
                <w:rFonts w:ascii="Arial" w:eastAsia="Times New Roman" w:hAnsi="Arial" w:cs="Arial"/>
                <w:b/>
                <w:bCs/>
                <w:color w:val="000000" w:themeColor="text1"/>
                <w:spacing w:val="-2"/>
                <w:sz w:val="17"/>
                <w:szCs w:val="17"/>
              </w:rPr>
            </w:pPr>
            <w:bookmarkStart w:id="823" w:name="_Toc67330192"/>
            <w:r w:rsidRPr="003D1614">
              <w:rPr>
                <w:rFonts w:ascii="Arial" w:eastAsia="Times New Roman" w:hAnsi="Arial" w:cs="Arial"/>
                <w:color w:val="000000" w:themeColor="text1"/>
                <w:sz w:val="17"/>
                <w:szCs w:val="17"/>
              </w:rPr>
              <w:t xml:space="preserve">Izdane garancije </w:t>
            </w:r>
            <w:bookmarkEnd w:id="823"/>
          </w:p>
        </w:tc>
        <w:tc>
          <w:tcPr>
            <w:tcW w:w="551" w:type="pct"/>
            <w:tcBorders>
              <w:top w:val="nil"/>
              <w:left w:val="nil"/>
              <w:bottom w:val="nil"/>
              <w:right w:val="nil"/>
            </w:tcBorders>
            <w:shd w:val="clear" w:color="auto" w:fill="auto"/>
            <w:vAlign w:val="bottom"/>
          </w:tcPr>
          <w:p w14:paraId="6E624A16" w14:textId="77777777" w:rsidR="00E159D9" w:rsidRPr="003D1614"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 xml:space="preserve">49.891                          </w:t>
            </w:r>
          </w:p>
        </w:tc>
        <w:tc>
          <w:tcPr>
            <w:tcW w:w="546" w:type="pct"/>
            <w:tcBorders>
              <w:top w:val="nil"/>
              <w:left w:val="nil"/>
              <w:bottom w:val="nil"/>
              <w:right w:val="nil"/>
            </w:tcBorders>
            <w:shd w:val="clear" w:color="auto" w:fill="auto"/>
            <w:vAlign w:val="bottom"/>
          </w:tcPr>
          <w:p w14:paraId="4BC11984" w14:textId="77777777" w:rsidR="00E159D9" w:rsidRPr="003D1614"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72" w:type="pct"/>
            <w:tcBorders>
              <w:top w:val="nil"/>
              <w:left w:val="nil"/>
              <w:bottom w:val="nil"/>
              <w:right w:val="nil"/>
            </w:tcBorders>
            <w:shd w:val="clear" w:color="auto" w:fill="auto"/>
            <w:vAlign w:val="bottom"/>
          </w:tcPr>
          <w:p w14:paraId="49FCA99B" w14:textId="77777777" w:rsidR="00E159D9" w:rsidRPr="003D1614"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70" w:type="pct"/>
            <w:tcBorders>
              <w:top w:val="nil"/>
              <w:left w:val="nil"/>
              <w:bottom w:val="nil"/>
              <w:right w:val="nil"/>
            </w:tcBorders>
            <w:shd w:val="clear" w:color="auto" w:fill="auto"/>
            <w:vAlign w:val="bottom"/>
          </w:tcPr>
          <w:p w14:paraId="7D03722D" w14:textId="77777777" w:rsidR="00E159D9" w:rsidRPr="003D1614"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640" w:type="pct"/>
            <w:tcBorders>
              <w:top w:val="nil"/>
              <w:left w:val="nil"/>
              <w:bottom w:val="nil"/>
              <w:right w:val="nil"/>
            </w:tcBorders>
            <w:shd w:val="clear" w:color="auto" w:fill="auto"/>
            <w:vAlign w:val="bottom"/>
          </w:tcPr>
          <w:p w14:paraId="08402482" w14:textId="77777777" w:rsidR="00E159D9" w:rsidRPr="003D1614"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603" w:type="pct"/>
            <w:tcBorders>
              <w:top w:val="nil"/>
              <w:left w:val="nil"/>
              <w:bottom w:val="nil"/>
              <w:right w:val="nil"/>
            </w:tcBorders>
            <w:shd w:val="clear" w:color="auto" w:fill="auto"/>
            <w:vAlign w:val="bottom"/>
          </w:tcPr>
          <w:p w14:paraId="1FC541F5" w14:textId="77777777" w:rsidR="00E159D9" w:rsidRPr="003D1614"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49.891</w:t>
            </w:r>
          </w:p>
        </w:tc>
      </w:tr>
      <w:tr w:rsidR="00E159D9" w:rsidRPr="003D1614" w14:paraId="5E4589F7" w14:textId="77777777" w:rsidTr="004378AC">
        <w:trPr>
          <w:trHeight w:hRule="exact" w:val="271"/>
        </w:trPr>
        <w:tc>
          <w:tcPr>
            <w:tcW w:w="1518" w:type="pct"/>
            <w:tcBorders>
              <w:top w:val="nil"/>
              <w:left w:val="nil"/>
              <w:bottom w:val="nil"/>
              <w:right w:val="nil"/>
            </w:tcBorders>
            <w:shd w:val="clear" w:color="auto" w:fill="auto"/>
            <w:vAlign w:val="bottom"/>
          </w:tcPr>
          <w:p w14:paraId="6380AD4B" w14:textId="77777777" w:rsidR="00E159D9" w:rsidRPr="003D1614" w:rsidRDefault="00E159D9" w:rsidP="004378AC">
            <w:pPr>
              <w:tabs>
                <w:tab w:val="right" w:pos="1202"/>
              </w:tabs>
              <w:suppressAutoHyphens/>
              <w:autoSpaceDN w:val="0"/>
              <w:spacing w:line="240" w:lineRule="exact"/>
              <w:outlineLvl w:val="0"/>
              <w:rPr>
                <w:rFonts w:ascii="Arial" w:eastAsia="Times New Roman" w:hAnsi="Arial" w:cs="Arial"/>
                <w:b/>
                <w:bCs/>
                <w:color w:val="000000" w:themeColor="text1"/>
                <w:spacing w:val="-2"/>
                <w:sz w:val="17"/>
                <w:szCs w:val="17"/>
              </w:rPr>
            </w:pPr>
            <w:bookmarkStart w:id="824" w:name="_Toc67330193"/>
            <w:r w:rsidRPr="003D1614">
              <w:rPr>
                <w:rFonts w:ascii="Arial" w:eastAsia="Times New Roman" w:hAnsi="Arial" w:cs="Arial"/>
                <w:color w:val="000000" w:themeColor="text1"/>
                <w:sz w:val="17"/>
                <w:szCs w:val="17"/>
              </w:rPr>
              <w:t>Izdane garancije u devizama</w:t>
            </w:r>
            <w:bookmarkEnd w:id="824"/>
          </w:p>
        </w:tc>
        <w:tc>
          <w:tcPr>
            <w:tcW w:w="551" w:type="pct"/>
            <w:tcBorders>
              <w:top w:val="nil"/>
              <w:left w:val="nil"/>
              <w:bottom w:val="nil"/>
              <w:right w:val="nil"/>
            </w:tcBorders>
            <w:shd w:val="clear" w:color="auto" w:fill="auto"/>
            <w:vAlign w:val="bottom"/>
          </w:tcPr>
          <w:p w14:paraId="5A850729" w14:textId="77777777" w:rsidR="00E159D9" w:rsidRPr="003D1614"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4.892</w:t>
            </w:r>
          </w:p>
        </w:tc>
        <w:tc>
          <w:tcPr>
            <w:tcW w:w="546" w:type="pct"/>
            <w:tcBorders>
              <w:top w:val="nil"/>
              <w:left w:val="nil"/>
              <w:bottom w:val="nil"/>
              <w:right w:val="nil"/>
            </w:tcBorders>
            <w:shd w:val="clear" w:color="auto" w:fill="auto"/>
            <w:vAlign w:val="bottom"/>
          </w:tcPr>
          <w:p w14:paraId="3C70A5D5" w14:textId="77777777" w:rsidR="00E159D9" w:rsidRPr="003D1614"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72" w:type="pct"/>
            <w:tcBorders>
              <w:top w:val="nil"/>
              <w:left w:val="nil"/>
              <w:bottom w:val="nil"/>
              <w:right w:val="nil"/>
            </w:tcBorders>
            <w:shd w:val="clear" w:color="auto" w:fill="auto"/>
            <w:vAlign w:val="bottom"/>
          </w:tcPr>
          <w:p w14:paraId="4896B279" w14:textId="77777777" w:rsidR="00E159D9" w:rsidRPr="003D1614"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70" w:type="pct"/>
            <w:tcBorders>
              <w:top w:val="nil"/>
              <w:left w:val="nil"/>
              <w:bottom w:val="nil"/>
              <w:right w:val="nil"/>
            </w:tcBorders>
            <w:shd w:val="clear" w:color="auto" w:fill="auto"/>
            <w:vAlign w:val="bottom"/>
          </w:tcPr>
          <w:p w14:paraId="58499A7B" w14:textId="77777777" w:rsidR="00E159D9" w:rsidRPr="003D1614"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640" w:type="pct"/>
            <w:tcBorders>
              <w:top w:val="nil"/>
              <w:left w:val="nil"/>
              <w:bottom w:val="nil"/>
              <w:right w:val="nil"/>
            </w:tcBorders>
            <w:shd w:val="clear" w:color="auto" w:fill="auto"/>
            <w:vAlign w:val="bottom"/>
          </w:tcPr>
          <w:p w14:paraId="1AB84850" w14:textId="77777777" w:rsidR="00E159D9" w:rsidRPr="003D1614"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603" w:type="pct"/>
            <w:tcBorders>
              <w:top w:val="nil"/>
              <w:left w:val="nil"/>
              <w:bottom w:val="nil"/>
              <w:right w:val="nil"/>
            </w:tcBorders>
            <w:shd w:val="clear" w:color="auto" w:fill="auto"/>
            <w:vAlign w:val="bottom"/>
          </w:tcPr>
          <w:p w14:paraId="2ABAE08F" w14:textId="77777777" w:rsidR="00E159D9" w:rsidRPr="003D1614"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4.892</w:t>
            </w:r>
          </w:p>
        </w:tc>
      </w:tr>
      <w:tr w:rsidR="00E159D9" w:rsidRPr="003D1614" w14:paraId="757A25AA" w14:textId="77777777" w:rsidTr="004378AC">
        <w:trPr>
          <w:trHeight w:hRule="exact" w:val="271"/>
        </w:trPr>
        <w:tc>
          <w:tcPr>
            <w:tcW w:w="1518" w:type="pct"/>
            <w:tcBorders>
              <w:top w:val="nil"/>
              <w:left w:val="nil"/>
              <w:bottom w:val="nil"/>
              <w:right w:val="nil"/>
            </w:tcBorders>
            <w:shd w:val="clear" w:color="auto" w:fill="auto"/>
            <w:vAlign w:val="bottom"/>
          </w:tcPr>
          <w:p w14:paraId="2CCAB587" w14:textId="77777777" w:rsidR="00E159D9" w:rsidRPr="003D1614" w:rsidRDefault="00E159D9" w:rsidP="004378AC">
            <w:pPr>
              <w:tabs>
                <w:tab w:val="right" w:pos="1202"/>
              </w:tabs>
              <w:suppressAutoHyphens/>
              <w:autoSpaceDN w:val="0"/>
              <w:spacing w:line="240" w:lineRule="exact"/>
              <w:outlineLvl w:val="0"/>
              <w:rPr>
                <w:rFonts w:ascii="Arial" w:eastAsia="Times New Roman" w:hAnsi="Arial" w:cs="Arial"/>
                <w:b/>
                <w:bCs/>
                <w:color w:val="000000" w:themeColor="text1"/>
                <w:spacing w:val="-2"/>
                <w:sz w:val="17"/>
                <w:szCs w:val="17"/>
              </w:rPr>
            </w:pPr>
            <w:bookmarkStart w:id="825" w:name="_Toc67330195"/>
            <w:r w:rsidRPr="003D1614">
              <w:rPr>
                <w:rFonts w:ascii="Arial" w:eastAsia="Times New Roman" w:hAnsi="Arial" w:cs="Arial"/>
                <w:color w:val="000000" w:themeColor="text1"/>
                <w:sz w:val="17"/>
                <w:szCs w:val="17"/>
              </w:rPr>
              <w:t>Preuzete obveze po kreditima</w:t>
            </w:r>
            <w:bookmarkEnd w:id="825"/>
          </w:p>
        </w:tc>
        <w:tc>
          <w:tcPr>
            <w:tcW w:w="551" w:type="pct"/>
            <w:tcBorders>
              <w:top w:val="nil"/>
              <w:left w:val="nil"/>
              <w:bottom w:val="nil"/>
              <w:right w:val="nil"/>
            </w:tcBorders>
            <w:shd w:val="clear" w:color="auto" w:fill="auto"/>
            <w:vAlign w:val="bottom"/>
          </w:tcPr>
          <w:p w14:paraId="77A2CBFD" w14:textId="77777777" w:rsidR="00E159D9" w:rsidRPr="003D1614"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461.919</w:t>
            </w:r>
          </w:p>
        </w:tc>
        <w:tc>
          <w:tcPr>
            <w:tcW w:w="546" w:type="pct"/>
            <w:tcBorders>
              <w:top w:val="nil"/>
              <w:left w:val="nil"/>
              <w:bottom w:val="nil"/>
              <w:right w:val="nil"/>
            </w:tcBorders>
            <w:shd w:val="clear" w:color="auto" w:fill="auto"/>
            <w:vAlign w:val="bottom"/>
          </w:tcPr>
          <w:p w14:paraId="3B78A1D8" w14:textId="77777777" w:rsidR="00E159D9" w:rsidRPr="003D1614"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72" w:type="pct"/>
            <w:tcBorders>
              <w:top w:val="nil"/>
              <w:left w:val="nil"/>
              <w:bottom w:val="nil"/>
              <w:right w:val="nil"/>
            </w:tcBorders>
            <w:shd w:val="clear" w:color="auto" w:fill="auto"/>
            <w:vAlign w:val="bottom"/>
          </w:tcPr>
          <w:p w14:paraId="1DE5BBE7" w14:textId="77777777" w:rsidR="00E159D9" w:rsidRPr="003D1614"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70" w:type="pct"/>
            <w:tcBorders>
              <w:top w:val="nil"/>
              <w:left w:val="nil"/>
              <w:bottom w:val="nil"/>
              <w:right w:val="nil"/>
            </w:tcBorders>
            <w:shd w:val="clear" w:color="auto" w:fill="auto"/>
            <w:vAlign w:val="bottom"/>
          </w:tcPr>
          <w:p w14:paraId="11665DFE" w14:textId="77777777" w:rsidR="00E159D9" w:rsidRPr="003D1614"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640" w:type="pct"/>
            <w:tcBorders>
              <w:top w:val="nil"/>
              <w:left w:val="nil"/>
              <w:bottom w:val="nil"/>
              <w:right w:val="nil"/>
            </w:tcBorders>
            <w:shd w:val="clear" w:color="auto" w:fill="auto"/>
            <w:vAlign w:val="bottom"/>
          </w:tcPr>
          <w:p w14:paraId="1F30A148" w14:textId="77777777" w:rsidR="00E159D9" w:rsidRPr="003D1614"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603" w:type="pct"/>
            <w:tcBorders>
              <w:top w:val="nil"/>
              <w:left w:val="nil"/>
              <w:bottom w:val="nil"/>
              <w:right w:val="nil"/>
            </w:tcBorders>
            <w:shd w:val="clear" w:color="auto" w:fill="auto"/>
            <w:vAlign w:val="bottom"/>
          </w:tcPr>
          <w:p w14:paraId="27A80FFD" w14:textId="77777777" w:rsidR="00E159D9" w:rsidRPr="003D1614"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461.919</w:t>
            </w:r>
          </w:p>
        </w:tc>
      </w:tr>
      <w:tr w:rsidR="00E159D9" w:rsidRPr="003D1614" w14:paraId="7A460993" w14:textId="77777777" w:rsidTr="004378AC">
        <w:trPr>
          <w:trHeight w:hRule="exact" w:val="271"/>
        </w:trPr>
        <w:tc>
          <w:tcPr>
            <w:tcW w:w="1518" w:type="pct"/>
            <w:tcBorders>
              <w:top w:val="nil"/>
              <w:left w:val="nil"/>
              <w:bottom w:val="nil"/>
              <w:right w:val="nil"/>
            </w:tcBorders>
            <w:shd w:val="clear" w:color="auto" w:fill="auto"/>
            <w:vAlign w:val="bottom"/>
          </w:tcPr>
          <w:p w14:paraId="6A03D2E8" w14:textId="77777777" w:rsidR="00E159D9" w:rsidRPr="003D1614" w:rsidRDefault="00E159D9" w:rsidP="004378AC">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826" w:name="_Toc67330196"/>
            <w:r w:rsidRPr="003D1614">
              <w:rPr>
                <w:rFonts w:ascii="Arial" w:eastAsia="Times New Roman" w:hAnsi="Arial" w:cs="Arial"/>
                <w:color w:val="000000" w:themeColor="text1"/>
                <w:sz w:val="17"/>
                <w:szCs w:val="17"/>
              </w:rPr>
              <w:t>Upisani a neuplaćeni kapital EIF-a</w:t>
            </w:r>
            <w:bookmarkEnd w:id="826"/>
          </w:p>
        </w:tc>
        <w:tc>
          <w:tcPr>
            <w:tcW w:w="551" w:type="pct"/>
            <w:tcBorders>
              <w:top w:val="nil"/>
              <w:left w:val="nil"/>
              <w:bottom w:val="nil"/>
              <w:right w:val="nil"/>
            </w:tcBorders>
            <w:shd w:val="clear" w:color="auto" w:fill="auto"/>
            <w:vAlign w:val="bottom"/>
          </w:tcPr>
          <w:p w14:paraId="2FBEFAB4" w14:textId="77777777" w:rsidR="00E159D9" w:rsidRPr="003D1614"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10.400</w:t>
            </w:r>
          </w:p>
        </w:tc>
        <w:tc>
          <w:tcPr>
            <w:tcW w:w="546" w:type="pct"/>
            <w:tcBorders>
              <w:top w:val="nil"/>
              <w:left w:val="nil"/>
              <w:bottom w:val="nil"/>
              <w:right w:val="nil"/>
            </w:tcBorders>
            <w:shd w:val="clear" w:color="auto" w:fill="auto"/>
            <w:vAlign w:val="bottom"/>
          </w:tcPr>
          <w:p w14:paraId="4CA49EDC" w14:textId="77777777" w:rsidR="00E159D9" w:rsidRPr="003D1614"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72" w:type="pct"/>
            <w:tcBorders>
              <w:top w:val="nil"/>
              <w:left w:val="nil"/>
              <w:bottom w:val="nil"/>
              <w:right w:val="nil"/>
            </w:tcBorders>
            <w:shd w:val="clear" w:color="auto" w:fill="auto"/>
            <w:vAlign w:val="bottom"/>
          </w:tcPr>
          <w:p w14:paraId="626F4519" w14:textId="77777777" w:rsidR="00E159D9" w:rsidRPr="003D1614"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70" w:type="pct"/>
            <w:tcBorders>
              <w:top w:val="nil"/>
              <w:left w:val="nil"/>
              <w:bottom w:val="nil"/>
              <w:right w:val="nil"/>
            </w:tcBorders>
            <w:shd w:val="clear" w:color="auto" w:fill="auto"/>
            <w:vAlign w:val="bottom"/>
          </w:tcPr>
          <w:p w14:paraId="61BAAE7D" w14:textId="77777777" w:rsidR="00E159D9" w:rsidRPr="003D1614"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640" w:type="pct"/>
            <w:tcBorders>
              <w:top w:val="nil"/>
              <w:left w:val="nil"/>
              <w:bottom w:val="nil"/>
              <w:right w:val="nil"/>
            </w:tcBorders>
            <w:shd w:val="clear" w:color="auto" w:fill="auto"/>
            <w:vAlign w:val="bottom"/>
          </w:tcPr>
          <w:p w14:paraId="51C4EC84" w14:textId="77777777" w:rsidR="00E159D9" w:rsidRPr="003D1614"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603" w:type="pct"/>
            <w:tcBorders>
              <w:top w:val="nil"/>
              <w:left w:val="nil"/>
              <w:bottom w:val="nil"/>
              <w:right w:val="nil"/>
            </w:tcBorders>
            <w:shd w:val="clear" w:color="auto" w:fill="auto"/>
            <w:vAlign w:val="bottom"/>
          </w:tcPr>
          <w:p w14:paraId="0AB26E81" w14:textId="77777777" w:rsidR="00E159D9" w:rsidRPr="003D1614"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10.400</w:t>
            </w:r>
          </w:p>
        </w:tc>
      </w:tr>
      <w:tr w:rsidR="00E159D9" w:rsidRPr="003D1614" w14:paraId="66BD09B8" w14:textId="77777777" w:rsidTr="004378AC">
        <w:trPr>
          <w:trHeight w:hRule="exact" w:val="271"/>
        </w:trPr>
        <w:tc>
          <w:tcPr>
            <w:tcW w:w="1518" w:type="pct"/>
            <w:tcBorders>
              <w:top w:val="nil"/>
              <w:left w:val="nil"/>
              <w:bottom w:val="nil"/>
              <w:right w:val="nil"/>
            </w:tcBorders>
            <w:shd w:val="clear" w:color="auto" w:fill="auto"/>
            <w:vAlign w:val="bottom"/>
          </w:tcPr>
          <w:p w14:paraId="6BEA4DE0" w14:textId="77777777" w:rsidR="00E159D9" w:rsidRPr="003D1614" w:rsidRDefault="00E159D9" w:rsidP="004378AC">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827" w:name="_Toc67330197"/>
            <w:r w:rsidRPr="003D1614">
              <w:rPr>
                <w:rFonts w:ascii="Arial" w:eastAsia="Times New Roman" w:hAnsi="Arial" w:cs="Arial"/>
                <w:color w:val="000000"/>
                <w:sz w:val="17"/>
                <w:szCs w:val="17"/>
              </w:rPr>
              <w:t>Ugovorena obveza EIF CROGIP</w:t>
            </w:r>
            <w:bookmarkEnd w:id="827"/>
          </w:p>
        </w:tc>
        <w:tc>
          <w:tcPr>
            <w:tcW w:w="551" w:type="pct"/>
            <w:tcBorders>
              <w:top w:val="nil"/>
              <w:left w:val="nil"/>
              <w:bottom w:val="nil"/>
              <w:right w:val="nil"/>
            </w:tcBorders>
            <w:shd w:val="clear" w:color="auto" w:fill="auto"/>
            <w:vAlign w:val="bottom"/>
          </w:tcPr>
          <w:p w14:paraId="16BA85C9" w14:textId="77777777" w:rsidR="00E159D9" w:rsidRPr="003D1614"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148</w:t>
            </w:r>
          </w:p>
        </w:tc>
        <w:tc>
          <w:tcPr>
            <w:tcW w:w="546" w:type="pct"/>
            <w:tcBorders>
              <w:top w:val="nil"/>
              <w:left w:val="nil"/>
              <w:bottom w:val="nil"/>
              <w:right w:val="nil"/>
            </w:tcBorders>
            <w:shd w:val="clear" w:color="auto" w:fill="auto"/>
            <w:vAlign w:val="bottom"/>
          </w:tcPr>
          <w:p w14:paraId="0CAB29CB" w14:textId="77777777" w:rsidR="00E159D9" w:rsidRPr="003D1614"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2.780</w:t>
            </w:r>
          </w:p>
        </w:tc>
        <w:tc>
          <w:tcPr>
            <w:tcW w:w="572" w:type="pct"/>
            <w:tcBorders>
              <w:top w:val="nil"/>
              <w:left w:val="nil"/>
              <w:bottom w:val="nil"/>
              <w:right w:val="nil"/>
            </w:tcBorders>
            <w:shd w:val="clear" w:color="auto" w:fill="auto"/>
            <w:vAlign w:val="bottom"/>
          </w:tcPr>
          <w:p w14:paraId="1D6F05F3" w14:textId="77777777" w:rsidR="00E159D9" w:rsidRPr="003D1614"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5.924</w:t>
            </w:r>
          </w:p>
        </w:tc>
        <w:tc>
          <w:tcPr>
            <w:tcW w:w="570" w:type="pct"/>
            <w:tcBorders>
              <w:top w:val="nil"/>
              <w:left w:val="nil"/>
              <w:bottom w:val="nil"/>
              <w:right w:val="nil"/>
            </w:tcBorders>
            <w:shd w:val="clear" w:color="auto" w:fill="auto"/>
            <w:vAlign w:val="bottom"/>
          </w:tcPr>
          <w:p w14:paraId="4743ED67" w14:textId="77777777" w:rsidR="00E159D9" w:rsidRPr="003D1614"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13.549</w:t>
            </w:r>
          </w:p>
        </w:tc>
        <w:tc>
          <w:tcPr>
            <w:tcW w:w="640" w:type="pct"/>
            <w:tcBorders>
              <w:top w:val="nil"/>
              <w:left w:val="nil"/>
              <w:bottom w:val="nil"/>
              <w:right w:val="nil"/>
            </w:tcBorders>
            <w:shd w:val="clear" w:color="auto" w:fill="auto"/>
            <w:vAlign w:val="bottom"/>
          </w:tcPr>
          <w:p w14:paraId="13F7761E" w14:textId="77777777" w:rsidR="00E159D9" w:rsidRPr="003D1614"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5.059</w:t>
            </w:r>
          </w:p>
        </w:tc>
        <w:tc>
          <w:tcPr>
            <w:tcW w:w="603" w:type="pct"/>
            <w:tcBorders>
              <w:top w:val="nil"/>
              <w:left w:val="nil"/>
              <w:bottom w:val="nil"/>
              <w:right w:val="nil"/>
            </w:tcBorders>
            <w:shd w:val="clear" w:color="auto" w:fill="auto"/>
            <w:vAlign w:val="bottom"/>
          </w:tcPr>
          <w:p w14:paraId="177B0D61" w14:textId="77777777" w:rsidR="00E159D9" w:rsidRPr="003D1614"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27.460</w:t>
            </w:r>
          </w:p>
        </w:tc>
      </w:tr>
      <w:tr w:rsidR="00E159D9" w:rsidRPr="003D1614" w14:paraId="3DC83456" w14:textId="77777777" w:rsidTr="004378AC">
        <w:trPr>
          <w:trHeight w:hRule="exact" w:val="271"/>
        </w:trPr>
        <w:tc>
          <w:tcPr>
            <w:tcW w:w="1518" w:type="pct"/>
            <w:tcBorders>
              <w:top w:val="nil"/>
              <w:left w:val="nil"/>
              <w:bottom w:val="nil"/>
              <w:right w:val="nil"/>
            </w:tcBorders>
            <w:shd w:val="clear" w:color="auto" w:fill="auto"/>
            <w:vAlign w:val="bottom"/>
          </w:tcPr>
          <w:p w14:paraId="7D2ABC9E" w14:textId="77777777" w:rsidR="00E159D9" w:rsidRPr="003D1614" w:rsidRDefault="00E159D9" w:rsidP="004378AC">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828" w:name="_Toc67330198"/>
            <w:r w:rsidRPr="003D1614">
              <w:rPr>
                <w:rFonts w:ascii="Arial" w:eastAsia="Times New Roman" w:hAnsi="Arial" w:cs="Arial"/>
                <w:color w:val="000000"/>
                <w:sz w:val="17"/>
                <w:szCs w:val="17"/>
              </w:rPr>
              <w:t>Ugovorena obveza EIF FRC2</w:t>
            </w:r>
            <w:bookmarkEnd w:id="828"/>
          </w:p>
        </w:tc>
        <w:tc>
          <w:tcPr>
            <w:tcW w:w="551" w:type="pct"/>
            <w:tcBorders>
              <w:top w:val="nil"/>
              <w:left w:val="nil"/>
              <w:bottom w:val="single" w:sz="8" w:space="0" w:color="auto"/>
              <w:right w:val="nil"/>
            </w:tcBorders>
            <w:shd w:val="clear" w:color="auto" w:fill="auto"/>
            <w:vAlign w:val="bottom"/>
          </w:tcPr>
          <w:p w14:paraId="6B93055D" w14:textId="77777777" w:rsidR="00E159D9" w:rsidRPr="003D1614"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 xml:space="preserve">  6</w:t>
            </w:r>
          </w:p>
        </w:tc>
        <w:tc>
          <w:tcPr>
            <w:tcW w:w="546" w:type="pct"/>
            <w:tcBorders>
              <w:top w:val="nil"/>
              <w:left w:val="nil"/>
              <w:bottom w:val="single" w:sz="8" w:space="0" w:color="auto"/>
              <w:right w:val="nil"/>
            </w:tcBorders>
            <w:shd w:val="clear" w:color="auto" w:fill="auto"/>
            <w:vAlign w:val="bottom"/>
          </w:tcPr>
          <w:p w14:paraId="0241A651" w14:textId="77777777" w:rsidR="00E159D9" w:rsidRPr="003D1614"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72" w:type="pct"/>
            <w:tcBorders>
              <w:top w:val="nil"/>
              <w:left w:val="nil"/>
              <w:bottom w:val="single" w:sz="8" w:space="0" w:color="auto"/>
              <w:right w:val="nil"/>
            </w:tcBorders>
            <w:shd w:val="clear" w:color="auto" w:fill="auto"/>
            <w:vAlign w:val="bottom"/>
          </w:tcPr>
          <w:p w14:paraId="2B9629B3" w14:textId="77777777" w:rsidR="00E159D9" w:rsidRPr="003D1614"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6</w:t>
            </w:r>
          </w:p>
        </w:tc>
        <w:tc>
          <w:tcPr>
            <w:tcW w:w="570" w:type="pct"/>
            <w:tcBorders>
              <w:top w:val="nil"/>
              <w:left w:val="nil"/>
              <w:bottom w:val="single" w:sz="8" w:space="0" w:color="auto"/>
              <w:right w:val="nil"/>
            </w:tcBorders>
            <w:shd w:val="clear" w:color="auto" w:fill="auto"/>
            <w:vAlign w:val="bottom"/>
          </w:tcPr>
          <w:p w14:paraId="3ACA7B51" w14:textId="77777777" w:rsidR="00E159D9" w:rsidRPr="003D1614"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16</w:t>
            </w:r>
          </w:p>
        </w:tc>
        <w:tc>
          <w:tcPr>
            <w:tcW w:w="640" w:type="pct"/>
            <w:tcBorders>
              <w:top w:val="nil"/>
              <w:left w:val="nil"/>
              <w:bottom w:val="single" w:sz="8" w:space="0" w:color="auto"/>
              <w:right w:val="nil"/>
            </w:tcBorders>
            <w:shd w:val="clear" w:color="auto" w:fill="auto"/>
            <w:vAlign w:val="bottom"/>
          </w:tcPr>
          <w:p w14:paraId="04E9A141" w14:textId="77777777" w:rsidR="00E159D9" w:rsidRPr="003D1614"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21</w:t>
            </w:r>
          </w:p>
        </w:tc>
        <w:tc>
          <w:tcPr>
            <w:tcW w:w="603" w:type="pct"/>
            <w:tcBorders>
              <w:top w:val="nil"/>
              <w:left w:val="nil"/>
              <w:bottom w:val="single" w:sz="8" w:space="0" w:color="auto"/>
              <w:right w:val="nil"/>
            </w:tcBorders>
            <w:shd w:val="clear" w:color="auto" w:fill="auto"/>
            <w:vAlign w:val="bottom"/>
          </w:tcPr>
          <w:p w14:paraId="11DBF164" w14:textId="77777777" w:rsidR="00E159D9" w:rsidRPr="003D1614" w:rsidRDefault="00E159D9" w:rsidP="004378A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49</w:t>
            </w:r>
          </w:p>
        </w:tc>
      </w:tr>
      <w:tr w:rsidR="00E159D9" w:rsidRPr="003D1614" w14:paraId="10E362D4" w14:textId="77777777" w:rsidTr="004378AC">
        <w:trPr>
          <w:trHeight w:hRule="exact" w:val="267"/>
        </w:trPr>
        <w:tc>
          <w:tcPr>
            <w:tcW w:w="1518" w:type="pct"/>
            <w:tcBorders>
              <w:top w:val="nil"/>
              <w:left w:val="nil"/>
              <w:bottom w:val="nil"/>
              <w:right w:val="nil"/>
            </w:tcBorders>
            <w:shd w:val="clear" w:color="auto" w:fill="auto"/>
            <w:vAlign w:val="bottom"/>
          </w:tcPr>
          <w:p w14:paraId="448CAB1F" w14:textId="77777777" w:rsidR="00E159D9" w:rsidRPr="003D1614" w:rsidRDefault="00E159D9" w:rsidP="004378AC">
            <w:pPr>
              <w:tabs>
                <w:tab w:val="right" w:pos="1202"/>
              </w:tabs>
              <w:suppressAutoHyphens/>
              <w:autoSpaceDN w:val="0"/>
              <w:spacing w:line="240" w:lineRule="exact"/>
              <w:outlineLvl w:val="0"/>
              <w:rPr>
                <w:rFonts w:ascii="Arial" w:eastAsia="Times New Roman" w:hAnsi="Arial" w:cs="Arial"/>
                <w:b/>
                <w:bCs/>
                <w:color w:val="000000" w:themeColor="text1"/>
                <w:spacing w:val="-2"/>
                <w:sz w:val="17"/>
                <w:szCs w:val="17"/>
              </w:rPr>
            </w:pPr>
            <w:bookmarkStart w:id="829" w:name="_Toc67330199"/>
            <w:r w:rsidRPr="003D1614">
              <w:rPr>
                <w:rFonts w:ascii="Arial" w:eastAsia="Times New Roman" w:hAnsi="Arial" w:cs="Arial"/>
                <w:b/>
                <w:bCs/>
                <w:color w:val="000000" w:themeColor="text1"/>
                <w:sz w:val="17"/>
                <w:szCs w:val="17"/>
              </w:rPr>
              <w:t>Ukupne garancije i preuzete obveze</w:t>
            </w:r>
            <w:bookmarkEnd w:id="829"/>
          </w:p>
        </w:tc>
        <w:tc>
          <w:tcPr>
            <w:tcW w:w="551" w:type="pct"/>
            <w:tcBorders>
              <w:top w:val="single" w:sz="8" w:space="0" w:color="auto"/>
              <w:left w:val="nil"/>
              <w:bottom w:val="single" w:sz="12" w:space="0" w:color="auto"/>
              <w:right w:val="nil"/>
            </w:tcBorders>
            <w:shd w:val="clear" w:color="auto" w:fill="auto"/>
            <w:vAlign w:val="bottom"/>
          </w:tcPr>
          <w:p w14:paraId="638DA2F8" w14:textId="77777777" w:rsidR="00E159D9" w:rsidRPr="00C54F28" w:rsidRDefault="00E159D9" w:rsidP="004378AC">
            <w:pPr>
              <w:suppressAutoHyphens/>
              <w:autoSpaceDN w:val="0"/>
              <w:jc w:val="right"/>
              <w:rPr>
                <w:rFonts w:ascii="Arial" w:eastAsia="Times New Roman" w:hAnsi="Arial" w:cs="Arial"/>
                <w:b/>
                <w:bCs/>
                <w:color w:val="000000"/>
                <w:sz w:val="17"/>
                <w:szCs w:val="17"/>
              </w:rPr>
            </w:pPr>
            <w:r>
              <w:rPr>
                <w:rFonts w:ascii="Arial" w:eastAsia="Times New Roman" w:hAnsi="Arial" w:cs="Arial"/>
                <w:b/>
                <w:bCs/>
                <w:color w:val="000000"/>
                <w:sz w:val="17"/>
                <w:szCs w:val="17"/>
              </w:rPr>
              <w:t>527.256</w:t>
            </w:r>
          </w:p>
        </w:tc>
        <w:tc>
          <w:tcPr>
            <w:tcW w:w="546" w:type="pct"/>
            <w:tcBorders>
              <w:top w:val="single" w:sz="8" w:space="0" w:color="auto"/>
              <w:left w:val="nil"/>
              <w:bottom w:val="single" w:sz="12" w:space="0" w:color="auto"/>
              <w:right w:val="nil"/>
            </w:tcBorders>
            <w:shd w:val="clear" w:color="auto" w:fill="auto"/>
            <w:vAlign w:val="bottom"/>
          </w:tcPr>
          <w:p w14:paraId="4BB1F4B6" w14:textId="77777777" w:rsidR="00E159D9" w:rsidRPr="00C54F28" w:rsidRDefault="00E159D9" w:rsidP="004378AC">
            <w:pPr>
              <w:suppressAutoHyphens/>
              <w:autoSpaceDN w:val="0"/>
              <w:jc w:val="right"/>
              <w:rPr>
                <w:rFonts w:ascii="Arial" w:eastAsia="Times New Roman" w:hAnsi="Arial" w:cs="Arial"/>
                <w:b/>
                <w:bCs/>
                <w:color w:val="000000"/>
                <w:sz w:val="17"/>
                <w:szCs w:val="17"/>
              </w:rPr>
            </w:pPr>
            <w:r>
              <w:rPr>
                <w:rFonts w:ascii="Arial" w:eastAsia="Times New Roman" w:hAnsi="Arial" w:cs="Arial"/>
                <w:b/>
                <w:bCs/>
                <w:color w:val="000000"/>
                <w:sz w:val="17"/>
                <w:szCs w:val="17"/>
              </w:rPr>
              <w:t>2.780</w:t>
            </w:r>
          </w:p>
        </w:tc>
        <w:tc>
          <w:tcPr>
            <w:tcW w:w="572" w:type="pct"/>
            <w:tcBorders>
              <w:top w:val="single" w:sz="8" w:space="0" w:color="auto"/>
              <w:left w:val="nil"/>
              <w:bottom w:val="single" w:sz="12" w:space="0" w:color="auto"/>
              <w:right w:val="nil"/>
            </w:tcBorders>
            <w:shd w:val="clear" w:color="auto" w:fill="auto"/>
            <w:vAlign w:val="bottom"/>
          </w:tcPr>
          <w:p w14:paraId="0505C42F" w14:textId="77777777" w:rsidR="00E159D9" w:rsidRPr="00C54F28" w:rsidRDefault="00E159D9" w:rsidP="004378AC">
            <w:pPr>
              <w:suppressAutoHyphens/>
              <w:autoSpaceDN w:val="0"/>
              <w:jc w:val="right"/>
              <w:rPr>
                <w:rFonts w:ascii="Arial" w:eastAsia="Times New Roman" w:hAnsi="Arial" w:cs="Arial"/>
                <w:b/>
                <w:bCs/>
                <w:color w:val="000000"/>
                <w:sz w:val="17"/>
                <w:szCs w:val="17"/>
              </w:rPr>
            </w:pPr>
            <w:r>
              <w:rPr>
                <w:rFonts w:ascii="Arial" w:eastAsia="Times New Roman" w:hAnsi="Arial" w:cs="Arial"/>
                <w:b/>
                <w:bCs/>
                <w:color w:val="000000"/>
                <w:sz w:val="17"/>
                <w:szCs w:val="17"/>
              </w:rPr>
              <w:t>5.930</w:t>
            </w:r>
          </w:p>
        </w:tc>
        <w:tc>
          <w:tcPr>
            <w:tcW w:w="570" w:type="pct"/>
            <w:tcBorders>
              <w:top w:val="single" w:sz="8" w:space="0" w:color="auto"/>
              <w:left w:val="nil"/>
              <w:bottom w:val="single" w:sz="12" w:space="0" w:color="auto"/>
              <w:right w:val="nil"/>
            </w:tcBorders>
            <w:shd w:val="clear" w:color="auto" w:fill="auto"/>
            <w:vAlign w:val="bottom"/>
          </w:tcPr>
          <w:p w14:paraId="4943FF4A" w14:textId="77777777" w:rsidR="00E159D9" w:rsidRPr="00C54F28" w:rsidRDefault="00E159D9" w:rsidP="004378AC">
            <w:pPr>
              <w:suppressAutoHyphens/>
              <w:autoSpaceDN w:val="0"/>
              <w:jc w:val="right"/>
              <w:rPr>
                <w:rFonts w:ascii="Arial" w:eastAsia="Times New Roman" w:hAnsi="Arial" w:cs="Arial"/>
                <w:b/>
                <w:bCs/>
                <w:color w:val="000000"/>
                <w:sz w:val="17"/>
                <w:szCs w:val="17"/>
              </w:rPr>
            </w:pPr>
            <w:r>
              <w:rPr>
                <w:rFonts w:ascii="Arial" w:eastAsia="Times New Roman" w:hAnsi="Arial" w:cs="Arial"/>
                <w:b/>
                <w:bCs/>
                <w:color w:val="000000"/>
                <w:sz w:val="17"/>
                <w:szCs w:val="17"/>
              </w:rPr>
              <w:t>13.565</w:t>
            </w:r>
          </w:p>
        </w:tc>
        <w:tc>
          <w:tcPr>
            <w:tcW w:w="640" w:type="pct"/>
            <w:tcBorders>
              <w:top w:val="single" w:sz="8" w:space="0" w:color="auto"/>
              <w:left w:val="nil"/>
              <w:bottom w:val="single" w:sz="12" w:space="0" w:color="auto"/>
              <w:right w:val="nil"/>
            </w:tcBorders>
            <w:shd w:val="clear" w:color="auto" w:fill="auto"/>
            <w:vAlign w:val="bottom"/>
          </w:tcPr>
          <w:p w14:paraId="50A586E9" w14:textId="77777777" w:rsidR="00E159D9" w:rsidRPr="00C54F28" w:rsidRDefault="00E159D9" w:rsidP="004378AC">
            <w:pPr>
              <w:suppressAutoHyphens/>
              <w:autoSpaceDN w:val="0"/>
              <w:jc w:val="right"/>
              <w:rPr>
                <w:rFonts w:ascii="Arial" w:eastAsia="Times New Roman" w:hAnsi="Arial" w:cs="Arial"/>
                <w:b/>
                <w:bCs/>
                <w:color w:val="000000"/>
                <w:sz w:val="17"/>
                <w:szCs w:val="17"/>
              </w:rPr>
            </w:pPr>
            <w:r>
              <w:rPr>
                <w:rFonts w:ascii="Arial" w:eastAsia="Times New Roman" w:hAnsi="Arial" w:cs="Arial"/>
                <w:b/>
                <w:bCs/>
                <w:color w:val="000000"/>
                <w:sz w:val="17"/>
                <w:szCs w:val="17"/>
              </w:rPr>
              <w:t>5.080</w:t>
            </w:r>
          </w:p>
        </w:tc>
        <w:tc>
          <w:tcPr>
            <w:tcW w:w="603" w:type="pct"/>
            <w:tcBorders>
              <w:top w:val="single" w:sz="8" w:space="0" w:color="auto"/>
              <w:left w:val="nil"/>
              <w:bottom w:val="single" w:sz="12" w:space="0" w:color="auto"/>
              <w:right w:val="nil"/>
            </w:tcBorders>
            <w:shd w:val="clear" w:color="auto" w:fill="auto"/>
            <w:vAlign w:val="bottom"/>
          </w:tcPr>
          <w:p w14:paraId="793567FE" w14:textId="77777777" w:rsidR="00E159D9" w:rsidRPr="00C54F28" w:rsidRDefault="00E159D9" w:rsidP="004378AC">
            <w:pPr>
              <w:suppressAutoHyphens/>
              <w:autoSpaceDN w:val="0"/>
              <w:jc w:val="right"/>
              <w:rPr>
                <w:rFonts w:ascii="Arial" w:eastAsia="Times New Roman" w:hAnsi="Arial" w:cs="Arial"/>
                <w:b/>
                <w:bCs/>
                <w:color w:val="000000"/>
                <w:sz w:val="17"/>
                <w:szCs w:val="17"/>
              </w:rPr>
            </w:pPr>
            <w:r>
              <w:rPr>
                <w:rFonts w:ascii="Arial" w:eastAsia="Times New Roman" w:hAnsi="Arial" w:cs="Arial"/>
                <w:b/>
                <w:bCs/>
                <w:color w:val="000000"/>
                <w:sz w:val="17"/>
                <w:szCs w:val="17"/>
              </w:rPr>
              <w:t>554.611</w:t>
            </w:r>
          </w:p>
        </w:tc>
      </w:tr>
    </w:tbl>
    <w:p w14:paraId="424E16D4" w14:textId="77777777" w:rsidR="00661446" w:rsidRPr="003D1614" w:rsidRDefault="00661446" w:rsidP="00661446">
      <w:pPr>
        <w:suppressAutoHyphens/>
        <w:autoSpaceDN w:val="0"/>
        <w:jc w:val="both"/>
        <w:rPr>
          <w:rFonts w:ascii="Arial" w:eastAsia="Times New Roman" w:hAnsi="Arial" w:cs="Arial"/>
          <w:color w:val="000000" w:themeColor="text1"/>
          <w:sz w:val="20"/>
          <w:szCs w:val="20"/>
        </w:rPr>
      </w:pPr>
    </w:p>
    <w:p w14:paraId="3BAECBDA" w14:textId="77777777" w:rsidR="00661446" w:rsidRPr="003D1614" w:rsidRDefault="00661446" w:rsidP="00661446">
      <w:pPr>
        <w:suppressAutoHyphens/>
        <w:autoSpaceDN w:val="0"/>
        <w:spacing w:before="120" w:after="120"/>
        <w:jc w:val="both"/>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Stavke s neodređenim dospijećem iskazane su u razdoblju preko 3 godine.</w:t>
      </w:r>
    </w:p>
    <w:p w14:paraId="4CE9D512" w14:textId="77777777" w:rsidR="00E159D9" w:rsidRDefault="00E159D9" w:rsidP="00E159D9">
      <w:pPr>
        <w:keepNext/>
        <w:ind w:right="-1"/>
        <w:jc w:val="both"/>
        <w:rPr>
          <w:rFonts w:ascii="Arial" w:hAnsi="Arial" w:cs="Arial"/>
          <w:bCs/>
          <w:i/>
          <w:color w:val="000000" w:themeColor="text1"/>
          <w:sz w:val="18"/>
          <w:szCs w:val="18"/>
        </w:rPr>
      </w:pPr>
      <w:r w:rsidRPr="00A20436">
        <w:rPr>
          <w:rFonts w:ascii="Arial" w:hAnsi="Arial" w:cs="Arial"/>
          <w:bCs/>
          <w:i/>
          <w:color w:val="000000" w:themeColor="text1"/>
          <w:sz w:val="18"/>
          <w:szCs w:val="18"/>
        </w:rPr>
        <w:t>*</w:t>
      </w:r>
      <w:r w:rsidRPr="00A20436">
        <w:rPr>
          <w:rFonts w:ascii="Arial" w:hAnsi="Arial" w:cs="Arial"/>
          <w:b/>
          <w:bCs/>
          <w:color w:val="000000" w:themeColor="text1"/>
          <w:sz w:val="18"/>
          <w:szCs w:val="18"/>
        </w:rPr>
        <w:t xml:space="preserve"> </w:t>
      </w:r>
      <w:r w:rsidRPr="00A20436">
        <w:rPr>
          <w:rFonts w:ascii="Arial" w:hAnsi="Arial" w:cs="Arial"/>
          <w:bCs/>
          <w:i/>
          <w:color w:val="000000" w:themeColor="text1"/>
          <w:sz w:val="18"/>
          <w:szCs w:val="18"/>
        </w:rPr>
        <w:t xml:space="preserve">Potraživanje u iznosu od </w:t>
      </w:r>
      <w:r>
        <w:rPr>
          <w:rFonts w:ascii="Arial" w:hAnsi="Arial" w:cs="Arial"/>
          <w:bCs/>
          <w:i/>
          <w:color w:val="000000" w:themeColor="text1"/>
          <w:sz w:val="18"/>
          <w:szCs w:val="18"/>
        </w:rPr>
        <w:t>4</w:t>
      </w:r>
      <w:r w:rsidRPr="00A20436">
        <w:rPr>
          <w:rFonts w:ascii="Arial" w:hAnsi="Arial" w:cs="Arial"/>
          <w:bCs/>
          <w:i/>
          <w:color w:val="000000" w:themeColor="text1"/>
          <w:sz w:val="18"/>
          <w:szCs w:val="18"/>
        </w:rPr>
        <w:t xml:space="preserve">0.000 tisuća eura odnosi se na obrnute repo poslove. </w:t>
      </w:r>
    </w:p>
    <w:p w14:paraId="419FDF24" w14:textId="74695C6C" w:rsidR="00E159D9" w:rsidRPr="00A20436" w:rsidRDefault="00E159D9" w:rsidP="00E159D9">
      <w:pPr>
        <w:keepNext/>
        <w:ind w:right="-1"/>
        <w:jc w:val="both"/>
        <w:rPr>
          <w:rFonts w:ascii="Arial" w:hAnsi="Arial" w:cs="Arial"/>
          <w:bCs/>
          <w:i/>
          <w:color w:val="000000" w:themeColor="text1"/>
          <w:sz w:val="18"/>
          <w:szCs w:val="18"/>
        </w:rPr>
      </w:pPr>
      <w:r>
        <w:rPr>
          <w:rFonts w:ascii="Arial" w:hAnsi="Arial" w:cs="Arial"/>
          <w:bCs/>
          <w:i/>
          <w:color w:val="000000" w:themeColor="text1"/>
          <w:sz w:val="18"/>
          <w:szCs w:val="18"/>
        </w:rPr>
        <w:t xml:space="preserve">** </w:t>
      </w:r>
      <w:r w:rsidRPr="00A20436">
        <w:rPr>
          <w:rFonts w:ascii="Arial" w:hAnsi="Arial" w:cs="Arial"/>
          <w:bCs/>
          <w:i/>
          <w:color w:val="000000" w:themeColor="text1"/>
          <w:sz w:val="18"/>
          <w:szCs w:val="18"/>
        </w:rPr>
        <w:t xml:space="preserve">Potraživanje u iznosu od </w:t>
      </w:r>
      <w:r>
        <w:rPr>
          <w:rFonts w:ascii="Arial" w:hAnsi="Arial" w:cs="Arial"/>
          <w:bCs/>
          <w:i/>
          <w:color w:val="000000" w:themeColor="text1"/>
          <w:sz w:val="18"/>
          <w:szCs w:val="18"/>
        </w:rPr>
        <w:t>7.260</w:t>
      </w:r>
      <w:r w:rsidRPr="00A20436">
        <w:rPr>
          <w:rFonts w:ascii="Arial" w:hAnsi="Arial" w:cs="Arial"/>
          <w:bCs/>
          <w:i/>
          <w:color w:val="000000" w:themeColor="text1"/>
          <w:sz w:val="18"/>
          <w:szCs w:val="18"/>
        </w:rPr>
        <w:t xml:space="preserve"> tisuća eura odnosi se na obrnute repo poslove</w:t>
      </w:r>
      <w:r>
        <w:rPr>
          <w:rFonts w:ascii="Arial" w:hAnsi="Arial" w:cs="Arial"/>
          <w:bCs/>
          <w:i/>
          <w:color w:val="000000" w:themeColor="text1"/>
          <w:sz w:val="18"/>
          <w:szCs w:val="18"/>
        </w:rPr>
        <w:t>.</w:t>
      </w:r>
    </w:p>
    <w:p w14:paraId="2D404C7C" w14:textId="77777777" w:rsidR="00E159D9" w:rsidRPr="00A20436" w:rsidRDefault="00E159D9" w:rsidP="00E159D9">
      <w:pPr>
        <w:suppressAutoHyphens/>
        <w:autoSpaceDN w:val="0"/>
        <w:jc w:val="both"/>
        <w:rPr>
          <w:rFonts w:ascii="Arial" w:eastAsia="Times New Roman" w:hAnsi="Arial" w:cs="Arial"/>
          <w:color w:val="000000" w:themeColor="text1"/>
          <w:sz w:val="20"/>
          <w:szCs w:val="20"/>
        </w:rPr>
      </w:pPr>
      <w:r w:rsidRPr="00A20436">
        <w:rPr>
          <w:rFonts w:ascii="Arial" w:eastAsia="Calibri" w:hAnsi="Arial" w:cs="Arial"/>
          <w:bCs/>
          <w:i/>
          <w:color w:val="000000" w:themeColor="text1"/>
          <w:sz w:val="18"/>
          <w:szCs w:val="18"/>
        </w:rPr>
        <w:t>*</w:t>
      </w:r>
      <w:r>
        <w:rPr>
          <w:rFonts w:ascii="Arial" w:eastAsia="Calibri" w:hAnsi="Arial" w:cs="Arial"/>
          <w:bCs/>
          <w:i/>
          <w:color w:val="000000" w:themeColor="text1"/>
          <w:sz w:val="18"/>
          <w:szCs w:val="18"/>
        </w:rPr>
        <w:t>**</w:t>
      </w:r>
      <w:r w:rsidRPr="00A20436">
        <w:rPr>
          <w:rFonts w:ascii="Arial" w:eastAsia="Calibri" w:hAnsi="Arial" w:cs="Arial"/>
          <w:bCs/>
          <w:i/>
          <w:color w:val="000000" w:themeColor="text1"/>
          <w:sz w:val="18"/>
          <w:szCs w:val="18"/>
        </w:rPr>
        <w:t>Obračunata nedospjela kamata po kreditima raspoređena je u kategoriji od 1 do 3 mjeseca.</w:t>
      </w:r>
    </w:p>
    <w:p w14:paraId="4359E1F5" w14:textId="77777777" w:rsidR="00661446" w:rsidRPr="003D1614" w:rsidRDefault="00661446" w:rsidP="00661446">
      <w:pPr>
        <w:keepNext/>
        <w:suppressAutoHyphens/>
        <w:autoSpaceDN w:val="0"/>
        <w:jc w:val="both"/>
        <w:outlineLvl w:val="0"/>
        <w:rPr>
          <w:rFonts w:ascii="Arial" w:eastAsia="Times New Roman" w:hAnsi="Arial" w:cs="Arial"/>
          <w:b/>
          <w:bCs/>
          <w:color w:val="000000" w:themeColor="text1"/>
          <w:sz w:val="20"/>
          <w:szCs w:val="20"/>
        </w:rPr>
      </w:pPr>
    </w:p>
    <w:p w14:paraId="6A3E3C75" w14:textId="01AB5AE4" w:rsidR="00661446" w:rsidRPr="003D1614" w:rsidRDefault="00661446" w:rsidP="00661446">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70A24724" w14:textId="77777777" w:rsidR="00661446" w:rsidRPr="003D1614" w:rsidRDefault="00661446" w:rsidP="00661446">
      <w:pPr>
        <w:keepNext/>
        <w:suppressAutoHyphens/>
        <w:autoSpaceDN w:val="0"/>
        <w:jc w:val="both"/>
        <w:outlineLvl w:val="0"/>
        <w:rPr>
          <w:rFonts w:ascii="Arial" w:eastAsia="Times New Roman" w:hAnsi="Arial" w:cs="Arial"/>
          <w:b/>
          <w:bCs/>
          <w:color w:val="000000" w:themeColor="text1"/>
          <w:sz w:val="20"/>
          <w:szCs w:val="20"/>
        </w:rPr>
      </w:pPr>
    </w:p>
    <w:p w14:paraId="1C902CD6" w14:textId="679E8B8B" w:rsidR="00661446" w:rsidRPr="003D1614" w:rsidRDefault="00661446" w:rsidP="00661446">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.4. </w:t>
      </w:r>
      <w:r w:rsidRPr="003D1614">
        <w:rPr>
          <w:rFonts w:ascii="Arial" w:eastAsia="Times New Roman" w:hAnsi="Arial" w:cs="Arial"/>
          <w:b/>
          <w:bCs/>
          <w:color w:val="000000" w:themeColor="text1"/>
          <w:sz w:val="20"/>
          <w:szCs w:val="20"/>
        </w:rPr>
        <w:tab/>
        <w:t>Rizik likvidnosti (nastavak)</w:t>
      </w:r>
    </w:p>
    <w:p w14:paraId="0C9E6D93" w14:textId="77777777" w:rsidR="00661446" w:rsidRPr="003D1614" w:rsidRDefault="00661446" w:rsidP="00661446">
      <w:pPr>
        <w:tabs>
          <w:tab w:val="left" w:pos="-720"/>
        </w:tabs>
        <w:suppressAutoHyphens/>
        <w:autoSpaceDN w:val="0"/>
        <w:jc w:val="both"/>
        <w:rPr>
          <w:rFonts w:ascii="Arial" w:eastAsia="Times New Roman" w:hAnsi="Arial" w:cs="Arial"/>
          <w:color w:val="000000" w:themeColor="text1"/>
          <w:sz w:val="20"/>
          <w:szCs w:val="20"/>
        </w:rPr>
      </w:pPr>
    </w:p>
    <w:p w14:paraId="34DE4EB6" w14:textId="77777777" w:rsidR="00661446" w:rsidRPr="003D1614" w:rsidRDefault="00661446" w:rsidP="00661446">
      <w:pPr>
        <w:tabs>
          <w:tab w:val="left" w:pos="-720"/>
        </w:tabs>
        <w:suppressAutoHyphens/>
        <w:autoSpaceDN w:val="0"/>
        <w:jc w:val="both"/>
        <w:rPr>
          <w:rFonts w:ascii="Arial" w:eastAsia="Times New Roman" w:hAnsi="Arial" w:cs="Arial"/>
          <w:color w:val="000000" w:themeColor="text1"/>
          <w:sz w:val="20"/>
          <w:szCs w:val="20"/>
        </w:rPr>
      </w:pPr>
    </w:p>
    <w:tbl>
      <w:tblPr>
        <w:tblW w:w="5353" w:type="pct"/>
        <w:tblInd w:w="-142" w:type="dxa"/>
        <w:tblLayout w:type="fixed"/>
        <w:tblCellMar>
          <w:left w:w="120" w:type="dxa"/>
          <w:right w:w="120" w:type="dxa"/>
        </w:tblCellMar>
        <w:tblLook w:val="0000" w:firstRow="0" w:lastRow="0" w:firstColumn="0" w:lastColumn="0" w:noHBand="0" w:noVBand="0"/>
      </w:tblPr>
      <w:tblGrid>
        <w:gridCol w:w="2948"/>
        <w:gridCol w:w="1071"/>
        <w:gridCol w:w="1061"/>
        <w:gridCol w:w="1111"/>
        <w:gridCol w:w="1107"/>
        <w:gridCol w:w="1243"/>
        <w:gridCol w:w="1171"/>
      </w:tblGrid>
      <w:tr w:rsidR="00CB7D4D" w:rsidRPr="005B35F4" w14:paraId="109F52E6" w14:textId="77777777" w:rsidTr="0034622E">
        <w:trPr>
          <w:trHeight w:val="463"/>
        </w:trPr>
        <w:tc>
          <w:tcPr>
            <w:tcW w:w="1517" w:type="pct"/>
          </w:tcPr>
          <w:p w14:paraId="4AECA803" w14:textId="77777777" w:rsidR="00CB7D4D" w:rsidRPr="005B35F4" w:rsidRDefault="00CB7D4D" w:rsidP="0034622E">
            <w:pPr>
              <w:tabs>
                <w:tab w:val="right" w:pos="1202"/>
              </w:tabs>
              <w:spacing w:line="240" w:lineRule="exact"/>
              <w:outlineLvl w:val="0"/>
              <w:rPr>
                <w:rFonts w:ascii="Arial" w:hAnsi="Arial" w:cs="Arial"/>
                <w:b/>
                <w:color w:val="000000" w:themeColor="text1"/>
                <w:sz w:val="17"/>
                <w:szCs w:val="17"/>
              </w:rPr>
            </w:pPr>
            <w:r w:rsidRPr="005B35F4">
              <w:rPr>
                <w:rFonts w:ascii="Arial" w:hAnsi="Arial" w:cs="Arial"/>
                <w:b/>
                <w:color w:val="000000" w:themeColor="text1"/>
                <w:sz w:val="17"/>
                <w:szCs w:val="17"/>
              </w:rPr>
              <w:t>Banka</w:t>
            </w:r>
          </w:p>
          <w:p w14:paraId="73F656B9" w14:textId="77777777" w:rsidR="00CB7D4D" w:rsidRPr="005B35F4" w:rsidRDefault="00CB7D4D" w:rsidP="0034622E">
            <w:pPr>
              <w:tabs>
                <w:tab w:val="right" w:pos="1202"/>
              </w:tabs>
              <w:spacing w:line="240" w:lineRule="exact"/>
              <w:outlineLvl w:val="0"/>
              <w:rPr>
                <w:rFonts w:ascii="Arial" w:hAnsi="Arial" w:cs="Arial"/>
                <w:b/>
                <w:color w:val="000000" w:themeColor="text1"/>
                <w:sz w:val="17"/>
                <w:szCs w:val="17"/>
              </w:rPr>
            </w:pPr>
            <w:r w:rsidRPr="005B35F4">
              <w:rPr>
                <w:rFonts w:ascii="Arial" w:hAnsi="Arial" w:cs="Arial"/>
                <w:b/>
                <w:color w:val="000000" w:themeColor="text1"/>
                <w:sz w:val="17"/>
                <w:szCs w:val="17"/>
              </w:rPr>
              <w:t>31. prosinca 202</w:t>
            </w:r>
            <w:r>
              <w:rPr>
                <w:rFonts w:ascii="Arial" w:hAnsi="Arial" w:cs="Arial"/>
                <w:b/>
                <w:color w:val="000000" w:themeColor="text1"/>
                <w:sz w:val="17"/>
                <w:szCs w:val="17"/>
              </w:rPr>
              <w:t>3</w:t>
            </w:r>
            <w:r w:rsidRPr="005B35F4">
              <w:rPr>
                <w:rFonts w:ascii="Arial" w:hAnsi="Arial" w:cs="Arial"/>
                <w:b/>
                <w:color w:val="000000" w:themeColor="text1"/>
                <w:sz w:val="17"/>
                <w:szCs w:val="17"/>
              </w:rPr>
              <w:t xml:space="preserve">.  </w:t>
            </w:r>
          </w:p>
        </w:tc>
        <w:tc>
          <w:tcPr>
            <w:tcW w:w="551" w:type="pct"/>
          </w:tcPr>
          <w:p w14:paraId="4C69FD07" w14:textId="77777777" w:rsidR="00CB7D4D" w:rsidRPr="005B35F4" w:rsidRDefault="00CB7D4D" w:rsidP="0034622E">
            <w:pPr>
              <w:tabs>
                <w:tab w:val="right" w:pos="1202"/>
              </w:tabs>
              <w:spacing w:line="240" w:lineRule="exact"/>
              <w:jc w:val="right"/>
              <w:outlineLvl w:val="0"/>
              <w:rPr>
                <w:rFonts w:ascii="Arial" w:hAnsi="Arial" w:cs="Arial"/>
                <w:b/>
                <w:color w:val="000000" w:themeColor="text1"/>
                <w:sz w:val="17"/>
                <w:szCs w:val="17"/>
              </w:rPr>
            </w:pPr>
            <w:r w:rsidRPr="005B35F4">
              <w:rPr>
                <w:rFonts w:ascii="Arial" w:hAnsi="Arial" w:cs="Arial"/>
                <w:b/>
                <w:color w:val="000000" w:themeColor="text1"/>
                <w:sz w:val="17"/>
                <w:szCs w:val="17"/>
              </w:rPr>
              <w:t>Do 1 mjesec</w:t>
            </w:r>
          </w:p>
        </w:tc>
        <w:tc>
          <w:tcPr>
            <w:tcW w:w="546" w:type="pct"/>
          </w:tcPr>
          <w:p w14:paraId="191CDF45" w14:textId="77777777" w:rsidR="00CB7D4D" w:rsidRPr="005B35F4" w:rsidRDefault="00CB7D4D" w:rsidP="0034622E">
            <w:pPr>
              <w:tabs>
                <w:tab w:val="right" w:pos="1202"/>
              </w:tabs>
              <w:spacing w:line="240" w:lineRule="exact"/>
              <w:jc w:val="right"/>
              <w:outlineLvl w:val="0"/>
              <w:rPr>
                <w:rFonts w:ascii="Arial" w:hAnsi="Arial" w:cs="Arial"/>
                <w:b/>
                <w:color w:val="000000" w:themeColor="text1"/>
                <w:sz w:val="17"/>
                <w:szCs w:val="17"/>
              </w:rPr>
            </w:pPr>
            <w:r w:rsidRPr="005B35F4">
              <w:rPr>
                <w:rFonts w:ascii="Arial" w:hAnsi="Arial" w:cs="Arial"/>
                <w:b/>
                <w:color w:val="000000" w:themeColor="text1"/>
                <w:sz w:val="17"/>
                <w:szCs w:val="17"/>
              </w:rPr>
              <w:t>1 do 3 mjeseca</w:t>
            </w:r>
          </w:p>
        </w:tc>
        <w:tc>
          <w:tcPr>
            <w:tcW w:w="572" w:type="pct"/>
          </w:tcPr>
          <w:p w14:paraId="03AE18DC" w14:textId="77777777" w:rsidR="00CB7D4D" w:rsidRPr="005B35F4" w:rsidRDefault="00CB7D4D" w:rsidP="0034622E">
            <w:pPr>
              <w:tabs>
                <w:tab w:val="right" w:pos="1202"/>
              </w:tabs>
              <w:spacing w:line="240" w:lineRule="exact"/>
              <w:jc w:val="right"/>
              <w:outlineLvl w:val="0"/>
              <w:rPr>
                <w:rFonts w:ascii="Arial" w:hAnsi="Arial" w:cs="Arial"/>
                <w:b/>
                <w:color w:val="000000" w:themeColor="text1"/>
                <w:sz w:val="17"/>
                <w:szCs w:val="17"/>
              </w:rPr>
            </w:pPr>
            <w:r w:rsidRPr="005B35F4">
              <w:rPr>
                <w:rFonts w:ascii="Arial" w:hAnsi="Arial" w:cs="Arial"/>
                <w:b/>
                <w:color w:val="000000" w:themeColor="text1"/>
                <w:sz w:val="17"/>
                <w:szCs w:val="17"/>
              </w:rPr>
              <w:t>3 mj. do 1 godine</w:t>
            </w:r>
          </w:p>
        </w:tc>
        <w:tc>
          <w:tcPr>
            <w:tcW w:w="570" w:type="pct"/>
          </w:tcPr>
          <w:p w14:paraId="48FC6BA4" w14:textId="77777777" w:rsidR="00CB7D4D" w:rsidRPr="005B35F4" w:rsidRDefault="00CB7D4D" w:rsidP="0034622E">
            <w:pPr>
              <w:tabs>
                <w:tab w:val="right" w:pos="1202"/>
              </w:tabs>
              <w:spacing w:line="240" w:lineRule="exact"/>
              <w:jc w:val="right"/>
              <w:outlineLvl w:val="0"/>
              <w:rPr>
                <w:rFonts w:ascii="Arial" w:hAnsi="Arial" w:cs="Arial"/>
                <w:b/>
                <w:color w:val="000000" w:themeColor="text1"/>
                <w:sz w:val="17"/>
                <w:szCs w:val="17"/>
              </w:rPr>
            </w:pPr>
            <w:r w:rsidRPr="005B35F4">
              <w:rPr>
                <w:rFonts w:ascii="Arial" w:hAnsi="Arial" w:cs="Arial"/>
                <w:b/>
                <w:color w:val="000000" w:themeColor="text1"/>
                <w:sz w:val="17"/>
                <w:szCs w:val="17"/>
              </w:rPr>
              <w:t>1 do 3 godina</w:t>
            </w:r>
          </w:p>
        </w:tc>
        <w:tc>
          <w:tcPr>
            <w:tcW w:w="640" w:type="pct"/>
          </w:tcPr>
          <w:p w14:paraId="16BA4381" w14:textId="77777777" w:rsidR="00CB7D4D" w:rsidRPr="005B35F4" w:rsidRDefault="00CB7D4D" w:rsidP="0034622E">
            <w:pPr>
              <w:tabs>
                <w:tab w:val="right" w:pos="1202"/>
              </w:tabs>
              <w:spacing w:line="240" w:lineRule="exact"/>
              <w:jc w:val="right"/>
              <w:outlineLvl w:val="0"/>
              <w:rPr>
                <w:rFonts w:ascii="Arial" w:hAnsi="Arial" w:cs="Arial"/>
                <w:b/>
                <w:color w:val="000000" w:themeColor="text1"/>
                <w:sz w:val="17"/>
                <w:szCs w:val="17"/>
              </w:rPr>
            </w:pPr>
            <w:r w:rsidRPr="005B35F4">
              <w:rPr>
                <w:rFonts w:ascii="Arial" w:hAnsi="Arial" w:cs="Arial"/>
                <w:b/>
                <w:color w:val="000000" w:themeColor="text1"/>
                <w:sz w:val="17"/>
                <w:szCs w:val="17"/>
              </w:rPr>
              <w:t>Preko 3 godine</w:t>
            </w:r>
          </w:p>
        </w:tc>
        <w:tc>
          <w:tcPr>
            <w:tcW w:w="603" w:type="pct"/>
          </w:tcPr>
          <w:p w14:paraId="02BC65F0" w14:textId="77777777" w:rsidR="00CB7D4D" w:rsidRPr="005B35F4" w:rsidRDefault="00CB7D4D" w:rsidP="0034622E">
            <w:pPr>
              <w:tabs>
                <w:tab w:val="right" w:pos="1202"/>
              </w:tabs>
              <w:spacing w:line="240" w:lineRule="exact"/>
              <w:jc w:val="right"/>
              <w:outlineLvl w:val="0"/>
              <w:rPr>
                <w:rFonts w:ascii="Arial" w:hAnsi="Arial" w:cs="Arial"/>
                <w:b/>
                <w:color w:val="000000" w:themeColor="text1"/>
                <w:sz w:val="17"/>
                <w:szCs w:val="17"/>
              </w:rPr>
            </w:pPr>
            <w:r w:rsidRPr="005B35F4">
              <w:rPr>
                <w:rFonts w:ascii="Arial" w:hAnsi="Arial" w:cs="Arial"/>
                <w:b/>
                <w:color w:val="000000" w:themeColor="text1"/>
                <w:sz w:val="17"/>
                <w:szCs w:val="17"/>
              </w:rPr>
              <w:t>Ukupno</w:t>
            </w:r>
          </w:p>
        </w:tc>
      </w:tr>
      <w:tr w:rsidR="00CB7D4D" w:rsidRPr="005B35F4" w14:paraId="43224369" w14:textId="77777777" w:rsidTr="0034622E">
        <w:trPr>
          <w:trHeight w:val="152"/>
        </w:trPr>
        <w:tc>
          <w:tcPr>
            <w:tcW w:w="1517" w:type="pct"/>
          </w:tcPr>
          <w:p w14:paraId="4B3C0990" w14:textId="77777777" w:rsidR="00CB7D4D" w:rsidRPr="005B35F4" w:rsidRDefault="00CB7D4D" w:rsidP="0034622E">
            <w:pPr>
              <w:tabs>
                <w:tab w:val="left" w:pos="-720"/>
              </w:tabs>
              <w:suppressAutoHyphens/>
              <w:spacing w:line="240" w:lineRule="exact"/>
              <w:jc w:val="center"/>
              <w:rPr>
                <w:rFonts w:ascii="Arial" w:hAnsi="Arial" w:cs="Arial"/>
                <w:b/>
                <w:color w:val="000000" w:themeColor="text1"/>
                <w:spacing w:val="-2"/>
                <w:sz w:val="17"/>
                <w:szCs w:val="17"/>
              </w:rPr>
            </w:pPr>
          </w:p>
        </w:tc>
        <w:tc>
          <w:tcPr>
            <w:tcW w:w="551" w:type="pct"/>
            <w:tcBorders>
              <w:top w:val="nil"/>
              <w:left w:val="nil"/>
              <w:bottom w:val="nil"/>
              <w:right w:val="nil"/>
            </w:tcBorders>
            <w:shd w:val="clear" w:color="auto" w:fill="auto"/>
            <w:vAlign w:val="bottom"/>
          </w:tcPr>
          <w:p w14:paraId="5947B925" w14:textId="77777777" w:rsidR="00CB7D4D" w:rsidRPr="00622C96" w:rsidRDefault="00CB7D4D" w:rsidP="0034622E">
            <w:pPr>
              <w:tabs>
                <w:tab w:val="right" w:pos="1202"/>
              </w:tabs>
              <w:spacing w:line="240" w:lineRule="exact"/>
              <w:jc w:val="right"/>
              <w:outlineLvl w:val="0"/>
              <w:rPr>
                <w:rFonts w:ascii="Arial" w:hAnsi="Arial" w:cs="Arial"/>
                <w:b/>
                <w:color w:val="000000" w:themeColor="text1"/>
                <w:sz w:val="17"/>
                <w:szCs w:val="17"/>
              </w:rPr>
            </w:pPr>
            <w:r w:rsidRPr="00622C96">
              <w:rPr>
                <w:rFonts w:ascii="Arial" w:eastAsia="Calibri" w:hAnsi="Arial" w:cs="Arial"/>
                <w:b/>
                <w:color w:val="000000" w:themeColor="text1"/>
                <w:sz w:val="17"/>
                <w:szCs w:val="17"/>
              </w:rPr>
              <w:t>000 eura</w:t>
            </w:r>
          </w:p>
        </w:tc>
        <w:tc>
          <w:tcPr>
            <w:tcW w:w="546" w:type="pct"/>
            <w:tcBorders>
              <w:top w:val="nil"/>
              <w:left w:val="nil"/>
              <w:bottom w:val="nil"/>
              <w:right w:val="nil"/>
            </w:tcBorders>
            <w:shd w:val="clear" w:color="auto" w:fill="auto"/>
            <w:vAlign w:val="bottom"/>
          </w:tcPr>
          <w:p w14:paraId="2F96A67F" w14:textId="77777777" w:rsidR="00CB7D4D" w:rsidRPr="00622C96" w:rsidRDefault="00CB7D4D" w:rsidP="0034622E">
            <w:pPr>
              <w:tabs>
                <w:tab w:val="right" w:pos="1202"/>
              </w:tabs>
              <w:spacing w:line="240" w:lineRule="exact"/>
              <w:jc w:val="right"/>
              <w:outlineLvl w:val="0"/>
              <w:rPr>
                <w:rFonts w:ascii="Arial" w:hAnsi="Arial" w:cs="Arial"/>
                <w:b/>
                <w:color w:val="000000" w:themeColor="text1"/>
                <w:sz w:val="17"/>
                <w:szCs w:val="17"/>
              </w:rPr>
            </w:pPr>
            <w:r w:rsidRPr="00622C96">
              <w:rPr>
                <w:rFonts w:ascii="Arial" w:eastAsia="Calibri" w:hAnsi="Arial" w:cs="Arial"/>
                <w:b/>
                <w:color w:val="000000" w:themeColor="text1"/>
                <w:sz w:val="17"/>
                <w:szCs w:val="17"/>
              </w:rPr>
              <w:t>000 eura</w:t>
            </w:r>
          </w:p>
        </w:tc>
        <w:tc>
          <w:tcPr>
            <w:tcW w:w="572" w:type="pct"/>
            <w:tcBorders>
              <w:top w:val="nil"/>
              <w:left w:val="nil"/>
              <w:bottom w:val="nil"/>
              <w:right w:val="nil"/>
            </w:tcBorders>
            <w:shd w:val="clear" w:color="auto" w:fill="auto"/>
            <w:vAlign w:val="bottom"/>
          </w:tcPr>
          <w:p w14:paraId="417E18C0" w14:textId="77777777" w:rsidR="00CB7D4D" w:rsidRPr="00622C96" w:rsidRDefault="00CB7D4D" w:rsidP="0034622E">
            <w:pPr>
              <w:tabs>
                <w:tab w:val="right" w:pos="1202"/>
              </w:tabs>
              <w:spacing w:line="240" w:lineRule="exact"/>
              <w:jc w:val="right"/>
              <w:outlineLvl w:val="0"/>
              <w:rPr>
                <w:rFonts w:ascii="Arial" w:hAnsi="Arial" w:cs="Arial"/>
                <w:b/>
                <w:color w:val="000000" w:themeColor="text1"/>
                <w:sz w:val="17"/>
                <w:szCs w:val="17"/>
              </w:rPr>
            </w:pPr>
            <w:r w:rsidRPr="00622C96">
              <w:rPr>
                <w:rFonts w:ascii="Arial" w:eastAsia="Calibri" w:hAnsi="Arial" w:cs="Arial"/>
                <w:b/>
                <w:color w:val="000000" w:themeColor="text1"/>
                <w:sz w:val="17"/>
                <w:szCs w:val="17"/>
              </w:rPr>
              <w:t>000 eura</w:t>
            </w:r>
          </w:p>
        </w:tc>
        <w:tc>
          <w:tcPr>
            <w:tcW w:w="570" w:type="pct"/>
            <w:tcBorders>
              <w:top w:val="nil"/>
              <w:left w:val="nil"/>
              <w:bottom w:val="nil"/>
              <w:right w:val="nil"/>
            </w:tcBorders>
            <w:shd w:val="clear" w:color="auto" w:fill="auto"/>
            <w:vAlign w:val="bottom"/>
          </w:tcPr>
          <w:p w14:paraId="1D884396" w14:textId="77777777" w:rsidR="00CB7D4D" w:rsidRPr="00622C96" w:rsidRDefault="00CB7D4D" w:rsidP="0034622E">
            <w:pPr>
              <w:tabs>
                <w:tab w:val="right" w:pos="1202"/>
              </w:tabs>
              <w:spacing w:line="240" w:lineRule="exact"/>
              <w:jc w:val="right"/>
              <w:outlineLvl w:val="0"/>
              <w:rPr>
                <w:rFonts w:ascii="Arial" w:hAnsi="Arial" w:cs="Arial"/>
                <w:b/>
                <w:color w:val="000000" w:themeColor="text1"/>
                <w:sz w:val="17"/>
                <w:szCs w:val="17"/>
              </w:rPr>
            </w:pPr>
            <w:r w:rsidRPr="00622C96">
              <w:rPr>
                <w:rFonts w:ascii="Arial" w:eastAsia="Calibri" w:hAnsi="Arial" w:cs="Arial"/>
                <w:b/>
                <w:color w:val="000000" w:themeColor="text1"/>
                <w:sz w:val="17"/>
                <w:szCs w:val="17"/>
              </w:rPr>
              <w:t>000 eura</w:t>
            </w:r>
          </w:p>
        </w:tc>
        <w:tc>
          <w:tcPr>
            <w:tcW w:w="640" w:type="pct"/>
            <w:tcBorders>
              <w:top w:val="nil"/>
              <w:left w:val="nil"/>
              <w:bottom w:val="nil"/>
              <w:right w:val="nil"/>
            </w:tcBorders>
            <w:shd w:val="clear" w:color="auto" w:fill="auto"/>
            <w:vAlign w:val="bottom"/>
          </w:tcPr>
          <w:p w14:paraId="0F959010" w14:textId="77777777" w:rsidR="00CB7D4D" w:rsidRPr="00622C96" w:rsidRDefault="00CB7D4D" w:rsidP="0034622E">
            <w:pPr>
              <w:tabs>
                <w:tab w:val="right" w:pos="1202"/>
              </w:tabs>
              <w:spacing w:line="240" w:lineRule="exact"/>
              <w:jc w:val="right"/>
              <w:outlineLvl w:val="0"/>
              <w:rPr>
                <w:rFonts w:ascii="Arial" w:hAnsi="Arial" w:cs="Arial"/>
                <w:b/>
                <w:color w:val="000000" w:themeColor="text1"/>
                <w:sz w:val="17"/>
                <w:szCs w:val="17"/>
              </w:rPr>
            </w:pPr>
            <w:r w:rsidRPr="00622C96">
              <w:rPr>
                <w:rFonts w:ascii="Arial" w:eastAsia="Calibri" w:hAnsi="Arial" w:cs="Arial"/>
                <w:b/>
                <w:color w:val="000000" w:themeColor="text1"/>
                <w:sz w:val="17"/>
                <w:szCs w:val="17"/>
              </w:rPr>
              <w:t>000 eura</w:t>
            </w:r>
          </w:p>
        </w:tc>
        <w:tc>
          <w:tcPr>
            <w:tcW w:w="603" w:type="pct"/>
            <w:vAlign w:val="bottom"/>
          </w:tcPr>
          <w:p w14:paraId="77C45C9F" w14:textId="77777777" w:rsidR="00CB7D4D" w:rsidRPr="00622C96" w:rsidRDefault="00CB7D4D" w:rsidP="0034622E">
            <w:pPr>
              <w:tabs>
                <w:tab w:val="right" w:pos="1202"/>
              </w:tabs>
              <w:spacing w:line="240" w:lineRule="exact"/>
              <w:jc w:val="right"/>
              <w:outlineLvl w:val="0"/>
              <w:rPr>
                <w:rFonts w:ascii="Arial" w:hAnsi="Arial" w:cs="Arial"/>
                <w:b/>
                <w:color w:val="000000" w:themeColor="text1"/>
                <w:sz w:val="17"/>
                <w:szCs w:val="17"/>
              </w:rPr>
            </w:pPr>
            <w:r w:rsidRPr="00622C96">
              <w:rPr>
                <w:rFonts w:ascii="Arial" w:hAnsi="Arial" w:cs="Arial"/>
                <w:b/>
                <w:color w:val="000000" w:themeColor="text1"/>
                <w:sz w:val="17"/>
                <w:szCs w:val="17"/>
              </w:rPr>
              <w:t>000 eura</w:t>
            </w:r>
          </w:p>
        </w:tc>
      </w:tr>
      <w:tr w:rsidR="00CB7D4D" w:rsidRPr="005B35F4" w14:paraId="5E2D5E63" w14:textId="77777777" w:rsidTr="0034622E">
        <w:trPr>
          <w:trHeight w:val="145"/>
        </w:trPr>
        <w:tc>
          <w:tcPr>
            <w:tcW w:w="1517" w:type="pct"/>
          </w:tcPr>
          <w:p w14:paraId="1480F288" w14:textId="77777777" w:rsidR="00CB7D4D" w:rsidRPr="005B35F4" w:rsidRDefault="00CB7D4D" w:rsidP="0034622E">
            <w:pPr>
              <w:tabs>
                <w:tab w:val="right" w:pos="1202"/>
              </w:tabs>
              <w:spacing w:line="240" w:lineRule="exact"/>
              <w:outlineLvl w:val="0"/>
              <w:rPr>
                <w:rFonts w:ascii="Arial" w:hAnsi="Arial" w:cs="Arial"/>
                <w:b/>
                <w:bCs/>
                <w:color w:val="000000" w:themeColor="text1"/>
                <w:sz w:val="17"/>
                <w:szCs w:val="17"/>
              </w:rPr>
            </w:pPr>
            <w:r w:rsidRPr="005B35F4">
              <w:rPr>
                <w:rFonts w:ascii="Arial" w:hAnsi="Arial" w:cs="Arial"/>
                <w:b/>
                <w:bCs/>
                <w:color w:val="000000" w:themeColor="text1"/>
                <w:sz w:val="17"/>
                <w:szCs w:val="17"/>
              </w:rPr>
              <w:t>Imovina</w:t>
            </w:r>
          </w:p>
        </w:tc>
        <w:tc>
          <w:tcPr>
            <w:tcW w:w="551" w:type="pct"/>
            <w:vAlign w:val="bottom"/>
          </w:tcPr>
          <w:p w14:paraId="31E507A6" w14:textId="77777777" w:rsidR="00CB7D4D" w:rsidRPr="005B35F4" w:rsidRDefault="00CB7D4D" w:rsidP="0034622E">
            <w:pPr>
              <w:tabs>
                <w:tab w:val="right" w:pos="1202"/>
              </w:tabs>
              <w:spacing w:line="240" w:lineRule="exact"/>
              <w:jc w:val="right"/>
              <w:outlineLvl w:val="0"/>
              <w:rPr>
                <w:rFonts w:ascii="Arial" w:hAnsi="Arial" w:cs="Arial"/>
                <w:b/>
                <w:bCs/>
                <w:color w:val="000000" w:themeColor="text1"/>
                <w:spacing w:val="-2"/>
                <w:sz w:val="17"/>
                <w:szCs w:val="17"/>
              </w:rPr>
            </w:pPr>
          </w:p>
        </w:tc>
        <w:tc>
          <w:tcPr>
            <w:tcW w:w="546" w:type="pct"/>
            <w:vAlign w:val="bottom"/>
          </w:tcPr>
          <w:p w14:paraId="3A6346A5" w14:textId="77777777" w:rsidR="00CB7D4D" w:rsidRPr="005B35F4" w:rsidRDefault="00CB7D4D" w:rsidP="0034622E">
            <w:pPr>
              <w:tabs>
                <w:tab w:val="right" w:pos="1202"/>
              </w:tabs>
              <w:spacing w:line="240" w:lineRule="exact"/>
              <w:jc w:val="right"/>
              <w:outlineLvl w:val="0"/>
              <w:rPr>
                <w:rFonts w:ascii="Arial" w:hAnsi="Arial" w:cs="Arial"/>
                <w:b/>
                <w:bCs/>
                <w:color w:val="000000" w:themeColor="text1"/>
                <w:spacing w:val="-2"/>
                <w:sz w:val="17"/>
                <w:szCs w:val="17"/>
              </w:rPr>
            </w:pPr>
          </w:p>
        </w:tc>
        <w:tc>
          <w:tcPr>
            <w:tcW w:w="572" w:type="pct"/>
            <w:vAlign w:val="bottom"/>
          </w:tcPr>
          <w:p w14:paraId="0D99EB88" w14:textId="77777777" w:rsidR="00CB7D4D" w:rsidRPr="005B35F4" w:rsidRDefault="00CB7D4D" w:rsidP="0034622E">
            <w:pPr>
              <w:tabs>
                <w:tab w:val="right" w:pos="1202"/>
              </w:tabs>
              <w:spacing w:line="240" w:lineRule="exact"/>
              <w:jc w:val="right"/>
              <w:outlineLvl w:val="0"/>
              <w:rPr>
                <w:rFonts w:ascii="Arial" w:hAnsi="Arial" w:cs="Arial"/>
                <w:b/>
                <w:bCs/>
                <w:color w:val="000000" w:themeColor="text1"/>
                <w:spacing w:val="-2"/>
                <w:sz w:val="17"/>
                <w:szCs w:val="17"/>
              </w:rPr>
            </w:pPr>
          </w:p>
        </w:tc>
        <w:tc>
          <w:tcPr>
            <w:tcW w:w="570" w:type="pct"/>
            <w:vAlign w:val="bottom"/>
          </w:tcPr>
          <w:p w14:paraId="64ED6DBC" w14:textId="77777777" w:rsidR="00CB7D4D" w:rsidRPr="005B35F4" w:rsidRDefault="00CB7D4D" w:rsidP="0034622E">
            <w:pPr>
              <w:tabs>
                <w:tab w:val="right" w:pos="1202"/>
              </w:tabs>
              <w:spacing w:line="240" w:lineRule="exact"/>
              <w:jc w:val="right"/>
              <w:outlineLvl w:val="0"/>
              <w:rPr>
                <w:rFonts w:ascii="Arial" w:hAnsi="Arial" w:cs="Arial"/>
                <w:b/>
                <w:bCs/>
                <w:color w:val="000000" w:themeColor="text1"/>
                <w:spacing w:val="-2"/>
                <w:sz w:val="17"/>
                <w:szCs w:val="17"/>
              </w:rPr>
            </w:pPr>
          </w:p>
        </w:tc>
        <w:tc>
          <w:tcPr>
            <w:tcW w:w="640" w:type="pct"/>
            <w:vAlign w:val="bottom"/>
          </w:tcPr>
          <w:p w14:paraId="0397C162" w14:textId="77777777" w:rsidR="00CB7D4D" w:rsidRPr="005B35F4" w:rsidRDefault="00CB7D4D" w:rsidP="0034622E">
            <w:pPr>
              <w:tabs>
                <w:tab w:val="right" w:pos="1202"/>
              </w:tabs>
              <w:spacing w:line="240" w:lineRule="exact"/>
              <w:jc w:val="right"/>
              <w:outlineLvl w:val="0"/>
              <w:rPr>
                <w:rFonts w:ascii="Arial" w:hAnsi="Arial" w:cs="Arial"/>
                <w:b/>
                <w:bCs/>
                <w:color w:val="000000" w:themeColor="text1"/>
                <w:spacing w:val="-2"/>
                <w:sz w:val="17"/>
                <w:szCs w:val="17"/>
              </w:rPr>
            </w:pPr>
          </w:p>
        </w:tc>
        <w:tc>
          <w:tcPr>
            <w:tcW w:w="603" w:type="pct"/>
            <w:vAlign w:val="bottom"/>
          </w:tcPr>
          <w:p w14:paraId="6FE27848" w14:textId="77777777" w:rsidR="00CB7D4D" w:rsidRPr="005B35F4" w:rsidRDefault="00CB7D4D" w:rsidP="0034622E">
            <w:pPr>
              <w:tabs>
                <w:tab w:val="right" w:pos="1202"/>
              </w:tabs>
              <w:spacing w:line="240" w:lineRule="exact"/>
              <w:jc w:val="right"/>
              <w:outlineLvl w:val="0"/>
              <w:rPr>
                <w:rFonts w:ascii="Arial" w:hAnsi="Arial" w:cs="Arial"/>
                <w:b/>
                <w:bCs/>
                <w:color w:val="000000" w:themeColor="text1"/>
                <w:spacing w:val="-2"/>
                <w:sz w:val="17"/>
                <w:szCs w:val="17"/>
              </w:rPr>
            </w:pPr>
          </w:p>
        </w:tc>
      </w:tr>
      <w:tr w:rsidR="00CB7D4D" w:rsidRPr="005B35F4" w14:paraId="547306D8" w14:textId="77777777" w:rsidTr="0034622E">
        <w:trPr>
          <w:trHeight w:val="261"/>
        </w:trPr>
        <w:tc>
          <w:tcPr>
            <w:tcW w:w="1517" w:type="pct"/>
            <w:vAlign w:val="bottom"/>
          </w:tcPr>
          <w:p w14:paraId="0D8ADC1A" w14:textId="77777777" w:rsidR="00CB7D4D" w:rsidRPr="005B35F4" w:rsidRDefault="00CB7D4D" w:rsidP="0034622E">
            <w:pPr>
              <w:tabs>
                <w:tab w:val="right" w:pos="1202"/>
              </w:tabs>
              <w:spacing w:line="240" w:lineRule="exact"/>
              <w:outlineLvl w:val="0"/>
              <w:rPr>
                <w:rFonts w:ascii="Arial" w:hAnsi="Arial" w:cs="Arial"/>
                <w:color w:val="000000" w:themeColor="text1"/>
                <w:sz w:val="17"/>
                <w:szCs w:val="17"/>
              </w:rPr>
            </w:pPr>
            <w:r w:rsidRPr="005B35F4">
              <w:rPr>
                <w:rFonts w:ascii="Arial" w:hAnsi="Arial" w:cs="Arial"/>
                <w:color w:val="000000" w:themeColor="text1"/>
                <w:spacing w:val="-2"/>
                <w:sz w:val="17"/>
                <w:szCs w:val="17"/>
              </w:rPr>
              <w:t>Novčana sredstva i računi kod banaka</w:t>
            </w:r>
          </w:p>
        </w:tc>
        <w:tc>
          <w:tcPr>
            <w:tcW w:w="551" w:type="pct"/>
            <w:tcBorders>
              <w:top w:val="nil"/>
              <w:left w:val="nil"/>
              <w:bottom w:val="nil"/>
              <w:right w:val="nil"/>
            </w:tcBorders>
            <w:shd w:val="clear" w:color="auto" w:fill="auto"/>
            <w:vAlign w:val="bottom"/>
          </w:tcPr>
          <w:p w14:paraId="232A86A6" w14:textId="77777777" w:rsidR="00CB7D4D" w:rsidRPr="005B35F4" w:rsidRDefault="00CB7D4D" w:rsidP="0034622E">
            <w:pPr>
              <w:jc w:val="right"/>
              <w:rPr>
                <w:rFonts w:ascii="Arial" w:hAnsi="Arial" w:cs="Arial"/>
                <w:color w:val="000000"/>
                <w:sz w:val="17"/>
                <w:szCs w:val="17"/>
              </w:rPr>
            </w:pPr>
            <w:r w:rsidRPr="00F959D0">
              <w:rPr>
                <w:rFonts w:ascii="Arial" w:hAnsi="Arial" w:cs="Arial"/>
                <w:color w:val="000000"/>
                <w:sz w:val="17"/>
                <w:szCs w:val="17"/>
              </w:rPr>
              <w:t xml:space="preserve"> 41.543 </w:t>
            </w:r>
          </w:p>
        </w:tc>
        <w:tc>
          <w:tcPr>
            <w:tcW w:w="546" w:type="pct"/>
            <w:tcBorders>
              <w:top w:val="nil"/>
              <w:left w:val="nil"/>
              <w:bottom w:val="nil"/>
              <w:right w:val="nil"/>
            </w:tcBorders>
            <w:shd w:val="clear" w:color="auto" w:fill="auto"/>
            <w:vAlign w:val="bottom"/>
          </w:tcPr>
          <w:p w14:paraId="317C406F" w14:textId="77777777" w:rsidR="00CB7D4D" w:rsidRPr="005B35F4" w:rsidRDefault="00CB7D4D" w:rsidP="0034622E">
            <w:pPr>
              <w:jc w:val="right"/>
              <w:rPr>
                <w:rFonts w:ascii="Arial" w:hAnsi="Arial" w:cs="Arial"/>
                <w:color w:val="000000"/>
                <w:sz w:val="17"/>
                <w:szCs w:val="17"/>
              </w:rPr>
            </w:pPr>
            <w:r w:rsidRPr="00F959D0">
              <w:rPr>
                <w:rFonts w:ascii="Arial"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06C0A9A9" w14:textId="77777777" w:rsidR="00CB7D4D" w:rsidRPr="005B35F4" w:rsidRDefault="00CB7D4D" w:rsidP="0034622E">
            <w:pPr>
              <w:jc w:val="right"/>
              <w:rPr>
                <w:rFonts w:ascii="Arial" w:hAnsi="Arial" w:cs="Arial"/>
                <w:color w:val="000000"/>
                <w:sz w:val="17"/>
                <w:szCs w:val="17"/>
              </w:rPr>
            </w:pPr>
            <w:r w:rsidRPr="00F959D0">
              <w:rPr>
                <w:rFonts w:ascii="Arial" w:hAnsi="Arial" w:cs="Arial"/>
                <w:color w:val="000000"/>
                <w:sz w:val="17"/>
                <w:szCs w:val="17"/>
              </w:rPr>
              <w:t xml:space="preserve">  -  </w:t>
            </w:r>
          </w:p>
        </w:tc>
        <w:tc>
          <w:tcPr>
            <w:tcW w:w="570" w:type="pct"/>
            <w:tcBorders>
              <w:top w:val="nil"/>
              <w:left w:val="nil"/>
              <w:bottom w:val="nil"/>
              <w:right w:val="nil"/>
            </w:tcBorders>
            <w:shd w:val="clear" w:color="auto" w:fill="auto"/>
            <w:vAlign w:val="bottom"/>
          </w:tcPr>
          <w:p w14:paraId="283968E0" w14:textId="77777777" w:rsidR="00CB7D4D" w:rsidRPr="005B35F4" w:rsidRDefault="00CB7D4D" w:rsidP="0034622E">
            <w:pPr>
              <w:jc w:val="right"/>
              <w:rPr>
                <w:rFonts w:ascii="Arial" w:hAnsi="Arial" w:cs="Arial"/>
                <w:color w:val="000000"/>
                <w:sz w:val="17"/>
                <w:szCs w:val="17"/>
              </w:rPr>
            </w:pPr>
            <w:r w:rsidRPr="00F959D0">
              <w:rPr>
                <w:rFonts w:ascii="Arial" w:hAnsi="Arial" w:cs="Arial"/>
                <w:color w:val="000000"/>
                <w:sz w:val="17"/>
                <w:szCs w:val="17"/>
              </w:rPr>
              <w:t xml:space="preserve">  -  </w:t>
            </w:r>
          </w:p>
        </w:tc>
        <w:tc>
          <w:tcPr>
            <w:tcW w:w="640" w:type="pct"/>
            <w:tcBorders>
              <w:top w:val="nil"/>
              <w:left w:val="nil"/>
              <w:bottom w:val="nil"/>
              <w:right w:val="nil"/>
            </w:tcBorders>
            <w:shd w:val="clear" w:color="auto" w:fill="auto"/>
            <w:vAlign w:val="bottom"/>
          </w:tcPr>
          <w:p w14:paraId="3D7920DB" w14:textId="77777777" w:rsidR="00CB7D4D" w:rsidRPr="005B35F4" w:rsidRDefault="00CB7D4D" w:rsidP="0034622E">
            <w:pPr>
              <w:jc w:val="right"/>
              <w:rPr>
                <w:rFonts w:ascii="Arial" w:hAnsi="Arial" w:cs="Arial"/>
                <w:color w:val="000000"/>
                <w:sz w:val="17"/>
                <w:szCs w:val="17"/>
              </w:rPr>
            </w:pPr>
            <w:r w:rsidRPr="00F959D0">
              <w:rPr>
                <w:rFonts w:ascii="Arial" w:hAnsi="Arial" w:cs="Arial"/>
                <w:color w:val="000000"/>
                <w:sz w:val="17"/>
                <w:szCs w:val="17"/>
              </w:rPr>
              <w:t xml:space="preserve">  -  </w:t>
            </w:r>
          </w:p>
        </w:tc>
        <w:tc>
          <w:tcPr>
            <w:tcW w:w="603" w:type="pct"/>
            <w:tcBorders>
              <w:top w:val="nil"/>
              <w:left w:val="nil"/>
              <w:bottom w:val="nil"/>
              <w:right w:val="nil"/>
            </w:tcBorders>
            <w:shd w:val="clear" w:color="auto" w:fill="auto"/>
            <w:vAlign w:val="bottom"/>
          </w:tcPr>
          <w:p w14:paraId="6AEE5656" w14:textId="77777777" w:rsidR="00CB7D4D" w:rsidRPr="005B35F4" w:rsidRDefault="00CB7D4D" w:rsidP="0034622E">
            <w:pPr>
              <w:jc w:val="right"/>
              <w:rPr>
                <w:rFonts w:ascii="Arial" w:hAnsi="Arial" w:cs="Arial"/>
                <w:color w:val="000000"/>
                <w:sz w:val="17"/>
                <w:szCs w:val="17"/>
              </w:rPr>
            </w:pPr>
            <w:r w:rsidRPr="00F959D0">
              <w:rPr>
                <w:rFonts w:ascii="Arial" w:hAnsi="Arial" w:cs="Arial"/>
                <w:color w:val="000000"/>
                <w:sz w:val="17"/>
                <w:szCs w:val="17"/>
              </w:rPr>
              <w:t xml:space="preserve"> 41.543 </w:t>
            </w:r>
          </w:p>
        </w:tc>
      </w:tr>
      <w:tr w:rsidR="00CB7D4D" w:rsidRPr="005B35F4" w14:paraId="547A52E4" w14:textId="77777777" w:rsidTr="0034622E">
        <w:trPr>
          <w:trHeight w:val="261"/>
        </w:trPr>
        <w:tc>
          <w:tcPr>
            <w:tcW w:w="1517" w:type="pct"/>
            <w:vAlign w:val="bottom"/>
          </w:tcPr>
          <w:p w14:paraId="5BDA71FF" w14:textId="77777777" w:rsidR="00CB7D4D" w:rsidRPr="005B35F4" w:rsidRDefault="00CB7D4D" w:rsidP="0034622E">
            <w:pPr>
              <w:tabs>
                <w:tab w:val="right" w:pos="1202"/>
              </w:tabs>
              <w:spacing w:line="240" w:lineRule="exact"/>
              <w:outlineLvl w:val="0"/>
              <w:rPr>
                <w:rFonts w:ascii="Arial" w:hAnsi="Arial" w:cs="Arial"/>
                <w:color w:val="000000" w:themeColor="text1"/>
                <w:sz w:val="17"/>
                <w:szCs w:val="17"/>
              </w:rPr>
            </w:pPr>
            <w:r w:rsidRPr="005B35F4">
              <w:rPr>
                <w:rFonts w:ascii="Arial" w:hAnsi="Arial" w:cs="Arial"/>
                <w:color w:val="000000" w:themeColor="text1"/>
                <w:spacing w:val="-2"/>
                <w:sz w:val="17"/>
                <w:szCs w:val="17"/>
              </w:rPr>
              <w:t>Depoziti kod drugih banaka</w:t>
            </w:r>
          </w:p>
        </w:tc>
        <w:tc>
          <w:tcPr>
            <w:tcW w:w="551" w:type="pct"/>
            <w:tcBorders>
              <w:top w:val="nil"/>
              <w:left w:val="nil"/>
              <w:bottom w:val="nil"/>
              <w:right w:val="nil"/>
            </w:tcBorders>
            <w:shd w:val="clear" w:color="auto" w:fill="auto"/>
            <w:vAlign w:val="bottom"/>
          </w:tcPr>
          <w:p w14:paraId="66542232" w14:textId="77777777" w:rsidR="00CB7D4D" w:rsidRPr="005B35F4" w:rsidRDefault="00CB7D4D" w:rsidP="0034622E">
            <w:pPr>
              <w:jc w:val="right"/>
              <w:rPr>
                <w:rFonts w:ascii="Arial" w:hAnsi="Arial" w:cs="Arial"/>
                <w:color w:val="000000"/>
                <w:sz w:val="17"/>
                <w:szCs w:val="17"/>
              </w:rPr>
            </w:pPr>
            <w:r w:rsidRPr="00F959D0">
              <w:rPr>
                <w:rFonts w:ascii="Arial" w:hAnsi="Arial" w:cs="Arial"/>
                <w:color w:val="000000"/>
                <w:sz w:val="17"/>
                <w:szCs w:val="17"/>
              </w:rPr>
              <w:t xml:space="preserve"> 68.152 </w:t>
            </w:r>
          </w:p>
        </w:tc>
        <w:tc>
          <w:tcPr>
            <w:tcW w:w="546" w:type="pct"/>
            <w:tcBorders>
              <w:top w:val="nil"/>
              <w:left w:val="nil"/>
              <w:bottom w:val="nil"/>
              <w:right w:val="nil"/>
            </w:tcBorders>
            <w:shd w:val="clear" w:color="auto" w:fill="auto"/>
            <w:vAlign w:val="bottom"/>
          </w:tcPr>
          <w:p w14:paraId="44B0BAD8" w14:textId="77777777" w:rsidR="00CB7D4D" w:rsidRPr="005B35F4" w:rsidRDefault="00CB7D4D" w:rsidP="0034622E">
            <w:pPr>
              <w:jc w:val="right"/>
              <w:rPr>
                <w:rFonts w:ascii="Arial" w:hAnsi="Arial" w:cs="Arial"/>
                <w:color w:val="000000"/>
                <w:sz w:val="17"/>
                <w:szCs w:val="17"/>
              </w:rPr>
            </w:pPr>
            <w:r w:rsidRPr="00F959D0">
              <w:rPr>
                <w:rFonts w:ascii="Arial"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4AFCD2C6" w14:textId="77777777" w:rsidR="00CB7D4D" w:rsidRPr="005B35F4" w:rsidRDefault="00CB7D4D" w:rsidP="0034622E">
            <w:pPr>
              <w:jc w:val="right"/>
              <w:rPr>
                <w:rFonts w:ascii="Arial" w:hAnsi="Arial" w:cs="Arial"/>
                <w:color w:val="000000"/>
                <w:sz w:val="17"/>
                <w:szCs w:val="17"/>
              </w:rPr>
            </w:pPr>
            <w:r w:rsidRPr="00F959D0">
              <w:rPr>
                <w:rFonts w:ascii="Arial" w:hAnsi="Arial" w:cs="Arial"/>
                <w:color w:val="000000"/>
                <w:sz w:val="17"/>
                <w:szCs w:val="17"/>
              </w:rPr>
              <w:t xml:space="preserve">  -  </w:t>
            </w:r>
          </w:p>
        </w:tc>
        <w:tc>
          <w:tcPr>
            <w:tcW w:w="570" w:type="pct"/>
            <w:tcBorders>
              <w:top w:val="nil"/>
              <w:left w:val="nil"/>
              <w:bottom w:val="nil"/>
              <w:right w:val="nil"/>
            </w:tcBorders>
            <w:shd w:val="clear" w:color="auto" w:fill="auto"/>
            <w:vAlign w:val="bottom"/>
          </w:tcPr>
          <w:p w14:paraId="602EDBC1" w14:textId="77777777" w:rsidR="00CB7D4D" w:rsidRPr="005B35F4" w:rsidRDefault="00CB7D4D" w:rsidP="0034622E">
            <w:pPr>
              <w:jc w:val="right"/>
              <w:rPr>
                <w:rFonts w:ascii="Arial" w:hAnsi="Arial" w:cs="Arial"/>
                <w:color w:val="000000"/>
                <w:sz w:val="17"/>
                <w:szCs w:val="17"/>
              </w:rPr>
            </w:pPr>
            <w:r w:rsidRPr="00F959D0">
              <w:rPr>
                <w:rFonts w:ascii="Arial" w:hAnsi="Arial" w:cs="Arial"/>
                <w:color w:val="000000"/>
                <w:sz w:val="17"/>
                <w:szCs w:val="17"/>
              </w:rPr>
              <w:t xml:space="preserve">  -  </w:t>
            </w:r>
          </w:p>
        </w:tc>
        <w:tc>
          <w:tcPr>
            <w:tcW w:w="640" w:type="pct"/>
            <w:tcBorders>
              <w:top w:val="nil"/>
              <w:left w:val="nil"/>
              <w:bottom w:val="nil"/>
              <w:right w:val="nil"/>
            </w:tcBorders>
            <w:shd w:val="clear" w:color="auto" w:fill="auto"/>
            <w:vAlign w:val="bottom"/>
          </w:tcPr>
          <w:p w14:paraId="00B1758D" w14:textId="77777777" w:rsidR="00CB7D4D" w:rsidRPr="005B35F4" w:rsidRDefault="00CB7D4D" w:rsidP="0034622E">
            <w:pPr>
              <w:jc w:val="right"/>
              <w:rPr>
                <w:rFonts w:ascii="Arial" w:hAnsi="Arial" w:cs="Arial"/>
                <w:color w:val="000000"/>
                <w:sz w:val="17"/>
                <w:szCs w:val="17"/>
              </w:rPr>
            </w:pPr>
            <w:r w:rsidRPr="00F959D0">
              <w:rPr>
                <w:rFonts w:ascii="Arial" w:hAnsi="Arial" w:cs="Arial"/>
                <w:color w:val="000000"/>
                <w:sz w:val="17"/>
                <w:szCs w:val="17"/>
              </w:rPr>
              <w:t xml:space="preserve"> 1.304 </w:t>
            </w:r>
          </w:p>
        </w:tc>
        <w:tc>
          <w:tcPr>
            <w:tcW w:w="603" w:type="pct"/>
            <w:tcBorders>
              <w:top w:val="nil"/>
              <w:left w:val="nil"/>
              <w:bottom w:val="nil"/>
              <w:right w:val="nil"/>
            </w:tcBorders>
            <w:shd w:val="clear" w:color="auto" w:fill="auto"/>
            <w:vAlign w:val="bottom"/>
          </w:tcPr>
          <w:p w14:paraId="32F74E0F" w14:textId="77777777" w:rsidR="00CB7D4D" w:rsidRPr="005B35F4" w:rsidRDefault="00CB7D4D" w:rsidP="0034622E">
            <w:pPr>
              <w:jc w:val="right"/>
              <w:rPr>
                <w:rFonts w:ascii="Arial" w:hAnsi="Arial" w:cs="Arial"/>
                <w:color w:val="000000"/>
                <w:sz w:val="17"/>
                <w:szCs w:val="17"/>
              </w:rPr>
            </w:pPr>
            <w:r w:rsidRPr="00F959D0">
              <w:rPr>
                <w:rFonts w:ascii="Arial" w:hAnsi="Arial" w:cs="Arial"/>
                <w:color w:val="000000"/>
                <w:sz w:val="17"/>
                <w:szCs w:val="17"/>
              </w:rPr>
              <w:t xml:space="preserve"> 69.456 </w:t>
            </w:r>
          </w:p>
        </w:tc>
      </w:tr>
      <w:tr w:rsidR="00CB7D4D" w:rsidRPr="005B35F4" w14:paraId="70A67C10" w14:textId="77777777" w:rsidTr="0034622E">
        <w:trPr>
          <w:trHeight w:val="261"/>
        </w:trPr>
        <w:tc>
          <w:tcPr>
            <w:tcW w:w="1517" w:type="pct"/>
            <w:vAlign w:val="bottom"/>
          </w:tcPr>
          <w:p w14:paraId="73CAD811" w14:textId="77777777" w:rsidR="00CB7D4D" w:rsidRPr="005B35F4" w:rsidRDefault="00CB7D4D" w:rsidP="0034622E">
            <w:pPr>
              <w:tabs>
                <w:tab w:val="right" w:pos="1202"/>
              </w:tabs>
              <w:spacing w:line="240" w:lineRule="exact"/>
              <w:outlineLvl w:val="0"/>
              <w:rPr>
                <w:rFonts w:ascii="Arial" w:hAnsi="Arial" w:cs="Arial"/>
                <w:color w:val="000000" w:themeColor="text1"/>
                <w:spacing w:val="-2"/>
                <w:sz w:val="17"/>
                <w:szCs w:val="17"/>
              </w:rPr>
            </w:pPr>
            <w:r w:rsidRPr="005B35F4">
              <w:rPr>
                <w:rFonts w:ascii="Arial" w:hAnsi="Arial" w:cs="Arial"/>
                <w:color w:val="000000" w:themeColor="text1"/>
                <w:spacing w:val="-2"/>
                <w:sz w:val="17"/>
                <w:szCs w:val="17"/>
              </w:rPr>
              <w:t>Krediti financijskim institucijama</w:t>
            </w:r>
            <w:r>
              <w:rPr>
                <w:rFonts w:ascii="Arial" w:hAnsi="Arial" w:cs="Arial"/>
                <w:color w:val="000000" w:themeColor="text1"/>
                <w:spacing w:val="-2"/>
                <w:sz w:val="17"/>
                <w:szCs w:val="17"/>
              </w:rPr>
              <w:t>*</w:t>
            </w:r>
          </w:p>
        </w:tc>
        <w:tc>
          <w:tcPr>
            <w:tcW w:w="551" w:type="pct"/>
            <w:tcBorders>
              <w:top w:val="nil"/>
              <w:left w:val="nil"/>
              <w:bottom w:val="nil"/>
              <w:right w:val="nil"/>
            </w:tcBorders>
            <w:shd w:val="clear" w:color="auto" w:fill="auto"/>
            <w:vAlign w:val="bottom"/>
          </w:tcPr>
          <w:p w14:paraId="47D0079A" w14:textId="77777777" w:rsidR="00CB7D4D" w:rsidRPr="005B35F4" w:rsidRDefault="00CB7D4D" w:rsidP="0034622E">
            <w:pPr>
              <w:jc w:val="right"/>
              <w:rPr>
                <w:rFonts w:ascii="Arial" w:hAnsi="Arial" w:cs="Arial"/>
                <w:color w:val="000000"/>
                <w:sz w:val="17"/>
                <w:szCs w:val="17"/>
              </w:rPr>
            </w:pPr>
            <w:r w:rsidRPr="00F959D0">
              <w:rPr>
                <w:rFonts w:ascii="Arial" w:hAnsi="Arial" w:cs="Arial"/>
                <w:color w:val="000000"/>
                <w:sz w:val="17"/>
                <w:szCs w:val="17"/>
              </w:rPr>
              <w:t xml:space="preserve"> 90.275 </w:t>
            </w:r>
          </w:p>
        </w:tc>
        <w:tc>
          <w:tcPr>
            <w:tcW w:w="546" w:type="pct"/>
            <w:tcBorders>
              <w:top w:val="nil"/>
              <w:left w:val="nil"/>
              <w:bottom w:val="nil"/>
              <w:right w:val="nil"/>
            </w:tcBorders>
            <w:shd w:val="clear" w:color="auto" w:fill="auto"/>
            <w:vAlign w:val="bottom"/>
          </w:tcPr>
          <w:p w14:paraId="12C06981" w14:textId="77777777" w:rsidR="00CB7D4D" w:rsidRPr="005B35F4" w:rsidRDefault="00CB7D4D" w:rsidP="0034622E">
            <w:pPr>
              <w:jc w:val="right"/>
              <w:rPr>
                <w:rFonts w:ascii="Arial" w:hAnsi="Arial" w:cs="Arial"/>
                <w:color w:val="000000"/>
                <w:sz w:val="17"/>
                <w:szCs w:val="17"/>
              </w:rPr>
            </w:pPr>
            <w:r w:rsidRPr="00F959D0">
              <w:rPr>
                <w:rFonts w:ascii="Arial" w:hAnsi="Arial" w:cs="Arial"/>
                <w:color w:val="000000"/>
                <w:sz w:val="17"/>
                <w:szCs w:val="17"/>
              </w:rPr>
              <w:t xml:space="preserve"> 158.524 </w:t>
            </w:r>
          </w:p>
        </w:tc>
        <w:tc>
          <w:tcPr>
            <w:tcW w:w="572" w:type="pct"/>
            <w:tcBorders>
              <w:top w:val="nil"/>
              <w:left w:val="nil"/>
              <w:bottom w:val="nil"/>
              <w:right w:val="nil"/>
            </w:tcBorders>
            <w:shd w:val="clear" w:color="auto" w:fill="auto"/>
            <w:vAlign w:val="bottom"/>
          </w:tcPr>
          <w:p w14:paraId="7A9C2312" w14:textId="77777777" w:rsidR="00CB7D4D" w:rsidRPr="005B35F4" w:rsidRDefault="00CB7D4D" w:rsidP="0034622E">
            <w:pPr>
              <w:jc w:val="right"/>
              <w:rPr>
                <w:rFonts w:ascii="Arial" w:hAnsi="Arial" w:cs="Arial"/>
                <w:color w:val="000000"/>
                <w:sz w:val="17"/>
                <w:szCs w:val="17"/>
              </w:rPr>
            </w:pPr>
            <w:r w:rsidRPr="00F959D0">
              <w:rPr>
                <w:rFonts w:ascii="Arial" w:hAnsi="Arial" w:cs="Arial"/>
                <w:color w:val="000000"/>
                <w:sz w:val="17"/>
                <w:szCs w:val="17"/>
              </w:rPr>
              <w:t xml:space="preserve"> 130.273 </w:t>
            </w:r>
          </w:p>
        </w:tc>
        <w:tc>
          <w:tcPr>
            <w:tcW w:w="570" w:type="pct"/>
            <w:tcBorders>
              <w:top w:val="nil"/>
              <w:left w:val="nil"/>
              <w:bottom w:val="nil"/>
              <w:right w:val="nil"/>
            </w:tcBorders>
            <w:shd w:val="clear" w:color="auto" w:fill="auto"/>
            <w:vAlign w:val="bottom"/>
          </w:tcPr>
          <w:p w14:paraId="52FA65FE" w14:textId="77777777" w:rsidR="00CB7D4D" w:rsidRPr="005B35F4" w:rsidRDefault="00CB7D4D" w:rsidP="0034622E">
            <w:pPr>
              <w:jc w:val="right"/>
              <w:rPr>
                <w:rFonts w:ascii="Arial" w:hAnsi="Arial" w:cs="Arial"/>
                <w:color w:val="000000"/>
                <w:sz w:val="17"/>
                <w:szCs w:val="17"/>
              </w:rPr>
            </w:pPr>
            <w:r w:rsidRPr="00F959D0">
              <w:rPr>
                <w:rFonts w:ascii="Arial" w:hAnsi="Arial" w:cs="Arial"/>
                <w:color w:val="000000"/>
                <w:sz w:val="17"/>
                <w:szCs w:val="17"/>
              </w:rPr>
              <w:t xml:space="preserve"> 306.450 </w:t>
            </w:r>
          </w:p>
        </w:tc>
        <w:tc>
          <w:tcPr>
            <w:tcW w:w="640" w:type="pct"/>
            <w:tcBorders>
              <w:top w:val="nil"/>
              <w:left w:val="nil"/>
              <w:bottom w:val="nil"/>
              <w:right w:val="nil"/>
            </w:tcBorders>
            <w:shd w:val="clear" w:color="auto" w:fill="auto"/>
            <w:vAlign w:val="bottom"/>
          </w:tcPr>
          <w:p w14:paraId="6B27B63C" w14:textId="77777777" w:rsidR="00CB7D4D" w:rsidRPr="005B35F4" w:rsidRDefault="00CB7D4D" w:rsidP="0034622E">
            <w:pPr>
              <w:jc w:val="right"/>
              <w:rPr>
                <w:rFonts w:ascii="Arial" w:hAnsi="Arial" w:cs="Arial"/>
                <w:color w:val="000000"/>
                <w:sz w:val="17"/>
                <w:szCs w:val="17"/>
              </w:rPr>
            </w:pPr>
            <w:r w:rsidRPr="00F959D0">
              <w:rPr>
                <w:rFonts w:ascii="Arial" w:hAnsi="Arial" w:cs="Arial"/>
                <w:color w:val="000000"/>
                <w:sz w:val="17"/>
                <w:szCs w:val="17"/>
              </w:rPr>
              <w:t xml:space="preserve"> 563.359 </w:t>
            </w:r>
          </w:p>
        </w:tc>
        <w:tc>
          <w:tcPr>
            <w:tcW w:w="603" w:type="pct"/>
            <w:tcBorders>
              <w:top w:val="nil"/>
              <w:left w:val="nil"/>
              <w:bottom w:val="nil"/>
              <w:right w:val="nil"/>
            </w:tcBorders>
            <w:shd w:val="clear" w:color="auto" w:fill="auto"/>
            <w:vAlign w:val="bottom"/>
          </w:tcPr>
          <w:p w14:paraId="6D870A63" w14:textId="77777777" w:rsidR="00CB7D4D" w:rsidRPr="005B35F4" w:rsidRDefault="00CB7D4D" w:rsidP="0034622E">
            <w:pPr>
              <w:jc w:val="right"/>
              <w:rPr>
                <w:rFonts w:ascii="Arial" w:hAnsi="Arial" w:cs="Arial"/>
                <w:color w:val="000000"/>
                <w:sz w:val="17"/>
                <w:szCs w:val="17"/>
              </w:rPr>
            </w:pPr>
            <w:r w:rsidRPr="00F959D0">
              <w:rPr>
                <w:rFonts w:ascii="Arial" w:hAnsi="Arial" w:cs="Arial"/>
                <w:color w:val="000000"/>
                <w:sz w:val="17"/>
                <w:szCs w:val="17"/>
              </w:rPr>
              <w:t xml:space="preserve"> 1.248.881 </w:t>
            </w:r>
          </w:p>
        </w:tc>
      </w:tr>
      <w:tr w:rsidR="00CB7D4D" w:rsidRPr="005B35F4" w14:paraId="7116BA2E" w14:textId="77777777" w:rsidTr="0034622E">
        <w:trPr>
          <w:trHeight w:val="261"/>
        </w:trPr>
        <w:tc>
          <w:tcPr>
            <w:tcW w:w="1517" w:type="pct"/>
            <w:vAlign w:val="bottom"/>
          </w:tcPr>
          <w:p w14:paraId="3DF254A5" w14:textId="77777777" w:rsidR="00CB7D4D" w:rsidRPr="005B35F4" w:rsidRDefault="00CB7D4D" w:rsidP="0034622E">
            <w:pPr>
              <w:tabs>
                <w:tab w:val="right" w:pos="1202"/>
              </w:tabs>
              <w:spacing w:line="240" w:lineRule="exact"/>
              <w:outlineLvl w:val="0"/>
              <w:rPr>
                <w:rFonts w:ascii="Arial" w:hAnsi="Arial" w:cs="Arial"/>
                <w:color w:val="000000" w:themeColor="text1"/>
                <w:spacing w:val="-2"/>
                <w:sz w:val="17"/>
                <w:szCs w:val="17"/>
              </w:rPr>
            </w:pPr>
            <w:r w:rsidRPr="005B35F4">
              <w:rPr>
                <w:rFonts w:ascii="Arial" w:hAnsi="Arial" w:cs="Arial"/>
                <w:color w:val="000000" w:themeColor="text1"/>
                <w:spacing w:val="-2"/>
                <w:sz w:val="17"/>
                <w:szCs w:val="17"/>
              </w:rPr>
              <w:t>Krediti ostalim korisnicima</w:t>
            </w:r>
          </w:p>
        </w:tc>
        <w:tc>
          <w:tcPr>
            <w:tcW w:w="551" w:type="pct"/>
            <w:tcBorders>
              <w:top w:val="nil"/>
              <w:left w:val="nil"/>
              <w:bottom w:val="nil"/>
              <w:right w:val="nil"/>
            </w:tcBorders>
            <w:shd w:val="clear" w:color="auto" w:fill="auto"/>
            <w:vAlign w:val="bottom"/>
          </w:tcPr>
          <w:p w14:paraId="14A607E6" w14:textId="77777777" w:rsidR="00CB7D4D" w:rsidRPr="005B35F4" w:rsidRDefault="00CB7D4D" w:rsidP="0034622E">
            <w:pPr>
              <w:jc w:val="right"/>
              <w:rPr>
                <w:rFonts w:ascii="Arial" w:hAnsi="Arial" w:cs="Arial"/>
                <w:color w:val="000000"/>
                <w:sz w:val="17"/>
                <w:szCs w:val="17"/>
              </w:rPr>
            </w:pPr>
            <w:r w:rsidRPr="00F959D0">
              <w:rPr>
                <w:rFonts w:ascii="Arial" w:hAnsi="Arial" w:cs="Arial"/>
                <w:color w:val="000000"/>
                <w:sz w:val="17"/>
                <w:szCs w:val="17"/>
              </w:rPr>
              <w:t xml:space="preserve"> 271.161 </w:t>
            </w:r>
          </w:p>
        </w:tc>
        <w:tc>
          <w:tcPr>
            <w:tcW w:w="546" w:type="pct"/>
            <w:tcBorders>
              <w:top w:val="nil"/>
              <w:left w:val="nil"/>
              <w:bottom w:val="nil"/>
              <w:right w:val="nil"/>
            </w:tcBorders>
            <w:shd w:val="clear" w:color="auto" w:fill="auto"/>
            <w:vAlign w:val="bottom"/>
          </w:tcPr>
          <w:p w14:paraId="4089C0BF" w14:textId="77777777" w:rsidR="00CB7D4D" w:rsidRPr="005B35F4" w:rsidRDefault="00CB7D4D" w:rsidP="0034622E">
            <w:pPr>
              <w:jc w:val="right"/>
              <w:rPr>
                <w:rFonts w:ascii="Arial" w:hAnsi="Arial" w:cs="Arial"/>
                <w:color w:val="000000"/>
                <w:sz w:val="17"/>
                <w:szCs w:val="17"/>
              </w:rPr>
            </w:pPr>
            <w:r w:rsidRPr="00F959D0">
              <w:rPr>
                <w:rFonts w:ascii="Arial" w:hAnsi="Arial" w:cs="Arial"/>
                <w:color w:val="000000"/>
                <w:sz w:val="17"/>
                <w:szCs w:val="17"/>
              </w:rPr>
              <w:t xml:space="preserve"> 52.397 </w:t>
            </w:r>
          </w:p>
        </w:tc>
        <w:tc>
          <w:tcPr>
            <w:tcW w:w="572" w:type="pct"/>
            <w:tcBorders>
              <w:top w:val="nil"/>
              <w:left w:val="nil"/>
              <w:bottom w:val="nil"/>
              <w:right w:val="nil"/>
            </w:tcBorders>
            <w:shd w:val="clear" w:color="auto" w:fill="auto"/>
            <w:vAlign w:val="bottom"/>
          </w:tcPr>
          <w:p w14:paraId="7FB43015" w14:textId="77777777" w:rsidR="00CB7D4D" w:rsidRPr="005B35F4" w:rsidRDefault="00CB7D4D" w:rsidP="0034622E">
            <w:pPr>
              <w:jc w:val="right"/>
              <w:rPr>
                <w:rFonts w:ascii="Arial" w:hAnsi="Arial" w:cs="Arial"/>
                <w:color w:val="000000"/>
                <w:sz w:val="17"/>
                <w:szCs w:val="17"/>
              </w:rPr>
            </w:pPr>
            <w:r w:rsidRPr="00F959D0">
              <w:rPr>
                <w:rFonts w:ascii="Arial" w:hAnsi="Arial" w:cs="Arial"/>
                <w:color w:val="000000"/>
                <w:sz w:val="17"/>
                <w:szCs w:val="17"/>
              </w:rPr>
              <w:t xml:space="preserve"> 286.532 </w:t>
            </w:r>
          </w:p>
        </w:tc>
        <w:tc>
          <w:tcPr>
            <w:tcW w:w="570" w:type="pct"/>
            <w:tcBorders>
              <w:top w:val="nil"/>
              <w:left w:val="nil"/>
              <w:bottom w:val="nil"/>
              <w:right w:val="nil"/>
            </w:tcBorders>
            <w:shd w:val="clear" w:color="auto" w:fill="auto"/>
            <w:vAlign w:val="bottom"/>
          </w:tcPr>
          <w:p w14:paraId="3EA58785" w14:textId="77777777" w:rsidR="00CB7D4D" w:rsidRPr="005B35F4" w:rsidRDefault="00CB7D4D" w:rsidP="0034622E">
            <w:pPr>
              <w:jc w:val="right"/>
              <w:rPr>
                <w:rFonts w:ascii="Arial" w:hAnsi="Arial" w:cs="Arial"/>
                <w:color w:val="000000"/>
                <w:sz w:val="17"/>
                <w:szCs w:val="17"/>
              </w:rPr>
            </w:pPr>
            <w:r w:rsidRPr="00F959D0">
              <w:rPr>
                <w:rFonts w:ascii="Arial" w:hAnsi="Arial" w:cs="Arial"/>
                <w:color w:val="000000"/>
                <w:sz w:val="17"/>
                <w:szCs w:val="17"/>
              </w:rPr>
              <w:t xml:space="preserve"> 586.168 </w:t>
            </w:r>
          </w:p>
        </w:tc>
        <w:tc>
          <w:tcPr>
            <w:tcW w:w="640" w:type="pct"/>
            <w:tcBorders>
              <w:top w:val="nil"/>
              <w:left w:val="nil"/>
              <w:bottom w:val="nil"/>
              <w:right w:val="nil"/>
            </w:tcBorders>
            <w:shd w:val="clear" w:color="auto" w:fill="auto"/>
            <w:vAlign w:val="bottom"/>
          </w:tcPr>
          <w:p w14:paraId="6F4CD6C0" w14:textId="77777777" w:rsidR="00CB7D4D" w:rsidRPr="005B35F4" w:rsidRDefault="00CB7D4D" w:rsidP="0034622E">
            <w:pPr>
              <w:jc w:val="right"/>
              <w:rPr>
                <w:rFonts w:ascii="Arial" w:hAnsi="Arial" w:cs="Arial"/>
                <w:color w:val="000000"/>
                <w:sz w:val="17"/>
                <w:szCs w:val="17"/>
              </w:rPr>
            </w:pPr>
            <w:r w:rsidRPr="00F959D0">
              <w:rPr>
                <w:rFonts w:ascii="Arial" w:hAnsi="Arial" w:cs="Arial"/>
                <w:color w:val="000000"/>
                <w:sz w:val="17"/>
                <w:szCs w:val="17"/>
              </w:rPr>
              <w:t xml:space="preserve"> 1.154.938 </w:t>
            </w:r>
          </w:p>
        </w:tc>
        <w:tc>
          <w:tcPr>
            <w:tcW w:w="603" w:type="pct"/>
            <w:tcBorders>
              <w:top w:val="nil"/>
              <w:left w:val="nil"/>
              <w:bottom w:val="nil"/>
              <w:right w:val="nil"/>
            </w:tcBorders>
            <w:shd w:val="clear" w:color="auto" w:fill="auto"/>
            <w:vAlign w:val="bottom"/>
          </w:tcPr>
          <w:p w14:paraId="71D770FE" w14:textId="77777777" w:rsidR="00CB7D4D" w:rsidRPr="005B35F4" w:rsidRDefault="00CB7D4D" w:rsidP="0034622E">
            <w:pPr>
              <w:jc w:val="right"/>
              <w:rPr>
                <w:rFonts w:ascii="Arial" w:hAnsi="Arial" w:cs="Arial"/>
                <w:color w:val="000000"/>
                <w:sz w:val="17"/>
                <w:szCs w:val="17"/>
              </w:rPr>
            </w:pPr>
            <w:r w:rsidRPr="00F959D0">
              <w:rPr>
                <w:rFonts w:ascii="Arial" w:hAnsi="Arial" w:cs="Arial"/>
                <w:color w:val="000000"/>
                <w:sz w:val="17"/>
                <w:szCs w:val="17"/>
              </w:rPr>
              <w:t xml:space="preserve"> 2.351.196 </w:t>
            </w:r>
          </w:p>
        </w:tc>
      </w:tr>
      <w:tr w:rsidR="00CB7D4D" w:rsidRPr="005B35F4" w14:paraId="37D3C736" w14:textId="77777777" w:rsidTr="0034622E">
        <w:trPr>
          <w:trHeight w:val="145"/>
        </w:trPr>
        <w:tc>
          <w:tcPr>
            <w:tcW w:w="1517" w:type="pct"/>
            <w:vAlign w:val="bottom"/>
          </w:tcPr>
          <w:p w14:paraId="0FF164EF" w14:textId="77777777" w:rsidR="00CB7D4D" w:rsidRPr="005B35F4" w:rsidRDefault="00CB7D4D" w:rsidP="0034622E">
            <w:pPr>
              <w:tabs>
                <w:tab w:val="right" w:pos="1202"/>
              </w:tabs>
              <w:spacing w:line="240" w:lineRule="exact"/>
              <w:outlineLvl w:val="0"/>
              <w:rPr>
                <w:rFonts w:ascii="Arial" w:hAnsi="Arial" w:cs="Arial"/>
                <w:color w:val="000000" w:themeColor="text1"/>
                <w:spacing w:val="-2"/>
                <w:sz w:val="17"/>
                <w:szCs w:val="17"/>
              </w:rPr>
            </w:pPr>
            <w:r w:rsidRPr="005B35F4">
              <w:rPr>
                <w:rFonts w:ascii="Arial" w:hAnsi="Arial" w:cs="Arial"/>
                <w:color w:val="000000" w:themeColor="text1"/>
                <w:sz w:val="17"/>
                <w:szCs w:val="17"/>
              </w:rPr>
              <w:t>Financijska imovina po fer vrijednosti kroz dobit ili gubitak</w:t>
            </w:r>
          </w:p>
        </w:tc>
        <w:tc>
          <w:tcPr>
            <w:tcW w:w="551" w:type="pct"/>
            <w:tcBorders>
              <w:top w:val="nil"/>
              <w:left w:val="nil"/>
              <w:bottom w:val="nil"/>
              <w:right w:val="nil"/>
            </w:tcBorders>
            <w:shd w:val="clear" w:color="auto" w:fill="auto"/>
            <w:vAlign w:val="bottom"/>
          </w:tcPr>
          <w:p w14:paraId="3AB9DFCB" w14:textId="77777777" w:rsidR="00CB7D4D" w:rsidRPr="005B35F4" w:rsidRDefault="00CB7D4D" w:rsidP="0034622E">
            <w:pPr>
              <w:jc w:val="right"/>
              <w:rPr>
                <w:rFonts w:ascii="Arial" w:hAnsi="Arial" w:cs="Arial"/>
                <w:color w:val="000000"/>
                <w:sz w:val="17"/>
                <w:szCs w:val="17"/>
              </w:rPr>
            </w:pPr>
            <w:r w:rsidRPr="00F959D0">
              <w:rPr>
                <w:rFonts w:ascii="Arial" w:hAnsi="Arial" w:cs="Arial"/>
                <w:color w:val="000000"/>
                <w:sz w:val="17"/>
                <w:szCs w:val="17"/>
              </w:rPr>
              <w:t xml:space="preserve"> 42 </w:t>
            </w:r>
          </w:p>
        </w:tc>
        <w:tc>
          <w:tcPr>
            <w:tcW w:w="546" w:type="pct"/>
            <w:tcBorders>
              <w:top w:val="nil"/>
              <w:left w:val="nil"/>
              <w:bottom w:val="nil"/>
              <w:right w:val="nil"/>
            </w:tcBorders>
            <w:shd w:val="clear" w:color="auto" w:fill="auto"/>
            <w:vAlign w:val="bottom"/>
          </w:tcPr>
          <w:p w14:paraId="07CB46B7" w14:textId="77777777" w:rsidR="00CB7D4D" w:rsidRPr="005B35F4" w:rsidRDefault="00CB7D4D" w:rsidP="0034622E">
            <w:pPr>
              <w:jc w:val="right"/>
              <w:rPr>
                <w:rFonts w:ascii="Arial" w:hAnsi="Arial" w:cs="Arial"/>
                <w:color w:val="000000"/>
                <w:sz w:val="17"/>
                <w:szCs w:val="17"/>
              </w:rPr>
            </w:pPr>
            <w:r w:rsidRPr="00F959D0">
              <w:rPr>
                <w:rFonts w:ascii="Arial" w:hAnsi="Arial" w:cs="Arial"/>
                <w:color w:val="000000"/>
                <w:sz w:val="17"/>
                <w:szCs w:val="17"/>
              </w:rPr>
              <w:t xml:space="preserve"> 11 </w:t>
            </w:r>
          </w:p>
        </w:tc>
        <w:tc>
          <w:tcPr>
            <w:tcW w:w="572" w:type="pct"/>
            <w:tcBorders>
              <w:top w:val="nil"/>
              <w:left w:val="nil"/>
              <w:bottom w:val="nil"/>
              <w:right w:val="nil"/>
            </w:tcBorders>
            <w:shd w:val="clear" w:color="auto" w:fill="auto"/>
            <w:vAlign w:val="bottom"/>
          </w:tcPr>
          <w:p w14:paraId="1C649766" w14:textId="77777777" w:rsidR="00CB7D4D" w:rsidRPr="005B35F4" w:rsidRDefault="00CB7D4D" w:rsidP="0034622E">
            <w:pPr>
              <w:jc w:val="right"/>
              <w:rPr>
                <w:rFonts w:ascii="Arial" w:hAnsi="Arial" w:cs="Arial"/>
                <w:color w:val="000000"/>
                <w:sz w:val="17"/>
                <w:szCs w:val="17"/>
              </w:rPr>
            </w:pPr>
            <w:r w:rsidRPr="00F959D0">
              <w:rPr>
                <w:rFonts w:ascii="Arial" w:hAnsi="Arial" w:cs="Arial"/>
                <w:color w:val="000000"/>
                <w:sz w:val="17"/>
                <w:szCs w:val="17"/>
              </w:rPr>
              <w:t xml:space="preserve">  -  </w:t>
            </w:r>
          </w:p>
        </w:tc>
        <w:tc>
          <w:tcPr>
            <w:tcW w:w="570" w:type="pct"/>
            <w:tcBorders>
              <w:top w:val="nil"/>
              <w:left w:val="nil"/>
              <w:bottom w:val="nil"/>
              <w:right w:val="nil"/>
            </w:tcBorders>
            <w:shd w:val="clear" w:color="auto" w:fill="auto"/>
            <w:vAlign w:val="bottom"/>
          </w:tcPr>
          <w:p w14:paraId="5A10F161" w14:textId="77777777" w:rsidR="00CB7D4D" w:rsidRPr="005B35F4" w:rsidRDefault="00CB7D4D" w:rsidP="0034622E">
            <w:pPr>
              <w:jc w:val="right"/>
              <w:rPr>
                <w:rFonts w:ascii="Arial" w:hAnsi="Arial" w:cs="Arial"/>
                <w:color w:val="000000"/>
                <w:sz w:val="17"/>
                <w:szCs w:val="17"/>
              </w:rPr>
            </w:pPr>
            <w:r w:rsidRPr="00F959D0">
              <w:rPr>
                <w:rFonts w:ascii="Arial" w:hAnsi="Arial" w:cs="Arial"/>
                <w:color w:val="000000"/>
                <w:sz w:val="17"/>
                <w:szCs w:val="17"/>
              </w:rPr>
              <w:t xml:space="preserve"> 33.698 </w:t>
            </w:r>
          </w:p>
        </w:tc>
        <w:tc>
          <w:tcPr>
            <w:tcW w:w="640" w:type="pct"/>
            <w:tcBorders>
              <w:top w:val="nil"/>
              <w:left w:val="nil"/>
              <w:bottom w:val="nil"/>
              <w:right w:val="nil"/>
            </w:tcBorders>
            <w:shd w:val="clear" w:color="auto" w:fill="auto"/>
            <w:vAlign w:val="bottom"/>
          </w:tcPr>
          <w:p w14:paraId="57090176" w14:textId="77777777" w:rsidR="00CB7D4D" w:rsidRPr="005B35F4" w:rsidRDefault="00CB7D4D" w:rsidP="0034622E">
            <w:pPr>
              <w:jc w:val="right"/>
              <w:rPr>
                <w:rFonts w:ascii="Arial" w:hAnsi="Arial" w:cs="Arial"/>
                <w:color w:val="000000"/>
                <w:sz w:val="17"/>
                <w:szCs w:val="17"/>
              </w:rPr>
            </w:pPr>
            <w:r w:rsidRPr="00F959D0">
              <w:rPr>
                <w:rFonts w:ascii="Arial" w:hAnsi="Arial" w:cs="Arial"/>
                <w:color w:val="000000"/>
                <w:sz w:val="17"/>
                <w:szCs w:val="17"/>
              </w:rPr>
              <w:t xml:space="preserve"> 19.171 </w:t>
            </w:r>
          </w:p>
        </w:tc>
        <w:tc>
          <w:tcPr>
            <w:tcW w:w="603" w:type="pct"/>
            <w:tcBorders>
              <w:top w:val="nil"/>
              <w:left w:val="nil"/>
              <w:bottom w:val="nil"/>
              <w:right w:val="nil"/>
            </w:tcBorders>
            <w:shd w:val="clear" w:color="auto" w:fill="auto"/>
            <w:vAlign w:val="bottom"/>
          </w:tcPr>
          <w:p w14:paraId="0F89E2F0" w14:textId="77777777" w:rsidR="00CB7D4D" w:rsidRPr="005B35F4" w:rsidRDefault="00CB7D4D" w:rsidP="0034622E">
            <w:pPr>
              <w:jc w:val="right"/>
              <w:rPr>
                <w:rFonts w:ascii="Arial" w:hAnsi="Arial" w:cs="Arial"/>
                <w:color w:val="000000"/>
                <w:sz w:val="17"/>
                <w:szCs w:val="17"/>
              </w:rPr>
            </w:pPr>
            <w:r w:rsidRPr="00F959D0">
              <w:rPr>
                <w:rFonts w:ascii="Arial" w:hAnsi="Arial" w:cs="Arial"/>
                <w:color w:val="000000"/>
                <w:sz w:val="17"/>
                <w:szCs w:val="17"/>
              </w:rPr>
              <w:t xml:space="preserve"> 52.922 </w:t>
            </w:r>
          </w:p>
        </w:tc>
      </w:tr>
      <w:tr w:rsidR="00CB7D4D" w:rsidRPr="005B35F4" w14:paraId="69996876" w14:textId="77777777" w:rsidTr="0034622E">
        <w:trPr>
          <w:trHeight w:val="145"/>
        </w:trPr>
        <w:tc>
          <w:tcPr>
            <w:tcW w:w="1517" w:type="pct"/>
            <w:vAlign w:val="bottom"/>
          </w:tcPr>
          <w:p w14:paraId="528E3B08" w14:textId="77777777" w:rsidR="00CB7D4D" w:rsidRPr="005B35F4" w:rsidRDefault="00CB7D4D" w:rsidP="0034622E">
            <w:pPr>
              <w:tabs>
                <w:tab w:val="right" w:pos="1202"/>
              </w:tabs>
              <w:spacing w:line="240" w:lineRule="exact"/>
              <w:outlineLvl w:val="0"/>
              <w:rPr>
                <w:rFonts w:ascii="Arial" w:hAnsi="Arial" w:cs="Arial"/>
                <w:color w:val="000000" w:themeColor="text1"/>
                <w:spacing w:val="-2"/>
                <w:sz w:val="17"/>
                <w:szCs w:val="17"/>
              </w:rPr>
            </w:pPr>
            <w:r w:rsidRPr="005B35F4">
              <w:rPr>
                <w:rFonts w:ascii="Arial" w:hAnsi="Arial" w:cs="Arial"/>
                <w:color w:val="000000" w:themeColor="text1"/>
                <w:sz w:val="17"/>
                <w:szCs w:val="17"/>
              </w:rPr>
              <w:t>Financijska imovina po fer vrijednosti kroz ostalu sveobuhvatnu dobit</w:t>
            </w:r>
          </w:p>
        </w:tc>
        <w:tc>
          <w:tcPr>
            <w:tcW w:w="551" w:type="pct"/>
            <w:tcBorders>
              <w:top w:val="nil"/>
              <w:left w:val="nil"/>
              <w:bottom w:val="nil"/>
              <w:right w:val="nil"/>
            </w:tcBorders>
            <w:shd w:val="clear" w:color="auto" w:fill="auto"/>
            <w:vAlign w:val="bottom"/>
          </w:tcPr>
          <w:p w14:paraId="357B88A2" w14:textId="77777777" w:rsidR="00CB7D4D" w:rsidRPr="005B35F4" w:rsidRDefault="00CB7D4D" w:rsidP="0034622E">
            <w:pPr>
              <w:jc w:val="right"/>
              <w:rPr>
                <w:rFonts w:ascii="Arial" w:hAnsi="Arial" w:cs="Arial"/>
                <w:color w:val="000000"/>
                <w:sz w:val="17"/>
                <w:szCs w:val="17"/>
              </w:rPr>
            </w:pPr>
            <w:r w:rsidRPr="00F959D0">
              <w:rPr>
                <w:rFonts w:ascii="Arial" w:hAnsi="Arial" w:cs="Arial"/>
                <w:color w:val="000000"/>
                <w:sz w:val="17"/>
                <w:szCs w:val="17"/>
              </w:rPr>
              <w:t xml:space="preserve"> 225.735 </w:t>
            </w:r>
          </w:p>
        </w:tc>
        <w:tc>
          <w:tcPr>
            <w:tcW w:w="546" w:type="pct"/>
            <w:tcBorders>
              <w:top w:val="nil"/>
              <w:left w:val="nil"/>
              <w:bottom w:val="nil"/>
              <w:right w:val="nil"/>
            </w:tcBorders>
            <w:shd w:val="clear" w:color="auto" w:fill="auto"/>
            <w:vAlign w:val="bottom"/>
          </w:tcPr>
          <w:p w14:paraId="5F3589D0" w14:textId="77777777" w:rsidR="00CB7D4D" w:rsidRPr="005B35F4" w:rsidRDefault="00CB7D4D" w:rsidP="0034622E">
            <w:pPr>
              <w:jc w:val="right"/>
              <w:rPr>
                <w:rFonts w:ascii="Arial" w:hAnsi="Arial" w:cs="Arial"/>
                <w:color w:val="000000"/>
                <w:sz w:val="17"/>
                <w:szCs w:val="17"/>
              </w:rPr>
            </w:pPr>
            <w:r w:rsidRPr="00F959D0">
              <w:rPr>
                <w:rFonts w:ascii="Arial" w:hAnsi="Arial" w:cs="Arial"/>
                <w:color w:val="000000"/>
                <w:sz w:val="17"/>
                <w:szCs w:val="17"/>
              </w:rPr>
              <w:t xml:space="preserve"> 3.123 </w:t>
            </w:r>
          </w:p>
        </w:tc>
        <w:tc>
          <w:tcPr>
            <w:tcW w:w="572" w:type="pct"/>
            <w:tcBorders>
              <w:top w:val="nil"/>
              <w:left w:val="nil"/>
              <w:bottom w:val="nil"/>
              <w:right w:val="nil"/>
            </w:tcBorders>
            <w:shd w:val="clear" w:color="auto" w:fill="auto"/>
            <w:vAlign w:val="bottom"/>
          </w:tcPr>
          <w:p w14:paraId="23F4DE09" w14:textId="77777777" w:rsidR="00CB7D4D" w:rsidRPr="005B35F4" w:rsidRDefault="00CB7D4D" w:rsidP="0034622E">
            <w:pPr>
              <w:jc w:val="right"/>
              <w:rPr>
                <w:rFonts w:ascii="Arial" w:hAnsi="Arial" w:cs="Arial"/>
                <w:color w:val="000000"/>
                <w:sz w:val="17"/>
                <w:szCs w:val="17"/>
              </w:rPr>
            </w:pPr>
            <w:r w:rsidRPr="00F959D0">
              <w:rPr>
                <w:rFonts w:ascii="Arial" w:hAnsi="Arial" w:cs="Arial"/>
                <w:color w:val="000000"/>
                <w:sz w:val="17"/>
                <w:szCs w:val="17"/>
              </w:rPr>
              <w:t xml:space="preserve">  -  </w:t>
            </w:r>
          </w:p>
        </w:tc>
        <w:tc>
          <w:tcPr>
            <w:tcW w:w="570" w:type="pct"/>
            <w:tcBorders>
              <w:top w:val="nil"/>
              <w:left w:val="nil"/>
              <w:bottom w:val="nil"/>
              <w:right w:val="nil"/>
            </w:tcBorders>
            <w:shd w:val="clear" w:color="auto" w:fill="auto"/>
            <w:vAlign w:val="bottom"/>
          </w:tcPr>
          <w:p w14:paraId="03F6C136" w14:textId="77777777" w:rsidR="00CB7D4D" w:rsidRPr="005B35F4" w:rsidRDefault="00CB7D4D" w:rsidP="0034622E">
            <w:pPr>
              <w:jc w:val="right"/>
              <w:rPr>
                <w:rFonts w:ascii="Arial" w:hAnsi="Arial" w:cs="Arial"/>
                <w:color w:val="000000"/>
                <w:sz w:val="17"/>
                <w:szCs w:val="17"/>
              </w:rPr>
            </w:pPr>
            <w:r w:rsidRPr="00F959D0">
              <w:rPr>
                <w:rFonts w:ascii="Arial" w:hAnsi="Arial" w:cs="Arial"/>
                <w:color w:val="000000"/>
                <w:sz w:val="17"/>
                <w:szCs w:val="17"/>
              </w:rPr>
              <w:t xml:space="preserve">  -  </w:t>
            </w:r>
          </w:p>
        </w:tc>
        <w:tc>
          <w:tcPr>
            <w:tcW w:w="640" w:type="pct"/>
            <w:tcBorders>
              <w:top w:val="nil"/>
              <w:left w:val="nil"/>
              <w:bottom w:val="nil"/>
              <w:right w:val="nil"/>
            </w:tcBorders>
            <w:shd w:val="clear" w:color="auto" w:fill="auto"/>
            <w:vAlign w:val="bottom"/>
          </w:tcPr>
          <w:p w14:paraId="2C5EE21A" w14:textId="77777777" w:rsidR="00CB7D4D" w:rsidRPr="005B35F4" w:rsidRDefault="00CB7D4D" w:rsidP="0034622E">
            <w:pPr>
              <w:jc w:val="right"/>
              <w:rPr>
                <w:rFonts w:ascii="Arial" w:hAnsi="Arial" w:cs="Arial"/>
                <w:color w:val="000000"/>
                <w:sz w:val="17"/>
                <w:szCs w:val="17"/>
              </w:rPr>
            </w:pPr>
            <w:r w:rsidRPr="00F959D0">
              <w:rPr>
                <w:rFonts w:ascii="Arial" w:hAnsi="Arial" w:cs="Arial"/>
                <w:color w:val="000000"/>
                <w:sz w:val="17"/>
                <w:szCs w:val="17"/>
              </w:rPr>
              <w:t xml:space="preserve">  -  </w:t>
            </w:r>
          </w:p>
        </w:tc>
        <w:tc>
          <w:tcPr>
            <w:tcW w:w="603" w:type="pct"/>
            <w:tcBorders>
              <w:top w:val="nil"/>
              <w:left w:val="nil"/>
              <w:bottom w:val="nil"/>
              <w:right w:val="nil"/>
            </w:tcBorders>
            <w:shd w:val="clear" w:color="auto" w:fill="auto"/>
            <w:vAlign w:val="bottom"/>
          </w:tcPr>
          <w:p w14:paraId="4F14BCBC" w14:textId="77777777" w:rsidR="00CB7D4D" w:rsidRPr="005B35F4" w:rsidRDefault="00CB7D4D" w:rsidP="0034622E">
            <w:pPr>
              <w:jc w:val="right"/>
              <w:rPr>
                <w:rFonts w:ascii="Arial" w:hAnsi="Arial" w:cs="Arial"/>
                <w:color w:val="000000"/>
                <w:sz w:val="17"/>
                <w:szCs w:val="17"/>
              </w:rPr>
            </w:pPr>
            <w:r w:rsidRPr="00F959D0">
              <w:rPr>
                <w:rFonts w:ascii="Arial" w:hAnsi="Arial" w:cs="Arial"/>
                <w:color w:val="000000"/>
                <w:sz w:val="17"/>
                <w:szCs w:val="17"/>
              </w:rPr>
              <w:t xml:space="preserve"> 228.858 </w:t>
            </w:r>
          </w:p>
        </w:tc>
      </w:tr>
      <w:tr w:rsidR="00CB7D4D" w:rsidRPr="005B35F4" w14:paraId="5C137430" w14:textId="77777777" w:rsidTr="0034622E">
        <w:trPr>
          <w:trHeight w:val="145"/>
        </w:trPr>
        <w:tc>
          <w:tcPr>
            <w:tcW w:w="1517" w:type="pct"/>
            <w:vAlign w:val="bottom"/>
          </w:tcPr>
          <w:p w14:paraId="3D4973D9" w14:textId="77777777" w:rsidR="00CB7D4D" w:rsidRPr="005B35F4" w:rsidRDefault="00CB7D4D" w:rsidP="0034622E">
            <w:pPr>
              <w:tabs>
                <w:tab w:val="right" w:pos="1202"/>
              </w:tabs>
              <w:spacing w:line="240" w:lineRule="exact"/>
              <w:outlineLvl w:val="0"/>
              <w:rPr>
                <w:rFonts w:ascii="Arial" w:hAnsi="Arial" w:cs="Arial"/>
                <w:color w:val="000000" w:themeColor="text1"/>
                <w:spacing w:val="-2"/>
                <w:sz w:val="17"/>
                <w:szCs w:val="17"/>
              </w:rPr>
            </w:pPr>
            <w:r w:rsidRPr="005B35F4">
              <w:rPr>
                <w:rFonts w:ascii="Arial" w:hAnsi="Arial" w:cs="Arial"/>
                <w:color w:val="000000" w:themeColor="text1"/>
                <w:spacing w:val="-2"/>
                <w:sz w:val="17"/>
                <w:szCs w:val="17"/>
              </w:rPr>
              <w:t>Ulaganja u ovisna društva</w:t>
            </w:r>
          </w:p>
        </w:tc>
        <w:tc>
          <w:tcPr>
            <w:tcW w:w="551" w:type="pct"/>
            <w:tcBorders>
              <w:top w:val="nil"/>
              <w:left w:val="nil"/>
              <w:bottom w:val="nil"/>
              <w:right w:val="nil"/>
            </w:tcBorders>
            <w:shd w:val="clear" w:color="auto" w:fill="auto"/>
            <w:vAlign w:val="bottom"/>
          </w:tcPr>
          <w:p w14:paraId="45EE24C6" w14:textId="77777777" w:rsidR="00CB7D4D" w:rsidRPr="005B35F4" w:rsidRDefault="00CB7D4D" w:rsidP="0034622E">
            <w:pPr>
              <w:jc w:val="right"/>
              <w:rPr>
                <w:rFonts w:ascii="Arial" w:hAnsi="Arial" w:cs="Arial"/>
                <w:color w:val="000000"/>
                <w:sz w:val="17"/>
                <w:szCs w:val="17"/>
              </w:rPr>
            </w:pPr>
            <w:r w:rsidRPr="00F959D0">
              <w:rPr>
                <w:rFonts w:ascii="Arial" w:hAnsi="Arial" w:cs="Arial"/>
                <w:color w:val="000000"/>
                <w:sz w:val="17"/>
                <w:szCs w:val="17"/>
              </w:rPr>
              <w:t xml:space="preserve">  -  </w:t>
            </w:r>
          </w:p>
        </w:tc>
        <w:tc>
          <w:tcPr>
            <w:tcW w:w="546" w:type="pct"/>
            <w:tcBorders>
              <w:top w:val="nil"/>
              <w:left w:val="nil"/>
              <w:bottom w:val="nil"/>
              <w:right w:val="nil"/>
            </w:tcBorders>
            <w:shd w:val="clear" w:color="auto" w:fill="auto"/>
            <w:vAlign w:val="bottom"/>
          </w:tcPr>
          <w:p w14:paraId="5C058AB5" w14:textId="77777777" w:rsidR="00CB7D4D" w:rsidRPr="005B35F4" w:rsidRDefault="00CB7D4D" w:rsidP="0034622E">
            <w:pPr>
              <w:jc w:val="right"/>
              <w:rPr>
                <w:rFonts w:ascii="Arial" w:hAnsi="Arial" w:cs="Arial"/>
                <w:color w:val="000000"/>
                <w:sz w:val="17"/>
                <w:szCs w:val="17"/>
              </w:rPr>
            </w:pPr>
            <w:r w:rsidRPr="00F959D0">
              <w:rPr>
                <w:rFonts w:ascii="Arial"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5BA7263B" w14:textId="77777777" w:rsidR="00CB7D4D" w:rsidRPr="005B35F4" w:rsidRDefault="00CB7D4D" w:rsidP="0034622E">
            <w:pPr>
              <w:jc w:val="right"/>
              <w:rPr>
                <w:rFonts w:ascii="Arial" w:hAnsi="Arial" w:cs="Arial"/>
                <w:color w:val="000000"/>
                <w:sz w:val="17"/>
                <w:szCs w:val="17"/>
              </w:rPr>
            </w:pPr>
            <w:r w:rsidRPr="00F959D0">
              <w:rPr>
                <w:rFonts w:ascii="Arial" w:hAnsi="Arial" w:cs="Arial"/>
                <w:color w:val="000000"/>
                <w:sz w:val="17"/>
                <w:szCs w:val="17"/>
              </w:rPr>
              <w:t xml:space="preserve">  -  </w:t>
            </w:r>
          </w:p>
        </w:tc>
        <w:tc>
          <w:tcPr>
            <w:tcW w:w="570" w:type="pct"/>
            <w:tcBorders>
              <w:top w:val="nil"/>
              <w:left w:val="nil"/>
              <w:bottom w:val="nil"/>
              <w:right w:val="nil"/>
            </w:tcBorders>
            <w:shd w:val="clear" w:color="auto" w:fill="auto"/>
            <w:vAlign w:val="bottom"/>
          </w:tcPr>
          <w:p w14:paraId="36729587" w14:textId="77777777" w:rsidR="00CB7D4D" w:rsidRPr="005B35F4" w:rsidRDefault="00CB7D4D" w:rsidP="0034622E">
            <w:pPr>
              <w:jc w:val="right"/>
              <w:rPr>
                <w:rFonts w:ascii="Arial" w:hAnsi="Arial" w:cs="Arial"/>
                <w:color w:val="000000"/>
                <w:sz w:val="17"/>
                <w:szCs w:val="17"/>
              </w:rPr>
            </w:pPr>
            <w:r w:rsidRPr="00F959D0">
              <w:rPr>
                <w:rFonts w:ascii="Arial" w:hAnsi="Arial" w:cs="Arial"/>
                <w:color w:val="000000"/>
                <w:sz w:val="17"/>
                <w:szCs w:val="17"/>
              </w:rPr>
              <w:t xml:space="preserve">  -  </w:t>
            </w:r>
          </w:p>
        </w:tc>
        <w:tc>
          <w:tcPr>
            <w:tcW w:w="640" w:type="pct"/>
            <w:tcBorders>
              <w:top w:val="nil"/>
              <w:left w:val="nil"/>
              <w:bottom w:val="nil"/>
              <w:right w:val="nil"/>
            </w:tcBorders>
            <w:shd w:val="clear" w:color="auto" w:fill="auto"/>
            <w:vAlign w:val="bottom"/>
          </w:tcPr>
          <w:p w14:paraId="64DF2BB1" w14:textId="77777777" w:rsidR="00CB7D4D" w:rsidRPr="005B35F4" w:rsidRDefault="00CB7D4D" w:rsidP="0034622E">
            <w:pPr>
              <w:jc w:val="right"/>
              <w:rPr>
                <w:rFonts w:ascii="Arial" w:hAnsi="Arial" w:cs="Arial"/>
                <w:color w:val="000000"/>
                <w:sz w:val="17"/>
                <w:szCs w:val="17"/>
              </w:rPr>
            </w:pPr>
            <w:r w:rsidRPr="00F959D0">
              <w:rPr>
                <w:rFonts w:ascii="Arial" w:hAnsi="Arial" w:cs="Arial"/>
                <w:color w:val="000000"/>
                <w:sz w:val="17"/>
                <w:szCs w:val="17"/>
              </w:rPr>
              <w:t xml:space="preserve"> 7.449 </w:t>
            </w:r>
          </w:p>
        </w:tc>
        <w:tc>
          <w:tcPr>
            <w:tcW w:w="603" w:type="pct"/>
            <w:tcBorders>
              <w:top w:val="nil"/>
              <w:left w:val="nil"/>
              <w:bottom w:val="nil"/>
              <w:right w:val="nil"/>
            </w:tcBorders>
            <w:shd w:val="clear" w:color="auto" w:fill="auto"/>
            <w:vAlign w:val="bottom"/>
          </w:tcPr>
          <w:p w14:paraId="609C025C" w14:textId="77777777" w:rsidR="00CB7D4D" w:rsidRPr="005B35F4" w:rsidRDefault="00CB7D4D" w:rsidP="0034622E">
            <w:pPr>
              <w:jc w:val="right"/>
              <w:rPr>
                <w:rFonts w:ascii="Arial" w:hAnsi="Arial" w:cs="Arial"/>
                <w:color w:val="000000"/>
                <w:sz w:val="17"/>
                <w:szCs w:val="17"/>
              </w:rPr>
            </w:pPr>
            <w:r w:rsidRPr="00F959D0">
              <w:rPr>
                <w:rFonts w:ascii="Arial" w:hAnsi="Arial" w:cs="Arial"/>
                <w:color w:val="000000"/>
                <w:sz w:val="17"/>
                <w:szCs w:val="17"/>
              </w:rPr>
              <w:t xml:space="preserve"> 7.449 </w:t>
            </w:r>
          </w:p>
        </w:tc>
      </w:tr>
      <w:tr w:rsidR="00CB7D4D" w:rsidRPr="005B35F4" w14:paraId="1DA4E49B" w14:textId="77777777" w:rsidTr="0034622E">
        <w:trPr>
          <w:trHeight w:val="293"/>
        </w:trPr>
        <w:tc>
          <w:tcPr>
            <w:tcW w:w="1517" w:type="pct"/>
            <w:vAlign w:val="bottom"/>
          </w:tcPr>
          <w:p w14:paraId="715D3D6F" w14:textId="77777777" w:rsidR="00CB7D4D" w:rsidRPr="005B35F4" w:rsidRDefault="00CB7D4D" w:rsidP="0034622E">
            <w:pPr>
              <w:tabs>
                <w:tab w:val="right" w:pos="1202"/>
              </w:tabs>
              <w:spacing w:line="240" w:lineRule="exact"/>
              <w:outlineLvl w:val="0"/>
              <w:rPr>
                <w:rFonts w:ascii="Arial" w:hAnsi="Arial" w:cs="Arial"/>
                <w:color w:val="000000" w:themeColor="text1"/>
                <w:sz w:val="17"/>
                <w:szCs w:val="17"/>
              </w:rPr>
            </w:pPr>
            <w:r w:rsidRPr="005B35F4">
              <w:rPr>
                <w:rFonts w:ascii="Arial" w:hAnsi="Arial" w:cs="Arial"/>
                <w:color w:val="000000" w:themeColor="text1"/>
                <w:spacing w:val="-2"/>
                <w:sz w:val="17"/>
                <w:szCs w:val="17"/>
              </w:rPr>
              <w:t>Nekretnine, postrojenja i oprema i nematerijalna imovina</w:t>
            </w:r>
          </w:p>
        </w:tc>
        <w:tc>
          <w:tcPr>
            <w:tcW w:w="551" w:type="pct"/>
            <w:tcBorders>
              <w:top w:val="nil"/>
              <w:left w:val="nil"/>
              <w:bottom w:val="nil"/>
              <w:right w:val="nil"/>
            </w:tcBorders>
            <w:shd w:val="clear" w:color="auto" w:fill="auto"/>
            <w:vAlign w:val="bottom"/>
          </w:tcPr>
          <w:p w14:paraId="210AD006" w14:textId="77777777" w:rsidR="00CB7D4D" w:rsidRPr="005B35F4" w:rsidRDefault="00CB7D4D" w:rsidP="0034622E">
            <w:pPr>
              <w:jc w:val="right"/>
              <w:rPr>
                <w:rFonts w:ascii="Arial" w:hAnsi="Arial" w:cs="Arial"/>
                <w:color w:val="000000"/>
                <w:sz w:val="17"/>
                <w:szCs w:val="17"/>
              </w:rPr>
            </w:pPr>
            <w:r w:rsidRPr="00F959D0">
              <w:rPr>
                <w:rFonts w:ascii="Arial" w:hAnsi="Arial" w:cs="Arial"/>
                <w:color w:val="000000"/>
                <w:sz w:val="17"/>
                <w:szCs w:val="17"/>
              </w:rPr>
              <w:t xml:space="preserve">  -  </w:t>
            </w:r>
          </w:p>
        </w:tc>
        <w:tc>
          <w:tcPr>
            <w:tcW w:w="546" w:type="pct"/>
            <w:tcBorders>
              <w:top w:val="nil"/>
              <w:left w:val="nil"/>
              <w:bottom w:val="nil"/>
              <w:right w:val="nil"/>
            </w:tcBorders>
            <w:shd w:val="clear" w:color="auto" w:fill="auto"/>
            <w:vAlign w:val="bottom"/>
          </w:tcPr>
          <w:p w14:paraId="36DB4408" w14:textId="77777777" w:rsidR="00CB7D4D" w:rsidRPr="005B35F4" w:rsidRDefault="00CB7D4D" w:rsidP="0034622E">
            <w:pPr>
              <w:jc w:val="right"/>
              <w:rPr>
                <w:rFonts w:ascii="Arial" w:hAnsi="Arial" w:cs="Arial"/>
                <w:color w:val="000000"/>
                <w:sz w:val="17"/>
                <w:szCs w:val="17"/>
              </w:rPr>
            </w:pPr>
            <w:r w:rsidRPr="00F959D0">
              <w:rPr>
                <w:rFonts w:ascii="Arial"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14CDB62F" w14:textId="77777777" w:rsidR="00CB7D4D" w:rsidRPr="005B35F4" w:rsidRDefault="00CB7D4D" w:rsidP="0034622E">
            <w:pPr>
              <w:jc w:val="right"/>
              <w:rPr>
                <w:rFonts w:ascii="Arial" w:hAnsi="Arial" w:cs="Arial"/>
                <w:color w:val="000000"/>
                <w:sz w:val="17"/>
                <w:szCs w:val="17"/>
              </w:rPr>
            </w:pPr>
            <w:r w:rsidRPr="00F959D0">
              <w:rPr>
                <w:rFonts w:ascii="Arial" w:hAnsi="Arial" w:cs="Arial"/>
                <w:color w:val="000000"/>
                <w:sz w:val="17"/>
                <w:szCs w:val="17"/>
              </w:rPr>
              <w:t xml:space="preserve">  -  </w:t>
            </w:r>
          </w:p>
        </w:tc>
        <w:tc>
          <w:tcPr>
            <w:tcW w:w="570" w:type="pct"/>
            <w:tcBorders>
              <w:top w:val="nil"/>
              <w:left w:val="nil"/>
              <w:bottom w:val="nil"/>
              <w:right w:val="nil"/>
            </w:tcBorders>
            <w:shd w:val="clear" w:color="auto" w:fill="auto"/>
            <w:vAlign w:val="bottom"/>
          </w:tcPr>
          <w:p w14:paraId="32D2E34B" w14:textId="77777777" w:rsidR="00CB7D4D" w:rsidRPr="005B35F4" w:rsidRDefault="00CB7D4D" w:rsidP="0034622E">
            <w:pPr>
              <w:jc w:val="right"/>
              <w:rPr>
                <w:rFonts w:ascii="Arial" w:hAnsi="Arial" w:cs="Arial"/>
                <w:color w:val="000000"/>
                <w:sz w:val="17"/>
                <w:szCs w:val="17"/>
              </w:rPr>
            </w:pPr>
            <w:r w:rsidRPr="00F959D0">
              <w:rPr>
                <w:rFonts w:ascii="Arial" w:hAnsi="Arial" w:cs="Arial"/>
                <w:color w:val="000000"/>
                <w:sz w:val="17"/>
                <w:szCs w:val="17"/>
              </w:rPr>
              <w:t xml:space="preserve">  -  </w:t>
            </w:r>
          </w:p>
        </w:tc>
        <w:tc>
          <w:tcPr>
            <w:tcW w:w="640" w:type="pct"/>
            <w:tcBorders>
              <w:top w:val="nil"/>
              <w:left w:val="nil"/>
              <w:bottom w:val="nil"/>
              <w:right w:val="nil"/>
            </w:tcBorders>
            <w:shd w:val="clear" w:color="auto" w:fill="auto"/>
            <w:vAlign w:val="bottom"/>
          </w:tcPr>
          <w:p w14:paraId="5F669341" w14:textId="77777777" w:rsidR="00CB7D4D" w:rsidRPr="005B35F4" w:rsidRDefault="00CB7D4D" w:rsidP="0034622E">
            <w:pPr>
              <w:jc w:val="right"/>
              <w:rPr>
                <w:rFonts w:ascii="Arial" w:hAnsi="Arial" w:cs="Arial"/>
                <w:color w:val="000000"/>
                <w:sz w:val="17"/>
                <w:szCs w:val="17"/>
              </w:rPr>
            </w:pPr>
            <w:r w:rsidRPr="00F959D0">
              <w:rPr>
                <w:rFonts w:ascii="Arial" w:hAnsi="Arial" w:cs="Arial"/>
                <w:color w:val="000000"/>
                <w:sz w:val="17"/>
                <w:szCs w:val="17"/>
              </w:rPr>
              <w:t xml:space="preserve"> 4.723 </w:t>
            </w:r>
          </w:p>
        </w:tc>
        <w:tc>
          <w:tcPr>
            <w:tcW w:w="603" w:type="pct"/>
            <w:tcBorders>
              <w:top w:val="nil"/>
              <w:left w:val="nil"/>
              <w:bottom w:val="nil"/>
              <w:right w:val="nil"/>
            </w:tcBorders>
            <w:shd w:val="clear" w:color="auto" w:fill="auto"/>
            <w:vAlign w:val="bottom"/>
          </w:tcPr>
          <w:p w14:paraId="7D2C0ABD" w14:textId="77777777" w:rsidR="00CB7D4D" w:rsidRPr="005B35F4" w:rsidRDefault="00CB7D4D" w:rsidP="0034622E">
            <w:pPr>
              <w:jc w:val="right"/>
              <w:rPr>
                <w:rFonts w:ascii="Arial" w:hAnsi="Arial" w:cs="Arial"/>
                <w:color w:val="000000"/>
                <w:sz w:val="17"/>
                <w:szCs w:val="17"/>
              </w:rPr>
            </w:pPr>
            <w:r w:rsidRPr="00F959D0">
              <w:rPr>
                <w:rFonts w:ascii="Arial" w:hAnsi="Arial" w:cs="Arial"/>
                <w:color w:val="000000"/>
                <w:sz w:val="17"/>
                <w:szCs w:val="17"/>
              </w:rPr>
              <w:t xml:space="preserve"> 4.723 </w:t>
            </w:r>
          </w:p>
        </w:tc>
      </w:tr>
      <w:tr w:rsidR="00CB7D4D" w:rsidRPr="005B35F4" w14:paraId="1B39A280" w14:textId="77777777" w:rsidTr="0034622E">
        <w:trPr>
          <w:trHeight w:val="134"/>
        </w:trPr>
        <w:tc>
          <w:tcPr>
            <w:tcW w:w="1517" w:type="pct"/>
            <w:vAlign w:val="bottom"/>
          </w:tcPr>
          <w:p w14:paraId="59E2D02B" w14:textId="77777777" w:rsidR="00CB7D4D" w:rsidRPr="005B35F4" w:rsidRDefault="00CB7D4D" w:rsidP="0034622E">
            <w:pPr>
              <w:tabs>
                <w:tab w:val="right" w:pos="1202"/>
              </w:tabs>
              <w:spacing w:line="240" w:lineRule="exact"/>
              <w:outlineLvl w:val="0"/>
              <w:rPr>
                <w:rFonts w:ascii="Arial" w:hAnsi="Arial" w:cs="Arial"/>
                <w:color w:val="000000" w:themeColor="text1"/>
                <w:sz w:val="17"/>
                <w:szCs w:val="17"/>
              </w:rPr>
            </w:pPr>
            <w:r w:rsidRPr="005B35F4">
              <w:rPr>
                <w:rFonts w:ascii="Arial" w:hAnsi="Arial" w:cs="Arial"/>
                <w:color w:val="000000" w:themeColor="text1"/>
                <w:spacing w:val="-2"/>
                <w:sz w:val="17"/>
                <w:szCs w:val="17"/>
              </w:rPr>
              <w:t>Preuzeta imovina</w:t>
            </w:r>
          </w:p>
        </w:tc>
        <w:tc>
          <w:tcPr>
            <w:tcW w:w="551" w:type="pct"/>
            <w:tcBorders>
              <w:top w:val="nil"/>
              <w:left w:val="nil"/>
              <w:bottom w:val="nil"/>
              <w:right w:val="nil"/>
            </w:tcBorders>
            <w:shd w:val="clear" w:color="auto" w:fill="auto"/>
            <w:vAlign w:val="bottom"/>
          </w:tcPr>
          <w:p w14:paraId="6D58F4DC" w14:textId="77777777" w:rsidR="00CB7D4D" w:rsidRPr="005B35F4" w:rsidRDefault="00CB7D4D" w:rsidP="0034622E">
            <w:pPr>
              <w:jc w:val="right"/>
              <w:rPr>
                <w:rFonts w:ascii="Arial" w:hAnsi="Arial" w:cs="Arial"/>
                <w:color w:val="000000"/>
                <w:sz w:val="17"/>
                <w:szCs w:val="17"/>
              </w:rPr>
            </w:pPr>
            <w:r w:rsidRPr="00F959D0">
              <w:rPr>
                <w:rFonts w:ascii="Arial" w:hAnsi="Arial" w:cs="Arial"/>
                <w:color w:val="000000"/>
                <w:sz w:val="17"/>
                <w:szCs w:val="17"/>
              </w:rPr>
              <w:t xml:space="preserve"> 2 </w:t>
            </w:r>
          </w:p>
        </w:tc>
        <w:tc>
          <w:tcPr>
            <w:tcW w:w="546" w:type="pct"/>
            <w:tcBorders>
              <w:top w:val="nil"/>
              <w:left w:val="nil"/>
              <w:bottom w:val="nil"/>
              <w:right w:val="nil"/>
            </w:tcBorders>
            <w:shd w:val="clear" w:color="auto" w:fill="auto"/>
            <w:vAlign w:val="bottom"/>
          </w:tcPr>
          <w:p w14:paraId="08B683B4" w14:textId="77777777" w:rsidR="00CB7D4D" w:rsidRPr="005B35F4" w:rsidRDefault="00CB7D4D" w:rsidP="0034622E">
            <w:pPr>
              <w:jc w:val="right"/>
              <w:rPr>
                <w:rFonts w:ascii="Arial" w:hAnsi="Arial" w:cs="Arial"/>
                <w:color w:val="000000"/>
                <w:sz w:val="17"/>
                <w:szCs w:val="17"/>
              </w:rPr>
            </w:pPr>
            <w:r w:rsidRPr="00F959D0">
              <w:rPr>
                <w:rFonts w:ascii="Arial" w:hAnsi="Arial" w:cs="Arial"/>
                <w:color w:val="000000"/>
                <w:sz w:val="17"/>
                <w:szCs w:val="17"/>
              </w:rPr>
              <w:t xml:space="preserve"> 148 </w:t>
            </w:r>
          </w:p>
        </w:tc>
        <w:tc>
          <w:tcPr>
            <w:tcW w:w="572" w:type="pct"/>
            <w:tcBorders>
              <w:top w:val="nil"/>
              <w:left w:val="nil"/>
              <w:bottom w:val="nil"/>
              <w:right w:val="nil"/>
            </w:tcBorders>
            <w:shd w:val="clear" w:color="auto" w:fill="auto"/>
            <w:vAlign w:val="bottom"/>
          </w:tcPr>
          <w:p w14:paraId="5CE73388" w14:textId="77777777" w:rsidR="00CB7D4D" w:rsidRPr="005B35F4" w:rsidRDefault="00CB7D4D" w:rsidP="0034622E">
            <w:pPr>
              <w:jc w:val="right"/>
              <w:rPr>
                <w:rFonts w:ascii="Arial" w:hAnsi="Arial" w:cs="Arial"/>
                <w:color w:val="000000"/>
                <w:sz w:val="17"/>
                <w:szCs w:val="17"/>
              </w:rPr>
            </w:pPr>
            <w:r w:rsidRPr="00F959D0">
              <w:rPr>
                <w:rFonts w:ascii="Arial" w:hAnsi="Arial" w:cs="Arial"/>
                <w:color w:val="000000"/>
                <w:sz w:val="17"/>
                <w:szCs w:val="17"/>
              </w:rPr>
              <w:t xml:space="preserve"> 149 </w:t>
            </w:r>
          </w:p>
        </w:tc>
        <w:tc>
          <w:tcPr>
            <w:tcW w:w="570" w:type="pct"/>
            <w:tcBorders>
              <w:top w:val="nil"/>
              <w:left w:val="nil"/>
              <w:bottom w:val="nil"/>
              <w:right w:val="nil"/>
            </w:tcBorders>
            <w:shd w:val="clear" w:color="auto" w:fill="auto"/>
            <w:vAlign w:val="bottom"/>
          </w:tcPr>
          <w:p w14:paraId="2CB0C984" w14:textId="77777777" w:rsidR="00CB7D4D" w:rsidRPr="005B35F4" w:rsidRDefault="00CB7D4D" w:rsidP="0034622E">
            <w:pPr>
              <w:jc w:val="right"/>
              <w:rPr>
                <w:rFonts w:ascii="Arial" w:hAnsi="Arial" w:cs="Arial"/>
                <w:color w:val="000000"/>
                <w:sz w:val="17"/>
                <w:szCs w:val="17"/>
              </w:rPr>
            </w:pPr>
            <w:r w:rsidRPr="00F959D0">
              <w:rPr>
                <w:rFonts w:ascii="Arial" w:hAnsi="Arial" w:cs="Arial"/>
                <w:color w:val="000000"/>
                <w:sz w:val="17"/>
                <w:szCs w:val="17"/>
              </w:rPr>
              <w:t xml:space="preserve"> 820 </w:t>
            </w:r>
          </w:p>
        </w:tc>
        <w:tc>
          <w:tcPr>
            <w:tcW w:w="640" w:type="pct"/>
            <w:tcBorders>
              <w:top w:val="nil"/>
              <w:left w:val="nil"/>
              <w:bottom w:val="nil"/>
              <w:right w:val="nil"/>
            </w:tcBorders>
            <w:shd w:val="clear" w:color="auto" w:fill="auto"/>
            <w:vAlign w:val="bottom"/>
          </w:tcPr>
          <w:p w14:paraId="152F9004" w14:textId="77777777" w:rsidR="00CB7D4D" w:rsidRPr="005B35F4" w:rsidRDefault="00CB7D4D" w:rsidP="0034622E">
            <w:pPr>
              <w:jc w:val="right"/>
              <w:rPr>
                <w:rFonts w:ascii="Arial" w:hAnsi="Arial" w:cs="Arial"/>
                <w:color w:val="000000"/>
                <w:sz w:val="17"/>
                <w:szCs w:val="17"/>
              </w:rPr>
            </w:pPr>
            <w:r w:rsidRPr="00F959D0">
              <w:rPr>
                <w:rFonts w:ascii="Arial" w:hAnsi="Arial" w:cs="Arial"/>
                <w:color w:val="000000"/>
                <w:sz w:val="17"/>
                <w:szCs w:val="17"/>
              </w:rPr>
              <w:t xml:space="preserve"> 1.172 </w:t>
            </w:r>
          </w:p>
        </w:tc>
        <w:tc>
          <w:tcPr>
            <w:tcW w:w="603" w:type="pct"/>
            <w:tcBorders>
              <w:top w:val="nil"/>
              <w:left w:val="nil"/>
              <w:bottom w:val="nil"/>
              <w:right w:val="nil"/>
            </w:tcBorders>
            <w:shd w:val="clear" w:color="auto" w:fill="auto"/>
            <w:vAlign w:val="bottom"/>
          </w:tcPr>
          <w:p w14:paraId="5CB4B2BB" w14:textId="77777777" w:rsidR="00CB7D4D" w:rsidRPr="005B35F4" w:rsidRDefault="00CB7D4D" w:rsidP="0034622E">
            <w:pPr>
              <w:jc w:val="right"/>
              <w:rPr>
                <w:rFonts w:ascii="Arial" w:hAnsi="Arial" w:cs="Arial"/>
                <w:color w:val="000000"/>
                <w:sz w:val="17"/>
                <w:szCs w:val="17"/>
              </w:rPr>
            </w:pPr>
            <w:r w:rsidRPr="00F959D0">
              <w:rPr>
                <w:rFonts w:ascii="Arial" w:hAnsi="Arial" w:cs="Arial"/>
                <w:color w:val="000000"/>
                <w:sz w:val="17"/>
                <w:szCs w:val="17"/>
              </w:rPr>
              <w:t xml:space="preserve"> 2.291 </w:t>
            </w:r>
          </w:p>
        </w:tc>
      </w:tr>
      <w:tr w:rsidR="00CB7D4D" w:rsidRPr="005B35F4" w14:paraId="5A4BDA29" w14:textId="77777777" w:rsidTr="0034622E">
        <w:trPr>
          <w:trHeight w:val="145"/>
        </w:trPr>
        <w:tc>
          <w:tcPr>
            <w:tcW w:w="1517" w:type="pct"/>
            <w:vAlign w:val="bottom"/>
          </w:tcPr>
          <w:p w14:paraId="0D1BD7ED" w14:textId="77777777" w:rsidR="00CB7D4D" w:rsidRPr="005B35F4" w:rsidRDefault="00CB7D4D" w:rsidP="0034622E">
            <w:pPr>
              <w:tabs>
                <w:tab w:val="right" w:pos="1202"/>
              </w:tabs>
              <w:spacing w:line="240" w:lineRule="exact"/>
              <w:outlineLvl w:val="0"/>
              <w:rPr>
                <w:rFonts w:ascii="Arial" w:hAnsi="Arial" w:cs="Arial"/>
                <w:color w:val="000000" w:themeColor="text1"/>
                <w:sz w:val="17"/>
                <w:szCs w:val="17"/>
              </w:rPr>
            </w:pPr>
            <w:r w:rsidRPr="005B35F4">
              <w:rPr>
                <w:rFonts w:ascii="Arial" w:hAnsi="Arial" w:cs="Arial"/>
                <w:color w:val="000000" w:themeColor="text1"/>
                <w:spacing w:val="-2"/>
                <w:sz w:val="17"/>
                <w:szCs w:val="17"/>
              </w:rPr>
              <w:t>Ostala imovina</w:t>
            </w:r>
          </w:p>
        </w:tc>
        <w:tc>
          <w:tcPr>
            <w:tcW w:w="551" w:type="pct"/>
            <w:tcBorders>
              <w:top w:val="nil"/>
              <w:left w:val="nil"/>
              <w:bottom w:val="single" w:sz="8" w:space="0" w:color="auto"/>
              <w:right w:val="nil"/>
            </w:tcBorders>
            <w:shd w:val="clear" w:color="auto" w:fill="auto"/>
            <w:vAlign w:val="bottom"/>
          </w:tcPr>
          <w:p w14:paraId="00376742" w14:textId="77777777" w:rsidR="00CB7D4D" w:rsidRPr="005B35F4" w:rsidRDefault="00CB7D4D" w:rsidP="0034622E">
            <w:pPr>
              <w:jc w:val="right"/>
              <w:rPr>
                <w:rFonts w:ascii="Arial" w:hAnsi="Arial" w:cs="Arial"/>
                <w:color w:val="000000"/>
                <w:sz w:val="17"/>
                <w:szCs w:val="17"/>
              </w:rPr>
            </w:pPr>
            <w:r w:rsidRPr="00F959D0">
              <w:rPr>
                <w:rFonts w:ascii="Arial" w:hAnsi="Arial" w:cs="Arial"/>
                <w:color w:val="000000"/>
                <w:sz w:val="17"/>
                <w:szCs w:val="17"/>
              </w:rPr>
              <w:t xml:space="preserve"> 5.703 </w:t>
            </w:r>
          </w:p>
        </w:tc>
        <w:tc>
          <w:tcPr>
            <w:tcW w:w="546" w:type="pct"/>
            <w:tcBorders>
              <w:top w:val="nil"/>
              <w:left w:val="nil"/>
              <w:bottom w:val="single" w:sz="8" w:space="0" w:color="auto"/>
              <w:right w:val="nil"/>
            </w:tcBorders>
            <w:shd w:val="clear" w:color="auto" w:fill="auto"/>
            <w:vAlign w:val="bottom"/>
          </w:tcPr>
          <w:p w14:paraId="6880FF61" w14:textId="77777777" w:rsidR="00CB7D4D" w:rsidRPr="005B35F4" w:rsidRDefault="00CB7D4D" w:rsidP="0034622E">
            <w:pPr>
              <w:jc w:val="right"/>
              <w:rPr>
                <w:rFonts w:ascii="Arial" w:hAnsi="Arial" w:cs="Arial"/>
                <w:color w:val="000000"/>
                <w:sz w:val="17"/>
                <w:szCs w:val="17"/>
              </w:rPr>
            </w:pPr>
            <w:r w:rsidRPr="00F959D0">
              <w:rPr>
                <w:rFonts w:ascii="Arial" w:hAnsi="Arial" w:cs="Arial"/>
                <w:color w:val="000000"/>
                <w:sz w:val="17"/>
                <w:szCs w:val="17"/>
              </w:rPr>
              <w:t xml:space="preserve"> 117 </w:t>
            </w:r>
          </w:p>
        </w:tc>
        <w:tc>
          <w:tcPr>
            <w:tcW w:w="572" w:type="pct"/>
            <w:tcBorders>
              <w:top w:val="nil"/>
              <w:left w:val="nil"/>
              <w:bottom w:val="single" w:sz="8" w:space="0" w:color="auto"/>
              <w:right w:val="nil"/>
            </w:tcBorders>
            <w:shd w:val="clear" w:color="auto" w:fill="auto"/>
            <w:vAlign w:val="bottom"/>
          </w:tcPr>
          <w:p w14:paraId="37D2131E" w14:textId="77777777" w:rsidR="00CB7D4D" w:rsidRPr="005B35F4" w:rsidRDefault="00CB7D4D" w:rsidP="0034622E">
            <w:pPr>
              <w:jc w:val="right"/>
              <w:rPr>
                <w:rFonts w:ascii="Arial" w:hAnsi="Arial" w:cs="Arial"/>
                <w:color w:val="000000"/>
                <w:sz w:val="17"/>
                <w:szCs w:val="17"/>
              </w:rPr>
            </w:pPr>
            <w:r w:rsidRPr="00F959D0">
              <w:rPr>
                <w:rFonts w:ascii="Arial" w:hAnsi="Arial" w:cs="Arial"/>
                <w:color w:val="000000"/>
                <w:sz w:val="17"/>
                <w:szCs w:val="17"/>
              </w:rPr>
              <w:t xml:space="preserve"> 2.662 </w:t>
            </w:r>
          </w:p>
        </w:tc>
        <w:tc>
          <w:tcPr>
            <w:tcW w:w="570" w:type="pct"/>
            <w:tcBorders>
              <w:top w:val="nil"/>
              <w:left w:val="nil"/>
              <w:bottom w:val="single" w:sz="8" w:space="0" w:color="auto"/>
              <w:right w:val="nil"/>
            </w:tcBorders>
            <w:shd w:val="clear" w:color="auto" w:fill="auto"/>
            <w:vAlign w:val="bottom"/>
          </w:tcPr>
          <w:p w14:paraId="113436D3" w14:textId="77777777" w:rsidR="00CB7D4D" w:rsidRPr="005B35F4" w:rsidRDefault="00CB7D4D" w:rsidP="0034622E">
            <w:pPr>
              <w:jc w:val="right"/>
              <w:rPr>
                <w:rFonts w:ascii="Arial" w:hAnsi="Arial" w:cs="Arial"/>
                <w:color w:val="000000"/>
                <w:sz w:val="17"/>
                <w:szCs w:val="17"/>
              </w:rPr>
            </w:pPr>
            <w:r w:rsidRPr="00F959D0">
              <w:rPr>
                <w:rFonts w:ascii="Arial" w:hAnsi="Arial" w:cs="Arial"/>
                <w:color w:val="000000"/>
                <w:sz w:val="17"/>
                <w:szCs w:val="17"/>
              </w:rPr>
              <w:t xml:space="preserve"> 2.705 </w:t>
            </w:r>
          </w:p>
        </w:tc>
        <w:tc>
          <w:tcPr>
            <w:tcW w:w="640" w:type="pct"/>
            <w:tcBorders>
              <w:top w:val="nil"/>
              <w:left w:val="nil"/>
              <w:bottom w:val="single" w:sz="8" w:space="0" w:color="auto"/>
              <w:right w:val="nil"/>
            </w:tcBorders>
            <w:shd w:val="clear" w:color="auto" w:fill="auto"/>
            <w:vAlign w:val="bottom"/>
          </w:tcPr>
          <w:p w14:paraId="1B27F6B9" w14:textId="77777777" w:rsidR="00CB7D4D" w:rsidRPr="005B35F4" w:rsidRDefault="00CB7D4D" w:rsidP="0034622E">
            <w:pPr>
              <w:jc w:val="right"/>
              <w:rPr>
                <w:rFonts w:ascii="Arial" w:hAnsi="Arial" w:cs="Arial"/>
                <w:color w:val="000000"/>
                <w:sz w:val="17"/>
                <w:szCs w:val="17"/>
              </w:rPr>
            </w:pPr>
            <w:r w:rsidRPr="00F959D0">
              <w:rPr>
                <w:rFonts w:ascii="Arial" w:hAnsi="Arial" w:cs="Arial"/>
                <w:color w:val="000000"/>
                <w:sz w:val="17"/>
                <w:szCs w:val="17"/>
              </w:rPr>
              <w:t xml:space="preserve"> 178 </w:t>
            </w:r>
          </w:p>
        </w:tc>
        <w:tc>
          <w:tcPr>
            <w:tcW w:w="603" w:type="pct"/>
            <w:tcBorders>
              <w:top w:val="nil"/>
              <w:left w:val="nil"/>
              <w:bottom w:val="single" w:sz="8" w:space="0" w:color="auto"/>
              <w:right w:val="nil"/>
            </w:tcBorders>
            <w:shd w:val="clear" w:color="auto" w:fill="auto"/>
            <w:vAlign w:val="bottom"/>
          </w:tcPr>
          <w:p w14:paraId="6730E847" w14:textId="77777777" w:rsidR="00CB7D4D" w:rsidRPr="005B35F4" w:rsidRDefault="00CB7D4D" w:rsidP="0034622E">
            <w:pPr>
              <w:jc w:val="right"/>
              <w:rPr>
                <w:rFonts w:ascii="Arial" w:hAnsi="Arial" w:cs="Arial"/>
                <w:color w:val="000000"/>
                <w:sz w:val="17"/>
                <w:szCs w:val="17"/>
              </w:rPr>
            </w:pPr>
            <w:r w:rsidRPr="00F959D0">
              <w:rPr>
                <w:rFonts w:ascii="Arial" w:hAnsi="Arial" w:cs="Arial"/>
                <w:color w:val="000000"/>
                <w:sz w:val="17"/>
                <w:szCs w:val="17"/>
              </w:rPr>
              <w:t xml:space="preserve"> 11.365 </w:t>
            </w:r>
          </w:p>
        </w:tc>
      </w:tr>
      <w:tr w:rsidR="00CB7D4D" w:rsidRPr="005B35F4" w14:paraId="0D32B3EA" w14:textId="77777777" w:rsidTr="0034622E">
        <w:trPr>
          <w:trHeight w:val="145"/>
        </w:trPr>
        <w:tc>
          <w:tcPr>
            <w:tcW w:w="1517" w:type="pct"/>
          </w:tcPr>
          <w:p w14:paraId="2AFD4617" w14:textId="77777777" w:rsidR="00CB7D4D" w:rsidRPr="005B35F4" w:rsidRDefault="00CB7D4D" w:rsidP="0034622E">
            <w:pPr>
              <w:tabs>
                <w:tab w:val="right" w:pos="1202"/>
              </w:tabs>
              <w:spacing w:line="240" w:lineRule="exact"/>
              <w:outlineLvl w:val="0"/>
              <w:rPr>
                <w:rFonts w:ascii="Arial" w:hAnsi="Arial" w:cs="Arial"/>
                <w:b/>
                <w:bCs/>
                <w:color w:val="000000" w:themeColor="text1"/>
                <w:sz w:val="17"/>
                <w:szCs w:val="17"/>
              </w:rPr>
            </w:pPr>
            <w:r w:rsidRPr="005B35F4">
              <w:rPr>
                <w:rFonts w:ascii="Arial" w:hAnsi="Arial" w:cs="Arial"/>
                <w:b/>
                <w:bCs/>
                <w:color w:val="000000" w:themeColor="text1"/>
                <w:sz w:val="17"/>
                <w:szCs w:val="17"/>
              </w:rPr>
              <w:t>Ukupna imovina</w:t>
            </w:r>
          </w:p>
        </w:tc>
        <w:tc>
          <w:tcPr>
            <w:tcW w:w="551" w:type="pct"/>
            <w:tcBorders>
              <w:top w:val="single" w:sz="8" w:space="0" w:color="auto"/>
              <w:left w:val="nil"/>
              <w:bottom w:val="single" w:sz="12" w:space="0" w:color="auto"/>
              <w:right w:val="nil"/>
            </w:tcBorders>
            <w:shd w:val="clear" w:color="auto" w:fill="auto"/>
            <w:vAlign w:val="bottom"/>
          </w:tcPr>
          <w:p w14:paraId="5176A91C" w14:textId="77777777" w:rsidR="00CB7D4D" w:rsidRPr="003C3893" w:rsidRDefault="00CB7D4D" w:rsidP="0034622E">
            <w:pPr>
              <w:jc w:val="right"/>
              <w:rPr>
                <w:rFonts w:ascii="Arial" w:hAnsi="Arial" w:cs="Arial"/>
                <w:b/>
                <w:bCs/>
                <w:color w:val="000000"/>
                <w:sz w:val="17"/>
                <w:szCs w:val="17"/>
              </w:rPr>
            </w:pPr>
            <w:r w:rsidRPr="00F959D0">
              <w:rPr>
                <w:rFonts w:ascii="Arial" w:hAnsi="Arial" w:cs="Arial"/>
                <w:b/>
                <w:bCs/>
                <w:color w:val="000000"/>
                <w:sz w:val="17"/>
                <w:szCs w:val="17"/>
              </w:rPr>
              <w:t>702.613</w:t>
            </w:r>
          </w:p>
        </w:tc>
        <w:tc>
          <w:tcPr>
            <w:tcW w:w="546" w:type="pct"/>
            <w:tcBorders>
              <w:top w:val="single" w:sz="8" w:space="0" w:color="auto"/>
              <w:left w:val="nil"/>
              <w:bottom w:val="single" w:sz="12" w:space="0" w:color="auto"/>
              <w:right w:val="nil"/>
            </w:tcBorders>
            <w:shd w:val="clear" w:color="auto" w:fill="auto"/>
            <w:vAlign w:val="bottom"/>
          </w:tcPr>
          <w:p w14:paraId="50427F52" w14:textId="77777777" w:rsidR="00CB7D4D" w:rsidRPr="003C3893" w:rsidRDefault="00CB7D4D" w:rsidP="0034622E">
            <w:pPr>
              <w:jc w:val="right"/>
              <w:rPr>
                <w:rFonts w:ascii="Arial" w:hAnsi="Arial" w:cs="Arial"/>
                <w:b/>
                <w:bCs/>
                <w:color w:val="000000"/>
                <w:sz w:val="17"/>
                <w:szCs w:val="17"/>
              </w:rPr>
            </w:pPr>
            <w:r w:rsidRPr="00F959D0">
              <w:rPr>
                <w:rFonts w:ascii="Arial" w:hAnsi="Arial" w:cs="Arial"/>
                <w:b/>
                <w:bCs/>
                <w:color w:val="000000"/>
                <w:sz w:val="17"/>
                <w:szCs w:val="17"/>
              </w:rPr>
              <w:t>214.320</w:t>
            </w:r>
          </w:p>
        </w:tc>
        <w:tc>
          <w:tcPr>
            <w:tcW w:w="572" w:type="pct"/>
            <w:tcBorders>
              <w:top w:val="single" w:sz="8" w:space="0" w:color="auto"/>
              <w:left w:val="nil"/>
              <w:bottom w:val="single" w:sz="12" w:space="0" w:color="auto"/>
              <w:right w:val="nil"/>
            </w:tcBorders>
            <w:shd w:val="clear" w:color="auto" w:fill="auto"/>
            <w:vAlign w:val="bottom"/>
          </w:tcPr>
          <w:p w14:paraId="221B5910" w14:textId="77777777" w:rsidR="00CB7D4D" w:rsidRPr="003C3893" w:rsidRDefault="00CB7D4D" w:rsidP="0034622E">
            <w:pPr>
              <w:jc w:val="right"/>
              <w:rPr>
                <w:rFonts w:ascii="Arial" w:hAnsi="Arial" w:cs="Arial"/>
                <w:b/>
                <w:bCs/>
                <w:color w:val="000000"/>
                <w:sz w:val="17"/>
                <w:szCs w:val="17"/>
              </w:rPr>
            </w:pPr>
            <w:r w:rsidRPr="00F959D0">
              <w:rPr>
                <w:rFonts w:ascii="Arial" w:hAnsi="Arial" w:cs="Arial"/>
                <w:b/>
                <w:bCs/>
                <w:color w:val="000000"/>
                <w:sz w:val="17"/>
                <w:szCs w:val="17"/>
              </w:rPr>
              <w:t>419.616</w:t>
            </w:r>
          </w:p>
        </w:tc>
        <w:tc>
          <w:tcPr>
            <w:tcW w:w="570" w:type="pct"/>
            <w:tcBorders>
              <w:top w:val="single" w:sz="8" w:space="0" w:color="auto"/>
              <w:left w:val="nil"/>
              <w:bottom w:val="single" w:sz="12" w:space="0" w:color="auto"/>
              <w:right w:val="nil"/>
            </w:tcBorders>
            <w:shd w:val="clear" w:color="auto" w:fill="auto"/>
            <w:vAlign w:val="bottom"/>
          </w:tcPr>
          <w:p w14:paraId="0E348059" w14:textId="77777777" w:rsidR="00CB7D4D" w:rsidRPr="003C3893" w:rsidRDefault="00CB7D4D" w:rsidP="0034622E">
            <w:pPr>
              <w:jc w:val="right"/>
              <w:rPr>
                <w:rFonts w:ascii="Arial" w:hAnsi="Arial" w:cs="Arial"/>
                <w:b/>
                <w:bCs/>
                <w:color w:val="000000"/>
                <w:sz w:val="17"/>
                <w:szCs w:val="17"/>
              </w:rPr>
            </w:pPr>
            <w:r w:rsidRPr="00F959D0">
              <w:rPr>
                <w:rFonts w:ascii="Arial" w:hAnsi="Arial" w:cs="Arial"/>
                <w:b/>
                <w:bCs/>
                <w:color w:val="000000"/>
                <w:sz w:val="17"/>
                <w:szCs w:val="17"/>
              </w:rPr>
              <w:t>929.841</w:t>
            </w:r>
          </w:p>
        </w:tc>
        <w:tc>
          <w:tcPr>
            <w:tcW w:w="640" w:type="pct"/>
            <w:tcBorders>
              <w:top w:val="single" w:sz="8" w:space="0" w:color="auto"/>
              <w:left w:val="nil"/>
              <w:bottom w:val="single" w:sz="12" w:space="0" w:color="auto"/>
              <w:right w:val="nil"/>
            </w:tcBorders>
            <w:shd w:val="clear" w:color="auto" w:fill="auto"/>
            <w:vAlign w:val="bottom"/>
          </w:tcPr>
          <w:p w14:paraId="0F2C9F64" w14:textId="77777777" w:rsidR="00CB7D4D" w:rsidRPr="003C3893" w:rsidRDefault="00CB7D4D" w:rsidP="0034622E">
            <w:pPr>
              <w:jc w:val="right"/>
              <w:rPr>
                <w:rFonts w:ascii="Arial" w:hAnsi="Arial" w:cs="Arial"/>
                <w:b/>
                <w:bCs/>
                <w:color w:val="000000"/>
                <w:sz w:val="17"/>
                <w:szCs w:val="17"/>
              </w:rPr>
            </w:pPr>
            <w:r w:rsidRPr="00F959D0">
              <w:rPr>
                <w:rFonts w:ascii="Arial" w:hAnsi="Arial" w:cs="Arial"/>
                <w:b/>
                <w:bCs/>
                <w:color w:val="000000"/>
                <w:sz w:val="17"/>
                <w:szCs w:val="17"/>
              </w:rPr>
              <w:t>1.752.294</w:t>
            </w:r>
          </w:p>
        </w:tc>
        <w:tc>
          <w:tcPr>
            <w:tcW w:w="603" w:type="pct"/>
            <w:tcBorders>
              <w:top w:val="single" w:sz="8" w:space="0" w:color="auto"/>
              <w:left w:val="nil"/>
              <w:bottom w:val="single" w:sz="12" w:space="0" w:color="auto"/>
              <w:right w:val="nil"/>
            </w:tcBorders>
            <w:shd w:val="clear" w:color="auto" w:fill="auto"/>
            <w:vAlign w:val="bottom"/>
          </w:tcPr>
          <w:p w14:paraId="3DEB76A0" w14:textId="77777777" w:rsidR="00CB7D4D" w:rsidRPr="003C3893" w:rsidRDefault="00CB7D4D" w:rsidP="0034622E">
            <w:pPr>
              <w:jc w:val="right"/>
              <w:rPr>
                <w:rFonts w:ascii="Arial" w:hAnsi="Arial" w:cs="Arial"/>
                <w:b/>
                <w:bCs/>
                <w:color w:val="000000"/>
                <w:sz w:val="17"/>
                <w:szCs w:val="17"/>
              </w:rPr>
            </w:pPr>
            <w:r w:rsidRPr="00F959D0">
              <w:rPr>
                <w:rFonts w:ascii="Arial" w:hAnsi="Arial" w:cs="Arial"/>
                <w:b/>
                <w:bCs/>
                <w:color w:val="000000"/>
                <w:sz w:val="17"/>
                <w:szCs w:val="17"/>
              </w:rPr>
              <w:t>4.018.684</w:t>
            </w:r>
          </w:p>
        </w:tc>
      </w:tr>
      <w:tr w:rsidR="00CB7D4D" w:rsidRPr="005B35F4" w14:paraId="116A89C9" w14:textId="77777777" w:rsidTr="0034622E">
        <w:trPr>
          <w:trHeight w:hRule="exact" w:val="213"/>
        </w:trPr>
        <w:tc>
          <w:tcPr>
            <w:tcW w:w="1517" w:type="pct"/>
            <w:vAlign w:val="bottom"/>
          </w:tcPr>
          <w:p w14:paraId="6D2CDF0A" w14:textId="77777777" w:rsidR="00CB7D4D" w:rsidRPr="005B35F4" w:rsidRDefault="00CB7D4D" w:rsidP="0034622E">
            <w:pPr>
              <w:keepNext/>
              <w:keepLines/>
              <w:tabs>
                <w:tab w:val="decimal" w:pos="1202"/>
              </w:tabs>
              <w:spacing w:line="140" w:lineRule="exact"/>
              <w:rPr>
                <w:rFonts w:ascii="Arial" w:hAnsi="Arial" w:cs="Arial"/>
                <w:b/>
                <w:bCs/>
                <w:color w:val="000000" w:themeColor="text1"/>
                <w:position w:val="4"/>
                <w:sz w:val="17"/>
                <w:szCs w:val="17"/>
              </w:rPr>
            </w:pPr>
          </w:p>
        </w:tc>
        <w:tc>
          <w:tcPr>
            <w:tcW w:w="551" w:type="pct"/>
            <w:tcBorders>
              <w:top w:val="single" w:sz="12" w:space="0" w:color="auto"/>
            </w:tcBorders>
            <w:vAlign w:val="bottom"/>
          </w:tcPr>
          <w:p w14:paraId="6D7563F6" w14:textId="77777777" w:rsidR="00CB7D4D" w:rsidRPr="005B35F4" w:rsidRDefault="00CB7D4D" w:rsidP="0034622E">
            <w:pPr>
              <w:keepNext/>
              <w:keepLines/>
              <w:tabs>
                <w:tab w:val="decimal" w:pos="1202"/>
              </w:tabs>
              <w:spacing w:line="140" w:lineRule="exact"/>
              <w:jc w:val="right"/>
              <w:rPr>
                <w:rFonts w:ascii="Arial" w:hAnsi="Arial" w:cs="Arial"/>
                <w:b/>
                <w:bCs/>
                <w:color w:val="000000" w:themeColor="text1"/>
                <w:position w:val="4"/>
                <w:sz w:val="17"/>
                <w:szCs w:val="17"/>
              </w:rPr>
            </w:pPr>
          </w:p>
        </w:tc>
        <w:tc>
          <w:tcPr>
            <w:tcW w:w="546" w:type="pct"/>
            <w:tcBorders>
              <w:top w:val="single" w:sz="12" w:space="0" w:color="auto"/>
            </w:tcBorders>
            <w:vAlign w:val="bottom"/>
          </w:tcPr>
          <w:p w14:paraId="4B88D2C5" w14:textId="77777777" w:rsidR="00CB7D4D" w:rsidRPr="005B35F4" w:rsidRDefault="00CB7D4D" w:rsidP="0034622E">
            <w:pPr>
              <w:keepNext/>
              <w:keepLines/>
              <w:tabs>
                <w:tab w:val="decimal" w:pos="1202"/>
              </w:tabs>
              <w:spacing w:line="140" w:lineRule="exact"/>
              <w:jc w:val="right"/>
              <w:rPr>
                <w:rFonts w:ascii="Arial" w:hAnsi="Arial" w:cs="Arial"/>
                <w:b/>
                <w:bCs/>
                <w:color w:val="000000" w:themeColor="text1"/>
                <w:position w:val="4"/>
                <w:sz w:val="17"/>
                <w:szCs w:val="17"/>
              </w:rPr>
            </w:pPr>
          </w:p>
        </w:tc>
        <w:tc>
          <w:tcPr>
            <w:tcW w:w="572" w:type="pct"/>
            <w:tcBorders>
              <w:top w:val="single" w:sz="12" w:space="0" w:color="auto"/>
            </w:tcBorders>
            <w:vAlign w:val="bottom"/>
          </w:tcPr>
          <w:p w14:paraId="5B0AB9E3" w14:textId="77777777" w:rsidR="00CB7D4D" w:rsidRPr="005B35F4" w:rsidRDefault="00CB7D4D" w:rsidP="0034622E">
            <w:pPr>
              <w:keepNext/>
              <w:keepLines/>
              <w:tabs>
                <w:tab w:val="decimal" w:pos="1202"/>
              </w:tabs>
              <w:spacing w:line="140" w:lineRule="exact"/>
              <w:jc w:val="right"/>
              <w:rPr>
                <w:rFonts w:ascii="Arial" w:hAnsi="Arial" w:cs="Arial"/>
                <w:b/>
                <w:bCs/>
                <w:color w:val="000000" w:themeColor="text1"/>
                <w:position w:val="4"/>
                <w:sz w:val="17"/>
                <w:szCs w:val="17"/>
              </w:rPr>
            </w:pPr>
          </w:p>
        </w:tc>
        <w:tc>
          <w:tcPr>
            <w:tcW w:w="570" w:type="pct"/>
            <w:tcBorders>
              <w:top w:val="single" w:sz="12" w:space="0" w:color="auto"/>
            </w:tcBorders>
            <w:vAlign w:val="bottom"/>
          </w:tcPr>
          <w:p w14:paraId="458A3000" w14:textId="77777777" w:rsidR="00CB7D4D" w:rsidRPr="005B35F4" w:rsidRDefault="00CB7D4D" w:rsidP="0034622E">
            <w:pPr>
              <w:keepNext/>
              <w:keepLines/>
              <w:tabs>
                <w:tab w:val="decimal" w:pos="1202"/>
              </w:tabs>
              <w:spacing w:line="140" w:lineRule="exact"/>
              <w:jc w:val="right"/>
              <w:rPr>
                <w:rFonts w:ascii="Arial" w:hAnsi="Arial" w:cs="Arial"/>
                <w:b/>
                <w:bCs/>
                <w:color w:val="000000" w:themeColor="text1"/>
                <w:position w:val="4"/>
                <w:sz w:val="17"/>
                <w:szCs w:val="17"/>
              </w:rPr>
            </w:pPr>
          </w:p>
        </w:tc>
        <w:tc>
          <w:tcPr>
            <w:tcW w:w="640" w:type="pct"/>
            <w:tcBorders>
              <w:top w:val="single" w:sz="12" w:space="0" w:color="auto"/>
            </w:tcBorders>
            <w:vAlign w:val="bottom"/>
          </w:tcPr>
          <w:p w14:paraId="61605779" w14:textId="77777777" w:rsidR="00CB7D4D" w:rsidRPr="005B35F4" w:rsidRDefault="00CB7D4D" w:rsidP="0034622E">
            <w:pPr>
              <w:keepNext/>
              <w:keepLines/>
              <w:tabs>
                <w:tab w:val="decimal" w:pos="1202"/>
              </w:tabs>
              <w:spacing w:line="140" w:lineRule="exact"/>
              <w:jc w:val="right"/>
              <w:rPr>
                <w:rFonts w:ascii="Arial" w:hAnsi="Arial" w:cs="Arial"/>
                <w:b/>
                <w:bCs/>
                <w:color w:val="000000" w:themeColor="text1"/>
                <w:position w:val="4"/>
                <w:sz w:val="17"/>
                <w:szCs w:val="17"/>
              </w:rPr>
            </w:pPr>
          </w:p>
        </w:tc>
        <w:tc>
          <w:tcPr>
            <w:tcW w:w="603" w:type="pct"/>
            <w:tcBorders>
              <w:top w:val="single" w:sz="12" w:space="0" w:color="auto"/>
            </w:tcBorders>
            <w:vAlign w:val="bottom"/>
          </w:tcPr>
          <w:p w14:paraId="4808B73D" w14:textId="77777777" w:rsidR="00CB7D4D" w:rsidRPr="005B35F4" w:rsidRDefault="00CB7D4D" w:rsidP="0034622E">
            <w:pPr>
              <w:keepNext/>
              <w:keepLines/>
              <w:tabs>
                <w:tab w:val="decimal" w:pos="1202"/>
              </w:tabs>
              <w:spacing w:line="140" w:lineRule="exact"/>
              <w:jc w:val="right"/>
              <w:rPr>
                <w:rFonts w:ascii="Arial" w:hAnsi="Arial" w:cs="Arial"/>
                <w:b/>
                <w:bCs/>
                <w:color w:val="000000" w:themeColor="text1"/>
                <w:position w:val="4"/>
                <w:sz w:val="17"/>
                <w:szCs w:val="17"/>
              </w:rPr>
            </w:pPr>
          </w:p>
        </w:tc>
      </w:tr>
      <w:tr w:rsidR="00CB7D4D" w:rsidRPr="005B35F4" w14:paraId="1DAE406B" w14:textId="77777777" w:rsidTr="0034622E">
        <w:trPr>
          <w:trHeight w:val="145"/>
        </w:trPr>
        <w:tc>
          <w:tcPr>
            <w:tcW w:w="1517" w:type="pct"/>
            <w:vAlign w:val="bottom"/>
          </w:tcPr>
          <w:p w14:paraId="3F34A9B4" w14:textId="77777777" w:rsidR="00CB7D4D" w:rsidRPr="005B35F4" w:rsidRDefault="00CB7D4D" w:rsidP="0034622E">
            <w:pPr>
              <w:tabs>
                <w:tab w:val="right" w:pos="1202"/>
              </w:tabs>
              <w:spacing w:line="240" w:lineRule="exact"/>
              <w:outlineLvl w:val="0"/>
              <w:rPr>
                <w:rFonts w:ascii="Arial" w:hAnsi="Arial" w:cs="Arial"/>
                <w:b/>
                <w:bCs/>
                <w:color w:val="000000" w:themeColor="text1"/>
                <w:sz w:val="17"/>
                <w:szCs w:val="17"/>
              </w:rPr>
            </w:pPr>
            <w:r w:rsidRPr="005B35F4">
              <w:rPr>
                <w:rFonts w:ascii="Arial" w:hAnsi="Arial" w:cs="Arial"/>
                <w:b/>
                <w:bCs/>
                <w:color w:val="000000" w:themeColor="text1"/>
                <w:sz w:val="17"/>
                <w:szCs w:val="17"/>
              </w:rPr>
              <w:t>Obveze</w:t>
            </w:r>
          </w:p>
        </w:tc>
        <w:tc>
          <w:tcPr>
            <w:tcW w:w="551" w:type="pct"/>
            <w:vAlign w:val="bottom"/>
          </w:tcPr>
          <w:p w14:paraId="625F3561" w14:textId="77777777" w:rsidR="00CB7D4D" w:rsidRPr="005B35F4" w:rsidRDefault="00CB7D4D" w:rsidP="0034622E">
            <w:pPr>
              <w:spacing w:line="240" w:lineRule="exact"/>
              <w:jc w:val="right"/>
              <w:outlineLvl w:val="0"/>
              <w:rPr>
                <w:rFonts w:ascii="Arial" w:hAnsi="Arial" w:cs="Arial"/>
                <w:color w:val="000000" w:themeColor="text1"/>
                <w:spacing w:val="-2"/>
                <w:sz w:val="17"/>
                <w:szCs w:val="17"/>
              </w:rPr>
            </w:pPr>
          </w:p>
        </w:tc>
        <w:tc>
          <w:tcPr>
            <w:tcW w:w="546" w:type="pct"/>
            <w:vAlign w:val="bottom"/>
          </w:tcPr>
          <w:p w14:paraId="798FC604" w14:textId="77777777" w:rsidR="00CB7D4D" w:rsidRPr="005B35F4" w:rsidRDefault="00CB7D4D" w:rsidP="0034622E">
            <w:pPr>
              <w:spacing w:line="240" w:lineRule="exact"/>
              <w:jc w:val="right"/>
              <w:outlineLvl w:val="0"/>
              <w:rPr>
                <w:rFonts w:ascii="Arial" w:hAnsi="Arial" w:cs="Arial"/>
                <w:color w:val="000000" w:themeColor="text1"/>
                <w:spacing w:val="-2"/>
                <w:sz w:val="17"/>
                <w:szCs w:val="17"/>
              </w:rPr>
            </w:pPr>
          </w:p>
        </w:tc>
        <w:tc>
          <w:tcPr>
            <w:tcW w:w="572" w:type="pct"/>
            <w:vAlign w:val="bottom"/>
          </w:tcPr>
          <w:p w14:paraId="1BAC8A5B" w14:textId="77777777" w:rsidR="00CB7D4D" w:rsidRPr="005B35F4" w:rsidRDefault="00CB7D4D" w:rsidP="0034622E">
            <w:pPr>
              <w:spacing w:line="240" w:lineRule="exact"/>
              <w:jc w:val="right"/>
              <w:outlineLvl w:val="0"/>
              <w:rPr>
                <w:rFonts w:ascii="Arial" w:hAnsi="Arial" w:cs="Arial"/>
                <w:color w:val="000000" w:themeColor="text1"/>
                <w:spacing w:val="-2"/>
                <w:sz w:val="17"/>
                <w:szCs w:val="17"/>
              </w:rPr>
            </w:pPr>
          </w:p>
        </w:tc>
        <w:tc>
          <w:tcPr>
            <w:tcW w:w="570" w:type="pct"/>
            <w:vAlign w:val="bottom"/>
          </w:tcPr>
          <w:p w14:paraId="4544851F" w14:textId="77777777" w:rsidR="00CB7D4D" w:rsidRPr="005B35F4" w:rsidRDefault="00CB7D4D" w:rsidP="0034622E">
            <w:pPr>
              <w:spacing w:line="240" w:lineRule="exact"/>
              <w:jc w:val="right"/>
              <w:outlineLvl w:val="0"/>
              <w:rPr>
                <w:rFonts w:ascii="Arial" w:hAnsi="Arial" w:cs="Arial"/>
                <w:color w:val="000000" w:themeColor="text1"/>
                <w:spacing w:val="-2"/>
                <w:sz w:val="17"/>
                <w:szCs w:val="17"/>
              </w:rPr>
            </w:pPr>
          </w:p>
        </w:tc>
        <w:tc>
          <w:tcPr>
            <w:tcW w:w="640" w:type="pct"/>
            <w:vAlign w:val="bottom"/>
          </w:tcPr>
          <w:p w14:paraId="70B3DBB6" w14:textId="77777777" w:rsidR="00CB7D4D" w:rsidRPr="005B35F4" w:rsidRDefault="00CB7D4D" w:rsidP="0034622E">
            <w:pPr>
              <w:spacing w:line="240" w:lineRule="exact"/>
              <w:jc w:val="right"/>
              <w:outlineLvl w:val="0"/>
              <w:rPr>
                <w:rFonts w:ascii="Arial" w:hAnsi="Arial" w:cs="Arial"/>
                <w:color w:val="000000" w:themeColor="text1"/>
                <w:spacing w:val="-2"/>
                <w:sz w:val="17"/>
                <w:szCs w:val="17"/>
              </w:rPr>
            </w:pPr>
          </w:p>
        </w:tc>
        <w:tc>
          <w:tcPr>
            <w:tcW w:w="603" w:type="pct"/>
            <w:vAlign w:val="bottom"/>
          </w:tcPr>
          <w:p w14:paraId="3F00D312" w14:textId="77777777" w:rsidR="00CB7D4D" w:rsidRPr="005B35F4" w:rsidRDefault="00CB7D4D" w:rsidP="0034622E">
            <w:pPr>
              <w:spacing w:line="240" w:lineRule="exact"/>
              <w:jc w:val="right"/>
              <w:outlineLvl w:val="0"/>
              <w:rPr>
                <w:rFonts w:ascii="Arial" w:hAnsi="Arial" w:cs="Arial"/>
                <w:color w:val="000000" w:themeColor="text1"/>
                <w:spacing w:val="-2"/>
                <w:sz w:val="17"/>
                <w:szCs w:val="17"/>
              </w:rPr>
            </w:pPr>
          </w:p>
        </w:tc>
      </w:tr>
      <w:tr w:rsidR="00CB7D4D" w:rsidRPr="005B35F4" w14:paraId="4C11CBFD" w14:textId="77777777" w:rsidTr="0034622E">
        <w:trPr>
          <w:trHeight w:val="152"/>
        </w:trPr>
        <w:tc>
          <w:tcPr>
            <w:tcW w:w="1517" w:type="pct"/>
            <w:vAlign w:val="bottom"/>
          </w:tcPr>
          <w:p w14:paraId="40EA0B68" w14:textId="77777777" w:rsidR="00CB7D4D" w:rsidRPr="005B35F4" w:rsidRDefault="00CB7D4D" w:rsidP="0034622E">
            <w:pPr>
              <w:tabs>
                <w:tab w:val="right" w:pos="1202"/>
              </w:tabs>
              <w:spacing w:line="240" w:lineRule="exact"/>
              <w:outlineLvl w:val="0"/>
              <w:rPr>
                <w:rFonts w:ascii="Arial" w:hAnsi="Arial" w:cs="Arial"/>
                <w:color w:val="000000" w:themeColor="text1"/>
                <w:sz w:val="17"/>
                <w:szCs w:val="17"/>
              </w:rPr>
            </w:pPr>
            <w:r w:rsidRPr="005B35F4">
              <w:rPr>
                <w:rFonts w:ascii="Arial" w:hAnsi="Arial" w:cs="Arial"/>
                <w:color w:val="000000" w:themeColor="text1"/>
                <w:spacing w:val="-2"/>
                <w:sz w:val="17"/>
                <w:szCs w:val="17"/>
              </w:rPr>
              <w:t>Obveze po depozitima</w:t>
            </w:r>
          </w:p>
        </w:tc>
        <w:tc>
          <w:tcPr>
            <w:tcW w:w="551" w:type="pct"/>
            <w:tcBorders>
              <w:top w:val="nil"/>
              <w:left w:val="nil"/>
              <w:bottom w:val="nil"/>
              <w:right w:val="nil"/>
            </w:tcBorders>
            <w:shd w:val="clear" w:color="auto" w:fill="auto"/>
            <w:vAlign w:val="bottom"/>
          </w:tcPr>
          <w:p w14:paraId="6DC47A02" w14:textId="77777777" w:rsidR="00CB7D4D" w:rsidRPr="005B35F4" w:rsidRDefault="00CB7D4D" w:rsidP="0034622E">
            <w:pPr>
              <w:jc w:val="right"/>
              <w:rPr>
                <w:rFonts w:ascii="Arial" w:hAnsi="Arial" w:cs="Arial"/>
                <w:color w:val="000000"/>
                <w:sz w:val="17"/>
                <w:szCs w:val="17"/>
              </w:rPr>
            </w:pPr>
            <w:r w:rsidRPr="00F959D0">
              <w:rPr>
                <w:rFonts w:ascii="Arial" w:hAnsi="Arial" w:cs="Arial"/>
                <w:color w:val="000000"/>
                <w:sz w:val="17"/>
                <w:szCs w:val="17"/>
              </w:rPr>
              <w:t>148.059</w:t>
            </w:r>
          </w:p>
        </w:tc>
        <w:tc>
          <w:tcPr>
            <w:tcW w:w="546" w:type="pct"/>
            <w:tcBorders>
              <w:top w:val="nil"/>
              <w:left w:val="nil"/>
              <w:bottom w:val="nil"/>
              <w:right w:val="nil"/>
            </w:tcBorders>
            <w:shd w:val="clear" w:color="auto" w:fill="auto"/>
            <w:vAlign w:val="bottom"/>
          </w:tcPr>
          <w:p w14:paraId="258987C7" w14:textId="77777777" w:rsidR="00CB7D4D" w:rsidRPr="005B35F4" w:rsidRDefault="00CB7D4D" w:rsidP="0034622E">
            <w:pPr>
              <w:jc w:val="right"/>
              <w:rPr>
                <w:rFonts w:ascii="Arial" w:hAnsi="Arial" w:cs="Arial"/>
                <w:color w:val="000000"/>
                <w:sz w:val="17"/>
                <w:szCs w:val="17"/>
              </w:rPr>
            </w:pPr>
            <w:r w:rsidRPr="00F959D0">
              <w:rPr>
                <w:rFonts w:ascii="Arial" w:hAnsi="Arial" w:cs="Arial"/>
                <w:color w:val="000000"/>
                <w:sz w:val="17"/>
                <w:szCs w:val="17"/>
              </w:rPr>
              <w:t>12.586</w:t>
            </w:r>
          </w:p>
        </w:tc>
        <w:tc>
          <w:tcPr>
            <w:tcW w:w="572" w:type="pct"/>
            <w:tcBorders>
              <w:top w:val="nil"/>
              <w:left w:val="nil"/>
              <w:bottom w:val="nil"/>
              <w:right w:val="nil"/>
            </w:tcBorders>
            <w:shd w:val="clear" w:color="auto" w:fill="auto"/>
            <w:vAlign w:val="bottom"/>
          </w:tcPr>
          <w:p w14:paraId="282AAA3F" w14:textId="77777777" w:rsidR="00CB7D4D" w:rsidRPr="005B35F4" w:rsidRDefault="00CB7D4D" w:rsidP="0034622E">
            <w:pPr>
              <w:jc w:val="right"/>
              <w:rPr>
                <w:rFonts w:ascii="Arial" w:hAnsi="Arial" w:cs="Arial"/>
                <w:color w:val="000000"/>
                <w:sz w:val="17"/>
                <w:szCs w:val="17"/>
              </w:rPr>
            </w:pPr>
            <w:r w:rsidRPr="00F959D0">
              <w:rPr>
                <w:rFonts w:ascii="Arial" w:hAnsi="Arial" w:cs="Arial"/>
                <w:color w:val="000000"/>
                <w:sz w:val="17"/>
                <w:szCs w:val="17"/>
              </w:rPr>
              <w:t>18.604</w:t>
            </w:r>
          </w:p>
        </w:tc>
        <w:tc>
          <w:tcPr>
            <w:tcW w:w="570" w:type="pct"/>
            <w:tcBorders>
              <w:top w:val="nil"/>
              <w:left w:val="nil"/>
              <w:bottom w:val="nil"/>
              <w:right w:val="nil"/>
            </w:tcBorders>
            <w:shd w:val="clear" w:color="auto" w:fill="auto"/>
            <w:vAlign w:val="bottom"/>
          </w:tcPr>
          <w:p w14:paraId="07D1FB45" w14:textId="77777777" w:rsidR="00CB7D4D" w:rsidRPr="005B35F4" w:rsidRDefault="00CB7D4D" w:rsidP="0034622E">
            <w:pPr>
              <w:jc w:val="right"/>
              <w:rPr>
                <w:rFonts w:ascii="Arial" w:hAnsi="Arial" w:cs="Arial"/>
                <w:color w:val="000000"/>
                <w:sz w:val="17"/>
                <w:szCs w:val="17"/>
              </w:rPr>
            </w:pPr>
            <w:r w:rsidRPr="00F959D0">
              <w:rPr>
                <w:rFonts w:ascii="Arial" w:hAnsi="Arial" w:cs="Arial"/>
                <w:color w:val="000000"/>
                <w:sz w:val="17"/>
                <w:szCs w:val="17"/>
              </w:rPr>
              <w:t>46</w:t>
            </w:r>
          </w:p>
        </w:tc>
        <w:tc>
          <w:tcPr>
            <w:tcW w:w="640" w:type="pct"/>
            <w:tcBorders>
              <w:top w:val="nil"/>
              <w:left w:val="nil"/>
              <w:bottom w:val="nil"/>
              <w:right w:val="nil"/>
            </w:tcBorders>
            <w:shd w:val="clear" w:color="auto" w:fill="auto"/>
            <w:vAlign w:val="bottom"/>
          </w:tcPr>
          <w:p w14:paraId="1DA14B61" w14:textId="77777777" w:rsidR="00CB7D4D" w:rsidRPr="005B35F4" w:rsidRDefault="00CB7D4D" w:rsidP="0034622E">
            <w:pPr>
              <w:jc w:val="right"/>
              <w:rPr>
                <w:rFonts w:ascii="Arial" w:hAnsi="Arial" w:cs="Arial"/>
                <w:color w:val="000000"/>
                <w:sz w:val="17"/>
                <w:szCs w:val="17"/>
              </w:rPr>
            </w:pPr>
            <w:r w:rsidRPr="00F959D0">
              <w:rPr>
                <w:rFonts w:ascii="Arial" w:hAnsi="Arial" w:cs="Arial"/>
                <w:color w:val="000000"/>
                <w:sz w:val="17"/>
                <w:szCs w:val="17"/>
              </w:rPr>
              <w:t>15.581</w:t>
            </w:r>
          </w:p>
        </w:tc>
        <w:tc>
          <w:tcPr>
            <w:tcW w:w="603" w:type="pct"/>
            <w:tcBorders>
              <w:top w:val="nil"/>
              <w:left w:val="nil"/>
              <w:bottom w:val="nil"/>
              <w:right w:val="nil"/>
            </w:tcBorders>
            <w:shd w:val="clear" w:color="auto" w:fill="auto"/>
            <w:vAlign w:val="bottom"/>
          </w:tcPr>
          <w:p w14:paraId="4FD57C63" w14:textId="77777777" w:rsidR="00CB7D4D" w:rsidRPr="005B35F4" w:rsidRDefault="00CB7D4D" w:rsidP="0034622E">
            <w:pPr>
              <w:jc w:val="right"/>
              <w:rPr>
                <w:rFonts w:ascii="Arial" w:hAnsi="Arial" w:cs="Arial"/>
                <w:color w:val="000000"/>
                <w:sz w:val="17"/>
                <w:szCs w:val="17"/>
              </w:rPr>
            </w:pPr>
            <w:r w:rsidRPr="00F959D0">
              <w:rPr>
                <w:rFonts w:ascii="Arial" w:hAnsi="Arial" w:cs="Arial"/>
                <w:color w:val="000000"/>
                <w:sz w:val="17"/>
                <w:szCs w:val="17"/>
              </w:rPr>
              <w:t>194.876</w:t>
            </w:r>
          </w:p>
        </w:tc>
      </w:tr>
      <w:tr w:rsidR="00CB7D4D" w:rsidRPr="005B35F4" w14:paraId="06A79550" w14:textId="77777777" w:rsidTr="0034622E">
        <w:trPr>
          <w:trHeight w:val="80"/>
        </w:trPr>
        <w:tc>
          <w:tcPr>
            <w:tcW w:w="1517" w:type="pct"/>
            <w:vAlign w:val="bottom"/>
          </w:tcPr>
          <w:p w14:paraId="61CB8392" w14:textId="77777777" w:rsidR="00CB7D4D" w:rsidRPr="005B35F4" w:rsidRDefault="00CB7D4D" w:rsidP="0034622E">
            <w:pPr>
              <w:tabs>
                <w:tab w:val="right" w:pos="1202"/>
              </w:tabs>
              <w:spacing w:line="240" w:lineRule="exact"/>
              <w:outlineLvl w:val="0"/>
              <w:rPr>
                <w:rFonts w:ascii="Arial" w:hAnsi="Arial" w:cs="Arial"/>
                <w:color w:val="000000" w:themeColor="text1"/>
                <w:sz w:val="17"/>
                <w:szCs w:val="17"/>
              </w:rPr>
            </w:pPr>
            <w:r w:rsidRPr="005B35F4">
              <w:rPr>
                <w:rFonts w:ascii="Arial" w:hAnsi="Arial" w:cs="Arial"/>
                <w:color w:val="000000" w:themeColor="text1"/>
                <w:spacing w:val="-2"/>
                <w:sz w:val="17"/>
                <w:szCs w:val="17"/>
              </w:rPr>
              <w:t>Obveze po kreditima</w:t>
            </w:r>
          </w:p>
        </w:tc>
        <w:tc>
          <w:tcPr>
            <w:tcW w:w="551" w:type="pct"/>
            <w:tcBorders>
              <w:top w:val="nil"/>
              <w:left w:val="nil"/>
              <w:bottom w:val="nil"/>
              <w:right w:val="nil"/>
            </w:tcBorders>
            <w:shd w:val="clear" w:color="auto" w:fill="auto"/>
            <w:vAlign w:val="bottom"/>
          </w:tcPr>
          <w:p w14:paraId="57837000" w14:textId="77777777" w:rsidR="00CB7D4D" w:rsidRPr="005B35F4" w:rsidRDefault="00CB7D4D" w:rsidP="0034622E">
            <w:pPr>
              <w:jc w:val="right"/>
              <w:rPr>
                <w:rFonts w:ascii="Arial" w:hAnsi="Arial" w:cs="Arial"/>
                <w:color w:val="000000"/>
                <w:sz w:val="17"/>
                <w:szCs w:val="17"/>
              </w:rPr>
            </w:pPr>
            <w:r w:rsidRPr="00F959D0">
              <w:rPr>
                <w:rFonts w:ascii="Arial" w:hAnsi="Arial" w:cs="Arial"/>
                <w:color w:val="000000"/>
                <w:sz w:val="17"/>
                <w:szCs w:val="17"/>
              </w:rPr>
              <w:t>59.784</w:t>
            </w:r>
          </w:p>
        </w:tc>
        <w:tc>
          <w:tcPr>
            <w:tcW w:w="546" w:type="pct"/>
            <w:tcBorders>
              <w:top w:val="nil"/>
              <w:left w:val="nil"/>
              <w:bottom w:val="nil"/>
              <w:right w:val="nil"/>
            </w:tcBorders>
            <w:shd w:val="clear" w:color="auto" w:fill="auto"/>
            <w:vAlign w:val="bottom"/>
          </w:tcPr>
          <w:p w14:paraId="686C826B" w14:textId="77777777" w:rsidR="00CB7D4D" w:rsidRPr="005B35F4" w:rsidRDefault="00CB7D4D" w:rsidP="0034622E">
            <w:pPr>
              <w:jc w:val="right"/>
              <w:rPr>
                <w:rFonts w:ascii="Arial" w:hAnsi="Arial" w:cs="Arial"/>
                <w:color w:val="000000"/>
                <w:sz w:val="17"/>
                <w:szCs w:val="17"/>
              </w:rPr>
            </w:pPr>
            <w:r w:rsidRPr="00F959D0">
              <w:rPr>
                <w:rFonts w:ascii="Arial" w:hAnsi="Arial" w:cs="Arial"/>
                <w:color w:val="000000"/>
                <w:sz w:val="17"/>
                <w:szCs w:val="17"/>
              </w:rPr>
              <w:t>167.701</w:t>
            </w:r>
            <w:r>
              <w:rPr>
                <w:rFonts w:ascii="Arial" w:hAnsi="Arial" w:cs="Arial"/>
                <w:color w:val="000000"/>
                <w:sz w:val="17"/>
                <w:szCs w:val="17"/>
              </w:rPr>
              <w:t>**</w:t>
            </w:r>
          </w:p>
        </w:tc>
        <w:tc>
          <w:tcPr>
            <w:tcW w:w="572" w:type="pct"/>
            <w:tcBorders>
              <w:top w:val="nil"/>
              <w:left w:val="nil"/>
              <w:bottom w:val="nil"/>
              <w:right w:val="nil"/>
            </w:tcBorders>
            <w:shd w:val="clear" w:color="auto" w:fill="auto"/>
            <w:vAlign w:val="bottom"/>
          </w:tcPr>
          <w:p w14:paraId="25D43B95" w14:textId="77777777" w:rsidR="00CB7D4D" w:rsidRPr="005B35F4" w:rsidRDefault="00CB7D4D" w:rsidP="0034622E">
            <w:pPr>
              <w:jc w:val="right"/>
              <w:rPr>
                <w:rFonts w:ascii="Arial" w:hAnsi="Arial" w:cs="Arial"/>
                <w:color w:val="000000"/>
                <w:sz w:val="17"/>
                <w:szCs w:val="17"/>
              </w:rPr>
            </w:pPr>
            <w:r w:rsidRPr="00F959D0">
              <w:rPr>
                <w:rFonts w:ascii="Arial" w:hAnsi="Arial" w:cs="Arial"/>
                <w:color w:val="000000"/>
                <w:sz w:val="17"/>
                <w:szCs w:val="17"/>
              </w:rPr>
              <w:t>262.67</w:t>
            </w:r>
            <w:r>
              <w:rPr>
                <w:rFonts w:ascii="Arial" w:hAnsi="Arial" w:cs="Arial"/>
                <w:color w:val="000000"/>
                <w:sz w:val="17"/>
                <w:szCs w:val="17"/>
              </w:rPr>
              <w:t>0</w:t>
            </w:r>
          </w:p>
        </w:tc>
        <w:tc>
          <w:tcPr>
            <w:tcW w:w="570" w:type="pct"/>
            <w:tcBorders>
              <w:top w:val="nil"/>
              <w:left w:val="nil"/>
              <w:bottom w:val="nil"/>
              <w:right w:val="nil"/>
            </w:tcBorders>
            <w:shd w:val="clear" w:color="auto" w:fill="auto"/>
            <w:vAlign w:val="bottom"/>
          </w:tcPr>
          <w:p w14:paraId="59FE8E81" w14:textId="77777777" w:rsidR="00CB7D4D" w:rsidRPr="005B35F4" w:rsidRDefault="00CB7D4D" w:rsidP="0034622E">
            <w:pPr>
              <w:jc w:val="right"/>
              <w:rPr>
                <w:rFonts w:ascii="Arial" w:hAnsi="Arial" w:cs="Arial"/>
                <w:color w:val="000000"/>
                <w:sz w:val="17"/>
                <w:szCs w:val="17"/>
              </w:rPr>
            </w:pPr>
            <w:r w:rsidRPr="00F959D0">
              <w:rPr>
                <w:rFonts w:ascii="Arial" w:hAnsi="Arial" w:cs="Arial"/>
                <w:color w:val="000000"/>
                <w:sz w:val="17"/>
                <w:szCs w:val="17"/>
              </w:rPr>
              <w:t>640.802</w:t>
            </w:r>
          </w:p>
        </w:tc>
        <w:tc>
          <w:tcPr>
            <w:tcW w:w="640" w:type="pct"/>
            <w:tcBorders>
              <w:top w:val="nil"/>
              <w:left w:val="nil"/>
              <w:bottom w:val="nil"/>
              <w:right w:val="nil"/>
            </w:tcBorders>
            <w:shd w:val="clear" w:color="auto" w:fill="auto"/>
            <w:vAlign w:val="bottom"/>
          </w:tcPr>
          <w:p w14:paraId="15ADE0BA" w14:textId="77777777" w:rsidR="00CB7D4D" w:rsidRPr="005B35F4" w:rsidRDefault="00CB7D4D" w:rsidP="0034622E">
            <w:pPr>
              <w:jc w:val="right"/>
              <w:rPr>
                <w:rFonts w:ascii="Arial" w:hAnsi="Arial" w:cs="Arial"/>
                <w:color w:val="000000"/>
                <w:sz w:val="17"/>
                <w:szCs w:val="17"/>
              </w:rPr>
            </w:pPr>
            <w:r w:rsidRPr="00F959D0">
              <w:rPr>
                <w:rFonts w:ascii="Arial" w:hAnsi="Arial" w:cs="Arial"/>
                <w:color w:val="000000"/>
                <w:sz w:val="17"/>
                <w:szCs w:val="17"/>
              </w:rPr>
              <w:t>1.120.219</w:t>
            </w:r>
          </w:p>
        </w:tc>
        <w:tc>
          <w:tcPr>
            <w:tcW w:w="603" w:type="pct"/>
            <w:tcBorders>
              <w:top w:val="nil"/>
              <w:left w:val="nil"/>
              <w:bottom w:val="nil"/>
              <w:right w:val="nil"/>
            </w:tcBorders>
            <w:shd w:val="clear" w:color="auto" w:fill="auto"/>
            <w:vAlign w:val="bottom"/>
          </w:tcPr>
          <w:p w14:paraId="4A930EB2" w14:textId="77777777" w:rsidR="00CB7D4D" w:rsidRPr="005B35F4" w:rsidRDefault="00CB7D4D" w:rsidP="0034622E">
            <w:pPr>
              <w:jc w:val="right"/>
              <w:rPr>
                <w:rFonts w:ascii="Arial" w:hAnsi="Arial" w:cs="Arial"/>
                <w:color w:val="000000"/>
                <w:sz w:val="17"/>
                <w:szCs w:val="17"/>
              </w:rPr>
            </w:pPr>
            <w:r w:rsidRPr="00F959D0">
              <w:rPr>
                <w:rFonts w:ascii="Arial" w:hAnsi="Arial" w:cs="Arial"/>
                <w:color w:val="000000"/>
                <w:sz w:val="17"/>
                <w:szCs w:val="17"/>
              </w:rPr>
              <w:t>2.251.17</w:t>
            </w:r>
            <w:r>
              <w:rPr>
                <w:rFonts w:ascii="Arial" w:hAnsi="Arial" w:cs="Arial"/>
                <w:color w:val="000000"/>
                <w:sz w:val="17"/>
                <w:szCs w:val="17"/>
              </w:rPr>
              <w:t>6</w:t>
            </w:r>
          </w:p>
        </w:tc>
      </w:tr>
      <w:tr w:rsidR="00CB7D4D" w:rsidRPr="005B35F4" w14:paraId="4B10B0E4" w14:textId="77777777" w:rsidTr="0034622E">
        <w:trPr>
          <w:trHeight w:val="293"/>
        </w:trPr>
        <w:tc>
          <w:tcPr>
            <w:tcW w:w="1517" w:type="pct"/>
            <w:vAlign w:val="bottom"/>
          </w:tcPr>
          <w:p w14:paraId="6617DEF3" w14:textId="77777777" w:rsidR="00CB7D4D" w:rsidRPr="005B35F4" w:rsidRDefault="00CB7D4D" w:rsidP="0034622E">
            <w:pPr>
              <w:tabs>
                <w:tab w:val="right" w:pos="1202"/>
              </w:tabs>
              <w:spacing w:line="240" w:lineRule="exact"/>
              <w:outlineLvl w:val="0"/>
              <w:rPr>
                <w:rFonts w:ascii="Arial" w:hAnsi="Arial" w:cs="Arial"/>
                <w:color w:val="000000" w:themeColor="text1"/>
                <w:spacing w:val="-2"/>
                <w:sz w:val="17"/>
                <w:szCs w:val="17"/>
              </w:rPr>
            </w:pPr>
            <w:r w:rsidRPr="005B35F4">
              <w:rPr>
                <w:rFonts w:ascii="Arial" w:hAnsi="Arial" w:cs="Arial"/>
                <w:color w:val="000000" w:themeColor="text1"/>
                <w:spacing w:val="-2"/>
                <w:sz w:val="17"/>
                <w:szCs w:val="17"/>
              </w:rPr>
              <w:t>Rezerviranja za garancije, preuzete i ostale obveze</w:t>
            </w:r>
          </w:p>
        </w:tc>
        <w:tc>
          <w:tcPr>
            <w:tcW w:w="551" w:type="pct"/>
            <w:tcBorders>
              <w:top w:val="nil"/>
              <w:left w:val="nil"/>
              <w:bottom w:val="nil"/>
              <w:right w:val="nil"/>
            </w:tcBorders>
            <w:shd w:val="clear" w:color="auto" w:fill="auto"/>
            <w:vAlign w:val="bottom"/>
          </w:tcPr>
          <w:p w14:paraId="3CD0F5A8" w14:textId="77777777" w:rsidR="00CB7D4D" w:rsidRPr="005B35F4" w:rsidDel="00F864B4" w:rsidRDefault="00CB7D4D" w:rsidP="0034622E">
            <w:pPr>
              <w:jc w:val="right"/>
              <w:rPr>
                <w:rFonts w:ascii="Arial" w:hAnsi="Arial" w:cs="Arial"/>
                <w:color w:val="000000"/>
                <w:sz w:val="17"/>
                <w:szCs w:val="17"/>
              </w:rPr>
            </w:pPr>
            <w:r w:rsidRPr="00F959D0">
              <w:rPr>
                <w:rFonts w:ascii="Arial" w:hAnsi="Arial" w:cs="Arial"/>
                <w:color w:val="000000"/>
                <w:sz w:val="17"/>
                <w:szCs w:val="17"/>
              </w:rPr>
              <w:t>10.561</w:t>
            </w:r>
          </w:p>
        </w:tc>
        <w:tc>
          <w:tcPr>
            <w:tcW w:w="546" w:type="pct"/>
            <w:tcBorders>
              <w:top w:val="nil"/>
              <w:left w:val="nil"/>
              <w:bottom w:val="nil"/>
              <w:right w:val="nil"/>
            </w:tcBorders>
            <w:shd w:val="clear" w:color="auto" w:fill="auto"/>
            <w:vAlign w:val="bottom"/>
          </w:tcPr>
          <w:p w14:paraId="376CFEA8" w14:textId="77777777" w:rsidR="00CB7D4D" w:rsidRPr="005B35F4" w:rsidDel="00F864B4" w:rsidRDefault="00CB7D4D" w:rsidP="0034622E">
            <w:pPr>
              <w:jc w:val="right"/>
              <w:rPr>
                <w:rFonts w:ascii="Arial" w:hAnsi="Arial" w:cs="Arial"/>
                <w:color w:val="000000"/>
                <w:sz w:val="17"/>
                <w:szCs w:val="17"/>
              </w:rPr>
            </w:pPr>
            <w:r w:rsidRPr="00F959D0">
              <w:rPr>
                <w:rFonts w:ascii="Arial" w:hAnsi="Arial" w:cs="Arial"/>
                <w:color w:val="000000"/>
                <w:sz w:val="17"/>
                <w:szCs w:val="17"/>
              </w:rPr>
              <w:t>851</w:t>
            </w:r>
          </w:p>
        </w:tc>
        <w:tc>
          <w:tcPr>
            <w:tcW w:w="572" w:type="pct"/>
            <w:tcBorders>
              <w:top w:val="nil"/>
              <w:left w:val="nil"/>
              <w:bottom w:val="nil"/>
              <w:right w:val="nil"/>
            </w:tcBorders>
            <w:shd w:val="clear" w:color="auto" w:fill="auto"/>
            <w:vAlign w:val="bottom"/>
          </w:tcPr>
          <w:p w14:paraId="6B723797" w14:textId="77777777" w:rsidR="00CB7D4D" w:rsidRPr="005B35F4" w:rsidDel="00F864B4" w:rsidRDefault="00CB7D4D" w:rsidP="0034622E">
            <w:pPr>
              <w:jc w:val="right"/>
              <w:rPr>
                <w:rFonts w:ascii="Arial" w:hAnsi="Arial" w:cs="Arial"/>
                <w:color w:val="000000"/>
                <w:sz w:val="17"/>
                <w:szCs w:val="17"/>
              </w:rPr>
            </w:pPr>
            <w:r w:rsidRPr="00F959D0">
              <w:rPr>
                <w:rFonts w:ascii="Arial" w:hAnsi="Arial" w:cs="Arial"/>
                <w:color w:val="000000"/>
                <w:sz w:val="17"/>
                <w:szCs w:val="17"/>
              </w:rPr>
              <w:t>3.203</w:t>
            </w:r>
          </w:p>
        </w:tc>
        <w:tc>
          <w:tcPr>
            <w:tcW w:w="570" w:type="pct"/>
            <w:tcBorders>
              <w:top w:val="nil"/>
              <w:left w:val="nil"/>
              <w:bottom w:val="nil"/>
              <w:right w:val="nil"/>
            </w:tcBorders>
            <w:shd w:val="clear" w:color="auto" w:fill="auto"/>
            <w:vAlign w:val="bottom"/>
          </w:tcPr>
          <w:p w14:paraId="17CB7D6A" w14:textId="77777777" w:rsidR="00CB7D4D" w:rsidRPr="005B35F4" w:rsidDel="00F864B4" w:rsidRDefault="00CB7D4D" w:rsidP="0034622E">
            <w:pPr>
              <w:jc w:val="right"/>
              <w:rPr>
                <w:rFonts w:ascii="Arial" w:hAnsi="Arial" w:cs="Arial"/>
                <w:color w:val="000000"/>
                <w:sz w:val="17"/>
                <w:szCs w:val="17"/>
              </w:rPr>
            </w:pPr>
            <w:r w:rsidRPr="00F959D0">
              <w:rPr>
                <w:rFonts w:ascii="Arial" w:hAnsi="Arial" w:cs="Arial"/>
                <w:color w:val="000000"/>
                <w:sz w:val="17"/>
                <w:szCs w:val="17"/>
              </w:rPr>
              <w:t>6.343</w:t>
            </w:r>
          </w:p>
        </w:tc>
        <w:tc>
          <w:tcPr>
            <w:tcW w:w="640" w:type="pct"/>
            <w:tcBorders>
              <w:top w:val="nil"/>
              <w:left w:val="nil"/>
              <w:bottom w:val="nil"/>
              <w:right w:val="nil"/>
            </w:tcBorders>
            <w:shd w:val="clear" w:color="auto" w:fill="auto"/>
            <w:vAlign w:val="bottom"/>
          </w:tcPr>
          <w:p w14:paraId="7497122A" w14:textId="77777777" w:rsidR="00CB7D4D" w:rsidRPr="005B35F4" w:rsidDel="00F864B4" w:rsidRDefault="00CB7D4D" w:rsidP="0034622E">
            <w:pPr>
              <w:jc w:val="right"/>
              <w:rPr>
                <w:rFonts w:ascii="Arial" w:hAnsi="Arial" w:cs="Arial"/>
                <w:color w:val="000000"/>
                <w:sz w:val="17"/>
                <w:szCs w:val="17"/>
              </w:rPr>
            </w:pPr>
            <w:r w:rsidRPr="00F959D0">
              <w:rPr>
                <w:rFonts w:ascii="Arial" w:hAnsi="Arial" w:cs="Arial"/>
                <w:color w:val="000000"/>
                <w:sz w:val="17"/>
                <w:szCs w:val="17"/>
              </w:rPr>
              <w:t>3.422</w:t>
            </w:r>
          </w:p>
        </w:tc>
        <w:tc>
          <w:tcPr>
            <w:tcW w:w="603" w:type="pct"/>
            <w:tcBorders>
              <w:top w:val="nil"/>
              <w:left w:val="nil"/>
              <w:bottom w:val="nil"/>
              <w:right w:val="nil"/>
            </w:tcBorders>
            <w:shd w:val="clear" w:color="auto" w:fill="auto"/>
            <w:vAlign w:val="bottom"/>
          </w:tcPr>
          <w:p w14:paraId="62A0BA1C" w14:textId="77777777" w:rsidR="00CB7D4D" w:rsidRPr="005B35F4" w:rsidDel="00F864B4" w:rsidRDefault="00CB7D4D" w:rsidP="0034622E">
            <w:pPr>
              <w:jc w:val="right"/>
              <w:rPr>
                <w:rFonts w:ascii="Arial" w:hAnsi="Arial" w:cs="Arial"/>
                <w:color w:val="000000"/>
                <w:sz w:val="17"/>
                <w:szCs w:val="17"/>
              </w:rPr>
            </w:pPr>
            <w:r w:rsidRPr="00F959D0">
              <w:rPr>
                <w:rFonts w:ascii="Arial" w:hAnsi="Arial" w:cs="Arial"/>
                <w:color w:val="000000"/>
                <w:sz w:val="17"/>
                <w:szCs w:val="17"/>
              </w:rPr>
              <w:t>24.380</w:t>
            </w:r>
          </w:p>
        </w:tc>
      </w:tr>
      <w:tr w:rsidR="00CB7D4D" w:rsidRPr="005B35F4" w14:paraId="7050C13B" w14:textId="77777777" w:rsidTr="0034622E">
        <w:trPr>
          <w:trHeight w:val="137"/>
        </w:trPr>
        <w:tc>
          <w:tcPr>
            <w:tcW w:w="1517" w:type="pct"/>
            <w:vAlign w:val="bottom"/>
          </w:tcPr>
          <w:p w14:paraId="5A5F0A2C" w14:textId="77777777" w:rsidR="00CB7D4D" w:rsidRPr="005B35F4" w:rsidRDefault="00CB7D4D" w:rsidP="0034622E">
            <w:pPr>
              <w:tabs>
                <w:tab w:val="right" w:pos="1202"/>
              </w:tabs>
              <w:spacing w:line="240" w:lineRule="exact"/>
              <w:outlineLvl w:val="0"/>
              <w:rPr>
                <w:rFonts w:ascii="Arial" w:hAnsi="Arial" w:cs="Arial"/>
                <w:color w:val="000000" w:themeColor="text1"/>
                <w:sz w:val="17"/>
                <w:szCs w:val="17"/>
              </w:rPr>
            </w:pPr>
            <w:r w:rsidRPr="005B35F4">
              <w:rPr>
                <w:rFonts w:ascii="Arial" w:hAnsi="Arial" w:cs="Arial"/>
                <w:color w:val="000000" w:themeColor="text1"/>
                <w:spacing w:val="-2"/>
                <w:sz w:val="17"/>
                <w:szCs w:val="17"/>
              </w:rPr>
              <w:t>Ostale obveze</w:t>
            </w:r>
          </w:p>
        </w:tc>
        <w:tc>
          <w:tcPr>
            <w:tcW w:w="551" w:type="pct"/>
            <w:tcBorders>
              <w:top w:val="nil"/>
              <w:left w:val="nil"/>
              <w:bottom w:val="nil"/>
              <w:right w:val="nil"/>
            </w:tcBorders>
            <w:shd w:val="clear" w:color="auto" w:fill="auto"/>
            <w:vAlign w:val="bottom"/>
          </w:tcPr>
          <w:p w14:paraId="0B1610AE" w14:textId="77777777" w:rsidR="00CB7D4D" w:rsidRPr="005B35F4" w:rsidRDefault="00CB7D4D" w:rsidP="0034622E">
            <w:pPr>
              <w:jc w:val="right"/>
              <w:rPr>
                <w:rFonts w:ascii="Arial" w:hAnsi="Arial" w:cs="Arial"/>
                <w:color w:val="000000"/>
                <w:sz w:val="17"/>
                <w:szCs w:val="17"/>
              </w:rPr>
            </w:pPr>
            <w:r w:rsidRPr="00F959D0">
              <w:rPr>
                <w:rFonts w:ascii="Arial" w:hAnsi="Arial" w:cs="Arial"/>
                <w:color w:val="000000"/>
                <w:sz w:val="17"/>
                <w:szCs w:val="17"/>
              </w:rPr>
              <w:t>39.304</w:t>
            </w:r>
          </w:p>
        </w:tc>
        <w:tc>
          <w:tcPr>
            <w:tcW w:w="546" w:type="pct"/>
            <w:tcBorders>
              <w:top w:val="nil"/>
              <w:left w:val="nil"/>
              <w:bottom w:val="nil"/>
              <w:right w:val="nil"/>
            </w:tcBorders>
            <w:shd w:val="clear" w:color="auto" w:fill="auto"/>
            <w:vAlign w:val="bottom"/>
          </w:tcPr>
          <w:p w14:paraId="688A9CC1" w14:textId="77777777" w:rsidR="00CB7D4D" w:rsidRPr="005B35F4" w:rsidRDefault="00CB7D4D" w:rsidP="0034622E">
            <w:pPr>
              <w:jc w:val="right"/>
              <w:rPr>
                <w:rFonts w:ascii="Arial" w:hAnsi="Arial" w:cs="Arial"/>
                <w:color w:val="000000"/>
                <w:sz w:val="17"/>
                <w:szCs w:val="17"/>
              </w:rPr>
            </w:pPr>
            <w:r w:rsidRPr="00F959D0">
              <w:rPr>
                <w:rFonts w:ascii="Arial" w:hAnsi="Arial" w:cs="Arial"/>
                <w:color w:val="000000"/>
                <w:sz w:val="17"/>
                <w:szCs w:val="17"/>
              </w:rPr>
              <w:t>3.167</w:t>
            </w:r>
          </w:p>
        </w:tc>
        <w:tc>
          <w:tcPr>
            <w:tcW w:w="572" w:type="pct"/>
            <w:tcBorders>
              <w:top w:val="nil"/>
              <w:left w:val="nil"/>
              <w:bottom w:val="nil"/>
              <w:right w:val="nil"/>
            </w:tcBorders>
            <w:shd w:val="clear" w:color="auto" w:fill="auto"/>
            <w:vAlign w:val="bottom"/>
          </w:tcPr>
          <w:p w14:paraId="28AC8523" w14:textId="77777777" w:rsidR="00CB7D4D" w:rsidRPr="005B35F4" w:rsidRDefault="00CB7D4D" w:rsidP="0034622E">
            <w:pPr>
              <w:jc w:val="right"/>
              <w:rPr>
                <w:rFonts w:ascii="Arial" w:hAnsi="Arial" w:cs="Arial"/>
                <w:color w:val="000000"/>
                <w:sz w:val="17"/>
                <w:szCs w:val="17"/>
              </w:rPr>
            </w:pPr>
            <w:r w:rsidRPr="00F959D0">
              <w:rPr>
                <w:rFonts w:ascii="Arial" w:hAnsi="Arial" w:cs="Arial"/>
                <w:color w:val="000000"/>
                <w:sz w:val="17"/>
                <w:szCs w:val="17"/>
              </w:rPr>
              <w:t>11.921</w:t>
            </w:r>
          </w:p>
        </w:tc>
        <w:tc>
          <w:tcPr>
            <w:tcW w:w="570" w:type="pct"/>
            <w:tcBorders>
              <w:top w:val="nil"/>
              <w:left w:val="nil"/>
              <w:bottom w:val="nil"/>
              <w:right w:val="nil"/>
            </w:tcBorders>
            <w:shd w:val="clear" w:color="auto" w:fill="auto"/>
            <w:vAlign w:val="bottom"/>
          </w:tcPr>
          <w:p w14:paraId="7D7C4E34" w14:textId="77777777" w:rsidR="00CB7D4D" w:rsidRPr="005B35F4" w:rsidRDefault="00CB7D4D" w:rsidP="0034622E">
            <w:pPr>
              <w:jc w:val="right"/>
              <w:rPr>
                <w:rFonts w:ascii="Arial" w:hAnsi="Arial" w:cs="Arial"/>
                <w:color w:val="000000"/>
                <w:sz w:val="17"/>
                <w:szCs w:val="17"/>
              </w:rPr>
            </w:pPr>
            <w:r w:rsidRPr="00F959D0">
              <w:rPr>
                <w:rFonts w:ascii="Arial" w:hAnsi="Arial" w:cs="Arial"/>
                <w:color w:val="000000"/>
                <w:sz w:val="17"/>
                <w:szCs w:val="17"/>
              </w:rPr>
              <w:t>23.605</w:t>
            </w:r>
          </w:p>
        </w:tc>
        <w:tc>
          <w:tcPr>
            <w:tcW w:w="640" w:type="pct"/>
            <w:tcBorders>
              <w:top w:val="nil"/>
              <w:left w:val="nil"/>
              <w:bottom w:val="nil"/>
              <w:right w:val="nil"/>
            </w:tcBorders>
            <w:shd w:val="clear" w:color="auto" w:fill="auto"/>
            <w:vAlign w:val="bottom"/>
          </w:tcPr>
          <w:p w14:paraId="24D10D77" w14:textId="77777777" w:rsidR="00CB7D4D" w:rsidRPr="005B35F4" w:rsidRDefault="00CB7D4D" w:rsidP="0034622E">
            <w:pPr>
              <w:jc w:val="right"/>
              <w:rPr>
                <w:rFonts w:ascii="Arial" w:hAnsi="Arial" w:cs="Arial"/>
                <w:color w:val="000000"/>
                <w:sz w:val="17"/>
                <w:szCs w:val="17"/>
              </w:rPr>
            </w:pPr>
            <w:r w:rsidRPr="00F959D0">
              <w:rPr>
                <w:rFonts w:ascii="Arial" w:hAnsi="Arial" w:cs="Arial"/>
                <w:color w:val="000000"/>
                <w:sz w:val="17"/>
                <w:szCs w:val="17"/>
              </w:rPr>
              <w:t>12.732</w:t>
            </w:r>
          </w:p>
        </w:tc>
        <w:tc>
          <w:tcPr>
            <w:tcW w:w="603" w:type="pct"/>
            <w:tcBorders>
              <w:top w:val="nil"/>
              <w:left w:val="nil"/>
              <w:bottom w:val="nil"/>
              <w:right w:val="nil"/>
            </w:tcBorders>
            <w:shd w:val="clear" w:color="auto" w:fill="auto"/>
            <w:vAlign w:val="bottom"/>
          </w:tcPr>
          <w:p w14:paraId="02FE495A" w14:textId="77777777" w:rsidR="00CB7D4D" w:rsidRPr="005B35F4" w:rsidRDefault="00CB7D4D" w:rsidP="0034622E">
            <w:pPr>
              <w:jc w:val="right"/>
              <w:rPr>
                <w:rFonts w:ascii="Arial" w:hAnsi="Arial" w:cs="Arial"/>
                <w:color w:val="000000"/>
                <w:sz w:val="17"/>
                <w:szCs w:val="17"/>
              </w:rPr>
            </w:pPr>
            <w:r w:rsidRPr="00F959D0">
              <w:rPr>
                <w:rFonts w:ascii="Arial" w:hAnsi="Arial" w:cs="Arial"/>
                <w:color w:val="000000"/>
                <w:sz w:val="17"/>
                <w:szCs w:val="17"/>
              </w:rPr>
              <w:t>90.729</w:t>
            </w:r>
          </w:p>
        </w:tc>
      </w:tr>
      <w:tr w:rsidR="00CB7D4D" w:rsidRPr="005B35F4" w14:paraId="6644C9F7" w14:textId="77777777" w:rsidTr="0034622E">
        <w:trPr>
          <w:trHeight w:val="145"/>
        </w:trPr>
        <w:tc>
          <w:tcPr>
            <w:tcW w:w="1517" w:type="pct"/>
          </w:tcPr>
          <w:p w14:paraId="6511F5D6" w14:textId="77777777" w:rsidR="00CB7D4D" w:rsidRPr="005B35F4" w:rsidRDefault="00CB7D4D" w:rsidP="0034622E">
            <w:pPr>
              <w:tabs>
                <w:tab w:val="right" w:pos="1202"/>
              </w:tabs>
              <w:spacing w:line="240" w:lineRule="exact"/>
              <w:outlineLvl w:val="0"/>
              <w:rPr>
                <w:rFonts w:ascii="Arial" w:hAnsi="Arial" w:cs="Arial"/>
                <w:b/>
                <w:bCs/>
                <w:color w:val="000000" w:themeColor="text1"/>
                <w:sz w:val="17"/>
                <w:szCs w:val="17"/>
              </w:rPr>
            </w:pPr>
            <w:r w:rsidRPr="005B35F4">
              <w:rPr>
                <w:rFonts w:ascii="Arial" w:hAnsi="Arial" w:cs="Arial"/>
                <w:b/>
                <w:bCs/>
                <w:color w:val="000000" w:themeColor="text1"/>
                <w:sz w:val="17"/>
                <w:szCs w:val="17"/>
              </w:rPr>
              <w:t>Ukupne obveze</w:t>
            </w:r>
          </w:p>
        </w:tc>
        <w:tc>
          <w:tcPr>
            <w:tcW w:w="551" w:type="pct"/>
            <w:tcBorders>
              <w:top w:val="single" w:sz="8" w:space="0" w:color="auto"/>
              <w:left w:val="nil"/>
              <w:bottom w:val="single" w:sz="8" w:space="0" w:color="auto"/>
              <w:right w:val="nil"/>
            </w:tcBorders>
            <w:shd w:val="clear" w:color="auto" w:fill="auto"/>
            <w:vAlign w:val="bottom"/>
          </w:tcPr>
          <w:p w14:paraId="7D10F7D1" w14:textId="77777777" w:rsidR="00CB7D4D" w:rsidRPr="003C3893" w:rsidRDefault="00CB7D4D" w:rsidP="0034622E">
            <w:pPr>
              <w:jc w:val="right"/>
              <w:rPr>
                <w:rFonts w:ascii="Arial" w:hAnsi="Arial" w:cs="Arial"/>
                <w:b/>
                <w:bCs/>
                <w:color w:val="000000"/>
                <w:sz w:val="17"/>
                <w:szCs w:val="17"/>
              </w:rPr>
            </w:pPr>
            <w:r w:rsidRPr="00F959D0">
              <w:rPr>
                <w:rFonts w:ascii="Arial" w:hAnsi="Arial" w:cs="Arial"/>
                <w:b/>
                <w:bCs/>
                <w:color w:val="000000"/>
                <w:sz w:val="17"/>
                <w:szCs w:val="17"/>
              </w:rPr>
              <w:t>257.708</w:t>
            </w:r>
          </w:p>
        </w:tc>
        <w:tc>
          <w:tcPr>
            <w:tcW w:w="546" w:type="pct"/>
            <w:tcBorders>
              <w:top w:val="single" w:sz="8" w:space="0" w:color="auto"/>
              <w:left w:val="nil"/>
              <w:bottom w:val="single" w:sz="8" w:space="0" w:color="auto"/>
              <w:right w:val="nil"/>
            </w:tcBorders>
            <w:shd w:val="clear" w:color="auto" w:fill="auto"/>
            <w:vAlign w:val="bottom"/>
          </w:tcPr>
          <w:p w14:paraId="0F000E68" w14:textId="77777777" w:rsidR="00CB7D4D" w:rsidRPr="003C3893" w:rsidRDefault="00CB7D4D" w:rsidP="0034622E">
            <w:pPr>
              <w:jc w:val="right"/>
              <w:rPr>
                <w:rFonts w:ascii="Arial" w:hAnsi="Arial" w:cs="Arial"/>
                <w:b/>
                <w:bCs/>
                <w:color w:val="000000"/>
                <w:sz w:val="17"/>
                <w:szCs w:val="17"/>
              </w:rPr>
            </w:pPr>
            <w:r w:rsidRPr="00F959D0">
              <w:rPr>
                <w:rFonts w:ascii="Arial" w:hAnsi="Arial" w:cs="Arial"/>
                <w:b/>
                <w:bCs/>
                <w:color w:val="000000"/>
                <w:sz w:val="17"/>
                <w:szCs w:val="17"/>
              </w:rPr>
              <w:t>184.305</w:t>
            </w:r>
          </w:p>
        </w:tc>
        <w:tc>
          <w:tcPr>
            <w:tcW w:w="572" w:type="pct"/>
            <w:tcBorders>
              <w:top w:val="single" w:sz="8" w:space="0" w:color="auto"/>
              <w:left w:val="nil"/>
              <w:bottom w:val="single" w:sz="8" w:space="0" w:color="auto"/>
              <w:right w:val="nil"/>
            </w:tcBorders>
            <w:shd w:val="clear" w:color="auto" w:fill="auto"/>
            <w:vAlign w:val="bottom"/>
          </w:tcPr>
          <w:p w14:paraId="10355A77" w14:textId="77777777" w:rsidR="00CB7D4D" w:rsidRPr="003C3893" w:rsidRDefault="00CB7D4D" w:rsidP="0034622E">
            <w:pPr>
              <w:jc w:val="right"/>
              <w:rPr>
                <w:rFonts w:ascii="Arial" w:hAnsi="Arial" w:cs="Arial"/>
                <w:b/>
                <w:bCs/>
                <w:color w:val="000000"/>
                <w:sz w:val="17"/>
                <w:szCs w:val="17"/>
              </w:rPr>
            </w:pPr>
            <w:r w:rsidRPr="00F959D0">
              <w:rPr>
                <w:rFonts w:ascii="Arial" w:hAnsi="Arial" w:cs="Arial"/>
                <w:b/>
                <w:bCs/>
                <w:color w:val="000000"/>
                <w:sz w:val="17"/>
                <w:szCs w:val="17"/>
              </w:rPr>
              <w:t>296.39</w:t>
            </w:r>
            <w:r>
              <w:rPr>
                <w:rFonts w:ascii="Arial" w:hAnsi="Arial" w:cs="Arial"/>
                <w:b/>
                <w:bCs/>
                <w:color w:val="000000"/>
                <w:sz w:val="17"/>
                <w:szCs w:val="17"/>
              </w:rPr>
              <w:t>8</w:t>
            </w:r>
          </w:p>
        </w:tc>
        <w:tc>
          <w:tcPr>
            <w:tcW w:w="570" w:type="pct"/>
            <w:tcBorders>
              <w:top w:val="single" w:sz="8" w:space="0" w:color="auto"/>
              <w:left w:val="nil"/>
              <w:bottom w:val="single" w:sz="8" w:space="0" w:color="auto"/>
              <w:right w:val="nil"/>
            </w:tcBorders>
            <w:shd w:val="clear" w:color="auto" w:fill="auto"/>
            <w:vAlign w:val="bottom"/>
          </w:tcPr>
          <w:p w14:paraId="69DC40EC" w14:textId="77777777" w:rsidR="00CB7D4D" w:rsidRPr="003C3893" w:rsidRDefault="00CB7D4D" w:rsidP="0034622E">
            <w:pPr>
              <w:jc w:val="right"/>
              <w:rPr>
                <w:rFonts w:ascii="Arial" w:hAnsi="Arial" w:cs="Arial"/>
                <w:b/>
                <w:bCs/>
                <w:color w:val="000000"/>
                <w:sz w:val="17"/>
                <w:szCs w:val="17"/>
              </w:rPr>
            </w:pPr>
            <w:r w:rsidRPr="00F959D0">
              <w:rPr>
                <w:rFonts w:ascii="Arial" w:hAnsi="Arial" w:cs="Arial"/>
                <w:b/>
                <w:bCs/>
                <w:color w:val="000000"/>
                <w:sz w:val="17"/>
                <w:szCs w:val="17"/>
              </w:rPr>
              <w:t>670.796</w:t>
            </w:r>
          </w:p>
        </w:tc>
        <w:tc>
          <w:tcPr>
            <w:tcW w:w="640" w:type="pct"/>
            <w:tcBorders>
              <w:top w:val="single" w:sz="8" w:space="0" w:color="auto"/>
              <w:left w:val="nil"/>
              <w:bottom w:val="single" w:sz="8" w:space="0" w:color="auto"/>
              <w:right w:val="nil"/>
            </w:tcBorders>
            <w:shd w:val="clear" w:color="auto" w:fill="auto"/>
            <w:vAlign w:val="bottom"/>
          </w:tcPr>
          <w:p w14:paraId="41B398B1" w14:textId="77777777" w:rsidR="00CB7D4D" w:rsidRPr="003C3893" w:rsidRDefault="00CB7D4D" w:rsidP="0034622E">
            <w:pPr>
              <w:jc w:val="right"/>
              <w:rPr>
                <w:rFonts w:ascii="Arial" w:hAnsi="Arial" w:cs="Arial"/>
                <w:b/>
                <w:bCs/>
                <w:color w:val="000000"/>
                <w:sz w:val="17"/>
                <w:szCs w:val="17"/>
              </w:rPr>
            </w:pPr>
            <w:r w:rsidRPr="00F959D0">
              <w:rPr>
                <w:rFonts w:ascii="Arial" w:hAnsi="Arial" w:cs="Arial"/>
                <w:b/>
                <w:bCs/>
                <w:color w:val="000000"/>
                <w:sz w:val="17"/>
                <w:szCs w:val="17"/>
              </w:rPr>
              <w:t>1.151.954</w:t>
            </w:r>
          </w:p>
        </w:tc>
        <w:tc>
          <w:tcPr>
            <w:tcW w:w="603" w:type="pct"/>
            <w:tcBorders>
              <w:top w:val="single" w:sz="8" w:space="0" w:color="auto"/>
              <w:left w:val="nil"/>
              <w:bottom w:val="single" w:sz="8" w:space="0" w:color="auto"/>
              <w:right w:val="nil"/>
            </w:tcBorders>
            <w:shd w:val="clear" w:color="auto" w:fill="auto"/>
            <w:vAlign w:val="bottom"/>
          </w:tcPr>
          <w:p w14:paraId="21F59AEA" w14:textId="77777777" w:rsidR="00CB7D4D" w:rsidRPr="003C3893" w:rsidRDefault="00CB7D4D" w:rsidP="0034622E">
            <w:pPr>
              <w:jc w:val="right"/>
              <w:rPr>
                <w:rFonts w:ascii="Arial" w:hAnsi="Arial" w:cs="Arial"/>
                <w:b/>
                <w:bCs/>
                <w:color w:val="000000"/>
                <w:sz w:val="17"/>
                <w:szCs w:val="17"/>
              </w:rPr>
            </w:pPr>
            <w:r w:rsidRPr="00F959D0">
              <w:rPr>
                <w:rFonts w:ascii="Arial" w:hAnsi="Arial" w:cs="Arial"/>
                <w:b/>
                <w:bCs/>
                <w:color w:val="000000"/>
                <w:sz w:val="17"/>
                <w:szCs w:val="17"/>
              </w:rPr>
              <w:t>2.561.16</w:t>
            </w:r>
            <w:r>
              <w:rPr>
                <w:rFonts w:ascii="Arial" w:hAnsi="Arial" w:cs="Arial"/>
                <w:b/>
                <w:bCs/>
                <w:color w:val="000000"/>
                <w:sz w:val="17"/>
                <w:szCs w:val="17"/>
              </w:rPr>
              <w:t>1</w:t>
            </w:r>
          </w:p>
        </w:tc>
      </w:tr>
      <w:tr w:rsidR="00CB7D4D" w:rsidRPr="005B35F4" w14:paraId="3BB985FE" w14:textId="77777777" w:rsidTr="0034622E">
        <w:trPr>
          <w:trHeight w:val="71"/>
        </w:trPr>
        <w:tc>
          <w:tcPr>
            <w:tcW w:w="1517" w:type="pct"/>
          </w:tcPr>
          <w:p w14:paraId="7804E317" w14:textId="77777777" w:rsidR="00CB7D4D" w:rsidRPr="005B35F4" w:rsidRDefault="00CB7D4D" w:rsidP="0034622E">
            <w:pPr>
              <w:tabs>
                <w:tab w:val="right" w:pos="1202"/>
              </w:tabs>
              <w:spacing w:line="240" w:lineRule="exact"/>
              <w:outlineLvl w:val="0"/>
              <w:rPr>
                <w:rFonts w:ascii="Arial" w:hAnsi="Arial" w:cs="Arial"/>
                <w:b/>
                <w:bCs/>
                <w:color w:val="000000" w:themeColor="text1"/>
                <w:spacing w:val="-2"/>
                <w:sz w:val="17"/>
                <w:szCs w:val="17"/>
              </w:rPr>
            </w:pPr>
            <w:r w:rsidRPr="005B35F4">
              <w:rPr>
                <w:rFonts w:ascii="Arial" w:hAnsi="Arial" w:cs="Arial"/>
                <w:b/>
                <w:bCs/>
                <w:color w:val="000000" w:themeColor="text1"/>
                <w:spacing w:val="-2"/>
                <w:sz w:val="17"/>
                <w:szCs w:val="17"/>
              </w:rPr>
              <w:t>Likvidnosni jaz</w:t>
            </w:r>
          </w:p>
        </w:tc>
        <w:tc>
          <w:tcPr>
            <w:tcW w:w="551" w:type="pct"/>
            <w:tcBorders>
              <w:top w:val="single" w:sz="12" w:space="0" w:color="auto"/>
              <w:left w:val="nil"/>
              <w:bottom w:val="single" w:sz="12" w:space="0" w:color="auto"/>
              <w:right w:val="nil"/>
            </w:tcBorders>
            <w:shd w:val="clear" w:color="auto" w:fill="auto"/>
            <w:vAlign w:val="bottom"/>
          </w:tcPr>
          <w:p w14:paraId="6E88EBCE" w14:textId="77777777" w:rsidR="00CB7D4D" w:rsidRPr="005B35F4" w:rsidRDefault="00CB7D4D" w:rsidP="0034622E">
            <w:pPr>
              <w:jc w:val="right"/>
              <w:rPr>
                <w:rFonts w:ascii="Arial" w:hAnsi="Arial" w:cs="Arial"/>
                <w:b/>
                <w:bCs/>
                <w:color w:val="000000"/>
                <w:sz w:val="17"/>
                <w:szCs w:val="17"/>
              </w:rPr>
            </w:pPr>
            <w:r w:rsidRPr="00F959D0">
              <w:rPr>
                <w:rFonts w:ascii="Arial" w:hAnsi="Arial" w:cs="Arial"/>
                <w:b/>
                <w:bCs/>
                <w:color w:val="000000"/>
                <w:sz w:val="17"/>
                <w:szCs w:val="17"/>
              </w:rPr>
              <w:t>444.905</w:t>
            </w:r>
          </w:p>
        </w:tc>
        <w:tc>
          <w:tcPr>
            <w:tcW w:w="546" w:type="pct"/>
            <w:tcBorders>
              <w:top w:val="single" w:sz="12" w:space="0" w:color="auto"/>
              <w:left w:val="nil"/>
              <w:bottom w:val="single" w:sz="12" w:space="0" w:color="auto"/>
              <w:right w:val="nil"/>
            </w:tcBorders>
            <w:shd w:val="clear" w:color="auto" w:fill="auto"/>
            <w:vAlign w:val="bottom"/>
          </w:tcPr>
          <w:p w14:paraId="15CB20D2" w14:textId="77777777" w:rsidR="00CB7D4D" w:rsidRPr="005B35F4" w:rsidRDefault="00CB7D4D" w:rsidP="0034622E">
            <w:pPr>
              <w:jc w:val="right"/>
              <w:rPr>
                <w:rFonts w:ascii="Arial" w:hAnsi="Arial" w:cs="Arial"/>
                <w:b/>
                <w:bCs/>
                <w:color w:val="000000"/>
                <w:sz w:val="17"/>
                <w:szCs w:val="17"/>
              </w:rPr>
            </w:pPr>
            <w:r w:rsidRPr="00F959D0">
              <w:rPr>
                <w:rFonts w:ascii="Arial" w:hAnsi="Arial" w:cs="Arial"/>
                <w:b/>
                <w:bCs/>
                <w:color w:val="000000"/>
                <w:sz w:val="17"/>
                <w:szCs w:val="17"/>
              </w:rPr>
              <w:t>30.015</w:t>
            </w:r>
          </w:p>
        </w:tc>
        <w:tc>
          <w:tcPr>
            <w:tcW w:w="572" w:type="pct"/>
            <w:tcBorders>
              <w:top w:val="single" w:sz="12" w:space="0" w:color="auto"/>
              <w:left w:val="nil"/>
              <w:bottom w:val="single" w:sz="12" w:space="0" w:color="auto"/>
              <w:right w:val="nil"/>
            </w:tcBorders>
            <w:shd w:val="clear" w:color="auto" w:fill="auto"/>
            <w:vAlign w:val="bottom"/>
          </w:tcPr>
          <w:p w14:paraId="2CB6C9D1" w14:textId="77777777" w:rsidR="00CB7D4D" w:rsidRPr="005B35F4" w:rsidRDefault="00CB7D4D" w:rsidP="0034622E">
            <w:pPr>
              <w:jc w:val="right"/>
              <w:rPr>
                <w:rFonts w:ascii="Arial" w:hAnsi="Arial" w:cs="Arial"/>
                <w:b/>
                <w:bCs/>
                <w:color w:val="000000"/>
                <w:sz w:val="17"/>
                <w:szCs w:val="17"/>
              </w:rPr>
            </w:pPr>
            <w:r w:rsidRPr="00F959D0">
              <w:rPr>
                <w:rFonts w:ascii="Arial" w:hAnsi="Arial" w:cs="Arial"/>
                <w:b/>
                <w:bCs/>
                <w:color w:val="000000"/>
                <w:sz w:val="17"/>
                <w:szCs w:val="17"/>
              </w:rPr>
              <w:t>123.21</w:t>
            </w:r>
            <w:r>
              <w:rPr>
                <w:rFonts w:ascii="Arial" w:hAnsi="Arial" w:cs="Arial"/>
                <w:b/>
                <w:bCs/>
                <w:color w:val="000000"/>
                <w:sz w:val="17"/>
                <w:szCs w:val="17"/>
              </w:rPr>
              <w:t>8</w:t>
            </w:r>
          </w:p>
        </w:tc>
        <w:tc>
          <w:tcPr>
            <w:tcW w:w="570" w:type="pct"/>
            <w:tcBorders>
              <w:top w:val="single" w:sz="12" w:space="0" w:color="auto"/>
              <w:left w:val="nil"/>
              <w:bottom w:val="single" w:sz="12" w:space="0" w:color="auto"/>
              <w:right w:val="nil"/>
            </w:tcBorders>
            <w:shd w:val="clear" w:color="auto" w:fill="auto"/>
            <w:vAlign w:val="bottom"/>
          </w:tcPr>
          <w:p w14:paraId="7B69333C" w14:textId="77777777" w:rsidR="00CB7D4D" w:rsidRPr="005B35F4" w:rsidRDefault="00CB7D4D" w:rsidP="0034622E">
            <w:pPr>
              <w:jc w:val="right"/>
              <w:rPr>
                <w:rFonts w:ascii="Arial" w:hAnsi="Arial" w:cs="Arial"/>
                <w:b/>
                <w:bCs/>
                <w:color w:val="000000"/>
                <w:sz w:val="17"/>
                <w:szCs w:val="17"/>
              </w:rPr>
            </w:pPr>
            <w:r w:rsidRPr="00F959D0">
              <w:rPr>
                <w:rFonts w:ascii="Arial" w:hAnsi="Arial" w:cs="Arial"/>
                <w:b/>
                <w:bCs/>
                <w:color w:val="000000"/>
                <w:sz w:val="17"/>
                <w:szCs w:val="17"/>
              </w:rPr>
              <w:t>259.045</w:t>
            </w:r>
          </w:p>
        </w:tc>
        <w:tc>
          <w:tcPr>
            <w:tcW w:w="640" w:type="pct"/>
            <w:tcBorders>
              <w:top w:val="single" w:sz="12" w:space="0" w:color="auto"/>
              <w:left w:val="nil"/>
              <w:bottom w:val="single" w:sz="12" w:space="0" w:color="auto"/>
              <w:right w:val="nil"/>
            </w:tcBorders>
            <w:shd w:val="clear" w:color="auto" w:fill="auto"/>
            <w:vAlign w:val="bottom"/>
          </w:tcPr>
          <w:p w14:paraId="0DDF7C9C" w14:textId="77777777" w:rsidR="00CB7D4D" w:rsidRPr="005B35F4" w:rsidRDefault="00CB7D4D" w:rsidP="0034622E">
            <w:pPr>
              <w:jc w:val="right"/>
              <w:rPr>
                <w:rFonts w:ascii="Arial" w:hAnsi="Arial" w:cs="Arial"/>
                <w:b/>
                <w:bCs/>
                <w:color w:val="000000"/>
                <w:sz w:val="17"/>
                <w:szCs w:val="17"/>
              </w:rPr>
            </w:pPr>
            <w:r w:rsidRPr="00F959D0">
              <w:rPr>
                <w:rFonts w:ascii="Arial" w:hAnsi="Arial" w:cs="Arial"/>
                <w:b/>
                <w:bCs/>
                <w:color w:val="000000"/>
                <w:sz w:val="17"/>
                <w:szCs w:val="17"/>
              </w:rPr>
              <w:t>600.340</w:t>
            </w:r>
          </w:p>
        </w:tc>
        <w:tc>
          <w:tcPr>
            <w:tcW w:w="603" w:type="pct"/>
            <w:tcBorders>
              <w:top w:val="single" w:sz="12" w:space="0" w:color="auto"/>
              <w:left w:val="nil"/>
              <w:bottom w:val="single" w:sz="12" w:space="0" w:color="auto"/>
              <w:right w:val="nil"/>
            </w:tcBorders>
            <w:shd w:val="clear" w:color="auto" w:fill="auto"/>
            <w:vAlign w:val="bottom"/>
          </w:tcPr>
          <w:p w14:paraId="51BC313B" w14:textId="77777777" w:rsidR="00CB7D4D" w:rsidRPr="005B35F4" w:rsidRDefault="00CB7D4D" w:rsidP="0034622E">
            <w:pPr>
              <w:jc w:val="right"/>
              <w:rPr>
                <w:rFonts w:ascii="Arial" w:hAnsi="Arial" w:cs="Arial"/>
                <w:b/>
                <w:bCs/>
                <w:color w:val="000000"/>
                <w:sz w:val="17"/>
                <w:szCs w:val="17"/>
              </w:rPr>
            </w:pPr>
            <w:r w:rsidRPr="00F959D0">
              <w:rPr>
                <w:rFonts w:ascii="Arial" w:hAnsi="Arial" w:cs="Arial"/>
                <w:b/>
                <w:bCs/>
                <w:color w:val="000000"/>
                <w:sz w:val="17"/>
                <w:szCs w:val="17"/>
              </w:rPr>
              <w:t>1.457.52</w:t>
            </w:r>
            <w:r>
              <w:rPr>
                <w:rFonts w:ascii="Arial" w:hAnsi="Arial" w:cs="Arial"/>
                <w:b/>
                <w:bCs/>
                <w:color w:val="000000"/>
                <w:sz w:val="17"/>
                <w:szCs w:val="17"/>
              </w:rPr>
              <w:t>3</w:t>
            </w:r>
          </w:p>
        </w:tc>
      </w:tr>
      <w:tr w:rsidR="00CB7D4D" w:rsidRPr="005B35F4" w14:paraId="2DF4B3A0" w14:textId="77777777" w:rsidTr="0034622E">
        <w:trPr>
          <w:trHeight w:hRule="exact" w:val="219"/>
        </w:trPr>
        <w:tc>
          <w:tcPr>
            <w:tcW w:w="1517" w:type="pct"/>
            <w:vAlign w:val="bottom"/>
          </w:tcPr>
          <w:p w14:paraId="575627C8" w14:textId="77777777" w:rsidR="00CB7D4D" w:rsidRPr="005B35F4" w:rsidRDefault="00CB7D4D" w:rsidP="0034622E">
            <w:pPr>
              <w:tabs>
                <w:tab w:val="right" w:pos="1202"/>
              </w:tabs>
              <w:spacing w:line="240" w:lineRule="exact"/>
              <w:outlineLvl w:val="0"/>
              <w:rPr>
                <w:rFonts w:ascii="Arial" w:hAnsi="Arial" w:cs="Arial"/>
                <w:b/>
                <w:bCs/>
                <w:color w:val="000000" w:themeColor="text1"/>
                <w:spacing w:val="-2"/>
                <w:sz w:val="17"/>
                <w:szCs w:val="17"/>
              </w:rPr>
            </w:pPr>
          </w:p>
        </w:tc>
        <w:tc>
          <w:tcPr>
            <w:tcW w:w="551" w:type="pct"/>
            <w:tcBorders>
              <w:top w:val="single" w:sz="12" w:space="0" w:color="auto"/>
              <w:left w:val="nil"/>
              <w:right w:val="nil"/>
            </w:tcBorders>
            <w:shd w:val="clear" w:color="auto" w:fill="auto"/>
            <w:vAlign w:val="bottom"/>
          </w:tcPr>
          <w:p w14:paraId="1F40FA93" w14:textId="77777777" w:rsidR="00CB7D4D" w:rsidRPr="005B35F4" w:rsidRDefault="00CB7D4D" w:rsidP="0034622E">
            <w:pPr>
              <w:jc w:val="right"/>
              <w:rPr>
                <w:rFonts w:ascii="Arial" w:hAnsi="Arial" w:cs="Arial"/>
                <w:color w:val="000000"/>
                <w:sz w:val="17"/>
                <w:szCs w:val="17"/>
              </w:rPr>
            </w:pPr>
          </w:p>
        </w:tc>
        <w:tc>
          <w:tcPr>
            <w:tcW w:w="546" w:type="pct"/>
            <w:tcBorders>
              <w:top w:val="single" w:sz="12" w:space="0" w:color="auto"/>
              <w:left w:val="nil"/>
              <w:right w:val="nil"/>
            </w:tcBorders>
            <w:shd w:val="clear" w:color="auto" w:fill="auto"/>
            <w:vAlign w:val="bottom"/>
          </w:tcPr>
          <w:p w14:paraId="1AD9A7DB" w14:textId="77777777" w:rsidR="00CB7D4D" w:rsidRPr="005B35F4" w:rsidRDefault="00CB7D4D" w:rsidP="0034622E">
            <w:pPr>
              <w:jc w:val="right"/>
              <w:rPr>
                <w:rFonts w:ascii="Arial" w:hAnsi="Arial" w:cs="Arial"/>
                <w:color w:val="000000"/>
                <w:sz w:val="17"/>
                <w:szCs w:val="17"/>
              </w:rPr>
            </w:pPr>
          </w:p>
        </w:tc>
        <w:tc>
          <w:tcPr>
            <w:tcW w:w="572" w:type="pct"/>
            <w:tcBorders>
              <w:top w:val="single" w:sz="12" w:space="0" w:color="auto"/>
              <w:left w:val="nil"/>
              <w:right w:val="nil"/>
            </w:tcBorders>
            <w:shd w:val="clear" w:color="auto" w:fill="auto"/>
            <w:vAlign w:val="bottom"/>
          </w:tcPr>
          <w:p w14:paraId="2B0936DB" w14:textId="77777777" w:rsidR="00CB7D4D" w:rsidRPr="005B35F4" w:rsidRDefault="00CB7D4D" w:rsidP="0034622E">
            <w:pPr>
              <w:jc w:val="right"/>
              <w:rPr>
                <w:rFonts w:ascii="Arial" w:hAnsi="Arial" w:cs="Arial"/>
                <w:color w:val="000000"/>
                <w:sz w:val="17"/>
                <w:szCs w:val="17"/>
              </w:rPr>
            </w:pPr>
          </w:p>
        </w:tc>
        <w:tc>
          <w:tcPr>
            <w:tcW w:w="570" w:type="pct"/>
            <w:tcBorders>
              <w:top w:val="single" w:sz="12" w:space="0" w:color="auto"/>
              <w:left w:val="nil"/>
              <w:right w:val="nil"/>
            </w:tcBorders>
            <w:shd w:val="clear" w:color="auto" w:fill="auto"/>
            <w:vAlign w:val="bottom"/>
          </w:tcPr>
          <w:p w14:paraId="1B8A2F2D" w14:textId="77777777" w:rsidR="00CB7D4D" w:rsidRPr="005B35F4" w:rsidRDefault="00CB7D4D" w:rsidP="0034622E">
            <w:pPr>
              <w:jc w:val="right"/>
              <w:rPr>
                <w:rFonts w:ascii="Arial" w:hAnsi="Arial" w:cs="Arial"/>
                <w:color w:val="000000"/>
                <w:sz w:val="17"/>
                <w:szCs w:val="17"/>
              </w:rPr>
            </w:pPr>
          </w:p>
        </w:tc>
        <w:tc>
          <w:tcPr>
            <w:tcW w:w="640" w:type="pct"/>
            <w:tcBorders>
              <w:top w:val="single" w:sz="12" w:space="0" w:color="auto"/>
              <w:left w:val="nil"/>
              <w:right w:val="nil"/>
            </w:tcBorders>
            <w:shd w:val="clear" w:color="auto" w:fill="auto"/>
            <w:vAlign w:val="bottom"/>
          </w:tcPr>
          <w:p w14:paraId="1F408CFE" w14:textId="77777777" w:rsidR="00CB7D4D" w:rsidRPr="005B35F4" w:rsidRDefault="00CB7D4D" w:rsidP="0034622E">
            <w:pPr>
              <w:jc w:val="right"/>
              <w:rPr>
                <w:rFonts w:ascii="Arial" w:hAnsi="Arial" w:cs="Arial"/>
                <w:color w:val="000000"/>
                <w:sz w:val="17"/>
                <w:szCs w:val="17"/>
              </w:rPr>
            </w:pPr>
          </w:p>
        </w:tc>
        <w:tc>
          <w:tcPr>
            <w:tcW w:w="603" w:type="pct"/>
            <w:tcBorders>
              <w:top w:val="single" w:sz="12" w:space="0" w:color="auto"/>
              <w:left w:val="nil"/>
              <w:right w:val="nil"/>
            </w:tcBorders>
            <w:shd w:val="clear" w:color="auto" w:fill="auto"/>
            <w:vAlign w:val="bottom"/>
          </w:tcPr>
          <w:p w14:paraId="0A6DB63B" w14:textId="77777777" w:rsidR="00CB7D4D" w:rsidRPr="005B35F4" w:rsidRDefault="00CB7D4D" w:rsidP="0034622E">
            <w:pPr>
              <w:jc w:val="right"/>
              <w:rPr>
                <w:rFonts w:ascii="Arial" w:hAnsi="Arial" w:cs="Arial"/>
                <w:color w:val="000000"/>
                <w:sz w:val="17"/>
                <w:szCs w:val="17"/>
              </w:rPr>
            </w:pPr>
          </w:p>
        </w:tc>
      </w:tr>
      <w:tr w:rsidR="00CB7D4D" w:rsidRPr="005B35F4" w14:paraId="4F52F40C" w14:textId="77777777" w:rsidTr="0034622E">
        <w:trPr>
          <w:trHeight w:hRule="exact" w:val="271"/>
        </w:trPr>
        <w:tc>
          <w:tcPr>
            <w:tcW w:w="1517" w:type="pct"/>
            <w:tcBorders>
              <w:top w:val="nil"/>
              <w:left w:val="nil"/>
              <w:bottom w:val="nil"/>
              <w:right w:val="nil"/>
            </w:tcBorders>
            <w:shd w:val="clear" w:color="auto" w:fill="auto"/>
            <w:vAlign w:val="center"/>
          </w:tcPr>
          <w:p w14:paraId="1F9BD1D3" w14:textId="77777777" w:rsidR="00CB7D4D" w:rsidRPr="005B35F4" w:rsidRDefault="00CB7D4D" w:rsidP="0034622E">
            <w:pPr>
              <w:tabs>
                <w:tab w:val="right" w:pos="1202"/>
              </w:tabs>
              <w:spacing w:line="240" w:lineRule="exact"/>
              <w:outlineLvl w:val="0"/>
              <w:rPr>
                <w:rFonts w:ascii="Arial" w:hAnsi="Arial" w:cs="Arial"/>
                <w:b/>
                <w:bCs/>
                <w:color w:val="000000" w:themeColor="text1"/>
                <w:spacing w:val="-2"/>
                <w:sz w:val="17"/>
                <w:szCs w:val="17"/>
              </w:rPr>
            </w:pPr>
            <w:r w:rsidRPr="005B35F4">
              <w:rPr>
                <w:rFonts w:ascii="Arial" w:hAnsi="Arial" w:cs="Arial"/>
                <w:b/>
                <w:bCs/>
                <w:color w:val="000000" w:themeColor="text1"/>
                <w:sz w:val="17"/>
                <w:szCs w:val="17"/>
              </w:rPr>
              <w:t>Garancije i preuzete obveze</w:t>
            </w:r>
          </w:p>
        </w:tc>
        <w:tc>
          <w:tcPr>
            <w:tcW w:w="551" w:type="pct"/>
            <w:tcBorders>
              <w:top w:val="nil"/>
              <w:left w:val="nil"/>
              <w:bottom w:val="nil"/>
              <w:right w:val="nil"/>
            </w:tcBorders>
            <w:shd w:val="clear" w:color="auto" w:fill="auto"/>
            <w:vAlign w:val="bottom"/>
          </w:tcPr>
          <w:p w14:paraId="37CD572E" w14:textId="77777777" w:rsidR="00CB7D4D" w:rsidRPr="005B35F4" w:rsidRDefault="00CB7D4D" w:rsidP="0034622E">
            <w:pPr>
              <w:jc w:val="right"/>
              <w:rPr>
                <w:rFonts w:ascii="Arial" w:hAnsi="Arial" w:cs="Arial"/>
                <w:color w:val="000000"/>
                <w:sz w:val="17"/>
                <w:szCs w:val="17"/>
              </w:rPr>
            </w:pPr>
          </w:p>
        </w:tc>
        <w:tc>
          <w:tcPr>
            <w:tcW w:w="546" w:type="pct"/>
            <w:tcBorders>
              <w:top w:val="nil"/>
              <w:left w:val="nil"/>
              <w:bottom w:val="nil"/>
              <w:right w:val="nil"/>
            </w:tcBorders>
            <w:shd w:val="clear" w:color="auto" w:fill="auto"/>
            <w:vAlign w:val="bottom"/>
          </w:tcPr>
          <w:p w14:paraId="5B965D25" w14:textId="77777777" w:rsidR="00CB7D4D" w:rsidRPr="005B35F4" w:rsidRDefault="00CB7D4D" w:rsidP="0034622E">
            <w:pPr>
              <w:jc w:val="right"/>
              <w:rPr>
                <w:rFonts w:ascii="Arial" w:hAnsi="Arial" w:cs="Arial"/>
                <w:color w:val="000000"/>
                <w:sz w:val="17"/>
                <w:szCs w:val="17"/>
              </w:rPr>
            </w:pPr>
          </w:p>
        </w:tc>
        <w:tc>
          <w:tcPr>
            <w:tcW w:w="572" w:type="pct"/>
            <w:tcBorders>
              <w:top w:val="nil"/>
              <w:left w:val="nil"/>
              <w:bottom w:val="nil"/>
              <w:right w:val="nil"/>
            </w:tcBorders>
            <w:shd w:val="clear" w:color="auto" w:fill="auto"/>
            <w:vAlign w:val="bottom"/>
          </w:tcPr>
          <w:p w14:paraId="328041B0" w14:textId="77777777" w:rsidR="00CB7D4D" w:rsidRPr="005B35F4" w:rsidRDefault="00CB7D4D" w:rsidP="0034622E">
            <w:pPr>
              <w:jc w:val="right"/>
              <w:rPr>
                <w:rFonts w:ascii="Arial" w:hAnsi="Arial" w:cs="Arial"/>
                <w:color w:val="000000"/>
                <w:sz w:val="17"/>
                <w:szCs w:val="17"/>
              </w:rPr>
            </w:pPr>
          </w:p>
        </w:tc>
        <w:tc>
          <w:tcPr>
            <w:tcW w:w="570" w:type="pct"/>
            <w:tcBorders>
              <w:top w:val="nil"/>
              <w:left w:val="nil"/>
              <w:bottom w:val="nil"/>
              <w:right w:val="nil"/>
            </w:tcBorders>
            <w:shd w:val="clear" w:color="auto" w:fill="auto"/>
            <w:vAlign w:val="bottom"/>
          </w:tcPr>
          <w:p w14:paraId="7D64D054" w14:textId="77777777" w:rsidR="00CB7D4D" w:rsidRPr="005B35F4" w:rsidRDefault="00CB7D4D" w:rsidP="0034622E">
            <w:pPr>
              <w:jc w:val="right"/>
              <w:rPr>
                <w:rFonts w:ascii="Arial" w:hAnsi="Arial" w:cs="Arial"/>
                <w:color w:val="000000"/>
                <w:sz w:val="17"/>
                <w:szCs w:val="17"/>
              </w:rPr>
            </w:pPr>
          </w:p>
        </w:tc>
        <w:tc>
          <w:tcPr>
            <w:tcW w:w="640" w:type="pct"/>
            <w:tcBorders>
              <w:top w:val="nil"/>
              <w:left w:val="nil"/>
              <w:bottom w:val="nil"/>
              <w:right w:val="nil"/>
            </w:tcBorders>
            <w:shd w:val="clear" w:color="auto" w:fill="auto"/>
            <w:vAlign w:val="bottom"/>
          </w:tcPr>
          <w:p w14:paraId="1F992D17" w14:textId="77777777" w:rsidR="00CB7D4D" w:rsidRPr="005B35F4" w:rsidRDefault="00CB7D4D" w:rsidP="0034622E">
            <w:pPr>
              <w:jc w:val="right"/>
              <w:rPr>
                <w:rFonts w:ascii="Arial" w:hAnsi="Arial" w:cs="Arial"/>
                <w:color w:val="000000"/>
                <w:sz w:val="17"/>
                <w:szCs w:val="17"/>
              </w:rPr>
            </w:pPr>
          </w:p>
        </w:tc>
        <w:tc>
          <w:tcPr>
            <w:tcW w:w="603" w:type="pct"/>
            <w:tcBorders>
              <w:top w:val="nil"/>
              <w:left w:val="nil"/>
              <w:bottom w:val="nil"/>
              <w:right w:val="nil"/>
            </w:tcBorders>
            <w:shd w:val="clear" w:color="auto" w:fill="auto"/>
            <w:vAlign w:val="bottom"/>
          </w:tcPr>
          <w:p w14:paraId="52638786" w14:textId="77777777" w:rsidR="00CB7D4D" w:rsidRPr="005B35F4" w:rsidRDefault="00CB7D4D" w:rsidP="0034622E">
            <w:pPr>
              <w:jc w:val="right"/>
              <w:rPr>
                <w:rFonts w:ascii="Arial" w:hAnsi="Arial" w:cs="Arial"/>
                <w:color w:val="000000"/>
                <w:sz w:val="17"/>
                <w:szCs w:val="17"/>
              </w:rPr>
            </w:pPr>
          </w:p>
        </w:tc>
      </w:tr>
      <w:tr w:rsidR="00CB7D4D" w:rsidRPr="005B35F4" w14:paraId="3B8161D4" w14:textId="77777777" w:rsidTr="0034622E">
        <w:trPr>
          <w:trHeight w:hRule="exact" w:val="271"/>
        </w:trPr>
        <w:tc>
          <w:tcPr>
            <w:tcW w:w="1517" w:type="pct"/>
            <w:tcBorders>
              <w:top w:val="nil"/>
              <w:left w:val="nil"/>
              <w:bottom w:val="nil"/>
              <w:right w:val="nil"/>
            </w:tcBorders>
            <w:shd w:val="clear" w:color="auto" w:fill="auto"/>
            <w:vAlign w:val="center"/>
          </w:tcPr>
          <w:p w14:paraId="3C695E6E" w14:textId="77777777" w:rsidR="00CB7D4D" w:rsidRPr="005B35F4" w:rsidRDefault="00CB7D4D" w:rsidP="0034622E">
            <w:pPr>
              <w:tabs>
                <w:tab w:val="right" w:pos="1202"/>
              </w:tabs>
              <w:spacing w:line="240" w:lineRule="exact"/>
              <w:outlineLvl w:val="0"/>
              <w:rPr>
                <w:rFonts w:ascii="Arial" w:hAnsi="Arial" w:cs="Arial"/>
                <w:b/>
                <w:bCs/>
                <w:color w:val="000000" w:themeColor="text1"/>
                <w:spacing w:val="-2"/>
                <w:sz w:val="17"/>
                <w:szCs w:val="17"/>
              </w:rPr>
            </w:pPr>
            <w:r w:rsidRPr="005B35F4">
              <w:rPr>
                <w:rFonts w:ascii="Arial" w:hAnsi="Arial" w:cs="Arial"/>
                <w:color w:val="000000" w:themeColor="text1"/>
                <w:sz w:val="17"/>
                <w:szCs w:val="17"/>
              </w:rPr>
              <w:t xml:space="preserve">Izdane garancije </w:t>
            </w:r>
          </w:p>
        </w:tc>
        <w:tc>
          <w:tcPr>
            <w:tcW w:w="551" w:type="pct"/>
            <w:tcBorders>
              <w:top w:val="nil"/>
              <w:left w:val="nil"/>
              <w:bottom w:val="nil"/>
              <w:right w:val="nil"/>
            </w:tcBorders>
            <w:shd w:val="clear" w:color="auto" w:fill="auto"/>
            <w:vAlign w:val="bottom"/>
          </w:tcPr>
          <w:p w14:paraId="31587548" w14:textId="77777777" w:rsidR="00CB7D4D" w:rsidRPr="005B35F4" w:rsidRDefault="00CB7D4D" w:rsidP="0034622E">
            <w:pPr>
              <w:jc w:val="right"/>
              <w:rPr>
                <w:rFonts w:ascii="Arial" w:hAnsi="Arial" w:cs="Arial"/>
                <w:color w:val="000000"/>
                <w:sz w:val="17"/>
                <w:szCs w:val="17"/>
              </w:rPr>
            </w:pPr>
            <w:r w:rsidRPr="00F959D0">
              <w:rPr>
                <w:rFonts w:ascii="Arial" w:hAnsi="Arial" w:cs="Arial"/>
                <w:color w:val="000000"/>
                <w:sz w:val="17"/>
                <w:szCs w:val="17"/>
              </w:rPr>
              <w:t xml:space="preserve"> 52.623 </w:t>
            </w:r>
          </w:p>
        </w:tc>
        <w:tc>
          <w:tcPr>
            <w:tcW w:w="546" w:type="pct"/>
            <w:tcBorders>
              <w:top w:val="nil"/>
              <w:left w:val="nil"/>
              <w:bottom w:val="nil"/>
              <w:right w:val="nil"/>
            </w:tcBorders>
            <w:shd w:val="clear" w:color="auto" w:fill="auto"/>
            <w:vAlign w:val="bottom"/>
          </w:tcPr>
          <w:p w14:paraId="29982466" w14:textId="77777777" w:rsidR="00CB7D4D" w:rsidRPr="005B35F4" w:rsidRDefault="00CB7D4D" w:rsidP="0034622E">
            <w:pPr>
              <w:jc w:val="right"/>
              <w:rPr>
                <w:rFonts w:ascii="Arial" w:hAnsi="Arial" w:cs="Arial"/>
                <w:color w:val="000000"/>
                <w:sz w:val="17"/>
                <w:szCs w:val="17"/>
              </w:rPr>
            </w:pPr>
            <w:r w:rsidRPr="00F959D0">
              <w:rPr>
                <w:rFonts w:ascii="Arial"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4CB91D58" w14:textId="77777777" w:rsidR="00CB7D4D" w:rsidRPr="005B35F4" w:rsidRDefault="00CB7D4D" w:rsidP="0034622E">
            <w:pPr>
              <w:jc w:val="right"/>
              <w:rPr>
                <w:rFonts w:ascii="Arial" w:hAnsi="Arial" w:cs="Arial"/>
                <w:color w:val="000000"/>
                <w:sz w:val="17"/>
                <w:szCs w:val="17"/>
              </w:rPr>
            </w:pPr>
            <w:r w:rsidRPr="00F959D0">
              <w:rPr>
                <w:rFonts w:ascii="Arial" w:hAnsi="Arial" w:cs="Arial"/>
                <w:color w:val="000000"/>
                <w:sz w:val="17"/>
                <w:szCs w:val="17"/>
              </w:rPr>
              <w:t xml:space="preserve"> - </w:t>
            </w:r>
          </w:p>
        </w:tc>
        <w:tc>
          <w:tcPr>
            <w:tcW w:w="570" w:type="pct"/>
            <w:tcBorders>
              <w:top w:val="nil"/>
              <w:left w:val="nil"/>
              <w:bottom w:val="nil"/>
              <w:right w:val="nil"/>
            </w:tcBorders>
            <w:shd w:val="clear" w:color="auto" w:fill="auto"/>
            <w:vAlign w:val="bottom"/>
          </w:tcPr>
          <w:p w14:paraId="74A78CF6" w14:textId="77777777" w:rsidR="00CB7D4D" w:rsidRPr="005B35F4" w:rsidRDefault="00CB7D4D" w:rsidP="0034622E">
            <w:pPr>
              <w:jc w:val="right"/>
              <w:rPr>
                <w:rFonts w:ascii="Arial" w:hAnsi="Arial" w:cs="Arial"/>
                <w:color w:val="000000"/>
                <w:sz w:val="17"/>
                <w:szCs w:val="17"/>
              </w:rPr>
            </w:pPr>
            <w:r w:rsidRPr="00F959D0">
              <w:rPr>
                <w:rFonts w:ascii="Arial" w:hAnsi="Arial" w:cs="Arial"/>
                <w:color w:val="000000"/>
                <w:sz w:val="17"/>
                <w:szCs w:val="17"/>
              </w:rPr>
              <w:t xml:space="preserve"> - </w:t>
            </w:r>
          </w:p>
        </w:tc>
        <w:tc>
          <w:tcPr>
            <w:tcW w:w="640" w:type="pct"/>
            <w:tcBorders>
              <w:top w:val="nil"/>
              <w:left w:val="nil"/>
              <w:bottom w:val="nil"/>
              <w:right w:val="nil"/>
            </w:tcBorders>
            <w:shd w:val="clear" w:color="auto" w:fill="auto"/>
            <w:vAlign w:val="bottom"/>
          </w:tcPr>
          <w:p w14:paraId="5AD7AAF5" w14:textId="77777777" w:rsidR="00CB7D4D" w:rsidRPr="005B35F4" w:rsidRDefault="00CB7D4D" w:rsidP="0034622E">
            <w:pPr>
              <w:jc w:val="right"/>
              <w:rPr>
                <w:rFonts w:ascii="Arial" w:hAnsi="Arial" w:cs="Arial"/>
                <w:color w:val="000000"/>
                <w:sz w:val="17"/>
                <w:szCs w:val="17"/>
              </w:rPr>
            </w:pPr>
            <w:r w:rsidRPr="00F959D0">
              <w:rPr>
                <w:rFonts w:ascii="Arial" w:hAnsi="Arial" w:cs="Arial"/>
                <w:color w:val="000000"/>
                <w:sz w:val="17"/>
                <w:szCs w:val="17"/>
              </w:rPr>
              <w:t xml:space="preserve"> - </w:t>
            </w:r>
          </w:p>
        </w:tc>
        <w:tc>
          <w:tcPr>
            <w:tcW w:w="603" w:type="pct"/>
            <w:tcBorders>
              <w:top w:val="nil"/>
              <w:left w:val="nil"/>
              <w:bottom w:val="nil"/>
              <w:right w:val="nil"/>
            </w:tcBorders>
            <w:shd w:val="clear" w:color="auto" w:fill="auto"/>
            <w:vAlign w:val="bottom"/>
          </w:tcPr>
          <w:p w14:paraId="1EC660EF" w14:textId="77777777" w:rsidR="00CB7D4D" w:rsidRPr="005B35F4" w:rsidRDefault="00CB7D4D" w:rsidP="0034622E">
            <w:pPr>
              <w:jc w:val="right"/>
              <w:rPr>
                <w:rFonts w:ascii="Arial" w:hAnsi="Arial" w:cs="Arial"/>
                <w:color w:val="000000"/>
                <w:sz w:val="17"/>
                <w:szCs w:val="17"/>
              </w:rPr>
            </w:pPr>
            <w:r w:rsidRPr="00F959D0">
              <w:rPr>
                <w:rFonts w:ascii="Arial" w:hAnsi="Arial" w:cs="Arial"/>
                <w:color w:val="000000"/>
                <w:sz w:val="17"/>
                <w:szCs w:val="17"/>
              </w:rPr>
              <w:t xml:space="preserve"> 52.623 </w:t>
            </w:r>
          </w:p>
        </w:tc>
      </w:tr>
      <w:tr w:rsidR="00CB7D4D" w:rsidRPr="005B35F4" w14:paraId="1B6FD1EE" w14:textId="77777777" w:rsidTr="0034622E">
        <w:trPr>
          <w:trHeight w:hRule="exact" w:val="271"/>
        </w:trPr>
        <w:tc>
          <w:tcPr>
            <w:tcW w:w="1517" w:type="pct"/>
            <w:tcBorders>
              <w:top w:val="nil"/>
              <w:left w:val="nil"/>
              <w:bottom w:val="nil"/>
              <w:right w:val="nil"/>
            </w:tcBorders>
            <w:shd w:val="clear" w:color="auto" w:fill="auto"/>
            <w:vAlign w:val="center"/>
          </w:tcPr>
          <w:p w14:paraId="6D92D3E9" w14:textId="77777777" w:rsidR="00CB7D4D" w:rsidRPr="005B35F4" w:rsidRDefault="00CB7D4D" w:rsidP="0034622E">
            <w:pPr>
              <w:tabs>
                <w:tab w:val="right" w:pos="1202"/>
              </w:tabs>
              <w:spacing w:line="240" w:lineRule="exact"/>
              <w:outlineLvl w:val="0"/>
              <w:rPr>
                <w:rFonts w:ascii="Arial" w:hAnsi="Arial" w:cs="Arial"/>
                <w:b/>
                <w:bCs/>
                <w:color w:val="000000" w:themeColor="text1"/>
                <w:spacing w:val="-2"/>
                <w:sz w:val="17"/>
                <w:szCs w:val="17"/>
              </w:rPr>
            </w:pPr>
            <w:r w:rsidRPr="005B35F4">
              <w:rPr>
                <w:rFonts w:ascii="Arial" w:hAnsi="Arial" w:cs="Arial"/>
                <w:color w:val="000000" w:themeColor="text1"/>
                <w:sz w:val="17"/>
                <w:szCs w:val="17"/>
              </w:rPr>
              <w:t>Izdane garancije u devizama</w:t>
            </w:r>
          </w:p>
        </w:tc>
        <w:tc>
          <w:tcPr>
            <w:tcW w:w="551" w:type="pct"/>
            <w:tcBorders>
              <w:top w:val="nil"/>
              <w:left w:val="nil"/>
              <w:bottom w:val="nil"/>
              <w:right w:val="nil"/>
            </w:tcBorders>
            <w:shd w:val="clear" w:color="auto" w:fill="auto"/>
            <w:vAlign w:val="bottom"/>
          </w:tcPr>
          <w:p w14:paraId="34D87FF1" w14:textId="77777777" w:rsidR="00CB7D4D" w:rsidRPr="005B35F4" w:rsidRDefault="00CB7D4D" w:rsidP="0034622E">
            <w:pPr>
              <w:jc w:val="right"/>
              <w:rPr>
                <w:rFonts w:ascii="Arial" w:hAnsi="Arial" w:cs="Arial"/>
                <w:color w:val="000000"/>
                <w:sz w:val="17"/>
                <w:szCs w:val="17"/>
              </w:rPr>
            </w:pPr>
            <w:r w:rsidRPr="00F959D0">
              <w:rPr>
                <w:rFonts w:ascii="Arial" w:hAnsi="Arial" w:cs="Arial"/>
                <w:color w:val="000000"/>
                <w:sz w:val="17"/>
                <w:szCs w:val="17"/>
              </w:rPr>
              <w:t xml:space="preserve"> 7.716 </w:t>
            </w:r>
          </w:p>
        </w:tc>
        <w:tc>
          <w:tcPr>
            <w:tcW w:w="546" w:type="pct"/>
            <w:tcBorders>
              <w:top w:val="nil"/>
              <w:left w:val="nil"/>
              <w:bottom w:val="nil"/>
              <w:right w:val="nil"/>
            </w:tcBorders>
            <w:shd w:val="clear" w:color="auto" w:fill="auto"/>
            <w:vAlign w:val="bottom"/>
          </w:tcPr>
          <w:p w14:paraId="70B10269" w14:textId="77777777" w:rsidR="00CB7D4D" w:rsidRPr="005B35F4" w:rsidRDefault="00CB7D4D" w:rsidP="0034622E">
            <w:pPr>
              <w:jc w:val="right"/>
              <w:rPr>
                <w:rFonts w:ascii="Arial" w:hAnsi="Arial" w:cs="Arial"/>
                <w:color w:val="000000"/>
                <w:sz w:val="17"/>
                <w:szCs w:val="17"/>
              </w:rPr>
            </w:pPr>
            <w:r w:rsidRPr="00F959D0">
              <w:rPr>
                <w:rFonts w:ascii="Arial"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51B66962" w14:textId="77777777" w:rsidR="00CB7D4D" w:rsidRPr="005B35F4" w:rsidRDefault="00CB7D4D" w:rsidP="0034622E">
            <w:pPr>
              <w:jc w:val="right"/>
              <w:rPr>
                <w:rFonts w:ascii="Arial" w:hAnsi="Arial" w:cs="Arial"/>
                <w:color w:val="000000"/>
                <w:sz w:val="17"/>
                <w:szCs w:val="17"/>
              </w:rPr>
            </w:pPr>
            <w:r w:rsidRPr="00F959D0">
              <w:rPr>
                <w:rFonts w:ascii="Arial" w:hAnsi="Arial" w:cs="Arial"/>
                <w:color w:val="000000"/>
                <w:sz w:val="17"/>
                <w:szCs w:val="17"/>
              </w:rPr>
              <w:t xml:space="preserve"> - </w:t>
            </w:r>
          </w:p>
        </w:tc>
        <w:tc>
          <w:tcPr>
            <w:tcW w:w="570" w:type="pct"/>
            <w:tcBorders>
              <w:top w:val="nil"/>
              <w:left w:val="nil"/>
              <w:bottom w:val="nil"/>
              <w:right w:val="nil"/>
            </w:tcBorders>
            <w:shd w:val="clear" w:color="auto" w:fill="auto"/>
            <w:vAlign w:val="bottom"/>
          </w:tcPr>
          <w:p w14:paraId="5DF5BC87" w14:textId="77777777" w:rsidR="00CB7D4D" w:rsidRPr="005B35F4" w:rsidRDefault="00CB7D4D" w:rsidP="0034622E">
            <w:pPr>
              <w:jc w:val="right"/>
              <w:rPr>
                <w:rFonts w:ascii="Arial" w:hAnsi="Arial" w:cs="Arial"/>
                <w:color w:val="000000"/>
                <w:sz w:val="17"/>
                <w:szCs w:val="17"/>
              </w:rPr>
            </w:pPr>
            <w:r w:rsidRPr="00F959D0">
              <w:rPr>
                <w:rFonts w:ascii="Arial" w:hAnsi="Arial" w:cs="Arial"/>
                <w:color w:val="000000"/>
                <w:sz w:val="17"/>
                <w:szCs w:val="17"/>
              </w:rPr>
              <w:t xml:space="preserve"> - </w:t>
            </w:r>
          </w:p>
        </w:tc>
        <w:tc>
          <w:tcPr>
            <w:tcW w:w="640" w:type="pct"/>
            <w:tcBorders>
              <w:top w:val="nil"/>
              <w:left w:val="nil"/>
              <w:bottom w:val="nil"/>
              <w:right w:val="nil"/>
            </w:tcBorders>
            <w:shd w:val="clear" w:color="auto" w:fill="auto"/>
            <w:vAlign w:val="bottom"/>
          </w:tcPr>
          <w:p w14:paraId="374E5E69" w14:textId="77777777" w:rsidR="00CB7D4D" w:rsidRPr="005B35F4" w:rsidRDefault="00CB7D4D" w:rsidP="0034622E">
            <w:pPr>
              <w:jc w:val="right"/>
              <w:rPr>
                <w:rFonts w:ascii="Arial" w:hAnsi="Arial" w:cs="Arial"/>
                <w:color w:val="000000"/>
                <w:sz w:val="17"/>
                <w:szCs w:val="17"/>
              </w:rPr>
            </w:pPr>
            <w:r w:rsidRPr="00F959D0">
              <w:rPr>
                <w:rFonts w:ascii="Arial" w:hAnsi="Arial" w:cs="Arial"/>
                <w:color w:val="000000"/>
                <w:sz w:val="17"/>
                <w:szCs w:val="17"/>
              </w:rPr>
              <w:t xml:space="preserve"> - </w:t>
            </w:r>
          </w:p>
        </w:tc>
        <w:tc>
          <w:tcPr>
            <w:tcW w:w="603" w:type="pct"/>
            <w:tcBorders>
              <w:top w:val="nil"/>
              <w:left w:val="nil"/>
              <w:bottom w:val="nil"/>
              <w:right w:val="nil"/>
            </w:tcBorders>
            <w:shd w:val="clear" w:color="auto" w:fill="auto"/>
            <w:vAlign w:val="bottom"/>
          </w:tcPr>
          <w:p w14:paraId="5488B40A" w14:textId="77777777" w:rsidR="00CB7D4D" w:rsidRPr="005B35F4" w:rsidRDefault="00CB7D4D" w:rsidP="0034622E">
            <w:pPr>
              <w:jc w:val="right"/>
              <w:rPr>
                <w:rFonts w:ascii="Arial" w:hAnsi="Arial" w:cs="Arial"/>
                <w:color w:val="000000"/>
                <w:sz w:val="17"/>
                <w:szCs w:val="17"/>
              </w:rPr>
            </w:pPr>
            <w:r w:rsidRPr="00F959D0">
              <w:rPr>
                <w:rFonts w:ascii="Arial" w:hAnsi="Arial" w:cs="Arial"/>
                <w:color w:val="000000"/>
                <w:sz w:val="17"/>
                <w:szCs w:val="17"/>
              </w:rPr>
              <w:t xml:space="preserve"> 7.716 </w:t>
            </w:r>
          </w:p>
        </w:tc>
      </w:tr>
      <w:tr w:rsidR="00CB7D4D" w:rsidRPr="005B35F4" w14:paraId="78511453" w14:textId="77777777" w:rsidTr="0034622E">
        <w:trPr>
          <w:trHeight w:hRule="exact" w:val="271"/>
        </w:trPr>
        <w:tc>
          <w:tcPr>
            <w:tcW w:w="1517" w:type="pct"/>
            <w:tcBorders>
              <w:top w:val="nil"/>
              <w:left w:val="nil"/>
              <w:bottom w:val="nil"/>
              <w:right w:val="nil"/>
            </w:tcBorders>
            <w:shd w:val="clear" w:color="auto" w:fill="auto"/>
            <w:vAlign w:val="center"/>
          </w:tcPr>
          <w:p w14:paraId="2BD55953" w14:textId="77777777" w:rsidR="00CB7D4D" w:rsidRPr="005B35F4" w:rsidRDefault="00CB7D4D" w:rsidP="0034622E">
            <w:pPr>
              <w:tabs>
                <w:tab w:val="right" w:pos="1202"/>
              </w:tabs>
              <w:spacing w:line="240" w:lineRule="exact"/>
              <w:outlineLvl w:val="0"/>
              <w:rPr>
                <w:rFonts w:ascii="Arial" w:hAnsi="Arial" w:cs="Arial"/>
                <w:b/>
                <w:bCs/>
                <w:color w:val="000000" w:themeColor="text1"/>
                <w:spacing w:val="-2"/>
                <w:sz w:val="17"/>
                <w:szCs w:val="17"/>
              </w:rPr>
            </w:pPr>
            <w:r w:rsidRPr="005B35F4">
              <w:rPr>
                <w:rFonts w:ascii="Arial" w:hAnsi="Arial" w:cs="Arial"/>
                <w:color w:val="000000" w:themeColor="text1"/>
                <w:sz w:val="17"/>
                <w:szCs w:val="17"/>
              </w:rPr>
              <w:t>Preuzete obveze po kreditima</w:t>
            </w:r>
          </w:p>
        </w:tc>
        <w:tc>
          <w:tcPr>
            <w:tcW w:w="551" w:type="pct"/>
            <w:tcBorders>
              <w:top w:val="nil"/>
              <w:left w:val="nil"/>
              <w:bottom w:val="nil"/>
              <w:right w:val="nil"/>
            </w:tcBorders>
            <w:shd w:val="clear" w:color="auto" w:fill="auto"/>
            <w:vAlign w:val="bottom"/>
          </w:tcPr>
          <w:p w14:paraId="32D09208" w14:textId="77777777" w:rsidR="00CB7D4D" w:rsidRPr="005B35F4" w:rsidRDefault="00CB7D4D" w:rsidP="0034622E">
            <w:pPr>
              <w:jc w:val="right"/>
              <w:rPr>
                <w:rFonts w:ascii="Arial" w:hAnsi="Arial" w:cs="Arial"/>
                <w:color w:val="000000"/>
                <w:sz w:val="17"/>
                <w:szCs w:val="17"/>
              </w:rPr>
            </w:pPr>
            <w:r w:rsidRPr="00F959D0">
              <w:rPr>
                <w:rFonts w:ascii="Arial" w:hAnsi="Arial" w:cs="Arial"/>
                <w:color w:val="000000"/>
                <w:sz w:val="17"/>
                <w:szCs w:val="17"/>
              </w:rPr>
              <w:t xml:space="preserve"> 445.273 </w:t>
            </w:r>
          </w:p>
        </w:tc>
        <w:tc>
          <w:tcPr>
            <w:tcW w:w="546" w:type="pct"/>
            <w:tcBorders>
              <w:top w:val="nil"/>
              <w:left w:val="nil"/>
              <w:bottom w:val="nil"/>
              <w:right w:val="nil"/>
            </w:tcBorders>
            <w:shd w:val="clear" w:color="auto" w:fill="auto"/>
            <w:vAlign w:val="bottom"/>
          </w:tcPr>
          <w:p w14:paraId="067EFE53" w14:textId="77777777" w:rsidR="00CB7D4D" w:rsidRPr="005B35F4" w:rsidRDefault="00CB7D4D" w:rsidP="0034622E">
            <w:pPr>
              <w:jc w:val="right"/>
              <w:rPr>
                <w:rFonts w:ascii="Arial" w:hAnsi="Arial" w:cs="Arial"/>
                <w:color w:val="000000"/>
                <w:sz w:val="17"/>
                <w:szCs w:val="17"/>
              </w:rPr>
            </w:pPr>
            <w:r w:rsidRPr="00F959D0">
              <w:rPr>
                <w:rFonts w:ascii="Arial"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50EF5938" w14:textId="77777777" w:rsidR="00CB7D4D" w:rsidRPr="005B35F4" w:rsidRDefault="00CB7D4D" w:rsidP="0034622E">
            <w:pPr>
              <w:jc w:val="right"/>
              <w:rPr>
                <w:rFonts w:ascii="Arial" w:hAnsi="Arial" w:cs="Arial"/>
                <w:color w:val="000000"/>
                <w:sz w:val="17"/>
                <w:szCs w:val="17"/>
              </w:rPr>
            </w:pPr>
            <w:r w:rsidRPr="00F959D0">
              <w:rPr>
                <w:rFonts w:ascii="Arial" w:hAnsi="Arial" w:cs="Arial"/>
                <w:color w:val="000000"/>
                <w:sz w:val="17"/>
                <w:szCs w:val="17"/>
              </w:rPr>
              <w:t xml:space="preserve"> - </w:t>
            </w:r>
          </w:p>
        </w:tc>
        <w:tc>
          <w:tcPr>
            <w:tcW w:w="570" w:type="pct"/>
            <w:tcBorders>
              <w:top w:val="nil"/>
              <w:left w:val="nil"/>
              <w:bottom w:val="nil"/>
              <w:right w:val="nil"/>
            </w:tcBorders>
            <w:shd w:val="clear" w:color="auto" w:fill="auto"/>
            <w:vAlign w:val="bottom"/>
          </w:tcPr>
          <w:p w14:paraId="093E937C" w14:textId="77777777" w:rsidR="00CB7D4D" w:rsidRPr="005B35F4" w:rsidRDefault="00CB7D4D" w:rsidP="0034622E">
            <w:pPr>
              <w:jc w:val="right"/>
              <w:rPr>
                <w:rFonts w:ascii="Arial" w:hAnsi="Arial" w:cs="Arial"/>
                <w:color w:val="000000"/>
                <w:sz w:val="17"/>
                <w:szCs w:val="17"/>
              </w:rPr>
            </w:pPr>
            <w:r w:rsidRPr="00F959D0">
              <w:rPr>
                <w:rFonts w:ascii="Arial" w:hAnsi="Arial" w:cs="Arial"/>
                <w:color w:val="000000"/>
                <w:sz w:val="17"/>
                <w:szCs w:val="17"/>
              </w:rPr>
              <w:t xml:space="preserve"> - </w:t>
            </w:r>
          </w:p>
        </w:tc>
        <w:tc>
          <w:tcPr>
            <w:tcW w:w="640" w:type="pct"/>
            <w:tcBorders>
              <w:top w:val="nil"/>
              <w:left w:val="nil"/>
              <w:bottom w:val="nil"/>
              <w:right w:val="nil"/>
            </w:tcBorders>
            <w:shd w:val="clear" w:color="auto" w:fill="auto"/>
            <w:vAlign w:val="bottom"/>
          </w:tcPr>
          <w:p w14:paraId="40ACC33B" w14:textId="77777777" w:rsidR="00CB7D4D" w:rsidRPr="005B35F4" w:rsidRDefault="00CB7D4D" w:rsidP="0034622E">
            <w:pPr>
              <w:jc w:val="right"/>
              <w:rPr>
                <w:rFonts w:ascii="Arial" w:hAnsi="Arial" w:cs="Arial"/>
                <w:color w:val="000000"/>
                <w:sz w:val="17"/>
                <w:szCs w:val="17"/>
              </w:rPr>
            </w:pPr>
            <w:r w:rsidRPr="00F959D0">
              <w:rPr>
                <w:rFonts w:ascii="Arial" w:hAnsi="Arial" w:cs="Arial"/>
                <w:color w:val="000000"/>
                <w:sz w:val="17"/>
                <w:szCs w:val="17"/>
              </w:rPr>
              <w:t xml:space="preserve"> - </w:t>
            </w:r>
          </w:p>
        </w:tc>
        <w:tc>
          <w:tcPr>
            <w:tcW w:w="603" w:type="pct"/>
            <w:tcBorders>
              <w:top w:val="nil"/>
              <w:left w:val="nil"/>
              <w:bottom w:val="nil"/>
              <w:right w:val="nil"/>
            </w:tcBorders>
            <w:shd w:val="clear" w:color="auto" w:fill="auto"/>
            <w:vAlign w:val="bottom"/>
          </w:tcPr>
          <w:p w14:paraId="3ECA7757" w14:textId="77777777" w:rsidR="00CB7D4D" w:rsidRPr="005B35F4" w:rsidRDefault="00CB7D4D" w:rsidP="0034622E">
            <w:pPr>
              <w:jc w:val="right"/>
              <w:rPr>
                <w:rFonts w:ascii="Arial" w:hAnsi="Arial" w:cs="Arial"/>
                <w:color w:val="000000"/>
                <w:sz w:val="17"/>
                <w:szCs w:val="17"/>
              </w:rPr>
            </w:pPr>
            <w:r w:rsidRPr="00F959D0">
              <w:rPr>
                <w:rFonts w:ascii="Arial" w:hAnsi="Arial" w:cs="Arial"/>
                <w:color w:val="000000"/>
                <w:sz w:val="17"/>
                <w:szCs w:val="17"/>
              </w:rPr>
              <w:t xml:space="preserve"> 445.273 </w:t>
            </w:r>
          </w:p>
        </w:tc>
      </w:tr>
      <w:tr w:rsidR="00CB7D4D" w:rsidRPr="005B35F4" w14:paraId="1DBA5A4F" w14:textId="77777777" w:rsidTr="0034622E">
        <w:trPr>
          <w:trHeight w:hRule="exact" w:val="271"/>
        </w:trPr>
        <w:tc>
          <w:tcPr>
            <w:tcW w:w="1517" w:type="pct"/>
            <w:tcBorders>
              <w:top w:val="nil"/>
              <w:left w:val="nil"/>
              <w:bottom w:val="nil"/>
              <w:right w:val="nil"/>
            </w:tcBorders>
            <w:shd w:val="clear" w:color="auto" w:fill="auto"/>
            <w:vAlign w:val="bottom"/>
          </w:tcPr>
          <w:p w14:paraId="5985BE8B" w14:textId="77777777" w:rsidR="00CB7D4D" w:rsidRPr="005B35F4" w:rsidRDefault="00CB7D4D" w:rsidP="0034622E">
            <w:pPr>
              <w:tabs>
                <w:tab w:val="right" w:pos="1202"/>
              </w:tabs>
              <w:spacing w:line="240" w:lineRule="exact"/>
              <w:outlineLvl w:val="0"/>
              <w:rPr>
                <w:rFonts w:ascii="Arial" w:hAnsi="Arial" w:cs="Arial"/>
                <w:color w:val="000000" w:themeColor="text1"/>
                <w:sz w:val="17"/>
                <w:szCs w:val="17"/>
              </w:rPr>
            </w:pPr>
            <w:r w:rsidRPr="005B35F4">
              <w:rPr>
                <w:rFonts w:ascii="Arial" w:hAnsi="Arial" w:cs="Arial"/>
                <w:color w:val="000000" w:themeColor="text1"/>
                <w:sz w:val="17"/>
                <w:szCs w:val="17"/>
              </w:rPr>
              <w:t>Upisani a neuplaćeni kapital EIF-a</w:t>
            </w:r>
          </w:p>
        </w:tc>
        <w:tc>
          <w:tcPr>
            <w:tcW w:w="551" w:type="pct"/>
            <w:tcBorders>
              <w:top w:val="nil"/>
              <w:left w:val="nil"/>
              <w:bottom w:val="nil"/>
              <w:right w:val="nil"/>
            </w:tcBorders>
            <w:shd w:val="clear" w:color="auto" w:fill="auto"/>
            <w:vAlign w:val="bottom"/>
          </w:tcPr>
          <w:p w14:paraId="7AEBC737" w14:textId="77777777" w:rsidR="00CB7D4D" w:rsidRPr="005B35F4" w:rsidRDefault="00CB7D4D" w:rsidP="0034622E">
            <w:pPr>
              <w:jc w:val="right"/>
              <w:rPr>
                <w:rFonts w:ascii="Arial" w:hAnsi="Arial" w:cs="Arial"/>
                <w:color w:val="000000"/>
                <w:sz w:val="17"/>
                <w:szCs w:val="17"/>
              </w:rPr>
            </w:pPr>
            <w:r w:rsidRPr="00F959D0">
              <w:rPr>
                <w:rFonts w:ascii="Arial" w:hAnsi="Arial" w:cs="Arial"/>
                <w:color w:val="000000"/>
                <w:sz w:val="17"/>
                <w:szCs w:val="17"/>
              </w:rPr>
              <w:t xml:space="preserve"> 10.400 </w:t>
            </w:r>
          </w:p>
        </w:tc>
        <w:tc>
          <w:tcPr>
            <w:tcW w:w="546" w:type="pct"/>
            <w:tcBorders>
              <w:top w:val="nil"/>
              <w:left w:val="nil"/>
              <w:bottom w:val="nil"/>
              <w:right w:val="nil"/>
            </w:tcBorders>
            <w:shd w:val="clear" w:color="auto" w:fill="auto"/>
            <w:vAlign w:val="bottom"/>
          </w:tcPr>
          <w:p w14:paraId="42467853" w14:textId="77777777" w:rsidR="00CB7D4D" w:rsidRPr="005B35F4" w:rsidRDefault="00CB7D4D" w:rsidP="0034622E">
            <w:pPr>
              <w:jc w:val="right"/>
              <w:rPr>
                <w:rFonts w:ascii="Arial" w:hAnsi="Arial" w:cs="Arial"/>
                <w:color w:val="000000"/>
                <w:sz w:val="17"/>
                <w:szCs w:val="17"/>
              </w:rPr>
            </w:pPr>
            <w:r w:rsidRPr="00F959D0">
              <w:rPr>
                <w:rFonts w:ascii="Arial"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2482DEFF" w14:textId="77777777" w:rsidR="00CB7D4D" w:rsidRPr="005B35F4" w:rsidRDefault="00CB7D4D" w:rsidP="0034622E">
            <w:pPr>
              <w:jc w:val="right"/>
              <w:rPr>
                <w:rFonts w:ascii="Arial" w:hAnsi="Arial" w:cs="Arial"/>
                <w:color w:val="000000"/>
                <w:sz w:val="17"/>
                <w:szCs w:val="17"/>
              </w:rPr>
            </w:pPr>
            <w:r w:rsidRPr="00F959D0">
              <w:rPr>
                <w:rFonts w:ascii="Arial" w:hAnsi="Arial" w:cs="Arial"/>
                <w:color w:val="000000"/>
                <w:sz w:val="17"/>
                <w:szCs w:val="17"/>
              </w:rPr>
              <w:t xml:space="preserve"> - </w:t>
            </w:r>
          </w:p>
        </w:tc>
        <w:tc>
          <w:tcPr>
            <w:tcW w:w="570" w:type="pct"/>
            <w:tcBorders>
              <w:top w:val="nil"/>
              <w:left w:val="nil"/>
              <w:bottom w:val="nil"/>
              <w:right w:val="nil"/>
            </w:tcBorders>
            <w:shd w:val="clear" w:color="auto" w:fill="auto"/>
            <w:vAlign w:val="bottom"/>
          </w:tcPr>
          <w:p w14:paraId="4BB1A41E" w14:textId="77777777" w:rsidR="00CB7D4D" w:rsidRPr="005B35F4" w:rsidRDefault="00CB7D4D" w:rsidP="0034622E">
            <w:pPr>
              <w:jc w:val="right"/>
              <w:rPr>
                <w:rFonts w:ascii="Arial" w:hAnsi="Arial" w:cs="Arial"/>
                <w:color w:val="000000"/>
                <w:sz w:val="17"/>
                <w:szCs w:val="17"/>
              </w:rPr>
            </w:pPr>
            <w:r w:rsidRPr="00F959D0">
              <w:rPr>
                <w:rFonts w:ascii="Arial" w:hAnsi="Arial" w:cs="Arial"/>
                <w:color w:val="000000"/>
                <w:sz w:val="17"/>
                <w:szCs w:val="17"/>
              </w:rPr>
              <w:t xml:space="preserve"> - </w:t>
            </w:r>
          </w:p>
        </w:tc>
        <w:tc>
          <w:tcPr>
            <w:tcW w:w="640" w:type="pct"/>
            <w:tcBorders>
              <w:top w:val="nil"/>
              <w:left w:val="nil"/>
              <w:bottom w:val="nil"/>
              <w:right w:val="nil"/>
            </w:tcBorders>
            <w:shd w:val="clear" w:color="auto" w:fill="auto"/>
            <w:vAlign w:val="bottom"/>
          </w:tcPr>
          <w:p w14:paraId="78F1F7AD" w14:textId="77777777" w:rsidR="00CB7D4D" w:rsidRPr="005B35F4" w:rsidRDefault="00CB7D4D" w:rsidP="0034622E">
            <w:pPr>
              <w:jc w:val="right"/>
              <w:rPr>
                <w:rFonts w:ascii="Arial" w:hAnsi="Arial" w:cs="Arial"/>
                <w:color w:val="000000"/>
                <w:sz w:val="17"/>
                <w:szCs w:val="17"/>
              </w:rPr>
            </w:pPr>
            <w:r w:rsidRPr="00F959D0">
              <w:rPr>
                <w:rFonts w:ascii="Arial" w:hAnsi="Arial" w:cs="Arial"/>
                <w:color w:val="000000"/>
                <w:sz w:val="17"/>
                <w:szCs w:val="17"/>
              </w:rPr>
              <w:t xml:space="preserve"> - </w:t>
            </w:r>
          </w:p>
        </w:tc>
        <w:tc>
          <w:tcPr>
            <w:tcW w:w="603" w:type="pct"/>
            <w:tcBorders>
              <w:top w:val="nil"/>
              <w:left w:val="nil"/>
              <w:bottom w:val="nil"/>
              <w:right w:val="nil"/>
            </w:tcBorders>
            <w:shd w:val="clear" w:color="auto" w:fill="auto"/>
            <w:vAlign w:val="bottom"/>
          </w:tcPr>
          <w:p w14:paraId="75B78D73" w14:textId="77777777" w:rsidR="00CB7D4D" w:rsidRPr="005B35F4" w:rsidRDefault="00CB7D4D" w:rsidP="0034622E">
            <w:pPr>
              <w:jc w:val="right"/>
              <w:rPr>
                <w:rFonts w:ascii="Arial" w:hAnsi="Arial" w:cs="Arial"/>
                <w:color w:val="000000"/>
                <w:sz w:val="17"/>
                <w:szCs w:val="17"/>
              </w:rPr>
            </w:pPr>
            <w:r w:rsidRPr="00F959D0">
              <w:rPr>
                <w:rFonts w:ascii="Arial" w:hAnsi="Arial" w:cs="Arial"/>
                <w:color w:val="000000"/>
                <w:sz w:val="17"/>
                <w:szCs w:val="17"/>
              </w:rPr>
              <w:t xml:space="preserve"> 10.400 </w:t>
            </w:r>
          </w:p>
        </w:tc>
      </w:tr>
      <w:tr w:rsidR="00CB7D4D" w:rsidRPr="005B35F4" w14:paraId="6D253B40" w14:textId="77777777" w:rsidTr="0034622E">
        <w:trPr>
          <w:trHeight w:hRule="exact" w:val="271"/>
        </w:trPr>
        <w:tc>
          <w:tcPr>
            <w:tcW w:w="1517" w:type="pct"/>
            <w:tcBorders>
              <w:top w:val="nil"/>
              <w:left w:val="nil"/>
              <w:bottom w:val="nil"/>
              <w:right w:val="nil"/>
            </w:tcBorders>
            <w:shd w:val="clear" w:color="auto" w:fill="auto"/>
            <w:vAlign w:val="bottom"/>
          </w:tcPr>
          <w:p w14:paraId="112740F9" w14:textId="77777777" w:rsidR="00CB7D4D" w:rsidRPr="005B35F4" w:rsidRDefault="00CB7D4D" w:rsidP="0034622E">
            <w:pPr>
              <w:tabs>
                <w:tab w:val="right" w:pos="1202"/>
              </w:tabs>
              <w:spacing w:line="240" w:lineRule="exact"/>
              <w:outlineLvl w:val="0"/>
              <w:rPr>
                <w:rFonts w:ascii="Arial" w:hAnsi="Arial" w:cs="Arial"/>
                <w:color w:val="000000" w:themeColor="text1"/>
                <w:sz w:val="17"/>
                <w:szCs w:val="17"/>
              </w:rPr>
            </w:pPr>
            <w:r w:rsidRPr="005B35F4">
              <w:rPr>
                <w:rFonts w:ascii="Arial" w:hAnsi="Arial" w:cs="Arial"/>
                <w:color w:val="000000"/>
                <w:sz w:val="17"/>
                <w:szCs w:val="17"/>
              </w:rPr>
              <w:t>Ugovorena obveza EIF CROGIP</w:t>
            </w:r>
          </w:p>
        </w:tc>
        <w:tc>
          <w:tcPr>
            <w:tcW w:w="551" w:type="pct"/>
            <w:tcBorders>
              <w:top w:val="nil"/>
              <w:left w:val="nil"/>
              <w:bottom w:val="nil"/>
              <w:right w:val="nil"/>
            </w:tcBorders>
            <w:shd w:val="clear" w:color="auto" w:fill="auto"/>
            <w:vAlign w:val="bottom"/>
          </w:tcPr>
          <w:p w14:paraId="29F453BF" w14:textId="77777777" w:rsidR="00CB7D4D" w:rsidRPr="005B35F4" w:rsidRDefault="00CB7D4D" w:rsidP="0034622E">
            <w:pPr>
              <w:jc w:val="right"/>
              <w:rPr>
                <w:rFonts w:ascii="Arial" w:hAnsi="Arial" w:cs="Arial"/>
                <w:color w:val="000000"/>
                <w:sz w:val="17"/>
                <w:szCs w:val="17"/>
              </w:rPr>
            </w:pPr>
            <w:r w:rsidRPr="00F959D0">
              <w:rPr>
                <w:rFonts w:ascii="Arial" w:hAnsi="Arial" w:cs="Arial"/>
                <w:color w:val="000000"/>
                <w:sz w:val="17"/>
                <w:szCs w:val="17"/>
              </w:rPr>
              <w:t xml:space="preserve"> 129 </w:t>
            </w:r>
          </w:p>
        </w:tc>
        <w:tc>
          <w:tcPr>
            <w:tcW w:w="546" w:type="pct"/>
            <w:tcBorders>
              <w:top w:val="nil"/>
              <w:left w:val="nil"/>
              <w:bottom w:val="nil"/>
              <w:right w:val="nil"/>
            </w:tcBorders>
            <w:shd w:val="clear" w:color="auto" w:fill="auto"/>
            <w:vAlign w:val="bottom"/>
          </w:tcPr>
          <w:p w14:paraId="1D3D7E36" w14:textId="77777777" w:rsidR="00CB7D4D" w:rsidRPr="005B35F4" w:rsidRDefault="00CB7D4D" w:rsidP="0034622E">
            <w:pPr>
              <w:jc w:val="right"/>
              <w:rPr>
                <w:rFonts w:ascii="Arial" w:hAnsi="Arial" w:cs="Arial"/>
                <w:color w:val="000000"/>
                <w:sz w:val="17"/>
                <w:szCs w:val="17"/>
              </w:rPr>
            </w:pPr>
            <w:r w:rsidRPr="00F959D0">
              <w:rPr>
                <w:rFonts w:ascii="Arial" w:hAnsi="Arial" w:cs="Arial"/>
                <w:color w:val="000000"/>
                <w:sz w:val="17"/>
                <w:szCs w:val="17"/>
              </w:rPr>
              <w:t xml:space="preserve"> 1.467 </w:t>
            </w:r>
          </w:p>
        </w:tc>
        <w:tc>
          <w:tcPr>
            <w:tcW w:w="572" w:type="pct"/>
            <w:tcBorders>
              <w:top w:val="nil"/>
              <w:left w:val="nil"/>
              <w:bottom w:val="nil"/>
              <w:right w:val="nil"/>
            </w:tcBorders>
            <w:shd w:val="clear" w:color="auto" w:fill="auto"/>
            <w:vAlign w:val="bottom"/>
          </w:tcPr>
          <w:p w14:paraId="5B1F9D74" w14:textId="77777777" w:rsidR="00CB7D4D" w:rsidRPr="005B35F4" w:rsidRDefault="00CB7D4D" w:rsidP="0034622E">
            <w:pPr>
              <w:jc w:val="right"/>
              <w:rPr>
                <w:rFonts w:ascii="Arial" w:hAnsi="Arial" w:cs="Arial"/>
                <w:color w:val="000000"/>
                <w:sz w:val="17"/>
                <w:szCs w:val="17"/>
              </w:rPr>
            </w:pPr>
            <w:r w:rsidRPr="00F959D0">
              <w:rPr>
                <w:rFonts w:ascii="Arial" w:hAnsi="Arial" w:cs="Arial"/>
                <w:color w:val="000000"/>
                <w:sz w:val="17"/>
                <w:szCs w:val="17"/>
              </w:rPr>
              <w:t xml:space="preserve"> 7.404 </w:t>
            </w:r>
          </w:p>
        </w:tc>
        <w:tc>
          <w:tcPr>
            <w:tcW w:w="570" w:type="pct"/>
            <w:tcBorders>
              <w:top w:val="nil"/>
              <w:left w:val="nil"/>
              <w:bottom w:val="nil"/>
              <w:right w:val="nil"/>
            </w:tcBorders>
            <w:shd w:val="clear" w:color="auto" w:fill="auto"/>
            <w:vAlign w:val="bottom"/>
          </w:tcPr>
          <w:p w14:paraId="66E8620D" w14:textId="77777777" w:rsidR="00CB7D4D" w:rsidRPr="005B35F4" w:rsidRDefault="00CB7D4D" w:rsidP="0034622E">
            <w:pPr>
              <w:jc w:val="right"/>
              <w:rPr>
                <w:rFonts w:ascii="Arial" w:hAnsi="Arial" w:cs="Arial"/>
                <w:color w:val="000000"/>
                <w:sz w:val="17"/>
                <w:szCs w:val="17"/>
              </w:rPr>
            </w:pPr>
            <w:r w:rsidRPr="00F959D0">
              <w:rPr>
                <w:rFonts w:ascii="Arial" w:hAnsi="Arial" w:cs="Arial"/>
                <w:color w:val="000000"/>
                <w:sz w:val="17"/>
                <w:szCs w:val="17"/>
              </w:rPr>
              <w:t xml:space="preserve"> 15.800 </w:t>
            </w:r>
          </w:p>
        </w:tc>
        <w:tc>
          <w:tcPr>
            <w:tcW w:w="640" w:type="pct"/>
            <w:tcBorders>
              <w:top w:val="nil"/>
              <w:left w:val="nil"/>
              <w:bottom w:val="nil"/>
              <w:right w:val="nil"/>
            </w:tcBorders>
            <w:shd w:val="clear" w:color="auto" w:fill="auto"/>
            <w:vAlign w:val="bottom"/>
          </w:tcPr>
          <w:p w14:paraId="7C0670AC" w14:textId="77777777" w:rsidR="00CB7D4D" w:rsidRPr="005B35F4" w:rsidRDefault="00CB7D4D" w:rsidP="0034622E">
            <w:pPr>
              <w:jc w:val="right"/>
              <w:rPr>
                <w:rFonts w:ascii="Arial" w:hAnsi="Arial" w:cs="Arial"/>
                <w:color w:val="000000"/>
                <w:sz w:val="17"/>
                <w:szCs w:val="17"/>
              </w:rPr>
            </w:pPr>
            <w:r w:rsidRPr="00F959D0">
              <w:rPr>
                <w:rFonts w:ascii="Arial" w:hAnsi="Arial" w:cs="Arial"/>
                <w:color w:val="000000"/>
                <w:sz w:val="17"/>
                <w:szCs w:val="17"/>
              </w:rPr>
              <w:t xml:space="preserve"> 6.660 </w:t>
            </w:r>
          </w:p>
        </w:tc>
        <w:tc>
          <w:tcPr>
            <w:tcW w:w="603" w:type="pct"/>
            <w:tcBorders>
              <w:top w:val="nil"/>
              <w:left w:val="nil"/>
              <w:bottom w:val="nil"/>
              <w:right w:val="nil"/>
            </w:tcBorders>
            <w:shd w:val="clear" w:color="auto" w:fill="auto"/>
            <w:vAlign w:val="bottom"/>
          </w:tcPr>
          <w:p w14:paraId="1E1D8287" w14:textId="77777777" w:rsidR="00CB7D4D" w:rsidRPr="005B35F4" w:rsidRDefault="00CB7D4D" w:rsidP="0034622E">
            <w:pPr>
              <w:jc w:val="right"/>
              <w:rPr>
                <w:rFonts w:ascii="Arial" w:hAnsi="Arial" w:cs="Arial"/>
                <w:color w:val="000000"/>
                <w:sz w:val="17"/>
                <w:szCs w:val="17"/>
              </w:rPr>
            </w:pPr>
            <w:r w:rsidRPr="00F959D0">
              <w:rPr>
                <w:rFonts w:ascii="Arial" w:hAnsi="Arial" w:cs="Arial"/>
                <w:color w:val="000000"/>
                <w:sz w:val="17"/>
                <w:szCs w:val="17"/>
              </w:rPr>
              <w:t xml:space="preserve"> 31.460 </w:t>
            </w:r>
          </w:p>
        </w:tc>
      </w:tr>
      <w:tr w:rsidR="00CB7D4D" w:rsidRPr="005B35F4" w14:paraId="525D640B" w14:textId="77777777" w:rsidTr="0034622E">
        <w:trPr>
          <w:trHeight w:hRule="exact" w:val="271"/>
        </w:trPr>
        <w:tc>
          <w:tcPr>
            <w:tcW w:w="1517" w:type="pct"/>
            <w:tcBorders>
              <w:top w:val="nil"/>
              <w:left w:val="nil"/>
              <w:bottom w:val="nil"/>
              <w:right w:val="nil"/>
            </w:tcBorders>
            <w:shd w:val="clear" w:color="auto" w:fill="auto"/>
            <w:vAlign w:val="bottom"/>
          </w:tcPr>
          <w:p w14:paraId="485EE7A8" w14:textId="77777777" w:rsidR="00CB7D4D" w:rsidRPr="005B35F4" w:rsidRDefault="00CB7D4D" w:rsidP="0034622E">
            <w:pPr>
              <w:tabs>
                <w:tab w:val="right" w:pos="1202"/>
              </w:tabs>
              <w:spacing w:line="240" w:lineRule="exact"/>
              <w:outlineLvl w:val="0"/>
              <w:rPr>
                <w:rFonts w:ascii="Arial" w:hAnsi="Arial" w:cs="Arial"/>
                <w:color w:val="000000" w:themeColor="text1"/>
                <w:sz w:val="17"/>
                <w:szCs w:val="17"/>
              </w:rPr>
            </w:pPr>
            <w:r w:rsidRPr="005B35F4">
              <w:rPr>
                <w:rFonts w:ascii="Arial" w:hAnsi="Arial" w:cs="Arial"/>
                <w:color w:val="000000"/>
                <w:sz w:val="17"/>
                <w:szCs w:val="17"/>
              </w:rPr>
              <w:t>Ugovorena obveza EIF FRC2</w:t>
            </w:r>
          </w:p>
        </w:tc>
        <w:tc>
          <w:tcPr>
            <w:tcW w:w="551" w:type="pct"/>
            <w:tcBorders>
              <w:top w:val="nil"/>
              <w:left w:val="nil"/>
              <w:bottom w:val="single" w:sz="8" w:space="0" w:color="auto"/>
              <w:right w:val="nil"/>
            </w:tcBorders>
            <w:shd w:val="clear" w:color="auto" w:fill="auto"/>
            <w:vAlign w:val="bottom"/>
          </w:tcPr>
          <w:p w14:paraId="7BE9F6F6" w14:textId="77777777" w:rsidR="00CB7D4D" w:rsidRPr="005B35F4" w:rsidRDefault="00CB7D4D" w:rsidP="0034622E">
            <w:pPr>
              <w:jc w:val="right"/>
              <w:rPr>
                <w:rFonts w:ascii="Arial" w:hAnsi="Arial" w:cs="Arial"/>
                <w:color w:val="000000"/>
                <w:sz w:val="17"/>
                <w:szCs w:val="17"/>
              </w:rPr>
            </w:pPr>
            <w:r w:rsidRPr="00F959D0">
              <w:rPr>
                <w:rFonts w:ascii="Arial" w:hAnsi="Arial" w:cs="Arial"/>
                <w:color w:val="000000"/>
                <w:sz w:val="17"/>
                <w:szCs w:val="17"/>
              </w:rPr>
              <w:t xml:space="preserve"> 14 </w:t>
            </w:r>
          </w:p>
        </w:tc>
        <w:tc>
          <w:tcPr>
            <w:tcW w:w="546" w:type="pct"/>
            <w:tcBorders>
              <w:top w:val="nil"/>
              <w:left w:val="nil"/>
              <w:bottom w:val="single" w:sz="8" w:space="0" w:color="auto"/>
              <w:right w:val="nil"/>
            </w:tcBorders>
            <w:shd w:val="clear" w:color="auto" w:fill="auto"/>
            <w:vAlign w:val="bottom"/>
          </w:tcPr>
          <w:p w14:paraId="59B440E3" w14:textId="77777777" w:rsidR="00CB7D4D" w:rsidRPr="005B35F4" w:rsidRDefault="00CB7D4D" w:rsidP="0034622E">
            <w:pPr>
              <w:jc w:val="right"/>
              <w:rPr>
                <w:rFonts w:ascii="Arial" w:hAnsi="Arial" w:cs="Arial"/>
                <w:color w:val="000000"/>
                <w:sz w:val="17"/>
                <w:szCs w:val="17"/>
              </w:rPr>
            </w:pPr>
            <w:r w:rsidRPr="00F959D0">
              <w:rPr>
                <w:rFonts w:ascii="Arial" w:hAnsi="Arial" w:cs="Arial"/>
                <w:color w:val="000000"/>
                <w:sz w:val="17"/>
                <w:szCs w:val="17"/>
              </w:rPr>
              <w:t xml:space="preserve"> 4 </w:t>
            </w:r>
          </w:p>
        </w:tc>
        <w:tc>
          <w:tcPr>
            <w:tcW w:w="572" w:type="pct"/>
            <w:tcBorders>
              <w:top w:val="nil"/>
              <w:left w:val="nil"/>
              <w:bottom w:val="single" w:sz="8" w:space="0" w:color="auto"/>
              <w:right w:val="nil"/>
            </w:tcBorders>
            <w:shd w:val="clear" w:color="auto" w:fill="auto"/>
            <w:vAlign w:val="bottom"/>
          </w:tcPr>
          <w:p w14:paraId="732A38AD" w14:textId="77777777" w:rsidR="00CB7D4D" w:rsidRPr="005B35F4" w:rsidRDefault="00CB7D4D" w:rsidP="0034622E">
            <w:pPr>
              <w:jc w:val="right"/>
              <w:rPr>
                <w:rFonts w:ascii="Arial" w:hAnsi="Arial" w:cs="Arial"/>
                <w:color w:val="000000"/>
                <w:sz w:val="17"/>
                <w:szCs w:val="17"/>
              </w:rPr>
            </w:pPr>
            <w:r w:rsidRPr="00F959D0">
              <w:rPr>
                <w:rFonts w:ascii="Arial" w:hAnsi="Arial" w:cs="Arial"/>
                <w:color w:val="000000"/>
                <w:sz w:val="17"/>
                <w:szCs w:val="17"/>
              </w:rPr>
              <w:t xml:space="preserve"> 13 </w:t>
            </w:r>
          </w:p>
        </w:tc>
        <w:tc>
          <w:tcPr>
            <w:tcW w:w="570" w:type="pct"/>
            <w:tcBorders>
              <w:top w:val="nil"/>
              <w:left w:val="nil"/>
              <w:bottom w:val="single" w:sz="8" w:space="0" w:color="auto"/>
              <w:right w:val="nil"/>
            </w:tcBorders>
            <w:shd w:val="clear" w:color="auto" w:fill="auto"/>
            <w:vAlign w:val="bottom"/>
          </w:tcPr>
          <w:p w14:paraId="35CD3A7C" w14:textId="77777777" w:rsidR="00CB7D4D" w:rsidRPr="005B35F4" w:rsidRDefault="00CB7D4D" w:rsidP="0034622E">
            <w:pPr>
              <w:jc w:val="right"/>
              <w:rPr>
                <w:rFonts w:ascii="Arial" w:hAnsi="Arial" w:cs="Arial"/>
                <w:color w:val="000000"/>
                <w:sz w:val="17"/>
                <w:szCs w:val="17"/>
              </w:rPr>
            </w:pPr>
            <w:r w:rsidRPr="00F959D0">
              <w:rPr>
                <w:rFonts w:ascii="Arial" w:hAnsi="Arial" w:cs="Arial"/>
                <w:color w:val="000000"/>
                <w:sz w:val="17"/>
                <w:szCs w:val="17"/>
              </w:rPr>
              <w:t xml:space="preserve"> 40 </w:t>
            </w:r>
          </w:p>
        </w:tc>
        <w:tc>
          <w:tcPr>
            <w:tcW w:w="640" w:type="pct"/>
            <w:tcBorders>
              <w:top w:val="nil"/>
              <w:left w:val="nil"/>
              <w:bottom w:val="single" w:sz="8" w:space="0" w:color="auto"/>
              <w:right w:val="nil"/>
            </w:tcBorders>
            <w:shd w:val="clear" w:color="auto" w:fill="auto"/>
            <w:vAlign w:val="bottom"/>
          </w:tcPr>
          <w:p w14:paraId="1D4987C8" w14:textId="77777777" w:rsidR="00CB7D4D" w:rsidRPr="005B35F4" w:rsidRDefault="00CB7D4D" w:rsidP="0034622E">
            <w:pPr>
              <w:jc w:val="right"/>
              <w:rPr>
                <w:rFonts w:ascii="Arial" w:hAnsi="Arial" w:cs="Arial"/>
                <w:color w:val="000000"/>
                <w:sz w:val="17"/>
                <w:szCs w:val="17"/>
              </w:rPr>
            </w:pPr>
            <w:r w:rsidRPr="00F959D0">
              <w:rPr>
                <w:rFonts w:ascii="Arial" w:hAnsi="Arial" w:cs="Arial"/>
                <w:color w:val="000000"/>
                <w:sz w:val="17"/>
                <w:szCs w:val="17"/>
              </w:rPr>
              <w:t xml:space="preserve"> 10 </w:t>
            </w:r>
          </w:p>
        </w:tc>
        <w:tc>
          <w:tcPr>
            <w:tcW w:w="603" w:type="pct"/>
            <w:tcBorders>
              <w:top w:val="nil"/>
              <w:left w:val="nil"/>
              <w:bottom w:val="single" w:sz="8" w:space="0" w:color="auto"/>
              <w:right w:val="nil"/>
            </w:tcBorders>
            <w:shd w:val="clear" w:color="auto" w:fill="auto"/>
            <w:vAlign w:val="bottom"/>
          </w:tcPr>
          <w:p w14:paraId="28EACA3E" w14:textId="77777777" w:rsidR="00CB7D4D" w:rsidRPr="005B35F4" w:rsidRDefault="00CB7D4D" w:rsidP="0034622E">
            <w:pPr>
              <w:jc w:val="right"/>
              <w:rPr>
                <w:rFonts w:ascii="Arial" w:hAnsi="Arial" w:cs="Arial"/>
                <w:color w:val="000000"/>
                <w:sz w:val="17"/>
                <w:szCs w:val="17"/>
              </w:rPr>
            </w:pPr>
            <w:r w:rsidRPr="00F959D0">
              <w:rPr>
                <w:rFonts w:ascii="Arial" w:hAnsi="Arial" w:cs="Arial"/>
                <w:color w:val="000000"/>
                <w:sz w:val="17"/>
                <w:szCs w:val="17"/>
              </w:rPr>
              <w:t xml:space="preserve"> 81 </w:t>
            </w:r>
          </w:p>
        </w:tc>
      </w:tr>
      <w:tr w:rsidR="00CB7D4D" w:rsidRPr="005B35F4" w14:paraId="075C9DA9" w14:textId="77777777" w:rsidTr="0034622E">
        <w:trPr>
          <w:trHeight w:hRule="exact" w:val="267"/>
        </w:trPr>
        <w:tc>
          <w:tcPr>
            <w:tcW w:w="1517" w:type="pct"/>
            <w:tcBorders>
              <w:top w:val="nil"/>
              <w:left w:val="nil"/>
              <w:bottom w:val="nil"/>
              <w:right w:val="nil"/>
            </w:tcBorders>
            <w:shd w:val="clear" w:color="auto" w:fill="auto"/>
            <w:vAlign w:val="center"/>
          </w:tcPr>
          <w:p w14:paraId="63D3EAB0" w14:textId="77777777" w:rsidR="00CB7D4D" w:rsidRPr="005B35F4" w:rsidRDefault="00CB7D4D" w:rsidP="0034622E">
            <w:pPr>
              <w:tabs>
                <w:tab w:val="right" w:pos="1202"/>
              </w:tabs>
              <w:spacing w:line="240" w:lineRule="exact"/>
              <w:outlineLvl w:val="0"/>
              <w:rPr>
                <w:rFonts w:ascii="Arial" w:hAnsi="Arial" w:cs="Arial"/>
                <w:b/>
                <w:bCs/>
                <w:color w:val="000000" w:themeColor="text1"/>
                <w:spacing w:val="-2"/>
                <w:sz w:val="17"/>
                <w:szCs w:val="17"/>
              </w:rPr>
            </w:pPr>
            <w:r w:rsidRPr="005B35F4">
              <w:rPr>
                <w:rFonts w:ascii="Arial" w:hAnsi="Arial" w:cs="Arial"/>
                <w:b/>
                <w:bCs/>
                <w:color w:val="000000" w:themeColor="text1"/>
                <w:sz w:val="17"/>
                <w:szCs w:val="17"/>
              </w:rPr>
              <w:t>Ukupne garancije i preuzete obveze</w:t>
            </w:r>
          </w:p>
        </w:tc>
        <w:tc>
          <w:tcPr>
            <w:tcW w:w="551" w:type="pct"/>
            <w:tcBorders>
              <w:top w:val="single" w:sz="8" w:space="0" w:color="auto"/>
              <w:left w:val="nil"/>
              <w:bottom w:val="single" w:sz="12" w:space="0" w:color="auto"/>
              <w:right w:val="nil"/>
            </w:tcBorders>
            <w:shd w:val="clear" w:color="auto" w:fill="auto"/>
            <w:vAlign w:val="bottom"/>
          </w:tcPr>
          <w:p w14:paraId="53DF42F8" w14:textId="77777777" w:rsidR="00CB7D4D" w:rsidRPr="003C3893" w:rsidRDefault="00CB7D4D" w:rsidP="0034622E">
            <w:pPr>
              <w:jc w:val="right"/>
              <w:rPr>
                <w:rFonts w:ascii="Arial" w:hAnsi="Arial" w:cs="Arial"/>
                <w:b/>
                <w:bCs/>
                <w:color w:val="000000"/>
                <w:sz w:val="17"/>
                <w:szCs w:val="17"/>
              </w:rPr>
            </w:pPr>
            <w:r w:rsidRPr="00F959D0">
              <w:rPr>
                <w:rFonts w:ascii="Arial" w:hAnsi="Arial" w:cs="Arial"/>
                <w:b/>
                <w:bCs/>
                <w:color w:val="000000"/>
                <w:sz w:val="17"/>
                <w:szCs w:val="17"/>
              </w:rPr>
              <w:t>516.155</w:t>
            </w:r>
          </w:p>
        </w:tc>
        <w:tc>
          <w:tcPr>
            <w:tcW w:w="546" w:type="pct"/>
            <w:tcBorders>
              <w:top w:val="single" w:sz="8" w:space="0" w:color="auto"/>
              <w:left w:val="nil"/>
              <w:bottom w:val="single" w:sz="12" w:space="0" w:color="auto"/>
              <w:right w:val="nil"/>
            </w:tcBorders>
            <w:shd w:val="clear" w:color="auto" w:fill="auto"/>
            <w:vAlign w:val="bottom"/>
          </w:tcPr>
          <w:p w14:paraId="3719068D" w14:textId="77777777" w:rsidR="00CB7D4D" w:rsidRPr="003C3893" w:rsidRDefault="00CB7D4D" w:rsidP="0034622E">
            <w:pPr>
              <w:jc w:val="right"/>
              <w:rPr>
                <w:rFonts w:ascii="Arial" w:hAnsi="Arial" w:cs="Arial"/>
                <w:b/>
                <w:bCs/>
                <w:color w:val="000000"/>
                <w:sz w:val="17"/>
                <w:szCs w:val="17"/>
              </w:rPr>
            </w:pPr>
            <w:r w:rsidRPr="00F959D0">
              <w:rPr>
                <w:rFonts w:ascii="Arial" w:hAnsi="Arial" w:cs="Arial"/>
                <w:b/>
                <w:bCs/>
                <w:color w:val="000000"/>
                <w:sz w:val="17"/>
                <w:szCs w:val="17"/>
              </w:rPr>
              <w:t>1.471</w:t>
            </w:r>
          </w:p>
        </w:tc>
        <w:tc>
          <w:tcPr>
            <w:tcW w:w="572" w:type="pct"/>
            <w:tcBorders>
              <w:top w:val="single" w:sz="8" w:space="0" w:color="auto"/>
              <w:left w:val="nil"/>
              <w:bottom w:val="single" w:sz="12" w:space="0" w:color="auto"/>
              <w:right w:val="nil"/>
            </w:tcBorders>
            <w:shd w:val="clear" w:color="auto" w:fill="auto"/>
            <w:vAlign w:val="bottom"/>
          </w:tcPr>
          <w:p w14:paraId="561D1C9F" w14:textId="77777777" w:rsidR="00CB7D4D" w:rsidRPr="003C3893" w:rsidRDefault="00CB7D4D" w:rsidP="0034622E">
            <w:pPr>
              <w:jc w:val="right"/>
              <w:rPr>
                <w:rFonts w:ascii="Arial" w:hAnsi="Arial" w:cs="Arial"/>
                <w:b/>
                <w:bCs/>
                <w:color w:val="000000"/>
                <w:sz w:val="17"/>
                <w:szCs w:val="17"/>
              </w:rPr>
            </w:pPr>
            <w:r w:rsidRPr="00F959D0">
              <w:rPr>
                <w:rFonts w:ascii="Arial" w:hAnsi="Arial" w:cs="Arial"/>
                <w:b/>
                <w:bCs/>
                <w:color w:val="000000"/>
                <w:sz w:val="17"/>
                <w:szCs w:val="17"/>
              </w:rPr>
              <w:t>7.417</w:t>
            </w:r>
          </w:p>
        </w:tc>
        <w:tc>
          <w:tcPr>
            <w:tcW w:w="570" w:type="pct"/>
            <w:tcBorders>
              <w:top w:val="single" w:sz="8" w:space="0" w:color="auto"/>
              <w:left w:val="nil"/>
              <w:bottom w:val="single" w:sz="12" w:space="0" w:color="auto"/>
              <w:right w:val="nil"/>
            </w:tcBorders>
            <w:shd w:val="clear" w:color="auto" w:fill="auto"/>
            <w:vAlign w:val="bottom"/>
          </w:tcPr>
          <w:p w14:paraId="35DFF1F4" w14:textId="77777777" w:rsidR="00CB7D4D" w:rsidRPr="003C3893" w:rsidRDefault="00CB7D4D" w:rsidP="0034622E">
            <w:pPr>
              <w:jc w:val="right"/>
              <w:rPr>
                <w:rFonts w:ascii="Arial" w:hAnsi="Arial" w:cs="Arial"/>
                <w:b/>
                <w:bCs/>
                <w:color w:val="000000"/>
                <w:sz w:val="17"/>
                <w:szCs w:val="17"/>
              </w:rPr>
            </w:pPr>
            <w:r w:rsidRPr="00F959D0">
              <w:rPr>
                <w:rFonts w:ascii="Arial" w:hAnsi="Arial" w:cs="Arial"/>
                <w:b/>
                <w:bCs/>
                <w:color w:val="000000"/>
                <w:sz w:val="17"/>
                <w:szCs w:val="17"/>
              </w:rPr>
              <w:t>15.840</w:t>
            </w:r>
          </w:p>
        </w:tc>
        <w:tc>
          <w:tcPr>
            <w:tcW w:w="640" w:type="pct"/>
            <w:tcBorders>
              <w:top w:val="single" w:sz="8" w:space="0" w:color="auto"/>
              <w:left w:val="nil"/>
              <w:bottom w:val="single" w:sz="12" w:space="0" w:color="auto"/>
              <w:right w:val="nil"/>
            </w:tcBorders>
            <w:shd w:val="clear" w:color="auto" w:fill="auto"/>
            <w:vAlign w:val="bottom"/>
          </w:tcPr>
          <w:p w14:paraId="6B51F095" w14:textId="77777777" w:rsidR="00CB7D4D" w:rsidRPr="003C3893" w:rsidRDefault="00CB7D4D" w:rsidP="0034622E">
            <w:pPr>
              <w:jc w:val="right"/>
              <w:rPr>
                <w:rFonts w:ascii="Arial" w:hAnsi="Arial" w:cs="Arial"/>
                <w:b/>
                <w:bCs/>
                <w:color w:val="000000"/>
                <w:sz w:val="17"/>
                <w:szCs w:val="17"/>
              </w:rPr>
            </w:pPr>
            <w:r w:rsidRPr="00F959D0">
              <w:rPr>
                <w:rFonts w:ascii="Arial" w:hAnsi="Arial" w:cs="Arial"/>
                <w:b/>
                <w:bCs/>
                <w:color w:val="000000"/>
                <w:sz w:val="17"/>
                <w:szCs w:val="17"/>
              </w:rPr>
              <w:t>6.670</w:t>
            </w:r>
          </w:p>
        </w:tc>
        <w:tc>
          <w:tcPr>
            <w:tcW w:w="603" w:type="pct"/>
            <w:tcBorders>
              <w:top w:val="single" w:sz="8" w:space="0" w:color="auto"/>
              <w:left w:val="nil"/>
              <w:bottom w:val="single" w:sz="12" w:space="0" w:color="auto"/>
              <w:right w:val="nil"/>
            </w:tcBorders>
            <w:shd w:val="clear" w:color="auto" w:fill="auto"/>
            <w:vAlign w:val="bottom"/>
          </w:tcPr>
          <w:p w14:paraId="41878741" w14:textId="77777777" w:rsidR="00CB7D4D" w:rsidRPr="003C3893" w:rsidRDefault="00CB7D4D" w:rsidP="0034622E">
            <w:pPr>
              <w:jc w:val="right"/>
              <w:rPr>
                <w:rFonts w:ascii="Arial" w:hAnsi="Arial" w:cs="Arial"/>
                <w:b/>
                <w:bCs/>
                <w:color w:val="000000"/>
                <w:sz w:val="17"/>
                <w:szCs w:val="17"/>
              </w:rPr>
            </w:pPr>
            <w:r w:rsidRPr="00F959D0">
              <w:rPr>
                <w:rFonts w:ascii="Arial" w:hAnsi="Arial" w:cs="Arial"/>
                <w:b/>
                <w:bCs/>
                <w:color w:val="000000"/>
                <w:sz w:val="17"/>
                <w:szCs w:val="17"/>
              </w:rPr>
              <w:t>547.553</w:t>
            </w:r>
          </w:p>
        </w:tc>
      </w:tr>
    </w:tbl>
    <w:p w14:paraId="04E6D53A" w14:textId="77777777" w:rsidR="00661446" w:rsidRPr="003D1614" w:rsidRDefault="00661446" w:rsidP="00661446">
      <w:pPr>
        <w:suppressAutoHyphens/>
        <w:autoSpaceDN w:val="0"/>
        <w:jc w:val="both"/>
        <w:rPr>
          <w:rFonts w:ascii="Arial" w:eastAsia="Times New Roman" w:hAnsi="Arial" w:cs="Arial"/>
          <w:color w:val="000000" w:themeColor="text1"/>
          <w:sz w:val="20"/>
          <w:szCs w:val="20"/>
        </w:rPr>
      </w:pPr>
    </w:p>
    <w:p w14:paraId="5028E76A" w14:textId="77777777" w:rsidR="00661446" w:rsidRPr="003D1614" w:rsidRDefault="00661446" w:rsidP="00661446">
      <w:pPr>
        <w:suppressAutoHyphens/>
        <w:autoSpaceDN w:val="0"/>
        <w:spacing w:before="120" w:after="120"/>
        <w:jc w:val="both"/>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Stavke s neodređenim dospijećem iskazane su u razdoblju preko 3 godine.</w:t>
      </w:r>
    </w:p>
    <w:p w14:paraId="4C42BF19" w14:textId="77777777" w:rsidR="00661446" w:rsidRPr="003D1614" w:rsidRDefault="00661446" w:rsidP="00661446">
      <w:pPr>
        <w:suppressAutoHyphens/>
        <w:autoSpaceDN w:val="0"/>
        <w:jc w:val="both"/>
        <w:rPr>
          <w:rFonts w:ascii="Arial" w:eastAsia="Times New Roman" w:hAnsi="Arial" w:cs="Arial"/>
          <w:bCs/>
          <w:color w:val="000000" w:themeColor="text1"/>
          <w:sz w:val="20"/>
          <w:szCs w:val="20"/>
        </w:rPr>
      </w:pPr>
    </w:p>
    <w:p w14:paraId="2E3ABA12" w14:textId="77777777" w:rsidR="00017F1E" w:rsidRPr="00F959D0" w:rsidRDefault="00017F1E" w:rsidP="00017F1E">
      <w:pPr>
        <w:keepNext/>
        <w:ind w:right="-1"/>
        <w:jc w:val="both"/>
        <w:rPr>
          <w:rFonts w:ascii="Arial" w:hAnsi="Arial" w:cs="Arial"/>
          <w:bCs/>
          <w:i/>
          <w:strike/>
          <w:color w:val="000000" w:themeColor="text1"/>
          <w:sz w:val="18"/>
          <w:szCs w:val="18"/>
        </w:rPr>
      </w:pPr>
      <w:r w:rsidRPr="00F84C24">
        <w:rPr>
          <w:rFonts w:ascii="Arial" w:hAnsi="Arial" w:cs="Arial"/>
          <w:bCs/>
          <w:i/>
          <w:color w:val="000000" w:themeColor="text1"/>
          <w:sz w:val="18"/>
          <w:szCs w:val="18"/>
        </w:rPr>
        <w:t>*</w:t>
      </w:r>
      <w:r w:rsidRPr="00F84C24">
        <w:rPr>
          <w:rFonts w:ascii="Arial" w:hAnsi="Arial" w:cs="Arial"/>
          <w:b/>
          <w:bCs/>
          <w:color w:val="000000" w:themeColor="text1"/>
          <w:sz w:val="18"/>
          <w:szCs w:val="18"/>
        </w:rPr>
        <w:t xml:space="preserve"> </w:t>
      </w:r>
      <w:r w:rsidRPr="00F959D0">
        <w:rPr>
          <w:rFonts w:ascii="Arial" w:hAnsi="Arial" w:cs="Arial"/>
          <w:bCs/>
          <w:i/>
          <w:color w:val="000000" w:themeColor="text1"/>
          <w:sz w:val="18"/>
          <w:szCs w:val="18"/>
        </w:rPr>
        <w:t xml:space="preserve">Potraživanje u iznosu od </w:t>
      </w:r>
      <w:r>
        <w:rPr>
          <w:rFonts w:ascii="Arial" w:hAnsi="Arial" w:cs="Arial"/>
          <w:bCs/>
          <w:i/>
          <w:color w:val="000000" w:themeColor="text1"/>
          <w:sz w:val="18"/>
          <w:szCs w:val="18"/>
        </w:rPr>
        <w:t>193</w:t>
      </w:r>
      <w:r w:rsidRPr="00F959D0">
        <w:rPr>
          <w:rFonts w:ascii="Arial" w:hAnsi="Arial" w:cs="Arial"/>
          <w:bCs/>
          <w:i/>
          <w:color w:val="000000" w:themeColor="text1"/>
          <w:sz w:val="18"/>
          <w:szCs w:val="18"/>
        </w:rPr>
        <w:t>.</w:t>
      </w:r>
      <w:r>
        <w:rPr>
          <w:rFonts w:ascii="Arial" w:hAnsi="Arial" w:cs="Arial"/>
          <w:bCs/>
          <w:i/>
          <w:color w:val="000000" w:themeColor="text1"/>
          <w:sz w:val="18"/>
          <w:szCs w:val="18"/>
        </w:rPr>
        <w:t>000</w:t>
      </w:r>
      <w:r w:rsidRPr="00F959D0">
        <w:rPr>
          <w:rFonts w:ascii="Arial" w:hAnsi="Arial" w:cs="Arial"/>
          <w:bCs/>
          <w:i/>
          <w:color w:val="000000" w:themeColor="text1"/>
          <w:sz w:val="18"/>
          <w:szCs w:val="18"/>
        </w:rPr>
        <w:t xml:space="preserve"> tisuća </w:t>
      </w:r>
      <w:r>
        <w:rPr>
          <w:rFonts w:ascii="Arial" w:hAnsi="Arial" w:cs="Arial"/>
          <w:bCs/>
          <w:i/>
          <w:color w:val="000000" w:themeColor="text1"/>
          <w:sz w:val="18"/>
          <w:szCs w:val="18"/>
        </w:rPr>
        <w:t>eura</w:t>
      </w:r>
      <w:r w:rsidRPr="00F959D0">
        <w:rPr>
          <w:rFonts w:ascii="Arial" w:hAnsi="Arial" w:cs="Arial"/>
          <w:bCs/>
          <w:i/>
          <w:color w:val="000000" w:themeColor="text1"/>
          <w:sz w:val="18"/>
          <w:szCs w:val="18"/>
        </w:rPr>
        <w:t xml:space="preserve"> odnosi se na obrnute repo poslove. Kako je dio iznosa potraživanja produžen nakon datuma Izvještaja o financijskom položaju njegovo dospijeće iskazano je u razdoblju od 1 do 3 mjeseca u iznosu od </w:t>
      </w:r>
      <w:r>
        <w:rPr>
          <w:rFonts w:ascii="Arial" w:hAnsi="Arial" w:cs="Arial"/>
          <w:bCs/>
          <w:i/>
          <w:color w:val="000000" w:themeColor="text1"/>
          <w:sz w:val="18"/>
          <w:szCs w:val="18"/>
        </w:rPr>
        <w:t>128</w:t>
      </w:r>
      <w:r w:rsidRPr="00F959D0">
        <w:rPr>
          <w:rFonts w:ascii="Arial" w:hAnsi="Arial" w:cs="Arial"/>
          <w:bCs/>
          <w:i/>
          <w:color w:val="000000" w:themeColor="text1"/>
          <w:sz w:val="18"/>
          <w:szCs w:val="18"/>
        </w:rPr>
        <w:t>.</w:t>
      </w:r>
      <w:r>
        <w:rPr>
          <w:rFonts w:ascii="Arial" w:hAnsi="Arial" w:cs="Arial"/>
          <w:bCs/>
          <w:i/>
          <w:color w:val="000000" w:themeColor="text1"/>
          <w:sz w:val="18"/>
          <w:szCs w:val="18"/>
        </w:rPr>
        <w:t>000</w:t>
      </w:r>
      <w:r w:rsidRPr="00F959D0">
        <w:rPr>
          <w:rFonts w:ascii="Arial" w:hAnsi="Arial" w:cs="Arial"/>
          <w:bCs/>
          <w:i/>
          <w:color w:val="000000" w:themeColor="text1"/>
          <w:sz w:val="18"/>
          <w:szCs w:val="18"/>
        </w:rPr>
        <w:t xml:space="preserve"> tisuća </w:t>
      </w:r>
      <w:r>
        <w:rPr>
          <w:rFonts w:ascii="Arial" w:hAnsi="Arial" w:cs="Arial"/>
          <w:bCs/>
          <w:i/>
          <w:color w:val="000000" w:themeColor="text1"/>
          <w:sz w:val="18"/>
          <w:szCs w:val="18"/>
        </w:rPr>
        <w:t>eur</w:t>
      </w:r>
      <w:r w:rsidRPr="00F959D0">
        <w:rPr>
          <w:rFonts w:ascii="Arial" w:hAnsi="Arial" w:cs="Arial"/>
          <w:bCs/>
          <w:i/>
          <w:color w:val="000000" w:themeColor="text1"/>
          <w:sz w:val="18"/>
          <w:szCs w:val="18"/>
        </w:rPr>
        <w:t>a.</w:t>
      </w:r>
    </w:p>
    <w:p w14:paraId="1E011577" w14:textId="77777777" w:rsidR="00017F1E" w:rsidRPr="003D1614" w:rsidRDefault="00017F1E" w:rsidP="00017F1E">
      <w:pPr>
        <w:suppressAutoHyphens/>
        <w:autoSpaceDN w:val="0"/>
        <w:jc w:val="both"/>
        <w:rPr>
          <w:rFonts w:ascii="Arial" w:eastAsia="Times New Roman" w:hAnsi="Arial" w:cs="Arial"/>
          <w:bCs/>
          <w:i/>
          <w:color w:val="000000" w:themeColor="text1"/>
          <w:sz w:val="18"/>
          <w:szCs w:val="18"/>
        </w:rPr>
      </w:pPr>
      <w:r>
        <w:rPr>
          <w:rFonts w:ascii="Arial" w:eastAsia="Calibri" w:hAnsi="Arial" w:cs="Arial"/>
          <w:bCs/>
          <w:i/>
          <w:color w:val="000000" w:themeColor="text1"/>
          <w:sz w:val="18"/>
          <w:szCs w:val="18"/>
        </w:rPr>
        <w:t>*</w:t>
      </w:r>
      <w:r w:rsidRPr="003D1614">
        <w:rPr>
          <w:rFonts w:ascii="Arial" w:eastAsia="Calibri" w:hAnsi="Arial" w:cs="Arial"/>
          <w:bCs/>
          <w:i/>
          <w:color w:val="000000" w:themeColor="text1"/>
          <w:sz w:val="18"/>
          <w:szCs w:val="18"/>
        </w:rPr>
        <w:t>*</w:t>
      </w:r>
      <w:r w:rsidRPr="003D1614">
        <w:rPr>
          <w:rFonts w:ascii="Arial" w:eastAsia="Times New Roman" w:hAnsi="Arial" w:cs="Arial"/>
          <w:bCs/>
          <w:i/>
          <w:color w:val="000000" w:themeColor="text1"/>
          <w:sz w:val="18"/>
          <w:szCs w:val="18"/>
        </w:rPr>
        <w:t>Obračunata nedospjela kamata po kreditima raspoređena je u kategoriji od 1 do 3 mjeseca.</w:t>
      </w:r>
    </w:p>
    <w:p w14:paraId="2AA1304D" w14:textId="77777777" w:rsidR="00017F1E" w:rsidRPr="003D1614" w:rsidRDefault="00017F1E" w:rsidP="00017F1E">
      <w:pPr>
        <w:suppressAutoHyphens/>
        <w:autoSpaceDN w:val="0"/>
        <w:jc w:val="both"/>
        <w:rPr>
          <w:rFonts w:ascii="Arial" w:eastAsia="Times New Roman" w:hAnsi="Arial" w:cs="Arial"/>
          <w:bCs/>
          <w:i/>
          <w:color w:val="000000" w:themeColor="text1"/>
          <w:sz w:val="18"/>
          <w:szCs w:val="18"/>
        </w:rPr>
        <w:sectPr w:rsidR="00017F1E" w:rsidRPr="003D1614" w:rsidSect="003278AB">
          <w:pgSz w:w="11906" w:h="16838"/>
          <w:pgMar w:top="1417" w:right="1417" w:bottom="1417" w:left="1417" w:header="708" w:footer="708" w:gutter="0"/>
          <w:cols w:space="708"/>
          <w:docGrid w:linePitch="360"/>
        </w:sectPr>
      </w:pPr>
    </w:p>
    <w:p w14:paraId="7192DBFC" w14:textId="77777777" w:rsidR="000C7E59" w:rsidRPr="003D1614" w:rsidRDefault="000C7E59" w:rsidP="000C7E59">
      <w:pPr>
        <w:keepNext/>
        <w:suppressAutoHyphens/>
        <w:autoSpaceDN w:val="0"/>
        <w:jc w:val="both"/>
        <w:outlineLvl w:val="0"/>
        <w:rPr>
          <w:rFonts w:ascii="Arial" w:eastAsia="Times New Roman" w:hAnsi="Arial" w:cs="Arial"/>
          <w:b/>
          <w:bCs/>
          <w:color w:val="000000" w:themeColor="text1"/>
          <w:sz w:val="20"/>
          <w:szCs w:val="20"/>
        </w:rPr>
      </w:pPr>
    </w:p>
    <w:p w14:paraId="2A0E342E" w14:textId="14831F90" w:rsidR="000C7E59" w:rsidRPr="003D1614" w:rsidRDefault="000C7E59" w:rsidP="000C7E59">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7DF49642" w14:textId="77777777" w:rsidR="000C7E59" w:rsidRPr="003D1614" w:rsidRDefault="000C7E59" w:rsidP="000C7E59">
      <w:pPr>
        <w:keepNext/>
        <w:suppressAutoHyphens/>
        <w:autoSpaceDN w:val="0"/>
        <w:jc w:val="both"/>
        <w:outlineLvl w:val="0"/>
        <w:rPr>
          <w:rFonts w:ascii="Arial" w:eastAsia="Times New Roman" w:hAnsi="Arial" w:cs="Arial"/>
          <w:b/>
          <w:bCs/>
          <w:color w:val="000000" w:themeColor="text1"/>
          <w:sz w:val="20"/>
          <w:szCs w:val="20"/>
        </w:rPr>
      </w:pPr>
    </w:p>
    <w:p w14:paraId="2B35621B" w14:textId="175E14CA" w:rsidR="000C7E59" w:rsidRPr="003D1614" w:rsidRDefault="000C7E59" w:rsidP="000C7E59">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.4. </w:t>
      </w:r>
      <w:r w:rsidRPr="003D1614">
        <w:rPr>
          <w:rFonts w:ascii="Arial" w:eastAsia="Times New Roman" w:hAnsi="Arial" w:cs="Arial"/>
          <w:b/>
          <w:bCs/>
          <w:color w:val="000000" w:themeColor="text1"/>
          <w:sz w:val="20"/>
          <w:szCs w:val="20"/>
        </w:rPr>
        <w:tab/>
        <w:t>Rizik likvidnosti (nastavak)</w:t>
      </w:r>
    </w:p>
    <w:p w14:paraId="3A0170AA" w14:textId="77777777" w:rsidR="000C7E59" w:rsidRPr="003D1614" w:rsidRDefault="000C7E59" w:rsidP="000C7E59">
      <w:pPr>
        <w:keepNext/>
        <w:suppressAutoHyphens/>
        <w:autoSpaceDN w:val="0"/>
        <w:jc w:val="both"/>
        <w:outlineLvl w:val="0"/>
        <w:rPr>
          <w:rFonts w:ascii="Arial" w:eastAsia="Times New Roman" w:hAnsi="Arial" w:cs="Arial"/>
          <w:bCs/>
          <w:color w:val="000000" w:themeColor="text1"/>
          <w:sz w:val="20"/>
          <w:szCs w:val="20"/>
        </w:rPr>
      </w:pPr>
    </w:p>
    <w:p w14:paraId="644BEED7" w14:textId="77777777" w:rsidR="000C7E59" w:rsidRPr="003D1614" w:rsidRDefault="000C7E59" w:rsidP="000C7E59">
      <w:pPr>
        <w:keepNext/>
        <w:suppressAutoHyphens/>
        <w:autoSpaceDN w:val="0"/>
        <w:jc w:val="both"/>
        <w:outlineLvl w:val="0"/>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Tabela u nastavku prikazuje preostalo ugovorno dospijeće financijskih obveza dok su garancije i preuzete obveza Grupe prikazane u kategoriji do 1 mjesec obzirom na mogućnost prijevremenog poziva na izvršenje obveze (nediskontirani iznosi):</w:t>
      </w:r>
    </w:p>
    <w:p w14:paraId="50169A14" w14:textId="77777777" w:rsidR="000C7E59" w:rsidRPr="003D1614" w:rsidRDefault="000C7E59" w:rsidP="000C7E59">
      <w:pPr>
        <w:keepNext/>
        <w:suppressAutoHyphens/>
        <w:autoSpaceDN w:val="0"/>
        <w:jc w:val="both"/>
        <w:outlineLvl w:val="0"/>
        <w:rPr>
          <w:rFonts w:ascii="Arial" w:eastAsia="Times New Roman" w:hAnsi="Arial" w:cs="Arial"/>
          <w:bCs/>
          <w:color w:val="000000" w:themeColor="text1"/>
          <w:sz w:val="20"/>
          <w:szCs w:val="20"/>
        </w:rPr>
      </w:pPr>
    </w:p>
    <w:tbl>
      <w:tblPr>
        <w:tblW w:w="5383" w:type="pct"/>
        <w:tblInd w:w="-468" w:type="dxa"/>
        <w:tblLayout w:type="fixed"/>
        <w:tblCellMar>
          <w:left w:w="120" w:type="dxa"/>
          <w:right w:w="120" w:type="dxa"/>
        </w:tblCellMar>
        <w:tblLook w:val="0000" w:firstRow="0" w:lastRow="0" w:firstColumn="0" w:lastColumn="0" w:noHBand="0" w:noVBand="0"/>
      </w:tblPr>
      <w:tblGrid>
        <w:gridCol w:w="3128"/>
        <w:gridCol w:w="1087"/>
        <w:gridCol w:w="1085"/>
        <w:gridCol w:w="1086"/>
        <w:gridCol w:w="1086"/>
        <w:gridCol w:w="1086"/>
        <w:gridCol w:w="1209"/>
      </w:tblGrid>
      <w:tr w:rsidR="00A96B0F" w:rsidRPr="00A96B0F" w14:paraId="0E958998" w14:textId="77777777" w:rsidTr="00DB3C77">
        <w:trPr>
          <w:trHeight w:val="452"/>
        </w:trPr>
        <w:tc>
          <w:tcPr>
            <w:tcW w:w="1601" w:type="pct"/>
            <w:vAlign w:val="bottom"/>
          </w:tcPr>
          <w:p w14:paraId="3AC79208" w14:textId="77777777" w:rsidR="00A96B0F" w:rsidRPr="00A96B0F" w:rsidRDefault="00A96B0F" w:rsidP="00A96B0F">
            <w:pPr>
              <w:tabs>
                <w:tab w:val="right" w:pos="1202"/>
              </w:tabs>
              <w:suppressAutoHyphens/>
              <w:autoSpaceDN w:val="0"/>
              <w:spacing w:line="240" w:lineRule="atLeast"/>
              <w:outlineLvl w:val="0"/>
              <w:rPr>
                <w:rFonts w:ascii="Arial" w:eastAsia="Times New Roman" w:hAnsi="Arial" w:cs="Arial"/>
                <w:b/>
                <w:color w:val="000000" w:themeColor="text1"/>
                <w:sz w:val="17"/>
                <w:szCs w:val="17"/>
              </w:rPr>
            </w:pPr>
            <w:bookmarkStart w:id="830" w:name="_Toc67330262"/>
            <w:r w:rsidRPr="00A96B0F">
              <w:rPr>
                <w:rFonts w:ascii="Arial" w:eastAsia="Times New Roman" w:hAnsi="Arial" w:cs="Arial"/>
                <w:b/>
                <w:color w:val="000000" w:themeColor="text1"/>
                <w:sz w:val="17"/>
                <w:szCs w:val="17"/>
              </w:rPr>
              <w:t>Grupa</w:t>
            </w:r>
            <w:bookmarkEnd w:id="830"/>
          </w:p>
          <w:p w14:paraId="153A08F6" w14:textId="53BF2B8F" w:rsidR="00A96B0F" w:rsidRPr="00A96B0F" w:rsidRDefault="00881155" w:rsidP="00A96B0F">
            <w:pPr>
              <w:tabs>
                <w:tab w:val="right" w:pos="1202"/>
              </w:tabs>
              <w:suppressAutoHyphens/>
              <w:autoSpaceDN w:val="0"/>
              <w:spacing w:line="240" w:lineRule="atLeast"/>
              <w:outlineLvl w:val="0"/>
              <w:rPr>
                <w:rFonts w:ascii="Arial" w:eastAsia="Times New Roman" w:hAnsi="Arial" w:cs="Arial"/>
                <w:b/>
                <w:color w:val="000000" w:themeColor="text1"/>
                <w:sz w:val="17"/>
                <w:szCs w:val="17"/>
              </w:rPr>
            </w:pPr>
            <w:r w:rsidRPr="00881155">
              <w:rPr>
                <w:rFonts w:ascii="Arial" w:eastAsia="Times New Roman" w:hAnsi="Arial" w:cs="Arial"/>
                <w:b/>
                <w:color w:val="000000" w:themeColor="text1"/>
                <w:sz w:val="17"/>
                <w:szCs w:val="17"/>
              </w:rPr>
              <w:t>30. rujna 202</w:t>
            </w:r>
            <w:r w:rsidR="00017F1E">
              <w:rPr>
                <w:rFonts w:ascii="Arial" w:eastAsia="Times New Roman" w:hAnsi="Arial" w:cs="Arial"/>
                <w:b/>
                <w:color w:val="000000" w:themeColor="text1"/>
                <w:sz w:val="17"/>
                <w:szCs w:val="17"/>
              </w:rPr>
              <w:t>4</w:t>
            </w:r>
            <w:r w:rsidRPr="00881155">
              <w:rPr>
                <w:rFonts w:ascii="Arial" w:eastAsia="Times New Roman" w:hAnsi="Arial" w:cs="Arial"/>
                <w:b/>
                <w:color w:val="000000" w:themeColor="text1"/>
                <w:sz w:val="17"/>
                <w:szCs w:val="17"/>
              </w:rPr>
              <w:t>.</w:t>
            </w:r>
          </w:p>
        </w:tc>
        <w:tc>
          <w:tcPr>
            <w:tcW w:w="556" w:type="pct"/>
            <w:vAlign w:val="bottom"/>
          </w:tcPr>
          <w:p w14:paraId="6E7686DA" w14:textId="77777777" w:rsidR="00A96B0F" w:rsidRPr="00A96B0F" w:rsidRDefault="00A96B0F" w:rsidP="00A96B0F">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bookmarkStart w:id="831" w:name="_Toc67330264"/>
            <w:r w:rsidRPr="00A96B0F">
              <w:rPr>
                <w:rFonts w:ascii="Arial" w:eastAsia="Times New Roman" w:hAnsi="Arial" w:cs="Arial"/>
                <w:b/>
                <w:color w:val="000000" w:themeColor="text1"/>
                <w:sz w:val="17"/>
                <w:szCs w:val="17"/>
              </w:rPr>
              <w:t>Do 1 mjesec</w:t>
            </w:r>
            <w:bookmarkEnd w:id="831"/>
          </w:p>
        </w:tc>
        <w:tc>
          <w:tcPr>
            <w:tcW w:w="555" w:type="pct"/>
            <w:vAlign w:val="bottom"/>
          </w:tcPr>
          <w:p w14:paraId="54204FF5" w14:textId="77777777" w:rsidR="00A96B0F" w:rsidRPr="00A96B0F" w:rsidRDefault="00A96B0F" w:rsidP="00A96B0F">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bookmarkStart w:id="832" w:name="_Toc67330265"/>
            <w:r w:rsidRPr="00A96B0F">
              <w:rPr>
                <w:rFonts w:ascii="Arial" w:eastAsia="Times New Roman" w:hAnsi="Arial" w:cs="Arial"/>
                <w:b/>
                <w:color w:val="000000" w:themeColor="text1"/>
                <w:sz w:val="17"/>
                <w:szCs w:val="17"/>
              </w:rPr>
              <w:t>1 do 3 mjeseca</w:t>
            </w:r>
            <w:bookmarkEnd w:id="832"/>
          </w:p>
        </w:tc>
        <w:tc>
          <w:tcPr>
            <w:tcW w:w="556" w:type="pct"/>
            <w:vAlign w:val="bottom"/>
          </w:tcPr>
          <w:p w14:paraId="76A84018" w14:textId="77777777" w:rsidR="00A96B0F" w:rsidRPr="00A96B0F" w:rsidRDefault="00A96B0F" w:rsidP="00A96B0F">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bookmarkStart w:id="833" w:name="_Toc67330266"/>
            <w:r w:rsidRPr="00A96B0F">
              <w:rPr>
                <w:rFonts w:ascii="Arial" w:eastAsia="Times New Roman" w:hAnsi="Arial" w:cs="Arial"/>
                <w:b/>
                <w:color w:val="000000" w:themeColor="text1"/>
                <w:sz w:val="17"/>
                <w:szCs w:val="17"/>
              </w:rPr>
              <w:t>3 mj. do 1 godine</w:t>
            </w:r>
            <w:bookmarkEnd w:id="833"/>
          </w:p>
        </w:tc>
        <w:tc>
          <w:tcPr>
            <w:tcW w:w="556" w:type="pct"/>
            <w:vAlign w:val="bottom"/>
          </w:tcPr>
          <w:p w14:paraId="2FAFCD9C" w14:textId="77777777" w:rsidR="00A96B0F" w:rsidRPr="00A96B0F" w:rsidRDefault="00A96B0F" w:rsidP="00A96B0F">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bookmarkStart w:id="834" w:name="_Toc67330267"/>
            <w:r w:rsidRPr="00A96B0F">
              <w:rPr>
                <w:rFonts w:ascii="Arial" w:eastAsia="Times New Roman" w:hAnsi="Arial" w:cs="Arial"/>
                <w:b/>
                <w:color w:val="000000" w:themeColor="text1"/>
                <w:sz w:val="17"/>
                <w:szCs w:val="17"/>
              </w:rPr>
              <w:t>1 do 3 godina</w:t>
            </w:r>
            <w:bookmarkEnd w:id="834"/>
          </w:p>
        </w:tc>
        <w:tc>
          <w:tcPr>
            <w:tcW w:w="556" w:type="pct"/>
            <w:vAlign w:val="bottom"/>
          </w:tcPr>
          <w:p w14:paraId="066F9AF0" w14:textId="77777777" w:rsidR="00A96B0F" w:rsidRPr="00A96B0F" w:rsidRDefault="00A96B0F" w:rsidP="00A96B0F">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bookmarkStart w:id="835" w:name="_Toc67330268"/>
            <w:r w:rsidRPr="00A96B0F">
              <w:rPr>
                <w:rFonts w:ascii="Arial" w:eastAsia="Times New Roman" w:hAnsi="Arial" w:cs="Arial"/>
                <w:b/>
                <w:color w:val="000000" w:themeColor="text1"/>
                <w:sz w:val="17"/>
                <w:szCs w:val="17"/>
              </w:rPr>
              <w:t>Preko 3 godine</w:t>
            </w:r>
            <w:bookmarkEnd w:id="835"/>
          </w:p>
        </w:tc>
        <w:tc>
          <w:tcPr>
            <w:tcW w:w="619" w:type="pct"/>
          </w:tcPr>
          <w:p w14:paraId="0297A4AF" w14:textId="77777777" w:rsidR="00A96B0F" w:rsidRPr="00A96B0F" w:rsidRDefault="00A96B0F" w:rsidP="00A96B0F">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bookmarkStart w:id="836" w:name="_Toc67330269"/>
            <w:r w:rsidRPr="00A96B0F">
              <w:rPr>
                <w:rFonts w:ascii="Arial" w:eastAsia="Times New Roman" w:hAnsi="Arial" w:cs="Arial"/>
                <w:b/>
                <w:color w:val="000000" w:themeColor="text1"/>
                <w:sz w:val="17"/>
                <w:szCs w:val="17"/>
              </w:rPr>
              <w:t>Ukupno</w:t>
            </w:r>
            <w:bookmarkEnd w:id="836"/>
          </w:p>
        </w:tc>
      </w:tr>
      <w:tr w:rsidR="00A96B0F" w:rsidRPr="00A96B0F" w14:paraId="22B9A9F9" w14:textId="77777777" w:rsidTr="00DB3C77">
        <w:trPr>
          <w:trHeight w:val="226"/>
        </w:trPr>
        <w:tc>
          <w:tcPr>
            <w:tcW w:w="1601" w:type="pct"/>
            <w:vAlign w:val="bottom"/>
          </w:tcPr>
          <w:p w14:paraId="19CC52A8" w14:textId="77777777" w:rsidR="00A96B0F" w:rsidRPr="00A96B0F" w:rsidRDefault="00A96B0F" w:rsidP="00A96B0F">
            <w:pPr>
              <w:tabs>
                <w:tab w:val="left" w:pos="-720"/>
              </w:tabs>
              <w:suppressAutoHyphens/>
              <w:autoSpaceDN w:val="0"/>
              <w:jc w:val="center"/>
              <w:rPr>
                <w:rFonts w:ascii="Arial" w:eastAsia="Times New Roman" w:hAnsi="Arial" w:cs="Arial"/>
                <w:b/>
                <w:color w:val="000000" w:themeColor="text1"/>
                <w:spacing w:val="-2"/>
                <w:sz w:val="17"/>
                <w:szCs w:val="17"/>
              </w:rPr>
            </w:pPr>
          </w:p>
        </w:tc>
        <w:tc>
          <w:tcPr>
            <w:tcW w:w="556" w:type="pct"/>
            <w:vAlign w:val="bottom"/>
          </w:tcPr>
          <w:p w14:paraId="4E8BB79E" w14:textId="77777777" w:rsidR="00A96B0F" w:rsidRPr="00A96B0F" w:rsidRDefault="00A96B0F" w:rsidP="00A96B0F">
            <w:pPr>
              <w:tabs>
                <w:tab w:val="right" w:pos="1202"/>
                <w:tab w:val="center" w:pos="4153"/>
                <w:tab w:val="right" w:pos="8306"/>
              </w:tabs>
              <w:suppressAutoHyphens/>
              <w:autoSpaceDN w:val="0"/>
              <w:spacing w:line="301" w:lineRule="exact"/>
              <w:jc w:val="right"/>
              <w:outlineLvl w:val="0"/>
              <w:rPr>
                <w:rFonts w:ascii="Arial" w:eastAsia="Times New Roman" w:hAnsi="Arial" w:cs="Arial"/>
                <w:b/>
                <w:color w:val="000000" w:themeColor="text1"/>
                <w:sz w:val="17"/>
                <w:szCs w:val="17"/>
              </w:rPr>
            </w:pPr>
            <w:bookmarkStart w:id="837" w:name="_Toc67330270"/>
            <w:r w:rsidRPr="00A96B0F">
              <w:rPr>
                <w:rFonts w:ascii="Arial" w:eastAsia="Times New Roman" w:hAnsi="Arial" w:cs="Arial"/>
                <w:b/>
                <w:color w:val="000000" w:themeColor="text1"/>
                <w:sz w:val="17"/>
                <w:szCs w:val="17"/>
              </w:rPr>
              <w:t>000 eura</w:t>
            </w:r>
            <w:bookmarkEnd w:id="837"/>
          </w:p>
        </w:tc>
        <w:tc>
          <w:tcPr>
            <w:tcW w:w="555" w:type="pct"/>
            <w:vAlign w:val="bottom"/>
          </w:tcPr>
          <w:p w14:paraId="61101844" w14:textId="77777777" w:rsidR="00A96B0F" w:rsidRPr="00A96B0F" w:rsidRDefault="00A96B0F" w:rsidP="00A96B0F">
            <w:pPr>
              <w:tabs>
                <w:tab w:val="right" w:pos="1202"/>
                <w:tab w:val="center" w:pos="4153"/>
                <w:tab w:val="right" w:pos="8306"/>
              </w:tabs>
              <w:suppressAutoHyphens/>
              <w:autoSpaceDN w:val="0"/>
              <w:spacing w:line="301" w:lineRule="exact"/>
              <w:jc w:val="right"/>
              <w:outlineLvl w:val="0"/>
              <w:rPr>
                <w:rFonts w:ascii="Arial" w:eastAsia="Times New Roman" w:hAnsi="Arial" w:cs="Arial"/>
                <w:b/>
                <w:color w:val="000000" w:themeColor="text1"/>
                <w:sz w:val="17"/>
                <w:szCs w:val="17"/>
              </w:rPr>
            </w:pPr>
            <w:bookmarkStart w:id="838" w:name="_Toc67330271"/>
            <w:r w:rsidRPr="00A96B0F">
              <w:rPr>
                <w:rFonts w:ascii="Arial" w:eastAsia="Times New Roman" w:hAnsi="Arial" w:cs="Arial"/>
                <w:b/>
                <w:color w:val="000000" w:themeColor="text1"/>
                <w:sz w:val="17"/>
                <w:szCs w:val="17"/>
              </w:rPr>
              <w:t>000 eura</w:t>
            </w:r>
            <w:bookmarkEnd w:id="838"/>
          </w:p>
        </w:tc>
        <w:tc>
          <w:tcPr>
            <w:tcW w:w="556" w:type="pct"/>
            <w:vAlign w:val="bottom"/>
          </w:tcPr>
          <w:p w14:paraId="417FC9CF" w14:textId="77777777" w:rsidR="00A96B0F" w:rsidRPr="00A96B0F" w:rsidRDefault="00A96B0F" w:rsidP="00A96B0F">
            <w:pPr>
              <w:tabs>
                <w:tab w:val="right" w:pos="1202"/>
                <w:tab w:val="center" w:pos="4153"/>
                <w:tab w:val="right" w:pos="8306"/>
              </w:tabs>
              <w:suppressAutoHyphens/>
              <w:autoSpaceDN w:val="0"/>
              <w:spacing w:line="301" w:lineRule="exact"/>
              <w:jc w:val="right"/>
              <w:outlineLvl w:val="0"/>
              <w:rPr>
                <w:rFonts w:ascii="Arial" w:eastAsia="Times New Roman" w:hAnsi="Arial" w:cs="Arial"/>
                <w:b/>
                <w:color w:val="000000" w:themeColor="text1"/>
                <w:sz w:val="17"/>
                <w:szCs w:val="17"/>
              </w:rPr>
            </w:pPr>
            <w:bookmarkStart w:id="839" w:name="_Toc67330272"/>
            <w:r w:rsidRPr="00A96B0F">
              <w:rPr>
                <w:rFonts w:ascii="Arial" w:eastAsia="Times New Roman" w:hAnsi="Arial" w:cs="Arial"/>
                <w:b/>
                <w:color w:val="000000" w:themeColor="text1"/>
                <w:sz w:val="17"/>
                <w:szCs w:val="17"/>
              </w:rPr>
              <w:t>000 eura</w:t>
            </w:r>
            <w:bookmarkEnd w:id="839"/>
          </w:p>
        </w:tc>
        <w:tc>
          <w:tcPr>
            <w:tcW w:w="556" w:type="pct"/>
            <w:vAlign w:val="bottom"/>
          </w:tcPr>
          <w:p w14:paraId="5E6DF39F" w14:textId="77777777" w:rsidR="00A96B0F" w:rsidRPr="00A96B0F" w:rsidRDefault="00A96B0F" w:rsidP="00A96B0F">
            <w:pPr>
              <w:tabs>
                <w:tab w:val="right" w:pos="1202"/>
                <w:tab w:val="center" w:pos="4153"/>
                <w:tab w:val="right" w:pos="8306"/>
              </w:tabs>
              <w:suppressAutoHyphens/>
              <w:autoSpaceDN w:val="0"/>
              <w:spacing w:line="301" w:lineRule="exact"/>
              <w:jc w:val="right"/>
              <w:outlineLvl w:val="0"/>
              <w:rPr>
                <w:rFonts w:ascii="Arial" w:eastAsia="Times New Roman" w:hAnsi="Arial" w:cs="Arial"/>
                <w:b/>
                <w:color w:val="000000" w:themeColor="text1"/>
                <w:sz w:val="17"/>
                <w:szCs w:val="17"/>
              </w:rPr>
            </w:pPr>
            <w:bookmarkStart w:id="840" w:name="_Toc67330273"/>
            <w:r w:rsidRPr="00A96B0F">
              <w:rPr>
                <w:rFonts w:ascii="Arial" w:eastAsia="Times New Roman" w:hAnsi="Arial" w:cs="Arial"/>
                <w:b/>
                <w:color w:val="000000" w:themeColor="text1"/>
                <w:sz w:val="17"/>
                <w:szCs w:val="17"/>
              </w:rPr>
              <w:t>000 eura</w:t>
            </w:r>
            <w:bookmarkEnd w:id="840"/>
          </w:p>
        </w:tc>
        <w:tc>
          <w:tcPr>
            <w:tcW w:w="556" w:type="pct"/>
            <w:vAlign w:val="bottom"/>
          </w:tcPr>
          <w:p w14:paraId="3B280A68" w14:textId="77777777" w:rsidR="00A96B0F" w:rsidRPr="00A96B0F" w:rsidRDefault="00A96B0F" w:rsidP="00A96B0F">
            <w:pPr>
              <w:tabs>
                <w:tab w:val="right" w:pos="1202"/>
                <w:tab w:val="center" w:pos="4153"/>
                <w:tab w:val="right" w:pos="8306"/>
              </w:tabs>
              <w:suppressAutoHyphens/>
              <w:autoSpaceDN w:val="0"/>
              <w:spacing w:line="301" w:lineRule="exact"/>
              <w:jc w:val="right"/>
              <w:outlineLvl w:val="0"/>
              <w:rPr>
                <w:rFonts w:ascii="Arial" w:eastAsia="Times New Roman" w:hAnsi="Arial" w:cs="Arial"/>
                <w:b/>
                <w:color w:val="000000" w:themeColor="text1"/>
                <w:sz w:val="17"/>
                <w:szCs w:val="17"/>
              </w:rPr>
            </w:pPr>
            <w:bookmarkStart w:id="841" w:name="_Toc67330274"/>
            <w:r w:rsidRPr="00A96B0F">
              <w:rPr>
                <w:rFonts w:ascii="Arial" w:eastAsia="Times New Roman" w:hAnsi="Arial" w:cs="Arial"/>
                <w:b/>
                <w:color w:val="000000" w:themeColor="text1"/>
                <w:sz w:val="17"/>
                <w:szCs w:val="17"/>
              </w:rPr>
              <w:t>000 eura</w:t>
            </w:r>
            <w:bookmarkEnd w:id="841"/>
          </w:p>
        </w:tc>
        <w:tc>
          <w:tcPr>
            <w:tcW w:w="619" w:type="pct"/>
            <w:vAlign w:val="bottom"/>
          </w:tcPr>
          <w:p w14:paraId="0A2403FD" w14:textId="77777777" w:rsidR="00A96B0F" w:rsidRPr="00A96B0F" w:rsidRDefault="00A96B0F" w:rsidP="00A96B0F">
            <w:pPr>
              <w:tabs>
                <w:tab w:val="right" w:pos="1202"/>
                <w:tab w:val="center" w:pos="4153"/>
                <w:tab w:val="right" w:pos="8306"/>
              </w:tabs>
              <w:suppressAutoHyphens/>
              <w:autoSpaceDN w:val="0"/>
              <w:spacing w:line="301" w:lineRule="exact"/>
              <w:jc w:val="right"/>
              <w:outlineLvl w:val="0"/>
              <w:rPr>
                <w:rFonts w:ascii="Arial" w:eastAsia="Times New Roman" w:hAnsi="Arial" w:cs="Arial"/>
                <w:b/>
                <w:color w:val="000000" w:themeColor="text1"/>
                <w:sz w:val="17"/>
                <w:szCs w:val="17"/>
              </w:rPr>
            </w:pPr>
            <w:bookmarkStart w:id="842" w:name="_Toc67330275"/>
            <w:r w:rsidRPr="00A96B0F">
              <w:rPr>
                <w:rFonts w:ascii="Arial" w:eastAsia="Times New Roman" w:hAnsi="Arial" w:cs="Arial"/>
                <w:b/>
                <w:color w:val="000000" w:themeColor="text1"/>
                <w:sz w:val="17"/>
                <w:szCs w:val="17"/>
              </w:rPr>
              <w:t>000 eura</w:t>
            </w:r>
            <w:bookmarkEnd w:id="842"/>
          </w:p>
        </w:tc>
      </w:tr>
      <w:tr w:rsidR="00A96B0F" w:rsidRPr="00A96B0F" w14:paraId="6E02F8C9" w14:textId="77777777" w:rsidTr="00DB3C77">
        <w:trPr>
          <w:trHeight w:hRule="exact" w:val="266"/>
        </w:trPr>
        <w:tc>
          <w:tcPr>
            <w:tcW w:w="1601" w:type="pct"/>
            <w:vAlign w:val="bottom"/>
          </w:tcPr>
          <w:p w14:paraId="47BA7D9D" w14:textId="77777777" w:rsidR="00A96B0F" w:rsidRPr="00A96B0F" w:rsidRDefault="00A96B0F" w:rsidP="00A96B0F">
            <w:pPr>
              <w:tabs>
                <w:tab w:val="right" w:pos="1202"/>
              </w:tabs>
              <w:suppressAutoHyphens/>
              <w:autoSpaceDN w:val="0"/>
              <w:spacing w:line="301" w:lineRule="exact"/>
              <w:outlineLvl w:val="0"/>
              <w:rPr>
                <w:rFonts w:ascii="Arial" w:eastAsia="Times New Roman" w:hAnsi="Arial" w:cs="Arial"/>
                <w:b/>
                <w:bCs/>
                <w:color w:val="000000" w:themeColor="text1"/>
                <w:sz w:val="17"/>
                <w:szCs w:val="17"/>
              </w:rPr>
            </w:pPr>
            <w:bookmarkStart w:id="843" w:name="_Toc67330276"/>
            <w:r w:rsidRPr="00A96B0F">
              <w:rPr>
                <w:rFonts w:ascii="Arial" w:eastAsia="Times New Roman" w:hAnsi="Arial" w:cs="Arial"/>
                <w:b/>
                <w:bCs/>
                <w:color w:val="000000" w:themeColor="text1"/>
                <w:sz w:val="17"/>
                <w:szCs w:val="17"/>
              </w:rPr>
              <w:t>Financijske obveze</w:t>
            </w:r>
            <w:bookmarkEnd w:id="843"/>
          </w:p>
        </w:tc>
        <w:tc>
          <w:tcPr>
            <w:tcW w:w="556" w:type="pct"/>
            <w:vAlign w:val="bottom"/>
          </w:tcPr>
          <w:p w14:paraId="5871C6CD" w14:textId="77777777" w:rsidR="00A96B0F" w:rsidRPr="00A96B0F" w:rsidRDefault="00A96B0F" w:rsidP="00A96B0F">
            <w:pPr>
              <w:tabs>
                <w:tab w:val="right" w:pos="1202"/>
                <w:tab w:val="center" w:pos="4153"/>
                <w:tab w:val="right" w:pos="8306"/>
              </w:tabs>
              <w:suppressAutoHyphens/>
              <w:autoSpaceDN w:val="0"/>
              <w:spacing w:line="301" w:lineRule="exact"/>
              <w:jc w:val="right"/>
              <w:outlineLvl w:val="0"/>
              <w:rPr>
                <w:rFonts w:ascii="Arial" w:eastAsia="Times New Roman" w:hAnsi="Arial" w:cs="Arial"/>
                <w:color w:val="000000" w:themeColor="text1"/>
                <w:sz w:val="17"/>
                <w:szCs w:val="17"/>
              </w:rPr>
            </w:pPr>
          </w:p>
        </w:tc>
        <w:tc>
          <w:tcPr>
            <w:tcW w:w="555" w:type="pct"/>
            <w:vAlign w:val="bottom"/>
          </w:tcPr>
          <w:p w14:paraId="1FE48D5A" w14:textId="77777777" w:rsidR="00A96B0F" w:rsidRPr="00A96B0F" w:rsidRDefault="00A96B0F" w:rsidP="00A96B0F">
            <w:pPr>
              <w:tabs>
                <w:tab w:val="right" w:pos="1202"/>
                <w:tab w:val="center" w:pos="4153"/>
                <w:tab w:val="right" w:pos="8306"/>
              </w:tabs>
              <w:suppressAutoHyphens/>
              <w:autoSpaceDN w:val="0"/>
              <w:spacing w:line="301" w:lineRule="exact"/>
              <w:jc w:val="right"/>
              <w:outlineLvl w:val="0"/>
              <w:rPr>
                <w:rFonts w:ascii="Arial" w:eastAsia="Times New Roman" w:hAnsi="Arial" w:cs="Arial"/>
                <w:color w:val="000000" w:themeColor="text1"/>
                <w:sz w:val="17"/>
                <w:szCs w:val="17"/>
              </w:rPr>
            </w:pPr>
          </w:p>
        </w:tc>
        <w:tc>
          <w:tcPr>
            <w:tcW w:w="556" w:type="pct"/>
            <w:vAlign w:val="bottom"/>
          </w:tcPr>
          <w:p w14:paraId="1E0F783C" w14:textId="77777777" w:rsidR="00A96B0F" w:rsidRPr="00A96B0F" w:rsidRDefault="00A96B0F" w:rsidP="00A96B0F">
            <w:pPr>
              <w:tabs>
                <w:tab w:val="right" w:pos="1202"/>
                <w:tab w:val="center" w:pos="4153"/>
                <w:tab w:val="right" w:pos="8306"/>
              </w:tabs>
              <w:suppressAutoHyphens/>
              <w:autoSpaceDN w:val="0"/>
              <w:spacing w:line="301" w:lineRule="exact"/>
              <w:jc w:val="right"/>
              <w:outlineLvl w:val="0"/>
              <w:rPr>
                <w:rFonts w:ascii="Arial" w:eastAsia="Times New Roman" w:hAnsi="Arial" w:cs="Arial"/>
                <w:color w:val="000000" w:themeColor="text1"/>
                <w:sz w:val="17"/>
                <w:szCs w:val="17"/>
              </w:rPr>
            </w:pPr>
          </w:p>
        </w:tc>
        <w:tc>
          <w:tcPr>
            <w:tcW w:w="556" w:type="pct"/>
            <w:vAlign w:val="bottom"/>
          </w:tcPr>
          <w:p w14:paraId="528454A9" w14:textId="77777777" w:rsidR="00A96B0F" w:rsidRPr="00A96B0F" w:rsidRDefault="00A96B0F" w:rsidP="00A96B0F">
            <w:pPr>
              <w:tabs>
                <w:tab w:val="right" w:pos="1202"/>
                <w:tab w:val="center" w:pos="4153"/>
                <w:tab w:val="right" w:pos="8306"/>
              </w:tabs>
              <w:suppressAutoHyphens/>
              <w:autoSpaceDN w:val="0"/>
              <w:spacing w:line="301" w:lineRule="exact"/>
              <w:jc w:val="right"/>
              <w:outlineLvl w:val="0"/>
              <w:rPr>
                <w:rFonts w:ascii="Arial" w:eastAsia="Times New Roman" w:hAnsi="Arial" w:cs="Arial"/>
                <w:color w:val="000000" w:themeColor="text1"/>
                <w:sz w:val="17"/>
                <w:szCs w:val="17"/>
              </w:rPr>
            </w:pPr>
          </w:p>
        </w:tc>
        <w:tc>
          <w:tcPr>
            <w:tcW w:w="556" w:type="pct"/>
            <w:vAlign w:val="bottom"/>
          </w:tcPr>
          <w:p w14:paraId="39B0C072" w14:textId="77777777" w:rsidR="00A96B0F" w:rsidRPr="00A96B0F" w:rsidRDefault="00A96B0F" w:rsidP="00A96B0F">
            <w:pPr>
              <w:tabs>
                <w:tab w:val="right" w:pos="1202"/>
                <w:tab w:val="center" w:pos="4153"/>
                <w:tab w:val="right" w:pos="8306"/>
              </w:tabs>
              <w:suppressAutoHyphens/>
              <w:autoSpaceDN w:val="0"/>
              <w:spacing w:line="301" w:lineRule="exact"/>
              <w:jc w:val="right"/>
              <w:outlineLvl w:val="0"/>
              <w:rPr>
                <w:rFonts w:ascii="Arial" w:eastAsia="Times New Roman" w:hAnsi="Arial" w:cs="Arial"/>
                <w:color w:val="000000" w:themeColor="text1"/>
                <w:sz w:val="17"/>
                <w:szCs w:val="17"/>
              </w:rPr>
            </w:pPr>
          </w:p>
        </w:tc>
        <w:tc>
          <w:tcPr>
            <w:tcW w:w="619" w:type="pct"/>
            <w:vAlign w:val="bottom"/>
          </w:tcPr>
          <w:p w14:paraId="4CD3A237" w14:textId="77777777" w:rsidR="00A96B0F" w:rsidRPr="00A96B0F" w:rsidRDefault="00A96B0F" w:rsidP="00A96B0F">
            <w:pPr>
              <w:tabs>
                <w:tab w:val="right" w:pos="1202"/>
                <w:tab w:val="center" w:pos="4153"/>
                <w:tab w:val="right" w:pos="8306"/>
              </w:tabs>
              <w:suppressAutoHyphens/>
              <w:autoSpaceDN w:val="0"/>
              <w:spacing w:line="301" w:lineRule="exact"/>
              <w:jc w:val="right"/>
              <w:outlineLvl w:val="0"/>
              <w:rPr>
                <w:rFonts w:ascii="Arial" w:eastAsia="Times New Roman" w:hAnsi="Arial" w:cs="Arial"/>
                <w:color w:val="000000" w:themeColor="text1"/>
                <w:sz w:val="17"/>
                <w:szCs w:val="17"/>
              </w:rPr>
            </w:pPr>
          </w:p>
        </w:tc>
      </w:tr>
      <w:tr w:rsidR="00E159D9" w:rsidRPr="00A96B0F" w14:paraId="6847627F" w14:textId="77777777" w:rsidTr="00ED797F">
        <w:trPr>
          <w:trHeight w:hRule="exact" w:val="213"/>
        </w:trPr>
        <w:tc>
          <w:tcPr>
            <w:tcW w:w="1601" w:type="pct"/>
            <w:vAlign w:val="bottom"/>
          </w:tcPr>
          <w:p w14:paraId="030F2AF0" w14:textId="77777777" w:rsidR="00E159D9" w:rsidRPr="00A96B0F" w:rsidRDefault="00E159D9" w:rsidP="00E159D9">
            <w:pPr>
              <w:tabs>
                <w:tab w:val="right" w:pos="1202"/>
              </w:tabs>
              <w:suppressAutoHyphens/>
              <w:autoSpaceDN w:val="0"/>
              <w:spacing w:line="240" w:lineRule="exact"/>
              <w:outlineLvl w:val="0"/>
              <w:rPr>
                <w:rFonts w:ascii="Arial" w:eastAsia="Calibri" w:hAnsi="Arial" w:cs="Arial"/>
                <w:color w:val="000000" w:themeColor="text1"/>
                <w:spacing w:val="-2"/>
                <w:sz w:val="17"/>
                <w:szCs w:val="17"/>
              </w:rPr>
            </w:pPr>
            <w:bookmarkStart w:id="844" w:name="_Toc67330277"/>
            <w:r w:rsidRPr="00A96B0F">
              <w:rPr>
                <w:rFonts w:ascii="Arial" w:eastAsia="Calibri" w:hAnsi="Arial" w:cs="Arial"/>
                <w:color w:val="000000" w:themeColor="text1"/>
                <w:spacing w:val="-2"/>
                <w:sz w:val="17"/>
                <w:szCs w:val="17"/>
              </w:rPr>
              <w:t>Obveze po depozitima</w:t>
            </w:r>
            <w:bookmarkEnd w:id="844"/>
          </w:p>
        </w:tc>
        <w:tc>
          <w:tcPr>
            <w:tcW w:w="556" w:type="pct"/>
            <w:tcBorders>
              <w:top w:val="nil"/>
              <w:left w:val="nil"/>
              <w:bottom w:val="nil"/>
              <w:right w:val="nil"/>
            </w:tcBorders>
            <w:shd w:val="clear" w:color="auto" w:fill="auto"/>
            <w:vAlign w:val="bottom"/>
          </w:tcPr>
          <w:p w14:paraId="77EEECA9" w14:textId="3B51D1A0" w:rsidR="00E159D9" w:rsidRPr="00A96B0F" w:rsidRDefault="00E159D9" w:rsidP="00E159D9">
            <w:pPr>
              <w:tabs>
                <w:tab w:val="right" w:pos="1202"/>
              </w:tabs>
              <w:suppressAutoHyphens/>
              <w:autoSpaceDN w:val="0"/>
              <w:spacing w:line="240" w:lineRule="exact"/>
              <w:jc w:val="right"/>
              <w:outlineLvl w:val="0"/>
              <w:rPr>
                <w:rFonts w:ascii="Arial" w:eastAsia="Times New Roman" w:hAnsi="Arial" w:cs="Arial"/>
                <w:color w:val="000000"/>
                <w:sz w:val="17"/>
                <w:szCs w:val="17"/>
              </w:rPr>
            </w:pPr>
            <w:r>
              <w:rPr>
                <w:rFonts w:ascii="Arial" w:eastAsia="Times New Roman" w:hAnsi="Arial" w:cs="Arial"/>
                <w:color w:val="000000"/>
                <w:sz w:val="17"/>
                <w:szCs w:val="17"/>
              </w:rPr>
              <w:t>176.416</w:t>
            </w:r>
          </w:p>
        </w:tc>
        <w:tc>
          <w:tcPr>
            <w:tcW w:w="555" w:type="pct"/>
            <w:tcBorders>
              <w:top w:val="nil"/>
              <w:left w:val="nil"/>
              <w:bottom w:val="nil"/>
              <w:right w:val="nil"/>
            </w:tcBorders>
            <w:shd w:val="clear" w:color="auto" w:fill="auto"/>
            <w:vAlign w:val="bottom"/>
          </w:tcPr>
          <w:p w14:paraId="23FA076F" w14:textId="4CE3C097" w:rsidR="00E159D9" w:rsidRPr="00A96B0F" w:rsidRDefault="00E159D9" w:rsidP="00E159D9">
            <w:pPr>
              <w:tabs>
                <w:tab w:val="right" w:pos="1202"/>
              </w:tabs>
              <w:suppressAutoHyphens/>
              <w:autoSpaceDN w:val="0"/>
              <w:spacing w:line="240" w:lineRule="exact"/>
              <w:jc w:val="right"/>
              <w:outlineLvl w:val="0"/>
              <w:rPr>
                <w:rFonts w:ascii="Arial" w:eastAsia="Times New Roman" w:hAnsi="Arial" w:cs="Arial"/>
                <w:color w:val="000000"/>
                <w:sz w:val="17"/>
                <w:szCs w:val="17"/>
              </w:rPr>
            </w:pPr>
            <w:r>
              <w:rPr>
                <w:rFonts w:ascii="Arial" w:eastAsia="Times New Roman" w:hAnsi="Arial" w:cs="Arial"/>
                <w:color w:val="000000"/>
                <w:sz w:val="17"/>
                <w:szCs w:val="17"/>
              </w:rPr>
              <w:t>387</w:t>
            </w:r>
          </w:p>
        </w:tc>
        <w:tc>
          <w:tcPr>
            <w:tcW w:w="556" w:type="pct"/>
            <w:tcBorders>
              <w:top w:val="nil"/>
              <w:left w:val="nil"/>
              <w:bottom w:val="nil"/>
              <w:right w:val="nil"/>
            </w:tcBorders>
            <w:shd w:val="clear" w:color="auto" w:fill="auto"/>
            <w:vAlign w:val="bottom"/>
          </w:tcPr>
          <w:p w14:paraId="49FBF76E" w14:textId="5860360C" w:rsidR="00E159D9" w:rsidRPr="00A96B0F" w:rsidRDefault="00E159D9" w:rsidP="00E159D9">
            <w:pPr>
              <w:tabs>
                <w:tab w:val="right" w:pos="1202"/>
              </w:tabs>
              <w:suppressAutoHyphens/>
              <w:autoSpaceDN w:val="0"/>
              <w:spacing w:line="240" w:lineRule="exact"/>
              <w:jc w:val="right"/>
              <w:outlineLvl w:val="0"/>
              <w:rPr>
                <w:rFonts w:ascii="Arial" w:eastAsia="Times New Roman" w:hAnsi="Arial" w:cs="Arial"/>
                <w:color w:val="000000"/>
                <w:sz w:val="17"/>
                <w:szCs w:val="17"/>
              </w:rPr>
            </w:pPr>
            <w:r>
              <w:rPr>
                <w:rFonts w:ascii="Arial" w:eastAsia="Times New Roman" w:hAnsi="Arial" w:cs="Arial"/>
                <w:color w:val="000000"/>
                <w:sz w:val="17"/>
                <w:szCs w:val="17"/>
              </w:rPr>
              <w:t>36.312</w:t>
            </w:r>
          </w:p>
        </w:tc>
        <w:tc>
          <w:tcPr>
            <w:tcW w:w="556" w:type="pct"/>
            <w:tcBorders>
              <w:top w:val="nil"/>
              <w:left w:val="nil"/>
              <w:bottom w:val="nil"/>
              <w:right w:val="nil"/>
            </w:tcBorders>
            <w:shd w:val="clear" w:color="auto" w:fill="auto"/>
            <w:vAlign w:val="bottom"/>
          </w:tcPr>
          <w:p w14:paraId="62500316" w14:textId="7E06585A" w:rsidR="00E159D9" w:rsidRPr="00A96B0F" w:rsidRDefault="00E159D9" w:rsidP="00E159D9">
            <w:pPr>
              <w:tabs>
                <w:tab w:val="right" w:pos="1202"/>
              </w:tabs>
              <w:suppressAutoHyphens/>
              <w:autoSpaceDN w:val="0"/>
              <w:spacing w:line="240" w:lineRule="exact"/>
              <w:jc w:val="right"/>
              <w:outlineLvl w:val="0"/>
              <w:rPr>
                <w:rFonts w:ascii="Arial" w:eastAsia="Times New Roman" w:hAnsi="Arial" w:cs="Arial"/>
                <w:color w:val="000000"/>
                <w:sz w:val="17"/>
                <w:szCs w:val="17"/>
              </w:rPr>
            </w:pPr>
            <w:r>
              <w:rPr>
                <w:rFonts w:ascii="Arial" w:eastAsia="Times New Roman" w:hAnsi="Arial" w:cs="Arial"/>
                <w:color w:val="000000"/>
                <w:sz w:val="17"/>
                <w:szCs w:val="17"/>
              </w:rPr>
              <w:t>49</w:t>
            </w:r>
          </w:p>
        </w:tc>
        <w:tc>
          <w:tcPr>
            <w:tcW w:w="556" w:type="pct"/>
            <w:tcBorders>
              <w:top w:val="nil"/>
              <w:left w:val="nil"/>
              <w:bottom w:val="nil"/>
              <w:right w:val="nil"/>
            </w:tcBorders>
            <w:shd w:val="clear" w:color="auto" w:fill="auto"/>
            <w:vAlign w:val="bottom"/>
          </w:tcPr>
          <w:p w14:paraId="329351D0" w14:textId="54786769" w:rsidR="00E159D9" w:rsidRPr="00A96B0F" w:rsidRDefault="00E159D9" w:rsidP="00E159D9">
            <w:pPr>
              <w:tabs>
                <w:tab w:val="right" w:pos="1202"/>
              </w:tabs>
              <w:suppressAutoHyphens/>
              <w:autoSpaceDN w:val="0"/>
              <w:spacing w:line="240" w:lineRule="exact"/>
              <w:jc w:val="right"/>
              <w:outlineLvl w:val="0"/>
              <w:rPr>
                <w:rFonts w:ascii="Arial" w:eastAsia="Times New Roman" w:hAnsi="Arial" w:cs="Arial"/>
                <w:color w:val="000000"/>
                <w:sz w:val="17"/>
                <w:szCs w:val="17"/>
              </w:rPr>
            </w:pPr>
            <w:r>
              <w:rPr>
                <w:rFonts w:ascii="Arial" w:eastAsia="Times New Roman" w:hAnsi="Arial" w:cs="Arial"/>
                <w:color w:val="000000"/>
                <w:sz w:val="17"/>
                <w:szCs w:val="17"/>
              </w:rPr>
              <w:t>9.903</w:t>
            </w:r>
          </w:p>
        </w:tc>
        <w:tc>
          <w:tcPr>
            <w:tcW w:w="619" w:type="pct"/>
            <w:tcBorders>
              <w:top w:val="nil"/>
              <w:left w:val="nil"/>
              <w:bottom w:val="nil"/>
              <w:right w:val="nil"/>
            </w:tcBorders>
            <w:shd w:val="clear" w:color="auto" w:fill="auto"/>
            <w:vAlign w:val="bottom"/>
          </w:tcPr>
          <w:p w14:paraId="58B664D7" w14:textId="2A240495" w:rsidR="00E159D9" w:rsidRPr="00A96B0F" w:rsidRDefault="00E159D9" w:rsidP="00E159D9">
            <w:pPr>
              <w:tabs>
                <w:tab w:val="right" w:pos="1202"/>
              </w:tabs>
              <w:suppressAutoHyphens/>
              <w:autoSpaceDN w:val="0"/>
              <w:spacing w:line="240" w:lineRule="exact"/>
              <w:jc w:val="right"/>
              <w:outlineLvl w:val="0"/>
              <w:rPr>
                <w:rFonts w:ascii="Arial" w:eastAsia="Times New Roman" w:hAnsi="Arial" w:cs="Arial"/>
                <w:color w:val="000000"/>
                <w:sz w:val="17"/>
                <w:szCs w:val="17"/>
              </w:rPr>
            </w:pPr>
            <w:r>
              <w:rPr>
                <w:rFonts w:ascii="Arial" w:eastAsia="Times New Roman" w:hAnsi="Arial" w:cs="Arial"/>
                <w:color w:val="000000"/>
                <w:sz w:val="17"/>
                <w:szCs w:val="17"/>
              </w:rPr>
              <w:t>223.067</w:t>
            </w:r>
          </w:p>
        </w:tc>
      </w:tr>
      <w:tr w:rsidR="00E159D9" w:rsidRPr="00A96B0F" w14:paraId="22B31720" w14:textId="77777777" w:rsidTr="00ED797F">
        <w:trPr>
          <w:trHeight w:hRule="exact" w:val="213"/>
        </w:trPr>
        <w:tc>
          <w:tcPr>
            <w:tcW w:w="1601" w:type="pct"/>
            <w:vAlign w:val="bottom"/>
          </w:tcPr>
          <w:p w14:paraId="159A8C8A" w14:textId="77777777" w:rsidR="00E159D9" w:rsidRPr="00A96B0F" w:rsidRDefault="00E159D9" w:rsidP="00E159D9">
            <w:pPr>
              <w:tabs>
                <w:tab w:val="right" w:pos="1202"/>
              </w:tabs>
              <w:suppressAutoHyphens/>
              <w:autoSpaceDN w:val="0"/>
              <w:spacing w:line="240" w:lineRule="exact"/>
              <w:outlineLvl w:val="0"/>
              <w:rPr>
                <w:rFonts w:ascii="Arial" w:eastAsia="Calibri" w:hAnsi="Arial" w:cs="Arial"/>
                <w:color w:val="000000" w:themeColor="text1"/>
                <w:spacing w:val="-2"/>
                <w:sz w:val="17"/>
                <w:szCs w:val="17"/>
              </w:rPr>
            </w:pPr>
            <w:bookmarkStart w:id="845" w:name="_Toc67330284"/>
            <w:r w:rsidRPr="00A96B0F">
              <w:rPr>
                <w:rFonts w:ascii="Arial" w:eastAsia="Calibri" w:hAnsi="Arial" w:cs="Arial"/>
                <w:color w:val="000000" w:themeColor="text1"/>
                <w:spacing w:val="-2"/>
                <w:sz w:val="17"/>
                <w:szCs w:val="17"/>
              </w:rPr>
              <w:t>Obveze po kreditima</w:t>
            </w:r>
            <w:bookmarkEnd w:id="845"/>
          </w:p>
        </w:tc>
        <w:tc>
          <w:tcPr>
            <w:tcW w:w="556" w:type="pct"/>
            <w:tcBorders>
              <w:top w:val="nil"/>
              <w:left w:val="nil"/>
              <w:bottom w:val="nil"/>
              <w:right w:val="nil"/>
            </w:tcBorders>
            <w:shd w:val="clear" w:color="auto" w:fill="auto"/>
            <w:vAlign w:val="bottom"/>
          </w:tcPr>
          <w:p w14:paraId="650E3AE9" w14:textId="616DBC98" w:rsidR="00E159D9" w:rsidRPr="00A96B0F" w:rsidRDefault="00E159D9" w:rsidP="00E159D9">
            <w:pPr>
              <w:tabs>
                <w:tab w:val="right" w:pos="1202"/>
              </w:tabs>
              <w:suppressAutoHyphens/>
              <w:autoSpaceDN w:val="0"/>
              <w:spacing w:line="240" w:lineRule="exact"/>
              <w:jc w:val="right"/>
              <w:outlineLvl w:val="0"/>
              <w:rPr>
                <w:rFonts w:ascii="Arial" w:eastAsia="Times New Roman" w:hAnsi="Arial" w:cs="Arial"/>
                <w:color w:val="000000"/>
                <w:sz w:val="17"/>
                <w:szCs w:val="17"/>
              </w:rPr>
            </w:pPr>
            <w:r>
              <w:rPr>
                <w:rFonts w:ascii="Arial" w:eastAsia="Times New Roman" w:hAnsi="Arial" w:cs="Arial"/>
                <w:color w:val="000000"/>
                <w:sz w:val="17"/>
                <w:szCs w:val="17"/>
              </w:rPr>
              <w:t>5</w:t>
            </w:r>
            <w:r w:rsidR="000A093B">
              <w:rPr>
                <w:rFonts w:ascii="Arial" w:eastAsia="Times New Roman" w:hAnsi="Arial" w:cs="Arial"/>
                <w:color w:val="000000"/>
                <w:sz w:val="17"/>
                <w:szCs w:val="17"/>
              </w:rPr>
              <w:t>8</w:t>
            </w:r>
            <w:r>
              <w:rPr>
                <w:rFonts w:ascii="Arial" w:eastAsia="Times New Roman" w:hAnsi="Arial" w:cs="Arial"/>
                <w:color w:val="000000"/>
                <w:sz w:val="17"/>
                <w:szCs w:val="17"/>
              </w:rPr>
              <w:t>.</w:t>
            </w:r>
            <w:r w:rsidR="000A093B">
              <w:rPr>
                <w:rFonts w:ascii="Arial" w:eastAsia="Times New Roman" w:hAnsi="Arial" w:cs="Arial"/>
                <w:color w:val="000000"/>
                <w:sz w:val="17"/>
                <w:szCs w:val="17"/>
              </w:rPr>
              <w:t>463</w:t>
            </w:r>
          </w:p>
        </w:tc>
        <w:tc>
          <w:tcPr>
            <w:tcW w:w="555" w:type="pct"/>
            <w:tcBorders>
              <w:top w:val="nil"/>
              <w:left w:val="nil"/>
              <w:bottom w:val="nil"/>
              <w:right w:val="nil"/>
            </w:tcBorders>
            <w:shd w:val="clear" w:color="auto" w:fill="auto"/>
            <w:vAlign w:val="bottom"/>
          </w:tcPr>
          <w:p w14:paraId="6DF6DFFF" w14:textId="08F4DD73" w:rsidR="00E159D9" w:rsidRPr="00A96B0F" w:rsidRDefault="00E159D9" w:rsidP="00E159D9">
            <w:pPr>
              <w:tabs>
                <w:tab w:val="right" w:pos="1202"/>
              </w:tabs>
              <w:suppressAutoHyphens/>
              <w:autoSpaceDN w:val="0"/>
              <w:spacing w:line="240" w:lineRule="exact"/>
              <w:jc w:val="right"/>
              <w:outlineLvl w:val="0"/>
              <w:rPr>
                <w:rFonts w:ascii="Arial" w:eastAsia="Times New Roman" w:hAnsi="Arial" w:cs="Arial"/>
                <w:color w:val="000000"/>
                <w:sz w:val="17"/>
                <w:szCs w:val="17"/>
              </w:rPr>
            </w:pPr>
            <w:r>
              <w:rPr>
                <w:rFonts w:ascii="Arial" w:eastAsia="Times New Roman" w:hAnsi="Arial" w:cs="Arial"/>
                <w:color w:val="000000"/>
                <w:sz w:val="17"/>
                <w:szCs w:val="17"/>
              </w:rPr>
              <w:t>6</w:t>
            </w:r>
            <w:r w:rsidR="000A093B">
              <w:rPr>
                <w:rFonts w:ascii="Arial" w:eastAsia="Times New Roman" w:hAnsi="Arial" w:cs="Arial"/>
                <w:color w:val="000000"/>
                <w:sz w:val="17"/>
                <w:szCs w:val="17"/>
              </w:rPr>
              <w:t>5</w:t>
            </w:r>
            <w:r>
              <w:rPr>
                <w:rFonts w:ascii="Arial" w:eastAsia="Times New Roman" w:hAnsi="Arial" w:cs="Arial"/>
                <w:color w:val="000000"/>
                <w:sz w:val="17"/>
                <w:szCs w:val="17"/>
              </w:rPr>
              <w:t>.</w:t>
            </w:r>
            <w:r w:rsidR="000A093B">
              <w:rPr>
                <w:rFonts w:ascii="Arial" w:eastAsia="Times New Roman" w:hAnsi="Arial" w:cs="Arial"/>
                <w:color w:val="000000"/>
                <w:sz w:val="17"/>
                <w:szCs w:val="17"/>
              </w:rPr>
              <w:t>943</w:t>
            </w:r>
          </w:p>
        </w:tc>
        <w:tc>
          <w:tcPr>
            <w:tcW w:w="556" w:type="pct"/>
            <w:tcBorders>
              <w:top w:val="nil"/>
              <w:left w:val="nil"/>
              <w:bottom w:val="nil"/>
              <w:right w:val="nil"/>
            </w:tcBorders>
            <w:shd w:val="clear" w:color="auto" w:fill="auto"/>
            <w:vAlign w:val="bottom"/>
          </w:tcPr>
          <w:p w14:paraId="32FC344C" w14:textId="1B8148C4" w:rsidR="00E159D9" w:rsidRPr="00A96B0F" w:rsidRDefault="00E159D9" w:rsidP="00E159D9">
            <w:pPr>
              <w:tabs>
                <w:tab w:val="right" w:pos="1202"/>
              </w:tabs>
              <w:suppressAutoHyphens/>
              <w:autoSpaceDN w:val="0"/>
              <w:spacing w:line="240" w:lineRule="exact"/>
              <w:jc w:val="right"/>
              <w:outlineLvl w:val="0"/>
              <w:rPr>
                <w:rFonts w:ascii="Arial" w:eastAsia="Times New Roman" w:hAnsi="Arial" w:cs="Arial"/>
                <w:color w:val="000000"/>
                <w:sz w:val="17"/>
                <w:szCs w:val="17"/>
              </w:rPr>
            </w:pPr>
            <w:r>
              <w:rPr>
                <w:rFonts w:ascii="Arial" w:eastAsia="Times New Roman" w:hAnsi="Arial" w:cs="Arial"/>
                <w:color w:val="000000"/>
                <w:sz w:val="17"/>
                <w:szCs w:val="17"/>
              </w:rPr>
              <w:t>2</w:t>
            </w:r>
            <w:r w:rsidR="000A093B">
              <w:rPr>
                <w:rFonts w:ascii="Arial" w:eastAsia="Times New Roman" w:hAnsi="Arial" w:cs="Arial"/>
                <w:color w:val="000000"/>
                <w:sz w:val="17"/>
                <w:szCs w:val="17"/>
              </w:rPr>
              <w:t>84</w:t>
            </w:r>
            <w:r>
              <w:rPr>
                <w:rFonts w:ascii="Arial" w:eastAsia="Times New Roman" w:hAnsi="Arial" w:cs="Arial"/>
                <w:color w:val="000000"/>
                <w:sz w:val="17"/>
                <w:szCs w:val="17"/>
              </w:rPr>
              <w:t>.</w:t>
            </w:r>
            <w:r w:rsidR="000A093B">
              <w:rPr>
                <w:rFonts w:ascii="Arial" w:eastAsia="Times New Roman" w:hAnsi="Arial" w:cs="Arial"/>
                <w:color w:val="000000"/>
                <w:sz w:val="17"/>
                <w:szCs w:val="17"/>
              </w:rPr>
              <w:t>908</w:t>
            </w:r>
          </w:p>
        </w:tc>
        <w:tc>
          <w:tcPr>
            <w:tcW w:w="556" w:type="pct"/>
            <w:tcBorders>
              <w:top w:val="nil"/>
              <w:left w:val="nil"/>
              <w:bottom w:val="nil"/>
              <w:right w:val="nil"/>
            </w:tcBorders>
            <w:shd w:val="clear" w:color="auto" w:fill="auto"/>
            <w:vAlign w:val="bottom"/>
          </w:tcPr>
          <w:p w14:paraId="106F086D" w14:textId="7E6E0CB8" w:rsidR="00E159D9" w:rsidRPr="00A96B0F" w:rsidRDefault="000A093B" w:rsidP="00E159D9">
            <w:pPr>
              <w:tabs>
                <w:tab w:val="right" w:pos="1202"/>
              </w:tabs>
              <w:suppressAutoHyphens/>
              <w:autoSpaceDN w:val="0"/>
              <w:spacing w:line="240" w:lineRule="exact"/>
              <w:jc w:val="right"/>
              <w:outlineLvl w:val="0"/>
              <w:rPr>
                <w:rFonts w:ascii="Arial" w:eastAsia="Times New Roman" w:hAnsi="Arial" w:cs="Arial"/>
                <w:color w:val="000000"/>
                <w:sz w:val="17"/>
                <w:szCs w:val="17"/>
              </w:rPr>
            </w:pPr>
            <w:r>
              <w:rPr>
                <w:rFonts w:ascii="Arial" w:eastAsia="Times New Roman" w:hAnsi="Arial" w:cs="Arial"/>
                <w:color w:val="000000"/>
                <w:sz w:val="17"/>
                <w:szCs w:val="17"/>
              </w:rPr>
              <w:t>742</w:t>
            </w:r>
            <w:r w:rsidR="00E159D9">
              <w:rPr>
                <w:rFonts w:ascii="Arial" w:eastAsia="Times New Roman" w:hAnsi="Arial" w:cs="Arial"/>
                <w:color w:val="000000"/>
                <w:sz w:val="17"/>
                <w:szCs w:val="17"/>
              </w:rPr>
              <w:t>.</w:t>
            </w:r>
            <w:r>
              <w:rPr>
                <w:rFonts w:ascii="Arial" w:eastAsia="Times New Roman" w:hAnsi="Arial" w:cs="Arial"/>
                <w:color w:val="000000"/>
                <w:sz w:val="17"/>
                <w:szCs w:val="17"/>
              </w:rPr>
              <w:t>762</w:t>
            </w:r>
          </w:p>
        </w:tc>
        <w:tc>
          <w:tcPr>
            <w:tcW w:w="556" w:type="pct"/>
            <w:tcBorders>
              <w:top w:val="nil"/>
              <w:left w:val="nil"/>
              <w:bottom w:val="nil"/>
              <w:right w:val="nil"/>
            </w:tcBorders>
            <w:shd w:val="clear" w:color="auto" w:fill="auto"/>
            <w:vAlign w:val="bottom"/>
          </w:tcPr>
          <w:p w14:paraId="0EA2F5A6" w14:textId="75B3732C" w:rsidR="00E159D9" w:rsidRPr="00A96B0F" w:rsidRDefault="00E159D9" w:rsidP="00E159D9">
            <w:pPr>
              <w:tabs>
                <w:tab w:val="right" w:pos="1202"/>
              </w:tabs>
              <w:suppressAutoHyphens/>
              <w:autoSpaceDN w:val="0"/>
              <w:spacing w:line="240" w:lineRule="exact"/>
              <w:jc w:val="right"/>
              <w:outlineLvl w:val="0"/>
              <w:rPr>
                <w:rFonts w:ascii="Arial" w:eastAsia="Times New Roman" w:hAnsi="Arial" w:cs="Arial"/>
                <w:color w:val="000000"/>
                <w:sz w:val="17"/>
                <w:szCs w:val="17"/>
              </w:rPr>
            </w:pPr>
            <w:r>
              <w:rPr>
                <w:rFonts w:ascii="Arial" w:eastAsia="Times New Roman" w:hAnsi="Arial" w:cs="Arial"/>
                <w:color w:val="000000"/>
                <w:sz w:val="17"/>
                <w:szCs w:val="17"/>
              </w:rPr>
              <w:t>1.</w:t>
            </w:r>
            <w:r w:rsidR="000A093B">
              <w:rPr>
                <w:rFonts w:ascii="Arial" w:eastAsia="Times New Roman" w:hAnsi="Arial" w:cs="Arial"/>
                <w:color w:val="000000"/>
                <w:sz w:val="17"/>
                <w:szCs w:val="17"/>
              </w:rPr>
              <w:t>291</w:t>
            </w:r>
            <w:r>
              <w:rPr>
                <w:rFonts w:ascii="Arial" w:eastAsia="Times New Roman" w:hAnsi="Arial" w:cs="Arial"/>
                <w:color w:val="000000"/>
                <w:sz w:val="17"/>
                <w:szCs w:val="17"/>
              </w:rPr>
              <w:t>.</w:t>
            </w:r>
            <w:r w:rsidR="000A093B">
              <w:rPr>
                <w:rFonts w:ascii="Arial" w:eastAsia="Times New Roman" w:hAnsi="Arial" w:cs="Arial"/>
                <w:color w:val="000000"/>
                <w:sz w:val="17"/>
                <w:szCs w:val="17"/>
              </w:rPr>
              <w:t>052</w:t>
            </w:r>
          </w:p>
        </w:tc>
        <w:tc>
          <w:tcPr>
            <w:tcW w:w="619" w:type="pct"/>
            <w:tcBorders>
              <w:top w:val="nil"/>
              <w:left w:val="nil"/>
              <w:bottom w:val="nil"/>
              <w:right w:val="nil"/>
            </w:tcBorders>
            <w:shd w:val="clear" w:color="auto" w:fill="auto"/>
            <w:vAlign w:val="bottom"/>
          </w:tcPr>
          <w:p w14:paraId="1CB68FB0" w14:textId="0BEAADA2" w:rsidR="00E159D9" w:rsidRPr="00A96B0F" w:rsidRDefault="00E159D9" w:rsidP="00E159D9">
            <w:pPr>
              <w:tabs>
                <w:tab w:val="right" w:pos="1202"/>
              </w:tabs>
              <w:suppressAutoHyphens/>
              <w:autoSpaceDN w:val="0"/>
              <w:spacing w:line="240" w:lineRule="exact"/>
              <w:jc w:val="right"/>
              <w:outlineLvl w:val="0"/>
              <w:rPr>
                <w:rFonts w:ascii="Arial" w:eastAsia="Times New Roman" w:hAnsi="Arial" w:cs="Arial"/>
                <w:color w:val="000000"/>
                <w:sz w:val="17"/>
                <w:szCs w:val="17"/>
              </w:rPr>
            </w:pPr>
            <w:r>
              <w:rPr>
                <w:rFonts w:ascii="Arial" w:eastAsia="Times New Roman" w:hAnsi="Arial" w:cs="Arial"/>
                <w:color w:val="000000"/>
                <w:sz w:val="17"/>
                <w:szCs w:val="17"/>
              </w:rPr>
              <w:t>2.</w:t>
            </w:r>
            <w:r w:rsidR="00B20237">
              <w:rPr>
                <w:rFonts w:ascii="Arial" w:eastAsia="Times New Roman" w:hAnsi="Arial" w:cs="Arial"/>
                <w:color w:val="000000"/>
                <w:sz w:val="17"/>
                <w:szCs w:val="17"/>
              </w:rPr>
              <w:t>443</w:t>
            </w:r>
            <w:r>
              <w:rPr>
                <w:rFonts w:ascii="Arial" w:eastAsia="Times New Roman" w:hAnsi="Arial" w:cs="Arial"/>
                <w:color w:val="000000"/>
                <w:sz w:val="17"/>
                <w:szCs w:val="17"/>
              </w:rPr>
              <w:t>.</w:t>
            </w:r>
            <w:r w:rsidR="00B20237">
              <w:rPr>
                <w:rFonts w:ascii="Arial" w:eastAsia="Times New Roman" w:hAnsi="Arial" w:cs="Arial"/>
                <w:color w:val="000000"/>
                <w:sz w:val="17"/>
                <w:szCs w:val="17"/>
              </w:rPr>
              <w:t>128</w:t>
            </w:r>
          </w:p>
        </w:tc>
      </w:tr>
      <w:tr w:rsidR="00E159D9" w:rsidRPr="00A96B0F" w14:paraId="37087849" w14:textId="77777777" w:rsidTr="006A279C">
        <w:trPr>
          <w:trHeight w:val="357"/>
        </w:trPr>
        <w:tc>
          <w:tcPr>
            <w:tcW w:w="1601" w:type="pct"/>
            <w:vAlign w:val="bottom"/>
          </w:tcPr>
          <w:p w14:paraId="4B8AE557" w14:textId="77777777" w:rsidR="00E159D9" w:rsidRPr="00A96B0F" w:rsidRDefault="00E159D9" w:rsidP="00E159D9">
            <w:pPr>
              <w:tabs>
                <w:tab w:val="right" w:pos="1202"/>
              </w:tabs>
              <w:suppressAutoHyphens/>
              <w:autoSpaceDN w:val="0"/>
              <w:spacing w:line="220" w:lineRule="exact"/>
              <w:outlineLvl w:val="0"/>
              <w:rPr>
                <w:rFonts w:ascii="Arial" w:eastAsia="Times New Roman" w:hAnsi="Arial" w:cs="Arial"/>
                <w:color w:val="000000" w:themeColor="text1"/>
                <w:spacing w:val="-2"/>
                <w:sz w:val="17"/>
                <w:szCs w:val="17"/>
              </w:rPr>
            </w:pPr>
            <w:bookmarkStart w:id="846" w:name="_Toc67330298"/>
            <w:r w:rsidRPr="00A96B0F">
              <w:rPr>
                <w:rFonts w:ascii="Arial" w:eastAsia="Times New Roman" w:hAnsi="Arial" w:cs="Arial"/>
                <w:spacing w:val="-2"/>
                <w:sz w:val="17"/>
                <w:szCs w:val="17"/>
              </w:rPr>
              <w:t>Rezerviranja za garancije, preuzete i ostale obveze</w:t>
            </w:r>
            <w:bookmarkEnd w:id="846"/>
          </w:p>
        </w:tc>
        <w:tc>
          <w:tcPr>
            <w:tcW w:w="556" w:type="pct"/>
            <w:tcBorders>
              <w:top w:val="nil"/>
              <w:left w:val="nil"/>
              <w:bottom w:val="nil"/>
              <w:right w:val="nil"/>
            </w:tcBorders>
            <w:shd w:val="clear" w:color="auto" w:fill="auto"/>
            <w:vAlign w:val="bottom"/>
          </w:tcPr>
          <w:p w14:paraId="2A8D15B8" w14:textId="58283220" w:rsidR="00E159D9" w:rsidRPr="00A96B0F" w:rsidRDefault="00E159D9" w:rsidP="00E159D9">
            <w:pPr>
              <w:tabs>
                <w:tab w:val="right" w:pos="1202"/>
              </w:tabs>
              <w:suppressAutoHyphens/>
              <w:autoSpaceDN w:val="0"/>
              <w:spacing w:line="240" w:lineRule="exact"/>
              <w:jc w:val="right"/>
              <w:outlineLvl w:val="0"/>
              <w:rPr>
                <w:rFonts w:ascii="Arial" w:eastAsia="Times New Roman" w:hAnsi="Arial" w:cs="Arial"/>
                <w:color w:val="000000"/>
                <w:sz w:val="17"/>
                <w:szCs w:val="17"/>
              </w:rPr>
            </w:pPr>
            <w:r>
              <w:rPr>
                <w:rFonts w:ascii="Arial" w:eastAsia="Times New Roman" w:hAnsi="Arial" w:cs="Arial"/>
                <w:color w:val="000000"/>
                <w:sz w:val="17"/>
                <w:szCs w:val="17"/>
              </w:rPr>
              <w:t>7.862</w:t>
            </w:r>
          </w:p>
        </w:tc>
        <w:tc>
          <w:tcPr>
            <w:tcW w:w="555" w:type="pct"/>
            <w:tcBorders>
              <w:top w:val="nil"/>
              <w:left w:val="nil"/>
              <w:bottom w:val="nil"/>
              <w:right w:val="nil"/>
            </w:tcBorders>
            <w:shd w:val="clear" w:color="auto" w:fill="auto"/>
            <w:vAlign w:val="bottom"/>
          </w:tcPr>
          <w:p w14:paraId="018708E4" w14:textId="1917ED23" w:rsidR="00E159D9" w:rsidRPr="00A96B0F" w:rsidRDefault="00E159D9" w:rsidP="00E159D9">
            <w:pPr>
              <w:tabs>
                <w:tab w:val="right" w:pos="1202"/>
              </w:tabs>
              <w:suppressAutoHyphens/>
              <w:autoSpaceDN w:val="0"/>
              <w:spacing w:line="240" w:lineRule="exact"/>
              <w:jc w:val="right"/>
              <w:outlineLvl w:val="0"/>
              <w:rPr>
                <w:rFonts w:ascii="Arial" w:eastAsia="Times New Roman" w:hAnsi="Arial" w:cs="Arial"/>
                <w:color w:val="000000"/>
                <w:sz w:val="17"/>
                <w:szCs w:val="17"/>
              </w:rPr>
            </w:pPr>
            <w:r>
              <w:rPr>
                <w:rFonts w:ascii="Arial" w:eastAsia="Times New Roman" w:hAnsi="Arial" w:cs="Arial"/>
                <w:color w:val="000000"/>
                <w:sz w:val="17"/>
                <w:szCs w:val="17"/>
              </w:rPr>
              <w:t>683</w:t>
            </w:r>
          </w:p>
        </w:tc>
        <w:tc>
          <w:tcPr>
            <w:tcW w:w="556" w:type="pct"/>
            <w:tcBorders>
              <w:top w:val="nil"/>
              <w:left w:val="nil"/>
              <w:bottom w:val="nil"/>
              <w:right w:val="nil"/>
            </w:tcBorders>
            <w:shd w:val="clear" w:color="auto" w:fill="auto"/>
            <w:vAlign w:val="bottom"/>
          </w:tcPr>
          <w:p w14:paraId="346CCC86" w14:textId="45F126B0" w:rsidR="00E159D9" w:rsidRPr="00A96B0F" w:rsidRDefault="00E159D9" w:rsidP="00E159D9">
            <w:pPr>
              <w:tabs>
                <w:tab w:val="right" w:pos="1202"/>
              </w:tabs>
              <w:suppressAutoHyphens/>
              <w:autoSpaceDN w:val="0"/>
              <w:spacing w:line="240" w:lineRule="exact"/>
              <w:jc w:val="right"/>
              <w:outlineLvl w:val="0"/>
              <w:rPr>
                <w:rFonts w:ascii="Arial" w:eastAsia="Times New Roman" w:hAnsi="Arial" w:cs="Arial"/>
                <w:color w:val="000000"/>
                <w:sz w:val="17"/>
                <w:szCs w:val="17"/>
              </w:rPr>
            </w:pPr>
            <w:r>
              <w:rPr>
                <w:rFonts w:ascii="Arial" w:eastAsia="Times New Roman" w:hAnsi="Arial" w:cs="Arial"/>
                <w:color w:val="000000"/>
                <w:sz w:val="17"/>
                <w:szCs w:val="17"/>
              </w:rPr>
              <w:t>2.326</w:t>
            </w:r>
          </w:p>
        </w:tc>
        <w:tc>
          <w:tcPr>
            <w:tcW w:w="556" w:type="pct"/>
            <w:tcBorders>
              <w:top w:val="nil"/>
              <w:left w:val="nil"/>
              <w:bottom w:val="nil"/>
              <w:right w:val="nil"/>
            </w:tcBorders>
            <w:shd w:val="clear" w:color="auto" w:fill="auto"/>
            <w:vAlign w:val="bottom"/>
          </w:tcPr>
          <w:p w14:paraId="4CEF0546" w14:textId="4F661902" w:rsidR="00E159D9" w:rsidRPr="00A96B0F" w:rsidRDefault="00E159D9" w:rsidP="00E159D9">
            <w:pPr>
              <w:tabs>
                <w:tab w:val="right" w:pos="1202"/>
              </w:tabs>
              <w:suppressAutoHyphens/>
              <w:autoSpaceDN w:val="0"/>
              <w:spacing w:line="240" w:lineRule="exact"/>
              <w:jc w:val="right"/>
              <w:outlineLvl w:val="0"/>
              <w:rPr>
                <w:rFonts w:ascii="Arial" w:eastAsia="Times New Roman" w:hAnsi="Arial" w:cs="Arial"/>
                <w:color w:val="000000"/>
                <w:sz w:val="17"/>
                <w:szCs w:val="17"/>
              </w:rPr>
            </w:pPr>
            <w:r>
              <w:rPr>
                <w:rFonts w:ascii="Arial" w:eastAsia="Times New Roman" w:hAnsi="Arial" w:cs="Arial"/>
                <w:color w:val="000000"/>
                <w:sz w:val="17"/>
                <w:szCs w:val="17"/>
              </w:rPr>
              <w:t>5.112</w:t>
            </w:r>
          </w:p>
        </w:tc>
        <w:tc>
          <w:tcPr>
            <w:tcW w:w="556" w:type="pct"/>
            <w:tcBorders>
              <w:top w:val="nil"/>
              <w:left w:val="nil"/>
              <w:bottom w:val="nil"/>
              <w:right w:val="nil"/>
            </w:tcBorders>
            <w:shd w:val="clear" w:color="auto" w:fill="auto"/>
            <w:vAlign w:val="bottom"/>
          </w:tcPr>
          <w:p w14:paraId="08AA368C" w14:textId="1ADA5139" w:rsidR="00E159D9" w:rsidRPr="00A96B0F" w:rsidRDefault="00E159D9" w:rsidP="00E159D9">
            <w:pPr>
              <w:tabs>
                <w:tab w:val="right" w:pos="1202"/>
              </w:tabs>
              <w:suppressAutoHyphens/>
              <w:autoSpaceDN w:val="0"/>
              <w:spacing w:line="240" w:lineRule="exact"/>
              <w:jc w:val="right"/>
              <w:outlineLvl w:val="0"/>
              <w:rPr>
                <w:rFonts w:ascii="Arial" w:eastAsia="Times New Roman" w:hAnsi="Arial" w:cs="Arial"/>
                <w:color w:val="000000"/>
                <w:sz w:val="17"/>
                <w:szCs w:val="17"/>
              </w:rPr>
            </w:pPr>
            <w:r>
              <w:rPr>
                <w:rFonts w:ascii="Arial" w:eastAsia="Times New Roman" w:hAnsi="Arial" w:cs="Arial"/>
                <w:color w:val="000000"/>
                <w:sz w:val="17"/>
                <w:szCs w:val="17"/>
              </w:rPr>
              <w:t>3.412</w:t>
            </w:r>
          </w:p>
        </w:tc>
        <w:tc>
          <w:tcPr>
            <w:tcW w:w="619" w:type="pct"/>
            <w:tcBorders>
              <w:top w:val="nil"/>
              <w:left w:val="nil"/>
              <w:bottom w:val="nil"/>
              <w:right w:val="nil"/>
            </w:tcBorders>
            <w:shd w:val="clear" w:color="auto" w:fill="auto"/>
            <w:vAlign w:val="bottom"/>
          </w:tcPr>
          <w:p w14:paraId="04FB4811" w14:textId="446AB5F9" w:rsidR="00E159D9" w:rsidRPr="00A96B0F" w:rsidRDefault="00E159D9" w:rsidP="00E159D9">
            <w:pPr>
              <w:tabs>
                <w:tab w:val="right" w:pos="1202"/>
              </w:tabs>
              <w:suppressAutoHyphens/>
              <w:autoSpaceDN w:val="0"/>
              <w:spacing w:line="240" w:lineRule="exact"/>
              <w:jc w:val="right"/>
              <w:outlineLvl w:val="0"/>
              <w:rPr>
                <w:rFonts w:ascii="Arial" w:eastAsia="Times New Roman" w:hAnsi="Arial" w:cs="Arial"/>
                <w:color w:val="000000"/>
                <w:sz w:val="17"/>
                <w:szCs w:val="17"/>
              </w:rPr>
            </w:pPr>
            <w:r>
              <w:rPr>
                <w:rFonts w:ascii="Arial" w:eastAsia="Times New Roman" w:hAnsi="Arial" w:cs="Arial"/>
                <w:color w:val="000000"/>
                <w:sz w:val="17"/>
                <w:szCs w:val="17"/>
              </w:rPr>
              <w:t>19.395</w:t>
            </w:r>
          </w:p>
        </w:tc>
      </w:tr>
      <w:tr w:rsidR="00E159D9" w:rsidRPr="00A96B0F" w14:paraId="11A8D250" w14:textId="77777777" w:rsidTr="00ED797F">
        <w:trPr>
          <w:trHeight w:hRule="exact" w:val="213"/>
        </w:trPr>
        <w:tc>
          <w:tcPr>
            <w:tcW w:w="1601" w:type="pct"/>
            <w:vAlign w:val="bottom"/>
          </w:tcPr>
          <w:p w14:paraId="5AFB66A1" w14:textId="77777777" w:rsidR="00E159D9" w:rsidRPr="00A96B0F" w:rsidRDefault="00E159D9" w:rsidP="00E159D9">
            <w:pPr>
              <w:tabs>
                <w:tab w:val="right" w:pos="1202"/>
              </w:tabs>
              <w:suppressAutoHyphens/>
              <w:autoSpaceDN w:val="0"/>
              <w:spacing w:line="240" w:lineRule="exact"/>
              <w:outlineLvl w:val="0"/>
              <w:rPr>
                <w:rFonts w:ascii="Arial" w:eastAsia="Calibri" w:hAnsi="Arial" w:cs="Arial"/>
                <w:color w:val="000000" w:themeColor="text1"/>
                <w:spacing w:val="-2"/>
                <w:sz w:val="17"/>
                <w:szCs w:val="17"/>
              </w:rPr>
            </w:pPr>
            <w:bookmarkStart w:id="847" w:name="_Toc67330305"/>
            <w:r w:rsidRPr="00A96B0F">
              <w:rPr>
                <w:rFonts w:ascii="Arial" w:eastAsia="Calibri" w:hAnsi="Arial" w:cs="Arial"/>
                <w:color w:val="000000" w:themeColor="text1"/>
                <w:spacing w:val="-2"/>
                <w:sz w:val="17"/>
                <w:szCs w:val="17"/>
              </w:rPr>
              <w:t>Ostale obveze</w:t>
            </w:r>
            <w:bookmarkEnd w:id="847"/>
          </w:p>
        </w:tc>
        <w:tc>
          <w:tcPr>
            <w:tcW w:w="556" w:type="pct"/>
            <w:tcBorders>
              <w:top w:val="nil"/>
              <w:left w:val="nil"/>
              <w:bottom w:val="single" w:sz="4" w:space="0" w:color="auto"/>
              <w:right w:val="nil"/>
            </w:tcBorders>
            <w:shd w:val="clear" w:color="auto" w:fill="auto"/>
            <w:vAlign w:val="bottom"/>
          </w:tcPr>
          <w:p w14:paraId="799D0DB8" w14:textId="4CD3E91F" w:rsidR="00E159D9" w:rsidRPr="00A96B0F" w:rsidRDefault="00E159D9" w:rsidP="00E159D9">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623D8E">
              <w:rPr>
                <w:rFonts w:ascii="Arial" w:eastAsia="Times New Roman" w:hAnsi="Arial" w:cs="Arial"/>
                <w:color w:val="000000"/>
                <w:sz w:val="17"/>
                <w:szCs w:val="17"/>
              </w:rPr>
              <w:t>30.646</w:t>
            </w:r>
          </w:p>
        </w:tc>
        <w:tc>
          <w:tcPr>
            <w:tcW w:w="555" w:type="pct"/>
            <w:tcBorders>
              <w:top w:val="nil"/>
              <w:left w:val="nil"/>
              <w:bottom w:val="single" w:sz="4" w:space="0" w:color="auto"/>
              <w:right w:val="nil"/>
            </w:tcBorders>
            <w:shd w:val="clear" w:color="auto" w:fill="auto"/>
            <w:vAlign w:val="bottom"/>
          </w:tcPr>
          <w:p w14:paraId="192446E1" w14:textId="78A33807" w:rsidR="00E159D9" w:rsidRPr="00A96B0F" w:rsidRDefault="00E159D9" w:rsidP="00E159D9">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623D8E">
              <w:rPr>
                <w:rFonts w:ascii="Arial" w:eastAsia="Times New Roman" w:hAnsi="Arial" w:cs="Arial"/>
                <w:color w:val="000000"/>
                <w:sz w:val="17"/>
                <w:szCs w:val="17"/>
              </w:rPr>
              <w:t>2.855</w:t>
            </w:r>
          </w:p>
        </w:tc>
        <w:tc>
          <w:tcPr>
            <w:tcW w:w="556" w:type="pct"/>
            <w:tcBorders>
              <w:top w:val="nil"/>
              <w:left w:val="nil"/>
              <w:bottom w:val="single" w:sz="4" w:space="0" w:color="auto"/>
              <w:right w:val="nil"/>
            </w:tcBorders>
            <w:shd w:val="clear" w:color="auto" w:fill="auto"/>
            <w:vAlign w:val="bottom"/>
          </w:tcPr>
          <w:p w14:paraId="1FBFE31B" w14:textId="28A968B8" w:rsidR="00E159D9" w:rsidRPr="00A96B0F" w:rsidRDefault="00E159D9" w:rsidP="00E159D9">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623D8E">
              <w:rPr>
                <w:rFonts w:ascii="Arial" w:eastAsia="Times New Roman" w:hAnsi="Arial" w:cs="Arial"/>
                <w:color w:val="000000"/>
                <w:sz w:val="17"/>
                <w:szCs w:val="17"/>
              </w:rPr>
              <w:t>11.686</w:t>
            </w:r>
          </w:p>
        </w:tc>
        <w:tc>
          <w:tcPr>
            <w:tcW w:w="556" w:type="pct"/>
            <w:tcBorders>
              <w:top w:val="nil"/>
              <w:left w:val="nil"/>
              <w:bottom w:val="single" w:sz="4" w:space="0" w:color="auto"/>
              <w:right w:val="nil"/>
            </w:tcBorders>
            <w:shd w:val="clear" w:color="auto" w:fill="auto"/>
            <w:vAlign w:val="bottom"/>
          </w:tcPr>
          <w:p w14:paraId="1F785395" w14:textId="06231E35" w:rsidR="00E159D9" w:rsidRPr="00A96B0F" w:rsidRDefault="00E159D9" w:rsidP="00E159D9">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623D8E">
              <w:rPr>
                <w:rFonts w:ascii="Arial" w:eastAsia="Times New Roman" w:hAnsi="Arial" w:cs="Arial"/>
                <w:color w:val="000000"/>
                <w:sz w:val="17"/>
                <w:szCs w:val="17"/>
              </w:rPr>
              <w:t>19.926</w:t>
            </w:r>
          </w:p>
        </w:tc>
        <w:tc>
          <w:tcPr>
            <w:tcW w:w="556" w:type="pct"/>
            <w:tcBorders>
              <w:top w:val="nil"/>
              <w:left w:val="nil"/>
              <w:bottom w:val="single" w:sz="4" w:space="0" w:color="auto"/>
              <w:right w:val="nil"/>
            </w:tcBorders>
            <w:shd w:val="clear" w:color="auto" w:fill="auto"/>
            <w:vAlign w:val="bottom"/>
          </w:tcPr>
          <w:p w14:paraId="662B4D9F" w14:textId="0C4A960C" w:rsidR="00E159D9" w:rsidRPr="00A96B0F" w:rsidRDefault="00E159D9" w:rsidP="00E159D9">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623D8E">
              <w:rPr>
                <w:rFonts w:ascii="Arial" w:eastAsia="Times New Roman" w:hAnsi="Arial" w:cs="Arial"/>
                <w:color w:val="000000"/>
                <w:sz w:val="17"/>
                <w:szCs w:val="17"/>
              </w:rPr>
              <w:t>13.298</w:t>
            </w:r>
          </w:p>
        </w:tc>
        <w:tc>
          <w:tcPr>
            <w:tcW w:w="619" w:type="pct"/>
            <w:tcBorders>
              <w:top w:val="nil"/>
              <w:left w:val="nil"/>
              <w:bottom w:val="single" w:sz="4" w:space="0" w:color="auto"/>
              <w:right w:val="nil"/>
            </w:tcBorders>
            <w:shd w:val="clear" w:color="auto" w:fill="auto"/>
            <w:vAlign w:val="bottom"/>
          </w:tcPr>
          <w:p w14:paraId="264DCC71" w14:textId="246B0614" w:rsidR="00E159D9" w:rsidRPr="00A96B0F" w:rsidRDefault="00E159D9" w:rsidP="00E159D9">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623D8E">
              <w:rPr>
                <w:rFonts w:ascii="Arial" w:eastAsia="Times New Roman" w:hAnsi="Arial" w:cs="Arial"/>
                <w:color w:val="000000"/>
                <w:sz w:val="17"/>
                <w:szCs w:val="17"/>
              </w:rPr>
              <w:t>78.411</w:t>
            </w:r>
          </w:p>
        </w:tc>
      </w:tr>
      <w:tr w:rsidR="00E159D9" w:rsidRPr="00A96B0F" w14:paraId="231AF254" w14:textId="77777777" w:rsidTr="00ED797F">
        <w:trPr>
          <w:trHeight w:hRule="exact" w:val="266"/>
        </w:trPr>
        <w:tc>
          <w:tcPr>
            <w:tcW w:w="1601" w:type="pct"/>
            <w:vAlign w:val="bottom"/>
          </w:tcPr>
          <w:p w14:paraId="1498F093" w14:textId="77777777" w:rsidR="00E159D9" w:rsidRPr="00A96B0F" w:rsidRDefault="00E159D9" w:rsidP="00E159D9">
            <w:pPr>
              <w:tabs>
                <w:tab w:val="right" w:pos="1202"/>
              </w:tabs>
              <w:suppressAutoHyphens/>
              <w:autoSpaceDN w:val="0"/>
              <w:outlineLvl w:val="0"/>
              <w:rPr>
                <w:rFonts w:ascii="Arial" w:eastAsia="Times New Roman" w:hAnsi="Arial" w:cs="Arial"/>
                <w:b/>
                <w:bCs/>
                <w:color w:val="000000" w:themeColor="text1"/>
                <w:sz w:val="17"/>
                <w:szCs w:val="17"/>
              </w:rPr>
            </w:pPr>
            <w:bookmarkStart w:id="848" w:name="_Toc67330312"/>
            <w:r w:rsidRPr="00A96B0F">
              <w:rPr>
                <w:rFonts w:ascii="Arial" w:eastAsia="Times New Roman" w:hAnsi="Arial" w:cs="Arial"/>
                <w:b/>
                <w:bCs/>
                <w:color w:val="000000" w:themeColor="text1"/>
                <w:sz w:val="17"/>
                <w:szCs w:val="17"/>
              </w:rPr>
              <w:t>Ukupno</w:t>
            </w:r>
            <w:bookmarkEnd w:id="848"/>
          </w:p>
        </w:tc>
        <w:tc>
          <w:tcPr>
            <w:tcW w:w="556" w:type="pct"/>
            <w:tcBorders>
              <w:top w:val="single" w:sz="4" w:space="0" w:color="auto"/>
              <w:left w:val="nil"/>
              <w:bottom w:val="single" w:sz="12" w:space="0" w:color="auto"/>
              <w:right w:val="nil"/>
            </w:tcBorders>
            <w:shd w:val="clear" w:color="auto" w:fill="auto"/>
            <w:vAlign w:val="bottom"/>
          </w:tcPr>
          <w:p w14:paraId="4A520301" w14:textId="413F1758" w:rsidR="00E159D9" w:rsidRPr="00A96B0F" w:rsidRDefault="005504D0" w:rsidP="00E159D9">
            <w:pPr>
              <w:tabs>
                <w:tab w:val="right" w:pos="1202"/>
              </w:tabs>
              <w:suppressAutoHyphens/>
              <w:autoSpaceDN w:val="0"/>
              <w:jc w:val="right"/>
              <w:outlineLvl w:val="0"/>
              <w:rPr>
                <w:rFonts w:ascii="Arial" w:eastAsia="Times New Roman" w:hAnsi="Arial" w:cs="Arial"/>
                <w:b/>
                <w:bCs/>
                <w:color w:val="000000"/>
                <w:sz w:val="17"/>
                <w:szCs w:val="17"/>
              </w:rPr>
            </w:pPr>
            <w:r>
              <w:rPr>
                <w:rFonts w:ascii="Arial" w:eastAsia="Times New Roman" w:hAnsi="Arial" w:cs="Arial"/>
                <w:b/>
                <w:bCs/>
                <w:color w:val="000000"/>
                <w:sz w:val="17"/>
                <w:szCs w:val="17"/>
              </w:rPr>
              <w:t>273.387</w:t>
            </w:r>
          </w:p>
        </w:tc>
        <w:tc>
          <w:tcPr>
            <w:tcW w:w="555" w:type="pct"/>
            <w:tcBorders>
              <w:top w:val="nil"/>
              <w:left w:val="nil"/>
              <w:bottom w:val="single" w:sz="12" w:space="0" w:color="auto"/>
              <w:right w:val="nil"/>
            </w:tcBorders>
            <w:shd w:val="clear" w:color="auto" w:fill="auto"/>
            <w:vAlign w:val="bottom"/>
          </w:tcPr>
          <w:p w14:paraId="474A21C4" w14:textId="4AEAAA22" w:rsidR="00E159D9" w:rsidRPr="00A96B0F" w:rsidRDefault="005504D0" w:rsidP="00E159D9">
            <w:pPr>
              <w:tabs>
                <w:tab w:val="right" w:pos="1202"/>
              </w:tabs>
              <w:suppressAutoHyphens/>
              <w:autoSpaceDN w:val="0"/>
              <w:jc w:val="right"/>
              <w:outlineLvl w:val="0"/>
              <w:rPr>
                <w:rFonts w:ascii="Arial" w:eastAsia="Times New Roman" w:hAnsi="Arial" w:cs="Arial"/>
                <w:b/>
                <w:bCs/>
                <w:color w:val="000000"/>
                <w:sz w:val="17"/>
                <w:szCs w:val="17"/>
              </w:rPr>
            </w:pPr>
            <w:r>
              <w:rPr>
                <w:rFonts w:ascii="Arial" w:eastAsia="Times New Roman" w:hAnsi="Arial" w:cs="Arial"/>
                <w:b/>
                <w:bCs/>
                <w:color w:val="000000"/>
                <w:sz w:val="17"/>
                <w:szCs w:val="17"/>
              </w:rPr>
              <w:t>69.868</w:t>
            </w:r>
          </w:p>
        </w:tc>
        <w:tc>
          <w:tcPr>
            <w:tcW w:w="556" w:type="pct"/>
            <w:tcBorders>
              <w:top w:val="nil"/>
              <w:left w:val="nil"/>
              <w:bottom w:val="single" w:sz="12" w:space="0" w:color="auto"/>
              <w:right w:val="nil"/>
            </w:tcBorders>
            <w:shd w:val="clear" w:color="auto" w:fill="auto"/>
            <w:vAlign w:val="bottom"/>
          </w:tcPr>
          <w:p w14:paraId="01FE4555" w14:textId="663A4CE0" w:rsidR="00E159D9" w:rsidRPr="00A96B0F" w:rsidRDefault="005504D0" w:rsidP="00E159D9">
            <w:pPr>
              <w:tabs>
                <w:tab w:val="right" w:pos="1202"/>
              </w:tabs>
              <w:suppressAutoHyphens/>
              <w:autoSpaceDN w:val="0"/>
              <w:jc w:val="right"/>
              <w:outlineLvl w:val="0"/>
              <w:rPr>
                <w:rFonts w:ascii="Arial" w:eastAsia="Times New Roman" w:hAnsi="Arial" w:cs="Arial"/>
                <w:b/>
                <w:bCs/>
                <w:color w:val="000000"/>
                <w:sz w:val="17"/>
                <w:szCs w:val="17"/>
              </w:rPr>
            </w:pPr>
            <w:r>
              <w:rPr>
                <w:rFonts w:ascii="Arial" w:eastAsia="Times New Roman" w:hAnsi="Arial" w:cs="Arial"/>
                <w:b/>
                <w:bCs/>
                <w:color w:val="000000"/>
                <w:sz w:val="17"/>
                <w:szCs w:val="17"/>
              </w:rPr>
              <w:t>335.232</w:t>
            </w:r>
          </w:p>
        </w:tc>
        <w:tc>
          <w:tcPr>
            <w:tcW w:w="556" w:type="pct"/>
            <w:tcBorders>
              <w:top w:val="nil"/>
              <w:left w:val="nil"/>
              <w:bottom w:val="single" w:sz="12" w:space="0" w:color="auto"/>
              <w:right w:val="nil"/>
            </w:tcBorders>
            <w:shd w:val="clear" w:color="auto" w:fill="auto"/>
            <w:vAlign w:val="bottom"/>
          </w:tcPr>
          <w:p w14:paraId="12B67B4A" w14:textId="148D5B8C" w:rsidR="00E159D9" w:rsidRPr="00A96B0F" w:rsidRDefault="005504D0" w:rsidP="00E159D9">
            <w:pPr>
              <w:tabs>
                <w:tab w:val="right" w:pos="1202"/>
              </w:tabs>
              <w:suppressAutoHyphens/>
              <w:autoSpaceDN w:val="0"/>
              <w:jc w:val="right"/>
              <w:outlineLvl w:val="0"/>
              <w:rPr>
                <w:rFonts w:ascii="Arial" w:eastAsia="Times New Roman" w:hAnsi="Arial" w:cs="Arial"/>
                <w:b/>
                <w:bCs/>
                <w:color w:val="000000"/>
                <w:sz w:val="17"/>
                <w:szCs w:val="17"/>
              </w:rPr>
            </w:pPr>
            <w:r>
              <w:rPr>
                <w:rFonts w:ascii="Arial" w:eastAsia="Times New Roman" w:hAnsi="Arial" w:cs="Arial"/>
                <w:b/>
                <w:bCs/>
                <w:color w:val="000000"/>
                <w:sz w:val="17"/>
                <w:szCs w:val="17"/>
              </w:rPr>
              <w:t>767.849</w:t>
            </w:r>
          </w:p>
        </w:tc>
        <w:tc>
          <w:tcPr>
            <w:tcW w:w="556" w:type="pct"/>
            <w:tcBorders>
              <w:top w:val="nil"/>
              <w:left w:val="nil"/>
              <w:bottom w:val="single" w:sz="12" w:space="0" w:color="auto"/>
              <w:right w:val="nil"/>
            </w:tcBorders>
            <w:shd w:val="clear" w:color="auto" w:fill="auto"/>
            <w:vAlign w:val="bottom"/>
          </w:tcPr>
          <w:p w14:paraId="7DA47C34" w14:textId="56D352BD" w:rsidR="00E159D9" w:rsidRPr="00A96B0F" w:rsidRDefault="00E159D9" w:rsidP="00E159D9">
            <w:pPr>
              <w:tabs>
                <w:tab w:val="right" w:pos="1202"/>
              </w:tabs>
              <w:suppressAutoHyphens/>
              <w:autoSpaceDN w:val="0"/>
              <w:jc w:val="right"/>
              <w:outlineLvl w:val="0"/>
              <w:rPr>
                <w:rFonts w:ascii="Arial" w:eastAsia="Times New Roman" w:hAnsi="Arial" w:cs="Arial"/>
                <w:b/>
                <w:bCs/>
                <w:color w:val="000000"/>
                <w:sz w:val="17"/>
                <w:szCs w:val="17"/>
              </w:rPr>
            </w:pPr>
            <w:r>
              <w:rPr>
                <w:rFonts w:ascii="Arial" w:eastAsia="Times New Roman" w:hAnsi="Arial" w:cs="Arial"/>
                <w:b/>
                <w:bCs/>
                <w:color w:val="000000"/>
                <w:sz w:val="17"/>
                <w:szCs w:val="17"/>
              </w:rPr>
              <w:t>1.</w:t>
            </w:r>
            <w:r w:rsidR="005504D0">
              <w:rPr>
                <w:rFonts w:ascii="Arial" w:eastAsia="Times New Roman" w:hAnsi="Arial" w:cs="Arial"/>
                <w:b/>
                <w:bCs/>
                <w:color w:val="000000"/>
                <w:sz w:val="17"/>
                <w:szCs w:val="17"/>
              </w:rPr>
              <w:t>317.665</w:t>
            </w:r>
          </w:p>
        </w:tc>
        <w:tc>
          <w:tcPr>
            <w:tcW w:w="619" w:type="pct"/>
            <w:tcBorders>
              <w:top w:val="nil"/>
              <w:left w:val="nil"/>
              <w:bottom w:val="single" w:sz="12" w:space="0" w:color="auto"/>
              <w:right w:val="nil"/>
            </w:tcBorders>
            <w:shd w:val="clear" w:color="auto" w:fill="auto"/>
            <w:vAlign w:val="bottom"/>
          </w:tcPr>
          <w:p w14:paraId="2A3DE22F" w14:textId="36A66E99" w:rsidR="00E159D9" w:rsidRPr="00A96B0F" w:rsidRDefault="005504D0" w:rsidP="00E159D9">
            <w:pPr>
              <w:tabs>
                <w:tab w:val="right" w:pos="1202"/>
              </w:tabs>
              <w:suppressAutoHyphens/>
              <w:autoSpaceDN w:val="0"/>
              <w:jc w:val="right"/>
              <w:outlineLvl w:val="0"/>
              <w:rPr>
                <w:rFonts w:ascii="Arial" w:eastAsia="Times New Roman" w:hAnsi="Arial" w:cs="Arial"/>
                <w:b/>
                <w:bCs/>
                <w:color w:val="000000"/>
                <w:sz w:val="17"/>
                <w:szCs w:val="17"/>
              </w:rPr>
            </w:pPr>
            <w:r>
              <w:rPr>
                <w:rFonts w:ascii="Arial" w:eastAsia="Times New Roman" w:hAnsi="Arial" w:cs="Arial"/>
                <w:b/>
                <w:bCs/>
                <w:color w:val="000000"/>
                <w:sz w:val="17"/>
                <w:szCs w:val="17"/>
              </w:rPr>
              <w:t>2.764.001</w:t>
            </w:r>
          </w:p>
        </w:tc>
      </w:tr>
      <w:tr w:rsidR="00A1480E" w:rsidRPr="00A96B0F" w14:paraId="417DB78E" w14:textId="77777777" w:rsidTr="00DB3C77">
        <w:trPr>
          <w:trHeight w:hRule="exact" w:val="106"/>
        </w:trPr>
        <w:tc>
          <w:tcPr>
            <w:tcW w:w="1601" w:type="pct"/>
            <w:vAlign w:val="bottom"/>
          </w:tcPr>
          <w:p w14:paraId="5BCF3E68" w14:textId="77777777" w:rsidR="00A1480E" w:rsidRPr="00A96B0F" w:rsidRDefault="00A1480E" w:rsidP="00A1480E">
            <w:pPr>
              <w:tabs>
                <w:tab w:val="right" w:pos="1202"/>
              </w:tabs>
              <w:suppressAutoHyphens/>
              <w:autoSpaceDN w:val="0"/>
              <w:spacing w:line="301" w:lineRule="exact"/>
              <w:outlineLvl w:val="0"/>
              <w:rPr>
                <w:rFonts w:ascii="Arial" w:eastAsia="Times New Roman" w:hAnsi="Arial" w:cs="Arial"/>
                <w:b/>
                <w:bCs/>
                <w:color w:val="000000" w:themeColor="text1"/>
                <w:sz w:val="17"/>
                <w:szCs w:val="17"/>
              </w:rPr>
            </w:pPr>
          </w:p>
        </w:tc>
        <w:tc>
          <w:tcPr>
            <w:tcW w:w="556" w:type="pct"/>
            <w:tcBorders>
              <w:top w:val="nil"/>
              <w:left w:val="nil"/>
              <w:right w:val="nil"/>
            </w:tcBorders>
            <w:shd w:val="clear" w:color="auto" w:fill="auto"/>
            <w:vAlign w:val="bottom"/>
          </w:tcPr>
          <w:p w14:paraId="3899F6F8" w14:textId="77777777" w:rsidR="00A1480E" w:rsidRPr="00A96B0F" w:rsidRDefault="00A1480E" w:rsidP="00A1480E">
            <w:pPr>
              <w:tabs>
                <w:tab w:val="right" w:pos="1202"/>
              </w:tabs>
              <w:suppressAutoHyphens/>
              <w:autoSpaceDN w:val="0"/>
              <w:spacing w:line="301" w:lineRule="exact"/>
              <w:outlineLvl w:val="0"/>
              <w:rPr>
                <w:rFonts w:ascii="Arial" w:eastAsia="Times New Roman" w:hAnsi="Arial" w:cs="Arial"/>
                <w:b/>
                <w:bCs/>
                <w:color w:val="000000" w:themeColor="text1"/>
                <w:sz w:val="17"/>
                <w:szCs w:val="17"/>
              </w:rPr>
            </w:pPr>
          </w:p>
        </w:tc>
        <w:tc>
          <w:tcPr>
            <w:tcW w:w="555" w:type="pct"/>
            <w:tcBorders>
              <w:top w:val="nil"/>
              <w:left w:val="nil"/>
              <w:right w:val="nil"/>
            </w:tcBorders>
            <w:shd w:val="clear" w:color="auto" w:fill="auto"/>
            <w:vAlign w:val="bottom"/>
          </w:tcPr>
          <w:p w14:paraId="05A4641C" w14:textId="77777777" w:rsidR="00A1480E" w:rsidRPr="00A96B0F" w:rsidRDefault="00A1480E" w:rsidP="00A1480E">
            <w:pPr>
              <w:tabs>
                <w:tab w:val="right" w:pos="1202"/>
              </w:tabs>
              <w:suppressAutoHyphens/>
              <w:autoSpaceDN w:val="0"/>
              <w:spacing w:line="301" w:lineRule="exact"/>
              <w:outlineLvl w:val="0"/>
              <w:rPr>
                <w:rFonts w:ascii="Arial" w:eastAsia="Times New Roman" w:hAnsi="Arial" w:cs="Arial"/>
                <w:b/>
                <w:bCs/>
                <w:color w:val="000000" w:themeColor="text1"/>
                <w:sz w:val="17"/>
                <w:szCs w:val="17"/>
              </w:rPr>
            </w:pPr>
          </w:p>
        </w:tc>
        <w:tc>
          <w:tcPr>
            <w:tcW w:w="556" w:type="pct"/>
            <w:tcBorders>
              <w:top w:val="nil"/>
              <w:left w:val="nil"/>
              <w:right w:val="nil"/>
            </w:tcBorders>
            <w:shd w:val="clear" w:color="auto" w:fill="auto"/>
            <w:vAlign w:val="bottom"/>
          </w:tcPr>
          <w:p w14:paraId="0EA13BC0" w14:textId="77777777" w:rsidR="00A1480E" w:rsidRPr="00A96B0F" w:rsidRDefault="00A1480E" w:rsidP="00A1480E">
            <w:pPr>
              <w:tabs>
                <w:tab w:val="right" w:pos="1202"/>
              </w:tabs>
              <w:suppressAutoHyphens/>
              <w:autoSpaceDN w:val="0"/>
              <w:spacing w:line="301" w:lineRule="exact"/>
              <w:outlineLvl w:val="0"/>
              <w:rPr>
                <w:rFonts w:ascii="Arial" w:eastAsia="Times New Roman" w:hAnsi="Arial" w:cs="Arial"/>
                <w:b/>
                <w:bCs/>
                <w:color w:val="000000" w:themeColor="text1"/>
                <w:sz w:val="17"/>
                <w:szCs w:val="17"/>
              </w:rPr>
            </w:pPr>
          </w:p>
        </w:tc>
        <w:tc>
          <w:tcPr>
            <w:tcW w:w="556" w:type="pct"/>
            <w:tcBorders>
              <w:top w:val="nil"/>
              <w:left w:val="nil"/>
              <w:right w:val="nil"/>
            </w:tcBorders>
            <w:shd w:val="clear" w:color="auto" w:fill="auto"/>
            <w:vAlign w:val="bottom"/>
          </w:tcPr>
          <w:p w14:paraId="5A7DE35B" w14:textId="77777777" w:rsidR="00A1480E" w:rsidRPr="00A96B0F" w:rsidRDefault="00A1480E" w:rsidP="00A1480E">
            <w:pPr>
              <w:tabs>
                <w:tab w:val="right" w:pos="1202"/>
              </w:tabs>
              <w:suppressAutoHyphens/>
              <w:autoSpaceDN w:val="0"/>
              <w:spacing w:line="301" w:lineRule="exact"/>
              <w:outlineLvl w:val="0"/>
              <w:rPr>
                <w:rFonts w:ascii="Arial" w:eastAsia="Times New Roman" w:hAnsi="Arial" w:cs="Arial"/>
                <w:b/>
                <w:bCs/>
                <w:color w:val="000000" w:themeColor="text1"/>
                <w:sz w:val="17"/>
                <w:szCs w:val="17"/>
              </w:rPr>
            </w:pPr>
          </w:p>
        </w:tc>
        <w:tc>
          <w:tcPr>
            <w:tcW w:w="556" w:type="pct"/>
            <w:tcBorders>
              <w:top w:val="nil"/>
              <w:left w:val="nil"/>
              <w:right w:val="nil"/>
            </w:tcBorders>
            <w:shd w:val="clear" w:color="auto" w:fill="auto"/>
            <w:vAlign w:val="bottom"/>
          </w:tcPr>
          <w:p w14:paraId="2A87F326" w14:textId="77777777" w:rsidR="00A1480E" w:rsidRPr="00A96B0F" w:rsidRDefault="00A1480E" w:rsidP="00A1480E">
            <w:pPr>
              <w:tabs>
                <w:tab w:val="right" w:pos="1202"/>
              </w:tabs>
              <w:suppressAutoHyphens/>
              <w:autoSpaceDN w:val="0"/>
              <w:spacing w:line="301" w:lineRule="exact"/>
              <w:outlineLvl w:val="0"/>
              <w:rPr>
                <w:rFonts w:ascii="Arial" w:eastAsia="Times New Roman" w:hAnsi="Arial" w:cs="Arial"/>
                <w:b/>
                <w:bCs/>
                <w:color w:val="000000" w:themeColor="text1"/>
                <w:sz w:val="17"/>
                <w:szCs w:val="17"/>
              </w:rPr>
            </w:pPr>
          </w:p>
        </w:tc>
        <w:tc>
          <w:tcPr>
            <w:tcW w:w="619" w:type="pct"/>
            <w:tcBorders>
              <w:top w:val="nil"/>
              <w:left w:val="nil"/>
              <w:right w:val="nil"/>
            </w:tcBorders>
            <w:shd w:val="clear" w:color="auto" w:fill="auto"/>
            <w:vAlign w:val="bottom"/>
          </w:tcPr>
          <w:p w14:paraId="3C87D185" w14:textId="77777777" w:rsidR="00A1480E" w:rsidRPr="00A96B0F" w:rsidRDefault="00A1480E" w:rsidP="00A1480E">
            <w:pPr>
              <w:tabs>
                <w:tab w:val="right" w:pos="1202"/>
              </w:tabs>
              <w:suppressAutoHyphens/>
              <w:autoSpaceDN w:val="0"/>
              <w:spacing w:line="301" w:lineRule="exact"/>
              <w:outlineLvl w:val="0"/>
              <w:rPr>
                <w:rFonts w:ascii="Arial" w:eastAsia="Times New Roman" w:hAnsi="Arial" w:cs="Arial"/>
                <w:b/>
                <w:bCs/>
                <w:color w:val="000000" w:themeColor="text1"/>
                <w:sz w:val="17"/>
                <w:szCs w:val="17"/>
              </w:rPr>
            </w:pPr>
          </w:p>
        </w:tc>
      </w:tr>
      <w:tr w:rsidR="00A1480E" w:rsidRPr="00A96B0F" w14:paraId="7F0AE633" w14:textId="77777777" w:rsidTr="00DB3C77">
        <w:trPr>
          <w:trHeight w:val="170"/>
        </w:trPr>
        <w:tc>
          <w:tcPr>
            <w:tcW w:w="1601" w:type="pct"/>
            <w:tcBorders>
              <w:top w:val="nil"/>
              <w:left w:val="nil"/>
              <w:bottom w:val="nil"/>
              <w:right w:val="nil"/>
            </w:tcBorders>
            <w:shd w:val="clear" w:color="auto" w:fill="auto"/>
            <w:vAlign w:val="bottom"/>
          </w:tcPr>
          <w:p w14:paraId="0EF78D11" w14:textId="77777777" w:rsidR="00A1480E" w:rsidRPr="00A96B0F" w:rsidRDefault="00A1480E" w:rsidP="00A1480E">
            <w:pPr>
              <w:tabs>
                <w:tab w:val="right" w:pos="1202"/>
              </w:tabs>
              <w:suppressAutoHyphens/>
              <w:autoSpaceDN w:val="0"/>
              <w:spacing w:line="301" w:lineRule="exact"/>
              <w:outlineLvl w:val="0"/>
              <w:rPr>
                <w:rFonts w:ascii="Arial" w:eastAsia="Times New Roman" w:hAnsi="Arial" w:cs="Arial"/>
                <w:b/>
                <w:bCs/>
                <w:color w:val="000000" w:themeColor="text1"/>
                <w:sz w:val="17"/>
                <w:szCs w:val="17"/>
              </w:rPr>
            </w:pPr>
            <w:bookmarkStart w:id="849" w:name="_Toc67330319"/>
            <w:r w:rsidRPr="00A96B0F">
              <w:rPr>
                <w:rFonts w:ascii="Arial" w:eastAsia="Times New Roman" w:hAnsi="Arial" w:cs="Arial"/>
                <w:b/>
                <w:bCs/>
                <w:color w:val="000000" w:themeColor="text1"/>
                <w:sz w:val="17"/>
                <w:szCs w:val="17"/>
              </w:rPr>
              <w:t>Garancije i preuzete obveze</w:t>
            </w:r>
            <w:bookmarkEnd w:id="849"/>
          </w:p>
        </w:tc>
        <w:tc>
          <w:tcPr>
            <w:tcW w:w="556" w:type="pct"/>
            <w:tcBorders>
              <w:top w:val="nil"/>
              <w:left w:val="nil"/>
              <w:bottom w:val="nil"/>
              <w:right w:val="nil"/>
            </w:tcBorders>
            <w:shd w:val="clear" w:color="auto" w:fill="auto"/>
            <w:vAlign w:val="bottom"/>
          </w:tcPr>
          <w:p w14:paraId="49EB8DC8" w14:textId="77777777" w:rsidR="00A1480E" w:rsidRPr="00A96B0F" w:rsidRDefault="00A1480E" w:rsidP="00A1480E">
            <w:pPr>
              <w:tabs>
                <w:tab w:val="right" w:pos="1202"/>
              </w:tabs>
              <w:suppressAutoHyphens/>
              <w:autoSpaceDN w:val="0"/>
              <w:spacing w:line="301" w:lineRule="exact"/>
              <w:outlineLvl w:val="0"/>
              <w:rPr>
                <w:rFonts w:ascii="Arial" w:eastAsia="Times New Roman" w:hAnsi="Arial" w:cs="Arial"/>
                <w:b/>
                <w:bCs/>
                <w:color w:val="000000" w:themeColor="text1"/>
                <w:sz w:val="17"/>
                <w:szCs w:val="17"/>
              </w:rPr>
            </w:pPr>
          </w:p>
        </w:tc>
        <w:tc>
          <w:tcPr>
            <w:tcW w:w="555" w:type="pct"/>
            <w:tcBorders>
              <w:top w:val="nil"/>
              <w:left w:val="nil"/>
              <w:bottom w:val="nil"/>
              <w:right w:val="nil"/>
            </w:tcBorders>
            <w:shd w:val="clear" w:color="auto" w:fill="auto"/>
            <w:vAlign w:val="bottom"/>
          </w:tcPr>
          <w:p w14:paraId="6CAB0BDE" w14:textId="77777777" w:rsidR="00A1480E" w:rsidRPr="00A96B0F" w:rsidRDefault="00A1480E" w:rsidP="00A1480E">
            <w:pPr>
              <w:tabs>
                <w:tab w:val="right" w:pos="1202"/>
              </w:tabs>
              <w:suppressAutoHyphens/>
              <w:autoSpaceDN w:val="0"/>
              <w:spacing w:line="301" w:lineRule="exact"/>
              <w:outlineLvl w:val="0"/>
              <w:rPr>
                <w:rFonts w:ascii="Arial" w:eastAsia="Times New Roman" w:hAnsi="Arial" w:cs="Arial"/>
                <w:b/>
                <w:bCs/>
                <w:color w:val="000000" w:themeColor="text1"/>
                <w:sz w:val="17"/>
                <w:szCs w:val="17"/>
              </w:rPr>
            </w:pPr>
          </w:p>
        </w:tc>
        <w:tc>
          <w:tcPr>
            <w:tcW w:w="556" w:type="pct"/>
            <w:tcBorders>
              <w:top w:val="nil"/>
              <w:left w:val="nil"/>
              <w:bottom w:val="nil"/>
              <w:right w:val="nil"/>
            </w:tcBorders>
            <w:shd w:val="clear" w:color="auto" w:fill="auto"/>
            <w:vAlign w:val="bottom"/>
          </w:tcPr>
          <w:p w14:paraId="78F33829" w14:textId="77777777" w:rsidR="00A1480E" w:rsidRPr="00A96B0F" w:rsidRDefault="00A1480E" w:rsidP="00A1480E">
            <w:pPr>
              <w:tabs>
                <w:tab w:val="right" w:pos="1202"/>
              </w:tabs>
              <w:suppressAutoHyphens/>
              <w:autoSpaceDN w:val="0"/>
              <w:spacing w:line="301" w:lineRule="exact"/>
              <w:outlineLvl w:val="0"/>
              <w:rPr>
                <w:rFonts w:ascii="Arial" w:eastAsia="Times New Roman" w:hAnsi="Arial" w:cs="Arial"/>
                <w:b/>
                <w:bCs/>
                <w:color w:val="000000" w:themeColor="text1"/>
                <w:sz w:val="17"/>
                <w:szCs w:val="17"/>
              </w:rPr>
            </w:pPr>
          </w:p>
        </w:tc>
        <w:tc>
          <w:tcPr>
            <w:tcW w:w="556" w:type="pct"/>
            <w:tcBorders>
              <w:top w:val="nil"/>
              <w:left w:val="nil"/>
              <w:bottom w:val="nil"/>
              <w:right w:val="nil"/>
            </w:tcBorders>
            <w:shd w:val="clear" w:color="auto" w:fill="auto"/>
            <w:vAlign w:val="bottom"/>
          </w:tcPr>
          <w:p w14:paraId="25BE681E" w14:textId="77777777" w:rsidR="00A1480E" w:rsidRPr="00A96B0F" w:rsidRDefault="00A1480E" w:rsidP="00A1480E">
            <w:pPr>
              <w:tabs>
                <w:tab w:val="right" w:pos="1202"/>
              </w:tabs>
              <w:suppressAutoHyphens/>
              <w:autoSpaceDN w:val="0"/>
              <w:spacing w:line="301" w:lineRule="exact"/>
              <w:outlineLvl w:val="0"/>
              <w:rPr>
                <w:rFonts w:ascii="Arial" w:eastAsia="Times New Roman" w:hAnsi="Arial" w:cs="Arial"/>
                <w:b/>
                <w:bCs/>
                <w:color w:val="000000" w:themeColor="text1"/>
                <w:sz w:val="17"/>
                <w:szCs w:val="17"/>
              </w:rPr>
            </w:pPr>
          </w:p>
        </w:tc>
        <w:tc>
          <w:tcPr>
            <w:tcW w:w="556" w:type="pct"/>
            <w:tcBorders>
              <w:top w:val="nil"/>
              <w:left w:val="nil"/>
              <w:bottom w:val="nil"/>
              <w:right w:val="nil"/>
            </w:tcBorders>
            <w:shd w:val="clear" w:color="auto" w:fill="auto"/>
            <w:vAlign w:val="bottom"/>
          </w:tcPr>
          <w:p w14:paraId="14AD1E0B" w14:textId="77777777" w:rsidR="00A1480E" w:rsidRPr="00A96B0F" w:rsidRDefault="00A1480E" w:rsidP="00A1480E">
            <w:pPr>
              <w:tabs>
                <w:tab w:val="right" w:pos="1202"/>
              </w:tabs>
              <w:suppressAutoHyphens/>
              <w:autoSpaceDN w:val="0"/>
              <w:spacing w:line="301" w:lineRule="exact"/>
              <w:outlineLvl w:val="0"/>
              <w:rPr>
                <w:rFonts w:ascii="Arial" w:eastAsia="Times New Roman" w:hAnsi="Arial" w:cs="Arial"/>
                <w:b/>
                <w:bCs/>
                <w:color w:val="000000" w:themeColor="text1"/>
                <w:sz w:val="17"/>
                <w:szCs w:val="17"/>
              </w:rPr>
            </w:pPr>
          </w:p>
        </w:tc>
        <w:tc>
          <w:tcPr>
            <w:tcW w:w="619" w:type="pct"/>
            <w:tcBorders>
              <w:top w:val="nil"/>
              <w:left w:val="nil"/>
              <w:bottom w:val="nil"/>
              <w:right w:val="nil"/>
            </w:tcBorders>
            <w:shd w:val="clear" w:color="auto" w:fill="auto"/>
            <w:vAlign w:val="bottom"/>
          </w:tcPr>
          <w:p w14:paraId="506648FD" w14:textId="77777777" w:rsidR="00A1480E" w:rsidRPr="00A96B0F" w:rsidRDefault="00A1480E" w:rsidP="00A1480E">
            <w:pPr>
              <w:tabs>
                <w:tab w:val="right" w:pos="1202"/>
              </w:tabs>
              <w:suppressAutoHyphens/>
              <w:autoSpaceDN w:val="0"/>
              <w:spacing w:line="301" w:lineRule="exact"/>
              <w:outlineLvl w:val="0"/>
              <w:rPr>
                <w:rFonts w:ascii="Arial" w:eastAsia="Times New Roman" w:hAnsi="Arial" w:cs="Arial"/>
                <w:b/>
                <w:bCs/>
                <w:color w:val="000000" w:themeColor="text1"/>
                <w:sz w:val="17"/>
                <w:szCs w:val="17"/>
              </w:rPr>
            </w:pPr>
          </w:p>
        </w:tc>
      </w:tr>
      <w:tr w:rsidR="008F4081" w:rsidRPr="00A96B0F" w14:paraId="35B89B23" w14:textId="77777777" w:rsidTr="00DB3C77">
        <w:trPr>
          <w:trHeight w:hRule="exact" w:val="213"/>
        </w:trPr>
        <w:tc>
          <w:tcPr>
            <w:tcW w:w="1601" w:type="pct"/>
            <w:tcBorders>
              <w:top w:val="nil"/>
              <w:left w:val="nil"/>
              <w:bottom w:val="nil"/>
              <w:right w:val="nil"/>
            </w:tcBorders>
            <w:shd w:val="clear" w:color="auto" w:fill="auto"/>
            <w:vAlign w:val="bottom"/>
          </w:tcPr>
          <w:p w14:paraId="602E3FFE" w14:textId="77777777" w:rsidR="008F4081" w:rsidRPr="00A96B0F" w:rsidRDefault="008F4081" w:rsidP="008F4081">
            <w:pPr>
              <w:tabs>
                <w:tab w:val="right" w:pos="1202"/>
              </w:tabs>
              <w:suppressAutoHyphens/>
              <w:autoSpaceDN w:val="0"/>
              <w:spacing w:line="240" w:lineRule="exact"/>
              <w:outlineLvl w:val="0"/>
              <w:rPr>
                <w:rFonts w:ascii="Arial" w:eastAsia="Calibri" w:hAnsi="Arial" w:cs="Arial"/>
                <w:color w:val="000000" w:themeColor="text1"/>
                <w:spacing w:val="-2"/>
                <w:sz w:val="17"/>
                <w:szCs w:val="17"/>
              </w:rPr>
            </w:pPr>
            <w:bookmarkStart w:id="850" w:name="_Toc67330320"/>
            <w:r w:rsidRPr="00A96B0F">
              <w:rPr>
                <w:rFonts w:ascii="Arial" w:eastAsia="Calibri" w:hAnsi="Arial" w:cs="Arial"/>
                <w:color w:val="000000" w:themeColor="text1"/>
                <w:spacing w:val="-2"/>
                <w:sz w:val="17"/>
                <w:szCs w:val="17"/>
              </w:rPr>
              <w:t xml:space="preserve">Izdane garancije </w:t>
            </w:r>
            <w:bookmarkEnd w:id="850"/>
          </w:p>
        </w:tc>
        <w:tc>
          <w:tcPr>
            <w:tcW w:w="556" w:type="pct"/>
            <w:tcBorders>
              <w:top w:val="nil"/>
              <w:left w:val="nil"/>
              <w:bottom w:val="nil"/>
              <w:right w:val="nil"/>
            </w:tcBorders>
            <w:shd w:val="clear" w:color="auto" w:fill="auto"/>
            <w:vAlign w:val="bottom"/>
          </w:tcPr>
          <w:p w14:paraId="6959CAB6" w14:textId="790A50AF" w:rsidR="008F4081" w:rsidRPr="00A96B0F" w:rsidRDefault="008F4081" w:rsidP="008F4081">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Pr>
                <w:rFonts w:ascii="Arial" w:eastAsia="Calibri" w:hAnsi="Arial" w:cs="Arial"/>
                <w:color w:val="000000" w:themeColor="text1"/>
                <w:spacing w:val="-2"/>
                <w:sz w:val="17"/>
                <w:szCs w:val="17"/>
              </w:rPr>
              <w:t>49.891</w:t>
            </w:r>
          </w:p>
        </w:tc>
        <w:tc>
          <w:tcPr>
            <w:tcW w:w="555" w:type="pct"/>
            <w:tcBorders>
              <w:top w:val="nil"/>
              <w:left w:val="nil"/>
              <w:bottom w:val="nil"/>
              <w:right w:val="nil"/>
            </w:tcBorders>
            <w:shd w:val="clear" w:color="auto" w:fill="auto"/>
            <w:vAlign w:val="bottom"/>
          </w:tcPr>
          <w:p w14:paraId="34C2A759" w14:textId="1BC6364C" w:rsidR="008F4081" w:rsidRPr="00A96B0F" w:rsidRDefault="008F4081" w:rsidP="008F4081">
            <w:pPr>
              <w:suppressAutoHyphens/>
              <w:autoSpaceDN w:val="0"/>
              <w:jc w:val="right"/>
              <w:rPr>
                <w:rFonts w:ascii="Arial" w:eastAsia="Calibri" w:hAnsi="Arial" w:cs="Arial"/>
                <w:color w:val="000000" w:themeColor="text1"/>
                <w:spacing w:val="-2"/>
                <w:sz w:val="17"/>
                <w:szCs w:val="17"/>
              </w:rPr>
            </w:pPr>
            <w:r>
              <w:rPr>
                <w:rFonts w:ascii="Arial" w:eastAsia="Calibri" w:hAnsi="Arial" w:cs="Arial"/>
                <w:color w:val="000000" w:themeColor="text1"/>
                <w:spacing w:val="-2"/>
                <w:sz w:val="17"/>
                <w:szCs w:val="17"/>
              </w:rPr>
              <w:t>-</w:t>
            </w:r>
          </w:p>
        </w:tc>
        <w:tc>
          <w:tcPr>
            <w:tcW w:w="556" w:type="pct"/>
            <w:tcBorders>
              <w:top w:val="nil"/>
              <w:left w:val="nil"/>
              <w:bottom w:val="nil"/>
              <w:right w:val="nil"/>
            </w:tcBorders>
            <w:shd w:val="clear" w:color="auto" w:fill="auto"/>
            <w:vAlign w:val="bottom"/>
          </w:tcPr>
          <w:p w14:paraId="2A9AC525" w14:textId="1E1DCAAB" w:rsidR="008F4081" w:rsidRPr="00A96B0F" w:rsidRDefault="008F4081" w:rsidP="008F4081">
            <w:pPr>
              <w:suppressAutoHyphens/>
              <w:autoSpaceDN w:val="0"/>
              <w:jc w:val="right"/>
              <w:rPr>
                <w:rFonts w:ascii="Arial" w:eastAsia="Calibri" w:hAnsi="Arial" w:cs="Arial"/>
                <w:color w:val="000000" w:themeColor="text1"/>
                <w:spacing w:val="-2"/>
                <w:sz w:val="17"/>
                <w:szCs w:val="17"/>
              </w:rPr>
            </w:pPr>
            <w:r>
              <w:rPr>
                <w:rFonts w:ascii="Arial" w:eastAsia="Calibri" w:hAnsi="Arial" w:cs="Arial"/>
                <w:color w:val="000000" w:themeColor="text1"/>
                <w:spacing w:val="-2"/>
                <w:sz w:val="17"/>
                <w:szCs w:val="17"/>
              </w:rPr>
              <w:t>-</w:t>
            </w:r>
          </w:p>
        </w:tc>
        <w:tc>
          <w:tcPr>
            <w:tcW w:w="556" w:type="pct"/>
            <w:tcBorders>
              <w:top w:val="nil"/>
              <w:left w:val="nil"/>
              <w:bottom w:val="nil"/>
              <w:right w:val="nil"/>
            </w:tcBorders>
            <w:shd w:val="clear" w:color="auto" w:fill="auto"/>
            <w:vAlign w:val="bottom"/>
          </w:tcPr>
          <w:p w14:paraId="0E89DEAE" w14:textId="77F4B96A" w:rsidR="008F4081" w:rsidRPr="00A96B0F" w:rsidRDefault="008F4081" w:rsidP="008F4081">
            <w:pPr>
              <w:suppressAutoHyphens/>
              <w:autoSpaceDN w:val="0"/>
              <w:jc w:val="right"/>
              <w:rPr>
                <w:rFonts w:ascii="Arial" w:eastAsia="Calibri" w:hAnsi="Arial" w:cs="Arial"/>
                <w:color w:val="000000" w:themeColor="text1"/>
                <w:spacing w:val="-2"/>
                <w:sz w:val="17"/>
                <w:szCs w:val="17"/>
              </w:rPr>
            </w:pPr>
            <w:r>
              <w:rPr>
                <w:rFonts w:ascii="Arial" w:eastAsia="Calibri" w:hAnsi="Arial" w:cs="Arial"/>
                <w:color w:val="000000" w:themeColor="text1"/>
                <w:spacing w:val="-2"/>
                <w:sz w:val="17"/>
                <w:szCs w:val="17"/>
              </w:rPr>
              <w:t>-</w:t>
            </w:r>
          </w:p>
        </w:tc>
        <w:tc>
          <w:tcPr>
            <w:tcW w:w="556" w:type="pct"/>
            <w:tcBorders>
              <w:top w:val="nil"/>
              <w:left w:val="nil"/>
              <w:bottom w:val="nil"/>
              <w:right w:val="nil"/>
            </w:tcBorders>
            <w:shd w:val="clear" w:color="auto" w:fill="auto"/>
            <w:vAlign w:val="bottom"/>
          </w:tcPr>
          <w:p w14:paraId="5A308291" w14:textId="027A19AA" w:rsidR="008F4081" w:rsidRPr="00A96B0F" w:rsidRDefault="008F4081" w:rsidP="008F4081">
            <w:pPr>
              <w:suppressAutoHyphens/>
              <w:autoSpaceDN w:val="0"/>
              <w:jc w:val="right"/>
              <w:rPr>
                <w:rFonts w:ascii="Arial" w:eastAsia="Calibri" w:hAnsi="Arial" w:cs="Arial"/>
                <w:color w:val="000000" w:themeColor="text1"/>
                <w:spacing w:val="-2"/>
                <w:sz w:val="17"/>
                <w:szCs w:val="17"/>
              </w:rPr>
            </w:pPr>
            <w:r>
              <w:rPr>
                <w:rFonts w:ascii="Arial" w:eastAsia="Calibri" w:hAnsi="Arial" w:cs="Arial"/>
                <w:color w:val="000000" w:themeColor="text1"/>
                <w:spacing w:val="-2"/>
                <w:sz w:val="17"/>
                <w:szCs w:val="17"/>
              </w:rPr>
              <w:t>-</w:t>
            </w:r>
          </w:p>
        </w:tc>
        <w:tc>
          <w:tcPr>
            <w:tcW w:w="619" w:type="pct"/>
            <w:tcBorders>
              <w:top w:val="nil"/>
              <w:left w:val="nil"/>
              <w:bottom w:val="nil"/>
              <w:right w:val="nil"/>
            </w:tcBorders>
            <w:shd w:val="clear" w:color="auto" w:fill="auto"/>
            <w:vAlign w:val="bottom"/>
          </w:tcPr>
          <w:p w14:paraId="120DC7D9" w14:textId="21372F81" w:rsidR="008F4081" w:rsidRPr="00A96B0F" w:rsidRDefault="008F4081" w:rsidP="008F4081">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Pr>
                <w:rFonts w:ascii="Arial" w:eastAsia="Calibri" w:hAnsi="Arial" w:cs="Arial"/>
                <w:color w:val="000000" w:themeColor="text1"/>
                <w:spacing w:val="-2"/>
                <w:sz w:val="17"/>
                <w:szCs w:val="17"/>
              </w:rPr>
              <w:t>49.891</w:t>
            </w:r>
          </w:p>
        </w:tc>
      </w:tr>
      <w:tr w:rsidR="008F4081" w:rsidRPr="00A96B0F" w14:paraId="60BC74D1" w14:textId="77777777" w:rsidTr="00DB3C77">
        <w:trPr>
          <w:trHeight w:hRule="exact" w:val="213"/>
        </w:trPr>
        <w:tc>
          <w:tcPr>
            <w:tcW w:w="1601" w:type="pct"/>
            <w:tcBorders>
              <w:top w:val="nil"/>
              <w:left w:val="nil"/>
              <w:bottom w:val="nil"/>
              <w:right w:val="nil"/>
            </w:tcBorders>
            <w:shd w:val="clear" w:color="auto" w:fill="auto"/>
            <w:vAlign w:val="bottom"/>
          </w:tcPr>
          <w:p w14:paraId="06245640" w14:textId="77777777" w:rsidR="008F4081" w:rsidRPr="00A96B0F" w:rsidRDefault="008F4081" w:rsidP="008F4081">
            <w:pPr>
              <w:tabs>
                <w:tab w:val="right" w:pos="1202"/>
              </w:tabs>
              <w:suppressAutoHyphens/>
              <w:autoSpaceDN w:val="0"/>
              <w:spacing w:line="240" w:lineRule="exact"/>
              <w:outlineLvl w:val="0"/>
              <w:rPr>
                <w:rFonts w:ascii="Arial" w:eastAsia="Calibri" w:hAnsi="Arial" w:cs="Arial"/>
                <w:color w:val="000000" w:themeColor="text1"/>
                <w:spacing w:val="-2"/>
                <w:sz w:val="17"/>
                <w:szCs w:val="17"/>
              </w:rPr>
            </w:pPr>
            <w:bookmarkStart w:id="851" w:name="_Toc67330323"/>
            <w:r w:rsidRPr="00A96B0F">
              <w:rPr>
                <w:rFonts w:ascii="Arial" w:eastAsia="Calibri" w:hAnsi="Arial" w:cs="Arial"/>
                <w:color w:val="000000" w:themeColor="text1"/>
                <w:spacing w:val="-2"/>
                <w:sz w:val="17"/>
                <w:szCs w:val="17"/>
              </w:rPr>
              <w:t>Izdane garancije u devizama</w:t>
            </w:r>
            <w:bookmarkEnd w:id="851"/>
          </w:p>
        </w:tc>
        <w:tc>
          <w:tcPr>
            <w:tcW w:w="556" w:type="pct"/>
            <w:tcBorders>
              <w:top w:val="nil"/>
              <w:left w:val="nil"/>
              <w:bottom w:val="nil"/>
              <w:right w:val="nil"/>
            </w:tcBorders>
            <w:shd w:val="clear" w:color="auto" w:fill="auto"/>
            <w:vAlign w:val="bottom"/>
          </w:tcPr>
          <w:p w14:paraId="3B0D8222" w14:textId="5D2629CD" w:rsidR="008F4081" w:rsidRPr="00A96B0F" w:rsidRDefault="008F4081" w:rsidP="008F4081">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Pr>
                <w:rFonts w:ascii="Arial" w:eastAsia="Calibri" w:hAnsi="Arial" w:cs="Arial"/>
                <w:color w:val="000000" w:themeColor="text1"/>
                <w:spacing w:val="-2"/>
                <w:sz w:val="17"/>
                <w:szCs w:val="17"/>
              </w:rPr>
              <w:t>4.892</w:t>
            </w:r>
          </w:p>
        </w:tc>
        <w:tc>
          <w:tcPr>
            <w:tcW w:w="555" w:type="pct"/>
            <w:tcBorders>
              <w:top w:val="nil"/>
              <w:left w:val="nil"/>
              <w:bottom w:val="nil"/>
              <w:right w:val="nil"/>
            </w:tcBorders>
            <w:shd w:val="clear" w:color="auto" w:fill="auto"/>
            <w:vAlign w:val="bottom"/>
          </w:tcPr>
          <w:p w14:paraId="104624A0" w14:textId="1C1E8853" w:rsidR="008F4081" w:rsidRPr="00A96B0F" w:rsidRDefault="008F4081" w:rsidP="008F4081">
            <w:pPr>
              <w:suppressAutoHyphens/>
              <w:autoSpaceDN w:val="0"/>
              <w:jc w:val="right"/>
              <w:rPr>
                <w:rFonts w:ascii="Arial" w:eastAsia="Calibri" w:hAnsi="Arial" w:cs="Arial"/>
                <w:color w:val="000000" w:themeColor="text1"/>
                <w:spacing w:val="-2"/>
                <w:sz w:val="17"/>
                <w:szCs w:val="17"/>
              </w:rPr>
            </w:pPr>
            <w:r>
              <w:rPr>
                <w:rFonts w:ascii="Arial" w:eastAsia="Calibri" w:hAnsi="Arial" w:cs="Arial"/>
                <w:color w:val="000000" w:themeColor="text1"/>
                <w:spacing w:val="-2"/>
                <w:sz w:val="17"/>
                <w:szCs w:val="17"/>
              </w:rPr>
              <w:t>-</w:t>
            </w:r>
          </w:p>
        </w:tc>
        <w:tc>
          <w:tcPr>
            <w:tcW w:w="556" w:type="pct"/>
            <w:tcBorders>
              <w:top w:val="nil"/>
              <w:left w:val="nil"/>
              <w:bottom w:val="nil"/>
              <w:right w:val="nil"/>
            </w:tcBorders>
            <w:shd w:val="clear" w:color="auto" w:fill="auto"/>
            <w:vAlign w:val="bottom"/>
          </w:tcPr>
          <w:p w14:paraId="6DF7D288" w14:textId="5A608C60" w:rsidR="008F4081" w:rsidRPr="00A96B0F" w:rsidRDefault="008F4081" w:rsidP="008F4081">
            <w:pPr>
              <w:suppressAutoHyphens/>
              <w:autoSpaceDN w:val="0"/>
              <w:jc w:val="right"/>
              <w:rPr>
                <w:rFonts w:ascii="Arial" w:eastAsia="Calibri" w:hAnsi="Arial" w:cs="Arial"/>
                <w:color w:val="000000" w:themeColor="text1"/>
                <w:spacing w:val="-2"/>
                <w:sz w:val="17"/>
                <w:szCs w:val="17"/>
              </w:rPr>
            </w:pPr>
            <w:r>
              <w:rPr>
                <w:rFonts w:ascii="Arial" w:eastAsia="Calibri" w:hAnsi="Arial" w:cs="Arial"/>
                <w:color w:val="000000" w:themeColor="text1"/>
                <w:spacing w:val="-2"/>
                <w:sz w:val="17"/>
                <w:szCs w:val="17"/>
              </w:rPr>
              <w:t>-</w:t>
            </w:r>
          </w:p>
        </w:tc>
        <w:tc>
          <w:tcPr>
            <w:tcW w:w="556" w:type="pct"/>
            <w:tcBorders>
              <w:top w:val="nil"/>
              <w:left w:val="nil"/>
              <w:bottom w:val="nil"/>
              <w:right w:val="nil"/>
            </w:tcBorders>
            <w:shd w:val="clear" w:color="auto" w:fill="auto"/>
            <w:vAlign w:val="bottom"/>
          </w:tcPr>
          <w:p w14:paraId="5754A563" w14:textId="44F62FDE" w:rsidR="008F4081" w:rsidRPr="00A96B0F" w:rsidRDefault="008F4081" w:rsidP="008F4081">
            <w:pPr>
              <w:suppressAutoHyphens/>
              <w:autoSpaceDN w:val="0"/>
              <w:jc w:val="right"/>
              <w:rPr>
                <w:rFonts w:ascii="Arial" w:eastAsia="Calibri" w:hAnsi="Arial" w:cs="Arial"/>
                <w:color w:val="000000" w:themeColor="text1"/>
                <w:spacing w:val="-2"/>
                <w:sz w:val="17"/>
                <w:szCs w:val="17"/>
              </w:rPr>
            </w:pPr>
            <w:r>
              <w:rPr>
                <w:rFonts w:ascii="Arial" w:eastAsia="Calibri" w:hAnsi="Arial" w:cs="Arial"/>
                <w:color w:val="000000" w:themeColor="text1"/>
                <w:spacing w:val="-2"/>
                <w:sz w:val="17"/>
                <w:szCs w:val="17"/>
              </w:rPr>
              <w:t>-</w:t>
            </w:r>
          </w:p>
        </w:tc>
        <w:tc>
          <w:tcPr>
            <w:tcW w:w="556" w:type="pct"/>
            <w:tcBorders>
              <w:top w:val="nil"/>
              <w:left w:val="nil"/>
              <w:bottom w:val="nil"/>
              <w:right w:val="nil"/>
            </w:tcBorders>
            <w:shd w:val="clear" w:color="auto" w:fill="auto"/>
            <w:vAlign w:val="bottom"/>
          </w:tcPr>
          <w:p w14:paraId="6559BC13" w14:textId="33972E31" w:rsidR="008F4081" w:rsidRPr="00A96B0F" w:rsidRDefault="008F4081" w:rsidP="008F4081">
            <w:pPr>
              <w:suppressAutoHyphens/>
              <w:autoSpaceDN w:val="0"/>
              <w:jc w:val="right"/>
              <w:rPr>
                <w:rFonts w:ascii="Arial" w:eastAsia="Calibri" w:hAnsi="Arial" w:cs="Arial"/>
                <w:color w:val="000000" w:themeColor="text1"/>
                <w:spacing w:val="-2"/>
                <w:sz w:val="17"/>
                <w:szCs w:val="17"/>
              </w:rPr>
            </w:pPr>
            <w:r>
              <w:rPr>
                <w:rFonts w:ascii="Arial" w:eastAsia="Calibri" w:hAnsi="Arial" w:cs="Arial"/>
                <w:color w:val="000000" w:themeColor="text1"/>
                <w:spacing w:val="-2"/>
                <w:sz w:val="17"/>
                <w:szCs w:val="17"/>
              </w:rPr>
              <w:t>-</w:t>
            </w:r>
          </w:p>
        </w:tc>
        <w:tc>
          <w:tcPr>
            <w:tcW w:w="619" w:type="pct"/>
            <w:tcBorders>
              <w:top w:val="nil"/>
              <w:left w:val="nil"/>
              <w:bottom w:val="nil"/>
              <w:right w:val="nil"/>
            </w:tcBorders>
            <w:shd w:val="clear" w:color="auto" w:fill="auto"/>
            <w:vAlign w:val="bottom"/>
          </w:tcPr>
          <w:p w14:paraId="3E91216F" w14:textId="49D3DFC6" w:rsidR="008F4081" w:rsidRPr="00A96B0F" w:rsidRDefault="008F4081" w:rsidP="008F4081">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Pr>
                <w:rFonts w:ascii="Arial" w:eastAsia="Calibri" w:hAnsi="Arial" w:cs="Arial"/>
                <w:color w:val="000000" w:themeColor="text1"/>
                <w:spacing w:val="-2"/>
                <w:sz w:val="17"/>
                <w:szCs w:val="17"/>
              </w:rPr>
              <w:t>4.892</w:t>
            </w:r>
          </w:p>
        </w:tc>
      </w:tr>
      <w:tr w:rsidR="008F4081" w:rsidRPr="00A96B0F" w14:paraId="33F0E652" w14:textId="77777777" w:rsidTr="00DB3C77">
        <w:trPr>
          <w:trHeight w:hRule="exact" w:val="213"/>
        </w:trPr>
        <w:tc>
          <w:tcPr>
            <w:tcW w:w="1601" w:type="pct"/>
            <w:tcBorders>
              <w:top w:val="nil"/>
              <w:left w:val="nil"/>
              <w:bottom w:val="nil"/>
              <w:right w:val="nil"/>
            </w:tcBorders>
            <w:shd w:val="clear" w:color="auto" w:fill="auto"/>
            <w:vAlign w:val="bottom"/>
          </w:tcPr>
          <w:p w14:paraId="0EDE8481" w14:textId="77777777" w:rsidR="008F4081" w:rsidRPr="00A96B0F" w:rsidRDefault="008F4081" w:rsidP="008F4081">
            <w:pPr>
              <w:tabs>
                <w:tab w:val="right" w:pos="1202"/>
              </w:tabs>
              <w:suppressAutoHyphens/>
              <w:autoSpaceDN w:val="0"/>
              <w:spacing w:line="240" w:lineRule="exact"/>
              <w:outlineLvl w:val="0"/>
              <w:rPr>
                <w:rFonts w:ascii="Arial" w:eastAsia="Calibri" w:hAnsi="Arial" w:cs="Arial"/>
                <w:color w:val="000000" w:themeColor="text1"/>
                <w:spacing w:val="-2"/>
                <w:sz w:val="17"/>
                <w:szCs w:val="17"/>
              </w:rPr>
            </w:pPr>
            <w:bookmarkStart w:id="852" w:name="_Toc67330329"/>
            <w:r w:rsidRPr="00A96B0F">
              <w:rPr>
                <w:rFonts w:ascii="Arial" w:eastAsia="Calibri" w:hAnsi="Arial" w:cs="Arial"/>
                <w:color w:val="000000" w:themeColor="text1"/>
                <w:spacing w:val="-2"/>
                <w:sz w:val="17"/>
                <w:szCs w:val="17"/>
              </w:rPr>
              <w:t>Preuzete obveze po kreditima</w:t>
            </w:r>
            <w:bookmarkEnd w:id="852"/>
          </w:p>
        </w:tc>
        <w:tc>
          <w:tcPr>
            <w:tcW w:w="556" w:type="pct"/>
            <w:tcBorders>
              <w:top w:val="nil"/>
              <w:left w:val="nil"/>
              <w:bottom w:val="nil"/>
              <w:right w:val="nil"/>
            </w:tcBorders>
            <w:shd w:val="clear" w:color="auto" w:fill="auto"/>
            <w:vAlign w:val="bottom"/>
          </w:tcPr>
          <w:p w14:paraId="098E00FD" w14:textId="603C7DD4" w:rsidR="008F4081" w:rsidRPr="00A96B0F" w:rsidRDefault="008F4081" w:rsidP="008F4081">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Pr>
                <w:rFonts w:ascii="Arial" w:eastAsia="Calibri" w:hAnsi="Arial" w:cs="Arial"/>
                <w:color w:val="000000" w:themeColor="text1"/>
                <w:spacing w:val="-2"/>
                <w:sz w:val="17"/>
                <w:szCs w:val="17"/>
              </w:rPr>
              <w:t>461.919</w:t>
            </w:r>
          </w:p>
        </w:tc>
        <w:tc>
          <w:tcPr>
            <w:tcW w:w="555" w:type="pct"/>
            <w:tcBorders>
              <w:top w:val="nil"/>
              <w:left w:val="nil"/>
              <w:bottom w:val="nil"/>
              <w:right w:val="nil"/>
            </w:tcBorders>
            <w:shd w:val="clear" w:color="auto" w:fill="auto"/>
            <w:vAlign w:val="bottom"/>
          </w:tcPr>
          <w:p w14:paraId="27C89F43" w14:textId="0BB41220" w:rsidR="008F4081" w:rsidRPr="00A96B0F" w:rsidRDefault="008F4081" w:rsidP="008F4081">
            <w:pPr>
              <w:suppressAutoHyphens/>
              <w:autoSpaceDN w:val="0"/>
              <w:jc w:val="right"/>
              <w:rPr>
                <w:rFonts w:ascii="Arial" w:eastAsia="Calibri" w:hAnsi="Arial" w:cs="Arial"/>
                <w:color w:val="000000" w:themeColor="text1"/>
                <w:spacing w:val="-2"/>
                <w:sz w:val="17"/>
                <w:szCs w:val="17"/>
              </w:rPr>
            </w:pPr>
            <w:r>
              <w:rPr>
                <w:rFonts w:ascii="Arial" w:eastAsia="Calibri" w:hAnsi="Arial" w:cs="Arial"/>
                <w:color w:val="000000" w:themeColor="text1"/>
                <w:spacing w:val="-2"/>
                <w:sz w:val="17"/>
                <w:szCs w:val="17"/>
              </w:rPr>
              <w:t>-</w:t>
            </w:r>
          </w:p>
        </w:tc>
        <w:tc>
          <w:tcPr>
            <w:tcW w:w="556" w:type="pct"/>
            <w:tcBorders>
              <w:top w:val="nil"/>
              <w:left w:val="nil"/>
              <w:bottom w:val="nil"/>
              <w:right w:val="nil"/>
            </w:tcBorders>
            <w:shd w:val="clear" w:color="auto" w:fill="auto"/>
            <w:vAlign w:val="bottom"/>
          </w:tcPr>
          <w:p w14:paraId="56928D67" w14:textId="1627FC84" w:rsidR="008F4081" w:rsidRPr="00A96B0F" w:rsidRDefault="008F4081" w:rsidP="008F4081">
            <w:pPr>
              <w:suppressAutoHyphens/>
              <w:autoSpaceDN w:val="0"/>
              <w:jc w:val="right"/>
              <w:rPr>
                <w:rFonts w:ascii="Arial" w:eastAsia="Calibri" w:hAnsi="Arial" w:cs="Arial"/>
                <w:color w:val="000000" w:themeColor="text1"/>
                <w:spacing w:val="-2"/>
                <w:sz w:val="17"/>
                <w:szCs w:val="17"/>
              </w:rPr>
            </w:pPr>
            <w:r>
              <w:rPr>
                <w:rFonts w:ascii="Arial" w:eastAsia="Calibri" w:hAnsi="Arial" w:cs="Arial"/>
                <w:color w:val="000000" w:themeColor="text1"/>
                <w:spacing w:val="-2"/>
                <w:sz w:val="17"/>
                <w:szCs w:val="17"/>
              </w:rPr>
              <w:t>-</w:t>
            </w:r>
          </w:p>
        </w:tc>
        <w:tc>
          <w:tcPr>
            <w:tcW w:w="556" w:type="pct"/>
            <w:tcBorders>
              <w:top w:val="nil"/>
              <w:left w:val="nil"/>
              <w:bottom w:val="nil"/>
              <w:right w:val="nil"/>
            </w:tcBorders>
            <w:shd w:val="clear" w:color="auto" w:fill="auto"/>
            <w:vAlign w:val="bottom"/>
          </w:tcPr>
          <w:p w14:paraId="4F478DDF" w14:textId="170F11D9" w:rsidR="008F4081" w:rsidRPr="00A96B0F" w:rsidRDefault="008F4081" w:rsidP="008F4081">
            <w:pPr>
              <w:suppressAutoHyphens/>
              <w:autoSpaceDN w:val="0"/>
              <w:jc w:val="right"/>
              <w:rPr>
                <w:rFonts w:ascii="Arial" w:eastAsia="Calibri" w:hAnsi="Arial" w:cs="Arial"/>
                <w:color w:val="000000" w:themeColor="text1"/>
                <w:spacing w:val="-2"/>
                <w:sz w:val="17"/>
                <w:szCs w:val="17"/>
              </w:rPr>
            </w:pPr>
            <w:r>
              <w:rPr>
                <w:rFonts w:ascii="Arial" w:eastAsia="Calibri" w:hAnsi="Arial" w:cs="Arial"/>
                <w:color w:val="000000" w:themeColor="text1"/>
                <w:spacing w:val="-2"/>
                <w:sz w:val="17"/>
                <w:szCs w:val="17"/>
              </w:rPr>
              <w:t>-</w:t>
            </w:r>
          </w:p>
        </w:tc>
        <w:tc>
          <w:tcPr>
            <w:tcW w:w="556" w:type="pct"/>
            <w:tcBorders>
              <w:top w:val="nil"/>
              <w:left w:val="nil"/>
              <w:bottom w:val="nil"/>
              <w:right w:val="nil"/>
            </w:tcBorders>
            <w:shd w:val="clear" w:color="auto" w:fill="auto"/>
            <w:vAlign w:val="bottom"/>
          </w:tcPr>
          <w:p w14:paraId="071A7B9B" w14:textId="382C66A8" w:rsidR="008F4081" w:rsidRPr="00A96B0F" w:rsidRDefault="008F4081" w:rsidP="008F4081">
            <w:pPr>
              <w:suppressAutoHyphens/>
              <w:autoSpaceDN w:val="0"/>
              <w:jc w:val="right"/>
              <w:rPr>
                <w:rFonts w:ascii="Arial" w:eastAsia="Calibri" w:hAnsi="Arial" w:cs="Arial"/>
                <w:color w:val="000000" w:themeColor="text1"/>
                <w:spacing w:val="-2"/>
                <w:sz w:val="17"/>
                <w:szCs w:val="17"/>
              </w:rPr>
            </w:pPr>
            <w:r>
              <w:rPr>
                <w:rFonts w:ascii="Arial" w:eastAsia="Calibri" w:hAnsi="Arial" w:cs="Arial"/>
                <w:color w:val="000000" w:themeColor="text1"/>
                <w:spacing w:val="-2"/>
                <w:sz w:val="17"/>
                <w:szCs w:val="17"/>
              </w:rPr>
              <w:t>-</w:t>
            </w:r>
          </w:p>
        </w:tc>
        <w:tc>
          <w:tcPr>
            <w:tcW w:w="619" w:type="pct"/>
            <w:tcBorders>
              <w:top w:val="nil"/>
              <w:left w:val="nil"/>
              <w:bottom w:val="nil"/>
              <w:right w:val="nil"/>
            </w:tcBorders>
            <w:shd w:val="clear" w:color="auto" w:fill="auto"/>
            <w:vAlign w:val="bottom"/>
          </w:tcPr>
          <w:p w14:paraId="1E04A9C0" w14:textId="1A6B170C" w:rsidR="008F4081" w:rsidRPr="00A96B0F" w:rsidRDefault="008F4081" w:rsidP="008F4081">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Pr>
                <w:rFonts w:ascii="Arial" w:eastAsia="Calibri" w:hAnsi="Arial" w:cs="Arial"/>
                <w:color w:val="000000" w:themeColor="text1"/>
                <w:spacing w:val="-2"/>
                <w:sz w:val="17"/>
                <w:szCs w:val="17"/>
              </w:rPr>
              <w:t>461.919</w:t>
            </w:r>
          </w:p>
        </w:tc>
      </w:tr>
      <w:tr w:rsidR="008F4081" w:rsidRPr="00A96B0F" w14:paraId="63626911" w14:textId="77777777" w:rsidTr="00DB3C77">
        <w:trPr>
          <w:trHeight w:hRule="exact" w:val="213"/>
        </w:trPr>
        <w:tc>
          <w:tcPr>
            <w:tcW w:w="1601" w:type="pct"/>
            <w:tcBorders>
              <w:top w:val="nil"/>
              <w:left w:val="nil"/>
              <w:bottom w:val="nil"/>
              <w:right w:val="nil"/>
            </w:tcBorders>
            <w:shd w:val="clear" w:color="auto" w:fill="auto"/>
            <w:vAlign w:val="bottom"/>
          </w:tcPr>
          <w:p w14:paraId="3BC09AC7" w14:textId="77777777" w:rsidR="008F4081" w:rsidRPr="00A96B0F" w:rsidRDefault="008F4081" w:rsidP="008F4081">
            <w:pPr>
              <w:tabs>
                <w:tab w:val="right" w:pos="1202"/>
              </w:tabs>
              <w:suppressAutoHyphens/>
              <w:autoSpaceDN w:val="0"/>
              <w:spacing w:line="240" w:lineRule="exact"/>
              <w:outlineLvl w:val="0"/>
              <w:rPr>
                <w:rFonts w:ascii="Arial" w:eastAsia="Calibri" w:hAnsi="Arial" w:cs="Arial"/>
                <w:color w:val="000000" w:themeColor="text1"/>
                <w:spacing w:val="-2"/>
                <w:sz w:val="17"/>
                <w:szCs w:val="17"/>
              </w:rPr>
            </w:pPr>
            <w:bookmarkStart w:id="853" w:name="_Toc67330332"/>
            <w:r w:rsidRPr="00A96B0F">
              <w:rPr>
                <w:rFonts w:ascii="Arial" w:eastAsia="Times New Roman" w:hAnsi="Arial" w:cs="Arial"/>
                <w:color w:val="000000" w:themeColor="text1"/>
                <w:sz w:val="17"/>
                <w:szCs w:val="17"/>
              </w:rPr>
              <w:t>Upisani a neuplaćeni kapital EIF-a</w:t>
            </w:r>
            <w:bookmarkEnd w:id="853"/>
          </w:p>
        </w:tc>
        <w:tc>
          <w:tcPr>
            <w:tcW w:w="556" w:type="pct"/>
            <w:tcBorders>
              <w:top w:val="nil"/>
              <w:left w:val="nil"/>
              <w:bottom w:val="nil"/>
              <w:right w:val="nil"/>
            </w:tcBorders>
            <w:shd w:val="clear" w:color="auto" w:fill="auto"/>
            <w:vAlign w:val="bottom"/>
          </w:tcPr>
          <w:p w14:paraId="66FE869A" w14:textId="195FDCF0" w:rsidR="008F4081" w:rsidRPr="00A96B0F" w:rsidRDefault="008F4081" w:rsidP="008F4081">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Pr>
                <w:rFonts w:ascii="Arial" w:eastAsia="Calibri" w:hAnsi="Arial" w:cs="Arial"/>
                <w:color w:val="000000" w:themeColor="text1"/>
                <w:spacing w:val="-2"/>
                <w:sz w:val="17"/>
                <w:szCs w:val="17"/>
              </w:rPr>
              <w:t>10.400</w:t>
            </w:r>
          </w:p>
        </w:tc>
        <w:tc>
          <w:tcPr>
            <w:tcW w:w="555" w:type="pct"/>
            <w:tcBorders>
              <w:top w:val="nil"/>
              <w:left w:val="nil"/>
              <w:bottom w:val="nil"/>
              <w:right w:val="nil"/>
            </w:tcBorders>
            <w:shd w:val="clear" w:color="auto" w:fill="auto"/>
            <w:vAlign w:val="bottom"/>
          </w:tcPr>
          <w:p w14:paraId="4D7EB8A2" w14:textId="0DAB91CC" w:rsidR="008F4081" w:rsidRPr="00A96B0F" w:rsidRDefault="008F4081" w:rsidP="008F4081">
            <w:pPr>
              <w:suppressAutoHyphens/>
              <w:autoSpaceDN w:val="0"/>
              <w:jc w:val="right"/>
              <w:rPr>
                <w:rFonts w:ascii="Arial" w:eastAsia="Calibri" w:hAnsi="Arial" w:cs="Arial"/>
                <w:color w:val="000000" w:themeColor="text1"/>
                <w:spacing w:val="-2"/>
                <w:sz w:val="17"/>
                <w:szCs w:val="17"/>
              </w:rPr>
            </w:pPr>
            <w:r>
              <w:rPr>
                <w:rFonts w:ascii="Arial" w:eastAsia="Calibri" w:hAnsi="Arial" w:cs="Arial"/>
                <w:color w:val="000000" w:themeColor="text1"/>
                <w:spacing w:val="-2"/>
                <w:sz w:val="17"/>
                <w:szCs w:val="17"/>
              </w:rPr>
              <w:t>-</w:t>
            </w:r>
          </w:p>
        </w:tc>
        <w:tc>
          <w:tcPr>
            <w:tcW w:w="556" w:type="pct"/>
            <w:tcBorders>
              <w:top w:val="nil"/>
              <w:left w:val="nil"/>
              <w:bottom w:val="nil"/>
              <w:right w:val="nil"/>
            </w:tcBorders>
            <w:shd w:val="clear" w:color="auto" w:fill="auto"/>
            <w:vAlign w:val="bottom"/>
          </w:tcPr>
          <w:p w14:paraId="117DEDE7" w14:textId="0A04F1D7" w:rsidR="008F4081" w:rsidRPr="00A96B0F" w:rsidRDefault="008F4081" w:rsidP="008F4081">
            <w:pPr>
              <w:suppressAutoHyphens/>
              <w:autoSpaceDN w:val="0"/>
              <w:jc w:val="right"/>
              <w:rPr>
                <w:rFonts w:ascii="Arial" w:eastAsia="Calibri" w:hAnsi="Arial" w:cs="Arial"/>
                <w:color w:val="000000" w:themeColor="text1"/>
                <w:spacing w:val="-2"/>
                <w:sz w:val="17"/>
                <w:szCs w:val="17"/>
              </w:rPr>
            </w:pPr>
            <w:r>
              <w:rPr>
                <w:rFonts w:ascii="Arial" w:eastAsia="Calibri" w:hAnsi="Arial" w:cs="Arial"/>
                <w:color w:val="000000" w:themeColor="text1"/>
                <w:spacing w:val="-2"/>
                <w:sz w:val="17"/>
                <w:szCs w:val="17"/>
              </w:rPr>
              <w:t>-</w:t>
            </w:r>
          </w:p>
        </w:tc>
        <w:tc>
          <w:tcPr>
            <w:tcW w:w="556" w:type="pct"/>
            <w:tcBorders>
              <w:top w:val="nil"/>
              <w:left w:val="nil"/>
              <w:bottom w:val="nil"/>
              <w:right w:val="nil"/>
            </w:tcBorders>
            <w:shd w:val="clear" w:color="auto" w:fill="auto"/>
            <w:vAlign w:val="bottom"/>
          </w:tcPr>
          <w:p w14:paraId="271C8299" w14:textId="7ABE7774" w:rsidR="008F4081" w:rsidRPr="00A96B0F" w:rsidRDefault="008F4081" w:rsidP="008F4081">
            <w:pPr>
              <w:suppressAutoHyphens/>
              <w:autoSpaceDN w:val="0"/>
              <w:jc w:val="right"/>
              <w:rPr>
                <w:rFonts w:ascii="Arial" w:eastAsia="Calibri" w:hAnsi="Arial" w:cs="Arial"/>
                <w:color w:val="000000" w:themeColor="text1"/>
                <w:spacing w:val="-2"/>
                <w:sz w:val="17"/>
                <w:szCs w:val="17"/>
              </w:rPr>
            </w:pPr>
            <w:r>
              <w:rPr>
                <w:rFonts w:ascii="Arial" w:eastAsia="Calibri" w:hAnsi="Arial" w:cs="Arial"/>
                <w:color w:val="000000" w:themeColor="text1"/>
                <w:spacing w:val="-2"/>
                <w:sz w:val="17"/>
                <w:szCs w:val="17"/>
              </w:rPr>
              <w:t>-</w:t>
            </w:r>
          </w:p>
        </w:tc>
        <w:tc>
          <w:tcPr>
            <w:tcW w:w="556" w:type="pct"/>
            <w:tcBorders>
              <w:top w:val="nil"/>
              <w:left w:val="nil"/>
              <w:bottom w:val="nil"/>
              <w:right w:val="nil"/>
            </w:tcBorders>
            <w:shd w:val="clear" w:color="auto" w:fill="auto"/>
            <w:vAlign w:val="bottom"/>
          </w:tcPr>
          <w:p w14:paraId="0BCAEC98" w14:textId="77F99FBD" w:rsidR="008F4081" w:rsidRPr="00A96B0F" w:rsidRDefault="008F4081" w:rsidP="008F4081">
            <w:pPr>
              <w:suppressAutoHyphens/>
              <w:autoSpaceDN w:val="0"/>
              <w:jc w:val="right"/>
              <w:rPr>
                <w:rFonts w:ascii="Arial" w:eastAsia="Calibri" w:hAnsi="Arial" w:cs="Arial"/>
                <w:color w:val="000000" w:themeColor="text1"/>
                <w:spacing w:val="-2"/>
                <w:sz w:val="17"/>
                <w:szCs w:val="17"/>
              </w:rPr>
            </w:pPr>
            <w:r>
              <w:rPr>
                <w:rFonts w:ascii="Arial" w:eastAsia="Calibri" w:hAnsi="Arial" w:cs="Arial"/>
                <w:color w:val="000000" w:themeColor="text1"/>
                <w:spacing w:val="-2"/>
                <w:sz w:val="17"/>
                <w:szCs w:val="17"/>
              </w:rPr>
              <w:t>-</w:t>
            </w:r>
          </w:p>
        </w:tc>
        <w:tc>
          <w:tcPr>
            <w:tcW w:w="619" w:type="pct"/>
            <w:tcBorders>
              <w:top w:val="nil"/>
              <w:left w:val="nil"/>
              <w:bottom w:val="nil"/>
              <w:right w:val="nil"/>
            </w:tcBorders>
            <w:shd w:val="clear" w:color="auto" w:fill="auto"/>
            <w:vAlign w:val="bottom"/>
          </w:tcPr>
          <w:p w14:paraId="02E341DD" w14:textId="3E720694" w:rsidR="008F4081" w:rsidRPr="00A96B0F" w:rsidRDefault="008F4081" w:rsidP="008F4081">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Pr>
                <w:rFonts w:ascii="Arial" w:eastAsia="Calibri" w:hAnsi="Arial" w:cs="Arial"/>
                <w:color w:val="000000" w:themeColor="text1"/>
                <w:spacing w:val="-2"/>
                <w:sz w:val="17"/>
                <w:szCs w:val="17"/>
              </w:rPr>
              <w:t>10.400</w:t>
            </w:r>
          </w:p>
        </w:tc>
      </w:tr>
      <w:tr w:rsidR="008F4081" w:rsidRPr="00A96B0F" w14:paraId="79802BD7" w14:textId="77777777" w:rsidTr="00DB3C77">
        <w:trPr>
          <w:trHeight w:hRule="exact" w:val="213"/>
        </w:trPr>
        <w:tc>
          <w:tcPr>
            <w:tcW w:w="1601" w:type="pct"/>
            <w:tcBorders>
              <w:top w:val="nil"/>
              <w:left w:val="nil"/>
              <w:bottom w:val="nil"/>
              <w:right w:val="nil"/>
            </w:tcBorders>
            <w:shd w:val="clear" w:color="auto" w:fill="auto"/>
            <w:vAlign w:val="bottom"/>
          </w:tcPr>
          <w:p w14:paraId="51658A58" w14:textId="77777777" w:rsidR="008F4081" w:rsidRPr="00A96B0F" w:rsidRDefault="008F4081" w:rsidP="008F4081">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854" w:name="_Toc67330335"/>
            <w:r w:rsidRPr="00A96B0F">
              <w:rPr>
                <w:rFonts w:ascii="Arial" w:eastAsia="Times New Roman" w:hAnsi="Arial" w:cs="Arial"/>
                <w:color w:val="000000"/>
                <w:sz w:val="17"/>
                <w:szCs w:val="17"/>
              </w:rPr>
              <w:t>Ugovorena obveza EIF CROGIP</w:t>
            </w:r>
            <w:bookmarkEnd w:id="854"/>
          </w:p>
        </w:tc>
        <w:tc>
          <w:tcPr>
            <w:tcW w:w="556" w:type="pct"/>
            <w:tcBorders>
              <w:top w:val="nil"/>
              <w:left w:val="nil"/>
              <w:bottom w:val="nil"/>
              <w:right w:val="nil"/>
            </w:tcBorders>
            <w:shd w:val="clear" w:color="auto" w:fill="auto"/>
            <w:vAlign w:val="bottom"/>
          </w:tcPr>
          <w:p w14:paraId="3F79224B" w14:textId="37732B6A" w:rsidR="008F4081" w:rsidRPr="00A96B0F" w:rsidRDefault="008F4081" w:rsidP="008F4081">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Pr>
                <w:rFonts w:ascii="Arial" w:eastAsia="Calibri" w:hAnsi="Arial" w:cs="Arial"/>
                <w:color w:val="000000" w:themeColor="text1"/>
                <w:spacing w:val="-2"/>
                <w:sz w:val="17"/>
                <w:szCs w:val="17"/>
              </w:rPr>
              <w:t>148</w:t>
            </w:r>
          </w:p>
        </w:tc>
        <w:tc>
          <w:tcPr>
            <w:tcW w:w="555" w:type="pct"/>
            <w:tcBorders>
              <w:top w:val="nil"/>
              <w:left w:val="nil"/>
              <w:bottom w:val="nil"/>
              <w:right w:val="nil"/>
            </w:tcBorders>
            <w:shd w:val="clear" w:color="auto" w:fill="auto"/>
            <w:vAlign w:val="bottom"/>
          </w:tcPr>
          <w:p w14:paraId="2525664C" w14:textId="58555E91" w:rsidR="008F4081" w:rsidRPr="00A96B0F" w:rsidRDefault="008F4081" w:rsidP="008F4081">
            <w:pPr>
              <w:suppressAutoHyphens/>
              <w:autoSpaceDN w:val="0"/>
              <w:jc w:val="right"/>
              <w:rPr>
                <w:rFonts w:ascii="Arial" w:eastAsia="Calibri" w:hAnsi="Arial" w:cs="Arial"/>
                <w:color w:val="000000" w:themeColor="text1"/>
                <w:spacing w:val="-2"/>
                <w:sz w:val="17"/>
                <w:szCs w:val="17"/>
              </w:rPr>
            </w:pPr>
            <w:r>
              <w:rPr>
                <w:rFonts w:ascii="Arial" w:eastAsia="Calibri" w:hAnsi="Arial" w:cs="Arial"/>
                <w:color w:val="000000" w:themeColor="text1"/>
                <w:spacing w:val="-2"/>
                <w:sz w:val="17"/>
                <w:szCs w:val="17"/>
              </w:rPr>
              <w:t>2.780</w:t>
            </w:r>
          </w:p>
        </w:tc>
        <w:tc>
          <w:tcPr>
            <w:tcW w:w="556" w:type="pct"/>
            <w:tcBorders>
              <w:top w:val="nil"/>
              <w:left w:val="nil"/>
              <w:bottom w:val="nil"/>
              <w:right w:val="nil"/>
            </w:tcBorders>
            <w:shd w:val="clear" w:color="auto" w:fill="auto"/>
            <w:vAlign w:val="bottom"/>
          </w:tcPr>
          <w:p w14:paraId="26D23D4A" w14:textId="5E19D171" w:rsidR="008F4081" w:rsidRPr="00A96B0F" w:rsidRDefault="008F4081" w:rsidP="008F4081">
            <w:pPr>
              <w:suppressAutoHyphens/>
              <w:autoSpaceDN w:val="0"/>
              <w:jc w:val="right"/>
              <w:rPr>
                <w:rFonts w:ascii="Arial" w:eastAsia="Calibri" w:hAnsi="Arial" w:cs="Arial"/>
                <w:color w:val="000000" w:themeColor="text1"/>
                <w:spacing w:val="-2"/>
                <w:sz w:val="17"/>
                <w:szCs w:val="17"/>
              </w:rPr>
            </w:pPr>
            <w:r>
              <w:rPr>
                <w:rFonts w:ascii="Arial" w:eastAsia="Calibri" w:hAnsi="Arial" w:cs="Arial"/>
                <w:color w:val="000000" w:themeColor="text1"/>
                <w:spacing w:val="-2"/>
                <w:sz w:val="17"/>
                <w:szCs w:val="17"/>
              </w:rPr>
              <w:t>5.924</w:t>
            </w:r>
          </w:p>
        </w:tc>
        <w:tc>
          <w:tcPr>
            <w:tcW w:w="556" w:type="pct"/>
            <w:tcBorders>
              <w:top w:val="nil"/>
              <w:left w:val="nil"/>
              <w:bottom w:val="nil"/>
              <w:right w:val="nil"/>
            </w:tcBorders>
            <w:shd w:val="clear" w:color="auto" w:fill="auto"/>
            <w:vAlign w:val="bottom"/>
          </w:tcPr>
          <w:p w14:paraId="6A8604E4" w14:textId="1F84C40E" w:rsidR="008F4081" w:rsidRPr="00A96B0F" w:rsidRDefault="008F4081" w:rsidP="008F4081">
            <w:pPr>
              <w:suppressAutoHyphens/>
              <w:autoSpaceDN w:val="0"/>
              <w:jc w:val="right"/>
              <w:rPr>
                <w:rFonts w:ascii="Arial" w:eastAsia="Calibri" w:hAnsi="Arial" w:cs="Arial"/>
                <w:color w:val="000000" w:themeColor="text1"/>
                <w:spacing w:val="-2"/>
                <w:sz w:val="17"/>
                <w:szCs w:val="17"/>
              </w:rPr>
            </w:pPr>
            <w:r>
              <w:rPr>
                <w:rFonts w:ascii="Arial" w:eastAsia="Calibri" w:hAnsi="Arial" w:cs="Arial"/>
                <w:color w:val="000000" w:themeColor="text1"/>
                <w:spacing w:val="-2"/>
                <w:sz w:val="17"/>
                <w:szCs w:val="17"/>
              </w:rPr>
              <w:t>13.549</w:t>
            </w:r>
          </w:p>
        </w:tc>
        <w:tc>
          <w:tcPr>
            <w:tcW w:w="556" w:type="pct"/>
            <w:tcBorders>
              <w:top w:val="nil"/>
              <w:left w:val="nil"/>
              <w:bottom w:val="nil"/>
              <w:right w:val="nil"/>
            </w:tcBorders>
            <w:shd w:val="clear" w:color="auto" w:fill="auto"/>
            <w:vAlign w:val="bottom"/>
          </w:tcPr>
          <w:p w14:paraId="327683D5" w14:textId="4362050F" w:rsidR="008F4081" w:rsidRPr="00A96B0F" w:rsidRDefault="008F4081" w:rsidP="008F4081">
            <w:pPr>
              <w:suppressAutoHyphens/>
              <w:autoSpaceDN w:val="0"/>
              <w:jc w:val="right"/>
              <w:rPr>
                <w:rFonts w:ascii="Arial" w:eastAsia="Calibri" w:hAnsi="Arial" w:cs="Arial"/>
                <w:color w:val="000000" w:themeColor="text1"/>
                <w:spacing w:val="-2"/>
                <w:sz w:val="17"/>
                <w:szCs w:val="17"/>
              </w:rPr>
            </w:pPr>
            <w:r>
              <w:rPr>
                <w:rFonts w:ascii="Arial" w:eastAsia="Calibri" w:hAnsi="Arial" w:cs="Arial"/>
                <w:color w:val="000000" w:themeColor="text1"/>
                <w:spacing w:val="-2"/>
                <w:sz w:val="17"/>
                <w:szCs w:val="17"/>
              </w:rPr>
              <w:t>5.059</w:t>
            </w:r>
          </w:p>
        </w:tc>
        <w:tc>
          <w:tcPr>
            <w:tcW w:w="619" w:type="pct"/>
            <w:tcBorders>
              <w:top w:val="nil"/>
              <w:left w:val="nil"/>
              <w:bottom w:val="nil"/>
              <w:right w:val="nil"/>
            </w:tcBorders>
            <w:shd w:val="clear" w:color="auto" w:fill="auto"/>
            <w:vAlign w:val="bottom"/>
          </w:tcPr>
          <w:p w14:paraId="07AC5687" w14:textId="2268DE3A" w:rsidR="008F4081" w:rsidRPr="00A96B0F" w:rsidRDefault="008F4081" w:rsidP="008F4081">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Pr>
                <w:rFonts w:ascii="Arial" w:eastAsia="Calibri" w:hAnsi="Arial" w:cs="Arial"/>
                <w:color w:val="000000" w:themeColor="text1"/>
                <w:spacing w:val="-2"/>
                <w:sz w:val="17"/>
                <w:szCs w:val="17"/>
              </w:rPr>
              <w:t>27.460</w:t>
            </w:r>
          </w:p>
        </w:tc>
      </w:tr>
      <w:tr w:rsidR="008F4081" w:rsidRPr="00A96B0F" w14:paraId="324787FD" w14:textId="77777777" w:rsidTr="00DB3C77">
        <w:trPr>
          <w:trHeight w:hRule="exact" w:val="213"/>
        </w:trPr>
        <w:tc>
          <w:tcPr>
            <w:tcW w:w="1601" w:type="pct"/>
            <w:tcBorders>
              <w:top w:val="nil"/>
              <w:left w:val="nil"/>
              <w:bottom w:val="nil"/>
              <w:right w:val="nil"/>
            </w:tcBorders>
            <w:shd w:val="clear" w:color="auto" w:fill="auto"/>
            <w:vAlign w:val="bottom"/>
          </w:tcPr>
          <w:p w14:paraId="451EDD27" w14:textId="77777777" w:rsidR="008F4081" w:rsidRPr="00A96B0F" w:rsidRDefault="008F4081" w:rsidP="008F4081">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855" w:name="_Toc67330338"/>
            <w:r w:rsidRPr="00A96B0F">
              <w:rPr>
                <w:rFonts w:ascii="Arial" w:eastAsia="Times New Roman" w:hAnsi="Arial" w:cs="Arial"/>
                <w:color w:val="000000"/>
                <w:sz w:val="17"/>
                <w:szCs w:val="17"/>
              </w:rPr>
              <w:t>Ugovorena obveza EIF FRC2</w:t>
            </w:r>
            <w:bookmarkEnd w:id="855"/>
          </w:p>
        </w:tc>
        <w:tc>
          <w:tcPr>
            <w:tcW w:w="556" w:type="pct"/>
            <w:tcBorders>
              <w:top w:val="nil"/>
              <w:left w:val="nil"/>
              <w:bottom w:val="single" w:sz="8" w:space="0" w:color="auto"/>
              <w:right w:val="nil"/>
            </w:tcBorders>
            <w:shd w:val="clear" w:color="auto" w:fill="auto"/>
            <w:vAlign w:val="bottom"/>
          </w:tcPr>
          <w:p w14:paraId="4C16F95C" w14:textId="2C221F61" w:rsidR="008F4081" w:rsidRPr="00A96B0F" w:rsidRDefault="008F4081" w:rsidP="008F4081">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Pr>
                <w:rFonts w:ascii="Arial" w:eastAsia="Calibri" w:hAnsi="Arial" w:cs="Arial"/>
                <w:color w:val="000000" w:themeColor="text1"/>
                <w:spacing w:val="-2"/>
                <w:sz w:val="17"/>
                <w:szCs w:val="17"/>
              </w:rPr>
              <w:t>6</w:t>
            </w:r>
          </w:p>
        </w:tc>
        <w:tc>
          <w:tcPr>
            <w:tcW w:w="555" w:type="pct"/>
            <w:tcBorders>
              <w:top w:val="nil"/>
              <w:left w:val="nil"/>
              <w:bottom w:val="single" w:sz="8" w:space="0" w:color="auto"/>
              <w:right w:val="nil"/>
            </w:tcBorders>
            <w:shd w:val="clear" w:color="auto" w:fill="auto"/>
            <w:vAlign w:val="bottom"/>
          </w:tcPr>
          <w:p w14:paraId="2869103F" w14:textId="341A8A94" w:rsidR="008F4081" w:rsidRPr="00A96B0F" w:rsidRDefault="008F4081" w:rsidP="008F4081">
            <w:pPr>
              <w:suppressAutoHyphens/>
              <w:autoSpaceDN w:val="0"/>
              <w:jc w:val="right"/>
              <w:rPr>
                <w:rFonts w:ascii="Arial" w:eastAsia="Calibri" w:hAnsi="Arial" w:cs="Arial"/>
                <w:color w:val="000000" w:themeColor="text1"/>
                <w:spacing w:val="-2"/>
                <w:sz w:val="17"/>
                <w:szCs w:val="17"/>
              </w:rPr>
            </w:pPr>
            <w:r>
              <w:rPr>
                <w:rFonts w:ascii="Arial" w:eastAsia="Calibri" w:hAnsi="Arial" w:cs="Arial"/>
                <w:color w:val="000000" w:themeColor="text1"/>
                <w:spacing w:val="-2"/>
                <w:sz w:val="17"/>
                <w:szCs w:val="17"/>
              </w:rPr>
              <w:t>-</w:t>
            </w:r>
          </w:p>
        </w:tc>
        <w:tc>
          <w:tcPr>
            <w:tcW w:w="556" w:type="pct"/>
            <w:tcBorders>
              <w:top w:val="nil"/>
              <w:left w:val="nil"/>
              <w:bottom w:val="single" w:sz="8" w:space="0" w:color="auto"/>
              <w:right w:val="nil"/>
            </w:tcBorders>
            <w:shd w:val="clear" w:color="auto" w:fill="auto"/>
            <w:vAlign w:val="bottom"/>
          </w:tcPr>
          <w:p w14:paraId="61A101D9" w14:textId="79432E66" w:rsidR="008F4081" w:rsidRPr="00A96B0F" w:rsidRDefault="008F4081" w:rsidP="008F4081">
            <w:pPr>
              <w:suppressAutoHyphens/>
              <w:autoSpaceDN w:val="0"/>
              <w:jc w:val="right"/>
              <w:rPr>
                <w:rFonts w:ascii="Arial" w:eastAsia="Calibri" w:hAnsi="Arial" w:cs="Arial"/>
                <w:color w:val="000000" w:themeColor="text1"/>
                <w:spacing w:val="-2"/>
                <w:sz w:val="17"/>
                <w:szCs w:val="17"/>
              </w:rPr>
            </w:pPr>
            <w:r>
              <w:rPr>
                <w:rFonts w:ascii="Arial" w:eastAsia="Calibri" w:hAnsi="Arial" w:cs="Arial"/>
                <w:color w:val="000000" w:themeColor="text1"/>
                <w:spacing w:val="-2"/>
                <w:sz w:val="17"/>
                <w:szCs w:val="17"/>
              </w:rPr>
              <w:t>6</w:t>
            </w:r>
          </w:p>
        </w:tc>
        <w:tc>
          <w:tcPr>
            <w:tcW w:w="556" w:type="pct"/>
            <w:tcBorders>
              <w:top w:val="nil"/>
              <w:left w:val="nil"/>
              <w:bottom w:val="single" w:sz="8" w:space="0" w:color="auto"/>
              <w:right w:val="nil"/>
            </w:tcBorders>
            <w:shd w:val="clear" w:color="auto" w:fill="auto"/>
            <w:vAlign w:val="bottom"/>
          </w:tcPr>
          <w:p w14:paraId="78D0CE2D" w14:textId="2157E8B5" w:rsidR="008F4081" w:rsidRPr="00A96B0F" w:rsidRDefault="008F4081" w:rsidP="008F4081">
            <w:pPr>
              <w:suppressAutoHyphens/>
              <w:autoSpaceDN w:val="0"/>
              <w:jc w:val="right"/>
              <w:rPr>
                <w:rFonts w:ascii="Arial" w:eastAsia="Calibri" w:hAnsi="Arial" w:cs="Arial"/>
                <w:color w:val="000000" w:themeColor="text1"/>
                <w:spacing w:val="-2"/>
                <w:sz w:val="17"/>
                <w:szCs w:val="17"/>
              </w:rPr>
            </w:pPr>
            <w:r>
              <w:rPr>
                <w:rFonts w:ascii="Arial" w:eastAsia="Calibri" w:hAnsi="Arial" w:cs="Arial"/>
                <w:color w:val="000000" w:themeColor="text1"/>
                <w:spacing w:val="-2"/>
                <w:sz w:val="17"/>
                <w:szCs w:val="17"/>
              </w:rPr>
              <w:t>16</w:t>
            </w:r>
          </w:p>
        </w:tc>
        <w:tc>
          <w:tcPr>
            <w:tcW w:w="556" w:type="pct"/>
            <w:tcBorders>
              <w:top w:val="nil"/>
              <w:left w:val="nil"/>
              <w:bottom w:val="single" w:sz="8" w:space="0" w:color="auto"/>
              <w:right w:val="nil"/>
            </w:tcBorders>
            <w:shd w:val="clear" w:color="auto" w:fill="auto"/>
            <w:vAlign w:val="bottom"/>
          </w:tcPr>
          <w:p w14:paraId="7D828736" w14:textId="44871FBA" w:rsidR="008F4081" w:rsidRPr="00A96B0F" w:rsidRDefault="008F4081" w:rsidP="008F4081">
            <w:pPr>
              <w:suppressAutoHyphens/>
              <w:autoSpaceDN w:val="0"/>
              <w:jc w:val="right"/>
              <w:rPr>
                <w:rFonts w:ascii="Arial" w:eastAsia="Calibri" w:hAnsi="Arial" w:cs="Arial"/>
                <w:color w:val="000000" w:themeColor="text1"/>
                <w:spacing w:val="-2"/>
                <w:sz w:val="17"/>
                <w:szCs w:val="17"/>
              </w:rPr>
            </w:pPr>
            <w:r>
              <w:rPr>
                <w:rFonts w:ascii="Arial" w:eastAsia="Calibri" w:hAnsi="Arial" w:cs="Arial"/>
                <w:color w:val="000000" w:themeColor="text1"/>
                <w:spacing w:val="-2"/>
                <w:sz w:val="17"/>
                <w:szCs w:val="17"/>
              </w:rPr>
              <w:t>21</w:t>
            </w:r>
          </w:p>
        </w:tc>
        <w:tc>
          <w:tcPr>
            <w:tcW w:w="619" w:type="pct"/>
            <w:tcBorders>
              <w:top w:val="nil"/>
              <w:left w:val="nil"/>
              <w:bottom w:val="single" w:sz="8" w:space="0" w:color="auto"/>
              <w:right w:val="nil"/>
            </w:tcBorders>
            <w:shd w:val="clear" w:color="auto" w:fill="auto"/>
            <w:vAlign w:val="bottom"/>
          </w:tcPr>
          <w:p w14:paraId="138A0DFE" w14:textId="0ED8F059" w:rsidR="008F4081" w:rsidRPr="00A96B0F" w:rsidRDefault="008F4081" w:rsidP="008F4081">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Pr>
                <w:rFonts w:ascii="Arial" w:eastAsia="Calibri" w:hAnsi="Arial" w:cs="Arial"/>
                <w:color w:val="000000" w:themeColor="text1"/>
                <w:spacing w:val="-2"/>
                <w:sz w:val="17"/>
                <w:szCs w:val="17"/>
              </w:rPr>
              <w:t>49</w:t>
            </w:r>
          </w:p>
        </w:tc>
      </w:tr>
      <w:tr w:rsidR="008F4081" w:rsidRPr="00A96B0F" w14:paraId="126FC22A" w14:textId="77777777" w:rsidTr="00DB3C77">
        <w:trPr>
          <w:trHeight w:hRule="exact" w:val="340"/>
        </w:trPr>
        <w:tc>
          <w:tcPr>
            <w:tcW w:w="1601" w:type="pct"/>
            <w:tcBorders>
              <w:top w:val="nil"/>
              <w:left w:val="nil"/>
              <w:bottom w:val="nil"/>
              <w:right w:val="nil"/>
            </w:tcBorders>
            <w:shd w:val="clear" w:color="auto" w:fill="auto"/>
            <w:vAlign w:val="bottom"/>
          </w:tcPr>
          <w:p w14:paraId="7D38D005" w14:textId="77777777" w:rsidR="008F4081" w:rsidRPr="00A96B0F" w:rsidRDefault="008F4081" w:rsidP="008F4081">
            <w:pPr>
              <w:tabs>
                <w:tab w:val="right" w:pos="1202"/>
              </w:tabs>
              <w:suppressAutoHyphens/>
              <w:autoSpaceDN w:val="0"/>
              <w:outlineLvl w:val="0"/>
              <w:rPr>
                <w:rFonts w:ascii="Arial" w:eastAsia="Times New Roman" w:hAnsi="Arial" w:cs="Arial"/>
                <w:b/>
                <w:bCs/>
                <w:color w:val="000000" w:themeColor="text1"/>
                <w:sz w:val="17"/>
                <w:szCs w:val="17"/>
              </w:rPr>
            </w:pPr>
            <w:bookmarkStart w:id="856" w:name="_Toc67330341"/>
            <w:r w:rsidRPr="00A96B0F">
              <w:rPr>
                <w:rFonts w:ascii="Arial" w:eastAsia="Times New Roman" w:hAnsi="Arial" w:cs="Arial"/>
                <w:b/>
                <w:bCs/>
                <w:color w:val="000000" w:themeColor="text1"/>
                <w:sz w:val="17"/>
                <w:szCs w:val="17"/>
              </w:rPr>
              <w:t>Ukupne garancije i preuzete obveze</w:t>
            </w:r>
            <w:bookmarkEnd w:id="856"/>
          </w:p>
        </w:tc>
        <w:tc>
          <w:tcPr>
            <w:tcW w:w="556" w:type="pct"/>
            <w:tcBorders>
              <w:top w:val="single" w:sz="8" w:space="0" w:color="auto"/>
              <w:left w:val="nil"/>
              <w:bottom w:val="single" w:sz="12" w:space="0" w:color="auto"/>
              <w:right w:val="nil"/>
            </w:tcBorders>
            <w:shd w:val="clear" w:color="auto" w:fill="auto"/>
            <w:vAlign w:val="bottom"/>
          </w:tcPr>
          <w:p w14:paraId="07914B3A" w14:textId="33894EA4" w:rsidR="008F4081" w:rsidRPr="00A96B0F" w:rsidRDefault="008F4081" w:rsidP="008F4081">
            <w:pPr>
              <w:tabs>
                <w:tab w:val="right" w:pos="1202"/>
              </w:tabs>
              <w:suppressAutoHyphens/>
              <w:autoSpaceDN w:val="0"/>
              <w:jc w:val="right"/>
              <w:outlineLvl w:val="0"/>
              <w:rPr>
                <w:rFonts w:ascii="Arial" w:eastAsia="Times New Roman" w:hAnsi="Arial" w:cs="Arial"/>
                <w:b/>
                <w:color w:val="000000" w:themeColor="text1"/>
                <w:sz w:val="17"/>
                <w:szCs w:val="17"/>
              </w:rPr>
            </w:pPr>
            <w:r>
              <w:rPr>
                <w:rFonts w:ascii="Arial" w:eastAsia="Times New Roman" w:hAnsi="Arial" w:cs="Arial"/>
                <w:b/>
                <w:color w:val="000000" w:themeColor="text1"/>
                <w:sz w:val="17"/>
                <w:szCs w:val="17"/>
              </w:rPr>
              <w:t>527.256</w:t>
            </w:r>
          </w:p>
        </w:tc>
        <w:tc>
          <w:tcPr>
            <w:tcW w:w="555" w:type="pct"/>
            <w:tcBorders>
              <w:top w:val="single" w:sz="8" w:space="0" w:color="auto"/>
              <w:left w:val="nil"/>
              <w:bottom w:val="single" w:sz="12" w:space="0" w:color="auto"/>
              <w:right w:val="nil"/>
            </w:tcBorders>
            <w:shd w:val="clear" w:color="auto" w:fill="auto"/>
            <w:vAlign w:val="bottom"/>
          </w:tcPr>
          <w:p w14:paraId="6BFFA9D6" w14:textId="359AA7EB" w:rsidR="008F4081" w:rsidRPr="00A96B0F" w:rsidRDefault="008F4081" w:rsidP="008F4081">
            <w:pPr>
              <w:suppressAutoHyphens/>
              <w:autoSpaceDN w:val="0"/>
              <w:jc w:val="right"/>
              <w:rPr>
                <w:rFonts w:ascii="Arial" w:eastAsia="Times New Roman" w:hAnsi="Arial" w:cs="Arial"/>
                <w:color w:val="000000" w:themeColor="text1"/>
                <w:sz w:val="17"/>
                <w:szCs w:val="17"/>
              </w:rPr>
            </w:pPr>
            <w:r w:rsidRPr="00207811">
              <w:rPr>
                <w:rFonts w:ascii="Arial" w:eastAsia="Times New Roman" w:hAnsi="Arial" w:cs="Arial"/>
                <w:b/>
                <w:bCs/>
                <w:color w:val="000000" w:themeColor="text1"/>
                <w:sz w:val="17"/>
                <w:szCs w:val="17"/>
              </w:rPr>
              <w:t>2.780</w:t>
            </w:r>
          </w:p>
        </w:tc>
        <w:tc>
          <w:tcPr>
            <w:tcW w:w="556" w:type="pct"/>
            <w:tcBorders>
              <w:top w:val="single" w:sz="8" w:space="0" w:color="auto"/>
              <w:left w:val="nil"/>
              <w:bottom w:val="single" w:sz="12" w:space="0" w:color="auto"/>
              <w:right w:val="nil"/>
            </w:tcBorders>
            <w:shd w:val="clear" w:color="auto" w:fill="auto"/>
            <w:vAlign w:val="bottom"/>
          </w:tcPr>
          <w:p w14:paraId="4A2378AB" w14:textId="0928C102" w:rsidR="008F4081" w:rsidRPr="00A96B0F" w:rsidRDefault="008F4081" w:rsidP="008F4081">
            <w:pPr>
              <w:suppressAutoHyphens/>
              <w:autoSpaceDN w:val="0"/>
              <w:jc w:val="right"/>
              <w:rPr>
                <w:rFonts w:ascii="Arial" w:eastAsia="Times New Roman" w:hAnsi="Arial" w:cs="Arial"/>
                <w:color w:val="000000" w:themeColor="text1"/>
                <w:sz w:val="17"/>
                <w:szCs w:val="17"/>
              </w:rPr>
            </w:pPr>
            <w:r w:rsidRPr="00207811">
              <w:rPr>
                <w:rFonts w:ascii="Arial" w:eastAsia="Times New Roman" w:hAnsi="Arial" w:cs="Arial"/>
                <w:b/>
                <w:bCs/>
                <w:color w:val="000000" w:themeColor="text1"/>
                <w:sz w:val="17"/>
                <w:szCs w:val="17"/>
              </w:rPr>
              <w:t>5.930</w:t>
            </w:r>
          </w:p>
        </w:tc>
        <w:tc>
          <w:tcPr>
            <w:tcW w:w="556" w:type="pct"/>
            <w:tcBorders>
              <w:top w:val="single" w:sz="8" w:space="0" w:color="auto"/>
              <w:left w:val="nil"/>
              <w:bottom w:val="single" w:sz="12" w:space="0" w:color="auto"/>
              <w:right w:val="nil"/>
            </w:tcBorders>
            <w:shd w:val="clear" w:color="auto" w:fill="auto"/>
            <w:vAlign w:val="bottom"/>
          </w:tcPr>
          <w:p w14:paraId="4DD910C3" w14:textId="7B812D02" w:rsidR="008F4081" w:rsidRPr="00A96B0F" w:rsidRDefault="008F4081" w:rsidP="008F4081">
            <w:pPr>
              <w:suppressAutoHyphens/>
              <w:autoSpaceDN w:val="0"/>
              <w:jc w:val="right"/>
              <w:rPr>
                <w:rFonts w:ascii="Arial" w:eastAsia="Times New Roman" w:hAnsi="Arial" w:cs="Arial"/>
                <w:color w:val="000000" w:themeColor="text1"/>
                <w:sz w:val="17"/>
                <w:szCs w:val="17"/>
              </w:rPr>
            </w:pPr>
            <w:r w:rsidRPr="00207811">
              <w:rPr>
                <w:rFonts w:ascii="Arial" w:eastAsia="Times New Roman" w:hAnsi="Arial" w:cs="Arial"/>
                <w:b/>
                <w:bCs/>
                <w:color w:val="000000" w:themeColor="text1"/>
                <w:sz w:val="17"/>
                <w:szCs w:val="17"/>
              </w:rPr>
              <w:t>13.565</w:t>
            </w:r>
          </w:p>
        </w:tc>
        <w:tc>
          <w:tcPr>
            <w:tcW w:w="556" w:type="pct"/>
            <w:tcBorders>
              <w:top w:val="single" w:sz="8" w:space="0" w:color="auto"/>
              <w:left w:val="nil"/>
              <w:bottom w:val="single" w:sz="12" w:space="0" w:color="auto"/>
              <w:right w:val="nil"/>
            </w:tcBorders>
            <w:shd w:val="clear" w:color="auto" w:fill="auto"/>
            <w:vAlign w:val="bottom"/>
          </w:tcPr>
          <w:p w14:paraId="1B64DE1C" w14:textId="25A8AA47" w:rsidR="008F4081" w:rsidRPr="00A96B0F" w:rsidRDefault="008F4081" w:rsidP="008F4081">
            <w:pPr>
              <w:suppressAutoHyphens/>
              <w:autoSpaceDN w:val="0"/>
              <w:jc w:val="right"/>
              <w:rPr>
                <w:rFonts w:ascii="Arial" w:eastAsia="Times New Roman" w:hAnsi="Arial" w:cs="Arial"/>
                <w:color w:val="000000" w:themeColor="text1"/>
                <w:sz w:val="17"/>
                <w:szCs w:val="17"/>
              </w:rPr>
            </w:pPr>
            <w:r w:rsidRPr="00207811">
              <w:rPr>
                <w:rFonts w:ascii="Arial" w:eastAsia="Times New Roman" w:hAnsi="Arial" w:cs="Arial"/>
                <w:b/>
                <w:bCs/>
                <w:color w:val="000000" w:themeColor="text1"/>
                <w:sz w:val="17"/>
                <w:szCs w:val="17"/>
              </w:rPr>
              <w:t>5.080</w:t>
            </w:r>
          </w:p>
        </w:tc>
        <w:tc>
          <w:tcPr>
            <w:tcW w:w="619" w:type="pct"/>
            <w:tcBorders>
              <w:top w:val="single" w:sz="8" w:space="0" w:color="auto"/>
              <w:left w:val="nil"/>
              <w:bottom w:val="single" w:sz="12" w:space="0" w:color="auto"/>
              <w:right w:val="nil"/>
            </w:tcBorders>
            <w:shd w:val="clear" w:color="auto" w:fill="auto"/>
            <w:vAlign w:val="bottom"/>
          </w:tcPr>
          <w:p w14:paraId="07A9A6C7" w14:textId="529925B5" w:rsidR="008F4081" w:rsidRPr="00A96B0F" w:rsidRDefault="008F4081" w:rsidP="008F4081">
            <w:pPr>
              <w:tabs>
                <w:tab w:val="right" w:pos="1202"/>
              </w:tabs>
              <w:suppressAutoHyphens/>
              <w:autoSpaceDN w:val="0"/>
              <w:jc w:val="right"/>
              <w:outlineLvl w:val="0"/>
              <w:rPr>
                <w:rFonts w:ascii="Arial" w:eastAsia="Times New Roman" w:hAnsi="Arial" w:cs="Arial"/>
                <w:b/>
                <w:color w:val="000000" w:themeColor="text1"/>
                <w:sz w:val="17"/>
                <w:szCs w:val="17"/>
              </w:rPr>
            </w:pPr>
            <w:r>
              <w:rPr>
                <w:rFonts w:ascii="Arial" w:eastAsia="Times New Roman" w:hAnsi="Arial" w:cs="Arial"/>
                <w:b/>
                <w:color w:val="000000" w:themeColor="text1"/>
                <w:sz w:val="17"/>
                <w:szCs w:val="17"/>
              </w:rPr>
              <w:t>554.611</w:t>
            </w:r>
          </w:p>
        </w:tc>
      </w:tr>
    </w:tbl>
    <w:p w14:paraId="46F2B4BC" w14:textId="77777777" w:rsidR="000C7E59" w:rsidRPr="003D1614" w:rsidRDefault="000C7E59" w:rsidP="000C7E59">
      <w:pPr>
        <w:tabs>
          <w:tab w:val="right" w:pos="1202"/>
          <w:tab w:val="center" w:pos="4536"/>
          <w:tab w:val="right" w:pos="9072"/>
        </w:tabs>
        <w:suppressAutoHyphens/>
        <w:autoSpaceDN w:val="0"/>
        <w:spacing w:line="301" w:lineRule="exact"/>
        <w:outlineLvl w:val="0"/>
        <w:rPr>
          <w:rFonts w:ascii="Arial" w:eastAsia="Times New Roman" w:hAnsi="Arial" w:cs="Arial"/>
          <w:i/>
          <w:color w:val="000000" w:themeColor="text1"/>
          <w:sz w:val="20"/>
          <w:szCs w:val="24"/>
        </w:rPr>
      </w:pPr>
    </w:p>
    <w:p w14:paraId="6DCEB82E" w14:textId="5D5D141D" w:rsidR="00661446" w:rsidRPr="003D1614" w:rsidRDefault="00661446" w:rsidP="00661446">
      <w:pPr>
        <w:suppressAutoHyphens/>
        <w:autoSpaceDN w:val="0"/>
        <w:jc w:val="both"/>
        <w:rPr>
          <w:rFonts w:ascii="Arial" w:eastAsia="Times New Roman" w:hAnsi="Arial" w:cs="Arial"/>
          <w:bCs/>
          <w:i/>
          <w:color w:val="000000" w:themeColor="text1"/>
          <w:sz w:val="18"/>
          <w:szCs w:val="18"/>
        </w:rPr>
      </w:pPr>
    </w:p>
    <w:tbl>
      <w:tblPr>
        <w:tblW w:w="5359" w:type="pct"/>
        <w:tblInd w:w="-468" w:type="dxa"/>
        <w:tblLayout w:type="fixed"/>
        <w:tblCellMar>
          <w:left w:w="120" w:type="dxa"/>
          <w:right w:w="120" w:type="dxa"/>
        </w:tblCellMar>
        <w:tblLook w:val="0000" w:firstRow="0" w:lastRow="0" w:firstColumn="0" w:lastColumn="0" w:noHBand="0" w:noVBand="0"/>
      </w:tblPr>
      <w:tblGrid>
        <w:gridCol w:w="3080"/>
        <w:gridCol w:w="1087"/>
        <w:gridCol w:w="1085"/>
        <w:gridCol w:w="1087"/>
        <w:gridCol w:w="1087"/>
        <w:gridCol w:w="1087"/>
        <w:gridCol w:w="1210"/>
      </w:tblGrid>
      <w:tr w:rsidR="00CF778A" w:rsidRPr="00C40415" w14:paraId="7191FE04" w14:textId="77777777" w:rsidTr="0034622E">
        <w:trPr>
          <w:trHeight w:val="452"/>
        </w:trPr>
        <w:tc>
          <w:tcPr>
            <w:tcW w:w="1584" w:type="pct"/>
          </w:tcPr>
          <w:p w14:paraId="56E83709" w14:textId="77777777" w:rsidR="00CF778A" w:rsidRPr="00C40415" w:rsidRDefault="00CF778A" w:rsidP="0034622E">
            <w:pPr>
              <w:tabs>
                <w:tab w:val="right" w:pos="1202"/>
              </w:tabs>
              <w:spacing w:line="240" w:lineRule="atLeast"/>
              <w:outlineLvl w:val="0"/>
              <w:rPr>
                <w:rFonts w:ascii="Arial" w:hAnsi="Arial" w:cs="Arial"/>
                <w:b/>
                <w:color w:val="000000" w:themeColor="text1"/>
                <w:sz w:val="17"/>
                <w:szCs w:val="17"/>
              </w:rPr>
            </w:pPr>
            <w:r w:rsidRPr="00C40415">
              <w:rPr>
                <w:rFonts w:ascii="Arial" w:hAnsi="Arial" w:cs="Arial"/>
                <w:b/>
                <w:color w:val="000000" w:themeColor="text1"/>
                <w:sz w:val="17"/>
                <w:szCs w:val="17"/>
              </w:rPr>
              <w:t>Grupa</w:t>
            </w:r>
          </w:p>
          <w:p w14:paraId="2594481C" w14:textId="77777777" w:rsidR="00CF778A" w:rsidRPr="00C40415" w:rsidRDefault="00CF778A" w:rsidP="0034622E">
            <w:pPr>
              <w:tabs>
                <w:tab w:val="right" w:pos="1202"/>
              </w:tabs>
              <w:spacing w:line="240" w:lineRule="atLeast"/>
              <w:outlineLvl w:val="0"/>
              <w:rPr>
                <w:rFonts w:ascii="Arial" w:hAnsi="Arial" w:cs="Arial"/>
                <w:b/>
                <w:color w:val="000000" w:themeColor="text1"/>
                <w:sz w:val="17"/>
                <w:szCs w:val="17"/>
              </w:rPr>
            </w:pPr>
            <w:r w:rsidRPr="00C40415">
              <w:rPr>
                <w:rFonts w:ascii="Arial" w:hAnsi="Arial" w:cs="Arial"/>
                <w:b/>
                <w:color w:val="000000" w:themeColor="text1"/>
                <w:sz w:val="17"/>
                <w:szCs w:val="17"/>
              </w:rPr>
              <w:t>31. prosinca 202</w:t>
            </w:r>
            <w:r>
              <w:rPr>
                <w:rFonts w:ascii="Arial" w:hAnsi="Arial" w:cs="Arial"/>
                <w:b/>
                <w:color w:val="000000" w:themeColor="text1"/>
                <w:sz w:val="17"/>
                <w:szCs w:val="17"/>
              </w:rPr>
              <w:t>3</w:t>
            </w:r>
            <w:r w:rsidRPr="00C40415">
              <w:rPr>
                <w:rFonts w:ascii="Arial" w:hAnsi="Arial" w:cs="Arial"/>
                <w:b/>
                <w:color w:val="000000" w:themeColor="text1"/>
                <w:sz w:val="17"/>
                <w:szCs w:val="17"/>
              </w:rPr>
              <w:t xml:space="preserve">. </w:t>
            </w:r>
          </w:p>
        </w:tc>
        <w:tc>
          <w:tcPr>
            <w:tcW w:w="559" w:type="pct"/>
          </w:tcPr>
          <w:p w14:paraId="449F2CF8" w14:textId="77777777" w:rsidR="00CF778A" w:rsidRPr="00C40415" w:rsidRDefault="00CF778A" w:rsidP="0034622E">
            <w:pPr>
              <w:tabs>
                <w:tab w:val="right" w:pos="1202"/>
              </w:tabs>
              <w:spacing w:line="240" w:lineRule="atLeast"/>
              <w:jc w:val="right"/>
              <w:outlineLvl w:val="0"/>
              <w:rPr>
                <w:rFonts w:ascii="Arial" w:hAnsi="Arial" w:cs="Arial"/>
                <w:b/>
                <w:color w:val="000000" w:themeColor="text1"/>
                <w:sz w:val="17"/>
                <w:szCs w:val="17"/>
              </w:rPr>
            </w:pPr>
            <w:r w:rsidRPr="00C40415">
              <w:rPr>
                <w:rFonts w:ascii="Arial" w:hAnsi="Arial" w:cs="Arial"/>
                <w:b/>
                <w:color w:val="000000" w:themeColor="text1"/>
                <w:sz w:val="17"/>
                <w:szCs w:val="17"/>
              </w:rPr>
              <w:t>Do 1 mjesec</w:t>
            </w:r>
          </w:p>
        </w:tc>
        <w:tc>
          <w:tcPr>
            <w:tcW w:w="558" w:type="pct"/>
          </w:tcPr>
          <w:p w14:paraId="298CF4EC" w14:textId="77777777" w:rsidR="00CF778A" w:rsidRPr="00C40415" w:rsidRDefault="00CF778A" w:rsidP="0034622E">
            <w:pPr>
              <w:tabs>
                <w:tab w:val="right" w:pos="1202"/>
              </w:tabs>
              <w:spacing w:line="240" w:lineRule="atLeast"/>
              <w:jc w:val="right"/>
              <w:outlineLvl w:val="0"/>
              <w:rPr>
                <w:rFonts w:ascii="Arial" w:hAnsi="Arial" w:cs="Arial"/>
                <w:b/>
                <w:color w:val="000000" w:themeColor="text1"/>
                <w:sz w:val="17"/>
                <w:szCs w:val="17"/>
              </w:rPr>
            </w:pPr>
            <w:r w:rsidRPr="00C40415">
              <w:rPr>
                <w:rFonts w:ascii="Arial" w:hAnsi="Arial" w:cs="Arial"/>
                <w:b/>
                <w:color w:val="000000" w:themeColor="text1"/>
                <w:sz w:val="17"/>
                <w:szCs w:val="17"/>
              </w:rPr>
              <w:t>1 do 3 mjeseca</w:t>
            </w:r>
          </w:p>
        </w:tc>
        <w:tc>
          <w:tcPr>
            <w:tcW w:w="559" w:type="pct"/>
          </w:tcPr>
          <w:p w14:paraId="1F9CB882" w14:textId="77777777" w:rsidR="00CF778A" w:rsidRPr="00C40415" w:rsidRDefault="00CF778A" w:rsidP="0034622E">
            <w:pPr>
              <w:tabs>
                <w:tab w:val="right" w:pos="1202"/>
              </w:tabs>
              <w:spacing w:line="240" w:lineRule="atLeast"/>
              <w:jc w:val="right"/>
              <w:outlineLvl w:val="0"/>
              <w:rPr>
                <w:rFonts w:ascii="Arial" w:hAnsi="Arial" w:cs="Arial"/>
                <w:b/>
                <w:color w:val="000000" w:themeColor="text1"/>
                <w:sz w:val="17"/>
                <w:szCs w:val="17"/>
              </w:rPr>
            </w:pPr>
            <w:r w:rsidRPr="00C40415">
              <w:rPr>
                <w:rFonts w:ascii="Arial" w:hAnsi="Arial" w:cs="Arial"/>
                <w:b/>
                <w:color w:val="000000" w:themeColor="text1"/>
                <w:sz w:val="17"/>
                <w:szCs w:val="17"/>
              </w:rPr>
              <w:t>3 mj. do 1 godine</w:t>
            </w:r>
          </w:p>
        </w:tc>
        <w:tc>
          <w:tcPr>
            <w:tcW w:w="559" w:type="pct"/>
          </w:tcPr>
          <w:p w14:paraId="5A5F2499" w14:textId="77777777" w:rsidR="00CF778A" w:rsidRPr="00C40415" w:rsidRDefault="00CF778A" w:rsidP="0034622E">
            <w:pPr>
              <w:tabs>
                <w:tab w:val="right" w:pos="1202"/>
              </w:tabs>
              <w:spacing w:line="240" w:lineRule="atLeast"/>
              <w:jc w:val="right"/>
              <w:outlineLvl w:val="0"/>
              <w:rPr>
                <w:rFonts w:ascii="Arial" w:hAnsi="Arial" w:cs="Arial"/>
                <w:b/>
                <w:color w:val="000000" w:themeColor="text1"/>
                <w:sz w:val="17"/>
                <w:szCs w:val="17"/>
              </w:rPr>
            </w:pPr>
            <w:r w:rsidRPr="00C40415">
              <w:rPr>
                <w:rFonts w:ascii="Arial" w:hAnsi="Arial" w:cs="Arial"/>
                <w:b/>
                <w:color w:val="000000" w:themeColor="text1"/>
                <w:sz w:val="17"/>
                <w:szCs w:val="17"/>
              </w:rPr>
              <w:t>1 do 3 godina</w:t>
            </w:r>
          </w:p>
        </w:tc>
        <w:tc>
          <w:tcPr>
            <w:tcW w:w="559" w:type="pct"/>
          </w:tcPr>
          <w:p w14:paraId="0F0BE577" w14:textId="77777777" w:rsidR="00CF778A" w:rsidRPr="00C40415" w:rsidRDefault="00CF778A" w:rsidP="0034622E">
            <w:pPr>
              <w:tabs>
                <w:tab w:val="right" w:pos="1202"/>
              </w:tabs>
              <w:spacing w:line="240" w:lineRule="atLeast"/>
              <w:jc w:val="right"/>
              <w:outlineLvl w:val="0"/>
              <w:rPr>
                <w:rFonts w:ascii="Arial" w:hAnsi="Arial" w:cs="Arial"/>
                <w:b/>
                <w:color w:val="000000" w:themeColor="text1"/>
                <w:sz w:val="17"/>
                <w:szCs w:val="17"/>
              </w:rPr>
            </w:pPr>
            <w:r w:rsidRPr="00C40415">
              <w:rPr>
                <w:rFonts w:ascii="Arial" w:hAnsi="Arial" w:cs="Arial"/>
                <w:b/>
                <w:color w:val="000000" w:themeColor="text1"/>
                <w:sz w:val="17"/>
                <w:szCs w:val="17"/>
              </w:rPr>
              <w:t>Preko 3 godine</w:t>
            </w:r>
          </w:p>
        </w:tc>
        <w:tc>
          <w:tcPr>
            <w:tcW w:w="622" w:type="pct"/>
          </w:tcPr>
          <w:p w14:paraId="566EBE93" w14:textId="77777777" w:rsidR="00CF778A" w:rsidRPr="00C40415" w:rsidRDefault="00CF778A" w:rsidP="0034622E">
            <w:pPr>
              <w:tabs>
                <w:tab w:val="right" w:pos="1202"/>
              </w:tabs>
              <w:spacing w:line="240" w:lineRule="atLeast"/>
              <w:jc w:val="right"/>
              <w:outlineLvl w:val="0"/>
              <w:rPr>
                <w:rFonts w:ascii="Arial" w:hAnsi="Arial" w:cs="Arial"/>
                <w:b/>
                <w:color w:val="000000" w:themeColor="text1"/>
                <w:sz w:val="17"/>
                <w:szCs w:val="17"/>
              </w:rPr>
            </w:pPr>
            <w:r w:rsidRPr="00C40415">
              <w:rPr>
                <w:rFonts w:ascii="Arial" w:hAnsi="Arial" w:cs="Arial"/>
                <w:b/>
                <w:color w:val="000000" w:themeColor="text1"/>
                <w:sz w:val="17"/>
                <w:szCs w:val="17"/>
              </w:rPr>
              <w:t>Ukupno</w:t>
            </w:r>
          </w:p>
        </w:tc>
      </w:tr>
      <w:tr w:rsidR="00CF778A" w:rsidRPr="00C40415" w14:paraId="443E3578" w14:textId="77777777" w:rsidTr="0034622E">
        <w:trPr>
          <w:trHeight w:val="226"/>
        </w:trPr>
        <w:tc>
          <w:tcPr>
            <w:tcW w:w="1584" w:type="pct"/>
            <w:vAlign w:val="bottom"/>
          </w:tcPr>
          <w:p w14:paraId="08CADFE2" w14:textId="77777777" w:rsidR="00CF778A" w:rsidRPr="00C40415" w:rsidRDefault="00CF778A" w:rsidP="0034622E">
            <w:pPr>
              <w:tabs>
                <w:tab w:val="left" w:pos="-720"/>
              </w:tabs>
              <w:suppressAutoHyphens/>
              <w:jc w:val="center"/>
              <w:rPr>
                <w:rFonts w:ascii="Arial" w:hAnsi="Arial" w:cs="Arial"/>
                <w:b/>
                <w:color w:val="000000" w:themeColor="text1"/>
                <w:spacing w:val="-2"/>
                <w:sz w:val="17"/>
                <w:szCs w:val="17"/>
              </w:rPr>
            </w:pPr>
          </w:p>
        </w:tc>
        <w:tc>
          <w:tcPr>
            <w:tcW w:w="559" w:type="pct"/>
            <w:tcBorders>
              <w:top w:val="nil"/>
              <w:left w:val="nil"/>
              <w:bottom w:val="nil"/>
              <w:right w:val="nil"/>
            </w:tcBorders>
            <w:shd w:val="clear" w:color="auto" w:fill="auto"/>
            <w:vAlign w:val="bottom"/>
          </w:tcPr>
          <w:p w14:paraId="69FBA176" w14:textId="77777777" w:rsidR="00CF778A" w:rsidRPr="00C40415" w:rsidRDefault="00CF778A" w:rsidP="0034622E">
            <w:pPr>
              <w:tabs>
                <w:tab w:val="right" w:pos="1202"/>
                <w:tab w:val="center" w:pos="4153"/>
                <w:tab w:val="right" w:pos="8306"/>
              </w:tabs>
              <w:spacing w:line="301" w:lineRule="exact"/>
              <w:jc w:val="right"/>
              <w:outlineLvl w:val="0"/>
              <w:rPr>
                <w:rFonts w:ascii="Arial" w:hAnsi="Arial" w:cs="Arial"/>
                <w:b/>
                <w:color w:val="000000" w:themeColor="text1"/>
                <w:sz w:val="17"/>
                <w:szCs w:val="17"/>
              </w:rPr>
            </w:pPr>
            <w:r w:rsidRPr="00622C96">
              <w:rPr>
                <w:rFonts w:ascii="Arial" w:eastAsia="Calibri" w:hAnsi="Arial" w:cs="Arial"/>
                <w:b/>
                <w:color w:val="000000" w:themeColor="text1"/>
                <w:sz w:val="17"/>
                <w:szCs w:val="17"/>
              </w:rPr>
              <w:t>000 eura</w:t>
            </w:r>
          </w:p>
        </w:tc>
        <w:tc>
          <w:tcPr>
            <w:tcW w:w="558" w:type="pct"/>
            <w:tcBorders>
              <w:top w:val="nil"/>
              <w:left w:val="nil"/>
              <w:bottom w:val="nil"/>
              <w:right w:val="nil"/>
            </w:tcBorders>
            <w:shd w:val="clear" w:color="auto" w:fill="auto"/>
            <w:vAlign w:val="bottom"/>
          </w:tcPr>
          <w:p w14:paraId="756E2D31" w14:textId="77777777" w:rsidR="00CF778A" w:rsidRPr="00C40415" w:rsidRDefault="00CF778A" w:rsidP="0034622E">
            <w:pPr>
              <w:tabs>
                <w:tab w:val="right" w:pos="1202"/>
                <w:tab w:val="center" w:pos="4153"/>
                <w:tab w:val="right" w:pos="8306"/>
              </w:tabs>
              <w:spacing w:line="301" w:lineRule="exact"/>
              <w:jc w:val="right"/>
              <w:outlineLvl w:val="0"/>
              <w:rPr>
                <w:rFonts w:ascii="Arial" w:hAnsi="Arial" w:cs="Arial"/>
                <w:b/>
                <w:color w:val="000000" w:themeColor="text1"/>
                <w:sz w:val="17"/>
                <w:szCs w:val="17"/>
              </w:rPr>
            </w:pPr>
            <w:r w:rsidRPr="00622C96">
              <w:rPr>
                <w:rFonts w:ascii="Arial" w:eastAsia="Calibri" w:hAnsi="Arial" w:cs="Arial"/>
                <w:b/>
                <w:color w:val="000000" w:themeColor="text1"/>
                <w:sz w:val="17"/>
                <w:szCs w:val="17"/>
              </w:rPr>
              <w:t>000 eura</w:t>
            </w:r>
          </w:p>
        </w:tc>
        <w:tc>
          <w:tcPr>
            <w:tcW w:w="559" w:type="pct"/>
            <w:tcBorders>
              <w:top w:val="nil"/>
              <w:left w:val="nil"/>
              <w:bottom w:val="nil"/>
              <w:right w:val="nil"/>
            </w:tcBorders>
            <w:shd w:val="clear" w:color="auto" w:fill="auto"/>
            <w:vAlign w:val="bottom"/>
          </w:tcPr>
          <w:p w14:paraId="1EC89E46" w14:textId="77777777" w:rsidR="00CF778A" w:rsidRPr="00C40415" w:rsidRDefault="00CF778A" w:rsidP="0034622E">
            <w:pPr>
              <w:tabs>
                <w:tab w:val="right" w:pos="1202"/>
                <w:tab w:val="center" w:pos="4153"/>
                <w:tab w:val="right" w:pos="8306"/>
              </w:tabs>
              <w:spacing w:line="301" w:lineRule="exact"/>
              <w:jc w:val="right"/>
              <w:outlineLvl w:val="0"/>
              <w:rPr>
                <w:rFonts w:ascii="Arial" w:hAnsi="Arial" w:cs="Arial"/>
                <w:b/>
                <w:color w:val="000000" w:themeColor="text1"/>
                <w:sz w:val="17"/>
                <w:szCs w:val="17"/>
              </w:rPr>
            </w:pPr>
            <w:r w:rsidRPr="00622C96">
              <w:rPr>
                <w:rFonts w:ascii="Arial" w:eastAsia="Calibri" w:hAnsi="Arial" w:cs="Arial"/>
                <w:b/>
                <w:color w:val="000000" w:themeColor="text1"/>
                <w:sz w:val="17"/>
                <w:szCs w:val="17"/>
              </w:rPr>
              <w:t>000 eura</w:t>
            </w:r>
          </w:p>
        </w:tc>
        <w:tc>
          <w:tcPr>
            <w:tcW w:w="559" w:type="pct"/>
            <w:tcBorders>
              <w:top w:val="nil"/>
              <w:left w:val="nil"/>
              <w:bottom w:val="nil"/>
              <w:right w:val="nil"/>
            </w:tcBorders>
            <w:shd w:val="clear" w:color="auto" w:fill="auto"/>
            <w:vAlign w:val="bottom"/>
          </w:tcPr>
          <w:p w14:paraId="116CA572" w14:textId="77777777" w:rsidR="00CF778A" w:rsidRPr="00C40415" w:rsidRDefault="00CF778A" w:rsidP="0034622E">
            <w:pPr>
              <w:tabs>
                <w:tab w:val="right" w:pos="1202"/>
                <w:tab w:val="center" w:pos="4153"/>
                <w:tab w:val="right" w:pos="8306"/>
              </w:tabs>
              <w:spacing w:line="301" w:lineRule="exact"/>
              <w:jc w:val="right"/>
              <w:outlineLvl w:val="0"/>
              <w:rPr>
                <w:rFonts w:ascii="Arial" w:hAnsi="Arial" w:cs="Arial"/>
                <w:b/>
                <w:color w:val="000000" w:themeColor="text1"/>
                <w:sz w:val="17"/>
                <w:szCs w:val="17"/>
              </w:rPr>
            </w:pPr>
            <w:r w:rsidRPr="00622C96">
              <w:rPr>
                <w:rFonts w:ascii="Arial" w:eastAsia="Calibri" w:hAnsi="Arial" w:cs="Arial"/>
                <w:b/>
                <w:color w:val="000000" w:themeColor="text1"/>
                <w:sz w:val="17"/>
                <w:szCs w:val="17"/>
              </w:rPr>
              <w:t>000 eura</w:t>
            </w:r>
          </w:p>
        </w:tc>
        <w:tc>
          <w:tcPr>
            <w:tcW w:w="559" w:type="pct"/>
            <w:tcBorders>
              <w:top w:val="nil"/>
              <w:left w:val="nil"/>
              <w:bottom w:val="nil"/>
              <w:right w:val="nil"/>
            </w:tcBorders>
            <w:shd w:val="clear" w:color="auto" w:fill="auto"/>
            <w:vAlign w:val="bottom"/>
          </w:tcPr>
          <w:p w14:paraId="1013BADE" w14:textId="77777777" w:rsidR="00CF778A" w:rsidRPr="00C40415" w:rsidRDefault="00CF778A" w:rsidP="0034622E">
            <w:pPr>
              <w:tabs>
                <w:tab w:val="right" w:pos="1202"/>
                <w:tab w:val="center" w:pos="4153"/>
                <w:tab w:val="right" w:pos="8306"/>
              </w:tabs>
              <w:spacing w:line="301" w:lineRule="exact"/>
              <w:jc w:val="right"/>
              <w:outlineLvl w:val="0"/>
              <w:rPr>
                <w:rFonts w:ascii="Arial" w:hAnsi="Arial" w:cs="Arial"/>
                <w:b/>
                <w:color w:val="000000" w:themeColor="text1"/>
                <w:sz w:val="17"/>
                <w:szCs w:val="17"/>
              </w:rPr>
            </w:pPr>
            <w:r w:rsidRPr="00622C96">
              <w:rPr>
                <w:rFonts w:ascii="Arial" w:eastAsia="Calibri" w:hAnsi="Arial" w:cs="Arial"/>
                <w:b/>
                <w:color w:val="000000" w:themeColor="text1"/>
                <w:sz w:val="17"/>
                <w:szCs w:val="17"/>
              </w:rPr>
              <w:t>000 eura</w:t>
            </w:r>
          </w:p>
        </w:tc>
        <w:tc>
          <w:tcPr>
            <w:tcW w:w="622" w:type="pct"/>
            <w:vAlign w:val="bottom"/>
          </w:tcPr>
          <w:p w14:paraId="5FF48FD1" w14:textId="77777777" w:rsidR="00CF778A" w:rsidRPr="00C40415" w:rsidRDefault="00CF778A" w:rsidP="0034622E">
            <w:pPr>
              <w:tabs>
                <w:tab w:val="right" w:pos="1202"/>
                <w:tab w:val="center" w:pos="4153"/>
                <w:tab w:val="right" w:pos="8306"/>
              </w:tabs>
              <w:spacing w:line="301" w:lineRule="exact"/>
              <w:jc w:val="right"/>
              <w:outlineLvl w:val="0"/>
              <w:rPr>
                <w:rFonts w:ascii="Arial" w:hAnsi="Arial" w:cs="Arial"/>
                <w:b/>
                <w:color w:val="000000" w:themeColor="text1"/>
                <w:sz w:val="17"/>
                <w:szCs w:val="17"/>
              </w:rPr>
            </w:pPr>
            <w:r w:rsidRPr="00622C96">
              <w:rPr>
                <w:rFonts w:ascii="Arial" w:hAnsi="Arial" w:cs="Arial"/>
                <w:b/>
                <w:color w:val="000000" w:themeColor="text1"/>
                <w:sz w:val="17"/>
                <w:szCs w:val="17"/>
              </w:rPr>
              <w:t>000 eura</w:t>
            </w:r>
          </w:p>
        </w:tc>
      </w:tr>
      <w:tr w:rsidR="00CF778A" w:rsidRPr="00C40415" w14:paraId="07297A70" w14:textId="77777777" w:rsidTr="0034622E">
        <w:trPr>
          <w:trHeight w:hRule="exact" w:val="266"/>
        </w:trPr>
        <w:tc>
          <w:tcPr>
            <w:tcW w:w="1584" w:type="pct"/>
            <w:vAlign w:val="bottom"/>
          </w:tcPr>
          <w:p w14:paraId="21960FB1" w14:textId="77777777" w:rsidR="00CF778A" w:rsidRPr="00C40415" w:rsidRDefault="00CF778A" w:rsidP="0034622E">
            <w:pPr>
              <w:tabs>
                <w:tab w:val="right" w:pos="1202"/>
              </w:tabs>
              <w:spacing w:line="301" w:lineRule="exact"/>
              <w:outlineLvl w:val="0"/>
              <w:rPr>
                <w:rFonts w:ascii="Arial" w:hAnsi="Arial" w:cs="Arial"/>
                <w:b/>
                <w:bCs/>
                <w:color w:val="000000" w:themeColor="text1"/>
                <w:sz w:val="17"/>
                <w:szCs w:val="17"/>
              </w:rPr>
            </w:pPr>
            <w:r w:rsidRPr="00C40415">
              <w:rPr>
                <w:rFonts w:ascii="Arial" w:hAnsi="Arial" w:cs="Arial"/>
                <w:b/>
                <w:bCs/>
                <w:color w:val="000000" w:themeColor="text1"/>
                <w:sz w:val="17"/>
                <w:szCs w:val="17"/>
              </w:rPr>
              <w:t>Financijske obveze</w:t>
            </w:r>
          </w:p>
        </w:tc>
        <w:tc>
          <w:tcPr>
            <w:tcW w:w="559" w:type="pct"/>
            <w:vAlign w:val="bottom"/>
          </w:tcPr>
          <w:p w14:paraId="14E4BDA3" w14:textId="77777777" w:rsidR="00CF778A" w:rsidRPr="00C40415" w:rsidRDefault="00CF778A" w:rsidP="0034622E">
            <w:pPr>
              <w:tabs>
                <w:tab w:val="right" w:pos="1202"/>
                <w:tab w:val="center" w:pos="4153"/>
                <w:tab w:val="right" w:pos="8306"/>
              </w:tabs>
              <w:spacing w:line="301" w:lineRule="exact"/>
              <w:jc w:val="right"/>
              <w:outlineLvl w:val="0"/>
              <w:rPr>
                <w:rFonts w:ascii="Arial" w:hAnsi="Arial" w:cs="Arial"/>
                <w:color w:val="000000" w:themeColor="text1"/>
                <w:sz w:val="17"/>
                <w:szCs w:val="17"/>
              </w:rPr>
            </w:pPr>
          </w:p>
        </w:tc>
        <w:tc>
          <w:tcPr>
            <w:tcW w:w="558" w:type="pct"/>
            <w:vAlign w:val="bottom"/>
          </w:tcPr>
          <w:p w14:paraId="264BE2DE" w14:textId="77777777" w:rsidR="00CF778A" w:rsidRPr="00C40415" w:rsidRDefault="00CF778A" w:rsidP="0034622E">
            <w:pPr>
              <w:tabs>
                <w:tab w:val="right" w:pos="1202"/>
                <w:tab w:val="center" w:pos="4153"/>
                <w:tab w:val="right" w:pos="8306"/>
              </w:tabs>
              <w:spacing w:line="301" w:lineRule="exact"/>
              <w:jc w:val="right"/>
              <w:outlineLvl w:val="0"/>
              <w:rPr>
                <w:rFonts w:ascii="Arial" w:hAnsi="Arial" w:cs="Arial"/>
                <w:color w:val="000000" w:themeColor="text1"/>
                <w:sz w:val="17"/>
                <w:szCs w:val="17"/>
              </w:rPr>
            </w:pPr>
          </w:p>
        </w:tc>
        <w:tc>
          <w:tcPr>
            <w:tcW w:w="559" w:type="pct"/>
            <w:vAlign w:val="bottom"/>
          </w:tcPr>
          <w:p w14:paraId="484B3185" w14:textId="77777777" w:rsidR="00CF778A" w:rsidRPr="00C40415" w:rsidRDefault="00CF778A" w:rsidP="0034622E">
            <w:pPr>
              <w:tabs>
                <w:tab w:val="right" w:pos="1202"/>
                <w:tab w:val="center" w:pos="4153"/>
                <w:tab w:val="right" w:pos="8306"/>
              </w:tabs>
              <w:spacing w:line="301" w:lineRule="exact"/>
              <w:jc w:val="right"/>
              <w:outlineLvl w:val="0"/>
              <w:rPr>
                <w:rFonts w:ascii="Arial" w:hAnsi="Arial" w:cs="Arial"/>
                <w:color w:val="000000" w:themeColor="text1"/>
                <w:sz w:val="17"/>
                <w:szCs w:val="17"/>
              </w:rPr>
            </w:pPr>
          </w:p>
        </w:tc>
        <w:tc>
          <w:tcPr>
            <w:tcW w:w="559" w:type="pct"/>
            <w:vAlign w:val="bottom"/>
          </w:tcPr>
          <w:p w14:paraId="07B7911D" w14:textId="77777777" w:rsidR="00CF778A" w:rsidRPr="00C40415" w:rsidRDefault="00CF778A" w:rsidP="0034622E">
            <w:pPr>
              <w:tabs>
                <w:tab w:val="right" w:pos="1202"/>
                <w:tab w:val="center" w:pos="4153"/>
                <w:tab w:val="right" w:pos="8306"/>
              </w:tabs>
              <w:spacing w:line="301" w:lineRule="exact"/>
              <w:jc w:val="right"/>
              <w:outlineLvl w:val="0"/>
              <w:rPr>
                <w:rFonts w:ascii="Arial" w:hAnsi="Arial" w:cs="Arial"/>
                <w:color w:val="000000" w:themeColor="text1"/>
                <w:sz w:val="17"/>
                <w:szCs w:val="17"/>
              </w:rPr>
            </w:pPr>
          </w:p>
        </w:tc>
        <w:tc>
          <w:tcPr>
            <w:tcW w:w="559" w:type="pct"/>
            <w:vAlign w:val="bottom"/>
          </w:tcPr>
          <w:p w14:paraId="2846B830" w14:textId="77777777" w:rsidR="00CF778A" w:rsidRPr="00C40415" w:rsidRDefault="00CF778A" w:rsidP="0034622E">
            <w:pPr>
              <w:tabs>
                <w:tab w:val="right" w:pos="1202"/>
                <w:tab w:val="center" w:pos="4153"/>
                <w:tab w:val="right" w:pos="8306"/>
              </w:tabs>
              <w:spacing w:line="301" w:lineRule="exact"/>
              <w:jc w:val="right"/>
              <w:outlineLvl w:val="0"/>
              <w:rPr>
                <w:rFonts w:ascii="Arial" w:hAnsi="Arial" w:cs="Arial"/>
                <w:color w:val="000000" w:themeColor="text1"/>
                <w:sz w:val="17"/>
                <w:szCs w:val="17"/>
              </w:rPr>
            </w:pPr>
          </w:p>
        </w:tc>
        <w:tc>
          <w:tcPr>
            <w:tcW w:w="622" w:type="pct"/>
            <w:vAlign w:val="bottom"/>
          </w:tcPr>
          <w:p w14:paraId="3C14DB2F" w14:textId="77777777" w:rsidR="00CF778A" w:rsidRPr="00C40415" w:rsidRDefault="00CF778A" w:rsidP="0034622E">
            <w:pPr>
              <w:tabs>
                <w:tab w:val="right" w:pos="1202"/>
                <w:tab w:val="center" w:pos="4153"/>
                <w:tab w:val="right" w:pos="8306"/>
              </w:tabs>
              <w:spacing w:line="301" w:lineRule="exact"/>
              <w:jc w:val="right"/>
              <w:outlineLvl w:val="0"/>
              <w:rPr>
                <w:rFonts w:ascii="Arial" w:hAnsi="Arial" w:cs="Arial"/>
                <w:color w:val="000000" w:themeColor="text1"/>
                <w:sz w:val="17"/>
                <w:szCs w:val="17"/>
              </w:rPr>
            </w:pPr>
          </w:p>
        </w:tc>
      </w:tr>
      <w:tr w:rsidR="00CF778A" w:rsidRPr="00C40415" w14:paraId="596ED367" w14:textId="77777777" w:rsidTr="0034622E">
        <w:trPr>
          <w:trHeight w:hRule="exact" w:val="213"/>
        </w:trPr>
        <w:tc>
          <w:tcPr>
            <w:tcW w:w="1584" w:type="pct"/>
            <w:vAlign w:val="bottom"/>
          </w:tcPr>
          <w:p w14:paraId="5D4ABE6D" w14:textId="77777777" w:rsidR="00CF778A" w:rsidRPr="00C40415" w:rsidRDefault="00CF778A" w:rsidP="0034622E">
            <w:pPr>
              <w:tabs>
                <w:tab w:val="right" w:pos="1202"/>
              </w:tabs>
              <w:spacing w:line="240" w:lineRule="exact"/>
              <w:outlineLvl w:val="0"/>
              <w:rPr>
                <w:rFonts w:ascii="Arial" w:eastAsia="Calibri" w:hAnsi="Arial" w:cs="Arial"/>
                <w:color w:val="000000" w:themeColor="text1"/>
                <w:spacing w:val="-2"/>
                <w:sz w:val="17"/>
                <w:szCs w:val="17"/>
              </w:rPr>
            </w:pPr>
            <w:r w:rsidRPr="00C40415">
              <w:rPr>
                <w:rFonts w:ascii="Arial" w:eastAsia="Calibri" w:hAnsi="Arial" w:cs="Arial"/>
                <w:color w:val="000000" w:themeColor="text1"/>
                <w:spacing w:val="-2"/>
                <w:sz w:val="17"/>
                <w:szCs w:val="17"/>
              </w:rPr>
              <w:t>Obveze po depozitima</w:t>
            </w:r>
          </w:p>
        </w:tc>
        <w:tc>
          <w:tcPr>
            <w:tcW w:w="559" w:type="pct"/>
            <w:tcBorders>
              <w:top w:val="nil"/>
              <w:left w:val="nil"/>
              <w:bottom w:val="nil"/>
              <w:right w:val="nil"/>
            </w:tcBorders>
            <w:shd w:val="clear" w:color="auto" w:fill="auto"/>
            <w:vAlign w:val="bottom"/>
          </w:tcPr>
          <w:p w14:paraId="17784E17" w14:textId="77777777" w:rsidR="00CF778A" w:rsidRPr="00F959D0" w:rsidRDefault="00CF778A" w:rsidP="0034622E">
            <w:pPr>
              <w:tabs>
                <w:tab w:val="right" w:pos="1202"/>
              </w:tabs>
              <w:spacing w:line="240" w:lineRule="exact"/>
              <w:jc w:val="right"/>
              <w:outlineLvl w:val="0"/>
              <w:rPr>
                <w:rFonts w:ascii="Arial" w:hAnsi="Arial" w:cs="Arial"/>
                <w:sz w:val="17"/>
                <w:szCs w:val="17"/>
              </w:rPr>
            </w:pPr>
            <w:r w:rsidRPr="00F959D0">
              <w:rPr>
                <w:rFonts w:ascii="Arial" w:hAnsi="Arial" w:cs="Arial"/>
                <w:sz w:val="17"/>
                <w:szCs w:val="17"/>
              </w:rPr>
              <w:t>148.059</w:t>
            </w:r>
          </w:p>
        </w:tc>
        <w:tc>
          <w:tcPr>
            <w:tcW w:w="558" w:type="pct"/>
            <w:tcBorders>
              <w:top w:val="nil"/>
              <w:left w:val="nil"/>
              <w:bottom w:val="nil"/>
              <w:right w:val="nil"/>
            </w:tcBorders>
            <w:shd w:val="clear" w:color="auto" w:fill="auto"/>
            <w:vAlign w:val="bottom"/>
          </w:tcPr>
          <w:p w14:paraId="7D5890CF" w14:textId="77777777" w:rsidR="00CF778A" w:rsidRPr="00F959D0" w:rsidRDefault="00CF778A" w:rsidP="0034622E">
            <w:pPr>
              <w:tabs>
                <w:tab w:val="right" w:pos="1202"/>
              </w:tabs>
              <w:spacing w:line="240" w:lineRule="exact"/>
              <w:jc w:val="right"/>
              <w:outlineLvl w:val="0"/>
              <w:rPr>
                <w:rFonts w:ascii="Arial" w:hAnsi="Arial" w:cs="Arial"/>
                <w:sz w:val="17"/>
                <w:szCs w:val="17"/>
              </w:rPr>
            </w:pPr>
            <w:r w:rsidRPr="00F959D0">
              <w:rPr>
                <w:rFonts w:ascii="Arial" w:hAnsi="Arial" w:cs="Arial"/>
                <w:sz w:val="17"/>
                <w:szCs w:val="17"/>
              </w:rPr>
              <w:t>12.586</w:t>
            </w:r>
          </w:p>
        </w:tc>
        <w:tc>
          <w:tcPr>
            <w:tcW w:w="559" w:type="pct"/>
            <w:tcBorders>
              <w:top w:val="nil"/>
              <w:left w:val="nil"/>
              <w:bottom w:val="nil"/>
              <w:right w:val="nil"/>
            </w:tcBorders>
            <w:shd w:val="clear" w:color="auto" w:fill="auto"/>
            <w:vAlign w:val="bottom"/>
          </w:tcPr>
          <w:p w14:paraId="49B847D7" w14:textId="77777777" w:rsidR="00CF778A" w:rsidRPr="00F959D0" w:rsidRDefault="00CF778A" w:rsidP="0034622E">
            <w:pPr>
              <w:tabs>
                <w:tab w:val="right" w:pos="1202"/>
              </w:tabs>
              <w:spacing w:line="240" w:lineRule="exact"/>
              <w:jc w:val="right"/>
              <w:outlineLvl w:val="0"/>
              <w:rPr>
                <w:rFonts w:ascii="Arial" w:hAnsi="Arial" w:cs="Arial"/>
                <w:sz w:val="17"/>
                <w:szCs w:val="17"/>
              </w:rPr>
            </w:pPr>
            <w:r w:rsidRPr="00F959D0">
              <w:rPr>
                <w:rFonts w:ascii="Arial" w:hAnsi="Arial" w:cs="Arial"/>
                <w:sz w:val="17"/>
                <w:szCs w:val="17"/>
              </w:rPr>
              <w:t>18.604</w:t>
            </w:r>
          </w:p>
        </w:tc>
        <w:tc>
          <w:tcPr>
            <w:tcW w:w="559" w:type="pct"/>
            <w:tcBorders>
              <w:top w:val="nil"/>
              <w:left w:val="nil"/>
              <w:bottom w:val="nil"/>
              <w:right w:val="nil"/>
            </w:tcBorders>
            <w:shd w:val="clear" w:color="auto" w:fill="auto"/>
            <w:vAlign w:val="bottom"/>
          </w:tcPr>
          <w:p w14:paraId="3DA8D9A6" w14:textId="77777777" w:rsidR="00CF778A" w:rsidRPr="00F959D0" w:rsidRDefault="00CF778A" w:rsidP="0034622E">
            <w:pPr>
              <w:tabs>
                <w:tab w:val="right" w:pos="1202"/>
              </w:tabs>
              <w:spacing w:line="240" w:lineRule="exact"/>
              <w:jc w:val="right"/>
              <w:outlineLvl w:val="0"/>
              <w:rPr>
                <w:rFonts w:ascii="Arial" w:hAnsi="Arial" w:cs="Arial"/>
                <w:sz w:val="17"/>
                <w:szCs w:val="17"/>
              </w:rPr>
            </w:pPr>
            <w:r w:rsidRPr="00F959D0">
              <w:rPr>
                <w:rFonts w:ascii="Arial" w:hAnsi="Arial" w:cs="Arial"/>
                <w:sz w:val="17"/>
                <w:szCs w:val="17"/>
              </w:rPr>
              <w:t>46</w:t>
            </w:r>
          </w:p>
        </w:tc>
        <w:tc>
          <w:tcPr>
            <w:tcW w:w="559" w:type="pct"/>
            <w:tcBorders>
              <w:top w:val="nil"/>
              <w:left w:val="nil"/>
              <w:bottom w:val="nil"/>
              <w:right w:val="nil"/>
            </w:tcBorders>
            <w:shd w:val="clear" w:color="auto" w:fill="auto"/>
            <w:vAlign w:val="bottom"/>
          </w:tcPr>
          <w:p w14:paraId="11B28748" w14:textId="77777777" w:rsidR="00CF778A" w:rsidRPr="00F959D0" w:rsidRDefault="00CF778A" w:rsidP="0034622E">
            <w:pPr>
              <w:tabs>
                <w:tab w:val="right" w:pos="1202"/>
              </w:tabs>
              <w:spacing w:line="240" w:lineRule="exact"/>
              <w:jc w:val="right"/>
              <w:outlineLvl w:val="0"/>
              <w:rPr>
                <w:rFonts w:ascii="Arial" w:hAnsi="Arial" w:cs="Arial"/>
                <w:sz w:val="17"/>
                <w:szCs w:val="17"/>
              </w:rPr>
            </w:pPr>
            <w:r w:rsidRPr="00F959D0">
              <w:rPr>
                <w:rFonts w:ascii="Arial" w:hAnsi="Arial" w:cs="Arial"/>
                <w:sz w:val="17"/>
                <w:szCs w:val="17"/>
              </w:rPr>
              <w:t>15.581</w:t>
            </w:r>
          </w:p>
        </w:tc>
        <w:tc>
          <w:tcPr>
            <w:tcW w:w="622" w:type="pct"/>
            <w:tcBorders>
              <w:top w:val="nil"/>
              <w:left w:val="nil"/>
              <w:bottom w:val="nil"/>
              <w:right w:val="nil"/>
            </w:tcBorders>
            <w:shd w:val="clear" w:color="auto" w:fill="auto"/>
            <w:vAlign w:val="bottom"/>
          </w:tcPr>
          <w:p w14:paraId="08FC7DB2" w14:textId="77777777" w:rsidR="00CF778A" w:rsidRPr="00F959D0" w:rsidRDefault="00CF778A" w:rsidP="0034622E">
            <w:pPr>
              <w:tabs>
                <w:tab w:val="right" w:pos="1202"/>
              </w:tabs>
              <w:spacing w:line="240" w:lineRule="exact"/>
              <w:jc w:val="right"/>
              <w:outlineLvl w:val="0"/>
              <w:rPr>
                <w:rFonts w:ascii="Arial" w:hAnsi="Arial" w:cs="Arial"/>
                <w:sz w:val="17"/>
                <w:szCs w:val="17"/>
              </w:rPr>
            </w:pPr>
            <w:r w:rsidRPr="00F959D0">
              <w:rPr>
                <w:rFonts w:ascii="Arial" w:hAnsi="Arial" w:cs="Arial"/>
                <w:sz w:val="17"/>
                <w:szCs w:val="17"/>
              </w:rPr>
              <w:t>194.876</w:t>
            </w:r>
          </w:p>
        </w:tc>
      </w:tr>
      <w:tr w:rsidR="00CF778A" w:rsidRPr="00C40415" w14:paraId="79A89E70" w14:textId="77777777" w:rsidTr="0034622E">
        <w:trPr>
          <w:trHeight w:hRule="exact" w:val="213"/>
        </w:trPr>
        <w:tc>
          <w:tcPr>
            <w:tcW w:w="1584" w:type="pct"/>
            <w:vAlign w:val="bottom"/>
          </w:tcPr>
          <w:p w14:paraId="0BB10A09" w14:textId="77777777" w:rsidR="00CF778A" w:rsidRPr="00C40415" w:rsidRDefault="00CF778A" w:rsidP="0034622E">
            <w:pPr>
              <w:tabs>
                <w:tab w:val="right" w:pos="1202"/>
              </w:tabs>
              <w:spacing w:line="240" w:lineRule="exact"/>
              <w:outlineLvl w:val="0"/>
              <w:rPr>
                <w:rFonts w:ascii="Arial" w:eastAsia="Calibri" w:hAnsi="Arial" w:cs="Arial"/>
                <w:color w:val="000000" w:themeColor="text1"/>
                <w:spacing w:val="-2"/>
                <w:sz w:val="17"/>
                <w:szCs w:val="17"/>
              </w:rPr>
            </w:pPr>
            <w:r w:rsidRPr="00C40415">
              <w:rPr>
                <w:rFonts w:ascii="Arial" w:eastAsia="Calibri" w:hAnsi="Arial" w:cs="Arial"/>
                <w:color w:val="000000" w:themeColor="text1"/>
                <w:spacing w:val="-2"/>
                <w:sz w:val="17"/>
                <w:szCs w:val="17"/>
              </w:rPr>
              <w:t>Obveze po kreditima</w:t>
            </w:r>
          </w:p>
        </w:tc>
        <w:tc>
          <w:tcPr>
            <w:tcW w:w="559" w:type="pct"/>
            <w:tcBorders>
              <w:top w:val="nil"/>
              <w:left w:val="nil"/>
              <w:bottom w:val="nil"/>
              <w:right w:val="nil"/>
            </w:tcBorders>
            <w:shd w:val="clear" w:color="auto" w:fill="auto"/>
            <w:vAlign w:val="bottom"/>
          </w:tcPr>
          <w:p w14:paraId="21DAB92A" w14:textId="77777777" w:rsidR="00CF778A" w:rsidRPr="00F959D0" w:rsidRDefault="00CF778A" w:rsidP="0034622E">
            <w:pPr>
              <w:tabs>
                <w:tab w:val="right" w:pos="1202"/>
              </w:tabs>
              <w:spacing w:line="240" w:lineRule="exact"/>
              <w:jc w:val="right"/>
              <w:outlineLvl w:val="0"/>
              <w:rPr>
                <w:rFonts w:ascii="Arial" w:hAnsi="Arial" w:cs="Arial"/>
                <w:sz w:val="17"/>
                <w:szCs w:val="17"/>
              </w:rPr>
            </w:pPr>
            <w:r w:rsidRPr="00F959D0">
              <w:rPr>
                <w:rFonts w:ascii="Arial" w:hAnsi="Arial" w:cs="Arial"/>
                <w:sz w:val="17"/>
                <w:szCs w:val="17"/>
              </w:rPr>
              <w:t>61.798</w:t>
            </w:r>
          </w:p>
        </w:tc>
        <w:tc>
          <w:tcPr>
            <w:tcW w:w="558" w:type="pct"/>
            <w:tcBorders>
              <w:top w:val="nil"/>
              <w:left w:val="nil"/>
              <w:bottom w:val="nil"/>
              <w:right w:val="nil"/>
            </w:tcBorders>
            <w:shd w:val="clear" w:color="auto" w:fill="auto"/>
            <w:vAlign w:val="bottom"/>
          </w:tcPr>
          <w:p w14:paraId="5EFE3515" w14:textId="77777777" w:rsidR="00CF778A" w:rsidRPr="00F959D0" w:rsidRDefault="00CF778A" w:rsidP="0034622E">
            <w:pPr>
              <w:tabs>
                <w:tab w:val="right" w:pos="1202"/>
              </w:tabs>
              <w:spacing w:line="240" w:lineRule="exact"/>
              <w:jc w:val="right"/>
              <w:outlineLvl w:val="0"/>
              <w:rPr>
                <w:rFonts w:ascii="Arial" w:hAnsi="Arial" w:cs="Arial"/>
                <w:sz w:val="17"/>
                <w:szCs w:val="17"/>
              </w:rPr>
            </w:pPr>
            <w:r w:rsidRPr="00F959D0">
              <w:rPr>
                <w:rFonts w:ascii="Arial" w:hAnsi="Arial" w:cs="Arial"/>
                <w:sz w:val="17"/>
                <w:szCs w:val="17"/>
              </w:rPr>
              <w:t>166.698</w:t>
            </w:r>
          </w:p>
        </w:tc>
        <w:tc>
          <w:tcPr>
            <w:tcW w:w="559" w:type="pct"/>
            <w:tcBorders>
              <w:top w:val="nil"/>
              <w:left w:val="nil"/>
              <w:bottom w:val="nil"/>
              <w:right w:val="nil"/>
            </w:tcBorders>
            <w:shd w:val="clear" w:color="auto" w:fill="auto"/>
            <w:vAlign w:val="bottom"/>
          </w:tcPr>
          <w:p w14:paraId="594742A4" w14:textId="77777777" w:rsidR="00CF778A" w:rsidRPr="00F959D0" w:rsidRDefault="00CF778A" w:rsidP="0034622E">
            <w:pPr>
              <w:tabs>
                <w:tab w:val="right" w:pos="1202"/>
              </w:tabs>
              <w:spacing w:line="240" w:lineRule="exact"/>
              <w:jc w:val="right"/>
              <w:outlineLvl w:val="0"/>
              <w:rPr>
                <w:rFonts w:ascii="Arial" w:hAnsi="Arial" w:cs="Arial"/>
                <w:sz w:val="17"/>
                <w:szCs w:val="17"/>
              </w:rPr>
            </w:pPr>
            <w:r w:rsidRPr="00F959D0">
              <w:rPr>
                <w:rFonts w:ascii="Arial" w:hAnsi="Arial" w:cs="Arial"/>
                <w:sz w:val="17"/>
                <w:szCs w:val="17"/>
              </w:rPr>
              <w:t>296.933</w:t>
            </w:r>
          </w:p>
        </w:tc>
        <w:tc>
          <w:tcPr>
            <w:tcW w:w="559" w:type="pct"/>
            <w:tcBorders>
              <w:top w:val="nil"/>
              <w:left w:val="nil"/>
              <w:bottom w:val="nil"/>
              <w:right w:val="nil"/>
            </w:tcBorders>
            <w:shd w:val="clear" w:color="auto" w:fill="auto"/>
            <w:vAlign w:val="bottom"/>
          </w:tcPr>
          <w:p w14:paraId="1DD46984" w14:textId="77777777" w:rsidR="00CF778A" w:rsidRPr="00F959D0" w:rsidRDefault="00CF778A" w:rsidP="0034622E">
            <w:pPr>
              <w:tabs>
                <w:tab w:val="right" w:pos="1202"/>
              </w:tabs>
              <w:spacing w:line="240" w:lineRule="exact"/>
              <w:jc w:val="right"/>
              <w:outlineLvl w:val="0"/>
              <w:rPr>
                <w:rFonts w:ascii="Arial" w:hAnsi="Arial" w:cs="Arial"/>
                <w:sz w:val="17"/>
                <w:szCs w:val="17"/>
              </w:rPr>
            </w:pPr>
            <w:r w:rsidRPr="00F959D0">
              <w:rPr>
                <w:rFonts w:ascii="Arial" w:hAnsi="Arial" w:cs="Arial"/>
                <w:sz w:val="17"/>
                <w:szCs w:val="17"/>
              </w:rPr>
              <w:t>723.743</w:t>
            </w:r>
          </w:p>
        </w:tc>
        <w:tc>
          <w:tcPr>
            <w:tcW w:w="559" w:type="pct"/>
            <w:tcBorders>
              <w:top w:val="nil"/>
              <w:left w:val="nil"/>
              <w:bottom w:val="nil"/>
              <w:right w:val="nil"/>
            </w:tcBorders>
            <w:shd w:val="clear" w:color="auto" w:fill="auto"/>
            <w:vAlign w:val="bottom"/>
          </w:tcPr>
          <w:p w14:paraId="78E0C1EB" w14:textId="77777777" w:rsidR="00CF778A" w:rsidRPr="00F959D0" w:rsidRDefault="00CF778A" w:rsidP="0034622E">
            <w:pPr>
              <w:tabs>
                <w:tab w:val="right" w:pos="1202"/>
              </w:tabs>
              <w:spacing w:line="240" w:lineRule="exact"/>
              <w:jc w:val="right"/>
              <w:outlineLvl w:val="0"/>
              <w:rPr>
                <w:rFonts w:ascii="Arial" w:hAnsi="Arial" w:cs="Arial"/>
                <w:sz w:val="17"/>
                <w:szCs w:val="17"/>
              </w:rPr>
            </w:pPr>
            <w:r w:rsidRPr="00F959D0">
              <w:rPr>
                <w:rFonts w:ascii="Arial" w:hAnsi="Arial" w:cs="Arial"/>
                <w:sz w:val="17"/>
                <w:szCs w:val="17"/>
              </w:rPr>
              <w:t>1.268.546</w:t>
            </w:r>
          </w:p>
        </w:tc>
        <w:tc>
          <w:tcPr>
            <w:tcW w:w="622" w:type="pct"/>
            <w:tcBorders>
              <w:top w:val="nil"/>
              <w:left w:val="nil"/>
              <w:bottom w:val="nil"/>
              <w:right w:val="nil"/>
            </w:tcBorders>
            <w:shd w:val="clear" w:color="auto" w:fill="auto"/>
            <w:vAlign w:val="bottom"/>
          </w:tcPr>
          <w:p w14:paraId="617C53D3" w14:textId="77777777" w:rsidR="00CF778A" w:rsidRPr="00F959D0" w:rsidRDefault="00CF778A" w:rsidP="0034622E">
            <w:pPr>
              <w:tabs>
                <w:tab w:val="right" w:pos="1202"/>
              </w:tabs>
              <w:spacing w:line="240" w:lineRule="exact"/>
              <w:jc w:val="right"/>
              <w:outlineLvl w:val="0"/>
              <w:rPr>
                <w:rFonts w:ascii="Arial" w:hAnsi="Arial" w:cs="Arial"/>
                <w:sz w:val="17"/>
                <w:szCs w:val="17"/>
              </w:rPr>
            </w:pPr>
            <w:r w:rsidRPr="00F959D0">
              <w:rPr>
                <w:rFonts w:ascii="Arial" w:hAnsi="Arial" w:cs="Arial"/>
                <w:sz w:val="17"/>
                <w:szCs w:val="17"/>
              </w:rPr>
              <w:t>2.517.718</w:t>
            </w:r>
          </w:p>
        </w:tc>
      </w:tr>
      <w:tr w:rsidR="00CF778A" w:rsidRPr="00C40415" w14:paraId="1762D180" w14:textId="77777777" w:rsidTr="0034622E">
        <w:trPr>
          <w:trHeight w:val="357"/>
        </w:trPr>
        <w:tc>
          <w:tcPr>
            <w:tcW w:w="1584" w:type="pct"/>
            <w:vAlign w:val="bottom"/>
          </w:tcPr>
          <w:p w14:paraId="54D33841" w14:textId="77777777" w:rsidR="00CF778A" w:rsidRPr="00C40415" w:rsidRDefault="00CF778A" w:rsidP="0034622E">
            <w:pPr>
              <w:tabs>
                <w:tab w:val="right" w:pos="1202"/>
              </w:tabs>
              <w:spacing w:line="220" w:lineRule="exact"/>
              <w:outlineLvl w:val="0"/>
              <w:rPr>
                <w:rFonts w:ascii="Arial" w:hAnsi="Arial" w:cs="Arial"/>
                <w:color w:val="000000" w:themeColor="text1"/>
                <w:spacing w:val="-2"/>
                <w:sz w:val="17"/>
                <w:szCs w:val="17"/>
              </w:rPr>
            </w:pPr>
            <w:r w:rsidRPr="00C40415">
              <w:rPr>
                <w:rFonts w:ascii="Arial" w:hAnsi="Arial" w:cs="Arial"/>
                <w:spacing w:val="-2"/>
                <w:sz w:val="17"/>
                <w:szCs w:val="17"/>
                <w:lang w:val="it-IT"/>
              </w:rPr>
              <w:t>Rezerviranja za garancije, preuzete i ostale obveze</w:t>
            </w:r>
          </w:p>
        </w:tc>
        <w:tc>
          <w:tcPr>
            <w:tcW w:w="559" w:type="pct"/>
            <w:tcBorders>
              <w:top w:val="nil"/>
              <w:left w:val="nil"/>
              <w:right w:val="nil"/>
            </w:tcBorders>
            <w:shd w:val="clear" w:color="auto" w:fill="auto"/>
            <w:vAlign w:val="bottom"/>
          </w:tcPr>
          <w:p w14:paraId="46220256" w14:textId="77777777" w:rsidR="00CF778A" w:rsidRPr="00F959D0" w:rsidRDefault="00CF778A" w:rsidP="0034622E">
            <w:pPr>
              <w:tabs>
                <w:tab w:val="right" w:pos="1202"/>
              </w:tabs>
              <w:spacing w:line="240" w:lineRule="exact"/>
              <w:jc w:val="right"/>
              <w:outlineLvl w:val="0"/>
              <w:rPr>
                <w:rFonts w:ascii="Arial" w:hAnsi="Arial" w:cs="Arial"/>
                <w:sz w:val="17"/>
                <w:szCs w:val="17"/>
              </w:rPr>
            </w:pPr>
            <w:r w:rsidRPr="00F959D0">
              <w:rPr>
                <w:rFonts w:ascii="Arial" w:hAnsi="Arial" w:cs="Arial"/>
                <w:sz w:val="17"/>
                <w:szCs w:val="17"/>
              </w:rPr>
              <w:t>10.561</w:t>
            </w:r>
          </w:p>
        </w:tc>
        <w:tc>
          <w:tcPr>
            <w:tcW w:w="558" w:type="pct"/>
            <w:tcBorders>
              <w:top w:val="nil"/>
              <w:left w:val="nil"/>
              <w:right w:val="nil"/>
            </w:tcBorders>
            <w:shd w:val="clear" w:color="auto" w:fill="auto"/>
            <w:vAlign w:val="bottom"/>
          </w:tcPr>
          <w:p w14:paraId="21C06639" w14:textId="77777777" w:rsidR="00CF778A" w:rsidRPr="00F959D0" w:rsidRDefault="00CF778A" w:rsidP="0034622E">
            <w:pPr>
              <w:tabs>
                <w:tab w:val="right" w:pos="1202"/>
              </w:tabs>
              <w:spacing w:line="240" w:lineRule="exact"/>
              <w:jc w:val="right"/>
              <w:outlineLvl w:val="0"/>
              <w:rPr>
                <w:rFonts w:ascii="Arial" w:hAnsi="Arial" w:cs="Arial"/>
                <w:sz w:val="17"/>
                <w:szCs w:val="17"/>
              </w:rPr>
            </w:pPr>
            <w:r w:rsidRPr="00F959D0">
              <w:rPr>
                <w:rFonts w:ascii="Arial" w:hAnsi="Arial" w:cs="Arial"/>
                <w:sz w:val="17"/>
                <w:szCs w:val="17"/>
              </w:rPr>
              <w:t>851</w:t>
            </w:r>
          </w:p>
        </w:tc>
        <w:tc>
          <w:tcPr>
            <w:tcW w:w="559" w:type="pct"/>
            <w:tcBorders>
              <w:top w:val="nil"/>
              <w:left w:val="nil"/>
              <w:right w:val="nil"/>
            </w:tcBorders>
            <w:shd w:val="clear" w:color="auto" w:fill="auto"/>
            <w:vAlign w:val="bottom"/>
          </w:tcPr>
          <w:p w14:paraId="6D1E6F66" w14:textId="77777777" w:rsidR="00CF778A" w:rsidRPr="00F959D0" w:rsidRDefault="00CF778A" w:rsidP="0034622E">
            <w:pPr>
              <w:tabs>
                <w:tab w:val="right" w:pos="1202"/>
              </w:tabs>
              <w:spacing w:line="240" w:lineRule="exact"/>
              <w:jc w:val="right"/>
              <w:outlineLvl w:val="0"/>
              <w:rPr>
                <w:rFonts w:ascii="Arial" w:hAnsi="Arial" w:cs="Arial"/>
                <w:sz w:val="17"/>
                <w:szCs w:val="17"/>
              </w:rPr>
            </w:pPr>
            <w:r w:rsidRPr="00F959D0">
              <w:rPr>
                <w:rFonts w:ascii="Arial" w:hAnsi="Arial" w:cs="Arial"/>
                <w:sz w:val="17"/>
                <w:szCs w:val="17"/>
              </w:rPr>
              <w:t>3.205</w:t>
            </w:r>
          </w:p>
        </w:tc>
        <w:tc>
          <w:tcPr>
            <w:tcW w:w="559" w:type="pct"/>
            <w:tcBorders>
              <w:top w:val="nil"/>
              <w:left w:val="nil"/>
              <w:right w:val="nil"/>
            </w:tcBorders>
            <w:shd w:val="clear" w:color="auto" w:fill="auto"/>
            <w:vAlign w:val="bottom"/>
          </w:tcPr>
          <w:p w14:paraId="43A47BF7" w14:textId="77777777" w:rsidR="00CF778A" w:rsidRPr="00F959D0" w:rsidRDefault="00CF778A" w:rsidP="0034622E">
            <w:pPr>
              <w:tabs>
                <w:tab w:val="right" w:pos="1202"/>
              </w:tabs>
              <w:spacing w:line="240" w:lineRule="exact"/>
              <w:jc w:val="right"/>
              <w:outlineLvl w:val="0"/>
              <w:rPr>
                <w:rFonts w:ascii="Arial" w:hAnsi="Arial" w:cs="Arial"/>
                <w:sz w:val="17"/>
                <w:szCs w:val="17"/>
              </w:rPr>
            </w:pPr>
            <w:r w:rsidRPr="00F959D0">
              <w:rPr>
                <w:rFonts w:ascii="Arial" w:hAnsi="Arial" w:cs="Arial"/>
                <w:sz w:val="17"/>
                <w:szCs w:val="17"/>
              </w:rPr>
              <w:t>6.343</w:t>
            </w:r>
          </w:p>
        </w:tc>
        <w:tc>
          <w:tcPr>
            <w:tcW w:w="559" w:type="pct"/>
            <w:tcBorders>
              <w:top w:val="nil"/>
              <w:left w:val="nil"/>
              <w:right w:val="nil"/>
            </w:tcBorders>
            <w:shd w:val="clear" w:color="auto" w:fill="auto"/>
            <w:vAlign w:val="bottom"/>
          </w:tcPr>
          <w:p w14:paraId="18347964" w14:textId="77777777" w:rsidR="00CF778A" w:rsidRPr="00F959D0" w:rsidRDefault="00CF778A" w:rsidP="0034622E">
            <w:pPr>
              <w:tabs>
                <w:tab w:val="right" w:pos="1202"/>
              </w:tabs>
              <w:spacing w:line="240" w:lineRule="exact"/>
              <w:jc w:val="right"/>
              <w:outlineLvl w:val="0"/>
              <w:rPr>
                <w:rFonts w:ascii="Arial" w:hAnsi="Arial" w:cs="Arial"/>
                <w:sz w:val="17"/>
                <w:szCs w:val="17"/>
              </w:rPr>
            </w:pPr>
            <w:r w:rsidRPr="00F959D0">
              <w:rPr>
                <w:rFonts w:ascii="Arial" w:hAnsi="Arial" w:cs="Arial"/>
                <w:sz w:val="17"/>
                <w:szCs w:val="17"/>
              </w:rPr>
              <w:t>3.422</w:t>
            </w:r>
          </w:p>
        </w:tc>
        <w:tc>
          <w:tcPr>
            <w:tcW w:w="622" w:type="pct"/>
            <w:tcBorders>
              <w:top w:val="nil"/>
              <w:left w:val="nil"/>
              <w:right w:val="nil"/>
            </w:tcBorders>
            <w:shd w:val="clear" w:color="auto" w:fill="auto"/>
            <w:vAlign w:val="bottom"/>
          </w:tcPr>
          <w:p w14:paraId="3021AFD2" w14:textId="77777777" w:rsidR="00CF778A" w:rsidRPr="00F959D0" w:rsidRDefault="00CF778A" w:rsidP="0034622E">
            <w:pPr>
              <w:tabs>
                <w:tab w:val="right" w:pos="1202"/>
              </w:tabs>
              <w:spacing w:line="240" w:lineRule="exact"/>
              <w:jc w:val="right"/>
              <w:outlineLvl w:val="0"/>
              <w:rPr>
                <w:rFonts w:ascii="Arial" w:hAnsi="Arial" w:cs="Arial"/>
                <w:sz w:val="17"/>
                <w:szCs w:val="17"/>
              </w:rPr>
            </w:pPr>
            <w:r w:rsidRPr="00F959D0">
              <w:rPr>
                <w:rFonts w:ascii="Arial" w:hAnsi="Arial" w:cs="Arial"/>
                <w:sz w:val="17"/>
                <w:szCs w:val="17"/>
              </w:rPr>
              <w:t>24.382</w:t>
            </w:r>
          </w:p>
        </w:tc>
      </w:tr>
      <w:tr w:rsidR="00CF778A" w:rsidRPr="00C40415" w14:paraId="5A3835E2" w14:textId="77777777" w:rsidTr="0034622E">
        <w:trPr>
          <w:trHeight w:hRule="exact" w:val="213"/>
        </w:trPr>
        <w:tc>
          <w:tcPr>
            <w:tcW w:w="1584" w:type="pct"/>
            <w:vAlign w:val="bottom"/>
          </w:tcPr>
          <w:p w14:paraId="450BD68B" w14:textId="77777777" w:rsidR="00CF778A" w:rsidRPr="00C40415" w:rsidRDefault="00CF778A" w:rsidP="0034622E">
            <w:pPr>
              <w:tabs>
                <w:tab w:val="right" w:pos="1202"/>
              </w:tabs>
              <w:spacing w:line="240" w:lineRule="exact"/>
              <w:outlineLvl w:val="0"/>
              <w:rPr>
                <w:rFonts w:ascii="Arial" w:eastAsia="Calibri" w:hAnsi="Arial" w:cs="Arial"/>
                <w:color w:val="000000" w:themeColor="text1"/>
                <w:spacing w:val="-2"/>
                <w:sz w:val="17"/>
                <w:szCs w:val="17"/>
              </w:rPr>
            </w:pPr>
            <w:r w:rsidRPr="00C40415">
              <w:rPr>
                <w:rFonts w:ascii="Arial" w:eastAsia="Calibri" w:hAnsi="Arial" w:cs="Arial"/>
                <w:color w:val="000000" w:themeColor="text1"/>
                <w:spacing w:val="-2"/>
                <w:sz w:val="17"/>
                <w:szCs w:val="17"/>
              </w:rPr>
              <w:t>Ostale obveze</w:t>
            </w:r>
          </w:p>
        </w:tc>
        <w:tc>
          <w:tcPr>
            <w:tcW w:w="559" w:type="pct"/>
            <w:tcBorders>
              <w:top w:val="nil"/>
              <w:left w:val="nil"/>
              <w:bottom w:val="single" w:sz="4" w:space="0" w:color="auto"/>
              <w:right w:val="nil"/>
            </w:tcBorders>
            <w:shd w:val="clear" w:color="auto" w:fill="auto"/>
            <w:vAlign w:val="bottom"/>
          </w:tcPr>
          <w:p w14:paraId="7232716D" w14:textId="77777777" w:rsidR="00CF778A" w:rsidRPr="00F959D0" w:rsidRDefault="00CF778A" w:rsidP="0034622E">
            <w:pPr>
              <w:tabs>
                <w:tab w:val="right" w:pos="1202"/>
              </w:tabs>
              <w:spacing w:line="240" w:lineRule="exact"/>
              <w:jc w:val="right"/>
              <w:outlineLvl w:val="0"/>
              <w:rPr>
                <w:rFonts w:ascii="Arial" w:hAnsi="Arial" w:cs="Arial"/>
                <w:sz w:val="17"/>
                <w:szCs w:val="17"/>
              </w:rPr>
            </w:pPr>
            <w:r w:rsidRPr="00F959D0">
              <w:rPr>
                <w:rFonts w:ascii="Arial" w:hAnsi="Arial" w:cs="Arial"/>
                <w:sz w:val="17"/>
                <w:szCs w:val="17"/>
              </w:rPr>
              <w:t>39.304</w:t>
            </w:r>
          </w:p>
        </w:tc>
        <w:tc>
          <w:tcPr>
            <w:tcW w:w="558" w:type="pct"/>
            <w:tcBorders>
              <w:top w:val="nil"/>
              <w:left w:val="nil"/>
              <w:bottom w:val="single" w:sz="4" w:space="0" w:color="auto"/>
              <w:right w:val="nil"/>
            </w:tcBorders>
            <w:shd w:val="clear" w:color="auto" w:fill="auto"/>
            <w:vAlign w:val="bottom"/>
          </w:tcPr>
          <w:p w14:paraId="1436681F" w14:textId="77777777" w:rsidR="00CF778A" w:rsidRPr="00F959D0" w:rsidRDefault="00CF778A" w:rsidP="0034622E">
            <w:pPr>
              <w:tabs>
                <w:tab w:val="right" w:pos="1202"/>
              </w:tabs>
              <w:spacing w:line="240" w:lineRule="exact"/>
              <w:jc w:val="right"/>
              <w:outlineLvl w:val="0"/>
              <w:rPr>
                <w:rFonts w:ascii="Arial" w:hAnsi="Arial" w:cs="Arial"/>
                <w:sz w:val="17"/>
                <w:szCs w:val="17"/>
              </w:rPr>
            </w:pPr>
            <w:r w:rsidRPr="00F959D0">
              <w:rPr>
                <w:rFonts w:ascii="Arial" w:hAnsi="Arial" w:cs="Arial"/>
                <w:sz w:val="17"/>
                <w:szCs w:val="17"/>
              </w:rPr>
              <w:t>3.261</w:t>
            </w:r>
          </w:p>
        </w:tc>
        <w:tc>
          <w:tcPr>
            <w:tcW w:w="559" w:type="pct"/>
            <w:tcBorders>
              <w:top w:val="nil"/>
              <w:left w:val="nil"/>
              <w:bottom w:val="single" w:sz="4" w:space="0" w:color="auto"/>
              <w:right w:val="nil"/>
            </w:tcBorders>
            <w:shd w:val="clear" w:color="auto" w:fill="auto"/>
            <w:vAlign w:val="bottom"/>
          </w:tcPr>
          <w:p w14:paraId="06453B1E" w14:textId="77777777" w:rsidR="00CF778A" w:rsidRPr="00F959D0" w:rsidRDefault="00CF778A" w:rsidP="0034622E">
            <w:pPr>
              <w:tabs>
                <w:tab w:val="right" w:pos="1202"/>
              </w:tabs>
              <w:spacing w:line="240" w:lineRule="exact"/>
              <w:jc w:val="right"/>
              <w:outlineLvl w:val="0"/>
              <w:rPr>
                <w:rFonts w:ascii="Arial" w:hAnsi="Arial" w:cs="Arial"/>
                <w:sz w:val="17"/>
                <w:szCs w:val="17"/>
              </w:rPr>
            </w:pPr>
            <w:r w:rsidRPr="00F959D0">
              <w:rPr>
                <w:rFonts w:ascii="Arial" w:hAnsi="Arial" w:cs="Arial"/>
                <w:sz w:val="17"/>
                <w:szCs w:val="17"/>
              </w:rPr>
              <w:t>14.301</w:t>
            </w:r>
          </w:p>
        </w:tc>
        <w:tc>
          <w:tcPr>
            <w:tcW w:w="559" w:type="pct"/>
            <w:tcBorders>
              <w:top w:val="nil"/>
              <w:left w:val="nil"/>
              <w:bottom w:val="single" w:sz="4" w:space="0" w:color="auto"/>
              <w:right w:val="nil"/>
            </w:tcBorders>
            <w:shd w:val="clear" w:color="auto" w:fill="auto"/>
            <w:vAlign w:val="bottom"/>
          </w:tcPr>
          <w:p w14:paraId="28F996D0" w14:textId="77777777" w:rsidR="00CF778A" w:rsidRPr="00F959D0" w:rsidRDefault="00CF778A" w:rsidP="0034622E">
            <w:pPr>
              <w:tabs>
                <w:tab w:val="right" w:pos="1202"/>
              </w:tabs>
              <w:spacing w:line="240" w:lineRule="exact"/>
              <w:jc w:val="right"/>
              <w:outlineLvl w:val="0"/>
              <w:rPr>
                <w:rFonts w:ascii="Arial" w:hAnsi="Arial" w:cs="Arial"/>
                <w:sz w:val="17"/>
                <w:szCs w:val="17"/>
              </w:rPr>
            </w:pPr>
            <w:r w:rsidRPr="00F959D0">
              <w:rPr>
                <w:rFonts w:ascii="Arial" w:hAnsi="Arial" w:cs="Arial"/>
                <w:sz w:val="17"/>
                <w:szCs w:val="17"/>
              </w:rPr>
              <w:t>23.605</w:t>
            </w:r>
          </w:p>
        </w:tc>
        <w:tc>
          <w:tcPr>
            <w:tcW w:w="559" w:type="pct"/>
            <w:tcBorders>
              <w:top w:val="nil"/>
              <w:left w:val="nil"/>
              <w:bottom w:val="single" w:sz="4" w:space="0" w:color="auto"/>
              <w:right w:val="nil"/>
            </w:tcBorders>
            <w:shd w:val="clear" w:color="auto" w:fill="auto"/>
            <w:vAlign w:val="bottom"/>
          </w:tcPr>
          <w:p w14:paraId="0A1B63C9" w14:textId="77777777" w:rsidR="00CF778A" w:rsidRPr="00F959D0" w:rsidRDefault="00CF778A" w:rsidP="0034622E">
            <w:pPr>
              <w:tabs>
                <w:tab w:val="right" w:pos="1202"/>
              </w:tabs>
              <w:spacing w:line="240" w:lineRule="exact"/>
              <w:jc w:val="right"/>
              <w:outlineLvl w:val="0"/>
              <w:rPr>
                <w:rFonts w:ascii="Arial" w:hAnsi="Arial" w:cs="Arial"/>
                <w:sz w:val="17"/>
                <w:szCs w:val="17"/>
              </w:rPr>
            </w:pPr>
            <w:r w:rsidRPr="00F959D0">
              <w:rPr>
                <w:rFonts w:ascii="Arial" w:hAnsi="Arial" w:cs="Arial"/>
                <w:sz w:val="17"/>
                <w:szCs w:val="17"/>
              </w:rPr>
              <w:t>12.752</w:t>
            </w:r>
          </w:p>
        </w:tc>
        <w:tc>
          <w:tcPr>
            <w:tcW w:w="622" w:type="pct"/>
            <w:tcBorders>
              <w:top w:val="nil"/>
              <w:left w:val="nil"/>
              <w:bottom w:val="single" w:sz="4" w:space="0" w:color="auto"/>
              <w:right w:val="nil"/>
            </w:tcBorders>
            <w:shd w:val="clear" w:color="auto" w:fill="auto"/>
            <w:vAlign w:val="bottom"/>
          </w:tcPr>
          <w:p w14:paraId="57CFCEAA" w14:textId="77777777" w:rsidR="00CF778A" w:rsidRPr="00F959D0" w:rsidRDefault="00CF778A" w:rsidP="0034622E">
            <w:pPr>
              <w:tabs>
                <w:tab w:val="right" w:pos="1202"/>
              </w:tabs>
              <w:spacing w:line="240" w:lineRule="exact"/>
              <w:jc w:val="right"/>
              <w:outlineLvl w:val="0"/>
              <w:rPr>
                <w:rFonts w:ascii="Arial" w:hAnsi="Arial" w:cs="Arial"/>
                <w:sz w:val="17"/>
                <w:szCs w:val="17"/>
              </w:rPr>
            </w:pPr>
            <w:r w:rsidRPr="00F959D0">
              <w:rPr>
                <w:rFonts w:ascii="Arial" w:hAnsi="Arial" w:cs="Arial"/>
                <w:sz w:val="17"/>
                <w:szCs w:val="17"/>
              </w:rPr>
              <w:t>93.223</w:t>
            </w:r>
          </w:p>
        </w:tc>
      </w:tr>
      <w:tr w:rsidR="00CF778A" w:rsidRPr="00C40415" w14:paraId="03B7106D" w14:textId="77777777" w:rsidTr="0034622E">
        <w:trPr>
          <w:trHeight w:hRule="exact" w:val="266"/>
        </w:trPr>
        <w:tc>
          <w:tcPr>
            <w:tcW w:w="1584" w:type="pct"/>
            <w:vAlign w:val="bottom"/>
          </w:tcPr>
          <w:p w14:paraId="39780F0C" w14:textId="77777777" w:rsidR="00CF778A" w:rsidRPr="00C40415" w:rsidRDefault="00CF778A" w:rsidP="0034622E">
            <w:pPr>
              <w:tabs>
                <w:tab w:val="right" w:pos="1202"/>
              </w:tabs>
              <w:outlineLvl w:val="0"/>
              <w:rPr>
                <w:rFonts w:ascii="Arial" w:hAnsi="Arial" w:cs="Arial"/>
                <w:b/>
                <w:bCs/>
                <w:color w:val="000000" w:themeColor="text1"/>
                <w:sz w:val="17"/>
                <w:szCs w:val="17"/>
              </w:rPr>
            </w:pPr>
            <w:r w:rsidRPr="00C40415">
              <w:rPr>
                <w:rFonts w:ascii="Arial" w:hAnsi="Arial" w:cs="Arial"/>
                <w:b/>
                <w:bCs/>
                <w:color w:val="000000" w:themeColor="text1"/>
                <w:sz w:val="17"/>
                <w:szCs w:val="17"/>
              </w:rPr>
              <w:t>Ukupno</w:t>
            </w:r>
          </w:p>
        </w:tc>
        <w:tc>
          <w:tcPr>
            <w:tcW w:w="559" w:type="pct"/>
            <w:tcBorders>
              <w:top w:val="single" w:sz="4" w:space="0" w:color="auto"/>
              <w:left w:val="nil"/>
              <w:bottom w:val="single" w:sz="12" w:space="0" w:color="auto"/>
              <w:right w:val="nil"/>
            </w:tcBorders>
            <w:shd w:val="clear" w:color="auto" w:fill="auto"/>
            <w:vAlign w:val="bottom"/>
          </w:tcPr>
          <w:p w14:paraId="4DE60112" w14:textId="77777777" w:rsidR="00CF778A" w:rsidRPr="00F959D0" w:rsidRDefault="00CF778A" w:rsidP="0034622E">
            <w:pPr>
              <w:tabs>
                <w:tab w:val="right" w:pos="1202"/>
              </w:tabs>
              <w:spacing w:line="240" w:lineRule="exact"/>
              <w:jc w:val="right"/>
              <w:outlineLvl w:val="0"/>
              <w:rPr>
                <w:rFonts w:ascii="Arial" w:hAnsi="Arial" w:cs="Arial"/>
                <w:b/>
                <w:bCs/>
                <w:sz w:val="17"/>
                <w:szCs w:val="17"/>
              </w:rPr>
            </w:pPr>
            <w:r w:rsidRPr="00F959D0">
              <w:rPr>
                <w:rFonts w:ascii="Arial" w:hAnsi="Arial" w:cs="Arial"/>
                <w:b/>
                <w:bCs/>
                <w:sz w:val="17"/>
                <w:szCs w:val="17"/>
              </w:rPr>
              <w:t>259.722</w:t>
            </w:r>
          </w:p>
        </w:tc>
        <w:tc>
          <w:tcPr>
            <w:tcW w:w="558" w:type="pct"/>
            <w:tcBorders>
              <w:top w:val="nil"/>
              <w:left w:val="nil"/>
              <w:bottom w:val="single" w:sz="12" w:space="0" w:color="auto"/>
              <w:right w:val="nil"/>
            </w:tcBorders>
            <w:shd w:val="clear" w:color="auto" w:fill="auto"/>
            <w:vAlign w:val="bottom"/>
          </w:tcPr>
          <w:p w14:paraId="0BC3F4D8" w14:textId="77777777" w:rsidR="00CF778A" w:rsidRPr="00F959D0" w:rsidRDefault="00CF778A" w:rsidP="0034622E">
            <w:pPr>
              <w:tabs>
                <w:tab w:val="right" w:pos="1202"/>
              </w:tabs>
              <w:spacing w:line="240" w:lineRule="exact"/>
              <w:jc w:val="right"/>
              <w:outlineLvl w:val="0"/>
              <w:rPr>
                <w:rFonts w:ascii="Arial" w:hAnsi="Arial" w:cs="Arial"/>
                <w:b/>
                <w:bCs/>
                <w:sz w:val="17"/>
                <w:szCs w:val="17"/>
              </w:rPr>
            </w:pPr>
            <w:r w:rsidRPr="00F959D0">
              <w:rPr>
                <w:rFonts w:ascii="Arial" w:hAnsi="Arial" w:cs="Arial"/>
                <w:b/>
                <w:bCs/>
                <w:sz w:val="17"/>
                <w:szCs w:val="17"/>
              </w:rPr>
              <w:t>183.396</w:t>
            </w:r>
          </w:p>
        </w:tc>
        <w:tc>
          <w:tcPr>
            <w:tcW w:w="559" w:type="pct"/>
            <w:tcBorders>
              <w:top w:val="nil"/>
              <w:left w:val="nil"/>
              <w:bottom w:val="single" w:sz="12" w:space="0" w:color="auto"/>
              <w:right w:val="nil"/>
            </w:tcBorders>
            <w:shd w:val="clear" w:color="auto" w:fill="auto"/>
            <w:vAlign w:val="bottom"/>
          </w:tcPr>
          <w:p w14:paraId="7794CC1F" w14:textId="77777777" w:rsidR="00CF778A" w:rsidRPr="00F959D0" w:rsidRDefault="00CF778A" w:rsidP="0034622E">
            <w:pPr>
              <w:tabs>
                <w:tab w:val="right" w:pos="1202"/>
              </w:tabs>
              <w:spacing w:line="240" w:lineRule="exact"/>
              <w:jc w:val="right"/>
              <w:outlineLvl w:val="0"/>
              <w:rPr>
                <w:rFonts w:ascii="Arial" w:hAnsi="Arial" w:cs="Arial"/>
                <w:b/>
                <w:bCs/>
                <w:sz w:val="17"/>
                <w:szCs w:val="17"/>
              </w:rPr>
            </w:pPr>
            <w:r w:rsidRPr="00F959D0">
              <w:rPr>
                <w:rFonts w:ascii="Arial" w:hAnsi="Arial" w:cs="Arial"/>
                <w:b/>
                <w:bCs/>
                <w:sz w:val="17"/>
                <w:szCs w:val="17"/>
              </w:rPr>
              <w:t>333.043</w:t>
            </w:r>
          </w:p>
        </w:tc>
        <w:tc>
          <w:tcPr>
            <w:tcW w:w="559" w:type="pct"/>
            <w:tcBorders>
              <w:top w:val="nil"/>
              <w:left w:val="nil"/>
              <w:bottom w:val="single" w:sz="12" w:space="0" w:color="auto"/>
              <w:right w:val="nil"/>
            </w:tcBorders>
            <w:shd w:val="clear" w:color="auto" w:fill="auto"/>
            <w:vAlign w:val="bottom"/>
          </w:tcPr>
          <w:p w14:paraId="2267B04F" w14:textId="77777777" w:rsidR="00CF778A" w:rsidRPr="00F959D0" w:rsidRDefault="00CF778A" w:rsidP="0034622E">
            <w:pPr>
              <w:tabs>
                <w:tab w:val="right" w:pos="1202"/>
              </w:tabs>
              <w:spacing w:line="240" w:lineRule="exact"/>
              <w:jc w:val="right"/>
              <w:outlineLvl w:val="0"/>
              <w:rPr>
                <w:rFonts w:ascii="Arial" w:hAnsi="Arial" w:cs="Arial"/>
                <w:b/>
                <w:bCs/>
                <w:sz w:val="17"/>
                <w:szCs w:val="17"/>
              </w:rPr>
            </w:pPr>
            <w:r w:rsidRPr="00F959D0">
              <w:rPr>
                <w:rFonts w:ascii="Arial" w:hAnsi="Arial" w:cs="Arial"/>
                <w:b/>
                <w:bCs/>
                <w:sz w:val="17"/>
                <w:szCs w:val="17"/>
              </w:rPr>
              <w:t>753.737</w:t>
            </w:r>
          </w:p>
        </w:tc>
        <w:tc>
          <w:tcPr>
            <w:tcW w:w="559" w:type="pct"/>
            <w:tcBorders>
              <w:top w:val="nil"/>
              <w:left w:val="nil"/>
              <w:bottom w:val="single" w:sz="12" w:space="0" w:color="auto"/>
              <w:right w:val="nil"/>
            </w:tcBorders>
            <w:shd w:val="clear" w:color="auto" w:fill="auto"/>
            <w:vAlign w:val="bottom"/>
          </w:tcPr>
          <w:p w14:paraId="7EE381AA" w14:textId="77777777" w:rsidR="00CF778A" w:rsidRPr="00F959D0" w:rsidRDefault="00CF778A" w:rsidP="0034622E">
            <w:pPr>
              <w:tabs>
                <w:tab w:val="right" w:pos="1202"/>
              </w:tabs>
              <w:spacing w:line="240" w:lineRule="exact"/>
              <w:jc w:val="right"/>
              <w:outlineLvl w:val="0"/>
              <w:rPr>
                <w:rFonts w:ascii="Arial" w:hAnsi="Arial" w:cs="Arial"/>
                <w:b/>
                <w:bCs/>
                <w:sz w:val="17"/>
                <w:szCs w:val="17"/>
              </w:rPr>
            </w:pPr>
            <w:r w:rsidRPr="00F959D0">
              <w:rPr>
                <w:rFonts w:ascii="Arial" w:hAnsi="Arial" w:cs="Arial"/>
                <w:b/>
                <w:bCs/>
                <w:sz w:val="17"/>
                <w:szCs w:val="17"/>
              </w:rPr>
              <w:t>1.300.301</w:t>
            </w:r>
          </w:p>
        </w:tc>
        <w:tc>
          <w:tcPr>
            <w:tcW w:w="622" w:type="pct"/>
            <w:tcBorders>
              <w:top w:val="nil"/>
              <w:left w:val="nil"/>
              <w:bottom w:val="single" w:sz="12" w:space="0" w:color="auto"/>
              <w:right w:val="nil"/>
            </w:tcBorders>
            <w:shd w:val="clear" w:color="auto" w:fill="auto"/>
            <w:vAlign w:val="bottom"/>
          </w:tcPr>
          <w:p w14:paraId="78F25515" w14:textId="77777777" w:rsidR="00CF778A" w:rsidRPr="00F959D0" w:rsidRDefault="00CF778A" w:rsidP="0034622E">
            <w:pPr>
              <w:tabs>
                <w:tab w:val="right" w:pos="1202"/>
              </w:tabs>
              <w:spacing w:line="240" w:lineRule="exact"/>
              <w:jc w:val="right"/>
              <w:outlineLvl w:val="0"/>
              <w:rPr>
                <w:rFonts w:ascii="Arial" w:hAnsi="Arial" w:cs="Arial"/>
                <w:b/>
                <w:bCs/>
                <w:sz w:val="17"/>
                <w:szCs w:val="17"/>
              </w:rPr>
            </w:pPr>
            <w:r w:rsidRPr="00F959D0">
              <w:rPr>
                <w:rFonts w:ascii="Arial" w:hAnsi="Arial" w:cs="Arial"/>
                <w:b/>
                <w:bCs/>
                <w:sz w:val="17"/>
                <w:szCs w:val="17"/>
              </w:rPr>
              <w:t>2.830.199</w:t>
            </w:r>
          </w:p>
        </w:tc>
      </w:tr>
      <w:tr w:rsidR="00CF778A" w:rsidRPr="00C40415" w14:paraId="56795B6D" w14:textId="77777777" w:rsidTr="0034622E">
        <w:trPr>
          <w:trHeight w:hRule="exact" w:val="106"/>
        </w:trPr>
        <w:tc>
          <w:tcPr>
            <w:tcW w:w="1584" w:type="pct"/>
            <w:vAlign w:val="bottom"/>
          </w:tcPr>
          <w:p w14:paraId="20FDDA93" w14:textId="77777777" w:rsidR="00CF778A" w:rsidRPr="00C40415" w:rsidRDefault="00CF778A" w:rsidP="0034622E">
            <w:pPr>
              <w:tabs>
                <w:tab w:val="right" w:pos="1202"/>
              </w:tabs>
              <w:spacing w:line="301" w:lineRule="exact"/>
              <w:outlineLvl w:val="0"/>
              <w:rPr>
                <w:rFonts w:ascii="Arial" w:hAnsi="Arial" w:cs="Arial"/>
                <w:b/>
                <w:bCs/>
                <w:color w:val="000000" w:themeColor="text1"/>
                <w:sz w:val="17"/>
                <w:szCs w:val="17"/>
              </w:rPr>
            </w:pPr>
          </w:p>
        </w:tc>
        <w:tc>
          <w:tcPr>
            <w:tcW w:w="559" w:type="pct"/>
            <w:tcBorders>
              <w:top w:val="nil"/>
              <w:left w:val="nil"/>
              <w:right w:val="nil"/>
            </w:tcBorders>
            <w:shd w:val="clear" w:color="auto" w:fill="auto"/>
            <w:vAlign w:val="bottom"/>
          </w:tcPr>
          <w:p w14:paraId="45B6FCFD" w14:textId="77777777" w:rsidR="00CF778A" w:rsidRPr="00C40415" w:rsidRDefault="00CF778A" w:rsidP="0034622E">
            <w:pPr>
              <w:tabs>
                <w:tab w:val="right" w:pos="1202"/>
              </w:tabs>
              <w:spacing w:line="301" w:lineRule="exact"/>
              <w:outlineLvl w:val="0"/>
              <w:rPr>
                <w:rFonts w:ascii="Arial" w:hAnsi="Arial" w:cs="Arial"/>
                <w:b/>
                <w:bCs/>
                <w:color w:val="000000" w:themeColor="text1"/>
                <w:sz w:val="17"/>
                <w:szCs w:val="17"/>
              </w:rPr>
            </w:pPr>
          </w:p>
        </w:tc>
        <w:tc>
          <w:tcPr>
            <w:tcW w:w="558" w:type="pct"/>
            <w:tcBorders>
              <w:top w:val="nil"/>
              <w:left w:val="nil"/>
              <w:right w:val="nil"/>
            </w:tcBorders>
            <w:shd w:val="clear" w:color="auto" w:fill="auto"/>
            <w:vAlign w:val="bottom"/>
          </w:tcPr>
          <w:p w14:paraId="1814499C" w14:textId="77777777" w:rsidR="00CF778A" w:rsidRPr="00C40415" w:rsidRDefault="00CF778A" w:rsidP="0034622E">
            <w:pPr>
              <w:tabs>
                <w:tab w:val="right" w:pos="1202"/>
              </w:tabs>
              <w:spacing w:line="301" w:lineRule="exact"/>
              <w:outlineLvl w:val="0"/>
              <w:rPr>
                <w:rFonts w:ascii="Arial" w:hAnsi="Arial" w:cs="Arial"/>
                <w:b/>
                <w:bCs/>
                <w:color w:val="000000" w:themeColor="text1"/>
                <w:sz w:val="17"/>
                <w:szCs w:val="17"/>
              </w:rPr>
            </w:pPr>
          </w:p>
        </w:tc>
        <w:tc>
          <w:tcPr>
            <w:tcW w:w="559" w:type="pct"/>
            <w:tcBorders>
              <w:top w:val="nil"/>
              <w:left w:val="nil"/>
              <w:right w:val="nil"/>
            </w:tcBorders>
            <w:shd w:val="clear" w:color="auto" w:fill="auto"/>
            <w:vAlign w:val="bottom"/>
          </w:tcPr>
          <w:p w14:paraId="5D589506" w14:textId="77777777" w:rsidR="00CF778A" w:rsidRPr="00C40415" w:rsidRDefault="00CF778A" w:rsidP="0034622E">
            <w:pPr>
              <w:tabs>
                <w:tab w:val="right" w:pos="1202"/>
              </w:tabs>
              <w:spacing w:line="301" w:lineRule="exact"/>
              <w:outlineLvl w:val="0"/>
              <w:rPr>
                <w:rFonts w:ascii="Arial" w:hAnsi="Arial" w:cs="Arial"/>
                <w:b/>
                <w:bCs/>
                <w:color w:val="000000" w:themeColor="text1"/>
                <w:sz w:val="17"/>
                <w:szCs w:val="17"/>
              </w:rPr>
            </w:pPr>
          </w:p>
        </w:tc>
        <w:tc>
          <w:tcPr>
            <w:tcW w:w="559" w:type="pct"/>
            <w:tcBorders>
              <w:top w:val="nil"/>
              <w:left w:val="nil"/>
              <w:right w:val="nil"/>
            </w:tcBorders>
            <w:shd w:val="clear" w:color="auto" w:fill="auto"/>
            <w:vAlign w:val="bottom"/>
          </w:tcPr>
          <w:p w14:paraId="2A59FF97" w14:textId="77777777" w:rsidR="00CF778A" w:rsidRPr="00C40415" w:rsidRDefault="00CF778A" w:rsidP="0034622E">
            <w:pPr>
              <w:tabs>
                <w:tab w:val="right" w:pos="1202"/>
              </w:tabs>
              <w:spacing w:line="301" w:lineRule="exact"/>
              <w:outlineLvl w:val="0"/>
              <w:rPr>
                <w:rFonts w:ascii="Arial" w:hAnsi="Arial" w:cs="Arial"/>
                <w:b/>
                <w:bCs/>
                <w:color w:val="000000" w:themeColor="text1"/>
                <w:sz w:val="17"/>
                <w:szCs w:val="17"/>
              </w:rPr>
            </w:pPr>
          </w:p>
        </w:tc>
        <w:tc>
          <w:tcPr>
            <w:tcW w:w="559" w:type="pct"/>
            <w:tcBorders>
              <w:top w:val="nil"/>
              <w:left w:val="nil"/>
              <w:right w:val="nil"/>
            </w:tcBorders>
            <w:shd w:val="clear" w:color="auto" w:fill="auto"/>
            <w:vAlign w:val="bottom"/>
          </w:tcPr>
          <w:p w14:paraId="59AF19B9" w14:textId="77777777" w:rsidR="00CF778A" w:rsidRPr="00C40415" w:rsidRDefault="00CF778A" w:rsidP="0034622E">
            <w:pPr>
              <w:tabs>
                <w:tab w:val="right" w:pos="1202"/>
              </w:tabs>
              <w:spacing w:line="301" w:lineRule="exact"/>
              <w:outlineLvl w:val="0"/>
              <w:rPr>
                <w:rFonts w:ascii="Arial" w:hAnsi="Arial" w:cs="Arial"/>
                <w:b/>
                <w:bCs/>
                <w:color w:val="000000" w:themeColor="text1"/>
                <w:sz w:val="17"/>
                <w:szCs w:val="17"/>
              </w:rPr>
            </w:pPr>
          </w:p>
        </w:tc>
        <w:tc>
          <w:tcPr>
            <w:tcW w:w="622" w:type="pct"/>
            <w:tcBorders>
              <w:top w:val="nil"/>
              <w:left w:val="nil"/>
              <w:right w:val="nil"/>
            </w:tcBorders>
            <w:shd w:val="clear" w:color="auto" w:fill="auto"/>
            <w:vAlign w:val="bottom"/>
          </w:tcPr>
          <w:p w14:paraId="2D7AAE31" w14:textId="77777777" w:rsidR="00CF778A" w:rsidRPr="00C40415" w:rsidRDefault="00CF778A" w:rsidP="0034622E">
            <w:pPr>
              <w:tabs>
                <w:tab w:val="right" w:pos="1202"/>
              </w:tabs>
              <w:spacing w:line="301" w:lineRule="exact"/>
              <w:outlineLvl w:val="0"/>
              <w:rPr>
                <w:rFonts w:ascii="Arial" w:hAnsi="Arial" w:cs="Arial"/>
                <w:b/>
                <w:bCs/>
                <w:color w:val="000000" w:themeColor="text1"/>
                <w:sz w:val="17"/>
                <w:szCs w:val="17"/>
              </w:rPr>
            </w:pPr>
          </w:p>
        </w:tc>
      </w:tr>
      <w:tr w:rsidR="00CF778A" w:rsidRPr="00C40415" w14:paraId="22DC30BE" w14:textId="77777777" w:rsidTr="0034622E">
        <w:trPr>
          <w:trHeight w:val="170"/>
        </w:trPr>
        <w:tc>
          <w:tcPr>
            <w:tcW w:w="1584" w:type="pct"/>
            <w:tcBorders>
              <w:top w:val="nil"/>
              <w:left w:val="nil"/>
              <w:bottom w:val="nil"/>
              <w:right w:val="nil"/>
            </w:tcBorders>
            <w:shd w:val="clear" w:color="auto" w:fill="auto"/>
            <w:vAlign w:val="bottom"/>
          </w:tcPr>
          <w:p w14:paraId="08B54555" w14:textId="77777777" w:rsidR="00CF778A" w:rsidRPr="00C40415" w:rsidRDefault="00CF778A" w:rsidP="0034622E">
            <w:pPr>
              <w:tabs>
                <w:tab w:val="right" w:pos="1202"/>
              </w:tabs>
              <w:spacing w:line="301" w:lineRule="exact"/>
              <w:outlineLvl w:val="0"/>
              <w:rPr>
                <w:rFonts w:ascii="Arial" w:hAnsi="Arial" w:cs="Arial"/>
                <w:b/>
                <w:bCs/>
                <w:color w:val="000000" w:themeColor="text1"/>
                <w:sz w:val="17"/>
                <w:szCs w:val="17"/>
              </w:rPr>
            </w:pPr>
            <w:r w:rsidRPr="00C40415">
              <w:rPr>
                <w:rFonts w:ascii="Arial" w:hAnsi="Arial" w:cs="Arial"/>
                <w:b/>
                <w:bCs/>
                <w:color w:val="000000" w:themeColor="text1"/>
                <w:sz w:val="17"/>
                <w:szCs w:val="17"/>
              </w:rPr>
              <w:t>Garancije i preuzete obveze</w:t>
            </w:r>
          </w:p>
        </w:tc>
        <w:tc>
          <w:tcPr>
            <w:tcW w:w="559" w:type="pct"/>
            <w:tcBorders>
              <w:top w:val="nil"/>
              <w:left w:val="nil"/>
              <w:bottom w:val="nil"/>
              <w:right w:val="nil"/>
            </w:tcBorders>
            <w:shd w:val="clear" w:color="auto" w:fill="auto"/>
            <w:vAlign w:val="bottom"/>
          </w:tcPr>
          <w:p w14:paraId="2D319476" w14:textId="77777777" w:rsidR="00CF778A" w:rsidRPr="00C40415" w:rsidRDefault="00CF778A" w:rsidP="0034622E">
            <w:pPr>
              <w:tabs>
                <w:tab w:val="right" w:pos="1202"/>
              </w:tabs>
              <w:spacing w:line="301" w:lineRule="exact"/>
              <w:outlineLvl w:val="0"/>
              <w:rPr>
                <w:rFonts w:ascii="Arial" w:hAnsi="Arial" w:cs="Arial"/>
                <w:b/>
                <w:bCs/>
                <w:color w:val="000000" w:themeColor="text1"/>
                <w:sz w:val="17"/>
                <w:szCs w:val="17"/>
              </w:rPr>
            </w:pPr>
          </w:p>
        </w:tc>
        <w:tc>
          <w:tcPr>
            <w:tcW w:w="558" w:type="pct"/>
            <w:tcBorders>
              <w:top w:val="nil"/>
              <w:left w:val="nil"/>
              <w:bottom w:val="nil"/>
              <w:right w:val="nil"/>
            </w:tcBorders>
            <w:shd w:val="clear" w:color="auto" w:fill="auto"/>
            <w:vAlign w:val="bottom"/>
          </w:tcPr>
          <w:p w14:paraId="621950C0" w14:textId="77777777" w:rsidR="00CF778A" w:rsidRPr="00C40415" w:rsidRDefault="00CF778A" w:rsidP="0034622E">
            <w:pPr>
              <w:tabs>
                <w:tab w:val="right" w:pos="1202"/>
              </w:tabs>
              <w:spacing w:line="301" w:lineRule="exact"/>
              <w:outlineLvl w:val="0"/>
              <w:rPr>
                <w:rFonts w:ascii="Arial" w:hAnsi="Arial" w:cs="Arial"/>
                <w:b/>
                <w:bCs/>
                <w:color w:val="000000" w:themeColor="text1"/>
                <w:sz w:val="17"/>
                <w:szCs w:val="17"/>
              </w:rPr>
            </w:pPr>
          </w:p>
        </w:tc>
        <w:tc>
          <w:tcPr>
            <w:tcW w:w="559" w:type="pct"/>
            <w:tcBorders>
              <w:top w:val="nil"/>
              <w:left w:val="nil"/>
              <w:bottom w:val="nil"/>
              <w:right w:val="nil"/>
            </w:tcBorders>
            <w:shd w:val="clear" w:color="auto" w:fill="auto"/>
            <w:vAlign w:val="bottom"/>
          </w:tcPr>
          <w:p w14:paraId="003BC672" w14:textId="77777777" w:rsidR="00CF778A" w:rsidRPr="00C40415" w:rsidRDefault="00CF778A" w:rsidP="0034622E">
            <w:pPr>
              <w:tabs>
                <w:tab w:val="right" w:pos="1202"/>
              </w:tabs>
              <w:spacing w:line="301" w:lineRule="exact"/>
              <w:outlineLvl w:val="0"/>
              <w:rPr>
                <w:rFonts w:ascii="Arial" w:hAnsi="Arial" w:cs="Arial"/>
                <w:b/>
                <w:bCs/>
                <w:color w:val="000000" w:themeColor="text1"/>
                <w:sz w:val="17"/>
                <w:szCs w:val="17"/>
              </w:rPr>
            </w:pPr>
          </w:p>
        </w:tc>
        <w:tc>
          <w:tcPr>
            <w:tcW w:w="559" w:type="pct"/>
            <w:tcBorders>
              <w:top w:val="nil"/>
              <w:left w:val="nil"/>
              <w:bottom w:val="nil"/>
              <w:right w:val="nil"/>
            </w:tcBorders>
            <w:shd w:val="clear" w:color="auto" w:fill="auto"/>
            <w:vAlign w:val="bottom"/>
          </w:tcPr>
          <w:p w14:paraId="1038BE16" w14:textId="77777777" w:rsidR="00CF778A" w:rsidRPr="00C40415" w:rsidRDefault="00CF778A" w:rsidP="0034622E">
            <w:pPr>
              <w:tabs>
                <w:tab w:val="right" w:pos="1202"/>
              </w:tabs>
              <w:spacing w:line="301" w:lineRule="exact"/>
              <w:outlineLvl w:val="0"/>
              <w:rPr>
                <w:rFonts w:ascii="Arial" w:hAnsi="Arial" w:cs="Arial"/>
                <w:b/>
                <w:bCs/>
                <w:color w:val="000000" w:themeColor="text1"/>
                <w:sz w:val="17"/>
                <w:szCs w:val="17"/>
              </w:rPr>
            </w:pPr>
          </w:p>
        </w:tc>
        <w:tc>
          <w:tcPr>
            <w:tcW w:w="559" w:type="pct"/>
            <w:tcBorders>
              <w:top w:val="nil"/>
              <w:left w:val="nil"/>
              <w:bottom w:val="nil"/>
              <w:right w:val="nil"/>
            </w:tcBorders>
            <w:shd w:val="clear" w:color="auto" w:fill="auto"/>
            <w:vAlign w:val="bottom"/>
          </w:tcPr>
          <w:p w14:paraId="6BE10E15" w14:textId="77777777" w:rsidR="00CF778A" w:rsidRPr="00C40415" w:rsidRDefault="00CF778A" w:rsidP="0034622E">
            <w:pPr>
              <w:tabs>
                <w:tab w:val="right" w:pos="1202"/>
              </w:tabs>
              <w:spacing w:line="301" w:lineRule="exact"/>
              <w:outlineLvl w:val="0"/>
              <w:rPr>
                <w:rFonts w:ascii="Arial" w:hAnsi="Arial" w:cs="Arial"/>
                <w:b/>
                <w:bCs/>
                <w:color w:val="000000" w:themeColor="text1"/>
                <w:sz w:val="17"/>
                <w:szCs w:val="17"/>
              </w:rPr>
            </w:pPr>
          </w:p>
        </w:tc>
        <w:tc>
          <w:tcPr>
            <w:tcW w:w="622" w:type="pct"/>
            <w:tcBorders>
              <w:top w:val="nil"/>
              <w:left w:val="nil"/>
              <w:bottom w:val="nil"/>
              <w:right w:val="nil"/>
            </w:tcBorders>
            <w:shd w:val="clear" w:color="auto" w:fill="auto"/>
            <w:vAlign w:val="bottom"/>
          </w:tcPr>
          <w:p w14:paraId="33E63DC3" w14:textId="77777777" w:rsidR="00CF778A" w:rsidRPr="00C40415" w:rsidRDefault="00CF778A" w:rsidP="0034622E">
            <w:pPr>
              <w:tabs>
                <w:tab w:val="right" w:pos="1202"/>
              </w:tabs>
              <w:spacing w:line="301" w:lineRule="exact"/>
              <w:outlineLvl w:val="0"/>
              <w:rPr>
                <w:rFonts w:ascii="Arial" w:hAnsi="Arial" w:cs="Arial"/>
                <w:b/>
                <w:bCs/>
                <w:color w:val="000000" w:themeColor="text1"/>
                <w:sz w:val="17"/>
                <w:szCs w:val="17"/>
              </w:rPr>
            </w:pPr>
          </w:p>
        </w:tc>
      </w:tr>
      <w:tr w:rsidR="00CF778A" w:rsidRPr="00C40415" w14:paraId="61D0515A" w14:textId="77777777" w:rsidTr="0034622E">
        <w:trPr>
          <w:trHeight w:val="215"/>
        </w:trPr>
        <w:tc>
          <w:tcPr>
            <w:tcW w:w="1584" w:type="pct"/>
            <w:tcBorders>
              <w:top w:val="nil"/>
              <w:left w:val="nil"/>
              <w:bottom w:val="nil"/>
              <w:right w:val="nil"/>
            </w:tcBorders>
            <w:shd w:val="clear" w:color="auto" w:fill="auto"/>
            <w:vAlign w:val="center"/>
          </w:tcPr>
          <w:p w14:paraId="7446A6C3" w14:textId="77777777" w:rsidR="00CF778A" w:rsidRPr="00C40415" w:rsidRDefault="00CF778A" w:rsidP="0034622E">
            <w:pPr>
              <w:tabs>
                <w:tab w:val="right" w:pos="1202"/>
              </w:tabs>
              <w:spacing w:line="240" w:lineRule="exact"/>
              <w:outlineLvl w:val="0"/>
              <w:rPr>
                <w:rFonts w:ascii="Arial" w:eastAsia="Calibri" w:hAnsi="Arial" w:cs="Arial"/>
                <w:color w:val="000000" w:themeColor="text1"/>
                <w:spacing w:val="-2"/>
                <w:sz w:val="17"/>
                <w:szCs w:val="17"/>
              </w:rPr>
            </w:pPr>
            <w:r w:rsidRPr="00C40415">
              <w:rPr>
                <w:rFonts w:ascii="Arial" w:eastAsia="Calibri" w:hAnsi="Arial" w:cs="Arial"/>
                <w:color w:val="000000" w:themeColor="text1"/>
                <w:spacing w:val="-2"/>
                <w:sz w:val="17"/>
                <w:szCs w:val="17"/>
              </w:rPr>
              <w:t xml:space="preserve">Izdane garancije </w:t>
            </w:r>
          </w:p>
        </w:tc>
        <w:tc>
          <w:tcPr>
            <w:tcW w:w="559" w:type="pct"/>
            <w:tcBorders>
              <w:top w:val="nil"/>
              <w:left w:val="nil"/>
              <w:bottom w:val="nil"/>
              <w:right w:val="nil"/>
            </w:tcBorders>
            <w:shd w:val="clear" w:color="auto" w:fill="auto"/>
            <w:vAlign w:val="bottom"/>
          </w:tcPr>
          <w:p w14:paraId="55787A74" w14:textId="77777777" w:rsidR="00CF778A" w:rsidRPr="00F959D0" w:rsidRDefault="00CF778A" w:rsidP="0034622E">
            <w:pPr>
              <w:tabs>
                <w:tab w:val="right" w:pos="1202"/>
              </w:tabs>
              <w:spacing w:line="240" w:lineRule="exact"/>
              <w:jc w:val="right"/>
              <w:outlineLvl w:val="0"/>
              <w:rPr>
                <w:rFonts w:ascii="Arial" w:hAnsi="Arial" w:cs="Arial"/>
                <w:sz w:val="17"/>
                <w:szCs w:val="17"/>
              </w:rPr>
            </w:pPr>
            <w:r w:rsidRPr="00F959D0">
              <w:rPr>
                <w:rFonts w:ascii="Arial" w:hAnsi="Arial" w:cs="Arial"/>
                <w:sz w:val="17"/>
                <w:szCs w:val="17"/>
              </w:rPr>
              <w:t xml:space="preserve"> 52.623 </w:t>
            </w:r>
          </w:p>
        </w:tc>
        <w:tc>
          <w:tcPr>
            <w:tcW w:w="558" w:type="pct"/>
            <w:tcBorders>
              <w:top w:val="nil"/>
              <w:left w:val="nil"/>
              <w:bottom w:val="nil"/>
              <w:right w:val="nil"/>
            </w:tcBorders>
            <w:shd w:val="clear" w:color="auto" w:fill="auto"/>
            <w:vAlign w:val="bottom"/>
          </w:tcPr>
          <w:p w14:paraId="09FE9879" w14:textId="77777777" w:rsidR="00CF778A" w:rsidRPr="00F959D0" w:rsidRDefault="00CF778A" w:rsidP="0034622E">
            <w:pPr>
              <w:jc w:val="right"/>
              <w:rPr>
                <w:rFonts w:ascii="Arial" w:hAnsi="Arial" w:cs="Arial"/>
                <w:sz w:val="17"/>
                <w:szCs w:val="17"/>
              </w:rPr>
            </w:pPr>
            <w:r w:rsidRPr="00F959D0">
              <w:rPr>
                <w:rFonts w:ascii="Arial" w:hAnsi="Arial" w:cs="Arial"/>
                <w:sz w:val="17"/>
                <w:szCs w:val="17"/>
              </w:rPr>
              <w:t xml:space="preserve"> - </w:t>
            </w:r>
          </w:p>
        </w:tc>
        <w:tc>
          <w:tcPr>
            <w:tcW w:w="559" w:type="pct"/>
            <w:tcBorders>
              <w:top w:val="nil"/>
              <w:left w:val="nil"/>
              <w:bottom w:val="nil"/>
              <w:right w:val="nil"/>
            </w:tcBorders>
            <w:shd w:val="clear" w:color="auto" w:fill="auto"/>
            <w:vAlign w:val="bottom"/>
          </w:tcPr>
          <w:p w14:paraId="072C15C1" w14:textId="77777777" w:rsidR="00CF778A" w:rsidRPr="00F959D0" w:rsidRDefault="00CF778A" w:rsidP="0034622E">
            <w:pPr>
              <w:jc w:val="right"/>
              <w:rPr>
                <w:rFonts w:ascii="Arial" w:hAnsi="Arial" w:cs="Arial"/>
                <w:sz w:val="17"/>
                <w:szCs w:val="17"/>
              </w:rPr>
            </w:pPr>
            <w:r w:rsidRPr="00F959D0">
              <w:rPr>
                <w:rFonts w:ascii="Arial" w:hAnsi="Arial" w:cs="Arial"/>
                <w:sz w:val="17"/>
                <w:szCs w:val="17"/>
              </w:rPr>
              <w:t xml:space="preserve"> - </w:t>
            </w:r>
          </w:p>
        </w:tc>
        <w:tc>
          <w:tcPr>
            <w:tcW w:w="559" w:type="pct"/>
            <w:tcBorders>
              <w:top w:val="nil"/>
              <w:left w:val="nil"/>
              <w:bottom w:val="nil"/>
              <w:right w:val="nil"/>
            </w:tcBorders>
            <w:shd w:val="clear" w:color="auto" w:fill="auto"/>
            <w:vAlign w:val="bottom"/>
          </w:tcPr>
          <w:p w14:paraId="414B3EA4" w14:textId="77777777" w:rsidR="00CF778A" w:rsidRPr="00F959D0" w:rsidRDefault="00CF778A" w:rsidP="0034622E">
            <w:pPr>
              <w:jc w:val="right"/>
              <w:rPr>
                <w:rFonts w:ascii="Arial" w:hAnsi="Arial" w:cs="Arial"/>
                <w:sz w:val="17"/>
                <w:szCs w:val="17"/>
              </w:rPr>
            </w:pPr>
            <w:r w:rsidRPr="00F959D0">
              <w:rPr>
                <w:rFonts w:ascii="Arial" w:hAnsi="Arial" w:cs="Arial"/>
                <w:sz w:val="17"/>
                <w:szCs w:val="17"/>
              </w:rPr>
              <w:t xml:space="preserve"> - </w:t>
            </w:r>
          </w:p>
        </w:tc>
        <w:tc>
          <w:tcPr>
            <w:tcW w:w="559" w:type="pct"/>
            <w:tcBorders>
              <w:top w:val="nil"/>
              <w:left w:val="nil"/>
              <w:bottom w:val="nil"/>
              <w:right w:val="nil"/>
            </w:tcBorders>
            <w:shd w:val="clear" w:color="auto" w:fill="auto"/>
            <w:vAlign w:val="bottom"/>
          </w:tcPr>
          <w:p w14:paraId="7EAEF5E3" w14:textId="77777777" w:rsidR="00CF778A" w:rsidRPr="00F959D0" w:rsidRDefault="00CF778A" w:rsidP="0034622E">
            <w:pPr>
              <w:jc w:val="right"/>
              <w:rPr>
                <w:rFonts w:ascii="Arial" w:hAnsi="Arial" w:cs="Arial"/>
                <w:sz w:val="17"/>
                <w:szCs w:val="17"/>
              </w:rPr>
            </w:pPr>
            <w:r w:rsidRPr="00F959D0">
              <w:rPr>
                <w:rFonts w:ascii="Arial" w:hAnsi="Arial" w:cs="Arial"/>
                <w:sz w:val="17"/>
                <w:szCs w:val="17"/>
              </w:rPr>
              <w:t xml:space="preserve"> - </w:t>
            </w:r>
          </w:p>
        </w:tc>
        <w:tc>
          <w:tcPr>
            <w:tcW w:w="622" w:type="pct"/>
            <w:tcBorders>
              <w:top w:val="nil"/>
              <w:left w:val="nil"/>
              <w:bottom w:val="nil"/>
              <w:right w:val="nil"/>
            </w:tcBorders>
            <w:shd w:val="clear" w:color="auto" w:fill="auto"/>
            <w:vAlign w:val="bottom"/>
          </w:tcPr>
          <w:p w14:paraId="191BFD47" w14:textId="77777777" w:rsidR="00CF778A" w:rsidRPr="00F959D0" w:rsidRDefault="00CF778A" w:rsidP="0034622E">
            <w:pPr>
              <w:tabs>
                <w:tab w:val="right" w:pos="1202"/>
              </w:tabs>
              <w:spacing w:line="240" w:lineRule="exact"/>
              <w:jc w:val="right"/>
              <w:outlineLvl w:val="0"/>
              <w:rPr>
                <w:rFonts w:ascii="Arial" w:hAnsi="Arial" w:cs="Arial"/>
                <w:sz w:val="17"/>
                <w:szCs w:val="17"/>
              </w:rPr>
            </w:pPr>
            <w:r w:rsidRPr="00F959D0">
              <w:rPr>
                <w:rFonts w:ascii="Arial" w:hAnsi="Arial" w:cs="Arial"/>
                <w:sz w:val="17"/>
                <w:szCs w:val="17"/>
              </w:rPr>
              <w:t xml:space="preserve"> 52.623 </w:t>
            </w:r>
          </w:p>
        </w:tc>
      </w:tr>
      <w:tr w:rsidR="00CF778A" w:rsidRPr="00C40415" w14:paraId="0DF711BA" w14:textId="77777777" w:rsidTr="0034622E">
        <w:trPr>
          <w:trHeight w:val="215"/>
        </w:trPr>
        <w:tc>
          <w:tcPr>
            <w:tcW w:w="1584" w:type="pct"/>
            <w:tcBorders>
              <w:top w:val="nil"/>
              <w:left w:val="nil"/>
              <w:bottom w:val="nil"/>
              <w:right w:val="nil"/>
            </w:tcBorders>
            <w:shd w:val="clear" w:color="auto" w:fill="auto"/>
            <w:vAlign w:val="center"/>
          </w:tcPr>
          <w:p w14:paraId="0FCDCB41" w14:textId="77777777" w:rsidR="00CF778A" w:rsidRPr="00C40415" w:rsidRDefault="00CF778A" w:rsidP="0034622E">
            <w:pPr>
              <w:tabs>
                <w:tab w:val="right" w:pos="1202"/>
              </w:tabs>
              <w:spacing w:line="240" w:lineRule="exact"/>
              <w:outlineLvl w:val="0"/>
              <w:rPr>
                <w:rFonts w:ascii="Arial" w:eastAsia="Calibri" w:hAnsi="Arial" w:cs="Arial"/>
                <w:color w:val="000000" w:themeColor="text1"/>
                <w:spacing w:val="-2"/>
                <w:sz w:val="17"/>
                <w:szCs w:val="17"/>
              </w:rPr>
            </w:pPr>
            <w:r w:rsidRPr="00C40415">
              <w:rPr>
                <w:rFonts w:ascii="Arial" w:eastAsia="Calibri" w:hAnsi="Arial" w:cs="Arial"/>
                <w:color w:val="000000" w:themeColor="text1"/>
                <w:spacing w:val="-2"/>
                <w:sz w:val="17"/>
                <w:szCs w:val="17"/>
              </w:rPr>
              <w:t>Izdane garancije u devizama</w:t>
            </w:r>
          </w:p>
        </w:tc>
        <w:tc>
          <w:tcPr>
            <w:tcW w:w="559" w:type="pct"/>
            <w:tcBorders>
              <w:top w:val="nil"/>
              <w:left w:val="nil"/>
              <w:bottom w:val="nil"/>
              <w:right w:val="nil"/>
            </w:tcBorders>
            <w:shd w:val="clear" w:color="auto" w:fill="auto"/>
            <w:vAlign w:val="bottom"/>
          </w:tcPr>
          <w:p w14:paraId="64FB431E" w14:textId="77777777" w:rsidR="00CF778A" w:rsidRPr="00F959D0" w:rsidRDefault="00CF778A" w:rsidP="0034622E">
            <w:pPr>
              <w:tabs>
                <w:tab w:val="right" w:pos="1202"/>
              </w:tabs>
              <w:spacing w:line="240" w:lineRule="exact"/>
              <w:jc w:val="right"/>
              <w:outlineLvl w:val="0"/>
              <w:rPr>
                <w:rFonts w:ascii="Arial" w:hAnsi="Arial" w:cs="Arial"/>
                <w:sz w:val="17"/>
                <w:szCs w:val="17"/>
              </w:rPr>
            </w:pPr>
            <w:r w:rsidRPr="00F959D0">
              <w:rPr>
                <w:rFonts w:ascii="Arial" w:hAnsi="Arial" w:cs="Arial"/>
                <w:sz w:val="17"/>
                <w:szCs w:val="17"/>
              </w:rPr>
              <w:t xml:space="preserve"> 7.716 </w:t>
            </w:r>
          </w:p>
        </w:tc>
        <w:tc>
          <w:tcPr>
            <w:tcW w:w="558" w:type="pct"/>
            <w:tcBorders>
              <w:top w:val="nil"/>
              <w:left w:val="nil"/>
              <w:bottom w:val="nil"/>
              <w:right w:val="nil"/>
            </w:tcBorders>
            <w:shd w:val="clear" w:color="auto" w:fill="auto"/>
            <w:vAlign w:val="bottom"/>
          </w:tcPr>
          <w:p w14:paraId="164AD32E" w14:textId="77777777" w:rsidR="00CF778A" w:rsidRPr="00F959D0" w:rsidRDefault="00CF778A" w:rsidP="0034622E">
            <w:pPr>
              <w:jc w:val="right"/>
              <w:rPr>
                <w:rFonts w:ascii="Arial" w:hAnsi="Arial" w:cs="Arial"/>
                <w:sz w:val="17"/>
                <w:szCs w:val="17"/>
              </w:rPr>
            </w:pPr>
            <w:r w:rsidRPr="00F959D0">
              <w:rPr>
                <w:rFonts w:ascii="Arial" w:hAnsi="Arial" w:cs="Arial"/>
                <w:sz w:val="17"/>
                <w:szCs w:val="17"/>
              </w:rPr>
              <w:t xml:space="preserve"> - </w:t>
            </w:r>
          </w:p>
        </w:tc>
        <w:tc>
          <w:tcPr>
            <w:tcW w:w="559" w:type="pct"/>
            <w:tcBorders>
              <w:top w:val="nil"/>
              <w:left w:val="nil"/>
              <w:bottom w:val="nil"/>
              <w:right w:val="nil"/>
            </w:tcBorders>
            <w:shd w:val="clear" w:color="auto" w:fill="auto"/>
            <w:vAlign w:val="bottom"/>
          </w:tcPr>
          <w:p w14:paraId="4F945A29" w14:textId="77777777" w:rsidR="00CF778A" w:rsidRPr="00F959D0" w:rsidRDefault="00CF778A" w:rsidP="0034622E">
            <w:pPr>
              <w:jc w:val="right"/>
              <w:rPr>
                <w:rFonts w:ascii="Arial" w:hAnsi="Arial" w:cs="Arial"/>
                <w:sz w:val="17"/>
                <w:szCs w:val="17"/>
              </w:rPr>
            </w:pPr>
            <w:r w:rsidRPr="00F959D0">
              <w:rPr>
                <w:rFonts w:ascii="Arial" w:hAnsi="Arial" w:cs="Arial"/>
                <w:sz w:val="17"/>
                <w:szCs w:val="17"/>
              </w:rPr>
              <w:t xml:space="preserve"> - </w:t>
            </w:r>
          </w:p>
        </w:tc>
        <w:tc>
          <w:tcPr>
            <w:tcW w:w="559" w:type="pct"/>
            <w:tcBorders>
              <w:top w:val="nil"/>
              <w:left w:val="nil"/>
              <w:bottom w:val="nil"/>
              <w:right w:val="nil"/>
            </w:tcBorders>
            <w:shd w:val="clear" w:color="auto" w:fill="auto"/>
            <w:vAlign w:val="bottom"/>
          </w:tcPr>
          <w:p w14:paraId="0953B78E" w14:textId="77777777" w:rsidR="00CF778A" w:rsidRPr="00F959D0" w:rsidRDefault="00CF778A" w:rsidP="0034622E">
            <w:pPr>
              <w:jc w:val="right"/>
              <w:rPr>
                <w:rFonts w:ascii="Arial" w:hAnsi="Arial" w:cs="Arial"/>
                <w:sz w:val="17"/>
                <w:szCs w:val="17"/>
              </w:rPr>
            </w:pPr>
            <w:r w:rsidRPr="00F959D0">
              <w:rPr>
                <w:rFonts w:ascii="Arial" w:hAnsi="Arial" w:cs="Arial"/>
                <w:sz w:val="17"/>
                <w:szCs w:val="17"/>
              </w:rPr>
              <w:t xml:space="preserve"> - </w:t>
            </w:r>
          </w:p>
        </w:tc>
        <w:tc>
          <w:tcPr>
            <w:tcW w:w="559" w:type="pct"/>
            <w:tcBorders>
              <w:top w:val="nil"/>
              <w:left w:val="nil"/>
              <w:bottom w:val="nil"/>
              <w:right w:val="nil"/>
            </w:tcBorders>
            <w:shd w:val="clear" w:color="auto" w:fill="auto"/>
            <w:vAlign w:val="bottom"/>
          </w:tcPr>
          <w:p w14:paraId="6BB58233" w14:textId="77777777" w:rsidR="00CF778A" w:rsidRPr="00F959D0" w:rsidRDefault="00CF778A" w:rsidP="0034622E">
            <w:pPr>
              <w:jc w:val="right"/>
              <w:rPr>
                <w:rFonts w:ascii="Arial" w:hAnsi="Arial" w:cs="Arial"/>
                <w:sz w:val="17"/>
                <w:szCs w:val="17"/>
              </w:rPr>
            </w:pPr>
            <w:r w:rsidRPr="00F959D0">
              <w:rPr>
                <w:rFonts w:ascii="Arial" w:hAnsi="Arial" w:cs="Arial"/>
                <w:sz w:val="17"/>
                <w:szCs w:val="17"/>
              </w:rPr>
              <w:t xml:space="preserve"> - </w:t>
            </w:r>
          </w:p>
        </w:tc>
        <w:tc>
          <w:tcPr>
            <w:tcW w:w="622" w:type="pct"/>
            <w:tcBorders>
              <w:top w:val="nil"/>
              <w:left w:val="nil"/>
              <w:bottom w:val="nil"/>
              <w:right w:val="nil"/>
            </w:tcBorders>
            <w:shd w:val="clear" w:color="auto" w:fill="auto"/>
            <w:vAlign w:val="bottom"/>
          </w:tcPr>
          <w:p w14:paraId="2D50C089" w14:textId="77777777" w:rsidR="00CF778A" w:rsidRPr="00F959D0" w:rsidRDefault="00CF778A" w:rsidP="0034622E">
            <w:pPr>
              <w:tabs>
                <w:tab w:val="right" w:pos="1202"/>
              </w:tabs>
              <w:spacing w:line="240" w:lineRule="exact"/>
              <w:jc w:val="right"/>
              <w:outlineLvl w:val="0"/>
              <w:rPr>
                <w:rFonts w:ascii="Arial" w:hAnsi="Arial" w:cs="Arial"/>
                <w:sz w:val="17"/>
                <w:szCs w:val="17"/>
              </w:rPr>
            </w:pPr>
            <w:r w:rsidRPr="00F959D0">
              <w:rPr>
                <w:rFonts w:ascii="Arial" w:hAnsi="Arial" w:cs="Arial"/>
                <w:sz w:val="17"/>
                <w:szCs w:val="17"/>
              </w:rPr>
              <w:t xml:space="preserve"> 7.716 </w:t>
            </w:r>
          </w:p>
        </w:tc>
      </w:tr>
      <w:tr w:rsidR="00CF778A" w:rsidRPr="00C40415" w14:paraId="246C8A99" w14:textId="77777777" w:rsidTr="0034622E">
        <w:trPr>
          <w:trHeight w:val="215"/>
        </w:trPr>
        <w:tc>
          <w:tcPr>
            <w:tcW w:w="1584" w:type="pct"/>
            <w:tcBorders>
              <w:top w:val="nil"/>
              <w:left w:val="nil"/>
              <w:bottom w:val="nil"/>
              <w:right w:val="nil"/>
            </w:tcBorders>
            <w:shd w:val="clear" w:color="auto" w:fill="auto"/>
            <w:vAlign w:val="center"/>
          </w:tcPr>
          <w:p w14:paraId="5A6FCAC2" w14:textId="77777777" w:rsidR="00CF778A" w:rsidRPr="00C40415" w:rsidRDefault="00CF778A" w:rsidP="0034622E">
            <w:pPr>
              <w:tabs>
                <w:tab w:val="right" w:pos="1202"/>
              </w:tabs>
              <w:spacing w:line="240" w:lineRule="exact"/>
              <w:outlineLvl w:val="0"/>
              <w:rPr>
                <w:rFonts w:ascii="Arial" w:eastAsia="Calibri" w:hAnsi="Arial" w:cs="Arial"/>
                <w:color w:val="000000" w:themeColor="text1"/>
                <w:spacing w:val="-2"/>
                <w:sz w:val="17"/>
                <w:szCs w:val="17"/>
              </w:rPr>
            </w:pPr>
            <w:r w:rsidRPr="00C40415">
              <w:rPr>
                <w:rFonts w:ascii="Arial" w:eastAsia="Calibri" w:hAnsi="Arial" w:cs="Arial"/>
                <w:color w:val="000000" w:themeColor="text1"/>
                <w:spacing w:val="-2"/>
                <w:sz w:val="17"/>
                <w:szCs w:val="17"/>
              </w:rPr>
              <w:t>Preuzete obveze po kreditima</w:t>
            </w:r>
          </w:p>
        </w:tc>
        <w:tc>
          <w:tcPr>
            <w:tcW w:w="559" w:type="pct"/>
            <w:tcBorders>
              <w:top w:val="nil"/>
              <w:left w:val="nil"/>
              <w:bottom w:val="nil"/>
              <w:right w:val="nil"/>
            </w:tcBorders>
            <w:shd w:val="clear" w:color="auto" w:fill="auto"/>
            <w:vAlign w:val="bottom"/>
          </w:tcPr>
          <w:p w14:paraId="0DC26B8A" w14:textId="77777777" w:rsidR="00CF778A" w:rsidRPr="00F959D0" w:rsidRDefault="00CF778A" w:rsidP="0034622E">
            <w:pPr>
              <w:tabs>
                <w:tab w:val="right" w:pos="1202"/>
              </w:tabs>
              <w:spacing w:line="240" w:lineRule="exact"/>
              <w:jc w:val="right"/>
              <w:outlineLvl w:val="0"/>
              <w:rPr>
                <w:rFonts w:ascii="Arial" w:hAnsi="Arial" w:cs="Arial"/>
                <w:sz w:val="17"/>
                <w:szCs w:val="17"/>
              </w:rPr>
            </w:pPr>
            <w:r w:rsidRPr="00F959D0">
              <w:rPr>
                <w:rFonts w:ascii="Arial" w:hAnsi="Arial" w:cs="Arial"/>
                <w:sz w:val="17"/>
                <w:szCs w:val="17"/>
              </w:rPr>
              <w:t xml:space="preserve"> 445.273 </w:t>
            </w:r>
          </w:p>
        </w:tc>
        <w:tc>
          <w:tcPr>
            <w:tcW w:w="558" w:type="pct"/>
            <w:tcBorders>
              <w:top w:val="nil"/>
              <w:left w:val="nil"/>
              <w:bottom w:val="nil"/>
              <w:right w:val="nil"/>
            </w:tcBorders>
            <w:shd w:val="clear" w:color="auto" w:fill="auto"/>
            <w:vAlign w:val="bottom"/>
          </w:tcPr>
          <w:p w14:paraId="76A458A8" w14:textId="77777777" w:rsidR="00CF778A" w:rsidRPr="00F959D0" w:rsidRDefault="00CF778A" w:rsidP="0034622E">
            <w:pPr>
              <w:jc w:val="right"/>
              <w:rPr>
                <w:rFonts w:ascii="Arial" w:hAnsi="Arial" w:cs="Arial"/>
                <w:sz w:val="17"/>
                <w:szCs w:val="17"/>
              </w:rPr>
            </w:pPr>
            <w:r w:rsidRPr="00F959D0">
              <w:rPr>
                <w:rFonts w:ascii="Arial" w:hAnsi="Arial" w:cs="Arial"/>
                <w:sz w:val="17"/>
                <w:szCs w:val="17"/>
              </w:rPr>
              <w:t xml:space="preserve"> - </w:t>
            </w:r>
          </w:p>
        </w:tc>
        <w:tc>
          <w:tcPr>
            <w:tcW w:w="559" w:type="pct"/>
            <w:tcBorders>
              <w:top w:val="nil"/>
              <w:left w:val="nil"/>
              <w:bottom w:val="nil"/>
              <w:right w:val="nil"/>
            </w:tcBorders>
            <w:shd w:val="clear" w:color="auto" w:fill="auto"/>
            <w:vAlign w:val="bottom"/>
          </w:tcPr>
          <w:p w14:paraId="19EA28D5" w14:textId="77777777" w:rsidR="00CF778A" w:rsidRPr="00F959D0" w:rsidRDefault="00CF778A" w:rsidP="0034622E">
            <w:pPr>
              <w:jc w:val="right"/>
              <w:rPr>
                <w:rFonts w:ascii="Arial" w:hAnsi="Arial" w:cs="Arial"/>
                <w:sz w:val="17"/>
                <w:szCs w:val="17"/>
              </w:rPr>
            </w:pPr>
            <w:r w:rsidRPr="00F959D0">
              <w:rPr>
                <w:rFonts w:ascii="Arial" w:hAnsi="Arial" w:cs="Arial"/>
                <w:sz w:val="17"/>
                <w:szCs w:val="17"/>
              </w:rPr>
              <w:t xml:space="preserve"> - </w:t>
            </w:r>
          </w:p>
        </w:tc>
        <w:tc>
          <w:tcPr>
            <w:tcW w:w="559" w:type="pct"/>
            <w:tcBorders>
              <w:top w:val="nil"/>
              <w:left w:val="nil"/>
              <w:bottom w:val="nil"/>
              <w:right w:val="nil"/>
            </w:tcBorders>
            <w:shd w:val="clear" w:color="auto" w:fill="auto"/>
            <w:vAlign w:val="bottom"/>
          </w:tcPr>
          <w:p w14:paraId="472D3A56" w14:textId="77777777" w:rsidR="00CF778A" w:rsidRPr="00F959D0" w:rsidRDefault="00CF778A" w:rsidP="0034622E">
            <w:pPr>
              <w:jc w:val="right"/>
              <w:rPr>
                <w:rFonts w:ascii="Arial" w:hAnsi="Arial" w:cs="Arial"/>
                <w:sz w:val="17"/>
                <w:szCs w:val="17"/>
              </w:rPr>
            </w:pPr>
            <w:r w:rsidRPr="00F959D0">
              <w:rPr>
                <w:rFonts w:ascii="Arial" w:hAnsi="Arial" w:cs="Arial"/>
                <w:sz w:val="17"/>
                <w:szCs w:val="17"/>
              </w:rPr>
              <w:t xml:space="preserve"> - </w:t>
            </w:r>
          </w:p>
        </w:tc>
        <w:tc>
          <w:tcPr>
            <w:tcW w:w="559" w:type="pct"/>
            <w:tcBorders>
              <w:top w:val="nil"/>
              <w:left w:val="nil"/>
              <w:bottom w:val="nil"/>
              <w:right w:val="nil"/>
            </w:tcBorders>
            <w:shd w:val="clear" w:color="auto" w:fill="auto"/>
            <w:vAlign w:val="bottom"/>
          </w:tcPr>
          <w:p w14:paraId="2D23CF9B" w14:textId="77777777" w:rsidR="00CF778A" w:rsidRPr="00F959D0" w:rsidRDefault="00CF778A" w:rsidP="0034622E">
            <w:pPr>
              <w:jc w:val="right"/>
              <w:rPr>
                <w:rFonts w:ascii="Arial" w:hAnsi="Arial" w:cs="Arial"/>
                <w:sz w:val="17"/>
                <w:szCs w:val="17"/>
              </w:rPr>
            </w:pPr>
            <w:r w:rsidRPr="00F959D0">
              <w:rPr>
                <w:rFonts w:ascii="Arial" w:hAnsi="Arial" w:cs="Arial"/>
                <w:sz w:val="17"/>
                <w:szCs w:val="17"/>
              </w:rPr>
              <w:t xml:space="preserve"> - </w:t>
            </w:r>
          </w:p>
        </w:tc>
        <w:tc>
          <w:tcPr>
            <w:tcW w:w="622" w:type="pct"/>
            <w:tcBorders>
              <w:top w:val="nil"/>
              <w:left w:val="nil"/>
              <w:bottom w:val="nil"/>
              <w:right w:val="nil"/>
            </w:tcBorders>
            <w:shd w:val="clear" w:color="auto" w:fill="auto"/>
            <w:vAlign w:val="bottom"/>
          </w:tcPr>
          <w:p w14:paraId="51E04965" w14:textId="77777777" w:rsidR="00CF778A" w:rsidRPr="00F959D0" w:rsidRDefault="00CF778A" w:rsidP="0034622E">
            <w:pPr>
              <w:tabs>
                <w:tab w:val="right" w:pos="1202"/>
              </w:tabs>
              <w:spacing w:line="240" w:lineRule="exact"/>
              <w:jc w:val="right"/>
              <w:outlineLvl w:val="0"/>
              <w:rPr>
                <w:rFonts w:ascii="Arial" w:hAnsi="Arial" w:cs="Arial"/>
                <w:sz w:val="17"/>
                <w:szCs w:val="17"/>
              </w:rPr>
            </w:pPr>
            <w:r w:rsidRPr="00F959D0">
              <w:rPr>
                <w:rFonts w:ascii="Arial" w:hAnsi="Arial" w:cs="Arial"/>
                <w:sz w:val="17"/>
                <w:szCs w:val="17"/>
              </w:rPr>
              <w:t xml:space="preserve"> 445.273 </w:t>
            </w:r>
          </w:p>
        </w:tc>
      </w:tr>
      <w:tr w:rsidR="00CF778A" w:rsidRPr="00C40415" w14:paraId="7F33D58B" w14:textId="77777777" w:rsidTr="0034622E">
        <w:trPr>
          <w:trHeight w:val="215"/>
        </w:trPr>
        <w:tc>
          <w:tcPr>
            <w:tcW w:w="1584" w:type="pct"/>
            <w:tcBorders>
              <w:top w:val="nil"/>
              <w:left w:val="nil"/>
              <w:bottom w:val="nil"/>
              <w:right w:val="nil"/>
            </w:tcBorders>
            <w:shd w:val="clear" w:color="auto" w:fill="auto"/>
            <w:vAlign w:val="bottom"/>
          </w:tcPr>
          <w:p w14:paraId="730DE06D" w14:textId="77777777" w:rsidR="00CF778A" w:rsidRPr="00C40415" w:rsidRDefault="00CF778A" w:rsidP="0034622E">
            <w:pPr>
              <w:tabs>
                <w:tab w:val="right" w:pos="1202"/>
              </w:tabs>
              <w:spacing w:line="240" w:lineRule="exact"/>
              <w:outlineLvl w:val="0"/>
              <w:rPr>
                <w:rFonts w:ascii="Arial" w:eastAsia="Calibri" w:hAnsi="Arial" w:cs="Arial"/>
                <w:color w:val="000000" w:themeColor="text1"/>
                <w:spacing w:val="-2"/>
                <w:sz w:val="17"/>
                <w:szCs w:val="17"/>
              </w:rPr>
            </w:pPr>
            <w:r w:rsidRPr="00C40415">
              <w:rPr>
                <w:rFonts w:ascii="Arial" w:hAnsi="Arial" w:cs="Arial"/>
                <w:color w:val="000000" w:themeColor="text1"/>
                <w:sz w:val="17"/>
                <w:szCs w:val="17"/>
              </w:rPr>
              <w:t>Upisani a neuplaćeni kapital EIF-a</w:t>
            </w:r>
          </w:p>
        </w:tc>
        <w:tc>
          <w:tcPr>
            <w:tcW w:w="559" w:type="pct"/>
            <w:tcBorders>
              <w:top w:val="nil"/>
              <w:left w:val="nil"/>
              <w:bottom w:val="nil"/>
              <w:right w:val="nil"/>
            </w:tcBorders>
            <w:shd w:val="clear" w:color="auto" w:fill="auto"/>
            <w:vAlign w:val="bottom"/>
          </w:tcPr>
          <w:p w14:paraId="7667B56C" w14:textId="77777777" w:rsidR="00CF778A" w:rsidRPr="00F959D0" w:rsidRDefault="00CF778A" w:rsidP="0034622E">
            <w:pPr>
              <w:tabs>
                <w:tab w:val="right" w:pos="1202"/>
              </w:tabs>
              <w:spacing w:line="240" w:lineRule="exact"/>
              <w:jc w:val="right"/>
              <w:outlineLvl w:val="0"/>
              <w:rPr>
                <w:rFonts w:ascii="Arial" w:hAnsi="Arial" w:cs="Arial"/>
                <w:sz w:val="17"/>
                <w:szCs w:val="17"/>
              </w:rPr>
            </w:pPr>
            <w:r w:rsidRPr="00F959D0">
              <w:rPr>
                <w:rFonts w:ascii="Arial" w:hAnsi="Arial" w:cs="Arial"/>
                <w:sz w:val="17"/>
                <w:szCs w:val="17"/>
              </w:rPr>
              <w:t xml:space="preserve"> 10.400 </w:t>
            </w:r>
          </w:p>
        </w:tc>
        <w:tc>
          <w:tcPr>
            <w:tcW w:w="558" w:type="pct"/>
            <w:tcBorders>
              <w:top w:val="nil"/>
              <w:left w:val="nil"/>
              <w:bottom w:val="nil"/>
              <w:right w:val="nil"/>
            </w:tcBorders>
            <w:shd w:val="clear" w:color="auto" w:fill="auto"/>
            <w:vAlign w:val="bottom"/>
          </w:tcPr>
          <w:p w14:paraId="03A7EBF2" w14:textId="77777777" w:rsidR="00CF778A" w:rsidRPr="00F959D0" w:rsidRDefault="00CF778A" w:rsidP="0034622E">
            <w:pPr>
              <w:jc w:val="right"/>
              <w:rPr>
                <w:rFonts w:ascii="Arial" w:hAnsi="Arial" w:cs="Arial"/>
                <w:sz w:val="17"/>
                <w:szCs w:val="17"/>
              </w:rPr>
            </w:pPr>
            <w:r w:rsidRPr="00F959D0">
              <w:rPr>
                <w:rFonts w:ascii="Arial" w:hAnsi="Arial" w:cs="Arial"/>
                <w:sz w:val="17"/>
                <w:szCs w:val="17"/>
              </w:rPr>
              <w:t xml:space="preserve"> - </w:t>
            </w:r>
          </w:p>
        </w:tc>
        <w:tc>
          <w:tcPr>
            <w:tcW w:w="559" w:type="pct"/>
            <w:tcBorders>
              <w:top w:val="nil"/>
              <w:left w:val="nil"/>
              <w:bottom w:val="nil"/>
              <w:right w:val="nil"/>
            </w:tcBorders>
            <w:shd w:val="clear" w:color="auto" w:fill="auto"/>
            <w:vAlign w:val="bottom"/>
          </w:tcPr>
          <w:p w14:paraId="5C135231" w14:textId="77777777" w:rsidR="00CF778A" w:rsidRPr="00F959D0" w:rsidRDefault="00CF778A" w:rsidP="0034622E">
            <w:pPr>
              <w:jc w:val="right"/>
              <w:rPr>
                <w:rFonts w:ascii="Arial" w:hAnsi="Arial" w:cs="Arial"/>
                <w:sz w:val="17"/>
                <w:szCs w:val="17"/>
              </w:rPr>
            </w:pPr>
            <w:r w:rsidRPr="00F959D0">
              <w:rPr>
                <w:rFonts w:ascii="Arial" w:hAnsi="Arial" w:cs="Arial"/>
                <w:sz w:val="17"/>
                <w:szCs w:val="17"/>
              </w:rPr>
              <w:t xml:space="preserve"> - </w:t>
            </w:r>
          </w:p>
        </w:tc>
        <w:tc>
          <w:tcPr>
            <w:tcW w:w="559" w:type="pct"/>
            <w:tcBorders>
              <w:top w:val="nil"/>
              <w:left w:val="nil"/>
              <w:bottom w:val="nil"/>
              <w:right w:val="nil"/>
            </w:tcBorders>
            <w:shd w:val="clear" w:color="auto" w:fill="auto"/>
            <w:vAlign w:val="bottom"/>
          </w:tcPr>
          <w:p w14:paraId="6C45133D" w14:textId="77777777" w:rsidR="00CF778A" w:rsidRPr="00F959D0" w:rsidRDefault="00CF778A" w:rsidP="0034622E">
            <w:pPr>
              <w:jc w:val="right"/>
              <w:rPr>
                <w:rFonts w:ascii="Arial" w:hAnsi="Arial" w:cs="Arial"/>
                <w:sz w:val="17"/>
                <w:szCs w:val="17"/>
              </w:rPr>
            </w:pPr>
            <w:r w:rsidRPr="00F959D0">
              <w:rPr>
                <w:rFonts w:ascii="Arial" w:hAnsi="Arial" w:cs="Arial"/>
                <w:sz w:val="17"/>
                <w:szCs w:val="17"/>
              </w:rPr>
              <w:t xml:space="preserve"> - </w:t>
            </w:r>
          </w:p>
        </w:tc>
        <w:tc>
          <w:tcPr>
            <w:tcW w:w="559" w:type="pct"/>
            <w:tcBorders>
              <w:top w:val="nil"/>
              <w:left w:val="nil"/>
              <w:bottom w:val="nil"/>
              <w:right w:val="nil"/>
            </w:tcBorders>
            <w:shd w:val="clear" w:color="auto" w:fill="auto"/>
            <w:vAlign w:val="bottom"/>
          </w:tcPr>
          <w:p w14:paraId="31000B83" w14:textId="77777777" w:rsidR="00CF778A" w:rsidRPr="00F959D0" w:rsidRDefault="00CF778A" w:rsidP="0034622E">
            <w:pPr>
              <w:jc w:val="right"/>
              <w:rPr>
                <w:rFonts w:ascii="Arial" w:hAnsi="Arial" w:cs="Arial"/>
                <w:sz w:val="17"/>
                <w:szCs w:val="17"/>
              </w:rPr>
            </w:pPr>
            <w:r w:rsidRPr="00F959D0">
              <w:rPr>
                <w:rFonts w:ascii="Arial" w:hAnsi="Arial" w:cs="Arial"/>
                <w:sz w:val="17"/>
                <w:szCs w:val="17"/>
              </w:rPr>
              <w:t xml:space="preserve"> - </w:t>
            </w:r>
          </w:p>
        </w:tc>
        <w:tc>
          <w:tcPr>
            <w:tcW w:w="622" w:type="pct"/>
            <w:tcBorders>
              <w:top w:val="nil"/>
              <w:left w:val="nil"/>
              <w:bottom w:val="nil"/>
              <w:right w:val="nil"/>
            </w:tcBorders>
            <w:shd w:val="clear" w:color="auto" w:fill="auto"/>
            <w:vAlign w:val="bottom"/>
          </w:tcPr>
          <w:p w14:paraId="69C68045" w14:textId="77777777" w:rsidR="00CF778A" w:rsidRPr="00F959D0" w:rsidRDefault="00CF778A" w:rsidP="0034622E">
            <w:pPr>
              <w:tabs>
                <w:tab w:val="right" w:pos="1202"/>
              </w:tabs>
              <w:spacing w:line="240" w:lineRule="exact"/>
              <w:jc w:val="right"/>
              <w:outlineLvl w:val="0"/>
              <w:rPr>
                <w:rFonts w:ascii="Arial" w:hAnsi="Arial" w:cs="Arial"/>
                <w:sz w:val="17"/>
                <w:szCs w:val="17"/>
              </w:rPr>
            </w:pPr>
            <w:r w:rsidRPr="00F959D0">
              <w:rPr>
                <w:rFonts w:ascii="Arial" w:hAnsi="Arial" w:cs="Arial"/>
                <w:sz w:val="17"/>
                <w:szCs w:val="17"/>
              </w:rPr>
              <w:t xml:space="preserve"> 10.400 </w:t>
            </w:r>
          </w:p>
        </w:tc>
      </w:tr>
      <w:tr w:rsidR="00CF778A" w:rsidRPr="00C40415" w14:paraId="0A782F03" w14:textId="77777777" w:rsidTr="0034622E">
        <w:trPr>
          <w:trHeight w:val="215"/>
        </w:trPr>
        <w:tc>
          <w:tcPr>
            <w:tcW w:w="1584" w:type="pct"/>
            <w:tcBorders>
              <w:top w:val="nil"/>
              <w:left w:val="nil"/>
              <w:bottom w:val="nil"/>
              <w:right w:val="nil"/>
            </w:tcBorders>
            <w:shd w:val="clear" w:color="auto" w:fill="auto"/>
            <w:vAlign w:val="bottom"/>
          </w:tcPr>
          <w:p w14:paraId="029426B8" w14:textId="77777777" w:rsidR="00CF778A" w:rsidRPr="00C40415" w:rsidRDefault="00CF778A" w:rsidP="0034622E">
            <w:pPr>
              <w:tabs>
                <w:tab w:val="right" w:pos="1202"/>
              </w:tabs>
              <w:spacing w:line="240" w:lineRule="exact"/>
              <w:outlineLvl w:val="0"/>
              <w:rPr>
                <w:rFonts w:ascii="Arial" w:hAnsi="Arial" w:cs="Arial"/>
                <w:color w:val="000000" w:themeColor="text1"/>
                <w:sz w:val="17"/>
                <w:szCs w:val="17"/>
              </w:rPr>
            </w:pPr>
            <w:r w:rsidRPr="00C40415">
              <w:rPr>
                <w:rFonts w:ascii="Arial" w:hAnsi="Arial" w:cs="Arial"/>
                <w:color w:val="000000"/>
                <w:sz w:val="17"/>
                <w:szCs w:val="17"/>
              </w:rPr>
              <w:t>Ugovorena obveza EIF CROGIP</w:t>
            </w:r>
          </w:p>
        </w:tc>
        <w:tc>
          <w:tcPr>
            <w:tcW w:w="559" w:type="pct"/>
            <w:tcBorders>
              <w:top w:val="nil"/>
              <w:left w:val="nil"/>
              <w:bottom w:val="nil"/>
              <w:right w:val="nil"/>
            </w:tcBorders>
            <w:shd w:val="clear" w:color="auto" w:fill="auto"/>
            <w:vAlign w:val="bottom"/>
          </w:tcPr>
          <w:p w14:paraId="089DFFA5" w14:textId="77777777" w:rsidR="00CF778A" w:rsidRPr="00F959D0" w:rsidRDefault="00CF778A" w:rsidP="0034622E">
            <w:pPr>
              <w:tabs>
                <w:tab w:val="right" w:pos="1202"/>
              </w:tabs>
              <w:spacing w:line="240" w:lineRule="exact"/>
              <w:jc w:val="right"/>
              <w:outlineLvl w:val="0"/>
              <w:rPr>
                <w:rFonts w:ascii="Arial" w:hAnsi="Arial" w:cs="Arial"/>
                <w:sz w:val="17"/>
                <w:szCs w:val="17"/>
              </w:rPr>
            </w:pPr>
            <w:r w:rsidRPr="00F959D0">
              <w:rPr>
                <w:rFonts w:ascii="Arial" w:hAnsi="Arial" w:cs="Arial"/>
                <w:sz w:val="17"/>
                <w:szCs w:val="17"/>
              </w:rPr>
              <w:t xml:space="preserve"> 129 </w:t>
            </w:r>
          </w:p>
        </w:tc>
        <w:tc>
          <w:tcPr>
            <w:tcW w:w="558" w:type="pct"/>
            <w:tcBorders>
              <w:top w:val="nil"/>
              <w:left w:val="nil"/>
              <w:bottom w:val="nil"/>
              <w:right w:val="nil"/>
            </w:tcBorders>
            <w:shd w:val="clear" w:color="auto" w:fill="auto"/>
            <w:vAlign w:val="bottom"/>
          </w:tcPr>
          <w:p w14:paraId="30650329" w14:textId="77777777" w:rsidR="00CF778A" w:rsidRPr="00F959D0" w:rsidRDefault="00CF778A" w:rsidP="0034622E">
            <w:pPr>
              <w:jc w:val="right"/>
              <w:rPr>
                <w:rFonts w:ascii="Arial" w:hAnsi="Arial" w:cs="Arial"/>
                <w:sz w:val="17"/>
                <w:szCs w:val="17"/>
              </w:rPr>
            </w:pPr>
            <w:r w:rsidRPr="00F959D0">
              <w:rPr>
                <w:rFonts w:ascii="Arial" w:hAnsi="Arial" w:cs="Arial"/>
                <w:sz w:val="17"/>
                <w:szCs w:val="17"/>
              </w:rPr>
              <w:t xml:space="preserve"> 1.467 </w:t>
            </w:r>
          </w:p>
        </w:tc>
        <w:tc>
          <w:tcPr>
            <w:tcW w:w="559" w:type="pct"/>
            <w:tcBorders>
              <w:top w:val="nil"/>
              <w:left w:val="nil"/>
              <w:bottom w:val="nil"/>
              <w:right w:val="nil"/>
            </w:tcBorders>
            <w:shd w:val="clear" w:color="auto" w:fill="auto"/>
            <w:vAlign w:val="bottom"/>
          </w:tcPr>
          <w:p w14:paraId="2E36F86E" w14:textId="77777777" w:rsidR="00CF778A" w:rsidRPr="00F959D0" w:rsidRDefault="00CF778A" w:rsidP="0034622E">
            <w:pPr>
              <w:jc w:val="right"/>
              <w:rPr>
                <w:rFonts w:ascii="Arial" w:hAnsi="Arial" w:cs="Arial"/>
                <w:sz w:val="17"/>
                <w:szCs w:val="17"/>
              </w:rPr>
            </w:pPr>
            <w:r w:rsidRPr="00F959D0">
              <w:rPr>
                <w:rFonts w:ascii="Arial" w:hAnsi="Arial" w:cs="Arial"/>
                <w:sz w:val="17"/>
                <w:szCs w:val="17"/>
              </w:rPr>
              <w:t xml:space="preserve"> 7.404 </w:t>
            </w:r>
          </w:p>
        </w:tc>
        <w:tc>
          <w:tcPr>
            <w:tcW w:w="559" w:type="pct"/>
            <w:tcBorders>
              <w:top w:val="nil"/>
              <w:left w:val="nil"/>
              <w:bottom w:val="nil"/>
              <w:right w:val="nil"/>
            </w:tcBorders>
            <w:shd w:val="clear" w:color="auto" w:fill="auto"/>
            <w:vAlign w:val="bottom"/>
          </w:tcPr>
          <w:p w14:paraId="0DE55590" w14:textId="77777777" w:rsidR="00CF778A" w:rsidRPr="00F959D0" w:rsidRDefault="00CF778A" w:rsidP="0034622E">
            <w:pPr>
              <w:jc w:val="right"/>
              <w:rPr>
                <w:rFonts w:ascii="Arial" w:hAnsi="Arial" w:cs="Arial"/>
                <w:sz w:val="17"/>
                <w:szCs w:val="17"/>
              </w:rPr>
            </w:pPr>
            <w:r w:rsidRPr="00F959D0">
              <w:rPr>
                <w:rFonts w:ascii="Arial" w:hAnsi="Arial" w:cs="Arial"/>
                <w:sz w:val="17"/>
                <w:szCs w:val="17"/>
              </w:rPr>
              <w:t xml:space="preserve"> 15.800 </w:t>
            </w:r>
          </w:p>
        </w:tc>
        <w:tc>
          <w:tcPr>
            <w:tcW w:w="559" w:type="pct"/>
            <w:tcBorders>
              <w:top w:val="nil"/>
              <w:left w:val="nil"/>
              <w:bottom w:val="nil"/>
              <w:right w:val="nil"/>
            </w:tcBorders>
            <w:shd w:val="clear" w:color="auto" w:fill="auto"/>
            <w:vAlign w:val="bottom"/>
          </w:tcPr>
          <w:p w14:paraId="32103CFC" w14:textId="77777777" w:rsidR="00CF778A" w:rsidRPr="00F959D0" w:rsidRDefault="00CF778A" w:rsidP="0034622E">
            <w:pPr>
              <w:jc w:val="right"/>
              <w:rPr>
                <w:rFonts w:ascii="Arial" w:hAnsi="Arial" w:cs="Arial"/>
                <w:sz w:val="17"/>
                <w:szCs w:val="17"/>
              </w:rPr>
            </w:pPr>
            <w:r w:rsidRPr="00F959D0">
              <w:rPr>
                <w:rFonts w:ascii="Arial" w:hAnsi="Arial" w:cs="Arial"/>
                <w:sz w:val="17"/>
                <w:szCs w:val="17"/>
              </w:rPr>
              <w:t xml:space="preserve"> 6.660 </w:t>
            </w:r>
          </w:p>
        </w:tc>
        <w:tc>
          <w:tcPr>
            <w:tcW w:w="622" w:type="pct"/>
            <w:tcBorders>
              <w:top w:val="nil"/>
              <w:left w:val="nil"/>
              <w:bottom w:val="nil"/>
              <w:right w:val="nil"/>
            </w:tcBorders>
            <w:shd w:val="clear" w:color="auto" w:fill="auto"/>
            <w:vAlign w:val="bottom"/>
          </w:tcPr>
          <w:p w14:paraId="34004C34" w14:textId="77777777" w:rsidR="00CF778A" w:rsidRPr="00F959D0" w:rsidRDefault="00CF778A" w:rsidP="0034622E">
            <w:pPr>
              <w:tabs>
                <w:tab w:val="right" w:pos="1202"/>
              </w:tabs>
              <w:spacing w:line="240" w:lineRule="exact"/>
              <w:jc w:val="right"/>
              <w:outlineLvl w:val="0"/>
              <w:rPr>
                <w:rFonts w:ascii="Arial" w:hAnsi="Arial" w:cs="Arial"/>
                <w:sz w:val="17"/>
                <w:szCs w:val="17"/>
              </w:rPr>
            </w:pPr>
            <w:r w:rsidRPr="00F959D0">
              <w:rPr>
                <w:rFonts w:ascii="Arial" w:hAnsi="Arial" w:cs="Arial"/>
                <w:sz w:val="17"/>
                <w:szCs w:val="17"/>
              </w:rPr>
              <w:t xml:space="preserve"> 31.460 </w:t>
            </w:r>
          </w:p>
        </w:tc>
      </w:tr>
      <w:tr w:rsidR="00CF778A" w:rsidRPr="00C40415" w14:paraId="42AD184C" w14:textId="77777777" w:rsidTr="0034622E">
        <w:trPr>
          <w:trHeight w:val="215"/>
        </w:trPr>
        <w:tc>
          <w:tcPr>
            <w:tcW w:w="1584" w:type="pct"/>
            <w:tcBorders>
              <w:top w:val="nil"/>
              <w:left w:val="nil"/>
              <w:bottom w:val="nil"/>
              <w:right w:val="nil"/>
            </w:tcBorders>
            <w:shd w:val="clear" w:color="auto" w:fill="auto"/>
            <w:vAlign w:val="bottom"/>
          </w:tcPr>
          <w:p w14:paraId="3FB04631" w14:textId="77777777" w:rsidR="00CF778A" w:rsidRPr="00C40415" w:rsidRDefault="00CF778A" w:rsidP="0034622E">
            <w:pPr>
              <w:tabs>
                <w:tab w:val="right" w:pos="1202"/>
              </w:tabs>
              <w:spacing w:line="240" w:lineRule="exact"/>
              <w:outlineLvl w:val="0"/>
              <w:rPr>
                <w:rFonts w:ascii="Arial" w:hAnsi="Arial" w:cs="Arial"/>
                <w:color w:val="000000" w:themeColor="text1"/>
                <w:sz w:val="17"/>
                <w:szCs w:val="17"/>
              </w:rPr>
            </w:pPr>
            <w:r w:rsidRPr="00C40415">
              <w:rPr>
                <w:rFonts w:ascii="Arial" w:hAnsi="Arial" w:cs="Arial"/>
                <w:color w:val="000000"/>
                <w:sz w:val="17"/>
                <w:szCs w:val="17"/>
              </w:rPr>
              <w:t>Ugovorena obveza EIF FRC2</w:t>
            </w:r>
          </w:p>
        </w:tc>
        <w:tc>
          <w:tcPr>
            <w:tcW w:w="559" w:type="pct"/>
            <w:tcBorders>
              <w:top w:val="nil"/>
              <w:left w:val="nil"/>
              <w:bottom w:val="single" w:sz="8" w:space="0" w:color="auto"/>
              <w:right w:val="nil"/>
            </w:tcBorders>
            <w:shd w:val="clear" w:color="auto" w:fill="auto"/>
            <w:vAlign w:val="bottom"/>
          </w:tcPr>
          <w:p w14:paraId="68819B8E" w14:textId="77777777" w:rsidR="00CF778A" w:rsidRPr="00F959D0" w:rsidRDefault="00CF778A" w:rsidP="0034622E">
            <w:pPr>
              <w:tabs>
                <w:tab w:val="right" w:pos="1202"/>
              </w:tabs>
              <w:spacing w:line="240" w:lineRule="exact"/>
              <w:jc w:val="right"/>
              <w:outlineLvl w:val="0"/>
              <w:rPr>
                <w:rFonts w:ascii="Arial" w:hAnsi="Arial" w:cs="Arial"/>
                <w:sz w:val="17"/>
                <w:szCs w:val="17"/>
              </w:rPr>
            </w:pPr>
            <w:r w:rsidRPr="00F959D0">
              <w:rPr>
                <w:rFonts w:ascii="Arial" w:hAnsi="Arial" w:cs="Arial"/>
                <w:sz w:val="17"/>
                <w:szCs w:val="17"/>
              </w:rPr>
              <w:t xml:space="preserve"> 14 </w:t>
            </w:r>
          </w:p>
        </w:tc>
        <w:tc>
          <w:tcPr>
            <w:tcW w:w="558" w:type="pct"/>
            <w:tcBorders>
              <w:top w:val="nil"/>
              <w:left w:val="nil"/>
              <w:bottom w:val="single" w:sz="8" w:space="0" w:color="auto"/>
              <w:right w:val="nil"/>
            </w:tcBorders>
            <w:shd w:val="clear" w:color="auto" w:fill="auto"/>
            <w:vAlign w:val="bottom"/>
          </w:tcPr>
          <w:p w14:paraId="4F397F56" w14:textId="77777777" w:rsidR="00CF778A" w:rsidRPr="00F959D0" w:rsidRDefault="00CF778A" w:rsidP="0034622E">
            <w:pPr>
              <w:jc w:val="right"/>
              <w:rPr>
                <w:rFonts w:ascii="Arial" w:hAnsi="Arial" w:cs="Arial"/>
                <w:sz w:val="17"/>
                <w:szCs w:val="17"/>
              </w:rPr>
            </w:pPr>
            <w:r w:rsidRPr="00F959D0">
              <w:rPr>
                <w:rFonts w:ascii="Arial" w:hAnsi="Arial" w:cs="Arial"/>
                <w:sz w:val="17"/>
                <w:szCs w:val="17"/>
              </w:rPr>
              <w:t xml:space="preserve"> 4 </w:t>
            </w:r>
          </w:p>
        </w:tc>
        <w:tc>
          <w:tcPr>
            <w:tcW w:w="559" w:type="pct"/>
            <w:tcBorders>
              <w:top w:val="nil"/>
              <w:left w:val="nil"/>
              <w:bottom w:val="single" w:sz="8" w:space="0" w:color="auto"/>
              <w:right w:val="nil"/>
            </w:tcBorders>
            <w:shd w:val="clear" w:color="auto" w:fill="auto"/>
            <w:vAlign w:val="bottom"/>
          </w:tcPr>
          <w:p w14:paraId="6BD6DD88" w14:textId="77777777" w:rsidR="00CF778A" w:rsidRPr="00F959D0" w:rsidRDefault="00CF778A" w:rsidP="0034622E">
            <w:pPr>
              <w:jc w:val="right"/>
              <w:rPr>
                <w:rFonts w:ascii="Arial" w:hAnsi="Arial" w:cs="Arial"/>
                <w:sz w:val="17"/>
                <w:szCs w:val="17"/>
              </w:rPr>
            </w:pPr>
            <w:r w:rsidRPr="00F959D0">
              <w:rPr>
                <w:rFonts w:ascii="Arial" w:hAnsi="Arial" w:cs="Arial"/>
                <w:sz w:val="17"/>
                <w:szCs w:val="17"/>
              </w:rPr>
              <w:t xml:space="preserve"> 13 </w:t>
            </w:r>
          </w:p>
        </w:tc>
        <w:tc>
          <w:tcPr>
            <w:tcW w:w="559" w:type="pct"/>
            <w:tcBorders>
              <w:top w:val="nil"/>
              <w:left w:val="nil"/>
              <w:bottom w:val="single" w:sz="8" w:space="0" w:color="auto"/>
              <w:right w:val="nil"/>
            </w:tcBorders>
            <w:shd w:val="clear" w:color="auto" w:fill="auto"/>
            <w:vAlign w:val="bottom"/>
          </w:tcPr>
          <w:p w14:paraId="2CFD9BB3" w14:textId="77777777" w:rsidR="00CF778A" w:rsidRPr="00F959D0" w:rsidRDefault="00CF778A" w:rsidP="0034622E">
            <w:pPr>
              <w:jc w:val="right"/>
              <w:rPr>
                <w:rFonts w:ascii="Arial" w:hAnsi="Arial" w:cs="Arial"/>
                <w:sz w:val="17"/>
                <w:szCs w:val="17"/>
              </w:rPr>
            </w:pPr>
            <w:r w:rsidRPr="00F959D0">
              <w:rPr>
                <w:rFonts w:ascii="Arial" w:hAnsi="Arial" w:cs="Arial"/>
                <w:sz w:val="17"/>
                <w:szCs w:val="17"/>
              </w:rPr>
              <w:t xml:space="preserve"> 40 </w:t>
            </w:r>
          </w:p>
        </w:tc>
        <w:tc>
          <w:tcPr>
            <w:tcW w:w="559" w:type="pct"/>
            <w:tcBorders>
              <w:top w:val="nil"/>
              <w:left w:val="nil"/>
              <w:bottom w:val="single" w:sz="8" w:space="0" w:color="auto"/>
              <w:right w:val="nil"/>
            </w:tcBorders>
            <w:shd w:val="clear" w:color="auto" w:fill="auto"/>
            <w:vAlign w:val="bottom"/>
          </w:tcPr>
          <w:p w14:paraId="184AEE15" w14:textId="77777777" w:rsidR="00CF778A" w:rsidRPr="00F959D0" w:rsidRDefault="00CF778A" w:rsidP="0034622E">
            <w:pPr>
              <w:jc w:val="right"/>
              <w:rPr>
                <w:rFonts w:ascii="Arial" w:hAnsi="Arial" w:cs="Arial"/>
                <w:sz w:val="17"/>
                <w:szCs w:val="17"/>
              </w:rPr>
            </w:pPr>
            <w:r w:rsidRPr="00F959D0">
              <w:rPr>
                <w:rFonts w:ascii="Arial" w:hAnsi="Arial" w:cs="Arial"/>
                <w:sz w:val="17"/>
                <w:szCs w:val="17"/>
              </w:rPr>
              <w:t xml:space="preserve"> 10 </w:t>
            </w:r>
          </w:p>
        </w:tc>
        <w:tc>
          <w:tcPr>
            <w:tcW w:w="622" w:type="pct"/>
            <w:tcBorders>
              <w:top w:val="nil"/>
              <w:left w:val="nil"/>
              <w:bottom w:val="single" w:sz="8" w:space="0" w:color="auto"/>
              <w:right w:val="nil"/>
            </w:tcBorders>
            <w:shd w:val="clear" w:color="auto" w:fill="auto"/>
            <w:vAlign w:val="bottom"/>
          </w:tcPr>
          <w:p w14:paraId="0D9C5D1F" w14:textId="77777777" w:rsidR="00CF778A" w:rsidRPr="00F959D0" w:rsidRDefault="00CF778A" w:rsidP="0034622E">
            <w:pPr>
              <w:tabs>
                <w:tab w:val="right" w:pos="1202"/>
              </w:tabs>
              <w:spacing w:line="240" w:lineRule="exact"/>
              <w:jc w:val="right"/>
              <w:outlineLvl w:val="0"/>
              <w:rPr>
                <w:rFonts w:ascii="Arial" w:hAnsi="Arial" w:cs="Arial"/>
                <w:sz w:val="17"/>
                <w:szCs w:val="17"/>
              </w:rPr>
            </w:pPr>
            <w:r w:rsidRPr="00F959D0">
              <w:rPr>
                <w:rFonts w:ascii="Arial" w:hAnsi="Arial" w:cs="Arial"/>
                <w:sz w:val="17"/>
                <w:szCs w:val="17"/>
              </w:rPr>
              <w:t xml:space="preserve"> 81 </w:t>
            </w:r>
          </w:p>
        </w:tc>
      </w:tr>
      <w:tr w:rsidR="00CF778A" w:rsidRPr="00C40415" w14:paraId="14ACA9F8" w14:textId="77777777" w:rsidTr="0034622E">
        <w:trPr>
          <w:trHeight w:val="215"/>
        </w:trPr>
        <w:tc>
          <w:tcPr>
            <w:tcW w:w="1584" w:type="pct"/>
            <w:tcBorders>
              <w:top w:val="nil"/>
              <w:left w:val="nil"/>
              <w:bottom w:val="nil"/>
              <w:right w:val="nil"/>
            </w:tcBorders>
            <w:shd w:val="clear" w:color="auto" w:fill="auto"/>
            <w:vAlign w:val="center"/>
          </w:tcPr>
          <w:p w14:paraId="0589F1A2" w14:textId="77777777" w:rsidR="00CF778A" w:rsidRPr="00C40415" w:rsidRDefault="00CF778A" w:rsidP="0034622E">
            <w:pPr>
              <w:tabs>
                <w:tab w:val="right" w:pos="1202"/>
              </w:tabs>
              <w:outlineLvl w:val="0"/>
              <w:rPr>
                <w:rFonts w:ascii="Arial" w:hAnsi="Arial" w:cs="Arial"/>
                <w:b/>
                <w:bCs/>
                <w:color w:val="000000" w:themeColor="text1"/>
                <w:sz w:val="17"/>
                <w:szCs w:val="17"/>
              </w:rPr>
            </w:pPr>
            <w:r w:rsidRPr="00C40415">
              <w:rPr>
                <w:rFonts w:ascii="Arial" w:hAnsi="Arial" w:cs="Arial"/>
                <w:b/>
                <w:bCs/>
                <w:color w:val="000000" w:themeColor="text1"/>
                <w:sz w:val="17"/>
                <w:szCs w:val="17"/>
              </w:rPr>
              <w:t>Ukupne garancije i preuzete obveze</w:t>
            </w:r>
          </w:p>
        </w:tc>
        <w:tc>
          <w:tcPr>
            <w:tcW w:w="559" w:type="pct"/>
            <w:tcBorders>
              <w:top w:val="single" w:sz="8" w:space="0" w:color="auto"/>
              <w:left w:val="nil"/>
              <w:bottom w:val="single" w:sz="12" w:space="0" w:color="auto"/>
              <w:right w:val="nil"/>
            </w:tcBorders>
            <w:shd w:val="clear" w:color="auto" w:fill="auto"/>
            <w:vAlign w:val="bottom"/>
          </w:tcPr>
          <w:p w14:paraId="1807750C" w14:textId="77777777" w:rsidR="00CF778A" w:rsidRPr="00F959D0" w:rsidRDefault="00CF778A" w:rsidP="0034622E">
            <w:pPr>
              <w:tabs>
                <w:tab w:val="right" w:pos="1202"/>
              </w:tabs>
              <w:spacing w:line="240" w:lineRule="exact"/>
              <w:jc w:val="right"/>
              <w:outlineLvl w:val="0"/>
              <w:rPr>
                <w:rFonts w:ascii="Arial" w:hAnsi="Arial" w:cs="Arial"/>
                <w:b/>
                <w:bCs/>
                <w:sz w:val="17"/>
                <w:szCs w:val="17"/>
              </w:rPr>
            </w:pPr>
            <w:r w:rsidRPr="00F959D0">
              <w:rPr>
                <w:rFonts w:ascii="Arial" w:hAnsi="Arial" w:cs="Arial"/>
                <w:b/>
                <w:bCs/>
                <w:sz w:val="17"/>
                <w:szCs w:val="17"/>
              </w:rPr>
              <w:t>516.155</w:t>
            </w:r>
          </w:p>
        </w:tc>
        <w:tc>
          <w:tcPr>
            <w:tcW w:w="558" w:type="pct"/>
            <w:tcBorders>
              <w:top w:val="single" w:sz="8" w:space="0" w:color="auto"/>
              <w:left w:val="nil"/>
              <w:bottom w:val="single" w:sz="12" w:space="0" w:color="auto"/>
              <w:right w:val="nil"/>
            </w:tcBorders>
            <w:shd w:val="clear" w:color="auto" w:fill="auto"/>
            <w:vAlign w:val="bottom"/>
          </w:tcPr>
          <w:p w14:paraId="712212BE" w14:textId="77777777" w:rsidR="00CF778A" w:rsidRPr="00F959D0" w:rsidRDefault="00CF778A" w:rsidP="0034622E">
            <w:pPr>
              <w:spacing w:line="240" w:lineRule="exact"/>
              <w:jc w:val="right"/>
              <w:rPr>
                <w:rFonts w:ascii="Arial" w:hAnsi="Arial" w:cs="Arial"/>
                <w:b/>
                <w:bCs/>
                <w:sz w:val="17"/>
                <w:szCs w:val="17"/>
              </w:rPr>
            </w:pPr>
            <w:r w:rsidRPr="00F959D0">
              <w:rPr>
                <w:rFonts w:ascii="Arial" w:hAnsi="Arial" w:cs="Arial"/>
                <w:b/>
                <w:bCs/>
                <w:sz w:val="17"/>
                <w:szCs w:val="17"/>
              </w:rPr>
              <w:t>1.471</w:t>
            </w:r>
          </w:p>
        </w:tc>
        <w:tc>
          <w:tcPr>
            <w:tcW w:w="559" w:type="pct"/>
            <w:tcBorders>
              <w:top w:val="single" w:sz="8" w:space="0" w:color="auto"/>
              <w:left w:val="nil"/>
              <w:bottom w:val="single" w:sz="12" w:space="0" w:color="auto"/>
              <w:right w:val="nil"/>
            </w:tcBorders>
            <w:shd w:val="clear" w:color="auto" w:fill="auto"/>
            <w:vAlign w:val="bottom"/>
          </w:tcPr>
          <w:p w14:paraId="4335E481" w14:textId="77777777" w:rsidR="00CF778A" w:rsidRPr="00F959D0" w:rsidRDefault="00CF778A" w:rsidP="0034622E">
            <w:pPr>
              <w:spacing w:line="240" w:lineRule="exact"/>
              <w:jc w:val="right"/>
              <w:rPr>
                <w:rFonts w:ascii="Arial" w:hAnsi="Arial" w:cs="Arial"/>
                <w:b/>
                <w:bCs/>
                <w:sz w:val="17"/>
                <w:szCs w:val="17"/>
              </w:rPr>
            </w:pPr>
            <w:r w:rsidRPr="00F959D0">
              <w:rPr>
                <w:rFonts w:ascii="Arial" w:hAnsi="Arial" w:cs="Arial"/>
                <w:b/>
                <w:bCs/>
                <w:sz w:val="17"/>
                <w:szCs w:val="17"/>
              </w:rPr>
              <w:t>7.417</w:t>
            </w:r>
          </w:p>
        </w:tc>
        <w:tc>
          <w:tcPr>
            <w:tcW w:w="559" w:type="pct"/>
            <w:tcBorders>
              <w:top w:val="single" w:sz="8" w:space="0" w:color="auto"/>
              <w:left w:val="nil"/>
              <w:bottom w:val="single" w:sz="12" w:space="0" w:color="auto"/>
              <w:right w:val="nil"/>
            </w:tcBorders>
            <w:shd w:val="clear" w:color="auto" w:fill="auto"/>
            <w:vAlign w:val="bottom"/>
          </w:tcPr>
          <w:p w14:paraId="058C0ED8" w14:textId="77777777" w:rsidR="00CF778A" w:rsidRPr="00F959D0" w:rsidRDefault="00CF778A" w:rsidP="0034622E">
            <w:pPr>
              <w:spacing w:line="240" w:lineRule="exact"/>
              <w:jc w:val="right"/>
              <w:rPr>
                <w:rFonts w:ascii="Arial" w:hAnsi="Arial" w:cs="Arial"/>
                <w:b/>
                <w:bCs/>
                <w:sz w:val="17"/>
                <w:szCs w:val="17"/>
              </w:rPr>
            </w:pPr>
            <w:r w:rsidRPr="00F959D0">
              <w:rPr>
                <w:rFonts w:ascii="Arial" w:hAnsi="Arial" w:cs="Arial"/>
                <w:b/>
                <w:bCs/>
                <w:sz w:val="17"/>
                <w:szCs w:val="17"/>
              </w:rPr>
              <w:t>15.840</w:t>
            </w:r>
          </w:p>
        </w:tc>
        <w:tc>
          <w:tcPr>
            <w:tcW w:w="559" w:type="pct"/>
            <w:tcBorders>
              <w:top w:val="single" w:sz="8" w:space="0" w:color="auto"/>
              <w:left w:val="nil"/>
              <w:bottom w:val="single" w:sz="12" w:space="0" w:color="auto"/>
              <w:right w:val="nil"/>
            </w:tcBorders>
            <w:shd w:val="clear" w:color="auto" w:fill="auto"/>
            <w:vAlign w:val="bottom"/>
          </w:tcPr>
          <w:p w14:paraId="6922301C" w14:textId="77777777" w:rsidR="00CF778A" w:rsidRPr="00F959D0" w:rsidRDefault="00CF778A" w:rsidP="0034622E">
            <w:pPr>
              <w:spacing w:line="240" w:lineRule="exact"/>
              <w:jc w:val="right"/>
              <w:rPr>
                <w:rFonts w:ascii="Arial" w:hAnsi="Arial" w:cs="Arial"/>
                <w:b/>
                <w:bCs/>
                <w:sz w:val="17"/>
                <w:szCs w:val="17"/>
              </w:rPr>
            </w:pPr>
            <w:r w:rsidRPr="00F959D0">
              <w:rPr>
                <w:rFonts w:ascii="Arial" w:hAnsi="Arial" w:cs="Arial"/>
                <w:b/>
                <w:bCs/>
                <w:sz w:val="17"/>
                <w:szCs w:val="17"/>
              </w:rPr>
              <w:t>6.670</w:t>
            </w:r>
          </w:p>
        </w:tc>
        <w:tc>
          <w:tcPr>
            <w:tcW w:w="622" w:type="pct"/>
            <w:tcBorders>
              <w:top w:val="single" w:sz="8" w:space="0" w:color="auto"/>
              <w:left w:val="nil"/>
              <w:bottom w:val="single" w:sz="12" w:space="0" w:color="auto"/>
              <w:right w:val="nil"/>
            </w:tcBorders>
            <w:shd w:val="clear" w:color="auto" w:fill="auto"/>
            <w:vAlign w:val="bottom"/>
          </w:tcPr>
          <w:p w14:paraId="5F9C927D" w14:textId="77777777" w:rsidR="00CF778A" w:rsidRPr="00F959D0" w:rsidRDefault="00CF778A" w:rsidP="0034622E">
            <w:pPr>
              <w:tabs>
                <w:tab w:val="right" w:pos="1202"/>
              </w:tabs>
              <w:spacing w:line="240" w:lineRule="exact"/>
              <w:jc w:val="right"/>
              <w:outlineLvl w:val="0"/>
              <w:rPr>
                <w:rFonts w:ascii="Arial" w:hAnsi="Arial" w:cs="Arial"/>
                <w:b/>
                <w:bCs/>
                <w:sz w:val="17"/>
                <w:szCs w:val="17"/>
              </w:rPr>
            </w:pPr>
            <w:r w:rsidRPr="00F959D0">
              <w:rPr>
                <w:rFonts w:ascii="Arial" w:hAnsi="Arial" w:cs="Arial"/>
                <w:b/>
                <w:bCs/>
                <w:sz w:val="17"/>
                <w:szCs w:val="17"/>
              </w:rPr>
              <w:t>547.553</w:t>
            </w:r>
          </w:p>
        </w:tc>
      </w:tr>
    </w:tbl>
    <w:p w14:paraId="56D97BFE" w14:textId="40094C26" w:rsidR="000C7E59" w:rsidRPr="003D1614" w:rsidRDefault="000C7E59" w:rsidP="00661446">
      <w:pPr>
        <w:suppressAutoHyphens/>
        <w:autoSpaceDN w:val="0"/>
        <w:jc w:val="both"/>
        <w:rPr>
          <w:rFonts w:ascii="Arial" w:eastAsia="Times New Roman" w:hAnsi="Arial" w:cs="Arial"/>
          <w:bCs/>
          <w:i/>
          <w:color w:val="000000" w:themeColor="text1"/>
          <w:sz w:val="18"/>
          <w:szCs w:val="18"/>
        </w:rPr>
      </w:pPr>
    </w:p>
    <w:p w14:paraId="073DB587" w14:textId="77777777" w:rsidR="000C7E59" w:rsidRPr="003D1614" w:rsidRDefault="000C7E59" w:rsidP="00661446">
      <w:pPr>
        <w:suppressAutoHyphens/>
        <w:autoSpaceDN w:val="0"/>
        <w:jc w:val="both"/>
        <w:rPr>
          <w:rFonts w:ascii="Arial" w:eastAsia="Times New Roman" w:hAnsi="Arial" w:cs="Arial"/>
          <w:bCs/>
          <w:i/>
          <w:color w:val="000000" w:themeColor="text1"/>
          <w:sz w:val="18"/>
          <w:szCs w:val="18"/>
        </w:rPr>
        <w:sectPr w:rsidR="000C7E59" w:rsidRPr="003D1614" w:rsidSect="003278AB">
          <w:pgSz w:w="11906" w:h="16838"/>
          <w:pgMar w:top="1417" w:right="1417" w:bottom="1417" w:left="1417" w:header="708" w:footer="708" w:gutter="0"/>
          <w:cols w:space="708"/>
          <w:docGrid w:linePitch="360"/>
        </w:sectPr>
      </w:pPr>
    </w:p>
    <w:p w14:paraId="17BFEFDF" w14:textId="77777777" w:rsidR="000C7E59" w:rsidRPr="003D1614" w:rsidRDefault="000C7E59" w:rsidP="000C7E59">
      <w:pPr>
        <w:keepNext/>
        <w:suppressAutoHyphens/>
        <w:autoSpaceDN w:val="0"/>
        <w:jc w:val="both"/>
        <w:outlineLvl w:val="0"/>
        <w:rPr>
          <w:rFonts w:ascii="Arial" w:eastAsia="Times New Roman" w:hAnsi="Arial" w:cs="Arial"/>
          <w:b/>
          <w:bCs/>
          <w:color w:val="000000" w:themeColor="text1"/>
          <w:sz w:val="20"/>
          <w:szCs w:val="20"/>
        </w:rPr>
      </w:pPr>
    </w:p>
    <w:p w14:paraId="396202F2" w14:textId="16C8183D" w:rsidR="000C7E59" w:rsidRPr="003D1614" w:rsidRDefault="000C7E59" w:rsidP="000C7E59">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0017DBF4" w14:textId="77777777" w:rsidR="000C7E59" w:rsidRPr="003D1614" w:rsidRDefault="000C7E59" w:rsidP="000C7E59">
      <w:pPr>
        <w:keepNext/>
        <w:suppressAutoHyphens/>
        <w:autoSpaceDN w:val="0"/>
        <w:jc w:val="both"/>
        <w:outlineLvl w:val="0"/>
        <w:rPr>
          <w:rFonts w:ascii="Arial" w:eastAsia="Times New Roman" w:hAnsi="Arial" w:cs="Arial"/>
          <w:b/>
          <w:bCs/>
          <w:color w:val="000000" w:themeColor="text1"/>
          <w:sz w:val="20"/>
          <w:szCs w:val="20"/>
        </w:rPr>
      </w:pPr>
    </w:p>
    <w:p w14:paraId="2E5DD18B" w14:textId="384969ED" w:rsidR="000C7E59" w:rsidRPr="003D1614" w:rsidRDefault="000C7E59" w:rsidP="000C7E59">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.4. </w:t>
      </w:r>
      <w:r w:rsidRPr="003D1614">
        <w:rPr>
          <w:rFonts w:ascii="Arial" w:eastAsia="Times New Roman" w:hAnsi="Arial" w:cs="Arial"/>
          <w:b/>
          <w:bCs/>
          <w:color w:val="000000" w:themeColor="text1"/>
          <w:sz w:val="20"/>
          <w:szCs w:val="20"/>
        </w:rPr>
        <w:tab/>
        <w:t>Rizik likvidnosti (nastavak)</w:t>
      </w:r>
    </w:p>
    <w:p w14:paraId="603C9A49" w14:textId="77777777" w:rsidR="000C7E59" w:rsidRPr="003D1614" w:rsidRDefault="000C7E59" w:rsidP="000C7E59">
      <w:pPr>
        <w:keepNext/>
        <w:suppressAutoHyphens/>
        <w:autoSpaceDN w:val="0"/>
        <w:jc w:val="both"/>
        <w:outlineLvl w:val="0"/>
        <w:rPr>
          <w:rFonts w:ascii="Arial" w:eastAsia="Times New Roman" w:hAnsi="Arial" w:cs="Arial"/>
          <w:bCs/>
          <w:color w:val="000000" w:themeColor="text1"/>
          <w:sz w:val="20"/>
          <w:szCs w:val="20"/>
        </w:rPr>
      </w:pPr>
    </w:p>
    <w:p w14:paraId="0FF7D35D" w14:textId="77777777" w:rsidR="000C7E59" w:rsidRPr="003D1614" w:rsidRDefault="000C7E59" w:rsidP="000C7E59">
      <w:pPr>
        <w:keepNext/>
        <w:suppressAutoHyphens/>
        <w:autoSpaceDN w:val="0"/>
        <w:jc w:val="both"/>
        <w:outlineLvl w:val="0"/>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Tabela u nastavku prikazuje preostalo ugovorno dospijeće financijskih obveza dok su garancije i preuzete obveza Banke prikazane u kategoriji do 1 mjesec obzirom na mogućnost prijevremenog poziva na izvršenje obveze (nediskontirani iznosi):</w:t>
      </w:r>
    </w:p>
    <w:p w14:paraId="31745F64" w14:textId="77777777" w:rsidR="000C7E59" w:rsidRPr="003D1614" w:rsidRDefault="000C7E59" w:rsidP="000C7E59">
      <w:pPr>
        <w:keepNext/>
        <w:suppressAutoHyphens/>
        <w:autoSpaceDN w:val="0"/>
        <w:jc w:val="both"/>
        <w:outlineLvl w:val="0"/>
        <w:rPr>
          <w:rFonts w:ascii="Arial" w:eastAsia="Times New Roman" w:hAnsi="Arial" w:cs="Arial"/>
          <w:bCs/>
          <w:color w:val="000000" w:themeColor="text1"/>
          <w:sz w:val="20"/>
          <w:szCs w:val="20"/>
        </w:rPr>
      </w:pPr>
    </w:p>
    <w:tbl>
      <w:tblPr>
        <w:tblW w:w="5393" w:type="pct"/>
        <w:tblInd w:w="-499" w:type="dxa"/>
        <w:tblLayout w:type="fixed"/>
        <w:tblCellMar>
          <w:left w:w="120" w:type="dxa"/>
          <w:right w:w="120" w:type="dxa"/>
        </w:tblCellMar>
        <w:tblLook w:val="0000" w:firstRow="0" w:lastRow="0" w:firstColumn="0" w:lastColumn="0" w:noHBand="0" w:noVBand="0"/>
      </w:tblPr>
      <w:tblGrid>
        <w:gridCol w:w="3126"/>
        <w:gridCol w:w="1090"/>
        <w:gridCol w:w="1090"/>
        <w:gridCol w:w="1088"/>
        <w:gridCol w:w="1088"/>
        <w:gridCol w:w="1088"/>
        <w:gridCol w:w="1215"/>
      </w:tblGrid>
      <w:tr w:rsidR="00345E7F" w:rsidRPr="00A96B0F" w14:paraId="56ECA56C" w14:textId="77777777" w:rsidTr="00C450F2">
        <w:trPr>
          <w:trHeight w:val="485"/>
        </w:trPr>
        <w:tc>
          <w:tcPr>
            <w:tcW w:w="1597" w:type="pct"/>
            <w:vAlign w:val="bottom"/>
          </w:tcPr>
          <w:p w14:paraId="76DF4C06" w14:textId="77777777" w:rsidR="00345E7F" w:rsidRPr="00A96B0F" w:rsidRDefault="00345E7F" w:rsidP="00C450F2">
            <w:pPr>
              <w:tabs>
                <w:tab w:val="right" w:pos="1202"/>
              </w:tabs>
              <w:suppressAutoHyphens/>
              <w:autoSpaceDN w:val="0"/>
              <w:spacing w:line="240" w:lineRule="atLeast"/>
              <w:outlineLvl w:val="0"/>
              <w:rPr>
                <w:rFonts w:ascii="Arial" w:eastAsia="Times New Roman" w:hAnsi="Arial" w:cs="Arial"/>
                <w:b/>
                <w:color w:val="000000" w:themeColor="text1"/>
                <w:sz w:val="17"/>
                <w:szCs w:val="17"/>
              </w:rPr>
            </w:pPr>
            <w:bookmarkStart w:id="857" w:name="_Toc67330429"/>
            <w:r w:rsidRPr="00A96B0F">
              <w:rPr>
                <w:rFonts w:ascii="Arial" w:eastAsia="Times New Roman" w:hAnsi="Arial" w:cs="Arial"/>
                <w:b/>
                <w:color w:val="000000" w:themeColor="text1"/>
                <w:sz w:val="17"/>
                <w:szCs w:val="17"/>
              </w:rPr>
              <w:t>Banka</w:t>
            </w:r>
            <w:bookmarkEnd w:id="857"/>
          </w:p>
          <w:p w14:paraId="6F7475CB" w14:textId="77777777" w:rsidR="00345E7F" w:rsidRPr="00A96B0F" w:rsidRDefault="00345E7F" w:rsidP="00C450F2">
            <w:pPr>
              <w:tabs>
                <w:tab w:val="right" w:pos="1202"/>
              </w:tabs>
              <w:suppressAutoHyphens/>
              <w:autoSpaceDN w:val="0"/>
              <w:spacing w:line="240" w:lineRule="atLeast"/>
              <w:outlineLvl w:val="0"/>
              <w:rPr>
                <w:rFonts w:ascii="Arial" w:eastAsia="Times New Roman" w:hAnsi="Arial" w:cs="Arial"/>
                <w:b/>
                <w:color w:val="000000" w:themeColor="text1"/>
                <w:sz w:val="17"/>
                <w:szCs w:val="17"/>
              </w:rPr>
            </w:pPr>
            <w:r w:rsidRPr="00881155">
              <w:rPr>
                <w:rFonts w:ascii="Arial" w:eastAsia="Times New Roman" w:hAnsi="Arial" w:cs="Arial"/>
                <w:b/>
                <w:color w:val="000000" w:themeColor="text1"/>
                <w:sz w:val="17"/>
                <w:szCs w:val="17"/>
              </w:rPr>
              <w:t>30. rujna 202</w:t>
            </w:r>
            <w:r>
              <w:rPr>
                <w:rFonts w:ascii="Arial" w:eastAsia="Times New Roman" w:hAnsi="Arial" w:cs="Arial"/>
                <w:b/>
                <w:color w:val="000000" w:themeColor="text1"/>
                <w:sz w:val="17"/>
                <w:szCs w:val="17"/>
              </w:rPr>
              <w:t>4</w:t>
            </w:r>
            <w:r w:rsidRPr="00881155">
              <w:rPr>
                <w:rFonts w:ascii="Arial" w:eastAsia="Times New Roman" w:hAnsi="Arial" w:cs="Arial"/>
                <w:b/>
                <w:color w:val="000000" w:themeColor="text1"/>
                <w:sz w:val="17"/>
                <w:szCs w:val="17"/>
              </w:rPr>
              <w:t>.</w:t>
            </w:r>
          </w:p>
        </w:tc>
        <w:tc>
          <w:tcPr>
            <w:tcW w:w="557" w:type="pct"/>
            <w:vAlign w:val="bottom"/>
          </w:tcPr>
          <w:p w14:paraId="61D7D113" w14:textId="77777777" w:rsidR="00345E7F" w:rsidRPr="00A96B0F" w:rsidRDefault="00345E7F" w:rsidP="00C450F2">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bookmarkStart w:id="858" w:name="_Toc67330431"/>
            <w:r w:rsidRPr="00A96B0F">
              <w:rPr>
                <w:rFonts w:ascii="Arial" w:eastAsia="Times New Roman" w:hAnsi="Arial" w:cs="Arial"/>
                <w:b/>
                <w:color w:val="000000" w:themeColor="text1"/>
                <w:sz w:val="17"/>
                <w:szCs w:val="17"/>
              </w:rPr>
              <w:t>Do 1 mjesec</w:t>
            </w:r>
            <w:bookmarkEnd w:id="858"/>
          </w:p>
        </w:tc>
        <w:tc>
          <w:tcPr>
            <w:tcW w:w="557" w:type="pct"/>
            <w:vAlign w:val="bottom"/>
          </w:tcPr>
          <w:p w14:paraId="2F7CA822" w14:textId="77777777" w:rsidR="00345E7F" w:rsidRPr="00A96B0F" w:rsidRDefault="00345E7F" w:rsidP="00C450F2">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bookmarkStart w:id="859" w:name="_Toc67330432"/>
            <w:r w:rsidRPr="00A96B0F">
              <w:rPr>
                <w:rFonts w:ascii="Arial" w:eastAsia="Times New Roman" w:hAnsi="Arial" w:cs="Arial"/>
                <w:b/>
                <w:color w:val="000000" w:themeColor="text1"/>
                <w:sz w:val="17"/>
                <w:szCs w:val="17"/>
              </w:rPr>
              <w:t>1 do 3 mjeseca</w:t>
            </w:r>
            <w:bookmarkEnd w:id="859"/>
          </w:p>
        </w:tc>
        <w:tc>
          <w:tcPr>
            <w:tcW w:w="556" w:type="pct"/>
            <w:vAlign w:val="bottom"/>
          </w:tcPr>
          <w:p w14:paraId="5C4AFF36" w14:textId="77777777" w:rsidR="00345E7F" w:rsidRPr="00A96B0F" w:rsidRDefault="00345E7F" w:rsidP="00C450F2">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bookmarkStart w:id="860" w:name="_Toc67330433"/>
            <w:r w:rsidRPr="00A96B0F">
              <w:rPr>
                <w:rFonts w:ascii="Arial" w:eastAsia="Times New Roman" w:hAnsi="Arial" w:cs="Arial"/>
                <w:b/>
                <w:color w:val="000000" w:themeColor="text1"/>
                <w:sz w:val="17"/>
                <w:szCs w:val="17"/>
              </w:rPr>
              <w:t>3 mj. do 1 godine</w:t>
            </w:r>
            <w:bookmarkEnd w:id="860"/>
          </w:p>
        </w:tc>
        <w:tc>
          <w:tcPr>
            <w:tcW w:w="556" w:type="pct"/>
            <w:vAlign w:val="bottom"/>
          </w:tcPr>
          <w:p w14:paraId="442D92CF" w14:textId="77777777" w:rsidR="00345E7F" w:rsidRPr="00A96B0F" w:rsidRDefault="00345E7F" w:rsidP="00C450F2">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bookmarkStart w:id="861" w:name="_Toc67330434"/>
            <w:r w:rsidRPr="00A96B0F">
              <w:rPr>
                <w:rFonts w:ascii="Arial" w:eastAsia="Times New Roman" w:hAnsi="Arial" w:cs="Arial"/>
                <w:b/>
                <w:color w:val="000000" w:themeColor="text1"/>
                <w:sz w:val="17"/>
                <w:szCs w:val="17"/>
              </w:rPr>
              <w:t>1 do 3 godina</w:t>
            </w:r>
            <w:bookmarkEnd w:id="861"/>
          </w:p>
        </w:tc>
        <w:tc>
          <w:tcPr>
            <w:tcW w:w="556" w:type="pct"/>
            <w:vAlign w:val="bottom"/>
          </w:tcPr>
          <w:p w14:paraId="2365E106" w14:textId="77777777" w:rsidR="00345E7F" w:rsidRPr="00A96B0F" w:rsidRDefault="00345E7F" w:rsidP="00C450F2">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bookmarkStart w:id="862" w:name="_Toc67330435"/>
            <w:r w:rsidRPr="00A96B0F">
              <w:rPr>
                <w:rFonts w:ascii="Arial" w:eastAsia="Times New Roman" w:hAnsi="Arial" w:cs="Arial"/>
                <w:b/>
                <w:color w:val="000000" w:themeColor="text1"/>
                <w:sz w:val="17"/>
                <w:szCs w:val="17"/>
              </w:rPr>
              <w:t>Preko 3 godine</w:t>
            </w:r>
            <w:bookmarkEnd w:id="862"/>
          </w:p>
        </w:tc>
        <w:tc>
          <w:tcPr>
            <w:tcW w:w="621" w:type="pct"/>
          </w:tcPr>
          <w:p w14:paraId="16766425" w14:textId="77777777" w:rsidR="00345E7F" w:rsidRPr="00A96B0F" w:rsidRDefault="00345E7F" w:rsidP="00C450F2">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bookmarkStart w:id="863" w:name="_Toc67330436"/>
            <w:r w:rsidRPr="00A96B0F">
              <w:rPr>
                <w:rFonts w:ascii="Arial" w:eastAsia="Times New Roman" w:hAnsi="Arial" w:cs="Arial"/>
                <w:b/>
                <w:color w:val="000000" w:themeColor="text1"/>
                <w:sz w:val="17"/>
                <w:szCs w:val="17"/>
              </w:rPr>
              <w:t>Ukupno</w:t>
            </w:r>
            <w:bookmarkEnd w:id="863"/>
          </w:p>
        </w:tc>
      </w:tr>
      <w:tr w:rsidR="00345E7F" w:rsidRPr="00A96B0F" w14:paraId="3F1E2A48" w14:textId="77777777" w:rsidTr="00C450F2">
        <w:trPr>
          <w:trHeight w:val="242"/>
        </w:trPr>
        <w:tc>
          <w:tcPr>
            <w:tcW w:w="1597" w:type="pct"/>
            <w:vAlign w:val="bottom"/>
          </w:tcPr>
          <w:p w14:paraId="4F931319" w14:textId="77777777" w:rsidR="00345E7F" w:rsidRPr="00A96B0F" w:rsidRDefault="00345E7F" w:rsidP="00C450F2">
            <w:pPr>
              <w:tabs>
                <w:tab w:val="left" w:pos="-720"/>
              </w:tabs>
              <w:suppressAutoHyphens/>
              <w:autoSpaceDN w:val="0"/>
              <w:jc w:val="center"/>
              <w:rPr>
                <w:rFonts w:ascii="Arial" w:eastAsia="Times New Roman" w:hAnsi="Arial" w:cs="Arial"/>
                <w:b/>
                <w:color w:val="000000" w:themeColor="text1"/>
                <w:spacing w:val="-2"/>
                <w:sz w:val="17"/>
                <w:szCs w:val="17"/>
              </w:rPr>
            </w:pPr>
          </w:p>
        </w:tc>
        <w:tc>
          <w:tcPr>
            <w:tcW w:w="557" w:type="pct"/>
            <w:vAlign w:val="bottom"/>
          </w:tcPr>
          <w:p w14:paraId="58509161" w14:textId="77777777" w:rsidR="00345E7F" w:rsidRPr="00A96B0F" w:rsidRDefault="00345E7F" w:rsidP="00C450F2">
            <w:pPr>
              <w:tabs>
                <w:tab w:val="right" w:pos="1202"/>
                <w:tab w:val="center" w:pos="4153"/>
                <w:tab w:val="right" w:pos="8306"/>
              </w:tabs>
              <w:suppressAutoHyphens/>
              <w:autoSpaceDN w:val="0"/>
              <w:spacing w:line="301" w:lineRule="exact"/>
              <w:jc w:val="right"/>
              <w:outlineLvl w:val="0"/>
              <w:rPr>
                <w:rFonts w:ascii="Arial" w:eastAsia="Times New Roman" w:hAnsi="Arial" w:cs="Arial"/>
                <w:b/>
                <w:color w:val="000000" w:themeColor="text1"/>
                <w:sz w:val="17"/>
                <w:szCs w:val="17"/>
              </w:rPr>
            </w:pPr>
            <w:bookmarkStart w:id="864" w:name="_Toc67330437"/>
            <w:r w:rsidRPr="00A96B0F">
              <w:rPr>
                <w:rFonts w:ascii="Arial" w:eastAsia="Times New Roman" w:hAnsi="Arial" w:cs="Arial"/>
                <w:b/>
                <w:color w:val="000000" w:themeColor="text1"/>
                <w:sz w:val="17"/>
                <w:szCs w:val="17"/>
              </w:rPr>
              <w:t>000 eura</w:t>
            </w:r>
            <w:bookmarkEnd w:id="864"/>
          </w:p>
        </w:tc>
        <w:tc>
          <w:tcPr>
            <w:tcW w:w="557" w:type="pct"/>
            <w:vAlign w:val="bottom"/>
          </w:tcPr>
          <w:p w14:paraId="25E61446" w14:textId="77777777" w:rsidR="00345E7F" w:rsidRPr="00A96B0F" w:rsidRDefault="00345E7F" w:rsidP="00C450F2">
            <w:pPr>
              <w:tabs>
                <w:tab w:val="right" w:pos="1202"/>
                <w:tab w:val="center" w:pos="4153"/>
                <w:tab w:val="right" w:pos="8306"/>
              </w:tabs>
              <w:suppressAutoHyphens/>
              <w:autoSpaceDN w:val="0"/>
              <w:spacing w:line="301" w:lineRule="exact"/>
              <w:jc w:val="right"/>
              <w:outlineLvl w:val="0"/>
              <w:rPr>
                <w:rFonts w:ascii="Arial" w:eastAsia="Times New Roman" w:hAnsi="Arial" w:cs="Arial"/>
                <w:b/>
                <w:color w:val="000000" w:themeColor="text1"/>
                <w:sz w:val="17"/>
                <w:szCs w:val="17"/>
              </w:rPr>
            </w:pPr>
            <w:bookmarkStart w:id="865" w:name="_Toc67330438"/>
            <w:r w:rsidRPr="00A96B0F">
              <w:rPr>
                <w:rFonts w:ascii="Arial" w:eastAsia="Times New Roman" w:hAnsi="Arial" w:cs="Arial"/>
                <w:b/>
                <w:color w:val="000000" w:themeColor="text1"/>
                <w:sz w:val="17"/>
                <w:szCs w:val="17"/>
              </w:rPr>
              <w:t>000 eura</w:t>
            </w:r>
            <w:bookmarkEnd w:id="865"/>
          </w:p>
        </w:tc>
        <w:tc>
          <w:tcPr>
            <w:tcW w:w="556" w:type="pct"/>
            <w:vAlign w:val="bottom"/>
          </w:tcPr>
          <w:p w14:paraId="06A499B3" w14:textId="77777777" w:rsidR="00345E7F" w:rsidRPr="00A96B0F" w:rsidRDefault="00345E7F" w:rsidP="00C450F2">
            <w:pPr>
              <w:tabs>
                <w:tab w:val="right" w:pos="1202"/>
                <w:tab w:val="center" w:pos="4153"/>
                <w:tab w:val="right" w:pos="8306"/>
              </w:tabs>
              <w:suppressAutoHyphens/>
              <w:autoSpaceDN w:val="0"/>
              <w:spacing w:line="301" w:lineRule="exact"/>
              <w:jc w:val="right"/>
              <w:outlineLvl w:val="0"/>
              <w:rPr>
                <w:rFonts w:ascii="Arial" w:eastAsia="Times New Roman" w:hAnsi="Arial" w:cs="Arial"/>
                <w:b/>
                <w:color w:val="000000" w:themeColor="text1"/>
                <w:sz w:val="17"/>
                <w:szCs w:val="17"/>
              </w:rPr>
            </w:pPr>
            <w:bookmarkStart w:id="866" w:name="_Toc67330439"/>
            <w:r w:rsidRPr="00A96B0F">
              <w:rPr>
                <w:rFonts w:ascii="Arial" w:eastAsia="Times New Roman" w:hAnsi="Arial" w:cs="Arial"/>
                <w:b/>
                <w:color w:val="000000" w:themeColor="text1"/>
                <w:sz w:val="17"/>
                <w:szCs w:val="17"/>
              </w:rPr>
              <w:t>000 eura</w:t>
            </w:r>
            <w:bookmarkEnd w:id="866"/>
          </w:p>
        </w:tc>
        <w:tc>
          <w:tcPr>
            <w:tcW w:w="556" w:type="pct"/>
            <w:vAlign w:val="bottom"/>
          </w:tcPr>
          <w:p w14:paraId="73A91A74" w14:textId="77777777" w:rsidR="00345E7F" w:rsidRPr="00A96B0F" w:rsidRDefault="00345E7F" w:rsidP="00C450F2">
            <w:pPr>
              <w:tabs>
                <w:tab w:val="right" w:pos="1202"/>
                <w:tab w:val="center" w:pos="4153"/>
                <w:tab w:val="right" w:pos="8306"/>
              </w:tabs>
              <w:suppressAutoHyphens/>
              <w:autoSpaceDN w:val="0"/>
              <w:spacing w:line="301" w:lineRule="exact"/>
              <w:jc w:val="right"/>
              <w:outlineLvl w:val="0"/>
              <w:rPr>
                <w:rFonts w:ascii="Arial" w:eastAsia="Times New Roman" w:hAnsi="Arial" w:cs="Arial"/>
                <w:b/>
                <w:color w:val="000000" w:themeColor="text1"/>
                <w:sz w:val="17"/>
                <w:szCs w:val="17"/>
              </w:rPr>
            </w:pPr>
            <w:bookmarkStart w:id="867" w:name="_Toc67330440"/>
            <w:r w:rsidRPr="00A96B0F">
              <w:rPr>
                <w:rFonts w:ascii="Arial" w:eastAsia="Times New Roman" w:hAnsi="Arial" w:cs="Arial"/>
                <w:b/>
                <w:color w:val="000000" w:themeColor="text1"/>
                <w:sz w:val="17"/>
                <w:szCs w:val="17"/>
              </w:rPr>
              <w:t>000 eura</w:t>
            </w:r>
            <w:bookmarkEnd w:id="867"/>
          </w:p>
        </w:tc>
        <w:tc>
          <w:tcPr>
            <w:tcW w:w="556" w:type="pct"/>
            <w:vAlign w:val="bottom"/>
          </w:tcPr>
          <w:p w14:paraId="3968B759" w14:textId="77777777" w:rsidR="00345E7F" w:rsidRPr="00A96B0F" w:rsidRDefault="00345E7F" w:rsidP="00C450F2">
            <w:pPr>
              <w:tabs>
                <w:tab w:val="right" w:pos="1202"/>
                <w:tab w:val="center" w:pos="4153"/>
                <w:tab w:val="right" w:pos="8306"/>
              </w:tabs>
              <w:suppressAutoHyphens/>
              <w:autoSpaceDN w:val="0"/>
              <w:spacing w:line="301" w:lineRule="exact"/>
              <w:jc w:val="right"/>
              <w:outlineLvl w:val="0"/>
              <w:rPr>
                <w:rFonts w:ascii="Arial" w:eastAsia="Times New Roman" w:hAnsi="Arial" w:cs="Arial"/>
                <w:b/>
                <w:color w:val="000000" w:themeColor="text1"/>
                <w:sz w:val="17"/>
                <w:szCs w:val="17"/>
              </w:rPr>
            </w:pPr>
            <w:bookmarkStart w:id="868" w:name="_Toc67330441"/>
            <w:r w:rsidRPr="00A96B0F">
              <w:rPr>
                <w:rFonts w:ascii="Arial" w:eastAsia="Times New Roman" w:hAnsi="Arial" w:cs="Arial"/>
                <w:b/>
                <w:color w:val="000000" w:themeColor="text1"/>
                <w:sz w:val="17"/>
                <w:szCs w:val="17"/>
              </w:rPr>
              <w:t>000 eura</w:t>
            </w:r>
            <w:bookmarkEnd w:id="868"/>
          </w:p>
        </w:tc>
        <w:tc>
          <w:tcPr>
            <w:tcW w:w="621" w:type="pct"/>
            <w:vAlign w:val="bottom"/>
          </w:tcPr>
          <w:p w14:paraId="014E97B2" w14:textId="77777777" w:rsidR="00345E7F" w:rsidRPr="00A96B0F" w:rsidRDefault="00345E7F" w:rsidP="00C450F2">
            <w:pPr>
              <w:tabs>
                <w:tab w:val="right" w:pos="1202"/>
                <w:tab w:val="center" w:pos="4153"/>
                <w:tab w:val="right" w:pos="8306"/>
              </w:tabs>
              <w:suppressAutoHyphens/>
              <w:autoSpaceDN w:val="0"/>
              <w:spacing w:line="301" w:lineRule="exact"/>
              <w:jc w:val="right"/>
              <w:outlineLvl w:val="0"/>
              <w:rPr>
                <w:rFonts w:ascii="Arial" w:eastAsia="Times New Roman" w:hAnsi="Arial" w:cs="Arial"/>
                <w:b/>
                <w:color w:val="000000" w:themeColor="text1"/>
                <w:sz w:val="17"/>
                <w:szCs w:val="17"/>
              </w:rPr>
            </w:pPr>
            <w:bookmarkStart w:id="869" w:name="_Toc67330442"/>
            <w:r w:rsidRPr="00A96B0F">
              <w:rPr>
                <w:rFonts w:ascii="Arial" w:eastAsia="Times New Roman" w:hAnsi="Arial" w:cs="Arial"/>
                <w:b/>
                <w:color w:val="000000" w:themeColor="text1"/>
                <w:sz w:val="17"/>
                <w:szCs w:val="17"/>
              </w:rPr>
              <w:t>000 eura</w:t>
            </w:r>
            <w:bookmarkEnd w:id="869"/>
          </w:p>
        </w:tc>
      </w:tr>
      <w:tr w:rsidR="00345E7F" w:rsidRPr="00A96B0F" w14:paraId="261B7B78" w14:textId="77777777" w:rsidTr="00C450F2">
        <w:trPr>
          <w:trHeight w:hRule="exact" w:val="211"/>
        </w:trPr>
        <w:tc>
          <w:tcPr>
            <w:tcW w:w="1597" w:type="pct"/>
            <w:vAlign w:val="bottom"/>
          </w:tcPr>
          <w:p w14:paraId="0348E2DA" w14:textId="77777777" w:rsidR="00345E7F" w:rsidRPr="00A96B0F" w:rsidRDefault="00345E7F" w:rsidP="00C450F2">
            <w:pPr>
              <w:tabs>
                <w:tab w:val="right" w:pos="1202"/>
              </w:tabs>
              <w:suppressAutoHyphens/>
              <w:autoSpaceDN w:val="0"/>
              <w:outlineLvl w:val="0"/>
              <w:rPr>
                <w:rFonts w:ascii="Arial" w:eastAsia="Times New Roman" w:hAnsi="Arial" w:cs="Arial"/>
                <w:b/>
                <w:bCs/>
                <w:color w:val="000000" w:themeColor="text1"/>
                <w:sz w:val="17"/>
                <w:szCs w:val="17"/>
              </w:rPr>
            </w:pPr>
            <w:bookmarkStart w:id="870" w:name="_Toc67330443"/>
            <w:r w:rsidRPr="00A96B0F">
              <w:rPr>
                <w:rFonts w:ascii="Arial" w:eastAsia="Times New Roman" w:hAnsi="Arial" w:cs="Arial"/>
                <w:b/>
                <w:bCs/>
                <w:color w:val="000000" w:themeColor="text1"/>
                <w:sz w:val="17"/>
                <w:szCs w:val="17"/>
              </w:rPr>
              <w:t>Financijske obveze</w:t>
            </w:r>
            <w:bookmarkEnd w:id="870"/>
          </w:p>
        </w:tc>
        <w:tc>
          <w:tcPr>
            <w:tcW w:w="557" w:type="pct"/>
            <w:vAlign w:val="bottom"/>
          </w:tcPr>
          <w:p w14:paraId="1E338A35" w14:textId="77777777" w:rsidR="00345E7F" w:rsidRPr="00A96B0F" w:rsidRDefault="00345E7F" w:rsidP="00C450F2">
            <w:pPr>
              <w:tabs>
                <w:tab w:val="right" w:pos="1202"/>
                <w:tab w:val="center" w:pos="4153"/>
                <w:tab w:val="right" w:pos="8306"/>
              </w:tabs>
              <w:suppressAutoHyphens/>
              <w:autoSpaceDN w:val="0"/>
              <w:jc w:val="right"/>
              <w:outlineLvl w:val="0"/>
              <w:rPr>
                <w:rFonts w:ascii="Arial" w:eastAsia="Times New Roman" w:hAnsi="Arial" w:cs="Arial"/>
                <w:color w:val="000000" w:themeColor="text1"/>
                <w:sz w:val="17"/>
                <w:szCs w:val="17"/>
              </w:rPr>
            </w:pPr>
          </w:p>
        </w:tc>
        <w:tc>
          <w:tcPr>
            <w:tcW w:w="557" w:type="pct"/>
            <w:vAlign w:val="bottom"/>
          </w:tcPr>
          <w:p w14:paraId="3A49D1E6" w14:textId="77777777" w:rsidR="00345E7F" w:rsidRPr="00A96B0F" w:rsidRDefault="00345E7F" w:rsidP="00C450F2">
            <w:pPr>
              <w:tabs>
                <w:tab w:val="right" w:pos="1202"/>
                <w:tab w:val="center" w:pos="4153"/>
                <w:tab w:val="right" w:pos="8306"/>
              </w:tabs>
              <w:suppressAutoHyphens/>
              <w:autoSpaceDN w:val="0"/>
              <w:jc w:val="right"/>
              <w:outlineLvl w:val="0"/>
              <w:rPr>
                <w:rFonts w:ascii="Arial" w:eastAsia="Times New Roman" w:hAnsi="Arial" w:cs="Arial"/>
                <w:color w:val="000000" w:themeColor="text1"/>
                <w:sz w:val="17"/>
                <w:szCs w:val="17"/>
              </w:rPr>
            </w:pPr>
          </w:p>
        </w:tc>
        <w:tc>
          <w:tcPr>
            <w:tcW w:w="556" w:type="pct"/>
            <w:vAlign w:val="bottom"/>
          </w:tcPr>
          <w:p w14:paraId="3D062957" w14:textId="77777777" w:rsidR="00345E7F" w:rsidRPr="00A96B0F" w:rsidRDefault="00345E7F" w:rsidP="00C450F2">
            <w:pPr>
              <w:tabs>
                <w:tab w:val="right" w:pos="1202"/>
                <w:tab w:val="center" w:pos="4153"/>
                <w:tab w:val="right" w:pos="8306"/>
              </w:tabs>
              <w:suppressAutoHyphens/>
              <w:autoSpaceDN w:val="0"/>
              <w:jc w:val="right"/>
              <w:outlineLvl w:val="0"/>
              <w:rPr>
                <w:rFonts w:ascii="Arial" w:eastAsia="Times New Roman" w:hAnsi="Arial" w:cs="Arial"/>
                <w:color w:val="000000" w:themeColor="text1"/>
                <w:sz w:val="17"/>
                <w:szCs w:val="17"/>
              </w:rPr>
            </w:pPr>
          </w:p>
        </w:tc>
        <w:tc>
          <w:tcPr>
            <w:tcW w:w="556" w:type="pct"/>
            <w:vAlign w:val="bottom"/>
          </w:tcPr>
          <w:p w14:paraId="306CBEB5" w14:textId="77777777" w:rsidR="00345E7F" w:rsidRPr="00A96B0F" w:rsidRDefault="00345E7F" w:rsidP="00C450F2">
            <w:pPr>
              <w:tabs>
                <w:tab w:val="right" w:pos="1202"/>
                <w:tab w:val="center" w:pos="4153"/>
                <w:tab w:val="right" w:pos="8306"/>
              </w:tabs>
              <w:suppressAutoHyphens/>
              <w:autoSpaceDN w:val="0"/>
              <w:jc w:val="right"/>
              <w:outlineLvl w:val="0"/>
              <w:rPr>
                <w:rFonts w:ascii="Arial" w:eastAsia="Times New Roman" w:hAnsi="Arial" w:cs="Arial"/>
                <w:color w:val="000000" w:themeColor="text1"/>
                <w:sz w:val="17"/>
                <w:szCs w:val="17"/>
              </w:rPr>
            </w:pPr>
          </w:p>
        </w:tc>
        <w:tc>
          <w:tcPr>
            <w:tcW w:w="556" w:type="pct"/>
            <w:vAlign w:val="bottom"/>
          </w:tcPr>
          <w:p w14:paraId="56DCDFE6" w14:textId="77777777" w:rsidR="00345E7F" w:rsidRPr="00A96B0F" w:rsidRDefault="00345E7F" w:rsidP="00C450F2">
            <w:pPr>
              <w:tabs>
                <w:tab w:val="right" w:pos="1202"/>
                <w:tab w:val="center" w:pos="4153"/>
                <w:tab w:val="right" w:pos="8306"/>
              </w:tabs>
              <w:suppressAutoHyphens/>
              <w:autoSpaceDN w:val="0"/>
              <w:jc w:val="right"/>
              <w:outlineLvl w:val="0"/>
              <w:rPr>
                <w:rFonts w:ascii="Arial" w:eastAsia="Times New Roman" w:hAnsi="Arial" w:cs="Arial"/>
                <w:color w:val="000000" w:themeColor="text1"/>
                <w:sz w:val="17"/>
                <w:szCs w:val="17"/>
              </w:rPr>
            </w:pPr>
          </w:p>
        </w:tc>
        <w:tc>
          <w:tcPr>
            <w:tcW w:w="621" w:type="pct"/>
            <w:vAlign w:val="bottom"/>
          </w:tcPr>
          <w:p w14:paraId="72865298" w14:textId="77777777" w:rsidR="00345E7F" w:rsidRPr="00A96B0F" w:rsidRDefault="00345E7F" w:rsidP="00C450F2">
            <w:pPr>
              <w:tabs>
                <w:tab w:val="right" w:pos="1202"/>
                <w:tab w:val="center" w:pos="4153"/>
                <w:tab w:val="right" w:pos="8306"/>
              </w:tabs>
              <w:suppressAutoHyphens/>
              <w:autoSpaceDN w:val="0"/>
              <w:jc w:val="right"/>
              <w:outlineLvl w:val="0"/>
              <w:rPr>
                <w:rFonts w:ascii="Arial" w:eastAsia="Times New Roman" w:hAnsi="Arial" w:cs="Arial"/>
                <w:color w:val="000000" w:themeColor="text1"/>
                <w:sz w:val="17"/>
                <w:szCs w:val="17"/>
              </w:rPr>
            </w:pPr>
          </w:p>
        </w:tc>
      </w:tr>
      <w:tr w:rsidR="00345E7F" w:rsidRPr="00A96B0F" w14:paraId="6FD1FC7F" w14:textId="77777777" w:rsidTr="00C450F2">
        <w:trPr>
          <w:trHeight w:hRule="exact" w:val="211"/>
        </w:trPr>
        <w:tc>
          <w:tcPr>
            <w:tcW w:w="1597" w:type="pct"/>
            <w:vAlign w:val="bottom"/>
          </w:tcPr>
          <w:p w14:paraId="075C73F4" w14:textId="77777777" w:rsidR="00345E7F" w:rsidRPr="00A96B0F" w:rsidRDefault="00345E7F" w:rsidP="00C450F2">
            <w:pPr>
              <w:tabs>
                <w:tab w:val="right" w:pos="1202"/>
              </w:tabs>
              <w:suppressAutoHyphens/>
              <w:autoSpaceDN w:val="0"/>
              <w:outlineLvl w:val="0"/>
              <w:rPr>
                <w:rFonts w:ascii="Arial" w:eastAsia="Times New Roman" w:hAnsi="Arial" w:cs="Arial"/>
                <w:color w:val="000000" w:themeColor="text1"/>
                <w:sz w:val="17"/>
                <w:szCs w:val="17"/>
              </w:rPr>
            </w:pPr>
            <w:bookmarkStart w:id="871" w:name="_Toc67330444"/>
            <w:r w:rsidRPr="00A96B0F">
              <w:rPr>
                <w:rFonts w:ascii="Arial" w:eastAsia="Times New Roman" w:hAnsi="Arial" w:cs="Arial"/>
                <w:color w:val="000000" w:themeColor="text1"/>
                <w:spacing w:val="-2"/>
                <w:sz w:val="17"/>
                <w:szCs w:val="17"/>
              </w:rPr>
              <w:t>Obveze po depozitima</w:t>
            </w:r>
            <w:bookmarkEnd w:id="871"/>
          </w:p>
        </w:tc>
        <w:tc>
          <w:tcPr>
            <w:tcW w:w="557" w:type="pct"/>
            <w:tcBorders>
              <w:top w:val="nil"/>
              <w:left w:val="nil"/>
              <w:bottom w:val="nil"/>
              <w:right w:val="nil"/>
            </w:tcBorders>
            <w:shd w:val="clear" w:color="auto" w:fill="auto"/>
            <w:vAlign w:val="bottom"/>
          </w:tcPr>
          <w:p w14:paraId="00D90474" w14:textId="77777777" w:rsidR="00345E7F" w:rsidRPr="00C54F28" w:rsidRDefault="00345E7F" w:rsidP="00C450F2">
            <w:pPr>
              <w:tabs>
                <w:tab w:val="right" w:pos="1202"/>
              </w:tabs>
              <w:suppressAutoHyphens/>
              <w:autoSpaceDN w:val="0"/>
              <w:spacing w:line="240" w:lineRule="exact"/>
              <w:jc w:val="right"/>
              <w:outlineLvl w:val="0"/>
              <w:rPr>
                <w:rFonts w:ascii="Arial" w:eastAsia="Times New Roman" w:hAnsi="Arial" w:cs="Arial"/>
                <w:color w:val="000000"/>
                <w:sz w:val="17"/>
                <w:szCs w:val="17"/>
              </w:rPr>
            </w:pPr>
            <w:r>
              <w:rPr>
                <w:rFonts w:ascii="Arial" w:eastAsia="Times New Roman" w:hAnsi="Arial" w:cs="Arial"/>
                <w:color w:val="000000"/>
                <w:sz w:val="17"/>
                <w:szCs w:val="17"/>
              </w:rPr>
              <w:t>176.416</w:t>
            </w:r>
          </w:p>
        </w:tc>
        <w:tc>
          <w:tcPr>
            <w:tcW w:w="557" w:type="pct"/>
            <w:tcBorders>
              <w:top w:val="nil"/>
              <w:left w:val="nil"/>
              <w:bottom w:val="nil"/>
              <w:right w:val="nil"/>
            </w:tcBorders>
            <w:shd w:val="clear" w:color="auto" w:fill="auto"/>
            <w:vAlign w:val="bottom"/>
          </w:tcPr>
          <w:p w14:paraId="208C7B15" w14:textId="77777777" w:rsidR="00345E7F" w:rsidRPr="00C54F28" w:rsidRDefault="00345E7F" w:rsidP="00C450F2">
            <w:pPr>
              <w:tabs>
                <w:tab w:val="right" w:pos="1202"/>
              </w:tabs>
              <w:suppressAutoHyphens/>
              <w:autoSpaceDN w:val="0"/>
              <w:spacing w:line="240" w:lineRule="exact"/>
              <w:jc w:val="right"/>
              <w:outlineLvl w:val="0"/>
              <w:rPr>
                <w:rFonts w:ascii="Arial" w:eastAsia="Times New Roman" w:hAnsi="Arial" w:cs="Arial"/>
                <w:color w:val="000000"/>
                <w:sz w:val="17"/>
                <w:szCs w:val="17"/>
              </w:rPr>
            </w:pPr>
            <w:r>
              <w:rPr>
                <w:rFonts w:ascii="Arial" w:eastAsia="Times New Roman" w:hAnsi="Arial" w:cs="Arial"/>
                <w:color w:val="000000"/>
                <w:sz w:val="17"/>
                <w:szCs w:val="17"/>
              </w:rPr>
              <w:t>387</w:t>
            </w:r>
          </w:p>
        </w:tc>
        <w:tc>
          <w:tcPr>
            <w:tcW w:w="556" w:type="pct"/>
            <w:tcBorders>
              <w:top w:val="nil"/>
              <w:left w:val="nil"/>
              <w:bottom w:val="nil"/>
              <w:right w:val="nil"/>
            </w:tcBorders>
            <w:shd w:val="clear" w:color="auto" w:fill="auto"/>
            <w:vAlign w:val="bottom"/>
          </w:tcPr>
          <w:p w14:paraId="485A9D29" w14:textId="77777777" w:rsidR="00345E7F" w:rsidRPr="00C54F28" w:rsidRDefault="00345E7F" w:rsidP="00C450F2">
            <w:pPr>
              <w:tabs>
                <w:tab w:val="right" w:pos="1202"/>
              </w:tabs>
              <w:suppressAutoHyphens/>
              <w:autoSpaceDN w:val="0"/>
              <w:spacing w:line="240" w:lineRule="exact"/>
              <w:jc w:val="right"/>
              <w:outlineLvl w:val="0"/>
              <w:rPr>
                <w:rFonts w:ascii="Arial" w:eastAsia="Times New Roman" w:hAnsi="Arial" w:cs="Arial"/>
                <w:color w:val="000000"/>
                <w:sz w:val="17"/>
                <w:szCs w:val="17"/>
              </w:rPr>
            </w:pPr>
            <w:r>
              <w:rPr>
                <w:rFonts w:ascii="Arial" w:eastAsia="Times New Roman" w:hAnsi="Arial" w:cs="Arial"/>
                <w:color w:val="000000"/>
                <w:sz w:val="17"/>
                <w:szCs w:val="17"/>
              </w:rPr>
              <w:t>36.312</w:t>
            </w:r>
          </w:p>
        </w:tc>
        <w:tc>
          <w:tcPr>
            <w:tcW w:w="556" w:type="pct"/>
            <w:tcBorders>
              <w:top w:val="nil"/>
              <w:left w:val="nil"/>
              <w:bottom w:val="nil"/>
              <w:right w:val="nil"/>
            </w:tcBorders>
            <w:shd w:val="clear" w:color="auto" w:fill="auto"/>
            <w:vAlign w:val="bottom"/>
          </w:tcPr>
          <w:p w14:paraId="574C0CA4" w14:textId="77777777" w:rsidR="00345E7F" w:rsidRPr="00C54F28" w:rsidRDefault="00345E7F" w:rsidP="00C450F2">
            <w:pPr>
              <w:tabs>
                <w:tab w:val="right" w:pos="1202"/>
              </w:tabs>
              <w:suppressAutoHyphens/>
              <w:autoSpaceDN w:val="0"/>
              <w:spacing w:line="240" w:lineRule="exact"/>
              <w:jc w:val="right"/>
              <w:outlineLvl w:val="0"/>
              <w:rPr>
                <w:rFonts w:ascii="Arial" w:eastAsia="Times New Roman" w:hAnsi="Arial" w:cs="Arial"/>
                <w:color w:val="000000"/>
                <w:sz w:val="17"/>
                <w:szCs w:val="17"/>
              </w:rPr>
            </w:pPr>
            <w:r>
              <w:rPr>
                <w:rFonts w:ascii="Arial" w:eastAsia="Times New Roman" w:hAnsi="Arial" w:cs="Arial"/>
                <w:color w:val="000000"/>
                <w:sz w:val="17"/>
                <w:szCs w:val="17"/>
              </w:rPr>
              <w:t>49</w:t>
            </w:r>
          </w:p>
        </w:tc>
        <w:tc>
          <w:tcPr>
            <w:tcW w:w="556" w:type="pct"/>
            <w:tcBorders>
              <w:top w:val="nil"/>
              <w:left w:val="nil"/>
              <w:bottom w:val="nil"/>
              <w:right w:val="nil"/>
            </w:tcBorders>
            <w:shd w:val="clear" w:color="auto" w:fill="auto"/>
            <w:vAlign w:val="bottom"/>
          </w:tcPr>
          <w:p w14:paraId="1B8DD08A" w14:textId="77777777" w:rsidR="00345E7F" w:rsidRPr="00C54F28" w:rsidRDefault="00345E7F" w:rsidP="00C450F2">
            <w:pPr>
              <w:tabs>
                <w:tab w:val="right" w:pos="1202"/>
              </w:tabs>
              <w:suppressAutoHyphens/>
              <w:autoSpaceDN w:val="0"/>
              <w:spacing w:line="240" w:lineRule="exact"/>
              <w:jc w:val="right"/>
              <w:outlineLvl w:val="0"/>
              <w:rPr>
                <w:rFonts w:ascii="Arial" w:eastAsia="Times New Roman" w:hAnsi="Arial" w:cs="Arial"/>
                <w:color w:val="000000"/>
                <w:sz w:val="17"/>
                <w:szCs w:val="17"/>
              </w:rPr>
            </w:pPr>
            <w:r>
              <w:rPr>
                <w:rFonts w:ascii="Arial" w:eastAsia="Times New Roman" w:hAnsi="Arial" w:cs="Arial"/>
                <w:color w:val="000000"/>
                <w:sz w:val="17"/>
                <w:szCs w:val="17"/>
              </w:rPr>
              <w:t>9.903</w:t>
            </w:r>
          </w:p>
        </w:tc>
        <w:tc>
          <w:tcPr>
            <w:tcW w:w="621" w:type="pct"/>
            <w:tcBorders>
              <w:top w:val="nil"/>
              <w:left w:val="nil"/>
              <w:bottom w:val="nil"/>
              <w:right w:val="nil"/>
            </w:tcBorders>
            <w:shd w:val="clear" w:color="auto" w:fill="auto"/>
            <w:vAlign w:val="bottom"/>
          </w:tcPr>
          <w:p w14:paraId="2A85F342" w14:textId="77777777" w:rsidR="00345E7F" w:rsidRPr="00C54F28" w:rsidRDefault="00345E7F" w:rsidP="00C450F2">
            <w:pPr>
              <w:tabs>
                <w:tab w:val="right" w:pos="1202"/>
              </w:tabs>
              <w:suppressAutoHyphens/>
              <w:autoSpaceDN w:val="0"/>
              <w:spacing w:line="240" w:lineRule="exact"/>
              <w:jc w:val="right"/>
              <w:outlineLvl w:val="0"/>
              <w:rPr>
                <w:rFonts w:ascii="Arial" w:eastAsia="Times New Roman" w:hAnsi="Arial" w:cs="Arial"/>
                <w:color w:val="000000"/>
                <w:sz w:val="17"/>
                <w:szCs w:val="17"/>
              </w:rPr>
            </w:pPr>
            <w:r>
              <w:rPr>
                <w:rFonts w:ascii="Arial" w:eastAsia="Times New Roman" w:hAnsi="Arial" w:cs="Arial"/>
                <w:color w:val="000000"/>
                <w:sz w:val="17"/>
                <w:szCs w:val="17"/>
              </w:rPr>
              <w:t>223.067</w:t>
            </w:r>
          </w:p>
        </w:tc>
      </w:tr>
      <w:tr w:rsidR="00345E7F" w:rsidRPr="00A96B0F" w14:paraId="5EF290BD" w14:textId="77777777" w:rsidTr="00C450F2">
        <w:trPr>
          <w:trHeight w:hRule="exact" w:val="211"/>
        </w:trPr>
        <w:tc>
          <w:tcPr>
            <w:tcW w:w="1597" w:type="pct"/>
            <w:vAlign w:val="bottom"/>
          </w:tcPr>
          <w:p w14:paraId="65D085F3" w14:textId="77777777" w:rsidR="00345E7F" w:rsidRPr="00A96B0F" w:rsidRDefault="00345E7F" w:rsidP="00C450F2">
            <w:pPr>
              <w:tabs>
                <w:tab w:val="right" w:pos="1202"/>
              </w:tabs>
              <w:suppressAutoHyphens/>
              <w:autoSpaceDN w:val="0"/>
              <w:outlineLvl w:val="0"/>
              <w:rPr>
                <w:rFonts w:ascii="Arial" w:eastAsia="Times New Roman" w:hAnsi="Arial" w:cs="Arial"/>
                <w:color w:val="000000" w:themeColor="text1"/>
                <w:sz w:val="17"/>
                <w:szCs w:val="17"/>
              </w:rPr>
            </w:pPr>
            <w:bookmarkStart w:id="872" w:name="_Toc67330451"/>
            <w:r w:rsidRPr="00A96B0F">
              <w:rPr>
                <w:rFonts w:ascii="Arial" w:eastAsia="Times New Roman" w:hAnsi="Arial" w:cs="Arial"/>
                <w:color w:val="000000" w:themeColor="text1"/>
                <w:spacing w:val="-2"/>
                <w:sz w:val="17"/>
                <w:szCs w:val="17"/>
              </w:rPr>
              <w:t>Obveze po kreditima</w:t>
            </w:r>
            <w:bookmarkEnd w:id="872"/>
          </w:p>
        </w:tc>
        <w:tc>
          <w:tcPr>
            <w:tcW w:w="557" w:type="pct"/>
            <w:tcBorders>
              <w:top w:val="nil"/>
              <w:left w:val="nil"/>
              <w:bottom w:val="nil"/>
              <w:right w:val="nil"/>
            </w:tcBorders>
            <w:shd w:val="clear" w:color="auto" w:fill="auto"/>
            <w:vAlign w:val="bottom"/>
          </w:tcPr>
          <w:p w14:paraId="0BAFB830" w14:textId="77777777" w:rsidR="00345E7F" w:rsidRPr="00C54F28" w:rsidRDefault="00345E7F" w:rsidP="00C450F2">
            <w:pPr>
              <w:tabs>
                <w:tab w:val="right" w:pos="1202"/>
              </w:tabs>
              <w:suppressAutoHyphens/>
              <w:autoSpaceDN w:val="0"/>
              <w:spacing w:line="240" w:lineRule="exact"/>
              <w:jc w:val="right"/>
              <w:outlineLvl w:val="0"/>
              <w:rPr>
                <w:rFonts w:ascii="Arial" w:eastAsia="Times New Roman" w:hAnsi="Arial" w:cs="Arial"/>
                <w:color w:val="000000"/>
                <w:sz w:val="17"/>
                <w:szCs w:val="17"/>
              </w:rPr>
            </w:pPr>
            <w:r>
              <w:rPr>
                <w:rFonts w:ascii="Arial" w:eastAsia="Times New Roman" w:hAnsi="Arial" w:cs="Arial"/>
                <w:color w:val="000000"/>
                <w:sz w:val="17"/>
                <w:szCs w:val="17"/>
              </w:rPr>
              <w:t>58.463</w:t>
            </w:r>
          </w:p>
        </w:tc>
        <w:tc>
          <w:tcPr>
            <w:tcW w:w="557" w:type="pct"/>
            <w:tcBorders>
              <w:top w:val="nil"/>
              <w:left w:val="nil"/>
              <w:bottom w:val="nil"/>
              <w:right w:val="nil"/>
            </w:tcBorders>
            <w:shd w:val="clear" w:color="auto" w:fill="auto"/>
            <w:vAlign w:val="bottom"/>
          </w:tcPr>
          <w:p w14:paraId="6F39B50B" w14:textId="77777777" w:rsidR="00345E7F" w:rsidRPr="00C54F28" w:rsidRDefault="00345E7F" w:rsidP="00C450F2">
            <w:pPr>
              <w:tabs>
                <w:tab w:val="right" w:pos="1202"/>
              </w:tabs>
              <w:suppressAutoHyphens/>
              <w:autoSpaceDN w:val="0"/>
              <w:spacing w:line="240" w:lineRule="exact"/>
              <w:jc w:val="right"/>
              <w:outlineLvl w:val="0"/>
              <w:rPr>
                <w:rFonts w:ascii="Arial" w:eastAsia="Times New Roman" w:hAnsi="Arial" w:cs="Arial"/>
                <w:color w:val="000000"/>
                <w:sz w:val="17"/>
                <w:szCs w:val="17"/>
              </w:rPr>
            </w:pPr>
            <w:r>
              <w:rPr>
                <w:rFonts w:ascii="Arial" w:eastAsia="Times New Roman" w:hAnsi="Arial" w:cs="Arial"/>
                <w:color w:val="000000"/>
                <w:sz w:val="17"/>
                <w:szCs w:val="17"/>
              </w:rPr>
              <w:t>65.943</w:t>
            </w:r>
          </w:p>
        </w:tc>
        <w:tc>
          <w:tcPr>
            <w:tcW w:w="556" w:type="pct"/>
            <w:tcBorders>
              <w:top w:val="nil"/>
              <w:left w:val="nil"/>
              <w:bottom w:val="nil"/>
              <w:right w:val="nil"/>
            </w:tcBorders>
            <w:shd w:val="clear" w:color="auto" w:fill="auto"/>
            <w:vAlign w:val="bottom"/>
          </w:tcPr>
          <w:p w14:paraId="13E35C43" w14:textId="77777777" w:rsidR="00345E7F" w:rsidRPr="00C54F28" w:rsidRDefault="00345E7F" w:rsidP="00C450F2">
            <w:pPr>
              <w:tabs>
                <w:tab w:val="right" w:pos="1202"/>
              </w:tabs>
              <w:suppressAutoHyphens/>
              <w:autoSpaceDN w:val="0"/>
              <w:spacing w:line="240" w:lineRule="exact"/>
              <w:jc w:val="right"/>
              <w:outlineLvl w:val="0"/>
              <w:rPr>
                <w:rFonts w:ascii="Arial" w:eastAsia="Times New Roman" w:hAnsi="Arial" w:cs="Arial"/>
                <w:color w:val="000000"/>
                <w:sz w:val="17"/>
                <w:szCs w:val="17"/>
              </w:rPr>
            </w:pPr>
            <w:r>
              <w:rPr>
                <w:rFonts w:ascii="Arial" w:eastAsia="Times New Roman" w:hAnsi="Arial" w:cs="Arial"/>
                <w:color w:val="000000"/>
                <w:sz w:val="17"/>
                <w:szCs w:val="17"/>
              </w:rPr>
              <w:t>284.908</w:t>
            </w:r>
          </w:p>
        </w:tc>
        <w:tc>
          <w:tcPr>
            <w:tcW w:w="556" w:type="pct"/>
            <w:tcBorders>
              <w:top w:val="nil"/>
              <w:left w:val="nil"/>
              <w:bottom w:val="nil"/>
              <w:right w:val="nil"/>
            </w:tcBorders>
            <w:shd w:val="clear" w:color="auto" w:fill="auto"/>
            <w:vAlign w:val="bottom"/>
          </w:tcPr>
          <w:p w14:paraId="14573429" w14:textId="77777777" w:rsidR="00345E7F" w:rsidRPr="00C54F28" w:rsidRDefault="00345E7F" w:rsidP="00C450F2">
            <w:pPr>
              <w:tabs>
                <w:tab w:val="right" w:pos="1202"/>
              </w:tabs>
              <w:suppressAutoHyphens/>
              <w:autoSpaceDN w:val="0"/>
              <w:spacing w:line="240" w:lineRule="exact"/>
              <w:jc w:val="right"/>
              <w:outlineLvl w:val="0"/>
              <w:rPr>
                <w:rFonts w:ascii="Arial" w:eastAsia="Times New Roman" w:hAnsi="Arial" w:cs="Arial"/>
                <w:color w:val="000000"/>
                <w:sz w:val="17"/>
                <w:szCs w:val="17"/>
              </w:rPr>
            </w:pPr>
            <w:r>
              <w:rPr>
                <w:rFonts w:ascii="Arial" w:eastAsia="Times New Roman" w:hAnsi="Arial" w:cs="Arial"/>
                <w:color w:val="000000"/>
                <w:sz w:val="17"/>
                <w:szCs w:val="17"/>
              </w:rPr>
              <w:t>742.762</w:t>
            </w:r>
          </w:p>
        </w:tc>
        <w:tc>
          <w:tcPr>
            <w:tcW w:w="556" w:type="pct"/>
            <w:tcBorders>
              <w:top w:val="nil"/>
              <w:left w:val="nil"/>
              <w:bottom w:val="nil"/>
              <w:right w:val="nil"/>
            </w:tcBorders>
            <w:shd w:val="clear" w:color="auto" w:fill="auto"/>
            <w:vAlign w:val="bottom"/>
          </w:tcPr>
          <w:p w14:paraId="7078B6BF" w14:textId="77777777" w:rsidR="00345E7F" w:rsidRPr="00C54F28" w:rsidRDefault="00345E7F" w:rsidP="00C450F2">
            <w:pPr>
              <w:tabs>
                <w:tab w:val="right" w:pos="1202"/>
              </w:tabs>
              <w:suppressAutoHyphens/>
              <w:autoSpaceDN w:val="0"/>
              <w:spacing w:line="240" w:lineRule="exact"/>
              <w:jc w:val="right"/>
              <w:outlineLvl w:val="0"/>
              <w:rPr>
                <w:rFonts w:ascii="Arial" w:eastAsia="Times New Roman" w:hAnsi="Arial" w:cs="Arial"/>
                <w:color w:val="000000"/>
                <w:sz w:val="17"/>
                <w:szCs w:val="17"/>
              </w:rPr>
            </w:pPr>
            <w:r>
              <w:rPr>
                <w:rFonts w:ascii="Arial" w:eastAsia="Times New Roman" w:hAnsi="Arial" w:cs="Arial"/>
                <w:color w:val="000000"/>
                <w:sz w:val="17"/>
                <w:szCs w:val="17"/>
              </w:rPr>
              <w:t>1.291.052</w:t>
            </w:r>
          </w:p>
        </w:tc>
        <w:tc>
          <w:tcPr>
            <w:tcW w:w="621" w:type="pct"/>
            <w:tcBorders>
              <w:top w:val="nil"/>
              <w:left w:val="nil"/>
              <w:bottom w:val="nil"/>
              <w:right w:val="nil"/>
            </w:tcBorders>
            <w:shd w:val="clear" w:color="auto" w:fill="auto"/>
            <w:vAlign w:val="bottom"/>
          </w:tcPr>
          <w:p w14:paraId="6207C3E2" w14:textId="77777777" w:rsidR="00345E7F" w:rsidRPr="00C54F28" w:rsidRDefault="00345E7F" w:rsidP="00C450F2">
            <w:pPr>
              <w:tabs>
                <w:tab w:val="right" w:pos="1202"/>
              </w:tabs>
              <w:suppressAutoHyphens/>
              <w:autoSpaceDN w:val="0"/>
              <w:spacing w:line="240" w:lineRule="exact"/>
              <w:jc w:val="right"/>
              <w:outlineLvl w:val="0"/>
              <w:rPr>
                <w:rFonts w:ascii="Arial" w:eastAsia="Times New Roman" w:hAnsi="Arial" w:cs="Arial"/>
                <w:color w:val="000000"/>
                <w:sz w:val="17"/>
                <w:szCs w:val="17"/>
              </w:rPr>
            </w:pPr>
            <w:r>
              <w:rPr>
                <w:rFonts w:ascii="Arial" w:eastAsia="Times New Roman" w:hAnsi="Arial" w:cs="Arial"/>
                <w:color w:val="000000"/>
                <w:sz w:val="17"/>
                <w:szCs w:val="17"/>
              </w:rPr>
              <w:t>2.443.128</w:t>
            </w:r>
          </w:p>
        </w:tc>
      </w:tr>
      <w:tr w:rsidR="00345E7F" w:rsidRPr="00A96B0F" w14:paraId="76B08D23" w14:textId="77777777" w:rsidTr="001541F1">
        <w:trPr>
          <w:trHeight w:val="377"/>
        </w:trPr>
        <w:tc>
          <w:tcPr>
            <w:tcW w:w="1597" w:type="pct"/>
            <w:vAlign w:val="bottom"/>
          </w:tcPr>
          <w:p w14:paraId="1AA7821F" w14:textId="77777777" w:rsidR="00345E7F" w:rsidRPr="00A96B0F" w:rsidRDefault="00345E7F" w:rsidP="00C450F2">
            <w:pPr>
              <w:tabs>
                <w:tab w:val="right" w:pos="1202"/>
              </w:tabs>
              <w:suppressAutoHyphens/>
              <w:autoSpaceDN w:val="0"/>
              <w:outlineLvl w:val="0"/>
              <w:rPr>
                <w:rFonts w:ascii="Arial" w:eastAsia="Times New Roman" w:hAnsi="Arial" w:cs="Arial"/>
                <w:color w:val="000000" w:themeColor="text1"/>
                <w:spacing w:val="-2"/>
                <w:sz w:val="17"/>
                <w:szCs w:val="17"/>
              </w:rPr>
            </w:pPr>
            <w:bookmarkStart w:id="873" w:name="_Toc67330465"/>
            <w:r w:rsidRPr="00A96B0F">
              <w:rPr>
                <w:rFonts w:ascii="Arial" w:eastAsia="Times New Roman" w:hAnsi="Arial" w:cs="Arial"/>
                <w:color w:val="000000" w:themeColor="text1"/>
                <w:spacing w:val="-2"/>
                <w:sz w:val="17"/>
                <w:szCs w:val="17"/>
              </w:rPr>
              <w:t>Rezerviranja za garancije, preuzete i ostale obveze</w:t>
            </w:r>
            <w:bookmarkEnd w:id="873"/>
          </w:p>
        </w:tc>
        <w:tc>
          <w:tcPr>
            <w:tcW w:w="557" w:type="pct"/>
            <w:tcBorders>
              <w:top w:val="nil"/>
              <w:left w:val="nil"/>
              <w:right w:val="nil"/>
            </w:tcBorders>
            <w:shd w:val="clear" w:color="auto" w:fill="auto"/>
            <w:vAlign w:val="bottom"/>
          </w:tcPr>
          <w:p w14:paraId="2737A279" w14:textId="77777777" w:rsidR="00345E7F" w:rsidRPr="00C54F28" w:rsidRDefault="00345E7F" w:rsidP="00C450F2">
            <w:pPr>
              <w:tabs>
                <w:tab w:val="right" w:pos="1202"/>
              </w:tabs>
              <w:suppressAutoHyphens/>
              <w:autoSpaceDN w:val="0"/>
              <w:spacing w:line="240" w:lineRule="exact"/>
              <w:jc w:val="right"/>
              <w:outlineLvl w:val="0"/>
              <w:rPr>
                <w:rFonts w:ascii="Arial" w:eastAsia="Times New Roman" w:hAnsi="Arial" w:cs="Arial"/>
                <w:color w:val="000000"/>
                <w:sz w:val="17"/>
                <w:szCs w:val="17"/>
              </w:rPr>
            </w:pPr>
            <w:r>
              <w:rPr>
                <w:rFonts w:ascii="Arial" w:eastAsia="Times New Roman" w:hAnsi="Arial" w:cs="Arial"/>
                <w:color w:val="000000"/>
                <w:sz w:val="17"/>
                <w:szCs w:val="17"/>
              </w:rPr>
              <w:t>7.862</w:t>
            </w:r>
          </w:p>
        </w:tc>
        <w:tc>
          <w:tcPr>
            <w:tcW w:w="557" w:type="pct"/>
            <w:tcBorders>
              <w:top w:val="nil"/>
              <w:left w:val="nil"/>
              <w:right w:val="nil"/>
            </w:tcBorders>
            <w:shd w:val="clear" w:color="auto" w:fill="auto"/>
            <w:vAlign w:val="bottom"/>
          </w:tcPr>
          <w:p w14:paraId="1C60D32D" w14:textId="77777777" w:rsidR="00345E7F" w:rsidRPr="00C54F28" w:rsidRDefault="00345E7F" w:rsidP="00C450F2">
            <w:pPr>
              <w:tabs>
                <w:tab w:val="right" w:pos="1202"/>
              </w:tabs>
              <w:suppressAutoHyphens/>
              <w:autoSpaceDN w:val="0"/>
              <w:spacing w:line="240" w:lineRule="exact"/>
              <w:jc w:val="right"/>
              <w:outlineLvl w:val="0"/>
              <w:rPr>
                <w:rFonts w:ascii="Arial" w:eastAsia="Times New Roman" w:hAnsi="Arial" w:cs="Arial"/>
                <w:color w:val="000000"/>
                <w:sz w:val="17"/>
                <w:szCs w:val="17"/>
              </w:rPr>
            </w:pPr>
            <w:r>
              <w:rPr>
                <w:rFonts w:ascii="Arial" w:eastAsia="Times New Roman" w:hAnsi="Arial" w:cs="Arial"/>
                <w:color w:val="000000"/>
                <w:sz w:val="17"/>
                <w:szCs w:val="17"/>
              </w:rPr>
              <w:t>683</w:t>
            </w:r>
          </w:p>
        </w:tc>
        <w:tc>
          <w:tcPr>
            <w:tcW w:w="556" w:type="pct"/>
            <w:tcBorders>
              <w:top w:val="nil"/>
              <w:left w:val="nil"/>
              <w:right w:val="nil"/>
            </w:tcBorders>
            <w:shd w:val="clear" w:color="auto" w:fill="auto"/>
            <w:vAlign w:val="bottom"/>
          </w:tcPr>
          <w:p w14:paraId="4992294F" w14:textId="77777777" w:rsidR="00345E7F" w:rsidRPr="00C54F28" w:rsidRDefault="00345E7F" w:rsidP="00C450F2">
            <w:pPr>
              <w:tabs>
                <w:tab w:val="right" w:pos="1202"/>
              </w:tabs>
              <w:suppressAutoHyphens/>
              <w:autoSpaceDN w:val="0"/>
              <w:spacing w:line="240" w:lineRule="exact"/>
              <w:jc w:val="right"/>
              <w:outlineLvl w:val="0"/>
              <w:rPr>
                <w:rFonts w:ascii="Arial" w:eastAsia="Times New Roman" w:hAnsi="Arial" w:cs="Arial"/>
                <w:color w:val="000000"/>
                <w:sz w:val="17"/>
                <w:szCs w:val="17"/>
              </w:rPr>
            </w:pPr>
            <w:r>
              <w:rPr>
                <w:rFonts w:ascii="Arial" w:eastAsia="Times New Roman" w:hAnsi="Arial" w:cs="Arial"/>
                <w:color w:val="000000"/>
                <w:sz w:val="17"/>
                <w:szCs w:val="17"/>
              </w:rPr>
              <w:t>2.325</w:t>
            </w:r>
          </w:p>
        </w:tc>
        <w:tc>
          <w:tcPr>
            <w:tcW w:w="556" w:type="pct"/>
            <w:tcBorders>
              <w:top w:val="nil"/>
              <w:left w:val="nil"/>
              <w:right w:val="nil"/>
            </w:tcBorders>
            <w:shd w:val="clear" w:color="auto" w:fill="auto"/>
            <w:vAlign w:val="bottom"/>
          </w:tcPr>
          <w:p w14:paraId="07478BE0" w14:textId="77777777" w:rsidR="00345E7F" w:rsidRPr="00C54F28" w:rsidRDefault="00345E7F" w:rsidP="00C450F2">
            <w:pPr>
              <w:tabs>
                <w:tab w:val="right" w:pos="1202"/>
              </w:tabs>
              <w:suppressAutoHyphens/>
              <w:autoSpaceDN w:val="0"/>
              <w:spacing w:line="240" w:lineRule="exact"/>
              <w:jc w:val="right"/>
              <w:outlineLvl w:val="0"/>
              <w:rPr>
                <w:rFonts w:ascii="Arial" w:eastAsia="Times New Roman" w:hAnsi="Arial" w:cs="Arial"/>
                <w:color w:val="000000"/>
                <w:sz w:val="17"/>
                <w:szCs w:val="17"/>
              </w:rPr>
            </w:pPr>
            <w:r>
              <w:rPr>
                <w:rFonts w:ascii="Arial" w:eastAsia="Times New Roman" w:hAnsi="Arial" w:cs="Arial"/>
                <w:color w:val="000000"/>
                <w:sz w:val="17"/>
                <w:szCs w:val="17"/>
              </w:rPr>
              <w:t>5.112</w:t>
            </w:r>
          </w:p>
        </w:tc>
        <w:tc>
          <w:tcPr>
            <w:tcW w:w="556" w:type="pct"/>
            <w:tcBorders>
              <w:top w:val="nil"/>
              <w:left w:val="nil"/>
              <w:right w:val="nil"/>
            </w:tcBorders>
            <w:shd w:val="clear" w:color="auto" w:fill="auto"/>
            <w:vAlign w:val="bottom"/>
          </w:tcPr>
          <w:p w14:paraId="5ECDD17C" w14:textId="77777777" w:rsidR="00345E7F" w:rsidRPr="00C54F28" w:rsidRDefault="00345E7F" w:rsidP="00C450F2">
            <w:pPr>
              <w:tabs>
                <w:tab w:val="right" w:pos="1202"/>
              </w:tabs>
              <w:suppressAutoHyphens/>
              <w:autoSpaceDN w:val="0"/>
              <w:spacing w:line="240" w:lineRule="exact"/>
              <w:jc w:val="right"/>
              <w:outlineLvl w:val="0"/>
              <w:rPr>
                <w:rFonts w:ascii="Arial" w:eastAsia="Times New Roman" w:hAnsi="Arial" w:cs="Arial"/>
                <w:color w:val="000000"/>
                <w:sz w:val="17"/>
                <w:szCs w:val="17"/>
              </w:rPr>
            </w:pPr>
            <w:r>
              <w:rPr>
                <w:rFonts w:ascii="Arial" w:eastAsia="Times New Roman" w:hAnsi="Arial" w:cs="Arial"/>
                <w:color w:val="000000"/>
                <w:sz w:val="17"/>
                <w:szCs w:val="17"/>
              </w:rPr>
              <w:t>3.413</w:t>
            </w:r>
          </w:p>
        </w:tc>
        <w:tc>
          <w:tcPr>
            <w:tcW w:w="621" w:type="pct"/>
            <w:tcBorders>
              <w:top w:val="nil"/>
              <w:left w:val="nil"/>
              <w:right w:val="nil"/>
            </w:tcBorders>
            <w:shd w:val="clear" w:color="auto" w:fill="auto"/>
            <w:vAlign w:val="bottom"/>
          </w:tcPr>
          <w:p w14:paraId="18EA7C55" w14:textId="77777777" w:rsidR="00345E7F" w:rsidRPr="00C54F28" w:rsidRDefault="00345E7F" w:rsidP="00C450F2">
            <w:pPr>
              <w:tabs>
                <w:tab w:val="right" w:pos="1202"/>
              </w:tabs>
              <w:suppressAutoHyphens/>
              <w:autoSpaceDN w:val="0"/>
              <w:spacing w:line="240" w:lineRule="exact"/>
              <w:jc w:val="right"/>
              <w:outlineLvl w:val="0"/>
              <w:rPr>
                <w:rFonts w:ascii="Arial" w:eastAsia="Times New Roman" w:hAnsi="Arial" w:cs="Arial"/>
                <w:color w:val="000000"/>
                <w:sz w:val="17"/>
                <w:szCs w:val="17"/>
              </w:rPr>
            </w:pPr>
            <w:r>
              <w:rPr>
                <w:rFonts w:ascii="Arial" w:eastAsia="Times New Roman" w:hAnsi="Arial" w:cs="Arial"/>
                <w:color w:val="000000"/>
                <w:sz w:val="17"/>
                <w:szCs w:val="17"/>
              </w:rPr>
              <w:t>19.395</w:t>
            </w:r>
          </w:p>
        </w:tc>
      </w:tr>
      <w:tr w:rsidR="00345E7F" w:rsidRPr="00A96B0F" w14:paraId="3AB8017A" w14:textId="77777777" w:rsidTr="001541F1">
        <w:trPr>
          <w:trHeight w:hRule="exact" w:val="211"/>
        </w:trPr>
        <w:tc>
          <w:tcPr>
            <w:tcW w:w="1597" w:type="pct"/>
            <w:vAlign w:val="bottom"/>
          </w:tcPr>
          <w:p w14:paraId="6E2363C2" w14:textId="77777777" w:rsidR="00345E7F" w:rsidRPr="00A96B0F" w:rsidRDefault="00345E7F" w:rsidP="00C450F2">
            <w:pPr>
              <w:tabs>
                <w:tab w:val="right" w:pos="1202"/>
              </w:tabs>
              <w:suppressAutoHyphens/>
              <w:autoSpaceDN w:val="0"/>
              <w:outlineLvl w:val="0"/>
              <w:rPr>
                <w:rFonts w:ascii="Arial" w:eastAsia="Times New Roman" w:hAnsi="Arial" w:cs="Arial"/>
                <w:color w:val="000000" w:themeColor="text1"/>
                <w:sz w:val="17"/>
                <w:szCs w:val="17"/>
              </w:rPr>
            </w:pPr>
            <w:bookmarkStart w:id="874" w:name="_Toc67330472"/>
            <w:r w:rsidRPr="00A96B0F">
              <w:rPr>
                <w:rFonts w:ascii="Arial" w:eastAsia="Times New Roman" w:hAnsi="Arial" w:cs="Arial"/>
                <w:color w:val="000000" w:themeColor="text1"/>
                <w:spacing w:val="-2"/>
                <w:sz w:val="17"/>
                <w:szCs w:val="17"/>
              </w:rPr>
              <w:t>Ostale obveze</w:t>
            </w:r>
            <w:bookmarkEnd w:id="874"/>
          </w:p>
        </w:tc>
        <w:tc>
          <w:tcPr>
            <w:tcW w:w="557" w:type="pct"/>
            <w:tcBorders>
              <w:top w:val="nil"/>
              <w:left w:val="nil"/>
              <w:bottom w:val="single" w:sz="6" w:space="0" w:color="auto"/>
              <w:right w:val="nil"/>
            </w:tcBorders>
            <w:shd w:val="clear" w:color="auto" w:fill="auto"/>
            <w:vAlign w:val="bottom"/>
          </w:tcPr>
          <w:p w14:paraId="5EB706FB" w14:textId="77777777" w:rsidR="00345E7F" w:rsidRPr="00C54F28" w:rsidRDefault="00345E7F" w:rsidP="00C450F2">
            <w:pPr>
              <w:tabs>
                <w:tab w:val="right" w:pos="1202"/>
              </w:tabs>
              <w:suppressAutoHyphens/>
              <w:autoSpaceDN w:val="0"/>
              <w:spacing w:line="240" w:lineRule="exact"/>
              <w:jc w:val="right"/>
              <w:outlineLvl w:val="0"/>
              <w:rPr>
                <w:rFonts w:ascii="Arial" w:eastAsia="Times New Roman" w:hAnsi="Arial" w:cs="Arial"/>
                <w:color w:val="000000"/>
                <w:sz w:val="17"/>
                <w:szCs w:val="17"/>
              </w:rPr>
            </w:pPr>
            <w:r>
              <w:rPr>
                <w:rFonts w:ascii="Arial" w:eastAsia="Times New Roman" w:hAnsi="Arial" w:cs="Arial"/>
                <w:color w:val="000000"/>
                <w:sz w:val="17"/>
                <w:szCs w:val="17"/>
              </w:rPr>
              <w:t>30.646</w:t>
            </w:r>
          </w:p>
        </w:tc>
        <w:tc>
          <w:tcPr>
            <w:tcW w:w="557" w:type="pct"/>
            <w:tcBorders>
              <w:top w:val="nil"/>
              <w:left w:val="nil"/>
              <w:bottom w:val="single" w:sz="6" w:space="0" w:color="auto"/>
              <w:right w:val="nil"/>
            </w:tcBorders>
            <w:shd w:val="clear" w:color="auto" w:fill="auto"/>
            <w:vAlign w:val="bottom"/>
          </w:tcPr>
          <w:p w14:paraId="2E93AE9D" w14:textId="77777777" w:rsidR="00345E7F" w:rsidRPr="00C54F28" w:rsidRDefault="00345E7F" w:rsidP="00C450F2">
            <w:pPr>
              <w:tabs>
                <w:tab w:val="right" w:pos="1202"/>
              </w:tabs>
              <w:suppressAutoHyphens/>
              <w:autoSpaceDN w:val="0"/>
              <w:spacing w:line="240" w:lineRule="exact"/>
              <w:jc w:val="right"/>
              <w:outlineLvl w:val="0"/>
              <w:rPr>
                <w:rFonts w:ascii="Arial" w:eastAsia="Times New Roman" w:hAnsi="Arial" w:cs="Arial"/>
                <w:color w:val="000000"/>
                <w:sz w:val="17"/>
                <w:szCs w:val="17"/>
              </w:rPr>
            </w:pPr>
            <w:r>
              <w:rPr>
                <w:rFonts w:ascii="Arial" w:eastAsia="Times New Roman" w:hAnsi="Arial" w:cs="Arial"/>
                <w:color w:val="000000"/>
                <w:sz w:val="17"/>
                <w:szCs w:val="17"/>
              </w:rPr>
              <w:t>2.662</w:t>
            </w:r>
          </w:p>
        </w:tc>
        <w:tc>
          <w:tcPr>
            <w:tcW w:w="556" w:type="pct"/>
            <w:tcBorders>
              <w:top w:val="nil"/>
              <w:left w:val="nil"/>
              <w:bottom w:val="single" w:sz="6" w:space="0" w:color="auto"/>
              <w:right w:val="nil"/>
            </w:tcBorders>
            <w:shd w:val="clear" w:color="auto" w:fill="auto"/>
            <w:vAlign w:val="bottom"/>
          </w:tcPr>
          <w:p w14:paraId="729E984C" w14:textId="77777777" w:rsidR="00345E7F" w:rsidRPr="00C54F28" w:rsidRDefault="00345E7F" w:rsidP="00C450F2">
            <w:pPr>
              <w:tabs>
                <w:tab w:val="right" w:pos="1202"/>
              </w:tabs>
              <w:suppressAutoHyphens/>
              <w:autoSpaceDN w:val="0"/>
              <w:spacing w:line="240" w:lineRule="exact"/>
              <w:jc w:val="right"/>
              <w:outlineLvl w:val="0"/>
              <w:rPr>
                <w:rFonts w:ascii="Arial" w:eastAsia="Times New Roman" w:hAnsi="Arial" w:cs="Arial"/>
                <w:color w:val="000000"/>
                <w:sz w:val="17"/>
                <w:szCs w:val="17"/>
              </w:rPr>
            </w:pPr>
            <w:r>
              <w:rPr>
                <w:rFonts w:ascii="Arial" w:eastAsia="Times New Roman" w:hAnsi="Arial" w:cs="Arial"/>
                <w:color w:val="000000"/>
                <w:sz w:val="17"/>
                <w:szCs w:val="17"/>
              </w:rPr>
              <w:t>9.064</w:t>
            </w:r>
          </w:p>
        </w:tc>
        <w:tc>
          <w:tcPr>
            <w:tcW w:w="556" w:type="pct"/>
            <w:tcBorders>
              <w:top w:val="nil"/>
              <w:left w:val="nil"/>
              <w:bottom w:val="single" w:sz="6" w:space="0" w:color="auto"/>
              <w:right w:val="nil"/>
            </w:tcBorders>
            <w:shd w:val="clear" w:color="auto" w:fill="auto"/>
            <w:vAlign w:val="bottom"/>
          </w:tcPr>
          <w:p w14:paraId="49457E97" w14:textId="77777777" w:rsidR="00345E7F" w:rsidRPr="00C54F28" w:rsidRDefault="00345E7F" w:rsidP="00C450F2">
            <w:pPr>
              <w:tabs>
                <w:tab w:val="right" w:pos="1202"/>
              </w:tabs>
              <w:suppressAutoHyphens/>
              <w:autoSpaceDN w:val="0"/>
              <w:spacing w:line="240" w:lineRule="exact"/>
              <w:jc w:val="right"/>
              <w:outlineLvl w:val="0"/>
              <w:rPr>
                <w:rFonts w:ascii="Arial" w:eastAsia="Times New Roman" w:hAnsi="Arial" w:cs="Arial"/>
                <w:color w:val="000000"/>
                <w:sz w:val="17"/>
                <w:szCs w:val="17"/>
              </w:rPr>
            </w:pPr>
            <w:r>
              <w:rPr>
                <w:rFonts w:ascii="Arial" w:eastAsia="Times New Roman" w:hAnsi="Arial" w:cs="Arial"/>
                <w:color w:val="000000"/>
                <w:sz w:val="17"/>
                <w:szCs w:val="17"/>
              </w:rPr>
              <w:t>19.925</w:t>
            </w:r>
          </w:p>
        </w:tc>
        <w:tc>
          <w:tcPr>
            <w:tcW w:w="556" w:type="pct"/>
            <w:tcBorders>
              <w:top w:val="nil"/>
              <w:left w:val="nil"/>
              <w:bottom w:val="single" w:sz="6" w:space="0" w:color="auto"/>
              <w:right w:val="nil"/>
            </w:tcBorders>
            <w:shd w:val="clear" w:color="auto" w:fill="auto"/>
            <w:vAlign w:val="bottom"/>
          </w:tcPr>
          <w:p w14:paraId="0A163EC0" w14:textId="77777777" w:rsidR="00345E7F" w:rsidRPr="00C54F28" w:rsidRDefault="00345E7F" w:rsidP="00C450F2">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B05028">
              <w:rPr>
                <w:rFonts w:ascii="Arial" w:eastAsia="Times New Roman" w:hAnsi="Arial" w:cs="Arial"/>
                <w:sz w:val="17"/>
                <w:szCs w:val="17"/>
              </w:rPr>
              <w:t>13.298</w:t>
            </w:r>
          </w:p>
        </w:tc>
        <w:tc>
          <w:tcPr>
            <w:tcW w:w="621" w:type="pct"/>
            <w:tcBorders>
              <w:top w:val="nil"/>
              <w:left w:val="nil"/>
              <w:bottom w:val="single" w:sz="6" w:space="0" w:color="auto"/>
              <w:right w:val="nil"/>
            </w:tcBorders>
            <w:shd w:val="clear" w:color="auto" w:fill="auto"/>
            <w:vAlign w:val="bottom"/>
          </w:tcPr>
          <w:p w14:paraId="127201B4" w14:textId="77777777" w:rsidR="00345E7F" w:rsidRPr="00C54F28" w:rsidRDefault="00345E7F" w:rsidP="00C450F2">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B05028">
              <w:rPr>
                <w:rFonts w:ascii="Arial" w:eastAsia="Times New Roman" w:hAnsi="Arial" w:cs="Arial"/>
                <w:sz w:val="17"/>
                <w:szCs w:val="17"/>
              </w:rPr>
              <w:t>75.595</w:t>
            </w:r>
          </w:p>
        </w:tc>
      </w:tr>
      <w:tr w:rsidR="00345E7F" w:rsidRPr="00A96B0F" w14:paraId="4BA5BFAF" w14:textId="77777777" w:rsidTr="001541F1">
        <w:trPr>
          <w:trHeight w:hRule="exact" w:val="265"/>
        </w:trPr>
        <w:tc>
          <w:tcPr>
            <w:tcW w:w="1597" w:type="pct"/>
            <w:vAlign w:val="bottom"/>
          </w:tcPr>
          <w:p w14:paraId="401D69CE" w14:textId="77777777" w:rsidR="00345E7F" w:rsidRPr="00A96B0F" w:rsidRDefault="00345E7F" w:rsidP="00C450F2">
            <w:pPr>
              <w:tabs>
                <w:tab w:val="right" w:pos="1202"/>
              </w:tabs>
              <w:suppressAutoHyphens/>
              <w:autoSpaceDN w:val="0"/>
              <w:outlineLvl w:val="0"/>
              <w:rPr>
                <w:rFonts w:ascii="Arial" w:eastAsia="Times New Roman" w:hAnsi="Arial" w:cs="Arial"/>
                <w:b/>
                <w:bCs/>
                <w:color w:val="000000" w:themeColor="text1"/>
                <w:sz w:val="17"/>
                <w:szCs w:val="17"/>
              </w:rPr>
            </w:pPr>
            <w:bookmarkStart w:id="875" w:name="_Toc67330479"/>
            <w:r w:rsidRPr="00A96B0F">
              <w:rPr>
                <w:rFonts w:ascii="Arial" w:eastAsia="Times New Roman" w:hAnsi="Arial" w:cs="Arial"/>
                <w:b/>
                <w:bCs/>
                <w:color w:val="000000" w:themeColor="text1"/>
                <w:sz w:val="17"/>
                <w:szCs w:val="17"/>
              </w:rPr>
              <w:t>Ukupno</w:t>
            </w:r>
            <w:bookmarkEnd w:id="875"/>
          </w:p>
        </w:tc>
        <w:tc>
          <w:tcPr>
            <w:tcW w:w="557" w:type="pct"/>
            <w:tcBorders>
              <w:top w:val="single" w:sz="6" w:space="0" w:color="auto"/>
              <w:left w:val="nil"/>
              <w:bottom w:val="single" w:sz="12" w:space="0" w:color="auto"/>
              <w:right w:val="nil"/>
            </w:tcBorders>
            <w:shd w:val="clear" w:color="auto" w:fill="auto"/>
            <w:vAlign w:val="bottom"/>
          </w:tcPr>
          <w:p w14:paraId="4370DE6D" w14:textId="77777777" w:rsidR="00345E7F" w:rsidRPr="00C54F28" w:rsidRDefault="00345E7F" w:rsidP="00C450F2">
            <w:pPr>
              <w:tabs>
                <w:tab w:val="right" w:pos="1202"/>
              </w:tabs>
              <w:suppressAutoHyphens/>
              <w:autoSpaceDN w:val="0"/>
              <w:jc w:val="right"/>
              <w:outlineLvl w:val="0"/>
              <w:rPr>
                <w:rFonts w:ascii="Arial" w:eastAsia="Times New Roman" w:hAnsi="Arial" w:cs="Arial"/>
                <w:b/>
                <w:bCs/>
                <w:color w:val="000000"/>
                <w:sz w:val="17"/>
                <w:szCs w:val="17"/>
              </w:rPr>
            </w:pPr>
            <w:r>
              <w:rPr>
                <w:rFonts w:ascii="Arial" w:eastAsia="Times New Roman" w:hAnsi="Arial" w:cs="Arial"/>
                <w:b/>
                <w:bCs/>
                <w:color w:val="000000"/>
                <w:sz w:val="17"/>
                <w:szCs w:val="17"/>
              </w:rPr>
              <w:t>273.387</w:t>
            </w:r>
          </w:p>
        </w:tc>
        <w:tc>
          <w:tcPr>
            <w:tcW w:w="557" w:type="pct"/>
            <w:tcBorders>
              <w:top w:val="single" w:sz="6" w:space="0" w:color="auto"/>
              <w:left w:val="nil"/>
              <w:bottom w:val="single" w:sz="12" w:space="0" w:color="auto"/>
              <w:right w:val="nil"/>
            </w:tcBorders>
            <w:shd w:val="clear" w:color="auto" w:fill="auto"/>
            <w:vAlign w:val="bottom"/>
          </w:tcPr>
          <w:p w14:paraId="5C11C63A" w14:textId="77777777" w:rsidR="00345E7F" w:rsidRPr="00C54F28" w:rsidRDefault="00345E7F" w:rsidP="00C450F2">
            <w:pPr>
              <w:tabs>
                <w:tab w:val="right" w:pos="1202"/>
              </w:tabs>
              <w:suppressAutoHyphens/>
              <w:autoSpaceDN w:val="0"/>
              <w:jc w:val="right"/>
              <w:outlineLvl w:val="0"/>
              <w:rPr>
                <w:rFonts w:ascii="Arial" w:eastAsia="Times New Roman" w:hAnsi="Arial" w:cs="Arial"/>
                <w:b/>
                <w:bCs/>
                <w:color w:val="000000"/>
                <w:sz w:val="17"/>
                <w:szCs w:val="17"/>
              </w:rPr>
            </w:pPr>
            <w:r>
              <w:rPr>
                <w:rFonts w:ascii="Arial" w:eastAsia="Times New Roman" w:hAnsi="Arial" w:cs="Arial"/>
                <w:b/>
                <w:bCs/>
                <w:color w:val="000000"/>
                <w:sz w:val="17"/>
                <w:szCs w:val="17"/>
              </w:rPr>
              <w:t>69.675</w:t>
            </w:r>
          </w:p>
        </w:tc>
        <w:tc>
          <w:tcPr>
            <w:tcW w:w="556" w:type="pct"/>
            <w:tcBorders>
              <w:top w:val="single" w:sz="6" w:space="0" w:color="auto"/>
              <w:left w:val="nil"/>
              <w:bottom w:val="single" w:sz="12" w:space="0" w:color="auto"/>
              <w:right w:val="nil"/>
            </w:tcBorders>
            <w:shd w:val="clear" w:color="auto" w:fill="auto"/>
            <w:vAlign w:val="bottom"/>
          </w:tcPr>
          <w:p w14:paraId="30EE759D" w14:textId="77777777" w:rsidR="00345E7F" w:rsidRPr="00C54F28" w:rsidRDefault="00345E7F" w:rsidP="00C450F2">
            <w:pPr>
              <w:tabs>
                <w:tab w:val="right" w:pos="1202"/>
              </w:tabs>
              <w:suppressAutoHyphens/>
              <w:autoSpaceDN w:val="0"/>
              <w:jc w:val="right"/>
              <w:outlineLvl w:val="0"/>
              <w:rPr>
                <w:rFonts w:ascii="Arial" w:eastAsia="Times New Roman" w:hAnsi="Arial" w:cs="Arial"/>
                <w:b/>
                <w:bCs/>
                <w:color w:val="000000"/>
                <w:sz w:val="17"/>
                <w:szCs w:val="17"/>
              </w:rPr>
            </w:pPr>
            <w:r>
              <w:rPr>
                <w:rFonts w:ascii="Arial" w:eastAsia="Times New Roman" w:hAnsi="Arial" w:cs="Arial"/>
                <w:b/>
                <w:bCs/>
                <w:color w:val="000000"/>
                <w:sz w:val="17"/>
                <w:szCs w:val="17"/>
              </w:rPr>
              <w:t>332.609</w:t>
            </w:r>
          </w:p>
        </w:tc>
        <w:tc>
          <w:tcPr>
            <w:tcW w:w="556" w:type="pct"/>
            <w:tcBorders>
              <w:top w:val="single" w:sz="6" w:space="0" w:color="auto"/>
              <w:left w:val="nil"/>
              <w:bottom w:val="single" w:sz="12" w:space="0" w:color="auto"/>
              <w:right w:val="nil"/>
            </w:tcBorders>
            <w:shd w:val="clear" w:color="auto" w:fill="auto"/>
            <w:vAlign w:val="bottom"/>
          </w:tcPr>
          <w:p w14:paraId="4722DA02" w14:textId="77777777" w:rsidR="00345E7F" w:rsidRPr="00C54F28" w:rsidRDefault="00345E7F" w:rsidP="00C450F2">
            <w:pPr>
              <w:tabs>
                <w:tab w:val="right" w:pos="1202"/>
              </w:tabs>
              <w:suppressAutoHyphens/>
              <w:autoSpaceDN w:val="0"/>
              <w:jc w:val="right"/>
              <w:outlineLvl w:val="0"/>
              <w:rPr>
                <w:rFonts w:ascii="Arial" w:eastAsia="Times New Roman" w:hAnsi="Arial" w:cs="Arial"/>
                <w:b/>
                <w:bCs/>
                <w:color w:val="000000"/>
                <w:sz w:val="17"/>
                <w:szCs w:val="17"/>
              </w:rPr>
            </w:pPr>
            <w:r>
              <w:rPr>
                <w:rFonts w:ascii="Arial" w:eastAsia="Times New Roman" w:hAnsi="Arial" w:cs="Arial"/>
                <w:b/>
                <w:bCs/>
                <w:color w:val="000000"/>
                <w:sz w:val="17"/>
                <w:szCs w:val="17"/>
              </w:rPr>
              <w:t>767.848</w:t>
            </w:r>
          </w:p>
        </w:tc>
        <w:tc>
          <w:tcPr>
            <w:tcW w:w="556" w:type="pct"/>
            <w:tcBorders>
              <w:top w:val="single" w:sz="6" w:space="0" w:color="auto"/>
              <w:left w:val="nil"/>
              <w:bottom w:val="single" w:sz="12" w:space="0" w:color="auto"/>
              <w:right w:val="nil"/>
            </w:tcBorders>
            <w:shd w:val="clear" w:color="auto" w:fill="auto"/>
            <w:vAlign w:val="bottom"/>
          </w:tcPr>
          <w:p w14:paraId="1F124DA1" w14:textId="77777777" w:rsidR="00345E7F" w:rsidRPr="00C54F28" w:rsidRDefault="00345E7F" w:rsidP="00C450F2">
            <w:pPr>
              <w:tabs>
                <w:tab w:val="right" w:pos="1202"/>
              </w:tabs>
              <w:suppressAutoHyphens/>
              <w:autoSpaceDN w:val="0"/>
              <w:jc w:val="right"/>
              <w:outlineLvl w:val="0"/>
              <w:rPr>
                <w:rFonts w:ascii="Arial" w:eastAsia="Times New Roman" w:hAnsi="Arial" w:cs="Arial"/>
                <w:b/>
                <w:bCs/>
                <w:color w:val="000000"/>
                <w:sz w:val="17"/>
                <w:szCs w:val="17"/>
              </w:rPr>
            </w:pPr>
            <w:r>
              <w:rPr>
                <w:rFonts w:ascii="Arial" w:eastAsia="Times New Roman" w:hAnsi="Arial" w:cs="Arial"/>
                <w:b/>
                <w:bCs/>
                <w:color w:val="000000"/>
                <w:sz w:val="17"/>
                <w:szCs w:val="17"/>
              </w:rPr>
              <w:t>1.317.666</w:t>
            </w:r>
          </w:p>
        </w:tc>
        <w:tc>
          <w:tcPr>
            <w:tcW w:w="621" w:type="pct"/>
            <w:tcBorders>
              <w:top w:val="single" w:sz="6" w:space="0" w:color="auto"/>
              <w:left w:val="nil"/>
              <w:bottom w:val="single" w:sz="12" w:space="0" w:color="auto"/>
              <w:right w:val="nil"/>
            </w:tcBorders>
            <w:shd w:val="clear" w:color="auto" w:fill="auto"/>
            <w:vAlign w:val="bottom"/>
          </w:tcPr>
          <w:p w14:paraId="1C38D73B" w14:textId="77777777" w:rsidR="00345E7F" w:rsidRPr="00C54F28" w:rsidRDefault="00345E7F" w:rsidP="00C450F2">
            <w:pPr>
              <w:tabs>
                <w:tab w:val="right" w:pos="1202"/>
              </w:tabs>
              <w:suppressAutoHyphens/>
              <w:autoSpaceDN w:val="0"/>
              <w:jc w:val="right"/>
              <w:outlineLvl w:val="0"/>
              <w:rPr>
                <w:rFonts w:ascii="Arial" w:eastAsia="Times New Roman" w:hAnsi="Arial" w:cs="Arial"/>
                <w:b/>
                <w:bCs/>
                <w:color w:val="000000"/>
                <w:sz w:val="17"/>
                <w:szCs w:val="17"/>
              </w:rPr>
            </w:pPr>
            <w:r>
              <w:rPr>
                <w:rFonts w:ascii="Arial" w:eastAsia="Times New Roman" w:hAnsi="Arial" w:cs="Arial"/>
                <w:b/>
                <w:bCs/>
                <w:color w:val="000000"/>
                <w:sz w:val="17"/>
                <w:szCs w:val="17"/>
              </w:rPr>
              <w:t>2.761.185</w:t>
            </w:r>
          </w:p>
        </w:tc>
      </w:tr>
      <w:tr w:rsidR="00345E7F" w:rsidRPr="00A96B0F" w14:paraId="43975232" w14:textId="77777777" w:rsidTr="00C450F2">
        <w:trPr>
          <w:trHeight w:hRule="exact" w:val="275"/>
        </w:trPr>
        <w:tc>
          <w:tcPr>
            <w:tcW w:w="1597" w:type="pct"/>
            <w:vAlign w:val="bottom"/>
          </w:tcPr>
          <w:p w14:paraId="30B780D4" w14:textId="77777777" w:rsidR="00345E7F" w:rsidRPr="00A96B0F" w:rsidRDefault="00345E7F" w:rsidP="00C450F2">
            <w:pPr>
              <w:tabs>
                <w:tab w:val="right" w:pos="1202"/>
              </w:tabs>
              <w:suppressAutoHyphens/>
              <w:autoSpaceDN w:val="0"/>
              <w:spacing w:line="340" w:lineRule="exact"/>
              <w:outlineLvl w:val="0"/>
              <w:rPr>
                <w:rFonts w:ascii="Arial" w:eastAsia="Times New Roman" w:hAnsi="Arial" w:cs="Arial"/>
                <w:b/>
                <w:bCs/>
                <w:color w:val="000000" w:themeColor="text1"/>
                <w:sz w:val="17"/>
                <w:szCs w:val="17"/>
              </w:rPr>
            </w:pPr>
          </w:p>
        </w:tc>
        <w:tc>
          <w:tcPr>
            <w:tcW w:w="557" w:type="pct"/>
            <w:tcBorders>
              <w:top w:val="nil"/>
              <w:left w:val="nil"/>
              <w:right w:val="nil"/>
            </w:tcBorders>
            <w:shd w:val="clear" w:color="auto" w:fill="auto"/>
            <w:vAlign w:val="bottom"/>
          </w:tcPr>
          <w:p w14:paraId="0AD62035" w14:textId="77777777" w:rsidR="00345E7F" w:rsidRPr="00A96B0F" w:rsidRDefault="00345E7F" w:rsidP="00C450F2">
            <w:pPr>
              <w:tabs>
                <w:tab w:val="right" w:pos="1202"/>
              </w:tabs>
              <w:suppressAutoHyphens/>
              <w:autoSpaceDN w:val="0"/>
              <w:spacing w:line="340" w:lineRule="exact"/>
              <w:jc w:val="right"/>
              <w:outlineLvl w:val="0"/>
              <w:rPr>
                <w:rFonts w:ascii="Arial" w:eastAsia="Times New Roman" w:hAnsi="Arial" w:cs="Arial"/>
                <w:b/>
                <w:color w:val="000000" w:themeColor="text1"/>
                <w:sz w:val="17"/>
                <w:szCs w:val="17"/>
              </w:rPr>
            </w:pPr>
          </w:p>
        </w:tc>
        <w:tc>
          <w:tcPr>
            <w:tcW w:w="557" w:type="pct"/>
            <w:tcBorders>
              <w:top w:val="nil"/>
              <w:left w:val="nil"/>
              <w:right w:val="nil"/>
            </w:tcBorders>
            <w:shd w:val="clear" w:color="auto" w:fill="auto"/>
            <w:vAlign w:val="bottom"/>
          </w:tcPr>
          <w:p w14:paraId="539E46E7" w14:textId="77777777" w:rsidR="00345E7F" w:rsidRPr="00A96B0F" w:rsidRDefault="00345E7F" w:rsidP="00C450F2">
            <w:pPr>
              <w:tabs>
                <w:tab w:val="right" w:pos="1202"/>
              </w:tabs>
              <w:suppressAutoHyphens/>
              <w:autoSpaceDN w:val="0"/>
              <w:spacing w:line="340" w:lineRule="exact"/>
              <w:jc w:val="right"/>
              <w:outlineLvl w:val="0"/>
              <w:rPr>
                <w:rFonts w:ascii="Arial" w:eastAsia="Times New Roman" w:hAnsi="Arial" w:cs="Arial"/>
                <w:b/>
                <w:color w:val="000000" w:themeColor="text1"/>
                <w:sz w:val="17"/>
                <w:szCs w:val="17"/>
              </w:rPr>
            </w:pPr>
          </w:p>
        </w:tc>
        <w:tc>
          <w:tcPr>
            <w:tcW w:w="556" w:type="pct"/>
            <w:tcBorders>
              <w:top w:val="nil"/>
              <w:left w:val="nil"/>
              <w:right w:val="nil"/>
            </w:tcBorders>
            <w:shd w:val="clear" w:color="auto" w:fill="auto"/>
            <w:vAlign w:val="bottom"/>
          </w:tcPr>
          <w:p w14:paraId="7A12E7DA" w14:textId="77777777" w:rsidR="00345E7F" w:rsidRPr="00A96B0F" w:rsidRDefault="00345E7F" w:rsidP="00C450F2">
            <w:pPr>
              <w:tabs>
                <w:tab w:val="right" w:pos="1202"/>
              </w:tabs>
              <w:suppressAutoHyphens/>
              <w:autoSpaceDN w:val="0"/>
              <w:spacing w:line="340" w:lineRule="exact"/>
              <w:jc w:val="right"/>
              <w:outlineLvl w:val="0"/>
              <w:rPr>
                <w:rFonts w:ascii="Arial" w:eastAsia="Times New Roman" w:hAnsi="Arial" w:cs="Arial"/>
                <w:b/>
                <w:color w:val="000000" w:themeColor="text1"/>
                <w:sz w:val="17"/>
                <w:szCs w:val="17"/>
              </w:rPr>
            </w:pPr>
          </w:p>
        </w:tc>
        <w:tc>
          <w:tcPr>
            <w:tcW w:w="556" w:type="pct"/>
            <w:tcBorders>
              <w:top w:val="nil"/>
              <w:left w:val="nil"/>
              <w:right w:val="nil"/>
            </w:tcBorders>
            <w:shd w:val="clear" w:color="auto" w:fill="auto"/>
            <w:vAlign w:val="bottom"/>
          </w:tcPr>
          <w:p w14:paraId="42559187" w14:textId="77777777" w:rsidR="00345E7F" w:rsidRPr="00A96B0F" w:rsidRDefault="00345E7F" w:rsidP="00C450F2">
            <w:pPr>
              <w:tabs>
                <w:tab w:val="right" w:pos="1202"/>
              </w:tabs>
              <w:suppressAutoHyphens/>
              <w:autoSpaceDN w:val="0"/>
              <w:spacing w:line="340" w:lineRule="exact"/>
              <w:jc w:val="right"/>
              <w:outlineLvl w:val="0"/>
              <w:rPr>
                <w:rFonts w:ascii="Arial" w:eastAsia="Times New Roman" w:hAnsi="Arial" w:cs="Arial"/>
                <w:b/>
                <w:color w:val="000000" w:themeColor="text1"/>
                <w:sz w:val="17"/>
                <w:szCs w:val="17"/>
              </w:rPr>
            </w:pPr>
          </w:p>
        </w:tc>
        <w:tc>
          <w:tcPr>
            <w:tcW w:w="556" w:type="pct"/>
            <w:tcBorders>
              <w:top w:val="nil"/>
              <w:left w:val="nil"/>
              <w:right w:val="nil"/>
            </w:tcBorders>
            <w:shd w:val="clear" w:color="auto" w:fill="auto"/>
            <w:vAlign w:val="bottom"/>
          </w:tcPr>
          <w:p w14:paraId="67BCC148" w14:textId="77777777" w:rsidR="00345E7F" w:rsidRPr="00A96B0F" w:rsidRDefault="00345E7F" w:rsidP="00C450F2">
            <w:pPr>
              <w:tabs>
                <w:tab w:val="right" w:pos="1202"/>
              </w:tabs>
              <w:suppressAutoHyphens/>
              <w:autoSpaceDN w:val="0"/>
              <w:spacing w:line="340" w:lineRule="exact"/>
              <w:jc w:val="right"/>
              <w:outlineLvl w:val="0"/>
              <w:rPr>
                <w:rFonts w:ascii="Arial" w:eastAsia="Times New Roman" w:hAnsi="Arial" w:cs="Arial"/>
                <w:b/>
                <w:color w:val="000000" w:themeColor="text1"/>
                <w:sz w:val="17"/>
                <w:szCs w:val="17"/>
              </w:rPr>
            </w:pPr>
          </w:p>
        </w:tc>
        <w:tc>
          <w:tcPr>
            <w:tcW w:w="621" w:type="pct"/>
            <w:tcBorders>
              <w:top w:val="nil"/>
              <w:left w:val="nil"/>
              <w:right w:val="nil"/>
            </w:tcBorders>
            <w:shd w:val="clear" w:color="auto" w:fill="auto"/>
            <w:vAlign w:val="bottom"/>
          </w:tcPr>
          <w:p w14:paraId="4F4FCDCF" w14:textId="77777777" w:rsidR="00345E7F" w:rsidRPr="00A96B0F" w:rsidRDefault="00345E7F" w:rsidP="00C450F2">
            <w:pPr>
              <w:tabs>
                <w:tab w:val="right" w:pos="1202"/>
              </w:tabs>
              <w:suppressAutoHyphens/>
              <w:autoSpaceDN w:val="0"/>
              <w:spacing w:line="340" w:lineRule="exact"/>
              <w:jc w:val="right"/>
              <w:outlineLvl w:val="0"/>
              <w:rPr>
                <w:rFonts w:ascii="Arial" w:eastAsia="Times New Roman" w:hAnsi="Arial" w:cs="Arial"/>
                <w:b/>
                <w:color w:val="000000" w:themeColor="text1"/>
                <w:sz w:val="17"/>
                <w:szCs w:val="17"/>
              </w:rPr>
            </w:pPr>
          </w:p>
        </w:tc>
      </w:tr>
      <w:tr w:rsidR="00345E7F" w:rsidRPr="00A96B0F" w14:paraId="183B8D6D" w14:textId="77777777" w:rsidTr="00C450F2">
        <w:trPr>
          <w:trHeight w:hRule="exact" w:val="211"/>
        </w:trPr>
        <w:tc>
          <w:tcPr>
            <w:tcW w:w="1597" w:type="pct"/>
            <w:tcBorders>
              <w:top w:val="nil"/>
              <w:left w:val="nil"/>
              <w:bottom w:val="nil"/>
              <w:right w:val="nil"/>
            </w:tcBorders>
            <w:shd w:val="clear" w:color="auto" w:fill="auto"/>
            <w:vAlign w:val="bottom"/>
          </w:tcPr>
          <w:p w14:paraId="1F391365" w14:textId="77777777" w:rsidR="00345E7F" w:rsidRPr="00A96B0F" w:rsidRDefault="00345E7F" w:rsidP="00C450F2">
            <w:pPr>
              <w:tabs>
                <w:tab w:val="right" w:pos="1202"/>
              </w:tabs>
              <w:suppressAutoHyphens/>
              <w:autoSpaceDN w:val="0"/>
              <w:outlineLvl w:val="0"/>
              <w:rPr>
                <w:rFonts w:ascii="Arial" w:eastAsia="Times New Roman" w:hAnsi="Arial" w:cs="Arial"/>
                <w:b/>
                <w:bCs/>
                <w:color w:val="000000" w:themeColor="text1"/>
                <w:sz w:val="17"/>
                <w:szCs w:val="17"/>
              </w:rPr>
            </w:pPr>
            <w:bookmarkStart w:id="876" w:name="_Toc67330486"/>
            <w:r w:rsidRPr="00A96B0F">
              <w:rPr>
                <w:rFonts w:ascii="Arial" w:eastAsia="Times New Roman" w:hAnsi="Arial" w:cs="Arial"/>
                <w:b/>
                <w:bCs/>
                <w:color w:val="000000" w:themeColor="text1"/>
                <w:sz w:val="17"/>
                <w:szCs w:val="17"/>
              </w:rPr>
              <w:t>Garancije i preuzete obveze</w:t>
            </w:r>
            <w:bookmarkEnd w:id="876"/>
          </w:p>
        </w:tc>
        <w:tc>
          <w:tcPr>
            <w:tcW w:w="557" w:type="pct"/>
            <w:tcBorders>
              <w:top w:val="nil"/>
              <w:left w:val="nil"/>
              <w:bottom w:val="nil"/>
              <w:right w:val="nil"/>
            </w:tcBorders>
            <w:shd w:val="clear" w:color="auto" w:fill="auto"/>
            <w:vAlign w:val="bottom"/>
          </w:tcPr>
          <w:p w14:paraId="6BA9CB40" w14:textId="77777777" w:rsidR="00345E7F" w:rsidRPr="00A96B0F" w:rsidRDefault="00345E7F" w:rsidP="00C450F2">
            <w:pPr>
              <w:tabs>
                <w:tab w:val="right" w:pos="1202"/>
              </w:tabs>
              <w:suppressAutoHyphens/>
              <w:autoSpaceDN w:val="0"/>
              <w:jc w:val="right"/>
              <w:outlineLvl w:val="0"/>
              <w:rPr>
                <w:rFonts w:ascii="Arial" w:eastAsia="Times New Roman" w:hAnsi="Arial" w:cs="Arial"/>
                <w:b/>
                <w:color w:val="000000" w:themeColor="text1"/>
                <w:sz w:val="17"/>
                <w:szCs w:val="17"/>
              </w:rPr>
            </w:pPr>
          </w:p>
        </w:tc>
        <w:tc>
          <w:tcPr>
            <w:tcW w:w="557" w:type="pct"/>
            <w:tcBorders>
              <w:top w:val="nil"/>
              <w:left w:val="nil"/>
              <w:bottom w:val="nil"/>
              <w:right w:val="nil"/>
            </w:tcBorders>
            <w:shd w:val="clear" w:color="auto" w:fill="auto"/>
            <w:vAlign w:val="bottom"/>
          </w:tcPr>
          <w:p w14:paraId="6BE753FA" w14:textId="77777777" w:rsidR="00345E7F" w:rsidRPr="00A96B0F" w:rsidRDefault="00345E7F" w:rsidP="00C450F2">
            <w:pPr>
              <w:tabs>
                <w:tab w:val="right" w:pos="1202"/>
              </w:tabs>
              <w:suppressAutoHyphens/>
              <w:autoSpaceDN w:val="0"/>
              <w:jc w:val="right"/>
              <w:outlineLvl w:val="0"/>
              <w:rPr>
                <w:rFonts w:ascii="Arial" w:eastAsia="Times New Roman" w:hAnsi="Arial" w:cs="Arial"/>
                <w:b/>
                <w:color w:val="000000" w:themeColor="text1"/>
                <w:sz w:val="17"/>
                <w:szCs w:val="17"/>
              </w:rPr>
            </w:pPr>
          </w:p>
        </w:tc>
        <w:tc>
          <w:tcPr>
            <w:tcW w:w="556" w:type="pct"/>
            <w:tcBorders>
              <w:top w:val="nil"/>
              <w:left w:val="nil"/>
              <w:bottom w:val="nil"/>
              <w:right w:val="nil"/>
            </w:tcBorders>
            <w:shd w:val="clear" w:color="auto" w:fill="auto"/>
            <w:vAlign w:val="bottom"/>
          </w:tcPr>
          <w:p w14:paraId="248D963B" w14:textId="77777777" w:rsidR="00345E7F" w:rsidRPr="00A96B0F" w:rsidRDefault="00345E7F" w:rsidP="00C450F2">
            <w:pPr>
              <w:tabs>
                <w:tab w:val="right" w:pos="1202"/>
              </w:tabs>
              <w:suppressAutoHyphens/>
              <w:autoSpaceDN w:val="0"/>
              <w:jc w:val="right"/>
              <w:outlineLvl w:val="0"/>
              <w:rPr>
                <w:rFonts w:ascii="Arial" w:eastAsia="Times New Roman" w:hAnsi="Arial" w:cs="Arial"/>
                <w:b/>
                <w:color w:val="000000" w:themeColor="text1"/>
                <w:sz w:val="17"/>
                <w:szCs w:val="17"/>
              </w:rPr>
            </w:pPr>
          </w:p>
        </w:tc>
        <w:tc>
          <w:tcPr>
            <w:tcW w:w="556" w:type="pct"/>
            <w:tcBorders>
              <w:top w:val="nil"/>
              <w:left w:val="nil"/>
              <w:bottom w:val="nil"/>
              <w:right w:val="nil"/>
            </w:tcBorders>
            <w:shd w:val="clear" w:color="auto" w:fill="auto"/>
            <w:vAlign w:val="bottom"/>
          </w:tcPr>
          <w:p w14:paraId="66C92B60" w14:textId="77777777" w:rsidR="00345E7F" w:rsidRPr="00A96B0F" w:rsidRDefault="00345E7F" w:rsidP="00C450F2">
            <w:pPr>
              <w:tabs>
                <w:tab w:val="right" w:pos="1202"/>
              </w:tabs>
              <w:suppressAutoHyphens/>
              <w:autoSpaceDN w:val="0"/>
              <w:jc w:val="right"/>
              <w:outlineLvl w:val="0"/>
              <w:rPr>
                <w:rFonts w:ascii="Arial" w:eastAsia="Times New Roman" w:hAnsi="Arial" w:cs="Arial"/>
                <w:b/>
                <w:color w:val="000000" w:themeColor="text1"/>
                <w:sz w:val="17"/>
                <w:szCs w:val="17"/>
              </w:rPr>
            </w:pPr>
          </w:p>
        </w:tc>
        <w:tc>
          <w:tcPr>
            <w:tcW w:w="556" w:type="pct"/>
            <w:tcBorders>
              <w:top w:val="nil"/>
              <w:left w:val="nil"/>
              <w:bottom w:val="nil"/>
              <w:right w:val="nil"/>
            </w:tcBorders>
            <w:shd w:val="clear" w:color="auto" w:fill="auto"/>
            <w:vAlign w:val="bottom"/>
          </w:tcPr>
          <w:p w14:paraId="4E91E8D3" w14:textId="77777777" w:rsidR="00345E7F" w:rsidRPr="00A96B0F" w:rsidRDefault="00345E7F" w:rsidP="00C450F2">
            <w:pPr>
              <w:tabs>
                <w:tab w:val="right" w:pos="1202"/>
              </w:tabs>
              <w:suppressAutoHyphens/>
              <w:autoSpaceDN w:val="0"/>
              <w:jc w:val="right"/>
              <w:outlineLvl w:val="0"/>
              <w:rPr>
                <w:rFonts w:ascii="Arial" w:eastAsia="Times New Roman" w:hAnsi="Arial" w:cs="Arial"/>
                <w:b/>
                <w:color w:val="000000" w:themeColor="text1"/>
                <w:sz w:val="17"/>
                <w:szCs w:val="17"/>
              </w:rPr>
            </w:pPr>
          </w:p>
        </w:tc>
        <w:tc>
          <w:tcPr>
            <w:tcW w:w="621" w:type="pct"/>
            <w:tcBorders>
              <w:top w:val="nil"/>
              <w:left w:val="nil"/>
              <w:bottom w:val="nil"/>
              <w:right w:val="nil"/>
            </w:tcBorders>
            <w:shd w:val="clear" w:color="auto" w:fill="auto"/>
            <w:vAlign w:val="bottom"/>
          </w:tcPr>
          <w:p w14:paraId="4E9DD685" w14:textId="77777777" w:rsidR="00345E7F" w:rsidRPr="00A96B0F" w:rsidRDefault="00345E7F" w:rsidP="00C450F2">
            <w:pPr>
              <w:tabs>
                <w:tab w:val="right" w:pos="1202"/>
              </w:tabs>
              <w:suppressAutoHyphens/>
              <w:autoSpaceDN w:val="0"/>
              <w:jc w:val="right"/>
              <w:outlineLvl w:val="0"/>
              <w:rPr>
                <w:rFonts w:ascii="Arial" w:eastAsia="Times New Roman" w:hAnsi="Arial" w:cs="Arial"/>
                <w:b/>
                <w:color w:val="000000" w:themeColor="text1"/>
                <w:sz w:val="17"/>
                <w:szCs w:val="17"/>
              </w:rPr>
            </w:pPr>
          </w:p>
        </w:tc>
      </w:tr>
      <w:tr w:rsidR="00345E7F" w:rsidRPr="00A96B0F" w14:paraId="4F1F33AA" w14:textId="77777777" w:rsidTr="00C450F2">
        <w:trPr>
          <w:trHeight w:hRule="exact" w:val="211"/>
        </w:trPr>
        <w:tc>
          <w:tcPr>
            <w:tcW w:w="1597" w:type="pct"/>
            <w:tcBorders>
              <w:top w:val="nil"/>
              <w:left w:val="nil"/>
              <w:bottom w:val="nil"/>
              <w:right w:val="nil"/>
            </w:tcBorders>
            <w:shd w:val="clear" w:color="auto" w:fill="auto"/>
            <w:vAlign w:val="bottom"/>
          </w:tcPr>
          <w:p w14:paraId="3FAD51A9" w14:textId="77777777" w:rsidR="00345E7F" w:rsidRPr="00A96B0F" w:rsidRDefault="00345E7F" w:rsidP="00C450F2">
            <w:pPr>
              <w:tabs>
                <w:tab w:val="right" w:pos="1202"/>
              </w:tabs>
              <w:suppressAutoHyphens/>
              <w:autoSpaceDN w:val="0"/>
              <w:outlineLvl w:val="0"/>
              <w:rPr>
                <w:rFonts w:ascii="Arial" w:eastAsia="Times New Roman" w:hAnsi="Arial" w:cs="Arial"/>
                <w:b/>
                <w:bCs/>
                <w:color w:val="000000" w:themeColor="text1"/>
                <w:sz w:val="17"/>
                <w:szCs w:val="17"/>
              </w:rPr>
            </w:pPr>
            <w:bookmarkStart w:id="877" w:name="_Toc67330487"/>
            <w:r w:rsidRPr="00A96B0F">
              <w:rPr>
                <w:rFonts w:ascii="Arial" w:eastAsia="Calibri" w:hAnsi="Arial" w:cs="Arial"/>
                <w:color w:val="000000" w:themeColor="text1"/>
                <w:spacing w:val="-2"/>
                <w:sz w:val="17"/>
                <w:szCs w:val="17"/>
              </w:rPr>
              <w:t xml:space="preserve">Izdane garancije </w:t>
            </w:r>
            <w:bookmarkEnd w:id="877"/>
          </w:p>
        </w:tc>
        <w:tc>
          <w:tcPr>
            <w:tcW w:w="557" w:type="pct"/>
            <w:tcBorders>
              <w:top w:val="nil"/>
              <w:left w:val="nil"/>
              <w:bottom w:val="nil"/>
              <w:right w:val="nil"/>
            </w:tcBorders>
            <w:shd w:val="clear" w:color="auto" w:fill="auto"/>
            <w:vAlign w:val="bottom"/>
          </w:tcPr>
          <w:p w14:paraId="772289AC" w14:textId="77777777" w:rsidR="00345E7F" w:rsidRPr="00A96B0F" w:rsidRDefault="00345E7F" w:rsidP="00C450F2">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Pr>
                <w:rFonts w:ascii="Arial" w:eastAsia="Times New Roman" w:hAnsi="Arial" w:cs="Arial"/>
                <w:color w:val="000000"/>
                <w:sz w:val="17"/>
                <w:szCs w:val="17"/>
              </w:rPr>
              <w:t xml:space="preserve">49.891                          </w:t>
            </w:r>
          </w:p>
        </w:tc>
        <w:tc>
          <w:tcPr>
            <w:tcW w:w="557" w:type="pct"/>
            <w:tcBorders>
              <w:top w:val="nil"/>
              <w:left w:val="nil"/>
              <w:bottom w:val="nil"/>
              <w:right w:val="nil"/>
            </w:tcBorders>
            <w:shd w:val="clear" w:color="auto" w:fill="auto"/>
            <w:vAlign w:val="bottom"/>
          </w:tcPr>
          <w:p w14:paraId="03087E0E" w14:textId="77777777" w:rsidR="00345E7F" w:rsidRPr="00A96B0F" w:rsidRDefault="00345E7F" w:rsidP="00C450F2">
            <w:pPr>
              <w:suppressAutoHyphens/>
              <w:autoSpaceDN w:val="0"/>
              <w:jc w:val="right"/>
              <w:rPr>
                <w:rFonts w:ascii="Arial" w:eastAsia="Times New Roman" w:hAnsi="Arial" w:cs="Arial"/>
                <w:color w:val="000000" w:themeColor="text1"/>
                <w:sz w:val="17"/>
                <w:szCs w:val="17"/>
              </w:rPr>
            </w:pPr>
            <w:r>
              <w:rPr>
                <w:rFonts w:ascii="Arial" w:eastAsia="Times New Roman" w:hAnsi="Arial" w:cs="Arial"/>
                <w:color w:val="000000"/>
                <w:sz w:val="17"/>
                <w:szCs w:val="17"/>
              </w:rPr>
              <w:t>-</w:t>
            </w:r>
          </w:p>
        </w:tc>
        <w:tc>
          <w:tcPr>
            <w:tcW w:w="556" w:type="pct"/>
            <w:tcBorders>
              <w:top w:val="nil"/>
              <w:left w:val="nil"/>
              <w:bottom w:val="nil"/>
              <w:right w:val="nil"/>
            </w:tcBorders>
            <w:shd w:val="clear" w:color="auto" w:fill="auto"/>
            <w:vAlign w:val="bottom"/>
          </w:tcPr>
          <w:p w14:paraId="77D88838" w14:textId="77777777" w:rsidR="00345E7F" w:rsidRPr="00A96B0F" w:rsidRDefault="00345E7F" w:rsidP="00C450F2">
            <w:pPr>
              <w:suppressAutoHyphens/>
              <w:autoSpaceDN w:val="0"/>
              <w:jc w:val="right"/>
              <w:rPr>
                <w:rFonts w:ascii="Arial" w:eastAsia="Times New Roman" w:hAnsi="Arial" w:cs="Arial"/>
                <w:color w:val="000000" w:themeColor="text1"/>
                <w:sz w:val="17"/>
                <w:szCs w:val="17"/>
              </w:rPr>
            </w:pPr>
            <w:r>
              <w:rPr>
                <w:rFonts w:ascii="Arial" w:eastAsia="Times New Roman" w:hAnsi="Arial" w:cs="Arial"/>
                <w:color w:val="000000"/>
                <w:sz w:val="17"/>
                <w:szCs w:val="17"/>
              </w:rPr>
              <w:t>-</w:t>
            </w:r>
          </w:p>
        </w:tc>
        <w:tc>
          <w:tcPr>
            <w:tcW w:w="556" w:type="pct"/>
            <w:tcBorders>
              <w:top w:val="nil"/>
              <w:left w:val="nil"/>
              <w:bottom w:val="nil"/>
              <w:right w:val="nil"/>
            </w:tcBorders>
            <w:shd w:val="clear" w:color="auto" w:fill="auto"/>
            <w:vAlign w:val="bottom"/>
          </w:tcPr>
          <w:p w14:paraId="48EEC1D5" w14:textId="77777777" w:rsidR="00345E7F" w:rsidRPr="00A96B0F" w:rsidRDefault="00345E7F" w:rsidP="00C450F2">
            <w:pPr>
              <w:suppressAutoHyphens/>
              <w:autoSpaceDN w:val="0"/>
              <w:jc w:val="right"/>
              <w:rPr>
                <w:rFonts w:ascii="Arial" w:eastAsia="Times New Roman" w:hAnsi="Arial" w:cs="Arial"/>
                <w:color w:val="000000" w:themeColor="text1"/>
                <w:sz w:val="17"/>
                <w:szCs w:val="17"/>
              </w:rPr>
            </w:pPr>
            <w:r>
              <w:rPr>
                <w:rFonts w:ascii="Arial" w:eastAsia="Times New Roman" w:hAnsi="Arial" w:cs="Arial"/>
                <w:color w:val="000000"/>
                <w:sz w:val="17"/>
                <w:szCs w:val="17"/>
              </w:rPr>
              <w:t>-</w:t>
            </w:r>
          </w:p>
        </w:tc>
        <w:tc>
          <w:tcPr>
            <w:tcW w:w="556" w:type="pct"/>
            <w:tcBorders>
              <w:top w:val="nil"/>
              <w:left w:val="nil"/>
              <w:bottom w:val="nil"/>
              <w:right w:val="nil"/>
            </w:tcBorders>
            <w:shd w:val="clear" w:color="auto" w:fill="auto"/>
            <w:vAlign w:val="bottom"/>
          </w:tcPr>
          <w:p w14:paraId="0A8EF21B" w14:textId="77777777" w:rsidR="00345E7F" w:rsidRPr="00A96B0F" w:rsidRDefault="00345E7F" w:rsidP="00C450F2">
            <w:pPr>
              <w:suppressAutoHyphens/>
              <w:autoSpaceDN w:val="0"/>
              <w:jc w:val="right"/>
              <w:rPr>
                <w:rFonts w:ascii="Arial" w:eastAsia="Times New Roman" w:hAnsi="Arial" w:cs="Arial"/>
                <w:color w:val="000000" w:themeColor="text1"/>
                <w:sz w:val="17"/>
                <w:szCs w:val="17"/>
              </w:rPr>
            </w:pPr>
            <w:r>
              <w:rPr>
                <w:rFonts w:ascii="Arial" w:eastAsia="Times New Roman" w:hAnsi="Arial" w:cs="Arial"/>
                <w:color w:val="000000"/>
                <w:sz w:val="17"/>
                <w:szCs w:val="17"/>
              </w:rPr>
              <w:t>-</w:t>
            </w:r>
          </w:p>
        </w:tc>
        <w:tc>
          <w:tcPr>
            <w:tcW w:w="621" w:type="pct"/>
            <w:tcBorders>
              <w:top w:val="nil"/>
              <w:left w:val="nil"/>
              <w:bottom w:val="nil"/>
              <w:right w:val="nil"/>
            </w:tcBorders>
            <w:shd w:val="clear" w:color="auto" w:fill="auto"/>
            <w:vAlign w:val="bottom"/>
          </w:tcPr>
          <w:p w14:paraId="28EAB49A" w14:textId="77777777" w:rsidR="00345E7F" w:rsidRPr="00A96B0F" w:rsidRDefault="00345E7F" w:rsidP="00C450F2">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Pr>
                <w:rFonts w:ascii="Arial" w:eastAsia="Times New Roman" w:hAnsi="Arial" w:cs="Arial"/>
                <w:color w:val="000000"/>
                <w:sz w:val="17"/>
                <w:szCs w:val="17"/>
              </w:rPr>
              <w:t>49.891</w:t>
            </w:r>
          </w:p>
        </w:tc>
      </w:tr>
      <w:tr w:rsidR="00345E7F" w:rsidRPr="00A96B0F" w14:paraId="523D5D28" w14:textId="77777777" w:rsidTr="00C450F2">
        <w:trPr>
          <w:trHeight w:hRule="exact" w:val="211"/>
        </w:trPr>
        <w:tc>
          <w:tcPr>
            <w:tcW w:w="1597" w:type="pct"/>
            <w:tcBorders>
              <w:top w:val="nil"/>
              <w:left w:val="nil"/>
              <w:bottom w:val="nil"/>
              <w:right w:val="nil"/>
            </w:tcBorders>
            <w:shd w:val="clear" w:color="auto" w:fill="auto"/>
            <w:vAlign w:val="bottom"/>
          </w:tcPr>
          <w:p w14:paraId="7B0DD1AD" w14:textId="77777777" w:rsidR="00345E7F" w:rsidRPr="00A96B0F" w:rsidRDefault="00345E7F" w:rsidP="00C450F2">
            <w:pPr>
              <w:tabs>
                <w:tab w:val="right" w:pos="1202"/>
              </w:tabs>
              <w:suppressAutoHyphens/>
              <w:autoSpaceDN w:val="0"/>
              <w:outlineLvl w:val="0"/>
              <w:rPr>
                <w:rFonts w:ascii="Arial" w:eastAsia="Times New Roman" w:hAnsi="Arial" w:cs="Arial"/>
                <w:b/>
                <w:bCs/>
                <w:color w:val="000000" w:themeColor="text1"/>
                <w:sz w:val="17"/>
                <w:szCs w:val="17"/>
              </w:rPr>
            </w:pPr>
            <w:bookmarkStart w:id="878" w:name="_Toc67330490"/>
            <w:r w:rsidRPr="00A96B0F">
              <w:rPr>
                <w:rFonts w:ascii="Arial" w:eastAsia="Calibri" w:hAnsi="Arial" w:cs="Arial"/>
                <w:color w:val="000000" w:themeColor="text1"/>
                <w:spacing w:val="-2"/>
                <w:sz w:val="17"/>
                <w:szCs w:val="17"/>
              </w:rPr>
              <w:t>Izdane garancije u devizama</w:t>
            </w:r>
            <w:bookmarkEnd w:id="878"/>
          </w:p>
        </w:tc>
        <w:tc>
          <w:tcPr>
            <w:tcW w:w="557" w:type="pct"/>
            <w:tcBorders>
              <w:top w:val="nil"/>
              <w:left w:val="nil"/>
              <w:bottom w:val="nil"/>
              <w:right w:val="nil"/>
            </w:tcBorders>
            <w:shd w:val="clear" w:color="auto" w:fill="auto"/>
            <w:vAlign w:val="bottom"/>
          </w:tcPr>
          <w:p w14:paraId="5C31E0A4" w14:textId="77777777" w:rsidR="00345E7F" w:rsidRPr="00A96B0F" w:rsidRDefault="00345E7F" w:rsidP="00C450F2">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Pr>
                <w:rFonts w:ascii="Arial" w:eastAsia="Times New Roman" w:hAnsi="Arial" w:cs="Arial"/>
                <w:color w:val="000000"/>
                <w:sz w:val="17"/>
                <w:szCs w:val="17"/>
              </w:rPr>
              <w:t>4.892</w:t>
            </w:r>
          </w:p>
        </w:tc>
        <w:tc>
          <w:tcPr>
            <w:tcW w:w="557" w:type="pct"/>
            <w:tcBorders>
              <w:top w:val="nil"/>
              <w:left w:val="nil"/>
              <w:bottom w:val="nil"/>
              <w:right w:val="nil"/>
            </w:tcBorders>
            <w:shd w:val="clear" w:color="auto" w:fill="auto"/>
            <w:vAlign w:val="bottom"/>
          </w:tcPr>
          <w:p w14:paraId="0083EB18" w14:textId="77777777" w:rsidR="00345E7F" w:rsidRPr="00A96B0F" w:rsidRDefault="00345E7F" w:rsidP="00C450F2">
            <w:pPr>
              <w:suppressAutoHyphens/>
              <w:autoSpaceDN w:val="0"/>
              <w:jc w:val="right"/>
              <w:rPr>
                <w:rFonts w:ascii="Arial" w:eastAsia="Times New Roman" w:hAnsi="Arial" w:cs="Arial"/>
                <w:color w:val="000000" w:themeColor="text1"/>
                <w:sz w:val="17"/>
                <w:szCs w:val="17"/>
              </w:rPr>
            </w:pPr>
            <w:r>
              <w:rPr>
                <w:rFonts w:ascii="Arial" w:eastAsia="Times New Roman" w:hAnsi="Arial" w:cs="Arial"/>
                <w:color w:val="000000"/>
                <w:sz w:val="17"/>
                <w:szCs w:val="17"/>
              </w:rPr>
              <w:t>-</w:t>
            </w:r>
          </w:p>
        </w:tc>
        <w:tc>
          <w:tcPr>
            <w:tcW w:w="556" w:type="pct"/>
            <w:tcBorders>
              <w:top w:val="nil"/>
              <w:left w:val="nil"/>
              <w:bottom w:val="nil"/>
              <w:right w:val="nil"/>
            </w:tcBorders>
            <w:shd w:val="clear" w:color="auto" w:fill="auto"/>
            <w:vAlign w:val="bottom"/>
          </w:tcPr>
          <w:p w14:paraId="5FDEA054" w14:textId="77777777" w:rsidR="00345E7F" w:rsidRPr="00A96B0F" w:rsidRDefault="00345E7F" w:rsidP="00C450F2">
            <w:pPr>
              <w:suppressAutoHyphens/>
              <w:autoSpaceDN w:val="0"/>
              <w:jc w:val="right"/>
              <w:rPr>
                <w:rFonts w:ascii="Arial" w:eastAsia="Times New Roman" w:hAnsi="Arial" w:cs="Arial"/>
                <w:color w:val="000000" w:themeColor="text1"/>
                <w:sz w:val="17"/>
                <w:szCs w:val="17"/>
              </w:rPr>
            </w:pPr>
            <w:r>
              <w:rPr>
                <w:rFonts w:ascii="Arial" w:eastAsia="Times New Roman" w:hAnsi="Arial" w:cs="Arial"/>
                <w:color w:val="000000"/>
                <w:sz w:val="17"/>
                <w:szCs w:val="17"/>
              </w:rPr>
              <w:t>-</w:t>
            </w:r>
          </w:p>
        </w:tc>
        <w:tc>
          <w:tcPr>
            <w:tcW w:w="556" w:type="pct"/>
            <w:tcBorders>
              <w:top w:val="nil"/>
              <w:left w:val="nil"/>
              <w:bottom w:val="nil"/>
              <w:right w:val="nil"/>
            </w:tcBorders>
            <w:shd w:val="clear" w:color="auto" w:fill="auto"/>
            <w:vAlign w:val="bottom"/>
          </w:tcPr>
          <w:p w14:paraId="7AB9A196" w14:textId="77777777" w:rsidR="00345E7F" w:rsidRPr="00A96B0F" w:rsidRDefault="00345E7F" w:rsidP="00C450F2">
            <w:pPr>
              <w:suppressAutoHyphens/>
              <w:autoSpaceDN w:val="0"/>
              <w:jc w:val="right"/>
              <w:rPr>
                <w:rFonts w:ascii="Arial" w:eastAsia="Times New Roman" w:hAnsi="Arial" w:cs="Arial"/>
                <w:color w:val="000000" w:themeColor="text1"/>
                <w:sz w:val="17"/>
                <w:szCs w:val="17"/>
              </w:rPr>
            </w:pPr>
            <w:r>
              <w:rPr>
                <w:rFonts w:ascii="Arial" w:eastAsia="Times New Roman" w:hAnsi="Arial" w:cs="Arial"/>
                <w:color w:val="000000"/>
                <w:sz w:val="17"/>
                <w:szCs w:val="17"/>
              </w:rPr>
              <w:t>-</w:t>
            </w:r>
          </w:p>
        </w:tc>
        <w:tc>
          <w:tcPr>
            <w:tcW w:w="556" w:type="pct"/>
            <w:tcBorders>
              <w:top w:val="nil"/>
              <w:left w:val="nil"/>
              <w:bottom w:val="nil"/>
              <w:right w:val="nil"/>
            </w:tcBorders>
            <w:shd w:val="clear" w:color="auto" w:fill="auto"/>
            <w:vAlign w:val="bottom"/>
          </w:tcPr>
          <w:p w14:paraId="3E78F273" w14:textId="77777777" w:rsidR="00345E7F" w:rsidRPr="00A96B0F" w:rsidRDefault="00345E7F" w:rsidP="00C450F2">
            <w:pPr>
              <w:suppressAutoHyphens/>
              <w:autoSpaceDN w:val="0"/>
              <w:jc w:val="right"/>
              <w:rPr>
                <w:rFonts w:ascii="Arial" w:eastAsia="Times New Roman" w:hAnsi="Arial" w:cs="Arial"/>
                <w:color w:val="000000" w:themeColor="text1"/>
                <w:sz w:val="17"/>
                <w:szCs w:val="17"/>
              </w:rPr>
            </w:pPr>
            <w:r>
              <w:rPr>
                <w:rFonts w:ascii="Arial" w:eastAsia="Times New Roman" w:hAnsi="Arial" w:cs="Arial"/>
                <w:color w:val="000000"/>
                <w:sz w:val="17"/>
                <w:szCs w:val="17"/>
              </w:rPr>
              <w:t>-</w:t>
            </w:r>
          </w:p>
        </w:tc>
        <w:tc>
          <w:tcPr>
            <w:tcW w:w="621" w:type="pct"/>
            <w:tcBorders>
              <w:top w:val="nil"/>
              <w:left w:val="nil"/>
              <w:bottom w:val="nil"/>
              <w:right w:val="nil"/>
            </w:tcBorders>
            <w:shd w:val="clear" w:color="auto" w:fill="auto"/>
            <w:vAlign w:val="bottom"/>
          </w:tcPr>
          <w:p w14:paraId="40FA0277" w14:textId="77777777" w:rsidR="00345E7F" w:rsidRPr="00A96B0F" w:rsidRDefault="00345E7F" w:rsidP="00C450F2">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Pr>
                <w:rFonts w:ascii="Arial" w:eastAsia="Times New Roman" w:hAnsi="Arial" w:cs="Arial"/>
                <w:color w:val="000000"/>
                <w:sz w:val="17"/>
                <w:szCs w:val="17"/>
              </w:rPr>
              <w:t>4.892</w:t>
            </w:r>
          </w:p>
        </w:tc>
      </w:tr>
      <w:tr w:rsidR="00345E7F" w:rsidRPr="00A96B0F" w14:paraId="11812643" w14:textId="77777777" w:rsidTr="00C450F2">
        <w:trPr>
          <w:trHeight w:hRule="exact" w:val="211"/>
        </w:trPr>
        <w:tc>
          <w:tcPr>
            <w:tcW w:w="1597" w:type="pct"/>
            <w:tcBorders>
              <w:top w:val="nil"/>
              <w:left w:val="nil"/>
              <w:bottom w:val="nil"/>
              <w:right w:val="nil"/>
            </w:tcBorders>
            <w:shd w:val="clear" w:color="auto" w:fill="auto"/>
            <w:vAlign w:val="bottom"/>
          </w:tcPr>
          <w:p w14:paraId="172B9DC7" w14:textId="77777777" w:rsidR="00345E7F" w:rsidRPr="00A96B0F" w:rsidRDefault="00345E7F" w:rsidP="00C450F2">
            <w:pPr>
              <w:tabs>
                <w:tab w:val="right" w:pos="1202"/>
              </w:tabs>
              <w:suppressAutoHyphens/>
              <w:autoSpaceDN w:val="0"/>
              <w:outlineLvl w:val="0"/>
              <w:rPr>
                <w:rFonts w:ascii="Arial" w:eastAsia="Times New Roman" w:hAnsi="Arial" w:cs="Arial"/>
                <w:b/>
                <w:bCs/>
                <w:color w:val="000000" w:themeColor="text1"/>
                <w:sz w:val="17"/>
                <w:szCs w:val="17"/>
              </w:rPr>
            </w:pPr>
            <w:bookmarkStart w:id="879" w:name="_Toc67330496"/>
            <w:r w:rsidRPr="00A96B0F">
              <w:rPr>
                <w:rFonts w:ascii="Arial" w:eastAsia="Calibri" w:hAnsi="Arial" w:cs="Arial"/>
                <w:color w:val="000000" w:themeColor="text1"/>
                <w:spacing w:val="-2"/>
                <w:sz w:val="17"/>
                <w:szCs w:val="17"/>
              </w:rPr>
              <w:t>Preuzete obveze po kreditima</w:t>
            </w:r>
            <w:bookmarkEnd w:id="879"/>
          </w:p>
        </w:tc>
        <w:tc>
          <w:tcPr>
            <w:tcW w:w="557" w:type="pct"/>
            <w:tcBorders>
              <w:top w:val="nil"/>
              <w:left w:val="nil"/>
              <w:bottom w:val="nil"/>
              <w:right w:val="nil"/>
            </w:tcBorders>
            <w:shd w:val="clear" w:color="auto" w:fill="auto"/>
            <w:vAlign w:val="bottom"/>
          </w:tcPr>
          <w:p w14:paraId="7F509163" w14:textId="77777777" w:rsidR="00345E7F" w:rsidRPr="00A96B0F" w:rsidRDefault="00345E7F" w:rsidP="00C450F2">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Pr>
                <w:rFonts w:ascii="Arial" w:eastAsia="Times New Roman" w:hAnsi="Arial" w:cs="Arial"/>
                <w:color w:val="000000"/>
                <w:sz w:val="17"/>
                <w:szCs w:val="17"/>
              </w:rPr>
              <w:t>461.919</w:t>
            </w:r>
          </w:p>
        </w:tc>
        <w:tc>
          <w:tcPr>
            <w:tcW w:w="557" w:type="pct"/>
            <w:tcBorders>
              <w:top w:val="nil"/>
              <w:left w:val="nil"/>
              <w:bottom w:val="nil"/>
              <w:right w:val="nil"/>
            </w:tcBorders>
            <w:shd w:val="clear" w:color="auto" w:fill="auto"/>
            <w:vAlign w:val="bottom"/>
          </w:tcPr>
          <w:p w14:paraId="50E688B6" w14:textId="77777777" w:rsidR="00345E7F" w:rsidRPr="00A96B0F" w:rsidRDefault="00345E7F" w:rsidP="00C450F2">
            <w:pPr>
              <w:suppressAutoHyphens/>
              <w:autoSpaceDN w:val="0"/>
              <w:jc w:val="right"/>
              <w:rPr>
                <w:rFonts w:ascii="Arial" w:eastAsia="Times New Roman" w:hAnsi="Arial" w:cs="Arial"/>
                <w:color w:val="000000" w:themeColor="text1"/>
                <w:sz w:val="17"/>
                <w:szCs w:val="17"/>
              </w:rPr>
            </w:pPr>
            <w:r>
              <w:rPr>
                <w:rFonts w:ascii="Arial" w:eastAsia="Times New Roman" w:hAnsi="Arial" w:cs="Arial"/>
                <w:color w:val="000000"/>
                <w:sz w:val="17"/>
                <w:szCs w:val="17"/>
              </w:rPr>
              <w:t>-</w:t>
            </w:r>
          </w:p>
        </w:tc>
        <w:tc>
          <w:tcPr>
            <w:tcW w:w="556" w:type="pct"/>
            <w:tcBorders>
              <w:top w:val="nil"/>
              <w:left w:val="nil"/>
              <w:bottom w:val="nil"/>
              <w:right w:val="nil"/>
            </w:tcBorders>
            <w:shd w:val="clear" w:color="auto" w:fill="auto"/>
            <w:vAlign w:val="bottom"/>
          </w:tcPr>
          <w:p w14:paraId="371790CC" w14:textId="77777777" w:rsidR="00345E7F" w:rsidRPr="00A96B0F" w:rsidRDefault="00345E7F" w:rsidP="00C450F2">
            <w:pPr>
              <w:suppressAutoHyphens/>
              <w:autoSpaceDN w:val="0"/>
              <w:jc w:val="right"/>
              <w:rPr>
                <w:rFonts w:ascii="Arial" w:eastAsia="Times New Roman" w:hAnsi="Arial" w:cs="Arial"/>
                <w:color w:val="000000" w:themeColor="text1"/>
                <w:sz w:val="17"/>
                <w:szCs w:val="17"/>
              </w:rPr>
            </w:pPr>
            <w:r>
              <w:rPr>
                <w:rFonts w:ascii="Arial" w:eastAsia="Times New Roman" w:hAnsi="Arial" w:cs="Arial"/>
                <w:color w:val="000000"/>
                <w:sz w:val="17"/>
                <w:szCs w:val="17"/>
              </w:rPr>
              <w:t>-</w:t>
            </w:r>
          </w:p>
        </w:tc>
        <w:tc>
          <w:tcPr>
            <w:tcW w:w="556" w:type="pct"/>
            <w:tcBorders>
              <w:top w:val="nil"/>
              <w:left w:val="nil"/>
              <w:bottom w:val="nil"/>
              <w:right w:val="nil"/>
            </w:tcBorders>
            <w:shd w:val="clear" w:color="auto" w:fill="auto"/>
            <w:vAlign w:val="bottom"/>
          </w:tcPr>
          <w:p w14:paraId="1E1AC46B" w14:textId="77777777" w:rsidR="00345E7F" w:rsidRPr="00A96B0F" w:rsidRDefault="00345E7F" w:rsidP="00C450F2">
            <w:pPr>
              <w:suppressAutoHyphens/>
              <w:autoSpaceDN w:val="0"/>
              <w:jc w:val="right"/>
              <w:rPr>
                <w:rFonts w:ascii="Arial" w:eastAsia="Times New Roman" w:hAnsi="Arial" w:cs="Arial"/>
                <w:color w:val="000000" w:themeColor="text1"/>
                <w:sz w:val="17"/>
                <w:szCs w:val="17"/>
              </w:rPr>
            </w:pPr>
            <w:r>
              <w:rPr>
                <w:rFonts w:ascii="Arial" w:eastAsia="Times New Roman" w:hAnsi="Arial" w:cs="Arial"/>
                <w:color w:val="000000"/>
                <w:sz w:val="17"/>
                <w:szCs w:val="17"/>
              </w:rPr>
              <w:t>-</w:t>
            </w:r>
          </w:p>
        </w:tc>
        <w:tc>
          <w:tcPr>
            <w:tcW w:w="556" w:type="pct"/>
            <w:tcBorders>
              <w:top w:val="nil"/>
              <w:left w:val="nil"/>
              <w:bottom w:val="nil"/>
              <w:right w:val="nil"/>
            </w:tcBorders>
            <w:shd w:val="clear" w:color="auto" w:fill="auto"/>
            <w:vAlign w:val="bottom"/>
          </w:tcPr>
          <w:p w14:paraId="03EDFC57" w14:textId="77777777" w:rsidR="00345E7F" w:rsidRPr="00A96B0F" w:rsidRDefault="00345E7F" w:rsidP="00C450F2">
            <w:pPr>
              <w:suppressAutoHyphens/>
              <w:autoSpaceDN w:val="0"/>
              <w:jc w:val="right"/>
              <w:rPr>
                <w:rFonts w:ascii="Arial" w:eastAsia="Times New Roman" w:hAnsi="Arial" w:cs="Arial"/>
                <w:color w:val="000000" w:themeColor="text1"/>
                <w:sz w:val="17"/>
                <w:szCs w:val="17"/>
              </w:rPr>
            </w:pPr>
            <w:r>
              <w:rPr>
                <w:rFonts w:ascii="Arial" w:eastAsia="Times New Roman" w:hAnsi="Arial" w:cs="Arial"/>
                <w:color w:val="000000"/>
                <w:sz w:val="17"/>
                <w:szCs w:val="17"/>
              </w:rPr>
              <w:t>-</w:t>
            </w:r>
          </w:p>
        </w:tc>
        <w:tc>
          <w:tcPr>
            <w:tcW w:w="621" w:type="pct"/>
            <w:tcBorders>
              <w:top w:val="nil"/>
              <w:left w:val="nil"/>
              <w:bottom w:val="nil"/>
              <w:right w:val="nil"/>
            </w:tcBorders>
            <w:shd w:val="clear" w:color="auto" w:fill="auto"/>
            <w:vAlign w:val="bottom"/>
          </w:tcPr>
          <w:p w14:paraId="5BF6434F" w14:textId="77777777" w:rsidR="00345E7F" w:rsidRPr="00A96B0F" w:rsidRDefault="00345E7F" w:rsidP="00C450F2">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Pr>
                <w:rFonts w:ascii="Arial" w:eastAsia="Times New Roman" w:hAnsi="Arial" w:cs="Arial"/>
                <w:color w:val="000000"/>
                <w:sz w:val="17"/>
                <w:szCs w:val="17"/>
              </w:rPr>
              <w:t>461.919</w:t>
            </w:r>
          </w:p>
        </w:tc>
      </w:tr>
      <w:tr w:rsidR="00345E7F" w:rsidRPr="00A96B0F" w14:paraId="2B9B4B87" w14:textId="77777777" w:rsidTr="00C450F2">
        <w:trPr>
          <w:trHeight w:hRule="exact" w:val="211"/>
        </w:trPr>
        <w:tc>
          <w:tcPr>
            <w:tcW w:w="1597" w:type="pct"/>
            <w:tcBorders>
              <w:top w:val="nil"/>
              <w:left w:val="nil"/>
              <w:bottom w:val="nil"/>
              <w:right w:val="nil"/>
            </w:tcBorders>
            <w:shd w:val="clear" w:color="auto" w:fill="auto"/>
            <w:vAlign w:val="bottom"/>
          </w:tcPr>
          <w:p w14:paraId="22A595C8" w14:textId="77777777" w:rsidR="00345E7F" w:rsidRPr="00A96B0F" w:rsidRDefault="00345E7F" w:rsidP="00C450F2">
            <w:pPr>
              <w:tabs>
                <w:tab w:val="right" w:pos="1202"/>
              </w:tabs>
              <w:suppressAutoHyphens/>
              <w:autoSpaceDN w:val="0"/>
              <w:outlineLvl w:val="0"/>
              <w:rPr>
                <w:rFonts w:ascii="Arial" w:eastAsia="Calibri" w:hAnsi="Arial" w:cs="Arial"/>
                <w:color w:val="000000" w:themeColor="text1"/>
                <w:spacing w:val="-2"/>
                <w:sz w:val="17"/>
                <w:szCs w:val="17"/>
              </w:rPr>
            </w:pPr>
            <w:bookmarkStart w:id="880" w:name="_Toc67330499"/>
            <w:r w:rsidRPr="00A96B0F">
              <w:rPr>
                <w:rFonts w:ascii="Arial" w:eastAsia="Times New Roman" w:hAnsi="Arial" w:cs="Arial"/>
                <w:color w:val="000000" w:themeColor="text1"/>
                <w:sz w:val="17"/>
                <w:szCs w:val="17"/>
              </w:rPr>
              <w:t>Upisani a neuplaćeni kapital EIF-a</w:t>
            </w:r>
            <w:bookmarkEnd w:id="880"/>
          </w:p>
        </w:tc>
        <w:tc>
          <w:tcPr>
            <w:tcW w:w="557" w:type="pct"/>
            <w:tcBorders>
              <w:top w:val="nil"/>
              <w:left w:val="nil"/>
              <w:bottom w:val="nil"/>
              <w:right w:val="nil"/>
            </w:tcBorders>
            <w:shd w:val="clear" w:color="auto" w:fill="auto"/>
            <w:vAlign w:val="bottom"/>
          </w:tcPr>
          <w:p w14:paraId="456FF166" w14:textId="77777777" w:rsidR="00345E7F" w:rsidRPr="00A96B0F" w:rsidRDefault="00345E7F" w:rsidP="00C450F2">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Pr>
                <w:rFonts w:ascii="Arial" w:eastAsia="Times New Roman" w:hAnsi="Arial" w:cs="Arial"/>
                <w:color w:val="000000"/>
                <w:sz w:val="17"/>
                <w:szCs w:val="17"/>
              </w:rPr>
              <w:t>10.400</w:t>
            </w:r>
          </w:p>
        </w:tc>
        <w:tc>
          <w:tcPr>
            <w:tcW w:w="557" w:type="pct"/>
            <w:tcBorders>
              <w:top w:val="nil"/>
              <w:left w:val="nil"/>
              <w:bottom w:val="nil"/>
              <w:right w:val="nil"/>
            </w:tcBorders>
            <w:shd w:val="clear" w:color="auto" w:fill="auto"/>
            <w:vAlign w:val="bottom"/>
          </w:tcPr>
          <w:p w14:paraId="728CA46D" w14:textId="77777777" w:rsidR="00345E7F" w:rsidRPr="00A96B0F" w:rsidRDefault="00345E7F" w:rsidP="00C450F2">
            <w:pPr>
              <w:suppressAutoHyphens/>
              <w:autoSpaceDN w:val="0"/>
              <w:jc w:val="right"/>
              <w:rPr>
                <w:rFonts w:ascii="Arial" w:eastAsia="Times New Roman" w:hAnsi="Arial" w:cs="Arial"/>
                <w:color w:val="000000" w:themeColor="text1"/>
                <w:sz w:val="17"/>
                <w:szCs w:val="17"/>
              </w:rPr>
            </w:pPr>
            <w:r>
              <w:rPr>
                <w:rFonts w:ascii="Arial" w:eastAsia="Times New Roman" w:hAnsi="Arial" w:cs="Arial"/>
                <w:color w:val="000000"/>
                <w:sz w:val="17"/>
                <w:szCs w:val="17"/>
              </w:rPr>
              <w:t>-</w:t>
            </w:r>
          </w:p>
        </w:tc>
        <w:tc>
          <w:tcPr>
            <w:tcW w:w="556" w:type="pct"/>
            <w:tcBorders>
              <w:top w:val="nil"/>
              <w:left w:val="nil"/>
              <w:bottom w:val="nil"/>
              <w:right w:val="nil"/>
            </w:tcBorders>
            <w:shd w:val="clear" w:color="auto" w:fill="auto"/>
            <w:vAlign w:val="bottom"/>
          </w:tcPr>
          <w:p w14:paraId="188CE9A7" w14:textId="77777777" w:rsidR="00345E7F" w:rsidRPr="00A96B0F" w:rsidRDefault="00345E7F" w:rsidP="00C450F2">
            <w:pPr>
              <w:suppressAutoHyphens/>
              <w:autoSpaceDN w:val="0"/>
              <w:jc w:val="right"/>
              <w:rPr>
                <w:rFonts w:ascii="Arial" w:eastAsia="Times New Roman" w:hAnsi="Arial" w:cs="Arial"/>
                <w:color w:val="000000" w:themeColor="text1"/>
                <w:sz w:val="17"/>
                <w:szCs w:val="17"/>
              </w:rPr>
            </w:pPr>
            <w:r>
              <w:rPr>
                <w:rFonts w:ascii="Arial" w:eastAsia="Times New Roman" w:hAnsi="Arial" w:cs="Arial"/>
                <w:color w:val="000000"/>
                <w:sz w:val="17"/>
                <w:szCs w:val="17"/>
              </w:rPr>
              <w:t>-</w:t>
            </w:r>
          </w:p>
        </w:tc>
        <w:tc>
          <w:tcPr>
            <w:tcW w:w="556" w:type="pct"/>
            <w:tcBorders>
              <w:top w:val="nil"/>
              <w:left w:val="nil"/>
              <w:bottom w:val="nil"/>
              <w:right w:val="nil"/>
            </w:tcBorders>
            <w:shd w:val="clear" w:color="auto" w:fill="auto"/>
            <w:vAlign w:val="bottom"/>
          </w:tcPr>
          <w:p w14:paraId="70EC6F7A" w14:textId="77777777" w:rsidR="00345E7F" w:rsidRPr="00A96B0F" w:rsidRDefault="00345E7F" w:rsidP="00C450F2">
            <w:pPr>
              <w:suppressAutoHyphens/>
              <w:autoSpaceDN w:val="0"/>
              <w:jc w:val="right"/>
              <w:rPr>
                <w:rFonts w:ascii="Arial" w:eastAsia="Times New Roman" w:hAnsi="Arial" w:cs="Arial"/>
                <w:color w:val="000000" w:themeColor="text1"/>
                <w:sz w:val="17"/>
                <w:szCs w:val="17"/>
              </w:rPr>
            </w:pPr>
            <w:r>
              <w:rPr>
                <w:rFonts w:ascii="Arial" w:eastAsia="Times New Roman" w:hAnsi="Arial" w:cs="Arial"/>
                <w:color w:val="000000"/>
                <w:sz w:val="17"/>
                <w:szCs w:val="17"/>
              </w:rPr>
              <w:t>-</w:t>
            </w:r>
          </w:p>
        </w:tc>
        <w:tc>
          <w:tcPr>
            <w:tcW w:w="556" w:type="pct"/>
            <w:tcBorders>
              <w:top w:val="nil"/>
              <w:left w:val="nil"/>
              <w:bottom w:val="nil"/>
              <w:right w:val="nil"/>
            </w:tcBorders>
            <w:shd w:val="clear" w:color="auto" w:fill="auto"/>
            <w:vAlign w:val="bottom"/>
          </w:tcPr>
          <w:p w14:paraId="397D83EC" w14:textId="77777777" w:rsidR="00345E7F" w:rsidRPr="00A96B0F" w:rsidRDefault="00345E7F" w:rsidP="00C450F2">
            <w:pPr>
              <w:suppressAutoHyphens/>
              <w:autoSpaceDN w:val="0"/>
              <w:jc w:val="right"/>
              <w:rPr>
                <w:rFonts w:ascii="Arial" w:eastAsia="Times New Roman" w:hAnsi="Arial" w:cs="Arial"/>
                <w:color w:val="000000" w:themeColor="text1"/>
                <w:sz w:val="17"/>
                <w:szCs w:val="17"/>
              </w:rPr>
            </w:pPr>
            <w:r>
              <w:rPr>
                <w:rFonts w:ascii="Arial" w:eastAsia="Times New Roman" w:hAnsi="Arial" w:cs="Arial"/>
                <w:color w:val="000000"/>
                <w:sz w:val="17"/>
                <w:szCs w:val="17"/>
              </w:rPr>
              <w:t>-</w:t>
            </w:r>
          </w:p>
        </w:tc>
        <w:tc>
          <w:tcPr>
            <w:tcW w:w="621" w:type="pct"/>
            <w:tcBorders>
              <w:top w:val="nil"/>
              <w:left w:val="nil"/>
              <w:bottom w:val="nil"/>
              <w:right w:val="nil"/>
            </w:tcBorders>
            <w:shd w:val="clear" w:color="auto" w:fill="auto"/>
            <w:vAlign w:val="bottom"/>
          </w:tcPr>
          <w:p w14:paraId="1F3ABE17" w14:textId="77777777" w:rsidR="00345E7F" w:rsidRPr="00A96B0F" w:rsidRDefault="00345E7F" w:rsidP="00C450F2">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Pr>
                <w:rFonts w:ascii="Arial" w:eastAsia="Times New Roman" w:hAnsi="Arial" w:cs="Arial"/>
                <w:color w:val="000000"/>
                <w:sz w:val="17"/>
                <w:szCs w:val="17"/>
              </w:rPr>
              <w:t>10.400</w:t>
            </w:r>
          </w:p>
        </w:tc>
      </w:tr>
      <w:tr w:rsidR="00345E7F" w:rsidRPr="00A96B0F" w14:paraId="0608CC2A" w14:textId="77777777" w:rsidTr="001541F1">
        <w:trPr>
          <w:trHeight w:hRule="exact" w:val="211"/>
        </w:trPr>
        <w:tc>
          <w:tcPr>
            <w:tcW w:w="1597" w:type="pct"/>
            <w:tcBorders>
              <w:top w:val="nil"/>
              <w:left w:val="nil"/>
              <w:bottom w:val="nil"/>
              <w:right w:val="nil"/>
            </w:tcBorders>
            <w:shd w:val="clear" w:color="auto" w:fill="auto"/>
            <w:vAlign w:val="bottom"/>
          </w:tcPr>
          <w:p w14:paraId="7FAD4558" w14:textId="77777777" w:rsidR="00345E7F" w:rsidRPr="00A96B0F" w:rsidRDefault="00345E7F" w:rsidP="00C450F2">
            <w:pPr>
              <w:tabs>
                <w:tab w:val="right" w:pos="1202"/>
              </w:tabs>
              <w:suppressAutoHyphens/>
              <w:autoSpaceDN w:val="0"/>
              <w:outlineLvl w:val="0"/>
              <w:rPr>
                <w:rFonts w:ascii="Arial" w:eastAsia="Times New Roman" w:hAnsi="Arial" w:cs="Arial"/>
                <w:color w:val="000000" w:themeColor="text1"/>
                <w:sz w:val="17"/>
                <w:szCs w:val="17"/>
              </w:rPr>
            </w:pPr>
            <w:bookmarkStart w:id="881" w:name="_Toc67330502"/>
            <w:r w:rsidRPr="00A96B0F">
              <w:rPr>
                <w:rFonts w:ascii="Arial" w:eastAsia="Times New Roman" w:hAnsi="Arial" w:cs="Arial"/>
                <w:color w:val="000000"/>
                <w:sz w:val="17"/>
                <w:szCs w:val="17"/>
              </w:rPr>
              <w:t>Ugovorena obveza EIF CROGIP</w:t>
            </w:r>
            <w:bookmarkEnd w:id="881"/>
          </w:p>
        </w:tc>
        <w:tc>
          <w:tcPr>
            <w:tcW w:w="557" w:type="pct"/>
            <w:tcBorders>
              <w:top w:val="nil"/>
              <w:left w:val="nil"/>
              <w:right w:val="nil"/>
            </w:tcBorders>
            <w:shd w:val="clear" w:color="auto" w:fill="auto"/>
            <w:vAlign w:val="bottom"/>
          </w:tcPr>
          <w:p w14:paraId="354A2FDD" w14:textId="77777777" w:rsidR="00345E7F" w:rsidRPr="00A96B0F" w:rsidRDefault="00345E7F" w:rsidP="00C450F2">
            <w:pPr>
              <w:tabs>
                <w:tab w:val="right" w:pos="1202"/>
              </w:tabs>
              <w:suppressAutoHyphens/>
              <w:autoSpaceDN w:val="0"/>
              <w:spacing w:line="240" w:lineRule="exact"/>
              <w:jc w:val="right"/>
              <w:outlineLvl w:val="0"/>
              <w:rPr>
                <w:rFonts w:ascii="Arial" w:eastAsia="Times New Roman" w:hAnsi="Arial" w:cs="Arial"/>
                <w:color w:val="000000"/>
                <w:sz w:val="17"/>
                <w:szCs w:val="17"/>
              </w:rPr>
            </w:pPr>
            <w:r>
              <w:rPr>
                <w:rFonts w:ascii="Arial" w:eastAsia="Times New Roman" w:hAnsi="Arial" w:cs="Arial"/>
                <w:color w:val="000000"/>
                <w:sz w:val="17"/>
                <w:szCs w:val="17"/>
              </w:rPr>
              <w:t>148</w:t>
            </w:r>
          </w:p>
        </w:tc>
        <w:tc>
          <w:tcPr>
            <w:tcW w:w="557" w:type="pct"/>
            <w:tcBorders>
              <w:top w:val="nil"/>
              <w:left w:val="nil"/>
              <w:right w:val="nil"/>
            </w:tcBorders>
            <w:shd w:val="clear" w:color="auto" w:fill="auto"/>
            <w:vAlign w:val="bottom"/>
          </w:tcPr>
          <w:p w14:paraId="7A1B0487" w14:textId="77777777" w:rsidR="00345E7F" w:rsidRPr="00A96B0F" w:rsidRDefault="00345E7F" w:rsidP="00C450F2">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2.780</w:t>
            </w:r>
          </w:p>
        </w:tc>
        <w:tc>
          <w:tcPr>
            <w:tcW w:w="556" w:type="pct"/>
            <w:tcBorders>
              <w:top w:val="nil"/>
              <w:left w:val="nil"/>
              <w:right w:val="nil"/>
            </w:tcBorders>
            <w:shd w:val="clear" w:color="auto" w:fill="auto"/>
            <w:vAlign w:val="bottom"/>
          </w:tcPr>
          <w:p w14:paraId="7989A7AD" w14:textId="77777777" w:rsidR="00345E7F" w:rsidRPr="00A96B0F" w:rsidRDefault="00345E7F" w:rsidP="00C450F2">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5.924</w:t>
            </w:r>
          </w:p>
        </w:tc>
        <w:tc>
          <w:tcPr>
            <w:tcW w:w="556" w:type="pct"/>
            <w:tcBorders>
              <w:top w:val="nil"/>
              <w:left w:val="nil"/>
              <w:right w:val="nil"/>
            </w:tcBorders>
            <w:shd w:val="clear" w:color="auto" w:fill="auto"/>
            <w:vAlign w:val="bottom"/>
          </w:tcPr>
          <w:p w14:paraId="30F282C6" w14:textId="77777777" w:rsidR="00345E7F" w:rsidRPr="00A96B0F" w:rsidRDefault="00345E7F" w:rsidP="00C450F2">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13.549</w:t>
            </w:r>
          </w:p>
        </w:tc>
        <w:tc>
          <w:tcPr>
            <w:tcW w:w="556" w:type="pct"/>
            <w:tcBorders>
              <w:top w:val="nil"/>
              <w:left w:val="nil"/>
              <w:right w:val="nil"/>
            </w:tcBorders>
            <w:shd w:val="clear" w:color="auto" w:fill="auto"/>
            <w:vAlign w:val="bottom"/>
          </w:tcPr>
          <w:p w14:paraId="628FA132" w14:textId="77777777" w:rsidR="00345E7F" w:rsidRPr="00A96B0F" w:rsidRDefault="00345E7F" w:rsidP="00C450F2">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5.059</w:t>
            </w:r>
          </w:p>
        </w:tc>
        <w:tc>
          <w:tcPr>
            <w:tcW w:w="621" w:type="pct"/>
            <w:tcBorders>
              <w:top w:val="nil"/>
              <w:left w:val="nil"/>
              <w:right w:val="nil"/>
            </w:tcBorders>
            <w:shd w:val="clear" w:color="auto" w:fill="auto"/>
            <w:vAlign w:val="bottom"/>
          </w:tcPr>
          <w:p w14:paraId="3B27EF01" w14:textId="77777777" w:rsidR="00345E7F" w:rsidRPr="00A96B0F" w:rsidRDefault="00345E7F" w:rsidP="00C450F2">
            <w:pPr>
              <w:tabs>
                <w:tab w:val="right" w:pos="1202"/>
              </w:tabs>
              <w:suppressAutoHyphens/>
              <w:autoSpaceDN w:val="0"/>
              <w:spacing w:line="240" w:lineRule="exact"/>
              <w:jc w:val="right"/>
              <w:outlineLvl w:val="0"/>
              <w:rPr>
                <w:rFonts w:ascii="Arial" w:eastAsia="Times New Roman" w:hAnsi="Arial" w:cs="Arial"/>
                <w:color w:val="000000"/>
                <w:sz w:val="17"/>
                <w:szCs w:val="17"/>
              </w:rPr>
            </w:pPr>
            <w:r>
              <w:rPr>
                <w:rFonts w:ascii="Arial" w:eastAsia="Times New Roman" w:hAnsi="Arial" w:cs="Arial"/>
                <w:color w:val="000000"/>
                <w:sz w:val="17"/>
                <w:szCs w:val="17"/>
              </w:rPr>
              <w:t>27.460</w:t>
            </w:r>
          </w:p>
        </w:tc>
      </w:tr>
      <w:tr w:rsidR="00345E7F" w:rsidRPr="00A96B0F" w14:paraId="72C31721" w14:textId="77777777" w:rsidTr="001541F1">
        <w:trPr>
          <w:trHeight w:hRule="exact" w:val="211"/>
        </w:trPr>
        <w:tc>
          <w:tcPr>
            <w:tcW w:w="1597" w:type="pct"/>
            <w:tcBorders>
              <w:top w:val="nil"/>
              <w:left w:val="nil"/>
              <w:bottom w:val="nil"/>
              <w:right w:val="nil"/>
            </w:tcBorders>
            <w:shd w:val="clear" w:color="auto" w:fill="auto"/>
            <w:vAlign w:val="bottom"/>
          </w:tcPr>
          <w:p w14:paraId="1A8D0FB9" w14:textId="77777777" w:rsidR="00345E7F" w:rsidRPr="00A96B0F" w:rsidRDefault="00345E7F" w:rsidP="00C450F2">
            <w:pPr>
              <w:tabs>
                <w:tab w:val="right" w:pos="1202"/>
              </w:tabs>
              <w:suppressAutoHyphens/>
              <w:autoSpaceDN w:val="0"/>
              <w:outlineLvl w:val="0"/>
              <w:rPr>
                <w:rFonts w:ascii="Arial" w:eastAsia="Times New Roman" w:hAnsi="Arial" w:cs="Arial"/>
                <w:color w:val="000000" w:themeColor="text1"/>
                <w:sz w:val="17"/>
                <w:szCs w:val="17"/>
              </w:rPr>
            </w:pPr>
            <w:bookmarkStart w:id="882" w:name="_Toc67330505"/>
            <w:r w:rsidRPr="00A96B0F">
              <w:rPr>
                <w:rFonts w:ascii="Arial" w:eastAsia="Times New Roman" w:hAnsi="Arial" w:cs="Arial"/>
                <w:color w:val="000000"/>
                <w:sz w:val="17"/>
                <w:szCs w:val="17"/>
              </w:rPr>
              <w:t>Ugovorena obveza EIF FRC2</w:t>
            </w:r>
            <w:bookmarkEnd w:id="882"/>
          </w:p>
        </w:tc>
        <w:tc>
          <w:tcPr>
            <w:tcW w:w="557" w:type="pct"/>
            <w:tcBorders>
              <w:top w:val="nil"/>
              <w:left w:val="nil"/>
              <w:bottom w:val="single" w:sz="6" w:space="0" w:color="auto"/>
              <w:right w:val="nil"/>
            </w:tcBorders>
            <w:shd w:val="clear" w:color="auto" w:fill="auto"/>
            <w:vAlign w:val="bottom"/>
          </w:tcPr>
          <w:p w14:paraId="30A0E2FB" w14:textId="77777777" w:rsidR="00345E7F" w:rsidRPr="00A96B0F" w:rsidRDefault="00345E7F" w:rsidP="00C450F2">
            <w:pPr>
              <w:tabs>
                <w:tab w:val="right" w:pos="1202"/>
              </w:tabs>
              <w:suppressAutoHyphens/>
              <w:autoSpaceDN w:val="0"/>
              <w:spacing w:line="240" w:lineRule="exact"/>
              <w:jc w:val="right"/>
              <w:outlineLvl w:val="0"/>
              <w:rPr>
                <w:rFonts w:ascii="Arial" w:eastAsia="Times New Roman" w:hAnsi="Arial" w:cs="Arial"/>
                <w:color w:val="000000"/>
                <w:sz w:val="17"/>
                <w:szCs w:val="17"/>
              </w:rPr>
            </w:pPr>
            <w:r>
              <w:rPr>
                <w:rFonts w:ascii="Arial" w:eastAsia="Times New Roman" w:hAnsi="Arial" w:cs="Arial"/>
                <w:color w:val="000000"/>
                <w:sz w:val="17"/>
                <w:szCs w:val="17"/>
              </w:rPr>
              <w:t xml:space="preserve">  6</w:t>
            </w:r>
          </w:p>
        </w:tc>
        <w:tc>
          <w:tcPr>
            <w:tcW w:w="557" w:type="pct"/>
            <w:tcBorders>
              <w:top w:val="nil"/>
              <w:left w:val="nil"/>
              <w:bottom w:val="single" w:sz="6" w:space="0" w:color="auto"/>
              <w:right w:val="nil"/>
            </w:tcBorders>
            <w:shd w:val="clear" w:color="auto" w:fill="auto"/>
            <w:vAlign w:val="bottom"/>
          </w:tcPr>
          <w:p w14:paraId="2730888F" w14:textId="77777777" w:rsidR="00345E7F" w:rsidRPr="00A96B0F" w:rsidRDefault="00345E7F" w:rsidP="00C450F2">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56" w:type="pct"/>
            <w:tcBorders>
              <w:top w:val="nil"/>
              <w:left w:val="nil"/>
              <w:bottom w:val="single" w:sz="6" w:space="0" w:color="auto"/>
              <w:right w:val="nil"/>
            </w:tcBorders>
            <w:shd w:val="clear" w:color="auto" w:fill="auto"/>
            <w:vAlign w:val="bottom"/>
          </w:tcPr>
          <w:p w14:paraId="0BF39378" w14:textId="77777777" w:rsidR="00345E7F" w:rsidRPr="00A96B0F" w:rsidRDefault="00345E7F" w:rsidP="00C450F2">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6</w:t>
            </w:r>
          </w:p>
        </w:tc>
        <w:tc>
          <w:tcPr>
            <w:tcW w:w="556" w:type="pct"/>
            <w:tcBorders>
              <w:top w:val="nil"/>
              <w:left w:val="nil"/>
              <w:bottom w:val="single" w:sz="6" w:space="0" w:color="auto"/>
              <w:right w:val="nil"/>
            </w:tcBorders>
            <w:shd w:val="clear" w:color="auto" w:fill="auto"/>
            <w:vAlign w:val="bottom"/>
          </w:tcPr>
          <w:p w14:paraId="1A6D1AF1" w14:textId="77777777" w:rsidR="00345E7F" w:rsidRPr="00A96B0F" w:rsidRDefault="00345E7F" w:rsidP="00C450F2">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16</w:t>
            </w:r>
          </w:p>
        </w:tc>
        <w:tc>
          <w:tcPr>
            <w:tcW w:w="556" w:type="pct"/>
            <w:tcBorders>
              <w:top w:val="nil"/>
              <w:left w:val="nil"/>
              <w:bottom w:val="single" w:sz="6" w:space="0" w:color="auto"/>
              <w:right w:val="nil"/>
            </w:tcBorders>
            <w:shd w:val="clear" w:color="auto" w:fill="auto"/>
            <w:vAlign w:val="bottom"/>
          </w:tcPr>
          <w:p w14:paraId="66AF59CD" w14:textId="77777777" w:rsidR="00345E7F" w:rsidRPr="00A96B0F" w:rsidRDefault="00345E7F" w:rsidP="00C450F2">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21</w:t>
            </w:r>
          </w:p>
        </w:tc>
        <w:tc>
          <w:tcPr>
            <w:tcW w:w="621" w:type="pct"/>
            <w:tcBorders>
              <w:top w:val="nil"/>
              <w:left w:val="nil"/>
              <w:bottom w:val="single" w:sz="6" w:space="0" w:color="auto"/>
              <w:right w:val="nil"/>
            </w:tcBorders>
            <w:shd w:val="clear" w:color="auto" w:fill="auto"/>
            <w:vAlign w:val="bottom"/>
          </w:tcPr>
          <w:p w14:paraId="70150DE6" w14:textId="77777777" w:rsidR="00345E7F" w:rsidRPr="00A96B0F" w:rsidRDefault="00345E7F" w:rsidP="00C450F2">
            <w:pPr>
              <w:tabs>
                <w:tab w:val="right" w:pos="1202"/>
              </w:tabs>
              <w:suppressAutoHyphens/>
              <w:autoSpaceDN w:val="0"/>
              <w:spacing w:line="240" w:lineRule="exact"/>
              <w:jc w:val="right"/>
              <w:outlineLvl w:val="0"/>
              <w:rPr>
                <w:rFonts w:ascii="Arial" w:eastAsia="Times New Roman" w:hAnsi="Arial" w:cs="Arial"/>
                <w:color w:val="000000"/>
                <w:sz w:val="17"/>
                <w:szCs w:val="17"/>
              </w:rPr>
            </w:pPr>
            <w:r>
              <w:rPr>
                <w:rFonts w:ascii="Arial" w:eastAsia="Times New Roman" w:hAnsi="Arial" w:cs="Arial"/>
                <w:color w:val="000000"/>
                <w:sz w:val="17"/>
                <w:szCs w:val="17"/>
              </w:rPr>
              <w:t>49</w:t>
            </w:r>
          </w:p>
        </w:tc>
      </w:tr>
      <w:tr w:rsidR="00345E7F" w:rsidRPr="00A96B0F" w14:paraId="776B8CA6" w14:textId="77777777" w:rsidTr="001541F1">
        <w:trPr>
          <w:trHeight w:hRule="exact" w:val="265"/>
        </w:trPr>
        <w:tc>
          <w:tcPr>
            <w:tcW w:w="1597" w:type="pct"/>
            <w:tcBorders>
              <w:top w:val="nil"/>
              <w:left w:val="nil"/>
              <w:bottom w:val="nil"/>
              <w:right w:val="nil"/>
            </w:tcBorders>
            <w:shd w:val="clear" w:color="auto" w:fill="auto"/>
            <w:vAlign w:val="bottom"/>
          </w:tcPr>
          <w:p w14:paraId="415B4074" w14:textId="77777777" w:rsidR="00345E7F" w:rsidRPr="00A96B0F" w:rsidRDefault="00345E7F" w:rsidP="00C450F2">
            <w:pPr>
              <w:tabs>
                <w:tab w:val="right" w:pos="1202"/>
              </w:tabs>
              <w:suppressAutoHyphens/>
              <w:autoSpaceDN w:val="0"/>
              <w:outlineLvl w:val="0"/>
              <w:rPr>
                <w:rFonts w:ascii="Arial" w:eastAsia="Calibri" w:hAnsi="Arial" w:cs="Arial"/>
                <w:color w:val="000000" w:themeColor="text1"/>
                <w:spacing w:val="-2"/>
                <w:sz w:val="17"/>
                <w:szCs w:val="17"/>
              </w:rPr>
            </w:pPr>
            <w:bookmarkStart w:id="883" w:name="_Toc67330508"/>
            <w:r w:rsidRPr="00A96B0F">
              <w:rPr>
                <w:rFonts w:ascii="Arial" w:eastAsia="Times New Roman" w:hAnsi="Arial" w:cs="Arial"/>
                <w:b/>
                <w:bCs/>
                <w:color w:val="000000" w:themeColor="text1"/>
                <w:sz w:val="17"/>
                <w:szCs w:val="17"/>
              </w:rPr>
              <w:t>Ukupne garancije i preuzete obveze</w:t>
            </w:r>
            <w:bookmarkEnd w:id="883"/>
          </w:p>
        </w:tc>
        <w:tc>
          <w:tcPr>
            <w:tcW w:w="557" w:type="pct"/>
            <w:tcBorders>
              <w:top w:val="single" w:sz="6" w:space="0" w:color="auto"/>
              <w:left w:val="nil"/>
              <w:bottom w:val="single" w:sz="12" w:space="0" w:color="auto"/>
              <w:right w:val="nil"/>
            </w:tcBorders>
            <w:shd w:val="clear" w:color="auto" w:fill="auto"/>
            <w:vAlign w:val="bottom"/>
          </w:tcPr>
          <w:p w14:paraId="64C47888" w14:textId="77777777" w:rsidR="00345E7F" w:rsidRPr="00A96B0F" w:rsidRDefault="00345E7F" w:rsidP="00C450F2">
            <w:pPr>
              <w:tabs>
                <w:tab w:val="right" w:pos="1202"/>
              </w:tabs>
              <w:suppressAutoHyphens/>
              <w:autoSpaceDN w:val="0"/>
              <w:jc w:val="right"/>
              <w:outlineLvl w:val="0"/>
              <w:rPr>
                <w:rFonts w:ascii="Arial" w:eastAsia="Times New Roman" w:hAnsi="Arial" w:cs="Arial"/>
                <w:b/>
                <w:color w:val="000000" w:themeColor="text1"/>
                <w:sz w:val="17"/>
                <w:szCs w:val="17"/>
              </w:rPr>
            </w:pPr>
            <w:r>
              <w:rPr>
                <w:rFonts w:ascii="Arial" w:eastAsia="Times New Roman" w:hAnsi="Arial" w:cs="Arial"/>
                <w:b/>
                <w:color w:val="000000" w:themeColor="text1"/>
                <w:sz w:val="17"/>
                <w:szCs w:val="17"/>
              </w:rPr>
              <w:t>527.256</w:t>
            </w:r>
          </w:p>
        </w:tc>
        <w:tc>
          <w:tcPr>
            <w:tcW w:w="557" w:type="pct"/>
            <w:tcBorders>
              <w:top w:val="single" w:sz="6" w:space="0" w:color="auto"/>
              <w:left w:val="nil"/>
              <w:bottom w:val="single" w:sz="12" w:space="0" w:color="auto"/>
              <w:right w:val="nil"/>
            </w:tcBorders>
            <w:shd w:val="clear" w:color="auto" w:fill="auto"/>
            <w:vAlign w:val="bottom"/>
          </w:tcPr>
          <w:p w14:paraId="6050E3CE" w14:textId="77777777" w:rsidR="00345E7F" w:rsidRPr="00207811" w:rsidRDefault="00345E7F" w:rsidP="00C450F2">
            <w:pPr>
              <w:suppressAutoHyphens/>
              <w:autoSpaceDN w:val="0"/>
              <w:jc w:val="right"/>
              <w:rPr>
                <w:rFonts w:ascii="Arial" w:eastAsia="Times New Roman" w:hAnsi="Arial" w:cs="Arial"/>
                <w:b/>
                <w:bCs/>
                <w:color w:val="000000" w:themeColor="text1"/>
                <w:sz w:val="17"/>
                <w:szCs w:val="17"/>
              </w:rPr>
            </w:pPr>
            <w:r w:rsidRPr="00207811">
              <w:rPr>
                <w:rFonts w:ascii="Arial" w:eastAsia="Times New Roman" w:hAnsi="Arial" w:cs="Arial"/>
                <w:b/>
                <w:bCs/>
                <w:color w:val="000000" w:themeColor="text1"/>
                <w:sz w:val="17"/>
                <w:szCs w:val="17"/>
              </w:rPr>
              <w:t>2.780</w:t>
            </w:r>
          </w:p>
        </w:tc>
        <w:tc>
          <w:tcPr>
            <w:tcW w:w="556" w:type="pct"/>
            <w:tcBorders>
              <w:top w:val="single" w:sz="6" w:space="0" w:color="auto"/>
              <w:left w:val="nil"/>
              <w:bottom w:val="single" w:sz="12" w:space="0" w:color="auto"/>
              <w:right w:val="nil"/>
            </w:tcBorders>
            <w:shd w:val="clear" w:color="auto" w:fill="auto"/>
            <w:vAlign w:val="bottom"/>
          </w:tcPr>
          <w:p w14:paraId="1A402CFB" w14:textId="77777777" w:rsidR="00345E7F" w:rsidRPr="00207811" w:rsidRDefault="00345E7F" w:rsidP="00C450F2">
            <w:pPr>
              <w:suppressAutoHyphens/>
              <w:autoSpaceDN w:val="0"/>
              <w:jc w:val="right"/>
              <w:rPr>
                <w:rFonts w:ascii="Arial" w:eastAsia="Times New Roman" w:hAnsi="Arial" w:cs="Arial"/>
                <w:b/>
                <w:bCs/>
                <w:color w:val="000000" w:themeColor="text1"/>
                <w:sz w:val="17"/>
                <w:szCs w:val="17"/>
              </w:rPr>
            </w:pPr>
            <w:r w:rsidRPr="00207811">
              <w:rPr>
                <w:rFonts w:ascii="Arial" w:eastAsia="Times New Roman" w:hAnsi="Arial" w:cs="Arial"/>
                <w:b/>
                <w:bCs/>
                <w:color w:val="000000" w:themeColor="text1"/>
                <w:sz w:val="17"/>
                <w:szCs w:val="17"/>
              </w:rPr>
              <w:t>5.930</w:t>
            </w:r>
          </w:p>
        </w:tc>
        <w:tc>
          <w:tcPr>
            <w:tcW w:w="556" w:type="pct"/>
            <w:tcBorders>
              <w:top w:val="single" w:sz="6" w:space="0" w:color="auto"/>
              <w:left w:val="nil"/>
              <w:bottom w:val="single" w:sz="12" w:space="0" w:color="auto"/>
              <w:right w:val="nil"/>
            </w:tcBorders>
            <w:shd w:val="clear" w:color="auto" w:fill="auto"/>
            <w:vAlign w:val="bottom"/>
          </w:tcPr>
          <w:p w14:paraId="2B0A562D" w14:textId="77777777" w:rsidR="00345E7F" w:rsidRPr="00207811" w:rsidRDefault="00345E7F" w:rsidP="00C450F2">
            <w:pPr>
              <w:suppressAutoHyphens/>
              <w:autoSpaceDN w:val="0"/>
              <w:jc w:val="right"/>
              <w:rPr>
                <w:rFonts w:ascii="Arial" w:eastAsia="Times New Roman" w:hAnsi="Arial" w:cs="Arial"/>
                <w:b/>
                <w:bCs/>
                <w:color w:val="000000" w:themeColor="text1"/>
                <w:sz w:val="17"/>
                <w:szCs w:val="17"/>
              </w:rPr>
            </w:pPr>
            <w:r w:rsidRPr="00207811">
              <w:rPr>
                <w:rFonts w:ascii="Arial" w:eastAsia="Times New Roman" w:hAnsi="Arial" w:cs="Arial"/>
                <w:b/>
                <w:bCs/>
                <w:color w:val="000000" w:themeColor="text1"/>
                <w:sz w:val="17"/>
                <w:szCs w:val="17"/>
              </w:rPr>
              <w:t>13.565</w:t>
            </w:r>
          </w:p>
        </w:tc>
        <w:tc>
          <w:tcPr>
            <w:tcW w:w="556" w:type="pct"/>
            <w:tcBorders>
              <w:top w:val="single" w:sz="6" w:space="0" w:color="auto"/>
              <w:left w:val="nil"/>
              <w:bottom w:val="single" w:sz="12" w:space="0" w:color="auto"/>
              <w:right w:val="nil"/>
            </w:tcBorders>
            <w:shd w:val="clear" w:color="auto" w:fill="auto"/>
            <w:vAlign w:val="bottom"/>
          </w:tcPr>
          <w:p w14:paraId="4698D0A4" w14:textId="77777777" w:rsidR="00345E7F" w:rsidRPr="00207811" w:rsidRDefault="00345E7F" w:rsidP="00C450F2">
            <w:pPr>
              <w:suppressAutoHyphens/>
              <w:autoSpaceDN w:val="0"/>
              <w:jc w:val="right"/>
              <w:rPr>
                <w:rFonts w:ascii="Arial" w:eastAsia="Times New Roman" w:hAnsi="Arial" w:cs="Arial"/>
                <w:b/>
                <w:bCs/>
                <w:color w:val="000000" w:themeColor="text1"/>
                <w:sz w:val="17"/>
                <w:szCs w:val="17"/>
              </w:rPr>
            </w:pPr>
            <w:r w:rsidRPr="00207811">
              <w:rPr>
                <w:rFonts w:ascii="Arial" w:eastAsia="Times New Roman" w:hAnsi="Arial" w:cs="Arial"/>
                <w:b/>
                <w:bCs/>
                <w:color w:val="000000" w:themeColor="text1"/>
                <w:sz w:val="17"/>
                <w:szCs w:val="17"/>
              </w:rPr>
              <w:t>5.080</w:t>
            </w:r>
          </w:p>
        </w:tc>
        <w:tc>
          <w:tcPr>
            <w:tcW w:w="621" w:type="pct"/>
            <w:tcBorders>
              <w:top w:val="single" w:sz="6" w:space="0" w:color="auto"/>
              <w:left w:val="nil"/>
              <w:bottom w:val="single" w:sz="12" w:space="0" w:color="auto"/>
              <w:right w:val="nil"/>
            </w:tcBorders>
            <w:shd w:val="clear" w:color="auto" w:fill="auto"/>
            <w:vAlign w:val="bottom"/>
          </w:tcPr>
          <w:p w14:paraId="6F890AAD" w14:textId="77777777" w:rsidR="00345E7F" w:rsidRPr="00A96B0F" w:rsidRDefault="00345E7F" w:rsidP="00C450F2">
            <w:pPr>
              <w:tabs>
                <w:tab w:val="right" w:pos="1202"/>
              </w:tabs>
              <w:suppressAutoHyphens/>
              <w:autoSpaceDN w:val="0"/>
              <w:jc w:val="right"/>
              <w:outlineLvl w:val="0"/>
              <w:rPr>
                <w:rFonts w:ascii="Arial" w:eastAsia="Times New Roman" w:hAnsi="Arial" w:cs="Arial"/>
                <w:b/>
                <w:color w:val="000000" w:themeColor="text1"/>
                <w:sz w:val="17"/>
                <w:szCs w:val="17"/>
              </w:rPr>
            </w:pPr>
            <w:r>
              <w:rPr>
                <w:rFonts w:ascii="Arial" w:eastAsia="Times New Roman" w:hAnsi="Arial" w:cs="Arial"/>
                <w:b/>
                <w:color w:val="000000" w:themeColor="text1"/>
                <w:sz w:val="17"/>
                <w:szCs w:val="17"/>
              </w:rPr>
              <w:t>554.611</w:t>
            </w:r>
          </w:p>
        </w:tc>
      </w:tr>
    </w:tbl>
    <w:p w14:paraId="721397B9" w14:textId="77777777" w:rsidR="000C7E59" w:rsidRDefault="000C7E59" w:rsidP="000C7E59">
      <w:pPr>
        <w:suppressAutoHyphens/>
        <w:autoSpaceDN w:val="0"/>
        <w:jc w:val="both"/>
        <w:outlineLvl w:val="0"/>
        <w:rPr>
          <w:rFonts w:ascii="Arial" w:eastAsia="Times New Roman" w:hAnsi="Arial" w:cs="Arial"/>
          <w:b/>
          <w:bCs/>
          <w:color w:val="000000" w:themeColor="text1"/>
          <w:sz w:val="20"/>
          <w:szCs w:val="20"/>
        </w:rPr>
      </w:pPr>
    </w:p>
    <w:p w14:paraId="1A6C0FC3" w14:textId="77777777" w:rsidR="0085105D" w:rsidRPr="003D1614" w:rsidRDefault="0085105D" w:rsidP="000C7E59">
      <w:pPr>
        <w:suppressAutoHyphens/>
        <w:autoSpaceDN w:val="0"/>
        <w:jc w:val="both"/>
        <w:outlineLvl w:val="0"/>
        <w:rPr>
          <w:rFonts w:ascii="Arial" w:eastAsia="Times New Roman" w:hAnsi="Arial" w:cs="Arial"/>
          <w:b/>
          <w:bCs/>
          <w:color w:val="000000" w:themeColor="text1"/>
          <w:sz w:val="20"/>
          <w:szCs w:val="20"/>
        </w:rPr>
      </w:pPr>
    </w:p>
    <w:p w14:paraId="3FBB15BC" w14:textId="15953179" w:rsidR="000C7E59" w:rsidRPr="003D1614" w:rsidRDefault="000C7E59" w:rsidP="00661446">
      <w:pPr>
        <w:suppressAutoHyphens/>
        <w:autoSpaceDN w:val="0"/>
        <w:jc w:val="both"/>
        <w:rPr>
          <w:rFonts w:ascii="Arial" w:eastAsia="Times New Roman" w:hAnsi="Arial" w:cs="Arial"/>
          <w:bCs/>
          <w:i/>
          <w:color w:val="000000" w:themeColor="text1"/>
          <w:sz w:val="18"/>
          <w:szCs w:val="18"/>
        </w:rPr>
      </w:pPr>
    </w:p>
    <w:tbl>
      <w:tblPr>
        <w:tblW w:w="5393" w:type="pct"/>
        <w:tblInd w:w="-499" w:type="dxa"/>
        <w:tblLayout w:type="fixed"/>
        <w:tblCellMar>
          <w:left w:w="120" w:type="dxa"/>
          <w:right w:w="120" w:type="dxa"/>
        </w:tblCellMar>
        <w:tblLook w:val="0000" w:firstRow="0" w:lastRow="0" w:firstColumn="0" w:lastColumn="0" w:noHBand="0" w:noVBand="0"/>
      </w:tblPr>
      <w:tblGrid>
        <w:gridCol w:w="3126"/>
        <w:gridCol w:w="1090"/>
        <w:gridCol w:w="1090"/>
        <w:gridCol w:w="1088"/>
        <w:gridCol w:w="1088"/>
        <w:gridCol w:w="1088"/>
        <w:gridCol w:w="1215"/>
      </w:tblGrid>
      <w:tr w:rsidR="0085105D" w:rsidRPr="00C40415" w14:paraId="37B385E0" w14:textId="77777777" w:rsidTr="0034622E">
        <w:trPr>
          <w:trHeight w:val="485"/>
        </w:trPr>
        <w:tc>
          <w:tcPr>
            <w:tcW w:w="1597" w:type="pct"/>
          </w:tcPr>
          <w:p w14:paraId="7F1A01A7" w14:textId="77777777" w:rsidR="0085105D" w:rsidRPr="00C40415" w:rsidRDefault="0085105D" w:rsidP="0034622E">
            <w:pPr>
              <w:tabs>
                <w:tab w:val="right" w:pos="1202"/>
              </w:tabs>
              <w:spacing w:line="240" w:lineRule="atLeast"/>
              <w:outlineLvl w:val="0"/>
              <w:rPr>
                <w:rFonts w:ascii="Arial" w:hAnsi="Arial" w:cs="Arial"/>
                <w:b/>
                <w:color w:val="000000" w:themeColor="text1"/>
                <w:sz w:val="17"/>
                <w:szCs w:val="17"/>
              </w:rPr>
            </w:pPr>
            <w:r w:rsidRPr="00C40415">
              <w:rPr>
                <w:rFonts w:ascii="Arial" w:hAnsi="Arial" w:cs="Arial"/>
                <w:b/>
                <w:color w:val="000000" w:themeColor="text1"/>
                <w:sz w:val="17"/>
                <w:szCs w:val="17"/>
              </w:rPr>
              <w:t>Banka</w:t>
            </w:r>
          </w:p>
          <w:p w14:paraId="23BE5616" w14:textId="77777777" w:rsidR="0085105D" w:rsidRPr="00C40415" w:rsidRDefault="0085105D" w:rsidP="0034622E">
            <w:pPr>
              <w:tabs>
                <w:tab w:val="right" w:pos="1202"/>
              </w:tabs>
              <w:spacing w:line="240" w:lineRule="atLeast"/>
              <w:outlineLvl w:val="0"/>
              <w:rPr>
                <w:rFonts w:ascii="Arial" w:hAnsi="Arial" w:cs="Arial"/>
                <w:b/>
                <w:color w:val="000000" w:themeColor="text1"/>
                <w:sz w:val="17"/>
                <w:szCs w:val="17"/>
              </w:rPr>
            </w:pPr>
            <w:r w:rsidRPr="00C40415">
              <w:rPr>
                <w:rFonts w:ascii="Arial" w:hAnsi="Arial" w:cs="Arial"/>
                <w:b/>
                <w:color w:val="000000" w:themeColor="text1"/>
                <w:sz w:val="17"/>
                <w:szCs w:val="17"/>
              </w:rPr>
              <w:t>31. prosinca 202</w:t>
            </w:r>
            <w:r>
              <w:rPr>
                <w:rFonts w:ascii="Arial" w:hAnsi="Arial" w:cs="Arial"/>
                <w:b/>
                <w:color w:val="000000" w:themeColor="text1"/>
                <w:sz w:val="17"/>
                <w:szCs w:val="17"/>
              </w:rPr>
              <w:t>3</w:t>
            </w:r>
            <w:r w:rsidRPr="00C40415">
              <w:rPr>
                <w:rFonts w:ascii="Arial" w:hAnsi="Arial" w:cs="Arial"/>
                <w:b/>
                <w:color w:val="000000" w:themeColor="text1"/>
                <w:sz w:val="17"/>
                <w:szCs w:val="17"/>
              </w:rPr>
              <w:t xml:space="preserve">. </w:t>
            </w:r>
          </w:p>
        </w:tc>
        <w:tc>
          <w:tcPr>
            <w:tcW w:w="557" w:type="pct"/>
          </w:tcPr>
          <w:p w14:paraId="57F94B8E" w14:textId="77777777" w:rsidR="0085105D" w:rsidRPr="00C40415" w:rsidRDefault="0085105D" w:rsidP="0034622E">
            <w:pPr>
              <w:tabs>
                <w:tab w:val="right" w:pos="1202"/>
              </w:tabs>
              <w:spacing w:line="240" w:lineRule="atLeast"/>
              <w:jc w:val="right"/>
              <w:outlineLvl w:val="0"/>
              <w:rPr>
                <w:rFonts w:ascii="Arial" w:hAnsi="Arial" w:cs="Arial"/>
                <w:b/>
                <w:color w:val="000000" w:themeColor="text1"/>
                <w:sz w:val="17"/>
                <w:szCs w:val="17"/>
              </w:rPr>
            </w:pPr>
            <w:r w:rsidRPr="00C40415">
              <w:rPr>
                <w:rFonts w:ascii="Arial" w:hAnsi="Arial" w:cs="Arial"/>
                <w:b/>
                <w:color w:val="000000" w:themeColor="text1"/>
                <w:sz w:val="17"/>
                <w:szCs w:val="17"/>
              </w:rPr>
              <w:t>Do 1 mjesec</w:t>
            </w:r>
          </w:p>
        </w:tc>
        <w:tc>
          <w:tcPr>
            <w:tcW w:w="557" w:type="pct"/>
          </w:tcPr>
          <w:p w14:paraId="11D45DF5" w14:textId="77777777" w:rsidR="0085105D" w:rsidRPr="00C40415" w:rsidRDefault="0085105D" w:rsidP="0034622E">
            <w:pPr>
              <w:tabs>
                <w:tab w:val="right" w:pos="1202"/>
              </w:tabs>
              <w:spacing w:line="240" w:lineRule="atLeast"/>
              <w:jc w:val="right"/>
              <w:outlineLvl w:val="0"/>
              <w:rPr>
                <w:rFonts w:ascii="Arial" w:hAnsi="Arial" w:cs="Arial"/>
                <w:b/>
                <w:color w:val="000000" w:themeColor="text1"/>
                <w:sz w:val="17"/>
                <w:szCs w:val="17"/>
              </w:rPr>
            </w:pPr>
            <w:r w:rsidRPr="00C40415">
              <w:rPr>
                <w:rFonts w:ascii="Arial" w:hAnsi="Arial" w:cs="Arial"/>
                <w:b/>
                <w:color w:val="000000" w:themeColor="text1"/>
                <w:sz w:val="17"/>
                <w:szCs w:val="17"/>
              </w:rPr>
              <w:t>1 do 3 mjeseca</w:t>
            </w:r>
          </w:p>
        </w:tc>
        <w:tc>
          <w:tcPr>
            <w:tcW w:w="556" w:type="pct"/>
          </w:tcPr>
          <w:p w14:paraId="1B252B8A" w14:textId="77777777" w:rsidR="0085105D" w:rsidRPr="00C40415" w:rsidRDefault="0085105D" w:rsidP="0034622E">
            <w:pPr>
              <w:tabs>
                <w:tab w:val="right" w:pos="1202"/>
              </w:tabs>
              <w:spacing w:line="240" w:lineRule="atLeast"/>
              <w:jc w:val="right"/>
              <w:outlineLvl w:val="0"/>
              <w:rPr>
                <w:rFonts w:ascii="Arial" w:hAnsi="Arial" w:cs="Arial"/>
                <w:b/>
                <w:color w:val="000000" w:themeColor="text1"/>
                <w:sz w:val="17"/>
                <w:szCs w:val="17"/>
              </w:rPr>
            </w:pPr>
            <w:r w:rsidRPr="00C40415">
              <w:rPr>
                <w:rFonts w:ascii="Arial" w:hAnsi="Arial" w:cs="Arial"/>
                <w:b/>
                <w:color w:val="000000" w:themeColor="text1"/>
                <w:sz w:val="17"/>
                <w:szCs w:val="17"/>
              </w:rPr>
              <w:t>3 mj. do 1 godine</w:t>
            </w:r>
          </w:p>
        </w:tc>
        <w:tc>
          <w:tcPr>
            <w:tcW w:w="556" w:type="pct"/>
          </w:tcPr>
          <w:p w14:paraId="7C041510" w14:textId="77777777" w:rsidR="0085105D" w:rsidRPr="00C40415" w:rsidRDefault="0085105D" w:rsidP="0034622E">
            <w:pPr>
              <w:tabs>
                <w:tab w:val="right" w:pos="1202"/>
              </w:tabs>
              <w:spacing w:line="240" w:lineRule="atLeast"/>
              <w:jc w:val="right"/>
              <w:outlineLvl w:val="0"/>
              <w:rPr>
                <w:rFonts w:ascii="Arial" w:hAnsi="Arial" w:cs="Arial"/>
                <w:b/>
                <w:color w:val="000000" w:themeColor="text1"/>
                <w:sz w:val="17"/>
                <w:szCs w:val="17"/>
              </w:rPr>
            </w:pPr>
            <w:r w:rsidRPr="00C40415">
              <w:rPr>
                <w:rFonts w:ascii="Arial" w:hAnsi="Arial" w:cs="Arial"/>
                <w:b/>
                <w:color w:val="000000" w:themeColor="text1"/>
                <w:sz w:val="17"/>
                <w:szCs w:val="17"/>
              </w:rPr>
              <w:t>1 do 3 godina</w:t>
            </w:r>
          </w:p>
        </w:tc>
        <w:tc>
          <w:tcPr>
            <w:tcW w:w="556" w:type="pct"/>
          </w:tcPr>
          <w:p w14:paraId="43A8EF0A" w14:textId="77777777" w:rsidR="0085105D" w:rsidRPr="00C40415" w:rsidRDefault="0085105D" w:rsidP="0034622E">
            <w:pPr>
              <w:tabs>
                <w:tab w:val="right" w:pos="1202"/>
              </w:tabs>
              <w:spacing w:line="240" w:lineRule="atLeast"/>
              <w:jc w:val="right"/>
              <w:outlineLvl w:val="0"/>
              <w:rPr>
                <w:rFonts w:ascii="Arial" w:hAnsi="Arial" w:cs="Arial"/>
                <w:b/>
                <w:color w:val="000000" w:themeColor="text1"/>
                <w:sz w:val="17"/>
                <w:szCs w:val="17"/>
              </w:rPr>
            </w:pPr>
            <w:r w:rsidRPr="00C40415">
              <w:rPr>
                <w:rFonts w:ascii="Arial" w:hAnsi="Arial" w:cs="Arial"/>
                <w:b/>
                <w:color w:val="000000" w:themeColor="text1"/>
                <w:sz w:val="17"/>
                <w:szCs w:val="17"/>
              </w:rPr>
              <w:t>Preko 3 godine</w:t>
            </w:r>
          </w:p>
        </w:tc>
        <w:tc>
          <w:tcPr>
            <w:tcW w:w="621" w:type="pct"/>
          </w:tcPr>
          <w:p w14:paraId="42E71F96" w14:textId="77777777" w:rsidR="0085105D" w:rsidRPr="00C40415" w:rsidRDefault="0085105D" w:rsidP="0034622E">
            <w:pPr>
              <w:tabs>
                <w:tab w:val="right" w:pos="1202"/>
              </w:tabs>
              <w:spacing w:line="240" w:lineRule="atLeast"/>
              <w:jc w:val="right"/>
              <w:outlineLvl w:val="0"/>
              <w:rPr>
                <w:rFonts w:ascii="Arial" w:hAnsi="Arial" w:cs="Arial"/>
                <w:b/>
                <w:color w:val="000000" w:themeColor="text1"/>
                <w:sz w:val="17"/>
                <w:szCs w:val="17"/>
              </w:rPr>
            </w:pPr>
            <w:r w:rsidRPr="00C40415">
              <w:rPr>
                <w:rFonts w:ascii="Arial" w:hAnsi="Arial" w:cs="Arial"/>
                <w:b/>
                <w:color w:val="000000" w:themeColor="text1"/>
                <w:sz w:val="17"/>
                <w:szCs w:val="17"/>
              </w:rPr>
              <w:t>Ukupno</w:t>
            </w:r>
          </w:p>
        </w:tc>
      </w:tr>
      <w:tr w:rsidR="0085105D" w:rsidRPr="00C40415" w14:paraId="3F452265" w14:textId="77777777" w:rsidTr="0034622E">
        <w:trPr>
          <w:trHeight w:val="242"/>
        </w:trPr>
        <w:tc>
          <w:tcPr>
            <w:tcW w:w="1597" w:type="pct"/>
            <w:vAlign w:val="bottom"/>
          </w:tcPr>
          <w:p w14:paraId="7D23A7AE" w14:textId="77777777" w:rsidR="0085105D" w:rsidRPr="00C40415" w:rsidRDefault="0085105D" w:rsidP="0034622E">
            <w:pPr>
              <w:tabs>
                <w:tab w:val="left" w:pos="-720"/>
              </w:tabs>
              <w:suppressAutoHyphens/>
              <w:jc w:val="center"/>
              <w:rPr>
                <w:rFonts w:ascii="Arial" w:hAnsi="Arial" w:cs="Arial"/>
                <w:b/>
                <w:color w:val="000000" w:themeColor="text1"/>
                <w:spacing w:val="-2"/>
                <w:sz w:val="17"/>
                <w:szCs w:val="17"/>
              </w:rPr>
            </w:pPr>
          </w:p>
        </w:tc>
        <w:tc>
          <w:tcPr>
            <w:tcW w:w="557" w:type="pct"/>
            <w:tcBorders>
              <w:top w:val="nil"/>
              <w:left w:val="nil"/>
              <w:bottom w:val="nil"/>
              <w:right w:val="nil"/>
            </w:tcBorders>
            <w:shd w:val="clear" w:color="auto" w:fill="auto"/>
            <w:vAlign w:val="bottom"/>
          </w:tcPr>
          <w:p w14:paraId="5BE4BF16" w14:textId="77777777" w:rsidR="0085105D" w:rsidRPr="00C40415" w:rsidRDefault="0085105D" w:rsidP="0034622E">
            <w:pPr>
              <w:tabs>
                <w:tab w:val="right" w:pos="1202"/>
                <w:tab w:val="center" w:pos="4153"/>
                <w:tab w:val="right" w:pos="8306"/>
              </w:tabs>
              <w:spacing w:line="301" w:lineRule="exact"/>
              <w:jc w:val="right"/>
              <w:outlineLvl w:val="0"/>
              <w:rPr>
                <w:rFonts w:ascii="Arial" w:hAnsi="Arial" w:cs="Arial"/>
                <w:b/>
                <w:color w:val="000000" w:themeColor="text1"/>
                <w:sz w:val="17"/>
                <w:szCs w:val="17"/>
              </w:rPr>
            </w:pPr>
            <w:r w:rsidRPr="00622C96">
              <w:rPr>
                <w:rFonts w:ascii="Arial" w:eastAsia="Calibri" w:hAnsi="Arial" w:cs="Arial"/>
                <w:b/>
                <w:color w:val="000000" w:themeColor="text1"/>
                <w:sz w:val="17"/>
                <w:szCs w:val="17"/>
              </w:rPr>
              <w:t>000 eura</w:t>
            </w:r>
          </w:p>
        </w:tc>
        <w:tc>
          <w:tcPr>
            <w:tcW w:w="557" w:type="pct"/>
            <w:tcBorders>
              <w:top w:val="nil"/>
              <w:left w:val="nil"/>
              <w:bottom w:val="nil"/>
              <w:right w:val="nil"/>
            </w:tcBorders>
            <w:shd w:val="clear" w:color="auto" w:fill="auto"/>
            <w:vAlign w:val="bottom"/>
          </w:tcPr>
          <w:p w14:paraId="71839903" w14:textId="77777777" w:rsidR="0085105D" w:rsidRPr="00C40415" w:rsidRDefault="0085105D" w:rsidP="0034622E">
            <w:pPr>
              <w:tabs>
                <w:tab w:val="right" w:pos="1202"/>
                <w:tab w:val="center" w:pos="4153"/>
                <w:tab w:val="right" w:pos="8306"/>
              </w:tabs>
              <w:spacing w:line="301" w:lineRule="exact"/>
              <w:jc w:val="right"/>
              <w:outlineLvl w:val="0"/>
              <w:rPr>
                <w:rFonts w:ascii="Arial" w:hAnsi="Arial" w:cs="Arial"/>
                <w:b/>
                <w:color w:val="000000" w:themeColor="text1"/>
                <w:sz w:val="17"/>
                <w:szCs w:val="17"/>
              </w:rPr>
            </w:pPr>
            <w:r w:rsidRPr="00622C96">
              <w:rPr>
                <w:rFonts w:ascii="Arial" w:eastAsia="Calibri" w:hAnsi="Arial" w:cs="Arial"/>
                <w:b/>
                <w:color w:val="000000" w:themeColor="text1"/>
                <w:sz w:val="17"/>
                <w:szCs w:val="17"/>
              </w:rPr>
              <w:t>000 eura</w:t>
            </w:r>
          </w:p>
        </w:tc>
        <w:tc>
          <w:tcPr>
            <w:tcW w:w="556" w:type="pct"/>
            <w:tcBorders>
              <w:top w:val="nil"/>
              <w:left w:val="nil"/>
              <w:bottom w:val="nil"/>
              <w:right w:val="nil"/>
            </w:tcBorders>
            <w:shd w:val="clear" w:color="auto" w:fill="auto"/>
            <w:vAlign w:val="bottom"/>
          </w:tcPr>
          <w:p w14:paraId="6092091D" w14:textId="77777777" w:rsidR="0085105D" w:rsidRPr="00C40415" w:rsidRDefault="0085105D" w:rsidP="0034622E">
            <w:pPr>
              <w:tabs>
                <w:tab w:val="right" w:pos="1202"/>
                <w:tab w:val="center" w:pos="4153"/>
                <w:tab w:val="right" w:pos="8306"/>
              </w:tabs>
              <w:spacing w:line="301" w:lineRule="exact"/>
              <w:jc w:val="right"/>
              <w:outlineLvl w:val="0"/>
              <w:rPr>
                <w:rFonts w:ascii="Arial" w:hAnsi="Arial" w:cs="Arial"/>
                <w:b/>
                <w:color w:val="000000" w:themeColor="text1"/>
                <w:sz w:val="17"/>
                <w:szCs w:val="17"/>
              </w:rPr>
            </w:pPr>
            <w:r w:rsidRPr="00622C96">
              <w:rPr>
                <w:rFonts w:ascii="Arial" w:eastAsia="Calibri" w:hAnsi="Arial" w:cs="Arial"/>
                <w:b/>
                <w:color w:val="000000" w:themeColor="text1"/>
                <w:sz w:val="17"/>
                <w:szCs w:val="17"/>
              </w:rPr>
              <w:t>000 eura</w:t>
            </w:r>
          </w:p>
        </w:tc>
        <w:tc>
          <w:tcPr>
            <w:tcW w:w="556" w:type="pct"/>
            <w:tcBorders>
              <w:top w:val="nil"/>
              <w:left w:val="nil"/>
              <w:bottom w:val="nil"/>
              <w:right w:val="nil"/>
            </w:tcBorders>
            <w:shd w:val="clear" w:color="auto" w:fill="auto"/>
            <w:vAlign w:val="bottom"/>
          </w:tcPr>
          <w:p w14:paraId="5D7495A5" w14:textId="77777777" w:rsidR="0085105D" w:rsidRPr="00C40415" w:rsidRDefault="0085105D" w:rsidP="0034622E">
            <w:pPr>
              <w:tabs>
                <w:tab w:val="right" w:pos="1202"/>
                <w:tab w:val="center" w:pos="4153"/>
                <w:tab w:val="right" w:pos="8306"/>
              </w:tabs>
              <w:spacing w:line="301" w:lineRule="exact"/>
              <w:jc w:val="right"/>
              <w:outlineLvl w:val="0"/>
              <w:rPr>
                <w:rFonts w:ascii="Arial" w:hAnsi="Arial" w:cs="Arial"/>
                <w:b/>
                <w:color w:val="000000" w:themeColor="text1"/>
                <w:sz w:val="17"/>
                <w:szCs w:val="17"/>
              </w:rPr>
            </w:pPr>
            <w:r w:rsidRPr="00622C96">
              <w:rPr>
                <w:rFonts w:ascii="Arial" w:eastAsia="Calibri" w:hAnsi="Arial" w:cs="Arial"/>
                <w:b/>
                <w:color w:val="000000" w:themeColor="text1"/>
                <w:sz w:val="17"/>
                <w:szCs w:val="17"/>
              </w:rPr>
              <w:t>000 eura</w:t>
            </w:r>
          </w:p>
        </w:tc>
        <w:tc>
          <w:tcPr>
            <w:tcW w:w="556" w:type="pct"/>
            <w:tcBorders>
              <w:top w:val="nil"/>
              <w:left w:val="nil"/>
              <w:bottom w:val="nil"/>
              <w:right w:val="nil"/>
            </w:tcBorders>
            <w:shd w:val="clear" w:color="auto" w:fill="auto"/>
            <w:vAlign w:val="bottom"/>
          </w:tcPr>
          <w:p w14:paraId="5C9DBB4C" w14:textId="77777777" w:rsidR="0085105D" w:rsidRPr="00C40415" w:rsidRDefault="0085105D" w:rsidP="0034622E">
            <w:pPr>
              <w:tabs>
                <w:tab w:val="right" w:pos="1202"/>
                <w:tab w:val="center" w:pos="4153"/>
                <w:tab w:val="right" w:pos="8306"/>
              </w:tabs>
              <w:spacing w:line="301" w:lineRule="exact"/>
              <w:jc w:val="right"/>
              <w:outlineLvl w:val="0"/>
              <w:rPr>
                <w:rFonts w:ascii="Arial" w:hAnsi="Arial" w:cs="Arial"/>
                <w:b/>
                <w:color w:val="000000" w:themeColor="text1"/>
                <w:sz w:val="17"/>
                <w:szCs w:val="17"/>
              </w:rPr>
            </w:pPr>
            <w:r w:rsidRPr="00622C96">
              <w:rPr>
                <w:rFonts w:ascii="Arial" w:eastAsia="Calibri" w:hAnsi="Arial" w:cs="Arial"/>
                <w:b/>
                <w:color w:val="000000" w:themeColor="text1"/>
                <w:sz w:val="17"/>
                <w:szCs w:val="17"/>
              </w:rPr>
              <w:t>000 eura</w:t>
            </w:r>
          </w:p>
        </w:tc>
        <w:tc>
          <w:tcPr>
            <w:tcW w:w="621" w:type="pct"/>
            <w:vAlign w:val="bottom"/>
          </w:tcPr>
          <w:p w14:paraId="2A274314" w14:textId="77777777" w:rsidR="0085105D" w:rsidRPr="00C40415" w:rsidRDefault="0085105D" w:rsidP="0034622E">
            <w:pPr>
              <w:tabs>
                <w:tab w:val="right" w:pos="1202"/>
                <w:tab w:val="center" w:pos="4153"/>
                <w:tab w:val="right" w:pos="8306"/>
              </w:tabs>
              <w:spacing w:line="301" w:lineRule="exact"/>
              <w:jc w:val="right"/>
              <w:outlineLvl w:val="0"/>
              <w:rPr>
                <w:rFonts w:ascii="Arial" w:hAnsi="Arial" w:cs="Arial"/>
                <w:b/>
                <w:color w:val="000000" w:themeColor="text1"/>
                <w:sz w:val="17"/>
                <w:szCs w:val="17"/>
              </w:rPr>
            </w:pPr>
            <w:r w:rsidRPr="00622C96">
              <w:rPr>
                <w:rFonts w:ascii="Arial" w:hAnsi="Arial" w:cs="Arial"/>
                <w:b/>
                <w:color w:val="000000" w:themeColor="text1"/>
                <w:sz w:val="17"/>
                <w:szCs w:val="17"/>
              </w:rPr>
              <w:t>000 eura</w:t>
            </w:r>
          </w:p>
        </w:tc>
      </w:tr>
      <w:tr w:rsidR="0085105D" w:rsidRPr="00C40415" w14:paraId="1B65F24C" w14:textId="77777777" w:rsidTr="0034622E">
        <w:trPr>
          <w:trHeight w:hRule="exact" w:val="211"/>
        </w:trPr>
        <w:tc>
          <w:tcPr>
            <w:tcW w:w="1597" w:type="pct"/>
            <w:vAlign w:val="bottom"/>
          </w:tcPr>
          <w:p w14:paraId="5A454525" w14:textId="77777777" w:rsidR="0085105D" w:rsidRPr="00C40415" w:rsidRDefault="0085105D" w:rsidP="0034622E">
            <w:pPr>
              <w:tabs>
                <w:tab w:val="right" w:pos="1202"/>
              </w:tabs>
              <w:outlineLvl w:val="0"/>
              <w:rPr>
                <w:rFonts w:ascii="Arial" w:hAnsi="Arial" w:cs="Arial"/>
                <w:b/>
                <w:bCs/>
                <w:color w:val="000000" w:themeColor="text1"/>
                <w:sz w:val="17"/>
                <w:szCs w:val="17"/>
              </w:rPr>
            </w:pPr>
            <w:r w:rsidRPr="00C40415">
              <w:rPr>
                <w:rFonts w:ascii="Arial" w:hAnsi="Arial" w:cs="Arial"/>
                <w:b/>
                <w:bCs/>
                <w:color w:val="000000" w:themeColor="text1"/>
                <w:sz w:val="17"/>
                <w:szCs w:val="17"/>
              </w:rPr>
              <w:t>Financijske obveze</w:t>
            </w:r>
          </w:p>
        </w:tc>
        <w:tc>
          <w:tcPr>
            <w:tcW w:w="557" w:type="pct"/>
          </w:tcPr>
          <w:p w14:paraId="2E7A8F15" w14:textId="77777777" w:rsidR="0085105D" w:rsidRPr="00C40415" w:rsidRDefault="0085105D" w:rsidP="0034622E">
            <w:pPr>
              <w:tabs>
                <w:tab w:val="right" w:pos="1202"/>
                <w:tab w:val="center" w:pos="4153"/>
                <w:tab w:val="right" w:pos="8306"/>
              </w:tabs>
              <w:jc w:val="right"/>
              <w:outlineLvl w:val="0"/>
              <w:rPr>
                <w:rFonts w:ascii="Arial" w:hAnsi="Arial" w:cs="Arial"/>
                <w:color w:val="000000" w:themeColor="text1"/>
                <w:sz w:val="17"/>
                <w:szCs w:val="17"/>
              </w:rPr>
            </w:pPr>
          </w:p>
        </w:tc>
        <w:tc>
          <w:tcPr>
            <w:tcW w:w="557" w:type="pct"/>
          </w:tcPr>
          <w:p w14:paraId="2ECFEF06" w14:textId="77777777" w:rsidR="0085105D" w:rsidRPr="00C40415" w:rsidRDefault="0085105D" w:rsidP="0034622E">
            <w:pPr>
              <w:tabs>
                <w:tab w:val="right" w:pos="1202"/>
                <w:tab w:val="center" w:pos="4153"/>
                <w:tab w:val="right" w:pos="8306"/>
              </w:tabs>
              <w:jc w:val="right"/>
              <w:outlineLvl w:val="0"/>
              <w:rPr>
                <w:rFonts w:ascii="Arial" w:hAnsi="Arial" w:cs="Arial"/>
                <w:color w:val="000000" w:themeColor="text1"/>
                <w:sz w:val="17"/>
                <w:szCs w:val="17"/>
              </w:rPr>
            </w:pPr>
          </w:p>
        </w:tc>
        <w:tc>
          <w:tcPr>
            <w:tcW w:w="556" w:type="pct"/>
          </w:tcPr>
          <w:p w14:paraId="7A117D36" w14:textId="77777777" w:rsidR="0085105D" w:rsidRPr="00C40415" w:rsidRDefault="0085105D" w:rsidP="0034622E">
            <w:pPr>
              <w:tabs>
                <w:tab w:val="right" w:pos="1202"/>
                <w:tab w:val="center" w:pos="4153"/>
                <w:tab w:val="right" w:pos="8306"/>
              </w:tabs>
              <w:jc w:val="right"/>
              <w:outlineLvl w:val="0"/>
              <w:rPr>
                <w:rFonts w:ascii="Arial" w:hAnsi="Arial" w:cs="Arial"/>
                <w:color w:val="000000" w:themeColor="text1"/>
                <w:sz w:val="17"/>
                <w:szCs w:val="17"/>
              </w:rPr>
            </w:pPr>
          </w:p>
        </w:tc>
        <w:tc>
          <w:tcPr>
            <w:tcW w:w="556" w:type="pct"/>
          </w:tcPr>
          <w:p w14:paraId="0BFD7E20" w14:textId="77777777" w:rsidR="0085105D" w:rsidRPr="00C40415" w:rsidRDefault="0085105D" w:rsidP="0034622E">
            <w:pPr>
              <w:tabs>
                <w:tab w:val="right" w:pos="1202"/>
                <w:tab w:val="center" w:pos="4153"/>
                <w:tab w:val="right" w:pos="8306"/>
              </w:tabs>
              <w:jc w:val="right"/>
              <w:outlineLvl w:val="0"/>
              <w:rPr>
                <w:rFonts w:ascii="Arial" w:hAnsi="Arial" w:cs="Arial"/>
                <w:color w:val="000000" w:themeColor="text1"/>
                <w:sz w:val="17"/>
                <w:szCs w:val="17"/>
              </w:rPr>
            </w:pPr>
          </w:p>
        </w:tc>
        <w:tc>
          <w:tcPr>
            <w:tcW w:w="556" w:type="pct"/>
          </w:tcPr>
          <w:p w14:paraId="16DC4EB2" w14:textId="77777777" w:rsidR="0085105D" w:rsidRPr="00C40415" w:rsidRDefault="0085105D" w:rsidP="0034622E">
            <w:pPr>
              <w:tabs>
                <w:tab w:val="right" w:pos="1202"/>
                <w:tab w:val="center" w:pos="4153"/>
                <w:tab w:val="right" w:pos="8306"/>
              </w:tabs>
              <w:jc w:val="right"/>
              <w:outlineLvl w:val="0"/>
              <w:rPr>
                <w:rFonts w:ascii="Arial" w:hAnsi="Arial" w:cs="Arial"/>
                <w:color w:val="000000" w:themeColor="text1"/>
                <w:sz w:val="17"/>
                <w:szCs w:val="17"/>
              </w:rPr>
            </w:pPr>
          </w:p>
        </w:tc>
        <w:tc>
          <w:tcPr>
            <w:tcW w:w="621" w:type="pct"/>
          </w:tcPr>
          <w:p w14:paraId="1CC3B791" w14:textId="77777777" w:rsidR="0085105D" w:rsidRPr="00C40415" w:rsidRDefault="0085105D" w:rsidP="0034622E">
            <w:pPr>
              <w:tabs>
                <w:tab w:val="right" w:pos="1202"/>
                <w:tab w:val="center" w:pos="4153"/>
                <w:tab w:val="right" w:pos="8306"/>
              </w:tabs>
              <w:jc w:val="right"/>
              <w:outlineLvl w:val="0"/>
              <w:rPr>
                <w:rFonts w:ascii="Arial" w:hAnsi="Arial" w:cs="Arial"/>
                <w:color w:val="000000" w:themeColor="text1"/>
                <w:sz w:val="17"/>
                <w:szCs w:val="17"/>
              </w:rPr>
            </w:pPr>
          </w:p>
        </w:tc>
      </w:tr>
      <w:tr w:rsidR="0085105D" w:rsidRPr="00C40415" w14:paraId="09B2B129" w14:textId="77777777" w:rsidTr="0034622E">
        <w:trPr>
          <w:trHeight w:hRule="exact" w:val="211"/>
        </w:trPr>
        <w:tc>
          <w:tcPr>
            <w:tcW w:w="1597" w:type="pct"/>
            <w:vAlign w:val="bottom"/>
          </w:tcPr>
          <w:p w14:paraId="310CFF10" w14:textId="77777777" w:rsidR="0085105D" w:rsidRPr="00C40415" w:rsidRDefault="0085105D" w:rsidP="0034622E">
            <w:pPr>
              <w:tabs>
                <w:tab w:val="right" w:pos="1202"/>
              </w:tabs>
              <w:outlineLvl w:val="0"/>
              <w:rPr>
                <w:rFonts w:ascii="Arial" w:hAnsi="Arial" w:cs="Arial"/>
                <w:color w:val="000000" w:themeColor="text1"/>
                <w:sz w:val="17"/>
                <w:szCs w:val="17"/>
              </w:rPr>
            </w:pPr>
            <w:r w:rsidRPr="00C40415">
              <w:rPr>
                <w:rFonts w:ascii="Arial" w:hAnsi="Arial" w:cs="Arial"/>
                <w:color w:val="000000" w:themeColor="text1"/>
                <w:spacing w:val="-2"/>
                <w:sz w:val="17"/>
                <w:szCs w:val="17"/>
              </w:rPr>
              <w:t>Obveze po depozitima</w:t>
            </w:r>
          </w:p>
        </w:tc>
        <w:tc>
          <w:tcPr>
            <w:tcW w:w="557" w:type="pct"/>
            <w:tcBorders>
              <w:top w:val="nil"/>
              <w:left w:val="nil"/>
              <w:bottom w:val="nil"/>
              <w:right w:val="nil"/>
            </w:tcBorders>
            <w:shd w:val="clear" w:color="auto" w:fill="auto"/>
            <w:vAlign w:val="bottom"/>
          </w:tcPr>
          <w:p w14:paraId="5AA1DE28" w14:textId="77777777" w:rsidR="0085105D" w:rsidRPr="00F959D0" w:rsidRDefault="0085105D" w:rsidP="0034622E">
            <w:pPr>
              <w:tabs>
                <w:tab w:val="right" w:pos="1202"/>
              </w:tabs>
              <w:spacing w:line="240" w:lineRule="exact"/>
              <w:jc w:val="right"/>
              <w:outlineLvl w:val="0"/>
              <w:rPr>
                <w:rFonts w:ascii="Arial" w:hAnsi="Arial" w:cs="Arial"/>
                <w:sz w:val="17"/>
                <w:szCs w:val="17"/>
              </w:rPr>
            </w:pPr>
            <w:r w:rsidRPr="00F959D0">
              <w:rPr>
                <w:rFonts w:ascii="Arial" w:hAnsi="Arial" w:cs="Arial"/>
                <w:sz w:val="17"/>
                <w:szCs w:val="17"/>
              </w:rPr>
              <w:t>148.059</w:t>
            </w:r>
          </w:p>
        </w:tc>
        <w:tc>
          <w:tcPr>
            <w:tcW w:w="557" w:type="pct"/>
            <w:tcBorders>
              <w:top w:val="nil"/>
              <w:left w:val="nil"/>
              <w:bottom w:val="nil"/>
              <w:right w:val="nil"/>
            </w:tcBorders>
            <w:shd w:val="clear" w:color="auto" w:fill="auto"/>
            <w:vAlign w:val="bottom"/>
          </w:tcPr>
          <w:p w14:paraId="0ED47A1A" w14:textId="77777777" w:rsidR="0085105D" w:rsidRPr="00F959D0" w:rsidRDefault="0085105D" w:rsidP="0034622E">
            <w:pPr>
              <w:tabs>
                <w:tab w:val="right" w:pos="1202"/>
              </w:tabs>
              <w:spacing w:line="240" w:lineRule="exact"/>
              <w:jc w:val="right"/>
              <w:outlineLvl w:val="0"/>
              <w:rPr>
                <w:rFonts w:ascii="Arial" w:hAnsi="Arial" w:cs="Arial"/>
                <w:sz w:val="17"/>
                <w:szCs w:val="17"/>
              </w:rPr>
            </w:pPr>
            <w:r w:rsidRPr="00F959D0">
              <w:rPr>
                <w:rFonts w:ascii="Arial" w:hAnsi="Arial" w:cs="Arial"/>
                <w:sz w:val="17"/>
                <w:szCs w:val="17"/>
              </w:rPr>
              <w:t>12.586</w:t>
            </w:r>
          </w:p>
        </w:tc>
        <w:tc>
          <w:tcPr>
            <w:tcW w:w="556" w:type="pct"/>
            <w:tcBorders>
              <w:top w:val="nil"/>
              <w:left w:val="nil"/>
              <w:bottom w:val="nil"/>
              <w:right w:val="nil"/>
            </w:tcBorders>
            <w:shd w:val="clear" w:color="auto" w:fill="auto"/>
            <w:vAlign w:val="bottom"/>
          </w:tcPr>
          <w:p w14:paraId="085CFB8F" w14:textId="77777777" w:rsidR="0085105D" w:rsidRPr="00F959D0" w:rsidRDefault="0085105D" w:rsidP="0034622E">
            <w:pPr>
              <w:tabs>
                <w:tab w:val="right" w:pos="1202"/>
              </w:tabs>
              <w:spacing w:line="240" w:lineRule="exact"/>
              <w:jc w:val="right"/>
              <w:outlineLvl w:val="0"/>
              <w:rPr>
                <w:rFonts w:ascii="Arial" w:hAnsi="Arial" w:cs="Arial"/>
                <w:sz w:val="17"/>
                <w:szCs w:val="17"/>
              </w:rPr>
            </w:pPr>
            <w:r w:rsidRPr="00F959D0">
              <w:rPr>
                <w:rFonts w:ascii="Arial" w:hAnsi="Arial" w:cs="Arial"/>
                <w:sz w:val="17"/>
                <w:szCs w:val="17"/>
              </w:rPr>
              <w:t>18.604</w:t>
            </w:r>
          </w:p>
        </w:tc>
        <w:tc>
          <w:tcPr>
            <w:tcW w:w="556" w:type="pct"/>
            <w:tcBorders>
              <w:top w:val="nil"/>
              <w:left w:val="nil"/>
              <w:bottom w:val="nil"/>
              <w:right w:val="nil"/>
            </w:tcBorders>
            <w:shd w:val="clear" w:color="auto" w:fill="auto"/>
            <w:vAlign w:val="bottom"/>
          </w:tcPr>
          <w:p w14:paraId="722B54B1" w14:textId="77777777" w:rsidR="0085105D" w:rsidRPr="00F959D0" w:rsidRDefault="0085105D" w:rsidP="0034622E">
            <w:pPr>
              <w:tabs>
                <w:tab w:val="right" w:pos="1202"/>
              </w:tabs>
              <w:spacing w:line="240" w:lineRule="exact"/>
              <w:jc w:val="right"/>
              <w:outlineLvl w:val="0"/>
              <w:rPr>
                <w:rFonts w:ascii="Arial" w:hAnsi="Arial" w:cs="Arial"/>
                <w:sz w:val="17"/>
                <w:szCs w:val="17"/>
              </w:rPr>
            </w:pPr>
            <w:r w:rsidRPr="00F959D0">
              <w:rPr>
                <w:rFonts w:ascii="Arial" w:hAnsi="Arial" w:cs="Arial"/>
                <w:sz w:val="17"/>
                <w:szCs w:val="17"/>
              </w:rPr>
              <w:t>46</w:t>
            </w:r>
          </w:p>
        </w:tc>
        <w:tc>
          <w:tcPr>
            <w:tcW w:w="556" w:type="pct"/>
            <w:tcBorders>
              <w:top w:val="nil"/>
              <w:left w:val="nil"/>
              <w:bottom w:val="nil"/>
              <w:right w:val="nil"/>
            </w:tcBorders>
            <w:shd w:val="clear" w:color="auto" w:fill="auto"/>
            <w:vAlign w:val="bottom"/>
          </w:tcPr>
          <w:p w14:paraId="035D0FE7" w14:textId="77777777" w:rsidR="0085105D" w:rsidRPr="00F959D0" w:rsidRDefault="0085105D" w:rsidP="0034622E">
            <w:pPr>
              <w:tabs>
                <w:tab w:val="right" w:pos="1202"/>
              </w:tabs>
              <w:spacing w:line="240" w:lineRule="exact"/>
              <w:jc w:val="right"/>
              <w:outlineLvl w:val="0"/>
              <w:rPr>
                <w:rFonts w:ascii="Arial" w:hAnsi="Arial" w:cs="Arial"/>
                <w:sz w:val="17"/>
                <w:szCs w:val="17"/>
              </w:rPr>
            </w:pPr>
            <w:r w:rsidRPr="00F959D0">
              <w:rPr>
                <w:rFonts w:ascii="Arial" w:hAnsi="Arial" w:cs="Arial"/>
                <w:sz w:val="17"/>
                <w:szCs w:val="17"/>
              </w:rPr>
              <w:t>15.581</w:t>
            </w:r>
          </w:p>
        </w:tc>
        <w:tc>
          <w:tcPr>
            <w:tcW w:w="621" w:type="pct"/>
            <w:tcBorders>
              <w:top w:val="nil"/>
              <w:left w:val="nil"/>
              <w:bottom w:val="nil"/>
              <w:right w:val="nil"/>
            </w:tcBorders>
            <w:shd w:val="clear" w:color="auto" w:fill="auto"/>
            <w:vAlign w:val="bottom"/>
          </w:tcPr>
          <w:p w14:paraId="2437BF4D" w14:textId="77777777" w:rsidR="0085105D" w:rsidRPr="00F959D0" w:rsidRDefault="0085105D" w:rsidP="0034622E">
            <w:pPr>
              <w:tabs>
                <w:tab w:val="right" w:pos="1202"/>
              </w:tabs>
              <w:spacing w:line="240" w:lineRule="exact"/>
              <w:jc w:val="right"/>
              <w:outlineLvl w:val="0"/>
              <w:rPr>
                <w:rFonts w:ascii="Arial" w:hAnsi="Arial" w:cs="Arial"/>
                <w:sz w:val="17"/>
                <w:szCs w:val="17"/>
              </w:rPr>
            </w:pPr>
            <w:r w:rsidRPr="00F959D0">
              <w:rPr>
                <w:rFonts w:ascii="Arial" w:hAnsi="Arial" w:cs="Arial"/>
                <w:sz w:val="17"/>
                <w:szCs w:val="17"/>
              </w:rPr>
              <w:t>194.876</w:t>
            </w:r>
          </w:p>
        </w:tc>
      </w:tr>
      <w:tr w:rsidR="0085105D" w:rsidRPr="00C40415" w14:paraId="2CA9E1BE" w14:textId="77777777" w:rsidTr="0034622E">
        <w:trPr>
          <w:trHeight w:hRule="exact" w:val="211"/>
        </w:trPr>
        <w:tc>
          <w:tcPr>
            <w:tcW w:w="1597" w:type="pct"/>
            <w:vAlign w:val="bottom"/>
          </w:tcPr>
          <w:p w14:paraId="2743309D" w14:textId="77777777" w:rsidR="0085105D" w:rsidRPr="00C40415" w:rsidRDefault="0085105D" w:rsidP="0034622E">
            <w:pPr>
              <w:tabs>
                <w:tab w:val="right" w:pos="1202"/>
              </w:tabs>
              <w:outlineLvl w:val="0"/>
              <w:rPr>
                <w:rFonts w:ascii="Arial" w:hAnsi="Arial" w:cs="Arial"/>
                <w:color w:val="000000" w:themeColor="text1"/>
                <w:sz w:val="17"/>
                <w:szCs w:val="17"/>
              </w:rPr>
            </w:pPr>
            <w:r w:rsidRPr="00C40415">
              <w:rPr>
                <w:rFonts w:ascii="Arial" w:hAnsi="Arial" w:cs="Arial"/>
                <w:color w:val="000000" w:themeColor="text1"/>
                <w:spacing w:val="-2"/>
                <w:sz w:val="17"/>
                <w:szCs w:val="17"/>
              </w:rPr>
              <w:t>Obveze po kreditima</w:t>
            </w:r>
          </w:p>
        </w:tc>
        <w:tc>
          <w:tcPr>
            <w:tcW w:w="557" w:type="pct"/>
            <w:tcBorders>
              <w:top w:val="nil"/>
              <w:left w:val="nil"/>
              <w:bottom w:val="nil"/>
              <w:right w:val="nil"/>
            </w:tcBorders>
            <w:shd w:val="clear" w:color="auto" w:fill="auto"/>
            <w:vAlign w:val="bottom"/>
          </w:tcPr>
          <w:p w14:paraId="57ACABC9" w14:textId="77777777" w:rsidR="0085105D" w:rsidRPr="00F959D0" w:rsidRDefault="0085105D" w:rsidP="0034622E">
            <w:pPr>
              <w:tabs>
                <w:tab w:val="right" w:pos="1202"/>
              </w:tabs>
              <w:spacing w:line="240" w:lineRule="exact"/>
              <w:jc w:val="right"/>
              <w:outlineLvl w:val="0"/>
              <w:rPr>
                <w:rFonts w:ascii="Arial" w:hAnsi="Arial" w:cs="Arial"/>
                <w:sz w:val="17"/>
                <w:szCs w:val="17"/>
              </w:rPr>
            </w:pPr>
            <w:r w:rsidRPr="00F959D0">
              <w:rPr>
                <w:rFonts w:ascii="Arial" w:hAnsi="Arial" w:cs="Arial"/>
                <w:sz w:val="17"/>
                <w:szCs w:val="17"/>
              </w:rPr>
              <w:t>61.798</w:t>
            </w:r>
          </w:p>
        </w:tc>
        <w:tc>
          <w:tcPr>
            <w:tcW w:w="557" w:type="pct"/>
            <w:tcBorders>
              <w:top w:val="nil"/>
              <w:left w:val="nil"/>
              <w:bottom w:val="nil"/>
              <w:right w:val="nil"/>
            </w:tcBorders>
            <w:shd w:val="clear" w:color="auto" w:fill="auto"/>
            <w:vAlign w:val="bottom"/>
          </w:tcPr>
          <w:p w14:paraId="16471311" w14:textId="77777777" w:rsidR="0085105D" w:rsidRPr="00F959D0" w:rsidRDefault="0085105D" w:rsidP="0034622E">
            <w:pPr>
              <w:tabs>
                <w:tab w:val="right" w:pos="1202"/>
              </w:tabs>
              <w:spacing w:line="240" w:lineRule="exact"/>
              <w:jc w:val="right"/>
              <w:outlineLvl w:val="0"/>
              <w:rPr>
                <w:rFonts w:ascii="Arial" w:hAnsi="Arial" w:cs="Arial"/>
                <w:sz w:val="17"/>
                <w:szCs w:val="17"/>
              </w:rPr>
            </w:pPr>
            <w:r w:rsidRPr="003B2D75">
              <w:rPr>
                <w:rFonts w:ascii="Arial" w:hAnsi="Arial" w:cs="Arial"/>
                <w:sz w:val="17"/>
                <w:szCs w:val="17"/>
              </w:rPr>
              <w:t>166.698</w:t>
            </w:r>
          </w:p>
        </w:tc>
        <w:tc>
          <w:tcPr>
            <w:tcW w:w="556" w:type="pct"/>
            <w:tcBorders>
              <w:top w:val="nil"/>
              <w:left w:val="nil"/>
              <w:bottom w:val="nil"/>
              <w:right w:val="nil"/>
            </w:tcBorders>
            <w:shd w:val="clear" w:color="auto" w:fill="auto"/>
            <w:vAlign w:val="bottom"/>
          </w:tcPr>
          <w:p w14:paraId="3FB32CDF" w14:textId="77777777" w:rsidR="0085105D" w:rsidRPr="00F959D0" w:rsidRDefault="0085105D" w:rsidP="0034622E">
            <w:pPr>
              <w:tabs>
                <w:tab w:val="right" w:pos="1202"/>
              </w:tabs>
              <w:spacing w:line="240" w:lineRule="exact"/>
              <w:jc w:val="right"/>
              <w:outlineLvl w:val="0"/>
              <w:rPr>
                <w:rFonts w:ascii="Arial" w:hAnsi="Arial" w:cs="Arial"/>
                <w:sz w:val="17"/>
                <w:szCs w:val="17"/>
              </w:rPr>
            </w:pPr>
            <w:r w:rsidRPr="00F959D0">
              <w:rPr>
                <w:rFonts w:ascii="Arial" w:hAnsi="Arial" w:cs="Arial"/>
                <w:sz w:val="17"/>
                <w:szCs w:val="17"/>
              </w:rPr>
              <w:t>296.93</w:t>
            </w:r>
            <w:r>
              <w:rPr>
                <w:rFonts w:ascii="Arial" w:hAnsi="Arial" w:cs="Arial"/>
                <w:sz w:val="17"/>
                <w:szCs w:val="17"/>
              </w:rPr>
              <w:t>3</w:t>
            </w:r>
          </w:p>
        </w:tc>
        <w:tc>
          <w:tcPr>
            <w:tcW w:w="556" w:type="pct"/>
            <w:tcBorders>
              <w:top w:val="nil"/>
              <w:left w:val="nil"/>
              <w:bottom w:val="nil"/>
              <w:right w:val="nil"/>
            </w:tcBorders>
            <w:shd w:val="clear" w:color="auto" w:fill="auto"/>
            <w:vAlign w:val="bottom"/>
          </w:tcPr>
          <w:p w14:paraId="57CD3B9B" w14:textId="77777777" w:rsidR="0085105D" w:rsidRPr="00F959D0" w:rsidRDefault="0085105D" w:rsidP="0034622E">
            <w:pPr>
              <w:tabs>
                <w:tab w:val="right" w:pos="1202"/>
              </w:tabs>
              <w:spacing w:line="240" w:lineRule="exact"/>
              <w:jc w:val="right"/>
              <w:outlineLvl w:val="0"/>
              <w:rPr>
                <w:rFonts w:ascii="Arial" w:hAnsi="Arial" w:cs="Arial"/>
                <w:sz w:val="17"/>
                <w:szCs w:val="17"/>
              </w:rPr>
            </w:pPr>
            <w:r w:rsidRPr="00F959D0">
              <w:rPr>
                <w:rFonts w:ascii="Arial" w:hAnsi="Arial" w:cs="Arial"/>
                <w:sz w:val="17"/>
                <w:szCs w:val="17"/>
              </w:rPr>
              <w:t>723.743</w:t>
            </w:r>
          </w:p>
        </w:tc>
        <w:tc>
          <w:tcPr>
            <w:tcW w:w="556" w:type="pct"/>
            <w:tcBorders>
              <w:top w:val="nil"/>
              <w:left w:val="nil"/>
              <w:bottom w:val="nil"/>
              <w:right w:val="nil"/>
            </w:tcBorders>
            <w:shd w:val="clear" w:color="auto" w:fill="auto"/>
            <w:vAlign w:val="bottom"/>
          </w:tcPr>
          <w:p w14:paraId="777485EB" w14:textId="77777777" w:rsidR="0085105D" w:rsidRPr="00F959D0" w:rsidRDefault="0085105D" w:rsidP="0034622E">
            <w:pPr>
              <w:tabs>
                <w:tab w:val="right" w:pos="1202"/>
              </w:tabs>
              <w:spacing w:line="240" w:lineRule="exact"/>
              <w:jc w:val="right"/>
              <w:outlineLvl w:val="0"/>
              <w:rPr>
                <w:rFonts w:ascii="Arial" w:hAnsi="Arial" w:cs="Arial"/>
                <w:sz w:val="17"/>
                <w:szCs w:val="17"/>
              </w:rPr>
            </w:pPr>
            <w:r w:rsidRPr="00F959D0">
              <w:rPr>
                <w:rFonts w:ascii="Arial" w:hAnsi="Arial" w:cs="Arial"/>
                <w:sz w:val="17"/>
                <w:szCs w:val="17"/>
              </w:rPr>
              <w:t>1.268.546</w:t>
            </w:r>
          </w:p>
        </w:tc>
        <w:tc>
          <w:tcPr>
            <w:tcW w:w="621" w:type="pct"/>
            <w:tcBorders>
              <w:top w:val="nil"/>
              <w:left w:val="nil"/>
              <w:bottom w:val="nil"/>
              <w:right w:val="nil"/>
            </w:tcBorders>
            <w:shd w:val="clear" w:color="auto" w:fill="auto"/>
            <w:vAlign w:val="bottom"/>
          </w:tcPr>
          <w:p w14:paraId="4C4275B1" w14:textId="77777777" w:rsidR="0085105D" w:rsidRPr="00F959D0" w:rsidRDefault="0085105D" w:rsidP="0034622E">
            <w:pPr>
              <w:tabs>
                <w:tab w:val="right" w:pos="1202"/>
              </w:tabs>
              <w:spacing w:line="240" w:lineRule="exact"/>
              <w:jc w:val="right"/>
              <w:outlineLvl w:val="0"/>
              <w:rPr>
                <w:rFonts w:ascii="Arial" w:hAnsi="Arial" w:cs="Arial"/>
                <w:sz w:val="17"/>
                <w:szCs w:val="17"/>
              </w:rPr>
            </w:pPr>
            <w:r w:rsidRPr="003B2D75">
              <w:rPr>
                <w:rFonts w:ascii="Arial" w:hAnsi="Arial" w:cs="Arial"/>
                <w:sz w:val="17"/>
                <w:szCs w:val="17"/>
              </w:rPr>
              <w:t>2.517.718</w:t>
            </w:r>
          </w:p>
        </w:tc>
      </w:tr>
      <w:tr w:rsidR="0085105D" w:rsidRPr="00C40415" w14:paraId="3F42EA73" w14:textId="77777777" w:rsidTr="0034622E">
        <w:trPr>
          <w:trHeight w:val="377"/>
        </w:trPr>
        <w:tc>
          <w:tcPr>
            <w:tcW w:w="1597" w:type="pct"/>
            <w:vAlign w:val="bottom"/>
          </w:tcPr>
          <w:p w14:paraId="0C45F2B8" w14:textId="77777777" w:rsidR="0085105D" w:rsidRPr="00C40415" w:rsidRDefault="0085105D" w:rsidP="0034622E">
            <w:pPr>
              <w:tabs>
                <w:tab w:val="right" w:pos="1202"/>
              </w:tabs>
              <w:outlineLvl w:val="0"/>
              <w:rPr>
                <w:rFonts w:ascii="Arial" w:hAnsi="Arial" w:cs="Arial"/>
                <w:color w:val="000000" w:themeColor="text1"/>
                <w:spacing w:val="-2"/>
                <w:sz w:val="17"/>
                <w:szCs w:val="17"/>
              </w:rPr>
            </w:pPr>
            <w:r w:rsidRPr="00C40415">
              <w:rPr>
                <w:rFonts w:ascii="Arial" w:hAnsi="Arial" w:cs="Arial"/>
                <w:color w:val="000000" w:themeColor="text1"/>
                <w:spacing w:val="-2"/>
                <w:sz w:val="17"/>
                <w:szCs w:val="17"/>
              </w:rPr>
              <w:t>Rezerviranja za garancije, preuzete i ostale obveze</w:t>
            </w:r>
          </w:p>
        </w:tc>
        <w:tc>
          <w:tcPr>
            <w:tcW w:w="557" w:type="pct"/>
            <w:tcBorders>
              <w:top w:val="nil"/>
              <w:left w:val="nil"/>
              <w:right w:val="nil"/>
            </w:tcBorders>
            <w:shd w:val="clear" w:color="auto" w:fill="auto"/>
            <w:vAlign w:val="bottom"/>
          </w:tcPr>
          <w:p w14:paraId="727D3543" w14:textId="77777777" w:rsidR="0085105D" w:rsidRPr="00F959D0" w:rsidRDefault="0085105D" w:rsidP="0034622E">
            <w:pPr>
              <w:tabs>
                <w:tab w:val="right" w:pos="1202"/>
              </w:tabs>
              <w:spacing w:line="240" w:lineRule="exact"/>
              <w:jc w:val="right"/>
              <w:outlineLvl w:val="0"/>
              <w:rPr>
                <w:rFonts w:ascii="Arial" w:hAnsi="Arial" w:cs="Arial"/>
                <w:sz w:val="17"/>
                <w:szCs w:val="17"/>
              </w:rPr>
            </w:pPr>
            <w:r w:rsidRPr="00F959D0">
              <w:rPr>
                <w:rFonts w:ascii="Arial" w:hAnsi="Arial" w:cs="Arial"/>
                <w:sz w:val="17"/>
                <w:szCs w:val="17"/>
              </w:rPr>
              <w:t>10.561</w:t>
            </w:r>
          </w:p>
        </w:tc>
        <w:tc>
          <w:tcPr>
            <w:tcW w:w="557" w:type="pct"/>
            <w:tcBorders>
              <w:top w:val="nil"/>
              <w:left w:val="nil"/>
              <w:right w:val="nil"/>
            </w:tcBorders>
            <w:shd w:val="clear" w:color="auto" w:fill="auto"/>
            <w:vAlign w:val="bottom"/>
          </w:tcPr>
          <w:p w14:paraId="487142ED" w14:textId="77777777" w:rsidR="0085105D" w:rsidRPr="00F959D0" w:rsidRDefault="0085105D" w:rsidP="0034622E">
            <w:pPr>
              <w:tabs>
                <w:tab w:val="right" w:pos="1202"/>
              </w:tabs>
              <w:spacing w:line="240" w:lineRule="exact"/>
              <w:jc w:val="right"/>
              <w:outlineLvl w:val="0"/>
              <w:rPr>
                <w:rFonts w:ascii="Arial" w:hAnsi="Arial" w:cs="Arial"/>
                <w:sz w:val="17"/>
                <w:szCs w:val="17"/>
              </w:rPr>
            </w:pPr>
            <w:r w:rsidRPr="00F959D0">
              <w:rPr>
                <w:rFonts w:ascii="Arial" w:hAnsi="Arial" w:cs="Arial"/>
                <w:sz w:val="17"/>
                <w:szCs w:val="17"/>
              </w:rPr>
              <w:t>851</w:t>
            </w:r>
          </w:p>
        </w:tc>
        <w:tc>
          <w:tcPr>
            <w:tcW w:w="556" w:type="pct"/>
            <w:tcBorders>
              <w:top w:val="nil"/>
              <w:left w:val="nil"/>
              <w:right w:val="nil"/>
            </w:tcBorders>
            <w:shd w:val="clear" w:color="auto" w:fill="auto"/>
            <w:vAlign w:val="bottom"/>
          </w:tcPr>
          <w:p w14:paraId="3C21540A" w14:textId="77777777" w:rsidR="0085105D" w:rsidRPr="00F959D0" w:rsidRDefault="0085105D" w:rsidP="0034622E">
            <w:pPr>
              <w:tabs>
                <w:tab w:val="right" w:pos="1202"/>
              </w:tabs>
              <w:spacing w:line="240" w:lineRule="exact"/>
              <w:jc w:val="right"/>
              <w:outlineLvl w:val="0"/>
              <w:rPr>
                <w:rFonts w:ascii="Arial" w:hAnsi="Arial" w:cs="Arial"/>
                <w:sz w:val="17"/>
                <w:szCs w:val="17"/>
              </w:rPr>
            </w:pPr>
            <w:r w:rsidRPr="00F959D0">
              <w:rPr>
                <w:rFonts w:ascii="Arial" w:hAnsi="Arial" w:cs="Arial"/>
                <w:sz w:val="17"/>
                <w:szCs w:val="17"/>
              </w:rPr>
              <w:t>3.203</w:t>
            </w:r>
          </w:p>
        </w:tc>
        <w:tc>
          <w:tcPr>
            <w:tcW w:w="556" w:type="pct"/>
            <w:tcBorders>
              <w:top w:val="nil"/>
              <w:left w:val="nil"/>
              <w:right w:val="nil"/>
            </w:tcBorders>
            <w:shd w:val="clear" w:color="auto" w:fill="auto"/>
            <w:vAlign w:val="bottom"/>
          </w:tcPr>
          <w:p w14:paraId="65A1EA95" w14:textId="77777777" w:rsidR="0085105D" w:rsidRPr="00F959D0" w:rsidRDefault="0085105D" w:rsidP="0034622E">
            <w:pPr>
              <w:tabs>
                <w:tab w:val="right" w:pos="1202"/>
              </w:tabs>
              <w:spacing w:line="240" w:lineRule="exact"/>
              <w:jc w:val="right"/>
              <w:outlineLvl w:val="0"/>
              <w:rPr>
                <w:rFonts w:ascii="Arial" w:hAnsi="Arial" w:cs="Arial"/>
                <w:sz w:val="17"/>
                <w:szCs w:val="17"/>
              </w:rPr>
            </w:pPr>
            <w:r w:rsidRPr="00F959D0">
              <w:rPr>
                <w:rFonts w:ascii="Arial" w:hAnsi="Arial" w:cs="Arial"/>
                <w:sz w:val="17"/>
                <w:szCs w:val="17"/>
              </w:rPr>
              <w:t>6.343</w:t>
            </w:r>
          </w:p>
        </w:tc>
        <w:tc>
          <w:tcPr>
            <w:tcW w:w="556" w:type="pct"/>
            <w:tcBorders>
              <w:top w:val="nil"/>
              <w:left w:val="nil"/>
              <w:right w:val="nil"/>
            </w:tcBorders>
            <w:shd w:val="clear" w:color="auto" w:fill="auto"/>
            <w:vAlign w:val="bottom"/>
          </w:tcPr>
          <w:p w14:paraId="0FB14600" w14:textId="77777777" w:rsidR="0085105D" w:rsidRPr="00F959D0" w:rsidRDefault="0085105D" w:rsidP="0034622E">
            <w:pPr>
              <w:tabs>
                <w:tab w:val="right" w:pos="1202"/>
              </w:tabs>
              <w:spacing w:line="240" w:lineRule="exact"/>
              <w:jc w:val="right"/>
              <w:outlineLvl w:val="0"/>
              <w:rPr>
                <w:rFonts w:ascii="Arial" w:hAnsi="Arial" w:cs="Arial"/>
                <w:sz w:val="17"/>
                <w:szCs w:val="17"/>
              </w:rPr>
            </w:pPr>
            <w:r w:rsidRPr="00F959D0">
              <w:rPr>
                <w:rFonts w:ascii="Arial" w:hAnsi="Arial" w:cs="Arial"/>
                <w:sz w:val="17"/>
                <w:szCs w:val="17"/>
              </w:rPr>
              <w:t>3.422</w:t>
            </w:r>
          </w:p>
        </w:tc>
        <w:tc>
          <w:tcPr>
            <w:tcW w:w="621" w:type="pct"/>
            <w:tcBorders>
              <w:top w:val="nil"/>
              <w:left w:val="nil"/>
              <w:right w:val="nil"/>
            </w:tcBorders>
            <w:shd w:val="clear" w:color="auto" w:fill="auto"/>
            <w:vAlign w:val="bottom"/>
          </w:tcPr>
          <w:p w14:paraId="1ED728BF" w14:textId="77777777" w:rsidR="0085105D" w:rsidRPr="00F959D0" w:rsidRDefault="0085105D" w:rsidP="0034622E">
            <w:pPr>
              <w:tabs>
                <w:tab w:val="right" w:pos="1202"/>
              </w:tabs>
              <w:spacing w:line="240" w:lineRule="exact"/>
              <w:jc w:val="right"/>
              <w:outlineLvl w:val="0"/>
              <w:rPr>
                <w:rFonts w:ascii="Arial" w:hAnsi="Arial" w:cs="Arial"/>
                <w:sz w:val="17"/>
                <w:szCs w:val="17"/>
              </w:rPr>
            </w:pPr>
            <w:r w:rsidRPr="00F959D0">
              <w:rPr>
                <w:rFonts w:ascii="Arial" w:hAnsi="Arial" w:cs="Arial"/>
                <w:sz w:val="17"/>
                <w:szCs w:val="17"/>
              </w:rPr>
              <w:t>24.380</w:t>
            </w:r>
          </w:p>
        </w:tc>
      </w:tr>
      <w:tr w:rsidR="0085105D" w:rsidRPr="00C40415" w14:paraId="4510975C" w14:textId="77777777" w:rsidTr="0034622E">
        <w:trPr>
          <w:trHeight w:hRule="exact" w:val="211"/>
        </w:trPr>
        <w:tc>
          <w:tcPr>
            <w:tcW w:w="1597" w:type="pct"/>
            <w:vAlign w:val="bottom"/>
          </w:tcPr>
          <w:p w14:paraId="05290710" w14:textId="77777777" w:rsidR="0085105D" w:rsidRPr="00C40415" w:rsidRDefault="0085105D" w:rsidP="0034622E">
            <w:pPr>
              <w:tabs>
                <w:tab w:val="right" w:pos="1202"/>
              </w:tabs>
              <w:outlineLvl w:val="0"/>
              <w:rPr>
                <w:rFonts w:ascii="Arial" w:hAnsi="Arial" w:cs="Arial"/>
                <w:color w:val="000000" w:themeColor="text1"/>
                <w:sz w:val="17"/>
                <w:szCs w:val="17"/>
              </w:rPr>
            </w:pPr>
            <w:r w:rsidRPr="00C40415">
              <w:rPr>
                <w:rFonts w:ascii="Arial" w:hAnsi="Arial" w:cs="Arial"/>
                <w:color w:val="000000" w:themeColor="text1"/>
                <w:spacing w:val="-2"/>
                <w:sz w:val="17"/>
                <w:szCs w:val="17"/>
              </w:rPr>
              <w:t>Ostale obveze</w:t>
            </w:r>
          </w:p>
        </w:tc>
        <w:tc>
          <w:tcPr>
            <w:tcW w:w="557" w:type="pct"/>
            <w:tcBorders>
              <w:top w:val="nil"/>
              <w:left w:val="nil"/>
              <w:bottom w:val="single" w:sz="4" w:space="0" w:color="auto"/>
              <w:right w:val="nil"/>
            </w:tcBorders>
            <w:shd w:val="clear" w:color="auto" w:fill="auto"/>
            <w:vAlign w:val="bottom"/>
          </w:tcPr>
          <w:p w14:paraId="120096A8" w14:textId="77777777" w:rsidR="0085105D" w:rsidRPr="00F959D0" w:rsidRDefault="0085105D" w:rsidP="0034622E">
            <w:pPr>
              <w:tabs>
                <w:tab w:val="right" w:pos="1202"/>
              </w:tabs>
              <w:spacing w:line="240" w:lineRule="exact"/>
              <w:jc w:val="right"/>
              <w:outlineLvl w:val="0"/>
              <w:rPr>
                <w:rFonts w:ascii="Arial" w:hAnsi="Arial" w:cs="Arial"/>
                <w:sz w:val="17"/>
                <w:szCs w:val="17"/>
              </w:rPr>
            </w:pPr>
            <w:r w:rsidRPr="00F959D0">
              <w:rPr>
                <w:rFonts w:ascii="Arial" w:hAnsi="Arial" w:cs="Arial"/>
                <w:sz w:val="17"/>
                <w:szCs w:val="17"/>
              </w:rPr>
              <w:t>39.304</w:t>
            </w:r>
          </w:p>
        </w:tc>
        <w:tc>
          <w:tcPr>
            <w:tcW w:w="557" w:type="pct"/>
            <w:tcBorders>
              <w:top w:val="nil"/>
              <w:left w:val="nil"/>
              <w:bottom w:val="single" w:sz="4" w:space="0" w:color="auto"/>
              <w:right w:val="nil"/>
            </w:tcBorders>
            <w:shd w:val="clear" w:color="auto" w:fill="auto"/>
            <w:vAlign w:val="bottom"/>
          </w:tcPr>
          <w:p w14:paraId="3BA05418" w14:textId="77777777" w:rsidR="0085105D" w:rsidRPr="00F959D0" w:rsidRDefault="0085105D" w:rsidP="0034622E">
            <w:pPr>
              <w:tabs>
                <w:tab w:val="right" w:pos="1202"/>
              </w:tabs>
              <w:spacing w:line="240" w:lineRule="exact"/>
              <w:jc w:val="right"/>
              <w:outlineLvl w:val="0"/>
              <w:rPr>
                <w:rFonts w:ascii="Arial" w:hAnsi="Arial" w:cs="Arial"/>
                <w:sz w:val="17"/>
                <w:szCs w:val="17"/>
              </w:rPr>
            </w:pPr>
            <w:r w:rsidRPr="00F959D0">
              <w:rPr>
                <w:rFonts w:ascii="Arial" w:hAnsi="Arial" w:cs="Arial"/>
                <w:sz w:val="17"/>
                <w:szCs w:val="17"/>
              </w:rPr>
              <w:t>3.167</w:t>
            </w:r>
          </w:p>
        </w:tc>
        <w:tc>
          <w:tcPr>
            <w:tcW w:w="556" w:type="pct"/>
            <w:tcBorders>
              <w:top w:val="nil"/>
              <w:left w:val="nil"/>
              <w:bottom w:val="single" w:sz="4" w:space="0" w:color="auto"/>
              <w:right w:val="nil"/>
            </w:tcBorders>
            <w:shd w:val="clear" w:color="auto" w:fill="auto"/>
            <w:vAlign w:val="bottom"/>
          </w:tcPr>
          <w:p w14:paraId="10C6E4E1" w14:textId="77777777" w:rsidR="0085105D" w:rsidRPr="00F959D0" w:rsidRDefault="0085105D" w:rsidP="0034622E">
            <w:pPr>
              <w:tabs>
                <w:tab w:val="right" w:pos="1202"/>
              </w:tabs>
              <w:spacing w:line="240" w:lineRule="exact"/>
              <w:jc w:val="right"/>
              <w:outlineLvl w:val="0"/>
              <w:rPr>
                <w:rFonts w:ascii="Arial" w:hAnsi="Arial" w:cs="Arial"/>
                <w:sz w:val="17"/>
                <w:szCs w:val="17"/>
              </w:rPr>
            </w:pPr>
            <w:r w:rsidRPr="00F959D0">
              <w:rPr>
                <w:rFonts w:ascii="Arial" w:hAnsi="Arial" w:cs="Arial"/>
                <w:sz w:val="17"/>
                <w:szCs w:val="17"/>
              </w:rPr>
              <w:t>11.921</w:t>
            </w:r>
          </w:p>
        </w:tc>
        <w:tc>
          <w:tcPr>
            <w:tcW w:w="556" w:type="pct"/>
            <w:tcBorders>
              <w:top w:val="nil"/>
              <w:left w:val="nil"/>
              <w:bottom w:val="single" w:sz="4" w:space="0" w:color="auto"/>
              <w:right w:val="nil"/>
            </w:tcBorders>
            <w:shd w:val="clear" w:color="auto" w:fill="auto"/>
            <w:vAlign w:val="bottom"/>
          </w:tcPr>
          <w:p w14:paraId="39473C25" w14:textId="77777777" w:rsidR="0085105D" w:rsidRPr="00F959D0" w:rsidRDefault="0085105D" w:rsidP="0034622E">
            <w:pPr>
              <w:tabs>
                <w:tab w:val="right" w:pos="1202"/>
              </w:tabs>
              <w:spacing w:line="240" w:lineRule="exact"/>
              <w:jc w:val="right"/>
              <w:outlineLvl w:val="0"/>
              <w:rPr>
                <w:rFonts w:ascii="Arial" w:hAnsi="Arial" w:cs="Arial"/>
                <w:sz w:val="17"/>
                <w:szCs w:val="17"/>
              </w:rPr>
            </w:pPr>
            <w:r w:rsidRPr="00F959D0">
              <w:rPr>
                <w:rFonts w:ascii="Arial" w:hAnsi="Arial" w:cs="Arial"/>
                <w:sz w:val="17"/>
                <w:szCs w:val="17"/>
              </w:rPr>
              <w:t>23.605</w:t>
            </w:r>
          </w:p>
        </w:tc>
        <w:tc>
          <w:tcPr>
            <w:tcW w:w="556" w:type="pct"/>
            <w:tcBorders>
              <w:top w:val="nil"/>
              <w:left w:val="nil"/>
              <w:bottom w:val="single" w:sz="4" w:space="0" w:color="auto"/>
              <w:right w:val="nil"/>
            </w:tcBorders>
            <w:shd w:val="clear" w:color="auto" w:fill="auto"/>
            <w:vAlign w:val="bottom"/>
          </w:tcPr>
          <w:p w14:paraId="7CDB17F4" w14:textId="77777777" w:rsidR="0085105D" w:rsidRPr="00F959D0" w:rsidRDefault="0085105D" w:rsidP="0034622E">
            <w:pPr>
              <w:tabs>
                <w:tab w:val="right" w:pos="1202"/>
              </w:tabs>
              <w:spacing w:line="240" w:lineRule="exact"/>
              <w:jc w:val="right"/>
              <w:outlineLvl w:val="0"/>
              <w:rPr>
                <w:rFonts w:ascii="Arial" w:hAnsi="Arial" w:cs="Arial"/>
                <w:sz w:val="17"/>
                <w:szCs w:val="17"/>
              </w:rPr>
            </w:pPr>
            <w:r w:rsidRPr="00F959D0">
              <w:rPr>
                <w:rFonts w:ascii="Arial" w:hAnsi="Arial" w:cs="Arial"/>
                <w:sz w:val="17"/>
                <w:szCs w:val="17"/>
              </w:rPr>
              <w:t>12.732</w:t>
            </w:r>
          </w:p>
        </w:tc>
        <w:tc>
          <w:tcPr>
            <w:tcW w:w="621" w:type="pct"/>
            <w:tcBorders>
              <w:top w:val="nil"/>
              <w:left w:val="nil"/>
              <w:bottom w:val="single" w:sz="4" w:space="0" w:color="auto"/>
              <w:right w:val="nil"/>
            </w:tcBorders>
            <w:shd w:val="clear" w:color="auto" w:fill="auto"/>
            <w:vAlign w:val="bottom"/>
          </w:tcPr>
          <w:p w14:paraId="7C32D489" w14:textId="77777777" w:rsidR="0085105D" w:rsidRPr="00F959D0" w:rsidRDefault="0085105D" w:rsidP="0034622E">
            <w:pPr>
              <w:tabs>
                <w:tab w:val="right" w:pos="1202"/>
              </w:tabs>
              <w:spacing w:line="240" w:lineRule="exact"/>
              <w:jc w:val="right"/>
              <w:outlineLvl w:val="0"/>
              <w:rPr>
                <w:rFonts w:ascii="Arial" w:hAnsi="Arial" w:cs="Arial"/>
                <w:sz w:val="17"/>
                <w:szCs w:val="17"/>
              </w:rPr>
            </w:pPr>
            <w:r w:rsidRPr="00F959D0">
              <w:rPr>
                <w:rFonts w:ascii="Arial" w:hAnsi="Arial" w:cs="Arial"/>
                <w:sz w:val="17"/>
                <w:szCs w:val="17"/>
              </w:rPr>
              <w:t>90.729</w:t>
            </w:r>
          </w:p>
        </w:tc>
      </w:tr>
      <w:tr w:rsidR="0085105D" w:rsidRPr="00C40415" w14:paraId="549C6C1B" w14:textId="77777777" w:rsidTr="0034622E">
        <w:trPr>
          <w:trHeight w:hRule="exact" w:val="265"/>
        </w:trPr>
        <w:tc>
          <w:tcPr>
            <w:tcW w:w="1597" w:type="pct"/>
            <w:vAlign w:val="bottom"/>
          </w:tcPr>
          <w:p w14:paraId="288B8D8C" w14:textId="77777777" w:rsidR="0085105D" w:rsidRPr="00C40415" w:rsidRDefault="0085105D" w:rsidP="0034622E">
            <w:pPr>
              <w:tabs>
                <w:tab w:val="right" w:pos="1202"/>
              </w:tabs>
              <w:outlineLvl w:val="0"/>
              <w:rPr>
                <w:rFonts w:ascii="Arial" w:hAnsi="Arial" w:cs="Arial"/>
                <w:b/>
                <w:bCs/>
                <w:color w:val="000000" w:themeColor="text1"/>
                <w:sz w:val="17"/>
                <w:szCs w:val="17"/>
              </w:rPr>
            </w:pPr>
            <w:r w:rsidRPr="00C40415">
              <w:rPr>
                <w:rFonts w:ascii="Arial" w:hAnsi="Arial" w:cs="Arial"/>
                <w:b/>
                <w:bCs/>
                <w:color w:val="000000" w:themeColor="text1"/>
                <w:sz w:val="17"/>
                <w:szCs w:val="17"/>
              </w:rPr>
              <w:t>Ukupno</w:t>
            </w:r>
          </w:p>
        </w:tc>
        <w:tc>
          <w:tcPr>
            <w:tcW w:w="557" w:type="pct"/>
            <w:tcBorders>
              <w:top w:val="single" w:sz="4" w:space="0" w:color="auto"/>
              <w:left w:val="nil"/>
              <w:bottom w:val="single" w:sz="12" w:space="0" w:color="auto"/>
              <w:right w:val="nil"/>
            </w:tcBorders>
            <w:vAlign w:val="bottom"/>
          </w:tcPr>
          <w:p w14:paraId="0CC207A2" w14:textId="77777777" w:rsidR="0085105D" w:rsidRPr="00F959D0" w:rsidRDefault="0085105D" w:rsidP="0034622E">
            <w:pPr>
              <w:tabs>
                <w:tab w:val="right" w:pos="1202"/>
              </w:tabs>
              <w:jc w:val="right"/>
              <w:outlineLvl w:val="0"/>
              <w:rPr>
                <w:rFonts w:ascii="Arial" w:hAnsi="Arial" w:cs="Arial"/>
                <w:b/>
                <w:bCs/>
                <w:sz w:val="17"/>
                <w:szCs w:val="17"/>
              </w:rPr>
            </w:pPr>
            <w:r w:rsidRPr="00F959D0">
              <w:rPr>
                <w:rFonts w:ascii="Arial" w:hAnsi="Arial" w:cs="Arial"/>
                <w:b/>
                <w:bCs/>
                <w:sz w:val="17"/>
                <w:szCs w:val="17"/>
              </w:rPr>
              <w:t>259.722</w:t>
            </w:r>
          </w:p>
        </w:tc>
        <w:tc>
          <w:tcPr>
            <w:tcW w:w="557" w:type="pct"/>
            <w:tcBorders>
              <w:top w:val="single" w:sz="4" w:space="0" w:color="auto"/>
              <w:left w:val="nil"/>
              <w:bottom w:val="single" w:sz="12" w:space="0" w:color="auto"/>
              <w:right w:val="nil"/>
            </w:tcBorders>
            <w:vAlign w:val="bottom"/>
          </w:tcPr>
          <w:p w14:paraId="0AAB882E" w14:textId="77777777" w:rsidR="0085105D" w:rsidRPr="00F959D0" w:rsidRDefault="0085105D" w:rsidP="0034622E">
            <w:pPr>
              <w:tabs>
                <w:tab w:val="right" w:pos="1202"/>
              </w:tabs>
              <w:jc w:val="right"/>
              <w:outlineLvl w:val="0"/>
              <w:rPr>
                <w:rFonts w:ascii="Arial" w:hAnsi="Arial" w:cs="Arial"/>
                <w:b/>
                <w:bCs/>
                <w:sz w:val="17"/>
                <w:szCs w:val="17"/>
              </w:rPr>
            </w:pPr>
            <w:r w:rsidRPr="003B2D75">
              <w:rPr>
                <w:rFonts w:ascii="Arial" w:hAnsi="Arial" w:cs="Arial"/>
                <w:b/>
                <w:bCs/>
                <w:sz w:val="17"/>
                <w:szCs w:val="17"/>
              </w:rPr>
              <w:t>183.302</w:t>
            </w:r>
          </w:p>
        </w:tc>
        <w:tc>
          <w:tcPr>
            <w:tcW w:w="556" w:type="pct"/>
            <w:tcBorders>
              <w:top w:val="single" w:sz="4" w:space="0" w:color="auto"/>
              <w:left w:val="nil"/>
              <w:bottom w:val="single" w:sz="12" w:space="0" w:color="auto"/>
              <w:right w:val="nil"/>
            </w:tcBorders>
            <w:vAlign w:val="bottom"/>
          </w:tcPr>
          <w:p w14:paraId="7193F445" w14:textId="77777777" w:rsidR="0085105D" w:rsidRPr="00F959D0" w:rsidRDefault="0085105D" w:rsidP="0034622E">
            <w:pPr>
              <w:tabs>
                <w:tab w:val="right" w:pos="1202"/>
              </w:tabs>
              <w:jc w:val="right"/>
              <w:outlineLvl w:val="0"/>
              <w:rPr>
                <w:rFonts w:ascii="Arial" w:hAnsi="Arial" w:cs="Arial"/>
                <w:b/>
                <w:bCs/>
                <w:sz w:val="17"/>
                <w:szCs w:val="17"/>
              </w:rPr>
            </w:pPr>
            <w:r w:rsidRPr="00F959D0">
              <w:rPr>
                <w:rFonts w:ascii="Arial" w:hAnsi="Arial" w:cs="Arial"/>
                <w:b/>
                <w:bCs/>
                <w:sz w:val="17"/>
                <w:szCs w:val="17"/>
              </w:rPr>
              <w:t>330.66</w:t>
            </w:r>
            <w:r>
              <w:rPr>
                <w:rFonts w:ascii="Arial" w:hAnsi="Arial" w:cs="Arial"/>
                <w:b/>
                <w:bCs/>
                <w:sz w:val="17"/>
                <w:szCs w:val="17"/>
              </w:rPr>
              <w:t>1</w:t>
            </w:r>
          </w:p>
        </w:tc>
        <w:tc>
          <w:tcPr>
            <w:tcW w:w="556" w:type="pct"/>
            <w:tcBorders>
              <w:top w:val="single" w:sz="4" w:space="0" w:color="auto"/>
              <w:left w:val="nil"/>
              <w:bottom w:val="single" w:sz="12" w:space="0" w:color="auto"/>
              <w:right w:val="nil"/>
            </w:tcBorders>
            <w:vAlign w:val="bottom"/>
          </w:tcPr>
          <w:p w14:paraId="540EF7AC" w14:textId="77777777" w:rsidR="0085105D" w:rsidRPr="00F959D0" w:rsidRDefault="0085105D" w:rsidP="0034622E">
            <w:pPr>
              <w:tabs>
                <w:tab w:val="right" w:pos="1202"/>
              </w:tabs>
              <w:jc w:val="right"/>
              <w:outlineLvl w:val="0"/>
              <w:rPr>
                <w:rFonts w:ascii="Arial" w:hAnsi="Arial" w:cs="Arial"/>
                <w:b/>
                <w:bCs/>
                <w:sz w:val="17"/>
                <w:szCs w:val="17"/>
              </w:rPr>
            </w:pPr>
            <w:r w:rsidRPr="00F959D0">
              <w:rPr>
                <w:rFonts w:ascii="Arial" w:hAnsi="Arial" w:cs="Arial"/>
                <w:b/>
                <w:bCs/>
                <w:sz w:val="17"/>
                <w:szCs w:val="17"/>
              </w:rPr>
              <w:t>753.737</w:t>
            </w:r>
          </w:p>
        </w:tc>
        <w:tc>
          <w:tcPr>
            <w:tcW w:w="556" w:type="pct"/>
            <w:tcBorders>
              <w:top w:val="single" w:sz="4" w:space="0" w:color="auto"/>
              <w:left w:val="nil"/>
              <w:bottom w:val="single" w:sz="12" w:space="0" w:color="auto"/>
              <w:right w:val="nil"/>
            </w:tcBorders>
            <w:vAlign w:val="bottom"/>
          </w:tcPr>
          <w:p w14:paraId="5D405E05" w14:textId="77777777" w:rsidR="0085105D" w:rsidRPr="00F959D0" w:rsidRDefault="0085105D" w:rsidP="0034622E">
            <w:pPr>
              <w:tabs>
                <w:tab w:val="right" w:pos="1202"/>
              </w:tabs>
              <w:jc w:val="right"/>
              <w:outlineLvl w:val="0"/>
              <w:rPr>
                <w:rFonts w:ascii="Arial" w:hAnsi="Arial" w:cs="Arial"/>
                <w:b/>
                <w:bCs/>
                <w:sz w:val="17"/>
                <w:szCs w:val="17"/>
              </w:rPr>
            </w:pPr>
            <w:r w:rsidRPr="00F959D0">
              <w:rPr>
                <w:rFonts w:ascii="Arial" w:hAnsi="Arial" w:cs="Arial"/>
                <w:b/>
                <w:bCs/>
                <w:sz w:val="17"/>
                <w:szCs w:val="17"/>
              </w:rPr>
              <w:t>1.300.281</w:t>
            </w:r>
          </w:p>
        </w:tc>
        <w:tc>
          <w:tcPr>
            <w:tcW w:w="621" w:type="pct"/>
            <w:tcBorders>
              <w:top w:val="single" w:sz="4" w:space="0" w:color="auto"/>
              <w:left w:val="nil"/>
              <w:bottom w:val="single" w:sz="12" w:space="0" w:color="auto"/>
              <w:right w:val="nil"/>
            </w:tcBorders>
            <w:vAlign w:val="bottom"/>
          </w:tcPr>
          <w:p w14:paraId="0963CC2C" w14:textId="77777777" w:rsidR="0085105D" w:rsidRPr="00F959D0" w:rsidRDefault="0085105D" w:rsidP="0034622E">
            <w:pPr>
              <w:tabs>
                <w:tab w:val="right" w:pos="1202"/>
              </w:tabs>
              <w:jc w:val="right"/>
              <w:outlineLvl w:val="0"/>
              <w:rPr>
                <w:rFonts w:ascii="Arial" w:hAnsi="Arial" w:cs="Arial"/>
                <w:b/>
                <w:bCs/>
                <w:sz w:val="17"/>
                <w:szCs w:val="17"/>
              </w:rPr>
            </w:pPr>
            <w:r w:rsidRPr="003B2D75">
              <w:rPr>
                <w:rFonts w:ascii="Arial" w:hAnsi="Arial" w:cs="Arial"/>
                <w:b/>
                <w:bCs/>
                <w:sz w:val="17"/>
                <w:szCs w:val="17"/>
              </w:rPr>
              <w:t>2.827.703</w:t>
            </w:r>
          </w:p>
        </w:tc>
      </w:tr>
      <w:tr w:rsidR="0085105D" w:rsidRPr="00C40415" w14:paraId="2E078FC5" w14:textId="77777777" w:rsidTr="0034622E">
        <w:trPr>
          <w:trHeight w:hRule="exact" w:val="275"/>
        </w:trPr>
        <w:tc>
          <w:tcPr>
            <w:tcW w:w="1597" w:type="pct"/>
            <w:vAlign w:val="bottom"/>
          </w:tcPr>
          <w:p w14:paraId="0FEC2386" w14:textId="77777777" w:rsidR="0085105D" w:rsidRPr="00C40415" w:rsidRDefault="0085105D" w:rsidP="0034622E">
            <w:pPr>
              <w:tabs>
                <w:tab w:val="right" w:pos="1202"/>
              </w:tabs>
              <w:spacing w:line="340" w:lineRule="exact"/>
              <w:outlineLvl w:val="0"/>
              <w:rPr>
                <w:rFonts w:ascii="Arial" w:hAnsi="Arial" w:cs="Arial"/>
                <w:b/>
                <w:bCs/>
                <w:color w:val="000000" w:themeColor="text1"/>
                <w:sz w:val="17"/>
                <w:szCs w:val="17"/>
              </w:rPr>
            </w:pPr>
          </w:p>
        </w:tc>
        <w:tc>
          <w:tcPr>
            <w:tcW w:w="557" w:type="pct"/>
            <w:tcBorders>
              <w:top w:val="nil"/>
              <w:left w:val="nil"/>
              <w:right w:val="nil"/>
            </w:tcBorders>
            <w:shd w:val="clear" w:color="auto" w:fill="auto"/>
            <w:vAlign w:val="bottom"/>
          </w:tcPr>
          <w:p w14:paraId="711B8BBE" w14:textId="77777777" w:rsidR="0085105D" w:rsidRPr="00C40415" w:rsidRDefault="0085105D" w:rsidP="0034622E">
            <w:pPr>
              <w:tabs>
                <w:tab w:val="right" w:pos="1202"/>
              </w:tabs>
              <w:spacing w:line="340" w:lineRule="exact"/>
              <w:jc w:val="right"/>
              <w:outlineLvl w:val="0"/>
              <w:rPr>
                <w:rFonts w:ascii="Arial" w:hAnsi="Arial" w:cs="Arial"/>
                <w:b/>
                <w:color w:val="000000" w:themeColor="text1"/>
                <w:sz w:val="17"/>
                <w:szCs w:val="17"/>
              </w:rPr>
            </w:pPr>
          </w:p>
        </w:tc>
        <w:tc>
          <w:tcPr>
            <w:tcW w:w="557" w:type="pct"/>
            <w:tcBorders>
              <w:top w:val="nil"/>
              <w:left w:val="nil"/>
              <w:right w:val="nil"/>
            </w:tcBorders>
            <w:shd w:val="clear" w:color="auto" w:fill="auto"/>
            <w:vAlign w:val="bottom"/>
          </w:tcPr>
          <w:p w14:paraId="48CCDD7A" w14:textId="77777777" w:rsidR="0085105D" w:rsidRPr="00C40415" w:rsidRDefault="0085105D" w:rsidP="0034622E">
            <w:pPr>
              <w:tabs>
                <w:tab w:val="right" w:pos="1202"/>
              </w:tabs>
              <w:spacing w:line="340" w:lineRule="exact"/>
              <w:jc w:val="right"/>
              <w:outlineLvl w:val="0"/>
              <w:rPr>
                <w:rFonts w:ascii="Arial" w:hAnsi="Arial" w:cs="Arial"/>
                <w:b/>
                <w:color w:val="000000" w:themeColor="text1"/>
                <w:sz w:val="17"/>
                <w:szCs w:val="17"/>
              </w:rPr>
            </w:pPr>
          </w:p>
        </w:tc>
        <w:tc>
          <w:tcPr>
            <w:tcW w:w="556" w:type="pct"/>
            <w:tcBorders>
              <w:top w:val="nil"/>
              <w:left w:val="nil"/>
              <w:right w:val="nil"/>
            </w:tcBorders>
            <w:shd w:val="clear" w:color="auto" w:fill="auto"/>
            <w:vAlign w:val="bottom"/>
          </w:tcPr>
          <w:p w14:paraId="7659690F" w14:textId="77777777" w:rsidR="0085105D" w:rsidRPr="00C40415" w:rsidRDefault="0085105D" w:rsidP="0034622E">
            <w:pPr>
              <w:tabs>
                <w:tab w:val="right" w:pos="1202"/>
              </w:tabs>
              <w:spacing w:line="340" w:lineRule="exact"/>
              <w:jc w:val="right"/>
              <w:outlineLvl w:val="0"/>
              <w:rPr>
                <w:rFonts w:ascii="Arial" w:hAnsi="Arial" w:cs="Arial"/>
                <w:b/>
                <w:color w:val="000000" w:themeColor="text1"/>
                <w:sz w:val="17"/>
                <w:szCs w:val="17"/>
              </w:rPr>
            </w:pPr>
          </w:p>
        </w:tc>
        <w:tc>
          <w:tcPr>
            <w:tcW w:w="556" w:type="pct"/>
            <w:tcBorders>
              <w:top w:val="nil"/>
              <w:left w:val="nil"/>
              <w:right w:val="nil"/>
            </w:tcBorders>
            <w:shd w:val="clear" w:color="auto" w:fill="auto"/>
            <w:vAlign w:val="bottom"/>
          </w:tcPr>
          <w:p w14:paraId="5F205930" w14:textId="77777777" w:rsidR="0085105D" w:rsidRPr="00C40415" w:rsidRDefault="0085105D" w:rsidP="0034622E">
            <w:pPr>
              <w:tabs>
                <w:tab w:val="right" w:pos="1202"/>
              </w:tabs>
              <w:spacing w:line="340" w:lineRule="exact"/>
              <w:jc w:val="right"/>
              <w:outlineLvl w:val="0"/>
              <w:rPr>
                <w:rFonts w:ascii="Arial" w:hAnsi="Arial" w:cs="Arial"/>
                <w:b/>
                <w:color w:val="000000" w:themeColor="text1"/>
                <w:sz w:val="17"/>
                <w:szCs w:val="17"/>
              </w:rPr>
            </w:pPr>
          </w:p>
        </w:tc>
        <w:tc>
          <w:tcPr>
            <w:tcW w:w="556" w:type="pct"/>
            <w:tcBorders>
              <w:top w:val="nil"/>
              <w:left w:val="nil"/>
              <w:right w:val="nil"/>
            </w:tcBorders>
            <w:shd w:val="clear" w:color="auto" w:fill="auto"/>
            <w:vAlign w:val="bottom"/>
          </w:tcPr>
          <w:p w14:paraId="770A6046" w14:textId="77777777" w:rsidR="0085105D" w:rsidRPr="00C40415" w:rsidRDefault="0085105D" w:rsidP="0034622E">
            <w:pPr>
              <w:tabs>
                <w:tab w:val="right" w:pos="1202"/>
              </w:tabs>
              <w:spacing w:line="340" w:lineRule="exact"/>
              <w:jc w:val="right"/>
              <w:outlineLvl w:val="0"/>
              <w:rPr>
                <w:rFonts w:ascii="Arial" w:hAnsi="Arial" w:cs="Arial"/>
                <w:b/>
                <w:color w:val="000000" w:themeColor="text1"/>
                <w:sz w:val="17"/>
                <w:szCs w:val="17"/>
              </w:rPr>
            </w:pPr>
          </w:p>
        </w:tc>
        <w:tc>
          <w:tcPr>
            <w:tcW w:w="621" w:type="pct"/>
            <w:tcBorders>
              <w:top w:val="nil"/>
              <w:left w:val="nil"/>
              <w:right w:val="nil"/>
            </w:tcBorders>
            <w:shd w:val="clear" w:color="auto" w:fill="auto"/>
            <w:vAlign w:val="bottom"/>
          </w:tcPr>
          <w:p w14:paraId="641C5577" w14:textId="77777777" w:rsidR="0085105D" w:rsidRPr="00C40415" w:rsidRDefault="0085105D" w:rsidP="0034622E">
            <w:pPr>
              <w:tabs>
                <w:tab w:val="right" w:pos="1202"/>
              </w:tabs>
              <w:spacing w:line="340" w:lineRule="exact"/>
              <w:jc w:val="right"/>
              <w:outlineLvl w:val="0"/>
              <w:rPr>
                <w:rFonts w:ascii="Arial" w:hAnsi="Arial" w:cs="Arial"/>
                <w:b/>
                <w:color w:val="000000" w:themeColor="text1"/>
                <w:sz w:val="17"/>
                <w:szCs w:val="17"/>
              </w:rPr>
            </w:pPr>
          </w:p>
        </w:tc>
      </w:tr>
      <w:tr w:rsidR="0085105D" w:rsidRPr="00C40415" w14:paraId="6D903B75" w14:textId="77777777" w:rsidTr="0034622E">
        <w:trPr>
          <w:trHeight w:hRule="exact" w:val="211"/>
        </w:trPr>
        <w:tc>
          <w:tcPr>
            <w:tcW w:w="1597" w:type="pct"/>
            <w:tcBorders>
              <w:top w:val="nil"/>
              <w:left w:val="nil"/>
              <w:bottom w:val="nil"/>
              <w:right w:val="nil"/>
            </w:tcBorders>
            <w:shd w:val="clear" w:color="auto" w:fill="auto"/>
          </w:tcPr>
          <w:p w14:paraId="732354BA" w14:textId="77777777" w:rsidR="0085105D" w:rsidRPr="00C40415" w:rsidRDefault="0085105D" w:rsidP="0034622E">
            <w:pPr>
              <w:tabs>
                <w:tab w:val="right" w:pos="1202"/>
              </w:tabs>
              <w:outlineLvl w:val="0"/>
              <w:rPr>
                <w:rFonts w:ascii="Arial" w:hAnsi="Arial" w:cs="Arial"/>
                <w:b/>
                <w:bCs/>
                <w:color w:val="000000" w:themeColor="text1"/>
                <w:sz w:val="17"/>
                <w:szCs w:val="17"/>
              </w:rPr>
            </w:pPr>
            <w:r w:rsidRPr="00C40415">
              <w:rPr>
                <w:rFonts w:ascii="Arial" w:hAnsi="Arial" w:cs="Arial"/>
                <w:b/>
                <w:bCs/>
                <w:color w:val="000000" w:themeColor="text1"/>
                <w:sz w:val="17"/>
                <w:szCs w:val="17"/>
              </w:rPr>
              <w:t>Garancije i preuzete obveze</w:t>
            </w:r>
          </w:p>
        </w:tc>
        <w:tc>
          <w:tcPr>
            <w:tcW w:w="557" w:type="pct"/>
            <w:tcBorders>
              <w:top w:val="nil"/>
              <w:left w:val="nil"/>
              <w:bottom w:val="nil"/>
              <w:right w:val="nil"/>
            </w:tcBorders>
            <w:shd w:val="clear" w:color="auto" w:fill="auto"/>
            <w:vAlign w:val="bottom"/>
          </w:tcPr>
          <w:p w14:paraId="2D764D72" w14:textId="77777777" w:rsidR="0085105D" w:rsidRPr="00C40415" w:rsidRDefault="0085105D" w:rsidP="0034622E">
            <w:pPr>
              <w:tabs>
                <w:tab w:val="right" w:pos="1202"/>
              </w:tabs>
              <w:jc w:val="right"/>
              <w:outlineLvl w:val="0"/>
              <w:rPr>
                <w:rFonts w:ascii="Arial" w:hAnsi="Arial" w:cs="Arial"/>
                <w:b/>
                <w:color w:val="000000" w:themeColor="text1"/>
                <w:sz w:val="17"/>
                <w:szCs w:val="17"/>
              </w:rPr>
            </w:pPr>
          </w:p>
        </w:tc>
        <w:tc>
          <w:tcPr>
            <w:tcW w:w="557" w:type="pct"/>
            <w:tcBorders>
              <w:top w:val="nil"/>
              <w:left w:val="nil"/>
              <w:bottom w:val="nil"/>
              <w:right w:val="nil"/>
            </w:tcBorders>
            <w:shd w:val="clear" w:color="auto" w:fill="auto"/>
            <w:vAlign w:val="bottom"/>
          </w:tcPr>
          <w:p w14:paraId="2E85DB38" w14:textId="77777777" w:rsidR="0085105D" w:rsidRPr="00C40415" w:rsidRDefault="0085105D" w:rsidP="0034622E">
            <w:pPr>
              <w:tabs>
                <w:tab w:val="right" w:pos="1202"/>
              </w:tabs>
              <w:jc w:val="right"/>
              <w:outlineLvl w:val="0"/>
              <w:rPr>
                <w:rFonts w:ascii="Arial" w:hAnsi="Arial" w:cs="Arial"/>
                <w:b/>
                <w:color w:val="000000" w:themeColor="text1"/>
                <w:sz w:val="17"/>
                <w:szCs w:val="17"/>
              </w:rPr>
            </w:pPr>
          </w:p>
        </w:tc>
        <w:tc>
          <w:tcPr>
            <w:tcW w:w="556" w:type="pct"/>
            <w:tcBorders>
              <w:top w:val="nil"/>
              <w:left w:val="nil"/>
              <w:bottom w:val="nil"/>
              <w:right w:val="nil"/>
            </w:tcBorders>
            <w:shd w:val="clear" w:color="auto" w:fill="auto"/>
            <w:vAlign w:val="bottom"/>
          </w:tcPr>
          <w:p w14:paraId="6037ADC9" w14:textId="77777777" w:rsidR="0085105D" w:rsidRPr="00C40415" w:rsidRDefault="0085105D" w:rsidP="0034622E">
            <w:pPr>
              <w:tabs>
                <w:tab w:val="right" w:pos="1202"/>
              </w:tabs>
              <w:jc w:val="right"/>
              <w:outlineLvl w:val="0"/>
              <w:rPr>
                <w:rFonts w:ascii="Arial" w:hAnsi="Arial" w:cs="Arial"/>
                <w:b/>
                <w:color w:val="000000" w:themeColor="text1"/>
                <w:sz w:val="17"/>
                <w:szCs w:val="17"/>
              </w:rPr>
            </w:pPr>
          </w:p>
        </w:tc>
        <w:tc>
          <w:tcPr>
            <w:tcW w:w="556" w:type="pct"/>
            <w:tcBorders>
              <w:top w:val="nil"/>
              <w:left w:val="nil"/>
              <w:bottom w:val="nil"/>
              <w:right w:val="nil"/>
            </w:tcBorders>
            <w:shd w:val="clear" w:color="auto" w:fill="auto"/>
            <w:vAlign w:val="bottom"/>
          </w:tcPr>
          <w:p w14:paraId="5312EBEF" w14:textId="77777777" w:rsidR="0085105D" w:rsidRPr="00C40415" w:rsidRDefault="0085105D" w:rsidP="0034622E">
            <w:pPr>
              <w:tabs>
                <w:tab w:val="right" w:pos="1202"/>
              </w:tabs>
              <w:jc w:val="right"/>
              <w:outlineLvl w:val="0"/>
              <w:rPr>
                <w:rFonts w:ascii="Arial" w:hAnsi="Arial" w:cs="Arial"/>
                <w:b/>
                <w:color w:val="000000" w:themeColor="text1"/>
                <w:sz w:val="17"/>
                <w:szCs w:val="17"/>
              </w:rPr>
            </w:pPr>
          </w:p>
        </w:tc>
        <w:tc>
          <w:tcPr>
            <w:tcW w:w="556" w:type="pct"/>
            <w:tcBorders>
              <w:top w:val="nil"/>
              <w:left w:val="nil"/>
              <w:bottom w:val="nil"/>
              <w:right w:val="nil"/>
            </w:tcBorders>
            <w:shd w:val="clear" w:color="auto" w:fill="auto"/>
            <w:vAlign w:val="bottom"/>
          </w:tcPr>
          <w:p w14:paraId="17F20997" w14:textId="77777777" w:rsidR="0085105D" w:rsidRPr="00C40415" w:rsidRDefault="0085105D" w:rsidP="0034622E">
            <w:pPr>
              <w:tabs>
                <w:tab w:val="right" w:pos="1202"/>
              </w:tabs>
              <w:jc w:val="right"/>
              <w:outlineLvl w:val="0"/>
              <w:rPr>
                <w:rFonts w:ascii="Arial" w:hAnsi="Arial" w:cs="Arial"/>
                <w:b/>
                <w:color w:val="000000" w:themeColor="text1"/>
                <w:sz w:val="17"/>
                <w:szCs w:val="17"/>
              </w:rPr>
            </w:pPr>
          </w:p>
        </w:tc>
        <w:tc>
          <w:tcPr>
            <w:tcW w:w="621" w:type="pct"/>
            <w:tcBorders>
              <w:top w:val="nil"/>
              <w:left w:val="nil"/>
              <w:bottom w:val="nil"/>
              <w:right w:val="nil"/>
            </w:tcBorders>
            <w:shd w:val="clear" w:color="auto" w:fill="auto"/>
            <w:vAlign w:val="bottom"/>
          </w:tcPr>
          <w:p w14:paraId="3B66B08F" w14:textId="77777777" w:rsidR="0085105D" w:rsidRPr="00C40415" w:rsidRDefault="0085105D" w:rsidP="0034622E">
            <w:pPr>
              <w:tabs>
                <w:tab w:val="right" w:pos="1202"/>
              </w:tabs>
              <w:jc w:val="right"/>
              <w:outlineLvl w:val="0"/>
              <w:rPr>
                <w:rFonts w:ascii="Arial" w:hAnsi="Arial" w:cs="Arial"/>
                <w:b/>
                <w:color w:val="000000" w:themeColor="text1"/>
                <w:sz w:val="17"/>
                <w:szCs w:val="17"/>
              </w:rPr>
            </w:pPr>
          </w:p>
        </w:tc>
      </w:tr>
      <w:tr w:rsidR="0085105D" w:rsidRPr="00C40415" w14:paraId="796B34F5" w14:textId="77777777" w:rsidTr="0034622E">
        <w:trPr>
          <w:trHeight w:hRule="exact" w:val="211"/>
        </w:trPr>
        <w:tc>
          <w:tcPr>
            <w:tcW w:w="1597" w:type="pct"/>
            <w:tcBorders>
              <w:top w:val="nil"/>
              <w:left w:val="nil"/>
              <w:bottom w:val="nil"/>
              <w:right w:val="nil"/>
            </w:tcBorders>
            <w:shd w:val="clear" w:color="auto" w:fill="auto"/>
            <w:vAlign w:val="center"/>
          </w:tcPr>
          <w:p w14:paraId="5145EBB8" w14:textId="77777777" w:rsidR="0085105D" w:rsidRPr="00C40415" w:rsidRDefault="0085105D" w:rsidP="0034622E">
            <w:pPr>
              <w:tabs>
                <w:tab w:val="right" w:pos="1202"/>
              </w:tabs>
              <w:outlineLvl w:val="0"/>
              <w:rPr>
                <w:rFonts w:ascii="Arial" w:hAnsi="Arial" w:cs="Arial"/>
                <w:b/>
                <w:bCs/>
                <w:color w:val="000000" w:themeColor="text1"/>
                <w:sz w:val="17"/>
                <w:szCs w:val="17"/>
              </w:rPr>
            </w:pPr>
            <w:r w:rsidRPr="00C40415">
              <w:rPr>
                <w:rFonts w:ascii="Arial" w:eastAsia="Calibri" w:hAnsi="Arial" w:cs="Arial"/>
                <w:color w:val="000000" w:themeColor="text1"/>
                <w:spacing w:val="-2"/>
                <w:sz w:val="17"/>
                <w:szCs w:val="17"/>
              </w:rPr>
              <w:t xml:space="preserve">Izdane garancije </w:t>
            </w:r>
          </w:p>
        </w:tc>
        <w:tc>
          <w:tcPr>
            <w:tcW w:w="557" w:type="pct"/>
            <w:tcBorders>
              <w:top w:val="nil"/>
              <w:left w:val="nil"/>
              <w:bottom w:val="nil"/>
              <w:right w:val="nil"/>
            </w:tcBorders>
            <w:shd w:val="clear" w:color="auto" w:fill="auto"/>
            <w:vAlign w:val="bottom"/>
          </w:tcPr>
          <w:p w14:paraId="0270C132" w14:textId="77777777" w:rsidR="0085105D" w:rsidRPr="00C40415" w:rsidRDefault="0085105D" w:rsidP="0034622E">
            <w:pPr>
              <w:tabs>
                <w:tab w:val="right" w:pos="1202"/>
              </w:tabs>
              <w:spacing w:line="240" w:lineRule="exact"/>
              <w:jc w:val="right"/>
              <w:outlineLvl w:val="0"/>
              <w:rPr>
                <w:rFonts w:ascii="Arial" w:eastAsia="Calibri" w:hAnsi="Arial" w:cs="Arial"/>
                <w:color w:val="000000" w:themeColor="text1"/>
                <w:spacing w:val="-2"/>
                <w:sz w:val="17"/>
                <w:szCs w:val="17"/>
              </w:rPr>
            </w:pPr>
            <w:r w:rsidRPr="00AD7F10">
              <w:rPr>
                <w:rFonts w:ascii="Arial" w:hAnsi="Arial" w:cs="Arial"/>
                <w:sz w:val="17"/>
                <w:szCs w:val="17"/>
              </w:rPr>
              <w:t xml:space="preserve"> 52.623 </w:t>
            </w:r>
          </w:p>
        </w:tc>
        <w:tc>
          <w:tcPr>
            <w:tcW w:w="557" w:type="pct"/>
            <w:tcBorders>
              <w:top w:val="nil"/>
              <w:left w:val="nil"/>
              <w:bottom w:val="nil"/>
              <w:right w:val="nil"/>
            </w:tcBorders>
            <w:shd w:val="clear" w:color="auto" w:fill="auto"/>
            <w:vAlign w:val="bottom"/>
          </w:tcPr>
          <w:p w14:paraId="3AB05C5A" w14:textId="77777777" w:rsidR="0085105D" w:rsidRPr="00C40415" w:rsidRDefault="0085105D" w:rsidP="0034622E">
            <w:pPr>
              <w:jc w:val="right"/>
              <w:rPr>
                <w:rFonts w:ascii="Arial" w:hAnsi="Arial" w:cs="Arial"/>
                <w:color w:val="000000" w:themeColor="text1"/>
                <w:sz w:val="17"/>
                <w:szCs w:val="17"/>
              </w:rPr>
            </w:pPr>
            <w:r w:rsidRPr="00AD7F10">
              <w:rPr>
                <w:rFonts w:ascii="Arial" w:hAnsi="Arial" w:cs="Arial"/>
                <w:sz w:val="17"/>
                <w:szCs w:val="17"/>
              </w:rPr>
              <w:t xml:space="preserve"> - </w:t>
            </w:r>
          </w:p>
        </w:tc>
        <w:tc>
          <w:tcPr>
            <w:tcW w:w="556" w:type="pct"/>
            <w:tcBorders>
              <w:top w:val="nil"/>
              <w:left w:val="nil"/>
              <w:bottom w:val="nil"/>
              <w:right w:val="nil"/>
            </w:tcBorders>
            <w:shd w:val="clear" w:color="auto" w:fill="auto"/>
            <w:vAlign w:val="bottom"/>
          </w:tcPr>
          <w:p w14:paraId="1AD3C397" w14:textId="77777777" w:rsidR="0085105D" w:rsidRPr="00C40415" w:rsidRDefault="0085105D" w:rsidP="0034622E">
            <w:pPr>
              <w:jc w:val="right"/>
              <w:rPr>
                <w:rFonts w:ascii="Arial" w:hAnsi="Arial" w:cs="Arial"/>
                <w:color w:val="000000" w:themeColor="text1"/>
                <w:sz w:val="17"/>
                <w:szCs w:val="17"/>
              </w:rPr>
            </w:pPr>
            <w:r w:rsidRPr="00AD7F10">
              <w:rPr>
                <w:rFonts w:ascii="Arial" w:hAnsi="Arial" w:cs="Arial"/>
                <w:sz w:val="17"/>
                <w:szCs w:val="17"/>
              </w:rPr>
              <w:t xml:space="preserve"> - </w:t>
            </w:r>
          </w:p>
        </w:tc>
        <w:tc>
          <w:tcPr>
            <w:tcW w:w="556" w:type="pct"/>
            <w:tcBorders>
              <w:top w:val="nil"/>
              <w:left w:val="nil"/>
              <w:bottom w:val="nil"/>
              <w:right w:val="nil"/>
            </w:tcBorders>
            <w:shd w:val="clear" w:color="auto" w:fill="auto"/>
            <w:vAlign w:val="bottom"/>
          </w:tcPr>
          <w:p w14:paraId="490328A2" w14:textId="77777777" w:rsidR="0085105D" w:rsidRPr="00C40415" w:rsidRDefault="0085105D" w:rsidP="0034622E">
            <w:pPr>
              <w:jc w:val="right"/>
              <w:rPr>
                <w:rFonts w:ascii="Arial" w:hAnsi="Arial" w:cs="Arial"/>
                <w:color w:val="000000" w:themeColor="text1"/>
                <w:sz w:val="17"/>
                <w:szCs w:val="17"/>
              </w:rPr>
            </w:pPr>
            <w:r w:rsidRPr="00AD7F10">
              <w:rPr>
                <w:rFonts w:ascii="Arial" w:hAnsi="Arial" w:cs="Arial"/>
                <w:sz w:val="17"/>
                <w:szCs w:val="17"/>
              </w:rPr>
              <w:t xml:space="preserve"> - </w:t>
            </w:r>
          </w:p>
        </w:tc>
        <w:tc>
          <w:tcPr>
            <w:tcW w:w="556" w:type="pct"/>
            <w:tcBorders>
              <w:top w:val="nil"/>
              <w:left w:val="nil"/>
              <w:bottom w:val="nil"/>
              <w:right w:val="nil"/>
            </w:tcBorders>
            <w:shd w:val="clear" w:color="auto" w:fill="auto"/>
            <w:vAlign w:val="bottom"/>
          </w:tcPr>
          <w:p w14:paraId="193AB236" w14:textId="77777777" w:rsidR="0085105D" w:rsidRPr="00C40415" w:rsidRDefault="0085105D" w:rsidP="0034622E">
            <w:pPr>
              <w:jc w:val="right"/>
              <w:rPr>
                <w:rFonts w:ascii="Arial" w:hAnsi="Arial" w:cs="Arial"/>
                <w:color w:val="000000" w:themeColor="text1"/>
                <w:sz w:val="17"/>
                <w:szCs w:val="17"/>
              </w:rPr>
            </w:pPr>
            <w:r w:rsidRPr="00AD7F10">
              <w:rPr>
                <w:rFonts w:ascii="Arial" w:hAnsi="Arial" w:cs="Arial"/>
                <w:sz w:val="17"/>
                <w:szCs w:val="17"/>
              </w:rPr>
              <w:t xml:space="preserve"> - </w:t>
            </w:r>
          </w:p>
        </w:tc>
        <w:tc>
          <w:tcPr>
            <w:tcW w:w="621" w:type="pct"/>
            <w:tcBorders>
              <w:top w:val="nil"/>
              <w:left w:val="nil"/>
              <w:bottom w:val="nil"/>
              <w:right w:val="nil"/>
            </w:tcBorders>
            <w:shd w:val="clear" w:color="auto" w:fill="auto"/>
            <w:vAlign w:val="bottom"/>
          </w:tcPr>
          <w:p w14:paraId="7BD36F8B" w14:textId="77777777" w:rsidR="0085105D" w:rsidRPr="00C40415" w:rsidRDefault="0085105D" w:rsidP="0034622E">
            <w:pPr>
              <w:tabs>
                <w:tab w:val="right" w:pos="1202"/>
              </w:tabs>
              <w:spacing w:line="240" w:lineRule="exact"/>
              <w:jc w:val="right"/>
              <w:outlineLvl w:val="0"/>
              <w:rPr>
                <w:rFonts w:ascii="Arial" w:eastAsia="Calibri" w:hAnsi="Arial" w:cs="Arial"/>
                <w:color w:val="000000" w:themeColor="text1"/>
                <w:spacing w:val="-2"/>
                <w:sz w:val="17"/>
                <w:szCs w:val="17"/>
              </w:rPr>
            </w:pPr>
            <w:r w:rsidRPr="00AD7F10">
              <w:rPr>
                <w:rFonts w:ascii="Arial" w:hAnsi="Arial" w:cs="Arial"/>
                <w:sz w:val="17"/>
                <w:szCs w:val="17"/>
              </w:rPr>
              <w:t xml:space="preserve"> 52.623 </w:t>
            </w:r>
          </w:p>
        </w:tc>
      </w:tr>
      <w:tr w:rsidR="0085105D" w:rsidRPr="00C40415" w14:paraId="017B4652" w14:textId="77777777" w:rsidTr="0034622E">
        <w:trPr>
          <w:trHeight w:hRule="exact" w:val="211"/>
        </w:trPr>
        <w:tc>
          <w:tcPr>
            <w:tcW w:w="1597" w:type="pct"/>
            <w:tcBorders>
              <w:top w:val="nil"/>
              <w:left w:val="nil"/>
              <w:bottom w:val="nil"/>
              <w:right w:val="nil"/>
            </w:tcBorders>
            <w:shd w:val="clear" w:color="auto" w:fill="auto"/>
            <w:vAlign w:val="center"/>
          </w:tcPr>
          <w:p w14:paraId="20DB98D0" w14:textId="77777777" w:rsidR="0085105D" w:rsidRPr="00C40415" w:rsidRDefault="0085105D" w:rsidP="0034622E">
            <w:pPr>
              <w:tabs>
                <w:tab w:val="right" w:pos="1202"/>
              </w:tabs>
              <w:outlineLvl w:val="0"/>
              <w:rPr>
                <w:rFonts w:ascii="Arial" w:hAnsi="Arial" w:cs="Arial"/>
                <w:b/>
                <w:bCs/>
                <w:color w:val="000000" w:themeColor="text1"/>
                <w:sz w:val="17"/>
                <w:szCs w:val="17"/>
              </w:rPr>
            </w:pPr>
            <w:r w:rsidRPr="00C40415">
              <w:rPr>
                <w:rFonts w:ascii="Arial" w:eastAsia="Calibri" w:hAnsi="Arial" w:cs="Arial"/>
                <w:color w:val="000000" w:themeColor="text1"/>
                <w:spacing w:val="-2"/>
                <w:sz w:val="17"/>
                <w:szCs w:val="17"/>
              </w:rPr>
              <w:t>Izdane garancije u devizama</w:t>
            </w:r>
          </w:p>
        </w:tc>
        <w:tc>
          <w:tcPr>
            <w:tcW w:w="557" w:type="pct"/>
            <w:tcBorders>
              <w:top w:val="nil"/>
              <w:left w:val="nil"/>
              <w:bottom w:val="nil"/>
              <w:right w:val="nil"/>
            </w:tcBorders>
            <w:shd w:val="clear" w:color="auto" w:fill="auto"/>
            <w:vAlign w:val="bottom"/>
          </w:tcPr>
          <w:p w14:paraId="23821624" w14:textId="77777777" w:rsidR="0085105D" w:rsidRPr="00C40415" w:rsidRDefault="0085105D" w:rsidP="0034622E">
            <w:pPr>
              <w:tabs>
                <w:tab w:val="right" w:pos="1202"/>
              </w:tabs>
              <w:spacing w:line="240" w:lineRule="exact"/>
              <w:jc w:val="right"/>
              <w:outlineLvl w:val="0"/>
              <w:rPr>
                <w:rFonts w:ascii="Arial" w:eastAsia="Calibri" w:hAnsi="Arial" w:cs="Arial"/>
                <w:color w:val="000000" w:themeColor="text1"/>
                <w:spacing w:val="-2"/>
                <w:sz w:val="17"/>
                <w:szCs w:val="17"/>
              </w:rPr>
            </w:pPr>
            <w:r w:rsidRPr="00AD7F10">
              <w:rPr>
                <w:rFonts w:ascii="Arial" w:hAnsi="Arial" w:cs="Arial"/>
                <w:sz w:val="17"/>
                <w:szCs w:val="17"/>
              </w:rPr>
              <w:t xml:space="preserve"> 7.716 </w:t>
            </w:r>
          </w:p>
        </w:tc>
        <w:tc>
          <w:tcPr>
            <w:tcW w:w="557" w:type="pct"/>
            <w:tcBorders>
              <w:top w:val="nil"/>
              <w:left w:val="nil"/>
              <w:bottom w:val="nil"/>
              <w:right w:val="nil"/>
            </w:tcBorders>
            <w:shd w:val="clear" w:color="auto" w:fill="auto"/>
            <w:vAlign w:val="bottom"/>
          </w:tcPr>
          <w:p w14:paraId="50982DDB" w14:textId="77777777" w:rsidR="0085105D" w:rsidRPr="00C40415" w:rsidRDefault="0085105D" w:rsidP="0034622E">
            <w:pPr>
              <w:jc w:val="right"/>
              <w:rPr>
                <w:rFonts w:ascii="Arial" w:hAnsi="Arial" w:cs="Arial"/>
                <w:color w:val="000000" w:themeColor="text1"/>
                <w:sz w:val="17"/>
                <w:szCs w:val="17"/>
              </w:rPr>
            </w:pPr>
            <w:r w:rsidRPr="00AD7F10">
              <w:rPr>
                <w:rFonts w:ascii="Arial" w:hAnsi="Arial" w:cs="Arial"/>
                <w:sz w:val="17"/>
                <w:szCs w:val="17"/>
              </w:rPr>
              <w:t xml:space="preserve"> - </w:t>
            </w:r>
          </w:p>
        </w:tc>
        <w:tc>
          <w:tcPr>
            <w:tcW w:w="556" w:type="pct"/>
            <w:tcBorders>
              <w:top w:val="nil"/>
              <w:left w:val="nil"/>
              <w:bottom w:val="nil"/>
              <w:right w:val="nil"/>
            </w:tcBorders>
            <w:shd w:val="clear" w:color="auto" w:fill="auto"/>
            <w:vAlign w:val="bottom"/>
          </w:tcPr>
          <w:p w14:paraId="79240F09" w14:textId="77777777" w:rsidR="0085105D" w:rsidRPr="00C40415" w:rsidRDefault="0085105D" w:rsidP="0034622E">
            <w:pPr>
              <w:jc w:val="right"/>
              <w:rPr>
                <w:rFonts w:ascii="Arial" w:hAnsi="Arial" w:cs="Arial"/>
                <w:color w:val="000000" w:themeColor="text1"/>
                <w:sz w:val="17"/>
                <w:szCs w:val="17"/>
              </w:rPr>
            </w:pPr>
            <w:r w:rsidRPr="00AD7F10">
              <w:rPr>
                <w:rFonts w:ascii="Arial" w:hAnsi="Arial" w:cs="Arial"/>
                <w:sz w:val="17"/>
                <w:szCs w:val="17"/>
              </w:rPr>
              <w:t xml:space="preserve"> - </w:t>
            </w:r>
          </w:p>
        </w:tc>
        <w:tc>
          <w:tcPr>
            <w:tcW w:w="556" w:type="pct"/>
            <w:tcBorders>
              <w:top w:val="nil"/>
              <w:left w:val="nil"/>
              <w:bottom w:val="nil"/>
              <w:right w:val="nil"/>
            </w:tcBorders>
            <w:shd w:val="clear" w:color="auto" w:fill="auto"/>
            <w:vAlign w:val="bottom"/>
          </w:tcPr>
          <w:p w14:paraId="7761BC5C" w14:textId="77777777" w:rsidR="0085105D" w:rsidRPr="00C40415" w:rsidRDefault="0085105D" w:rsidP="0034622E">
            <w:pPr>
              <w:jc w:val="right"/>
              <w:rPr>
                <w:rFonts w:ascii="Arial" w:hAnsi="Arial" w:cs="Arial"/>
                <w:color w:val="000000" w:themeColor="text1"/>
                <w:sz w:val="17"/>
                <w:szCs w:val="17"/>
              </w:rPr>
            </w:pPr>
            <w:r w:rsidRPr="00AD7F10">
              <w:rPr>
                <w:rFonts w:ascii="Arial" w:hAnsi="Arial" w:cs="Arial"/>
                <w:sz w:val="17"/>
                <w:szCs w:val="17"/>
              </w:rPr>
              <w:t xml:space="preserve"> - </w:t>
            </w:r>
          </w:p>
        </w:tc>
        <w:tc>
          <w:tcPr>
            <w:tcW w:w="556" w:type="pct"/>
            <w:tcBorders>
              <w:top w:val="nil"/>
              <w:left w:val="nil"/>
              <w:bottom w:val="nil"/>
              <w:right w:val="nil"/>
            </w:tcBorders>
            <w:shd w:val="clear" w:color="auto" w:fill="auto"/>
            <w:vAlign w:val="bottom"/>
          </w:tcPr>
          <w:p w14:paraId="7B840B6E" w14:textId="77777777" w:rsidR="0085105D" w:rsidRPr="00C40415" w:rsidRDefault="0085105D" w:rsidP="0034622E">
            <w:pPr>
              <w:jc w:val="right"/>
              <w:rPr>
                <w:rFonts w:ascii="Arial" w:hAnsi="Arial" w:cs="Arial"/>
                <w:color w:val="000000" w:themeColor="text1"/>
                <w:sz w:val="17"/>
                <w:szCs w:val="17"/>
              </w:rPr>
            </w:pPr>
            <w:r w:rsidRPr="00AD7F10">
              <w:rPr>
                <w:rFonts w:ascii="Arial" w:hAnsi="Arial" w:cs="Arial"/>
                <w:sz w:val="17"/>
                <w:szCs w:val="17"/>
              </w:rPr>
              <w:t xml:space="preserve"> - </w:t>
            </w:r>
          </w:p>
        </w:tc>
        <w:tc>
          <w:tcPr>
            <w:tcW w:w="621" w:type="pct"/>
            <w:tcBorders>
              <w:top w:val="nil"/>
              <w:left w:val="nil"/>
              <w:bottom w:val="nil"/>
              <w:right w:val="nil"/>
            </w:tcBorders>
            <w:shd w:val="clear" w:color="auto" w:fill="auto"/>
            <w:vAlign w:val="bottom"/>
          </w:tcPr>
          <w:p w14:paraId="13B77E77" w14:textId="77777777" w:rsidR="0085105D" w:rsidRPr="00C40415" w:rsidRDefault="0085105D" w:rsidP="0034622E">
            <w:pPr>
              <w:tabs>
                <w:tab w:val="right" w:pos="1202"/>
              </w:tabs>
              <w:spacing w:line="240" w:lineRule="exact"/>
              <w:jc w:val="right"/>
              <w:outlineLvl w:val="0"/>
              <w:rPr>
                <w:rFonts w:ascii="Arial" w:eastAsia="Calibri" w:hAnsi="Arial" w:cs="Arial"/>
                <w:color w:val="000000" w:themeColor="text1"/>
                <w:spacing w:val="-2"/>
                <w:sz w:val="17"/>
                <w:szCs w:val="17"/>
              </w:rPr>
            </w:pPr>
            <w:r w:rsidRPr="00AD7F10">
              <w:rPr>
                <w:rFonts w:ascii="Arial" w:hAnsi="Arial" w:cs="Arial"/>
                <w:sz w:val="17"/>
                <w:szCs w:val="17"/>
              </w:rPr>
              <w:t xml:space="preserve"> 7.716 </w:t>
            </w:r>
          </w:p>
        </w:tc>
      </w:tr>
      <w:tr w:rsidR="0085105D" w:rsidRPr="00C40415" w14:paraId="5C32F565" w14:textId="77777777" w:rsidTr="0034622E">
        <w:trPr>
          <w:trHeight w:hRule="exact" w:val="211"/>
        </w:trPr>
        <w:tc>
          <w:tcPr>
            <w:tcW w:w="1597" w:type="pct"/>
            <w:tcBorders>
              <w:top w:val="nil"/>
              <w:left w:val="nil"/>
              <w:bottom w:val="nil"/>
              <w:right w:val="nil"/>
            </w:tcBorders>
            <w:shd w:val="clear" w:color="auto" w:fill="auto"/>
            <w:vAlign w:val="center"/>
          </w:tcPr>
          <w:p w14:paraId="714555E8" w14:textId="77777777" w:rsidR="0085105D" w:rsidRPr="00C40415" w:rsidRDefault="0085105D" w:rsidP="0034622E">
            <w:pPr>
              <w:tabs>
                <w:tab w:val="right" w:pos="1202"/>
              </w:tabs>
              <w:outlineLvl w:val="0"/>
              <w:rPr>
                <w:rFonts w:ascii="Arial" w:hAnsi="Arial" w:cs="Arial"/>
                <w:b/>
                <w:bCs/>
                <w:color w:val="000000" w:themeColor="text1"/>
                <w:sz w:val="17"/>
                <w:szCs w:val="17"/>
              </w:rPr>
            </w:pPr>
            <w:r w:rsidRPr="00C40415">
              <w:rPr>
                <w:rFonts w:ascii="Arial" w:eastAsia="Calibri" w:hAnsi="Arial" w:cs="Arial"/>
                <w:color w:val="000000" w:themeColor="text1"/>
                <w:spacing w:val="-2"/>
                <w:sz w:val="17"/>
                <w:szCs w:val="17"/>
              </w:rPr>
              <w:t>Preuzete obveze po kreditima</w:t>
            </w:r>
          </w:p>
        </w:tc>
        <w:tc>
          <w:tcPr>
            <w:tcW w:w="557" w:type="pct"/>
            <w:tcBorders>
              <w:top w:val="nil"/>
              <w:left w:val="nil"/>
              <w:bottom w:val="nil"/>
              <w:right w:val="nil"/>
            </w:tcBorders>
            <w:shd w:val="clear" w:color="auto" w:fill="auto"/>
            <w:vAlign w:val="bottom"/>
          </w:tcPr>
          <w:p w14:paraId="0BFDA63D" w14:textId="77777777" w:rsidR="0085105D" w:rsidRPr="00C40415" w:rsidRDefault="0085105D" w:rsidP="0034622E">
            <w:pPr>
              <w:tabs>
                <w:tab w:val="right" w:pos="1202"/>
              </w:tabs>
              <w:spacing w:line="240" w:lineRule="exact"/>
              <w:jc w:val="right"/>
              <w:outlineLvl w:val="0"/>
              <w:rPr>
                <w:rFonts w:ascii="Arial" w:eastAsia="Calibri" w:hAnsi="Arial" w:cs="Arial"/>
                <w:color w:val="000000" w:themeColor="text1"/>
                <w:spacing w:val="-2"/>
                <w:sz w:val="17"/>
                <w:szCs w:val="17"/>
              </w:rPr>
            </w:pPr>
            <w:r w:rsidRPr="00AD7F10">
              <w:rPr>
                <w:rFonts w:ascii="Arial" w:hAnsi="Arial" w:cs="Arial"/>
                <w:sz w:val="17"/>
                <w:szCs w:val="17"/>
              </w:rPr>
              <w:t xml:space="preserve"> 445.273 </w:t>
            </w:r>
          </w:p>
        </w:tc>
        <w:tc>
          <w:tcPr>
            <w:tcW w:w="557" w:type="pct"/>
            <w:tcBorders>
              <w:top w:val="nil"/>
              <w:left w:val="nil"/>
              <w:bottom w:val="nil"/>
              <w:right w:val="nil"/>
            </w:tcBorders>
            <w:shd w:val="clear" w:color="auto" w:fill="auto"/>
            <w:vAlign w:val="bottom"/>
          </w:tcPr>
          <w:p w14:paraId="1CDF220B" w14:textId="77777777" w:rsidR="0085105D" w:rsidRPr="00C40415" w:rsidRDefault="0085105D" w:rsidP="0034622E">
            <w:pPr>
              <w:jc w:val="right"/>
              <w:rPr>
                <w:rFonts w:ascii="Arial" w:hAnsi="Arial" w:cs="Arial"/>
                <w:color w:val="000000" w:themeColor="text1"/>
                <w:sz w:val="17"/>
                <w:szCs w:val="17"/>
              </w:rPr>
            </w:pPr>
            <w:r w:rsidRPr="00AD7F10">
              <w:rPr>
                <w:rFonts w:ascii="Arial" w:hAnsi="Arial" w:cs="Arial"/>
                <w:sz w:val="17"/>
                <w:szCs w:val="17"/>
              </w:rPr>
              <w:t xml:space="preserve"> - </w:t>
            </w:r>
          </w:p>
        </w:tc>
        <w:tc>
          <w:tcPr>
            <w:tcW w:w="556" w:type="pct"/>
            <w:tcBorders>
              <w:top w:val="nil"/>
              <w:left w:val="nil"/>
              <w:bottom w:val="nil"/>
              <w:right w:val="nil"/>
            </w:tcBorders>
            <w:shd w:val="clear" w:color="auto" w:fill="auto"/>
            <w:vAlign w:val="bottom"/>
          </w:tcPr>
          <w:p w14:paraId="3729B618" w14:textId="77777777" w:rsidR="0085105D" w:rsidRPr="00C40415" w:rsidRDefault="0085105D" w:rsidP="0034622E">
            <w:pPr>
              <w:jc w:val="right"/>
              <w:rPr>
                <w:rFonts w:ascii="Arial" w:hAnsi="Arial" w:cs="Arial"/>
                <w:color w:val="000000" w:themeColor="text1"/>
                <w:sz w:val="17"/>
                <w:szCs w:val="17"/>
              </w:rPr>
            </w:pPr>
            <w:r w:rsidRPr="00AD7F10">
              <w:rPr>
                <w:rFonts w:ascii="Arial" w:hAnsi="Arial" w:cs="Arial"/>
                <w:sz w:val="17"/>
                <w:szCs w:val="17"/>
              </w:rPr>
              <w:t xml:space="preserve"> - </w:t>
            </w:r>
          </w:p>
        </w:tc>
        <w:tc>
          <w:tcPr>
            <w:tcW w:w="556" w:type="pct"/>
            <w:tcBorders>
              <w:top w:val="nil"/>
              <w:left w:val="nil"/>
              <w:bottom w:val="nil"/>
              <w:right w:val="nil"/>
            </w:tcBorders>
            <w:shd w:val="clear" w:color="auto" w:fill="auto"/>
            <w:vAlign w:val="bottom"/>
          </w:tcPr>
          <w:p w14:paraId="563B961A" w14:textId="77777777" w:rsidR="0085105D" w:rsidRPr="00C40415" w:rsidRDefault="0085105D" w:rsidP="0034622E">
            <w:pPr>
              <w:jc w:val="right"/>
              <w:rPr>
                <w:rFonts w:ascii="Arial" w:hAnsi="Arial" w:cs="Arial"/>
                <w:color w:val="000000" w:themeColor="text1"/>
                <w:sz w:val="17"/>
                <w:szCs w:val="17"/>
              </w:rPr>
            </w:pPr>
            <w:r w:rsidRPr="00AD7F10">
              <w:rPr>
                <w:rFonts w:ascii="Arial" w:hAnsi="Arial" w:cs="Arial"/>
                <w:sz w:val="17"/>
                <w:szCs w:val="17"/>
              </w:rPr>
              <w:t xml:space="preserve"> - </w:t>
            </w:r>
          </w:p>
        </w:tc>
        <w:tc>
          <w:tcPr>
            <w:tcW w:w="556" w:type="pct"/>
            <w:tcBorders>
              <w:top w:val="nil"/>
              <w:left w:val="nil"/>
              <w:bottom w:val="nil"/>
              <w:right w:val="nil"/>
            </w:tcBorders>
            <w:shd w:val="clear" w:color="auto" w:fill="auto"/>
            <w:vAlign w:val="bottom"/>
          </w:tcPr>
          <w:p w14:paraId="46FA460D" w14:textId="77777777" w:rsidR="0085105D" w:rsidRPr="00C40415" w:rsidRDefault="0085105D" w:rsidP="0034622E">
            <w:pPr>
              <w:jc w:val="right"/>
              <w:rPr>
                <w:rFonts w:ascii="Arial" w:hAnsi="Arial" w:cs="Arial"/>
                <w:color w:val="000000" w:themeColor="text1"/>
                <w:sz w:val="17"/>
                <w:szCs w:val="17"/>
              </w:rPr>
            </w:pPr>
            <w:r w:rsidRPr="00AD7F10">
              <w:rPr>
                <w:rFonts w:ascii="Arial" w:hAnsi="Arial" w:cs="Arial"/>
                <w:sz w:val="17"/>
                <w:szCs w:val="17"/>
              </w:rPr>
              <w:t xml:space="preserve"> - </w:t>
            </w:r>
          </w:p>
        </w:tc>
        <w:tc>
          <w:tcPr>
            <w:tcW w:w="621" w:type="pct"/>
            <w:tcBorders>
              <w:top w:val="nil"/>
              <w:left w:val="nil"/>
              <w:bottom w:val="nil"/>
              <w:right w:val="nil"/>
            </w:tcBorders>
            <w:shd w:val="clear" w:color="auto" w:fill="auto"/>
            <w:vAlign w:val="bottom"/>
          </w:tcPr>
          <w:p w14:paraId="0A5E3C10" w14:textId="77777777" w:rsidR="0085105D" w:rsidRPr="00C40415" w:rsidRDefault="0085105D" w:rsidP="0034622E">
            <w:pPr>
              <w:tabs>
                <w:tab w:val="right" w:pos="1202"/>
              </w:tabs>
              <w:spacing w:line="240" w:lineRule="exact"/>
              <w:jc w:val="right"/>
              <w:outlineLvl w:val="0"/>
              <w:rPr>
                <w:rFonts w:ascii="Arial" w:eastAsia="Calibri" w:hAnsi="Arial" w:cs="Arial"/>
                <w:color w:val="000000" w:themeColor="text1"/>
                <w:spacing w:val="-2"/>
                <w:sz w:val="17"/>
                <w:szCs w:val="17"/>
              </w:rPr>
            </w:pPr>
            <w:r w:rsidRPr="00AD7F10">
              <w:rPr>
                <w:rFonts w:ascii="Arial" w:hAnsi="Arial" w:cs="Arial"/>
                <w:sz w:val="17"/>
                <w:szCs w:val="17"/>
              </w:rPr>
              <w:t xml:space="preserve"> 445.273 </w:t>
            </w:r>
          </w:p>
        </w:tc>
      </w:tr>
      <w:tr w:rsidR="0085105D" w:rsidRPr="00C40415" w14:paraId="04E33DDF" w14:textId="77777777" w:rsidTr="0034622E">
        <w:trPr>
          <w:trHeight w:hRule="exact" w:val="211"/>
        </w:trPr>
        <w:tc>
          <w:tcPr>
            <w:tcW w:w="1597" w:type="pct"/>
            <w:tcBorders>
              <w:top w:val="nil"/>
              <w:left w:val="nil"/>
              <w:bottom w:val="nil"/>
              <w:right w:val="nil"/>
            </w:tcBorders>
            <w:shd w:val="clear" w:color="auto" w:fill="auto"/>
            <w:vAlign w:val="bottom"/>
          </w:tcPr>
          <w:p w14:paraId="29FD1DC0" w14:textId="77777777" w:rsidR="0085105D" w:rsidRPr="00C40415" w:rsidRDefault="0085105D" w:rsidP="0034622E">
            <w:pPr>
              <w:tabs>
                <w:tab w:val="right" w:pos="1202"/>
              </w:tabs>
              <w:outlineLvl w:val="0"/>
              <w:rPr>
                <w:rFonts w:ascii="Arial" w:eastAsia="Calibri" w:hAnsi="Arial" w:cs="Arial"/>
                <w:color w:val="000000" w:themeColor="text1"/>
                <w:spacing w:val="-2"/>
                <w:sz w:val="17"/>
                <w:szCs w:val="17"/>
              </w:rPr>
            </w:pPr>
            <w:r w:rsidRPr="00C40415">
              <w:rPr>
                <w:rFonts w:ascii="Arial" w:hAnsi="Arial" w:cs="Arial"/>
                <w:color w:val="000000" w:themeColor="text1"/>
                <w:sz w:val="17"/>
                <w:szCs w:val="17"/>
              </w:rPr>
              <w:t>Upisani a neuplaćeni kapital EIF-a</w:t>
            </w:r>
          </w:p>
        </w:tc>
        <w:tc>
          <w:tcPr>
            <w:tcW w:w="557" w:type="pct"/>
            <w:tcBorders>
              <w:top w:val="nil"/>
              <w:left w:val="nil"/>
              <w:bottom w:val="nil"/>
              <w:right w:val="nil"/>
            </w:tcBorders>
            <w:shd w:val="clear" w:color="auto" w:fill="auto"/>
            <w:vAlign w:val="bottom"/>
          </w:tcPr>
          <w:p w14:paraId="6E6B2477" w14:textId="77777777" w:rsidR="0085105D" w:rsidRPr="00C40415" w:rsidRDefault="0085105D" w:rsidP="0034622E">
            <w:pPr>
              <w:tabs>
                <w:tab w:val="right" w:pos="1202"/>
              </w:tabs>
              <w:spacing w:line="240" w:lineRule="exact"/>
              <w:jc w:val="right"/>
              <w:outlineLvl w:val="0"/>
              <w:rPr>
                <w:rFonts w:ascii="Arial" w:eastAsia="Calibri" w:hAnsi="Arial" w:cs="Arial"/>
                <w:color w:val="000000" w:themeColor="text1"/>
                <w:spacing w:val="-2"/>
                <w:sz w:val="17"/>
                <w:szCs w:val="17"/>
              </w:rPr>
            </w:pPr>
            <w:r w:rsidRPr="00AD7F10">
              <w:rPr>
                <w:rFonts w:ascii="Arial" w:hAnsi="Arial" w:cs="Arial"/>
                <w:sz w:val="17"/>
                <w:szCs w:val="17"/>
              </w:rPr>
              <w:t xml:space="preserve"> 10.400 </w:t>
            </w:r>
          </w:p>
        </w:tc>
        <w:tc>
          <w:tcPr>
            <w:tcW w:w="557" w:type="pct"/>
            <w:tcBorders>
              <w:top w:val="nil"/>
              <w:left w:val="nil"/>
              <w:bottom w:val="nil"/>
              <w:right w:val="nil"/>
            </w:tcBorders>
            <w:shd w:val="clear" w:color="auto" w:fill="auto"/>
            <w:vAlign w:val="bottom"/>
          </w:tcPr>
          <w:p w14:paraId="1F62E1A4" w14:textId="77777777" w:rsidR="0085105D" w:rsidRPr="00C40415" w:rsidRDefault="0085105D" w:rsidP="0034622E">
            <w:pPr>
              <w:jc w:val="right"/>
              <w:rPr>
                <w:rFonts w:ascii="Arial" w:hAnsi="Arial" w:cs="Arial"/>
                <w:color w:val="000000" w:themeColor="text1"/>
                <w:sz w:val="17"/>
                <w:szCs w:val="17"/>
              </w:rPr>
            </w:pPr>
            <w:r w:rsidRPr="00AD7F10">
              <w:rPr>
                <w:rFonts w:ascii="Arial" w:hAnsi="Arial" w:cs="Arial"/>
                <w:sz w:val="17"/>
                <w:szCs w:val="17"/>
              </w:rPr>
              <w:t xml:space="preserve"> - </w:t>
            </w:r>
          </w:p>
        </w:tc>
        <w:tc>
          <w:tcPr>
            <w:tcW w:w="556" w:type="pct"/>
            <w:tcBorders>
              <w:top w:val="nil"/>
              <w:left w:val="nil"/>
              <w:bottom w:val="nil"/>
              <w:right w:val="nil"/>
            </w:tcBorders>
            <w:shd w:val="clear" w:color="auto" w:fill="auto"/>
            <w:vAlign w:val="bottom"/>
          </w:tcPr>
          <w:p w14:paraId="2F772686" w14:textId="77777777" w:rsidR="0085105D" w:rsidRPr="00C40415" w:rsidRDefault="0085105D" w:rsidP="0034622E">
            <w:pPr>
              <w:jc w:val="right"/>
              <w:rPr>
                <w:rFonts w:ascii="Arial" w:hAnsi="Arial" w:cs="Arial"/>
                <w:color w:val="000000" w:themeColor="text1"/>
                <w:sz w:val="17"/>
                <w:szCs w:val="17"/>
              </w:rPr>
            </w:pPr>
            <w:r w:rsidRPr="00AD7F10">
              <w:rPr>
                <w:rFonts w:ascii="Arial" w:hAnsi="Arial" w:cs="Arial"/>
                <w:sz w:val="17"/>
                <w:szCs w:val="17"/>
              </w:rPr>
              <w:t xml:space="preserve"> - </w:t>
            </w:r>
          </w:p>
        </w:tc>
        <w:tc>
          <w:tcPr>
            <w:tcW w:w="556" w:type="pct"/>
            <w:tcBorders>
              <w:top w:val="nil"/>
              <w:left w:val="nil"/>
              <w:bottom w:val="nil"/>
              <w:right w:val="nil"/>
            </w:tcBorders>
            <w:shd w:val="clear" w:color="auto" w:fill="auto"/>
            <w:vAlign w:val="bottom"/>
          </w:tcPr>
          <w:p w14:paraId="090DA346" w14:textId="77777777" w:rsidR="0085105D" w:rsidRPr="00C40415" w:rsidRDefault="0085105D" w:rsidP="0034622E">
            <w:pPr>
              <w:jc w:val="right"/>
              <w:rPr>
                <w:rFonts w:ascii="Arial" w:hAnsi="Arial" w:cs="Arial"/>
                <w:color w:val="000000" w:themeColor="text1"/>
                <w:sz w:val="17"/>
                <w:szCs w:val="17"/>
              </w:rPr>
            </w:pPr>
            <w:r w:rsidRPr="00AD7F10">
              <w:rPr>
                <w:rFonts w:ascii="Arial" w:hAnsi="Arial" w:cs="Arial"/>
                <w:sz w:val="17"/>
                <w:szCs w:val="17"/>
              </w:rPr>
              <w:t xml:space="preserve"> - </w:t>
            </w:r>
          </w:p>
        </w:tc>
        <w:tc>
          <w:tcPr>
            <w:tcW w:w="556" w:type="pct"/>
            <w:tcBorders>
              <w:top w:val="nil"/>
              <w:left w:val="nil"/>
              <w:bottom w:val="nil"/>
              <w:right w:val="nil"/>
            </w:tcBorders>
            <w:shd w:val="clear" w:color="auto" w:fill="auto"/>
            <w:vAlign w:val="bottom"/>
          </w:tcPr>
          <w:p w14:paraId="6B3D5792" w14:textId="77777777" w:rsidR="0085105D" w:rsidRPr="00C40415" w:rsidRDefault="0085105D" w:rsidP="0034622E">
            <w:pPr>
              <w:jc w:val="right"/>
              <w:rPr>
                <w:rFonts w:ascii="Arial" w:hAnsi="Arial" w:cs="Arial"/>
                <w:color w:val="000000" w:themeColor="text1"/>
                <w:sz w:val="17"/>
                <w:szCs w:val="17"/>
              </w:rPr>
            </w:pPr>
            <w:r w:rsidRPr="00AD7F10">
              <w:rPr>
                <w:rFonts w:ascii="Arial" w:hAnsi="Arial" w:cs="Arial"/>
                <w:sz w:val="17"/>
                <w:szCs w:val="17"/>
              </w:rPr>
              <w:t xml:space="preserve"> - </w:t>
            </w:r>
          </w:p>
        </w:tc>
        <w:tc>
          <w:tcPr>
            <w:tcW w:w="621" w:type="pct"/>
            <w:tcBorders>
              <w:top w:val="nil"/>
              <w:left w:val="nil"/>
              <w:bottom w:val="nil"/>
              <w:right w:val="nil"/>
            </w:tcBorders>
            <w:shd w:val="clear" w:color="auto" w:fill="auto"/>
            <w:vAlign w:val="bottom"/>
          </w:tcPr>
          <w:p w14:paraId="2B555D26" w14:textId="77777777" w:rsidR="0085105D" w:rsidRPr="00C40415" w:rsidRDefault="0085105D" w:rsidP="0034622E">
            <w:pPr>
              <w:tabs>
                <w:tab w:val="right" w:pos="1202"/>
              </w:tabs>
              <w:spacing w:line="240" w:lineRule="exact"/>
              <w:jc w:val="right"/>
              <w:outlineLvl w:val="0"/>
              <w:rPr>
                <w:rFonts w:ascii="Arial" w:eastAsia="Calibri" w:hAnsi="Arial" w:cs="Arial"/>
                <w:color w:val="000000" w:themeColor="text1"/>
                <w:spacing w:val="-2"/>
                <w:sz w:val="17"/>
                <w:szCs w:val="17"/>
              </w:rPr>
            </w:pPr>
            <w:r w:rsidRPr="00AD7F10">
              <w:rPr>
                <w:rFonts w:ascii="Arial" w:hAnsi="Arial" w:cs="Arial"/>
                <w:sz w:val="17"/>
                <w:szCs w:val="17"/>
              </w:rPr>
              <w:t xml:space="preserve"> 10.400 </w:t>
            </w:r>
          </w:p>
        </w:tc>
      </w:tr>
      <w:tr w:rsidR="0085105D" w:rsidRPr="00C40415" w14:paraId="4A7A55A7" w14:textId="77777777" w:rsidTr="001541F1">
        <w:trPr>
          <w:trHeight w:hRule="exact" w:val="211"/>
        </w:trPr>
        <w:tc>
          <w:tcPr>
            <w:tcW w:w="1597" w:type="pct"/>
            <w:tcBorders>
              <w:top w:val="nil"/>
              <w:left w:val="nil"/>
              <w:bottom w:val="nil"/>
              <w:right w:val="nil"/>
            </w:tcBorders>
            <w:shd w:val="clear" w:color="auto" w:fill="auto"/>
            <w:vAlign w:val="bottom"/>
          </w:tcPr>
          <w:p w14:paraId="1CC936EE" w14:textId="77777777" w:rsidR="0085105D" w:rsidRPr="00C40415" w:rsidRDefault="0085105D" w:rsidP="0034622E">
            <w:pPr>
              <w:tabs>
                <w:tab w:val="right" w:pos="1202"/>
              </w:tabs>
              <w:outlineLvl w:val="0"/>
              <w:rPr>
                <w:rFonts w:ascii="Arial" w:hAnsi="Arial" w:cs="Arial"/>
                <w:color w:val="000000" w:themeColor="text1"/>
                <w:sz w:val="17"/>
                <w:szCs w:val="17"/>
              </w:rPr>
            </w:pPr>
            <w:r w:rsidRPr="00C40415">
              <w:rPr>
                <w:rFonts w:ascii="Arial" w:hAnsi="Arial" w:cs="Arial"/>
                <w:color w:val="000000"/>
                <w:sz w:val="17"/>
                <w:szCs w:val="17"/>
              </w:rPr>
              <w:t>Ugovorena obveza EIF CROGIP</w:t>
            </w:r>
          </w:p>
        </w:tc>
        <w:tc>
          <w:tcPr>
            <w:tcW w:w="557" w:type="pct"/>
            <w:tcBorders>
              <w:top w:val="nil"/>
              <w:left w:val="nil"/>
              <w:right w:val="nil"/>
            </w:tcBorders>
            <w:shd w:val="clear" w:color="auto" w:fill="auto"/>
            <w:vAlign w:val="bottom"/>
          </w:tcPr>
          <w:p w14:paraId="6E4D14A9" w14:textId="77777777" w:rsidR="0085105D" w:rsidRPr="00C40415" w:rsidRDefault="0085105D" w:rsidP="0034622E">
            <w:pPr>
              <w:tabs>
                <w:tab w:val="right" w:pos="1202"/>
              </w:tabs>
              <w:spacing w:line="240" w:lineRule="exact"/>
              <w:jc w:val="right"/>
              <w:outlineLvl w:val="0"/>
              <w:rPr>
                <w:rFonts w:ascii="Arial" w:hAnsi="Arial" w:cs="Arial"/>
                <w:color w:val="000000"/>
                <w:sz w:val="17"/>
                <w:szCs w:val="17"/>
              </w:rPr>
            </w:pPr>
            <w:r w:rsidRPr="00AD7F10">
              <w:rPr>
                <w:rFonts w:ascii="Arial" w:hAnsi="Arial" w:cs="Arial"/>
                <w:sz w:val="17"/>
                <w:szCs w:val="17"/>
              </w:rPr>
              <w:t xml:space="preserve"> 129 </w:t>
            </w:r>
          </w:p>
        </w:tc>
        <w:tc>
          <w:tcPr>
            <w:tcW w:w="557" w:type="pct"/>
            <w:tcBorders>
              <w:top w:val="nil"/>
              <w:left w:val="nil"/>
              <w:right w:val="nil"/>
            </w:tcBorders>
            <w:shd w:val="clear" w:color="auto" w:fill="auto"/>
            <w:vAlign w:val="bottom"/>
          </w:tcPr>
          <w:p w14:paraId="1E1E8D2F" w14:textId="77777777" w:rsidR="0085105D" w:rsidRPr="00C40415" w:rsidRDefault="0085105D" w:rsidP="0034622E">
            <w:pPr>
              <w:jc w:val="right"/>
              <w:rPr>
                <w:rFonts w:ascii="Arial" w:hAnsi="Arial" w:cs="Arial"/>
                <w:color w:val="000000"/>
                <w:sz w:val="17"/>
                <w:szCs w:val="17"/>
              </w:rPr>
            </w:pPr>
            <w:r w:rsidRPr="00AD7F10">
              <w:rPr>
                <w:rFonts w:ascii="Arial" w:hAnsi="Arial" w:cs="Arial"/>
                <w:sz w:val="17"/>
                <w:szCs w:val="17"/>
              </w:rPr>
              <w:t xml:space="preserve"> 1.467 </w:t>
            </w:r>
          </w:p>
        </w:tc>
        <w:tc>
          <w:tcPr>
            <w:tcW w:w="556" w:type="pct"/>
            <w:tcBorders>
              <w:top w:val="nil"/>
              <w:left w:val="nil"/>
              <w:right w:val="nil"/>
            </w:tcBorders>
            <w:shd w:val="clear" w:color="auto" w:fill="auto"/>
            <w:vAlign w:val="bottom"/>
          </w:tcPr>
          <w:p w14:paraId="151B0C3C" w14:textId="77777777" w:rsidR="0085105D" w:rsidRPr="00C40415" w:rsidRDefault="0085105D" w:rsidP="0034622E">
            <w:pPr>
              <w:jc w:val="right"/>
              <w:rPr>
                <w:rFonts w:ascii="Arial" w:hAnsi="Arial" w:cs="Arial"/>
                <w:color w:val="000000"/>
                <w:sz w:val="17"/>
                <w:szCs w:val="17"/>
              </w:rPr>
            </w:pPr>
            <w:r w:rsidRPr="00AD7F10">
              <w:rPr>
                <w:rFonts w:ascii="Arial" w:hAnsi="Arial" w:cs="Arial"/>
                <w:sz w:val="17"/>
                <w:szCs w:val="17"/>
              </w:rPr>
              <w:t xml:space="preserve"> 7.404 </w:t>
            </w:r>
          </w:p>
        </w:tc>
        <w:tc>
          <w:tcPr>
            <w:tcW w:w="556" w:type="pct"/>
            <w:tcBorders>
              <w:top w:val="nil"/>
              <w:left w:val="nil"/>
              <w:right w:val="nil"/>
            </w:tcBorders>
            <w:shd w:val="clear" w:color="auto" w:fill="auto"/>
            <w:vAlign w:val="bottom"/>
          </w:tcPr>
          <w:p w14:paraId="49B10A33" w14:textId="77777777" w:rsidR="0085105D" w:rsidRPr="00C40415" w:rsidRDefault="0085105D" w:rsidP="0034622E">
            <w:pPr>
              <w:jc w:val="right"/>
              <w:rPr>
                <w:rFonts w:ascii="Arial" w:hAnsi="Arial" w:cs="Arial"/>
                <w:color w:val="000000"/>
                <w:sz w:val="17"/>
                <w:szCs w:val="17"/>
              </w:rPr>
            </w:pPr>
            <w:r w:rsidRPr="00AD7F10">
              <w:rPr>
                <w:rFonts w:ascii="Arial" w:hAnsi="Arial" w:cs="Arial"/>
                <w:sz w:val="17"/>
                <w:szCs w:val="17"/>
              </w:rPr>
              <w:t xml:space="preserve"> 15.800 </w:t>
            </w:r>
          </w:p>
        </w:tc>
        <w:tc>
          <w:tcPr>
            <w:tcW w:w="556" w:type="pct"/>
            <w:tcBorders>
              <w:top w:val="nil"/>
              <w:left w:val="nil"/>
              <w:right w:val="nil"/>
            </w:tcBorders>
            <w:shd w:val="clear" w:color="auto" w:fill="auto"/>
            <w:vAlign w:val="bottom"/>
          </w:tcPr>
          <w:p w14:paraId="27E12D68" w14:textId="77777777" w:rsidR="0085105D" w:rsidRPr="00C40415" w:rsidRDefault="0085105D" w:rsidP="0034622E">
            <w:pPr>
              <w:jc w:val="right"/>
              <w:rPr>
                <w:rFonts w:ascii="Arial" w:hAnsi="Arial" w:cs="Arial"/>
                <w:color w:val="000000"/>
                <w:sz w:val="17"/>
                <w:szCs w:val="17"/>
              </w:rPr>
            </w:pPr>
            <w:r w:rsidRPr="00AD7F10">
              <w:rPr>
                <w:rFonts w:ascii="Arial" w:hAnsi="Arial" w:cs="Arial"/>
                <w:sz w:val="17"/>
                <w:szCs w:val="17"/>
              </w:rPr>
              <w:t xml:space="preserve"> 6.660 </w:t>
            </w:r>
          </w:p>
        </w:tc>
        <w:tc>
          <w:tcPr>
            <w:tcW w:w="621" w:type="pct"/>
            <w:tcBorders>
              <w:top w:val="nil"/>
              <w:left w:val="nil"/>
              <w:right w:val="nil"/>
            </w:tcBorders>
            <w:shd w:val="clear" w:color="auto" w:fill="auto"/>
            <w:vAlign w:val="bottom"/>
          </w:tcPr>
          <w:p w14:paraId="0497B152" w14:textId="77777777" w:rsidR="0085105D" w:rsidRPr="00C40415" w:rsidRDefault="0085105D" w:rsidP="0034622E">
            <w:pPr>
              <w:tabs>
                <w:tab w:val="right" w:pos="1202"/>
              </w:tabs>
              <w:spacing w:line="240" w:lineRule="exact"/>
              <w:jc w:val="right"/>
              <w:outlineLvl w:val="0"/>
              <w:rPr>
                <w:rFonts w:ascii="Arial" w:hAnsi="Arial" w:cs="Arial"/>
                <w:color w:val="000000"/>
                <w:sz w:val="17"/>
                <w:szCs w:val="17"/>
              </w:rPr>
            </w:pPr>
            <w:r w:rsidRPr="00AD7F10">
              <w:rPr>
                <w:rFonts w:ascii="Arial" w:hAnsi="Arial" w:cs="Arial"/>
                <w:sz w:val="17"/>
                <w:szCs w:val="17"/>
              </w:rPr>
              <w:t xml:space="preserve"> 31.460 </w:t>
            </w:r>
          </w:p>
        </w:tc>
      </w:tr>
      <w:tr w:rsidR="0085105D" w:rsidRPr="00C40415" w14:paraId="78694A75" w14:textId="77777777" w:rsidTr="001541F1">
        <w:trPr>
          <w:trHeight w:hRule="exact" w:val="211"/>
        </w:trPr>
        <w:tc>
          <w:tcPr>
            <w:tcW w:w="1597" w:type="pct"/>
            <w:tcBorders>
              <w:top w:val="nil"/>
              <w:left w:val="nil"/>
              <w:bottom w:val="nil"/>
              <w:right w:val="nil"/>
            </w:tcBorders>
            <w:shd w:val="clear" w:color="auto" w:fill="auto"/>
            <w:vAlign w:val="bottom"/>
          </w:tcPr>
          <w:p w14:paraId="5234D0B7" w14:textId="77777777" w:rsidR="0085105D" w:rsidRPr="00C40415" w:rsidRDefault="0085105D" w:rsidP="0034622E">
            <w:pPr>
              <w:tabs>
                <w:tab w:val="right" w:pos="1202"/>
              </w:tabs>
              <w:outlineLvl w:val="0"/>
              <w:rPr>
                <w:rFonts w:ascii="Arial" w:hAnsi="Arial" w:cs="Arial"/>
                <w:color w:val="000000" w:themeColor="text1"/>
                <w:sz w:val="17"/>
                <w:szCs w:val="17"/>
              </w:rPr>
            </w:pPr>
            <w:r w:rsidRPr="00C40415">
              <w:rPr>
                <w:rFonts w:ascii="Arial" w:hAnsi="Arial" w:cs="Arial"/>
                <w:color w:val="000000"/>
                <w:sz w:val="17"/>
                <w:szCs w:val="17"/>
              </w:rPr>
              <w:t>Ugovorena obveza EIF FRC2</w:t>
            </w:r>
          </w:p>
        </w:tc>
        <w:tc>
          <w:tcPr>
            <w:tcW w:w="557" w:type="pct"/>
            <w:tcBorders>
              <w:top w:val="nil"/>
              <w:left w:val="nil"/>
              <w:bottom w:val="single" w:sz="6" w:space="0" w:color="auto"/>
              <w:right w:val="nil"/>
            </w:tcBorders>
            <w:shd w:val="clear" w:color="auto" w:fill="auto"/>
            <w:vAlign w:val="bottom"/>
          </w:tcPr>
          <w:p w14:paraId="4F37EFA5" w14:textId="77777777" w:rsidR="0085105D" w:rsidRPr="00C40415" w:rsidRDefault="0085105D" w:rsidP="0034622E">
            <w:pPr>
              <w:tabs>
                <w:tab w:val="right" w:pos="1202"/>
              </w:tabs>
              <w:spacing w:line="240" w:lineRule="exact"/>
              <w:jc w:val="right"/>
              <w:outlineLvl w:val="0"/>
              <w:rPr>
                <w:rFonts w:ascii="Arial" w:hAnsi="Arial" w:cs="Arial"/>
                <w:color w:val="000000"/>
                <w:sz w:val="17"/>
                <w:szCs w:val="17"/>
              </w:rPr>
            </w:pPr>
            <w:r w:rsidRPr="00AD7F10">
              <w:rPr>
                <w:rFonts w:ascii="Arial" w:hAnsi="Arial" w:cs="Arial"/>
                <w:sz w:val="17"/>
                <w:szCs w:val="17"/>
              </w:rPr>
              <w:t xml:space="preserve"> 14 </w:t>
            </w:r>
          </w:p>
        </w:tc>
        <w:tc>
          <w:tcPr>
            <w:tcW w:w="557" w:type="pct"/>
            <w:tcBorders>
              <w:top w:val="nil"/>
              <w:left w:val="nil"/>
              <w:bottom w:val="single" w:sz="6" w:space="0" w:color="auto"/>
              <w:right w:val="nil"/>
            </w:tcBorders>
            <w:shd w:val="clear" w:color="auto" w:fill="auto"/>
            <w:vAlign w:val="bottom"/>
          </w:tcPr>
          <w:p w14:paraId="2FF16DC0" w14:textId="77777777" w:rsidR="0085105D" w:rsidRPr="00C40415" w:rsidRDefault="0085105D" w:rsidP="0034622E">
            <w:pPr>
              <w:jc w:val="right"/>
              <w:rPr>
                <w:rFonts w:ascii="Arial" w:hAnsi="Arial" w:cs="Arial"/>
                <w:color w:val="000000"/>
                <w:sz w:val="17"/>
                <w:szCs w:val="17"/>
              </w:rPr>
            </w:pPr>
            <w:r w:rsidRPr="00AD7F10">
              <w:rPr>
                <w:rFonts w:ascii="Arial" w:hAnsi="Arial" w:cs="Arial"/>
                <w:sz w:val="17"/>
                <w:szCs w:val="17"/>
              </w:rPr>
              <w:t xml:space="preserve"> 4 </w:t>
            </w:r>
          </w:p>
        </w:tc>
        <w:tc>
          <w:tcPr>
            <w:tcW w:w="556" w:type="pct"/>
            <w:tcBorders>
              <w:top w:val="nil"/>
              <w:left w:val="nil"/>
              <w:bottom w:val="single" w:sz="6" w:space="0" w:color="auto"/>
              <w:right w:val="nil"/>
            </w:tcBorders>
            <w:shd w:val="clear" w:color="auto" w:fill="auto"/>
            <w:vAlign w:val="bottom"/>
          </w:tcPr>
          <w:p w14:paraId="5C0C2C4D" w14:textId="77777777" w:rsidR="0085105D" w:rsidRPr="00C40415" w:rsidRDefault="0085105D" w:rsidP="0034622E">
            <w:pPr>
              <w:jc w:val="right"/>
              <w:rPr>
                <w:rFonts w:ascii="Arial" w:hAnsi="Arial" w:cs="Arial"/>
                <w:color w:val="000000"/>
                <w:sz w:val="17"/>
                <w:szCs w:val="17"/>
              </w:rPr>
            </w:pPr>
            <w:r w:rsidRPr="00AD7F10">
              <w:rPr>
                <w:rFonts w:ascii="Arial" w:hAnsi="Arial" w:cs="Arial"/>
                <w:sz w:val="17"/>
                <w:szCs w:val="17"/>
              </w:rPr>
              <w:t xml:space="preserve"> 13 </w:t>
            </w:r>
          </w:p>
        </w:tc>
        <w:tc>
          <w:tcPr>
            <w:tcW w:w="556" w:type="pct"/>
            <w:tcBorders>
              <w:top w:val="nil"/>
              <w:left w:val="nil"/>
              <w:bottom w:val="single" w:sz="6" w:space="0" w:color="auto"/>
              <w:right w:val="nil"/>
            </w:tcBorders>
            <w:shd w:val="clear" w:color="auto" w:fill="auto"/>
            <w:vAlign w:val="bottom"/>
          </w:tcPr>
          <w:p w14:paraId="5A0C5FBC" w14:textId="77777777" w:rsidR="0085105D" w:rsidRPr="00C40415" w:rsidRDefault="0085105D" w:rsidP="0034622E">
            <w:pPr>
              <w:jc w:val="right"/>
              <w:rPr>
                <w:rFonts w:ascii="Arial" w:hAnsi="Arial" w:cs="Arial"/>
                <w:color w:val="000000"/>
                <w:sz w:val="17"/>
                <w:szCs w:val="17"/>
              </w:rPr>
            </w:pPr>
            <w:r w:rsidRPr="00AD7F10">
              <w:rPr>
                <w:rFonts w:ascii="Arial" w:hAnsi="Arial" w:cs="Arial"/>
                <w:sz w:val="17"/>
                <w:szCs w:val="17"/>
              </w:rPr>
              <w:t xml:space="preserve"> 40 </w:t>
            </w:r>
          </w:p>
        </w:tc>
        <w:tc>
          <w:tcPr>
            <w:tcW w:w="556" w:type="pct"/>
            <w:tcBorders>
              <w:top w:val="nil"/>
              <w:left w:val="nil"/>
              <w:bottom w:val="single" w:sz="6" w:space="0" w:color="auto"/>
              <w:right w:val="nil"/>
            </w:tcBorders>
            <w:shd w:val="clear" w:color="auto" w:fill="auto"/>
            <w:vAlign w:val="bottom"/>
          </w:tcPr>
          <w:p w14:paraId="27C1A05E" w14:textId="77777777" w:rsidR="0085105D" w:rsidRPr="00C40415" w:rsidRDefault="0085105D" w:rsidP="0034622E">
            <w:pPr>
              <w:jc w:val="right"/>
              <w:rPr>
                <w:rFonts w:ascii="Arial" w:hAnsi="Arial" w:cs="Arial"/>
                <w:color w:val="000000"/>
                <w:sz w:val="17"/>
                <w:szCs w:val="17"/>
              </w:rPr>
            </w:pPr>
            <w:r w:rsidRPr="00AD7F10">
              <w:rPr>
                <w:rFonts w:ascii="Arial" w:hAnsi="Arial" w:cs="Arial"/>
                <w:sz w:val="17"/>
                <w:szCs w:val="17"/>
              </w:rPr>
              <w:t xml:space="preserve"> 10 </w:t>
            </w:r>
          </w:p>
        </w:tc>
        <w:tc>
          <w:tcPr>
            <w:tcW w:w="621" w:type="pct"/>
            <w:tcBorders>
              <w:top w:val="nil"/>
              <w:left w:val="nil"/>
              <w:bottom w:val="single" w:sz="6" w:space="0" w:color="auto"/>
              <w:right w:val="nil"/>
            </w:tcBorders>
            <w:shd w:val="clear" w:color="auto" w:fill="auto"/>
            <w:vAlign w:val="bottom"/>
          </w:tcPr>
          <w:p w14:paraId="4A31ED4C" w14:textId="77777777" w:rsidR="0085105D" w:rsidRPr="00C40415" w:rsidRDefault="0085105D" w:rsidP="0034622E">
            <w:pPr>
              <w:tabs>
                <w:tab w:val="right" w:pos="1202"/>
              </w:tabs>
              <w:spacing w:line="240" w:lineRule="exact"/>
              <w:jc w:val="right"/>
              <w:outlineLvl w:val="0"/>
              <w:rPr>
                <w:rFonts w:ascii="Arial" w:hAnsi="Arial" w:cs="Arial"/>
                <w:color w:val="000000"/>
                <w:sz w:val="17"/>
                <w:szCs w:val="17"/>
              </w:rPr>
            </w:pPr>
            <w:r w:rsidRPr="00AD7F10">
              <w:rPr>
                <w:rFonts w:ascii="Arial" w:hAnsi="Arial" w:cs="Arial"/>
                <w:sz w:val="17"/>
                <w:szCs w:val="17"/>
              </w:rPr>
              <w:t xml:space="preserve"> 81 </w:t>
            </w:r>
          </w:p>
        </w:tc>
      </w:tr>
      <w:tr w:rsidR="0085105D" w:rsidRPr="00C40415" w14:paraId="0F5725AF" w14:textId="77777777" w:rsidTr="001541F1">
        <w:trPr>
          <w:trHeight w:hRule="exact" w:val="265"/>
        </w:trPr>
        <w:tc>
          <w:tcPr>
            <w:tcW w:w="1597" w:type="pct"/>
            <w:tcBorders>
              <w:top w:val="nil"/>
              <w:left w:val="nil"/>
              <w:bottom w:val="nil"/>
              <w:right w:val="nil"/>
            </w:tcBorders>
            <w:shd w:val="clear" w:color="auto" w:fill="auto"/>
            <w:vAlign w:val="center"/>
          </w:tcPr>
          <w:p w14:paraId="7A5A6023" w14:textId="77777777" w:rsidR="0085105D" w:rsidRPr="00C40415" w:rsidRDefault="0085105D" w:rsidP="0034622E">
            <w:pPr>
              <w:tabs>
                <w:tab w:val="right" w:pos="1202"/>
              </w:tabs>
              <w:outlineLvl w:val="0"/>
              <w:rPr>
                <w:rFonts w:ascii="Arial" w:eastAsia="Calibri" w:hAnsi="Arial" w:cs="Arial"/>
                <w:color w:val="000000" w:themeColor="text1"/>
                <w:spacing w:val="-2"/>
                <w:sz w:val="17"/>
                <w:szCs w:val="17"/>
              </w:rPr>
            </w:pPr>
            <w:r w:rsidRPr="00C40415">
              <w:rPr>
                <w:rFonts w:ascii="Arial" w:hAnsi="Arial" w:cs="Arial"/>
                <w:b/>
                <w:bCs/>
                <w:color w:val="000000" w:themeColor="text1"/>
                <w:sz w:val="17"/>
                <w:szCs w:val="17"/>
              </w:rPr>
              <w:t>Ukupne garancije i preuzete obveze</w:t>
            </w:r>
          </w:p>
        </w:tc>
        <w:tc>
          <w:tcPr>
            <w:tcW w:w="557" w:type="pct"/>
            <w:tcBorders>
              <w:top w:val="single" w:sz="6" w:space="0" w:color="auto"/>
              <w:left w:val="nil"/>
              <w:bottom w:val="single" w:sz="12" w:space="0" w:color="auto"/>
              <w:right w:val="nil"/>
            </w:tcBorders>
            <w:shd w:val="clear" w:color="auto" w:fill="auto"/>
            <w:vAlign w:val="bottom"/>
          </w:tcPr>
          <w:p w14:paraId="782725CF" w14:textId="77777777" w:rsidR="0085105D" w:rsidRPr="00C40415" w:rsidRDefault="0085105D" w:rsidP="0034622E">
            <w:pPr>
              <w:tabs>
                <w:tab w:val="right" w:pos="1202"/>
              </w:tabs>
              <w:jc w:val="right"/>
              <w:outlineLvl w:val="0"/>
              <w:rPr>
                <w:rFonts w:ascii="Arial" w:hAnsi="Arial" w:cs="Arial"/>
                <w:b/>
                <w:color w:val="000000" w:themeColor="text1"/>
                <w:sz w:val="17"/>
                <w:szCs w:val="17"/>
              </w:rPr>
            </w:pPr>
            <w:r w:rsidRPr="00AD7F10">
              <w:rPr>
                <w:rFonts w:ascii="Arial" w:hAnsi="Arial" w:cs="Arial"/>
                <w:b/>
                <w:bCs/>
                <w:sz w:val="17"/>
                <w:szCs w:val="17"/>
              </w:rPr>
              <w:t>516.155</w:t>
            </w:r>
          </w:p>
        </w:tc>
        <w:tc>
          <w:tcPr>
            <w:tcW w:w="557" w:type="pct"/>
            <w:tcBorders>
              <w:top w:val="single" w:sz="6" w:space="0" w:color="auto"/>
              <w:left w:val="nil"/>
              <w:bottom w:val="single" w:sz="12" w:space="0" w:color="auto"/>
              <w:right w:val="nil"/>
            </w:tcBorders>
            <w:shd w:val="clear" w:color="auto" w:fill="auto"/>
            <w:vAlign w:val="bottom"/>
          </w:tcPr>
          <w:p w14:paraId="10E26339" w14:textId="77777777" w:rsidR="0085105D" w:rsidRPr="00C40415" w:rsidRDefault="0085105D" w:rsidP="0034622E">
            <w:pPr>
              <w:jc w:val="right"/>
              <w:rPr>
                <w:rFonts w:ascii="Arial" w:hAnsi="Arial" w:cs="Arial"/>
                <w:color w:val="000000" w:themeColor="text1"/>
                <w:sz w:val="17"/>
                <w:szCs w:val="17"/>
              </w:rPr>
            </w:pPr>
            <w:r w:rsidRPr="00AD7F10">
              <w:rPr>
                <w:rFonts w:ascii="Arial" w:hAnsi="Arial" w:cs="Arial"/>
                <w:b/>
                <w:bCs/>
                <w:sz w:val="17"/>
                <w:szCs w:val="17"/>
              </w:rPr>
              <w:t>1.471</w:t>
            </w:r>
          </w:p>
        </w:tc>
        <w:tc>
          <w:tcPr>
            <w:tcW w:w="556" w:type="pct"/>
            <w:tcBorders>
              <w:top w:val="single" w:sz="6" w:space="0" w:color="auto"/>
              <w:left w:val="nil"/>
              <w:bottom w:val="single" w:sz="12" w:space="0" w:color="auto"/>
              <w:right w:val="nil"/>
            </w:tcBorders>
            <w:shd w:val="clear" w:color="auto" w:fill="auto"/>
            <w:vAlign w:val="bottom"/>
          </w:tcPr>
          <w:p w14:paraId="58054045" w14:textId="77777777" w:rsidR="0085105D" w:rsidRPr="00C40415" w:rsidRDefault="0085105D" w:rsidP="0034622E">
            <w:pPr>
              <w:jc w:val="right"/>
              <w:rPr>
                <w:rFonts w:ascii="Arial" w:hAnsi="Arial" w:cs="Arial"/>
                <w:color w:val="000000" w:themeColor="text1"/>
                <w:sz w:val="17"/>
                <w:szCs w:val="17"/>
              </w:rPr>
            </w:pPr>
            <w:r w:rsidRPr="00AD7F10">
              <w:rPr>
                <w:rFonts w:ascii="Arial" w:hAnsi="Arial" w:cs="Arial"/>
                <w:b/>
                <w:bCs/>
                <w:sz w:val="17"/>
                <w:szCs w:val="17"/>
              </w:rPr>
              <w:t>7.417</w:t>
            </w:r>
          </w:p>
        </w:tc>
        <w:tc>
          <w:tcPr>
            <w:tcW w:w="556" w:type="pct"/>
            <w:tcBorders>
              <w:top w:val="single" w:sz="6" w:space="0" w:color="auto"/>
              <w:left w:val="nil"/>
              <w:bottom w:val="single" w:sz="12" w:space="0" w:color="auto"/>
              <w:right w:val="nil"/>
            </w:tcBorders>
            <w:shd w:val="clear" w:color="auto" w:fill="auto"/>
            <w:vAlign w:val="bottom"/>
          </w:tcPr>
          <w:p w14:paraId="5C7F8A9B" w14:textId="77777777" w:rsidR="0085105D" w:rsidRPr="00C40415" w:rsidRDefault="0085105D" w:rsidP="0034622E">
            <w:pPr>
              <w:jc w:val="right"/>
              <w:rPr>
                <w:rFonts w:ascii="Arial" w:hAnsi="Arial" w:cs="Arial"/>
                <w:color w:val="000000" w:themeColor="text1"/>
                <w:sz w:val="17"/>
                <w:szCs w:val="17"/>
              </w:rPr>
            </w:pPr>
            <w:r w:rsidRPr="00AD7F10">
              <w:rPr>
                <w:rFonts w:ascii="Arial" w:hAnsi="Arial" w:cs="Arial"/>
                <w:b/>
                <w:bCs/>
                <w:sz w:val="17"/>
                <w:szCs w:val="17"/>
              </w:rPr>
              <w:t>15.840</w:t>
            </w:r>
          </w:p>
        </w:tc>
        <w:tc>
          <w:tcPr>
            <w:tcW w:w="556" w:type="pct"/>
            <w:tcBorders>
              <w:top w:val="single" w:sz="6" w:space="0" w:color="auto"/>
              <w:left w:val="nil"/>
              <w:bottom w:val="single" w:sz="12" w:space="0" w:color="auto"/>
              <w:right w:val="nil"/>
            </w:tcBorders>
            <w:shd w:val="clear" w:color="auto" w:fill="auto"/>
            <w:vAlign w:val="bottom"/>
          </w:tcPr>
          <w:p w14:paraId="23F53999" w14:textId="77777777" w:rsidR="0085105D" w:rsidRPr="00C40415" w:rsidRDefault="0085105D" w:rsidP="0034622E">
            <w:pPr>
              <w:jc w:val="right"/>
              <w:rPr>
                <w:rFonts w:ascii="Arial" w:hAnsi="Arial" w:cs="Arial"/>
                <w:color w:val="000000" w:themeColor="text1"/>
                <w:sz w:val="17"/>
                <w:szCs w:val="17"/>
              </w:rPr>
            </w:pPr>
            <w:r w:rsidRPr="00AD7F10">
              <w:rPr>
                <w:rFonts w:ascii="Arial" w:hAnsi="Arial" w:cs="Arial"/>
                <w:b/>
                <w:bCs/>
                <w:sz w:val="17"/>
                <w:szCs w:val="17"/>
              </w:rPr>
              <w:t>6.670</w:t>
            </w:r>
          </w:p>
        </w:tc>
        <w:tc>
          <w:tcPr>
            <w:tcW w:w="621" w:type="pct"/>
            <w:tcBorders>
              <w:top w:val="single" w:sz="6" w:space="0" w:color="auto"/>
              <w:left w:val="nil"/>
              <w:bottom w:val="single" w:sz="12" w:space="0" w:color="auto"/>
              <w:right w:val="nil"/>
            </w:tcBorders>
            <w:shd w:val="clear" w:color="auto" w:fill="auto"/>
            <w:vAlign w:val="bottom"/>
          </w:tcPr>
          <w:p w14:paraId="11AF5B88" w14:textId="77777777" w:rsidR="0085105D" w:rsidRPr="00C40415" w:rsidRDefault="0085105D" w:rsidP="0034622E">
            <w:pPr>
              <w:tabs>
                <w:tab w:val="right" w:pos="1202"/>
              </w:tabs>
              <w:jc w:val="right"/>
              <w:outlineLvl w:val="0"/>
              <w:rPr>
                <w:rFonts w:ascii="Arial" w:hAnsi="Arial" w:cs="Arial"/>
                <w:b/>
                <w:color w:val="000000" w:themeColor="text1"/>
                <w:sz w:val="17"/>
                <w:szCs w:val="17"/>
              </w:rPr>
            </w:pPr>
            <w:r w:rsidRPr="00AD7F10">
              <w:rPr>
                <w:rFonts w:ascii="Arial" w:hAnsi="Arial" w:cs="Arial"/>
                <w:b/>
                <w:bCs/>
                <w:sz w:val="17"/>
                <w:szCs w:val="17"/>
              </w:rPr>
              <w:t>547.553</w:t>
            </w:r>
          </w:p>
        </w:tc>
      </w:tr>
    </w:tbl>
    <w:p w14:paraId="1797B505" w14:textId="05A2431E" w:rsidR="000C7E59" w:rsidRPr="003D1614" w:rsidRDefault="000C7E59" w:rsidP="00661446">
      <w:pPr>
        <w:suppressAutoHyphens/>
        <w:autoSpaceDN w:val="0"/>
        <w:jc w:val="both"/>
        <w:rPr>
          <w:rFonts w:ascii="Arial" w:eastAsia="Times New Roman" w:hAnsi="Arial" w:cs="Arial"/>
          <w:bCs/>
          <w:i/>
          <w:color w:val="000000" w:themeColor="text1"/>
          <w:sz w:val="18"/>
          <w:szCs w:val="18"/>
        </w:rPr>
      </w:pPr>
    </w:p>
    <w:p w14:paraId="2FDB199F" w14:textId="77777777" w:rsidR="000C7E59" w:rsidRPr="003D1614" w:rsidRDefault="000C7E59" w:rsidP="00661446">
      <w:pPr>
        <w:suppressAutoHyphens/>
        <w:autoSpaceDN w:val="0"/>
        <w:jc w:val="both"/>
        <w:rPr>
          <w:rFonts w:ascii="Arial" w:eastAsia="Times New Roman" w:hAnsi="Arial" w:cs="Arial"/>
          <w:bCs/>
          <w:i/>
          <w:color w:val="000000" w:themeColor="text1"/>
          <w:sz w:val="18"/>
          <w:szCs w:val="18"/>
        </w:rPr>
        <w:sectPr w:rsidR="000C7E59" w:rsidRPr="003D1614" w:rsidSect="003278AB">
          <w:pgSz w:w="11906" w:h="16838"/>
          <w:pgMar w:top="1417" w:right="1417" w:bottom="1417" w:left="1417" w:header="708" w:footer="708" w:gutter="0"/>
          <w:cols w:space="708"/>
          <w:docGrid w:linePitch="360"/>
        </w:sectPr>
      </w:pPr>
    </w:p>
    <w:p w14:paraId="6B27518C" w14:textId="77777777" w:rsidR="000C7E59" w:rsidRPr="003D1614" w:rsidRDefault="000C7E59" w:rsidP="000C7E59">
      <w:pPr>
        <w:keepNext/>
        <w:tabs>
          <w:tab w:val="left" w:pos="709"/>
          <w:tab w:val="left" w:pos="851"/>
        </w:tabs>
        <w:suppressAutoHyphens/>
        <w:autoSpaceDN w:val="0"/>
        <w:jc w:val="both"/>
        <w:outlineLvl w:val="0"/>
        <w:rPr>
          <w:rFonts w:ascii="Arial" w:eastAsia="Times New Roman" w:hAnsi="Arial" w:cs="Arial"/>
          <w:b/>
          <w:bCs/>
          <w:color w:val="000000" w:themeColor="text1"/>
          <w:sz w:val="20"/>
          <w:szCs w:val="20"/>
        </w:rPr>
      </w:pPr>
    </w:p>
    <w:p w14:paraId="5E705135" w14:textId="638B3070" w:rsidR="000C7E59" w:rsidRPr="003D1614" w:rsidRDefault="000C7E59" w:rsidP="000C7E59">
      <w:pPr>
        <w:keepNext/>
        <w:tabs>
          <w:tab w:val="left" w:pos="709"/>
          <w:tab w:val="left" w:pos="851"/>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Upravljanje rizicima (nastavak)</w:t>
      </w:r>
    </w:p>
    <w:p w14:paraId="15E84715" w14:textId="77777777" w:rsidR="000C7E59" w:rsidRPr="003D1614" w:rsidRDefault="000C7E59" w:rsidP="000C7E59">
      <w:pPr>
        <w:keepNext/>
        <w:suppressAutoHyphens/>
        <w:autoSpaceDN w:val="0"/>
        <w:jc w:val="both"/>
        <w:outlineLvl w:val="0"/>
        <w:rPr>
          <w:rFonts w:ascii="Arial" w:eastAsia="Times New Roman" w:hAnsi="Arial" w:cs="Arial"/>
          <w:b/>
          <w:bCs/>
          <w:color w:val="000000" w:themeColor="text1"/>
          <w:sz w:val="20"/>
          <w:szCs w:val="20"/>
        </w:rPr>
      </w:pPr>
    </w:p>
    <w:p w14:paraId="0AFBA887" w14:textId="173644DF" w:rsidR="000C7E59" w:rsidRPr="003D1614" w:rsidRDefault="000C7E59" w:rsidP="000C7E59">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.5.     Tržišni rizici</w:t>
      </w:r>
    </w:p>
    <w:p w14:paraId="737D09D9" w14:textId="77777777" w:rsidR="000C7E59" w:rsidRPr="003D1614" w:rsidRDefault="000C7E59" w:rsidP="000C7E59">
      <w:pPr>
        <w:keepNext/>
        <w:suppressAutoHyphens/>
        <w:autoSpaceDN w:val="0"/>
        <w:jc w:val="both"/>
        <w:rPr>
          <w:rFonts w:ascii="Arial" w:eastAsia="Times New Roman" w:hAnsi="Arial" w:cs="Arial"/>
          <w:color w:val="000000" w:themeColor="text1"/>
          <w:sz w:val="20"/>
          <w:szCs w:val="20"/>
        </w:rPr>
      </w:pPr>
    </w:p>
    <w:p w14:paraId="1EEFBCA0" w14:textId="77777777" w:rsidR="000C7E59" w:rsidRPr="003D1614" w:rsidRDefault="000C7E59" w:rsidP="000C7E59">
      <w:pPr>
        <w:keepNext/>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Upravljanje tržišnim rizicima u Banci podrazumijeva svođenje kamatnog rizika i valutnog rizika na najmanju mjeru.  </w:t>
      </w:r>
    </w:p>
    <w:p w14:paraId="6E240417" w14:textId="77777777" w:rsidR="000C7E59" w:rsidRPr="003D1614" w:rsidRDefault="000C7E59" w:rsidP="000C7E59">
      <w:pPr>
        <w:tabs>
          <w:tab w:val="left" w:pos="-720"/>
          <w:tab w:val="left" w:pos="709"/>
        </w:tabs>
        <w:suppressAutoHyphens/>
        <w:autoSpaceDN w:val="0"/>
        <w:rPr>
          <w:rFonts w:ascii="Arial" w:eastAsia="Times New Roman" w:hAnsi="Arial" w:cs="Arial"/>
          <w:b/>
          <w:color w:val="000000" w:themeColor="text1"/>
          <w:spacing w:val="-3"/>
          <w:sz w:val="20"/>
          <w:szCs w:val="20"/>
        </w:rPr>
      </w:pPr>
    </w:p>
    <w:p w14:paraId="76BDC882" w14:textId="2A06692F" w:rsidR="000C7E59" w:rsidRPr="003D1614" w:rsidRDefault="000C7E59" w:rsidP="000C7E59">
      <w:pPr>
        <w:tabs>
          <w:tab w:val="left" w:pos="-720"/>
          <w:tab w:val="left" w:pos="709"/>
        </w:tabs>
        <w:suppressAutoHyphens/>
        <w:autoSpaceDN w:val="0"/>
        <w:rPr>
          <w:rFonts w:ascii="Arial" w:eastAsia="Times New Roman" w:hAnsi="Arial" w:cs="Arial"/>
          <w:b/>
          <w:color w:val="000000" w:themeColor="text1"/>
          <w:spacing w:val="-3"/>
          <w:sz w:val="20"/>
          <w:szCs w:val="20"/>
        </w:rPr>
      </w:pPr>
      <w:r w:rsidRPr="003D1614">
        <w:rPr>
          <w:rFonts w:ascii="Arial" w:eastAsia="Times New Roman" w:hAnsi="Arial" w:cs="Arial"/>
          <w:b/>
          <w:color w:val="000000" w:themeColor="text1"/>
          <w:spacing w:val="-3"/>
          <w:sz w:val="20"/>
          <w:szCs w:val="20"/>
        </w:rPr>
        <w:t xml:space="preserve">22.5.1.  Kamatni rizik </w:t>
      </w:r>
    </w:p>
    <w:p w14:paraId="69C221A1" w14:textId="77777777" w:rsidR="000C7E59" w:rsidRPr="003D1614" w:rsidRDefault="000C7E59" w:rsidP="000C7E59">
      <w:pPr>
        <w:tabs>
          <w:tab w:val="left" w:pos="-720"/>
          <w:tab w:val="left" w:pos="709"/>
        </w:tabs>
        <w:suppressAutoHyphens/>
        <w:autoSpaceDN w:val="0"/>
        <w:rPr>
          <w:rFonts w:ascii="Arial" w:eastAsia="Times New Roman" w:hAnsi="Arial" w:cs="Arial"/>
          <w:b/>
          <w:color w:val="000000" w:themeColor="text1"/>
          <w:spacing w:val="-3"/>
          <w:sz w:val="20"/>
          <w:szCs w:val="20"/>
        </w:rPr>
      </w:pPr>
    </w:p>
    <w:p w14:paraId="579107CF" w14:textId="00D12813" w:rsidR="000C7E59" w:rsidRPr="003D1614" w:rsidRDefault="000C7E59" w:rsidP="000C7E59">
      <w:pPr>
        <w:suppressAutoHyphens/>
        <w:autoSpaceDN w:val="0"/>
        <w:jc w:val="both"/>
        <w:rPr>
          <w:rFonts w:ascii="Arial" w:eastAsia="Times New Roman" w:hAnsi="Arial" w:cs="Arial"/>
          <w:iCs/>
          <w:color w:val="000000" w:themeColor="text1"/>
          <w:sz w:val="20"/>
          <w:szCs w:val="20"/>
        </w:rPr>
      </w:pPr>
      <w:r w:rsidRPr="003D1614">
        <w:rPr>
          <w:rFonts w:ascii="Arial" w:eastAsia="Times New Roman" w:hAnsi="Arial" w:cs="Arial"/>
          <w:iCs/>
          <w:color w:val="000000" w:themeColor="text1"/>
          <w:sz w:val="20"/>
          <w:szCs w:val="20"/>
        </w:rPr>
        <w:t xml:space="preserve">Tabele u nastavku prikazuju osjetljivost Grupe na rizik kamatnih stopa na dan </w:t>
      </w:r>
      <w:r w:rsidR="00881155" w:rsidRPr="00881155">
        <w:rPr>
          <w:rFonts w:ascii="Arial" w:eastAsia="Times New Roman" w:hAnsi="Arial" w:cs="Arial"/>
          <w:iCs/>
          <w:color w:val="000000" w:themeColor="text1"/>
          <w:sz w:val="20"/>
          <w:szCs w:val="20"/>
        </w:rPr>
        <w:t>30. rujna 202</w:t>
      </w:r>
      <w:r w:rsidR="00A153B8">
        <w:rPr>
          <w:rFonts w:ascii="Arial" w:eastAsia="Times New Roman" w:hAnsi="Arial" w:cs="Arial"/>
          <w:iCs/>
          <w:color w:val="000000" w:themeColor="text1"/>
          <w:sz w:val="20"/>
          <w:szCs w:val="20"/>
        </w:rPr>
        <w:t>4</w:t>
      </w:r>
      <w:r w:rsidR="00881155" w:rsidRPr="00881155">
        <w:rPr>
          <w:rFonts w:ascii="Arial" w:eastAsia="Times New Roman" w:hAnsi="Arial" w:cs="Arial"/>
          <w:iCs/>
          <w:color w:val="000000" w:themeColor="text1"/>
          <w:sz w:val="20"/>
          <w:szCs w:val="20"/>
        </w:rPr>
        <w:t>.</w:t>
      </w:r>
      <w:r w:rsidRPr="003D1614">
        <w:rPr>
          <w:rFonts w:ascii="Arial" w:eastAsia="Times New Roman" w:hAnsi="Arial" w:cs="Arial"/>
          <w:iCs/>
          <w:color w:val="000000" w:themeColor="text1"/>
          <w:sz w:val="20"/>
          <w:szCs w:val="20"/>
        </w:rPr>
        <w:t xml:space="preserve"> i 31. prosinca 202</w:t>
      </w:r>
      <w:r w:rsidR="00A153B8">
        <w:rPr>
          <w:rFonts w:ascii="Arial" w:eastAsia="Times New Roman" w:hAnsi="Arial" w:cs="Arial"/>
          <w:iCs/>
          <w:color w:val="000000" w:themeColor="text1"/>
          <w:sz w:val="20"/>
          <w:szCs w:val="20"/>
        </w:rPr>
        <w:t>3</w:t>
      </w:r>
      <w:r w:rsidRPr="003D1614">
        <w:rPr>
          <w:rFonts w:ascii="Arial" w:eastAsia="Times New Roman" w:hAnsi="Arial" w:cs="Arial"/>
          <w:iCs/>
          <w:color w:val="000000" w:themeColor="text1"/>
          <w:sz w:val="20"/>
          <w:szCs w:val="20"/>
        </w:rPr>
        <w:t>. na temelju poznatih datuma promjene cijena imovine i obveza na koje se primjenjuju promjenjive i fiksne kamatne stope. Razdoblja promjena kamatnih stopa određena su na osnovi preostale ročnosti i ugovornog razdoblja promjena kamatnih stopa, ovisno o tome što je kraće.</w:t>
      </w:r>
    </w:p>
    <w:p w14:paraId="71E586BC" w14:textId="77777777" w:rsidR="000C7E59" w:rsidRPr="003D1614" w:rsidRDefault="000C7E59" w:rsidP="000C7E59">
      <w:pPr>
        <w:suppressAutoHyphens/>
        <w:autoSpaceDN w:val="0"/>
        <w:jc w:val="both"/>
        <w:rPr>
          <w:rFonts w:ascii="Arial" w:eastAsia="Times New Roman" w:hAnsi="Arial" w:cs="Arial"/>
          <w:iCs/>
          <w:color w:val="000000" w:themeColor="text1"/>
          <w:sz w:val="20"/>
          <w:szCs w:val="20"/>
        </w:rPr>
      </w:pPr>
    </w:p>
    <w:p w14:paraId="0D6EC1C7" w14:textId="77777777" w:rsidR="000C7E59" w:rsidRPr="003D1614" w:rsidRDefault="000C7E59" w:rsidP="000C7E59">
      <w:pPr>
        <w:suppressAutoHyphens/>
        <w:autoSpaceDN w:val="0"/>
        <w:jc w:val="both"/>
        <w:rPr>
          <w:rFonts w:ascii="Arial" w:eastAsia="Times New Roman" w:hAnsi="Arial" w:cs="Arial"/>
          <w:iCs/>
          <w:color w:val="000000" w:themeColor="text1"/>
          <w:sz w:val="20"/>
          <w:szCs w:val="20"/>
        </w:rPr>
      </w:pPr>
      <w:r w:rsidRPr="003D1614">
        <w:rPr>
          <w:rFonts w:ascii="Arial" w:eastAsia="Times New Roman" w:hAnsi="Arial" w:cs="Arial"/>
          <w:iCs/>
          <w:color w:val="000000" w:themeColor="text1"/>
          <w:sz w:val="20"/>
          <w:szCs w:val="20"/>
        </w:rPr>
        <w:t xml:space="preserve">Imovina i obveze na koje se ne primjenjuje kamatna stopa svrstani su u okviru kategorije </w:t>
      </w:r>
      <w:r w:rsidRPr="003D1614">
        <w:rPr>
          <w:rFonts w:ascii="Arial" w:eastAsia="Times New Roman" w:hAnsi="Arial" w:cs="Arial"/>
          <w:color w:val="000000" w:themeColor="text1"/>
          <w:sz w:val="20"/>
          <w:szCs w:val="20"/>
        </w:rPr>
        <w:t>‘</w:t>
      </w:r>
      <w:r w:rsidRPr="003D1614">
        <w:rPr>
          <w:rFonts w:ascii="Arial" w:eastAsia="Times New Roman" w:hAnsi="Arial" w:cs="Arial"/>
          <w:iCs/>
          <w:color w:val="000000" w:themeColor="text1"/>
          <w:sz w:val="20"/>
          <w:szCs w:val="20"/>
        </w:rPr>
        <w:t>Beskamatno</w:t>
      </w:r>
      <w:r w:rsidRPr="003D1614">
        <w:rPr>
          <w:rFonts w:ascii="Arial" w:eastAsia="Times New Roman" w:hAnsi="Arial" w:cs="Arial"/>
          <w:color w:val="000000" w:themeColor="text1"/>
          <w:sz w:val="20"/>
          <w:szCs w:val="20"/>
        </w:rPr>
        <w:t>‘</w:t>
      </w:r>
      <w:r w:rsidRPr="003D1614">
        <w:rPr>
          <w:rFonts w:ascii="Arial" w:eastAsia="Times New Roman" w:hAnsi="Arial" w:cs="Arial"/>
          <w:iCs/>
          <w:color w:val="000000" w:themeColor="text1"/>
          <w:sz w:val="20"/>
          <w:szCs w:val="20"/>
        </w:rPr>
        <w:t>.</w:t>
      </w:r>
    </w:p>
    <w:p w14:paraId="6D0C9CEC" w14:textId="4B00F973" w:rsidR="000C7E59" w:rsidRPr="003D1614" w:rsidRDefault="000C7E59" w:rsidP="000C7E59">
      <w:pPr>
        <w:tabs>
          <w:tab w:val="left" w:pos="-720"/>
        </w:tabs>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Tabele u nastavku prikazuju procjenu o izloženosti kamatnom riziku Grupe na dan </w:t>
      </w:r>
      <w:r w:rsidR="00881155" w:rsidRPr="00881155">
        <w:rPr>
          <w:rFonts w:ascii="Arial" w:eastAsia="Times New Roman" w:hAnsi="Arial" w:cs="Arial"/>
          <w:color w:val="000000" w:themeColor="text1"/>
          <w:sz w:val="20"/>
          <w:szCs w:val="20"/>
        </w:rPr>
        <w:t>30. rujna 202</w:t>
      </w:r>
      <w:r w:rsidR="00A153B8">
        <w:rPr>
          <w:rFonts w:ascii="Arial" w:eastAsia="Times New Roman" w:hAnsi="Arial" w:cs="Arial"/>
          <w:color w:val="000000" w:themeColor="text1"/>
          <w:sz w:val="20"/>
          <w:szCs w:val="20"/>
        </w:rPr>
        <w:t>4</w:t>
      </w:r>
      <w:r w:rsidR="00881155" w:rsidRPr="00881155">
        <w:rPr>
          <w:rFonts w:ascii="Arial" w:eastAsia="Times New Roman" w:hAnsi="Arial" w:cs="Arial"/>
          <w:color w:val="000000" w:themeColor="text1"/>
          <w:sz w:val="20"/>
          <w:szCs w:val="20"/>
        </w:rPr>
        <w:t>.</w:t>
      </w:r>
      <w:r w:rsidR="00881155">
        <w:rPr>
          <w:rFonts w:ascii="Arial" w:eastAsia="Times New Roman" w:hAnsi="Arial" w:cs="Arial"/>
          <w:color w:val="000000" w:themeColor="text1"/>
          <w:sz w:val="20"/>
          <w:szCs w:val="20"/>
        </w:rPr>
        <w:t xml:space="preserve"> </w:t>
      </w:r>
      <w:r w:rsidRPr="003D1614">
        <w:rPr>
          <w:rFonts w:ascii="Arial" w:eastAsia="Times New Roman" w:hAnsi="Arial" w:cs="Arial"/>
          <w:color w:val="000000" w:themeColor="text1"/>
          <w:sz w:val="20"/>
          <w:szCs w:val="20"/>
        </w:rPr>
        <w:t>i 31. prosinca 202</w:t>
      </w:r>
      <w:r w:rsidR="00A153B8">
        <w:rPr>
          <w:rFonts w:ascii="Arial" w:eastAsia="Times New Roman" w:hAnsi="Arial" w:cs="Arial"/>
          <w:color w:val="000000" w:themeColor="text1"/>
          <w:sz w:val="20"/>
          <w:szCs w:val="20"/>
        </w:rPr>
        <w:t>3</w:t>
      </w:r>
      <w:r w:rsidRPr="003D1614">
        <w:rPr>
          <w:rFonts w:ascii="Arial" w:eastAsia="Times New Roman" w:hAnsi="Arial" w:cs="Arial"/>
          <w:color w:val="000000" w:themeColor="text1"/>
          <w:sz w:val="20"/>
          <w:szCs w:val="20"/>
        </w:rPr>
        <w:t xml:space="preserve">. godine te nisu nužno indikativne za poziciju u drugom razdoblju. </w:t>
      </w:r>
    </w:p>
    <w:p w14:paraId="17ECFB54" w14:textId="77777777" w:rsidR="000C7E59" w:rsidRPr="003D1614" w:rsidRDefault="000C7E59" w:rsidP="000C7E59">
      <w:pPr>
        <w:tabs>
          <w:tab w:val="left" w:pos="-720"/>
        </w:tabs>
        <w:suppressAutoHyphens/>
        <w:autoSpaceDN w:val="0"/>
        <w:jc w:val="both"/>
        <w:rPr>
          <w:rFonts w:ascii="Arial" w:eastAsia="Times New Roman" w:hAnsi="Arial" w:cs="Arial"/>
          <w:color w:val="000000" w:themeColor="text1"/>
          <w:sz w:val="20"/>
          <w:szCs w:val="20"/>
        </w:rPr>
      </w:pPr>
    </w:p>
    <w:p w14:paraId="79728713" w14:textId="77777777" w:rsidR="000C7E59" w:rsidRPr="003D1614" w:rsidRDefault="000C7E59" w:rsidP="000C7E59">
      <w:pPr>
        <w:tabs>
          <w:tab w:val="left" w:pos="-720"/>
        </w:tabs>
        <w:suppressAutoHyphens/>
        <w:autoSpaceDN w:val="0"/>
        <w:ind w:right="-5"/>
        <w:jc w:val="both"/>
        <w:rPr>
          <w:rFonts w:ascii="Arial" w:eastAsia="Times New Roman" w:hAnsi="Arial" w:cs="Arial"/>
          <w:color w:val="000000" w:themeColor="text1"/>
          <w:sz w:val="20"/>
          <w:szCs w:val="20"/>
        </w:rPr>
      </w:pPr>
    </w:p>
    <w:tbl>
      <w:tblPr>
        <w:tblW w:w="5662" w:type="pct"/>
        <w:tblInd w:w="-851" w:type="dxa"/>
        <w:tblLayout w:type="fixed"/>
        <w:tblCellMar>
          <w:left w:w="120" w:type="dxa"/>
          <w:right w:w="120" w:type="dxa"/>
        </w:tblCellMar>
        <w:tblLook w:val="0000" w:firstRow="0" w:lastRow="0" w:firstColumn="0" w:lastColumn="0" w:noHBand="0" w:noVBand="0"/>
      </w:tblPr>
      <w:tblGrid>
        <w:gridCol w:w="2339"/>
        <w:gridCol w:w="991"/>
        <w:gridCol w:w="993"/>
        <w:gridCol w:w="992"/>
        <w:gridCol w:w="992"/>
        <w:gridCol w:w="990"/>
        <w:gridCol w:w="992"/>
        <w:gridCol w:w="992"/>
        <w:gridCol w:w="992"/>
      </w:tblGrid>
      <w:tr w:rsidR="002F13DE" w:rsidRPr="003D1614" w14:paraId="2BA710AE" w14:textId="77777777" w:rsidTr="004378AC">
        <w:trPr>
          <w:trHeight w:val="533"/>
        </w:trPr>
        <w:tc>
          <w:tcPr>
            <w:tcW w:w="1138" w:type="pct"/>
          </w:tcPr>
          <w:p w14:paraId="70866514" w14:textId="77777777" w:rsidR="002F13DE" w:rsidRPr="003D1614" w:rsidRDefault="002F13DE" w:rsidP="004378AC">
            <w:pPr>
              <w:tabs>
                <w:tab w:val="right" w:pos="1202"/>
              </w:tabs>
              <w:suppressAutoHyphens/>
              <w:autoSpaceDN w:val="0"/>
              <w:spacing w:line="240" w:lineRule="atLeast"/>
              <w:outlineLvl w:val="0"/>
              <w:rPr>
                <w:rFonts w:ascii="Arial" w:eastAsia="Calibri" w:hAnsi="Arial" w:cs="Arial"/>
                <w:b/>
                <w:color w:val="000000" w:themeColor="text1"/>
                <w:sz w:val="15"/>
                <w:szCs w:val="15"/>
              </w:rPr>
            </w:pPr>
            <w:bookmarkStart w:id="884" w:name="_Toc67330566"/>
            <w:r w:rsidRPr="003D1614">
              <w:rPr>
                <w:rFonts w:ascii="Arial" w:eastAsia="Calibri" w:hAnsi="Arial" w:cs="Arial"/>
                <w:b/>
                <w:color w:val="000000" w:themeColor="text1"/>
                <w:sz w:val="15"/>
                <w:szCs w:val="15"/>
              </w:rPr>
              <w:t>Grupa</w:t>
            </w:r>
            <w:bookmarkEnd w:id="884"/>
          </w:p>
          <w:p w14:paraId="6EE09C16" w14:textId="77777777" w:rsidR="002F13DE" w:rsidRPr="003D1614" w:rsidRDefault="002F13DE" w:rsidP="004378AC">
            <w:pPr>
              <w:tabs>
                <w:tab w:val="right" w:pos="1202"/>
              </w:tabs>
              <w:suppressAutoHyphens/>
              <w:autoSpaceDN w:val="0"/>
              <w:spacing w:line="240" w:lineRule="atLeast"/>
              <w:outlineLvl w:val="0"/>
              <w:rPr>
                <w:rFonts w:ascii="Arial" w:eastAsia="Calibri" w:hAnsi="Arial" w:cs="Arial"/>
                <w:b/>
                <w:color w:val="000000" w:themeColor="text1"/>
                <w:sz w:val="15"/>
                <w:szCs w:val="15"/>
              </w:rPr>
            </w:pPr>
            <w:r w:rsidRPr="003F0E20">
              <w:rPr>
                <w:rFonts w:ascii="Arial" w:eastAsia="Calibri" w:hAnsi="Arial" w:cs="Arial"/>
                <w:b/>
                <w:color w:val="000000" w:themeColor="text1"/>
                <w:sz w:val="15"/>
                <w:szCs w:val="15"/>
              </w:rPr>
              <w:t>30. rujna 202</w:t>
            </w:r>
            <w:r>
              <w:rPr>
                <w:rFonts w:ascii="Arial" w:eastAsia="Calibri" w:hAnsi="Arial" w:cs="Arial"/>
                <w:b/>
                <w:color w:val="000000" w:themeColor="text1"/>
                <w:sz w:val="15"/>
                <w:szCs w:val="15"/>
              </w:rPr>
              <w:t>4</w:t>
            </w:r>
            <w:r w:rsidRPr="003F0E20">
              <w:rPr>
                <w:rFonts w:ascii="Arial" w:eastAsia="Calibri" w:hAnsi="Arial" w:cs="Arial"/>
                <w:b/>
                <w:color w:val="000000" w:themeColor="text1"/>
                <w:sz w:val="15"/>
                <w:szCs w:val="15"/>
              </w:rPr>
              <w:t>.</w:t>
            </w:r>
          </w:p>
        </w:tc>
        <w:tc>
          <w:tcPr>
            <w:tcW w:w="482" w:type="pct"/>
          </w:tcPr>
          <w:p w14:paraId="39D0E085" w14:textId="77777777" w:rsidR="002F13DE" w:rsidRPr="003D1614" w:rsidRDefault="002F13DE" w:rsidP="004378AC">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885" w:name="_Toc67330568"/>
            <w:r w:rsidRPr="003D1614">
              <w:rPr>
                <w:rFonts w:ascii="Arial" w:eastAsia="Calibri" w:hAnsi="Arial" w:cs="Arial"/>
                <w:b/>
                <w:color w:val="000000" w:themeColor="text1"/>
                <w:sz w:val="15"/>
                <w:szCs w:val="15"/>
              </w:rPr>
              <w:t>Do 1 mjesec</w:t>
            </w:r>
            <w:bookmarkEnd w:id="885"/>
          </w:p>
        </w:tc>
        <w:tc>
          <w:tcPr>
            <w:tcW w:w="483" w:type="pct"/>
          </w:tcPr>
          <w:p w14:paraId="1D4210C8" w14:textId="77777777" w:rsidR="002F13DE" w:rsidRPr="003D1614" w:rsidRDefault="002F13DE" w:rsidP="004378AC">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886" w:name="_Toc67330569"/>
            <w:r w:rsidRPr="003D1614">
              <w:rPr>
                <w:rFonts w:ascii="Arial" w:eastAsia="Calibri" w:hAnsi="Arial" w:cs="Arial"/>
                <w:b/>
                <w:color w:val="000000" w:themeColor="text1"/>
                <w:sz w:val="15"/>
                <w:szCs w:val="15"/>
              </w:rPr>
              <w:t>1 do 3 mjeseca</w:t>
            </w:r>
            <w:bookmarkEnd w:id="886"/>
          </w:p>
        </w:tc>
        <w:tc>
          <w:tcPr>
            <w:tcW w:w="483" w:type="pct"/>
          </w:tcPr>
          <w:p w14:paraId="0A8A808E" w14:textId="77777777" w:rsidR="002F13DE" w:rsidRPr="003D1614" w:rsidRDefault="002F13DE" w:rsidP="004378AC">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887" w:name="_Toc67330570"/>
            <w:r w:rsidRPr="003D1614">
              <w:rPr>
                <w:rFonts w:ascii="Arial" w:eastAsia="Calibri" w:hAnsi="Arial" w:cs="Arial"/>
                <w:b/>
                <w:color w:val="000000" w:themeColor="text1"/>
                <w:sz w:val="15"/>
                <w:szCs w:val="15"/>
              </w:rPr>
              <w:t>3 mj. do 1 godine</w:t>
            </w:r>
            <w:bookmarkEnd w:id="887"/>
          </w:p>
        </w:tc>
        <w:tc>
          <w:tcPr>
            <w:tcW w:w="483" w:type="pct"/>
          </w:tcPr>
          <w:p w14:paraId="7E728E64" w14:textId="77777777" w:rsidR="002F13DE" w:rsidRPr="003D1614" w:rsidRDefault="002F13DE" w:rsidP="004378AC">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888" w:name="_Toc67330571"/>
            <w:r w:rsidRPr="003D1614">
              <w:rPr>
                <w:rFonts w:ascii="Arial" w:eastAsia="Calibri" w:hAnsi="Arial" w:cs="Arial"/>
                <w:b/>
                <w:color w:val="000000" w:themeColor="text1"/>
                <w:sz w:val="15"/>
                <w:szCs w:val="15"/>
              </w:rPr>
              <w:t>1 do 3 godina</w:t>
            </w:r>
            <w:bookmarkEnd w:id="888"/>
          </w:p>
        </w:tc>
        <w:tc>
          <w:tcPr>
            <w:tcW w:w="482" w:type="pct"/>
          </w:tcPr>
          <w:p w14:paraId="0BCD851F" w14:textId="77777777" w:rsidR="002F13DE" w:rsidRPr="003D1614" w:rsidRDefault="002F13DE" w:rsidP="004378AC">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889" w:name="_Toc67330572"/>
            <w:r w:rsidRPr="003D1614">
              <w:rPr>
                <w:rFonts w:ascii="Arial" w:eastAsia="Calibri" w:hAnsi="Arial" w:cs="Arial"/>
                <w:b/>
                <w:color w:val="000000" w:themeColor="text1"/>
                <w:sz w:val="15"/>
                <w:szCs w:val="15"/>
              </w:rPr>
              <w:t>Preko 3 godine</w:t>
            </w:r>
            <w:bookmarkEnd w:id="889"/>
          </w:p>
        </w:tc>
        <w:tc>
          <w:tcPr>
            <w:tcW w:w="483" w:type="pct"/>
          </w:tcPr>
          <w:p w14:paraId="6678B43A" w14:textId="77777777" w:rsidR="002F13DE" w:rsidRPr="003D1614" w:rsidRDefault="002F13DE" w:rsidP="004378AC">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890" w:name="_Toc67330573"/>
            <w:r w:rsidRPr="003D1614">
              <w:rPr>
                <w:rFonts w:ascii="Arial" w:eastAsia="Calibri" w:hAnsi="Arial" w:cs="Arial"/>
                <w:b/>
                <w:color w:val="000000" w:themeColor="text1"/>
                <w:sz w:val="15"/>
                <w:szCs w:val="15"/>
              </w:rPr>
              <w:t>Beska-matno</w:t>
            </w:r>
            <w:bookmarkEnd w:id="890"/>
          </w:p>
        </w:tc>
        <w:tc>
          <w:tcPr>
            <w:tcW w:w="483" w:type="pct"/>
          </w:tcPr>
          <w:p w14:paraId="3FA6F73A" w14:textId="77777777" w:rsidR="002F13DE" w:rsidRPr="003D1614" w:rsidRDefault="002F13DE" w:rsidP="004378AC">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891" w:name="_Toc67330574"/>
            <w:r w:rsidRPr="003D1614">
              <w:rPr>
                <w:rFonts w:ascii="Arial" w:eastAsia="Calibri" w:hAnsi="Arial" w:cs="Arial"/>
                <w:b/>
                <w:color w:val="000000" w:themeColor="text1"/>
                <w:sz w:val="15"/>
                <w:szCs w:val="15"/>
              </w:rPr>
              <w:t>Ukupno</w:t>
            </w:r>
            <w:bookmarkEnd w:id="891"/>
          </w:p>
        </w:tc>
        <w:tc>
          <w:tcPr>
            <w:tcW w:w="483" w:type="pct"/>
          </w:tcPr>
          <w:p w14:paraId="036743F7" w14:textId="77777777" w:rsidR="002F13DE" w:rsidRPr="003D1614" w:rsidRDefault="002F13DE" w:rsidP="004378AC">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892" w:name="_Toc67330575"/>
            <w:r w:rsidRPr="003D1614">
              <w:rPr>
                <w:rFonts w:ascii="Arial" w:eastAsia="Calibri" w:hAnsi="Arial" w:cs="Arial"/>
                <w:b/>
                <w:color w:val="000000" w:themeColor="text1"/>
                <w:sz w:val="15"/>
                <w:szCs w:val="15"/>
              </w:rPr>
              <w:t>Fiksna kamatna stopa</w:t>
            </w:r>
            <w:bookmarkEnd w:id="892"/>
          </w:p>
        </w:tc>
      </w:tr>
      <w:tr w:rsidR="002F13DE" w:rsidRPr="003D1614" w14:paraId="36BAE6C7" w14:textId="77777777" w:rsidTr="004378AC">
        <w:trPr>
          <w:trHeight w:val="258"/>
        </w:trPr>
        <w:tc>
          <w:tcPr>
            <w:tcW w:w="1138" w:type="pct"/>
            <w:vAlign w:val="bottom"/>
          </w:tcPr>
          <w:p w14:paraId="4337B4A8" w14:textId="77777777" w:rsidR="002F13DE" w:rsidRPr="003D1614" w:rsidRDefault="002F13DE" w:rsidP="004378AC">
            <w:pPr>
              <w:tabs>
                <w:tab w:val="right" w:pos="1202"/>
              </w:tabs>
              <w:suppressAutoHyphens/>
              <w:autoSpaceDN w:val="0"/>
              <w:spacing w:line="240" w:lineRule="atLeast"/>
              <w:outlineLvl w:val="0"/>
              <w:rPr>
                <w:rFonts w:ascii="Arial" w:eastAsia="Calibri" w:hAnsi="Arial" w:cs="Arial"/>
                <w:b/>
                <w:color w:val="000000" w:themeColor="text1"/>
                <w:sz w:val="15"/>
                <w:szCs w:val="15"/>
              </w:rPr>
            </w:pPr>
          </w:p>
        </w:tc>
        <w:tc>
          <w:tcPr>
            <w:tcW w:w="482" w:type="pct"/>
            <w:vAlign w:val="bottom"/>
          </w:tcPr>
          <w:p w14:paraId="4B1A7BE1" w14:textId="77777777" w:rsidR="002F13DE" w:rsidRPr="003D1614" w:rsidRDefault="002F13DE" w:rsidP="004378AC">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893" w:name="_Toc67330576"/>
            <w:r w:rsidRPr="003D1614">
              <w:rPr>
                <w:rFonts w:ascii="Arial" w:eastAsia="Calibri" w:hAnsi="Arial" w:cs="Arial"/>
                <w:b/>
                <w:color w:val="000000" w:themeColor="text1"/>
                <w:sz w:val="15"/>
                <w:szCs w:val="15"/>
              </w:rPr>
              <w:t>000 eura</w:t>
            </w:r>
            <w:bookmarkEnd w:id="893"/>
          </w:p>
        </w:tc>
        <w:tc>
          <w:tcPr>
            <w:tcW w:w="483" w:type="pct"/>
            <w:vAlign w:val="bottom"/>
          </w:tcPr>
          <w:p w14:paraId="520F4153" w14:textId="77777777" w:rsidR="002F13DE" w:rsidRPr="003D1614" w:rsidRDefault="002F13DE" w:rsidP="004378AC">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894" w:name="_Toc67330577"/>
            <w:r w:rsidRPr="003D1614">
              <w:rPr>
                <w:rFonts w:ascii="Arial" w:eastAsia="Calibri" w:hAnsi="Arial" w:cs="Arial"/>
                <w:b/>
                <w:color w:val="000000" w:themeColor="text1"/>
                <w:sz w:val="15"/>
                <w:szCs w:val="15"/>
              </w:rPr>
              <w:t>000 eura</w:t>
            </w:r>
            <w:bookmarkEnd w:id="894"/>
          </w:p>
        </w:tc>
        <w:tc>
          <w:tcPr>
            <w:tcW w:w="483" w:type="pct"/>
            <w:vAlign w:val="bottom"/>
          </w:tcPr>
          <w:p w14:paraId="2E49FE25" w14:textId="77777777" w:rsidR="002F13DE" w:rsidRPr="003D1614" w:rsidRDefault="002F13DE" w:rsidP="004378AC">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895" w:name="_Toc67330578"/>
            <w:r w:rsidRPr="003D1614">
              <w:rPr>
                <w:rFonts w:ascii="Arial" w:eastAsia="Calibri" w:hAnsi="Arial" w:cs="Arial"/>
                <w:b/>
                <w:color w:val="000000" w:themeColor="text1"/>
                <w:sz w:val="15"/>
                <w:szCs w:val="15"/>
              </w:rPr>
              <w:t>000 eura</w:t>
            </w:r>
            <w:bookmarkEnd w:id="895"/>
          </w:p>
        </w:tc>
        <w:tc>
          <w:tcPr>
            <w:tcW w:w="483" w:type="pct"/>
            <w:vAlign w:val="bottom"/>
          </w:tcPr>
          <w:p w14:paraId="67A7A7FB" w14:textId="77777777" w:rsidR="002F13DE" w:rsidRPr="003D1614" w:rsidRDefault="002F13DE" w:rsidP="004378AC">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896" w:name="_Toc67330579"/>
            <w:r w:rsidRPr="003D1614">
              <w:rPr>
                <w:rFonts w:ascii="Arial" w:eastAsia="Calibri" w:hAnsi="Arial" w:cs="Arial"/>
                <w:b/>
                <w:color w:val="000000" w:themeColor="text1"/>
                <w:sz w:val="15"/>
                <w:szCs w:val="15"/>
              </w:rPr>
              <w:t>000 eura</w:t>
            </w:r>
            <w:bookmarkEnd w:id="896"/>
          </w:p>
        </w:tc>
        <w:tc>
          <w:tcPr>
            <w:tcW w:w="482" w:type="pct"/>
            <w:vAlign w:val="bottom"/>
          </w:tcPr>
          <w:p w14:paraId="25E44085" w14:textId="77777777" w:rsidR="002F13DE" w:rsidRPr="003D1614" w:rsidRDefault="002F13DE" w:rsidP="004378AC">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897" w:name="_Toc67330580"/>
            <w:r w:rsidRPr="003D1614">
              <w:rPr>
                <w:rFonts w:ascii="Arial" w:eastAsia="Calibri" w:hAnsi="Arial" w:cs="Arial"/>
                <w:b/>
                <w:color w:val="000000" w:themeColor="text1"/>
                <w:sz w:val="15"/>
                <w:szCs w:val="15"/>
              </w:rPr>
              <w:t>000 eura</w:t>
            </w:r>
            <w:bookmarkEnd w:id="897"/>
          </w:p>
        </w:tc>
        <w:tc>
          <w:tcPr>
            <w:tcW w:w="483" w:type="pct"/>
            <w:vAlign w:val="bottom"/>
          </w:tcPr>
          <w:p w14:paraId="408BFD37" w14:textId="77777777" w:rsidR="002F13DE" w:rsidRPr="003D1614" w:rsidRDefault="002F13DE" w:rsidP="004378AC">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898" w:name="_Toc67330581"/>
            <w:r w:rsidRPr="003D1614">
              <w:rPr>
                <w:rFonts w:ascii="Arial" w:eastAsia="Calibri" w:hAnsi="Arial" w:cs="Arial"/>
                <w:b/>
                <w:color w:val="000000" w:themeColor="text1"/>
                <w:sz w:val="15"/>
                <w:szCs w:val="15"/>
              </w:rPr>
              <w:t>000 eura</w:t>
            </w:r>
            <w:bookmarkEnd w:id="898"/>
          </w:p>
        </w:tc>
        <w:tc>
          <w:tcPr>
            <w:tcW w:w="483" w:type="pct"/>
            <w:vAlign w:val="bottom"/>
          </w:tcPr>
          <w:p w14:paraId="557E0B15" w14:textId="77777777" w:rsidR="002F13DE" w:rsidRPr="003D1614" w:rsidRDefault="002F13DE" w:rsidP="004378AC">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899" w:name="_Toc67330582"/>
            <w:r w:rsidRPr="003D1614">
              <w:rPr>
                <w:rFonts w:ascii="Arial" w:eastAsia="Calibri" w:hAnsi="Arial" w:cs="Arial"/>
                <w:b/>
                <w:color w:val="000000" w:themeColor="text1"/>
                <w:sz w:val="15"/>
                <w:szCs w:val="15"/>
              </w:rPr>
              <w:t>000 eura</w:t>
            </w:r>
            <w:bookmarkEnd w:id="899"/>
          </w:p>
        </w:tc>
        <w:tc>
          <w:tcPr>
            <w:tcW w:w="483" w:type="pct"/>
            <w:vAlign w:val="bottom"/>
          </w:tcPr>
          <w:p w14:paraId="5F7C183E" w14:textId="77777777" w:rsidR="002F13DE" w:rsidRPr="003D1614" w:rsidRDefault="002F13DE" w:rsidP="004378AC">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00" w:name="_Toc67330583"/>
            <w:r w:rsidRPr="003D1614">
              <w:rPr>
                <w:rFonts w:ascii="Arial" w:eastAsia="Calibri" w:hAnsi="Arial" w:cs="Arial"/>
                <w:b/>
                <w:color w:val="000000" w:themeColor="text1"/>
                <w:sz w:val="15"/>
                <w:szCs w:val="15"/>
              </w:rPr>
              <w:t>000 eura</w:t>
            </w:r>
            <w:bookmarkEnd w:id="900"/>
          </w:p>
        </w:tc>
      </w:tr>
      <w:tr w:rsidR="002F13DE" w:rsidRPr="003D1614" w14:paraId="498D47D6" w14:textId="77777777" w:rsidTr="004378AC">
        <w:trPr>
          <w:trHeight w:val="227"/>
        </w:trPr>
        <w:tc>
          <w:tcPr>
            <w:tcW w:w="1138" w:type="pct"/>
            <w:vAlign w:val="bottom"/>
          </w:tcPr>
          <w:p w14:paraId="3B343B7B" w14:textId="77777777" w:rsidR="002F13DE" w:rsidRPr="003D1614" w:rsidRDefault="002F13DE" w:rsidP="004378AC">
            <w:pPr>
              <w:tabs>
                <w:tab w:val="left" w:pos="-720"/>
              </w:tabs>
              <w:suppressAutoHyphens/>
              <w:autoSpaceDN w:val="0"/>
              <w:rPr>
                <w:rFonts w:ascii="Arial" w:eastAsia="Calibri" w:hAnsi="Arial" w:cs="Arial"/>
                <w:b/>
                <w:color w:val="000000" w:themeColor="text1"/>
                <w:sz w:val="15"/>
                <w:szCs w:val="15"/>
              </w:rPr>
            </w:pPr>
            <w:r w:rsidRPr="003D1614">
              <w:rPr>
                <w:rFonts w:ascii="Arial" w:eastAsia="Calibri" w:hAnsi="Arial" w:cs="Arial"/>
                <w:b/>
                <w:color w:val="000000" w:themeColor="text1"/>
                <w:sz w:val="15"/>
                <w:szCs w:val="15"/>
              </w:rPr>
              <w:t>Imovina</w:t>
            </w:r>
          </w:p>
        </w:tc>
        <w:tc>
          <w:tcPr>
            <w:tcW w:w="482" w:type="pct"/>
            <w:vAlign w:val="bottom"/>
          </w:tcPr>
          <w:p w14:paraId="5DDAB9B2" w14:textId="77777777" w:rsidR="002F13DE" w:rsidRPr="003D1614" w:rsidRDefault="002F13DE" w:rsidP="004378AC">
            <w:pPr>
              <w:tabs>
                <w:tab w:val="left" w:pos="-720"/>
              </w:tabs>
              <w:suppressAutoHyphens/>
              <w:autoSpaceDN w:val="0"/>
              <w:jc w:val="right"/>
              <w:rPr>
                <w:rFonts w:ascii="Arial" w:eastAsia="Calibri" w:hAnsi="Arial" w:cs="Arial"/>
                <w:color w:val="000000" w:themeColor="text1"/>
                <w:sz w:val="15"/>
                <w:szCs w:val="15"/>
              </w:rPr>
            </w:pPr>
          </w:p>
        </w:tc>
        <w:tc>
          <w:tcPr>
            <w:tcW w:w="483" w:type="pct"/>
            <w:vAlign w:val="bottom"/>
          </w:tcPr>
          <w:p w14:paraId="2B12BD9A" w14:textId="77777777" w:rsidR="002F13DE" w:rsidRPr="003D1614" w:rsidRDefault="002F13DE" w:rsidP="004378AC">
            <w:pPr>
              <w:tabs>
                <w:tab w:val="left" w:pos="-720"/>
              </w:tabs>
              <w:suppressAutoHyphens/>
              <w:autoSpaceDN w:val="0"/>
              <w:jc w:val="right"/>
              <w:rPr>
                <w:rFonts w:ascii="Arial" w:eastAsia="Calibri" w:hAnsi="Arial" w:cs="Arial"/>
                <w:color w:val="000000" w:themeColor="text1"/>
                <w:sz w:val="15"/>
                <w:szCs w:val="15"/>
              </w:rPr>
            </w:pPr>
          </w:p>
        </w:tc>
        <w:tc>
          <w:tcPr>
            <w:tcW w:w="483" w:type="pct"/>
            <w:vAlign w:val="bottom"/>
          </w:tcPr>
          <w:p w14:paraId="090091EB" w14:textId="77777777" w:rsidR="002F13DE" w:rsidRPr="003D1614" w:rsidRDefault="002F13DE" w:rsidP="004378AC">
            <w:pPr>
              <w:tabs>
                <w:tab w:val="left" w:pos="-720"/>
              </w:tabs>
              <w:suppressAutoHyphens/>
              <w:autoSpaceDN w:val="0"/>
              <w:jc w:val="right"/>
              <w:rPr>
                <w:rFonts w:ascii="Arial" w:eastAsia="Calibri" w:hAnsi="Arial" w:cs="Arial"/>
                <w:color w:val="000000" w:themeColor="text1"/>
                <w:sz w:val="15"/>
                <w:szCs w:val="15"/>
              </w:rPr>
            </w:pPr>
          </w:p>
        </w:tc>
        <w:tc>
          <w:tcPr>
            <w:tcW w:w="483" w:type="pct"/>
            <w:vAlign w:val="bottom"/>
          </w:tcPr>
          <w:p w14:paraId="75EA9718" w14:textId="77777777" w:rsidR="002F13DE" w:rsidRPr="003D1614" w:rsidRDefault="002F13DE" w:rsidP="004378AC">
            <w:pPr>
              <w:tabs>
                <w:tab w:val="left" w:pos="-720"/>
              </w:tabs>
              <w:suppressAutoHyphens/>
              <w:autoSpaceDN w:val="0"/>
              <w:jc w:val="right"/>
              <w:rPr>
                <w:rFonts w:ascii="Arial" w:eastAsia="Calibri" w:hAnsi="Arial" w:cs="Arial"/>
                <w:color w:val="000000" w:themeColor="text1"/>
                <w:sz w:val="15"/>
                <w:szCs w:val="15"/>
              </w:rPr>
            </w:pPr>
          </w:p>
        </w:tc>
        <w:tc>
          <w:tcPr>
            <w:tcW w:w="482" w:type="pct"/>
            <w:vAlign w:val="bottom"/>
          </w:tcPr>
          <w:p w14:paraId="43B372CC" w14:textId="77777777" w:rsidR="002F13DE" w:rsidRPr="003D1614" w:rsidRDefault="002F13DE" w:rsidP="004378AC">
            <w:pPr>
              <w:tabs>
                <w:tab w:val="left" w:pos="-720"/>
              </w:tabs>
              <w:suppressAutoHyphens/>
              <w:autoSpaceDN w:val="0"/>
              <w:jc w:val="right"/>
              <w:rPr>
                <w:rFonts w:ascii="Arial" w:eastAsia="Calibri" w:hAnsi="Arial" w:cs="Arial"/>
                <w:color w:val="000000" w:themeColor="text1"/>
                <w:sz w:val="15"/>
                <w:szCs w:val="15"/>
              </w:rPr>
            </w:pPr>
          </w:p>
        </w:tc>
        <w:tc>
          <w:tcPr>
            <w:tcW w:w="483" w:type="pct"/>
            <w:vAlign w:val="bottom"/>
          </w:tcPr>
          <w:p w14:paraId="5647D858" w14:textId="77777777" w:rsidR="002F13DE" w:rsidRPr="003D1614" w:rsidRDefault="002F13DE" w:rsidP="004378AC">
            <w:pPr>
              <w:tabs>
                <w:tab w:val="left" w:pos="-720"/>
              </w:tabs>
              <w:suppressAutoHyphens/>
              <w:autoSpaceDN w:val="0"/>
              <w:jc w:val="right"/>
              <w:rPr>
                <w:rFonts w:ascii="Arial" w:eastAsia="Calibri" w:hAnsi="Arial" w:cs="Arial"/>
                <w:color w:val="000000" w:themeColor="text1"/>
                <w:sz w:val="15"/>
                <w:szCs w:val="15"/>
              </w:rPr>
            </w:pPr>
          </w:p>
        </w:tc>
        <w:tc>
          <w:tcPr>
            <w:tcW w:w="483" w:type="pct"/>
            <w:vAlign w:val="bottom"/>
          </w:tcPr>
          <w:p w14:paraId="1D4398D0" w14:textId="77777777" w:rsidR="002F13DE" w:rsidRPr="003D1614" w:rsidRDefault="002F13DE" w:rsidP="004378AC">
            <w:pPr>
              <w:tabs>
                <w:tab w:val="left" w:pos="-720"/>
              </w:tabs>
              <w:suppressAutoHyphens/>
              <w:autoSpaceDN w:val="0"/>
              <w:jc w:val="right"/>
              <w:rPr>
                <w:rFonts w:ascii="Arial" w:eastAsia="Calibri" w:hAnsi="Arial" w:cs="Arial"/>
                <w:color w:val="000000" w:themeColor="text1"/>
                <w:sz w:val="15"/>
                <w:szCs w:val="15"/>
              </w:rPr>
            </w:pPr>
          </w:p>
        </w:tc>
        <w:tc>
          <w:tcPr>
            <w:tcW w:w="483" w:type="pct"/>
            <w:vAlign w:val="bottom"/>
          </w:tcPr>
          <w:p w14:paraId="454A2C2B" w14:textId="77777777" w:rsidR="002F13DE" w:rsidRPr="003D1614" w:rsidRDefault="002F13DE" w:rsidP="004378AC">
            <w:pPr>
              <w:tabs>
                <w:tab w:val="left" w:pos="-720"/>
              </w:tabs>
              <w:suppressAutoHyphens/>
              <w:autoSpaceDN w:val="0"/>
              <w:jc w:val="right"/>
              <w:rPr>
                <w:rFonts w:ascii="Arial" w:eastAsia="Calibri" w:hAnsi="Arial" w:cs="Arial"/>
                <w:color w:val="000000" w:themeColor="text1"/>
                <w:sz w:val="15"/>
                <w:szCs w:val="15"/>
              </w:rPr>
            </w:pPr>
          </w:p>
        </w:tc>
      </w:tr>
      <w:tr w:rsidR="002F13DE" w:rsidRPr="003D1614" w14:paraId="2E7B5945" w14:textId="77777777" w:rsidTr="004378AC">
        <w:trPr>
          <w:trHeight w:val="217"/>
        </w:trPr>
        <w:tc>
          <w:tcPr>
            <w:tcW w:w="1138" w:type="pct"/>
            <w:vAlign w:val="bottom"/>
          </w:tcPr>
          <w:p w14:paraId="4C09AAE4" w14:textId="77777777" w:rsidR="002F13DE" w:rsidRPr="003D1614" w:rsidRDefault="002F13DE" w:rsidP="004378AC">
            <w:pPr>
              <w:tabs>
                <w:tab w:val="left" w:pos="-720"/>
              </w:tabs>
              <w:suppressAutoHyphens/>
              <w:autoSpaceDN w:val="0"/>
              <w:spacing w:line="240" w:lineRule="exact"/>
              <w:rPr>
                <w:rFonts w:ascii="Arial" w:eastAsia="Calibri" w:hAnsi="Arial" w:cs="Arial"/>
                <w:color w:val="000000" w:themeColor="text1"/>
                <w:sz w:val="15"/>
                <w:szCs w:val="15"/>
              </w:rPr>
            </w:pPr>
            <w:r w:rsidRPr="003D1614">
              <w:rPr>
                <w:rFonts w:ascii="Arial" w:eastAsia="Calibri" w:hAnsi="Arial" w:cs="Arial"/>
                <w:color w:val="000000" w:themeColor="text1"/>
                <w:sz w:val="15"/>
                <w:szCs w:val="15"/>
              </w:rPr>
              <w:t>Novčana sredstva i računi kod banaka</w:t>
            </w:r>
          </w:p>
        </w:tc>
        <w:tc>
          <w:tcPr>
            <w:tcW w:w="482" w:type="pct"/>
            <w:vAlign w:val="bottom"/>
          </w:tcPr>
          <w:p w14:paraId="29EDD7FA" w14:textId="77777777" w:rsidR="002F13DE" w:rsidRPr="003D1614" w:rsidRDefault="002F13DE" w:rsidP="004378AC">
            <w:pPr>
              <w:suppressAutoHyphens/>
              <w:autoSpaceDN w:val="0"/>
              <w:jc w:val="center"/>
              <w:rPr>
                <w:rFonts w:ascii="Arial" w:eastAsia="Calibri" w:hAnsi="Arial" w:cs="Arial"/>
                <w:bCs/>
                <w:color w:val="000000" w:themeColor="text1"/>
                <w:sz w:val="15"/>
                <w:szCs w:val="15"/>
              </w:rPr>
            </w:pPr>
            <w:r>
              <w:rPr>
                <w:rFonts w:ascii="Arial" w:eastAsia="Calibri" w:hAnsi="Arial" w:cs="Arial"/>
                <w:bCs/>
                <w:color w:val="000000" w:themeColor="text1"/>
                <w:sz w:val="15"/>
                <w:szCs w:val="15"/>
              </w:rPr>
              <w:t xml:space="preserve">      34.250</w:t>
            </w:r>
          </w:p>
        </w:tc>
        <w:tc>
          <w:tcPr>
            <w:tcW w:w="483" w:type="pct"/>
            <w:vAlign w:val="bottom"/>
          </w:tcPr>
          <w:p w14:paraId="248361EC" w14:textId="77777777" w:rsidR="002F13DE" w:rsidRPr="003D1614" w:rsidRDefault="002F13DE" w:rsidP="004378AC">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3" w:type="pct"/>
            <w:vAlign w:val="bottom"/>
          </w:tcPr>
          <w:p w14:paraId="5F5054E1" w14:textId="77777777" w:rsidR="002F13DE" w:rsidRPr="003D1614" w:rsidRDefault="002F13DE" w:rsidP="004378AC">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3" w:type="pct"/>
            <w:vAlign w:val="bottom"/>
          </w:tcPr>
          <w:p w14:paraId="27D513C8" w14:textId="77777777" w:rsidR="002F13DE" w:rsidRPr="003D1614" w:rsidRDefault="002F13DE" w:rsidP="004378AC">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2" w:type="pct"/>
            <w:vAlign w:val="bottom"/>
          </w:tcPr>
          <w:p w14:paraId="3464A38B" w14:textId="77777777" w:rsidR="002F13DE" w:rsidRPr="003D1614" w:rsidRDefault="002F13DE" w:rsidP="004378AC">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3" w:type="pct"/>
            <w:vAlign w:val="bottom"/>
          </w:tcPr>
          <w:p w14:paraId="13E2D4B4" w14:textId="77777777" w:rsidR="002F13DE" w:rsidRPr="00ED797F" w:rsidRDefault="002F13DE" w:rsidP="004378AC">
            <w:pPr>
              <w:tabs>
                <w:tab w:val="left" w:pos="-720"/>
              </w:tabs>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3" w:type="pct"/>
            <w:vAlign w:val="bottom"/>
          </w:tcPr>
          <w:p w14:paraId="0006C2A1" w14:textId="77777777" w:rsidR="002F13DE" w:rsidRPr="003D1614" w:rsidRDefault="002F13DE" w:rsidP="004378AC">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34.250</w:t>
            </w:r>
          </w:p>
        </w:tc>
        <w:tc>
          <w:tcPr>
            <w:tcW w:w="483" w:type="pct"/>
            <w:vAlign w:val="bottom"/>
          </w:tcPr>
          <w:p w14:paraId="1E6547AC" w14:textId="77777777" w:rsidR="002F13DE" w:rsidRPr="003D1614" w:rsidRDefault="002F13DE" w:rsidP="004378AC">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34.250</w:t>
            </w:r>
          </w:p>
        </w:tc>
      </w:tr>
      <w:tr w:rsidR="002F13DE" w:rsidRPr="003D1614" w14:paraId="279D16D1" w14:textId="77777777" w:rsidTr="004378AC">
        <w:trPr>
          <w:trHeight w:val="206"/>
        </w:trPr>
        <w:tc>
          <w:tcPr>
            <w:tcW w:w="1138" w:type="pct"/>
            <w:vAlign w:val="bottom"/>
          </w:tcPr>
          <w:p w14:paraId="4D1C6DA1" w14:textId="77777777" w:rsidR="002F13DE" w:rsidRPr="003D1614" w:rsidRDefault="002F13DE" w:rsidP="004378AC">
            <w:pPr>
              <w:tabs>
                <w:tab w:val="left" w:pos="-720"/>
              </w:tabs>
              <w:suppressAutoHyphens/>
              <w:autoSpaceDN w:val="0"/>
              <w:spacing w:line="240" w:lineRule="exact"/>
              <w:rPr>
                <w:rFonts w:ascii="Arial" w:eastAsia="Calibri" w:hAnsi="Arial" w:cs="Arial"/>
                <w:color w:val="000000" w:themeColor="text1"/>
                <w:sz w:val="15"/>
                <w:szCs w:val="15"/>
              </w:rPr>
            </w:pPr>
            <w:r w:rsidRPr="003D1614">
              <w:rPr>
                <w:rFonts w:ascii="Arial" w:eastAsia="Calibri" w:hAnsi="Arial" w:cs="Arial"/>
                <w:color w:val="000000" w:themeColor="text1"/>
                <w:sz w:val="15"/>
                <w:szCs w:val="15"/>
              </w:rPr>
              <w:t>Depoziti kod drugih banaka</w:t>
            </w:r>
          </w:p>
        </w:tc>
        <w:tc>
          <w:tcPr>
            <w:tcW w:w="482" w:type="pct"/>
            <w:vAlign w:val="bottom"/>
          </w:tcPr>
          <w:p w14:paraId="56A690DB" w14:textId="77777777" w:rsidR="002F13DE" w:rsidRPr="003D1614" w:rsidRDefault="002F13DE" w:rsidP="004378AC">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120.791</w:t>
            </w:r>
          </w:p>
        </w:tc>
        <w:tc>
          <w:tcPr>
            <w:tcW w:w="483" w:type="pct"/>
            <w:vAlign w:val="bottom"/>
          </w:tcPr>
          <w:p w14:paraId="4F0FF374" w14:textId="77777777" w:rsidR="002F13DE" w:rsidRPr="003D1614" w:rsidRDefault="002F13DE" w:rsidP="004378AC">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2.490</w:t>
            </w:r>
          </w:p>
        </w:tc>
        <w:tc>
          <w:tcPr>
            <w:tcW w:w="483" w:type="pct"/>
            <w:shd w:val="clear" w:color="auto" w:fill="auto"/>
            <w:vAlign w:val="bottom"/>
          </w:tcPr>
          <w:p w14:paraId="31FB9770" w14:textId="77777777" w:rsidR="002F13DE" w:rsidRPr="003D1614" w:rsidRDefault="002F13DE" w:rsidP="004378AC">
            <w:pPr>
              <w:suppressAutoHyphens/>
              <w:autoSpaceDN w:val="0"/>
              <w:jc w:val="right"/>
              <w:rPr>
                <w:rFonts w:ascii="Arial" w:eastAsia="Calibri" w:hAnsi="Arial" w:cs="Arial"/>
                <w:bCs/>
                <w:color w:val="000000" w:themeColor="text1"/>
                <w:sz w:val="15"/>
                <w:szCs w:val="15"/>
              </w:rPr>
            </w:pPr>
            <w:r w:rsidRPr="00706F99">
              <w:rPr>
                <w:rFonts w:ascii="Arial" w:eastAsia="Calibri" w:hAnsi="Arial" w:cs="Arial"/>
                <w:bCs/>
                <w:color w:val="000000" w:themeColor="text1"/>
                <w:sz w:val="15"/>
                <w:szCs w:val="15"/>
              </w:rPr>
              <w:t>805</w:t>
            </w:r>
          </w:p>
        </w:tc>
        <w:tc>
          <w:tcPr>
            <w:tcW w:w="483" w:type="pct"/>
            <w:vAlign w:val="bottom"/>
          </w:tcPr>
          <w:p w14:paraId="1BED658D" w14:textId="77777777" w:rsidR="002F13DE" w:rsidRPr="003D1614" w:rsidRDefault="002F13DE" w:rsidP="004378AC">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2" w:type="pct"/>
            <w:vAlign w:val="bottom"/>
          </w:tcPr>
          <w:p w14:paraId="7D5D9F18" w14:textId="77777777" w:rsidR="002F13DE" w:rsidRPr="003D1614" w:rsidRDefault="002F13DE" w:rsidP="004378AC">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3" w:type="pct"/>
            <w:vAlign w:val="bottom"/>
          </w:tcPr>
          <w:p w14:paraId="0BAD69DC" w14:textId="77777777" w:rsidR="002F13DE" w:rsidRPr="003D1614" w:rsidRDefault="002F13DE" w:rsidP="004378AC">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387</w:t>
            </w:r>
          </w:p>
        </w:tc>
        <w:tc>
          <w:tcPr>
            <w:tcW w:w="483" w:type="pct"/>
            <w:vAlign w:val="bottom"/>
          </w:tcPr>
          <w:p w14:paraId="16C2E66E" w14:textId="77777777" w:rsidR="002F13DE" w:rsidRPr="003D1614" w:rsidRDefault="002F13DE" w:rsidP="004378AC">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124.473</w:t>
            </w:r>
          </w:p>
        </w:tc>
        <w:tc>
          <w:tcPr>
            <w:tcW w:w="483" w:type="pct"/>
            <w:vAlign w:val="bottom"/>
          </w:tcPr>
          <w:p w14:paraId="4E0EC4B4" w14:textId="77777777" w:rsidR="002F13DE" w:rsidRPr="003D1614" w:rsidRDefault="002F13DE" w:rsidP="004378AC">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124.086</w:t>
            </w:r>
          </w:p>
        </w:tc>
      </w:tr>
      <w:tr w:rsidR="002F13DE" w:rsidRPr="003D1614" w14:paraId="7BA8944F" w14:textId="77777777" w:rsidTr="004378AC">
        <w:trPr>
          <w:trHeight w:val="164"/>
        </w:trPr>
        <w:tc>
          <w:tcPr>
            <w:tcW w:w="1138" w:type="pct"/>
            <w:vAlign w:val="bottom"/>
          </w:tcPr>
          <w:p w14:paraId="50811934" w14:textId="77777777" w:rsidR="002F13DE" w:rsidRPr="003D1614" w:rsidRDefault="002F13DE" w:rsidP="004378AC">
            <w:pPr>
              <w:tabs>
                <w:tab w:val="left" w:pos="-720"/>
              </w:tabs>
              <w:suppressAutoHyphens/>
              <w:autoSpaceDN w:val="0"/>
              <w:spacing w:line="240" w:lineRule="exact"/>
              <w:rPr>
                <w:rFonts w:ascii="Arial" w:eastAsia="Calibri" w:hAnsi="Arial" w:cs="Arial"/>
                <w:color w:val="000000" w:themeColor="text1"/>
                <w:sz w:val="15"/>
                <w:szCs w:val="15"/>
              </w:rPr>
            </w:pPr>
            <w:r w:rsidRPr="003D1614">
              <w:rPr>
                <w:rFonts w:ascii="Arial" w:eastAsia="Calibri" w:hAnsi="Arial" w:cs="Arial"/>
                <w:color w:val="000000" w:themeColor="text1"/>
                <w:sz w:val="15"/>
                <w:szCs w:val="15"/>
              </w:rPr>
              <w:t>Krediti financijskim institucijama</w:t>
            </w:r>
          </w:p>
        </w:tc>
        <w:tc>
          <w:tcPr>
            <w:tcW w:w="482" w:type="pct"/>
            <w:tcBorders>
              <w:top w:val="nil"/>
              <w:left w:val="nil"/>
              <w:bottom w:val="nil"/>
              <w:right w:val="nil"/>
            </w:tcBorders>
            <w:vAlign w:val="bottom"/>
          </w:tcPr>
          <w:p w14:paraId="03B0D276" w14:textId="77777777" w:rsidR="002F13DE" w:rsidRPr="003D1614" w:rsidRDefault="002F13DE" w:rsidP="004378AC">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48.869</w:t>
            </w:r>
          </w:p>
        </w:tc>
        <w:tc>
          <w:tcPr>
            <w:tcW w:w="483" w:type="pct"/>
            <w:tcBorders>
              <w:top w:val="nil"/>
              <w:left w:val="nil"/>
              <w:bottom w:val="nil"/>
              <w:right w:val="nil"/>
            </w:tcBorders>
            <w:vAlign w:val="bottom"/>
          </w:tcPr>
          <w:p w14:paraId="3186A1EE" w14:textId="77777777" w:rsidR="002F13DE" w:rsidRPr="003D1614" w:rsidRDefault="002F13DE" w:rsidP="004378AC">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56.501</w:t>
            </w:r>
          </w:p>
        </w:tc>
        <w:tc>
          <w:tcPr>
            <w:tcW w:w="483" w:type="pct"/>
            <w:tcBorders>
              <w:top w:val="nil"/>
              <w:left w:val="nil"/>
              <w:bottom w:val="nil"/>
              <w:right w:val="nil"/>
            </w:tcBorders>
            <w:vAlign w:val="bottom"/>
          </w:tcPr>
          <w:p w14:paraId="14FEEF9F" w14:textId="77777777" w:rsidR="002F13DE" w:rsidRPr="003D1614" w:rsidRDefault="002F13DE" w:rsidP="004378AC">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144.403</w:t>
            </w:r>
          </w:p>
        </w:tc>
        <w:tc>
          <w:tcPr>
            <w:tcW w:w="483" w:type="pct"/>
            <w:tcBorders>
              <w:top w:val="nil"/>
              <w:left w:val="nil"/>
              <w:bottom w:val="nil"/>
              <w:right w:val="nil"/>
            </w:tcBorders>
            <w:vAlign w:val="bottom"/>
          </w:tcPr>
          <w:p w14:paraId="133B572B" w14:textId="77777777" w:rsidR="002F13DE" w:rsidRPr="003D1614" w:rsidRDefault="002F13DE" w:rsidP="004378AC">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343.171</w:t>
            </w:r>
          </w:p>
        </w:tc>
        <w:tc>
          <w:tcPr>
            <w:tcW w:w="482" w:type="pct"/>
            <w:tcBorders>
              <w:top w:val="nil"/>
              <w:left w:val="nil"/>
              <w:bottom w:val="nil"/>
              <w:right w:val="nil"/>
            </w:tcBorders>
            <w:vAlign w:val="bottom"/>
          </w:tcPr>
          <w:p w14:paraId="668BCD22" w14:textId="77777777" w:rsidR="002F13DE" w:rsidRPr="003D1614" w:rsidRDefault="002F13DE" w:rsidP="004378AC">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573.317</w:t>
            </w:r>
          </w:p>
        </w:tc>
        <w:tc>
          <w:tcPr>
            <w:tcW w:w="483" w:type="pct"/>
            <w:tcBorders>
              <w:top w:val="nil"/>
              <w:left w:val="nil"/>
              <w:bottom w:val="nil"/>
              <w:right w:val="nil"/>
            </w:tcBorders>
            <w:vAlign w:val="bottom"/>
          </w:tcPr>
          <w:p w14:paraId="1C497A41" w14:textId="77777777" w:rsidR="002F13DE" w:rsidRPr="003D1614" w:rsidRDefault="002F13DE" w:rsidP="004378AC">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943</w:t>
            </w:r>
          </w:p>
        </w:tc>
        <w:tc>
          <w:tcPr>
            <w:tcW w:w="483" w:type="pct"/>
            <w:tcBorders>
              <w:top w:val="nil"/>
              <w:left w:val="nil"/>
              <w:bottom w:val="nil"/>
              <w:right w:val="nil"/>
            </w:tcBorders>
            <w:vAlign w:val="bottom"/>
          </w:tcPr>
          <w:p w14:paraId="49E3CE7A" w14:textId="77777777" w:rsidR="002F13DE" w:rsidRPr="003D1614" w:rsidRDefault="002F13DE" w:rsidP="004378AC">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1.167.204</w:t>
            </w:r>
          </w:p>
        </w:tc>
        <w:tc>
          <w:tcPr>
            <w:tcW w:w="483" w:type="pct"/>
            <w:tcBorders>
              <w:top w:val="nil"/>
              <w:left w:val="nil"/>
              <w:bottom w:val="nil"/>
              <w:right w:val="nil"/>
            </w:tcBorders>
            <w:vAlign w:val="bottom"/>
          </w:tcPr>
          <w:p w14:paraId="4375075F" w14:textId="77777777" w:rsidR="002F13DE" w:rsidRPr="003D1614" w:rsidRDefault="002F13DE" w:rsidP="004378AC">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1.147.484</w:t>
            </w:r>
          </w:p>
        </w:tc>
      </w:tr>
      <w:tr w:rsidR="002F13DE" w:rsidRPr="003D1614" w14:paraId="6CE5AAA9" w14:textId="77777777" w:rsidTr="004378AC">
        <w:trPr>
          <w:trHeight w:val="92"/>
        </w:trPr>
        <w:tc>
          <w:tcPr>
            <w:tcW w:w="1138" w:type="pct"/>
            <w:vAlign w:val="bottom"/>
          </w:tcPr>
          <w:p w14:paraId="0D4EA1E0" w14:textId="77777777" w:rsidR="002F13DE" w:rsidRPr="003D1614" w:rsidRDefault="002F13DE" w:rsidP="004378AC">
            <w:pPr>
              <w:tabs>
                <w:tab w:val="left" w:pos="-720"/>
              </w:tabs>
              <w:suppressAutoHyphens/>
              <w:autoSpaceDN w:val="0"/>
              <w:spacing w:line="240" w:lineRule="exact"/>
              <w:rPr>
                <w:rFonts w:ascii="Arial" w:eastAsia="Calibri" w:hAnsi="Arial" w:cs="Arial"/>
                <w:color w:val="000000" w:themeColor="text1"/>
                <w:sz w:val="15"/>
                <w:szCs w:val="15"/>
              </w:rPr>
            </w:pPr>
            <w:r w:rsidRPr="003D1614">
              <w:rPr>
                <w:rFonts w:ascii="Arial" w:eastAsia="Calibri" w:hAnsi="Arial" w:cs="Arial"/>
                <w:color w:val="000000" w:themeColor="text1"/>
                <w:sz w:val="15"/>
                <w:szCs w:val="15"/>
              </w:rPr>
              <w:t>Krediti ostalim korisnicima</w:t>
            </w:r>
          </w:p>
        </w:tc>
        <w:tc>
          <w:tcPr>
            <w:tcW w:w="482" w:type="pct"/>
            <w:tcBorders>
              <w:top w:val="nil"/>
              <w:left w:val="nil"/>
              <w:bottom w:val="nil"/>
              <w:right w:val="nil"/>
            </w:tcBorders>
            <w:vAlign w:val="bottom"/>
          </w:tcPr>
          <w:p w14:paraId="1CA4B591" w14:textId="77777777" w:rsidR="002F13DE" w:rsidRPr="003D1614" w:rsidRDefault="002F13DE" w:rsidP="004378AC">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187.091</w:t>
            </w:r>
          </w:p>
        </w:tc>
        <w:tc>
          <w:tcPr>
            <w:tcW w:w="483" w:type="pct"/>
            <w:tcBorders>
              <w:top w:val="nil"/>
              <w:left w:val="nil"/>
              <w:bottom w:val="nil"/>
              <w:right w:val="nil"/>
            </w:tcBorders>
            <w:vAlign w:val="bottom"/>
          </w:tcPr>
          <w:p w14:paraId="75D62F13" w14:textId="77777777" w:rsidR="002F13DE" w:rsidRPr="003D1614" w:rsidRDefault="002F13DE" w:rsidP="004378AC">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153.766</w:t>
            </w:r>
          </w:p>
        </w:tc>
        <w:tc>
          <w:tcPr>
            <w:tcW w:w="483" w:type="pct"/>
            <w:tcBorders>
              <w:top w:val="nil"/>
              <w:left w:val="nil"/>
              <w:bottom w:val="nil"/>
              <w:right w:val="nil"/>
            </w:tcBorders>
            <w:vAlign w:val="bottom"/>
          </w:tcPr>
          <w:p w14:paraId="34D8DCF8" w14:textId="77777777" w:rsidR="002F13DE" w:rsidRPr="003D1614" w:rsidRDefault="002F13DE" w:rsidP="004378AC">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333.063</w:t>
            </w:r>
          </w:p>
        </w:tc>
        <w:tc>
          <w:tcPr>
            <w:tcW w:w="483" w:type="pct"/>
            <w:tcBorders>
              <w:top w:val="nil"/>
              <w:left w:val="nil"/>
              <w:bottom w:val="nil"/>
              <w:right w:val="nil"/>
            </w:tcBorders>
            <w:vAlign w:val="bottom"/>
          </w:tcPr>
          <w:p w14:paraId="7EA1F3AD" w14:textId="77777777" w:rsidR="002F13DE" w:rsidRPr="003D1614" w:rsidRDefault="002F13DE" w:rsidP="004378AC">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551.085</w:t>
            </w:r>
          </w:p>
        </w:tc>
        <w:tc>
          <w:tcPr>
            <w:tcW w:w="482" w:type="pct"/>
            <w:tcBorders>
              <w:top w:val="nil"/>
              <w:left w:val="nil"/>
              <w:bottom w:val="nil"/>
              <w:right w:val="nil"/>
            </w:tcBorders>
            <w:vAlign w:val="bottom"/>
          </w:tcPr>
          <w:p w14:paraId="260E2F08" w14:textId="77777777" w:rsidR="002F13DE" w:rsidRPr="003D1614" w:rsidRDefault="002F13DE" w:rsidP="004378AC">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1.108.211</w:t>
            </w:r>
          </w:p>
        </w:tc>
        <w:tc>
          <w:tcPr>
            <w:tcW w:w="483" w:type="pct"/>
            <w:tcBorders>
              <w:top w:val="nil"/>
              <w:left w:val="nil"/>
              <w:bottom w:val="nil"/>
              <w:right w:val="nil"/>
            </w:tcBorders>
            <w:vAlign w:val="bottom"/>
          </w:tcPr>
          <w:p w14:paraId="092F1110" w14:textId="77777777" w:rsidR="002F13DE" w:rsidRPr="003D1614" w:rsidRDefault="002F13DE" w:rsidP="004378AC">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28.261</w:t>
            </w:r>
          </w:p>
        </w:tc>
        <w:tc>
          <w:tcPr>
            <w:tcW w:w="483" w:type="pct"/>
            <w:tcBorders>
              <w:top w:val="nil"/>
              <w:left w:val="nil"/>
              <w:bottom w:val="nil"/>
              <w:right w:val="nil"/>
            </w:tcBorders>
            <w:vAlign w:val="bottom"/>
          </w:tcPr>
          <w:p w14:paraId="6DAE4D67" w14:textId="77777777" w:rsidR="002F13DE" w:rsidRPr="003D1614" w:rsidRDefault="002F13DE" w:rsidP="004378AC">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2.361.477</w:t>
            </w:r>
          </w:p>
        </w:tc>
        <w:tc>
          <w:tcPr>
            <w:tcW w:w="483" w:type="pct"/>
            <w:tcBorders>
              <w:top w:val="nil"/>
              <w:left w:val="nil"/>
              <w:bottom w:val="nil"/>
              <w:right w:val="nil"/>
            </w:tcBorders>
            <w:vAlign w:val="bottom"/>
          </w:tcPr>
          <w:p w14:paraId="52DC6A45" w14:textId="77777777" w:rsidR="002F13DE" w:rsidRPr="003D1614" w:rsidRDefault="002F13DE" w:rsidP="004378AC">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2.209.420</w:t>
            </w:r>
          </w:p>
        </w:tc>
      </w:tr>
      <w:tr w:rsidR="002F13DE" w:rsidRPr="003D1614" w14:paraId="495BA551" w14:textId="77777777" w:rsidTr="004378AC">
        <w:trPr>
          <w:trHeight w:val="170"/>
        </w:trPr>
        <w:tc>
          <w:tcPr>
            <w:tcW w:w="1138" w:type="pct"/>
            <w:vAlign w:val="bottom"/>
          </w:tcPr>
          <w:p w14:paraId="41D10E2E" w14:textId="77777777" w:rsidR="002F13DE" w:rsidRPr="003D1614" w:rsidRDefault="002F13DE" w:rsidP="004378AC">
            <w:pPr>
              <w:tabs>
                <w:tab w:val="left" w:pos="-720"/>
              </w:tabs>
              <w:suppressAutoHyphens/>
              <w:autoSpaceDN w:val="0"/>
              <w:spacing w:line="240" w:lineRule="exact"/>
              <w:rPr>
                <w:rFonts w:ascii="Arial" w:eastAsia="Calibri" w:hAnsi="Arial" w:cs="Arial"/>
                <w:color w:val="000000" w:themeColor="text1"/>
                <w:sz w:val="15"/>
                <w:szCs w:val="15"/>
              </w:rPr>
            </w:pPr>
            <w:r w:rsidRPr="003D1614">
              <w:rPr>
                <w:rFonts w:ascii="Arial" w:eastAsia="Calibri" w:hAnsi="Arial" w:cs="Arial"/>
                <w:color w:val="000000" w:themeColor="text1"/>
                <w:sz w:val="15"/>
                <w:szCs w:val="15"/>
              </w:rPr>
              <w:t>Financijska imovina po fer vrijednosti kroz dobit ili gubitak</w:t>
            </w:r>
          </w:p>
        </w:tc>
        <w:tc>
          <w:tcPr>
            <w:tcW w:w="482" w:type="pct"/>
            <w:vAlign w:val="bottom"/>
          </w:tcPr>
          <w:p w14:paraId="0C19CD10" w14:textId="77777777" w:rsidR="002F13DE" w:rsidRPr="003D1614" w:rsidRDefault="002F13DE" w:rsidP="004378AC">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3" w:type="pct"/>
            <w:vAlign w:val="bottom"/>
          </w:tcPr>
          <w:p w14:paraId="54DC83D3" w14:textId="77777777" w:rsidR="002F13DE" w:rsidRPr="003D1614" w:rsidRDefault="002F13DE" w:rsidP="004378AC">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3" w:type="pct"/>
            <w:vAlign w:val="bottom"/>
          </w:tcPr>
          <w:p w14:paraId="2ABA2B84" w14:textId="77777777" w:rsidR="002F13DE" w:rsidRPr="003D1614" w:rsidRDefault="002F13DE" w:rsidP="004378AC">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3" w:type="pct"/>
            <w:vAlign w:val="bottom"/>
          </w:tcPr>
          <w:p w14:paraId="43243614" w14:textId="77777777" w:rsidR="002F13DE" w:rsidRPr="003D1614" w:rsidRDefault="002F13DE" w:rsidP="004378AC">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32.926</w:t>
            </w:r>
          </w:p>
        </w:tc>
        <w:tc>
          <w:tcPr>
            <w:tcW w:w="482" w:type="pct"/>
            <w:vAlign w:val="bottom"/>
          </w:tcPr>
          <w:p w14:paraId="5F3B6FE9" w14:textId="77777777" w:rsidR="002F13DE" w:rsidRPr="003D1614" w:rsidRDefault="002F13DE" w:rsidP="004378AC">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3" w:type="pct"/>
            <w:vAlign w:val="bottom"/>
          </w:tcPr>
          <w:p w14:paraId="064124E6" w14:textId="77777777" w:rsidR="002F13DE" w:rsidRPr="003D1614" w:rsidRDefault="002F13DE" w:rsidP="004378AC">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33.106</w:t>
            </w:r>
          </w:p>
        </w:tc>
        <w:tc>
          <w:tcPr>
            <w:tcW w:w="483" w:type="pct"/>
            <w:vAlign w:val="bottom"/>
          </w:tcPr>
          <w:p w14:paraId="0C314A93" w14:textId="77777777" w:rsidR="002F13DE" w:rsidRPr="003D1614" w:rsidRDefault="002F13DE" w:rsidP="004378AC">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66.032</w:t>
            </w:r>
          </w:p>
        </w:tc>
        <w:tc>
          <w:tcPr>
            <w:tcW w:w="483" w:type="pct"/>
            <w:vAlign w:val="bottom"/>
          </w:tcPr>
          <w:p w14:paraId="5A0693A9" w14:textId="77777777" w:rsidR="002F13DE" w:rsidRPr="003D1614" w:rsidRDefault="002F13DE" w:rsidP="004378AC">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32.926</w:t>
            </w:r>
          </w:p>
        </w:tc>
      </w:tr>
      <w:tr w:rsidR="002F13DE" w:rsidRPr="003D1614" w14:paraId="358FA10D" w14:textId="77777777" w:rsidTr="004378AC">
        <w:trPr>
          <w:trHeight w:val="163"/>
        </w:trPr>
        <w:tc>
          <w:tcPr>
            <w:tcW w:w="1138" w:type="pct"/>
            <w:vAlign w:val="bottom"/>
          </w:tcPr>
          <w:p w14:paraId="5BE1F5FB" w14:textId="77777777" w:rsidR="002F13DE" w:rsidRPr="003D1614" w:rsidRDefault="002F13DE" w:rsidP="004378AC">
            <w:pPr>
              <w:tabs>
                <w:tab w:val="left" w:pos="-720"/>
              </w:tabs>
              <w:suppressAutoHyphens/>
              <w:autoSpaceDN w:val="0"/>
              <w:spacing w:line="240" w:lineRule="exact"/>
              <w:rPr>
                <w:rFonts w:ascii="Arial" w:eastAsia="Calibri" w:hAnsi="Arial" w:cs="Arial"/>
                <w:color w:val="000000" w:themeColor="text1"/>
                <w:sz w:val="15"/>
                <w:szCs w:val="15"/>
              </w:rPr>
            </w:pPr>
            <w:r w:rsidRPr="003D1614">
              <w:rPr>
                <w:rFonts w:ascii="Arial" w:eastAsia="Calibri" w:hAnsi="Arial" w:cs="Arial"/>
                <w:color w:val="000000" w:themeColor="text1"/>
                <w:sz w:val="15"/>
                <w:szCs w:val="15"/>
              </w:rPr>
              <w:t>Financijska imovina po fer vrijednosti kroz ostalu sveobuhvatnu dobit</w:t>
            </w:r>
          </w:p>
        </w:tc>
        <w:tc>
          <w:tcPr>
            <w:tcW w:w="482" w:type="pct"/>
            <w:vAlign w:val="bottom"/>
          </w:tcPr>
          <w:p w14:paraId="06A68B0F" w14:textId="77777777" w:rsidR="002F13DE" w:rsidRPr="003D1614" w:rsidRDefault="002F13DE" w:rsidP="004378AC">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131</w:t>
            </w:r>
          </w:p>
        </w:tc>
        <w:tc>
          <w:tcPr>
            <w:tcW w:w="483" w:type="pct"/>
            <w:vAlign w:val="bottom"/>
          </w:tcPr>
          <w:p w14:paraId="3E316F01" w14:textId="77777777" w:rsidR="002F13DE" w:rsidRPr="003D1614" w:rsidRDefault="002F13DE" w:rsidP="004378AC">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21.142</w:t>
            </w:r>
          </w:p>
        </w:tc>
        <w:tc>
          <w:tcPr>
            <w:tcW w:w="483" w:type="pct"/>
            <w:vAlign w:val="bottom"/>
          </w:tcPr>
          <w:p w14:paraId="097C47D1" w14:textId="77777777" w:rsidR="002F13DE" w:rsidRPr="003D1614" w:rsidRDefault="002F13DE" w:rsidP="004378AC">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92.199</w:t>
            </w:r>
          </w:p>
        </w:tc>
        <w:tc>
          <w:tcPr>
            <w:tcW w:w="483" w:type="pct"/>
            <w:vAlign w:val="bottom"/>
          </w:tcPr>
          <w:p w14:paraId="7FDBD737" w14:textId="77777777" w:rsidR="002F13DE" w:rsidRPr="003D1614" w:rsidRDefault="002F13DE" w:rsidP="004378AC">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66.462</w:t>
            </w:r>
          </w:p>
        </w:tc>
        <w:tc>
          <w:tcPr>
            <w:tcW w:w="482" w:type="pct"/>
            <w:vAlign w:val="bottom"/>
          </w:tcPr>
          <w:p w14:paraId="2FDC6553" w14:textId="77777777" w:rsidR="002F13DE" w:rsidRPr="003D1614" w:rsidRDefault="002F13DE" w:rsidP="004378AC">
            <w:pPr>
              <w:suppressAutoHyphens/>
              <w:autoSpaceDN w:val="0"/>
              <w:jc w:val="right"/>
              <w:rPr>
                <w:rFonts w:ascii="Arial" w:eastAsia="Calibri" w:hAnsi="Arial" w:cs="Arial"/>
                <w:bCs/>
                <w:color w:val="000000" w:themeColor="text1"/>
                <w:sz w:val="15"/>
                <w:szCs w:val="15"/>
              </w:rPr>
            </w:pPr>
            <w:r w:rsidRPr="00886083">
              <w:rPr>
                <w:rFonts w:ascii="Arial" w:eastAsia="Calibri" w:hAnsi="Arial" w:cs="Arial"/>
                <w:bCs/>
                <w:color w:val="000000" w:themeColor="text1"/>
                <w:sz w:val="15"/>
                <w:szCs w:val="15"/>
              </w:rPr>
              <w:t>61.</w:t>
            </w:r>
            <w:r>
              <w:rPr>
                <w:rFonts w:ascii="Arial" w:eastAsia="Calibri" w:hAnsi="Arial" w:cs="Arial"/>
                <w:bCs/>
                <w:color w:val="000000" w:themeColor="text1"/>
                <w:sz w:val="15"/>
                <w:szCs w:val="15"/>
              </w:rPr>
              <w:t>978</w:t>
            </w:r>
          </w:p>
        </w:tc>
        <w:tc>
          <w:tcPr>
            <w:tcW w:w="483" w:type="pct"/>
            <w:vAlign w:val="bottom"/>
          </w:tcPr>
          <w:p w14:paraId="3527DCDF" w14:textId="77777777" w:rsidR="002F13DE" w:rsidRPr="003D1614" w:rsidRDefault="002F13DE" w:rsidP="004378AC">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10.571</w:t>
            </w:r>
          </w:p>
        </w:tc>
        <w:tc>
          <w:tcPr>
            <w:tcW w:w="483" w:type="pct"/>
            <w:vAlign w:val="bottom"/>
          </w:tcPr>
          <w:p w14:paraId="555127EF" w14:textId="77777777" w:rsidR="002F13DE" w:rsidRPr="003D1614" w:rsidRDefault="002F13DE" w:rsidP="004378AC">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252.483</w:t>
            </w:r>
          </w:p>
        </w:tc>
        <w:tc>
          <w:tcPr>
            <w:tcW w:w="483" w:type="pct"/>
            <w:vAlign w:val="bottom"/>
          </w:tcPr>
          <w:p w14:paraId="2575DC42" w14:textId="77777777" w:rsidR="002F13DE" w:rsidRPr="003D1614" w:rsidRDefault="002F13DE" w:rsidP="004378AC">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241.912</w:t>
            </w:r>
          </w:p>
        </w:tc>
      </w:tr>
      <w:tr w:rsidR="002F13DE" w:rsidRPr="003D1614" w14:paraId="0361A6D8" w14:textId="77777777" w:rsidTr="004378AC">
        <w:trPr>
          <w:trHeight w:val="206"/>
        </w:trPr>
        <w:tc>
          <w:tcPr>
            <w:tcW w:w="1138" w:type="pct"/>
            <w:vAlign w:val="bottom"/>
          </w:tcPr>
          <w:p w14:paraId="622237BA" w14:textId="77777777" w:rsidR="002F13DE" w:rsidRPr="003D1614" w:rsidRDefault="002F13DE" w:rsidP="004378AC">
            <w:pPr>
              <w:tabs>
                <w:tab w:val="left" w:pos="-720"/>
              </w:tabs>
              <w:suppressAutoHyphens/>
              <w:autoSpaceDN w:val="0"/>
              <w:spacing w:line="240" w:lineRule="exact"/>
              <w:rPr>
                <w:rFonts w:ascii="Arial" w:eastAsia="Calibri" w:hAnsi="Arial" w:cs="Arial"/>
                <w:color w:val="000000" w:themeColor="text1"/>
                <w:sz w:val="15"/>
                <w:szCs w:val="15"/>
              </w:rPr>
            </w:pPr>
            <w:r w:rsidRPr="003D1614">
              <w:rPr>
                <w:rFonts w:ascii="Arial" w:eastAsia="Calibri" w:hAnsi="Arial" w:cs="Arial"/>
                <w:color w:val="000000" w:themeColor="text1"/>
                <w:sz w:val="15"/>
                <w:szCs w:val="15"/>
              </w:rPr>
              <w:t>Ostala imovina</w:t>
            </w:r>
          </w:p>
        </w:tc>
        <w:tc>
          <w:tcPr>
            <w:tcW w:w="482" w:type="pct"/>
            <w:tcBorders>
              <w:bottom w:val="single" w:sz="4" w:space="0" w:color="auto"/>
            </w:tcBorders>
            <w:vAlign w:val="bottom"/>
          </w:tcPr>
          <w:p w14:paraId="55C0C9C3" w14:textId="77777777" w:rsidR="002F13DE" w:rsidRPr="003D1614" w:rsidRDefault="002F13DE" w:rsidP="004378AC">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3" w:type="pct"/>
            <w:tcBorders>
              <w:bottom w:val="single" w:sz="4" w:space="0" w:color="auto"/>
            </w:tcBorders>
            <w:vAlign w:val="bottom"/>
          </w:tcPr>
          <w:p w14:paraId="60092CF5" w14:textId="77777777" w:rsidR="002F13DE" w:rsidRPr="003D1614" w:rsidRDefault="002F13DE" w:rsidP="004378AC">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3" w:type="pct"/>
            <w:tcBorders>
              <w:bottom w:val="single" w:sz="4" w:space="0" w:color="auto"/>
            </w:tcBorders>
            <w:vAlign w:val="bottom"/>
          </w:tcPr>
          <w:p w14:paraId="5B0E9B27" w14:textId="77777777" w:rsidR="002F13DE" w:rsidRPr="003D1614" w:rsidRDefault="002F13DE" w:rsidP="004378AC">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3" w:type="pct"/>
            <w:tcBorders>
              <w:bottom w:val="single" w:sz="4" w:space="0" w:color="auto"/>
            </w:tcBorders>
            <w:vAlign w:val="bottom"/>
          </w:tcPr>
          <w:p w14:paraId="5A631370" w14:textId="77777777" w:rsidR="002F13DE" w:rsidRPr="003D1614" w:rsidRDefault="002F13DE" w:rsidP="004378AC">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2" w:type="pct"/>
            <w:tcBorders>
              <w:bottom w:val="single" w:sz="4" w:space="0" w:color="auto"/>
            </w:tcBorders>
            <w:vAlign w:val="bottom"/>
          </w:tcPr>
          <w:p w14:paraId="25ED9B96" w14:textId="77777777" w:rsidR="002F13DE" w:rsidRPr="003D1614" w:rsidRDefault="002F13DE" w:rsidP="004378AC">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3" w:type="pct"/>
            <w:tcBorders>
              <w:bottom w:val="single" w:sz="4" w:space="0" w:color="auto"/>
            </w:tcBorders>
            <w:vAlign w:val="bottom"/>
          </w:tcPr>
          <w:p w14:paraId="2776928D" w14:textId="77777777" w:rsidR="002F13DE" w:rsidRPr="003D1614" w:rsidRDefault="002F13DE" w:rsidP="004378AC">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7.935</w:t>
            </w:r>
          </w:p>
        </w:tc>
        <w:tc>
          <w:tcPr>
            <w:tcW w:w="483" w:type="pct"/>
            <w:tcBorders>
              <w:bottom w:val="single" w:sz="4" w:space="0" w:color="auto"/>
            </w:tcBorders>
            <w:vAlign w:val="bottom"/>
          </w:tcPr>
          <w:p w14:paraId="0AE0E286" w14:textId="77777777" w:rsidR="002F13DE" w:rsidRPr="003D1614" w:rsidRDefault="002F13DE" w:rsidP="004378AC">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7.935</w:t>
            </w:r>
          </w:p>
        </w:tc>
        <w:tc>
          <w:tcPr>
            <w:tcW w:w="483" w:type="pct"/>
            <w:tcBorders>
              <w:bottom w:val="single" w:sz="4" w:space="0" w:color="auto"/>
            </w:tcBorders>
            <w:vAlign w:val="bottom"/>
          </w:tcPr>
          <w:p w14:paraId="705EE41A" w14:textId="77777777" w:rsidR="002F13DE" w:rsidRPr="003D1614" w:rsidRDefault="002F13DE" w:rsidP="004378AC">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r>
      <w:tr w:rsidR="002F13DE" w:rsidRPr="003D1614" w14:paraId="666F2745" w14:textId="77777777" w:rsidTr="004378AC">
        <w:trPr>
          <w:trHeight w:hRule="exact" w:val="308"/>
        </w:trPr>
        <w:tc>
          <w:tcPr>
            <w:tcW w:w="1138" w:type="pct"/>
            <w:vAlign w:val="bottom"/>
          </w:tcPr>
          <w:p w14:paraId="544A6770" w14:textId="77777777" w:rsidR="002F13DE" w:rsidRPr="003D1614" w:rsidRDefault="002F13DE" w:rsidP="004378AC">
            <w:pPr>
              <w:tabs>
                <w:tab w:val="right" w:pos="1202"/>
              </w:tabs>
              <w:suppressAutoHyphens/>
              <w:autoSpaceDN w:val="0"/>
              <w:spacing w:line="240" w:lineRule="exact"/>
              <w:outlineLvl w:val="0"/>
              <w:rPr>
                <w:rFonts w:ascii="Arial" w:eastAsia="Calibri" w:hAnsi="Arial" w:cs="Arial"/>
                <w:b/>
                <w:bCs/>
                <w:color w:val="000000" w:themeColor="text1"/>
                <w:sz w:val="15"/>
                <w:szCs w:val="15"/>
              </w:rPr>
            </w:pPr>
            <w:bookmarkStart w:id="901" w:name="_Toc67330584"/>
            <w:r w:rsidRPr="003D1614">
              <w:rPr>
                <w:rFonts w:ascii="Arial" w:eastAsia="Calibri" w:hAnsi="Arial" w:cs="Arial"/>
                <w:b/>
                <w:bCs/>
                <w:color w:val="000000" w:themeColor="text1"/>
                <w:sz w:val="15"/>
                <w:szCs w:val="15"/>
              </w:rPr>
              <w:t>Imovina</w:t>
            </w:r>
            <w:bookmarkEnd w:id="901"/>
            <w:r w:rsidRPr="003D1614">
              <w:rPr>
                <w:rFonts w:ascii="Arial" w:eastAsia="Calibri" w:hAnsi="Arial" w:cs="Arial"/>
                <w:b/>
                <w:bCs/>
                <w:color w:val="000000" w:themeColor="text1"/>
                <w:sz w:val="15"/>
                <w:szCs w:val="15"/>
              </w:rPr>
              <w:t xml:space="preserve"> </w:t>
            </w:r>
          </w:p>
        </w:tc>
        <w:tc>
          <w:tcPr>
            <w:tcW w:w="482" w:type="pct"/>
            <w:tcBorders>
              <w:top w:val="nil"/>
              <w:left w:val="nil"/>
              <w:bottom w:val="single" w:sz="8" w:space="0" w:color="auto"/>
              <w:right w:val="nil"/>
            </w:tcBorders>
            <w:vAlign w:val="bottom"/>
          </w:tcPr>
          <w:p w14:paraId="456F0BA7" w14:textId="77777777" w:rsidR="002F13DE" w:rsidRPr="009D3F79" w:rsidRDefault="002F13DE" w:rsidP="004378AC">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391.132</w:t>
            </w:r>
          </w:p>
        </w:tc>
        <w:tc>
          <w:tcPr>
            <w:tcW w:w="483" w:type="pct"/>
            <w:tcBorders>
              <w:top w:val="nil"/>
              <w:left w:val="nil"/>
              <w:bottom w:val="single" w:sz="8" w:space="0" w:color="auto"/>
              <w:right w:val="nil"/>
            </w:tcBorders>
            <w:vAlign w:val="bottom"/>
          </w:tcPr>
          <w:p w14:paraId="501EE8F3" w14:textId="77777777" w:rsidR="002F13DE" w:rsidRPr="009D3F79" w:rsidRDefault="002F13DE" w:rsidP="004378AC">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233.899</w:t>
            </w:r>
          </w:p>
        </w:tc>
        <w:tc>
          <w:tcPr>
            <w:tcW w:w="483" w:type="pct"/>
            <w:tcBorders>
              <w:top w:val="nil"/>
              <w:left w:val="nil"/>
              <w:bottom w:val="single" w:sz="8" w:space="0" w:color="auto"/>
              <w:right w:val="nil"/>
            </w:tcBorders>
            <w:vAlign w:val="bottom"/>
          </w:tcPr>
          <w:p w14:paraId="4CDB7F9A" w14:textId="77777777" w:rsidR="002F13DE" w:rsidRPr="009D3F79" w:rsidRDefault="002F13DE" w:rsidP="004378AC">
            <w:pPr>
              <w:suppressAutoHyphens/>
              <w:autoSpaceDN w:val="0"/>
              <w:jc w:val="right"/>
              <w:rPr>
                <w:rFonts w:ascii="Arial" w:eastAsia="Calibri" w:hAnsi="Arial" w:cs="Arial"/>
                <w:b/>
                <w:color w:val="000000" w:themeColor="text1"/>
                <w:sz w:val="15"/>
                <w:szCs w:val="15"/>
              </w:rPr>
            </w:pPr>
            <w:r w:rsidRPr="00706F99">
              <w:rPr>
                <w:rFonts w:ascii="Arial" w:eastAsia="Calibri" w:hAnsi="Arial" w:cs="Arial"/>
                <w:b/>
                <w:color w:val="000000" w:themeColor="text1"/>
                <w:sz w:val="15"/>
                <w:szCs w:val="15"/>
              </w:rPr>
              <w:t>570.470</w:t>
            </w:r>
          </w:p>
        </w:tc>
        <w:tc>
          <w:tcPr>
            <w:tcW w:w="483" w:type="pct"/>
            <w:tcBorders>
              <w:top w:val="nil"/>
              <w:left w:val="nil"/>
              <w:bottom w:val="single" w:sz="8" w:space="0" w:color="auto"/>
              <w:right w:val="nil"/>
            </w:tcBorders>
            <w:vAlign w:val="bottom"/>
          </w:tcPr>
          <w:p w14:paraId="1BBB222C" w14:textId="77777777" w:rsidR="002F13DE" w:rsidRPr="009D3F79" w:rsidRDefault="002F13DE" w:rsidP="004378AC">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993.644</w:t>
            </w:r>
          </w:p>
        </w:tc>
        <w:tc>
          <w:tcPr>
            <w:tcW w:w="482" w:type="pct"/>
            <w:tcBorders>
              <w:top w:val="nil"/>
              <w:left w:val="nil"/>
              <w:bottom w:val="single" w:sz="8" w:space="0" w:color="auto"/>
              <w:right w:val="nil"/>
            </w:tcBorders>
            <w:vAlign w:val="bottom"/>
          </w:tcPr>
          <w:p w14:paraId="751AA2AF" w14:textId="77777777" w:rsidR="002F13DE" w:rsidRPr="009D3F79" w:rsidRDefault="002F13DE" w:rsidP="004378AC">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1.743.506</w:t>
            </w:r>
          </w:p>
        </w:tc>
        <w:tc>
          <w:tcPr>
            <w:tcW w:w="483" w:type="pct"/>
            <w:tcBorders>
              <w:top w:val="nil"/>
              <w:left w:val="nil"/>
              <w:bottom w:val="single" w:sz="8" w:space="0" w:color="auto"/>
              <w:right w:val="nil"/>
            </w:tcBorders>
            <w:vAlign w:val="bottom"/>
          </w:tcPr>
          <w:p w14:paraId="19E01654" w14:textId="77777777" w:rsidR="002F13DE" w:rsidRPr="009D3F79" w:rsidRDefault="002F13DE" w:rsidP="004378AC">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81.203</w:t>
            </w:r>
          </w:p>
        </w:tc>
        <w:tc>
          <w:tcPr>
            <w:tcW w:w="483" w:type="pct"/>
            <w:tcBorders>
              <w:top w:val="nil"/>
              <w:left w:val="nil"/>
              <w:bottom w:val="single" w:sz="8" w:space="0" w:color="auto"/>
              <w:right w:val="nil"/>
            </w:tcBorders>
            <w:vAlign w:val="bottom"/>
          </w:tcPr>
          <w:p w14:paraId="44C546A5" w14:textId="77777777" w:rsidR="002F13DE" w:rsidRPr="009D3F79" w:rsidRDefault="002F13DE" w:rsidP="004378AC">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4.013.854</w:t>
            </w:r>
          </w:p>
        </w:tc>
        <w:tc>
          <w:tcPr>
            <w:tcW w:w="483" w:type="pct"/>
            <w:tcBorders>
              <w:top w:val="nil"/>
              <w:left w:val="nil"/>
              <w:bottom w:val="single" w:sz="8" w:space="0" w:color="auto"/>
              <w:right w:val="nil"/>
            </w:tcBorders>
            <w:vAlign w:val="bottom"/>
          </w:tcPr>
          <w:p w14:paraId="5F33EF46" w14:textId="77777777" w:rsidR="002F13DE" w:rsidRPr="009D3F79" w:rsidRDefault="002F13DE" w:rsidP="004378AC">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3.790.078</w:t>
            </w:r>
          </w:p>
        </w:tc>
      </w:tr>
      <w:tr w:rsidR="002F13DE" w:rsidRPr="003D1614" w14:paraId="314D37E5" w14:textId="77777777" w:rsidTr="004378AC">
        <w:trPr>
          <w:trHeight w:hRule="exact" w:val="187"/>
        </w:trPr>
        <w:tc>
          <w:tcPr>
            <w:tcW w:w="1138" w:type="pct"/>
            <w:vAlign w:val="bottom"/>
          </w:tcPr>
          <w:p w14:paraId="51426FE9" w14:textId="77777777" w:rsidR="002F13DE" w:rsidRPr="003D1614" w:rsidRDefault="002F13DE" w:rsidP="004378AC">
            <w:pPr>
              <w:tabs>
                <w:tab w:val="right" w:pos="1202"/>
              </w:tabs>
              <w:suppressAutoHyphens/>
              <w:autoSpaceDN w:val="0"/>
              <w:spacing w:line="240" w:lineRule="exact"/>
              <w:outlineLvl w:val="0"/>
              <w:rPr>
                <w:rFonts w:ascii="Arial" w:eastAsia="Calibri" w:hAnsi="Arial" w:cs="Arial"/>
                <w:b/>
                <w:bCs/>
                <w:color w:val="000000" w:themeColor="text1"/>
                <w:sz w:val="15"/>
                <w:szCs w:val="15"/>
              </w:rPr>
            </w:pPr>
          </w:p>
        </w:tc>
        <w:tc>
          <w:tcPr>
            <w:tcW w:w="482" w:type="pct"/>
            <w:tcBorders>
              <w:top w:val="single" w:sz="12" w:space="0" w:color="auto"/>
              <w:left w:val="nil"/>
              <w:right w:val="nil"/>
            </w:tcBorders>
            <w:vAlign w:val="bottom"/>
          </w:tcPr>
          <w:p w14:paraId="7CCC226B" w14:textId="77777777" w:rsidR="002F13DE" w:rsidRPr="009D3F79" w:rsidRDefault="002F13DE" w:rsidP="004378AC">
            <w:pPr>
              <w:suppressAutoHyphens/>
              <w:autoSpaceDN w:val="0"/>
              <w:jc w:val="right"/>
              <w:rPr>
                <w:rFonts w:ascii="Arial" w:eastAsia="Calibri" w:hAnsi="Arial" w:cs="Arial"/>
                <w:bCs/>
                <w:color w:val="000000" w:themeColor="text1"/>
                <w:sz w:val="15"/>
                <w:szCs w:val="15"/>
              </w:rPr>
            </w:pPr>
          </w:p>
        </w:tc>
        <w:tc>
          <w:tcPr>
            <w:tcW w:w="483" w:type="pct"/>
            <w:tcBorders>
              <w:top w:val="single" w:sz="12" w:space="0" w:color="auto"/>
              <w:left w:val="nil"/>
              <w:right w:val="nil"/>
            </w:tcBorders>
            <w:vAlign w:val="bottom"/>
          </w:tcPr>
          <w:p w14:paraId="3E516ED6" w14:textId="77777777" w:rsidR="002F13DE" w:rsidRPr="009D3F79" w:rsidRDefault="002F13DE" w:rsidP="004378AC">
            <w:pPr>
              <w:suppressAutoHyphens/>
              <w:autoSpaceDN w:val="0"/>
              <w:jc w:val="right"/>
              <w:rPr>
                <w:rFonts w:ascii="Arial" w:eastAsia="Calibri" w:hAnsi="Arial" w:cs="Arial"/>
                <w:bCs/>
                <w:color w:val="000000" w:themeColor="text1"/>
                <w:sz w:val="15"/>
                <w:szCs w:val="15"/>
              </w:rPr>
            </w:pPr>
          </w:p>
        </w:tc>
        <w:tc>
          <w:tcPr>
            <w:tcW w:w="483" w:type="pct"/>
            <w:tcBorders>
              <w:top w:val="single" w:sz="12" w:space="0" w:color="auto"/>
              <w:left w:val="nil"/>
              <w:right w:val="nil"/>
            </w:tcBorders>
            <w:vAlign w:val="bottom"/>
          </w:tcPr>
          <w:p w14:paraId="5515ED45" w14:textId="77777777" w:rsidR="002F13DE" w:rsidRPr="009D3F79" w:rsidRDefault="002F13DE" w:rsidP="004378AC">
            <w:pPr>
              <w:suppressAutoHyphens/>
              <w:autoSpaceDN w:val="0"/>
              <w:jc w:val="right"/>
              <w:rPr>
                <w:rFonts w:ascii="Arial" w:eastAsia="Calibri" w:hAnsi="Arial" w:cs="Arial"/>
                <w:bCs/>
                <w:color w:val="000000" w:themeColor="text1"/>
                <w:sz w:val="15"/>
                <w:szCs w:val="15"/>
              </w:rPr>
            </w:pPr>
          </w:p>
        </w:tc>
        <w:tc>
          <w:tcPr>
            <w:tcW w:w="483" w:type="pct"/>
            <w:tcBorders>
              <w:top w:val="single" w:sz="12" w:space="0" w:color="auto"/>
              <w:left w:val="nil"/>
              <w:right w:val="nil"/>
            </w:tcBorders>
            <w:vAlign w:val="bottom"/>
          </w:tcPr>
          <w:p w14:paraId="453C4EA0" w14:textId="77777777" w:rsidR="002F13DE" w:rsidRPr="009D3F79" w:rsidRDefault="002F13DE" w:rsidP="004378AC">
            <w:pPr>
              <w:suppressAutoHyphens/>
              <w:autoSpaceDN w:val="0"/>
              <w:jc w:val="right"/>
              <w:rPr>
                <w:rFonts w:ascii="Arial" w:eastAsia="Calibri" w:hAnsi="Arial" w:cs="Arial"/>
                <w:bCs/>
                <w:color w:val="000000" w:themeColor="text1"/>
                <w:sz w:val="15"/>
                <w:szCs w:val="15"/>
              </w:rPr>
            </w:pPr>
          </w:p>
        </w:tc>
        <w:tc>
          <w:tcPr>
            <w:tcW w:w="482" w:type="pct"/>
            <w:tcBorders>
              <w:top w:val="single" w:sz="12" w:space="0" w:color="auto"/>
              <w:left w:val="nil"/>
              <w:right w:val="nil"/>
            </w:tcBorders>
            <w:vAlign w:val="bottom"/>
          </w:tcPr>
          <w:p w14:paraId="35A132CE" w14:textId="77777777" w:rsidR="002F13DE" w:rsidRPr="009D3F79" w:rsidRDefault="002F13DE" w:rsidP="004378AC">
            <w:pPr>
              <w:suppressAutoHyphens/>
              <w:autoSpaceDN w:val="0"/>
              <w:jc w:val="right"/>
              <w:rPr>
                <w:rFonts w:ascii="Arial" w:eastAsia="Calibri" w:hAnsi="Arial" w:cs="Arial"/>
                <w:bCs/>
                <w:color w:val="000000" w:themeColor="text1"/>
                <w:sz w:val="15"/>
                <w:szCs w:val="15"/>
              </w:rPr>
            </w:pPr>
          </w:p>
        </w:tc>
        <w:tc>
          <w:tcPr>
            <w:tcW w:w="483" w:type="pct"/>
            <w:tcBorders>
              <w:top w:val="single" w:sz="12" w:space="0" w:color="auto"/>
              <w:left w:val="nil"/>
              <w:right w:val="nil"/>
            </w:tcBorders>
            <w:vAlign w:val="bottom"/>
          </w:tcPr>
          <w:p w14:paraId="0426EB25" w14:textId="77777777" w:rsidR="002F13DE" w:rsidRPr="009D3F79" w:rsidRDefault="002F13DE" w:rsidP="004378AC">
            <w:pPr>
              <w:suppressAutoHyphens/>
              <w:autoSpaceDN w:val="0"/>
              <w:jc w:val="right"/>
              <w:rPr>
                <w:rFonts w:ascii="Arial" w:eastAsia="Calibri" w:hAnsi="Arial" w:cs="Arial"/>
                <w:bCs/>
                <w:color w:val="000000" w:themeColor="text1"/>
                <w:sz w:val="15"/>
                <w:szCs w:val="15"/>
              </w:rPr>
            </w:pPr>
          </w:p>
        </w:tc>
        <w:tc>
          <w:tcPr>
            <w:tcW w:w="483" w:type="pct"/>
            <w:tcBorders>
              <w:top w:val="single" w:sz="12" w:space="0" w:color="auto"/>
              <w:left w:val="nil"/>
              <w:right w:val="nil"/>
            </w:tcBorders>
            <w:vAlign w:val="bottom"/>
          </w:tcPr>
          <w:p w14:paraId="6417A9E7" w14:textId="77777777" w:rsidR="002F13DE" w:rsidRPr="009D3F79" w:rsidRDefault="002F13DE" w:rsidP="004378AC">
            <w:pPr>
              <w:suppressAutoHyphens/>
              <w:autoSpaceDN w:val="0"/>
              <w:jc w:val="right"/>
              <w:rPr>
                <w:rFonts w:ascii="Arial" w:eastAsia="Calibri" w:hAnsi="Arial" w:cs="Arial"/>
                <w:bCs/>
                <w:color w:val="000000" w:themeColor="text1"/>
                <w:sz w:val="15"/>
                <w:szCs w:val="15"/>
              </w:rPr>
            </w:pPr>
          </w:p>
        </w:tc>
        <w:tc>
          <w:tcPr>
            <w:tcW w:w="483" w:type="pct"/>
            <w:tcBorders>
              <w:top w:val="single" w:sz="12" w:space="0" w:color="auto"/>
              <w:left w:val="nil"/>
              <w:right w:val="nil"/>
            </w:tcBorders>
            <w:vAlign w:val="bottom"/>
          </w:tcPr>
          <w:p w14:paraId="7ADDFD59" w14:textId="77777777" w:rsidR="002F13DE" w:rsidRPr="009D3F79" w:rsidRDefault="002F13DE" w:rsidP="004378AC">
            <w:pPr>
              <w:suppressAutoHyphens/>
              <w:autoSpaceDN w:val="0"/>
              <w:jc w:val="right"/>
              <w:rPr>
                <w:rFonts w:ascii="Arial" w:eastAsia="Calibri" w:hAnsi="Arial" w:cs="Arial"/>
                <w:bCs/>
                <w:color w:val="000000" w:themeColor="text1"/>
                <w:sz w:val="15"/>
                <w:szCs w:val="15"/>
              </w:rPr>
            </w:pPr>
          </w:p>
        </w:tc>
      </w:tr>
      <w:tr w:rsidR="002F13DE" w:rsidRPr="003D1614" w14:paraId="165FBAE1" w14:textId="77777777" w:rsidTr="004378AC">
        <w:trPr>
          <w:trHeight w:hRule="exact" w:val="235"/>
        </w:trPr>
        <w:tc>
          <w:tcPr>
            <w:tcW w:w="1138" w:type="pct"/>
            <w:vAlign w:val="bottom"/>
          </w:tcPr>
          <w:p w14:paraId="7A6609B4" w14:textId="77777777" w:rsidR="002F13DE" w:rsidRPr="003D1614" w:rsidRDefault="002F13DE" w:rsidP="004378AC">
            <w:pPr>
              <w:tabs>
                <w:tab w:val="right" w:pos="1202"/>
              </w:tabs>
              <w:suppressAutoHyphens/>
              <w:autoSpaceDN w:val="0"/>
              <w:spacing w:line="240" w:lineRule="exact"/>
              <w:outlineLvl w:val="0"/>
              <w:rPr>
                <w:rFonts w:ascii="Arial" w:eastAsia="Calibri" w:hAnsi="Arial" w:cs="Arial"/>
                <w:b/>
                <w:bCs/>
                <w:color w:val="000000" w:themeColor="text1"/>
                <w:sz w:val="15"/>
                <w:szCs w:val="15"/>
              </w:rPr>
            </w:pPr>
            <w:bookmarkStart w:id="902" w:name="_Toc67330585"/>
            <w:r w:rsidRPr="003D1614">
              <w:rPr>
                <w:rFonts w:ascii="Arial" w:eastAsia="Calibri" w:hAnsi="Arial" w:cs="Arial"/>
                <w:b/>
                <w:bCs/>
                <w:color w:val="000000" w:themeColor="text1"/>
                <w:sz w:val="15"/>
                <w:szCs w:val="15"/>
              </w:rPr>
              <w:t>Obveze</w:t>
            </w:r>
            <w:bookmarkEnd w:id="902"/>
          </w:p>
        </w:tc>
        <w:tc>
          <w:tcPr>
            <w:tcW w:w="482" w:type="pct"/>
            <w:tcBorders>
              <w:left w:val="nil"/>
              <w:right w:val="nil"/>
            </w:tcBorders>
            <w:vAlign w:val="bottom"/>
          </w:tcPr>
          <w:p w14:paraId="378F4377" w14:textId="77777777" w:rsidR="002F13DE" w:rsidRPr="009D3F79" w:rsidRDefault="002F13DE" w:rsidP="004378AC">
            <w:pPr>
              <w:suppressAutoHyphens/>
              <w:autoSpaceDN w:val="0"/>
              <w:jc w:val="right"/>
              <w:rPr>
                <w:rFonts w:ascii="Arial" w:eastAsia="Calibri" w:hAnsi="Arial" w:cs="Arial"/>
                <w:bCs/>
                <w:color w:val="000000" w:themeColor="text1"/>
                <w:sz w:val="15"/>
                <w:szCs w:val="15"/>
              </w:rPr>
            </w:pPr>
          </w:p>
        </w:tc>
        <w:tc>
          <w:tcPr>
            <w:tcW w:w="483" w:type="pct"/>
            <w:tcBorders>
              <w:left w:val="nil"/>
              <w:right w:val="nil"/>
            </w:tcBorders>
            <w:vAlign w:val="bottom"/>
          </w:tcPr>
          <w:p w14:paraId="0E1BF67D" w14:textId="77777777" w:rsidR="002F13DE" w:rsidRPr="009D3F79" w:rsidRDefault="002F13DE" w:rsidP="004378AC">
            <w:pPr>
              <w:suppressAutoHyphens/>
              <w:autoSpaceDN w:val="0"/>
              <w:jc w:val="right"/>
              <w:rPr>
                <w:rFonts w:ascii="Arial" w:eastAsia="Calibri" w:hAnsi="Arial" w:cs="Arial"/>
                <w:bCs/>
                <w:color w:val="000000" w:themeColor="text1"/>
                <w:sz w:val="15"/>
                <w:szCs w:val="15"/>
              </w:rPr>
            </w:pPr>
          </w:p>
        </w:tc>
        <w:tc>
          <w:tcPr>
            <w:tcW w:w="483" w:type="pct"/>
            <w:tcBorders>
              <w:left w:val="nil"/>
              <w:right w:val="nil"/>
            </w:tcBorders>
            <w:vAlign w:val="bottom"/>
          </w:tcPr>
          <w:p w14:paraId="61CBCD1C" w14:textId="77777777" w:rsidR="002F13DE" w:rsidRPr="009D3F79" w:rsidRDefault="002F13DE" w:rsidP="004378AC">
            <w:pPr>
              <w:suppressAutoHyphens/>
              <w:autoSpaceDN w:val="0"/>
              <w:jc w:val="right"/>
              <w:rPr>
                <w:rFonts w:ascii="Arial" w:eastAsia="Calibri" w:hAnsi="Arial" w:cs="Arial"/>
                <w:bCs/>
                <w:color w:val="000000" w:themeColor="text1"/>
                <w:sz w:val="15"/>
                <w:szCs w:val="15"/>
              </w:rPr>
            </w:pPr>
          </w:p>
        </w:tc>
        <w:tc>
          <w:tcPr>
            <w:tcW w:w="483" w:type="pct"/>
            <w:tcBorders>
              <w:left w:val="nil"/>
              <w:right w:val="nil"/>
            </w:tcBorders>
            <w:vAlign w:val="bottom"/>
          </w:tcPr>
          <w:p w14:paraId="628891BF" w14:textId="77777777" w:rsidR="002F13DE" w:rsidRPr="009D3F79" w:rsidRDefault="002F13DE" w:rsidP="004378AC">
            <w:pPr>
              <w:suppressAutoHyphens/>
              <w:autoSpaceDN w:val="0"/>
              <w:jc w:val="right"/>
              <w:rPr>
                <w:rFonts w:ascii="Arial" w:eastAsia="Calibri" w:hAnsi="Arial" w:cs="Arial"/>
                <w:bCs/>
                <w:color w:val="000000" w:themeColor="text1"/>
                <w:sz w:val="15"/>
                <w:szCs w:val="15"/>
              </w:rPr>
            </w:pPr>
          </w:p>
        </w:tc>
        <w:tc>
          <w:tcPr>
            <w:tcW w:w="482" w:type="pct"/>
            <w:tcBorders>
              <w:left w:val="nil"/>
              <w:right w:val="nil"/>
            </w:tcBorders>
            <w:vAlign w:val="bottom"/>
          </w:tcPr>
          <w:p w14:paraId="2C4C3FC7" w14:textId="77777777" w:rsidR="002F13DE" w:rsidRPr="009D3F79" w:rsidRDefault="002F13DE" w:rsidP="004378AC">
            <w:pPr>
              <w:suppressAutoHyphens/>
              <w:autoSpaceDN w:val="0"/>
              <w:jc w:val="right"/>
              <w:rPr>
                <w:rFonts w:ascii="Arial" w:eastAsia="Calibri" w:hAnsi="Arial" w:cs="Arial"/>
                <w:bCs/>
                <w:color w:val="000000" w:themeColor="text1"/>
                <w:sz w:val="15"/>
                <w:szCs w:val="15"/>
              </w:rPr>
            </w:pPr>
          </w:p>
        </w:tc>
        <w:tc>
          <w:tcPr>
            <w:tcW w:w="483" w:type="pct"/>
            <w:tcBorders>
              <w:left w:val="nil"/>
              <w:right w:val="nil"/>
            </w:tcBorders>
            <w:vAlign w:val="bottom"/>
          </w:tcPr>
          <w:p w14:paraId="043784A5" w14:textId="77777777" w:rsidR="002F13DE" w:rsidRPr="009D3F79" w:rsidRDefault="002F13DE" w:rsidP="004378AC">
            <w:pPr>
              <w:suppressAutoHyphens/>
              <w:autoSpaceDN w:val="0"/>
              <w:jc w:val="right"/>
              <w:rPr>
                <w:rFonts w:ascii="Arial" w:eastAsia="Calibri" w:hAnsi="Arial" w:cs="Arial"/>
                <w:bCs/>
                <w:color w:val="000000" w:themeColor="text1"/>
                <w:sz w:val="15"/>
                <w:szCs w:val="15"/>
              </w:rPr>
            </w:pPr>
          </w:p>
        </w:tc>
        <w:tc>
          <w:tcPr>
            <w:tcW w:w="483" w:type="pct"/>
            <w:tcBorders>
              <w:left w:val="nil"/>
              <w:right w:val="nil"/>
            </w:tcBorders>
            <w:vAlign w:val="bottom"/>
          </w:tcPr>
          <w:p w14:paraId="60E86F21" w14:textId="77777777" w:rsidR="002F13DE" w:rsidRPr="009D3F79" w:rsidRDefault="002F13DE" w:rsidP="004378AC">
            <w:pPr>
              <w:suppressAutoHyphens/>
              <w:autoSpaceDN w:val="0"/>
              <w:jc w:val="right"/>
              <w:rPr>
                <w:rFonts w:ascii="Arial" w:eastAsia="Calibri" w:hAnsi="Arial" w:cs="Arial"/>
                <w:bCs/>
                <w:color w:val="000000" w:themeColor="text1"/>
                <w:sz w:val="15"/>
                <w:szCs w:val="15"/>
              </w:rPr>
            </w:pPr>
          </w:p>
        </w:tc>
        <w:tc>
          <w:tcPr>
            <w:tcW w:w="483" w:type="pct"/>
            <w:tcBorders>
              <w:left w:val="nil"/>
              <w:right w:val="nil"/>
            </w:tcBorders>
            <w:vAlign w:val="bottom"/>
          </w:tcPr>
          <w:p w14:paraId="4FFC1FE0" w14:textId="77777777" w:rsidR="002F13DE" w:rsidRPr="009D3F79" w:rsidRDefault="002F13DE" w:rsidP="004378AC">
            <w:pPr>
              <w:suppressAutoHyphens/>
              <w:autoSpaceDN w:val="0"/>
              <w:jc w:val="right"/>
              <w:rPr>
                <w:rFonts w:ascii="Arial" w:eastAsia="Calibri" w:hAnsi="Arial" w:cs="Arial"/>
                <w:bCs/>
                <w:color w:val="000000" w:themeColor="text1"/>
                <w:sz w:val="15"/>
                <w:szCs w:val="15"/>
              </w:rPr>
            </w:pPr>
          </w:p>
        </w:tc>
      </w:tr>
      <w:tr w:rsidR="002F13DE" w:rsidRPr="003D1614" w14:paraId="14ED1048" w14:textId="77777777" w:rsidTr="004378AC">
        <w:trPr>
          <w:trHeight w:hRule="exact" w:val="262"/>
        </w:trPr>
        <w:tc>
          <w:tcPr>
            <w:tcW w:w="1138" w:type="pct"/>
            <w:vAlign w:val="bottom"/>
          </w:tcPr>
          <w:p w14:paraId="71910FCB" w14:textId="77777777" w:rsidR="002F13DE" w:rsidRPr="003D1614" w:rsidRDefault="002F13DE" w:rsidP="004378AC">
            <w:pPr>
              <w:tabs>
                <w:tab w:val="right" w:pos="1202"/>
              </w:tabs>
              <w:suppressAutoHyphens/>
              <w:autoSpaceDN w:val="0"/>
              <w:spacing w:line="240" w:lineRule="exact"/>
              <w:outlineLvl w:val="0"/>
              <w:rPr>
                <w:rFonts w:ascii="Arial" w:eastAsia="Calibri" w:hAnsi="Arial" w:cs="Arial"/>
                <w:b/>
                <w:bCs/>
                <w:color w:val="000000" w:themeColor="text1"/>
                <w:sz w:val="15"/>
                <w:szCs w:val="15"/>
              </w:rPr>
            </w:pPr>
            <w:bookmarkStart w:id="903" w:name="_Toc67330586"/>
            <w:r w:rsidRPr="003D1614">
              <w:rPr>
                <w:rFonts w:ascii="Arial" w:eastAsia="Calibri" w:hAnsi="Arial" w:cs="Arial"/>
                <w:color w:val="000000" w:themeColor="text1"/>
                <w:spacing w:val="-2"/>
                <w:sz w:val="15"/>
                <w:szCs w:val="15"/>
              </w:rPr>
              <w:t>Obveze po depozitima</w:t>
            </w:r>
            <w:bookmarkEnd w:id="903"/>
          </w:p>
        </w:tc>
        <w:tc>
          <w:tcPr>
            <w:tcW w:w="482" w:type="pct"/>
            <w:tcBorders>
              <w:top w:val="nil"/>
              <w:left w:val="nil"/>
              <w:bottom w:val="nil"/>
              <w:right w:val="nil"/>
            </w:tcBorders>
            <w:vAlign w:val="bottom"/>
          </w:tcPr>
          <w:p w14:paraId="6517D894" w14:textId="77777777" w:rsidR="002F13DE" w:rsidRPr="003D1614" w:rsidRDefault="002F13DE" w:rsidP="004378AC">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157.547</w:t>
            </w:r>
          </w:p>
        </w:tc>
        <w:tc>
          <w:tcPr>
            <w:tcW w:w="483" w:type="pct"/>
            <w:tcBorders>
              <w:top w:val="nil"/>
              <w:left w:val="nil"/>
              <w:bottom w:val="nil"/>
              <w:right w:val="nil"/>
            </w:tcBorders>
            <w:vAlign w:val="bottom"/>
          </w:tcPr>
          <w:p w14:paraId="5EDC8D17" w14:textId="77777777" w:rsidR="002F13DE" w:rsidRPr="003D1614" w:rsidRDefault="002F13DE" w:rsidP="004378AC">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3" w:type="pct"/>
            <w:tcBorders>
              <w:top w:val="nil"/>
              <w:left w:val="nil"/>
              <w:bottom w:val="nil"/>
              <w:right w:val="nil"/>
            </w:tcBorders>
            <w:vAlign w:val="bottom"/>
          </w:tcPr>
          <w:p w14:paraId="4E1D97B4" w14:textId="77777777" w:rsidR="002F13DE" w:rsidRPr="003D1614" w:rsidRDefault="002F13DE" w:rsidP="004378AC">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3" w:type="pct"/>
            <w:tcBorders>
              <w:top w:val="nil"/>
              <w:left w:val="nil"/>
              <w:bottom w:val="nil"/>
              <w:right w:val="nil"/>
            </w:tcBorders>
            <w:vAlign w:val="bottom"/>
          </w:tcPr>
          <w:p w14:paraId="6051A0E4" w14:textId="77777777" w:rsidR="002F13DE" w:rsidRPr="003D1614" w:rsidRDefault="002F13DE" w:rsidP="004378AC">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2" w:type="pct"/>
            <w:tcBorders>
              <w:top w:val="nil"/>
              <w:left w:val="nil"/>
              <w:bottom w:val="nil"/>
              <w:right w:val="nil"/>
            </w:tcBorders>
            <w:vAlign w:val="bottom"/>
          </w:tcPr>
          <w:p w14:paraId="36963620" w14:textId="77777777" w:rsidR="002F13DE" w:rsidRPr="003D1614" w:rsidRDefault="002F13DE" w:rsidP="004378AC">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3" w:type="pct"/>
            <w:tcBorders>
              <w:top w:val="nil"/>
              <w:left w:val="nil"/>
              <w:bottom w:val="nil"/>
              <w:right w:val="nil"/>
            </w:tcBorders>
            <w:vAlign w:val="bottom"/>
          </w:tcPr>
          <w:p w14:paraId="3BA747A9" w14:textId="77777777" w:rsidR="002F13DE" w:rsidRPr="003D1614" w:rsidRDefault="002F13DE" w:rsidP="004378AC">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65.520</w:t>
            </w:r>
          </w:p>
        </w:tc>
        <w:tc>
          <w:tcPr>
            <w:tcW w:w="483" w:type="pct"/>
            <w:tcBorders>
              <w:top w:val="nil"/>
              <w:left w:val="nil"/>
              <w:bottom w:val="nil"/>
              <w:right w:val="nil"/>
            </w:tcBorders>
            <w:vAlign w:val="bottom"/>
          </w:tcPr>
          <w:p w14:paraId="1B74F6AA" w14:textId="77777777" w:rsidR="002F13DE" w:rsidRPr="003D1614" w:rsidRDefault="002F13DE" w:rsidP="004378AC">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223.067</w:t>
            </w:r>
          </w:p>
        </w:tc>
        <w:tc>
          <w:tcPr>
            <w:tcW w:w="483" w:type="pct"/>
            <w:tcBorders>
              <w:top w:val="nil"/>
              <w:left w:val="nil"/>
              <w:bottom w:val="nil"/>
              <w:right w:val="nil"/>
            </w:tcBorders>
            <w:vAlign w:val="bottom"/>
          </w:tcPr>
          <w:p w14:paraId="71278A2F" w14:textId="77777777" w:rsidR="002F13DE" w:rsidRPr="003D1614" w:rsidRDefault="002F13DE" w:rsidP="004378AC">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157.547</w:t>
            </w:r>
          </w:p>
        </w:tc>
      </w:tr>
      <w:tr w:rsidR="002F13DE" w:rsidRPr="003D1614" w14:paraId="62B41E78" w14:textId="77777777" w:rsidTr="004378AC">
        <w:trPr>
          <w:trHeight w:hRule="exact" w:val="254"/>
        </w:trPr>
        <w:tc>
          <w:tcPr>
            <w:tcW w:w="1138" w:type="pct"/>
            <w:vAlign w:val="bottom"/>
          </w:tcPr>
          <w:p w14:paraId="65966083" w14:textId="77777777" w:rsidR="002F13DE" w:rsidRPr="003D1614" w:rsidRDefault="002F13DE" w:rsidP="004378AC">
            <w:pPr>
              <w:tabs>
                <w:tab w:val="right" w:pos="1202"/>
              </w:tabs>
              <w:suppressAutoHyphens/>
              <w:autoSpaceDN w:val="0"/>
              <w:spacing w:line="240" w:lineRule="exact"/>
              <w:outlineLvl w:val="0"/>
              <w:rPr>
                <w:rFonts w:ascii="Arial" w:eastAsia="Calibri" w:hAnsi="Arial" w:cs="Arial"/>
                <w:b/>
                <w:bCs/>
                <w:color w:val="000000" w:themeColor="text1"/>
                <w:sz w:val="15"/>
                <w:szCs w:val="15"/>
              </w:rPr>
            </w:pPr>
            <w:bookmarkStart w:id="904" w:name="_Toc67330587"/>
            <w:r w:rsidRPr="003D1614">
              <w:rPr>
                <w:rFonts w:ascii="Arial" w:eastAsia="Calibri" w:hAnsi="Arial" w:cs="Arial"/>
                <w:color w:val="000000" w:themeColor="text1"/>
                <w:spacing w:val="-2"/>
                <w:sz w:val="15"/>
                <w:szCs w:val="15"/>
              </w:rPr>
              <w:t>Obveze po kreditima</w:t>
            </w:r>
            <w:bookmarkEnd w:id="904"/>
          </w:p>
        </w:tc>
        <w:tc>
          <w:tcPr>
            <w:tcW w:w="482" w:type="pct"/>
            <w:tcBorders>
              <w:top w:val="nil"/>
              <w:left w:val="nil"/>
              <w:bottom w:val="nil"/>
              <w:right w:val="nil"/>
            </w:tcBorders>
            <w:vAlign w:val="bottom"/>
          </w:tcPr>
          <w:p w14:paraId="550170EF" w14:textId="77777777" w:rsidR="002F13DE" w:rsidRPr="003D1614" w:rsidRDefault="002F13DE" w:rsidP="004378AC">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51.726</w:t>
            </w:r>
          </w:p>
        </w:tc>
        <w:tc>
          <w:tcPr>
            <w:tcW w:w="483" w:type="pct"/>
            <w:tcBorders>
              <w:top w:val="nil"/>
              <w:left w:val="nil"/>
              <w:bottom w:val="nil"/>
              <w:right w:val="nil"/>
            </w:tcBorders>
            <w:vAlign w:val="bottom"/>
          </w:tcPr>
          <w:p w14:paraId="33565784" w14:textId="77777777" w:rsidR="002F13DE" w:rsidRPr="003D1614" w:rsidRDefault="002F13DE" w:rsidP="004378AC">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61.508</w:t>
            </w:r>
          </w:p>
        </w:tc>
        <w:tc>
          <w:tcPr>
            <w:tcW w:w="483" w:type="pct"/>
            <w:tcBorders>
              <w:top w:val="nil"/>
              <w:left w:val="nil"/>
              <w:bottom w:val="nil"/>
              <w:right w:val="nil"/>
            </w:tcBorders>
            <w:vAlign w:val="bottom"/>
          </w:tcPr>
          <w:p w14:paraId="126842DD" w14:textId="77777777" w:rsidR="002F13DE" w:rsidRPr="003D1614" w:rsidRDefault="002F13DE" w:rsidP="004378AC">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308.716</w:t>
            </w:r>
          </w:p>
        </w:tc>
        <w:tc>
          <w:tcPr>
            <w:tcW w:w="483" w:type="pct"/>
            <w:tcBorders>
              <w:top w:val="nil"/>
              <w:left w:val="nil"/>
              <w:bottom w:val="nil"/>
              <w:right w:val="nil"/>
            </w:tcBorders>
            <w:vAlign w:val="bottom"/>
          </w:tcPr>
          <w:p w14:paraId="44D9DEF1" w14:textId="77777777" w:rsidR="002F13DE" w:rsidRPr="003D1614" w:rsidRDefault="002F13DE" w:rsidP="004378AC">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649.894</w:t>
            </w:r>
          </w:p>
        </w:tc>
        <w:tc>
          <w:tcPr>
            <w:tcW w:w="482" w:type="pct"/>
            <w:tcBorders>
              <w:top w:val="nil"/>
              <w:left w:val="nil"/>
              <w:bottom w:val="nil"/>
              <w:right w:val="nil"/>
            </w:tcBorders>
            <w:vAlign w:val="bottom"/>
          </w:tcPr>
          <w:p w14:paraId="754AA867" w14:textId="77777777" w:rsidR="002F13DE" w:rsidRPr="003D1614" w:rsidRDefault="002F13DE" w:rsidP="004378AC">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1.116.311</w:t>
            </w:r>
          </w:p>
        </w:tc>
        <w:tc>
          <w:tcPr>
            <w:tcW w:w="483" w:type="pct"/>
            <w:tcBorders>
              <w:top w:val="nil"/>
              <w:left w:val="nil"/>
              <w:bottom w:val="nil"/>
              <w:right w:val="nil"/>
            </w:tcBorders>
            <w:vAlign w:val="bottom"/>
          </w:tcPr>
          <w:p w14:paraId="4C2B63FD" w14:textId="77777777" w:rsidR="002F13DE" w:rsidRPr="003D1614" w:rsidRDefault="002F13DE" w:rsidP="004378AC">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7.735</w:t>
            </w:r>
          </w:p>
        </w:tc>
        <w:tc>
          <w:tcPr>
            <w:tcW w:w="483" w:type="pct"/>
            <w:tcBorders>
              <w:top w:val="nil"/>
              <w:left w:val="nil"/>
              <w:bottom w:val="nil"/>
              <w:right w:val="nil"/>
            </w:tcBorders>
            <w:vAlign w:val="bottom"/>
          </w:tcPr>
          <w:p w14:paraId="37A7C265" w14:textId="77777777" w:rsidR="002F13DE" w:rsidRPr="003D1614" w:rsidRDefault="002F13DE" w:rsidP="004378AC">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2.195.890</w:t>
            </w:r>
          </w:p>
        </w:tc>
        <w:tc>
          <w:tcPr>
            <w:tcW w:w="483" w:type="pct"/>
            <w:tcBorders>
              <w:top w:val="nil"/>
              <w:left w:val="nil"/>
              <w:bottom w:val="nil"/>
              <w:right w:val="nil"/>
            </w:tcBorders>
            <w:vAlign w:val="bottom"/>
          </w:tcPr>
          <w:p w14:paraId="39D95C3B" w14:textId="77777777" w:rsidR="002F13DE" w:rsidRPr="003D1614" w:rsidRDefault="002F13DE" w:rsidP="004378AC">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2.127.945</w:t>
            </w:r>
          </w:p>
        </w:tc>
      </w:tr>
      <w:tr w:rsidR="002F13DE" w:rsidRPr="003D1614" w14:paraId="3C53FD62" w14:textId="77777777" w:rsidTr="004378AC">
        <w:trPr>
          <w:trHeight w:hRule="exact" w:val="468"/>
        </w:trPr>
        <w:tc>
          <w:tcPr>
            <w:tcW w:w="1138" w:type="pct"/>
            <w:vAlign w:val="bottom"/>
          </w:tcPr>
          <w:p w14:paraId="3301D609" w14:textId="77777777" w:rsidR="002F13DE" w:rsidRPr="003D1614" w:rsidRDefault="002F13DE" w:rsidP="004378AC">
            <w:pPr>
              <w:tabs>
                <w:tab w:val="right" w:pos="1202"/>
              </w:tabs>
              <w:suppressAutoHyphens/>
              <w:autoSpaceDN w:val="0"/>
              <w:spacing w:line="240" w:lineRule="exact"/>
              <w:outlineLvl w:val="0"/>
              <w:rPr>
                <w:rFonts w:ascii="Arial" w:eastAsia="Calibri" w:hAnsi="Arial" w:cs="Arial"/>
                <w:color w:val="000000" w:themeColor="text1"/>
                <w:spacing w:val="-2"/>
                <w:sz w:val="15"/>
                <w:szCs w:val="15"/>
              </w:rPr>
            </w:pPr>
            <w:bookmarkStart w:id="905" w:name="_Toc67330589"/>
            <w:r w:rsidRPr="003D1614">
              <w:rPr>
                <w:rFonts w:ascii="Arial" w:eastAsia="Calibri" w:hAnsi="Arial" w:cs="Arial"/>
                <w:color w:val="000000" w:themeColor="text1"/>
                <w:spacing w:val="-2"/>
                <w:sz w:val="15"/>
                <w:szCs w:val="15"/>
              </w:rPr>
              <w:t>Rezerviranja za garancije, preuzete i ostale obveze</w:t>
            </w:r>
            <w:bookmarkEnd w:id="905"/>
          </w:p>
        </w:tc>
        <w:tc>
          <w:tcPr>
            <w:tcW w:w="482" w:type="pct"/>
            <w:tcBorders>
              <w:top w:val="nil"/>
              <w:left w:val="nil"/>
              <w:bottom w:val="nil"/>
              <w:right w:val="nil"/>
            </w:tcBorders>
            <w:vAlign w:val="bottom"/>
          </w:tcPr>
          <w:p w14:paraId="687CD515" w14:textId="77777777" w:rsidR="002F13DE" w:rsidRPr="003D1614" w:rsidDel="00344206" w:rsidRDefault="002F13DE" w:rsidP="004378AC">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3" w:type="pct"/>
            <w:tcBorders>
              <w:top w:val="nil"/>
              <w:left w:val="nil"/>
              <w:bottom w:val="nil"/>
              <w:right w:val="nil"/>
            </w:tcBorders>
            <w:vAlign w:val="bottom"/>
          </w:tcPr>
          <w:p w14:paraId="18078137" w14:textId="77777777" w:rsidR="002F13DE" w:rsidRPr="003D1614" w:rsidDel="00344206" w:rsidRDefault="002F13DE" w:rsidP="004378AC">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3" w:type="pct"/>
            <w:tcBorders>
              <w:top w:val="nil"/>
              <w:left w:val="nil"/>
              <w:bottom w:val="nil"/>
              <w:right w:val="nil"/>
            </w:tcBorders>
            <w:vAlign w:val="bottom"/>
          </w:tcPr>
          <w:p w14:paraId="72F4D4BF" w14:textId="77777777" w:rsidR="002F13DE" w:rsidRPr="003D1614" w:rsidDel="00344206" w:rsidRDefault="002F13DE" w:rsidP="004378AC">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3" w:type="pct"/>
            <w:tcBorders>
              <w:top w:val="nil"/>
              <w:left w:val="nil"/>
              <w:bottom w:val="nil"/>
              <w:right w:val="nil"/>
            </w:tcBorders>
            <w:vAlign w:val="bottom"/>
          </w:tcPr>
          <w:p w14:paraId="3592A550" w14:textId="77777777" w:rsidR="002F13DE" w:rsidRPr="003D1614" w:rsidDel="00344206" w:rsidRDefault="002F13DE" w:rsidP="004378AC">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2" w:type="pct"/>
            <w:tcBorders>
              <w:top w:val="nil"/>
              <w:left w:val="nil"/>
              <w:bottom w:val="nil"/>
              <w:right w:val="nil"/>
            </w:tcBorders>
            <w:vAlign w:val="bottom"/>
          </w:tcPr>
          <w:p w14:paraId="55DCC6B4" w14:textId="77777777" w:rsidR="002F13DE" w:rsidRPr="003D1614" w:rsidDel="00344206" w:rsidRDefault="002F13DE" w:rsidP="004378AC">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3" w:type="pct"/>
            <w:tcBorders>
              <w:top w:val="nil"/>
              <w:left w:val="nil"/>
              <w:bottom w:val="nil"/>
              <w:right w:val="nil"/>
            </w:tcBorders>
            <w:vAlign w:val="bottom"/>
          </w:tcPr>
          <w:p w14:paraId="11BFBCAA" w14:textId="77777777" w:rsidR="002F13DE" w:rsidRPr="003D1614" w:rsidDel="00344206" w:rsidRDefault="002F13DE" w:rsidP="004378AC">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19.395</w:t>
            </w:r>
          </w:p>
        </w:tc>
        <w:tc>
          <w:tcPr>
            <w:tcW w:w="483" w:type="pct"/>
            <w:tcBorders>
              <w:top w:val="nil"/>
              <w:left w:val="nil"/>
              <w:bottom w:val="nil"/>
              <w:right w:val="nil"/>
            </w:tcBorders>
            <w:vAlign w:val="bottom"/>
          </w:tcPr>
          <w:p w14:paraId="03B56E00" w14:textId="77777777" w:rsidR="002F13DE" w:rsidRPr="003D1614" w:rsidDel="00344206" w:rsidRDefault="002F13DE" w:rsidP="004378AC">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19.395</w:t>
            </w:r>
          </w:p>
        </w:tc>
        <w:tc>
          <w:tcPr>
            <w:tcW w:w="483" w:type="pct"/>
            <w:tcBorders>
              <w:top w:val="nil"/>
              <w:left w:val="nil"/>
              <w:bottom w:val="nil"/>
              <w:right w:val="nil"/>
            </w:tcBorders>
            <w:vAlign w:val="bottom"/>
          </w:tcPr>
          <w:p w14:paraId="624997DE" w14:textId="77777777" w:rsidR="002F13DE" w:rsidRPr="003D1614" w:rsidDel="00344206" w:rsidRDefault="002F13DE" w:rsidP="004378AC">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r>
      <w:tr w:rsidR="002F13DE" w:rsidRPr="003D1614" w14:paraId="0F9C075A" w14:textId="77777777" w:rsidTr="004378AC">
        <w:trPr>
          <w:trHeight w:hRule="exact" w:val="251"/>
        </w:trPr>
        <w:tc>
          <w:tcPr>
            <w:tcW w:w="1138" w:type="pct"/>
            <w:vAlign w:val="bottom"/>
          </w:tcPr>
          <w:p w14:paraId="7D2C7B5B" w14:textId="77777777" w:rsidR="002F13DE" w:rsidRPr="003D1614" w:rsidRDefault="002F13DE" w:rsidP="004378AC">
            <w:pPr>
              <w:tabs>
                <w:tab w:val="right" w:pos="1202"/>
              </w:tabs>
              <w:suppressAutoHyphens/>
              <w:autoSpaceDN w:val="0"/>
              <w:spacing w:line="240" w:lineRule="exact"/>
              <w:outlineLvl w:val="0"/>
              <w:rPr>
                <w:rFonts w:ascii="Arial" w:eastAsia="Calibri" w:hAnsi="Arial" w:cs="Arial"/>
                <w:b/>
                <w:bCs/>
                <w:color w:val="000000" w:themeColor="text1"/>
                <w:sz w:val="15"/>
                <w:szCs w:val="15"/>
              </w:rPr>
            </w:pPr>
            <w:bookmarkStart w:id="906" w:name="_Toc67330590"/>
            <w:r w:rsidRPr="003D1614">
              <w:rPr>
                <w:rFonts w:ascii="Arial" w:eastAsia="Calibri" w:hAnsi="Arial" w:cs="Arial"/>
                <w:color w:val="000000" w:themeColor="text1"/>
                <w:spacing w:val="-2"/>
                <w:sz w:val="15"/>
                <w:szCs w:val="15"/>
              </w:rPr>
              <w:t>Ostale obveze</w:t>
            </w:r>
            <w:bookmarkEnd w:id="906"/>
          </w:p>
        </w:tc>
        <w:tc>
          <w:tcPr>
            <w:tcW w:w="482" w:type="pct"/>
            <w:tcBorders>
              <w:top w:val="nil"/>
              <w:left w:val="nil"/>
              <w:bottom w:val="nil"/>
              <w:right w:val="nil"/>
            </w:tcBorders>
            <w:vAlign w:val="bottom"/>
          </w:tcPr>
          <w:p w14:paraId="2E853B56" w14:textId="77777777" w:rsidR="002F13DE" w:rsidRPr="003D1614" w:rsidRDefault="002F13DE" w:rsidP="004378AC">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3" w:type="pct"/>
            <w:tcBorders>
              <w:top w:val="nil"/>
              <w:left w:val="nil"/>
              <w:bottom w:val="nil"/>
              <w:right w:val="nil"/>
            </w:tcBorders>
            <w:vAlign w:val="bottom"/>
          </w:tcPr>
          <w:p w14:paraId="48420DA9" w14:textId="77777777" w:rsidR="002F13DE" w:rsidRPr="003D1614" w:rsidRDefault="002F13DE" w:rsidP="004378AC">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3" w:type="pct"/>
            <w:tcBorders>
              <w:top w:val="nil"/>
              <w:left w:val="nil"/>
              <w:bottom w:val="nil"/>
              <w:right w:val="nil"/>
            </w:tcBorders>
            <w:vAlign w:val="bottom"/>
          </w:tcPr>
          <w:p w14:paraId="2912E7CF" w14:textId="77777777" w:rsidR="002F13DE" w:rsidRPr="003D1614" w:rsidRDefault="002F13DE" w:rsidP="004378AC">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3" w:type="pct"/>
            <w:tcBorders>
              <w:top w:val="nil"/>
              <w:left w:val="nil"/>
              <w:bottom w:val="nil"/>
              <w:right w:val="nil"/>
            </w:tcBorders>
            <w:vAlign w:val="bottom"/>
          </w:tcPr>
          <w:p w14:paraId="5553BAC0" w14:textId="77777777" w:rsidR="002F13DE" w:rsidRPr="003D1614" w:rsidRDefault="002F13DE" w:rsidP="004378AC">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2" w:type="pct"/>
            <w:tcBorders>
              <w:top w:val="nil"/>
              <w:left w:val="nil"/>
              <w:bottom w:val="nil"/>
              <w:right w:val="nil"/>
            </w:tcBorders>
            <w:vAlign w:val="bottom"/>
          </w:tcPr>
          <w:p w14:paraId="08304DB1" w14:textId="77777777" w:rsidR="002F13DE" w:rsidRPr="003D1614" w:rsidRDefault="002F13DE" w:rsidP="004378AC">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3" w:type="pct"/>
            <w:tcBorders>
              <w:top w:val="nil"/>
              <w:left w:val="nil"/>
              <w:right w:val="nil"/>
            </w:tcBorders>
            <w:vAlign w:val="bottom"/>
          </w:tcPr>
          <w:p w14:paraId="40212F08" w14:textId="77777777" w:rsidR="002F13DE" w:rsidRPr="003D1614" w:rsidRDefault="002F13DE" w:rsidP="004378AC">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78.411</w:t>
            </w:r>
          </w:p>
        </w:tc>
        <w:tc>
          <w:tcPr>
            <w:tcW w:w="483" w:type="pct"/>
            <w:tcBorders>
              <w:top w:val="nil"/>
              <w:left w:val="nil"/>
              <w:right w:val="nil"/>
            </w:tcBorders>
            <w:vAlign w:val="bottom"/>
          </w:tcPr>
          <w:p w14:paraId="5416146E" w14:textId="77777777" w:rsidR="002F13DE" w:rsidRPr="003D1614" w:rsidRDefault="002F13DE" w:rsidP="004378AC">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78.411</w:t>
            </w:r>
          </w:p>
        </w:tc>
        <w:tc>
          <w:tcPr>
            <w:tcW w:w="483" w:type="pct"/>
            <w:tcBorders>
              <w:top w:val="nil"/>
              <w:left w:val="nil"/>
              <w:right w:val="nil"/>
            </w:tcBorders>
            <w:vAlign w:val="bottom"/>
          </w:tcPr>
          <w:p w14:paraId="6E1AA796" w14:textId="77777777" w:rsidR="002F13DE" w:rsidRPr="003D1614" w:rsidRDefault="002F13DE" w:rsidP="004378AC">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r>
      <w:tr w:rsidR="002F13DE" w:rsidRPr="003D1614" w14:paraId="7B659164" w14:textId="77777777" w:rsidTr="004378AC">
        <w:trPr>
          <w:trHeight w:hRule="exact" w:val="281"/>
        </w:trPr>
        <w:tc>
          <w:tcPr>
            <w:tcW w:w="1138" w:type="pct"/>
            <w:vAlign w:val="bottom"/>
          </w:tcPr>
          <w:p w14:paraId="6FD2C3DC" w14:textId="77777777" w:rsidR="002F13DE" w:rsidRPr="003D1614" w:rsidRDefault="002F13DE" w:rsidP="004378AC">
            <w:pPr>
              <w:tabs>
                <w:tab w:val="right" w:pos="1202"/>
              </w:tabs>
              <w:suppressAutoHyphens/>
              <w:autoSpaceDN w:val="0"/>
              <w:spacing w:line="240" w:lineRule="exact"/>
              <w:outlineLvl w:val="0"/>
              <w:rPr>
                <w:rFonts w:ascii="Arial" w:eastAsia="Calibri" w:hAnsi="Arial" w:cs="Arial"/>
                <w:b/>
                <w:bCs/>
                <w:color w:val="000000" w:themeColor="text1"/>
                <w:sz w:val="15"/>
                <w:szCs w:val="15"/>
              </w:rPr>
            </w:pPr>
            <w:bookmarkStart w:id="907" w:name="_Toc67330591"/>
            <w:r w:rsidRPr="003D1614">
              <w:rPr>
                <w:rFonts w:ascii="Arial" w:eastAsia="Calibri" w:hAnsi="Arial" w:cs="Arial"/>
                <w:b/>
                <w:bCs/>
                <w:color w:val="000000" w:themeColor="text1"/>
                <w:sz w:val="15"/>
                <w:szCs w:val="15"/>
              </w:rPr>
              <w:t>Obveze</w:t>
            </w:r>
            <w:bookmarkEnd w:id="907"/>
          </w:p>
        </w:tc>
        <w:tc>
          <w:tcPr>
            <w:tcW w:w="482" w:type="pct"/>
            <w:tcBorders>
              <w:top w:val="single" w:sz="8" w:space="0" w:color="auto"/>
              <w:left w:val="nil"/>
              <w:bottom w:val="single" w:sz="12" w:space="0" w:color="auto"/>
              <w:right w:val="nil"/>
            </w:tcBorders>
            <w:vAlign w:val="bottom"/>
          </w:tcPr>
          <w:p w14:paraId="03B0C9A9" w14:textId="77777777" w:rsidR="002F13DE" w:rsidRPr="009D3F79" w:rsidRDefault="002F13DE" w:rsidP="004378AC">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209.273</w:t>
            </w:r>
          </w:p>
        </w:tc>
        <w:tc>
          <w:tcPr>
            <w:tcW w:w="483" w:type="pct"/>
            <w:tcBorders>
              <w:top w:val="single" w:sz="8" w:space="0" w:color="auto"/>
              <w:left w:val="nil"/>
              <w:bottom w:val="single" w:sz="12" w:space="0" w:color="auto"/>
              <w:right w:val="nil"/>
            </w:tcBorders>
            <w:vAlign w:val="bottom"/>
          </w:tcPr>
          <w:p w14:paraId="3034F9E4" w14:textId="77777777" w:rsidR="002F13DE" w:rsidRPr="009D3F79" w:rsidRDefault="002F13DE" w:rsidP="004378AC">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61.508</w:t>
            </w:r>
          </w:p>
        </w:tc>
        <w:tc>
          <w:tcPr>
            <w:tcW w:w="483" w:type="pct"/>
            <w:tcBorders>
              <w:top w:val="single" w:sz="8" w:space="0" w:color="auto"/>
              <w:left w:val="nil"/>
              <w:bottom w:val="single" w:sz="12" w:space="0" w:color="auto"/>
              <w:right w:val="nil"/>
            </w:tcBorders>
            <w:vAlign w:val="bottom"/>
          </w:tcPr>
          <w:p w14:paraId="7B635AB8" w14:textId="77777777" w:rsidR="002F13DE" w:rsidRPr="009D3F79" w:rsidRDefault="002F13DE" w:rsidP="004378AC">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308.716</w:t>
            </w:r>
          </w:p>
        </w:tc>
        <w:tc>
          <w:tcPr>
            <w:tcW w:w="483" w:type="pct"/>
            <w:tcBorders>
              <w:top w:val="single" w:sz="8" w:space="0" w:color="auto"/>
              <w:left w:val="nil"/>
              <w:bottom w:val="single" w:sz="12" w:space="0" w:color="auto"/>
              <w:right w:val="nil"/>
            </w:tcBorders>
            <w:vAlign w:val="bottom"/>
          </w:tcPr>
          <w:p w14:paraId="2D9C3C35" w14:textId="77777777" w:rsidR="002F13DE" w:rsidRPr="009D3F79" w:rsidRDefault="002F13DE" w:rsidP="004378AC">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649.894</w:t>
            </w:r>
          </w:p>
        </w:tc>
        <w:tc>
          <w:tcPr>
            <w:tcW w:w="482" w:type="pct"/>
            <w:tcBorders>
              <w:top w:val="single" w:sz="8" w:space="0" w:color="auto"/>
              <w:left w:val="nil"/>
              <w:bottom w:val="single" w:sz="12" w:space="0" w:color="auto"/>
              <w:right w:val="nil"/>
            </w:tcBorders>
            <w:vAlign w:val="bottom"/>
          </w:tcPr>
          <w:p w14:paraId="5DBE7E5D" w14:textId="77777777" w:rsidR="002F13DE" w:rsidRPr="009D3F79" w:rsidRDefault="002F13DE" w:rsidP="004378AC">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1.116.311</w:t>
            </w:r>
          </w:p>
        </w:tc>
        <w:tc>
          <w:tcPr>
            <w:tcW w:w="483" w:type="pct"/>
            <w:tcBorders>
              <w:top w:val="single" w:sz="8" w:space="0" w:color="auto"/>
              <w:left w:val="nil"/>
              <w:bottom w:val="single" w:sz="12" w:space="0" w:color="auto"/>
              <w:right w:val="nil"/>
            </w:tcBorders>
            <w:vAlign w:val="bottom"/>
          </w:tcPr>
          <w:p w14:paraId="7002B011" w14:textId="77777777" w:rsidR="002F13DE" w:rsidRPr="009D3F79" w:rsidRDefault="002F13DE" w:rsidP="004378AC">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171.061</w:t>
            </w:r>
          </w:p>
        </w:tc>
        <w:tc>
          <w:tcPr>
            <w:tcW w:w="483" w:type="pct"/>
            <w:tcBorders>
              <w:top w:val="single" w:sz="8" w:space="0" w:color="auto"/>
              <w:left w:val="nil"/>
              <w:bottom w:val="single" w:sz="12" w:space="0" w:color="auto"/>
              <w:right w:val="nil"/>
            </w:tcBorders>
            <w:vAlign w:val="bottom"/>
          </w:tcPr>
          <w:p w14:paraId="322966CD" w14:textId="77777777" w:rsidR="002F13DE" w:rsidRPr="009D3F79" w:rsidRDefault="002F13DE" w:rsidP="004378AC">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2.516.763</w:t>
            </w:r>
          </w:p>
        </w:tc>
        <w:tc>
          <w:tcPr>
            <w:tcW w:w="483" w:type="pct"/>
            <w:tcBorders>
              <w:top w:val="single" w:sz="8" w:space="0" w:color="auto"/>
              <w:left w:val="nil"/>
              <w:bottom w:val="single" w:sz="12" w:space="0" w:color="auto"/>
              <w:right w:val="nil"/>
            </w:tcBorders>
            <w:vAlign w:val="bottom"/>
          </w:tcPr>
          <w:p w14:paraId="79598C3A" w14:textId="77777777" w:rsidR="002F13DE" w:rsidRPr="009D3F79" w:rsidRDefault="002F13DE" w:rsidP="004378AC">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2.285.492</w:t>
            </w:r>
          </w:p>
        </w:tc>
      </w:tr>
      <w:tr w:rsidR="002F13DE" w:rsidRPr="003D1614" w14:paraId="3696735E" w14:textId="77777777" w:rsidTr="004378AC">
        <w:trPr>
          <w:trHeight w:hRule="exact" w:val="285"/>
        </w:trPr>
        <w:tc>
          <w:tcPr>
            <w:tcW w:w="1138" w:type="pct"/>
            <w:vAlign w:val="bottom"/>
          </w:tcPr>
          <w:p w14:paraId="0287A124" w14:textId="77777777" w:rsidR="002F13DE" w:rsidRPr="003D1614" w:rsidRDefault="002F13DE" w:rsidP="004378AC">
            <w:pPr>
              <w:tabs>
                <w:tab w:val="right" w:pos="1202"/>
              </w:tabs>
              <w:suppressAutoHyphens/>
              <w:autoSpaceDN w:val="0"/>
              <w:spacing w:line="240" w:lineRule="exact"/>
              <w:outlineLvl w:val="0"/>
              <w:rPr>
                <w:rFonts w:ascii="Arial" w:eastAsia="Calibri" w:hAnsi="Arial" w:cs="Arial"/>
                <w:b/>
                <w:bCs/>
                <w:color w:val="000000" w:themeColor="text1"/>
                <w:sz w:val="15"/>
                <w:szCs w:val="15"/>
              </w:rPr>
            </w:pPr>
            <w:bookmarkStart w:id="908" w:name="_Toc67330592"/>
            <w:r w:rsidRPr="003D1614">
              <w:rPr>
                <w:rFonts w:ascii="Arial" w:eastAsia="Calibri" w:hAnsi="Arial" w:cs="Arial"/>
                <w:b/>
                <w:bCs/>
                <w:color w:val="000000" w:themeColor="text1"/>
                <w:spacing w:val="-2"/>
                <w:sz w:val="15"/>
                <w:szCs w:val="15"/>
              </w:rPr>
              <w:t>Kamatni jaz</w:t>
            </w:r>
            <w:bookmarkEnd w:id="908"/>
          </w:p>
        </w:tc>
        <w:tc>
          <w:tcPr>
            <w:tcW w:w="482" w:type="pct"/>
            <w:tcBorders>
              <w:top w:val="nil"/>
              <w:left w:val="nil"/>
              <w:bottom w:val="single" w:sz="12" w:space="0" w:color="auto"/>
              <w:right w:val="nil"/>
            </w:tcBorders>
            <w:shd w:val="clear" w:color="auto" w:fill="auto"/>
            <w:vAlign w:val="bottom"/>
          </w:tcPr>
          <w:p w14:paraId="283DA6A4" w14:textId="77777777" w:rsidR="002F13DE" w:rsidRPr="009D3F79" w:rsidRDefault="002F13DE" w:rsidP="004378AC">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181.859</w:t>
            </w:r>
          </w:p>
        </w:tc>
        <w:tc>
          <w:tcPr>
            <w:tcW w:w="483" w:type="pct"/>
            <w:tcBorders>
              <w:top w:val="nil"/>
              <w:left w:val="nil"/>
              <w:bottom w:val="single" w:sz="12" w:space="0" w:color="auto"/>
              <w:right w:val="nil"/>
            </w:tcBorders>
            <w:shd w:val="clear" w:color="auto" w:fill="auto"/>
            <w:vAlign w:val="bottom"/>
          </w:tcPr>
          <w:p w14:paraId="602E9CC6" w14:textId="77777777" w:rsidR="002F13DE" w:rsidRPr="009D3F79" w:rsidRDefault="002F13DE" w:rsidP="004378AC">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172.391</w:t>
            </w:r>
          </w:p>
        </w:tc>
        <w:tc>
          <w:tcPr>
            <w:tcW w:w="483" w:type="pct"/>
            <w:tcBorders>
              <w:top w:val="nil"/>
              <w:left w:val="nil"/>
              <w:bottom w:val="single" w:sz="12" w:space="0" w:color="auto"/>
              <w:right w:val="nil"/>
            </w:tcBorders>
            <w:shd w:val="clear" w:color="auto" w:fill="auto"/>
            <w:vAlign w:val="bottom"/>
          </w:tcPr>
          <w:p w14:paraId="77413570" w14:textId="77777777" w:rsidR="002F13DE" w:rsidRPr="009D3F79" w:rsidRDefault="002F13DE" w:rsidP="004378AC">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261.754</w:t>
            </w:r>
          </w:p>
        </w:tc>
        <w:tc>
          <w:tcPr>
            <w:tcW w:w="483" w:type="pct"/>
            <w:tcBorders>
              <w:top w:val="nil"/>
              <w:left w:val="nil"/>
              <w:bottom w:val="single" w:sz="12" w:space="0" w:color="auto"/>
              <w:right w:val="nil"/>
            </w:tcBorders>
            <w:shd w:val="clear" w:color="auto" w:fill="auto"/>
            <w:vAlign w:val="bottom"/>
          </w:tcPr>
          <w:p w14:paraId="1BABFDE7" w14:textId="77777777" w:rsidR="002F13DE" w:rsidRPr="009D3F79" w:rsidRDefault="002F13DE" w:rsidP="004378AC">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343.750</w:t>
            </w:r>
          </w:p>
        </w:tc>
        <w:tc>
          <w:tcPr>
            <w:tcW w:w="482" w:type="pct"/>
            <w:tcBorders>
              <w:top w:val="nil"/>
              <w:left w:val="nil"/>
              <w:bottom w:val="single" w:sz="12" w:space="0" w:color="auto"/>
              <w:right w:val="nil"/>
            </w:tcBorders>
            <w:shd w:val="clear" w:color="auto" w:fill="auto"/>
            <w:vAlign w:val="bottom"/>
          </w:tcPr>
          <w:p w14:paraId="30385645" w14:textId="77777777" w:rsidR="002F13DE" w:rsidRPr="009D3F79" w:rsidRDefault="002F13DE" w:rsidP="004378AC">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627.195</w:t>
            </w:r>
          </w:p>
        </w:tc>
        <w:tc>
          <w:tcPr>
            <w:tcW w:w="483" w:type="pct"/>
            <w:tcBorders>
              <w:top w:val="nil"/>
              <w:left w:val="nil"/>
              <w:bottom w:val="single" w:sz="12" w:space="0" w:color="auto"/>
              <w:right w:val="nil"/>
            </w:tcBorders>
            <w:shd w:val="clear" w:color="auto" w:fill="auto"/>
            <w:vAlign w:val="bottom"/>
          </w:tcPr>
          <w:p w14:paraId="7C525640" w14:textId="77777777" w:rsidR="002F13DE" w:rsidRPr="009D3F79" w:rsidRDefault="002F13DE" w:rsidP="004378AC">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(89.858)</w:t>
            </w:r>
          </w:p>
        </w:tc>
        <w:tc>
          <w:tcPr>
            <w:tcW w:w="483" w:type="pct"/>
            <w:tcBorders>
              <w:top w:val="nil"/>
              <w:left w:val="nil"/>
              <w:bottom w:val="single" w:sz="12" w:space="0" w:color="auto"/>
              <w:right w:val="nil"/>
            </w:tcBorders>
            <w:shd w:val="clear" w:color="auto" w:fill="auto"/>
            <w:vAlign w:val="bottom"/>
          </w:tcPr>
          <w:p w14:paraId="7DC3D67F" w14:textId="77777777" w:rsidR="002F13DE" w:rsidRPr="009D3F79" w:rsidRDefault="002F13DE" w:rsidP="004378AC">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1.497.091</w:t>
            </w:r>
          </w:p>
        </w:tc>
        <w:tc>
          <w:tcPr>
            <w:tcW w:w="483" w:type="pct"/>
            <w:tcBorders>
              <w:top w:val="nil"/>
              <w:left w:val="nil"/>
              <w:bottom w:val="single" w:sz="12" w:space="0" w:color="auto"/>
              <w:right w:val="nil"/>
            </w:tcBorders>
            <w:shd w:val="clear" w:color="auto" w:fill="auto"/>
            <w:vAlign w:val="bottom"/>
          </w:tcPr>
          <w:p w14:paraId="5D08D313" w14:textId="77777777" w:rsidR="002F13DE" w:rsidRPr="009D3F79" w:rsidRDefault="002F13DE" w:rsidP="004378AC">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1.504.586</w:t>
            </w:r>
          </w:p>
        </w:tc>
      </w:tr>
    </w:tbl>
    <w:p w14:paraId="3CF576CB" w14:textId="07CBE02A" w:rsidR="000C7E59" w:rsidRPr="003D1614" w:rsidRDefault="000C7E59" w:rsidP="00661446">
      <w:pPr>
        <w:suppressAutoHyphens/>
        <w:autoSpaceDN w:val="0"/>
        <w:jc w:val="both"/>
        <w:rPr>
          <w:rFonts w:ascii="Arial" w:eastAsia="Times New Roman" w:hAnsi="Arial" w:cs="Arial"/>
          <w:bCs/>
          <w:i/>
          <w:color w:val="000000" w:themeColor="text1"/>
          <w:sz w:val="18"/>
          <w:szCs w:val="18"/>
        </w:rPr>
      </w:pPr>
    </w:p>
    <w:p w14:paraId="490AA43D" w14:textId="77777777" w:rsidR="000C7E59" w:rsidRPr="003D1614" w:rsidRDefault="000C7E59" w:rsidP="00661446">
      <w:pPr>
        <w:suppressAutoHyphens/>
        <w:autoSpaceDN w:val="0"/>
        <w:jc w:val="both"/>
        <w:rPr>
          <w:rFonts w:ascii="Arial" w:eastAsia="Times New Roman" w:hAnsi="Arial" w:cs="Arial"/>
          <w:bCs/>
          <w:i/>
          <w:color w:val="000000" w:themeColor="text1"/>
          <w:sz w:val="18"/>
          <w:szCs w:val="18"/>
        </w:rPr>
        <w:sectPr w:rsidR="000C7E59" w:rsidRPr="003D1614" w:rsidSect="003278AB">
          <w:pgSz w:w="11906" w:h="16838"/>
          <w:pgMar w:top="1417" w:right="1417" w:bottom="1417" w:left="1417" w:header="708" w:footer="708" w:gutter="0"/>
          <w:cols w:space="708"/>
          <w:docGrid w:linePitch="360"/>
        </w:sectPr>
      </w:pPr>
    </w:p>
    <w:p w14:paraId="384B9F30" w14:textId="77777777" w:rsidR="000C7E59" w:rsidRPr="003D1614" w:rsidRDefault="000C7E59" w:rsidP="000C7E59">
      <w:pPr>
        <w:keepNext/>
        <w:tabs>
          <w:tab w:val="left" w:pos="709"/>
          <w:tab w:val="left" w:pos="851"/>
        </w:tabs>
        <w:suppressAutoHyphens/>
        <w:autoSpaceDN w:val="0"/>
        <w:jc w:val="both"/>
        <w:outlineLvl w:val="0"/>
        <w:rPr>
          <w:rFonts w:ascii="Arial" w:eastAsia="Times New Roman" w:hAnsi="Arial" w:cs="Arial"/>
          <w:b/>
          <w:bCs/>
          <w:color w:val="000000" w:themeColor="text1"/>
          <w:sz w:val="20"/>
          <w:szCs w:val="20"/>
        </w:rPr>
      </w:pPr>
    </w:p>
    <w:p w14:paraId="4826C4E9" w14:textId="5A154C38" w:rsidR="000C7E59" w:rsidRPr="003D1614" w:rsidRDefault="000C7E59" w:rsidP="000C7E59">
      <w:pPr>
        <w:keepNext/>
        <w:tabs>
          <w:tab w:val="left" w:pos="709"/>
          <w:tab w:val="left" w:pos="851"/>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Upravljanje rizicima (nastavak)</w:t>
      </w:r>
    </w:p>
    <w:p w14:paraId="125CFBA2" w14:textId="77777777" w:rsidR="000C7E59" w:rsidRPr="003D1614" w:rsidRDefault="000C7E59" w:rsidP="000C7E59">
      <w:pPr>
        <w:keepNext/>
        <w:suppressAutoHyphens/>
        <w:autoSpaceDN w:val="0"/>
        <w:jc w:val="both"/>
        <w:outlineLvl w:val="0"/>
        <w:rPr>
          <w:rFonts w:ascii="Arial" w:eastAsia="Times New Roman" w:hAnsi="Arial" w:cs="Arial"/>
          <w:b/>
          <w:bCs/>
          <w:color w:val="000000" w:themeColor="text1"/>
          <w:sz w:val="20"/>
          <w:szCs w:val="20"/>
        </w:rPr>
      </w:pPr>
    </w:p>
    <w:p w14:paraId="142E394A" w14:textId="40A05113" w:rsidR="000C7E59" w:rsidRPr="003D1614" w:rsidRDefault="000C7E59" w:rsidP="000C7E59">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.5.     Tržišni rizici (nastavak)</w:t>
      </w:r>
    </w:p>
    <w:p w14:paraId="0A18656F" w14:textId="77777777" w:rsidR="000C7E59" w:rsidRPr="003D1614" w:rsidRDefault="000C7E59" w:rsidP="000C7E59">
      <w:pPr>
        <w:tabs>
          <w:tab w:val="left" w:pos="-720"/>
          <w:tab w:val="left" w:pos="709"/>
        </w:tabs>
        <w:suppressAutoHyphens/>
        <w:autoSpaceDN w:val="0"/>
        <w:rPr>
          <w:rFonts w:ascii="Arial" w:eastAsia="Times New Roman" w:hAnsi="Arial" w:cs="Arial"/>
          <w:b/>
          <w:color w:val="000000" w:themeColor="text1"/>
          <w:spacing w:val="-3"/>
          <w:sz w:val="20"/>
          <w:szCs w:val="20"/>
        </w:rPr>
      </w:pPr>
    </w:p>
    <w:p w14:paraId="64F809F2" w14:textId="4C8292DE" w:rsidR="000C7E59" w:rsidRPr="003D1614" w:rsidRDefault="000C7E59" w:rsidP="000C7E59">
      <w:pPr>
        <w:tabs>
          <w:tab w:val="left" w:pos="-720"/>
          <w:tab w:val="left" w:pos="709"/>
        </w:tabs>
        <w:suppressAutoHyphens/>
        <w:autoSpaceDN w:val="0"/>
        <w:rPr>
          <w:rFonts w:ascii="Arial" w:eastAsia="Times New Roman" w:hAnsi="Arial" w:cs="Arial"/>
          <w:b/>
          <w:color w:val="000000" w:themeColor="text1"/>
          <w:spacing w:val="-3"/>
          <w:sz w:val="20"/>
          <w:szCs w:val="20"/>
        </w:rPr>
      </w:pPr>
      <w:r w:rsidRPr="003D1614">
        <w:rPr>
          <w:rFonts w:ascii="Arial" w:eastAsia="Times New Roman" w:hAnsi="Arial" w:cs="Arial"/>
          <w:b/>
          <w:color w:val="000000" w:themeColor="text1"/>
          <w:spacing w:val="-3"/>
          <w:sz w:val="20"/>
          <w:szCs w:val="20"/>
        </w:rPr>
        <w:t>2</w:t>
      </w:r>
      <w:r w:rsidR="00C55B0C">
        <w:rPr>
          <w:rFonts w:ascii="Arial" w:eastAsia="Times New Roman" w:hAnsi="Arial" w:cs="Arial"/>
          <w:b/>
          <w:color w:val="000000" w:themeColor="text1"/>
          <w:spacing w:val="-3"/>
          <w:sz w:val="20"/>
          <w:szCs w:val="20"/>
        </w:rPr>
        <w:t>3</w:t>
      </w:r>
      <w:r w:rsidRPr="003D1614">
        <w:rPr>
          <w:rFonts w:ascii="Arial" w:eastAsia="Times New Roman" w:hAnsi="Arial" w:cs="Arial"/>
          <w:b/>
          <w:color w:val="000000" w:themeColor="text1"/>
          <w:spacing w:val="-3"/>
          <w:sz w:val="20"/>
          <w:szCs w:val="20"/>
        </w:rPr>
        <w:t xml:space="preserve">.5.1.  Kamatni rizik </w:t>
      </w:r>
      <w:r w:rsidRPr="003D1614">
        <w:rPr>
          <w:rFonts w:ascii="Arial" w:eastAsia="Times New Roman" w:hAnsi="Arial" w:cs="Arial"/>
          <w:b/>
          <w:bCs/>
          <w:color w:val="000000" w:themeColor="text1"/>
          <w:sz w:val="20"/>
          <w:szCs w:val="20"/>
        </w:rPr>
        <w:t>(nastavak)</w:t>
      </w:r>
    </w:p>
    <w:p w14:paraId="237AC8C1" w14:textId="77777777" w:rsidR="000C7E59" w:rsidRPr="003D1614" w:rsidRDefault="000C7E59" w:rsidP="000C7E59">
      <w:pPr>
        <w:tabs>
          <w:tab w:val="left" w:pos="-720"/>
        </w:tabs>
        <w:suppressAutoHyphens/>
        <w:autoSpaceDN w:val="0"/>
        <w:jc w:val="both"/>
        <w:rPr>
          <w:rFonts w:ascii="Arial" w:eastAsia="Times New Roman" w:hAnsi="Arial" w:cs="Arial"/>
          <w:color w:val="000000" w:themeColor="text1"/>
          <w:sz w:val="20"/>
          <w:szCs w:val="20"/>
        </w:rPr>
      </w:pPr>
    </w:p>
    <w:p w14:paraId="38745DFE" w14:textId="77777777" w:rsidR="000C7E59" w:rsidRPr="003D1614" w:rsidRDefault="000C7E59" w:rsidP="000C7E59">
      <w:pPr>
        <w:tabs>
          <w:tab w:val="left" w:pos="-720"/>
        </w:tabs>
        <w:suppressAutoHyphens/>
        <w:autoSpaceDN w:val="0"/>
        <w:ind w:right="-5"/>
        <w:jc w:val="both"/>
        <w:rPr>
          <w:rFonts w:ascii="Arial" w:eastAsia="Times New Roman" w:hAnsi="Arial" w:cs="Arial"/>
          <w:color w:val="000000" w:themeColor="text1"/>
          <w:sz w:val="20"/>
          <w:szCs w:val="20"/>
        </w:rPr>
      </w:pPr>
    </w:p>
    <w:tbl>
      <w:tblPr>
        <w:tblW w:w="5662" w:type="pct"/>
        <w:tblInd w:w="-851" w:type="dxa"/>
        <w:tblLayout w:type="fixed"/>
        <w:tblCellMar>
          <w:left w:w="120" w:type="dxa"/>
          <w:right w:w="120" w:type="dxa"/>
        </w:tblCellMar>
        <w:tblLook w:val="0000" w:firstRow="0" w:lastRow="0" w:firstColumn="0" w:lastColumn="0" w:noHBand="0" w:noVBand="0"/>
      </w:tblPr>
      <w:tblGrid>
        <w:gridCol w:w="2339"/>
        <w:gridCol w:w="991"/>
        <w:gridCol w:w="993"/>
        <w:gridCol w:w="992"/>
        <w:gridCol w:w="992"/>
        <w:gridCol w:w="990"/>
        <w:gridCol w:w="992"/>
        <w:gridCol w:w="992"/>
        <w:gridCol w:w="992"/>
      </w:tblGrid>
      <w:tr w:rsidR="00927AD5" w:rsidRPr="00D47D1C" w14:paraId="1DB26043" w14:textId="77777777" w:rsidTr="0034622E">
        <w:trPr>
          <w:trHeight w:val="533"/>
        </w:trPr>
        <w:tc>
          <w:tcPr>
            <w:tcW w:w="1138" w:type="pct"/>
          </w:tcPr>
          <w:p w14:paraId="0E787B73" w14:textId="77777777" w:rsidR="00927AD5" w:rsidRPr="00D47D1C" w:rsidRDefault="00927AD5" w:rsidP="0034622E">
            <w:pPr>
              <w:tabs>
                <w:tab w:val="right" w:pos="1202"/>
              </w:tabs>
              <w:spacing w:line="240" w:lineRule="atLeas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Grupa</w:t>
            </w:r>
          </w:p>
          <w:p w14:paraId="3F249C9B" w14:textId="77777777" w:rsidR="00927AD5" w:rsidRPr="00D47D1C" w:rsidRDefault="00927AD5" w:rsidP="0034622E">
            <w:pPr>
              <w:tabs>
                <w:tab w:val="right" w:pos="1202"/>
              </w:tabs>
              <w:spacing w:line="240" w:lineRule="atLeas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31. prosinca 202</w:t>
            </w:r>
            <w:r>
              <w:rPr>
                <w:rFonts w:ascii="Arial" w:eastAsia="Calibri" w:hAnsi="Arial" w:cs="Arial"/>
                <w:b/>
                <w:color w:val="000000" w:themeColor="text1"/>
                <w:sz w:val="15"/>
                <w:szCs w:val="15"/>
              </w:rPr>
              <w:t>3</w:t>
            </w:r>
            <w:r w:rsidRPr="00D47D1C">
              <w:rPr>
                <w:rFonts w:ascii="Arial" w:eastAsia="Calibri" w:hAnsi="Arial" w:cs="Arial"/>
                <w:b/>
                <w:color w:val="000000" w:themeColor="text1"/>
                <w:sz w:val="15"/>
                <w:szCs w:val="15"/>
              </w:rPr>
              <w:t>.</w:t>
            </w:r>
          </w:p>
        </w:tc>
        <w:tc>
          <w:tcPr>
            <w:tcW w:w="482" w:type="pct"/>
          </w:tcPr>
          <w:p w14:paraId="7A98B821" w14:textId="77777777" w:rsidR="00927AD5" w:rsidRPr="00D47D1C" w:rsidRDefault="00927AD5" w:rsidP="0034622E">
            <w:pPr>
              <w:tabs>
                <w:tab w:val="right" w:pos="1202"/>
              </w:tabs>
              <w:spacing w:line="240" w:lineRule="atLeast"/>
              <w:jc w:val="righ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Do 1 mjesec</w:t>
            </w:r>
          </w:p>
        </w:tc>
        <w:tc>
          <w:tcPr>
            <w:tcW w:w="483" w:type="pct"/>
          </w:tcPr>
          <w:p w14:paraId="4FDCB150" w14:textId="77777777" w:rsidR="00927AD5" w:rsidRPr="00D47D1C" w:rsidRDefault="00927AD5" w:rsidP="0034622E">
            <w:pPr>
              <w:tabs>
                <w:tab w:val="right" w:pos="1202"/>
              </w:tabs>
              <w:spacing w:line="240" w:lineRule="atLeast"/>
              <w:jc w:val="righ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1 do 3 mjeseca</w:t>
            </w:r>
          </w:p>
        </w:tc>
        <w:tc>
          <w:tcPr>
            <w:tcW w:w="483" w:type="pct"/>
          </w:tcPr>
          <w:p w14:paraId="608B367B" w14:textId="77777777" w:rsidR="00927AD5" w:rsidRPr="00D47D1C" w:rsidRDefault="00927AD5" w:rsidP="0034622E">
            <w:pPr>
              <w:tabs>
                <w:tab w:val="right" w:pos="1202"/>
              </w:tabs>
              <w:spacing w:line="240" w:lineRule="atLeast"/>
              <w:jc w:val="righ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3 mj. do 1 godine</w:t>
            </w:r>
          </w:p>
        </w:tc>
        <w:tc>
          <w:tcPr>
            <w:tcW w:w="483" w:type="pct"/>
          </w:tcPr>
          <w:p w14:paraId="57B60684" w14:textId="77777777" w:rsidR="00927AD5" w:rsidRPr="00D47D1C" w:rsidRDefault="00927AD5" w:rsidP="0034622E">
            <w:pPr>
              <w:tabs>
                <w:tab w:val="right" w:pos="1202"/>
              </w:tabs>
              <w:spacing w:line="240" w:lineRule="atLeast"/>
              <w:jc w:val="righ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1 do 3 godina</w:t>
            </w:r>
          </w:p>
        </w:tc>
        <w:tc>
          <w:tcPr>
            <w:tcW w:w="482" w:type="pct"/>
          </w:tcPr>
          <w:p w14:paraId="7D24DD20" w14:textId="77777777" w:rsidR="00927AD5" w:rsidRPr="00D47D1C" w:rsidRDefault="00927AD5" w:rsidP="0034622E">
            <w:pPr>
              <w:tabs>
                <w:tab w:val="right" w:pos="1202"/>
              </w:tabs>
              <w:spacing w:line="240" w:lineRule="atLeast"/>
              <w:jc w:val="righ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Preko 3 godine</w:t>
            </w:r>
          </w:p>
        </w:tc>
        <w:tc>
          <w:tcPr>
            <w:tcW w:w="483" w:type="pct"/>
          </w:tcPr>
          <w:p w14:paraId="0A441967" w14:textId="77777777" w:rsidR="00927AD5" w:rsidRPr="00D47D1C" w:rsidRDefault="00927AD5" w:rsidP="0034622E">
            <w:pPr>
              <w:tabs>
                <w:tab w:val="right" w:pos="1202"/>
              </w:tabs>
              <w:spacing w:line="240" w:lineRule="atLeast"/>
              <w:jc w:val="righ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Beska-matno</w:t>
            </w:r>
          </w:p>
        </w:tc>
        <w:tc>
          <w:tcPr>
            <w:tcW w:w="483" w:type="pct"/>
          </w:tcPr>
          <w:p w14:paraId="718F32CC" w14:textId="77777777" w:rsidR="00927AD5" w:rsidRPr="00D47D1C" w:rsidRDefault="00927AD5" w:rsidP="0034622E">
            <w:pPr>
              <w:tabs>
                <w:tab w:val="right" w:pos="1202"/>
              </w:tabs>
              <w:spacing w:line="240" w:lineRule="atLeast"/>
              <w:jc w:val="righ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Ukupno</w:t>
            </w:r>
          </w:p>
        </w:tc>
        <w:tc>
          <w:tcPr>
            <w:tcW w:w="483" w:type="pct"/>
          </w:tcPr>
          <w:p w14:paraId="1D9CA6A9" w14:textId="77777777" w:rsidR="00927AD5" w:rsidRPr="00D47D1C" w:rsidRDefault="00927AD5" w:rsidP="0034622E">
            <w:pPr>
              <w:tabs>
                <w:tab w:val="right" w:pos="1202"/>
              </w:tabs>
              <w:spacing w:line="240" w:lineRule="atLeast"/>
              <w:jc w:val="righ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Fiksna kamatna stopa</w:t>
            </w:r>
          </w:p>
        </w:tc>
      </w:tr>
      <w:tr w:rsidR="00927AD5" w:rsidRPr="00D47D1C" w14:paraId="59C0CE7C" w14:textId="77777777" w:rsidTr="0034622E">
        <w:trPr>
          <w:trHeight w:val="258"/>
        </w:trPr>
        <w:tc>
          <w:tcPr>
            <w:tcW w:w="1138" w:type="pct"/>
            <w:vAlign w:val="bottom"/>
          </w:tcPr>
          <w:p w14:paraId="5F23AD06" w14:textId="77777777" w:rsidR="00927AD5" w:rsidRPr="00D47D1C" w:rsidRDefault="00927AD5" w:rsidP="0034622E">
            <w:pPr>
              <w:tabs>
                <w:tab w:val="right" w:pos="1202"/>
              </w:tabs>
              <w:spacing w:line="240" w:lineRule="atLeast"/>
              <w:outlineLvl w:val="0"/>
              <w:rPr>
                <w:rFonts w:ascii="Arial" w:eastAsia="Calibri" w:hAnsi="Arial" w:cs="Arial"/>
                <w:b/>
                <w:color w:val="000000" w:themeColor="text1"/>
                <w:sz w:val="15"/>
                <w:szCs w:val="15"/>
              </w:rPr>
            </w:pPr>
          </w:p>
        </w:tc>
        <w:tc>
          <w:tcPr>
            <w:tcW w:w="482" w:type="pct"/>
          </w:tcPr>
          <w:p w14:paraId="76B1B257" w14:textId="77777777" w:rsidR="00927AD5" w:rsidRPr="00D47D1C" w:rsidRDefault="00927AD5" w:rsidP="0034622E">
            <w:pPr>
              <w:tabs>
                <w:tab w:val="right" w:pos="1202"/>
              </w:tabs>
              <w:spacing w:line="240" w:lineRule="atLeast"/>
              <w:jc w:val="righ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 xml:space="preserve">000 </w:t>
            </w:r>
            <w:r>
              <w:rPr>
                <w:rFonts w:ascii="Arial" w:eastAsia="Calibri" w:hAnsi="Arial" w:cs="Arial"/>
                <w:b/>
                <w:color w:val="000000" w:themeColor="text1"/>
                <w:sz w:val="15"/>
                <w:szCs w:val="15"/>
              </w:rPr>
              <w:t>eura</w:t>
            </w:r>
          </w:p>
        </w:tc>
        <w:tc>
          <w:tcPr>
            <w:tcW w:w="483" w:type="pct"/>
          </w:tcPr>
          <w:p w14:paraId="1A13BAC7" w14:textId="77777777" w:rsidR="00927AD5" w:rsidRPr="00D47D1C" w:rsidRDefault="00927AD5" w:rsidP="0034622E">
            <w:pPr>
              <w:tabs>
                <w:tab w:val="right" w:pos="1202"/>
              </w:tabs>
              <w:spacing w:line="240" w:lineRule="atLeast"/>
              <w:jc w:val="righ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 xml:space="preserve">000 </w:t>
            </w:r>
            <w:r>
              <w:rPr>
                <w:rFonts w:ascii="Arial" w:eastAsia="Calibri" w:hAnsi="Arial" w:cs="Arial"/>
                <w:b/>
                <w:color w:val="000000" w:themeColor="text1"/>
                <w:sz w:val="15"/>
                <w:szCs w:val="15"/>
              </w:rPr>
              <w:t>eura</w:t>
            </w:r>
          </w:p>
        </w:tc>
        <w:tc>
          <w:tcPr>
            <w:tcW w:w="483" w:type="pct"/>
          </w:tcPr>
          <w:p w14:paraId="01F131D9" w14:textId="77777777" w:rsidR="00927AD5" w:rsidRPr="00D47D1C" w:rsidRDefault="00927AD5" w:rsidP="0034622E">
            <w:pPr>
              <w:tabs>
                <w:tab w:val="right" w:pos="1202"/>
              </w:tabs>
              <w:spacing w:line="240" w:lineRule="atLeast"/>
              <w:jc w:val="righ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 xml:space="preserve">000 </w:t>
            </w:r>
            <w:r>
              <w:rPr>
                <w:rFonts w:ascii="Arial" w:eastAsia="Calibri" w:hAnsi="Arial" w:cs="Arial"/>
                <w:b/>
                <w:color w:val="000000" w:themeColor="text1"/>
                <w:sz w:val="15"/>
                <w:szCs w:val="15"/>
              </w:rPr>
              <w:t>eura</w:t>
            </w:r>
          </w:p>
        </w:tc>
        <w:tc>
          <w:tcPr>
            <w:tcW w:w="483" w:type="pct"/>
          </w:tcPr>
          <w:p w14:paraId="1D12053C" w14:textId="77777777" w:rsidR="00927AD5" w:rsidRPr="00D47D1C" w:rsidRDefault="00927AD5" w:rsidP="0034622E">
            <w:pPr>
              <w:tabs>
                <w:tab w:val="right" w:pos="1202"/>
              </w:tabs>
              <w:spacing w:line="240" w:lineRule="atLeast"/>
              <w:jc w:val="righ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 xml:space="preserve">000 </w:t>
            </w:r>
            <w:r>
              <w:rPr>
                <w:rFonts w:ascii="Arial" w:eastAsia="Calibri" w:hAnsi="Arial" w:cs="Arial"/>
                <w:b/>
                <w:color w:val="000000" w:themeColor="text1"/>
                <w:sz w:val="15"/>
                <w:szCs w:val="15"/>
              </w:rPr>
              <w:t>eura</w:t>
            </w:r>
          </w:p>
        </w:tc>
        <w:tc>
          <w:tcPr>
            <w:tcW w:w="482" w:type="pct"/>
          </w:tcPr>
          <w:p w14:paraId="575F9980" w14:textId="77777777" w:rsidR="00927AD5" w:rsidRPr="00D47D1C" w:rsidRDefault="00927AD5" w:rsidP="0034622E">
            <w:pPr>
              <w:tabs>
                <w:tab w:val="right" w:pos="1202"/>
              </w:tabs>
              <w:spacing w:line="240" w:lineRule="atLeast"/>
              <w:jc w:val="righ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 xml:space="preserve">000 </w:t>
            </w:r>
            <w:r>
              <w:rPr>
                <w:rFonts w:ascii="Arial" w:eastAsia="Calibri" w:hAnsi="Arial" w:cs="Arial"/>
                <w:b/>
                <w:color w:val="000000" w:themeColor="text1"/>
                <w:sz w:val="15"/>
                <w:szCs w:val="15"/>
              </w:rPr>
              <w:t>eura</w:t>
            </w:r>
          </w:p>
        </w:tc>
        <w:tc>
          <w:tcPr>
            <w:tcW w:w="483" w:type="pct"/>
          </w:tcPr>
          <w:p w14:paraId="0990B804" w14:textId="77777777" w:rsidR="00927AD5" w:rsidRPr="00D47D1C" w:rsidRDefault="00927AD5" w:rsidP="0034622E">
            <w:pPr>
              <w:tabs>
                <w:tab w:val="right" w:pos="1202"/>
              </w:tabs>
              <w:spacing w:line="240" w:lineRule="atLeast"/>
              <w:jc w:val="righ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 xml:space="preserve">000 </w:t>
            </w:r>
            <w:r>
              <w:rPr>
                <w:rFonts w:ascii="Arial" w:eastAsia="Calibri" w:hAnsi="Arial" w:cs="Arial"/>
                <w:b/>
                <w:color w:val="000000" w:themeColor="text1"/>
                <w:sz w:val="15"/>
                <w:szCs w:val="15"/>
              </w:rPr>
              <w:t>eura</w:t>
            </w:r>
          </w:p>
        </w:tc>
        <w:tc>
          <w:tcPr>
            <w:tcW w:w="483" w:type="pct"/>
          </w:tcPr>
          <w:p w14:paraId="0FF0363E" w14:textId="77777777" w:rsidR="00927AD5" w:rsidRPr="00D47D1C" w:rsidRDefault="00927AD5" w:rsidP="0034622E">
            <w:pPr>
              <w:tabs>
                <w:tab w:val="right" w:pos="1202"/>
              </w:tabs>
              <w:spacing w:line="240" w:lineRule="atLeast"/>
              <w:jc w:val="righ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 xml:space="preserve">000 </w:t>
            </w:r>
            <w:r>
              <w:rPr>
                <w:rFonts w:ascii="Arial" w:eastAsia="Calibri" w:hAnsi="Arial" w:cs="Arial"/>
                <w:b/>
                <w:color w:val="000000" w:themeColor="text1"/>
                <w:sz w:val="15"/>
                <w:szCs w:val="15"/>
              </w:rPr>
              <w:t>eura</w:t>
            </w:r>
          </w:p>
        </w:tc>
        <w:tc>
          <w:tcPr>
            <w:tcW w:w="483" w:type="pct"/>
          </w:tcPr>
          <w:p w14:paraId="0D5D9243" w14:textId="77777777" w:rsidR="00927AD5" w:rsidRPr="00D47D1C" w:rsidRDefault="00927AD5" w:rsidP="0034622E">
            <w:pPr>
              <w:tabs>
                <w:tab w:val="right" w:pos="1202"/>
              </w:tabs>
              <w:spacing w:line="240" w:lineRule="atLeast"/>
              <w:jc w:val="righ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 xml:space="preserve">000 </w:t>
            </w:r>
            <w:r>
              <w:rPr>
                <w:rFonts w:ascii="Arial" w:eastAsia="Calibri" w:hAnsi="Arial" w:cs="Arial"/>
                <w:b/>
                <w:color w:val="000000" w:themeColor="text1"/>
                <w:sz w:val="15"/>
                <w:szCs w:val="15"/>
              </w:rPr>
              <w:t>eura</w:t>
            </w:r>
          </w:p>
        </w:tc>
      </w:tr>
      <w:tr w:rsidR="00927AD5" w:rsidRPr="00D47D1C" w14:paraId="5652941B" w14:textId="77777777" w:rsidTr="0034622E">
        <w:trPr>
          <w:trHeight w:val="227"/>
        </w:trPr>
        <w:tc>
          <w:tcPr>
            <w:tcW w:w="1138" w:type="pct"/>
            <w:vAlign w:val="bottom"/>
          </w:tcPr>
          <w:p w14:paraId="54BE4316" w14:textId="77777777" w:rsidR="00927AD5" w:rsidRPr="00D47D1C" w:rsidRDefault="00927AD5" w:rsidP="0034622E">
            <w:pPr>
              <w:tabs>
                <w:tab w:val="left" w:pos="-720"/>
              </w:tabs>
              <w:suppressAutoHyphens/>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Imovina</w:t>
            </w:r>
          </w:p>
        </w:tc>
        <w:tc>
          <w:tcPr>
            <w:tcW w:w="482" w:type="pct"/>
          </w:tcPr>
          <w:p w14:paraId="22208D3E" w14:textId="77777777" w:rsidR="00927AD5" w:rsidRPr="00D47D1C" w:rsidRDefault="00927AD5" w:rsidP="0034622E">
            <w:pPr>
              <w:tabs>
                <w:tab w:val="left" w:pos="-720"/>
              </w:tabs>
              <w:suppressAutoHyphens/>
              <w:jc w:val="right"/>
              <w:rPr>
                <w:rFonts w:ascii="Arial" w:eastAsia="Calibri" w:hAnsi="Arial" w:cs="Arial"/>
                <w:color w:val="000000" w:themeColor="text1"/>
                <w:sz w:val="15"/>
                <w:szCs w:val="15"/>
              </w:rPr>
            </w:pPr>
          </w:p>
        </w:tc>
        <w:tc>
          <w:tcPr>
            <w:tcW w:w="483" w:type="pct"/>
          </w:tcPr>
          <w:p w14:paraId="55D74CBA" w14:textId="77777777" w:rsidR="00927AD5" w:rsidRPr="00D47D1C" w:rsidRDefault="00927AD5" w:rsidP="0034622E">
            <w:pPr>
              <w:tabs>
                <w:tab w:val="left" w:pos="-720"/>
              </w:tabs>
              <w:suppressAutoHyphens/>
              <w:jc w:val="right"/>
              <w:rPr>
                <w:rFonts w:ascii="Arial" w:eastAsia="Calibri" w:hAnsi="Arial" w:cs="Arial"/>
                <w:color w:val="000000" w:themeColor="text1"/>
                <w:sz w:val="15"/>
                <w:szCs w:val="15"/>
              </w:rPr>
            </w:pPr>
          </w:p>
        </w:tc>
        <w:tc>
          <w:tcPr>
            <w:tcW w:w="483" w:type="pct"/>
          </w:tcPr>
          <w:p w14:paraId="3FA7672B" w14:textId="77777777" w:rsidR="00927AD5" w:rsidRPr="00D47D1C" w:rsidRDefault="00927AD5" w:rsidP="0034622E">
            <w:pPr>
              <w:tabs>
                <w:tab w:val="left" w:pos="-720"/>
              </w:tabs>
              <w:suppressAutoHyphens/>
              <w:jc w:val="right"/>
              <w:rPr>
                <w:rFonts w:ascii="Arial" w:eastAsia="Calibri" w:hAnsi="Arial" w:cs="Arial"/>
                <w:color w:val="000000" w:themeColor="text1"/>
                <w:sz w:val="15"/>
                <w:szCs w:val="15"/>
              </w:rPr>
            </w:pPr>
          </w:p>
        </w:tc>
        <w:tc>
          <w:tcPr>
            <w:tcW w:w="483" w:type="pct"/>
          </w:tcPr>
          <w:p w14:paraId="142DB02B" w14:textId="77777777" w:rsidR="00927AD5" w:rsidRPr="00D47D1C" w:rsidRDefault="00927AD5" w:rsidP="0034622E">
            <w:pPr>
              <w:tabs>
                <w:tab w:val="left" w:pos="-720"/>
              </w:tabs>
              <w:suppressAutoHyphens/>
              <w:jc w:val="right"/>
              <w:rPr>
                <w:rFonts w:ascii="Arial" w:eastAsia="Calibri" w:hAnsi="Arial" w:cs="Arial"/>
                <w:color w:val="000000" w:themeColor="text1"/>
                <w:sz w:val="15"/>
                <w:szCs w:val="15"/>
              </w:rPr>
            </w:pPr>
          </w:p>
        </w:tc>
        <w:tc>
          <w:tcPr>
            <w:tcW w:w="482" w:type="pct"/>
          </w:tcPr>
          <w:p w14:paraId="37CC2967" w14:textId="77777777" w:rsidR="00927AD5" w:rsidRPr="00D47D1C" w:rsidRDefault="00927AD5" w:rsidP="0034622E">
            <w:pPr>
              <w:tabs>
                <w:tab w:val="left" w:pos="-720"/>
              </w:tabs>
              <w:suppressAutoHyphens/>
              <w:jc w:val="right"/>
              <w:rPr>
                <w:rFonts w:ascii="Arial" w:eastAsia="Calibri" w:hAnsi="Arial" w:cs="Arial"/>
                <w:color w:val="000000" w:themeColor="text1"/>
                <w:sz w:val="15"/>
                <w:szCs w:val="15"/>
              </w:rPr>
            </w:pPr>
          </w:p>
        </w:tc>
        <w:tc>
          <w:tcPr>
            <w:tcW w:w="483" w:type="pct"/>
          </w:tcPr>
          <w:p w14:paraId="2E5D2EB5" w14:textId="77777777" w:rsidR="00927AD5" w:rsidRPr="00D47D1C" w:rsidRDefault="00927AD5" w:rsidP="0034622E">
            <w:pPr>
              <w:tabs>
                <w:tab w:val="left" w:pos="-720"/>
              </w:tabs>
              <w:suppressAutoHyphens/>
              <w:spacing w:line="360" w:lineRule="auto"/>
              <w:jc w:val="right"/>
              <w:rPr>
                <w:rFonts w:ascii="Arial" w:eastAsia="Calibri" w:hAnsi="Arial" w:cs="Arial"/>
                <w:color w:val="000000" w:themeColor="text1"/>
                <w:sz w:val="15"/>
                <w:szCs w:val="15"/>
              </w:rPr>
            </w:pPr>
          </w:p>
        </w:tc>
        <w:tc>
          <w:tcPr>
            <w:tcW w:w="483" w:type="pct"/>
          </w:tcPr>
          <w:p w14:paraId="47D5AADF" w14:textId="77777777" w:rsidR="00927AD5" w:rsidRPr="00D47D1C" w:rsidRDefault="00927AD5" w:rsidP="0034622E">
            <w:pPr>
              <w:tabs>
                <w:tab w:val="left" w:pos="-720"/>
              </w:tabs>
              <w:suppressAutoHyphens/>
              <w:jc w:val="right"/>
              <w:rPr>
                <w:rFonts w:ascii="Arial" w:eastAsia="Calibri" w:hAnsi="Arial" w:cs="Arial"/>
                <w:color w:val="000000" w:themeColor="text1"/>
                <w:sz w:val="15"/>
                <w:szCs w:val="15"/>
              </w:rPr>
            </w:pPr>
          </w:p>
        </w:tc>
        <w:tc>
          <w:tcPr>
            <w:tcW w:w="483" w:type="pct"/>
          </w:tcPr>
          <w:p w14:paraId="6B091409" w14:textId="77777777" w:rsidR="00927AD5" w:rsidRPr="00D47D1C" w:rsidRDefault="00927AD5" w:rsidP="0034622E">
            <w:pPr>
              <w:tabs>
                <w:tab w:val="left" w:pos="-720"/>
              </w:tabs>
              <w:suppressAutoHyphens/>
              <w:jc w:val="right"/>
              <w:rPr>
                <w:rFonts w:ascii="Arial" w:eastAsia="Calibri" w:hAnsi="Arial" w:cs="Arial"/>
                <w:color w:val="000000" w:themeColor="text1"/>
                <w:sz w:val="15"/>
                <w:szCs w:val="15"/>
              </w:rPr>
            </w:pPr>
          </w:p>
        </w:tc>
      </w:tr>
      <w:tr w:rsidR="00927AD5" w:rsidRPr="00D47D1C" w14:paraId="40C3498A" w14:textId="77777777" w:rsidTr="0034622E">
        <w:trPr>
          <w:trHeight w:val="217"/>
        </w:trPr>
        <w:tc>
          <w:tcPr>
            <w:tcW w:w="1138" w:type="pct"/>
            <w:vAlign w:val="bottom"/>
          </w:tcPr>
          <w:p w14:paraId="3908ACF2" w14:textId="77777777" w:rsidR="00927AD5" w:rsidRPr="00D47D1C" w:rsidRDefault="00927AD5" w:rsidP="0034622E">
            <w:pPr>
              <w:tabs>
                <w:tab w:val="left" w:pos="-720"/>
              </w:tabs>
              <w:suppressAutoHyphens/>
              <w:spacing w:line="240" w:lineRule="exact"/>
              <w:rPr>
                <w:rFonts w:ascii="Arial" w:eastAsia="Calibri" w:hAnsi="Arial" w:cs="Arial"/>
                <w:color w:val="000000" w:themeColor="text1"/>
                <w:sz w:val="15"/>
                <w:szCs w:val="15"/>
              </w:rPr>
            </w:pPr>
            <w:r w:rsidRPr="00D47D1C">
              <w:rPr>
                <w:rFonts w:ascii="Arial" w:eastAsia="Calibri" w:hAnsi="Arial" w:cs="Arial"/>
                <w:color w:val="000000" w:themeColor="text1"/>
                <w:sz w:val="15"/>
                <w:szCs w:val="15"/>
              </w:rPr>
              <w:t>Novčana sredstva i računi kod banaka</w:t>
            </w:r>
          </w:p>
        </w:tc>
        <w:tc>
          <w:tcPr>
            <w:tcW w:w="482" w:type="pct"/>
            <w:vAlign w:val="bottom"/>
          </w:tcPr>
          <w:p w14:paraId="1CDF914A" w14:textId="77777777" w:rsidR="00927AD5" w:rsidRPr="00D47D1C" w:rsidRDefault="00927AD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42.133 </w:t>
            </w:r>
          </w:p>
        </w:tc>
        <w:tc>
          <w:tcPr>
            <w:tcW w:w="483" w:type="pct"/>
            <w:vAlign w:val="bottom"/>
          </w:tcPr>
          <w:p w14:paraId="47D58166" w14:textId="77777777" w:rsidR="00927AD5" w:rsidRPr="00D47D1C" w:rsidRDefault="00927AD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 </w:t>
            </w:r>
          </w:p>
        </w:tc>
        <w:tc>
          <w:tcPr>
            <w:tcW w:w="483" w:type="pct"/>
            <w:vAlign w:val="bottom"/>
          </w:tcPr>
          <w:p w14:paraId="64D204C3" w14:textId="77777777" w:rsidR="00927AD5" w:rsidRPr="00D47D1C" w:rsidRDefault="00927AD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 </w:t>
            </w:r>
          </w:p>
        </w:tc>
        <w:tc>
          <w:tcPr>
            <w:tcW w:w="483" w:type="pct"/>
            <w:vAlign w:val="bottom"/>
          </w:tcPr>
          <w:p w14:paraId="680D9D74" w14:textId="77777777" w:rsidR="00927AD5" w:rsidRPr="00D47D1C" w:rsidRDefault="00927AD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 </w:t>
            </w:r>
          </w:p>
        </w:tc>
        <w:tc>
          <w:tcPr>
            <w:tcW w:w="482" w:type="pct"/>
            <w:vAlign w:val="bottom"/>
          </w:tcPr>
          <w:p w14:paraId="6D5E6B91" w14:textId="77777777" w:rsidR="00927AD5" w:rsidRPr="00D47D1C" w:rsidRDefault="00927AD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 </w:t>
            </w:r>
          </w:p>
        </w:tc>
        <w:tc>
          <w:tcPr>
            <w:tcW w:w="483" w:type="pct"/>
            <w:vAlign w:val="bottom"/>
          </w:tcPr>
          <w:p w14:paraId="5A518040" w14:textId="77777777" w:rsidR="00927AD5" w:rsidRPr="00D47D1C" w:rsidRDefault="00927AD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 </w:t>
            </w:r>
          </w:p>
        </w:tc>
        <w:tc>
          <w:tcPr>
            <w:tcW w:w="483" w:type="pct"/>
            <w:vAlign w:val="bottom"/>
          </w:tcPr>
          <w:p w14:paraId="03B20AB8" w14:textId="77777777" w:rsidR="00927AD5" w:rsidRPr="00D47D1C" w:rsidRDefault="00927AD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42.133 </w:t>
            </w:r>
          </w:p>
        </w:tc>
        <w:tc>
          <w:tcPr>
            <w:tcW w:w="483" w:type="pct"/>
            <w:vAlign w:val="bottom"/>
          </w:tcPr>
          <w:p w14:paraId="6051E4CC" w14:textId="77777777" w:rsidR="00927AD5" w:rsidRPr="00D47D1C" w:rsidRDefault="00927AD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42.133 </w:t>
            </w:r>
          </w:p>
        </w:tc>
      </w:tr>
      <w:tr w:rsidR="00927AD5" w:rsidRPr="00D47D1C" w14:paraId="0960AF4B" w14:textId="77777777" w:rsidTr="0034622E">
        <w:trPr>
          <w:trHeight w:val="206"/>
        </w:trPr>
        <w:tc>
          <w:tcPr>
            <w:tcW w:w="1138" w:type="pct"/>
            <w:vAlign w:val="bottom"/>
          </w:tcPr>
          <w:p w14:paraId="1EE90E66" w14:textId="77777777" w:rsidR="00927AD5" w:rsidRPr="00D47D1C" w:rsidRDefault="00927AD5" w:rsidP="0034622E">
            <w:pPr>
              <w:tabs>
                <w:tab w:val="left" w:pos="-720"/>
              </w:tabs>
              <w:suppressAutoHyphens/>
              <w:spacing w:line="240" w:lineRule="exact"/>
              <w:rPr>
                <w:rFonts w:ascii="Arial" w:eastAsia="Calibri" w:hAnsi="Arial" w:cs="Arial"/>
                <w:color w:val="000000" w:themeColor="text1"/>
                <w:sz w:val="15"/>
                <w:szCs w:val="15"/>
              </w:rPr>
            </w:pPr>
            <w:r w:rsidRPr="00D47D1C">
              <w:rPr>
                <w:rFonts w:ascii="Arial" w:eastAsia="Calibri" w:hAnsi="Arial" w:cs="Arial"/>
                <w:color w:val="000000" w:themeColor="text1"/>
                <w:sz w:val="15"/>
                <w:szCs w:val="15"/>
              </w:rPr>
              <w:t>Depoziti kod drugih banaka</w:t>
            </w:r>
          </w:p>
        </w:tc>
        <w:tc>
          <w:tcPr>
            <w:tcW w:w="482" w:type="pct"/>
            <w:vAlign w:val="bottom"/>
          </w:tcPr>
          <w:p w14:paraId="6DDA1BAB" w14:textId="77777777" w:rsidR="00927AD5" w:rsidRPr="00D47D1C" w:rsidRDefault="00927AD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70.431 </w:t>
            </w:r>
          </w:p>
        </w:tc>
        <w:tc>
          <w:tcPr>
            <w:tcW w:w="483" w:type="pct"/>
            <w:vAlign w:val="bottom"/>
          </w:tcPr>
          <w:p w14:paraId="63646D4C" w14:textId="77777777" w:rsidR="00927AD5" w:rsidRPr="00D47D1C" w:rsidRDefault="00927AD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 </w:t>
            </w:r>
          </w:p>
        </w:tc>
        <w:tc>
          <w:tcPr>
            <w:tcW w:w="483" w:type="pct"/>
            <w:vAlign w:val="bottom"/>
          </w:tcPr>
          <w:p w14:paraId="1EC1F851" w14:textId="77777777" w:rsidR="00927AD5" w:rsidRPr="00D47D1C" w:rsidRDefault="00927AD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 </w:t>
            </w:r>
          </w:p>
        </w:tc>
        <w:tc>
          <w:tcPr>
            <w:tcW w:w="483" w:type="pct"/>
            <w:vAlign w:val="bottom"/>
          </w:tcPr>
          <w:p w14:paraId="126010FF" w14:textId="77777777" w:rsidR="00927AD5" w:rsidRPr="00D47D1C" w:rsidRDefault="00927AD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 </w:t>
            </w:r>
          </w:p>
        </w:tc>
        <w:tc>
          <w:tcPr>
            <w:tcW w:w="482" w:type="pct"/>
            <w:vAlign w:val="bottom"/>
          </w:tcPr>
          <w:p w14:paraId="0A78CAC0" w14:textId="77777777" w:rsidR="00927AD5" w:rsidRPr="00D47D1C" w:rsidRDefault="00927AD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 </w:t>
            </w:r>
          </w:p>
        </w:tc>
        <w:tc>
          <w:tcPr>
            <w:tcW w:w="483" w:type="pct"/>
            <w:vAlign w:val="bottom"/>
          </w:tcPr>
          <w:p w14:paraId="5706DF7F" w14:textId="77777777" w:rsidR="00927AD5" w:rsidRPr="00D47D1C" w:rsidRDefault="00927AD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1.330 </w:t>
            </w:r>
          </w:p>
        </w:tc>
        <w:tc>
          <w:tcPr>
            <w:tcW w:w="483" w:type="pct"/>
            <w:vAlign w:val="bottom"/>
          </w:tcPr>
          <w:p w14:paraId="3DB8EA5F" w14:textId="77777777" w:rsidR="00927AD5" w:rsidRPr="00D47D1C" w:rsidRDefault="00927AD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71.761 </w:t>
            </w:r>
          </w:p>
        </w:tc>
        <w:tc>
          <w:tcPr>
            <w:tcW w:w="483" w:type="pct"/>
            <w:vAlign w:val="bottom"/>
          </w:tcPr>
          <w:p w14:paraId="7A04132D" w14:textId="77777777" w:rsidR="00927AD5" w:rsidRPr="00D47D1C" w:rsidRDefault="00927AD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70.431 </w:t>
            </w:r>
          </w:p>
        </w:tc>
      </w:tr>
      <w:tr w:rsidR="00927AD5" w:rsidRPr="00D47D1C" w14:paraId="151307F2" w14:textId="77777777" w:rsidTr="0034622E">
        <w:trPr>
          <w:trHeight w:val="164"/>
        </w:trPr>
        <w:tc>
          <w:tcPr>
            <w:tcW w:w="1138" w:type="pct"/>
            <w:vAlign w:val="bottom"/>
          </w:tcPr>
          <w:p w14:paraId="5D319328" w14:textId="77777777" w:rsidR="00927AD5" w:rsidRPr="00D47D1C" w:rsidRDefault="00927AD5" w:rsidP="0034622E">
            <w:pPr>
              <w:tabs>
                <w:tab w:val="left" w:pos="-720"/>
              </w:tabs>
              <w:suppressAutoHyphens/>
              <w:spacing w:line="240" w:lineRule="exact"/>
              <w:rPr>
                <w:rFonts w:ascii="Arial" w:eastAsia="Calibri" w:hAnsi="Arial" w:cs="Arial"/>
                <w:color w:val="000000" w:themeColor="text1"/>
                <w:sz w:val="15"/>
                <w:szCs w:val="15"/>
              </w:rPr>
            </w:pPr>
            <w:r w:rsidRPr="00D47D1C">
              <w:rPr>
                <w:rFonts w:ascii="Arial" w:eastAsia="Calibri" w:hAnsi="Arial" w:cs="Arial"/>
                <w:color w:val="000000" w:themeColor="text1"/>
                <w:sz w:val="15"/>
                <w:szCs w:val="15"/>
              </w:rPr>
              <w:t>Krediti financijskim institucijama</w:t>
            </w:r>
          </w:p>
        </w:tc>
        <w:tc>
          <w:tcPr>
            <w:tcW w:w="482" w:type="pct"/>
            <w:tcBorders>
              <w:top w:val="nil"/>
              <w:left w:val="nil"/>
              <w:bottom w:val="nil"/>
              <w:right w:val="nil"/>
            </w:tcBorders>
            <w:vAlign w:val="bottom"/>
          </w:tcPr>
          <w:p w14:paraId="51E7473D" w14:textId="77777777" w:rsidR="00927AD5" w:rsidRPr="00D47D1C" w:rsidRDefault="00927AD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87.993 </w:t>
            </w:r>
          </w:p>
        </w:tc>
        <w:tc>
          <w:tcPr>
            <w:tcW w:w="483" w:type="pct"/>
            <w:tcBorders>
              <w:top w:val="nil"/>
              <w:left w:val="nil"/>
              <w:bottom w:val="nil"/>
              <w:right w:val="nil"/>
            </w:tcBorders>
            <w:vAlign w:val="bottom"/>
          </w:tcPr>
          <w:p w14:paraId="30A4C39B" w14:textId="77777777" w:rsidR="00927AD5" w:rsidRPr="00D47D1C" w:rsidRDefault="00927AD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168.026 </w:t>
            </w:r>
          </w:p>
        </w:tc>
        <w:tc>
          <w:tcPr>
            <w:tcW w:w="483" w:type="pct"/>
            <w:tcBorders>
              <w:top w:val="nil"/>
              <w:left w:val="nil"/>
              <w:bottom w:val="nil"/>
              <w:right w:val="nil"/>
            </w:tcBorders>
            <w:vAlign w:val="bottom"/>
          </w:tcPr>
          <w:p w14:paraId="3BF0DFFC" w14:textId="77777777" w:rsidR="00927AD5" w:rsidRPr="00D47D1C" w:rsidRDefault="00927AD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128.016 </w:t>
            </w:r>
          </w:p>
        </w:tc>
        <w:tc>
          <w:tcPr>
            <w:tcW w:w="483" w:type="pct"/>
            <w:tcBorders>
              <w:top w:val="nil"/>
              <w:left w:val="nil"/>
              <w:bottom w:val="nil"/>
              <w:right w:val="nil"/>
            </w:tcBorders>
            <w:vAlign w:val="bottom"/>
          </w:tcPr>
          <w:p w14:paraId="22CD95C0" w14:textId="77777777" w:rsidR="00927AD5" w:rsidRPr="00D47D1C" w:rsidRDefault="00927AD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301.413 </w:t>
            </w:r>
          </w:p>
        </w:tc>
        <w:tc>
          <w:tcPr>
            <w:tcW w:w="482" w:type="pct"/>
            <w:tcBorders>
              <w:top w:val="nil"/>
              <w:left w:val="nil"/>
              <w:bottom w:val="nil"/>
              <w:right w:val="nil"/>
            </w:tcBorders>
            <w:vAlign w:val="bottom"/>
          </w:tcPr>
          <w:p w14:paraId="43F69A00" w14:textId="77777777" w:rsidR="00927AD5" w:rsidRPr="00D47D1C" w:rsidRDefault="00927AD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561.073 </w:t>
            </w:r>
          </w:p>
        </w:tc>
        <w:tc>
          <w:tcPr>
            <w:tcW w:w="483" w:type="pct"/>
            <w:tcBorders>
              <w:top w:val="nil"/>
              <w:left w:val="nil"/>
              <w:bottom w:val="nil"/>
              <w:right w:val="nil"/>
            </w:tcBorders>
            <w:vAlign w:val="bottom"/>
          </w:tcPr>
          <w:p w14:paraId="667ED521" w14:textId="77777777" w:rsidR="00927AD5" w:rsidRPr="00D47D1C" w:rsidRDefault="00927AD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2.360 </w:t>
            </w:r>
          </w:p>
        </w:tc>
        <w:tc>
          <w:tcPr>
            <w:tcW w:w="483" w:type="pct"/>
            <w:tcBorders>
              <w:top w:val="nil"/>
              <w:left w:val="nil"/>
              <w:bottom w:val="nil"/>
              <w:right w:val="nil"/>
            </w:tcBorders>
            <w:vAlign w:val="bottom"/>
          </w:tcPr>
          <w:p w14:paraId="2AC338BE" w14:textId="77777777" w:rsidR="00927AD5" w:rsidRPr="00D47D1C" w:rsidRDefault="00927AD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1.248.881 </w:t>
            </w:r>
          </w:p>
        </w:tc>
        <w:tc>
          <w:tcPr>
            <w:tcW w:w="483" w:type="pct"/>
            <w:tcBorders>
              <w:top w:val="nil"/>
              <w:left w:val="nil"/>
              <w:bottom w:val="nil"/>
              <w:right w:val="nil"/>
            </w:tcBorders>
            <w:vAlign w:val="bottom"/>
          </w:tcPr>
          <w:p w14:paraId="1E649E21" w14:textId="77777777" w:rsidR="00927AD5" w:rsidRPr="00D47D1C" w:rsidRDefault="00927AD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1.235.651 </w:t>
            </w:r>
          </w:p>
        </w:tc>
      </w:tr>
      <w:tr w:rsidR="00927AD5" w:rsidRPr="00D47D1C" w14:paraId="428F9C5B" w14:textId="77777777" w:rsidTr="0034622E">
        <w:trPr>
          <w:trHeight w:val="92"/>
        </w:trPr>
        <w:tc>
          <w:tcPr>
            <w:tcW w:w="1138" w:type="pct"/>
            <w:vAlign w:val="bottom"/>
          </w:tcPr>
          <w:p w14:paraId="16248BFC" w14:textId="77777777" w:rsidR="00927AD5" w:rsidRPr="00D47D1C" w:rsidRDefault="00927AD5" w:rsidP="0034622E">
            <w:pPr>
              <w:tabs>
                <w:tab w:val="left" w:pos="-720"/>
              </w:tabs>
              <w:suppressAutoHyphens/>
              <w:spacing w:line="240" w:lineRule="exact"/>
              <w:rPr>
                <w:rFonts w:ascii="Arial" w:eastAsia="Calibri" w:hAnsi="Arial" w:cs="Arial"/>
                <w:color w:val="000000" w:themeColor="text1"/>
                <w:sz w:val="15"/>
                <w:szCs w:val="15"/>
              </w:rPr>
            </w:pPr>
            <w:r w:rsidRPr="00D47D1C">
              <w:rPr>
                <w:rFonts w:ascii="Arial" w:eastAsia="Calibri" w:hAnsi="Arial" w:cs="Arial"/>
                <w:color w:val="000000" w:themeColor="text1"/>
                <w:sz w:val="15"/>
                <w:szCs w:val="15"/>
              </w:rPr>
              <w:t>Krediti ostalim korisnicima</w:t>
            </w:r>
          </w:p>
        </w:tc>
        <w:tc>
          <w:tcPr>
            <w:tcW w:w="482" w:type="pct"/>
            <w:tcBorders>
              <w:top w:val="nil"/>
              <w:left w:val="nil"/>
              <w:bottom w:val="nil"/>
              <w:right w:val="nil"/>
            </w:tcBorders>
            <w:vAlign w:val="bottom"/>
          </w:tcPr>
          <w:p w14:paraId="131AF773" w14:textId="77777777" w:rsidR="00927AD5" w:rsidRPr="00D47D1C" w:rsidRDefault="00927AD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239.908 </w:t>
            </w:r>
          </w:p>
        </w:tc>
        <w:tc>
          <w:tcPr>
            <w:tcW w:w="483" w:type="pct"/>
            <w:tcBorders>
              <w:top w:val="nil"/>
              <w:left w:val="nil"/>
              <w:bottom w:val="nil"/>
              <w:right w:val="nil"/>
            </w:tcBorders>
            <w:vAlign w:val="bottom"/>
          </w:tcPr>
          <w:p w14:paraId="0C93B366" w14:textId="77777777" w:rsidR="00927AD5" w:rsidRPr="00D47D1C" w:rsidRDefault="00927AD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94.026 </w:t>
            </w:r>
          </w:p>
        </w:tc>
        <w:tc>
          <w:tcPr>
            <w:tcW w:w="483" w:type="pct"/>
            <w:tcBorders>
              <w:top w:val="nil"/>
              <w:left w:val="nil"/>
              <w:bottom w:val="nil"/>
              <w:right w:val="nil"/>
            </w:tcBorders>
            <w:vAlign w:val="bottom"/>
          </w:tcPr>
          <w:p w14:paraId="19560183" w14:textId="77777777" w:rsidR="00927AD5" w:rsidRPr="00D47D1C" w:rsidRDefault="00927AD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284.057 </w:t>
            </w:r>
          </w:p>
        </w:tc>
        <w:tc>
          <w:tcPr>
            <w:tcW w:w="483" w:type="pct"/>
            <w:tcBorders>
              <w:top w:val="nil"/>
              <w:left w:val="nil"/>
              <w:bottom w:val="nil"/>
              <w:right w:val="nil"/>
            </w:tcBorders>
            <w:vAlign w:val="bottom"/>
          </w:tcPr>
          <w:p w14:paraId="1384AD93" w14:textId="77777777" w:rsidR="00927AD5" w:rsidRPr="00D47D1C" w:rsidRDefault="00927AD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574.254 </w:t>
            </w:r>
          </w:p>
        </w:tc>
        <w:tc>
          <w:tcPr>
            <w:tcW w:w="482" w:type="pct"/>
            <w:tcBorders>
              <w:top w:val="nil"/>
              <w:left w:val="nil"/>
              <w:bottom w:val="nil"/>
              <w:right w:val="nil"/>
            </w:tcBorders>
            <w:vAlign w:val="bottom"/>
          </w:tcPr>
          <w:p w14:paraId="64038F9B" w14:textId="77777777" w:rsidR="00927AD5" w:rsidRPr="00D47D1C" w:rsidRDefault="00927AD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1.136.498 </w:t>
            </w:r>
          </w:p>
        </w:tc>
        <w:tc>
          <w:tcPr>
            <w:tcW w:w="483" w:type="pct"/>
            <w:tcBorders>
              <w:top w:val="nil"/>
              <w:left w:val="nil"/>
              <w:bottom w:val="nil"/>
              <w:right w:val="nil"/>
            </w:tcBorders>
            <w:vAlign w:val="bottom"/>
          </w:tcPr>
          <w:p w14:paraId="77A917C7" w14:textId="77777777" w:rsidR="00927AD5" w:rsidRPr="00D47D1C" w:rsidRDefault="00927AD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22.453 </w:t>
            </w:r>
          </w:p>
        </w:tc>
        <w:tc>
          <w:tcPr>
            <w:tcW w:w="483" w:type="pct"/>
            <w:tcBorders>
              <w:top w:val="nil"/>
              <w:left w:val="nil"/>
              <w:bottom w:val="nil"/>
              <w:right w:val="nil"/>
            </w:tcBorders>
            <w:vAlign w:val="bottom"/>
          </w:tcPr>
          <w:p w14:paraId="2D0231C5" w14:textId="77777777" w:rsidR="00927AD5" w:rsidRPr="00D47D1C" w:rsidRDefault="00927AD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2.351.196 </w:t>
            </w:r>
          </w:p>
        </w:tc>
        <w:tc>
          <w:tcPr>
            <w:tcW w:w="483" w:type="pct"/>
            <w:tcBorders>
              <w:top w:val="nil"/>
              <w:left w:val="nil"/>
              <w:bottom w:val="nil"/>
              <w:right w:val="nil"/>
            </w:tcBorders>
            <w:vAlign w:val="bottom"/>
          </w:tcPr>
          <w:p w14:paraId="483C0B70" w14:textId="77777777" w:rsidR="00927AD5" w:rsidRPr="00D47D1C" w:rsidRDefault="00927AD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2.200.795 </w:t>
            </w:r>
          </w:p>
        </w:tc>
      </w:tr>
      <w:tr w:rsidR="00927AD5" w:rsidRPr="00D47D1C" w14:paraId="68FD38AB" w14:textId="77777777" w:rsidTr="0034622E">
        <w:trPr>
          <w:trHeight w:val="170"/>
        </w:trPr>
        <w:tc>
          <w:tcPr>
            <w:tcW w:w="1138" w:type="pct"/>
            <w:vAlign w:val="bottom"/>
          </w:tcPr>
          <w:p w14:paraId="1A6E32A4" w14:textId="77777777" w:rsidR="00927AD5" w:rsidRPr="00D47D1C" w:rsidRDefault="00927AD5" w:rsidP="0034622E">
            <w:pPr>
              <w:tabs>
                <w:tab w:val="left" w:pos="-720"/>
              </w:tabs>
              <w:suppressAutoHyphens/>
              <w:spacing w:line="240" w:lineRule="exact"/>
              <w:rPr>
                <w:rFonts w:ascii="Arial" w:eastAsia="Calibri" w:hAnsi="Arial" w:cs="Arial"/>
                <w:color w:val="000000" w:themeColor="text1"/>
                <w:sz w:val="15"/>
                <w:szCs w:val="15"/>
              </w:rPr>
            </w:pPr>
            <w:r w:rsidRPr="00D47D1C">
              <w:rPr>
                <w:rFonts w:ascii="Arial" w:eastAsia="Calibri" w:hAnsi="Arial" w:cs="Arial"/>
                <w:color w:val="000000" w:themeColor="text1"/>
                <w:sz w:val="15"/>
                <w:szCs w:val="15"/>
              </w:rPr>
              <w:t>Financijska imovina po fer vrijednosti kroz dobit ili gubitak</w:t>
            </w:r>
          </w:p>
        </w:tc>
        <w:tc>
          <w:tcPr>
            <w:tcW w:w="482" w:type="pct"/>
            <w:vAlign w:val="bottom"/>
          </w:tcPr>
          <w:p w14:paraId="1099806B" w14:textId="77777777" w:rsidR="00927AD5" w:rsidRPr="00D47D1C" w:rsidRDefault="00927AD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 </w:t>
            </w:r>
          </w:p>
        </w:tc>
        <w:tc>
          <w:tcPr>
            <w:tcW w:w="483" w:type="pct"/>
            <w:vAlign w:val="bottom"/>
          </w:tcPr>
          <w:p w14:paraId="6BE03D3E" w14:textId="77777777" w:rsidR="00927AD5" w:rsidRPr="00D47D1C" w:rsidRDefault="00927AD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 </w:t>
            </w:r>
          </w:p>
        </w:tc>
        <w:tc>
          <w:tcPr>
            <w:tcW w:w="483" w:type="pct"/>
            <w:vAlign w:val="bottom"/>
          </w:tcPr>
          <w:p w14:paraId="149A7274" w14:textId="77777777" w:rsidR="00927AD5" w:rsidRPr="00D47D1C" w:rsidRDefault="00927AD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 </w:t>
            </w:r>
          </w:p>
        </w:tc>
        <w:tc>
          <w:tcPr>
            <w:tcW w:w="483" w:type="pct"/>
            <w:vAlign w:val="bottom"/>
          </w:tcPr>
          <w:p w14:paraId="04259A98" w14:textId="77777777" w:rsidR="00927AD5" w:rsidRPr="00D47D1C" w:rsidRDefault="00927AD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33.698 </w:t>
            </w:r>
          </w:p>
        </w:tc>
        <w:tc>
          <w:tcPr>
            <w:tcW w:w="482" w:type="pct"/>
            <w:vAlign w:val="bottom"/>
          </w:tcPr>
          <w:p w14:paraId="31A87384" w14:textId="77777777" w:rsidR="00927AD5" w:rsidRPr="00D47D1C" w:rsidRDefault="00927AD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 </w:t>
            </w:r>
          </w:p>
        </w:tc>
        <w:tc>
          <w:tcPr>
            <w:tcW w:w="483" w:type="pct"/>
            <w:vAlign w:val="bottom"/>
          </w:tcPr>
          <w:p w14:paraId="26644E92" w14:textId="77777777" w:rsidR="00927AD5" w:rsidRPr="00D47D1C" w:rsidRDefault="00927AD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19.224 </w:t>
            </w:r>
          </w:p>
        </w:tc>
        <w:tc>
          <w:tcPr>
            <w:tcW w:w="483" w:type="pct"/>
            <w:vAlign w:val="bottom"/>
          </w:tcPr>
          <w:p w14:paraId="7126F2AE" w14:textId="77777777" w:rsidR="00927AD5" w:rsidRPr="00D47D1C" w:rsidRDefault="00927AD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52.922 </w:t>
            </w:r>
          </w:p>
        </w:tc>
        <w:tc>
          <w:tcPr>
            <w:tcW w:w="483" w:type="pct"/>
            <w:vAlign w:val="bottom"/>
          </w:tcPr>
          <w:p w14:paraId="7E38ED86" w14:textId="77777777" w:rsidR="00927AD5" w:rsidRPr="00D47D1C" w:rsidRDefault="00927AD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33.698 </w:t>
            </w:r>
          </w:p>
        </w:tc>
      </w:tr>
      <w:tr w:rsidR="00927AD5" w:rsidRPr="00D47D1C" w14:paraId="3BF67FE4" w14:textId="77777777" w:rsidTr="0034622E">
        <w:trPr>
          <w:trHeight w:val="163"/>
        </w:trPr>
        <w:tc>
          <w:tcPr>
            <w:tcW w:w="1138" w:type="pct"/>
            <w:vAlign w:val="bottom"/>
          </w:tcPr>
          <w:p w14:paraId="5573F639" w14:textId="77777777" w:rsidR="00927AD5" w:rsidRPr="00D47D1C" w:rsidRDefault="00927AD5" w:rsidP="0034622E">
            <w:pPr>
              <w:tabs>
                <w:tab w:val="left" w:pos="-720"/>
              </w:tabs>
              <w:suppressAutoHyphens/>
              <w:spacing w:line="240" w:lineRule="exact"/>
              <w:rPr>
                <w:rFonts w:ascii="Arial" w:eastAsia="Calibri" w:hAnsi="Arial" w:cs="Arial"/>
                <w:color w:val="000000" w:themeColor="text1"/>
                <w:sz w:val="15"/>
                <w:szCs w:val="15"/>
              </w:rPr>
            </w:pPr>
            <w:r w:rsidRPr="00D47D1C">
              <w:rPr>
                <w:rFonts w:ascii="Arial" w:eastAsia="Calibri" w:hAnsi="Arial" w:cs="Arial"/>
                <w:color w:val="000000" w:themeColor="text1"/>
                <w:sz w:val="15"/>
                <w:szCs w:val="15"/>
              </w:rPr>
              <w:t>Financijska imovina po fer vrijednosti kroz ostalu sveobuhvatnu dobit</w:t>
            </w:r>
          </w:p>
        </w:tc>
        <w:tc>
          <w:tcPr>
            <w:tcW w:w="482" w:type="pct"/>
            <w:vAlign w:val="bottom"/>
          </w:tcPr>
          <w:p w14:paraId="5CB9DD72" w14:textId="77777777" w:rsidR="00927AD5" w:rsidRPr="00D47D1C" w:rsidRDefault="00927AD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13.332 </w:t>
            </w:r>
          </w:p>
        </w:tc>
        <w:tc>
          <w:tcPr>
            <w:tcW w:w="483" w:type="pct"/>
            <w:vAlign w:val="bottom"/>
          </w:tcPr>
          <w:p w14:paraId="6171381A" w14:textId="77777777" w:rsidR="00927AD5" w:rsidRPr="00D47D1C" w:rsidRDefault="00927AD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4.976 </w:t>
            </w:r>
          </w:p>
        </w:tc>
        <w:tc>
          <w:tcPr>
            <w:tcW w:w="483" w:type="pct"/>
            <w:vAlign w:val="bottom"/>
          </w:tcPr>
          <w:p w14:paraId="4F82278B" w14:textId="77777777" w:rsidR="00927AD5" w:rsidRPr="00D47D1C" w:rsidRDefault="00927AD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52.642 </w:t>
            </w:r>
          </w:p>
        </w:tc>
        <w:tc>
          <w:tcPr>
            <w:tcW w:w="483" w:type="pct"/>
            <w:vAlign w:val="bottom"/>
          </w:tcPr>
          <w:p w14:paraId="4F33E121" w14:textId="77777777" w:rsidR="00927AD5" w:rsidRPr="00D47D1C" w:rsidRDefault="00927AD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110.714 </w:t>
            </w:r>
          </w:p>
        </w:tc>
        <w:tc>
          <w:tcPr>
            <w:tcW w:w="482" w:type="pct"/>
            <w:vAlign w:val="bottom"/>
          </w:tcPr>
          <w:p w14:paraId="14507C78" w14:textId="77777777" w:rsidR="00927AD5" w:rsidRPr="00D47D1C" w:rsidRDefault="00927AD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42.647 </w:t>
            </w:r>
          </w:p>
        </w:tc>
        <w:tc>
          <w:tcPr>
            <w:tcW w:w="483" w:type="pct"/>
            <w:vAlign w:val="bottom"/>
          </w:tcPr>
          <w:p w14:paraId="6EC3B406" w14:textId="77777777" w:rsidR="00927AD5" w:rsidRPr="00D47D1C" w:rsidRDefault="00927AD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10.888 </w:t>
            </w:r>
          </w:p>
        </w:tc>
        <w:tc>
          <w:tcPr>
            <w:tcW w:w="483" w:type="pct"/>
            <w:vAlign w:val="bottom"/>
          </w:tcPr>
          <w:p w14:paraId="64DE3F5E" w14:textId="77777777" w:rsidR="00927AD5" w:rsidRPr="00D47D1C" w:rsidRDefault="00927AD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235.199 </w:t>
            </w:r>
          </w:p>
        </w:tc>
        <w:tc>
          <w:tcPr>
            <w:tcW w:w="483" w:type="pct"/>
            <w:vAlign w:val="bottom"/>
          </w:tcPr>
          <w:p w14:paraId="3D31D649" w14:textId="77777777" w:rsidR="00927AD5" w:rsidRPr="00D47D1C" w:rsidRDefault="00927AD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224.311 </w:t>
            </w:r>
          </w:p>
        </w:tc>
      </w:tr>
      <w:tr w:rsidR="00927AD5" w:rsidRPr="00D47D1C" w14:paraId="23973F50" w14:textId="77777777" w:rsidTr="0034622E">
        <w:trPr>
          <w:trHeight w:val="206"/>
        </w:trPr>
        <w:tc>
          <w:tcPr>
            <w:tcW w:w="1138" w:type="pct"/>
            <w:vAlign w:val="bottom"/>
          </w:tcPr>
          <w:p w14:paraId="7A9531B4" w14:textId="77777777" w:rsidR="00927AD5" w:rsidRPr="00D47D1C" w:rsidRDefault="00927AD5" w:rsidP="0034622E">
            <w:pPr>
              <w:tabs>
                <w:tab w:val="left" w:pos="-720"/>
              </w:tabs>
              <w:suppressAutoHyphens/>
              <w:spacing w:line="240" w:lineRule="exact"/>
              <w:rPr>
                <w:rFonts w:ascii="Arial" w:eastAsia="Calibri" w:hAnsi="Arial" w:cs="Arial"/>
                <w:color w:val="000000" w:themeColor="text1"/>
                <w:sz w:val="15"/>
                <w:szCs w:val="15"/>
              </w:rPr>
            </w:pPr>
            <w:r w:rsidRPr="00D47D1C">
              <w:rPr>
                <w:rFonts w:ascii="Arial" w:eastAsia="Calibri" w:hAnsi="Arial" w:cs="Arial"/>
                <w:color w:val="000000" w:themeColor="text1"/>
                <w:sz w:val="15"/>
                <w:szCs w:val="15"/>
              </w:rPr>
              <w:t>Ostala imovina</w:t>
            </w:r>
          </w:p>
        </w:tc>
        <w:tc>
          <w:tcPr>
            <w:tcW w:w="482" w:type="pct"/>
            <w:tcBorders>
              <w:bottom w:val="single" w:sz="4" w:space="0" w:color="auto"/>
            </w:tcBorders>
            <w:vAlign w:val="bottom"/>
          </w:tcPr>
          <w:p w14:paraId="48A0CB77" w14:textId="77777777" w:rsidR="00927AD5" w:rsidRPr="00D47D1C" w:rsidRDefault="00927AD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 </w:t>
            </w:r>
          </w:p>
        </w:tc>
        <w:tc>
          <w:tcPr>
            <w:tcW w:w="483" w:type="pct"/>
            <w:tcBorders>
              <w:bottom w:val="single" w:sz="4" w:space="0" w:color="auto"/>
            </w:tcBorders>
            <w:vAlign w:val="bottom"/>
          </w:tcPr>
          <w:p w14:paraId="5BAA5E7C" w14:textId="77777777" w:rsidR="00927AD5" w:rsidRPr="00D47D1C" w:rsidRDefault="00927AD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 </w:t>
            </w:r>
          </w:p>
        </w:tc>
        <w:tc>
          <w:tcPr>
            <w:tcW w:w="483" w:type="pct"/>
            <w:tcBorders>
              <w:bottom w:val="single" w:sz="4" w:space="0" w:color="auto"/>
            </w:tcBorders>
            <w:vAlign w:val="bottom"/>
          </w:tcPr>
          <w:p w14:paraId="31F7951D" w14:textId="77777777" w:rsidR="00927AD5" w:rsidRPr="00D47D1C" w:rsidRDefault="00927AD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 </w:t>
            </w:r>
          </w:p>
        </w:tc>
        <w:tc>
          <w:tcPr>
            <w:tcW w:w="483" w:type="pct"/>
            <w:tcBorders>
              <w:bottom w:val="single" w:sz="4" w:space="0" w:color="auto"/>
            </w:tcBorders>
            <w:vAlign w:val="bottom"/>
          </w:tcPr>
          <w:p w14:paraId="022039C1" w14:textId="77777777" w:rsidR="00927AD5" w:rsidRPr="00D47D1C" w:rsidRDefault="00927AD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 </w:t>
            </w:r>
          </w:p>
        </w:tc>
        <w:tc>
          <w:tcPr>
            <w:tcW w:w="482" w:type="pct"/>
            <w:tcBorders>
              <w:bottom w:val="single" w:sz="4" w:space="0" w:color="auto"/>
            </w:tcBorders>
            <w:vAlign w:val="bottom"/>
          </w:tcPr>
          <w:p w14:paraId="295447C7" w14:textId="77777777" w:rsidR="00927AD5" w:rsidRPr="00D47D1C" w:rsidRDefault="00927AD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 </w:t>
            </w:r>
          </w:p>
        </w:tc>
        <w:tc>
          <w:tcPr>
            <w:tcW w:w="483" w:type="pct"/>
            <w:tcBorders>
              <w:bottom w:val="single" w:sz="4" w:space="0" w:color="auto"/>
            </w:tcBorders>
            <w:vAlign w:val="bottom"/>
          </w:tcPr>
          <w:p w14:paraId="21526CA6" w14:textId="77777777" w:rsidR="00927AD5" w:rsidRPr="00D47D1C" w:rsidRDefault="00927AD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12.285 </w:t>
            </w:r>
          </w:p>
        </w:tc>
        <w:tc>
          <w:tcPr>
            <w:tcW w:w="483" w:type="pct"/>
            <w:tcBorders>
              <w:bottom w:val="single" w:sz="4" w:space="0" w:color="auto"/>
            </w:tcBorders>
            <w:vAlign w:val="bottom"/>
          </w:tcPr>
          <w:p w14:paraId="721ECE21" w14:textId="77777777" w:rsidR="00927AD5" w:rsidRPr="00D47D1C" w:rsidRDefault="00927AD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12.285 </w:t>
            </w:r>
          </w:p>
        </w:tc>
        <w:tc>
          <w:tcPr>
            <w:tcW w:w="483" w:type="pct"/>
            <w:tcBorders>
              <w:bottom w:val="single" w:sz="4" w:space="0" w:color="auto"/>
            </w:tcBorders>
            <w:vAlign w:val="bottom"/>
          </w:tcPr>
          <w:p w14:paraId="22D6C02D" w14:textId="77777777" w:rsidR="00927AD5" w:rsidRPr="00D47D1C" w:rsidRDefault="00927AD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 </w:t>
            </w:r>
          </w:p>
        </w:tc>
      </w:tr>
      <w:tr w:rsidR="00927AD5" w:rsidRPr="00D47D1C" w14:paraId="3F644569" w14:textId="77777777" w:rsidTr="0034622E">
        <w:trPr>
          <w:trHeight w:hRule="exact" w:val="308"/>
        </w:trPr>
        <w:tc>
          <w:tcPr>
            <w:tcW w:w="1138" w:type="pct"/>
            <w:vAlign w:val="bottom"/>
          </w:tcPr>
          <w:p w14:paraId="7C64A60B" w14:textId="77777777" w:rsidR="00927AD5" w:rsidRPr="00D47D1C" w:rsidRDefault="00927AD5" w:rsidP="0034622E">
            <w:pPr>
              <w:tabs>
                <w:tab w:val="right" w:pos="1202"/>
              </w:tabs>
              <w:spacing w:line="240" w:lineRule="exact"/>
              <w:outlineLvl w:val="0"/>
              <w:rPr>
                <w:rFonts w:ascii="Arial" w:eastAsia="Calibri" w:hAnsi="Arial" w:cs="Arial"/>
                <w:b/>
                <w:bCs/>
                <w:color w:val="000000" w:themeColor="text1"/>
                <w:sz w:val="15"/>
                <w:szCs w:val="15"/>
              </w:rPr>
            </w:pPr>
            <w:r w:rsidRPr="00D47D1C">
              <w:rPr>
                <w:rFonts w:ascii="Arial" w:eastAsia="Calibri" w:hAnsi="Arial" w:cs="Arial"/>
                <w:b/>
                <w:bCs/>
                <w:color w:val="000000" w:themeColor="text1"/>
                <w:sz w:val="15"/>
                <w:szCs w:val="15"/>
              </w:rPr>
              <w:t xml:space="preserve">Imovina </w:t>
            </w:r>
          </w:p>
        </w:tc>
        <w:tc>
          <w:tcPr>
            <w:tcW w:w="482" w:type="pct"/>
            <w:tcBorders>
              <w:top w:val="nil"/>
              <w:left w:val="nil"/>
              <w:bottom w:val="single" w:sz="8" w:space="0" w:color="auto"/>
              <w:right w:val="nil"/>
            </w:tcBorders>
            <w:vAlign w:val="bottom"/>
          </w:tcPr>
          <w:p w14:paraId="3C42E6DD" w14:textId="77777777" w:rsidR="00927AD5" w:rsidRPr="00D47D1C" w:rsidRDefault="00927AD5" w:rsidP="0034622E">
            <w:pPr>
              <w:jc w:val="right"/>
              <w:rPr>
                <w:rFonts w:ascii="Arial" w:eastAsia="Calibri" w:hAnsi="Arial" w:cs="Arial"/>
                <w:b/>
                <w:color w:val="000000" w:themeColor="text1"/>
                <w:sz w:val="15"/>
                <w:szCs w:val="15"/>
              </w:rPr>
            </w:pPr>
            <w:r w:rsidRPr="00F959D0">
              <w:rPr>
                <w:rFonts w:ascii="Arial" w:eastAsia="Calibri" w:hAnsi="Arial" w:cs="Arial"/>
                <w:b/>
                <w:color w:val="000000" w:themeColor="text1"/>
                <w:sz w:val="15"/>
                <w:szCs w:val="15"/>
              </w:rPr>
              <w:t xml:space="preserve"> 453.797 </w:t>
            </w:r>
          </w:p>
        </w:tc>
        <w:tc>
          <w:tcPr>
            <w:tcW w:w="483" w:type="pct"/>
            <w:tcBorders>
              <w:top w:val="nil"/>
              <w:left w:val="nil"/>
              <w:bottom w:val="single" w:sz="8" w:space="0" w:color="auto"/>
              <w:right w:val="nil"/>
            </w:tcBorders>
            <w:vAlign w:val="bottom"/>
          </w:tcPr>
          <w:p w14:paraId="6D9F714B" w14:textId="77777777" w:rsidR="00927AD5" w:rsidRPr="00D47D1C" w:rsidRDefault="00927AD5" w:rsidP="0034622E">
            <w:pPr>
              <w:jc w:val="right"/>
              <w:rPr>
                <w:rFonts w:ascii="Arial" w:eastAsia="Calibri" w:hAnsi="Arial" w:cs="Arial"/>
                <w:b/>
                <w:color w:val="000000" w:themeColor="text1"/>
                <w:sz w:val="15"/>
                <w:szCs w:val="15"/>
              </w:rPr>
            </w:pPr>
            <w:r w:rsidRPr="00F959D0">
              <w:rPr>
                <w:rFonts w:ascii="Arial" w:eastAsia="Calibri" w:hAnsi="Arial" w:cs="Arial"/>
                <w:b/>
                <w:color w:val="000000" w:themeColor="text1"/>
                <w:sz w:val="15"/>
                <w:szCs w:val="15"/>
              </w:rPr>
              <w:t xml:space="preserve"> 267.028 </w:t>
            </w:r>
          </w:p>
        </w:tc>
        <w:tc>
          <w:tcPr>
            <w:tcW w:w="483" w:type="pct"/>
            <w:tcBorders>
              <w:top w:val="nil"/>
              <w:left w:val="nil"/>
              <w:bottom w:val="single" w:sz="8" w:space="0" w:color="auto"/>
              <w:right w:val="nil"/>
            </w:tcBorders>
            <w:vAlign w:val="bottom"/>
          </w:tcPr>
          <w:p w14:paraId="18CA2F41" w14:textId="77777777" w:rsidR="00927AD5" w:rsidRPr="00D47D1C" w:rsidRDefault="00927AD5" w:rsidP="0034622E">
            <w:pPr>
              <w:jc w:val="right"/>
              <w:rPr>
                <w:rFonts w:ascii="Arial" w:eastAsia="Calibri" w:hAnsi="Arial" w:cs="Arial"/>
                <w:b/>
                <w:color w:val="000000" w:themeColor="text1"/>
                <w:sz w:val="15"/>
                <w:szCs w:val="15"/>
              </w:rPr>
            </w:pPr>
            <w:r w:rsidRPr="00F959D0">
              <w:rPr>
                <w:rFonts w:ascii="Arial" w:eastAsia="Calibri" w:hAnsi="Arial" w:cs="Arial"/>
                <w:b/>
                <w:color w:val="000000" w:themeColor="text1"/>
                <w:sz w:val="15"/>
                <w:szCs w:val="15"/>
              </w:rPr>
              <w:t xml:space="preserve"> 464.715 </w:t>
            </w:r>
          </w:p>
        </w:tc>
        <w:tc>
          <w:tcPr>
            <w:tcW w:w="483" w:type="pct"/>
            <w:tcBorders>
              <w:top w:val="nil"/>
              <w:left w:val="nil"/>
              <w:bottom w:val="single" w:sz="8" w:space="0" w:color="auto"/>
              <w:right w:val="nil"/>
            </w:tcBorders>
            <w:vAlign w:val="bottom"/>
          </w:tcPr>
          <w:p w14:paraId="1F837E66" w14:textId="77777777" w:rsidR="00927AD5" w:rsidRPr="00D47D1C" w:rsidRDefault="00927AD5" w:rsidP="0034622E">
            <w:pPr>
              <w:jc w:val="right"/>
              <w:rPr>
                <w:rFonts w:ascii="Arial" w:eastAsia="Calibri" w:hAnsi="Arial" w:cs="Arial"/>
                <w:b/>
                <w:color w:val="000000" w:themeColor="text1"/>
                <w:sz w:val="15"/>
                <w:szCs w:val="15"/>
              </w:rPr>
            </w:pPr>
            <w:r w:rsidRPr="00F959D0">
              <w:rPr>
                <w:rFonts w:ascii="Arial" w:eastAsia="Calibri" w:hAnsi="Arial" w:cs="Arial"/>
                <w:b/>
                <w:color w:val="000000" w:themeColor="text1"/>
                <w:sz w:val="15"/>
                <w:szCs w:val="15"/>
              </w:rPr>
              <w:t xml:space="preserve"> 1.020.079 </w:t>
            </w:r>
          </w:p>
        </w:tc>
        <w:tc>
          <w:tcPr>
            <w:tcW w:w="482" w:type="pct"/>
            <w:tcBorders>
              <w:top w:val="nil"/>
              <w:left w:val="nil"/>
              <w:bottom w:val="single" w:sz="8" w:space="0" w:color="auto"/>
              <w:right w:val="nil"/>
            </w:tcBorders>
            <w:vAlign w:val="bottom"/>
          </w:tcPr>
          <w:p w14:paraId="1294C1DC" w14:textId="77777777" w:rsidR="00927AD5" w:rsidRPr="00D47D1C" w:rsidRDefault="00927AD5" w:rsidP="0034622E">
            <w:pPr>
              <w:jc w:val="right"/>
              <w:rPr>
                <w:rFonts w:ascii="Arial" w:eastAsia="Calibri" w:hAnsi="Arial" w:cs="Arial"/>
                <w:b/>
                <w:color w:val="000000" w:themeColor="text1"/>
                <w:sz w:val="15"/>
                <w:szCs w:val="15"/>
              </w:rPr>
            </w:pPr>
            <w:r w:rsidRPr="00F959D0">
              <w:rPr>
                <w:rFonts w:ascii="Arial" w:eastAsia="Calibri" w:hAnsi="Arial" w:cs="Arial"/>
                <w:b/>
                <w:color w:val="000000" w:themeColor="text1"/>
                <w:sz w:val="15"/>
                <w:szCs w:val="15"/>
              </w:rPr>
              <w:t xml:space="preserve"> 1.740.218 </w:t>
            </w:r>
          </w:p>
        </w:tc>
        <w:tc>
          <w:tcPr>
            <w:tcW w:w="483" w:type="pct"/>
            <w:tcBorders>
              <w:top w:val="nil"/>
              <w:left w:val="nil"/>
              <w:bottom w:val="single" w:sz="8" w:space="0" w:color="auto"/>
              <w:right w:val="nil"/>
            </w:tcBorders>
            <w:vAlign w:val="bottom"/>
          </w:tcPr>
          <w:p w14:paraId="6FDDCE3D" w14:textId="77777777" w:rsidR="00927AD5" w:rsidRPr="00D47D1C" w:rsidRDefault="00927AD5" w:rsidP="0034622E">
            <w:pPr>
              <w:jc w:val="right"/>
              <w:rPr>
                <w:rFonts w:ascii="Arial" w:eastAsia="Calibri" w:hAnsi="Arial" w:cs="Arial"/>
                <w:b/>
                <w:color w:val="000000" w:themeColor="text1"/>
                <w:sz w:val="15"/>
                <w:szCs w:val="15"/>
              </w:rPr>
            </w:pPr>
            <w:r w:rsidRPr="00F959D0">
              <w:rPr>
                <w:rFonts w:ascii="Arial" w:eastAsia="Calibri" w:hAnsi="Arial" w:cs="Arial"/>
                <w:b/>
                <w:color w:val="000000" w:themeColor="text1"/>
                <w:sz w:val="15"/>
                <w:szCs w:val="15"/>
              </w:rPr>
              <w:t xml:space="preserve"> 68.540 </w:t>
            </w:r>
          </w:p>
        </w:tc>
        <w:tc>
          <w:tcPr>
            <w:tcW w:w="483" w:type="pct"/>
            <w:tcBorders>
              <w:top w:val="nil"/>
              <w:left w:val="nil"/>
              <w:bottom w:val="single" w:sz="8" w:space="0" w:color="auto"/>
              <w:right w:val="nil"/>
            </w:tcBorders>
            <w:vAlign w:val="bottom"/>
          </w:tcPr>
          <w:p w14:paraId="2B3DF8A4" w14:textId="77777777" w:rsidR="00927AD5" w:rsidRPr="00D47D1C" w:rsidRDefault="00927AD5" w:rsidP="0034622E">
            <w:pPr>
              <w:jc w:val="right"/>
              <w:rPr>
                <w:rFonts w:ascii="Arial" w:eastAsia="Calibri" w:hAnsi="Arial" w:cs="Arial"/>
                <w:b/>
                <w:color w:val="000000" w:themeColor="text1"/>
                <w:sz w:val="15"/>
                <w:szCs w:val="15"/>
              </w:rPr>
            </w:pPr>
            <w:r w:rsidRPr="00F959D0">
              <w:rPr>
                <w:rFonts w:ascii="Arial" w:eastAsia="Calibri" w:hAnsi="Arial" w:cs="Arial"/>
                <w:b/>
                <w:color w:val="000000" w:themeColor="text1"/>
                <w:sz w:val="15"/>
                <w:szCs w:val="15"/>
              </w:rPr>
              <w:t xml:space="preserve"> 4.014.377 </w:t>
            </w:r>
          </w:p>
        </w:tc>
        <w:tc>
          <w:tcPr>
            <w:tcW w:w="483" w:type="pct"/>
            <w:tcBorders>
              <w:top w:val="nil"/>
              <w:left w:val="nil"/>
              <w:bottom w:val="single" w:sz="8" w:space="0" w:color="auto"/>
              <w:right w:val="nil"/>
            </w:tcBorders>
            <w:vAlign w:val="bottom"/>
          </w:tcPr>
          <w:p w14:paraId="0378766F" w14:textId="77777777" w:rsidR="00927AD5" w:rsidRPr="00D47D1C" w:rsidRDefault="00927AD5" w:rsidP="0034622E">
            <w:pPr>
              <w:jc w:val="right"/>
              <w:rPr>
                <w:rFonts w:ascii="Arial" w:eastAsia="Calibri" w:hAnsi="Arial" w:cs="Arial"/>
                <w:b/>
                <w:color w:val="000000" w:themeColor="text1"/>
                <w:sz w:val="15"/>
                <w:szCs w:val="15"/>
              </w:rPr>
            </w:pPr>
            <w:r w:rsidRPr="00F959D0">
              <w:rPr>
                <w:rFonts w:ascii="Arial" w:eastAsia="Calibri" w:hAnsi="Arial" w:cs="Arial"/>
                <w:b/>
                <w:color w:val="000000" w:themeColor="text1"/>
                <w:sz w:val="15"/>
                <w:szCs w:val="15"/>
              </w:rPr>
              <w:t xml:space="preserve"> 3.807.019 </w:t>
            </w:r>
          </w:p>
        </w:tc>
      </w:tr>
      <w:tr w:rsidR="00927AD5" w:rsidRPr="00D47D1C" w14:paraId="3DD79584" w14:textId="77777777" w:rsidTr="0034622E">
        <w:trPr>
          <w:trHeight w:hRule="exact" w:val="187"/>
        </w:trPr>
        <w:tc>
          <w:tcPr>
            <w:tcW w:w="1138" w:type="pct"/>
            <w:vAlign w:val="bottom"/>
          </w:tcPr>
          <w:p w14:paraId="04C792C2" w14:textId="77777777" w:rsidR="00927AD5" w:rsidRPr="00D47D1C" w:rsidRDefault="00927AD5" w:rsidP="0034622E">
            <w:pPr>
              <w:tabs>
                <w:tab w:val="right" w:pos="1202"/>
              </w:tabs>
              <w:spacing w:line="240" w:lineRule="exact"/>
              <w:outlineLvl w:val="0"/>
              <w:rPr>
                <w:rFonts w:ascii="Arial" w:eastAsia="Calibri" w:hAnsi="Arial" w:cs="Arial"/>
                <w:b/>
                <w:bCs/>
                <w:color w:val="000000" w:themeColor="text1"/>
                <w:sz w:val="15"/>
                <w:szCs w:val="15"/>
              </w:rPr>
            </w:pPr>
          </w:p>
        </w:tc>
        <w:tc>
          <w:tcPr>
            <w:tcW w:w="482" w:type="pct"/>
            <w:tcBorders>
              <w:top w:val="single" w:sz="12" w:space="0" w:color="auto"/>
              <w:left w:val="nil"/>
              <w:right w:val="nil"/>
            </w:tcBorders>
            <w:vAlign w:val="bottom"/>
          </w:tcPr>
          <w:p w14:paraId="7755C622" w14:textId="77777777" w:rsidR="00927AD5" w:rsidRPr="00D47D1C" w:rsidRDefault="00927AD5" w:rsidP="0034622E">
            <w:pPr>
              <w:jc w:val="right"/>
              <w:rPr>
                <w:rFonts w:ascii="Arial" w:eastAsia="Calibri" w:hAnsi="Arial" w:cs="Arial"/>
                <w:b/>
                <w:color w:val="000000" w:themeColor="text1"/>
                <w:sz w:val="15"/>
                <w:szCs w:val="15"/>
              </w:rPr>
            </w:pPr>
          </w:p>
        </w:tc>
        <w:tc>
          <w:tcPr>
            <w:tcW w:w="483" w:type="pct"/>
            <w:tcBorders>
              <w:top w:val="single" w:sz="12" w:space="0" w:color="auto"/>
              <w:left w:val="nil"/>
              <w:right w:val="nil"/>
            </w:tcBorders>
            <w:vAlign w:val="bottom"/>
          </w:tcPr>
          <w:p w14:paraId="309F0641" w14:textId="77777777" w:rsidR="00927AD5" w:rsidRPr="00D47D1C" w:rsidRDefault="00927AD5" w:rsidP="0034622E">
            <w:pPr>
              <w:jc w:val="right"/>
              <w:rPr>
                <w:rFonts w:ascii="Arial" w:eastAsia="Calibri" w:hAnsi="Arial" w:cs="Arial"/>
                <w:b/>
                <w:color w:val="000000" w:themeColor="text1"/>
                <w:sz w:val="15"/>
                <w:szCs w:val="15"/>
              </w:rPr>
            </w:pPr>
          </w:p>
        </w:tc>
        <w:tc>
          <w:tcPr>
            <w:tcW w:w="483" w:type="pct"/>
            <w:tcBorders>
              <w:top w:val="single" w:sz="12" w:space="0" w:color="auto"/>
              <w:left w:val="nil"/>
              <w:right w:val="nil"/>
            </w:tcBorders>
            <w:vAlign w:val="bottom"/>
          </w:tcPr>
          <w:p w14:paraId="5FBFC7D9" w14:textId="77777777" w:rsidR="00927AD5" w:rsidRPr="00D47D1C" w:rsidRDefault="00927AD5" w:rsidP="0034622E">
            <w:pPr>
              <w:jc w:val="right"/>
              <w:rPr>
                <w:rFonts w:ascii="Arial" w:eastAsia="Calibri" w:hAnsi="Arial" w:cs="Arial"/>
                <w:b/>
                <w:color w:val="000000" w:themeColor="text1"/>
                <w:sz w:val="15"/>
                <w:szCs w:val="15"/>
              </w:rPr>
            </w:pPr>
          </w:p>
        </w:tc>
        <w:tc>
          <w:tcPr>
            <w:tcW w:w="483" w:type="pct"/>
            <w:tcBorders>
              <w:top w:val="single" w:sz="12" w:space="0" w:color="auto"/>
              <w:left w:val="nil"/>
              <w:right w:val="nil"/>
            </w:tcBorders>
            <w:vAlign w:val="bottom"/>
          </w:tcPr>
          <w:p w14:paraId="5B62C0AC" w14:textId="77777777" w:rsidR="00927AD5" w:rsidRPr="00D47D1C" w:rsidRDefault="00927AD5" w:rsidP="0034622E">
            <w:pPr>
              <w:jc w:val="right"/>
              <w:rPr>
                <w:rFonts w:ascii="Arial" w:eastAsia="Calibri" w:hAnsi="Arial" w:cs="Arial"/>
                <w:b/>
                <w:color w:val="000000" w:themeColor="text1"/>
                <w:sz w:val="15"/>
                <w:szCs w:val="15"/>
              </w:rPr>
            </w:pPr>
          </w:p>
        </w:tc>
        <w:tc>
          <w:tcPr>
            <w:tcW w:w="482" w:type="pct"/>
            <w:tcBorders>
              <w:top w:val="single" w:sz="12" w:space="0" w:color="auto"/>
              <w:left w:val="nil"/>
              <w:right w:val="nil"/>
            </w:tcBorders>
            <w:vAlign w:val="bottom"/>
          </w:tcPr>
          <w:p w14:paraId="76867573" w14:textId="77777777" w:rsidR="00927AD5" w:rsidRPr="00D47D1C" w:rsidRDefault="00927AD5" w:rsidP="0034622E">
            <w:pPr>
              <w:jc w:val="right"/>
              <w:rPr>
                <w:rFonts w:ascii="Arial" w:eastAsia="Calibri" w:hAnsi="Arial" w:cs="Arial"/>
                <w:b/>
                <w:color w:val="000000" w:themeColor="text1"/>
                <w:sz w:val="15"/>
                <w:szCs w:val="15"/>
              </w:rPr>
            </w:pPr>
          </w:p>
        </w:tc>
        <w:tc>
          <w:tcPr>
            <w:tcW w:w="483" w:type="pct"/>
            <w:tcBorders>
              <w:top w:val="single" w:sz="12" w:space="0" w:color="auto"/>
              <w:left w:val="nil"/>
              <w:right w:val="nil"/>
            </w:tcBorders>
            <w:vAlign w:val="bottom"/>
          </w:tcPr>
          <w:p w14:paraId="1F54BD5B" w14:textId="77777777" w:rsidR="00927AD5" w:rsidRPr="00D47D1C" w:rsidRDefault="00927AD5" w:rsidP="0034622E">
            <w:pPr>
              <w:jc w:val="right"/>
              <w:rPr>
                <w:rFonts w:ascii="Arial" w:eastAsia="Calibri" w:hAnsi="Arial" w:cs="Arial"/>
                <w:b/>
                <w:color w:val="000000" w:themeColor="text1"/>
                <w:sz w:val="15"/>
                <w:szCs w:val="15"/>
              </w:rPr>
            </w:pPr>
          </w:p>
        </w:tc>
        <w:tc>
          <w:tcPr>
            <w:tcW w:w="483" w:type="pct"/>
            <w:tcBorders>
              <w:top w:val="single" w:sz="12" w:space="0" w:color="auto"/>
              <w:left w:val="nil"/>
              <w:right w:val="nil"/>
            </w:tcBorders>
            <w:vAlign w:val="bottom"/>
          </w:tcPr>
          <w:p w14:paraId="10F11A36" w14:textId="77777777" w:rsidR="00927AD5" w:rsidRPr="00D47D1C" w:rsidRDefault="00927AD5" w:rsidP="0034622E">
            <w:pPr>
              <w:jc w:val="right"/>
              <w:rPr>
                <w:rFonts w:ascii="Arial" w:eastAsia="Calibri" w:hAnsi="Arial" w:cs="Arial"/>
                <w:b/>
                <w:color w:val="000000" w:themeColor="text1"/>
                <w:sz w:val="15"/>
                <w:szCs w:val="15"/>
              </w:rPr>
            </w:pPr>
          </w:p>
        </w:tc>
        <w:tc>
          <w:tcPr>
            <w:tcW w:w="483" w:type="pct"/>
            <w:tcBorders>
              <w:top w:val="single" w:sz="12" w:space="0" w:color="auto"/>
              <w:left w:val="nil"/>
              <w:right w:val="nil"/>
            </w:tcBorders>
            <w:vAlign w:val="bottom"/>
          </w:tcPr>
          <w:p w14:paraId="0C874E68" w14:textId="77777777" w:rsidR="00927AD5" w:rsidRPr="00D47D1C" w:rsidRDefault="00927AD5" w:rsidP="0034622E">
            <w:pPr>
              <w:jc w:val="right"/>
              <w:rPr>
                <w:rFonts w:ascii="Arial" w:eastAsia="Calibri" w:hAnsi="Arial" w:cs="Arial"/>
                <w:b/>
                <w:color w:val="000000" w:themeColor="text1"/>
                <w:sz w:val="15"/>
                <w:szCs w:val="15"/>
              </w:rPr>
            </w:pPr>
          </w:p>
        </w:tc>
      </w:tr>
      <w:tr w:rsidR="00927AD5" w:rsidRPr="00D47D1C" w14:paraId="3B5C101C" w14:textId="77777777" w:rsidTr="0034622E">
        <w:trPr>
          <w:trHeight w:hRule="exact" w:val="235"/>
        </w:trPr>
        <w:tc>
          <w:tcPr>
            <w:tcW w:w="1138" w:type="pct"/>
          </w:tcPr>
          <w:p w14:paraId="128FC977" w14:textId="77777777" w:rsidR="00927AD5" w:rsidRPr="00D47D1C" w:rsidRDefault="00927AD5" w:rsidP="0034622E">
            <w:pPr>
              <w:tabs>
                <w:tab w:val="right" w:pos="1202"/>
              </w:tabs>
              <w:spacing w:line="240" w:lineRule="exact"/>
              <w:outlineLvl w:val="0"/>
              <w:rPr>
                <w:rFonts w:ascii="Arial" w:eastAsia="Calibri" w:hAnsi="Arial" w:cs="Arial"/>
                <w:b/>
                <w:bCs/>
                <w:color w:val="000000" w:themeColor="text1"/>
                <w:sz w:val="15"/>
                <w:szCs w:val="15"/>
              </w:rPr>
            </w:pPr>
            <w:r w:rsidRPr="00D47D1C">
              <w:rPr>
                <w:rFonts w:ascii="Arial" w:eastAsia="Calibri" w:hAnsi="Arial" w:cs="Arial"/>
                <w:b/>
                <w:bCs/>
                <w:color w:val="000000" w:themeColor="text1"/>
                <w:sz w:val="15"/>
                <w:szCs w:val="15"/>
              </w:rPr>
              <w:t>Obveze</w:t>
            </w:r>
          </w:p>
        </w:tc>
        <w:tc>
          <w:tcPr>
            <w:tcW w:w="482" w:type="pct"/>
            <w:tcBorders>
              <w:left w:val="nil"/>
              <w:right w:val="nil"/>
            </w:tcBorders>
            <w:vAlign w:val="bottom"/>
          </w:tcPr>
          <w:p w14:paraId="31308BE9" w14:textId="77777777" w:rsidR="00927AD5" w:rsidRPr="00D47D1C" w:rsidRDefault="00927AD5" w:rsidP="0034622E">
            <w:pPr>
              <w:jc w:val="right"/>
              <w:rPr>
                <w:rFonts w:ascii="Arial" w:eastAsia="Calibri" w:hAnsi="Arial" w:cs="Arial"/>
                <w:b/>
                <w:color w:val="000000" w:themeColor="text1"/>
                <w:sz w:val="15"/>
                <w:szCs w:val="15"/>
              </w:rPr>
            </w:pPr>
          </w:p>
        </w:tc>
        <w:tc>
          <w:tcPr>
            <w:tcW w:w="483" w:type="pct"/>
            <w:tcBorders>
              <w:left w:val="nil"/>
              <w:right w:val="nil"/>
            </w:tcBorders>
            <w:vAlign w:val="bottom"/>
          </w:tcPr>
          <w:p w14:paraId="2E742D88" w14:textId="77777777" w:rsidR="00927AD5" w:rsidRPr="00D47D1C" w:rsidRDefault="00927AD5" w:rsidP="0034622E">
            <w:pPr>
              <w:jc w:val="right"/>
              <w:rPr>
                <w:rFonts w:ascii="Arial" w:eastAsia="Calibri" w:hAnsi="Arial" w:cs="Arial"/>
                <w:b/>
                <w:color w:val="000000" w:themeColor="text1"/>
                <w:sz w:val="15"/>
                <w:szCs w:val="15"/>
              </w:rPr>
            </w:pPr>
          </w:p>
        </w:tc>
        <w:tc>
          <w:tcPr>
            <w:tcW w:w="483" w:type="pct"/>
            <w:tcBorders>
              <w:left w:val="nil"/>
              <w:right w:val="nil"/>
            </w:tcBorders>
            <w:vAlign w:val="bottom"/>
          </w:tcPr>
          <w:p w14:paraId="3A03839D" w14:textId="77777777" w:rsidR="00927AD5" w:rsidRPr="00D47D1C" w:rsidRDefault="00927AD5" w:rsidP="0034622E">
            <w:pPr>
              <w:jc w:val="right"/>
              <w:rPr>
                <w:rFonts w:ascii="Arial" w:eastAsia="Calibri" w:hAnsi="Arial" w:cs="Arial"/>
                <w:b/>
                <w:color w:val="000000" w:themeColor="text1"/>
                <w:sz w:val="15"/>
                <w:szCs w:val="15"/>
              </w:rPr>
            </w:pPr>
          </w:p>
        </w:tc>
        <w:tc>
          <w:tcPr>
            <w:tcW w:w="483" w:type="pct"/>
            <w:tcBorders>
              <w:left w:val="nil"/>
              <w:right w:val="nil"/>
            </w:tcBorders>
            <w:vAlign w:val="bottom"/>
          </w:tcPr>
          <w:p w14:paraId="33DCE345" w14:textId="77777777" w:rsidR="00927AD5" w:rsidRPr="00D47D1C" w:rsidRDefault="00927AD5" w:rsidP="0034622E">
            <w:pPr>
              <w:jc w:val="right"/>
              <w:rPr>
                <w:rFonts w:ascii="Arial" w:eastAsia="Calibri" w:hAnsi="Arial" w:cs="Arial"/>
                <w:b/>
                <w:color w:val="000000" w:themeColor="text1"/>
                <w:sz w:val="15"/>
                <w:szCs w:val="15"/>
              </w:rPr>
            </w:pPr>
          </w:p>
        </w:tc>
        <w:tc>
          <w:tcPr>
            <w:tcW w:w="482" w:type="pct"/>
            <w:tcBorders>
              <w:left w:val="nil"/>
              <w:right w:val="nil"/>
            </w:tcBorders>
            <w:vAlign w:val="bottom"/>
          </w:tcPr>
          <w:p w14:paraId="3C07A19D" w14:textId="77777777" w:rsidR="00927AD5" w:rsidRPr="00D47D1C" w:rsidRDefault="00927AD5" w:rsidP="0034622E">
            <w:pPr>
              <w:jc w:val="right"/>
              <w:rPr>
                <w:rFonts w:ascii="Arial" w:eastAsia="Calibri" w:hAnsi="Arial" w:cs="Arial"/>
                <w:b/>
                <w:color w:val="000000" w:themeColor="text1"/>
                <w:sz w:val="15"/>
                <w:szCs w:val="15"/>
              </w:rPr>
            </w:pPr>
          </w:p>
        </w:tc>
        <w:tc>
          <w:tcPr>
            <w:tcW w:w="483" w:type="pct"/>
            <w:tcBorders>
              <w:left w:val="nil"/>
              <w:right w:val="nil"/>
            </w:tcBorders>
            <w:vAlign w:val="bottom"/>
          </w:tcPr>
          <w:p w14:paraId="0BCFCBD2" w14:textId="77777777" w:rsidR="00927AD5" w:rsidRPr="00D47D1C" w:rsidRDefault="00927AD5" w:rsidP="0034622E">
            <w:pPr>
              <w:jc w:val="right"/>
              <w:rPr>
                <w:rFonts w:ascii="Arial" w:eastAsia="Calibri" w:hAnsi="Arial" w:cs="Arial"/>
                <w:b/>
                <w:color w:val="000000" w:themeColor="text1"/>
                <w:sz w:val="15"/>
                <w:szCs w:val="15"/>
              </w:rPr>
            </w:pPr>
          </w:p>
        </w:tc>
        <w:tc>
          <w:tcPr>
            <w:tcW w:w="483" w:type="pct"/>
            <w:tcBorders>
              <w:left w:val="nil"/>
              <w:right w:val="nil"/>
            </w:tcBorders>
            <w:vAlign w:val="bottom"/>
          </w:tcPr>
          <w:p w14:paraId="3DCAEB37" w14:textId="77777777" w:rsidR="00927AD5" w:rsidRPr="00D47D1C" w:rsidRDefault="00927AD5" w:rsidP="0034622E">
            <w:pPr>
              <w:jc w:val="right"/>
              <w:rPr>
                <w:rFonts w:ascii="Arial" w:eastAsia="Calibri" w:hAnsi="Arial" w:cs="Arial"/>
                <w:b/>
                <w:color w:val="000000" w:themeColor="text1"/>
                <w:sz w:val="15"/>
                <w:szCs w:val="15"/>
              </w:rPr>
            </w:pPr>
          </w:p>
        </w:tc>
        <w:tc>
          <w:tcPr>
            <w:tcW w:w="483" w:type="pct"/>
            <w:tcBorders>
              <w:left w:val="nil"/>
              <w:right w:val="nil"/>
            </w:tcBorders>
            <w:vAlign w:val="bottom"/>
          </w:tcPr>
          <w:p w14:paraId="2CAE721A" w14:textId="77777777" w:rsidR="00927AD5" w:rsidRPr="00D47D1C" w:rsidRDefault="00927AD5" w:rsidP="0034622E">
            <w:pPr>
              <w:jc w:val="right"/>
              <w:rPr>
                <w:rFonts w:ascii="Arial" w:eastAsia="Calibri" w:hAnsi="Arial" w:cs="Arial"/>
                <w:b/>
                <w:color w:val="000000" w:themeColor="text1"/>
                <w:sz w:val="15"/>
                <w:szCs w:val="15"/>
              </w:rPr>
            </w:pPr>
          </w:p>
        </w:tc>
      </w:tr>
      <w:tr w:rsidR="00927AD5" w:rsidRPr="00D47D1C" w14:paraId="6F969295" w14:textId="77777777" w:rsidTr="0034622E">
        <w:trPr>
          <w:trHeight w:hRule="exact" w:val="262"/>
        </w:trPr>
        <w:tc>
          <w:tcPr>
            <w:tcW w:w="1138" w:type="pct"/>
            <w:vAlign w:val="bottom"/>
          </w:tcPr>
          <w:p w14:paraId="55E2D2A5" w14:textId="77777777" w:rsidR="00927AD5" w:rsidRPr="00D47D1C" w:rsidRDefault="00927AD5" w:rsidP="0034622E">
            <w:pPr>
              <w:tabs>
                <w:tab w:val="right" w:pos="1202"/>
              </w:tabs>
              <w:spacing w:line="240" w:lineRule="exact"/>
              <w:outlineLvl w:val="0"/>
              <w:rPr>
                <w:rFonts w:ascii="Arial" w:eastAsia="Calibri" w:hAnsi="Arial" w:cs="Arial"/>
                <w:b/>
                <w:bCs/>
                <w:color w:val="000000" w:themeColor="text1"/>
                <w:sz w:val="15"/>
                <w:szCs w:val="15"/>
              </w:rPr>
            </w:pPr>
            <w:r w:rsidRPr="00D47D1C">
              <w:rPr>
                <w:rFonts w:ascii="Arial" w:eastAsia="Calibri" w:hAnsi="Arial" w:cs="Arial"/>
                <w:color w:val="000000" w:themeColor="text1"/>
                <w:spacing w:val="-2"/>
                <w:sz w:val="15"/>
                <w:szCs w:val="15"/>
              </w:rPr>
              <w:t>Obveze po depozitima</w:t>
            </w:r>
          </w:p>
        </w:tc>
        <w:tc>
          <w:tcPr>
            <w:tcW w:w="482" w:type="pct"/>
            <w:tcBorders>
              <w:top w:val="nil"/>
              <w:left w:val="nil"/>
              <w:bottom w:val="nil"/>
              <w:right w:val="nil"/>
            </w:tcBorders>
            <w:vAlign w:val="bottom"/>
          </w:tcPr>
          <w:p w14:paraId="79B7E0ED" w14:textId="77777777" w:rsidR="00927AD5" w:rsidRPr="00D47D1C" w:rsidRDefault="00927AD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77.717 </w:t>
            </w:r>
          </w:p>
        </w:tc>
        <w:tc>
          <w:tcPr>
            <w:tcW w:w="483" w:type="pct"/>
            <w:tcBorders>
              <w:top w:val="nil"/>
              <w:left w:val="nil"/>
              <w:bottom w:val="nil"/>
              <w:right w:val="nil"/>
            </w:tcBorders>
            <w:vAlign w:val="bottom"/>
          </w:tcPr>
          <w:p w14:paraId="1E3CCDE6" w14:textId="77777777" w:rsidR="00927AD5" w:rsidRPr="00D47D1C" w:rsidRDefault="00927AD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 </w:t>
            </w:r>
          </w:p>
        </w:tc>
        <w:tc>
          <w:tcPr>
            <w:tcW w:w="483" w:type="pct"/>
            <w:tcBorders>
              <w:top w:val="nil"/>
              <w:left w:val="nil"/>
              <w:bottom w:val="nil"/>
              <w:right w:val="nil"/>
            </w:tcBorders>
            <w:vAlign w:val="bottom"/>
          </w:tcPr>
          <w:p w14:paraId="1DB3B651" w14:textId="77777777" w:rsidR="00927AD5" w:rsidRPr="00D47D1C" w:rsidRDefault="00927AD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 </w:t>
            </w:r>
          </w:p>
        </w:tc>
        <w:tc>
          <w:tcPr>
            <w:tcW w:w="483" w:type="pct"/>
            <w:tcBorders>
              <w:top w:val="nil"/>
              <w:left w:val="nil"/>
              <w:bottom w:val="nil"/>
              <w:right w:val="nil"/>
            </w:tcBorders>
            <w:vAlign w:val="bottom"/>
          </w:tcPr>
          <w:p w14:paraId="1265F907" w14:textId="77777777" w:rsidR="00927AD5" w:rsidRPr="00D47D1C" w:rsidRDefault="00927AD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 </w:t>
            </w:r>
          </w:p>
        </w:tc>
        <w:tc>
          <w:tcPr>
            <w:tcW w:w="482" w:type="pct"/>
            <w:tcBorders>
              <w:top w:val="nil"/>
              <w:left w:val="nil"/>
              <w:bottom w:val="nil"/>
              <w:right w:val="nil"/>
            </w:tcBorders>
            <w:vAlign w:val="bottom"/>
          </w:tcPr>
          <w:p w14:paraId="6D0F2C79" w14:textId="77777777" w:rsidR="00927AD5" w:rsidRPr="00D47D1C" w:rsidRDefault="00927AD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 </w:t>
            </w:r>
          </w:p>
        </w:tc>
        <w:tc>
          <w:tcPr>
            <w:tcW w:w="483" w:type="pct"/>
            <w:tcBorders>
              <w:top w:val="nil"/>
              <w:left w:val="nil"/>
              <w:bottom w:val="nil"/>
              <w:right w:val="nil"/>
            </w:tcBorders>
            <w:vAlign w:val="bottom"/>
          </w:tcPr>
          <w:p w14:paraId="7A2A213A" w14:textId="77777777" w:rsidR="00927AD5" w:rsidRPr="00D47D1C" w:rsidRDefault="00927AD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117.159 </w:t>
            </w:r>
          </w:p>
        </w:tc>
        <w:tc>
          <w:tcPr>
            <w:tcW w:w="483" w:type="pct"/>
            <w:tcBorders>
              <w:top w:val="nil"/>
              <w:left w:val="nil"/>
              <w:bottom w:val="nil"/>
              <w:right w:val="nil"/>
            </w:tcBorders>
            <w:vAlign w:val="bottom"/>
          </w:tcPr>
          <w:p w14:paraId="3D49B744" w14:textId="77777777" w:rsidR="00927AD5" w:rsidRPr="00D47D1C" w:rsidRDefault="00927AD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194.876 </w:t>
            </w:r>
          </w:p>
        </w:tc>
        <w:tc>
          <w:tcPr>
            <w:tcW w:w="483" w:type="pct"/>
            <w:tcBorders>
              <w:top w:val="nil"/>
              <w:left w:val="nil"/>
              <w:bottom w:val="nil"/>
              <w:right w:val="nil"/>
            </w:tcBorders>
            <w:vAlign w:val="bottom"/>
          </w:tcPr>
          <w:p w14:paraId="500875A8" w14:textId="77777777" w:rsidR="00927AD5" w:rsidRPr="00D47D1C" w:rsidRDefault="00927AD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77.717 </w:t>
            </w:r>
          </w:p>
        </w:tc>
      </w:tr>
      <w:tr w:rsidR="00927AD5" w:rsidRPr="00D47D1C" w14:paraId="512366CA" w14:textId="77777777" w:rsidTr="0034622E">
        <w:trPr>
          <w:trHeight w:hRule="exact" w:val="254"/>
        </w:trPr>
        <w:tc>
          <w:tcPr>
            <w:tcW w:w="1138" w:type="pct"/>
            <w:vAlign w:val="bottom"/>
          </w:tcPr>
          <w:p w14:paraId="7E825530" w14:textId="77777777" w:rsidR="00927AD5" w:rsidRPr="00D47D1C" w:rsidRDefault="00927AD5" w:rsidP="0034622E">
            <w:pPr>
              <w:tabs>
                <w:tab w:val="right" w:pos="1202"/>
              </w:tabs>
              <w:spacing w:line="240" w:lineRule="exact"/>
              <w:outlineLvl w:val="0"/>
              <w:rPr>
                <w:rFonts w:ascii="Arial" w:eastAsia="Calibri" w:hAnsi="Arial" w:cs="Arial"/>
                <w:b/>
                <w:bCs/>
                <w:color w:val="000000" w:themeColor="text1"/>
                <w:sz w:val="15"/>
                <w:szCs w:val="15"/>
              </w:rPr>
            </w:pPr>
            <w:r w:rsidRPr="00D47D1C">
              <w:rPr>
                <w:rFonts w:ascii="Arial" w:eastAsia="Calibri" w:hAnsi="Arial" w:cs="Arial"/>
                <w:color w:val="000000" w:themeColor="text1"/>
                <w:spacing w:val="-2"/>
                <w:sz w:val="15"/>
                <w:szCs w:val="15"/>
              </w:rPr>
              <w:t>Obveze po kreditima</w:t>
            </w:r>
          </w:p>
        </w:tc>
        <w:tc>
          <w:tcPr>
            <w:tcW w:w="482" w:type="pct"/>
            <w:tcBorders>
              <w:top w:val="nil"/>
              <w:left w:val="nil"/>
              <w:bottom w:val="nil"/>
              <w:right w:val="nil"/>
            </w:tcBorders>
            <w:vAlign w:val="bottom"/>
          </w:tcPr>
          <w:p w14:paraId="690B0467" w14:textId="77777777" w:rsidR="00927AD5" w:rsidRPr="00D47D1C" w:rsidRDefault="00927AD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59.925 </w:t>
            </w:r>
          </w:p>
        </w:tc>
        <w:tc>
          <w:tcPr>
            <w:tcW w:w="483" w:type="pct"/>
            <w:tcBorders>
              <w:top w:val="nil"/>
              <w:left w:val="nil"/>
              <w:bottom w:val="nil"/>
              <w:right w:val="nil"/>
            </w:tcBorders>
            <w:vAlign w:val="bottom"/>
          </w:tcPr>
          <w:p w14:paraId="66B4C7E5" w14:textId="77777777" w:rsidR="00927AD5" w:rsidRPr="00D47D1C" w:rsidRDefault="00927AD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162.220 </w:t>
            </w:r>
          </w:p>
        </w:tc>
        <w:tc>
          <w:tcPr>
            <w:tcW w:w="483" w:type="pct"/>
            <w:tcBorders>
              <w:top w:val="nil"/>
              <w:left w:val="nil"/>
              <w:bottom w:val="nil"/>
              <w:right w:val="nil"/>
            </w:tcBorders>
            <w:vAlign w:val="bottom"/>
          </w:tcPr>
          <w:p w14:paraId="40658C49" w14:textId="77777777" w:rsidR="00927AD5" w:rsidRPr="00D47D1C" w:rsidRDefault="00927AD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301.277 </w:t>
            </w:r>
          </w:p>
        </w:tc>
        <w:tc>
          <w:tcPr>
            <w:tcW w:w="483" w:type="pct"/>
            <w:tcBorders>
              <w:top w:val="nil"/>
              <w:left w:val="nil"/>
              <w:bottom w:val="nil"/>
              <w:right w:val="nil"/>
            </w:tcBorders>
            <w:vAlign w:val="bottom"/>
          </w:tcPr>
          <w:p w14:paraId="12C39C2C" w14:textId="77777777" w:rsidR="00927AD5" w:rsidRPr="00D47D1C" w:rsidRDefault="00927AD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637.050 </w:t>
            </w:r>
          </w:p>
        </w:tc>
        <w:tc>
          <w:tcPr>
            <w:tcW w:w="482" w:type="pct"/>
            <w:tcBorders>
              <w:top w:val="nil"/>
              <w:left w:val="nil"/>
              <w:bottom w:val="nil"/>
              <w:right w:val="nil"/>
            </w:tcBorders>
            <w:vAlign w:val="bottom"/>
          </w:tcPr>
          <w:p w14:paraId="754AFAAE" w14:textId="77777777" w:rsidR="00927AD5" w:rsidRPr="00D47D1C" w:rsidRDefault="00927AD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1.084.967 </w:t>
            </w:r>
          </w:p>
        </w:tc>
        <w:tc>
          <w:tcPr>
            <w:tcW w:w="483" w:type="pct"/>
            <w:tcBorders>
              <w:top w:val="nil"/>
              <w:left w:val="nil"/>
              <w:bottom w:val="nil"/>
              <w:right w:val="nil"/>
            </w:tcBorders>
            <w:vAlign w:val="bottom"/>
          </w:tcPr>
          <w:p w14:paraId="587FD5FA" w14:textId="77777777" w:rsidR="00927AD5" w:rsidRPr="00D47D1C" w:rsidRDefault="00927AD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5.737 </w:t>
            </w:r>
          </w:p>
        </w:tc>
        <w:tc>
          <w:tcPr>
            <w:tcW w:w="483" w:type="pct"/>
            <w:tcBorders>
              <w:top w:val="nil"/>
              <w:left w:val="nil"/>
              <w:bottom w:val="nil"/>
              <w:right w:val="nil"/>
            </w:tcBorders>
            <w:vAlign w:val="bottom"/>
          </w:tcPr>
          <w:p w14:paraId="3B40BFE5" w14:textId="77777777" w:rsidR="00927AD5" w:rsidRPr="00D47D1C" w:rsidRDefault="00927AD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2.251.176 </w:t>
            </w:r>
          </w:p>
        </w:tc>
        <w:tc>
          <w:tcPr>
            <w:tcW w:w="483" w:type="pct"/>
            <w:tcBorders>
              <w:top w:val="nil"/>
              <w:left w:val="nil"/>
              <w:bottom w:val="nil"/>
              <w:right w:val="nil"/>
            </w:tcBorders>
            <w:vAlign w:val="bottom"/>
          </w:tcPr>
          <w:p w14:paraId="3E0E997F" w14:textId="77777777" w:rsidR="00927AD5" w:rsidRPr="00D47D1C" w:rsidRDefault="00927AD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2.198.507 </w:t>
            </w:r>
          </w:p>
        </w:tc>
      </w:tr>
      <w:tr w:rsidR="00927AD5" w:rsidRPr="00D47D1C" w14:paraId="153B4C34" w14:textId="77777777" w:rsidTr="0034622E">
        <w:trPr>
          <w:trHeight w:hRule="exact" w:val="468"/>
        </w:trPr>
        <w:tc>
          <w:tcPr>
            <w:tcW w:w="1138" w:type="pct"/>
            <w:vAlign w:val="bottom"/>
          </w:tcPr>
          <w:p w14:paraId="562B426D" w14:textId="77777777" w:rsidR="00927AD5" w:rsidRPr="00D47D1C" w:rsidRDefault="00927AD5" w:rsidP="0034622E">
            <w:pPr>
              <w:tabs>
                <w:tab w:val="right" w:pos="1202"/>
              </w:tabs>
              <w:spacing w:line="240" w:lineRule="exact"/>
              <w:outlineLvl w:val="0"/>
              <w:rPr>
                <w:rFonts w:ascii="Arial" w:eastAsia="Calibri" w:hAnsi="Arial" w:cs="Arial"/>
                <w:color w:val="000000" w:themeColor="text1"/>
                <w:spacing w:val="-2"/>
                <w:sz w:val="15"/>
                <w:szCs w:val="15"/>
              </w:rPr>
            </w:pPr>
            <w:r w:rsidRPr="00D47D1C">
              <w:rPr>
                <w:rFonts w:ascii="Arial" w:eastAsia="Calibri" w:hAnsi="Arial" w:cs="Arial"/>
                <w:color w:val="000000" w:themeColor="text1"/>
                <w:spacing w:val="-2"/>
                <w:sz w:val="15"/>
                <w:szCs w:val="15"/>
              </w:rPr>
              <w:t>Rezerviranja za garancije, preuzete i ostale obveze</w:t>
            </w:r>
          </w:p>
        </w:tc>
        <w:tc>
          <w:tcPr>
            <w:tcW w:w="482" w:type="pct"/>
            <w:tcBorders>
              <w:top w:val="nil"/>
              <w:left w:val="nil"/>
              <w:bottom w:val="nil"/>
              <w:right w:val="nil"/>
            </w:tcBorders>
            <w:vAlign w:val="bottom"/>
          </w:tcPr>
          <w:p w14:paraId="54A030C7" w14:textId="77777777" w:rsidR="00927AD5" w:rsidRPr="00D47D1C" w:rsidDel="00344206" w:rsidRDefault="00927AD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 </w:t>
            </w:r>
          </w:p>
        </w:tc>
        <w:tc>
          <w:tcPr>
            <w:tcW w:w="483" w:type="pct"/>
            <w:tcBorders>
              <w:top w:val="nil"/>
              <w:left w:val="nil"/>
              <w:bottom w:val="nil"/>
              <w:right w:val="nil"/>
            </w:tcBorders>
            <w:vAlign w:val="bottom"/>
          </w:tcPr>
          <w:p w14:paraId="207C32B0" w14:textId="77777777" w:rsidR="00927AD5" w:rsidRPr="00D47D1C" w:rsidDel="00344206" w:rsidRDefault="00927AD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 </w:t>
            </w:r>
          </w:p>
        </w:tc>
        <w:tc>
          <w:tcPr>
            <w:tcW w:w="483" w:type="pct"/>
            <w:tcBorders>
              <w:top w:val="nil"/>
              <w:left w:val="nil"/>
              <w:bottom w:val="nil"/>
              <w:right w:val="nil"/>
            </w:tcBorders>
            <w:vAlign w:val="bottom"/>
          </w:tcPr>
          <w:p w14:paraId="57B14F18" w14:textId="77777777" w:rsidR="00927AD5" w:rsidRPr="00D47D1C" w:rsidDel="00344206" w:rsidRDefault="00927AD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 </w:t>
            </w:r>
          </w:p>
        </w:tc>
        <w:tc>
          <w:tcPr>
            <w:tcW w:w="483" w:type="pct"/>
            <w:tcBorders>
              <w:top w:val="nil"/>
              <w:left w:val="nil"/>
              <w:bottom w:val="nil"/>
              <w:right w:val="nil"/>
            </w:tcBorders>
            <w:vAlign w:val="bottom"/>
          </w:tcPr>
          <w:p w14:paraId="48343EA9" w14:textId="77777777" w:rsidR="00927AD5" w:rsidRPr="00D47D1C" w:rsidDel="00344206" w:rsidRDefault="00927AD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 </w:t>
            </w:r>
          </w:p>
        </w:tc>
        <w:tc>
          <w:tcPr>
            <w:tcW w:w="482" w:type="pct"/>
            <w:tcBorders>
              <w:top w:val="nil"/>
              <w:left w:val="nil"/>
              <w:bottom w:val="nil"/>
              <w:right w:val="nil"/>
            </w:tcBorders>
            <w:vAlign w:val="bottom"/>
          </w:tcPr>
          <w:p w14:paraId="1754A54D" w14:textId="77777777" w:rsidR="00927AD5" w:rsidRPr="00D47D1C" w:rsidDel="00344206" w:rsidRDefault="00927AD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 </w:t>
            </w:r>
          </w:p>
        </w:tc>
        <w:tc>
          <w:tcPr>
            <w:tcW w:w="483" w:type="pct"/>
            <w:tcBorders>
              <w:top w:val="nil"/>
              <w:left w:val="nil"/>
              <w:bottom w:val="nil"/>
              <w:right w:val="nil"/>
            </w:tcBorders>
            <w:vAlign w:val="bottom"/>
          </w:tcPr>
          <w:p w14:paraId="25562E86" w14:textId="77777777" w:rsidR="00927AD5" w:rsidRPr="00D47D1C" w:rsidDel="00344206" w:rsidRDefault="00927AD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24.382 </w:t>
            </w:r>
          </w:p>
        </w:tc>
        <w:tc>
          <w:tcPr>
            <w:tcW w:w="483" w:type="pct"/>
            <w:tcBorders>
              <w:top w:val="nil"/>
              <w:left w:val="nil"/>
              <w:bottom w:val="nil"/>
              <w:right w:val="nil"/>
            </w:tcBorders>
            <w:vAlign w:val="bottom"/>
          </w:tcPr>
          <w:p w14:paraId="7643A351" w14:textId="77777777" w:rsidR="00927AD5" w:rsidRPr="00D47D1C" w:rsidDel="00344206" w:rsidRDefault="00927AD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24.382 </w:t>
            </w:r>
          </w:p>
        </w:tc>
        <w:tc>
          <w:tcPr>
            <w:tcW w:w="483" w:type="pct"/>
            <w:tcBorders>
              <w:top w:val="nil"/>
              <w:left w:val="nil"/>
              <w:bottom w:val="nil"/>
              <w:right w:val="nil"/>
            </w:tcBorders>
            <w:vAlign w:val="bottom"/>
          </w:tcPr>
          <w:p w14:paraId="1BDD560F" w14:textId="77777777" w:rsidR="00927AD5" w:rsidRPr="00D47D1C" w:rsidDel="00344206" w:rsidRDefault="00927AD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 </w:t>
            </w:r>
          </w:p>
        </w:tc>
      </w:tr>
      <w:tr w:rsidR="00927AD5" w:rsidRPr="00D47D1C" w14:paraId="0357A719" w14:textId="77777777" w:rsidTr="0034622E">
        <w:trPr>
          <w:trHeight w:hRule="exact" w:val="251"/>
        </w:trPr>
        <w:tc>
          <w:tcPr>
            <w:tcW w:w="1138" w:type="pct"/>
            <w:vAlign w:val="bottom"/>
          </w:tcPr>
          <w:p w14:paraId="1EE716B2" w14:textId="77777777" w:rsidR="00927AD5" w:rsidRPr="00D47D1C" w:rsidRDefault="00927AD5" w:rsidP="0034622E">
            <w:pPr>
              <w:tabs>
                <w:tab w:val="right" w:pos="1202"/>
              </w:tabs>
              <w:spacing w:line="240" w:lineRule="exact"/>
              <w:outlineLvl w:val="0"/>
              <w:rPr>
                <w:rFonts w:ascii="Arial" w:eastAsia="Calibri" w:hAnsi="Arial" w:cs="Arial"/>
                <w:b/>
                <w:bCs/>
                <w:color w:val="000000" w:themeColor="text1"/>
                <w:sz w:val="15"/>
                <w:szCs w:val="15"/>
              </w:rPr>
            </w:pPr>
            <w:r w:rsidRPr="00D47D1C">
              <w:rPr>
                <w:rFonts w:ascii="Arial" w:eastAsia="Calibri" w:hAnsi="Arial" w:cs="Arial"/>
                <w:color w:val="000000" w:themeColor="text1"/>
                <w:spacing w:val="-2"/>
                <w:sz w:val="15"/>
                <w:szCs w:val="15"/>
              </w:rPr>
              <w:t>Ostale obveze</w:t>
            </w:r>
          </w:p>
        </w:tc>
        <w:tc>
          <w:tcPr>
            <w:tcW w:w="482" w:type="pct"/>
            <w:tcBorders>
              <w:top w:val="nil"/>
              <w:left w:val="nil"/>
              <w:bottom w:val="nil"/>
              <w:right w:val="nil"/>
            </w:tcBorders>
            <w:vAlign w:val="bottom"/>
          </w:tcPr>
          <w:p w14:paraId="225E8029" w14:textId="77777777" w:rsidR="00927AD5" w:rsidRPr="00D47D1C" w:rsidRDefault="00927AD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 </w:t>
            </w:r>
          </w:p>
        </w:tc>
        <w:tc>
          <w:tcPr>
            <w:tcW w:w="483" w:type="pct"/>
            <w:tcBorders>
              <w:top w:val="nil"/>
              <w:left w:val="nil"/>
              <w:bottom w:val="nil"/>
              <w:right w:val="nil"/>
            </w:tcBorders>
            <w:vAlign w:val="bottom"/>
          </w:tcPr>
          <w:p w14:paraId="1E67620A" w14:textId="77777777" w:rsidR="00927AD5" w:rsidRPr="00D47D1C" w:rsidRDefault="00927AD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 </w:t>
            </w:r>
          </w:p>
        </w:tc>
        <w:tc>
          <w:tcPr>
            <w:tcW w:w="483" w:type="pct"/>
            <w:tcBorders>
              <w:top w:val="nil"/>
              <w:left w:val="nil"/>
              <w:bottom w:val="nil"/>
              <w:right w:val="nil"/>
            </w:tcBorders>
            <w:vAlign w:val="bottom"/>
          </w:tcPr>
          <w:p w14:paraId="7F28D57F" w14:textId="77777777" w:rsidR="00927AD5" w:rsidRPr="00D47D1C" w:rsidRDefault="00927AD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 </w:t>
            </w:r>
          </w:p>
        </w:tc>
        <w:tc>
          <w:tcPr>
            <w:tcW w:w="483" w:type="pct"/>
            <w:tcBorders>
              <w:top w:val="nil"/>
              <w:left w:val="nil"/>
              <w:bottom w:val="nil"/>
              <w:right w:val="nil"/>
            </w:tcBorders>
            <w:vAlign w:val="bottom"/>
          </w:tcPr>
          <w:p w14:paraId="5C936E5C" w14:textId="77777777" w:rsidR="00927AD5" w:rsidRPr="00D47D1C" w:rsidRDefault="00927AD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 </w:t>
            </w:r>
          </w:p>
        </w:tc>
        <w:tc>
          <w:tcPr>
            <w:tcW w:w="482" w:type="pct"/>
            <w:tcBorders>
              <w:top w:val="nil"/>
              <w:left w:val="nil"/>
              <w:bottom w:val="nil"/>
              <w:right w:val="nil"/>
            </w:tcBorders>
            <w:vAlign w:val="bottom"/>
          </w:tcPr>
          <w:p w14:paraId="1EFD97C4" w14:textId="77777777" w:rsidR="00927AD5" w:rsidRPr="00D47D1C" w:rsidRDefault="00927AD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 </w:t>
            </w:r>
          </w:p>
        </w:tc>
        <w:tc>
          <w:tcPr>
            <w:tcW w:w="483" w:type="pct"/>
            <w:tcBorders>
              <w:top w:val="nil"/>
              <w:left w:val="nil"/>
              <w:right w:val="nil"/>
            </w:tcBorders>
            <w:vAlign w:val="bottom"/>
          </w:tcPr>
          <w:p w14:paraId="01B3F39A" w14:textId="77777777" w:rsidR="00927AD5" w:rsidRPr="00D47D1C" w:rsidRDefault="00927AD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93.223 </w:t>
            </w:r>
          </w:p>
        </w:tc>
        <w:tc>
          <w:tcPr>
            <w:tcW w:w="483" w:type="pct"/>
            <w:tcBorders>
              <w:top w:val="nil"/>
              <w:left w:val="nil"/>
              <w:right w:val="nil"/>
            </w:tcBorders>
            <w:vAlign w:val="bottom"/>
          </w:tcPr>
          <w:p w14:paraId="6F9513AA" w14:textId="77777777" w:rsidR="00927AD5" w:rsidRPr="00D47D1C" w:rsidRDefault="00927AD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93.223 </w:t>
            </w:r>
          </w:p>
        </w:tc>
        <w:tc>
          <w:tcPr>
            <w:tcW w:w="483" w:type="pct"/>
            <w:tcBorders>
              <w:top w:val="nil"/>
              <w:left w:val="nil"/>
              <w:right w:val="nil"/>
            </w:tcBorders>
            <w:vAlign w:val="bottom"/>
          </w:tcPr>
          <w:p w14:paraId="45204DDB" w14:textId="77777777" w:rsidR="00927AD5" w:rsidRPr="00D47D1C" w:rsidRDefault="00927AD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 </w:t>
            </w:r>
          </w:p>
        </w:tc>
      </w:tr>
      <w:tr w:rsidR="00927AD5" w:rsidRPr="00D47D1C" w14:paraId="766B0EE4" w14:textId="77777777" w:rsidTr="0034622E">
        <w:trPr>
          <w:trHeight w:hRule="exact" w:val="281"/>
        </w:trPr>
        <w:tc>
          <w:tcPr>
            <w:tcW w:w="1138" w:type="pct"/>
            <w:vAlign w:val="bottom"/>
          </w:tcPr>
          <w:p w14:paraId="54B22A12" w14:textId="77777777" w:rsidR="00927AD5" w:rsidRPr="00D47D1C" w:rsidRDefault="00927AD5" w:rsidP="0034622E">
            <w:pPr>
              <w:tabs>
                <w:tab w:val="right" w:pos="1202"/>
              </w:tabs>
              <w:spacing w:line="240" w:lineRule="exact"/>
              <w:outlineLvl w:val="0"/>
              <w:rPr>
                <w:rFonts w:ascii="Arial" w:eastAsia="Calibri" w:hAnsi="Arial" w:cs="Arial"/>
                <w:b/>
                <w:bCs/>
                <w:color w:val="000000" w:themeColor="text1"/>
                <w:sz w:val="15"/>
                <w:szCs w:val="15"/>
              </w:rPr>
            </w:pPr>
            <w:r w:rsidRPr="00D47D1C">
              <w:rPr>
                <w:rFonts w:ascii="Arial" w:eastAsia="Calibri" w:hAnsi="Arial" w:cs="Arial"/>
                <w:b/>
                <w:bCs/>
                <w:color w:val="000000" w:themeColor="text1"/>
                <w:sz w:val="15"/>
                <w:szCs w:val="15"/>
              </w:rPr>
              <w:t>Obveze</w:t>
            </w:r>
          </w:p>
        </w:tc>
        <w:tc>
          <w:tcPr>
            <w:tcW w:w="482" w:type="pct"/>
            <w:tcBorders>
              <w:top w:val="single" w:sz="8" w:space="0" w:color="auto"/>
              <w:left w:val="nil"/>
              <w:bottom w:val="single" w:sz="12" w:space="0" w:color="auto"/>
              <w:right w:val="nil"/>
            </w:tcBorders>
            <w:vAlign w:val="bottom"/>
          </w:tcPr>
          <w:p w14:paraId="5204D306" w14:textId="77777777" w:rsidR="00927AD5" w:rsidRPr="00D47D1C" w:rsidRDefault="00927AD5" w:rsidP="0034622E">
            <w:pPr>
              <w:jc w:val="right"/>
              <w:rPr>
                <w:rFonts w:ascii="Arial" w:eastAsia="Calibri" w:hAnsi="Arial" w:cs="Arial"/>
                <w:b/>
                <w:color w:val="000000" w:themeColor="text1"/>
                <w:sz w:val="15"/>
                <w:szCs w:val="15"/>
              </w:rPr>
            </w:pPr>
            <w:r w:rsidRPr="00F959D0">
              <w:rPr>
                <w:rFonts w:ascii="Arial" w:eastAsia="Calibri" w:hAnsi="Arial" w:cs="Arial"/>
                <w:b/>
                <w:color w:val="000000" w:themeColor="text1"/>
                <w:sz w:val="15"/>
                <w:szCs w:val="15"/>
              </w:rPr>
              <w:t xml:space="preserve"> 137.642 </w:t>
            </w:r>
          </w:p>
        </w:tc>
        <w:tc>
          <w:tcPr>
            <w:tcW w:w="483" w:type="pct"/>
            <w:tcBorders>
              <w:top w:val="single" w:sz="8" w:space="0" w:color="auto"/>
              <w:left w:val="nil"/>
              <w:bottom w:val="single" w:sz="12" w:space="0" w:color="auto"/>
              <w:right w:val="nil"/>
            </w:tcBorders>
            <w:vAlign w:val="bottom"/>
          </w:tcPr>
          <w:p w14:paraId="1E2068E5" w14:textId="77777777" w:rsidR="00927AD5" w:rsidRPr="00D47D1C" w:rsidRDefault="00927AD5" w:rsidP="0034622E">
            <w:pPr>
              <w:jc w:val="right"/>
              <w:rPr>
                <w:rFonts w:ascii="Arial" w:eastAsia="Calibri" w:hAnsi="Arial" w:cs="Arial"/>
                <w:b/>
                <w:color w:val="000000" w:themeColor="text1"/>
                <w:sz w:val="15"/>
                <w:szCs w:val="15"/>
              </w:rPr>
            </w:pPr>
            <w:r w:rsidRPr="00F959D0">
              <w:rPr>
                <w:rFonts w:ascii="Arial" w:eastAsia="Calibri" w:hAnsi="Arial" w:cs="Arial"/>
                <w:b/>
                <w:color w:val="000000" w:themeColor="text1"/>
                <w:sz w:val="15"/>
                <w:szCs w:val="15"/>
              </w:rPr>
              <w:t xml:space="preserve"> 162.220 </w:t>
            </w:r>
          </w:p>
        </w:tc>
        <w:tc>
          <w:tcPr>
            <w:tcW w:w="483" w:type="pct"/>
            <w:tcBorders>
              <w:top w:val="single" w:sz="8" w:space="0" w:color="auto"/>
              <w:left w:val="nil"/>
              <w:bottom w:val="single" w:sz="12" w:space="0" w:color="auto"/>
              <w:right w:val="nil"/>
            </w:tcBorders>
            <w:vAlign w:val="bottom"/>
          </w:tcPr>
          <w:p w14:paraId="5C64D941" w14:textId="77777777" w:rsidR="00927AD5" w:rsidRPr="00D47D1C" w:rsidRDefault="00927AD5" w:rsidP="0034622E">
            <w:pPr>
              <w:jc w:val="right"/>
              <w:rPr>
                <w:rFonts w:ascii="Arial" w:eastAsia="Calibri" w:hAnsi="Arial" w:cs="Arial"/>
                <w:b/>
                <w:color w:val="000000" w:themeColor="text1"/>
                <w:sz w:val="15"/>
                <w:szCs w:val="15"/>
              </w:rPr>
            </w:pPr>
            <w:r w:rsidRPr="00F959D0">
              <w:rPr>
                <w:rFonts w:ascii="Arial" w:eastAsia="Calibri" w:hAnsi="Arial" w:cs="Arial"/>
                <w:b/>
                <w:color w:val="000000" w:themeColor="text1"/>
                <w:sz w:val="15"/>
                <w:szCs w:val="15"/>
              </w:rPr>
              <w:t xml:space="preserve"> 301.277 </w:t>
            </w:r>
          </w:p>
        </w:tc>
        <w:tc>
          <w:tcPr>
            <w:tcW w:w="483" w:type="pct"/>
            <w:tcBorders>
              <w:top w:val="single" w:sz="8" w:space="0" w:color="auto"/>
              <w:left w:val="nil"/>
              <w:bottom w:val="single" w:sz="12" w:space="0" w:color="auto"/>
              <w:right w:val="nil"/>
            </w:tcBorders>
            <w:vAlign w:val="bottom"/>
          </w:tcPr>
          <w:p w14:paraId="23EF7811" w14:textId="77777777" w:rsidR="00927AD5" w:rsidRPr="00D47D1C" w:rsidRDefault="00927AD5" w:rsidP="0034622E">
            <w:pPr>
              <w:jc w:val="right"/>
              <w:rPr>
                <w:rFonts w:ascii="Arial" w:eastAsia="Calibri" w:hAnsi="Arial" w:cs="Arial"/>
                <w:b/>
                <w:color w:val="000000" w:themeColor="text1"/>
                <w:sz w:val="15"/>
                <w:szCs w:val="15"/>
              </w:rPr>
            </w:pPr>
            <w:r w:rsidRPr="00F959D0">
              <w:rPr>
                <w:rFonts w:ascii="Arial" w:eastAsia="Calibri" w:hAnsi="Arial" w:cs="Arial"/>
                <w:b/>
                <w:color w:val="000000" w:themeColor="text1"/>
                <w:sz w:val="15"/>
                <w:szCs w:val="15"/>
              </w:rPr>
              <w:t xml:space="preserve"> 637.050 </w:t>
            </w:r>
          </w:p>
        </w:tc>
        <w:tc>
          <w:tcPr>
            <w:tcW w:w="482" w:type="pct"/>
            <w:tcBorders>
              <w:top w:val="single" w:sz="8" w:space="0" w:color="auto"/>
              <w:left w:val="nil"/>
              <w:bottom w:val="single" w:sz="12" w:space="0" w:color="auto"/>
              <w:right w:val="nil"/>
            </w:tcBorders>
            <w:vAlign w:val="bottom"/>
          </w:tcPr>
          <w:p w14:paraId="34DDFBC5" w14:textId="77777777" w:rsidR="00927AD5" w:rsidRPr="00D47D1C" w:rsidRDefault="00927AD5" w:rsidP="0034622E">
            <w:pPr>
              <w:jc w:val="right"/>
              <w:rPr>
                <w:rFonts w:ascii="Arial" w:eastAsia="Calibri" w:hAnsi="Arial" w:cs="Arial"/>
                <w:b/>
                <w:color w:val="000000" w:themeColor="text1"/>
                <w:sz w:val="15"/>
                <w:szCs w:val="15"/>
              </w:rPr>
            </w:pPr>
            <w:r w:rsidRPr="00F959D0">
              <w:rPr>
                <w:rFonts w:ascii="Arial" w:eastAsia="Calibri" w:hAnsi="Arial" w:cs="Arial"/>
                <w:b/>
                <w:color w:val="000000" w:themeColor="text1"/>
                <w:sz w:val="15"/>
                <w:szCs w:val="15"/>
              </w:rPr>
              <w:t xml:space="preserve"> 1.084.967 </w:t>
            </w:r>
          </w:p>
        </w:tc>
        <w:tc>
          <w:tcPr>
            <w:tcW w:w="483" w:type="pct"/>
            <w:tcBorders>
              <w:top w:val="single" w:sz="8" w:space="0" w:color="auto"/>
              <w:left w:val="nil"/>
              <w:bottom w:val="single" w:sz="12" w:space="0" w:color="auto"/>
              <w:right w:val="nil"/>
            </w:tcBorders>
            <w:vAlign w:val="bottom"/>
          </w:tcPr>
          <w:p w14:paraId="43107501" w14:textId="77777777" w:rsidR="00927AD5" w:rsidRPr="00D47D1C" w:rsidRDefault="00927AD5" w:rsidP="0034622E">
            <w:pPr>
              <w:jc w:val="right"/>
              <w:rPr>
                <w:rFonts w:ascii="Arial" w:eastAsia="Calibri" w:hAnsi="Arial" w:cs="Arial"/>
                <w:b/>
                <w:color w:val="000000" w:themeColor="text1"/>
                <w:sz w:val="15"/>
                <w:szCs w:val="15"/>
              </w:rPr>
            </w:pPr>
            <w:r w:rsidRPr="00F959D0">
              <w:rPr>
                <w:rFonts w:ascii="Arial" w:eastAsia="Calibri" w:hAnsi="Arial" w:cs="Arial"/>
                <w:b/>
                <w:color w:val="000000" w:themeColor="text1"/>
                <w:sz w:val="15"/>
                <w:szCs w:val="15"/>
              </w:rPr>
              <w:t xml:space="preserve"> 240.501 </w:t>
            </w:r>
          </w:p>
        </w:tc>
        <w:tc>
          <w:tcPr>
            <w:tcW w:w="483" w:type="pct"/>
            <w:tcBorders>
              <w:top w:val="single" w:sz="8" w:space="0" w:color="auto"/>
              <w:left w:val="nil"/>
              <w:bottom w:val="single" w:sz="12" w:space="0" w:color="auto"/>
              <w:right w:val="nil"/>
            </w:tcBorders>
            <w:vAlign w:val="bottom"/>
          </w:tcPr>
          <w:p w14:paraId="6965894B" w14:textId="77777777" w:rsidR="00927AD5" w:rsidRPr="00D47D1C" w:rsidRDefault="00927AD5" w:rsidP="0034622E">
            <w:pPr>
              <w:jc w:val="right"/>
              <w:rPr>
                <w:rFonts w:ascii="Arial" w:eastAsia="Calibri" w:hAnsi="Arial" w:cs="Arial"/>
                <w:b/>
                <w:color w:val="000000" w:themeColor="text1"/>
                <w:sz w:val="15"/>
                <w:szCs w:val="15"/>
              </w:rPr>
            </w:pPr>
            <w:r w:rsidRPr="00F959D0">
              <w:rPr>
                <w:rFonts w:ascii="Arial" w:eastAsia="Calibri" w:hAnsi="Arial" w:cs="Arial"/>
                <w:b/>
                <w:color w:val="000000" w:themeColor="text1"/>
                <w:sz w:val="15"/>
                <w:szCs w:val="15"/>
              </w:rPr>
              <w:t xml:space="preserve"> 2.563.657 </w:t>
            </w:r>
          </w:p>
        </w:tc>
        <w:tc>
          <w:tcPr>
            <w:tcW w:w="483" w:type="pct"/>
            <w:tcBorders>
              <w:top w:val="single" w:sz="8" w:space="0" w:color="auto"/>
              <w:left w:val="nil"/>
              <w:bottom w:val="single" w:sz="12" w:space="0" w:color="auto"/>
              <w:right w:val="nil"/>
            </w:tcBorders>
            <w:vAlign w:val="bottom"/>
          </w:tcPr>
          <w:p w14:paraId="7750EB98" w14:textId="77777777" w:rsidR="00927AD5" w:rsidRPr="00D47D1C" w:rsidRDefault="00927AD5" w:rsidP="0034622E">
            <w:pPr>
              <w:jc w:val="right"/>
              <w:rPr>
                <w:rFonts w:ascii="Arial" w:eastAsia="Calibri" w:hAnsi="Arial" w:cs="Arial"/>
                <w:b/>
                <w:color w:val="000000" w:themeColor="text1"/>
                <w:sz w:val="15"/>
                <w:szCs w:val="15"/>
              </w:rPr>
            </w:pPr>
            <w:r w:rsidRPr="00F959D0">
              <w:rPr>
                <w:rFonts w:ascii="Arial" w:eastAsia="Calibri" w:hAnsi="Arial" w:cs="Arial"/>
                <w:b/>
                <w:color w:val="000000" w:themeColor="text1"/>
                <w:sz w:val="15"/>
                <w:szCs w:val="15"/>
              </w:rPr>
              <w:t xml:space="preserve"> 2.276.224 </w:t>
            </w:r>
          </w:p>
        </w:tc>
      </w:tr>
      <w:tr w:rsidR="00927AD5" w:rsidRPr="00D47D1C" w14:paraId="1E6AFACB" w14:textId="77777777" w:rsidTr="0034622E">
        <w:trPr>
          <w:trHeight w:hRule="exact" w:val="285"/>
        </w:trPr>
        <w:tc>
          <w:tcPr>
            <w:tcW w:w="1138" w:type="pct"/>
            <w:vAlign w:val="bottom"/>
          </w:tcPr>
          <w:p w14:paraId="04273798" w14:textId="77777777" w:rsidR="00927AD5" w:rsidRPr="00D47D1C" w:rsidRDefault="00927AD5" w:rsidP="0034622E">
            <w:pPr>
              <w:tabs>
                <w:tab w:val="right" w:pos="1202"/>
              </w:tabs>
              <w:spacing w:line="240" w:lineRule="exact"/>
              <w:outlineLvl w:val="0"/>
              <w:rPr>
                <w:rFonts w:ascii="Arial" w:eastAsia="Calibri" w:hAnsi="Arial" w:cs="Arial"/>
                <w:b/>
                <w:bCs/>
                <w:color w:val="000000" w:themeColor="text1"/>
                <w:sz w:val="15"/>
                <w:szCs w:val="15"/>
              </w:rPr>
            </w:pPr>
            <w:r w:rsidRPr="00D47D1C">
              <w:rPr>
                <w:rFonts w:ascii="Arial" w:eastAsia="Calibri" w:hAnsi="Arial" w:cs="Arial"/>
                <w:b/>
                <w:bCs/>
                <w:color w:val="000000" w:themeColor="text1"/>
                <w:spacing w:val="-2"/>
                <w:sz w:val="15"/>
                <w:szCs w:val="15"/>
              </w:rPr>
              <w:t>Kamatni jaz</w:t>
            </w:r>
          </w:p>
        </w:tc>
        <w:tc>
          <w:tcPr>
            <w:tcW w:w="482" w:type="pct"/>
            <w:tcBorders>
              <w:top w:val="nil"/>
              <w:left w:val="nil"/>
              <w:bottom w:val="single" w:sz="12" w:space="0" w:color="auto"/>
              <w:right w:val="nil"/>
            </w:tcBorders>
            <w:shd w:val="clear" w:color="auto" w:fill="auto"/>
            <w:vAlign w:val="bottom"/>
          </w:tcPr>
          <w:p w14:paraId="6F8C71F2" w14:textId="77777777" w:rsidR="00927AD5" w:rsidRPr="00D47D1C" w:rsidRDefault="00927AD5" w:rsidP="0034622E">
            <w:pPr>
              <w:jc w:val="right"/>
              <w:rPr>
                <w:rFonts w:ascii="Arial" w:eastAsia="Calibri" w:hAnsi="Arial" w:cs="Arial"/>
                <w:b/>
                <w:color w:val="000000" w:themeColor="text1"/>
                <w:sz w:val="15"/>
                <w:szCs w:val="15"/>
              </w:rPr>
            </w:pPr>
            <w:r w:rsidRPr="00F959D0">
              <w:rPr>
                <w:rFonts w:ascii="Arial" w:eastAsia="Calibri" w:hAnsi="Arial" w:cs="Arial"/>
                <w:b/>
                <w:color w:val="000000" w:themeColor="text1"/>
                <w:sz w:val="15"/>
                <w:szCs w:val="15"/>
              </w:rPr>
              <w:t xml:space="preserve"> 316.155 </w:t>
            </w:r>
          </w:p>
        </w:tc>
        <w:tc>
          <w:tcPr>
            <w:tcW w:w="483" w:type="pct"/>
            <w:tcBorders>
              <w:top w:val="nil"/>
              <w:left w:val="nil"/>
              <w:bottom w:val="single" w:sz="12" w:space="0" w:color="auto"/>
              <w:right w:val="nil"/>
            </w:tcBorders>
            <w:shd w:val="clear" w:color="auto" w:fill="auto"/>
            <w:vAlign w:val="bottom"/>
          </w:tcPr>
          <w:p w14:paraId="79FC45CD" w14:textId="77777777" w:rsidR="00927AD5" w:rsidRPr="00D47D1C" w:rsidRDefault="00927AD5" w:rsidP="0034622E">
            <w:pPr>
              <w:jc w:val="right"/>
              <w:rPr>
                <w:rFonts w:ascii="Arial" w:eastAsia="Calibri" w:hAnsi="Arial" w:cs="Arial"/>
                <w:b/>
                <w:color w:val="000000" w:themeColor="text1"/>
                <w:sz w:val="15"/>
                <w:szCs w:val="15"/>
              </w:rPr>
            </w:pPr>
            <w:r w:rsidRPr="00F959D0">
              <w:rPr>
                <w:rFonts w:ascii="Arial" w:eastAsia="Calibri" w:hAnsi="Arial" w:cs="Arial"/>
                <w:b/>
                <w:color w:val="000000" w:themeColor="text1"/>
                <w:sz w:val="15"/>
                <w:szCs w:val="15"/>
              </w:rPr>
              <w:t xml:space="preserve"> 104.808 </w:t>
            </w:r>
          </w:p>
        </w:tc>
        <w:tc>
          <w:tcPr>
            <w:tcW w:w="483" w:type="pct"/>
            <w:tcBorders>
              <w:top w:val="nil"/>
              <w:left w:val="nil"/>
              <w:bottom w:val="single" w:sz="12" w:space="0" w:color="auto"/>
              <w:right w:val="nil"/>
            </w:tcBorders>
            <w:shd w:val="clear" w:color="auto" w:fill="auto"/>
            <w:vAlign w:val="bottom"/>
          </w:tcPr>
          <w:p w14:paraId="5E0EB119" w14:textId="77777777" w:rsidR="00927AD5" w:rsidRPr="00D47D1C" w:rsidRDefault="00927AD5" w:rsidP="0034622E">
            <w:pPr>
              <w:jc w:val="right"/>
              <w:rPr>
                <w:rFonts w:ascii="Arial" w:eastAsia="Calibri" w:hAnsi="Arial" w:cs="Arial"/>
                <w:b/>
                <w:color w:val="000000" w:themeColor="text1"/>
                <w:sz w:val="15"/>
                <w:szCs w:val="15"/>
              </w:rPr>
            </w:pPr>
            <w:r w:rsidRPr="00F959D0">
              <w:rPr>
                <w:rFonts w:ascii="Arial" w:eastAsia="Calibri" w:hAnsi="Arial" w:cs="Arial"/>
                <w:b/>
                <w:color w:val="000000" w:themeColor="text1"/>
                <w:sz w:val="15"/>
                <w:szCs w:val="15"/>
              </w:rPr>
              <w:t xml:space="preserve"> 163.438 </w:t>
            </w:r>
          </w:p>
        </w:tc>
        <w:tc>
          <w:tcPr>
            <w:tcW w:w="483" w:type="pct"/>
            <w:tcBorders>
              <w:top w:val="nil"/>
              <w:left w:val="nil"/>
              <w:bottom w:val="single" w:sz="12" w:space="0" w:color="auto"/>
              <w:right w:val="nil"/>
            </w:tcBorders>
            <w:shd w:val="clear" w:color="auto" w:fill="auto"/>
            <w:vAlign w:val="bottom"/>
          </w:tcPr>
          <w:p w14:paraId="74ACEE03" w14:textId="77777777" w:rsidR="00927AD5" w:rsidRPr="00D47D1C" w:rsidRDefault="00927AD5" w:rsidP="0034622E">
            <w:pPr>
              <w:jc w:val="right"/>
              <w:rPr>
                <w:rFonts w:ascii="Arial" w:eastAsia="Calibri" w:hAnsi="Arial" w:cs="Arial"/>
                <w:b/>
                <w:color w:val="000000" w:themeColor="text1"/>
                <w:sz w:val="15"/>
                <w:szCs w:val="15"/>
              </w:rPr>
            </w:pPr>
            <w:r w:rsidRPr="00F959D0">
              <w:rPr>
                <w:rFonts w:ascii="Arial" w:eastAsia="Calibri" w:hAnsi="Arial" w:cs="Arial"/>
                <w:b/>
                <w:color w:val="000000" w:themeColor="text1"/>
                <w:sz w:val="15"/>
                <w:szCs w:val="15"/>
              </w:rPr>
              <w:t xml:space="preserve"> 383.029 </w:t>
            </w:r>
          </w:p>
        </w:tc>
        <w:tc>
          <w:tcPr>
            <w:tcW w:w="482" w:type="pct"/>
            <w:tcBorders>
              <w:top w:val="nil"/>
              <w:left w:val="nil"/>
              <w:bottom w:val="single" w:sz="12" w:space="0" w:color="auto"/>
              <w:right w:val="nil"/>
            </w:tcBorders>
            <w:shd w:val="clear" w:color="auto" w:fill="auto"/>
            <w:vAlign w:val="bottom"/>
          </w:tcPr>
          <w:p w14:paraId="2933D271" w14:textId="77777777" w:rsidR="00927AD5" w:rsidRPr="00D47D1C" w:rsidRDefault="00927AD5" w:rsidP="0034622E">
            <w:pPr>
              <w:jc w:val="right"/>
              <w:rPr>
                <w:rFonts w:ascii="Arial" w:eastAsia="Calibri" w:hAnsi="Arial" w:cs="Arial"/>
                <w:b/>
                <w:color w:val="000000" w:themeColor="text1"/>
                <w:sz w:val="15"/>
                <w:szCs w:val="15"/>
              </w:rPr>
            </w:pPr>
            <w:r w:rsidRPr="00F959D0">
              <w:rPr>
                <w:rFonts w:ascii="Arial" w:eastAsia="Calibri" w:hAnsi="Arial" w:cs="Arial"/>
                <w:b/>
                <w:color w:val="000000" w:themeColor="text1"/>
                <w:sz w:val="15"/>
                <w:szCs w:val="15"/>
              </w:rPr>
              <w:t xml:space="preserve"> 655.251 </w:t>
            </w:r>
          </w:p>
        </w:tc>
        <w:tc>
          <w:tcPr>
            <w:tcW w:w="483" w:type="pct"/>
            <w:tcBorders>
              <w:top w:val="nil"/>
              <w:left w:val="nil"/>
              <w:bottom w:val="single" w:sz="12" w:space="0" w:color="auto"/>
              <w:right w:val="nil"/>
            </w:tcBorders>
            <w:shd w:val="clear" w:color="auto" w:fill="auto"/>
            <w:vAlign w:val="bottom"/>
          </w:tcPr>
          <w:p w14:paraId="441CFB83" w14:textId="77777777" w:rsidR="00927AD5" w:rsidRPr="00D47D1C" w:rsidRDefault="00927AD5" w:rsidP="0034622E">
            <w:pPr>
              <w:jc w:val="right"/>
              <w:rPr>
                <w:rFonts w:ascii="Arial" w:eastAsia="Calibri" w:hAnsi="Arial" w:cs="Arial"/>
                <w:b/>
                <w:color w:val="000000" w:themeColor="text1"/>
                <w:sz w:val="15"/>
                <w:szCs w:val="15"/>
              </w:rPr>
            </w:pPr>
            <w:r w:rsidRPr="00F959D0">
              <w:rPr>
                <w:rFonts w:ascii="Arial" w:eastAsia="Calibri" w:hAnsi="Arial" w:cs="Arial"/>
                <w:b/>
                <w:color w:val="000000" w:themeColor="text1"/>
                <w:sz w:val="15"/>
                <w:szCs w:val="15"/>
              </w:rPr>
              <w:t xml:space="preserve"> (171.961)</w:t>
            </w:r>
          </w:p>
        </w:tc>
        <w:tc>
          <w:tcPr>
            <w:tcW w:w="483" w:type="pct"/>
            <w:tcBorders>
              <w:top w:val="nil"/>
              <w:left w:val="nil"/>
              <w:bottom w:val="single" w:sz="12" w:space="0" w:color="auto"/>
              <w:right w:val="nil"/>
            </w:tcBorders>
            <w:shd w:val="clear" w:color="auto" w:fill="auto"/>
            <w:vAlign w:val="bottom"/>
          </w:tcPr>
          <w:p w14:paraId="26E9AEDA" w14:textId="77777777" w:rsidR="00927AD5" w:rsidRPr="00D47D1C" w:rsidRDefault="00927AD5" w:rsidP="0034622E">
            <w:pPr>
              <w:jc w:val="right"/>
              <w:rPr>
                <w:rFonts w:ascii="Arial" w:eastAsia="Calibri" w:hAnsi="Arial" w:cs="Arial"/>
                <w:b/>
                <w:color w:val="000000" w:themeColor="text1"/>
                <w:sz w:val="15"/>
                <w:szCs w:val="15"/>
              </w:rPr>
            </w:pPr>
            <w:r w:rsidRPr="00F959D0">
              <w:rPr>
                <w:rFonts w:ascii="Arial" w:eastAsia="Calibri" w:hAnsi="Arial" w:cs="Arial"/>
                <w:b/>
                <w:color w:val="000000" w:themeColor="text1"/>
                <w:sz w:val="15"/>
                <w:szCs w:val="15"/>
              </w:rPr>
              <w:t xml:space="preserve"> 1.450.720 </w:t>
            </w:r>
          </w:p>
        </w:tc>
        <w:tc>
          <w:tcPr>
            <w:tcW w:w="483" w:type="pct"/>
            <w:tcBorders>
              <w:top w:val="nil"/>
              <w:left w:val="nil"/>
              <w:bottom w:val="single" w:sz="12" w:space="0" w:color="auto"/>
              <w:right w:val="nil"/>
            </w:tcBorders>
            <w:shd w:val="clear" w:color="auto" w:fill="auto"/>
            <w:vAlign w:val="bottom"/>
          </w:tcPr>
          <w:p w14:paraId="6DE5A800" w14:textId="77777777" w:rsidR="00927AD5" w:rsidRPr="00D47D1C" w:rsidRDefault="00927AD5" w:rsidP="0034622E">
            <w:pPr>
              <w:jc w:val="right"/>
              <w:rPr>
                <w:rFonts w:ascii="Arial" w:eastAsia="Calibri" w:hAnsi="Arial" w:cs="Arial"/>
                <w:b/>
                <w:color w:val="000000" w:themeColor="text1"/>
                <w:sz w:val="15"/>
                <w:szCs w:val="15"/>
              </w:rPr>
            </w:pPr>
            <w:r w:rsidRPr="00F959D0">
              <w:rPr>
                <w:rFonts w:ascii="Arial" w:eastAsia="Calibri" w:hAnsi="Arial" w:cs="Arial"/>
                <w:b/>
                <w:color w:val="000000" w:themeColor="text1"/>
                <w:sz w:val="15"/>
                <w:szCs w:val="15"/>
              </w:rPr>
              <w:t xml:space="preserve"> 1.530.795 </w:t>
            </w:r>
          </w:p>
        </w:tc>
      </w:tr>
    </w:tbl>
    <w:p w14:paraId="1D873643" w14:textId="77777777" w:rsidR="000C7E59" w:rsidRPr="003D1614" w:rsidRDefault="000C7E59" w:rsidP="000C7E59">
      <w:pPr>
        <w:suppressAutoHyphens/>
        <w:autoSpaceDN w:val="0"/>
        <w:jc w:val="both"/>
        <w:rPr>
          <w:rFonts w:ascii="Arial" w:eastAsia="Times New Roman" w:hAnsi="Arial" w:cs="Arial"/>
          <w:bCs/>
          <w:i/>
          <w:color w:val="000000" w:themeColor="text1"/>
          <w:sz w:val="18"/>
          <w:szCs w:val="18"/>
        </w:rPr>
      </w:pPr>
    </w:p>
    <w:p w14:paraId="33635871" w14:textId="0ACBA84D" w:rsidR="000C7E59" w:rsidRPr="003D1614" w:rsidRDefault="000C7E59" w:rsidP="00661446">
      <w:pPr>
        <w:suppressAutoHyphens/>
        <w:autoSpaceDN w:val="0"/>
        <w:jc w:val="both"/>
        <w:rPr>
          <w:rFonts w:ascii="Arial" w:eastAsia="Times New Roman" w:hAnsi="Arial" w:cs="Arial"/>
          <w:bCs/>
          <w:i/>
          <w:color w:val="000000" w:themeColor="text1"/>
          <w:sz w:val="18"/>
          <w:szCs w:val="18"/>
        </w:rPr>
      </w:pPr>
    </w:p>
    <w:p w14:paraId="3734321C" w14:textId="77777777" w:rsidR="000C7E59" w:rsidRPr="003D1614" w:rsidRDefault="000C7E59" w:rsidP="00661446">
      <w:pPr>
        <w:suppressAutoHyphens/>
        <w:autoSpaceDN w:val="0"/>
        <w:jc w:val="both"/>
        <w:rPr>
          <w:rFonts w:ascii="Arial" w:eastAsia="Times New Roman" w:hAnsi="Arial" w:cs="Arial"/>
          <w:bCs/>
          <w:i/>
          <w:color w:val="000000" w:themeColor="text1"/>
          <w:sz w:val="18"/>
          <w:szCs w:val="18"/>
        </w:rPr>
        <w:sectPr w:rsidR="000C7E59" w:rsidRPr="003D1614" w:rsidSect="003278AB">
          <w:pgSz w:w="11906" w:h="16838"/>
          <w:pgMar w:top="1417" w:right="1417" w:bottom="1417" w:left="1417" w:header="708" w:footer="708" w:gutter="0"/>
          <w:cols w:space="708"/>
          <w:docGrid w:linePitch="360"/>
        </w:sectPr>
      </w:pPr>
    </w:p>
    <w:p w14:paraId="39FF6D44" w14:textId="77777777" w:rsidR="000C7E59" w:rsidRPr="003D1614" w:rsidRDefault="000C7E59" w:rsidP="000C7E59">
      <w:pPr>
        <w:tabs>
          <w:tab w:val="left" w:pos="-720"/>
        </w:tabs>
        <w:suppressAutoHyphens/>
        <w:autoSpaceDN w:val="0"/>
        <w:rPr>
          <w:rFonts w:ascii="Arial" w:eastAsia="Times New Roman" w:hAnsi="Arial" w:cs="Arial"/>
          <w:b/>
          <w:color w:val="000000" w:themeColor="text1"/>
          <w:spacing w:val="-3"/>
          <w:sz w:val="20"/>
          <w:szCs w:val="20"/>
        </w:rPr>
      </w:pPr>
    </w:p>
    <w:p w14:paraId="170FA20C" w14:textId="3B46C233" w:rsidR="000C7E59" w:rsidRPr="003D1614" w:rsidRDefault="000C7E59" w:rsidP="000C7E59">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Upravljanje rizicima (nastavak)</w:t>
      </w:r>
    </w:p>
    <w:p w14:paraId="4DC85FC1" w14:textId="77777777" w:rsidR="000C7E59" w:rsidRPr="003D1614" w:rsidRDefault="000C7E59" w:rsidP="000C7E59">
      <w:pPr>
        <w:keepNext/>
        <w:suppressAutoHyphens/>
        <w:autoSpaceDN w:val="0"/>
        <w:ind w:left="709" w:hanging="709"/>
        <w:jc w:val="both"/>
        <w:outlineLvl w:val="0"/>
        <w:rPr>
          <w:rFonts w:ascii="Arial" w:eastAsia="Times New Roman" w:hAnsi="Arial" w:cs="Arial"/>
          <w:b/>
          <w:bCs/>
          <w:color w:val="000000" w:themeColor="text1"/>
          <w:sz w:val="20"/>
          <w:szCs w:val="20"/>
        </w:rPr>
      </w:pPr>
    </w:p>
    <w:p w14:paraId="1B0E4E33" w14:textId="03C96BA6" w:rsidR="000C7E59" w:rsidRPr="003D1614" w:rsidRDefault="000C7E59" w:rsidP="000C7E59">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.5.     Tržišni rizik (nastavak)</w:t>
      </w:r>
    </w:p>
    <w:p w14:paraId="0EDAC143" w14:textId="77777777" w:rsidR="000C7E59" w:rsidRPr="003D1614" w:rsidRDefault="000C7E59" w:rsidP="000C7E59">
      <w:pPr>
        <w:keepNext/>
        <w:suppressAutoHyphens/>
        <w:autoSpaceDN w:val="0"/>
        <w:ind w:left="709" w:hanging="709"/>
        <w:jc w:val="both"/>
        <w:outlineLvl w:val="0"/>
        <w:rPr>
          <w:rFonts w:ascii="Arial" w:eastAsia="Times New Roman" w:hAnsi="Arial" w:cs="Arial"/>
          <w:b/>
          <w:bCs/>
          <w:color w:val="000000" w:themeColor="text1"/>
          <w:sz w:val="20"/>
          <w:szCs w:val="20"/>
        </w:rPr>
      </w:pPr>
    </w:p>
    <w:p w14:paraId="7934ECCC" w14:textId="0F1A6512" w:rsidR="000C7E59" w:rsidRPr="003D1614" w:rsidRDefault="000C7E59" w:rsidP="000C7E59">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.5.1.  Kamatni rizik (nastavak)</w:t>
      </w:r>
    </w:p>
    <w:p w14:paraId="7E6D368E" w14:textId="77777777" w:rsidR="000C7E59" w:rsidRPr="003D1614" w:rsidRDefault="000C7E59" w:rsidP="000C7E59">
      <w:pPr>
        <w:suppressAutoHyphens/>
        <w:autoSpaceDN w:val="0"/>
        <w:ind w:right="-6"/>
        <w:jc w:val="both"/>
        <w:rPr>
          <w:rFonts w:ascii="Arial" w:eastAsia="Times New Roman" w:hAnsi="Arial" w:cs="Arial"/>
          <w:iCs/>
          <w:color w:val="000000" w:themeColor="text1"/>
          <w:sz w:val="20"/>
          <w:szCs w:val="20"/>
        </w:rPr>
      </w:pPr>
    </w:p>
    <w:p w14:paraId="3ED2EDE2" w14:textId="1C12F111" w:rsidR="000C7E59" w:rsidRPr="003D1614" w:rsidRDefault="000C7E59" w:rsidP="000C7E59">
      <w:pPr>
        <w:suppressAutoHyphens/>
        <w:autoSpaceDN w:val="0"/>
        <w:jc w:val="both"/>
        <w:rPr>
          <w:rFonts w:ascii="Arial" w:eastAsia="Times New Roman" w:hAnsi="Arial" w:cs="Arial"/>
          <w:iCs/>
          <w:color w:val="000000" w:themeColor="text1"/>
          <w:sz w:val="20"/>
          <w:szCs w:val="20"/>
        </w:rPr>
      </w:pPr>
      <w:r w:rsidRPr="003D1614">
        <w:rPr>
          <w:rFonts w:ascii="Arial" w:eastAsia="Times New Roman" w:hAnsi="Arial" w:cs="Arial"/>
          <w:iCs/>
          <w:color w:val="000000" w:themeColor="text1"/>
          <w:sz w:val="20"/>
          <w:szCs w:val="20"/>
        </w:rPr>
        <w:t xml:space="preserve">Tabele u nastavku prikazuju osjetljivost HBOR-a na rizik kamatnih stopa na dan </w:t>
      </w:r>
      <w:r w:rsidR="003F0E20" w:rsidRPr="003F0E20">
        <w:rPr>
          <w:rFonts w:ascii="Arial" w:eastAsia="Times New Roman" w:hAnsi="Arial" w:cs="Arial"/>
          <w:iCs/>
          <w:color w:val="000000" w:themeColor="text1"/>
          <w:sz w:val="20"/>
          <w:szCs w:val="20"/>
        </w:rPr>
        <w:t>30. rujna 202</w:t>
      </w:r>
      <w:r w:rsidR="00EA2B4A">
        <w:rPr>
          <w:rFonts w:ascii="Arial" w:eastAsia="Times New Roman" w:hAnsi="Arial" w:cs="Arial"/>
          <w:iCs/>
          <w:color w:val="000000" w:themeColor="text1"/>
          <w:sz w:val="20"/>
          <w:szCs w:val="20"/>
        </w:rPr>
        <w:t>4</w:t>
      </w:r>
      <w:r w:rsidR="003F0E20" w:rsidRPr="003F0E20">
        <w:rPr>
          <w:rFonts w:ascii="Arial" w:eastAsia="Times New Roman" w:hAnsi="Arial" w:cs="Arial"/>
          <w:iCs/>
          <w:color w:val="000000" w:themeColor="text1"/>
          <w:sz w:val="20"/>
          <w:szCs w:val="20"/>
        </w:rPr>
        <w:t>.</w:t>
      </w:r>
      <w:r w:rsidR="003F0E20">
        <w:rPr>
          <w:rFonts w:ascii="Arial" w:eastAsia="Times New Roman" w:hAnsi="Arial" w:cs="Arial"/>
          <w:iCs/>
          <w:color w:val="000000" w:themeColor="text1"/>
          <w:sz w:val="20"/>
          <w:szCs w:val="20"/>
        </w:rPr>
        <w:t xml:space="preserve"> </w:t>
      </w:r>
      <w:r w:rsidRPr="003D1614">
        <w:rPr>
          <w:rFonts w:ascii="Arial" w:eastAsia="Times New Roman" w:hAnsi="Arial" w:cs="Arial"/>
          <w:iCs/>
          <w:color w:val="000000" w:themeColor="text1"/>
          <w:sz w:val="20"/>
          <w:szCs w:val="20"/>
        </w:rPr>
        <w:t xml:space="preserve">i </w:t>
      </w:r>
      <w:r w:rsidR="00C55B0C">
        <w:rPr>
          <w:rFonts w:ascii="Arial" w:eastAsia="Times New Roman" w:hAnsi="Arial" w:cs="Arial"/>
          <w:iCs/>
          <w:color w:val="000000" w:themeColor="text1"/>
          <w:sz w:val="20"/>
          <w:szCs w:val="20"/>
        </w:rPr>
        <w:t xml:space="preserve">31. prosinca </w:t>
      </w:r>
      <w:r w:rsidRPr="003D1614">
        <w:rPr>
          <w:rFonts w:ascii="Arial" w:eastAsia="Times New Roman" w:hAnsi="Arial" w:cs="Arial"/>
          <w:iCs/>
          <w:color w:val="000000" w:themeColor="text1"/>
          <w:sz w:val="20"/>
          <w:szCs w:val="20"/>
        </w:rPr>
        <w:t>202</w:t>
      </w:r>
      <w:r w:rsidR="00EA2B4A">
        <w:rPr>
          <w:rFonts w:ascii="Arial" w:eastAsia="Times New Roman" w:hAnsi="Arial" w:cs="Arial"/>
          <w:iCs/>
          <w:color w:val="000000" w:themeColor="text1"/>
          <w:sz w:val="20"/>
          <w:szCs w:val="20"/>
        </w:rPr>
        <w:t>3</w:t>
      </w:r>
      <w:r w:rsidRPr="003D1614">
        <w:rPr>
          <w:rFonts w:ascii="Arial" w:eastAsia="Times New Roman" w:hAnsi="Arial" w:cs="Arial"/>
          <w:iCs/>
          <w:color w:val="000000" w:themeColor="text1"/>
          <w:sz w:val="20"/>
          <w:szCs w:val="20"/>
        </w:rPr>
        <w:t>. godine na temelju poznatih datuma promjene cijena imovine i obveza na koje se primjenjuju promjenjive i fiksne kamatne stope. Razdoblja promjena kamatnih stopa određena su na osnovi preostale ročnosti i ugovornog razdoblja promjena kamatnih stopa, ovisno o tome što je kraće.</w:t>
      </w:r>
    </w:p>
    <w:p w14:paraId="3CFCBA2A" w14:textId="77777777" w:rsidR="000C7E59" w:rsidRPr="003D1614" w:rsidRDefault="000C7E59" w:rsidP="000C7E59">
      <w:pPr>
        <w:suppressAutoHyphens/>
        <w:autoSpaceDN w:val="0"/>
        <w:jc w:val="both"/>
        <w:rPr>
          <w:rFonts w:ascii="Arial" w:eastAsia="Times New Roman" w:hAnsi="Arial" w:cs="Arial"/>
          <w:iCs/>
          <w:color w:val="000000" w:themeColor="text1"/>
          <w:sz w:val="20"/>
          <w:szCs w:val="20"/>
        </w:rPr>
      </w:pPr>
    </w:p>
    <w:p w14:paraId="467EA68A" w14:textId="77777777" w:rsidR="000C7E59" w:rsidRPr="003D1614" w:rsidRDefault="000C7E59" w:rsidP="000C7E59">
      <w:pPr>
        <w:suppressAutoHyphens/>
        <w:autoSpaceDN w:val="0"/>
        <w:jc w:val="both"/>
        <w:rPr>
          <w:rFonts w:ascii="Arial" w:eastAsia="Times New Roman" w:hAnsi="Arial" w:cs="Arial"/>
          <w:iCs/>
          <w:color w:val="000000" w:themeColor="text1"/>
          <w:sz w:val="20"/>
          <w:szCs w:val="20"/>
        </w:rPr>
      </w:pPr>
      <w:r w:rsidRPr="003D1614">
        <w:rPr>
          <w:rFonts w:ascii="Arial" w:eastAsia="Times New Roman" w:hAnsi="Arial" w:cs="Arial"/>
          <w:iCs/>
          <w:color w:val="000000" w:themeColor="text1"/>
          <w:sz w:val="20"/>
          <w:szCs w:val="20"/>
        </w:rPr>
        <w:t xml:space="preserve">Imovina i obveze na koje se ne primjenjuje kamatna stopa svrstani su u okviru kategorije </w:t>
      </w:r>
      <w:r w:rsidRPr="003D1614">
        <w:rPr>
          <w:rFonts w:ascii="Arial" w:eastAsia="Times New Roman" w:hAnsi="Arial" w:cs="Arial"/>
          <w:color w:val="000000" w:themeColor="text1"/>
          <w:sz w:val="20"/>
          <w:szCs w:val="20"/>
        </w:rPr>
        <w:t>‘</w:t>
      </w:r>
      <w:r w:rsidRPr="003D1614">
        <w:rPr>
          <w:rFonts w:ascii="Arial" w:eastAsia="Times New Roman" w:hAnsi="Arial" w:cs="Arial"/>
          <w:iCs/>
          <w:color w:val="000000" w:themeColor="text1"/>
          <w:sz w:val="20"/>
          <w:szCs w:val="20"/>
        </w:rPr>
        <w:t>Beskamatno</w:t>
      </w:r>
      <w:r w:rsidRPr="003D1614">
        <w:rPr>
          <w:rFonts w:ascii="Arial" w:eastAsia="Times New Roman" w:hAnsi="Arial" w:cs="Arial"/>
          <w:color w:val="000000" w:themeColor="text1"/>
          <w:sz w:val="20"/>
          <w:szCs w:val="20"/>
        </w:rPr>
        <w:t>‘</w:t>
      </w:r>
      <w:r w:rsidRPr="003D1614">
        <w:rPr>
          <w:rFonts w:ascii="Arial" w:eastAsia="Times New Roman" w:hAnsi="Arial" w:cs="Arial"/>
          <w:iCs/>
          <w:color w:val="000000" w:themeColor="text1"/>
          <w:sz w:val="20"/>
          <w:szCs w:val="20"/>
        </w:rPr>
        <w:t>.</w:t>
      </w:r>
    </w:p>
    <w:p w14:paraId="03C7C857" w14:textId="1166A03B" w:rsidR="000C7E59" w:rsidRPr="003D1614" w:rsidRDefault="000C7E59" w:rsidP="000C7E59">
      <w:pPr>
        <w:tabs>
          <w:tab w:val="left" w:pos="-720"/>
        </w:tabs>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Tabele u nastavku prikazuju procjenu o izloženosti kamatnom riziku HBOR-a na dan </w:t>
      </w:r>
      <w:r w:rsidR="003F0E20" w:rsidRPr="003F0E20">
        <w:rPr>
          <w:rFonts w:ascii="Arial" w:eastAsia="Times New Roman" w:hAnsi="Arial" w:cs="Arial"/>
          <w:color w:val="000000" w:themeColor="text1"/>
          <w:sz w:val="20"/>
          <w:szCs w:val="20"/>
        </w:rPr>
        <w:t>30. rujna 202</w:t>
      </w:r>
      <w:r w:rsidR="00EA2B4A">
        <w:rPr>
          <w:rFonts w:ascii="Arial" w:eastAsia="Times New Roman" w:hAnsi="Arial" w:cs="Arial"/>
          <w:color w:val="000000" w:themeColor="text1"/>
          <w:sz w:val="20"/>
          <w:szCs w:val="20"/>
        </w:rPr>
        <w:t>4</w:t>
      </w:r>
      <w:r w:rsidR="003F0E20" w:rsidRPr="003F0E20">
        <w:rPr>
          <w:rFonts w:ascii="Arial" w:eastAsia="Times New Roman" w:hAnsi="Arial" w:cs="Arial"/>
          <w:color w:val="000000" w:themeColor="text1"/>
          <w:sz w:val="20"/>
          <w:szCs w:val="20"/>
        </w:rPr>
        <w:t>.</w:t>
      </w:r>
      <w:r w:rsidR="003F0E20">
        <w:rPr>
          <w:rFonts w:ascii="Arial" w:eastAsia="Times New Roman" w:hAnsi="Arial" w:cs="Arial"/>
          <w:color w:val="000000" w:themeColor="text1"/>
          <w:sz w:val="20"/>
          <w:szCs w:val="20"/>
        </w:rPr>
        <w:t xml:space="preserve"> </w:t>
      </w:r>
      <w:r w:rsidRPr="003D1614">
        <w:rPr>
          <w:rFonts w:ascii="Arial" w:eastAsia="Times New Roman" w:hAnsi="Arial" w:cs="Arial"/>
          <w:color w:val="000000" w:themeColor="text1"/>
          <w:sz w:val="20"/>
          <w:szCs w:val="20"/>
        </w:rPr>
        <w:t xml:space="preserve">i </w:t>
      </w:r>
      <w:r w:rsidR="00C55B0C">
        <w:rPr>
          <w:rFonts w:ascii="Arial" w:eastAsia="Times New Roman" w:hAnsi="Arial" w:cs="Arial"/>
          <w:color w:val="000000" w:themeColor="text1"/>
          <w:sz w:val="20"/>
          <w:szCs w:val="20"/>
        </w:rPr>
        <w:t xml:space="preserve">31. prosinca </w:t>
      </w:r>
      <w:r w:rsidRPr="003D1614">
        <w:rPr>
          <w:rFonts w:ascii="Arial" w:eastAsia="Times New Roman" w:hAnsi="Arial" w:cs="Arial"/>
          <w:color w:val="000000" w:themeColor="text1"/>
          <w:sz w:val="20"/>
          <w:szCs w:val="20"/>
        </w:rPr>
        <w:t>202</w:t>
      </w:r>
      <w:r w:rsidR="00EA2B4A">
        <w:rPr>
          <w:rFonts w:ascii="Arial" w:eastAsia="Times New Roman" w:hAnsi="Arial" w:cs="Arial"/>
          <w:color w:val="000000" w:themeColor="text1"/>
          <w:sz w:val="20"/>
          <w:szCs w:val="20"/>
        </w:rPr>
        <w:t>3</w:t>
      </w:r>
      <w:r w:rsidRPr="003D1614">
        <w:rPr>
          <w:rFonts w:ascii="Arial" w:eastAsia="Times New Roman" w:hAnsi="Arial" w:cs="Arial"/>
          <w:color w:val="000000" w:themeColor="text1"/>
          <w:sz w:val="20"/>
          <w:szCs w:val="20"/>
        </w:rPr>
        <w:t xml:space="preserve">. godine te nisu nužno indikativne za poziciju u drugom razdoblju. </w:t>
      </w:r>
    </w:p>
    <w:p w14:paraId="225D5AAB" w14:textId="77777777" w:rsidR="000C7E59" w:rsidRPr="003D1614" w:rsidRDefault="000C7E59" w:rsidP="000C7E59">
      <w:pPr>
        <w:tabs>
          <w:tab w:val="left" w:pos="-720"/>
        </w:tabs>
        <w:suppressAutoHyphens/>
        <w:autoSpaceDN w:val="0"/>
        <w:jc w:val="both"/>
        <w:rPr>
          <w:rFonts w:ascii="Arial" w:eastAsia="Times New Roman" w:hAnsi="Arial" w:cs="Arial"/>
          <w:color w:val="000000" w:themeColor="text1"/>
          <w:sz w:val="20"/>
          <w:szCs w:val="20"/>
        </w:rPr>
      </w:pPr>
    </w:p>
    <w:p w14:paraId="726C1A46" w14:textId="77777777" w:rsidR="000C7E59" w:rsidRPr="003D1614" w:rsidRDefault="000C7E59" w:rsidP="000C7E59">
      <w:pPr>
        <w:tabs>
          <w:tab w:val="left" w:pos="-720"/>
        </w:tabs>
        <w:suppressAutoHyphens/>
        <w:autoSpaceDN w:val="0"/>
        <w:jc w:val="both"/>
        <w:rPr>
          <w:rFonts w:ascii="Arial" w:eastAsia="Times New Roman" w:hAnsi="Arial" w:cs="Arial"/>
          <w:color w:val="000000" w:themeColor="text1"/>
          <w:sz w:val="20"/>
          <w:szCs w:val="20"/>
        </w:rPr>
      </w:pPr>
    </w:p>
    <w:tbl>
      <w:tblPr>
        <w:tblW w:w="5564" w:type="pct"/>
        <w:tblInd w:w="-567" w:type="dxa"/>
        <w:tblLayout w:type="fixed"/>
        <w:tblCellMar>
          <w:left w:w="120" w:type="dxa"/>
          <w:right w:w="120" w:type="dxa"/>
        </w:tblCellMar>
        <w:tblLook w:val="0000" w:firstRow="0" w:lastRow="0" w:firstColumn="0" w:lastColumn="0" w:noHBand="0" w:noVBand="0"/>
      </w:tblPr>
      <w:tblGrid>
        <w:gridCol w:w="2341"/>
        <w:gridCol w:w="961"/>
        <w:gridCol w:w="959"/>
        <w:gridCol w:w="959"/>
        <w:gridCol w:w="957"/>
        <w:gridCol w:w="987"/>
        <w:gridCol w:w="957"/>
        <w:gridCol w:w="989"/>
        <w:gridCol w:w="985"/>
      </w:tblGrid>
      <w:tr w:rsidR="00414A5D" w:rsidRPr="003D1614" w14:paraId="17929687" w14:textId="77777777" w:rsidTr="00C450F2">
        <w:trPr>
          <w:trHeight w:val="635"/>
        </w:trPr>
        <w:tc>
          <w:tcPr>
            <w:tcW w:w="1159" w:type="pct"/>
            <w:vAlign w:val="bottom"/>
          </w:tcPr>
          <w:p w14:paraId="1B857F01" w14:textId="77777777" w:rsidR="00414A5D" w:rsidRPr="003D1614" w:rsidRDefault="00414A5D" w:rsidP="00C450F2">
            <w:pPr>
              <w:tabs>
                <w:tab w:val="right" w:pos="1202"/>
              </w:tabs>
              <w:suppressAutoHyphens/>
              <w:autoSpaceDN w:val="0"/>
              <w:spacing w:line="240" w:lineRule="atLeast"/>
              <w:outlineLvl w:val="0"/>
              <w:rPr>
                <w:rFonts w:ascii="Arial" w:eastAsia="Calibri" w:hAnsi="Arial" w:cs="Arial"/>
                <w:b/>
                <w:color w:val="000000" w:themeColor="text1"/>
                <w:sz w:val="15"/>
                <w:szCs w:val="15"/>
              </w:rPr>
            </w:pPr>
            <w:bookmarkStart w:id="909" w:name="_Toc67330620"/>
            <w:r w:rsidRPr="003D1614">
              <w:rPr>
                <w:rFonts w:ascii="Arial" w:eastAsia="Calibri" w:hAnsi="Arial" w:cs="Arial"/>
                <w:b/>
                <w:color w:val="000000" w:themeColor="text1"/>
                <w:sz w:val="15"/>
                <w:szCs w:val="15"/>
              </w:rPr>
              <w:t>Banka</w:t>
            </w:r>
            <w:bookmarkEnd w:id="909"/>
          </w:p>
          <w:p w14:paraId="6B6602FB" w14:textId="77777777" w:rsidR="00414A5D" w:rsidRPr="003D1614" w:rsidRDefault="00414A5D" w:rsidP="00C450F2">
            <w:pPr>
              <w:tabs>
                <w:tab w:val="right" w:pos="1202"/>
              </w:tabs>
              <w:suppressAutoHyphens/>
              <w:autoSpaceDN w:val="0"/>
              <w:spacing w:line="240" w:lineRule="atLeast"/>
              <w:outlineLvl w:val="0"/>
              <w:rPr>
                <w:rFonts w:ascii="Arial" w:eastAsia="Calibri" w:hAnsi="Arial" w:cs="Arial"/>
                <w:b/>
                <w:color w:val="000000" w:themeColor="text1"/>
                <w:sz w:val="15"/>
                <w:szCs w:val="15"/>
              </w:rPr>
            </w:pPr>
          </w:p>
          <w:p w14:paraId="438D4B2C" w14:textId="77777777" w:rsidR="00414A5D" w:rsidRPr="003D1614" w:rsidRDefault="00414A5D" w:rsidP="00C450F2">
            <w:pPr>
              <w:tabs>
                <w:tab w:val="right" w:pos="1202"/>
              </w:tabs>
              <w:suppressAutoHyphens/>
              <w:autoSpaceDN w:val="0"/>
              <w:spacing w:line="240" w:lineRule="atLeast"/>
              <w:outlineLvl w:val="0"/>
              <w:rPr>
                <w:rFonts w:ascii="Arial" w:eastAsia="Calibri" w:hAnsi="Arial" w:cs="Arial"/>
                <w:b/>
                <w:color w:val="000000" w:themeColor="text1"/>
                <w:sz w:val="15"/>
                <w:szCs w:val="15"/>
              </w:rPr>
            </w:pPr>
            <w:r w:rsidRPr="003F0E20">
              <w:rPr>
                <w:rFonts w:ascii="Arial" w:eastAsia="Calibri" w:hAnsi="Arial" w:cs="Arial"/>
                <w:b/>
                <w:color w:val="000000" w:themeColor="text1"/>
                <w:sz w:val="15"/>
                <w:szCs w:val="15"/>
              </w:rPr>
              <w:t>30. rujna 202</w:t>
            </w:r>
            <w:r>
              <w:rPr>
                <w:rFonts w:ascii="Arial" w:eastAsia="Calibri" w:hAnsi="Arial" w:cs="Arial"/>
                <w:b/>
                <w:color w:val="000000" w:themeColor="text1"/>
                <w:sz w:val="15"/>
                <w:szCs w:val="15"/>
              </w:rPr>
              <w:t>4</w:t>
            </w:r>
            <w:r w:rsidRPr="003F0E20">
              <w:rPr>
                <w:rFonts w:ascii="Arial" w:eastAsia="Calibri" w:hAnsi="Arial" w:cs="Arial"/>
                <w:b/>
                <w:color w:val="000000" w:themeColor="text1"/>
                <w:sz w:val="15"/>
                <w:szCs w:val="15"/>
              </w:rPr>
              <w:t>.</w:t>
            </w:r>
          </w:p>
        </w:tc>
        <w:tc>
          <w:tcPr>
            <w:tcW w:w="476" w:type="pct"/>
          </w:tcPr>
          <w:p w14:paraId="1E89B7B8" w14:textId="77777777" w:rsidR="00414A5D" w:rsidRPr="003D1614" w:rsidRDefault="00414A5D" w:rsidP="00C450F2">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10" w:name="_Toc67330622"/>
            <w:r w:rsidRPr="003D1614">
              <w:rPr>
                <w:rFonts w:ascii="Arial" w:eastAsia="Calibri" w:hAnsi="Arial" w:cs="Arial"/>
                <w:b/>
                <w:color w:val="000000" w:themeColor="text1"/>
                <w:sz w:val="15"/>
                <w:szCs w:val="15"/>
              </w:rPr>
              <w:t>Do 1 mjesec</w:t>
            </w:r>
            <w:bookmarkEnd w:id="910"/>
          </w:p>
        </w:tc>
        <w:tc>
          <w:tcPr>
            <w:tcW w:w="475" w:type="pct"/>
          </w:tcPr>
          <w:p w14:paraId="2459D46E" w14:textId="77777777" w:rsidR="00414A5D" w:rsidRPr="003D1614" w:rsidRDefault="00414A5D" w:rsidP="00C450F2">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11" w:name="_Toc67330623"/>
            <w:r w:rsidRPr="003D1614">
              <w:rPr>
                <w:rFonts w:ascii="Arial" w:eastAsia="Calibri" w:hAnsi="Arial" w:cs="Arial"/>
                <w:b/>
                <w:color w:val="000000" w:themeColor="text1"/>
                <w:sz w:val="15"/>
                <w:szCs w:val="15"/>
              </w:rPr>
              <w:t>1 do 3 mjeseca</w:t>
            </w:r>
            <w:bookmarkEnd w:id="911"/>
          </w:p>
        </w:tc>
        <w:tc>
          <w:tcPr>
            <w:tcW w:w="475" w:type="pct"/>
          </w:tcPr>
          <w:p w14:paraId="2537377C" w14:textId="77777777" w:rsidR="00414A5D" w:rsidRPr="003D1614" w:rsidRDefault="00414A5D" w:rsidP="00C450F2">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12" w:name="_Toc67330624"/>
            <w:r w:rsidRPr="003D1614">
              <w:rPr>
                <w:rFonts w:ascii="Arial" w:eastAsia="Calibri" w:hAnsi="Arial" w:cs="Arial"/>
                <w:b/>
                <w:color w:val="000000" w:themeColor="text1"/>
                <w:sz w:val="15"/>
                <w:szCs w:val="15"/>
              </w:rPr>
              <w:t>3 mj. do 1 godine</w:t>
            </w:r>
            <w:bookmarkEnd w:id="912"/>
          </w:p>
        </w:tc>
        <w:tc>
          <w:tcPr>
            <w:tcW w:w="474" w:type="pct"/>
          </w:tcPr>
          <w:p w14:paraId="52585A60" w14:textId="77777777" w:rsidR="00414A5D" w:rsidRPr="003D1614" w:rsidRDefault="00414A5D" w:rsidP="00C450F2">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13" w:name="_Toc67330625"/>
            <w:r w:rsidRPr="003D1614">
              <w:rPr>
                <w:rFonts w:ascii="Arial" w:eastAsia="Calibri" w:hAnsi="Arial" w:cs="Arial"/>
                <w:b/>
                <w:color w:val="000000" w:themeColor="text1"/>
                <w:sz w:val="15"/>
                <w:szCs w:val="15"/>
              </w:rPr>
              <w:t>1 do 3 godina</w:t>
            </w:r>
            <w:bookmarkEnd w:id="913"/>
          </w:p>
        </w:tc>
        <w:tc>
          <w:tcPr>
            <w:tcW w:w="489" w:type="pct"/>
          </w:tcPr>
          <w:p w14:paraId="228FF5E9" w14:textId="77777777" w:rsidR="00414A5D" w:rsidRPr="003D1614" w:rsidRDefault="00414A5D" w:rsidP="00C450F2">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14" w:name="_Toc67330626"/>
            <w:r w:rsidRPr="003D1614">
              <w:rPr>
                <w:rFonts w:ascii="Arial" w:eastAsia="Calibri" w:hAnsi="Arial" w:cs="Arial"/>
                <w:b/>
                <w:color w:val="000000" w:themeColor="text1"/>
                <w:sz w:val="15"/>
                <w:szCs w:val="15"/>
              </w:rPr>
              <w:t>Preko 3 godine</w:t>
            </w:r>
            <w:bookmarkEnd w:id="914"/>
          </w:p>
        </w:tc>
        <w:tc>
          <w:tcPr>
            <w:tcW w:w="474" w:type="pct"/>
          </w:tcPr>
          <w:p w14:paraId="07D9A7BE" w14:textId="77777777" w:rsidR="00414A5D" w:rsidRPr="003D1614" w:rsidRDefault="00414A5D" w:rsidP="00C450F2">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15" w:name="_Toc67330627"/>
            <w:r w:rsidRPr="003D1614">
              <w:rPr>
                <w:rFonts w:ascii="Arial" w:eastAsia="Calibri" w:hAnsi="Arial" w:cs="Arial"/>
                <w:b/>
                <w:color w:val="000000" w:themeColor="text1"/>
                <w:sz w:val="15"/>
                <w:szCs w:val="15"/>
              </w:rPr>
              <w:t>Beska-matno</w:t>
            </w:r>
            <w:bookmarkEnd w:id="915"/>
          </w:p>
        </w:tc>
        <w:tc>
          <w:tcPr>
            <w:tcW w:w="490" w:type="pct"/>
          </w:tcPr>
          <w:p w14:paraId="4404CB10" w14:textId="77777777" w:rsidR="00414A5D" w:rsidRPr="003D1614" w:rsidRDefault="00414A5D" w:rsidP="00C450F2">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16" w:name="_Toc67330628"/>
            <w:r w:rsidRPr="003D1614">
              <w:rPr>
                <w:rFonts w:ascii="Arial" w:eastAsia="Calibri" w:hAnsi="Arial" w:cs="Arial"/>
                <w:b/>
                <w:color w:val="000000" w:themeColor="text1"/>
                <w:sz w:val="15"/>
                <w:szCs w:val="15"/>
              </w:rPr>
              <w:t>Ukupno</w:t>
            </w:r>
            <w:bookmarkEnd w:id="916"/>
          </w:p>
        </w:tc>
        <w:tc>
          <w:tcPr>
            <w:tcW w:w="488" w:type="pct"/>
          </w:tcPr>
          <w:p w14:paraId="06EEF0A5" w14:textId="77777777" w:rsidR="00414A5D" w:rsidRPr="003D1614" w:rsidRDefault="00414A5D" w:rsidP="00C450F2">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17" w:name="_Toc67330629"/>
            <w:r w:rsidRPr="003D1614">
              <w:rPr>
                <w:rFonts w:ascii="Arial" w:eastAsia="Calibri" w:hAnsi="Arial" w:cs="Arial"/>
                <w:b/>
                <w:color w:val="000000" w:themeColor="text1"/>
                <w:sz w:val="15"/>
                <w:szCs w:val="15"/>
              </w:rPr>
              <w:t>Fiksna kamatna stopa</w:t>
            </w:r>
            <w:bookmarkEnd w:id="917"/>
          </w:p>
        </w:tc>
      </w:tr>
      <w:tr w:rsidR="00414A5D" w:rsidRPr="003D1614" w14:paraId="1FD12025" w14:textId="77777777" w:rsidTr="00C450F2">
        <w:trPr>
          <w:trHeight w:val="258"/>
        </w:trPr>
        <w:tc>
          <w:tcPr>
            <w:tcW w:w="1159" w:type="pct"/>
            <w:vAlign w:val="bottom"/>
          </w:tcPr>
          <w:p w14:paraId="6DA56F70" w14:textId="77777777" w:rsidR="00414A5D" w:rsidRPr="003D1614" w:rsidRDefault="00414A5D" w:rsidP="00C450F2">
            <w:pPr>
              <w:tabs>
                <w:tab w:val="right" w:pos="1202"/>
              </w:tabs>
              <w:suppressAutoHyphens/>
              <w:autoSpaceDN w:val="0"/>
              <w:spacing w:line="240" w:lineRule="atLeast"/>
              <w:outlineLvl w:val="0"/>
              <w:rPr>
                <w:rFonts w:ascii="Arial" w:eastAsia="Calibri" w:hAnsi="Arial" w:cs="Arial"/>
                <w:b/>
                <w:color w:val="000000" w:themeColor="text1"/>
                <w:sz w:val="15"/>
                <w:szCs w:val="15"/>
              </w:rPr>
            </w:pPr>
          </w:p>
        </w:tc>
        <w:tc>
          <w:tcPr>
            <w:tcW w:w="476" w:type="pct"/>
            <w:vAlign w:val="bottom"/>
          </w:tcPr>
          <w:p w14:paraId="7EB116F1" w14:textId="77777777" w:rsidR="00414A5D" w:rsidRPr="003D1614" w:rsidRDefault="00414A5D" w:rsidP="00C450F2">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18" w:name="_Toc67330630"/>
            <w:r w:rsidRPr="003D1614">
              <w:rPr>
                <w:rFonts w:ascii="Arial" w:eastAsia="Calibri" w:hAnsi="Arial" w:cs="Arial"/>
                <w:b/>
                <w:color w:val="000000" w:themeColor="text1"/>
                <w:sz w:val="15"/>
                <w:szCs w:val="15"/>
              </w:rPr>
              <w:t>000 eura</w:t>
            </w:r>
            <w:bookmarkEnd w:id="918"/>
          </w:p>
        </w:tc>
        <w:tc>
          <w:tcPr>
            <w:tcW w:w="475" w:type="pct"/>
            <w:vAlign w:val="bottom"/>
          </w:tcPr>
          <w:p w14:paraId="6ACA141C" w14:textId="77777777" w:rsidR="00414A5D" w:rsidRPr="003D1614" w:rsidRDefault="00414A5D" w:rsidP="00C450F2">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19" w:name="_Toc67330631"/>
            <w:r w:rsidRPr="003D1614">
              <w:rPr>
                <w:rFonts w:ascii="Arial" w:eastAsia="Calibri" w:hAnsi="Arial" w:cs="Arial"/>
                <w:b/>
                <w:color w:val="000000" w:themeColor="text1"/>
                <w:sz w:val="15"/>
                <w:szCs w:val="15"/>
              </w:rPr>
              <w:t>000 eura</w:t>
            </w:r>
            <w:bookmarkEnd w:id="919"/>
          </w:p>
        </w:tc>
        <w:tc>
          <w:tcPr>
            <w:tcW w:w="475" w:type="pct"/>
            <w:vAlign w:val="bottom"/>
          </w:tcPr>
          <w:p w14:paraId="65725A0D" w14:textId="77777777" w:rsidR="00414A5D" w:rsidRPr="003D1614" w:rsidRDefault="00414A5D" w:rsidP="00C450F2">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20" w:name="_Toc67330632"/>
            <w:r w:rsidRPr="003D1614">
              <w:rPr>
                <w:rFonts w:ascii="Arial" w:eastAsia="Calibri" w:hAnsi="Arial" w:cs="Arial"/>
                <w:b/>
                <w:color w:val="000000" w:themeColor="text1"/>
                <w:sz w:val="15"/>
                <w:szCs w:val="15"/>
              </w:rPr>
              <w:t>000 eura</w:t>
            </w:r>
            <w:bookmarkEnd w:id="920"/>
          </w:p>
        </w:tc>
        <w:tc>
          <w:tcPr>
            <w:tcW w:w="474" w:type="pct"/>
            <w:vAlign w:val="bottom"/>
          </w:tcPr>
          <w:p w14:paraId="6EF58381" w14:textId="77777777" w:rsidR="00414A5D" w:rsidRPr="003D1614" w:rsidRDefault="00414A5D" w:rsidP="00C450F2">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21" w:name="_Toc67330633"/>
            <w:r w:rsidRPr="003D1614">
              <w:rPr>
                <w:rFonts w:ascii="Arial" w:eastAsia="Calibri" w:hAnsi="Arial" w:cs="Arial"/>
                <w:b/>
                <w:color w:val="000000" w:themeColor="text1"/>
                <w:sz w:val="15"/>
                <w:szCs w:val="15"/>
              </w:rPr>
              <w:t>000 eura</w:t>
            </w:r>
            <w:bookmarkEnd w:id="921"/>
          </w:p>
        </w:tc>
        <w:tc>
          <w:tcPr>
            <w:tcW w:w="489" w:type="pct"/>
            <w:vAlign w:val="bottom"/>
          </w:tcPr>
          <w:p w14:paraId="5BC2E373" w14:textId="77777777" w:rsidR="00414A5D" w:rsidRPr="003D1614" w:rsidRDefault="00414A5D" w:rsidP="00C450F2">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22" w:name="_Toc67330634"/>
            <w:r w:rsidRPr="003D1614">
              <w:rPr>
                <w:rFonts w:ascii="Arial" w:eastAsia="Calibri" w:hAnsi="Arial" w:cs="Arial"/>
                <w:b/>
                <w:color w:val="000000" w:themeColor="text1"/>
                <w:sz w:val="15"/>
                <w:szCs w:val="15"/>
              </w:rPr>
              <w:t>000 eura</w:t>
            </w:r>
            <w:bookmarkEnd w:id="922"/>
          </w:p>
        </w:tc>
        <w:tc>
          <w:tcPr>
            <w:tcW w:w="474" w:type="pct"/>
            <w:vAlign w:val="bottom"/>
          </w:tcPr>
          <w:p w14:paraId="5E9C88B8" w14:textId="77777777" w:rsidR="00414A5D" w:rsidRPr="003D1614" w:rsidRDefault="00414A5D" w:rsidP="00C450F2">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23" w:name="_Toc67330635"/>
            <w:r w:rsidRPr="003D1614">
              <w:rPr>
                <w:rFonts w:ascii="Arial" w:eastAsia="Calibri" w:hAnsi="Arial" w:cs="Arial"/>
                <w:b/>
                <w:color w:val="000000" w:themeColor="text1"/>
                <w:sz w:val="15"/>
                <w:szCs w:val="15"/>
              </w:rPr>
              <w:t>000 eura</w:t>
            </w:r>
            <w:bookmarkEnd w:id="923"/>
          </w:p>
        </w:tc>
        <w:tc>
          <w:tcPr>
            <w:tcW w:w="490" w:type="pct"/>
            <w:vAlign w:val="bottom"/>
          </w:tcPr>
          <w:p w14:paraId="3635E1CC" w14:textId="77777777" w:rsidR="00414A5D" w:rsidRPr="003D1614" w:rsidRDefault="00414A5D" w:rsidP="00C450F2">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24" w:name="_Toc67330636"/>
            <w:r w:rsidRPr="003D1614">
              <w:rPr>
                <w:rFonts w:ascii="Arial" w:eastAsia="Calibri" w:hAnsi="Arial" w:cs="Arial"/>
                <w:b/>
                <w:color w:val="000000" w:themeColor="text1"/>
                <w:sz w:val="15"/>
                <w:szCs w:val="15"/>
              </w:rPr>
              <w:t>000 eura</w:t>
            </w:r>
            <w:bookmarkEnd w:id="924"/>
          </w:p>
        </w:tc>
        <w:tc>
          <w:tcPr>
            <w:tcW w:w="488" w:type="pct"/>
            <w:vAlign w:val="bottom"/>
          </w:tcPr>
          <w:p w14:paraId="4C24189D" w14:textId="77777777" w:rsidR="00414A5D" w:rsidRPr="003D1614" w:rsidRDefault="00414A5D" w:rsidP="00C450F2">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25" w:name="_Toc67330637"/>
            <w:r w:rsidRPr="003D1614">
              <w:rPr>
                <w:rFonts w:ascii="Arial" w:eastAsia="Calibri" w:hAnsi="Arial" w:cs="Arial"/>
                <w:b/>
                <w:color w:val="000000" w:themeColor="text1"/>
                <w:sz w:val="15"/>
                <w:szCs w:val="15"/>
              </w:rPr>
              <w:t>000 eura</w:t>
            </w:r>
            <w:bookmarkEnd w:id="925"/>
          </w:p>
        </w:tc>
      </w:tr>
      <w:tr w:rsidR="00414A5D" w:rsidRPr="003D1614" w14:paraId="2377D84F" w14:textId="77777777" w:rsidTr="00C450F2">
        <w:trPr>
          <w:trHeight w:val="227"/>
        </w:trPr>
        <w:tc>
          <w:tcPr>
            <w:tcW w:w="1159" w:type="pct"/>
            <w:vAlign w:val="bottom"/>
          </w:tcPr>
          <w:p w14:paraId="34CAEE81" w14:textId="77777777" w:rsidR="00414A5D" w:rsidRPr="003D1614" w:rsidRDefault="00414A5D" w:rsidP="00C450F2">
            <w:pPr>
              <w:tabs>
                <w:tab w:val="left" w:pos="-720"/>
              </w:tabs>
              <w:suppressAutoHyphens/>
              <w:autoSpaceDN w:val="0"/>
              <w:rPr>
                <w:rFonts w:ascii="Arial" w:eastAsia="Calibri" w:hAnsi="Arial" w:cs="Arial"/>
                <w:b/>
                <w:color w:val="000000" w:themeColor="text1"/>
                <w:sz w:val="15"/>
                <w:szCs w:val="15"/>
              </w:rPr>
            </w:pPr>
            <w:r w:rsidRPr="003D1614">
              <w:rPr>
                <w:rFonts w:ascii="Arial" w:eastAsia="Calibri" w:hAnsi="Arial" w:cs="Arial"/>
                <w:b/>
                <w:color w:val="000000" w:themeColor="text1"/>
                <w:sz w:val="15"/>
                <w:szCs w:val="15"/>
              </w:rPr>
              <w:t>Imovina</w:t>
            </w:r>
          </w:p>
        </w:tc>
        <w:tc>
          <w:tcPr>
            <w:tcW w:w="476" w:type="pct"/>
            <w:vAlign w:val="bottom"/>
          </w:tcPr>
          <w:p w14:paraId="682C9424" w14:textId="77777777" w:rsidR="00414A5D" w:rsidRPr="003D1614" w:rsidRDefault="00414A5D" w:rsidP="00C450F2">
            <w:pPr>
              <w:tabs>
                <w:tab w:val="left" w:pos="-720"/>
              </w:tabs>
              <w:suppressAutoHyphens/>
              <w:autoSpaceDN w:val="0"/>
              <w:jc w:val="right"/>
              <w:rPr>
                <w:rFonts w:ascii="Arial" w:eastAsia="Calibri" w:hAnsi="Arial" w:cs="Arial"/>
                <w:color w:val="000000" w:themeColor="text1"/>
                <w:sz w:val="15"/>
                <w:szCs w:val="15"/>
              </w:rPr>
            </w:pPr>
          </w:p>
        </w:tc>
        <w:tc>
          <w:tcPr>
            <w:tcW w:w="475" w:type="pct"/>
            <w:vAlign w:val="bottom"/>
          </w:tcPr>
          <w:p w14:paraId="113C1BA6" w14:textId="77777777" w:rsidR="00414A5D" w:rsidRPr="003D1614" w:rsidRDefault="00414A5D" w:rsidP="00C450F2">
            <w:pPr>
              <w:tabs>
                <w:tab w:val="left" w:pos="-720"/>
              </w:tabs>
              <w:suppressAutoHyphens/>
              <w:autoSpaceDN w:val="0"/>
              <w:jc w:val="right"/>
              <w:rPr>
                <w:rFonts w:ascii="Arial" w:eastAsia="Calibri" w:hAnsi="Arial" w:cs="Arial"/>
                <w:color w:val="000000" w:themeColor="text1"/>
                <w:sz w:val="15"/>
                <w:szCs w:val="15"/>
              </w:rPr>
            </w:pPr>
          </w:p>
        </w:tc>
        <w:tc>
          <w:tcPr>
            <w:tcW w:w="475" w:type="pct"/>
            <w:vAlign w:val="bottom"/>
          </w:tcPr>
          <w:p w14:paraId="49FD585D" w14:textId="77777777" w:rsidR="00414A5D" w:rsidRPr="003D1614" w:rsidRDefault="00414A5D" w:rsidP="00C450F2">
            <w:pPr>
              <w:tabs>
                <w:tab w:val="left" w:pos="-720"/>
              </w:tabs>
              <w:suppressAutoHyphens/>
              <w:autoSpaceDN w:val="0"/>
              <w:jc w:val="right"/>
              <w:rPr>
                <w:rFonts w:ascii="Arial" w:eastAsia="Calibri" w:hAnsi="Arial" w:cs="Arial"/>
                <w:color w:val="000000" w:themeColor="text1"/>
                <w:sz w:val="15"/>
                <w:szCs w:val="15"/>
              </w:rPr>
            </w:pPr>
          </w:p>
        </w:tc>
        <w:tc>
          <w:tcPr>
            <w:tcW w:w="474" w:type="pct"/>
            <w:vAlign w:val="bottom"/>
          </w:tcPr>
          <w:p w14:paraId="1733D64F" w14:textId="77777777" w:rsidR="00414A5D" w:rsidRPr="003D1614" w:rsidRDefault="00414A5D" w:rsidP="00C450F2">
            <w:pPr>
              <w:tabs>
                <w:tab w:val="left" w:pos="-720"/>
              </w:tabs>
              <w:suppressAutoHyphens/>
              <w:autoSpaceDN w:val="0"/>
              <w:jc w:val="right"/>
              <w:rPr>
                <w:rFonts w:ascii="Arial" w:eastAsia="Calibri" w:hAnsi="Arial" w:cs="Arial"/>
                <w:color w:val="000000" w:themeColor="text1"/>
                <w:sz w:val="15"/>
                <w:szCs w:val="15"/>
              </w:rPr>
            </w:pPr>
          </w:p>
        </w:tc>
        <w:tc>
          <w:tcPr>
            <w:tcW w:w="489" w:type="pct"/>
            <w:vAlign w:val="bottom"/>
          </w:tcPr>
          <w:p w14:paraId="3AB1451B" w14:textId="77777777" w:rsidR="00414A5D" w:rsidRPr="003D1614" w:rsidRDefault="00414A5D" w:rsidP="00C450F2">
            <w:pPr>
              <w:tabs>
                <w:tab w:val="left" w:pos="-720"/>
              </w:tabs>
              <w:suppressAutoHyphens/>
              <w:autoSpaceDN w:val="0"/>
              <w:jc w:val="right"/>
              <w:rPr>
                <w:rFonts w:ascii="Arial" w:eastAsia="Calibri" w:hAnsi="Arial" w:cs="Arial"/>
                <w:color w:val="000000" w:themeColor="text1"/>
                <w:sz w:val="15"/>
                <w:szCs w:val="15"/>
              </w:rPr>
            </w:pPr>
          </w:p>
        </w:tc>
        <w:tc>
          <w:tcPr>
            <w:tcW w:w="474" w:type="pct"/>
            <w:vAlign w:val="bottom"/>
          </w:tcPr>
          <w:p w14:paraId="3DB4DD53" w14:textId="77777777" w:rsidR="00414A5D" w:rsidRPr="003D1614" w:rsidRDefault="00414A5D" w:rsidP="00C450F2">
            <w:pPr>
              <w:tabs>
                <w:tab w:val="left" w:pos="-720"/>
              </w:tabs>
              <w:suppressAutoHyphens/>
              <w:autoSpaceDN w:val="0"/>
              <w:jc w:val="right"/>
              <w:rPr>
                <w:rFonts w:ascii="Arial" w:eastAsia="Calibri" w:hAnsi="Arial" w:cs="Arial"/>
                <w:color w:val="000000" w:themeColor="text1"/>
                <w:sz w:val="15"/>
                <w:szCs w:val="15"/>
              </w:rPr>
            </w:pPr>
          </w:p>
        </w:tc>
        <w:tc>
          <w:tcPr>
            <w:tcW w:w="490" w:type="pct"/>
            <w:vAlign w:val="bottom"/>
          </w:tcPr>
          <w:p w14:paraId="5E9B7BB0" w14:textId="77777777" w:rsidR="00414A5D" w:rsidRPr="003D1614" w:rsidRDefault="00414A5D" w:rsidP="00C450F2">
            <w:pPr>
              <w:tabs>
                <w:tab w:val="left" w:pos="-720"/>
              </w:tabs>
              <w:suppressAutoHyphens/>
              <w:autoSpaceDN w:val="0"/>
              <w:jc w:val="right"/>
              <w:rPr>
                <w:rFonts w:ascii="Arial" w:eastAsia="Calibri" w:hAnsi="Arial" w:cs="Arial"/>
                <w:color w:val="000000" w:themeColor="text1"/>
                <w:sz w:val="15"/>
                <w:szCs w:val="15"/>
              </w:rPr>
            </w:pPr>
          </w:p>
        </w:tc>
        <w:tc>
          <w:tcPr>
            <w:tcW w:w="488" w:type="pct"/>
            <w:vAlign w:val="bottom"/>
          </w:tcPr>
          <w:p w14:paraId="0DE4F42B" w14:textId="77777777" w:rsidR="00414A5D" w:rsidRPr="003D1614" w:rsidRDefault="00414A5D" w:rsidP="00C450F2">
            <w:pPr>
              <w:tabs>
                <w:tab w:val="left" w:pos="-720"/>
              </w:tabs>
              <w:suppressAutoHyphens/>
              <w:autoSpaceDN w:val="0"/>
              <w:jc w:val="right"/>
              <w:rPr>
                <w:rFonts w:ascii="Arial" w:eastAsia="Calibri" w:hAnsi="Arial" w:cs="Arial"/>
                <w:color w:val="000000" w:themeColor="text1"/>
                <w:sz w:val="15"/>
                <w:szCs w:val="15"/>
              </w:rPr>
            </w:pPr>
          </w:p>
        </w:tc>
      </w:tr>
      <w:tr w:rsidR="00414A5D" w:rsidRPr="003D1614" w14:paraId="667D7F3A" w14:textId="77777777" w:rsidTr="00C450F2">
        <w:trPr>
          <w:trHeight w:val="217"/>
        </w:trPr>
        <w:tc>
          <w:tcPr>
            <w:tcW w:w="1159" w:type="pct"/>
            <w:vAlign w:val="bottom"/>
          </w:tcPr>
          <w:p w14:paraId="47B21B80" w14:textId="77777777" w:rsidR="00414A5D" w:rsidRPr="003D1614" w:rsidRDefault="00414A5D" w:rsidP="00C450F2">
            <w:pPr>
              <w:tabs>
                <w:tab w:val="left" w:pos="-720"/>
              </w:tabs>
              <w:suppressAutoHyphens/>
              <w:autoSpaceDN w:val="0"/>
              <w:spacing w:line="240" w:lineRule="exact"/>
              <w:rPr>
                <w:rFonts w:ascii="Arial" w:eastAsia="Calibri" w:hAnsi="Arial" w:cs="Arial"/>
                <w:color w:val="000000" w:themeColor="text1"/>
                <w:sz w:val="15"/>
                <w:szCs w:val="15"/>
              </w:rPr>
            </w:pPr>
            <w:r w:rsidRPr="003D1614">
              <w:rPr>
                <w:rFonts w:ascii="Arial" w:eastAsia="Calibri" w:hAnsi="Arial" w:cs="Arial"/>
                <w:color w:val="000000" w:themeColor="text1"/>
                <w:sz w:val="15"/>
                <w:szCs w:val="15"/>
              </w:rPr>
              <w:t>Novčana sredstva i računi kod banaka</w:t>
            </w:r>
          </w:p>
        </w:tc>
        <w:tc>
          <w:tcPr>
            <w:tcW w:w="476" w:type="pct"/>
            <w:vAlign w:val="bottom"/>
          </w:tcPr>
          <w:p w14:paraId="16D5DE4F" w14:textId="77777777" w:rsidR="00414A5D" w:rsidRPr="003D1614" w:rsidRDefault="00414A5D" w:rsidP="00C450F2">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34.087</w:t>
            </w:r>
          </w:p>
        </w:tc>
        <w:tc>
          <w:tcPr>
            <w:tcW w:w="475" w:type="pct"/>
            <w:vAlign w:val="bottom"/>
          </w:tcPr>
          <w:p w14:paraId="25BE4A40" w14:textId="77777777" w:rsidR="00414A5D" w:rsidRPr="003D1614" w:rsidRDefault="00414A5D" w:rsidP="00C450F2">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5" w:type="pct"/>
            <w:vAlign w:val="bottom"/>
          </w:tcPr>
          <w:p w14:paraId="10335304" w14:textId="77777777" w:rsidR="00414A5D" w:rsidRPr="003D1614" w:rsidRDefault="00414A5D" w:rsidP="00C450F2">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4" w:type="pct"/>
            <w:vAlign w:val="bottom"/>
          </w:tcPr>
          <w:p w14:paraId="1C048B29" w14:textId="77777777" w:rsidR="00414A5D" w:rsidRPr="003D1614" w:rsidRDefault="00414A5D" w:rsidP="00C450F2">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9" w:type="pct"/>
            <w:vAlign w:val="bottom"/>
          </w:tcPr>
          <w:p w14:paraId="755B5B0A" w14:textId="77777777" w:rsidR="00414A5D" w:rsidRPr="003D1614" w:rsidRDefault="00414A5D" w:rsidP="00C450F2">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4" w:type="pct"/>
            <w:vAlign w:val="bottom"/>
          </w:tcPr>
          <w:p w14:paraId="4CC082D9" w14:textId="77777777" w:rsidR="00414A5D" w:rsidRPr="003D1614" w:rsidRDefault="00414A5D" w:rsidP="00C450F2">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90" w:type="pct"/>
            <w:vAlign w:val="bottom"/>
          </w:tcPr>
          <w:p w14:paraId="10688E2F" w14:textId="77777777" w:rsidR="00414A5D" w:rsidRPr="003D1614" w:rsidRDefault="00414A5D" w:rsidP="00C450F2">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34.087</w:t>
            </w:r>
          </w:p>
        </w:tc>
        <w:tc>
          <w:tcPr>
            <w:tcW w:w="488" w:type="pct"/>
            <w:vAlign w:val="bottom"/>
          </w:tcPr>
          <w:p w14:paraId="16236244" w14:textId="77777777" w:rsidR="00414A5D" w:rsidRPr="003D1614" w:rsidRDefault="00414A5D" w:rsidP="00C450F2">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34.087</w:t>
            </w:r>
          </w:p>
        </w:tc>
      </w:tr>
      <w:tr w:rsidR="00414A5D" w:rsidRPr="003D1614" w14:paraId="421040B7" w14:textId="77777777" w:rsidTr="00C450F2">
        <w:trPr>
          <w:trHeight w:val="206"/>
        </w:trPr>
        <w:tc>
          <w:tcPr>
            <w:tcW w:w="1159" w:type="pct"/>
            <w:vAlign w:val="bottom"/>
          </w:tcPr>
          <w:p w14:paraId="7786BA92" w14:textId="77777777" w:rsidR="00414A5D" w:rsidRPr="003D1614" w:rsidRDefault="00414A5D" w:rsidP="00C450F2">
            <w:pPr>
              <w:tabs>
                <w:tab w:val="left" w:pos="-720"/>
              </w:tabs>
              <w:suppressAutoHyphens/>
              <w:autoSpaceDN w:val="0"/>
              <w:spacing w:line="240" w:lineRule="exact"/>
              <w:rPr>
                <w:rFonts w:ascii="Arial" w:eastAsia="Calibri" w:hAnsi="Arial" w:cs="Arial"/>
                <w:color w:val="000000" w:themeColor="text1"/>
                <w:sz w:val="15"/>
                <w:szCs w:val="15"/>
              </w:rPr>
            </w:pPr>
            <w:r w:rsidRPr="003D1614">
              <w:rPr>
                <w:rFonts w:ascii="Arial" w:eastAsia="Calibri" w:hAnsi="Arial" w:cs="Arial"/>
                <w:color w:val="000000" w:themeColor="text1"/>
                <w:sz w:val="15"/>
                <w:szCs w:val="15"/>
              </w:rPr>
              <w:t>Depoziti kod drugih banaka</w:t>
            </w:r>
          </w:p>
        </w:tc>
        <w:tc>
          <w:tcPr>
            <w:tcW w:w="476" w:type="pct"/>
            <w:vAlign w:val="bottom"/>
          </w:tcPr>
          <w:p w14:paraId="06B05F77" w14:textId="77777777" w:rsidR="00414A5D" w:rsidRPr="003D1614" w:rsidRDefault="00414A5D" w:rsidP="00C450F2">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120.242</w:t>
            </w:r>
          </w:p>
        </w:tc>
        <w:tc>
          <w:tcPr>
            <w:tcW w:w="475" w:type="pct"/>
            <w:vAlign w:val="bottom"/>
          </w:tcPr>
          <w:p w14:paraId="374B056A" w14:textId="77777777" w:rsidR="00414A5D" w:rsidRPr="003D1614" w:rsidRDefault="00414A5D" w:rsidP="00C450F2">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5" w:type="pct"/>
            <w:vAlign w:val="bottom"/>
          </w:tcPr>
          <w:p w14:paraId="541B7B4A" w14:textId="77777777" w:rsidR="00414A5D" w:rsidRPr="003D1614" w:rsidRDefault="00414A5D" w:rsidP="00C450F2">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4" w:type="pct"/>
            <w:vAlign w:val="bottom"/>
          </w:tcPr>
          <w:p w14:paraId="3D55A02C" w14:textId="77777777" w:rsidR="00414A5D" w:rsidRPr="003D1614" w:rsidRDefault="00414A5D" w:rsidP="00C450F2">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9" w:type="pct"/>
            <w:vAlign w:val="bottom"/>
          </w:tcPr>
          <w:p w14:paraId="18EE8D1B" w14:textId="77777777" w:rsidR="00414A5D" w:rsidRPr="003D1614" w:rsidRDefault="00414A5D" w:rsidP="00C450F2">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4" w:type="pct"/>
            <w:vAlign w:val="bottom"/>
          </w:tcPr>
          <w:p w14:paraId="12A8057A" w14:textId="77777777" w:rsidR="00414A5D" w:rsidRPr="003D1614" w:rsidRDefault="00414A5D" w:rsidP="00C450F2">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368</w:t>
            </w:r>
          </w:p>
        </w:tc>
        <w:tc>
          <w:tcPr>
            <w:tcW w:w="490" w:type="pct"/>
            <w:vAlign w:val="bottom"/>
          </w:tcPr>
          <w:p w14:paraId="52E6C36E" w14:textId="77777777" w:rsidR="00414A5D" w:rsidRPr="003D1614" w:rsidRDefault="00414A5D" w:rsidP="00C450F2">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120.610</w:t>
            </w:r>
          </w:p>
        </w:tc>
        <w:tc>
          <w:tcPr>
            <w:tcW w:w="488" w:type="pct"/>
            <w:vAlign w:val="bottom"/>
          </w:tcPr>
          <w:p w14:paraId="79E42FF2" w14:textId="77777777" w:rsidR="00414A5D" w:rsidRPr="003D1614" w:rsidRDefault="00414A5D" w:rsidP="00C450F2">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120.242</w:t>
            </w:r>
          </w:p>
        </w:tc>
      </w:tr>
      <w:tr w:rsidR="00414A5D" w:rsidRPr="003D1614" w14:paraId="5ADFA24E" w14:textId="77777777" w:rsidTr="00C450F2">
        <w:trPr>
          <w:trHeight w:val="164"/>
        </w:trPr>
        <w:tc>
          <w:tcPr>
            <w:tcW w:w="1159" w:type="pct"/>
            <w:vAlign w:val="bottom"/>
          </w:tcPr>
          <w:p w14:paraId="048F723E" w14:textId="77777777" w:rsidR="00414A5D" w:rsidRPr="003D1614" w:rsidRDefault="00414A5D" w:rsidP="00C450F2">
            <w:pPr>
              <w:tabs>
                <w:tab w:val="left" w:pos="-720"/>
              </w:tabs>
              <w:suppressAutoHyphens/>
              <w:autoSpaceDN w:val="0"/>
              <w:spacing w:line="240" w:lineRule="exact"/>
              <w:rPr>
                <w:rFonts w:ascii="Arial" w:eastAsia="Calibri" w:hAnsi="Arial" w:cs="Arial"/>
                <w:color w:val="000000" w:themeColor="text1"/>
                <w:sz w:val="15"/>
                <w:szCs w:val="15"/>
              </w:rPr>
            </w:pPr>
            <w:r w:rsidRPr="003D1614">
              <w:rPr>
                <w:rFonts w:ascii="Arial" w:eastAsia="Calibri" w:hAnsi="Arial" w:cs="Arial"/>
                <w:color w:val="000000" w:themeColor="text1"/>
                <w:sz w:val="15"/>
                <w:szCs w:val="15"/>
              </w:rPr>
              <w:t>Krediti financijskim institucijama</w:t>
            </w:r>
          </w:p>
        </w:tc>
        <w:tc>
          <w:tcPr>
            <w:tcW w:w="476" w:type="pct"/>
            <w:tcBorders>
              <w:top w:val="nil"/>
              <w:left w:val="nil"/>
              <w:bottom w:val="nil"/>
              <w:right w:val="nil"/>
            </w:tcBorders>
            <w:vAlign w:val="bottom"/>
          </w:tcPr>
          <w:p w14:paraId="0E1E6C20" w14:textId="77777777" w:rsidR="00414A5D" w:rsidRPr="003D1614" w:rsidRDefault="00414A5D" w:rsidP="00C450F2">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48.869</w:t>
            </w:r>
          </w:p>
        </w:tc>
        <w:tc>
          <w:tcPr>
            <w:tcW w:w="475" w:type="pct"/>
            <w:tcBorders>
              <w:top w:val="nil"/>
              <w:left w:val="nil"/>
              <w:bottom w:val="nil"/>
              <w:right w:val="nil"/>
            </w:tcBorders>
            <w:vAlign w:val="bottom"/>
          </w:tcPr>
          <w:p w14:paraId="4026B28F" w14:textId="77777777" w:rsidR="00414A5D" w:rsidRPr="003D1614" w:rsidRDefault="00414A5D" w:rsidP="00C450F2">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56.501</w:t>
            </w:r>
          </w:p>
        </w:tc>
        <w:tc>
          <w:tcPr>
            <w:tcW w:w="475" w:type="pct"/>
            <w:tcBorders>
              <w:top w:val="nil"/>
              <w:left w:val="nil"/>
              <w:bottom w:val="nil"/>
              <w:right w:val="nil"/>
            </w:tcBorders>
            <w:vAlign w:val="bottom"/>
          </w:tcPr>
          <w:p w14:paraId="279CF4DD" w14:textId="77777777" w:rsidR="00414A5D" w:rsidRPr="003D1614" w:rsidRDefault="00414A5D" w:rsidP="00C450F2">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144.403</w:t>
            </w:r>
          </w:p>
        </w:tc>
        <w:tc>
          <w:tcPr>
            <w:tcW w:w="474" w:type="pct"/>
            <w:tcBorders>
              <w:top w:val="nil"/>
              <w:left w:val="nil"/>
              <w:bottom w:val="nil"/>
              <w:right w:val="nil"/>
            </w:tcBorders>
            <w:vAlign w:val="bottom"/>
          </w:tcPr>
          <w:p w14:paraId="4B6A7EC0" w14:textId="77777777" w:rsidR="00414A5D" w:rsidRPr="003D1614" w:rsidRDefault="00414A5D" w:rsidP="00C450F2">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343.171</w:t>
            </w:r>
          </w:p>
        </w:tc>
        <w:tc>
          <w:tcPr>
            <w:tcW w:w="489" w:type="pct"/>
            <w:tcBorders>
              <w:top w:val="nil"/>
              <w:left w:val="nil"/>
              <w:bottom w:val="nil"/>
              <w:right w:val="nil"/>
            </w:tcBorders>
            <w:vAlign w:val="bottom"/>
          </w:tcPr>
          <w:p w14:paraId="4F8D7BFE" w14:textId="77777777" w:rsidR="00414A5D" w:rsidRPr="003D1614" w:rsidRDefault="00414A5D" w:rsidP="00C450F2">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573.317</w:t>
            </w:r>
          </w:p>
        </w:tc>
        <w:tc>
          <w:tcPr>
            <w:tcW w:w="474" w:type="pct"/>
            <w:tcBorders>
              <w:top w:val="nil"/>
              <w:left w:val="nil"/>
              <w:bottom w:val="nil"/>
              <w:right w:val="nil"/>
            </w:tcBorders>
            <w:vAlign w:val="bottom"/>
          </w:tcPr>
          <w:p w14:paraId="01DA9CDD" w14:textId="77777777" w:rsidR="00414A5D" w:rsidRPr="003D1614" w:rsidRDefault="00414A5D" w:rsidP="00C450F2">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943</w:t>
            </w:r>
          </w:p>
        </w:tc>
        <w:tc>
          <w:tcPr>
            <w:tcW w:w="490" w:type="pct"/>
            <w:tcBorders>
              <w:top w:val="nil"/>
              <w:left w:val="nil"/>
              <w:bottom w:val="nil"/>
              <w:right w:val="nil"/>
            </w:tcBorders>
            <w:vAlign w:val="bottom"/>
          </w:tcPr>
          <w:p w14:paraId="3AC078BE" w14:textId="77777777" w:rsidR="00414A5D" w:rsidRPr="003D1614" w:rsidRDefault="00414A5D" w:rsidP="00C450F2">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1.167.204</w:t>
            </w:r>
          </w:p>
        </w:tc>
        <w:tc>
          <w:tcPr>
            <w:tcW w:w="488" w:type="pct"/>
            <w:tcBorders>
              <w:top w:val="nil"/>
              <w:left w:val="nil"/>
              <w:bottom w:val="nil"/>
              <w:right w:val="nil"/>
            </w:tcBorders>
            <w:vAlign w:val="bottom"/>
          </w:tcPr>
          <w:p w14:paraId="04E4DC2F" w14:textId="77777777" w:rsidR="00414A5D" w:rsidRPr="003D1614" w:rsidRDefault="00414A5D" w:rsidP="00C450F2">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1.147.484</w:t>
            </w:r>
          </w:p>
        </w:tc>
      </w:tr>
      <w:tr w:rsidR="00414A5D" w:rsidRPr="003D1614" w14:paraId="1E18372D" w14:textId="77777777" w:rsidTr="00C450F2">
        <w:trPr>
          <w:trHeight w:val="92"/>
        </w:trPr>
        <w:tc>
          <w:tcPr>
            <w:tcW w:w="1159" w:type="pct"/>
            <w:vAlign w:val="bottom"/>
          </w:tcPr>
          <w:p w14:paraId="5062831F" w14:textId="77777777" w:rsidR="00414A5D" w:rsidRPr="003D1614" w:rsidRDefault="00414A5D" w:rsidP="00C450F2">
            <w:pPr>
              <w:tabs>
                <w:tab w:val="left" w:pos="-720"/>
              </w:tabs>
              <w:suppressAutoHyphens/>
              <w:autoSpaceDN w:val="0"/>
              <w:spacing w:line="240" w:lineRule="exact"/>
              <w:rPr>
                <w:rFonts w:ascii="Arial" w:eastAsia="Calibri" w:hAnsi="Arial" w:cs="Arial"/>
                <w:color w:val="000000" w:themeColor="text1"/>
                <w:sz w:val="15"/>
                <w:szCs w:val="15"/>
              </w:rPr>
            </w:pPr>
            <w:r w:rsidRPr="003D1614">
              <w:rPr>
                <w:rFonts w:ascii="Arial" w:eastAsia="Calibri" w:hAnsi="Arial" w:cs="Arial"/>
                <w:color w:val="000000" w:themeColor="text1"/>
                <w:sz w:val="15"/>
                <w:szCs w:val="15"/>
              </w:rPr>
              <w:t>Krediti ostalim korisnicima</w:t>
            </w:r>
          </w:p>
        </w:tc>
        <w:tc>
          <w:tcPr>
            <w:tcW w:w="476" w:type="pct"/>
            <w:tcBorders>
              <w:top w:val="nil"/>
              <w:left w:val="nil"/>
              <w:bottom w:val="nil"/>
              <w:right w:val="nil"/>
            </w:tcBorders>
            <w:vAlign w:val="bottom"/>
          </w:tcPr>
          <w:p w14:paraId="6E4D0E9B" w14:textId="77777777" w:rsidR="00414A5D" w:rsidRPr="003D1614" w:rsidRDefault="00414A5D" w:rsidP="00C450F2">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187.091</w:t>
            </w:r>
          </w:p>
        </w:tc>
        <w:tc>
          <w:tcPr>
            <w:tcW w:w="475" w:type="pct"/>
            <w:tcBorders>
              <w:top w:val="nil"/>
              <w:left w:val="nil"/>
              <w:bottom w:val="nil"/>
              <w:right w:val="nil"/>
            </w:tcBorders>
            <w:vAlign w:val="bottom"/>
          </w:tcPr>
          <w:p w14:paraId="1D36420D" w14:textId="77777777" w:rsidR="00414A5D" w:rsidRPr="003D1614" w:rsidRDefault="00414A5D" w:rsidP="00C450F2">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153.766</w:t>
            </w:r>
          </w:p>
        </w:tc>
        <w:tc>
          <w:tcPr>
            <w:tcW w:w="475" w:type="pct"/>
            <w:tcBorders>
              <w:top w:val="nil"/>
              <w:left w:val="nil"/>
              <w:bottom w:val="nil"/>
              <w:right w:val="nil"/>
            </w:tcBorders>
            <w:vAlign w:val="bottom"/>
          </w:tcPr>
          <w:p w14:paraId="4590BC5F" w14:textId="77777777" w:rsidR="00414A5D" w:rsidRPr="003D1614" w:rsidRDefault="00414A5D" w:rsidP="00C450F2">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333.063</w:t>
            </w:r>
          </w:p>
        </w:tc>
        <w:tc>
          <w:tcPr>
            <w:tcW w:w="474" w:type="pct"/>
            <w:tcBorders>
              <w:top w:val="nil"/>
              <w:left w:val="nil"/>
              <w:bottom w:val="nil"/>
              <w:right w:val="nil"/>
            </w:tcBorders>
            <w:vAlign w:val="bottom"/>
          </w:tcPr>
          <w:p w14:paraId="5C976592" w14:textId="77777777" w:rsidR="00414A5D" w:rsidRPr="003D1614" w:rsidRDefault="00414A5D" w:rsidP="00C450F2">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551.085</w:t>
            </w:r>
          </w:p>
        </w:tc>
        <w:tc>
          <w:tcPr>
            <w:tcW w:w="489" w:type="pct"/>
            <w:tcBorders>
              <w:top w:val="nil"/>
              <w:left w:val="nil"/>
              <w:bottom w:val="nil"/>
              <w:right w:val="nil"/>
            </w:tcBorders>
            <w:vAlign w:val="bottom"/>
          </w:tcPr>
          <w:p w14:paraId="372082CF" w14:textId="77777777" w:rsidR="00414A5D" w:rsidRPr="003D1614" w:rsidRDefault="00414A5D" w:rsidP="00C450F2">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1.108.211</w:t>
            </w:r>
          </w:p>
        </w:tc>
        <w:tc>
          <w:tcPr>
            <w:tcW w:w="474" w:type="pct"/>
            <w:tcBorders>
              <w:top w:val="nil"/>
              <w:left w:val="nil"/>
              <w:bottom w:val="nil"/>
              <w:right w:val="nil"/>
            </w:tcBorders>
            <w:vAlign w:val="bottom"/>
          </w:tcPr>
          <w:p w14:paraId="754700D5" w14:textId="77777777" w:rsidR="00414A5D" w:rsidRPr="003D1614" w:rsidRDefault="00414A5D" w:rsidP="00C450F2">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28.261</w:t>
            </w:r>
          </w:p>
        </w:tc>
        <w:tc>
          <w:tcPr>
            <w:tcW w:w="490" w:type="pct"/>
            <w:tcBorders>
              <w:top w:val="nil"/>
              <w:left w:val="nil"/>
              <w:bottom w:val="nil"/>
              <w:right w:val="nil"/>
            </w:tcBorders>
            <w:vAlign w:val="bottom"/>
          </w:tcPr>
          <w:p w14:paraId="3FF7F014" w14:textId="77777777" w:rsidR="00414A5D" w:rsidRPr="003D1614" w:rsidRDefault="00414A5D" w:rsidP="00C450F2">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2.361.477</w:t>
            </w:r>
          </w:p>
        </w:tc>
        <w:tc>
          <w:tcPr>
            <w:tcW w:w="488" w:type="pct"/>
            <w:tcBorders>
              <w:top w:val="nil"/>
              <w:left w:val="nil"/>
              <w:bottom w:val="nil"/>
              <w:right w:val="nil"/>
            </w:tcBorders>
            <w:vAlign w:val="bottom"/>
          </w:tcPr>
          <w:p w14:paraId="25C1FD1E" w14:textId="77777777" w:rsidR="00414A5D" w:rsidRPr="003D1614" w:rsidRDefault="00414A5D" w:rsidP="00C450F2">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2.209.420</w:t>
            </w:r>
          </w:p>
        </w:tc>
      </w:tr>
      <w:tr w:rsidR="00414A5D" w:rsidRPr="003D1614" w14:paraId="46ECA27D" w14:textId="77777777" w:rsidTr="00C450F2">
        <w:trPr>
          <w:trHeight w:val="170"/>
        </w:trPr>
        <w:tc>
          <w:tcPr>
            <w:tcW w:w="1159" w:type="pct"/>
            <w:vAlign w:val="bottom"/>
          </w:tcPr>
          <w:p w14:paraId="22097392" w14:textId="77777777" w:rsidR="00414A5D" w:rsidRPr="003D1614" w:rsidRDefault="00414A5D" w:rsidP="00C450F2">
            <w:pPr>
              <w:tabs>
                <w:tab w:val="left" w:pos="-720"/>
              </w:tabs>
              <w:suppressAutoHyphens/>
              <w:autoSpaceDN w:val="0"/>
              <w:spacing w:line="240" w:lineRule="exact"/>
              <w:rPr>
                <w:rFonts w:ascii="Arial" w:eastAsia="Calibri" w:hAnsi="Arial" w:cs="Arial"/>
                <w:color w:val="000000" w:themeColor="text1"/>
                <w:sz w:val="15"/>
                <w:szCs w:val="15"/>
              </w:rPr>
            </w:pPr>
            <w:r w:rsidRPr="003D1614">
              <w:rPr>
                <w:rFonts w:ascii="Arial" w:eastAsia="Calibri" w:hAnsi="Arial" w:cs="Arial"/>
                <w:color w:val="000000" w:themeColor="text1"/>
                <w:sz w:val="15"/>
                <w:szCs w:val="15"/>
              </w:rPr>
              <w:t>Financijska imovina po fer vrijednosti kroz dobit ili gubitak</w:t>
            </w:r>
          </w:p>
        </w:tc>
        <w:tc>
          <w:tcPr>
            <w:tcW w:w="476" w:type="pct"/>
            <w:vAlign w:val="bottom"/>
          </w:tcPr>
          <w:p w14:paraId="5FA360AF" w14:textId="77777777" w:rsidR="00414A5D" w:rsidRPr="003D1614" w:rsidRDefault="00414A5D" w:rsidP="00C450F2">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5" w:type="pct"/>
            <w:vAlign w:val="bottom"/>
          </w:tcPr>
          <w:p w14:paraId="19C0FFB4" w14:textId="77777777" w:rsidR="00414A5D" w:rsidRPr="003D1614" w:rsidRDefault="00414A5D" w:rsidP="00C450F2">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5" w:type="pct"/>
            <w:vAlign w:val="bottom"/>
          </w:tcPr>
          <w:p w14:paraId="1C1E65F9" w14:textId="77777777" w:rsidR="00414A5D" w:rsidRPr="003D1614" w:rsidRDefault="00414A5D" w:rsidP="00C450F2">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4" w:type="pct"/>
            <w:vAlign w:val="bottom"/>
          </w:tcPr>
          <w:p w14:paraId="553AC32B" w14:textId="77777777" w:rsidR="00414A5D" w:rsidRPr="003D1614" w:rsidRDefault="00414A5D" w:rsidP="00C450F2">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32.926</w:t>
            </w:r>
          </w:p>
        </w:tc>
        <w:tc>
          <w:tcPr>
            <w:tcW w:w="489" w:type="pct"/>
            <w:vAlign w:val="bottom"/>
          </w:tcPr>
          <w:p w14:paraId="4A5E2DED" w14:textId="77777777" w:rsidR="00414A5D" w:rsidRPr="003D1614" w:rsidRDefault="00414A5D" w:rsidP="00C450F2">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4" w:type="pct"/>
            <w:vAlign w:val="bottom"/>
          </w:tcPr>
          <w:p w14:paraId="1A14A6C1" w14:textId="77777777" w:rsidR="00414A5D" w:rsidRPr="003D1614" w:rsidRDefault="00414A5D" w:rsidP="00C450F2">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33.106</w:t>
            </w:r>
          </w:p>
        </w:tc>
        <w:tc>
          <w:tcPr>
            <w:tcW w:w="490" w:type="pct"/>
            <w:vAlign w:val="bottom"/>
          </w:tcPr>
          <w:p w14:paraId="254E02CC" w14:textId="77777777" w:rsidR="00414A5D" w:rsidRPr="003D1614" w:rsidRDefault="00414A5D" w:rsidP="00C450F2">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66.032</w:t>
            </w:r>
          </w:p>
        </w:tc>
        <w:tc>
          <w:tcPr>
            <w:tcW w:w="488" w:type="pct"/>
            <w:vAlign w:val="bottom"/>
          </w:tcPr>
          <w:p w14:paraId="3CCE06EE" w14:textId="77777777" w:rsidR="00414A5D" w:rsidRPr="003D1614" w:rsidRDefault="00414A5D" w:rsidP="00C450F2">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32.926</w:t>
            </w:r>
          </w:p>
        </w:tc>
      </w:tr>
      <w:tr w:rsidR="00414A5D" w:rsidRPr="003D1614" w14:paraId="4476B1EF" w14:textId="77777777" w:rsidTr="00C450F2">
        <w:trPr>
          <w:trHeight w:val="163"/>
        </w:trPr>
        <w:tc>
          <w:tcPr>
            <w:tcW w:w="1159" w:type="pct"/>
            <w:vAlign w:val="bottom"/>
          </w:tcPr>
          <w:p w14:paraId="7F2280EE" w14:textId="77777777" w:rsidR="00414A5D" w:rsidRPr="003D1614" w:rsidRDefault="00414A5D" w:rsidP="00C450F2">
            <w:pPr>
              <w:tabs>
                <w:tab w:val="left" w:pos="-720"/>
              </w:tabs>
              <w:suppressAutoHyphens/>
              <w:autoSpaceDN w:val="0"/>
              <w:spacing w:line="240" w:lineRule="exact"/>
              <w:rPr>
                <w:rFonts w:ascii="Arial" w:eastAsia="Calibri" w:hAnsi="Arial" w:cs="Arial"/>
                <w:color w:val="000000" w:themeColor="text1"/>
                <w:sz w:val="15"/>
                <w:szCs w:val="15"/>
              </w:rPr>
            </w:pPr>
            <w:r w:rsidRPr="003D1614">
              <w:rPr>
                <w:rFonts w:ascii="Arial" w:eastAsia="Calibri" w:hAnsi="Arial" w:cs="Arial"/>
                <w:color w:val="000000" w:themeColor="text1"/>
                <w:sz w:val="15"/>
                <w:szCs w:val="15"/>
              </w:rPr>
              <w:t>Financijska imovina po fer vrijednosti kroz ostalu sveobuhvatnu dobit</w:t>
            </w:r>
          </w:p>
        </w:tc>
        <w:tc>
          <w:tcPr>
            <w:tcW w:w="476" w:type="pct"/>
            <w:vAlign w:val="bottom"/>
          </w:tcPr>
          <w:p w14:paraId="69B91D66" w14:textId="77777777" w:rsidR="00414A5D" w:rsidRPr="003D1614" w:rsidRDefault="00414A5D" w:rsidP="00C450F2">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3</w:t>
            </w:r>
          </w:p>
        </w:tc>
        <w:tc>
          <w:tcPr>
            <w:tcW w:w="475" w:type="pct"/>
            <w:vAlign w:val="bottom"/>
          </w:tcPr>
          <w:p w14:paraId="7DA9C477" w14:textId="77777777" w:rsidR="00414A5D" w:rsidRPr="003D1614" w:rsidRDefault="00414A5D" w:rsidP="00C450F2">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21.142</w:t>
            </w:r>
          </w:p>
        </w:tc>
        <w:tc>
          <w:tcPr>
            <w:tcW w:w="475" w:type="pct"/>
            <w:vAlign w:val="bottom"/>
          </w:tcPr>
          <w:p w14:paraId="74E31771" w14:textId="77777777" w:rsidR="00414A5D" w:rsidRPr="003D1614" w:rsidRDefault="00414A5D" w:rsidP="00C450F2">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91.067</w:t>
            </w:r>
          </w:p>
        </w:tc>
        <w:tc>
          <w:tcPr>
            <w:tcW w:w="474" w:type="pct"/>
            <w:vAlign w:val="bottom"/>
          </w:tcPr>
          <w:p w14:paraId="470740F6" w14:textId="77777777" w:rsidR="00414A5D" w:rsidRPr="003D1614" w:rsidRDefault="00414A5D" w:rsidP="00C450F2">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65.203</w:t>
            </w:r>
          </w:p>
        </w:tc>
        <w:tc>
          <w:tcPr>
            <w:tcW w:w="489" w:type="pct"/>
            <w:vAlign w:val="bottom"/>
          </w:tcPr>
          <w:p w14:paraId="7C540165" w14:textId="77777777" w:rsidR="00414A5D" w:rsidRPr="003D1614" w:rsidRDefault="00414A5D" w:rsidP="00C450F2">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58.827</w:t>
            </w:r>
          </w:p>
        </w:tc>
        <w:tc>
          <w:tcPr>
            <w:tcW w:w="474" w:type="pct"/>
            <w:vAlign w:val="bottom"/>
          </w:tcPr>
          <w:p w14:paraId="3DC66C57" w14:textId="77777777" w:rsidR="00414A5D" w:rsidRPr="003D1614" w:rsidRDefault="00414A5D" w:rsidP="00C450F2">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10.532</w:t>
            </w:r>
          </w:p>
        </w:tc>
        <w:tc>
          <w:tcPr>
            <w:tcW w:w="490" w:type="pct"/>
            <w:vAlign w:val="bottom"/>
          </w:tcPr>
          <w:p w14:paraId="003707C5" w14:textId="77777777" w:rsidR="00414A5D" w:rsidRPr="003D1614" w:rsidRDefault="00414A5D" w:rsidP="00C450F2">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246.774</w:t>
            </w:r>
          </w:p>
        </w:tc>
        <w:tc>
          <w:tcPr>
            <w:tcW w:w="488" w:type="pct"/>
            <w:vAlign w:val="bottom"/>
          </w:tcPr>
          <w:p w14:paraId="5A31D2F4" w14:textId="77777777" w:rsidR="00414A5D" w:rsidRPr="003D1614" w:rsidRDefault="00414A5D" w:rsidP="00C450F2">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236.242</w:t>
            </w:r>
          </w:p>
        </w:tc>
      </w:tr>
      <w:tr w:rsidR="00414A5D" w:rsidRPr="003D1614" w14:paraId="64B39B5B" w14:textId="77777777" w:rsidTr="00C450F2">
        <w:trPr>
          <w:trHeight w:val="206"/>
        </w:trPr>
        <w:tc>
          <w:tcPr>
            <w:tcW w:w="1159" w:type="pct"/>
            <w:vAlign w:val="bottom"/>
          </w:tcPr>
          <w:p w14:paraId="1894F724" w14:textId="77777777" w:rsidR="00414A5D" w:rsidRPr="003D1614" w:rsidRDefault="00414A5D" w:rsidP="00C450F2">
            <w:pPr>
              <w:tabs>
                <w:tab w:val="left" w:pos="-720"/>
              </w:tabs>
              <w:suppressAutoHyphens/>
              <w:autoSpaceDN w:val="0"/>
              <w:spacing w:line="240" w:lineRule="exact"/>
              <w:rPr>
                <w:rFonts w:ascii="Arial" w:eastAsia="Calibri" w:hAnsi="Arial" w:cs="Arial"/>
                <w:color w:val="000000" w:themeColor="text1"/>
                <w:sz w:val="15"/>
                <w:szCs w:val="15"/>
              </w:rPr>
            </w:pPr>
            <w:r w:rsidRPr="003D1614">
              <w:rPr>
                <w:rFonts w:ascii="Arial" w:eastAsia="Calibri" w:hAnsi="Arial" w:cs="Arial"/>
                <w:color w:val="000000" w:themeColor="text1"/>
                <w:sz w:val="15"/>
                <w:szCs w:val="15"/>
              </w:rPr>
              <w:t>Ostala imovina</w:t>
            </w:r>
          </w:p>
        </w:tc>
        <w:tc>
          <w:tcPr>
            <w:tcW w:w="476" w:type="pct"/>
            <w:tcBorders>
              <w:bottom w:val="single" w:sz="4" w:space="0" w:color="auto"/>
            </w:tcBorders>
            <w:vAlign w:val="bottom"/>
          </w:tcPr>
          <w:p w14:paraId="25D9E756" w14:textId="77777777" w:rsidR="00414A5D" w:rsidRPr="003D1614" w:rsidRDefault="00414A5D" w:rsidP="00C450F2">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5" w:type="pct"/>
            <w:tcBorders>
              <w:bottom w:val="single" w:sz="4" w:space="0" w:color="auto"/>
            </w:tcBorders>
            <w:vAlign w:val="bottom"/>
          </w:tcPr>
          <w:p w14:paraId="338C9E1E" w14:textId="77777777" w:rsidR="00414A5D" w:rsidRPr="003D1614" w:rsidRDefault="00414A5D" w:rsidP="00C450F2">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5" w:type="pct"/>
            <w:tcBorders>
              <w:bottom w:val="single" w:sz="4" w:space="0" w:color="auto"/>
            </w:tcBorders>
            <w:vAlign w:val="bottom"/>
          </w:tcPr>
          <w:p w14:paraId="349AB081" w14:textId="77777777" w:rsidR="00414A5D" w:rsidRPr="003D1614" w:rsidRDefault="00414A5D" w:rsidP="00C450F2">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4" w:type="pct"/>
            <w:tcBorders>
              <w:bottom w:val="single" w:sz="4" w:space="0" w:color="auto"/>
            </w:tcBorders>
            <w:vAlign w:val="bottom"/>
          </w:tcPr>
          <w:p w14:paraId="2D7202E8" w14:textId="77777777" w:rsidR="00414A5D" w:rsidRPr="003D1614" w:rsidRDefault="00414A5D" w:rsidP="00C450F2">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9" w:type="pct"/>
            <w:tcBorders>
              <w:bottom w:val="single" w:sz="4" w:space="0" w:color="auto"/>
            </w:tcBorders>
            <w:vAlign w:val="bottom"/>
          </w:tcPr>
          <w:p w14:paraId="09E6410C" w14:textId="77777777" w:rsidR="00414A5D" w:rsidRPr="003D1614" w:rsidRDefault="00414A5D" w:rsidP="00C450F2">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4" w:type="pct"/>
            <w:tcBorders>
              <w:bottom w:val="single" w:sz="4" w:space="0" w:color="auto"/>
            </w:tcBorders>
            <w:vAlign w:val="bottom"/>
          </w:tcPr>
          <w:p w14:paraId="615A16C4" w14:textId="77777777" w:rsidR="00414A5D" w:rsidRPr="003D1614" w:rsidRDefault="00414A5D" w:rsidP="00C450F2">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7.149</w:t>
            </w:r>
          </w:p>
        </w:tc>
        <w:tc>
          <w:tcPr>
            <w:tcW w:w="490" w:type="pct"/>
            <w:tcBorders>
              <w:bottom w:val="single" w:sz="4" w:space="0" w:color="auto"/>
            </w:tcBorders>
            <w:vAlign w:val="bottom"/>
          </w:tcPr>
          <w:p w14:paraId="582839E3" w14:textId="77777777" w:rsidR="00414A5D" w:rsidRPr="003D1614" w:rsidRDefault="00414A5D" w:rsidP="00C450F2">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7.149</w:t>
            </w:r>
          </w:p>
        </w:tc>
        <w:tc>
          <w:tcPr>
            <w:tcW w:w="488" w:type="pct"/>
            <w:tcBorders>
              <w:bottom w:val="single" w:sz="4" w:space="0" w:color="auto"/>
            </w:tcBorders>
            <w:vAlign w:val="bottom"/>
          </w:tcPr>
          <w:p w14:paraId="1A41ADC2" w14:textId="77777777" w:rsidR="00414A5D" w:rsidRPr="003D1614" w:rsidRDefault="00414A5D" w:rsidP="00C450F2">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r>
      <w:tr w:rsidR="00414A5D" w:rsidRPr="003D1614" w14:paraId="6C750BAC" w14:textId="77777777" w:rsidTr="00C450F2">
        <w:trPr>
          <w:trHeight w:hRule="exact" w:val="308"/>
        </w:trPr>
        <w:tc>
          <w:tcPr>
            <w:tcW w:w="1159" w:type="pct"/>
            <w:vAlign w:val="bottom"/>
          </w:tcPr>
          <w:p w14:paraId="595BCE85" w14:textId="77777777" w:rsidR="00414A5D" w:rsidRPr="003D1614" w:rsidRDefault="00414A5D" w:rsidP="00C450F2">
            <w:pPr>
              <w:tabs>
                <w:tab w:val="right" w:pos="1202"/>
              </w:tabs>
              <w:suppressAutoHyphens/>
              <w:autoSpaceDN w:val="0"/>
              <w:spacing w:line="240" w:lineRule="exact"/>
              <w:outlineLvl w:val="0"/>
              <w:rPr>
                <w:rFonts w:ascii="Arial" w:eastAsia="Calibri" w:hAnsi="Arial" w:cs="Arial"/>
                <w:b/>
                <w:bCs/>
                <w:color w:val="000000" w:themeColor="text1"/>
                <w:sz w:val="15"/>
                <w:szCs w:val="15"/>
              </w:rPr>
            </w:pPr>
            <w:bookmarkStart w:id="926" w:name="_Toc67330638"/>
            <w:r w:rsidRPr="003D1614">
              <w:rPr>
                <w:rFonts w:ascii="Arial" w:eastAsia="Calibri" w:hAnsi="Arial" w:cs="Arial"/>
                <w:b/>
                <w:bCs/>
                <w:color w:val="000000" w:themeColor="text1"/>
                <w:sz w:val="15"/>
                <w:szCs w:val="15"/>
              </w:rPr>
              <w:t>Imovina</w:t>
            </w:r>
            <w:bookmarkEnd w:id="926"/>
            <w:r w:rsidRPr="003D1614">
              <w:rPr>
                <w:rFonts w:ascii="Arial" w:eastAsia="Calibri" w:hAnsi="Arial" w:cs="Arial"/>
                <w:b/>
                <w:bCs/>
                <w:color w:val="000000" w:themeColor="text1"/>
                <w:sz w:val="15"/>
                <w:szCs w:val="15"/>
              </w:rPr>
              <w:t xml:space="preserve"> </w:t>
            </w:r>
          </w:p>
        </w:tc>
        <w:tc>
          <w:tcPr>
            <w:tcW w:w="476" w:type="pct"/>
            <w:tcBorders>
              <w:top w:val="nil"/>
              <w:left w:val="nil"/>
              <w:bottom w:val="single" w:sz="8" w:space="0" w:color="auto"/>
              <w:right w:val="nil"/>
            </w:tcBorders>
            <w:vAlign w:val="bottom"/>
          </w:tcPr>
          <w:p w14:paraId="320EA3B4" w14:textId="77777777" w:rsidR="00414A5D" w:rsidRPr="003D1614" w:rsidRDefault="00414A5D" w:rsidP="00C450F2">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390.292</w:t>
            </w:r>
          </w:p>
        </w:tc>
        <w:tc>
          <w:tcPr>
            <w:tcW w:w="475" w:type="pct"/>
            <w:tcBorders>
              <w:top w:val="nil"/>
              <w:left w:val="nil"/>
              <w:bottom w:val="single" w:sz="8" w:space="0" w:color="auto"/>
              <w:right w:val="nil"/>
            </w:tcBorders>
            <w:vAlign w:val="bottom"/>
          </w:tcPr>
          <w:p w14:paraId="76AAECA1" w14:textId="77777777" w:rsidR="00414A5D" w:rsidRPr="003D1614" w:rsidRDefault="00414A5D" w:rsidP="00C450F2">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231.409</w:t>
            </w:r>
          </w:p>
        </w:tc>
        <w:tc>
          <w:tcPr>
            <w:tcW w:w="475" w:type="pct"/>
            <w:tcBorders>
              <w:top w:val="nil"/>
              <w:left w:val="nil"/>
              <w:bottom w:val="single" w:sz="8" w:space="0" w:color="auto"/>
              <w:right w:val="nil"/>
            </w:tcBorders>
            <w:vAlign w:val="bottom"/>
          </w:tcPr>
          <w:p w14:paraId="1644DE31" w14:textId="77777777" w:rsidR="00414A5D" w:rsidRPr="003D1614" w:rsidRDefault="00414A5D" w:rsidP="00C450F2">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568.533</w:t>
            </w:r>
          </w:p>
        </w:tc>
        <w:tc>
          <w:tcPr>
            <w:tcW w:w="474" w:type="pct"/>
            <w:tcBorders>
              <w:top w:val="nil"/>
              <w:left w:val="nil"/>
              <w:bottom w:val="single" w:sz="8" w:space="0" w:color="auto"/>
              <w:right w:val="nil"/>
            </w:tcBorders>
            <w:vAlign w:val="bottom"/>
          </w:tcPr>
          <w:p w14:paraId="6B0CC175" w14:textId="77777777" w:rsidR="00414A5D" w:rsidRPr="003D1614" w:rsidRDefault="00414A5D" w:rsidP="00C450F2">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992.385</w:t>
            </w:r>
          </w:p>
        </w:tc>
        <w:tc>
          <w:tcPr>
            <w:tcW w:w="489" w:type="pct"/>
            <w:tcBorders>
              <w:top w:val="nil"/>
              <w:left w:val="nil"/>
              <w:bottom w:val="single" w:sz="8" w:space="0" w:color="auto"/>
              <w:right w:val="nil"/>
            </w:tcBorders>
            <w:vAlign w:val="bottom"/>
          </w:tcPr>
          <w:p w14:paraId="6366A687" w14:textId="77777777" w:rsidR="00414A5D" w:rsidRPr="003D1614" w:rsidRDefault="00414A5D" w:rsidP="00C450F2">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1.740.355</w:t>
            </w:r>
          </w:p>
        </w:tc>
        <w:tc>
          <w:tcPr>
            <w:tcW w:w="474" w:type="pct"/>
            <w:tcBorders>
              <w:top w:val="nil"/>
              <w:left w:val="nil"/>
              <w:bottom w:val="single" w:sz="8" w:space="0" w:color="auto"/>
              <w:right w:val="nil"/>
            </w:tcBorders>
            <w:vAlign w:val="bottom"/>
          </w:tcPr>
          <w:p w14:paraId="740F8126" w14:textId="77777777" w:rsidR="00414A5D" w:rsidRPr="003D1614" w:rsidRDefault="00414A5D" w:rsidP="00C450F2">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80.359</w:t>
            </w:r>
          </w:p>
        </w:tc>
        <w:tc>
          <w:tcPr>
            <w:tcW w:w="490" w:type="pct"/>
            <w:tcBorders>
              <w:top w:val="nil"/>
              <w:left w:val="nil"/>
              <w:bottom w:val="single" w:sz="8" w:space="0" w:color="auto"/>
              <w:right w:val="nil"/>
            </w:tcBorders>
            <w:vAlign w:val="bottom"/>
          </w:tcPr>
          <w:p w14:paraId="11DA9587" w14:textId="77777777" w:rsidR="00414A5D" w:rsidRPr="003D1614" w:rsidRDefault="00414A5D" w:rsidP="00C450F2">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4.003.333</w:t>
            </w:r>
          </w:p>
        </w:tc>
        <w:tc>
          <w:tcPr>
            <w:tcW w:w="488" w:type="pct"/>
            <w:tcBorders>
              <w:top w:val="nil"/>
              <w:left w:val="nil"/>
              <w:bottom w:val="single" w:sz="8" w:space="0" w:color="auto"/>
              <w:right w:val="nil"/>
            </w:tcBorders>
            <w:vAlign w:val="bottom"/>
          </w:tcPr>
          <w:p w14:paraId="09A7264D" w14:textId="77777777" w:rsidR="00414A5D" w:rsidRPr="003D1614" w:rsidRDefault="00414A5D" w:rsidP="00C450F2">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3.780.401</w:t>
            </w:r>
          </w:p>
        </w:tc>
      </w:tr>
      <w:tr w:rsidR="00414A5D" w:rsidRPr="003D1614" w14:paraId="01C216D3" w14:textId="77777777" w:rsidTr="00C450F2">
        <w:trPr>
          <w:trHeight w:hRule="exact" w:val="187"/>
        </w:trPr>
        <w:tc>
          <w:tcPr>
            <w:tcW w:w="1159" w:type="pct"/>
            <w:vAlign w:val="bottom"/>
          </w:tcPr>
          <w:p w14:paraId="614DAC0F" w14:textId="77777777" w:rsidR="00414A5D" w:rsidRPr="003D1614" w:rsidRDefault="00414A5D" w:rsidP="00C450F2">
            <w:pPr>
              <w:tabs>
                <w:tab w:val="right" w:pos="1202"/>
              </w:tabs>
              <w:suppressAutoHyphens/>
              <w:autoSpaceDN w:val="0"/>
              <w:spacing w:line="240" w:lineRule="exact"/>
              <w:outlineLvl w:val="0"/>
              <w:rPr>
                <w:rFonts w:ascii="Arial" w:eastAsia="Calibri" w:hAnsi="Arial" w:cs="Arial"/>
                <w:b/>
                <w:bCs/>
                <w:color w:val="000000" w:themeColor="text1"/>
                <w:sz w:val="15"/>
                <w:szCs w:val="15"/>
              </w:rPr>
            </w:pPr>
          </w:p>
        </w:tc>
        <w:tc>
          <w:tcPr>
            <w:tcW w:w="476" w:type="pct"/>
            <w:tcBorders>
              <w:top w:val="single" w:sz="12" w:space="0" w:color="auto"/>
              <w:left w:val="nil"/>
              <w:right w:val="nil"/>
            </w:tcBorders>
            <w:vAlign w:val="bottom"/>
          </w:tcPr>
          <w:p w14:paraId="7BCEAEE9" w14:textId="77777777" w:rsidR="00414A5D" w:rsidRPr="003D1614" w:rsidRDefault="00414A5D" w:rsidP="00C450F2">
            <w:pPr>
              <w:suppressAutoHyphens/>
              <w:autoSpaceDN w:val="0"/>
              <w:jc w:val="right"/>
              <w:rPr>
                <w:rFonts w:ascii="Arial" w:eastAsia="Calibri" w:hAnsi="Arial" w:cs="Arial"/>
                <w:b/>
                <w:color w:val="000000" w:themeColor="text1"/>
                <w:sz w:val="15"/>
                <w:szCs w:val="15"/>
              </w:rPr>
            </w:pPr>
          </w:p>
        </w:tc>
        <w:tc>
          <w:tcPr>
            <w:tcW w:w="475" w:type="pct"/>
            <w:tcBorders>
              <w:top w:val="single" w:sz="12" w:space="0" w:color="auto"/>
              <w:left w:val="nil"/>
              <w:right w:val="nil"/>
            </w:tcBorders>
            <w:vAlign w:val="bottom"/>
          </w:tcPr>
          <w:p w14:paraId="43191D53" w14:textId="77777777" w:rsidR="00414A5D" w:rsidRPr="003D1614" w:rsidRDefault="00414A5D" w:rsidP="00C450F2">
            <w:pPr>
              <w:suppressAutoHyphens/>
              <w:autoSpaceDN w:val="0"/>
              <w:jc w:val="right"/>
              <w:rPr>
                <w:rFonts w:ascii="Arial" w:eastAsia="Calibri" w:hAnsi="Arial" w:cs="Arial"/>
                <w:b/>
                <w:color w:val="000000" w:themeColor="text1"/>
                <w:sz w:val="15"/>
                <w:szCs w:val="15"/>
              </w:rPr>
            </w:pPr>
          </w:p>
        </w:tc>
        <w:tc>
          <w:tcPr>
            <w:tcW w:w="475" w:type="pct"/>
            <w:tcBorders>
              <w:top w:val="single" w:sz="12" w:space="0" w:color="auto"/>
              <w:left w:val="nil"/>
              <w:right w:val="nil"/>
            </w:tcBorders>
            <w:vAlign w:val="bottom"/>
          </w:tcPr>
          <w:p w14:paraId="3586DC95" w14:textId="77777777" w:rsidR="00414A5D" w:rsidRPr="003D1614" w:rsidRDefault="00414A5D" w:rsidP="00C450F2">
            <w:pPr>
              <w:suppressAutoHyphens/>
              <w:autoSpaceDN w:val="0"/>
              <w:jc w:val="right"/>
              <w:rPr>
                <w:rFonts w:ascii="Arial" w:eastAsia="Calibri" w:hAnsi="Arial" w:cs="Arial"/>
                <w:b/>
                <w:color w:val="000000" w:themeColor="text1"/>
                <w:sz w:val="15"/>
                <w:szCs w:val="15"/>
              </w:rPr>
            </w:pPr>
          </w:p>
        </w:tc>
        <w:tc>
          <w:tcPr>
            <w:tcW w:w="474" w:type="pct"/>
            <w:tcBorders>
              <w:top w:val="single" w:sz="12" w:space="0" w:color="auto"/>
              <w:left w:val="nil"/>
              <w:right w:val="nil"/>
            </w:tcBorders>
            <w:vAlign w:val="bottom"/>
          </w:tcPr>
          <w:p w14:paraId="11C91B65" w14:textId="77777777" w:rsidR="00414A5D" w:rsidRPr="003D1614" w:rsidRDefault="00414A5D" w:rsidP="00C450F2">
            <w:pPr>
              <w:suppressAutoHyphens/>
              <w:autoSpaceDN w:val="0"/>
              <w:jc w:val="right"/>
              <w:rPr>
                <w:rFonts w:ascii="Arial" w:eastAsia="Calibri" w:hAnsi="Arial" w:cs="Arial"/>
                <w:b/>
                <w:color w:val="000000" w:themeColor="text1"/>
                <w:sz w:val="15"/>
                <w:szCs w:val="15"/>
              </w:rPr>
            </w:pPr>
          </w:p>
        </w:tc>
        <w:tc>
          <w:tcPr>
            <w:tcW w:w="489" w:type="pct"/>
            <w:tcBorders>
              <w:top w:val="single" w:sz="12" w:space="0" w:color="auto"/>
              <w:left w:val="nil"/>
              <w:right w:val="nil"/>
            </w:tcBorders>
            <w:vAlign w:val="bottom"/>
          </w:tcPr>
          <w:p w14:paraId="6B2CAE4E" w14:textId="77777777" w:rsidR="00414A5D" w:rsidRPr="003D1614" w:rsidRDefault="00414A5D" w:rsidP="00C450F2">
            <w:pPr>
              <w:suppressAutoHyphens/>
              <w:autoSpaceDN w:val="0"/>
              <w:jc w:val="right"/>
              <w:rPr>
                <w:rFonts w:ascii="Arial" w:eastAsia="Calibri" w:hAnsi="Arial" w:cs="Arial"/>
                <w:b/>
                <w:color w:val="000000" w:themeColor="text1"/>
                <w:sz w:val="15"/>
                <w:szCs w:val="15"/>
              </w:rPr>
            </w:pPr>
          </w:p>
        </w:tc>
        <w:tc>
          <w:tcPr>
            <w:tcW w:w="474" w:type="pct"/>
            <w:tcBorders>
              <w:top w:val="single" w:sz="12" w:space="0" w:color="auto"/>
              <w:left w:val="nil"/>
              <w:right w:val="nil"/>
            </w:tcBorders>
            <w:vAlign w:val="bottom"/>
          </w:tcPr>
          <w:p w14:paraId="2C27E484" w14:textId="77777777" w:rsidR="00414A5D" w:rsidRPr="003D1614" w:rsidRDefault="00414A5D" w:rsidP="00C450F2">
            <w:pPr>
              <w:suppressAutoHyphens/>
              <w:autoSpaceDN w:val="0"/>
              <w:jc w:val="right"/>
              <w:rPr>
                <w:rFonts w:ascii="Arial" w:eastAsia="Calibri" w:hAnsi="Arial" w:cs="Arial"/>
                <w:b/>
                <w:color w:val="000000" w:themeColor="text1"/>
                <w:sz w:val="15"/>
                <w:szCs w:val="15"/>
              </w:rPr>
            </w:pPr>
          </w:p>
        </w:tc>
        <w:tc>
          <w:tcPr>
            <w:tcW w:w="490" w:type="pct"/>
            <w:tcBorders>
              <w:top w:val="single" w:sz="12" w:space="0" w:color="auto"/>
              <w:left w:val="nil"/>
              <w:right w:val="nil"/>
            </w:tcBorders>
            <w:vAlign w:val="bottom"/>
          </w:tcPr>
          <w:p w14:paraId="1176714D" w14:textId="77777777" w:rsidR="00414A5D" w:rsidRPr="003D1614" w:rsidRDefault="00414A5D" w:rsidP="00C450F2">
            <w:pPr>
              <w:suppressAutoHyphens/>
              <w:autoSpaceDN w:val="0"/>
              <w:jc w:val="right"/>
              <w:rPr>
                <w:rFonts w:ascii="Arial" w:eastAsia="Calibri" w:hAnsi="Arial" w:cs="Arial"/>
                <w:b/>
                <w:color w:val="000000" w:themeColor="text1"/>
                <w:sz w:val="15"/>
                <w:szCs w:val="15"/>
              </w:rPr>
            </w:pPr>
          </w:p>
        </w:tc>
        <w:tc>
          <w:tcPr>
            <w:tcW w:w="488" w:type="pct"/>
            <w:tcBorders>
              <w:top w:val="single" w:sz="12" w:space="0" w:color="auto"/>
              <w:left w:val="nil"/>
              <w:right w:val="nil"/>
            </w:tcBorders>
            <w:vAlign w:val="bottom"/>
          </w:tcPr>
          <w:p w14:paraId="07E5462E" w14:textId="77777777" w:rsidR="00414A5D" w:rsidRPr="003D1614" w:rsidRDefault="00414A5D" w:rsidP="00C450F2">
            <w:pPr>
              <w:suppressAutoHyphens/>
              <w:autoSpaceDN w:val="0"/>
              <w:jc w:val="right"/>
              <w:rPr>
                <w:rFonts w:ascii="Arial" w:eastAsia="Calibri" w:hAnsi="Arial" w:cs="Arial"/>
                <w:b/>
                <w:color w:val="000000" w:themeColor="text1"/>
                <w:sz w:val="15"/>
                <w:szCs w:val="15"/>
              </w:rPr>
            </w:pPr>
          </w:p>
        </w:tc>
      </w:tr>
      <w:tr w:rsidR="00414A5D" w:rsidRPr="003D1614" w14:paraId="3FEAF348" w14:textId="77777777" w:rsidTr="00C450F2">
        <w:trPr>
          <w:trHeight w:hRule="exact" w:val="235"/>
        </w:trPr>
        <w:tc>
          <w:tcPr>
            <w:tcW w:w="1159" w:type="pct"/>
            <w:vAlign w:val="bottom"/>
          </w:tcPr>
          <w:p w14:paraId="0DF25467" w14:textId="77777777" w:rsidR="00414A5D" w:rsidRPr="003D1614" w:rsidRDefault="00414A5D" w:rsidP="00C450F2">
            <w:pPr>
              <w:tabs>
                <w:tab w:val="right" w:pos="1202"/>
              </w:tabs>
              <w:suppressAutoHyphens/>
              <w:autoSpaceDN w:val="0"/>
              <w:spacing w:line="240" w:lineRule="exact"/>
              <w:outlineLvl w:val="0"/>
              <w:rPr>
                <w:rFonts w:ascii="Arial" w:eastAsia="Calibri" w:hAnsi="Arial" w:cs="Arial"/>
                <w:b/>
                <w:bCs/>
                <w:color w:val="000000" w:themeColor="text1"/>
                <w:sz w:val="15"/>
                <w:szCs w:val="15"/>
              </w:rPr>
            </w:pPr>
            <w:bookmarkStart w:id="927" w:name="_Toc67330639"/>
            <w:r w:rsidRPr="003D1614">
              <w:rPr>
                <w:rFonts w:ascii="Arial" w:eastAsia="Calibri" w:hAnsi="Arial" w:cs="Arial"/>
                <w:b/>
                <w:bCs/>
                <w:color w:val="000000" w:themeColor="text1"/>
                <w:sz w:val="15"/>
                <w:szCs w:val="15"/>
              </w:rPr>
              <w:t>Obveze</w:t>
            </w:r>
            <w:bookmarkEnd w:id="927"/>
          </w:p>
        </w:tc>
        <w:tc>
          <w:tcPr>
            <w:tcW w:w="476" w:type="pct"/>
            <w:tcBorders>
              <w:left w:val="nil"/>
              <w:right w:val="nil"/>
            </w:tcBorders>
            <w:vAlign w:val="bottom"/>
          </w:tcPr>
          <w:p w14:paraId="249CAC4B" w14:textId="77777777" w:rsidR="00414A5D" w:rsidRPr="003D1614" w:rsidRDefault="00414A5D" w:rsidP="00C450F2">
            <w:pPr>
              <w:suppressAutoHyphens/>
              <w:autoSpaceDN w:val="0"/>
              <w:jc w:val="right"/>
              <w:rPr>
                <w:rFonts w:ascii="Arial" w:eastAsia="Calibri" w:hAnsi="Arial" w:cs="Arial"/>
                <w:b/>
                <w:color w:val="000000" w:themeColor="text1"/>
                <w:sz w:val="15"/>
                <w:szCs w:val="15"/>
              </w:rPr>
            </w:pPr>
          </w:p>
        </w:tc>
        <w:tc>
          <w:tcPr>
            <w:tcW w:w="475" w:type="pct"/>
            <w:tcBorders>
              <w:left w:val="nil"/>
              <w:right w:val="nil"/>
            </w:tcBorders>
            <w:vAlign w:val="bottom"/>
          </w:tcPr>
          <w:p w14:paraId="298A7E8E" w14:textId="77777777" w:rsidR="00414A5D" w:rsidRPr="003D1614" w:rsidRDefault="00414A5D" w:rsidP="00C450F2">
            <w:pPr>
              <w:suppressAutoHyphens/>
              <w:autoSpaceDN w:val="0"/>
              <w:jc w:val="right"/>
              <w:rPr>
                <w:rFonts w:ascii="Arial" w:eastAsia="Calibri" w:hAnsi="Arial" w:cs="Arial"/>
                <w:b/>
                <w:color w:val="000000" w:themeColor="text1"/>
                <w:sz w:val="15"/>
                <w:szCs w:val="15"/>
              </w:rPr>
            </w:pPr>
          </w:p>
        </w:tc>
        <w:tc>
          <w:tcPr>
            <w:tcW w:w="475" w:type="pct"/>
            <w:tcBorders>
              <w:left w:val="nil"/>
              <w:right w:val="nil"/>
            </w:tcBorders>
            <w:vAlign w:val="bottom"/>
          </w:tcPr>
          <w:p w14:paraId="4125E819" w14:textId="77777777" w:rsidR="00414A5D" w:rsidRPr="003D1614" w:rsidRDefault="00414A5D" w:rsidP="00C450F2">
            <w:pPr>
              <w:suppressAutoHyphens/>
              <w:autoSpaceDN w:val="0"/>
              <w:jc w:val="right"/>
              <w:rPr>
                <w:rFonts w:ascii="Arial" w:eastAsia="Calibri" w:hAnsi="Arial" w:cs="Arial"/>
                <w:b/>
                <w:color w:val="000000" w:themeColor="text1"/>
                <w:sz w:val="15"/>
                <w:szCs w:val="15"/>
              </w:rPr>
            </w:pPr>
          </w:p>
        </w:tc>
        <w:tc>
          <w:tcPr>
            <w:tcW w:w="474" w:type="pct"/>
            <w:tcBorders>
              <w:left w:val="nil"/>
              <w:right w:val="nil"/>
            </w:tcBorders>
            <w:vAlign w:val="bottom"/>
          </w:tcPr>
          <w:p w14:paraId="6645F11B" w14:textId="77777777" w:rsidR="00414A5D" w:rsidRPr="003D1614" w:rsidRDefault="00414A5D" w:rsidP="00C450F2">
            <w:pPr>
              <w:suppressAutoHyphens/>
              <w:autoSpaceDN w:val="0"/>
              <w:jc w:val="right"/>
              <w:rPr>
                <w:rFonts w:ascii="Arial" w:eastAsia="Calibri" w:hAnsi="Arial" w:cs="Arial"/>
                <w:b/>
                <w:color w:val="000000" w:themeColor="text1"/>
                <w:sz w:val="15"/>
                <w:szCs w:val="15"/>
              </w:rPr>
            </w:pPr>
          </w:p>
        </w:tc>
        <w:tc>
          <w:tcPr>
            <w:tcW w:w="489" w:type="pct"/>
            <w:tcBorders>
              <w:left w:val="nil"/>
              <w:right w:val="nil"/>
            </w:tcBorders>
            <w:vAlign w:val="bottom"/>
          </w:tcPr>
          <w:p w14:paraId="243F7379" w14:textId="77777777" w:rsidR="00414A5D" w:rsidRPr="003D1614" w:rsidRDefault="00414A5D" w:rsidP="00C450F2">
            <w:pPr>
              <w:suppressAutoHyphens/>
              <w:autoSpaceDN w:val="0"/>
              <w:jc w:val="right"/>
              <w:rPr>
                <w:rFonts w:ascii="Arial" w:eastAsia="Calibri" w:hAnsi="Arial" w:cs="Arial"/>
                <w:b/>
                <w:color w:val="000000" w:themeColor="text1"/>
                <w:sz w:val="15"/>
                <w:szCs w:val="15"/>
              </w:rPr>
            </w:pPr>
          </w:p>
        </w:tc>
        <w:tc>
          <w:tcPr>
            <w:tcW w:w="474" w:type="pct"/>
            <w:tcBorders>
              <w:left w:val="nil"/>
              <w:right w:val="nil"/>
            </w:tcBorders>
            <w:vAlign w:val="bottom"/>
          </w:tcPr>
          <w:p w14:paraId="313DBA8E" w14:textId="77777777" w:rsidR="00414A5D" w:rsidRPr="003D1614" w:rsidRDefault="00414A5D" w:rsidP="00C450F2">
            <w:pPr>
              <w:suppressAutoHyphens/>
              <w:autoSpaceDN w:val="0"/>
              <w:jc w:val="right"/>
              <w:rPr>
                <w:rFonts w:ascii="Arial" w:eastAsia="Calibri" w:hAnsi="Arial" w:cs="Arial"/>
                <w:b/>
                <w:color w:val="000000" w:themeColor="text1"/>
                <w:sz w:val="15"/>
                <w:szCs w:val="15"/>
              </w:rPr>
            </w:pPr>
          </w:p>
        </w:tc>
        <w:tc>
          <w:tcPr>
            <w:tcW w:w="490" w:type="pct"/>
            <w:tcBorders>
              <w:left w:val="nil"/>
              <w:right w:val="nil"/>
            </w:tcBorders>
            <w:vAlign w:val="bottom"/>
          </w:tcPr>
          <w:p w14:paraId="282AAC02" w14:textId="77777777" w:rsidR="00414A5D" w:rsidRPr="003D1614" w:rsidRDefault="00414A5D" w:rsidP="00C450F2">
            <w:pPr>
              <w:suppressAutoHyphens/>
              <w:autoSpaceDN w:val="0"/>
              <w:jc w:val="right"/>
              <w:rPr>
                <w:rFonts w:ascii="Arial" w:eastAsia="Calibri" w:hAnsi="Arial" w:cs="Arial"/>
                <w:b/>
                <w:color w:val="000000" w:themeColor="text1"/>
                <w:sz w:val="15"/>
                <w:szCs w:val="15"/>
              </w:rPr>
            </w:pPr>
          </w:p>
        </w:tc>
        <w:tc>
          <w:tcPr>
            <w:tcW w:w="488" w:type="pct"/>
            <w:tcBorders>
              <w:left w:val="nil"/>
              <w:right w:val="nil"/>
            </w:tcBorders>
            <w:vAlign w:val="bottom"/>
          </w:tcPr>
          <w:p w14:paraId="08159B14" w14:textId="77777777" w:rsidR="00414A5D" w:rsidRPr="003D1614" w:rsidRDefault="00414A5D" w:rsidP="00C450F2">
            <w:pPr>
              <w:suppressAutoHyphens/>
              <w:autoSpaceDN w:val="0"/>
              <w:jc w:val="right"/>
              <w:rPr>
                <w:rFonts w:ascii="Arial" w:eastAsia="Calibri" w:hAnsi="Arial" w:cs="Arial"/>
                <w:b/>
                <w:color w:val="000000" w:themeColor="text1"/>
                <w:sz w:val="15"/>
                <w:szCs w:val="15"/>
              </w:rPr>
            </w:pPr>
          </w:p>
        </w:tc>
      </w:tr>
      <w:tr w:rsidR="00414A5D" w:rsidRPr="003D1614" w14:paraId="73C84194" w14:textId="77777777" w:rsidTr="00C450F2">
        <w:trPr>
          <w:trHeight w:hRule="exact" w:val="262"/>
        </w:trPr>
        <w:tc>
          <w:tcPr>
            <w:tcW w:w="1159" w:type="pct"/>
            <w:vAlign w:val="bottom"/>
          </w:tcPr>
          <w:p w14:paraId="3383E0A8" w14:textId="77777777" w:rsidR="00414A5D" w:rsidRPr="003D1614" w:rsidRDefault="00414A5D" w:rsidP="00C450F2">
            <w:pPr>
              <w:tabs>
                <w:tab w:val="right" w:pos="1202"/>
              </w:tabs>
              <w:suppressAutoHyphens/>
              <w:autoSpaceDN w:val="0"/>
              <w:spacing w:line="240" w:lineRule="exact"/>
              <w:outlineLvl w:val="0"/>
              <w:rPr>
                <w:rFonts w:ascii="Arial" w:eastAsia="Calibri" w:hAnsi="Arial" w:cs="Arial"/>
                <w:b/>
                <w:bCs/>
                <w:color w:val="000000" w:themeColor="text1"/>
                <w:sz w:val="15"/>
                <w:szCs w:val="15"/>
              </w:rPr>
            </w:pPr>
            <w:bookmarkStart w:id="928" w:name="_Toc67330640"/>
            <w:r w:rsidRPr="003D1614">
              <w:rPr>
                <w:rFonts w:ascii="Arial" w:eastAsia="Calibri" w:hAnsi="Arial" w:cs="Arial"/>
                <w:color w:val="000000" w:themeColor="text1"/>
                <w:spacing w:val="-2"/>
                <w:sz w:val="15"/>
                <w:szCs w:val="15"/>
              </w:rPr>
              <w:t>Obveze po depozitima</w:t>
            </w:r>
            <w:bookmarkEnd w:id="928"/>
          </w:p>
        </w:tc>
        <w:tc>
          <w:tcPr>
            <w:tcW w:w="476" w:type="pct"/>
            <w:tcBorders>
              <w:top w:val="nil"/>
              <w:left w:val="nil"/>
              <w:bottom w:val="nil"/>
              <w:right w:val="nil"/>
            </w:tcBorders>
            <w:vAlign w:val="bottom"/>
          </w:tcPr>
          <w:p w14:paraId="654E5C27" w14:textId="77777777" w:rsidR="00414A5D" w:rsidRPr="003D1614" w:rsidRDefault="00414A5D" w:rsidP="00C450F2">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157.547</w:t>
            </w:r>
          </w:p>
        </w:tc>
        <w:tc>
          <w:tcPr>
            <w:tcW w:w="475" w:type="pct"/>
            <w:tcBorders>
              <w:top w:val="nil"/>
              <w:left w:val="nil"/>
              <w:bottom w:val="nil"/>
              <w:right w:val="nil"/>
            </w:tcBorders>
            <w:vAlign w:val="bottom"/>
          </w:tcPr>
          <w:p w14:paraId="0A323D2E" w14:textId="77777777" w:rsidR="00414A5D" w:rsidRPr="003D1614" w:rsidRDefault="00414A5D" w:rsidP="00C450F2">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5" w:type="pct"/>
            <w:tcBorders>
              <w:top w:val="nil"/>
              <w:left w:val="nil"/>
              <w:bottom w:val="nil"/>
              <w:right w:val="nil"/>
            </w:tcBorders>
            <w:vAlign w:val="bottom"/>
          </w:tcPr>
          <w:p w14:paraId="4461CE99" w14:textId="77777777" w:rsidR="00414A5D" w:rsidRPr="003D1614" w:rsidRDefault="00414A5D" w:rsidP="00C450F2">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4" w:type="pct"/>
            <w:tcBorders>
              <w:top w:val="nil"/>
              <w:left w:val="nil"/>
              <w:bottom w:val="nil"/>
              <w:right w:val="nil"/>
            </w:tcBorders>
            <w:vAlign w:val="bottom"/>
          </w:tcPr>
          <w:p w14:paraId="773FA8F5" w14:textId="77777777" w:rsidR="00414A5D" w:rsidRPr="003D1614" w:rsidRDefault="00414A5D" w:rsidP="00C450F2">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9" w:type="pct"/>
            <w:tcBorders>
              <w:top w:val="nil"/>
              <w:left w:val="nil"/>
              <w:bottom w:val="nil"/>
              <w:right w:val="nil"/>
            </w:tcBorders>
            <w:vAlign w:val="bottom"/>
          </w:tcPr>
          <w:p w14:paraId="6041B5FD" w14:textId="77777777" w:rsidR="00414A5D" w:rsidRPr="003D1614" w:rsidRDefault="00414A5D" w:rsidP="00C450F2">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4" w:type="pct"/>
            <w:tcBorders>
              <w:top w:val="nil"/>
              <w:left w:val="nil"/>
              <w:bottom w:val="nil"/>
              <w:right w:val="nil"/>
            </w:tcBorders>
            <w:vAlign w:val="bottom"/>
          </w:tcPr>
          <w:p w14:paraId="53EF95D5" w14:textId="77777777" w:rsidR="00414A5D" w:rsidRPr="003D1614" w:rsidRDefault="00414A5D" w:rsidP="00C450F2">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65.520</w:t>
            </w:r>
          </w:p>
        </w:tc>
        <w:tc>
          <w:tcPr>
            <w:tcW w:w="490" w:type="pct"/>
            <w:tcBorders>
              <w:top w:val="nil"/>
              <w:left w:val="nil"/>
              <w:bottom w:val="nil"/>
              <w:right w:val="nil"/>
            </w:tcBorders>
            <w:vAlign w:val="bottom"/>
          </w:tcPr>
          <w:p w14:paraId="2953EDF0" w14:textId="77777777" w:rsidR="00414A5D" w:rsidRPr="003D1614" w:rsidRDefault="00414A5D" w:rsidP="00C450F2">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223.067</w:t>
            </w:r>
          </w:p>
        </w:tc>
        <w:tc>
          <w:tcPr>
            <w:tcW w:w="488" w:type="pct"/>
            <w:tcBorders>
              <w:top w:val="nil"/>
              <w:left w:val="nil"/>
              <w:bottom w:val="nil"/>
              <w:right w:val="nil"/>
            </w:tcBorders>
            <w:vAlign w:val="bottom"/>
          </w:tcPr>
          <w:p w14:paraId="13DBD6B3" w14:textId="77777777" w:rsidR="00414A5D" w:rsidRPr="003D1614" w:rsidRDefault="00414A5D" w:rsidP="00C450F2">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157.547</w:t>
            </w:r>
          </w:p>
        </w:tc>
      </w:tr>
      <w:tr w:rsidR="00414A5D" w:rsidRPr="003D1614" w14:paraId="6F65FDE4" w14:textId="77777777" w:rsidTr="00C450F2">
        <w:trPr>
          <w:trHeight w:hRule="exact" w:val="254"/>
        </w:trPr>
        <w:tc>
          <w:tcPr>
            <w:tcW w:w="1159" w:type="pct"/>
            <w:vAlign w:val="bottom"/>
          </w:tcPr>
          <w:p w14:paraId="6488BF94" w14:textId="77777777" w:rsidR="00414A5D" w:rsidRPr="003D1614" w:rsidRDefault="00414A5D" w:rsidP="00C450F2">
            <w:pPr>
              <w:tabs>
                <w:tab w:val="right" w:pos="1202"/>
              </w:tabs>
              <w:suppressAutoHyphens/>
              <w:autoSpaceDN w:val="0"/>
              <w:spacing w:line="240" w:lineRule="exact"/>
              <w:outlineLvl w:val="0"/>
              <w:rPr>
                <w:rFonts w:ascii="Arial" w:eastAsia="Calibri" w:hAnsi="Arial" w:cs="Arial"/>
                <w:b/>
                <w:bCs/>
                <w:color w:val="000000" w:themeColor="text1"/>
                <w:sz w:val="15"/>
                <w:szCs w:val="15"/>
              </w:rPr>
            </w:pPr>
            <w:bookmarkStart w:id="929" w:name="_Toc67330641"/>
            <w:r w:rsidRPr="003D1614">
              <w:rPr>
                <w:rFonts w:ascii="Arial" w:eastAsia="Calibri" w:hAnsi="Arial" w:cs="Arial"/>
                <w:color w:val="000000" w:themeColor="text1"/>
                <w:spacing w:val="-2"/>
                <w:sz w:val="15"/>
                <w:szCs w:val="15"/>
              </w:rPr>
              <w:t>Obveze po kreditima</w:t>
            </w:r>
            <w:bookmarkEnd w:id="929"/>
          </w:p>
        </w:tc>
        <w:tc>
          <w:tcPr>
            <w:tcW w:w="476" w:type="pct"/>
            <w:tcBorders>
              <w:top w:val="nil"/>
              <w:left w:val="nil"/>
              <w:bottom w:val="nil"/>
              <w:right w:val="nil"/>
            </w:tcBorders>
            <w:vAlign w:val="bottom"/>
          </w:tcPr>
          <w:p w14:paraId="6D2A717F" w14:textId="77777777" w:rsidR="00414A5D" w:rsidRPr="003D1614" w:rsidRDefault="00414A5D" w:rsidP="00C450F2">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51.726</w:t>
            </w:r>
          </w:p>
        </w:tc>
        <w:tc>
          <w:tcPr>
            <w:tcW w:w="475" w:type="pct"/>
            <w:tcBorders>
              <w:top w:val="nil"/>
              <w:left w:val="nil"/>
              <w:bottom w:val="nil"/>
              <w:right w:val="nil"/>
            </w:tcBorders>
            <w:vAlign w:val="bottom"/>
          </w:tcPr>
          <w:p w14:paraId="10510216" w14:textId="77777777" w:rsidR="00414A5D" w:rsidRPr="003D1614" w:rsidRDefault="00414A5D" w:rsidP="00C450F2">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61.508</w:t>
            </w:r>
          </w:p>
        </w:tc>
        <w:tc>
          <w:tcPr>
            <w:tcW w:w="475" w:type="pct"/>
            <w:tcBorders>
              <w:top w:val="nil"/>
              <w:left w:val="nil"/>
              <w:bottom w:val="nil"/>
              <w:right w:val="nil"/>
            </w:tcBorders>
            <w:vAlign w:val="bottom"/>
          </w:tcPr>
          <w:p w14:paraId="0EC9BDAB" w14:textId="77777777" w:rsidR="00414A5D" w:rsidRPr="003D1614" w:rsidRDefault="00414A5D" w:rsidP="00C450F2">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308.716</w:t>
            </w:r>
          </w:p>
        </w:tc>
        <w:tc>
          <w:tcPr>
            <w:tcW w:w="474" w:type="pct"/>
            <w:tcBorders>
              <w:top w:val="nil"/>
              <w:left w:val="nil"/>
              <w:bottom w:val="nil"/>
              <w:right w:val="nil"/>
            </w:tcBorders>
            <w:vAlign w:val="bottom"/>
          </w:tcPr>
          <w:p w14:paraId="6C7DFB05" w14:textId="77777777" w:rsidR="00414A5D" w:rsidRPr="003D1614" w:rsidRDefault="00414A5D" w:rsidP="00C450F2">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649.894</w:t>
            </w:r>
          </w:p>
        </w:tc>
        <w:tc>
          <w:tcPr>
            <w:tcW w:w="489" w:type="pct"/>
            <w:tcBorders>
              <w:top w:val="nil"/>
              <w:left w:val="nil"/>
              <w:bottom w:val="nil"/>
              <w:right w:val="nil"/>
            </w:tcBorders>
            <w:vAlign w:val="bottom"/>
          </w:tcPr>
          <w:p w14:paraId="3813EDF8" w14:textId="77777777" w:rsidR="00414A5D" w:rsidRPr="003D1614" w:rsidRDefault="00414A5D" w:rsidP="00C450F2">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1.116.311</w:t>
            </w:r>
          </w:p>
        </w:tc>
        <w:tc>
          <w:tcPr>
            <w:tcW w:w="474" w:type="pct"/>
            <w:tcBorders>
              <w:top w:val="nil"/>
              <w:left w:val="nil"/>
              <w:bottom w:val="nil"/>
              <w:right w:val="nil"/>
            </w:tcBorders>
            <w:vAlign w:val="bottom"/>
          </w:tcPr>
          <w:p w14:paraId="6F9D265F" w14:textId="77777777" w:rsidR="00414A5D" w:rsidRPr="003D1614" w:rsidRDefault="00414A5D" w:rsidP="00C450F2">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7.735</w:t>
            </w:r>
          </w:p>
        </w:tc>
        <w:tc>
          <w:tcPr>
            <w:tcW w:w="490" w:type="pct"/>
            <w:tcBorders>
              <w:top w:val="nil"/>
              <w:left w:val="nil"/>
              <w:bottom w:val="nil"/>
              <w:right w:val="nil"/>
            </w:tcBorders>
            <w:vAlign w:val="bottom"/>
          </w:tcPr>
          <w:p w14:paraId="7AD5FE33" w14:textId="77777777" w:rsidR="00414A5D" w:rsidRPr="003D1614" w:rsidRDefault="00414A5D" w:rsidP="00C450F2">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2.195.890</w:t>
            </w:r>
          </w:p>
        </w:tc>
        <w:tc>
          <w:tcPr>
            <w:tcW w:w="488" w:type="pct"/>
            <w:tcBorders>
              <w:top w:val="nil"/>
              <w:left w:val="nil"/>
              <w:bottom w:val="nil"/>
              <w:right w:val="nil"/>
            </w:tcBorders>
            <w:vAlign w:val="bottom"/>
          </w:tcPr>
          <w:p w14:paraId="7E85D5BF" w14:textId="77777777" w:rsidR="00414A5D" w:rsidRPr="003D1614" w:rsidRDefault="00414A5D" w:rsidP="00C450F2">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2.127.945</w:t>
            </w:r>
          </w:p>
        </w:tc>
      </w:tr>
      <w:tr w:rsidR="00414A5D" w:rsidRPr="003D1614" w14:paraId="30363F4B" w14:textId="77777777" w:rsidTr="00C450F2">
        <w:trPr>
          <w:trHeight w:hRule="exact" w:val="533"/>
        </w:trPr>
        <w:tc>
          <w:tcPr>
            <w:tcW w:w="1159" w:type="pct"/>
            <w:vAlign w:val="bottom"/>
          </w:tcPr>
          <w:p w14:paraId="36C9F742" w14:textId="77777777" w:rsidR="00414A5D" w:rsidRPr="003D1614" w:rsidRDefault="00414A5D" w:rsidP="00C450F2">
            <w:pPr>
              <w:tabs>
                <w:tab w:val="right" w:pos="1202"/>
              </w:tabs>
              <w:suppressAutoHyphens/>
              <w:autoSpaceDN w:val="0"/>
              <w:spacing w:line="240" w:lineRule="exact"/>
              <w:outlineLvl w:val="0"/>
              <w:rPr>
                <w:rFonts w:ascii="Arial" w:eastAsia="Calibri" w:hAnsi="Arial" w:cs="Arial"/>
                <w:color w:val="000000" w:themeColor="text1"/>
                <w:spacing w:val="-2"/>
                <w:sz w:val="15"/>
                <w:szCs w:val="15"/>
              </w:rPr>
            </w:pPr>
            <w:bookmarkStart w:id="930" w:name="_Toc67330643"/>
            <w:r w:rsidRPr="003D1614">
              <w:rPr>
                <w:rFonts w:ascii="Arial" w:eastAsia="Calibri" w:hAnsi="Arial" w:cs="Arial"/>
                <w:color w:val="000000" w:themeColor="text1"/>
                <w:spacing w:val="-2"/>
                <w:sz w:val="15"/>
                <w:szCs w:val="15"/>
              </w:rPr>
              <w:t>Rezerviranja za garancije, preuzete i ostale obveze</w:t>
            </w:r>
            <w:bookmarkEnd w:id="930"/>
          </w:p>
        </w:tc>
        <w:tc>
          <w:tcPr>
            <w:tcW w:w="476" w:type="pct"/>
            <w:tcBorders>
              <w:top w:val="nil"/>
              <w:left w:val="nil"/>
              <w:bottom w:val="nil"/>
              <w:right w:val="nil"/>
            </w:tcBorders>
            <w:vAlign w:val="bottom"/>
          </w:tcPr>
          <w:p w14:paraId="7D1F7A50" w14:textId="77777777" w:rsidR="00414A5D" w:rsidRPr="003D1614" w:rsidDel="00344206" w:rsidRDefault="00414A5D" w:rsidP="00C450F2">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5" w:type="pct"/>
            <w:tcBorders>
              <w:top w:val="nil"/>
              <w:left w:val="nil"/>
              <w:bottom w:val="nil"/>
              <w:right w:val="nil"/>
            </w:tcBorders>
            <w:vAlign w:val="bottom"/>
          </w:tcPr>
          <w:p w14:paraId="3BA43903" w14:textId="77777777" w:rsidR="00414A5D" w:rsidRPr="003D1614" w:rsidDel="00344206" w:rsidRDefault="00414A5D" w:rsidP="00C450F2">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5" w:type="pct"/>
            <w:tcBorders>
              <w:top w:val="nil"/>
              <w:left w:val="nil"/>
              <w:bottom w:val="nil"/>
              <w:right w:val="nil"/>
            </w:tcBorders>
            <w:vAlign w:val="bottom"/>
          </w:tcPr>
          <w:p w14:paraId="262BFBF0" w14:textId="77777777" w:rsidR="00414A5D" w:rsidRPr="003D1614" w:rsidDel="00344206" w:rsidRDefault="00414A5D" w:rsidP="00C450F2">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4" w:type="pct"/>
            <w:tcBorders>
              <w:top w:val="nil"/>
              <w:left w:val="nil"/>
              <w:bottom w:val="nil"/>
              <w:right w:val="nil"/>
            </w:tcBorders>
            <w:vAlign w:val="bottom"/>
          </w:tcPr>
          <w:p w14:paraId="006CE37C" w14:textId="77777777" w:rsidR="00414A5D" w:rsidRPr="003D1614" w:rsidDel="00344206" w:rsidRDefault="00414A5D" w:rsidP="00C450F2">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9" w:type="pct"/>
            <w:tcBorders>
              <w:top w:val="nil"/>
              <w:left w:val="nil"/>
              <w:bottom w:val="nil"/>
              <w:right w:val="nil"/>
            </w:tcBorders>
            <w:vAlign w:val="bottom"/>
          </w:tcPr>
          <w:p w14:paraId="6C5FAF7C" w14:textId="77777777" w:rsidR="00414A5D" w:rsidRPr="003D1614" w:rsidDel="00344206" w:rsidRDefault="00414A5D" w:rsidP="00C450F2">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4" w:type="pct"/>
            <w:tcBorders>
              <w:top w:val="nil"/>
              <w:left w:val="nil"/>
              <w:bottom w:val="nil"/>
              <w:right w:val="nil"/>
            </w:tcBorders>
            <w:vAlign w:val="bottom"/>
          </w:tcPr>
          <w:p w14:paraId="2DDC2508" w14:textId="77777777" w:rsidR="00414A5D" w:rsidRPr="003D1614" w:rsidDel="00344206" w:rsidRDefault="00414A5D" w:rsidP="00C450F2">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19.395</w:t>
            </w:r>
          </w:p>
        </w:tc>
        <w:tc>
          <w:tcPr>
            <w:tcW w:w="490" w:type="pct"/>
            <w:tcBorders>
              <w:top w:val="nil"/>
              <w:left w:val="nil"/>
              <w:bottom w:val="nil"/>
              <w:right w:val="nil"/>
            </w:tcBorders>
            <w:vAlign w:val="bottom"/>
          </w:tcPr>
          <w:p w14:paraId="71856205" w14:textId="77777777" w:rsidR="00414A5D" w:rsidRPr="003D1614" w:rsidDel="00344206" w:rsidRDefault="00414A5D" w:rsidP="00C450F2">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19.395</w:t>
            </w:r>
          </w:p>
        </w:tc>
        <w:tc>
          <w:tcPr>
            <w:tcW w:w="488" w:type="pct"/>
            <w:tcBorders>
              <w:top w:val="nil"/>
              <w:left w:val="nil"/>
              <w:bottom w:val="nil"/>
              <w:right w:val="nil"/>
            </w:tcBorders>
            <w:vAlign w:val="bottom"/>
          </w:tcPr>
          <w:p w14:paraId="250E49E9" w14:textId="77777777" w:rsidR="00414A5D" w:rsidRPr="003D1614" w:rsidDel="00344206" w:rsidRDefault="00414A5D" w:rsidP="00C450F2">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r>
      <w:tr w:rsidR="00414A5D" w:rsidRPr="003D1614" w14:paraId="1D00D9DD" w14:textId="77777777" w:rsidTr="00C450F2">
        <w:trPr>
          <w:trHeight w:hRule="exact" w:val="251"/>
        </w:trPr>
        <w:tc>
          <w:tcPr>
            <w:tcW w:w="1159" w:type="pct"/>
            <w:vAlign w:val="bottom"/>
          </w:tcPr>
          <w:p w14:paraId="2C26FD4F" w14:textId="77777777" w:rsidR="00414A5D" w:rsidRPr="003D1614" w:rsidRDefault="00414A5D" w:rsidP="00C450F2">
            <w:pPr>
              <w:tabs>
                <w:tab w:val="right" w:pos="1202"/>
              </w:tabs>
              <w:suppressAutoHyphens/>
              <w:autoSpaceDN w:val="0"/>
              <w:spacing w:line="240" w:lineRule="exact"/>
              <w:outlineLvl w:val="0"/>
              <w:rPr>
                <w:rFonts w:ascii="Arial" w:eastAsia="Calibri" w:hAnsi="Arial" w:cs="Arial"/>
                <w:b/>
                <w:bCs/>
                <w:color w:val="000000" w:themeColor="text1"/>
                <w:sz w:val="15"/>
                <w:szCs w:val="15"/>
              </w:rPr>
            </w:pPr>
            <w:bookmarkStart w:id="931" w:name="_Toc67330644"/>
            <w:r w:rsidRPr="003D1614">
              <w:rPr>
                <w:rFonts w:ascii="Arial" w:eastAsia="Calibri" w:hAnsi="Arial" w:cs="Arial"/>
                <w:color w:val="000000" w:themeColor="text1"/>
                <w:spacing w:val="-2"/>
                <w:sz w:val="15"/>
                <w:szCs w:val="15"/>
              </w:rPr>
              <w:t>Ostale obveze</w:t>
            </w:r>
            <w:bookmarkEnd w:id="931"/>
          </w:p>
        </w:tc>
        <w:tc>
          <w:tcPr>
            <w:tcW w:w="476" w:type="pct"/>
            <w:tcBorders>
              <w:top w:val="nil"/>
              <w:left w:val="nil"/>
              <w:bottom w:val="nil"/>
              <w:right w:val="nil"/>
            </w:tcBorders>
            <w:vAlign w:val="bottom"/>
          </w:tcPr>
          <w:p w14:paraId="6ED08A1A" w14:textId="77777777" w:rsidR="00414A5D" w:rsidRPr="003D1614" w:rsidRDefault="00414A5D" w:rsidP="00C450F2">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5" w:type="pct"/>
            <w:tcBorders>
              <w:top w:val="nil"/>
              <w:left w:val="nil"/>
              <w:bottom w:val="nil"/>
              <w:right w:val="nil"/>
            </w:tcBorders>
            <w:vAlign w:val="bottom"/>
          </w:tcPr>
          <w:p w14:paraId="514EEF72" w14:textId="77777777" w:rsidR="00414A5D" w:rsidRPr="003D1614" w:rsidRDefault="00414A5D" w:rsidP="00C450F2">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5" w:type="pct"/>
            <w:tcBorders>
              <w:top w:val="nil"/>
              <w:left w:val="nil"/>
              <w:bottom w:val="nil"/>
              <w:right w:val="nil"/>
            </w:tcBorders>
            <w:vAlign w:val="bottom"/>
          </w:tcPr>
          <w:p w14:paraId="5C44C6BF" w14:textId="77777777" w:rsidR="00414A5D" w:rsidRPr="003D1614" w:rsidRDefault="00414A5D" w:rsidP="00C450F2">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4" w:type="pct"/>
            <w:tcBorders>
              <w:top w:val="nil"/>
              <w:left w:val="nil"/>
              <w:bottom w:val="nil"/>
              <w:right w:val="nil"/>
            </w:tcBorders>
            <w:vAlign w:val="bottom"/>
          </w:tcPr>
          <w:p w14:paraId="55898186" w14:textId="77777777" w:rsidR="00414A5D" w:rsidRPr="003D1614" w:rsidRDefault="00414A5D" w:rsidP="00C450F2">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9" w:type="pct"/>
            <w:tcBorders>
              <w:top w:val="nil"/>
              <w:left w:val="nil"/>
              <w:bottom w:val="nil"/>
              <w:right w:val="nil"/>
            </w:tcBorders>
            <w:vAlign w:val="bottom"/>
          </w:tcPr>
          <w:p w14:paraId="173AE05A" w14:textId="77777777" w:rsidR="00414A5D" w:rsidRPr="003D1614" w:rsidRDefault="00414A5D" w:rsidP="00C450F2">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4" w:type="pct"/>
            <w:tcBorders>
              <w:top w:val="nil"/>
              <w:left w:val="nil"/>
              <w:right w:val="nil"/>
            </w:tcBorders>
            <w:vAlign w:val="bottom"/>
          </w:tcPr>
          <w:p w14:paraId="48BD9B09" w14:textId="77777777" w:rsidR="00414A5D" w:rsidRPr="003D1614" w:rsidRDefault="00414A5D" w:rsidP="00C450F2">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75.595</w:t>
            </w:r>
          </w:p>
        </w:tc>
        <w:tc>
          <w:tcPr>
            <w:tcW w:w="490" w:type="pct"/>
            <w:tcBorders>
              <w:top w:val="nil"/>
              <w:left w:val="nil"/>
              <w:right w:val="nil"/>
            </w:tcBorders>
            <w:vAlign w:val="bottom"/>
          </w:tcPr>
          <w:p w14:paraId="2CF186E8" w14:textId="77777777" w:rsidR="00414A5D" w:rsidRPr="003D1614" w:rsidRDefault="00414A5D" w:rsidP="00C450F2">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75.595</w:t>
            </w:r>
          </w:p>
        </w:tc>
        <w:tc>
          <w:tcPr>
            <w:tcW w:w="488" w:type="pct"/>
            <w:tcBorders>
              <w:top w:val="nil"/>
              <w:left w:val="nil"/>
              <w:right w:val="nil"/>
            </w:tcBorders>
            <w:vAlign w:val="bottom"/>
          </w:tcPr>
          <w:p w14:paraId="48D13591" w14:textId="77777777" w:rsidR="00414A5D" w:rsidRPr="003D1614" w:rsidRDefault="00414A5D" w:rsidP="00C450F2">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r>
      <w:tr w:rsidR="00414A5D" w:rsidRPr="003D1614" w14:paraId="5FB06E9B" w14:textId="77777777" w:rsidTr="00C450F2">
        <w:trPr>
          <w:trHeight w:hRule="exact" w:val="281"/>
        </w:trPr>
        <w:tc>
          <w:tcPr>
            <w:tcW w:w="1159" w:type="pct"/>
            <w:vAlign w:val="bottom"/>
          </w:tcPr>
          <w:p w14:paraId="44B2B320" w14:textId="77777777" w:rsidR="00414A5D" w:rsidRPr="003D1614" w:rsidRDefault="00414A5D" w:rsidP="00C450F2">
            <w:pPr>
              <w:tabs>
                <w:tab w:val="right" w:pos="1202"/>
              </w:tabs>
              <w:suppressAutoHyphens/>
              <w:autoSpaceDN w:val="0"/>
              <w:spacing w:line="240" w:lineRule="exact"/>
              <w:outlineLvl w:val="0"/>
              <w:rPr>
                <w:rFonts w:ascii="Arial" w:eastAsia="Calibri" w:hAnsi="Arial" w:cs="Arial"/>
                <w:b/>
                <w:bCs/>
                <w:color w:val="000000" w:themeColor="text1"/>
                <w:sz w:val="15"/>
                <w:szCs w:val="15"/>
              </w:rPr>
            </w:pPr>
            <w:bookmarkStart w:id="932" w:name="_Toc67330645"/>
            <w:r w:rsidRPr="003D1614">
              <w:rPr>
                <w:rFonts w:ascii="Arial" w:eastAsia="Calibri" w:hAnsi="Arial" w:cs="Arial"/>
                <w:b/>
                <w:bCs/>
                <w:color w:val="000000" w:themeColor="text1"/>
                <w:sz w:val="15"/>
                <w:szCs w:val="15"/>
              </w:rPr>
              <w:t>Obveze</w:t>
            </w:r>
            <w:bookmarkEnd w:id="932"/>
          </w:p>
        </w:tc>
        <w:tc>
          <w:tcPr>
            <w:tcW w:w="476" w:type="pct"/>
            <w:tcBorders>
              <w:top w:val="single" w:sz="8" w:space="0" w:color="auto"/>
              <w:left w:val="nil"/>
              <w:bottom w:val="single" w:sz="12" w:space="0" w:color="auto"/>
              <w:right w:val="nil"/>
            </w:tcBorders>
            <w:vAlign w:val="bottom"/>
          </w:tcPr>
          <w:p w14:paraId="168EA32D" w14:textId="77777777" w:rsidR="00414A5D" w:rsidRPr="009E7AF9" w:rsidRDefault="00414A5D" w:rsidP="00C450F2">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209.273</w:t>
            </w:r>
          </w:p>
        </w:tc>
        <w:tc>
          <w:tcPr>
            <w:tcW w:w="475" w:type="pct"/>
            <w:tcBorders>
              <w:top w:val="single" w:sz="8" w:space="0" w:color="auto"/>
              <w:left w:val="nil"/>
              <w:bottom w:val="single" w:sz="12" w:space="0" w:color="auto"/>
              <w:right w:val="nil"/>
            </w:tcBorders>
            <w:vAlign w:val="bottom"/>
          </w:tcPr>
          <w:p w14:paraId="7916B2F0" w14:textId="77777777" w:rsidR="00414A5D" w:rsidRPr="009E7AF9" w:rsidRDefault="00414A5D" w:rsidP="00C450F2">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61.508</w:t>
            </w:r>
          </w:p>
        </w:tc>
        <w:tc>
          <w:tcPr>
            <w:tcW w:w="475" w:type="pct"/>
            <w:tcBorders>
              <w:top w:val="single" w:sz="8" w:space="0" w:color="auto"/>
              <w:left w:val="nil"/>
              <w:bottom w:val="single" w:sz="12" w:space="0" w:color="auto"/>
              <w:right w:val="nil"/>
            </w:tcBorders>
            <w:vAlign w:val="bottom"/>
          </w:tcPr>
          <w:p w14:paraId="76DB86DD" w14:textId="77777777" w:rsidR="00414A5D" w:rsidRPr="009E7AF9" w:rsidRDefault="00414A5D" w:rsidP="00C450F2">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308.716</w:t>
            </w:r>
          </w:p>
        </w:tc>
        <w:tc>
          <w:tcPr>
            <w:tcW w:w="474" w:type="pct"/>
            <w:tcBorders>
              <w:top w:val="single" w:sz="8" w:space="0" w:color="auto"/>
              <w:left w:val="nil"/>
              <w:bottom w:val="single" w:sz="12" w:space="0" w:color="auto"/>
              <w:right w:val="nil"/>
            </w:tcBorders>
            <w:vAlign w:val="bottom"/>
          </w:tcPr>
          <w:p w14:paraId="5ED1B8DB" w14:textId="77777777" w:rsidR="00414A5D" w:rsidRPr="009E7AF9" w:rsidRDefault="00414A5D" w:rsidP="00C450F2">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649.894</w:t>
            </w:r>
          </w:p>
        </w:tc>
        <w:tc>
          <w:tcPr>
            <w:tcW w:w="489" w:type="pct"/>
            <w:tcBorders>
              <w:top w:val="single" w:sz="8" w:space="0" w:color="auto"/>
              <w:left w:val="nil"/>
              <w:bottom w:val="single" w:sz="12" w:space="0" w:color="auto"/>
              <w:right w:val="nil"/>
            </w:tcBorders>
            <w:vAlign w:val="bottom"/>
          </w:tcPr>
          <w:p w14:paraId="2EAD8B0B" w14:textId="77777777" w:rsidR="00414A5D" w:rsidRPr="009E7AF9" w:rsidRDefault="00414A5D" w:rsidP="00C450F2">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1.116.311</w:t>
            </w:r>
          </w:p>
        </w:tc>
        <w:tc>
          <w:tcPr>
            <w:tcW w:w="474" w:type="pct"/>
            <w:tcBorders>
              <w:top w:val="single" w:sz="8" w:space="0" w:color="auto"/>
              <w:left w:val="nil"/>
              <w:bottom w:val="single" w:sz="12" w:space="0" w:color="auto"/>
              <w:right w:val="nil"/>
            </w:tcBorders>
            <w:vAlign w:val="bottom"/>
          </w:tcPr>
          <w:p w14:paraId="52BBE489" w14:textId="77777777" w:rsidR="00414A5D" w:rsidRPr="009E7AF9" w:rsidRDefault="00414A5D" w:rsidP="00C450F2">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168.245</w:t>
            </w:r>
          </w:p>
        </w:tc>
        <w:tc>
          <w:tcPr>
            <w:tcW w:w="490" w:type="pct"/>
            <w:tcBorders>
              <w:top w:val="single" w:sz="8" w:space="0" w:color="auto"/>
              <w:left w:val="nil"/>
              <w:bottom w:val="single" w:sz="12" w:space="0" w:color="auto"/>
              <w:right w:val="nil"/>
            </w:tcBorders>
            <w:vAlign w:val="bottom"/>
          </w:tcPr>
          <w:p w14:paraId="0D3B36D0" w14:textId="77777777" w:rsidR="00414A5D" w:rsidRPr="009E7AF9" w:rsidRDefault="00414A5D" w:rsidP="00C450F2">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2.513.947</w:t>
            </w:r>
          </w:p>
        </w:tc>
        <w:tc>
          <w:tcPr>
            <w:tcW w:w="488" w:type="pct"/>
            <w:tcBorders>
              <w:top w:val="single" w:sz="8" w:space="0" w:color="auto"/>
              <w:left w:val="nil"/>
              <w:bottom w:val="single" w:sz="12" w:space="0" w:color="auto"/>
              <w:right w:val="nil"/>
            </w:tcBorders>
            <w:vAlign w:val="bottom"/>
          </w:tcPr>
          <w:p w14:paraId="33B27147" w14:textId="77777777" w:rsidR="00414A5D" w:rsidRPr="009E7AF9" w:rsidRDefault="00414A5D" w:rsidP="00C450F2">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2.285.492</w:t>
            </w:r>
          </w:p>
        </w:tc>
      </w:tr>
      <w:tr w:rsidR="00414A5D" w:rsidRPr="003D1614" w14:paraId="08CFE4FD" w14:textId="77777777" w:rsidTr="00C450F2">
        <w:trPr>
          <w:trHeight w:hRule="exact" w:val="353"/>
        </w:trPr>
        <w:tc>
          <w:tcPr>
            <w:tcW w:w="1159" w:type="pct"/>
            <w:vAlign w:val="bottom"/>
          </w:tcPr>
          <w:p w14:paraId="0E902AE5" w14:textId="77777777" w:rsidR="00414A5D" w:rsidRPr="003D1614" w:rsidRDefault="00414A5D" w:rsidP="00C450F2">
            <w:pPr>
              <w:tabs>
                <w:tab w:val="right" w:pos="1202"/>
              </w:tabs>
              <w:suppressAutoHyphens/>
              <w:autoSpaceDN w:val="0"/>
              <w:spacing w:line="240" w:lineRule="exact"/>
              <w:outlineLvl w:val="0"/>
              <w:rPr>
                <w:rFonts w:ascii="Arial" w:eastAsia="Calibri" w:hAnsi="Arial" w:cs="Arial"/>
                <w:b/>
                <w:bCs/>
                <w:color w:val="000000" w:themeColor="text1"/>
                <w:sz w:val="15"/>
                <w:szCs w:val="15"/>
              </w:rPr>
            </w:pPr>
            <w:bookmarkStart w:id="933" w:name="_Toc67330646"/>
            <w:r w:rsidRPr="003D1614">
              <w:rPr>
                <w:rFonts w:ascii="Arial" w:eastAsia="Calibri" w:hAnsi="Arial" w:cs="Arial"/>
                <w:b/>
                <w:bCs/>
                <w:color w:val="000000" w:themeColor="text1"/>
                <w:spacing w:val="-2"/>
                <w:sz w:val="15"/>
                <w:szCs w:val="15"/>
              </w:rPr>
              <w:t>Kamatni jaz</w:t>
            </w:r>
            <w:bookmarkEnd w:id="933"/>
          </w:p>
        </w:tc>
        <w:tc>
          <w:tcPr>
            <w:tcW w:w="476" w:type="pct"/>
            <w:tcBorders>
              <w:top w:val="nil"/>
              <w:left w:val="nil"/>
              <w:bottom w:val="single" w:sz="12" w:space="0" w:color="auto"/>
              <w:right w:val="nil"/>
            </w:tcBorders>
            <w:shd w:val="clear" w:color="auto" w:fill="auto"/>
            <w:vAlign w:val="bottom"/>
          </w:tcPr>
          <w:p w14:paraId="4BCA4CF6" w14:textId="77777777" w:rsidR="00414A5D" w:rsidRPr="009E7AF9" w:rsidRDefault="00414A5D" w:rsidP="00C450F2">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181.019</w:t>
            </w:r>
          </w:p>
        </w:tc>
        <w:tc>
          <w:tcPr>
            <w:tcW w:w="475" w:type="pct"/>
            <w:tcBorders>
              <w:top w:val="nil"/>
              <w:left w:val="nil"/>
              <w:bottom w:val="single" w:sz="12" w:space="0" w:color="auto"/>
              <w:right w:val="nil"/>
            </w:tcBorders>
            <w:shd w:val="clear" w:color="auto" w:fill="auto"/>
            <w:vAlign w:val="bottom"/>
          </w:tcPr>
          <w:p w14:paraId="2AF754EE" w14:textId="77777777" w:rsidR="00414A5D" w:rsidRPr="009E7AF9" w:rsidRDefault="00414A5D" w:rsidP="00C450F2">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169.901</w:t>
            </w:r>
          </w:p>
        </w:tc>
        <w:tc>
          <w:tcPr>
            <w:tcW w:w="475" w:type="pct"/>
            <w:tcBorders>
              <w:top w:val="nil"/>
              <w:left w:val="nil"/>
              <w:bottom w:val="single" w:sz="12" w:space="0" w:color="auto"/>
              <w:right w:val="nil"/>
            </w:tcBorders>
            <w:shd w:val="clear" w:color="auto" w:fill="auto"/>
            <w:vAlign w:val="bottom"/>
          </w:tcPr>
          <w:p w14:paraId="6D8206F3" w14:textId="77777777" w:rsidR="00414A5D" w:rsidRPr="009E7AF9" w:rsidRDefault="00414A5D" w:rsidP="00C450F2">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259.817</w:t>
            </w:r>
          </w:p>
        </w:tc>
        <w:tc>
          <w:tcPr>
            <w:tcW w:w="474" w:type="pct"/>
            <w:tcBorders>
              <w:top w:val="nil"/>
              <w:left w:val="nil"/>
              <w:bottom w:val="single" w:sz="12" w:space="0" w:color="auto"/>
              <w:right w:val="nil"/>
            </w:tcBorders>
            <w:shd w:val="clear" w:color="auto" w:fill="auto"/>
            <w:vAlign w:val="bottom"/>
          </w:tcPr>
          <w:p w14:paraId="305185F9" w14:textId="77777777" w:rsidR="00414A5D" w:rsidRPr="009E7AF9" w:rsidRDefault="00414A5D" w:rsidP="00C450F2">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342.491</w:t>
            </w:r>
          </w:p>
        </w:tc>
        <w:tc>
          <w:tcPr>
            <w:tcW w:w="489" w:type="pct"/>
            <w:tcBorders>
              <w:top w:val="nil"/>
              <w:left w:val="nil"/>
              <w:bottom w:val="single" w:sz="12" w:space="0" w:color="auto"/>
              <w:right w:val="nil"/>
            </w:tcBorders>
            <w:shd w:val="clear" w:color="auto" w:fill="auto"/>
            <w:vAlign w:val="bottom"/>
          </w:tcPr>
          <w:p w14:paraId="428D784D" w14:textId="77777777" w:rsidR="00414A5D" w:rsidRPr="009E7AF9" w:rsidRDefault="00414A5D" w:rsidP="00C450F2">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624.044</w:t>
            </w:r>
          </w:p>
        </w:tc>
        <w:tc>
          <w:tcPr>
            <w:tcW w:w="474" w:type="pct"/>
            <w:tcBorders>
              <w:top w:val="nil"/>
              <w:left w:val="nil"/>
              <w:bottom w:val="single" w:sz="12" w:space="0" w:color="auto"/>
              <w:right w:val="nil"/>
            </w:tcBorders>
            <w:shd w:val="clear" w:color="auto" w:fill="auto"/>
            <w:vAlign w:val="bottom"/>
          </w:tcPr>
          <w:p w14:paraId="484CE974" w14:textId="77777777" w:rsidR="00414A5D" w:rsidRPr="009E7AF9" w:rsidRDefault="00414A5D" w:rsidP="00C450F2">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(87.886)</w:t>
            </w:r>
          </w:p>
        </w:tc>
        <w:tc>
          <w:tcPr>
            <w:tcW w:w="490" w:type="pct"/>
            <w:tcBorders>
              <w:top w:val="nil"/>
              <w:left w:val="nil"/>
              <w:bottom w:val="single" w:sz="12" w:space="0" w:color="auto"/>
              <w:right w:val="nil"/>
            </w:tcBorders>
            <w:shd w:val="clear" w:color="auto" w:fill="auto"/>
            <w:vAlign w:val="bottom"/>
          </w:tcPr>
          <w:p w14:paraId="49A4EBEB" w14:textId="77777777" w:rsidR="00414A5D" w:rsidRPr="009E7AF9" w:rsidRDefault="00414A5D" w:rsidP="00C450F2">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1.489.386</w:t>
            </w:r>
          </w:p>
        </w:tc>
        <w:tc>
          <w:tcPr>
            <w:tcW w:w="488" w:type="pct"/>
            <w:tcBorders>
              <w:top w:val="nil"/>
              <w:left w:val="nil"/>
              <w:bottom w:val="single" w:sz="12" w:space="0" w:color="auto"/>
              <w:right w:val="nil"/>
            </w:tcBorders>
            <w:shd w:val="clear" w:color="auto" w:fill="auto"/>
            <w:vAlign w:val="bottom"/>
          </w:tcPr>
          <w:p w14:paraId="56FB7BF9" w14:textId="77777777" w:rsidR="00414A5D" w:rsidRPr="009E7AF9" w:rsidRDefault="00414A5D" w:rsidP="00C450F2">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1.494.909</w:t>
            </w:r>
          </w:p>
        </w:tc>
      </w:tr>
    </w:tbl>
    <w:p w14:paraId="5D0D7109" w14:textId="77777777" w:rsidR="000C7E59" w:rsidRPr="003D1614" w:rsidRDefault="000C7E59" w:rsidP="000C7E59">
      <w:pPr>
        <w:tabs>
          <w:tab w:val="left" w:pos="-720"/>
        </w:tabs>
        <w:suppressAutoHyphens/>
        <w:autoSpaceDN w:val="0"/>
        <w:jc w:val="both"/>
        <w:rPr>
          <w:rFonts w:ascii="Arial" w:eastAsia="Times New Roman" w:hAnsi="Arial" w:cs="Arial"/>
          <w:color w:val="000000" w:themeColor="text1"/>
          <w:sz w:val="20"/>
          <w:szCs w:val="20"/>
        </w:rPr>
      </w:pPr>
    </w:p>
    <w:p w14:paraId="54DEEC6C" w14:textId="77777777" w:rsidR="000C7E59" w:rsidRPr="003D1614" w:rsidRDefault="000C7E59" w:rsidP="00661446">
      <w:pPr>
        <w:suppressAutoHyphens/>
        <w:autoSpaceDN w:val="0"/>
        <w:jc w:val="both"/>
        <w:rPr>
          <w:rFonts w:ascii="Arial" w:eastAsia="Times New Roman" w:hAnsi="Arial" w:cs="Arial"/>
          <w:bCs/>
          <w:i/>
          <w:color w:val="000000" w:themeColor="text1"/>
          <w:sz w:val="18"/>
          <w:szCs w:val="18"/>
        </w:rPr>
        <w:sectPr w:rsidR="000C7E59" w:rsidRPr="003D1614" w:rsidSect="003278AB">
          <w:pgSz w:w="11906" w:h="16838"/>
          <w:pgMar w:top="1417" w:right="1417" w:bottom="1417" w:left="1417" w:header="708" w:footer="708" w:gutter="0"/>
          <w:cols w:space="708"/>
          <w:docGrid w:linePitch="360"/>
        </w:sectPr>
      </w:pPr>
    </w:p>
    <w:p w14:paraId="48489341" w14:textId="77777777" w:rsidR="000C7E59" w:rsidRPr="003D1614" w:rsidRDefault="000C7E59" w:rsidP="000C7E59">
      <w:pPr>
        <w:tabs>
          <w:tab w:val="left" w:pos="-720"/>
        </w:tabs>
        <w:suppressAutoHyphens/>
        <w:autoSpaceDN w:val="0"/>
        <w:rPr>
          <w:rFonts w:ascii="Arial" w:eastAsia="Times New Roman" w:hAnsi="Arial" w:cs="Arial"/>
          <w:b/>
          <w:color w:val="000000" w:themeColor="text1"/>
          <w:spacing w:val="-3"/>
          <w:sz w:val="20"/>
          <w:szCs w:val="20"/>
        </w:rPr>
      </w:pPr>
      <w:bookmarkStart w:id="934" w:name="_Hlk131604424"/>
    </w:p>
    <w:p w14:paraId="234601FA" w14:textId="34FFBC92" w:rsidR="000C7E59" w:rsidRPr="003D1614" w:rsidRDefault="000C7E59" w:rsidP="000C7E59">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Upravljanje rizicima (nastavak)</w:t>
      </w:r>
    </w:p>
    <w:p w14:paraId="4FC693BC" w14:textId="77777777" w:rsidR="000C7E59" w:rsidRPr="003D1614" w:rsidRDefault="000C7E59" w:rsidP="000C7E59">
      <w:pPr>
        <w:keepNext/>
        <w:suppressAutoHyphens/>
        <w:autoSpaceDN w:val="0"/>
        <w:ind w:left="709" w:hanging="709"/>
        <w:jc w:val="both"/>
        <w:outlineLvl w:val="0"/>
        <w:rPr>
          <w:rFonts w:ascii="Arial" w:eastAsia="Times New Roman" w:hAnsi="Arial" w:cs="Arial"/>
          <w:b/>
          <w:bCs/>
          <w:color w:val="000000" w:themeColor="text1"/>
          <w:sz w:val="20"/>
          <w:szCs w:val="20"/>
        </w:rPr>
      </w:pPr>
    </w:p>
    <w:p w14:paraId="101E6AD1" w14:textId="4C386055" w:rsidR="000C7E59" w:rsidRPr="003D1614" w:rsidRDefault="000C7E59" w:rsidP="000C7E59">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.5.     Tržišni rizik (nastavak)</w:t>
      </w:r>
    </w:p>
    <w:p w14:paraId="79F48D64" w14:textId="77777777" w:rsidR="000C7E59" w:rsidRPr="003D1614" w:rsidRDefault="000C7E59" w:rsidP="000C7E59">
      <w:pPr>
        <w:keepNext/>
        <w:suppressAutoHyphens/>
        <w:autoSpaceDN w:val="0"/>
        <w:ind w:left="709" w:hanging="709"/>
        <w:jc w:val="both"/>
        <w:outlineLvl w:val="0"/>
        <w:rPr>
          <w:rFonts w:ascii="Arial" w:eastAsia="Times New Roman" w:hAnsi="Arial" w:cs="Arial"/>
          <w:b/>
          <w:bCs/>
          <w:color w:val="000000" w:themeColor="text1"/>
          <w:sz w:val="20"/>
          <w:szCs w:val="20"/>
        </w:rPr>
      </w:pPr>
    </w:p>
    <w:p w14:paraId="35E141BF" w14:textId="59288801" w:rsidR="000C7E59" w:rsidRPr="003D1614" w:rsidRDefault="000C7E59" w:rsidP="000C7E59">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.5.1.  Kamatni rizik (nastavak)</w:t>
      </w:r>
    </w:p>
    <w:p w14:paraId="6C3BF41D" w14:textId="5310FF6F" w:rsidR="000C7E59" w:rsidRPr="003D1614" w:rsidRDefault="000C7E59" w:rsidP="000C7E59">
      <w:pPr>
        <w:keepNext/>
        <w:suppressAutoHyphens/>
        <w:autoSpaceDN w:val="0"/>
        <w:ind w:left="709" w:hanging="709"/>
        <w:jc w:val="both"/>
        <w:outlineLvl w:val="0"/>
        <w:rPr>
          <w:rFonts w:ascii="Arial" w:eastAsia="Times New Roman" w:hAnsi="Arial" w:cs="Arial"/>
          <w:b/>
          <w:bCs/>
          <w:color w:val="000000" w:themeColor="text1"/>
          <w:sz w:val="20"/>
          <w:szCs w:val="20"/>
        </w:rPr>
      </w:pPr>
    </w:p>
    <w:bookmarkEnd w:id="934"/>
    <w:p w14:paraId="4E242BC0" w14:textId="77777777" w:rsidR="000C7E59" w:rsidRPr="003D1614" w:rsidRDefault="000C7E59" w:rsidP="000C7E59">
      <w:pPr>
        <w:keepNext/>
        <w:suppressAutoHyphens/>
        <w:autoSpaceDN w:val="0"/>
        <w:ind w:left="709" w:hanging="709"/>
        <w:jc w:val="both"/>
        <w:outlineLvl w:val="0"/>
        <w:rPr>
          <w:rFonts w:ascii="Arial" w:eastAsia="Times New Roman" w:hAnsi="Arial" w:cs="Arial"/>
          <w:b/>
          <w:bCs/>
          <w:color w:val="000000" w:themeColor="text1"/>
          <w:sz w:val="20"/>
          <w:szCs w:val="20"/>
        </w:rPr>
      </w:pPr>
    </w:p>
    <w:tbl>
      <w:tblPr>
        <w:tblW w:w="5564" w:type="pct"/>
        <w:tblInd w:w="-567" w:type="dxa"/>
        <w:tblLayout w:type="fixed"/>
        <w:tblCellMar>
          <w:left w:w="120" w:type="dxa"/>
          <w:right w:w="120" w:type="dxa"/>
        </w:tblCellMar>
        <w:tblLook w:val="0000" w:firstRow="0" w:lastRow="0" w:firstColumn="0" w:lastColumn="0" w:noHBand="0" w:noVBand="0"/>
      </w:tblPr>
      <w:tblGrid>
        <w:gridCol w:w="2341"/>
        <w:gridCol w:w="961"/>
        <w:gridCol w:w="959"/>
        <w:gridCol w:w="959"/>
        <w:gridCol w:w="957"/>
        <w:gridCol w:w="987"/>
        <w:gridCol w:w="957"/>
        <w:gridCol w:w="989"/>
        <w:gridCol w:w="985"/>
      </w:tblGrid>
      <w:tr w:rsidR="00516DE5" w:rsidRPr="00D47D1C" w14:paraId="21E638DB" w14:textId="77777777" w:rsidTr="0034622E">
        <w:trPr>
          <w:trHeight w:val="635"/>
        </w:trPr>
        <w:tc>
          <w:tcPr>
            <w:tcW w:w="1159" w:type="pct"/>
            <w:vAlign w:val="bottom"/>
          </w:tcPr>
          <w:p w14:paraId="3096C3E2" w14:textId="77777777" w:rsidR="00516DE5" w:rsidRPr="00D47D1C" w:rsidRDefault="00516DE5" w:rsidP="0034622E">
            <w:pPr>
              <w:tabs>
                <w:tab w:val="right" w:pos="1202"/>
              </w:tabs>
              <w:spacing w:line="240" w:lineRule="atLeas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Banka</w:t>
            </w:r>
          </w:p>
          <w:p w14:paraId="22E585F4" w14:textId="77777777" w:rsidR="00516DE5" w:rsidRPr="00D47D1C" w:rsidRDefault="00516DE5" w:rsidP="0034622E">
            <w:pPr>
              <w:tabs>
                <w:tab w:val="right" w:pos="1202"/>
              </w:tabs>
              <w:spacing w:line="240" w:lineRule="atLeast"/>
              <w:outlineLvl w:val="0"/>
              <w:rPr>
                <w:rFonts w:ascii="Arial" w:eastAsia="Calibri" w:hAnsi="Arial" w:cs="Arial"/>
                <w:b/>
                <w:color w:val="000000" w:themeColor="text1"/>
                <w:sz w:val="15"/>
                <w:szCs w:val="15"/>
              </w:rPr>
            </w:pPr>
          </w:p>
          <w:p w14:paraId="5A5094BE" w14:textId="77777777" w:rsidR="00516DE5" w:rsidRPr="00D47D1C" w:rsidRDefault="00516DE5" w:rsidP="0034622E">
            <w:pPr>
              <w:tabs>
                <w:tab w:val="right" w:pos="1202"/>
              </w:tabs>
              <w:spacing w:line="240" w:lineRule="atLeas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31. prosinca 202</w:t>
            </w:r>
            <w:r>
              <w:rPr>
                <w:rFonts w:ascii="Arial" w:eastAsia="Calibri" w:hAnsi="Arial" w:cs="Arial"/>
                <w:b/>
                <w:color w:val="000000" w:themeColor="text1"/>
                <w:sz w:val="15"/>
                <w:szCs w:val="15"/>
              </w:rPr>
              <w:t>3</w:t>
            </w:r>
            <w:r w:rsidRPr="00D47D1C">
              <w:rPr>
                <w:rFonts w:ascii="Arial" w:eastAsia="Calibri" w:hAnsi="Arial" w:cs="Arial"/>
                <w:b/>
                <w:color w:val="000000" w:themeColor="text1"/>
                <w:sz w:val="15"/>
                <w:szCs w:val="15"/>
              </w:rPr>
              <w:t xml:space="preserve">.  </w:t>
            </w:r>
          </w:p>
        </w:tc>
        <w:tc>
          <w:tcPr>
            <w:tcW w:w="476" w:type="pct"/>
          </w:tcPr>
          <w:p w14:paraId="60671237" w14:textId="77777777" w:rsidR="00516DE5" w:rsidRPr="00D47D1C" w:rsidRDefault="00516DE5" w:rsidP="0034622E">
            <w:pPr>
              <w:tabs>
                <w:tab w:val="right" w:pos="1202"/>
              </w:tabs>
              <w:spacing w:line="240" w:lineRule="atLeast"/>
              <w:jc w:val="righ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Do 1 mjesec</w:t>
            </w:r>
          </w:p>
        </w:tc>
        <w:tc>
          <w:tcPr>
            <w:tcW w:w="475" w:type="pct"/>
          </w:tcPr>
          <w:p w14:paraId="6D32B5F9" w14:textId="77777777" w:rsidR="00516DE5" w:rsidRPr="00D47D1C" w:rsidRDefault="00516DE5" w:rsidP="0034622E">
            <w:pPr>
              <w:tabs>
                <w:tab w:val="right" w:pos="1202"/>
              </w:tabs>
              <w:spacing w:line="240" w:lineRule="atLeast"/>
              <w:jc w:val="righ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1 do 3 mjeseca</w:t>
            </w:r>
          </w:p>
        </w:tc>
        <w:tc>
          <w:tcPr>
            <w:tcW w:w="475" w:type="pct"/>
          </w:tcPr>
          <w:p w14:paraId="4D7C042C" w14:textId="77777777" w:rsidR="00516DE5" w:rsidRPr="00D47D1C" w:rsidRDefault="00516DE5" w:rsidP="0034622E">
            <w:pPr>
              <w:tabs>
                <w:tab w:val="right" w:pos="1202"/>
              </w:tabs>
              <w:spacing w:line="240" w:lineRule="atLeast"/>
              <w:jc w:val="righ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3 mj. do 1 godine</w:t>
            </w:r>
          </w:p>
        </w:tc>
        <w:tc>
          <w:tcPr>
            <w:tcW w:w="474" w:type="pct"/>
          </w:tcPr>
          <w:p w14:paraId="29B8E96C" w14:textId="77777777" w:rsidR="00516DE5" w:rsidRPr="00D47D1C" w:rsidRDefault="00516DE5" w:rsidP="0034622E">
            <w:pPr>
              <w:tabs>
                <w:tab w:val="right" w:pos="1202"/>
              </w:tabs>
              <w:spacing w:line="240" w:lineRule="atLeast"/>
              <w:jc w:val="righ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1 do 3 godina</w:t>
            </w:r>
          </w:p>
        </w:tc>
        <w:tc>
          <w:tcPr>
            <w:tcW w:w="489" w:type="pct"/>
          </w:tcPr>
          <w:p w14:paraId="35DF9B1E" w14:textId="77777777" w:rsidR="00516DE5" w:rsidRPr="00D47D1C" w:rsidRDefault="00516DE5" w:rsidP="0034622E">
            <w:pPr>
              <w:tabs>
                <w:tab w:val="right" w:pos="1202"/>
              </w:tabs>
              <w:spacing w:line="240" w:lineRule="atLeast"/>
              <w:jc w:val="righ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Preko 3 godine</w:t>
            </w:r>
          </w:p>
        </w:tc>
        <w:tc>
          <w:tcPr>
            <w:tcW w:w="474" w:type="pct"/>
          </w:tcPr>
          <w:p w14:paraId="5E4EA14B" w14:textId="77777777" w:rsidR="00516DE5" w:rsidRPr="00D47D1C" w:rsidRDefault="00516DE5" w:rsidP="0034622E">
            <w:pPr>
              <w:tabs>
                <w:tab w:val="right" w:pos="1202"/>
              </w:tabs>
              <w:spacing w:line="240" w:lineRule="atLeast"/>
              <w:jc w:val="righ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Beska-matno</w:t>
            </w:r>
          </w:p>
        </w:tc>
        <w:tc>
          <w:tcPr>
            <w:tcW w:w="490" w:type="pct"/>
          </w:tcPr>
          <w:p w14:paraId="098E9A75" w14:textId="77777777" w:rsidR="00516DE5" w:rsidRPr="00D47D1C" w:rsidRDefault="00516DE5" w:rsidP="0034622E">
            <w:pPr>
              <w:tabs>
                <w:tab w:val="right" w:pos="1202"/>
              </w:tabs>
              <w:spacing w:line="240" w:lineRule="atLeast"/>
              <w:jc w:val="righ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Ukupno</w:t>
            </w:r>
          </w:p>
        </w:tc>
        <w:tc>
          <w:tcPr>
            <w:tcW w:w="488" w:type="pct"/>
          </w:tcPr>
          <w:p w14:paraId="3EC836AC" w14:textId="77777777" w:rsidR="00516DE5" w:rsidRPr="00D47D1C" w:rsidRDefault="00516DE5" w:rsidP="0034622E">
            <w:pPr>
              <w:tabs>
                <w:tab w:val="right" w:pos="1202"/>
              </w:tabs>
              <w:spacing w:line="240" w:lineRule="atLeast"/>
              <w:jc w:val="righ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Fiksna kamatna stopa</w:t>
            </w:r>
          </w:p>
        </w:tc>
      </w:tr>
      <w:tr w:rsidR="00516DE5" w:rsidRPr="00D47D1C" w14:paraId="6825AC52" w14:textId="77777777" w:rsidTr="0034622E">
        <w:trPr>
          <w:trHeight w:val="258"/>
        </w:trPr>
        <w:tc>
          <w:tcPr>
            <w:tcW w:w="1159" w:type="pct"/>
            <w:vAlign w:val="bottom"/>
          </w:tcPr>
          <w:p w14:paraId="181FF145" w14:textId="77777777" w:rsidR="00516DE5" w:rsidRPr="00D47D1C" w:rsidRDefault="00516DE5" w:rsidP="0034622E">
            <w:pPr>
              <w:tabs>
                <w:tab w:val="right" w:pos="1202"/>
              </w:tabs>
              <w:spacing w:line="240" w:lineRule="atLeast"/>
              <w:outlineLvl w:val="0"/>
              <w:rPr>
                <w:rFonts w:ascii="Arial" w:eastAsia="Calibri" w:hAnsi="Arial" w:cs="Arial"/>
                <w:b/>
                <w:color w:val="000000" w:themeColor="text1"/>
                <w:sz w:val="15"/>
                <w:szCs w:val="15"/>
              </w:rPr>
            </w:pPr>
          </w:p>
        </w:tc>
        <w:tc>
          <w:tcPr>
            <w:tcW w:w="476" w:type="pct"/>
          </w:tcPr>
          <w:p w14:paraId="1C779107" w14:textId="77777777" w:rsidR="00516DE5" w:rsidRPr="00D47D1C" w:rsidRDefault="00516DE5" w:rsidP="0034622E">
            <w:pPr>
              <w:tabs>
                <w:tab w:val="right" w:pos="1202"/>
              </w:tabs>
              <w:spacing w:line="240" w:lineRule="atLeast"/>
              <w:jc w:val="righ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 xml:space="preserve">000 </w:t>
            </w:r>
            <w:r>
              <w:rPr>
                <w:rFonts w:ascii="Arial" w:eastAsia="Calibri" w:hAnsi="Arial" w:cs="Arial"/>
                <w:b/>
                <w:color w:val="000000" w:themeColor="text1"/>
                <w:sz w:val="15"/>
                <w:szCs w:val="15"/>
              </w:rPr>
              <w:t>eura</w:t>
            </w:r>
          </w:p>
        </w:tc>
        <w:tc>
          <w:tcPr>
            <w:tcW w:w="475" w:type="pct"/>
          </w:tcPr>
          <w:p w14:paraId="32036C6C" w14:textId="77777777" w:rsidR="00516DE5" w:rsidRPr="00D47D1C" w:rsidRDefault="00516DE5" w:rsidP="0034622E">
            <w:pPr>
              <w:tabs>
                <w:tab w:val="right" w:pos="1202"/>
              </w:tabs>
              <w:spacing w:line="240" w:lineRule="atLeast"/>
              <w:jc w:val="righ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 xml:space="preserve">000 </w:t>
            </w:r>
            <w:r>
              <w:rPr>
                <w:rFonts w:ascii="Arial" w:eastAsia="Calibri" w:hAnsi="Arial" w:cs="Arial"/>
                <w:b/>
                <w:color w:val="000000" w:themeColor="text1"/>
                <w:sz w:val="15"/>
                <w:szCs w:val="15"/>
              </w:rPr>
              <w:t>eura</w:t>
            </w:r>
          </w:p>
        </w:tc>
        <w:tc>
          <w:tcPr>
            <w:tcW w:w="475" w:type="pct"/>
          </w:tcPr>
          <w:p w14:paraId="48632B86" w14:textId="77777777" w:rsidR="00516DE5" w:rsidRPr="00D47D1C" w:rsidRDefault="00516DE5" w:rsidP="0034622E">
            <w:pPr>
              <w:tabs>
                <w:tab w:val="right" w:pos="1202"/>
              </w:tabs>
              <w:spacing w:line="240" w:lineRule="atLeast"/>
              <w:jc w:val="righ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 xml:space="preserve">000 </w:t>
            </w:r>
            <w:r>
              <w:rPr>
                <w:rFonts w:ascii="Arial" w:eastAsia="Calibri" w:hAnsi="Arial" w:cs="Arial"/>
                <w:b/>
                <w:color w:val="000000" w:themeColor="text1"/>
                <w:sz w:val="15"/>
                <w:szCs w:val="15"/>
              </w:rPr>
              <w:t>eura</w:t>
            </w:r>
          </w:p>
        </w:tc>
        <w:tc>
          <w:tcPr>
            <w:tcW w:w="474" w:type="pct"/>
          </w:tcPr>
          <w:p w14:paraId="1F8987AD" w14:textId="77777777" w:rsidR="00516DE5" w:rsidRPr="00D47D1C" w:rsidRDefault="00516DE5" w:rsidP="0034622E">
            <w:pPr>
              <w:tabs>
                <w:tab w:val="right" w:pos="1202"/>
              </w:tabs>
              <w:spacing w:line="240" w:lineRule="atLeast"/>
              <w:jc w:val="righ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 xml:space="preserve">000 </w:t>
            </w:r>
            <w:r>
              <w:rPr>
                <w:rFonts w:ascii="Arial" w:eastAsia="Calibri" w:hAnsi="Arial" w:cs="Arial"/>
                <w:b/>
                <w:color w:val="000000" w:themeColor="text1"/>
                <w:sz w:val="15"/>
                <w:szCs w:val="15"/>
              </w:rPr>
              <w:t>eura</w:t>
            </w:r>
          </w:p>
        </w:tc>
        <w:tc>
          <w:tcPr>
            <w:tcW w:w="489" w:type="pct"/>
          </w:tcPr>
          <w:p w14:paraId="7A26C313" w14:textId="77777777" w:rsidR="00516DE5" w:rsidRPr="00D47D1C" w:rsidRDefault="00516DE5" w:rsidP="0034622E">
            <w:pPr>
              <w:tabs>
                <w:tab w:val="right" w:pos="1202"/>
              </w:tabs>
              <w:spacing w:line="240" w:lineRule="atLeast"/>
              <w:jc w:val="righ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 xml:space="preserve">000 </w:t>
            </w:r>
            <w:r>
              <w:rPr>
                <w:rFonts w:ascii="Arial" w:eastAsia="Calibri" w:hAnsi="Arial" w:cs="Arial"/>
                <w:b/>
                <w:color w:val="000000" w:themeColor="text1"/>
                <w:sz w:val="15"/>
                <w:szCs w:val="15"/>
              </w:rPr>
              <w:t>eura</w:t>
            </w:r>
          </w:p>
        </w:tc>
        <w:tc>
          <w:tcPr>
            <w:tcW w:w="474" w:type="pct"/>
          </w:tcPr>
          <w:p w14:paraId="3C1697D4" w14:textId="77777777" w:rsidR="00516DE5" w:rsidRPr="00D47D1C" w:rsidRDefault="00516DE5" w:rsidP="0034622E">
            <w:pPr>
              <w:tabs>
                <w:tab w:val="right" w:pos="1202"/>
              </w:tabs>
              <w:spacing w:line="240" w:lineRule="atLeast"/>
              <w:jc w:val="righ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 xml:space="preserve">000 </w:t>
            </w:r>
            <w:r>
              <w:rPr>
                <w:rFonts w:ascii="Arial" w:eastAsia="Calibri" w:hAnsi="Arial" w:cs="Arial"/>
                <w:b/>
                <w:color w:val="000000" w:themeColor="text1"/>
                <w:sz w:val="15"/>
                <w:szCs w:val="15"/>
              </w:rPr>
              <w:t>eura</w:t>
            </w:r>
          </w:p>
        </w:tc>
        <w:tc>
          <w:tcPr>
            <w:tcW w:w="490" w:type="pct"/>
          </w:tcPr>
          <w:p w14:paraId="49CB7775" w14:textId="77777777" w:rsidR="00516DE5" w:rsidRPr="00D47D1C" w:rsidRDefault="00516DE5" w:rsidP="0034622E">
            <w:pPr>
              <w:tabs>
                <w:tab w:val="right" w:pos="1202"/>
              </w:tabs>
              <w:spacing w:line="240" w:lineRule="atLeast"/>
              <w:jc w:val="righ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 xml:space="preserve">000 </w:t>
            </w:r>
            <w:r>
              <w:rPr>
                <w:rFonts w:ascii="Arial" w:eastAsia="Calibri" w:hAnsi="Arial" w:cs="Arial"/>
                <w:b/>
                <w:color w:val="000000" w:themeColor="text1"/>
                <w:sz w:val="15"/>
                <w:szCs w:val="15"/>
              </w:rPr>
              <w:t>eura</w:t>
            </w:r>
          </w:p>
        </w:tc>
        <w:tc>
          <w:tcPr>
            <w:tcW w:w="488" w:type="pct"/>
          </w:tcPr>
          <w:p w14:paraId="1DB29C5F" w14:textId="77777777" w:rsidR="00516DE5" w:rsidRPr="00D47D1C" w:rsidRDefault="00516DE5" w:rsidP="0034622E">
            <w:pPr>
              <w:tabs>
                <w:tab w:val="right" w:pos="1202"/>
              </w:tabs>
              <w:spacing w:line="240" w:lineRule="atLeast"/>
              <w:jc w:val="righ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 xml:space="preserve">000 </w:t>
            </w:r>
            <w:r>
              <w:rPr>
                <w:rFonts w:ascii="Arial" w:eastAsia="Calibri" w:hAnsi="Arial" w:cs="Arial"/>
                <w:b/>
                <w:color w:val="000000" w:themeColor="text1"/>
                <w:sz w:val="15"/>
                <w:szCs w:val="15"/>
              </w:rPr>
              <w:t>eura</w:t>
            </w:r>
          </w:p>
        </w:tc>
      </w:tr>
      <w:tr w:rsidR="00516DE5" w:rsidRPr="00D47D1C" w14:paraId="6A797AD9" w14:textId="77777777" w:rsidTr="0034622E">
        <w:trPr>
          <w:trHeight w:val="227"/>
        </w:trPr>
        <w:tc>
          <w:tcPr>
            <w:tcW w:w="1159" w:type="pct"/>
            <w:vAlign w:val="bottom"/>
          </w:tcPr>
          <w:p w14:paraId="0850AE65" w14:textId="77777777" w:rsidR="00516DE5" w:rsidRPr="00D47D1C" w:rsidRDefault="00516DE5" w:rsidP="0034622E">
            <w:pPr>
              <w:tabs>
                <w:tab w:val="left" w:pos="-720"/>
              </w:tabs>
              <w:suppressAutoHyphens/>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Imovina</w:t>
            </w:r>
          </w:p>
        </w:tc>
        <w:tc>
          <w:tcPr>
            <w:tcW w:w="476" w:type="pct"/>
          </w:tcPr>
          <w:p w14:paraId="1A3EFBB0" w14:textId="77777777" w:rsidR="00516DE5" w:rsidRPr="00D47D1C" w:rsidRDefault="00516DE5" w:rsidP="0034622E">
            <w:pPr>
              <w:tabs>
                <w:tab w:val="left" w:pos="-720"/>
              </w:tabs>
              <w:suppressAutoHyphens/>
              <w:jc w:val="right"/>
              <w:rPr>
                <w:rFonts w:ascii="Arial" w:eastAsia="Calibri" w:hAnsi="Arial" w:cs="Arial"/>
                <w:color w:val="000000" w:themeColor="text1"/>
                <w:sz w:val="15"/>
                <w:szCs w:val="15"/>
              </w:rPr>
            </w:pPr>
          </w:p>
        </w:tc>
        <w:tc>
          <w:tcPr>
            <w:tcW w:w="475" w:type="pct"/>
          </w:tcPr>
          <w:p w14:paraId="7D4A3BBE" w14:textId="77777777" w:rsidR="00516DE5" w:rsidRPr="00D47D1C" w:rsidRDefault="00516DE5" w:rsidP="0034622E">
            <w:pPr>
              <w:tabs>
                <w:tab w:val="left" w:pos="-720"/>
              </w:tabs>
              <w:suppressAutoHyphens/>
              <w:jc w:val="right"/>
              <w:rPr>
                <w:rFonts w:ascii="Arial" w:eastAsia="Calibri" w:hAnsi="Arial" w:cs="Arial"/>
                <w:color w:val="000000" w:themeColor="text1"/>
                <w:sz w:val="15"/>
                <w:szCs w:val="15"/>
              </w:rPr>
            </w:pPr>
          </w:p>
        </w:tc>
        <w:tc>
          <w:tcPr>
            <w:tcW w:w="475" w:type="pct"/>
          </w:tcPr>
          <w:p w14:paraId="23E2D9B1" w14:textId="77777777" w:rsidR="00516DE5" w:rsidRPr="00D47D1C" w:rsidRDefault="00516DE5" w:rsidP="0034622E">
            <w:pPr>
              <w:tabs>
                <w:tab w:val="left" w:pos="-720"/>
              </w:tabs>
              <w:suppressAutoHyphens/>
              <w:jc w:val="right"/>
              <w:rPr>
                <w:rFonts w:ascii="Arial" w:eastAsia="Calibri" w:hAnsi="Arial" w:cs="Arial"/>
                <w:color w:val="000000" w:themeColor="text1"/>
                <w:sz w:val="15"/>
                <w:szCs w:val="15"/>
              </w:rPr>
            </w:pPr>
          </w:p>
        </w:tc>
        <w:tc>
          <w:tcPr>
            <w:tcW w:w="474" w:type="pct"/>
          </w:tcPr>
          <w:p w14:paraId="50C623E8" w14:textId="77777777" w:rsidR="00516DE5" w:rsidRPr="00D47D1C" w:rsidRDefault="00516DE5" w:rsidP="0034622E">
            <w:pPr>
              <w:tabs>
                <w:tab w:val="left" w:pos="-720"/>
              </w:tabs>
              <w:suppressAutoHyphens/>
              <w:jc w:val="right"/>
              <w:rPr>
                <w:rFonts w:ascii="Arial" w:eastAsia="Calibri" w:hAnsi="Arial" w:cs="Arial"/>
                <w:color w:val="000000" w:themeColor="text1"/>
                <w:sz w:val="15"/>
                <w:szCs w:val="15"/>
              </w:rPr>
            </w:pPr>
          </w:p>
        </w:tc>
        <w:tc>
          <w:tcPr>
            <w:tcW w:w="489" w:type="pct"/>
          </w:tcPr>
          <w:p w14:paraId="5C5C557E" w14:textId="77777777" w:rsidR="00516DE5" w:rsidRPr="00D47D1C" w:rsidRDefault="00516DE5" w:rsidP="0034622E">
            <w:pPr>
              <w:tabs>
                <w:tab w:val="left" w:pos="-720"/>
              </w:tabs>
              <w:suppressAutoHyphens/>
              <w:jc w:val="right"/>
              <w:rPr>
                <w:rFonts w:ascii="Arial" w:eastAsia="Calibri" w:hAnsi="Arial" w:cs="Arial"/>
                <w:color w:val="000000" w:themeColor="text1"/>
                <w:sz w:val="15"/>
                <w:szCs w:val="15"/>
              </w:rPr>
            </w:pPr>
          </w:p>
        </w:tc>
        <w:tc>
          <w:tcPr>
            <w:tcW w:w="474" w:type="pct"/>
          </w:tcPr>
          <w:p w14:paraId="5D48B749" w14:textId="77777777" w:rsidR="00516DE5" w:rsidRPr="00D47D1C" w:rsidRDefault="00516DE5" w:rsidP="0034622E">
            <w:pPr>
              <w:tabs>
                <w:tab w:val="left" w:pos="-720"/>
              </w:tabs>
              <w:suppressAutoHyphens/>
              <w:spacing w:line="360" w:lineRule="auto"/>
              <w:jc w:val="right"/>
              <w:rPr>
                <w:rFonts w:ascii="Arial" w:eastAsia="Calibri" w:hAnsi="Arial" w:cs="Arial"/>
                <w:color w:val="000000" w:themeColor="text1"/>
                <w:sz w:val="15"/>
                <w:szCs w:val="15"/>
              </w:rPr>
            </w:pPr>
          </w:p>
        </w:tc>
        <w:tc>
          <w:tcPr>
            <w:tcW w:w="490" w:type="pct"/>
          </w:tcPr>
          <w:p w14:paraId="49AC56AB" w14:textId="77777777" w:rsidR="00516DE5" w:rsidRPr="00D47D1C" w:rsidRDefault="00516DE5" w:rsidP="0034622E">
            <w:pPr>
              <w:tabs>
                <w:tab w:val="left" w:pos="-720"/>
              </w:tabs>
              <w:suppressAutoHyphens/>
              <w:jc w:val="right"/>
              <w:rPr>
                <w:rFonts w:ascii="Arial" w:eastAsia="Calibri" w:hAnsi="Arial" w:cs="Arial"/>
                <w:color w:val="000000" w:themeColor="text1"/>
                <w:sz w:val="15"/>
                <w:szCs w:val="15"/>
              </w:rPr>
            </w:pPr>
          </w:p>
        </w:tc>
        <w:tc>
          <w:tcPr>
            <w:tcW w:w="488" w:type="pct"/>
          </w:tcPr>
          <w:p w14:paraId="7385AE37" w14:textId="77777777" w:rsidR="00516DE5" w:rsidRPr="00D47D1C" w:rsidRDefault="00516DE5" w:rsidP="0034622E">
            <w:pPr>
              <w:tabs>
                <w:tab w:val="left" w:pos="-720"/>
              </w:tabs>
              <w:suppressAutoHyphens/>
              <w:jc w:val="right"/>
              <w:rPr>
                <w:rFonts w:ascii="Arial" w:eastAsia="Calibri" w:hAnsi="Arial" w:cs="Arial"/>
                <w:color w:val="000000" w:themeColor="text1"/>
                <w:sz w:val="15"/>
                <w:szCs w:val="15"/>
              </w:rPr>
            </w:pPr>
          </w:p>
        </w:tc>
      </w:tr>
      <w:tr w:rsidR="00516DE5" w:rsidRPr="00D47D1C" w14:paraId="077E80BD" w14:textId="77777777" w:rsidTr="0034622E">
        <w:trPr>
          <w:trHeight w:val="217"/>
        </w:trPr>
        <w:tc>
          <w:tcPr>
            <w:tcW w:w="1159" w:type="pct"/>
            <w:vAlign w:val="bottom"/>
          </w:tcPr>
          <w:p w14:paraId="516AD53C" w14:textId="77777777" w:rsidR="00516DE5" w:rsidRPr="00D47D1C" w:rsidRDefault="00516DE5" w:rsidP="0034622E">
            <w:pPr>
              <w:tabs>
                <w:tab w:val="left" w:pos="-720"/>
              </w:tabs>
              <w:suppressAutoHyphens/>
              <w:spacing w:line="240" w:lineRule="exact"/>
              <w:rPr>
                <w:rFonts w:ascii="Arial" w:eastAsia="Calibri" w:hAnsi="Arial" w:cs="Arial"/>
                <w:color w:val="000000" w:themeColor="text1"/>
                <w:sz w:val="15"/>
                <w:szCs w:val="15"/>
              </w:rPr>
            </w:pPr>
            <w:r w:rsidRPr="00D47D1C">
              <w:rPr>
                <w:rFonts w:ascii="Arial" w:eastAsia="Calibri" w:hAnsi="Arial" w:cs="Arial"/>
                <w:color w:val="000000" w:themeColor="text1"/>
                <w:sz w:val="15"/>
                <w:szCs w:val="15"/>
              </w:rPr>
              <w:t>Novčana sredstva i računi kod banaka</w:t>
            </w:r>
          </w:p>
        </w:tc>
        <w:tc>
          <w:tcPr>
            <w:tcW w:w="476" w:type="pct"/>
            <w:vAlign w:val="bottom"/>
          </w:tcPr>
          <w:p w14:paraId="0A83490C" w14:textId="77777777" w:rsidR="00516DE5" w:rsidRPr="00D47D1C" w:rsidRDefault="00516DE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41.543 </w:t>
            </w:r>
          </w:p>
        </w:tc>
        <w:tc>
          <w:tcPr>
            <w:tcW w:w="475" w:type="pct"/>
            <w:vAlign w:val="bottom"/>
          </w:tcPr>
          <w:p w14:paraId="69961A90" w14:textId="77777777" w:rsidR="00516DE5" w:rsidRPr="00D47D1C" w:rsidRDefault="00516DE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 </w:t>
            </w:r>
          </w:p>
        </w:tc>
        <w:tc>
          <w:tcPr>
            <w:tcW w:w="475" w:type="pct"/>
            <w:vAlign w:val="bottom"/>
          </w:tcPr>
          <w:p w14:paraId="3E85F1E9" w14:textId="77777777" w:rsidR="00516DE5" w:rsidRPr="00D47D1C" w:rsidRDefault="00516DE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 </w:t>
            </w:r>
          </w:p>
        </w:tc>
        <w:tc>
          <w:tcPr>
            <w:tcW w:w="474" w:type="pct"/>
            <w:vAlign w:val="bottom"/>
          </w:tcPr>
          <w:p w14:paraId="339E4B31" w14:textId="77777777" w:rsidR="00516DE5" w:rsidRPr="00D47D1C" w:rsidRDefault="00516DE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 </w:t>
            </w:r>
          </w:p>
        </w:tc>
        <w:tc>
          <w:tcPr>
            <w:tcW w:w="489" w:type="pct"/>
            <w:vAlign w:val="bottom"/>
          </w:tcPr>
          <w:p w14:paraId="5AB75E95" w14:textId="77777777" w:rsidR="00516DE5" w:rsidRPr="00D47D1C" w:rsidRDefault="00516DE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 </w:t>
            </w:r>
          </w:p>
        </w:tc>
        <w:tc>
          <w:tcPr>
            <w:tcW w:w="474" w:type="pct"/>
            <w:vAlign w:val="bottom"/>
          </w:tcPr>
          <w:p w14:paraId="47B4546B" w14:textId="77777777" w:rsidR="00516DE5" w:rsidRPr="00D47D1C" w:rsidRDefault="00516DE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 </w:t>
            </w:r>
          </w:p>
        </w:tc>
        <w:tc>
          <w:tcPr>
            <w:tcW w:w="490" w:type="pct"/>
            <w:vAlign w:val="bottom"/>
          </w:tcPr>
          <w:p w14:paraId="6C1761FD" w14:textId="77777777" w:rsidR="00516DE5" w:rsidRPr="00D47D1C" w:rsidRDefault="00516DE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41.543 </w:t>
            </w:r>
          </w:p>
        </w:tc>
        <w:tc>
          <w:tcPr>
            <w:tcW w:w="488" w:type="pct"/>
            <w:vAlign w:val="bottom"/>
          </w:tcPr>
          <w:p w14:paraId="58170DEF" w14:textId="77777777" w:rsidR="00516DE5" w:rsidRPr="00D47D1C" w:rsidRDefault="00516DE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41.543 </w:t>
            </w:r>
          </w:p>
        </w:tc>
      </w:tr>
      <w:tr w:rsidR="00516DE5" w:rsidRPr="00D47D1C" w14:paraId="04D7701A" w14:textId="77777777" w:rsidTr="0034622E">
        <w:trPr>
          <w:trHeight w:val="206"/>
        </w:trPr>
        <w:tc>
          <w:tcPr>
            <w:tcW w:w="1159" w:type="pct"/>
            <w:vAlign w:val="bottom"/>
          </w:tcPr>
          <w:p w14:paraId="1B1D9041" w14:textId="77777777" w:rsidR="00516DE5" w:rsidRPr="00D47D1C" w:rsidRDefault="00516DE5" w:rsidP="0034622E">
            <w:pPr>
              <w:tabs>
                <w:tab w:val="left" w:pos="-720"/>
              </w:tabs>
              <w:suppressAutoHyphens/>
              <w:spacing w:line="240" w:lineRule="exact"/>
              <w:rPr>
                <w:rFonts w:ascii="Arial" w:eastAsia="Calibri" w:hAnsi="Arial" w:cs="Arial"/>
                <w:color w:val="000000" w:themeColor="text1"/>
                <w:sz w:val="15"/>
                <w:szCs w:val="15"/>
              </w:rPr>
            </w:pPr>
            <w:r w:rsidRPr="00D47D1C">
              <w:rPr>
                <w:rFonts w:ascii="Arial" w:eastAsia="Calibri" w:hAnsi="Arial" w:cs="Arial"/>
                <w:color w:val="000000" w:themeColor="text1"/>
                <w:sz w:val="15"/>
                <w:szCs w:val="15"/>
              </w:rPr>
              <w:t>Depoziti kod drugih banaka</w:t>
            </w:r>
          </w:p>
        </w:tc>
        <w:tc>
          <w:tcPr>
            <w:tcW w:w="476" w:type="pct"/>
            <w:vAlign w:val="bottom"/>
          </w:tcPr>
          <w:p w14:paraId="5833CCED" w14:textId="77777777" w:rsidR="00516DE5" w:rsidRPr="00D47D1C" w:rsidRDefault="00516DE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68.126 </w:t>
            </w:r>
          </w:p>
        </w:tc>
        <w:tc>
          <w:tcPr>
            <w:tcW w:w="475" w:type="pct"/>
            <w:vAlign w:val="bottom"/>
          </w:tcPr>
          <w:p w14:paraId="56498C98" w14:textId="77777777" w:rsidR="00516DE5" w:rsidRPr="00D47D1C" w:rsidRDefault="00516DE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 </w:t>
            </w:r>
          </w:p>
        </w:tc>
        <w:tc>
          <w:tcPr>
            <w:tcW w:w="475" w:type="pct"/>
            <w:vAlign w:val="bottom"/>
          </w:tcPr>
          <w:p w14:paraId="5EA37DA8" w14:textId="77777777" w:rsidR="00516DE5" w:rsidRPr="00D47D1C" w:rsidRDefault="00516DE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 </w:t>
            </w:r>
          </w:p>
        </w:tc>
        <w:tc>
          <w:tcPr>
            <w:tcW w:w="474" w:type="pct"/>
            <w:vAlign w:val="bottom"/>
          </w:tcPr>
          <w:p w14:paraId="41187916" w14:textId="77777777" w:rsidR="00516DE5" w:rsidRPr="00D47D1C" w:rsidRDefault="00516DE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 </w:t>
            </w:r>
          </w:p>
        </w:tc>
        <w:tc>
          <w:tcPr>
            <w:tcW w:w="489" w:type="pct"/>
            <w:vAlign w:val="bottom"/>
          </w:tcPr>
          <w:p w14:paraId="62EA1FC6" w14:textId="77777777" w:rsidR="00516DE5" w:rsidRPr="00D47D1C" w:rsidRDefault="00516DE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 </w:t>
            </w:r>
          </w:p>
        </w:tc>
        <w:tc>
          <w:tcPr>
            <w:tcW w:w="474" w:type="pct"/>
            <w:vAlign w:val="bottom"/>
          </w:tcPr>
          <w:p w14:paraId="4AD1E684" w14:textId="77777777" w:rsidR="00516DE5" w:rsidRPr="00D47D1C" w:rsidRDefault="00516DE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1.330 </w:t>
            </w:r>
          </w:p>
        </w:tc>
        <w:tc>
          <w:tcPr>
            <w:tcW w:w="490" w:type="pct"/>
            <w:vAlign w:val="bottom"/>
          </w:tcPr>
          <w:p w14:paraId="71852BE5" w14:textId="77777777" w:rsidR="00516DE5" w:rsidRPr="00D47D1C" w:rsidRDefault="00516DE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69.456 </w:t>
            </w:r>
          </w:p>
        </w:tc>
        <w:tc>
          <w:tcPr>
            <w:tcW w:w="488" w:type="pct"/>
            <w:vAlign w:val="bottom"/>
          </w:tcPr>
          <w:p w14:paraId="1CF1D725" w14:textId="77777777" w:rsidR="00516DE5" w:rsidRPr="00D47D1C" w:rsidRDefault="00516DE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68.126 </w:t>
            </w:r>
          </w:p>
        </w:tc>
      </w:tr>
      <w:tr w:rsidR="00516DE5" w:rsidRPr="00D47D1C" w14:paraId="7A84773E" w14:textId="77777777" w:rsidTr="0034622E">
        <w:trPr>
          <w:trHeight w:val="164"/>
        </w:trPr>
        <w:tc>
          <w:tcPr>
            <w:tcW w:w="1159" w:type="pct"/>
            <w:vAlign w:val="bottom"/>
          </w:tcPr>
          <w:p w14:paraId="57F437C3" w14:textId="77777777" w:rsidR="00516DE5" w:rsidRPr="00D47D1C" w:rsidRDefault="00516DE5" w:rsidP="0034622E">
            <w:pPr>
              <w:tabs>
                <w:tab w:val="left" w:pos="-720"/>
              </w:tabs>
              <w:suppressAutoHyphens/>
              <w:spacing w:line="240" w:lineRule="exact"/>
              <w:rPr>
                <w:rFonts w:ascii="Arial" w:eastAsia="Calibri" w:hAnsi="Arial" w:cs="Arial"/>
                <w:color w:val="000000" w:themeColor="text1"/>
                <w:sz w:val="15"/>
                <w:szCs w:val="15"/>
              </w:rPr>
            </w:pPr>
            <w:r w:rsidRPr="00D47D1C">
              <w:rPr>
                <w:rFonts w:ascii="Arial" w:eastAsia="Calibri" w:hAnsi="Arial" w:cs="Arial"/>
                <w:color w:val="000000" w:themeColor="text1"/>
                <w:sz w:val="15"/>
                <w:szCs w:val="15"/>
              </w:rPr>
              <w:t>Krediti financijskim institucijama</w:t>
            </w:r>
          </w:p>
        </w:tc>
        <w:tc>
          <w:tcPr>
            <w:tcW w:w="476" w:type="pct"/>
            <w:tcBorders>
              <w:top w:val="nil"/>
              <w:left w:val="nil"/>
              <w:bottom w:val="nil"/>
              <w:right w:val="nil"/>
            </w:tcBorders>
            <w:vAlign w:val="bottom"/>
          </w:tcPr>
          <w:p w14:paraId="4F0C1505" w14:textId="77777777" w:rsidR="00516DE5" w:rsidRPr="00D47D1C" w:rsidRDefault="00516DE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87.993 </w:t>
            </w:r>
          </w:p>
        </w:tc>
        <w:tc>
          <w:tcPr>
            <w:tcW w:w="475" w:type="pct"/>
            <w:tcBorders>
              <w:top w:val="nil"/>
              <w:left w:val="nil"/>
              <w:bottom w:val="nil"/>
              <w:right w:val="nil"/>
            </w:tcBorders>
            <w:vAlign w:val="bottom"/>
          </w:tcPr>
          <w:p w14:paraId="1D8F5136" w14:textId="77777777" w:rsidR="00516DE5" w:rsidRPr="00D47D1C" w:rsidRDefault="00516DE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168.026 </w:t>
            </w:r>
          </w:p>
        </w:tc>
        <w:tc>
          <w:tcPr>
            <w:tcW w:w="475" w:type="pct"/>
            <w:tcBorders>
              <w:top w:val="nil"/>
              <w:left w:val="nil"/>
              <w:bottom w:val="nil"/>
              <w:right w:val="nil"/>
            </w:tcBorders>
            <w:vAlign w:val="bottom"/>
          </w:tcPr>
          <w:p w14:paraId="1E2B49C7" w14:textId="77777777" w:rsidR="00516DE5" w:rsidRPr="00D47D1C" w:rsidRDefault="00516DE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128.016 </w:t>
            </w:r>
          </w:p>
        </w:tc>
        <w:tc>
          <w:tcPr>
            <w:tcW w:w="474" w:type="pct"/>
            <w:tcBorders>
              <w:top w:val="nil"/>
              <w:left w:val="nil"/>
              <w:bottom w:val="nil"/>
              <w:right w:val="nil"/>
            </w:tcBorders>
            <w:vAlign w:val="bottom"/>
          </w:tcPr>
          <w:p w14:paraId="7DBA23DE" w14:textId="77777777" w:rsidR="00516DE5" w:rsidRPr="00D47D1C" w:rsidRDefault="00516DE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301.413 </w:t>
            </w:r>
          </w:p>
        </w:tc>
        <w:tc>
          <w:tcPr>
            <w:tcW w:w="489" w:type="pct"/>
            <w:tcBorders>
              <w:top w:val="nil"/>
              <w:left w:val="nil"/>
              <w:bottom w:val="nil"/>
              <w:right w:val="nil"/>
            </w:tcBorders>
            <w:vAlign w:val="bottom"/>
          </w:tcPr>
          <w:p w14:paraId="68FEEDE9" w14:textId="77777777" w:rsidR="00516DE5" w:rsidRPr="00D47D1C" w:rsidRDefault="00516DE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561.073 </w:t>
            </w:r>
          </w:p>
        </w:tc>
        <w:tc>
          <w:tcPr>
            <w:tcW w:w="474" w:type="pct"/>
            <w:tcBorders>
              <w:top w:val="nil"/>
              <w:left w:val="nil"/>
              <w:bottom w:val="nil"/>
              <w:right w:val="nil"/>
            </w:tcBorders>
            <w:vAlign w:val="bottom"/>
          </w:tcPr>
          <w:p w14:paraId="16FA0400" w14:textId="77777777" w:rsidR="00516DE5" w:rsidRPr="00D47D1C" w:rsidRDefault="00516DE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2.360 </w:t>
            </w:r>
          </w:p>
        </w:tc>
        <w:tc>
          <w:tcPr>
            <w:tcW w:w="490" w:type="pct"/>
            <w:tcBorders>
              <w:top w:val="nil"/>
              <w:left w:val="nil"/>
              <w:bottom w:val="nil"/>
              <w:right w:val="nil"/>
            </w:tcBorders>
            <w:vAlign w:val="bottom"/>
          </w:tcPr>
          <w:p w14:paraId="10782D40" w14:textId="77777777" w:rsidR="00516DE5" w:rsidRPr="00D47D1C" w:rsidRDefault="00516DE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1.248.881 </w:t>
            </w:r>
          </w:p>
        </w:tc>
        <w:tc>
          <w:tcPr>
            <w:tcW w:w="488" w:type="pct"/>
            <w:tcBorders>
              <w:top w:val="nil"/>
              <w:left w:val="nil"/>
              <w:bottom w:val="nil"/>
              <w:right w:val="nil"/>
            </w:tcBorders>
            <w:vAlign w:val="bottom"/>
          </w:tcPr>
          <w:p w14:paraId="6D6C9B08" w14:textId="77777777" w:rsidR="00516DE5" w:rsidRPr="00D47D1C" w:rsidRDefault="00516DE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1.235.651 </w:t>
            </w:r>
          </w:p>
        </w:tc>
      </w:tr>
      <w:tr w:rsidR="00516DE5" w:rsidRPr="00D47D1C" w14:paraId="551C512E" w14:textId="77777777" w:rsidTr="0034622E">
        <w:trPr>
          <w:trHeight w:val="92"/>
        </w:trPr>
        <w:tc>
          <w:tcPr>
            <w:tcW w:w="1159" w:type="pct"/>
            <w:vAlign w:val="bottom"/>
          </w:tcPr>
          <w:p w14:paraId="46DF70BF" w14:textId="77777777" w:rsidR="00516DE5" w:rsidRPr="00D47D1C" w:rsidRDefault="00516DE5" w:rsidP="0034622E">
            <w:pPr>
              <w:tabs>
                <w:tab w:val="left" w:pos="-720"/>
              </w:tabs>
              <w:suppressAutoHyphens/>
              <w:spacing w:line="240" w:lineRule="exact"/>
              <w:rPr>
                <w:rFonts w:ascii="Arial" w:eastAsia="Calibri" w:hAnsi="Arial" w:cs="Arial"/>
                <w:color w:val="000000" w:themeColor="text1"/>
                <w:sz w:val="15"/>
                <w:szCs w:val="15"/>
              </w:rPr>
            </w:pPr>
            <w:r w:rsidRPr="00D47D1C">
              <w:rPr>
                <w:rFonts w:ascii="Arial" w:eastAsia="Calibri" w:hAnsi="Arial" w:cs="Arial"/>
                <w:color w:val="000000" w:themeColor="text1"/>
                <w:sz w:val="15"/>
                <w:szCs w:val="15"/>
              </w:rPr>
              <w:t>Krediti ostalim korisnicima</w:t>
            </w:r>
          </w:p>
        </w:tc>
        <w:tc>
          <w:tcPr>
            <w:tcW w:w="476" w:type="pct"/>
            <w:tcBorders>
              <w:top w:val="nil"/>
              <w:left w:val="nil"/>
              <w:bottom w:val="nil"/>
              <w:right w:val="nil"/>
            </w:tcBorders>
            <w:vAlign w:val="bottom"/>
          </w:tcPr>
          <w:p w14:paraId="04F52688" w14:textId="77777777" w:rsidR="00516DE5" w:rsidRPr="00D47D1C" w:rsidRDefault="00516DE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239.908 </w:t>
            </w:r>
          </w:p>
        </w:tc>
        <w:tc>
          <w:tcPr>
            <w:tcW w:w="475" w:type="pct"/>
            <w:tcBorders>
              <w:top w:val="nil"/>
              <w:left w:val="nil"/>
              <w:bottom w:val="nil"/>
              <w:right w:val="nil"/>
            </w:tcBorders>
            <w:vAlign w:val="bottom"/>
          </w:tcPr>
          <w:p w14:paraId="4BD3EC66" w14:textId="77777777" w:rsidR="00516DE5" w:rsidRPr="00D47D1C" w:rsidRDefault="00516DE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94.026 </w:t>
            </w:r>
          </w:p>
        </w:tc>
        <w:tc>
          <w:tcPr>
            <w:tcW w:w="475" w:type="pct"/>
            <w:tcBorders>
              <w:top w:val="nil"/>
              <w:left w:val="nil"/>
              <w:bottom w:val="nil"/>
              <w:right w:val="nil"/>
            </w:tcBorders>
            <w:vAlign w:val="bottom"/>
          </w:tcPr>
          <w:p w14:paraId="1C20D95A" w14:textId="77777777" w:rsidR="00516DE5" w:rsidRPr="00D47D1C" w:rsidRDefault="00516DE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284.057 </w:t>
            </w:r>
          </w:p>
        </w:tc>
        <w:tc>
          <w:tcPr>
            <w:tcW w:w="474" w:type="pct"/>
            <w:tcBorders>
              <w:top w:val="nil"/>
              <w:left w:val="nil"/>
              <w:bottom w:val="nil"/>
              <w:right w:val="nil"/>
            </w:tcBorders>
            <w:vAlign w:val="bottom"/>
          </w:tcPr>
          <w:p w14:paraId="333F126F" w14:textId="77777777" w:rsidR="00516DE5" w:rsidRPr="00D47D1C" w:rsidRDefault="00516DE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574.254 </w:t>
            </w:r>
          </w:p>
        </w:tc>
        <w:tc>
          <w:tcPr>
            <w:tcW w:w="489" w:type="pct"/>
            <w:tcBorders>
              <w:top w:val="nil"/>
              <w:left w:val="nil"/>
              <w:bottom w:val="nil"/>
              <w:right w:val="nil"/>
            </w:tcBorders>
            <w:vAlign w:val="bottom"/>
          </w:tcPr>
          <w:p w14:paraId="15B303C5" w14:textId="77777777" w:rsidR="00516DE5" w:rsidRPr="00D47D1C" w:rsidRDefault="00516DE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1.136.498 </w:t>
            </w:r>
          </w:p>
        </w:tc>
        <w:tc>
          <w:tcPr>
            <w:tcW w:w="474" w:type="pct"/>
            <w:tcBorders>
              <w:top w:val="nil"/>
              <w:left w:val="nil"/>
              <w:bottom w:val="nil"/>
              <w:right w:val="nil"/>
            </w:tcBorders>
            <w:vAlign w:val="bottom"/>
          </w:tcPr>
          <w:p w14:paraId="0FA44F12" w14:textId="77777777" w:rsidR="00516DE5" w:rsidRPr="00D47D1C" w:rsidRDefault="00516DE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22.453 </w:t>
            </w:r>
          </w:p>
        </w:tc>
        <w:tc>
          <w:tcPr>
            <w:tcW w:w="490" w:type="pct"/>
            <w:tcBorders>
              <w:top w:val="nil"/>
              <w:left w:val="nil"/>
              <w:bottom w:val="nil"/>
              <w:right w:val="nil"/>
            </w:tcBorders>
            <w:vAlign w:val="bottom"/>
          </w:tcPr>
          <w:p w14:paraId="2D7A295A" w14:textId="77777777" w:rsidR="00516DE5" w:rsidRPr="00D47D1C" w:rsidRDefault="00516DE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2.351.196 </w:t>
            </w:r>
          </w:p>
        </w:tc>
        <w:tc>
          <w:tcPr>
            <w:tcW w:w="488" w:type="pct"/>
            <w:tcBorders>
              <w:top w:val="nil"/>
              <w:left w:val="nil"/>
              <w:bottom w:val="nil"/>
              <w:right w:val="nil"/>
            </w:tcBorders>
            <w:vAlign w:val="bottom"/>
          </w:tcPr>
          <w:p w14:paraId="429123EF" w14:textId="77777777" w:rsidR="00516DE5" w:rsidRPr="00D47D1C" w:rsidRDefault="00516DE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2.200.795 </w:t>
            </w:r>
          </w:p>
        </w:tc>
      </w:tr>
      <w:tr w:rsidR="00516DE5" w:rsidRPr="00D47D1C" w14:paraId="08CB3A38" w14:textId="77777777" w:rsidTr="0034622E">
        <w:trPr>
          <w:trHeight w:val="170"/>
        </w:trPr>
        <w:tc>
          <w:tcPr>
            <w:tcW w:w="1159" w:type="pct"/>
            <w:vAlign w:val="bottom"/>
          </w:tcPr>
          <w:p w14:paraId="3A6324E2" w14:textId="77777777" w:rsidR="00516DE5" w:rsidRPr="00D47D1C" w:rsidRDefault="00516DE5" w:rsidP="0034622E">
            <w:pPr>
              <w:tabs>
                <w:tab w:val="left" w:pos="-720"/>
              </w:tabs>
              <w:suppressAutoHyphens/>
              <w:spacing w:line="240" w:lineRule="exact"/>
              <w:rPr>
                <w:rFonts w:ascii="Arial" w:eastAsia="Calibri" w:hAnsi="Arial" w:cs="Arial"/>
                <w:color w:val="000000" w:themeColor="text1"/>
                <w:sz w:val="15"/>
                <w:szCs w:val="15"/>
              </w:rPr>
            </w:pPr>
            <w:r w:rsidRPr="00D47D1C">
              <w:rPr>
                <w:rFonts w:ascii="Arial" w:eastAsia="Calibri" w:hAnsi="Arial" w:cs="Arial"/>
                <w:color w:val="000000" w:themeColor="text1"/>
                <w:sz w:val="15"/>
                <w:szCs w:val="15"/>
              </w:rPr>
              <w:t>Financijska imovina po fer vrijednosti kroz dobit ili gubitak</w:t>
            </w:r>
          </w:p>
        </w:tc>
        <w:tc>
          <w:tcPr>
            <w:tcW w:w="476" w:type="pct"/>
            <w:vAlign w:val="bottom"/>
          </w:tcPr>
          <w:p w14:paraId="088ABD69" w14:textId="77777777" w:rsidR="00516DE5" w:rsidRPr="00D47D1C" w:rsidRDefault="00516DE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 </w:t>
            </w:r>
          </w:p>
        </w:tc>
        <w:tc>
          <w:tcPr>
            <w:tcW w:w="475" w:type="pct"/>
            <w:vAlign w:val="bottom"/>
          </w:tcPr>
          <w:p w14:paraId="4D910750" w14:textId="77777777" w:rsidR="00516DE5" w:rsidRPr="00D47D1C" w:rsidRDefault="00516DE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 </w:t>
            </w:r>
          </w:p>
        </w:tc>
        <w:tc>
          <w:tcPr>
            <w:tcW w:w="475" w:type="pct"/>
            <w:vAlign w:val="bottom"/>
          </w:tcPr>
          <w:p w14:paraId="4FD25B4F" w14:textId="77777777" w:rsidR="00516DE5" w:rsidRPr="00D47D1C" w:rsidRDefault="00516DE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 </w:t>
            </w:r>
          </w:p>
        </w:tc>
        <w:tc>
          <w:tcPr>
            <w:tcW w:w="474" w:type="pct"/>
            <w:vAlign w:val="bottom"/>
          </w:tcPr>
          <w:p w14:paraId="5405B7F8" w14:textId="77777777" w:rsidR="00516DE5" w:rsidRPr="00D47D1C" w:rsidRDefault="00516DE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33.698 </w:t>
            </w:r>
          </w:p>
        </w:tc>
        <w:tc>
          <w:tcPr>
            <w:tcW w:w="489" w:type="pct"/>
            <w:vAlign w:val="bottom"/>
          </w:tcPr>
          <w:p w14:paraId="7A6F8FDD" w14:textId="77777777" w:rsidR="00516DE5" w:rsidRPr="00D47D1C" w:rsidRDefault="00516DE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 </w:t>
            </w:r>
          </w:p>
        </w:tc>
        <w:tc>
          <w:tcPr>
            <w:tcW w:w="474" w:type="pct"/>
            <w:vAlign w:val="bottom"/>
          </w:tcPr>
          <w:p w14:paraId="24EF0B45" w14:textId="77777777" w:rsidR="00516DE5" w:rsidRPr="00D47D1C" w:rsidRDefault="00516DE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19.224 </w:t>
            </w:r>
          </w:p>
        </w:tc>
        <w:tc>
          <w:tcPr>
            <w:tcW w:w="490" w:type="pct"/>
            <w:vAlign w:val="bottom"/>
          </w:tcPr>
          <w:p w14:paraId="019024D2" w14:textId="77777777" w:rsidR="00516DE5" w:rsidRPr="00D47D1C" w:rsidRDefault="00516DE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52.922 </w:t>
            </w:r>
          </w:p>
        </w:tc>
        <w:tc>
          <w:tcPr>
            <w:tcW w:w="488" w:type="pct"/>
            <w:vAlign w:val="bottom"/>
          </w:tcPr>
          <w:p w14:paraId="11E13C19" w14:textId="77777777" w:rsidR="00516DE5" w:rsidRPr="00D47D1C" w:rsidRDefault="00516DE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33.698 </w:t>
            </w:r>
          </w:p>
        </w:tc>
      </w:tr>
      <w:tr w:rsidR="00516DE5" w:rsidRPr="00D47D1C" w14:paraId="518A247E" w14:textId="77777777" w:rsidTr="0034622E">
        <w:trPr>
          <w:trHeight w:val="163"/>
        </w:trPr>
        <w:tc>
          <w:tcPr>
            <w:tcW w:w="1159" w:type="pct"/>
            <w:vAlign w:val="bottom"/>
          </w:tcPr>
          <w:p w14:paraId="7785189F" w14:textId="77777777" w:rsidR="00516DE5" w:rsidRPr="00D47D1C" w:rsidRDefault="00516DE5" w:rsidP="0034622E">
            <w:pPr>
              <w:tabs>
                <w:tab w:val="left" w:pos="-720"/>
              </w:tabs>
              <w:suppressAutoHyphens/>
              <w:spacing w:line="240" w:lineRule="exact"/>
              <w:rPr>
                <w:rFonts w:ascii="Arial" w:eastAsia="Calibri" w:hAnsi="Arial" w:cs="Arial"/>
                <w:color w:val="000000" w:themeColor="text1"/>
                <w:sz w:val="15"/>
                <w:szCs w:val="15"/>
              </w:rPr>
            </w:pPr>
            <w:r w:rsidRPr="00D47D1C">
              <w:rPr>
                <w:rFonts w:ascii="Arial" w:eastAsia="Calibri" w:hAnsi="Arial" w:cs="Arial"/>
                <w:color w:val="000000" w:themeColor="text1"/>
                <w:sz w:val="15"/>
                <w:szCs w:val="15"/>
              </w:rPr>
              <w:t>Financijska imovina po fer vrijednosti kroz ostalu sveobuhvatnu dobit</w:t>
            </w:r>
          </w:p>
        </w:tc>
        <w:tc>
          <w:tcPr>
            <w:tcW w:w="476" w:type="pct"/>
            <w:vAlign w:val="bottom"/>
          </w:tcPr>
          <w:p w14:paraId="480E7CA4" w14:textId="77777777" w:rsidR="00516DE5" w:rsidRPr="00D47D1C" w:rsidRDefault="00516DE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6.991 </w:t>
            </w:r>
          </w:p>
        </w:tc>
        <w:tc>
          <w:tcPr>
            <w:tcW w:w="475" w:type="pct"/>
            <w:vAlign w:val="bottom"/>
          </w:tcPr>
          <w:p w14:paraId="6ED07EF6" w14:textId="77777777" w:rsidR="00516DE5" w:rsidRPr="00D47D1C" w:rsidRDefault="00516DE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4.976 </w:t>
            </w:r>
          </w:p>
        </w:tc>
        <w:tc>
          <w:tcPr>
            <w:tcW w:w="475" w:type="pct"/>
            <w:vAlign w:val="bottom"/>
          </w:tcPr>
          <w:p w14:paraId="4FA385F9" w14:textId="77777777" w:rsidR="00516DE5" w:rsidRPr="00D47D1C" w:rsidRDefault="00516DE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52.642 </w:t>
            </w:r>
          </w:p>
        </w:tc>
        <w:tc>
          <w:tcPr>
            <w:tcW w:w="474" w:type="pct"/>
            <w:vAlign w:val="bottom"/>
          </w:tcPr>
          <w:p w14:paraId="4F577CCB" w14:textId="77777777" w:rsidR="00516DE5" w:rsidRPr="00D47D1C" w:rsidRDefault="00516DE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110.714 </w:t>
            </w:r>
          </w:p>
        </w:tc>
        <w:tc>
          <w:tcPr>
            <w:tcW w:w="489" w:type="pct"/>
            <w:vAlign w:val="bottom"/>
          </w:tcPr>
          <w:p w14:paraId="6A5B61B1" w14:textId="77777777" w:rsidR="00516DE5" w:rsidRPr="00D47D1C" w:rsidRDefault="00516DE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42.647 </w:t>
            </w:r>
          </w:p>
        </w:tc>
        <w:tc>
          <w:tcPr>
            <w:tcW w:w="474" w:type="pct"/>
            <w:vAlign w:val="bottom"/>
          </w:tcPr>
          <w:p w14:paraId="4EBFBD5C" w14:textId="77777777" w:rsidR="00516DE5" w:rsidRPr="00D47D1C" w:rsidRDefault="00516DE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10.888 </w:t>
            </w:r>
          </w:p>
        </w:tc>
        <w:tc>
          <w:tcPr>
            <w:tcW w:w="490" w:type="pct"/>
            <w:vAlign w:val="bottom"/>
          </w:tcPr>
          <w:p w14:paraId="2CD04824" w14:textId="77777777" w:rsidR="00516DE5" w:rsidRPr="00D47D1C" w:rsidRDefault="00516DE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228.858 </w:t>
            </w:r>
          </w:p>
        </w:tc>
        <w:tc>
          <w:tcPr>
            <w:tcW w:w="488" w:type="pct"/>
            <w:vAlign w:val="bottom"/>
          </w:tcPr>
          <w:p w14:paraId="4D6C5F20" w14:textId="77777777" w:rsidR="00516DE5" w:rsidRPr="00D47D1C" w:rsidRDefault="00516DE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217.970 </w:t>
            </w:r>
          </w:p>
        </w:tc>
      </w:tr>
      <w:tr w:rsidR="00516DE5" w:rsidRPr="00D47D1C" w14:paraId="6CC32B0F" w14:textId="77777777" w:rsidTr="0034622E">
        <w:trPr>
          <w:trHeight w:val="206"/>
        </w:trPr>
        <w:tc>
          <w:tcPr>
            <w:tcW w:w="1159" w:type="pct"/>
            <w:vAlign w:val="bottom"/>
          </w:tcPr>
          <w:p w14:paraId="3BA6D5C2" w14:textId="77777777" w:rsidR="00516DE5" w:rsidRPr="00D47D1C" w:rsidRDefault="00516DE5" w:rsidP="0034622E">
            <w:pPr>
              <w:tabs>
                <w:tab w:val="left" w:pos="-720"/>
              </w:tabs>
              <w:suppressAutoHyphens/>
              <w:spacing w:line="240" w:lineRule="exact"/>
              <w:rPr>
                <w:rFonts w:ascii="Arial" w:eastAsia="Calibri" w:hAnsi="Arial" w:cs="Arial"/>
                <w:color w:val="000000" w:themeColor="text1"/>
                <w:sz w:val="15"/>
                <w:szCs w:val="15"/>
              </w:rPr>
            </w:pPr>
            <w:r w:rsidRPr="00D47D1C">
              <w:rPr>
                <w:rFonts w:ascii="Arial" w:eastAsia="Calibri" w:hAnsi="Arial" w:cs="Arial"/>
                <w:color w:val="000000" w:themeColor="text1"/>
                <w:sz w:val="15"/>
                <w:szCs w:val="15"/>
              </w:rPr>
              <w:t>Ostala imovina</w:t>
            </w:r>
          </w:p>
        </w:tc>
        <w:tc>
          <w:tcPr>
            <w:tcW w:w="476" w:type="pct"/>
            <w:tcBorders>
              <w:bottom w:val="single" w:sz="4" w:space="0" w:color="auto"/>
            </w:tcBorders>
            <w:vAlign w:val="bottom"/>
          </w:tcPr>
          <w:p w14:paraId="0A63411B" w14:textId="77777777" w:rsidR="00516DE5" w:rsidRPr="00D47D1C" w:rsidRDefault="00516DE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 </w:t>
            </w:r>
          </w:p>
        </w:tc>
        <w:tc>
          <w:tcPr>
            <w:tcW w:w="475" w:type="pct"/>
            <w:tcBorders>
              <w:bottom w:val="single" w:sz="4" w:space="0" w:color="auto"/>
            </w:tcBorders>
            <w:vAlign w:val="bottom"/>
          </w:tcPr>
          <w:p w14:paraId="1CC5632E" w14:textId="77777777" w:rsidR="00516DE5" w:rsidRPr="00D47D1C" w:rsidRDefault="00516DE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 </w:t>
            </w:r>
          </w:p>
        </w:tc>
        <w:tc>
          <w:tcPr>
            <w:tcW w:w="475" w:type="pct"/>
            <w:tcBorders>
              <w:bottom w:val="single" w:sz="4" w:space="0" w:color="auto"/>
            </w:tcBorders>
            <w:vAlign w:val="bottom"/>
          </w:tcPr>
          <w:p w14:paraId="5B7AA24B" w14:textId="77777777" w:rsidR="00516DE5" w:rsidRPr="00D47D1C" w:rsidRDefault="00516DE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 </w:t>
            </w:r>
          </w:p>
        </w:tc>
        <w:tc>
          <w:tcPr>
            <w:tcW w:w="474" w:type="pct"/>
            <w:tcBorders>
              <w:bottom w:val="single" w:sz="4" w:space="0" w:color="auto"/>
            </w:tcBorders>
            <w:vAlign w:val="bottom"/>
          </w:tcPr>
          <w:p w14:paraId="0AB0F523" w14:textId="77777777" w:rsidR="00516DE5" w:rsidRPr="00D47D1C" w:rsidRDefault="00516DE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 </w:t>
            </w:r>
          </w:p>
        </w:tc>
        <w:tc>
          <w:tcPr>
            <w:tcW w:w="489" w:type="pct"/>
            <w:tcBorders>
              <w:bottom w:val="single" w:sz="4" w:space="0" w:color="auto"/>
            </w:tcBorders>
            <w:vAlign w:val="bottom"/>
          </w:tcPr>
          <w:p w14:paraId="41B8E3AE" w14:textId="77777777" w:rsidR="00516DE5" w:rsidRPr="00D47D1C" w:rsidRDefault="00516DE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 </w:t>
            </w:r>
          </w:p>
        </w:tc>
        <w:tc>
          <w:tcPr>
            <w:tcW w:w="474" w:type="pct"/>
            <w:tcBorders>
              <w:bottom w:val="single" w:sz="4" w:space="0" w:color="auto"/>
            </w:tcBorders>
            <w:vAlign w:val="bottom"/>
          </w:tcPr>
          <w:p w14:paraId="6D036B3E" w14:textId="77777777" w:rsidR="00516DE5" w:rsidRPr="00D47D1C" w:rsidRDefault="00516DE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11.365 </w:t>
            </w:r>
          </w:p>
        </w:tc>
        <w:tc>
          <w:tcPr>
            <w:tcW w:w="490" w:type="pct"/>
            <w:tcBorders>
              <w:bottom w:val="single" w:sz="4" w:space="0" w:color="auto"/>
            </w:tcBorders>
            <w:vAlign w:val="bottom"/>
          </w:tcPr>
          <w:p w14:paraId="37360BFB" w14:textId="77777777" w:rsidR="00516DE5" w:rsidRPr="00D47D1C" w:rsidRDefault="00516DE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11.365 </w:t>
            </w:r>
          </w:p>
        </w:tc>
        <w:tc>
          <w:tcPr>
            <w:tcW w:w="488" w:type="pct"/>
            <w:tcBorders>
              <w:bottom w:val="single" w:sz="4" w:space="0" w:color="auto"/>
            </w:tcBorders>
            <w:vAlign w:val="bottom"/>
          </w:tcPr>
          <w:p w14:paraId="2F7669BC" w14:textId="77777777" w:rsidR="00516DE5" w:rsidRPr="00D47D1C" w:rsidRDefault="00516DE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 </w:t>
            </w:r>
          </w:p>
        </w:tc>
      </w:tr>
      <w:tr w:rsidR="00516DE5" w:rsidRPr="00D47D1C" w14:paraId="4D93C1FC" w14:textId="77777777" w:rsidTr="0034622E">
        <w:trPr>
          <w:trHeight w:hRule="exact" w:val="308"/>
        </w:trPr>
        <w:tc>
          <w:tcPr>
            <w:tcW w:w="1159" w:type="pct"/>
            <w:vAlign w:val="center"/>
          </w:tcPr>
          <w:p w14:paraId="1657CF85" w14:textId="77777777" w:rsidR="00516DE5" w:rsidRPr="00D47D1C" w:rsidRDefault="00516DE5" w:rsidP="0034622E">
            <w:pPr>
              <w:tabs>
                <w:tab w:val="right" w:pos="1202"/>
              </w:tabs>
              <w:spacing w:line="240" w:lineRule="exact"/>
              <w:outlineLvl w:val="0"/>
              <w:rPr>
                <w:rFonts w:ascii="Arial" w:eastAsia="Calibri" w:hAnsi="Arial" w:cs="Arial"/>
                <w:b/>
                <w:bCs/>
                <w:color w:val="000000" w:themeColor="text1"/>
                <w:sz w:val="15"/>
                <w:szCs w:val="15"/>
              </w:rPr>
            </w:pPr>
            <w:r w:rsidRPr="00D47D1C">
              <w:rPr>
                <w:rFonts w:ascii="Arial" w:eastAsia="Calibri" w:hAnsi="Arial" w:cs="Arial"/>
                <w:b/>
                <w:bCs/>
                <w:color w:val="000000" w:themeColor="text1"/>
                <w:sz w:val="15"/>
                <w:szCs w:val="15"/>
              </w:rPr>
              <w:t xml:space="preserve">Imovina </w:t>
            </w:r>
          </w:p>
        </w:tc>
        <w:tc>
          <w:tcPr>
            <w:tcW w:w="476" w:type="pct"/>
            <w:tcBorders>
              <w:top w:val="nil"/>
              <w:left w:val="nil"/>
              <w:bottom w:val="single" w:sz="8" w:space="0" w:color="auto"/>
              <w:right w:val="nil"/>
            </w:tcBorders>
            <w:vAlign w:val="bottom"/>
          </w:tcPr>
          <w:p w14:paraId="41C0D88A" w14:textId="77777777" w:rsidR="00516DE5" w:rsidRPr="005943B3" w:rsidRDefault="00516DE5" w:rsidP="0034622E">
            <w:pPr>
              <w:jc w:val="right"/>
              <w:rPr>
                <w:rFonts w:ascii="Arial" w:eastAsia="Calibri" w:hAnsi="Arial" w:cs="Arial"/>
                <w:b/>
                <w:color w:val="000000" w:themeColor="text1"/>
                <w:sz w:val="15"/>
                <w:szCs w:val="15"/>
              </w:rPr>
            </w:pPr>
            <w:r w:rsidRPr="00F959D0">
              <w:rPr>
                <w:rFonts w:ascii="Arial" w:eastAsia="Calibri" w:hAnsi="Arial" w:cs="Arial"/>
                <w:b/>
                <w:color w:val="000000" w:themeColor="text1"/>
                <w:sz w:val="15"/>
                <w:szCs w:val="15"/>
              </w:rPr>
              <w:t xml:space="preserve"> 444.561 </w:t>
            </w:r>
          </w:p>
        </w:tc>
        <w:tc>
          <w:tcPr>
            <w:tcW w:w="475" w:type="pct"/>
            <w:tcBorders>
              <w:top w:val="nil"/>
              <w:left w:val="nil"/>
              <w:bottom w:val="single" w:sz="8" w:space="0" w:color="auto"/>
              <w:right w:val="nil"/>
            </w:tcBorders>
            <w:vAlign w:val="bottom"/>
          </w:tcPr>
          <w:p w14:paraId="1E3FFAF4" w14:textId="77777777" w:rsidR="00516DE5" w:rsidRPr="005943B3" w:rsidRDefault="00516DE5" w:rsidP="0034622E">
            <w:pPr>
              <w:jc w:val="right"/>
              <w:rPr>
                <w:rFonts w:ascii="Arial" w:eastAsia="Calibri" w:hAnsi="Arial" w:cs="Arial"/>
                <w:b/>
                <w:color w:val="000000" w:themeColor="text1"/>
                <w:sz w:val="15"/>
                <w:szCs w:val="15"/>
              </w:rPr>
            </w:pPr>
            <w:r w:rsidRPr="00F959D0">
              <w:rPr>
                <w:rFonts w:ascii="Arial" w:eastAsia="Calibri" w:hAnsi="Arial" w:cs="Arial"/>
                <w:b/>
                <w:color w:val="000000" w:themeColor="text1"/>
                <w:sz w:val="15"/>
                <w:szCs w:val="15"/>
              </w:rPr>
              <w:t xml:space="preserve"> 267.028 </w:t>
            </w:r>
          </w:p>
        </w:tc>
        <w:tc>
          <w:tcPr>
            <w:tcW w:w="475" w:type="pct"/>
            <w:tcBorders>
              <w:top w:val="nil"/>
              <w:left w:val="nil"/>
              <w:bottom w:val="single" w:sz="8" w:space="0" w:color="auto"/>
              <w:right w:val="nil"/>
            </w:tcBorders>
            <w:vAlign w:val="bottom"/>
          </w:tcPr>
          <w:p w14:paraId="178B2DCC" w14:textId="77777777" w:rsidR="00516DE5" w:rsidRPr="005943B3" w:rsidRDefault="00516DE5" w:rsidP="0034622E">
            <w:pPr>
              <w:jc w:val="right"/>
              <w:rPr>
                <w:rFonts w:ascii="Arial" w:eastAsia="Calibri" w:hAnsi="Arial" w:cs="Arial"/>
                <w:b/>
                <w:color w:val="000000" w:themeColor="text1"/>
                <w:sz w:val="15"/>
                <w:szCs w:val="15"/>
              </w:rPr>
            </w:pPr>
            <w:r w:rsidRPr="00F959D0">
              <w:rPr>
                <w:rFonts w:ascii="Arial" w:eastAsia="Calibri" w:hAnsi="Arial" w:cs="Arial"/>
                <w:b/>
                <w:color w:val="000000" w:themeColor="text1"/>
                <w:sz w:val="15"/>
                <w:szCs w:val="15"/>
              </w:rPr>
              <w:t xml:space="preserve"> 464.715 </w:t>
            </w:r>
          </w:p>
        </w:tc>
        <w:tc>
          <w:tcPr>
            <w:tcW w:w="474" w:type="pct"/>
            <w:tcBorders>
              <w:top w:val="nil"/>
              <w:left w:val="nil"/>
              <w:bottom w:val="single" w:sz="8" w:space="0" w:color="auto"/>
              <w:right w:val="nil"/>
            </w:tcBorders>
            <w:vAlign w:val="bottom"/>
          </w:tcPr>
          <w:p w14:paraId="5168A5B4" w14:textId="77777777" w:rsidR="00516DE5" w:rsidRPr="005943B3" w:rsidRDefault="00516DE5" w:rsidP="0034622E">
            <w:pPr>
              <w:jc w:val="right"/>
              <w:rPr>
                <w:rFonts w:ascii="Arial" w:eastAsia="Calibri" w:hAnsi="Arial" w:cs="Arial"/>
                <w:b/>
                <w:color w:val="000000" w:themeColor="text1"/>
                <w:sz w:val="15"/>
                <w:szCs w:val="15"/>
              </w:rPr>
            </w:pPr>
            <w:r w:rsidRPr="00F959D0">
              <w:rPr>
                <w:rFonts w:ascii="Arial" w:eastAsia="Calibri" w:hAnsi="Arial" w:cs="Arial"/>
                <w:b/>
                <w:color w:val="000000" w:themeColor="text1"/>
                <w:sz w:val="15"/>
                <w:szCs w:val="15"/>
              </w:rPr>
              <w:t xml:space="preserve"> 1.020.079 </w:t>
            </w:r>
          </w:p>
        </w:tc>
        <w:tc>
          <w:tcPr>
            <w:tcW w:w="489" w:type="pct"/>
            <w:tcBorders>
              <w:top w:val="nil"/>
              <w:left w:val="nil"/>
              <w:bottom w:val="single" w:sz="8" w:space="0" w:color="auto"/>
              <w:right w:val="nil"/>
            </w:tcBorders>
            <w:vAlign w:val="bottom"/>
          </w:tcPr>
          <w:p w14:paraId="36A9C5E1" w14:textId="77777777" w:rsidR="00516DE5" w:rsidRPr="005943B3" w:rsidRDefault="00516DE5" w:rsidP="0034622E">
            <w:pPr>
              <w:jc w:val="right"/>
              <w:rPr>
                <w:rFonts w:ascii="Arial" w:eastAsia="Calibri" w:hAnsi="Arial" w:cs="Arial"/>
                <w:b/>
                <w:color w:val="000000" w:themeColor="text1"/>
                <w:sz w:val="15"/>
                <w:szCs w:val="15"/>
              </w:rPr>
            </w:pPr>
            <w:r w:rsidRPr="00F959D0">
              <w:rPr>
                <w:rFonts w:ascii="Arial" w:eastAsia="Calibri" w:hAnsi="Arial" w:cs="Arial"/>
                <w:b/>
                <w:color w:val="000000" w:themeColor="text1"/>
                <w:sz w:val="15"/>
                <w:szCs w:val="15"/>
              </w:rPr>
              <w:t xml:space="preserve"> 1.740.218 </w:t>
            </w:r>
          </w:p>
        </w:tc>
        <w:tc>
          <w:tcPr>
            <w:tcW w:w="474" w:type="pct"/>
            <w:tcBorders>
              <w:top w:val="nil"/>
              <w:left w:val="nil"/>
              <w:bottom w:val="single" w:sz="8" w:space="0" w:color="auto"/>
              <w:right w:val="nil"/>
            </w:tcBorders>
            <w:vAlign w:val="bottom"/>
          </w:tcPr>
          <w:p w14:paraId="2A191A43" w14:textId="77777777" w:rsidR="00516DE5" w:rsidRPr="005943B3" w:rsidRDefault="00516DE5" w:rsidP="0034622E">
            <w:pPr>
              <w:jc w:val="right"/>
              <w:rPr>
                <w:rFonts w:ascii="Arial" w:eastAsia="Calibri" w:hAnsi="Arial" w:cs="Arial"/>
                <w:b/>
                <w:color w:val="000000" w:themeColor="text1"/>
                <w:sz w:val="15"/>
                <w:szCs w:val="15"/>
              </w:rPr>
            </w:pPr>
            <w:r w:rsidRPr="00F959D0">
              <w:rPr>
                <w:rFonts w:ascii="Arial" w:eastAsia="Calibri" w:hAnsi="Arial" w:cs="Arial"/>
                <w:b/>
                <w:color w:val="000000" w:themeColor="text1"/>
                <w:sz w:val="15"/>
                <w:szCs w:val="15"/>
              </w:rPr>
              <w:t xml:space="preserve"> 67.620 </w:t>
            </w:r>
          </w:p>
        </w:tc>
        <w:tc>
          <w:tcPr>
            <w:tcW w:w="490" w:type="pct"/>
            <w:tcBorders>
              <w:top w:val="nil"/>
              <w:left w:val="nil"/>
              <w:bottom w:val="single" w:sz="8" w:space="0" w:color="auto"/>
              <w:right w:val="nil"/>
            </w:tcBorders>
            <w:vAlign w:val="bottom"/>
          </w:tcPr>
          <w:p w14:paraId="201147CB" w14:textId="77777777" w:rsidR="00516DE5" w:rsidRPr="005943B3" w:rsidRDefault="00516DE5" w:rsidP="0034622E">
            <w:pPr>
              <w:jc w:val="right"/>
              <w:rPr>
                <w:rFonts w:ascii="Arial" w:eastAsia="Calibri" w:hAnsi="Arial" w:cs="Arial"/>
                <w:b/>
                <w:color w:val="000000" w:themeColor="text1"/>
                <w:sz w:val="15"/>
                <w:szCs w:val="15"/>
              </w:rPr>
            </w:pPr>
            <w:r w:rsidRPr="00F959D0">
              <w:rPr>
                <w:rFonts w:ascii="Arial" w:eastAsia="Calibri" w:hAnsi="Arial" w:cs="Arial"/>
                <w:b/>
                <w:color w:val="000000" w:themeColor="text1"/>
                <w:sz w:val="15"/>
                <w:szCs w:val="15"/>
              </w:rPr>
              <w:t xml:space="preserve"> 4.004.221 </w:t>
            </w:r>
          </w:p>
        </w:tc>
        <w:tc>
          <w:tcPr>
            <w:tcW w:w="488" w:type="pct"/>
            <w:tcBorders>
              <w:top w:val="nil"/>
              <w:left w:val="nil"/>
              <w:bottom w:val="single" w:sz="8" w:space="0" w:color="auto"/>
              <w:right w:val="nil"/>
            </w:tcBorders>
            <w:vAlign w:val="bottom"/>
          </w:tcPr>
          <w:p w14:paraId="51FC0D36" w14:textId="77777777" w:rsidR="00516DE5" w:rsidRPr="005943B3" w:rsidRDefault="00516DE5" w:rsidP="0034622E">
            <w:pPr>
              <w:jc w:val="right"/>
              <w:rPr>
                <w:rFonts w:ascii="Arial" w:eastAsia="Calibri" w:hAnsi="Arial" w:cs="Arial"/>
                <w:b/>
                <w:color w:val="000000" w:themeColor="text1"/>
                <w:sz w:val="15"/>
                <w:szCs w:val="15"/>
              </w:rPr>
            </w:pPr>
            <w:r w:rsidRPr="00F959D0">
              <w:rPr>
                <w:rFonts w:ascii="Arial" w:eastAsia="Calibri" w:hAnsi="Arial" w:cs="Arial"/>
                <w:b/>
                <w:color w:val="000000" w:themeColor="text1"/>
                <w:sz w:val="15"/>
                <w:szCs w:val="15"/>
              </w:rPr>
              <w:t xml:space="preserve"> 3.797.783 </w:t>
            </w:r>
          </w:p>
        </w:tc>
      </w:tr>
      <w:tr w:rsidR="00516DE5" w:rsidRPr="00D47D1C" w14:paraId="31221E50" w14:textId="77777777" w:rsidTr="0034622E">
        <w:trPr>
          <w:trHeight w:hRule="exact" w:val="187"/>
        </w:trPr>
        <w:tc>
          <w:tcPr>
            <w:tcW w:w="1159" w:type="pct"/>
            <w:vAlign w:val="bottom"/>
          </w:tcPr>
          <w:p w14:paraId="3885B391" w14:textId="77777777" w:rsidR="00516DE5" w:rsidRPr="00D47D1C" w:rsidRDefault="00516DE5" w:rsidP="0034622E">
            <w:pPr>
              <w:tabs>
                <w:tab w:val="right" w:pos="1202"/>
              </w:tabs>
              <w:spacing w:line="240" w:lineRule="exact"/>
              <w:outlineLvl w:val="0"/>
              <w:rPr>
                <w:rFonts w:ascii="Arial" w:eastAsia="Calibri" w:hAnsi="Arial" w:cs="Arial"/>
                <w:b/>
                <w:bCs/>
                <w:color w:val="000000" w:themeColor="text1"/>
                <w:sz w:val="15"/>
                <w:szCs w:val="15"/>
              </w:rPr>
            </w:pPr>
          </w:p>
        </w:tc>
        <w:tc>
          <w:tcPr>
            <w:tcW w:w="476" w:type="pct"/>
            <w:tcBorders>
              <w:top w:val="single" w:sz="12" w:space="0" w:color="auto"/>
              <w:left w:val="nil"/>
              <w:right w:val="nil"/>
            </w:tcBorders>
            <w:vAlign w:val="bottom"/>
          </w:tcPr>
          <w:p w14:paraId="7C46A567" w14:textId="77777777" w:rsidR="00516DE5" w:rsidRPr="00D47D1C" w:rsidRDefault="00516DE5" w:rsidP="0034622E">
            <w:pPr>
              <w:jc w:val="right"/>
              <w:rPr>
                <w:rFonts w:ascii="Arial" w:eastAsia="Calibri" w:hAnsi="Arial" w:cs="Arial"/>
                <w:b/>
                <w:color w:val="000000" w:themeColor="text1"/>
                <w:sz w:val="15"/>
                <w:szCs w:val="15"/>
              </w:rPr>
            </w:pPr>
          </w:p>
        </w:tc>
        <w:tc>
          <w:tcPr>
            <w:tcW w:w="475" w:type="pct"/>
            <w:tcBorders>
              <w:top w:val="single" w:sz="12" w:space="0" w:color="auto"/>
              <w:left w:val="nil"/>
              <w:right w:val="nil"/>
            </w:tcBorders>
            <w:vAlign w:val="bottom"/>
          </w:tcPr>
          <w:p w14:paraId="3D44578E" w14:textId="77777777" w:rsidR="00516DE5" w:rsidRPr="00D47D1C" w:rsidRDefault="00516DE5" w:rsidP="0034622E">
            <w:pPr>
              <w:jc w:val="right"/>
              <w:rPr>
                <w:rFonts w:ascii="Arial" w:eastAsia="Calibri" w:hAnsi="Arial" w:cs="Arial"/>
                <w:b/>
                <w:color w:val="000000" w:themeColor="text1"/>
                <w:sz w:val="15"/>
                <w:szCs w:val="15"/>
              </w:rPr>
            </w:pPr>
          </w:p>
        </w:tc>
        <w:tc>
          <w:tcPr>
            <w:tcW w:w="475" w:type="pct"/>
            <w:tcBorders>
              <w:top w:val="single" w:sz="12" w:space="0" w:color="auto"/>
              <w:left w:val="nil"/>
              <w:right w:val="nil"/>
            </w:tcBorders>
            <w:vAlign w:val="bottom"/>
          </w:tcPr>
          <w:p w14:paraId="01DFB53C" w14:textId="77777777" w:rsidR="00516DE5" w:rsidRPr="00D47D1C" w:rsidRDefault="00516DE5" w:rsidP="0034622E">
            <w:pPr>
              <w:jc w:val="right"/>
              <w:rPr>
                <w:rFonts w:ascii="Arial" w:eastAsia="Calibri" w:hAnsi="Arial" w:cs="Arial"/>
                <w:b/>
                <w:color w:val="000000" w:themeColor="text1"/>
                <w:sz w:val="15"/>
                <w:szCs w:val="15"/>
              </w:rPr>
            </w:pPr>
          </w:p>
        </w:tc>
        <w:tc>
          <w:tcPr>
            <w:tcW w:w="474" w:type="pct"/>
            <w:tcBorders>
              <w:top w:val="single" w:sz="12" w:space="0" w:color="auto"/>
              <w:left w:val="nil"/>
              <w:right w:val="nil"/>
            </w:tcBorders>
            <w:vAlign w:val="bottom"/>
          </w:tcPr>
          <w:p w14:paraId="7E387FAE" w14:textId="77777777" w:rsidR="00516DE5" w:rsidRPr="00D47D1C" w:rsidRDefault="00516DE5" w:rsidP="0034622E">
            <w:pPr>
              <w:jc w:val="right"/>
              <w:rPr>
                <w:rFonts w:ascii="Arial" w:eastAsia="Calibri" w:hAnsi="Arial" w:cs="Arial"/>
                <w:b/>
                <w:color w:val="000000" w:themeColor="text1"/>
                <w:sz w:val="15"/>
                <w:szCs w:val="15"/>
              </w:rPr>
            </w:pPr>
          </w:p>
        </w:tc>
        <w:tc>
          <w:tcPr>
            <w:tcW w:w="489" w:type="pct"/>
            <w:tcBorders>
              <w:top w:val="single" w:sz="12" w:space="0" w:color="auto"/>
              <w:left w:val="nil"/>
              <w:right w:val="nil"/>
            </w:tcBorders>
            <w:vAlign w:val="bottom"/>
          </w:tcPr>
          <w:p w14:paraId="588741F4" w14:textId="77777777" w:rsidR="00516DE5" w:rsidRPr="00D47D1C" w:rsidRDefault="00516DE5" w:rsidP="0034622E">
            <w:pPr>
              <w:jc w:val="right"/>
              <w:rPr>
                <w:rFonts w:ascii="Arial" w:eastAsia="Calibri" w:hAnsi="Arial" w:cs="Arial"/>
                <w:b/>
                <w:color w:val="000000" w:themeColor="text1"/>
                <w:sz w:val="15"/>
                <w:szCs w:val="15"/>
              </w:rPr>
            </w:pPr>
          </w:p>
        </w:tc>
        <w:tc>
          <w:tcPr>
            <w:tcW w:w="474" w:type="pct"/>
            <w:tcBorders>
              <w:top w:val="single" w:sz="12" w:space="0" w:color="auto"/>
              <w:left w:val="nil"/>
              <w:right w:val="nil"/>
            </w:tcBorders>
            <w:vAlign w:val="bottom"/>
          </w:tcPr>
          <w:p w14:paraId="57FA1544" w14:textId="77777777" w:rsidR="00516DE5" w:rsidRPr="00D47D1C" w:rsidRDefault="00516DE5" w:rsidP="0034622E">
            <w:pPr>
              <w:jc w:val="right"/>
              <w:rPr>
                <w:rFonts w:ascii="Arial" w:eastAsia="Calibri" w:hAnsi="Arial" w:cs="Arial"/>
                <w:b/>
                <w:color w:val="000000" w:themeColor="text1"/>
                <w:sz w:val="15"/>
                <w:szCs w:val="15"/>
              </w:rPr>
            </w:pPr>
          </w:p>
        </w:tc>
        <w:tc>
          <w:tcPr>
            <w:tcW w:w="490" w:type="pct"/>
            <w:tcBorders>
              <w:top w:val="single" w:sz="12" w:space="0" w:color="auto"/>
              <w:left w:val="nil"/>
              <w:right w:val="nil"/>
            </w:tcBorders>
            <w:vAlign w:val="bottom"/>
          </w:tcPr>
          <w:p w14:paraId="300EB390" w14:textId="77777777" w:rsidR="00516DE5" w:rsidRPr="00D47D1C" w:rsidRDefault="00516DE5" w:rsidP="0034622E">
            <w:pPr>
              <w:jc w:val="right"/>
              <w:rPr>
                <w:rFonts w:ascii="Arial" w:eastAsia="Calibri" w:hAnsi="Arial" w:cs="Arial"/>
                <w:b/>
                <w:color w:val="000000" w:themeColor="text1"/>
                <w:sz w:val="15"/>
                <w:szCs w:val="15"/>
              </w:rPr>
            </w:pPr>
          </w:p>
        </w:tc>
        <w:tc>
          <w:tcPr>
            <w:tcW w:w="488" w:type="pct"/>
            <w:tcBorders>
              <w:top w:val="single" w:sz="12" w:space="0" w:color="auto"/>
              <w:left w:val="nil"/>
              <w:right w:val="nil"/>
            </w:tcBorders>
            <w:vAlign w:val="bottom"/>
          </w:tcPr>
          <w:p w14:paraId="3F0B5755" w14:textId="77777777" w:rsidR="00516DE5" w:rsidRPr="00D47D1C" w:rsidRDefault="00516DE5" w:rsidP="0034622E">
            <w:pPr>
              <w:jc w:val="right"/>
              <w:rPr>
                <w:rFonts w:ascii="Arial" w:eastAsia="Calibri" w:hAnsi="Arial" w:cs="Arial"/>
                <w:b/>
                <w:color w:val="000000" w:themeColor="text1"/>
                <w:sz w:val="15"/>
                <w:szCs w:val="15"/>
              </w:rPr>
            </w:pPr>
          </w:p>
        </w:tc>
      </w:tr>
      <w:tr w:rsidR="00516DE5" w:rsidRPr="00D47D1C" w14:paraId="5D284AB7" w14:textId="77777777" w:rsidTr="0034622E">
        <w:trPr>
          <w:trHeight w:hRule="exact" w:val="235"/>
        </w:trPr>
        <w:tc>
          <w:tcPr>
            <w:tcW w:w="1159" w:type="pct"/>
          </w:tcPr>
          <w:p w14:paraId="04F1B304" w14:textId="77777777" w:rsidR="00516DE5" w:rsidRPr="00D47D1C" w:rsidRDefault="00516DE5" w:rsidP="0034622E">
            <w:pPr>
              <w:tabs>
                <w:tab w:val="right" w:pos="1202"/>
              </w:tabs>
              <w:spacing w:line="240" w:lineRule="exact"/>
              <w:outlineLvl w:val="0"/>
              <w:rPr>
                <w:rFonts w:ascii="Arial" w:eastAsia="Calibri" w:hAnsi="Arial" w:cs="Arial"/>
                <w:b/>
                <w:bCs/>
                <w:color w:val="000000" w:themeColor="text1"/>
                <w:sz w:val="15"/>
                <w:szCs w:val="15"/>
              </w:rPr>
            </w:pPr>
            <w:r w:rsidRPr="00D47D1C">
              <w:rPr>
                <w:rFonts w:ascii="Arial" w:eastAsia="Calibri" w:hAnsi="Arial" w:cs="Arial"/>
                <w:b/>
                <w:bCs/>
                <w:color w:val="000000" w:themeColor="text1"/>
                <w:sz w:val="15"/>
                <w:szCs w:val="15"/>
              </w:rPr>
              <w:t>Obveze</w:t>
            </w:r>
          </w:p>
        </w:tc>
        <w:tc>
          <w:tcPr>
            <w:tcW w:w="476" w:type="pct"/>
            <w:tcBorders>
              <w:left w:val="nil"/>
              <w:right w:val="nil"/>
            </w:tcBorders>
            <w:vAlign w:val="bottom"/>
          </w:tcPr>
          <w:p w14:paraId="476D4CA9" w14:textId="77777777" w:rsidR="00516DE5" w:rsidRPr="00D47D1C" w:rsidRDefault="00516DE5" w:rsidP="0034622E">
            <w:pPr>
              <w:jc w:val="right"/>
              <w:rPr>
                <w:rFonts w:ascii="Arial" w:eastAsia="Calibri" w:hAnsi="Arial" w:cs="Arial"/>
                <w:b/>
                <w:color w:val="000000" w:themeColor="text1"/>
                <w:sz w:val="15"/>
                <w:szCs w:val="15"/>
              </w:rPr>
            </w:pPr>
          </w:p>
        </w:tc>
        <w:tc>
          <w:tcPr>
            <w:tcW w:w="475" w:type="pct"/>
            <w:tcBorders>
              <w:left w:val="nil"/>
              <w:right w:val="nil"/>
            </w:tcBorders>
            <w:vAlign w:val="bottom"/>
          </w:tcPr>
          <w:p w14:paraId="4722CFAD" w14:textId="77777777" w:rsidR="00516DE5" w:rsidRPr="00D47D1C" w:rsidRDefault="00516DE5" w:rsidP="0034622E">
            <w:pPr>
              <w:jc w:val="right"/>
              <w:rPr>
                <w:rFonts w:ascii="Arial" w:eastAsia="Calibri" w:hAnsi="Arial" w:cs="Arial"/>
                <w:b/>
                <w:color w:val="000000" w:themeColor="text1"/>
                <w:sz w:val="15"/>
                <w:szCs w:val="15"/>
              </w:rPr>
            </w:pPr>
          </w:p>
        </w:tc>
        <w:tc>
          <w:tcPr>
            <w:tcW w:w="475" w:type="pct"/>
            <w:tcBorders>
              <w:left w:val="nil"/>
              <w:right w:val="nil"/>
            </w:tcBorders>
            <w:vAlign w:val="bottom"/>
          </w:tcPr>
          <w:p w14:paraId="1D860959" w14:textId="77777777" w:rsidR="00516DE5" w:rsidRPr="00D47D1C" w:rsidRDefault="00516DE5" w:rsidP="0034622E">
            <w:pPr>
              <w:jc w:val="right"/>
              <w:rPr>
                <w:rFonts w:ascii="Arial" w:eastAsia="Calibri" w:hAnsi="Arial" w:cs="Arial"/>
                <w:b/>
                <w:color w:val="000000" w:themeColor="text1"/>
                <w:sz w:val="15"/>
                <w:szCs w:val="15"/>
              </w:rPr>
            </w:pPr>
          </w:p>
        </w:tc>
        <w:tc>
          <w:tcPr>
            <w:tcW w:w="474" w:type="pct"/>
            <w:tcBorders>
              <w:left w:val="nil"/>
              <w:right w:val="nil"/>
            </w:tcBorders>
            <w:vAlign w:val="bottom"/>
          </w:tcPr>
          <w:p w14:paraId="3A216B95" w14:textId="77777777" w:rsidR="00516DE5" w:rsidRPr="00D47D1C" w:rsidRDefault="00516DE5" w:rsidP="0034622E">
            <w:pPr>
              <w:jc w:val="right"/>
              <w:rPr>
                <w:rFonts w:ascii="Arial" w:eastAsia="Calibri" w:hAnsi="Arial" w:cs="Arial"/>
                <w:b/>
                <w:color w:val="000000" w:themeColor="text1"/>
                <w:sz w:val="15"/>
                <w:szCs w:val="15"/>
              </w:rPr>
            </w:pPr>
          </w:p>
        </w:tc>
        <w:tc>
          <w:tcPr>
            <w:tcW w:w="489" w:type="pct"/>
            <w:tcBorders>
              <w:left w:val="nil"/>
              <w:right w:val="nil"/>
            </w:tcBorders>
            <w:vAlign w:val="bottom"/>
          </w:tcPr>
          <w:p w14:paraId="2F28FB36" w14:textId="77777777" w:rsidR="00516DE5" w:rsidRPr="00D47D1C" w:rsidRDefault="00516DE5" w:rsidP="0034622E">
            <w:pPr>
              <w:jc w:val="right"/>
              <w:rPr>
                <w:rFonts w:ascii="Arial" w:eastAsia="Calibri" w:hAnsi="Arial" w:cs="Arial"/>
                <w:b/>
                <w:color w:val="000000" w:themeColor="text1"/>
                <w:sz w:val="15"/>
                <w:szCs w:val="15"/>
              </w:rPr>
            </w:pPr>
          </w:p>
        </w:tc>
        <w:tc>
          <w:tcPr>
            <w:tcW w:w="474" w:type="pct"/>
            <w:tcBorders>
              <w:left w:val="nil"/>
              <w:right w:val="nil"/>
            </w:tcBorders>
            <w:vAlign w:val="bottom"/>
          </w:tcPr>
          <w:p w14:paraId="523A166A" w14:textId="77777777" w:rsidR="00516DE5" w:rsidRPr="00D47D1C" w:rsidRDefault="00516DE5" w:rsidP="0034622E">
            <w:pPr>
              <w:jc w:val="right"/>
              <w:rPr>
                <w:rFonts w:ascii="Arial" w:eastAsia="Calibri" w:hAnsi="Arial" w:cs="Arial"/>
                <w:b/>
                <w:color w:val="000000" w:themeColor="text1"/>
                <w:sz w:val="15"/>
                <w:szCs w:val="15"/>
              </w:rPr>
            </w:pPr>
          </w:p>
        </w:tc>
        <w:tc>
          <w:tcPr>
            <w:tcW w:w="490" w:type="pct"/>
            <w:tcBorders>
              <w:left w:val="nil"/>
              <w:right w:val="nil"/>
            </w:tcBorders>
            <w:vAlign w:val="bottom"/>
          </w:tcPr>
          <w:p w14:paraId="197ACB82" w14:textId="77777777" w:rsidR="00516DE5" w:rsidRPr="00D47D1C" w:rsidRDefault="00516DE5" w:rsidP="0034622E">
            <w:pPr>
              <w:jc w:val="right"/>
              <w:rPr>
                <w:rFonts w:ascii="Arial" w:eastAsia="Calibri" w:hAnsi="Arial" w:cs="Arial"/>
                <w:b/>
                <w:color w:val="000000" w:themeColor="text1"/>
                <w:sz w:val="15"/>
                <w:szCs w:val="15"/>
              </w:rPr>
            </w:pPr>
          </w:p>
        </w:tc>
        <w:tc>
          <w:tcPr>
            <w:tcW w:w="488" w:type="pct"/>
            <w:tcBorders>
              <w:left w:val="nil"/>
              <w:right w:val="nil"/>
            </w:tcBorders>
            <w:vAlign w:val="bottom"/>
          </w:tcPr>
          <w:p w14:paraId="16DDFC64" w14:textId="77777777" w:rsidR="00516DE5" w:rsidRPr="00D47D1C" w:rsidRDefault="00516DE5" w:rsidP="0034622E">
            <w:pPr>
              <w:jc w:val="right"/>
              <w:rPr>
                <w:rFonts w:ascii="Arial" w:eastAsia="Calibri" w:hAnsi="Arial" w:cs="Arial"/>
                <w:b/>
                <w:color w:val="000000" w:themeColor="text1"/>
                <w:sz w:val="15"/>
                <w:szCs w:val="15"/>
              </w:rPr>
            </w:pPr>
          </w:p>
        </w:tc>
      </w:tr>
      <w:tr w:rsidR="00516DE5" w:rsidRPr="00D47D1C" w14:paraId="00228C8E" w14:textId="77777777" w:rsidTr="0034622E">
        <w:trPr>
          <w:trHeight w:hRule="exact" w:val="262"/>
        </w:trPr>
        <w:tc>
          <w:tcPr>
            <w:tcW w:w="1159" w:type="pct"/>
            <w:vAlign w:val="bottom"/>
          </w:tcPr>
          <w:p w14:paraId="6DC725C5" w14:textId="77777777" w:rsidR="00516DE5" w:rsidRPr="00D47D1C" w:rsidRDefault="00516DE5" w:rsidP="0034622E">
            <w:pPr>
              <w:tabs>
                <w:tab w:val="right" w:pos="1202"/>
              </w:tabs>
              <w:spacing w:line="240" w:lineRule="exact"/>
              <w:outlineLvl w:val="0"/>
              <w:rPr>
                <w:rFonts w:ascii="Arial" w:eastAsia="Calibri" w:hAnsi="Arial" w:cs="Arial"/>
                <w:b/>
                <w:bCs/>
                <w:color w:val="000000" w:themeColor="text1"/>
                <w:sz w:val="15"/>
                <w:szCs w:val="15"/>
              </w:rPr>
            </w:pPr>
            <w:r w:rsidRPr="00D47D1C">
              <w:rPr>
                <w:rFonts w:ascii="Arial" w:eastAsia="Calibri" w:hAnsi="Arial" w:cs="Arial"/>
                <w:color w:val="000000" w:themeColor="text1"/>
                <w:spacing w:val="-2"/>
                <w:sz w:val="15"/>
                <w:szCs w:val="15"/>
              </w:rPr>
              <w:t>Obveze po depozitima</w:t>
            </w:r>
          </w:p>
        </w:tc>
        <w:tc>
          <w:tcPr>
            <w:tcW w:w="476" w:type="pct"/>
            <w:tcBorders>
              <w:top w:val="nil"/>
              <w:left w:val="nil"/>
              <w:bottom w:val="nil"/>
              <w:right w:val="nil"/>
            </w:tcBorders>
            <w:vAlign w:val="bottom"/>
          </w:tcPr>
          <w:p w14:paraId="0C00E7DD" w14:textId="77777777" w:rsidR="00516DE5" w:rsidRPr="00D47D1C" w:rsidRDefault="00516DE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77.717 </w:t>
            </w:r>
          </w:p>
        </w:tc>
        <w:tc>
          <w:tcPr>
            <w:tcW w:w="475" w:type="pct"/>
            <w:tcBorders>
              <w:top w:val="nil"/>
              <w:left w:val="nil"/>
              <w:bottom w:val="nil"/>
              <w:right w:val="nil"/>
            </w:tcBorders>
            <w:vAlign w:val="bottom"/>
          </w:tcPr>
          <w:p w14:paraId="19CBAEFA" w14:textId="77777777" w:rsidR="00516DE5" w:rsidRPr="00D47D1C" w:rsidRDefault="00516DE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 </w:t>
            </w:r>
          </w:p>
        </w:tc>
        <w:tc>
          <w:tcPr>
            <w:tcW w:w="475" w:type="pct"/>
            <w:tcBorders>
              <w:top w:val="nil"/>
              <w:left w:val="nil"/>
              <w:bottom w:val="nil"/>
              <w:right w:val="nil"/>
            </w:tcBorders>
            <w:vAlign w:val="bottom"/>
          </w:tcPr>
          <w:p w14:paraId="36046E4F" w14:textId="77777777" w:rsidR="00516DE5" w:rsidRPr="00D47D1C" w:rsidRDefault="00516DE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 </w:t>
            </w:r>
          </w:p>
        </w:tc>
        <w:tc>
          <w:tcPr>
            <w:tcW w:w="474" w:type="pct"/>
            <w:tcBorders>
              <w:top w:val="nil"/>
              <w:left w:val="nil"/>
              <w:bottom w:val="nil"/>
              <w:right w:val="nil"/>
            </w:tcBorders>
            <w:vAlign w:val="bottom"/>
          </w:tcPr>
          <w:p w14:paraId="63089D18" w14:textId="77777777" w:rsidR="00516DE5" w:rsidRPr="00D47D1C" w:rsidRDefault="00516DE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 </w:t>
            </w:r>
          </w:p>
        </w:tc>
        <w:tc>
          <w:tcPr>
            <w:tcW w:w="489" w:type="pct"/>
            <w:tcBorders>
              <w:top w:val="nil"/>
              <w:left w:val="nil"/>
              <w:bottom w:val="nil"/>
              <w:right w:val="nil"/>
            </w:tcBorders>
            <w:vAlign w:val="bottom"/>
          </w:tcPr>
          <w:p w14:paraId="5C7F9E19" w14:textId="77777777" w:rsidR="00516DE5" w:rsidRPr="00D47D1C" w:rsidRDefault="00516DE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 </w:t>
            </w:r>
          </w:p>
        </w:tc>
        <w:tc>
          <w:tcPr>
            <w:tcW w:w="474" w:type="pct"/>
            <w:tcBorders>
              <w:top w:val="nil"/>
              <w:left w:val="nil"/>
              <w:bottom w:val="nil"/>
              <w:right w:val="nil"/>
            </w:tcBorders>
            <w:vAlign w:val="bottom"/>
          </w:tcPr>
          <w:p w14:paraId="26E11301" w14:textId="77777777" w:rsidR="00516DE5" w:rsidRPr="00D47D1C" w:rsidRDefault="00516DE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117.159 </w:t>
            </w:r>
          </w:p>
        </w:tc>
        <w:tc>
          <w:tcPr>
            <w:tcW w:w="490" w:type="pct"/>
            <w:tcBorders>
              <w:top w:val="nil"/>
              <w:left w:val="nil"/>
              <w:bottom w:val="nil"/>
              <w:right w:val="nil"/>
            </w:tcBorders>
            <w:vAlign w:val="bottom"/>
          </w:tcPr>
          <w:p w14:paraId="23A2D2C0" w14:textId="77777777" w:rsidR="00516DE5" w:rsidRPr="00D47D1C" w:rsidRDefault="00516DE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194.876 </w:t>
            </w:r>
          </w:p>
        </w:tc>
        <w:tc>
          <w:tcPr>
            <w:tcW w:w="488" w:type="pct"/>
            <w:tcBorders>
              <w:top w:val="nil"/>
              <w:left w:val="nil"/>
              <w:bottom w:val="nil"/>
              <w:right w:val="nil"/>
            </w:tcBorders>
            <w:vAlign w:val="bottom"/>
          </w:tcPr>
          <w:p w14:paraId="387BCADF" w14:textId="77777777" w:rsidR="00516DE5" w:rsidRPr="00D47D1C" w:rsidRDefault="00516DE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77.717 </w:t>
            </w:r>
          </w:p>
        </w:tc>
      </w:tr>
      <w:tr w:rsidR="00516DE5" w:rsidRPr="00D47D1C" w14:paraId="314E9A18" w14:textId="77777777" w:rsidTr="0034622E">
        <w:trPr>
          <w:trHeight w:hRule="exact" w:val="254"/>
        </w:trPr>
        <w:tc>
          <w:tcPr>
            <w:tcW w:w="1159" w:type="pct"/>
            <w:vAlign w:val="bottom"/>
          </w:tcPr>
          <w:p w14:paraId="4876D843" w14:textId="77777777" w:rsidR="00516DE5" w:rsidRPr="00D47D1C" w:rsidRDefault="00516DE5" w:rsidP="0034622E">
            <w:pPr>
              <w:tabs>
                <w:tab w:val="right" w:pos="1202"/>
              </w:tabs>
              <w:spacing w:line="240" w:lineRule="exact"/>
              <w:outlineLvl w:val="0"/>
              <w:rPr>
                <w:rFonts w:ascii="Arial" w:eastAsia="Calibri" w:hAnsi="Arial" w:cs="Arial"/>
                <w:b/>
                <w:bCs/>
                <w:color w:val="000000" w:themeColor="text1"/>
                <w:sz w:val="15"/>
                <w:szCs w:val="15"/>
              </w:rPr>
            </w:pPr>
            <w:r w:rsidRPr="00D47D1C">
              <w:rPr>
                <w:rFonts w:ascii="Arial" w:eastAsia="Calibri" w:hAnsi="Arial" w:cs="Arial"/>
                <w:color w:val="000000" w:themeColor="text1"/>
                <w:spacing w:val="-2"/>
                <w:sz w:val="15"/>
                <w:szCs w:val="15"/>
              </w:rPr>
              <w:t>Obveze po kreditima</w:t>
            </w:r>
          </w:p>
        </w:tc>
        <w:tc>
          <w:tcPr>
            <w:tcW w:w="476" w:type="pct"/>
            <w:tcBorders>
              <w:top w:val="nil"/>
              <w:left w:val="nil"/>
              <w:bottom w:val="nil"/>
              <w:right w:val="nil"/>
            </w:tcBorders>
            <w:vAlign w:val="bottom"/>
          </w:tcPr>
          <w:p w14:paraId="1253506B" w14:textId="77777777" w:rsidR="00516DE5" w:rsidRPr="00D47D1C" w:rsidRDefault="00516DE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59.925 </w:t>
            </w:r>
          </w:p>
        </w:tc>
        <w:tc>
          <w:tcPr>
            <w:tcW w:w="475" w:type="pct"/>
            <w:tcBorders>
              <w:top w:val="nil"/>
              <w:left w:val="nil"/>
              <w:bottom w:val="nil"/>
              <w:right w:val="nil"/>
            </w:tcBorders>
            <w:vAlign w:val="bottom"/>
          </w:tcPr>
          <w:p w14:paraId="2140E513" w14:textId="77777777" w:rsidR="00516DE5" w:rsidRPr="00D47D1C" w:rsidRDefault="00516DE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162.220 </w:t>
            </w:r>
          </w:p>
        </w:tc>
        <w:tc>
          <w:tcPr>
            <w:tcW w:w="475" w:type="pct"/>
            <w:tcBorders>
              <w:top w:val="nil"/>
              <w:left w:val="nil"/>
              <w:bottom w:val="nil"/>
              <w:right w:val="nil"/>
            </w:tcBorders>
            <w:vAlign w:val="bottom"/>
          </w:tcPr>
          <w:p w14:paraId="51A0D953" w14:textId="77777777" w:rsidR="00516DE5" w:rsidRPr="00D47D1C" w:rsidRDefault="00516DE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301.277 </w:t>
            </w:r>
          </w:p>
        </w:tc>
        <w:tc>
          <w:tcPr>
            <w:tcW w:w="474" w:type="pct"/>
            <w:tcBorders>
              <w:top w:val="nil"/>
              <w:left w:val="nil"/>
              <w:bottom w:val="nil"/>
              <w:right w:val="nil"/>
            </w:tcBorders>
            <w:vAlign w:val="bottom"/>
          </w:tcPr>
          <w:p w14:paraId="22BE33AC" w14:textId="77777777" w:rsidR="00516DE5" w:rsidRPr="00D47D1C" w:rsidRDefault="00516DE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637.050 </w:t>
            </w:r>
          </w:p>
        </w:tc>
        <w:tc>
          <w:tcPr>
            <w:tcW w:w="489" w:type="pct"/>
            <w:tcBorders>
              <w:top w:val="nil"/>
              <w:left w:val="nil"/>
              <w:bottom w:val="nil"/>
              <w:right w:val="nil"/>
            </w:tcBorders>
            <w:vAlign w:val="bottom"/>
          </w:tcPr>
          <w:p w14:paraId="75D12440" w14:textId="77777777" w:rsidR="00516DE5" w:rsidRPr="00D47D1C" w:rsidRDefault="00516DE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1.084.967 </w:t>
            </w:r>
          </w:p>
        </w:tc>
        <w:tc>
          <w:tcPr>
            <w:tcW w:w="474" w:type="pct"/>
            <w:tcBorders>
              <w:top w:val="nil"/>
              <w:left w:val="nil"/>
              <w:bottom w:val="nil"/>
              <w:right w:val="nil"/>
            </w:tcBorders>
            <w:vAlign w:val="bottom"/>
          </w:tcPr>
          <w:p w14:paraId="73689220" w14:textId="77777777" w:rsidR="00516DE5" w:rsidRPr="00D47D1C" w:rsidRDefault="00516DE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5.737 </w:t>
            </w:r>
          </w:p>
        </w:tc>
        <w:tc>
          <w:tcPr>
            <w:tcW w:w="490" w:type="pct"/>
            <w:tcBorders>
              <w:top w:val="nil"/>
              <w:left w:val="nil"/>
              <w:bottom w:val="nil"/>
              <w:right w:val="nil"/>
            </w:tcBorders>
            <w:vAlign w:val="bottom"/>
          </w:tcPr>
          <w:p w14:paraId="0DBABE9A" w14:textId="77777777" w:rsidR="00516DE5" w:rsidRPr="00D47D1C" w:rsidRDefault="00516DE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2.251.176 </w:t>
            </w:r>
          </w:p>
        </w:tc>
        <w:tc>
          <w:tcPr>
            <w:tcW w:w="488" w:type="pct"/>
            <w:tcBorders>
              <w:top w:val="nil"/>
              <w:left w:val="nil"/>
              <w:bottom w:val="nil"/>
              <w:right w:val="nil"/>
            </w:tcBorders>
            <w:vAlign w:val="bottom"/>
          </w:tcPr>
          <w:p w14:paraId="502EDFDA" w14:textId="77777777" w:rsidR="00516DE5" w:rsidRPr="00D47D1C" w:rsidRDefault="00516DE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2.198.507 </w:t>
            </w:r>
          </w:p>
        </w:tc>
      </w:tr>
      <w:tr w:rsidR="00516DE5" w:rsidRPr="00D47D1C" w14:paraId="0F4D883C" w14:textId="77777777" w:rsidTr="0034622E">
        <w:trPr>
          <w:trHeight w:hRule="exact" w:val="533"/>
        </w:trPr>
        <w:tc>
          <w:tcPr>
            <w:tcW w:w="1159" w:type="pct"/>
            <w:vAlign w:val="bottom"/>
          </w:tcPr>
          <w:p w14:paraId="2F7A53C6" w14:textId="77777777" w:rsidR="00516DE5" w:rsidRPr="00D47D1C" w:rsidRDefault="00516DE5" w:rsidP="0034622E">
            <w:pPr>
              <w:tabs>
                <w:tab w:val="right" w:pos="1202"/>
              </w:tabs>
              <w:spacing w:line="240" w:lineRule="exact"/>
              <w:outlineLvl w:val="0"/>
              <w:rPr>
                <w:rFonts w:ascii="Arial" w:eastAsia="Calibri" w:hAnsi="Arial" w:cs="Arial"/>
                <w:color w:val="000000" w:themeColor="text1"/>
                <w:spacing w:val="-2"/>
                <w:sz w:val="15"/>
                <w:szCs w:val="15"/>
              </w:rPr>
            </w:pPr>
            <w:r w:rsidRPr="00D47D1C">
              <w:rPr>
                <w:rFonts w:ascii="Arial" w:eastAsia="Calibri" w:hAnsi="Arial" w:cs="Arial"/>
                <w:color w:val="000000" w:themeColor="text1"/>
                <w:spacing w:val="-2"/>
                <w:sz w:val="15"/>
                <w:szCs w:val="15"/>
              </w:rPr>
              <w:t>Rezerviranja za garancije, preuzete i ostale obveze</w:t>
            </w:r>
          </w:p>
        </w:tc>
        <w:tc>
          <w:tcPr>
            <w:tcW w:w="476" w:type="pct"/>
            <w:tcBorders>
              <w:top w:val="nil"/>
              <w:left w:val="nil"/>
              <w:bottom w:val="nil"/>
              <w:right w:val="nil"/>
            </w:tcBorders>
            <w:vAlign w:val="bottom"/>
          </w:tcPr>
          <w:p w14:paraId="02ECB098" w14:textId="77777777" w:rsidR="00516DE5" w:rsidRPr="00D47D1C" w:rsidDel="00344206" w:rsidRDefault="00516DE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 </w:t>
            </w:r>
          </w:p>
        </w:tc>
        <w:tc>
          <w:tcPr>
            <w:tcW w:w="475" w:type="pct"/>
            <w:tcBorders>
              <w:top w:val="nil"/>
              <w:left w:val="nil"/>
              <w:bottom w:val="nil"/>
              <w:right w:val="nil"/>
            </w:tcBorders>
            <w:vAlign w:val="bottom"/>
          </w:tcPr>
          <w:p w14:paraId="4D3F6CA4" w14:textId="77777777" w:rsidR="00516DE5" w:rsidRPr="00D47D1C" w:rsidDel="00344206" w:rsidRDefault="00516DE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 </w:t>
            </w:r>
          </w:p>
        </w:tc>
        <w:tc>
          <w:tcPr>
            <w:tcW w:w="475" w:type="pct"/>
            <w:tcBorders>
              <w:top w:val="nil"/>
              <w:left w:val="nil"/>
              <w:bottom w:val="nil"/>
              <w:right w:val="nil"/>
            </w:tcBorders>
            <w:vAlign w:val="bottom"/>
          </w:tcPr>
          <w:p w14:paraId="1537BCFB" w14:textId="77777777" w:rsidR="00516DE5" w:rsidRPr="00D47D1C" w:rsidDel="00344206" w:rsidRDefault="00516DE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 </w:t>
            </w:r>
          </w:p>
        </w:tc>
        <w:tc>
          <w:tcPr>
            <w:tcW w:w="474" w:type="pct"/>
            <w:tcBorders>
              <w:top w:val="nil"/>
              <w:left w:val="nil"/>
              <w:bottom w:val="nil"/>
              <w:right w:val="nil"/>
            </w:tcBorders>
            <w:vAlign w:val="bottom"/>
          </w:tcPr>
          <w:p w14:paraId="165994CB" w14:textId="77777777" w:rsidR="00516DE5" w:rsidRPr="00D47D1C" w:rsidDel="00344206" w:rsidRDefault="00516DE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 </w:t>
            </w:r>
          </w:p>
        </w:tc>
        <w:tc>
          <w:tcPr>
            <w:tcW w:w="489" w:type="pct"/>
            <w:tcBorders>
              <w:top w:val="nil"/>
              <w:left w:val="nil"/>
              <w:bottom w:val="nil"/>
              <w:right w:val="nil"/>
            </w:tcBorders>
            <w:vAlign w:val="bottom"/>
          </w:tcPr>
          <w:p w14:paraId="05ADFEA6" w14:textId="77777777" w:rsidR="00516DE5" w:rsidRPr="00D47D1C" w:rsidDel="00344206" w:rsidRDefault="00516DE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 </w:t>
            </w:r>
          </w:p>
        </w:tc>
        <w:tc>
          <w:tcPr>
            <w:tcW w:w="474" w:type="pct"/>
            <w:tcBorders>
              <w:top w:val="nil"/>
              <w:left w:val="nil"/>
              <w:bottom w:val="nil"/>
              <w:right w:val="nil"/>
            </w:tcBorders>
            <w:vAlign w:val="bottom"/>
          </w:tcPr>
          <w:p w14:paraId="7F0EE40B" w14:textId="77777777" w:rsidR="00516DE5" w:rsidRPr="00D47D1C" w:rsidDel="00344206" w:rsidRDefault="00516DE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24.380 </w:t>
            </w:r>
          </w:p>
        </w:tc>
        <w:tc>
          <w:tcPr>
            <w:tcW w:w="490" w:type="pct"/>
            <w:tcBorders>
              <w:top w:val="nil"/>
              <w:left w:val="nil"/>
              <w:bottom w:val="nil"/>
              <w:right w:val="nil"/>
            </w:tcBorders>
            <w:vAlign w:val="bottom"/>
          </w:tcPr>
          <w:p w14:paraId="794F6D9B" w14:textId="77777777" w:rsidR="00516DE5" w:rsidRPr="00D47D1C" w:rsidDel="00344206" w:rsidRDefault="00516DE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24.380 </w:t>
            </w:r>
          </w:p>
        </w:tc>
        <w:tc>
          <w:tcPr>
            <w:tcW w:w="488" w:type="pct"/>
            <w:tcBorders>
              <w:top w:val="nil"/>
              <w:left w:val="nil"/>
              <w:bottom w:val="nil"/>
              <w:right w:val="nil"/>
            </w:tcBorders>
            <w:vAlign w:val="bottom"/>
          </w:tcPr>
          <w:p w14:paraId="772CDDFF" w14:textId="77777777" w:rsidR="00516DE5" w:rsidRPr="00D47D1C" w:rsidDel="00344206" w:rsidRDefault="00516DE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 </w:t>
            </w:r>
          </w:p>
        </w:tc>
      </w:tr>
      <w:tr w:rsidR="00516DE5" w:rsidRPr="00D47D1C" w14:paraId="1053BBF1" w14:textId="77777777" w:rsidTr="0034622E">
        <w:trPr>
          <w:trHeight w:hRule="exact" w:val="251"/>
        </w:trPr>
        <w:tc>
          <w:tcPr>
            <w:tcW w:w="1159" w:type="pct"/>
            <w:vAlign w:val="bottom"/>
          </w:tcPr>
          <w:p w14:paraId="2C701E5F" w14:textId="77777777" w:rsidR="00516DE5" w:rsidRPr="00D47D1C" w:rsidRDefault="00516DE5" w:rsidP="0034622E">
            <w:pPr>
              <w:tabs>
                <w:tab w:val="right" w:pos="1202"/>
              </w:tabs>
              <w:spacing w:line="240" w:lineRule="exact"/>
              <w:outlineLvl w:val="0"/>
              <w:rPr>
                <w:rFonts w:ascii="Arial" w:eastAsia="Calibri" w:hAnsi="Arial" w:cs="Arial"/>
                <w:b/>
                <w:bCs/>
                <w:color w:val="000000" w:themeColor="text1"/>
                <w:sz w:val="15"/>
                <w:szCs w:val="15"/>
              </w:rPr>
            </w:pPr>
            <w:r w:rsidRPr="00D47D1C">
              <w:rPr>
                <w:rFonts w:ascii="Arial" w:eastAsia="Calibri" w:hAnsi="Arial" w:cs="Arial"/>
                <w:color w:val="000000" w:themeColor="text1"/>
                <w:spacing w:val="-2"/>
                <w:sz w:val="15"/>
                <w:szCs w:val="15"/>
              </w:rPr>
              <w:t>Ostale obveze</w:t>
            </w:r>
          </w:p>
        </w:tc>
        <w:tc>
          <w:tcPr>
            <w:tcW w:w="476" w:type="pct"/>
            <w:tcBorders>
              <w:top w:val="nil"/>
              <w:left w:val="nil"/>
              <w:bottom w:val="nil"/>
              <w:right w:val="nil"/>
            </w:tcBorders>
            <w:vAlign w:val="bottom"/>
          </w:tcPr>
          <w:p w14:paraId="6449DB4E" w14:textId="77777777" w:rsidR="00516DE5" w:rsidRPr="00D47D1C" w:rsidRDefault="00516DE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 </w:t>
            </w:r>
          </w:p>
        </w:tc>
        <w:tc>
          <w:tcPr>
            <w:tcW w:w="475" w:type="pct"/>
            <w:tcBorders>
              <w:top w:val="nil"/>
              <w:left w:val="nil"/>
              <w:bottom w:val="nil"/>
              <w:right w:val="nil"/>
            </w:tcBorders>
            <w:vAlign w:val="bottom"/>
          </w:tcPr>
          <w:p w14:paraId="006F3367" w14:textId="77777777" w:rsidR="00516DE5" w:rsidRPr="00D47D1C" w:rsidRDefault="00516DE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 </w:t>
            </w:r>
          </w:p>
        </w:tc>
        <w:tc>
          <w:tcPr>
            <w:tcW w:w="475" w:type="pct"/>
            <w:tcBorders>
              <w:top w:val="nil"/>
              <w:left w:val="nil"/>
              <w:bottom w:val="nil"/>
              <w:right w:val="nil"/>
            </w:tcBorders>
            <w:vAlign w:val="bottom"/>
          </w:tcPr>
          <w:p w14:paraId="4513B7C1" w14:textId="77777777" w:rsidR="00516DE5" w:rsidRPr="00D47D1C" w:rsidRDefault="00516DE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 </w:t>
            </w:r>
          </w:p>
        </w:tc>
        <w:tc>
          <w:tcPr>
            <w:tcW w:w="474" w:type="pct"/>
            <w:tcBorders>
              <w:top w:val="nil"/>
              <w:left w:val="nil"/>
              <w:bottom w:val="nil"/>
              <w:right w:val="nil"/>
            </w:tcBorders>
            <w:vAlign w:val="bottom"/>
          </w:tcPr>
          <w:p w14:paraId="207D4FF1" w14:textId="77777777" w:rsidR="00516DE5" w:rsidRPr="00D47D1C" w:rsidRDefault="00516DE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 </w:t>
            </w:r>
          </w:p>
        </w:tc>
        <w:tc>
          <w:tcPr>
            <w:tcW w:w="489" w:type="pct"/>
            <w:tcBorders>
              <w:top w:val="nil"/>
              <w:left w:val="nil"/>
              <w:bottom w:val="nil"/>
              <w:right w:val="nil"/>
            </w:tcBorders>
            <w:vAlign w:val="bottom"/>
          </w:tcPr>
          <w:p w14:paraId="027093EA" w14:textId="77777777" w:rsidR="00516DE5" w:rsidRPr="00D47D1C" w:rsidRDefault="00516DE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 </w:t>
            </w:r>
          </w:p>
        </w:tc>
        <w:tc>
          <w:tcPr>
            <w:tcW w:w="474" w:type="pct"/>
            <w:tcBorders>
              <w:top w:val="nil"/>
              <w:left w:val="nil"/>
              <w:right w:val="nil"/>
            </w:tcBorders>
            <w:vAlign w:val="bottom"/>
          </w:tcPr>
          <w:p w14:paraId="33E736CC" w14:textId="77777777" w:rsidR="00516DE5" w:rsidRPr="00D47D1C" w:rsidRDefault="00516DE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90.729 </w:t>
            </w:r>
          </w:p>
        </w:tc>
        <w:tc>
          <w:tcPr>
            <w:tcW w:w="490" w:type="pct"/>
            <w:tcBorders>
              <w:top w:val="nil"/>
              <w:left w:val="nil"/>
              <w:right w:val="nil"/>
            </w:tcBorders>
            <w:vAlign w:val="bottom"/>
          </w:tcPr>
          <w:p w14:paraId="482E1231" w14:textId="77777777" w:rsidR="00516DE5" w:rsidRPr="00D47D1C" w:rsidRDefault="00516DE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90.729 </w:t>
            </w:r>
          </w:p>
        </w:tc>
        <w:tc>
          <w:tcPr>
            <w:tcW w:w="488" w:type="pct"/>
            <w:tcBorders>
              <w:top w:val="nil"/>
              <w:left w:val="nil"/>
              <w:right w:val="nil"/>
            </w:tcBorders>
            <w:vAlign w:val="bottom"/>
          </w:tcPr>
          <w:p w14:paraId="2A7CC9BA" w14:textId="77777777" w:rsidR="00516DE5" w:rsidRPr="00D47D1C" w:rsidRDefault="00516DE5" w:rsidP="0034622E">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 </w:t>
            </w:r>
          </w:p>
        </w:tc>
      </w:tr>
      <w:tr w:rsidR="00516DE5" w:rsidRPr="00D47D1C" w14:paraId="1C7395B4" w14:textId="77777777" w:rsidTr="0034622E">
        <w:trPr>
          <w:trHeight w:hRule="exact" w:val="281"/>
        </w:trPr>
        <w:tc>
          <w:tcPr>
            <w:tcW w:w="1159" w:type="pct"/>
            <w:vAlign w:val="center"/>
          </w:tcPr>
          <w:p w14:paraId="775DB815" w14:textId="77777777" w:rsidR="00516DE5" w:rsidRPr="00D47D1C" w:rsidRDefault="00516DE5" w:rsidP="0034622E">
            <w:pPr>
              <w:tabs>
                <w:tab w:val="right" w:pos="1202"/>
              </w:tabs>
              <w:spacing w:line="240" w:lineRule="exact"/>
              <w:outlineLvl w:val="0"/>
              <w:rPr>
                <w:rFonts w:ascii="Arial" w:eastAsia="Calibri" w:hAnsi="Arial" w:cs="Arial"/>
                <w:b/>
                <w:bCs/>
                <w:color w:val="000000" w:themeColor="text1"/>
                <w:sz w:val="15"/>
                <w:szCs w:val="15"/>
              </w:rPr>
            </w:pPr>
            <w:r w:rsidRPr="00D47D1C">
              <w:rPr>
                <w:rFonts w:ascii="Arial" w:eastAsia="Calibri" w:hAnsi="Arial" w:cs="Arial"/>
                <w:b/>
                <w:bCs/>
                <w:color w:val="000000" w:themeColor="text1"/>
                <w:sz w:val="15"/>
                <w:szCs w:val="15"/>
              </w:rPr>
              <w:t>Obveze</w:t>
            </w:r>
          </w:p>
        </w:tc>
        <w:tc>
          <w:tcPr>
            <w:tcW w:w="476" w:type="pct"/>
            <w:tcBorders>
              <w:top w:val="single" w:sz="8" w:space="0" w:color="auto"/>
              <w:left w:val="nil"/>
              <w:bottom w:val="single" w:sz="12" w:space="0" w:color="auto"/>
              <w:right w:val="nil"/>
            </w:tcBorders>
            <w:vAlign w:val="bottom"/>
          </w:tcPr>
          <w:p w14:paraId="616BEBEC" w14:textId="77777777" w:rsidR="00516DE5" w:rsidRPr="005943B3" w:rsidRDefault="00516DE5" w:rsidP="0034622E">
            <w:pPr>
              <w:jc w:val="right"/>
              <w:rPr>
                <w:rFonts w:ascii="Arial" w:eastAsia="Calibri" w:hAnsi="Arial" w:cs="Arial"/>
                <w:b/>
                <w:color w:val="000000" w:themeColor="text1"/>
                <w:sz w:val="15"/>
                <w:szCs w:val="15"/>
              </w:rPr>
            </w:pPr>
            <w:r w:rsidRPr="00F959D0">
              <w:rPr>
                <w:rFonts w:ascii="Arial" w:eastAsia="Calibri" w:hAnsi="Arial" w:cs="Arial"/>
                <w:b/>
                <w:color w:val="000000" w:themeColor="text1"/>
                <w:sz w:val="15"/>
                <w:szCs w:val="15"/>
              </w:rPr>
              <w:t xml:space="preserve"> 137.642 </w:t>
            </w:r>
          </w:p>
        </w:tc>
        <w:tc>
          <w:tcPr>
            <w:tcW w:w="475" w:type="pct"/>
            <w:tcBorders>
              <w:top w:val="single" w:sz="8" w:space="0" w:color="auto"/>
              <w:left w:val="nil"/>
              <w:bottom w:val="single" w:sz="12" w:space="0" w:color="auto"/>
              <w:right w:val="nil"/>
            </w:tcBorders>
            <w:vAlign w:val="bottom"/>
          </w:tcPr>
          <w:p w14:paraId="0446A4F7" w14:textId="77777777" w:rsidR="00516DE5" w:rsidRPr="005943B3" w:rsidRDefault="00516DE5" w:rsidP="0034622E">
            <w:pPr>
              <w:jc w:val="right"/>
              <w:rPr>
                <w:rFonts w:ascii="Arial" w:eastAsia="Calibri" w:hAnsi="Arial" w:cs="Arial"/>
                <w:b/>
                <w:color w:val="000000" w:themeColor="text1"/>
                <w:sz w:val="15"/>
                <w:szCs w:val="15"/>
              </w:rPr>
            </w:pPr>
            <w:r w:rsidRPr="00F959D0">
              <w:rPr>
                <w:rFonts w:ascii="Arial" w:eastAsia="Calibri" w:hAnsi="Arial" w:cs="Arial"/>
                <w:b/>
                <w:color w:val="000000" w:themeColor="text1"/>
                <w:sz w:val="15"/>
                <w:szCs w:val="15"/>
              </w:rPr>
              <w:t xml:space="preserve"> 162.220 </w:t>
            </w:r>
          </w:p>
        </w:tc>
        <w:tc>
          <w:tcPr>
            <w:tcW w:w="475" w:type="pct"/>
            <w:tcBorders>
              <w:top w:val="single" w:sz="8" w:space="0" w:color="auto"/>
              <w:left w:val="nil"/>
              <w:bottom w:val="single" w:sz="12" w:space="0" w:color="auto"/>
              <w:right w:val="nil"/>
            </w:tcBorders>
            <w:vAlign w:val="bottom"/>
          </w:tcPr>
          <w:p w14:paraId="25333E3F" w14:textId="77777777" w:rsidR="00516DE5" w:rsidRPr="005943B3" w:rsidRDefault="00516DE5" w:rsidP="0034622E">
            <w:pPr>
              <w:jc w:val="right"/>
              <w:rPr>
                <w:rFonts w:ascii="Arial" w:eastAsia="Calibri" w:hAnsi="Arial" w:cs="Arial"/>
                <w:b/>
                <w:color w:val="000000" w:themeColor="text1"/>
                <w:sz w:val="15"/>
                <w:szCs w:val="15"/>
              </w:rPr>
            </w:pPr>
            <w:r w:rsidRPr="00F959D0">
              <w:rPr>
                <w:rFonts w:ascii="Arial" w:eastAsia="Calibri" w:hAnsi="Arial" w:cs="Arial"/>
                <w:b/>
                <w:color w:val="000000" w:themeColor="text1"/>
                <w:sz w:val="15"/>
                <w:szCs w:val="15"/>
              </w:rPr>
              <w:t xml:space="preserve"> 301.277 </w:t>
            </w:r>
          </w:p>
        </w:tc>
        <w:tc>
          <w:tcPr>
            <w:tcW w:w="474" w:type="pct"/>
            <w:tcBorders>
              <w:top w:val="single" w:sz="8" w:space="0" w:color="auto"/>
              <w:left w:val="nil"/>
              <w:bottom w:val="single" w:sz="12" w:space="0" w:color="auto"/>
              <w:right w:val="nil"/>
            </w:tcBorders>
            <w:vAlign w:val="bottom"/>
          </w:tcPr>
          <w:p w14:paraId="39E7B84D" w14:textId="77777777" w:rsidR="00516DE5" w:rsidRPr="005943B3" w:rsidRDefault="00516DE5" w:rsidP="0034622E">
            <w:pPr>
              <w:jc w:val="right"/>
              <w:rPr>
                <w:rFonts w:ascii="Arial" w:eastAsia="Calibri" w:hAnsi="Arial" w:cs="Arial"/>
                <w:b/>
                <w:color w:val="000000" w:themeColor="text1"/>
                <w:sz w:val="15"/>
                <w:szCs w:val="15"/>
              </w:rPr>
            </w:pPr>
            <w:r w:rsidRPr="00F959D0">
              <w:rPr>
                <w:rFonts w:ascii="Arial" w:eastAsia="Calibri" w:hAnsi="Arial" w:cs="Arial"/>
                <w:b/>
                <w:color w:val="000000" w:themeColor="text1"/>
                <w:sz w:val="15"/>
                <w:szCs w:val="15"/>
              </w:rPr>
              <w:t xml:space="preserve"> 637.050 </w:t>
            </w:r>
          </w:p>
        </w:tc>
        <w:tc>
          <w:tcPr>
            <w:tcW w:w="489" w:type="pct"/>
            <w:tcBorders>
              <w:top w:val="single" w:sz="8" w:space="0" w:color="auto"/>
              <w:left w:val="nil"/>
              <w:bottom w:val="single" w:sz="12" w:space="0" w:color="auto"/>
              <w:right w:val="nil"/>
            </w:tcBorders>
            <w:vAlign w:val="bottom"/>
          </w:tcPr>
          <w:p w14:paraId="09962B68" w14:textId="77777777" w:rsidR="00516DE5" w:rsidRPr="005943B3" w:rsidRDefault="00516DE5" w:rsidP="0034622E">
            <w:pPr>
              <w:jc w:val="right"/>
              <w:rPr>
                <w:rFonts w:ascii="Arial" w:eastAsia="Calibri" w:hAnsi="Arial" w:cs="Arial"/>
                <w:b/>
                <w:color w:val="000000" w:themeColor="text1"/>
                <w:sz w:val="15"/>
                <w:szCs w:val="15"/>
              </w:rPr>
            </w:pPr>
            <w:r w:rsidRPr="00F959D0">
              <w:rPr>
                <w:rFonts w:ascii="Arial" w:eastAsia="Calibri" w:hAnsi="Arial" w:cs="Arial"/>
                <w:b/>
                <w:color w:val="000000" w:themeColor="text1"/>
                <w:sz w:val="15"/>
                <w:szCs w:val="15"/>
              </w:rPr>
              <w:t xml:space="preserve"> 1.084.967 </w:t>
            </w:r>
          </w:p>
        </w:tc>
        <w:tc>
          <w:tcPr>
            <w:tcW w:w="474" w:type="pct"/>
            <w:tcBorders>
              <w:top w:val="single" w:sz="8" w:space="0" w:color="auto"/>
              <w:left w:val="nil"/>
              <w:bottom w:val="single" w:sz="12" w:space="0" w:color="auto"/>
              <w:right w:val="nil"/>
            </w:tcBorders>
            <w:vAlign w:val="bottom"/>
          </w:tcPr>
          <w:p w14:paraId="610BE88E" w14:textId="77777777" w:rsidR="00516DE5" w:rsidRPr="005943B3" w:rsidRDefault="00516DE5" w:rsidP="0034622E">
            <w:pPr>
              <w:jc w:val="right"/>
              <w:rPr>
                <w:rFonts w:ascii="Arial" w:eastAsia="Calibri" w:hAnsi="Arial" w:cs="Arial"/>
                <w:b/>
                <w:color w:val="000000" w:themeColor="text1"/>
                <w:sz w:val="15"/>
                <w:szCs w:val="15"/>
              </w:rPr>
            </w:pPr>
            <w:r w:rsidRPr="00F959D0">
              <w:rPr>
                <w:rFonts w:ascii="Arial" w:eastAsia="Calibri" w:hAnsi="Arial" w:cs="Arial"/>
                <w:b/>
                <w:color w:val="000000" w:themeColor="text1"/>
                <w:sz w:val="15"/>
                <w:szCs w:val="15"/>
              </w:rPr>
              <w:t xml:space="preserve"> 238.005 </w:t>
            </w:r>
          </w:p>
        </w:tc>
        <w:tc>
          <w:tcPr>
            <w:tcW w:w="490" w:type="pct"/>
            <w:tcBorders>
              <w:top w:val="single" w:sz="8" w:space="0" w:color="auto"/>
              <w:left w:val="nil"/>
              <w:bottom w:val="single" w:sz="12" w:space="0" w:color="auto"/>
              <w:right w:val="nil"/>
            </w:tcBorders>
            <w:vAlign w:val="bottom"/>
          </w:tcPr>
          <w:p w14:paraId="20E57D22" w14:textId="77777777" w:rsidR="00516DE5" w:rsidRPr="005943B3" w:rsidRDefault="00516DE5" w:rsidP="0034622E">
            <w:pPr>
              <w:jc w:val="right"/>
              <w:rPr>
                <w:rFonts w:ascii="Arial" w:eastAsia="Calibri" w:hAnsi="Arial" w:cs="Arial"/>
                <w:b/>
                <w:color w:val="000000" w:themeColor="text1"/>
                <w:sz w:val="15"/>
                <w:szCs w:val="15"/>
              </w:rPr>
            </w:pPr>
            <w:r w:rsidRPr="00F959D0">
              <w:rPr>
                <w:rFonts w:ascii="Arial" w:eastAsia="Calibri" w:hAnsi="Arial" w:cs="Arial"/>
                <w:b/>
                <w:color w:val="000000" w:themeColor="text1"/>
                <w:sz w:val="15"/>
                <w:szCs w:val="15"/>
              </w:rPr>
              <w:t xml:space="preserve"> 2.561.161 </w:t>
            </w:r>
          </w:p>
        </w:tc>
        <w:tc>
          <w:tcPr>
            <w:tcW w:w="488" w:type="pct"/>
            <w:tcBorders>
              <w:top w:val="single" w:sz="8" w:space="0" w:color="auto"/>
              <w:left w:val="nil"/>
              <w:bottom w:val="single" w:sz="12" w:space="0" w:color="auto"/>
              <w:right w:val="nil"/>
            </w:tcBorders>
            <w:vAlign w:val="bottom"/>
          </w:tcPr>
          <w:p w14:paraId="1EFE4A42" w14:textId="77777777" w:rsidR="00516DE5" w:rsidRPr="005943B3" w:rsidRDefault="00516DE5" w:rsidP="0034622E">
            <w:pPr>
              <w:jc w:val="right"/>
              <w:rPr>
                <w:rFonts w:ascii="Arial" w:eastAsia="Calibri" w:hAnsi="Arial" w:cs="Arial"/>
                <w:b/>
                <w:color w:val="000000" w:themeColor="text1"/>
                <w:sz w:val="15"/>
                <w:szCs w:val="15"/>
              </w:rPr>
            </w:pPr>
            <w:r w:rsidRPr="00F959D0">
              <w:rPr>
                <w:rFonts w:ascii="Arial" w:eastAsia="Calibri" w:hAnsi="Arial" w:cs="Arial"/>
                <w:b/>
                <w:color w:val="000000" w:themeColor="text1"/>
                <w:sz w:val="15"/>
                <w:szCs w:val="15"/>
              </w:rPr>
              <w:t xml:space="preserve"> 2.276.224 </w:t>
            </w:r>
          </w:p>
        </w:tc>
      </w:tr>
      <w:tr w:rsidR="00516DE5" w:rsidRPr="00D47D1C" w14:paraId="5DE8022F" w14:textId="77777777" w:rsidTr="0034622E">
        <w:trPr>
          <w:trHeight w:hRule="exact" w:val="353"/>
        </w:trPr>
        <w:tc>
          <w:tcPr>
            <w:tcW w:w="1159" w:type="pct"/>
            <w:vAlign w:val="center"/>
          </w:tcPr>
          <w:p w14:paraId="1942D80F" w14:textId="77777777" w:rsidR="00516DE5" w:rsidRPr="00D47D1C" w:rsidRDefault="00516DE5" w:rsidP="0034622E">
            <w:pPr>
              <w:tabs>
                <w:tab w:val="right" w:pos="1202"/>
              </w:tabs>
              <w:spacing w:line="240" w:lineRule="exact"/>
              <w:outlineLvl w:val="0"/>
              <w:rPr>
                <w:rFonts w:ascii="Arial" w:eastAsia="Calibri" w:hAnsi="Arial" w:cs="Arial"/>
                <w:b/>
                <w:bCs/>
                <w:color w:val="000000" w:themeColor="text1"/>
                <w:sz w:val="15"/>
                <w:szCs w:val="15"/>
              </w:rPr>
            </w:pPr>
            <w:r w:rsidRPr="00D47D1C">
              <w:rPr>
                <w:rFonts w:ascii="Arial" w:eastAsia="Calibri" w:hAnsi="Arial" w:cs="Arial"/>
                <w:b/>
                <w:bCs/>
                <w:color w:val="000000" w:themeColor="text1"/>
                <w:spacing w:val="-2"/>
                <w:sz w:val="15"/>
                <w:szCs w:val="15"/>
              </w:rPr>
              <w:t>Kamatni jaz</w:t>
            </w:r>
          </w:p>
        </w:tc>
        <w:tc>
          <w:tcPr>
            <w:tcW w:w="476" w:type="pct"/>
            <w:tcBorders>
              <w:top w:val="nil"/>
              <w:left w:val="nil"/>
              <w:bottom w:val="single" w:sz="12" w:space="0" w:color="auto"/>
              <w:right w:val="nil"/>
            </w:tcBorders>
            <w:shd w:val="clear" w:color="auto" w:fill="auto"/>
            <w:vAlign w:val="bottom"/>
          </w:tcPr>
          <w:p w14:paraId="34677DBC" w14:textId="77777777" w:rsidR="00516DE5" w:rsidRPr="005943B3" w:rsidRDefault="00516DE5" w:rsidP="0034622E">
            <w:pPr>
              <w:jc w:val="right"/>
              <w:rPr>
                <w:rFonts w:ascii="Arial" w:eastAsia="Calibri" w:hAnsi="Arial" w:cs="Arial"/>
                <w:b/>
                <w:color w:val="000000" w:themeColor="text1"/>
                <w:sz w:val="15"/>
                <w:szCs w:val="15"/>
              </w:rPr>
            </w:pPr>
            <w:r w:rsidRPr="00F959D0">
              <w:rPr>
                <w:rFonts w:ascii="Arial" w:eastAsia="Calibri" w:hAnsi="Arial" w:cs="Arial"/>
                <w:b/>
                <w:color w:val="000000" w:themeColor="text1"/>
                <w:sz w:val="15"/>
                <w:szCs w:val="15"/>
              </w:rPr>
              <w:t xml:space="preserve"> 306.919 </w:t>
            </w:r>
          </w:p>
        </w:tc>
        <w:tc>
          <w:tcPr>
            <w:tcW w:w="475" w:type="pct"/>
            <w:tcBorders>
              <w:top w:val="nil"/>
              <w:left w:val="nil"/>
              <w:bottom w:val="single" w:sz="12" w:space="0" w:color="auto"/>
              <w:right w:val="nil"/>
            </w:tcBorders>
            <w:shd w:val="clear" w:color="auto" w:fill="auto"/>
            <w:vAlign w:val="bottom"/>
          </w:tcPr>
          <w:p w14:paraId="014F5750" w14:textId="77777777" w:rsidR="00516DE5" w:rsidRPr="005943B3" w:rsidRDefault="00516DE5" w:rsidP="0034622E">
            <w:pPr>
              <w:jc w:val="right"/>
              <w:rPr>
                <w:rFonts w:ascii="Arial" w:eastAsia="Calibri" w:hAnsi="Arial" w:cs="Arial"/>
                <w:b/>
                <w:color w:val="000000" w:themeColor="text1"/>
                <w:sz w:val="15"/>
                <w:szCs w:val="15"/>
              </w:rPr>
            </w:pPr>
            <w:r w:rsidRPr="00F959D0">
              <w:rPr>
                <w:rFonts w:ascii="Arial" w:eastAsia="Calibri" w:hAnsi="Arial" w:cs="Arial"/>
                <w:b/>
                <w:color w:val="000000" w:themeColor="text1"/>
                <w:sz w:val="15"/>
                <w:szCs w:val="15"/>
              </w:rPr>
              <w:t xml:space="preserve"> 104.808 </w:t>
            </w:r>
          </w:p>
        </w:tc>
        <w:tc>
          <w:tcPr>
            <w:tcW w:w="475" w:type="pct"/>
            <w:tcBorders>
              <w:top w:val="nil"/>
              <w:left w:val="nil"/>
              <w:bottom w:val="single" w:sz="12" w:space="0" w:color="auto"/>
              <w:right w:val="nil"/>
            </w:tcBorders>
            <w:shd w:val="clear" w:color="auto" w:fill="auto"/>
            <w:vAlign w:val="bottom"/>
          </w:tcPr>
          <w:p w14:paraId="5BD54C83" w14:textId="77777777" w:rsidR="00516DE5" w:rsidRPr="005943B3" w:rsidRDefault="00516DE5" w:rsidP="0034622E">
            <w:pPr>
              <w:jc w:val="right"/>
              <w:rPr>
                <w:rFonts w:ascii="Arial" w:eastAsia="Calibri" w:hAnsi="Arial" w:cs="Arial"/>
                <w:b/>
                <w:color w:val="000000" w:themeColor="text1"/>
                <w:sz w:val="15"/>
                <w:szCs w:val="15"/>
              </w:rPr>
            </w:pPr>
            <w:r w:rsidRPr="00F959D0">
              <w:rPr>
                <w:rFonts w:ascii="Arial" w:eastAsia="Calibri" w:hAnsi="Arial" w:cs="Arial"/>
                <w:b/>
                <w:color w:val="000000" w:themeColor="text1"/>
                <w:sz w:val="15"/>
                <w:szCs w:val="15"/>
              </w:rPr>
              <w:t xml:space="preserve"> 163.438 </w:t>
            </w:r>
          </w:p>
        </w:tc>
        <w:tc>
          <w:tcPr>
            <w:tcW w:w="474" w:type="pct"/>
            <w:tcBorders>
              <w:top w:val="nil"/>
              <w:left w:val="nil"/>
              <w:bottom w:val="single" w:sz="12" w:space="0" w:color="auto"/>
              <w:right w:val="nil"/>
            </w:tcBorders>
            <w:shd w:val="clear" w:color="auto" w:fill="auto"/>
            <w:vAlign w:val="bottom"/>
          </w:tcPr>
          <w:p w14:paraId="20E51D20" w14:textId="77777777" w:rsidR="00516DE5" w:rsidRPr="005943B3" w:rsidRDefault="00516DE5" w:rsidP="0034622E">
            <w:pPr>
              <w:jc w:val="right"/>
              <w:rPr>
                <w:rFonts w:ascii="Arial" w:eastAsia="Calibri" w:hAnsi="Arial" w:cs="Arial"/>
                <w:b/>
                <w:color w:val="000000" w:themeColor="text1"/>
                <w:sz w:val="15"/>
                <w:szCs w:val="15"/>
              </w:rPr>
            </w:pPr>
            <w:r w:rsidRPr="00F959D0">
              <w:rPr>
                <w:rFonts w:ascii="Arial" w:eastAsia="Calibri" w:hAnsi="Arial" w:cs="Arial"/>
                <w:b/>
                <w:color w:val="000000" w:themeColor="text1"/>
                <w:sz w:val="15"/>
                <w:szCs w:val="15"/>
              </w:rPr>
              <w:t xml:space="preserve"> 383.029 </w:t>
            </w:r>
          </w:p>
        </w:tc>
        <w:tc>
          <w:tcPr>
            <w:tcW w:w="489" w:type="pct"/>
            <w:tcBorders>
              <w:top w:val="nil"/>
              <w:left w:val="nil"/>
              <w:bottom w:val="single" w:sz="12" w:space="0" w:color="auto"/>
              <w:right w:val="nil"/>
            </w:tcBorders>
            <w:shd w:val="clear" w:color="auto" w:fill="auto"/>
            <w:vAlign w:val="bottom"/>
          </w:tcPr>
          <w:p w14:paraId="109B2A45" w14:textId="77777777" w:rsidR="00516DE5" w:rsidRPr="005943B3" w:rsidRDefault="00516DE5" w:rsidP="0034622E">
            <w:pPr>
              <w:jc w:val="right"/>
              <w:rPr>
                <w:rFonts w:ascii="Arial" w:eastAsia="Calibri" w:hAnsi="Arial" w:cs="Arial"/>
                <w:b/>
                <w:color w:val="000000" w:themeColor="text1"/>
                <w:sz w:val="15"/>
                <w:szCs w:val="15"/>
              </w:rPr>
            </w:pPr>
            <w:r w:rsidRPr="00F959D0">
              <w:rPr>
                <w:rFonts w:ascii="Arial" w:eastAsia="Calibri" w:hAnsi="Arial" w:cs="Arial"/>
                <w:b/>
                <w:color w:val="000000" w:themeColor="text1"/>
                <w:sz w:val="15"/>
                <w:szCs w:val="15"/>
              </w:rPr>
              <w:t xml:space="preserve"> 655.251 </w:t>
            </w:r>
          </w:p>
        </w:tc>
        <w:tc>
          <w:tcPr>
            <w:tcW w:w="474" w:type="pct"/>
            <w:tcBorders>
              <w:top w:val="nil"/>
              <w:left w:val="nil"/>
              <w:bottom w:val="single" w:sz="12" w:space="0" w:color="auto"/>
              <w:right w:val="nil"/>
            </w:tcBorders>
            <w:shd w:val="clear" w:color="auto" w:fill="auto"/>
            <w:vAlign w:val="bottom"/>
          </w:tcPr>
          <w:p w14:paraId="2BB16425" w14:textId="77777777" w:rsidR="00516DE5" w:rsidRPr="005943B3" w:rsidRDefault="00516DE5" w:rsidP="0034622E">
            <w:pPr>
              <w:jc w:val="right"/>
              <w:rPr>
                <w:rFonts w:ascii="Arial" w:eastAsia="Calibri" w:hAnsi="Arial" w:cs="Arial"/>
                <w:b/>
                <w:color w:val="000000" w:themeColor="text1"/>
                <w:sz w:val="15"/>
                <w:szCs w:val="15"/>
              </w:rPr>
            </w:pPr>
            <w:r w:rsidRPr="00F959D0">
              <w:rPr>
                <w:rFonts w:ascii="Arial" w:eastAsia="Calibri" w:hAnsi="Arial" w:cs="Arial"/>
                <w:b/>
                <w:color w:val="000000" w:themeColor="text1"/>
                <w:sz w:val="15"/>
                <w:szCs w:val="15"/>
              </w:rPr>
              <w:t xml:space="preserve"> (170.385)</w:t>
            </w:r>
          </w:p>
        </w:tc>
        <w:tc>
          <w:tcPr>
            <w:tcW w:w="490" w:type="pct"/>
            <w:tcBorders>
              <w:top w:val="nil"/>
              <w:left w:val="nil"/>
              <w:bottom w:val="single" w:sz="12" w:space="0" w:color="auto"/>
              <w:right w:val="nil"/>
            </w:tcBorders>
            <w:shd w:val="clear" w:color="auto" w:fill="auto"/>
            <w:vAlign w:val="bottom"/>
          </w:tcPr>
          <w:p w14:paraId="4F5BB96E" w14:textId="77777777" w:rsidR="00516DE5" w:rsidRPr="005943B3" w:rsidRDefault="00516DE5" w:rsidP="0034622E">
            <w:pPr>
              <w:jc w:val="right"/>
              <w:rPr>
                <w:rFonts w:ascii="Arial" w:eastAsia="Calibri" w:hAnsi="Arial" w:cs="Arial"/>
                <w:b/>
                <w:color w:val="000000" w:themeColor="text1"/>
                <w:sz w:val="15"/>
                <w:szCs w:val="15"/>
              </w:rPr>
            </w:pPr>
            <w:r w:rsidRPr="00F959D0">
              <w:rPr>
                <w:rFonts w:ascii="Arial" w:eastAsia="Calibri" w:hAnsi="Arial" w:cs="Arial"/>
                <w:b/>
                <w:color w:val="000000" w:themeColor="text1"/>
                <w:sz w:val="15"/>
                <w:szCs w:val="15"/>
              </w:rPr>
              <w:t xml:space="preserve"> 1.443.060 </w:t>
            </w:r>
          </w:p>
        </w:tc>
        <w:tc>
          <w:tcPr>
            <w:tcW w:w="488" w:type="pct"/>
            <w:tcBorders>
              <w:top w:val="nil"/>
              <w:left w:val="nil"/>
              <w:bottom w:val="single" w:sz="12" w:space="0" w:color="auto"/>
              <w:right w:val="nil"/>
            </w:tcBorders>
            <w:shd w:val="clear" w:color="auto" w:fill="auto"/>
            <w:vAlign w:val="bottom"/>
          </w:tcPr>
          <w:p w14:paraId="0CE59093" w14:textId="77777777" w:rsidR="00516DE5" w:rsidRPr="005943B3" w:rsidRDefault="00516DE5" w:rsidP="0034622E">
            <w:pPr>
              <w:jc w:val="right"/>
              <w:rPr>
                <w:rFonts w:ascii="Arial" w:eastAsia="Calibri" w:hAnsi="Arial" w:cs="Arial"/>
                <w:b/>
                <w:color w:val="000000" w:themeColor="text1"/>
                <w:sz w:val="15"/>
                <w:szCs w:val="15"/>
              </w:rPr>
            </w:pPr>
            <w:r w:rsidRPr="00F959D0">
              <w:rPr>
                <w:rFonts w:ascii="Arial" w:eastAsia="Calibri" w:hAnsi="Arial" w:cs="Arial"/>
                <w:b/>
                <w:color w:val="000000" w:themeColor="text1"/>
                <w:sz w:val="15"/>
                <w:szCs w:val="15"/>
              </w:rPr>
              <w:t xml:space="preserve"> 1.521.559 </w:t>
            </w:r>
          </w:p>
        </w:tc>
      </w:tr>
    </w:tbl>
    <w:p w14:paraId="63E5B0FF" w14:textId="77777777" w:rsidR="000C7E59" w:rsidRPr="003D1614" w:rsidRDefault="000C7E59" w:rsidP="000C7E59">
      <w:pPr>
        <w:tabs>
          <w:tab w:val="left" w:pos="-720"/>
        </w:tabs>
        <w:suppressAutoHyphens/>
        <w:autoSpaceDN w:val="0"/>
        <w:jc w:val="both"/>
        <w:rPr>
          <w:rFonts w:ascii="Arial" w:eastAsia="Times New Roman" w:hAnsi="Arial" w:cs="Arial"/>
          <w:color w:val="000000" w:themeColor="text1"/>
          <w:sz w:val="20"/>
          <w:szCs w:val="20"/>
        </w:rPr>
      </w:pPr>
    </w:p>
    <w:p w14:paraId="6F5D56E5" w14:textId="77777777" w:rsidR="009243A8" w:rsidRPr="003D1614" w:rsidRDefault="009243A8" w:rsidP="00661446">
      <w:pPr>
        <w:suppressAutoHyphens/>
        <w:autoSpaceDN w:val="0"/>
        <w:jc w:val="both"/>
        <w:rPr>
          <w:rFonts w:ascii="Arial" w:eastAsia="Times New Roman" w:hAnsi="Arial" w:cs="Arial"/>
          <w:bCs/>
          <w:i/>
          <w:color w:val="000000" w:themeColor="text1"/>
          <w:sz w:val="18"/>
          <w:szCs w:val="18"/>
        </w:rPr>
        <w:sectPr w:rsidR="009243A8" w:rsidRPr="003D1614" w:rsidSect="003278AB">
          <w:pgSz w:w="11906" w:h="16838"/>
          <w:pgMar w:top="1417" w:right="1417" w:bottom="1417" w:left="1417" w:header="708" w:footer="708" w:gutter="0"/>
          <w:cols w:space="708"/>
          <w:docGrid w:linePitch="360"/>
        </w:sectPr>
      </w:pPr>
    </w:p>
    <w:p w14:paraId="68FF977C" w14:textId="77777777" w:rsidR="009243A8" w:rsidRPr="003D1614" w:rsidRDefault="009243A8" w:rsidP="009243A8">
      <w:pPr>
        <w:tabs>
          <w:tab w:val="left" w:pos="-720"/>
        </w:tabs>
        <w:suppressAutoHyphens/>
        <w:autoSpaceDN w:val="0"/>
        <w:rPr>
          <w:rFonts w:ascii="Arial" w:eastAsia="Times New Roman" w:hAnsi="Arial" w:cs="Arial"/>
          <w:b/>
          <w:color w:val="000000" w:themeColor="text1"/>
          <w:spacing w:val="-3"/>
          <w:sz w:val="20"/>
          <w:szCs w:val="20"/>
        </w:rPr>
      </w:pPr>
    </w:p>
    <w:p w14:paraId="30635221" w14:textId="41D786C3" w:rsidR="009243A8" w:rsidRPr="003D1614" w:rsidRDefault="009243A8" w:rsidP="009243A8">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Upravljanje rizicima (nastavak)</w:t>
      </w:r>
    </w:p>
    <w:p w14:paraId="6D528CE9" w14:textId="77777777" w:rsidR="009243A8" w:rsidRPr="003D1614" w:rsidRDefault="009243A8" w:rsidP="009243A8">
      <w:pPr>
        <w:keepNext/>
        <w:suppressAutoHyphens/>
        <w:autoSpaceDN w:val="0"/>
        <w:ind w:left="709" w:hanging="709"/>
        <w:jc w:val="both"/>
        <w:outlineLvl w:val="0"/>
        <w:rPr>
          <w:rFonts w:ascii="Arial" w:eastAsia="Times New Roman" w:hAnsi="Arial" w:cs="Arial"/>
          <w:b/>
          <w:bCs/>
          <w:color w:val="000000" w:themeColor="text1"/>
          <w:sz w:val="20"/>
          <w:szCs w:val="20"/>
        </w:rPr>
      </w:pPr>
    </w:p>
    <w:p w14:paraId="12F4A715" w14:textId="0130A82D" w:rsidR="009243A8" w:rsidRPr="003D1614" w:rsidRDefault="009243A8" w:rsidP="009243A8">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.5.     Tržišni rizik (nastavak)</w:t>
      </w:r>
    </w:p>
    <w:p w14:paraId="4EBA7B6A" w14:textId="77777777" w:rsidR="009243A8" w:rsidRPr="003D1614" w:rsidRDefault="009243A8" w:rsidP="009243A8">
      <w:pPr>
        <w:keepNext/>
        <w:suppressAutoHyphens/>
        <w:autoSpaceDN w:val="0"/>
        <w:ind w:left="709" w:hanging="709"/>
        <w:jc w:val="both"/>
        <w:outlineLvl w:val="0"/>
        <w:rPr>
          <w:rFonts w:ascii="Arial" w:eastAsia="Times New Roman" w:hAnsi="Arial" w:cs="Arial"/>
          <w:b/>
          <w:bCs/>
          <w:color w:val="000000" w:themeColor="text1"/>
          <w:sz w:val="20"/>
          <w:szCs w:val="20"/>
        </w:rPr>
      </w:pPr>
    </w:p>
    <w:p w14:paraId="631D607B" w14:textId="06FF282D" w:rsidR="009243A8" w:rsidRPr="003D1614" w:rsidRDefault="009243A8" w:rsidP="009243A8">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.5.1.  Kamatni rizik (nastavak)</w:t>
      </w:r>
    </w:p>
    <w:p w14:paraId="790B39C1" w14:textId="77777777" w:rsidR="009243A8" w:rsidRPr="003D1614" w:rsidRDefault="009243A8" w:rsidP="009243A8">
      <w:pPr>
        <w:keepNext/>
        <w:suppressAutoHyphens/>
        <w:autoSpaceDN w:val="0"/>
        <w:ind w:left="709" w:hanging="709"/>
        <w:jc w:val="both"/>
        <w:outlineLvl w:val="0"/>
        <w:rPr>
          <w:rFonts w:ascii="Arial" w:eastAsia="Times New Roman" w:hAnsi="Arial" w:cs="Arial"/>
          <w:b/>
          <w:bCs/>
          <w:color w:val="000000" w:themeColor="text1"/>
          <w:sz w:val="20"/>
          <w:szCs w:val="20"/>
        </w:rPr>
      </w:pPr>
    </w:p>
    <w:p w14:paraId="387BB309" w14:textId="77777777" w:rsidR="009243A8" w:rsidRPr="003D1614" w:rsidRDefault="009243A8" w:rsidP="009243A8">
      <w:pPr>
        <w:tabs>
          <w:tab w:val="left" w:pos="-720"/>
        </w:tabs>
        <w:suppressAutoHyphens/>
        <w:autoSpaceDN w:val="0"/>
        <w:ind w:right="-6"/>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Iznos ukupne imovine i ukupnih obveza prema mogućnosti promjene kamatnih stopa (fiksna i varijabilna):</w:t>
      </w:r>
    </w:p>
    <w:p w14:paraId="7C902E6B" w14:textId="77777777" w:rsidR="009243A8" w:rsidRPr="003D1614" w:rsidRDefault="009243A8" w:rsidP="009243A8">
      <w:pPr>
        <w:tabs>
          <w:tab w:val="left" w:pos="-720"/>
        </w:tabs>
        <w:suppressAutoHyphens/>
        <w:autoSpaceDN w:val="0"/>
        <w:spacing w:line="300" w:lineRule="exact"/>
        <w:ind w:right="-6"/>
        <w:jc w:val="both"/>
        <w:rPr>
          <w:rFonts w:ascii="Arial" w:eastAsia="Times New Roman" w:hAnsi="Arial" w:cs="Arial"/>
          <w:color w:val="000000" w:themeColor="text1"/>
          <w:sz w:val="20"/>
          <w:szCs w:val="20"/>
        </w:rPr>
      </w:pPr>
    </w:p>
    <w:tbl>
      <w:tblPr>
        <w:tblW w:w="5000" w:type="pct"/>
        <w:tblInd w:w="-142" w:type="dxa"/>
        <w:tblLayout w:type="fixed"/>
        <w:tblCellMar>
          <w:left w:w="120" w:type="dxa"/>
          <w:right w:w="120" w:type="dxa"/>
        </w:tblCellMar>
        <w:tblLook w:val="0000" w:firstRow="0" w:lastRow="0" w:firstColumn="0" w:lastColumn="0" w:noHBand="0" w:noVBand="0"/>
      </w:tblPr>
      <w:tblGrid>
        <w:gridCol w:w="3345"/>
        <w:gridCol w:w="1431"/>
        <w:gridCol w:w="1432"/>
        <w:gridCol w:w="1432"/>
        <w:gridCol w:w="1432"/>
      </w:tblGrid>
      <w:tr w:rsidR="009243A8" w:rsidRPr="003D1614" w14:paraId="23BC5E23" w14:textId="77777777" w:rsidTr="00BC10BC">
        <w:trPr>
          <w:trHeight w:val="239"/>
        </w:trPr>
        <w:tc>
          <w:tcPr>
            <w:tcW w:w="1844" w:type="pct"/>
            <w:shd w:val="clear" w:color="auto" w:fill="auto"/>
            <w:vAlign w:val="bottom"/>
          </w:tcPr>
          <w:p w14:paraId="4251C106" w14:textId="77777777" w:rsidR="009243A8" w:rsidRPr="003D1614" w:rsidRDefault="009243A8" w:rsidP="009243A8">
            <w:pPr>
              <w:tabs>
                <w:tab w:val="left" w:pos="-720"/>
              </w:tabs>
              <w:suppressAutoHyphens/>
              <w:autoSpaceDN w:val="0"/>
              <w:spacing w:line="360" w:lineRule="auto"/>
              <w:ind w:right="-5"/>
              <w:jc w:val="both"/>
              <w:rPr>
                <w:rFonts w:ascii="Arial" w:eastAsia="Times New Roman" w:hAnsi="Arial" w:cs="Arial"/>
                <w:b/>
                <w:color w:val="000000" w:themeColor="text1"/>
                <w:sz w:val="18"/>
                <w:szCs w:val="18"/>
              </w:rPr>
            </w:pPr>
          </w:p>
        </w:tc>
        <w:tc>
          <w:tcPr>
            <w:tcW w:w="1578" w:type="pct"/>
            <w:gridSpan w:val="2"/>
            <w:shd w:val="clear" w:color="auto" w:fill="auto"/>
            <w:vAlign w:val="bottom"/>
          </w:tcPr>
          <w:p w14:paraId="5566CA49" w14:textId="77777777" w:rsidR="009243A8" w:rsidRPr="003D1614" w:rsidRDefault="009243A8" w:rsidP="009243A8">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935" w:name="_Toc67330674"/>
            <w:r w:rsidRPr="003D1614">
              <w:rPr>
                <w:rFonts w:ascii="Arial" w:eastAsia="Times New Roman" w:hAnsi="Arial" w:cs="Arial"/>
                <w:b/>
                <w:color w:val="000000" w:themeColor="text1"/>
                <w:sz w:val="18"/>
                <w:szCs w:val="18"/>
              </w:rPr>
              <w:t>Grupa</w:t>
            </w:r>
            <w:bookmarkEnd w:id="935"/>
          </w:p>
        </w:tc>
        <w:tc>
          <w:tcPr>
            <w:tcW w:w="1578" w:type="pct"/>
            <w:gridSpan w:val="2"/>
            <w:shd w:val="clear" w:color="auto" w:fill="auto"/>
            <w:vAlign w:val="bottom"/>
          </w:tcPr>
          <w:p w14:paraId="636B3AD1" w14:textId="77777777" w:rsidR="009243A8" w:rsidRPr="003D1614" w:rsidRDefault="009243A8" w:rsidP="009243A8">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936" w:name="_Toc67330675"/>
            <w:r w:rsidRPr="003D1614">
              <w:rPr>
                <w:rFonts w:ascii="Arial" w:eastAsia="Times New Roman" w:hAnsi="Arial" w:cs="Arial"/>
                <w:b/>
                <w:color w:val="000000" w:themeColor="text1"/>
                <w:sz w:val="18"/>
                <w:szCs w:val="18"/>
              </w:rPr>
              <w:t>Banka</w:t>
            </w:r>
            <w:bookmarkEnd w:id="936"/>
          </w:p>
        </w:tc>
      </w:tr>
      <w:tr w:rsidR="009243A8" w:rsidRPr="003D1614" w14:paraId="153C931D" w14:textId="77777777" w:rsidTr="00BC10BC">
        <w:trPr>
          <w:trHeight w:val="211"/>
        </w:trPr>
        <w:tc>
          <w:tcPr>
            <w:tcW w:w="1844" w:type="pct"/>
            <w:shd w:val="clear" w:color="auto" w:fill="auto"/>
            <w:vAlign w:val="bottom"/>
          </w:tcPr>
          <w:p w14:paraId="0C742202" w14:textId="77777777" w:rsidR="009243A8" w:rsidRPr="003D1614" w:rsidRDefault="009243A8" w:rsidP="009243A8">
            <w:pPr>
              <w:tabs>
                <w:tab w:val="left" w:pos="-720"/>
              </w:tabs>
              <w:suppressAutoHyphens/>
              <w:autoSpaceDN w:val="0"/>
              <w:spacing w:line="360" w:lineRule="auto"/>
              <w:ind w:right="-5"/>
              <w:jc w:val="both"/>
              <w:rPr>
                <w:rFonts w:ascii="Arial" w:eastAsia="Times New Roman" w:hAnsi="Arial" w:cs="Arial"/>
                <w:b/>
                <w:color w:val="000000" w:themeColor="text1"/>
                <w:sz w:val="18"/>
                <w:szCs w:val="18"/>
              </w:rPr>
            </w:pPr>
          </w:p>
        </w:tc>
        <w:tc>
          <w:tcPr>
            <w:tcW w:w="789" w:type="pct"/>
            <w:shd w:val="clear" w:color="auto" w:fill="auto"/>
            <w:vAlign w:val="bottom"/>
          </w:tcPr>
          <w:p w14:paraId="5E497088" w14:textId="66D2A477" w:rsidR="009243A8" w:rsidRPr="003D1614" w:rsidRDefault="002A3FB3" w:rsidP="009243A8">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2A3FB3">
              <w:rPr>
                <w:rFonts w:ascii="Arial" w:eastAsia="Times New Roman" w:hAnsi="Arial" w:cs="Arial"/>
                <w:b/>
                <w:color w:val="000000" w:themeColor="text1"/>
                <w:sz w:val="18"/>
                <w:szCs w:val="18"/>
              </w:rPr>
              <w:t>30. rujna 202</w:t>
            </w:r>
            <w:r w:rsidR="00516DE5">
              <w:rPr>
                <w:rFonts w:ascii="Arial" w:eastAsia="Times New Roman" w:hAnsi="Arial" w:cs="Arial"/>
                <w:b/>
                <w:color w:val="000000" w:themeColor="text1"/>
                <w:sz w:val="18"/>
                <w:szCs w:val="18"/>
              </w:rPr>
              <w:t>4</w:t>
            </w:r>
            <w:r w:rsidRPr="002A3FB3">
              <w:rPr>
                <w:rFonts w:ascii="Arial" w:eastAsia="Times New Roman" w:hAnsi="Arial" w:cs="Arial"/>
                <w:b/>
                <w:color w:val="000000" w:themeColor="text1"/>
                <w:sz w:val="18"/>
                <w:szCs w:val="18"/>
              </w:rPr>
              <w:t>.</w:t>
            </w:r>
          </w:p>
        </w:tc>
        <w:tc>
          <w:tcPr>
            <w:tcW w:w="789" w:type="pct"/>
            <w:shd w:val="clear" w:color="auto" w:fill="auto"/>
            <w:vAlign w:val="bottom"/>
          </w:tcPr>
          <w:p w14:paraId="426EE806" w14:textId="2237C694" w:rsidR="009243A8" w:rsidRPr="003D1614" w:rsidRDefault="009243A8" w:rsidP="009243A8">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937" w:name="_Toc67330677"/>
            <w:r w:rsidRPr="003D1614">
              <w:rPr>
                <w:rFonts w:ascii="Arial" w:eastAsia="Times New Roman" w:hAnsi="Arial" w:cs="Arial"/>
                <w:b/>
                <w:color w:val="000000" w:themeColor="text1"/>
                <w:sz w:val="18"/>
                <w:szCs w:val="18"/>
              </w:rPr>
              <w:t>31. prosinca 202</w:t>
            </w:r>
            <w:r w:rsidR="00516DE5">
              <w:rPr>
                <w:rFonts w:ascii="Arial" w:eastAsia="Times New Roman" w:hAnsi="Arial" w:cs="Arial"/>
                <w:b/>
                <w:color w:val="000000" w:themeColor="text1"/>
                <w:sz w:val="18"/>
                <w:szCs w:val="18"/>
              </w:rPr>
              <w:t>3</w:t>
            </w:r>
            <w:r w:rsidRPr="003D1614">
              <w:rPr>
                <w:rFonts w:ascii="Arial" w:eastAsia="Times New Roman" w:hAnsi="Arial" w:cs="Arial"/>
                <w:b/>
                <w:color w:val="000000" w:themeColor="text1"/>
                <w:sz w:val="18"/>
                <w:szCs w:val="18"/>
              </w:rPr>
              <w:t>.</w:t>
            </w:r>
            <w:bookmarkEnd w:id="937"/>
          </w:p>
        </w:tc>
        <w:tc>
          <w:tcPr>
            <w:tcW w:w="789" w:type="pct"/>
            <w:shd w:val="clear" w:color="auto" w:fill="auto"/>
            <w:vAlign w:val="bottom"/>
          </w:tcPr>
          <w:p w14:paraId="33C8071F" w14:textId="6AAA1D7A" w:rsidR="009243A8" w:rsidRPr="003D1614" w:rsidRDefault="002A3FB3" w:rsidP="009243A8">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2A3FB3">
              <w:rPr>
                <w:rFonts w:ascii="Arial" w:eastAsia="Times New Roman" w:hAnsi="Arial" w:cs="Arial"/>
                <w:b/>
                <w:color w:val="000000" w:themeColor="text1"/>
                <w:sz w:val="18"/>
                <w:szCs w:val="18"/>
              </w:rPr>
              <w:t>30. rujna 202</w:t>
            </w:r>
            <w:r w:rsidR="00516DE5">
              <w:rPr>
                <w:rFonts w:ascii="Arial" w:eastAsia="Times New Roman" w:hAnsi="Arial" w:cs="Arial"/>
                <w:b/>
                <w:color w:val="000000" w:themeColor="text1"/>
                <w:sz w:val="18"/>
                <w:szCs w:val="18"/>
              </w:rPr>
              <w:t>4</w:t>
            </w:r>
            <w:r w:rsidRPr="002A3FB3">
              <w:rPr>
                <w:rFonts w:ascii="Arial" w:eastAsia="Times New Roman" w:hAnsi="Arial" w:cs="Arial"/>
                <w:b/>
                <w:color w:val="000000" w:themeColor="text1"/>
                <w:sz w:val="18"/>
                <w:szCs w:val="18"/>
              </w:rPr>
              <w:t>.</w:t>
            </w:r>
          </w:p>
        </w:tc>
        <w:tc>
          <w:tcPr>
            <w:tcW w:w="789" w:type="pct"/>
            <w:shd w:val="clear" w:color="auto" w:fill="auto"/>
            <w:vAlign w:val="bottom"/>
          </w:tcPr>
          <w:p w14:paraId="1BC5FB0B" w14:textId="0FF7A398" w:rsidR="009243A8" w:rsidRPr="003D1614" w:rsidRDefault="009243A8" w:rsidP="009243A8">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938" w:name="_Toc67330679"/>
            <w:r w:rsidRPr="003D1614">
              <w:rPr>
                <w:rFonts w:ascii="Arial" w:eastAsia="Times New Roman" w:hAnsi="Arial" w:cs="Arial"/>
                <w:b/>
                <w:color w:val="000000" w:themeColor="text1"/>
                <w:sz w:val="18"/>
                <w:szCs w:val="18"/>
              </w:rPr>
              <w:t>31. prosinca 202</w:t>
            </w:r>
            <w:r w:rsidR="00516DE5">
              <w:rPr>
                <w:rFonts w:ascii="Arial" w:eastAsia="Times New Roman" w:hAnsi="Arial" w:cs="Arial"/>
                <w:b/>
                <w:color w:val="000000" w:themeColor="text1"/>
                <w:sz w:val="18"/>
                <w:szCs w:val="18"/>
              </w:rPr>
              <w:t>3</w:t>
            </w:r>
            <w:r w:rsidRPr="003D1614">
              <w:rPr>
                <w:rFonts w:ascii="Arial" w:eastAsia="Times New Roman" w:hAnsi="Arial" w:cs="Arial"/>
                <w:b/>
                <w:color w:val="000000" w:themeColor="text1"/>
                <w:sz w:val="18"/>
                <w:szCs w:val="18"/>
              </w:rPr>
              <w:t>.</w:t>
            </w:r>
            <w:bookmarkEnd w:id="938"/>
          </w:p>
        </w:tc>
      </w:tr>
      <w:tr w:rsidR="009243A8" w:rsidRPr="003D1614" w14:paraId="05FE4200" w14:textId="77777777" w:rsidTr="00BC10BC">
        <w:trPr>
          <w:trHeight w:val="249"/>
        </w:trPr>
        <w:tc>
          <w:tcPr>
            <w:tcW w:w="1844" w:type="pct"/>
            <w:shd w:val="clear" w:color="auto" w:fill="auto"/>
            <w:vAlign w:val="bottom"/>
          </w:tcPr>
          <w:p w14:paraId="4FE48944" w14:textId="77777777" w:rsidR="009243A8" w:rsidRPr="003D1614" w:rsidRDefault="009243A8" w:rsidP="009243A8">
            <w:pPr>
              <w:tabs>
                <w:tab w:val="left" w:pos="-720"/>
              </w:tabs>
              <w:suppressAutoHyphens/>
              <w:autoSpaceDN w:val="0"/>
              <w:spacing w:line="360" w:lineRule="auto"/>
              <w:ind w:right="-5"/>
              <w:jc w:val="both"/>
              <w:rPr>
                <w:rFonts w:ascii="Arial" w:eastAsia="Times New Roman" w:hAnsi="Arial" w:cs="Arial"/>
                <w:color w:val="000000" w:themeColor="text1"/>
                <w:sz w:val="18"/>
                <w:szCs w:val="18"/>
              </w:rPr>
            </w:pPr>
          </w:p>
        </w:tc>
        <w:tc>
          <w:tcPr>
            <w:tcW w:w="789" w:type="pct"/>
            <w:shd w:val="clear" w:color="auto" w:fill="auto"/>
            <w:vAlign w:val="bottom"/>
          </w:tcPr>
          <w:p w14:paraId="0D72C55B" w14:textId="41E0A386" w:rsidR="009243A8" w:rsidRPr="003D1614" w:rsidRDefault="009243A8" w:rsidP="009243A8">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939" w:name="_Toc67330680"/>
            <w:r w:rsidRPr="003D1614">
              <w:rPr>
                <w:rFonts w:ascii="Arial" w:eastAsia="Times New Roman" w:hAnsi="Arial" w:cs="Arial"/>
                <w:b/>
                <w:color w:val="000000" w:themeColor="text1"/>
                <w:sz w:val="18"/>
                <w:szCs w:val="18"/>
              </w:rPr>
              <w:t>000 eura</w:t>
            </w:r>
            <w:bookmarkEnd w:id="939"/>
          </w:p>
        </w:tc>
        <w:tc>
          <w:tcPr>
            <w:tcW w:w="789" w:type="pct"/>
            <w:shd w:val="clear" w:color="auto" w:fill="auto"/>
            <w:vAlign w:val="bottom"/>
          </w:tcPr>
          <w:p w14:paraId="0709EAC3" w14:textId="09C8BDFB" w:rsidR="009243A8" w:rsidRPr="003D1614" w:rsidRDefault="009243A8" w:rsidP="009243A8">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940" w:name="_Toc67330681"/>
            <w:r w:rsidRPr="003D1614">
              <w:rPr>
                <w:rFonts w:ascii="Arial" w:eastAsia="Times New Roman" w:hAnsi="Arial" w:cs="Arial"/>
                <w:b/>
                <w:color w:val="000000" w:themeColor="text1"/>
                <w:sz w:val="18"/>
                <w:szCs w:val="18"/>
              </w:rPr>
              <w:t>000 eura</w:t>
            </w:r>
            <w:bookmarkEnd w:id="940"/>
          </w:p>
        </w:tc>
        <w:tc>
          <w:tcPr>
            <w:tcW w:w="789" w:type="pct"/>
            <w:shd w:val="clear" w:color="auto" w:fill="auto"/>
            <w:vAlign w:val="bottom"/>
          </w:tcPr>
          <w:p w14:paraId="227FDEE2" w14:textId="5A94ED01" w:rsidR="009243A8" w:rsidRPr="003D1614" w:rsidRDefault="009243A8" w:rsidP="009243A8">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941" w:name="_Toc67330682"/>
            <w:r w:rsidRPr="003D1614">
              <w:rPr>
                <w:rFonts w:ascii="Arial" w:eastAsia="Times New Roman" w:hAnsi="Arial" w:cs="Arial"/>
                <w:b/>
                <w:color w:val="000000" w:themeColor="text1"/>
                <w:sz w:val="18"/>
                <w:szCs w:val="18"/>
              </w:rPr>
              <w:t>000 eura</w:t>
            </w:r>
            <w:bookmarkEnd w:id="941"/>
          </w:p>
        </w:tc>
        <w:tc>
          <w:tcPr>
            <w:tcW w:w="789" w:type="pct"/>
            <w:shd w:val="clear" w:color="auto" w:fill="auto"/>
            <w:vAlign w:val="bottom"/>
          </w:tcPr>
          <w:p w14:paraId="1E9645BE" w14:textId="4283A840" w:rsidR="009243A8" w:rsidRPr="003D1614" w:rsidRDefault="009243A8" w:rsidP="009243A8">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942" w:name="_Toc67330683"/>
            <w:r w:rsidRPr="003D1614">
              <w:rPr>
                <w:rFonts w:ascii="Arial" w:eastAsia="Times New Roman" w:hAnsi="Arial" w:cs="Arial"/>
                <w:b/>
                <w:color w:val="000000" w:themeColor="text1"/>
                <w:sz w:val="18"/>
                <w:szCs w:val="18"/>
              </w:rPr>
              <w:t>000 eura</w:t>
            </w:r>
            <w:bookmarkEnd w:id="942"/>
          </w:p>
        </w:tc>
      </w:tr>
      <w:tr w:rsidR="009243A8" w:rsidRPr="003D1614" w14:paraId="1FFC1304" w14:textId="77777777" w:rsidTr="00BC10BC">
        <w:trPr>
          <w:trHeight w:hRule="exact" w:val="284"/>
        </w:trPr>
        <w:tc>
          <w:tcPr>
            <w:tcW w:w="1844" w:type="pct"/>
            <w:shd w:val="clear" w:color="auto" w:fill="auto"/>
            <w:vAlign w:val="bottom"/>
          </w:tcPr>
          <w:p w14:paraId="0636A16B" w14:textId="77777777" w:rsidR="009243A8" w:rsidRPr="003D1614" w:rsidRDefault="009243A8" w:rsidP="009243A8">
            <w:pPr>
              <w:tabs>
                <w:tab w:val="left" w:pos="-720"/>
              </w:tabs>
              <w:suppressAutoHyphens/>
              <w:autoSpaceDN w:val="0"/>
              <w:ind w:right="-5"/>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Imovina</w:t>
            </w:r>
          </w:p>
        </w:tc>
        <w:tc>
          <w:tcPr>
            <w:tcW w:w="789" w:type="pct"/>
            <w:shd w:val="clear" w:color="auto" w:fill="auto"/>
            <w:vAlign w:val="bottom"/>
          </w:tcPr>
          <w:p w14:paraId="78DB27CF" w14:textId="77777777" w:rsidR="009243A8" w:rsidRPr="003D1614" w:rsidRDefault="009243A8" w:rsidP="009243A8">
            <w:pPr>
              <w:tabs>
                <w:tab w:val="left" w:pos="-720"/>
              </w:tabs>
              <w:suppressAutoHyphens/>
              <w:autoSpaceDN w:val="0"/>
              <w:ind w:right="-5"/>
              <w:jc w:val="right"/>
              <w:rPr>
                <w:rFonts w:ascii="Arial" w:eastAsia="Times New Roman" w:hAnsi="Arial" w:cs="Arial"/>
                <w:color w:val="000000" w:themeColor="text1"/>
                <w:sz w:val="18"/>
                <w:szCs w:val="18"/>
              </w:rPr>
            </w:pPr>
          </w:p>
        </w:tc>
        <w:tc>
          <w:tcPr>
            <w:tcW w:w="789" w:type="pct"/>
            <w:shd w:val="clear" w:color="auto" w:fill="auto"/>
            <w:vAlign w:val="bottom"/>
          </w:tcPr>
          <w:p w14:paraId="0A933B45" w14:textId="77777777" w:rsidR="009243A8" w:rsidRPr="003D1614" w:rsidRDefault="009243A8" w:rsidP="009243A8">
            <w:pPr>
              <w:tabs>
                <w:tab w:val="left" w:pos="-720"/>
              </w:tabs>
              <w:suppressAutoHyphens/>
              <w:autoSpaceDN w:val="0"/>
              <w:ind w:right="-5"/>
              <w:jc w:val="right"/>
              <w:rPr>
                <w:rFonts w:ascii="Arial" w:eastAsia="Times New Roman" w:hAnsi="Arial" w:cs="Arial"/>
                <w:color w:val="000000" w:themeColor="text1"/>
                <w:sz w:val="18"/>
                <w:szCs w:val="18"/>
              </w:rPr>
            </w:pPr>
          </w:p>
        </w:tc>
        <w:tc>
          <w:tcPr>
            <w:tcW w:w="789" w:type="pct"/>
            <w:shd w:val="clear" w:color="auto" w:fill="auto"/>
            <w:vAlign w:val="bottom"/>
          </w:tcPr>
          <w:p w14:paraId="4D557E56" w14:textId="77777777" w:rsidR="009243A8" w:rsidRPr="003D1614" w:rsidRDefault="009243A8" w:rsidP="009243A8">
            <w:pPr>
              <w:tabs>
                <w:tab w:val="left" w:pos="-720"/>
              </w:tabs>
              <w:suppressAutoHyphens/>
              <w:autoSpaceDN w:val="0"/>
              <w:ind w:right="-5"/>
              <w:jc w:val="right"/>
              <w:rPr>
                <w:rFonts w:ascii="Arial" w:eastAsia="Times New Roman" w:hAnsi="Arial" w:cs="Arial"/>
                <w:color w:val="000000" w:themeColor="text1"/>
                <w:sz w:val="18"/>
                <w:szCs w:val="18"/>
              </w:rPr>
            </w:pPr>
          </w:p>
        </w:tc>
        <w:tc>
          <w:tcPr>
            <w:tcW w:w="789" w:type="pct"/>
            <w:shd w:val="clear" w:color="auto" w:fill="auto"/>
            <w:vAlign w:val="bottom"/>
          </w:tcPr>
          <w:p w14:paraId="63DC92E4" w14:textId="77777777" w:rsidR="009243A8" w:rsidRPr="003D1614" w:rsidRDefault="009243A8" w:rsidP="009243A8">
            <w:pPr>
              <w:tabs>
                <w:tab w:val="left" w:pos="-720"/>
              </w:tabs>
              <w:suppressAutoHyphens/>
              <w:autoSpaceDN w:val="0"/>
              <w:ind w:right="-5"/>
              <w:jc w:val="right"/>
              <w:rPr>
                <w:rFonts w:ascii="Arial" w:eastAsia="Times New Roman" w:hAnsi="Arial" w:cs="Arial"/>
                <w:color w:val="000000" w:themeColor="text1"/>
                <w:sz w:val="18"/>
                <w:szCs w:val="18"/>
              </w:rPr>
            </w:pPr>
          </w:p>
        </w:tc>
      </w:tr>
      <w:tr w:rsidR="009243A8" w:rsidRPr="003D1614" w14:paraId="5CE5EFE7" w14:textId="77777777" w:rsidTr="00BC10BC">
        <w:trPr>
          <w:trHeight w:hRule="exact" w:val="345"/>
        </w:trPr>
        <w:tc>
          <w:tcPr>
            <w:tcW w:w="1844" w:type="pct"/>
            <w:shd w:val="clear" w:color="auto" w:fill="auto"/>
            <w:vAlign w:val="bottom"/>
          </w:tcPr>
          <w:p w14:paraId="2472404B" w14:textId="77777777" w:rsidR="009243A8" w:rsidRPr="003D1614" w:rsidRDefault="009243A8" w:rsidP="009243A8">
            <w:pPr>
              <w:tabs>
                <w:tab w:val="left" w:pos="-720"/>
              </w:tabs>
              <w:suppressAutoHyphens/>
              <w:autoSpaceDN w:val="0"/>
              <w:ind w:right="-5"/>
              <w:rPr>
                <w:rFonts w:ascii="Arial" w:eastAsia="Times New Roman" w:hAnsi="Arial" w:cs="Arial"/>
                <w:b/>
                <w:color w:val="000000" w:themeColor="text1"/>
                <w:sz w:val="18"/>
                <w:szCs w:val="18"/>
              </w:rPr>
            </w:pPr>
          </w:p>
        </w:tc>
        <w:tc>
          <w:tcPr>
            <w:tcW w:w="789" w:type="pct"/>
            <w:shd w:val="clear" w:color="auto" w:fill="auto"/>
            <w:vAlign w:val="bottom"/>
          </w:tcPr>
          <w:p w14:paraId="4E194DCB" w14:textId="77777777" w:rsidR="009243A8" w:rsidRPr="003D1614" w:rsidRDefault="009243A8" w:rsidP="009243A8">
            <w:pPr>
              <w:tabs>
                <w:tab w:val="left" w:pos="-720"/>
              </w:tabs>
              <w:suppressAutoHyphens/>
              <w:autoSpaceDN w:val="0"/>
              <w:ind w:right="-5"/>
              <w:jc w:val="right"/>
              <w:rPr>
                <w:rFonts w:ascii="Arial" w:eastAsia="Times New Roman" w:hAnsi="Arial" w:cs="Arial"/>
                <w:color w:val="000000" w:themeColor="text1"/>
                <w:sz w:val="18"/>
                <w:szCs w:val="18"/>
              </w:rPr>
            </w:pPr>
          </w:p>
        </w:tc>
        <w:tc>
          <w:tcPr>
            <w:tcW w:w="789" w:type="pct"/>
            <w:shd w:val="clear" w:color="auto" w:fill="auto"/>
            <w:vAlign w:val="bottom"/>
          </w:tcPr>
          <w:p w14:paraId="3BCA48B3" w14:textId="77777777" w:rsidR="009243A8" w:rsidRPr="003D1614" w:rsidRDefault="009243A8" w:rsidP="009243A8">
            <w:pPr>
              <w:tabs>
                <w:tab w:val="left" w:pos="-720"/>
              </w:tabs>
              <w:suppressAutoHyphens/>
              <w:autoSpaceDN w:val="0"/>
              <w:ind w:right="-5"/>
              <w:jc w:val="right"/>
              <w:rPr>
                <w:rFonts w:ascii="Arial" w:eastAsia="Times New Roman" w:hAnsi="Arial" w:cs="Arial"/>
                <w:color w:val="000000" w:themeColor="text1"/>
                <w:sz w:val="18"/>
                <w:szCs w:val="18"/>
              </w:rPr>
            </w:pPr>
          </w:p>
        </w:tc>
        <w:tc>
          <w:tcPr>
            <w:tcW w:w="789" w:type="pct"/>
            <w:shd w:val="clear" w:color="auto" w:fill="auto"/>
            <w:vAlign w:val="bottom"/>
          </w:tcPr>
          <w:p w14:paraId="5A53E0B4" w14:textId="77777777" w:rsidR="009243A8" w:rsidRPr="003D1614" w:rsidRDefault="009243A8" w:rsidP="009243A8">
            <w:pPr>
              <w:tabs>
                <w:tab w:val="left" w:pos="-720"/>
              </w:tabs>
              <w:suppressAutoHyphens/>
              <w:autoSpaceDN w:val="0"/>
              <w:ind w:right="-5"/>
              <w:jc w:val="right"/>
              <w:rPr>
                <w:rFonts w:ascii="Arial" w:eastAsia="Times New Roman" w:hAnsi="Arial" w:cs="Arial"/>
                <w:color w:val="000000" w:themeColor="text1"/>
                <w:sz w:val="18"/>
                <w:szCs w:val="18"/>
              </w:rPr>
            </w:pPr>
          </w:p>
        </w:tc>
        <w:tc>
          <w:tcPr>
            <w:tcW w:w="789" w:type="pct"/>
            <w:shd w:val="clear" w:color="auto" w:fill="auto"/>
            <w:vAlign w:val="bottom"/>
          </w:tcPr>
          <w:p w14:paraId="5EE045E3" w14:textId="77777777" w:rsidR="009243A8" w:rsidRPr="003D1614" w:rsidRDefault="009243A8" w:rsidP="009243A8">
            <w:pPr>
              <w:tabs>
                <w:tab w:val="left" w:pos="-720"/>
              </w:tabs>
              <w:suppressAutoHyphens/>
              <w:autoSpaceDN w:val="0"/>
              <w:ind w:right="-5"/>
              <w:jc w:val="right"/>
              <w:rPr>
                <w:rFonts w:ascii="Arial" w:eastAsia="Times New Roman" w:hAnsi="Arial" w:cs="Arial"/>
                <w:color w:val="000000" w:themeColor="text1"/>
                <w:sz w:val="18"/>
                <w:szCs w:val="18"/>
              </w:rPr>
            </w:pPr>
          </w:p>
        </w:tc>
      </w:tr>
      <w:tr w:rsidR="002F13DE" w:rsidRPr="003D1614" w14:paraId="682F184D" w14:textId="77777777" w:rsidTr="00B55DF9">
        <w:trPr>
          <w:trHeight w:hRule="exact" w:val="284"/>
        </w:trPr>
        <w:tc>
          <w:tcPr>
            <w:tcW w:w="1844" w:type="pct"/>
            <w:shd w:val="clear" w:color="auto" w:fill="auto"/>
            <w:vAlign w:val="bottom"/>
          </w:tcPr>
          <w:p w14:paraId="7C3153F8" w14:textId="77777777" w:rsidR="002F13DE" w:rsidRPr="003D1614" w:rsidRDefault="002F13DE" w:rsidP="002F13DE">
            <w:pPr>
              <w:tabs>
                <w:tab w:val="left" w:pos="-720"/>
              </w:tabs>
              <w:suppressAutoHyphens/>
              <w:autoSpaceDN w:val="0"/>
              <w:ind w:right="-5"/>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Imovina uz fiksnu kamatnu stopu</w:t>
            </w:r>
          </w:p>
        </w:tc>
        <w:tc>
          <w:tcPr>
            <w:tcW w:w="789" w:type="pct"/>
            <w:tcBorders>
              <w:top w:val="nil"/>
              <w:left w:val="nil"/>
              <w:bottom w:val="nil"/>
              <w:right w:val="nil"/>
            </w:tcBorders>
            <w:shd w:val="clear" w:color="auto" w:fill="auto"/>
            <w:vAlign w:val="bottom"/>
          </w:tcPr>
          <w:p w14:paraId="0B6F563F" w14:textId="58DA7EF8" w:rsidR="002F13DE" w:rsidRPr="0056069E" w:rsidRDefault="002F13DE" w:rsidP="002F13DE">
            <w:pPr>
              <w:tabs>
                <w:tab w:val="left" w:pos="-720"/>
              </w:tabs>
              <w:suppressAutoHyphens/>
              <w:autoSpaceDN w:val="0"/>
              <w:ind w:right="-5"/>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3.790.078</w:t>
            </w:r>
          </w:p>
        </w:tc>
        <w:tc>
          <w:tcPr>
            <w:tcW w:w="789" w:type="pct"/>
            <w:tcBorders>
              <w:top w:val="nil"/>
              <w:left w:val="nil"/>
              <w:bottom w:val="nil"/>
              <w:right w:val="nil"/>
            </w:tcBorders>
            <w:shd w:val="clear" w:color="auto" w:fill="auto"/>
            <w:vAlign w:val="bottom"/>
          </w:tcPr>
          <w:p w14:paraId="494C59D2" w14:textId="399F8471" w:rsidR="002F13DE" w:rsidRPr="003D1614" w:rsidRDefault="002F13DE" w:rsidP="002F13DE">
            <w:pPr>
              <w:tabs>
                <w:tab w:val="left" w:pos="-720"/>
              </w:tabs>
              <w:suppressAutoHyphens/>
              <w:autoSpaceDN w:val="0"/>
              <w:ind w:right="-5"/>
              <w:jc w:val="right"/>
              <w:rPr>
                <w:rFonts w:ascii="Arial" w:eastAsia="Times New Roman" w:hAnsi="Arial" w:cs="Arial"/>
                <w:color w:val="000000" w:themeColor="text1"/>
                <w:sz w:val="18"/>
                <w:szCs w:val="18"/>
              </w:rPr>
            </w:pPr>
            <w:r w:rsidRPr="00F959D0">
              <w:rPr>
                <w:rFonts w:ascii="Arial" w:hAnsi="Arial" w:cs="Arial"/>
                <w:sz w:val="18"/>
                <w:szCs w:val="18"/>
              </w:rPr>
              <w:t xml:space="preserve"> 3.807.019 </w:t>
            </w:r>
          </w:p>
        </w:tc>
        <w:tc>
          <w:tcPr>
            <w:tcW w:w="789" w:type="pct"/>
            <w:tcBorders>
              <w:top w:val="nil"/>
              <w:left w:val="nil"/>
              <w:bottom w:val="nil"/>
              <w:right w:val="nil"/>
            </w:tcBorders>
            <w:shd w:val="clear" w:color="auto" w:fill="auto"/>
            <w:vAlign w:val="bottom"/>
          </w:tcPr>
          <w:p w14:paraId="111EAA34" w14:textId="2E95A4B6" w:rsidR="002F13DE" w:rsidRPr="0056069E" w:rsidRDefault="002F13DE" w:rsidP="002F13DE">
            <w:pPr>
              <w:tabs>
                <w:tab w:val="left" w:pos="-720"/>
              </w:tabs>
              <w:suppressAutoHyphens/>
              <w:autoSpaceDN w:val="0"/>
              <w:ind w:right="-5"/>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3.780.401</w:t>
            </w:r>
          </w:p>
        </w:tc>
        <w:tc>
          <w:tcPr>
            <w:tcW w:w="789" w:type="pct"/>
            <w:tcBorders>
              <w:top w:val="nil"/>
              <w:left w:val="nil"/>
              <w:bottom w:val="nil"/>
              <w:right w:val="nil"/>
            </w:tcBorders>
            <w:shd w:val="clear" w:color="auto" w:fill="auto"/>
            <w:vAlign w:val="bottom"/>
          </w:tcPr>
          <w:p w14:paraId="6074495B" w14:textId="37A8B699" w:rsidR="002F13DE" w:rsidRPr="003D1614" w:rsidRDefault="002F13DE" w:rsidP="002F13DE">
            <w:pPr>
              <w:tabs>
                <w:tab w:val="left" w:pos="-720"/>
              </w:tabs>
              <w:suppressAutoHyphens/>
              <w:autoSpaceDN w:val="0"/>
              <w:ind w:right="-5"/>
              <w:jc w:val="right"/>
              <w:rPr>
                <w:rFonts w:ascii="Arial" w:eastAsia="Times New Roman" w:hAnsi="Arial" w:cs="Arial"/>
                <w:color w:val="000000" w:themeColor="text1"/>
                <w:sz w:val="18"/>
                <w:szCs w:val="18"/>
              </w:rPr>
            </w:pPr>
            <w:r w:rsidRPr="00F959D0">
              <w:rPr>
                <w:rFonts w:ascii="Arial" w:hAnsi="Arial" w:cs="Arial"/>
                <w:sz w:val="18"/>
                <w:szCs w:val="18"/>
              </w:rPr>
              <w:t>3.797.783</w:t>
            </w:r>
          </w:p>
        </w:tc>
      </w:tr>
      <w:tr w:rsidR="002F13DE" w:rsidRPr="003D1614" w14:paraId="0FAF85E4" w14:textId="77777777" w:rsidTr="00B55DF9">
        <w:trPr>
          <w:trHeight w:hRule="exact" w:val="284"/>
        </w:trPr>
        <w:tc>
          <w:tcPr>
            <w:tcW w:w="1844" w:type="pct"/>
            <w:shd w:val="clear" w:color="auto" w:fill="auto"/>
            <w:vAlign w:val="bottom"/>
          </w:tcPr>
          <w:p w14:paraId="71C41F8E" w14:textId="77777777" w:rsidR="002F13DE" w:rsidRPr="003D1614" w:rsidRDefault="002F13DE" w:rsidP="002F13DE">
            <w:pPr>
              <w:tabs>
                <w:tab w:val="left" w:pos="-720"/>
              </w:tabs>
              <w:suppressAutoHyphens/>
              <w:autoSpaceDN w:val="0"/>
              <w:spacing w:line="240" w:lineRule="exact"/>
              <w:ind w:right="-6"/>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Imovina uz varijabilnu kamatnu stopu</w:t>
            </w:r>
          </w:p>
        </w:tc>
        <w:tc>
          <w:tcPr>
            <w:tcW w:w="789" w:type="pct"/>
            <w:tcBorders>
              <w:top w:val="nil"/>
              <w:left w:val="nil"/>
              <w:bottom w:val="nil"/>
              <w:right w:val="nil"/>
            </w:tcBorders>
            <w:shd w:val="clear" w:color="auto" w:fill="auto"/>
            <w:vAlign w:val="bottom"/>
          </w:tcPr>
          <w:p w14:paraId="0BFB85C6" w14:textId="5145E654" w:rsidR="002F13DE" w:rsidRPr="0056069E" w:rsidRDefault="002F13DE" w:rsidP="002F13DE">
            <w:pPr>
              <w:tabs>
                <w:tab w:val="left" w:pos="-720"/>
              </w:tabs>
              <w:suppressAutoHyphens/>
              <w:autoSpaceDN w:val="0"/>
              <w:ind w:right="-5"/>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142.573</w:t>
            </w:r>
          </w:p>
        </w:tc>
        <w:tc>
          <w:tcPr>
            <w:tcW w:w="789" w:type="pct"/>
            <w:tcBorders>
              <w:top w:val="nil"/>
              <w:left w:val="nil"/>
              <w:bottom w:val="nil"/>
              <w:right w:val="nil"/>
            </w:tcBorders>
            <w:shd w:val="clear" w:color="auto" w:fill="auto"/>
            <w:vAlign w:val="bottom"/>
          </w:tcPr>
          <w:p w14:paraId="4B47A1B8" w14:textId="5E71D35D" w:rsidR="002F13DE" w:rsidRPr="003D1614" w:rsidRDefault="002F13DE" w:rsidP="002F13DE">
            <w:pPr>
              <w:tabs>
                <w:tab w:val="left" w:pos="-720"/>
              </w:tabs>
              <w:suppressAutoHyphens/>
              <w:autoSpaceDN w:val="0"/>
              <w:ind w:right="-5"/>
              <w:jc w:val="right"/>
              <w:rPr>
                <w:rFonts w:ascii="Arial" w:eastAsia="Times New Roman" w:hAnsi="Arial" w:cs="Arial"/>
                <w:color w:val="000000" w:themeColor="text1"/>
                <w:sz w:val="18"/>
                <w:szCs w:val="18"/>
              </w:rPr>
            </w:pPr>
            <w:r w:rsidRPr="00F959D0">
              <w:rPr>
                <w:rFonts w:ascii="Arial" w:hAnsi="Arial" w:cs="Arial"/>
                <w:sz w:val="18"/>
                <w:szCs w:val="18"/>
              </w:rPr>
              <w:t>138.818</w:t>
            </w:r>
          </w:p>
        </w:tc>
        <w:tc>
          <w:tcPr>
            <w:tcW w:w="789" w:type="pct"/>
            <w:tcBorders>
              <w:top w:val="nil"/>
              <w:left w:val="nil"/>
              <w:bottom w:val="nil"/>
              <w:right w:val="nil"/>
            </w:tcBorders>
            <w:shd w:val="clear" w:color="auto" w:fill="auto"/>
            <w:vAlign w:val="bottom"/>
          </w:tcPr>
          <w:p w14:paraId="1613F0CE" w14:textId="52F9DD54" w:rsidR="002F13DE" w:rsidRPr="0056069E" w:rsidRDefault="002F13DE" w:rsidP="002F13DE">
            <w:pPr>
              <w:tabs>
                <w:tab w:val="left" w:pos="-720"/>
              </w:tabs>
              <w:suppressAutoHyphens/>
              <w:autoSpaceDN w:val="0"/>
              <w:ind w:right="-5"/>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142.573</w:t>
            </w:r>
          </w:p>
        </w:tc>
        <w:tc>
          <w:tcPr>
            <w:tcW w:w="789" w:type="pct"/>
            <w:tcBorders>
              <w:top w:val="nil"/>
              <w:left w:val="nil"/>
              <w:bottom w:val="nil"/>
              <w:right w:val="nil"/>
            </w:tcBorders>
            <w:shd w:val="clear" w:color="auto" w:fill="auto"/>
            <w:vAlign w:val="bottom"/>
          </w:tcPr>
          <w:p w14:paraId="1609C3F7" w14:textId="4FC67113" w:rsidR="002F13DE" w:rsidRPr="003D1614" w:rsidRDefault="002F13DE" w:rsidP="002F13DE">
            <w:pPr>
              <w:tabs>
                <w:tab w:val="left" w:pos="-720"/>
              </w:tabs>
              <w:suppressAutoHyphens/>
              <w:autoSpaceDN w:val="0"/>
              <w:ind w:right="-5"/>
              <w:jc w:val="right"/>
              <w:rPr>
                <w:rFonts w:ascii="Arial" w:eastAsia="Times New Roman" w:hAnsi="Arial" w:cs="Arial"/>
                <w:color w:val="000000" w:themeColor="text1"/>
                <w:sz w:val="18"/>
                <w:szCs w:val="18"/>
              </w:rPr>
            </w:pPr>
            <w:r w:rsidRPr="00F959D0">
              <w:rPr>
                <w:rFonts w:ascii="Arial" w:hAnsi="Arial" w:cs="Arial"/>
                <w:sz w:val="18"/>
                <w:szCs w:val="18"/>
              </w:rPr>
              <w:t>138.818</w:t>
            </w:r>
          </w:p>
        </w:tc>
      </w:tr>
      <w:tr w:rsidR="002F13DE" w:rsidRPr="003D1614" w14:paraId="170CAA48" w14:textId="77777777" w:rsidTr="00B55DF9">
        <w:trPr>
          <w:trHeight w:hRule="exact" w:val="284"/>
        </w:trPr>
        <w:tc>
          <w:tcPr>
            <w:tcW w:w="1844" w:type="pct"/>
            <w:shd w:val="clear" w:color="auto" w:fill="auto"/>
            <w:vAlign w:val="bottom"/>
          </w:tcPr>
          <w:p w14:paraId="5BB04748" w14:textId="77777777" w:rsidR="002F13DE" w:rsidRPr="003D1614" w:rsidRDefault="002F13DE" w:rsidP="002F13DE">
            <w:pPr>
              <w:tabs>
                <w:tab w:val="left" w:pos="-720"/>
              </w:tabs>
              <w:suppressAutoHyphens/>
              <w:autoSpaceDN w:val="0"/>
              <w:spacing w:line="240" w:lineRule="exact"/>
              <w:ind w:right="-6"/>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Beskamatno</w:t>
            </w:r>
          </w:p>
        </w:tc>
        <w:tc>
          <w:tcPr>
            <w:tcW w:w="789" w:type="pct"/>
            <w:tcBorders>
              <w:top w:val="nil"/>
              <w:left w:val="nil"/>
              <w:bottom w:val="single" w:sz="4" w:space="0" w:color="auto"/>
              <w:right w:val="nil"/>
            </w:tcBorders>
            <w:shd w:val="clear" w:color="auto" w:fill="auto"/>
            <w:vAlign w:val="bottom"/>
          </w:tcPr>
          <w:p w14:paraId="14AB6BA0" w14:textId="01A2167C" w:rsidR="002F13DE" w:rsidRPr="0056069E" w:rsidRDefault="002F13DE" w:rsidP="002F13DE">
            <w:pPr>
              <w:tabs>
                <w:tab w:val="left" w:pos="-720"/>
              </w:tabs>
              <w:suppressAutoHyphens/>
              <w:autoSpaceDN w:val="0"/>
              <w:ind w:right="-5"/>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81.203</w:t>
            </w:r>
          </w:p>
        </w:tc>
        <w:tc>
          <w:tcPr>
            <w:tcW w:w="789" w:type="pct"/>
            <w:tcBorders>
              <w:top w:val="nil"/>
              <w:left w:val="nil"/>
              <w:bottom w:val="single" w:sz="4" w:space="0" w:color="auto"/>
              <w:right w:val="nil"/>
            </w:tcBorders>
            <w:shd w:val="clear" w:color="auto" w:fill="auto"/>
            <w:vAlign w:val="bottom"/>
          </w:tcPr>
          <w:p w14:paraId="0F4CA422" w14:textId="0AECBB06" w:rsidR="002F13DE" w:rsidRPr="003D1614" w:rsidRDefault="002F13DE" w:rsidP="002F13DE">
            <w:pPr>
              <w:tabs>
                <w:tab w:val="left" w:pos="-720"/>
              </w:tabs>
              <w:suppressAutoHyphens/>
              <w:autoSpaceDN w:val="0"/>
              <w:ind w:right="-5"/>
              <w:jc w:val="right"/>
              <w:rPr>
                <w:rFonts w:ascii="Arial" w:eastAsia="Times New Roman" w:hAnsi="Arial" w:cs="Arial"/>
                <w:color w:val="000000" w:themeColor="text1"/>
                <w:sz w:val="18"/>
                <w:szCs w:val="18"/>
              </w:rPr>
            </w:pPr>
            <w:r w:rsidRPr="00F959D0">
              <w:rPr>
                <w:rFonts w:ascii="Arial" w:hAnsi="Arial" w:cs="Arial"/>
                <w:sz w:val="18"/>
                <w:szCs w:val="18"/>
              </w:rPr>
              <w:t xml:space="preserve"> 68.540 </w:t>
            </w:r>
          </w:p>
        </w:tc>
        <w:tc>
          <w:tcPr>
            <w:tcW w:w="789" w:type="pct"/>
            <w:tcBorders>
              <w:top w:val="nil"/>
              <w:left w:val="nil"/>
              <w:bottom w:val="single" w:sz="4" w:space="0" w:color="auto"/>
              <w:right w:val="nil"/>
            </w:tcBorders>
            <w:shd w:val="clear" w:color="auto" w:fill="auto"/>
            <w:vAlign w:val="bottom"/>
          </w:tcPr>
          <w:p w14:paraId="0A415903" w14:textId="3AC88FCF" w:rsidR="002F13DE" w:rsidRPr="0056069E" w:rsidRDefault="002F13DE" w:rsidP="002F13DE">
            <w:pPr>
              <w:tabs>
                <w:tab w:val="left" w:pos="-720"/>
              </w:tabs>
              <w:suppressAutoHyphens/>
              <w:autoSpaceDN w:val="0"/>
              <w:ind w:right="-5"/>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80.359</w:t>
            </w:r>
          </w:p>
        </w:tc>
        <w:tc>
          <w:tcPr>
            <w:tcW w:w="789" w:type="pct"/>
            <w:tcBorders>
              <w:top w:val="nil"/>
              <w:left w:val="nil"/>
              <w:bottom w:val="single" w:sz="4" w:space="0" w:color="auto"/>
              <w:right w:val="nil"/>
            </w:tcBorders>
            <w:shd w:val="clear" w:color="auto" w:fill="auto"/>
            <w:vAlign w:val="bottom"/>
          </w:tcPr>
          <w:p w14:paraId="08008576" w14:textId="36CF95D8" w:rsidR="002F13DE" w:rsidRPr="003D1614" w:rsidRDefault="002F13DE" w:rsidP="002F13DE">
            <w:pPr>
              <w:tabs>
                <w:tab w:val="left" w:pos="-720"/>
              </w:tabs>
              <w:suppressAutoHyphens/>
              <w:autoSpaceDN w:val="0"/>
              <w:ind w:right="-5"/>
              <w:jc w:val="right"/>
              <w:rPr>
                <w:rFonts w:ascii="Arial" w:eastAsia="Times New Roman" w:hAnsi="Arial" w:cs="Arial"/>
                <w:color w:val="000000" w:themeColor="text1"/>
                <w:sz w:val="18"/>
                <w:szCs w:val="18"/>
              </w:rPr>
            </w:pPr>
            <w:r w:rsidRPr="00F959D0">
              <w:rPr>
                <w:rFonts w:ascii="Arial" w:hAnsi="Arial" w:cs="Arial"/>
                <w:sz w:val="18"/>
                <w:szCs w:val="18"/>
              </w:rPr>
              <w:t>67.620</w:t>
            </w:r>
          </w:p>
        </w:tc>
      </w:tr>
      <w:tr w:rsidR="002F13DE" w:rsidRPr="003D1614" w14:paraId="5DB13926" w14:textId="77777777" w:rsidTr="00B55DF9">
        <w:trPr>
          <w:trHeight w:hRule="exact" w:val="382"/>
        </w:trPr>
        <w:tc>
          <w:tcPr>
            <w:tcW w:w="1844" w:type="pct"/>
            <w:shd w:val="clear" w:color="auto" w:fill="auto"/>
            <w:vAlign w:val="bottom"/>
          </w:tcPr>
          <w:p w14:paraId="5BED384A" w14:textId="77777777" w:rsidR="002F13DE" w:rsidRPr="003D1614" w:rsidRDefault="002F13DE" w:rsidP="002F13DE">
            <w:pPr>
              <w:tabs>
                <w:tab w:val="left" w:pos="-720"/>
              </w:tabs>
              <w:suppressAutoHyphens/>
              <w:autoSpaceDN w:val="0"/>
              <w:spacing w:line="240" w:lineRule="exact"/>
              <w:ind w:right="-6"/>
              <w:rPr>
                <w:rFonts w:ascii="Arial" w:eastAsia="Times New Roman" w:hAnsi="Arial" w:cs="Arial"/>
                <w:color w:val="000000" w:themeColor="text1"/>
                <w:sz w:val="18"/>
                <w:szCs w:val="18"/>
              </w:rPr>
            </w:pPr>
            <w:r w:rsidRPr="003D1614">
              <w:rPr>
                <w:rFonts w:ascii="Arial" w:eastAsia="Times New Roman" w:hAnsi="Arial" w:cs="Arial"/>
                <w:b/>
                <w:color w:val="000000" w:themeColor="text1"/>
                <w:sz w:val="18"/>
                <w:szCs w:val="18"/>
              </w:rPr>
              <w:t>Ukupno</w:t>
            </w:r>
          </w:p>
        </w:tc>
        <w:tc>
          <w:tcPr>
            <w:tcW w:w="789" w:type="pct"/>
            <w:tcBorders>
              <w:top w:val="single" w:sz="4" w:space="0" w:color="auto"/>
              <w:left w:val="nil"/>
              <w:bottom w:val="single" w:sz="12" w:space="0" w:color="auto"/>
              <w:right w:val="nil"/>
            </w:tcBorders>
            <w:shd w:val="clear" w:color="auto" w:fill="auto"/>
            <w:vAlign w:val="bottom"/>
          </w:tcPr>
          <w:p w14:paraId="36954833" w14:textId="42455116" w:rsidR="002F13DE" w:rsidRPr="0056069E" w:rsidRDefault="002F13DE" w:rsidP="002F13DE">
            <w:pPr>
              <w:tabs>
                <w:tab w:val="left" w:pos="-720"/>
              </w:tabs>
              <w:suppressAutoHyphens/>
              <w:autoSpaceDN w:val="0"/>
              <w:ind w:right="-5"/>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4.013.854</w:t>
            </w:r>
          </w:p>
        </w:tc>
        <w:tc>
          <w:tcPr>
            <w:tcW w:w="789" w:type="pct"/>
            <w:tcBorders>
              <w:top w:val="single" w:sz="4" w:space="0" w:color="auto"/>
              <w:left w:val="nil"/>
              <w:bottom w:val="single" w:sz="12" w:space="0" w:color="auto"/>
              <w:right w:val="nil"/>
            </w:tcBorders>
            <w:shd w:val="clear" w:color="auto" w:fill="auto"/>
            <w:vAlign w:val="bottom"/>
          </w:tcPr>
          <w:p w14:paraId="17FF93C9" w14:textId="54B44FF1" w:rsidR="002F13DE" w:rsidRPr="0056069E" w:rsidRDefault="002F13DE" w:rsidP="002F13DE">
            <w:pPr>
              <w:tabs>
                <w:tab w:val="left" w:pos="-720"/>
              </w:tabs>
              <w:suppressAutoHyphens/>
              <w:autoSpaceDN w:val="0"/>
              <w:ind w:right="-5"/>
              <w:jc w:val="right"/>
              <w:rPr>
                <w:rFonts w:ascii="Arial" w:eastAsia="Times New Roman" w:hAnsi="Arial" w:cs="Arial"/>
                <w:b/>
                <w:bCs/>
                <w:color w:val="000000" w:themeColor="text1"/>
                <w:sz w:val="18"/>
                <w:szCs w:val="18"/>
              </w:rPr>
            </w:pPr>
            <w:r w:rsidRPr="00B4232F">
              <w:rPr>
                <w:rFonts w:ascii="Arial" w:hAnsi="Arial" w:cs="Arial"/>
                <w:b/>
                <w:bCs/>
                <w:color w:val="000000"/>
                <w:sz w:val="18"/>
                <w:szCs w:val="18"/>
              </w:rPr>
              <w:t>4.014.377</w:t>
            </w:r>
          </w:p>
        </w:tc>
        <w:tc>
          <w:tcPr>
            <w:tcW w:w="789" w:type="pct"/>
            <w:tcBorders>
              <w:top w:val="single" w:sz="4" w:space="0" w:color="auto"/>
              <w:left w:val="nil"/>
              <w:bottom w:val="single" w:sz="12" w:space="0" w:color="auto"/>
              <w:right w:val="nil"/>
            </w:tcBorders>
            <w:shd w:val="clear" w:color="auto" w:fill="auto"/>
            <w:vAlign w:val="bottom"/>
          </w:tcPr>
          <w:p w14:paraId="42D555E5" w14:textId="675A38D8" w:rsidR="002F13DE" w:rsidRPr="009E7AF9" w:rsidRDefault="002F13DE" w:rsidP="002F13DE">
            <w:pPr>
              <w:tabs>
                <w:tab w:val="left" w:pos="-720"/>
              </w:tabs>
              <w:suppressAutoHyphens/>
              <w:autoSpaceDN w:val="0"/>
              <w:ind w:right="-5"/>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4.003.333</w:t>
            </w:r>
          </w:p>
        </w:tc>
        <w:tc>
          <w:tcPr>
            <w:tcW w:w="789" w:type="pct"/>
            <w:tcBorders>
              <w:top w:val="single" w:sz="4" w:space="0" w:color="auto"/>
              <w:left w:val="nil"/>
              <w:bottom w:val="single" w:sz="12" w:space="0" w:color="auto"/>
              <w:right w:val="nil"/>
            </w:tcBorders>
            <w:shd w:val="clear" w:color="auto" w:fill="auto"/>
            <w:vAlign w:val="bottom"/>
          </w:tcPr>
          <w:p w14:paraId="0D4CFDCC" w14:textId="246BAD8A" w:rsidR="002F13DE" w:rsidRPr="0056069E" w:rsidRDefault="002F13DE" w:rsidP="002F13DE">
            <w:pPr>
              <w:tabs>
                <w:tab w:val="left" w:pos="-720"/>
              </w:tabs>
              <w:suppressAutoHyphens/>
              <w:autoSpaceDN w:val="0"/>
              <w:ind w:right="-5"/>
              <w:jc w:val="right"/>
              <w:rPr>
                <w:rFonts w:ascii="Arial" w:eastAsia="Times New Roman" w:hAnsi="Arial" w:cs="Arial"/>
                <w:color w:val="000000" w:themeColor="text1"/>
                <w:sz w:val="18"/>
                <w:szCs w:val="18"/>
              </w:rPr>
            </w:pPr>
            <w:r w:rsidRPr="00F959D0">
              <w:rPr>
                <w:rFonts w:ascii="Arial" w:hAnsi="Arial" w:cs="Arial"/>
                <w:b/>
                <w:bCs/>
                <w:sz w:val="18"/>
                <w:szCs w:val="18"/>
              </w:rPr>
              <w:t>4.004.221</w:t>
            </w:r>
          </w:p>
        </w:tc>
      </w:tr>
      <w:tr w:rsidR="002F13DE" w:rsidRPr="003D1614" w14:paraId="54EEEB14" w14:textId="77777777" w:rsidTr="0056069E">
        <w:trPr>
          <w:trHeight w:hRule="exact" w:val="382"/>
        </w:trPr>
        <w:tc>
          <w:tcPr>
            <w:tcW w:w="1844" w:type="pct"/>
            <w:shd w:val="clear" w:color="auto" w:fill="auto"/>
            <w:vAlign w:val="bottom"/>
          </w:tcPr>
          <w:p w14:paraId="72EA4FED" w14:textId="77777777" w:rsidR="002F13DE" w:rsidRPr="003D1614" w:rsidRDefault="002F13DE" w:rsidP="002F13DE">
            <w:pPr>
              <w:tabs>
                <w:tab w:val="left" w:pos="-720"/>
              </w:tabs>
              <w:suppressAutoHyphens/>
              <w:autoSpaceDN w:val="0"/>
              <w:spacing w:line="240" w:lineRule="exact"/>
              <w:ind w:right="-6"/>
              <w:rPr>
                <w:rFonts w:ascii="Arial" w:eastAsia="Times New Roman" w:hAnsi="Arial" w:cs="Arial"/>
                <w:b/>
                <w:color w:val="000000" w:themeColor="text1"/>
                <w:sz w:val="18"/>
                <w:szCs w:val="18"/>
              </w:rPr>
            </w:pPr>
          </w:p>
        </w:tc>
        <w:tc>
          <w:tcPr>
            <w:tcW w:w="789" w:type="pct"/>
            <w:tcBorders>
              <w:top w:val="single" w:sz="12" w:space="0" w:color="auto"/>
            </w:tcBorders>
            <w:shd w:val="clear" w:color="auto" w:fill="auto"/>
            <w:vAlign w:val="bottom"/>
          </w:tcPr>
          <w:p w14:paraId="2209313C" w14:textId="77777777" w:rsidR="002F13DE" w:rsidRPr="0056069E" w:rsidRDefault="002F13DE" w:rsidP="002F13DE">
            <w:pPr>
              <w:tabs>
                <w:tab w:val="left" w:pos="-720"/>
              </w:tabs>
              <w:suppressAutoHyphens/>
              <w:autoSpaceDN w:val="0"/>
              <w:ind w:right="-5"/>
              <w:jc w:val="right"/>
              <w:rPr>
                <w:rFonts w:ascii="Arial" w:eastAsia="Times New Roman" w:hAnsi="Arial" w:cs="Arial"/>
                <w:color w:val="000000" w:themeColor="text1"/>
                <w:sz w:val="18"/>
                <w:szCs w:val="18"/>
              </w:rPr>
            </w:pPr>
          </w:p>
        </w:tc>
        <w:tc>
          <w:tcPr>
            <w:tcW w:w="789" w:type="pct"/>
            <w:tcBorders>
              <w:top w:val="single" w:sz="12" w:space="0" w:color="auto"/>
            </w:tcBorders>
            <w:shd w:val="clear" w:color="auto" w:fill="auto"/>
            <w:vAlign w:val="bottom"/>
          </w:tcPr>
          <w:p w14:paraId="55B28145" w14:textId="77777777" w:rsidR="002F13DE" w:rsidRPr="0056069E" w:rsidRDefault="002F13DE" w:rsidP="002F13DE">
            <w:pPr>
              <w:tabs>
                <w:tab w:val="left" w:pos="-720"/>
              </w:tabs>
              <w:suppressAutoHyphens/>
              <w:autoSpaceDN w:val="0"/>
              <w:ind w:right="-5"/>
              <w:jc w:val="right"/>
              <w:rPr>
                <w:rFonts w:ascii="Arial" w:eastAsia="Times New Roman" w:hAnsi="Arial" w:cs="Arial"/>
                <w:color w:val="000000" w:themeColor="text1"/>
                <w:sz w:val="18"/>
                <w:szCs w:val="18"/>
              </w:rPr>
            </w:pPr>
          </w:p>
        </w:tc>
        <w:tc>
          <w:tcPr>
            <w:tcW w:w="789" w:type="pct"/>
            <w:tcBorders>
              <w:top w:val="single" w:sz="12" w:space="0" w:color="auto"/>
            </w:tcBorders>
            <w:shd w:val="clear" w:color="auto" w:fill="auto"/>
            <w:vAlign w:val="bottom"/>
          </w:tcPr>
          <w:p w14:paraId="3C160FEE" w14:textId="77777777" w:rsidR="002F13DE" w:rsidRPr="0056069E" w:rsidRDefault="002F13DE" w:rsidP="002F13DE">
            <w:pPr>
              <w:tabs>
                <w:tab w:val="left" w:pos="-720"/>
              </w:tabs>
              <w:suppressAutoHyphens/>
              <w:autoSpaceDN w:val="0"/>
              <w:ind w:right="-5"/>
              <w:jc w:val="right"/>
              <w:rPr>
                <w:rFonts w:ascii="Arial" w:eastAsia="Times New Roman" w:hAnsi="Arial" w:cs="Arial"/>
                <w:color w:val="000000" w:themeColor="text1"/>
                <w:sz w:val="18"/>
                <w:szCs w:val="18"/>
              </w:rPr>
            </w:pPr>
          </w:p>
        </w:tc>
        <w:tc>
          <w:tcPr>
            <w:tcW w:w="789" w:type="pct"/>
            <w:tcBorders>
              <w:top w:val="single" w:sz="12" w:space="0" w:color="auto"/>
            </w:tcBorders>
            <w:shd w:val="clear" w:color="auto" w:fill="auto"/>
            <w:vAlign w:val="bottom"/>
          </w:tcPr>
          <w:p w14:paraId="356DEB76" w14:textId="77777777" w:rsidR="002F13DE" w:rsidRPr="0056069E" w:rsidRDefault="002F13DE" w:rsidP="002F13DE">
            <w:pPr>
              <w:tabs>
                <w:tab w:val="left" w:pos="-720"/>
              </w:tabs>
              <w:suppressAutoHyphens/>
              <w:autoSpaceDN w:val="0"/>
              <w:ind w:right="-5"/>
              <w:jc w:val="right"/>
              <w:rPr>
                <w:rFonts w:ascii="Arial" w:eastAsia="Times New Roman" w:hAnsi="Arial" w:cs="Arial"/>
                <w:color w:val="000000" w:themeColor="text1"/>
                <w:sz w:val="18"/>
                <w:szCs w:val="18"/>
              </w:rPr>
            </w:pPr>
          </w:p>
        </w:tc>
      </w:tr>
      <w:tr w:rsidR="002F13DE" w:rsidRPr="003D1614" w14:paraId="59B22047" w14:textId="77777777" w:rsidTr="0056069E">
        <w:trPr>
          <w:trHeight w:hRule="exact" w:val="284"/>
        </w:trPr>
        <w:tc>
          <w:tcPr>
            <w:tcW w:w="1844" w:type="pct"/>
            <w:shd w:val="clear" w:color="auto" w:fill="auto"/>
            <w:vAlign w:val="bottom"/>
          </w:tcPr>
          <w:p w14:paraId="6CBD369B" w14:textId="77777777" w:rsidR="002F13DE" w:rsidRPr="003D1614" w:rsidRDefault="002F13DE" w:rsidP="002F13DE">
            <w:pPr>
              <w:tabs>
                <w:tab w:val="left" w:pos="-720"/>
              </w:tabs>
              <w:suppressAutoHyphens/>
              <w:autoSpaceDN w:val="0"/>
              <w:spacing w:line="240" w:lineRule="exact"/>
              <w:ind w:right="-6"/>
              <w:rPr>
                <w:rFonts w:ascii="Arial" w:eastAsia="Times New Roman" w:hAnsi="Arial" w:cs="Arial"/>
                <w:color w:val="000000" w:themeColor="text1"/>
                <w:sz w:val="18"/>
                <w:szCs w:val="18"/>
              </w:rPr>
            </w:pPr>
            <w:r w:rsidRPr="003D1614">
              <w:rPr>
                <w:rFonts w:ascii="Arial" w:eastAsia="Times New Roman" w:hAnsi="Arial" w:cs="Arial"/>
                <w:b/>
                <w:color w:val="000000" w:themeColor="text1"/>
                <w:sz w:val="18"/>
                <w:szCs w:val="18"/>
              </w:rPr>
              <w:t>Obveze</w:t>
            </w:r>
          </w:p>
        </w:tc>
        <w:tc>
          <w:tcPr>
            <w:tcW w:w="789" w:type="pct"/>
            <w:shd w:val="clear" w:color="auto" w:fill="auto"/>
            <w:vAlign w:val="bottom"/>
          </w:tcPr>
          <w:p w14:paraId="31E4B811" w14:textId="77777777" w:rsidR="002F13DE" w:rsidRPr="0056069E" w:rsidRDefault="002F13DE" w:rsidP="002F13DE">
            <w:pPr>
              <w:tabs>
                <w:tab w:val="left" w:pos="-720"/>
              </w:tabs>
              <w:suppressAutoHyphens/>
              <w:autoSpaceDN w:val="0"/>
              <w:ind w:right="-5"/>
              <w:jc w:val="right"/>
              <w:rPr>
                <w:rFonts w:ascii="Arial" w:eastAsia="Times New Roman" w:hAnsi="Arial" w:cs="Arial"/>
                <w:color w:val="000000" w:themeColor="text1"/>
                <w:sz w:val="18"/>
                <w:szCs w:val="18"/>
              </w:rPr>
            </w:pPr>
          </w:p>
        </w:tc>
        <w:tc>
          <w:tcPr>
            <w:tcW w:w="789" w:type="pct"/>
            <w:shd w:val="clear" w:color="auto" w:fill="auto"/>
            <w:vAlign w:val="bottom"/>
          </w:tcPr>
          <w:p w14:paraId="2E764369" w14:textId="77777777" w:rsidR="002F13DE" w:rsidRPr="003D1614" w:rsidRDefault="002F13DE" w:rsidP="002F13DE">
            <w:pPr>
              <w:tabs>
                <w:tab w:val="left" w:pos="-720"/>
              </w:tabs>
              <w:suppressAutoHyphens/>
              <w:autoSpaceDN w:val="0"/>
              <w:ind w:right="-5"/>
              <w:jc w:val="right"/>
              <w:rPr>
                <w:rFonts w:ascii="Arial" w:eastAsia="Times New Roman" w:hAnsi="Arial" w:cs="Arial"/>
                <w:color w:val="000000" w:themeColor="text1"/>
                <w:sz w:val="18"/>
                <w:szCs w:val="18"/>
              </w:rPr>
            </w:pPr>
          </w:p>
        </w:tc>
        <w:tc>
          <w:tcPr>
            <w:tcW w:w="789" w:type="pct"/>
            <w:shd w:val="clear" w:color="auto" w:fill="auto"/>
            <w:vAlign w:val="bottom"/>
          </w:tcPr>
          <w:p w14:paraId="0A04E7D1" w14:textId="77777777" w:rsidR="002F13DE" w:rsidRPr="0056069E" w:rsidRDefault="002F13DE" w:rsidP="002F13DE">
            <w:pPr>
              <w:tabs>
                <w:tab w:val="left" w:pos="-720"/>
              </w:tabs>
              <w:suppressAutoHyphens/>
              <w:autoSpaceDN w:val="0"/>
              <w:ind w:right="-5"/>
              <w:jc w:val="right"/>
              <w:rPr>
                <w:rFonts w:ascii="Arial" w:eastAsia="Times New Roman" w:hAnsi="Arial" w:cs="Arial"/>
                <w:color w:val="000000" w:themeColor="text1"/>
                <w:sz w:val="18"/>
                <w:szCs w:val="18"/>
              </w:rPr>
            </w:pPr>
          </w:p>
        </w:tc>
        <w:tc>
          <w:tcPr>
            <w:tcW w:w="789" w:type="pct"/>
            <w:shd w:val="clear" w:color="auto" w:fill="auto"/>
            <w:vAlign w:val="bottom"/>
          </w:tcPr>
          <w:p w14:paraId="793DFA24" w14:textId="77777777" w:rsidR="002F13DE" w:rsidRPr="003D1614" w:rsidRDefault="002F13DE" w:rsidP="002F13DE">
            <w:pPr>
              <w:tabs>
                <w:tab w:val="left" w:pos="-720"/>
              </w:tabs>
              <w:suppressAutoHyphens/>
              <w:autoSpaceDN w:val="0"/>
              <w:ind w:right="-5"/>
              <w:jc w:val="right"/>
              <w:rPr>
                <w:rFonts w:ascii="Arial" w:eastAsia="Times New Roman" w:hAnsi="Arial" w:cs="Arial"/>
                <w:color w:val="000000" w:themeColor="text1"/>
                <w:sz w:val="18"/>
                <w:szCs w:val="18"/>
              </w:rPr>
            </w:pPr>
          </w:p>
        </w:tc>
      </w:tr>
      <w:tr w:rsidR="002F13DE" w:rsidRPr="003D1614" w14:paraId="39AA7EDC" w14:textId="77777777" w:rsidTr="0056069E">
        <w:trPr>
          <w:trHeight w:hRule="exact" w:val="284"/>
        </w:trPr>
        <w:tc>
          <w:tcPr>
            <w:tcW w:w="1844" w:type="pct"/>
            <w:shd w:val="clear" w:color="auto" w:fill="auto"/>
            <w:vAlign w:val="bottom"/>
          </w:tcPr>
          <w:p w14:paraId="218D1E89" w14:textId="77777777" w:rsidR="002F13DE" w:rsidRPr="003D1614" w:rsidRDefault="002F13DE" w:rsidP="002F13DE">
            <w:pPr>
              <w:tabs>
                <w:tab w:val="left" w:pos="-720"/>
              </w:tabs>
              <w:suppressAutoHyphens/>
              <w:autoSpaceDN w:val="0"/>
              <w:spacing w:line="240" w:lineRule="exact"/>
              <w:ind w:right="-6"/>
              <w:rPr>
                <w:rFonts w:ascii="Arial" w:eastAsia="Times New Roman" w:hAnsi="Arial" w:cs="Arial"/>
                <w:b/>
                <w:color w:val="000000" w:themeColor="text1"/>
                <w:sz w:val="18"/>
                <w:szCs w:val="18"/>
              </w:rPr>
            </w:pPr>
          </w:p>
        </w:tc>
        <w:tc>
          <w:tcPr>
            <w:tcW w:w="789" w:type="pct"/>
            <w:shd w:val="clear" w:color="auto" w:fill="auto"/>
            <w:vAlign w:val="bottom"/>
          </w:tcPr>
          <w:p w14:paraId="3DD91FF9" w14:textId="77777777" w:rsidR="002F13DE" w:rsidRPr="0056069E" w:rsidRDefault="002F13DE" w:rsidP="002F13DE">
            <w:pPr>
              <w:tabs>
                <w:tab w:val="left" w:pos="-720"/>
              </w:tabs>
              <w:suppressAutoHyphens/>
              <w:autoSpaceDN w:val="0"/>
              <w:ind w:right="-5"/>
              <w:jc w:val="right"/>
              <w:rPr>
                <w:rFonts w:ascii="Arial" w:eastAsia="Times New Roman" w:hAnsi="Arial" w:cs="Arial"/>
                <w:color w:val="000000" w:themeColor="text1"/>
                <w:sz w:val="18"/>
                <w:szCs w:val="18"/>
              </w:rPr>
            </w:pPr>
          </w:p>
        </w:tc>
        <w:tc>
          <w:tcPr>
            <w:tcW w:w="789" w:type="pct"/>
            <w:shd w:val="clear" w:color="auto" w:fill="auto"/>
            <w:vAlign w:val="bottom"/>
          </w:tcPr>
          <w:p w14:paraId="4DAC61C2" w14:textId="77777777" w:rsidR="002F13DE" w:rsidRPr="003D1614" w:rsidRDefault="002F13DE" w:rsidP="002F13DE">
            <w:pPr>
              <w:tabs>
                <w:tab w:val="left" w:pos="-720"/>
              </w:tabs>
              <w:suppressAutoHyphens/>
              <w:autoSpaceDN w:val="0"/>
              <w:ind w:right="-5"/>
              <w:jc w:val="right"/>
              <w:rPr>
                <w:rFonts w:ascii="Arial" w:eastAsia="Times New Roman" w:hAnsi="Arial" w:cs="Arial"/>
                <w:color w:val="000000" w:themeColor="text1"/>
                <w:sz w:val="18"/>
                <w:szCs w:val="18"/>
              </w:rPr>
            </w:pPr>
          </w:p>
        </w:tc>
        <w:tc>
          <w:tcPr>
            <w:tcW w:w="789" w:type="pct"/>
            <w:shd w:val="clear" w:color="auto" w:fill="auto"/>
            <w:vAlign w:val="bottom"/>
          </w:tcPr>
          <w:p w14:paraId="692F2232" w14:textId="77777777" w:rsidR="002F13DE" w:rsidRPr="0056069E" w:rsidRDefault="002F13DE" w:rsidP="002F13DE">
            <w:pPr>
              <w:tabs>
                <w:tab w:val="left" w:pos="-720"/>
              </w:tabs>
              <w:suppressAutoHyphens/>
              <w:autoSpaceDN w:val="0"/>
              <w:ind w:right="-5"/>
              <w:jc w:val="right"/>
              <w:rPr>
                <w:rFonts w:ascii="Arial" w:eastAsia="Times New Roman" w:hAnsi="Arial" w:cs="Arial"/>
                <w:color w:val="000000" w:themeColor="text1"/>
                <w:sz w:val="18"/>
                <w:szCs w:val="18"/>
              </w:rPr>
            </w:pPr>
          </w:p>
        </w:tc>
        <w:tc>
          <w:tcPr>
            <w:tcW w:w="789" w:type="pct"/>
            <w:shd w:val="clear" w:color="auto" w:fill="auto"/>
            <w:vAlign w:val="bottom"/>
          </w:tcPr>
          <w:p w14:paraId="503FC662" w14:textId="77777777" w:rsidR="002F13DE" w:rsidRPr="003D1614" w:rsidRDefault="002F13DE" w:rsidP="002F13DE">
            <w:pPr>
              <w:tabs>
                <w:tab w:val="left" w:pos="-720"/>
              </w:tabs>
              <w:suppressAutoHyphens/>
              <w:autoSpaceDN w:val="0"/>
              <w:ind w:right="-5"/>
              <w:jc w:val="right"/>
              <w:rPr>
                <w:rFonts w:ascii="Arial" w:eastAsia="Times New Roman" w:hAnsi="Arial" w:cs="Arial"/>
                <w:color w:val="000000" w:themeColor="text1"/>
                <w:sz w:val="18"/>
                <w:szCs w:val="18"/>
              </w:rPr>
            </w:pPr>
          </w:p>
        </w:tc>
      </w:tr>
      <w:tr w:rsidR="002F13DE" w:rsidRPr="003D1614" w14:paraId="6F863B76" w14:textId="77777777" w:rsidTr="009E7AF9">
        <w:trPr>
          <w:trHeight w:hRule="exact" w:val="284"/>
        </w:trPr>
        <w:tc>
          <w:tcPr>
            <w:tcW w:w="1844" w:type="pct"/>
            <w:shd w:val="clear" w:color="auto" w:fill="auto"/>
            <w:vAlign w:val="bottom"/>
          </w:tcPr>
          <w:p w14:paraId="5CD18EEB" w14:textId="77777777" w:rsidR="002F13DE" w:rsidRPr="003D1614" w:rsidRDefault="002F13DE" w:rsidP="002F13DE">
            <w:pPr>
              <w:tabs>
                <w:tab w:val="left" w:pos="-720"/>
              </w:tabs>
              <w:suppressAutoHyphens/>
              <w:autoSpaceDN w:val="0"/>
              <w:spacing w:line="240" w:lineRule="exact"/>
              <w:ind w:right="-6"/>
              <w:rPr>
                <w:rFonts w:ascii="Arial" w:eastAsia="Times New Roman" w:hAnsi="Arial" w:cs="Arial"/>
                <w:b/>
                <w:color w:val="000000" w:themeColor="text1"/>
                <w:sz w:val="18"/>
                <w:szCs w:val="18"/>
              </w:rPr>
            </w:pPr>
            <w:r w:rsidRPr="003D1614">
              <w:rPr>
                <w:rFonts w:ascii="Arial" w:eastAsia="Times New Roman" w:hAnsi="Arial" w:cs="Arial"/>
                <w:color w:val="000000" w:themeColor="text1"/>
                <w:sz w:val="18"/>
                <w:szCs w:val="18"/>
              </w:rPr>
              <w:t>Obveze uz fiksnu kamatnu stopu</w:t>
            </w:r>
          </w:p>
        </w:tc>
        <w:tc>
          <w:tcPr>
            <w:tcW w:w="789" w:type="pct"/>
            <w:tcBorders>
              <w:top w:val="nil"/>
              <w:left w:val="nil"/>
              <w:bottom w:val="nil"/>
              <w:right w:val="nil"/>
            </w:tcBorders>
            <w:shd w:val="clear" w:color="auto" w:fill="auto"/>
            <w:vAlign w:val="bottom"/>
          </w:tcPr>
          <w:p w14:paraId="6E64B4C5" w14:textId="40D13FBD" w:rsidR="002F13DE" w:rsidRPr="0056069E" w:rsidRDefault="002F13DE" w:rsidP="002F13DE">
            <w:pPr>
              <w:tabs>
                <w:tab w:val="left" w:pos="-720"/>
              </w:tabs>
              <w:suppressAutoHyphens/>
              <w:autoSpaceDN w:val="0"/>
              <w:ind w:right="-5"/>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2.285.492</w:t>
            </w:r>
          </w:p>
        </w:tc>
        <w:tc>
          <w:tcPr>
            <w:tcW w:w="789" w:type="pct"/>
            <w:tcBorders>
              <w:top w:val="nil"/>
              <w:left w:val="nil"/>
              <w:bottom w:val="nil"/>
              <w:right w:val="nil"/>
            </w:tcBorders>
            <w:shd w:val="clear" w:color="auto" w:fill="auto"/>
            <w:vAlign w:val="bottom"/>
          </w:tcPr>
          <w:p w14:paraId="2877DCE2" w14:textId="51ED4A91" w:rsidR="002F13DE" w:rsidRPr="003D1614" w:rsidRDefault="002F13DE" w:rsidP="002F13DE">
            <w:pPr>
              <w:tabs>
                <w:tab w:val="left" w:pos="-720"/>
              </w:tabs>
              <w:suppressAutoHyphens/>
              <w:autoSpaceDN w:val="0"/>
              <w:ind w:right="-5"/>
              <w:jc w:val="right"/>
              <w:rPr>
                <w:rFonts w:ascii="Arial" w:eastAsia="Times New Roman" w:hAnsi="Arial" w:cs="Arial"/>
                <w:color w:val="000000" w:themeColor="text1"/>
                <w:sz w:val="18"/>
                <w:szCs w:val="18"/>
              </w:rPr>
            </w:pPr>
            <w:r w:rsidRPr="00F959D0">
              <w:rPr>
                <w:rFonts w:ascii="Arial" w:hAnsi="Arial" w:cs="Arial"/>
                <w:sz w:val="18"/>
                <w:szCs w:val="18"/>
              </w:rPr>
              <w:t xml:space="preserve"> 2.276.224 </w:t>
            </w:r>
          </w:p>
        </w:tc>
        <w:tc>
          <w:tcPr>
            <w:tcW w:w="789" w:type="pct"/>
            <w:tcBorders>
              <w:top w:val="nil"/>
              <w:left w:val="nil"/>
              <w:bottom w:val="nil"/>
              <w:right w:val="nil"/>
            </w:tcBorders>
            <w:shd w:val="clear" w:color="auto" w:fill="auto"/>
            <w:vAlign w:val="bottom"/>
          </w:tcPr>
          <w:p w14:paraId="1961928F" w14:textId="37D18CBE" w:rsidR="002F13DE" w:rsidRPr="0056069E" w:rsidRDefault="002F13DE" w:rsidP="002F13DE">
            <w:pPr>
              <w:tabs>
                <w:tab w:val="left" w:pos="-720"/>
              </w:tabs>
              <w:suppressAutoHyphens/>
              <w:autoSpaceDN w:val="0"/>
              <w:ind w:right="-5"/>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2.285.492</w:t>
            </w:r>
          </w:p>
        </w:tc>
        <w:tc>
          <w:tcPr>
            <w:tcW w:w="789" w:type="pct"/>
            <w:tcBorders>
              <w:top w:val="nil"/>
              <w:left w:val="nil"/>
              <w:bottom w:val="nil"/>
              <w:right w:val="nil"/>
            </w:tcBorders>
            <w:shd w:val="clear" w:color="auto" w:fill="auto"/>
            <w:vAlign w:val="bottom"/>
          </w:tcPr>
          <w:p w14:paraId="4F40443A" w14:textId="175288CD" w:rsidR="002F13DE" w:rsidRPr="003D1614" w:rsidRDefault="002F13DE" w:rsidP="002F13DE">
            <w:pPr>
              <w:tabs>
                <w:tab w:val="left" w:pos="-720"/>
              </w:tabs>
              <w:suppressAutoHyphens/>
              <w:autoSpaceDN w:val="0"/>
              <w:ind w:right="-5"/>
              <w:jc w:val="right"/>
              <w:rPr>
                <w:rFonts w:ascii="Arial" w:eastAsia="Times New Roman" w:hAnsi="Arial" w:cs="Arial"/>
                <w:color w:val="000000" w:themeColor="text1"/>
                <w:sz w:val="18"/>
                <w:szCs w:val="18"/>
              </w:rPr>
            </w:pPr>
            <w:r w:rsidRPr="00F959D0">
              <w:rPr>
                <w:rFonts w:ascii="Arial" w:hAnsi="Arial" w:cs="Arial"/>
                <w:sz w:val="18"/>
                <w:szCs w:val="18"/>
              </w:rPr>
              <w:t>2.276.224</w:t>
            </w:r>
          </w:p>
        </w:tc>
      </w:tr>
      <w:tr w:rsidR="002F13DE" w:rsidRPr="003D1614" w14:paraId="605EF5E5" w14:textId="77777777" w:rsidTr="009E7AF9">
        <w:trPr>
          <w:trHeight w:hRule="exact" w:val="284"/>
        </w:trPr>
        <w:tc>
          <w:tcPr>
            <w:tcW w:w="1844" w:type="pct"/>
            <w:shd w:val="clear" w:color="auto" w:fill="auto"/>
            <w:vAlign w:val="bottom"/>
          </w:tcPr>
          <w:p w14:paraId="0BA40845" w14:textId="77777777" w:rsidR="002F13DE" w:rsidRPr="003D1614" w:rsidRDefault="002F13DE" w:rsidP="002F13DE">
            <w:pPr>
              <w:tabs>
                <w:tab w:val="left" w:pos="-720"/>
              </w:tabs>
              <w:suppressAutoHyphens/>
              <w:autoSpaceDN w:val="0"/>
              <w:spacing w:line="240" w:lineRule="exact"/>
              <w:ind w:right="-6"/>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Obveze uz varijabilnu kamatnu stopu</w:t>
            </w:r>
          </w:p>
        </w:tc>
        <w:tc>
          <w:tcPr>
            <w:tcW w:w="789" w:type="pct"/>
            <w:tcBorders>
              <w:top w:val="nil"/>
              <w:left w:val="nil"/>
              <w:bottom w:val="nil"/>
              <w:right w:val="nil"/>
            </w:tcBorders>
            <w:shd w:val="clear" w:color="auto" w:fill="auto"/>
            <w:vAlign w:val="bottom"/>
          </w:tcPr>
          <w:p w14:paraId="2EDDEFD9" w14:textId="368704DC" w:rsidR="002F13DE" w:rsidRPr="0056069E" w:rsidRDefault="002F13DE" w:rsidP="002F13DE">
            <w:pPr>
              <w:tabs>
                <w:tab w:val="left" w:pos="-720"/>
              </w:tabs>
              <w:suppressAutoHyphens/>
              <w:autoSpaceDN w:val="0"/>
              <w:ind w:right="-5"/>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60.210</w:t>
            </w:r>
          </w:p>
        </w:tc>
        <w:tc>
          <w:tcPr>
            <w:tcW w:w="789" w:type="pct"/>
            <w:tcBorders>
              <w:top w:val="nil"/>
              <w:left w:val="nil"/>
              <w:bottom w:val="nil"/>
              <w:right w:val="nil"/>
            </w:tcBorders>
            <w:shd w:val="clear" w:color="auto" w:fill="auto"/>
            <w:vAlign w:val="bottom"/>
          </w:tcPr>
          <w:p w14:paraId="134714D4" w14:textId="5456D812" w:rsidR="002F13DE" w:rsidRPr="003D1614" w:rsidRDefault="002F13DE" w:rsidP="002F13DE">
            <w:pPr>
              <w:tabs>
                <w:tab w:val="left" w:pos="-720"/>
              </w:tabs>
              <w:suppressAutoHyphens/>
              <w:autoSpaceDN w:val="0"/>
              <w:ind w:right="-5"/>
              <w:jc w:val="right"/>
              <w:rPr>
                <w:rFonts w:ascii="Arial" w:eastAsia="Times New Roman" w:hAnsi="Arial" w:cs="Arial"/>
                <w:color w:val="000000" w:themeColor="text1"/>
                <w:sz w:val="18"/>
                <w:szCs w:val="18"/>
              </w:rPr>
            </w:pPr>
            <w:r w:rsidRPr="00F959D0">
              <w:rPr>
                <w:rFonts w:ascii="Arial" w:hAnsi="Arial" w:cs="Arial"/>
                <w:sz w:val="18"/>
                <w:szCs w:val="18"/>
              </w:rPr>
              <w:t>46.932</w:t>
            </w:r>
          </w:p>
        </w:tc>
        <w:tc>
          <w:tcPr>
            <w:tcW w:w="789" w:type="pct"/>
            <w:tcBorders>
              <w:top w:val="nil"/>
              <w:left w:val="nil"/>
              <w:bottom w:val="nil"/>
              <w:right w:val="nil"/>
            </w:tcBorders>
            <w:shd w:val="clear" w:color="auto" w:fill="auto"/>
            <w:vAlign w:val="bottom"/>
          </w:tcPr>
          <w:p w14:paraId="28F6B6F3" w14:textId="7D111921" w:rsidR="002F13DE" w:rsidRPr="0056069E" w:rsidRDefault="002F13DE" w:rsidP="002F13DE">
            <w:pPr>
              <w:tabs>
                <w:tab w:val="left" w:pos="-720"/>
              </w:tabs>
              <w:suppressAutoHyphens/>
              <w:autoSpaceDN w:val="0"/>
              <w:ind w:right="-5"/>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60.210</w:t>
            </w:r>
          </w:p>
        </w:tc>
        <w:tc>
          <w:tcPr>
            <w:tcW w:w="789" w:type="pct"/>
            <w:tcBorders>
              <w:top w:val="nil"/>
              <w:left w:val="nil"/>
              <w:bottom w:val="nil"/>
              <w:right w:val="nil"/>
            </w:tcBorders>
            <w:shd w:val="clear" w:color="auto" w:fill="auto"/>
            <w:vAlign w:val="bottom"/>
          </w:tcPr>
          <w:p w14:paraId="1BD54905" w14:textId="22ABFBD7" w:rsidR="002F13DE" w:rsidRPr="003D1614" w:rsidRDefault="002F13DE" w:rsidP="002F13DE">
            <w:pPr>
              <w:tabs>
                <w:tab w:val="left" w:pos="-720"/>
              </w:tabs>
              <w:suppressAutoHyphens/>
              <w:autoSpaceDN w:val="0"/>
              <w:ind w:right="-5"/>
              <w:jc w:val="right"/>
              <w:rPr>
                <w:rFonts w:ascii="Arial" w:eastAsia="Times New Roman" w:hAnsi="Arial" w:cs="Arial"/>
                <w:color w:val="000000" w:themeColor="text1"/>
                <w:sz w:val="18"/>
                <w:szCs w:val="18"/>
              </w:rPr>
            </w:pPr>
            <w:r w:rsidRPr="00F959D0">
              <w:rPr>
                <w:rFonts w:ascii="Arial" w:hAnsi="Arial" w:cs="Arial"/>
                <w:sz w:val="18"/>
                <w:szCs w:val="18"/>
              </w:rPr>
              <w:t>46.932</w:t>
            </w:r>
          </w:p>
        </w:tc>
      </w:tr>
      <w:tr w:rsidR="002F13DE" w:rsidRPr="003D1614" w14:paraId="1F3532A1" w14:textId="77777777" w:rsidTr="009E7AF9">
        <w:trPr>
          <w:trHeight w:hRule="exact" w:val="284"/>
        </w:trPr>
        <w:tc>
          <w:tcPr>
            <w:tcW w:w="1844" w:type="pct"/>
            <w:shd w:val="clear" w:color="auto" w:fill="auto"/>
            <w:vAlign w:val="bottom"/>
          </w:tcPr>
          <w:p w14:paraId="360C2B0F" w14:textId="77777777" w:rsidR="002F13DE" w:rsidRPr="003D1614" w:rsidRDefault="002F13DE" w:rsidP="002F13DE">
            <w:pPr>
              <w:tabs>
                <w:tab w:val="left" w:pos="-720"/>
              </w:tabs>
              <w:suppressAutoHyphens/>
              <w:autoSpaceDN w:val="0"/>
              <w:spacing w:line="240" w:lineRule="exact"/>
              <w:ind w:right="-6"/>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Beskamatno</w:t>
            </w:r>
          </w:p>
        </w:tc>
        <w:tc>
          <w:tcPr>
            <w:tcW w:w="789" w:type="pct"/>
            <w:tcBorders>
              <w:top w:val="nil"/>
              <w:left w:val="nil"/>
              <w:bottom w:val="single" w:sz="4" w:space="0" w:color="auto"/>
              <w:right w:val="nil"/>
            </w:tcBorders>
            <w:shd w:val="clear" w:color="auto" w:fill="auto"/>
            <w:vAlign w:val="bottom"/>
          </w:tcPr>
          <w:p w14:paraId="0BDCA243" w14:textId="74D24589" w:rsidR="002F13DE" w:rsidRPr="0056069E" w:rsidRDefault="002F13DE" w:rsidP="002F13DE">
            <w:pPr>
              <w:tabs>
                <w:tab w:val="left" w:pos="-720"/>
              </w:tabs>
              <w:suppressAutoHyphens/>
              <w:autoSpaceDN w:val="0"/>
              <w:ind w:right="-5"/>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171.061</w:t>
            </w:r>
          </w:p>
        </w:tc>
        <w:tc>
          <w:tcPr>
            <w:tcW w:w="789" w:type="pct"/>
            <w:tcBorders>
              <w:top w:val="nil"/>
              <w:left w:val="nil"/>
              <w:bottom w:val="single" w:sz="4" w:space="0" w:color="auto"/>
              <w:right w:val="nil"/>
            </w:tcBorders>
            <w:shd w:val="clear" w:color="auto" w:fill="auto"/>
            <w:vAlign w:val="bottom"/>
          </w:tcPr>
          <w:p w14:paraId="2A49A694" w14:textId="3AE91DA7" w:rsidR="002F13DE" w:rsidRPr="003D1614" w:rsidRDefault="002F13DE" w:rsidP="002F13DE">
            <w:pPr>
              <w:tabs>
                <w:tab w:val="left" w:pos="-720"/>
              </w:tabs>
              <w:suppressAutoHyphens/>
              <w:autoSpaceDN w:val="0"/>
              <w:ind w:right="-5"/>
              <w:jc w:val="right"/>
              <w:rPr>
                <w:rFonts w:ascii="Arial" w:eastAsia="Times New Roman" w:hAnsi="Arial" w:cs="Arial"/>
                <w:color w:val="000000" w:themeColor="text1"/>
                <w:sz w:val="18"/>
                <w:szCs w:val="18"/>
              </w:rPr>
            </w:pPr>
            <w:r w:rsidRPr="00F959D0">
              <w:rPr>
                <w:rFonts w:ascii="Arial" w:hAnsi="Arial" w:cs="Arial"/>
                <w:sz w:val="18"/>
                <w:szCs w:val="18"/>
              </w:rPr>
              <w:t xml:space="preserve"> 240.501 </w:t>
            </w:r>
          </w:p>
        </w:tc>
        <w:tc>
          <w:tcPr>
            <w:tcW w:w="789" w:type="pct"/>
            <w:tcBorders>
              <w:top w:val="nil"/>
              <w:left w:val="nil"/>
              <w:bottom w:val="single" w:sz="4" w:space="0" w:color="auto"/>
              <w:right w:val="nil"/>
            </w:tcBorders>
            <w:shd w:val="clear" w:color="auto" w:fill="auto"/>
            <w:vAlign w:val="bottom"/>
          </w:tcPr>
          <w:p w14:paraId="6688451E" w14:textId="13FE0B77" w:rsidR="002F13DE" w:rsidRPr="0056069E" w:rsidRDefault="002F13DE" w:rsidP="002F13DE">
            <w:pPr>
              <w:tabs>
                <w:tab w:val="left" w:pos="-720"/>
              </w:tabs>
              <w:suppressAutoHyphens/>
              <w:autoSpaceDN w:val="0"/>
              <w:ind w:right="-5"/>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168.245</w:t>
            </w:r>
          </w:p>
        </w:tc>
        <w:tc>
          <w:tcPr>
            <w:tcW w:w="789" w:type="pct"/>
            <w:tcBorders>
              <w:top w:val="nil"/>
              <w:left w:val="nil"/>
              <w:bottom w:val="single" w:sz="4" w:space="0" w:color="auto"/>
              <w:right w:val="nil"/>
            </w:tcBorders>
            <w:shd w:val="clear" w:color="auto" w:fill="auto"/>
            <w:vAlign w:val="bottom"/>
          </w:tcPr>
          <w:p w14:paraId="14D0896F" w14:textId="1C237280" w:rsidR="002F13DE" w:rsidRPr="003D1614" w:rsidRDefault="002F13DE" w:rsidP="002F13DE">
            <w:pPr>
              <w:tabs>
                <w:tab w:val="left" w:pos="-720"/>
              </w:tabs>
              <w:suppressAutoHyphens/>
              <w:autoSpaceDN w:val="0"/>
              <w:ind w:right="-5"/>
              <w:jc w:val="right"/>
              <w:rPr>
                <w:rFonts w:ascii="Arial" w:eastAsia="Times New Roman" w:hAnsi="Arial" w:cs="Arial"/>
                <w:color w:val="000000" w:themeColor="text1"/>
                <w:sz w:val="18"/>
                <w:szCs w:val="18"/>
              </w:rPr>
            </w:pPr>
            <w:r w:rsidRPr="00F959D0">
              <w:rPr>
                <w:rFonts w:ascii="Arial" w:hAnsi="Arial" w:cs="Arial"/>
                <w:sz w:val="18"/>
                <w:szCs w:val="18"/>
              </w:rPr>
              <w:t>238.005</w:t>
            </w:r>
          </w:p>
        </w:tc>
      </w:tr>
      <w:tr w:rsidR="002F13DE" w:rsidRPr="003D1614" w14:paraId="0A10E763" w14:textId="77777777" w:rsidTr="009E7AF9">
        <w:trPr>
          <w:trHeight w:hRule="exact" w:val="397"/>
        </w:trPr>
        <w:tc>
          <w:tcPr>
            <w:tcW w:w="1844" w:type="pct"/>
            <w:shd w:val="clear" w:color="auto" w:fill="auto"/>
            <w:vAlign w:val="bottom"/>
          </w:tcPr>
          <w:p w14:paraId="56E41305" w14:textId="77777777" w:rsidR="002F13DE" w:rsidRPr="003D1614" w:rsidRDefault="002F13DE" w:rsidP="002F13DE">
            <w:pPr>
              <w:tabs>
                <w:tab w:val="left" w:pos="-720"/>
              </w:tabs>
              <w:suppressAutoHyphens/>
              <w:autoSpaceDN w:val="0"/>
              <w:spacing w:line="240" w:lineRule="exact"/>
              <w:ind w:right="-6"/>
              <w:rPr>
                <w:rFonts w:ascii="Arial" w:eastAsia="Times New Roman" w:hAnsi="Arial" w:cs="Arial"/>
                <w:color w:val="000000" w:themeColor="text1"/>
                <w:sz w:val="18"/>
                <w:szCs w:val="18"/>
              </w:rPr>
            </w:pPr>
            <w:r w:rsidRPr="003D1614">
              <w:rPr>
                <w:rFonts w:ascii="Arial" w:eastAsia="Times New Roman" w:hAnsi="Arial" w:cs="Arial"/>
                <w:b/>
                <w:color w:val="000000" w:themeColor="text1"/>
                <w:sz w:val="18"/>
                <w:szCs w:val="18"/>
              </w:rPr>
              <w:t>Ukupne obveze</w:t>
            </w:r>
          </w:p>
        </w:tc>
        <w:tc>
          <w:tcPr>
            <w:tcW w:w="789" w:type="pct"/>
            <w:tcBorders>
              <w:top w:val="single" w:sz="4" w:space="0" w:color="auto"/>
              <w:left w:val="nil"/>
              <w:bottom w:val="single" w:sz="12" w:space="0" w:color="auto"/>
              <w:right w:val="nil"/>
            </w:tcBorders>
            <w:shd w:val="clear" w:color="auto" w:fill="auto"/>
            <w:vAlign w:val="bottom"/>
          </w:tcPr>
          <w:p w14:paraId="06BA7A11" w14:textId="41C27BE6" w:rsidR="002F13DE" w:rsidRPr="0056069E" w:rsidRDefault="002F13DE" w:rsidP="002F13DE">
            <w:pPr>
              <w:tabs>
                <w:tab w:val="left" w:pos="-720"/>
              </w:tabs>
              <w:suppressAutoHyphens/>
              <w:autoSpaceDN w:val="0"/>
              <w:ind w:right="-5"/>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2.516.763</w:t>
            </w:r>
          </w:p>
        </w:tc>
        <w:tc>
          <w:tcPr>
            <w:tcW w:w="789" w:type="pct"/>
            <w:tcBorders>
              <w:top w:val="single" w:sz="4" w:space="0" w:color="auto"/>
              <w:left w:val="nil"/>
              <w:bottom w:val="single" w:sz="12" w:space="0" w:color="auto"/>
              <w:right w:val="nil"/>
            </w:tcBorders>
            <w:shd w:val="clear" w:color="auto" w:fill="auto"/>
            <w:vAlign w:val="bottom"/>
          </w:tcPr>
          <w:p w14:paraId="3AE98A16" w14:textId="16EC6262" w:rsidR="002F13DE" w:rsidRPr="0056069E" w:rsidRDefault="002F13DE" w:rsidP="002F13DE">
            <w:pPr>
              <w:tabs>
                <w:tab w:val="left" w:pos="-720"/>
              </w:tabs>
              <w:suppressAutoHyphens/>
              <w:autoSpaceDN w:val="0"/>
              <w:ind w:right="-5"/>
              <w:jc w:val="right"/>
              <w:rPr>
                <w:rFonts w:ascii="Arial" w:eastAsia="Times New Roman" w:hAnsi="Arial" w:cs="Arial"/>
                <w:b/>
                <w:bCs/>
                <w:color w:val="000000" w:themeColor="text1"/>
                <w:sz w:val="18"/>
                <w:szCs w:val="18"/>
              </w:rPr>
            </w:pPr>
            <w:r w:rsidRPr="00B4232F">
              <w:rPr>
                <w:rFonts w:ascii="Arial" w:hAnsi="Arial" w:cs="Arial"/>
                <w:b/>
                <w:bCs/>
                <w:color w:val="000000"/>
                <w:sz w:val="18"/>
                <w:szCs w:val="18"/>
              </w:rPr>
              <w:t>2.563.657</w:t>
            </w:r>
          </w:p>
        </w:tc>
        <w:tc>
          <w:tcPr>
            <w:tcW w:w="789" w:type="pct"/>
            <w:tcBorders>
              <w:top w:val="single" w:sz="4" w:space="0" w:color="auto"/>
              <w:left w:val="nil"/>
              <w:bottom w:val="single" w:sz="12" w:space="0" w:color="auto"/>
              <w:right w:val="nil"/>
            </w:tcBorders>
            <w:shd w:val="clear" w:color="auto" w:fill="auto"/>
            <w:vAlign w:val="bottom"/>
          </w:tcPr>
          <w:p w14:paraId="2C633267" w14:textId="140A8D1B" w:rsidR="002F13DE" w:rsidRPr="009E7AF9" w:rsidRDefault="002F13DE" w:rsidP="002F13DE">
            <w:pPr>
              <w:tabs>
                <w:tab w:val="left" w:pos="-720"/>
              </w:tabs>
              <w:suppressAutoHyphens/>
              <w:autoSpaceDN w:val="0"/>
              <w:ind w:right="-5"/>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2.513.947</w:t>
            </w:r>
          </w:p>
        </w:tc>
        <w:tc>
          <w:tcPr>
            <w:tcW w:w="789" w:type="pct"/>
            <w:tcBorders>
              <w:top w:val="single" w:sz="4" w:space="0" w:color="auto"/>
              <w:left w:val="nil"/>
              <w:bottom w:val="single" w:sz="12" w:space="0" w:color="auto"/>
              <w:right w:val="nil"/>
            </w:tcBorders>
            <w:shd w:val="clear" w:color="auto" w:fill="auto"/>
            <w:vAlign w:val="bottom"/>
          </w:tcPr>
          <w:p w14:paraId="74916D09" w14:textId="058700D4" w:rsidR="002F13DE" w:rsidRPr="0056069E" w:rsidRDefault="002F13DE" w:rsidP="002F13DE">
            <w:pPr>
              <w:tabs>
                <w:tab w:val="left" w:pos="-720"/>
              </w:tabs>
              <w:suppressAutoHyphens/>
              <w:autoSpaceDN w:val="0"/>
              <w:ind w:right="-5"/>
              <w:jc w:val="right"/>
              <w:rPr>
                <w:rFonts w:ascii="Arial" w:eastAsia="Times New Roman" w:hAnsi="Arial" w:cs="Arial"/>
                <w:color w:val="000000" w:themeColor="text1"/>
                <w:sz w:val="18"/>
                <w:szCs w:val="18"/>
              </w:rPr>
            </w:pPr>
            <w:r w:rsidRPr="00F959D0">
              <w:rPr>
                <w:rFonts w:ascii="Arial" w:hAnsi="Arial" w:cs="Arial"/>
                <w:b/>
                <w:bCs/>
                <w:sz w:val="18"/>
                <w:szCs w:val="18"/>
              </w:rPr>
              <w:t>2.561.161</w:t>
            </w:r>
          </w:p>
        </w:tc>
      </w:tr>
    </w:tbl>
    <w:p w14:paraId="42043A0F" w14:textId="4FDA82D4" w:rsidR="000C7E59" w:rsidRPr="003D1614" w:rsidRDefault="000C7E59" w:rsidP="00661446">
      <w:pPr>
        <w:suppressAutoHyphens/>
        <w:autoSpaceDN w:val="0"/>
        <w:jc w:val="both"/>
        <w:rPr>
          <w:rFonts w:ascii="Arial" w:eastAsia="Times New Roman" w:hAnsi="Arial" w:cs="Arial"/>
          <w:bCs/>
          <w:i/>
          <w:color w:val="000000" w:themeColor="text1"/>
          <w:sz w:val="18"/>
          <w:szCs w:val="18"/>
        </w:rPr>
      </w:pPr>
    </w:p>
    <w:p w14:paraId="0CD9E838" w14:textId="1EAE60B9" w:rsidR="009243A8" w:rsidRPr="003D1614" w:rsidRDefault="009243A8" w:rsidP="00661446">
      <w:pPr>
        <w:suppressAutoHyphens/>
        <w:autoSpaceDN w:val="0"/>
        <w:jc w:val="both"/>
        <w:rPr>
          <w:rFonts w:ascii="Arial" w:eastAsia="Times New Roman" w:hAnsi="Arial" w:cs="Arial"/>
          <w:bCs/>
          <w:i/>
          <w:color w:val="000000" w:themeColor="text1"/>
          <w:sz w:val="18"/>
          <w:szCs w:val="18"/>
        </w:rPr>
      </w:pPr>
    </w:p>
    <w:p w14:paraId="6C76C971" w14:textId="77777777" w:rsidR="009243A8" w:rsidRPr="003D1614" w:rsidRDefault="009243A8" w:rsidP="00661446">
      <w:pPr>
        <w:suppressAutoHyphens/>
        <w:autoSpaceDN w:val="0"/>
        <w:jc w:val="both"/>
        <w:rPr>
          <w:rFonts w:ascii="Arial" w:eastAsia="Times New Roman" w:hAnsi="Arial" w:cs="Arial"/>
          <w:bCs/>
          <w:i/>
          <w:color w:val="000000" w:themeColor="text1"/>
          <w:sz w:val="18"/>
          <w:szCs w:val="18"/>
        </w:rPr>
        <w:sectPr w:rsidR="009243A8" w:rsidRPr="003D1614" w:rsidSect="003278AB">
          <w:pgSz w:w="11906" w:h="16838"/>
          <w:pgMar w:top="1417" w:right="1417" w:bottom="1417" w:left="1417" w:header="708" w:footer="708" w:gutter="0"/>
          <w:cols w:space="708"/>
          <w:docGrid w:linePitch="360"/>
        </w:sectPr>
      </w:pPr>
    </w:p>
    <w:p w14:paraId="1B07E43E" w14:textId="77777777" w:rsidR="009243A8" w:rsidRPr="003D1614" w:rsidRDefault="009243A8" w:rsidP="009243A8">
      <w:pPr>
        <w:keepNext/>
        <w:suppressAutoHyphens/>
        <w:autoSpaceDN w:val="0"/>
        <w:ind w:left="709" w:hanging="709"/>
        <w:jc w:val="both"/>
        <w:outlineLvl w:val="0"/>
        <w:rPr>
          <w:rFonts w:ascii="Arial" w:eastAsia="Times New Roman" w:hAnsi="Arial" w:cs="Arial"/>
          <w:b/>
          <w:bCs/>
          <w:color w:val="000000" w:themeColor="text1"/>
          <w:sz w:val="20"/>
          <w:szCs w:val="20"/>
        </w:rPr>
      </w:pPr>
    </w:p>
    <w:p w14:paraId="18CBE136" w14:textId="08DE5C7A" w:rsidR="009243A8" w:rsidRPr="003D1614" w:rsidRDefault="009243A8" w:rsidP="009243A8">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Upravljanje rizicima (nastavak)</w:t>
      </w:r>
    </w:p>
    <w:p w14:paraId="608BA16B" w14:textId="77777777" w:rsidR="009243A8" w:rsidRPr="003D1614" w:rsidRDefault="009243A8" w:rsidP="009243A8">
      <w:pPr>
        <w:keepNext/>
        <w:suppressAutoHyphens/>
        <w:autoSpaceDN w:val="0"/>
        <w:ind w:left="709" w:hanging="709"/>
        <w:jc w:val="both"/>
        <w:outlineLvl w:val="0"/>
        <w:rPr>
          <w:rFonts w:ascii="Arial" w:eastAsia="Times New Roman" w:hAnsi="Arial" w:cs="Arial"/>
          <w:b/>
          <w:bCs/>
          <w:color w:val="000000" w:themeColor="text1"/>
          <w:sz w:val="20"/>
          <w:szCs w:val="20"/>
        </w:rPr>
      </w:pPr>
    </w:p>
    <w:p w14:paraId="67BC66AD" w14:textId="546FE06D" w:rsidR="009243A8" w:rsidRPr="003D1614" w:rsidRDefault="009243A8" w:rsidP="009243A8">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.5.     Tržišni rizik (nastavak)</w:t>
      </w:r>
    </w:p>
    <w:p w14:paraId="41BBEEC3" w14:textId="77777777" w:rsidR="009243A8" w:rsidRPr="003D1614" w:rsidRDefault="009243A8" w:rsidP="009243A8">
      <w:pPr>
        <w:keepNext/>
        <w:suppressAutoHyphens/>
        <w:autoSpaceDN w:val="0"/>
        <w:ind w:left="709" w:hanging="709"/>
        <w:jc w:val="both"/>
        <w:outlineLvl w:val="0"/>
        <w:rPr>
          <w:rFonts w:ascii="Arial" w:eastAsia="Times New Roman" w:hAnsi="Arial" w:cs="Arial"/>
          <w:b/>
          <w:bCs/>
          <w:color w:val="000000" w:themeColor="text1"/>
          <w:sz w:val="20"/>
          <w:szCs w:val="20"/>
        </w:rPr>
      </w:pPr>
    </w:p>
    <w:p w14:paraId="61C3889A" w14:textId="4E476917" w:rsidR="009243A8" w:rsidRPr="003D1614" w:rsidRDefault="009243A8" w:rsidP="009243A8">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.5.1.  Kamatni rizik (nastavak)</w:t>
      </w:r>
    </w:p>
    <w:p w14:paraId="255C6D04" w14:textId="77777777" w:rsidR="009243A8" w:rsidRPr="003D1614" w:rsidRDefault="009243A8" w:rsidP="009243A8">
      <w:pPr>
        <w:suppressAutoHyphens/>
        <w:autoSpaceDN w:val="0"/>
        <w:jc w:val="both"/>
        <w:rPr>
          <w:rFonts w:ascii="Arial" w:eastAsia="Times New Roman" w:hAnsi="Arial" w:cs="Arial"/>
          <w:b/>
          <w:bCs/>
          <w:color w:val="000000" w:themeColor="text1"/>
          <w:sz w:val="20"/>
          <w:szCs w:val="20"/>
        </w:rPr>
      </w:pPr>
    </w:p>
    <w:p w14:paraId="65CEE999" w14:textId="77777777" w:rsidR="009243A8" w:rsidRPr="003D1614" w:rsidRDefault="009243A8" w:rsidP="009243A8">
      <w:pPr>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Analiza osjetljivosti</w:t>
      </w:r>
    </w:p>
    <w:p w14:paraId="4DE486CC" w14:textId="77777777" w:rsidR="009243A8" w:rsidRPr="003D1614" w:rsidRDefault="009243A8" w:rsidP="009243A8">
      <w:pPr>
        <w:keepNext/>
        <w:suppressAutoHyphens/>
        <w:autoSpaceDN w:val="0"/>
        <w:jc w:val="both"/>
        <w:rPr>
          <w:rFonts w:ascii="Arial" w:eastAsia="Times New Roman" w:hAnsi="Arial" w:cs="Arial"/>
          <w:color w:val="000000" w:themeColor="text1"/>
          <w:sz w:val="20"/>
          <w:szCs w:val="20"/>
        </w:rPr>
      </w:pPr>
    </w:p>
    <w:p w14:paraId="53140F62" w14:textId="77777777" w:rsidR="009243A8" w:rsidRPr="003D1614" w:rsidRDefault="009243A8" w:rsidP="009243A8">
      <w:pPr>
        <w:keepNext/>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Postavke korištene u izradi analize osjetljivosti za kamatni rizik vezane su uz moguće promjene referentnih kamatnih stopa radi procjene hipotetskog utjecaja na dobit HBOR-a.</w:t>
      </w:r>
    </w:p>
    <w:p w14:paraId="439F032F" w14:textId="77777777" w:rsidR="009243A8" w:rsidRPr="003D1614" w:rsidRDefault="009243A8" w:rsidP="009243A8">
      <w:pPr>
        <w:keepNext/>
        <w:suppressAutoHyphens/>
        <w:autoSpaceDN w:val="0"/>
        <w:jc w:val="both"/>
        <w:rPr>
          <w:rFonts w:ascii="Arial" w:eastAsia="Times New Roman" w:hAnsi="Arial" w:cs="Arial"/>
          <w:color w:val="000000" w:themeColor="text1"/>
          <w:sz w:val="20"/>
          <w:szCs w:val="20"/>
        </w:rPr>
      </w:pPr>
    </w:p>
    <w:p w14:paraId="201868C2" w14:textId="6637A08D" w:rsidR="009243A8" w:rsidRDefault="00C55B0C" w:rsidP="009243A8">
      <w:pPr>
        <w:keepNext/>
        <w:suppressAutoHyphens/>
        <w:autoSpaceDN w:val="0"/>
        <w:jc w:val="both"/>
        <w:rPr>
          <w:rFonts w:ascii="Arial" w:eastAsia="Times New Roman" w:hAnsi="Arial" w:cs="Arial"/>
          <w:color w:val="000000" w:themeColor="text1"/>
          <w:sz w:val="20"/>
          <w:szCs w:val="20"/>
        </w:rPr>
      </w:pPr>
      <w:r w:rsidRPr="00C55B0C">
        <w:rPr>
          <w:rFonts w:ascii="Arial" w:eastAsia="Times New Roman" w:hAnsi="Arial" w:cs="Arial"/>
          <w:color w:val="000000" w:themeColor="text1"/>
          <w:sz w:val="20"/>
          <w:szCs w:val="20"/>
        </w:rPr>
        <w:t>Primjenom metode standardne devijacije na dnevne promjene referentnih kamatnih stopa vezanih uz EUR i USD utvrđena je volatilnost navedenih stopa u razdoblju od prethodnih 12 mjeseci u odnosu na izvještajni datum. Temeljem ovih volatilnosti utvrđene su veličine mogućih promjena referentnih kamatnih stopa vezanih uz EUR i USD koje su primijenjene u analizi osjetljivosti</w:t>
      </w:r>
    </w:p>
    <w:p w14:paraId="7F1720E7" w14:textId="77777777" w:rsidR="00C55B0C" w:rsidRPr="003D1614" w:rsidRDefault="00C55B0C" w:rsidP="009243A8">
      <w:pPr>
        <w:keepNext/>
        <w:suppressAutoHyphens/>
        <w:autoSpaceDN w:val="0"/>
        <w:jc w:val="both"/>
        <w:rPr>
          <w:rFonts w:ascii="Arial" w:eastAsia="Times New Roman" w:hAnsi="Arial" w:cs="Arial"/>
          <w:bCs/>
          <w:color w:val="000000" w:themeColor="text1"/>
          <w:sz w:val="20"/>
          <w:szCs w:val="20"/>
        </w:rPr>
      </w:pPr>
    </w:p>
    <w:p w14:paraId="6377A40E" w14:textId="77777777" w:rsidR="009243A8" w:rsidRPr="003D1614" w:rsidRDefault="009243A8" w:rsidP="009243A8">
      <w:pPr>
        <w:keepNext/>
        <w:suppressAutoHyphens/>
        <w:autoSpaceDN w:val="0"/>
        <w:jc w:val="both"/>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Analiza prikazuje osjetljivost na razumno očekivane promjene bazičnih bodova promjenjivih kamatnih stopa. Sve ostale varijable ostaju nepromijenjene.</w:t>
      </w:r>
    </w:p>
    <w:p w14:paraId="7FDD9528" w14:textId="77777777" w:rsidR="009243A8" w:rsidRPr="003D1614" w:rsidRDefault="009243A8" w:rsidP="009243A8">
      <w:pPr>
        <w:keepNext/>
        <w:suppressAutoHyphens/>
        <w:autoSpaceDN w:val="0"/>
        <w:jc w:val="both"/>
        <w:rPr>
          <w:rFonts w:ascii="Arial" w:eastAsia="Times New Roman" w:hAnsi="Arial" w:cs="Arial"/>
          <w:bCs/>
          <w:color w:val="000000" w:themeColor="text1"/>
          <w:sz w:val="20"/>
          <w:szCs w:val="20"/>
        </w:rPr>
      </w:pPr>
    </w:p>
    <w:p w14:paraId="72B02B32" w14:textId="77777777" w:rsidR="009243A8" w:rsidRPr="003D1614" w:rsidRDefault="009243A8" w:rsidP="009243A8">
      <w:pPr>
        <w:keepNext/>
        <w:suppressAutoHyphens/>
        <w:autoSpaceDN w:val="0"/>
        <w:jc w:val="both"/>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Osjetljivost dobiti je pod utjecajem pretpostavljenih promjena u kamatnim stopama u razdoblju od godine dana, bazirano na kamatonosnoj imovini i obvezama uz promjenjivu kamatnu stopu.</w:t>
      </w:r>
    </w:p>
    <w:p w14:paraId="6B760D2E" w14:textId="77777777" w:rsidR="009243A8" w:rsidRPr="003D1614" w:rsidRDefault="009243A8" w:rsidP="009243A8">
      <w:pPr>
        <w:keepNext/>
        <w:suppressAutoHyphens/>
        <w:autoSpaceDN w:val="0"/>
        <w:jc w:val="both"/>
        <w:rPr>
          <w:rFonts w:ascii="Arial" w:eastAsia="Times New Roman" w:hAnsi="Arial" w:cs="Arial"/>
          <w:bCs/>
          <w:color w:val="000000" w:themeColor="text1"/>
          <w:sz w:val="20"/>
          <w:szCs w:val="20"/>
        </w:rPr>
      </w:pPr>
    </w:p>
    <w:p w14:paraId="2AE48CD5" w14:textId="77777777" w:rsidR="009243A8" w:rsidRPr="003D1614" w:rsidRDefault="009243A8" w:rsidP="009243A8">
      <w:pPr>
        <w:keepNext/>
        <w:suppressAutoHyphens/>
        <w:autoSpaceDN w:val="0"/>
        <w:jc w:val="both"/>
        <w:rPr>
          <w:rFonts w:ascii="Arial" w:eastAsia="Times New Roman" w:hAnsi="Arial" w:cs="Arial"/>
          <w:bCs/>
          <w:color w:val="000000" w:themeColor="text1"/>
          <w:sz w:val="20"/>
          <w:szCs w:val="20"/>
        </w:rPr>
      </w:pPr>
    </w:p>
    <w:tbl>
      <w:tblPr>
        <w:tblW w:w="5001" w:type="pct"/>
        <w:jc w:val="center"/>
        <w:tblLook w:val="01E0" w:firstRow="1" w:lastRow="1" w:firstColumn="1" w:lastColumn="1" w:noHBand="0" w:noVBand="0"/>
      </w:tblPr>
      <w:tblGrid>
        <w:gridCol w:w="2340"/>
        <w:gridCol w:w="1683"/>
        <w:gridCol w:w="1683"/>
        <w:gridCol w:w="1682"/>
        <w:gridCol w:w="1686"/>
      </w:tblGrid>
      <w:tr w:rsidR="009243A8" w:rsidRPr="003D1614" w14:paraId="126058EC" w14:textId="77777777" w:rsidTr="00BC10BC">
        <w:trPr>
          <w:trHeight w:hRule="exact" w:val="814"/>
          <w:jc w:val="center"/>
        </w:trPr>
        <w:tc>
          <w:tcPr>
            <w:tcW w:w="1289" w:type="pct"/>
            <w:shd w:val="clear" w:color="auto" w:fill="auto"/>
          </w:tcPr>
          <w:p w14:paraId="1CFB893E" w14:textId="77777777" w:rsidR="009243A8" w:rsidRPr="003D1614" w:rsidRDefault="009243A8" w:rsidP="009243A8">
            <w:pPr>
              <w:suppressAutoHyphens/>
              <w:autoSpaceDN w:val="0"/>
              <w:spacing w:before="240" w:after="120" w:line="360" w:lineRule="auto"/>
              <w:rPr>
                <w:rFonts w:ascii="Arial" w:eastAsia="Times New Roman" w:hAnsi="Arial" w:cs="Arial"/>
                <w:bCs/>
                <w:color w:val="000000" w:themeColor="text1"/>
                <w:sz w:val="18"/>
                <w:szCs w:val="18"/>
              </w:rPr>
            </w:pPr>
            <w:r w:rsidRPr="003D1614">
              <w:rPr>
                <w:rFonts w:ascii="Arial" w:eastAsia="Times New Roman" w:hAnsi="Arial" w:cs="Arial"/>
                <w:b/>
                <w:bCs/>
                <w:color w:val="000000" w:themeColor="text1"/>
                <w:sz w:val="18"/>
                <w:szCs w:val="18"/>
              </w:rPr>
              <w:t>Valuta</w:t>
            </w:r>
          </w:p>
        </w:tc>
        <w:tc>
          <w:tcPr>
            <w:tcW w:w="927" w:type="pct"/>
            <w:shd w:val="clear" w:color="auto" w:fill="auto"/>
          </w:tcPr>
          <w:p w14:paraId="78CCDC66" w14:textId="77777777" w:rsidR="009243A8" w:rsidRPr="003D1614" w:rsidRDefault="009243A8" w:rsidP="009243A8">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 xml:space="preserve">Povećanje bazičnih bodova </w:t>
            </w:r>
          </w:p>
          <w:p w14:paraId="66301CD4" w14:textId="6B2F1933" w:rsidR="009243A8" w:rsidRPr="003D1614" w:rsidRDefault="00CF5FC2" w:rsidP="009243A8">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3</w:t>
            </w:r>
            <w:r>
              <w:rPr>
                <w:rFonts w:ascii="Arial" w:eastAsia="Times New Roman" w:hAnsi="Arial" w:cs="Arial"/>
                <w:b/>
                <w:bCs/>
                <w:color w:val="000000" w:themeColor="text1"/>
                <w:sz w:val="18"/>
                <w:szCs w:val="18"/>
              </w:rPr>
              <w:t>0</w:t>
            </w:r>
            <w:r w:rsidR="009243A8" w:rsidRPr="003D1614">
              <w:rPr>
                <w:rFonts w:ascii="Arial" w:eastAsia="Times New Roman" w:hAnsi="Arial" w:cs="Arial"/>
                <w:b/>
                <w:bCs/>
                <w:color w:val="000000" w:themeColor="text1"/>
                <w:sz w:val="18"/>
                <w:szCs w:val="18"/>
              </w:rPr>
              <w:t>.</w:t>
            </w:r>
            <w:r w:rsidR="002A3FB3">
              <w:rPr>
                <w:rFonts w:ascii="Arial" w:eastAsia="Times New Roman" w:hAnsi="Arial" w:cs="Arial"/>
                <w:b/>
                <w:bCs/>
                <w:color w:val="000000" w:themeColor="text1"/>
                <w:sz w:val="18"/>
                <w:szCs w:val="18"/>
              </w:rPr>
              <w:t>9</w:t>
            </w:r>
            <w:r w:rsidR="009243A8" w:rsidRPr="003D1614">
              <w:rPr>
                <w:rFonts w:ascii="Arial" w:eastAsia="Times New Roman" w:hAnsi="Arial" w:cs="Arial"/>
                <w:b/>
                <w:bCs/>
                <w:color w:val="000000" w:themeColor="text1"/>
                <w:sz w:val="18"/>
                <w:szCs w:val="18"/>
              </w:rPr>
              <w:t>.202</w:t>
            </w:r>
            <w:r w:rsidR="002A643E">
              <w:rPr>
                <w:rFonts w:ascii="Arial" w:eastAsia="Times New Roman" w:hAnsi="Arial" w:cs="Arial"/>
                <w:b/>
                <w:bCs/>
                <w:color w:val="000000" w:themeColor="text1"/>
                <w:sz w:val="18"/>
                <w:szCs w:val="18"/>
              </w:rPr>
              <w:t>4</w:t>
            </w:r>
            <w:r w:rsidR="009243A8" w:rsidRPr="003D1614">
              <w:rPr>
                <w:rFonts w:ascii="Arial" w:eastAsia="Times New Roman" w:hAnsi="Arial" w:cs="Arial"/>
                <w:b/>
                <w:bCs/>
                <w:color w:val="000000" w:themeColor="text1"/>
                <w:sz w:val="18"/>
                <w:szCs w:val="18"/>
              </w:rPr>
              <w:t>.</w:t>
            </w:r>
          </w:p>
        </w:tc>
        <w:tc>
          <w:tcPr>
            <w:tcW w:w="927" w:type="pct"/>
            <w:shd w:val="clear" w:color="auto" w:fill="auto"/>
          </w:tcPr>
          <w:p w14:paraId="5ECEE0E2" w14:textId="77777777" w:rsidR="009243A8" w:rsidRPr="003D1614" w:rsidRDefault="009243A8" w:rsidP="009243A8">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 xml:space="preserve">Utjecaj </w:t>
            </w:r>
          </w:p>
          <w:p w14:paraId="41961F35" w14:textId="77777777" w:rsidR="009243A8" w:rsidRPr="003D1614" w:rsidRDefault="009243A8" w:rsidP="009243A8">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na dobit</w:t>
            </w:r>
          </w:p>
          <w:p w14:paraId="37381DAE" w14:textId="28550B5C" w:rsidR="009243A8" w:rsidRPr="003D1614" w:rsidRDefault="00CF5FC2" w:rsidP="009243A8">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3</w:t>
            </w:r>
            <w:r>
              <w:rPr>
                <w:rFonts w:ascii="Arial" w:eastAsia="Times New Roman" w:hAnsi="Arial" w:cs="Arial"/>
                <w:b/>
                <w:bCs/>
                <w:color w:val="000000" w:themeColor="text1"/>
                <w:sz w:val="18"/>
                <w:szCs w:val="18"/>
              </w:rPr>
              <w:t>0</w:t>
            </w:r>
            <w:r w:rsidR="009243A8" w:rsidRPr="003D1614">
              <w:rPr>
                <w:rFonts w:ascii="Arial" w:eastAsia="Times New Roman" w:hAnsi="Arial" w:cs="Arial"/>
                <w:b/>
                <w:bCs/>
                <w:color w:val="000000" w:themeColor="text1"/>
                <w:sz w:val="18"/>
                <w:szCs w:val="18"/>
              </w:rPr>
              <w:t>.</w:t>
            </w:r>
            <w:r w:rsidR="002A3FB3">
              <w:rPr>
                <w:rFonts w:ascii="Arial" w:eastAsia="Times New Roman" w:hAnsi="Arial" w:cs="Arial"/>
                <w:b/>
                <w:bCs/>
                <w:color w:val="000000" w:themeColor="text1"/>
                <w:sz w:val="18"/>
                <w:szCs w:val="18"/>
              </w:rPr>
              <w:t>9</w:t>
            </w:r>
            <w:r w:rsidR="009243A8" w:rsidRPr="003D1614">
              <w:rPr>
                <w:rFonts w:ascii="Arial" w:eastAsia="Times New Roman" w:hAnsi="Arial" w:cs="Arial"/>
                <w:b/>
                <w:bCs/>
                <w:color w:val="000000" w:themeColor="text1"/>
                <w:sz w:val="18"/>
                <w:szCs w:val="18"/>
              </w:rPr>
              <w:t>.202</w:t>
            </w:r>
            <w:r w:rsidR="002A643E">
              <w:rPr>
                <w:rFonts w:ascii="Arial" w:eastAsia="Times New Roman" w:hAnsi="Arial" w:cs="Arial"/>
                <w:b/>
                <w:bCs/>
                <w:color w:val="000000" w:themeColor="text1"/>
                <w:sz w:val="18"/>
                <w:szCs w:val="18"/>
              </w:rPr>
              <w:t>4</w:t>
            </w:r>
            <w:r w:rsidR="009243A8" w:rsidRPr="003D1614">
              <w:rPr>
                <w:rFonts w:ascii="Arial" w:eastAsia="Times New Roman" w:hAnsi="Arial" w:cs="Arial"/>
                <w:b/>
                <w:bCs/>
                <w:color w:val="000000" w:themeColor="text1"/>
                <w:sz w:val="18"/>
                <w:szCs w:val="18"/>
              </w:rPr>
              <w:t>.</w:t>
            </w:r>
          </w:p>
        </w:tc>
        <w:tc>
          <w:tcPr>
            <w:tcW w:w="927" w:type="pct"/>
            <w:shd w:val="clear" w:color="auto" w:fill="auto"/>
          </w:tcPr>
          <w:p w14:paraId="7ED7657D" w14:textId="77777777" w:rsidR="009243A8" w:rsidRPr="003D1614" w:rsidRDefault="009243A8" w:rsidP="009243A8">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 xml:space="preserve">Povećanje bazičnih bodova </w:t>
            </w:r>
          </w:p>
          <w:p w14:paraId="285D5EFA" w14:textId="2034FB75" w:rsidR="009243A8" w:rsidRPr="003D1614" w:rsidRDefault="009243A8" w:rsidP="009243A8">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31.12.202</w:t>
            </w:r>
            <w:r w:rsidR="00B66D3B">
              <w:rPr>
                <w:rFonts w:ascii="Arial" w:eastAsia="Times New Roman" w:hAnsi="Arial" w:cs="Arial"/>
                <w:b/>
                <w:bCs/>
                <w:color w:val="000000" w:themeColor="text1"/>
                <w:sz w:val="18"/>
                <w:szCs w:val="18"/>
              </w:rPr>
              <w:t>3</w:t>
            </w:r>
            <w:r w:rsidRPr="003D1614">
              <w:rPr>
                <w:rFonts w:ascii="Arial" w:eastAsia="Times New Roman" w:hAnsi="Arial" w:cs="Arial"/>
                <w:b/>
                <w:bCs/>
                <w:color w:val="000000" w:themeColor="text1"/>
                <w:sz w:val="18"/>
                <w:szCs w:val="18"/>
              </w:rPr>
              <w:t>.</w:t>
            </w:r>
          </w:p>
        </w:tc>
        <w:tc>
          <w:tcPr>
            <w:tcW w:w="929" w:type="pct"/>
            <w:shd w:val="clear" w:color="auto" w:fill="auto"/>
          </w:tcPr>
          <w:p w14:paraId="21116C52" w14:textId="77777777" w:rsidR="009243A8" w:rsidRPr="003D1614" w:rsidRDefault="009243A8" w:rsidP="009243A8">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 xml:space="preserve">Utjecaj </w:t>
            </w:r>
          </w:p>
          <w:p w14:paraId="347554EA" w14:textId="77777777" w:rsidR="009243A8" w:rsidRPr="003D1614" w:rsidRDefault="009243A8" w:rsidP="009243A8">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na dobit</w:t>
            </w:r>
          </w:p>
          <w:p w14:paraId="144767A8" w14:textId="1E7609BF" w:rsidR="009243A8" w:rsidRPr="003D1614" w:rsidRDefault="009243A8" w:rsidP="009243A8">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31.12.202</w:t>
            </w:r>
            <w:r w:rsidR="00B66D3B">
              <w:rPr>
                <w:rFonts w:ascii="Arial" w:eastAsia="Times New Roman" w:hAnsi="Arial" w:cs="Arial"/>
                <w:b/>
                <w:bCs/>
                <w:color w:val="000000" w:themeColor="text1"/>
                <w:sz w:val="18"/>
                <w:szCs w:val="18"/>
              </w:rPr>
              <w:t>3</w:t>
            </w:r>
            <w:r w:rsidRPr="003D1614">
              <w:rPr>
                <w:rFonts w:ascii="Arial" w:eastAsia="Times New Roman" w:hAnsi="Arial" w:cs="Arial"/>
                <w:b/>
                <w:bCs/>
                <w:color w:val="000000" w:themeColor="text1"/>
                <w:sz w:val="18"/>
                <w:szCs w:val="18"/>
              </w:rPr>
              <w:t>.</w:t>
            </w:r>
          </w:p>
        </w:tc>
      </w:tr>
      <w:tr w:rsidR="009243A8" w:rsidRPr="003D1614" w14:paraId="16A06397" w14:textId="77777777" w:rsidTr="00BC10BC">
        <w:trPr>
          <w:trHeight w:hRule="exact" w:val="331"/>
          <w:jc w:val="center"/>
        </w:trPr>
        <w:tc>
          <w:tcPr>
            <w:tcW w:w="1289" w:type="pct"/>
            <w:shd w:val="clear" w:color="auto" w:fill="auto"/>
          </w:tcPr>
          <w:p w14:paraId="154014C1" w14:textId="77777777" w:rsidR="009243A8" w:rsidRPr="003D1614" w:rsidRDefault="009243A8" w:rsidP="009243A8">
            <w:pPr>
              <w:suppressAutoHyphens/>
              <w:autoSpaceDN w:val="0"/>
              <w:spacing w:before="240" w:after="120" w:line="360" w:lineRule="auto"/>
              <w:jc w:val="both"/>
              <w:rPr>
                <w:rFonts w:ascii="Arial" w:eastAsia="Times New Roman" w:hAnsi="Arial" w:cs="Arial"/>
                <w:bCs/>
                <w:color w:val="000000" w:themeColor="text1"/>
                <w:sz w:val="18"/>
                <w:szCs w:val="18"/>
              </w:rPr>
            </w:pPr>
          </w:p>
        </w:tc>
        <w:tc>
          <w:tcPr>
            <w:tcW w:w="927" w:type="pct"/>
            <w:shd w:val="clear" w:color="auto" w:fill="auto"/>
            <w:vAlign w:val="center"/>
          </w:tcPr>
          <w:p w14:paraId="5668DA5F" w14:textId="77777777" w:rsidR="009243A8" w:rsidRPr="003D1614" w:rsidRDefault="009243A8" w:rsidP="009243A8">
            <w:pPr>
              <w:suppressAutoHyphens/>
              <w:autoSpaceDN w:val="0"/>
              <w:spacing w:line="0" w:lineRule="atLeast"/>
              <w:jc w:val="right"/>
              <w:rPr>
                <w:rFonts w:ascii="Arial" w:eastAsia="Times New Roman" w:hAnsi="Arial" w:cs="Arial"/>
                <w:b/>
                <w:bCs/>
                <w:color w:val="000000" w:themeColor="text1"/>
                <w:sz w:val="18"/>
                <w:szCs w:val="18"/>
              </w:rPr>
            </w:pPr>
          </w:p>
        </w:tc>
        <w:tc>
          <w:tcPr>
            <w:tcW w:w="927" w:type="pct"/>
            <w:shd w:val="clear" w:color="auto" w:fill="auto"/>
            <w:vAlign w:val="center"/>
          </w:tcPr>
          <w:p w14:paraId="0F8E5970" w14:textId="4DD26518" w:rsidR="009243A8" w:rsidRPr="003D1614" w:rsidRDefault="009243A8" w:rsidP="009243A8">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color w:val="000000" w:themeColor="text1"/>
                <w:sz w:val="18"/>
                <w:szCs w:val="18"/>
              </w:rPr>
              <w:t>000 eura</w:t>
            </w:r>
          </w:p>
        </w:tc>
        <w:tc>
          <w:tcPr>
            <w:tcW w:w="927" w:type="pct"/>
            <w:shd w:val="clear" w:color="auto" w:fill="auto"/>
            <w:vAlign w:val="center"/>
          </w:tcPr>
          <w:p w14:paraId="6309D8E1" w14:textId="77777777" w:rsidR="009243A8" w:rsidRPr="003D1614" w:rsidRDefault="009243A8" w:rsidP="009243A8">
            <w:pPr>
              <w:suppressAutoHyphens/>
              <w:autoSpaceDN w:val="0"/>
              <w:spacing w:line="0" w:lineRule="atLeast"/>
              <w:jc w:val="right"/>
              <w:rPr>
                <w:rFonts w:ascii="Arial" w:eastAsia="Times New Roman" w:hAnsi="Arial" w:cs="Arial"/>
                <w:b/>
                <w:bCs/>
                <w:color w:val="000000" w:themeColor="text1"/>
                <w:sz w:val="18"/>
                <w:szCs w:val="18"/>
              </w:rPr>
            </w:pPr>
          </w:p>
        </w:tc>
        <w:tc>
          <w:tcPr>
            <w:tcW w:w="929" w:type="pct"/>
            <w:shd w:val="clear" w:color="auto" w:fill="auto"/>
            <w:vAlign w:val="center"/>
          </w:tcPr>
          <w:p w14:paraId="0BD21C9D" w14:textId="2B7C2E9B" w:rsidR="009243A8" w:rsidRPr="003D1614" w:rsidRDefault="009243A8" w:rsidP="009243A8">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color w:val="000000" w:themeColor="text1"/>
                <w:sz w:val="18"/>
                <w:szCs w:val="18"/>
              </w:rPr>
              <w:t>000 eura</w:t>
            </w:r>
          </w:p>
        </w:tc>
      </w:tr>
      <w:tr w:rsidR="009243A8" w:rsidRPr="003D1614" w14:paraId="1AAD3518" w14:textId="77777777" w:rsidTr="00BC10BC">
        <w:trPr>
          <w:trHeight w:hRule="exact" w:val="113"/>
          <w:jc w:val="center"/>
        </w:trPr>
        <w:tc>
          <w:tcPr>
            <w:tcW w:w="1289" w:type="pct"/>
            <w:shd w:val="clear" w:color="auto" w:fill="auto"/>
          </w:tcPr>
          <w:p w14:paraId="2219664F" w14:textId="77777777" w:rsidR="009243A8" w:rsidRPr="003D1614" w:rsidRDefault="009243A8" w:rsidP="009243A8">
            <w:pPr>
              <w:suppressAutoHyphens/>
              <w:autoSpaceDN w:val="0"/>
              <w:spacing w:before="240" w:after="120" w:line="360" w:lineRule="auto"/>
              <w:jc w:val="both"/>
              <w:rPr>
                <w:rFonts w:ascii="Arial" w:eastAsia="Times New Roman" w:hAnsi="Arial" w:cs="Arial"/>
                <w:bCs/>
                <w:color w:val="000000" w:themeColor="text1"/>
                <w:sz w:val="18"/>
                <w:szCs w:val="18"/>
              </w:rPr>
            </w:pPr>
          </w:p>
        </w:tc>
        <w:tc>
          <w:tcPr>
            <w:tcW w:w="927" w:type="pct"/>
            <w:shd w:val="clear" w:color="auto" w:fill="auto"/>
            <w:vAlign w:val="center"/>
          </w:tcPr>
          <w:p w14:paraId="43769EFE" w14:textId="77777777" w:rsidR="009243A8" w:rsidRPr="003D1614" w:rsidRDefault="009243A8" w:rsidP="009243A8">
            <w:pPr>
              <w:suppressAutoHyphens/>
              <w:autoSpaceDN w:val="0"/>
              <w:spacing w:line="0" w:lineRule="atLeast"/>
              <w:rPr>
                <w:rFonts w:ascii="Arial" w:eastAsia="Times New Roman" w:hAnsi="Arial" w:cs="Arial"/>
                <w:b/>
                <w:bCs/>
                <w:color w:val="000000" w:themeColor="text1"/>
                <w:sz w:val="18"/>
                <w:szCs w:val="18"/>
              </w:rPr>
            </w:pPr>
          </w:p>
        </w:tc>
        <w:tc>
          <w:tcPr>
            <w:tcW w:w="927" w:type="pct"/>
            <w:shd w:val="clear" w:color="auto" w:fill="auto"/>
            <w:vAlign w:val="center"/>
          </w:tcPr>
          <w:p w14:paraId="38BE5C40" w14:textId="77777777" w:rsidR="009243A8" w:rsidRPr="003D1614" w:rsidRDefault="009243A8" w:rsidP="009243A8">
            <w:pPr>
              <w:suppressAutoHyphens/>
              <w:autoSpaceDN w:val="0"/>
              <w:spacing w:line="0" w:lineRule="atLeast"/>
              <w:rPr>
                <w:rFonts w:ascii="Arial" w:eastAsia="Times New Roman" w:hAnsi="Arial" w:cs="Arial"/>
                <w:b/>
                <w:bCs/>
                <w:color w:val="000000" w:themeColor="text1"/>
                <w:sz w:val="18"/>
                <w:szCs w:val="18"/>
              </w:rPr>
            </w:pPr>
          </w:p>
        </w:tc>
        <w:tc>
          <w:tcPr>
            <w:tcW w:w="927" w:type="pct"/>
            <w:shd w:val="clear" w:color="auto" w:fill="auto"/>
            <w:vAlign w:val="center"/>
          </w:tcPr>
          <w:p w14:paraId="79E5E541" w14:textId="77777777" w:rsidR="009243A8" w:rsidRPr="003D1614" w:rsidRDefault="009243A8" w:rsidP="009243A8">
            <w:pPr>
              <w:suppressAutoHyphens/>
              <w:autoSpaceDN w:val="0"/>
              <w:spacing w:line="0" w:lineRule="atLeast"/>
              <w:rPr>
                <w:rFonts w:ascii="Arial" w:eastAsia="Times New Roman" w:hAnsi="Arial" w:cs="Arial"/>
                <w:b/>
                <w:bCs/>
                <w:color w:val="000000" w:themeColor="text1"/>
                <w:sz w:val="18"/>
                <w:szCs w:val="18"/>
              </w:rPr>
            </w:pPr>
          </w:p>
        </w:tc>
        <w:tc>
          <w:tcPr>
            <w:tcW w:w="929" w:type="pct"/>
            <w:shd w:val="clear" w:color="auto" w:fill="auto"/>
            <w:vAlign w:val="center"/>
          </w:tcPr>
          <w:p w14:paraId="0398DEEF" w14:textId="77777777" w:rsidR="009243A8" w:rsidRPr="003D1614" w:rsidRDefault="009243A8" w:rsidP="009243A8">
            <w:pPr>
              <w:suppressAutoHyphens/>
              <w:autoSpaceDN w:val="0"/>
              <w:spacing w:line="0" w:lineRule="atLeast"/>
              <w:jc w:val="right"/>
              <w:rPr>
                <w:rFonts w:ascii="Arial" w:eastAsia="Times New Roman" w:hAnsi="Arial" w:cs="Arial"/>
                <w:b/>
                <w:color w:val="000000" w:themeColor="text1"/>
                <w:sz w:val="18"/>
                <w:szCs w:val="18"/>
              </w:rPr>
            </w:pPr>
          </w:p>
        </w:tc>
      </w:tr>
      <w:tr w:rsidR="009F5538" w:rsidRPr="0053342B" w14:paraId="4233C160" w14:textId="77777777" w:rsidTr="00DA6CB9">
        <w:trPr>
          <w:trHeight w:hRule="exact" w:val="326"/>
          <w:jc w:val="center"/>
        </w:trPr>
        <w:tc>
          <w:tcPr>
            <w:tcW w:w="1289" w:type="pct"/>
            <w:shd w:val="clear" w:color="auto" w:fill="auto"/>
            <w:vAlign w:val="bottom"/>
          </w:tcPr>
          <w:p w14:paraId="04738CCD" w14:textId="7C41C2BA" w:rsidR="009F5538" w:rsidRPr="003D1614" w:rsidRDefault="009F5538" w:rsidP="009F5538">
            <w:pPr>
              <w:suppressAutoHyphens/>
              <w:autoSpaceDN w:val="0"/>
              <w:spacing w:line="360" w:lineRule="auto"/>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EUR</w:t>
            </w:r>
          </w:p>
        </w:tc>
        <w:tc>
          <w:tcPr>
            <w:tcW w:w="927" w:type="pct"/>
            <w:shd w:val="clear" w:color="auto" w:fill="auto"/>
            <w:vAlign w:val="bottom"/>
          </w:tcPr>
          <w:p w14:paraId="5FED525D" w14:textId="02BCBAB5" w:rsidR="009F5538" w:rsidRPr="0053342B" w:rsidRDefault="008B5220" w:rsidP="009F5538">
            <w:pPr>
              <w:suppressAutoHyphens/>
              <w:autoSpaceDN w:val="0"/>
              <w:spacing w:line="360" w:lineRule="auto"/>
              <w:jc w:val="right"/>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+0,2</w:t>
            </w:r>
          </w:p>
        </w:tc>
        <w:tc>
          <w:tcPr>
            <w:tcW w:w="927" w:type="pct"/>
            <w:shd w:val="clear" w:color="auto" w:fill="auto"/>
            <w:vAlign w:val="bottom"/>
          </w:tcPr>
          <w:p w14:paraId="2E7D94F9" w14:textId="1D337D50" w:rsidR="009F5538" w:rsidRPr="0053342B" w:rsidRDefault="00564EC8" w:rsidP="009F5538">
            <w:pPr>
              <w:suppressAutoHyphens/>
              <w:autoSpaceDN w:val="0"/>
              <w:spacing w:line="360" w:lineRule="auto"/>
              <w:jc w:val="right"/>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1,5</w:t>
            </w:r>
          </w:p>
        </w:tc>
        <w:tc>
          <w:tcPr>
            <w:tcW w:w="927" w:type="pct"/>
            <w:shd w:val="clear" w:color="auto" w:fill="auto"/>
            <w:vAlign w:val="bottom"/>
          </w:tcPr>
          <w:p w14:paraId="22C8F079" w14:textId="46AC4B10" w:rsidR="009F5538" w:rsidRPr="0053342B" w:rsidRDefault="009F5538" w:rsidP="009F5538">
            <w:pPr>
              <w:suppressAutoHyphens/>
              <w:autoSpaceDN w:val="0"/>
              <w:spacing w:line="360" w:lineRule="auto"/>
              <w:jc w:val="right"/>
              <w:rPr>
                <w:rFonts w:ascii="Arial" w:eastAsia="Times New Roman" w:hAnsi="Arial" w:cs="Arial"/>
                <w:bCs/>
                <w:color w:val="000000" w:themeColor="text1"/>
                <w:sz w:val="18"/>
                <w:szCs w:val="18"/>
              </w:rPr>
            </w:pPr>
            <w:r>
              <w:rPr>
                <w:rFonts w:ascii="Arial" w:hAnsi="Arial" w:cs="Arial"/>
                <w:bCs/>
                <w:color w:val="000000" w:themeColor="text1"/>
                <w:sz w:val="18"/>
                <w:szCs w:val="18"/>
              </w:rPr>
              <w:t>+0,6</w:t>
            </w:r>
          </w:p>
        </w:tc>
        <w:tc>
          <w:tcPr>
            <w:tcW w:w="929" w:type="pct"/>
            <w:shd w:val="clear" w:color="auto" w:fill="auto"/>
            <w:vAlign w:val="bottom"/>
          </w:tcPr>
          <w:p w14:paraId="11BE0789" w14:textId="5973158B" w:rsidR="009F5538" w:rsidRPr="0053342B" w:rsidRDefault="009F5538" w:rsidP="009F5538">
            <w:pPr>
              <w:suppressAutoHyphens/>
              <w:autoSpaceDN w:val="0"/>
              <w:spacing w:line="360" w:lineRule="auto"/>
              <w:jc w:val="right"/>
              <w:rPr>
                <w:rFonts w:ascii="Arial" w:eastAsia="Times New Roman" w:hAnsi="Arial" w:cs="Arial"/>
                <w:bCs/>
                <w:color w:val="000000" w:themeColor="text1"/>
                <w:sz w:val="18"/>
                <w:szCs w:val="18"/>
              </w:rPr>
            </w:pPr>
            <w:r>
              <w:rPr>
                <w:rFonts w:ascii="Arial" w:hAnsi="Arial" w:cs="Arial"/>
                <w:bCs/>
                <w:color w:val="000000" w:themeColor="text1"/>
                <w:sz w:val="18"/>
                <w:szCs w:val="18"/>
              </w:rPr>
              <w:t>5</w:t>
            </w:r>
          </w:p>
        </w:tc>
      </w:tr>
      <w:tr w:rsidR="009F5538" w:rsidRPr="003D1614" w14:paraId="2191C368" w14:textId="77777777" w:rsidTr="00DA6CB9">
        <w:trPr>
          <w:trHeight w:hRule="exact" w:val="284"/>
          <w:jc w:val="center"/>
        </w:trPr>
        <w:tc>
          <w:tcPr>
            <w:tcW w:w="1289" w:type="pct"/>
            <w:shd w:val="clear" w:color="auto" w:fill="auto"/>
            <w:vAlign w:val="bottom"/>
          </w:tcPr>
          <w:p w14:paraId="7F978F8C" w14:textId="77777777" w:rsidR="009F5538" w:rsidRPr="003D1614" w:rsidRDefault="009F5538" w:rsidP="009F5538">
            <w:pPr>
              <w:suppressAutoHyphens/>
              <w:autoSpaceDN w:val="0"/>
              <w:spacing w:line="360" w:lineRule="auto"/>
              <w:jc w:val="both"/>
              <w:rPr>
                <w:rFonts w:ascii="Arial" w:eastAsia="Times New Roman" w:hAnsi="Arial" w:cs="Arial"/>
                <w:bCs/>
                <w:color w:val="000000" w:themeColor="text1"/>
                <w:sz w:val="18"/>
                <w:szCs w:val="18"/>
              </w:rPr>
            </w:pPr>
            <w:r w:rsidRPr="003D1614">
              <w:rPr>
                <w:rFonts w:ascii="Arial" w:eastAsia="Times New Roman" w:hAnsi="Arial" w:cs="Arial"/>
                <w:bCs/>
                <w:color w:val="000000" w:themeColor="text1"/>
                <w:sz w:val="18"/>
                <w:szCs w:val="18"/>
              </w:rPr>
              <w:t>USD</w:t>
            </w:r>
          </w:p>
        </w:tc>
        <w:tc>
          <w:tcPr>
            <w:tcW w:w="927" w:type="pct"/>
            <w:shd w:val="clear" w:color="auto" w:fill="auto"/>
            <w:vAlign w:val="bottom"/>
          </w:tcPr>
          <w:p w14:paraId="746AEA50" w14:textId="68337399" w:rsidR="009F5538" w:rsidRPr="003D1614" w:rsidRDefault="00564EC8" w:rsidP="009F5538">
            <w:pPr>
              <w:suppressAutoHyphens/>
              <w:autoSpaceDN w:val="0"/>
              <w:spacing w:line="360" w:lineRule="auto"/>
              <w:jc w:val="right"/>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+0,2</w:t>
            </w:r>
          </w:p>
        </w:tc>
        <w:tc>
          <w:tcPr>
            <w:tcW w:w="927" w:type="pct"/>
            <w:shd w:val="clear" w:color="auto" w:fill="auto"/>
            <w:vAlign w:val="bottom"/>
          </w:tcPr>
          <w:p w14:paraId="44ABF407" w14:textId="5E2BEF52" w:rsidR="009F5538" w:rsidRPr="003D1614" w:rsidRDefault="00564EC8" w:rsidP="009F5538">
            <w:pPr>
              <w:suppressAutoHyphens/>
              <w:autoSpaceDN w:val="0"/>
              <w:spacing w:line="360" w:lineRule="auto"/>
              <w:jc w:val="right"/>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0,1</w:t>
            </w:r>
          </w:p>
        </w:tc>
        <w:tc>
          <w:tcPr>
            <w:tcW w:w="927" w:type="pct"/>
            <w:shd w:val="clear" w:color="auto" w:fill="auto"/>
            <w:vAlign w:val="bottom"/>
          </w:tcPr>
          <w:p w14:paraId="13BD78DA" w14:textId="56F47AA6" w:rsidR="009F5538" w:rsidRPr="003D1614" w:rsidRDefault="009F5538" w:rsidP="009F5538">
            <w:pPr>
              <w:suppressAutoHyphens/>
              <w:autoSpaceDN w:val="0"/>
              <w:spacing w:line="360" w:lineRule="auto"/>
              <w:jc w:val="right"/>
              <w:rPr>
                <w:rFonts w:ascii="Arial" w:eastAsia="Times New Roman" w:hAnsi="Arial" w:cs="Arial"/>
                <w:bCs/>
                <w:color w:val="000000" w:themeColor="text1"/>
                <w:sz w:val="18"/>
                <w:szCs w:val="18"/>
              </w:rPr>
            </w:pPr>
            <w:r>
              <w:rPr>
                <w:rFonts w:ascii="Arial" w:hAnsi="Arial" w:cs="Arial"/>
                <w:bCs/>
                <w:color w:val="000000" w:themeColor="text1"/>
                <w:sz w:val="18"/>
                <w:szCs w:val="18"/>
              </w:rPr>
              <w:t>+0,4</w:t>
            </w:r>
          </w:p>
        </w:tc>
        <w:tc>
          <w:tcPr>
            <w:tcW w:w="929" w:type="pct"/>
            <w:shd w:val="clear" w:color="auto" w:fill="auto"/>
            <w:vAlign w:val="bottom"/>
          </w:tcPr>
          <w:p w14:paraId="66D20189" w14:textId="5DA79F3F" w:rsidR="009F5538" w:rsidRPr="003D1614" w:rsidRDefault="009F5538" w:rsidP="009F5538">
            <w:pPr>
              <w:suppressAutoHyphens/>
              <w:autoSpaceDN w:val="0"/>
              <w:spacing w:line="360" w:lineRule="auto"/>
              <w:jc w:val="right"/>
              <w:rPr>
                <w:rFonts w:ascii="Arial" w:eastAsia="Times New Roman" w:hAnsi="Arial" w:cs="Arial"/>
                <w:bCs/>
                <w:color w:val="000000" w:themeColor="text1"/>
                <w:sz w:val="18"/>
                <w:szCs w:val="18"/>
              </w:rPr>
            </w:pPr>
            <w:r>
              <w:rPr>
                <w:rFonts w:ascii="Arial" w:hAnsi="Arial" w:cs="Arial"/>
                <w:bCs/>
                <w:color w:val="000000" w:themeColor="text1"/>
                <w:sz w:val="18"/>
                <w:szCs w:val="18"/>
              </w:rPr>
              <w:t>0.4</w:t>
            </w:r>
          </w:p>
        </w:tc>
      </w:tr>
      <w:tr w:rsidR="009F5538" w:rsidRPr="003D1614" w14:paraId="7D75BF91" w14:textId="77777777" w:rsidTr="00BC10BC">
        <w:trPr>
          <w:trHeight w:hRule="exact" w:val="284"/>
          <w:jc w:val="center"/>
        </w:trPr>
        <w:tc>
          <w:tcPr>
            <w:tcW w:w="1289" w:type="pct"/>
            <w:shd w:val="clear" w:color="auto" w:fill="auto"/>
            <w:vAlign w:val="center"/>
          </w:tcPr>
          <w:p w14:paraId="70023010" w14:textId="77777777" w:rsidR="009F5538" w:rsidRPr="003D1614" w:rsidRDefault="009F5538" w:rsidP="009F5538">
            <w:pPr>
              <w:suppressAutoHyphens/>
              <w:autoSpaceDN w:val="0"/>
              <w:spacing w:line="360" w:lineRule="auto"/>
              <w:jc w:val="both"/>
              <w:rPr>
                <w:rFonts w:ascii="Arial" w:eastAsia="Times New Roman" w:hAnsi="Arial" w:cs="Arial"/>
                <w:bCs/>
                <w:color w:val="000000" w:themeColor="text1"/>
                <w:sz w:val="18"/>
                <w:szCs w:val="18"/>
              </w:rPr>
            </w:pPr>
          </w:p>
        </w:tc>
        <w:tc>
          <w:tcPr>
            <w:tcW w:w="927" w:type="pct"/>
            <w:shd w:val="clear" w:color="auto" w:fill="auto"/>
            <w:vAlign w:val="center"/>
          </w:tcPr>
          <w:p w14:paraId="1EFADA5D" w14:textId="77777777" w:rsidR="009F5538" w:rsidRPr="003D1614" w:rsidRDefault="009F5538" w:rsidP="009F5538">
            <w:pPr>
              <w:suppressAutoHyphens/>
              <w:autoSpaceDN w:val="0"/>
              <w:spacing w:line="360" w:lineRule="auto"/>
              <w:jc w:val="right"/>
              <w:rPr>
                <w:rFonts w:ascii="Arial" w:eastAsia="Times New Roman" w:hAnsi="Arial" w:cs="Arial"/>
                <w:bCs/>
                <w:color w:val="000000" w:themeColor="text1"/>
                <w:sz w:val="18"/>
                <w:szCs w:val="18"/>
              </w:rPr>
            </w:pPr>
          </w:p>
        </w:tc>
        <w:tc>
          <w:tcPr>
            <w:tcW w:w="927" w:type="pct"/>
            <w:shd w:val="clear" w:color="auto" w:fill="auto"/>
            <w:vAlign w:val="center"/>
          </w:tcPr>
          <w:p w14:paraId="1897E1B4" w14:textId="77777777" w:rsidR="009F5538" w:rsidRPr="003D1614" w:rsidRDefault="009F5538" w:rsidP="009F5538">
            <w:pPr>
              <w:suppressAutoHyphens/>
              <w:autoSpaceDN w:val="0"/>
              <w:spacing w:line="360" w:lineRule="auto"/>
              <w:jc w:val="right"/>
              <w:rPr>
                <w:rFonts w:ascii="Arial" w:eastAsia="Times New Roman" w:hAnsi="Arial" w:cs="Arial"/>
                <w:bCs/>
                <w:color w:val="000000" w:themeColor="text1"/>
                <w:sz w:val="18"/>
                <w:szCs w:val="18"/>
              </w:rPr>
            </w:pPr>
          </w:p>
        </w:tc>
        <w:tc>
          <w:tcPr>
            <w:tcW w:w="927" w:type="pct"/>
            <w:shd w:val="clear" w:color="auto" w:fill="auto"/>
            <w:vAlign w:val="center"/>
          </w:tcPr>
          <w:p w14:paraId="15BA678C" w14:textId="77777777" w:rsidR="009F5538" w:rsidRPr="003D1614" w:rsidRDefault="009F5538" w:rsidP="009F5538">
            <w:pPr>
              <w:suppressAutoHyphens/>
              <w:autoSpaceDN w:val="0"/>
              <w:spacing w:line="360" w:lineRule="auto"/>
              <w:jc w:val="right"/>
              <w:rPr>
                <w:rFonts w:ascii="Arial" w:eastAsia="Times New Roman" w:hAnsi="Arial" w:cs="Arial"/>
                <w:bCs/>
                <w:color w:val="000000" w:themeColor="text1"/>
                <w:sz w:val="18"/>
                <w:szCs w:val="18"/>
              </w:rPr>
            </w:pPr>
          </w:p>
        </w:tc>
        <w:tc>
          <w:tcPr>
            <w:tcW w:w="929" w:type="pct"/>
            <w:shd w:val="clear" w:color="auto" w:fill="auto"/>
            <w:vAlign w:val="center"/>
          </w:tcPr>
          <w:p w14:paraId="2B231F55" w14:textId="77777777" w:rsidR="009F5538" w:rsidRPr="003D1614" w:rsidRDefault="009F5538" w:rsidP="009F5538">
            <w:pPr>
              <w:suppressAutoHyphens/>
              <w:autoSpaceDN w:val="0"/>
              <w:spacing w:line="360" w:lineRule="auto"/>
              <w:jc w:val="right"/>
              <w:rPr>
                <w:rFonts w:ascii="Arial" w:eastAsia="Times New Roman" w:hAnsi="Arial" w:cs="Arial"/>
                <w:bCs/>
                <w:color w:val="000000" w:themeColor="text1"/>
                <w:sz w:val="18"/>
                <w:szCs w:val="18"/>
              </w:rPr>
            </w:pPr>
          </w:p>
        </w:tc>
      </w:tr>
      <w:tr w:rsidR="009F5538" w:rsidRPr="003D1614" w14:paraId="29F49544" w14:textId="77777777" w:rsidTr="00BC10BC">
        <w:trPr>
          <w:trHeight w:hRule="exact" w:val="830"/>
          <w:jc w:val="center"/>
        </w:trPr>
        <w:tc>
          <w:tcPr>
            <w:tcW w:w="1289" w:type="pct"/>
            <w:shd w:val="clear" w:color="auto" w:fill="auto"/>
            <w:vAlign w:val="center"/>
          </w:tcPr>
          <w:p w14:paraId="294306A7" w14:textId="77777777" w:rsidR="009F5538" w:rsidRPr="003D1614" w:rsidRDefault="009F5538" w:rsidP="009F5538">
            <w:pPr>
              <w:suppressAutoHyphens/>
              <w:autoSpaceDN w:val="0"/>
              <w:spacing w:before="240" w:after="120" w:line="360" w:lineRule="auto"/>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Valuta</w:t>
            </w:r>
          </w:p>
        </w:tc>
        <w:tc>
          <w:tcPr>
            <w:tcW w:w="927" w:type="pct"/>
            <w:shd w:val="clear" w:color="auto" w:fill="auto"/>
          </w:tcPr>
          <w:p w14:paraId="0B62FA94" w14:textId="77777777" w:rsidR="009F5538" w:rsidRPr="003D1614" w:rsidRDefault="009F5538" w:rsidP="009F5538">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 xml:space="preserve">Smanjenje bazičnih bodova </w:t>
            </w:r>
          </w:p>
          <w:p w14:paraId="6F33C54C" w14:textId="15CF13ED" w:rsidR="009F5538" w:rsidRPr="003D1614" w:rsidRDefault="009F5538" w:rsidP="009F5538">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3</w:t>
            </w:r>
            <w:r>
              <w:rPr>
                <w:rFonts w:ascii="Arial" w:eastAsia="Times New Roman" w:hAnsi="Arial" w:cs="Arial"/>
                <w:b/>
                <w:bCs/>
                <w:color w:val="000000" w:themeColor="text1"/>
                <w:sz w:val="18"/>
                <w:szCs w:val="18"/>
              </w:rPr>
              <w:t>0</w:t>
            </w:r>
            <w:r w:rsidRPr="003D1614">
              <w:rPr>
                <w:rFonts w:ascii="Arial" w:eastAsia="Times New Roman" w:hAnsi="Arial" w:cs="Arial"/>
                <w:b/>
                <w:bCs/>
                <w:color w:val="000000" w:themeColor="text1"/>
                <w:sz w:val="18"/>
                <w:szCs w:val="18"/>
              </w:rPr>
              <w:t>.</w:t>
            </w:r>
            <w:r>
              <w:rPr>
                <w:rFonts w:ascii="Arial" w:eastAsia="Times New Roman" w:hAnsi="Arial" w:cs="Arial"/>
                <w:b/>
                <w:bCs/>
                <w:color w:val="000000" w:themeColor="text1"/>
                <w:sz w:val="18"/>
                <w:szCs w:val="18"/>
              </w:rPr>
              <w:t>9</w:t>
            </w:r>
            <w:r w:rsidRPr="003D1614">
              <w:rPr>
                <w:rFonts w:ascii="Arial" w:eastAsia="Times New Roman" w:hAnsi="Arial" w:cs="Arial"/>
                <w:b/>
                <w:bCs/>
                <w:color w:val="000000" w:themeColor="text1"/>
                <w:sz w:val="18"/>
                <w:szCs w:val="18"/>
              </w:rPr>
              <w:t>.202</w:t>
            </w:r>
            <w:r>
              <w:rPr>
                <w:rFonts w:ascii="Arial" w:eastAsia="Times New Roman" w:hAnsi="Arial" w:cs="Arial"/>
                <w:b/>
                <w:bCs/>
                <w:color w:val="000000" w:themeColor="text1"/>
                <w:sz w:val="18"/>
                <w:szCs w:val="18"/>
              </w:rPr>
              <w:t>4</w:t>
            </w:r>
            <w:r w:rsidRPr="003D1614">
              <w:rPr>
                <w:rFonts w:ascii="Arial" w:eastAsia="Times New Roman" w:hAnsi="Arial" w:cs="Arial"/>
                <w:b/>
                <w:bCs/>
                <w:color w:val="000000" w:themeColor="text1"/>
                <w:sz w:val="18"/>
                <w:szCs w:val="18"/>
              </w:rPr>
              <w:t>.</w:t>
            </w:r>
          </w:p>
        </w:tc>
        <w:tc>
          <w:tcPr>
            <w:tcW w:w="927" w:type="pct"/>
            <w:shd w:val="clear" w:color="auto" w:fill="auto"/>
          </w:tcPr>
          <w:p w14:paraId="3024E407" w14:textId="77777777" w:rsidR="009F5538" w:rsidRPr="003D1614" w:rsidRDefault="009F5538" w:rsidP="009F5538">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 xml:space="preserve">Utjecaj </w:t>
            </w:r>
          </w:p>
          <w:p w14:paraId="124CBE48" w14:textId="77777777" w:rsidR="009F5538" w:rsidRPr="003D1614" w:rsidRDefault="009F5538" w:rsidP="009F5538">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na dobit</w:t>
            </w:r>
          </w:p>
          <w:p w14:paraId="252C8C8D" w14:textId="069463BC" w:rsidR="009F5538" w:rsidRPr="003D1614" w:rsidRDefault="009F5538" w:rsidP="009F5538">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3</w:t>
            </w:r>
            <w:r>
              <w:rPr>
                <w:rFonts w:ascii="Arial" w:eastAsia="Times New Roman" w:hAnsi="Arial" w:cs="Arial"/>
                <w:b/>
                <w:bCs/>
                <w:color w:val="000000" w:themeColor="text1"/>
                <w:sz w:val="18"/>
                <w:szCs w:val="18"/>
              </w:rPr>
              <w:t>0</w:t>
            </w:r>
            <w:r w:rsidRPr="003D1614">
              <w:rPr>
                <w:rFonts w:ascii="Arial" w:eastAsia="Times New Roman" w:hAnsi="Arial" w:cs="Arial"/>
                <w:b/>
                <w:bCs/>
                <w:color w:val="000000" w:themeColor="text1"/>
                <w:sz w:val="18"/>
                <w:szCs w:val="18"/>
              </w:rPr>
              <w:t>.</w:t>
            </w:r>
            <w:r>
              <w:rPr>
                <w:rFonts w:ascii="Arial" w:eastAsia="Times New Roman" w:hAnsi="Arial" w:cs="Arial"/>
                <w:b/>
                <w:bCs/>
                <w:color w:val="000000" w:themeColor="text1"/>
                <w:sz w:val="18"/>
                <w:szCs w:val="18"/>
              </w:rPr>
              <w:t>9</w:t>
            </w:r>
            <w:r w:rsidRPr="003D1614">
              <w:rPr>
                <w:rFonts w:ascii="Arial" w:eastAsia="Times New Roman" w:hAnsi="Arial" w:cs="Arial"/>
                <w:b/>
                <w:bCs/>
                <w:color w:val="000000" w:themeColor="text1"/>
                <w:sz w:val="18"/>
                <w:szCs w:val="18"/>
              </w:rPr>
              <w:t>.202</w:t>
            </w:r>
            <w:r w:rsidR="0090307B">
              <w:rPr>
                <w:rFonts w:ascii="Arial" w:eastAsia="Times New Roman" w:hAnsi="Arial" w:cs="Arial"/>
                <w:b/>
                <w:bCs/>
                <w:color w:val="000000" w:themeColor="text1"/>
                <w:sz w:val="18"/>
                <w:szCs w:val="18"/>
              </w:rPr>
              <w:t>4</w:t>
            </w:r>
            <w:r w:rsidRPr="003D1614">
              <w:rPr>
                <w:rFonts w:ascii="Arial" w:eastAsia="Times New Roman" w:hAnsi="Arial" w:cs="Arial"/>
                <w:b/>
                <w:bCs/>
                <w:color w:val="000000" w:themeColor="text1"/>
                <w:sz w:val="18"/>
                <w:szCs w:val="18"/>
              </w:rPr>
              <w:t>.</w:t>
            </w:r>
          </w:p>
        </w:tc>
        <w:tc>
          <w:tcPr>
            <w:tcW w:w="927" w:type="pct"/>
            <w:shd w:val="clear" w:color="auto" w:fill="auto"/>
          </w:tcPr>
          <w:p w14:paraId="3918C022" w14:textId="77777777" w:rsidR="009F5538" w:rsidRPr="003D1614" w:rsidRDefault="009F5538" w:rsidP="009F5538">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 xml:space="preserve">Smanjenje bazičnih bodova </w:t>
            </w:r>
          </w:p>
          <w:p w14:paraId="058FBA10" w14:textId="2F698159" w:rsidR="009F5538" w:rsidRPr="003D1614" w:rsidRDefault="009F5538" w:rsidP="009F5538">
            <w:pPr>
              <w:suppressAutoHyphens/>
              <w:autoSpaceDN w:val="0"/>
              <w:spacing w:line="360" w:lineRule="auto"/>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31.12.202</w:t>
            </w:r>
            <w:r>
              <w:rPr>
                <w:rFonts w:ascii="Arial" w:eastAsia="Times New Roman" w:hAnsi="Arial" w:cs="Arial"/>
                <w:b/>
                <w:bCs/>
                <w:color w:val="000000" w:themeColor="text1"/>
                <w:sz w:val="18"/>
                <w:szCs w:val="18"/>
              </w:rPr>
              <w:t>3</w:t>
            </w:r>
            <w:r w:rsidRPr="003D1614">
              <w:rPr>
                <w:rFonts w:ascii="Arial" w:eastAsia="Times New Roman" w:hAnsi="Arial" w:cs="Arial"/>
                <w:b/>
                <w:bCs/>
                <w:color w:val="000000" w:themeColor="text1"/>
                <w:sz w:val="18"/>
                <w:szCs w:val="18"/>
              </w:rPr>
              <w:t>.</w:t>
            </w:r>
          </w:p>
        </w:tc>
        <w:tc>
          <w:tcPr>
            <w:tcW w:w="929" w:type="pct"/>
            <w:shd w:val="clear" w:color="auto" w:fill="auto"/>
          </w:tcPr>
          <w:p w14:paraId="75E1A5E4" w14:textId="77777777" w:rsidR="009F5538" w:rsidRPr="003D1614" w:rsidRDefault="009F5538" w:rsidP="009F5538">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 xml:space="preserve">Utjecaj </w:t>
            </w:r>
          </w:p>
          <w:p w14:paraId="6CA610DD" w14:textId="77777777" w:rsidR="009F5538" w:rsidRPr="003D1614" w:rsidRDefault="009F5538" w:rsidP="009F5538">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na dobit</w:t>
            </w:r>
          </w:p>
          <w:p w14:paraId="39E1E400" w14:textId="31B93A74" w:rsidR="009F5538" w:rsidRPr="003D1614" w:rsidRDefault="009F5538" w:rsidP="009F5538">
            <w:pPr>
              <w:suppressAutoHyphens/>
              <w:autoSpaceDN w:val="0"/>
              <w:spacing w:line="360" w:lineRule="auto"/>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31.12.202</w:t>
            </w:r>
            <w:r>
              <w:rPr>
                <w:rFonts w:ascii="Arial" w:eastAsia="Times New Roman" w:hAnsi="Arial" w:cs="Arial"/>
                <w:b/>
                <w:bCs/>
                <w:color w:val="000000" w:themeColor="text1"/>
                <w:sz w:val="18"/>
                <w:szCs w:val="18"/>
              </w:rPr>
              <w:t>3</w:t>
            </w:r>
            <w:r w:rsidRPr="003D1614">
              <w:rPr>
                <w:rFonts w:ascii="Arial" w:eastAsia="Times New Roman" w:hAnsi="Arial" w:cs="Arial"/>
                <w:b/>
                <w:bCs/>
                <w:color w:val="000000" w:themeColor="text1"/>
                <w:sz w:val="18"/>
                <w:szCs w:val="18"/>
              </w:rPr>
              <w:t>.</w:t>
            </w:r>
          </w:p>
        </w:tc>
      </w:tr>
      <w:tr w:rsidR="009F5538" w:rsidRPr="003D1614" w14:paraId="04165F74" w14:textId="77777777" w:rsidTr="00BC10BC">
        <w:trPr>
          <w:trHeight w:hRule="exact" w:val="279"/>
          <w:jc w:val="center"/>
        </w:trPr>
        <w:tc>
          <w:tcPr>
            <w:tcW w:w="1289" w:type="pct"/>
            <w:shd w:val="clear" w:color="auto" w:fill="auto"/>
            <w:vAlign w:val="bottom"/>
          </w:tcPr>
          <w:p w14:paraId="270F0D33" w14:textId="77777777" w:rsidR="009F5538" w:rsidRPr="003D1614" w:rsidRDefault="009F5538" w:rsidP="009F5538">
            <w:pPr>
              <w:suppressAutoHyphens/>
              <w:autoSpaceDN w:val="0"/>
              <w:spacing w:line="360" w:lineRule="auto"/>
              <w:jc w:val="both"/>
              <w:rPr>
                <w:rFonts w:ascii="Arial" w:eastAsia="Times New Roman" w:hAnsi="Arial" w:cs="Arial"/>
                <w:b/>
                <w:bCs/>
                <w:color w:val="000000" w:themeColor="text1"/>
                <w:sz w:val="18"/>
                <w:szCs w:val="18"/>
              </w:rPr>
            </w:pPr>
          </w:p>
        </w:tc>
        <w:tc>
          <w:tcPr>
            <w:tcW w:w="927" w:type="pct"/>
            <w:shd w:val="clear" w:color="auto" w:fill="auto"/>
            <w:vAlign w:val="center"/>
          </w:tcPr>
          <w:p w14:paraId="077A198C" w14:textId="77777777" w:rsidR="009F5538" w:rsidRPr="003D1614" w:rsidRDefault="009F5538" w:rsidP="009F5538">
            <w:pPr>
              <w:suppressAutoHyphens/>
              <w:autoSpaceDN w:val="0"/>
              <w:spacing w:line="0" w:lineRule="atLeast"/>
              <w:jc w:val="right"/>
              <w:rPr>
                <w:rFonts w:ascii="Arial" w:eastAsia="Times New Roman" w:hAnsi="Arial" w:cs="Arial"/>
                <w:b/>
                <w:bCs/>
                <w:color w:val="000000" w:themeColor="text1"/>
                <w:sz w:val="18"/>
                <w:szCs w:val="18"/>
              </w:rPr>
            </w:pPr>
          </w:p>
        </w:tc>
        <w:tc>
          <w:tcPr>
            <w:tcW w:w="927" w:type="pct"/>
            <w:shd w:val="clear" w:color="auto" w:fill="auto"/>
            <w:vAlign w:val="center"/>
          </w:tcPr>
          <w:p w14:paraId="7232D64A" w14:textId="72BF11F6" w:rsidR="009F5538" w:rsidRPr="003D1614" w:rsidRDefault="009F5538" w:rsidP="009F5538">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color w:val="000000" w:themeColor="text1"/>
                <w:sz w:val="18"/>
                <w:szCs w:val="18"/>
              </w:rPr>
              <w:t>000 eura</w:t>
            </w:r>
          </w:p>
        </w:tc>
        <w:tc>
          <w:tcPr>
            <w:tcW w:w="927" w:type="pct"/>
            <w:shd w:val="clear" w:color="auto" w:fill="auto"/>
            <w:vAlign w:val="center"/>
          </w:tcPr>
          <w:p w14:paraId="2353CB32" w14:textId="77777777" w:rsidR="009F5538" w:rsidRPr="003D1614" w:rsidRDefault="009F5538" w:rsidP="009F5538">
            <w:pPr>
              <w:suppressAutoHyphens/>
              <w:autoSpaceDN w:val="0"/>
              <w:spacing w:line="0" w:lineRule="atLeast"/>
              <w:jc w:val="right"/>
              <w:rPr>
                <w:rFonts w:ascii="Arial" w:eastAsia="Times New Roman" w:hAnsi="Arial" w:cs="Arial"/>
                <w:b/>
                <w:bCs/>
                <w:color w:val="000000" w:themeColor="text1"/>
                <w:sz w:val="18"/>
                <w:szCs w:val="18"/>
              </w:rPr>
            </w:pPr>
          </w:p>
        </w:tc>
        <w:tc>
          <w:tcPr>
            <w:tcW w:w="929" w:type="pct"/>
            <w:shd w:val="clear" w:color="auto" w:fill="auto"/>
            <w:vAlign w:val="center"/>
          </w:tcPr>
          <w:p w14:paraId="60A70FCF" w14:textId="394918AB" w:rsidR="009F5538" w:rsidRPr="003D1614" w:rsidRDefault="009F5538" w:rsidP="009F5538">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color w:val="000000" w:themeColor="text1"/>
                <w:sz w:val="18"/>
                <w:szCs w:val="18"/>
              </w:rPr>
              <w:t>000 eura</w:t>
            </w:r>
          </w:p>
        </w:tc>
      </w:tr>
      <w:tr w:rsidR="009F5538" w:rsidRPr="003D1614" w14:paraId="5B5D86DE" w14:textId="77777777" w:rsidTr="00BC10BC">
        <w:trPr>
          <w:trHeight w:hRule="exact" w:val="113"/>
          <w:jc w:val="center"/>
        </w:trPr>
        <w:tc>
          <w:tcPr>
            <w:tcW w:w="1289" w:type="pct"/>
            <w:shd w:val="clear" w:color="auto" w:fill="auto"/>
            <w:vAlign w:val="center"/>
          </w:tcPr>
          <w:p w14:paraId="6958A427" w14:textId="77777777" w:rsidR="009F5538" w:rsidRPr="003D1614" w:rsidRDefault="009F5538" w:rsidP="009F5538">
            <w:pPr>
              <w:suppressAutoHyphens/>
              <w:autoSpaceDN w:val="0"/>
              <w:spacing w:line="360" w:lineRule="auto"/>
              <w:jc w:val="both"/>
              <w:rPr>
                <w:rFonts w:ascii="Arial" w:eastAsia="Times New Roman" w:hAnsi="Arial" w:cs="Arial"/>
                <w:bCs/>
                <w:color w:val="000000" w:themeColor="text1"/>
                <w:sz w:val="18"/>
                <w:szCs w:val="18"/>
              </w:rPr>
            </w:pPr>
          </w:p>
        </w:tc>
        <w:tc>
          <w:tcPr>
            <w:tcW w:w="927" w:type="pct"/>
            <w:shd w:val="clear" w:color="auto" w:fill="auto"/>
            <w:vAlign w:val="center"/>
          </w:tcPr>
          <w:p w14:paraId="089E6328" w14:textId="77777777" w:rsidR="009F5538" w:rsidRPr="003D1614" w:rsidRDefault="009F5538" w:rsidP="009F5538">
            <w:pPr>
              <w:suppressAutoHyphens/>
              <w:autoSpaceDN w:val="0"/>
              <w:spacing w:line="360" w:lineRule="auto"/>
              <w:jc w:val="right"/>
              <w:rPr>
                <w:rFonts w:ascii="Arial" w:eastAsia="Times New Roman" w:hAnsi="Arial" w:cs="Arial"/>
                <w:bCs/>
                <w:color w:val="000000" w:themeColor="text1"/>
                <w:sz w:val="18"/>
                <w:szCs w:val="18"/>
              </w:rPr>
            </w:pPr>
          </w:p>
        </w:tc>
        <w:tc>
          <w:tcPr>
            <w:tcW w:w="927" w:type="pct"/>
            <w:shd w:val="clear" w:color="auto" w:fill="auto"/>
            <w:vAlign w:val="center"/>
          </w:tcPr>
          <w:p w14:paraId="3F4EBA17" w14:textId="77777777" w:rsidR="009F5538" w:rsidRPr="003D1614" w:rsidRDefault="009F5538" w:rsidP="009F5538">
            <w:pPr>
              <w:suppressAutoHyphens/>
              <w:autoSpaceDN w:val="0"/>
              <w:spacing w:line="360" w:lineRule="auto"/>
              <w:jc w:val="right"/>
              <w:rPr>
                <w:rFonts w:ascii="Arial" w:eastAsia="Times New Roman" w:hAnsi="Arial" w:cs="Arial"/>
                <w:bCs/>
                <w:color w:val="000000" w:themeColor="text1"/>
                <w:sz w:val="18"/>
                <w:szCs w:val="18"/>
              </w:rPr>
            </w:pPr>
          </w:p>
        </w:tc>
        <w:tc>
          <w:tcPr>
            <w:tcW w:w="927" w:type="pct"/>
            <w:shd w:val="clear" w:color="auto" w:fill="auto"/>
            <w:vAlign w:val="center"/>
          </w:tcPr>
          <w:p w14:paraId="4A45E5E9" w14:textId="77777777" w:rsidR="009F5538" w:rsidRPr="003D1614" w:rsidRDefault="009F5538" w:rsidP="009F5538">
            <w:pPr>
              <w:suppressAutoHyphens/>
              <w:autoSpaceDN w:val="0"/>
              <w:spacing w:line="360" w:lineRule="auto"/>
              <w:jc w:val="right"/>
              <w:rPr>
                <w:rFonts w:ascii="Arial" w:eastAsia="Times New Roman" w:hAnsi="Arial" w:cs="Arial"/>
                <w:bCs/>
                <w:color w:val="000000" w:themeColor="text1"/>
                <w:sz w:val="18"/>
                <w:szCs w:val="18"/>
              </w:rPr>
            </w:pPr>
          </w:p>
        </w:tc>
        <w:tc>
          <w:tcPr>
            <w:tcW w:w="929" w:type="pct"/>
            <w:shd w:val="clear" w:color="auto" w:fill="auto"/>
            <w:vAlign w:val="center"/>
          </w:tcPr>
          <w:p w14:paraId="76920883" w14:textId="77777777" w:rsidR="009F5538" w:rsidRPr="003D1614" w:rsidRDefault="009F5538" w:rsidP="009F5538">
            <w:pPr>
              <w:suppressAutoHyphens/>
              <w:autoSpaceDN w:val="0"/>
              <w:spacing w:line="360" w:lineRule="auto"/>
              <w:jc w:val="right"/>
              <w:rPr>
                <w:rFonts w:ascii="Arial" w:eastAsia="Times New Roman" w:hAnsi="Arial" w:cs="Arial"/>
                <w:bCs/>
                <w:color w:val="000000" w:themeColor="text1"/>
                <w:sz w:val="18"/>
                <w:szCs w:val="18"/>
              </w:rPr>
            </w:pPr>
          </w:p>
        </w:tc>
      </w:tr>
      <w:tr w:rsidR="003B2156" w:rsidRPr="003D1614" w14:paraId="09D551D6" w14:textId="77777777" w:rsidTr="00B26727">
        <w:trPr>
          <w:trHeight w:hRule="exact" w:val="268"/>
          <w:jc w:val="center"/>
        </w:trPr>
        <w:tc>
          <w:tcPr>
            <w:tcW w:w="1289" w:type="pct"/>
            <w:shd w:val="clear" w:color="auto" w:fill="auto"/>
            <w:vAlign w:val="center"/>
          </w:tcPr>
          <w:p w14:paraId="266ACA5C" w14:textId="72EB987C" w:rsidR="003B2156" w:rsidRPr="003D1614" w:rsidRDefault="003B2156" w:rsidP="003B2156">
            <w:pPr>
              <w:suppressAutoHyphens/>
              <w:autoSpaceDN w:val="0"/>
              <w:spacing w:line="360" w:lineRule="auto"/>
              <w:jc w:val="both"/>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EUR</w:t>
            </w:r>
          </w:p>
        </w:tc>
        <w:tc>
          <w:tcPr>
            <w:tcW w:w="927" w:type="pct"/>
            <w:shd w:val="clear" w:color="auto" w:fill="auto"/>
            <w:vAlign w:val="center"/>
          </w:tcPr>
          <w:p w14:paraId="69E1F992" w14:textId="46D2DEF0" w:rsidR="003B2156" w:rsidRPr="003D1614" w:rsidRDefault="00B80D7C" w:rsidP="003B2156">
            <w:pPr>
              <w:suppressAutoHyphens/>
              <w:autoSpaceDN w:val="0"/>
              <w:spacing w:line="360" w:lineRule="auto"/>
              <w:jc w:val="right"/>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-0,2</w:t>
            </w:r>
          </w:p>
        </w:tc>
        <w:tc>
          <w:tcPr>
            <w:tcW w:w="927" w:type="pct"/>
            <w:shd w:val="clear" w:color="auto" w:fill="auto"/>
            <w:vAlign w:val="center"/>
          </w:tcPr>
          <w:p w14:paraId="1D304130" w14:textId="011A1F9B" w:rsidR="003B2156" w:rsidRPr="003D1614" w:rsidRDefault="007717F3" w:rsidP="003B2156">
            <w:pPr>
              <w:suppressAutoHyphens/>
              <w:autoSpaceDN w:val="0"/>
              <w:spacing w:line="360" w:lineRule="auto"/>
              <w:jc w:val="right"/>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(1,5)</w:t>
            </w:r>
          </w:p>
        </w:tc>
        <w:tc>
          <w:tcPr>
            <w:tcW w:w="927" w:type="pct"/>
            <w:shd w:val="clear" w:color="auto" w:fill="auto"/>
            <w:vAlign w:val="bottom"/>
          </w:tcPr>
          <w:p w14:paraId="5F419E89" w14:textId="47A64AA2" w:rsidR="003B2156" w:rsidRPr="003D1614" w:rsidRDefault="003B2156" w:rsidP="003B2156">
            <w:pPr>
              <w:suppressAutoHyphens/>
              <w:autoSpaceDN w:val="0"/>
              <w:spacing w:line="360" w:lineRule="auto"/>
              <w:jc w:val="right"/>
              <w:rPr>
                <w:rFonts w:ascii="Arial" w:eastAsia="Times New Roman" w:hAnsi="Arial" w:cs="Arial"/>
                <w:bCs/>
                <w:color w:val="000000" w:themeColor="text1"/>
                <w:sz w:val="18"/>
                <w:szCs w:val="18"/>
              </w:rPr>
            </w:pPr>
            <w:r>
              <w:rPr>
                <w:rFonts w:ascii="Arial" w:hAnsi="Arial" w:cs="Arial"/>
                <w:bCs/>
                <w:color w:val="000000" w:themeColor="text1"/>
                <w:sz w:val="18"/>
                <w:szCs w:val="18"/>
              </w:rPr>
              <w:t>-0,6</w:t>
            </w:r>
          </w:p>
        </w:tc>
        <w:tc>
          <w:tcPr>
            <w:tcW w:w="929" w:type="pct"/>
            <w:shd w:val="clear" w:color="auto" w:fill="auto"/>
            <w:vAlign w:val="bottom"/>
          </w:tcPr>
          <w:p w14:paraId="736BCE46" w14:textId="374849F5" w:rsidR="003B2156" w:rsidRPr="003D1614" w:rsidRDefault="003B2156" w:rsidP="003B2156">
            <w:pPr>
              <w:suppressAutoHyphens/>
              <w:autoSpaceDN w:val="0"/>
              <w:spacing w:line="360" w:lineRule="auto"/>
              <w:jc w:val="right"/>
              <w:rPr>
                <w:rFonts w:ascii="Arial" w:eastAsia="Times New Roman" w:hAnsi="Arial" w:cs="Arial"/>
                <w:bCs/>
                <w:color w:val="000000" w:themeColor="text1"/>
                <w:sz w:val="18"/>
                <w:szCs w:val="18"/>
              </w:rPr>
            </w:pPr>
            <w:r>
              <w:rPr>
                <w:rFonts w:ascii="Arial" w:hAnsi="Arial" w:cs="Arial"/>
                <w:bCs/>
                <w:color w:val="000000" w:themeColor="text1"/>
                <w:sz w:val="18"/>
                <w:szCs w:val="18"/>
              </w:rPr>
              <w:t>(5)</w:t>
            </w:r>
          </w:p>
        </w:tc>
      </w:tr>
      <w:tr w:rsidR="003B2156" w:rsidRPr="003D1614" w14:paraId="5A27F2C9" w14:textId="77777777" w:rsidTr="00B26727">
        <w:trPr>
          <w:trHeight w:hRule="exact" w:val="284"/>
          <w:jc w:val="center"/>
        </w:trPr>
        <w:tc>
          <w:tcPr>
            <w:tcW w:w="1289" w:type="pct"/>
            <w:shd w:val="clear" w:color="auto" w:fill="auto"/>
            <w:vAlign w:val="center"/>
          </w:tcPr>
          <w:p w14:paraId="2F41A7EE" w14:textId="77777777" w:rsidR="003B2156" w:rsidRPr="003D1614" w:rsidRDefault="003B2156" w:rsidP="003B2156">
            <w:pPr>
              <w:suppressAutoHyphens/>
              <w:autoSpaceDN w:val="0"/>
              <w:spacing w:line="360" w:lineRule="auto"/>
              <w:jc w:val="both"/>
              <w:rPr>
                <w:rFonts w:ascii="Arial" w:eastAsia="Times New Roman" w:hAnsi="Arial" w:cs="Arial"/>
                <w:bCs/>
                <w:color w:val="000000" w:themeColor="text1"/>
                <w:sz w:val="18"/>
                <w:szCs w:val="18"/>
              </w:rPr>
            </w:pPr>
            <w:r w:rsidRPr="003D1614">
              <w:rPr>
                <w:rFonts w:ascii="Arial" w:eastAsia="Times New Roman" w:hAnsi="Arial" w:cs="Arial"/>
                <w:bCs/>
                <w:color w:val="000000" w:themeColor="text1"/>
                <w:sz w:val="18"/>
                <w:szCs w:val="18"/>
              </w:rPr>
              <w:t>USD</w:t>
            </w:r>
          </w:p>
        </w:tc>
        <w:tc>
          <w:tcPr>
            <w:tcW w:w="927" w:type="pct"/>
            <w:shd w:val="clear" w:color="auto" w:fill="auto"/>
            <w:vAlign w:val="bottom"/>
          </w:tcPr>
          <w:p w14:paraId="04D41CDF" w14:textId="56A952F0" w:rsidR="003B2156" w:rsidRPr="003D1614" w:rsidRDefault="00B80D7C" w:rsidP="003B2156">
            <w:pPr>
              <w:suppressAutoHyphens/>
              <w:autoSpaceDN w:val="0"/>
              <w:spacing w:line="360" w:lineRule="auto"/>
              <w:jc w:val="right"/>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-0,2</w:t>
            </w:r>
          </w:p>
        </w:tc>
        <w:tc>
          <w:tcPr>
            <w:tcW w:w="927" w:type="pct"/>
            <w:shd w:val="clear" w:color="auto" w:fill="auto"/>
            <w:vAlign w:val="bottom"/>
          </w:tcPr>
          <w:p w14:paraId="58644E75" w14:textId="590A117E" w:rsidR="003B2156" w:rsidRPr="003D1614" w:rsidRDefault="007717F3" w:rsidP="003B2156">
            <w:pPr>
              <w:suppressAutoHyphens/>
              <w:autoSpaceDN w:val="0"/>
              <w:spacing w:line="360" w:lineRule="auto"/>
              <w:jc w:val="right"/>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(0,1)</w:t>
            </w:r>
          </w:p>
        </w:tc>
        <w:tc>
          <w:tcPr>
            <w:tcW w:w="927" w:type="pct"/>
            <w:shd w:val="clear" w:color="auto" w:fill="auto"/>
            <w:vAlign w:val="bottom"/>
          </w:tcPr>
          <w:p w14:paraId="1B22C83B" w14:textId="1057FDA2" w:rsidR="003B2156" w:rsidRPr="003D1614" w:rsidRDefault="003B2156" w:rsidP="003B2156">
            <w:pPr>
              <w:suppressAutoHyphens/>
              <w:autoSpaceDN w:val="0"/>
              <w:spacing w:line="360" w:lineRule="auto"/>
              <w:jc w:val="right"/>
              <w:rPr>
                <w:rFonts w:ascii="Arial" w:eastAsia="Times New Roman" w:hAnsi="Arial" w:cs="Arial"/>
                <w:bCs/>
                <w:color w:val="000000" w:themeColor="text1"/>
                <w:sz w:val="18"/>
                <w:szCs w:val="18"/>
              </w:rPr>
            </w:pPr>
            <w:r>
              <w:rPr>
                <w:rFonts w:ascii="Arial" w:hAnsi="Arial" w:cs="Arial"/>
                <w:bCs/>
                <w:color w:val="000000" w:themeColor="text1"/>
                <w:sz w:val="18"/>
                <w:szCs w:val="18"/>
              </w:rPr>
              <w:t>-0,4</w:t>
            </w:r>
          </w:p>
        </w:tc>
        <w:tc>
          <w:tcPr>
            <w:tcW w:w="929" w:type="pct"/>
            <w:shd w:val="clear" w:color="auto" w:fill="auto"/>
            <w:vAlign w:val="bottom"/>
          </w:tcPr>
          <w:p w14:paraId="20683E3A" w14:textId="023262D0" w:rsidR="003B2156" w:rsidRPr="003D1614" w:rsidRDefault="003B2156" w:rsidP="003B2156">
            <w:pPr>
              <w:suppressAutoHyphens/>
              <w:autoSpaceDN w:val="0"/>
              <w:spacing w:line="360" w:lineRule="auto"/>
              <w:jc w:val="right"/>
              <w:rPr>
                <w:rFonts w:ascii="Arial" w:eastAsia="Times New Roman" w:hAnsi="Arial" w:cs="Arial"/>
                <w:bCs/>
                <w:color w:val="000000" w:themeColor="text1"/>
                <w:sz w:val="18"/>
                <w:szCs w:val="18"/>
              </w:rPr>
            </w:pPr>
            <w:r>
              <w:rPr>
                <w:rFonts w:ascii="Arial" w:hAnsi="Arial" w:cs="Arial"/>
                <w:bCs/>
                <w:color w:val="000000" w:themeColor="text1"/>
                <w:sz w:val="18"/>
                <w:szCs w:val="18"/>
              </w:rPr>
              <w:t>(0.4)</w:t>
            </w:r>
          </w:p>
        </w:tc>
      </w:tr>
    </w:tbl>
    <w:p w14:paraId="22C14B69" w14:textId="241AED23" w:rsidR="009243A8" w:rsidRPr="003D1614" w:rsidRDefault="009243A8" w:rsidP="00661446">
      <w:pPr>
        <w:suppressAutoHyphens/>
        <w:autoSpaceDN w:val="0"/>
        <w:jc w:val="both"/>
        <w:rPr>
          <w:rFonts w:ascii="Arial" w:eastAsia="Times New Roman" w:hAnsi="Arial" w:cs="Arial"/>
          <w:bCs/>
          <w:i/>
          <w:color w:val="000000" w:themeColor="text1"/>
          <w:sz w:val="18"/>
          <w:szCs w:val="18"/>
        </w:rPr>
      </w:pPr>
    </w:p>
    <w:p w14:paraId="27AD5DBD" w14:textId="77777777" w:rsidR="006A67A0" w:rsidRPr="003D1614" w:rsidRDefault="006A67A0" w:rsidP="00661446">
      <w:pPr>
        <w:suppressAutoHyphens/>
        <w:autoSpaceDN w:val="0"/>
        <w:jc w:val="both"/>
        <w:rPr>
          <w:rFonts w:ascii="Arial" w:eastAsia="Times New Roman" w:hAnsi="Arial" w:cs="Arial"/>
          <w:bCs/>
          <w:i/>
          <w:color w:val="000000" w:themeColor="text1"/>
          <w:sz w:val="18"/>
          <w:szCs w:val="18"/>
        </w:rPr>
        <w:sectPr w:rsidR="006A67A0" w:rsidRPr="003D1614" w:rsidSect="003278AB">
          <w:pgSz w:w="11906" w:h="16838"/>
          <w:pgMar w:top="1417" w:right="1417" w:bottom="1417" w:left="1417" w:header="708" w:footer="708" w:gutter="0"/>
          <w:cols w:space="708"/>
          <w:docGrid w:linePitch="360"/>
        </w:sectPr>
      </w:pPr>
    </w:p>
    <w:p w14:paraId="5A5265CE" w14:textId="77777777" w:rsidR="006A67A0" w:rsidRPr="003D1614" w:rsidRDefault="006A67A0" w:rsidP="006A67A0">
      <w:pPr>
        <w:keepNext/>
        <w:suppressAutoHyphens/>
        <w:autoSpaceDN w:val="0"/>
        <w:jc w:val="both"/>
        <w:outlineLvl w:val="0"/>
        <w:rPr>
          <w:rFonts w:ascii="Arial" w:eastAsia="Times New Roman" w:hAnsi="Arial" w:cs="Arial"/>
          <w:b/>
          <w:bCs/>
          <w:color w:val="000000" w:themeColor="text1"/>
          <w:sz w:val="20"/>
          <w:szCs w:val="20"/>
        </w:rPr>
      </w:pPr>
    </w:p>
    <w:p w14:paraId="26188553" w14:textId="4857DFE8"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Upravljanje rizicima (nastavak)</w:t>
      </w:r>
    </w:p>
    <w:p w14:paraId="15BF93CD" w14:textId="77777777"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p>
    <w:p w14:paraId="7195E05C" w14:textId="1D16758B"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.5.     Tržišni rizik (nastavak)</w:t>
      </w:r>
    </w:p>
    <w:p w14:paraId="1DCD0ECD" w14:textId="77777777"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p>
    <w:p w14:paraId="5EBD9F2B" w14:textId="34C18423"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.5.2.  Valutni rizik</w:t>
      </w:r>
    </w:p>
    <w:p w14:paraId="2B902683" w14:textId="77777777" w:rsidR="006A67A0" w:rsidRPr="003D1614" w:rsidRDefault="006A67A0" w:rsidP="006A67A0">
      <w:pPr>
        <w:suppressAutoHyphens/>
        <w:autoSpaceDN w:val="0"/>
        <w:jc w:val="both"/>
        <w:rPr>
          <w:rFonts w:ascii="Arial" w:eastAsia="Times New Roman" w:hAnsi="Arial" w:cs="Arial"/>
          <w:color w:val="000000" w:themeColor="text1"/>
          <w:sz w:val="20"/>
          <w:szCs w:val="20"/>
        </w:rPr>
      </w:pPr>
    </w:p>
    <w:p w14:paraId="54224D06" w14:textId="204B42B2" w:rsidR="006A67A0" w:rsidRPr="003D1614" w:rsidRDefault="006A67A0" w:rsidP="006A67A0">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Iznos ukupne imovine i ukupnih obveza na dan </w:t>
      </w:r>
      <w:r w:rsidR="00E16D06" w:rsidRPr="00E16D06">
        <w:rPr>
          <w:rFonts w:ascii="Arial" w:eastAsia="Times New Roman" w:hAnsi="Arial" w:cs="Arial"/>
          <w:color w:val="000000" w:themeColor="text1"/>
          <w:sz w:val="20"/>
          <w:szCs w:val="20"/>
        </w:rPr>
        <w:t>30. rujna 202</w:t>
      </w:r>
      <w:r w:rsidR="00DA0A22">
        <w:rPr>
          <w:rFonts w:ascii="Arial" w:eastAsia="Times New Roman" w:hAnsi="Arial" w:cs="Arial"/>
          <w:color w:val="000000" w:themeColor="text1"/>
          <w:sz w:val="20"/>
          <w:szCs w:val="20"/>
        </w:rPr>
        <w:t>4</w:t>
      </w:r>
      <w:r w:rsidR="00E16D06" w:rsidRPr="00E16D06">
        <w:rPr>
          <w:rFonts w:ascii="Arial" w:eastAsia="Times New Roman" w:hAnsi="Arial" w:cs="Arial"/>
          <w:color w:val="000000" w:themeColor="text1"/>
          <w:sz w:val="20"/>
          <w:szCs w:val="20"/>
        </w:rPr>
        <w:t>.</w:t>
      </w:r>
      <w:r w:rsidR="00E16D06">
        <w:rPr>
          <w:rFonts w:ascii="Arial" w:eastAsia="Times New Roman" w:hAnsi="Arial" w:cs="Arial"/>
          <w:color w:val="000000" w:themeColor="text1"/>
          <w:sz w:val="20"/>
          <w:szCs w:val="20"/>
        </w:rPr>
        <w:t xml:space="preserve"> </w:t>
      </w:r>
      <w:r w:rsidRPr="003D1614">
        <w:rPr>
          <w:rFonts w:ascii="Arial" w:eastAsia="Times New Roman" w:hAnsi="Arial" w:cs="Arial"/>
          <w:color w:val="000000" w:themeColor="text1"/>
          <w:sz w:val="20"/>
          <w:szCs w:val="20"/>
        </w:rPr>
        <w:t>i 31. prosinca 202</w:t>
      </w:r>
      <w:r w:rsidR="00DA0A22">
        <w:rPr>
          <w:rFonts w:ascii="Arial" w:eastAsia="Times New Roman" w:hAnsi="Arial" w:cs="Arial"/>
          <w:color w:val="000000" w:themeColor="text1"/>
          <w:sz w:val="20"/>
          <w:szCs w:val="20"/>
        </w:rPr>
        <w:t>3</w:t>
      </w:r>
      <w:r w:rsidRPr="003D1614">
        <w:rPr>
          <w:rFonts w:ascii="Arial" w:eastAsia="Times New Roman" w:hAnsi="Arial" w:cs="Arial"/>
          <w:color w:val="000000" w:themeColor="text1"/>
          <w:sz w:val="20"/>
          <w:szCs w:val="20"/>
        </w:rPr>
        <w:t xml:space="preserve">. u </w:t>
      </w:r>
      <w:r w:rsidR="0056069E">
        <w:rPr>
          <w:rFonts w:ascii="Arial" w:eastAsia="Times New Roman" w:hAnsi="Arial" w:cs="Arial"/>
          <w:color w:val="000000" w:themeColor="text1"/>
          <w:sz w:val="20"/>
          <w:szCs w:val="20"/>
        </w:rPr>
        <w:t>eurima</w:t>
      </w:r>
      <w:r w:rsidRPr="003D1614">
        <w:rPr>
          <w:rFonts w:ascii="Arial" w:eastAsia="Times New Roman" w:hAnsi="Arial" w:cs="Arial"/>
          <w:color w:val="000000" w:themeColor="text1"/>
          <w:sz w:val="20"/>
          <w:szCs w:val="20"/>
        </w:rPr>
        <w:t xml:space="preserve"> i devizama:</w:t>
      </w:r>
    </w:p>
    <w:p w14:paraId="42F1CC6D" w14:textId="77777777" w:rsidR="006A67A0" w:rsidRPr="003D1614" w:rsidRDefault="006A67A0" w:rsidP="006A67A0">
      <w:pPr>
        <w:keepNext/>
        <w:suppressAutoHyphens/>
        <w:autoSpaceDN w:val="0"/>
        <w:jc w:val="both"/>
        <w:outlineLvl w:val="0"/>
        <w:rPr>
          <w:rFonts w:ascii="Arial" w:eastAsia="Times New Roman" w:hAnsi="Arial" w:cs="Arial"/>
          <w:color w:val="000000" w:themeColor="text1"/>
          <w:sz w:val="20"/>
          <w:szCs w:val="20"/>
        </w:rPr>
      </w:pPr>
    </w:p>
    <w:tbl>
      <w:tblPr>
        <w:tblW w:w="5061" w:type="pct"/>
        <w:tblLayout w:type="fixed"/>
        <w:tblCellMar>
          <w:left w:w="10" w:type="dxa"/>
          <w:right w:w="10" w:type="dxa"/>
        </w:tblCellMar>
        <w:tblLook w:val="0000" w:firstRow="0" w:lastRow="0" w:firstColumn="0" w:lastColumn="0" w:noHBand="0" w:noVBand="0"/>
      </w:tblPr>
      <w:tblGrid>
        <w:gridCol w:w="3515"/>
        <w:gridCol w:w="1417"/>
        <w:gridCol w:w="1417"/>
        <w:gridCol w:w="1417"/>
        <w:gridCol w:w="1417"/>
      </w:tblGrid>
      <w:tr w:rsidR="00BA23DE" w:rsidRPr="003D1614" w14:paraId="3E25298D" w14:textId="77777777" w:rsidTr="002540AE">
        <w:trPr>
          <w:trHeight w:val="415"/>
        </w:trPr>
        <w:tc>
          <w:tcPr>
            <w:tcW w:w="3515" w:type="dxa"/>
            <w:tcMar>
              <w:top w:w="0" w:type="dxa"/>
              <w:left w:w="120" w:type="dxa"/>
              <w:bottom w:w="0" w:type="dxa"/>
              <w:right w:w="120" w:type="dxa"/>
            </w:tcMar>
            <w:vAlign w:val="bottom"/>
          </w:tcPr>
          <w:p w14:paraId="46A9E960" w14:textId="77777777" w:rsidR="00BA23DE" w:rsidRPr="003D1614" w:rsidRDefault="00BA23DE" w:rsidP="002540AE">
            <w:pPr>
              <w:tabs>
                <w:tab w:val="right" w:pos="1202"/>
              </w:tabs>
              <w:suppressAutoHyphens/>
              <w:autoSpaceDN w:val="0"/>
              <w:spacing w:line="220" w:lineRule="exact"/>
              <w:outlineLvl w:val="0"/>
              <w:rPr>
                <w:rFonts w:ascii="Arial" w:eastAsia="Calibri" w:hAnsi="Arial" w:cs="Arial"/>
                <w:b/>
                <w:color w:val="000000" w:themeColor="text1"/>
                <w:sz w:val="17"/>
                <w:szCs w:val="17"/>
              </w:rPr>
            </w:pPr>
            <w:bookmarkStart w:id="943" w:name="_Toc67330684"/>
            <w:r w:rsidRPr="003D1614">
              <w:rPr>
                <w:rFonts w:ascii="Arial" w:eastAsia="Calibri" w:hAnsi="Arial" w:cs="Arial"/>
                <w:b/>
                <w:color w:val="000000" w:themeColor="text1"/>
                <w:sz w:val="17"/>
                <w:szCs w:val="17"/>
              </w:rPr>
              <w:t>Grupa</w:t>
            </w:r>
            <w:bookmarkEnd w:id="943"/>
          </w:p>
          <w:p w14:paraId="7F6AE4DC" w14:textId="77777777" w:rsidR="00BA23DE" w:rsidRPr="003D1614" w:rsidRDefault="00BA23DE" w:rsidP="002540AE">
            <w:pPr>
              <w:tabs>
                <w:tab w:val="right" w:pos="1202"/>
              </w:tabs>
              <w:suppressAutoHyphens/>
              <w:autoSpaceDN w:val="0"/>
              <w:spacing w:line="220" w:lineRule="exact"/>
              <w:outlineLvl w:val="0"/>
              <w:rPr>
                <w:rFonts w:ascii="Arial" w:eastAsia="Calibri" w:hAnsi="Arial" w:cs="Arial"/>
                <w:b/>
                <w:color w:val="000000" w:themeColor="text1"/>
                <w:sz w:val="17"/>
                <w:szCs w:val="17"/>
              </w:rPr>
            </w:pPr>
          </w:p>
          <w:p w14:paraId="42DAB5B9" w14:textId="77777777" w:rsidR="00BA23DE" w:rsidRPr="003D1614" w:rsidRDefault="00BA23DE" w:rsidP="002540AE">
            <w:pPr>
              <w:tabs>
                <w:tab w:val="right" w:pos="1202"/>
              </w:tabs>
              <w:suppressAutoHyphens/>
              <w:autoSpaceDN w:val="0"/>
              <w:spacing w:line="220" w:lineRule="exact"/>
              <w:outlineLvl w:val="0"/>
              <w:rPr>
                <w:rFonts w:ascii="Arial" w:eastAsia="Calibri" w:hAnsi="Arial" w:cs="Arial"/>
                <w:b/>
                <w:color w:val="000000" w:themeColor="text1"/>
                <w:sz w:val="17"/>
                <w:szCs w:val="17"/>
              </w:rPr>
            </w:pPr>
            <w:r w:rsidRPr="00E16D06">
              <w:rPr>
                <w:rFonts w:ascii="Arial" w:eastAsia="Calibri" w:hAnsi="Arial" w:cs="Arial"/>
                <w:b/>
                <w:color w:val="000000" w:themeColor="text1"/>
                <w:sz w:val="17"/>
                <w:szCs w:val="17"/>
              </w:rPr>
              <w:t>30. rujna 202</w:t>
            </w:r>
            <w:r>
              <w:rPr>
                <w:rFonts w:ascii="Arial" w:eastAsia="Calibri" w:hAnsi="Arial" w:cs="Arial"/>
                <w:b/>
                <w:color w:val="000000" w:themeColor="text1"/>
                <w:sz w:val="17"/>
                <w:szCs w:val="17"/>
              </w:rPr>
              <w:t>4</w:t>
            </w:r>
            <w:r w:rsidRPr="00E16D06">
              <w:rPr>
                <w:rFonts w:ascii="Arial" w:eastAsia="Calibri" w:hAnsi="Arial" w:cs="Arial"/>
                <w:b/>
                <w:color w:val="000000" w:themeColor="text1"/>
                <w:sz w:val="17"/>
                <w:szCs w:val="17"/>
              </w:rPr>
              <w:t>.</w:t>
            </w:r>
          </w:p>
        </w:tc>
        <w:tc>
          <w:tcPr>
            <w:tcW w:w="1417" w:type="dxa"/>
            <w:tcMar>
              <w:top w:w="0" w:type="dxa"/>
              <w:left w:w="120" w:type="dxa"/>
              <w:bottom w:w="0" w:type="dxa"/>
              <w:right w:w="120" w:type="dxa"/>
            </w:tcMar>
          </w:tcPr>
          <w:p w14:paraId="5B7A3FF7" w14:textId="77777777" w:rsidR="00BA23DE" w:rsidRPr="003D1614" w:rsidRDefault="00BA23DE" w:rsidP="002540AE">
            <w:pPr>
              <w:tabs>
                <w:tab w:val="right" w:pos="1202"/>
              </w:tabs>
              <w:suppressAutoHyphens/>
              <w:autoSpaceDN w:val="0"/>
              <w:spacing w:line="220" w:lineRule="exact"/>
              <w:jc w:val="right"/>
              <w:outlineLvl w:val="0"/>
              <w:rPr>
                <w:rFonts w:ascii="Arial" w:eastAsia="Calibri" w:hAnsi="Arial" w:cs="Arial"/>
                <w:b/>
                <w:color w:val="000000" w:themeColor="text1"/>
                <w:sz w:val="17"/>
                <w:szCs w:val="17"/>
              </w:rPr>
            </w:pPr>
            <w:r w:rsidRPr="0056069E">
              <w:rPr>
                <w:rFonts w:ascii="Arial" w:eastAsia="Calibri" w:hAnsi="Arial" w:cs="Arial"/>
                <w:b/>
                <w:color w:val="000000" w:themeColor="text1"/>
                <w:sz w:val="17"/>
                <w:szCs w:val="17"/>
              </w:rPr>
              <w:t>EUR</w:t>
            </w:r>
          </w:p>
        </w:tc>
        <w:tc>
          <w:tcPr>
            <w:tcW w:w="1417" w:type="dxa"/>
            <w:tcMar>
              <w:top w:w="0" w:type="dxa"/>
              <w:left w:w="120" w:type="dxa"/>
              <w:bottom w:w="0" w:type="dxa"/>
              <w:right w:w="120" w:type="dxa"/>
            </w:tcMar>
          </w:tcPr>
          <w:p w14:paraId="7BF4C4B0" w14:textId="77777777" w:rsidR="00BA23DE" w:rsidRPr="0056069E" w:rsidRDefault="00BA23DE" w:rsidP="002540AE">
            <w:pPr>
              <w:tabs>
                <w:tab w:val="right" w:pos="1202"/>
              </w:tabs>
              <w:suppressAutoHyphens/>
              <w:autoSpaceDN w:val="0"/>
              <w:spacing w:line="220" w:lineRule="exact"/>
              <w:jc w:val="right"/>
              <w:outlineLvl w:val="0"/>
              <w:rPr>
                <w:rFonts w:ascii="Arial" w:eastAsia="Calibri" w:hAnsi="Arial" w:cs="Arial"/>
                <w:b/>
                <w:color w:val="000000" w:themeColor="text1"/>
                <w:sz w:val="17"/>
                <w:szCs w:val="17"/>
              </w:rPr>
            </w:pPr>
            <w:r w:rsidRPr="0056069E">
              <w:rPr>
                <w:rFonts w:ascii="Arial" w:eastAsia="Calibri" w:hAnsi="Arial" w:cs="Arial"/>
                <w:b/>
                <w:color w:val="000000" w:themeColor="text1"/>
                <w:sz w:val="17"/>
                <w:szCs w:val="17"/>
              </w:rPr>
              <w:t>USD</w:t>
            </w:r>
          </w:p>
        </w:tc>
        <w:tc>
          <w:tcPr>
            <w:tcW w:w="1417" w:type="dxa"/>
            <w:tcMar>
              <w:top w:w="0" w:type="dxa"/>
              <w:left w:w="120" w:type="dxa"/>
              <w:bottom w:w="0" w:type="dxa"/>
              <w:right w:w="120" w:type="dxa"/>
            </w:tcMar>
          </w:tcPr>
          <w:p w14:paraId="782A8B98" w14:textId="77777777" w:rsidR="00BA23DE" w:rsidRPr="003D1614" w:rsidRDefault="00BA23DE" w:rsidP="002540AE">
            <w:pPr>
              <w:tabs>
                <w:tab w:val="right" w:pos="1202"/>
              </w:tabs>
              <w:suppressAutoHyphens/>
              <w:autoSpaceDN w:val="0"/>
              <w:spacing w:line="220" w:lineRule="exact"/>
              <w:jc w:val="right"/>
              <w:outlineLvl w:val="0"/>
              <w:rPr>
                <w:rFonts w:ascii="Arial" w:eastAsia="Calibri" w:hAnsi="Arial" w:cs="Arial"/>
                <w:b/>
                <w:color w:val="000000" w:themeColor="text1"/>
                <w:sz w:val="17"/>
                <w:szCs w:val="17"/>
              </w:rPr>
            </w:pPr>
            <w:bookmarkStart w:id="944" w:name="_Toc67330688"/>
            <w:r w:rsidRPr="003D1614">
              <w:rPr>
                <w:rFonts w:ascii="Arial" w:eastAsia="Calibri" w:hAnsi="Arial" w:cs="Arial"/>
                <w:b/>
                <w:color w:val="000000" w:themeColor="text1"/>
                <w:sz w:val="17"/>
                <w:szCs w:val="17"/>
              </w:rPr>
              <w:t>Ostale valute</w:t>
            </w:r>
            <w:bookmarkEnd w:id="944"/>
          </w:p>
        </w:tc>
        <w:tc>
          <w:tcPr>
            <w:tcW w:w="1417" w:type="dxa"/>
            <w:tcMar>
              <w:top w:w="0" w:type="dxa"/>
              <w:left w:w="120" w:type="dxa"/>
              <w:bottom w:w="0" w:type="dxa"/>
              <w:right w:w="120" w:type="dxa"/>
            </w:tcMar>
          </w:tcPr>
          <w:p w14:paraId="133A4992" w14:textId="77777777" w:rsidR="00BA23DE" w:rsidRPr="003D1614" w:rsidRDefault="00BA23DE" w:rsidP="002540AE">
            <w:pPr>
              <w:tabs>
                <w:tab w:val="right" w:pos="1202"/>
              </w:tabs>
              <w:suppressAutoHyphens/>
              <w:autoSpaceDN w:val="0"/>
              <w:spacing w:line="220" w:lineRule="exact"/>
              <w:jc w:val="right"/>
              <w:outlineLvl w:val="0"/>
              <w:rPr>
                <w:rFonts w:ascii="Arial" w:eastAsia="Calibri" w:hAnsi="Arial" w:cs="Arial"/>
                <w:b/>
                <w:color w:val="000000" w:themeColor="text1"/>
                <w:sz w:val="17"/>
                <w:szCs w:val="17"/>
              </w:rPr>
            </w:pPr>
            <w:bookmarkStart w:id="945" w:name="_Toc67330691"/>
            <w:r w:rsidRPr="003D1614">
              <w:rPr>
                <w:rFonts w:ascii="Arial" w:eastAsia="Calibri" w:hAnsi="Arial" w:cs="Arial"/>
                <w:b/>
                <w:color w:val="000000" w:themeColor="text1"/>
                <w:sz w:val="17"/>
                <w:szCs w:val="17"/>
              </w:rPr>
              <w:t>Ukupno</w:t>
            </w:r>
            <w:bookmarkEnd w:id="945"/>
          </w:p>
        </w:tc>
      </w:tr>
      <w:tr w:rsidR="00BA23DE" w:rsidRPr="003D1614" w14:paraId="371A7E32" w14:textId="77777777" w:rsidTr="002540AE">
        <w:trPr>
          <w:trHeight w:hRule="exact" w:val="272"/>
        </w:trPr>
        <w:tc>
          <w:tcPr>
            <w:tcW w:w="3515" w:type="dxa"/>
            <w:tcMar>
              <w:top w:w="0" w:type="dxa"/>
              <w:left w:w="120" w:type="dxa"/>
              <w:bottom w:w="0" w:type="dxa"/>
              <w:right w:w="120" w:type="dxa"/>
            </w:tcMar>
          </w:tcPr>
          <w:p w14:paraId="32B7D2F3" w14:textId="77777777" w:rsidR="00BA23DE" w:rsidRPr="003D1614" w:rsidRDefault="00BA23DE" w:rsidP="002540AE">
            <w:pPr>
              <w:tabs>
                <w:tab w:val="right" w:pos="1202"/>
              </w:tabs>
              <w:suppressAutoHyphens/>
              <w:autoSpaceDN w:val="0"/>
              <w:spacing w:line="220" w:lineRule="exact"/>
              <w:outlineLvl w:val="0"/>
              <w:rPr>
                <w:rFonts w:ascii="Arial" w:eastAsia="Calibri" w:hAnsi="Arial" w:cs="Arial"/>
                <w:b/>
                <w:color w:val="000000" w:themeColor="text1"/>
                <w:sz w:val="17"/>
                <w:szCs w:val="17"/>
              </w:rPr>
            </w:pPr>
          </w:p>
        </w:tc>
        <w:tc>
          <w:tcPr>
            <w:tcW w:w="1417" w:type="dxa"/>
            <w:tcMar>
              <w:top w:w="0" w:type="dxa"/>
              <w:left w:w="120" w:type="dxa"/>
              <w:bottom w:w="0" w:type="dxa"/>
              <w:right w:w="120" w:type="dxa"/>
            </w:tcMar>
          </w:tcPr>
          <w:p w14:paraId="51248E1E" w14:textId="77777777" w:rsidR="00BA23DE" w:rsidRPr="003D1614" w:rsidRDefault="00BA23DE" w:rsidP="002540AE">
            <w:pPr>
              <w:tabs>
                <w:tab w:val="right" w:pos="1202"/>
              </w:tabs>
              <w:suppressAutoHyphens/>
              <w:autoSpaceDN w:val="0"/>
              <w:spacing w:line="220" w:lineRule="exact"/>
              <w:jc w:val="right"/>
              <w:outlineLvl w:val="0"/>
              <w:rPr>
                <w:rFonts w:ascii="Arial" w:eastAsia="Calibri" w:hAnsi="Arial" w:cs="Arial"/>
                <w:b/>
                <w:color w:val="000000" w:themeColor="text1"/>
                <w:sz w:val="17"/>
                <w:szCs w:val="17"/>
              </w:rPr>
            </w:pPr>
            <w:bookmarkStart w:id="946" w:name="_Toc67330692"/>
            <w:r w:rsidRPr="003D1614">
              <w:rPr>
                <w:rFonts w:ascii="Arial" w:eastAsia="Calibri" w:hAnsi="Arial" w:cs="Arial"/>
                <w:b/>
                <w:color w:val="000000" w:themeColor="text1"/>
                <w:sz w:val="17"/>
                <w:szCs w:val="17"/>
              </w:rPr>
              <w:t>000 eura</w:t>
            </w:r>
            <w:bookmarkEnd w:id="946"/>
          </w:p>
        </w:tc>
        <w:tc>
          <w:tcPr>
            <w:tcW w:w="1417" w:type="dxa"/>
            <w:tcMar>
              <w:top w:w="0" w:type="dxa"/>
              <w:left w:w="120" w:type="dxa"/>
              <w:bottom w:w="0" w:type="dxa"/>
              <w:right w:w="120" w:type="dxa"/>
            </w:tcMar>
          </w:tcPr>
          <w:p w14:paraId="026CE693" w14:textId="77777777" w:rsidR="00BA23DE" w:rsidRPr="0056069E" w:rsidRDefault="00BA23DE" w:rsidP="002540AE">
            <w:pPr>
              <w:tabs>
                <w:tab w:val="right" w:pos="1202"/>
              </w:tabs>
              <w:suppressAutoHyphens/>
              <w:autoSpaceDN w:val="0"/>
              <w:spacing w:line="220" w:lineRule="exact"/>
              <w:jc w:val="right"/>
              <w:outlineLvl w:val="0"/>
              <w:rPr>
                <w:rFonts w:ascii="Arial" w:eastAsia="Calibri" w:hAnsi="Arial" w:cs="Arial"/>
                <w:b/>
                <w:color w:val="000000" w:themeColor="text1"/>
                <w:sz w:val="17"/>
                <w:szCs w:val="17"/>
              </w:rPr>
            </w:pPr>
            <w:bookmarkStart w:id="947" w:name="_Toc67330693"/>
            <w:r w:rsidRPr="0056069E">
              <w:rPr>
                <w:rFonts w:ascii="Arial" w:eastAsia="Calibri" w:hAnsi="Arial" w:cs="Arial"/>
                <w:b/>
                <w:color w:val="000000" w:themeColor="text1"/>
                <w:sz w:val="17"/>
                <w:szCs w:val="17"/>
              </w:rPr>
              <w:t>000 eura</w:t>
            </w:r>
            <w:bookmarkEnd w:id="947"/>
          </w:p>
        </w:tc>
        <w:tc>
          <w:tcPr>
            <w:tcW w:w="1417" w:type="dxa"/>
            <w:tcMar>
              <w:top w:w="0" w:type="dxa"/>
              <w:left w:w="120" w:type="dxa"/>
              <w:bottom w:w="0" w:type="dxa"/>
              <w:right w:w="120" w:type="dxa"/>
            </w:tcMar>
          </w:tcPr>
          <w:p w14:paraId="26D6486E" w14:textId="77777777" w:rsidR="00BA23DE" w:rsidRPr="003D1614" w:rsidRDefault="00BA23DE" w:rsidP="002540AE">
            <w:pPr>
              <w:tabs>
                <w:tab w:val="right" w:pos="1202"/>
              </w:tabs>
              <w:suppressAutoHyphens/>
              <w:autoSpaceDN w:val="0"/>
              <w:spacing w:line="220" w:lineRule="exact"/>
              <w:jc w:val="right"/>
              <w:outlineLvl w:val="0"/>
              <w:rPr>
                <w:rFonts w:ascii="Arial" w:eastAsia="Calibri" w:hAnsi="Arial" w:cs="Arial"/>
                <w:b/>
                <w:color w:val="000000" w:themeColor="text1"/>
                <w:sz w:val="17"/>
                <w:szCs w:val="17"/>
              </w:rPr>
            </w:pPr>
            <w:bookmarkStart w:id="948" w:name="_Toc67330694"/>
            <w:r w:rsidRPr="003D1614">
              <w:rPr>
                <w:rFonts w:ascii="Arial" w:eastAsia="Calibri" w:hAnsi="Arial" w:cs="Arial"/>
                <w:b/>
                <w:color w:val="000000" w:themeColor="text1"/>
                <w:sz w:val="17"/>
                <w:szCs w:val="17"/>
              </w:rPr>
              <w:t>000 eura</w:t>
            </w:r>
            <w:bookmarkEnd w:id="948"/>
          </w:p>
        </w:tc>
        <w:tc>
          <w:tcPr>
            <w:tcW w:w="1417" w:type="dxa"/>
            <w:tcMar>
              <w:top w:w="0" w:type="dxa"/>
              <w:left w:w="120" w:type="dxa"/>
              <w:bottom w:w="0" w:type="dxa"/>
              <w:right w:w="120" w:type="dxa"/>
            </w:tcMar>
          </w:tcPr>
          <w:p w14:paraId="05A57231" w14:textId="77777777" w:rsidR="00BA23DE" w:rsidRPr="003D1614" w:rsidRDefault="00BA23DE" w:rsidP="002540AE">
            <w:pPr>
              <w:tabs>
                <w:tab w:val="right" w:pos="1202"/>
              </w:tabs>
              <w:suppressAutoHyphens/>
              <w:autoSpaceDN w:val="0"/>
              <w:spacing w:line="220" w:lineRule="exact"/>
              <w:jc w:val="right"/>
              <w:outlineLvl w:val="0"/>
              <w:rPr>
                <w:rFonts w:ascii="Arial" w:eastAsia="Calibri" w:hAnsi="Arial" w:cs="Arial"/>
                <w:b/>
                <w:color w:val="000000" w:themeColor="text1"/>
                <w:sz w:val="17"/>
                <w:szCs w:val="17"/>
              </w:rPr>
            </w:pPr>
            <w:bookmarkStart w:id="949" w:name="_Toc67330697"/>
            <w:r w:rsidRPr="003D1614">
              <w:rPr>
                <w:rFonts w:ascii="Arial" w:eastAsia="Calibri" w:hAnsi="Arial" w:cs="Arial"/>
                <w:b/>
                <w:color w:val="000000" w:themeColor="text1"/>
                <w:sz w:val="17"/>
                <w:szCs w:val="17"/>
              </w:rPr>
              <w:t>000 eura</w:t>
            </w:r>
            <w:bookmarkEnd w:id="949"/>
          </w:p>
        </w:tc>
      </w:tr>
      <w:tr w:rsidR="00BA23DE" w:rsidRPr="003D1614" w14:paraId="453A7E8F" w14:textId="77777777" w:rsidTr="002540AE">
        <w:trPr>
          <w:trHeight w:val="240"/>
        </w:trPr>
        <w:tc>
          <w:tcPr>
            <w:tcW w:w="3515" w:type="dxa"/>
            <w:tcMar>
              <w:top w:w="0" w:type="dxa"/>
              <w:left w:w="120" w:type="dxa"/>
              <w:bottom w:w="0" w:type="dxa"/>
              <w:right w:w="120" w:type="dxa"/>
            </w:tcMar>
            <w:vAlign w:val="bottom"/>
          </w:tcPr>
          <w:p w14:paraId="0E680714" w14:textId="77777777" w:rsidR="00BA23DE" w:rsidRPr="003D1614" w:rsidRDefault="00BA23DE" w:rsidP="002540AE">
            <w:pPr>
              <w:tabs>
                <w:tab w:val="right" w:pos="1202"/>
              </w:tabs>
              <w:suppressAutoHyphens/>
              <w:autoSpaceDN w:val="0"/>
              <w:spacing w:line="240" w:lineRule="exact"/>
              <w:outlineLvl w:val="0"/>
              <w:rPr>
                <w:rFonts w:ascii="Arial" w:eastAsia="Calibri" w:hAnsi="Arial" w:cs="Arial"/>
                <w:b/>
                <w:color w:val="000000" w:themeColor="text1"/>
                <w:sz w:val="17"/>
                <w:szCs w:val="17"/>
              </w:rPr>
            </w:pPr>
            <w:bookmarkStart w:id="950" w:name="_Toc67330698"/>
            <w:r w:rsidRPr="003D1614">
              <w:rPr>
                <w:rFonts w:ascii="Arial" w:eastAsia="Calibri" w:hAnsi="Arial" w:cs="Arial"/>
                <w:b/>
                <w:color w:val="000000" w:themeColor="text1"/>
                <w:sz w:val="17"/>
                <w:szCs w:val="17"/>
              </w:rPr>
              <w:t>Imovina</w:t>
            </w:r>
            <w:bookmarkEnd w:id="950"/>
          </w:p>
        </w:tc>
        <w:tc>
          <w:tcPr>
            <w:tcW w:w="1417" w:type="dxa"/>
            <w:tcMar>
              <w:top w:w="0" w:type="dxa"/>
              <w:left w:w="120" w:type="dxa"/>
              <w:bottom w:w="0" w:type="dxa"/>
              <w:right w:w="120" w:type="dxa"/>
            </w:tcMar>
            <w:vAlign w:val="bottom"/>
          </w:tcPr>
          <w:p w14:paraId="47E4459C" w14:textId="77777777" w:rsidR="00BA23DE" w:rsidRPr="003D1614" w:rsidRDefault="00BA23DE" w:rsidP="002540AE">
            <w:pPr>
              <w:suppressAutoHyphens/>
              <w:autoSpaceDN w:val="0"/>
              <w:spacing w:line="240" w:lineRule="exact"/>
              <w:jc w:val="right"/>
              <w:rPr>
                <w:rFonts w:ascii="Arial" w:eastAsia="Arial Unicode MS" w:hAnsi="Arial" w:cs="Arial"/>
                <w:color w:val="000000" w:themeColor="text1"/>
                <w:sz w:val="17"/>
                <w:szCs w:val="17"/>
              </w:rPr>
            </w:pPr>
          </w:p>
        </w:tc>
        <w:tc>
          <w:tcPr>
            <w:tcW w:w="1417" w:type="dxa"/>
            <w:tcMar>
              <w:top w:w="0" w:type="dxa"/>
              <w:left w:w="120" w:type="dxa"/>
              <w:bottom w:w="0" w:type="dxa"/>
              <w:right w:w="120" w:type="dxa"/>
            </w:tcMar>
            <w:vAlign w:val="bottom"/>
          </w:tcPr>
          <w:p w14:paraId="1B4F461E" w14:textId="77777777" w:rsidR="00BA23DE" w:rsidRPr="003D1614" w:rsidRDefault="00BA23DE" w:rsidP="002540AE">
            <w:pPr>
              <w:suppressAutoHyphens/>
              <w:autoSpaceDN w:val="0"/>
              <w:spacing w:line="240" w:lineRule="exact"/>
              <w:jc w:val="right"/>
              <w:rPr>
                <w:rFonts w:ascii="Arial" w:eastAsia="Arial Unicode MS" w:hAnsi="Arial" w:cs="Arial"/>
                <w:color w:val="000000" w:themeColor="text1"/>
                <w:sz w:val="17"/>
                <w:szCs w:val="17"/>
              </w:rPr>
            </w:pPr>
          </w:p>
        </w:tc>
        <w:tc>
          <w:tcPr>
            <w:tcW w:w="1417" w:type="dxa"/>
            <w:tcMar>
              <w:top w:w="0" w:type="dxa"/>
              <w:left w:w="120" w:type="dxa"/>
              <w:bottom w:w="0" w:type="dxa"/>
              <w:right w:w="120" w:type="dxa"/>
            </w:tcMar>
            <w:vAlign w:val="bottom"/>
          </w:tcPr>
          <w:p w14:paraId="4B41BB93" w14:textId="77777777" w:rsidR="00BA23DE" w:rsidRPr="003D1614" w:rsidRDefault="00BA23DE" w:rsidP="002540AE">
            <w:pPr>
              <w:suppressAutoHyphens/>
              <w:autoSpaceDN w:val="0"/>
              <w:spacing w:line="240" w:lineRule="exact"/>
              <w:jc w:val="right"/>
              <w:rPr>
                <w:rFonts w:ascii="Arial" w:eastAsia="Arial Unicode MS" w:hAnsi="Arial" w:cs="Arial"/>
                <w:color w:val="000000" w:themeColor="text1"/>
                <w:sz w:val="17"/>
                <w:szCs w:val="17"/>
              </w:rPr>
            </w:pPr>
          </w:p>
        </w:tc>
        <w:tc>
          <w:tcPr>
            <w:tcW w:w="1417" w:type="dxa"/>
            <w:tcMar>
              <w:top w:w="0" w:type="dxa"/>
              <w:left w:w="120" w:type="dxa"/>
              <w:bottom w:w="0" w:type="dxa"/>
              <w:right w:w="120" w:type="dxa"/>
            </w:tcMar>
            <w:vAlign w:val="bottom"/>
          </w:tcPr>
          <w:p w14:paraId="33C5C59A" w14:textId="77777777" w:rsidR="00BA23DE" w:rsidRPr="003D1614" w:rsidRDefault="00BA23DE" w:rsidP="002540AE">
            <w:pPr>
              <w:suppressAutoHyphens/>
              <w:autoSpaceDN w:val="0"/>
              <w:spacing w:line="240" w:lineRule="exact"/>
              <w:jc w:val="right"/>
              <w:rPr>
                <w:rFonts w:ascii="Arial" w:eastAsia="Arial Unicode MS" w:hAnsi="Arial" w:cs="Arial"/>
                <w:color w:val="000000" w:themeColor="text1"/>
                <w:sz w:val="17"/>
                <w:szCs w:val="17"/>
              </w:rPr>
            </w:pPr>
          </w:p>
        </w:tc>
      </w:tr>
      <w:tr w:rsidR="00BA23DE" w:rsidRPr="003D1614" w14:paraId="155419D2" w14:textId="77777777" w:rsidTr="002540AE">
        <w:trPr>
          <w:trHeight w:val="178"/>
        </w:trPr>
        <w:tc>
          <w:tcPr>
            <w:tcW w:w="3515" w:type="dxa"/>
            <w:tcMar>
              <w:top w:w="0" w:type="dxa"/>
              <w:left w:w="120" w:type="dxa"/>
              <w:bottom w:w="0" w:type="dxa"/>
              <w:right w:w="120" w:type="dxa"/>
            </w:tcMar>
            <w:vAlign w:val="bottom"/>
          </w:tcPr>
          <w:p w14:paraId="70161714" w14:textId="77777777" w:rsidR="00BA23DE" w:rsidRPr="003D1614" w:rsidRDefault="00BA23DE" w:rsidP="002540AE">
            <w:pPr>
              <w:tabs>
                <w:tab w:val="right" w:pos="1202"/>
              </w:tabs>
              <w:suppressAutoHyphens/>
              <w:autoSpaceDN w:val="0"/>
              <w:spacing w:line="240" w:lineRule="exact"/>
              <w:outlineLvl w:val="0"/>
              <w:rPr>
                <w:rFonts w:ascii="Arial" w:eastAsia="Calibri" w:hAnsi="Arial" w:cs="Arial"/>
                <w:color w:val="000000" w:themeColor="text1"/>
                <w:sz w:val="17"/>
                <w:szCs w:val="17"/>
              </w:rPr>
            </w:pPr>
            <w:bookmarkStart w:id="951" w:name="_Toc67330699"/>
            <w:r w:rsidRPr="003D1614">
              <w:rPr>
                <w:rFonts w:ascii="Arial" w:eastAsia="Calibri" w:hAnsi="Arial" w:cs="Arial"/>
                <w:color w:val="000000" w:themeColor="text1"/>
                <w:spacing w:val="-2"/>
                <w:sz w:val="17"/>
                <w:szCs w:val="17"/>
              </w:rPr>
              <w:t>Novčana sredstva i računi kod banaka</w:t>
            </w:r>
            <w:bookmarkEnd w:id="951"/>
          </w:p>
        </w:tc>
        <w:tc>
          <w:tcPr>
            <w:tcW w:w="1417" w:type="dxa"/>
            <w:tcBorders>
              <w:top w:val="nil"/>
              <w:left w:val="nil"/>
              <w:right w:val="nil"/>
            </w:tcBorders>
            <w:tcMar>
              <w:top w:w="0" w:type="dxa"/>
              <w:left w:w="120" w:type="dxa"/>
              <w:bottom w:w="0" w:type="dxa"/>
              <w:right w:w="120" w:type="dxa"/>
            </w:tcMar>
            <w:vAlign w:val="bottom"/>
          </w:tcPr>
          <w:p w14:paraId="1A804005" w14:textId="77777777" w:rsidR="00BA23DE" w:rsidRPr="003D1614" w:rsidRDefault="00BA23DE" w:rsidP="002540AE">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34.141</w:t>
            </w:r>
          </w:p>
        </w:tc>
        <w:tc>
          <w:tcPr>
            <w:tcW w:w="1417" w:type="dxa"/>
            <w:tcBorders>
              <w:top w:val="nil"/>
              <w:left w:val="nil"/>
              <w:right w:val="nil"/>
            </w:tcBorders>
            <w:tcMar>
              <w:top w:w="0" w:type="dxa"/>
              <w:left w:w="120" w:type="dxa"/>
              <w:bottom w:w="0" w:type="dxa"/>
              <w:right w:w="120" w:type="dxa"/>
            </w:tcMar>
            <w:vAlign w:val="bottom"/>
          </w:tcPr>
          <w:p w14:paraId="4524CD11" w14:textId="77777777" w:rsidR="00BA23DE" w:rsidRPr="003D1614" w:rsidRDefault="00BA23DE" w:rsidP="002540AE">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89</w:t>
            </w:r>
          </w:p>
        </w:tc>
        <w:tc>
          <w:tcPr>
            <w:tcW w:w="1417" w:type="dxa"/>
            <w:tcBorders>
              <w:top w:val="nil"/>
              <w:left w:val="nil"/>
              <w:right w:val="nil"/>
            </w:tcBorders>
            <w:tcMar>
              <w:top w:w="0" w:type="dxa"/>
              <w:left w:w="120" w:type="dxa"/>
              <w:bottom w:w="0" w:type="dxa"/>
              <w:right w:w="120" w:type="dxa"/>
            </w:tcMar>
            <w:vAlign w:val="bottom"/>
          </w:tcPr>
          <w:p w14:paraId="2FDBE96E" w14:textId="77777777" w:rsidR="00BA23DE" w:rsidRPr="003D1614" w:rsidRDefault="00BA23DE" w:rsidP="002540AE">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20</w:t>
            </w:r>
          </w:p>
        </w:tc>
        <w:tc>
          <w:tcPr>
            <w:tcW w:w="1417" w:type="dxa"/>
            <w:tcBorders>
              <w:top w:val="nil"/>
              <w:left w:val="nil"/>
            </w:tcBorders>
            <w:tcMar>
              <w:top w:w="0" w:type="dxa"/>
              <w:left w:w="120" w:type="dxa"/>
              <w:bottom w:w="0" w:type="dxa"/>
              <w:right w:w="120" w:type="dxa"/>
            </w:tcMar>
            <w:vAlign w:val="bottom"/>
          </w:tcPr>
          <w:p w14:paraId="2296FC27" w14:textId="77777777" w:rsidR="00BA23DE" w:rsidRPr="003D1614" w:rsidRDefault="00BA23DE" w:rsidP="002540AE">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34.250</w:t>
            </w:r>
          </w:p>
        </w:tc>
      </w:tr>
      <w:tr w:rsidR="00BA23DE" w:rsidRPr="003D1614" w14:paraId="4A522BD6" w14:textId="77777777" w:rsidTr="002540AE">
        <w:trPr>
          <w:trHeight w:val="240"/>
        </w:trPr>
        <w:tc>
          <w:tcPr>
            <w:tcW w:w="3515" w:type="dxa"/>
            <w:tcMar>
              <w:top w:w="0" w:type="dxa"/>
              <w:left w:w="120" w:type="dxa"/>
              <w:bottom w:w="0" w:type="dxa"/>
              <w:right w:w="120" w:type="dxa"/>
            </w:tcMar>
            <w:vAlign w:val="bottom"/>
          </w:tcPr>
          <w:p w14:paraId="566F42DD" w14:textId="77777777" w:rsidR="00BA23DE" w:rsidRPr="003D1614" w:rsidRDefault="00BA23DE" w:rsidP="002540AE">
            <w:pPr>
              <w:tabs>
                <w:tab w:val="right" w:pos="1202"/>
              </w:tabs>
              <w:suppressAutoHyphens/>
              <w:autoSpaceDN w:val="0"/>
              <w:spacing w:line="240" w:lineRule="exact"/>
              <w:outlineLvl w:val="0"/>
              <w:rPr>
                <w:rFonts w:ascii="Arial" w:eastAsia="Calibri" w:hAnsi="Arial" w:cs="Arial"/>
                <w:color w:val="000000" w:themeColor="text1"/>
                <w:sz w:val="17"/>
                <w:szCs w:val="17"/>
              </w:rPr>
            </w:pPr>
            <w:bookmarkStart w:id="952" w:name="_Toc67330700"/>
            <w:r w:rsidRPr="003D1614">
              <w:rPr>
                <w:rFonts w:ascii="Arial" w:eastAsia="Calibri" w:hAnsi="Arial" w:cs="Arial"/>
                <w:color w:val="000000" w:themeColor="text1"/>
                <w:spacing w:val="-2"/>
                <w:sz w:val="17"/>
                <w:szCs w:val="17"/>
              </w:rPr>
              <w:t>Depoziti kod drugih banaka</w:t>
            </w:r>
            <w:bookmarkEnd w:id="952"/>
            <w:r>
              <w:rPr>
                <w:rFonts w:ascii="Arial" w:eastAsia="Calibri" w:hAnsi="Arial" w:cs="Arial"/>
                <w:color w:val="000000" w:themeColor="text1"/>
                <w:spacing w:val="-2"/>
                <w:sz w:val="17"/>
                <w:szCs w:val="17"/>
              </w:rPr>
              <w:t xml:space="preserve">                                                                      </w:t>
            </w:r>
          </w:p>
        </w:tc>
        <w:tc>
          <w:tcPr>
            <w:tcW w:w="1417" w:type="dxa"/>
            <w:tcBorders>
              <w:top w:val="nil"/>
              <w:left w:val="nil"/>
              <w:bottom w:val="nil"/>
              <w:right w:val="nil"/>
            </w:tcBorders>
            <w:tcMar>
              <w:top w:w="0" w:type="dxa"/>
              <w:left w:w="120" w:type="dxa"/>
              <w:bottom w:w="0" w:type="dxa"/>
              <w:right w:w="120" w:type="dxa"/>
            </w:tcMar>
            <w:vAlign w:val="bottom"/>
          </w:tcPr>
          <w:p w14:paraId="0564ED42" w14:textId="77777777" w:rsidR="00BA23DE" w:rsidRPr="003D1614" w:rsidRDefault="00BA23DE" w:rsidP="002540AE">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123.308</w:t>
            </w:r>
          </w:p>
        </w:tc>
        <w:tc>
          <w:tcPr>
            <w:tcW w:w="1417" w:type="dxa"/>
            <w:tcBorders>
              <w:top w:val="nil"/>
              <w:left w:val="nil"/>
              <w:bottom w:val="nil"/>
              <w:right w:val="nil"/>
            </w:tcBorders>
            <w:tcMar>
              <w:top w:w="0" w:type="dxa"/>
              <w:left w:w="120" w:type="dxa"/>
              <w:bottom w:w="0" w:type="dxa"/>
              <w:right w:w="120" w:type="dxa"/>
            </w:tcMar>
            <w:vAlign w:val="bottom"/>
          </w:tcPr>
          <w:p w14:paraId="0BEEAFB5" w14:textId="77777777" w:rsidR="00BA23DE" w:rsidRPr="003D1614" w:rsidRDefault="00BA23DE" w:rsidP="002540AE">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1.165</w:t>
            </w:r>
          </w:p>
        </w:tc>
        <w:tc>
          <w:tcPr>
            <w:tcW w:w="1417" w:type="dxa"/>
            <w:tcBorders>
              <w:top w:val="nil"/>
              <w:left w:val="nil"/>
              <w:bottom w:val="nil"/>
              <w:right w:val="nil"/>
            </w:tcBorders>
            <w:tcMar>
              <w:top w:w="0" w:type="dxa"/>
              <w:left w:w="120" w:type="dxa"/>
              <w:bottom w:w="0" w:type="dxa"/>
              <w:right w:w="120" w:type="dxa"/>
            </w:tcMar>
            <w:vAlign w:val="bottom"/>
          </w:tcPr>
          <w:p w14:paraId="5ED7651B" w14:textId="77777777" w:rsidR="00BA23DE" w:rsidRPr="003D1614" w:rsidRDefault="00BA23DE" w:rsidP="002540AE">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w:t>
            </w:r>
          </w:p>
        </w:tc>
        <w:tc>
          <w:tcPr>
            <w:tcW w:w="1417" w:type="dxa"/>
            <w:tcBorders>
              <w:top w:val="nil"/>
              <w:left w:val="nil"/>
              <w:bottom w:val="nil"/>
            </w:tcBorders>
            <w:tcMar>
              <w:top w:w="0" w:type="dxa"/>
              <w:left w:w="120" w:type="dxa"/>
              <w:bottom w:w="0" w:type="dxa"/>
              <w:right w:w="120" w:type="dxa"/>
            </w:tcMar>
            <w:vAlign w:val="bottom"/>
          </w:tcPr>
          <w:p w14:paraId="084E990D" w14:textId="77777777" w:rsidR="00BA23DE" w:rsidRPr="003D1614" w:rsidRDefault="00BA23DE" w:rsidP="002540AE">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124.473</w:t>
            </w:r>
          </w:p>
        </w:tc>
      </w:tr>
      <w:tr w:rsidR="00BA23DE" w:rsidRPr="003D1614" w14:paraId="13D56091" w14:textId="77777777" w:rsidTr="002540AE">
        <w:trPr>
          <w:trHeight w:val="117"/>
        </w:trPr>
        <w:tc>
          <w:tcPr>
            <w:tcW w:w="3515" w:type="dxa"/>
            <w:tcMar>
              <w:top w:w="0" w:type="dxa"/>
              <w:left w:w="120" w:type="dxa"/>
              <w:bottom w:w="0" w:type="dxa"/>
              <w:right w:w="120" w:type="dxa"/>
            </w:tcMar>
            <w:vAlign w:val="bottom"/>
          </w:tcPr>
          <w:p w14:paraId="4D689FB6" w14:textId="77777777" w:rsidR="00BA23DE" w:rsidRPr="003D1614" w:rsidRDefault="00BA23DE" w:rsidP="002540AE">
            <w:pPr>
              <w:tabs>
                <w:tab w:val="right" w:pos="1202"/>
              </w:tabs>
              <w:suppressAutoHyphens/>
              <w:autoSpaceDN w:val="0"/>
              <w:spacing w:line="240" w:lineRule="exact"/>
              <w:outlineLvl w:val="0"/>
              <w:rPr>
                <w:rFonts w:ascii="Arial" w:eastAsia="Calibri" w:hAnsi="Arial" w:cs="Arial"/>
                <w:color w:val="000000" w:themeColor="text1"/>
                <w:spacing w:val="-2"/>
                <w:sz w:val="17"/>
                <w:szCs w:val="17"/>
              </w:rPr>
            </w:pPr>
            <w:bookmarkStart w:id="953" w:name="_Toc67330701"/>
            <w:r w:rsidRPr="003D1614">
              <w:rPr>
                <w:rFonts w:ascii="Arial" w:eastAsia="Calibri" w:hAnsi="Arial" w:cs="Arial"/>
                <w:color w:val="000000" w:themeColor="text1"/>
                <w:spacing w:val="-2"/>
                <w:sz w:val="17"/>
                <w:szCs w:val="17"/>
              </w:rPr>
              <w:t>Krediti financijskim institucijama</w:t>
            </w:r>
            <w:bookmarkEnd w:id="953"/>
            <w:r>
              <w:rPr>
                <w:rFonts w:ascii="Arial" w:eastAsia="Calibri" w:hAnsi="Arial" w:cs="Arial"/>
                <w:color w:val="000000" w:themeColor="text1"/>
                <w:spacing w:val="-2"/>
                <w:sz w:val="17"/>
                <w:szCs w:val="17"/>
              </w:rPr>
              <w:t xml:space="preserve">                                             </w:t>
            </w:r>
          </w:p>
        </w:tc>
        <w:tc>
          <w:tcPr>
            <w:tcW w:w="1417" w:type="dxa"/>
            <w:tcBorders>
              <w:top w:val="nil"/>
              <w:left w:val="nil"/>
              <w:bottom w:val="nil"/>
              <w:right w:val="nil"/>
            </w:tcBorders>
            <w:tcMar>
              <w:top w:w="0" w:type="dxa"/>
              <w:left w:w="120" w:type="dxa"/>
              <w:bottom w:w="0" w:type="dxa"/>
              <w:right w:w="120" w:type="dxa"/>
            </w:tcMar>
            <w:vAlign w:val="bottom"/>
          </w:tcPr>
          <w:p w14:paraId="41C3E355" w14:textId="77777777" w:rsidR="00BA23DE" w:rsidRPr="003D1614" w:rsidRDefault="00BA23DE" w:rsidP="002540AE">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1.167.204</w:t>
            </w:r>
          </w:p>
        </w:tc>
        <w:tc>
          <w:tcPr>
            <w:tcW w:w="1417" w:type="dxa"/>
            <w:tcBorders>
              <w:top w:val="nil"/>
              <w:left w:val="nil"/>
              <w:bottom w:val="nil"/>
              <w:right w:val="nil"/>
            </w:tcBorders>
            <w:tcMar>
              <w:top w:w="0" w:type="dxa"/>
              <w:left w:w="120" w:type="dxa"/>
              <w:bottom w:w="0" w:type="dxa"/>
              <w:right w:w="120" w:type="dxa"/>
            </w:tcMar>
            <w:vAlign w:val="bottom"/>
          </w:tcPr>
          <w:p w14:paraId="12F50208" w14:textId="77777777" w:rsidR="00BA23DE" w:rsidRPr="003D1614" w:rsidRDefault="00BA23DE" w:rsidP="002540AE">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w:t>
            </w:r>
          </w:p>
        </w:tc>
        <w:tc>
          <w:tcPr>
            <w:tcW w:w="1417" w:type="dxa"/>
            <w:tcBorders>
              <w:top w:val="nil"/>
              <w:left w:val="nil"/>
              <w:bottom w:val="nil"/>
              <w:right w:val="nil"/>
            </w:tcBorders>
            <w:tcMar>
              <w:top w:w="0" w:type="dxa"/>
              <w:left w:w="120" w:type="dxa"/>
              <w:bottom w:w="0" w:type="dxa"/>
              <w:right w:w="120" w:type="dxa"/>
            </w:tcMar>
            <w:vAlign w:val="bottom"/>
          </w:tcPr>
          <w:p w14:paraId="5C5BB1B0" w14:textId="77777777" w:rsidR="00BA23DE" w:rsidRPr="003D1614" w:rsidRDefault="00BA23DE" w:rsidP="002540AE">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w:t>
            </w:r>
          </w:p>
        </w:tc>
        <w:tc>
          <w:tcPr>
            <w:tcW w:w="1417" w:type="dxa"/>
            <w:tcBorders>
              <w:top w:val="nil"/>
              <w:left w:val="nil"/>
              <w:bottom w:val="nil"/>
            </w:tcBorders>
            <w:tcMar>
              <w:top w:w="0" w:type="dxa"/>
              <w:left w:w="120" w:type="dxa"/>
              <w:bottom w:w="0" w:type="dxa"/>
              <w:right w:w="120" w:type="dxa"/>
            </w:tcMar>
            <w:vAlign w:val="bottom"/>
          </w:tcPr>
          <w:p w14:paraId="44BCA366" w14:textId="77777777" w:rsidR="00BA23DE" w:rsidRPr="003D1614" w:rsidRDefault="00BA23DE" w:rsidP="002540AE">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1.167.204</w:t>
            </w:r>
          </w:p>
        </w:tc>
      </w:tr>
      <w:tr w:rsidR="00BA23DE" w:rsidRPr="003D1614" w14:paraId="757B4DC2" w14:textId="77777777" w:rsidTr="002540AE">
        <w:trPr>
          <w:trHeight w:val="70"/>
        </w:trPr>
        <w:tc>
          <w:tcPr>
            <w:tcW w:w="3515" w:type="dxa"/>
            <w:tcMar>
              <w:top w:w="0" w:type="dxa"/>
              <w:left w:w="120" w:type="dxa"/>
              <w:bottom w:w="0" w:type="dxa"/>
              <w:right w:w="120" w:type="dxa"/>
            </w:tcMar>
            <w:vAlign w:val="bottom"/>
          </w:tcPr>
          <w:p w14:paraId="7BE64C5A" w14:textId="77777777" w:rsidR="00BA23DE" w:rsidRPr="003D1614" w:rsidRDefault="00BA23DE" w:rsidP="002540AE">
            <w:pPr>
              <w:tabs>
                <w:tab w:val="right" w:pos="1202"/>
              </w:tabs>
              <w:suppressAutoHyphens/>
              <w:autoSpaceDN w:val="0"/>
              <w:spacing w:line="240" w:lineRule="exact"/>
              <w:outlineLvl w:val="0"/>
              <w:rPr>
                <w:rFonts w:ascii="Arial" w:eastAsia="Calibri" w:hAnsi="Arial" w:cs="Arial"/>
                <w:color w:val="000000" w:themeColor="text1"/>
                <w:spacing w:val="-2"/>
                <w:sz w:val="17"/>
                <w:szCs w:val="17"/>
              </w:rPr>
            </w:pPr>
            <w:bookmarkStart w:id="954" w:name="_Toc67330702"/>
            <w:r w:rsidRPr="003D1614">
              <w:rPr>
                <w:rFonts w:ascii="Arial" w:eastAsia="Calibri" w:hAnsi="Arial" w:cs="Arial"/>
                <w:color w:val="000000" w:themeColor="text1"/>
                <w:spacing w:val="-2"/>
                <w:sz w:val="17"/>
                <w:szCs w:val="17"/>
              </w:rPr>
              <w:t>Krediti ostalim korisnicima</w:t>
            </w:r>
            <w:bookmarkEnd w:id="954"/>
          </w:p>
        </w:tc>
        <w:tc>
          <w:tcPr>
            <w:tcW w:w="1417" w:type="dxa"/>
            <w:tcBorders>
              <w:top w:val="nil"/>
              <w:left w:val="nil"/>
              <w:bottom w:val="nil"/>
              <w:right w:val="nil"/>
            </w:tcBorders>
            <w:tcMar>
              <w:top w:w="0" w:type="dxa"/>
              <w:left w:w="120" w:type="dxa"/>
              <w:bottom w:w="0" w:type="dxa"/>
              <w:right w:w="120" w:type="dxa"/>
            </w:tcMar>
            <w:vAlign w:val="bottom"/>
          </w:tcPr>
          <w:p w14:paraId="4D0C02F1" w14:textId="77777777" w:rsidR="00BA23DE" w:rsidRPr="003D1614" w:rsidRDefault="00BA23DE" w:rsidP="002540AE">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2.311.904</w:t>
            </w:r>
          </w:p>
        </w:tc>
        <w:tc>
          <w:tcPr>
            <w:tcW w:w="1417" w:type="dxa"/>
            <w:tcBorders>
              <w:top w:val="nil"/>
              <w:left w:val="nil"/>
              <w:bottom w:val="nil"/>
              <w:right w:val="nil"/>
            </w:tcBorders>
            <w:tcMar>
              <w:top w:w="0" w:type="dxa"/>
              <w:left w:w="120" w:type="dxa"/>
              <w:bottom w:w="0" w:type="dxa"/>
              <w:right w:w="120" w:type="dxa"/>
            </w:tcMar>
            <w:vAlign w:val="bottom"/>
          </w:tcPr>
          <w:p w14:paraId="60D9C744" w14:textId="77777777" w:rsidR="00BA23DE" w:rsidRPr="003D1614" w:rsidRDefault="00BA23DE" w:rsidP="002540AE">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27.236</w:t>
            </w:r>
          </w:p>
        </w:tc>
        <w:tc>
          <w:tcPr>
            <w:tcW w:w="1417" w:type="dxa"/>
            <w:tcBorders>
              <w:top w:val="nil"/>
              <w:left w:val="nil"/>
              <w:bottom w:val="nil"/>
              <w:right w:val="nil"/>
            </w:tcBorders>
            <w:tcMar>
              <w:top w:w="0" w:type="dxa"/>
              <w:left w:w="120" w:type="dxa"/>
              <w:bottom w:w="0" w:type="dxa"/>
              <w:right w:w="120" w:type="dxa"/>
            </w:tcMar>
            <w:vAlign w:val="bottom"/>
          </w:tcPr>
          <w:p w14:paraId="1DBE753D" w14:textId="77777777" w:rsidR="00BA23DE" w:rsidRPr="003D1614" w:rsidRDefault="00BA23DE" w:rsidP="002540AE">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22.337</w:t>
            </w:r>
          </w:p>
        </w:tc>
        <w:tc>
          <w:tcPr>
            <w:tcW w:w="1417" w:type="dxa"/>
            <w:tcBorders>
              <w:top w:val="nil"/>
              <w:left w:val="nil"/>
              <w:bottom w:val="nil"/>
            </w:tcBorders>
            <w:tcMar>
              <w:top w:w="0" w:type="dxa"/>
              <w:left w:w="120" w:type="dxa"/>
              <w:bottom w:w="0" w:type="dxa"/>
              <w:right w:w="120" w:type="dxa"/>
            </w:tcMar>
            <w:vAlign w:val="bottom"/>
          </w:tcPr>
          <w:p w14:paraId="2EA47077" w14:textId="77777777" w:rsidR="00BA23DE" w:rsidRPr="003D1614" w:rsidRDefault="00BA23DE" w:rsidP="002540AE">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2.361.477</w:t>
            </w:r>
          </w:p>
        </w:tc>
      </w:tr>
      <w:tr w:rsidR="00BA23DE" w:rsidRPr="003D1614" w14:paraId="71EC3879" w14:textId="77777777" w:rsidTr="002540AE">
        <w:trPr>
          <w:trHeight w:val="224"/>
        </w:trPr>
        <w:tc>
          <w:tcPr>
            <w:tcW w:w="3515" w:type="dxa"/>
            <w:tcMar>
              <w:top w:w="0" w:type="dxa"/>
              <w:left w:w="120" w:type="dxa"/>
              <w:bottom w:w="0" w:type="dxa"/>
              <w:right w:w="120" w:type="dxa"/>
            </w:tcMar>
            <w:vAlign w:val="bottom"/>
          </w:tcPr>
          <w:p w14:paraId="16630517" w14:textId="77777777" w:rsidR="00BA23DE" w:rsidRPr="003D1614" w:rsidRDefault="00BA23DE" w:rsidP="002540AE">
            <w:pPr>
              <w:tabs>
                <w:tab w:val="right" w:pos="1202"/>
              </w:tabs>
              <w:suppressAutoHyphens/>
              <w:autoSpaceDN w:val="0"/>
              <w:spacing w:line="240" w:lineRule="exact"/>
              <w:outlineLvl w:val="0"/>
              <w:rPr>
                <w:rFonts w:ascii="Arial" w:eastAsia="Calibri" w:hAnsi="Arial" w:cs="Arial"/>
                <w:color w:val="000000" w:themeColor="text1"/>
                <w:spacing w:val="-2"/>
                <w:sz w:val="17"/>
                <w:szCs w:val="17"/>
              </w:rPr>
            </w:pPr>
            <w:bookmarkStart w:id="955" w:name="_Toc67330703"/>
            <w:r w:rsidRPr="003D1614">
              <w:rPr>
                <w:rFonts w:ascii="Arial" w:eastAsia="Calibri" w:hAnsi="Arial" w:cs="Arial"/>
                <w:color w:val="000000" w:themeColor="text1"/>
                <w:sz w:val="17"/>
                <w:szCs w:val="17"/>
              </w:rPr>
              <w:t>Financijska imovina po fer vrijednosti kroz dobit ili gubitak</w:t>
            </w:r>
            <w:bookmarkEnd w:id="955"/>
          </w:p>
        </w:tc>
        <w:tc>
          <w:tcPr>
            <w:tcW w:w="1417" w:type="dxa"/>
            <w:tcBorders>
              <w:top w:val="nil"/>
              <w:left w:val="nil"/>
              <w:bottom w:val="nil"/>
              <w:right w:val="nil"/>
            </w:tcBorders>
            <w:tcMar>
              <w:top w:w="0" w:type="dxa"/>
              <w:left w:w="120" w:type="dxa"/>
              <w:bottom w:w="0" w:type="dxa"/>
              <w:right w:w="120" w:type="dxa"/>
            </w:tcMar>
            <w:vAlign w:val="bottom"/>
          </w:tcPr>
          <w:p w14:paraId="6FC6EF56" w14:textId="77777777" w:rsidR="00BA23DE" w:rsidRPr="003D1614" w:rsidRDefault="00BA23DE" w:rsidP="002540AE">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62.143</w:t>
            </w:r>
          </w:p>
        </w:tc>
        <w:tc>
          <w:tcPr>
            <w:tcW w:w="1417" w:type="dxa"/>
            <w:tcBorders>
              <w:top w:val="nil"/>
              <w:left w:val="nil"/>
              <w:bottom w:val="nil"/>
              <w:right w:val="nil"/>
            </w:tcBorders>
            <w:tcMar>
              <w:top w:w="0" w:type="dxa"/>
              <w:left w:w="120" w:type="dxa"/>
              <w:bottom w:w="0" w:type="dxa"/>
              <w:right w:w="120" w:type="dxa"/>
            </w:tcMar>
            <w:vAlign w:val="bottom"/>
          </w:tcPr>
          <w:p w14:paraId="3DD8A7FC" w14:textId="77777777" w:rsidR="00BA23DE" w:rsidRPr="003D1614" w:rsidRDefault="00BA23DE" w:rsidP="002540AE">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3.889</w:t>
            </w:r>
          </w:p>
        </w:tc>
        <w:tc>
          <w:tcPr>
            <w:tcW w:w="1417" w:type="dxa"/>
            <w:tcBorders>
              <w:top w:val="nil"/>
              <w:left w:val="nil"/>
              <w:bottom w:val="nil"/>
              <w:right w:val="nil"/>
            </w:tcBorders>
            <w:tcMar>
              <w:top w:w="0" w:type="dxa"/>
              <w:left w:w="120" w:type="dxa"/>
              <w:bottom w:w="0" w:type="dxa"/>
              <w:right w:w="120" w:type="dxa"/>
            </w:tcMar>
            <w:vAlign w:val="bottom"/>
          </w:tcPr>
          <w:p w14:paraId="3BB13E32" w14:textId="77777777" w:rsidR="00BA23DE" w:rsidRPr="003D1614" w:rsidRDefault="00BA23DE" w:rsidP="002540AE">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w:t>
            </w:r>
          </w:p>
        </w:tc>
        <w:tc>
          <w:tcPr>
            <w:tcW w:w="1417" w:type="dxa"/>
            <w:tcBorders>
              <w:top w:val="nil"/>
              <w:left w:val="nil"/>
              <w:bottom w:val="nil"/>
            </w:tcBorders>
            <w:tcMar>
              <w:top w:w="0" w:type="dxa"/>
              <w:left w:w="120" w:type="dxa"/>
              <w:bottom w:w="0" w:type="dxa"/>
              <w:right w:w="120" w:type="dxa"/>
            </w:tcMar>
            <w:vAlign w:val="bottom"/>
          </w:tcPr>
          <w:p w14:paraId="19ABE13A" w14:textId="77777777" w:rsidR="00BA23DE" w:rsidRPr="003D1614" w:rsidRDefault="00BA23DE" w:rsidP="002540AE">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66.032</w:t>
            </w:r>
          </w:p>
        </w:tc>
      </w:tr>
      <w:tr w:rsidR="00BA23DE" w:rsidRPr="003D1614" w14:paraId="43ADBE2E" w14:textId="77777777" w:rsidTr="002540AE">
        <w:trPr>
          <w:trHeight w:val="240"/>
        </w:trPr>
        <w:tc>
          <w:tcPr>
            <w:tcW w:w="3515" w:type="dxa"/>
            <w:tcMar>
              <w:top w:w="0" w:type="dxa"/>
              <w:left w:w="120" w:type="dxa"/>
              <w:bottom w:w="0" w:type="dxa"/>
              <w:right w:w="120" w:type="dxa"/>
            </w:tcMar>
            <w:vAlign w:val="bottom"/>
          </w:tcPr>
          <w:p w14:paraId="0E3F61F6" w14:textId="77777777" w:rsidR="00BA23DE" w:rsidRPr="003D1614" w:rsidRDefault="00BA23DE" w:rsidP="002540AE">
            <w:pPr>
              <w:tabs>
                <w:tab w:val="right" w:pos="1202"/>
              </w:tabs>
              <w:suppressAutoHyphens/>
              <w:autoSpaceDN w:val="0"/>
              <w:spacing w:line="240" w:lineRule="exact"/>
              <w:outlineLvl w:val="0"/>
              <w:rPr>
                <w:rFonts w:ascii="Arial" w:eastAsia="Calibri" w:hAnsi="Arial" w:cs="Arial"/>
                <w:color w:val="000000" w:themeColor="text1"/>
                <w:sz w:val="17"/>
                <w:szCs w:val="17"/>
              </w:rPr>
            </w:pPr>
            <w:bookmarkStart w:id="956" w:name="_Toc67330704"/>
            <w:r w:rsidRPr="003D1614">
              <w:rPr>
                <w:rFonts w:ascii="Arial" w:eastAsia="Calibri" w:hAnsi="Arial" w:cs="Arial"/>
                <w:color w:val="000000" w:themeColor="text1"/>
                <w:sz w:val="17"/>
                <w:szCs w:val="17"/>
              </w:rPr>
              <w:t xml:space="preserve">Financijska imovina po fer vrijednosti kroz </w:t>
            </w:r>
            <w:r>
              <w:rPr>
                <w:rFonts w:ascii="Arial" w:eastAsia="Calibri" w:hAnsi="Arial" w:cs="Arial"/>
                <w:color w:val="000000" w:themeColor="text1"/>
                <w:sz w:val="17"/>
                <w:szCs w:val="17"/>
              </w:rPr>
              <w:t xml:space="preserve">             </w:t>
            </w:r>
            <w:r w:rsidRPr="003D1614">
              <w:rPr>
                <w:rFonts w:ascii="Arial" w:eastAsia="Calibri" w:hAnsi="Arial" w:cs="Arial"/>
                <w:color w:val="000000" w:themeColor="text1"/>
                <w:sz w:val="17"/>
                <w:szCs w:val="17"/>
              </w:rPr>
              <w:t>ostalu sveobuhvatnu dobit</w:t>
            </w:r>
            <w:bookmarkEnd w:id="956"/>
          </w:p>
        </w:tc>
        <w:tc>
          <w:tcPr>
            <w:tcW w:w="1417" w:type="dxa"/>
            <w:tcBorders>
              <w:top w:val="nil"/>
              <w:left w:val="nil"/>
              <w:bottom w:val="nil"/>
              <w:right w:val="nil"/>
            </w:tcBorders>
            <w:tcMar>
              <w:top w:w="0" w:type="dxa"/>
              <w:left w:w="120" w:type="dxa"/>
              <w:bottom w:w="0" w:type="dxa"/>
              <w:right w:w="120" w:type="dxa"/>
            </w:tcMar>
            <w:vAlign w:val="bottom"/>
          </w:tcPr>
          <w:p w14:paraId="309DD257" w14:textId="77777777" w:rsidR="00BA23DE" w:rsidRPr="003D1614" w:rsidRDefault="00BA23DE" w:rsidP="002540AE">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252.483</w:t>
            </w:r>
          </w:p>
        </w:tc>
        <w:tc>
          <w:tcPr>
            <w:tcW w:w="1417" w:type="dxa"/>
            <w:tcBorders>
              <w:top w:val="nil"/>
              <w:left w:val="nil"/>
              <w:bottom w:val="nil"/>
              <w:right w:val="nil"/>
            </w:tcBorders>
            <w:tcMar>
              <w:top w:w="0" w:type="dxa"/>
              <w:left w:w="120" w:type="dxa"/>
              <w:bottom w:w="0" w:type="dxa"/>
              <w:right w:w="120" w:type="dxa"/>
            </w:tcMar>
            <w:vAlign w:val="bottom"/>
          </w:tcPr>
          <w:p w14:paraId="319B2162" w14:textId="77777777" w:rsidR="00BA23DE" w:rsidRPr="003D1614" w:rsidRDefault="00BA23DE" w:rsidP="002540AE">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w:t>
            </w:r>
          </w:p>
        </w:tc>
        <w:tc>
          <w:tcPr>
            <w:tcW w:w="1417" w:type="dxa"/>
            <w:tcBorders>
              <w:top w:val="nil"/>
              <w:left w:val="nil"/>
              <w:bottom w:val="nil"/>
              <w:right w:val="nil"/>
            </w:tcBorders>
            <w:tcMar>
              <w:top w:w="0" w:type="dxa"/>
              <w:left w:w="120" w:type="dxa"/>
              <w:bottom w:w="0" w:type="dxa"/>
              <w:right w:w="120" w:type="dxa"/>
            </w:tcMar>
            <w:vAlign w:val="bottom"/>
          </w:tcPr>
          <w:p w14:paraId="275C74E9" w14:textId="77777777" w:rsidR="00BA23DE" w:rsidRPr="003D1614" w:rsidRDefault="00BA23DE" w:rsidP="002540AE">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w:t>
            </w:r>
          </w:p>
        </w:tc>
        <w:tc>
          <w:tcPr>
            <w:tcW w:w="1417" w:type="dxa"/>
            <w:tcBorders>
              <w:top w:val="nil"/>
              <w:left w:val="nil"/>
              <w:bottom w:val="nil"/>
            </w:tcBorders>
            <w:tcMar>
              <w:top w:w="0" w:type="dxa"/>
              <w:left w:w="120" w:type="dxa"/>
              <w:bottom w:w="0" w:type="dxa"/>
              <w:right w:w="120" w:type="dxa"/>
            </w:tcMar>
            <w:vAlign w:val="bottom"/>
          </w:tcPr>
          <w:p w14:paraId="20FDCCFD" w14:textId="77777777" w:rsidR="00BA23DE" w:rsidRPr="003D1614" w:rsidRDefault="00BA23DE" w:rsidP="002540AE">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252.483</w:t>
            </w:r>
          </w:p>
        </w:tc>
      </w:tr>
      <w:tr w:rsidR="00BA23DE" w:rsidRPr="003D1614" w14:paraId="6B55ED00" w14:textId="77777777" w:rsidTr="002540AE">
        <w:trPr>
          <w:trHeight w:val="466"/>
        </w:trPr>
        <w:tc>
          <w:tcPr>
            <w:tcW w:w="3515" w:type="dxa"/>
            <w:tcMar>
              <w:top w:w="0" w:type="dxa"/>
              <w:left w:w="120" w:type="dxa"/>
              <w:bottom w:w="0" w:type="dxa"/>
              <w:right w:w="120" w:type="dxa"/>
            </w:tcMar>
            <w:vAlign w:val="bottom"/>
          </w:tcPr>
          <w:p w14:paraId="7B65D45B" w14:textId="05C2CBFD" w:rsidR="00BA23DE" w:rsidRPr="003D1614" w:rsidRDefault="00BA23DE" w:rsidP="002540AE">
            <w:pPr>
              <w:tabs>
                <w:tab w:val="right" w:pos="1202"/>
              </w:tabs>
              <w:suppressAutoHyphens/>
              <w:autoSpaceDN w:val="0"/>
              <w:spacing w:line="240" w:lineRule="exact"/>
              <w:outlineLvl w:val="0"/>
              <w:rPr>
                <w:rFonts w:ascii="Arial" w:eastAsia="Calibri" w:hAnsi="Arial" w:cs="Arial"/>
                <w:color w:val="000000" w:themeColor="text1"/>
                <w:sz w:val="17"/>
                <w:szCs w:val="17"/>
              </w:rPr>
            </w:pPr>
            <w:bookmarkStart w:id="957" w:name="_Toc67330706"/>
            <w:r w:rsidRPr="003D1614">
              <w:rPr>
                <w:rFonts w:ascii="Arial" w:eastAsia="Calibri" w:hAnsi="Arial" w:cs="Arial"/>
                <w:color w:val="000000" w:themeColor="text1"/>
                <w:spacing w:val="-2"/>
                <w:sz w:val="17"/>
                <w:szCs w:val="17"/>
              </w:rPr>
              <w:t>Nekretnine, postrojenja i oprema i nematerijalna imovina</w:t>
            </w:r>
            <w:bookmarkEnd w:id="957"/>
          </w:p>
        </w:tc>
        <w:tc>
          <w:tcPr>
            <w:tcW w:w="1417" w:type="dxa"/>
            <w:tcBorders>
              <w:top w:val="nil"/>
              <w:left w:val="nil"/>
              <w:bottom w:val="nil"/>
              <w:right w:val="nil"/>
            </w:tcBorders>
            <w:tcMar>
              <w:top w:w="0" w:type="dxa"/>
              <w:left w:w="120" w:type="dxa"/>
              <w:bottom w:w="0" w:type="dxa"/>
              <w:right w:w="120" w:type="dxa"/>
            </w:tcMar>
            <w:vAlign w:val="bottom"/>
          </w:tcPr>
          <w:p w14:paraId="0C90AB9C" w14:textId="77777777" w:rsidR="00BA23DE" w:rsidRPr="003D1614" w:rsidRDefault="00BA23DE" w:rsidP="002540AE">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5.239</w:t>
            </w:r>
          </w:p>
        </w:tc>
        <w:tc>
          <w:tcPr>
            <w:tcW w:w="1417" w:type="dxa"/>
            <w:tcBorders>
              <w:top w:val="nil"/>
              <w:left w:val="nil"/>
              <w:bottom w:val="nil"/>
              <w:right w:val="nil"/>
            </w:tcBorders>
            <w:tcMar>
              <w:top w:w="0" w:type="dxa"/>
              <w:left w:w="120" w:type="dxa"/>
              <w:bottom w:w="0" w:type="dxa"/>
              <w:right w:w="120" w:type="dxa"/>
            </w:tcMar>
            <w:vAlign w:val="bottom"/>
          </w:tcPr>
          <w:p w14:paraId="25143F96" w14:textId="77777777" w:rsidR="00BA23DE" w:rsidRPr="003D1614" w:rsidRDefault="00BA23DE" w:rsidP="002540AE">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w:t>
            </w:r>
          </w:p>
        </w:tc>
        <w:tc>
          <w:tcPr>
            <w:tcW w:w="1417" w:type="dxa"/>
            <w:tcBorders>
              <w:top w:val="nil"/>
              <w:left w:val="nil"/>
              <w:bottom w:val="nil"/>
              <w:right w:val="nil"/>
            </w:tcBorders>
            <w:tcMar>
              <w:top w:w="0" w:type="dxa"/>
              <w:left w:w="120" w:type="dxa"/>
              <w:bottom w:w="0" w:type="dxa"/>
              <w:right w:w="120" w:type="dxa"/>
            </w:tcMar>
            <w:vAlign w:val="bottom"/>
          </w:tcPr>
          <w:p w14:paraId="14D83503" w14:textId="77777777" w:rsidR="00BA23DE" w:rsidRPr="003D1614" w:rsidRDefault="00BA23DE" w:rsidP="002540AE">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w:t>
            </w:r>
          </w:p>
        </w:tc>
        <w:tc>
          <w:tcPr>
            <w:tcW w:w="1417" w:type="dxa"/>
            <w:tcBorders>
              <w:top w:val="nil"/>
              <w:left w:val="nil"/>
              <w:bottom w:val="nil"/>
            </w:tcBorders>
            <w:tcMar>
              <w:top w:w="0" w:type="dxa"/>
              <w:left w:w="120" w:type="dxa"/>
              <w:bottom w:w="0" w:type="dxa"/>
              <w:right w:w="120" w:type="dxa"/>
            </w:tcMar>
            <w:vAlign w:val="bottom"/>
          </w:tcPr>
          <w:p w14:paraId="45766D8F" w14:textId="77777777" w:rsidR="00BA23DE" w:rsidRPr="003D1614" w:rsidRDefault="00BA23DE" w:rsidP="002540AE">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5.239</w:t>
            </w:r>
          </w:p>
        </w:tc>
      </w:tr>
      <w:tr w:rsidR="00BA23DE" w:rsidRPr="003D1614" w14:paraId="13A34C85" w14:textId="77777777" w:rsidTr="002540AE">
        <w:trPr>
          <w:trHeight w:val="234"/>
        </w:trPr>
        <w:tc>
          <w:tcPr>
            <w:tcW w:w="3515" w:type="dxa"/>
            <w:tcMar>
              <w:top w:w="0" w:type="dxa"/>
              <w:left w:w="120" w:type="dxa"/>
              <w:bottom w:w="0" w:type="dxa"/>
              <w:right w:w="120" w:type="dxa"/>
            </w:tcMar>
            <w:vAlign w:val="bottom"/>
          </w:tcPr>
          <w:p w14:paraId="5A7201F9" w14:textId="77777777" w:rsidR="00BA23DE" w:rsidRPr="003D1614" w:rsidRDefault="00BA23DE" w:rsidP="002540AE">
            <w:pPr>
              <w:tabs>
                <w:tab w:val="right" w:pos="1202"/>
              </w:tabs>
              <w:suppressAutoHyphens/>
              <w:autoSpaceDN w:val="0"/>
              <w:spacing w:line="240" w:lineRule="exact"/>
              <w:outlineLvl w:val="0"/>
              <w:rPr>
                <w:rFonts w:ascii="Arial" w:eastAsia="Calibri" w:hAnsi="Arial" w:cs="Arial"/>
                <w:color w:val="000000" w:themeColor="text1"/>
                <w:sz w:val="17"/>
                <w:szCs w:val="17"/>
              </w:rPr>
            </w:pPr>
            <w:bookmarkStart w:id="958" w:name="_Toc67330707"/>
            <w:r w:rsidRPr="003D1614">
              <w:rPr>
                <w:rFonts w:ascii="Arial" w:eastAsia="Calibri" w:hAnsi="Arial" w:cs="Arial"/>
                <w:color w:val="000000" w:themeColor="text1"/>
                <w:spacing w:val="-2"/>
                <w:sz w:val="17"/>
                <w:szCs w:val="17"/>
              </w:rPr>
              <w:t>Preuzeta imovina</w:t>
            </w:r>
            <w:bookmarkEnd w:id="958"/>
          </w:p>
        </w:tc>
        <w:tc>
          <w:tcPr>
            <w:tcW w:w="1417" w:type="dxa"/>
            <w:tcBorders>
              <w:top w:val="nil"/>
              <w:left w:val="nil"/>
              <w:bottom w:val="nil"/>
              <w:right w:val="nil"/>
            </w:tcBorders>
            <w:tcMar>
              <w:top w:w="0" w:type="dxa"/>
              <w:left w:w="120" w:type="dxa"/>
              <w:bottom w:w="0" w:type="dxa"/>
              <w:right w:w="120" w:type="dxa"/>
            </w:tcMar>
            <w:vAlign w:val="bottom"/>
          </w:tcPr>
          <w:p w14:paraId="62C299BA" w14:textId="77777777" w:rsidR="00BA23DE" w:rsidRPr="003D1614" w:rsidRDefault="00BA23DE" w:rsidP="002540AE">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1.952</w:t>
            </w:r>
          </w:p>
        </w:tc>
        <w:tc>
          <w:tcPr>
            <w:tcW w:w="1417" w:type="dxa"/>
            <w:tcBorders>
              <w:top w:val="nil"/>
              <w:left w:val="nil"/>
              <w:bottom w:val="nil"/>
              <w:right w:val="nil"/>
            </w:tcBorders>
            <w:tcMar>
              <w:top w:w="0" w:type="dxa"/>
              <w:left w:w="120" w:type="dxa"/>
              <w:bottom w:w="0" w:type="dxa"/>
              <w:right w:w="120" w:type="dxa"/>
            </w:tcMar>
            <w:vAlign w:val="bottom"/>
          </w:tcPr>
          <w:p w14:paraId="5E906077" w14:textId="77777777" w:rsidR="00BA23DE" w:rsidRPr="003D1614" w:rsidRDefault="00BA23DE" w:rsidP="002540AE">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w:t>
            </w:r>
          </w:p>
        </w:tc>
        <w:tc>
          <w:tcPr>
            <w:tcW w:w="1417" w:type="dxa"/>
            <w:tcBorders>
              <w:top w:val="nil"/>
              <w:left w:val="nil"/>
              <w:bottom w:val="nil"/>
              <w:right w:val="nil"/>
            </w:tcBorders>
            <w:tcMar>
              <w:top w:w="0" w:type="dxa"/>
              <w:left w:w="120" w:type="dxa"/>
              <w:bottom w:w="0" w:type="dxa"/>
              <w:right w:w="120" w:type="dxa"/>
            </w:tcMar>
            <w:vAlign w:val="bottom"/>
          </w:tcPr>
          <w:p w14:paraId="63D1A4A6" w14:textId="77777777" w:rsidR="00BA23DE" w:rsidRPr="003D1614" w:rsidRDefault="00BA23DE" w:rsidP="002540AE">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w:t>
            </w:r>
          </w:p>
        </w:tc>
        <w:tc>
          <w:tcPr>
            <w:tcW w:w="1417" w:type="dxa"/>
            <w:tcBorders>
              <w:top w:val="nil"/>
              <w:left w:val="nil"/>
              <w:bottom w:val="nil"/>
            </w:tcBorders>
            <w:tcMar>
              <w:top w:w="0" w:type="dxa"/>
              <w:left w:w="120" w:type="dxa"/>
              <w:bottom w:w="0" w:type="dxa"/>
              <w:right w:w="120" w:type="dxa"/>
            </w:tcMar>
            <w:vAlign w:val="bottom"/>
          </w:tcPr>
          <w:p w14:paraId="7CA651F6" w14:textId="77777777" w:rsidR="00BA23DE" w:rsidRPr="003D1614" w:rsidRDefault="00BA23DE" w:rsidP="002540AE">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1.952</w:t>
            </w:r>
          </w:p>
        </w:tc>
      </w:tr>
      <w:tr w:rsidR="00BA23DE" w:rsidRPr="003D1614" w14:paraId="0FFE2152" w14:textId="77777777" w:rsidTr="002540AE">
        <w:trPr>
          <w:trHeight w:val="224"/>
        </w:trPr>
        <w:tc>
          <w:tcPr>
            <w:tcW w:w="3515" w:type="dxa"/>
            <w:tcMar>
              <w:top w:w="0" w:type="dxa"/>
              <w:left w:w="120" w:type="dxa"/>
              <w:bottom w:w="0" w:type="dxa"/>
              <w:right w:w="120" w:type="dxa"/>
            </w:tcMar>
            <w:vAlign w:val="bottom"/>
          </w:tcPr>
          <w:p w14:paraId="7ABB516C" w14:textId="77777777" w:rsidR="00BA23DE" w:rsidRPr="003D1614" w:rsidRDefault="00BA23DE" w:rsidP="002540AE">
            <w:pPr>
              <w:tabs>
                <w:tab w:val="right" w:pos="1202"/>
              </w:tabs>
              <w:suppressAutoHyphens/>
              <w:autoSpaceDN w:val="0"/>
              <w:spacing w:line="240" w:lineRule="exact"/>
              <w:outlineLvl w:val="0"/>
              <w:rPr>
                <w:rFonts w:ascii="Arial" w:eastAsia="Calibri" w:hAnsi="Arial" w:cs="Arial"/>
                <w:color w:val="000000" w:themeColor="text1"/>
                <w:sz w:val="17"/>
                <w:szCs w:val="17"/>
              </w:rPr>
            </w:pPr>
            <w:bookmarkStart w:id="959" w:name="_Toc67330708"/>
            <w:r w:rsidRPr="003D1614">
              <w:rPr>
                <w:rFonts w:ascii="Arial" w:eastAsia="Calibri" w:hAnsi="Arial" w:cs="Arial"/>
                <w:color w:val="000000" w:themeColor="text1"/>
                <w:spacing w:val="-2"/>
                <w:sz w:val="17"/>
                <w:szCs w:val="17"/>
              </w:rPr>
              <w:t>Ostala imovina</w:t>
            </w:r>
            <w:bookmarkEnd w:id="959"/>
          </w:p>
        </w:tc>
        <w:tc>
          <w:tcPr>
            <w:tcW w:w="1417" w:type="dxa"/>
            <w:tcBorders>
              <w:top w:val="nil"/>
              <w:left w:val="nil"/>
              <w:bottom w:val="nil"/>
              <w:right w:val="nil"/>
            </w:tcBorders>
            <w:tcMar>
              <w:top w:w="0" w:type="dxa"/>
              <w:left w:w="120" w:type="dxa"/>
              <w:bottom w:w="0" w:type="dxa"/>
              <w:right w:w="120" w:type="dxa"/>
            </w:tcMar>
            <w:vAlign w:val="bottom"/>
          </w:tcPr>
          <w:p w14:paraId="7F2F8488" w14:textId="77777777" w:rsidR="00BA23DE" w:rsidRPr="003D1614" w:rsidRDefault="00BA23DE" w:rsidP="002540AE">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7.935</w:t>
            </w:r>
          </w:p>
        </w:tc>
        <w:tc>
          <w:tcPr>
            <w:tcW w:w="1417" w:type="dxa"/>
            <w:tcBorders>
              <w:top w:val="nil"/>
              <w:left w:val="nil"/>
              <w:bottom w:val="nil"/>
              <w:right w:val="nil"/>
            </w:tcBorders>
            <w:tcMar>
              <w:top w:w="0" w:type="dxa"/>
              <w:left w:w="120" w:type="dxa"/>
              <w:bottom w:w="0" w:type="dxa"/>
              <w:right w:w="120" w:type="dxa"/>
            </w:tcMar>
            <w:vAlign w:val="bottom"/>
          </w:tcPr>
          <w:p w14:paraId="5CFC4F9D" w14:textId="77777777" w:rsidR="00BA23DE" w:rsidRPr="003D1614" w:rsidRDefault="00BA23DE" w:rsidP="002540AE">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w:t>
            </w:r>
          </w:p>
        </w:tc>
        <w:tc>
          <w:tcPr>
            <w:tcW w:w="1417" w:type="dxa"/>
            <w:tcBorders>
              <w:top w:val="nil"/>
              <w:left w:val="nil"/>
              <w:bottom w:val="nil"/>
              <w:right w:val="nil"/>
            </w:tcBorders>
            <w:tcMar>
              <w:top w:w="0" w:type="dxa"/>
              <w:left w:w="120" w:type="dxa"/>
              <w:bottom w:w="0" w:type="dxa"/>
              <w:right w:w="120" w:type="dxa"/>
            </w:tcMar>
            <w:vAlign w:val="bottom"/>
          </w:tcPr>
          <w:p w14:paraId="56871DC3" w14:textId="77777777" w:rsidR="00BA23DE" w:rsidRPr="003D1614" w:rsidRDefault="00BA23DE" w:rsidP="002540AE">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w:t>
            </w:r>
          </w:p>
        </w:tc>
        <w:tc>
          <w:tcPr>
            <w:tcW w:w="1417" w:type="dxa"/>
            <w:tcBorders>
              <w:top w:val="nil"/>
              <w:left w:val="nil"/>
              <w:bottom w:val="nil"/>
            </w:tcBorders>
            <w:tcMar>
              <w:top w:w="0" w:type="dxa"/>
              <w:left w:w="120" w:type="dxa"/>
              <w:bottom w:w="0" w:type="dxa"/>
              <w:right w:w="120" w:type="dxa"/>
            </w:tcMar>
            <w:vAlign w:val="bottom"/>
          </w:tcPr>
          <w:p w14:paraId="188DB8FB" w14:textId="77777777" w:rsidR="00BA23DE" w:rsidRPr="003D1614" w:rsidRDefault="00BA23DE" w:rsidP="002540AE">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7.935</w:t>
            </w:r>
          </w:p>
        </w:tc>
      </w:tr>
      <w:tr w:rsidR="00BA23DE" w:rsidRPr="003D1614" w14:paraId="47169565" w14:textId="77777777" w:rsidTr="002540AE">
        <w:trPr>
          <w:trHeight w:val="285"/>
        </w:trPr>
        <w:tc>
          <w:tcPr>
            <w:tcW w:w="3515" w:type="dxa"/>
            <w:tcMar>
              <w:top w:w="0" w:type="dxa"/>
              <w:left w:w="120" w:type="dxa"/>
              <w:bottom w:w="0" w:type="dxa"/>
              <w:right w:w="120" w:type="dxa"/>
            </w:tcMar>
            <w:vAlign w:val="bottom"/>
          </w:tcPr>
          <w:p w14:paraId="2350F9BE" w14:textId="77777777" w:rsidR="00BA23DE" w:rsidRPr="003D1614" w:rsidRDefault="00BA23DE" w:rsidP="002540AE">
            <w:pPr>
              <w:tabs>
                <w:tab w:val="right" w:pos="1202"/>
              </w:tabs>
              <w:suppressAutoHyphens/>
              <w:autoSpaceDN w:val="0"/>
              <w:spacing w:line="240" w:lineRule="exact"/>
              <w:outlineLvl w:val="0"/>
              <w:rPr>
                <w:rFonts w:ascii="Arial" w:eastAsia="Calibri" w:hAnsi="Arial" w:cs="Arial"/>
                <w:b/>
                <w:bCs/>
                <w:color w:val="000000" w:themeColor="text1"/>
                <w:sz w:val="17"/>
                <w:szCs w:val="17"/>
              </w:rPr>
            </w:pPr>
            <w:bookmarkStart w:id="960" w:name="_Toc67330709"/>
            <w:r w:rsidRPr="003D1614">
              <w:rPr>
                <w:rFonts w:ascii="Arial" w:eastAsia="Calibri" w:hAnsi="Arial" w:cs="Arial"/>
                <w:b/>
                <w:bCs/>
                <w:color w:val="000000" w:themeColor="text1"/>
                <w:sz w:val="17"/>
                <w:szCs w:val="17"/>
              </w:rPr>
              <w:t>Ukupna imovina</w:t>
            </w:r>
            <w:bookmarkEnd w:id="960"/>
            <w:r w:rsidRPr="003D1614">
              <w:rPr>
                <w:rFonts w:ascii="Arial" w:eastAsia="Calibri" w:hAnsi="Arial" w:cs="Arial"/>
                <w:b/>
                <w:bCs/>
                <w:color w:val="000000" w:themeColor="text1"/>
                <w:sz w:val="17"/>
                <w:szCs w:val="17"/>
              </w:rPr>
              <w:t xml:space="preserve"> </w:t>
            </w:r>
          </w:p>
        </w:tc>
        <w:tc>
          <w:tcPr>
            <w:tcW w:w="1417" w:type="dxa"/>
            <w:tcBorders>
              <w:top w:val="single" w:sz="4" w:space="0" w:color="000000"/>
              <w:bottom w:val="single" w:sz="8" w:space="0" w:color="000000"/>
            </w:tcBorders>
            <w:tcMar>
              <w:top w:w="0" w:type="dxa"/>
              <w:left w:w="120" w:type="dxa"/>
              <w:bottom w:w="0" w:type="dxa"/>
              <w:right w:w="120" w:type="dxa"/>
            </w:tcMar>
            <w:vAlign w:val="bottom"/>
          </w:tcPr>
          <w:p w14:paraId="7489B547" w14:textId="77777777" w:rsidR="00BA23DE" w:rsidRPr="00AF0360" w:rsidRDefault="00BA23DE" w:rsidP="002540AE">
            <w:pPr>
              <w:suppressAutoHyphens/>
              <w:autoSpaceDN w:val="0"/>
              <w:spacing w:line="240" w:lineRule="exact"/>
              <w:jc w:val="right"/>
              <w:rPr>
                <w:rFonts w:ascii="Arial" w:eastAsia="Arial Unicode MS" w:hAnsi="Arial" w:cs="Arial"/>
                <w:b/>
                <w:bCs/>
                <w:color w:val="000000" w:themeColor="text1"/>
                <w:sz w:val="17"/>
                <w:szCs w:val="17"/>
              </w:rPr>
            </w:pPr>
            <w:r>
              <w:rPr>
                <w:rFonts w:ascii="Arial" w:eastAsia="Arial Unicode MS" w:hAnsi="Arial" w:cs="Arial"/>
                <w:b/>
                <w:bCs/>
                <w:color w:val="000000" w:themeColor="text1"/>
                <w:sz w:val="17"/>
                <w:szCs w:val="17"/>
              </w:rPr>
              <w:t>3.966.309</w:t>
            </w:r>
          </w:p>
        </w:tc>
        <w:tc>
          <w:tcPr>
            <w:tcW w:w="1417" w:type="dxa"/>
            <w:tcBorders>
              <w:top w:val="single" w:sz="4" w:space="0" w:color="000000"/>
              <w:bottom w:val="single" w:sz="8" w:space="0" w:color="000000"/>
            </w:tcBorders>
            <w:tcMar>
              <w:top w:w="0" w:type="dxa"/>
              <w:left w:w="120" w:type="dxa"/>
              <w:bottom w:w="0" w:type="dxa"/>
              <w:right w:w="120" w:type="dxa"/>
            </w:tcMar>
            <w:vAlign w:val="bottom"/>
          </w:tcPr>
          <w:p w14:paraId="61FC5B07" w14:textId="77777777" w:rsidR="00BA23DE" w:rsidRPr="00AF0360" w:rsidRDefault="00BA23DE" w:rsidP="002540AE">
            <w:pPr>
              <w:suppressAutoHyphens/>
              <w:autoSpaceDN w:val="0"/>
              <w:spacing w:line="240" w:lineRule="exact"/>
              <w:jc w:val="right"/>
              <w:rPr>
                <w:rFonts w:ascii="Arial" w:eastAsia="Arial Unicode MS" w:hAnsi="Arial" w:cs="Arial"/>
                <w:b/>
                <w:bCs/>
                <w:color w:val="000000" w:themeColor="text1"/>
                <w:sz w:val="17"/>
                <w:szCs w:val="17"/>
              </w:rPr>
            </w:pPr>
            <w:r>
              <w:rPr>
                <w:rFonts w:ascii="Arial" w:eastAsia="Arial Unicode MS" w:hAnsi="Arial" w:cs="Arial"/>
                <w:b/>
                <w:bCs/>
                <w:color w:val="000000" w:themeColor="text1"/>
                <w:sz w:val="17"/>
                <w:szCs w:val="17"/>
              </w:rPr>
              <w:t>32.379</w:t>
            </w:r>
          </w:p>
        </w:tc>
        <w:tc>
          <w:tcPr>
            <w:tcW w:w="1417" w:type="dxa"/>
            <w:tcBorders>
              <w:top w:val="single" w:sz="4" w:space="0" w:color="000000"/>
              <w:bottom w:val="single" w:sz="8" w:space="0" w:color="000000"/>
            </w:tcBorders>
            <w:tcMar>
              <w:top w:w="0" w:type="dxa"/>
              <w:left w:w="120" w:type="dxa"/>
              <w:bottom w:w="0" w:type="dxa"/>
              <w:right w:w="120" w:type="dxa"/>
            </w:tcMar>
            <w:vAlign w:val="bottom"/>
          </w:tcPr>
          <w:p w14:paraId="293D0DA9" w14:textId="77777777" w:rsidR="00BA23DE" w:rsidRPr="00AF0360" w:rsidRDefault="00BA23DE" w:rsidP="002540AE">
            <w:pPr>
              <w:suppressAutoHyphens/>
              <w:autoSpaceDN w:val="0"/>
              <w:spacing w:line="240" w:lineRule="exact"/>
              <w:jc w:val="right"/>
              <w:rPr>
                <w:rFonts w:ascii="Arial" w:eastAsia="Arial Unicode MS" w:hAnsi="Arial" w:cs="Arial"/>
                <w:b/>
                <w:bCs/>
                <w:color w:val="000000" w:themeColor="text1"/>
                <w:sz w:val="17"/>
                <w:szCs w:val="17"/>
              </w:rPr>
            </w:pPr>
            <w:r>
              <w:rPr>
                <w:rFonts w:ascii="Arial" w:eastAsia="Arial Unicode MS" w:hAnsi="Arial" w:cs="Arial"/>
                <w:b/>
                <w:bCs/>
                <w:color w:val="000000" w:themeColor="text1"/>
                <w:sz w:val="17"/>
                <w:szCs w:val="17"/>
              </w:rPr>
              <w:t>22.357</w:t>
            </w:r>
          </w:p>
        </w:tc>
        <w:tc>
          <w:tcPr>
            <w:tcW w:w="1417" w:type="dxa"/>
            <w:tcBorders>
              <w:top w:val="single" w:sz="4" w:space="0" w:color="000000"/>
              <w:bottom w:val="single" w:sz="8" w:space="0" w:color="000000"/>
            </w:tcBorders>
            <w:tcMar>
              <w:top w:w="0" w:type="dxa"/>
              <w:left w:w="120" w:type="dxa"/>
              <w:bottom w:w="0" w:type="dxa"/>
              <w:right w:w="120" w:type="dxa"/>
            </w:tcMar>
            <w:vAlign w:val="bottom"/>
          </w:tcPr>
          <w:p w14:paraId="2641D860" w14:textId="77777777" w:rsidR="00BA23DE" w:rsidRPr="00AF0360" w:rsidRDefault="00BA23DE" w:rsidP="002540AE">
            <w:pPr>
              <w:suppressAutoHyphens/>
              <w:autoSpaceDN w:val="0"/>
              <w:spacing w:line="240" w:lineRule="exact"/>
              <w:jc w:val="right"/>
              <w:rPr>
                <w:rFonts w:ascii="Arial" w:eastAsia="Arial Unicode MS" w:hAnsi="Arial" w:cs="Arial"/>
                <w:b/>
                <w:bCs/>
                <w:color w:val="000000" w:themeColor="text1"/>
                <w:sz w:val="17"/>
                <w:szCs w:val="17"/>
              </w:rPr>
            </w:pPr>
            <w:r>
              <w:rPr>
                <w:rFonts w:ascii="Arial" w:eastAsia="Arial Unicode MS" w:hAnsi="Arial" w:cs="Arial"/>
                <w:b/>
                <w:bCs/>
                <w:color w:val="000000" w:themeColor="text1"/>
                <w:sz w:val="17"/>
                <w:szCs w:val="17"/>
              </w:rPr>
              <w:t>4.021.045</w:t>
            </w:r>
          </w:p>
        </w:tc>
      </w:tr>
      <w:tr w:rsidR="00BA23DE" w:rsidRPr="003D1614" w14:paraId="4F109D8E" w14:textId="77777777" w:rsidTr="002540AE">
        <w:trPr>
          <w:trHeight w:val="224"/>
        </w:trPr>
        <w:tc>
          <w:tcPr>
            <w:tcW w:w="3515" w:type="dxa"/>
            <w:tcMar>
              <w:top w:w="0" w:type="dxa"/>
              <w:left w:w="120" w:type="dxa"/>
              <w:bottom w:w="0" w:type="dxa"/>
              <w:right w:w="120" w:type="dxa"/>
            </w:tcMar>
            <w:vAlign w:val="bottom"/>
          </w:tcPr>
          <w:p w14:paraId="486E1836" w14:textId="77777777" w:rsidR="00BA23DE" w:rsidRPr="003D1614" w:rsidRDefault="00BA23DE" w:rsidP="002540AE">
            <w:pPr>
              <w:tabs>
                <w:tab w:val="right" w:pos="1202"/>
              </w:tabs>
              <w:suppressAutoHyphens/>
              <w:autoSpaceDN w:val="0"/>
              <w:spacing w:line="240" w:lineRule="exact"/>
              <w:outlineLvl w:val="0"/>
              <w:rPr>
                <w:rFonts w:ascii="Arial" w:eastAsia="Calibri" w:hAnsi="Arial" w:cs="Arial"/>
                <w:b/>
                <w:bCs/>
                <w:color w:val="000000" w:themeColor="text1"/>
                <w:sz w:val="17"/>
                <w:szCs w:val="17"/>
              </w:rPr>
            </w:pPr>
            <w:bookmarkStart w:id="961" w:name="_Toc67330710"/>
            <w:r w:rsidRPr="003D1614">
              <w:rPr>
                <w:rFonts w:ascii="Arial" w:eastAsia="Calibri" w:hAnsi="Arial" w:cs="Arial"/>
                <w:b/>
                <w:bCs/>
                <w:color w:val="000000" w:themeColor="text1"/>
                <w:sz w:val="17"/>
                <w:szCs w:val="17"/>
              </w:rPr>
              <w:t>Obveze</w:t>
            </w:r>
            <w:bookmarkEnd w:id="961"/>
          </w:p>
        </w:tc>
        <w:tc>
          <w:tcPr>
            <w:tcW w:w="1417" w:type="dxa"/>
            <w:tcBorders>
              <w:top w:val="single" w:sz="12" w:space="0" w:color="000000"/>
            </w:tcBorders>
            <w:tcMar>
              <w:top w:w="0" w:type="dxa"/>
              <w:left w:w="120" w:type="dxa"/>
              <w:bottom w:w="0" w:type="dxa"/>
              <w:right w:w="120" w:type="dxa"/>
            </w:tcMar>
            <w:vAlign w:val="bottom"/>
          </w:tcPr>
          <w:p w14:paraId="42A3A543" w14:textId="77777777" w:rsidR="00BA23DE" w:rsidRPr="00AF0360" w:rsidRDefault="00BA23DE" w:rsidP="002540AE">
            <w:pPr>
              <w:suppressAutoHyphens/>
              <w:autoSpaceDN w:val="0"/>
              <w:spacing w:line="240" w:lineRule="exact"/>
              <w:jc w:val="right"/>
              <w:rPr>
                <w:rFonts w:ascii="Arial" w:eastAsia="Arial Unicode MS" w:hAnsi="Arial" w:cs="Arial"/>
                <w:color w:val="000000" w:themeColor="text1"/>
                <w:sz w:val="17"/>
                <w:szCs w:val="17"/>
              </w:rPr>
            </w:pPr>
          </w:p>
        </w:tc>
        <w:tc>
          <w:tcPr>
            <w:tcW w:w="1417" w:type="dxa"/>
            <w:tcBorders>
              <w:top w:val="single" w:sz="12" w:space="0" w:color="000000"/>
            </w:tcBorders>
            <w:tcMar>
              <w:top w:w="0" w:type="dxa"/>
              <w:left w:w="120" w:type="dxa"/>
              <w:bottom w:w="0" w:type="dxa"/>
              <w:right w:w="120" w:type="dxa"/>
            </w:tcMar>
            <w:vAlign w:val="bottom"/>
          </w:tcPr>
          <w:p w14:paraId="1B07C66C" w14:textId="77777777" w:rsidR="00BA23DE" w:rsidRPr="00AF0360" w:rsidRDefault="00BA23DE" w:rsidP="002540AE">
            <w:pPr>
              <w:suppressAutoHyphens/>
              <w:autoSpaceDN w:val="0"/>
              <w:spacing w:line="240" w:lineRule="exact"/>
              <w:jc w:val="right"/>
              <w:rPr>
                <w:rFonts w:ascii="Arial" w:eastAsia="Arial Unicode MS" w:hAnsi="Arial" w:cs="Arial"/>
                <w:color w:val="000000" w:themeColor="text1"/>
                <w:sz w:val="17"/>
                <w:szCs w:val="17"/>
              </w:rPr>
            </w:pPr>
          </w:p>
        </w:tc>
        <w:tc>
          <w:tcPr>
            <w:tcW w:w="1417" w:type="dxa"/>
            <w:tcBorders>
              <w:top w:val="single" w:sz="12" w:space="0" w:color="000000"/>
            </w:tcBorders>
            <w:tcMar>
              <w:top w:w="0" w:type="dxa"/>
              <w:left w:w="120" w:type="dxa"/>
              <w:bottom w:w="0" w:type="dxa"/>
              <w:right w:w="120" w:type="dxa"/>
            </w:tcMar>
            <w:vAlign w:val="bottom"/>
          </w:tcPr>
          <w:p w14:paraId="1453D0DD" w14:textId="77777777" w:rsidR="00BA23DE" w:rsidRPr="00AF0360" w:rsidRDefault="00BA23DE" w:rsidP="002540AE">
            <w:pPr>
              <w:suppressAutoHyphens/>
              <w:autoSpaceDN w:val="0"/>
              <w:spacing w:line="240" w:lineRule="exact"/>
              <w:jc w:val="right"/>
              <w:rPr>
                <w:rFonts w:ascii="Arial" w:eastAsia="Arial Unicode MS" w:hAnsi="Arial" w:cs="Arial"/>
                <w:color w:val="000000" w:themeColor="text1"/>
                <w:sz w:val="17"/>
                <w:szCs w:val="17"/>
              </w:rPr>
            </w:pPr>
          </w:p>
        </w:tc>
        <w:tc>
          <w:tcPr>
            <w:tcW w:w="1417" w:type="dxa"/>
            <w:tcBorders>
              <w:top w:val="single" w:sz="12" w:space="0" w:color="000000"/>
            </w:tcBorders>
            <w:tcMar>
              <w:top w:w="0" w:type="dxa"/>
              <w:left w:w="120" w:type="dxa"/>
              <w:bottom w:w="0" w:type="dxa"/>
              <w:right w:w="120" w:type="dxa"/>
            </w:tcMar>
            <w:vAlign w:val="bottom"/>
          </w:tcPr>
          <w:p w14:paraId="6E806787" w14:textId="77777777" w:rsidR="00BA23DE" w:rsidRPr="00AF0360" w:rsidRDefault="00BA23DE" w:rsidP="002540AE">
            <w:pPr>
              <w:suppressAutoHyphens/>
              <w:autoSpaceDN w:val="0"/>
              <w:spacing w:line="240" w:lineRule="exact"/>
              <w:jc w:val="right"/>
              <w:rPr>
                <w:rFonts w:ascii="Arial" w:eastAsia="Arial Unicode MS" w:hAnsi="Arial" w:cs="Arial"/>
                <w:color w:val="000000" w:themeColor="text1"/>
                <w:sz w:val="17"/>
                <w:szCs w:val="17"/>
              </w:rPr>
            </w:pPr>
          </w:p>
        </w:tc>
      </w:tr>
      <w:tr w:rsidR="00BA23DE" w:rsidRPr="003D1614" w14:paraId="02F8719B" w14:textId="77777777" w:rsidTr="002540AE">
        <w:trPr>
          <w:trHeight w:val="240"/>
        </w:trPr>
        <w:tc>
          <w:tcPr>
            <w:tcW w:w="3515" w:type="dxa"/>
            <w:tcMar>
              <w:top w:w="0" w:type="dxa"/>
              <w:left w:w="120" w:type="dxa"/>
              <w:bottom w:w="0" w:type="dxa"/>
              <w:right w:w="120" w:type="dxa"/>
            </w:tcMar>
            <w:vAlign w:val="bottom"/>
          </w:tcPr>
          <w:p w14:paraId="4B791FA3" w14:textId="77777777" w:rsidR="00BA23DE" w:rsidRPr="003D1614" w:rsidRDefault="00BA23DE" w:rsidP="002540AE">
            <w:pPr>
              <w:tabs>
                <w:tab w:val="right" w:pos="1202"/>
              </w:tabs>
              <w:suppressAutoHyphens/>
              <w:autoSpaceDN w:val="0"/>
              <w:spacing w:line="240" w:lineRule="exact"/>
              <w:outlineLvl w:val="0"/>
              <w:rPr>
                <w:rFonts w:ascii="Arial" w:eastAsia="Calibri" w:hAnsi="Arial" w:cs="Arial"/>
                <w:color w:val="000000" w:themeColor="text1"/>
                <w:sz w:val="17"/>
                <w:szCs w:val="17"/>
              </w:rPr>
            </w:pPr>
            <w:bookmarkStart w:id="962" w:name="_Toc67330711"/>
            <w:r w:rsidRPr="003D1614">
              <w:rPr>
                <w:rFonts w:ascii="Arial" w:eastAsia="Calibri" w:hAnsi="Arial" w:cs="Arial"/>
                <w:color w:val="000000" w:themeColor="text1"/>
                <w:sz w:val="17"/>
                <w:szCs w:val="17"/>
              </w:rPr>
              <w:t>Obveze po depozitima</w:t>
            </w:r>
            <w:bookmarkEnd w:id="962"/>
            <w:r>
              <w:rPr>
                <w:rFonts w:ascii="Arial" w:eastAsia="Calibri" w:hAnsi="Arial" w:cs="Arial"/>
                <w:color w:val="000000" w:themeColor="text1"/>
                <w:sz w:val="17"/>
                <w:szCs w:val="17"/>
              </w:rPr>
              <w:t xml:space="preserve">                                        </w:t>
            </w:r>
          </w:p>
        </w:tc>
        <w:tc>
          <w:tcPr>
            <w:tcW w:w="1417" w:type="dxa"/>
            <w:tcBorders>
              <w:top w:val="nil"/>
              <w:left w:val="nil"/>
              <w:bottom w:val="nil"/>
              <w:right w:val="nil"/>
            </w:tcBorders>
            <w:tcMar>
              <w:top w:w="0" w:type="dxa"/>
              <w:left w:w="120" w:type="dxa"/>
              <w:bottom w:w="0" w:type="dxa"/>
              <w:right w:w="120" w:type="dxa"/>
            </w:tcMar>
            <w:vAlign w:val="bottom"/>
          </w:tcPr>
          <w:p w14:paraId="00BF7BE6" w14:textId="77777777" w:rsidR="00BA23DE" w:rsidRPr="003D1614" w:rsidRDefault="00BA23DE" w:rsidP="002540AE">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207.692</w:t>
            </w:r>
          </w:p>
        </w:tc>
        <w:tc>
          <w:tcPr>
            <w:tcW w:w="1417" w:type="dxa"/>
            <w:tcBorders>
              <w:top w:val="nil"/>
              <w:left w:val="nil"/>
              <w:bottom w:val="nil"/>
              <w:right w:val="nil"/>
            </w:tcBorders>
            <w:tcMar>
              <w:top w:w="0" w:type="dxa"/>
              <w:left w:w="120" w:type="dxa"/>
              <w:bottom w:w="0" w:type="dxa"/>
              <w:right w:w="120" w:type="dxa"/>
            </w:tcMar>
            <w:vAlign w:val="bottom"/>
          </w:tcPr>
          <w:p w14:paraId="4D00C533" w14:textId="77777777" w:rsidR="00BA23DE" w:rsidRPr="003D1614" w:rsidRDefault="00BA23DE" w:rsidP="001541F1">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15.375</w:t>
            </w:r>
          </w:p>
        </w:tc>
        <w:tc>
          <w:tcPr>
            <w:tcW w:w="1417" w:type="dxa"/>
            <w:tcBorders>
              <w:top w:val="nil"/>
              <w:left w:val="nil"/>
              <w:bottom w:val="nil"/>
              <w:right w:val="nil"/>
            </w:tcBorders>
            <w:tcMar>
              <w:top w:w="0" w:type="dxa"/>
              <w:left w:w="120" w:type="dxa"/>
              <w:bottom w:w="0" w:type="dxa"/>
              <w:right w:w="120" w:type="dxa"/>
            </w:tcMar>
            <w:vAlign w:val="bottom"/>
          </w:tcPr>
          <w:p w14:paraId="319A1A88" w14:textId="77777777" w:rsidR="00BA23DE" w:rsidRPr="003D1614" w:rsidRDefault="00BA23DE" w:rsidP="002540AE">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w:t>
            </w:r>
          </w:p>
        </w:tc>
        <w:tc>
          <w:tcPr>
            <w:tcW w:w="1417" w:type="dxa"/>
            <w:tcBorders>
              <w:top w:val="nil"/>
              <w:left w:val="nil"/>
              <w:bottom w:val="nil"/>
            </w:tcBorders>
            <w:tcMar>
              <w:top w:w="0" w:type="dxa"/>
              <w:left w:w="120" w:type="dxa"/>
              <w:bottom w:w="0" w:type="dxa"/>
              <w:right w:w="120" w:type="dxa"/>
            </w:tcMar>
            <w:vAlign w:val="bottom"/>
          </w:tcPr>
          <w:p w14:paraId="7FF8B303" w14:textId="77777777" w:rsidR="00BA23DE" w:rsidRPr="003D1614" w:rsidRDefault="00BA23DE" w:rsidP="002540AE">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223.067</w:t>
            </w:r>
          </w:p>
        </w:tc>
      </w:tr>
      <w:tr w:rsidR="00BA23DE" w:rsidRPr="003D1614" w14:paraId="1DEE48D0" w14:textId="77777777" w:rsidTr="002540AE">
        <w:trPr>
          <w:trHeight w:val="177"/>
        </w:trPr>
        <w:tc>
          <w:tcPr>
            <w:tcW w:w="3515" w:type="dxa"/>
            <w:tcMar>
              <w:top w:w="0" w:type="dxa"/>
              <w:left w:w="120" w:type="dxa"/>
              <w:bottom w:w="0" w:type="dxa"/>
              <w:right w:w="120" w:type="dxa"/>
            </w:tcMar>
            <w:vAlign w:val="bottom"/>
          </w:tcPr>
          <w:p w14:paraId="102AEFFF" w14:textId="77777777" w:rsidR="00BA23DE" w:rsidRPr="003D1614" w:rsidRDefault="00BA23DE" w:rsidP="002540AE">
            <w:pPr>
              <w:tabs>
                <w:tab w:val="right" w:pos="1202"/>
              </w:tabs>
              <w:suppressAutoHyphens/>
              <w:autoSpaceDN w:val="0"/>
              <w:spacing w:line="240" w:lineRule="exact"/>
              <w:outlineLvl w:val="0"/>
              <w:rPr>
                <w:rFonts w:ascii="Arial" w:eastAsia="Calibri" w:hAnsi="Arial" w:cs="Arial"/>
                <w:color w:val="000000" w:themeColor="text1"/>
                <w:sz w:val="17"/>
                <w:szCs w:val="17"/>
              </w:rPr>
            </w:pPr>
            <w:bookmarkStart w:id="963" w:name="_Toc67330712"/>
            <w:r w:rsidRPr="003D1614">
              <w:rPr>
                <w:rFonts w:ascii="Arial" w:eastAsia="Calibri" w:hAnsi="Arial" w:cs="Arial"/>
                <w:color w:val="000000" w:themeColor="text1"/>
                <w:sz w:val="17"/>
                <w:szCs w:val="17"/>
              </w:rPr>
              <w:t>Obveze po kreditima</w:t>
            </w:r>
            <w:bookmarkEnd w:id="963"/>
          </w:p>
        </w:tc>
        <w:tc>
          <w:tcPr>
            <w:tcW w:w="1417" w:type="dxa"/>
            <w:tcBorders>
              <w:top w:val="nil"/>
              <w:left w:val="nil"/>
              <w:bottom w:val="nil"/>
              <w:right w:val="nil"/>
            </w:tcBorders>
            <w:tcMar>
              <w:top w:w="0" w:type="dxa"/>
              <w:left w:w="120" w:type="dxa"/>
              <w:bottom w:w="0" w:type="dxa"/>
              <w:right w:w="120" w:type="dxa"/>
            </w:tcMar>
            <w:vAlign w:val="bottom"/>
          </w:tcPr>
          <w:p w14:paraId="5A45D551" w14:textId="77777777" w:rsidR="00BA23DE" w:rsidRPr="003D1614" w:rsidRDefault="00BA23DE" w:rsidP="002540AE">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2.177.977</w:t>
            </w:r>
          </w:p>
        </w:tc>
        <w:tc>
          <w:tcPr>
            <w:tcW w:w="1417" w:type="dxa"/>
            <w:tcBorders>
              <w:top w:val="nil"/>
              <w:left w:val="nil"/>
              <w:bottom w:val="nil"/>
              <w:right w:val="nil"/>
            </w:tcBorders>
            <w:tcMar>
              <w:top w:w="0" w:type="dxa"/>
              <w:left w:w="120" w:type="dxa"/>
              <w:bottom w:w="0" w:type="dxa"/>
              <w:right w:w="120" w:type="dxa"/>
            </w:tcMar>
            <w:vAlign w:val="bottom"/>
          </w:tcPr>
          <w:p w14:paraId="44156070" w14:textId="77777777" w:rsidR="00BA23DE" w:rsidRPr="003D1614" w:rsidRDefault="00BA23DE" w:rsidP="001541F1">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17.913</w:t>
            </w:r>
          </w:p>
        </w:tc>
        <w:tc>
          <w:tcPr>
            <w:tcW w:w="1417" w:type="dxa"/>
            <w:tcBorders>
              <w:top w:val="nil"/>
              <w:left w:val="nil"/>
              <w:bottom w:val="nil"/>
              <w:right w:val="nil"/>
            </w:tcBorders>
            <w:tcMar>
              <w:top w:w="0" w:type="dxa"/>
              <w:left w:w="120" w:type="dxa"/>
              <w:bottom w:w="0" w:type="dxa"/>
              <w:right w:w="120" w:type="dxa"/>
            </w:tcMar>
            <w:vAlign w:val="bottom"/>
          </w:tcPr>
          <w:p w14:paraId="032184A1" w14:textId="77777777" w:rsidR="00BA23DE" w:rsidRPr="003D1614" w:rsidRDefault="00BA23DE" w:rsidP="002540AE">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w:t>
            </w:r>
          </w:p>
        </w:tc>
        <w:tc>
          <w:tcPr>
            <w:tcW w:w="1417" w:type="dxa"/>
            <w:tcBorders>
              <w:top w:val="nil"/>
              <w:left w:val="nil"/>
              <w:bottom w:val="nil"/>
            </w:tcBorders>
            <w:tcMar>
              <w:top w:w="0" w:type="dxa"/>
              <w:left w:w="120" w:type="dxa"/>
              <w:bottom w:w="0" w:type="dxa"/>
              <w:right w:w="120" w:type="dxa"/>
            </w:tcMar>
            <w:vAlign w:val="bottom"/>
          </w:tcPr>
          <w:p w14:paraId="37E9C318" w14:textId="77777777" w:rsidR="00BA23DE" w:rsidRPr="003D1614" w:rsidRDefault="00BA23DE" w:rsidP="002540AE">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2.195.890</w:t>
            </w:r>
          </w:p>
        </w:tc>
      </w:tr>
      <w:tr w:rsidR="00BA23DE" w:rsidRPr="003D1614" w14:paraId="62FA21F2" w14:textId="77777777" w:rsidTr="002540AE">
        <w:trPr>
          <w:trHeight w:val="466"/>
        </w:trPr>
        <w:tc>
          <w:tcPr>
            <w:tcW w:w="3515" w:type="dxa"/>
            <w:tcMar>
              <w:top w:w="0" w:type="dxa"/>
              <w:left w:w="120" w:type="dxa"/>
              <w:bottom w:w="0" w:type="dxa"/>
              <w:right w:w="120" w:type="dxa"/>
            </w:tcMar>
            <w:vAlign w:val="bottom"/>
          </w:tcPr>
          <w:p w14:paraId="596C1CEB" w14:textId="77777777" w:rsidR="00BA23DE" w:rsidRPr="003D1614" w:rsidRDefault="00BA23DE" w:rsidP="002540AE">
            <w:pPr>
              <w:tabs>
                <w:tab w:val="right" w:pos="1202"/>
              </w:tabs>
              <w:suppressAutoHyphens/>
              <w:autoSpaceDN w:val="0"/>
              <w:spacing w:line="240" w:lineRule="exact"/>
              <w:outlineLvl w:val="0"/>
              <w:rPr>
                <w:rFonts w:ascii="Arial" w:eastAsia="Calibri" w:hAnsi="Arial" w:cs="Arial"/>
                <w:color w:val="000000" w:themeColor="text1"/>
                <w:sz w:val="17"/>
                <w:szCs w:val="17"/>
              </w:rPr>
            </w:pPr>
            <w:bookmarkStart w:id="964" w:name="_Toc67330714"/>
            <w:r w:rsidRPr="003D1614">
              <w:rPr>
                <w:rFonts w:ascii="Arial" w:eastAsia="Calibri" w:hAnsi="Arial" w:cs="Arial"/>
                <w:color w:val="000000" w:themeColor="text1"/>
                <w:sz w:val="17"/>
                <w:szCs w:val="17"/>
              </w:rPr>
              <w:t>Rezerviranja za garancije, preuzete i ostale obveze</w:t>
            </w:r>
            <w:bookmarkEnd w:id="964"/>
          </w:p>
        </w:tc>
        <w:tc>
          <w:tcPr>
            <w:tcW w:w="1417" w:type="dxa"/>
            <w:tcBorders>
              <w:top w:val="nil"/>
              <w:left w:val="nil"/>
              <w:bottom w:val="nil"/>
              <w:right w:val="nil"/>
            </w:tcBorders>
            <w:tcMar>
              <w:top w:w="0" w:type="dxa"/>
              <w:left w:w="120" w:type="dxa"/>
              <w:bottom w:w="0" w:type="dxa"/>
              <w:right w:w="120" w:type="dxa"/>
            </w:tcMar>
            <w:vAlign w:val="bottom"/>
          </w:tcPr>
          <w:p w14:paraId="239E368B" w14:textId="77777777" w:rsidR="00BA23DE" w:rsidRPr="003D1614" w:rsidRDefault="00BA23DE" w:rsidP="002540AE">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17.940</w:t>
            </w:r>
          </w:p>
        </w:tc>
        <w:tc>
          <w:tcPr>
            <w:tcW w:w="1417" w:type="dxa"/>
            <w:tcBorders>
              <w:top w:val="nil"/>
              <w:left w:val="nil"/>
              <w:bottom w:val="nil"/>
              <w:right w:val="nil"/>
            </w:tcBorders>
            <w:tcMar>
              <w:top w:w="0" w:type="dxa"/>
              <w:left w:w="120" w:type="dxa"/>
              <w:bottom w:w="0" w:type="dxa"/>
              <w:right w:w="120" w:type="dxa"/>
            </w:tcMar>
            <w:vAlign w:val="bottom"/>
          </w:tcPr>
          <w:p w14:paraId="079F3DCE" w14:textId="77777777" w:rsidR="00BA23DE" w:rsidRPr="003D1614" w:rsidRDefault="00BA23DE" w:rsidP="002540AE">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w:t>
            </w:r>
          </w:p>
        </w:tc>
        <w:tc>
          <w:tcPr>
            <w:tcW w:w="1417" w:type="dxa"/>
            <w:tcBorders>
              <w:top w:val="nil"/>
              <w:left w:val="nil"/>
              <w:bottom w:val="nil"/>
              <w:right w:val="nil"/>
            </w:tcBorders>
            <w:tcMar>
              <w:top w:w="0" w:type="dxa"/>
              <w:left w:w="120" w:type="dxa"/>
              <w:bottom w:w="0" w:type="dxa"/>
              <w:right w:w="120" w:type="dxa"/>
            </w:tcMar>
            <w:vAlign w:val="bottom"/>
          </w:tcPr>
          <w:p w14:paraId="0312AA02" w14:textId="77777777" w:rsidR="00BA23DE" w:rsidRPr="003D1614" w:rsidRDefault="00BA23DE" w:rsidP="002540AE">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1.455</w:t>
            </w:r>
          </w:p>
        </w:tc>
        <w:tc>
          <w:tcPr>
            <w:tcW w:w="1417" w:type="dxa"/>
            <w:tcBorders>
              <w:top w:val="nil"/>
              <w:left w:val="nil"/>
              <w:bottom w:val="nil"/>
            </w:tcBorders>
            <w:tcMar>
              <w:top w:w="0" w:type="dxa"/>
              <w:left w:w="120" w:type="dxa"/>
              <w:bottom w:w="0" w:type="dxa"/>
              <w:right w:w="120" w:type="dxa"/>
            </w:tcMar>
            <w:vAlign w:val="bottom"/>
          </w:tcPr>
          <w:p w14:paraId="7E10BB9B" w14:textId="77777777" w:rsidR="00BA23DE" w:rsidRPr="003D1614" w:rsidRDefault="00BA23DE" w:rsidP="002540AE">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19.395</w:t>
            </w:r>
          </w:p>
        </w:tc>
      </w:tr>
      <w:tr w:rsidR="00BA23DE" w:rsidRPr="003D1614" w14:paraId="18E8F55E" w14:textId="77777777" w:rsidTr="002540AE">
        <w:trPr>
          <w:trHeight w:val="139"/>
        </w:trPr>
        <w:tc>
          <w:tcPr>
            <w:tcW w:w="3515" w:type="dxa"/>
            <w:tcMar>
              <w:top w:w="0" w:type="dxa"/>
              <w:left w:w="120" w:type="dxa"/>
              <w:bottom w:w="0" w:type="dxa"/>
              <w:right w:w="120" w:type="dxa"/>
            </w:tcMar>
            <w:vAlign w:val="bottom"/>
          </w:tcPr>
          <w:p w14:paraId="30F51C67" w14:textId="77777777" w:rsidR="00BA23DE" w:rsidRPr="003D1614" w:rsidRDefault="00BA23DE" w:rsidP="002540AE">
            <w:pPr>
              <w:tabs>
                <w:tab w:val="right" w:pos="1202"/>
              </w:tabs>
              <w:suppressAutoHyphens/>
              <w:autoSpaceDN w:val="0"/>
              <w:spacing w:line="240" w:lineRule="exact"/>
              <w:outlineLvl w:val="0"/>
              <w:rPr>
                <w:rFonts w:ascii="Arial" w:eastAsia="Calibri" w:hAnsi="Arial" w:cs="Arial"/>
                <w:color w:val="000000" w:themeColor="text1"/>
                <w:sz w:val="17"/>
                <w:szCs w:val="17"/>
              </w:rPr>
            </w:pPr>
            <w:bookmarkStart w:id="965" w:name="_Toc67330715"/>
            <w:r w:rsidRPr="003D1614">
              <w:rPr>
                <w:rFonts w:ascii="Arial" w:eastAsia="Calibri" w:hAnsi="Arial" w:cs="Arial"/>
                <w:color w:val="000000" w:themeColor="text1"/>
                <w:sz w:val="17"/>
                <w:szCs w:val="17"/>
              </w:rPr>
              <w:t>Ostale obveze</w:t>
            </w:r>
            <w:bookmarkEnd w:id="965"/>
          </w:p>
        </w:tc>
        <w:tc>
          <w:tcPr>
            <w:tcW w:w="1417" w:type="dxa"/>
            <w:tcBorders>
              <w:top w:val="nil"/>
              <w:left w:val="nil"/>
              <w:bottom w:val="single" w:sz="4" w:space="0" w:color="auto"/>
              <w:right w:val="nil"/>
            </w:tcBorders>
            <w:tcMar>
              <w:top w:w="0" w:type="dxa"/>
              <w:left w:w="120" w:type="dxa"/>
              <w:bottom w:w="0" w:type="dxa"/>
              <w:right w:w="120" w:type="dxa"/>
            </w:tcMar>
            <w:vAlign w:val="bottom"/>
          </w:tcPr>
          <w:p w14:paraId="464F6CF1" w14:textId="77777777" w:rsidR="00BA23DE" w:rsidRPr="003D1614" w:rsidRDefault="00BA23DE" w:rsidP="002540AE">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78.411</w:t>
            </w:r>
          </w:p>
        </w:tc>
        <w:tc>
          <w:tcPr>
            <w:tcW w:w="1417" w:type="dxa"/>
            <w:tcBorders>
              <w:top w:val="nil"/>
              <w:left w:val="nil"/>
              <w:bottom w:val="single" w:sz="4" w:space="0" w:color="auto"/>
              <w:right w:val="nil"/>
            </w:tcBorders>
            <w:tcMar>
              <w:top w:w="0" w:type="dxa"/>
              <w:left w:w="120" w:type="dxa"/>
              <w:bottom w:w="0" w:type="dxa"/>
              <w:right w:w="120" w:type="dxa"/>
            </w:tcMar>
            <w:vAlign w:val="bottom"/>
          </w:tcPr>
          <w:p w14:paraId="70132500" w14:textId="77777777" w:rsidR="00BA23DE" w:rsidRPr="003D1614" w:rsidRDefault="00BA23DE" w:rsidP="002540AE">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w:t>
            </w:r>
          </w:p>
        </w:tc>
        <w:tc>
          <w:tcPr>
            <w:tcW w:w="1417" w:type="dxa"/>
            <w:tcBorders>
              <w:top w:val="nil"/>
              <w:left w:val="nil"/>
              <w:bottom w:val="single" w:sz="4" w:space="0" w:color="auto"/>
              <w:right w:val="nil"/>
            </w:tcBorders>
            <w:tcMar>
              <w:top w:w="0" w:type="dxa"/>
              <w:left w:w="120" w:type="dxa"/>
              <w:bottom w:w="0" w:type="dxa"/>
              <w:right w:w="120" w:type="dxa"/>
            </w:tcMar>
            <w:vAlign w:val="bottom"/>
          </w:tcPr>
          <w:p w14:paraId="297F6DD5" w14:textId="77777777" w:rsidR="00BA23DE" w:rsidRPr="003D1614" w:rsidRDefault="00BA23DE" w:rsidP="002540AE">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w:t>
            </w:r>
          </w:p>
        </w:tc>
        <w:tc>
          <w:tcPr>
            <w:tcW w:w="1417" w:type="dxa"/>
            <w:tcBorders>
              <w:top w:val="nil"/>
              <w:left w:val="nil"/>
              <w:bottom w:val="single" w:sz="4" w:space="0" w:color="auto"/>
            </w:tcBorders>
            <w:tcMar>
              <w:top w:w="0" w:type="dxa"/>
              <w:left w:w="120" w:type="dxa"/>
              <w:bottom w:w="0" w:type="dxa"/>
              <w:right w:w="120" w:type="dxa"/>
            </w:tcMar>
            <w:vAlign w:val="bottom"/>
          </w:tcPr>
          <w:p w14:paraId="18A54F89" w14:textId="77777777" w:rsidR="00BA23DE" w:rsidRPr="003D1614" w:rsidRDefault="00BA23DE" w:rsidP="002540AE">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78.411</w:t>
            </w:r>
          </w:p>
        </w:tc>
      </w:tr>
      <w:tr w:rsidR="00BA23DE" w:rsidRPr="003D1614" w14:paraId="0393CB26" w14:textId="77777777" w:rsidTr="002540AE">
        <w:trPr>
          <w:trHeight w:val="310"/>
        </w:trPr>
        <w:tc>
          <w:tcPr>
            <w:tcW w:w="3515" w:type="dxa"/>
            <w:tcMar>
              <w:top w:w="0" w:type="dxa"/>
              <w:left w:w="120" w:type="dxa"/>
              <w:bottom w:w="0" w:type="dxa"/>
              <w:right w:w="120" w:type="dxa"/>
            </w:tcMar>
            <w:vAlign w:val="bottom"/>
          </w:tcPr>
          <w:p w14:paraId="3C19CC46" w14:textId="77777777" w:rsidR="00BA23DE" w:rsidRPr="003D1614" w:rsidRDefault="00BA23DE" w:rsidP="002540AE">
            <w:pPr>
              <w:tabs>
                <w:tab w:val="right" w:pos="1202"/>
              </w:tabs>
              <w:suppressAutoHyphens/>
              <w:autoSpaceDN w:val="0"/>
              <w:spacing w:line="240" w:lineRule="exact"/>
              <w:outlineLvl w:val="0"/>
              <w:rPr>
                <w:rFonts w:ascii="Arial" w:eastAsia="Calibri" w:hAnsi="Arial" w:cs="Arial"/>
                <w:b/>
                <w:bCs/>
                <w:color w:val="000000" w:themeColor="text1"/>
                <w:sz w:val="17"/>
                <w:szCs w:val="17"/>
              </w:rPr>
            </w:pPr>
            <w:bookmarkStart w:id="966" w:name="_Toc67330716"/>
            <w:r w:rsidRPr="003D1614">
              <w:rPr>
                <w:rFonts w:ascii="Arial" w:eastAsia="Calibri" w:hAnsi="Arial" w:cs="Arial"/>
                <w:b/>
                <w:bCs/>
                <w:color w:val="000000" w:themeColor="text1"/>
                <w:sz w:val="17"/>
                <w:szCs w:val="17"/>
              </w:rPr>
              <w:t>Ukupne obveze</w:t>
            </w:r>
            <w:bookmarkEnd w:id="966"/>
          </w:p>
        </w:tc>
        <w:tc>
          <w:tcPr>
            <w:tcW w:w="1417" w:type="dxa"/>
            <w:tcBorders>
              <w:top w:val="single" w:sz="4" w:space="0" w:color="auto"/>
              <w:left w:val="nil"/>
              <w:bottom w:val="single" w:sz="12" w:space="0" w:color="auto"/>
              <w:right w:val="nil"/>
            </w:tcBorders>
            <w:tcMar>
              <w:top w:w="0" w:type="dxa"/>
              <w:left w:w="120" w:type="dxa"/>
              <w:bottom w:w="0" w:type="dxa"/>
              <w:right w:w="120" w:type="dxa"/>
            </w:tcMar>
            <w:vAlign w:val="bottom"/>
          </w:tcPr>
          <w:p w14:paraId="44BE6AF4" w14:textId="77777777" w:rsidR="00BA23DE" w:rsidRPr="003D437C" w:rsidRDefault="00BA23DE" w:rsidP="002540AE">
            <w:pPr>
              <w:suppressAutoHyphens/>
              <w:autoSpaceDN w:val="0"/>
              <w:spacing w:line="240" w:lineRule="exact"/>
              <w:jc w:val="right"/>
              <w:rPr>
                <w:rFonts w:ascii="Arial" w:eastAsia="Arial Unicode MS" w:hAnsi="Arial" w:cs="Arial"/>
                <w:b/>
                <w:bCs/>
                <w:color w:val="000000" w:themeColor="text1"/>
                <w:sz w:val="17"/>
                <w:szCs w:val="17"/>
              </w:rPr>
            </w:pPr>
            <w:r>
              <w:rPr>
                <w:rFonts w:ascii="Arial" w:eastAsia="Arial Unicode MS" w:hAnsi="Arial" w:cs="Arial"/>
                <w:b/>
                <w:bCs/>
                <w:color w:val="000000" w:themeColor="text1"/>
                <w:sz w:val="17"/>
                <w:szCs w:val="17"/>
              </w:rPr>
              <w:t>2.482.020</w:t>
            </w:r>
          </w:p>
        </w:tc>
        <w:tc>
          <w:tcPr>
            <w:tcW w:w="1417" w:type="dxa"/>
            <w:tcBorders>
              <w:top w:val="single" w:sz="4" w:space="0" w:color="auto"/>
              <w:left w:val="nil"/>
              <w:bottom w:val="single" w:sz="12" w:space="0" w:color="auto"/>
              <w:right w:val="nil"/>
            </w:tcBorders>
            <w:tcMar>
              <w:top w:w="0" w:type="dxa"/>
              <w:left w:w="120" w:type="dxa"/>
              <w:bottom w:w="0" w:type="dxa"/>
              <w:right w:w="120" w:type="dxa"/>
            </w:tcMar>
            <w:vAlign w:val="bottom"/>
          </w:tcPr>
          <w:p w14:paraId="5819DE18" w14:textId="77777777" w:rsidR="00BA23DE" w:rsidRPr="003D437C" w:rsidRDefault="00BA23DE" w:rsidP="002540AE">
            <w:pPr>
              <w:suppressAutoHyphens/>
              <w:autoSpaceDN w:val="0"/>
              <w:spacing w:line="240" w:lineRule="exact"/>
              <w:jc w:val="right"/>
              <w:rPr>
                <w:rFonts w:ascii="Arial" w:eastAsia="Arial Unicode MS" w:hAnsi="Arial" w:cs="Arial"/>
                <w:b/>
                <w:bCs/>
                <w:color w:val="000000" w:themeColor="text1"/>
                <w:sz w:val="17"/>
                <w:szCs w:val="17"/>
              </w:rPr>
            </w:pPr>
            <w:r>
              <w:rPr>
                <w:rFonts w:ascii="Arial" w:eastAsia="Arial Unicode MS" w:hAnsi="Arial" w:cs="Arial"/>
                <w:b/>
                <w:bCs/>
                <w:color w:val="000000" w:themeColor="text1"/>
                <w:sz w:val="17"/>
                <w:szCs w:val="17"/>
              </w:rPr>
              <w:t>33.288</w:t>
            </w:r>
          </w:p>
        </w:tc>
        <w:tc>
          <w:tcPr>
            <w:tcW w:w="1417" w:type="dxa"/>
            <w:tcBorders>
              <w:top w:val="single" w:sz="4" w:space="0" w:color="auto"/>
              <w:left w:val="nil"/>
              <w:bottom w:val="single" w:sz="12" w:space="0" w:color="auto"/>
              <w:right w:val="nil"/>
            </w:tcBorders>
            <w:tcMar>
              <w:top w:w="0" w:type="dxa"/>
              <w:left w:w="120" w:type="dxa"/>
              <w:bottom w:w="0" w:type="dxa"/>
              <w:right w:w="120" w:type="dxa"/>
            </w:tcMar>
            <w:vAlign w:val="bottom"/>
          </w:tcPr>
          <w:p w14:paraId="736A152F" w14:textId="77777777" w:rsidR="00BA23DE" w:rsidRPr="003D437C" w:rsidRDefault="00BA23DE" w:rsidP="002540AE">
            <w:pPr>
              <w:suppressAutoHyphens/>
              <w:autoSpaceDN w:val="0"/>
              <w:spacing w:line="240" w:lineRule="exact"/>
              <w:jc w:val="right"/>
              <w:rPr>
                <w:rFonts w:ascii="Arial" w:eastAsia="Arial Unicode MS" w:hAnsi="Arial" w:cs="Arial"/>
                <w:b/>
                <w:bCs/>
                <w:color w:val="000000" w:themeColor="text1"/>
                <w:sz w:val="17"/>
                <w:szCs w:val="17"/>
              </w:rPr>
            </w:pPr>
            <w:r>
              <w:rPr>
                <w:rFonts w:ascii="Arial" w:eastAsia="Arial Unicode MS" w:hAnsi="Arial" w:cs="Arial"/>
                <w:b/>
                <w:bCs/>
                <w:color w:val="000000" w:themeColor="text1"/>
                <w:sz w:val="17"/>
                <w:szCs w:val="17"/>
              </w:rPr>
              <w:t>1.455</w:t>
            </w:r>
          </w:p>
        </w:tc>
        <w:tc>
          <w:tcPr>
            <w:tcW w:w="1417" w:type="dxa"/>
            <w:tcBorders>
              <w:top w:val="single" w:sz="4" w:space="0" w:color="auto"/>
              <w:left w:val="nil"/>
              <w:bottom w:val="single" w:sz="12" w:space="0" w:color="auto"/>
            </w:tcBorders>
            <w:tcMar>
              <w:top w:w="0" w:type="dxa"/>
              <w:left w:w="120" w:type="dxa"/>
              <w:bottom w:w="0" w:type="dxa"/>
              <w:right w:w="120" w:type="dxa"/>
            </w:tcMar>
            <w:vAlign w:val="bottom"/>
          </w:tcPr>
          <w:p w14:paraId="47BB9D71" w14:textId="77777777" w:rsidR="00BA23DE" w:rsidRPr="003D437C" w:rsidRDefault="00BA23DE" w:rsidP="002540AE">
            <w:pPr>
              <w:suppressAutoHyphens/>
              <w:autoSpaceDN w:val="0"/>
              <w:spacing w:line="240" w:lineRule="exact"/>
              <w:jc w:val="right"/>
              <w:rPr>
                <w:rFonts w:ascii="Arial" w:eastAsia="Arial Unicode MS" w:hAnsi="Arial" w:cs="Arial"/>
                <w:b/>
                <w:bCs/>
                <w:color w:val="000000" w:themeColor="text1"/>
                <w:sz w:val="17"/>
                <w:szCs w:val="17"/>
              </w:rPr>
            </w:pPr>
            <w:r>
              <w:rPr>
                <w:rFonts w:ascii="Arial" w:eastAsia="Arial Unicode MS" w:hAnsi="Arial" w:cs="Arial"/>
                <w:b/>
                <w:bCs/>
                <w:color w:val="000000" w:themeColor="text1"/>
                <w:sz w:val="17"/>
                <w:szCs w:val="17"/>
              </w:rPr>
              <w:t>2.516.763</w:t>
            </w:r>
          </w:p>
        </w:tc>
      </w:tr>
      <w:tr w:rsidR="00BA23DE" w:rsidRPr="003D1614" w14:paraId="15F4399D" w14:textId="77777777" w:rsidTr="002540AE">
        <w:trPr>
          <w:trHeight w:val="323"/>
        </w:trPr>
        <w:tc>
          <w:tcPr>
            <w:tcW w:w="3515" w:type="dxa"/>
            <w:tcMar>
              <w:top w:w="0" w:type="dxa"/>
              <w:left w:w="120" w:type="dxa"/>
              <w:bottom w:w="0" w:type="dxa"/>
              <w:right w:w="120" w:type="dxa"/>
            </w:tcMar>
            <w:vAlign w:val="bottom"/>
          </w:tcPr>
          <w:p w14:paraId="57E53523" w14:textId="77777777" w:rsidR="00BA23DE" w:rsidRPr="003D1614" w:rsidRDefault="00BA23DE" w:rsidP="002540AE">
            <w:pPr>
              <w:suppressAutoHyphens/>
              <w:autoSpaceDN w:val="0"/>
              <w:spacing w:line="240" w:lineRule="exact"/>
              <w:rPr>
                <w:rFonts w:ascii="Arial" w:eastAsia="Times New Roman" w:hAnsi="Arial" w:cs="Arial"/>
                <w:b/>
                <w:bCs/>
                <w:color w:val="000000" w:themeColor="text1"/>
                <w:sz w:val="17"/>
                <w:szCs w:val="17"/>
              </w:rPr>
            </w:pPr>
            <w:r w:rsidRPr="003D1614">
              <w:rPr>
                <w:rFonts w:ascii="Arial" w:eastAsia="Times New Roman" w:hAnsi="Arial" w:cs="Arial"/>
                <w:b/>
                <w:bCs/>
                <w:color w:val="000000" w:themeColor="text1"/>
                <w:sz w:val="17"/>
                <w:szCs w:val="17"/>
              </w:rPr>
              <w:t>Valutni jaz</w:t>
            </w:r>
          </w:p>
        </w:tc>
        <w:tc>
          <w:tcPr>
            <w:tcW w:w="1417"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0F3472BC" w14:textId="77777777" w:rsidR="00BA23DE" w:rsidRPr="00AF0360" w:rsidRDefault="00BA23DE" w:rsidP="002540AE">
            <w:pPr>
              <w:suppressAutoHyphens/>
              <w:autoSpaceDN w:val="0"/>
              <w:spacing w:line="240" w:lineRule="exact"/>
              <w:jc w:val="right"/>
              <w:rPr>
                <w:rFonts w:ascii="Arial" w:eastAsia="Arial Unicode MS" w:hAnsi="Arial" w:cs="Arial"/>
                <w:b/>
                <w:bCs/>
                <w:color w:val="000000" w:themeColor="text1"/>
                <w:sz w:val="17"/>
                <w:szCs w:val="17"/>
              </w:rPr>
            </w:pPr>
            <w:r>
              <w:rPr>
                <w:rFonts w:ascii="Arial" w:eastAsia="Arial Unicode MS" w:hAnsi="Arial" w:cs="Arial"/>
                <w:b/>
                <w:bCs/>
                <w:color w:val="000000" w:themeColor="text1"/>
                <w:sz w:val="17"/>
                <w:szCs w:val="17"/>
              </w:rPr>
              <w:t>1.484.289</w:t>
            </w:r>
          </w:p>
        </w:tc>
        <w:tc>
          <w:tcPr>
            <w:tcW w:w="1417"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6A2242CD" w14:textId="77777777" w:rsidR="00BA23DE" w:rsidRPr="00AF0360" w:rsidRDefault="00BA23DE" w:rsidP="002540AE">
            <w:pPr>
              <w:suppressAutoHyphens/>
              <w:autoSpaceDN w:val="0"/>
              <w:spacing w:line="240" w:lineRule="exact"/>
              <w:jc w:val="right"/>
              <w:rPr>
                <w:rFonts w:ascii="Arial" w:eastAsia="Arial Unicode MS" w:hAnsi="Arial" w:cs="Arial"/>
                <w:b/>
                <w:bCs/>
                <w:color w:val="000000" w:themeColor="text1"/>
                <w:sz w:val="17"/>
                <w:szCs w:val="17"/>
              </w:rPr>
            </w:pPr>
            <w:r>
              <w:rPr>
                <w:rFonts w:ascii="Arial" w:eastAsia="Arial Unicode MS" w:hAnsi="Arial" w:cs="Arial"/>
                <w:b/>
                <w:bCs/>
                <w:color w:val="000000" w:themeColor="text1"/>
                <w:sz w:val="17"/>
                <w:szCs w:val="17"/>
              </w:rPr>
              <w:t>(909)</w:t>
            </w:r>
          </w:p>
        </w:tc>
        <w:tc>
          <w:tcPr>
            <w:tcW w:w="1417"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3F69AEA1" w14:textId="77777777" w:rsidR="00BA23DE" w:rsidRPr="00AF0360" w:rsidRDefault="00BA23DE" w:rsidP="002540AE">
            <w:pPr>
              <w:suppressAutoHyphens/>
              <w:autoSpaceDN w:val="0"/>
              <w:spacing w:line="240" w:lineRule="exact"/>
              <w:jc w:val="right"/>
              <w:rPr>
                <w:rFonts w:ascii="Arial" w:eastAsia="Arial Unicode MS" w:hAnsi="Arial" w:cs="Arial"/>
                <w:b/>
                <w:bCs/>
                <w:color w:val="000000" w:themeColor="text1"/>
                <w:sz w:val="17"/>
                <w:szCs w:val="17"/>
              </w:rPr>
            </w:pPr>
            <w:r>
              <w:rPr>
                <w:rFonts w:ascii="Arial" w:eastAsia="Arial Unicode MS" w:hAnsi="Arial" w:cs="Arial"/>
                <w:b/>
                <w:bCs/>
                <w:color w:val="000000" w:themeColor="text1"/>
                <w:sz w:val="17"/>
                <w:szCs w:val="17"/>
              </w:rPr>
              <w:t>20.902</w:t>
            </w:r>
          </w:p>
        </w:tc>
        <w:tc>
          <w:tcPr>
            <w:tcW w:w="1417" w:type="dxa"/>
            <w:tcBorders>
              <w:top w:val="single" w:sz="12" w:space="0" w:color="auto"/>
              <w:left w:val="nil"/>
              <w:bottom w:val="single" w:sz="12" w:space="0" w:color="auto"/>
            </w:tcBorders>
            <w:shd w:val="clear" w:color="000000" w:fill="auto"/>
            <w:tcMar>
              <w:top w:w="0" w:type="dxa"/>
              <w:left w:w="120" w:type="dxa"/>
              <w:bottom w:w="0" w:type="dxa"/>
              <w:right w:w="120" w:type="dxa"/>
            </w:tcMar>
            <w:vAlign w:val="bottom"/>
          </w:tcPr>
          <w:p w14:paraId="545D2F81" w14:textId="77777777" w:rsidR="00BA23DE" w:rsidRPr="00AF0360" w:rsidRDefault="00BA23DE" w:rsidP="002540AE">
            <w:pPr>
              <w:suppressAutoHyphens/>
              <w:autoSpaceDN w:val="0"/>
              <w:spacing w:line="240" w:lineRule="exact"/>
              <w:jc w:val="right"/>
              <w:rPr>
                <w:rFonts w:ascii="Arial" w:eastAsia="Arial Unicode MS" w:hAnsi="Arial" w:cs="Arial"/>
                <w:b/>
                <w:bCs/>
                <w:color w:val="000000" w:themeColor="text1"/>
                <w:sz w:val="17"/>
                <w:szCs w:val="17"/>
              </w:rPr>
            </w:pPr>
            <w:r>
              <w:rPr>
                <w:rFonts w:ascii="Arial" w:eastAsia="Arial Unicode MS" w:hAnsi="Arial" w:cs="Arial"/>
                <w:b/>
                <w:bCs/>
                <w:color w:val="000000" w:themeColor="text1"/>
                <w:sz w:val="17"/>
                <w:szCs w:val="17"/>
              </w:rPr>
              <w:t>1.504.282</w:t>
            </w:r>
          </w:p>
        </w:tc>
      </w:tr>
    </w:tbl>
    <w:p w14:paraId="03E9C3DF" w14:textId="77777777" w:rsidR="006A67A0" w:rsidRPr="003D1614" w:rsidRDefault="006A67A0" w:rsidP="006A67A0">
      <w:pPr>
        <w:tabs>
          <w:tab w:val="right" w:pos="1202"/>
        </w:tabs>
        <w:suppressAutoHyphens/>
        <w:autoSpaceDN w:val="0"/>
        <w:outlineLvl w:val="0"/>
        <w:rPr>
          <w:rFonts w:ascii="Arial" w:eastAsia="Times New Roman" w:hAnsi="Arial" w:cs="Arial"/>
          <w:i/>
          <w:color w:val="000000" w:themeColor="text1"/>
          <w:sz w:val="20"/>
          <w:szCs w:val="20"/>
        </w:rPr>
      </w:pPr>
    </w:p>
    <w:p w14:paraId="3A0BF2B7" w14:textId="77777777" w:rsidR="006A67A0" w:rsidRPr="003D1614" w:rsidRDefault="006A67A0" w:rsidP="006A67A0">
      <w:pPr>
        <w:tabs>
          <w:tab w:val="right" w:pos="1202"/>
        </w:tabs>
        <w:suppressAutoHyphens/>
        <w:autoSpaceDN w:val="0"/>
        <w:outlineLvl w:val="0"/>
        <w:rPr>
          <w:rFonts w:ascii="Arial" w:eastAsia="Times New Roman" w:hAnsi="Arial" w:cs="Arial"/>
          <w:i/>
          <w:color w:val="000000" w:themeColor="text1"/>
          <w:sz w:val="20"/>
          <w:szCs w:val="20"/>
        </w:rPr>
      </w:pPr>
    </w:p>
    <w:p w14:paraId="38081F92" w14:textId="5DADF29C" w:rsidR="009243A8" w:rsidRPr="003D1614" w:rsidRDefault="006A67A0" w:rsidP="006A67A0">
      <w:pPr>
        <w:tabs>
          <w:tab w:val="right" w:pos="1202"/>
        </w:tabs>
        <w:suppressAutoHyphens/>
        <w:autoSpaceDN w:val="0"/>
        <w:jc w:val="both"/>
        <w:outlineLvl w:val="0"/>
        <w:rPr>
          <w:rFonts w:ascii="Arial" w:eastAsia="Times New Roman" w:hAnsi="Arial" w:cs="Arial"/>
          <w:i/>
          <w:color w:val="000000" w:themeColor="text1"/>
          <w:sz w:val="18"/>
          <w:szCs w:val="18"/>
        </w:rPr>
      </w:pPr>
      <w:r w:rsidRPr="003D1614">
        <w:rPr>
          <w:rFonts w:ascii="Arial" w:eastAsia="Times New Roman" w:hAnsi="Arial" w:cs="Arial"/>
          <w:i/>
          <w:color w:val="000000" w:themeColor="text1"/>
          <w:sz w:val="18"/>
          <w:szCs w:val="18"/>
        </w:rPr>
        <w:t xml:space="preserve"> </w:t>
      </w:r>
    </w:p>
    <w:p w14:paraId="7F231C91" w14:textId="010BED2D" w:rsidR="006A67A0" w:rsidRPr="003D1614" w:rsidRDefault="006A67A0" w:rsidP="006A67A0">
      <w:pPr>
        <w:tabs>
          <w:tab w:val="right" w:pos="1202"/>
        </w:tabs>
        <w:suppressAutoHyphens/>
        <w:autoSpaceDN w:val="0"/>
        <w:jc w:val="both"/>
        <w:outlineLvl w:val="0"/>
        <w:rPr>
          <w:rFonts w:ascii="Arial" w:eastAsia="Times New Roman" w:hAnsi="Arial" w:cs="Arial"/>
          <w:i/>
          <w:color w:val="000000" w:themeColor="text1"/>
          <w:sz w:val="18"/>
          <w:szCs w:val="18"/>
        </w:rPr>
      </w:pPr>
    </w:p>
    <w:p w14:paraId="479D8F39" w14:textId="77777777" w:rsidR="006A67A0" w:rsidRPr="003D1614" w:rsidRDefault="006A67A0" w:rsidP="006A67A0">
      <w:pPr>
        <w:tabs>
          <w:tab w:val="right" w:pos="1202"/>
        </w:tabs>
        <w:suppressAutoHyphens/>
        <w:autoSpaceDN w:val="0"/>
        <w:jc w:val="both"/>
        <w:outlineLvl w:val="0"/>
        <w:rPr>
          <w:rFonts w:ascii="Arial" w:eastAsia="Times New Roman" w:hAnsi="Arial" w:cs="Arial"/>
          <w:bCs/>
          <w:i/>
          <w:color w:val="000000" w:themeColor="text1"/>
          <w:sz w:val="18"/>
          <w:szCs w:val="18"/>
        </w:rPr>
        <w:sectPr w:rsidR="006A67A0" w:rsidRPr="003D1614" w:rsidSect="003278AB">
          <w:pgSz w:w="11906" w:h="16838"/>
          <w:pgMar w:top="1417" w:right="1417" w:bottom="1417" w:left="1417" w:header="708" w:footer="708" w:gutter="0"/>
          <w:cols w:space="708"/>
          <w:docGrid w:linePitch="360"/>
        </w:sectPr>
      </w:pPr>
    </w:p>
    <w:p w14:paraId="028C4C63" w14:textId="77777777" w:rsidR="006A67A0" w:rsidRPr="003D1614" w:rsidRDefault="006A67A0" w:rsidP="006A67A0">
      <w:pPr>
        <w:keepNext/>
        <w:suppressAutoHyphens/>
        <w:autoSpaceDN w:val="0"/>
        <w:jc w:val="both"/>
        <w:outlineLvl w:val="0"/>
        <w:rPr>
          <w:rFonts w:ascii="Arial" w:eastAsia="Times New Roman" w:hAnsi="Arial" w:cs="Arial"/>
          <w:b/>
          <w:bCs/>
          <w:color w:val="000000" w:themeColor="text1"/>
          <w:sz w:val="20"/>
          <w:szCs w:val="20"/>
        </w:rPr>
      </w:pPr>
    </w:p>
    <w:p w14:paraId="5B5B1ACD" w14:textId="6789AB2B"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Upravljanje rizicima (nastavak)</w:t>
      </w:r>
    </w:p>
    <w:p w14:paraId="51200417" w14:textId="77777777"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p>
    <w:p w14:paraId="5449BA20" w14:textId="5519DA30"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.5.     Tržišni rizik (nastavak)</w:t>
      </w:r>
    </w:p>
    <w:p w14:paraId="2B763A50" w14:textId="77777777"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p>
    <w:p w14:paraId="71A7DCFC" w14:textId="7AF73F2A"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.5.2.  Valutni rizik</w:t>
      </w:r>
    </w:p>
    <w:p w14:paraId="4FD5AC27" w14:textId="77777777" w:rsidR="006A67A0" w:rsidRPr="003D1614" w:rsidRDefault="006A67A0" w:rsidP="006A67A0">
      <w:pPr>
        <w:suppressAutoHyphens/>
        <w:autoSpaceDN w:val="0"/>
        <w:jc w:val="both"/>
        <w:rPr>
          <w:rFonts w:ascii="Arial" w:eastAsia="Times New Roman" w:hAnsi="Arial" w:cs="Arial"/>
          <w:color w:val="000000" w:themeColor="text1"/>
          <w:sz w:val="20"/>
          <w:szCs w:val="20"/>
        </w:rPr>
      </w:pPr>
    </w:p>
    <w:tbl>
      <w:tblPr>
        <w:tblW w:w="5061" w:type="pct"/>
        <w:tblLayout w:type="fixed"/>
        <w:tblCellMar>
          <w:left w:w="10" w:type="dxa"/>
          <w:right w:w="10" w:type="dxa"/>
        </w:tblCellMar>
        <w:tblLook w:val="0000" w:firstRow="0" w:lastRow="0" w:firstColumn="0" w:lastColumn="0" w:noHBand="0" w:noVBand="0"/>
      </w:tblPr>
      <w:tblGrid>
        <w:gridCol w:w="3507"/>
        <w:gridCol w:w="1419"/>
        <w:gridCol w:w="1419"/>
        <w:gridCol w:w="1419"/>
        <w:gridCol w:w="1419"/>
      </w:tblGrid>
      <w:tr w:rsidR="00D041F4" w:rsidRPr="00F97A44" w14:paraId="4266EE44" w14:textId="77777777" w:rsidTr="00D707D6">
        <w:trPr>
          <w:trHeight w:val="415"/>
        </w:trPr>
        <w:tc>
          <w:tcPr>
            <w:tcW w:w="3625" w:type="dxa"/>
            <w:tcMar>
              <w:top w:w="0" w:type="dxa"/>
              <w:left w:w="120" w:type="dxa"/>
              <w:bottom w:w="0" w:type="dxa"/>
              <w:right w:w="120" w:type="dxa"/>
            </w:tcMar>
            <w:vAlign w:val="bottom"/>
          </w:tcPr>
          <w:p w14:paraId="6D36FCBC" w14:textId="77777777" w:rsidR="00D041F4" w:rsidRPr="00F97A44" w:rsidRDefault="00D041F4" w:rsidP="00D707D6">
            <w:pPr>
              <w:tabs>
                <w:tab w:val="right" w:pos="1202"/>
              </w:tabs>
              <w:suppressAutoHyphens/>
              <w:autoSpaceDN w:val="0"/>
              <w:spacing w:line="220" w:lineRule="exact"/>
              <w:outlineLvl w:val="0"/>
              <w:rPr>
                <w:rFonts w:ascii="Arial" w:eastAsia="Calibri" w:hAnsi="Arial" w:cs="Arial"/>
                <w:b/>
                <w:color w:val="000000" w:themeColor="text1"/>
                <w:sz w:val="17"/>
                <w:szCs w:val="17"/>
              </w:rPr>
            </w:pPr>
            <w:r w:rsidRPr="00F97A44">
              <w:rPr>
                <w:rFonts w:ascii="Arial" w:eastAsia="Calibri" w:hAnsi="Arial" w:cs="Arial"/>
                <w:b/>
                <w:color w:val="000000" w:themeColor="text1"/>
                <w:sz w:val="17"/>
                <w:szCs w:val="17"/>
              </w:rPr>
              <w:t>Grupa</w:t>
            </w:r>
          </w:p>
          <w:p w14:paraId="718AB427" w14:textId="77777777" w:rsidR="00D041F4" w:rsidRPr="00F97A44" w:rsidRDefault="00D041F4" w:rsidP="00D707D6">
            <w:pPr>
              <w:tabs>
                <w:tab w:val="right" w:pos="1202"/>
              </w:tabs>
              <w:suppressAutoHyphens/>
              <w:autoSpaceDN w:val="0"/>
              <w:spacing w:line="220" w:lineRule="exact"/>
              <w:outlineLvl w:val="0"/>
              <w:rPr>
                <w:rFonts w:ascii="Arial" w:eastAsia="Calibri" w:hAnsi="Arial" w:cs="Arial"/>
                <w:b/>
                <w:color w:val="000000" w:themeColor="text1"/>
                <w:sz w:val="17"/>
                <w:szCs w:val="17"/>
              </w:rPr>
            </w:pPr>
          </w:p>
          <w:p w14:paraId="712E1FBF" w14:textId="77777777" w:rsidR="00D041F4" w:rsidRPr="00F97A44" w:rsidRDefault="00D041F4" w:rsidP="00D707D6">
            <w:pPr>
              <w:tabs>
                <w:tab w:val="right" w:pos="1202"/>
              </w:tabs>
              <w:suppressAutoHyphens/>
              <w:autoSpaceDN w:val="0"/>
              <w:spacing w:line="220" w:lineRule="exact"/>
              <w:outlineLvl w:val="0"/>
              <w:rPr>
                <w:rFonts w:ascii="Arial" w:eastAsia="Calibri" w:hAnsi="Arial" w:cs="Arial"/>
                <w:b/>
                <w:color w:val="000000" w:themeColor="text1"/>
                <w:sz w:val="17"/>
                <w:szCs w:val="17"/>
              </w:rPr>
            </w:pPr>
            <w:r w:rsidRPr="00F97A44">
              <w:rPr>
                <w:rFonts w:ascii="Arial" w:eastAsia="Calibri" w:hAnsi="Arial" w:cs="Arial"/>
                <w:b/>
                <w:color w:val="000000" w:themeColor="text1"/>
                <w:sz w:val="17"/>
                <w:szCs w:val="17"/>
              </w:rPr>
              <w:t xml:space="preserve">31. </w:t>
            </w:r>
            <w:r>
              <w:rPr>
                <w:rFonts w:ascii="Arial" w:eastAsia="Calibri" w:hAnsi="Arial" w:cs="Arial"/>
                <w:b/>
                <w:color w:val="000000" w:themeColor="text1"/>
                <w:sz w:val="17"/>
                <w:szCs w:val="17"/>
              </w:rPr>
              <w:t>prosinca</w:t>
            </w:r>
            <w:r w:rsidRPr="00F97A44">
              <w:rPr>
                <w:rFonts w:ascii="Arial" w:eastAsia="Calibri" w:hAnsi="Arial" w:cs="Arial"/>
                <w:b/>
                <w:color w:val="000000" w:themeColor="text1"/>
                <w:sz w:val="17"/>
                <w:szCs w:val="17"/>
              </w:rPr>
              <w:t xml:space="preserve"> 2023. </w:t>
            </w:r>
          </w:p>
        </w:tc>
        <w:tc>
          <w:tcPr>
            <w:tcW w:w="1461" w:type="dxa"/>
            <w:tcMar>
              <w:top w:w="0" w:type="dxa"/>
              <w:left w:w="120" w:type="dxa"/>
              <w:bottom w:w="0" w:type="dxa"/>
              <w:right w:w="120" w:type="dxa"/>
            </w:tcMar>
            <w:vAlign w:val="bottom"/>
          </w:tcPr>
          <w:p w14:paraId="1184CBAA" w14:textId="77777777" w:rsidR="00D041F4" w:rsidRPr="00F97A44" w:rsidRDefault="00D041F4" w:rsidP="00D707D6">
            <w:pPr>
              <w:tabs>
                <w:tab w:val="right" w:pos="1202"/>
              </w:tabs>
              <w:suppressAutoHyphens/>
              <w:autoSpaceDN w:val="0"/>
              <w:spacing w:line="220" w:lineRule="exact"/>
              <w:jc w:val="right"/>
              <w:outlineLvl w:val="0"/>
              <w:rPr>
                <w:rFonts w:ascii="Arial" w:eastAsia="Calibri" w:hAnsi="Arial" w:cs="Arial"/>
                <w:b/>
                <w:color w:val="000000" w:themeColor="text1"/>
                <w:sz w:val="17"/>
                <w:szCs w:val="17"/>
              </w:rPr>
            </w:pPr>
            <w:r w:rsidRPr="006D3818">
              <w:rPr>
                <w:rFonts w:ascii="Arial" w:eastAsia="Calibri" w:hAnsi="Arial" w:cs="Arial"/>
                <w:b/>
                <w:color w:val="000000" w:themeColor="text1"/>
                <w:sz w:val="17"/>
                <w:szCs w:val="17"/>
              </w:rPr>
              <w:t>EUR</w:t>
            </w:r>
          </w:p>
        </w:tc>
        <w:tc>
          <w:tcPr>
            <w:tcW w:w="1461" w:type="dxa"/>
            <w:tcMar>
              <w:top w:w="0" w:type="dxa"/>
              <w:left w:w="120" w:type="dxa"/>
              <w:bottom w:w="0" w:type="dxa"/>
              <w:right w:w="120" w:type="dxa"/>
            </w:tcMar>
            <w:vAlign w:val="bottom"/>
          </w:tcPr>
          <w:p w14:paraId="2E85F42D" w14:textId="77777777" w:rsidR="00D041F4" w:rsidRPr="00F97A44" w:rsidRDefault="00D041F4" w:rsidP="00D707D6">
            <w:pPr>
              <w:tabs>
                <w:tab w:val="right" w:pos="1202"/>
              </w:tabs>
              <w:suppressAutoHyphens/>
              <w:autoSpaceDN w:val="0"/>
              <w:spacing w:line="220" w:lineRule="exact"/>
              <w:jc w:val="right"/>
              <w:outlineLvl w:val="0"/>
              <w:rPr>
                <w:rFonts w:ascii="Arial" w:eastAsia="Calibri" w:hAnsi="Arial" w:cs="Arial"/>
                <w:b/>
                <w:color w:val="000000" w:themeColor="text1"/>
                <w:sz w:val="17"/>
                <w:szCs w:val="17"/>
              </w:rPr>
            </w:pPr>
            <w:r w:rsidRPr="006D3818">
              <w:rPr>
                <w:rFonts w:ascii="Arial" w:eastAsia="Calibri" w:hAnsi="Arial" w:cs="Arial"/>
                <w:b/>
                <w:color w:val="000000" w:themeColor="text1"/>
                <w:sz w:val="17"/>
                <w:szCs w:val="17"/>
              </w:rPr>
              <w:t>USD</w:t>
            </w:r>
          </w:p>
        </w:tc>
        <w:tc>
          <w:tcPr>
            <w:tcW w:w="1461" w:type="dxa"/>
            <w:tcMar>
              <w:top w:w="0" w:type="dxa"/>
              <w:left w:w="120" w:type="dxa"/>
              <w:bottom w:w="0" w:type="dxa"/>
              <w:right w:w="120" w:type="dxa"/>
            </w:tcMar>
            <w:vAlign w:val="bottom"/>
          </w:tcPr>
          <w:p w14:paraId="63F53DC2" w14:textId="77777777" w:rsidR="00D041F4" w:rsidRPr="00F97A44" w:rsidRDefault="00D041F4" w:rsidP="00D707D6">
            <w:pPr>
              <w:tabs>
                <w:tab w:val="right" w:pos="1202"/>
              </w:tabs>
              <w:suppressAutoHyphens/>
              <w:autoSpaceDN w:val="0"/>
              <w:spacing w:line="220" w:lineRule="exact"/>
              <w:jc w:val="right"/>
              <w:outlineLvl w:val="0"/>
              <w:rPr>
                <w:rFonts w:ascii="Arial" w:eastAsia="Calibri" w:hAnsi="Arial" w:cs="Arial"/>
                <w:b/>
                <w:color w:val="000000" w:themeColor="text1"/>
                <w:sz w:val="17"/>
                <w:szCs w:val="17"/>
              </w:rPr>
            </w:pPr>
            <w:r w:rsidRPr="00C145D7">
              <w:rPr>
                <w:rFonts w:ascii="Arial" w:eastAsia="Calibri" w:hAnsi="Arial" w:cs="Arial"/>
                <w:b/>
                <w:color w:val="000000" w:themeColor="text1"/>
                <w:sz w:val="17"/>
                <w:szCs w:val="17"/>
              </w:rPr>
              <w:t>Ostale valute</w:t>
            </w:r>
          </w:p>
        </w:tc>
        <w:tc>
          <w:tcPr>
            <w:tcW w:w="1461" w:type="dxa"/>
            <w:tcMar>
              <w:top w:w="0" w:type="dxa"/>
              <w:left w:w="120" w:type="dxa"/>
              <w:bottom w:w="0" w:type="dxa"/>
              <w:right w:w="120" w:type="dxa"/>
            </w:tcMar>
            <w:vAlign w:val="bottom"/>
          </w:tcPr>
          <w:p w14:paraId="524F2C65" w14:textId="77777777" w:rsidR="00D041F4" w:rsidRPr="00F97A44" w:rsidRDefault="00D041F4" w:rsidP="00D707D6">
            <w:pPr>
              <w:tabs>
                <w:tab w:val="right" w:pos="1202"/>
              </w:tabs>
              <w:suppressAutoHyphens/>
              <w:autoSpaceDN w:val="0"/>
              <w:spacing w:line="220" w:lineRule="exact"/>
              <w:jc w:val="right"/>
              <w:outlineLvl w:val="0"/>
              <w:rPr>
                <w:rFonts w:ascii="Arial" w:eastAsia="Calibri" w:hAnsi="Arial" w:cs="Arial"/>
                <w:b/>
                <w:color w:val="000000" w:themeColor="text1"/>
                <w:sz w:val="17"/>
                <w:szCs w:val="17"/>
              </w:rPr>
            </w:pPr>
            <w:r w:rsidRPr="00C145D7">
              <w:rPr>
                <w:rFonts w:ascii="Arial" w:eastAsia="Calibri" w:hAnsi="Arial" w:cs="Arial"/>
                <w:b/>
                <w:color w:val="000000" w:themeColor="text1"/>
                <w:sz w:val="17"/>
                <w:szCs w:val="17"/>
              </w:rPr>
              <w:t>Ukupno</w:t>
            </w:r>
          </w:p>
        </w:tc>
      </w:tr>
      <w:tr w:rsidR="00D041F4" w:rsidRPr="00F97A44" w14:paraId="30CDF4CD" w14:textId="77777777" w:rsidTr="00D707D6">
        <w:trPr>
          <w:trHeight w:hRule="exact" w:val="272"/>
        </w:trPr>
        <w:tc>
          <w:tcPr>
            <w:tcW w:w="3625" w:type="dxa"/>
            <w:tcMar>
              <w:top w:w="0" w:type="dxa"/>
              <w:left w:w="120" w:type="dxa"/>
              <w:bottom w:w="0" w:type="dxa"/>
              <w:right w:w="120" w:type="dxa"/>
            </w:tcMar>
          </w:tcPr>
          <w:p w14:paraId="01CF7CCD" w14:textId="77777777" w:rsidR="00D041F4" w:rsidRPr="00F97A44" w:rsidRDefault="00D041F4" w:rsidP="00D707D6">
            <w:pPr>
              <w:tabs>
                <w:tab w:val="right" w:pos="1202"/>
              </w:tabs>
              <w:suppressAutoHyphens/>
              <w:autoSpaceDN w:val="0"/>
              <w:spacing w:line="220" w:lineRule="exact"/>
              <w:outlineLvl w:val="0"/>
              <w:rPr>
                <w:rFonts w:ascii="Arial" w:eastAsia="Calibri" w:hAnsi="Arial" w:cs="Arial"/>
                <w:b/>
                <w:color w:val="000000" w:themeColor="text1"/>
                <w:sz w:val="17"/>
                <w:szCs w:val="17"/>
              </w:rPr>
            </w:pPr>
          </w:p>
        </w:tc>
        <w:tc>
          <w:tcPr>
            <w:tcW w:w="1461" w:type="dxa"/>
            <w:tcMar>
              <w:top w:w="0" w:type="dxa"/>
              <w:left w:w="120" w:type="dxa"/>
              <w:bottom w:w="0" w:type="dxa"/>
              <w:right w:w="120" w:type="dxa"/>
            </w:tcMar>
          </w:tcPr>
          <w:p w14:paraId="0FF36CA3" w14:textId="77777777" w:rsidR="00D041F4" w:rsidRPr="00F97A44" w:rsidRDefault="00D041F4" w:rsidP="00D707D6">
            <w:pPr>
              <w:tabs>
                <w:tab w:val="right" w:pos="1202"/>
              </w:tabs>
              <w:suppressAutoHyphens/>
              <w:autoSpaceDN w:val="0"/>
              <w:spacing w:line="220" w:lineRule="exact"/>
              <w:jc w:val="right"/>
              <w:outlineLvl w:val="0"/>
              <w:rPr>
                <w:rFonts w:ascii="Arial" w:eastAsia="Calibri" w:hAnsi="Arial" w:cs="Arial"/>
                <w:b/>
                <w:color w:val="000000" w:themeColor="text1"/>
                <w:sz w:val="17"/>
                <w:szCs w:val="17"/>
              </w:rPr>
            </w:pPr>
            <w:r w:rsidRPr="00F97A44">
              <w:rPr>
                <w:rFonts w:ascii="Arial" w:eastAsia="Calibri" w:hAnsi="Arial" w:cs="Arial"/>
                <w:b/>
                <w:color w:val="000000" w:themeColor="text1"/>
                <w:sz w:val="17"/>
                <w:szCs w:val="17"/>
              </w:rPr>
              <w:t>000 eura</w:t>
            </w:r>
          </w:p>
        </w:tc>
        <w:tc>
          <w:tcPr>
            <w:tcW w:w="1461" w:type="dxa"/>
            <w:tcMar>
              <w:top w:w="0" w:type="dxa"/>
              <w:left w:w="120" w:type="dxa"/>
              <w:bottom w:w="0" w:type="dxa"/>
              <w:right w:w="120" w:type="dxa"/>
            </w:tcMar>
          </w:tcPr>
          <w:p w14:paraId="089B6A7C" w14:textId="77777777" w:rsidR="00D041F4" w:rsidRPr="00F97A44" w:rsidRDefault="00D041F4" w:rsidP="00D707D6">
            <w:pPr>
              <w:tabs>
                <w:tab w:val="right" w:pos="1202"/>
              </w:tabs>
              <w:suppressAutoHyphens/>
              <w:autoSpaceDN w:val="0"/>
              <w:spacing w:line="220" w:lineRule="exact"/>
              <w:jc w:val="right"/>
              <w:outlineLvl w:val="0"/>
              <w:rPr>
                <w:rFonts w:ascii="Arial" w:eastAsia="Calibri" w:hAnsi="Arial" w:cs="Arial"/>
                <w:b/>
                <w:color w:val="000000" w:themeColor="text1"/>
                <w:sz w:val="17"/>
                <w:szCs w:val="17"/>
              </w:rPr>
            </w:pPr>
            <w:r w:rsidRPr="00F97A44">
              <w:rPr>
                <w:rFonts w:ascii="Arial" w:eastAsia="Calibri" w:hAnsi="Arial" w:cs="Arial"/>
                <w:b/>
                <w:color w:val="000000" w:themeColor="text1"/>
                <w:sz w:val="17"/>
                <w:szCs w:val="17"/>
              </w:rPr>
              <w:t>000 eura</w:t>
            </w:r>
          </w:p>
        </w:tc>
        <w:tc>
          <w:tcPr>
            <w:tcW w:w="1461" w:type="dxa"/>
            <w:tcMar>
              <w:top w:w="0" w:type="dxa"/>
              <w:left w:w="120" w:type="dxa"/>
              <w:bottom w:w="0" w:type="dxa"/>
              <w:right w:w="120" w:type="dxa"/>
            </w:tcMar>
          </w:tcPr>
          <w:p w14:paraId="4D50C32E" w14:textId="77777777" w:rsidR="00D041F4" w:rsidRPr="00F97A44" w:rsidRDefault="00D041F4" w:rsidP="00D707D6">
            <w:pPr>
              <w:tabs>
                <w:tab w:val="right" w:pos="1202"/>
              </w:tabs>
              <w:suppressAutoHyphens/>
              <w:autoSpaceDN w:val="0"/>
              <w:spacing w:line="220" w:lineRule="exact"/>
              <w:jc w:val="right"/>
              <w:outlineLvl w:val="0"/>
              <w:rPr>
                <w:rFonts w:ascii="Arial" w:eastAsia="Calibri" w:hAnsi="Arial" w:cs="Arial"/>
                <w:b/>
                <w:color w:val="000000" w:themeColor="text1"/>
                <w:sz w:val="17"/>
                <w:szCs w:val="17"/>
              </w:rPr>
            </w:pPr>
            <w:r w:rsidRPr="00F97A44">
              <w:rPr>
                <w:rFonts w:ascii="Arial" w:eastAsia="Calibri" w:hAnsi="Arial" w:cs="Arial"/>
                <w:b/>
                <w:color w:val="000000" w:themeColor="text1"/>
                <w:sz w:val="17"/>
                <w:szCs w:val="17"/>
              </w:rPr>
              <w:t>000 eura</w:t>
            </w:r>
          </w:p>
        </w:tc>
        <w:tc>
          <w:tcPr>
            <w:tcW w:w="1461" w:type="dxa"/>
            <w:tcMar>
              <w:top w:w="0" w:type="dxa"/>
              <w:left w:w="120" w:type="dxa"/>
              <w:bottom w:w="0" w:type="dxa"/>
              <w:right w:w="120" w:type="dxa"/>
            </w:tcMar>
          </w:tcPr>
          <w:p w14:paraId="2E5C9507" w14:textId="77777777" w:rsidR="00D041F4" w:rsidRPr="00F97A44" w:rsidRDefault="00D041F4" w:rsidP="00D707D6">
            <w:pPr>
              <w:tabs>
                <w:tab w:val="right" w:pos="1202"/>
              </w:tabs>
              <w:suppressAutoHyphens/>
              <w:autoSpaceDN w:val="0"/>
              <w:spacing w:line="220" w:lineRule="exact"/>
              <w:jc w:val="right"/>
              <w:outlineLvl w:val="0"/>
              <w:rPr>
                <w:rFonts w:ascii="Arial" w:eastAsia="Calibri" w:hAnsi="Arial" w:cs="Arial"/>
                <w:b/>
                <w:color w:val="000000" w:themeColor="text1"/>
                <w:sz w:val="17"/>
                <w:szCs w:val="17"/>
              </w:rPr>
            </w:pPr>
            <w:r w:rsidRPr="00F97A44">
              <w:rPr>
                <w:rFonts w:ascii="Arial" w:eastAsia="Calibri" w:hAnsi="Arial" w:cs="Arial"/>
                <w:b/>
                <w:color w:val="000000" w:themeColor="text1"/>
                <w:sz w:val="17"/>
                <w:szCs w:val="17"/>
              </w:rPr>
              <w:t>000 eura</w:t>
            </w:r>
          </w:p>
        </w:tc>
      </w:tr>
      <w:tr w:rsidR="00D041F4" w:rsidRPr="00F97A44" w14:paraId="07C13A84" w14:textId="77777777" w:rsidTr="00D707D6">
        <w:trPr>
          <w:trHeight w:val="240"/>
        </w:trPr>
        <w:tc>
          <w:tcPr>
            <w:tcW w:w="3625" w:type="dxa"/>
            <w:tcMar>
              <w:top w:w="0" w:type="dxa"/>
              <w:left w:w="120" w:type="dxa"/>
              <w:bottom w:w="0" w:type="dxa"/>
              <w:right w:w="120" w:type="dxa"/>
            </w:tcMar>
            <w:vAlign w:val="bottom"/>
          </w:tcPr>
          <w:p w14:paraId="68352C58" w14:textId="77777777" w:rsidR="00D041F4" w:rsidRPr="00F97A44" w:rsidRDefault="00D041F4" w:rsidP="00D707D6">
            <w:pPr>
              <w:tabs>
                <w:tab w:val="right" w:pos="1202"/>
              </w:tabs>
              <w:suppressAutoHyphens/>
              <w:autoSpaceDN w:val="0"/>
              <w:spacing w:line="240" w:lineRule="exact"/>
              <w:outlineLvl w:val="0"/>
              <w:rPr>
                <w:rFonts w:ascii="Arial" w:eastAsia="Calibri" w:hAnsi="Arial" w:cs="Arial"/>
                <w:b/>
                <w:color w:val="000000" w:themeColor="text1"/>
                <w:sz w:val="17"/>
                <w:szCs w:val="17"/>
              </w:rPr>
            </w:pPr>
            <w:r w:rsidRPr="00F97A44">
              <w:rPr>
                <w:rFonts w:ascii="Arial" w:eastAsia="Calibri" w:hAnsi="Arial" w:cs="Arial"/>
                <w:b/>
                <w:color w:val="000000" w:themeColor="text1"/>
                <w:sz w:val="17"/>
                <w:szCs w:val="17"/>
              </w:rPr>
              <w:t>Imovina</w:t>
            </w:r>
          </w:p>
        </w:tc>
        <w:tc>
          <w:tcPr>
            <w:tcW w:w="1461" w:type="dxa"/>
            <w:tcMar>
              <w:top w:w="0" w:type="dxa"/>
              <w:left w:w="120" w:type="dxa"/>
              <w:bottom w:w="0" w:type="dxa"/>
              <w:right w:w="120" w:type="dxa"/>
            </w:tcMar>
            <w:vAlign w:val="bottom"/>
          </w:tcPr>
          <w:p w14:paraId="5AF31DEF" w14:textId="77777777" w:rsidR="00D041F4" w:rsidRPr="00F97A44" w:rsidRDefault="00D041F4" w:rsidP="00D707D6">
            <w:pPr>
              <w:suppressAutoHyphens/>
              <w:autoSpaceDN w:val="0"/>
              <w:spacing w:line="240" w:lineRule="exact"/>
              <w:jc w:val="right"/>
              <w:rPr>
                <w:rFonts w:ascii="Arial" w:eastAsia="Arial Unicode MS" w:hAnsi="Arial" w:cs="Arial"/>
                <w:color w:val="000000" w:themeColor="text1"/>
                <w:sz w:val="17"/>
                <w:szCs w:val="17"/>
              </w:rPr>
            </w:pPr>
          </w:p>
        </w:tc>
        <w:tc>
          <w:tcPr>
            <w:tcW w:w="1461" w:type="dxa"/>
            <w:tcMar>
              <w:top w:w="0" w:type="dxa"/>
              <w:left w:w="120" w:type="dxa"/>
              <w:bottom w:w="0" w:type="dxa"/>
              <w:right w:w="120" w:type="dxa"/>
            </w:tcMar>
            <w:vAlign w:val="bottom"/>
          </w:tcPr>
          <w:p w14:paraId="3BD03E3B" w14:textId="77777777" w:rsidR="00D041F4" w:rsidRPr="00F97A44" w:rsidRDefault="00D041F4" w:rsidP="00D707D6">
            <w:pPr>
              <w:suppressAutoHyphens/>
              <w:autoSpaceDN w:val="0"/>
              <w:spacing w:line="240" w:lineRule="exact"/>
              <w:jc w:val="right"/>
              <w:rPr>
                <w:rFonts w:ascii="Arial" w:eastAsia="Arial Unicode MS" w:hAnsi="Arial" w:cs="Arial"/>
                <w:color w:val="000000" w:themeColor="text1"/>
                <w:sz w:val="17"/>
                <w:szCs w:val="17"/>
              </w:rPr>
            </w:pPr>
          </w:p>
        </w:tc>
        <w:tc>
          <w:tcPr>
            <w:tcW w:w="1461" w:type="dxa"/>
            <w:tcMar>
              <w:top w:w="0" w:type="dxa"/>
              <w:left w:w="120" w:type="dxa"/>
              <w:bottom w:w="0" w:type="dxa"/>
              <w:right w:w="120" w:type="dxa"/>
            </w:tcMar>
            <w:vAlign w:val="bottom"/>
          </w:tcPr>
          <w:p w14:paraId="3EF02032" w14:textId="77777777" w:rsidR="00D041F4" w:rsidRPr="00F97A44" w:rsidRDefault="00D041F4" w:rsidP="00D707D6">
            <w:pPr>
              <w:suppressAutoHyphens/>
              <w:autoSpaceDN w:val="0"/>
              <w:spacing w:line="240" w:lineRule="exact"/>
              <w:jc w:val="right"/>
              <w:rPr>
                <w:rFonts w:ascii="Arial" w:eastAsia="Arial Unicode MS" w:hAnsi="Arial" w:cs="Arial"/>
                <w:color w:val="000000" w:themeColor="text1"/>
                <w:sz w:val="17"/>
                <w:szCs w:val="17"/>
              </w:rPr>
            </w:pPr>
          </w:p>
        </w:tc>
        <w:tc>
          <w:tcPr>
            <w:tcW w:w="1461" w:type="dxa"/>
            <w:tcMar>
              <w:top w:w="0" w:type="dxa"/>
              <w:left w:w="120" w:type="dxa"/>
              <w:bottom w:w="0" w:type="dxa"/>
              <w:right w:w="120" w:type="dxa"/>
            </w:tcMar>
            <w:vAlign w:val="bottom"/>
          </w:tcPr>
          <w:p w14:paraId="1D0FF1F0" w14:textId="77777777" w:rsidR="00D041F4" w:rsidRPr="00F97A44" w:rsidRDefault="00D041F4" w:rsidP="00D707D6">
            <w:pPr>
              <w:suppressAutoHyphens/>
              <w:autoSpaceDN w:val="0"/>
              <w:spacing w:line="240" w:lineRule="exact"/>
              <w:jc w:val="right"/>
              <w:rPr>
                <w:rFonts w:ascii="Arial" w:eastAsia="Arial Unicode MS" w:hAnsi="Arial" w:cs="Arial"/>
                <w:color w:val="000000" w:themeColor="text1"/>
                <w:sz w:val="17"/>
                <w:szCs w:val="17"/>
              </w:rPr>
            </w:pPr>
          </w:p>
        </w:tc>
      </w:tr>
      <w:tr w:rsidR="00D041F4" w:rsidRPr="00F97A44" w14:paraId="13521DB8" w14:textId="77777777" w:rsidTr="00D707D6">
        <w:trPr>
          <w:trHeight w:val="178"/>
        </w:trPr>
        <w:tc>
          <w:tcPr>
            <w:tcW w:w="3625" w:type="dxa"/>
            <w:tcMar>
              <w:top w:w="0" w:type="dxa"/>
              <w:left w:w="120" w:type="dxa"/>
              <w:bottom w:w="0" w:type="dxa"/>
              <w:right w:w="120" w:type="dxa"/>
            </w:tcMar>
            <w:vAlign w:val="bottom"/>
          </w:tcPr>
          <w:p w14:paraId="1AEE8185" w14:textId="77777777" w:rsidR="00D041F4" w:rsidRPr="00F97A44" w:rsidRDefault="00D041F4" w:rsidP="00D707D6">
            <w:pPr>
              <w:tabs>
                <w:tab w:val="right" w:pos="1202"/>
              </w:tabs>
              <w:suppressAutoHyphens/>
              <w:autoSpaceDN w:val="0"/>
              <w:spacing w:line="240" w:lineRule="exact"/>
              <w:outlineLvl w:val="0"/>
              <w:rPr>
                <w:rFonts w:ascii="Arial" w:eastAsia="Calibri" w:hAnsi="Arial" w:cs="Arial"/>
                <w:color w:val="000000" w:themeColor="text1"/>
                <w:sz w:val="17"/>
                <w:szCs w:val="17"/>
              </w:rPr>
            </w:pPr>
            <w:r w:rsidRPr="00F97A44">
              <w:rPr>
                <w:rFonts w:ascii="Arial" w:eastAsia="Calibri" w:hAnsi="Arial" w:cs="Arial"/>
                <w:color w:val="000000" w:themeColor="text1"/>
                <w:spacing w:val="-2"/>
                <w:sz w:val="17"/>
                <w:szCs w:val="17"/>
              </w:rPr>
              <w:t>Novčana sredstva i računi kod banaka</w:t>
            </w:r>
          </w:p>
        </w:tc>
        <w:tc>
          <w:tcPr>
            <w:tcW w:w="1461" w:type="dxa"/>
            <w:tcBorders>
              <w:top w:val="nil"/>
              <w:left w:val="nil"/>
              <w:right w:val="nil"/>
            </w:tcBorders>
            <w:tcMar>
              <w:top w:w="0" w:type="dxa"/>
              <w:left w:w="120" w:type="dxa"/>
              <w:bottom w:w="0" w:type="dxa"/>
              <w:right w:w="120" w:type="dxa"/>
            </w:tcMar>
            <w:vAlign w:val="bottom"/>
          </w:tcPr>
          <w:p w14:paraId="4AEB7B32" w14:textId="77777777" w:rsidR="00D041F4" w:rsidRPr="00F959D0" w:rsidRDefault="00D041F4" w:rsidP="00D707D6">
            <w:pPr>
              <w:spacing w:line="240" w:lineRule="exact"/>
              <w:jc w:val="right"/>
              <w:rPr>
                <w:rFonts w:ascii="Arial" w:hAnsi="Arial" w:cs="Arial"/>
                <w:sz w:val="17"/>
                <w:szCs w:val="17"/>
              </w:rPr>
            </w:pPr>
            <w:r w:rsidRPr="00F959D0">
              <w:rPr>
                <w:rFonts w:ascii="Arial" w:hAnsi="Arial" w:cs="Arial"/>
                <w:sz w:val="17"/>
                <w:szCs w:val="17"/>
              </w:rPr>
              <w:t xml:space="preserve"> 42.023 </w:t>
            </w:r>
          </w:p>
        </w:tc>
        <w:tc>
          <w:tcPr>
            <w:tcW w:w="1461" w:type="dxa"/>
            <w:tcBorders>
              <w:top w:val="nil"/>
              <w:left w:val="nil"/>
              <w:right w:val="nil"/>
            </w:tcBorders>
            <w:tcMar>
              <w:top w:w="0" w:type="dxa"/>
              <w:left w:w="120" w:type="dxa"/>
              <w:bottom w:w="0" w:type="dxa"/>
              <w:right w:w="120" w:type="dxa"/>
            </w:tcMar>
            <w:vAlign w:val="bottom"/>
          </w:tcPr>
          <w:p w14:paraId="46E209A0" w14:textId="77777777" w:rsidR="00D041F4" w:rsidRPr="00F959D0" w:rsidRDefault="00D041F4" w:rsidP="00D707D6">
            <w:pPr>
              <w:spacing w:line="240" w:lineRule="exact"/>
              <w:jc w:val="right"/>
              <w:rPr>
                <w:rFonts w:ascii="Arial" w:hAnsi="Arial" w:cs="Arial"/>
                <w:sz w:val="17"/>
                <w:szCs w:val="17"/>
              </w:rPr>
            </w:pPr>
            <w:r w:rsidRPr="00F959D0">
              <w:rPr>
                <w:rFonts w:ascii="Arial" w:hAnsi="Arial" w:cs="Arial"/>
                <w:sz w:val="17"/>
                <w:szCs w:val="17"/>
              </w:rPr>
              <w:t xml:space="preserve"> 91 </w:t>
            </w:r>
          </w:p>
        </w:tc>
        <w:tc>
          <w:tcPr>
            <w:tcW w:w="1461" w:type="dxa"/>
            <w:tcBorders>
              <w:top w:val="nil"/>
              <w:left w:val="nil"/>
              <w:right w:val="nil"/>
            </w:tcBorders>
            <w:tcMar>
              <w:top w:w="0" w:type="dxa"/>
              <w:left w:w="120" w:type="dxa"/>
              <w:bottom w:w="0" w:type="dxa"/>
              <w:right w:w="120" w:type="dxa"/>
            </w:tcMar>
            <w:vAlign w:val="bottom"/>
          </w:tcPr>
          <w:p w14:paraId="68981E82" w14:textId="77777777" w:rsidR="00D041F4" w:rsidRPr="00F959D0" w:rsidRDefault="00D041F4" w:rsidP="00D707D6">
            <w:pPr>
              <w:spacing w:line="240" w:lineRule="exact"/>
              <w:jc w:val="right"/>
              <w:rPr>
                <w:rFonts w:ascii="Arial" w:hAnsi="Arial" w:cs="Arial"/>
                <w:sz w:val="17"/>
                <w:szCs w:val="17"/>
              </w:rPr>
            </w:pPr>
            <w:r w:rsidRPr="00F959D0">
              <w:rPr>
                <w:rFonts w:ascii="Arial" w:hAnsi="Arial" w:cs="Arial"/>
                <w:sz w:val="17"/>
                <w:szCs w:val="17"/>
              </w:rPr>
              <w:t xml:space="preserve"> 19 </w:t>
            </w:r>
          </w:p>
        </w:tc>
        <w:tc>
          <w:tcPr>
            <w:tcW w:w="1461" w:type="dxa"/>
            <w:tcBorders>
              <w:top w:val="nil"/>
              <w:left w:val="nil"/>
            </w:tcBorders>
            <w:tcMar>
              <w:top w:w="0" w:type="dxa"/>
              <w:left w:w="120" w:type="dxa"/>
              <w:bottom w:w="0" w:type="dxa"/>
              <w:right w:w="120" w:type="dxa"/>
            </w:tcMar>
            <w:vAlign w:val="bottom"/>
          </w:tcPr>
          <w:p w14:paraId="2ED743D5" w14:textId="77777777" w:rsidR="00D041F4" w:rsidRPr="00F959D0" w:rsidRDefault="00D041F4" w:rsidP="00D707D6">
            <w:pPr>
              <w:spacing w:line="240" w:lineRule="exact"/>
              <w:jc w:val="right"/>
              <w:rPr>
                <w:rFonts w:ascii="Arial" w:hAnsi="Arial" w:cs="Arial"/>
                <w:sz w:val="17"/>
                <w:szCs w:val="17"/>
              </w:rPr>
            </w:pPr>
            <w:r w:rsidRPr="00F959D0">
              <w:rPr>
                <w:rFonts w:ascii="Arial" w:hAnsi="Arial" w:cs="Arial"/>
                <w:sz w:val="17"/>
                <w:szCs w:val="17"/>
              </w:rPr>
              <w:t xml:space="preserve"> 42.133 </w:t>
            </w:r>
          </w:p>
        </w:tc>
      </w:tr>
      <w:tr w:rsidR="00D041F4" w:rsidRPr="00F97A44" w14:paraId="2C7C5845" w14:textId="77777777" w:rsidTr="00D707D6">
        <w:trPr>
          <w:trHeight w:val="240"/>
        </w:trPr>
        <w:tc>
          <w:tcPr>
            <w:tcW w:w="3625" w:type="dxa"/>
            <w:tcMar>
              <w:top w:w="0" w:type="dxa"/>
              <w:left w:w="120" w:type="dxa"/>
              <w:bottom w:w="0" w:type="dxa"/>
              <w:right w:w="120" w:type="dxa"/>
            </w:tcMar>
            <w:vAlign w:val="bottom"/>
          </w:tcPr>
          <w:p w14:paraId="504ADF6E" w14:textId="77777777" w:rsidR="00D041F4" w:rsidRPr="00F97A44" w:rsidRDefault="00D041F4" w:rsidP="00D707D6">
            <w:pPr>
              <w:tabs>
                <w:tab w:val="right" w:pos="1202"/>
              </w:tabs>
              <w:suppressAutoHyphens/>
              <w:autoSpaceDN w:val="0"/>
              <w:spacing w:line="240" w:lineRule="exact"/>
              <w:outlineLvl w:val="0"/>
              <w:rPr>
                <w:rFonts w:ascii="Arial" w:eastAsia="Calibri" w:hAnsi="Arial" w:cs="Arial"/>
                <w:color w:val="000000" w:themeColor="text1"/>
                <w:sz w:val="17"/>
                <w:szCs w:val="17"/>
              </w:rPr>
            </w:pPr>
            <w:r w:rsidRPr="00F97A44">
              <w:rPr>
                <w:rFonts w:ascii="Arial" w:eastAsia="Calibri" w:hAnsi="Arial" w:cs="Arial"/>
                <w:color w:val="000000" w:themeColor="text1"/>
                <w:spacing w:val="-2"/>
                <w:sz w:val="17"/>
                <w:szCs w:val="17"/>
              </w:rPr>
              <w:t>Depoziti kod drugih banaka</w:t>
            </w:r>
          </w:p>
        </w:tc>
        <w:tc>
          <w:tcPr>
            <w:tcW w:w="1461" w:type="dxa"/>
            <w:tcBorders>
              <w:top w:val="nil"/>
              <w:left w:val="nil"/>
              <w:bottom w:val="nil"/>
              <w:right w:val="nil"/>
            </w:tcBorders>
            <w:tcMar>
              <w:top w:w="0" w:type="dxa"/>
              <w:left w:w="120" w:type="dxa"/>
              <w:bottom w:w="0" w:type="dxa"/>
              <w:right w:w="120" w:type="dxa"/>
            </w:tcMar>
            <w:vAlign w:val="bottom"/>
          </w:tcPr>
          <w:p w14:paraId="636A52A7" w14:textId="77777777" w:rsidR="00D041F4" w:rsidRPr="00F959D0" w:rsidRDefault="00D041F4" w:rsidP="00D707D6">
            <w:pPr>
              <w:spacing w:line="240" w:lineRule="exact"/>
              <w:jc w:val="right"/>
              <w:rPr>
                <w:rFonts w:ascii="Arial" w:hAnsi="Arial" w:cs="Arial"/>
                <w:sz w:val="17"/>
                <w:szCs w:val="17"/>
              </w:rPr>
            </w:pPr>
            <w:r w:rsidRPr="00F959D0">
              <w:rPr>
                <w:rFonts w:ascii="Arial" w:hAnsi="Arial" w:cs="Arial"/>
                <w:sz w:val="17"/>
                <w:szCs w:val="17"/>
              </w:rPr>
              <w:t xml:space="preserve"> 69.318 </w:t>
            </w:r>
          </w:p>
        </w:tc>
        <w:tc>
          <w:tcPr>
            <w:tcW w:w="1461" w:type="dxa"/>
            <w:tcBorders>
              <w:top w:val="nil"/>
              <w:left w:val="nil"/>
              <w:bottom w:val="nil"/>
              <w:right w:val="nil"/>
            </w:tcBorders>
            <w:tcMar>
              <w:top w:w="0" w:type="dxa"/>
              <w:left w:w="120" w:type="dxa"/>
              <w:bottom w:w="0" w:type="dxa"/>
              <w:right w:w="120" w:type="dxa"/>
            </w:tcMar>
            <w:vAlign w:val="bottom"/>
          </w:tcPr>
          <w:p w14:paraId="00F1CCC1" w14:textId="77777777" w:rsidR="00D041F4" w:rsidRPr="00F959D0" w:rsidRDefault="00D041F4" w:rsidP="00D707D6">
            <w:pPr>
              <w:spacing w:line="240" w:lineRule="exact"/>
              <w:jc w:val="right"/>
              <w:rPr>
                <w:rFonts w:ascii="Arial" w:hAnsi="Arial" w:cs="Arial"/>
                <w:sz w:val="17"/>
                <w:szCs w:val="17"/>
              </w:rPr>
            </w:pPr>
            <w:r w:rsidRPr="00F959D0">
              <w:rPr>
                <w:rFonts w:ascii="Arial" w:hAnsi="Arial" w:cs="Arial"/>
                <w:sz w:val="17"/>
                <w:szCs w:val="17"/>
              </w:rPr>
              <w:t xml:space="preserve"> 2.443 </w:t>
            </w:r>
          </w:p>
        </w:tc>
        <w:tc>
          <w:tcPr>
            <w:tcW w:w="1461" w:type="dxa"/>
            <w:tcBorders>
              <w:top w:val="nil"/>
              <w:left w:val="nil"/>
              <w:bottom w:val="nil"/>
              <w:right w:val="nil"/>
            </w:tcBorders>
            <w:tcMar>
              <w:top w:w="0" w:type="dxa"/>
              <w:left w:w="120" w:type="dxa"/>
              <w:bottom w:w="0" w:type="dxa"/>
              <w:right w:w="120" w:type="dxa"/>
            </w:tcMar>
            <w:vAlign w:val="bottom"/>
          </w:tcPr>
          <w:p w14:paraId="5748B3CC" w14:textId="77777777" w:rsidR="00D041F4" w:rsidRPr="00F959D0" w:rsidRDefault="00D041F4" w:rsidP="00D707D6">
            <w:pPr>
              <w:spacing w:line="240" w:lineRule="exact"/>
              <w:jc w:val="right"/>
              <w:rPr>
                <w:rFonts w:ascii="Arial" w:hAnsi="Arial" w:cs="Arial"/>
                <w:sz w:val="17"/>
                <w:szCs w:val="17"/>
              </w:rPr>
            </w:pPr>
            <w:r w:rsidRPr="00F959D0">
              <w:rPr>
                <w:rFonts w:ascii="Arial" w:hAnsi="Arial" w:cs="Arial"/>
                <w:sz w:val="17"/>
                <w:szCs w:val="17"/>
              </w:rPr>
              <w:t xml:space="preserve">  -   </w:t>
            </w:r>
          </w:p>
        </w:tc>
        <w:tc>
          <w:tcPr>
            <w:tcW w:w="1461" w:type="dxa"/>
            <w:tcBorders>
              <w:top w:val="nil"/>
              <w:left w:val="nil"/>
              <w:bottom w:val="nil"/>
            </w:tcBorders>
            <w:tcMar>
              <w:top w:w="0" w:type="dxa"/>
              <w:left w:w="120" w:type="dxa"/>
              <w:bottom w:w="0" w:type="dxa"/>
              <w:right w:w="120" w:type="dxa"/>
            </w:tcMar>
            <w:vAlign w:val="bottom"/>
          </w:tcPr>
          <w:p w14:paraId="1B266EFB" w14:textId="77777777" w:rsidR="00D041F4" w:rsidRPr="00F959D0" w:rsidRDefault="00D041F4" w:rsidP="00D707D6">
            <w:pPr>
              <w:spacing w:line="240" w:lineRule="exact"/>
              <w:jc w:val="right"/>
              <w:rPr>
                <w:rFonts w:ascii="Arial" w:hAnsi="Arial" w:cs="Arial"/>
                <w:sz w:val="17"/>
                <w:szCs w:val="17"/>
              </w:rPr>
            </w:pPr>
            <w:r w:rsidRPr="00F959D0">
              <w:rPr>
                <w:rFonts w:ascii="Arial" w:hAnsi="Arial" w:cs="Arial"/>
                <w:sz w:val="17"/>
                <w:szCs w:val="17"/>
              </w:rPr>
              <w:t xml:space="preserve"> 71.761 </w:t>
            </w:r>
          </w:p>
        </w:tc>
      </w:tr>
      <w:tr w:rsidR="00D041F4" w:rsidRPr="00F97A44" w14:paraId="5B3E62C9" w14:textId="77777777" w:rsidTr="00D707D6">
        <w:trPr>
          <w:trHeight w:val="117"/>
        </w:trPr>
        <w:tc>
          <w:tcPr>
            <w:tcW w:w="3625" w:type="dxa"/>
            <w:tcMar>
              <w:top w:w="0" w:type="dxa"/>
              <w:left w:w="120" w:type="dxa"/>
              <w:bottom w:w="0" w:type="dxa"/>
              <w:right w:w="120" w:type="dxa"/>
            </w:tcMar>
            <w:vAlign w:val="bottom"/>
          </w:tcPr>
          <w:p w14:paraId="395314AD" w14:textId="77777777" w:rsidR="00D041F4" w:rsidRPr="00F97A44" w:rsidRDefault="00D041F4" w:rsidP="00D707D6">
            <w:pPr>
              <w:tabs>
                <w:tab w:val="right" w:pos="1202"/>
              </w:tabs>
              <w:suppressAutoHyphens/>
              <w:autoSpaceDN w:val="0"/>
              <w:spacing w:line="240" w:lineRule="exact"/>
              <w:outlineLvl w:val="0"/>
              <w:rPr>
                <w:rFonts w:ascii="Arial" w:eastAsia="Calibri" w:hAnsi="Arial" w:cs="Arial"/>
                <w:color w:val="000000" w:themeColor="text1"/>
                <w:spacing w:val="-2"/>
                <w:sz w:val="17"/>
                <w:szCs w:val="17"/>
              </w:rPr>
            </w:pPr>
            <w:r w:rsidRPr="00F97A44">
              <w:rPr>
                <w:rFonts w:ascii="Arial" w:eastAsia="Calibri" w:hAnsi="Arial" w:cs="Arial"/>
                <w:color w:val="000000" w:themeColor="text1"/>
                <w:spacing w:val="-2"/>
                <w:sz w:val="17"/>
                <w:szCs w:val="17"/>
              </w:rPr>
              <w:t>Krediti financijskim institucijama</w:t>
            </w:r>
          </w:p>
        </w:tc>
        <w:tc>
          <w:tcPr>
            <w:tcW w:w="1461" w:type="dxa"/>
            <w:tcBorders>
              <w:top w:val="nil"/>
              <w:left w:val="nil"/>
              <w:bottom w:val="nil"/>
              <w:right w:val="nil"/>
            </w:tcBorders>
            <w:tcMar>
              <w:top w:w="0" w:type="dxa"/>
              <w:left w:w="120" w:type="dxa"/>
              <w:bottom w:w="0" w:type="dxa"/>
              <w:right w:w="120" w:type="dxa"/>
            </w:tcMar>
            <w:vAlign w:val="bottom"/>
          </w:tcPr>
          <w:p w14:paraId="434D00DF" w14:textId="77777777" w:rsidR="00D041F4" w:rsidRPr="00F959D0" w:rsidRDefault="00D041F4" w:rsidP="00D707D6">
            <w:pPr>
              <w:spacing w:line="240" w:lineRule="exact"/>
              <w:jc w:val="right"/>
              <w:rPr>
                <w:rFonts w:ascii="Arial" w:hAnsi="Arial" w:cs="Arial"/>
                <w:sz w:val="17"/>
                <w:szCs w:val="17"/>
              </w:rPr>
            </w:pPr>
            <w:r w:rsidRPr="00F959D0">
              <w:rPr>
                <w:rFonts w:ascii="Arial" w:hAnsi="Arial" w:cs="Arial"/>
                <w:sz w:val="17"/>
                <w:szCs w:val="17"/>
              </w:rPr>
              <w:t xml:space="preserve"> 1.248.881 </w:t>
            </w:r>
          </w:p>
        </w:tc>
        <w:tc>
          <w:tcPr>
            <w:tcW w:w="1461" w:type="dxa"/>
            <w:tcBorders>
              <w:top w:val="nil"/>
              <w:left w:val="nil"/>
              <w:bottom w:val="nil"/>
              <w:right w:val="nil"/>
            </w:tcBorders>
            <w:tcMar>
              <w:top w:w="0" w:type="dxa"/>
              <w:left w:w="120" w:type="dxa"/>
              <w:bottom w:w="0" w:type="dxa"/>
              <w:right w:w="120" w:type="dxa"/>
            </w:tcMar>
            <w:vAlign w:val="bottom"/>
          </w:tcPr>
          <w:p w14:paraId="7C27448C" w14:textId="77777777" w:rsidR="00D041F4" w:rsidRPr="00F959D0" w:rsidRDefault="00D041F4" w:rsidP="00D707D6">
            <w:pPr>
              <w:spacing w:line="240" w:lineRule="exact"/>
              <w:jc w:val="right"/>
              <w:rPr>
                <w:rFonts w:ascii="Arial" w:hAnsi="Arial" w:cs="Arial"/>
                <w:sz w:val="17"/>
                <w:szCs w:val="17"/>
              </w:rPr>
            </w:pPr>
            <w:r w:rsidRPr="00F959D0">
              <w:rPr>
                <w:rFonts w:ascii="Arial" w:hAnsi="Arial" w:cs="Arial"/>
                <w:sz w:val="17"/>
                <w:szCs w:val="17"/>
              </w:rPr>
              <w:t xml:space="preserve">  -   </w:t>
            </w:r>
          </w:p>
        </w:tc>
        <w:tc>
          <w:tcPr>
            <w:tcW w:w="1461" w:type="dxa"/>
            <w:tcBorders>
              <w:top w:val="nil"/>
              <w:left w:val="nil"/>
              <w:bottom w:val="nil"/>
              <w:right w:val="nil"/>
            </w:tcBorders>
            <w:tcMar>
              <w:top w:w="0" w:type="dxa"/>
              <w:left w:w="120" w:type="dxa"/>
              <w:bottom w:w="0" w:type="dxa"/>
              <w:right w:w="120" w:type="dxa"/>
            </w:tcMar>
            <w:vAlign w:val="bottom"/>
          </w:tcPr>
          <w:p w14:paraId="097DB163" w14:textId="77777777" w:rsidR="00D041F4" w:rsidRPr="00F959D0" w:rsidRDefault="00D041F4" w:rsidP="00D707D6">
            <w:pPr>
              <w:spacing w:line="240" w:lineRule="exact"/>
              <w:jc w:val="right"/>
              <w:rPr>
                <w:rFonts w:ascii="Arial" w:hAnsi="Arial" w:cs="Arial"/>
                <w:sz w:val="17"/>
                <w:szCs w:val="17"/>
              </w:rPr>
            </w:pPr>
            <w:r w:rsidRPr="00F959D0">
              <w:rPr>
                <w:rFonts w:ascii="Arial" w:hAnsi="Arial" w:cs="Arial"/>
                <w:sz w:val="17"/>
                <w:szCs w:val="17"/>
              </w:rPr>
              <w:t xml:space="preserve">  -   </w:t>
            </w:r>
          </w:p>
        </w:tc>
        <w:tc>
          <w:tcPr>
            <w:tcW w:w="1461" w:type="dxa"/>
            <w:tcBorders>
              <w:top w:val="nil"/>
              <w:left w:val="nil"/>
              <w:bottom w:val="nil"/>
            </w:tcBorders>
            <w:tcMar>
              <w:top w:w="0" w:type="dxa"/>
              <w:left w:w="120" w:type="dxa"/>
              <w:bottom w:w="0" w:type="dxa"/>
              <w:right w:w="120" w:type="dxa"/>
            </w:tcMar>
            <w:vAlign w:val="bottom"/>
          </w:tcPr>
          <w:p w14:paraId="360AE6A0" w14:textId="77777777" w:rsidR="00D041F4" w:rsidRPr="00F959D0" w:rsidRDefault="00D041F4" w:rsidP="00D707D6">
            <w:pPr>
              <w:spacing w:line="240" w:lineRule="exact"/>
              <w:jc w:val="right"/>
              <w:rPr>
                <w:rFonts w:ascii="Arial" w:hAnsi="Arial" w:cs="Arial"/>
                <w:sz w:val="17"/>
                <w:szCs w:val="17"/>
              </w:rPr>
            </w:pPr>
            <w:r w:rsidRPr="00F959D0">
              <w:rPr>
                <w:rFonts w:ascii="Arial" w:hAnsi="Arial" w:cs="Arial"/>
                <w:sz w:val="17"/>
                <w:szCs w:val="17"/>
              </w:rPr>
              <w:t xml:space="preserve"> 1.248.881 </w:t>
            </w:r>
          </w:p>
        </w:tc>
      </w:tr>
      <w:tr w:rsidR="00D041F4" w:rsidRPr="00F97A44" w14:paraId="47BA8B11" w14:textId="77777777" w:rsidTr="00D707D6">
        <w:trPr>
          <w:trHeight w:val="70"/>
        </w:trPr>
        <w:tc>
          <w:tcPr>
            <w:tcW w:w="3625" w:type="dxa"/>
            <w:tcMar>
              <w:top w:w="0" w:type="dxa"/>
              <w:left w:w="120" w:type="dxa"/>
              <w:bottom w:w="0" w:type="dxa"/>
              <w:right w:w="120" w:type="dxa"/>
            </w:tcMar>
            <w:vAlign w:val="bottom"/>
          </w:tcPr>
          <w:p w14:paraId="0360B0FC" w14:textId="77777777" w:rsidR="00D041F4" w:rsidRPr="00F97A44" w:rsidRDefault="00D041F4" w:rsidP="00D707D6">
            <w:pPr>
              <w:tabs>
                <w:tab w:val="right" w:pos="1202"/>
              </w:tabs>
              <w:suppressAutoHyphens/>
              <w:autoSpaceDN w:val="0"/>
              <w:spacing w:line="240" w:lineRule="exact"/>
              <w:outlineLvl w:val="0"/>
              <w:rPr>
                <w:rFonts w:ascii="Arial" w:eastAsia="Calibri" w:hAnsi="Arial" w:cs="Arial"/>
                <w:color w:val="000000" w:themeColor="text1"/>
                <w:spacing w:val="-2"/>
                <w:sz w:val="17"/>
                <w:szCs w:val="17"/>
              </w:rPr>
            </w:pPr>
            <w:r w:rsidRPr="00F97A44">
              <w:rPr>
                <w:rFonts w:ascii="Arial" w:eastAsia="Calibri" w:hAnsi="Arial" w:cs="Arial"/>
                <w:color w:val="000000" w:themeColor="text1"/>
                <w:spacing w:val="-2"/>
                <w:sz w:val="17"/>
                <w:szCs w:val="17"/>
              </w:rPr>
              <w:t>Krediti ostalim korisnicima</w:t>
            </w:r>
          </w:p>
        </w:tc>
        <w:tc>
          <w:tcPr>
            <w:tcW w:w="1461" w:type="dxa"/>
            <w:tcBorders>
              <w:top w:val="nil"/>
              <w:left w:val="nil"/>
              <w:bottom w:val="nil"/>
              <w:right w:val="nil"/>
            </w:tcBorders>
            <w:tcMar>
              <w:top w:w="0" w:type="dxa"/>
              <w:left w:w="120" w:type="dxa"/>
              <w:bottom w:w="0" w:type="dxa"/>
              <w:right w:w="120" w:type="dxa"/>
            </w:tcMar>
            <w:vAlign w:val="bottom"/>
          </w:tcPr>
          <w:p w14:paraId="2F725F9B" w14:textId="77777777" w:rsidR="00D041F4" w:rsidRPr="00F959D0" w:rsidRDefault="00D041F4" w:rsidP="00D707D6">
            <w:pPr>
              <w:spacing w:line="240" w:lineRule="exact"/>
              <w:jc w:val="right"/>
              <w:rPr>
                <w:rFonts w:ascii="Arial" w:hAnsi="Arial" w:cs="Arial"/>
                <w:sz w:val="17"/>
                <w:szCs w:val="17"/>
              </w:rPr>
            </w:pPr>
            <w:r w:rsidRPr="00F959D0">
              <w:rPr>
                <w:rFonts w:ascii="Arial" w:hAnsi="Arial" w:cs="Arial"/>
                <w:sz w:val="17"/>
                <w:szCs w:val="17"/>
              </w:rPr>
              <w:t xml:space="preserve"> 2.302.547 </w:t>
            </w:r>
          </w:p>
        </w:tc>
        <w:tc>
          <w:tcPr>
            <w:tcW w:w="1461" w:type="dxa"/>
            <w:tcBorders>
              <w:top w:val="nil"/>
              <w:left w:val="nil"/>
              <w:bottom w:val="nil"/>
              <w:right w:val="nil"/>
            </w:tcBorders>
            <w:tcMar>
              <w:top w:w="0" w:type="dxa"/>
              <w:left w:w="120" w:type="dxa"/>
              <w:bottom w:w="0" w:type="dxa"/>
              <w:right w:w="120" w:type="dxa"/>
            </w:tcMar>
            <w:vAlign w:val="bottom"/>
          </w:tcPr>
          <w:p w14:paraId="51CA8FA7" w14:textId="77777777" w:rsidR="00D041F4" w:rsidRPr="00F959D0" w:rsidRDefault="00D041F4" w:rsidP="00D707D6">
            <w:pPr>
              <w:spacing w:line="240" w:lineRule="exact"/>
              <w:jc w:val="right"/>
              <w:rPr>
                <w:rFonts w:ascii="Arial" w:hAnsi="Arial" w:cs="Arial"/>
                <w:sz w:val="17"/>
                <w:szCs w:val="17"/>
              </w:rPr>
            </w:pPr>
            <w:r w:rsidRPr="00F959D0">
              <w:rPr>
                <w:rFonts w:ascii="Arial" w:hAnsi="Arial" w:cs="Arial"/>
                <w:sz w:val="17"/>
                <w:szCs w:val="17"/>
              </w:rPr>
              <w:t xml:space="preserve"> 26.458 </w:t>
            </w:r>
          </w:p>
        </w:tc>
        <w:tc>
          <w:tcPr>
            <w:tcW w:w="1461" w:type="dxa"/>
            <w:tcBorders>
              <w:top w:val="nil"/>
              <w:left w:val="nil"/>
              <w:bottom w:val="nil"/>
              <w:right w:val="nil"/>
            </w:tcBorders>
            <w:tcMar>
              <w:top w:w="0" w:type="dxa"/>
              <w:left w:w="120" w:type="dxa"/>
              <w:bottom w:w="0" w:type="dxa"/>
              <w:right w:w="120" w:type="dxa"/>
            </w:tcMar>
            <w:vAlign w:val="bottom"/>
          </w:tcPr>
          <w:p w14:paraId="62F5EB68" w14:textId="77777777" w:rsidR="00D041F4" w:rsidRPr="00F959D0" w:rsidRDefault="00D041F4" w:rsidP="00D707D6">
            <w:pPr>
              <w:spacing w:line="240" w:lineRule="exact"/>
              <w:jc w:val="right"/>
              <w:rPr>
                <w:rFonts w:ascii="Arial" w:hAnsi="Arial" w:cs="Arial"/>
                <w:sz w:val="17"/>
                <w:szCs w:val="17"/>
              </w:rPr>
            </w:pPr>
            <w:r w:rsidRPr="00F959D0">
              <w:rPr>
                <w:rFonts w:ascii="Arial" w:hAnsi="Arial" w:cs="Arial"/>
                <w:sz w:val="17"/>
                <w:szCs w:val="17"/>
              </w:rPr>
              <w:t xml:space="preserve"> 22.191 </w:t>
            </w:r>
          </w:p>
        </w:tc>
        <w:tc>
          <w:tcPr>
            <w:tcW w:w="1461" w:type="dxa"/>
            <w:tcBorders>
              <w:top w:val="nil"/>
              <w:left w:val="nil"/>
              <w:bottom w:val="nil"/>
            </w:tcBorders>
            <w:tcMar>
              <w:top w:w="0" w:type="dxa"/>
              <w:left w:w="120" w:type="dxa"/>
              <w:bottom w:w="0" w:type="dxa"/>
              <w:right w:w="120" w:type="dxa"/>
            </w:tcMar>
            <w:vAlign w:val="bottom"/>
          </w:tcPr>
          <w:p w14:paraId="0F54EAA6" w14:textId="77777777" w:rsidR="00D041F4" w:rsidRPr="00F959D0" w:rsidRDefault="00D041F4" w:rsidP="00D707D6">
            <w:pPr>
              <w:spacing w:line="240" w:lineRule="exact"/>
              <w:jc w:val="right"/>
              <w:rPr>
                <w:rFonts w:ascii="Arial" w:hAnsi="Arial" w:cs="Arial"/>
                <w:sz w:val="17"/>
                <w:szCs w:val="17"/>
              </w:rPr>
            </w:pPr>
            <w:r w:rsidRPr="00F959D0">
              <w:rPr>
                <w:rFonts w:ascii="Arial" w:hAnsi="Arial" w:cs="Arial"/>
                <w:sz w:val="17"/>
                <w:szCs w:val="17"/>
              </w:rPr>
              <w:t xml:space="preserve"> 2.351.196 </w:t>
            </w:r>
          </w:p>
        </w:tc>
      </w:tr>
      <w:tr w:rsidR="00D041F4" w:rsidRPr="00F97A44" w14:paraId="25581C87" w14:textId="77777777" w:rsidTr="00D707D6">
        <w:trPr>
          <w:trHeight w:val="224"/>
        </w:trPr>
        <w:tc>
          <w:tcPr>
            <w:tcW w:w="3625" w:type="dxa"/>
            <w:tcMar>
              <w:top w:w="0" w:type="dxa"/>
              <w:left w:w="120" w:type="dxa"/>
              <w:bottom w:w="0" w:type="dxa"/>
              <w:right w:w="120" w:type="dxa"/>
            </w:tcMar>
            <w:vAlign w:val="bottom"/>
          </w:tcPr>
          <w:p w14:paraId="5A75DDD2" w14:textId="77777777" w:rsidR="00D041F4" w:rsidRPr="00F97A44" w:rsidRDefault="00D041F4" w:rsidP="00D707D6">
            <w:pPr>
              <w:tabs>
                <w:tab w:val="right" w:pos="1202"/>
              </w:tabs>
              <w:suppressAutoHyphens/>
              <w:autoSpaceDN w:val="0"/>
              <w:spacing w:line="240" w:lineRule="exact"/>
              <w:outlineLvl w:val="0"/>
              <w:rPr>
                <w:rFonts w:ascii="Arial" w:eastAsia="Calibri" w:hAnsi="Arial" w:cs="Arial"/>
                <w:color w:val="000000" w:themeColor="text1"/>
                <w:spacing w:val="-2"/>
                <w:sz w:val="17"/>
                <w:szCs w:val="17"/>
              </w:rPr>
            </w:pPr>
            <w:r w:rsidRPr="00F97A44">
              <w:rPr>
                <w:rFonts w:ascii="Arial" w:eastAsia="Calibri" w:hAnsi="Arial" w:cs="Arial"/>
                <w:color w:val="000000" w:themeColor="text1"/>
                <w:sz w:val="17"/>
                <w:szCs w:val="17"/>
              </w:rPr>
              <w:t>Financijska imovina po fer vrijednosti kroz dobit ili gubitak</w:t>
            </w:r>
          </w:p>
        </w:tc>
        <w:tc>
          <w:tcPr>
            <w:tcW w:w="1461" w:type="dxa"/>
            <w:tcBorders>
              <w:top w:val="nil"/>
              <w:left w:val="nil"/>
              <w:bottom w:val="nil"/>
              <w:right w:val="nil"/>
            </w:tcBorders>
            <w:tcMar>
              <w:top w:w="0" w:type="dxa"/>
              <w:left w:w="120" w:type="dxa"/>
              <w:bottom w:w="0" w:type="dxa"/>
              <w:right w:w="120" w:type="dxa"/>
            </w:tcMar>
            <w:vAlign w:val="bottom"/>
          </w:tcPr>
          <w:p w14:paraId="76CBA88A" w14:textId="77777777" w:rsidR="00D041F4" w:rsidRPr="00F959D0" w:rsidRDefault="00D041F4" w:rsidP="00D707D6">
            <w:pPr>
              <w:spacing w:line="240" w:lineRule="exact"/>
              <w:jc w:val="right"/>
              <w:rPr>
                <w:rFonts w:ascii="Arial" w:hAnsi="Arial" w:cs="Arial"/>
                <w:sz w:val="17"/>
                <w:szCs w:val="17"/>
              </w:rPr>
            </w:pPr>
            <w:r w:rsidRPr="00F959D0">
              <w:rPr>
                <w:rFonts w:ascii="Arial" w:hAnsi="Arial" w:cs="Arial"/>
                <w:sz w:val="17"/>
                <w:szCs w:val="17"/>
              </w:rPr>
              <w:t xml:space="preserve"> 48.034 </w:t>
            </w:r>
          </w:p>
        </w:tc>
        <w:tc>
          <w:tcPr>
            <w:tcW w:w="1461" w:type="dxa"/>
            <w:tcBorders>
              <w:top w:val="nil"/>
              <w:left w:val="nil"/>
              <w:bottom w:val="nil"/>
              <w:right w:val="nil"/>
            </w:tcBorders>
            <w:tcMar>
              <w:top w:w="0" w:type="dxa"/>
              <w:left w:w="120" w:type="dxa"/>
              <w:bottom w:w="0" w:type="dxa"/>
              <w:right w:w="120" w:type="dxa"/>
            </w:tcMar>
            <w:vAlign w:val="bottom"/>
          </w:tcPr>
          <w:p w14:paraId="7E0D9B82" w14:textId="77777777" w:rsidR="00D041F4" w:rsidRPr="00F959D0" w:rsidRDefault="00D041F4" w:rsidP="00D707D6">
            <w:pPr>
              <w:spacing w:line="240" w:lineRule="exact"/>
              <w:jc w:val="right"/>
              <w:rPr>
                <w:rFonts w:ascii="Arial" w:hAnsi="Arial" w:cs="Arial"/>
                <w:sz w:val="17"/>
                <w:szCs w:val="17"/>
              </w:rPr>
            </w:pPr>
            <w:r w:rsidRPr="00F959D0">
              <w:rPr>
                <w:rFonts w:ascii="Arial" w:hAnsi="Arial" w:cs="Arial"/>
                <w:sz w:val="17"/>
                <w:szCs w:val="17"/>
              </w:rPr>
              <w:t xml:space="preserve"> 4.888 </w:t>
            </w:r>
          </w:p>
        </w:tc>
        <w:tc>
          <w:tcPr>
            <w:tcW w:w="1461" w:type="dxa"/>
            <w:tcBorders>
              <w:top w:val="nil"/>
              <w:left w:val="nil"/>
              <w:bottom w:val="nil"/>
              <w:right w:val="nil"/>
            </w:tcBorders>
            <w:tcMar>
              <w:top w:w="0" w:type="dxa"/>
              <w:left w:w="120" w:type="dxa"/>
              <w:bottom w:w="0" w:type="dxa"/>
              <w:right w:w="120" w:type="dxa"/>
            </w:tcMar>
            <w:vAlign w:val="bottom"/>
          </w:tcPr>
          <w:p w14:paraId="6B13C149" w14:textId="77777777" w:rsidR="00D041F4" w:rsidRPr="00F959D0" w:rsidRDefault="00D041F4" w:rsidP="00D707D6">
            <w:pPr>
              <w:spacing w:line="240" w:lineRule="exact"/>
              <w:jc w:val="right"/>
              <w:rPr>
                <w:rFonts w:ascii="Arial" w:hAnsi="Arial" w:cs="Arial"/>
                <w:sz w:val="17"/>
                <w:szCs w:val="17"/>
              </w:rPr>
            </w:pPr>
            <w:r w:rsidRPr="00F959D0">
              <w:rPr>
                <w:rFonts w:ascii="Arial" w:hAnsi="Arial" w:cs="Arial"/>
                <w:sz w:val="17"/>
                <w:szCs w:val="17"/>
              </w:rPr>
              <w:t xml:space="preserve">  -   </w:t>
            </w:r>
          </w:p>
        </w:tc>
        <w:tc>
          <w:tcPr>
            <w:tcW w:w="1461" w:type="dxa"/>
            <w:tcBorders>
              <w:top w:val="nil"/>
              <w:left w:val="nil"/>
              <w:bottom w:val="nil"/>
            </w:tcBorders>
            <w:tcMar>
              <w:top w:w="0" w:type="dxa"/>
              <w:left w:w="120" w:type="dxa"/>
              <w:bottom w:w="0" w:type="dxa"/>
              <w:right w:w="120" w:type="dxa"/>
            </w:tcMar>
            <w:vAlign w:val="bottom"/>
          </w:tcPr>
          <w:p w14:paraId="6FEAFF7C" w14:textId="77777777" w:rsidR="00D041F4" w:rsidRPr="00F959D0" w:rsidRDefault="00D041F4" w:rsidP="00D707D6">
            <w:pPr>
              <w:spacing w:line="240" w:lineRule="exact"/>
              <w:jc w:val="right"/>
              <w:rPr>
                <w:rFonts w:ascii="Arial" w:hAnsi="Arial" w:cs="Arial"/>
                <w:sz w:val="17"/>
                <w:szCs w:val="17"/>
              </w:rPr>
            </w:pPr>
            <w:r w:rsidRPr="00F959D0">
              <w:rPr>
                <w:rFonts w:ascii="Arial" w:hAnsi="Arial" w:cs="Arial"/>
                <w:sz w:val="17"/>
                <w:szCs w:val="17"/>
              </w:rPr>
              <w:t xml:space="preserve"> 52.922 </w:t>
            </w:r>
          </w:p>
        </w:tc>
      </w:tr>
      <w:tr w:rsidR="00D041F4" w:rsidRPr="00F97A44" w14:paraId="1CCD1041" w14:textId="77777777" w:rsidTr="00D707D6">
        <w:trPr>
          <w:trHeight w:val="240"/>
        </w:trPr>
        <w:tc>
          <w:tcPr>
            <w:tcW w:w="3625" w:type="dxa"/>
            <w:tcMar>
              <w:top w:w="0" w:type="dxa"/>
              <w:left w:w="120" w:type="dxa"/>
              <w:bottom w:w="0" w:type="dxa"/>
              <w:right w:w="120" w:type="dxa"/>
            </w:tcMar>
            <w:vAlign w:val="bottom"/>
          </w:tcPr>
          <w:p w14:paraId="404B30D9" w14:textId="77777777" w:rsidR="00D041F4" w:rsidRPr="00F97A44" w:rsidRDefault="00D041F4" w:rsidP="00D707D6">
            <w:pPr>
              <w:tabs>
                <w:tab w:val="right" w:pos="1202"/>
              </w:tabs>
              <w:suppressAutoHyphens/>
              <w:autoSpaceDN w:val="0"/>
              <w:spacing w:line="240" w:lineRule="exact"/>
              <w:outlineLvl w:val="0"/>
              <w:rPr>
                <w:rFonts w:ascii="Arial" w:eastAsia="Calibri" w:hAnsi="Arial" w:cs="Arial"/>
                <w:color w:val="000000" w:themeColor="text1"/>
                <w:sz w:val="17"/>
                <w:szCs w:val="17"/>
              </w:rPr>
            </w:pPr>
            <w:r w:rsidRPr="00F97A44">
              <w:rPr>
                <w:rFonts w:ascii="Arial" w:eastAsia="Calibri" w:hAnsi="Arial" w:cs="Arial"/>
                <w:color w:val="000000" w:themeColor="text1"/>
                <w:sz w:val="17"/>
                <w:szCs w:val="17"/>
              </w:rPr>
              <w:t>Financijska imovina po fer vrijednosti kroz ostalu sveobuhvatnu dobit</w:t>
            </w:r>
          </w:p>
        </w:tc>
        <w:tc>
          <w:tcPr>
            <w:tcW w:w="1461" w:type="dxa"/>
            <w:tcBorders>
              <w:top w:val="nil"/>
              <w:left w:val="nil"/>
              <w:bottom w:val="nil"/>
              <w:right w:val="nil"/>
            </w:tcBorders>
            <w:tcMar>
              <w:top w:w="0" w:type="dxa"/>
              <w:left w:w="120" w:type="dxa"/>
              <w:bottom w:w="0" w:type="dxa"/>
              <w:right w:w="120" w:type="dxa"/>
            </w:tcMar>
            <w:vAlign w:val="bottom"/>
          </w:tcPr>
          <w:p w14:paraId="1F9DCB74" w14:textId="77777777" w:rsidR="00D041F4" w:rsidRPr="00F959D0" w:rsidRDefault="00D041F4" w:rsidP="00D707D6">
            <w:pPr>
              <w:spacing w:line="240" w:lineRule="exact"/>
              <w:jc w:val="right"/>
              <w:rPr>
                <w:rFonts w:ascii="Arial" w:hAnsi="Arial" w:cs="Arial"/>
                <w:sz w:val="17"/>
                <w:szCs w:val="17"/>
              </w:rPr>
            </w:pPr>
            <w:r w:rsidRPr="00F959D0">
              <w:rPr>
                <w:rFonts w:ascii="Arial" w:hAnsi="Arial" w:cs="Arial"/>
                <w:sz w:val="17"/>
                <w:szCs w:val="17"/>
              </w:rPr>
              <w:t xml:space="preserve"> 235.199 </w:t>
            </w:r>
          </w:p>
        </w:tc>
        <w:tc>
          <w:tcPr>
            <w:tcW w:w="1461" w:type="dxa"/>
            <w:tcBorders>
              <w:top w:val="nil"/>
              <w:left w:val="nil"/>
              <w:bottom w:val="nil"/>
              <w:right w:val="nil"/>
            </w:tcBorders>
            <w:tcMar>
              <w:top w:w="0" w:type="dxa"/>
              <w:left w:w="120" w:type="dxa"/>
              <w:bottom w:w="0" w:type="dxa"/>
              <w:right w:w="120" w:type="dxa"/>
            </w:tcMar>
            <w:vAlign w:val="bottom"/>
          </w:tcPr>
          <w:p w14:paraId="0392D3B9" w14:textId="77777777" w:rsidR="00D041F4" w:rsidRPr="00F959D0" w:rsidRDefault="00D041F4" w:rsidP="00D707D6">
            <w:pPr>
              <w:spacing w:line="240" w:lineRule="exact"/>
              <w:jc w:val="right"/>
              <w:rPr>
                <w:rFonts w:ascii="Arial" w:hAnsi="Arial" w:cs="Arial"/>
                <w:sz w:val="17"/>
                <w:szCs w:val="17"/>
              </w:rPr>
            </w:pPr>
            <w:r w:rsidRPr="00F959D0">
              <w:rPr>
                <w:rFonts w:ascii="Arial" w:hAnsi="Arial" w:cs="Arial"/>
                <w:sz w:val="17"/>
                <w:szCs w:val="17"/>
              </w:rPr>
              <w:t xml:space="preserve">  -   </w:t>
            </w:r>
          </w:p>
        </w:tc>
        <w:tc>
          <w:tcPr>
            <w:tcW w:w="1461" w:type="dxa"/>
            <w:tcBorders>
              <w:top w:val="nil"/>
              <w:left w:val="nil"/>
              <w:bottom w:val="nil"/>
              <w:right w:val="nil"/>
            </w:tcBorders>
            <w:tcMar>
              <w:top w:w="0" w:type="dxa"/>
              <w:left w:w="120" w:type="dxa"/>
              <w:bottom w:w="0" w:type="dxa"/>
              <w:right w:w="120" w:type="dxa"/>
            </w:tcMar>
            <w:vAlign w:val="bottom"/>
          </w:tcPr>
          <w:p w14:paraId="32D104A0" w14:textId="77777777" w:rsidR="00D041F4" w:rsidRPr="00F959D0" w:rsidRDefault="00D041F4" w:rsidP="00D707D6">
            <w:pPr>
              <w:spacing w:line="240" w:lineRule="exact"/>
              <w:jc w:val="right"/>
              <w:rPr>
                <w:rFonts w:ascii="Arial" w:hAnsi="Arial" w:cs="Arial"/>
                <w:sz w:val="17"/>
                <w:szCs w:val="17"/>
              </w:rPr>
            </w:pPr>
            <w:r w:rsidRPr="00F959D0">
              <w:rPr>
                <w:rFonts w:ascii="Arial" w:hAnsi="Arial" w:cs="Arial"/>
                <w:sz w:val="17"/>
                <w:szCs w:val="17"/>
              </w:rPr>
              <w:t xml:space="preserve">  -   </w:t>
            </w:r>
          </w:p>
        </w:tc>
        <w:tc>
          <w:tcPr>
            <w:tcW w:w="1461" w:type="dxa"/>
            <w:tcBorders>
              <w:top w:val="nil"/>
              <w:left w:val="nil"/>
              <w:bottom w:val="nil"/>
            </w:tcBorders>
            <w:tcMar>
              <w:top w:w="0" w:type="dxa"/>
              <w:left w:w="120" w:type="dxa"/>
              <w:bottom w:w="0" w:type="dxa"/>
              <w:right w:w="120" w:type="dxa"/>
            </w:tcMar>
            <w:vAlign w:val="bottom"/>
          </w:tcPr>
          <w:p w14:paraId="17AB2C3E" w14:textId="77777777" w:rsidR="00D041F4" w:rsidRPr="00F959D0" w:rsidRDefault="00D041F4" w:rsidP="00D707D6">
            <w:pPr>
              <w:spacing w:line="240" w:lineRule="exact"/>
              <w:jc w:val="right"/>
              <w:rPr>
                <w:rFonts w:ascii="Arial" w:hAnsi="Arial" w:cs="Arial"/>
                <w:sz w:val="17"/>
                <w:szCs w:val="17"/>
              </w:rPr>
            </w:pPr>
            <w:r w:rsidRPr="00F959D0">
              <w:rPr>
                <w:rFonts w:ascii="Arial" w:hAnsi="Arial" w:cs="Arial"/>
                <w:sz w:val="17"/>
                <w:szCs w:val="17"/>
              </w:rPr>
              <w:t xml:space="preserve"> 235.199 </w:t>
            </w:r>
          </w:p>
        </w:tc>
      </w:tr>
      <w:tr w:rsidR="00D041F4" w:rsidRPr="00F97A44" w14:paraId="727E3C6C" w14:textId="77777777" w:rsidTr="00D707D6">
        <w:trPr>
          <w:trHeight w:val="466"/>
        </w:trPr>
        <w:tc>
          <w:tcPr>
            <w:tcW w:w="3625" w:type="dxa"/>
            <w:tcMar>
              <w:top w:w="0" w:type="dxa"/>
              <w:left w:w="120" w:type="dxa"/>
              <w:bottom w:w="0" w:type="dxa"/>
              <w:right w:w="120" w:type="dxa"/>
            </w:tcMar>
            <w:vAlign w:val="bottom"/>
          </w:tcPr>
          <w:p w14:paraId="01F55D44" w14:textId="77777777" w:rsidR="00D041F4" w:rsidRPr="00F97A44" w:rsidRDefault="00D041F4" w:rsidP="00D707D6">
            <w:pPr>
              <w:tabs>
                <w:tab w:val="right" w:pos="1202"/>
              </w:tabs>
              <w:suppressAutoHyphens/>
              <w:autoSpaceDN w:val="0"/>
              <w:spacing w:line="240" w:lineRule="exact"/>
              <w:outlineLvl w:val="0"/>
              <w:rPr>
                <w:rFonts w:ascii="Arial" w:eastAsia="Calibri" w:hAnsi="Arial" w:cs="Arial"/>
                <w:color w:val="000000" w:themeColor="text1"/>
                <w:sz w:val="17"/>
                <w:szCs w:val="17"/>
              </w:rPr>
            </w:pPr>
            <w:r w:rsidRPr="00F97A44">
              <w:rPr>
                <w:rFonts w:ascii="Arial" w:eastAsia="Calibri" w:hAnsi="Arial" w:cs="Arial"/>
                <w:color w:val="000000" w:themeColor="text1"/>
                <w:spacing w:val="-2"/>
                <w:sz w:val="17"/>
                <w:szCs w:val="17"/>
              </w:rPr>
              <w:t>Nekretnine, postrojenja i oprema i nematerijalna imovina</w:t>
            </w:r>
          </w:p>
        </w:tc>
        <w:tc>
          <w:tcPr>
            <w:tcW w:w="1461" w:type="dxa"/>
            <w:tcBorders>
              <w:top w:val="nil"/>
              <w:left w:val="nil"/>
              <w:bottom w:val="nil"/>
              <w:right w:val="nil"/>
            </w:tcBorders>
            <w:tcMar>
              <w:top w:w="0" w:type="dxa"/>
              <w:left w:w="120" w:type="dxa"/>
              <w:bottom w:w="0" w:type="dxa"/>
              <w:right w:w="120" w:type="dxa"/>
            </w:tcMar>
            <w:vAlign w:val="bottom"/>
          </w:tcPr>
          <w:p w14:paraId="3D07B067" w14:textId="77777777" w:rsidR="00D041F4" w:rsidRPr="00F959D0" w:rsidRDefault="00D041F4" w:rsidP="00D707D6">
            <w:pPr>
              <w:spacing w:line="240" w:lineRule="exact"/>
              <w:jc w:val="right"/>
              <w:rPr>
                <w:rFonts w:ascii="Arial" w:hAnsi="Arial" w:cs="Arial"/>
                <w:sz w:val="17"/>
                <w:szCs w:val="17"/>
              </w:rPr>
            </w:pPr>
            <w:r w:rsidRPr="00F959D0">
              <w:rPr>
                <w:rFonts w:ascii="Arial" w:hAnsi="Arial" w:cs="Arial"/>
                <w:sz w:val="17"/>
                <w:szCs w:val="17"/>
              </w:rPr>
              <w:t xml:space="preserve"> 4.868 </w:t>
            </w:r>
          </w:p>
        </w:tc>
        <w:tc>
          <w:tcPr>
            <w:tcW w:w="1461" w:type="dxa"/>
            <w:tcBorders>
              <w:top w:val="nil"/>
              <w:left w:val="nil"/>
              <w:bottom w:val="nil"/>
              <w:right w:val="nil"/>
            </w:tcBorders>
            <w:tcMar>
              <w:top w:w="0" w:type="dxa"/>
              <w:left w:w="120" w:type="dxa"/>
              <w:bottom w:w="0" w:type="dxa"/>
              <w:right w:w="120" w:type="dxa"/>
            </w:tcMar>
            <w:vAlign w:val="bottom"/>
          </w:tcPr>
          <w:p w14:paraId="6B0729D2" w14:textId="77777777" w:rsidR="00D041F4" w:rsidRPr="00F959D0" w:rsidRDefault="00D041F4" w:rsidP="00D707D6">
            <w:pPr>
              <w:spacing w:line="240" w:lineRule="exact"/>
              <w:jc w:val="right"/>
              <w:rPr>
                <w:rFonts w:ascii="Arial" w:hAnsi="Arial" w:cs="Arial"/>
                <w:sz w:val="17"/>
                <w:szCs w:val="17"/>
              </w:rPr>
            </w:pPr>
            <w:r w:rsidRPr="00F959D0">
              <w:rPr>
                <w:rFonts w:ascii="Arial" w:hAnsi="Arial" w:cs="Arial"/>
                <w:sz w:val="17"/>
                <w:szCs w:val="17"/>
              </w:rPr>
              <w:t xml:space="preserve">  -   </w:t>
            </w:r>
          </w:p>
        </w:tc>
        <w:tc>
          <w:tcPr>
            <w:tcW w:w="1461" w:type="dxa"/>
            <w:tcBorders>
              <w:top w:val="nil"/>
              <w:left w:val="nil"/>
              <w:bottom w:val="nil"/>
              <w:right w:val="nil"/>
            </w:tcBorders>
            <w:tcMar>
              <w:top w:w="0" w:type="dxa"/>
              <w:left w:w="120" w:type="dxa"/>
              <w:bottom w:w="0" w:type="dxa"/>
              <w:right w:w="120" w:type="dxa"/>
            </w:tcMar>
            <w:vAlign w:val="bottom"/>
          </w:tcPr>
          <w:p w14:paraId="0CDC5C4C" w14:textId="77777777" w:rsidR="00D041F4" w:rsidRPr="00F959D0" w:rsidRDefault="00D041F4" w:rsidP="00D707D6">
            <w:pPr>
              <w:spacing w:line="240" w:lineRule="exact"/>
              <w:jc w:val="right"/>
              <w:rPr>
                <w:rFonts w:ascii="Arial" w:hAnsi="Arial" w:cs="Arial"/>
                <w:sz w:val="17"/>
                <w:szCs w:val="17"/>
              </w:rPr>
            </w:pPr>
            <w:r w:rsidRPr="00F959D0">
              <w:rPr>
                <w:rFonts w:ascii="Arial" w:hAnsi="Arial" w:cs="Arial"/>
                <w:sz w:val="17"/>
                <w:szCs w:val="17"/>
              </w:rPr>
              <w:t xml:space="preserve">  -   </w:t>
            </w:r>
          </w:p>
        </w:tc>
        <w:tc>
          <w:tcPr>
            <w:tcW w:w="1461" w:type="dxa"/>
            <w:tcBorders>
              <w:top w:val="nil"/>
              <w:left w:val="nil"/>
              <w:bottom w:val="nil"/>
            </w:tcBorders>
            <w:tcMar>
              <w:top w:w="0" w:type="dxa"/>
              <w:left w:w="120" w:type="dxa"/>
              <w:bottom w:w="0" w:type="dxa"/>
              <w:right w:w="120" w:type="dxa"/>
            </w:tcMar>
            <w:vAlign w:val="bottom"/>
          </w:tcPr>
          <w:p w14:paraId="7CCD7E96" w14:textId="77777777" w:rsidR="00D041F4" w:rsidRPr="00F959D0" w:rsidRDefault="00D041F4" w:rsidP="00D707D6">
            <w:pPr>
              <w:spacing w:line="240" w:lineRule="exact"/>
              <w:jc w:val="right"/>
              <w:rPr>
                <w:rFonts w:ascii="Arial" w:hAnsi="Arial" w:cs="Arial"/>
                <w:sz w:val="17"/>
                <w:szCs w:val="17"/>
              </w:rPr>
            </w:pPr>
            <w:r w:rsidRPr="00F959D0">
              <w:rPr>
                <w:rFonts w:ascii="Arial" w:hAnsi="Arial" w:cs="Arial"/>
                <w:sz w:val="17"/>
                <w:szCs w:val="17"/>
              </w:rPr>
              <w:t xml:space="preserve"> 4.868 </w:t>
            </w:r>
          </w:p>
        </w:tc>
      </w:tr>
      <w:tr w:rsidR="00D041F4" w:rsidRPr="00F97A44" w14:paraId="164CE9D3" w14:textId="77777777" w:rsidTr="00D707D6">
        <w:trPr>
          <w:trHeight w:val="234"/>
        </w:trPr>
        <w:tc>
          <w:tcPr>
            <w:tcW w:w="3625" w:type="dxa"/>
            <w:tcMar>
              <w:top w:w="0" w:type="dxa"/>
              <w:left w:w="120" w:type="dxa"/>
              <w:bottom w:w="0" w:type="dxa"/>
              <w:right w:w="120" w:type="dxa"/>
            </w:tcMar>
            <w:vAlign w:val="bottom"/>
          </w:tcPr>
          <w:p w14:paraId="6FE0E5DB" w14:textId="77777777" w:rsidR="00D041F4" w:rsidRPr="00F97A44" w:rsidRDefault="00D041F4" w:rsidP="00D707D6">
            <w:pPr>
              <w:tabs>
                <w:tab w:val="right" w:pos="1202"/>
              </w:tabs>
              <w:suppressAutoHyphens/>
              <w:autoSpaceDN w:val="0"/>
              <w:spacing w:line="240" w:lineRule="exact"/>
              <w:outlineLvl w:val="0"/>
              <w:rPr>
                <w:rFonts w:ascii="Arial" w:eastAsia="Calibri" w:hAnsi="Arial" w:cs="Arial"/>
                <w:color w:val="000000" w:themeColor="text1"/>
                <w:sz w:val="17"/>
                <w:szCs w:val="17"/>
              </w:rPr>
            </w:pPr>
            <w:r w:rsidRPr="00F97A44">
              <w:rPr>
                <w:rFonts w:ascii="Arial" w:eastAsia="Calibri" w:hAnsi="Arial" w:cs="Arial"/>
                <w:color w:val="000000" w:themeColor="text1"/>
                <w:spacing w:val="-2"/>
                <w:sz w:val="17"/>
                <w:szCs w:val="17"/>
              </w:rPr>
              <w:t>Preuzeta imovina</w:t>
            </w:r>
          </w:p>
        </w:tc>
        <w:tc>
          <w:tcPr>
            <w:tcW w:w="1461" w:type="dxa"/>
            <w:tcBorders>
              <w:top w:val="nil"/>
              <w:left w:val="nil"/>
              <w:bottom w:val="nil"/>
              <w:right w:val="nil"/>
            </w:tcBorders>
            <w:tcMar>
              <w:top w:w="0" w:type="dxa"/>
              <w:left w:w="120" w:type="dxa"/>
              <w:bottom w:w="0" w:type="dxa"/>
              <w:right w:w="120" w:type="dxa"/>
            </w:tcMar>
            <w:vAlign w:val="bottom"/>
          </w:tcPr>
          <w:p w14:paraId="21DEEEAF" w14:textId="77777777" w:rsidR="00D041F4" w:rsidRPr="00F959D0" w:rsidRDefault="00D041F4" w:rsidP="00D707D6">
            <w:pPr>
              <w:spacing w:line="240" w:lineRule="exact"/>
              <w:jc w:val="right"/>
              <w:rPr>
                <w:rFonts w:ascii="Arial" w:hAnsi="Arial" w:cs="Arial"/>
                <w:sz w:val="17"/>
                <w:szCs w:val="17"/>
              </w:rPr>
            </w:pPr>
            <w:r w:rsidRPr="00F959D0">
              <w:rPr>
                <w:rFonts w:ascii="Arial" w:hAnsi="Arial" w:cs="Arial"/>
                <w:sz w:val="17"/>
                <w:szCs w:val="17"/>
              </w:rPr>
              <w:t xml:space="preserve"> 2.291 </w:t>
            </w:r>
          </w:p>
        </w:tc>
        <w:tc>
          <w:tcPr>
            <w:tcW w:w="1461" w:type="dxa"/>
            <w:tcBorders>
              <w:top w:val="nil"/>
              <w:left w:val="nil"/>
              <w:bottom w:val="nil"/>
              <w:right w:val="nil"/>
            </w:tcBorders>
            <w:tcMar>
              <w:top w:w="0" w:type="dxa"/>
              <w:left w:w="120" w:type="dxa"/>
              <w:bottom w:w="0" w:type="dxa"/>
              <w:right w:w="120" w:type="dxa"/>
            </w:tcMar>
            <w:vAlign w:val="bottom"/>
          </w:tcPr>
          <w:p w14:paraId="00776740" w14:textId="77777777" w:rsidR="00D041F4" w:rsidRPr="00F959D0" w:rsidRDefault="00D041F4" w:rsidP="00D707D6">
            <w:pPr>
              <w:spacing w:line="240" w:lineRule="exact"/>
              <w:jc w:val="right"/>
              <w:rPr>
                <w:rFonts w:ascii="Arial" w:hAnsi="Arial" w:cs="Arial"/>
                <w:sz w:val="17"/>
                <w:szCs w:val="17"/>
              </w:rPr>
            </w:pPr>
            <w:r w:rsidRPr="00F959D0">
              <w:rPr>
                <w:rFonts w:ascii="Arial" w:hAnsi="Arial" w:cs="Arial"/>
                <w:sz w:val="17"/>
                <w:szCs w:val="17"/>
              </w:rPr>
              <w:t xml:space="preserve">  -   </w:t>
            </w:r>
          </w:p>
        </w:tc>
        <w:tc>
          <w:tcPr>
            <w:tcW w:w="1461" w:type="dxa"/>
            <w:tcBorders>
              <w:top w:val="nil"/>
              <w:left w:val="nil"/>
              <w:bottom w:val="nil"/>
              <w:right w:val="nil"/>
            </w:tcBorders>
            <w:tcMar>
              <w:top w:w="0" w:type="dxa"/>
              <w:left w:w="120" w:type="dxa"/>
              <w:bottom w:w="0" w:type="dxa"/>
              <w:right w:w="120" w:type="dxa"/>
            </w:tcMar>
            <w:vAlign w:val="bottom"/>
          </w:tcPr>
          <w:p w14:paraId="7FC0B426" w14:textId="77777777" w:rsidR="00D041F4" w:rsidRPr="00F959D0" w:rsidRDefault="00D041F4" w:rsidP="00D707D6">
            <w:pPr>
              <w:spacing w:line="240" w:lineRule="exact"/>
              <w:jc w:val="right"/>
              <w:rPr>
                <w:rFonts w:ascii="Arial" w:hAnsi="Arial" w:cs="Arial"/>
                <w:sz w:val="17"/>
                <w:szCs w:val="17"/>
              </w:rPr>
            </w:pPr>
            <w:r w:rsidRPr="00F959D0">
              <w:rPr>
                <w:rFonts w:ascii="Arial" w:hAnsi="Arial" w:cs="Arial"/>
                <w:sz w:val="17"/>
                <w:szCs w:val="17"/>
              </w:rPr>
              <w:t xml:space="preserve">  -   </w:t>
            </w:r>
          </w:p>
        </w:tc>
        <w:tc>
          <w:tcPr>
            <w:tcW w:w="1461" w:type="dxa"/>
            <w:tcBorders>
              <w:top w:val="nil"/>
              <w:left w:val="nil"/>
              <w:bottom w:val="nil"/>
            </w:tcBorders>
            <w:tcMar>
              <w:top w:w="0" w:type="dxa"/>
              <w:left w:w="120" w:type="dxa"/>
              <w:bottom w:w="0" w:type="dxa"/>
              <w:right w:w="120" w:type="dxa"/>
            </w:tcMar>
            <w:vAlign w:val="bottom"/>
          </w:tcPr>
          <w:p w14:paraId="1ECC14F6" w14:textId="77777777" w:rsidR="00D041F4" w:rsidRPr="00F959D0" w:rsidRDefault="00D041F4" w:rsidP="00D707D6">
            <w:pPr>
              <w:spacing w:line="240" w:lineRule="exact"/>
              <w:jc w:val="right"/>
              <w:rPr>
                <w:rFonts w:ascii="Arial" w:hAnsi="Arial" w:cs="Arial"/>
                <w:sz w:val="17"/>
                <w:szCs w:val="17"/>
              </w:rPr>
            </w:pPr>
            <w:r w:rsidRPr="00F959D0">
              <w:rPr>
                <w:rFonts w:ascii="Arial" w:hAnsi="Arial" w:cs="Arial"/>
                <w:sz w:val="17"/>
                <w:szCs w:val="17"/>
              </w:rPr>
              <w:t xml:space="preserve"> 2.291 </w:t>
            </w:r>
          </w:p>
        </w:tc>
      </w:tr>
      <w:tr w:rsidR="00D041F4" w:rsidRPr="00F97A44" w14:paraId="19305C76" w14:textId="77777777" w:rsidTr="00D707D6">
        <w:trPr>
          <w:trHeight w:val="224"/>
        </w:trPr>
        <w:tc>
          <w:tcPr>
            <w:tcW w:w="3625" w:type="dxa"/>
            <w:tcMar>
              <w:top w:w="0" w:type="dxa"/>
              <w:left w:w="120" w:type="dxa"/>
              <w:bottom w:w="0" w:type="dxa"/>
              <w:right w:w="120" w:type="dxa"/>
            </w:tcMar>
            <w:vAlign w:val="bottom"/>
          </w:tcPr>
          <w:p w14:paraId="1FB30FEF" w14:textId="77777777" w:rsidR="00D041F4" w:rsidRPr="00F97A44" w:rsidRDefault="00D041F4" w:rsidP="00D707D6">
            <w:pPr>
              <w:tabs>
                <w:tab w:val="right" w:pos="1202"/>
              </w:tabs>
              <w:suppressAutoHyphens/>
              <w:autoSpaceDN w:val="0"/>
              <w:spacing w:line="240" w:lineRule="exact"/>
              <w:outlineLvl w:val="0"/>
              <w:rPr>
                <w:rFonts w:ascii="Arial" w:eastAsia="Calibri" w:hAnsi="Arial" w:cs="Arial"/>
                <w:color w:val="000000" w:themeColor="text1"/>
                <w:sz w:val="17"/>
                <w:szCs w:val="17"/>
              </w:rPr>
            </w:pPr>
            <w:r w:rsidRPr="00F97A44">
              <w:rPr>
                <w:rFonts w:ascii="Arial" w:eastAsia="Calibri" w:hAnsi="Arial" w:cs="Arial"/>
                <w:color w:val="000000" w:themeColor="text1"/>
                <w:spacing w:val="-2"/>
                <w:sz w:val="17"/>
                <w:szCs w:val="17"/>
              </w:rPr>
              <w:t>Ostala imovina</w:t>
            </w:r>
          </w:p>
        </w:tc>
        <w:tc>
          <w:tcPr>
            <w:tcW w:w="1461" w:type="dxa"/>
            <w:tcBorders>
              <w:top w:val="nil"/>
              <w:left w:val="nil"/>
              <w:bottom w:val="nil"/>
              <w:right w:val="nil"/>
            </w:tcBorders>
            <w:tcMar>
              <w:top w:w="0" w:type="dxa"/>
              <w:left w:w="120" w:type="dxa"/>
              <w:bottom w:w="0" w:type="dxa"/>
              <w:right w:w="120" w:type="dxa"/>
            </w:tcMar>
            <w:vAlign w:val="bottom"/>
          </w:tcPr>
          <w:p w14:paraId="3376F3DB" w14:textId="77777777" w:rsidR="00D041F4" w:rsidRPr="00F959D0" w:rsidRDefault="00D041F4" w:rsidP="00D707D6">
            <w:pPr>
              <w:spacing w:line="240" w:lineRule="exact"/>
              <w:jc w:val="right"/>
              <w:rPr>
                <w:rFonts w:ascii="Arial" w:hAnsi="Arial" w:cs="Arial"/>
                <w:sz w:val="17"/>
                <w:szCs w:val="17"/>
              </w:rPr>
            </w:pPr>
            <w:r w:rsidRPr="00F959D0">
              <w:rPr>
                <w:rFonts w:ascii="Arial" w:hAnsi="Arial" w:cs="Arial"/>
                <w:sz w:val="17"/>
                <w:szCs w:val="17"/>
              </w:rPr>
              <w:t xml:space="preserve"> 12.285 </w:t>
            </w:r>
          </w:p>
        </w:tc>
        <w:tc>
          <w:tcPr>
            <w:tcW w:w="1461" w:type="dxa"/>
            <w:tcBorders>
              <w:top w:val="nil"/>
              <w:left w:val="nil"/>
              <w:bottom w:val="nil"/>
              <w:right w:val="nil"/>
            </w:tcBorders>
            <w:tcMar>
              <w:top w:w="0" w:type="dxa"/>
              <w:left w:w="120" w:type="dxa"/>
              <w:bottom w:w="0" w:type="dxa"/>
              <w:right w:w="120" w:type="dxa"/>
            </w:tcMar>
            <w:vAlign w:val="bottom"/>
          </w:tcPr>
          <w:p w14:paraId="7575DC97" w14:textId="77777777" w:rsidR="00D041F4" w:rsidRPr="00F959D0" w:rsidRDefault="00D041F4" w:rsidP="00D707D6">
            <w:pPr>
              <w:spacing w:line="240" w:lineRule="exact"/>
              <w:jc w:val="right"/>
              <w:rPr>
                <w:rFonts w:ascii="Arial" w:hAnsi="Arial" w:cs="Arial"/>
                <w:sz w:val="17"/>
                <w:szCs w:val="17"/>
              </w:rPr>
            </w:pPr>
            <w:r w:rsidRPr="00F959D0">
              <w:rPr>
                <w:rFonts w:ascii="Arial" w:hAnsi="Arial" w:cs="Arial"/>
                <w:sz w:val="17"/>
                <w:szCs w:val="17"/>
              </w:rPr>
              <w:t xml:space="preserve">  -   </w:t>
            </w:r>
          </w:p>
        </w:tc>
        <w:tc>
          <w:tcPr>
            <w:tcW w:w="1461" w:type="dxa"/>
            <w:tcBorders>
              <w:top w:val="nil"/>
              <w:left w:val="nil"/>
              <w:bottom w:val="nil"/>
              <w:right w:val="nil"/>
            </w:tcBorders>
            <w:tcMar>
              <w:top w:w="0" w:type="dxa"/>
              <w:left w:w="120" w:type="dxa"/>
              <w:bottom w:w="0" w:type="dxa"/>
              <w:right w:w="120" w:type="dxa"/>
            </w:tcMar>
            <w:vAlign w:val="bottom"/>
          </w:tcPr>
          <w:p w14:paraId="459C8A5C" w14:textId="77777777" w:rsidR="00D041F4" w:rsidRPr="00F959D0" w:rsidRDefault="00D041F4" w:rsidP="00D707D6">
            <w:pPr>
              <w:spacing w:line="240" w:lineRule="exact"/>
              <w:jc w:val="right"/>
              <w:rPr>
                <w:rFonts w:ascii="Arial" w:hAnsi="Arial" w:cs="Arial"/>
                <w:sz w:val="17"/>
                <w:szCs w:val="17"/>
              </w:rPr>
            </w:pPr>
            <w:r w:rsidRPr="00F959D0">
              <w:rPr>
                <w:rFonts w:ascii="Arial" w:hAnsi="Arial" w:cs="Arial"/>
                <w:sz w:val="17"/>
                <w:szCs w:val="17"/>
              </w:rPr>
              <w:t xml:space="preserve">  -   </w:t>
            </w:r>
          </w:p>
        </w:tc>
        <w:tc>
          <w:tcPr>
            <w:tcW w:w="1461" w:type="dxa"/>
            <w:tcBorders>
              <w:top w:val="nil"/>
              <w:left w:val="nil"/>
              <w:bottom w:val="nil"/>
            </w:tcBorders>
            <w:tcMar>
              <w:top w:w="0" w:type="dxa"/>
              <w:left w:w="120" w:type="dxa"/>
              <w:bottom w:w="0" w:type="dxa"/>
              <w:right w:w="120" w:type="dxa"/>
            </w:tcMar>
            <w:vAlign w:val="bottom"/>
          </w:tcPr>
          <w:p w14:paraId="2174CEDB" w14:textId="77777777" w:rsidR="00D041F4" w:rsidRPr="00F959D0" w:rsidRDefault="00D041F4" w:rsidP="00D707D6">
            <w:pPr>
              <w:spacing w:line="240" w:lineRule="exact"/>
              <w:jc w:val="right"/>
              <w:rPr>
                <w:rFonts w:ascii="Arial" w:hAnsi="Arial" w:cs="Arial"/>
                <w:sz w:val="17"/>
                <w:szCs w:val="17"/>
              </w:rPr>
            </w:pPr>
            <w:r w:rsidRPr="00F959D0">
              <w:rPr>
                <w:rFonts w:ascii="Arial" w:hAnsi="Arial" w:cs="Arial"/>
                <w:sz w:val="17"/>
                <w:szCs w:val="17"/>
              </w:rPr>
              <w:t xml:space="preserve"> 12.285 </w:t>
            </w:r>
          </w:p>
        </w:tc>
      </w:tr>
      <w:tr w:rsidR="00D041F4" w:rsidRPr="00F97A44" w14:paraId="05BA7F10" w14:textId="77777777" w:rsidTr="00D707D6">
        <w:trPr>
          <w:trHeight w:val="285"/>
        </w:trPr>
        <w:tc>
          <w:tcPr>
            <w:tcW w:w="3625" w:type="dxa"/>
            <w:tcMar>
              <w:top w:w="0" w:type="dxa"/>
              <w:left w:w="120" w:type="dxa"/>
              <w:bottom w:w="0" w:type="dxa"/>
              <w:right w:w="120" w:type="dxa"/>
            </w:tcMar>
            <w:vAlign w:val="bottom"/>
          </w:tcPr>
          <w:p w14:paraId="6F57D77B" w14:textId="77777777" w:rsidR="00D041F4" w:rsidRPr="00F97A44" w:rsidRDefault="00D041F4" w:rsidP="00D707D6">
            <w:pPr>
              <w:tabs>
                <w:tab w:val="right" w:pos="1202"/>
              </w:tabs>
              <w:suppressAutoHyphens/>
              <w:autoSpaceDN w:val="0"/>
              <w:spacing w:line="240" w:lineRule="exact"/>
              <w:outlineLvl w:val="0"/>
              <w:rPr>
                <w:rFonts w:ascii="Arial" w:eastAsia="Calibri" w:hAnsi="Arial" w:cs="Arial"/>
                <w:b/>
                <w:bCs/>
                <w:color w:val="000000" w:themeColor="text1"/>
                <w:sz w:val="17"/>
                <w:szCs w:val="17"/>
              </w:rPr>
            </w:pPr>
            <w:r w:rsidRPr="00F97A44">
              <w:rPr>
                <w:rFonts w:ascii="Arial" w:eastAsia="Calibri" w:hAnsi="Arial" w:cs="Arial"/>
                <w:b/>
                <w:bCs/>
                <w:color w:val="000000" w:themeColor="text1"/>
                <w:sz w:val="17"/>
                <w:szCs w:val="17"/>
              </w:rPr>
              <w:t xml:space="preserve">Ukupna imovina </w:t>
            </w:r>
          </w:p>
        </w:tc>
        <w:tc>
          <w:tcPr>
            <w:tcW w:w="1461" w:type="dxa"/>
            <w:tcBorders>
              <w:top w:val="single" w:sz="4" w:space="0" w:color="000000"/>
              <w:bottom w:val="single" w:sz="8" w:space="0" w:color="000000"/>
            </w:tcBorders>
            <w:tcMar>
              <w:top w:w="0" w:type="dxa"/>
              <w:left w:w="120" w:type="dxa"/>
              <w:bottom w:w="0" w:type="dxa"/>
              <w:right w:w="120" w:type="dxa"/>
            </w:tcMar>
            <w:vAlign w:val="bottom"/>
          </w:tcPr>
          <w:p w14:paraId="17F287DE" w14:textId="77777777" w:rsidR="00D041F4" w:rsidRPr="00F959D0" w:rsidRDefault="00D041F4" w:rsidP="00D707D6">
            <w:pPr>
              <w:spacing w:line="240" w:lineRule="exact"/>
              <w:jc w:val="right"/>
              <w:rPr>
                <w:rFonts w:ascii="Arial" w:hAnsi="Arial" w:cs="Arial"/>
                <w:b/>
                <w:bCs/>
                <w:sz w:val="17"/>
                <w:szCs w:val="17"/>
              </w:rPr>
            </w:pPr>
            <w:r w:rsidRPr="00F959D0">
              <w:rPr>
                <w:rFonts w:ascii="Arial" w:hAnsi="Arial" w:cs="Arial"/>
                <w:b/>
                <w:bCs/>
                <w:sz w:val="17"/>
                <w:szCs w:val="17"/>
              </w:rPr>
              <w:t xml:space="preserve"> 3.965.446 </w:t>
            </w:r>
          </w:p>
        </w:tc>
        <w:tc>
          <w:tcPr>
            <w:tcW w:w="1461" w:type="dxa"/>
            <w:tcBorders>
              <w:top w:val="single" w:sz="4" w:space="0" w:color="000000"/>
              <w:bottom w:val="single" w:sz="8" w:space="0" w:color="000000"/>
            </w:tcBorders>
            <w:tcMar>
              <w:top w:w="0" w:type="dxa"/>
              <w:left w:w="120" w:type="dxa"/>
              <w:bottom w:w="0" w:type="dxa"/>
              <w:right w:w="120" w:type="dxa"/>
            </w:tcMar>
            <w:vAlign w:val="bottom"/>
          </w:tcPr>
          <w:p w14:paraId="4E52FEA1" w14:textId="77777777" w:rsidR="00D041F4" w:rsidRPr="00F959D0" w:rsidRDefault="00D041F4" w:rsidP="00D707D6">
            <w:pPr>
              <w:spacing w:line="240" w:lineRule="exact"/>
              <w:jc w:val="right"/>
              <w:rPr>
                <w:rFonts w:ascii="Arial" w:hAnsi="Arial" w:cs="Arial"/>
                <w:b/>
                <w:bCs/>
                <w:sz w:val="17"/>
                <w:szCs w:val="17"/>
              </w:rPr>
            </w:pPr>
            <w:r w:rsidRPr="00F959D0">
              <w:rPr>
                <w:rFonts w:ascii="Arial" w:hAnsi="Arial" w:cs="Arial"/>
                <w:b/>
                <w:bCs/>
                <w:sz w:val="17"/>
                <w:szCs w:val="17"/>
              </w:rPr>
              <w:t xml:space="preserve"> 33.880 </w:t>
            </w:r>
          </w:p>
        </w:tc>
        <w:tc>
          <w:tcPr>
            <w:tcW w:w="1461" w:type="dxa"/>
            <w:tcBorders>
              <w:top w:val="single" w:sz="4" w:space="0" w:color="000000"/>
              <w:bottom w:val="single" w:sz="8" w:space="0" w:color="000000"/>
            </w:tcBorders>
            <w:tcMar>
              <w:top w:w="0" w:type="dxa"/>
              <w:left w:w="120" w:type="dxa"/>
              <w:bottom w:w="0" w:type="dxa"/>
              <w:right w:w="120" w:type="dxa"/>
            </w:tcMar>
            <w:vAlign w:val="bottom"/>
          </w:tcPr>
          <w:p w14:paraId="60FF3C0E" w14:textId="77777777" w:rsidR="00D041F4" w:rsidRPr="00F959D0" w:rsidRDefault="00D041F4" w:rsidP="00D707D6">
            <w:pPr>
              <w:spacing w:line="240" w:lineRule="exact"/>
              <w:jc w:val="right"/>
              <w:rPr>
                <w:rFonts w:ascii="Arial" w:hAnsi="Arial" w:cs="Arial"/>
                <w:b/>
                <w:bCs/>
                <w:sz w:val="17"/>
                <w:szCs w:val="17"/>
              </w:rPr>
            </w:pPr>
            <w:r w:rsidRPr="00F959D0">
              <w:rPr>
                <w:rFonts w:ascii="Arial" w:hAnsi="Arial" w:cs="Arial"/>
                <w:b/>
                <w:bCs/>
                <w:sz w:val="17"/>
                <w:szCs w:val="17"/>
              </w:rPr>
              <w:t xml:space="preserve"> 22.210 </w:t>
            </w:r>
          </w:p>
        </w:tc>
        <w:tc>
          <w:tcPr>
            <w:tcW w:w="1461" w:type="dxa"/>
            <w:tcBorders>
              <w:top w:val="single" w:sz="4" w:space="0" w:color="000000"/>
              <w:bottom w:val="single" w:sz="8" w:space="0" w:color="000000"/>
            </w:tcBorders>
            <w:tcMar>
              <w:top w:w="0" w:type="dxa"/>
              <w:left w:w="120" w:type="dxa"/>
              <w:bottom w:w="0" w:type="dxa"/>
              <w:right w:w="120" w:type="dxa"/>
            </w:tcMar>
            <w:vAlign w:val="bottom"/>
          </w:tcPr>
          <w:p w14:paraId="3AAFCF8F" w14:textId="77777777" w:rsidR="00D041F4" w:rsidRPr="00F959D0" w:rsidRDefault="00D041F4" w:rsidP="00D707D6">
            <w:pPr>
              <w:spacing w:line="240" w:lineRule="exact"/>
              <w:jc w:val="right"/>
              <w:rPr>
                <w:rFonts w:ascii="Arial" w:hAnsi="Arial" w:cs="Arial"/>
                <w:b/>
                <w:bCs/>
                <w:sz w:val="17"/>
                <w:szCs w:val="17"/>
              </w:rPr>
            </w:pPr>
            <w:r w:rsidRPr="00F959D0">
              <w:rPr>
                <w:rFonts w:ascii="Arial" w:hAnsi="Arial" w:cs="Arial"/>
                <w:b/>
                <w:bCs/>
                <w:sz w:val="17"/>
                <w:szCs w:val="17"/>
              </w:rPr>
              <w:t xml:space="preserve"> 4.021.536 </w:t>
            </w:r>
          </w:p>
        </w:tc>
      </w:tr>
      <w:tr w:rsidR="00D041F4" w:rsidRPr="00F97A44" w14:paraId="695DEED9" w14:textId="77777777" w:rsidTr="00D707D6">
        <w:trPr>
          <w:trHeight w:val="224"/>
        </w:trPr>
        <w:tc>
          <w:tcPr>
            <w:tcW w:w="3625" w:type="dxa"/>
            <w:tcMar>
              <w:top w:w="0" w:type="dxa"/>
              <w:left w:w="120" w:type="dxa"/>
              <w:bottom w:w="0" w:type="dxa"/>
              <w:right w:w="120" w:type="dxa"/>
            </w:tcMar>
            <w:vAlign w:val="bottom"/>
          </w:tcPr>
          <w:p w14:paraId="5EA941AE" w14:textId="77777777" w:rsidR="00D041F4" w:rsidRPr="00F97A44" w:rsidRDefault="00D041F4" w:rsidP="00D707D6">
            <w:pPr>
              <w:tabs>
                <w:tab w:val="right" w:pos="1202"/>
              </w:tabs>
              <w:suppressAutoHyphens/>
              <w:autoSpaceDN w:val="0"/>
              <w:spacing w:line="240" w:lineRule="exact"/>
              <w:outlineLvl w:val="0"/>
              <w:rPr>
                <w:rFonts w:ascii="Arial" w:eastAsia="Calibri" w:hAnsi="Arial" w:cs="Arial"/>
                <w:b/>
                <w:bCs/>
                <w:color w:val="000000" w:themeColor="text1"/>
                <w:sz w:val="17"/>
                <w:szCs w:val="17"/>
              </w:rPr>
            </w:pPr>
            <w:r w:rsidRPr="00F97A44">
              <w:rPr>
                <w:rFonts w:ascii="Arial" w:eastAsia="Calibri" w:hAnsi="Arial" w:cs="Arial"/>
                <w:b/>
                <w:bCs/>
                <w:color w:val="000000" w:themeColor="text1"/>
                <w:sz w:val="17"/>
                <w:szCs w:val="17"/>
              </w:rPr>
              <w:t>Obveze</w:t>
            </w:r>
          </w:p>
        </w:tc>
        <w:tc>
          <w:tcPr>
            <w:tcW w:w="1461" w:type="dxa"/>
            <w:tcBorders>
              <w:top w:val="single" w:sz="12" w:space="0" w:color="000000"/>
            </w:tcBorders>
            <w:tcMar>
              <w:top w:w="0" w:type="dxa"/>
              <w:left w:w="120" w:type="dxa"/>
              <w:bottom w:w="0" w:type="dxa"/>
              <w:right w:w="120" w:type="dxa"/>
            </w:tcMar>
            <w:vAlign w:val="bottom"/>
          </w:tcPr>
          <w:p w14:paraId="1E49AB3F" w14:textId="77777777" w:rsidR="00D041F4" w:rsidRPr="00F959D0" w:rsidRDefault="00D041F4" w:rsidP="00D707D6">
            <w:pPr>
              <w:spacing w:line="240" w:lineRule="exact"/>
              <w:jc w:val="right"/>
              <w:rPr>
                <w:rFonts w:ascii="Arial" w:hAnsi="Arial" w:cs="Arial"/>
                <w:sz w:val="17"/>
                <w:szCs w:val="17"/>
              </w:rPr>
            </w:pPr>
          </w:p>
        </w:tc>
        <w:tc>
          <w:tcPr>
            <w:tcW w:w="1461" w:type="dxa"/>
            <w:tcBorders>
              <w:top w:val="single" w:sz="12" w:space="0" w:color="000000"/>
            </w:tcBorders>
            <w:tcMar>
              <w:top w:w="0" w:type="dxa"/>
              <w:left w:w="120" w:type="dxa"/>
              <w:bottom w:w="0" w:type="dxa"/>
              <w:right w:w="120" w:type="dxa"/>
            </w:tcMar>
            <w:vAlign w:val="bottom"/>
          </w:tcPr>
          <w:p w14:paraId="0B3B4D1B" w14:textId="77777777" w:rsidR="00D041F4" w:rsidRPr="00F959D0" w:rsidRDefault="00D041F4" w:rsidP="00D707D6">
            <w:pPr>
              <w:spacing w:line="240" w:lineRule="exact"/>
              <w:jc w:val="right"/>
              <w:rPr>
                <w:rFonts w:ascii="Arial" w:hAnsi="Arial" w:cs="Arial"/>
                <w:sz w:val="17"/>
                <w:szCs w:val="17"/>
              </w:rPr>
            </w:pPr>
          </w:p>
        </w:tc>
        <w:tc>
          <w:tcPr>
            <w:tcW w:w="1461" w:type="dxa"/>
            <w:tcBorders>
              <w:top w:val="single" w:sz="12" w:space="0" w:color="000000"/>
            </w:tcBorders>
            <w:tcMar>
              <w:top w:w="0" w:type="dxa"/>
              <w:left w:w="120" w:type="dxa"/>
              <w:bottom w:w="0" w:type="dxa"/>
              <w:right w:w="120" w:type="dxa"/>
            </w:tcMar>
            <w:vAlign w:val="bottom"/>
          </w:tcPr>
          <w:p w14:paraId="7D09C7A4" w14:textId="77777777" w:rsidR="00D041F4" w:rsidRPr="00F959D0" w:rsidRDefault="00D041F4" w:rsidP="00D707D6">
            <w:pPr>
              <w:spacing w:line="240" w:lineRule="exact"/>
              <w:jc w:val="right"/>
              <w:rPr>
                <w:rFonts w:ascii="Arial" w:hAnsi="Arial" w:cs="Arial"/>
                <w:sz w:val="17"/>
                <w:szCs w:val="17"/>
              </w:rPr>
            </w:pPr>
          </w:p>
        </w:tc>
        <w:tc>
          <w:tcPr>
            <w:tcW w:w="1461" w:type="dxa"/>
            <w:tcBorders>
              <w:top w:val="single" w:sz="12" w:space="0" w:color="000000"/>
            </w:tcBorders>
            <w:tcMar>
              <w:top w:w="0" w:type="dxa"/>
              <w:left w:w="120" w:type="dxa"/>
              <w:bottom w:w="0" w:type="dxa"/>
              <w:right w:w="120" w:type="dxa"/>
            </w:tcMar>
            <w:vAlign w:val="bottom"/>
          </w:tcPr>
          <w:p w14:paraId="7B3CDFAD" w14:textId="77777777" w:rsidR="00D041F4" w:rsidRPr="00F959D0" w:rsidRDefault="00D041F4" w:rsidP="00D707D6">
            <w:pPr>
              <w:spacing w:line="240" w:lineRule="exact"/>
              <w:jc w:val="right"/>
              <w:rPr>
                <w:rFonts w:ascii="Arial" w:hAnsi="Arial" w:cs="Arial"/>
                <w:sz w:val="17"/>
                <w:szCs w:val="17"/>
              </w:rPr>
            </w:pPr>
          </w:p>
        </w:tc>
      </w:tr>
      <w:tr w:rsidR="00D041F4" w:rsidRPr="00F97A44" w14:paraId="72E549F3" w14:textId="77777777" w:rsidTr="00D707D6">
        <w:trPr>
          <w:trHeight w:val="240"/>
        </w:trPr>
        <w:tc>
          <w:tcPr>
            <w:tcW w:w="3625" w:type="dxa"/>
            <w:tcMar>
              <w:top w:w="0" w:type="dxa"/>
              <w:left w:w="120" w:type="dxa"/>
              <w:bottom w:w="0" w:type="dxa"/>
              <w:right w:w="120" w:type="dxa"/>
            </w:tcMar>
            <w:vAlign w:val="bottom"/>
          </w:tcPr>
          <w:p w14:paraId="53A0F68A" w14:textId="77777777" w:rsidR="00D041F4" w:rsidRPr="00F97A44" w:rsidRDefault="00D041F4" w:rsidP="00D707D6">
            <w:pPr>
              <w:tabs>
                <w:tab w:val="right" w:pos="1202"/>
              </w:tabs>
              <w:suppressAutoHyphens/>
              <w:autoSpaceDN w:val="0"/>
              <w:spacing w:line="240" w:lineRule="exact"/>
              <w:outlineLvl w:val="0"/>
              <w:rPr>
                <w:rFonts w:ascii="Arial" w:eastAsia="Calibri" w:hAnsi="Arial" w:cs="Arial"/>
                <w:color w:val="000000" w:themeColor="text1"/>
                <w:sz w:val="17"/>
                <w:szCs w:val="17"/>
              </w:rPr>
            </w:pPr>
            <w:r w:rsidRPr="00F97A44">
              <w:rPr>
                <w:rFonts w:ascii="Arial" w:eastAsia="Calibri" w:hAnsi="Arial" w:cs="Arial"/>
                <w:color w:val="000000" w:themeColor="text1"/>
                <w:sz w:val="17"/>
                <w:szCs w:val="17"/>
              </w:rPr>
              <w:t>Obveze po depozitima</w:t>
            </w:r>
          </w:p>
        </w:tc>
        <w:tc>
          <w:tcPr>
            <w:tcW w:w="1461" w:type="dxa"/>
            <w:tcBorders>
              <w:top w:val="nil"/>
              <w:left w:val="nil"/>
              <w:bottom w:val="nil"/>
              <w:right w:val="nil"/>
            </w:tcBorders>
            <w:tcMar>
              <w:top w:w="0" w:type="dxa"/>
              <w:left w:w="120" w:type="dxa"/>
              <w:bottom w:w="0" w:type="dxa"/>
              <w:right w:w="120" w:type="dxa"/>
            </w:tcMar>
            <w:vAlign w:val="bottom"/>
          </w:tcPr>
          <w:p w14:paraId="611EE1B3" w14:textId="77777777" w:rsidR="00D041F4" w:rsidRPr="00F959D0" w:rsidRDefault="00D041F4" w:rsidP="00D707D6">
            <w:pPr>
              <w:spacing w:line="240" w:lineRule="exact"/>
              <w:jc w:val="right"/>
              <w:rPr>
                <w:rFonts w:ascii="Arial" w:hAnsi="Arial" w:cs="Arial"/>
                <w:sz w:val="17"/>
                <w:szCs w:val="17"/>
              </w:rPr>
            </w:pPr>
            <w:r w:rsidRPr="00F959D0">
              <w:rPr>
                <w:rFonts w:ascii="Arial" w:hAnsi="Arial" w:cs="Arial"/>
                <w:sz w:val="17"/>
                <w:szCs w:val="17"/>
              </w:rPr>
              <w:t xml:space="preserve"> 180.779 </w:t>
            </w:r>
          </w:p>
        </w:tc>
        <w:tc>
          <w:tcPr>
            <w:tcW w:w="1461" w:type="dxa"/>
            <w:tcBorders>
              <w:top w:val="nil"/>
              <w:left w:val="nil"/>
              <w:bottom w:val="nil"/>
              <w:right w:val="nil"/>
            </w:tcBorders>
            <w:tcMar>
              <w:top w:w="0" w:type="dxa"/>
              <w:left w:w="120" w:type="dxa"/>
              <w:bottom w:w="0" w:type="dxa"/>
              <w:right w:w="120" w:type="dxa"/>
            </w:tcMar>
            <w:vAlign w:val="bottom"/>
          </w:tcPr>
          <w:p w14:paraId="78C57A7F" w14:textId="77777777" w:rsidR="00D041F4" w:rsidRPr="00F959D0" w:rsidRDefault="00D041F4" w:rsidP="00D707D6">
            <w:pPr>
              <w:spacing w:line="240" w:lineRule="exact"/>
              <w:jc w:val="right"/>
              <w:rPr>
                <w:rFonts w:ascii="Arial" w:hAnsi="Arial" w:cs="Arial"/>
                <w:sz w:val="17"/>
                <w:szCs w:val="17"/>
              </w:rPr>
            </w:pPr>
            <w:r w:rsidRPr="00F959D0">
              <w:rPr>
                <w:rFonts w:ascii="Arial" w:hAnsi="Arial" w:cs="Arial"/>
                <w:sz w:val="17"/>
                <w:szCs w:val="17"/>
              </w:rPr>
              <w:t xml:space="preserve"> 14.097 </w:t>
            </w:r>
          </w:p>
        </w:tc>
        <w:tc>
          <w:tcPr>
            <w:tcW w:w="1461" w:type="dxa"/>
            <w:tcBorders>
              <w:top w:val="nil"/>
              <w:left w:val="nil"/>
              <w:bottom w:val="nil"/>
              <w:right w:val="nil"/>
            </w:tcBorders>
            <w:tcMar>
              <w:top w:w="0" w:type="dxa"/>
              <w:left w:w="120" w:type="dxa"/>
              <w:bottom w:w="0" w:type="dxa"/>
              <w:right w:w="120" w:type="dxa"/>
            </w:tcMar>
            <w:vAlign w:val="bottom"/>
          </w:tcPr>
          <w:p w14:paraId="4AF95E9C" w14:textId="77777777" w:rsidR="00D041F4" w:rsidRPr="00F959D0" w:rsidRDefault="00D041F4" w:rsidP="00D707D6">
            <w:pPr>
              <w:spacing w:line="240" w:lineRule="exact"/>
              <w:jc w:val="right"/>
              <w:rPr>
                <w:rFonts w:ascii="Arial" w:hAnsi="Arial" w:cs="Arial"/>
                <w:sz w:val="17"/>
                <w:szCs w:val="17"/>
              </w:rPr>
            </w:pPr>
            <w:r w:rsidRPr="00F959D0">
              <w:rPr>
                <w:rFonts w:ascii="Arial" w:hAnsi="Arial" w:cs="Arial"/>
                <w:sz w:val="17"/>
                <w:szCs w:val="17"/>
              </w:rPr>
              <w:t xml:space="preserve">  -   </w:t>
            </w:r>
          </w:p>
        </w:tc>
        <w:tc>
          <w:tcPr>
            <w:tcW w:w="1461" w:type="dxa"/>
            <w:tcBorders>
              <w:top w:val="nil"/>
              <w:left w:val="nil"/>
              <w:bottom w:val="nil"/>
            </w:tcBorders>
            <w:tcMar>
              <w:top w:w="0" w:type="dxa"/>
              <w:left w:w="120" w:type="dxa"/>
              <w:bottom w:w="0" w:type="dxa"/>
              <w:right w:w="120" w:type="dxa"/>
            </w:tcMar>
            <w:vAlign w:val="bottom"/>
          </w:tcPr>
          <w:p w14:paraId="5BAF65E8" w14:textId="77777777" w:rsidR="00D041F4" w:rsidRPr="00F959D0" w:rsidRDefault="00D041F4" w:rsidP="00D707D6">
            <w:pPr>
              <w:spacing w:line="240" w:lineRule="exact"/>
              <w:jc w:val="right"/>
              <w:rPr>
                <w:rFonts w:ascii="Arial" w:hAnsi="Arial" w:cs="Arial"/>
                <w:sz w:val="17"/>
                <w:szCs w:val="17"/>
              </w:rPr>
            </w:pPr>
            <w:r w:rsidRPr="00F959D0">
              <w:rPr>
                <w:rFonts w:ascii="Arial" w:hAnsi="Arial" w:cs="Arial"/>
                <w:sz w:val="17"/>
                <w:szCs w:val="17"/>
              </w:rPr>
              <w:t xml:space="preserve"> 194.876 </w:t>
            </w:r>
          </w:p>
        </w:tc>
      </w:tr>
      <w:tr w:rsidR="00D041F4" w:rsidRPr="00F97A44" w14:paraId="5DA50A7C" w14:textId="77777777" w:rsidTr="00D707D6">
        <w:trPr>
          <w:trHeight w:val="177"/>
        </w:trPr>
        <w:tc>
          <w:tcPr>
            <w:tcW w:w="3625" w:type="dxa"/>
            <w:tcMar>
              <w:top w:w="0" w:type="dxa"/>
              <w:left w:w="120" w:type="dxa"/>
              <w:bottom w:w="0" w:type="dxa"/>
              <w:right w:w="120" w:type="dxa"/>
            </w:tcMar>
            <w:vAlign w:val="bottom"/>
          </w:tcPr>
          <w:p w14:paraId="6152D2DB" w14:textId="77777777" w:rsidR="00D041F4" w:rsidRPr="00F97A44" w:rsidRDefault="00D041F4" w:rsidP="00D707D6">
            <w:pPr>
              <w:tabs>
                <w:tab w:val="right" w:pos="1202"/>
              </w:tabs>
              <w:suppressAutoHyphens/>
              <w:autoSpaceDN w:val="0"/>
              <w:spacing w:line="240" w:lineRule="exact"/>
              <w:outlineLvl w:val="0"/>
              <w:rPr>
                <w:rFonts w:ascii="Arial" w:eastAsia="Calibri" w:hAnsi="Arial" w:cs="Arial"/>
                <w:color w:val="000000" w:themeColor="text1"/>
                <w:sz w:val="17"/>
                <w:szCs w:val="17"/>
              </w:rPr>
            </w:pPr>
            <w:r w:rsidRPr="00F97A44">
              <w:rPr>
                <w:rFonts w:ascii="Arial" w:eastAsia="Calibri" w:hAnsi="Arial" w:cs="Arial"/>
                <w:color w:val="000000" w:themeColor="text1"/>
                <w:sz w:val="17"/>
                <w:szCs w:val="17"/>
              </w:rPr>
              <w:t>Obveze po kreditima</w:t>
            </w:r>
          </w:p>
        </w:tc>
        <w:tc>
          <w:tcPr>
            <w:tcW w:w="1461" w:type="dxa"/>
            <w:tcBorders>
              <w:top w:val="nil"/>
              <w:left w:val="nil"/>
              <w:bottom w:val="nil"/>
              <w:right w:val="nil"/>
            </w:tcBorders>
            <w:tcMar>
              <w:top w:w="0" w:type="dxa"/>
              <w:left w:w="120" w:type="dxa"/>
              <w:bottom w:w="0" w:type="dxa"/>
              <w:right w:w="120" w:type="dxa"/>
            </w:tcMar>
            <w:vAlign w:val="bottom"/>
          </w:tcPr>
          <w:p w14:paraId="417004D5" w14:textId="77777777" w:rsidR="00D041F4" w:rsidRPr="00F959D0" w:rsidRDefault="00D041F4" w:rsidP="00D707D6">
            <w:pPr>
              <w:spacing w:line="240" w:lineRule="exact"/>
              <w:jc w:val="right"/>
              <w:rPr>
                <w:rFonts w:ascii="Arial" w:hAnsi="Arial" w:cs="Arial"/>
                <w:sz w:val="17"/>
                <w:szCs w:val="17"/>
              </w:rPr>
            </w:pPr>
            <w:r w:rsidRPr="00F959D0">
              <w:rPr>
                <w:rFonts w:ascii="Arial" w:hAnsi="Arial" w:cs="Arial"/>
                <w:sz w:val="17"/>
                <w:szCs w:val="17"/>
              </w:rPr>
              <w:t xml:space="preserve"> 2.230.910 </w:t>
            </w:r>
          </w:p>
        </w:tc>
        <w:tc>
          <w:tcPr>
            <w:tcW w:w="1461" w:type="dxa"/>
            <w:tcBorders>
              <w:top w:val="nil"/>
              <w:left w:val="nil"/>
              <w:bottom w:val="nil"/>
              <w:right w:val="nil"/>
            </w:tcBorders>
            <w:tcMar>
              <w:top w:w="0" w:type="dxa"/>
              <w:left w:w="120" w:type="dxa"/>
              <w:bottom w:w="0" w:type="dxa"/>
              <w:right w:w="120" w:type="dxa"/>
            </w:tcMar>
            <w:vAlign w:val="bottom"/>
          </w:tcPr>
          <w:p w14:paraId="01764117" w14:textId="77777777" w:rsidR="00D041F4" w:rsidRPr="00F959D0" w:rsidRDefault="00D041F4" w:rsidP="00D707D6">
            <w:pPr>
              <w:spacing w:line="240" w:lineRule="exact"/>
              <w:jc w:val="right"/>
              <w:rPr>
                <w:rFonts w:ascii="Arial" w:hAnsi="Arial" w:cs="Arial"/>
                <w:sz w:val="17"/>
                <w:szCs w:val="17"/>
              </w:rPr>
            </w:pPr>
            <w:r w:rsidRPr="00F959D0">
              <w:rPr>
                <w:rFonts w:ascii="Arial" w:hAnsi="Arial" w:cs="Arial"/>
                <w:sz w:val="17"/>
                <w:szCs w:val="17"/>
              </w:rPr>
              <w:t xml:space="preserve"> 20.266 </w:t>
            </w:r>
          </w:p>
        </w:tc>
        <w:tc>
          <w:tcPr>
            <w:tcW w:w="1461" w:type="dxa"/>
            <w:tcBorders>
              <w:top w:val="nil"/>
              <w:left w:val="nil"/>
              <w:bottom w:val="nil"/>
              <w:right w:val="nil"/>
            </w:tcBorders>
            <w:tcMar>
              <w:top w:w="0" w:type="dxa"/>
              <w:left w:w="120" w:type="dxa"/>
              <w:bottom w:w="0" w:type="dxa"/>
              <w:right w:w="120" w:type="dxa"/>
            </w:tcMar>
            <w:vAlign w:val="bottom"/>
          </w:tcPr>
          <w:p w14:paraId="30ABBD70" w14:textId="77777777" w:rsidR="00D041F4" w:rsidRPr="00F959D0" w:rsidRDefault="00D041F4" w:rsidP="00D707D6">
            <w:pPr>
              <w:spacing w:line="240" w:lineRule="exact"/>
              <w:jc w:val="right"/>
              <w:rPr>
                <w:rFonts w:ascii="Arial" w:hAnsi="Arial" w:cs="Arial"/>
                <w:sz w:val="17"/>
                <w:szCs w:val="17"/>
              </w:rPr>
            </w:pPr>
            <w:r w:rsidRPr="00F959D0">
              <w:rPr>
                <w:rFonts w:ascii="Arial" w:hAnsi="Arial" w:cs="Arial"/>
                <w:sz w:val="17"/>
                <w:szCs w:val="17"/>
              </w:rPr>
              <w:t xml:space="preserve">  -   </w:t>
            </w:r>
          </w:p>
        </w:tc>
        <w:tc>
          <w:tcPr>
            <w:tcW w:w="1461" w:type="dxa"/>
            <w:tcBorders>
              <w:top w:val="nil"/>
              <w:left w:val="nil"/>
              <w:bottom w:val="nil"/>
            </w:tcBorders>
            <w:tcMar>
              <w:top w:w="0" w:type="dxa"/>
              <w:left w:w="120" w:type="dxa"/>
              <w:bottom w:w="0" w:type="dxa"/>
              <w:right w:w="120" w:type="dxa"/>
            </w:tcMar>
            <w:vAlign w:val="bottom"/>
          </w:tcPr>
          <w:p w14:paraId="478F405D" w14:textId="77777777" w:rsidR="00D041F4" w:rsidRPr="00F959D0" w:rsidRDefault="00D041F4" w:rsidP="00D707D6">
            <w:pPr>
              <w:spacing w:line="240" w:lineRule="exact"/>
              <w:jc w:val="right"/>
              <w:rPr>
                <w:rFonts w:ascii="Arial" w:hAnsi="Arial" w:cs="Arial"/>
                <w:sz w:val="17"/>
                <w:szCs w:val="17"/>
              </w:rPr>
            </w:pPr>
            <w:r w:rsidRPr="00F959D0">
              <w:rPr>
                <w:rFonts w:ascii="Arial" w:hAnsi="Arial" w:cs="Arial"/>
                <w:sz w:val="17"/>
                <w:szCs w:val="17"/>
              </w:rPr>
              <w:t xml:space="preserve"> 2.251.176 </w:t>
            </w:r>
          </w:p>
        </w:tc>
      </w:tr>
      <w:tr w:rsidR="00D041F4" w:rsidRPr="00F97A44" w14:paraId="71118FE1" w14:textId="77777777" w:rsidTr="00D707D6">
        <w:trPr>
          <w:trHeight w:val="466"/>
        </w:trPr>
        <w:tc>
          <w:tcPr>
            <w:tcW w:w="3625" w:type="dxa"/>
            <w:tcMar>
              <w:top w:w="0" w:type="dxa"/>
              <w:left w:w="120" w:type="dxa"/>
              <w:bottom w:w="0" w:type="dxa"/>
              <w:right w:w="120" w:type="dxa"/>
            </w:tcMar>
            <w:vAlign w:val="bottom"/>
          </w:tcPr>
          <w:p w14:paraId="1F901F59" w14:textId="77777777" w:rsidR="00D041F4" w:rsidRPr="00F97A44" w:rsidRDefault="00D041F4" w:rsidP="00D707D6">
            <w:pPr>
              <w:tabs>
                <w:tab w:val="right" w:pos="1202"/>
              </w:tabs>
              <w:suppressAutoHyphens/>
              <w:autoSpaceDN w:val="0"/>
              <w:spacing w:line="240" w:lineRule="exact"/>
              <w:outlineLvl w:val="0"/>
              <w:rPr>
                <w:rFonts w:ascii="Arial" w:eastAsia="Calibri" w:hAnsi="Arial" w:cs="Arial"/>
                <w:color w:val="000000" w:themeColor="text1"/>
                <w:sz w:val="17"/>
                <w:szCs w:val="17"/>
              </w:rPr>
            </w:pPr>
            <w:r w:rsidRPr="00F97A44">
              <w:rPr>
                <w:rFonts w:ascii="Arial" w:eastAsia="Calibri" w:hAnsi="Arial" w:cs="Arial"/>
                <w:color w:val="000000" w:themeColor="text1"/>
                <w:sz w:val="17"/>
                <w:szCs w:val="17"/>
              </w:rPr>
              <w:t>Rezerviranja za garancije, preuzete i ostale obveze</w:t>
            </w:r>
          </w:p>
        </w:tc>
        <w:tc>
          <w:tcPr>
            <w:tcW w:w="1461" w:type="dxa"/>
            <w:tcBorders>
              <w:top w:val="nil"/>
              <w:left w:val="nil"/>
              <w:bottom w:val="nil"/>
              <w:right w:val="nil"/>
            </w:tcBorders>
            <w:tcMar>
              <w:top w:w="0" w:type="dxa"/>
              <w:left w:w="120" w:type="dxa"/>
              <w:bottom w:w="0" w:type="dxa"/>
              <w:right w:w="120" w:type="dxa"/>
            </w:tcMar>
            <w:vAlign w:val="bottom"/>
          </w:tcPr>
          <w:p w14:paraId="770F6D2C" w14:textId="77777777" w:rsidR="00D041F4" w:rsidRPr="00F959D0" w:rsidRDefault="00D041F4" w:rsidP="00D707D6">
            <w:pPr>
              <w:spacing w:line="240" w:lineRule="exact"/>
              <w:jc w:val="right"/>
              <w:rPr>
                <w:rFonts w:ascii="Arial" w:hAnsi="Arial" w:cs="Arial"/>
                <w:sz w:val="17"/>
                <w:szCs w:val="17"/>
              </w:rPr>
            </w:pPr>
            <w:r w:rsidRPr="00F959D0">
              <w:rPr>
                <w:rFonts w:ascii="Arial" w:hAnsi="Arial" w:cs="Arial"/>
                <w:sz w:val="17"/>
                <w:szCs w:val="17"/>
              </w:rPr>
              <w:t xml:space="preserve"> 21.957 </w:t>
            </w:r>
          </w:p>
        </w:tc>
        <w:tc>
          <w:tcPr>
            <w:tcW w:w="1461" w:type="dxa"/>
            <w:tcBorders>
              <w:top w:val="nil"/>
              <w:left w:val="nil"/>
              <w:bottom w:val="nil"/>
              <w:right w:val="nil"/>
            </w:tcBorders>
            <w:tcMar>
              <w:top w:w="0" w:type="dxa"/>
              <w:left w:w="120" w:type="dxa"/>
              <w:bottom w:w="0" w:type="dxa"/>
              <w:right w:w="120" w:type="dxa"/>
            </w:tcMar>
            <w:vAlign w:val="bottom"/>
          </w:tcPr>
          <w:p w14:paraId="25DC3B01" w14:textId="77777777" w:rsidR="00D041F4" w:rsidRPr="00F959D0" w:rsidRDefault="00D041F4" w:rsidP="00D707D6">
            <w:pPr>
              <w:spacing w:line="240" w:lineRule="exact"/>
              <w:jc w:val="right"/>
              <w:rPr>
                <w:rFonts w:ascii="Arial" w:hAnsi="Arial" w:cs="Arial"/>
                <w:sz w:val="17"/>
                <w:szCs w:val="17"/>
              </w:rPr>
            </w:pPr>
            <w:r w:rsidRPr="00F959D0">
              <w:rPr>
                <w:rFonts w:ascii="Arial" w:hAnsi="Arial" w:cs="Arial"/>
                <w:sz w:val="17"/>
                <w:szCs w:val="17"/>
              </w:rPr>
              <w:t xml:space="preserve"> 66 </w:t>
            </w:r>
          </w:p>
        </w:tc>
        <w:tc>
          <w:tcPr>
            <w:tcW w:w="1461" w:type="dxa"/>
            <w:tcBorders>
              <w:top w:val="nil"/>
              <w:left w:val="nil"/>
              <w:bottom w:val="nil"/>
              <w:right w:val="nil"/>
            </w:tcBorders>
            <w:tcMar>
              <w:top w:w="0" w:type="dxa"/>
              <w:left w:w="120" w:type="dxa"/>
              <w:bottom w:w="0" w:type="dxa"/>
              <w:right w:w="120" w:type="dxa"/>
            </w:tcMar>
            <w:vAlign w:val="bottom"/>
          </w:tcPr>
          <w:p w14:paraId="0CD05F52" w14:textId="77777777" w:rsidR="00D041F4" w:rsidRPr="00F959D0" w:rsidRDefault="00D041F4" w:rsidP="00D707D6">
            <w:pPr>
              <w:spacing w:line="240" w:lineRule="exact"/>
              <w:jc w:val="right"/>
              <w:rPr>
                <w:rFonts w:ascii="Arial" w:hAnsi="Arial" w:cs="Arial"/>
                <w:sz w:val="17"/>
                <w:szCs w:val="17"/>
              </w:rPr>
            </w:pPr>
            <w:r w:rsidRPr="00F959D0">
              <w:rPr>
                <w:rFonts w:ascii="Arial" w:hAnsi="Arial" w:cs="Arial"/>
                <w:sz w:val="17"/>
                <w:szCs w:val="17"/>
              </w:rPr>
              <w:t xml:space="preserve"> 2.359 </w:t>
            </w:r>
          </w:p>
        </w:tc>
        <w:tc>
          <w:tcPr>
            <w:tcW w:w="1461" w:type="dxa"/>
            <w:tcBorders>
              <w:top w:val="nil"/>
              <w:left w:val="nil"/>
              <w:bottom w:val="nil"/>
            </w:tcBorders>
            <w:tcMar>
              <w:top w:w="0" w:type="dxa"/>
              <w:left w:w="120" w:type="dxa"/>
              <w:bottom w:w="0" w:type="dxa"/>
              <w:right w:w="120" w:type="dxa"/>
            </w:tcMar>
            <w:vAlign w:val="bottom"/>
          </w:tcPr>
          <w:p w14:paraId="30E58AFB" w14:textId="77777777" w:rsidR="00D041F4" w:rsidRPr="00F959D0" w:rsidRDefault="00D041F4" w:rsidP="00D707D6">
            <w:pPr>
              <w:spacing w:line="240" w:lineRule="exact"/>
              <w:jc w:val="right"/>
              <w:rPr>
                <w:rFonts w:ascii="Arial" w:hAnsi="Arial" w:cs="Arial"/>
                <w:sz w:val="17"/>
                <w:szCs w:val="17"/>
              </w:rPr>
            </w:pPr>
            <w:r w:rsidRPr="00F959D0">
              <w:rPr>
                <w:rFonts w:ascii="Arial" w:hAnsi="Arial" w:cs="Arial"/>
                <w:sz w:val="17"/>
                <w:szCs w:val="17"/>
              </w:rPr>
              <w:t xml:space="preserve"> 24.382 </w:t>
            </w:r>
          </w:p>
        </w:tc>
      </w:tr>
      <w:tr w:rsidR="00D041F4" w:rsidRPr="00F97A44" w14:paraId="231A46FD" w14:textId="77777777" w:rsidTr="00D707D6">
        <w:trPr>
          <w:trHeight w:val="139"/>
        </w:trPr>
        <w:tc>
          <w:tcPr>
            <w:tcW w:w="3625" w:type="dxa"/>
            <w:tcMar>
              <w:top w:w="0" w:type="dxa"/>
              <w:left w:w="120" w:type="dxa"/>
              <w:bottom w:w="0" w:type="dxa"/>
              <w:right w:w="120" w:type="dxa"/>
            </w:tcMar>
            <w:vAlign w:val="bottom"/>
          </w:tcPr>
          <w:p w14:paraId="49C99CA1" w14:textId="77777777" w:rsidR="00D041F4" w:rsidRPr="00F97A44" w:rsidRDefault="00D041F4" w:rsidP="00D707D6">
            <w:pPr>
              <w:tabs>
                <w:tab w:val="right" w:pos="1202"/>
              </w:tabs>
              <w:suppressAutoHyphens/>
              <w:autoSpaceDN w:val="0"/>
              <w:spacing w:line="240" w:lineRule="exact"/>
              <w:outlineLvl w:val="0"/>
              <w:rPr>
                <w:rFonts w:ascii="Arial" w:eastAsia="Calibri" w:hAnsi="Arial" w:cs="Arial"/>
                <w:color w:val="000000" w:themeColor="text1"/>
                <w:sz w:val="17"/>
                <w:szCs w:val="17"/>
              </w:rPr>
            </w:pPr>
            <w:r w:rsidRPr="00F97A44">
              <w:rPr>
                <w:rFonts w:ascii="Arial" w:eastAsia="Calibri" w:hAnsi="Arial" w:cs="Arial"/>
                <w:color w:val="000000" w:themeColor="text1"/>
                <w:sz w:val="17"/>
                <w:szCs w:val="17"/>
              </w:rPr>
              <w:t>Ostale obveze</w:t>
            </w:r>
          </w:p>
        </w:tc>
        <w:tc>
          <w:tcPr>
            <w:tcW w:w="1461" w:type="dxa"/>
            <w:tcBorders>
              <w:top w:val="nil"/>
              <w:left w:val="nil"/>
              <w:bottom w:val="single" w:sz="4" w:space="0" w:color="auto"/>
              <w:right w:val="nil"/>
            </w:tcBorders>
            <w:tcMar>
              <w:top w:w="0" w:type="dxa"/>
              <w:left w:w="120" w:type="dxa"/>
              <w:bottom w:w="0" w:type="dxa"/>
              <w:right w:w="120" w:type="dxa"/>
            </w:tcMar>
            <w:vAlign w:val="bottom"/>
          </w:tcPr>
          <w:p w14:paraId="568AA9EC" w14:textId="77777777" w:rsidR="00D041F4" w:rsidRPr="00F959D0" w:rsidRDefault="00D041F4" w:rsidP="00D707D6">
            <w:pPr>
              <w:spacing w:line="240" w:lineRule="exact"/>
              <w:jc w:val="right"/>
              <w:rPr>
                <w:rFonts w:ascii="Arial" w:hAnsi="Arial" w:cs="Arial"/>
                <w:sz w:val="17"/>
                <w:szCs w:val="17"/>
              </w:rPr>
            </w:pPr>
            <w:r w:rsidRPr="00F959D0">
              <w:rPr>
                <w:rFonts w:ascii="Arial" w:hAnsi="Arial" w:cs="Arial"/>
                <w:sz w:val="17"/>
                <w:szCs w:val="17"/>
              </w:rPr>
              <w:t xml:space="preserve"> 93.223 </w:t>
            </w:r>
          </w:p>
        </w:tc>
        <w:tc>
          <w:tcPr>
            <w:tcW w:w="1461" w:type="dxa"/>
            <w:tcBorders>
              <w:top w:val="nil"/>
              <w:left w:val="nil"/>
              <w:bottom w:val="single" w:sz="4" w:space="0" w:color="auto"/>
              <w:right w:val="nil"/>
            </w:tcBorders>
            <w:tcMar>
              <w:top w:w="0" w:type="dxa"/>
              <w:left w:w="120" w:type="dxa"/>
              <w:bottom w:w="0" w:type="dxa"/>
              <w:right w:w="120" w:type="dxa"/>
            </w:tcMar>
            <w:vAlign w:val="bottom"/>
          </w:tcPr>
          <w:p w14:paraId="20A5AFFB" w14:textId="77777777" w:rsidR="00D041F4" w:rsidRPr="00F959D0" w:rsidRDefault="00D041F4" w:rsidP="00D707D6">
            <w:pPr>
              <w:spacing w:line="240" w:lineRule="exact"/>
              <w:jc w:val="right"/>
              <w:rPr>
                <w:rFonts w:ascii="Arial" w:hAnsi="Arial" w:cs="Arial"/>
                <w:sz w:val="17"/>
                <w:szCs w:val="17"/>
              </w:rPr>
            </w:pPr>
            <w:r w:rsidRPr="00F959D0">
              <w:rPr>
                <w:rFonts w:ascii="Arial" w:hAnsi="Arial" w:cs="Arial"/>
                <w:sz w:val="17"/>
                <w:szCs w:val="17"/>
              </w:rPr>
              <w:t xml:space="preserve">  -   </w:t>
            </w:r>
          </w:p>
        </w:tc>
        <w:tc>
          <w:tcPr>
            <w:tcW w:w="1461" w:type="dxa"/>
            <w:tcBorders>
              <w:top w:val="nil"/>
              <w:left w:val="nil"/>
              <w:bottom w:val="single" w:sz="4" w:space="0" w:color="auto"/>
              <w:right w:val="nil"/>
            </w:tcBorders>
            <w:tcMar>
              <w:top w:w="0" w:type="dxa"/>
              <w:left w:w="120" w:type="dxa"/>
              <w:bottom w:w="0" w:type="dxa"/>
              <w:right w:w="120" w:type="dxa"/>
            </w:tcMar>
            <w:vAlign w:val="bottom"/>
          </w:tcPr>
          <w:p w14:paraId="0F5D0395" w14:textId="77777777" w:rsidR="00D041F4" w:rsidRPr="00F959D0" w:rsidRDefault="00D041F4" w:rsidP="00D707D6">
            <w:pPr>
              <w:spacing w:line="240" w:lineRule="exact"/>
              <w:jc w:val="right"/>
              <w:rPr>
                <w:rFonts w:ascii="Arial" w:hAnsi="Arial" w:cs="Arial"/>
                <w:sz w:val="17"/>
                <w:szCs w:val="17"/>
              </w:rPr>
            </w:pPr>
            <w:r w:rsidRPr="00F959D0">
              <w:rPr>
                <w:rFonts w:ascii="Arial" w:hAnsi="Arial" w:cs="Arial"/>
                <w:sz w:val="17"/>
                <w:szCs w:val="17"/>
              </w:rPr>
              <w:t xml:space="preserve">  -   </w:t>
            </w:r>
          </w:p>
        </w:tc>
        <w:tc>
          <w:tcPr>
            <w:tcW w:w="1461" w:type="dxa"/>
            <w:tcBorders>
              <w:top w:val="nil"/>
              <w:left w:val="nil"/>
              <w:bottom w:val="single" w:sz="4" w:space="0" w:color="auto"/>
            </w:tcBorders>
            <w:tcMar>
              <w:top w:w="0" w:type="dxa"/>
              <w:left w:w="120" w:type="dxa"/>
              <w:bottom w:w="0" w:type="dxa"/>
              <w:right w:w="120" w:type="dxa"/>
            </w:tcMar>
            <w:vAlign w:val="bottom"/>
          </w:tcPr>
          <w:p w14:paraId="7E5F24F8" w14:textId="77777777" w:rsidR="00D041F4" w:rsidRPr="00F959D0" w:rsidRDefault="00D041F4" w:rsidP="00D707D6">
            <w:pPr>
              <w:spacing w:line="240" w:lineRule="exact"/>
              <w:jc w:val="right"/>
              <w:rPr>
                <w:rFonts w:ascii="Arial" w:hAnsi="Arial" w:cs="Arial"/>
                <w:sz w:val="17"/>
                <w:szCs w:val="17"/>
              </w:rPr>
            </w:pPr>
            <w:r w:rsidRPr="00F959D0">
              <w:rPr>
                <w:rFonts w:ascii="Arial" w:hAnsi="Arial" w:cs="Arial"/>
                <w:sz w:val="17"/>
                <w:szCs w:val="17"/>
              </w:rPr>
              <w:t xml:space="preserve"> 93.223 </w:t>
            </w:r>
          </w:p>
        </w:tc>
      </w:tr>
      <w:tr w:rsidR="00D041F4" w:rsidRPr="00F97A44" w14:paraId="674A3290" w14:textId="77777777" w:rsidTr="00D707D6">
        <w:trPr>
          <w:trHeight w:val="310"/>
        </w:trPr>
        <w:tc>
          <w:tcPr>
            <w:tcW w:w="3625" w:type="dxa"/>
            <w:tcMar>
              <w:top w:w="0" w:type="dxa"/>
              <w:left w:w="120" w:type="dxa"/>
              <w:bottom w:w="0" w:type="dxa"/>
              <w:right w:w="120" w:type="dxa"/>
            </w:tcMar>
            <w:vAlign w:val="bottom"/>
          </w:tcPr>
          <w:p w14:paraId="42222C5B" w14:textId="77777777" w:rsidR="00D041F4" w:rsidRPr="00F97A44" w:rsidRDefault="00D041F4" w:rsidP="00D707D6">
            <w:pPr>
              <w:tabs>
                <w:tab w:val="right" w:pos="1202"/>
              </w:tabs>
              <w:suppressAutoHyphens/>
              <w:autoSpaceDN w:val="0"/>
              <w:spacing w:line="240" w:lineRule="exact"/>
              <w:outlineLvl w:val="0"/>
              <w:rPr>
                <w:rFonts w:ascii="Arial" w:eastAsia="Calibri" w:hAnsi="Arial" w:cs="Arial"/>
                <w:b/>
                <w:bCs/>
                <w:color w:val="000000" w:themeColor="text1"/>
                <w:sz w:val="17"/>
                <w:szCs w:val="17"/>
              </w:rPr>
            </w:pPr>
            <w:r w:rsidRPr="00F97A44">
              <w:rPr>
                <w:rFonts w:ascii="Arial" w:eastAsia="Calibri" w:hAnsi="Arial" w:cs="Arial"/>
                <w:b/>
                <w:bCs/>
                <w:color w:val="000000" w:themeColor="text1"/>
                <w:sz w:val="17"/>
                <w:szCs w:val="17"/>
              </w:rPr>
              <w:t>Ukupne obveze</w:t>
            </w:r>
          </w:p>
        </w:tc>
        <w:tc>
          <w:tcPr>
            <w:tcW w:w="1461" w:type="dxa"/>
            <w:tcBorders>
              <w:top w:val="single" w:sz="4" w:space="0" w:color="auto"/>
              <w:left w:val="nil"/>
              <w:bottom w:val="single" w:sz="12" w:space="0" w:color="auto"/>
              <w:right w:val="nil"/>
            </w:tcBorders>
            <w:tcMar>
              <w:top w:w="0" w:type="dxa"/>
              <w:left w:w="120" w:type="dxa"/>
              <w:bottom w:w="0" w:type="dxa"/>
              <w:right w:w="120" w:type="dxa"/>
            </w:tcMar>
            <w:vAlign w:val="bottom"/>
          </w:tcPr>
          <w:p w14:paraId="340C6DBC" w14:textId="77777777" w:rsidR="00D041F4" w:rsidRPr="00F959D0" w:rsidRDefault="00D041F4" w:rsidP="00D707D6">
            <w:pPr>
              <w:spacing w:line="240" w:lineRule="exact"/>
              <w:jc w:val="right"/>
              <w:rPr>
                <w:rFonts w:ascii="Arial" w:hAnsi="Arial" w:cs="Arial"/>
                <w:b/>
                <w:bCs/>
                <w:sz w:val="17"/>
                <w:szCs w:val="17"/>
              </w:rPr>
            </w:pPr>
            <w:r w:rsidRPr="00F959D0">
              <w:rPr>
                <w:rFonts w:ascii="Arial" w:hAnsi="Arial" w:cs="Arial"/>
                <w:b/>
                <w:bCs/>
                <w:sz w:val="17"/>
                <w:szCs w:val="17"/>
              </w:rPr>
              <w:t xml:space="preserve"> 2.526.869 </w:t>
            </w:r>
          </w:p>
        </w:tc>
        <w:tc>
          <w:tcPr>
            <w:tcW w:w="1461" w:type="dxa"/>
            <w:tcBorders>
              <w:top w:val="single" w:sz="4" w:space="0" w:color="auto"/>
              <w:left w:val="nil"/>
              <w:bottom w:val="single" w:sz="12" w:space="0" w:color="auto"/>
              <w:right w:val="nil"/>
            </w:tcBorders>
            <w:tcMar>
              <w:top w:w="0" w:type="dxa"/>
              <w:left w:w="120" w:type="dxa"/>
              <w:bottom w:w="0" w:type="dxa"/>
              <w:right w:w="120" w:type="dxa"/>
            </w:tcMar>
            <w:vAlign w:val="bottom"/>
          </w:tcPr>
          <w:p w14:paraId="5BDA947F" w14:textId="77777777" w:rsidR="00D041F4" w:rsidRPr="00F959D0" w:rsidRDefault="00D041F4" w:rsidP="00D707D6">
            <w:pPr>
              <w:spacing w:line="240" w:lineRule="exact"/>
              <w:jc w:val="right"/>
              <w:rPr>
                <w:rFonts w:ascii="Arial" w:hAnsi="Arial" w:cs="Arial"/>
                <w:b/>
                <w:bCs/>
                <w:sz w:val="17"/>
                <w:szCs w:val="17"/>
              </w:rPr>
            </w:pPr>
            <w:r w:rsidRPr="00F959D0">
              <w:rPr>
                <w:rFonts w:ascii="Arial" w:hAnsi="Arial" w:cs="Arial"/>
                <w:b/>
                <w:bCs/>
                <w:sz w:val="17"/>
                <w:szCs w:val="17"/>
              </w:rPr>
              <w:t xml:space="preserve"> 34.429 </w:t>
            </w:r>
          </w:p>
        </w:tc>
        <w:tc>
          <w:tcPr>
            <w:tcW w:w="1461" w:type="dxa"/>
            <w:tcBorders>
              <w:top w:val="single" w:sz="4" w:space="0" w:color="auto"/>
              <w:left w:val="nil"/>
              <w:bottom w:val="single" w:sz="12" w:space="0" w:color="auto"/>
              <w:right w:val="nil"/>
            </w:tcBorders>
            <w:tcMar>
              <w:top w:w="0" w:type="dxa"/>
              <w:left w:w="120" w:type="dxa"/>
              <w:bottom w:w="0" w:type="dxa"/>
              <w:right w:w="120" w:type="dxa"/>
            </w:tcMar>
            <w:vAlign w:val="bottom"/>
          </w:tcPr>
          <w:p w14:paraId="6B7FA5C0" w14:textId="77777777" w:rsidR="00D041F4" w:rsidRPr="00F959D0" w:rsidRDefault="00D041F4" w:rsidP="00D707D6">
            <w:pPr>
              <w:spacing w:line="240" w:lineRule="exact"/>
              <w:jc w:val="right"/>
              <w:rPr>
                <w:rFonts w:ascii="Arial" w:hAnsi="Arial" w:cs="Arial"/>
                <w:b/>
                <w:bCs/>
                <w:sz w:val="17"/>
                <w:szCs w:val="17"/>
              </w:rPr>
            </w:pPr>
            <w:r w:rsidRPr="00F959D0">
              <w:rPr>
                <w:rFonts w:ascii="Arial" w:hAnsi="Arial" w:cs="Arial"/>
                <w:b/>
                <w:bCs/>
                <w:sz w:val="17"/>
                <w:szCs w:val="17"/>
              </w:rPr>
              <w:t xml:space="preserve"> 2.359 </w:t>
            </w:r>
          </w:p>
        </w:tc>
        <w:tc>
          <w:tcPr>
            <w:tcW w:w="1461" w:type="dxa"/>
            <w:tcBorders>
              <w:top w:val="single" w:sz="4" w:space="0" w:color="auto"/>
              <w:left w:val="nil"/>
              <w:bottom w:val="single" w:sz="12" w:space="0" w:color="auto"/>
            </w:tcBorders>
            <w:tcMar>
              <w:top w:w="0" w:type="dxa"/>
              <w:left w:w="120" w:type="dxa"/>
              <w:bottom w:w="0" w:type="dxa"/>
              <w:right w:w="120" w:type="dxa"/>
            </w:tcMar>
            <w:vAlign w:val="bottom"/>
          </w:tcPr>
          <w:p w14:paraId="1B0699E2" w14:textId="77777777" w:rsidR="00D041F4" w:rsidRPr="00F959D0" w:rsidRDefault="00D041F4" w:rsidP="00D707D6">
            <w:pPr>
              <w:spacing w:line="240" w:lineRule="exact"/>
              <w:jc w:val="right"/>
              <w:rPr>
                <w:rFonts w:ascii="Arial" w:hAnsi="Arial" w:cs="Arial"/>
                <w:b/>
                <w:bCs/>
                <w:sz w:val="17"/>
                <w:szCs w:val="17"/>
              </w:rPr>
            </w:pPr>
            <w:r w:rsidRPr="00F959D0">
              <w:rPr>
                <w:rFonts w:ascii="Arial" w:hAnsi="Arial" w:cs="Arial"/>
                <w:b/>
                <w:bCs/>
                <w:sz w:val="17"/>
                <w:szCs w:val="17"/>
              </w:rPr>
              <w:t xml:space="preserve"> 2.563.657 </w:t>
            </w:r>
          </w:p>
        </w:tc>
      </w:tr>
      <w:tr w:rsidR="00D041F4" w:rsidRPr="00F97A44" w14:paraId="69452569" w14:textId="77777777" w:rsidTr="00D707D6">
        <w:trPr>
          <w:trHeight w:val="323"/>
        </w:trPr>
        <w:tc>
          <w:tcPr>
            <w:tcW w:w="3625" w:type="dxa"/>
            <w:tcMar>
              <w:top w:w="0" w:type="dxa"/>
              <w:left w:w="120" w:type="dxa"/>
              <w:bottom w:w="0" w:type="dxa"/>
              <w:right w:w="120" w:type="dxa"/>
            </w:tcMar>
            <w:vAlign w:val="bottom"/>
          </w:tcPr>
          <w:p w14:paraId="2482B8BF" w14:textId="77777777" w:rsidR="00D041F4" w:rsidRPr="00F97A44" w:rsidRDefault="00D041F4" w:rsidP="00D707D6">
            <w:pPr>
              <w:suppressAutoHyphens/>
              <w:autoSpaceDN w:val="0"/>
              <w:spacing w:line="240" w:lineRule="exact"/>
              <w:rPr>
                <w:rFonts w:ascii="Arial" w:hAnsi="Arial" w:cs="Arial"/>
                <w:b/>
                <w:bCs/>
                <w:color w:val="000000" w:themeColor="text1"/>
                <w:sz w:val="17"/>
                <w:szCs w:val="17"/>
              </w:rPr>
            </w:pPr>
            <w:r w:rsidRPr="00F97A44">
              <w:rPr>
                <w:rFonts w:ascii="Arial" w:hAnsi="Arial" w:cs="Arial"/>
                <w:b/>
                <w:bCs/>
                <w:color w:val="000000" w:themeColor="text1"/>
                <w:sz w:val="17"/>
                <w:szCs w:val="17"/>
              </w:rPr>
              <w:t>Valutni jaz</w:t>
            </w:r>
          </w:p>
        </w:tc>
        <w:tc>
          <w:tcPr>
            <w:tcW w:w="1461"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45F64995" w14:textId="77777777" w:rsidR="00D041F4" w:rsidRPr="00F959D0" w:rsidRDefault="00D041F4" w:rsidP="00D707D6">
            <w:pPr>
              <w:spacing w:line="240" w:lineRule="exact"/>
              <w:jc w:val="right"/>
              <w:rPr>
                <w:rFonts w:ascii="Arial" w:hAnsi="Arial" w:cs="Arial"/>
                <w:b/>
                <w:bCs/>
                <w:sz w:val="17"/>
                <w:szCs w:val="17"/>
              </w:rPr>
            </w:pPr>
            <w:r w:rsidRPr="00F959D0">
              <w:rPr>
                <w:rFonts w:ascii="Arial" w:hAnsi="Arial" w:cs="Arial"/>
                <w:b/>
                <w:bCs/>
                <w:sz w:val="17"/>
                <w:szCs w:val="17"/>
              </w:rPr>
              <w:t xml:space="preserve"> 1.438.577 </w:t>
            </w:r>
          </w:p>
        </w:tc>
        <w:tc>
          <w:tcPr>
            <w:tcW w:w="1461"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1471BCF0" w14:textId="77777777" w:rsidR="00D041F4" w:rsidRPr="00F959D0" w:rsidRDefault="00D041F4" w:rsidP="00D707D6">
            <w:pPr>
              <w:spacing w:line="240" w:lineRule="exact"/>
              <w:jc w:val="right"/>
              <w:rPr>
                <w:rFonts w:ascii="Arial" w:hAnsi="Arial" w:cs="Arial"/>
                <w:b/>
                <w:bCs/>
                <w:sz w:val="17"/>
                <w:szCs w:val="17"/>
              </w:rPr>
            </w:pPr>
            <w:r w:rsidRPr="00F959D0">
              <w:rPr>
                <w:rFonts w:ascii="Arial" w:hAnsi="Arial" w:cs="Arial"/>
                <w:b/>
                <w:bCs/>
                <w:sz w:val="17"/>
                <w:szCs w:val="17"/>
              </w:rPr>
              <w:t xml:space="preserve"> (549)</w:t>
            </w:r>
          </w:p>
        </w:tc>
        <w:tc>
          <w:tcPr>
            <w:tcW w:w="1461"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6A69F490" w14:textId="77777777" w:rsidR="00D041F4" w:rsidRPr="00F959D0" w:rsidRDefault="00D041F4" w:rsidP="00D707D6">
            <w:pPr>
              <w:spacing w:line="240" w:lineRule="exact"/>
              <w:jc w:val="right"/>
              <w:rPr>
                <w:rFonts w:ascii="Arial" w:hAnsi="Arial" w:cs="Arial"/>
                <w:b/>
                <w:bCs/>
                <w:sz w:val="17"/>
                <w:szCs w:val="17"/>
              </w:rPr>
            </w:pPr>
            <w:r w:rsidRPr="00F959D0">
              <w:rPr>
                <w:rFonts w:ascii="Arial" w:hAnsi="Arial" w:cs="Arial"/>
                <w:b/>
                <w:bCs/>
                <w:sz w:val="17"/>
                <w:szCs w:val="17"/>
              </w:rPr>
              <w:t xml:space="preserve"> 19.851 </w:t>
            </w:r>
          </w:p>
        </w:tc>
        <w:tc>
          <w:tcPr>
            <w:tcW w:w="1461" w:type="dxa"/>
            <w:tcBorders>
              <w:top w:val="single" w:sz="12" w:space="0" w:color="auto"/>
              <w:left w:val="nil"/>
              <w:bottom w:val="single" w:sz="12" w:space="0" w:color="auto"/>
            </w:tcBorders>
            <w:shd w:val="clear" w:color="000000" w:fill="auto"/>
            <w:tcMar>
              <w:top w:w="0" w:type="dxa"/>
              <w:left w:w="120" w:type="dxa"/>
              <w:bottom w:w="0" w:type="dxa"/>
              <w:right w:w="120" w:type="dxa"/>
            </w:tcMar>
            <w:vAlign w:val="bottom"/>
          </w:tcPr>
          <w:p w14:paraId="7DD82D0C" w14:textId="77777777" w:rsidR="00D041F4" w:rsidRPr="00F959D0" w:rsidRDefault="00D041F4" w:rsidP="00D707D6">
            <w:pPr>
              <w:spacing w:line="240" w:lineRule="exact"/>
              <w:jc w:val="right"/>
              <w:rPr>
                <w:rFonts w:ascii="Arial" w:hAnsi="Arial" w:cs="Arial"/>
                <w:b/>
                <w:bCs/>
                <w:sz w:val="17"/>
                <w:szCs w:val="17"/>
              </w:rPr>
            </w:pPr>
            <w:r w:rsidRPr="00F959D0">
              <w:rPr>
                <w:rFonts w:ascii="Arial" w:hAnsi="Arial" w:cs="Arial"/>
                <w:b/>
                <w:bCs/>
                <w:sz w:val="17"/>
                <w:szCs w:val="17"/>
              </w:rPr>
              <w:t xml:space="preserve"> 1.457.879 </w:t>
            </w:r>
          </w:p>
        </w:tc>
      </w:tr>
    </w:tbl>
    <w:p w14:paraId="7A6B4FBD" w14:textId="77777777" w:rsidR="006A67A0" w:rsidRPr="003D1614" w:rsidRDefault="006A67A0" w:rsidP="006A67A0">
      <w:pPr>
        <w:keepNext/>
        <w:suppressAutoHyphens/>
        <w:autoSpaceDN w:val="0"/>
        <w:jc w:val="both"/>
        <w:outlineLvl w:val="0"/>
        <w:rPr>
          <w:rFonts w:ascii="Arial" w:eastAsia="Times New Roman" w:hAnsi="Arial" w:cs="Arial"/>
          <w:color w:val="000000" w:themeColor="text1"/>
          <w:sz w:val="20"/>
          <w:szCs w:val="20"/>
        </w:rPr>
      </w:pPr>
    </w:p>
    <w:p w14:paraId="375B78C7" w14:textId="77777777" w:rsidR="006A67A0" w:rsidRPr="003D1614" w:rsidRDefault="006A67A0" w:rsidP="006A67A0">
      <w:pPr>
        <w:tabs>
          <w:tab w:val="right" w:pos="1202"/>
        </w:tabs>
        <w:suppressAutoHyphens/>
        <w:autoSpaceDN w:val="0"/>
        <w:outlineLvl w:val="0"/>
        <w:rPr>
          <w:rFonts w:ascii="Arial" w:eastAsia="Times New Roman" w:hAnsi="Arial" w:cs="Arial"/>
          <w:i/>
          <w:color w:val="000000" w:themeColor="text1"/>
          <w:sz w:val="20"/>
          <w:szCs w:val="20"/>
        </w:rPr>
      </w:pPr>
    </w:p>
    <w:p w14:paraId="4B352D94" w14:textId="77777777" w:rsidR="006A67A0" w:rsidRPr="003D1614" w:rsidRDefault="006A67A0" w:rsidP="006A67A0">
      <w:pPr>
        <w:tabs>
          <w:tab w:val="right" w:pos="1202"/>
        </w:tabs>
        <w:suppressAutoHyphens/>
        <w:autoSpaceDN w:val="0"/>
        <w:outlineLvl w:val="0"/>
        <w:rPr>
          <w:rFonts w:ascii="Arial" w:eastAsia="Times New Roman" w:hAnsi="Arial" w:cs="Arial"/>
          <w:i/>
          <w:color w:val="000000" w:themeColor="text1"/>
          <w:sz w:val="20"/>
          <w:szCs w:val="20"/>
        </w:rPr>
      </w:pPr>
    </w:p>
    <w:p w14:paraId="522264F3" w14:textId="60A975AC" w:rsidR="006A67A0" w:rsidRPr="003D1614" w:rsidRDefault="006A67A0" w:rsidP="006A67A0">
      <w:pPr>
        <w:tabs>
          <w:tab w:val="right" w:pos="1202"/>
        </w:tabs>
        <w:suppressAutoHyphens/>
        <w:autoSpaceDN w:val="0"/>
        <w:jc w:val="both"/>
        <w:outlineLvl w:val="0"/>
        <w:rPr>
          <w:rFonts w:ascii="Arial" w:eastAsia="Times New Roman" w:hAnsi="Arial" w:cs="Arial"/>
          <w:bCs/>
          <w:i/>
          <w:color w:val="000000" w:themeColor="text1"/>
          <w:sz w:val="18"/>
          <w:szCs w:val="18"/>
        </w:rPr>
      </w:pPr>
      <w:r w:rsidRPr="003D1614">
        <w:rPr>
          <w:rFonts w:ascii="Arial" w:eastAsia="Times New Roman" w:hAnsi="Arial" w:cs="Arial"/>
          <w:i/>
          <w:color w:val="000000" w:themeColor="text1"/>
          <w:sz w:val="18"/>
          <w:szCs w:val="18"/>
        </w:rPr>
        <w:t xml:space="preserve"> </w:t>
      </w:r>
    </w:p>
    <w:p w14:paraId="41968C9F" w14:textId="615157D0" w:rsidR="006A67A0" w:rsidRPr="003D1614" w:rsidRDefault="006A67A0" w:rsidP="006A67A0">
      <w:pPr>
        <w:tabs>
          <w:tab w:val="right" w:pos="1202"/>
        </w:tabs>
        <w:suppressAutoHyphens/>
        <w:autoSpaceDN w:val="0"/>
        <w:jc w:val="both"/>
        <w:outlineLvl w:val="0"/>
        <w:rPr>
          <w:rFonts w:ascii="Arial" w:eastAsia="Times New Roman" w:hAnsi="Arial" w:cs="Arial"/>
          <w:bCs/>
          <w:i/>
          <w:color w:val="000000" w:themeColor="text1"/>
          <w:sz w:val="18"/>
          <w:szCs w:val="18"/>
        </w:rPr>
      </w:pPr>
    </w:p>
    <w:p w14:paraId="61B9C38C" w14:textId="77777777" w:rsidR="006A67A0" w:rsidRPr="003D1614" w:rsidRDefault="006A67A0" w:rsidP="006A67A0">
      <w:pPr>
        <w:tabs>
          <w:tab w:val="right" w:pos="1202"/>
        </w:tabs>
        <w:suppressAutoHyphens/>
        <w:autoSpaceDN w:val="0"/>
        <w:jc w:val="both"/>
        <w:outlineLvl w:val="0"/>
        <w:rPr>
          <w:rFonts w:ascii="Arial" w:eastAsia="Times New Roman" w:hAnsi="Arial" w:cs="Arial"/>
          <w:bCs/>
          <w:i/>
          <w:color w:val="000000" w:themeColor="text1"/>
          <w:sz w:val="18"/>
          <w:szCs w:val="18"/>
        </w:rPr>
        <w:sectPr w:rsidR="006A67A0" w:rsidRPr="003D1614" w:rsidSect="003278AB">
          <w:pgSz w:w="11906" w:h="16838"/>
          <w:pgMar w:top="1417" w:right="1417" w:bottom="1417" w:left="1417" w:header="708" w:footer="708" w:gutter="0"/>
          <w:cols w:space="708"/>
          <w:docGrid w:linePitch="360"/>
        </w:sectPr>
      </w:pPr>
    </w:p>
    <w:p w14:paraId="2937A8DC" w14:textId="77777777" w:rsidR="006A67A0" w:rsidRPr="003D1614" w:rsidRDefault="006A67A0" w:rsidP="006A67A0">
      <w:pPr>
        <w:keepNext/>
        <w:suppressAutoHyphens/>
        <w:autoSpaceDN w:val="0"/>
        <w:jc w:val="both"/>
        <w:outlineLvl w:val="0"/>
        <w:rPr>
          <w:rFonts w:ascii="Arial" w:eastAsia="Times New Roman" w:hAnsi="Arial" w:cs="Arial"/>
          <w:b/>
          <w:bCs/>
          <w:color w:val="000000" w:themeColor="text1"/>
          <w:sz w:val="20"/>
          <w:szCs w:val="20"/>
        </w:rPr>
      </w:pPr>
    </w:p>
    <w:p w14:paraId="5755CA06" w14:textId="64DAB721"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Upravljanje rizicima (nastavak)</w:t>
      </w:r>
    </w:p>
    <w:p w14:paraId="11343AAC" w14:textId="77777777"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p>
    <w:p w14:paraId="1BBBA0F1" w14:textId="4A0F5CDB"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.5.     Tržišni rizik (nastavak)</w:t>
      </w:r>
    </w:p>
    <w:p w14:paraId="081A09D5" w14:textId="77777777"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p>
    <w:p w14:paraId="69F7E068" w14:textId="6280BC31"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.5.2.  Valutni rizik</w:t>
      </w:r>
    </w:p>
    <w:p w14:paraId="6568E02D" w14:textId="77777777" w:rsidR="006A67A0" w:rsidRPr="003D1614" w:rsidRDefault="006A67A0" w:rsidP="006A67A0">
      <w:pPr>
        <w:suppressAutoHyphens/>
        <w:autoSpaceDN w:val="0"/>
        <w:jc w:val="both"/>
        <w:rPr>
          <w:rFonts w:ascii="Arial" w:eastAsia="Times New Roman" w:hAnsi="Arial" w:cs="Arial"/>
          <w:color w:val="000000" w:themeColor="text1"/>
          <w:sz w:val="20"/>
          <w:szCs w:val="20"/>
        </w:rPr>
      </w:pPr>
    </w:p>
    <w:p w14:paraId="036D1BDB" w14:textId="18B0C922" w:rsidR="006A67A0" w:rsidRPr="003D1614" w:rsidRDefault="006A67A0" w:rsidP="006A67A0">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Iznos ukupne imovine i ukupnih obveza na dan </w:t>
      </w:r>
      <w:r w:rsidR="00E16D06" w:rsidRPr="00E16D06">
        <w:rPr>
          <w:rFonts w:ascii="Arial" w:eastAsia="Times New Roman" w:hAnsi="Arial" w:cs="Arial"/>
          <w:color w:val="000000" w:themeColor="text1"/>
          <w:sz w:val="20"/>
          <w:szCs w:val="20"/>
        </w:rPr>
        <w:t>30. rujna 202</w:t>
      </w:r>
      <w:r w:rsidR="00D041F4">
        <w:rPr>
          <w:rFonts w:ascii="Arial" w:eastAsia="Times New Roman" w:hAnsi="Arial" w:cs="Arial"/>
          <w:color w:val="000000" w:themeColor="text1"/>
          <w:sz w:val="20"/>
          <w:szCs w:val="20"/>
        </w:rPr>
        <w:t>4</w:t>
      </w:r>
      <w:r w:rsidR="00E16D06" w:rsidRPr="00E16D06">
        <w:rPr>
          <w:rFonts w:ascii="Arial" w:eastAsia="Times New Roman" w:hAnsi="Arial" w:cs="Arial"/>
          <w:color w:val="000000" w:themeColor="text1"/>
          <w:sz w:val="20"/>
          <w:szCs w:val="20"/>
        </w:rPr>
        <w:t>.</w:t>
      </w:r>
      <w:r w:rsidR="00E16D06">
        <w:rPr>
          <w:rFonts w:ascii="Arial" w:eastAsia="Times New Roman" w:hAnsi="Arial" w:cs="Arial"/>
          <w:color w:val="000000" w:themeColor="text1"/>
          <w:sz w:val="20"/>
          <w:szCs w:val="20"/>
        </w:rPr>
        <w:t xml:space="preserve"> </w:t>
      </w:r>
      <w:r w:rsidRPr="003D1614">
        <w:rPr>
          <w:rFonts w:ascii="Arial" w:eastAsia="Times New Roman" w:hAnsi="Arial" w:cs="Arial"/>
          <w:color w:val="000000" w:themeColor="text1"/>
          <w:sz w:val="20"/>
          <w:szCs w:val="20"/>
        </w:rPr>
        <w:t>i 31. prosinca 202</w:t>
      </w:r>
      <w:r w:rsidR="00D041F4">
        <w:rPr>
          <w:rFonts w:ascii="Arial" w:eastAsia="Times New Roman" w:hAnsi="Arial" w:cs="Arial"/>
          <w:color w:val="000000" w:themeColor="text1"/>
          <w:sz w:val="20"/>
          <w:szCs w:val="20"/>
        </w:rPr>
        <w:t>3</w:t>
      </w:r>
      <w:r w:rsidRPr="003D1614">
        <w:rPr>
          <w:rFonts w:ascii="Arial" w:eastAsia="Times New Roman" w:hAnsi="Arial" w:cs="Arial"/>
          <w:color w:val="000000" w:themeColor="text1"/>
          <w:sz w:val="20"/>
          <w:szCs w:val="20"/>
        </w:rPr>
        <w:t xml:space="preserve">. u </w:t>
      </w:r>
      <w:r w:rsidR="0056069E">
        <w:rPr>
          <w:rFonts w:ascii="Arial" w:eastAsia="Times New Roman" w:hAnsi="Arial" w:cs="Arial"/>
          <w:color w:val="000000" w:themeColor="text1"/>
          <w:sz w:val="20"/>
          <w:szCs w:val="20"/>
        </w:rPr>
        <w:t>eurima</w:t>
      </w:r>
      <w:r w:rsidRPr="003D1614">
        <w:rPr>
          <w:rFonts w:ascii="Arial" w:eastAsia="Times New Roman" w:hAnsi="Arial" w:cs="Arial"/>
          <w:color w:val="000000" w:themeColor="text1"/>
          <w:sz w:val="20"/>
          <w:szCs w:val="20"/>
        </w:rPr>
        <w:t xml:space="preserve"> i devizama:</w:t>
      </w:r>
    </w:p>
    <w:p w14:paraId="020C2E38" w14:textId="77777777" w:rsidR="006A67A0" w:rsidRPr="003D1614" w:rsidRDefault="006A67A0" w:rsidP="006A67A0">
      <w:pPr>
        <w:tabs>
          <w:tab w:val="right" w:pos="1202"/>
        </w:tabs>
        <w:suppressAutoHyphens/>
        <w:autoSpaceDN w:val="0"/>
        <w:spacing w:line="240" w:lineRule="exact"/>
        <w:outlineLvl w:val="0"/>
        <w:rPr>
          <w:rFonts w:ascii="Arial" w:eastAsia="Times New Roman" w:hAnsi="Arial" w:cs="Arial"/>
          <w:b/>
          <w:bCs/>
          <w:color w:val="000000" w:themeColor="text1"/>
          <w:sz w:val="20"/>
          <w:szCs w:val="20"/>
        </w:rPr>
      </w:pPr>
    </w:p>
    <w:p w14:paraId="7FA4DB51" w14:textId="77777777" w:rsidR="006A67A0" w:rsidRPr="003D1614" w:rsidRDefault="006A67A0" w:rsidP="006A67A0">
      <w:pPr>
        <w:tabs>
          <w:tab w:val="right" w:pos="1202"/>
        </w:tabs>
        <w:suppressAutoHyphens/>
        <w:autoSpaceDN w:val="0"/>
        <w:jc w:val="both"/>
        <w:outlineLvl w:val="0"/>
        <w:rPr>
          <w:rFonts w:ascii="Arial" w:eastAsia="Times New Roman" w:hAnsi="Arial" w:cs="Arial"/>
          <w:i/>
          <w:color w:val="000000" w:themeColor="text1"/>
          <w:sz w:val="20"/>
          <w:szCs w:val="20"/>
        </w:rPr>
      </w:pPr>
    </w:p>
    <w:tbl>
      <w:tblPr>
        <w:tblpPr w:leftFromText="180" w:rightFromText="180" w:vertAnchor="page" w:horzAnchor="margin" w:tblpY="4426"/>
        <w:tblW w:w="4852" w:type="pct"/>
        <w:tblLayout w:type="fixed"/>
        <w:tblCellMar>
          <w:left w:w="120" w:type="dxa"/>
          <w:right w:w="120" w:type="dxa"/>
        </w:tblCellMar>
        <w:tblLook w:val="0000" w:firstRow="0" w:lastRow="0" w:firstColumn="0" w:lastColumn="0" w:noHBand="0" w:noVBand="0"/>
      </w:tblPr>
      <w:tblGrid>
        <w:gridCol w:w="3372"/>
        <w:gridCol w:w="1359"/>
        <w:gridCol w:w="1359"/>
        <w:gridCol w:w="1359"/>
        <w:gridCol w:w="1354"/>
      </w:tblGrid>
      <w:tr w:rsidR="00462736" w:rsidRPr="003D1614" w14:paraId="74D5CFEA" w14:textId="77777777" w:rsidTr="00C450F2">
        <w:trPr>
          <w:trHeight w:val="388"/>
        </w:trPr>
        <w:tc>
          <w:tcPr>
            <w:tcW w:w="1915" w:type="pct"/>
            <w:vAlign w:val="bottom"/>
          </w:tcPr>
          <w:p w14:paraId="6DDEFFBC" w14:textId="77777777" w:rsidR="00462736" w:rsidRPr="003D1614" w:rsidRDefault="00462736" w:rsidP="00C450F2">
            <w:pPr>
              <w:tabs>
                <w:tab w:val="right" w:pos="1202"/>
              </w:tabs>
              <w:suppressAutoHyphens/>
              <w:autoSpaceDN w:val="0"/>
              <w:spacing w:line="220" w:lineRule="exact"/>
              <w:outlineLvl w:val="0"/>
              <w:rPr>
                <w:rFonts w:ascii="Arial" w:eastAsia="Times New Roman" w:hAnsi="Arial" w:cs="Arial"/>
                <w:b/>
                <w:color w:val="000000" w:themeColor="text1"/>
                <w:sz w:val="17"/>
                <w:szCs w:val="17"/>
              </w:rPr>
            </w:pPr>
            <w:bookmarkStart w:id="967" w:name="_Toc67330752"/>
            <w:r w:rsidRPr="003D1614">
              <w:rPr>
                <w:rFonts w:ascii="Arial" w:eastAsia="Times New Roman" w:hAnsi="Arial" w:cs="Arial"/>
                <w:b/>
                <w:color w:val="000000" w:themeColor="text1"/>
                <w:sz w:val="17"/>
                <w:szCs w:val="17"/>
              </w:rPr>
              <w:t>Banka</w:t>
            </w:r>
            <w:bookmarkEnd w:id="967"/>
          </w:p>
          <w:p w14:paraId="1F05AFA8" w14:textId="77777777" w:rsidR="00462736" w:rsidRPr="003D1614" w:rsidRDefault="00462736" w:rsidP="00C450F2">
            <w:pPr>
              <w:tabs>
                <w:tab w:val="right" w:pos="1202"/>
              </w:tabs>
              <w:suppressAutoHyphens/>
              <w:autoSpaceDN w:val="0"/>
              <w:spacing w:line="220" w:lineRule="exact"/>
              <w:outlineLvl w:val="0"/>
              <w:rPr>
                <w:rFonts w:ascii="Arial" w:eastAsia="Times New Roman" w:hAnsi="Arial" w:cs="Arial"/>
                <w:b/>
                <w:color w:val="000000" w:themeColor="text1"/>
                <w:sz w:val="17"/>
                <w:szCs w:val="17"/>
              </w:rPr>
            </w:pPr>
          </w:p>
          <w:p w14:paraId="38308A49" w14:textId="77777777" w:rsidR="00462736" w:rsidRPr="003D1614" w:rsidRDefault="00462736" w:rsidP="00C450F2">
            <w:pPr>
              <w:tabs>
                <w:tab w:val="right" w:pos="1202"/>
              </w:tabs>
              <w:suppressAutoHyphens/>
              <w:autoSpaceDN w:val="0"/>
              <w:spacing w:line="220" w:lineRule="exact"/>
              <w:outlineLvl w:val="0"/>
              <w:rPr>
                <w:rFonts w:ascii="Arial" w:eastAsia="Times New Roman" w:hAnsi="Arial" w:cs="Arial"/>
                <w:b/>
                <w:color w:val="000000" w:themeColor="text1"/>
                <w:sz w:val="17"/>
                <w:szCs w:val="17"/>
              </w:rPr>
            </w:pPr>
            <w:r w:rsidRPr="00E16D06">
              <w:rPr>
                <w:rFonts w:ascii="Arial" w:eastAsia="Times New Roman" w:hAnsi="Arial" w:cs="Arial"/>
                <w:b/>
                <w:color w:val="000000" w:themeColor="text1"/>
                <w:sz w:val="17"/>
                <w:szCs w:val="17"/>
              </w:rPr>
              <w:t>30. rujna 202</w:t>
            </w:r>
            <w:r>
              <w:rPr>
                <w:rFonts w:ascii="Arial" w:eastAsia="Times New Roman" w:hAnsi="Arial" w:cs="Arial"/>
                <w:b/>
                <w:color w:val="000000" w:themeColor="text1"/>
                <w:sz w:val="17"/>
                <w:szCs w:val="17"/>
              </w:rPr>
              <w:t>4</w:t>
            </w:r>
            <w:r w:rsidRPr="00E16D06">
              <w:rPr>
                <w:rFonts w:ascii="Arial" w:eastAsia="Times New Roman" w:hAnsi="Arial" w:cs="Arial"/>
                <w:b/>
                <w:color w:val="000000" w:themeColor="text1"/>
                <w:sz w:val="17"/>
                <w:szCs w:val="17"/>
              </w:rPr>
              <w:t>.</w:t>
            </w:r>
          </w:p>
        </w:tc>
        <w:tc>
          <w:tcPr>
            <w:tcW w:w="772" w:type="pct"/>
          </w:tcPr>
          <w:p w14:paraId="3935EC96" w14:textId="77777777" w:rsidR="00462736" w:rsidRPr="003D1614" w:rsidRDefault="00462736" w:rsidP="00C450F2">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r>
              <w:rPr>
                <w:rFonts w:ascii="Arial" w:eastAsia="Times New Roman" w:hAnsi="Arial" w:cs="Arial"/>
                <w:b/>
                <w:color w:val="000000" w:themeColor="text1"/>
                <w:sz w:val="17"/>
                <w:szCs w:val="17"/>
              </w:rPr>
              <w:t>EUR</w:t>
            </w:r>
          </w:p>
        </w:tc>
        <w:tc>
          <w:tcPr>
            <w:tcW w:w="772" w:type="pct"/>
          </w:tcPr>
          <w:p w14:paraId="64C1F6B4" w14:textId="77777777" w:rsidR="00462736" w:rsidRPr="0056069E" w:rsidRDefault="00462736" w:rsidP="00C450F2">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USD</w:t>
            </w:r>
          </w:p>
        </w:tc>
        <w:tc>
          <w:tcPr>
            <w:tcW w:w="772" w:type="pct"/>
          </w:tcPr>
          <w:p w14:paraId="00224AC9" w14:textId="77777777" w:rsidR="00462736" w:rsidRPr="003D1614" w:rsidRDefault="00462736" w:rsidP="00C450F2">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bookmarkStart w:id="968" w:name="_Toc67330756"/>
            <w:r w:rsidRPr="003D1614">
              <w:rPr>
                <w:rFonts w:ascii="Arial" w:eastAsia="Times New Roman" w:hAnsi="Arial" w:cs="Arial"/>
                <w:b/>
                <w:color w:val="000000" w:themeColor="text1"/>
                <w:sz w:val="17"/>
                <w:szCs w:val="17"/>
              </w:rPr>
              <w:t>Ostale valute</w:t>
            </w:r>
            <w:bookmarkEnd w:id="968"/>
          </w:p>
        </w:tc>
        <w:tc>
          <w:tcPr>
            <w:tcW w:w="769" w:type="pct"/>
          </w:tcPr>
          <w:p w14:paraId="3E9BAA01" w14:textId="77777777" w:rsidR="00462736" w:rsidRPr="003D1614" w:rsidRDefault="00462736" w:rsidP="00C450F2">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bookmarkStart w:id="969" w:name="_Toc67330759"/>
            <w:r w:rsidRPr="003D1614">
              <w:rPr>
                <w:rFonts w:ascii="Arial" w:eastAsia="Times New Roman" w:hAnsi="Arial" w:cs="Arial"/>
                <w:b/>
                <w:color w:val="000000" w:themeColor="text1"/>
                <w:sz w:val="17"/>
                <w:szCs w:val="17"/>
              </w:rPr>
              <w:t>Ukupno</w:t>
            </w:r>
            <w:bookmarkEnd w:id="969"/>
          </w:p>
        </w:tc>
      </w:tr>
      <w:tr w:rsidR="00462736" w:rsidRPr="003D1614" w14:paraId="66A9A0FE" w14:textId="77777777" w:rsidTr="00C450F2">
        <w:trPr>
          <w:trHeight w:hRule="exact" w:val="205"/>
        </w:trPr>
        <w:tc>
          <w:tcPr>
            <w:tcW w:w="1915" w:type="pct"/>
          </w:tcPr>
          <w:p w14:paraId="49962D48" w14:textId="77777777" w:rsidR="00462736" w:rsidRPr="003D1614" w:rsidRDefault="00462736" w:rsidP="00C450F2">
            <w:pPr>
              <w:tabs>
                <w:tab w:val="right" w:pos="1202"/>
              </w:tabs>
              <w:suppressAutoHyphens/>
              <w:autoSpaceDN w:val="0"/>
              <w:spacing w:line="220" w:lineRule="exact"/>
              <w:outlineLvl w:val="0"/>
              <w:rPr>
                <w:rFonts w:ascii="Arial" w:eastAsia="Times New Roman" w:hAnsi="Arial" w:cs="Arial"/>
                <w:b/>
                <w:color w:val="000000" w:themeColor="text1"/>
                <w:sz w:val="17"/>
                <w:szCs w:val="17"/>
              </w:rPr>
            </w:pPr>
          </w:p>
        </w:tc>
        <w:tc>
          <w:tcPr>
            <w:tcW w:w="772" w:type="pct"/>
          </w:tcPr>
          <w:p w14:paraId="215404F1" w14:textId="77777777" w:rsidR="00462736" w:rsidRPr="003D1614" w:rsidRDefault="00462736" w:rsidP="00C450F2">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bookmarkStart w:id="970" w:name="_Toc67330760"/>
            <w:r w:rsidRPr="003D1614">
              <w:rPr>
                <w:rFonts w:ascii="Arial" w:eastAsia="Times New Roman" w:hAnsi="Arial" w:cs="Arial"/>
                <w:b/>
                <w:color w:val="000000" w:themeColor="text1"/>
                <w:sz w:val="17"/>
                <w:szCs w:val="17"/>
              </w:rPr>
              <w:t>000 eura</w:t>
            </w:r>
            <w:bookmarkEnd w:id="970"/>
          </w:p>
        </w:tc>
        <w:tc>
          <w:tcPr>
            <w:tcW w:w="772" w:type="pct"/>
          </w:tcPr>
          <w:p w14:paraId="2F4E469A" w14:textId="77777777" w:rsidR="00462736" w:rsidRPr="0056069E" w:rsidRDefault="00462736" w:rsidP="00C450F2">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000 eura</w:t>
            </w:r>
          </w:p>
        </w:tc>
        <w:tc>
          <w:tcPr>
            <w:tcW w:w="772" w:type="pct"/>
          </w:tcPr>
          <w:p w14:paraId="68F74C7F" w14:textId="77777777" w:rsidR="00462736" w:rsidRPr="003D1614" w:rsidRDefault="00462736" w:rsidP="00C450F2">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bookmarkStart w:id="971" w:name="_Toc67330762"/>
            <w:r w:rsidRPr="003D1614">
              <w:rPr>
                <w:rFonts w:ascii="Arial" w:eastAsia="Times New Roman" w:hAnsi="Arial" w:cs="Arial"/>
                <w:b/>
                <w:color w:val="000000" w:themeColor="text1"/>
                <w:sz w:val="17"/>
                <w:szCs w:val="17"/>
              </w:rPr>
              <w:t>000 eura</w:t>
            </w:r>
            <w:bookmarkEnd w:id="971"/>
          </w:p>
        </w:tc>
        <w:tc>
          <w:tcPr>
            <w:tcW w:w="769" w:type="pct"/>
          </w:tcPr>
          <w:p w14:paraId="723E9A12" w14:textId="77777777" w:rsidR="00462736" w:rsidRPr="003D1614" w:rsidRDefault="00462736" w:rsidP="00C450F2">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bookmarkStart w:id="972" w:name="_Toc67330765"/>
            <w:r w:rsidRPr="003D1614">
              <w:rPr>
                <w:rFonts w:ascii="Arial" w:eastAsia="Times New Roman" w:hAnsi="Arial" w:cs="Arial"/>
                <w:b/>
                <w:color w:val="000000" w:themeColor="text1"/>
                <w:sz w:val="17"/>
                <w:szCs w:val="17"/>
              </w:rPr>
              <w:t>000 eura</w:t>
            </w:r>
            <w:bookmarkEnd w:id="972"/>
          </w:p>
        </w:tc>
      </w:tr>
      <w:tr w:rsidR="00462736" w:rsidRPr="003D1614" w14:paraId="454D39FC" w14:textId="77777777" w:rsidTr="00C450F2">
        <w:trPr>
          <w:trHeight w:val="253"/>
        </w:trPr>
        <w:tc>
          <w:tcPr>
            <w:tcW w:w="1915" w:type="pct"/>
          </w:tcPr>
          <w:p w14:paraId="1492253D" w14:textId="77777777" w:rsidR="00462736" w:rsidRPr="003D1614" w:rsidRDefault="00462736" w:rsidP="00C450F2">
            <w:pPr>
              <w:tabs>
                <w:tab w:val="right" w:pos="1202"/>
              </w:tabs>
              <w:suppressAutoHyphens/>
              <w:autoSpaceDN w:val="0"/>
              <w:spacing w:line="240" w:lineRule="exact"/>
              <w:outlineLvl w:val="0"/>
              <w:rPr>
                <w:rFonts w:ascii="Arial" w:eastAsia="Times New Roman" w:hAnsi="Arial" w:cs="Arial"/>
                <w:b/>
                <w:bCs/>
                <w:color w:val="000000" w:themeColor="text1"/>
                <w:sz w:val="17"/>
                <w:szCs w:val="17"/>
              </w:rPr>
            </w:pPr>
            <w:bookmarkStart w:id="973" w:name="_Toc67330766"/>
            <w:r w:rsidRPr="003D1614">
              <w:rPr>
                <w:rFonts w:ascii="Arial" w:eastAsia="Times New Roman" w:hAnsi="Arial" w:cs="Arial"/>
                <w:b/>
                <w:bCs/>
                <w:color w:val="000000" w:themeColor="text1"/>
                <w:sz w:val="17"/>
                <w:szCs w:val="17"/>
              </w:rPr>
              <w:t>Imovina</w:t>
            </w:r>
            <w:bookmarkEnd w:id="973"/>
          </w:p>
        </w:tc>
        <w:tc>
          <w:tcPr>
            <w:tcW w:w="772" w:type="pct"/>
            <w:vAlign w:val="bottom"/>
          </w:tcPr>
          <w:p w14:paraId="45AB5D64" w14:textId="77777777" w:rsidR="00462736" w:rsidRPr="003D1614" w:rsidRDefault="00462736" w:rsidP="00C450F2">
            <w:pPr>
              <w:tabs>
                <w:tab w:val="right" w:pos="1202"/>
              </w:tabs>
              <w:suppressAutoHyphens/>
              <w:autoSpaceDN w:val="0"/>
              <w:spacing w:line="240" w:lineRule="exact"/>
              <w:outlineLvl w:val="0"/>
              <w:rPr>
                <w:rFonts w:ascii="Arial" w:eastAsia="Times New Roman" w:hAnsi="Arial" w:cs="Arial"/>
                <w:b/>
                <w:bCs/>
                <w:color w:val="000000" w:themeColor="text1"/>
                <w:sz w:val="17"/>
                <w:szCs w:val="17"/>
              </w:rPr>
            </w:pPr>
          </w:p>
        </w:tc>
        <w:tc>
          <w:tcPr>
            <w:tcW w:w="772" w:type="pct"/>
            <w:vAlign w:val="bottom"/>
          </w:tcPr>
          <w:p w14:paraId="5A2AA310" w14:textId="77777777" w:rsidR="00462736" w:rsidRPr="003D1614" w:rsidRDefault="00462736" w:rsidP="00C450F2">
            <w:pPr>
              <w:tabs>
                <w:tab w:val="right" w:pos="1202"/>
              </w:tabs>
              <w:suppressAutoHyphens/>
              <w:autoSpaceDN w:val="0"/>
              <w:spacing w:line="240" w:lineRule="exact"/>
              <w:jc w:val="right"/>
              <w:outlineLvl w:val="0"/>
              <w:rPr>
                <w:rFonts w:ascii="Arial" w:eastAsia="Times New Roman" w:hAnsi="Arial" w:cs="Arial"/>
                <w:b/>
                <w:bCs/>
                <w:color w:val="000000" w:themeColor="text1"/>
                <w:sz w:val="17"/>
                <w:szCs w:val="17"/>
              </w:rPr>
            </w:pPr>
          </w:p>
        </w:tc>
        <w:tc>
          <w:tcPr>
            <w:tcW w:w="772" w:type="pct"/>
            <w:vAlign w:val="bottom"/>
          </w:tcPr>
          <w:p w14:paraId="30BE7F92" w14:textId="77777777" w:rsidR="00462736" w:rsidRPr="003D1614" w:rsidRDefault="00462736" w:rsidP="00C450F2">
            <w:pPr>
              <w:tabs>
                <w:tab w:val="right" w:pos="1202"/>
              </w:tabs>
              <w:suppressAutoHyphens/>
              <w:autoSpaceDN w:val="0"/>
              <w:spacing w:line="240" w:lineRule="exact"/>
              <w:outlineLvl w:val="0"/>
              <w:rPr>
                <w:rFonts w:ascii="Arial" w:eastAsia="Times New Roman" w:hAnsi="Arial" w:cs="Arial"/>
                <w:b/>
                <w:bCs/>
                <w:color w:val="000000" w:themeColor="text1"/>
                <w:sz w:val="17"/>
                <w:szCs w:val="17"/>
              </w:rPr>
            </w:pPr>
          </w:p>
        </w:tc>
        <w:tc>
          <w:tcPr>
            <w:tcW w:w="769" w:type="pct"/>
            <w:vAlign w:val="bottom"/>
          </w:tcPr>
          <w:p w14:paraId="1730C6F4" w14:textId="77777777" w:rsidR="00462736" w:rsidRPr="003D1614" w:rsidRDefault="00462736" w:rsidP="00C450F2">
            <w:pPr>
              <w:tabs>
                <w:tab w:val="right" w:pos="1202"/>
              </w:tabs>
              <w:suppressAutoHyphens/>
              <w:autoSpaceDN w:val="0"/>
              <w:spacing w:line="240" w:lineRule="exact"/>
              <w:outlineLvl w:val="0"/>
              <w:rPr>
                <w:rFonts w:ascii="Arial" w:eastAsia="Times New Roman" w:hAnsi="Arial" w:cs="Arial"/>
                <w:b/>
                <w:bCs/>
                <w:color w:val="000000" w:themeColor="text1"/>
                <w:sz w:val="17"/>
                <w:szCs w:val="17"/>
              </w:rPr>
            </w:pPr>
          </w:p>
        </w:tc>
      </w:tr>
      <w:tr w:rsidR="00462736" w:rsidRPr="003D1614" w14:paraId="0474874A" w14:textId="77777777" w:rsidTr="00C450F2">
        <w:trPr>
          <w:trHeight w:hRule="exact" w:val="273"/>
        </w:trPr>
        <w:tc>
          <w:tcPr>
            <w:tcW w:w="1915" w:type="pct"/>
            <w:vAlign w:val="bottom"/>
          </w:tcPr>
          <w:p w14:paraId="3EB64CFE" w14:textId="77777777" w:rsidR="00462736" w:rsidRPr="003D1614" w:rsidRDefault="00462736" w:rsidP="00C450F2">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974" w:name="_Toc67330767"/>
            <w:r w:rsidRPr="003D1614">
              <w:rPr>
                <w:rFonts w:ascii="Arial" w:eastAsia="Times New Roman" w:hAnsi="Arial" w:cs="Arial"/>
                <w:color w:val="000000" w:themeColor="text1"/>
                <w:spacing w:val="-2"/>
                <w:sz w:val="17"/>
                <w:szCs w:val="17"/>
              </w:rPr>
              <w:t>Novčana sredstva i računi kod banaka</w:t>
            </w:r>
            <w:bookmarkEnd w:id="974"/>
            <w:r>
              <w:rPr>
                <w:rFonts w:ascii="Arial" w:eastAsia="Times New Roman" w:hAnsi="Arial" w:cs="Arial"/>
                <w:color w:val="000000" w:themeColor="text1"/>
                <w:spacing w:val="-2"/>
                <w:sz w:val="17"/>
                <w:szCs w:val="17"/>
              </w:rPr>
              <w:t xml:space="preserve">          </w:t>
            </w:r>
          </w:p>
        </w:tc>
        <w:tc>
          <w:tcPr>
            <w:tcW w:w="772" w:type="pct"/>
            <w:tcBorders>
              <w:top w:val="nil"/>
              <w:left w:val="nil"/>
              <w:right w:val="nil"/>
            </w:tcBorders>
            <w:vAlign w:val="bottom"/>
          </w:tcPr>
          <w:p w14:paraId="72B47AF2" w14:textId="77777777" w:rsidR="00462736" w:rsidRPr="00253968" w:rsidRDefault="00462736" w:rsidP="00C450F2">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33.978</w:t>
            </w:r>
          </w:p>
        </w:tc>
        <w:tc>
          <w:tcPr>
            <w:tcW w:w="772" w:type="pct"/>
            <w:tcBorders>
              <w:top w:val="nil"/>
              <w:left w:val="nil"/>
              <w:right w:val="nil"/>
            </w:tcBorders>
            <w:vAlign w:val="bottom"/>
          </w:tcPr>
          <w:p w14:paraId="10DD8B7B" w14:textId="77777777" w:rsidR="00462736" w:rsidRDefault="00462736" w:rsidP="00C450F2">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89</w:t>
            </w:r>
          </w:p>
        </w:tc>
        <w:tc>
          <w:tcPr>
            <w:tcW w:w="772" w:type="pct"/>
            <w:tcBorders>
              <w:top w:val="nil"/>
              <w:left w:val="nil"/>
              <w:right w:val="nil"/>
            </w:tcBorders>
            <w:vAlign w:val="bottom"/>
          </w:tcPr>
          <w:p w14:paraId="1E3CA103" w14:textId="77777777" w:rsidR="00462736" w:rsidRPr="00253968" w:rsidRDefault="00462736" w:rsidP="00C450F2">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20</w:t>
            </w:r>
          </w:p>
        </w:tc>
        <w:tc>
          <w:tcPr>
            <w:tcW w:w="769" w:type="pct"/>
            <w:tcBorders>
              <w:top w:val="nil"/>
              <w:left w:val="nil"/>
            </w:tcBorders>
            <w:vAlign w:val="bottom"/>
          </w:tcPr>
          <w:p w14:paraId="16F9B3D4" w14:textId="77777777" w:rsidR="00462736" w:rsidRPr="00253968" w:rsidRDefault="00462736" w:rsidP="00C450F2">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34.087</w:t>
            </w:r>
          </w:p>
        </w:tc>
      </w:tr>
      <w:tr w:rsidR="00462736" w:rsidRPr="003D1614" w14:paraId="67ADEB9D" w14:textId="77777777" w:rsidTr="00C450F2">
        <w:trPr>
          <w:trHeight w:hRule="exact" w:val="273"/>
        </w:trPr>
        <w:tc>
          <w:tcPr>
            <w:tcW w:w="1915" w:type="pct"/>
            <w:vAlign w:val="bottom"/>
          </w:tcPr>
          <w:p w14:paraId="0576C900" w14:textId="77777777" w:rsidR="00462736" w:rsidRPr="003D1614" w:rsidRDefault="00462736" w:rsidP="00C450F2">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975" w:name="_Toc67330768"/>
            <w:r w:rsidRPr="003D1614">
              <w:rPr>
                <w:rFonts w:ascii="Arial" w:eastAsia="Times New Roman" w:hAnsi="Arial" w:cs="Arial"/>
                <w:color w:val="000000" w:themeColor="text1"/>
                <w:spacing w:val="-2"/>
                <w:sz w:val="17"/>
                <w:szCs w:val="17"/>
              </w:rPr>
              <w:t>Depoziti kod drugih banaka</w:t>
            </w:r>
            <w:bookmarkEnd w:id="975"/>
          </w:p>
        </w:tc>
        <w:tc>
          <w:tcPr>
            <w:tcW w:w="772" w:type="pct"/>
            <w:tcBorders>
              <w:top w:val="nil"/>
              <w:left w:val="nil"/>
              <w:bottom w:val="nil"/>
              <w:right w:val="nil"/>
            </w:tcBorders>
            <w:vAlign w:val="bottom"/>
          </w:tcPr>
          <w:p w14:paraId="3909B16F" w14:textId="77777777" w:rsidR="00462736" w:rsidRPr="00253968" w:rsidRDefault="00462736" w:rsidP="00C450F2">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119.445</w:t>
            </w:r>
          </w:p>
        </w:tc>
        <w:tc>
          <w:tcPr>
            <w:tcW w:w="772" w:type="pct"/>
            <w:tcBorders>
              <w:top w:val="nil"/>
              <w:left w:val="nil"/>
              <w:bottom w:val="nil"/>
              <w:right w:val="nil"/>
            </w:tcBorders>
            <w:vAlign w:val="bottom"/>
          </w:tcPr>
          <w:p w14:paraId="43E8BE26" w14:textId="77777777" w:rsidR="00462736" w:rsidRDefault="00462736" w:rsidP="00C450F2">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1.165</w:t>
            </w:r>
          </w:p>
        </w:tc>
        <w:tc>
          <w:tcPr>
            <w:tcW w:w="772" w:type="pct"/>
            <w:tcBorders>
              <w:top w:val="nil"/>
              <w:left w:val="nil"/>
              <w:bottom w:val="nil"/>
              <w:right w:val="nil"/>
            </w:tcBorders>
            <w:vAlign w:val="bottom"/>
          </w:tcPr>
          <w:p w14:paraId="52D394F1" w14:textId="77777777" w:rsidR="00462736" w:rsidRPr="00253968" w:rsidRDefault="00462736" w:rsidP="00C450F2">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w:t>
            </w:r>
          </w:p>
        </w:tc>
        <w:tc>
          <w:tcPr>
            <w:tcW w:w="769" w:type="pct"/>
            <w:tcBorders>
              <w:top w:val="nil"/>
              <w:left w:val="nil"/>
              <w:bottom w:val="nil"/>
            </w:tcBorders>
            <w:vAlign w:val="bottom"/>
          </w:tcPr>
          <w:p w14:paraId="1A05B2ED" w14:textId="77777777" w:rsidR="00462736" w:rsidRPr="00253968" w:rsidRDefault="00462736" w:rsidP="00C450F2">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120.610</w:t>
            </w:r>
          </w:p>
        </w:tc>
      </w:tr>
      <w:tr w:rsidR="00462736" w:rsidRPr="003D1614" w14:paraId="5708E096" w14:textId="77777777" w:rsidTr="00C450F2">
        <w:trPr>
          <w:trHeight w:hRule="exact" w:val="273"/>
        </w:trPr>
        <w:tc>
          <w:tcPr>
            <w:tcW w:w="1915" w:type="pct"/>
            <w:vAlign w:val="bottom"/>
          </w:tcPr>
          <w:p w14:paraId="1634C4BF" w14:textId="77777777" w:rsidR="00462736" w:rsidRPr="003D1614" w:rsidRDefault="00462736" w:rsidP="00C450F2">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976" w:name="_Toc67330769"/>
            <w:r w:rsidRPr="003D1614">
              <w:rPr>
                <w:rFonts w:ascii="Arial" w:eastAsia="Times New Roman" w:hAnsi="Arial" w:cs="Arial"/>
                <w:color w:val="000000" w:themeColor="text1"/>
                <w:spacing w:val="-2"/>
                <w:sz w:val="17"/>
                <w:szCs w:val="17"/>
              </w:rPr>
              <w:t>Krediti financijskim institucijama</w:t>
            </w:r>
            <w:bookmarkEnd w:id="976"/>
          </w:p>
        </w:tc>
        <w:tc>
          <w:tcPr>
            <w:tcW w:w="772" w:type="pct"/>
            <w:tcBorders>
              <w:top w:val="nil"/>
              <w:left w:val="nil"/>
              <w:bottom w:val="nil"/>
              <w:right w:val="nil"/>
            </w:tcBorders>
            <w:vAlign w:val="bottom"/>
          </w:tcPr>
          <w:p w14:paraId="016C9DA5" w14:textId="77777777" w:rsidR="00462736" w:rsidRPr="00253968" w:rsidRDefault="00462736" w:rsidP="00C450F2">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1.167.204</w:t>
            </w:r>
          </w:p>
        </w:tc>
        <w:tc>
          <w:tcPr>
            <w:tcW w:w="772" w:type="pct"/>
            <w:tcBorders>
              <w:top w:val="nil"/>
              <w:left w:val="nil"/>
              <w:bottom w:val="nil"/>
              <w:right w:val="nil"/>
            </w:tcBorders>
            <w:vAlign w:val="bottom"/>
          </w:tcPr>
          <w:p w14:paraId="3EE876A4" w14:textId="77777777" w:rsidR="00462736" w:rsidRDefault="00462736" w:rsidP="00C450F2">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w:t>
            </w:r>
          </w:p>
        </w:tc>
        <w:tc>
          <w:tcPr>
            <w:tcW w:w="772" w:type="pct"/>
            <w:tcBorders>
              <w:top w:val="nil"/>
              <w:left w:val="nil"/>
              <w:bottom w:val="nil"/>
              <w:right w:val="nil"/>
            </w:tcBorders>
            <w:vAlign w:val="bottom"/>
          </w:tcPr>
          <w:p w14:paraId="771C5827" w14:textId="77777777" w:rsidR="00462736" w:rsidRPr="00253968" w:rsidRDefault="00462736" w:rsidP="00C450F2">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w:t>
            </w:r>
          </w:p>
        </w:tc>
        <w:tc>
          <w:tcPr>
            <w:tcW w:w="769" w:type="pct"/>
            <w:tcBorders>
              <w:top w:val="nil"/>
              <w:left w:val="nil"/>
              <w:bottom w:val="nil"/>
            </w:tcBorders>
            <w:vAlign w:val="bottom"/>
          </w:tcPr>
          <w:p w14:paraId="156ECF06" w14:textId="77777777" w:rsidR="00462736" w:rsidRPr="00253968" w:rsidRDefault="00462736" w:rsidP="00C450F2">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1.167.204</w:t>
            </w:r>
          </w:p>
        </w:tc>
      </w:tr>
      <w:tr w:rsidR="00462736" w:rsidRPr="003D1614" w14:paraId="68CF2DBC" w14:textId="77777777" w:rsidTr="00C450F2">
        <w:trPr>
          <w:trHeight w:hRule="exact" w:val="273"/>
        </w:trPr>
        <w:tc>
          <w:tcPr>
            <w:tcW w:w="1915" w:type="pct"/>
            <w:vAlign w:val="bottom"/>
          </w:tcPr>
          <w:p w14:paraId="0A9CB84E" w14:textId="77777777" w:rsidR="00462736" w:rsidRPr="003D1614" w:rsidRDefault="00462736" w:rsidP="00C450F2">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977" w:name="_Toc67330770"/>
            <w:r w:rsidRPr="003D1614">
              <w:rPr>
                <w:rFonts w:ascii="Arial" w:eastAsia="Times New Roman" w:hAnsi="Arial" w:cs="Arial"/>
                <w:color w:val="000000" w:themeColor="text1"/>
                <w:spacing w:val="-2"/>
                <w:sz w:val="17"/>
                <w:szCs w:val="17"/>
              </w:rPr>
              <w:t>Krediti ostalim korisnicima</w:t>
            </w:r>
            <w:bookmarkEnd w:id="977"/>
          </w:p>
        </w:tc>
        <w:tc>
          <w:tcPr>
            <w:tcW w:w="772" w:type="pct"/>
            <w:tcBorders>
              <w:top w:val="nil"/>
              <w:left w:val="nil"/>
              <w:bottom w:val="nil"/>
              <w:right w:val="nil"/>
            </w:tcBorders>
            <w:vAlign w:val="bottom"/>
          </w:tcPr>
          <w:p w14:paraId="39574BB2" w14:textId="77777777" w:rsidR="00462736" w:rsidRPr="00253968" w:rsidRDefault="00462736" w:rsidP="00C450F2">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2.311.904</w:t>
            </w:r>
          </w:p>
        </w:tc>
        <w:tc>
          <w:tcPr>
            <w:tcW w:w="772" w:type="pct"/>
            <w:tcBorders>
              <w:top w:val="nil"/>
              <w:left w:val="nil"/>
              <w:bottom w:val="nil"/>
              <w:right w:val="nil"/>
            </w:tcBorders>
            <w:vAlign w:val="bottom"/>
          </w:tcPr>
          <w:p w14:paraId="64FFD0D1" w14:textId="77777777" w:rsidR="00462736" w:rsidRDefault="00462736" w:rsidP="00C450F2">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27.236</w:t>
            </w:r>
          </w:p>
        </w:tc>
        <w:tc>
          <w:tcPr>
            <w:tcW w:w="772" w:type="pct"/>
            <w:tcBorders>
              <w:top w:val="nil"/>
              <w:left w:val="nil"/>
              <w:bottom w:val="nil"/>
              <w:right w:val="nil"/>
            </w:tcBorders>
            <w:vAlign w:val="bottom"/>
          </w:tcPr>
          <w:p w14:paraId="44FAC402" w14:textId="77777777" w:rsidR="00462736" w:rsidRPr="00253968" w:rsidRDefault="00462736" w:rsidP="00C450F2">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22.337</w:t>
            </w:r>
          </w:p>
        </w:tc>
        <w:tc>
          <w:tcPr>
            <w:tcW w:w="769" w:type="pct"/>
            <w:tcBorders>
              <w:top w:val="nil"/>
              <w:left w:val="nil"/>
              <w:bottom w:val="nil"/>
            </w:tcBorders>
            <w:vAlign w:val="bottom"/>
          </w:tcPr>
          <w:p w14:paraId="633E51A6" w14:textId="77777777" w:rsidR="00462736" w:rsidRPr="00253968" w:rsidRDefault="00462736" w:rsidP="00C450F2">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2.361.477</w:t>
            </w:r>
          </w:p>
        </w:tc>
      </w:tr>
      <w:tr w:rsidR="00462736" w:rsidRPr="003D1614" w14:paraId="5C8348A7" w14:textId="77777777" w:rsidTr="00C450F2">
        <w:trPr>
          <w:trHeight w:hRule="exact" w:val="503"/>
        </w:trPr>
        <w:tc>
          <w:tcPr>
            <w:tcW w:w="1915" w:type="pct"/>
            <w:vAlign w:val="bottom"/>
          </w:tcPr>
          <w:p w14:paraId="6F1A7CBB" w14:textId="77777777" w:rsidR="00462736" w:rsidRPr="003D1614" w:rsidRDefault="00462736" w:rsidP="00C450F2">
            <w:pPr>
              <w:tabs>
                <w:tab w:val="right" w:pos="1202"/>
              </w:tabs>
              <w:suppressAutoHyphens/>
              <w:autoSpaceDN w:val="0"/>
              <w:spacing w:line="240" w:lineRule="exact"/>
              <w:outlineLvl w:val="0"/>
              <w:rPr>
                <w:rFonts w:ascii="Arial" w:eastAsia="Times New Roman" w:hAnsi="Arial" w:cs="Arial"/>
                <w:color w:val="000000" w:themeColor="text1"/>
                <w:spacing w:val="-2"/>
                <w:sz w:val="17"/>
                <w:szCs w:val="17"/>
              </w:rPr>
            </w:pPr>
            <w:bookmarkStart w:id="978" w:name="_Toc67330771"/>
            <w:r w:rsidRPr="003D1614">
              <w:rPr>
                <w:rFonts w:ascii="Arial" w:eastAsia="Times New Roman" w:hAnsi="Arial" w:cs="Arial"/>
                <w:color w:val="000000" w:themeColor="text1"/>
                <w:sz w:val="17"/>
                <w:szCs w:val="17"/>
              </w:rPr>
              <w:t>Financijska imovina po fer vrijednosti kroz dobit ili gubitak</w:t>
            </w:r>
            <w:bookmarkEnd w:id="978"/>
          </w:p>
        </w:tc>
        <w:tc>
          <w:tcPr>
            <w:tcW w:w="772" w:type="pct"/>
            <w:tcBorders>
              <w:top w:val="nil"/>
              <w:left w:val="nil"/>
              <w:bottom w:val="nil"/>
              <w:right w:val="nil"/>
            </w:tcBorders>
            <w:vAlign w:val="bottom"/>
          </w:tcPr>
          <w:p w14:paraId="6630004D" w14:textId="77777777" w:rsidR="00462736" w:rsidRPr="00253968" w:rsidRDefault="00462736" w:rsidP="00C450F2">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62.143</w:t>
            </w:r>
          </w:p>
        </w:tc>
        <w:tc>
          <w:tcPr>
            <w:tcW w:w="772" w:type="pct"/>
            <w:tcBorders>
              <w:top w:val="nil"/>
              <w:left w:val="nil"/>
              <w:bottom w:val="nil"/>
              <w:right w:val="nil"/>
            </w:tcBorders>
            <w:vAlign w:val="bottom"/>
          </w:tcPr>
          <w:p w14:paraId="5A88793D" w14:textId="77777777" w:rsidR="00462736" w:rsidRDefault="00462736" w:rsidP="00C450F2">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3.889</w:t>
            </w:r>
          </w:p>
        </w:tc>
        <w:tc>
          <w:tcPr>
            <w:tcW w:w="772" w:type="pct"/>
            <w:tcBorders>
              <w:top w:val="nil"/>
              <w:left w:val="nil"/>
              <w:bottom w:val="nil"/>
              <w:right w:val="nil"/>
            </w:tcBorders>
            <w:vAlign w:val="bottom"/>
          </w:tcPr>
          <w:p w14:paraId="40A00F3F" w14:textId="77777777" w:rsidR="00462736" w:rsidRPr="00253968" w:rsidRDefault="00462736" w:rsidP="00C450F2">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w:t>
            </w:r>
          </w:p>
        </w:tc>
        <w:tc>
          <w:tcPr>
            <w:tcW w:w="769" w:type="pct"/>
            <w:tcBorders>
              <w:top w:val="nil"/>
              <w:left w:val="nil"/>
              <w:bottom w:val="nil"/>
            </w:tcBorders>
            <w:vAlign w:val="bottom"/>
          </w:tcPr>
          <w:p w14:paraId="5775C7EA" w14:textId="77777777" w:rsidR="00462736" w:rsidRPr="00253968" w:rsidRDefault="00462736" w:rsidP="00C450F2">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66.032</w:t>
            </w:r>
          </w:p>
        </w:tc>
      </w:tr>
      <w:tr w:rsidR="00462736" w:rsidRPr="003D1614" w14:paraId="637EC105" w14:textId="77777777" w:rsidTr="00C450F2">
        <w:trPr>
          <w:trHeight w:hRule="exact" w:val="552"/>
        </w:trPr>
        <w:tc>
          <w:tcPr>
            <w:tcW w:w="1915" w:type="pct"/>
            <w:vAlign w:val="bottom"/>
          </w:tcPr>
          <w:p w14:paraId="3387170B" w14:textId="77777777" w:rsidR="00462736" w:rsidRPr="003D1614" w:rsidRDefault="00462736" w:rsidP="00C450F2">
            <w:pPr>
              <w:tabs>
                <w:tab w:val="right" w:pos="1202"/>
              </w:tabs>
              <w:suppressAutoHyphens/>
              <w:autoSpaceDN w:val="0"/>
              <w:spacing w:line="240" w:lineRule="exact"/>
              <w:outlineLvl w:val="0"/>
              <w:rPr>
                <w:rFonts w:ascii="Arial" w:eastAsia="Times New Roman" w:hAnsi="Arial" w:cs="Arial"/>
                <w:color w:val="000000" w:themeColor="text1"/>
                <w:spacing w:val="-2"/>
                <w:sz w:val="17"/>
                <w:szCs w:val="17"/>
              </w:rPr>
            </w:pPr>
            <w:bookmarkStart w:id="979" w:name="_Toc67330772"/>
            <w:r w:rsidRPr="003D1614">
              <w:rPr>
                <w:rFonts w:ascii="Arial" w:eastAsia="Times New Roman" w:hAnsi="Arial" w:cs="Arial"/>
                <w:color w:val="000000" w:themeColor="text1"/>
                <w:sz w:val="17"/>
                <w:szCs w:val="17"/>
              </w:rPr>
              <w:t>Financijska imovina po fer vrijednosti kroz ostalu sveobuhvatnu dobit</w:t>
            </w:r>
            <w:bookmarkEnd w:id="979"/>
          </w:p>
        </w:tc>
        <w:tc>
          <w:tcPr>
            <w:tcW w:w="772" w:type="pct"/>
            <w:tcBorders>
              <w:top w:val="nil"/>
              <w:left w:val="nil"/>
              <w:bottom w:val="nil"/>
              <w:right w:val="nil"/>
            </w:tcBorders>
            <w:vAlign w:val="bottom"/>
          </w:tcPr>
          <w:p w14:paraId="608BDBCF" w14:textId="77777777" w:rsidR="00462736" w:rsidRPr="00253968" w:rsidRDefault="00462736" w:rsidP="00C450F2">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246.774</w:t>
            </w:r>
          </w:p>
        </w:tc>
        <w:tc>
          <w:tcPr>
            <w:tcW w:w="772" w:type="pct"/>
            <w:tcBorders>
              <w:top w:val="nil"/>
              <w:left w:val="nil"/>
              <w:bottom w:val="nil"/>
              <w:right w:val="nil"/>
            </w:tcBorders>
            <w:vAlign w:val="bottom"/>
          </w:tcPr>
          <w:p w14:paraId="707C73BB" w14:textId="77777777" w:rsidR="00462736" w:rsidRDefault="00462736" w:rsidP="00C450F2">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w:t>
            </w:r>
          </w:p>
        </w:tc>
        <w:tc>
          <w:tcPr>
            <w:tcW w:w="772" w:type="pct"/>
            <w:tcBorders>
              <w:top w:val="nil"/>
              <w:left w:val="nil"/>
              <w:bottom w:val="nil"/>
              <w:right w:val="nil"/>
            </w:tcBorders>
            <w:vAlign w:val="bottom"/>
          </w:tcPr>
          <w:p w14:paraId="7170BD79" w14:textId="77777777" w:rsidR="00462736" w:rsidRPr="00253968" w:rsidRDefault="00462736" w:rsidP="00C450F2">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w:t>
            </w:r>
          </w:p>
        </w:tc>
        <w:tc>
          <w:tcPr>
            <w:tcW w:w="769" w:type="pct"/>
            <w:tcBorders>
              <w:top w:val="nil"/>
              <w:left w:val="nil"/>
              <w:bottom w:val="nil"/>
            </w:tcBorders>
            <w:vAlign w:val="bottom"/>
          </w:tcPr>
          <w:p w14:paraId="0D21C492" w14:textId="77777777" w:rsidR="00462736" w:rsidRPr="00253968" w:rsidRDefault="00462736" w:rsidP="00C450F2">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246.774</w:t>
            </w:r>
          </w:p>
        </w:tc>
      </w:tr>
      <w:tr w:rsidR="00462736" w:rsidRPr="003D1614" w14:paraId="2E9BADA3" w14:textId="77777777" w:rsidTr="00C450F2">
        <w:trPr>
          <w:trHeight w:hRule="exact" w:val="273"/>
        </w:trPr>
        <w:tc>
          <w:tcPr>
            <w:tcW w:w="1915" w:type="pct"/>
            <w:vAlign w:val="bottom"/>
          </w:tcPr>
          <w:p w14:paraId="10BFCE90" w14:textId="77777777" w:rsidR="00462736" w:rsidRPr="003D1614" w:rsidRDefault="00462736" w:rsidP="00C450F2">
            <w:pPr>
              <w:tabs>
                <w:tab w:val="right" w:pos="1202"/>
              </w:tabs>
              <w:suppressAutoHyphens/>
              <w:autoSpaceDN w:val="0"/>
              <w:spacing w:line="240" w:lineRule="exact"/>
              <w:outlineLvl w:val="0"/>
              <w:rPr>
                <w:rFonts w:ascii="Arial" w:eastAsia="Times New Roman" w:hAnsi="Arial" w:cs="Arial"/>
                <w:color w:val="000000" w:themeColor="text1"/>
                <w:spacing w:val="-2"/>
                <w:sz w:val="17"/>
                <w:szCs w:val="17"/>
              </w:rPr>
            </w:pPr>
            <w:bookmarkStart w:id="980" w:name="_Toc67330773"/>
            <w:r w:rsidRPr="003D1614">
              <w:rPr>
                <w:rFonts w:ascii="Arial" w:eastAsia="Times New Roman" w:hAnsi="Arial" w:cs="Arial"/>
                <w:color w:val="000000" w:themeColor="text1"/>
                <w:spacing w:val="-2"/>
                <w:sz w:val="17"/>
                <w:szCs w:val="17"/>
              </w:rPr>
              <w:t>Ulaganja u ovisna društva</w:t>
            </w:r>
            <w:bookmarkEnd w:id="980"/>
          </w:p>
        </w:tc>
        <w:tc>
          <w:tcPr>
            <w:tcW w:w="772" w:type="pct"/>
            <w:tcBorders>
              <w:top w:val="nil"/>
              <w:left w:val="nil"/>
              <w:bottom w:val="nil"/>
              <w:right w:val="nil"/>
            </w:tcBorders>
            <w:vAlign w:val="bottom"/>
          </w:tcPr>
          <w:p w14:paraId="29641373" w14:textId="77777777" w:rsidR="00462736" w:rsidRPr="00253968" w:rsidRDefault="00462736" w:rsidP="00C450F2">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7.449</w:t>
            </w:r>
          </w:p>
        </w:tc>
        <w:tc>
          <w:tcPr>
            <w:tcW w:w="772" w:type="pct"/>
            <w:tcBorders>
              <w:top w:val="nil"/>
              <w:left w:val="nil"/>
              <w:bottom w:val="nil"/>
              <w:right w:val="nil"/>
            </w:tcBorders>
            <w:vAlign w:val="bottom"/>
          </w:tcPr>
          <w:p w14:paraId="7F4AF1E6" w14:textId="77777777" w:rsidR="00462736" w:rsidRDefault="00462736" w:rsidP="00C450F2">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w:t>
            </w:r>
          </w:p>
        </w:tc>
        <w:tc>
          <w:tcPr>
            <w:tcW w:w="772" w:type="pct"/>
            <w:tcBorders>
              <w:top w:val="nil"/>
              <w:left w:val="nil"/>
              <w:bottom w:val="nil"/>
              <w:right w:val="nil"/>
            </w:tcBorders>
            <w:vAlign w:val="bottom"/>
          </w:tcPr>
          <w:p w14:paraId="792EFD90" w14:textId="77777777" w:rsidR="00462736" w:rsidRPr="00253968" w:rsidRDefault="00462736" w:rsidP="00C450F2">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w:t>
            </w:r>
          </w:p>
        </w:tc>
        <w:tc>
          <w:tcPr>
            <w:tcW w:w="769" w:type="pct"/>
            <w:tcBorders>
              <w:top w:val="nil"/>
              <w:left w:val="nil"/>
              <w:bottom w:val="nil"/>
            </w:tcBorders>
            <w:vAlign w:val="bottom"/>
          </w:tcPr>
          <w:p w14:paraId="1AC264A4" w14:textId="77777777" w:rsidR="00462736" w:rsidRPr="00253968" w:rsidRDefault="00462736" w:rsidP="00C450F2">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7.449</w:t>
            </w:r>
          </w:p>
        </w:tc>
      </w:tr>
      <w:tr w:rsidR="00462736" w:rsidRPr="003D1614" w14:paraId="196392DE" w14:textId="77777777" w:rsidTr="00C450F2">
        <w:trPr>
          <w:trHeight w:hRule="exact" w:val="503"/>
        </w:trPr>
        <w:tc>
          <w:tcPr>
            <w:tcW w:w="1915" w:type="pct"/>
            <w:vAlign w:val="bottom"/>
          </w:tcPr>
          <w:p w14:paraId="256119B0" w14:textId="77777777" w:rsidR="00462736" w:rsidRPr="003D1614" w:rsidRDefault="00462736" w:rsidP="00C450F2">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981" w:name="_Toc67330774"/>
            <w:r w:rsidRPr="003D1614">
              <w:rPr>
                <w:rFonts w:ascii="Arial" w:eastAsia="Times New Roman" w:hAnsi="Arial" w:cs="Arial"/>
                <w:color w:val="000000" w:themeColor="text1"/>
                <w:spacing w:val="-2"/>
                <w:sz w:val="17"/>
                <w:szCs w:val="17"/>
              </w:rPr>
              <w:t>Nekretnine, postrojenja i oprema i nematerijalna imovina</w:t>
            </w:r>
            <w:bookmarkEnd w:id="981"/>
          </w:p>
        </w:tc>
        <w:tc>
          <w:tcPr>
            <w:tcW w:w="772" w:type="pct"/>
            <w:tcBorders>
              <w:top w:val="nil"/>
              <w:left w:val="nil"/>
              <w:bottom w:val="nil"/>
              <w:right w:val="nil"/>
            </w:tcBorders>
            <w:vAlign w:val="bottom"/>
          </w:tcPr>
          <w:p w14:paraId="192335C1" w14:textId="77777777" w:rsidR="00462736" w:rsidRPr="00253968" w:rsidRDefault="00462736" w:rsidP="00C450F2">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5.007</w:t>
            </w:r>
          </w:p>
        </w:tc>
        <w:tc>
          <w:tcPr>
            <w:tcW w:w="772" w:type="pct"/>
            <w:tcBorders>
              <w:top w:val="nil"/>
              <w:left w:val="nil"/>
              <w:bottom w:val="nil"/>
              <w:right w:val="nil"/>
            </w:tcBorders>
            <w:vAlign w:val="bottom"/>
          </w:tcPr>
          <w:p w14:paraId="76D1E528" w14:textId="77777777" w:rsidR="00462736" w:rsidRDefault="00462736" w:rsidP="00C450F2">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w:t>
            </w:r>
          </w:p>
        </w:tc>
        <w:tc>
          <w:tcPr>
            <w:tcW w:w="772" w:type="pct"/>
            <w:tcBorders>
              <w:top w:val="nil"/>
              <w:left w:val="nil"/>
              <w:bottom w:val="nil"/>
              <w:right w:val="nil"/>
            </w:tcBorders>
            <w:vAlign w:val="bottom"/>
          </w:tcPr>
          <w:p w14:paraId="6D512AA3" w14:textId="77777777" w:rsidR="00462736" w:rsidRPr="00253968" w:rsidRDefault="00462736" w:rsidP="00C450F2">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w:t>
            </w:r>
          </w:p>
        </w:tc>
        <w:tc>
          <w:tcPr>
            <w:tcW w:w="769" w:type="pct"/>
            <w:tcBorders>
              <w:top w:val="nil"/>
              <w:left w:val="nil"/>
              <w:bottom w:val="nil"/>
            </w:tcBorders>
            <w:vAlign w:val="bottom"/>
          </w:tcPr>
          <w:p w14:paraId="5DDD99D6" w14:textId="77777777" w:rsidR="00462736" w:rsidRPr="00253968" w:rsidRDefault="00462736" w:rsidP="00C450F2">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5.007</w:t>
            </w:r>
          </w:p>
        </w:tc>
      </w:tr>
      <w:tr w:rsidR="00462736" w:rsidRPr="003D1614" w14:paraId="5833CC7C" w14:textId="77777777" w:rsidTr="00C450F2">
        <w:trPr>
          <w:trHeight w:hRule="exact" w:val="287"/>
        </w:trPr>
        <w:tc>
          <w:tcPr>
            <w:tcW w:w="1915" w:type="pct"/>
            <w:vAlign w:val="bottom"/>
          </w:tcPr>
          <w:p w14:paraId="1C06063F" w14:textId="77777777" w:rsidR="00462736" w:rsidRPr="003D1614" w:rsidRDefault="00462736" w:rsidP="00C450F2">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982" w:name="_Toc67330775"/>
            <w:r w:rsidRPr="003D1614">
              <w:rPr>
                <w:rFonts w:ascii="Arial" w:eastAsia="Times New Roman" w:hAnsi="Arial" w:cs="Arial"/>
                <w:color w:val="000000" w:themeColor="text1"/>
                <w:spacing w:val="-2"/>
                <w:sz w:val="17"/>
                <w:szCs w:val="17"/>
              </w:rPr>
              <w:t>Preuzeta imovina</w:t>
            </w:r>
            <w:bookmarkEnd w:id="982"/>
          </w:p>
        </w:tc>
        <w:tc>
          <w:tcPr>
            <w:tcW w:w="772" w:type="pct"/>
            <w:tcBorders>
              <w:top w:val="nil"/>
              <w:left w:val="nil"/>
              <w:bottom w:val="nil"/>
              <w:right w:val="nil"/>
            </w:tcBorders>
            <w:vAlign w:val="bottom"/>
          </w:tcPr>
          <w:p w14:paraId="2E2A702F" w14:textId="77777777" w:rsidR="00462736" w:rsidRPr="00253968" w:rsidRDefault="00462736" w:rsidP="00C450F2">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1.952</w:t>
            </w:r>
          </w:p>
        </w:tc>
        <w:tc>
          <w:tcPr>
            <w:tcW w:w="772" w:type="pct"/>
            <w:tcBorders>
              <w:top w:val="nil"/>
              <w:left w:val="nil"/>
              <w:bottom w:val="nil"/>
              <w:right w:val="nil"/>
            </w:tcBorders>
            <w:vAlign w:val="bottom"/>
          </w:tcPr>
          <w:p w14:paraId="2D1E97FD" w14:textId="77777777" w:rsidR="00462736" w:rsidRDefault="00462736" w:rsidP="00C450F2">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w:t>
            </w:r>
          </w:p>
        </w:tc>
        <w:tc>
          <w:tcPr>
            <w:tcW w:w="772" w:type="pct"/>
            <w:tcBorders>
              <w:top w:val="nil"/>
              <w:left w:val="nil"/>
              <w:bottom w:val="nil"/>
              <w:right w:val="nil"/>
            </w:tcBorders>
            <w:vAlign w:val="bottom"/>
          </w:tcPr>
          <w:p w14:paraId="09B98162" w14:textId="77777777" w:rsidR="00462736" w:rsidRPr="00253968" w:rsidRDefault="00462736" w:rsidP="00C450F2">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w:t>
            </w:r>
          </w:p>
        </w:tc>
        <w:tc>
          <w:tcPr>
            <w:tcW w:w="769" w:type="pct"/>
            <w:tcBorders>
              <w:top w:val="nil"/>
              <w:left w:val="nil"/>
              <w:bottom w:val="nil"/>
            </w:tcBorders>
            <w:vAlign w:val="bottom"/>
          </w:tcPr>
          <w:p w14:paraId="2CA5301E" w14:textId="77777777" w:rsidR="00462736" w:rsidRPr="00253968" w:rsidRDefault="00462736" w:rsidP="00C450F2">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1.952</w:t>
            </w:r>
          </w:p>
        </w:tc>
      </w:tr>
      <w:tr w:rsidR="00462736" w:rsidRPr="003D1614" w14:paraId="4C3C9A5F" w14:textId="77777777" w:rsidTr="00C450F2">
        <w:trPr>
          <w:trHeight w:hRule="exact" w:val="273"/>
        </w:trPr>
        <w:tc>
          <w:tcPr>
            <w:tcW w:w="1915" w:type="pct"/>
            <w:vAlign w:val="bottom"/>
          </w:tcPr>
          <w:p w14:paraId="563885DD" w14:textId="77777777" w:rsidR="00462736" w:rsidRPr="003D1614" w:rsidRDefault="00462736" w:rsidP="00C450F2">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983" w:name="_Toc67330776"/>
            <w:r w:rsidRPr="003D1614">
              <w:rPr>
                <w:rFonts w:ascii="Arial" w:eastAsia="Times New Roman" w:hAnsi="Arial" w:cs="Arial"/>
                <w:color w:val="000000" w:themeColor="text1"/>
                <w:spacing w:val="-2"/>
                <w:sz w:val="17"/>
                <w:szCs w:val="17"/>
              </w:rPr>
              <w:t>Ostala imovina</w:t>
            </w:r>
            <w:bookmarkEnd w:id="983"/>
          </w:p>
        </w:tc>
        <w:tc>
          <w:tcPr>
            <w:tcW w:w="772" w:type="pct"/>
            <w:tcBorders>
              <w:top w:val="nil"/>
              <w:left w:val="nil"/>
              <w:bottom w:val="nil"/>
              <w:right w:val="nil"/>
            </w:tcBorders>
            <w:vAlign w:val="bottom"/>
          </w:tcPr>
          <w:p w14:paraId="517460CD" w14:textId="77777777" w:rsidR="00462736" w:rsidRPr="00253968" w:rsidRDefault="00462736" w:rsidP="00C450F2">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7.149</w:t>
            </w:r>
          </w:p>
        </w:tc>
        <w:tc>
          <w:tcPr>
            <w:tcW w:w="772" w:type="pct"/>
            <w:tcBorders>
              <w:top w:val="nil"/>
              <w:left w:val="nil"/>
              <w:bottom w:val="nil"/>
              <w:right w:val="nil"/>
            </w:tcBorders>
            <w:vAlign w:val="bottom"/>
          </w:tcPr>
          <w:p w14:paraId="78B2796D" w14:textId="77777777" w:rsidR="00462736" w:rsidRDefault="00462736" w:rsidP="00C450F2">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w:t>
            </w:r>
          </w:p>
        </w:tc>
        <w:tc>
          <w:tcPr>
            <w:tcW w:w="772" w:type="pct"/>
            <w:tcBorders>
              <w:top w:val="nil"/>
              <w:left w:val="nil"/>
              <w:bottom w:val="nil"/>
              <w:right w:val="nil"/>
            </w:tcBorders>
            <w:vAlign w:val="bottom"/>
          </w:tcPr>
          <w:p w14:paraId="71E94C72" w14:textId="77777777" w:rsidR="00462736" w:rsidRPr="00253968" w:rsidRDefault="00462736" w:rsidP="00C450F2">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w:t>
            </w:r>
          </w:p>
        </w:tc>
        <w:tc>
          <w:tcPr>
            <w:tcW w:w="769" w:type="pct"/>
            <w:tcBorders>
              <w:top w:val="nil"/>
              <w:left w:val="nil"/>
              <w:bottom w:val="nil"/>
            </w:tcBorders>
            <w:vAlign w:val="bottom"/>
          </w:tcPr>
          <w:p w14:paraId="1E26A960" w14:textId="77777777" w:rsidR="00462736" w:rsidRPr="00253968" w:rsidRDefault="00462736" w:rsidP="00C450F2">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7.149</w:t>
            </w:r>
          </w:p>
        </w:tc>
      </w:tr>
      <w:tr w:rsidR="00462736" w:rsidRPr="003D1614" w14:paraId="77D1C7E8" w14:textId="77777777" w:rsidTr="00C450F2">
        <w:trPr>
          <w:trHeight w:hRule="exact" w:val="273"/>
        </w:trPr>
        <w:tc>
          <w:tcPr>
            <w:tcW w:w="1915" w:type="pct"/>
            <w:vAlign w:val="bottom"/>
          </w:tcPr>
          <w:p w14:paraId="4BFB07D3" w14:textId="77777777" w:rsidR="00462736" w:rsidRPr="003D1614" w:rsidRDefault="00462736" w:rsidP="00C450F2">
            <w:pPr>
              <w:tabs>
                <w:tab w:val="right" w:pos="1202"/>
              </w:tabs>
              <w:suppressAutoHyphens/>
              <w:autoSpaceDN w:val="0"/>
              <w:spacing w:line="240" w:lineRule="exact"/>
              <w:outlineLvl w:val="0"/>
              <w:rPr>
                <w:rFonts w:ascii="Arial" w:eastAsia="Times New Roman" w:hAnsi="Arial" w:cs="Arial"/>
                <w:b/>
                <w:bCs/>
                <w:color w:val="000000" w:themeColor="text1"/>
                <w:sz w:val="17"/>
                <w:szCs w:val="17"/>
              </w:rPr>
            </w:pPr>
            <w:bookmarkStart w:id="984" w:name="_Toc67330777"/>
            <w:r w:rsidRPr="003D1614">
              <w:rPr>
                <w:rFonts w:ascii="Arial" w:eastAsia="Times New Roman" w:hAnsi="Arial" w:cs="Arial"/>
                <w:b/>
                <w:bCs/>
                <w:color w:val="000000" w:themeColor="text1"/>
                <w:sz w:val="17"/>
                <w:szCs w:val="17"/>
              </w:rPr>
              <w:t>Ukupna imovina</w:t>
            </w:r>
            <w:bookmarkEnd w:id="984"/>
          </w:p>
        </w:tc>
        <w:tc>
          <w:tcPr>
            <w:tcW w:w="772" w:type="pct"/>
            <w:tcBorders>
              <w:top w:val="single" w:sz="4" w:space="0" w:color="000000"/>
              <w:bottom w:val="single" w:sz="8" w:space="0" w:color="000000"/>
            </w:tcBorders>
            <w:vAlign w:val="bottom"/>
          </w:tcPr>
          <w:p w14:paraId="78681745" w14:textId="77777777" w:rsidR="00462736" w:rsidRPr="00E81CFB" w:rsidRDefault="00462736" w:rsidP="00C450F2">
            <w:pPr>
              <w:suppressAutoHyphens/>
              <w:autoSpaceDN w:val="0"/>
              <w:spacing w:line="240" w:lineRule="exact"/>
              <w:ind w:left="-123"/>
              <w:jc w:val="right"/>
              <w:rPr>
                <w:rFonts w:ascii="Arial" w:eastAsia="Times New Roman" w:hAnsi="Arial" w:cs="Arial"/>
                <w:b/>
                <w:bCs/>
                <w:color w:val="000000" w:themeColor="text1"/>
                <w:spacing w:val="-2"/>
                <w:sz w:val="17"/>
                <w:szCs w:val="17"/>
              </w:rPr>
            </w:pPr>
            <w:r>
              <w:rPr>
                <w:rFonts w:ascii="Arial" w:eastAsia="Times New Roman" w:hAnsi="Arial" w:cs="Arial"/>
                <w:b/>
                <w:bCs/>
                <w:color w:val="000000" w:themeColor="text1"/>
                <w:spacing w:val="-2"/>
                <w:sz w:val="17"/>
                <w:szCs w:val="17"/>
              </w:rPr>
              <w:t>3.963.005</w:t>
            </w:r>
          </w:p>
        </w:tc>
        <w:tc>
          <w:tcPr>
            <w:tcW w:w="772" w:type="pct"/>
            <w:tcBorders>
              <w:top w:val="single" w:sz="4" w:space="0" w:color="000000"/>
              <w:bottom w:val="single" w:sz="8" w:space="0" w:color="000000"/>
            </w:tcBorders>
            <w:vAlign w:val="bottom"/>
          </w:tcPr>
          <w:p w14:paraId="4C51A84E" w14:textId="77777777" w:rsidR="00462736" w:rsidRPr="00E81CFB" w:rsidRDefault="00462736" w:rsidP="00C450F2">
            <w:pPr>
              <w:suppressAutoHyphens/>
              <w:autoSpaceDN w:val="0"/>
              <w:spacing w:line="240" w:lineRule="exact"/>
              <w:ind w:left="-123"/>
              <w:jc w:val="right"/>
              <w:rPr>
                <w:rFonts w:ascii="Arial" w:eastAsia="Times New Roman" w:hAnsi="Arial" w:cs="Arial"/>
                <w:b/>
                <w:bCs/>
                <w:color w:val="000000" w:themeColor="text1"/>
                <w:spacing w:val="-2"/>
                <w:sz w:val="17"/>
                <w:szCs w:val="17"/>
              </w:rPr>
            </w:pPr>
            <w:r>
              <w:rPr>
                <w:rFonts w:ascii="Arial" w:eastAsia="Times New Roman" w:hAnsi="Arial" w:cs="Arial"/>
                <w:b/>
                <w:bCs/>
                <w:color w:val="000000" w:themeColor="text1"/>
                <w:spacing w:val="-2"/>
                <w:sz w:val="17"/>
                <w:szCs w:val="17"/>
              </w:rPr>
              <w:t>32.379</w:t>
            </w:r>
          </w:p>
        </w:tc>
        <w:tc>
          <w:tcPr>
            <w:tcW w:w="772" w:type="pct"/>
            <w:tcBorders>
              <w:top w:val="single" w:sz="4" w:space="0" w:color="000000"/>
              <w:bottom w:val="single" w:sz="8" w:space="0" w:color="000000"/>
            </w:tcBorders>
            <w:vAlign w:val="bottom"/>
          </w:tcPr>
          <w:p w14:paraId="73B28416" w14:textId="77777777" w:rsidR="00462736" w:rsidRPr="00E81CFB" w:rsidRDefault="00462736" w:rsidP="00C450F2">
            <w:pPr>
              <w:suppressAutoHyphens/>
              <w:autoSpaceDN w:val="0"/>
              <w:spacing w:line="240" w:lineRule="exact"/>
              <w:ind w:left="-123"/>
              <w:jc w:val="right"/>
              <w:rPr>
                <w:rFonts w:ascii="Arial" w:eastAsia="Times New Roman" w:hAnsi="Arial" w:cs="Arial"/>
                <w:b/>
                <w:bCs/>
                <w:color w:val="000000" w:themeColor="text1"/>
                <w:spacing w:val="-2"/>
                <w:sz w:val="17"/>
                <w:szCs w:val="17"/>
              </w:rPr>
            </w:pPr>
            <w:r>
              <w:rPr>
                <w:rFonts w:ascii="Arial" w:eastAsia="Times New Roman" w:hAnsi="Arial" w:cs="Arial"/>
                <w:b/>
                <w:bCs/>
                <w:color w:val="000000" w:themeColor="text1"/>
                <w:spacing w:val="-2"/>
                <w:sz w:val="17"/>
                <w:szCs w:val="17"/>
              </w:rPr>
              <w:t>22.357</w:t>
            </w:r>
          </w:p>
        </w:tc>
        <w:tc>
          <w:tcPr>
            <w:tcW w:w="769" w:type="pct"/>
            <w:tcBorders>
              <w:top w:val="single" w:sz="4" w:space="0" w:color="000000"/>
              <w:bottom w:val="single" w:sz="8" w:space="0" w:color="000000"/>
            </w:tcBorders>
            <w:vAlign w:val="bottom"/>
          </w:tcPr>
          <w:p w14:paraId="22823256" w14:textId="77777777" w:rsidR="00462736" w:rsidRPr="00E81CFB" w:rsidRDefault="00462736" w:rsidP="00C450F2">
            <w:pPr>
              <w:suppressAutoHyphens/>
              <w:autoSpaceDN w:val="0"/>
              <w:spacing w:line="240" w:lineRule="exact"/>
              <w:ind w:left="-123"/>
              <w:jc w:val="right"/>
              <w:rPr>
                <w:rFonts w:ascii="Arial" w:eastAsia="Times New Roman" w:hAnsi="Arial" w:cs="Arial"/>
                <w:b/>
                <w:bCs/>
                <w:color w:val="000000" w:themeColor="text1"/>
                <w:spacing w:val="-2"/>
                <w:sz w:val="17"/>
                <w:szCs w:val="17"/>
              </w:rPr>
            </w:pPr>
            <w:r>
              <w:rPr>
                <w:rFonts w:ascii="Arial" w:eastAsia="Times New Roman" w:hAnsi="Arial" w:cs="Arial"/>
                <w:b/>
                <w:bCs/>
                <w:color w:val="000000" w:themeColor="text1"/>
                <w:spacing w:val="-2"/>
                <w:sz w:val="17"/>
                <w:szCs w:val="17"/>
              </w:rPr>
              <w:t>4.017.741</w:t>
            </w:r>
          </w:p>
        </w:tc>
      </w:tr>
      <w:tr w:rsidR="00462736" w:rsidRPr="003D1614" w14:paraId="423DE3FE" w14:textId="77777777" w:rsidTr="00C450F2">
        <w:trPr>
          <w:trHeight w:val="240"/>
        </w:trPr>
        <w:tc>
          <w:tcPr>
            <w:tcW w:w="1915" w:type="pct"/>
            <w:vAlign w:val="bottom"/>
          </w:tcPr>
          <w:p w14:paraId="45EF181A" w14:textId="77777777" w:rsidR="00462736" w:rsidRPr="003D1614" w:rsidRDefault="00462736" w:rsidP="00C450F2">
            <w:pPr>
              <w:tabs>
                <w:tab w:val="right" w:pos="1202"/>
              </w:tabs>
              <w:suppressAutoHyphens/>
              <w:autoSpaceDN w:val="0"/>
              <w:spacing w:line="240" w:lineRule="exact"/>
              <w:outlineLvl w:val="0"/>
              <w:rPr>
                <w:rFonts w:ascii="Arial" w:eastAsia="Times New Roman" w:hAnsi="Arial" w:cs="Arial"/>
                <w:b/>
                <w:bCs/>
                <w:color w:val="000000" w:themeColor="text1"/>
                <w:sz w:val="17"/>
                <w:szCs w:val="17"/>
              </w:rPr>
            </w:pPr>
            <w:bookmarkStart w:id="985" w:name="_Toc67330778"/>
            <w:r w:rsidRPr="003D1614">
              <w:rPr>
                <w:rFonts w:ascii="Arial" w:eastAsia="Times New Roman" w:hAnsi="Arial" w:cs="Arial"/>
                <w:b/>
                <w:bCs/>
                <w:color w:val="000000" w:themeColor="text1"/>
                <w:sz w:val="17"/>
                <w:szCs w:val="17"/>
              </w:rPr>
              <w:t>Obveze</w:t>
            </w:r>
            <w:bookmarkEnd w:id="985"/>
          </w:p>
        </w:tc>
        <w:tc>
          <w:tcPr>
            <w:tcW w:w="772" w:type="pct"/>
            <w:tcBorders>
              <w:top w:val="single" w:sz="12" w:space="0" w:color="000000"/>
            </w:tcBorders>
            <w:vAlign w:val="bottom"/>
          </w:tcPr>
          <w:p w14:paraId="007C6B00" w14:textId="77777777" w:rsidR="00462736" w:rsidRPr="003D1614" w:rsidRDefault="00462736" w:rsidP="00C450F2">
            <w:pPr>
              <w:suppressAutoHyphens/>
              <w:autoSpaceDN w:val="0"/>
              <w:spacing w:line="240" w:lineRule="exact"/>
              <w:ind w:left="-123"/>
              <w:jc w:val="right"/>
              <w:rPr>
                <w:rFonts w:ascii="Arial" w:eastAsia="Times New Roman" w:hAnsi="Arial" w:cs="Arial"/>
                <w:color w:val="000000" w:themeColor="text1"/>
                <w:spacing w:val="-2"/>
                <w:sz w:val="17"/>
                <w:szCs w:val="17"/>
              </w:rPr>
            </w:pPr>
          </w:p>
        </w:tc>
        <w:tc>
          <w:tcPr>
            <w:tcW w:w="772" w:type="pct"/>
            <w:tcBorders>
              <w:top w:val="single" w:sz="12" w:space="0" w:color="000000"/>
            </w:tcBorders>
            <w:vAlign w:val="bottom"/>
          </w:tcPr>
          <w:p w14:paraId="40219267" w14:textId="77777777" w:rsidR="00462736" w:rsidRPr="003D1614" w:rsidRDefault="00462736" w:rsidP="00C450F2">
            <w:pPr>
              <w:suppressAutoHyphens/>
              <w:autoSpaceDN w:val="0"/>
              <w:spacing w:line="240" w:lineRule="exact"/>
              <w:jc w:val="right"/>
              <w:rPr>
                <w:rFonts w:ascii="Arial" w:eastAsia="Times New Roman" w:hAnsi="Arial" w:cs="Arial"/>
                <w:color w:val="000000" w:themeColor="text1"/>
                <w:spacing w:val="-2"/>
                <w:sz w:val="17"/>
                <w:szCs w:val="17"/>
              </w:rPr>
            </w:pPr>
          </w:p>
        </w:tc>
        <w:tc>
          <w:tcPr>
            <w:tcW w:w="772" w:type="pct"/>
            <w:tcBorders>
              <w:top w:val="single" w:sz="12" w:space="0" w:color="000000"/>
            </w:tcBorders>
            <w:vAlign w:val="bottom"/>
          </w:tcPr>
          <w:p w14:paraId="62FA441F" w14:textId="77777777" w:rsidR="00462736" w:rsidRPr="003D1614" w:rsidRDefault="00462736" w:rsidP="00C450F2">
            <w:pPr>
              <w:suppressAutoHyphens/>
              <w:autoSpaceDN w:val="0"/>
              <w:spacing w:line="240" w:lineRule="exact"/>
              <w:jc w:val="right"/>
              <w:rPr>
                <w:rFonts w:ascii="Arial" w:eastAsia="Times New Roman" w:hAnsi="Arial" w:cs="Arial"/>
                <w:color w:val="000000" w:themeColor="text1"/>
                <w:spacing w:val="-2"/>
                <w:sz w:val="17"/>
                <w:szCs w:val="17"/>
              </w:rPr>
            </w:pPr>
          </w:p>
        </w:tc>
        <w:tc>
          <w:tcPr>
            <w:tcW w:w="769" w:type="pct"/>
            <w:tcBorders>
              <w:top w:val="single" w:sz="12" w:space="0" w:color="000000"/>
            </w:tcBorders>
            <w:vAlign w:val="bottom"/>
          </w:tcPr>
          <w:p w14:paraId="3614423D" w14:textId="77777777" w:rsidR="00462736" w:rsidRPr="00253968" w:rsidRDefault="00462736" w:rsidP="00C450F2">
            <w:pPr>
              <w:suppressAutoHyphens/>
              <w:autoSpaceDN w:val="0"/>
              <w:spacing w:line="240" w:lineRule="exact"/>
              <w:jc w:val="right"/>
              <w:rPr>
                <w:rFonts w:ascii="Arial" w:eastAsia="Times New Roman" w:hAnsi="Arial" w:cs="Arial"/>
                <w:color w:val="000000" w:themeColor="text1"/>
                <w:spacing w:val="-2"/>
                <w:sz w:val="17"/>
                <w:szCs w:val="17"/>
              </w:rPr>
            </w:pPr>
          </w:p>
        </w:tc>
      </w:tr>
      <w:tr w:rsidR="00462736" w:rsidRPr="003D1614" w14:paraId="76BBEE01" w14:textId="77777777" w:rsidTr="00C450F2">
        <w:trPr>
          <w:trHeight w:hRule="exact" w:val="273"/>
        </w:trPr>
        <w:tc>
          <w:tcPr>
            <w:tcW w:w="1915" w:type="pct"/>
            <w:vAlign w:val="bottom"/>
          </w:tcPr>
          <w:p w14:paraId="5B606C33" w14:textId="77777777" w:rsidR="00462736" w:rsidRPr="003D1614" w:rsidRDefault="00462736" w:rsidP="00C450F2">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986" w:name="_Toc67330779"/>
            <w:r w:rsidRPr="003D1614">
              <w:rPr>
                <w:rFonts w:ascii="Arial" w:eastAsia="Times New Roman" w:hAnsi="Arial" w:cs="Arial"/>
                <w:color w:val="000000" w:themeColor="text1"/>
                <w:sz w:val="17"/>
                <w:szCs w:val="17"/>
              </w:rPr>
              <w:t>Obveze po depozitima</w:t>
            </w:r>
            <w:bookmarkEnd w:id="986"/>
          </w:p>
        </w:tc>
        <w:tc>
          <w:tcPr>
            <w:tcW w:w="772" w:type="pct"/>
            <w:tcBorders>
              <w:top w:val="nil"/>
              <w:left w:val="nil"/>
              <w:bottom w:val="nil"/>
              <w:right w:val="nil"/>
            </w:tcBorders>
            <w:vAlign w:val="bottom"/>
          </w:tcPr>
          <w:p w14:paraId="1D23D412" w14:textId="77777777" w:rsidR="00462736" w:rsidRPr="00253968" w:rsidRDefault="00462736" w:rsidP="00C450F2">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207.692</w:t>
            </w:r>
          </w:p>
        </w:tc>
        <w:tc>
          <w:tcPr>
            <w:tcW w:w="772" w:type="pct"/>
            <w:tcBorders>
              <w:top w:val="nil"/>
              <w:left w:val="nil"/>
              <w:bottom w:val="nil"/>
              <w:right w:val="nil"/>
            </w:tcBorders>
            <w:vAlign w:val="bottom"/>
          </w:tcPr>
          <w:p w14:paraId="028B6D77" w14:textId="77777777" w:rsidR="00462736" w:rsidRDefault="00462736" w:rsidP="00C450F2">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15.375</w:t>
            </w:r>
          </w:p>
        </w:tc>
        <w:tc>
          <w:tcPr>
            <w:tcW w:w="772" w:type="pct"/>
            <w:tcBorders>
              <w:top w:val="nil"/>
              <w:left w:val="nil"/>
              <w:bottom w:val="nil"/>
              <w:right w:val="nil"/>
            </w:tcBorders>
            <w:vAlign w:val="bottom"/>
          </w:tcPr>
          <w:p w14:paraId="39F3272D" w14:textId="77777777" w:rsidR="00462736" w:rsidRPr="00253968" w:rsidRDefault="00462736" w:rsidP="00C450F2">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w:t>
            </w:r>
          </w:p>
        </w:tc>
        <w:tc>
          <w:tcPr>
            <w:tcW w:w="769" w:type="pct"/>
            <w:tcBorders>
              <w:top w:val="nil"/>
              <w:left w:val="nil"/>
              <w:bottom w:val="nil"/>
            </w:tcBorders>
            <w:vAlign w:val="bottom"/>
          </w:tcPr>
          <w:p w14:paraId="4032C4FD" w14:textId="77777777" w:rsidR="00462736" w:rsidRPr="00253968" w:rsidRDefault="00462736" w:rsidP="00C450F2">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223.067</w:t>
            </w:r>
          </w:p>
        </w:tc>
      </w:tr>
      <w:tr w:rsidR="00462736" w:rsidRPr="003D1614" w14:paraId="103D79B3" w14:textId="77777777" w:rsidTr="00C450F2">
        <w:trPr>
          <w:trHeight w:hRule="exact" w:val="273"/>
        </w:trPr>
        <w:tc>
          <w:tcPr>
            <w:tcW w:w="1915" w:type="pct"/>
            <w:vAlign w:val="bottom"/>
          </w:tcPr>
          <w:p w14:paraId="22A6A33C" w14:textId="77777777" w:rsidR="00462736" w:rsidRPr="003D1614" w:rsidRDefault="00462736" w:rsidP="00C450F2">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987" w:name="_Toc67330780"/>
            <w:r w:rsidRPr="003D1614">
              <w:rPr>
                <w:rFonts w:ascii="Arial" w:eastAsia="Times New Roman" w:hAnsi="Arial" w:cs="Arial"/>
                <w:color w:val="000000" w:themeColor="text1"/>
                <w:sz w:val="17"/>
                <w:szCs w:val="17"/>
              </w:rPr>
              <w:t>Obveze po kreditima</w:t>
            </w:r>
            <w:bookmarkEnd w:id="987"/>
          </w:p>
        </w:tc>
        <w:tc>
          <w:tcPr>
            <w:tcW w:w="772" w:type="pct"/>
            <w:tcBorders>
              <w:top w:val="nil"/>
              <w:left w:val="nil"/>
              <w:bottom w:val="nil"/>
              <w:right w:val="nil"/>
            </w:tcBorders>
            <w:vAlign w:val="bottom"/>
          </w:tcPr>
          <w:p w14:paraId="6DD10CD6" w14:textId="77777777" w:rsidR="00462736" w:rsidRPr="00253968" w:rsidRDefault="00462736" w:rsidP="00C450F2">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2.177.977</w:t>
            </w:r>
          </w:p>
        </w:tc>
        <w:tc>
          <w:tcPr>
            <w:tcW w:w="772" w:type="pct"/>
            <w:tcBorders>
              <w:top w:val="nil"/>
              <w:left w:val="nil"/>
              <w:bottom w:val="nil"/>
              <w:right w:val="nil"/>
            </w:tcBorders>
            <w:vAlign w:val="bottom"/>
          </w:tcPr>
          <w:p w14:paraId="07E657FF" w14:textId="77777777" w:rsidR="00462736" w:rsidRDefault="00462736" w:rsidP="00C450F2">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17.913</w:t>
            </w:r>
          </w:p>
        </w:tc>
        <w:tc>
          <w:tcPr>
            <w:tcW w:w="772" w:type="pct"/>
            <w:tcBorders>
              <w:top w:val="nil"/>
              <w:left w:val="nil"/>
              <w:bottom w:val="nil"/>
              <w:right w:val="nil"/>
            </w:tcBorders>
            <w:vAlign w:val="bottom"/>
          </w:tcPr>
          <w:p w14:paraId="2ACA74A1" w14:textId="77777777" w:rsidR="00462736" w:rsidRPr="00253968" w:rsidRDefault="00462736" w:rsidP="00C450F2">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w:t>
            </w:r>
          </w:p>
        </w:tc>
        <w:tc>
          <w:tcPr>
            <w:tcW w:w="769" w:type="pct"/>
            <w:tcBorders>
              <w:top w:val="nil"/>
              <w:left w:val="nil"/>
              <w:bottom w:val="nil"/>
            </w:tcBorders>
            <w:vAlign w:val="bottom"/>
          </w:tcPr>
          <w:p w14:paraId="33E917A9" w14:textId="77777777" w:rsidR="00462736" w:rsidRPr="00253968" w:rsidRDefault="00462736" w:rsidP="00C450F2">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2.195.890</w:t>
            </w:r>
          </w:p>
        </w:tc>
      </w:tr>
      <w:tr w:rsidR="00462736" w:rsidRPr="003D1614" w14:paraId="11F87825" w14:textId="77777777" w:rsidTr="00C450F2">
        <w:trPr>
          <w:trHeight w:hRule="exact" w:val="448"/>
        </w:trPr>
        <w:tc>
          <w:tcPr>
            <w:tcW w:w="1915" w:type="pct"/>
            <w:vAlign w:val="bottom"/>
          </w:tcPr>
          <w:p w14:paraId="2172908F" w14:textId="77777777" w:rsidR="00462736" w:rsidRPr="003D1614" w:rsidRDefault="00462736" w:rsidP="00C450F2">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988" w:name="_Toc67330782"/>
            <w:r w:rsidRPr="003D1614">
              <w:rPr>
                <w:rFonts w:ascii="Arial" w:eastAsia="Times New Roman" w:hAnsi="Arial" w:cs="Arial"/>
                <w:color w:val="000000" w:themeColor="text1"/>
                <w:sz w:val="17"/>
                <w:szCs w:val="17"/>
              </w:rPr>
              <w:t>Rezerviranja za garancije, preuzete i ostale obveze</w:t>
            </w:r>
            <w:bookmarkEnd w:id="988"/>
          </w:p>
        </w:tc>
        <w:tc>
          <w:tcPr>
            <w:tcW w:w="772" w:type="pct"/>
            <w:tcBorders>
              <w:top w:val="nil"/>
              <w:left w:val="nil"/>
              <w:bottom w:val="nil"/>
              <w:right w:val="nil"/>
            </w:tcBorders>
            <w:vAlign w:val="bottom"/>
          </w:tcPr>
          <w:p w14:paraId="43209132" w14:textId="77777777" w:rsidR="00462736" w:rsidRPr="00253968" w:rsidRDefault="00462736" w:rsidP="00C450F2">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17.940</w:t>
            </w:r>
          </w:p>
        </w:tc>
        <w:tc>
          <w:tcPr>
            <w:tcW w:w="772" w:type="pct"/>
            <w:tcBorders>
              <w:top w:val="nil"/>
              <w:left w:val="nil"/>
              <w:bottom w:val="nil"/>
              <w:right w:val="nil"/>
            </w:tcBorders>
            <w:vAlign w:val="bottom"/>
          </w:tcPr>
          <w:p w14:paraId="536EFD6F" w14:textId="77777777" w:rsidR="00462736" w:rsidRDefault="00462736" w:rsidP="00C450F2">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w:t>
            </w:r>
          </w:p>
        </w:tc>
        <w:tc>
          <w:tcPr>
            <w:tcW w:w="772" w:type="pct"/>
            <w:tcBorders>
              <w:top w:val="nil"/>
              <w:left w:val="nil"/>
              <w:bottom w:val="nil"/>
              <w:right w:val="nil"/>
            </w:tcBorders>
            <w:vAlign w:val="bottom"/>
          </w:tcPr>
          <w:p w14:paraId="63FD7618" w14:textId="77777777" w:rsidR="00462736" w:rsidRPr="00253968" w:rsidRDefault="00462736" w:rsidP="00C450F2">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1.455</w:t>
            </w:r>
          </w:p>
        </w:tc>
        <w:tc>
          <w:tcPr>
            <w:tcW w:w="769" w:type="pct"/>
            <w:tcBorders>
              <w:top w:val="nil"/>
              <w:left w:val="nil"/>
              <w:bottom w:val="nil"/>
            </w:tcBorders>
            <w:vAlign w:val="bottom"/>
          </w:tcPr>
          <w:p w14:paraId="0DA870B5" w14:textId="77777777" w:rsidR="00462736" w:rsidRPr="00253968" w:rsidRDefault="00462736" w:rsidP="00C450F2">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19.395</w:t>
            </w:r>
          </w:p>
        </w:tc>
      </w:tr>
      <w:tr w:rsidR="00462736" w:rsidRPr="003D1614" w14:paraId="615FB226" w14:textId="77777777" w:rsidTr="00C450F2">
        <w:trPr>
          <w:trHeight w:hRule="exact" w:val="273"/>
        </w:trPr>
        <w:tc>
          <w:tcPr>
            <w:tcW w:w="1915" w:type="pct"/>
            <w:vAlign w:val="bottom"/>
          </w:tcPr>
          <w:p w14:paraId="0425D340" w14:textId="77777777" w:rsidR="00462736" w:rsidRPr="003D1614" w:rsidRDefault="00462736" w:rsidP="00C450F2">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989" w:name="_Toc67330783"/>
            <w:r w:rsidRPr="003D1614">
              <w:rPr>
                <w:rFonts w:ascii="Arial" w:eastAsia="Times New Roman" w:hAnsi="Arial" w:cs="Arial"/>
                <w:color w:val="000000" w:themeColor="text1"/>
                <w:sz w:val="17"/>
                <w:szCs w:val="17"/>
              </w:rPr>
              <w:t>Ostale obveze</w:t>
            </w:r>
            <w:bookmarkEnd w:id="989"/>
          </w:p>
        </w:tc>
        <w:tc>
          <w:tcPr>
            <w:tcW w:w="772" w:type="pct"/>
            <w:tcBorders>
              <w:top w:val="nil"/>
              <w:left w:val="nil"/>
              <w:bottom w:val="single" w:sz="4" w:space="0" w:color="auto"/>
              <w:right w:val="nil"/>
            </w:tcBorders>
            <w:vAlign w:val="bottom"/>
          </w:tcPr>
          <w:p w14:paraId="3A25ED61" w14:textId="77777777" w:rsidR="00462736" w:rsidRPr="00253968" w:rsidRDefault="00462736" w:rsidP="00C450F2">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75.595</w:t>
            </w:r>
          </w:p>
        </w:tc>
        <w:tc>
          <w:tcPr>
            <w:tcW w:w="772" w:type="pct"/>
            <w:tcBorders>
              <w:top w:val="nil"/>
              <w:left w:val="nil"/>
              <w:bottom w:val="single" w:sz="4" w:space="0" w:color="auto"/>
              <w:right w:val="nil"/>
            </w:tcBorders>
            <w:vAlign w:val="bottom"/>
          </w:tcPr>
          <w:p w14:paraId="5C1085BE" w14:textId="77777777" w:rsidR="00462736" w:rsidRDefault="00462736" w:rsidP="00C450F2">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w:t>
            </w:r>
          </w:p>
        </w:tc>
        <w:tc>
          <w:tcPr>
            <w:tcW w:w="772" w:type="pct"/>
            <w:tcBorders>
              <w:top w:val="nil"/>
              <w:left w:val="nil"/>
              <w:bottom w:val="single" w:sz="4" w:space="0" w:color="auto"/>
              <w:right w:val="nil"/>
            </w:tcBorders>
            <w:vAlign w:val="bottom"/>
          </w:tcPr>
          <w:p w14:paraId="00E7AC42" w14:textId="77777777" w:rsidR="00462736" w:rsidRPr="00253968" w:rsidRDefault="00462736" w:rsidP="00C450F2">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w:t>
            </w:r>
          </w:p>
        </w:tc>
        <w:tc>
          <w:tcPr>
            <w:tcW w:w="769" w:type="pct"/>
            <w:tcBorders>
              <w:top w:val="nil"/>
              <w:left w:val="nil"/>
              <w:bottom w:val="single" w:sz="4" w:space="0" w:color="auto"/>
            </w:tcBorders>
            <w:vAlign w:val="bottom"/>
          </w:tcPr>
          <w:p w14:paraId="52C81879" w14:textId="77777777" w:rsidR="00462736" w:rsidRPr="00253968" w:rsidRDefault="00462736" w:rsidP="00C450F2">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75.595</w:t>
            </w:r>
          </w:p>
        </w:tc>
      </w:tr>
      <w:tr w:rsidR="00462736" w:rsidRPr="003D1614" w14:paraId="1A92D075" w14:textId="77777777" w:rsidTr="00C450F2">
        <w:trPr>
          <w:trHeight w:hRule="exact" w:val="273"/>
        </w:trPr>
        <w:tc>
          <w:tcPr>
            <w:tcW w:w="1915" w:type="pct"/>
            <w:vAlign w:val="bottom"/>
          </w:tcPr>
          <w:p w14:paraId="2F423917" w14:textId="77777777" w:rsidR="00462736" w:rsidRPr="003D1614" w:rsidRDefault="00462736" w:rsidP="00C450F2">
            <w:pPr>
              <w:tabs>
                <w:tab w:val="right" w:pos="1202"/>
              </w:tabs>
              <w:suppressAutoHyphens/>
              <w:autoSpaceDN w:val="0"/>
              <w:spacing w:line="240" w:lineRule="exact"/>
              <w:outlineLvl w:val="0"/>
              <w:rPr>
                <w:rFonts w:ascii="Arial" w:eastAsia="Times New Roman" w:hAnsi="Arial" w:cs="Arial"/>
                <w:b/>
                <w:bCs/>
                <w:color w:val="000000" w:themeColor="text1"/>
                <w:sz w:val="17"/>
                <w:szCs w:val="17"/>
              </w:rPr>
            </w:pPr>
            <w:bookmarkStart w:id="990" w:name="_Toc67330784"/>
            <w:r w:rsidRPr="003D1614">
              <w:rPr>
                <w:rFonts w:ascii="Arial" w:eastAsia="Times New Roman" w:hAnsi="Arial" w:cs="Arial"/>
                <w:b/>
                <w:bCs/>
                <w:color w:val="000000" w:themeColor="text1"/>
                <w:sz w:val="17"/>
                <w:szCs w:val="17"/>
              </w:rPr>
              <w:t>Ukupne obveze</w:t>
            </w:r>
            <w:bookmarkEnd w:id="990"/>
          </w:p>
        </w:tc>
        <w:tc>
          <w:tcPr>
            <w:tcW w:w="772" w:type="pct"/>
            <w:tcBorders>
              <w:top w:val="single" w:sz="4" w:space="0" w:color="auto"/>
              <w:left w:val="nil"/>
              <w:bottom w:val="single" w:sz="12" w:space="0" w:color="auto"/>
              <w:right w:val="nil"/>
            </w:tcBorders>
            <w:vAlign w:val="bottom"/>
          </w:tcPr>
          <w:p w14:paraId="1A9506AB" w14:textId="77777777" w:rsidR="00462736" w:rsidRPr="00E81CFB" w:rsidRDefault="00462736" w:rsidP="00C450F2">
            <w:pPr>
              <w:suppressAutoHyphens/>
              <w:autoSpaceDN w:val="0"/>
              <w:spacing w:line="240" w:lineRule="exact"/>
              <w:ind w:left="-123"/>
              <w:jc w:val="right"/>
              <w:rPr>
                <w:rFonts w:ascii="Arial" w:eastAsia="Times New Roman" w:hAnsi="Arial" w:cs="Arial"/>
                <w:b/>
                <w:bCs/>
                <w:color w:val="000000" w:themeColor="text1"/>
                <w:spacing w:val="-2"/>
                <w:sz w:val="17"/>
                <w:szCs w:val="17"/>
              </w:rPr>
            </w:pPr>
            <w:r>
              <w:rPr>
                <w:rFonts w:ascii="Arial" w:eastAsia="Times New Roman" w:hAnsi="Arial" w:cs="Arial"/>
                <w:b/>
                <w:bCs/>
                <w:color w:val="000000" w:themeColor="text1"/>
                <w:spacing w:val="-2"/>
                <w:sz w:val="17"/>
                <w:szCs w:val="17"/>
              </w:rPr>
              <w:t>2.479.204</w:t>
            </w:r>
          </w:p>
        </w:tc>
        <w:tc>
          <w:tcPr>
            <w:tcW w:w="772" w:type="pct"/>
            <w:tcBorders>
              <w:top w:val="single" w:sz="4" w:space="0" w:color="auto"/>
              <w:left w:val="nil"/>
              <w:bottom w:val="single" w:sz="12" w:space="0" w:color="auto"/>
              <w:right w:val="nil"/>
            </w:tcBorders>
            <w:vAlign w:val="bottom"/>
          </w:tcPr>
          <w:p w14:paraId="622D8365" w14:textId="77777777" w:rsidR="00462736" w:rsidRPr="00E81CFB" w:rsidRDefault="00462736" w:rsidP="00C450F2">
            <w:pPr>
              <w:suppressAutoHyphens/>
              <w:autoSpaceDN w:val="0"/>
              <w:spacing w:line="240" w:lineRule="exact"/>
              <w:ind w:left="-123"/>
              <w:jc w:val="right"/>
              <w:rPr>
                <w:rFonts w:ascii="Arial" w:eastAsia="Times New Roman" w:hAnsi="Arial" w:cs="Arial"/>
                <w:b/>
                <w:bCs/>
                <w:color w:val="000000" w:themeColor="text1"/>
                <w:spacing w:val="-2"/>
                <w:sz w:val="17"/>
                <w:szCs w:val="17"/>
              </w:rPr>
            </w:pPr>
            <w:r>
              <w:rPr>
                <w:rFonts w:ascii="Arial" w:eastAsia="Times New Roman" w:hAnsi="Arial" w:cs="Arial"/>
                <w:b/>
                <w:bCs/>
                <w:color w:val="000000" w:themeColor="text1"/>
                <w:spacing w:val="-2"/>
                <w:sz w:val="17"/>
                <w:szCs w:val="17"/>
              </w:rPr>
              <w:t>33.288</w:t>
            </w:r>
          </w:p>
        </w:tc>
        <w:tc>
          <w:tcPr>
            <w:tcW w:w="772" w:type="pct"/>
            <w:tcBorders>
              <w:top w:val="single" w:sz="4" w:space="0" w:color="auto"/>
              <w:left w:val="nil"/>
              <w:bottom w:val="single" w:sz="12" w:space="0" w:color="auto"/>
              <w:right w:val="nil"/>
            </w:tcBorders>
            <w:vAlign w:val="bottom"/>
          </w:tcPr>
          <w:p w14:paraId="07169927" w14:textId="77777777" w:rsidR="00462736" w:rsidRPr="00E81CFB" w:rsidRDefault="00462736" w:rsidP="00C450F2">
            <w:pPr>
              <w:suppressAutoHyphens/>
              <w:autoSpaceDN w:val="0"/>
              <w:spacing w:line="240" w:lineRule="exact"/>
              <w:ind w:left="-123"/>
              <w:jc w:val="right"/>
              <w:rPr>
                <w:rFonts w:ascii="Arial" w:eastAsia="Times New Roman" w:hAnsi="Arial" w:cs="Arial"/>
                <w:b/>
                <w:bCs/>
                <w:color w:val="000000" w:themeColor="text1"/>
                <w:spacing w:val="-2"/>
                <w:sz w:val="17"/>
                <w:szCs w:val="17"/>
              </w:rPr>
            </w:pPr>
            <w:r>
              <w:rPr>
                <w:rFonts w:ascii="Arial" w:eastAsia="Times New Roman" w:hAnsi="Arial" w:cs="Arial"/>
                <w:b/>
                <w:bCs/>
                <w:color w:val="000000" w:themeColor="text1"/>
                <w:spacing w:val="-2"/>
                <w:sz w:val="17"/>
                <w:szCs w:val="17"/>
              </w:rPr>
              <w:t>1.455</w:t>
            </w:r>
          </w:p>
        </w:tc>
        <w:tc>
          <w:tcPr>
            <w:tcW w:w="769" w:type="pct"/>
            <w:tcBorders>
              <w:top w:val="single" w:sz="4" w:space="0" w:color="auto"/>
              <w:left w:val="nil"/>
              <w:bottom w:val="single" w:sz="12" w:space="0" w:color="auto"/>
            </w:tcBorders>
            <w:vAlign w:val="bottom"/>
          </w:tcPr>
          <w:p w14:paraId="08FE3062" w14:textId="77777777" w:rsidR="00462736" w:rsidRPr="00E81CFB" w:rsidRDefault="00462736" w:rsidP="00C450F2">
            <w:pPr>
              <w:suppressAutoHyphens/>
              <w:autoSpaceDN w:val="0"/>
              <w:spacing w:line="240" w:lineRule="exact"/>
              <w:ind w:left="-123"/>
              <w:jc w:val="right"/>
              <w:rPr>
                <w:rFonts w:ascii="Arial" w:eastAsia="Times New Roman" w:hAnsi="Arial" w:cs="Arial"/>
                <w:b/>
                <w:bCs/>
                <w:color w:val="000000" w:themeColor="text1"/>
                <w:spacing w:val="-2"/>
                <w:sz w:val="17"/>
                <w:szCs w:val="17"/>
              </w:rPr>
            </w:pPr>
            <w:r>
              <w:rPr>
                <w:rFonts w:ascii="Arial" w:eastAsia="Times New Roman" w:hAnsi="Arial" w:cs="Arial"/>
                <w:b/>
                <w:bCs/>
                <w:color w:val="000000" w:themeColor="text1"/>
                <w:spacing w:val="-2"/>
                <w:sz w:val="17"/>
                <w:szCs w:val="17"/>
              </w:rPr>
              <w:t>2.513.947</w:t>
            </w:r>
          </w:p>
        </w:tc>
      </w:tr>
      <w:tr w:rsidR="00462736" w:rsidRPr="003D1614" w14:paraId="55379FCB" w14:textId="77777777" w:rsidTr="00C450F2">
        <w:trPr>
          <w:trHeight w:hRule="exact" w:val="405"/>
        </w:trPr>
        <w:tc>
          <w:tcPr>
            <w:tcW w:w="1915" w:type="pct"/>
            <w:vAlign w:val="bottom"/>
          </w:tcPr>
          <w:p w14:paraId="0D53DC78" w14:textId="77777777" w:rsidR="00462736" w:rsidRPr="003D1614" w:rsidRDefault="00462736" w:rsidP="00C450F2">
            <w:pPr>
              <w:tabs>
                <w:tab w:val="right" w:pos="1202"/>
              </w:tabs>
              <w:suppressAutoHyphens/>
              <w:autoSpaceDN w:val="0"/>
              <w:spacing w:line="240" w:lineRule="exact"/>
              <w:outlineLvl w:val="0"/>
              <w:rPr>
                <w:rFonts w:ascii="Arial" w:eastAsia="Times New Roman" w:hAnsi="Arial" w:cs="Arial"/>
                <w:b/>
                <w:bCs/>
                <w:color w:val="000000" w:themeColor="text1"/>
                <w:sz w:val="17"/>
                <w:szCs w:val="17"/>
              </w:rPr>
            </w:pPr>
            <w:bookmarkStart w:id="991" w:name="_Toc67330785"/>
            <w:r w:rsidRPr="003D1614">
              <w:rPr>
                <w:rFonts w:ascii="Arial" w:eastAsia="Times New Roman" w:hAnsi="Arial" w:cs="Arial"/>
                <w:b/>
                <w:bCs/>
                <w:color w:val="000000" w:themeColor="text1"/>
                <w:sz w:val="17"/>
                <w:szCs w:val="17"/>
              </w:rPr>
              <w:t>Valutni jaz</w:t>
            </w:r>
            <w:bookmarkEnd w:id="991"/>
          </w:p>
        </w:tc>
        <w:tc>
          <w:tcPr>
            <w:tcW w:w="772" w:type="pct"/>
            <w:tcBorders>
              <w:top w:val="single" w:sz="12" w:space="0" w:color="auto"/>
              <w:left w:val="nil"/>
              <w:bottom w:val="single" w:sz="12" w:space="0" w:color="auto"/>
              <w:right w:val="nil"/>
            </w:tcBorders>
            <w:shd w:val="clear" w:color="000000" w:fill="auto"/>
            <w:vAlign w:val="bottom"/>
          </w:tcPr>
          <w:p w14:paraId="653D9167" w14:textId="77777777" w:rsidR="00462736" w:rsidRPr="00253968" w:rsidRDefault="00462736" w:rsidP="00C450F2">
            <w:pPr>
              <w:suppressAutoHyphens/>
              <w:autoSpaceDN w:val="0"/>
              <w:spacing w:line="240" w:lineRule="exact"/>
              <w:ind w:left="-123"/>
              <w:jc w:val="right"/>
              <w:rPr>
                <w:rFonts w:ascii="Arial" w:eastAsia="Times New Roman" w:hAnsi="Arial" w:cs="Arial"/>
                <w:b/>
                <w:bCs/>
                <w:color w:val="000000" w:themeColor="text1"/>
                <w:spacing w:val="-2"/>
                <w:sz w:val="17"/>
                <w:szCs w:val="17"/>
              </w:rPr>
            </w:pPr>
            <w:r>
              <w:rPr>
                <w:rFonts w:ascii="Arial" w:eastAsia="Times New Roman" w:hAnsi="Arial" w:cs="Arial"/>
                <w:b/>
                <w:bCs/>
                <w:color w:val="000000" w:themeColor="text1"/>
                <w:spacing w:val="-2"/>
                <w:sz w:val="17"/>
                <w:szCs w:val="17"/>
              </w:rPr>
              <w:t>1.483.801</w:t>
            </w:r>
          </w:p>
        </w:tc>
        <w:tc>
          <w:tcPr>
            <w:tcW w:w="772" w:type="pct"/>
            <w:tcBorders>
              <w:top w:val="single" w:sz="12" w:space="0" w:color="auto"/>
              <w:left w:val="nil"/>
              <w:bottom w:val="single" w:sz="12" w:space="0" w:color="auto"/>
              <w:right w:val="nil"/>
            </w:tcBorders>
            <w:shd w:val="clear" w:color="000000" w:fill="auto"/>
            <w:vAlign w:val="bottom"/>
          </w:tcPr>
          <w:p w14:paraId="060003E6" w14:textId="77777777" w:rsidR="00462736" w:rsidRDefault="00462736" w:rsidP="00C450F2">
            <w:pPr>
              <w:suppressAutoHyphens/>
              <w:autoSpaceDN w:val="0"/>
              <w:spacing w:line="240" w:lineRule="exact"/>
              <w:ind w:left="-123"/>
              <w:jc w:val="right"/>
              <w:rPr>
                <w:rFonts w:ascii="Arial" w:eastAsia="Times New Roman" w:hAnsi="Arial" w:cs="Arial"/>
                <w:b/>
                <w:bCs/>
                <w:color w:val="000000" w:themeColor="text1"/>
                <w:spacing w:val="-2"/>
                <w:sz w:val="17"/>
                <w:szCs w:val="17"/>
              </w:rPr>
            </w:pPr>
            <w:r>
              <w:rPr>
                <w:rFonts w:ascii="Arial" w:eastAsia="Times New Roman" w:hAnsi="Arial" w:cs="Arial"/>
                <w:b/>
                <w:bCs/>
                <w:color w:val="000000" w:themeColor="text1"/>
                <w:spacing w:val="-2"/>
                <w:sz w:val="17"/>
                <w:szCs w:val="17"/>
              </w:rPr>
              <w:t>(909)</w:t>
            </w:r>
          </w:p>
        </w:tc>
        <w:tc>
          <w:tcPr>
            <w:tcW w:w="772" w:type="pct"/>
            <w:tcBorders>
              <w:top w:val="single" w:sz="12" w:space="0" w:color="auto"/>
              <w:left w:val="nil"/>
              <w:bottom w:val="single" w:sz="12" w:space="0" w:color="auto"/>
              <w:right w:val="nil"/>
            </w:tcBorders>
            <w:shd w:val="clear" w:color="000000" w:fill="auto"/>
            <w:vAlign w:val="bottom"/>
          </w:tcPr>
          <w:p w14:paraId="49A23C1C" w14:textId="77777777" w:rsidR="00462736" w:rsidRPr="00253968" w:rsidRDefault="00462736" w:rsidP="00C450F2">
            <w:pPr>
              <w:suppressAutoHyphens/>
              <w:autoSpaceDN w:val="0"/>
              <w:spacing w:line="240" w:lineRule="exact"/>
              <w:ind w:left="-123"/>
              <w:jc w:val="right"/>
              <w:rPr>
                <w:rFonts w:ascii="Arial" w:eastAsia="Times New Roman" w:hAnsi="Arial" w:cs="Arial"/>
                <w:b/>
                <w:bCs/>
                <w:color w:val="000000" w:themeColor="text1"/>
                <w:spacing w:val="-2"/>
                <w:sz w:val="17"/>
                <w:szCs w:val="17"/>
              </w:rPr>
            </w:pPr>
            <w:r>
              <w:rPr>
                <w:rFonts w:ascii="Arial" w:eastAsia="Times New Roman" w:hAnsi="Arial" w:cs="Arial"/>
                <w:b/>
                <w:bCs/>
                <w:color w:val="000000" w:themeColor="text1"/>
                <w:spacing w:val="-2"/>
                <w:sz w:val="17"/>
                <w:szCs w:val="17"/>
              </w:rPr>
              <w:t>20.902</w:t>
            </w:r>
          </w:p>
        </w:tc>
        <w:tc>
          <w:tcPr>
            <w:tcW w:w="769" w:type="pct"/>
            <w:tcBorders>
              <w:top w:val="single" w:sz="12" w:space="0" w:color="auto"/>
              <w:left w:val="nil"/>
              <w:bottom w:val="single" w:sz="12" w:space="0" w:color="auto"/>
            </w:tcBorders>
            <w:shd w:val="clear" w:color="000000" w:fill="auto"/>
            <w:vAlign w:val="bottom"/>
          </w:tcPr>
          <w:p w14:paraId="6FE8E8CB" w14:textId="77777777" w:rsidR="00462736" w:rsidRPr="00253968" w:rsidRDefault="00462736" w:rsidP="00C450F2">
            <w:pPr>
              <w:suppressAutoHyphens/>
              <w:autoSpaceDN w:val="0"/>
              <w:spacing w:line="240" w:lineRule="exact"/>
              <w:ind w:left="-123"/>
              <w:jc w:val="right"/>
              <w:rPr>
                <w:rFonts w:ascii="Arial" w:eastAsia="Times New Roman" w:hAnsi="Arial" w:cs="Arial"/>
                <w:b/>
                <w:bCs/>
                <w:color w:val="000000" w:themeColor="text1"/>
                <w:spacing w:val="-2"/>
                <w:sz w:val="17"/>
                <w:szCs w:val="17"/>
              </w:rPr>
            </w:pPr>
            <w:r>
              <w:rPr>
                <w:rFonts w:ascii="Arial" w:eastAsia="Times New Roman" w:hAnsi="Arial" w:cs="Arial"/>
                <w:b/>
                <w:bCs/>
                <w:color w:val="000000" w:themeColor="text1"/>
                <w:spacing w:val="-2"/>
                <w:sz w:val="17"/>
                <w:szCs w:val="17"/>
              </w:rPr>
              <w:t>1.503.794</w:t>
            </w:r>
          </w:p>
        </w:tc>
      </w:tr>
    </w:tbl>
    <w:p w14:paraId="727EC090" w14:textId="77777777" w:rsidR="006A67A0" w:rsidRPr="003D1614" w:rsidRDefault="006A67A0" w:rsidP="006A67A0">
      <w:pPr>
        <w:tabs>
          <w:tab w:val="right" w:pos="1202"/>
        </w:tabs>
        <w:suppressAutoHyphens/>
        <w:autoSpaceDN w:val="0"/>
        <w:jc w:val="both"/>
        <w:outlineLvl w:val="0"/>
        <w:rPr>
          <w:rFonts w:ascii="Arial" w:eastAsia="Times New Roman" w:hAnsi="Arial" w:cs="Arial"/>
          <w:i/>
          <w:color w:val="000000" w:themeColor="text1"/>
          <w:sz w:val="20"/>
          <w:szCs w:val="20"/>
        </w:rPr>
      </w:pPr>
    </w:p>
    <w:p w14:paraId="03AE442F" w14:textId="77777777" w:rsidR="006A67A0" w:rsidRPr="003D1614" w:rsidRDefault="006A67A0" w:rsidP="006A67A0">
      <w:pPr>
        <w:tabs>
          <w:tab w:val="right" w:pos="1202"/>
        </w:tabs>
        <w:suppressAutoHyphens/>
        <w:autoSpaceDN w:val="0"/>
        <w:jc w:val="both"/>
        <w:outlineLvl w:val="0"/>
        <w:rPr>
          <w:rFonts w:ascii="Arial" w:eastAsia="Times New Roman" w:hAnsi="Arial" w:cs="Arial"/>
          <w:i/>
          <w:color w:val="000000" w:themeColor="text1"/>
          <w:sz w:val="18"/>
          <w:szCs w:val="18"/>
        </w:rPr>
      </w:pPr>
    </w:p>
    <w:p w14:paraId="7DC0B4EA" w14:textId="77777777" w:rsidR="0056069E" w:rsidRDefault="0056069E" w:rsidP="006A67A0">
      <w:pPr>
        <w:tabs>
          <w:tab w:val="right" w:pos="1202"/>
        </w:tabs>
        <w:suppressAutoHyphens/>
        <w:autoSpaceDN w:val="0"/>
        <w:jc w:val="both"/>
        <w:outlineLvl w:val="0"/>
        <w:rPr>
          <w:rFonts w:ascii="Arial" w:eastAsia="Times New Roman" w:hAnsi="Arial" w:cs="Arial"/>
          <w:i/>
          <w:color w:val="000000" w:themeColor="text1"/>
          <w:sz w:val="18"/>
          <w:szCs w:val="18"/>
        </w:rPr>
      </w:pPr>
    </w:p>
    <w:p w14:paraId="6D59124F" w14:textId="77777777" w:rsidR="0056069E" w:rsidRDefault="0056069E" w:rsidP="006A67A0">
      <w:pPr>
        <w:tabs>
          <w:tab w:val="right" w:pos="1202"/>
        </w:tabs>
        <w:suppressAutoHyphens/>
        <w:autoSpaceDN w:val="0"/>
        <w:jc w:val="both"/>
        <w:outlineLvl w:val="0"/>
        <w:rPr>
          <w:rFonts w:ascii="Arial" w:eastAsia="Times New Roman" w:hAnsi="Arial" w:cs="Arial"/>
          <w:i/>
          <w:color w:val="000000" w:themeColor="text1"/>
          <w:sz w:val="18"/>
          <w:szCs w:val="18"/>
        </w:rPr>
      </w:pPr>
    </w:p>
    <w:p w14:paraId="29896543" w14:textId="77777777" w:rsidR="0056069E" w:rsidRDefault="0056069E" w:rsidP="006A67A0">
      <w:pPr>
        <w:tabs>
          <w:tab w:val="right" w:pos="1202"/>
        </w:tabs>
        <w:suppressAutoHyphens/>
        <w:autoSpaceDN w:val="0"/>
        <w:jc w:val="both"/>
        <w:outlineLvl w:val="0"/>
        <w:rPr>
          <w:rFonts w:ascii="Arial" w:eastAsia="Times New Roman" w:hAnsi="Arial" w:cs="Arial"/>
          <w:i/>
          <w:color w:val="000000" w:themeColor="text1"/>
          <w:sz w:val="18"/>
          <w:szCs w:val="18"/>
        </w:rPr>
      </w:pPr>
    </w:p>
    <w:p w14:paraId="3D3293F7" w14:textId="77777777" w:rsidR="0056069E" w:rsidRDefault="0056069E" w:rsidP="006A67A0">
      <w:pPr>
        <w:tabs>
          <w:tab w:val="right" w:pos="1202"/>
        </w:tabs>
        <w:suppressAutoHyphens/>
        <w:autoSpaceDN w:val="0"/>
        <w:jc w:val="both"/>
        <w:outlineLvl w:val="0"/>
        <w:rPr>
          <w:rFonts w:ascii="Arial" w:eastAsia="Times New Roman" w:hAnsi="Arial" w:cs="Arial"/>
          <w:i/>
          <w:color w:val="000000" w:themeColor="text1"/>
          <w:sz w:val="18"/>
          <w:szCs w:val="18"/>
        </w:rPr>
      </w:pPr>
    </w:p>
    <w:p w14:paraId="71BAD8AF" w14:textId="77777777" w:rsidR="0056069E" w:rsidRDefault="0056069E" w:rsidP="006A67A0">
      <w:pPr>
        <w:tabs>
          <w:tab w:val="right" w:pos="1202"/>
        </w:tabs>
        <w:suppressAutoHyphens/>
        <w:autoSpaceDN w:val="0"/>
        <w:jc w:val="both"/>
        <w:outlineLvl w:val="0"/>
        <w:rPr>
          <w:rFonts w:ascii="Arial" w:eastAsia="Times New Roman" w:hAnsi="Arial" w:cs="Arial"/>
          <w:i/>
          <w:color w:val="000000" w:themeColor="text1"/>
          <w:sz w:val="18"/>
          <w:szCs w:val="18"/>
        </w:rPr>
      </w:pPr>
    </w:p>
    <w:p w14:paraId="2F96166B" w14:textId="77777777" w:rsidR="0056069E" w:rsidRDefault="0056069E" w:rsidP="006A67A0">
      <w:pPr>
        <w:tabs>
          <w:tab w:val="right" w:pos="1202"/>
        </w:tabs>
        <w:suppressAutoHyphens/>
        <w:autoSpaceDN w:val="0"/>
        <w:jc w:val="both"/>
        <w:outlineLvl w:val="0"/>
        <w:rPr>
          <w:rFonts w:ascii="Arial" w:eastAsia="Times New Roman" w:hAnsi="Arial" w:cs="Arial"/>
          <w:i/>
          <w:color w:val="000000" w:themeColor="text1"/>
          <w:sz w:val="18"/>
          <w:szCs w:val="18"/>
        </w:rPr>
      </w:pPr>
    </w:p>
    <w:p w14:paraId="51E027F4" w14:textId="77777777" w:rsidR="0056069E" w:rsidRDefault="0056069E" w:rsidP="006A67A0">
      <w:pPr>
        <w:tabs>
          <w:tab w:val="right" w:pos="1202"/>
        </w:tabs>
        <w:suppressAutoHyphens/>
        <w:autoSpaceDN w:val="0"/>
        <w:jc w:val="both"/>
        <w:outlineLvl w:val="0"/>
        <w:rPr>
          <w:rFonts w:ascii="Arial" w:eastAsia="Times New Roman" w:hAnsi="Arial" w:cs="Arial"/>
          <w:i/>
          <w:color w:val="000000" w:themeColor="text1"/>
          <w:sz w:val="18"/>
          <w:szCs w:val="18"/>
        </w:rPr>
      </w:pPr>
    </w:p>
    <w:p w14:paraId="32FCA5CF" w14:textId="77777777" w:rsidR="0056069E" w:rsidRDefault="0056069E" w:rsidP="006A67A0">
      <w:pPr>
        <w:tabs>
          <w:tab w:val="right" w:pos="1202"/>
        </w:tabs>
        <w:suppressAutoHyphens/>
        <w:autoSpaceDN w:val="0"/>
        <w:jc w:val="both"/>
        <w:outlineLvl w:val="0"/>
        <w:rPr>
          <w:rFonts w:ascii="Arial" w:eastAsia="Times New Roman" w:hAnsi="Arial" w:cs="Arial"/>
          <w:i/>
          <w:color w:val="000000" w:themeColor="text1"/>
          <w:sz w:val="18"/>
          <w:szCs w:val="18"/>
        </w:rPr>
      </w:pPr>
    </w:p>
    <w:p w14:paraId="26E4FA32" w14:textId="77777777" w:rsidR="0056069E" w:rsidRDefault="0056069E" w:rsidP="006A67A0">
      <w:pPr>
        <w:tabs>
          <w:tab w:val="right" w:pos="1202"/>
        </w:tabs>
        <w:suppressAutoHyphens/>
        <w:autoSpaceDN w:val="0"/>
        <w:jc w:val="both"/>
        <w:outlineLvl w:val="0"/>
        <w:rPr>
          <w:rFonts w:ascii="Arial" w:eastAsia="Times New Roman" w:hAnsi="Arial" w:cs="Arial"/>
          <w:i/>
          <w:color w:val="000000" w:themeColor="text1"/>
          <w:sz w:val="18"/>
          <w:szCs w:val="18"/>
        </w:rPr>
      </w:pPr>
    </w:p>
    <w:p w14:paraId="5FB19AB7" w14:textId="77777777" w:rsidR="006A67A0" w:rsidRPr="003D1614" w:rsidRDefault="006A67A0" w:rsidP="006A67A0">
      <w:pPr>
        <w:tabs>
          <w:tab w:val="right" w:pos="1202"/>
        </w:tabs>
        <w:suppressAutoHyphens/>
        <w:autoSpaceDN w:val="0"/>
        <w:jc w:val="both"/>
        <w:outlineLvl w:val="0"/>
        <w:rPr>
          <w:rFonts w:ascii="Arial" w:eastAsia="Times New Roman" w:hAnsi="Arial" w:cs="Arial"/>
          <w:i/>
          <w:color w:val="000000" w:themeColor="text1"/>
          <w:sz w:val="18"/>
          <w:szCs w:val="18"/>
        </w:rPr>
      </w:pPr>
    </w:p>
    <w:p w14:paraId="5677C1AD" w14:textId="330A193F" w:rsidR="006A67A0" w:rsidRPr="003D1614" w:rsidRDefault="006A67A0" w:rsidP="006A67A0">
      <w:pPr>
        <w:tabs>
          <w:tab w:val="right" w:pos="1202"/>
        </w:tabs>
        <w:suppressAutoHyphens/>
        <w:autoSpaceDN w:val="0"/>
        <w:jc w:val="both"/>
        <w:outlineLvl w:val="0"/>
        <w:rPr>
          <w:rFonts w:ascii="Arial" w:eastAsia="Times New Roman" w:hAnsi="Arial" w:cs="Arial"/>
          <w:i/>
          <w:color w:val="000000" w:themeColor="text1"/>
          <w:sz w:val="18"/>
          <w:szCs w:val="18"/>
        </w:rPr>
      </w:pPr>
    </w:p>
    <w:p w14:paraId="0492EBAE" w14:textId="77777777" w:rsidR="006A67A0" w:rsidRPr="003D1614" w:rsidRDefault="006A67A0" w:rsidP="006A67A0">
      <w:pPr>
        <w:tabs>
          <w:tab w:val="right" w:pos="1202"/>
        </w:tabs>
        <w:suppressAutoHyphens/>
        <w:autoSpaceDN w:val="0"/>
        <w:jc w:val="both"/>
        <w:outlineLvl w:val="0"/>
        <w:rPr>
          <w:rFonts w:ascii="Arial" w:eastAsia="Times New Roman" w:hAnsi="Arial" w:cs="Arial"/>
          <w:i/>
          <w:color w:val="000000" w:themeColor="text1"/>
          <w:sz w:val="18"/>
          <w:szCs w:val="18"/>
        </w:rPr>
        <w:sectPr w:rsidR="006A67A0" w:rsidRPr="003D1614" w:rsidSect="003278AB">
          <w:pgSz w:w="11906" w:h="16838"/>
          <w:pgMar w:top="1417" w:right="1417" w:bottom="1417" w:left="1417" w:header="708" w:footer="708" w:gutter="0"/>
          <w:cols w:space="708"/>
          <w:docGrid w:linePitch="360"/>
        </w:sectPr>
      </w:pPr>
    </w:p>
    <w:p w14:paraId="13681C06" w14:textId="77777777" w:rsidR="006A67A0" w:rsidRPr="003D1614" w:rsidRDefault="006A67A0" w:rsidP="006A67A0">
      <w:pPr>
        <w:keepNext/>
        <w:suppressAutoHyphens/>
        <w:autoSpaceDN w:val="0"/>
        <w:jc w:val="both"/>
        <w:outlineLvl w:val="0"/>
        <w:rPr>
          <w:rFonts w:ascii="Arial" w:eastAsia="Times New Roman" w:hAnsi="Arial" w:cs="Arial"/>
          <w:b/>
          <w:bCs/>
          <w:color w:val="000000" w:themeColor="text1"/>
          <w:sz w:val="20"/>
          <w:szCs w:val="20"/>
        </w:rPr>
      </w:pPr>
    </w:p>
    <w:p w14:paraId="1C07D34B" w14:textId="18B1B675"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Upravljanje rizicima (nastavak)</w:t>
      </w:r>
    </w:p>
    <w:p w14:paraId="7341B82A" w14:textId="77777777"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p>
    <w:p w14:paraId="3B430DE2" w14:textId="542334DA"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.5.     Tržišni rizik (nastavak)</w:t>
      </w:r>
    </w:p>
    <w:p w14:paraId="16785CDD" w14:textId="77777777"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p>
    <w:p w14:paraId="228F41E2" w14:textId="186B2CC4"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.5.2.  Valutni rizik</w:t>
      </w:r>
    </w:p>
    <w:p w14:paraId="2C580390" w14:textId="77777777" w:rsidR="006A67A0" w:rsidRPr="003D1614" w:rsidRDefault="006A67A0" w:rsidP="006A67A0">
      <w:pPr>
        <w:tabs>
          <w:tab w:val="right" w:pos="1202"/>
        </w:tabs>
        <w:suppressAutoHyphens/>
        <w:autoSpaceDN w:val="0"/>
        <w:spacing w:line="240" w:lineRule="exact"/>
        <w:outlineLvl w:val="0"/>
        <w:rPr>
          <w:rFonts w:ascii="Arial" w:eastAsia="Times New Roman" w:hAnsi="Arial" w:cs="Arial"/>
          <w:b/>
          <w:bCs/>
          <w:color w:val="000000" w:themeColor="text1"/>
          <w:sz w:val="20"/>
          <w:szCs w:val="20"/>
        </w:rPr>
      </w:pPr>
    </w:p>
    <w:p w14:paraId="478D7531" w14:textId="77777777" w:rsidR="006A67A0" w:rsidRPr="003D1614" w:rsidRDefault="006A67A0" w:rsidP="006A67A0">
      <w:pPr>
        <w:tabs>
          <w:tab w:val="right" w:pos="1202"/>
        </w:tabs>
        <w:suppressAutoHyphens/>
        <w:autoSpaceDN w:val="0"/>
        <w:jc w:val="both"/>
        <w:outlineLvl w:val="0"/>
        <w:rPr>
          <w:rFonts w:ascii="Arial" w:eastAsia="Times New Roman" w:hAnsi="Arial" w:cs="Arial"/>
          <w:i/>
          <w:color w:val="000000" w:themeColor="text1"/>
          <w:sz w:val="20"/>
          <w:szCs w:val="20"/>
        </w:rPr>
      </w:pPr>
    </w:p>
    <w:tbl>
      <w:tblPr>
        <w:tblW w:w="5000" w:type="pct"/>
        <w:tblLayout w:type="fixed"/>
        <w:tblCellMar>
          <w:left w:w="10" w:type="dxa"/>
          <w:right w:w="10" w:type="dxa"/>
        </w:tblCellMar>
        <w:tblLook w:val="0000" w:firstRow="0" w:lastRow="0" w:firstColumn="0" w:lastColumn="0" w:noHBand="0" w:noVBand="0"/>
      </w:tblPr>
      <w:tblGrid>
        <w:gridCol w:w="3509"/>
        <w:gridCol w:w="1491"/>
        <w:gridCol w:w="1223"/>
        <w:gridCol w:w="1491"/>
        <w:gridCol w:w="1358"/>
      </w:tblGrid>
      <w:tr w:rsidR="00A24724" w:rsidRPr="00C145D7" w14:paraId="133A67A4" w14:textId="77777777" w:rsidTr="00D707D6">
        <w:trPr>
          <w:trHeight w:val="421"/>
        </w:trPr>
        <w:tc>
          <w:tcPr>
            <w:tcW w:w="3627" w:type="dxa"/>
            <w:tcMar>
              <w:top w:w="0" w:type="dxa"/>
              <w:left w:w="120" w:type="dxa"/>
              <w:bottom w:w="0" w:type="dxa"/>
              <w:right w:w="120" w:type="dxa"/>
            </w:tcMar>
            <w:vAlign w:val="bottom"/>
          </w:tcPr>
          <w:p w14:paraId="05BB6481" w14:textId="77777777" w:rsidR="00A24724" w:rsidRPr="00C145D7" w:rsidRDefault="00A24724" w:rsidP="00D707D6">
            <w:pPr>
              <w:tabs>
                <w:tab w:val="right" w:pos="1202"/>
              </w:tabs>
              <w:spacing w:line="220" w:lineRule="exact"/>
              <w:outlineLvl w:val="0"/>
              <w:rPr>
                <w:rFonts w:ascii="Arial" w:eastAsia="Calibri" w:hAnsi="Arial" w:cs="Arial"/>
                <w:b/>
                <w:color w:val="000000" w:themeColor="text1"/>
                <w:sz w:val="17"/>
                <w:szCs w:val="17"/>
              </w:rPr>
            </w:pPr>
            <w:r>
              <w:rPr>
                <w:rFonts w:ascii="Arial" w:eastAsia="Calibri" w:hAnsi="Arial" w:cs="Arial"/>
                <w:b/>
                <w:color w:val="000000" w:themeColor="text1"/>
                <w:sz w:val="17"/>
                <w:szCs w:val="17"/>
              </w:rPr>
              <w:t>Banka</w:t>
            </w:r>
          </w:p>
          <w:p w14:paraId="010B6DBA" w14:textId="77777777" w:rsidR="00A24724" w:rsidRPr="00C145D7" w:rsidRDefault="00A24724" w:rsidP="00D707D6">
            <w:pPr>
              <w:tabs>
                <w:tab w:val="right" w:pos="1202"/>
              </w:tabs>
              <w:spacing w:line="220" w:lineRule="exact"/>
              <w:outlineLvl w:val="0"/>
              <w:rPr>
                <w:rFonts w:ascii="Arial" w:eastAsia="Calibri" w:hAnsi="Arial" w:cs="Arial"/>
                <w:b/>
                <w:color w:val="000000" w:themeColor="text1"/>
                <w:sz w:val="17"/>
                <w:szCs w:val="17"/>
              </w:rPr>
            </w:pPr>
          </w:p>
          <w:p w14:paraId="2E7D2946" w14:textId="77777777" w:rsidR="00A24724" w:rsidRPr="00C145D7" w:rsidRDefault="00A24724" w:rsidP="00D707D6">
            <w:pPr>
              <w:tabs>
                <w:tab w:val="right" w:pos="1202"/>
              </w:tabs>
              <w:spacing w:line="220" w:lineRule="exact"/>
              <w:outlineLvl w:val="0"/>
              <w:rPr>
                <w:rFonts w:ascii="Arial" w:eastAsia="Calibri" w:hAnsi="Arial" w:cs="Arial"/>
                <w:b/>
                <w:color w:val="000000" w:themeColor="text1"/>
                <w:sz w:val="17"/>
                <w:szCs w:val="17"/>
              </w:rPr>
            </w:pPr>
            <w:r w:rsidRPr="00C145D7">
              <w:rPr>
                <w:rFonts w:ascii="Arial" w:eastAsia="Calibri" w:hAnsi="Arial" w:cs="Arial"/>
                <w:b/>
                <w:color w:val="000000" w:themeColor="text1"/>
                <w:sz w:val="17"/>
                <w:szCs w:val="17"/>
              </w:rPr>
              <w:t>31. prosinca 202</w:t>
            </w:r>
            <w:r>
              <w:rPr>
                <w:rFonts w:ascii="Arial" w:eastAsia="Calibri" w:hAnsi="Arial" w:cs="Arial"/>
                <w:b/>
                <w:color w:val="000000" w:themeColor="text1"/>
                <w:sz w:val="17"/>
                <w:szCs w:val="17"/>
              </w:rPr>
              <w:t>3</w:t>
            </w:r>
            <w:r w:rsidRPr="00C145D7">
              <w:rPr>
                <w:rFonts w:ascii="Arial" w:eastAsia="Calibri" w:hAnsi="Arial" w:cs="Arial"/>
                <w:b/>
                <w:color w:val="000000" w:themeColor="text1"/>
                <w:sz w:val="17"/>
                <w:szCs w:val="17"/>
              </w:rPr>
              <w:t xml:space="preserve">. </w:t>
            </w:r>
          </w:p>
        </w:tc>
        <w:tc>
          <w:tcPr>
            <w:tcW w:w="1536" w:type="dxa"/>
            <w:tcMar>
              <w:top w:w="0" w:type="dxa"/>
              <w:left w:w="120" w:type="dxa"/>
              <w:bottom w:w="0" w:type="dxa"/>
              <w:right w:w="120" w:type="dxa"/>
            </w:tcMar>
            <w:vAlign w:val="bottom"/>
          </w:tcPr>
          <w:p w14:paraId="12A53ED2" w14:textId="77777777" w:rsidR="00A24724" w:rsidRPr="00C145D7" w:rsidRDefault="00A24724" w:rsidP="00D707D6">
            <w:pPr>
              <w:tabs>
                <w:tab w:val="right" w:pos="1202"/>
              </w:tabs>
              <w:spacing w:line="220" w:lineRule="exact"/>
              <w:jc w:val="right"/>
              <w:outlineLvl w:val="0"/>
              <w:rPr>
                <w:rFonts w:ascii="Arial" w:eastAsia="Calibri" w:hAnsi="Arial" w:cs="Arial"/>
                <w:b/>
                <w:color w:val="000000" w:themeColor="text1"/>
                <w:sz w:val="17"/>
                <w:szCs w:val="17"/>
              </w:rPr>
            </w:pPr>
            <w:r w:rsidRPr="006D3818">
              <w:rPr>
                <w:rFonts w:ascii="Arial" w:eastAsia="Calibri" w:hAnsi="Arial" w:cs="Arial"/>
                <w:b/>
                <w:color w:val="000000" w:themeColor="text1"/>
                <w:sz w:val="17"/>
                <w:szCs w:val="17"/>
              </w:rPr>
              <w:t>EUR</w:t>
            </w:r>
          </w:p>
        </w:tc>
        <w:tc>
          <w:tcPr>
            <w:tcW w:w="1258" w:type="dxa"/>
            <w:tcMar>
              <w:top w:w="0" w:type="dxa"/>
              <w:left w:w="120" w:type="dxa"/>
              <w:bottom w:w="0" w:type="dxa"/>
              <w:right w:w="120" w:type="dxa"/>
            </w:tcMar>
            <w:vAlign w:val="bottom"/>
          </w:tcPr>
          <w:p w14:paraId="6867BBD7" w14:textId="77777777" w:rsidR="00A24724" w:rsidRPr="00C145D7" w:rsidRDefault="00A24724" w:rsidP="00D707D6">
            <w:pPr>
              <w:tabs>
                <w:tab w:val="right" w:pos="1202"/>
              </w:tabs>
              <w:spacing w:line="220" w:lineRule="exact"/>
              <w:jc w:val="right"/>
              <w:outlineLvl w:val="0"/>
              <w:rPr>
                <w:rFonts w:ascii="Arial" w:eastAsia="Calibri" w:hAnsi="Arial" w:cs="Arial"/>
                <w:b/>
                <w:color w:val="000000" w:themeColor="text1"/>
                <w:sz w:val="17"/>
                <w:szCs w:val="17"/>
              </w:rPr>
            </w:pPr>
            <w:r w:rsidRPr="006D3818">
              <w:rPr>
                <w:rFonts w:ascii="Arial" w:eastAsia="Calibri" w:hAnsi="Arial" w:cs="Arial"/>
                <w:b/>
                <w:color w:val="000000" w:themeColor="text1"/>
                <w:sz w:val="17"/>
                <w:szCs w:val="17"/>
              </w:rPr>
              <w:t>USD</w:t>
            </w:r>
          </w:p>
        </w:tc>
        <w:tc>
          <w:tcPr>
            <w:tcW w:w="1536" w:type="dxa"/>
            <w:tcMar>
              <w:top w:w="0" w:type="dxa"/>
              <w:left w:w="120" w:type="dxa"/>
              <w:bottom w:w="0" w:type="dxa"/>
              <w:right w:w="120" w:type="dxa"/>
            </w:tcMar>
            <w:vAlign w:val="bottom"/>
          </w:tcPr>
          <w:p w14:paraId="6E9E1C7A" w14:textId="77777777" w:rsidR="00A24724" w:rsidRPr="00C145D7" w:rsidRDefault="00A24724" w:rsidP="00D707D6">
            <w:pPr>
              <w:tabs>
                <w:tab w:val="right" w:pos="1202"/>
              </w:tabs>
              <w:spacing w:line="220" w:lineRule="exact"/>
              <w:jc w:val="right"/>
              <w:outlineLvl w:val="0"/>
              <w:rPr>
                <w:rFonts w:ascii="Arial" w:eastAsia="Calibri" w:hAnsi="Arial" w:cs="Arial"/>
                <w:b/>
                <w:color w:val="000000" w:themeColor="text1"/>
                <w:sz w:val="17"/>
                <w:szCs w:val="17"/>
              </w:rPr>
            </w:pPr>
            <w:r w:rsidRPr="00C145D7">
              <w:rPr>
                <w:rFonts w:ascii="Arial" w:eastAsia="Calibri" w:hAnsi="Arial" w:cs="Arial"/>
                <w:b/>
                <w:color w:val="000000" w:themeColor="text1"/>
                <w:sz w:val="17"/>
                <w:szCs w:val="17"/>
              </w:rPr>
              <w:t>Ostale valute</w:t>
            </w:r>
          </w:p>
        </w:tc>
        <w:tc>
          <w:tcPr>
            <w:tcW w:w="1398" w:type="dxa"/>
            <w:tcMar>
              <w:top w:w="0" w:type="dxa"/>
              <w:left w:w="120" w:type="dxa"/>
              <w:bottom w:w="0" w:type="dxa"/>
              <w:right w:w="120" w:type="dxa"/>
            </w:tcMar>
            <w:vAlign w:val="bottom"/>
          </w:tcPr>
          <w:p w14:paraId="42B77619" w14:textId="77777777" w:rsidR="00A24724" w:rsidRPr="00C145D7" w:rsidRDefault="00A24724" w:rsidP="00D707D6">
            <w:pPr>
              <w:tabs>
                <w:tab w:val="right" w:pos="1202"/>
              </w:tabs>
              <w:spacing w:line="220" w:lineRule="exact"/>
              <w:jc w:val="right"/>
              <w:outlineLvl w:val="0"/>
              <w:rPr>
                <w:rFonts w:ascii="Arial" w:eastAsia="Calibri" w:hAnsi="Arial" w:cs="Arial"/>
                <w:b/>
                <w:color w:val="000000" w:themeColor="text1"/>
                <w:sz w:val="17"/>
                <w:szCs w:val="17"/>
              </w:rPr>
            </w:pPr>
            <w:r w:rsidRPr="00C145D7">
              <w:rPr>
                <w:rFonts w:ascii="Arial" w:eastAsia="Calibri" w:hAnsi="Arial" w:cs="Arial"/>
                <w:b/>
                <w:color w:val="000000" w:themeColor="text1"/>
                <w:sz w:val="17"/>
                <w:szCs w:val="17"/>
              </w:rPr>
              <w:t>Ukupno</w:t>
            </w:r>
          </w:p>
        </w:tc>
      </w:tr>
      <w:tr w:rsidR="00A24724" w:rsidRPr="00C145D7" w14:paraId="513B45C8" w14:textId="77777777" w:rsidTr="00D707D6">
        <w:trPr>
          <w:trHeight w:hRule="exact" w:val="276"/>
        </w:trPr>
        <w:tc>
          <w:tcPr>
            <w:tcW w:w="3627" w:type="dxa"/>
            <w:tcMar>
              <w:top w:w="0" w:type="dxa"/>
              <w:left w:w="120" w:type="dxa"/>
              <w:bottom w:w="0" w:type="dxa"/>
              <w:right w:w="120" w:type="dxa"/>
            </w:tcMar>
            <w:vAlign w:val="bottom"/>
          </w:tcPr>
          <w:p w14:paraId="42A6A7CA" w14:textId="77777777" w:rsidR="00A24724" w:rsidRPr="00C145D7" w:rsidRDefault="00A24724" w:rsidP="00D707D6">
            <w:pPr>
              <w:tabs>
                <w:tab w:val="right" w:pos="1202"/>
              </w:tabs>
              <w:spacing w:line="220" w:lineRule="exact"/>
              <w:outlineLvl w:val="0"/>
              <w:rPr>
                <w:rFonts w:ascii="Arial" w:eastAsia="Calibri" w:hAnsi="Arial" w:cs="Arial"/>
                <w:b/>
                <w:color w:val="000000" w:themeColor="text1"/>
                <w:sz w:val="17"/>
                <w:szCs w:val="17"/>
              </w:rPr>
            </w:pPr>
          </w:p>
        </w:tc>
        <w:tc>
          <w:tcPr>
            <w:tcW w:w="1536" w:type="dxa"/>
            <w:tcMar>
              <w:top w:w="0" w:type="dxa"/>
              <w:left w:w="120" w:type="dxa"/>
              <w:bottom w:w="0" w:type="dxa"/>
              <w:right w:w="120" w:type="dxa"/>
            </w:tcMar>
            <w:vAlign w:val="bottom"/>
          </w:tcPr>
          <w:p w14:paraId="0E7FC67B" w14:textId="77777777" w:rsidR="00A24724" w:rsidRPr="00C145D7" w:rsidRDefault="00A24724" w:rsidP="00D707D6">
            <w:pPr>
              <w:tabs>
                <w:tab w:val="right" w:pos="1202"/>
              </w:tabs>
              <w:spacing w:line="220" w:lineRule="exact"/>
              <w:jc w:val="right"/>
              <w:outlineLvl w:val="0"/>
              <w:rPr>
                <w:rFonts w:ascii="Arial" w:eastAsia="Calibri" w:hAnsi="Arial" w:cs="Arial"/>
                <w:b/>
                <w:color w:val="000000" w:themeColor="text1"/>
                <w:sz w:val="17"/>
                <w:szCs w:val="17"/>
              </w:rPr>
            </w:pPr>
            <w:r w:rsidRPr="00C145D7">
              <w:rPr>
                <w:rFonts w:ascii="Arial" w:eastAsia="Calibri" w:hAnsi="Arial" w:cs="Arial"/>
                <w:b/>
                <w:color w:val="000000" w:themeColor="text1"/>
                <w:sz w:val="17"/>
                <w:szCs w:val="17"/>
              </w:rPr>
              <w:t>000 eura</w:t>
            </w:r>
          </w:p>
        </w:tc>
        <w:tc>
          <w:tcPr>
            <w:tcW w:w="1258" w:type="dxa"/>
            <w:tcMar>
              <w:top w:w="0" w:type="dxa"/>
              <w:left w:w="120" w:type="dxa"/>
              <w:bottom w:w="0" w:type="dxa"/>
              <w:right w:w="120" w:type="dxa"/>
            </w:tcMar>
            <w:vAlign w:val="bottom"/>
          </w:tcPr>
          <w:p w14:paraId="56EE04D8" w14:textId="77777777" w:rsidR="00A24724" w:rsidRPr="00C145D7" w:rsidRDefault="00A24724" w:rsidP="00D707D6">
            <w:pPr>
              <w:tabs>
                <w:tab w:val="right" w:pos="1202"/>
              </w:tabs>
              <w:spacing w:line="220" w:lineRule="exact"/>
              <w:jc w:val="right"/>
              <w:outlineLvl w:val="0"/>
              <w:rPr>
                <w:rFonts w:ascii="Arial" w:eastAsia="Calibri" w:hAnsi="Arial" w:cs="Arial"/>
                <w:b/>
                <w:color w:val="000000" w:themeColor="text1"/>
                <w:sz w:val="17"/>
                <w:szCs w:val="17"/>
              </w:rPr>
            </w:pPr>
            <w:r w:rsidRPr="00C145D7">
              <w:rPr>
                <w:rFonts w:ascii="Arial" w:eastAsia="Calibri" w:hAnsi="Arial" w:cs="Arial"/>
                <w:b/>
                <w:color w:val="000000" w:themeColor="text1"/>
                <w:sz w:val="17"/>
                <w:szCs w:val="17"/>
              </w:rPr>
              <w:t>000 eura</w:t>
            </w:r>
          </w:p>
        </w:tc>
        <w:tc>
          <w:tcPr>
            <w:tcW w:w="1536" w:type="dxa"/>
            <w:tcMar>
              <w:top w:w="0" w:type="dxa"/>
              <w:left w:w="120" w:type="dxa"/>
              <w:bottom w:w="0" w:type="dxa"/>
              <w:right w:w="120" w:type="dxa"/>
            </w:tcMar>
            <w:vAlign w:val="bottom"/>
          </w:tcPr>
          <w:p w14:paraId="043CBA19" w14:textId="77777777" w:rsidR="00A24724" w:rsidRPr="00C145D7" w:rsidRDefault="00A24724" w:rsidP="00D707D6">
            <w:pPr>
              <w:tabs>
                <w:tab w:val="right" w:pos="1202"/>
              </w:tabs>
              <w:spacing w:line="220" w:lineRule="exact"/>
              <w:jc w:val="right"/>
              <w:outlineLvl w:val="0"/>
              <w:rPr>
                <w:rFonts w:ascii="Arial" w:eastAsia="Calibri" w:hAnsi="Arial" w:cs="Arial"/>
                <w:b/>
                <w:color w:val="000000" w:themeColor="text1"/>
                <w:sz w:val="17"/>
                <w:szCs w:val="17"/>
              </w:rPr>
            </w:pPr>
            <w:r w:rsidRPr="00C145D7">
              <w:rPr>
                <w:rFonts w:ascii="Arial" w:eastAsia="Calibri" w:hAnsi="Arial" w:cs="Arial"/>
                <w:b/>
                <w:color w:val="000000" w:themeColor="text1"/>
                <w:sz w:val="17"/>
                <w:szCs w:val="17"/>
              </w:rPr>
              <w:t>000 eura</w:t>
            </w:r>
          </w:p>
        </w:tc>
        <w:tc>
          <w:tcPr>
            <w:tcW w:w="1398" w:type="dxa"/>
            <w:tcMar>
              <w:top w:w="0" w:type="dxa"/>
              <w:left w:w="120" w:type="dxa"/>
              <w:bottom w:w="0" w:type="dxa"/>
              <w:right w:w="120" w:type="dxa"/>
            </w:tcMar>
            <w:vAlign w:val="bottom"/>
          </w:tcPr>
          <w:p w14:paraId="28BC0C94" w14:textId="77777777" w:rsidR="00A24724" w:rsidRPr="00C145D7" w:rsidRDefault="00A24724" w:rsidP="00D707D6">
            <w:pPr>
              <w:tabs>
                <w:tab w:val="right" w:pos="1202"/>
              </w:tabs>
              <w:spacing w:line="220" w:lineRule="exact"/>
              <w:jc w:val="right"/>
              <w:outlineLvl w:val="0"/>
              <w:rPr>
                <w:rFonts w:ascii="Arial" w:eastAsia="Calibri" w:hAnsi="Arial" w:cs="Arial"/>
                <w:b/>
                <w:color w:val="000000" w:themeColor="text1"/>
                <w:sz w:val="17"/>
                <w:szCs w:val="17"/>
              </w:rPr>
            </w:pPr>
            <w:r w:rsidRPr="00C145D7">
              <w:rPr>
                <w:rFonts w:ascii="Arial" w:eastAsia="Calibri" w:hAnsi="Arial" w:cs="Arial"/>
                <w:b/>
                <w:color w:val="000000" w:themeColor="text1"/>
                <w:sz w:val="17"/>
                <w:szCs w:val="17"/>
              </w:rPr>
              <w:t>000 eura</w:t>
            </w:r>
          </w:p>
        </w:tc>
      </w:tr>
      <w:tr w:rsidR="00A24724" w:rsidRPr="00C145D7" w14:paraId="44D1F4E9" w14:textId="77777777" w:rsidTr="00D707D6">
        <w:trPr>
          <w:trHeight w:val="243"/>
        </w:trPr>
        <w:tc>
          <w:tcPr>
            <w:tcW w:w="3627" w:type="dxa"/>
            <w:tcMar>
              <w:top w:w="0" w:type="dxa"/>
              <w:left w:w="120" w:type="dxa"/>
              <w:bottom w:w="0" w:type="dxa"/>
              <w:right w:w="120" w:type="dxa"/>
            </w:tcMar>
            <w:vAlign w:val="bottom"/>
          </w:tcPr>
          <w:p w14:paraId="69F0F673" w14:textId="77777777" w:rsidR="00A24724" w:rsidRPr="00C145D7" w:rsidRDefault="00A24724" w:rsidP="00D707D6">
            <w:pPr>
              <w:tabs>
                <w:tab w:val="right" w:pos="1202"/>
              </w:tabs>
              <w:spacing w:line="240" w:lineRule="exact"/>
              <w:outlineLvl w:val="0"/>
              <w:rPr>
                <w:rFonts w:ascii="Arial" w:eastAsia="Calibri" w:hAnsi="Arial" w:cs="Arial"/>
                <w:b/>
                <w:color w:val="000000" w:themeColor="text1"/>
                <w:sz w:val="17"/>
                <w:szCs w:val="17"/>
              </w:rPr>
            </w:pPr>
            <w:r w:rsidRPr="00C145D7">
              <w:rPr>
                <w:rFonts w:ascii="Arial" w:eastAsia="Calibri" w:hAnsi="Arial" w:cs="Arial"/>
                <w:b/>
                <w:color w:val="000000" w:themeColor="text1"/>
                <w:sz w:val="17"/>
                <w:szCs w:val="17"/>
              </w:rPr>
              <w:t>Imovina</w:t>
            </w:r>
          </w:p>
        </w:tc>
        <w:tc>
          <w:tcPr>
            <w:tcW w:w="1536" w:type="dxa"/>
            <w:tcMar>
              <w:top w:w="0" w:type="dxa"/>
              <w:left w:w="120" w:type="dxa"/>
              <w:bottom w:w="0" w:type="dxa"/>
              <w:right w:w="120" w:type="dxa"/>
            </w:tcMar>
            <w:vAlign w:val="bottom"/>
          </w:tcPr>
          <w:p w14:paraId="5C2B9016" w14:textId="77777777" w:rsidR="00A24724" w:rsidRPr="00C145D7" w:rsidRDefault="00A24724" w:rsidP="00D707D6">
            <w:pPr>
              <w:spacing w:line="240" w:lineRule="exact"/>
              <w:jc w:val="right"/>
              <w:rPr>
                <w:rFonts w:ascii="Arial" w:eastAsia="Arial Unicode MS" w:hAnsi="Arial" w:cs="Arial"/>
                <w:color w:val="000000" w:themeColor="text1"/>
                <w:sz w:val="17"/>
                <w:szCs w:val="17"/>
              </w:rPr>
            </w:pPr>
          </w:p>
        </w:tc>
        <w:tc>
          <w:tcPr>
            <w:tcW w:w="1258" w:type="dxa"/>
            <w:tcMar>
              <w:top w:w="0" w:type="dxa"/>
              <w:left w:w="120" w:type="dxa"/>
              <w:bottom w:w="0" w:type="dxa"/>
              <w:right w:w="120" w:type="dxa"/>
            </w:tcMar>
            <w:vAlign w:val="bottom"/>
          </w:tcPr>
          <w:p w14:paraId="0E4394EE" w14:textId="77777777" w:rsidR="00A24724" w:rsidRPr="00C145D7" w:rsidRDefault="00A24724" w:rsidP="00D707D6">
            <w:pPr>
              <w:spacing w:line="240" w:lineRule="exact"/>
              <w:jc w:val="right"/>
              <w:rPr>
                <w:rFonts w:ascii="Arial" w:eastAsia="Arial Unicode MS" w:hAnsi="Arial" w:cs="Arial"/>
                <w:color w:val="000000" w:themeColor="text1"/>
                <w:sz w:val="17"/>
                <w:szCs w:val="17"/>
              </w:rPr>
            </w:pPr>
          </w:p>
        </w:tc>
        <w:tc>
          <w:tcPr>
            <w:tcW w:w="1536" w:type="dxa"/>
            <w:tcMar>
              <w:top w:w="0" w:type="dxa"/>
              <w:left w:w="120" w:type="dxa"/>
              <w:bottom w:w="0" w:type="dxa"/>
              <w:right w:w="120" w:type="dxa"/>
            </w:tcMar>
            <w:vAlign w:val="bottom"/>
          </w:tcPr>
          <w:p w14:paraId="51B52861" w14:textId="77777777" w:rsidR="00A24724" w:rsidRPr="00C145D7" w:rsidRDefault="00A24724" w:rsidP="00D707D6">
            <w:pPr>
              <w:spacing w:line="240" w:lineRule="exact"/>
              <w:jc w:val="right"/>
              <w:rPr>
                <w:rFonts w:ascii="Arial" w:eastAsia="Arial Unicode MS" w:hAnsi="Arial" w:cs="Arial"/>
                <w:color w:val="000000" w:themeColor="text1"/>
                <w:sz w:val="17"/>
                <w:szCs w:val="17"/>
              </w:rPr>
            </w:pPr>
          </w:p>
        </w:tc>
        <w:tc>
          <w:tcPr>
            <w:tcW w:w="1398" w:type="dxa"/>
            <w:tcMar>
              <w:top w:w="0" w:type="dxa"/>
              <w:left w:w="120" w:type="dxa"/>
              <w:bottom w:w="0" w:type="dxa"/>
              <w:right w:w="120" w:type="dxa"/>
            </w:tcMar>
            <w:vAlign w:val="bottom"/>
          </w:tcPr>
          <w:p w14:paraId="2DDAFABD" w14:textId="77777777" w:rsidR="00A24724" w:rsidRPr="00C145D7" w:rsidRDefault="00A24724" w:rsidP="00D707D6">
            <w:pPr>
              <w:spacing w:line="240" w:lineRule="exact"/>
              <w:jc w:val="right"/>
              <w:rPr>
                <w:rFonts w:ascii="Arial" w:eastAsia="Arial Unicode MS" w:hAnsi="Arial" w:cs="Arial"/>
                <w:color w:val="000000" w:themeColor="text1"/>
                <w:sz w:val="17"/>
                <w:szCs w:val="17"/>
              </w:rPr>
            </w:pPr>
          </w:p>
        </w:tc>
      </w:tr>
      <w:tr w:rsidR="00A24724" w:rsidRPr="00C145D7" w14:paraId="313CCEFA" w14:textId="77777777" w:rsidTr="00D707D6">
        <w:trPr>
          <w:trHeight w:val="181"/>
        </w:trPr>
        <w:tc>
          <w:tcPr>
            <w:tcW w:w="3627" w:type="dxa"/>
            <w:tcMar>
              <w:top w:w="0" w:type="dxa"/>
              <w:left w:w="120" w:type="dxa"/>
              <w:bottom w:w="0" w:type="dxa"/>
              <w:right w:w="120" w:type="dxa"/>
            </w:tcMar>
            <w:vAlign w:val="bottom"/>
          </w:tcPr>
          <w:p w14:paraId="45AD56BA" w14:textId="77777777" w:rsidR="00A24724" w:rsidRPr="00C145D7" w:rsidRDefault="00A24724" w:rsidP="00D707D6">
            <w:pPr>
              <w:tabs>
                <w:tab w:val="right" w:pos="1202"/>
              </w:tabs>
              <w:spacing w:line="240" w:lineRule="exact"/>
              <w:outlineLvl w:val="0"/>
              <w:rPr>
                <w:rFonts w:ascii="Arial" w:eastAsia="Calibri" w:hAnsi="Arial" w:cs="Arial"/>
                <w:color w:val="000000" w:themeColor="text1"/>
                <w:sz w:val="17"/>
                <w:szCs w:val="17"/>
              </w:rPr>
            </w:pPr>
            <w:r w:rsidRPr="00C145D7">
              <w:rPr>
                <w:rFonts w:ascii="Arial" w:eastAsia="Calibri" w:hAnsi="Arial" w:cs="Arial"/>
                <w:color w:val="000000" w:themeColor="text1"/>
                <w:spacing w:val="-2"/>
                <w:sz w:val="17"/>
                <w:szCs w:val="17"/>
              </w:rPr>
              <w:t>Novčana sredstva i računi kod banaka</w:t>
            </w:r>
          </w:p>
        </w:tc>
        <w:tc>
          <w:tcPr>
            <w:tcW w:w="1536" w:type="dxa"/>
            <w:tcBorders>
              <w:top w:val="nil"/>
              <w:left w:val="nil"/>
              <w:right w:val="nil"/>
            </w:tcBorders>
            <w:tcMar>
              <w:top w:w="0" w:type="dxa"/>
              <w:left w:w="120" w:type="dxa"/>
              <w:bottom w:w="0" w:type="dxa"/>
              <w:right w:w="120" w:type="dxa"/>
            </w:tcMar>
            <w:vAlign w:val="bottom"/>
          </w:tcPr>
          <w:p w14:paraId="25E4ED5F" w14:textId="77777777" w:rsidR="00A24724" w:rsidRPr="00C145D7" w:rsidRDefault="00A24724" w:rsidP="00D707D6">
            <w:pPr>
              <w:spacing w:line="240" w:lineRule="exact"/>
              <w:jc w:val="right"/>
              <w:rPr>
                <w:rFonts w:ascii="Arial" w:eastAsia="Arial Unicode MS" w:hAnsi="Arial" w:cs="Arial"/>
                <w:color w:val="000000" w:themeColor="text1"/>
                <w:sz w:val="17"/>
                <w:szCs w:val="17"/>
              </w:rPr>
            </w:pPr>
            <w:r w:rsidRPr="00F959D0">
              <w:rPr>
                <w:rFonts w:ascii="Arial" w:eastAsia="Arial Unicode MS" w:hAnsi="Arial" w:cs="Arial"/>
                <w:color w:val="000000" w:themeColor="text1"/>
                <w:sz w:val="17"/>
                <w:szCs w:val="17"/>
              </w:rPr>
              <w:t xml:space="preserve"> 41.433 </w:t>
            </w:r>
          </w:p>
        </w:tc>
        <w:tc>
          <w:tcPr>
            <w:tcW w:w="1258" w:type="dxa"/>
            <w:tcBorders>
              <w:top w:val="nil"/>
              <w:left w:val="nil"/>
              <w:right w:val="nil"/>
            </w:tcBorders>
            <w:tcMar>
              <w:top w:w="0" w:type="dxa"/>
              <w:left w:w="120" w:type="dxa"/>
              <w:bottom w:w="0" w:type="dxa"/>
              <w:right w:w="120" w:type="dxa"/>
            </w:tcMar>
            <w:vAlign w:val="bottom"/>
          </w:tcPr>
          <w:p w14:paraId="5A731A25" w14:textId="77777777" w:rsidR="00A24724" w:rsidRPr="00C145D7" w:rsidRDefault="00A24724" w:rsidP="00D707D6">
            <w:pPr>
              <w:spacing w:line="240" w:lineRule="exact"/>
              <w:jc w:val="right"/>
              <w:rPr>
                <w:rFonts w:ascii="Arial" w:eastAsia="Arial Unicode MS" w:hAnsi="Arial" w:cs="Arial"/>
                <w:color w:val="000000" w:themeColor="text1"/>
                <w:sz w:val="17"/>
                <w:szCs w:val="17"/>
              </w:rPr>
            </w:pPr>
            <w:r w:rsidRPr="00F959D0">
              <w:rPr>
                <w:rFonts w:ascii="Arial" w:eastAsia="Arial Unicode MS" w:hAnsi="Arial" w:cs="Arial"/>
                <w:color w:val="000000" w:themeColor="text1"/>
                <w:sz w:val="17"/>
                <w:szCs w:val="17"/>
              </w:rPr>
              <w:t xml:space="preserve"> 91 </w:t>
            </w:r>
          </w:p>
        </w:tc>
        <w:tc>
          <w:tcPr>
            <w:tcW w:w="1536" w:type="dxa"/>
            <w:tcBorders>
              <w:top w:val="nil"/>
              <w:left w:val="nil"/>
              <w:right w:val="nil"/>
            </w:tcBorders>
            <w:tcMar>
              <w:top w:w="0" w:type="dxa"/>
              <w:left w:w="120" w:type="dxa"/>
              <w:bottom w:w="0" w:type="dxa"/>
              <w:right w:w="120" w:type="dxa"/>
            </w:tcMar>
            <w:vAlign w:val="bottom"/>
          </w:tcPr>
          <w:p w14:paraId="0CBEE5F8" w14:textId="77777777" w:rsidR="00A24724" w:rsidRPr="00C145D7" w:rsidRDefault="00A24724" w:rsidP="00D707D6">
            <w:pPr>
              <w:spacing w:line="240" w:lineRule="exact"/>
              <w:jc w:val="right"/>
              <w:rPr>
                <w:rFonts w:ascii="Arial" w:eastAsia="Arial Unicode MS" w:hAnsi="Arial" w:cs="Arial"/>
                <w:color w:val="000000" w:themeColor="text1"/>
                <w:sz w:val="17"/>
                <w:szCs w:val="17"/>
              </w:rPr>
            </w:pPr>
            <w:r w:rsidRPr="00F959D0">
              <w:rPr>
                <w:rFonts w:ascii="Arial" w:eastAsia="Arial Unicode MS" w:hAnsi="Arial" w:cs="Arial"/>
                <w:color w:val="000000" w:themeColor="text1"/>
                <w:sz w:val="17"/>
                <w:szCs w:val="17"/>
              </w:rPr>
              <w:t xml:space="preserve"> 19 </w:t>
            </w:r>
          </w:p>
        </w:tc>
        <w:tc>
          <w:tcPr>
            <w:tcW w:w="1398" w:type="dxa"/>
            <w:tcBorders>
              <w:top w:val="nil"/>
              <w:left w:val="nil"/>
            </w:tcBorders>
            <w:tcMar>
              <w:top w:w="0" w:type="dxa"/>
              <w:left w:w="120" w:type="dxa"/>
              <w:bottom w:w="0" w:type="dxa"/>
              <w:right w:w="120" w:type="dxa"/>
            </w:tcMar>
            <w:vAlign w:val="bottom"/>
          </w:tcPr>
          <w:p w14:paraId="12891D7C" w14:textId="77777777" w:rsidR="00A24724" w:rsidRPr="00C145D7" w:rsidRDefault="00A24724" w:rsidP="00D707D6">
            <w:pPr>
              <w:spacing w:line="240" w:lineRule="exact"/>
              <w:jc w:val="right"/>
              <w:rPr>
                <w:rFonts w:ascii="Arial" w:eastAsia="Arial Unicode MS" w:hAnsi="Arial" w:cs="Arial"/>
                <w:color w:val="000000" w:themeColor="text1"/>
                <w:sz w:val="17"/>
                <w:szCs w:val="17"/>
              </w:rPr>
            </w:pPr>
            <w:r w:rsidRPr="00F959D0">
              <w:rPr>
                <w:rFonts w:ascii="Arial" w:eastAsia="Arial Unicode MS" w:hAnsi="Arial" w:cs="Arial"/>
                <w:color w:val="000000" w:themeColor="text1"/>
                <w:sz w:val="17"/>
                <w:szCs w:val="17"/>
              </w:rPr>
              <w:t xml:space="preserve"> 41.543 </w:t>
            </w:r>
          </w:p>
        </w:tc>
      </w:tr>
      <w:tr w:rsidR="00A24724" w:rsidRPr="00C145D7" w14:paraId="2EDCD915" w14:textId="77777777" w:rsidTr="00D707D6">
        <w:trPr>
          <w:trHeight w:val="243"/>
        </w:trPr>
        <w:tc>
          <w:tcPr>
            <w:tcW w:w="3627" w:type="dxa"/>
            <w:tcMar>
              <w:top w:w="0" w:type="dxa"/>
              <w:left w:w="120" w:type="dxa"/>
              <w:bottom w:w="0" w:type="dxa"/>
              <w:right w:w="120" w:type="dxa"/>
            </w:tcMar>
            <w:vAlign w:val="bottom"/>
          </w:tcPr>
          <w:p w14:paraId="04DD17C1" w14:textId="77777777" w:rsidR="00A24724" w:rsidRPr="00C145D7" w:rsidRDefault="00A24724" w:rsidP="00D707D6">
            <w:pPr>
              <w:tabs>
                <w:tab w:val="right" w:pos="1202"/>
              </w:tabs>
              <w:spacing w:line="240" w:lineRule="exact"/>
              <w:outlineLvl w:val="0"/>
              <w:rPr>
                <w:rFonts w:ascii="Arial" w:eastAsia="Calibri" w:hAnsi="Arial" w:cs="Arial"/>
                <w:color w:val="000000" w:themeColor="text1"/>
                <w:sz w:val="17"/>
                <w:szCs w:val="17"/>
              </w:rPr>
            </w:pPr>
            <w:r w:rsidRPr="00C145D7">
              <w:rPr>
                <w:rFonts w:ascii="Arial" w:eastAsia="Calibri" w:hAnsi="Arial" w:cs="Arial"/>
                <w:color w:val="000000" w:themeColor="text1"/>
                <w:spacing w:val="-2"/>
                <w:sz w:val="17"/>
                <w:szCs w:val="17"/>
              </w:rPr>
              <w:t>Depoziti kod drugih banaka</w:t>
            </w:r>
          </w:p>
        </w:tc>
        <w:tc>
          <w:tcPr>
            <w:tcW w:w="1536" w:type="dxa"/>
            <w:tcBorders>
              <w:top w:val="nil"/>
              <w:left w:val="nil"/>
              <w:bottom w:val="nil"/>
              <w:right w:val="nil"/>
            </w:tcBorders>
            <w:tcMar>
              <w:top w:w="0" w:type="dxa"/>
              <w:left w:w="120" w:type="dxa"/>
              <w:bottom w:w="0" w:type="dxa"/>
              <w:right w:w="120" w:type="dxa"/>
            </w:tcMar>
            <w:vAlign w:val="bottom"/>
          </w:tcPr>
          <w:p w14:paraId="30E4ECCE" w14:textId="77777777" w:rsidR="00A24724" w:rsidRPr="00C145D7" w:rsidRDefault="00A24724" w:rsidP="00D707D6">
            <w:pPr>
              <w:spacing w:line="240" w:lineRule="exact"/>
              <w:jc w:val="right"/>
              <w:rPr>
                <w:rFonts w:ascii="Arial" w:eastAsia="Arial Unicode MS" w:hAnsi="Arial" w:cs="Arial"/>
                <w:color w:val="000000" w:themeColor="text1"/>
                <w:sz w:val="17"/>
                <w:szCs w:val="17"/>
              </w:rPr>
            </w:pPr>
            <w:r w:rsidRPr="00F959D0">
              <w:rPr>
                <w:rFonts w:ascii="Arial" w:eastAsia="Arial Unicode MS" w:hAnsi="Arial" w:cs="Arial"/>
                <w:color w:val="000000" w:themeColor="text1"/>
                <w:sz w:val="17"/>
                <w:szCs w:val="17"/>
              </w:rPr>
              <w:t xml:space="preserve"> 67.013 </w:t>
            </w:r>
          </w:p>
        </w:tc>
        <w:tc>
          <w:tcPr>
            <w:tcW w:w="1258" w:type="dxa"/>
            <w:tcBorders>
              <w:top w:val="nil"/>
              <w:left w:val="nil"/>
              <w:bottom w:val="nil"/>
              <w:right w:val="nil"/>
            </w:tcBorders>
            <w:tcMar>
              <w:top w:w="0" w:type="dxa"/>
              <w:left w:w="120" w:type="dxa"/>
              <w:bottom w:w="0" w:type="dxa"/>
              <w:right w:w="120" w:type="dxa"/>
            </w:tcMar>
            <w:vAlign w:val="bottom"/>
          </w:tcPr>
          <w:p w14:paraId="595D5C52" w14:textId="77777777" w:rsidR="00A24724" w:rsidRPr="00C145D7" w:rsidRDefault="00A24724" w:rsidP="00D707D6">
            <w:pPr>
              <w:spacing w:line="240" w:lineRule="exact"/>
              <w:jc w:val="right"/>
              <w:rPr>
                <w:rFonts w:ascii="Arial" w:eastAsia="Arial Unicode MS" w:hAnsi="Arial" w:cs="Arial"/>
                <w:color w:val="000000" w:themeColor="text1"/>
                <w:sz w:val="17"/>
                <w:szCs w:val="17"/>
              </w:rPr>
            </w:pPr>
            <w:r w:rsidRPr="00F959D0">
              <w:rPr>
                <w:rFonts w:ascii="Arial" w:eastAsia="Arial Unicode MS" w:hAnsi="Arial" w:cs="Arial"/>
                <w:color w:val="000000" w:themeColor="text1"/>
                <w:sz w:val="17"/>
                <w:szCs w:val="17"/>
              </w:rPr>
              <w:t xml:space="preserve"> 2.443 </w:t>
            </w:r>
          </w:p>
        </w:tc>
        <w:tc>
          <w:tcPr>
            <w:tcW w:w="1536" w:type="dxa"/>
            <w:tcBorders>
              <w:top w:val="nil"/>
              <w:left w:val="nil"/>
              <w:bottom w:val="nil"/>
              <w:right w:val="nil"/>
            </w:tcBorders>
            <w:tcMar>
              <w:top w:w="0" w:type="dxa"/>
              <w:left w:w="120" w:type="dxa"/>
              <w:bottom w:w="0" w:type="dxa"/>
              <w:right w:w="120" w:type="dxa"/>
            </w:tcMar>
            <w:vAlign w:val="bottom"/>
          </w:tcPr>
          <w:p w14:paraId="6DABAC8C" w14:textId="77777777" w:rsidR="00A24724" w:rsidRPr="00C145D7" w:rsidRDefault="00A24724" w:rsidP="00D707D6">
            <w:pPr>
              <w:spacing w:line="240" w:lineRule="exact"/>
              <w:jc w:val="right"/>
              <w:rPr>
                <w:rFonts w:ascii="Arial" w:eastAsia="Arial Unicode MS" w:hAnsi="Arial" w:cs="Arial"/>
                <w:color w:val="000000" w:themeColor="text1"/>
                <w:sz w:val="17"/>
                <w:szCs w:val="17"/>
              </w:rPr>
            </w:pPr>
            <w:r w:rsidRPr="00F959D0">
              <w:rPr>
                <w:rFonts w:ascii="Arial" w:eastAsia="Arial Unicode MS" w:hAnsi="Arial" w:cs="Arial"/>
                <w:color w:val="000000" w:themeColor="text1"/>
                <w:sz w:val="17"/>
                <w:szCs w:val="17"/>
              </w:rPr>
              <w:t xml:space="preserve"> - </w:t>
            </w:r>
          </w:p>
        </w:tc>
        <w:tc>
          <w:tcPr>
            <w:tcW w:w="1398" w:type="dxa"/>
            <w:tcBorders>
              <w:top w:val="nil"/>
              <w:left w:val="nil"/>
              <w:bottom w:val="nil"/>
            </w:tcBorders>
            <w:tcMar>
              <w:top w:w="0" w:type="dxa"/>
              <w:left w:w="120" w:type="dxa"/>
              <w:bottom w:w="0" w:type="dxa"/>
              <w:right w:w="120" w:type="dxa"/>
            </w:tcMar>
            <w:vAlign w:val="bottom"/>
          </w:tcPr>
          <w:p w14:paraId="6E07733D" w14:textId="77777777" w:rsidR="00A24724" w:rsidRPr="00C145D7" w:rsidRDefault="00A24724" w:rsidP="00D707D6">
            <w:pPr>
              <w:spacing w:line="240" w:lineRule="exact"/>
              <w:jc w:val="right"/>
              <w:rPr>
                <w:rFonts w:ascii="Arial" w:eastAsia="Arial Unicode MS" w:hAnsi="Arial" w:cs="Arial"/>
                <w:color w:val="000000" w:themeColor="text1"/>
                <w:sz w:val="17"/>
                <w:szCs w:val="17"/>
              </w:rPr>
            </w:pPr>
            <w:r w:rsidRPr="00F959D0">
              <w:rPr>
                <w:rFonts w:ascii="Arial" w:eastAsia="Arial Unicode MS" w:hAnsi="Arial" w:cs="Arial"/>
                <w:color w:val="000000" w:themeColor="text1"/>
                <w:sz w:val="17"/>
                <w:szCs w:val="17"/>
              </w:rPr>
              <w:t xml:space="preserve"> 69.456 </w:t>
            </w:r>
          </w:p>
        </w:tc>
      </w:tr>
      <w:tr w:rsidR="00A24724" w:rsidRPr="00C145D7" w14:paraId="1A91B18D" w14:textId="77777777" w:rsidTr="00D707D6">
        <w:trPr>
          <w:trHeight w:val="119"/>
        </w:trPr>
        <w:tc>
          <w:tcPr>
            <w:tcW w:w="3627" w:type="dxa"/>
            <w:tcMar>
              <w:top w:w="0" w:type="dxa"/>
              <w:left w:w="120" w:type="dxa"/>
              <w:bottom w:w="0" w:type="dxa"/>
              <w:right w:w="120" w:type="dxa"/>
            </w:tcMar>
            <w:vAlign w:val="bottom"/>
          </w:tcPr>
          <w:p w14:paraId="6980C016" w14:textId="77777777" w:rsidR="00A24724" w:rsidRPr="00C145D7" w:rsidRDefault="00A24724" w:rsidP="00D707D6">
            <w:pPr>
              <w:tabs>
                <w:tab w:val="right" w:pos="1202"/>
              </w:tabs>
              <w:spacing w:line="240" w:lineRule="exact"/>
              <w:outlineLvl w:val="0"/>
              <w:rPr>
                <w:rFonts w:ascii="Arial" w:eastAsia="Calibri" w:hAnsi="Arial" w:cs="Arial"/>
                <w:color w:val="000000" w:themeColor="text1"/>
                <w:spacing w:val="-2"/>
                <w:sz w:val="17"/>
                <w:szCs w:val="17"/>
              </w:rPr>
            </w:pPr>
            <w:r w:rsidRPr="00C145D7">
              <w:rPr>
                <w:rFonts w:ascii="Arial" w:eastAsia="Calibri" w:hAnsi="Arial" w:cs="Arial"/>
                <w:color w:val="000000" w:themeColor="text1"/>
                <w:spacing w:val="-2"/>
                <w:sz w:val="17"/>
                <w:szCs w:val="17"/>
              </w:rPr>
              <w:t>Krediti financijskim institucijama</w:t>
            </w:r>
          </w:p>
        </w:tc>
        <w:tc>
          <w:tcPr>
            <w:tcW w:w="1536" w:type="dxa"/>
            <w:tcBorders>
              <w:top w:val="nil"/>
              <w:left w:val="nil"/>
              <w:bottom w:val="nil"/>
              <w:right w:val="nil"/>
            </w:tcBorders>
            <w:tcMar>
              <w:top w:w="0" w:type="dxa"/>
              <w:left w:w="120" w:type="dxa"/>
              <w:bottom w:w="0" w:type="dxa"/>
              <w:right w:w="120" w:type="dxa"/>
            </w:tcMar>
            <w:vAlign w:val="bottom"/>
          </w:tcPr>
          <w:p w14:paraId="0B55F472" w14:textId="77777777" w:rsidR="00A24724" w:rsidRPr="00C145D7" w:rsidRDefault="00A24724" w:rsidP="00D707D6">
            <w:pPr>
              <w:spacing w:line="240" w:lineRule="exact"/>
              <w:jc w:val="right"/>
              <w:rPr>
                <w:rFonts w:ascii="Arial" w:eastAsia="Arial Unicode MS" w:hAnsi="Arial" w:cs="Arial"/>
                <w:color w:val="000000" w:themeColor="text1"/>
                <w:sz w:val="17"/>
                <w:szCs w:val="17"/>
              </w:rPr>
            </w:pPr>
            <w:r w:rsidRPr="00F959D0">
              <w:rPr>
                <w:rFonts w:ascii="Arial" w:eastAsia="Arial Unicode MS" w:hAnsi="Arial" w:cs="Arial"/>
                <w:color w:val="000000" w:themeColor="text1"/>
                <w:sz w:val="17"/>
                <w:szCs w:val="17"/>
              </w:rPr>
              <w:t xml:space="preserve"> 1.248.881 </w:t>
            </w:r>
          </w:p>
        </w:tc>
        <w:tc>
          <w:tcPr>
            <w:tcW w:w="1258" w:type="dxa"/>
            <w:tcBorders>
              <w:top w:val="nil"/>
              <w:left w:val="nil"/>
              <w:bottom w:val="nil"/>
              <w:right w:val="nil"/>
            </w:tcBorders>
            <w:tcMar>
              <w:top w:w="0" w:type="dxa"/>
              <w:left w:w="120" w:type="dxa"/>
              <w:bottom w:w="0" w:type="dxa"/>
              <w:right w:w="120" w:type="dxa"/>
            </w:tcMar>
            <w:vAlign w:val="bottom"/>
          </w:tcPr>
          <w:p w14:paraId="7B8F74D4" w14:textId="77777777" w:rsidR="00A24724" w:rsidRPr="00C145D7" w:rsidRDefault="00A24724" w:rsidP="00D707D6">
            <w:pPr>
              <w:spacing w:line="240" w:lineRule="exact"/>
              <w:jc w:val="right"/>
              <w:rPr>
                <w:rFonts w:ascii="Arial" w:eastAsia="Arial Unicode MS" w:hAnsi="Arial" w:cs="Arial"/>
                <w:color w:val="000000" w:themeColor="text1"/>
                <w:sz w:val="17"/>
                <w:szCs w:val="17"/>
              </w:rPr>
            </w:pPr>
            <w:r w:rsidRPr="00F959D0">
              <w:rPr>
                <w:rFonts w:ascii="Arial" w:eastAsia="Arial Unicode MS" w:hAnsi="Arial" w:cs="Arial"/>
                <w:color w:val="000000" w:themeColor="text1"/>
                <w:sz w:val="17"/>
                <w:szCs w:val="17"/>
              </w:rPr>
              <w:t xml:space="preserve"> - </w:t>
            </w:r>
          </w:p>
        </w:tc>
        <w:tc>
          <w:tcPr>
            <w:tcW w:w="1536" w:type="dxa"/>
            <w:tcBorders>
              <w:top w:val="nil"/>
              <w:left w:val="nil"/>
              <w:bottom w:val="nil"/>
              <w:right w:val="nil"/>
            </w:tcBorders>
            <w:tcMar>
              <w:top w:w="0" w:type="dxa"/>
              <w:left w:w="120" w:type="dxa"/>
              <w:bottom w:w="0" w:type="dxa"/>
              <w:right w:w="120" w:type="dxa"/>
            </w:tcMar>
            <w:vAlign w:val="bottom"/>
          </w:tcPr>
          <w:p w14:paraId="4981EACB" w14:textId="77777777" w:rsidR="00A24724" w:rsidRPr="00C145D7" w:rsidRDefault="00A24724" w:rsidP="00D707D6">
            <w:pPr>
              <w:spacing w:line="240" w:lineRule="exact"/>
              <w:jc w:val="right"/>
              <w:rPr>
                <w:rFonts w:ascii="Arial" w:eastAsia="Arial Unicode MS" w:hAnsi="Arial" w:cs="Arial"/>
                <w:color w:val="000000" w:themeColor="text1"/>
                <w:sz w:val="17"/>
                <w:szCs w:val="17"/>
              </w:rPr>
            </w:pPr>
            <w:r w:rsidRPr="00F959D0">
              <w:rPr>
                <w:rFonts w:ascii="Arial" w:eastAsia="Arial Unicode MS" w:hAnsi="Arial" w:cs="Arial"/>
                <w:color w:val="000000" w:themeColor="text1"/>
                <w:sz w:val="17"/>
                <w:szCs w:val="17"/>
              </w:rPr>
              <w:t xml:space="preserve"> - </w:t>
            </w:r>
          </w:p>
        </w:tc>
        <w:tc>
          <w:tcPr>
            <w:tcW w:w="1398" w:type="dxa"/>
            <w:tcBorders>
              <w:top w:val="nil"/>
              <w:left w:val="nil"/>
              <w:bottom w:val="nil"/>
            </w:tcBorders>
            <w:tcMar>
              <w:top w:w="0" w:type="dxa"/>
              <w:left w:w="120" w:type="dxa"/>
              <w:bottom w:w="0" w:type="dxa"/>
              <w:right w:w="120" w:type="dxa"/>
            </w:tcMar>
            <w:vAlign w:val="bottom"/>
          </w:tcPr>
          <w:p w14:paraId="1819384D" w14:textId="77777777" w:rsidR="00A24724" w:rsidRPr="00C145D7" w:rsidRDefault="00A24724" w:rsidP="00D707D6">
            <w:pPr>
              <w:spacing w:line="240" w:lineRule="exact"/>
              <w:jc w:val="right"/>
              <w:rPr>
                <w:rFonts w:ascii="Arial" w:eastAsia="Arial Unicode MS" w:hAnsi="Arial" w:cs="Arial"/>
                <w:color w:val="000000" w:themeColor="text1"/>
                <w:sz w:val="17"/>
                <w:szCs w:val="17"/>
              </w:rPr>
            </w:pPr>
            <w:r w:rsidRPr="00F959D0">
              <w:rPr>
                <w:rFonts w:ascii="Arial" w:eastAsia="Arial Unicode MS" w:hAnsi="Arial" w:cs="Arial"/>
                <w:color w:val="000000" w:themeColor="text1"/>
                <w:sz w:val="17"/>
                <w:szCs w:val="17"/>
              </w:rPr>
              <w:t xml:space="preserve"> 1.248.881 </w:t>
            </w:r>
          </w:p>
        </w:tc>
      </w:tr>
      <w:tr w:rsidR="00A24724" w:rsidRPr="00C145D7" w14:paraId="0FE5D429" w14:textId="77777777" w:rsidTr="00D707D6">
        <w:trPr>
          <w:trHeight w:val="71"/>
        </w:trPr>
        <w:tc>
          <w:tcPr>
            <w:tcW w:w="3627" w:type="dxa"/>
            <w:tcMar>
              <w:top w:w="0" w:type="dxa"/>
              <w:left w:w="120" w:type="dxa"/>
              <w:bottom w:w="0" w:type="dxa"/>
              <w:right w:w="120" w:type="dxa"/>
            </w:tcMar>
            <w:vAlign w:val="bottom"/>
          </w:tcPr>
          <w:p w14:paraId="62551DF3" w14:textId="77777777" w:rsidR="00A24724" w:rsidRPr="00C145D7" w:rsidRDefault="00A24724" w:rsidP="00D707D6">
            <w:pPr>
              <w:tabs>
                <w:tab w:val="right" w:pos="1202"/>
              </w:tabs>
              <w:spacing w:line="240" w:lineRule="exact"/>
              <w:outlineLvl w:val="0"/>
              <w:rPr>
                <w:rFonts w:ascii="Arial" w:eastAsia="Calibri" w:hAnsi="Arial" w:cs="Arial"/>
                <w:color w:val="000000" w:themeColor="text1"/>
                <w:spacing w:val="-2"/>
                <w:sz w:val="17"/>
                <w:szCs w:val="17"/>
              </w:rPr>
            </w:pPr>
            <w:r w:rsidRPr="00C145D7">
              <w:rPr>
                <w:rFonts w:ascii="Arial" w:eastAsia="Calibri" w:hAnsi="Arial" w:cs="Arial"/>
                <w:color w:val="000000" w:themeColor="text1"/>
                <w:spacing w:val="-2"/>
                <w:sz w:val="17"/>
                <w:szCs w:val="17"/>
              </w:rPr>
              <w:t>Krediti ostalim korisnicima</w:t>
            </w:r>
          </w:p>
        </w:tc>
        <w:tc>
          <w:tcPr>
            <w:tcW w:w="1536" w:type="dxa"/>
            <w:tcBorders>
              <w:top w:val="nil"/>
              <w:left w:val="nil"/>
              <w:bottom w:val="nil"/>
              <w:right w:val="nil"/>
            </w:tcBorders>
            <w:tcMar>
              <w:top w:w="0" w:type="dxa"/>
              <w:left w:w="120" w:type="dxa"/>
              <w:bottom w:w="0" w:type="dxa"/>
              <w:right w:w="120" w:type="dxa"/>
            </w:tcMar>
            <w:vAlign w:val="bottom"/>
          </w:tcPr>
          <w:p w14:paraId="766AE82A" w14:textId="77777777" w:rsidR="00A24724" w:rsidRPr="00C145D7" w:rsidRDefault="00A24724" w:rsidP="00D707D6">
            <w:pPr>
              <w:spacing w:line="240" w:lineRule="exact"/>
              <w:jc w:val="right"/>
              <w:rPr>
                <w:rFonts w:ascii="Arial" w:eastAsia="Arial Unicode MS" w:hAnsi="Arial" w:cs="Arial"/>
                <w:color w:val="000000" w:themeColor="text1"/>
                <w:sz w:val="17"/>
                <w:szCs w:val="17"/>
              </w:rPr>
            </w:pPr>
            <w:r w:rsidRPr="00F959D0">
              <w:rPr>
                <w:rFonts w:ascii="Arial" w:eastAsia="Arial Unicode MS" w:hAnsi="Arial" w:cs="Arial"/>
                <w:color w:val="000000" w:themeColor="text1"/>
                <w:sz w:val="17"/>
                <w:szCs w:val="17"/>
              </w:rPr>
              <w:t xml:space="preserve"> 2.302.547 </w:t>
            </w:r>
          </w:p>
        </w:tc>
        <w:tc>
          <w:tcPr>
            <w:tcW w:w="1258" w:type="dxa"/>
            <w:tcBorders>
              <w:top w:val="nil"/>
              <w:left w:val="nil"/>
              <w:bottom w:val="nil"/>
              <w:right w:val="nil"/>
            </w:tcBorders>
            <w:tcMar>
              <w:top w:w="0" w:type="dxa"/>
              <w:left w:w="120" w:type="dxa"/>
              <w:bottom w:w="0" w:type="dxa"/>
              <w:right w:w="120" w:type="dxa"/>
            </w:tcMar>
            <w:vAlign w:val="bottom"/>
          </w:tcPr>
          <w:p w14:paraId="7E597AE1" w14:textId="77777777" w:rsidR="00A24724" w:rsidRPr="00C145D7" w:rsidRDefault="00A24724" w:rsidP="00D707D6">
            <w:pPr>
              <w:spacing w:line="240" w:lineRule="exact"/>
              <w:jc w:val="right"/>
              <w:rPr>
                <w:rFonts w:ascii="Arial" w:eastAsia="Arial Unicode MS" w:hAnsi="Arial" w:cs="Arial"/>
                <w:color w:val="000000" w:themeColor="text1"/>
                <w:sz w:val="17"/>
                <w:szCs w:val="17"/>
              </w:rPr>
            </w:pPr>
            <w:r w:rsidRPr="00F959D0">
              <w:rPr>
                <w:rFonts w:ascii="Arial" w:eastAsia="Arial Unicode MS" w:hAnsi="Arial" w:cs="Arial"/>
                <w:color w:val="000000" w:themeColor="text1"/>
                <w:sz w:val="17"/>
                <w:szCs w:val="17"/>
              </w:rPr>
              <w:t xml:space="preserve"> 26.458 </w:t>
            </w:r>
          </w:p>
        </w:tc>
        <w:tc>
          <w:tcPr>
            <w:tcW w:w="1536" w:type="dxa"/>
            <w:tcBorders>
              <w:top w:val="nil"/>
              <w:left w:val="nil"/>
              <w:bottom w:val="nil"/>
              <w:right w:val="nil"/>
            </w:tcBorders>
            <w:tcMar>
              <w:top w:w="0" w:type="dxa"/>
              <w:left w:w="120" w:type="dxa"/>
              <w:bottom w:w="0" w:type="dxa"/>
              <w:right w:w="120" w:type="dxa"/>
            </w:tcMar>
            <w:vAlign w:val="bottom"/>
          </w:tcPr>
          <w:p w14:paraId="49CC1208" w14:textId="77777777" w:rsidR="00A24724" w:rsidRPr="00C145D7" w:rsidRDefault="00A24724" w:rsidP="00D707D6">
            <w:pPr>
              <w:spacing w:line="240" w:lineRule="exact"/>
              <w:jc w:val="right"/>
              <w:rPr>
                <w:rFonts w:ascii="Arial" w:eastAsia="Arial Unicode MS" w:hAnsi="Arial" w:cs="Arial"/>
                <w:color w:val="000000" w:themeColor="text1"/>
                <w:sz w:val="17"/>
                <w:szCs w:val="17"/>
              </w:rPr>
            </w:pPr>
            <w:r w:rsidRPr="00F959D0">
              <w:rPr>
                <w:rFonts w:ascii="Arial" w:eastAsia="Arial Unicode MS" w:hAnsi="Arial" w:cs="Arial"/>
                <w:color w:val="000000" w:themeColor="text1"/>
                <w:sz w:val="17"/>
                <w:szCs w:val="17"/>
              </w:rPr>
              <w:t xml:space="preserve"> 22.191 </w:t>
            </w:r>
          </w:p>
        </w:tc>
        <w:tc>
          <w:tcPr>
            <w:tcW w:w="1398" w:type="dxa"/>
            <w:tcBorders>
              <w:top w:val="nil"/>
              <w:left w:val="nil"/>
              <w:bottom w:val="nil"/>
            </w:tcBorders>
            <w:tcMar>
              <w:top w:w="0" w:type="dxa"/>
              <w:left w:w="120" w:type="dxa"/>
              <w:bottom w:w="0" w:type="dxa"/>
              <w:right w:w="120" w:type="dxa"/>
            </w:tcMar>
            <w:vAlign w:val="bottom"/>
          </w:tcPr>
          <w:p w14:paraId="34DCA655" w14:textId="77777777" w:rsidR="00A24724" w:rsidRPr="00C145D7" w:rsidRDefault="00A24724" w:rsidP="00D707D6">
            <w:pPr>
              <w:spacing w:line="240" w:lineRule="exact"/>
              <w:jc w:val="right"/>
              <w:rPr>
                <w:rFonts w:ascii="Arial" w:eastAsia="Arial Unicode MS" w:hAnsi="Arial" w:cs="Arial"/>
                <w:color w:val="000000" w:themeColor="text1"/>
                <w:sz w:val="17"/>
                <w:szCs w:val="17"/>
              </w:rPr>
            </w:pPr>
            <w:r w:rsidRPr="00F959D0">
              <w:rPr>
                <w:rFonts w:ascii="Arial" w:eastAsia="Arial Unicode MS" w:hAnsi="Arial" w:cs="Arial"/>
                <w:color w:val="000000" w:themeColor="text1"/>
                <w:sz w:val="17"/>
                <w:szCs w:val="17"/>
              </w:rPr>
              <w:t xml:space="preserve"> 2.351.196 </w:t>
            </w:r>
          </w:p>
        </w:tc>
      </w:tr>
      <w:tr w:rsidR="00A24724" w:rsidRPr="00C145D7" w14:paraId="35C9FC15" w14:textId="77777777" w:rsidTr="00D707D6">
        <w:trPr>
          <w:trHeight w:val="227"/>
        </w:trPr>
        <w:tc>
          <w:tcPr>
            <w:tcW w:w="3627" w:type="dxa"/>
            <w:tcMar>
              <w:top w:w="0" w:type="dxa"/>
              <w:left w:w="120" w:type="dxa"/>
              <w:bottom w:w="0" w:type="dxa"/>
              <w:right w:w="120" w:type="dxa"/>
            </w:tcMar>
            <w:vAlign w:val="bottom"/>
          </w:tcPr>
          <w:p w14:paraId="7F08F518" w14:textId="77777777" w:rsidR="00A24724" w:rsidRPr="00C145D7" w:rsidRDefault="00A24724" w:rsidP="00D707D6">
            <w:pPr>
              <w:tabs>
                <w:tab w:val="right" w:pos="1202"/>
              </w:tabs>
              <w:spacing w:line="240" w:lineRule="exact"/>
              <w:outlineLvl w:val="0"/>
              <w:rPr>
                <w:rFonts w:ascii="Arial" w:eastAsia="Calibri" w:hAnsi="Arial" w:cs="Arial"/>
                <w:color w:val="000000" w:themeColor="text1"/>
                <w:spacing w:val="-2"/>
                <w:sz w:val="17"/>
                <w:szCs w:val="17"/>
              </w:rPr>
            </w:pPr>
            <w:r w:rsidRPr="00C145D7">
              <w:rPr>
                <w:rFonts w:ascii="Arial" w:eastAsia="Calibri" w:hAnsi="Arial" w:cs="Arial"/>
                <w:color w:val="000000" w:themeColor="text1"/>
                <w:sz w:val="17"/>
                <w:szCs w:val="17"/>
              </w:rPr>
              <w:t>Financijska imovina po fer vrijednosti kroz dobit ili gubitak</w:t>
            </w:r>
          </w:p>
        </w:tc>
        <w:tc>
          <w:tcPr>
            <w:tcW w:w="1536" w:type="dxa"/>
            <w:tcBorders>
              <w:top w:val="nil"/>
              <w:left w:val="nil"/>
              <w:bottom w:val="nil"/>
              <w:right w:val="nil"/>
            </w:tcBorders>
            <w:tcMar>
              <w:top w:w="0" w:type="dxa"/>
              <w:left w:w="120" w:type="dxa"/>
              <w:bottom w:w="0" w:type="dxa"/>
              <w:right w:w="120" w:type="dxa"/>
            </w:tcMar>
            <w:vAlign w:val="bottom"/>
          </w:tcPr>
          <w:p w14:paraId="15AF8F82" w14:textId="77777777" w:rsidR="00A24724" w:rsidRPr="00C145D7" w:rsidRDefault="00A24724" w:rsidP="00D707D6">
            <w:pPr>
              <w:spacing w:line="240" w:lineRule="exact"/>
              <w:jc w:val="right"/>
              <w:rPr>
                <w:rFonts w:ascii="Arial" w:eastAsia="Arial Unicode MS" w:hAnsi="Arial" w:cs="Arial"/>
                <w:color w:val="000000" w:themeColor="text1"/>
                <w:sz w:val="17"/>
                <w:szCs w:val="17"/>
              </w:rPr>
            </w:pPr>
            <w:r w:rsidRPr="00F959D0">
              <w:rPr>
                <w:rFonts w:ascii="Arial" w:eastAsia="Arial Unicode MS" w:hAnsi="Arial" w:cs="Arial"/>
                <w:color w:val="000000" w:themeColor="text1"/>
                <w:sz w:val="17"/>
                <w:szCs w:val="17"/>
              </w:rPr>
              <w:t xml:space="preserve"> 48.034 </w:t>
            </w:r>
          </w:p>
        </w:tc>
        <w:tc>
          <w:tcPr>
            <w:tcW w:w="1258" w:type="dxa"/>
            <w:tcBorders>
              <w:top w:val="nil"/>
              <w:left w:val="nil"/>
              <w:bottom w:val="nil"/>
              <w:right w:val="nil"/>
            </w:tcBorders>
            <w:tcMar>
              <w:top w:w="0" w:type="dxa"/>
              <w:left w:w="120" w:type="dxa"/>
              <w:bottom w:w="0" w:type="dxa"/>
              <w:right w:w="120" w:type="dxa"/>
            </w:tcMar>
            <w:vAlign w:val="bottom"/>
          </w:tcPr>
          <w:p w14:paraId="0B213663" w14:textId="77777777" w:rsidR="00A24724" w:rsidRPr="00C145D7" w:rsidRDefault="00A24724" w:rsidP="00D707D6">
            <w:pPr>
              <w:spacing w:line="240" w:lineRule="exact"/>
              <w:jc w:val="right"/>
              <w:rPr>
                <w:rFonts w:ascii="Arial" w:eastAsia="Arial Unicode MS" w:hAnsi="Arial" w:cs="Arial"/>
                <w:color w:val="000000" w:themeColor="text1"/>
                <w:sz w:val="17"/>
                <w:szCs w:val="17"/>
              </w:rPr>
            </w:pPr>
            <w:r w:rsidRPr="00F959D0">
              <w:rPr>
                <w:rFonts w:ascii="Arial" w:eastAsia="Arial Unicode MS" w:hAnsi="Arial" w:cs="Arial"/>
                <w:color w:val="000000" w:themeColor="text1"/>
                <w:sz w:val="17"/>
                <w:szCs w:val="17"/>
              </w:rPr>
              <w:t xml:space="preserve"> 4.888 </w:t>
            </w:r>
          </w:p>
        </w:tc>
        <w:tc>
          <w:tcPr>
            <w:tcW w:w="1536" w:type="dxa"/>
            <w:tcBorders>
              <w:top w:val="nil"/>
              <w:left w:val="nil"/>
              <w:bottom w:val="nil"/>
              <w:right w:val="nil"/>
            </w:tcBorders>
            <w:tcMar>
              <w:top w:w="0" w:type="dxa"/>
              <w:left w:w="120" w:type="dxa"/>
              <w:bottom w:w="0" w:type="dxa"/>
              <w:right w:w="120" w:type="dxa"/>
            </w:tcMar>
            <w:vAlign w:val="bottom"/>
          </w:tcPr>
          <w:p w14:paraId="1430245F" w14:textId="77777777" w:rsidR="00A24724" w:rsidRPr="00C145D7" w:rsidRDefault="00A24724" w:rsidP="00D707D6">
            <w:pPr>
              <w:spacing w:line="240" w:lineRule="exact"/>
              <w:jc w:val="right"/>
              <w:rPr>
                <w:rFonts w:ascii="Arial" w:eastAsia="Arial Unicode MS" w:hAnsi="Arial" w:cs="Arial"/>
                <w:color w:val="000000" w:themeColor="text1"/>
                <w:sz w:val="17"/>
                <w:szCs w:val="17"/>
              </w:rPr>
            </w:pPr>
            <w:r w:rsidRPr="00F959D0">
              <w:rPr>
                <w:rFonts w:ascii="Arial" w:eastAsia="Arial Unicode MS" w:hAnsi="Arial" w:cs="Arial"/>
                <w:color w:val="000000" w:themeColor="text1"/>
                <w:sz w:val="17"/>
                <w:szCs w:val="17"/>
              </w:rPr>
              <w:t xml:space="preserve"> - </w:t>
            </w:r>
          </w:p>
        </w:tc>
        <w:tc>
          <w:tcPr>
            <w:tcW w:w="1398" w:type="dxa"/>
            <w:tcBorders>
              <w:top w:val="nil"/>
              <w:left w:val="nil"/>
              <w:bottom w:val="nil"/>
            </w:tcBorders>
            <w:tcMar>
              <w:top w:w="0" w:type="dxa"/>
              <w:left w:w="120" w:type="dxa"/>
              <w:bottom w:w="0" w:type="dxa"/>
              <w:right w:w="120" w:type="dxa"/>
            </w:tcMar>
            <w:vAlign w:val="bottom"/>
          </w:tcPr>
          <w:p w14:paraId="15F01107" w14:textId="77777777" w:rsidR="00A24724" w:rsidRPr="00C145D7" w:rsidRDefault="00A24724" w:rsidP="00D707D6">
            <w:pPr>
              <w:spacing w:line="240" w:lineRule="exact"/>
              <w:jc w:val="right"/>
              <w:rPr>
                <w:rFonts w:ascii="Arial" w:eastAsia="Arial Unicode MS" w:hAnsi="Arial" w:cs="Arial"/>
                <w:color w:val="000000" w:themeColor="text1"/>
                <w:sz w:val="17"/>
                <w:szCs w:val="17"/>
              </w:rPr>
            </w:pPr>
            <w:r w:rsidRPr="00F959D0">
              <w:rPr>
                <w:rFonts w:ascii="Arial" w:eastAsia="Arial Unicode MS" w:hAnsi="Arial" w:cs="Arial"/>
                <w:color w:val="000000" w:themeColor="text1"/>
                <w:sz w:val="17"/>
                <w:szCs w:val="17"/>
              </w:rPr>
              <w:t xml:space="preserve"> 52.922 </w:t>
            </w:r>
          </w:p>
        </w:tc>
      </w:tr>
      <w:tr w:rsidR="00A24724" w:rsidRPr="00C145D7" w14:paraId="40031CC8" w14:textId="77777777" w:rsidTr="00D707D6">
        <w:trPr>
          <w:trHeight w:val="243"/>
        </w:trPr>
        <w:tc>
          <w:tcPr>
            <w:tcW w:w="3627" w:type="dxa"/>
            <w:tcMar>
              <w:top w:w="0" w:type="dxa"/>
              <w:left w:w="120" w:type="dxa"/>
              <w:bottom w:w="0" w:type="dxa"/>
              <w:right w:w="120" w:type="dxa"/>
            </w:tcMar>
            <w:vAlign w:val="bottom"/>
          </w:tcPr>
          <w:p w14:paraId="20D8707F" w14:textId="77777777" w:rsidR="00A24724" w:rsidRPr="00C145D7" w:rsidRDefault="00A24724" w:rsidP="00D707D6">
            <w:pPr>
              <w:tabs>
                <w:tab w:val="right" w:pos="1202"/>
              </w:tabs>
              <w:spacing w:line="240" w:lineRule="exact"/>
              <w:outlineLvl w:val="0"/>
              <w:rPr>
                <w:rFonts w:ascii="Arial" w:eastAsia="Calibri" w:hAnsi="Arial" w:cs="Arial"/>
                <w:color w:val="000000" w:themeColor="text1"/>
                <w:sz w:val="17"/>
                <w:szCs w:val="17"/>
              </w:rPr>
            </w:pPr>
            <w:r w:rsidRPr="00C145D7">
              <w:rPr>
                <w:rFonts w:ascii="Arial" w:eastAsia="Calibri" w:hAnsi="Arial" w:cs="Arial"/>
                <w:color w:val="000000" w:themeColor="text1"/>
                <w:sz w:val="17"/>
                <w:szCs w:val="17"/>
              </w:rPr>
              <w:t>Financijska imovina po fer vrijednosti kroz ostalu sveobuhvatnu dobit</w:t>
            </w:r>
          </w:p>
        </w:tc>
        <w:tc>
          <w:tcPr>
            <w:tcW w:w="1536" w:type="dxa"/>
            <w:tcBorders>
              <w:top w:val="nil"/>
              <w:left w:val="nil"/>
              <w:bottom w:val="nil"/>
              <w:right w:val="nil"/>
            </w:tcBorders>
            <w:tcMar>
              <w:top w:w="0" w:type="dxa"/>
              <w:left w:w="120" w:type="dxa"/>
              <w:bottom w:w="0" w:type="dxa"/>
              <w:right w:w="120" w:type="dxa"/>
            </w:tcMar>
            <w:vAlign w:val="bottom"/>
          </w:tcPr>
          <w:p w14:paraId="2A607AD3" w14:textId="77777777" w:rsidR="00A24724" w:rsidRPr="00C145D7" w:rsidRDefault="00A24724" w:rsidP="00D707D6">
            <w:pPr>
              <w:spacing w:line="240" w:lineRule="exact"/>
              <w:jc w:val="right"/>
              <w:rPr>
                <w:rFonts w:ascii="Arial" w:eastAsia="Arial Unicode MS" w:hAnsi="Arial" w:cs="Arial"/>
                <w:color w:val="000000" w:themeColor="text1"/>
                <w:sz w:val="17"/>
                <w:szCs w:val="17"/>
              </w:rPr>
            </w:pPr>
            <w:r w:rsidRPr="00F959D0">
              <w:rPr>
                <w:rFonts w:ascii="Arial" w:eastAsia="Arial Unicode MS" w:hAnsi="Arial" w:cs="Arial"/>
                <w:color w:val="000000" w:themeColor="text1"/>
                <w:sz w:val="17"/>
                <w:szCs w:val="17"/>
              </w:rPr>
              <w:t xml:space="preserve"> 228.858 </w:t>
            </w:r>
          </w:p>
        </w:tc>
        <w:tc>
          <w:tcPr>
            <w:tcW w:w="1258" w:type="dxa"/>
            <w:tcBorders>
              <w:top w:val="nil"/>
              <w:left w:val="nil"/>
              <w:bottom w:val="nil"/>
              <w:right w:val="nil"/>
            </w:tcBorders>
            <w:tcMar>
              <w:top w:w="0" w:type="dxa"/>
              <w:left w:w="120" w:type="dxa"/>
              <w:bottom w:w="0" w:type="dxa"/>
              <w:right w:w="120" w:type="dxa"/>
            </w:tcMar>
            <w:vAlign w:val="bottom"/>
          </w:tcPr>
          <w:p w14:paraId="5254BD74" w14:textId="77777777" w:rsidR="00A24724" w:rsidRPr="00C145D7" w:rsidRDefault="00A24724" w:rsidP="00D707D6">
            <w:pPr>
              <w:spacing w:line="240" w:lineRule="exact"/>
              <w:jc w:val="right"/>
              <w:rPr>
                <w:rFonts w:ascii="Arial" w:eastAsia="Arial Unicode MS" w:hAnsi="Arial" w:cs="Arial"/>
                <w:color w:val="000000" w:themeColor="text1"/>
                <w:sz w:val="17"/>
                <w:szCs w:val="17"/>
              </w:rPr>
            </w:pPr>
            <w:r w:rsidRPr="00F959D0">
              <w:rPr>
                <w:rFonts w:ascii="Arial" w:eastAsia="Arial Unicode MS" w:hAnsi="Arial" w:cs="Arial"/>
                <w:color w:val="000000" w:themeColor="text1"/>
                <w:sz w:val="17"/>
                <w:szCs w:val="17"/>
              </w:rPr>
              <w:t xml:space="preserve"> - </w:t>
            </w:r>
          </w:p>
        </w:tc>
        <w:tc>
          <w:tcPr>
            <w:tcW w:w="1536" w:type="dxa"/>
            <w:tcBorders>
              <w:top w:val="nil"/>
              <w:left w:val="nil"/>
              <w:bottom w:val="nil"/>
              <w:right w:val="nil"/>
            </w:tcBorders>
            <w:tcMar>
              <w:top w:w="0" w:type="dxa"/>
              <w:left w:w="120" w:type="dxa"/>
              <w:bottom w:w="0" w:type="dxa"/>
              <w:right w:w="120" w:type="dxa"/>
            </w:tcMar>
            <w:vAlign w:val="bottom"/>
          </w:tcPr>
          <w:p w14:paraId="17F4EBF3" w14:textId="77777777" w:rsidR="00A24724" w:rsidRPr="00C145D7" w:rsidRDefault="00A24724" w:rsidP="00D707D6">
            <w:pPr>
              <w:spacing w:line="240" w:lineRule="exact"/>
              <w:jc w:val="right"/>
              <w:rPr>
                <w:rFonts w:ascii="Arial" w:eastAsia="Arial Unicode MS" w:hAnsi="Arial" w:cs="Arial"/>
                <w:color w:val="000000" w:themeColor="text1"/>
                <w:sz w:val="17"/>
                <w:szCs w:val="17"/>
              </w:rPr>
            </w:pPr>
            <w:r w:rsidRPr="00F959D0">
              <w:rPr>
                <w:rFonts w:ascii="Arial" w:eastAsia="Arial Unicode MS" w:hAnsi="Arial" w:cs="Arial"/>
                <w:color w:val="000000" w:themeColor="text1"/>
                <w:sz w:val="17"/>
                <w:szCs w:val="17"/>
              </w:rPr>
              <w:t xml:space="preserve"> - </w:t>
            </w:r>
          </w:p>
        </w:tc>
        <w:tc>
          <w:tcPr>
            <w:tcW w:w="1398" w:type="dxa"/>
            <w:tcBorders>
              <w:top w:val="nil"/>
              <w:left w:val="nil"/>
              <w:bottom w:val="nil"/>
            </w:tcBorders>
            <w:tcMar>
              <w:top w:w="0" w:type="dxa"/>
              <w:left w:w="120" w:type="dxa"/>
              <w:bottom w:w="0" w:type="dxa"/>
              <w:right w:w="120" w:type="dxa"/>
            </w:tcMar>
            <w:vAlign w:val="bottom"/>
          </w:tcPr>
          <w:p w14:paraId="2A0C96D4" w14:textId="77777777" w:rsidR="00A24724" w:rsidRPr="00C145D7" w:rsidRDefault="00A24724" w:rsidP="00D707D6">
            <w:pPr>
              <w:spacing w:line="240" w:lineRule="exact"/>
              <w:jc w:val="right"/>
              <w:rPr>
                <w:rFonts w:ascii="Arial" w:eastAsia="Arial Unicode MS" w:hAnsi="Arial" w:cs="Arial"/>
                <w:color w:val="000000" w:themeColor="text1"/>
                <w:sz w:val="17"/>
                <w:szCs w:val="17"/>
              </w:rPr>
            </w:pPr>
            <w:r w:rsidRPr="00F959D0">
              <w:rPr>
                <w:rFonts w:ascii="Arial" w:eastAsia="Arial Unicode MS" w:hAnsi="Arial" w:cs="Arial"/>
                <w:color w:val="000000" w:themeColor="text1"/>
                <w:sz w:val="17"/>
                <w:szCs w:val="17"/>
              </w:rPr>
              <w:t xml:space="preserve"> 228.858 </w:t>
            </w:r>
          </w:p>
        </w:tc>
      </w:tr>
      <w:tr w:rsidR="00A24724" w:rsidRPr="00C145D7" w14:paraId="7A450979" w14:textId="77777777" w:rsidTr="00D707D6">
        <w:trPr>
          <w:trHeight w:val="243"/>
        </w:trPr>
        <w:tc>
          <w:tcPr>
            <w:tcW w:w="3627" w:type="dxa"/>
            <w:tcMar>
              <w:top w:w="0" w:type="dxa"/>
              <w:left w:w="120" w:type="dxa"/>
              <w:bottom w:w="0" w:type="dxa"/>
              <w:right w:w="120" w:type="dxa"/>
            </w:tcMar>
            <w:vAlign w:val="bottom"/>
          </w:tcPr>
          <w:p w14:paraId="5273EF5C" w14:textId="77777777" w:rsidR="00A24724" w:rsidRPr="00C145D7" w:rsidRDefault="00A24724" w:rsidP="00D707D6">
            <w:pPr>
              <w:tabs>
                <w:tab w:val="right" w:pos="1202"/>
              </w:tabs>
              <w:spacing w:line="240" w:lineRule="exact"/>
              <w:outlineLvl w:val="0"/>
              <w:rPr>
                <w:rFonts w:ascii="Arial" w:eastAsia="Calibri" w:hAnsi="Arial" w:cs="Arial"/>
                <w:color w:val="000000" w:themeColor="text1"/>
                <w:sz w:val="17"/>
                <w:szCs w:val="17"/>
              </w:rPr>
            </w:pPr>
            <w:r w:rsidRPr="00B4232F">
              <w:rPr>
                <w:rFonts w:ascii="Arial" w:eastAsia="Calibri" w:hAnsi="Arial" w:cs="Arial"/>
                <w:color w:val="000000" w:themeColor="text1"/>
                <w:sz w:val="17"/>
                <w:szCs w:val="17"/>
              </w:rPr>
              <w:t>Ulaganja u ovisna društva</w:t>
            </w:r>
          </w:p>
        </w:tc>
        <w:tc>
          <w:tcPr>
            <w:tcW w:w="1536" w:type="dxa"/>
            <w:tcBorders>
              <w:top w:val="nil"/>
              <w:left w:val="nil"/>
              <w:bottom w:val="nil"/>
              <w:right w:val="nil"/>
            </w:tcBorders>
            <w:tcMar>
              <w:top w:w="0" w:type="dxa"/>
              <w:left w:w="120" w:type="dxa"/>
              <w:bottom w:w="0" w:type="dxa"/>
              <w:right w:w="120" w:type="dxa"/>
            </w:tcMar>
            <w:vAlign w:val="bottom"/>
          </w:tcPr>
          <w:p w14:paraId="44B279EF" w14:textId="77777777" w:rsidR="00A24724" w:rsidRPr="00B4232F" w:rsidRDefault="00A24724" w:rsidP="00D707D6">
            <w:pPr>
              <w:spacing w:line="240" w:lineRule="exact"/>
              <w:jc w:val="right"/>
              <w:rPr>
                <w:rFonts w:ascii="Arial" w:eastAsia="Arial Unicode MS" w:hAnsi="Arial" w:cs="Arial"/>
                <w:color w:val="000000" w:themeColor="text1"/>
                <w:sz w:val="17"/>
                <w:szCs w:val="17"/>
              </w:rPr>
            </w:pPr>
            <w:r w:rsidRPr="00F959D0">
              <w:rPr>
                <w:rFonts w:ascii="Arial" w:eastAsia="Arial Unicode MS" w:hAnsi="Arial" w:cs="Arial"/>
                <w:color w:val="000000" w:themeColor="text1"/>
                <w:sz w:val="17"/>
                <w:szCs w:val="17"/>
              </w:rPr>
              <w:t xml:space="preserve"> 7.449 </w:t>
            </w:r>
          </w:p>
        </w:tc>
        <w:tc>
          <w:tcPr>
            <w:tcW w:w="1258" w:type="dxa"/>
            <w:tcBorders>
              <w:top w:val="nil"/>
              <w:left w:val="nil"/>
              <w:bottom w:val="nil"/>
              <w:right w:val="nil"/>
            </w:tcBorders>
            <w:tcMar>
              <w:top w:w="0" w:type="dxa"/>
              <w:left w:w="120" w:type="dxa"/>
              <w:bottom w:w="0" w:type="dxa"/>
              <w:right w:w="120" w:type="dxa"/>
            </w:tcMar>
            <w:vAlign w:val="bottom"/>
          </w:tcPr>
          <w:p w14:paraId="0DFC93AE" w14:textId="77777777" w:rsidR="00A24724" w:rsidRPr="00B4232F" w:rsidRDefault="00A24724" w:rsidP="00D707D6">
            <w:pPr>
              <w:spacing w:line="240" w:lineRule="exact"/>
              <w:jc w:val="right"/>
              <w:rPr>
                <w:rFonts w:ascii="Arial" w:eastAsia="Arial Unicode MS" w:hAnsi="Arial" w:cs="Arial"/>
                <w:color w:val="000000" w:themeColor="text1"/>
                <w:sz w:val="17"/>
                <w:szCs w:val="17"/>
              </w:rPr>
            </w:pPr>
            <w:r w:rsidRPr="00F959D0">
              <w:rPr>
                <w:rFonts w:ascii="Arial" w:eastAsia="Arial Unicode MS" w:hAnsi="Arial" w:cs="Arial"/>
                <w:color w:val="000000" w:themeColor="text1"/>
                <w:sz w:val="17"/>
                <w:szCs w:val="17"/>
              </w:rPr>
              <w:t xml:space="preserve"> - </w:t>
            </w:r>
          </w:p>
        </w:tc>
        <w:tc>
          <w:tcPr>
            <w:tcW w:w="1536" w:type="dxa"/>
            <w:tcBorders>
              <w:top w:val="nil"/>
              <w:left w:val="nil"/>
              <w:bottom w:val="nil"/>
              <w:right w:val="nil"/>
            </w:tcBorders>
            <w:tcMar>
              <w:top w:w="0" w:type="dxa"/>
              <w:left w:w="120" w:type="dxa"/>
              <w:bottom w:w="0" w:type="dxa"/>
              <w:right w:w="120" w:type="dxa"/>
            </w:tcMar>
            <w:vAlign w:val="bottom"/>
          </w:tcPr>
          <w:p w14:paraId="2DBA2320" w14:textId="77777777" w:rsidR="00A24724" w:rsidRPr="00B4232F" w:rsidRDefault="00A24724" w:rsidP="00D707D6">
            <w:pPr>
              <w:spacing w:line="240" w:lineRule="exact"/>
              <w:jc w:val="right"/>
              <w:rPr>
                <w:rFonts w:ascii="Arial" w:eastAsia="Arial Unicode MS" w:hAnsi="Arial" w:cs="Arial"/>
                <w:color w:val="000000" w:themeColor="text1"/>
                <w:sz w:val="17"/>
                <w:szCs w:val="17"/>
              </w:rPr>
            </w:pPr>
            <w:r w:rsidRPr="00F959D0">
              <w:rPr>
                <w:rFonts w:ascii="Arial" w:eastAsia="Arial Unicode MS" w:hAnsi="Arial" w:cs="Arial"/>
                <w:color w:val="000000" w:themeColor="text1"/>
                <w:sz w:val="17"/>
                <w:szCs w:val="17"/>
              </w:rPr>
              <w:t xml:space="preserve"> - </w:t>
            </w:r>
          </w:p>
        </w:tc>
        <w:tc>
          <w:tcPr>
            <w:tcW w:w="1398" w:type="dxa"/>
            <w:tcBorders>
              <w:top w:val="nil"/>
              <w:left w:val="nil"/>
              <w:bottom w:val="nil"/>
            </w:tcBorders>
            <w:tcMar>
              <w:top w:w="0" w:type="dxa"/>
              <w:left w:w="120" w:type="dxa"/>
              <w:bottom w:w="0" w:type="dxa"/>
              <w:right w:w="120" w:type="dxa"/>
            </w:tcMar>
            <w:vAlign w:val="bottom"/>
          </w:tcPr>
          <w:p w14:paraId="58E23CD8" w14:textId="77777777" w:rsidR="00A24724" w:rsidRPr="00B4232F" w:rsidRDefault="00A24724" w:rsidP="00D707D6">
            <w:pPr>
              <w:spacing w:line="240" w:lineRule="exact"/>
              <w:jc w:val="right"/>
              <w:rPr>
                <w:rFonts w:ascii="Arial" w:eastAsia="Arial Unicode MS" w:hAnsi="Arial" w:cs="Arial"/>
                <w:color w:val="000000" w:themeColor="text1"/>
                <w:sz w:val="17"/>
                <w:szCs w:val="17"/>
              </w:rPr>
            </w:pPr>
            <w:r w:rsidRPr="00F959D0">
              <w:rPr>
                <w:rFonts w:ascii="Arial" w:eastAsia="Arial Unicode MS" w:hAnsi="Arial" w:cs="Arial"/>
                <w:color w:val="000000" w:themeColor="text1"/>
                <w:sz w:val="17"/>
                <w:szCs w:val="17"/>
              </w:rPr>
              <w:t xml:space="preserve"> 7.449 </w:t>
            </w:r>
          </w:p>
        </w:tc>
      </w:tr>
      <w:tr w:rsidR="00A24724" w:rsidRPr="00C145D7" w14:paraId="145445FD" w14:textId="77777777" w:rsidTr="00D707D6">
        <w:trPr>
          <w:trHeight w:val="472"/>
        </w:trPr>
        <w:tc>
          <w:tcPr>
            <w:tcW w:w="3627" w:type="dxa"/>
            <w:tcMar>
              <w:top w:w="0" w:type="dxa"/>
              <w:left w:w="120" w:type="dxa"/>
              <w:bottom w:w="0" w:type="dxa"/>
              <w:right w:w="120" w:type="dxa"/>
            </w:tcMar>
            <w:vAlign w:val="bottom"/>
          </w:tcPr>
          <w:p w14:paraId="45897373" w14:textId="77777777" w:rsidR="00A24724" w:rsidRPr="00C145D7" w:rsidRDefault="00A24724" w:rsidP="00D707D6">
            <w:pPr>
              <w:tabs>
                <w:tab w:val="right" w:pos="1202"/>
              </w:tabs>
              <w:spacing w:line="240" w:lineRule="exact"/>
              <w:outlineLvl w:val="0"/>
              <w:rPr>
                <w:rFonts w:ascii="Arial" w:eastAsia="Calibri" w:hAnsi="Arial" w:cs="Arial"/>
                <w:color w:val="000000" w:themeColor="text1"/>
                <w:sz w:val="17"/>
                <w:szCs w:val="17"/>
              </w:rPr>
            </w:pPr>
            <w:r w:rsidRPr="00C145D7">
              <w:rPr>
                <w:rFonts w:ascii="Arial" w:eastAsia="Calibri" w:hAnsi="Arial" w:cs="Arial"/>
                <w:color w:val="000000" w:themeColor="text1"/>
                <w:spacing w:val="-2"/>
                <w:sz w:val="17"/>
                <w:szCs w:val="17"/>
              </w:rPr>
              <w:t>Nekretnine, postrojenja i oprema i nematerijalna imovina</w:t>
            </w:r>
          </w:p>
        </w:tc>
        <w:tc>
          <w:tcPr>
            <w:tcW w:w="1536" w:type="dxa"/>
            <w:tcBorders>
              <w:top w:val="nil"/>
              <w:left w:val="nil"/>
              <w:bottom w:val="nil"/>
              <w:right w:val="nil"/>
            </w:tcBorders>
            <w:tcMar>
              <w:top w:w="0" w:type="dxa"/>
              <w:left w:w="120" w:type="dxa"/>
              <w:bottom w:w="0" w:type="dxa"/>
              <w:right w:w="120" w:type="dxa"/>
            </w:tcMar>
            <w:vAlign w:val="bottom"/>
          </w:tcPr>
          <w:p w14:paraId="451ECC6F" w14:textId="77777777" w:rsidR="00A24724" w:rsidRPr="00C145D7" w:rsidRDefault="00A24724" w:rsidP="00D707D6">
            <w:pPr>
              <w:spacing w:line="240" w:lineRule="exact"/>
              <w:jc w:val="right"/>
              <w:rPr>
                <w:rFonts w:ascii="Arial" w:eastAsia="Arial Unicode MS" w:hAnsi="Arial" w:cs="Arial"/>
                <w:color w:val="000000" w:themeColor="text1"/>
                <w:sz w:val="17"/>
                <w:szCs w:val="17"/>
              </w:rPr>
            </w:pPr>
            <w:r w:rsidRPr="00F959D0">
              <w:rPr>
                <w:rFonts w:ascii="Arial" w:eastAsia="Arial Unicode MS" w:hAnsi="Arial" w:cs="Arial"/>
                <w:color w:val="000000" w:themeColor="text1"/>
                <w:sz w:val="17"/>
                <w:szCs w:val="17"/>
              </w:rPr>
              <w:t xml:space="preserve"> 4.723 </w:t>
            </w:r>
          </w:p>
        </w:tc>
        <w:tc>
          <w:tcPr>
            <w:tcW w:w="1258" w:type="dxa"/>
            <w:tcBorders>
              <w:top w:val="nil"/>
              <w:left w:val="nil"/>
              <w:bottom w:val="nil"/>
              <w:right w:val="nil"/>
            </w:tcBorders>
            <w:tcMar>
              <w:top w:w="0" w:type="dxa"/>
              <w:left w:w="120" w:type="dxa"/>
              <w:bottom w:w="0" w:type="dxa"/>
              <w:right w:w="120" w:type="dxa"/>
            </w:tcMar>
            <w:vAlign w:val="bottom"/>
          </w:tcPr>
          <w:p w14:paraId="49958701" w14:textId="77777777" w:rsidR="00A24724" w:rsidRPr="00C145D7" w:rsidRDefault="00A24724" w:rsidP="00D707D6">
            <w:pPr>
              <w:spacing w:line="240" w:lineRule="exact"/>
              <w:jc w:val="right"/>
              <w:rPr>
                <w:rFonts w:ascii="Arial" w:eastAsia="Arial Unicode MS" w:hAnsi="Arial" w:cs="Arial"/>
                <w:color w:val="000000" w:themeColor="text1"/>
                <w:sz w:val="17"/>
                <w:szCs w:val="17"/>
              </w:rPr>
            </w:pPr>
            <w:r w:rsidRPr="00F959D0">
              <w:rPr>
                <w:rFonts w:ascii="Arial" w:eastAsia="Arial Unicode MS" w:hAnsi="Arial" w:cs="Arial"/>
                <w:color w:val="000000" w:themeColor="text1"/>
                <w:sz w:val="17"/>
                <w:szCs w:val="17"/>
              </w:rPr>
              <w:t xml:space="preserve"> - </w:t>
            </w:r>
          </w:p>
        </w:tc>
        <w:tc>
          <w:tcPr>
            <w:tcW w:w="1536" w:type="dxa"/>
            <w:tcBorders>
              <w:top w:val="nil"/>
              <w:left w:val="nil"/>
              <w:bottom w:val="nil"/>
              <w:right w:val="nil"/>
            </w:tcBorders>
            <w:tcMar>
              <w:top w:w="0" w:type="dxa"/>
              <w:left w:w="120" w:type="dxa"/>
              <w:bottom w:w="0" w:type="dxa"/>
              <w:right w:w="120" w:type="dxa"/>
            </w:tcMar>
            <w:vAlign w:val="bottom"/>
          </w:tcPr>
          <w:p w14:paraId="0869128D" w14:textId="77777777" w:rsidR="00A24724" w:rsidRPr="00C145D7" w:rsidRDefault="00A24724" w:rsidP="00D707D6">
            <w:pPr>
              <w:spacing w:line="240" w:lineRule="exact"/>
              <w:jc w:val="right"/>
              <w:rPr>
                <w:rFonts w:ascii="Arial" w:eastAsia="Arial Unicode MS" w:hAnsi="Arial" w:cs="Arial"/>
                <w:color w:val="000000" w:themeColor="text1"/>
                <w:sz w:val="17"/>
                <w:szCs w:val="17"/>
              </w:rPr>
            </w:pPr>
            <w:r w:rsidRPr="00F959D0">
              <w:rPr>
                <w:rFonts w:ascii="Arial" w:eastAsia="Arial Unicode MS" w:hAnsi="Arial" w:cs="Arial"/>
                <w:color w:val="000000" w:themeColor="text1"/>
                <w:sz w:val="17"/>
                <w:szCs w:val="17"/>
              </w:rPr>
              <w:t xml:space="preserve"> - </w:t>
            </w:r>
          </w:p>
        </w:tc>
        <w:tc>
          <w:tcPr>
            <w:tcW w:w="1398" w:type="dxa"/>
            <w:tcBorders>
              <w:top w:val="nil"/>
              <w:left w:val="nil"/>
              <w:bottom w:val="nil"/>
            </w:tcBorders>
            <w:tcMar>
              <w:top w:w="0" w:type="dxa"/>
              <w:left w:w="120" w:type="dxa"/>
              <w:bottom w:w="0" w:type="dxa"/>
              <w:right w:w="120" w:type="dxa"/>
            </w:tcMar>
            <w:vAlign w:val="bottom"/>
          </w:tcPr>
          <w:p w14:paraId="41F94EE4" w14:textId="77777777" w:rsidR="00A24724" w:rsidRPr="00C145D7" w:rsidRDefault="00A24724" w:rsidP="00D707D6">
            <w:pPr>
              <w:spacing w:line="240" w:lineRule="exact"/>
              <w:jc w:val="right"/>
              <w:rPr>
                <w:rFonts w:ascii="Arial" w:eastAsia="Arial Unicode MS" w:hAnsi="Arial" w:cs="Arial"/>
                <w:color w:val="000000" w:themeColor="text1"/>
                <w:sz w:val="17"/>
                <w:szCs w:val="17"/>
              </w:rPr>
            </w:pPr>
            <w:r w:rsidRPr="00F959D0">
              <w:rPr>
                <w:rFonts w:ascii="Arial" w:eastAsia="Arial Unicode MS" w:hAnsi="Arial" w:cs="Arial"/>
                <w:color w:val="000000" w:themeColor="text1"/>
                <w:sz w:val="17"/>
                <w:szCs w:val="17"/>
              </w:rPr>
              <w:t xml:space="preserve"> 4.723 </w:t>
            </w:r>
          </w:p>
        </w:tc>
      </w:tr>
      <w:tr w:rsidR="00A24724" w:rsidRPr="00C145D7" w14:paraId="4441F06A" w14:textId="77777777" w:rsidTr="00D707D6">
        <w:trPr>
          <w:trHeight w:val="237"/>
        </w:trPr>
        <w:tc>
          <w:tcPr>
            <w:tcW w:w="3627" w:type="dxa"/>
            <w:tcMar>
              <w:top w:w="0" w:type="dxa"/>
              <w:left w:w="120" w:type="dxa"/>
              <w:bottom w:w="0" w:type="dxa"/>
              <w:right w:w="120" w:type="dxa"/>
            </w:tcMar>
            <w:vAlign w:val="bottom"/>
          </w:tcPr>
          <w:p w14:paraId="000DC77E" w14:textId="77777777" w:rsidR="00A24724" w:rsidRPr="00C145D7" w:rsidRDefault="00A24724" w:rsidP="00D707D6">
            <w:pPr>
              <w:tabs>
                <w:tab w:val="right" w:pos="1202"/>
              </w:tabs>
              <w:spacing w:line="240" w:lineRule="exact"/>
              <w:outlineLvl w:val="0"/>
              <w:rPr>
                <w:rFonts w:ascii="Arial" w:eastAsia="Calibri" w:hAnsi="Arial" w:cs="Arial"/>
                <w:color w:val="000000" w:themeColor="text1"/>
                <w:sz w:val="17"/>
                <w:szCs w:val="17"/>
              </w:rPr>
            </w:pPr>
            <w:r w:rsidRPr="00C145D7">
              <w:rPr>
                <w:rFonts w:ascii="Arial" w:eastAsia="Calibri" w:hAnsi="Arial" w:cs="Arial"/>
                <w:color w:val="000000" w:themeColor="text1"/>
                <w:spacing w:val="-2"/>
                <w:sz w:val="17"/>
                <w:szCs w:val="17"/>
              </w:rPr>
              <w:t>Preuzeta imovina</w:t>
            </w:r>
          </w:p>
        </w:tc>
        <w:tc>
          <w:tcPr>
            <w:tcW w:w="1536" w:type="dxa"/>
            <w:tcBorders>
              <w:top w:val="nil"/>
              <w:left w:val="nil"/>
              <w:bottom w:val="nil"/>
              <w:right w:val="nil"/>
            </w:tcBorders>
            <w:tcMar>
              <w:top w:w="0" w:type="dxa"/>
              <w:left w:w="120" w:type="dxa"/>
              <w:bottom w:w="0" w:type="dxa"/>
              <w:right w:w="120" w:type="dxa"/>
            </w:tcMar>
            <w:vAlign w:val="bottom"/>
          </w:tcPr>
          <w:p w14:paraId="2BAAD250" w14:textId="77777777" w:rsidR="00A24724" w:rsidRPr="00C145D7" w:rsidRDefault="00A24724" w:rsidP="00D707D6">
            <w:pPr>
              <w:spacing w:line="240" w:lineRule="exact"/>
              <w:jc w:val="right"/>
              <w:rPr>
                <w:rFonts w:ascii="Arial" w:eastAsia="Arial Unicode MS" w:hAnsi="Arial" w:cs="Arial"/>
                <w:color w:val="000000" w:themeColor="text1"/>
                <w:sz w:val="17"/>
                <w:szCs w:val="17"/>
              </w:rPr>
            </w:pPr>
            <w:r w:rsidRPr="00F959D0">
              <w:rPr>
                <w:rFonts w:ascii="Arial" w:eastAsia="Arial Unicode MS" w:hAnsi="Arial" w:cs="Arial"/>
                <w:color w:val="000000" w:themeColor="text1"/>
                <w:sz w:val="17"/>
                <w:szCs w:val="17"/>
              </w:rPr>
              <w:t xml:space="preserve"> 2.291 </w:t>
            </w:r>
          </w:p>
        </w:tc>
        <w:tc>
          <w:tcPr>
            <w:tcW w:w="1258" w:type="dxa"/>
            <w:tcBorders>
              <w:top w:val="nil"/>
              <w:left w:val="nil"/>
              <w:bottom w:val="nil"/>
              <w:right w:val="nil"/>
            </w:tcBorders>
            <w:tcMar>
              <w:top w:w="0" w:type="dxa"/>
              <w:left w:w="120" w:type="dxa"/>
              <w:bottom w:w="0" w:type="dxa"/>
              <w:right w:w="120" w:type="dxa"/>
            </w:tcMar>
            <w:vAlign w:val="bottom"/>
          </w:tcPr>
          <w:p w14:paraId="535320FA" w14:textId="77777777" w:rsidR="00A24724" w:rsidRPr="00C145D7" w:rsidRDefault="00A24724" w:rsidP="00D707D6">
            <w:pPr>
              <w:spacing w:line="240" w:lineRule="exact"/>
              <w:jc w:val="right"/>
              <w:rPr>
                <w:rFonts w:ascii="Arial" w:eastAsia="Arial Unicode MS" w:hAnsi="Arial" w:cs="Arial"/>
                <w:color w:val="000000" w:themeColor="text1"/>
                <w:sz w:val="17"/>
                <w:szCs w:val="17"/>
              </w:rPr>
            </w:pPr>
            <w:r w:rsidRPr="00F959D0">
              <w:rPr>
                <w:rFonts w:ascii="Arial" w:eastAsia="Arial Unicode MS" w:hAnsi="Arial" w:cs="Arial"/>
                <w:color w:val="000000" w:themeColor="text1"/>
                <w:sz w:val="17"/>
                <w:szCs w:val="17"/>
              </w:rPr>
              <w:t xml:space="preserve"> - </w:t>
            </w:r>
          </w:p>
        </w:tc>
        <w:tc>
          <w:tcPr>
            <w:tcW w:w="1536" w:type="dxa"/>
            <w:tcBorders>
              <w:top w:val="nil"/>
              <w:left w:val="nil"/>
              <w:bottom w:val="nil"/>
              <w:right w:val="nil"/>
            </w:tcBorders>
            <w:tcMar>
              <w:top w:w="0" w:type="dxa"/>
              <w:left w:w="120" w:type="dxa"/>
              <w:bottom w:w="0" w:type="dxa"/>
              <w:right w:w="120" w:type="dxa"/>
            </w:tcMar>
            <w:vAlign w:val="bottom"/>
          </w:tcPr>
          <w:p w14:paraId="3724FD19" w14:textId="77777777" w:rsidR="00A24724" w:rsidRPr="00C145D7" w:rsidRDefault="00A24724" w:rsidP="00D707D6">
            <w:pPr>
              <w:spacing w:line="240" w:lineRule="exact"/>
              <w:jc w:val="right"/>
              <w:rPr>
                <w:rFonts w:ascii="Arial" w:eastAsia="Arial Unicode MS" w:hAnsi="Arial" w:cs="Arial"/>
                <w:color w:val="000000" w:themeColor="text1"/>
                <w:sz w:val="17"/>
                <w:szCs w:val="17"/>
              </w:rPr>
            </w:pPr>
            <w:r w:rsidRPr="00F959D0">
              <w:rPr>
                <w:rFonts w:ascii="Arial" w:eastAsia="Arial Unicode MS" w:hAnsi="Arial" w:cs="Arial"/>
                <w:color w:val="000000" w:themeColor="text1"/>
                <w:sz w:val="17"/>
                <w:szCs w:val="17"/>
              </w:rPr>
              <w:t xml:space="preserve"> - </w:t>
            </w:r>
          </w:p>
        </w:tc>
        <w:tc>
          <w:tcPr>
            <w:tcW w:w="1398" w:type="dxa"/>
            <w:tcBorders>
              <w:top w:val="nil"/>
              <w:left w:val="nil"/>
              <w:bottom w:val="nil"/>
            </w:tcBorders>
            <w:tcMar>
              <w:top w:w="0" w:type="dxa"/>
              <w:left w:w="120" w:type="dxa"/>
              <w:bottom w:w="0" w:type="dxa"/>
              <w:right w:w="120" w:type="dxa"/>
            </w:tcMar>
            <w:vAlign w:val="bottom"/>
          </w:tcPr>
          <w:p w14:paraId="210E7F9A" w14:textId="77777777" w:rsidR="00A24724" w:rsidRPr="00C145D7" w:rsidRDefault="00A24724" w:rsidP="00D707D6">
            <w:pPr>
              <w:spacing w:line="240" w:lineRule="exact"/>
              <w:jc w:val="right"/>
              <w:rPr>
                <w:rFonts w:ascii="Arial" w:eastAsia="Arial Unicode MS" w:hAnsi="Arial" w:cs="Arial"/>
                <w:color w:val="000000" w:themeColor="text1"/>
                <w:sz w:val="17"/>
                <w:szCs w:val="17"/>
              </w:rPr>
            </w:pPr>
            <w:r w:rsidRPr="00F959D0">
              <w:rPr>
                <w:rFonts w:ascii="Arial" w:eastAsia="Arial Unicode MS" w:hAnsi="Arial" w:cs="Arial"/>
                <w:color w:val="000000" w:themeColor="text1"/>
                <w:sz w:val="17"/>
                <w:szCs w:val="17"/>
              </w:rPr>
              <w:t xml:space="preserve"> 2.291 </w:t>
            </w:r>
          </w:p>
        </w:tc>
      </w:tr>
      <w:tr w:rsidR="00A24724" w:rsidRPr="00C145D7" w14:paraId="35559905" w14:textId="77777777" w:rsidTr="00D707D6">
        <w:trPr>
          <w:trHeight w:val="227"/>
        </w:trPr>
        <w:tc>
          <w:tcPr>
            <w:tcW w:w="3627" w:type="dxa"/>
            <w:tcMar>
              <w:top w:w="0" w:type="dxa"/>
              <w:left w:w="120" w:type="dxa"/>
              <w:bottom w:w="0" w:type="dxa"/>
              <w:right w:w="120" w:type="dxa"/>
            </w:tcMar>
            <w:vAlign w:val="bottom"/>
          </w:tcPr>
          <w:p w14:paraId="30B0F890" w14:textId="77777777" w:rsidR="00A24724" w:rsidRPr="00C145D7" w:rsidRDefault="00A24724" w:rsidP="00D707D6">
            <w:pPr>
              <w:tabs>
                <w:tab w:val="right" w:pos="1202"/>
              </w:tabs>
              <w:spacing w:line="240" w:lineRule="exact"/>
              <w:outlineLvl w:val="0"/>
              <w:rPr>
                <w:rFonts w:ascii="Arial" w:eastAsia="Calibri" w:hAnsi="Arial" w:cs="Arial"/>
                <w:color w:val="000000" w:themeColor="text1"/>
                <w:sz w:val="17"/>
                <w:szCs w:val="17"/>
              </w:rPr>
            </w:pPr>
            <w:r w:rsidRPr="00C145D7">
              <w:rPr>
                <w:rFonts w:ascii="Arial" w:eastAsia="Calibri" w:hAnsi="Arial" w:cs="Arial"/>
                <w:color w:val="000000" w:themeColor="text1"/>
                <w:spacing w:val="-2"/>
                <w:sz w:val="17"/>
                <w:szCs w:val="17"/>
              </w:rPr>
              <w:t>Ostala imovina</w:t>
            </w:r>
          </w:p>
        </w:tc>
        <w:tc>
          <w:tcPr>
            <w:tcW w:w="1536" w:type="dxa"/>
            <w:tcBorders>
              <w:top w:val="nil"/>
              <w:left w:val="nil"/>
              <w:bottom w:val="nil"/>
              <w:right w:val="nil"/>
            </w:tcBorders>
            <w:tcMar>
              <w:top w:w="0" w:type="dxa"/>
              <w:left w:w="120" w:type="dxa"/>
              <w:bottom w:w="0" w:type="dxa"/>
              <w:right w:w="120" w:type="dxa"/>
            </w:tcMar>
            <w:vAlign w:val="bottom"/>
          </w:tcPr>
          <w:p w14:paraId="103C6EED" w14:textId="77777777" w:rsidR="00A24724" w:rsidRPr="00C145D7" w:rsidRDefault="00A24724" w:rsidP="00D707D6">
            <w:pPr>
              <w:spacing w:line="240" w:lineRule="exact"/>
              <w:jc w:val="right"/>
              <w:rPr>
                <w:rFonts w:ascii="Arial" w:eastAsia="Arial Unicode MS" w:hAnsi="Arial" w:cs="Arial"/>
                <w:color w:val="000000" w:themeColor="text1"/>
                <w:sz w:val="17"/>
                <w:szCs w:val="17"/>
              </w:rPr>
            </w:pPr>
            <w:r w:rsidRPr="00F959D0">
              <w:rPr>
                <w:rFonts w:ascii="Arial" w:eastAsia="Arial Unicode MS" w:hAnsi="Arial" w:cs="Arial"/>
                <w:color w:val="000000" w:themeColor="text1"/>
                <w:sz w:val="17"/>
                <w:szCs w:val="17"/>
              </w:rPr>
              <w:t xml:space="preserve"> 11.365 </w:t>
            </w:r>
          </w:p>
        </w:tc>
        <w:tc>
          <w:tcPr>
            <w:tcW w:w="1258" w:type="dxa"/>
            <w:tcBorders>
              <w:top w:val="nil"/>
              <w:left w:val="nil"/>
              <w:bottom w:val="nil"/>
              <w:right w:val="nil"/>
            </w:tcBorders>
            <w:tcMar>
              <w:top w:w="0" w:type="dxa"/>
              <w:left w:w="120" w:type="dxa"/>
              <w:bottom w:w="0" w:type="dxa"/>
              <w:right w:w="120" w:type="dxa"/>
            </w:tcMar>
            <w:vAlign w:val="bottom"/>
          </w:tcPr>
          <w:p w14:paraId="79783FED" w14:textId="77777777" w:rsidR="00A24724" w:rsidRPr="00C145D7" w:rsidRDefault="00A24724" w:rsidP="00D707D6">
            <w:pPr>
              <w:spacing w:line="240" w:lineRule="exact"/>
              <w:jc w:val="right"/>
              <w:rPr>
                <w:rFonts w:ascii="Arial" w:eastAsia="Arial Unicode MS" w:hAnsi="Arial" w:cs="Arial"/>
                <w:color w:val="000000" w:themeColor="text1"/>
                <w:sz w:val="17"/>
                <w:szCs w:val="17"/>
              </w:rPr>
            </w:pPr>
            <w:r w:rsidRPr="00F959D0">
              <w:rPr>
                <w:rFonts w:ascii="Arial" w:eastAsia="Arial Unicode MS" w:hAnsi="Arial" w:cs="Arial"/>
                <w:color w:val="000000" w:themeColor="text1"/>
                <w:sz w:val="17"/>
                <w:szCs w:val="17"/>
              </w:rPr>
              <w:t xml:space="preserve"> - </w:t>
            </w:r>
          </w:p>
        </w:tc>
        <w:tc>
          <w:tcPr>
            <w:tcW w:w="1536" w:type="dxa"/>
            <w:tcBorders>
              <w:top w:val="nil"/>
              <w:left w:val="nil"/>
              <w:bottom w:val="nil"/>
              <w:right w:val="nil"/>
            </w:tcBorders>
            <w:tcMar>
              <w:top w:w="0" w:type="dxa"/>
              <w:left w:w="120" w:type="dxa"/>
              <w:bottom w:w="0" w:type="dxa"/>
              <w:right w:w="120" w:type="dxa"/>
            </w:tcMar>
            <w:vAlign w:val="bottom"/>
          </w:tcPr>
          <w:p w14:paraId="15397264" w14:textId="77777777" w:rsidR="00A24724" w:rsidRPr="00C145D7" w:rsidRDefault="00A24724" w:rsidP="00D707D6">
            <w:pPr>
              <w:spacing w:line="240" w:lineRule="exact"/>
              <w:jc w:val="right"/>
              <w:rPr>
                <w:rFonts w:ascii="Arial" w:eastAsia="Arial Unicode MS" w:hAnsi="Arial" w:cs="Arial"/>
                <w:color w:val="000000" w:themeColor="text1"/>
                <w:sz w:val="17"/>
                <w:szCs w:val="17"/>
              </w:rPr>
            </w:pPr>
            <w:r w:rsidRPr="00F959D0">
              <w:rPr>
                <w:rFonts w:ascii="Arial" w:eastAsia="Arial Unicode MS" w:hAnsi="Arial" w:cs="Arial"/>
                <w:color w:val="000000" w:themeColor="text1"/>
                <w:sz w:val="17"/>
                <w:szCs w:val="17"/>
              </w:rPr>
              <w:t xml:space="preserve"> - </w:t>
            </w:r>
          </w:p>
        </w:tc>
        <w:tc>
          <w:tcPr>
            <w:tcW w:w="1398" w:type="dxa"/>
            <w:tcBorders>
              <w:top w:val="nil"/>
              <w:left w:val="nil"/>
              <w:bottom w:val="nil"/>
            </w:tcBorders>
            <w:tcMar>
              <w:top w:w="0" w:type="dxa"/>
              <w:left w:w="120" w:type="dxa"/>
              <w:bottom w:w="0" w:type="dxa"/>
              <w:right w:w="120" w:type="dxa"/>
            </w:tcMar>
            <w:vAlign w:val="bottom"/>
          </w:tcPr>
          <w:p w14:paraId="57E63394" w14:textId="77777777" w:rsidR="00A24724" w:rsidRPr="00C145D7" w:rsidRDefault="00A24724" w:rsidP="00D707D6">
            <w:pPr>
              <w:spacing w:line="240" w:lineRule="exact"/>
              <w:jc w:val="right"/>
              <w:rPr>
                <w:rFonts w:ascii="Arial" w:eastAsia="Arial Unicode MS" w:hAnsi="Arial" w:cs="Arial"/>
                <w:color w:val="000000" w:themeColor="text1"/>
                <w:sz w:val="17"/>
                <w:szCs w:val="17"/>
              </w:rPr>
            </w:pPr>
            <w:r w:rsidRPr="00F959D0">
              <w:rPr>
                <w:rFonts w:ascii="Arial" w:eastAsia="Arial Unicode MS" w:hAnsi="Arial" w:cs="Arial"/>
                <w:color w:val="000000" w:themeColor="text1"/>
                <w:sz w:val="17"/>
                <w:szCs w:val="17"/>
              </w:rPr>
              <w:t xml:space="preserve"> 11.365 </w:t>
            </w:r>
          </w:p>
        </w:tc>
      </w:tr>
      <w:tr w:rsidR="00A24724" w:rsidRPr="00B4232F" w14:paraId="53D73ADA" w14:textId="77777777" w:rsidTr="00D707D6">
        <w:trPr>
          <w:trHeight w:val="289"/>
        </w:trPr>
        <w:tc>
          <w:tcPr>
            <w:tcW w:w="3627" w:type="dxa"/>
            <w:tcMar>
              <w:top w:w="0" w:type="dxa"/>
              <w:left w:w="120" w:type="dxa"/>
              <w:bottom w:w="0" w:type="dxa"/>
              <w:right w:w="120" w:type="dxa"/>
            </w:tcMar>
            <w:vAlign w:val="bottom"/>
          </w:tcPr>
          <w:p w14:paraId="2FDC3001" w14:textId="77777777" w:rsidR="00A24724" w:rsidRPr="00C145D7" w:rsidRDefault="00A24724" w:rsidP="00D707D6">
            <w:pPr>
              <w:tabs>
                <w:tab w:val="right" w:pos="1202"/>
              </w:tabs>
              <w:spacing w:line="240" w:lineRule="exact"/>
              <w:outlineLvl w:val="0"/>
              <w:rPr>
                <w:rFonts w:ascii="Arial" w:eastAsia="Calibri" w:hAnsi="Arial" w:cs="Arial"/>
                <w:b/>
                <w:bCs/>
                <w:color w:val="000000" w:themeColor="text1"/>
                <w:sz w:val="17"/>
                <w:szCs w:val="17"/>
              </w:rPr>
            </w:pPr>
            <w:r w:rsidRPr="00C145D7">
              <w:rPr>
                <w:rFonts w:ascii="Arial" w:eastAsia="Calibri" w:hAnsi="Arial" w:cs="Arial"/>
                <w:b/>
                <w:bCs/>
                <w:color w:val="000000" w:themeColor="text1"/>
                <w:sz w:val="17"/>
                <w:szCs w:val="17"/>
              </w:rPr>
              <w:t xml:space="preserve">Ukupna imovina </w:t>
            </w:r>
          </w:p>
        </w:tc>
        <w:tc>
          <w:tcPr>
            <w:tcW w:w="1536" w:type="dxa"/>
            <w:tcBorders>
              <w:top w:val="single" w:sz="4" w:space="0" w:color="000000"/>
              <w:bottom w:val="single" w:sz="8" w:space="0" w:color="000000"/>
            </w:tcBorders>
            <w:tcMar>
              <w:top w:w="0" w:type="dxa"/>
              <w:left w:w="120" w:type="dxa"/>
              <w:bottom w:w="0" w:type="dxa"/>
              <w:right w:w="120" w:type="dxa"/>
            </w:tcMar>
            <w:vAlign w:val="bottom"/>
          </w:tcPr>
          <w:p w14:paraId="2D2A7260" w14:textId="77777777" w:rsidR="00A24724" w:rsidRPr="00C145D7" w:rsidRDefault="00A24724" w:rsidP="00D707D6">
            <w:pPr>
              <w:spacing w:line="240" w:lineRule="exact"/>
              <w:jc w:val="right"/>
              <w:rPr>
                <w:rFonts w:ascii="Arial" w:eastAsia="Arial Unicode MS" w:hAnsi="Arial" w:cs="Arial"/>
                <w:b/>
                <w:bCs/>
                <w:color w:val="000000" w:themeColor="text1"/>
                <w:sz w:val="17"/>
                <w:szCs w:val="17"/>
              </w:rPr>
            </w:pPr>
            <w:r w:rsidRPr="00F959D0">
              <w:rPr>
                <w:rFonts w:ascii="Arial" w:eastAsia="Arial Unicode MS" w:hAnsi="Arial" w:cs="Arial"/>
                <w:b/>
                <w:bCs/>
                <w:color w:val="000000" w:themeColor="text1"/>
                <w:sz w:val="17"/>
                <w:szCs w:val="17"/>
              </w:rPr>
              <w:t xml:space="preserve"> 3.962.594 </w:t>
            </w:r>
          </w:p>
        </w:tc>
        <w:tc>
          <w:tcPr>
            <w:tcW w:w="1258" w:type="dxa"/>
            <w:tcBorders>
              <w:top w:val="single" w:sz="4" w:space="0" w:color="000000"/>
              <w:bottom w:val="single" w:sz="8" w:space="0" w:color="000000"/>
            </w:tcBorders>
            <w:tcMar>
              <w:top w:w="0" w:type="dxa"/>
              <w:left w:w="120" w:type="dxa"/>
              <w:bottom w:w="0" w:type="dxa"/>
              <w:right w:w="120" w:type="dxa"/>
            </w:tcMar>
            <w:vAlign w:val="bottom"/>
          </w:tcPr>
          <w:p w14:paraId="5072A8D0" w14:textId="77777777" w:rsidR="00A24724" w:rsidRPr="00C145D7" w:rsidRDefault="00A24724" w:rsidP="00D707D6">
            <w:pPr>
              <w:spacing w:line="240" w:lineRule="exact"/>
              <w:jc w:val="right"/>
              <w:rPr>
                <w:rFonts w:ascii="Arial" w:eastAsia="Arial Unicode MS" w:hAnsi="Arial" w:cs="Arial"/>
                <w:b/>
                <w:bCs/>
                <w:color w:val="000000" w:themeColor="text1"/>
                <w:sz w:val="17"/>
                <w:szCs w:val="17"/>
              </w:rPr>
            </w:pPr>
            <w:r w:rsidRPr="00F959D0">
              <w:rPr>
                <w:rFonts w:ascii="Arial" w:eastAsia="Arial Unicode MS" w:hAnsi="Arial" w:cs="Arial"/>
                <w:b/>
                <w:bCs/>
                <w:color w:val="000000" w:themeColor="text1"/>
                <w:sz w:val="17"/>
                <w:szCs w:val="17"/>
              </w:rPr>
              <w:t xml:space="preserve"> 33.880 </w:t>
            </w:r>
          </w:p>
        </w:tc>
        <w:tc>
          <w:tcPr>
            <w:tcW w:w="1536" w:type="dxa"/>
            <w:tcBorders>
              <w:top w:val="single" w:sz="4" w:space="0" w:color="000000"/>
              <w:bottom w:val="single" w:sz="8" w:space="0" w:color="000000"/>
            </w:tcBorders>
            <w:tcMar>
              <w:top w:w="0" w:type="dxa"/>
              <w:left w:w="120" w:type="dxa"/>
              <w:bottom w:w="0" w:type="dxa"/>
              <w:right w:w="120" w:type="dxa"/>
            </w:tcMar>
            <w:vAlign w:val="bottom"/>
          </w:tcPr>
          <w:p w14:paraId="59C30888" w14:textId="77777777" w:rsidR="00A24724" w:rsidRPr="00C145D7" w:rsidRDefault="00A24724" w:rsidP="00D707D6">
            <w:pPr>
              <w:spacing w:line="240" w:lineRule="exact"/>
              <w:jc w:val="right"/>
              <w:rPr>
                <w:rFonts w:ascii="Arial" w:eastAsia="Arial Unicode MS" w:hAnsi="Arial" w:cs="Arial"/>
                <w:b/>
                <w:bCs/>
                <w:color w:val="000000" w:themeColor="text1"/>
                <w:sz w:val="17"/>
                <w:szCs w:val="17"/>
              </w:rPr>
            </w:pPr>
            <w:r w:rsidRPr="00F959D0">
              <w:rPr>
                <w:rFonts w:ascii="Arial" w:eastAsia="Arial Unicode MS" w:hAnsi="Arial" w:cs="Arial"/>
                <w:b/>
                <w:bCs/>
                <w:color w:val="000000" w:themeColor="text1"/>
                <w:sz w:val="17"/>
                <w:szCs w:val="17"/>
              </w:rPr>
              <w:t xml:space="preserve"> 22.210 </w:t>
            </w:r>
          </w:p>
        </w:tc>
        <w:tc>
          <w:tcPr>
            <w:tcW w:w="1398" w:type="dxa"/>
            <w:tcBorders>
              <w:top w:val="single" w:sz="4" w:space="0" w:color="000000"/>
              <w:bottom w:val="single" w:sz="8" w:space="0" w:color="000000"/>
            </w:tcBorders>
            <w:tcMar>
              <w:top w:w="0" w:type="dxa"/>
              <w:left w:w="120" w:type="dxa"/>
              <w:bottom w:w="0" w:type="dxa"/>
              <w:right w:w="120" w:type="dxa"/>
            </w:tcMar>
            <w:vAlign w:val="bottom"/>
          </w:tcPr>
          <w:p w14:paraId="2A2B227F" w14:textId="77777777" w:rsidR="00A24724" w:rsidRPr="00C145D7" w:rsidRDefault="00A24724" w:rsidP="00D707D6">
            <w:pPr>
              <w:spacing w:line="240" w:lineRule="exact"/>
              <w:jc w:val="right"/>
              <w:rPr>
                <w:rFonts w:ascii="Arial" w:eastAsia="Arial Unicode MS" w:hAnsi="Arial" w:cs="Arial"/>
                <w:b/>
                <w:bCs/>
                <w:color w:val="000000" w:themeColor="text1"/>
                <w:sz w:val="17"/>
                <w:szCs w:val="17"/>
              </w:rPr>
            </w:pPr>
            <w:r w:rsidRPr="00F959D0">
              <w:rPr>
                <w:rFonts w:ascii="Arial" w:eastAsia="Arial Unicode MS" w:hAnsi="Arial" w:cs="Arial"/>
                <w:b/>
                <w:bCs/>
                <w:color w:val="000000" w:themeColor="text1"/>
                <w:sz w:val="17"/>
                <w:szCs w:val="17"/>
              </w:rPr>
              <w:t xml:space="preserve"> 4.018.684 </w:t>
            </w:r>
          </w:p>
        </w:tc>
      </w:tr>
      <w:tr w:rsidR="00A24724" w:rsidRPr="00C145D7" w14:paraId="25AEBDC7" w14:textId="77777777" w:rsidTr="00D707D6">
        <w:trPr>
          <w:trHeight w:val="227"/>
        </w:trPr>
        <w:tc>
          <w:tcPr>
            <w:tcW w:w="3627" w:type="dxa"/>
            <w:tcMar>
              <w:top w:w="0" w:type="dxa"/>
              <w:left w:w="120" w:type="dxa"/>
              <w:bottom w:w="0" w:type="dxa"/>
              <w:right w:w="120" w:type="dxa"/>
            </w:tcMar>
            <w:vAlign w:val="bottom"/>
          </w:tcPr>
          <w:p w14:paraId="02F99970" w14:textId="77777777" w:rsidR="00A24724" w:rsidRPr="00C145D7" w:rsidRDefault="00A24724" w:rsidP="00D707D6">
            <w:pPr>
              <w:tabs>
                <w:tab w:val="right" w:pos="1202"/>
              </w:tabs>
              <w:spacing w:line="240" w:lineRule="exact"/>
              <w:outlineLvl w:val="0"/>
              <w:rPr>
                <w:rFonts w:ascii="Arial" w:eastAsia="Calibri" w:hAnsi="Arial" w:cs="Arial"/>
                <w:b/>
                <w:bCs/>
                <w:color w:val="000000" w:themeColor="text1"/>
                <w:sz w:val="17"/>
                <w:szCs w:val="17"/>
              </w:rPr>
            </w:pPr>
            <w:r w:rsidRPr="00C145D7">
              <w:rPr>
                <w:rFonts w:ascii="Arial" w:eastAsia="Calibri" w:hAnsi="Arial" w:cs="Arial"/>
                <w:b/>
                <w:bCs/>
                <w:color w:val="000000" w:themeColor="text1"/>
                <w:sz w:val="17"/>
                <w:szCs w:val="17"/>
              </w:rPr>
              <w:t>Obveze</w:t>
            </w:r>
          </w:p>
        </w:tc>
        <w:tc>
          <w:tcPr>
            <w:tcW w:w="1536" w:type="dxa"/>
            <w:tcBorders>
              <w:top w:val="single" w:sz="12" w:space="0" w:color="000000"/>
            </w:tcBorders>
            <w:tcMar>
              <w:top w:w="0" w:type="dxa"/>
              <w:left w:w="120" w:type="dxa"/>
              <w:bottom w:w="0" w:type="dxa"/>
              <w:right w:w="120" w:type="dxa"/>
            </w:tcMar>
            <w:vAlign w:val="bottom"/>
          </w:tcPr>
          <w:p w14:paraId="3C8001CE" w14:textId="77777777" w:rsidR="00A24724" w:rsidRPr="00C145D7" w:rsidRDefault="00A24724" w:rsidP="00D707D6">
            <w:pPr>
              <w:spacing w:line="240" w:lineRule="exact"/>
              <w:ind w:left="-123"/>
              <w:jc w:val="right"/>
              <w:rPr>
                <w:rFonts w:ascii="Arial" w:hAnsi="Arial" w:cs="Arial"/>
                <w:color w:val="000000" w:themeColor="text1"/>
                <w:spacing w:val="-2"/>
                <w:sz w:val="17"/>
                <w:szCs w:val="17"/>
              </w:rPr>
            </w:pPr>
          </w:p>
        </w:tc>
        <w:tc>
          <w:tcPr>
            <w:tcW w:w="1258" w:type="dxa"/>
            <w:tcBorders>
              <w:top w:val="single" w:sz="12" w:space="0" w:color="000000"/>
            </w:tcBorders>
            <w:tcMar>
              <w:top w:w="0" w:type="dxa"/>
              <w:left w:w="120" w:type="dxa"/>
              <w:bottom w:w="0" w:type="dxa"/>
              <w:right w:w="120" w:type="dxa"/>
            </w:tcMar>
            <w:vAlign w:val="bottom"/>
          </w:tcPr>
          <w:p w14:paraId="15D20472" w14:textId="77777777" w:rsidR="00A24724" w:rsidRPr="00C145D7" w:rsidRDefault="00A24724" w:rsidP="00D707D6">
            <w:pPr>
              <w:spacing w:line="240" w:lineRule="exact"/>
              <w:jc w:val="right"/>
              <w:rPr>
                <w:rFonts w:ascii="Arial" w:hAnsi="Arial" w:cs="Arial"/>
                <w:color w:val="000000" w:themeColor="text1"/>
                <w:spacing w:val="-2"/>
                <w:sz w:val="17"/>
                <w:szCs w:val="17"/>
              </w:rPr>
            </w:pPr>
          </w:p>
        </w:tc>
        <w:tc>
          <w:tcPr>
            <w:tcW w:w="1536" w:type="dxa"/>
            <w:tcBorders>
              <w:top w:val="single" w:sz="12" w:space="0" w:color="000000"/>
            </w:tcBorders>
            <w:tcMar>
              <w:top w:w="0" w:type="dxa"/>
              <w:left w:w="120" w:type="dxa"/>
              <w:bottom w:w="0" w:type="dxa"/>
              <w:right w:w="120" w:type="dxa"/>
            </w:tcMar>
            <w:vAlign w:val="bottom"/>
          </w:tcPr>
          <w:p w14:paraId="35015445" w14:textId="77777777" w:rsidR="00A24724" w:rsidRPr="00C145D7" w:rsidRDefault="00A24724" w:rsidP="00D707D6">
            <w:pPr>
              <w:spacing w:line="240" w:lineRule="exact"/>
              <w:jc w:val="right"/>
              <w:rPr>
                <w:rFonts w:ascii="Arial" w:hAnsi="Arial" w:cs="Arial"/>
                <w:color w:val="000000" w:themeColor="text1"/>
                <w:spacing w:val="-2"/>
                <w:sz w:val="17"/>
                <w:szCs w:val="17"/>
              </w:rPr>
            </w:pPr>
          </w:p>
        </w:tc>
        <w:tc>
          <w:tcPr>
            <w:tcW w:w="1398" w:type="dxa"/>
            <w:tcBorders>
              <w:top w:val="single" w:sz="12" w:space="0" w:color="000000"/>
            </w:tcBorders>
            <w:tcMar>
              <w:top w:w="0" w:type="dxa"/>
              <w:left w:w="120" w:type="dxa"/>
              <w:bottom w:w="0" w:type="dxa"/>
              <w:right w:w="120" w:type="dxa"/>
            </w:tcMar>
            <w:vAlign w:val="bottom"/>
          </w:tcPr>
          <w:p w14:paraId="0F0AA027" w14:textId="77777777" w:rsidR="00A24724" w:rsidRPr="00C145D7" w:rsidRDefault="00A24724" w:rsidP="00D707D6">
            <w:pPr>
              <w:spacing w:line="240" w:lineRule="exact"/>
              <w:jc w:val="right"/>
              <w:rPr>
                <w:rFonts w:ascii="Arial" w:hAnsi="Arial" w:cs="Arial"/>
                <w:b/>
                <w:color w:val="000000" w:themeColor="text1"/>
                <w:sz w:val="17"/>
                <w:szCs w:val="17"/>
              </w:rPr>
            </w:pPr>
          </w:p>
        </w:tc>
      </w:tr>
      <w:tr w:rsidR="00A24724" w:rsidRPr="00C145D7" w14:paraId="47AE80BD" w14:textId="77777777" w:rsidTr="00D707D6">
        <w:trPr>
          <w:trHeight w:val="243"/>
        </w:trPr>
        <w:tc>
          <w:tcPr>
            <w:tcW w:w="3627" w:type="dxa"/>
            <w:tcMar>
              <w:top w:w="0" w:type="dxa"/>
              <w:left w:w="120" w:type="dxa"/>
              <w:bottom w:w="0" w:type="dxa"/>
              <w:right w:w="120" w:type="dxa"/>
            </w:tcMar>
            <w:vAlign w:val="bottom"/>
          </w:tcPr>
          <w:p w14:paraId="3BB34B51" w14:textId="77777777" w:rsidR="00A24724" w:rsidRPr="00C145D7" w:rsidRDefault="00A24724" w:rsidP="00D707D6">
            <w:pPr>
              <w:tabs>
                <w:tab w:val="right" w:pos="1202"/>
              </w:tabs>
              <w:spacing w:line="240" w:lineRule="exact"/>
              <w:outlineLvl w:val="0"/>
              <w:rPr>
                <w:rFonts w:ascii="Arial" w:eastAsia="Calibri" w:hAnsi="Arial" w:cs="Arial"/>
                <w:color w:val="000000" w:themeColor="text1"/>
                <w:sz w:val="17"/>
                <w:szCs w:val="17"/>
              </w:rPr>
            </w:pPr>
            <w:r w:rsidRPr="00C145D7">
              <w:rPr>
                <w:rFonts w:ascii="Arial" w:eastAsia="Calibri" w:hAnsi="Arial" w:cs="Arial"/>
                <w:color w:val="000000" w:themeColor="text1"/>
                <w:sz w:val="17"/>
                <w:szCs w:val="17"/>
              </w:rPr>
              <w:t>Obveze po depozitima</w:t>
            </w:r>
          </w:p>
        </w:tc>
        <w:tc>
          <w:tcPr>
            <w:tcW w:w="1536" w:type="dxa"/>
            <w:tcBorders>
              <w:top w:val="nil"/>
              <w:left w:val="nil"/>
              <w:bottom w:val="nil"/>
              <w:right w:val="nil"/>
            </w:tcBorders>
            <w:tcMar>
              <w:top w:w="0" w:type="dxa"/>
              <w:left w:w="120" w:type="dxa"/>
              <w:bottom w:w="0" w:type="dxa"/>
              <w:right w:w="120" w:type="dxa"/>
            </w:tcMar>
            <w:vAlign w:val="bottom"/>
          </w:tcPr>
          <w:p w14:paraId="685D3BF7" w14:textId="77777777" w:rsidR="00A24724" w:rsidRPr="00C145D7" w:rsidRDefault="00A24724" w:rsidP="00D707D6">
            <w:pPr>
              <w:spacing w:line="240" w:lineRule="exact"/>
              <w:jc w:val="right"/>
              <w:rPr>
                <w:rFonts w:ascii="Arial" w:eastAsia="Arial Unicode MS" w:hAnsi="Arial" w:cs="Arial"/>
                <w:color w:val="000000" w:themeColor="text1"/>
                <w:sz w:val="17"/>
                <w:szCs w:val="17"/>
              </w:rPr>
            </w:pPr>
            <w:r w:rsidRPr="00F959D0">
              <w:rPr>
                <w:rFonts w:ascii="Arial" w:eastAsia="Arial Unicode MS" w:hAnsi="Arial" w:cs="Arial"/>
                <w:color w:val="000000" w:themeColor="text1"/>
                <w:sz w:val="17"/>
                <w:szCs w:val="17"/>
              </w:rPr>
              <w:t xml:space="preserve"> 180.779 </w:t>
            </w:r>
          </w:p>
        </w:tc>
        <w:tc>
          <w:tcPr>
            <w:tcW w:w="1258" w:type="dxa"/>
            <w:tcBorders>
              <w:top w:val="nil"/>
              <w:left w:val="nil"/>
              <w:bottom w:val="nil"/>
              <w:right w:val="nil"/>
            </w:tcBorders>
            <w:tcMar>
              <w:top w:w="0" w:type="dxa"/>
              <w:left w:w="120" w:type="dxa"/>
              <w:bottom w:w="0" w:type="dxa"/>
              <w:right w:w="120" w:type="dxa"/>
            </w:tcMar>
            <w:vAlign w:val="bottom"/>
          </w:tcPr>
          <w:p w14:paraId="5BD24EE4" w14:textId="77777777" w:rsidR="00A24724" w:rsidRPr="00C145D7" w:rsidRDefault="00A24724" w:rsidP="00D707D6">
            <w:pPr>
              <w:spacing w:line="240" w:lineRule="exact"/>
              <w:jc w:val="right"/>
              <w:rPr>
                <w:rFonts w:ascii="Arial" w:eastAsia="Arial Unicode MS" w:hAnsi="Arial" w:cs="Arial"/>
                <w:color w:val="000000" w:themeColor="text1"/>
                <w:sz w:val="17"/>
                <w:szCs w:val="17"/>
              </w:rPr>
            </w:pPr>
            <w:r w:rsidRPr="00F959D0">
              <w:rPr>
                <w:rFonts w:ascii="Arial" w:eastAsia="Arial Unicode MS" w:hAnsi="Arial" w:cs="Arial"/>
                <w:color w:val="000000" w:themeColor="text1"/>
                <w:sz w:val="17"/>
                <w:szCs w:val="17"/>
              </w:rPr>
              <w:t xml:space="preserve"> 14.097 </w:t>
            </w:r>
          </w:p>
        </w:tc>
        <w:tc>
          <w:tcPr>
            <w:tcW w:w="1536" w:type="dxa"/>
            <w:tcBorders>
              <w:top w:val="nil"/>
              <w:left w:val="nil"/>
              <w:bottom w:val="nil"/>
              <w:right w:val="nil"/>
            </w:tcBorders>
            <w:tcMar>
              <w:top w:w="0" w:type="dxa"/>
              <w:left w:w="120" w:type="dxa"/>
              <w:bottom w:w="0" w:type="dxa"/>
              <w:right w:w="120" w:type="dxa"/>
            </w:tcMar>
            <w:vAlign w:val="bottom"/>
          </w:tcPr>
          <w:p w14:paraId="2E296AB4" w14:textId="77777777" w:rsidR="00A24724" w:rsidRPr="00C145D7" w:rsidRDefault="00A24724" w:rsidP="00D707D6">
            <w:pPr>
              <w:spacing w:line="240" w:lineRule="exact"/>
              <w:jc w:val="right"/>
              <w:rPr>
                <w:rFonts w:ascii="Arial" w:eastAsia="Arial Unicode MS" w:hAnsi="Arial" w:cs="Arial"/>
                <w:color w:val="000000" w:themeColor="text1"/>
                <w:sz w:val="17"/>
                <w:szCs w:val="17"/>
              </w:rPr>
            </w:pPr>
            <w:r w:rsidRPr="00F959D0">
              <w:rPr>
                <w:rFonts w:ascii="Arial" w:eastAsia="Arial Unicode MS" w:hAnsi="Arial" w:cs="Arial"/>
                <w:color w:val="000000" w:themeColor="text1"/>
                <w:sz w:val="17"/>
                <w:szCs w:val="17"/>
              </w:rPr>
              <w:t xml:space="preserve"> - </w:t>
            </w:r>
          </w:p>
        </w:tc>
        <w:tc>
          <w:tcPr>
            <w:tcW w:w="1398" w:type="dxa"/>
            <w:tcBorders>
              <w:top w:val="nil"/>
              <w:left w:val="nil"/>
              <w:bottom w:val="nil"/>
            </w:tcBorders>
            <w:tcMar>
              <w:top w:w="0" w:type="dxa"/>
              <w:left w:w="120" w:type="dxa"/>
              <w:bottom w:w="0" w:type="dxa"/>
              <w:right w:w="120" w:type="dxa"/>
            </w:tcMar>
            <w:vAlign w:val="bottom"/>
          </w:tcPr>
          <w:p w14:paraId="05EF481F" w14:textId="77777777" w:rsidR="00A24724" w:rsidRPr="00C145D7" w:rsidRDefault="00A24724" w:rsidP="00D707D6">
            <w:pPr>
              <w:spacing w:line="240" w:lineRule="exact"/>
              <w:jc w:val="right"/>
              <w:rPr>
                <w:rFonts w:ascii="Arial" w:eastAsia="Arial Unicode MS" w:hAnsi="Arial" w:cs="Arial"/>
                <w:color w:val="000000" w:themeColor="text1"/>
                <w:sz w:val="17"/>
                <w:szCs w:val="17"/>
              </w:rPr>
            </w:pPr>
            <w:r w:rsidRPr="00F959D0">
              <w:rPr>
                <w:rFonts w:ascii="Arial" w:eastAsia="Arial Unicode MS" w:hAnsi="Arial" w:cs="Arial"/>
                <w:color w:val="000000" w:themeColor="text1"/>
                <w:sz w:val="17"/>
                <w:szCs w:val="17"/>
              </w:rPr>
              <w:t xml:space="preserve"> 194.876 </w:t>
            </w:r>
          </w:p>
        </w:tc>
      </w:tr>
      <w:tr w:rsidR="00A24724" w:rsidRPr="00C145D7" w14:paraId="72A82AB3" w14:textId="77777777" w:rsidTr="00D707D6">
        <w:trPr>
          <w:trHeight w:val="180"/>
        </w:trPr>
        <w:tc>
          <w:tcPr>
            <w:tcW w:w="3627" w:type="dxa"/>
            <w:tcMar>
              <w:top w:w="0" w:type="dxa"/>
              <w:left w:w="120" w:type="dxa"/>
              <w:bottom w:w="0" w:type="dxa"/>
              <w:right w:w="120" w:type="dxa"/>
            </w:tcMar>
            <w:vAlign w:val="bottom"/>
          </w:tcPr>
          <w:p w14:paraId="0C8DA456" w14:textId="77777777" w:rsidR="00A24724" w:rsidRPr="00C145D7" w:rsidRDefault="00A24724" w:rsidP="00D707D6">
            <w:pPr>
              <w:tabs>
                <w:tab w:val="right" w:pos="1202"/>
              </w:tabs>
              <w:spacing w:line="240" w:lineRule="exact"/>
              <w:outlineLvl w:val="0"/>
              <w:rPr>
                <w:rFonts w:ascii="Arial" w:eastAsia="Calibri" w:hAnsi="Arial" w:cs="Arial"/>
                <w:color w:val="000000" w:themeColor="text1"/>
                <w:sz w:val="17"/>
                <w:szCs w:val="17"/>
              </w:rPr>
            </w:pPr>
            <w:r w:rsidRPr="00C145D7">
              <w:rPr>
                <w:rFonts w:ascii="Arial" w:eastAsia="Calibri" w:hAnsi="Arial" w:cs="Arial"/>
                <w:color w:val="000000" w:themeColor="text1"/>
                <w:sz w:val="17"/>
                <w:szCs w:val="17"/>
              </w:rPr>
              <w:t>Obveze po kreditima</w:t>
            </w:r>
          </w:p>
        </w:tc>
        <w:tc>
          <w:tcPr>
            <w:tcW w:w="1536" w:type="dxa"/>
            <w:tcBorders>
              <w:top w:val="nil"/>
              <w:left w:val="nil"/>
              <w:bottom w:val="nil"/>
              <w:right w:val="nil"/>
            </w:tcBorders>
            <w:tcMar>
              <w:top w:w="0" w:type="dxa"/>
              <w:left w:w="120" w:type="dxa"/>
              <w:bottom w:w="0" w:type="dxa"/>
              <w:right w:w="120" w:type="dxa"/>
            </w:tcMar>
            <w:vAlign w:val="bottom"/>
          </w:tcPr>
          <w:p w14:paraId="30E62A45" w14:textId="77777777" w:rsidR="00A24724" w:rsidRPr="00C145D7" w:rsidRDefault="00A24724" w:rsidP="00D707D6">
            <w:pPr>
              <w:spacing w:line="240" w:lineRule="exact"/>
              <w:jc w:val="right"/>
              <w:rPr>
                <w:rFonts w:ascii="Arial" w:eastAsia="Arial Unicode MS" w:hAnsi="Arial" w:cs="Arial"/>
                <w:color w:val="000000" w:themeColor="text1"/>
                <w:sz w:val="17"/>
                <w:szCs w:val="17"/>
              </w:rPr>
            </w:pPr>
            <w:r w:rsidRPr="00F959D0">
              <w:rPr>
                <w:rFonts w:ascii="Arial" w:eastAsia="Arial Unicode MS" w:hAnsi="Arial" w:cs="Arial"/>
                <w:color w:val="000000" w:themeColor="text1"/>
                <w:sz w:val="17"/>
                <w:szCs w:val="17"/>
              </w:rPr>
              <w:t xml:space="preserve"> 2.230.910 </w:t>
            </w:r>
          </w:p>
        </w:tc>
        <w:tc>
          <w:tcPr>
            <w:tcW w:w="1258" w:type="dxa"/>
            <w:tcBorders>
              <w:top w:val="nil"/>
              <w:left w:val="nil"/>
              <w:bottom w:val="nil"/>
              <w:right w:val="nil"/>
            </w:tcBorders>
            <w:tcMar>
              <w:top w:w="0" w:type="dxa"/>
              <w:left w:w="120" w:type="dxa"/>
              <w:bottom w:w="0" w:type="dxa"/>
              <w:right w:w="120" w:type="dxa"/>
            </w:tcMar>
            <w:vAlign w:val="bottom"/>
          </w:tcPr>
          <w:p w14:paraId="08F0674C" w14:textId="77777777" w:rsidR="00A24724" w:rsidRPr="00C145D7" w:rsidRDefault="00A24724" w:rsidP="00D707D6">
            <w:pPr>
              <w:spacing w:line="240" w:lineRule="exact"/>
              <w:jc w:val="right"/>
              <w:rPr>
                <w:rFonts w:ascii="Arial" w:eastAsia="Arial Unicode MS" w:hAnsi="Arial" w:cs="Arial"/>
                <w:color w:val="000000" w:themeColor="text1"/>
                <w:sz w:val="17"/>
                <w:szCs w:val="17"/>
              </w:rPr>
            </w:pPr>
            <w:r w:rsidRPr="00F959D0">
              <w:rPr>
                <w:rFonts w:ascii="Arial" w:eastAsia="Arial Unicode MS" w:hAnsi="Arial" w:cs="Arial"/>
                <w:color w:val="000000" w:themeColor="text1"/>
                <w:sz w:val="17"/>
                <w:szCs w:val="17"/>
              </w:rPr>
              <w:t xml:space="preserve"> 20.266 </w:t>
            </w:r>
          </w:p>
        </w:tc>
        <w:tc>
          <w:tcPr>
            <w:tcW w:w="1536" w:type="dxa"/>
            <w:tcBorders>
              <w:top w:val="nil"/>
              <w:left w:val="nil"/>
              <w:bottom w:val="nil"/>
              <w:right w:val="nil"/>
            </w:tcBorders>
            <w:tcMar>
              <w:top w:w="0" w:type="dxa"/>
              <w:left w:w="120" w:type="dxa"/>
              <w:bottom w:w="0" w:type="dxa"/>
              <w:right w:w="120" w:type="dxa"/>
            </w:tcMar>
            <w:vAlign w:val="bottom"/>
          </w:tcPr>
          <w:p w14:paraId="09B77401" w14:textId="77777777" w:rsidR="00A24724" w:rsidRPr="00C145D7" w:rsidRDefault="00A24724" w:rsidP="00D707D6">
            <w:pPr>
              <w:spacing w:line="240" w:lineRule="exact"/>
              <w:jc w:val="right"/>
              <w:rPr>
                <w:rFonts w:ascii="Arial" w:eastAsia="Arial Unicode MS" w:hAnsi="Arial" w:cs="Arial"/>
                <w:color w:val="000000" w:themeColor="text1"/>
                <w:sz w:val="17"/>
                <w:szCs w:val="17"/>
              </w:rPr>
            </w:pPr>
            <w:r w:rsidRPr="00F959D0">
              <w:rPr>
                <w:rFonts w:ascii="Arial" w:eastAsia="Arial Unicode MS" w:hAnsi="Arial" w:cs="Arial"/>
                <w:color w:val="000000" w:themeColor="text1"/>
                <w:sz w:val="17"/>
                <w:szCs w:val="17"/>
              </w:rPr>
              <w:t xml:space="preserve"> - </w:t>
            </w:r>
          </w:p>
        </w:tc>
        <w:tc>
          <w:tcPr>
            <w:tcW w:w="1398" w:type="dxa"/>
            <w:tcBorders>
              <w:top w:val="nil"/>
              <w:left w:val="nil"/>
              <w:bottom w:val="nil"/>
            </w:tcBorders>
            <w:tcMar>
              <w:top w:w="0" w:type="dxa"/>
              <w:left w:w="120" w:type="dxa"/>
              <w:bottom w:w="0" w:type="dxa"/>
              <w:right w:w="120" w:type="dxa"/>
            </w:tcMar>
            <w:vAlign w:val="bottom"/>
          </w:tcPr>
          <w:p w14:paraId="5DE9EFFA" w14:textId="77777777" w:rsidR="00A24724" w:rsidRPr="00C145D7" w:rsidRDefault="00A24724" w:rsidP="00D707D6">
            <w:pPr>
              <w:spacing w:line="240" w:lineRule="exact"/>
              <w:jc w:val="right"/>
              <w:rPr>
                <w:rFonts w:ascii="Arial" w:eastAsia="Arial Unicode MS" w:hAnsi="Arial" w:cs="Arial"/>
                <w:color w:val="000000" w:themeColor="text1"/>
                <w:sz w:val="17"/>
                <w:szCs w:val="17"/>
              </w:rPr>
            </w:pPr>
            <w:r w:rsidRPr="00F959D0">
              <w:rPr>
                <w:rFonts w:ascii="Arial" w:eastAsia="Arial Unicode MS" w:hAnsi="Arial" w:cs="Arial"/>
                <w:color w:val="000000" w:themeColor="text1"/>
                <w:sz w:val="17"/>
                <w:szCs w:val="17"/>
              </w:rPr>
              <w:t xml:space="preserve"> 2.251.176 </w:t>
            </w:r>
          </w:p>
        </w:tc>
      </w:tr>
      <w:tr w:rsidR="00A24724" w:rsidRPr="00C145D7" w14:paraId="5FA64236" w14:textId="77777777" w:rsidTr="00D707D6">
        <w:trPr>
          <w:trHeight w:val="472"/>
        </w:trPr>
        <w:tc>
          <w:tcPr>
            <w:tcW w:w="3627" w:type="dxa"/>
            <w:tcMar>
              <w:top w:w="0" w:type="dxa"/>
              <w:left w:w="120" w:type="dxa"/>
              <w:bottom w:w="0" w:type="dxa"/>
              <w:right w:w="120" w:type="dxa"/>
            </w:tcMar>
            <w:vAlign w:val="bottom"/>
          </w:tcPr>
          <w:p w14:paraId="387B0FE9" w14:textId="77777777" w:rsidR="00A24724" w:rsidRPr="00C145D7" w:rsidRDefault="00A24724" w:rsidP="00D707D6">
            <w:pPr>
              <w:tabs>
                <w:tab w:val="right" w:pos="1202"/>
              </w:tabs>
              <w:spacing w:line="240" w:lineRule="exact"/>
              <w:outlineLvl w:val="0"/>
              <w:rPr>
                <w:rFonts w:ascii="Arial" w:eastAsia="Calibri" w:hAnsi="Arial" w:cs="Arial"/>
                <w:color w:val="000000" w:themeColor="text1"/>
                <w:sz w:val="17"/>
                <w:szCs w:val="17"/>
              </w:rPr>
            </w:pPr>
            <w:r w:rsidRPr="00C145D7">
              <w:rPr>
                <w:rFonts w:ascii="Arial" w:eastAsia="Calibri" w:hAnsi="Arial" w:cs="Arial"/>
                <w:color w:val="000000" w:themeColor="text1"/>
                <w:sz w:val="17"/>
                <w:szCs w:val="17"/>
              </w:rPr>
              <w:t>Rezerviranja za garancije, preuzete i ostale obveze</w:t>
            </w:r>
          </w:p>
        </w:tc>
        <w:tc>
          <w:tcPr>
            <w:tcW w:w="1536" w:type="dxa"/>
            <w:tcBorders>
              <w:top w:val="nil"/>
              <w:left w:val="nil"/>
              <w:bottom w:val="nil"/>
              <w:right w:val="nil"/>
            </w:tcBorders>
            <w:tcMar>
              <w:top w:w="0" w:type="dxa"/>
              <w:left w:w="120" w:type="dxa"/>
              <w:bottom w:w="0" w:type="dxa"/>
              <w:right w:w="120" w:type="dxa"/>
            </w:tcMar>
            <w:vAlign w:val="bottom"/>
          </w:tcPr>
          <w:p w14:paraId="641E3349" w14:textId="77777777" w:rsidR="00A24724" w:rsidRPr="00C145D7" w:rsidRDefault="00A24724" w:rsidP="00D707D6">
            <w:pPr>
              <w:spacing w:line="240" w:lineRule="exact"/>
              <w:jc w:val="right"/>
              <w:rPr>
                <w:rFonts w:ascii="Arial" w:eastAsia="Arial Unicode MS" w:hAnsi="Arial" w:cs="Arial"/>
                <w:color w:val="000000" w:themeColor="text1"/>
                <w:sz w:val="17"/>
                <w:szCs w:val="17"/>
              </w:rPr>
            </w:pPr>
            <w:r w:rsidRPr="00F959D0">
              <w:rPr>
                <w:rFonts w:ascii="Arial" w:eastAsia="Arial Unicode MS" w:hAnsi="Arial" w:cs="Arial"/>
                <w:color w:val="000000" w:themeColor="text1"/>
                <w:sz w:val="17"/>
                <w:szCs w:val="17"/>
              </w:rPr>
              <w:t xml:space="preserve"> 21.955 </w:t>
            </w:r>
          </w:p>
        </w:tc>
        <w:tc>
          <w:tcPr>
            <w:tcW w:w="1258" w:type="dxa"/>
            <w:tcBorders>
              <w:top w:val="nil"/>
              <w:left w:val="nil"/>
              <w:bottom w:val="nil"/>
              <w:right w:val="nil"/>
            </w:tcBorders>
            <w:tcMar>
              <w:top w:w="0" w:type="dxa"/>
              <w:left w:w="120" w:type="dxa"/>
              <w:bottom w:w="0" w:type="dxa"/>
              <w:right w:w="120" w:type="dxa"/>
            </w:tcMar>
            <w:vAlign w:val="bottom"/>
          </w:tcPr>
          <w:p w14:paraId="75A268F5" w14:textId="77777777" w:rsidR="00A24724" w:rsidRPr="00C145D7" w:rsidRDefault="00A24724" w:rsidP="00D707D6">
            <w:pPr>
              <w:spacing w:line="240" w:lineRule="exact"/>
              <w:jc w:val="right"/>
              <w:rPr>
                <w:rFonts w:ascii="Arial" w:eastAsia="Arial Unicode MS" w:hAnsi="Arial" w:cs="Arial"/>
                <w:color w:val="000000" w:themeColor="text1"/>
                <w:sz w:val="17"/>
                <w:szCs w:val="17"/>
              </w:rPr>
            </w:pPr>
            <w:r w:rsidRPr="00F959D0">
              <w:rPr>
                <w:rFonts w:ascii="Arial" w:eastAsia="Arial Unicode MS" w:hAnsi="Arial" w:cs="Arial"/>
                <w:color w:val="000000" w:themeColor="text1"/>
                <w:sz w:val="17"/>
                <w:szCs w:val="17"/>
              </w:rPr>
              <w:t xml:space="preserve"> 66 </w:t>
            </w:r>
          </w:p>
        </w:tc>
        <w:tc>
          <w:tcPr>
            <w:tcW w:w="1536" w:type="dxa"/>
            <w:tcBorders>
              <w:top w:val="nil"/>
              <w:left w:val="nil"/>
              <w:bottom w:val="nil"/>
              <w:right w:val="nil"/>
            </w:tcBorders>
            <w:tcMar>
              <w:top w:w="0" w:type="dxa"/>
              <w:left w:w="120" w:type="dxa"/>
              <w:bottom w:w="0" w:type="dxa"/>
              <w:right w:w="120" w:type="dxa"/>
            </w:tcMar>
            <w:vAlign w:val="bottom"/>
          </w:tcPr>
          <w:p w14:paraId="72A17F5A" w14:textId="77777777" w:rsidR="00A24724" w:rsidRPr="00C145D7" w:rsidRDefault="00A24724" w:rsidP="00D707D6">
            <w:pPr>
              <w:spacing w:line="240" w:lineRule="exact"/>
              <w:jc w:val="right"/>
              <w:rPr>
                <w:rFonts w:ascii="Arial" w:eastAsia="Arial Unicode MS" w:hAnsi="Arial" w:cs="Arial"/>
                <w:color w:val="000000" w:themeColor="text1"/>
                <w:sz w:val="17"/>
                <w:szCs w:val="17"/>
              </w:rPr>
            </w:pPr>
            <w:r w:rsidRPr="00F959D0">
              <w:rPr>
                <w:rFonts w:ascii="Arial" w:eastAsia="Arial Unicode MS" w:hAnsi="Arial" w:cs="Arial"/>
                <w:color w:val="000000" w:themeColor="text1"/>
                <w:sz w:val="17"/>
                <w:szCs w:val="17"/>
              </w:rPr>
              <w:t xml:space="preserve"> 2.359 </w:t>
            </w:r>
          </w:p>
        </w:tc>
        <w:tc>
          <w:tcPr>
            <w:tcW w:w="1398" w:type="dxa"/>
            <w:tcBorders>
              <w:top w:val="nil"/>
              <w:left w:val="nil"/>
              <w:bottom w:val="nil"/>
            </w:tcBorders>
            <w:tcMar>
              <w:top w:w="0" w:type="dxa"/>
              <w:left w:w="120" w:type="dxa"/>
              <w:bottom w:w="0" w:type="dxa"/>
              <w:right w:w="120" w:type="dxa"/>
            </w:tcMar>
            <w:vAlign w:val="bottom"/>
          </w:tcPr>
          <w:p w14:paraId="389FA5BE" w14:textId="77777777" w:rsidR="00A24724" w:rsidRPr="00C145D7" w:rsidRDefault="00A24724" w:rsidP="00D707D6">
            <w:pPr>
              <w:spacing w:line="240" w:lineRule="exact"/>
              <w:jc w:val="right"/>
              <w:rPr>
                <w:rFonts w:ascii="Arial" w:eastAsia="Arial Unicode MS" w:hAnsi="Arial" w:cs="Arial"/>
                <w:color w:val="000000" w:themeColor="text1"/>
                <w:sz w:val="17"/>
                <w:szCs w:val="17"/>
              </w:rPr>
            </w:pPr>
            <w:r w:rsidRPr="00F959D0">
              <w:rPr>
                <w:rFonts w:ascii="Arial" w:eastAsia="Arial Unicode MS" w:hAnsi="Arial" w:cs="Arial"/>
                <w:color w:val="000000" w:themeColor="text1"/>
                <w:sz w:val="17"/>
                <w:szCs w:val="17"/>
              </w:rPr>
              <w:t xml:space="preserve"> 24.380 </w:t>
            </w:r>
          </w:p>
        </w:tc>
      </w:tr>
      <w:tr w:rsidR="00A24724" w:rsidRPr="00C145D7" w14:paraId="643BB56D" w14:textId="77777777" w:rsidTr="00D707D6">
        <w:trPr>
          <w:trHeight w:val="141"/>
        </w:trPr>
        <w:tc>
          <w:tcPr>
            <w:tcW w:w="3627" w:type="dxa"/>
            <w:tcMar>
              <w:top w:w="0" w:type="dxa"/>
              <w:left w:w="120" w:type="dxa"/>
              <w:bottom w:w="0" w:type="dxa"/>
              <w:right w:w="120" w:type="dxa"/>
            </w:tcMar>
            <w:vAlign w:val="bottom"/>
          </w:tcPr>
          <w:p w14:paraId="084709CE" w14:textId="77777777" w:rsidR="00A24724" w:rsidRPr="00C145D7" w:rsidRDefault="00A24724" w:rsidP="00D707D6">
            <w:pPr>
              <w:tabs>
                <w:tab w:val="right" w:pos="1202"/>
              </w:tabs>
              <w:spacing w:line="240" w:lineRule="exact"/>
              <w:outlineLvl w:val="0"/>
              <w:rPr>
                <w:rFonts w:ascii="Arial" w:eastAsia="Calibri" w:hAnsi="Arial" w:cs="Arial"/>
                <w:color w:val="000000" w:themeColor="text1"/>
                <w:sz w:val="17"/>
                <w:szCs w:val="17"/>
              </w:rPr>
            </w:pPr>
            <w:r w:rsidRPr="00C145D7">
              <w:rPr>
                <w:rFonts w:ascii="Arial" w:eastAsia="Calibri" w:hAnsi="Arial" w:cs="Arial"/>
                <w:color w:val="000000" w:themeColor="text1"/>
                <w:sz w:val="17"/>
                <w:szCs w:val="17"/>
              </w:rPr>
              <w:t>Ostale obveze</w:t>
            </w:r>
          </w:p>
        </w:tc>
        <w:tc>
          <w:tcPr>
            <w:tcW w:w="1536" w:type="dxa"/>
            <w:tcBorders>
              <w:top w:val="nil"/>
              <w:left w:val="nil"/>
              <w:bottom w:val="single" w:sz="4" w:space="0" w:color="auto"/>
              <w:right w:val="nil"/>
            </w:tcBorders>
            <w:tcMar>
              <w:top w:w="0" w:type="dxa"/>
              <w:left w:w="120" w:type="dxa"/>
              <w:bottom w:w="0" w:type="dxa"/>
              <w:right w:w="120" w:type="dxa"/>
            </w:tcMar>
            <w:vAlign w:val="bottom"/>
          </w:tcPr>
          <w:p w14:paraId="284FE4CD" w14:textId="77777777" w:rsidR="00A24724" w:rsidRPr="00C145D7" w:rsidRDefault="00A24724" w:rsidP="00D707D6">
            <w:pPr>
              <w:spacing w:line="240" w:lineRule="exact"/>
              <w:jc w:val="right"/>
              <w:rPr>
                <w:rFonts w:ascii="Arial" w:eastAsia="Arial Unicode MS" w:hAnsi="Arial" w:cs="Arial"/>
                <w:color w:val="000000" w:themeColor="text1"/>
                <w:sz w:val="17"/>
                <w:szCs w:val="17"/>
              </w:rPr>
            </w:pPr>
            <w:r w:rsidRPr="00F959D0">
              <w:rPr>
                <w:rFonts w:ascii="Arial" w:eastAsia="Arial Unicode MS" w:hAnsi="Arial" w:cs="Arial"/>
                <w:color w:val="000000" w:themeColor="text1"/>
                <w:sz w:val="17"/>
                <w:szCs w:val="17"/>
              </w:rPr>
              <w:t xml:space="preserve"> 90.729 </w:t>
            </w:r>
          </w:p>
        </w:tc>
        <w:tc>
          <w:tcPr>
            <w:tcW w:w="1258" w:type="dxa"/>
            <w:tcBorders>
              <w:top w:val="nil"/>
              <w:left w:val="nil"/>
              <w:bottom w:val="single" w:sz="4" w:space="0" w:color="auto"/>
              <w:right w:val="nil"/>
            </w:tcBorders>
            <w:tcMar>
              <w:top w:w="0" w:type="dxa"/>
              <w:left w:w="120" w:type="dxa"/>
              <w:bottom w:w="0" w:type="dxa"/>
              <w:right w:w="120" w:type="dxa"/>
            </w:tcMar>
            <w:vAlign w:val="bottom"/>
          </w:tcPr>
          <w:p w14:paraId="1C095275" w14:textId="77777777" w:rsidR="00A24724" w:rsidRPr="00C145D7" w:rsidRDefault="00A24724" w:rsidP="00D707D6">
            <w:pPr>
              <w:spacing w:line="240" w:lineRule="exact"/>
              <w:jc w:val="right"/>
              <w:rPr>
                <w:rFonts w:ascii="Arial" w:eastAsia="Arial Unicode MS" w:hAnsi="Arial" w:cs="Arial"/>
                <w:color w:val="000000" w:themeColor="text1"/>
                <w:sz w:val="17"/>
                <w:szCs w:val="17"/>
              </w:rPr>
            </w:pPr>
            <w:r w:rsidRPr="00F959D0">
              <w:rPr>
                <w:rFonts w:ascii="Arial" w:eastAsia="Arial Unicode MS" w:hAnsi="Arial" w:cs="Arial"/>
                <w:color w:val="000000" w:themeColor="text1"/>
                <w:sz w:val="17"/>
                <w:szCs w:val="17"/>
              </w:rPr>
              <w:t xml:space="preserve"> - </w:t>
            </w:r>
          </w:p>
        </w:tc>
        <w:tc>
          <w:tcPr>
            <w:tcW w:w="1536" w:type="dxa"/>
            <w:tcBorders>
              <w:top w:val="nil"/>
              <w:left w:val="nil"/>
              <w:bottom w:val="single" w:sz="4" w:space="0" w:color="auto"/>
              <w:right w:val="nil"/>
            </w:tcBorders>
            <w:tcMar>
              <w:top w:w="0" w:type="dxa"/>
              <w:left w:w="120" w:type="dxa"/>
              <w:bottom w:w="0" w:type="dxa"/>
              <w:right w:w="120" w:type="dxa"/>
            </w:tcMar>
            <w:vAlign w:val="bottom"/>
          </w:tcPr>
          <w:p w14:paraId="2CAD1F02" w14:textId="77777777" w:rsidR="00A24724" w:rsidRPr="00C145D7" w:rsidRDefault="00A24724" w:rsidP="00D707D6">
            <w:pPr>
              <w:spacing w:line="240" w:lineRule="exact"/>
              <w:jc w:val="right"/>
              <w:rPr>
                <w:rFonts w:ascii="Arial" w:eastAsia="Arial Unicode MS" w:hAnsi="Arial" w:cs="Arial"/>
                <w:color w:val="000000" w:themeColor="text1"/>
                <w:sz w:val="17"/>
                <w:szCs w:val="17"/>
              </w:rPr>
            </w:pPr>
            <w:r w:rsidRPr="00F959D0">
              <w:rPr>
                <w:rFonts w:ascii="Arial" w:eastAsia="Arial Unicode MS" w:hAnsi="Arial" w:cs="Arial"/>
                <w:color w:val="000000" w:themeColor="text1"/>
                <w:sz w:val="17"/>
                <w:szCs w:val="17"/>
              </w:rPr>
              <w:t xml:space="preserve"> - </w:t>
            </w:r>
          </w:p>
        </w:tc>
        <w:tc>
          <w:tcPr>
            <w:tcW w:w="1398" w:type="dxa"/>
            <w:tcBorders>
              <w:top w:val="nil"/>
              <w:left w:val="nil"/>
              <w:bottom w:val="single" w:sz="4" w:space="0" w:color="auto"/>
            </w:tcBorders>
            <w:tcMar>
              <w:top w:w="0" w:type="dxa"/>
              <w:left w:w="120" w:type="dxa"/>
              <w:bottom w:w="0" w:type="dxa"/>
              <w:right w:w="120" w:type="dxa"/>
            </w:tcMar>
            <w:vAlign w:val="bottom"/>
          </w:tcPr>
          <w:p w14:paraId="088B54AA" w14:textId="77777777" w:rsidR="00A24724" w:rsidRPr="00C145D7" w:rsidRDefault="00A24724" w:rsidP="00D707D6">
            <w:pPr>
              <w:spacing w:line="240" w:lineRule="exact"/>
              <w:jc w:val="right"/>
              <w:rPr>
                <w:rFonts w:ascii="Arial" w:eastAsia="Arial Unicode MS" w:hAnsi="Arial" w:cs="Arial"/>
                <w:color w:val="000000" w:themeColor="text1"/>
                <w:sz w:val="17"/>
                <w:szCs w:val="17"/>
              </w:rPr>
            </w:pPr>
            <w:r w:rsidRPr="00F959D0">
              <w:rPr>
                <w:rFonts w:ascii="Arial" w:eastAsia="Arial Unicode MS" w:hAnsi="Arial" w:cs="Arial"/>
                <w:color w:val="000000" w:themeColor="text1"/>
                <w:sz w:val="17"/>
                <w:szCs w:val="17"/>
              </w:rPr>
              <w:t xml:space="preserve"> 90.729 </w:t>
            </w:r>
          </w:p>
        </w:tc>
      </w:tr>
      <w:tr w:rsidR="00A24724" w:rsidRPr="00C145D7" w14:paraId="465E1FC1" w14:textId="77777777" w:rsidTr="00D707D6">
        <w:trPr>
          <w:trHeight w:val="314"/>
        </w:trPr>
        <w:tc>
          <w:tcPr>
            <w:tcW w:w="3627" w:type="dxa"/>
            <w:tcMar>
              <w:top w:w="0" w:type="dxa"/>
              <w:left w:w="120" w:type="dxa"/>
              <w:bottom w:w="0" w:type="dxa"/>
              <w:right w:w="120" w:type="dxa"/>
            </w:tcMar>
            <w:vAlign w:val="bottom"/>
          </w:tcPr>
          <w:p w14:paraId="61AC153A" w14:textId="77777777" w:rsidR="00A24724" w:rsidRPr="00C145D7" w:rsidRDefault="00A24724" w:rsidP="00D707D6">
            <w:pPr>
              <w:tabs>
                <w:tab w:val="right" w:pos="1202"/>
              </w:tabs>
              <w:spacing w:line="240" w:lineRule="exact"/>
              <w:outlineLvl w:val="0"/>
              <w:rPr>
                <w:rFonts w:ascii="Arial" w:eastAsia="Calibri" w:hAnsi="Arial" w:cs="Arial"/>
                <w:b/>
                <w:bCs/>
                <w:color w:val="000000" w:themeColor="text1"/>
                <w:sz w:val="17"/>
                <w:szCs w:val="17"/>
              </w:rPr>
            </w:pPr>
            <w:r w:rsidRPr="00C145D7">
              <w:rPr>
                <w:rFonts w:ascii="Arial" w:eastAsia="Calibri" w:hAnsi="Arial" w:cs="Arial"/>
                <w:b/>
                <w:bCs/>
                <w:color w:val="000000" w:themeColor="text1"/>
                <w:sz w:val="17"/>
                <w:szCs w:val="17"/>
              </w:rPr>
              <w:t>Ukupne obveze</w:t>
            </w:r>
          </w:p>
        </w:tc>
        <w:tc>
          <w:tcPr>
            <w:tcW w:w="1536" w:type="dxa"/>
            <w:tcBorders>
              <w:top w:val="single" w:sz="4" w:space="0" w:color="auto"/>
              <w:left w:val="nil"/>
              <w:bottom w:val="single" w:sz="12" w:space="0" w:color="auto"/>
              <w:right w:val="nil"/>
            </w:tcBorders>
            <w:tcMar>
              <w:top w:w="0" w:type="dxa"/>
              <w:left w:w="120" w:type="dxa"/>
              <w:bottom w:w="0" w:type="dxa"/>
              <w:right w:w="120" w:type="dxa"/>
            </w:tcMar>
            <w:vAlign w:val="bottom"/>
          </w:tcPr>
          <w:p w14:paraId="21B72ADD" w14:textId="77777777" w:rsidR="00A24724" w:rsidRPr="00B4232F" w:rsidRDefault="00A24724" w:rsidP="00D707D6">
            <w:pPr>
              <w:spacing w:line="240" w:lineRule="exact"/>
              <w:jc w:val="right"/>
              <w:rPr>
                <w:rFonts w:ascii="Arial" w:eastAsia="Arial Unicode MS" w:hAnsi="Arial" w:cs="Arial"/>
                <w:b/>
                <w:bCs/>
                <w:color w:val="000000" w:themeColor="text1"/>
                <w:sz w:val="17"/>
                <w:szCs w:val="17"/>
              </w:rPr>
            </w:pPr>
            <w:r w:rsidRPr="00F959D0">
              <w:rPr>
                <w:rFonts w:ascii="Arial" w:eastAsia="Arial Unicode MS" w:hAnsi="Arial" w:cs="Arial"/>
                <w:b/>
                <w:bCs/>
                <w:color w:val="000000" w:themeColor="text1"/>
                <w:sz w:val="17"/>
                <w:szCs w:val="17"/>
              </w:rPr>
              <w:t xml:space="preserve"> 2.524.373 </w:t>
            </w:r>
          </w:p>
        </w:tc>
        <w:tc>
          <w:tcPr>
            <w:tcW w:w="1258" w:type="dxa"/>
            <w:tcBorders>
              <w:top w:val="single" w:sz="4" w:space="0" w:color="auto"/>
              <w:left w:val="nil"/>
              <w:bottom w:val="single" w:sz="12" w:space="0" w:color="auto"/>
              <w:right w:val="nil"/>
            </w:tcBorders>
            <w:tcMar>
              <w:top w:w="0" w:type="dxa"/>
              <w:left w:w="120" w:type="dxa"/>
              <w:bottom w:w="0" w:type="dxa"/>
              <w:right w:w="120" w:type="dxa"/>
            </w:tcMar>
            <w:vAlign w:val="bottom"/>
          </w:tcPr>
          <w:p w14:paraId="0AF41D21" w14:textId="77777777" w:rsidR="00A24724" w:rsidRPr="00B4232F" w:rsidRDefault="00A24724" w:rsidP="00D707D6">
            <w:pPr>
              <w:spacing w:line="240" w:lineRule="exact"/>
              <w:jc w:val="right"/>
              <w:rPr>
                <w:rFonts w:ascii="Arial" w:eastAsia="Arial Unicode MS" w:hAnsi="Arial" w:cs="Arial"/>
                <w:b/>
                <w:bCs/>
                <w:color w:val="000000" w:themeColor="text1"/>
                <w:sz w:val="17"/>
                <w:szCs w:val="17"/>
              </w:rPr>
            </w:pPr>
            <w:r w:rsidRPr="00F959D0">
              <w:rPr>
                <w:rFonts w:ascii="Arial" w:eastAsia="Arial Unicode MS" w:hAnsi="Arial" w:cs="Arial"/>
                <w:b/>
                <w:bCs/>
                <w:color w:val="000000" w:themeColor="text1"/>
                <w:sz w:val="17"/>
                <w:szCs w:val="17"/>
              </w:rPr>
              <w:t xml:space="preserve"> 34.429 </w:t>
            </w:r>
          </w:p>
        </w:tc>
        <w:tc>
          <w:tcPr>
            <w:tcW w:w="1536" w:type="dxa"/>
            <w:tcBorders>
              <w:top w:val="single" w:sz="4" w:space="0" w:color="auto"/>
              <w:left w:val="nil"/>
              <w:bottom w:val="single" w:sz="12" w:space="0" w:color="auto"/>
              <w:right w:val="nil"/>
            </w:tcBorders>
            <w:tcMar>
              <w:top w:w="0" w:type="dxa"/>
              <w:left w:w="120" w:type="dxa"/>
              <w:bottom w:w="0" w:type="dxa"/>
              <w:right w:w="120" w:type="dxa"/>
            </w:tcMar>
            <w:vAlign w:val="bottom"/>
          </w:tcPr>
          <w:p w14:paraId="520E4158" w14:textId="77777777" w:rsidR="00A24724" w:rsidRPr="00B4232F" w:rsidRDefault="00A24724" w:rsidP="00D707D6">
            <w:pPr>
              <w:spacing w:line="240" w:lineRule="exact"/>
              <w:jc w:val="right"/>
              <w:rPr>
                <w:rFonts w:ascii="Arial" w:eastAsia="Arial Unicode MS" w:hAnsi="Arial" w:cs="Arial"/>
                <w:b/>
                <w:bCs/>
                <w:color w:val="000000" w:themeColor="text1"/>
                <w:sz w:val="17"/>
                <w:szCs w:val="17"/>
              </w:rPr>
            </w:pPr>
            <w:r w:rsidRPr="00F959D0">
              <w:rPr>
                <w:rFonts w:ascii="Arial" w:eastAsia="Arial Unicode MS" w:hAnsi="Arial" w:cs="Arial"/>
                <w:b/>
                <w:bCs/>
                <w:color w:val="000000" w:themeColor="text1"/>
                <w:sz w:val="17"/>
                <w:szCs w:val="17"/>
              </w:rPr>
              <w:t xml:space="preserve"> 2.359 </w:t>
            </w:r>
          </w:p>
        </w:tc>
        <w:tc>
          <w:tcPr>
            <w:tcW w:w="1398" w:type="dxa"/>
            <w:tcBorders>
              <w:top w:val="single" w:sz="4" w:space="0" w:color="auto"/>
              <w:left w:val="nil"/>
              <w:bottom w:val="single" w:sz="12" w:space="0" w:color="auto"/>
            </w:tcBorders>
            <w:tcMar>
              <w:top w:w="0" w:type="dxa"/>
              <w:left w:w="120" w:type="dxa"/>
              <w:bottom w:w="0" w:type="dxa"/>
              <w:right w:w="120" w:type="dxa"/>
            </w:tcMar>
            <w:vAlign w:val="bottom"/>
          </w:tcPr>
          <w:p w14:paraId="07EDBC51" w14:textId="77777777" w:rsidR="00A24724" w:rsidRPr="00B4232F" w:rsidRDefault="00A24724" w:rsidP="00D707D6">
            <w:pPr>
              <w:spacing w:line="240" w:lineRule="exact"/>
              <w:jc w:val="right"/>
              <w:rPr>
                <w:rFonts w:ascii="Arial" w:eastAsia="Arial Unicode MS" w:hAnsi="Arial" w:cs="Arial"/>
                <w:b/>
                <w:bCs/>
                <w:color w:val="000000" w:themeColor="text1"/>
                <w:sz w:val="17"/>
                <w:szCs w:val="17"/>
              </w:rPr>
            </w:pPr>
            <w:r w:rsidRPr="00F959D0">
              <w:rPr>
                <w:rFonts w:ascii="Arial" w:eastAsia="Arial Unicode MS" w:hAnsi="Arial" w:cs="Arial"/>
                <w:b/>
                <w:bCs/>
                <w:color w:val="000000" w:themeColor="text1"/>
                <w:sz w:val="17"/>
                <w:szCs w:val="17"/>
              </w:rPr>
              <w:t xml:space="preserve"> 2.561.161 </w:t>
            </w:r>
          </w:p>
        </w:tc>
      </w:tr>
      <w:tr w:rsidR="00A24724" w:rsidRPr="00C145D7" w14:paraId="0BFB9A52" w14:textId="77777777" w:rsidTr="00D707D6">
        <w:trPr>
          <w:trHeight w:val="323"/>
        </w:trPr>
        <w:tc>
          <w:tcPr>
            <w:tcW w:w="3627" w:type="dxa"/>
            <w:tcMar>
              <w:top w:w="0" w:type="dxa"/>
              <w:left w:w="120" w:type="dxa"/>
              <w:bottom w:w="0" w:type="dxa"/>
              <w:right w:w="120" w:type="dxa"/>
            </w:tcMar>
            <w:vAlign w:val="bottom"/>
          </w:tcPr>
          <w:p w14:paraId="23F50F06" w14:textId="77777777" w:rsidR="00A24724" w:rsidRPr="00C145D7" w:rsidRDefault="00A24724" w:rsidP="00D707D6">
            <w:pPr>
              <w:spacing w:line="240" w:lineRule="exact"/>
              <w:rPr>
                <w:rFonts w:ascii="Arial" w:hAnsi="Arial" w:cs="Arial"/>
                <w:b/>
                <w:bCs/>
                <w:color w:val="000000" w:themeColor="text1"/>
                <w:sz w:val="17"/>
                <w:szCs w:val="17"/>
              </w:rPr>
            </w:pPr>
            <w:r w:rsidRPr="00C145D7">
              <w:rPr>
                <w:rFonts w:ascii="Arial" w:hAnsi="Arial" w:cs="Arial"/>
                <w:b/>
                <w:bCs/>
                <w:color w:val="000000" w:themeColor="text1"/>
                <w:sz w:val="17"/>
                <w:szCs w:val="17"/>
              </w:rPr>
              <w:t>Valutni jaz</w:t>
            </w:r>
          </w:p>
        </w:tc>
        <w:tc>
          <w:tcPr>
            <w:tcW w:w="1536"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0B4E1FD7" w14:textId="77777777" w:rsidR="00A24724" w:rsidRPr="00C145D7" w:rsidRDefault="00A24724" w:rsidP="00D707D6">
            <w:pPr>
              <w:spacing w:line="240" w:lineRule="exact"/>
              <w:jc w:val="right"/>
              <w:rPr>
                <w:rFonts w:ascii="Arial" w:eastAsia="Arial Unicode MS" w:hAnsi="Arial" w:cs="Arial"/>
                <w:b/>
                <w:bCs/>
                <w:color w:val="000000" w:themeColor="text1"/>
                <w:sz w:val="17"/>
                <w:szCs w:val="17"/>
              </w:rPr>
            </w:pPr>
            <w:r w:rsidRPr="00F959D0">
              <w:rPr>
                <w:rFonts w:ascii="Arial" w:eastAsia="Arial Unicode MS" w:hAnsi="Arial" w:cs="Arial"/>
                <w:b/>
                <w:bCs/>
                <w:color w:val="000000" w:themeColor="text1"/>
                <w:sz w:val="17"/>
                <w:szCs w:val="17"/>
              </w:rPr>
              <w:t xml:space="preserve"> 1.438.221 </w:t>
            </w:r>
          </w:p>
        </w:tc>
        <w:tc>
          <w:tcPr>
            <w:tcW w:w="1258"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4F283998" w14:textId="77777777" w:rsidR="00A24724" w:rsidRPr="00C145D7" w:rsidRDefault="00A24724" w:rsidP="00D707D6">
            <w:pPr>
              <w:spacing w:line="240" w:lineRule="exact"/>
              <w:jc w:val="right"/>
              <w:rPr>
                <w:rFonts w:ascii="Arial" w:eastAsia="Arial Unicode MS" w:hAnsi="Arial" w:cs="Arial"/>
                <w:b/>
                <w:bCs/>
                <w:color w:val="000000" w:themeColor="text1"/>
                <w:sz w:val="17"/>
                <w:szCs w:val="17"/>
              </w:rPr>
            </w:pPr>
            <w:r w:rsidRPr="00F959D0">
              <w:rPr>
                <w:rFonts w:ascii="Arial" w:eastAsia="Arial Unicode MS" w:hAnsi="Arial" w:cs="Arial"/>
                <w:b/>
                <w:bCs/>
                <w:color w:val="000000" w:themeColor="text1"/>
                <w:sz w:val="17"/>
                <w:szCs w:val="17"/>
              </w:rPr>
              <w:t xml:space="preserve"> (549)</w:t>
            </w:r>
          </w:p>
        </w:tc>
        <w:tc>
          <w:tcPr>
            <w:tcW w:w="1536"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553668CA" w14:textId="77777777" w:rsidR="00A24724" w:rsidRPr="00C145D7" w:rsidRDefault="00A24724" w:rsidP="00D707D6">
            <w:pPr>
              <w:spacing w:line="240" w:lineRule="exact"/>
              <w:jc w:val="right"/>
              <w:rPr>
                <w:rFonts w:ascii="Arial" w:eastAsia="Arial Unicode MS" w:hAnsi="Arial" w:cs="Arial"/>
                <w:b/>
                <w:bCs/>
                <w:color w:val="000000" w:themeColor="text1"/>
                <w:sz w:val="17"/>
                <w:szCs w:val="17"/>
              </w:rPr>
            </w:pPr>
            <w:r w:rsidRPr="00F959D0">
              <w:rPr>
                <w:rFonts w:ascii="Arial" w:eastAsia="Arial Unicode MS" w:hAnsi="Arial" w:cs="Arial"/>
                <w:b/>
                <w:bCs/>
                <w:color w:val="000000" w:themeColor="text1"/>
                <w:sz w:val="17"/>
                <w:szCs w:val="17"/>
              </w:rPr>
              <w:t xml:space="preserve"> 19.851 </w:t>
            </w:r>
          </w:p>
        </w:tc>
        <w:tc>
          <w:tcPr>
            <w:tcW w:w="1398" w:type="dxa"/>
            <w:tcBorders>
              <w:top w:val="single" w:sz="12" w:space="0" w:color="auto"/>
              <w:left w:val="nil"/>
              <w:bottom w:val="single" w:sz="12" w:space="0" w:color="auto"/>
            </w:tcBorders>
            <w:shd w:val="clear" w:color="000000" w:fill="auto"/>
            <w:tcMar>
              <w:top w:w="0" w:type="dxa"/>
              <w:left w:w="120" w:type="dxa"/>
              <w:bottom w:w="0" w:type="dxa"/>
              <w:right w:w="120" w:type="dxa"/>
            </w:tcMar>
            <w:vAlign w:val="bottom"/>
          </w:tcPr>
          <w:p w14:paraId="235EEECB" w14:textId="77777777" w:rsidR="00A24724" w:rsidRPr="00C145D7" w:rsidRDefault="00A24724" w:rsidP="00D707D6">
            <w:pPr>
              <w:spacing w:line="240" w:lineRule="exact"/>
              <w:jc w:val="right"/>
              <w:rPr>
                <w:rFonts w:ascii="Arial" w:eastAsia="Arial Unicode MS" w:hAnsi="Arial" w:cs="Arial"/>
                <w:b/>
                <w:bCs/>
                <w:color w:val="000000" w:themeColor="text1"/>
                <w:sz w:val="17"/>
                <w:szCs w:val="17"/>
              </w:rPr>
            </w:pPr>
            <w:r w:rsidRPr="00F959D0">
              <w:rPr>
                <w:rFonts w:ascii="Arial" w:eastAsia="Arial Unicode MS" w:hAnsi="Arial" w:cs="Arial"/>
                <w:b/>
                <w:bCs/>
                <w:color w:val="000000" w:themeColor="text1"/>
                <w:sz w:val="17"/>
                <w:szCs w:val="17"/>
              </w:rPr>
              <w:t xml:space="preserve"> 1.457.523 </w:t>
            </w:r>
          </w:p>
        </w:tc>
      </w:tr>
    </w:tbl>
    <w:p w14:paraId="5B7D4988" w14:textId="77777777" w:rsidR="006A67A0" w:rsidRPr="003D1614" w:rsidRDefault="006A67A0" w:rsidP="006A67A0">
      <w:pPr>
        <w:tabs>
          <w:tab w:val="right" w:pos="1202"/>
        </w:tabs>
        <w:suppressAutoHyphens/>
        <w:autoSpaceDN w:val="0"/>
        <w:jc w:val="both"/>
        <w:outlineLvl w:val="0"/>
        <w:rPr>
          <w:rFonts w:ascii="Arial" w:eastAsia="Times New Roman" w:hAnsi="Arial" w:cs="Arial"/>
          <w:i/>
          <w:color w:val="000000" w:themeColor="text1"/>
          <w:sz w:val="20"/>
          <w:szCs w:val="20"/>
        </w:rPr>
      </w:pPr>
    </w:p>
    <w:p w14:paraId="707ACD81" w14:textId="77777777" w:rsidR="006A67A0" w:rsidRPr="003D1614" w:rsidRDefault="006A67A0" w:rsidP="006A67A0">
      <w:pPr>
        <w:tabs>
          <w:tab w:val="right" w:pos="1202"/>
        </w:tabs>
        <w:suppressAutoHyphens/>
        <w:autoSpaceDN w:val="0"/>
        <w:jc w:val="both"/>
        <w:outlineLvl w:val="0"/>
        <w:rPr>
          <w:rFonts w:ascii="Arial" w:eastAsia="Times New Roman" w:hAnsi="Arial" w:cs="Arial"/>
          <w:i/>
          <w:color w:val="000000" w:themeColor="text1"/>
          <w:sz w:val="18"/>
          <w:szCs w:val="18"/>
        </w:rPr>
      </w:pPr>
    </w:p>
    <w:p w14:paraId="322ACBAB" w14:textId="0B2A2F22" w:rsidR="006A67A0" w:rsidRPr="003D1614" w:rsidRDefault="006A67A0" w:rsidP="006A67A0">
      <w:pPr>
        <w:tabs>
          <w:tab w:val="right" w:pos="1202"/>
        </w:tabs>
        <w:suppressAutoHyphens/>
        <w:autoSpaceDN w:val="0"/>
        <w:jc w:val="both"/>
        <w:outlineLvl w:val="0"/>
        <w:rPr>
          <w:rFonts w:ascii="Arial" w:eastAsia="Times New Roman" w:hAnsi="Arial" w:cs="Arial"/>
          <w:i/>
          <w:color w:val="000000" w:themeColor="text1"/>
          <w:sz w:val="18"/>
          <w:szCs w:val="18"/>
        </w:rPr>
      </w:pPr>
    </w:p>
    <w:p w14:paraId="25776606" w14:textId="2CA96E28" w:rsidR="006A67A0" w:rsidRPr="003D1614" w:rsidRDefault="006A67A0" w:rsidP="006A67A0">
      <w:pPr>
        <w:tabs>
          <w:tab w:val="right" w:pos="1202"/>
        </w:tabs>
        <w:suppressAutoHyphens/>
        <w:autoSpaceDN w:val="0"/>
        <w:jc w:val="both"/>
        <w:outlineLvl w:val="0"/>
        <w:rPr>
          <w:rFonts w:ascii="Arial" w:eastAsia="Times New Roman" w:hAnsi="Arial" w:cs="Arial"/>
          <w:i/>
          <w:color w:val="000000" w:themeColor="text1"/>
          <w:sz w:val="18"/>
          <w:szCs w:val="18"/>
        </w:rPr>
      </w:pPr>
    </w:p>
    <w:p w14:paraId="75E20873" w14:textId="77777777" w:rsidR="006A67A0" w:rsidRPr="003D1614" w:rsidRDefault="006A67A0" w:rsidP="006A67A0">
      <w:pPr>
        <w:tabs>
          <w:tab w:val="right" w:pos="1202"/>
        </w:tabs>
        <w:suppressAutoHyphens/>
        <w:autoSpaceDN w:val="0"/>
        <w:jc w:val="both"/>
        <w:outlineLvl w:val="0"/>
        <w:rPr>
          <w:rFonts w:ascii="Arial" w:eastAsia="Times New Roman" w:hAnsi="Arial" w:cs="Arial"/>
          <w:i/>
          <w:color w:val="000000" w:themeColor="text1"/>
          <w:sz w:val="18"/>
          <w:szCs w:val="18"/>
        </w:rPr>
        <w:sectPr w:rsidR="006A67A0" w:rsidRPr="003D1614" w:rsidSect="003278AB">
          <w:pgSz w:w="11906" w:h="16838"/>
          <w:pgMar w:top="1417" w:right="1417" w:bottom="1417" w:left="1417" w:header="708" w:footer="708" w:gutter="0"/>
          <w:cols w:space="708"/>
          <w:docGrid w:linePitch="360"/>
        </w:sectPr>
      </w:pPr>
    </w:p>
    <w:p w14:paraId="0892B7E9" w14:textId="77777777"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p>
    <w:p w14:paraId="7FA6239B" w14:textId="5C2987ED"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Upravljanje rizicima (nastavak)</w:t>
      </w:r>
    </w:p>
    <w:p w14:paraId="23B0F9D4" w14:textId="77777777"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p>
    <w:p w14:paraId="576D120E" w14:textId="6BA7E4E3"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.5.     Tržišni rizik (nastavak)</w:t>
      </w:r>
    </w:p>
    <w:p w14:paraId="0E5A8D56" w14:textId="77777777"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p>
    <w:p w14:paraId="42ECE573" w14:textId="08E54D4F"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.5.2.  Valutni rizik (nastavak)</w:t>
      </w:r>
    </w:p>
    <w:p w14:paraId="152B3204" w14:textId="77777777" w:rsidR="006A67A0" w:rsidRPr="003D1614" w:rsidRDefault="006A67A0" w:rsidP="006A67A0">
      <w:pPr>
        <w:suppressAutoHyphens/>
        <w:autoSpaceDN w:val="0"/>
        <w:jc w:val="both"/>
        <w:outlineLvl w:val="0"/>
        <w:rPr>
          <w:rFonts w:ascii="Arial" w:eastAsia="Times New Roman" w:hAnsi="Arial" w:cs="Arial"/>
          <w:b/>
          <w:bCs/>
          <w:color w:val="000000" w:themeColor="text1"/>
          <w:sz w:val="20"/>
          <w:szCs w:val="20"/>
        </w:rPr>
      </w:pPr>
    </w:p>
    <w:p w14:paraId="352A70A3" w14:textId="77777777" w:rsidR="006A67A0" w:rsidRPr="003D1614" w:rsidRDefault="006A67A0" w:rsidP="006A67A0">
      <w:pPr>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Analiza osjetljivosti</w:t>
      </w:r>
    </w:p>
    <w:p w14:paraId="382FE4FF" w14:textId="77777777" w:rsidR="006A67A0" w:rsidRPr="003D1614" w:rsidRDefault="006A67A0" w:rsidP="006A67A0">
      <w:pPr>
        <w:suppressAutoHyphens/>
        <w:autoSpaceDN w:val="0"/>
        <w:jc w:val="both"/>
        <w:outlineLvl w:val="0"/>
        <w:rPr>
          <w:rFonts w:ascii="Arial" w:eastAsia="Times New Roman" w:hAnsi="Arial" w:cs="Arial"/>
          <w:b/>
          <w:bCs/>
          <w:color w:val="000000" w:themeColor="text1"/>
          <w:sz w:val="20"/>
          <w:szCs w:val="20"/>
        </w:rPr>
      </w:pPr>
    </w:p>
    <w:p w14:paraId="2070E4ED" w14:textId="77777777" w:rsidR="006A67A0" w:rsidRPr="003D1614" w:rsidRDefault="006A67A0" w:rsidP="006A67A0">
      <w:pPr>
        <w:suppressAutoHyphens/>
        <w:autoSpaceDN w:val="0"/>
        <w:jc w:val="both"/>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 xml:space="preserve">Analiza osjetljivosti ukupne imovine i ukupnih obveza Banke na promjene deviznih tečajeva provodi se za one strane valute koje na izvještajni datum predstavljaju značajnu valutu Banke. </w:t>
      </w:r>
    </w:p>
    <w:p w14:paraId="260B2D38" w14:textId="77777777" w:rsidR="006A67A0" w:rsidRPr="003D1614" w:rsidRDefault="006A67A0" w:rsidP="006A67A0">
      <w:pPr>
        <w:suppressAutoHyphens/>
        <w:autoSpaceDN w:val="0"/>
        <w:jc w:val="both"/>
        <w:rPr>
          <w:rFonts w:ascii="Arial" w:eastAsia="Times New Roman" w:hAnsi="Arial" w:cs="Arial"/>
          <w:bCs/>
          <w:color w:val="000000" w:themeColor="text1"/>
          <w:sz w:val="20"/>
          <w:szCs w:val="20"/>
        </w:rPr>
      </w:pPr>
    </w:p>
    <w:p w14:paraId="15D27E03" w14:textId="05761FA1" w:rsidR="006A67A0" w:rsidRPr="003D1614" w:rsidRDefault="006A67A0" w:rsidP="006A67A0">
      <w:pPr>
        <w:keepNext/>
        <w:suppressAutoHyphens/>
        <w:autoSpaceDN w:val="0"/>
        <w:jc w:val="both"/>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 xml:space="preserve">U analizi osjetljivosti za valutni rizik primijenjena je pretpostavka razumno </w:t>
      </w:r>
      <w:r w:rsidRPr="00A17457">
        <w:rPr>
          <w:rFonts w:ascii="Arial" w:eastAsia="Times New Roman" w:hAnsi="Arial" w:cs="Arial"/>
          <w:bCs/>
          <w:color w:val="000000" w:themeColor="text1"/>
          <w:sz w:val="20"/>
          <w:szCs w:val="20"/>
        </w:rPr>
        <w:t>moguće promjene tečaja</w:t>
      </w:r>
      <w:r w:rsidR="0016387E" w:rsidRPr="00A17457">
        <w:rPr>
          <w:rFonts w:ascii="Arial" w:eastAsia="Times New Roman" w:hAnsi="Arial" w:cs="Arial"/>
          <w:bCs/>
          <w:color w:val="000000" w:themeColor="text1"/>
          <w:sz w:val="20"/>
          <w:szCs w:val="20"/>
        </w:rPr>
        <w:t xml:space="preserve"> USD</w:t>
      </w:r>
      <w:r w:rsidRPr="00A17457">
        <w:rPr>
          <w:rFonts w:ascii="Arial" w:eastAsia="Times New Roman" w:hAnsi="Arial" w:cs="Arial"/>
          <w:bCs/>
          <w:color w:val="000000" w:themeColor="text1"/>
          <w:sz w:val="20"/>
          <w:szCs w:val="20"/>
        </w:rPr>
        <w:t xml:space="preserve"> u odnosu na </w:t>
      </w:r>
      <w:r w:rsidR="0016387E" w:rsidRPr="00A17457">
        <w:rPr>
          <w:rFonts w:ascii="Arial" w:eastAsia="Times New Roman" w:hAnsi="Arial" w:cs="Arial"/>
          <w:bCs/>
          <w:color w:val="000000" w:themeColor="text1"/>
          <w:sz w:val="20"/>
          <w:szCs w:val="20"/>
        </w:rPr>
        <w:t>euro</w:t>
      </w:r>
      <w:r w:rsidRPr="00A17457">
        <w:rPr>
          <w:rFonts w:ascii="Arial" w:eastAsia="Times New Roman" w:hAnsi="Arial" w:cs="Arial"/>
          <w:bCs/>
          <w:color w:val="000000" w:themeColor="text1"/>
          <w:sz w:val="20"/>
          <w:szCs w:val="20"/>
        </w:rPr>
        <w:t>,</w:t>
      </w:r>
      <w:r w:rsidRPr="001A34C1">
        <w:rPr>
          <w:rFonts w:ascii="Arial" w:eastAsia="Times New Roman" w:hAnsi="Arial" w:cs="Arial"/>
          <w:bCs/>
          <w:color w:val="000000" w:themeColor="text1"/>
          <w:sz w:val="20"/>
          <w:szCs w:val="20"/>
        </w:rPr>
        <w:t xml:space="preserve"> uz ostale varijable stabilne, radi procjene hipotetskog utjecaja na dobit HBOR-a na dan </w:t>
      </w:r>
      <w:r w:rsidR="00E16D06" w:rsidRPr="00E16D06">
        <w:rPr>
          <w:rFonts w:ascii="Arial" w:eastAsia="Times New Roman" w:hAnsi="Arial" w:cs="Arial"/>
          <w:bCs/>
          <w:color w:val="000000" w:themeColor="text1"/>
          <w:sz w:val="20"/>
          <w:szCs w:val="20"/>
        </w:rPr>
        <w:t>30. rujna 202</w:t>
      </w:r>
      <w:r w:rsidR="00813889">
        <w:rPr>
          <w:rFonts w:ascii="Arial" w:eastAsia="Times New Roman" w:hAnsi="Arial" w:cs="Arial"/>
          <w:bCs/>
          <w:color w:val="000000" w:themeColor="text1"/>
          <w:sz w:val="20"/>
          <w:szCs w:val="20"/>
        </w:rPr>
        <w:t>4</w:t>
      </w:r>
      <w:r w:rsidR="00E16D06" w:rsidRPr="00E16D06">
        <w:rPr>
          <w:rFonts w:ascii="Arial" w:eastAsia="Times New Roman" w:hAnsi="Arial" w:cs="Arial"/>
          <w:bCs/>
          <w:color w:val="000000" w:themeColor="text1"/>
          <w:sz w:val="20"/>
          <w:szCs w:val="20"/>
        </w:rPr>
        <w:t>.</w:t>
      </w:r>
    </w:p>
    <w:p w14:paraId="4738E333" w14:textId="77777777" w:rsidR="006A67A0" w:rsidRPr="003D1614" w:rsidRDefault="006A67A0" w:rsidP="006A67A0">
      <w:pPr>
        <w:keepNext/>
        <w:suppressAutoHyphens/>
        <w:autoSpaceDN w:val="0"/>
        <w:jc w:val="both"/>
        <w:rPr>
          <w:rFonts w:ascii="Arial" w:eastAsia="Times New Roman" w:hAnsi="Arial" w:cs="Arial"/>
          <w:bCs/>
          <w:color w:val="000000" w:themeColor="text1"/>
          <w:sz w:val="20"/>
          <w:szCs w:val="20"/>
        </w:rPr>
      </w:pPr>
    </w:p>
    <w:p w14:paraId="6C70F883" w14:textId="52652E86" w:rsidR="006A67A0" w:rsidRPr="003D1614" w:rsidRDefault="006A67A0" w:rsidP="006A67A0">
      <w:pPr>
        <w:keepNext/>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bCs/>
          <w:color w:val="000000" w:themeColor="text1"/>
          <w:sz w:val="20"/>
          <w:szCs w:val="20"/>
        </w:rPr>
        <w:t xml:space="preserve">Primjenom metode standardne </w:t>
      </w:r>
      <w:r w:rsidRPr="003D1614">
        <w:rPr>
          <w:rFonts w:ascii="Arial" w:eastAsia="Times New Roman" w:hAnsi="Arial" w:cs="Arial"/>
          <w:color w:val="000000" w:themeColor="text1"/>
          <w:sz w:val="20"/>
          <w:szCs w:val="20"/>
        </w:rPr>
        <w:t>devijacije na promjene tečaja EUR/</w:t>
      </w:r>
      <w:r w:rsidR="0016387E">
        <w:rPr>
          <w:rFonts w:ascii="Arial" w:eastAsia="Times New Roman" w:hAnsi="Arial" w:cs="Arial"/>
          <w:color w:val="000000" w:themeColor="text1"/>
          <w:sz w:val="20"/>
          <w:szCs w:val="20"/>
        </w:rPr>
        <w:t>USD</w:t>
      </w:r>
      <w:r w:rsidRPr="003D1614">
        <w:rPr>
          <w:rFonts w:ascii="Arial" w:eastAsia="Times New Roman" w:hAnsi="Arial" w:cs="Arial"/>
          <w:color w:val="000000" w:themeColor="text1"/>
          <w:sz w:val="20"/>
          <w:szCs w:val="20"/>
        </w:rPr>
        <w:t xml:space="preserve"> utvrđena je volatilnost tečaja EUR/</w:t>
      </w:r>
      <w:r w:rsidR="0016387E">
        <w:rPr>
          <w:rFonts w:ascii="Arial" w:eastAsia="Times New Roman" w:hAnsi="Arial" w:cs="Arial"/>
          <w:color w:val="000000" w:themeColor="text1"/>
          <w:sz w:val="20"/>
          <w:szCs w:val="20"/>
        </w:rPr>
        <w:t>USD</w:t>
      </w:r>
      <w:r w:rsidRPr="003D1614">
        <w:rPr>
          <w:rFonts w:ascii="Arial" w:eastAsia="Times New Roman" w:hAnsi="Arial" w:cs="Arial"/>
          <w:color w:val="000000" w:themeColor="text1"/>
          <w:sz w:val="20"/>
          <w:szCs w:val="20"/>
        </w:rPr>
        <w:t xml:space="preserve"> koja je u razdoblju od prethodnih 12 mjeseci iznosila </w:t>
      </w:r>
      <w:r w:rsidR="002C3AA1">
        <w:rPr>
          <w:rFonts w:ascii="Arial" w:eastAsia="Times New Roman" w:hAnsi="Arial" w:cs="Arial"/>
          <w:color w:val="000000" w:themeColor="text1"/>
          <w:sz w:val="20"/>
          <w:szCs w:val="20"/>
        </w:rPr>
        <w:t>5,90</w:t>
      </w:r>
      <w:r w:rsidRPr="008F3AF9">
        <w:rPr>
          <w:rFonts w:ascii="Arial" w:eastAsia="Times New Roman" w:hAnsi="Arial" w:cs="Arial"/>
          <w:color w:val="000000" w:themeColor="text1"/>
          <w:sz w:val="20"/>
          <w:szCs w:val="20"/>
        </w:rPr>
        <w:t>%.</w:t>
      </w:r>
    </w:p>
    <w:p w14:paraId="44FAA363" w14:textId="77777777" w:rsidR="006A67A0" w:rsidRPr="003D1614" w:rsidRDefault="006A67A0" w:rsidP="006A67A0">
      <w:pPr>
        <w:keepNext/>
        <w:suppressAutoHyphens/>
        <w:autoSpaceDN w:val="0"/>
        <w:jc w:val="both"/>
        <w:rPr>
          <w:rFonts w:ascii="Arial" w:eastAsia="Times New Roman" w:hAnsi="Arial" w:cs="Arial"/>
          <w:color w:val="000000" w:themeColor="text1"/>
          <w:sz w:val="20"/>
          <w:szCs w:val="20"/>
        </w:rPr>
      </w:pPr>
    </w:p>
    <w:p w14:paraId="5E5AF916" w14:textId="2D07DA70" w:rsidR="006A67A0" w:rsidRPr="0016387E" w:rsidRDefault="006A67A0" w:rsidP="006A67A0">
      <w:pPr>
        <w:suppressAutoHyphens/>
        <w:autoSpaceDN w:val="0"/>
        <w:jc w:val="both"/>
        <w:rPr>
          <w:rFonts w:ascii="Arial" w:eastAsia="Times New Roman" w:hAnsi="Arial" w:cs="Arial"/>
          <w:bCs/>
          <w:color w:val="000000" w:themeColor="text1"/>
          <w:sz w:val="20"/>
          <w:szCs w:val="20"/>
        </w:rPr>
      </w:pPr>
      <w:r w:rsidRPr="00A17457">
        <w:rPr>
          <w:rFonts w:ascii="Arial" w:eastAsia="Times New Roman" w:hAnsi="Arial" w:cs="Arial"/>
          <w:bCs/>
          <w:color w:val="000000" w:themeColor="text1"/>
          <w:sz w:val="20"/>
          <w:szCs w:val="20"/>
        </w:rPr>
        <w:t>U nastavku se iskazuje utjecaj pretpostavljene promjene tečaja EUR/</w:t>
      </w:r>
      <w:r w:rsidR="0016387E">
        <w:rPr>
          <w:rFonts w:ascii="Arial" w:eastAsia="Times New Roman" w:hAnsi="Arial" w:cs="Arial"/>
          <w:bCs/>
          <w:color w:val="000000" w:themeColor="text1"/>
          <w:sz w:val="20"/>
          <w:szCs w:val="20"/>
        </w:rPr>
        <w:t>USD</w:t>
      </w:r>
      <w:r w:rsidRPr="002E49B8">
        <w:rPr>
          <w:rFonts w:ascii="Arial" w:eastAsia="Times New Roman" w:hAnsi="Arial" w:cs="Arial"/>
          <w:bCs/>
          <w:color w:val="000000" w:themeColor="text1"/>
          <w:sz w:val="20"/>
          <w:szCs w:val="20"/>
        </w:rPr>
        <w:t xml:space="preserve">, po stavkama ukupne imovine i ukupnih obveza denominiranim ili vezanim uz </w:t>
      </w:r>
      <w:r w:rsidR="0016387E">
        <w:rPr>
          <w:rFonts w:ascii="Arial" w:eastAsia="Times New Roman" w:hAnsi="Arial" w:cs="Arial"/>
          <w:bCs/>
          <w:color w:val="000000" w:themeColor="text1"/>
          <w:sz w:val="20"/>
          <w:szCs w:val="20"/>
        </w:rPr>
        <w:t>USD</w:t>
      </w:r>
      <w:r w:rsidRPr="002E49B8">
        <w:rPr>
          <w:rFonts w:ascii="Arial" w:eastAsia="Times New Roman" w:hAnsi="Arial" w:cs="Arial"/>
          <w:bCs/>
          <w:color w:val="000000" w:themeColor="text1"/>
          <w:sz w:val="20"/>
          <w:szCs w:val="20"/>
        </w:rPr>
        <w:t>,</w:t>
      </w:r>
      <w:r w:rsidRPr="002E49B8" w:rsidDel="007E1CF7">
        <w:rPr>
          <w:rFonts w:ascii="Arial" w:eastAsia="Times New Roman" w:hAnsi="Arial" w:cs="Arial"/>
          <w:bCs/>
          <w:color w:val="000000" w:themeColor="text1"/>
          <w:sz w:val="20"/>
          <w:szCs w:val="20"/>
        </w:rPr>
        <w:t xml:space="preserve"> </w:t>
      </w:r>
      <w:r w:rsidRPr="002E49B8">
        <w:rPr>
          <w:rFonts w:ascii="Arial" w:eastAsia="Times New Roman" w:hAnsi="Arial" w:cs="Arial"/>
          <w:bCs/>
          <w:color w:val="000000" w:themeColor="text1"/>
          <w:sz w:val="20"/>
          <w:szCs w:val="20"/>
        </w:rPr>
        <w:t>na dobit HBOR-a.</w:t>
      </w:r>
    </w:p>
    <w:p w14:paraId="63129EF3" w14:textId="77777777" w:rsidR="006A67A0" w:rsidRPr="0016387E" w:rsidRDefault="006A67A0" w:rsidP="006A67A0">
      <w:pPr>
        <w:suppressAutoHyphens/>
        <w:autoSpaceDN w:val="0"/>
        <w:jc w:val="both"/>
        <w:rPr>
          <w:rFonts w:ascii="Arial" w:eastAsia="Times New Roman" w:hAnsi="Arial" w:cs="Arial"/>
          <w:bCs/>
          <w:color w:val="000000" w:themeColor="text1"/>
          <w:sz w:val="20"/>
          <w:szCs w:val="20"/>
        </w:rPr>
      </w:pPr>
    </w:p>
    <w:p w14:paraId="5C68C7F0" w14:textId="77777777" w:rsidR="006A67A0" w:rsidRPr="0016387E" w:rsidRDefault="006A67A0" w:rsidP="006A67A0">
      <w:pPr>
        <w:suppressAutoHyphens/>
        <w:autoSpaceDN w:val="0"/>
        <w:jc w:val="both"/>
        <w:rPr>
          <w:rFonts w:ascii="Arial" w:eastAsia="Times New Roman" w:hAnsi="Arial" w:cs="Arial"/>
          <w:bCs/>
          <w:color w:val="000000" w:themeColor="text1"/>
          <w:sz w:val="20"/>
          <w:szCs w:val="20"/>
        </w:rPr>
      </w:pPr>
    </w:p>
    <w:tbl>
      <w:tblPr>
        <w:tblW w:w="5000" w:type="pct"/>
        <w:jc w:val="center"/>
        <w:tblLook w:val="01E0" w:firstRow="1" w:lastRow="1" w:firstColumn="1" w:lastColumn="1" w:noHBand="0" w:noVBand="0"/>
      </w:tblPr>
      <w:tblGrid>
        <w:gridCol w:w="1788"/>
        <w:gridCol w:w="1820"/>
        <w:gridCol w:w="1822"/>
        <w:gridCol w:w="1822"/>
        <w:gridCol w:w="1820"/>
      </w:tblGrid>
      <w:tr w:rsidR="004A20F6" w:rsidRPr="0016387E" w14:paraId="601CC2A6" w14:textId="77777777" w:rsidTr="00E168D5">
        <w:trPr>
          <w:trHeight w:hRule="exact" w:val="673"/>
          <w:jc w:val="center"/>
        </w:trPr>
        <w:tc>
          <w:tcPr>
            <w:tcW w:w="985" w:type="pct"/>
          </w:tcPr>
          <w:p w14:paraId="3ACB1F19" w14:textId="77777777" w:rsidR="004A20F6" w:rsidRPr="0016387E" w:rsidRDefault="004A20F6" w:rsidP="004A20F6">
            <w:pPr>
              <w:suppressAutoHyphens/>
              <w:autoSpaceDN w:val="0"/>
              <w:spacing w:before="240" w:after="120" w:line="360" w:lineRule="auto"/>
              <w:rPr>
                <w:rFonts w:ascii="Arial" w:eastAsia="Times New Roman" w:hAnsi="Arial" w:cs="Arial"/>
                <w:b/>
                <w:bCs/>
                <w:color w:val="000000" w:themeColor="text1"/>
                <w:sz w:val="19"/>
                <w:szCs w:val="19"/>
              </w:rPr>
            </w:pPr>
            <w:r w:rsidRPr="0016387E">
              <w:rPr>
                <w:rFonts w:ascii="Arial" w:eastAsia="Times New Roman" w:hAnsi="Arial" w:cs="Arial"/>
                <w:b/>
                <w:bCs/>
                <w:color w:val="000000" w:themeColor="text1"/>
                <w:sz w:val="19"/>
                <w:szCs w:val="19"/>
              </w:rPr>
              <w:t>Valuta</w:t>
            </w:r>
          </w:p>
        </w:tc>
        <w:tc>
          <w:tcPr>
            <w:tcW w:w="1003" w:type="pct"/>
          </w:tcPr>
          <w:p w14:paraId="2E83D0F7" w14:textId="77777777" w:rsidR="004A20F6" w:rsidRPr="0016387E" w:rsidRDefault="004A20F6" w:rsidP="004A20F6">
            <w:pPr>
              <w:suppressAutoHyphens/>
              <w:autoSpaceDN w:val="0"/>
              <w:jc w:val="right"/>
              <w:rPr>
                <w:rFonts w:ascii="Arial" w:eastAsia="Times New Roman" w:hAnsi="Arial" w:cs="Arial"/>
                <w:b/>
                <w:bCs/>
                <w:color w:val="000000" w:themeColor="text1"/>
                <w:sz w:val="19"/>
                <w:szCs w:val="19"/>
              </w:rPr>
            </w:pPr>
            <w:r w:rsidRPr="0016387E">
              <w:rPr>
                <w:rFonts w:ascii="Arial" w:eastAsia="Times New Roman" w:hAnsi="Arial" w:cs="Arial"/>
                <w:b/>
                <w:bCs/>
                <w:color w:val="000000" w:themeColor="text1"/>
                <w:sz w:val="19"/>
                <w:szCs w:val="19"/>
              </w:rPr>
              <w:t>Promjene tečaja valute</w:t>
            </w:r>
          </w:p>
          <w:p w14:paraId="11F2708F" w14:textId="07405B35" w:rsidR="004A20F6" w:rsidRPr="0016387E" w:rsidRDefault="004A20F6" w:rsidP="004A20F6">
            <w:pPr>
              <w:suppressAutoHyphens/>
              <w:autoSpaceDN w:val="0"/>
              <w:jc w:val="right"/>
              <w:rPr>
                <w:rFonts w:ascii="Arial" w:eastAsia="Times New Roman" w:hAnsi="Arial" w:cs="Arial"/>
                <w:b/>
                <w:bCs/>
                <w:color w:val="000000" w:themeColor="text1"/>
                <w:sz w:val="19"/>
                <w:szCs w:val="19"/>
              </w:rPr>
            </w:pPr>
            <w:r w:rsidRPr="0016387E">
              <w:rPr>
                <w:rFonts w:ascii="Arial" w:eastAsia="Times New Roman" w:hAnsi="Arial" w:cs="Arial"/>
                <w:b/>
                <w:bCs/>
                <w:color w:val="000000" w:themeColor="text1"/>
                <w:sz w:val="19"/>
                <w:szCs w:val="19"/>
              </w:rPr>
              <w:t>3</w:t>
            </w:r>
            <w:r>
              <w:rPr>
                <w:rFonts w:ascii="Arial" w:eastAsia="Times New Roman" w:hAnsi="Arial" w:cs="Arial"/>
                <w:b/>
                <w:bCs/>
                <w:color w:val="000000" w:themeColor="text1"/>
                <w:sz w:val="19"/>
                <w:szCs w:val="19"/>
              </w:rPr>
              <w:t>0</w:t>
            </w:r>
            <w:r w:rsidRPr="0016387E">
              <w:rPr>
                <w:rFonts w:ascii="Arial" w:eastAsia="Times New Roman" w:hAnsi="Arial" w:cs="Arial"/>
                <w:b/>
                <w:bCs/>
                <w:color w:val="000000" w:themeColor="text1"/>
                <w:sz w:val="19"/>
                <w:szCs w:val="19"/>
              </w:rPr>
              <w:t>.</w:t>
            </w:r>
            <w:r>
              <w:rPr>
                <w:rFonts w:ascii="Arial" w:eastAsia="Times New Roman" w:hAnsi="Arial" w:cs="Arial"/>
                <w:b/>
                <w:bCs/>
                <w:color w:val="000000" w:themeColor="text1"/>
                <w:sz w:val="19"/>
                <w:szCs w:val="19"/>
              </w:rPr>
              <w:t>9</w:t>
            </w:r>
            <w:r w:rsidRPr="0016387E">
              <w:rPr>
                <w:rFonts w:ascii="Arial" w:eastAsia="Times New Roman" w:hAnsi="Arial" w:cs="Arial"/>
                <w:b/>
                <w:bCs/>
                <w:color w:val="000000" w:themeColor="text1"/>
                <w:sz w:val="19"/>
                <w:szCs w:val="19"/>
              </w:rPr>
              <w:t>.202</w:t>
            </w:r>
            <w:r w:rsidR="00011E94">
              <w:rPr>
                <w:rFonts w:ascii="Arial" w:eastAsia="Times New Roman" w:hAnsi="Arial" w:cs="Arial"/>
                <w:b/>
                <w:bCs/>
                <w:color w:val="000000" w:themeColor="text1"/>
                <w:sz w:val="19"/>
                <w:szCs w:val="19"/>
              </w:rPr>
              <w:t>4</w:t>
            </w:r>
            <w:r w:rsidRPr="0016387E">
              <w:rPr>
                <w:rFonts w:ascii="Arial" w:eastAsia="Times New Roman" w:hAnsi="Arial" w:cs="Arial"/>
                <w:b/>
                <w:bCs/>
                <w:color w:val="000000" w:themeColor="text1"/>
                <w:sz w:val="19"/>
                <w:szCs w:val="19"/>
              </w:rPr>
              <w:t xml:space="preserve">. </w:t>
            </w:r>
          </w:p>
          <w:p w14:paraId="1D74E4EA" w14:textId="4141BCBD" w:rsidR="004A20F6" w:rsidRPr="0016387E" w:rsidRDefault="004A20F6" w:rsidP="004A20F6">
            <w:pPr>
              <w:suppressAutoHyphens/>
              <w:autoSpaceDN w:val="0"/>
              <w:jc w:val="right"/>
              <w:rPr>
                <w:rFonts w:ascii="Arial" w:eastAsia="Times New Roman" w:hAnsi="Arial" w:cs="Arial"/>
                <w:b/>
                <w:bCs/>
                <w:color w:val="000000" w:themeColor="text1"/>
                <w:sz w:val="19"/>
                <w:szCs w:val="19"/>
              </w:rPr>
            </w:pPr>
          </w:p>
        </w:tc>
        <w:tc>
          <w:tcPr>
            <w:tcW w:w="1004" w:type="pct"/>
          </w:tcPr>
          <w:p w14:paraId="2C5D6EB8" w14:textId="77777777" w:rsidR="004A20F6" w:rsidRPr="0016387E" w:rsidRDefault="004A20F6" w:rsidP="004A20F6">
            <w:pPr>
              <w:suppressAutoHyphens/>
              <w:autoSpaceDN w:val="0"/>
              <w:jc w:val="right"/>
              <w:rPr>
                <w:rFonts w:ascii="Arial" w:eastAsia="Times New Roman" w:hAnsi="Arial" w:cs="Arial"/>
                <w:b/>
                <w:bCs/>
                <w:color w:val="000000" w:themeColor="text1"/>
                <w:sz w:val="19"/>
                <w:szCs w:val="19"/>
              </w:rPr>
            </w:pPr>
            <w:r w:rsidRPr="0016387E">
              <w:rPr>
                <w:rFonts w:ascii="Arial" w:eastAsia="Times New Roman" w:hAnsi="Arial" w:cs="Arial"/>
                <w:b/>
                <w:bCs/>
                <w:color w:val="000000" w:themeColor="text1"/>
                <w:sz w:val="19"/>
                <w:szCs w:val="19"/>
              </w:rPr>
              <w:t>Utjecaj na</w:t>
            </w:r>
          </w:p>
          <w:p w14:paraId="562E3642" w14:textId="77777777" w:rsidR="004A20F6" w:rsidRPr="0016387E" w:rsidRDefault="004A20F6" w:rsidP="004A20F6">
            <w:pPr>
              <w:suppressAutoHyphens/>
              <w:autoSpaceDN w:val="0"/>
              <w:jc w:val="right"/>
              <w:rPr>
                <w:rFonts w:ascii="Arial" w:eastAsia="Times New Roman" w:hAnsi="Arial" w:cs="Arial"/>
                <w:b/>
                <w:bCs/>
                <w:color w:val="000000" w:themeColor="text1"/>
                <w:sz w:val="19"/>
                <w:szCs w:val="19"/>
              </w:rPr>
            </w:pPr>
            <w:r w:rsidRPr="0016387E">
              <w:rPr>
                <w:rFonts w:ascii="Arial" w:eastAsia="Times New Roman" w:hAnsi="Arial" w:cs="Arial"/>
                <w:b/>
                <w:bCs/>
                <w:color w:val="000000" w:themeColor="text1"/>
                <w:sz w:val="19"/>
                <w:szCs w:val="19"/>
              </w:rPr>
              <w:t xml:space="preserve"> dobit </w:t>
            </w:r>
          </w:p>
          <w:p w14:paraId="287EAEE4" w14:textId="1BFBDB81" w:rsidR="004A20F6" w:rsidRPr="0016387E" w:rsidRDefault="004A20F6" w:rsidP="004A20F6">
            <w:pPr>
              <w:suppressAutoHyphens/>
              <w:autoSpaceDN w:val="0"/>
              <w:jc w:val="right"/>
              <w:rPr>
                <w:rFonts w:ascii="Arial" w:eastAsia="Times New Roman" w:hAnsi="Arial" w:cs="Arial"/>
                <w:b/>
                <w:bCs/>
                <w:color w:val="000000" w:themeColor="text1"/>
                <w:sz w:val="19"/>
                <w:szCs w:val="19"/>
              </w:rPr>
            </w:pPr>
            <w:r w:rsidRPr="0016387E">
              <w:rPr>
                <w:rFonts w:ascii="Arial" w:eastAsia="Times New Roman" w:hAnsi="Arial" w:cs="Arial"/>
                <w:b/>
                <w:bCs/>
                <w:color w:val="000000" w:themeColor="text1"/>
                <w:sz w:val="19"/>
                <w:szCs w:val="19"/>
              </w:rPr>
              <w:t>3</w:t>
            </w:r>
            <w:r>
              <w:rPr>
                <w:rFonts w:ascii="Arial" w:eastAsia="Times New Roman" w:hAnsi="Arial" w:cs="Arial"/>
                <w:b/>
                <w:bCs/>
                <w:color w:val="000000" w:themeColor="text1"/>
                <w:sz w:val="19"/>
                <w:szCs w:val="19"/>
              </w:rPr>
              <w:t>0</w:t>
            </w:r>
            <w:r w:rsidRPr="0016387E">
              <w:rPr>
                <w:rFonts w:ascii="Arial" w:eastAsia="Times New Roman" w:hAnsi="Arial" w:cs="Arial"/>
                <w:b/>
                <w:bCs/>
                <w:color w:val="000000" w:themeColor="text1"/>
                <w:sz w:val="19"/>
                <w:szCs w:val="19"/>
              </w:rPr>
              <w:t>.</w:t>
            </w:r>
            <w:r>
              <w:rPr>
                <w:rFonts w:ascii="Arial" w:eastAsia="Times New Roman" w:hAnsi="Arial" w:cs="Arial"/>
                <w:b/>
                <w:bCs/>
                <w:color w:val="000000" w:themeColor="text1"/>
                <w:sz w:val="19"/>
                <w:szCs w:val="19"/>
              </w:rPr>
              <w:t>9</w:t>
            </w:r>
            <w:r w:rsidRPr="0016387E">
              <w:rPr>
                <w:rFonts w:ascii="Arial" w:eastAsia="Times New Roman" w:hAnsi="Arial" w:cs="Arial"/>
                <w:b/>
                <w:bCs/>
                <w:color w:val="000000" w:themeColor="text1"/>
                <w:sz w:val="19"/>
                <w:szCs w:val="19"/>
              </w:rPr>
              <w:t>.202</w:t>
            </w:r>
            <w:r w:rsidR="00011E94">
              <w:rPr>
                <w:rFonts w:ascii="Arial" w:eastAsia="Times New Roman" w:hAnsi="Arial" w:cs="Arial"/>
                <w:b/>
                <w:bCs/>
                <w:color w:val="000000" w:themeColor="text1"/>
                <w:sz w:val="19"/>
                <w:szCs w:val="19"/>
              </w:rPr>
              <w:t>4</w:t>
            </w:r>
            <w:r w:rsidRPr="0016387E">
              <w:rPr>
                <w:rFonts w:ascii="Arial" w:eastAsia="Times New Roman" w:hAnsi="Arial" w:cs="Arial"/>
                <w:b/>
                <w:bCs/>
                <w:color w:val="000000" w:themeColor="text1"/>
                <w:sz w:val="19"/>
                <w:szCs w:val="19"/>
              </w:rPr>
              <w:t>.</w:t>
            </w:r>
          </w:p>
        </w:tc>
        <w:tc>
          <w:tcPr>
            <w:tcW w:w="1004" w:type="pct"/>
          </w:tcPr>
          <w:p w14:paraId="47AD7EFA" w14:textId="77777777" w:rsidR="004A20F6" w:rsidRDefault="004A20F6" w:rsidP="004A20F6">
            <w:pPr>
              <w:suppressAutoHyphens/>
              <w:autoSpaceDN w:val="0"/>
              <w:jc w:val="right"/>
              <w:rPr>
                <w:rFonts w:ascii="Arial" w:eastAsia="Times New Roman" w:hAnsi="Arial" w:cs="Arial"/>
                <w:b/>
                <w:bCs/>
                <w:color w:val="000000" w:themeColor="text1"/>
                <w:sz w:val="19"/>
                <w:szCs w:val="19"/>
              </w:rPr>
            </w:pPr>
            <w:r>
              <w:rPr>
                <w:rFonts w:ascii="Arial" w:eastAsia="Times New Roman" w:hAnsi="Arial" w:cs="Arial"/>
                <w:b/>
                <w:bCs/>
                <w:color w:val="000000" w:themeColor="text1"/>
                <w:sz w:val="19"/>
                <w:szCs w:val="19"/>
              </w:rPr>
              <w:t>Promjene tečaja valute</w:t>
            </w:r>
          </w:p>
          <w:p w14:paraId="1F08180D" w14:textId="65ED2040" w:rsidR="004A20F6" w:rsidRPr="0016387E" w:rsidRDefault="004A20F6" w:rsidP="004A20F6">
            <w:pPr>
              <w:suppressAutoHyphens/>
              <w:autoSpaceDN w:val="0"/>
              <w:jc w:val="right"/>
              <w:rPr>
                <w:rFonts w:ascii="Arial" w:eastAsia="Times New Roman" w:hAnsi="Arial" w:cs="Arial"/>
                <w:b/>
                <w:bCs/>
                <w:color w:val="000000" w:themeColor="text1"/>
                <w:sz w:val="19"/>
                <w:szCs w:val="19"/>
              </w:rPr>
            </w:pPr>
            <w:r>
              <w:rPr>
                <w:rFonts w:ascii="Arial" w:eastAsia="Times New Roman" w:hAnsi="Arial" w:cs="Arial"/>
                <w:b/>
                <w:bCs/>
                <w:color w:val="000000" w:themeColor="text1"/>
                <w:sz w:val="19"/>
                <w:szCs w:val="19"/>
              </w:rPr>
              <w:t xml:space="preserve">   31.12.2023.</w:t>
            </w:r>
          </w:p>
        </w:tc>
        <w:tc>
          <w:tcPr>
            <w:tcW w:w="1003" w:type="pct"/>
          </w:tcPr>
          <w:p w14:paraId="54FB1283" w14:textId="77777777" w:rsidR="004A20F6" w:rsidRPr="0016387E" w:rsidRDefault="004A20F6" w:rsidP="004A20F6">
            <w:pPr>
              <w:suppressAutoHyphens/>
              <w:autoSpaceDN w:val="0"/>
              <w:jc w:val="right"/>
              <w:rPr>
                <w:rFonts w:ascii="Arial" w:eastAsia="Times New Roman" w:hAnsi="Arial" w:cs="Arial"/>
                <w:b/>
                <w:bCs/>
                <w:color w:val="000000" w:themeColor="text1"/>
                <w:sz w:val="19"/>
                <w:szCs w:val="19"/>
              </w:rPr>
            </w:pPr>
            <w:r w:rsidRPr="0016387E">
              <w:rPr>
                <w:rFonts w:ascii="Arial" w:eastAsia="Times New Roman" w:hAnsi="Arial" w:cs="Arial"/>
                <w:b/>
                <w:bCs/>
                <w:color w:val="000000" w:themeColor="text1"/>
                <w:sz w:val="19"/>
                <w:szCs w:val="19"/>
              </w:rPr>
              <w:t>Utjecaj na</w:t>
            </w:r>
          </w:p>
          <w:p w14:paraId="3F020E92" w14:textId="77777777" w:rsidR="004A20F6" w:rsidRPr="0016387E" w:rsidRDefault="004A20F6" w:rsidP="004A20F6">
            <w:pPr>
              <w:suppressAutoHyphens/>
              <w:autoSpaceDN w:val="0"/>
              <w:jc w:val="right"/>
              <w:rPr>
                <w:rFonts w:ascii="Arial" w:eastAsia="Times New Roman" w:hAnsi="Arial" w:cs="Arial"/>
                <w:b/>
                <w:bCs/>
                <w:color w:val="000000" w:themeColor="text1"/>
                <w:sz w:val="19"/>
                <w:szCs w:val="19"/>
              </w:rPr>
            </w:pPr>
            <w:r w:rsidRPr="0016387E">
              <w:rPr>
                <w:rFonts w:ascii="Arial" w:eastAsia="Times New Roman" w:hAnsi="Arial" w:cs="Arial"/>
                <w:b/>
                <w:bCs/>
                <w:color w:val="000000" w:themeColor="text1"/>
                <w:sz w:val="19"/>
                <w:szCs w:val="19"/>
              </w:rPr>
              <w:t xml:space="preserve"> dobit </w:t>
            </w:r>
          </w:p>
          <w:p w14:paraId="148F7F8B" w14:textId="4CF5CEDB" w:rsidR="004A20F6" w:rsidRPr="0016387E" w:rsidRDefault="004A20F6" w:rsidP="004A20F6">
            <w:pPr>
              <w:suppressAutoHyphens/>
              <w:autoSpaceDN w:val="0"/>
              <w:jc w:val="right"/>
              <w:rPr>
                <w:rFonts w:ascii="Arial" w:eastAsia="Times New Roman" w:hAnsi="Arial" w:cs="Arial"/>
                <w:b/>
                <w:bCs/>
                <w:color w:val="000000" w:themeColor="text1"/>
                <w:sz w:val="19"/>
                <w:szCs w:val="19"/>
              </w:rPr>
            </w:pPr>
            <w:r w:rsidRPr="0016387E">
              <w:rPr>
                <w:rFonts w:ascii="Arial" w:eastAsia="Times New Roman" w:hAnsi="Arial" w:cs="Arial"/>
                <w:b/>
                <w:bCs/>
                <w:color w:val="000000" w:themeColor="text1"/>
                <w:sz w:val="19"/>
                <w:szCs w:val="19"/>
              </w:rPr>
              <w:t>31.</w:t>
            </w:r>
            <w:r>
              <w:rPr>
                <w:rFonts w:ascii="Arial" w:eastAsia="Times New Roman" w:hAnsi="Arial" w:cs="Arial"/>
                <w:b/>
                <w:bCs/>
                <w:color w:val="000000" w:themeColor="text1"/>
                <w:sz w:val="19"/>
                <w:szCs w:val="19"/>
              </w:rPr>
              <w:t>12</w:t>
            </w:r>
            <w:r w:rsidRPr="0016387E">
              <w:rPr>
                <w:rFonts w:ascii="Arial" w:eastAsia="Times New Roman" w:hAnsi="Arial" w:cs="Arial"/>
                <w:b/>
                <w:bCs/>
                <w:color w:val="000000" w:themeColor="text1"/>
                <w:sz w:val="19"/>
                <w:szCs w:val="19"/>
              </w:rPr>
              <w:t>.2023.</w:t>
            </w:r>
          </w:p>
        </w:tc>
      </w:tr>
      <w:tr w:rsidR="004A20F6" w:rsidRPr="0016387E" w14:paraId="09F6B3AC" w14:textId="77777777" w:rsidTr="00E168D5">
        <w:trPr>
          <w:trHeight w:hRule="exact" w:val="221"/>
          <w:jc w:val="center"/>
        </w:trPr>
        <w:tc>
          <w:tcPr>
            <w:tcW w:w="985" w:type="pct"/>
          </w:tcPr>
          <w:p w14:paraId="4A643B43" w14:textId="77777777" w:rsidR="004A20F6" w:rsidRPr="0016387E" w:rsidRDefault="004A20F6" w:rsidP="004A20F6">
            <w:pPr>
              <w:suppressAutoHyphens/>
              <w:autoSpaceDN w:val="0"/>
              <w:spacing w:line="360" w:lineRule="auto"/>
              <w:jc w:val="both"/>
              <w:rPr>
                <w:rFonts w:ascii="Arial" w:eastAsia="Times New Roman" w:hAnsi="Arial" w:cs="Arial"/>
                <w:bCs/>
                <w:color w:val="000000" w:themeColor="text1"/>
                <w:sz w:val="19"/>
                <w:szCs w:val="19"/>
              </w:rPr>
            </w:pPr>
          </w:p>
        </w:tc>
        <w:tc>
          <w:tcPr>
            <w:tcW w:w="1003" w:type="pct"/>
          </w:tcPr>
          <w:p w14:paraId="024254D5" w14:textId="77777777" w:rsidR="004A20F6" w:rsidRPr="0016387E" w:rsidRDefault="004A20F6" w:rsidP="004A20F6">
            <w:pPr>
              <w:suppressAutoHyphens/>
              <w:autoSpaceDN w:val="0"/>
              <w:spacing w:line="360" w:lineRule="auto"/>
              <w:jc w:val="right"/>
              <w:rPr>
                <w:rFonts w:ascii="Arial" w:eastAsia="Times New Roman" w:hAnsi="Arial" w:cs="Arial"/>
                <w:b/>
                <w:bCs/>
                <w:color w:val="000000" w:themeColor="text1"/>
                <w:sz w:val="19"/>
                <w:szCs w:val="19"/>
              </w:rPr>
            </w:pPr>
            <w:r w:rsidRPr="0016387E">
              <w:rPr>
                <w:rFonts w:ascii="Arial" w:eastAsia="Times New Roman" w:hAnsi="Arial" w:cs="Arial"/>
                <w:b/>
                <w:bCs/>
                <w:color w:val="000000" w:themeColor="text1"/>
                <w:sz w:val="19"/>
                <w:szCs w:val="19"/>
              </w:rPr>
              <w:t>%</w:t>
            </w:r>
          </w:p>
        </w:tc>
        <w:tc>
          <w:tcPr>
            <w:tcW w:w="1004" w:type="pct"/>
            <w:vAlign w:val="center"/>
          </w:tcPr>
          <w:p w14:paraId="45BD1A8A" w14:textId="1AF06D84" w:rsidR="004A20F6" w:rsidRPr="0016387E" w:rsidRDefault="004A20F6" w:rsidP="004A20F6">
            <w:pPr>
              <w:suppressAutoHyphens/>
              <w:autoSpaceDN w:val="0"/>
              <w:spacing w:line="360" w:lineRule="auto"/>
              <w:jc w:val="right"/>
              <w:rPr>
                <w:rFonts w:ascii="Arial" w:eastAsia="Times New Roman" w:hAnsi="Arial" w:cs="Arial"/>
                <w:b/>
                <w:bCs/>
                <w:color w:val="000000" w:themeColor="text1"/>
                <w:sz w:val="19"/>
                <w:szCs w:val="19"/>
              </w:rPr>
            </w:pPr>
            <w:r w:rsidRPr="0016387E">
              <w:rPr>
                <w:rFonts w:ascii="Arial" w:eastAsia="Times New Roman" w:hAnsi="Arial" w:cs="Arial"/>
                <w:b/>
                <w:color w:val="000000" w:themeColor="text1"/>
                <w:sz w:val="19"/>
                <w:szCs w:val="19"/>
              </w:rPr>
              <w:t>000 eura</w:t>
            </w:r>
          </w:p>
        </w:tc>
        <w:tc>
          <w:tcPr>
            <w:tcW w:w="1004" w:type="pct"/>
          </w:tcPr>
          <w:p w14:paraId="02AFEB98" w14:textId="312E42B1" w:rsidR="004A20F6" w:rsidRPr="0016387E" w:rsidRDefault="004A20F6" w:rsidP="004A20F6">
            <w:pPr>
              <w:suppressAutoHyphens/>
              <w:autoSpaceDN w:val="0"/>
              <w:spacing w:line="360" w:lineRule="auto"/>
              <w:jc w:val="right"/>
              <w:rPr>
                <w:rFonts w:ascii="Arial" w:eastAsia="Times New Roman" w:hAnsi="Arial" w:cs="Arial"/>
                <w:b/>
                <w:bCs/>
                <w:color w:val="000000" w:themeColor="text1"/>
                <w:sz w:val="19"/>
                <w:szCs w:val="19"/>
              </w:rPr>
            </w:pPr>
          </w:p>
        </w:tc>
        <w:tc>
          <w:tcPr>
            <w:tcW w:w="1003" w:type="pct"/>
            <w:vAlign w:val="center"/>
          </w:tcPr>
          <w:p w14:paraId="31EDC6F7" w14:textId="56C15EEF" w:rsidR="004A20F6" w:rsidRPr="0016387E" w:rsidRDefault="004A20F6" w:rsidP="004A20F6">
            <w:pPr>
              <w:suppressAutoHyphens/>
              <w:autoSpaceDN w:val="0"/>
              <w:spacing w:line="360" w:lineRule="auto"/>
              <w:jc w:val="right"/>
              <w:rPr>
                <w:rFonts w:ascii="Arial" w:eastAsia="Times New Roman" w:hAnsi="Arial" w:cs="Arial"/>
                <w:b/>
                <w:bCs/>
                <w:color w:val="000000" w:themeColor="text1"/>
                <w:sz w:val="19"/>
                <w:szCs w:val="19"/>
              </w:rPr>
            </w:pPr>
          </w:p>
        </w:tc>
      </w:tr>
      <w:tr w:rsidR="004A20F6" w:rsidRPr="0016387E" w14:paraId="38F45482" w14:textId="77777777" w:rsidTr="00E168D5">
        <w:trPr>
          <w:trHeight w:hRule="exact" w:val="175"/>
          <w:jc w:val="center"/>
        </w:trPr>
        <w:tc>
          <w:tcPr>
            <w:tcW w:w="985" w:type="pct"/>
          </w:tcPr>
          <w:p w14:paraId="585791F8" w14:textId="77777777" w:rsidR="004A20F6" w:rsidRPr="0016387E" w:rsidRDefault="004A20F6" w:rsidP="004A20F6">
            <w:pPr>
              <w:suppressAutoHyphens/>
              <w:autoSpaceDN w:val="0"/>
              <w:spacing w:line="360" w:lineRule="auto"/>
              <w:jc w:val="both"/>
              <w:rPr>
                <w:rFonts w:ascii="Arial" w:eastAsia="Times New Roman" w:hAnsi="Arial" w:cs="Arial"/>
                <w:bCs/>
                <w:color w:val="000000" w:themeColor="text1"/>
                <w:sz w:val="19"/>
                <w:szCs w:val="19"/>
              </w:rPr>
            </w:pPr>
          </w:p>
        </w:tc>
        <w:tc>
          <w:tcPr>
            <w:tcW w:w="1003" w:type="pct"/>
          </w:tcPr>
          <w:p w14:paraId="3287B1AF" w14:textId="77777777" w:rsidR="004A20F6" w:rsidRPr="0016387E" w:rsidRDefault="004A20F6" w:rsidP="004A20F6">
            <w:pPr>
              <w:suppressAutoHyphens/>
              <w:autoSpaceDN w:val="0"/>
              <w:spacing w:line="360" w:lineRule="auto"/>
              <w:jc w:val="center"/>
              <w:rPr>
                <w:rFonts w:ascii="Arial" w:eastAsia="Times New Roman" w:hAnsi="Arial" w:cs="Arial"/>
                <w:bCs/>
                <w:color w:val="000000" w:themeColor="text1"/>
                <w:sz w:val="19"/>
                <w:szCs w:val="19"/>
              </w:rPr>
            </w:pPr>
          </w:p>
        </w:tc>
        <w:tc>
          <w:tcPr>
            <w:tcW w:w="1004" w:type="pct"/>
            <w:vAlign w:val="center"/>
          </w:tcPr>
          <w:p w14:paraId="1AB85135" w14:textId="77777777" w:rsidR="004A20F6" w:rsidRPr="0016387E" w:rsidRDefault="004A20F6" w:rsidP="004A20F6">
            <w:pPr>
              <w:suppressAutoHyphens/>
              <w:autoSpaceDN w:val="0"/>
              <w:spacing w:line="360" w:lineRule="auto"/>
              <w:jc w:val="right"/>
              <w:rPr>
                <w:rFonts w:ascii="Arial" w:eastAsia="Times New Roman" w:hAnsi="Arial" w:cs="Arial"/>
                <w:b/>
                <w:color w:val="000000" w:themeColor="text1"/>
                <w:sz w:val="19"/>
                <w:szCs w:val="19"/>
              </w:rPr>
            </w:pPr>
          </w:p>
        </w:tc>
        <w:tc>
          <w:tcPr>
            <w:tcW w:w="1004" w:type="pct"/>
          </w:tcPr>
          <w:p w14:paraId="2C100E6F" w14:textId="77777777" w:rsidR="004A20F6" w:rsidRPr="0016387E" w:rsidRDefault="004A20F6" w:rsidP="004A20F6">
            <w:pPr>
              <w:suppressAutoHyphens/>
              <w:autoSpaceDN w:val="0"/>
              <w:spacing w:line="360" w:lineRule="auto"/>
              <w:jc w:val="right"/>
              <w:rPr>
                <w:rFonts w:ascii="Arial" w:eastAsia="Times New Roman" w:hAnsi="Arial" w:cs="Arial"/>
                <w:bCs/>
                <w:color w:val="000000" w:themeColor="text1"/>
                <w:sz w:val="19"/>
                <w:szCs w:val="19"/>
              </w:rPr>
            </w:pPr>
          </w:p>
        </w:tc>
        <w:tc>
          <w:tcPr>
            <w:tcW w:w="1003" w:type="pct"/>
            <w:vAlign w:val="center"/>
          </w:tcPr>
          <w:p w14:paraId="7F068A4B" w14:textId="77777777" w:rsidR="004A20F6" w:rsidRPr="0016387E" w:rsidRDefault="004A20F6" w:rsidP="004A20F6">
            <w:pPr>
              <w:suppressAutoHyphens/>
              <w:autoSpaceDN w:val="0"/>
              <w:spacing w:line="360" w:lineRule="auto"/>
              <w:jc w:val="right"/>
              <w:rPr>
                <w:rFonts w:ascii="Arial" w:eastAsia="Times New Roman" w:hAnsi="Arial" w:cs="Arial"/>
                <w:b/>
                <w:color w:val="000000" w:themeColor="text1"/>
                <w:sz w:val="19"/>
                <w:szCs w:val="19"/>
              </w:rPr>
            </w:pPr>
          </w:p>
        </w:tc>
      </w:tr>
      <w:tr w:rsidR="00011E94" w:rsidRPr="0016387E" w14:paraId="1A933693" w14:textId="77777777" w:rsidTr="00E168D5">
        <w:trPr>
          <w:trHeight w:hRule="exact" w:val="284"/>
          <w:jc w:val="center"/>
        </w:trPr>
        <w:tc>
          <w:tcPr>
            <w:tcW w:w="985" w:type="pct"/>
            <w:vAlign w:val="center"/>
          </w:tcPr>
          <w:p w14:paraId="105AE369" w14:textId="5363E079" w:rsidR="00011E94" w:rsidRPr="002E49B8" w:rsidRDefault="00011E94" w:rsidP="00011E94">
            <w:pPr>
              <w:suppressAutoHyphens/>
              <w:autoSpaceDN w:val="0"/>
              <w:spacing w:line="360" w:lineRule="auto"/>
              <w:jc w:val="both"/>
              <w:rPr>
                <w:rFonts w:ascii="Arial" w:eastAsia="Times New Roman" w:hAnsi="Arial" w:cs="Arial"/>
                <w:bCs/>
                <w:color w:val="000000" w:themeColor="text1"/>
                <w:sz w:val="19"/>
                <w:szCs w:val="19"/>
              </w:rPr>
            </w:pPr>
            <w:r>
              <w:rPr>
                <w:rFonts w:ascii="Arial" w:eastAsia="Times New Roman" w:hAnsi="Arial" w:cs="Arial"/>
                <w:bCs/>
                <w:color w:val="000000" w:themeColor="text1"/>
                <w:sz w:val="19"/>
                <w:szCs w:val="19"/>
              </w:rPr>
              <w:t>USD</w:t>
            </w:r>
          </w:p>
        </w:tc>
        <w:tc>
          <w:tcPr>
            <w:tcW w:w="1003" w:type="pct"/>
            <w:vAlign w:val="center"/>
          </w:tcPr>
          <w:p w14:paraId="09D2E101" w14:textId="160261E3" w:rsidR="00011E94" w:rsidRPr="008F3AF9" w:rsidRDefault="004043FF" w:rsidP="00011E94">
            <w:pPr>
              <w:suppressAutoHyphens/>
              <w:autoSpaceDN w:val="0"/>
              <w:jc w:val="right"/>
              <w:outlineLvl w:val="0"/>
              <w:rPr>
                <w:rFonts w:ascii="Arial" w:eastAsia="Times New Roman" w:hAnsi="Arial" w:cs="Arial"/>
                <w:bCs/>
                <w:color w:val="000000" w:themeColor="text1"/>
                <w:sz w:val="19"/>
                <w:szCs w:val="19"/>
              </w:rPr>
            </w:pPr>
            <w:r>
              <w:rPr>
                <w:rFonts w:ascii="Arial" w:eastAsia="Times New Roman" w:hAnsi="Arial" w:cs="Arial"/>
                <w:bCs/>
                <w:color w:val="000000" w:themeColor="text1"/>
                <w:sz w:val="19"/>
                <w:szCs w:val="19"/>
              </w:rPr>
              <w:t>+5,90</w:t>
            </w:r>
          </w:p>
        </w:tc>
        <w:tc>
          <w:tcPr>
            <w:tcW w:w="1004" w:type="pct"/>
            <w:vAlign w:val="center"/>
          </w:tcPr>
          <w:p w14:paraId="7A0E9D21" w14:textId="532A7CEE" w:rsidR="00011E94" w:rsidRPr="008F3AF9" w:rsidRDefault="004043FF" w:rsidP="00011E94">
            <w:pPr>
              <w:suppressAutoHyphens/>
              <w:autoSpaceDN w:val="0"/>
              <w:jc w:val="right"/>
              <w:outlineLvl w:val="0"/>
              <w:rPr>
                <w:rFonts w:ascii="Arial" w:eastAsia="Times New Roman" w:hAnsi="Arial" w:cs="Arial"/>
                <w:bCs/>
                <w:color w:val="000000" w:themeColor="text1"/>
                <w:sz w:val="19"/>
                <w:szCs w:val="19"/>
              </w:rPr>
            </w:pPr>
            <w:r>
              <w:rPr>
                <w:rFonts w:ascii="Arial" w:eastAsia="Times New Roman" w:hAnsi="Arial" w:cs="Arial"/>
                <w:bCs/>
                <w:color w:val="000000" w:themeColor="text1"/>
                <w:sz w:val="19"/>
                <w:szCs w:val="19"/>
              </w:rPr>
              <w:t>45</w:t>
            </w:r>
          </w:p>
        </w:tc>
        <w:tc>
          <w:tcPr>
            <w:tcW w:w="1004" w:type="pct"/>
            <w:vAlign w:val="center"/>
          </w:tcPr>
          <w:p w14:paraId="1DAEFCEB" w14:textId="1C2DC1C2" w:rsidR="00011E94" w:rsidRPr="0016387E" w:rsidRDefault="00011E94" w:rsidP="00011E94">
            <w:pPr>
              <w:suppressAutoHyphens/>
              <w:autoSpaceDN w:val="0"/>
              <w:jc w:val="right"/>
              <w:outlineLvl w:val="0"/>
              <w:rPr>
                <w:rFonts w:ascii="Arial" w:eastAsia="Times New Roman" w:hAnsi="Arial" w:cs="Arial"/>
                <w:bCs/>
                <w:color w:val="000000" w:themeColor="text1"/>
                <w:sz w:val="19"/>
                <w:szCs w:val="19"/>
              </w:rPr>
            </w:pPr>
            <w:r>
              <w:rPr>
                <w:rFonts w:ascii="Arial" w:eastAsia="Times New Roman" w:hAnsi="Arial" w:cs="Arial"/>
                <w:bCs/>
                <w:color w:val="000000" w:themeColor="text1"/>
                <w:sz w:val="19"/>
                <w:szCs w:val="19"/>
              </w:rPr>
              <w:t>+7,39</w:t>
            </w:r>
          </w:p>
        </w:tc>
        <w:tc>
          <w:tcPr>
            <w:tcW w:w="1003" w:type="pct"/>
            <w:vAlign w:val="center"/>
          </w:tcPr>
          <w:p w14:paraId="5D2975A6" w14:textId="226EF72F" w:rsidR="00011E94" w:rsidRPr="0016387E" w:rsidRDefault="00011E94" w:rsidP="00011E94">
            <w:pPr>
              <w:suppressAutoHyphens/>
              <w:autoSpaceDN w:val="0"/>
              <w:jc w:val="right"/>
              <w:outlineLvl w:val="0"/>
              <w:rPr>
                <w:rFonts w:ascii="Arial" w:eastAsia="Times New Roman" w:hAnsi="Arial" w:cs="Arial"/>
                <w:bCs/>
                <w:color w:val="000000" w:themeColor="text1"/>
                <w:sz w:val="19"/>
                <w:szCs w:val="19"/>
              </w:rPr>
            </w:pPr>
            <w:r>
              <w:rPr>
                <w:rFonts w:ascii="Arial" w:eastAsia="Times New Roman" w:hAnsi="Arial" w:cs="Arial"/>
                <w:bCs/>
                <w:color w:val="000000" w:themeColor="text1"/>
                <w:sz w:val="19"/>
                <w:szCs w:val="19"/>
              </w:rPr>
              <w:t>27</w:t>
            </w:r>
          </w:p>
        </w:tc>
      </w:tr>
      <w:tr w:rsidR="00011E94" w:rsidRPr="0016387E" w14:paraId="34CF7F54" w14:textId="77777777" w:rsidTr="00E168D5">
        <w:trPr>
          <w:trHeight w:hRule="exact" w:val="103"/>
          <w:jc w:val="center"/>
        </w:trPr>
        <w:tc>
          <w:tcPr>
            <w:tcW w:w="985" w:type="pct"/>
            <w:vAlign w:val="center"/>
          </w:tcPr>
          <w:p w14:paraId="1CA17401" w14:textId="77777777" w:rsidR="00011E94" w:rsidRPr="00A17457" w:rsidRDefault="00011E94" w:rsidP="00011E94">
            <w:pPr>
              <w:suppressAutoHyphens/>
              <w:autoSpaceDN w:val="0"/>
              <w:spacing w:line="360" w:lineRule="auto"/>
              <w:jc w:val="both"/>
              <w:rPr>
                <w:rFonts w:ascii="Arial" w:eastAsia="Times New Roman" w:hAnsi="Arial" w:cs="Arial"/>
                <w:bCs/>
                <w:color w:val="000000" w:themeColor="text1"/>
                <w:sz w:val="19"/>
                <w:szCs w:val="19"/>
              </w:rPr>
            </w:pPr>
          </w:p>
        </w:tc>
        <w:tc>
          <w:tcPr>
            <w:tcW w:w="1003" w:type="pct"/>
            <w:vAlign w:val="center"/>
          </w:tcPr>
          <w:p w14:paraId="78EC1297" w14:textId="77777777" w:rsidR="00011E94" w:rsidRPr="008F3AF9" w:rsidRDefault="00011E94" w:rsidP="00011E94">
            <w:pPr>
              <w:suppressAutoHyphens/>
              <w:autoSpaceDN w:val="0"/>
              <w:spacing w:line="360" w:lineRule="auto"/>
              <w:jc w:val="right"/>
              <w:rPr>
                <w:rFonts w:ascii="Arial" w:eastAsia="Times New Roman" w:hAnsi="Arial" w:cs="Arial"/>
                <w:bCs/>
                <w:color w:val="000000" w:themeColor="text1"/>
                <w:sz w:val="19"/>
                <w:szCs w:val="19"/>
              </w:rPr>
            </w:pPr>
          </w:p>
        </w:tc>
        <w:tc>
          <w:tcPr>
            <w:tcW w:w="1004" w:type="pct"/>
            <w:vAlign w:val="center"/>
          </w:tcPr>
          <w:p w14:paraId="13922EF5" w14:textId="77777777" w:rsidR="00011E94" w:rsidRPr="008F3AF9" w:rsidRDefault="00011E94" w:rsidP="00011E94">
            <w:pPr>
              <w:suppressAutoHyphens/>
              <w:autoSpaceDN w:val="0"/>
              <w:spacing w:line="360" w:lineRule="auto"/>
              <w:jc w:val="right"/>
              <w:rPr>
                <w:rFonts w:ascii="Arial" w:eastAsia="Times New Roman" w:hAnsi="Arial" w:cs="Arial"/>
                <w:bCs/>
                <w:color w:val="000000" w:themeColor="text1"/>
                <w:sz w:val="19"/>
                <w:szCs w:val="19"/>
              </w:rPr>
            </w:pPr>
          </w:p>
        </w:tc>
        <w:tc>
          <w:tcPr>
            <w:tcW w:w="1004" w:type="pct"/>
            <w:vAlign w:val="center"/>
          </w:tcPr>
          <w:p w14:paraId="6A202978" w14:textId="77777777" w:rsidR="00011E94" w:rsidRPr="0016387E" w:rsidRDefault="00011E94" w:rsidP="00011E94">
            <w:pPr>
              <w:suppressAutoHyphens/>
              <w:autoSpaceDN w:val="0"/>
              <w:jc w:val="right"/>
              <w:outlineLvl w:val="0"/>
              <w:rPr>
                <w:rFonts w:ascii="Arial" w:eastAsia="Times New Roman" w:hAnsi="Arial" w:cs="Arial"/>
                <w:bCs/>
                <w:color w:val="000000" w:themeColor="text1"/>
                <w:sz w:val="19"/>
                <w:szCs w:val="19"/>
              </w:rPr>
            </w:pPr>
          </w:p>
        </w:tc>
        <w:tc>
          <w:tcPr>
            <w:tcW w:w="1003" w:type="pct"/>
            <w:vAlign w:val="center"/>
          </w:tcPr>
          <w:p w14:paraId="6EE3D0D5" w14:textId="77777777" w:rsidR="00011E94" w:rsidRPr="0016387E" w:rsidRDefault="00011E94" w:rsidP="00011E94">
            <w:pPr>
              <w:suppressAutoHyphens/>
              <w:autoSpaceDN w:val="0"/>
              <w:jc w:val="right"/>
              <w:outlineLvl w:val="0"/>
              <w:rPr>
                <w:rFonts w:ascii="Arial" w:eastAsia="Times New Roman" w:hAnsi="Arial" w:cs="Arial"/>
                <w:bCs/>
                <w:color w:val="000000" w:themeColor="text1"/>
                <w:sz w:val="19"/>
                <w:szCs w:val="19"/>
              </w:rPr>
            </w:pPr>
          </w:p>
        </w:tc>
      </w:tr>
      <w:tr w:rsidR="00011E94" w:rsidRPr="003D1614" w14:paraId="2B5BF46D" w14:textId="77777777" w:rsidTr="00E168D5">
        <w:trPr>
          <w:trHeight w:hRule="exact" w:val="284"/>
          <w:jc w:val="center"/>
        </w:trPr>
        <w:tc>
          <w:tcPr>
            <w:tcW w:w="985" w:type="pct"/>
            <w:vAlign w:val="center"/>
          </w:tcPr>
          <w:p w14:paraId="17548E6A" w14:textId="65202B47" w:rsidR="00011E94" w:rsidRPr="002E49B8" w:rsidRDefault="00011E94" w:rsidP="00011E94">
            <w:pPr>
              <w:suppressAutoHyphens/>
              <w:autoSpaceDN w:val="0"/>
              <w:spacing w:line="360" w:lineRule="auto"/>
              <w:jc w:val="both"/>
              <w:rPr>
                <w:rFonts w:ascii="Arial" w:eastAsia="Times New Roman" w:hAnsi="Arial" w:cs="Arial"/>
                <w:bCs/>
                <w:color w:val="000000" w:themeColor="text1"/>
                <w:sz w:val="19"/>
                <w:szCs w:val="19"/>
              </w:rPr>
            </w:pPr>
            <w:r>
              <w:rPr>
                <w:rFonts w:ascii="Arial" w:eastAsia="Times New Roman" w:hAnsi="Arial" w:cs="Arial"/>
                <w:bCs/>
                <w:color w:val="000000" w:themeColor="text1"/>
                <w:sz w:val="19"/>
                <w:szCs w:val="19"/>
              </w:rPr>
              <w:t>USD</w:t>
            </w:r>
          </w:p>
        </w:tc>
        <w:tc>
          <w:tcPr>
            <w:tcW w:w="1003" w:type="pct"/>
            <w:vAlign w:val="center"/>
          </w:tcPr>
          <w:p w14:paraId="21E82445" w14:textId="4E0184FB" w:rsidR="00011E94" w:rsidRPr="008F3AF9" w:rsidRDefault="004043FF" w:rsidP="00011E94">
            <w:pPr>
              <w:suppressAutoHyphens/>
              <w:autoSpaceDN w:val="0"/>
              <w:jc w:val="right"/>
              <w:outlineLvl w:val="0"/>
              <w:rPr>
                <w:rFonts w:ascii="Arial" w:eastAsia="Times New Roman" w:hAnsi="Arial" w:cs="Arial"/>
                <w:bCs/>
                <w:color w:val="000000" w:themeColor="text1"/>
                <w:sz w:val="19"/>
                <w:szCs w:val="19"/>
              </w:rPr>
            </w:pPr>
            <w:r>
              <w:rPr>
                <w:rFonts w:ascii="Arial" w:eastAsia="Times New Roman" w:hAnsi="Arial" w:cs="Arial"/>
                <w:bCs/>
                <w:color w:val="000000" w:themeColor="text1"/>
                <w:sz w:val="19"/>
                <w:szCs w:val="19"/>
              </w:rPr>
              <w:t>-5,90</w:t>
            </w:r>
          </w:p>
        </w:tc>
        <w:tc>
          <w:tcPr>
            <w:tcW w:w="1004" w:type="pct"/>
            <w:vAlign w:val="center"/>
          </w:tcPr>
          <w:p w14:paraId="61C4218A" w14:textId="293028F5" w:rsidR="00011E94" w:rsidRPr="008F3AF9" w:rsidRDefault="004043FF" w:rsidP="00011E94">
            <w:pPr>
              <w:suppressAutoHyphens/>
              <w:autoSpaceDN w:val="0"/>
              <w:jc w:val="right"/>
              <w:outlineLvl w:val="0"/>
              <w:rPr>
                <w:rFonts w:ascii="Arial" w:eastAsia="Times New Roman" w:hAnsi="Arial" w:cs="Arial"/>
                <w:bCs/>
                <w:color w:val="000000" w:themeColor="text1"/>
                <w:sz w:val="19"/>
                <w:szCs w:val="19"/>
              </w:rPr>
            </w:pPr>
            <w:r>
              <w:rPr>
                <w:rFonts w:ascii="Arial" w:eastAsia="Times New Roman" w:hAnsi="Arial" w:cs="Arial"/>
                <w:bCs/>
                <w:color w:val="000000" w:themeColor="text1"/>
                <w:sz w:val="19"/>
                <w:szCs w:val="19"/>
              </w:rPr>
              <w:t>(50)</w:t>
            </w:r>
          </w:p>
        </w:tc>
        <w:tc>
          <w:tcPr>
            <w:tcW w:w="1004" w:type="pct"/>
            <w:vAlign w:val="center"/>
          </w:tcPr>
          <w:p w14:paraId="3C4786FF" w14:textId="160D9966" w:rsidR="00011E94" w:rsidRPr="003D1614" w:rsidRDefault="00011E94" w:rsidP="00011E94">
            <w:pPr>
              <w:suppressAutoHyphens/>
              <w:autoSpaceDN w:val="0"/>
              <w:jc w:val="right"/>
              <w:outlineLvl w:val="0"/>
              <w:rPr>
                <w:rFonts w:ascii="Arial" w:eastAsia="Times New Roman" w:hAnsi="Arial" w:cs="Arial"/>
                <w:bCs/>
                <w:color w:val="000000" w:themeColor="text1"/>
                <w:sz w:val="19"/>
                <w:szCs w:val="19"/>
              </w:rPr>
            </w:pPr>
            <w:r>
              <w:rPr>
                <w:rFonts w:ascii="Arial" w:eastAsia="Times New Roman" w:hAnsi="Arial" w:cs="Arial"/>
                <w:bCs/>
                <w:color w:val="000000" w:themeColor="text1"/>
                <w:sz w:val="19"/>
                <w:szCs w:val="19"/>
              </w:rPr>
              <w:t>-7,39</w:t>
            </w:r>
          </w:p>
        </w:tc>
        <w:tc>
          <w:tcPr>
            <w:tcW w:w="1003" w:type="pct"/>
            <w:vAlign w:val="center"/>
          </w:tcPr>
          <w:p w14:paraId="1F12B2A4" w14:textId="22C290EF" w:rsidR="00011E94" w:rsidRPr="003D1614" w:rsidRDefault="00011E94" w:rsidP="00011E94">
            <w:pPr>
              <w:suppressAutoHyphens/>
              <w:autoSpaceDN w:val="0"/>
              <w:jc w:val="right"/>
              <w:outlineLvl w:val="0"/>
              <w:rPr>
                <w:rFonts w:ascii="Arial" w:eastAsia="Times New Roman" w:hAnsi="Arial" w:cs="Arial"/>
                <w:bCs/>
                <w:color w:val="000000" w:themeColor="text1"/>
                <w:sz w:val="19"/>
                <w:szCs w:val="19"/>
              </w:rPr>
            </w:pPr>
            <w:r>
              <w:rPr>
                <w:rFonts w:ascii="Arial" w:eastAsia="Times New Roman" w:hAnsi="Arial" w:cs="Arial"/>
                <w:bCs/>
                <w:color w:val="000000" w:themeColor="text1"/>
                <w:sz w:val="19"/>
                <w:szCs w:val="19"/>
              </w:rPr>
              <w:t>(52)</w:t>
            </w:r>
          </w:p>
        </w:tc>
      </w:tr>
    </w:tbl>
    <w:p w14:paraId="01BCD1F1" w14:textId="77777777" w:rsidR="006A67A0" w:rsidRPr="003D1614" w:rsidRDefault="006A67A0" w:rsidP="006A67A0">
      <w:pPr>
        <w:suppressAutoHyphens/>
        <w:autoSpaceDN w:val="0"/>
        <w:jc w:val="both"/>
        <w:rPr>
          <w:rFonts w:ascii="Arial" w:eastAsia="Times New Roman" w:hAnsi="Arial" w:cs="Arial"/>
          <w:b/>
          <w:color w:val="000000" w:themeColor="text1"/>
        </w:rPr>
      </w:pPr>
    </w:p>
    <w:p w14:paraId="773D6B93" w14:textId="77777777" w:rsidR="00E168D5" w:rsidRPr="003D1614" w:rsidRDefault="00E168D5" w:rsidP="006A67A0">
      <w:pPr>
        <w:tabs>
          <w:tab w:val="right" w:pos="1202"/>
        </w:tabs>
        <w:suppressAutoHyphens/>
        <w:autoSpaceDN w:val="0"/>
        <w:jc w:val="both"/>
        <w:outlineLvl w:val="0"/>
        <w:rPr>
          <w:rFonts w:ascii="Arial" w:eastAsia="Times New Roman" w:hAnsi="Arial" w:cs="Arial"/>
          <w:i/>
          <w:color w:val="000000" w:themeColor="text1"/>
          <w:sz w:val="18"/>
          <w:szCs w:val="18"/>
        </w:rPr>
        <w:sectPr w:rsidR="00E168D5" w:rsidRPr="003D1614" w:rsidSect="003278AB">
          <w:pgSz w:w="11906" w:h="16838"/>
          <w:pgMar w:top="1417" w:right="1417" w:bottom="1417" w:left="1417" w:header="708" w:footer="708" w:gutter="0"/>
          <w:cols w:space="708"/>
          <w:docGrid w:linePitch="360"/>
        </w:sectPr>
      </w:pPr>
    </w:p>
    <w:p w14:paraId="14392C88" w14:textId="77777777" w:rsidR="00CA60FA" w:rsidRPr="003D1614" w:rsidRDefault="00CA60FA" w:rsidP="00CA60FA">
      <w:pPr>
        <w:keepNext/>
        <w:suppressAutoHyphens/>
        <w:autoSpaceDN w:val="0"/>
        <w:ind w:left="709" w:hanging="709"/>
        <w:jc w:val="both"/>
        <w:outlineLvl w:val="0"/>
        <w:rPr>
          <w:rFonts w:ascii="Arial" w:eastAsia="Times New Roman" w:hAnsi="Arial" w:cs="Arial"/>
          <w:b/>
          <w:bCs/>
          <w:color w:val="000000" w:themeColor="text1"/>
          <w:sz w:val="14"/>
          <w:szCs w:val="16"/>
        </w:rPr>
      </w:pPr>
    </w:p>
    <w:p w14:paraId="706E1AEB" w14:textId="4E14A146" w:rsidR="00CA60FA" w:rsidRPr="003D1614" w:rsidRDefault="00CA60FA" w:rsidP="00CA60FA">
      <w:pPr>
        <w:keepNext/>
        <w:suppressAutoHyphens/>
        <w:autoSpaceDN w:val="0"/>
        <w:ind w:left="709" w:hanging="709"/>
        <w:jc w:val="both"/>
        <w:outlineLvl w:val="0"/>
        <w:rPr>
          <w:rFonts w:ascii="Arial" w:eastAsia="Times New Roman" w:hAnsi="Arial" w:cs="Arial"/>
          <w:b/>
          <w:bCs/>
          <w:color w:val="000000" w:themeColor="text1"/>
          <w:spacing w:val="-3"/>
          <w:sz w:val="20"/>
          <w:szCs w:val="20"/>
        </w:rPr>
      </w:pPr>
      <w:r w:rsidRPr="003D1614">
        <w:rPr>
          <w:rFonts w:ascii="Arial" w:eastAsia="Times New Roman" w:hAnsi="Arial" w:cs="Arial"/>
          <w:b/>
          <w:bCs/>
          <w:color w:val="000000" w:themeColor="text1"/>
          <w:spacing w:val="-3"/>
          <w:sz w:val="20"/>
          <w:szCs w:val="20"/>
        </w:rPr>
        <w:t>2</w:t>
      </w:r>
      <w:r w:rsidR="00C55B0C">
        <w:rPr>
          <w:rFonts w:ascii="Arial" w:eastAsia="Times New Roman" w:hAnsi="Arial" w:cs="Arial"/>
          <w:b/>
          <w:bCs/>
          <w:color w:val="000000" w:themeColor="text1"/>
          <w:spacing w:val="-3"/>
          <w:sz w:val="20"/>
          <w:szCs w:val="20"/>
        </w:rPr>
        <w:t>4</w:t>
      </w:r>
      <w:r w:rsidRPr="003D1614">
        <w:rPr>
          <w:rFonts w:ascii="Arial" w:eastAsia="Times New Roman" w:hAnsi="Arial" w:cs="Arial"/>
          <w:b/>
          <w:bCs/>
          <w:color w:val="000000" w:themeColor="text1"/>
          <w:spacing w:val="-3"/>
          <w:sz w:val="20"/>
          <w:szCs w:val="20"/>
        </w:rPr>
        <w:t xml:space="preserve">. </w:t>
      </w:r>
      <w:r w:rsidRPr="003D1614">
        <w:rPr>
          <w:rFonts w:ascii="Arial" w:eastAsia="Times New Roman" w:hAnsi="Arial" w:cs="Arial"/>
          <w:b/>
          <w:bCs/>
          <w:color w:val="000000" w:themeColor="text1"/>
          <w:spacing w:val="-3"/>
          <w:sz w:val="20"/>
          <w:szCs w:val="20"/>
        </w:rPr>
        <w:tab/>
        <w:t>Fer vrijednost financijske imovine i financijskih obveza</w:t>
      </w:r>
    </w:p>
    <w:p w14:paraId="4B0BAE72" w14:textId="77777777" w:rsidR="00CA60FA" w:rsidRPr="003D1614" w:rsidRDefault="00CA60FA" w:rsidP="00CA60FA">
      <w:pPr>
        <w:keepNext/>
        <w:suppressAutoHyphens/>
        <w:autoSpaceDN w:val="0"/>
        <w:ind w:left="709" w:hanging="709"/>
        <w:jc w:val="both"/>
        <w:outlineLvl w:val="0"/>
        <w:rPr>
          <w:rFonts w:ascii="Arial" w:eastAsia="Times New Roman" w:hAnsi="Arial" w:cs="Arial"/>
          <w:bCs/>
          <w:color w:val="000000" w:themeColor="text1"/>
          <w:spacing w:val="-3"/>
          <w:sz w:val="12"/>
          <w:szCs w:val="12"/>
        </w:rPr>
      </w:pPr>
    </w:p>
    <w:p w14:paraId="1A3015AC" w14:textId="77777777" w:rsidR="00CA60FA" w:rsidRPr="003D1614" w:rsidRDefault="00CA60FA" w:rsidP="00CA60FA">
      <w:pPr>
        <w:keepNext/>
        <w:suppressAutoHyphens/>
        <w:autoSpaceDN w:val="0"/>
        <w:ind w:left="709" w:hanging="709"/>
        <w:jc w:val="both"/>
        <w:outlineLvl w:val="0"/>
        <w:rPr>
          <w:rFonts w:ascii="Arial" w:eastAsia="Times New Roman" w:hAnsi="Arial" w:cs="Arial"/>
          <w:bCs/>
          <w:color w:val="000000" w:themeColor="text1"/>
          <w:spacing w:val="-3"/>
          <w:sz w:val="20"/>
          <w:szCs w:val="20"/>
        </w:rPr>
      </w:pPr>
      <w:r w:rsidRPr="003D1614">
        <w:rPr>
          <w:rFonts w:ascii="Arial" w:eastAsia="Times New Roman" w:hAnsi="Arial" w:cs="Arial"/>
          <w:bCs/>
          <w:color w:val="000000" w:themeColor="text1"/>
          <w:spacing w:val="-3"/>
          <w:sz w:val="20"/>
          <w:szCs w:val="20"/>
        </w:rPr>
        <w:t>Računovodstvena politika mjerenja fer vrijednosti opisana je u bilješci 4.1.</w:t>
      </w:r>
    </w:p>
    <w:p w14:paraId="41BC1B2F" w14:textId="77777777" w:rsidR="00CA60FA" w:rsidRPr="003D1614" w:rsidRDefault="00CA60FA" w:rsidP="00CA60FA">
      <w:pPr>
        <w:keepNext/>
        <w:suppressAutoHyphens/>
        <w:autoSpaceDN w:val="0"/>
        <w:ind w:left="709" w:hanging="709"/>
        <w:jc w:val="both"/>
        <w:outlineLvl w:val="0"/>
        <w:rPr>
          <w:rFonts w:ascii="Arial" w:eastAsia="Times New Roman" w:hAnsi="Arial" w:cs="Arial"/>
          <w:b/>
          <w:bCs/>
          <w:color w:val="000000" w:themeColor="text1"/>
          <w:spacing w:val="-3"/>
          <w:sz w:val="14"/>
          <w:szCs w:val="14"/>
        </w:rPr>
      </w:pPr>
    </w:p>
    <w:p w14:paraId="686BC0A6" w14:textId="105D5A52" w:rsidR="00CA60FA" w:rsidRPr="003D1614" w:rsidRDefault="00CA60FA" w:rsidP="00CA60FA">
      <w:pPr>
        <w:keepNext/>
        <w:suppressAutoHyphens/>
        <w:autoSpaceDN w:val="0"/>
        <w:ind w:left="709" w:hanging="709"/>
        <w:jc w:val="both"/>
        <w:outlineLvl w:val="0"/>
        <w:rPr>
          <w:rFonts w:ascii="Arial" w:eastAsia="Times New Roman" w:hAnsi="Arial" w:cs="Arial"/>
          <w:b/>
          <w:bCs/>
          <w:color w:val="000000" w:themeColor="text1"/>
          <w:spacing w:val="-3"/>
          <w:sz w:val="20"/>
          <w:szCs w:val="20"/>
        </w:rPr>
      </w:pPr>
      <w:r w:rsidRPr="003D1614">
        <w:rPr>
          <w:rFonts w:ascii="Arial" w:eastAsia="Times New Roman" w:hAnsi="Arial" w:cs="Arial"/>
          <w:b/>
          <w:bCs/>
          <w:color w:val="000000" w:themeColor="text1"/>
          <w:spacing w:val="-3"/>
          <w:sz w:val="20"/>
          <w:szCs w:val="20"/>
        </w:rPr>
        <w:t>2</w:t>
      </w:r>
      <w:r w:rsidR="00C55B0C">
        <w:rPr>
          <w:rFonts w:ascii="Arial" w:eastAsia="Times New Roman" w:hAnsi="Arial" w:cs="Arial"/>
          <w:b/>
          <w:bCs/>
          <w:color w:val="000000" w:themeColor="text1"/>
          <w:spacing w:val="-3"/>
          <w:sz w:val="20"/>
          <w:szCs w:val="20"/>
        </w:rPr>
        <w:t>4</w:t>
      </w:r>
      <w:r w:rsidRPr="003D1614">
        <w:rPr>
          <w:rFonts w:ascii="Arial" w:eastAsia="Times New Roman" w:hAnsi="Arial" w:cs="Arial"/>
          <w:b/>
          <w:bCs/>
          <w:color w:val="000000" w:themeColor="text1"/>
          <w:spacing w:val="-3"/>
          <w:sz w:val="20"/>
          <w:szCs w:val="20"/>
        </w:rPr>
        <w:t xml:space="preserve">.1. </w:t>
      </w:r>
      <w:r w:rsidRPr="003D1614">
        <w:rPr>
          <w:rFonts w:ascii="Arial" w:eastAsia="Times New Roman" w:hAnsi="Arial" w:cs="Arial"/>
          <w:b/>
          <w:bCs/>
          <w:color w:val="000000" w:themeColor="text1"/>
          <w:spacing w:val="-3"/>
          <w:sz w:val="20"/>
          <w:szCs w:val="20"/>
        </w:rPr>
        <w:tab/>
        <w:t xml:space="preserve">Fer vrijednost financijske imovine i financijskih obveza koji se vode po fer vrijednosti </w:t>
      </w:r>
    </w:p>
    <w:p w14:paraId="08CA93B3" w14:textId="77777777" w:rsidR="00CA60FA" w:rsidRPr="003D1614" w:rsidRDefault="00CA60FA" w:rsidP="00CA60FA">
      <w:pPr>
        <w:keepNext/>
        <w:suppressAutoHyphens/>
        <w:autoSpaceDN w:val="0"/>
        <w:jc w:val="both"/>
        <w:outlineLvl w:val="0"/>
        <w:rPr>
          <w:rFonts w:ascii="Arial" w:eastAsia="Times New Roman" w:hAnsi="Arial" w:cs="Arial"/>
          <w:color w:val="000000" w:themeColor="text1"/>
          <w:spacing w:val="-3"/>
          <w:sz w:val="12"/>
          <w:szCs w:val="12"/>
        </w:rPr>
      </w:pPr>
    </w:p>
    <w:p w14:paraId="5E90E303" w14:textId="6744EACC" w:rsidR="00CA60FA" w:rsidRPr="003D1614" w:rsidRDefault="00CA60FA" w:rsidP="00CA60FA">
      <w:pPr>
        <w:keepNext/>
        <w:suppressAutoHyphens/>
        <w:autoSpaceDN w:val="0"/>
        <w:jc w:val="both"/>
        <w:outlineLvl w:val="0"/>
        <w:rPr>
          <w:rFonts w:ascii="Arial" w:eastAsia="Times New Roman" w:hAnsi="Arial" w:cs="Arial"/>
          <w:color w:val="000000" w:themeColor="text1"/>
          <w:spacing w:val="-3"/>
          <w:sz w:val="20"/>
          <w:szCs w:val="20"/>
        </w:rPr>
      </w:pPr>
      <w:r w:rsidRPr="003D1614">
        <w:rPr>
          <w:rFonts w:ascii="Arial" w:eastAsia="Times New Roman" w:hAnsi="Arial" w:cs="Arial"/>
          <w:color w:val="000000" w:themeColor="text1"/>
          <w:spacing w:val="-3"/>
          <w:sz w:val="20"/>
          <w:szCs w:val="20"/>
        </w:rPr>
        <w:t xml:space="preserve">Tabele u nastavku daju prikaz financijske imovine po fer vrijednosti po razinama temeljem MSFI 9 klasifikacije na dan </w:t>
      </w:r>
      <w:r w:rsidR="00E16D06" w:rsidRPr="00E16D06">
        <w:rPr>
          <w:rFonts w:ascii="Arial" w:eastAsia="Times New Roman" w:hAnsi="Arial" w:cs="Arial"/>
          <w:color w:val="000000" w:themeColor="text1"/>
          <w:spacing w:val="-3"/>
          <w:sz w:val="20"/>
          <w:szCs w:val="20"/>
        </w:rPr>
        <w:t>30. rujna 202</w:t>
      </w:r>
      <w:r w:rsidR="00D11A5A">
        <w:rPr>
          <w:rFonts w:ascii="Arial" w:eastAsia="Times New Roman" w:hAnsi="Arial" w:cs="Arial"/>
          <w:color w:val="000000" w:themeColor="text1"/>
          <w:spacing w:val="-3"/>
          <w:sz w:val="20"/>
          <w:szCs w:val="20"/>
        </w:rPr>
        <w:t>4</w:t>
      </w:r>
      <w:r w:rsidR="00E16D06" w:rsidRPr="00E16D06">
        <w:rPr>
          <w:rFonts w:ascii="Arial" w:eastAsia="Times New Roman" w:hAnsi="Arial" w:cs="Arial"/>
          <w:color w:val="000000" w:themeColor="text1"/>
          <w:spacing w:val="-3"/>
          <w:sz w:val="20"/>
          <w:szCs w:val="20"/>
        </w:rPr>
        <w:t>.</w:t>
      </w:r>
      <w:r w:rsidR="00E16D06">
        <w:rPr>
          <w:rFonts w:ascii="Arial" w:eastAsia="Times New Roman" w:hAnsi="Arial" w:cs="Arial"/>
          <w:color w:val="000000" w:themeColor="text1"/>
          <w:spacing w:val="-3"/>
          <w:sz w:val="20"/>
          <w:szCs w:val="20"/>
        </w:rPr>
        <w:t xml:space="preserve"> </w:t>
      </w:r>
      <w:r w:rsidRPr="003D1614">
        <w:rPr>
          <w:rFonts w:ascii="Arial" w:eastAsia="Times New Roman" w:hAnsi="Arial" w:cs="Arial"/>
          <w:color w:val="000000" w:themeColor="text1"/>
          <w:spacing w:val="-3"/>
          <w:sz w:val="20"/>
          <w:szCs w:val="20"/>
        </w:rPr>
        <w:t>i 31. prosinca 202</w:t>
      </w:r>
      <w:r w:rsidR="00D11A5A">
        <w:rPr>
          <w:rFonts w:ascii="Arial" w:eastAsia="Times New Roman" w:hAnsi="Arial" w:cs="Arial"/>
          <w:color w:val="000000" w:themeColor="text1"/>
          <w:spacing w:val="-3"/>
          <w:sz w:val="20"/>
          <w:szCs w:val="20"/>
        </w:rPr>
        <w:t>3</w:t>
      </w:r>
      <w:r w:rsidRPr="003D1614">
        <w:rPr>
          <w:rFonts w:ascii="Arial" w:eastAsia="Times New Roman" w:hAnsi="Arial" w:cs="Arial"/>
          <w:color w:val="000000" w:themeColor="text1"/>
          <w:spacing w:val="-3"/>
          <w:sz w:val="20"/>
          <w:szCs w:val="20"/>
        </w:rPr>
        <w:t xml:space="preserve">. </w:t>
      </w:r>
    </w:p>
    <w:p w14:paraId="7761D1A3" w14:textId="77777777" w:rsidR="00CA60FA" w:rsidRPr="003D1614" w:rsidRDefault="00CA60FA" w:rsidP="00CA60FA">
      <w:pPr>
        <w:keepNext/>
        <w:suppressAutoHyphens/>
        <w:autoSpaceDN w:val="0"/>
        <w:jc w:val="both"/>
        <w:outlineLvl w:val="0"/>
        <w:rPr>
          <w:rFonts w:ascii="Arial" w:eastAsia="Times New Roman" w:hAnsi="Arial" w:cs="Arial"/>
          <w:color w:val="000000" w:themeColor="text1"/>
          <w:spacing w:val="-3"/>
          <w:sz w:val="16"/>
          <w:szCs w:val="16"/>
        </w:rPr>
      </w:pPr>
    </w:p>
    <w:tbl>
      <w:tblPr>
        <w:tblW w:w="5114" w:type="pct"/>
        <w:jc w:val="center"/>
        <w:tblLayout w:type="fixed"/>
        <w:tblCellMar>
          <w:left w:w="122" w:type="dxa"/>
          <w:right w:w="122" w:type="dxa"/>
        </w:tblCellMar>
        <w:tblLook w:val="0000" w:firstRow="0" w:lastRow="0" w:firstColumn="0" w:lastColumn="0" w:noHBand="0" w:noVBand="0"/>
      </w:tblPr>
      <w:tblGrid>
        <w:gridCol w:w="5928"/>
        <w:gridCol w:w="1030"/>
        <w:gridCol w:w="1195"/>
        <w:gridCol w:w="1126"/>
      </w:tblGrid>
      <w:tr w:rsidR="00CA60FA" w:rsidRPr="003D1614" w14:paraId="0CE2344E" w14:textId="77777777" w:rsidTr="00BC10BC">
        <w:trPr>
          <w:trHeight w:val="276"/>
          <w:jc w:val="center"/>
        </w:trPr>
        <w:tc>
          <w:tcPr>
            <w:tcW w:w="3194" w:type="pct"/>
            <w:shd w:val="clear" w:color="auto" w:fill="auto"/>
          </w:tcPr>
          <w:p w14:paraId="7EB45B76" w14:textId="77777777" w:rsidR="00CA60FA" w:rsidRPr="003D1614" w:rsidRDefault="00CA60FA" w:rsidP="00CA60FA">
            <w:pPr>
              <w:tabs>
                <w:tab w:val="right" w:pos="1202"/>
              </w:tabs>
              <w:suppressAutoHyphens/>
              <w:autoSpaceDN w:val="0"/>
              <w:outlineLvl w:val="0"/>
              <w:rPr>
                <w:rFonts w:ascii="Arial" w:eastAsia="Calibri" w:hAnsi="Arial" w:cs="Arial"/>
                <w:color w:val="000000"/>
                <w:sz w:val="17"/>
                <w:szCs w:val="17"/>
              </w:rPr>
            </w:pPr>
            <w:bookmarkStart w:id="992" w:name="_Toc67330822"/>
            <w:r w:rsidRPr="003D1614">
              <w:rPr>
                <w:rFonts w:ascii="Arial" w:eastAsia="Calibri" w:hAnsi="Arial" w:cs="Arial"/>
                <w:b/>
                <w:color w:val="000000"/>
                <w:sz w:val="17"/>
                <w:szCs w:val="17"/>
              </w:rPr>
              <w:t>Grupa</w:t>
            </w:r>
            <w:bookmarkEnd w:id="992"/>
          </w:p>
        </w:tc>
        <w:tc>
          <w:tcPr>
            <w:tcW w:w="1806" w:type="pct"/>
            <w:gridSpan w:val="3"/>
          </w:tcPr>
          <w:p w14:paraId="6825CACE" w14:textId="7BFB23CD" w:rsidR="00CA60FA" w:rsidRPr="003D1614" w:rsidRDefault="00E16D06" w:rsidP="00CA60FA">
            <w:pPr>
              <w:tabs>
                <w:tab w:val="right" w:pos="1202"/>
              </w:tabs>
              <w:suppressAutoHyphens/>
              <w:autoSpaceDN w:val="0"/>
              <w:jc w:val="right"/>
              <w:outlineLvl w:val="0"/>
              <w:rPr>
                <w:rFonts w:ascii="Arial" w:eastAsia="Calibri" w:hAnsi="Arial" w:cs="Arial"/>
                <w:b/>
                <w:bCs/>
                <w:color w:val="000000"/>
                <w:sz w:val="17"/>
                <w:szCs w:val="17"/>
              </w:rPr>
            </w:pPr>
            <w:r w:rsidRPr="00E16D06">
              <w:rPr>
                <w:rFonts w:ascii="Arial" w:eastAsia="Calibri" w:hAnsi="Arial" w:cs="Arial"/>
                <w:b/>
                <w:bCs/>
                <w:color w:val="000000"/>
                <w:sz w:val="17"/>
                <w:szCs w:val="17"/>
              </w:rPr>
              <w:t>30. rujna 202</w:t>
            </w:r>
            <w:r w:rsidR="00D11A5A">
              <w:rPr>
                <w:rFonts w:ascii="Arial" w:eastAsia="Calibri" w:hAnsi="Arial" w:cs="Arial"/>
                <w:b/>
                <w:bCs/>
                <w:color w:val="000000"/>
                <w:sz w:val="17"/>
                <w:szCs w:val="17"/>
              </w:rPr>
              <w:t>4</w:t>
            </w:r>
            <w:r w:rsidRPr="00E16D06">
              <w:rPr>
                <w:rFonts w:ascii="Arial" w:eastAsia="Calibri" w:hAnsi="Arial" w:cs="Arial"/>
                <w:b/>
                <w:bCs/>
                <w:color w:val="000000"/>
                <w:sz w:val="17"/>
                <w:szCs w:val="17"/>
              </w:rPr>
              <w:t>.</w:t>
            </w:r>
          </w:p>
        </w:tc>
      </w:tr>
      <w:tr w:rsidR="00CA60FA" w:rsidRPr="003D1614" w14:paraId="1D7ED4E9" w14:textId="77777777" w:rsidTr="00BC10BC">
        <w:trPr>
          <w:trHeight w:val="276"/>
          <w:jc w:val="center"/>
        </w:trPr>
        <w:tc>
          <w:tcPr>
            <w:tcW w:w="3194" w:type="pct"/>
            <w:shd w:val="clear" w:color="auto" w:fill="auto"/>
            <w:vAlign w:val="bottom"/>
          </w:tcPr>
          <w:p w14:paraId="5CFD444A" w14:textId="77777777" w:rsidR="00CA60FA" w:rsidRPr="003D1614" w:rsidRDefault="00CA60FA" w:rsidP="00CA60FA">
            <w:pPr>
              <w:tabs>
                <w:tab w:val="right" w:pos="1202"/>
              </w:tabs>
              <w:suppressAutoHyphens/>
              <w:autoSpaceDN w:val="0"/>
              <w:ind w:left="-482"/>
              <w:outlineLvl w:val="0"/>
              <w:rPr>
                <w:rFonts w:ascii="Arial" w:eastAsia="Calibri" w:hAnsi="Arial" w:cs="Arial"/>
                <w:color w:val="000000"/>
                <w:spacing w:val="-2"/>
                <w:sz w:val="17"/>
                <w:szCs w:val="17"/>
              </w:rPr>
            </w:pPr>
          </w:p>
        </w:tc>
        <w:tc>
          <w:tcPr>
            <w:tcW w:w="555" w:type="pct"/>
            <w:shd w:val="clear" w:color="auto" w:fill="auto"/>
            <w:vAlign w:val="bottom"/>
          </w:tcPr>
          <w:p w14:paraId="7B31AE4F" w14:textId="77777777" w:rsidR="00CA60FA" w:rsidRPr="003D1614" w:rsidRDefault="00CA60FA" w:rsidP="00CA60FA">
            <w:pPr>
              <w:tabs>
                <w:tab w:val="right" w:pos="1202"/>
              </w:tabs>
              <w:suppressAutoHyphens/>
              <w:autoSpaceDN w:val="0"/>
              <w:jc w:val="right"/>
              <w:outlineLvl w:val="0"/>
              <w:rPr>
                <w:rFonts w:ascii="Arial" w:eastAsia="Calibri" w:hAnsi="Arial" w:cs="Arial"/>
                <w:b/>
                <w:color w:val="000000"/>
                <w:spacing w:val="-2"/>
                <w:sz w:val="17"/>
                <w:szCs w:val="17"/>
              </w:rPr>
            </w:pPr>
            <w:bookmarkStart w:id="993" w:name="_Toc67330824"/>
            <w:r w:rsidRPr="003D1614">
              <w:rPr>
                <w:rFonts w:ascii="Arial" w:eastAsia="Calibri" w:hAnsi="Arial" w:cs="Arial"/>
                <w:b/>
                <w:color w:val="000000"/>
                <w:spacing w:val="-2"/>
                <w:sz w:val="17"/>
                <w:szCs w:val="17"/>
              </w:rPr>
              <w:t>Razina 1</w:t>
            </w:r>
            <w:bookmarkEnd w:id="993"/>
          </w:p>
        </w:tc>
        <w:tc>
          <w:tcPr>
            <w:tcW w:w="644" w:type="pct"/>
            <w:shd w:val="clear" w:color="auto" w:fill="auto"/>
            <w:vAlign w:val="bottom"/>
          </w:tcPr>
          <w:p w14:paraId="3BF90E53" w14:textId="77777777" w:rsidR="00CA60FA" w:rsidRPr="003D1614" w:rsidRDefault="00CA60FA" w:rsidP="00CA60FA">
            <w:pPr>
              <w:tabs>
                <w:tab w:val="right" w:pos="1202"/>
              </w:tabs>
              <w:suppressAutoHyphens/>
              <w:autoSpaceDN w:val="0"/>
              <w:jc w:val="right"/>
              <w:outlineLvl w:val="0"/>
              <w:rPr>
                <w:rFonts w:ascii="Arial" w:eastAsia="Calibri" w:hAnsi="Arial" w:cs="Arial"/>
                <w:b/>
                <w:color w:val="000000"/>
                <w:spacing w:val="-2"/>
                <w:sz w:val="17"/>
                <w:szCs w:val="17"/>
              </w:rPr>
            </w:pPr>
            <w:bookmarkStart w:id="994" w:name="_Toc67330825"/>
            <w:r w:rsidRPr="003D1614">
              <w:rPr>
                <w:rFonts w:ascii="Arial" w:eastAsia="Calibri" w:hAnsi="Arial" w:cs="Arial"/>
                <w:b/>
                <w:color w:val="000000"/>
                <w:spacing w:val="-2"/>
                <w:sz w:val="17"/>
                <w:szCs w:val="17"/>
              </w:rPr>
              <w:t>Razina 2</w:t>
            </w:r>
            <w:bookmarkEnd w:id="994"/>
          </w:p>
        </w:tc>
        <w:tc>
          <w:tcPr>
            <w:tcW w:w="607" w:type="pct"/>
            <w:shd w:val="clear" w:color="auto" w:fill="auto"/>
            <w:vAlign w:val="bottom"/>
          </w:tcPr>
          <w:p w14:paraId="5CA76948" w14:textId="77777777" w:rsidR="00CA60FA" w:rsidRPr="003D1614" w:rsidRDefault="00CA60FA" w:rsidP="00CA60FA">
            <w:pPr>
              <w:tabs>
                <w:tab w:val="right" w:pos="1202"/>
              </w:tabs>
              <w:suppressAutoHyphens/>
              <w:autoSpaceDN w:val="0"/>
              <w:jc w:val="right"/>
              <w:outlineLvl w:val="0"/>
              <w:rPr>
                <w:rFonts w:ascii="Arial" w:eastAsia="Calibri" w:hAnsi="Arial" w:cs="Arial"/>
                <w:b/>
                <w:color w:val="000000"/>
                <w:spacing w:val="-2"/>
                <w:sz w:val="17"/>
                <w:szCs w:val="17"/>
              </w:rPr>
            </w:pPr>
            <w:bookmarkStart w:id="995" w:name="_Toc67330826"/>
            <w:r w:rsidRPr="003D1614">
              <w:rPr>
                <w:rFonts w:ascii="Arial" w:eastAsia="Calibri" w:hAnsi="Arial" w:cs="Arial"/>
                <w:b/>
                <w:color w:val="000000"/>
                <w:spacing w:val="-2"/>
                <w:sz w:val="17"/>
                <w:szCs w:val="17"/>
              </w:rPr>
              <w:t>Razina 3</w:t>
            </w:r>
            <w:bookmarkEnd w:id="995"/>
          </w:p>
        </w:tc>
      </w:tr>
      <w:tr w:rsidR="00CA60FA" w:rsidRPr="003D1614" w14:paraId="1B2CDB35" w14:textId="77777777" w:rsidTr="00BC10BC">
        <w:trPr>
          <w:trHeight w:hRule="exact" w:val="200"/>
          <w:jc w:val="center"/>
        </w:trPr>
        <w:tc>
          <w:tcPr>
            <w:tcW w:w="3194" w:type="pct"/>
            <w:shd w:val="clear" w:color="auto" w:fill="auto"/>
            <w:vAlign w:val="bottom"/>
          </w:tcPr>
          <w:p w14:paraId="25BABBBF" w14:textId="77777777" w:rsidR="00CA60FA" w:rsidRPr="003D1614" w:rsidRDefault="00CA60FA" w:rsidP="00CA60FA">
            <w:pPr>
              <w:tabs>
                <w:tab w:val="right" w:pos="1202"/>
              </w:tabs>
              <w:suppressAutoHyphens/>
              <w:autoSpaceDN w:val="0"/>
              <w:outlineLvl w:val="0"/>
              <w:rPr>
                <w:rFonts w:ascii="Arial" w:eastAsia="Calibri" w:hAnsi="Arial" w:cs="Arial"/>
                <w:color w:val="000000"/>
                <w:spacing w:val="-2"/>
                <w:sz w:val="17"/>
                <w:szCs w:val="17"/>
              </w:rPr>
            </w:pPr>
          </w:p>
        </w:tc>
        <w:tc>
          <w:tcPr>
            <w:tcW w:w="555" w:type="pct"/>
            <w:shd w:val="clear" w:color="auto" w:fill="auto"/>
            <w:vAlign w:val="bottom"/>
          </w:tcPr>
          <w:p w14:paraId="07C164B5" w14:textId="3EE339BE" w:rsidR="00CA60FA" w:rsidRPr="003D1614" w:rsidRDefault="00CA60FA" w:rsidP="00CA60FA">
            <w:pPr>
              <w:tabs>
                <w:tab w:val="right" w:pos="1202"/>
              </w:tabs>
              <w:suppressAutoHyphens/>
              <w:autoSpaceDN w:val="0"/>
              <w:jc w:val="right"/>
              <w:outlineLvl w:val="0"/>
              <w:rPr>
                <w:rFonts w:ascii="Arial" w:eastAsia="Calibri" w:hAnsi="Arial" w:cs="Arial"/>
                <w:b/>
                <w:color w:val="000000"/>
                <w:spacing w:val="-2"/>
                <w:sz w:val="17"/>
                <w:szCs w:val="17"/>
              </w:rPr>
            </w:pPr>
            <w:bookmarkStart w:id="996" w:name="_Toc67330827"/>
            <w:r w:rsidRPr="003D1614">
              <w:rPr>
                <w:rFonts w:ascii="Arial" w:eastAsia="Calibri" w:hAnsi="Arial" w:cs="Arial"/>
                <w:b/>
                <w:color w:val="000000"/>
                <w:spacing w:val="-2"/>
                <w:sz w:val="17"/>
                <w:szCs w:val="17"/>
              </w:rPr>
              <w:t>000 eura</w:t>
            </w:r>
            <w:bookmarkEnd w:id="996"/>
          </w:p>
        </w:tc>
        <w:tc>
          <w:tcPr>
            <w:tcW w:w="644" w:type="pct"/>
            <w:shd w:val="clear" w:color="auto" w:fill="auto"/>
            <w:vAlign w:val="bottom"/>
          </w:tcPr>
          <w:p w14:paraId="214130D3" w14:textId="6A1859A1" w:rsidR="00CA60FA" w:rsidRPr="003D1614" w:rsidRDefault="00CA60FA" w:rsidP="00CA60FA">
            <w:pPr>
              <w:tabs>
                <w:tab w:val="right" w:pos="1202"/>
              </w:tabs>
              <w:suppressAutoHyphens/>
              <w:autoSpaceDN w:val="0"/>
              <w:jc w:val="right"/>
              <w:outlineLvl w:val="0"/>
              <w:rPr>
                <w:rFonts w:ascii="Arial" w:eastAsia="Calibri" w:hAnsi="Arial" w:cs="Arial"/>
                <w:b/>
                <w:color w:val="000000"/>
                <w:spacing w:val="-2"/>
                <w:sz w:val="17"/>
                <w:szCs w:val="17"/>
              </w:rPr>
            </w:pPr>
            <w:bookmarkStart w:id="997" w:name="_Toc67330828"/>
            <w:r w:rsidRPr="003D1614">
              <w:rPr>
                <w:rFonts w:ascii="Arial" w:eastAsia="Calibri" w:hAnsi="Arial" w:cs="Arial"/>
                <w:b/>
                <w:color w:val="000000"/>
                <w:spacing w:val="-2"/>
                <w:sz w:val="17"/>
                <w:szCs w:val="17"/>
              </w:rPr>
              <w:t>000 eura</w:t>
            </w:r>
            <w:bookmarkEnd w:id="997"/>
          </w:p>
        </w:tc>
        <w:tc>
          <w:tcPr>
            <w:tcW w:w="607" w:type="pct"/>
            <w:shd w:val="clear" w:color="auto" w:fill="auto"/>
            <w:vAlign w:val="bottom"/>
          </w:tcPr>
          <w:p w14:paraId="5CFAC38D" w14:textId="3CF51FCC" w:rsidR="00CA60FA" w:rsidRPr="003D1614" w:rsidRDefault="00CA60FA" w:rsidP="00CA60FA">
            <w:pPr>
              <w:tabs>
                <w:tab w:val="right" w:pos="1202"/>
              </w:tabs>
              <w:suppressAutoHyphens/>
              <w:autoSpaceDN w:val="0"/>
              <w:jc w:val="right"/>
              <w:outlineLvl w:val="0"/>
              <w:rPr>
                <w:rFonts w:ascii="Arial" w:eastAsia="Calibri" w:hAnsi="Arial" w:cs="Arial"/>
                <w:b/>
                <w:color w:val="000000"/>
                <w:spacing w:val="-2"/>
                <w:sz w:val="17"/>
                <w:szCs w:val="17"/>
              </w:rPr>
            </w:pPr>
            <w:bookmarkStart w:id="998" w:name="_Toc67330829"/>
            <w:r w:rsidRPr="003D1614">
              <w:rPr>
                <w:rFonts w:ascii="Arial" w:eastAsia="Calibri" w:hAnsi="Arial" w:cs="Arial"/>
                <w:b/>
                <w:color w:val="000000"/>
                <w:spacing w:val="-2"/>
                <w:sz w:val="17"/>
                <w:szCs w:val="17"/>
              </w:rPr>
              <w:t>000 eura</w:t>
            </w:r>
            <w:bookmarkEnd w:id="998"/>
          </w:p>
        </w:tc>
      </w:tr>
      <w:tr w:rsidR="00CA60FA" w:rsidRPr="003D1614" w14:paraId="47BA1067" w14:textId="77777777" w:rsidTr="00BC10BC">
        <w:trPr>
          <w:trHeight w:hRule="exact" w:val="255"/>
          <w:jc w:val="center"/>
        </w:trPr>
        <w:tc>
          <w:tcPr>
            <w:tcW w:w="3194" w:type="pct"/>
            <w:vAlign w:val="bottom"/>
          </w:tcPr>
          <w:p w14:paraId="22E231B5" w14:textId="77777777" w:rsidR="00CA60FA" w:rsidRPr="003D1614" w:rsidRDefault="00CA60FA" w:rsidP="00CA60FA">
            <w:pPr>
              <w:tabs>
                <w:tab w:val="right" w:pos="1202"/>
              </w:tabs>
              <w:suppressAutoHyphens/>
              <w:autoSpaceDN w:val="0"/>
              <w:outlineLvl w:val="0"/>
              <w:rPr>
                <w:rFonts w:ascii="Arial" w:eastAsia="Calibri" w:hAnsi="Arial" w:cs="Arial"/>
                <w:color w:val="000000"/>
                <w:spacing w:val="-2"/>
                <w:sz w:val="17"/>
                <w:szCs w:val="17"/>
              </w:rPr>
            </w:pPr>
            <w:bookmarkStart w:id="999" w:name="_Toc67330830"/>
            <w:r w:rsidRPr="003D1614">
              <w:rPr>
                <w:rFonts w:ascii="Arial" w:eastAsia="Calibri" w:hAnsi="Arial" w:cs="Arial"/>
                <w:b/>
                <w:color w:val="000000"/>
                <w:sz w:val="17"/>
                <w:szCs w:val="17"/>
              </w:rPr>
              <w:t>Financijska imovina po fer vrijednosti kroz dobit ili gubitak:</w:t>
            </w:r>
            <w:bookmarkEnd w:id="999"/>
          </w:p>
        </w:tc>
        <w:tc>
          <w:tcPr>
            <w:tcW w:w="555" w:type="pct"/>
            <w:vAlign w:val="bottom"/>
          </w:tcPr>
          <w:p w14:paraId="5A99C219" w14:textId="77777777" w:rsidR="00CA60FA" w:rsidRPr="003D1614" w:rsidRDefault="00CA60FA" w:rsidP="00CA60FA">
            <w:pPr>
              <w:tabs>
                <w:tab w:val="right" w:pos="1202"/>
              </w:tabs>
              <w:suppressAutoHyphens/>
              <w:autoSpaceDN w:val="0"/>
              <w:jc w:val="right"/>
              <w:outlineLvl w:val="0"/>
              <w:rPr>
                <w:rFonts w:ascii="Arial" w:eastAsia="Calibri" w:hAnsi="Arial" w:cs="Arial"/>
                <w:b/>
                <w:color w:val="000000"/>
                <w:spacing w:val="-2"/>
                <w:sz w:val="17"/>
                <w:szCs w:val="17"/>
              </w:rPr>
            </w:pPr>
          </w:p>
        </w:tc>
        <w:tc>
          <w:tcPr>
            <w:tcW w:w="644" w:type="pct"/>
            <w:vAlign w:val="bottom"/>
          </w:tcPr>
          <w:p w14:paraId="57B80EA6" w14:textId="77777777" w:rsidR="00CA60FA" w:rsidRPr="003D1614" w:rsidRDefault="00CA60FA" w:rsidP="00CA60FA">
            <w:pPr>
              <w:tabs>
                <w:tab w:val="right" w:pos="1202"/>
              </w:tabs>
              <w:suppressAutoHyphens/>
              <w:autoSpaceDN w:val="0"/>
              <w:jc w:val="right"/>
              <w:outlineLvl w:val="0"/>
              <w:rPr>
                <w:rFonts w:ascii="Arial" w:eastAsia="Calibri" w:hAnsi="Arial" w:cs="Arial"/>
                <w:b/>
                <w:color w:val="000000"/>
                <w:spacing w:val="-2"/>
                <w:sz w:val="17"/>
                <w:szCs w:val="17"/>
              </w:rPr>
            </w:pPr>
          </w:p>
        </w:tc>
        <w:tc>
          <w:tcPr>
            <w:tcW w:w="607" w:type="pct"/>
            <w:vAlign w:val="bottom"/>
          </w:tcPr>
          <w:p w14:paraId="4B16E0C7" w14:textId="77777777" w:rsidR="00CA60FA" w:rsidRPr="003D1614" w:rsidRDefault="00CA60FA" w:rsidP="00CA60FA">
            <w:pPr>
              <w:tabs>
                <w:tab w:val="right" w:pos="1202"/>
              </w:tabs>
              <w:suppressAutoHyphens/>
              <w:autoSpaceDN w:val="0"/>
              <w:jc w:val="right"/>
              <w:outlineLvl w:val="0"/>
              <w:rPr>
                <w:rFonts w:ascii="Arial" w:eastAsia="Calibri" w:hAnsi="Arial" w:cs="Arial"/>
                <w:b/>
                <w:color w:val="000000"/>
                <w:spacing w:val="-2"/>
                <w:sz w:val="17"/>
                <w:szCs w:val="17"/>
              </w:rPr>
            </w:pPr>
          </w:p>
        </w:tc>
      </w:tr>
      <w:tr w:rsidR="00CA60FA" w:rsidRPr="003D1614" w14:paraId="65630E25" w14:textId="77777777" w:rsidTr="00BC10BC">
        <w:trPr>
          <w:trHeight w:hRule="exact" w:val="255"/>
          <w:jc w:val="center"/>
        </w:trPr>
        <w:tc>
          <w:tcPr>
            <w:tcW w:w="3194" w:type="pct"/>
            <w:vAlign w:val="bottom"/>
          </w:tcPr>
          <w:p w14:paraId="48141EA7" w14:textId="77777777" w:rsidR="00CA60FA" w:rsidRPr="003D1614" w:rsidRDefault="00CA60FA" w:rsidP="00CA60FA">
            <w:pPr>
              <w:tabs>
                <w:tab w:val="right" w:pos="1202"/>
              </w:tabs>
              <w:suppressAutoHyphens/>
              <w:autoSpaceDN w:val="0"/>
              <w:outlineLvl w:val="0"/>
              <w:rPr>
                <w:rFonts w:ascii="Arial" w:eastAsia="Calibri" w:hAnsi="Arial" w:cs="Arial"/>
                <w:b/>
                <w:i/>
                <w:color w:val="000000"/>
                <w:sz w:val="17"/>
                <w:szCs w:val="17"/>
              </w:rPr>
            </w:pPr>
            <w:bookmarkStart w:id="1000" w:name="_Toc67330831"/>
            <w:r w:rsidRPr="003D1614">
              <w:rPr>
                <w:rFonts w:ascii="Arial" w:eastAsia="Calibri" w:hAnsi="Arial" w:cs="Arial"/>
                <w:b/>
                <w:i/>
                <w:color w:val="000000"/>
                <w:sz w:val="17"/>
                <w:szCs w:val="17"/>
              </w:rPr>
              <w:t>Krediti po fer vrijednosti kroz dobit ili gubitak:</w:t>
            </w:r>
            <w:bookmarkEnd w:id="1000"/>
          </w:p>
        </w:tc>
        <w:tc>
          <w:tcPr>
            <w:tcW w:w="555" w:type="pct"/>
            <w:tcBorders>
              <w:top w:val="nil"/>
              <w:left w:val="nil"/>
              <w:right w:val="nil"/>
            </w:tcBorders>
            <w:shd w:val="clear" w:color="auto" w:fill="auto"/>
            <w:vAlign w:val="bottom"/>
          </w:tcPr>
          <w:p w14:paraId="46E8C156" w14:textId="77777777" w:rsidR="00CA60FA" w:rsidRPr="003D1614" w:rsidRDefault="00CA60FA" w:rsidP="00CA60FA">
            <w:pPr>
              <w:tabs>
                <w:tab w:val="right" w:pos="1202"/>
              </w:tabs>
              <w:suppressAutoHyphens/>
              <w:autoSpaceDN w:val="0"/>
              <w:jc w:val="right"/>
              <w:outlineLvl w:val="0"/>
              <w:rPr>
                <w:rFonts w:ascii="Arial" w:eastAsia="Calibri" w:hAnsi="Arial" w:cs="Arial"/>
                <w:color w:val="000000"/>
                <w:sz w:val="17"/>
                <w:szCs w:val="17"/>
              </w:rPr>
            </w:pPr>
          </w:p>
        </w:tc>
        <w:tc>
          <w:tcPr>
            <w:tcW w:w="644" w:type="pct"/>
            <w:tcBorders>
              <w:top w:val="nil"/>
              <w:left w:val="nil"/>
              <w:right w:val="nil"/>
            </w:tcBorders>
            <w:shd w:val="clear" w:color="auto" w:fill="auto"/>
            <w:vAlign w:val="bottom"/>
          </w:tcPr>
          <w:p w14:paraId="6A4DE3D2" w14:textId="77777777" w:rsidR="00CA60FA" w:rsidRPr="003D1614" w:rsidRDefault="00CA60FA" w:rsidP="00CA60FA">
            <w:pPr>
              <w:tabs>
                <w:tab w:val="right" w:pos="1202"/>
              </w:tabs>
              <w:suppressAutoHyphens/>
              <w:autoSpaceDN w:val="0"/>
              <w:jc w:val="right"/>
              <w:outlineLvl w:val="0"/>
              <w:rPr>
                <w:rFonts w:ascii="Arial" w:eastAsia="Calibri" w:hAnsi="Arial" w:cs="Arial"/>
                <w:color w:val="000000"/>
                <w:sz w:val="17"/>
                <w:szCs w:val="17"/>
              </w:rPr>
            </w:pPr>
          </w:p>
        </w:tc>
        <w:tc>
          <w:tcPr>
            <w:tcW w:w="607" w:type="pct"/>
            <w:tcBorders>
              <w:top w:val="nil"/>
              <w:left w:val="nil"/>
              <w:right w:val="nil"/>
            </w:tcBorders>
            <w:shd w:val="clear" w:color="auto" w:fill="auto"/>
            <w:vAlign w:val="bottom"/>
          </w:tcPr>
          <w:p w14:paraId="4929D87D" w14:textId="77777777" w:rsidR="00CA60FA" w:rsidRPr="003D1614" w:rsidRDefault="00CA60FA" w:rsidP="00CA60FA">
            <w:pPr>
              <w:tabs>
                <w:tab w:val="right" w:pos="1202"/>
              </w:tabs>
              <w:suppressAutoHyphens/>
              <w:autoSpaceDN w:val="0"/>
              <w:jc w:val="right"/>
              <w:outlineLvl w:val="0"/>
              <w:rPr>
                <w:rFonts w:ascii="Arial" w:eastAsia="Calibri" w:hAnsi="Arial" w:cs="Arial"/>
                <w:color w:val="000000"/>
                <w:sz w:val="17"/>
                <w:szCs w:val="17"/>
              </w:rPr>
            </w:pPr>
          </w:p>
        </w:tc>
      </w:tr>
      <w:tr w:rsidR="00F03FFA" w:rsidRPr="003D1614" w14:paraId="1E155C22" w14:textId="77777777" w:rsidTr="00330DA4">
        <w:trPr>
          <w:trHeight w:val="251"/>
          <w:jc w:val="center"/>
        </w:trPr>
        <w:tc>
          <w:tcPr>
            <w:tcW w:w="3194" w:type="pct"/>
            <w:vAlign w:val="bottom"/>
          </w:tcPr>
          <w:p w14:paraId="2422A05F" w14:textId="77777777" w:rsidR="00F03FFA" w:rsidRPr="003D1614" w:rsidRDefault="00F03FFA" w:rsidP="00F03FFA">
            <w:pPr>
              <w:tabs>
                <w:tab w:val="right" w:pos="1202"/>
              </w:tabs>
              <w:suppressAutoHyphens/>
              <w:autoSpaceDN w:val="0"/>
              <w:outlineLvl w:val="0"/>
              <w:rPr>
                <w:rFonts w:ascii="Arial" w:eastAsia="Calibri" w:hAnsi="Arial" w:cs="Arial"/>
                <w:color w:val="000000"/>
                <w:sz w:val="17"/>
                <w:szCs w:val="17"/>
              </w:rPr>
            </w:pPr>
            <w:bookmarkStart w:id="1001" w:name="_Toc67330832"/>
            <w:r w:rsidRPr="003D1614">
              <w:rPr>
                <w:rFonts w:ascii="Arial" w:eastAsia="Calibri" w:hAnsi="Arial" w:cs="Arial"/>
                <w:color w:val="000000"/>
                <w:sz w:val="17"/>
                <w:szCs w:val="17"/>
              </w:rPr>
              <w:t>Mezzanine krediti</w:t>
            </w:r>
            <w:bookmarkEnd w:id="1001"/>
          </w:p>
        </w:tc>
        <w:tc>
          <w:tcPr>
            <w:tcW w:w="555" w:type="pct"/>
            <w:tcBorders>
              <w:top w:val="nil"/>
              <w:left w:val="nil"/>
              <w:right w:val="nil"/>
            </w:tcBorders>
            <w:shd w:val="clear" w:color="auto" w:fill="auto"/>
            <w:vAlign w:val="bottom"/>
          </w:tcPr>
          <w:p w14:paraId="5F6F2ACF" w14:textId="0359E632" w:rsidR="00F03FFA" w:rsidRPr="00330DA4" w:rsidRDefault="00F03FFA" w:rsidP="00F03FFA">
            <w:pPr>
              <w:tabs>
                <w:tab w:val="right" w:pos="1202"/>
              </w:tabs>
              <w:suppressAutoHyphens/>
              <w:autoSpaceDN w:val="0"/>
              <w:jc w:val="right"/>
              <w:outlineLvl w:val="0"/>
              <w:rPr>
                <w:rFonts w:ascii="Arial" w:eastAsia="Calibri" w:hAnsi="Arial" w:cs="Arial"/>
                <w:color w:val="000000"/>
                <w:sz w:val="17"/>
                <w:szCs w:val="17"/>
              </w:rPr>
            </w:pPr>
            <w:r w:rsidRPr="00330DA4">
              <w:rPr>
                <w:rFonts w:ascii="Arial" w:hAnsi="Arial" w:cs="Arial"/>
                <w:sz w:val="17"/>
                <w:szCs w:val="17"/>
              </w:rPr>
              <w:t xml:space="preserve"> - </w:t>
            </w:r>
          </w:p>
        </w:tc>
        <w:tc>
          <w:tcPr>
            <w:tcW w:w="644" w:type="pct"/>
            <w:tcBorders>
              <w:top w:val="nil"/>
              <w:left w:val="nil"/>
              <w:right w:val="nil"/>
            </w:tcBorders>
            <w:shd w:val="clear" w:color="auto" w:fill="auto"/>
            <w:vAlign w:val="bottom"/>
          </w:tcPr>
          <w:p w14:paraId="46CA4049" w14:textId="2AE0B0BC" w:rsidR="00F03FFA" w:rsidRPr="00330DA4" w:rsidRDefault="00F03FFA" w:rsidP="00F03FFA">
            <w:pPr>
              <w:tabs>
                <w:tab w:val="right" w:pos="1202"/>
              </w:tabs>
              <w:suppressAutoHyphens/>
              <w:autoSpaceDN w:val="0"/>
              <w:jc w:val="right"/>
              <w:outlineLvl w:val="0"/>
              <w:rPr>
                <w:rFonts w:ascii="Arial" w:eastAsia="Calibri" w:hAnsi="Arial" w:cs="Arial"/>
                <w:color w:val="000000"/>
                <w:sz w:val="17"/>
                <w:szCs w:val="17"/>
              </w:rPr>
            </w:pPr>
            <w:r w:rsidRPr="00330DA4">
              <w:rPr>
                <w:rFonts w:ascii="Arial" w:hAnsi="Arial" w:cs="Arial"/>
                <w:sz w:val="17"/>
                <w:szCs w:val="17"/>
              </w:rPr>
              <w:t xml:space="preserve"> - </w:t>
            </w:r>
          </w:p>
        </w:tc>
        <w:tc>
          <w:tcPr>
            <w:tcW w:w="607" w:type="pct"/>
            <w:tcBorders>
              <w:top w:val="nil"/>
              <w:left w:val="nil"/>
              <w:right w:val="nil"/>
            </w:tcBorders>
            <w:shd w:val="clear" w:color="auto" w:fill="auto"/>
            <w:vAlign w:val="bottom"/>
          </w:tcPr>
          <w:p w14:paraId="5810F860" w14:textId="08E8D8FC" w:rsidR="00F03FFA" w:rsidRPr="00330DA4" w:rsidRDefault="00F03FFA" w:rsidP="00F03FFA">
            <w:pPr>
              <w:tabs>
                <w:tab w:val="right" w:pos="1202"/>
              </w:tabs>
              <w:suppressAutoHyphens/>
              <w:autoSpaceDN w:val="0"/>
              <w:jc w:val="right"/>
              <w:outlineLvl w:val="0"/>
              <w:rPr>
                <w:rFonts w:ascii="Arial" w:eastAsia="Calibri" w:hAnsi="Arial" w:cs="Arial"/>
                <w:color w:val="000000"/>
                <w:sz w:val="17"/>
                <w:szCs w:val="17"/>
              </w:rPr>
            </w:pPr>
            <w:r w:rsidRPr="00330DA4">
              <w:rPr>
                <w:rFonts w:ascii="Arial" w:hAnsi="Arial" w:cs="Arial"/>
                <w:sz w:val="17"/>
                <w:szCs w:val="17"/>
              </w:rPr>
              <w:t xml:space="preserve"> 32.926 </w:t>
            </w:r>
          </w:p>
        </w:tc>
      </w:tr>
      <w:tr w:rsidR="00CA60FA" w:rsidRPr="003D1614" w14:paraId="6C3FA628" w14:textId="77777777" w:rsidTr="00330DA4">
        <w:trPr>
          <w:trHeight w:hRule="exact" w:val="251"/>
          <w:jc w:val="center"/>
        </w:trPr>
        <w:tc>
          <w:tcPr>
            <w:tcW w:w="3194" w:type="pct"/>
            <w:vAlign w:val="bottom"/>
          </w:tcPr>
          <w:p w14:paraId="347C555A" w14:textId="77777777" w:rsidR="00CA60FA" w:rsidRPr="003D1614" w:rsidRDefault="00CA60FA" w:rsidP="00CA60FA">
            <w:pPr>
              <w:tabs>
                <w:tab w:val="right" w:pos="1202"/>
              </w:tabs>
              <w:suppressAutoHyphens/>
              <w:autoSpaceDN w:val="0"/>
              <w:outlineLvl w:val="0"/>
              <w:rPr>
                <w:rFonts w:ascii="Arial" w:eastAsia="Calibri" w:hAnsi="Arial" w:cs="Arial"/>
                <w:b/>
                <w:i/>
                <w:color w:val="000000"/>
                <w:sz w:val="17"/>
                <w:szCs w:val="17"/>
              </w:rPr>
            </w:pPr>
            <w:bookmarkStart w:id="1002" w:name="_Toc67330836"/>
            <w:r w:rsidRPr="003D1614">
              <w:rPr>
                <w:rFonts w:ascii="Arial" w:eastAsia="Calibri" w:hAnsi="Arial" w:cs="Arial"/>
                <w:b/>
                <w:i/>
                <w:color w:val="000000"/>
                <w:sz w:val="17"/>
                <w:szCs w:val="17"/>
              </w:rPr>
              <w:t>Ulaganja u investicijske fondove:</w:t>
            </w:r>
            <w:bookmarkEnd w:id="1002"/>
          </w:p>
        </w:tc>
        <w:tc>
          <w:tcPr>
            <w:tcW w:w="555" w:type="pct"/>
            <w:tcBorders>
              <w:top w:val="nil"/>
              <w:left w:val="nil"/>
              <w:right w:val="nil"/>
            </w:tcBorders>
            <w:shd w:val="clear" w:color="auto" w:fill="auto"/>
            <w:vAlign w:val="bottom"/>
          </w:tcPr>
          <w:p w14:paraId="20E31EBC" w14:textId="77777777" w:rsidR="00CA60FA" w:rsidRPr="00330DA4" w:rsidRDefault="00CA60FA" w:rsidP="00CA60FA">
            <w:pPr>
              <w:tabs>
                <w:tab w:val="right" w:pos="1202"/>
              </w:tabs>
              <w:suppressAutoHyphens/>
              <w:autoSpaceDN w:val="0"/>
              <w:jc w:val="right"/>
              <w:outlineLvl w:val="0"/>
              <w:rPr>
                <w:rFonts w:ascii="Arial" w:eastAsia="Calibri" w:hAnsi="Arial" w:cs="Arial"/>
                <w:color w:val="000000"/>
                <w:sz w:val="17"/>
                <w:szCs w:val="17"/>
              </w:rPr>
            </w:pPr>
          </w:p>
        </w:tc>
        <w:tc>
          <w:tcPr>
            <w:tcW w:w="644" w:type="pct"/>
            <w:tcBorders>
              <w:top w:val="nil"/>
              <w:left w:val="nil"/>
              <w:right w:val="nil"/>
            </w:tcBorders>
            <w:shd w:val="clear" w:color="auto" w:fill="auto"/>
            <w:vAlign w:val="bottom"/>
          </w:tcPr>
          <w:p w14:paraId="441EDF40" w14:textId="77777777" w:rsidR="00CA60FA" w:rsidRPr="00330DA4" w:rsidRDefault="00CA60FA" w:rsidP="00CA60FA">
            <w:pPr>
              <w:tabs>
                <w:tab w:val="right" w:pos="1202"/>
              </w:tabs>
              <w:suppressAutoHyphens/>
              <w:autoSpaceDN w:val="0"/>
              <w:jc w:val="right"/>
              <w:outlineLvl w:val="0"/>
              <w:rPr>
                <w:rFonts w:ascii="Arial" w:eastAsia="Calibri" w:hAnsi="Arial" w:cs="Arial"/>
                <w:color w:val="000000"/>
                <w:sz w:val="17"/>
                <w:szCs w:val="17"/>
              </w:rPr>
            </w:pPr>
          </w:p>
        </w:tc>
        <w:tc>
          <w:tcPr>
            <w:tcW w:w="607" w:type="pct"/>
            <w:tcBorders>
              <w:top w:val="nil"/>
              <w:left w:val="nil"/>
              <w:right w:val="nil"/>
            </w:tcBorders>
            <w:shd w:val="clear" w:color="auto" w:fill="auto"/>
            <w:vAlign w:val="bottom"/>
          </w:tcPr>
          <w:p w14:paraId="6F6762A1" w14:textId="77777777" w:rsidR="00CA60FA" w:rsidRPr="00330DA4" w:rsidRDefault="00CA60FA" w:rsidP="00CA60FA">
            <w:pPr>
              <w:tabs>
                <w:tab w:val="right" w:pos="1202"/>
              </w:tabs>
              <w:suppressAutoHyphens/>
              <w:autoSpaceDN w:val="0"/>
              <w:jc w:val="right"/>
              <w:outlineLvl w:val="0"/>
              <w:rPr>
                <w:rFonts w:ascii="Arial" w:eastAsia="Calibri" w:hAnsi="Arial" w:cs="Arial"/>
                <w:color w:val="000000"/>
                <w:sz w:val="17"/>
                <w:szCs w:val="17"/>
              </w:rPr>
            </w:pPr>
          </w:p>
        </w:tc>
      </w:tr>
      <w:tr w:rsidR="00D31548" w:rsidRPr="003D1614" w14:paraId="433D5213" w14:textId="77777777" w:rsidTr="00330DA4">
        <w:trPr>
          <w:trHeight w:hRule="exact" w:val="227"/>
          <w:jc w:val="center"/>
        </w:trPr>
        <w:tc>
          <w:tcPr>
            <w:tcW w:w="3194" w:type="pct"/>
            <w:vAlign w:val="bottom"/>
          </w:tcPr>
          <w:p w14:paraId="60D64D7B" w14:textId="77777777" w:rsidR="00D31548" w:rsidRPr="003D1614" w:rsidRDefault="00D31548" w:rsidP="00D31548">
            <w:pPr>
              <w:tabs>
                <w:tab w:val="right" w:pos="1202"/>
              </w:tabs>
              <w:suppressAutoHyphens/>
              <w:autoSpaceDN w:val="0"/>
              <w:outlineLvl w:val="0"/>
              <w:rPr>
                <w:rFonts w:ascii="Arial" w:eastAsia="Calibri" w:hAnsi="Arial" w:cs="Arial"/>
                <w:color w:val="000000"/>
                <w:spacing w:val="-2"/>
                <w:sz w:val="17"/>
                <w:szCs w:val="17"/>
              </w:rPr>
            </w:pPr>
            <w:bookmarkStart w:id="1003" w:name="_Toc67330837"/>
            <w:r w:rsidRPr="003D1614">
              <w:rPr>
                <w:rFonts w:ascii="Arial" w:eastAsia="Calibri" w:hAnsi="Arial" w:cs="Arial"/>
                <w:color w:val="000000"/>
                <w:spacing w:val="-2"/>
                <w:sz w:val="17"/>
                <w:szCs w:val="17"/>
              </w:rPr>
              <w:t>Udjeli u investicijskim fondovima po fer vrijednosti kroz dobit ili gubitak</w:t>
            </w:r>
            <w:bookmarkEnd w:id="1003"/>
          </w:p>
        </w:tc>
        <w:tc>
          <w:tcPr>
            <w:tcW w:w="555" w:type="pct"/>
            <w:tcBorders>
              <w:top w:val="nil"/>
              <w:left w:val="nil"/>
              <w:right w:val="nil"/>
            </w:tcBorders>
            <w:shd w:val="clear" w:color="auto" w:fill="auto"/>
            <w:vAlign w:val="bottom"/>
          </w:tcPr>
          <w:p w14:paraId="186758C1" w14:textId="076AF7F8" w:rsidR="00D31548" w:rsidRPr="00330DA4" w:rsidRDefault="00D31548" w:rsidP="00D31548">
            <w:pPr>
              <w:tabs>
                <w:tab w:val="right" w:pos="1202"/>
              </w:tabs>
              <w:suppressAutoHyphens/>
              <w:autoSpaceDN w:val="0"/>
              <w:jc w:val="right"/>
              <w:outlineLvl w:val="0"/>
              <w:rPr>
                <w:rFonts w:ascii="Arial" w:eastAsia="Calibri" w:hAnsi="Arial" w:cs="Arial"/>
                <w:color w:val="000000"/>
                <w:spacing w:val="-2"/>
                <w:sz w:val="17"/>
                <w:szCs w:val="17"/>
              </w:rPr>
            </w:pPr>
            <w:r w:rsidRPr="00330DA4">
              <w:rPr>
                <w:rFonts w:ascii="Arial" w:hAnsi="Arial" w:cs="Arial"/>
                <w:sz w:val="17"/>
                <w:szCs w:val="17"/>
              </w:rPr>
              <w:t xml:space="preserve"> 33.044 </w:t>
            </w:r>
          </w:p>
        </w:tc>
        <w:tc>
          <w:tcPr>
            <w:tcW w:w="644" w:type="pct"/>
            <w:tcBorders>
              <w:top w:val="nil"/>
              <w:left w:val="nil"/>
              <w:right w:val="nil"/>
            </w:tcBorders>
            <w:shd w:val="clear" w:color="auto" w:fill="auto"/>
            <w:vAlign w:val="bottom"/>
          </w:tcPr>
          <w:p w14:paraId="4FC49B43" w14:textId="2DB78BAF" w:rsidR="00D31548" w:rsidRPr="00330DA4" w:rsidRDefault="00D31548" w:rsidP="00D31548">
            <w:pPr>
              <w:tabs>
                <w:tab w:val="right" w:pos="1202"/>
              </w:tabs>
              <w:suppressAutoHyphens/>
              <w:autoSpaceDN w:val="0"/>
              <w:jc w:val="right"/>
              <w:outlineLvl w:val="0"/>
              <w:rPr>
                <w:rFonts w:ascii="Arial" w:eastAsia="Calibri" w:hAnsi="Arial" w:cs="Arial"/>
                <w:color w:val="000000"/>
                <w:spacing w:val="-2"/>
                <w:sz w:val="17"/>
                <w:szCs w:val="17"/>
              </w:rPr>
            </w:pPr>
            <w:r w:rsidRPr="00330DA4">
              <w:rPr>
                <w:rFonts w:ascii="Arial" w:hAnsi="Arial" w:cs="Arial"/>
                <w:sz w:val="17"/>
                <w:szCs w:val="17"/>
              </w:rPr>
              <w:t xml:space="preserve"> - </w:t>
            </w:r>
          </w:p>
        </w:tc>
        <w:tc>
          <w:tcPr>
            <w:tcW w:w="607" w:type="pct"/>
            <w:tcBorders>
              <w:top w:val="nil"/>
              <w:left w:val="nil"/>
              <w:right w:val="nil"/>
            </w:tcBorders>
            <w:shd w:val="clear" w:color="auto" w:fill="auto"/>
            <w:vAlign w:val="bottom"/>
          </w:tcPr>
          <w:p w14:paraId="44852731" w14:textId="757680F4" w:rsidR="00D31548" w:rsidRPr="00330DA4" w:rsidRDefault="00D31548" w:rsidP="00D31548">
            <w:pPr>
              <w:tabs>
                <w:tab w:val="right" w:pos="1202"/>
              </w:tabs>
              <w:suppressAutoHyphens/>
              <w:autoSpaceDN w:val="0"/>
              <w:jc w:val="right"/>
              <w:outlineLvl w:val="0"/>
              <w:rPr>
                <w:rFonts w:ascii="Arial" w:eastAsia="Calibri" w:hAnsi="Arial" w:cs="Arial"/>
                <w:color w:val="000000"/>
                <w:spacing w:val="-2"/>
                <w:sz w:val="17"/>
                <w:szCs w:val="17"/>
              </w:rPr>
            </w:pPr>
            <w:r w:rsidRPr="00330DA4">
              <w:rPr>
                <w:rFonts w:ascii="Arial" w:hAnsi="Arial" w:cs="Arial"/>
                <w:sz w:val="17"/>
                <w:szCs w:val="17"/>
              </w:rPr>
              <w:t xml:space="preserve"> - </w:t>
            </w:r>
          </w:p>
        </w:tc>
      </w:tr>
      <w:tr w:rsidR="009B1838" w:rsidRPr="003D1614" w14:paraId="68584F06" w14:textId="77777777" w:rsidTr="00330DA4">
        <w:trPr>
          <w:trHeight w:val="192"/>
          <w:jc w:val="center"/>
        </w:trPr>
        <w:tc>
          <w:tcPr>
            <w:tcW w:w="3194" w:type="pct"/>
            <w:vAlign w:val="bottom"/>
          </w:tcPr>
          <w:p w14:paraId="2282837D" w14:textId="77777777" w:rsidR="009B1838" w:rsidRPr="003D1614" w:rsidRDefault="009B1838" w:rsidP="009B1838">
            <w:pPr>
              <w:tabs>
                <w:tab w:val="right" w:pos="1202"/>
              </w:tabs>
              <w:suppressAutoHyphens/>
              <w:autoSpaceDN w:val="0"/>
              <w:outlineLvl w:val="0"/>
              <w:rPr>
                <w:rFonts w:ascii="Arial" w:eastAsia="Calibri" w:hAnsi="Arial" w:cs="Arial"/>
                <w:color w:val="000000"/>
                <w:sz w:val="17"/>
                <w:szCs w:val="17"/>
              </w:rPr>
            </w:pPr>
            <w:bookmarkStart w:id="1004" w:name="_Toc67330841"/>
            <w:r w:rsidRPr="003D1614">
              <w:rPr>
                <w:rFonts w:ascii="Arial" w:eastAsia="Calibri" w:hAnsi="Arial" w:cs="Arial"/>
                <w:b/>
                <w:color w:val="000000"/>
                <w:sz w:val="17"/>
                <w:szCs w:val="17"/>
              </w:rPr>
              <w:t>Vlasnički vrijednosni papiri:</w:t>
            </w:r>
            <w:bookmarkEnd w:id="1004"/>
          </w:p>
        </w:tc>
        <w:tc>
          <w:tcPr>
            <w:tcW w:w="555" w:type="pct"/>
            <w:tcBorders>
              <w:top w:val="nil"/>
              <w:left w:val="nil"/>
              <w:right w:val="nil"/>
            </w:tcBorders>
            <w:shd w:val="clear" w:color="auto" w:fill="auto"/>
            <w:vAlign w:val="bottom"/>
          </w:tcPr>
          <w:p w14:paraId="03FB0B0F" w14:textId="77777777" w:rsidR="009B1838" w:rsidRPr="00330DA4" w:rsidRDefault="009B1838" w:rsidP="009B1838">
            <w:pPr>
              <w:tabs>
                <w:tab w:val="right" w:pos="1202"/>
              </w:tabs>
              <w:suppressAutoHyphens/>
              <w:autoSpaceDN w:val="0"/>
              <w:outlineLvl w:val="0"/>
              <w:rPr>
                <w:rFonts w:ascii="Arial" w:eastAsia="Calibri" w:hAnsi="Arial" w:cs="Arial"/>
                <w:color w:val="000000"/>
                <w:sz w:val="17"/>
                <w:szCs w:val="17"/>
              </w:rPr>
            </w:pPr>
          </w:p>
        </w:tc>
        <w:tc>
          <w:tcPr>
            <w:tcW w:w="644" w:type="pct"/>
            <w:tcBorders>
              <w:top w:val="nil"/>
              <w:left w:val="nil"/>
              <w:right w:val="nil"/>
            </w:tcBorders>
            <w:shd w:val="clear" w:color="auto" w:fill="auto"/>
            <w:vAlign w:val="bottom"/>
          </w:tcPr>
          <w:p w14:paraId="50E3FE36" w14:textId="77777777" w:rsidR="009B1838" w:rsidRPr="00330DA4" w:rsidRDefault="009B1838" w:rsidP="009B1838">
            <w:pPr>
              <w:tabs>
                <w:tab w:val="right" w:pos="1202"/>
              </w:tabs>
              <w:suppressAutoHyphens/>
              <w:autoSpaceDN w:val="0"/>
              <w:outlineLvl w:val="0"/>
              <w:rPr>
                <w:rFonts w:ascii="Arial" w:eastAsia="Calibri" w:hAnsi="Arial" w:cs="Arial"/>
                <w:color w:val="000000"/>
                <w:sz w:val="17"/>
                <w:szCs w:val="17"/>
              </w:rPr>
            </w:pPr>
          </w:p>
        </w:tc>
        <w:tc>
          <w:tcPr>
            <w:tcW w:w="607" w:type="pct"/>
            <w:tcBorders>
              <w:top w:val="nil"/>
              <w:left w:val="nil"/>
              <w:right w:val="nil"/>
            </w:tcBorders>
            <w:shd w:val="clear" w:color="auto" w:fill="auto"/>
            <w:vAlign w:val="bottom"/>
          </w:tcPr>
          <w:p w14:paraId="559C4D8F" w14:textId="77777777" w:rsidR="009B1838" w:rsidRPr="00330DA4" w:rsidRDefault="009B1838" w:rsidP="009B1838">
            <w:pPr>
              <w:tabs>
                <w:tab w:val="right" w:pos="1202"/>
              </w:tabs>
              <w:suppressAutoHyphens/>
              <w:autoSpaceDN w:val="0"/>
              <w:outlineLvl w:val="0"/>
              <w:rPr>
                <w:rFonts w:ascii="Arial" w:eastAsia="Calibri" w:hAnsi="Arial" w:cs="Arial"/>
                <w:color w:val="000000"/>
                <w:sz w:val="17"/>
                <w:szCs w:val="17"/>
              </w:rPr>
            </w:pPr>
          </w:p>
        </w:tc>
      </w:tr>
      <w:tr w:rsidR="009B1838" w:rsidRPr="003D1614" w14:paraId="55D5F03C" w14:textId="77777777" w:rsidTr="00330DA4">
        <w:trPr>
          <w:trHeight w:val="192"/>
          <w:jc w:val="center"/>
        </w:trPr>
        <w:tc>
          <w:tcPr>
            <w:tcW w:w="3194" w:type="pct"/>
            <w:vAlign w:val="bottom"/>
          </w:tcPr>
          <w:p w14:paraId="1EDC7E7C" w14:textId="77777777" w:rsidR="009B1838" w:rsidRPr="003D1614" w:rsidRDefault="009B1838" w:rsidP="009B1838">
            <w:pPr>
              <w:tabs>
                <w:tab w:val="right" w:pos="1202"/>
              </w:tabs>
              <w:suppressAutoHyphens/>
              <w:autoSpaceDN w:val="0"/>
              <w:outlineLvl w:val="0"/>
              <w:rPr>
                <w:rFonts w:ascii="Arial" w:eastAsia="Calibri" w:hAnsi="Arial" w:cs="Arial"/>
                <w:color w:val="000000"/>
                <w:sz w:val="17"/>
                <w:szCs w:val="17"/>
              </w:rPr>
            </w:pPr>
            <w:bookmarkStart w:id="1005" w:name="_Toc67330847"/>
            <w:r w:rsidRPr="003D1614">
              <w:rPr>
                <w:rFonts w:ascii="Arial" w:eastAsia="Calibri" w:hAnsi="Arial" w:cs="Arial"/>
                <w:b/>
                <w:i/>
                <w:color w:val="000000"/>
                <w:spacing w:val="-2"/>
                <w:sz w:val="17"/>
                <w:szCs w:val="17"/>
              </w:rPr>
              <w:t>Vlasnički vrijednosni papiri koji ne kotiraju:</w:t>
            </w:r>
            <w:bookmarkEnd w:id="1005"/>
          </w:p>
        </w:tc>
        <w:tc>
          <w:tcPr>
            <w:tcW w:w="555" w:type="pct"/>
            <w:tcBorders>
              <w:left w:val="nil"/>
              <w:right w:val="nil"/>
            </w:tcBorders>
            <w:shd w:val="clear" w:color="auto" w:fill="auto"/>
            <w:vAlign w:val="bottom"/>
          </w:tcPr>
          <w:p w14:paraId="0BED24B4" w14:textId="77777777" w:rsidR="009B1838" w:rsidRPr="00330DA4" w:rsidRDefault="009B1838" w:rsidP="009B1838">
            <w:pPr>
              <w:tabs>
                <w:tab w:val="right" w:pos="1202"/>
              </w:tabs>
              <w:suppressAutoHyphens/>
              <w:autoSpaceDN w:val="0"/>
              <w:jc w:val="right"/>
              <w:outlineLvl w:val="0"/>
              <w:rPr>
                <w:rFonts w:ascii="Arial" w:eastAsia="Calibri" w:hAnsi="Arial" w:cs="Arial"/>
                <w:color w:val="000000"/>
                <w:sz w:val="17"/>
                <w:szCs w:val="17"/>
              </w:rPr>
            </w:pPr>
          </w:p>
        </w:tc>
        <w:tc>
          <w:tcPr>
            <w:tcW w:w="644" w:type="pct"/>
            <w:tcBorders>
              <w:top w:val="nil"/>
              <w:left w:val="nil"/>
              <w:right w:val="nil"/>
            </w:tcBorders>
            <w:shd w:val="clear" w:color="auto" w:fill="auto"/>
            <w:vAlign w:val="bottom"/>
          </w:tcPr>
          <w:p w14:paraId="23A5D613" w14:textId="77777777" w:rsidR="009B1838" w:rsidRPr="00330DA4" w:rsidRDefault="009B1838" w:rsidP="009B1838">
            <w:pPr>
              <w:tabs>
                <w:tab w:val="right" w:pos="1202"/>
              </w:tabs>
              <w:suppressAutoHyphens/>
              <w:autoSpaceDN w:val="0"/>
              <w:jc w:val="right"/>
              <w:outlineLvl w:val="0"/>
              <w:rPr>
                <w:rFonts w:ascii="Arial" w:eastAsia="Calibri" w:hAnsi="Arial" w:cs="Arial"/>
                <w:color w:val="000000"/>
                <w:sz w:val="17"/>
                <w:szCs w:val="17"/>
              </w:rPr>
            </w:pPr>
          </w:p>
        </w:tc>
        <w:tc>
          <w:tcPr>
            <w:tcW w:w="607" w:type="pct"/>
            <w:tcBorders>
              <w:top w:val="nil"/>
              <w:left w:val="nil"/>
              <w:right w:val="nil"/>
            </w:tcBorders>
            <w:shd w:val="clear" w:color="auto" w:fill="auto"/>
            <w:vAlign w:val="bottom"/>
          </w:tcPr>
          <w:p w14:paraId="2C1251B9" w14:textId="77777777" w:rsidR="009B1838" w:rsidRPr="00330DA4" w:rsidRDefault="009B1838" w:rsidP="009B1838">
            <w:pPr>
              <w:tabs>
                <w:tab w:val="right" w:pos="1202"/>
              </w:tabs>
              <w:suppressAutoHyphens/>
              <w:autoSpaceDN w:val="0"/>
              <w:jc w:val="right"/>
              <w:outlineLvl w:val="0"/>
              <w:rPr>
                <w:rFonts w:ascii="Arial" w:eastAsia="Calibri" w:hAnsi="Arial" w:cs="Arial"/>
                <w:color w:val="000000"/>
                <w:sz w:val="17"/>
                <w:szCs w:val="17"/>
              </w:rPr>
            </w:pPr>
          </w:p>
        </w:tc>
      </w:tr>
      <w:tr w:rsidR="00D31548" w:rsidRPr="003D1614" w14:paraId="05E345D7" w14:textId="77777777" w:rsidTr="00330DA4">
        <w:trPr>
          <w:trHeight w:hRule="exact" w:val="227"/>
          <w:jc w:val="center"/>
        </w:trPr>
        <w:tc>
          <w:tcPr>
            <w:tcW w:w="3194" w:type="pct"/>
            <w:vAlign w:val="bottom"/>
          </w:tcPr>
          <w:p w14:paraId="11E468E8" w14:textId="77777777" w:rsidR="00D31548" w:rsidRPr="003D1614" w:rsidRDefault="00D31548" w:rsidP="00D31548">
            <w:pPr>
              <w:tabs>
                <w:tab w:val="right" w:pos="1202"/>
              </w:tabs>
              <w:suppressAutoHyphens/>
              <w:autoSpaceDN w:val="0"/>
              <w:outlineLvl w:val="0"/>
              <w:rPr>
                <w:rFonts w:ascii="Arial" w:eastAsia="Calibri" w:hAnsi="Arial" w:cs="Arial"/>
                <w:color w:val="000000"/>
                <w:spacing w:val="-2"/>
                <w:sz w:val="17"/>
                <w:szCs w:val="17"/>
              </w:rPr>
            </w:pPr>
            <w:bookmarkStart w:id="1006" w:name="_Toc67330852"/>
            <w:r w:rsidRPr="003D1614">
              <w:rPr>
                <w:rFonts w:ascii="Arial" w:eastAsia="Calibri" w:hAnsi="Arial" w:cs="Arial"/>
                <w:color w:val="000000"/>
                <w:spacing w:val="-2"/>
                <w:sz w:val="17"/>
                <w:szCs w:val="17"/>
              </w:rPr>
              <w:t>Depozitarne potvrde - DR</w:t>
            </w:r>
            <w:bookmarkEnd w:id="1006"/>
          </w:p>
        </w:tc>
        <w:tc>
          <w:tcPr>
            <w:tcW w:w="555" w:type="pct"/>
            <w:tcBorders>
              <w:left w:val="nil"/>
              <w:right w:val="nil"/>
            </w:tcBorders>
            <w:shd w:val="clear" w:color="auto" w:fill="auto"/>
            <w:vAlign w:val="bottom"/>
          </w:tcPr>
          <w:p w14:paraId="02993B7D" w14:textId="409E0ED0" w:rsidR="00D31548" w:rsidRPr="00330DA4" w:rsidRDefault="00330DA4" w:rsidP="00D31548">
            <w:pPr>
              <w:tabs>
                <w:tab w:val="right" w:pos="1202"/>
              </w:tabs>
              <w:suppressAutoHyphens/>
              <w:autoSpaceDN w:val="0"/>
              <w:jc w:val="right"/>
              <w:outlineLvl w:val="0"/>
              <w:rPr>
                <w:rFonts w:ascii="Arial" w:eastAsia="Calibri" w:hAnsi="Arial" w:cs="Arial"/>
                <w:color w:val="000000"/>
                <w:sz w:val="17"/>
                <w:szCs w:val="17"/>
              </w:rPr>
            </w:pPr>
            <w:r w:rsidRPr="00330DA4">
              <w:rPr>
                <w:rFonts w:ascii="Arial" w:eastAsia="Calibri" w:hAnsi="Arial" w:cs="Arial"/>
                <w:color w:val="000000"/>
                <w:sz w:val="17"/>
                <w:szCs w:val="17"/>
              </w:rPr>
              <w:t>-</w:t>
            </w:r>
          </w:p>
        </w:tc>
        <w:tc>
          <w:tcPr>
            <w:tcW w:w="644" w:type="pct"/>
            <w:tcBorders>
              <w:top w:val="nil"/>
              <w:left w:val="nil"/>
              <w:right w:val="nil"/>
            </w:tcBorders>
            <w:shd w:val="clear" w:color="auto" w:fill="auto"/>
            <w:vAlign w:val="bottom"/>
          </w:tcPr>
          <w:p w14:paraId="4B8BEE85" w14:textId="0AAB20E0" w:rsidR="00D31548" w:rsidRPr="00330DA4" w:rsidRDefault="00330DA4" w:rsidP="00D31548">
            <w:pPr>
              <w:tabs>
                <w:tab w:val="right" w:pos="1202"/>
              </w:tabs>
              <w:suppressAutoHyphens/>
              <w:autoSpaceDN w:val="0"/>
              <w:jc w:val="right"/>
              <w:outlineLvl w:val="0"/>
              <w:rPr>
                <w:rFonts w:ascii="Arial" w:eastAsia="Calibri" w:hAnsi="Arial" w:cs="Arial"/>
                <w:color w:val="000000"/>
                <w:sz w:val="17"/>
                <w:szCs w:val="17"/>
              </w:rPr>
            </w:pPr>
            <w:r w:rsidRPr="00330DA4">
              <w:rPr>
                <w:rFonts w:ascii="Arial" w:eastAsia="Calibri" w:hAnsi="Arial" w:cs="Arial"/>
                <w:color w:val="000000"/>
                <w:sz w:val="17"/>
                <w:szCs w:val="17"/>
              </w:rPr>
              <w:t>-</w:t>
            </w:r>
          </w:p>
        </w:tc>
        <w:tc>
          <w:tcPr>
            <w:tcW w:w="607" w:type="pct"/>
            <w:tcBorders>
              <w:top w:val="nil"/>
              <w:left w:val="nil"/>
              <w:right w:val="nil"/>
            </w:tcBorders>
            <w:shd w:val="clear" w:color="auto" w:fill="auto"/>
            <w:vAlign w:val="bottom"/>
          </w:tcPr>
          <w:p w14:paraId="524A426E" w14:textId="1D9A282D" w:rsidR="00D31548" w:rsidRPr="00330DA4" w:rsidRDefault="00D31548" w:rsidP="00D31548">
            <w:pPr>
              <w:tabs>
                <w:tab w:val="right" w:pos="1202"/>
              </w:tabs>
              <w:suppressAutoHyphens/>
              <w:autoSpaceDN w:val="0"/>
              <w:jc w:val="right"/>
              <w:outlineLvl w:val="0"/>
              <w:rPr>
                <w:rFonts w:ascii="Arial" w:eastAsia="Calibri" w:hAnsi="Arial" w:cs="Arial"/>
                <w:color w:val="000000"/>
                <w:sz w:val="17"/>
                <w:szCs w:val="17"/>
              </w:rPr>
            </w:pPr>
            <w:r w:rsidRPr="00330DA4">
              <w:rPr>
                <w:rFonts w:ascii="Arial" w:hAnsi="Arial" w:cs="Arial"/>
                <w:sz w:val="17"/>
                <w:szCs w:val="17"/>
              </w:rPr>
              <w:t xml:space="preserve"> 42 </w:t>
            </w:r>
          </w:p>
        </w:tc>
      </w:tr>
      <w:tr w:rsidR="009B1838" w:rsidRPr="003D1614" w14:paraId="6C9C9F3B" w14:textId="77777777" w:rsidTr="00330DA4">
        <w:trPr>
          <w:trHeight w:hRule="exact" w:val="227"/>
          <w:jc w:val="center"/>
        </w:trPr>
        <w:tc>
          <w:tcPr>
            <w:tcW w:w="3194" w:type="pct"/>
            <w:shd w:val="clear" w:color="auto" w:fill="auto"/>
            <w:vAlign w:val="bottom"/>
          </w:tcPr>
          <w:p w14:paraId="7AFAEE57" w14:textId="77777777" w:rsidR="009B1838" w:rsidRPr="003D1614" w:rsidRDefault="009B1838" w:rsidP="009B1838">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b/>
                <w:color w:val="000000"/>
                <w:sz w:val="17"/>
                <w:szCs w:val="17"/>
              </w:rPr>
              <w:t>Derivativna financijska imovina – pozitivna fer vrijednost</w:t>
            </w:r>
          </w:p>
        </w:tc>
        <w:tc>
          <w:tcPr>
            <w:tcW w:w="555" w:type="pct"/>
            <w:tcBorders>
              <w:left w:val="nil"/>
              <w:right w:val="nil"/>
            </w:tcBorders>
            <w:shd w:val="clear" w:color="auto" w:fill="auto"/>
            <w:vAlign w:val="bottom"/>
          </w:tcPr>
          <w:p w14:paraId="07968A60" w14:textId="5A4988CC" w:rsidR="009B1838" w:rsidRPr="00330DA4" w:rsidRDefault="009B1838" w:rsidP="009B1838">
            <w:pPr>
              <w:tabs>
                <w:tab w:val="right" w:pos="1202"/>
              </w:tabs>
              <w:suppressAutoHyphens/>
              <w:autoSpaceDN w:val="0"/>
              <w:jc w:val="right"/>
              <w:outlineLvl w:val="0"/>
              <w:rPr>
                <w:rFonts w:ascii="Arial" w:eastAsia="Calibri" w:hAnsi="Arial" w:cs="Arial"/>
                <w:color w:val="000000"/>
                <w:sz w:val="17"/>
                <w:szCs w:val="17"/>
              </w:rPr>
            </w:pPr>
          </w:p>
        </w:tc>
        <w:tc>
          <w:tcPr>
            <w:tcW w:w="644" w:type="pct"/>
            <w:tcBorders>
              <w:top w:val="nil"/>
              <w:left w:val="nil"/>
              <w:right w:val="nil"/>
            </w:tcBorders>
            <w:shd w:val="clear" w:color="auto" w:fill="auto"/>
            <w:vAlign w:val="bottom"/>
          </w:tcPr>
          <w:p w14:paraId="354747A3" w14:textId="13951B6B" w:rsidR="009B1838" w:rsidRPr="00330DA4" w:rsidRDefault="009B1838" w:rsidP="009B1838">
            <w:pPr>
              <w:tabs>
                <w:tab w:val="right" w:pos="1202"/>
              </w:tabs>
              <w:suppressAutoHyphens/>
              <w:autoSpaceDN w:val="0"/>
              <w:jc w:val="right"/>
              <w:outlineLvl w:val="0"/>
              <w:rPr>
                <w:rFonts w:ascii="Arial" w:eastAsia="Calibri" w:hAnsi="Arial" w:cs="Arial"/>
                <w:color w:val="000000"/>
                <w:sz w:val="17"/>
                <w:szCs w:val="17"/>
              </w:rPr>
            </w:pPr>
          </w:p>
        </w:tc>
        <w:tc>
          <w:tcPr>
            <w:tcW w:w="607" w:type="pct"/>
            <w:tcBorders>
              <w:top w:val="nil"/>
              <w:left w:val="nil"/>
              <w:right w:val="nil"/>
            </w:tcBorders>
            <w:shd w:val="clear" w:color="auto" w:fill="auto"/>
            <w:vAlign w:val="bottom"/>
          </w:tcPr>
          <w:p w14:paraId="0A940BFD" w14:textId="77777777" w:rsidR="009B1838" w:rsidRPr="00330DA4" w:rsidRDefault="009B1838" w:rsidP="009B1838">
            <w:pPr>
              <w:tabs>
                <w:tab w:val="right" w:pos="1202"/>
              </w:tabs>
              <w:suppressAutoHyphens/>
              <w:autoSpaceDN w:val="0"/>
              <w:jc w:val="right"/>
              <w:outlineLvl w:val="0"/>
              <w:rPr>
                <w:rFonts w:ascii="Arial" w:eastAsia="Calibri" w:hAnsi="Arial" w:cs="Arial"/>
                <w:color w:val="000000"/>
                <w:sz w:val="17"/>
                <w:szCs w:val="17"/>
              </w:rPr>
            </w:pPr>
          </w:p>
        </w:tc>
      </w:tr>
      <w:tr w:rsidR="00C25C9F" w:rsidRPr="003D1614" w14:paraId="1AA95F1B" w14:textId="77777777" w:rsidTr="00330DA4">
        <w:trPr>
          <w:trHeight w:hRule="exact" w:val="227"/>
          <w:jc w:val="center"/>
        </w:trPr>
        <w:tc>
          <w:tcPr>
            <w:tcW w:w="3194" w:type="pct"/>
            <w:shd w:val="clear" w:color="auto" w:fill="auto"/>
            <w:vAlign w:val="bottom"/>
          </w:tcPr>
          <w:p w14:paraId="4F958EB9" w14:textId="77777777" w:rsidR="00C25C9F" w:rsidRPr="003D1614" w:rsidRDefault="00C25C9F" w:rsidP="00C25C9F">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bCs/>
                <w:color w:val="000000"/>
                <w:sz w:val="17"/>
                <w:szCs w:val="17"/>
              </w:rPr>
              <w:t>FX swap</w:t>
            </w:r>
          </w:p>
        </w:tc>
        <w:tc>
          <w:tcPr>
            <w:tcW w:w="555" w:type="pct"/>
            <w:tcBorders>
              <w:left w:val="nil"/>
              <w:right w:val="nil"/>
            </w:tcBorders>
            <w:shd w:val="clear" w:color="auto" w:fill="auto"/>
            <w:vAlign w:val="bottom"/>
          </w:tcPr>
          <w:p w14:paraId="37912573" w14:textId="5F328ACD" w:rsidR="00C25C9F" w:rsidRPr="00330DA4" w:rsidRDefault="00C25C9F" w:rsidP="00C25C9F">
            <w:pPr>
              <w:tabs>
                <w:tab w:val="right" w:pos="1202"/>
              </w:tabs>
              <w:suppressAutoHyphens/>
              <w:autoSpaceDN w:val="0"/>
              <w:jc w:val="right"/>
              <w:outlineLvl w:val="0"/>
              <w:rPr>
                <w:rFonts w:ascii="Arial" w:eastAsia="Calibri" w:hAnsi="Arial" w:cs="Arial"/>
                <w:color w:val="000000"/>
                <w:sz w:val="17"/>
                <w:szCs w:val="17"/>
              </w:rPr>
            </w:pPr>
            <w:r w:rsidRPr="00330DA4">
              <w:rPr>
                <w:rFonts w:ascii="Arial" w:hAnsi="Arial" w:cs="Arial"/>
                <w:sz w:val="17"/>
                <w:szCs w:val="17"/>
              </w:rPr>
              <w:t>-</w:t>
            </w:r>
          </w:p>
        </w:tc>
        <w:tc>
          <w:tcPr>
            <w:tcW w:w="644" w:type="pct"/>
            <w:tcBorders>
              <w:top w:val="nil"/>
              <w:left w:val="nil"/>
              <w:right w:val="nil"/>
            </w:tcBorders>
            <w:shd w:val="clear" w:color="auto" w:fill="auto"/>
            <w:vAlign w:val="bottom"/>
          </w:tcPr>
          <w:p w14:paraId="5656893D" w14:textId="3103C83E" w:rsidR="00C25C9F" w:rsidRPr="00330DA4" w:rsidRDefault="00C25C9F" w:rsidP="00C25C9F">
            <w:pPr>
              <w:tabs>
                <w:tab w:val="right" w:pos="1202"/>
              </w:tabs>
              <w:suppressAutoHyphens/>
              <w:autoSpaceDN w:val="0"/>
              <w:jc w:val="right"/>
              <w:outlineLvl w:val="0"/>
              <w:rPr>
                <w:rFonts w:ascii="Arial" w:eastAsia="Calibri" w:hAnsi="Arial" w:cs="Arial"/>
                <w:color w:val="000000"/>
                <w:sz w:val="17"/>
                <w:szCs w:val="17"/>
              </w:rPr>
            </w:pPr>
            <w:r w:rsidRPr="00330DA4">
              <w:rPr>
                <w:rFonts w:ascii="Arial" w:hAnsi="Arial" w:cs="Arial"/>
                <w:sz w:val="17"/>
                <w:szCs w:val="17"/>
              </w:rPr>
              <w:t xml:space="preserve"> 20 </w:t>
            </w:r>
          </w:p>
        </w:tc>
        <w:tc>
          <w:tcPr>
            <w:tcW w:w="607" w:type="pct"/>
            <w:tcBorders>
              <w:top w:val="nil"/>
              <w:left w:val="nil"/>
              <w:right w:val="nil"/>
            </w:tcBorders>
            <w:shd w:val="clear" w:color="auto" w:fill="auto"/>
            <w:vAlign w:val="bottom"/>
          </w:tcPr>
          <w:p w14:paraId="50DBC88B" w14:textId="7925D055" w:rsidR="00C25C9F" w:rsidRPr="00330DA4" w:rsidRDefault="00C25C9F" w:rsidP="00C25C9F">
            <w:pPr>
              <w:tabs>
                <w:tab w:val="right" w:pos="1202"/>
              </w:tabs>
              <w:suppressAutoHyphens/>
              <w:autoSpaceDN w:val="0"/>
              <w:jc w:val="right"/>
              <w:outlineLvl w:val="0"/>
              <w:rPr>
                <w:rFonts w:ascii="Arial" w:eastAsia="Calibri" w:hAnsi="Arial" w:cs="Arial"/>
                <w:color w:val="000000"/>
                <w:sz w:val="17"/>
                <w:szCs w:val="17"/>
              </w:rPr>
            </w:pPr>
            <w:r w:rsidRPr="00330DA4">
              <w:rPr>
                <w:rFonts w:ascii="Arial" w:hAnsi="Arial" w:cs="Arial"/>
                <w:sz w:val="17"/>
                <w:szCs w:val="17"/>
              </w:rPr>
              <w:t>-</w:t>
            </w:r>
          </w:p>
        </w:tc>
      </w:tr>
      <w:tr w:rsidR="00A413E9" w:rsidRPr="003D1614" w14:paraId="5F457275" w14:textId="77777777" w:rsidTr="00330DA4">
        <w:trPr>
          <w:trHeight w:hRule="exact" w:val="255"/>
          <w:jc w:val="center"/>
        </w:trPr>
        <w:tc>
          <w:tcPr>
            <w:tcW w:w="3194" w:type="pct"/>
            <w:vAlign w:val="bottom"/>
          </w:tcPr>
          <w:p w14:paraId="6EB243C8" w14:textId="77777777" w:rsidR="00A413E9" w:rsidRPr="003D1614" w:rsidRDefault="00A413E9" w:rsidP="00A413E9">
            <w:pPr>
              <w:tabs>
                <w:tab w:val="right" w:pos="1202"/>
              </w:tabs>
              <w:suppressAutoHyphens/>
              <w:autoSpaceDN w:val="0"/>
              <w:outlineLvl w:val="0"/>
              <w:rPr>
                <w:rFonts w:ascii="Arial" w:eastAsia="Calibri" w:hAnsi="Arial" w:cs="Arial"/>
                <w:color w:val="000000"/>
                <w:sz w:val="17"/>
                <w:szCs w:val="17"/>
              </w:rPr>
            </w:pPr>
            <w:bookmarkStart w:id="1007" w:name="_Toc67330865"/>
            <w:r w:rsidRPr="003D1614">
              <w:rPr>
                <w:rFonts w:ascii="Arial" w:eastAsia="Calibri" w:hAnsi="Arial" w:cs="Arial"/>
                <w:b/>
                <w:color w:val="000000"/>
                <w:sz w:val="17"/>
                <w:szCs w:val="17"/>
              </w:rPr>
              <w:t>Ukupno financijska imovina po fer vrijednosti kroz dobit ili gubitak</w:t>
            </w:r>
            <w:bookmarkEnd w:id="1007"/>
          </w:p>
        </w:tc>
        <w:tc>
          <w:tcPr>
            <w:tcW w:w="555" w:type="pct"/>
            <w:tcBorders>
              <w:top w:val="single" w:sz="4" w:space="0" w:color="auto"/>
              <w:left w:val="nil"/>
              <w:bottom w:val="single" w:sz="12" w:space="0" w:color="auto"/>
              <w:right w:val="nil"/>
            </w:tcBorders>
            <w:shd w:val="clear" w:color="auto" w:fill="auto"/>
            <w:vAlign w:val="bottom"/>
          </w:tcPr>
          <w:p w14:paraId="47DF399B" w14:textId="27A753F3" w:rsidR="00A413E9" w:rsidRPr="00330DA4" w:rsidRDefault="00A413E9" w:rsidP="00A413E9">
            <w:pPr>
              <w:tabs>
                <w:tab w:val="right" w:pos="1202"/>
              </w:tabs>
              <w:suppressAutoHyphens/>
              <w:autoSpaceDN w:val="0"/>
              <w:jc w:val="right"/>
              <w:outlineLvl w:val="0"/>
              <w:rPr>
                <w:rFonts w:ascii="Arial" w:eastAsia="Calibri" w:hAnsi="Arial" w:cs="Arial"/>
                <w:b/>
                <w:bCs/>
                <w:color w:val="000000"/>
                <w:sz w:val="17"/>
                <w:szCs w:val="17"/>
              </w:rPr>
            </w:pPr>
            <w:r w:rsidRPr="00330DA4">
              <w:rPr>
                <w:rFonts w:ascii="Arial" w:hAnsi="Arial" w:cs="Arial"/>
                <w:b/>
                <w:bCs/>
                <w:sz w:val="17"/>
                <w:szCs w:val="17"/>
              </w:rPr>
              <w:t xml:space="preserve"> 33.044 </w:t>
            </w:r>
          </w:p>
        </w:tc>
        <w:tc>
          <w:tcPr>
            <w:tcW w:w="644" w:type="pct"/>
            <w:tcBorders>
              <w:top w:val="single" w:sz="4" w:space="0" w:color="auto"/>
              <w:left w:val="nil"/>
              <w:bottom w:val="single" w:sz="12" w:space="0" w:color="auto"/>
              <w:right w:val="nil"/>
            </w:tcBorders>
            <w:shd w:val="clear" w:color="auto" w:fill="auto"/>
            <w:vAlign w:val="bottom"/>
          </w:tcPr>
          <w:p w14:paraId="59B1C327" w14:textId="594C5E87" w:rsidR="00A413E9" w:rsidRPr="00330DA4" w:rsidRDefault="00A413E9" w:rsidP="00A413E9">
            <w:pPr>
              <w:tabs>
                <w:tab w:val="right" w:pos="1202"/>
              </w:tabs>
              <w:suppressAutoHyphens/>
              <w:autoSpaceDN w:val="0"/>
              <w:jc w:val="right"/>
              <w:outlineLvl w:val="0"/>
              <w:rPr>
                <w:rFonts w:ascii="Arial" w:eastAsia="Calibri" w:hAnsi="Arial" w:cs="Arial"/>
                <w:b/>
                <w:bCs/>
                <w:color w:val="000000"/>
                <w:sz w:val="17"/>
                <w:szCs w:val="17"/>
              </w:rPr>
            </w:pPr>
            <w:r w:rsidRPr="00330DA4">
              <w:rPr>
                <w:rFonts w:ascii="Arial" w:hAnsi="Arial" w:cs="Arial"/>
                <w:b/>
                <w:bCs/>
                <w:sz w:val="17"/>
                <w:szCs w:val="17"/>
              </w:rPr>
              <w:t xml:space="preserve"> 20 </w:t>
            </w:r>
          </w:p>
        </w:tc>
        <w:tc>
          <w:tcPr>
            <w:tcW w:w="607" w:type="pct"/>
            <w:tcBorders>
              <w:top w:val="single" w:sz="4" w:space="0" w:color="auto"/>
              <w:left w:val="nil"/>
              <w:bottom w:val="single" w:sz="12" w:space="0" w:color="auto"/>
              <w:right w:val="nil"/>
            </w:tcBorders>
            <w:shd w:val="clear" w:color="auto" w:fill="auto"/>
            <w:vAlign w:val="bottom"/>
          </w:tcPr>
          <w:p w14:paraId="139892D3" w14:textId="61D3454C" w:rsidR="00A413E9" w:rsidRPr="00330DA4" w:rsidRDefault="00A413E9" w:rsidP="00A413E9">
            <w:pPr>
              <w:tabs>
                <w:tab w:val="right" w:pos="1202"/>
              </w:tabs>
              <w:suppressAutoHyphens/>
              <w:autoSpaceDN w:val="0"/>
              <w:jc w:val="right"/>
              <w:outlineLvl w:val="0"/>
              <w:rPr>
                <w:rFonts w:ascii="Arial" w:eastAsia="Calibri" w:hAnsi="Arial" w:cs="Arial"/>
                <w:b/>
                <w:bCs/>
                <w:color w:val="000000"/>
                <w:sz w:val="17"/>
                <w:szCs w:val="17"/>
              </w:rPr>
            </w:pPr>
            <w:r w:rsidRPr="00330DA4">
              <w:rPr>
                <w:rFonts w:ascii="Arial" w:hAnsi="Arial" w:cs="Arial"/>
                <w:b/>
                <w:bCs/>
                <w:sz w:val="17"/>
                <w:szCs w:val="17"/>
              </w:rPr>
              <w:t xml:space="preserve"> 32.968 </w:t>
            </w:r>
          </w:p>
        </w:tc>
      </w:tr>
      <w:tr w:rsidR="009B1838" w:rsidRPr="003D1614" w14:paraId="46B25DAD" w14:textId="77777777" w:rsidTr="00330DA4">
        <w:trPr>
          <w:trHeight w:hRule="exact" w:val="255"/>
          <w:jc w:val="center"/>
        </w:trPr>
        <w:tc>
          <w:tcPr>
            <w:tcW w:w="3194" w:type="pct"/>
            <w:shd w:val="clear" w:color="auto" w:fill="auto"/>
            <w:vAlign w:val="bottom"/>
          </w:tcPr>
          <w:p w14:paraId="0644C920" w14:textId="77777777" w:rsidR="009B1838" w:rsidRPr="003D1614" w:rsidRDefault="009B1838" w:rsidP="009B1838">
            <w:pPr>
              <w:tabs>
                <w:tab w:val="right" w:pos="1202"/>
              </w:tabs>
              <w:suppressAutoHyphens/>
              <w:autoSpaceDN w:val="0"/>
              <w:outlineLvl w:val="0"/>
              <w:rPr>
                <w:rFonts w:ascii="Arial" w:eastAsia="Calibri" w:hAnsi="Arial" w:cs="Arial"/>
                <w:b/>
                <w:color w:val="000000"/>
                <w:spacing w:val="-2"/>
                <w:sz w:val="17"/>
                <w:szCs w:val="17"/>
              </w:rPr>
            </w:pPr>
            <w:bookmarkStart w:id="1008" w:name="_Toc67330869"/>
            <w:r w:rsidRPr="003D1614">
              <w:rPr>
                <w:rFonts w:ascii="Arial" w:eastAsia="Calibri" w:hAnsi="Arial" w:cs="Arial"/>
                <w:b/>
                <w:color w:val="000000"/>
                <w:spacing w:val="-2"/>
                <w:sz w:val="17"/>
                <w:szCs w:val="17"/>
              </w:rPr>
              <w:t>Financijska imovina po fer vrijednosti kroz ostalu sveobuhvatnu dobit:</w:t>
            </w:r>
            <w:bookmarkEnd w:id="1008"/>
          </w:p>
        </w:tc>
        <w:tc>
          <w:tcPr>
            <w:tcW w:w="555" w:type="pct"/>
            <w:vAlign w:val="bottom"/>
          </w:tcPr>
          <w:p w14:paraId="17E48334" w14:textId="77777777" w:rsidR="009B1838" w:rsidRPr="00330DA4" w:rsidDel="00561A80" w:rsidRDefault="009B1838" w:rsidP="009B1838">
            <w:pPr>
              <w:tabs>
                <w:tab w:val="right" w:pos="1202"/>
              </w:tabs>
              <w:suppressAutoHyphens/>
              <w:autoSpaceDN w:val="0"/>
              <w:jc w:val="right"/>
              <w:outlineLvl w:val="0"/>
              <w:rPr>
                <w:rFonts w:ascii="Arial" w:eastAsia="Calibri" w:hAnsi="Arial" w:cs="Arial"/>
                <w:color w:val="000000"/>
                <w:spacing w:val="-2"/>
                <w:sz w:val="17"/>
                <w:szCs w:val="17"/>
              </w:rPr>
            </w:pPr>
          </w:p>
        </w:tc>
        <w:tc>
          <w:tcPr>
            <w:tcW w:w="644" w:type="pct"/>
            <w:vAlign w:val="bottom"/>
          </w:tcPr>
          <w:p w14:paraId="348A2CAC" w14:textId="77777777" w:rsidR="009B1838" w:rsidRPr="00330DA4" w:rsidDel="00561A80" w:rsidRDefault="009B1838" w:rsidP="009B1838">
            <w:pPr>
              <w:tabs>
                <w:tab w:val="right" w:pos="1202"/>
              </w:tabs>
              <w:suppressAutoHyphens/>
              <w:autoSpaceDN w:val="0"/>
              <w:jc w:val="right"/>
              <w:outlineLvl w:val="0"/>
              <w:rPr>
                <w:rFonts w:ascii="Arial" w:eastAsia="Calibri" w:hAnsi="Arial" w:cs="Arial"/>
                <w:color w:val="000000"/>
                <w:spacing w:val="-2"/>
                <w:sz w:val="17"/>
                <w:szCs w:val="17"/>
              </w:rPr>
            </w:pPr>
          </w:p>
        </w:tc>
        <w:tc>
          <w:tcPr>
            <w:tcW w:w="607" w:type="pct"/>
            <w:vAlign w:val="bottom"/>
          </w:tcPr>
          <w:p w14:paraId="33E0809A" w14:textId="77777777" w:rsidR="009B1838" w:rsidRPr="00330DA4" w:rsidDel="00561A80" w:rsidRDefault="009B1838" w:rsidP="009B1838">
            <w:pPr>
              <w:tabs>
                <w:tab w:val="right" w:pos="1202"/>
              </w:tabs>
              <w:suppressAutoHyphens/>
              <w:autoSpaceDN w:val="0"/>
              <w:jc w:val="right"/>
              <w:outlineLvl w:val="0"/>
              <w:rPr>
                <w:rFonts w:ascii="Arial" w:eastAsia="Calibri" w:hAnsi="Arial" w:cs="Arial"/>
                <w:color w:val="000000"/>
                <w:spacing w:val="-2"/>
                <w:sz w:val="17"/>
                <w:szCs w:val="17"/>
              </w:rPr>
            </w:pPr>
          </w:p>
        </w:tc>
      </w:tr>
      <w:tr w:rsidR="009B1838" w:rsidRPr="003D1614" w14:paraId="32E70334" w14:textId="77777777" w:rsidTr="00330DA4">
        <w:trPr>
          <w:trHeight w:hRule="exact" w:val="255"/>
          <w:jc w:val="center"/>
        </w:trPr>
        <w:tc>
          <w:tcPr>
            <w:tcW w:w="3194" w:type="pct"/>
            <w:shd w:val="clear" w:color="auto" w:fill="auto"/>
            <w:vAlign w:val="bottom"/>
          </w:tcPr>
          <w:p w14:paraId="43C0857F" w14:textId="77777777" w:rsidR="009B1838" w:rsidRPr="003D1614" w:rsidRDefault="009B1838" w:rsidP="009B1838">
            <w:pPr>
              <w:tabs>
                <w:tab w:val="right" w:pos="1202"/>
              </w:tabs>
              <w:suppressAutoHyphens/>
              <w:autoSpaceDN w:val="0"/>
              <w:outlineLvl w:val="0"/>
              <w:rPr>
                <w:rFonts w:ascii="Arial" w:eastAsia="Calibri" w:hAnsi="Arial" w:cs="Arial"/>
                <w:b/>
                <w:color w:val="000000"/>
                <w:spacing w:val="-2"/>
                <w:sz w:val="17"/>
                <w:szCs w:val="17"/>
              </w:rPr>
            </w:pPr>
            <w:bookmarkStart w:id="1009" w:name="_Toc67330870"/>
            <w:r w:rsidRPr="003D1614">
              <w:rPr>
                <w:rFonts w:ascii="Arial" w:eastAsia="Calibri" w:hAnsi="Arial" w:cs="Arial"/>
                <w:b/>
                <w:color w:val="000000"/>
                <w:spacing w:val="-2"/>
                <w:sz w:val="17"/>
                <w:szCs w:val="17"/>
              </w:rPr>
              <w:t>Dužnički vrijednosni papiri:</w:t>
            </w:r>
            <w:bookmarkEnd w:id="1009"/>
          </w:p>
        </w:tc>
        <w:tc>
          <w:tcPr>
            <w:tcW w:w="555" w:type="pct"/>
            <w:vAlign w:val="bottom"/>
          </w:tcPr>
          <w:p w14:paraId="4BCE3632" w14:textId="77777777" w:rsidR="009B1838" w:rsidRPr="00330DA4" w:rsidDel="00561A80" w:rsidRDefault="009B1838" w:rsidP="009B1838">
            <w:pPr>
              <w:tabs>
                <w:tab w:val="right" w:pos="1202"/>
              </w:tabs>
              <w:suppressAutoHyphens/>
              <w:autoSpaceDN w:val="0"/>
              <w:jc w:val="right"/>
              <w:outlineLvl w:val="0"/>
              <w:rPr>
                <w:rFonts w:ascii="Arial" w:eastAsia="Calibri" w:hAnsi="Arial" w:cs="Arial"/>
                <w:color w:val="000000"/>
                <w:spacing w:val="-2"/>
                <w:sz w:val="17"/>
                <w:szCs w:val="17"/>
              </w:rPr>
            </w:pPr>
          </w:p>
        </w:tc>
        <w:tc>
          <w:tcPr>
            <w:tcW w:w="644" w:type="pct"/>
            <w:vAlign w:val="bottom"/>
          </w:tcPr>
          <w:p w14:paraId="41020CEE" w14:textId="77777777" w:rsidR="009B1838" w:rsidRPr="00330DA4" w:rsidDel="00561A80" w:rsidRDefault="009B1838" w:rsidP="009B1838">
            <w:pPr>
              <w:tabs>
                <w:tab w:val="right" w:pos="1202"/>
              </w:tabs>
              <w:suppressAutoHyphens/>
              <w:autoSpaceDN w:val="0"/>
              <w:jc w:val="right"/>
              <w:outlineLvl w:val="0"/>
              <w:rPr>
                <w:rFonts w:ascii="Arial" w:eastAsia="Calibri" w:hAnsi="Arial" w:cs="Arial"/>
                <w:color w:val="000000"/>
                <w:spacing w:val="-2"/>
                <w:sz w:val="17"/>
                <w:szCs w:val="17"/>
              </w:rPr>
            </w:pPr>
          </w:p>
        </w:tc>
        <w:tc>
          <w:tcPr>
            <w:tcW w:w="607" w:type="pct"/>
            <w:vAlign w:val="bottom"/>
          </w:tcPr>
          <w:p w14:paraId="06B6EE77" w14:textId="77777777" w:rsidR="009B1838" w:rsidRPr="00330DA4" w:rsidDel="00561A80" w:rsidRDefault="009B1838" w:rsidP="009B1838">
            <w:pPr>
              <w:tabs>
                <w:tab w:val="right" w:pos="1202"/>
              </w:tabs>
              <w:suppressAutoHyphens/>
              <w:autoSpaceDN w:val="0"/>
              <w:jc w:val="right"/>
              <w:outlineLvl w:val="0"/>
              <w:rPr>
                <w:rFonts w:ascii="Arial" w:eastAsia="Calibri" w:hAnsi="Arial" w:cs="Arial"/>
                <w:color w:val="000000"/>
                <w:spacing w:val="-2"/>
                <w:sz w:val="17"/>
                <w:szCs w:val="17"/>
              </w:rPr>
            </w:pPr>
          </w:p>
        </w:tc>
      </w:tr>
      <w:tr w:rsidR="009B1838" w:rsidRPr="003D1614" w14:paraId="2C405D09" w14:textId="77777777" w:rsidTr="00330DA4">
        <w:trPr>
          <w:trHeight w:hRule="exact" w:val="255"/>
          <w:jc w:val="center"/>
        </w:trPr>
        <w:tc>
          <w:tcPr>
            <w:tcW w:w="3194" w:type="pct"/>
            <w:shd w:val="clear" w:color="auto" w:fill="auto"/>
            <w:vAlign w:val="bottom"/>
          </w:tcPr>
          <w:p w14:paraId="6372AFAA" w14:textId="77777777" w:rsidR="009B1838" w:rsidRPr="003D1614" w:rsidRDefault="009B1838" w:rsidP="009B1838">
            <w:pPr>
              <w:tabs>
                <w:tab w:val="right" w:pos="1202"/>
              </w:tabs>
              <w:suppressAutoHyphens/>
              <w:autoSpaceDN w:val="0"/>
              <w:outlineLvl w:val="0"/>
              <w:rPr>
                <w:rFonts w:ascii="Arial" w:eastAsia="Calibri" w:hAnsi="Arial" w:cs="Arial"/>
                <w:b/>
                <w:i/>
                <w:color w:val="000000"/>
                <w:spacing w:val="-2"/>
                <w:sz w:val="17"/>
                <w:szCs w:val="17"/>
              </w:rPr>
            </w:pPr>
            <w:bookmarkStart w:id="1010" w:name="_Toc67330871"/>
            <w:r w:rsidRPr="003D1614">
              <w:rPr>
                <w:rFonts w:ascii="Arial" w:eastAsia="Calibri" w:hAnsi="Arial" w:cs="Arial"/>
                <w:b/>
                <w:i/>
                <w:color w:val="000000"/>
                <w:spacing w:val="-2"/>
                <w:sz w:val="17"/>
                <w:szCs w:val="17"/>
              </w:rPr>
              <w:t>Dužnički vrijednosni papiri koji kotiraju:</w:t>
            </w:r>
            <w:bookmarkEnd w:id="1010"/>
          </w:p>
        </w:tc>
        <w:tc>
          <w:tcPr>
            <w:tcW w:w="555" w:type="pct"/>
            <w:vAlign w:val="bottom"/>
          </w:tcPr>
          <w:p w14:paraId="41C9FB6D" w14:textId="77777777" w:rsidR="009B1838" w:rsidRPr="00330DA4" w:rsidDel="00561A80" w:rsidRDefault="009B1838" w:rsidP="009B1838">
            <w:pPr>
              <w:tabs>
                <w:tab w:val="right" w:pos="1202"/>
              </w:tabs>
              <w:suppressAutoHyphens/>
              <w:autoSpaceDN w:val="0"/>
              <w:jc w:val="right"/>
              <w:outlineLvl w:val="0"/>
              <w:rPr>
                <w:rFonts w:ascii="Arial" w:eastAsia="Calibri" w:hAnsi="Arial" w:cs="Arial"/>
                <w:color w:val="000000"/>
                <w:spacing w:val="-2"/>
                <w:sz w:val="17"/>
                <w:szCs w:val="17"/>
              </w:rPr>
            </w:pPr>
          </w:p>
        </w:tc>
        <w:tc>
          <w:tcPr>
            <w:tcW w:w="644" w:type="pct"/>
            <w:vAlign w:val="bottom"/>
          </w:tcPr>
          <w:p w14:paraId="7CBF694C" w14:textId="77777777" w:rsidR="009B1838" w:rsidRPr="00330DA4" w:rsidDel="00561A80" w:rsidRDefault="009B1838" w:rsidP="009B1838">
            <w:pPr>
              <w:tabs>
                <w:tab w:val="right" w:pos="1202"/>
              </w:tabs>
              <w:suppressAutoHyphens/>
              <w:autoSpaceDN w:val="0"/>
              <w:jc w:val="right"/>
              <w:outlineLvl w:val="0"/>
              <w:rPr>
                <w:rFonts w:ascii="Arial" w:eastAsia="Calibri" w:hAnsi="Arial" w:cs="Arial"/>
                <w:color w:val="000000"/>
                <w:spacing w:val="-2"/>
                <w:sz w:val="17"/>
                <w:szCs w:val="17"/>
              </w:rPr>
            </w:pPr>
          </w:p>
        </w:tc>
        <w:tc>
          <w:tcPr>
            <w:tcW w:w="607" w:type="pct"/>
            <w:vAlign w:val="bottom"/>
          </w:tcPr>
          <w:p w14:paraId="56378D9B" w14:textId="77777777" w:rsidR="009B1838" w:rsidRPr="00330DA4" w:rsidDel="00561A80" w:rsidRDefault="009B1838" w:rsidP="009B1838">
            <w:pPr>
              <w:tabs>
                <w:tab w:val="right" w:pos="1202"/>
              </w:tabs>
              <w:suppressAutoHyphens/>
              <w:autoSpaceDN w:val="0"/>
              <w:jc w:val="right"/>
              <w:outlineLvl w:val="0"/>
              <w:rPr>
                <w:rFonts w:ascii="Arial" w:eastAsia="Calibri" w:hAnsi="Arial" w:cs="Arial"/>
                <w:color w:val="000000"/>
                <w:spacing w:val="-2"/>
                <w:sz w:val="17"/>
                <w:szCs w:val="17"/>
              </w:rPr>
            </w:pPr>
          </w:p>
        </w:tc>
      </w:tr>
      <w:tr w:rsidR="00A413E9" w:rsidRPr="003D1614" w14:paraId="180EB15A" w14:textId="77777777" w:rsidTr="00330DA4">
        <w:trPr>
          <w:trHeight w:hRule="exact" w:val="227"/>
          <w:jc w:val="center"/>
        </w:trPr>
        <w:tc>
          <w:tcPr>
            <w:tcW w:w="3194" w:type="pct"/>
            <w:shd w:val="clear" w:color="auto" w:fill="auto"/>
            <w:vAlign w:val="bottom"/>
          </w:tcPr>
          <w:p w14:paraId="3C3DE10F" w14:textId="77777777" w:rsidR="00A413E9" w:rsidRPr="003D1614" w:rsidRDefault="00A413E9" w:rsidP="00A413E9">
            <w:pPr>
              <w:tabs>
                <w:tab w:val="right" w:pos="1202"/>
              </w:tabs>
              <w:suppressAutoHyphens/>
              <w:autoSpaceDN w:val="0"/>
              <w:outlineLvl w:val="0"/>
              <w:rPr>
                <w:rFonts w:ascii="Arial" w:eastAsia="Calibri" w:hAnsi="Arial" w:cs="Arial"/>
                <w:color w:val="000000"/>
                <w:spacing w:val="-2"/>
                <w:sz w:val="17"/>
                <w:szCs w:val="17"/>
              </w:rPr>
            </w:pPr>
            <w:bookmarkStart w:id="1011" w:name="_Toc67330872"/>
            <w:r w:rsidRPr="003D1614">
              <w:rPr>
                <w:rFonts w:ascii="Arial" w:eastAsia="Calibri" w:hAnsi="Arial" w:cs="Arial"/>
                <w:color w:val="000000"/>
                <w:spacing w:val="-2"/>
                <w:sz w:val="17"/>
                <w:szCs w:val="17"/>
              </w:rPr>
              <w:t>Obveznice Republike Hrvatske</w:t>
            </w:r>
            <w:bookmarkEnd w:id="1011"/>
          </w:p>
        </w:tc>
        <w:tc>
          <w:tcPr>
            <w:tcW w:w="555" w:type="pct"/>
            <w:tcBorders>
              <w:top w:val="nil"/>
              <w:left w:val="nil"/>
              <w:bottom w:val="nil"/>
              <w:right w:val="nil"/>
            </w:tcBorders>
            <w:shd w:val="clear" w:color="auto" w:fill="auto"/>
            <w:vAlign w:val="bottom"/>
          </w:tcPr>
          <w:p w14:paraId="2CEFDE88" w14:textId="3456D52E" w:rsidR="00A413E9" w:rsidRPr="00330DA4" w:rsidRDefault="00A413E9" w:rsidP="00A413E9">
            <w:pPr>
              <w:tabs>
                <w:tab w:val="right" w:pos="1202"/>
              </w:tabs>
              <w:suppressAutoHyphens/>
              <w:autoSpaceDN w:val="0"/>
              <w:jc w:val="right"/>
              <w:outlineLvl w:val="0"/>
              <w:rPr>
                <w:rFonts w:ascii="Arial" w:eastAsia="Calibri" w:hAnsi="Arial" w:cs="Arial"/>
                <w:color w:val="000000"/>
                <w:sz w:val="17"/>
                <w:szCs w:val="17"/>
              </w:rPr>
            </w:pPr>
            <w:r w:rsidRPr="00330DA4">
              <w:rPr>
                <w:rFonts w:ascii="Arial" w:hAnsi="Arial" w:cs="Arial"/>
                <w:sz w:val="17"/>
                <w:szCs w:val="17"/>
              </w:rPr>
              <w:t xml:space="preserve"> 221.537 </w:t>
            </w:r>
          </w:p>
        </w:tc>
        <w:tc>
          <w:tcPr>
            <w:tcW w:w="644" w:type="pct"/>
            <w:tcBorders>
              <w:top w:val="nil"/>
              <w:left w:val="nil"/>
              <w:bottom w:val="nil"/>
              <w:right w:val="nil"/>
            </w:tcBorders>
            <w:shd w:val="clear" w:color="auto" w:fill="auto"/>
            <w:vAlign w:val="bottom"/>
          </w:tcPr>
          <w:p w14:paraId="0938D855" w14:textId="023D1FDB" w:rsidR="00A413E9" w:rsidRPr="00330DA4" w:rsidRDefault="00A413E9" w:rsidP="00A413E9">
            <w:pPr>
              <w:tabs>
                <w:tab w:val="right" w:pos="1202"/>
              </w:tabs>
              <w:suppressAutoHyphens/>
              <w:autoSpaceDN w:val="0"/>
              <w:jc w:val="right"/>
              <w:outlineLvl w:val="0"/>
              <w:rPr>
                <w:rFonts w:ascii="Arial" w:eastAsia="Calibri" w:hAnsi="Arial" w:cs="Arial"/>
                <w:color w:val="000000"/>
                <w:sz w:val="17"/>
                <w:szCs w:val="17"/>
              </w:rPr>
            </w:pPr>
            <w:r w:rsidRPr="00330DA4">
              <w:rPr>
                <w:rFonts w:ascii="Arial" w:hAnsi="Arial" w:cs="Arial"/>
                <w:sz w:val="17"/>
                <w:szCs w:val="17"/>
              </w:rPr>
              <w:t xml:space="preserve"> - </w:t>
            </w:r>
          </w:p>
        </w:tc>
        <w:tc>
          <w:tcPr>
            <w:tcW w:w="607" w:type="pct"/>
            <w:tcBorders>
              <w:top w:val="nil"/>
              <w:left w:val="nil"/>
              <w:bottom w:val="nil"/>
              <w:right w:val="nil"/>
            </w:tcBorders>
            <w:shd w:val="clear" w:color="auto" w:fill="auto"/>
            <w:vAlign w:val="bottom"/>
          </w:tcPr>
          <w:p w14:paraId="64CFEEF2" w14:textId="7DFBB560" w:rsidR="00A413E9" w:rsidRPr="00330DA4" w:rsidRDefault="00A413E9" w:rsidP="00A413E9">
            <w:pPr>
              <w:tabs>
                <w:tab w:val="right" w:pos="1202"/>
              </w:tabs>
              <w:suppressAutoHyphens/>
              <w:autoSpaceDN w:val="0"/>
              <w:jc w:val="right"/>
              <w:outlineLvl w:val="0"/>
              <w:rPr>
                <w:rFonts w:ascii="Arial" w:eastAsia="Calibri" w:hAnsi="Arial" w:cs="Arial"/>
                <w:color w:val="000000"/>
                <w:sz w:val="17"/>
                <w:szCs w:val="17"/>
              </w:rPr>
            </w:pPr>
            <w:r w:rsidRPr="00330DA4">
              <w:rPr>
                <w:rFonts w:ascii="Arial" w:hAnsi="Arial" w:cs="Arial"/>
                <w:sz w:val="17"/>
                <w:szCs w:val="17"/>
              </w:rPr>
              <w:t xml:space="preserve"> - </w:t>
            </w:r>
          </w:p>
        </w:tc>
      </w:tr>
      <w:tr w:rsidR="00A413E9" w:rsidRPr="003D1614" w14:paraId="7B53B6B9" w14:textId="77777777" w:rsidTr="00330DA4">
        <w:trPr>
          <w:trHeight w:hRule="exact" w:val="227"/>
          <w:jc w:val="center"/>
        </w:trPr>
        <w:tc>
          <w:tcPr>
            <w:tcW w:w="3194" w:type="pct"/>
            <w:shd w:val="clear" w:color="auto" w:fill="auto"/>
            <w:vAlign w:val="bottom"/>
          </w:tcPr>
          <w:p w14:paraId="06B691B5" w14:textId="77777777" w:rsidR="00A413E9" w:rsidRPr="003D1614" w:rsidRDefault="00A413E9" w:rsidP="00A413E9">
            <w:pPr>
              <w:tabs>
                <w:tab w:val="right" w:pos="1202"/>
              </w:tabs>
              <w:suppressAutoHyphens/>
              <w:autoSpaceDN w:val="0"/>
              <w:outlineLvl w:val="0"/>
              <w:rPr>
                <w:rFonts w:ascii="Arial" w:eastAsia="Calibri" w:hAnsi="Arial" w:cs="Arial"/>
                <w:color w:val="000000"/>
                <w:spacing w:val="-2"/>
                <w:sz w:val="17"/>
                <w:szCs w:val="17"/>
              </w:rPr>
            </w:pPr>
            <w:bookmarkStart w:id="1012" w:name="_Toc67330876"/>
            <w:r w:rsidRPr="003D1614">
              <w:rPr>
                <w:rFonts w:ascii="Arial" w:eastAsia="Calibri" w:hAnsi="Arial" w:cs="Arial"/>
                <w:color w:val="000000"/>
                <w:spacing w:val="-2"/>
                <w:sz w:val="17"/>
                <w:szCs w:val="17"/>
              </w:rPr>
              <w:t>Obveznice trgovačkih društava</w:t>
            </w:r>
            <w:bookmarkEnd w:id="1012"/>
          </w:p>
        </w:tc>
        <w:tc>
          <w:tcPr>
            <w:tcW w:w="555" w:type="pct"/>
            <w:tcBorders>
              <w:top w:val="nil"/>
              <w:left w:val="nil"/>
              <w:bottom w:val="nil"/>
              <w:right w:val="nil"/>
            </w:tcBorders>
            <w:shd w:val="clear" w:color="auto" w:fill="auto"/>
            <w:vAlign w:val="bottom"/>
          </w:tcPr>
          <w:p w14:paraId="25006F39" w14:textId="3C6A1325" w:rsidR="00A413E9" w:rsidRPr="00330DA4" w:rsidRDefault="00A413E9" w:rsidP="00A413E9">
            <w:pPr>
              <w:tabs>
                <w:tab w:val="right" w:pos="1202"/>
              </w:tabs>
              <w:suppressAutoHyphens/>
              <w:autoSpaceDN w:val="0"/>
              <w:jc w:val="right"/>
              <w:outlineLvl w:val="0"/>
              <w:rPr>
                <w:rFonts w:ascii="Arial" w:eastAsia="Calibri" w:hAnsi="Arial" w:cs="Arial"/>
                <w:color w:val="000000"/>
                <w:sz w:val="17"/>
                <w:szCs w:val="17"/>
              </w:rPr>
            </w:pPr>
            <w:r w:rsidRPr="00330DA4">
              <w:rPr>
                <w:rFonts w:ascii="Arial" w:hAnsi="Arial" w:cs="Arial"/>
                <w:sz w:val="17"/>
                <w:szCs w:val="17"/>
              </w:rPr>
              <w:t xml:space="preserve"> 300 </w:t>
            </w:r>
          </w:p>
        </w:tc>
        <w:tc>
          <w:tcPr>
            <w:tcW w:w="644" w:type="pct"/>
            <w:tcBorders>
              <w:top w:val="nil"/>
              <w:left w:val="nil"/>
              <w:bottom w:val="nil"/>
              <w:right w:val="nil"/>
            </w:tcBorders>
            <w:shd w:val="clear" w:color="auto" w:fill="auto"/>
            <w:vAlign w:val="bottom"/>
          </w:tcPr>
          <w:p w14:paraId="1CB7A677" w14:textId="4C6D592B" w:rsidR="00A413E9" w:rsidRPr="00330DA4" w:rsidRDefault="00A413E9" w:rsidP="00A413E9">
            <w:pPr>
              <w:tabs>
                <w:tab w:val="right" w:pos="1202"/>
              </w:tabs>
              <w:suppressAutoHyphens/>
              <w:autoSpaceDN w:val="0"/>
              <w:jc w:val="right"/>
              <w:outlineLvl w:val="0"/>
              <w:rPr>
                <w:rFonts w:ascii="Arial" w:eastAsia="Calibri" w:hAnsi="Arial" w:cs="Arial"/>
                <w:color w:val="000000"/>
                <w:sz w:val="17"/>
                <w:szCs w:val="17"/>
              </w:rPr>
            </w:pPr>
            <w:r w:rsidRPr="00330DA4">
              <w:rPr>
                <w:rFonts w:ascii="Arial" w:hAnsi="Arial" w:cs="Arial"/>
                <w:sz w:val="17"/>
                <w:szCs w:val="17"/>
              </w:rPr>
              <w:t xml:space="preserve"> - </w:t>
            </w:r>
          </w:p>
        </w:tc>
        <w:tc>
          <w:tcPr>
            <w:tcW w:w="607" w:type="pct"/>
            <w:tcBorders>
              <w:top w:val="nil"/>
              <w:left w:val="nil"/>
              <w:bottom w:val="nil"/>
              <w:right w:val="nil"/>
            </w:tcBorders>
            <w:shd w:val="clear" w:color="auto" w:fill="auto"/>
            <w:vAlign w:val="bottom"/>
          </w:tcPr>
          <w:p w14:paraId="4C79E504" w14:textId="1A02A196" w:rsidR="00A413E9" w:rsidRPr="00330DA4" w:rsidRDefault="00A413E9" w:rsidP="00A413E9">
            <w:pPr>
              <w:tabs>
                <w:tab w:val="right" w:pos="1202"/>
              </w:tabs>
              <w:suppressAutoHyphens/>
              <w:autoSpaceDN w:val="0"/>
              <w:jc w:val="right"/>
              <w:outlineLvl w:val="0"/>
              <w:rPr>
                <w:rFonts w:ascii="Arial" w:eastAsia="Calibri" w:hAnsi="Arial" w:cs="Arial"/>
                <w:color w:val="000000"/>
                <w:sz w:val="17"/>
                <w:szCs w:val="17"/>
              </w:rPr>
            </w:pPr>
            <w:r w:rsidRPr="00330DA4">
              <w:rPr>
                <w:rFonts w:ascii="Arial" w:hAnsi="Arial" w:cs="Arial"/>
                <w:sz w:val="17"/>
                <w:szCs w:val="17"/>
              </w:rPr>
              <w:t xml:space="preserve"> - </w:t>
            </w:r>
          </w:p>
        </w:tc>
      </w:tr>
      <w:tr w:rsidR="00A413E9" w:rsidRPr="003D1614" w14:paraId="3EB62D2A" w14:textId="77777777" w:rsidTr="00330DA4">
        <w:trPr>
          <w:trHeight w:hRule="exact" w:val="227"/>
          <w:jc w:val="center"/>
        </w:trPr>
        <w:tc>
          <w:tcPr>
            <w:tcW w:w="3194" w:type="pct"/>
            <w:shd w:val="clear" w:color="auto" w:fill="auto"/>
            <w:vAlign w:val="bottom"/>
          </w:tcPr>
          <w:p w14:paraId="5595C31A" w14:textId="77777777" w:rsidR="00A413E9" w:rsidRPr="003D1614" w:rsidRDefault="00A413E9" w:rsidP="00A413E9">
            <w:pPr>
              <w:tabs>
                <w:tab w:val="right" w:pos="1202"/>
              </w:tabs>
              <w:suppressAutoHyphens/>
              <w:autoSpaceDN w:val="0"/>
              <w:outlineLvl w:val="0"/>
              <w:rPr>
                <w:rFonts w:ascii="Arial" w:eastAsia="Calibri" w:hAnsi="Arial" w:cs="Arial"/>
                <w:color w:val="000000"/>
                <w:spacing w:val="-2"/>
                <w:sz w:val="17"/>
                <w:szCs w:val="17"/>
              </w:rPr>
            </w:pPr>
            <w:bookmarkStart w:id="1013" w:name="_Toc67330880"/>
            <w:r w:rsidRPr="003D1614">
              <w:rPr>
                <w:rFonts w:ascii="Arial" w:eastAsia="Calibri" w:hAnsi="Arial" w:cs="Arial"/>
                <w:color w:val="000000"/>
                <w:spacing w:val="-2"/>
                <w:sz w:val="17"/>
                <w:szCs w:val="17"/>
              </w:rPr>
              <w:t>Trezorski zapisi Ministarstva financija</w:t>
            </w:r>
            <w:bookmarkEnd w:id="1013"/>
          </w:p>
        </w:tc>
        <w:tc>
          <w:tcPr>
            <w:tcW w:w="555" w:type="pct"/>
            <w:tcBorders>
              <w:top w:val="nil"/>
              <w:left w:val="nil"/>
              <w:bottom w:val="nil"/>
              <w:right w:val="nil"/>
            </w:tcBorders>
            <w:shd w:val="clear" w:color="auto" w:fill="auto"/>
            <w:vAlign w:val="bottom"/>
          </w:tcPr>
          <w:p w14:paraId="6D6AABDC" w14:textId="71FDBE99" w:rsidR="00A413E9" w:rsidRPr="00330DA4" w:rsidRDefault="00A413E9" w:rsidP="00A413E9">
            <w:pPr>
              <w:tabs>
                <w:tab w:val="right" w:pos="1202"/>
              </w:tabs>
              <w:suppressAutoHyphens/>
              <w:autoSpaceDN w:val="0"/>
              <w:jc w:val="right"/>
              <w:outlineLvl w:val="0"/>
              <w:rPr>
                <w:rFonts w:ascii="Arial" w:eastAsia="Calibri" w:hAnsi="Arial" w:cs="Arial"/>
                <w:color w:val="000000"/>
                <w:sz w:val="17"/>
                <w:szCs w:val="17"/>
              </w:rPr>
            </w:pPr>
            <w:r w:rsidRPr="00330DA4">
              <w:rPr>
                <w:rFonts w:ascii="Arial" w:hAnsi="Arial" w:cs="Arial"/>
                <w:sz w:val="17"/>
                <w:szCs w:val="17"/>
              </w:rPr>
              <w:t xml:space="preserve"> 19.864 </w:t>
            </w:r>
          </w:p>
        </w:tc>
        <w:tc>
          <w:tcPr>
            <w:tcW w:w="644" w:type="pct"/>
            <w:tcBorders>
              <w:top w:val="nil"/>
              <w:left w:val="nil"/>
              <w:bottom w:val="nil"/>
              <w:right w:val="nil"/>
            </w:tcBorders>
            <w:shd w:val="clear" w:color="auto" w:fill="auto"/>
            <w:vAlign w:val="bottom"/>
          </w:tcPr>
          <w:p w14:paraId="30501AF2" w14:textId="55D5C3DE" w:rsidR="00A413E9" w:rsidRPr="00330DA4" w:rsidRDefault="00A413E9" w:rsidP="00A413E9">
            <w:pPr>
              <w:tabs>
                <w:tab w:val="right" w:pos="1202"/>
              </w:tabs>
              <w:suppressAutoHyphens/>
              <w:autoSpaceDN w:val="0"/>
              <w:jc w:val="right"/>
              <w:outlineLvl w:val="0"/>
              <w:rPr>
                <w:rFonts w:ascii="Arial" w:eastAsia="Calibri" w:hAnsi="Arial" w:cs="Arial"/>
                <w:color w:val="000000"/>
                <w:sz w:val="17"/>
                <w:szCs w:val="17"/>
              </w:rPr>
            </w:pPr>
          </w:p>
        </w:tc>
        <w:tc>
          <w:tcPr>
            <w:tcW w:w="607" w:type="pct"/>
            <w:tcBorders>
              <w:top w:val="nil"/>
              <w:left w:val="nil"/>
              <w:bottom w:val="nil"/>
              <w:right w:val="nil"/>
            </w:tcBorders>
            <w:shd w:val="clear" w:color="auto" w:fill="auto"/>
            <w:vAlign w:val="bottom"/>
          </w:tcPr>
          <w:p w14:paraId="0C2691DB" w14:textId="2E85DBE2" w:rsidR="00A413E9" w:rsidRPr="00330DA4" w:rsidRDefault="00A413E9" w:rsidP="00A413E9">
            <w:pPr>
              <w:tabs>
                <w:tab w:val="right" w:pos="1202"/>
              </w:tabs>
              <w:suppressAutoHyphens/>
              <w:autoSpaceDN w:val="0"/>
              <w:jc w:val="right"/>
              <w:outlineLvl w:val="0"/>
              <w:rPr>
                <w:rFonts w:ascii="Arial" w:eastAsia="Calibri" w:hAnsi="Arial" w:cs="Arial"/>
                <w:color w:val="000000"/>
                <w:sz w:val="17"/>
                <w:szCs w:val="17"/>
              </w:rPr>
            </w:pPr>
            <w:r w:rsidRPr="00330DA4">
              <w:rPr>
                <w:rFonts w:ascii="Arial" w:hAnsi="Arial" w:cs="Arial"/>
                <w:sz w:val="17"/>
                <w:szCs w:val="17"/>
              </w:rPr>
              <w:t xml:space="preserve"> - </w:t>
            </w:r>
          </w:p>
        </w:tc>
      </w:tr>
      <w:tr w:rsidR="00A413E9" w:rsidRPr="003D1614" w14:paraId="21EDE66C" w14:textId="77777777" w:rsidTr="00330DA4">
        <w:trPr>
          <w:trHeight w:hRule="exact" w:val="227"/>
          <w:jc w:val="center"/>
        </w:trPr>
        <w:tc>
          <w:tcPr>
            <w:tcW w:w="3194" w:type="pct"/>
            <w:shd w:val="clear" w:color="auto" w:fill="auto"/>
            <w:vAlign w:val="bottom"/>
          </w:tcPr>
          <w:p w14:paraId="6DEF7D58" w14:textId="77777777" w:rsidR="00A413E9" w:rsidRPr="003D1614" w:rsidRDefault="00A413E9" w:rsidP="00A413E9">
            <w:pPr>
              <w:tabs>
                <w:tab w:val="right" w:pos="1202"/>
              </w:tabs>
              <w:suppressAutoHyphens/>
              <w:autoSpaceDN w:val="0"/>
              <w:outlineLvl w:val="0"/>
              <w:rPr>
                <w:rFonts w:ascii="Arial" w:eastAsia="Calibri" w:hAnsi="Arial" w:cs="Arial"/>
                <w:color w:val="000000"/>
                <w:spacing w:val="-2"/>
                <w:sz w:val="17"/>
                <w:szCs w:val="17"/>
              </w:rPr>
            </w:pPr>
            <w:bookmarkStart w:id="1014" w:name="_Toc67330884"/>
            <w:r w:rsidRPr="003D1614">
              <w:rPr>
                <w:rFonts w:ascii="Arial" w:eastAsia="Calibri" w:hAnsi="Arial" w:cs="Arial"/>
                <w:color w:val="000000"/>
                <w:spacing w:val="-2"/>
                <w:sz w:val="17"/>
                <w:szCs w:val="17"/>
              </w:rPr>
              <w:t>Obračunata kamata</w:t>
            </w:r>
            <w:bookmarkEnd w:id="1014"/>
            <w:r w:rsidRPr="003D1614">
              <w:rPr>
                <w:rFonts w:ascii="Arial" w:eastAsia="Calibri" w:hAnsi="Arial" w:cs="Arial"/>
                <w:color w:val="000000"/>
                <w:spacing w:val="-2"/>
                <w:sz w:val="17"/>
                <w:szCs w:val="17"/>
              </w:rPr>
              <w:t xml:space="preserve"> </w:t>
            </w:r>
          </w:p>
        </w:tc>
        <w:tc>
          <w:tcPr>
            <w:tcW w:w="555" w:type="pct"/>
            <w:tcBorders>
              <w:top w:val="nil"/>
              <w:left w:val="nil"/>
              <w:bottom w:val="nil"/>
              <w:right w:val="nil"/>
            </w:tcBorders>
            <w:shd w:val="clear" w:color="auto" w:fill="auto"/>
            <w:vAlign w:val="bottom"/>
          </w:tcPr>
          <w:p w14:paraId="17A8980D" w14:textId="605140F2" w:rsidR="00A413E9" w:rsidRPr="00330DA4" w:rsidRDefault="00A413E9" w:rsidP="00A413E9">
            <w:pPr>
              <w:tabs>
                <w:tab w:val="right" w:pos="1202"/>
              </w:tabs>
              <w:suppressAutoHyphens/>
              <w:autoSpaceDN w:val="0"/>
              <w:jc w:val="right"/>
              <w:outlineLvl w:val="0"/>
              <w:rPr>
                <w:rFonts w:ascii="Arial" w:eastAsia="Calibri" w:hAnsi="Arial" w:cs="Arial"/>
                <w:color w:val="000000"/>
                <w:sz w:val="17"/>
                <w:szCs w:val="17"/>
              </w:rPr>
            </w:pPr>
            <w:r w:rsidRPr="00330DA4">
              <w:rPr>
                <w:rFonts w:ascii="Arial" w:hAnsi="Arial" w:cs="Arial"/>
                <w:sz w:val="17"/>
                <w:szCs w:val="17"/>
              </w:rPr>
              <w:t xml:space="preserve"> 2.495 </w:t>
            </w:r>
          </w:p>
        </w:tc>
        <w:tc>
          <w:tcPr>
            <w:tcW w:w="644" w:type="pct"/>
            <w:tcBorders>
              <w:top w:val="nil"/>
              <w:left w:val="nil"/>
              <w:bottom w:val="nil"/>
              <w:right w:val="nil"/>
            </w:tcBorders>
            <w:shd w:val="clear" w:color="auto" w:fill="auto"/>
            <w:vAlign w:val="bottom"/>
          </w:tcPr>
          <w:p w14:paraId="39DDE099" w14:textId="28356792" w:rsidR="00A413E9" w:rsidRPr="00330DA4" w:rsidRDefault="00A413E9" w:rsidP="00A413E9">
            <w:pPr>
              <w:tabs>
                <w:tab w:val="right" w:pos="1202"/>
              </w:tabs>
              <w:suppressAutoHyphens/>
              <w:autoSpaceDN w:val="0"/>
              <w:jc w:val="right"/>
              <w:outlineLvl w:val="0"/>
              <w:rPr>
                <w:rFonts w:ascii="Arial" w:eastAsia="Calibri" w:hAnsi="Arial" w:cs="Arial"/>
                <w:color w:val="000000"/>
                <w:sz w:val="17"/>
                <w:szCs w:val="17"/>
              </w:rPr>
            </w:pPr>
            <w:r w:rsidRPr="00330DA4">
              <w:rPr>
                <w:rFonts w:ascii="Arial" w:hAnsi="Arial" w:cs="Arial"/>
                <w:sz w:val="17"/>
                <w:szCs w:val="17"/>
              </w:rPr>
              <w:t xml:space="preserve"> - </w:t>
            </w:r>
          </w:p>
        </w:tc>
        <w:tc>
          <w:tcPr>
            <w:tcW w:w="607" w:type="pct"/>
            <w:tcBorders>
              <w:top w:val="nil"/>
              <w:left w:val="nil"/>
              <w:bottom w:val="nil"/>
              <w:right w:val="nil"/>
            </w:tcBorders>
            <w:shd w:val="clear" w:color="auto" w:fill="auto"/>
            <w:vAlign w:val="bottom"/>
          </w:tcPr>
          <w:p w14:paraId="0FFE1810" w14:textId="23D315D8" w:rsidR="00A413E9" w:rsidRPr="00330DA4" w:rsidRDefault="00A413E9" w:rsidP="00A413E9">
            <w:pPr>
              <w:tabs>
                <w:tab w:val="right" w:pos="1202"/>
              </w:tabs>
              <w:suppressAutoHyphens/>
              <w:autoSpaceDN w:val="0"/>
              <w:jc w:val="right"/>
              <w:outlineLvl w:val="0"/>
              <w:rPr>
                <w:rFonts w:ascii="Arial" w:eastAsia="Calibri" w:hAnsi="Arial" w:cs="Arial"/>
                <w:color w:val="000000"/>
                <w:sz w:val="17"/>
                <w:szCs w:val="17"/>
              </w:rPr>
            </w:pPr>
            <w:r w:rsidRPr="00330DA4">
              <w:rPr>
                <w:rFonts w:ascii="Arial" w:hAnsi="Arial" w:cs="Arial"/>
                <w:sz w:val="17"/>
                <w:szCs w:val="17"/>
              </w:rPr>
              <w:t xml:space="preserve"> - </w:t>
            </w:r>
          </w:p>
        </w:tc>
      </w:tr>
      <w:tr w:rsidR="009B1838" w:rsidRPr="003D1614" w14:paraId="372AC221" w14:textId="77777777" w:rsidTr="00330DA4">
        <w:trPr>
          <w:trHeight w:hRule="exact" w:val="249"/>
          <w:jc w:val="center"/>
        </w:trPr>
        <w:tc>
          <w:tcPr>
            <w:tcW w:w="3194" w:type="pct"/>
            <w:shd w:val="clear" w:color="auto" w:fill="auto"/>
            <w:vAlign w:val="bottom"/>
          </w:tcPr>
          <w:p w14:paraId="3EAD7116" w14:textId="77777777" w:rsidR="009B1838" w:rsidRPr="003D1614" w:rsidRDefault="009B1838" w:rsidP="009B1838">
            <w:pPr>
              <w:tabs>
                <w:tab w:val="right" w:pos="1202"/>
              </w:tabs>
              <w:suppressAutoHyphens/>
              <w:autoSpaceDN w:val="0"/>
              <w:outlineLvl w:val="0"/>
              <w:rPr>
                <w:rFonts w:ascii="Arial" w:eastAsia="Calibri" w:hAnsi="Arial" w:cs="Arial"/>
                <w:b/>
                <w:i/>
                <w:color w:val="000000"/>
                <w:spacing w:val="-2"/>
                <w:sz w:val="17"/>
                <w:szCs w:val="17"/>
              </w:rPr>
            </w:pPr>
            <w:bookmarkStart w:id="1015" w:name="_Toc67330888"/>
            <w:r w:rsidRPr="003D1614">
              <w:rPr>
                <w:rFonts w:ascii="Arial" w:eastAsia="Calibri" w:hAnsi="Arial" w:cs="Arial"/>
                <w:b/>
                <w:i/>
                <w:color w:val="000000"/>
                <w:spacing w:val="-2"/>
                <w:sz w:val="17"/>
                <w:szCs w:val="17"/>
              </w:rPr>
              <w:t>Dužnički vrijednosni papiri koji ne kotiraju:</w:t>
            </w:r>
            <w:bookmarkEnd w:id="1015"/>
          </w:p>
        </w:tc>
        <w:tc>
          <w:tcPr>
            <w:tcW w:w="555" w:type="pct"/>
            <w:tcBorders>
              <w:top w:val="nil"/>
              <w:left w:val="nil"/>
              <w:bottom w:val="nil"/>
              <w:right w:val="nil"/>
            </w:tcBorders>
            <w:shd w:val="clear" w:color="auto" w:fill="auto"/>
            <w:vAlign w:val="bottom"/>
          </w:tcPr>
          <w:p w14:paraId="1ED82725" w14:textId="77777777" w:rsidR="009B1838" w:rsidRPr="00330DA4" w:rsidRDefault="009B1838" w:rsidP="009B1838">
            <w:pPr>
              <w:tabs>
                <w:tab w:val="right" w:pos="1202"/>
              </w:tabs>
              <w:suppressAutoHyphens/>
              <w:autoSpaceDN w:val="0"/>
              <w:jc w:val="right"/>
              <w:outlineLvl w:val="0"/>
              <w:rPr>
                <w:rFonts w:ascii="Arial" w:eastAsia="Calibri" w:hAnsi="Arial" w:cs="Arial"/>
                <w:color w:val="000000"/>
                <w:spacing w:val="-2"/>
                <w:sz w:val="17"/>
                <w:szCs w:val="17"/>
              </w:rPr>
            </w:pPr>
          </w:p>
        </w:tc>
        <w:tc>
          <w:tcPr>
            <w:tcW w:w="644" w:type="pct"/>
            <w:tcBorders>
              <w:top w:val="nil"/>
              <w:left w:val="nil"/>
              <w:bottom w:val="nil"/>
              <w:right w:val="nil"/>
            </w:tcBorders>
            <w:shd w:val="clear" w:color="auto" w:fill="auto"/>
            <w:vAlign w:val="bottom"/>
          </w:tcPr>
          <w:p w14:paraId="65627B39" w14:textId="77777777" w:rsidR="009B1838" w:rsidRPr="00330DA4" w:rsidRDefault="009B1838" w:rsidP="009B1838">
            <w:pPr>
              <w:tabs>
                <w:tab w:val="right" w:pos="1202"/>
              </w:tabs>
              <w:suppressAutoHyphens/>
              <w:autoSpaceDN w:val="0"/>
              <w:jc w:val="right"/>
              <w:outlineLvl w:val="0"/>
              <w:rPr>
                <w:rFonts w:ascii="Arial" w:eastAsia="Calibri" w:hAnsi="Arial" w:cs="Arial"/>
                <w:color w:val="000000"/>
                <w:spacing w:val="-2"/>
                <w:sz w:val="17"/>
                <w:szCs w:val="17"/>
              </w:rPr>
            </w:pPr>
          </w:p>
        </w:tc>
        <w:tc>
          <w:tcPr>
            <w:tcW w:w="607" w:type="pct"/>
            <w:tcBorders>
              <w:top w:val="nil"/>
              <w:left w:val="nil"/>
              <w:bottom w:val="nil"/>
              <w:right w:val="nil"/>
            </w:tcBorders>
            <w:shd w:val="clear" w:color="auto" w:fill="auto"/>
            <w:vAlign w:val="bottom"/>
          </w:tcPr>
          <w:p w14:paraId="0E1E302C" w14:textId="77777777" w:rsidR="009B1838" w:rsidRPr="00330DA4" w:rsidRDefault="009B1838" w:rsidP="009B1838">
            <w:pPr>
              <w:tabs>
                <w:tab w:val="right" w:pos="1202"/>
              </w:tabs>
              <w:suppressAutoHyphens/>
              <w:autoSpaceDN w:val="0"/>
              <w:jc w:val="right"/>
              <w:outlineLvl w:val="0"/>
              <w:rPr>
                <w:rFonts w:ascii="Arial" w:eastAsia="Calibri" w:hAnsi="Arial" w:cs="Arial"/>
                <w:color w:val="000000"/>
                <w:spacing w:val="-2"/>
                <w:sz w:val="17"/>
                <w:szCs w:val="17"/>
              </w:rPr>
            </w:pPr>
          </w:p>
        </w:tc>
      </w:tr>
      <w:tr w:rsidR="009D1D2A" w:rsidRPr="003D1614" w14:paraId="39E43FDA" w14:textId="77777777" w:rsidTr="00330DA4">
        <w:trPr>
          <w:trHeight w:hRule="exact" w:val="227"/>
          <w:jc w:val="center"/>
        </w:trPr>
        <w:tc>
          <w:tcPr>
            <w:tcW w:w="3194" w:type="pct"/>
            <w:shd w:val="clear" w:color="auto" w:fill="auto"/>
            <w:vAlign w:val="bottom"/>
          </w:tcPr>
          <w:p w14:paraId="7E664407" w14:textId="77777777" w:rsidR="009D1D2A" w:rsidRPr="003D1614" w:rsidRDefault="009D1D2A" w:rsidP="009D1D2A">
            <w:pPr>
              <w:tabs>
                <w:tab w:val="right" w:pos="1202"/>
              </w:tabs>
              <w:suppressAutoHyphens/>
              <w:autoSpaceDN w:val="0"/>
              <w:outlineLvl w:val="0"/>
              <w:rPr>
                <w:rFonts w:ascii="Arial" w:eastAsia="Calibri" w:hAnsi="Arial" w:cs="Arial"/>
                <w:color w:val="000000"/>
                <w:spacing w:val="-2"/>
                <w:sz w:val="17"/>
                <w:szCs w:val="17"/>
              </w:rPr>
            </w:pPr>
            <w:bookmarkStart w:id="1016" w:name="_Toc67330889"/>
            <w:r w:rsidRPr="003D1614">
              <w:rPr>
                <w:rFonts w:ascii="Arial" w:eastAsia="Calibri" w:hAnsi="Arial" w:cs="Arial"/>
                <w:color w:val="000000"/>
                <w:spacing w:val="-2"/>
                <w:sz w:val="17"/>
                <w:szCs w:val="17"/>
              </w:rPr>
              <w:t>Obveznice trgovačkih društava</w:t>
            </w:r>
            <w:bookmarkEnd w:id="1016"/>
            <w:r w:rsidRPr="003D1614">
              <w:rPr>
                <w:rFonts w:ascii="Arial" w:eastAsia="Calibri" w:hAnsi="Arial" w:cs="Arial"/>
                <w:color w:val="000000"/>
                <w:spacing w:val="-2"/>
                <w:sz w:val="17"/>
                <w:szCs w:val="17"/>
              </w:rPr>
              <w:t xml:space="preserve"> </w:t>
            </w:r>
          </w:p>
        </w:tc>
        <w:tc>
          <w:tcPr>
            <w:tcW w:w="555" w:type="pct"/>
            <w:tcBorders>
              <w:top w:val="nil"/>
              <w:left w:val="nil"/>
              <w:bottom w:val="nil"/>
              <w:right w:val="nil"/>
            </w:tcBorders>
            <w:shd w:val="clear" w:color="auto" w:fill="auto"/>
            <w:vAlign w:val="bottom"/>
          </w:tcPr>
          <w:p w14:paraId="344CAACB" w14:textId="0588C3D9" w:rsidR="009D1D2A" w:rsidRPr="00330DA4" w:rsidRDefault="009D1D2A" w:rsidP="009D1D2A">
            <w:pPr>
              <w:tabs>
                <w:tab w:val="right" w:pos="1202"/>
              </w:tabs>
              <w:suppressAutoHyphens/>
              <w:autoSpaceDN w:val="0"/>
              <w:jc w:val="right"/>
              <w:outlineLvl w:val="0"/>
              <w:rPr>
                <w:rFonts w:ascii="Arial" w:eastAsia="Calibri" w:hAnsi="Arial" w:cs="Arial"/>
                <w:color w:val="000000"/>
                <w:sz w:val="17"/>
                <w:szCs w:val="17"/>
              </w:rPr>
            </w:pPr>
            <w:r w:rsidRPr="00330DA4">
              <w:rPr>
                <w:rFonts w:ascii="Arial" w:hAnsi="Arial" w:cs="Arial"/>
                <w:sz w:val="17"/>
                <w:szCs w:val="17"/>
              </w:rPr>
              <w:t xml:space="preserve"> - </w:t>
            </w:r>
          </w:p>
        </w:tc>
        <w:tc>
          <w:tcPr>
            <w:tcW w:w="644" w:type="pct"/>
            <w:tcBorders>
              <w:top w:val="nil"/>
              <w:left w:val="nil"/>
              <w:bottom w:val="nil"/>
              <w:right w:val="nil"/>
            </w:tcBorders>
            <w:shd w:val="clear" w:color="auto" w:fill="auto"/>
            <w:vAlign w:val="bottom"/>
          </w:tcPr>
          <w:p w14:paraId="7C40F719" w14:textId="6ACE0C75" w:rsidR="009D1D2A" w:rsidRPr="00330DA4" w:rsidRDefault="009D1D2A" w:rsidP="009D1D2A">
            <w:pPr>
              <w:tabs>
                <w:tab w:val="right" w:pos="1202"/>
              </w:tabs>
              <w:suppressAutoHyphens/>
              <w:autoSpaceDN w:val="0"/>
              <w:jc w:val="right"/>
              <w:outlineLvl w:val="0"/>
              <w:rPr>
                <w:rFonts w:ascii="Arial" w:eastAsia="Calibri" w:hAnsi="Arial" w:cs="Arial"/>
                <w:color w:val="000000"/>
                <w:sz w:val="17"/>
                <w:szCs w:val="17"/>
              </w:rPr>
            </w:pPr>
            <w:r w:rsidRPr="00330DA4">
              <w:rPr>
                <w:rFonts w:ascii="Arial" w:hAnsi="Arial" w:cs="Arial"/>
                <w:sz w:val="17"/>
                <w:szCs w:val="17"/>
              </w:rPr>
              <w:t xml:space="preserve"> - </w:t>
            </w:r>
          </w:p>
        </w:tc>
        <w:tc>
          <w:tcPr>
            <w:tcW w:w="607" w:type="pct"/>
            <w:tcBorders>
              <w:top w:val="nil"/>
              <w:left w:val="nil"/>
              <w:bottom w:val="nil"/>
              <w:right w:val="nil"/>
            </w:tcBorders>
            <w:shd w:val="clear" w:color="auto" w:fill="auto"/>
            <w:vAlign w:val="bottom"/>
          </w:tcPr>
          <w:p w14:paraId="6354739D" w14:textId="7DC0E048" w:rsidR="009D1D2A" w:rsidRPr="00330DA4" w:rsidRDefault="009D1D2A" w:rsidP="009D1D2A">
            <w:pPr>
              <w:tabs>
                <w:tab w:val="right" w:pos="1202"/>
              </w:tabs>
              <w:suppressAutoHyphens/>
              <w:autoSpaceDN w:val="0"/>
              <w:jc w:val="right"/>
              <w:outlineLvl w:val="0"/>
              <w:rPr>
                <w:rFonts w:ascii="Arial" w:eastAsia="Calibri" w:hAnsi="Arial" w:cs="Arial"/>
                <w:color w:val="000000"/>
                <w:sz w:val="17"/>
                <w:szCs w:val="17"/>
              </w:rPr>
            </w:pPr>
            <w:r w:rsidRPr="00330DA4">
              <w:rPr>
                <w:rFonts w:ascii="Arial" w:hAnsi="Arial" w:cs="Arial"/>
                <w:sz w:val="17"/>
                <w:szCs w:val="17"/>
              </w:rPr>
              <w:t xml:space="preserve"> 75 </w:t>
            </w:r>
          </w:p>
        </w:tc>
      </w:tr>
      <w:tr w:rsidR="009D1D2A" w:rsidRPr="003D1614" w14:paraId="7CF10170" w14:textId="77777777" w:rsidTr="00330DA4">
        <w:trPr>
          <w:trHeight w:hRule="exact" w:val="227"/>
          <w:jc w:val="center"/>
        </w:trPr>
        <w:tc>
          <w:tcPr>
            <w:tcW w:w="3194" w:type="pct"/>
            <w:shd w:val="clear" w:color="auto" w:fill="auto"/>
            <w:vAlign w:val="bottom"/>
          </w:tcPr>
          <w:p w14:paraId="047264AB" w14:textId="77777777" w:rsidR="009D1D2A" w:rsidRPr="003D1614" w:rsidRDefault="009D1D2A" w:rsidP="009D1D2A">
            <w:pPr>
              <w:tabs>
                <w:tab w:val="right" w:pos="1202"/>
              </w:tabs>
              <w:suppressAutoHyphens/>
              <w:autoSpaceDN w:val="0"/>
              <w:outlineLvl w:val="0"/>
              <w:rPr>
                <w:rFonts w:ascii="Arial" w:eastAsia="Calibri" w:hAnsi="Arial" w:cs="Arial"/>
                <w:color w:val="000000"/>
                <w:spacing w:val="-2"/>
                <w:sz w:val="17"/>
                <w:szCs w:val="17"/>
              </w:rPr>
            </w:pPr>
            <w:bookmarkStart w:id="1017" w:name="_Toc67330893"/>
            <w:r w:rsidRPr="003D1614">
              <w:rPr>
                <w:rFonts w:ascii="Arial" w:eastAsia="Calibri" w:hAnsi="Arial" w:cs="Arial"/>
                <w:color w:val="000000"/>
                <w:spacing w:val="-2"/>
                <w:sz w:val="17"/>
                <w:szCs w:val="17"/>
              </w:rPr>
              <w:t>Zamjenjive obveznice CB</w:t>
            </w:r>
            <w:bookmarkEnd w:id="1017"/>
          </w:p>
        </w:tc>
        <w:tc>
          <w:tcPr>
            <w:tcW w:w="555" w:type="pct"/>
            <w:tcBorders>
              <w:top w:val="nil"/>
              <w:left w:val="nil"/>
              <w:bottom w:val="nil"/>
              <w:right w:val="nil"/>
            </w:tcBorders>
            <w:shd w:val="clear" w:color="auto" w:fill="auto"/>
            <w:vAlign w:val="bottom"/>
          </w:tcPr>
          <w:p w14:paraId="338C98C3" w14:textId="61BA215B" w:rsidR="009D1D2A" w:rsidRPr="00330DA4" w:rsidRDefault="009D1D2A" w:rsidP="009D1D2A">
            <w:pPr>
              <w:tabs>
                <w:tab w:val="right" w:pos="1202"/>
              </w:tabs>
              <w:suppressAutoHyphens/>
              <w:autoSpaceDN w:val="0"/>
              <w:jc w:val="right"/>
              <w:outlineLvl w:val="0"/>
              <w:rPr>
                <w:rFonts w:ascii="Arial" w:eastAsia="Calibri" w:hAnsi="Arial" w:cs="Arial"/>
                <w:color w:val="000000"/>
                <w:sz w:val="17"/>
                <w:szCs w:val="17"/>
              </w:rPr>
            </w:pPr>
          </w:p>
        </w:tc>
        <w:tc>
          <w:tcPr>
            <w:tcW w:w="644" w:type="pct"/>
            <w:tcBorders>
              <w:top w:val="nil"/>
              <w:left w:val="nil"/>
              <w:bottom w:val="nil"/>
              <w:right w:val="nil"/>
            </w:tcBorders>
            <w:shd w:val="clear" w:color="auto" w:fill="auto"/>
            <w:vAlign w:val="bottom"/>
          </w:tcPr>
          <w:p w14:paraId="33CD43DD" w14:textId="3FB018F4" w:rsidR="009D1D2A" w:rsidRPr="00330DA4" w:rsidRDefault="009D1D2A" w:rsidP="009D1D2A">
            <w:pPr>
              <w:tabs>
                <w:tab w:val="right" w:pos="1202"/>
              </w:tabs>
              <w:suppressAutoHyphens/>
              <w:autoSpaceDN w:val="0"/>
              <w:jc w:val="right"/>
              <w:outlineLvl w:val="0"/>
              <w:rPr>
                <w:rFonts w:ascii="Arial" w:eastAsia="Calibri" w:hAnsi="Arial" w:cs="Arial"/>
                <w:color w:val="000000"/>
                <w:sz w:val="17"/>
                <w:szCs w:val="17"/>
              </w:rPr>
            </w:pPr>
          </w:p>
        </w:tc>
        <w:tc>
          <w:tcPr>
            <w:tcW w:w="607" w:type="pct"/>
            <w:tcBorders>
              <w:top w:val="nil"/>
              <w:left w:val="nil"/>
              <w:bottom w:val="nil"/>
              <w:right w:val="nil"/>
            </w:tcBorders>
            <w:shd w:val="clear" w:color="auto" w:fill="auto"/>
            <w:vAlign w:val="bottom"/>
          </w:tcPr>
          <w:p w14:paraId="64B132A6" w14:textId="6B692D0E" w:rsidR="009D1D2A" w:rsidRPr="00330DA4" w:rsidRDefault="009D1D2A" w:rsidP="009D1D2A">
            <w:pPr>
              <w:tabs>
                <w:tab w:val="right" w:pos="1202"/>
              </w:tabs>
              <w:suppressAutoHyphens/>
              <w:autoSpaceDN w:val="0"/>
              <w:jc w:val="right"/>
              <w:outlineLvl w:val="0"/>
              <w:rPr>
                <w:rFonts w:ascii="Arial" w:eastAsia="Calibri" w:hAnsi="Arial" w:cs="Arial"/>
                <w:color w:val="000000"/>
                <w:sz w:val="17"/>
                <w:szCs w:val="17"/>
              </w:rPr>
            </w:pPr>
            <w:r w:rsidRPr="00330DA4">
              <w:rPr>
                <w:rFonts w:ascii="Arial" w:hAnsi="Arial" w:cs="Arial"/>
                <w:sz w:val="17"/>
                <w:szCs w:val="17"/>
              </w:rPr>
              <w:t xml:space="preserve"> 137 </w:t>
            </w:r>
          </w:p>
        </w:tc>
      </w:tr>
      <w:tr w:rsidR="009D1D2A" w:rsidRPr="003D1614" w14:paraId="7D8CD7E0" w14:textId="77777777" w:rsidTr="00330DA4">
        <w:trPr>
          <w:trHeight w:hRule="exact" w:val="227"/>
          <w:jc w:val="center"/>
        </w:trPr>
        <w:tc>
          <w:tcPr>
            <w:tcW w:w="3194" w:type="pct"/>
            <w:shd w:val="clear" w:color="auto" w:fill="auto"/>
            <w:vAlign w:val="bottom"/>
          </w:tcPr>
          <w:p w14:paraId="44D11E8C" w14:textId="77777777" w:rsidR="009D1D2A" w:rsidRPr="003D1614" w:rsidRDefault="009D1D2A" w:rsidP="009D1D2A">
            <w:pPr>
              <w:tabs>
                <w:tab w:val="right" w:pos="1202"/>
              </w:tabs>
              <w:suppressAutoHyphens/>
              <w:autoSpaceDN w:val="0"/>
              <w:outlineLvl w:val="0"/>
              <w:rPr>
                <w:rFonts w:ascii="Arial" w:eastAsia="Calibri" w:hAnsi="Arial" w:cs="Arial"/>
                <w:color w:val="000000"/>
                <w:spacing w:val="-2"/>
                <w:sz w:val="17"/>
                <w:szCs w:val="17"/>
              </w:rPr>
            </w:pPr>
            <w:bookmarkStart w:id="1018" w:name="_Toc67330897"/>
            <w:r w:rsidRPr="003D1614">
              <w:rPr>
                <w:rFonts w:ascii="Arial" w:eastAsia="Calibri" w:hAnsi="Arial" w:cs="Arial"/>
                <w:color w:val="000000"/>
                <w:spacing w:val="-2"/>
                <w:sz w:val="17"/>
                <w:szCs w:val="17"/>
              </w:rPr>
              <w:t>Obračunata kamata</w:t>
            </w:r>
            <w:bookmarkEnd w:id="1018"/>
          </w:p>
        </w:tc>
        <w:tc>
          <w:tcPr>
            <w:tcW w:w="555" w:type="pct"/>
            <w:tcBorders>
              <w:top w:val="nil"/>
              <w:left w:val="nil"/>
              <w:bottom w:val="nil"/>
              <w:right w:val="nil"/>
            </w:tcBorders>
            <w:shd w:val="clear" w:color="auto" w:fill="auto"/>
            <w:vAlign w:val="bottom"/>
          </w:tcPr>
          <w:p w14:paraId="258DBA40" w14:textId="3CF25883" w:rsidR="009D1D2A" w:rsidRPr="00330DA4" w:rsidRDefault="009D1D2A" w:rsidP="009D1D2A">
            <w:pPr>
              <w:tabs>
                <w:tab w:val="right" w:pos="1202"/>
              </w:tabs>
              <w:suppressAutoHyphens/>
              <w:autoSpaceDN w:val="0"/>
              <w:jc w:val="right"/>
              <w:outlineLvl w:val="0"/>
              <w:rPr>
                <w:rFonts w:ascii="Arial" w:eastAsia="Calibri" w:hAnsi="Arial" w:cs="Arial"/>
                <w:color w:val="000000"/>
                <w:sz w:val="17"/>
                <w:szCs w:val="17"/>
              </w:rPr>
            </w:pPr>
            <w:r w:rsidRPr="00330DA4">
              <w:rPr>
                <w:rFonts w:ascii="Arial" w:hAnsi="Arial" w:cs="Arial"/>
                <w:sz w:val="17"/>
                <w:szCs w:val="17"/>
              </w:rPr>
              <w:t xml:space="preserve"> - </w:t>
            </w:r>
          </w:p>
        </w:tc>
        <w:tc>
          <w:tcPr>
            <w:tcW w:w="644" w:type="pct"/>
            <w:tcBorders>
              <w:top w:val="nil"/>
              <w:left w:val="nil"/>
              <w:bottom w:val="nil"/>
              <w:right w:val="nil"/>
            </w:tcBorders>
            <w:shd w:val="clear" w:color="auto" w:fill="auto"/>
            <w:vAlign w:val="bottom"/>
          </w:tcPr>
          <w:p w14:paraId="492EF77A" w14:textId="383A7F1E" w:rsidR="009D1D2A" w:rsidRPr="00330DA4" w:rsidRDefault="009D1D2A" w:rsidP="009D1D2A">
            <w:pPr>
              <w:tabs>
                <w:tab w:val="right" w:pos="1202"/>
              </w:tabs>
              <w:suppressAutoHyphens/>
              <w:autoSpaceDN w:val="0"/>
              <w:jc w:val="right"/>
              <w:outlineLvl w:val="0"/>
              <w:rPr>
                <w:rFonts w:ascii="Arial" w:eastAsia="Calibri" w:hAnsi="Arial" w:cs="Arial"/>
                <w:color w:val="000000"/>
                <w:sz w:val="17"/>
                <w:szCs w:val="17"/>
              </w:rPr>
            </w:pPr>
            <w:r w:rsidRPr="00330DA4">
              <w:rPr>
                <w:rFonts w:ascii="Arial" w:hAnsi="Arial" w:cs="Arial"/>
                <w:sz w:val="17"/>
                <w:szCs w:val="17"/>
              </w:rPr>
              <w:t xml:space="preserve"> - </w:t>
            </w:r>
          </w:p>
        </w:tc>
        <w:tc>
          <w:tcPr>
            <w:tcW w:w="607" w:type="pct"/>
            <w:tcBorders>
              <w:top w:val="nil"/>
              <w:left w:val="nil"/>
              <w:bottom w:val="single" w:sz="4" w:space="0" w:color="auto"/>
              <w:right w:val="nil"/>
            </w:tcBorders>
            <w:shd w:val="clear" w:color="auto" w:fill="auto"/>
            <w:vAlign w:val="bottom"/>
          </w:tcPr>
          <w:p w14:paraId="29D8CF13" w14:textId="372B8075" w:rsidR="009D1D2A" w:rsidRPr="00330DA4" w:rsidRDefault="009D1D2A" w:rsidP="009D1D2A">
            <w:pPr>
              <w:tabs>
                <w:tab w:val="right" w:pos="1202"/>
              </w:tabs>
              <w:suppressAutoHyphens/>
              <w:autoSpaceDN w:val="0"/>
              <w:jc w:val="right"/>
              <w:outlineLvl w:val="0"/>
              <w:rPr>
                <w:rFonts w:ascii="Arial" w:eastAsia="Calibri" w:hAnsi="Arial" w:cs="Arial"/>
                <w:color w:val="000000"/>
                <w:sz w:val="17"/>
                <w:szCs w:val="17"/>
              </w:rPr>
            </w:pPr>
            <w:r w:rsidRPr="00330DA4">
              <w:rPr>
                <w:rFonts w:ascii="Arial" w:hAnsi="Arial" w:cs="Arial"/>
                <w:sz w:val="17"/>
                <w:szCs w:val="17"/>
              </w:rPr>
              <w:t xml:space="preserve"> 2 </w:t>
            </w:r>
          </w:p>
        </w:tc>
      </w:tr>
      <w:tr w:rsidR="009D1D2A" w:rsidRPr="003D1614" w14:paraId="280E246B" w14:textId="77777777" w:rsidTr="00330DA4">
        <w:trPr>
          <w:trHeight w:val="259"/>
          <w:jc w:val="center"/>
        </w:trPr>
        <w:tc>
          <w:tcPr>
            <w:tcW w:w="3194" w:type="pct"/>
            <w:shd w:val="clear" w:color="auto" w:fill="auto"/>
            <w:vAlign w:val="bottom"/>
          </w:tcPr>
          <w:p w14:paraId="1F42B39F" w14:textId="77777777" w:rsidR="009D1D2A" w:rsidRPr="003D1614" w:rsidRDefault="009D1D2A" w:rsidP="009D1D2A">
            <w:pPr>
              <w:tabs>
                <w:tab w:val="right" w:pos="1202"/>
              </w:tabs>
              <w:suppressAutoHyphens/>
              <w:autoSpaceDN w:val="0"/>
              <w:outlineLvl w:val="0"/>
              <w:rPr>
                <w:rFonts w:ascii="Arial" w:eastAsia="Calibri" w:hAnsi="Arial" w:cs="Arial"/>
                <w:b/>
                <w:color w:val="000000"/>
                <w:spacing w:val="-2"/>
                <w:sz w:val="17"/>
                <w:szCs w:val="17"/>
              </w:rPr>
            </w:pPr>
            <w:bookmarkStart w:id="1019" w:name="_Toc67330901"/>
            <w:r w:rsidRPr="003D1614">
              <w:rPr>
                <w:rFonts w:ascii="Arial" w:eastAsia="Calibri" w:hAnsi="Arial" w:cs="Arial"/>
                <w:b/>
                <w:color w:val="000000"/>
                <w:spacing w:val="-2"/>
                <w:sz w:val="17"/>
                <w:szCs w:val="17"/>
              </w:rPr>
              <w:t>Ukupno dužnički vrijednosni papiri</w:t>
            </w:r>
            <w:bookmarkEnd w:id="1019"/>
          </w:p>
        </w:tc>
        <w:tc>
          <w:tcPr>
            <w:tcW w:w="555" w:type="pct"/>
            <w:tcBorders>
              <w:top w:val="single" w:sz="4" w:space="0" w:color="auto"/>
              <w:left w:val="nil"/>
              <w:bottom w:val="single" w:sz="12" w:space="0" w:color="auto"/>
              <w:right w:val="nil"/>
            </w:tcBorders>
            <w:shd w:val="clear" w:color="auto" w:fill="auto"/>
            <w:vAlign w:val="bottom"/>
          </w:tcPr>
          <w:p w14:paraId="5CF1AF5B" w14:textId="5525105E" w:rsidR="009D1D2A" w:rsidRPr="00330DA4" w:rsidRDefault="009D1D2A" w:rsidP="009D1D2A">
            <w:pPr>
              <w:tabs>
                <w:tab w:val="right" w:pos="1202"/>
              </w:tabs>
              <w:suppressAutoHyphens/>
              <w:autoSpaceDN w:val="0"/>
              <w:jc w:val="right"/>
              <w:outlineLvl w:val="0"/>
              <w:rPr>
                <w:rFonts w:ascii="Arial" w:eastAsia="Calibri" w:hAnsi="Arial" w:cs="Arial"/>
                <w:b/>
                <w:bCs/>
                <w:color w:val="000000"/>
                <w:sz w:val="17"/>
                <w:szCs w:val="17"/>
              </w:rPr>
            </w:pPr>
            <w:r w:rsidRPr="00330DA4">
              <w:rPr>
                <w:rFonts w:ascii="Arial" w:hAnsi="Arial" w:cs="Arial"/>
                <w:b/>
                <w:bCs/>
                <w:sz w:val="17"/>
                <w:szCs w:val="17"/>
              </w:rPr>
              <w:t xml:space="preserve"> 244.196 </w:t>
            </w:r>
          </w:p>
        </w:tc>
        <w:tc>
          <w:tcPr>
            <w:tcW w:w="644" w:type="pct"/>
            <w:tcBorders>
              <w:top w:val="single" w:sz="4" w:space="0" w:color="auto"/>
              <w:left w:val="nil"/>
              <w:bottom w:val="single" w:sz="12" w:space="0" w:color="auto"/>
              <w:right w:val="nil"/>
            </w:tcBorders>
            <w:shd w:val="clear" w:color="auto" w:fill="auto"/>
            <w:vAlign w:val="bottom"/>
          </w:tcPr>
          <w:p w14:paraId="3EE112AC" w14:textId="09F1C23D" w:rsidR="009D1D2A" w:rsidRPr="00330DA4" w:rsidRDefault="009D1D2A" w:rsidP="009D1D2A">
            <w:pPr>
              <w:tabs>
                <w:tab w:val="right" w:pos="1202"/>
              </w:tabs>
              <w:suppressAutoHyphens/>
              <w:autoSpaceDN w:val="0"/>
              <w:jc w:val="right"/>
              <w:outlineLvl w:val="0"/>
              <w:rPr>
                <w:rFonts w:ascii="Arial" w:eastAsia="Calibri" w:hAnsi="Arial" w:cs="Arial"/>
                <w:b/>
                <w:bCs/>
                <w:color w:val="000000"/>
                <w:sz w:val="17"/>
                <w:szCs w:val="17"/>
              </w:rPr>
            </w:pPr>
            <w:r w:rsidRPr="00330DA4">
              <w:rPr>
                <w:rFonts w:ascii="Arial" w:hAnsi="Arial" w:cs="Arial"/>
                <w:b/>
                <w:bCs/>
                <w:sz w:val="17"/>
                <w:szCs w:val="17"/>
              </w:rPr>
              <w:t xml:space="preserve"> - </w:t>
            </w:r>
          </w:p>
        </w:tc>
        <w:tc>
          <w:tcPr>
            <w:tcW w:w="607" w:type="pct"/>
            <w:tcBorders>
              <w:top w:val="single" w:sz="4" w:space="0" w:color="auto"/>
              <w:left w:val="nil"/>
              <w:bottom w:val="single" w:sz="12" w:space="0" w:color="auto"/>
              <w:right w:val="nil"/>
            </w:tcBorders>
            <w:shd w:val="clear" w:color="auto" w:fill="auto"/>
            <w:vAlign w:val="bottom"/>
          </w:tcPr>
          <w:p w14:paraId="5B961771" w14:textId="1AB55AB4" w:rsidR="009D1D2A" w:rsidRPr="00330DA4" w:rsidRDefault="009D1D2A" w:rsidP="009D1D2A">
            <w:pPr>
              <w:tabs>
                <w:tab w:val="right" w:pos="1202"/>
              </w:tabs>
              <w:suppressAutoHyphens/>
              <w:autoSpaceDN w:val="0"/>
              <w:jc w:val="right"/>
              <w:outlineLvl w:val="0"/>
              <w:rPr>
                <w:rFonts w:ascii="Arial" w:eastAsia="Calibri" w:hAnsi="Arial" w:cs="Arial"/>
                <w:b/>
                <w:bCs/>
                <w:color w:val="000000"/>
                <w:sz w:val="17"/>
                <w:szCs w:val="17"/>
              </w:rPr>
            </w:pPr>
            <w:r w:rsidRPr="00330DA4">
              <w:rPr>
                <w:rFonts w:ascii="Arial" w:hAnsi="Arial" w:cs="Arial"/>
                <w:b/>
                <w:bCs/>
                <w:sz w:val="17"/>
                <w:szCs w:val="17"/>
              </w:rPr>
              <w:t xml:space="preserve"> 214 </w:t>
            </w:r>
          </w:p>
        </w:tc>
      </w:tr>
      <w:tr w:rsidR="009B1838" w:rsidRPr="003D1614" w14:paraId="1895534D" w14:textId="77777777" w:rsidTr="00330DA4">
        <w:trPr>
          <w:trHeight w:hRule="exact" w:val="257"/>
          <w:jc w:val="center"/>
        </w:trPr>
        <w:tc>
          <w:tcPr>
            <w:tcW w:w="3194" w:type="pct"/>
            <w:shd w:val="clear" w:color="auto" w:fill="auto"/>
            <w:vAlign w:val="bottom"/>
          </w:tcPr>
          <w:p w14:paraId="4197D298" w14:textId="77777777" w:rsidR="009B1838" w:rsidRPr="003D1614" w:rsidRDefault="009B1838" w:rsidP="009B1838">
            <w:pPr>
              <w:tabs>
                <w:tab w:val="right" w:pos="1202"/>
              </w:tabs>
              <w:suppressAutoHyphens/>
              <w:autoSpaceDN w:val="0"/>
              <w:outlineLvl w:val="0"/>
              <w:rPr>
                <w:rFonts w:ascii="Arial" w:eastAsia="Calibri" w:hAnsi="Arial" w:cs="Arial"/>
                <w:b/>
                <w:i/>
                <w:color w:val="000000"/>
                <w:spacing w:val="-2"/>
                <w:sz w:val="17"/>
                <w:szCs w:val="17"/>
              </w:rPr>
            </w:pPr>
            <w:bookmarkStart w:id="1020" w:name="_Toc67330905"/>
            <w:r w:rsidRPr="003D1614">
              <w:rPr>
                <w:rFonts w:ascii="Arial" w:eastAsia="Calibri" w:hAnsi="Arial" w:cs="Arial"/>
                <w:b/>
                <w:i/>
                <w:color w:val="000000"/>
                <w:spacing w:val="-2"/>
                <w:sz w:val="17"/>
                <w:szCs w:val="17"/>
              </w:rPr>
              <w:t>Vlasnički vrijednosni papiri koji ne kotiraju:</w:t>
            </w:r>
            <w:bookmarkEnd w:id="1020"/>
          </w:p>
        </w:tc>
        <w:tc>
          <w:tcPr>
            <w:tcW w:w="555" w:type="pct"/>
            <w:tcBorders>
              <w:top w:val="single" w:sz="12" w:space="0" w:color="auto"/>
            </w:tcBorders>
            <w:vAlign w:val="bottom"/>
          </w:tcPr>
          <w:p w14:paraId="7876F41F" w14:textId="77777777" w:rsidR="009B1838" w:rsidRPr="00330DA4" w:rsidDel="00561A80" w:rsidRDefault="009B1838" w:rsidP="009B1838">
            <w:pPr>
              <w:tabs>
                <w:tab w:val="right" w:pos="1202"/>
              </w:tabs>
              <w:suppressAutoHyphens/>
              <w:autoSpaceDN w:val="0"/>
              <w:jc w:val="right"/>
              <w:outlineLvl w:val="0"/>
              <w:rPr>
                <w:rFonts w:ascii="Arial" w:eastAsia="Calibri" w:hAnsi="Arial" w:cs="Arial"/>
                <w:color w:val="000000"/>
                <w:spacing w:val="-2"/>
                <w:sz w:val="17"/>
                <w:szCs w:val="17"/>
              </w:rPr>
            </w:pPr>
          </w:p>
        </w:tc>
        <w:tc>
          <w:tcPr>
            <w:tcW w:w="644" w:type="pct"/>
            <w:tcBorders>
              <w:top w:val="single" w:sz="12" w:space="0" w:color="auto"/>
            </w:tcBorders>
            <w:vAlign w:val="bottom"/>
          </w:tcPr>
          <w:p w14:paraId="0680407A" w14:textId="77777777" w:rsidR="009B1838" w:rsidRPr="00330DA4" w:rsidDel="00561A80" w:rsidRDefault="009B1838" w:rsidP="009B1838">
            <w:pPr>
              <w:tabs>
                <w:tab w:val="right" w:pos="1202"/>
              </w:tabs>
              <w:suppressAutoHyphens/>
              <w:autoSpaceDN w:val="0"/>
              <w:jc w:val="right"/>
              <w:outlineLvl w:val="0"/>
              <w:rPr>
                <w:rFonts w:ascii="Arial" w:eastAsia="Calibri" w:hAnsi="Arial" w:cs="Arial"/>
                <w:color w:val="000000"/>
                <w:spacing w:val="-2"/>
                <w:sz w:val="17"/>
                <w:szCs w:val="17"/>
              </w:rPr>
            </w:pPr>
          </w:p>
        </w:tc>
        <w:tc>
          <w:tcPr>
            <w:tcW w:w="607" w:type="pct"/>
            <w:tcBorders>
              <w:top w:val="single" w:sz="12" w:space="0" w:color="auto"/>
            </w:tcBorders>
            <w:vAlign w:val="bottom"/>
          </w:tcPr>
          <w:p w14:paraId="01363B80" w14:textId="77777777" w:rsidR="009B1838" w:rsidRPr="00330DA4" w:rsidDel="00561A80" w:rsidRDefault="009B1838" w:rsidP="009B1838">
            <w:pPr>
              <w:tabs>
                <w:tab w:val="right" w:pos="1202"/>
              </w:tabs>
              <w:suppressAutoHyphens/>
              <w:autoSpaceDN w:val="0"/>
              <w:jc w:val="right"/>
              <w:outlineLvl w:val="0"/>
              <w:rPr>
                <w:rFonts w:ascii="Arial" w:eastAsia="Calibri" w:hAnsi="Arial" w:cs="Arial"/>
                <w:color w:val="000000"/>
                <w:spacing w:val="-2"/>
                <w:sz w:val="17"/>
                <w:szCs w:val="17"/>
              </w:rPr>
            </w:pPr>
          </w:p>
        </w:tc>
      </w:tr>
      <w:tr w:rsidR="00CE5614" w:rsidRPr="003D1614" w14:paraId="499FB5A3" w14:textId="77777777" w:rsidTr="00330DA4">
        <w:trPr>
          <w:trHeight w:hRule="exact" w:val="227"/>
          <w:jc w:val="center"/>
        </w:trPr>
        <w:tc>
          <w:tcPr>
            <w:tcW w:w="3194" w:type="pct"/>
            <w:shd w:val="clear" w:color="auto" w:fill="auto"/>
            <w:vAlign w:val="bottom"/>
          </w:tcPr>
          <w:p w14:paraId="33A9747C" w14:textId="77777777" w:rsidR="00CE5614" w:rsidRPr="003D1614" w:rsidRDefault="00CE5614" w:rsidP="00CE5614">
            <w:pPr>
              <w:tabs>
                <w:tab w:val="right" w:pos="1202"/>
              </w:tabs>
              <w:suppressAutoHyphens/>
              <w:autoSpaceDN w:val="0"/>
              <w:outlineLvl w:val="0"/>
              <w:rPr>
                <w:rFonts w:ascii="Arial" w:eastAsia="Calibri" w:hAnsi="Arial" w:cs="Arial"/>
                <w:color w:val="000000"/>
                <w:sz w:val="17"/>
                <w:szCs w:val="17"/>
              </w:rPr>
            </w:pPr>
            <w:bookmarkStart w:id="1021" w:name="_Toc67330906"/>
            <w:r w:rsidRPr="003D1614">
              <w:rPr>
                <w:rFonts w:ascii="Arial" w:eastAsia="Calibri" w:hAnsi="Arial" w:cs="Arial"/>
                <w:color w:val="000000"/>
                <w:sz w:val="17"/>
                <w:szCs w:val="17"/>
              </w:rPr>
              <w:t>Dionice inozemnih pravnih osoba - SWIFT</w:t>
            </w:r>
            <w:bookmarkEnd w:id="1021"/>
          </w:p>
        </w:tc>
        <w:tc>
          <w:tcPr>
            <w:tcW w:w="555" w:type="pct"/>
            <w:tcBorders>
              <w:top w:val="nil"/>
              <w:left w:val="nil"/>
              <w:bottom w:val="nil"/>
              <w:right w:val="nil"/>
            </w:tcBorders>
            <w:shd w:val="clear" w:color="auto" w:fill="auto"/>
            <w:vAlign w:val="bottom"/>
          </w:tcPr>
          <w:p w14:paraId="06E69147" w14:textId="1EE55A40" w:rsidR="00CE5614" w:rsidRPr="00330DA4" w:rsidRDefault="00CE5614" w:rsidP="00CE5614">
            <w:pPr>
              <w:tabs>
                <w:tab w:val="right" w:pos="1202"/>
              </w:tabs>
              <w:suppressAutoHyphens/>
              <w:autoSpaceDN w:val="0"/>
              <w:jc w:val="right"/>
              <w:outlineLvl w:val="0"/>
              <w:rPr>
                <w:rFonts w:ascii="Arial" w:eastAsia="Calibri" w:hAnsi="Arial" w:cs="Arial"/>
                <w:color w:val="000000"/>
                <w:sz w:val="17"/>
                <w:szCs w:val="17"/>
              </w:rPr>
            </w:pPr>
            <w:r w:rsidRPr="00330DA4">
              <w:rPr>
                <w:rFonts w:ascii="Arial" w:hAnsi="Arial" w:cs="Arial"/>
                <w:sz w:val="17"/>
                <w:szCs w:val="17"/>
              </w:rPr>
              <w:t xml:space="preserve"> - </w:t>
            </w:r>
          </w:p>
        </w:tc>
        <w:tc>
          <w:tcPr>
            <w:tcW w:w="644" w:type="pct"/>
            <w:tcBorders>
              <w:top w:val="nil"/>
              <w:left w:val="nil"/>
              <w:bottom w:val="nil"/>
              <w:right w:val="nil"/>
            </w:tcBorders>
            <w:shd w:val="clear" w:color="auto" w:fill="auto"/>
            <w:vAlign w:val="bottom"/>
          </w:tcPr>
          <w:p w14:paraId="566012EB" w14:textId="5FC4063D" w:rsidR="00CE5614" w:rsidRPr="00330DA4" w:rsidRDefault="00CE5614" w:rsidP="00CE5614">
            <w:pPr>
              <w:tabs>
                <w:tab w:val="right" w:pos="1202"/>
              </w:tabs>
              <w:suppressAutoHyphens/>
              <w:autoSpaceDN w:val="0"/>
              <w:jc w:val="right"/>
              <w:outlineLvl w:val="0"/>
              <w:rPr>
                <w:rFonts w:ascii="Arial" w:eastAsia="Calibri" w:hAnsi="Arial" w:cs="Arial"/>
                <w:color w:val="000000"/>
                <w:sz w:val="17"/>
                <w:szCs w:val="17"/>
              </w:rPr>
            </w:pPr>
            <w:r w:rsidRPr="00330DA4">
              <w:rPr>
                <w:rFonts w:ascii="Arial" w:hAnsi="Arial" w:cs="Arial"/>
                <w:sz w:val="17"/>
                <w:szCs w:val="17"/>
              </w:rPr>
              <w:t xml:space="preserve"> 8 </w:t>
            </w:r>
          </w:p>
        </w:tc>
        <w:tc>
          <w:tcPr>
            <w:tcW w:w="607" w:type="pct"/>
            <w:tcBorders>
              <w:top w:val="nil"/>
              <w:left w:val="nil"/>
              <w:bottom w:val="nil"/>
              <w:right w:val="nil"/>
            </w:tcBorders>
            <w:shd w:val="clear" w:color="auto" w:fill="auto"/>
            <w:vAlign w:val="bottom"/>
          </w:tcPr>
          <w:p w14:paraId="3EC29375" w14:textId="7E304CD0" w:rsidR="00CE5614" w:rsidRPr="00330DA4" w:rsidRDefault="00CE5614" w:rsidP="00CE5614">
            <w:pPr>
              <w:tabs>
                <w:tab w:val="right" w:pos="1202"/>
              </w:tabs>
              <w:suppressAutoHyphens/>
              <w:autoSpaceDN w:val="0"/>
              <w:jc w:val="right"/>
              <w:outlineLvl w:val="0"/>
              <w:rPr>
                <w:rFonts w:ascii="Arial" w:eastAsia="Calibri" w:hAnsi="Arial" w:cs="Arial"/>
                <w:color w:val="000000"/>
                <w:sz w:val="17"/>
                <w:szCs w:val="17"/>
              </w:rPr>
            </w:pPr>
            <w:r w:rsidRPr="00330DA4">
              <w:rPr>
                <w:rFonts w:ascii="Arial" w:hAnsi="Arial" w:cs="Arial"/>
                <w:sz w:val="17"/>
                <w:szCs w:val="17"/>
              </w:rPr>
              <w:t xml:space="preserve"> - </w:t>
            </w:r>
          </w:p>
        </w:tc>
      </w:tr>
      <w:tr w:rsidR="00CE5614" w:rsidRPr="003D1614" w14:paraId="2EE73F15" w14:textId="77777777" w:rsidTr="00330DA4">
        <w:trPr>
          <w:trHeight w:hRule="exact" w:val="227"/>
          <w:jc w:val="center"/>
        </w:trPr>
        <w:tc>
          <w:tcPr>
            <w:tcW w:w="3194" w:type="pct"/>
            <w:shd w:val="clear" w:color="auto" w:fill="auto"/>
            <w:vAlign w:val="bottom"/>
          </w:tcPr>
          <w:p w14:paraId="0F0808A8" w14:textId="77777777" w:rsidR="00CE5614" w:rsidRPr="003D1614" w:rsidRDefault="00CE5614" w:rsidP="00CE5614">
            <w:pPr>
              <w:tabs>
                <w:tab w:val="right" w:pos="1202"/>
              </w:tabs>
              <w:suppressAutoHyphens/>
              <w:autoSpaceDN w:val="0"/>
              <w:outlineLvl w:val="0"/>
              <w:rPr>
                <w:rFonts w:ascii="Arial" w:eastAsia="Calibri" w:hAnsi="Arial" w:cs="Arial"/>
                <w:color w:val="000000"/>
                <w:sz w:val="17"/>
                <w:szCs w:val="17"/>
              </w:rPr>
            </w:pPr>
            <w:bookmarkStart w:id="1022" w:name="_Toc67330910"/>
            <w:r w:rsidRPr="003D1614">
              <w:rPr>
                <w:rFonts w:ascii="Arial" w:eastAsia="Calibri" w:hAnsi="Arial" w:cs="Arial"/>
                <w:color w:val="000000"/>
                <w:sz w:val="17"/>
                <w:szCs w:val="17"/>
              </w:rPr>
              <w:t>Dionice inozemnih financijskih institucija – EIF</w:t>
            </w:r>
            <w:bookmarkEnd w:id="1022"/>
          </w:p>
        </w:tc>
        <w:tc>
          <w:tcPr>
            <w:tcW w:w="555" w:type="pct"/>
            <w:tcBorders>
              <w:top w:val="nil"/>
              <w:left w:val="nil"/>
              <w:bottom w:val="nil"/>
              <w:right w:val="nil"/>
            </w:tcBorders>
            <w:shd w:val="clear" w:color="auto" w:fill="auto"/>
            <w:vAlign w:val="bottom"/>
          </w:tcPr>
          <w:p w14:paraId="4240D1B9" w14:textId="1DFFD508" w:rsidR="00CE5614" w:rsidRPr="00330DA4" w:rsidRDefault="00CE5614" w:rsidP="00CE5614">
            <w:pPr>
              <w:tabs>
                <w:tab w:val="right" w:pos="1202"/>
              </w:tabs>
              <w:suppressAutoHyphens/>
              <w:autoSpaceDN w:val="0"/>
              <w:jc w:val="right"/>
              <w:outlineLvl w:val="0"/>
              <w:rPr>
                <w:rFonts w:ascii="Arial" w:eastAsia="Calibri" w:hAnsi="Arial" w:cs="Arial"/>
                <w:color w:val="000000"/>
                <w:sz w:val="17"/>
                <w:szCs w:val="17"/>
              </w:rPr>
            </w:pPr>
            <w:r w:rsidRPr="00330DA4">
              <w:rPr>
                <w:rFonts w:ascii="Arial" w:hAnsi="Arial" w:cs="Arial"/>
                <w:sz w:val="17"/>
                <w:szCs w:val="17"/>
              </w:rPr>
              <w:t xml:space="preserve"> - </w:t>
            </w:r>
          </w:p>
        </w:tc>
        <w:tc>
          <w:tcPr>
            <w:tcW w:w="644" w:type="pct"/>
            <w:tcBorders>
              <w:top w:val="nil"/>
              <w:left w:val="nil"/>
              <w:bottom w:val="nil"/>
              <w:right w:val="nil"/>
            </w:tcBorders>
            <w:shd w:val="clear" w:color="auto" w:fill="auto"/>
            <w:vAlign w:val="bottom"/>
          </w:tcPr>
          <w:p w14:paraId="4BBA84FE" w14:textId="7A9C44FB" w:rsidR="00CE5614" w:rsidRPr="00330DA4" w:rsidRDefault="00CE5614" w:rsidP="00CE5614">
            <w:pPr>
              <w:tabs>
                <w:tab w:val="right" w:pos="1202"/>
              </w:tabs>
              <w:suppressAutoHyphens/>
              <w:autoSpaceDN w:val="0"/>
              <w:jc w:val="right"/>
              <w:outlineLvl w:val="0"/>
              <w:rPr>
                <w:rFonts w:ascii="Arial" w:eastAsia="Calibri" w:hAnsi="Arial" w:cs="Arial"/>
                <w:color w:val="000000"/>
                <w:sz w:val="17"/>
                <w:szCs w:val="17"/>
              </w:rPr>
            </w:pPr>
            <w:r w:rsidRPr="00330DA4">
              <w:rPr>
                <w:rFonts w:ascii="Arial" w:hAnsi="Arial" w:cs="Arial"/>
                <w:sz w:val="17"/>
                <w:szCs w:val="17"/>
              </w:rPr>
              <w:t xml:space="preserve"> 8.065 </w:t>
            </w:r>
          </w:p>
        </w:tc>
        <w:tc>
          <w:tcPr>
            <w:tcW w:w="607" w:type="pct"/>
            <w:tcBorders>
              <w:top w:val="nil"/>
              <w:left w:val="nil"/>
              <w:bottom w:val="nil"/>
              <w:right w:val="nil"/>
            </w:tcBorders>
            <w:shd w:val="clear" w:color="auto" w:fill="auto"/>
            <w:vAlign w:val="bottom"/>
          </w:tcPr>
          <w:p w14:paraId="4D8CD57F" w14:textId="580F5069" w:rsidR="00CE5614" w:rsidRPr="00330DA4" w:rsidRDefault="00CE5614" w:rsidP="00CE5614">
            <w:pPr>
              <w:tabs>
                <w:tab w:val="right" w:pos="1202"/>
              </w:tabs>
              <w:suppressAutoHyphens/>
              <w:autoSpaceDN w:val="0"/>
              <w:jc w:val="right"/>
              <w:outlineLvl w:val="0"/>
              <w:rPr>
                <w:rFonts w:ascii="Arial" w:eastAsia="Calibri" w:hAnsi="Arial" w:cs="Arial"/>
                <w:color w:val="000000"/>
                <w:sz w:val="17"/>
                <w:szCs w:val="17"/>
              </w:rPr>
            </w:pPr>
            <w:r w:rsidRPr="00330DA4">
              <w:rPr>
                <w:rFonts w:ascii="Arial" w:hAnsi="Arial" w:cs="Arial"/>
                <w:sz w:val="17"/>
                <w:szCs w:val="17"/>
              </w:rPr>
              <w:t xml:space="preserve"> - </w:t>
            </w:r>
          </w:p>
        </w:tc>
      </w:tr>
      <w:tr w:rsidR="00CE5614" w:rsidRPr="003D1614" w14:paraId="58116134" w14:textId="77777777" w:rsidTr="00330DA4">
        <w:trPr>
          <w:trHeight w:hRule="exact" w:val="244"/>
          <w:jc w:val="center"/>
        </w:trPr>
        <w:tc>
          <w:tcPr>
            <w:tcW w:w="3194" w:type="pct"/>
            <w:shd w:val="clear" w:color="auto" w:fill="auto"/>
            <w:vAlign w:val="bottom"/>
          </w:tcPr>
          <w:p w14:paraId="786BC937" w14:textId="77777777" w:rsidR="00CE5614" w:rsidRPr="003D1614" w:rsidRDefault="00CE5614" w:rsidP="00CE5614">
            <w:pPr>
              <w:tabs>
                <w:tab w:val="right" w:pos="1202"/>
              </w:tabs>
              <w:suppressAutoHyphens/>
              <w:autoSpaceDN w:val="0"/>
              <w:outlineLvl w:val="0"/>
              <w:rPr>
                <w:rFonts w:ascii="Arial" w:eastAsia="Calibri" w:hAnsi="Arial" w:cs="Arial"/>
                <w:b/>
                <w:color w:val="000000"/>
                <w:sz w:val="17"/>
                <w:szCs w:val="17"/>
              </w:rPr>
            </w:pPr>
            <w:bookmarkStart w:id="1023" w:name="_Toc67330914"/>
            <w:r w:rsidRPr="003D1614">
              <w:rPr>
                <w:rFonts w:ascii="Arial" w:eastAsia="Calibri" w:hAnsi="Arial" w:cs="Arial"/>
                <w:b/>
                <w:color w:val="000000"/>
                <w:sz w:val="17"/>
                <w:szCs w:val="17"/>
              </w:rPr>
              <w:t>Ukupno vlasnički vrijednosni papiri</w:t>
            </w:r>
            <w:bookmarkEnd w:id="1023"/>
          </w:p>
        </w:tc>
        <w:tc>
          <w:tcPr>
            <w:tcW w:w="555" w:type="pct"/>
            <w:tcBorders>
              <w:top w:val="single" w:sz="4" w:space="0" w:color="auto"/>
              <w:left w:val="nil"/>
              <w:bottom w:val="single" w:sz="8" w:space="0" w:color="auto"/>
              <w:right w:val="nil"/>
            </w:tcBorders>
            <w:shd w:val="clear" w:color="auto" w:fill="auto"/>
            <w:vAlign w:val="bottom"/>
          </w:tcPr>
          <w:p w14:paraId="5A1332D9" w14:textId="48A8A624" w:rsidR="00CE5614" w:rsidRPr="00330DA4" w:rsidRDefault="00CE5614" w:rsidP="00CE5614">
            <w:pPr>
              <w:tabs>
                <w:tab w:val="right" w:pos="1202"/>
              </w:tabs>
              <w:suppressAutoHyphens/>
              <w:autoSpaceDN w:val="0"/>
              <w:jc w:val="right"/>
              <w:outlineLvl w:val="0"/>
              <w:rPr>
                <w:rFonts w:ascii="Arial" w:eastAsia="Calibri" w:hAnsi="Arial" w:cs="Arial"/>
                <w:b/>
                <w:color w:val="000000"/>
                <w:sz w:val="17"/>
                <w:szCs w:val="17"/>
              </w:rPr>
            </w:pPr>
            <w:r w:rsidRPr="00330DA4">
              <w:rPr>
                <w:rFonts w:ascii="Arial" w:hAnsi="Arial" w:cs="Arial"/>
                <w:sz w:val="17"/>
                <w:szCs w:val="17"/>
              </w:rPr>
              <w:t xml:space="preserve"> - </w:t>
            </w:r>
          </w:p>
        </w:tc>
        <w:tc>
          <w:tcPr>
            <w:tcW w:w="644" w:type="pct"/>
            <w:tcBorders>
              <w:top w:val="single" w:sz="4" w:space="0" w:color="auto"/>
              <w:left w:val="nil"/>
              <w:bottom w:val="single" w:sz="8" w:space="0" w:color="auto"/>
              <w:right w:val="nil"/>
            </w:tcBorders>
            <w:shd w:val="clear" w:color="auto" w:fill="auto"/>
            <w:vAlign w:val="bottom"/>
          </w:tcPr>
          <w:p w14:paraId="2D929004" w14:textId="08FAA19A" w:rsidR="00CE5614" w:rsidRPr="00330DA4" w:rsidRDefault="00CE5614" w:rsidP="00CE5614">
            <w:pPr>
              <w:tabs>
                <w:tab w:val="right" w:pos="1202"/>
              </w:tabs>
              <w:suppressAutoHyphens/>
              <w:autoSpaceDN w:val="0"/>
              <w:jc w:val="right"/>
              <w:outlineLvl w:val="0"/>
              <w:rPr>
                <w:rFonts w:ascii="Arial" w:eastAsia="Calibri" w:hAnsi="Arial" w:cs="Arial"/>
                <w:b/>
                <w:color w:val="000000"/>
                <w:sz w:val="17"/>
                <w:szCs w:val="17"/>
              </w:rPr>
            </w:pPr>
            <w:r w:rsidRPr="00330DA4">
              <w:rPr>
                <w:rFonts w:ascii="Arial" w:hAnsi="Arial" w:cs="Arial"/>
                <w:sz w:val="17"/>
                <w:szCs w:val="17"/>
              </w:rPr>
              <w:t xml:space="preserve"> 8.073 </w:t>
            </w:r>
          </w:p>
        </w:tc>
        <w:tc>
          <w:tcPr>
            <w:tcW w:w="607" w:type="pct"/>
            <w:tcBorders>
              <w:top w:val="single" w:sz="4" w:space="0" w:color="auto"/>
              <w:left w:val="nil"/>
              <w:bottom w:val="single" w:sz="8" w:space="0" w:color="auto"/>
              <w:right w:val="nil"/>
            </w:tcBorders>
            <w:shd w:val="clear" w:color="auto" w:fill="auto"/>
            <w:vAlign w:val="bottom"/>
          </w:tcPr>
          <w:p w14:paraId="6AABB37B" w14:textId="1216415A" w:rsidR="00CE5614" w:rsidRPr="00330DA4" w:rsidRDefault="00CE5614" w:rsidP="00CE5614">
            <w:pPr>
              <w:tabs>
                <w:tab w:val="right" w:pos="1202"/>
              </w:tabs>
              <w:suppressAutoHyphens/>
              <w:autoSpaceDN w:val="0"/>
              <w:jc w:val="right"/>
              <w:outlineLvl w:val="0"/>
              <w:rPr>
                <w:rFonts w:ascii="Arial" w:eastAsia="Calibri" w:hAnsi="Arial" w:cs="Arial"/>
                <w:b/>
                <w:color w:val="000000"/>
                <w:sz w:val="17"/>
                <w:szCs w:val="17"/>
              </w:rPr>
            </w:pPr>
            <w:r w:rsidRPr="00330DA4">
              <w:rPr>
                <w:rFonts w:ascii="Arial" w:hAnsi="Arial" w:cs="Arial"/>
                <w:sz w:val="17"/>
                <w:szCs w:val="17"/>
              </w:rPr>
              <w:t xml:space="preserve"> - </w:t>
            </w:r>
          </w:p>
        </w:tc>
      </w:tr>
      <w:tr w:rsidR="00CE5614" w:rsidRPr="003D1614" w14:paraId="6D22AA0D" w14:textId="77777777" w:rsidTr="00330DA4">
        <w:trPr>
          <w:trHeight w:hRule="exact" w:val="255"/>
          <w:jc w:val="center"/>
        </w:trPr>
        <w:tc>
          <w:tcPr>
            <w:tcW w:w="3194" w:type="pct"/>
            <w:shd w:val="clear" w:color="auto" w:fill="auto"/>
            <w:vAlign w:val="bottom"/>
          </w:tcPr>
          <w:p w14:paraId="2DCAFAD5" w14:textId="77777777" w:rsidR="00CE5614" w:rsidRPr="003D1614" w:rsidRDefault="00CE5614" w:rsidP="00CE5614">
            <w:pPr>
              <w:tabs>
                <w:tab w:val="right" w:pos="1202"/>
              </w:tabs>
              <w:suppressAutoHyphens/>
              <w:autoSpaceDN w:val="0"/>
              <w:outlineLvl w:val="0"/>
              <w:rPr>
                <w:rFonts w:ascii="Arial" w:eastAsia="Calibri" w:hAnsi="Arial" w:cs="Arial"/>
                <w:b/>
                <w:color w:val="000000"/>
                <w:sz w:val="17"/>
                <w:szCs w:val="17"/>
              </w:rPr>
            </w:pPr>
            <w:bookmarkStart w:id="1024" w:name="_Toc67330918"/>
            <w:r w:rsidRPr="003D1614">
              <w:rPr>
                <w:rFonts w:ascii="Arial" w:eastAsia="Calibri" w:hAnsi="Arial" w:cs="Arial"/>
                <w:b/>
                <w:color w:val="000000"/>
                <w:sz w:val="17"/>
                <w:szCs w:val="17"/>
              </w:rPr>
              <w:t>Ukupno imovina po fer vrijednosti kroz ostalu sveobuhvatnu dobit</w:t>
            </w:r>
            <w:bookmarkEnd w:id="1024"/>
          </w:p>
        </w:tc>
        <w:tc>
          <w:tcPr>
            <w:tcW w:w="555" w:type="pct"/>
            <w:tcBorders>
              <w:top w:val="single" w:sz="12" w:space="0" w:color="auto"/>
              <w:left w:val="nil"/>
              <w:bottom w:val="single" w:sz="12" w:space="0" w:color="auto"/>
              <w:right w:val="nil"/>
            </w:tcBorders>
            <w:shd w:val="clear" w:color="auto" w:fill="auto"/>
            <w:vAlign w:val="bottom"/>
          </w:tcPr>
          <w:p w14:paraId="5F058948" w14:textId="7AD5DA35" w:rsidR="00CE5614" w:rsidRPr="00330DA4" w:rsidRDefault="00CE5614" w:rsidP="00CE5614">
            <w:pPr>
              <w:tabs>
                <w:tab w:val="right" w:pos="1202"/>
              </w:tabs>
              <w:suppressAutoHyphens/>
              <w:autoSpaceDN w:val="0"/>
              <w:jc w:val="right"/>
              <w:outlineLvl w:val="0"/>
              <w:rPr>
                <w:rFonts w:ascii="Arial" w:eastAsia="Calibri" w:hAnsi="Arial" w:cs="Arial"/>
                <w:b/>
                <w:bCs/>
                <w:color w:val="000000"/>
                <w:sz w:val="17"/>
                <w:szCs w:val="17"/>
              </w:rPr>
            </w:pPr>
            <w:r w:rsidRPr="00330DA4">
              <w:rPr>
                <w:rFonts w:ascii="Arial" w:hAnsi="Arial" w:cs="Arial"/>
                <w:b/>
                <w:bCs/>
                <w:sz w:val="17"/>
                <w:szCs w:val="17"/>
              </w:rPr>
              <w:t xml:space="preserve"> 244.196 </w:t>
            </w:r>
          </w:p>
        </w:tc>
        <w:tc>
          <w:tcPr>
            <w:tcW w:w="644" w:type="pct"/>
            <w:tcBorders>
              <w:top w:val="single" w:sz="12" w:space="0" w:color="auto"/>
              <w:left w:val="nil"/>
              <w:bottom w:val="single" w:sz="12" w:space="0" w:color="auto"/>
              <w:right w:val="nil"/>
            </w:tcBorders>
            <w:shd w:val="clear" w:color="auto" w:fill="auto"/>
            <w:vAlign w:val="bottom"/>
          </w:tcPr>
          <w:p w14:paraId="72706911" w14:textId="79210C26" w:rsidR="00CE5614" w:rsidRPr="00330DA4" w:rsidRDefault="00CE5614" w:rsidP="00CE5614">
            <w:pPr>
              <w:tabs>
                <w:tab w:val="right" w:pos="1202"/>
              </w:tabs>
              <w:suppressAutoHyphens/>
              <w:autoSpaceDN w:val="0"/>
              <w:jc w:val="right"/>
              <w:outlineLvl w:val="0"/>
              <w:rPr>
                <w:rFonts w:ascii="Arial" w:eastAsia="Calibri" w:hAnsi="Arial" w:cs="Arial"/>
                <w:b/>
                <w:bCs/>
                <w:color w:val="000000"/>
                <w:sz w:val="17"/>
                <w:szCs w:val="17"/>
              </w:rPr>
            </w:pPr>
            <w:r w:rsidRPr="00330DA4">
              <w:rPr>
                <w:rFonts w:ascii="Arial" w:hAnsi="Arial" w:cs="Arial"/>
                <w:b/>
                <w:bCs/>
                <w:sz w:val="17"/>
                <w:szCs w:val="17"/>
              </w:rPr>
              <w:t xml:space="preserve"> 8.073 </w:t>
            </w:r>
          </w:p>
        </w:tc>
        <w:tc>
          <w:tcPr>
            <w:tcW w:w="607" w:type="pct"/>
            <w:tcBorders>
              <w:top w:val="single" w:sz="12" w:space="0" w:color="auto"/>
              <w:left w:val="nil"/>
              <w:bottom w:val="single" w:sz="12" w:space="0" w:color="auto"/>
              <w:right w:val="nil"/>
            </w:tcBorders>
            <w:shd w:val="clear" w:color="auto" w:fill="auto"/>
            <w:vAlign w:val="bottom"/>
          </w:tcPr>
          <w:p w14:paraId="5D7BB02E" w14:textId="03DC1966" w:rsidR="00CE5614" w:rsidRPr="00330DA4" w:rsidRDefault="00CE5614" w:rsidP="00CE5614">
            <w:pPr>
              <w:tabs>
                <w:tab w:val="right" w:pos="1202"/>
              </w:tabs>
              <w:suppressAutoHyphens/>
              <w:autoSpaceDN w:val="0"/>
              <w:jc w:val="right"/>
              <w:outlineLvl w:val="0"/>
              <w:rPr>
                <w:rFonts w:ascii="Arial" w:eastAsia="Calibri" w:hAnsi="Arial" w:cs="Arial"/>
                <w:b/>
                <w:bCs/>
                <w:color w:val="000000"/>
                <w:sz w:val="17"/>
                <w:szCs w:val="17"/>
              </w:rPr>
            </w:pPr>
            <w:r w:rsidRPr="00330DA4">
              <w:rPr>
                <w:rFonts w:ascii="Arial" w:hAnsi="Arial" w:cs="Arial"/>
                <w:b/>
                <w:bCs/>
                <w:sz w:val="17"/>
                <w:szCs w:val="17"/>
              </w:rPr>
              <w:t xml:space="preserve"> 214 </w:t>
            </w:r>
          </w:p>
        </w:tc>
      </w:tr>
      <w:tr w:rsidR="00330DA4" w:rsidRPr="003D1614" w14:paraId="4512260E" w14:textId="77777777" w:rsidTr="00B41C5D">
        <w:trPr>
          <w:trHeight w:hRule="exact" w:val="255"/>
          <w:jc w:val="center"/>
        </w:trPr>
        <w:tc>
          <w:tcPr>
            <w:tcW w:w="3194" w:type="pct"/>
            <w:shd w:val="clear" w:color="auto" w:fill="auto"/>
            <w:vAlign w:val="bottom"/>
          </w:tcPr>
          <w:p w14:paraId="6484EF83" w14:textId="6C94E796" w:rsidR="00330DA4" w:rsidRPr="003D1614" w:rsidRDefault="00330DA4" w:rsidP="00330DA4">
            <w:pPr>
              <w:tabs>
                <w:tab w:val="right" w:pos="1202"/>
              </w:tabs>
              <w:suppressAutoHyphens/>
              <w:autoSpaceDN w:val="0"/>
              <w:outlineLvl w:val="0"/>
              <w:rPr>
                <w:rFonts w:ascii="Arial" w:eastAsia="Calibri" w:hAnsi="Arial" w:cs="Arial"/>
                <w:b/>
                <w:color w:val="000000"/>
                <w:sz w:val="17"/>
                <w:szCs w:val="17"/>
              </w:rPr>
            </w:pPr>
            <w:r w:rsidRPr="00F959D0">
              <w:rPr>
                <w:rFonts w:ascii="Arial" w:eastAsia="Calibri" w:hAnsi="Arial" w:cs="Arial"/>
                <w:b/>
                <w:color w:val="000000"/>
                <w:sz w:val="17"/>
                <w:szCs w:val="17"/>
              </w:rPr>
              <w:t>Derivativne financijske obveze</w:t>
            </w:r>
          </w:p>
        </w:tc>
        <w:tc>
          <w:tcPr>
            <w:tcW w:w="555" w:type="pct"/>
            <w:tcBorders>
              <w:top w:val="single" w:sz="12" w:space="0" w:color="auto"/>
              <w:left w:val="nil"/>
              <w:bottom w:val="single" w:sz="4" w:space="0" w:color="auto"/>
              <w:right w:val="nil"/>
            </w:tcBorders>
            <w:shd w:val="clear" w:color="auto" w:fill="auto"/>
            <w:vAlign w:val="bottom"/>
          </w:tcPr>
          <w:p w14:paraId="5AE566EE" w14:textId="77777777" w:rsidR="00330DA4" w:rsidRPr="00330DA4" w:rsidRDefault="00330DA4" w:rsidP="00330DA4">
            <w:pPr>
              <w:tabs>
                <w:tab w:val="right" w:pos="1202"/>
              </w:tabs>
              <w:suppressAutoHyphens/>
              <w:autoSpaceDN w:val="0"/>
              <w:jc w:val="right"/>
              <w:outlineLvl w:val="0"/>
              <w:rPr>
                <w:rFonts w:ascii="Arial" w:hAnsi="Arial" w:cs="Arial"/>
                <w:sz w:val="17"/>
                <w:szCs w:val="17"/>
              </w:rPr>
            </w:pPr>
          </w:p>
        </w:tc>
        <w:tc>
          <w:tcPr>
            <w:tcW w:w="644" w:type="pct"/>
            <w:tcBorders>
              <w:top w:val="single" w:sz="12" w:space="0" w:color="auto"/>
              <w:left w:val="nil"/>
              <w:bottom w:val="single" w:sz="4" w:space="0" w:color="auto"/>
              <w:right w:val="nil"/>
            </w:tcBorders>
            <w:shd w:val="clear" w:color="auto" w:fill="auto"/>
            <w:vAlign w:val="bottom"/>
          </w:tcPr>
          <w:p w14:paraId="2DAA9958" w14:textId="77777777" w:rsidR="00330DA4" w:rsidRPr="00330DA4" w:rsidRDefault="00330DA4" w:rsidP="00330DA4">
            <w:pPr>
              <w:tabs>
                <w:tab w:val="right" w:pos="1202"/>
              </w:tabs>
              <w:suppressAutoHyphens/>
              <w:autoSpaceDN w:val="0"/>
              <w:jc w:val="right"/>
              <w:outlineLvl w:val="0"/>
              <w:rPr>
                <w:rFonts w:ascii="Arial" w:hAnsi="Arial" w:cs="Arial"/>
                <w:sz w:val="17"/>
                <w:szCs w:val="17"/>
              </w:rPr>
            </w:pPr>
          </w:p>
        </w:tc>
        <w:tc>
          <w:tcPr>
            <w:tcW w:w="607" w:type="pct"/>
            <w:tcBorders>
              <w:top w:val="single" w:sz="12" w:space="0" w:color="auto"/>
              <w:left w:val="nil"/>
              <w:bottom w:val="single" w:sz="4" w:space="0" w:color="auto"/>
              <w:right w:val="nil"/>
            </w:tcBorders>
            <w:shd w:val="clear" w:color="auto" w:fill="auto"/>
            <w:vAlign w:val="bottom"/>
          </w:tcPr>
          <w:p w14:paraId="04C9997E" w14:textId="77777777" w:rsidR="00330DA4" w:rsidRPr="00330DA4" w:rsidRDefault="00330DA4" w:rsidP="00330DA4">
            <w:pPr>
              <w:tabs>
                <w:tab w:val="right" w:pos="1202"/>
              </w:tabs>
              <w:suppressAutoHyphens/>
              <w:autoSpaceDN w:val="0"/>
              <w:jc w:val="right"/>
              <w:outlineLvl w:val="0"/>
              <w:rPr>
                <w:rFonts w:ascii="Arial" w:hAnsi="Arial" w:cs="Arial"/>
                <w:sz w:val="17"/>
                <w:szCs w:val="17"/>
              </w:rPr>
            </w:pPr>
          </w:p>
        </w:tc>
      </w:tr>
      <w:tr w:rsidR="00330DA4" w:rsidRPr="003D1614" w14:paraId="205F12AD" w14:textId="77777777" w:rsidTr="00B41C5D">
        <w:trPr>
          <w:trHeight w:hRule="exact" w:val="255"/>
          <w:jc w:val="center"/>
        </w:trPr>
        <w:tc>
          <w:tcPr>
            <w:tcW w:w="3194" w:type="pct"/>
            <w:shd w:val="clear" w:color="auto" w:fill="auto"/>
            <w:vAlign w:val="bottom"/>
          </w:tcPr>
          <w:p w14:paraId="47556F92" w14:textId="27854E8B" w:rsidR="00330DA4" w:rsidRPr="003D1614" w:rsidRDefault="00330DA4" w:rsidP="00330DA4">
            <w:pPr>
              <w:tabs>
                <w:tab w:val="right" w:pos="1202"/>
              </w:tabs>
              <w:suppressAutoHyphens/>
              <w:autoSpaceDN w:val="0"/>
              <w:outlineLvl w:val="0"/>
              <w:rPr>
                <w:rFonts w:ascii="Arial" w:eastAsia="Calibri" w:hAnsi="Arial" w:cs="Arial"/>
                <w:b/>
                <w:color w:val="000000"/>
                <w:sz w:val="17"/>
                <w:szCs w:val="17"/>
              </w:rPr>
            </w:pPr>
            <w:r w:rsidRPr="00F959D0">
              <w:rPr>
                <w:rFonts w:ascii="Arial" w:eastAsia="Calibri" w:hAnsi="Arial" w:cs="Arial"/>
                <w:bCs/>
                <w:color w:val="000000"/>
                <w:sz w:val="17"/>
                <w:szCs w:val="17"/>
              </w:rPr>
              <w:t>FX swap</w:t>
            </w:r>
          </w:p>
        </w:tc>
        <w:tc>
          <w:tcPr>
            <w:tcW w:w="555" w:type="pct"/>
            <w:tcBorders>
              <w:top w:val="single" w:sz="4" w:space="0" w:color="auto"/>
              <w:left w:val="nil"/>
              <w:bottom w:val="single" w:sz="12" w:space="0" w:color="auto"/>
              <w:right w:val="nil"/>
            </w:tcBorders>
            <w:shd w:val="clear" w:color="auto" w:fill="auto"/>
            <w:vAlign w:val="bottom"/>
          </w:tcPr>
          <w:p w14:paraId="33A5FFB8" w14:textId="3811A7BE" w:rsidR="00330DA4" w:rsidRPr="00330DA4" w:rsidRDefault="00330DA4" w:rsidP="00330DA4">
            <w:pPr>
              <w:tabs>
                <w:tab w:val="right" w:pos="1202"/>
              </w:tabs>
              <w:suppressAutoHyphens/>
              <w:autoSpaceDN w:val="0"/>
              <w:jc w:val="right"/>
              <w:outlineLvl w:val="0"/>
              <w:rPr>
                <w:rFonts w:ascii="Arial" w:hAnsi="Arial" w:cs="Arial"/>
                <w:sz w:val="17"/>
                <w:szCs w:val="17"/>
              </w:rPr>
            </w:pPr>
            <w:r w:rsidRPr="00330DA4">
              <w:rPr>
                <w:rFonts w:ascii="Arial" w:hAnsi="Arial" w:cs="Arial"/>
                <w:sz w:val="17"/>
                <w:szCs w:val="17"/>
              </w:rPr>
              <w:t>-</w:t>
            </w:r>
          </w:p>
        </w:tc>
        <w:tc>
          <w:tcPr>
            <w:tcW w:w="644" w:type="pct"/>
            <w:tcBorders>
              <w:top w:val="single" w:sz="4" w:space="0" w:color="auto"/>
              <w:left w:val="nil"/>
              <w:bottom w:val="single" w:sz="12" w:space="0" w:color="auto"/>
              <w:right w:val="nil"/>
            </w:tcBorders>
            <w:shd w:val="clear" w:color="auto" w:fill="auto"/>
            <w:vAlign w:val="bottom"/>
          </w:tcPr>
          <w:p w14:paraId="024FFADB" w14:textId="0B58391C" w:rsidR="00330DA4" w:rsidRPr="00330DA4" w:rsidRDefault="00330DA4" w:rsidP="00330DA4">
            <w:pPr>
              <w:tabs>
                <w:tab w:val="right" w:pos="1202"/>
              </w:tabs>
              <w:suppressAutoHyphens/>
              <w:autoSpaceDN w:val="0"/>
              <w:jc w:val="right"/>
              <w:outlineLvl w:val="0"/>
              <w:rPr>
                <w:rFonts w:ascii="Arial" w:hAnsi="Arial" w:cs="Arial"/>
                <w:sz w:val="17"/>
                <w:szCs w:val="17"/>
              </w:rPr>
            </w:pPr>
            <w:r w:rsidRPr="00330DA4">
              <w:rPr>
                <w:rFonts w:ascii="Arial" w:hAnsi="Arial" w:cs="Arial"/>
                <w:sz w:val="17"/>
                <w:szCs w:val="17"/>
              </w:rPr>
              <w:t>63</w:t>
            </w:r>
          </w:p>
        </w:tc>
        <w:tc>
          <w:tcPr>
            <w:tcW w:w="607" w:type="pct"/>
            <w:tcBorders>
              <w:top w:val="single" w:sz="4" w:space="0" w:color="auto"/>
              <w:left w:val="nil"/>
              <w:bottom w:val="single" w:sz="12" w:space="0" w:color="auto"/>
              <w:right w:val="nil"/>
            </w:tcBorders>
            <w:shd w:val="clear" w:color="auto" w:fill="auto"/>
            <w:vAlign w:val="bottom"/>
          </w:tcPr>
          <w:p w14:paraId="51576233" w14:textId="0A8C0111" w:rsidR="00330DA4" w:rsidRPr="00330DA4" w:rsidRDefault="00330DA4" w:rsidP="00330DA4">
            <w:pPr>
              <w:tabs>
                <w:tab w:val="right" w:pos="1202"/>
              </w:tabs>
              <w:suppressAutoHyphens/>
              <w:autoSpaceDN w:val="0"/>
              <w:jc w:val="right"/>
              <w:outlineLvl w:val="0"/>
              <w:rPr>
                <w:rFonts w:ascii="Arial" w:hAnsi="Arial" w:cs="Arial"/>
                <w:sz w:val="17"/>
                <w:szCs w:val="17"/>
              </w:rPr>
            </w:pPr>
            <w:r w:rsidRPr="00330DA4">
              <w:rPr>
                <w:rFonts w:ascii="Arial" w:hAnsi="Arial" w:cs="Arial"/>
                <w:sz w:val="17"/>
                <w:szCs w:val="17"/>
              </w:rPr>
              <w:t>-</w:t>
            </w:r>
          </w:p>
        </w:tc>
      </w:tr>
      <w:tr w:rsidR="00330DA4" w:rsidRPr="003D1614" w14:paraId="1D12ED60" w14:textId="77777777" w:rsidTr="00B41C5D">
        <w:trPr>
          <w:trHeight w:hRule="exact" w:val="255"/>
          <w:jc w:val="center"/>
        </w:trPr>
        <w:tc>
          <w:tcPr>
            <w:tcW w:w="3194" w:type="pct"/>
            <w:shd w:val="clear" w:color="auto" w:fill="auto"/>
            <w:vAlign w:val="bottom"/>
          </w:tcPr>
          <w:p w14:paraId="3AA0CFD2" w14:textId="4022F773" w:rsidR="00330DA4" w:rsidRPr="003D1614" w:rsidRDefault="00330DA4" w:rsidP="00330DA4">
            <w:pPr>
              <w:tabs>
                <w:tab w:val="right" w:pos="1202"/>
              </w:tabs>
              <w:suppressAutoHyphens/>
              <w:autoSpaceDN w:val="0"/>
              <w:outlineLvl w:val="0"/>
              <w:rPr>
                <w:rFonts w:ascii="Arial" w:eastAsia="Calibri" w:hAnsi="Arial" w:cs="Arial"/>
                <w:b/>
                <w:color w:val="000000"/>
                <w:sz w:val="17"/>
                <w:szCs w:val="17"/>
              </w:rPr>
            </w:pPr>
            <w:r w:rsidRPr="00F959D0">
              <w:rPr>
                <w:rFonts w:ascii="Arial" w:eastAsia="Calibri" w:hAnsi="Arial" w:cs="Arial"/>
                <w:b/>
                <w:color w:val="000000"/>
                <w:sz w:val="17"/>
                <w:szCs w:val="17"/>
              </w:rPr>
              <w:t>Ukupno obveze</w:t>
            </w:r>
          </w:p>
        </w:tc>
        <w:tc>
          <w:tcPr>
            <w:tcW w:w="555" w:type="pct"/>
            <w:tcBorders>
              <w:top w:val="single" w:sz="12" w:space="0" w:color="auto"/>
              <w:left w:val="nil"/>
              <w:bottom w:val="single" w:sz="12" w:space="0" w:color="auto"/>
              <w:right w:val="nil"/>
            </w:tcBorders>
            <w:shd w:val="clear" w:color="auto" w:fill="auto"/>
            <w:vAlign w:val="bottom"/>
          </w:tcPr>
          <w:p w14:paraId="46516D87" w14:textId="185CF134" w:rsidR="00330DA4" w:rsidRPr="00330DA4" w:rsidRDefault="00330DA4" w:rsidP="00330DA4">
            <w:pPr>
              <w:tabs>
                <w:tab w:val="right" w:pos="1202"/>
              </w:tabs>
              <w:suppressAutoHyphens/>
              <w:autoSpaceDN w:val="0"/>
              <w:jc w:val="right"/>
              <w:outlineLvl w:val="0"/>
              <w:rPr>
                <w:rFonts w:ascii="Arial" w:hAnsi="Arial" w:cs="Arial"/>
                <w:b/>
                <w:bCs/>
                <w:sz w:val="17"/>
                <w:szCs w:val="17"/>
              </w:rPr>
            </w:pPr>
            <w:r w:rsidRPr="00330DA4">
              <w:rPr>
                <w:rFonts w:ascii="Arial" w:hAnsi="Arial" w:cs="Arial"/>
                <w:b/>
                <w:bCs/>
                <w:sz w:val="17"/>
                <w:szCs w:val="17"/>
              </w:rPr>
              <w:t>-</w:t>
            </w:r>
          </w:p>
        </w:tc>
        <w:tc>
          <w:tcPr>
            <w:tcW w:w="644" w:type="pct"/>
            <w:tcBorders>
              <w:top w:val="single" w:sz="12" w:space="0" w:color="auto"/>
              <w:left w:val="nil"/>
              <w:bottom w:val="single" w:sz="12" w:space="0" w:color="auto"/>
              <w:right w:val="nil"/>
            </w:tcBorders>
            <w:shd w:val="clear" w:color="auto" w:fill="auto"/>
            <w:vAlign w:val="bottom"/>
          </w:tcPr>
          <w:p w14:paraId="3CE39D66" w14:textId="048699A2" w:rsidR="00330DA4" w:rsidRPr="00330DA4" w:rsidRDefault="00330DA4" w:rsidP="00330DA4">
            <w:pPr>
              <w:tabs>
                <w:tab w:val="right" w:pos="1202"/>
              </w:tabs>
              <w:suppressAutoHyphens/>
              <w:autoSpaceDN w:val="0"/>
              <w:jc w:val="right"/>
              <w:outlineLvl w:val="0"/>
              <w:rPr>
                <w:rFonts w:ascii="Arial" w:hAnsi="Arial" w:cs="Arial"/>
                <w:b/>
                <w:bCs/>
                <w:sz w:val="17"/>
                <w:szCs w:val="17"/>
              </w:rPr>
            </w:pPr>
            <w:r w:rsidRPr="00330DA4">
              <w:rPr>
                <w:rFonts w:ascii="Arial" w:hAnsi="Arial" w:cs="Arial"/>
                <w:b/>
                <w:bCs/>
                <w:sz w:val="17"/>
                <w:szCs w:val="17"/>
              </w:rPr>
              <w:t>63</w:t>
            </w:r>
          </w:p>
        </w:tc>
        <w:tc>
          <w:tcPr>
            <w:tcW w:w="607" w:type="pct"/>
            <w:tcBorders>
              <w:top w:val="single" w:sz="12" w:space="0" w:color="auto"/>
              <w:left w:val="nil"/>
              <w:bottom w:val="single" w:sz="12" w:space="0" w:color="auto"/>
              <w:right w:val="nil"/>
            </w:tcBorders>
            <w:shd w:val="clear" w:color="auto" w:fill="auto"/>
            <w:vAlign w:val="bottom"/>
          </w:tcPr>
          <w:p w14:paraId="031A253B" w14:textId="3AC09E77" w:rsidR="00330DA4" w:rsidRPr="00330DA4" w:rsidRDefault="00330DA4" w:rsidP="00330DA4">
            <w:pPr>
              <w:tabs>
                <w:tab w:val="right" w:pos="1202"/>
              </w:tabs>
              <w:suppressAutoHyphens/>
              <w:autoSpaceDN w:val="0"/>
              <w:jc w:val="right"/>
              <w:outlineLvl w:val="0"/>
              <w:rPr>
                <w:rFonts w:ascii="Arial" w:hAnsi="Arial" w:cs="Arial"/>
                <w:b/>
                <w:bCs/>
                <w:sz w:val="17"/>
                <w:szCs w:val="17"/>
              </w:rPr>
            </w:pPr>
            <w:r w:rsidRPr="00330DA4">
              <w:rPr>
                <w:rFonts w:ascii="Arial" w:hAnsi="Arial" w:cs="Arial"/>
                <w:b/>
                <w:bCs/>
                <w:sz w:val="17"/>
                <w:szCs w:val="17"/>
              </w:rPr>
              <w:t>-</w:t>
            </w:r>
          </w:p>
        </w:tc>
      </w:tr>
    </w:tbl>
    <w:p w14:paraId="65E2B0A7" w14:textId="77777777" w:rsidR="00CA60FA" w:rsidRPr="003D1614" w:rsidRDefault="00CA60FA" w:rsidP="00CA60FA">
      <w:pPr>
        <w:keepNext/>
        <w:suppressAutoHyphens/>
        <w:autoSpaceDN w:val="0"/>
        <w:jc w:val="both"/>
        <w:outlineLvl w:val="0"/>
        <w:rPr>
          <w:rFonts w:ascii="Arial" w:eastAsia="Times New Roman" w:hAnsi="Arial" w:cs="Arial"/>
          <w:color w:val="000000" w:themeColor="text1"/>
          <w:spacing w:val="-3"/>
          <w:sz w:val="10"/>
          <w:szCs w:val="20"/>
        </w:rPr>
      </w:pPr>
    </w:p>
    <w:p w14:paraId="449FE14A" w14:textId="77777777" w:rsidR="00CA60FA" w:rsidRPr="003D1614" w:rsidRDefault="00CA60FA" w:rsidP="00CA60FA">
      <w:pPr>
        <w:keepNext/>
        <w:suppressAutoHyphens/>
        <w:autoSpaceDN w:val="0"/>
        <w:jc w:val="both"/>
        <w:outlineLvl w:val="0"/>
        <w:rPr>
          <w:rFonts w:ascii="Arial" w:eastAsia="Times New Roman" w:hAnsi="Arial" w:cs="Arial"/>
          <w:color w:val="000000" w:themeColor="text1"/>
          <w:spacing w:val="-3"/>
          <w:sz w:val="10"/>
          <w:szCs w:val="20"/>
        </w:rPr>
      </w:pPr>
    </w:p>
    <w:p w14:paraId="4492BFEE" w14:textId="08B7B026" w:rsidR="00CA60FA" w:rsidRPr="003D1614" w:rsidRDefault="00CA60FA" w:rsidP="00CA60FA">
      <w:pPr>
        <w:suppressAutoHyphens/>
        <w:autoSpaceDN w:val="0"/>
        <w:jc w:val="both"/>
        <w:rPr>
          <w:rFonts w:ascii="Arial" w:eastAsia="Times New Roman" w:hAnsi="Arial" w:cs="Arial"/>
          <w:color w:val="000000"/>
          <w:sz w:val="20"/>
          <w:szCs w:val="20"/>
        </w:rPr>
      </w:pPr>
      <w:r w:rsidRPr="003D1614">
        <w:rPr>
          <w:rFonts w:ascii="Arial" w:eastAsia="Times New Roman" w:hAnsi="Arial" w:cs="Arial"/>
          <w:color w:val="000000"/>
          <w:sz w:val="20"/>
          <w:szCs w:val="20"/>
        </w:rPr>
        <w:t xml:space="preserve">Trezorski zapisi Ministarstva financija prikazani su na razini </w:t>
      </w:r>
      <w:r w:rsidR="001A34C1">
        <w:rPr>
          <w:rFonts w:ascii="Arial" w:eastAsia="Times New Roman" w:hAnsi="Arial" w:cs="Arial"/>
          <w:color w:val="000000"/>
          <w:sz w:val="20"/>
          <w:szCs w:val="20"/>
        </w:rPr>
        <w:t>1</w:t>
      </w:r>
      <w:r w:rsidRPr="003D1614">
        <w:rPr>
          <w:rFonts w:ascii="Arial" w:eastAsia="Times New Roman" w:hAnsi="Arial" w:cs="Arial"/>
          <w:color w:val="000000"/>
          <w:sz w:val="20"/>
          <w:szCs w:val="20"/>
        </w:rPr>
        <w:t xml:space="preserve"> hijerarhije fer vrijednosti kotirane kupovne („bid“) cijene na Bloombergu</w:t>
      </w:r>
      <w:r w:rsidR="001A34C1">
        <w:rPr>
          <w:rFonts w:ascii="Arial" w:eastAsia="Times New Roman" w:hAnsi="Arial" w:cs="Arial"/>
          <w:color w:val="000000"/>
          <w:sz w:val="20"/>
          <w:szCs w:val="20"/>
        </w:rPr>
        <w:t xml:space="preserve"> te se kao tehnika vrednovanja primjenjuje cijena kotirana na tržištu.</w:t>
      </w:r>
      <w:r w:rsidRPr="003D1614">
        <w:rPr>
          <w:rFonts w:ascii="Arial" w:eastAsia="Times New Roman" w:hAnsi="Arial" w:cs="Arial"/>
          <w:sz w:val="20"/>
          <w:szCs w:val="20"/>
        </w:rPr>
        <w:t xml:space="preserve"> </w:t>
      </w:r>
    </w:p>
    <w:p w14:paraId="4CD9E474" w14:textId="77777777" w:rsidR="00CA60FA" w:rsidRPr="003D1614" w:rsidRDefault="00CA60FA" w:rsidP="00CA60FA">
      <w:pPr>
        <w:suppressAutoHyphens/>
        <w:autoSpaceDN w:val="0"/>
        <w:jc w:val="both"/>
        <w:rPr>
          <w:rFonts w:ascii="Arial" w:eastAsia="Times New Roman" w:hAnsi="Arial" w:cs="Arial"/>
          <w:color w:val="000000"/>
          <w:sz w:val="12"/>
          <w:szCs w:val="12"/>
          <w:lang w:eastAsia="zh-CN"/>
        </w:rPr>
      </w:pPr>
    </w:p>
    <w:p w14:paraId="5E1E0B8F" w14:textId="77777777" w:rsidR="00CA60FA" w:rsidRPr="003D1614" w:rsidRDefault="00CA60FA" w:rsidP="00CA60FA">
      <w:pPr>
        <w:suppressAutoHyphens/>
        <w:autoSpaceDN w:val="0"/>
        <w:jc w:val="both"/>
        <w:rPr>
          <w:rFonts w:ascii="Arial" w:eastAsia="Times New Roman" w:hAnsi="Arial" w:cs="Arial"/>
          <w:color w:val="000000"/>
          <w:sz w:val="20"/>
          <w:szCs w:val="20"/>
          <w:lang w:eastAsia="hr-HR"/>
        </w:rPr>
      </w:pPr>
      <w:r w:rsidRPr="003D1614">
        <w:rPr>
          <w:rFonts w:ascii="Arial" w:eastAsia="Times New Roman" w:hAnsi="Arial" w:cs="Arial"/>
          <w:color w:val="000000"/>
          <w:sz w:val="20"/>
          <w:szCs w:val="20"/>
        </w:rPr>
        <w:t xml:space="preserve">Dužnički vrijednosni papiri – obveznice trgovačkih društava prikazane su na razini 3 hijerarhije fer vrijednosti. Pri vrednovanju je korištena metoda diskontiranih novčanih tijekova </w:t>
      </w:r>
      <w:r w:rsidRPr="003D1614">
        <w:rPr>
          <w:rFonts w:ascii="Arial" w:eastAsia="Times New Roman" w:hAnsi="Arial" w:cs="Arial"/>
          <w:color w:val="000000"/>
          <w:sz w:val="20"/>
          <w:szCs w:val="20"/>
          <w:lang w:eastAsia="hr-HR"/>
        </w:rPr>
        <w:t>temeljem tržišnih kamatnih stopa, spreada temeljem internog kreditnog rejtinga i interno definiranog spreada vezanog uz likvidnost vrijednosnog papira.</w:t>
      </w:r>
    </w:p>
    <w:p w14:paraId="41AE497C" w14:textId="77777777" w:rsidR="00CA60FA" w:rsidRPr="003D1614" w:rsidRDefault="00CA60FA" w:rsidP="00CA60FA">
      <w:pPr>
        <w:suppressAutoHyphens/>
        <w:autoSpaceDN w:val="0"/>
        <w:jc w:val="both"/>
        <w:rPr>
          <w:rFonts w:ascii="Arial" w:eastAsia="Times New Roman" w:hAnsi="Arial" w:cs="Arial"/>
          <w:color w:val="000000"/>
          <w:sz w:val="12"/>
          <w:szCs w:val="12"/>
          <w:lang w:eastAsia="hr-HR"/>
        </w:rPr>
      </w:pPr>
    </w:p>
    <w:p w14:paraId="11BCDF80" w14:textId="77777777" w:rsidR="001A34C1" w:rsidRPr="003D1614" w:rsidRDefault="001A34C1" w:rsidP="001A34C1">
      <w:pPr>
        <w:suppressAutoHyphens/>
        <w:autoSpaceDN w:val="0"/>
        <w:jc w:val="both"/>
        <w:rPr>
          <w:rFonts w:ascii="Arial" w:eastAsia="Times New Roman" w:hAnsi="Arial" w:cs="Arial"/>
          <w:color w:val="000000"/>
          <w:sz w:val="20"/>
          <w:szCs w:val="20"/>
          <w:lang w:eastAsia="hr-HR"/>
        </w:rPr>
      </w:pPr>
      <w:r w:rsidRPr="00B32071">
        <w:rPr>
          <w:rFonts w:ascii="Arial" w:eastAsia="Times New Roman" w:hAnsi="Arial" w:cs="Arial"/>
          <w:color w:val="000000"/>
          <w:sz w:val="20"/>
          <w:szCs w:val="20"/>
          <w:lang w:eastAsia="hr-HR"/>
        </w:rPr>
        <w:t>OTC FX swap ne kotira na aktivnom tržištu, a cijena im se izračunava po opće</w:t>
      </w:r>
      <w:r>
        <w:rPr>
          <w:rFonts w:ascii="Arial" w:eastAsia="Times New Roman" w:hAnsi="Arial" w:cs="Arial"/>
          <w:color w:val="000000"/>
          <w:sz w:val="20"/>
          <w:szCs w:val="20"/>
          <w:lang w:eastAsia="hr-HR"/>
        </w:rPr>
        <w:t xml:space="preserve"> </w:t>
      </w:r>
      <w:r w:rsidRPr="00B32071">
        <w:rPr>
          <w:rFonts w:ascii="Arial" w:eastAsia="Times New Roman" w:hAnsi="Arial" w:cs="Arial"/>
          <w:color w:val="000000"/>
          <w:sz w:val="20"/>
          <w:szCs w:val="20"/>
          <w:lang w:eastAsia="hr-HR"/>
        </w:rPr>
        <w:t>prihvaćenom modelu korištenjem trenutnih tržišnih parametara izvedenih iz deviznog spot tečaja i razlike kamatnih stopa ugovorene ročnosti za devize koje su predmet ugovora.</w:t>
      </w:r>
    </w:p>
    <w:p w14:paraId="411CDEF3" w14:textId="77777777" w:rsidR="00D622AC" w:rsidRPr="00D622AC" w:rsidRDefault="00D622AC" w:rsidP="00CA60FA">
      <w:pPr>
        <w:suppressAutoHyphens/>
        <w:autoSpaceDN w:val="0"/>
        <w:jc w:val="both"/>
        <w:rPr>
          <w:rFonts w:ascii="Arial" w:eastAsia="Times New Roman" w:hAnsi="Arial" w:cs="Arial"/>
          <w:sz w:val="20"/>
          <w:szCs w:val="20"/>
          <w:lang w:eastAsia="hr-HR"/>
        </w:rPr>
      </w:pPr>
    </w:p>
    <w:p w14:paraId="29B9FF64" w14:textId="77777777" w:rsidR="0045202E" w:rsidRPr="001A5E0D" w:rsidRDefault="0045202E" w:rsidP="0045202E">
      <w:pPr>
        <w:jc w:val="both"/>
        <w:rPr>
          <w:rFonts w:ascii="Arial" w:eastAsia="Calibri" w:hAnsi="Arial" w:cs="Arial"/>
          <w:color w:val="000000" w:themeColor="text1"/>
          <w:sz w:val="20"/>
          <w:szCs w:val="20"/>
        </w:rPr>
        <w:sectPr w:rsidR="0045202E" w:rsidRPr="001A5E0D" w:rsidSect="005F07DF">
          <w:pgSz w:w="11906" w:h="16838"/>
          <w:pgMar w:top="1417" w:right="1417" w:bottom="1417" w:left="1417" w:header="708" w:footer="708" w:gutter="0"/>
          <w:cols w:space="708"/>
          <w:docGrid w:linePitch="360"/>
        </w:sectPr>
      </w:pPr>
      <w:r w:rsidRPr="001A5E0D">
        <w:rPr>
          <w:rFonts w:ascii="Arial" w:eastAsia="Calibri" w:hAnsi="Arial" w:cs="Arial"/>
          <w:color w:val="000000" w:themeColor="text1"/>
          <w:sz w:val="20"/>
          <w:szCs w:val="20"/>
        </w:rPr>
        <w:t xml:space="preserve">U izvještajnom razdoblju nije bilo transfera između razina. </w:t>
      </w:r>
    </w:p>
    <w:p w14:paraId="7CD2003B" w14:textId="77777777" w:rsidR="00CA60FA" w:rsidRPr="003D1614" w:rsidRDefault="00CA60FA" w:rsidP="00CA60FA">
      <w:pPr>
        <w:keepNext/>
        <w:suppressAutoHyphens/>
        <w:autoSpaceDN w:val="0"/>
        <w:ind w:left="709" w:hanging="709"/>
        <w:jc w:val="both"/>
        <w:outlineLvl w:val="0"/>
        <w:rPr>
          <w:rFonts w:ascii="Arial" w:eastAsia="Times New Roman" w:hAnsi="Arial" w:cs="Arial"/>
          <w:b/>
          <w:bCs/>
          <w:color w:val="000000" w:themeColor="text1"/>
          <w:spacing w:val="-3"/>
          <w:sz w:val="20"/>
          <w:szCs w:val="20"/>
        </w:rPr>
      </w:pPr>
    </w:p>
    <w:p w14:paraId="5B4785BD" w14:textId="150063A9" w:rsidR="00CA60FA" w:rsidRPr="003D1614" w:rsidRDefault="00CA60FA" w:rsidP="00CA60FA">
      <w:pPr>
        <w:keepNext/>
        <w:suppressAutoHyphens/>
        <w:autoSpaceDN w:val="0"/>
        <w:ind w:left="709" w:hanging="709"/>
        <w:jc w:val="both"/>
        <w:outlineLvl w:val="0"/>
        <w:rPr>
          <w:rFonts w:ascii="Arial" w:eastAsia="Times New Roman" w:hAnsi="Arial" w:cs="Arial"/>
          <w:b/>
          <w:bCs/>
          <w:color w:val="000000" w:themeColor="text1"/>
          <w:spacing w:val="-3"/>
          <w:sz w:val="20"/>
          <w:szCs w:val="20"/>
        </w:rPr>
      </w:pPr>
      <w:r w:rsidRPr="003D1614">
        <w:rPr>
          <w:rFonts w:ascii="Arial" w:eastAsia="Times New Roman" w:hAnsi="Arial" w:cs="Arial"/>
          <w:b/>
          <w:bCs/>
          <w:color w:val="000000" w:themeColor="text1"/>
          <w:spacing w:val="-3"/>
          <w:sz w:val="20"/>
          <w:szCs w:val="20"/>
        </w:rPr>
        <w:t>2</w:t>
      </w:r>
      <w:r w:rsidR="00C55B0C">
        <w:rPr>
          <w:rFonts w:ascii="Arial" w:eastAsia="Times New Roman" w:hAnsi="Arial" w:cs="Arial"/>
          <w:b/>
          <w:bCs/>
          <w:color w:val="000000" w:themeColor="text1"/>
          <w:spacing w:val="-3"/>
          <w:sz w:val="20"/>
          <w:szCs w:val="20"/>
        </w:rPr>
        <w:t>4</w:t>
      </w:r>
      <w:r w:rsidRPr="003D1614">
        <w:rPr>
          <w:rFonts w:ascii="Arial" w:eastAsia="Times New Roman" w:hAnsi="Arial" w:cs="Arial"/>
          <w:b/>
          <w:bCs/>
          <w:color w:val="000000" w:themeColor="text1"/>
          <w:spacing w:val="-3"/>
          <w:sz w:val="20"/>
          <w:szCs w:val="20"/>
        </w:rPr>
        <w:t xml:space="preserve">. </w:t>
      </w:r>
      <w:r w:rsidRPr="003D1614">
        <w:rPr>
          <w:rFonts w:ascii="Arial" w:eastAsia="Times New Roman" w:hAnsi="Arial" w:cs="Arial"/>
          <w:b/>
          <w:bCs/>
          <w:color w:val="000000" w:themeColor="text1"/>
          <w:spacing w:val="-3"/>
          <w:sz w:val="20"/>
          <w:szCs w:val="20"/>
        </w:rPr>
        <w:tab/>
        <w:t>Fer vrijednost financijske imovine i financijskih obveza (nastavak)</w:t>
      </w:r>
    </w:p>
    <w:p w14:paraId="61E29C85" w14:textId="77777777" w:rsidR="00CA60FA" w:rsidRPr="003D1614" w:rsidRDefault="00CA60FA" w:rsidP="00CA60FA">
      <w:pPr>
        <w:keepNext/>
        <w:suppressAutoHyphens/>
        <w:autoSpaceDN w:val="0"/>
        <w:ind w:left="709" w:hanging="709"/>
        <w:jc w:val="both"/>
        <w:outlineLvl w:val="0"/>
        <w:rPr>
          <w:rFonts w:ascii="Arial" w:eastAsia="Times New Roman" w:hAnsi="Arial" w:cs="Arial"/>
          <w:bCs/>
          <w:color w:val="000000" w:themeColor="text1"/>
          <w:spacing w:val="-3"/>
          <w:sz w:val="12"/>
          <w:szCs w:val="12"/>
        </w:rPr>
      </w:pPr>
    </w:p>
    <w:p w14:paraId="5FAFD51B" w14:textId="77777777" w:rsidR="00CA60FA" w:rsidRPr="003D1614" w:rsidRDefault="00CA60FA" w:rsidP="00CA60FA">
      <w:pPr>
        <w:keepNext/>
        <w:suppressAutoHyphens/>
        <w:autoSpaceDN w:val="0"/>
        <w:ind w:left="709" w:hanging="709"/>
        <w:jc w:val="both"/>
        <w:outlineLvl w:val="0"/>
        <w:rPr>
          <w:rFonts w:ascii="Arial" w:eastAsia="Times New Roman" w:hAnsi="Arial" w:cs="Arial"/>
          <w:b/>
          <w:bCs/>
          <w:color w:val="000000" w:themeColor="text1"/>
          <w:spacing w:val="-3"/>
          <w:sz w:val="14"/>
          <w:szCs w:val="14"/>
        </w:rPr>
      </w:pPr>
    </w:p>
    <w:p w14:paraId="778F630B" w14:textId="41D6B3B5" w:rsidR="00CA60FA" w:rsidRPr="003D1614" w:rsidRDefault="00CA60FA" w:rsidP="00CA60FA">
      <w:pPr>
        <w:keepNext/>
        <w:suppressAutoHyphens/>
        <w:autoSpaceDN w:val="0"/>
        <w:ind w:left="709" w:hanging="709"/>
        <w:jc w:val="both"/>
        <w:outlineLvl w:val="0"/>
        <w:rPr>
          <w:rFonts w:ascii="Arial" w:eastAsia="Times New Roman" w:hAnsi="Arial" w:cs="Arial"/>
          <w:b/>
          <w:bCs/>
          <w:color w:val="000000" w:themeColor="text1"/>
          <w:spacing w:val="-3"/>
          <w:sz w:val="20"/>
          <w:szCs w:val="20"/>
        </w:rPr>
      </w:pPr>
      <w:r w:rsidRPr="003D1614">
        <w:rPr>
          <w:rFonts w:ascii="Arial" w:eastAsia="Times New Roman" w:hAnsi="Arial" w:cs="Arial"/>
          <w:b/>
          <w:bCs/>
          <w:color w:val="000000" w:themeColor="text1"/>
          <w:spacing w:val="-3"/>
          <w:sz w:val="20"/>
          <w:szCs w:val="20"/>
        </w:rPr>
        <w:t>2</w:t>
      </w:r>
      <w:r w:rsidR="00C55B0C">
        <w:rPr>
          <w:rFonts w:ascii="Arial" w:eastAsia="Times New Roman" w:hAnsi="Arial" w:cs="Arial"/>
          <w:b/>
          <w:bCs/>
          <w:color w:val="000000" w:themeColor="text1"/>
          <w:spacing w:val="-3"/>
          <w:sz w:val="20"/>
          <w:szCs w:val="20"/>
        </w:rPr>
        <w:t>4</w:t>
      </w:r>
      <w:r w:rsidRPr="003D1614">
        <w:rPr>
          <w:rFonts w:ascii="Arial" w:eastAsia="Times New Roman" w:hAnsi="Arial" w:cs="Arial"/>
          <w:b/>
          <w:bCs/>
          <w:color w:val="000000" w:themeColor="text1"/>
          <w:spacing w:val="-3"/>
          <w:sz w:val="20"/>
          <w:szCs w:val="20"/>
        </w:rPr>
        <w:t xml:space="preserve">.1. </w:t>
      </w:r>
      <w:r w:rsidRPr="003D1614">
        <w:rPr>
          <w:rFonts w:ascii="Arial" w:eastAsia="Times New Roman" w:hAnsi="Arial" w:cs="Arial"/>
          <w:b/>
          <w:bCs/>
          <w:color w:val="000000" w:themeColor="text1"/>
          <w:spacing w:val="-3"/>
          <w:sz w:val="20"/>
          <w:szCs w:val="20"/>
        </w:rPr>
        <w:tab/>
        <w:t xml:space="preserve">Fer vrijednost financijske imovine i financijskih obveza koji se vode po fer vrijednosti </w:t>
      </w:r>
      <w:bookmarkStart w:id="1025" w:name="_Hlk131605832"/>
      <w:r w:rsidRPr="003D1614">
        <w:rPr>
          <w:rFonts w:ascii="Arial" w:eastAsia="Times New Roman" w:hAnsi="Arial" w:cs="Arial"/>
          <w:b/>
          <w:bCs/>
          <w:color w:val="000000" w:themeColor="text1"/>
          <w:spacing w:val="-3"/>
          <w:sz w:val="20"/>
          <w:szCs w:val="20"/>
        </w:rPr>
        <w:t>(nastavak)</w:t>
      </w:r>
      <w:bookmarkEnd w:id="1025"/>
    </w:p>
    <w:p w14:paraId="52D78EF6" w14:textId="77777777" w:rsidR="00CA60FA" w:rsidRPr="003D1614" w:rsidRDefault="00CA60FA" w:rsidP="00CA60FA">
      <w:pPr>
        <w:keepNext/>
        <w:suppressAutoHyphens/>
        <w:autoSpaceDN w:val="0"/>
        <w:jc w:val="both"/>
        <w:outlineLvl w:val="0"/>
        <w:rPr>
          <w:rFonts w:ascii="Arial" w:eastAsia="Times New Roman" w:hAnsi="Arial" w:cs="Arial"/>
          <w:color w:val="000000" w:themeColor="text1"/>
          <w:spacing w:val="-3"/>
          <w:sz w:val="12"/>
          <w:szCs w:val="12"/>
        </w:rPr>
      </w:pPr>
    </w:p>
    <w:p w14:paraId="2EFFC330" w14:textId="77777777" w:rsidR="00CA60FA" w:rsidRPr="003D1614" w:rsidRDefault="00CA60FA" w:rsidP="006A67A0">
      <w:pPr>
        <w:tabs>
          <w:tab w:val="right" w:pos="1202"/>
        </w:tabs>
        <w:suppressAutoHyphens/>
        <w:autoSpaceDN w:val="0"/>
        <w:jc w:val="both"/>
        <w:outlineLvl w:val="0"/>
        <w:rPr>
          <w:rFonts w:ascii="Arial" w:eastAsia="Times New Roman" w:hAnsi="Arial" w:cs="Arial"/>
          <w:i/>
          <w:color w:val="000000" w:themeColor="text1"/>
          <w:sz w:val="18"/>
          <w:szCs w:val="18"/>
        </w:rPr>
      </w:pPr>
    </w:p>
    <w:tbl>
      <w:tblPr>
        <w:tblW w:w="5114" w:type="pct"/>
        <w:jc w:val="center"/>
        <w:tblLayout w:type="fixed"/>
        <w:tblCellMar>
          <w:left w:w="122" w:type="dxa"/>
          <w:right w:w="122" w:type="dxa"/>
        </w:tblCellMar>
        <w:tblLook w:val="0000" w:firstRow="0" w:lastRow="0" w:firstColumn="0" w:lastColumn="0" w:noHBand="0" w:noVBand="0"/>
      </w:tblPr>
      <w:tblGrid>
        <w:gridCol w:w="5928"/>
        <w:gridCol w:w="1030"/>
        <w:gridCol w:w="1195"/>
        <w:gridCol w:w="1126"/>
      </w:tblGrid>
      <w:tr w:rsidR="00794432" w:rsidRPr="00736C15" w14:paraId="702BD825" w14:textId="77777777" w:rsidTr="00D707D6">
        <w:trPr>
          <w:trHeight w:val="276"/>
          <w:jc w:val="center"/>
        </w:trPr>
        <w:tc>
          <w:tcPr>
            <w:tcW w:w="3194" w:type="pct"/>
            <w:shd w:val="clear" w:color="auto" w:fill="auto"/>
          </w:tcPr>
          <w:p w14:paraId="0126EDFC" w14:textId="77777777" w:rsidR="00794432" w:rsidRPr="00736C15" w:rsidRDefault="00794432" w:rsidP="00D707D6">
            <w:pPr>
              <w:tabs>
                <w:tab w:val="right" w:pos="1202"/>
              </w:tabs>
              <w:outlineLvl w:val="0"/>
              <w:rPr>
                <w:rFonts w:ascii="Arial" w:eastAsia="Calibri" w:hAnsi="Arial" w:cs="Arial"/>
                <w:color w:val="000000"/>
                <w:sz w:val="17"/>
                <w:szCs w:val="17"/>
              </w:rPr>
            </w:pPr>
            <w:r w:rsidRPr="00736C15">
              <w:rPr>
                <w:rFonts w:ascii="Arial" w:eastAsia="Calibri" w:hAnsi="Arial" w:cs="Arial"/>
                <w:b/>
                <w:color w:val="000000"/>
                <w:sz w:val="17"/>
                <w:szCs w:val="17"/>
              </w:rPr>
              <w:t>Grupa</w:t>
            </w:r>
          </w:p>
        </w:tc>
        <w:tc>
          <w:tcPr>
            <w:tcW w:w="1806" w:type="pct"/>
            <w:gridSpan w:val="3"/>
          </w:tcPr>
          <w:p w14:paraId="4D848695" w14:textId="77777777" w:rsidR="00794432" w:rsidRPr="00736C15" w:rsidRDefault="00794432" w:rsidP="00D707D6">
            <w:pPr>
              <w:tabs>
                <w:tab w:val="right" w:pos="1202"/>
              </w:tabs>
              <w:jc w:val="right"/>
              <w:outlineLvl w:val="0"/>
              <w:rPr>
                <w:rFonts w:ascii="Arial" w:eastAsia="Calibri" w:hAnsi="Arial" w:cs="Arial"/>
                <w:b/>
                <w:bCs/>
                <w:color w:val="000000"/>
                <w:sz w:val="17"/>
                <w:szCs w:val="17"/>
              </w:rPr>
            </w:pPr>
            <w:r w:rsidRPr="00736C15">
              <w:rPr>
                <w:rFonts w:ascii="Arial" w:eastAsia="Calibri" w:hAnsi="Arial" w:cs="Arial"/>
                <w:b/>
                <w:bCs/>
                <w:color w:val="000000"/>
                <w:sz w:val="17"/>
                <w:szCs w:val="17"/>
              </w:rPr>
              <w:t>3</w:t>
            </w:r>
            <w:r>
              <w:rPr>
                <w:rFonts w:ascii="Arial" w:eastAsia="Calibri" w:hAnsi="Arial" w:cs="Arial"/>
                <w:b/>
                <w:bCs/>
                <w:color w:val="000000"/>
                <w:sz w:val="17"/>
                <w:szCs w:val="17"/>
              </w:rPr>
              <w:t>1</w:t>
            </w:r>
            <w:r w:rsidRPr="00736C15">
              <w:rPr>
                <w:rFonts w:ascii="Arial" w:eastAsia="Calibri" w:hAnsi="Arial" w:cs="Arial"/>
                <w:b/>
                <w:bCs/>
                <w:color w:val="000000"/>
                <w:sz w:val="17"/>
                <w:szCs w:val="17"/>
              </w:rPr>
              <w:t xml:space="preserve">. </w:t>
            </w:r>
            <w:r>
              <w:rPr>
                <w:rFonts w:ascii="Arial" w:eastAsia="Calibri" w:hAnsi="Arial" w:cs="Arial"/>
                <w:b/>
                <w:bCs/>
                <w:color w:val="000000"/>
                <w:sz w:val="17"/>
                <w:szCs w:val="17"/>
              </w:rPr>
              <w:t>prosinca</w:t>
            </w:r>
            <w:r w:rsidRPr="00736C15">
              <w:rPr>
                <w:rFonts w:ascii="Arial" w:eastAsia="Calibri" w:hAnsi="Arial" w:cs="Arial"/>
                <w:b/>
                <w:bCs/>
                <w:color w:val="000000"/>
                <w:sz w:val="17"/>
                <w:szCs w:val="17"/>
              </w:rPr>
              <w:t xml:space="preserve"> 202</w:t>
            </w:r>
            <w:r>
              <w:rPr>
                <w:rFonts w:ascii="Arial" w:eastAsia="Calibri" w:hAnsi="Arial" w:cs="Arial"/>
                <w:b/>
                <w:bCs/>
                <w:color w:val="000000"/>
                <w:sz w:val="17"/>
                <w:szCs w:val="17"/>
              </w:rPr>
              <w:t>3</w:t>
            </w:r>
            <w:r w:rsidRPr="00736C15">
              <w:rPr>
                <w:rFonts w:ascii="Arial" w:eastAsia="Calibri" w:hAnsi="Arial" w:cs="Arial"/>
                <w:b/>
                <w:bCs/>
                <w:color w:val="000000"/>
                <w:sz w:val="17"/>
                <w:szCs w:val="17"/>
              </w:rPr>
              <w:t>.</w:t>
            </w:r>
          </w:p>
        </w:tc>
      </w:tr>
      <w:tr w:rsidR="00794432" w:rsidRPr="00736C15" w14:paraId="6FD21CE6" w14:textId="77777777" w:rsidTr="00D707D6">
        <w:trPr>
          <w:trHeight w:val="276"/>
          <w:jc w:val="center"/>
        </w:trPr>
        <w:tc>
          <w:tcPr>
            <w:tcW w:w="3194" w:type="pct"/>
            <w:shd w:val="clear" w:color="auto" w:fill="auto"/>
            <w:vAlign w:val="bottom"/>
          </w:tcPr>
          <w:p w14:paraId="5D0FFCD3" w14:textId="77777777" w:rsidR="00794432" w:rsidRPr="00736C15" w:rsidRDefault="00794432" w:rsidP="00D707D6">
            <w:pPr>
              <w:tabs>
                <w:tab w:val="right" w:pos="1202"/>
              </w:tabs>
              <w:ind w:left="-482"/>
              <w:outlineLvl w:val="0"/>
              <w:rPr>
                <w:rFonts w:ascii="Arial" w:eastAsia="Calibri" w:hAnsi="Arial" w:cs="Arial"/>
                <w:color w:val="000000"/>
                <w:spacing w:val="-2"/>
                <w:sz w:val="17"/>
                <w:szCs w:val="17"/>
              </w:rPr>
            </w:pPr>
          </w:p>
        </w:tc>
        <w:tc>
          <w:tcPr>
            <w:tcW w:w="555" w:type="pct"/>
            <w:shd w:val="clear" w:color="auto" w:fill="auto"/>
            <w:vAlign w:val="bottom"/>
          </w:tcPr>
          <w:p w14:paraId="49630E62" w14:textId="77777777" w:rsidR="00794432" w:rsidRPr="00736C15" w:rsidRDefault="00794432" w:rsidP="00D707D6">
            <w:pPr>
              <w:tabs>
                <w:tab w:val="right" w:pos="1202"/>
              </w:tabs>
              <w:jc w:val="right"/>
              <w:outlineLvl w:val="0"/>
              <w:rPr>
                <w:rFonts w:ascii="Arial" w:eastAsia="Calibri" w:hAnsi="Arial" w:cs="Arial"/>
                <w:b/>
                <w:color w:val="000000"/>
                <w:spacing w:val="-2"/>
                <w:sz w:val="17"/>
                <w:szCs w:val="17"/>
              </w:rPr>
            </w:pPr>
            <w:r w:rsidRPr="00736C15">
              <w:rPr>
                <w:rFonts w:ascii="Arial" w:eastAsia="Calibri" w:hAnsi="Arial" w:cs="Arial"/>
                <w:b/>
                <w:color w:val="000000"/>
                <w:spacing w:val="-2"/>
                <w:sz w:val="17"/>
                <w:szCs w:val="17"/>
              </w:rPr>
              <w:t>Razina 1</w:t>
            </w:r>
          </w:p>
        </w:tc>
        <w:tc>
          <w:tcPr>
            <w:tcW w:w="644" w:type="pct"/>
            <w:shd w:val="clear" w:color="auto" w:fill="auto"/>
            <w:vAlign w:val="bottom"/>
          </w:tcPr>
          <w:p w14:paraId="782B965F" w14:textId="77777777" w:rsidR="00794432" w:rsidRPr="00736C15" w:rsidRDefault="00794432" w:rsidP="00D707D6">
            <w:pPr>
              <w:tabs>
                <w:tab w:val="right" w:pos="1202"/>
              </w:tabs>
              <w:jc w:val="right"/>
              <w:outlineLvl w:val="0"/>
              <w:rPr>
                <w:rFonts w:ascii="Arial" w:eastAsia="Calibri" w:hAnsi="Arial" w:cs="Arial"/>
                <w:b/>
                <w:color w:val="000000"/>
                <w:spacing w:val="-2"/>
                <w:sz w:val="17"/>
                <w:szCs w:val="17"/>
              </w:rPr>
            </w:pPr>
            <w:r w:rsidRPr="00736C15">
              <w:rPr>
                <w:rFonts w:ascii="Arial" w:eastAsia="Calibri" w:hAnsi="Arial" w:cs="Arial"/>
                <w:b/>
                <w:color w:val="000000"/>
                <w:spacing w:val="-2"/>
                <w:sz w:val="17"/>
                <w:szCs w:val="17"/>
              </w:rPr>
              <w:t>Razina 2</w:t>
            </w:r>
          </w:p>
        </w:tc>
        <w:tc>
          <w:tcPr>
            <w:tcW w:w="607" w:type="pct"/>
            <w:shd w:val="clear" w:color="auto" w:fill="auto"/>
            <w:vAlign w:val="bottom"/>
          </w:tcPr>
          <w:p w14:paraId="3B34B35F" w14:textId="77777777" w:rsidR="00794432" w:rsidRPr="00736C15" w:rsidRDefault="00794432" w:rsidP="00D707D6">
            <w:pPr>
              <w:tabs>
                <w:tab w:val="right" w:pos="1202"/>
              </w:tabs>
              <w:jc w:val="right"/>
              <w:outlineLvl w:val="0"/>
              <w:rPr>
                <w:rFonts w:ascii="Arial" w:eastAsia="Calibri" w:hAnsi="Arial" w:cs="Arial"/>
                <w:b/>
                <w:color w:val="000000"/>
                <w:spacing w:val="-2"/>
                <w:sz w:val="17"/>
                <w:szCs w:val="17"/>
              </w:rPr>
            </w:pPr>
            <w:r w:rsidRPr="00736C15">
              <w:rPr>
                <w:rFonts w:ascii="Arial" w:eastAsia="Calibri" w:hAnsi="Arial" w:cs="Arial"/>
                <w:b/>
                <w:color w:val="000000"/>
                <w:spacing w:val="-2"/>
                <w:sz w:val="17"/>
                <w:szCs w:val="17"/>
              </w:rPr>
              <w:t>Razina 3</w:t>
            </w:r>
          </w:p>
        </w:tc>
      </w:tr>
      <w:tr w:rsidR="00794432" w:rsidRPr="00736C15" w14:paraId="4B35A7E3" w14:textId="77777777" w:rsidTr="00D707D6">
        <w:trPr>
          <w:trHeight w:hRule="exact" w:val="200"/>
          <w:jc w:val="center"/>
        </w:trPr>
        <w:tc>
          <w:tcPr>
            <w:tcW w:w="3194" w:type="pct"/>
            <w:shd w:val="clear" w:color="auto" w:fill="auto"/>
            <w:vAlign w:val="bottom"/>
          </w:tcPr>
          <w:p w14:paraId="6AAB9824" w14:textId="77777777" w:rsidR="00794432" w:rsidRPr="00736C15" w:rsidRDefault="00794432" w:rsidP="00D707D6">
            <w:pPr>
              <w:tabs>
                <w:tab w:val="right" w:pos="1202"/>
              </w:tabs>
              <w:outlineLvl w:val="0"/>
              <w:rPr>
                <w:rFonts w:ascii="Arial" w:eastAsia="Calibri" w:hAnsi="Arial" w:cs="Arial"/>
                <w:color w:val="000000"/>
                <w:spacing w:val="-2"/>
                <w:sz w:val="17"/>
                <w:szCs w:val="17"/>
              </w:rPr>
            </w:pPr>
          </w:p>
        </w:tc>
        <w:tc>
          <w:tcPr>
            <w:tcW w:w="555" w:type="pct"/>
            <w:shd w:val="clear" w:color="auto" w:fill="auto"/>
            <w:vAlign w:val="bottom"/>
          </w:tcPr>
          <w:p w14:paraId="53F88F31" w14:textId="77777777" w:rsidR="00794432" w:rsidRPr="00736C15" w:rsidRDefault="00794432" w:rsidP="00D707D6">
            <w:pPr>
              <w:tabs>
                <w:tab w:val="right" w:pos="1202"/>
              </w:tabs>
              <w:jc w:val="right"/>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000 eura</w:t>
            </w:r>
          </w:p>
        </w:tc>
        <w:tc>
          <w:tcPr>
            <w:tcW w:w="644" w:type="pct"/>
            <w:shd w:val="clear" w:color="auto" w:fill="auto"/>
            <w:vAlign w:val="bottom"/>
          </w:tcPr>
          <w:p w14:paraId="019A3D25" w14:textId="77777777" w:rsidR="00794432" w:rsidRPr="00736C15" w:rsidRDefault="00794432" w:rsidP="00D707D6">
            <w:pPr>
              <w:tabs>
                <w:tab w:val="right" w:pos="1202"/>
              </w:tabs>
              <w:jc w:val="right"/>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000 eura</w:t>
            </w:r>
          </w:p>
        </w:tc>
        <w:tc>
          <w:tcPr>
            <w:tcW w:w="607" w:type="pct"/>
            <w:shd w:val="clear" w:color="auto" w:fill="auto"/>
            <w:vAlign w:val="bottom"/>
          </w:tcPr>
          <w:p w14:paraId="15286EF7" w14:textId="77777777" w:rsidR="00794432" w:rsidRPr="00736C15" w:rsidRDefault="00794432" w:rsidP="00D707D6">
            <w:pPr>
              <w:tabs>
                <w:tab w:val="right" w:pos="1202"/>
              </w:tabs>
              <w:jc w:val="right"/>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000 eura</w:t>
            </w:r>
          </w:p>
        </w:tc>
      </w:tr>
      <w:tr w:rsidR="00794432" w:rsidRPr="00736C15" w14:paraId="3F00F7F5" w14:textId="77777777" w:rsidTr="00D707D6">
        <w:trPr>
          <w:trHeight w:hRule="exact" w:val="255"/>
          <w:jc w:val="center"/>
        </w:trPr>
        <w:tc>
          <w:tcPr>
            <w:tcW w:w="3194" w:type="pct"/>
            <w:vAlign w:val="bottom"/>
          </w:tcPr>
          <w:p w14:paraId="6476909C" w14:textId="77777777" w:rsidR="00794432" w:rsidRPr="00736C15" w:rsidRDefault="00794432" w:rsidP="00D707D6">
            <w:pPr>
              <w:tabs>
                <w:tab w:val="right" w:pos="1202"/>
              </w:tabs>
              <w:outlineLvl w:val="0"/>
              <w:rPr>
                <w:rFonts w:ascii="Arial" w:eastAsia="Calibri" w:hAnsi="Arial" w:cs="Arial"/>
                <w:color w:val="000000"/>
                <w:spacing w:val="-2"/>
                <w:sz w:val="17"/>
                <w:szCs w:val="17"/>
              </w:rPr>
            </w:pPr>
            <w:r w:rsidRPr="00736C15">
              <w:rPr>
                <w:rFonts w:ascii="Arial" w:eastAsia="Calibri" w:hAnsi="Arial" w:cs="Arial"/>
                <w:b/>
                <w:color w:val="000000"/>
                <w:sz w:val="17"/>
                <w:szCs w:val="17"/>
              </w:rPr>
              <w:t>Financijska imovina po fer vrijednosti kroz dobit ili gubitak:</w:t>
            </w:r>
          </w:p>
        </w:tc>
        <w:tc>
          <w:tcPr>
            <w:tcW w:w="555" w:type="pct"/>
            <w:vAlign w:val="bottom"/>
          </w:tcPr>
          <w:p w14:paraId="33968A70" w14:textId="77777777" w:rsidR="00794432" w:rsidRPr="00736C15" w:rsidRDefault="00794432" w:rsidP="00D707D6">
            <w:pPr>
              <w:tabs>
                <w:tab w:val="right" w:pos="1202"/>
              </w:tabs>
              <w:jc w:val="right"/>
              <w:outlineLvl w:val="0"/>
              <w:rPr>
                <w:rFonts w:ascii="Arial" w:eastAsia="Calibri" w:hAnsi="Arial" w:cs="Arial"/>
                <w:b/>
                <w:color w:val="000000"/>
                <w:spacing w:val="-2"/>
                <w:sz w:val="17"/>
                <w:szCs w:val="17"/>
              </w:rPr>
            </w:pPr>
          </w:p>
        </w:tc>
        <w:tc>
          <w:tcPr>
            <w:tcW w:w="644" w:type="pct"/>
            <w:vAlign w:val="bottom"/>
          </w:tcPr>
          <w:p w14:paraId="3149B564" w14:textId="77777777" w:rsidR="00794432" w:rsidRPr="00736C15" w:rsidRDefault="00794432" w:rsidP="00D707D6">
            <w:pPr>
              <w:tabs>
                <w:tab w:val="right" w:pos="1202"/>
              </w:tabs>
              <w:jc w:val="right"/>
              <w:outlineLvl w:val="0"/>
              <w:rPr>
                <w:rFonts w:ascii="Arial" w:eastAsia="Calibri" w:hAnsi="Arial" w:cs="Arial"/>
                <w:b/>
                <w:color w:val="000000"/>
                <w:spacing w:val="-2"/>
                <w:sz w:val="17"/>
                <w:szCs w:val="17"/>
              </w:rPr>
            </w:pPr>
          </w:p>
        </w:tc>
        <w:tc>
          <w:tcPr>
            <w:tcW w:w="607" w:type="pct"/>
            <w:vAlign w:val="bottom"/>
          </w:tcPr>
          <w:p w14:paraId="73C09AD6" w14:textId="77777777" w:rsidR="00794432" w:rsidRPr="00736C15" w:rsidRDefault="00794432" w:rsidP="00D707D6">
            <w:pPr>
              <w:tabs>
                <w:tab w:val="right" w:pos="1202"/>
              </w:tabs>
              <w:jc w:val="right"/>
              <w:outlineLvl w:val="0"/>
              <w:rPr>
                <w:rFonts w:ascii="Arial" w:eastAsia="Calibri" w:hAnsi="Arial" w:cs="Arial"/>
                <w:b/>
                <w:color w:val="000000"/>
                <w:spacing w:val="-2"/>
                <w:sz w:val="17"/>
                <w:szCs w:val="17"/>
              </w:rPr>
            </w:pPr>
          </w:p>
        </w:tc>
      </w:tr>
      <w:tr w:rsidR="00794432" w:rsidRPr="00736C15" w14:paraId="57655A62" w14:textId="77777777" w:rsidTr="00D707D6">
        <w:trPr>
          <w:trHeight w:hRule="exact" w:val="255"/>
          <w:jc w:val="center"/>
        </w:trPr>
        <w:tc>
          <w:tcPr>
            <w:tcW w:w="3194" w:type="pct"/>
            <w:vAlign w:val="bottom"/>
          </w:tcPr>
          <w:p w14:paraId="2335415B" w14:textId="77777777" w:rsidR="00794432" w:rsidRPr="00736C15" w:rsidRDefault="00794432" w:rsidP="00D707D6">
            <w:pPr>
              <w:tabs>
                <w:tab w:val="right" w:pos="1202"/>
              </w:tabs>
              <w:outlineLvl w:val="0"/>
              <w:rPr>
                <w:rFonts w:ascii="Arial" w:eastAsia="Calibri" w:hAnsi="Arial" w:cs="Arial"/>
                <w:b/>
                <w:i/>
                <w:color w:val="000000"/>
                <w:sz w:val="17"/>
                <w:szCs w:val="17"/>
              </w:rPr>
            </w:pPr>
            <w:r w:rsidRPr="00736C15">
              <w:rPr>
                <w:rFonts w:ascii="Arial" w:eastAsia="Calibri" w:hAnsi="Arial" w:cs="Arial"/>
                <w:b/>
                <w:i/>
                <w:color w:val="000000"/>
                <w:sz w:val="17"/>
                <w:szCs w:val="17"/>
              </w:rPr>
              <w:t>Krediti po fer vrijednosti kroz dobit ili gubitak:</w:t>
            </w:r>
          </w:p>
        </w:tc>
        <w:tc>
          <w:tcPr>
            <w:tcW w:w="555" w:type="pct"/>
            <w:tcBorders>
              <w:top w:val="nil"/>
              <w:left w:val="nil"/>
              <w:right w:val="nil"/>
            </w:tcBorders>
            <w:shd w:val="clear" w:color="auto" w:fill="auto"/>
            <w:vAlign w:val="bottom"/>
          </w:tcPr>
          <w:p w14:paraId="4D19013F" w14:textId="77777777" w:rsidR="00794432" w:rsidRPr="00736C15" w:rsidRDefault="00794432" w:rsidP="00D707D6">
            <w:pPr>
              <w:tabs>
                <w:tab w:val="right" w:pos="1202"/>
              </w:tabs>
              <w:jc w:val="right"/>
              <w:outlineLvl w:val="0"/>
              <w:rPr>
                <w:rFonts w:ascii="Arial" w:eastAsia="Calibri" w:hAnsi="Arial" w:cs="Arial"/>
                <w:color w:val="000000"/>
                <w:sz w:val="17"/>
                <w:szCs w:val="17"/>
              </w:rPr>
            </w:pPr>
          </w:p>
        </w:tc>
        <w:tc>
          <w:tcPr>
            <w:tcW w:w="644" w:type="pct"/>
            <w:tcBorders>
              <w:top w:val="nil"/>
              <w:left w:val="nil"/>
              <w:right w:val="nil"/>
            </w:tcBorders>
            <w:shd w:val="clear" w:color="auto" w:fill="auto"/>
            <w:vAlign w:val="bottom"/>
          </w:tcPr>
          <w:p w14:paraId="5351A8C6" w14:textId="77777777" w:rsidR="00794432" w:rsidRPr="00736C15" w:rsidRDefault="00794432" w:rsidP="00D707D6">
            <w:pPr>
              <w:tabs>
                <w:tab w:val="right" w:pos="1202"/>
              </w:tabs>
              <w:jc w:val="right"/>
              <w:outlineLvl w:val="0"/>
              <w:rPr>
                <w:rFonts w:ascii="Arial" w:eastAsia="Calibri" w:hAnsi="Arial" w:cs="Arial"/>
                <w:color w:val="000000"/>
                <w:sz w:val="17"/>
                <w:szCs w:val="17"/>
              </w:rPr>
            </w:pPr>
          </w:p>
        </w:tc>
        <w:tc>
          <w:tcPr>
            <w:tcW w:w="607" w:type="pct"/>
            <w:tcBorders>
              <w:top w:val="nil"/>
              <w:left w:val="nil"/>
              <w:right w:val="nil"/>
            </w:tcBorders>
            <w:shd w:val="clear" w:color="auto" w:fill="auto"/>
            <w:vAlign w:val="bottom"/>
          </w:tcPr>
          <w:p w14:paraId="7EC49A6E" w14:textId="77777777" w:rsidR="00794432" w:rsidRPr="00736C15" w:rsidRDefault="00794432" w:rsidP="00D707D6">
            <w:pPr>
              <w:tabs>
                <w:tab w:val="right" w:pos="1202"/>
              </w:tabs>
              <w:jc w:val="right"/>
              <w:outlineLvl w:val="0"/>
              <w:rPr>
                <w:rFonts w:ascii="Arial" w:eastAsia="Calibri" w:hAnsi="Arial" w:cs="Arial"/>
                <w:color w:val="000000"/>
                <w:sz w:val="17"/>
                <w:szCs w:val="17"/>
              </w:rPr>
            </w:pPr>
          </w:p>
        </w:tc>
      </w:tr>
      <w:tr w:rsidR="00794432" w:rsidRPr="00736C15" w14:paraId="2AE1A1F5" w14:textId="77777777" w:rsidTr="00D707D6">
        <w:trPr>
          <w:trHeight w:val="251"/>
          <w:jc w:val="center"/>
        </w:trPr>
        <w:tc>
          <w:tcPr>
            <w:tcW w:w="3194" w:type="pct"/>
            <w:vAlign w:val="bottom"/>
          </w:tcPr>
          <w:p w14:paraId="66493525" w14:textId="77777777" w:rsidR="00794432" w:rsidRPr="00736C15" w:rsidRDefault="00794432" w:rsidP="00D707D6">
            <w:pPr>
              <w:tabs>
                <w:tab w:val="right" w:pos="1202"/>
              </w:tabs>
              <w:outlineLvl w:val="0"/>
              <w:rPr>
                <w:rFonts w:ascii="Arial" w:eastAsia="Calibri" w:hAnsi="Arial" w:cs="Arial"/>
                <w:color w:val="000000"/>
                <w:sz w:val="17"/>
                <w:szCs w:val="17"/>
              </w:rPr>
            </w:pPr>
            <w:r w:rsidRPr="00736C15">
              <w:rPr>
                <w:rFonts w:ascii="Arial" w:eastAsia="Calibri" w:hAnsi="Arial" w:cs="Arial"/>
                <w:color w:val="000000"/>
                <w:sz w:val="17"/>
                <w:szCs w:val="17"/>
              </w:rPr>
              <w:t>Mezzanine krediti</w:t>
            </w:r>
          </w:p>
        </w:tc>
        <w:tc>
          <w:tcPr>
            <w:tcW w:w="555" w:type="pct"/>
            <w:tcBorders>
              <w:top w:val="nil"/>
              <w:left w:val="nil"/>
              <w:right w:val="nil"/>
            </w:tcBorders>
            <w:shd w:val="clear" w:color="auto" w:fill="auto"/>
            <w:vAlign w:val="bottom"/>
          </w:tcPr>
          <w:p w14:paraId="2188BA97" w14:textId="77777777" w:rsidR="00794432" w:rsidRPr="00736C15" w:rsidRDefault="00794432" w:rsidP="00D707D6">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44" w:type="pct"/>
            <w:tcBorders>
              <w:top w:val="nil"/>
              <w:left w:val="nil"/>
              <w:right w:val="nil"/>
            </w:tcBorders>
            <w:shd w:val="clear" w:color="auto" w:fill="auto"/>
            <w:vAlign w:val="bottom"/>
          </w:tcPr>
          <w:p w14:paraId="156AE6C9" w14:textId="77777777" w:rsidR="00794432" w:rsidRPr="00736C15" w:rsidRDefault="00794432" w:rsidP="00D707D6">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07" w:type="pct"/>
            <w:tcBorders>
              <w:top w:val="nil"/>
              <w:left w:val="nil"/>
              <w:right w:val="nil"/>
            </w:tcBorders>
            <w:shd w:val="clear" w:color="auto" w:fill="auto"/>
            <w:vAlign w:val="bottom"/>
          </w:tcPr>
          <w:p w14:paraId="41245BC6" w14:textId="77777777" w:rsidR="00794432" w:rsidRPr="00736C15" w:rsidRDefault="00794432" w:rsidP="00D707D6">
            <w:pPr>
              <w:tabs>
                <w:tab w:val="right" w:pos="1202"/>
              </w:tabs>
              <w:jc w:val="right"/>
              <w:outlineLvl w:val="0"/>
              <w:rPr>
                <w:rFonts w:ascii="Arial" w:eastAsia="Calibri" w:hAnsi="Arial" w:cs="Arial"/>
                <w:color w:val="000000"/>
                <w:sz w:val="17"/>
                <w:szCs w:val="17"/>
              </w:rPr>
            </w:pPr>
            <w:r w:rsidRPr="00134EDA">
              <w:rPr>
                <w:rFonts w:ascii="Arial" w:eastAsia="Calibri" w:hAnsi="Arial" w:cs="Arial"/>
                <w:color w:val="000000"/>
                <w:sz w:val="17"/>
                <w:szCs w:val="17"/>
              </w:rPr>
              <w:t>33.698</w:t>
            </w:r>
          </w:p>
        </w:tc>
      </w:tr>
      <w:tr w:rsidR="00794432" w:rsidRPr="00736C15" w14:paraId="22A75AEB" w14:textId="77777777" w:rsidTr="00D707D6">
        <w:trPr>
          <w:trHeight w:hRule="exact" w:val="251"/>
          <w:jc w:val="center"/>
        </w:trPr>
        <w:tc>
          <w:tcPr>
            <w:tcW w:w="3194" w:type="pct"/>
            <w:vAlign w:val="bottom"/>
          </w:tcPr>
          <w:p w14:paraId="2D0F047A" w14:textId="77777777" w:rsidR="00794432" w:rsidRPr="00736C15" w:rsidRDefault="00794432" w:rsidP="00D707D6">
            <w:pPr>
              <w:tabs>
                <w:tab w:val="right" w:pos="1202"/>
              </w:tabs>
              <w:outlineLvl w:val="0"/>
              <w:rPr>
                <w:rFonts w:ascii="Arial" w:eastAsia="Calibri" w:hAnsi="Arial" w:cs="Arial"/>
                <w:b/>
                <w:i/>
                <w:color w:val="000000"/>
                <w:sz w:val="17"/>
                <w:szCs w:val="17"/>
              </w:rPr>
            </w:pPr>
            <w:r w:rsidRPr="00736C15">
              <w:rPr>
                <w:rFonts w:ascii="Arial" w:eastAsia="Calibri" w:hAnsi="Arial" w:cs="Arial"/>
                <w:b/>
                <w:i/>
                <w:color w:val="000000"/>
                <w:sz w:val="17"/>
                <w:szCs w:val="17"/>
              </w:rPr>
              <w:t>Ulaganja u investicijske fondove:</w:t>
            </w:r>
          </w:p>
        </w:tc>
        <w:tc>
          <w:tcPr>
            <w:tcW w:w="555" w:type="pct"/>
            <w:tcBorders>
              <w:top w:val="nil"/>
              <w:left w:val="nil"/>
              <w:right w:val="nil"/>
            </w:tcBorders>
            <w:shd w:val="clear" w:color="auto" w:fill="auto"/>
            <w:vAlign w:val="bottom"/>
          </w:tcPr>
          <w:p w14:paraId="342B994F" w14:textId="77777777" w:rsidR="00794432" w:rsidRPr="00736C15" w:rsidRDefault="00794432" w:rsidP="00D707D6">
            <w:pPr>
              <w:tabs>
                <w:tab w:val="right" w:pos="1202"/>
              </w:tabs>
              <w:jc w:val="right"/>
              <w:outlineLvl w:val="0"/>
              <w:rPr>
                <w:rFonts w:ascii="Arial" w:eastAsia="Calibri" w:hAnsi="Arial" w:cs="Arial"/>
                <w:color w:val="000000"/>
                <w:sz w:val="17"/>
                <w:szCs w:val="17"/>
              </w:rPr>
            </w:pPr>
          </w:p>
        </w:tc>
        <w:tc>
          <w:tcPr>
            <w:tcW w:w="644" w:type="pct"/>
            <w:tcBorders>
              <w:top w:val="nil"/>
              <w:left w:val="nil"/>
              <w:right w:val="nil"/>
            </w:tcBorders>
            <w:shd w:val="clear" w:color="auto" w:fill="auto"/>
            <w:vAlign w:val="bottom"/>
          </w:tcPr>
          <w:p w14:paraId="07A52F23" w14:textId="77777777" w:rsidR="00794432" w:rsidRPr="00736C15" w:rsidRDefault="00794432" w:rsidP="00D707D6">
            <w:pPr>
              <w:tabs>
                <w:tab w:val="right" w:pos="1202"/>
              </w:tabs>
              <w:jc w:val="right"/>
              <w:outlineLvl w:val="0"/>
              <w:rPr>
                <w:rFonts w:ascii="Arial" w:eastAsia="Calibri" w:hAnsi="Arial" w:cs="Arial"/>
                <w:color w:val="000000"/>
                <w:sz w:val="17"/>
                <w:szCs w:val="17"/>
              </w:rPr>
            </w:pPr>
          </w:p>
        </w:tc>
        <w:tc>
          <w:tcPr>
            <w:tcW w:w="607" w:type="pct"/>
            <w:tcBorders>
              <w:top w:val="nil"/>
              <w:left w:val="nil"/>
              <w:right w:val="nil"/>
            </w:tcBorders>
            <w:shd w:val="clear" w:color="auto" w:fill="auto"/>
            <w:vAlign w:val="bottom"/>
          </w:tcPr>
          <w:p w14:paraId="670E1779" w14:textId="77777777" w:rsidR="00794432" w:rsidRPr="00736C15" w:rsidRDefault="00794432" w:rsidP="00D707D6">
            <w:pPr>
              <w:tabs>
                <w:tab w:val="right" w:pos="1202"/>
              </w:tabs>
              <w:jc w:val="right"/>
              <w:outlineLvl w:val="0"/>
              <w:rPr>
                <w:rFonts w:ascii="Arial" w:eastAsia="Calibri" w:hAnsi="Arial" w:cs="Arial"/>
                <w:color w:val="000000"/>
                <w:sz w:val="17"/>
                <w:szCs w:val="17"/>
              </w:rPr>
            </w:pPr>
          </w:p>
        </w:tc>
      </w:tr>
      <w:tr w:rsidR="00794432" w:rsidRPr="00736C15" w14:paraId="2EA57FB8" w14:textId="77777777" w:rsidTr="00D707D6">
        <w:trPr>
          <w:trHeight w:hRule="exact" w:val="227"/>
          <w:jc w:val="center"/>
        </w:trPr>
        <w:tc>
          <w:tcPr>
            <w:tcW w:w="3194" w:type="pct"/>
            <w:vAlign w:val="bottom"/>
          </w:tcPr>
          <w:p w14:paraId="0957BAAC" w14:textId="77777777" w:rsidR="00794432" w:rsidRPr="00736C15" w:rsidRDefault="00794432" w:rsidP="00D707D6">
            <w:pPr>
              <w:tabs>
                <w:tab w:val="right" w:pos="1202"/>
              </w:tabs>
              <w:outlineLvl w:val="0"/>
              <w:rPr>
                <w:rFonts w:ascii="Arial" w:eastAsia="Calibri" w:hAnsi="Arial" w:cs="Arial"/>
                <w:color w:val="000000"/>
                <w:spacing w:val="-2"/>
                <w:sz w:val="17"/>
                <w:szCs w:val="17"/>
              </w:rPr>
            </w:pPr>
            <w:r w:rsidRPr="00736C15">
              <w:rPr>
                <w:rFonts w:ascii="Arial" w:eastAsia="Calibri" w:hAnsi="Arial" w:cs="Arial"/>
                <w:color w:val="000000"/>
                <w:spacing w:val="-2"/>
                <w:sz w:val="17"/>
                <w:szCs w:val="17"/>
              </w:rPr>
              <w:t>Udjeli u investicijskim fondovima po fer vrijednosti kroz dobit ili gubitak</w:t>
            </w:r>
          </w:p>
        </w:tc>
        <w:tc>
          <w:tcPr>
            <w:tcW w:w="555" w:type="pct"/>
            <w:tcBorders>
              <w:top w:val="nil"/>
              <w:left w:val="nil"/>
              <w:right w:val="nil"/>
            </w:tcBorders>
            <w:shd w:val="clear" w:color="auto" w:fill="auto"/>
            <w:vAlign w:val="bottom"/>
          </w:tcPr>
          <w:p w14:paraId="05A10F09" w14:textId="77777777" w:rsidR="00794432" w:rsidRPr="00736C15" w:rsidRDefault="00794432" w:rsidP="00D707D6">
            <w:pPr>
              <w:tabs>
                <w:tab w:val="right" w:pos="1202"/>
              </w:tabs>
              <w:jc w:val="right"/>
              <w:outlineLvl w:val="0"/>
              <w:rPr>
                <w:rFonts w:ascii="Arial" w:eastAsia="Calibri" w:hAnsi="Arial" w:cs="Arial"/>
                <w:color w:val="000000"/>
                <w:spacing w:val="-2"/>
                <w:sz w:val="17"/>
                <w:szCs w:val="17"/>
              </w:rPr>
            </w:pPr>
            <w:r w:rsidRPr="00134EDA">
              <w:rPr>
                <w:rFonts w:ascii="Arial" w:eastAsia="Calibri" w:hAnsi="Arial" w:cs="Arial"/>
                <w:color w:val="000000"/>
                <w:spacing w:val="-2"/>
                <w:sz w:val="17"/>
                <w:szCs w:val="17"/>
              </w:rPr>
              <w:t>19.171</w:t>
            </w:r>
          </w:p>
        </w:tc>
        <w:tc>
          <w:tcPr>
            <w:tcW w:w="644" w:type="pct"/>
            <w:tcBorders>
              <w:top w:val="nil"/>
              <w:left w:val="nil"/>
              <w:right w:val="nil"/>
            </w:tcBorders>
            <w:shd w:val="clear" w:color="auto" w:fill="auto"/>
            <w:vAlign w:val="bottom"/>
          </w:tcPr>
          <w:p w14:paraId="0ECA88BD" w14:textId="77777777" w:rsidR="00794432" w:rsidRPr="00736C15" w:rsidRDefault="00794432" w:rsidP="00D707D6">
            <w:pPr>
              <w:tabs>
                <w:tab w:val="right" w:pos="1202"/>
              </w:tabs>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607" w:type="pct"/>
            <w:tcBorders>
              <w:top w:val="nil"/>
              <w:left w:val="nil"/>
              <w:right w:val="nil"/>
            </w:tcBorders>
            <w:shd w:val="clear" w:color="auto" w:fill="auto"/>
            <w:vAlign w:val="bottom"/>
          </w:tcPr>
          <w:p w14:paraId="0AEC848B" w14:textId="77777777" w:rsidR="00794432" w:rsidRPr="00736C15" w:rsidRDefault="00794432" w:rsidP="00D707D6">
            <w:pPr>
              <w:tabs>
                <w:tab w:val="right" w:pos="1202"/>
              </w:tabs>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r>
      <w:tr w:rsidR="00794432" w:rsidRPr="00736C15" w14:paraId="33D1A7D9" w14:textId="77777777" w:rsidTr="00D707D6">
        <w:trPr>
          <w:trHeight w:val="192"/>
          <w:jc w:val="center"/>
        </w:trPr>
        <w:tc>
          <w:tcPr>
            <w:tcW w:w="3194" w:type="pct"/>
            <w:vAlign w:val="bottom"/>
          </w:tcPr>
          <w:p w14:paraId="1E218AAA" w14:textId="77777777" w:rsidR="00794432" w:rsidRPr="00736C15" w:rsidRDefault="00794432" w:rsidP="00D707D6">
            <w:pPr>
              <w:tabs>
                <w:tab w:val="right" w:pos="1202"/>
              </w:tabs>
              <w:outlineLvl w:val="0"/>
              <w:rPr>
                <w:rFonts w:ascii="Arial" w:eastAsia="Calibri" w:hAnsi="Arial" w:cs="Arial"/>
                <w:color w:val="000000"/>
                <w:sz w:val="17"/>
                <w:szCs w:val="17"/>
              </w:rPr>
            </w:pPr>
            <w:r w:rsidRPr="00736C15">
              <w:rPr>
                <w:rFonts w:ascii="Arial" w:eastAsia="Calibri" w:hAnsi="Arial" w:cs="Arial"/>
                <w:b/>
                <w:color w:val="000000"/>
                <w:sz w:val="17"/>
                <w:szCs w:val="17"/>
              </w:rPr>
              <w:t>Vlasnički vrijednosni papiri:</w:t>
            </w:r>
          </w:p>
        </w:tc>
        <w:tc>
          <w:tcPr>
            <w:tcW w:w="555" w:type="pct"/>
            <w:tcBorders>
              <w:top w:val="nil"/>
              <w:left w:val="nil"/>
              <w:right w:val="nil"/>
            </w:tcBorders>
            <w:shd w:val="clear" w:color="auto" w:fill="auto"/>
            <w:vAlign w:val="bottom"/>
          </w:tcPr>
          <w:p w14:paraId="07D166EA" w14:textId="77777777" w:rsidR="00794432" w:rsidRPr="00736C15" w:rsidRDefault="00794432" w:rsidP="00D707D6">
            <w:pPr>
              <w:tabs>
                <w:tab w:val="right" w:pos="1202"/>
              </w:tabs>
              <w:outlineLvl w:val="0"/>
              <w:rPr>
                <w:rFonts w:ascii="Arial" w:eastAsia="Calibri" w:hAnsi="Arial" w:cs="Arial"/>
                <w:color w:val="000000"/>
                <w:sz w:val="17"/>
                <w:szCs w:val="17"/>
              </w:rPr>
            </w:pPr>
          </w:p>
        </w:tc>
        <w:tc>
          <w:tcPr>
            <w:tcW w:w="644" w:type="pct"/>
            <w:tcBorders>
              <w:top w:val="nil"/>
              <w:left w:val="nil"/>
              <w:right w:val="nil"/>
            </w:tcBorders>
            <w:shd w:val="clear" w:color="auto" w:fill="auto"/>
            <w:vAlign w:val="bottom"/>
          </w:tcPr>
          <w:p w14:paraId="0765D99B" w14:textId="77777777" w:rsidR="00794432" w:rsidRPr="00736C15" w:rsidRDefault="00794432" w:rsidP="00D707D6">
            <w:pPr>
              <w:tabs>
                <w:tab w:val="right" w:pos="1202"/>
              </w:tabs>
              <w:outlineLvl w:val="0"/>
              <w:rPr>
                <w:rFonts w:ascii="Arial" w:eastAsia="Calibri" w:hAnsi="Arial" w:cs="Arial"/>
                <w:color w:val="000000"/>
                <w:sz w:val="17"/>
                <w:szCs w:val="17"/>
              </w:rPr>
            </w:pPr>
          </w:p>
        </w:tc>
        <w:tc>
          <w:tcPr>
            <w:tcW w:w="607" w:type="pct"/>
            <w:tcBorders>
              <w:top w:val="nil"/>
              <w:left w:val="nil"/>
              <w:right w:val="nil"/>
            </w:tcBorders>
            <w:shd w:val="clear" w:color="auto" w:fill="auto"/>
            <w:vAlign w:val="bottom"/>
          </w:tcPr>
          <w:p w14:paraId="6959C46E" w14:textId="77777777" w:rsidR="00794432" w:rsidRPr="00736C15" w:rsidRDefault="00794432" w:rsidP="00D707D6">
            <w:pPr>
              <w:tabs>
                <w:tab w:val="right" w:pos="1202"/>
              </w:tabs>
              <w:outlineLvl w:val="0"/>
              <w:rPr>
                <w:rFonts w:ascii="Arial" w:eastAsia="Calibri" w:hAnsi="Arial" w:cs="Arial"/>
                <w:color w:val="000000"/>
                <w:sz w:val="17"/>
                <w:szCs w:val="17"/>
              </w:rPr>
            </w:pPr>
          </w:p>
        </w:tc>
      </w:tr>
      <w:tr w:rsidR="00794432" w:rsidRPr="00736C15" w14:paraId="560FE146" w14:textId="77777777" w:rsidTr="00D707D6">
        <w:trPr>
          <w:trHeight w:val="192"/>
          <w:jc w:val="center"/>
        </w:trPr>
        <w:tc>
          <w:tcPr>
            <w:tcW w:w="3194" w:type="pct"/>
            <w:vAlign w:val="bottom"/>
          </w:tcPr>
          <w:p w14:paraId="0D20FB4A" w14:textId="77777777" w:rsidR="00794432" w:rsidRPr="00736C15" w:rsidRDefault="00794432" w:rsidP="00D707D6">
            <w:pPr>
              <w:tabs>
                <w:tab w:val="right" w:pos="1202"/>
              </w:tabs>
              <w:outlineLvl w:val="0"/>
              <w:rPr>
                <w:rFonts w:ascii="Arial" w:eastAsia="Calibri" w:hAnsi="Arial" w:cs="Arial"/>
                <w:color w:val="000000"/>
                <w:sz w:val="17"/>
                <w:szCs w:val="17"/>
              </w:rPr>
            </w:pPr>
            <w:r w:rsidRPr="00736C15">
              <w:rPr>
                <w:rFonts w:ascii="Arial" w:eastAsia="Calibri" w:hAnsi="Arial" w:cs="Arial"/>
                <w:b/>
                <w:i/>
                <w:color w:val="000000"/>
                <w:spacing w:val="-2"/>
                <w:sz w:val="17"/>
                <w:szCs w:val="17"/>
              </w:rPr>
              <w:t>Vlasnički vrijednosni papiri koji ne kotiraju:</w:t>
            </w:r>
          </w:p>
        </w:tc>
        <w:tc>
          <w:tcPr>
            <w:tcW w:w="555" w:type="pct"/>
            <w:tcBorders>
              <w:left w:val="nil"/>
              <w:right w:val="nil"/>
            </w:tcBorders>
            <w:shd w:val="clear" w:color="auto" w:fill="auto"/>
            <w:vAlign w:val="bottom"/>
          </w:tcPr>
          <w:p w14:paraId="4554F5FD" w14:textId="77777777" w:rsidR="00794432" w:rsidRPr="00736C15" w:rsidRDefault="00794432" w:rsidP="00D707D6">
            <w:pPr>
              <w:tabs>
                <w:tab w:val="right" w:pos="1202"/>
              </w:tabs>
              <w:jc w:val="right"/>
              <w:outlineLvl w:val="0"/>
              <w:rPr>
                <w:rFonts w:ascii="Arial" w:eastAsia="Calibri" w:hAnsi="Arial" w:cs="Arial"/>
                <w:color w:val="000000"/>
                <w:sz w:val="17"/>
                <w:szCs w:val="17"/>
              </w:rPr>
            </w:pPr>
          </w:p>
        </w:tc>
        <w:tc>
          <w:tcPr>
            <w:tcW w:w="644" w:type="pct"/>
            <w:tcBorders>
              <w:top w:val="nil"/>
              <w:left w:val="nil"/>
              <w:right w:val="nil"/>
            </w:tcBorders>
            <w:shd w:val="clear" w:color="auto" w:fill="auto"/>
            <w:vAlign w:val="bottom"/>
          </w:tcPr>
          <w:p w14:paraId="676DB5E9" w14:textId="77777777" w:rsidR="00794432" w:rsidRPr="00736C15" w:rsidRDefault="00794432" w:rsidP="00D707D6">
            <w:pPr>
              <w:tabs>
                <w:tab w:val="right" w:pos="1202"/>
              </w:tabs>
              <w:jc w:val="right"/>
              <w:outlineLvl w:val="0"/>
              <w:rPr>
                <w:rFonts w:ascii="Arial" w:eastAsia="Calibri" w:hAnsi="Arial" w:cs="Arial"/>
                <w:color w:val="000000"/>
                <w:sz w:val="17"/>
                <w:szCs w:val="17"/>
              </w:rPr>
            </w:pPr>
          </w:p>
        </w:tc>
        <w:tc>
          <w:tcPr>
            <w:tcW w:w="607" w:type="pct"/>
            <w:tcBorders>
              <w:top w:val="nil"/>
              <w:left w:val="nil"/>
              <w:right w:val="nil"/>
            </w:tcBorders>
            <w:shd w:val="clear" w:color="auto" w:fill="auto"/>
            <w:vAlign w:val="bottom"/>
          </w:tcPr>
          <w:p w14:paraId="76E8A506" w14:textId="77777777" w:rsidR="00794432" w:rsidRPr="00736C15" w:rsidRDefault="00794432" w:rsidP="00D707D6">
            <w:pPr>
              <w:tabs>
                <w:tab w:val="right" w:pos="1202"/>
              </w:tabs>
              <w:jc w:val="right"/>
              <w:outlineLvl w:val="0"/>
              <w:rPr>
                <w:rFonts w:ascii="Arial" w:eastAsia="Calibri" w:hAnsi="Arial" w:cs="Arial"/>
                <w:color w:val="000000"/>
                <w:sz w:val="17"/>
                <w:szCs w:val="17"/>
              </w:rPr>
            </w:pPr>
          </w:p>
        </w:tc>
      </w:tr>
      <w:tr w:rsidR="00794432" w:rsidRPr="00736C15" w14:paraId="03BB30B1" w14:textId="77777777" w:rsidTr="00D707D6">
        <w:trPr>
          <w:trHeight w:hRule="exact" w:val="227"/>
          <w:jc w:val="center"/>
        </w:trPr>
        <w:tc>
          <w:tcPr>
            <w:tcW w:w="3194" w:type="pct"/>
            <w:vAlign w:val="bottom"/>
          </w:tcPr>
          <w:p w14:paraId="2F620830" w14:textId="77777777" w:rsidR="00794432" w:rsidRPr="00736C15" w:rsidRDefault="00794432" w:rsidP="00D707D6">
            <w:pPr>
              <w:tabs>
                <w:tab w:val="right" w:pos="1202"/>
              </w:tabs>
              <w:outlineLvl w:val="0"/>
              <w:rPr>
                <w:rFonts w:ascii="Arial" w:eastAsia="Calibri" w:hAnsi="Arial" w:cs="Arial"/>
                <w:color w:val="000000"/>
                <w:spacing w:val="-2"/>
                <w:sz w:val="17"/>
                <w:szCs w:val="17"/>
              </w:rPr>
            </w:pPr>
            <w:r w:rsidRPr="00736C15">
              <w:rPr>
                <w:rFonts w:ascii="Arial" w:eastAsia="Calibri" w:hAnsi="Arial" w:cs="Arial"/>
                <w:color w:val="000000"/>
                <w:spacing w:val="-2"/>
                <w:sz w:val="17"/>
                <w:szCs w:val="17"/>
              </w:rPr>
              <w:t>Depozitarne potvrde - DR</w:t>
            </w:r>
          </w:p>
        </w:tc>
        <w:tc>
          <w:tcPr>
            <w:tcW w:w="555" w:type="pct"/>
            <w:tcBorders>
              <w:left w:val="nil"/>
              <w:right w:val="nil"/>
            </w:tcBorders>
            <w:shd w:val="clear" w:color="auto" w:fill="auto"/>
            <w:vAlign w:val="bottom"/>
          </w:tcPr>
          <w:p w14:paraId="5EE0E051" w14:textId="77777777" w:rsidR="00794432" w:rsidRPr="00736C15" w:rsidRDefault="00794432" w:rsidP="00D707D6">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44" w:type="pct"/>
            <w:tcBorders>
              <w:top w:val="nil"/>
              <w:left w:val="nil"/>
              <w:right w:val="nil"/>
            </w:tcBorders>
            <w:shd w:val="clear" w:color="auto" w:fill="auto"/>
            <w:vAlign w:val="bottom"/>
          </w:tcPr>
          <w:p w14:paraId="740A7D2E" w14:textId="77777777" w:rsidR="00794432" w:rsidRPr="00736C15" w:rsidRDefault="00794432" w:rsidP="00D707D6">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07" w:type="pct"/>
            <w:tcBorders>
              <w:top w:val="nil"/>
              <w:left w:val="nil"/>
              <w:right w:val="nil"/>
            </w:tcBorders>
            <w:shd w:val="clear" w:color="auto" w:fill="auto"/>
            <w:vAlign w:val="bottom"/>
          </w:tcPr>
          <w:p w14:paraId="51715448" w14:textId="77777777" w:rsidR="00794432" w:rsidRPr="00736C15" w:rsidRDefault="00794432" w:rsidP="00D707D6">
            <w:pPr>
              <w:tabs>
                <w:tab w:val="right" w:pos="1202"/>
              </w:tabs>
              <w:jc w:val="right"/>
              <w:outlineLvl w:val="0"/>
              <w:rPr>
                <w:rFonts w:ascii="Arial" w:eastAsia="Calibri" w:hAnsi="Arial" w:cs="Arial"/>
                <w:color w:val="000000"/>
                <w:sz w:val="17"/>
                <w:szCs w:val="17"/>
              </w:rPr>
            </w:pPr>
            <w:r w:rsidRPr="00134EDA">
              <w:rPr>
                <w:rFonts w:ascii="Arial" w:eastAsia="Calibri" w:hAnsi="Arial" w:cs="Arial"/>
                <w:color w:val="000000"/>
                <w:sz w:val="17"/>
                <w:szCs w:val="17"/>
              </w:rPr>
              <w:t>42</w:t>
            </w:r>
          </w:p>
        </w:tc>
      </w:tr>
      <w:tr w:rsidR="00794432" w:rsidRPr="00736C15" w14:paraId="7FA79139" w14:textId="77777777" w:rsidTr="00D707D6">
        <w:trPr>
          <w:trHeight w:hRule="exact" w:val="227"/>
          <w:jc w:val="center"/>
        </w:trPr>
        <w:tc>
          <w:tcPr>
            <w:tcW w:w="3194" w:type="pct"/>
            <w:shd w:val="clear" w:color="auto" w:fill="auto"/>
            <w:vAlign w:val="bottom"/>
          </w:tcPr>
          <w:p w14:paraId="3F47A44F" w14:textId="77777777" w:rsidR="00794432" w:rsidRPr="00736C15" w:rsidRDefault="00794432" w:rsidP="00D707D6">
            <w:pPr>
              <w:tabs>
                <w:tab w:val="right" w:pos="1202"/>
              </w:tabs>
              <w:outlineLvl w:val="0"/>
              <w:rPr>
                <w:rFonts w:ascii="Arial" w:eastAsia="Calibri" w:hAnsi="Arial" w:cs="Arial"/>
                <w:color w:val="000000"/>
                <w:spacing w:val="-2"/>
                <w:sz w:val="17"/>
                <w:szCs w:val="17"/>
              </w:rPr>
            </w:pPr>
            <w:r w:rsidRPr="00736C15">
              <w:rPr>
                <w:rFonts w:ascii="Arial" w:eastAsia="Calibri" w:hAnsi="Arial" w:cs="Arial"/>
                <w:b/>
                <w:color w:val="000000"/>
                <w:sz w:val="17"/>
                <w:szCs w:val="17"/>
              </w:rPr>
              <w:t>Derivativna financijska imovina – pozitivna fer vrijednost</w:t>
            </w:r>
          </w:p>
        </w:tc>
        <w:tc>
          <w:tcPr>
            <w:tcW w:w="555" w:type="pct"/>
            <w:tcBorders>
              <w:left w:val="nil"/>
              <w:right w:val="nil"/>
            </w:tcBorders>
            <w:shd w:val="clear" w:color="auto" w:fill="auto"/>
            <w:vAlign w:val="bottom"/>
          </w:tcPr>
          <w:p w14:paraId="3A773268" w14:textId="77777777" w:rsidR="00794432" w:rsidRDefault="00794432" w:rsidP="00D707D6">
            <w:pPr>
              <w:tabs>
                <w:tab w:val="right" w:pos="1202"/>
              </w:tabs>
              <w:jc w:val="right"/>
              <w:outlineLvl w:val="0"/>
              <w:rPr>
                <w:rFonts w:ascii="Arial" w:eastAsia="Calibri" w:hAnsi="Arial" w:cs="Arial"/>
                <w:color w:val="000000"/>
                <w:sz w:val="17"/>
                <w:szCs w:val="17"/>
              </w:rPr>
            </w:pPr>
          </w:p>
        </w:tc>
        <w:tc>
          <w:tcPr>
            <w:tcW w:w="644" w:type="pct"/>
            <w:tcBorders>
              <w:top w:val="nil"/>
              <w:left w:val="nil"/>
              <w:right w:val="nil"/>
            </w:tcBorders>
            <w:shd w:val="clear" w:color="auto" w:fill="auto"/>
            <w:vAlign w:val="bottom"/>
          </w:tcPr>
          <w:p w14:paraId="09D5931B" w14:textId="77777777" w:rsidR="00794432" w:rsidRDefault="00794432" w:rsidP="00D707D6">
            <w:pPr>
              <w:tabs>
                <w:tab w:val="right" w:pos="1202"/>
              </w:tabs>
              <w:jc w:val="right"/>
              <w:outlineLvl w:val="0"/>
              <w:rPr>
                <w:rFonts w:ascii="Arial" w:eastAsia="Calibri" w:hAnsi="Arial" w:cs="Arial"/>
                <w:color w:val="000000"/>
                <w:sz w:val="17"/>
                <w:szCs w:val="17"/>
              </w:rPr>
            </w:pPr>
          </w:p>
        </w:tc>
        <w:tc>
          <w:tcPr>
            <w:tcW w:w="607" w:type="pct"/>
            <w:tcBorders>
              <w:top w:val="nil"/>
              <w:left w:val="nil"/>
              <w:right w:val="nil"/>
            </w:tcBorders>
            <w:shd w:val="clear" w:color="auto" w:fill="auto"/>
            <w:vAlign w:val="bottom"/>
          </w:tcPr>
          <w:p w14:paraId="617925AF" w14:textId="77777777" w:rsidR="00794432" w:rsidRDefault="00794432" w:rsidP="00D707D6">
            <w:pPr>
              <w:tabs>
                <w:tab w:val="right" w:pos="1202"/>
              </w:tabs>
              <w:jc w:val="right"/>
              <w:outlineLvl w:val="0"/>
              <w:rPr>
                <w:rFonts w:ascii="Arial" w:eastAsia="Calibri" w:hAnsi="Arial" w:cs="Arial"/>
                <w:color w:val="000000"/>
                <w:sz w:val="17"/>
                <w:szCs w:val="17"/>
              </w:rPr>
            </w:pPr>
          </w:p>
        </w:tc>
      </w:tr>
      <w:tr w:rsidR="00794432" w:rsidRPr="00736C15" w14:paraId="5A566458" w14:textId="77777777" w:rsidTr="00D707D6">
        <w:trPr>
          <w:trHeight w:hRule="exact" w:val="227"/>
          <w:jc w:val="center"/>
        </w:trPr>
        <w:tc>
          <w:tcPr>
            <w:tcW w:w="3194" w:type="pct"/>
            <w:shd w:val="clear" w:color="auto" w:fill="auto"/>
            <w:vAlign w:val="bottom"/>
          </w:tcPr>
          <w:p w14:paraId="5A7B3210" w14:textId="77777777" w:rsidR="00794432" w:rsidRPr="00736C15" w:rsidRDefault="00794432" w:rsidP="00D707D6">
            <w:pPr>
              <w:tabs>
                <w:tab w:val="right" w:pos="1202"/>
              </w:tabs>
              <w:outlineLvl w:val="0"/>
              <w:rPr>
                <w:rFonts w:ascii="Arial" w:eastAsia="Calibri" w:hAnsi="Arial" w:cs="Arial"/>
                <w:color w:val="000000"/>
                <w:spacing w:val="-2"/>
                <w:sz w:val="17"/>
                <w:szCs w:val="17"/>
              </w:rPr>
            </w:pPr>
            <w:r w:rsidRPr="00736C15">
              <w:rPr>
                <w:rFonts w:ascii="Arial" w:eastAsia="Calibri" w:hAnsi="Arial" w:cs="Arial"/>
                <w:bCs/>
                <w:color w:val="000000"/>
                <w:sz w:val="17"/>
                <w:szCs w:val="17"/>
              </w:rPr>
              <w:t>FX swap</w:t>
            </w:r>
          </w:p>
        </w:tc>
        <w:tc>
          <w:tcPr>
            <w:tcW w:w="555" w:type="pct"/>
            <w:tcBorders>
              <w:left w:val="nil"/>
              <w:right w:val="nil"/>
            </w:tcBorders>
            <w:shd w:val="clear" w:color="auto" w:fill="auto"/>
            <w:vAlign w:val="bottom"/>
          </w:tcPr>
          <w:p w14:paraId="433C817B" w14:textId="77777777" w:rsidR="00794432" w:rsidRDefault="00794432" w:rsidP="00D707D6">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44" w:type="pct"/>
            <w:tcBorders>
              <w:top w:val="nil"/>
              <w:left w:val="nil"/>
              <w:right w:val="nil"/>
            </w:tcBorders>
            <w:shd w:val="clear" w:color="auto" w:fill="auto"/>
            <w:vAlign w:val="bottom"/>
          </w:tcPr>
          <w:p w14:paraId="03401438" w14:textId="77777777" w:rsidR="00794432" w:rsidRDefault="00794432" w:rsidP="00D707D6">
            <w:pPr>
              <w:tabs>
                <w:tab w:val="right" w:pos="1202"/>
              </w:tabs>
              <w:jc w:val="right"/>
              <w:outlineLvl w:val="0"/>
              <w:rPr>
                <w:rFonts w:ascii="Arial" w:eastAsia="Calibri" w:hAnsi="Arial" w:cs="Arial"/>
                <w:color w:val="000000"/>
                <w:sz w:val="17"/>
                <w:szCs w:val="17"/>
              </w:rPr>
            </w:pPr>
            <w:r w:rsidRPr="00134EDA">
              <w:rPr>
                <w:rFonts w:ascii="Arial" w:eastAsia="Calibri" w:hAnsi="Arial" w:cs="Arial"/>
                <w:color w:val="000000"/>
                <w:sz w:val="17"/>
                <w:szCs w:val="17"/>
              </w:rPr>
              <w:t>11</w:t>
            </w:r>
          </w:p>
        </w:tc>
        <w:tc>
          <w:tcPr>
            <w:tcW w:w="607" w:type="pct"/>
            <w:tcBorders>
              <w:top w:val="nil"/>
              <w:left w:val="nil"/>
              <w:right w:val="nil"/>
            </w:tcBorders>
            <w:shd w:val="clear" w:color="auto" w:fill="auto"/>
            <w:vAlign w:val="bottom"/>
          </w:tcPr>
          <w:p w14:paraId="4C54553A" w14:textId="77777777" w:rsidR="00794432" w:rsidRDefault="00794432" w:rsidP="00D707D6">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r>
      <w:tr w:rsidR="00794432" w:rsidRPr="00736C15" w14:paraId="5A84D884" w14:textId="77777777" w:rsidTr="00D707D6">
        <w:trPr>
          <w:trHeight w:hRule="exact" w:val="255"/>
          <w:jc w:val="center"/>
        </w:trPr>
        <w:tc>
          <w:tcPr>
            <w:tcW w:w="3194" w:type="pct"/>
            <w:vAlign w:val="bottom"/>
          </w:tcPr>
          <w:p w14:paraId="3F545F62" w14:textId="77777777" w:rsidR="00794432" w:rsidRPr="00736C15" w:rsidRDefault="00794432" w:rsidP="00D707D6">
            <w:pPr>
              <w:tabs>
                <w:tab w:val="right" w:pos="1202"/>
              </w:tabs>
              <w:outlineLvl w:val="0"/>
              <w:rPr>
                <w:rFonts w:ascii="Arial" w:eastAsia="Calibri" w:hAnsi="Arial" w:cs="Arial"/>
                <w:color w:val="000000"/>
                <w:sz w:val="17"/>
                <w:szCs w:val="17"/>
              </w:rPr>
            </w:pPr>
            <w:r w:rsidRPr="00736C15">
              <w:rPr>
                <w:rFonts w:ascii="Arial" w:eastAsia="Calibri" w:hAnsi="Arial" w:cs="Arial"/>
                <w:b/>
                <w:color w:val="000000"/>
                <w:sz w:val="17"/>
                <w:szCs w:val="17"/>
              </w:rPr>
              <w:t>Ukupno financijska imovina po fer vrijednosti kroz dobit ili gubitak</w:t>
            </w:r>
          </w:p>
        </w:tc>
        <w:tc>
          <w:tcPr>
            <w:tcW w:w="555" w:type="pct"/>
            <w:tcBorders>
              <w:top w:val="single" w:sz="4" w:space="0" w:color="auto"/>
              <w:left w:val="nil"/>
              <w:bottom w:val="single" w:sz="12" w:space="0" w:color="auto"/>
              <w:right w:val="nil"/>
            </w:tcBorders>
            <w:shd w:val="clear" w:color="auto" w:fill="auto"/>
            <w:vAlign w:val="bottom"/>
          </w:tcPr>
          <w:p w14:paraId="22DBFD28" w14:textId="77777777" w:rsidR="00794432" w:rsidRPr="00F959D0" w:rsidRDefault="00794432" w:rsidP="00D707D6">
            <w:pPr>
              <w:tabs>
                <w:tab w:val="right" w:pos="1202"/>
              </w:tabs>
              <w:jc w:val="right"/>
              <w:outlineLvl w:val="0"/>
              <w:rPr>
                <w:rFonts w:ascii="Arial" w:eastAsia="Calibri" w:hAnsi="Arial" w:cs="Arial"/>
                <w:b/>
                <w:color w:val="000000"/>
                <w:spacing w:val="-2"/>
                <w:sz w:val="17"/>
                <w:szCs w:val="17"/>
                <w:lang w:eastAsia="hr-HR"/>
              </w:rPr>
            </w:pPr>
            <w:r w:rsidRPr="00AD7F10">
              <w:rPr>
                <w:rFonts w:ascii="Arial" w:eastAsia="Calibri" w:hAnsi="Arial" w:cs="Arial"/>
                <w:b/>
                <w:color w:val="000000"/>
                <w:spacing w:val="-2"/>
                <w:sz w:val="17"/>
                <w:szCs w:val="17"/>
                <w:lang w:eastAsia="hr-HR"/>
              </w:rPr>
              <w:t>19.171</w:t>
            </w:r>
          </w:p>
        </w:tc>
        <w:tc>
          <w:tcPr>
            <w:tcW w:w="644" w:type="pct"/>
            <w:tcBorders>
              <w:top w:val="single" w:sz="4" w:space="0" w:color="auto"/>
              <w:left w:val="nil"/>
              <w:bottom w:val="single" w:sz="12" w:space="0" w:color="auto"/>
              <w:right w:val="nil"/>
            </w:tcBorders>
            <w:shd w:val="clear" w:color="auto" w:fill="auto"/>
            <w:vAlign w:val="bottom"/>
          </w:tcPr>
          <w:p w14:paraId="6C8BB71A" w14:textId="77777777" w:rsidR="00794432" w:rsidRPr="00F959D0" w:rsidRDefault="00794432" w:rsidP="00D707D6">
            <w:pPr>
              <w:tabs>
                <w:tab w:val="right" w:pos="1202"/>
              </w:tabs>
              <w:jc w:val="right"/>
              <w:outlineLvl w:val="0"/>
              <w:rPr>
                <w:rFonts w:ascii="Arial" w:eastAsia="Calibri" w:hAnsi="Arial" w:cs="Arial"/>
                <w:b/>
                <w:color w:val="000000"/>
                <w:spacing w:val="-2"/>
                <w:sz w:val="17"/>
                <w:szCs w:val="17"/>
                <w:lang w:eastAsia="hr-HR"/>
              </w:rPr>
            </w:pPr>
            <w:r w:rsidRPr="00AD7F10">
              <w:rPr>
                <w:rFonts w:ascii="Arial" w:eastAsia="Calibri" w:hAnsi="Arial" w:cs="Arial"/>
                <w:b/>
                <w:color w:val="000000"/>
                <w:spacing w:val="-2"/>
                <w:sz w:val="17"/>
                <w:szCs w:val="17"/>
                <w:lang w:eastAsia="hr-HR"/>
              </w:rPr>
              <w:t>11</w:t>
            </w:r>
          </w:p>
        </w:tc>
        <w:tc>
          <w:tcPr>
            <w:tcW w:w="607" w:type="pct"/>
            <w:tcBorders>
              <w:top w:val="single" w:sz="4" w:space="0" w:color="auto"/>
              <w:left w:val="nil"/>
              <w:bottom w:val="single" w:sz="12" w:space="0" w:color="auto"/>
              <w:right w:val="nil"/>
            </w:tcBorders>
            <w:shd w:val="clear" w:color="auto" w:fill="auto"/>
            <w:vAlign w:val="bottom"/>
          </w:tcPr>
          <w:p w14:paraId="46FC5CE7" w14:textId="77777777" w:rsidR="00794432" w:rsidRPr="00F959D0" w:rsidRDefault="00794432" w:rsidP="00D707D6">
            <w:pPr>
              <w:tabs>
                <w:tab w:val="right" w:pos="1202"/>
              </w:tabs>
              <w:jc w:val="right"/>
              <w:outlineLvl w:val="0"/>
              <w:rPr>
                <w:rFonts w:ascii="Arial" w:eastAsia="Calibri" w:hAnsi="Arial" w:cs="Arial"/>
                <w:b/>
                <w:color w:val="000000"/>
                <w:spacing w:val="-2"/>
                <w:sz w:val="17"/>
                <w:szCs w:val="17"/>
                <w:lang w:eastAsia="hr-HR"/>
              </w:rPr>
            </w:pPr>
            <w:r w:rsidRPr="00AD7F10">
              <w:rPr>
                <w:rFonts w:ascii="Arial" w:eastAsia="Calibri" w:hAnsi="Arial" w:cs="Arial"/>
                <w:b/>
                <w:color w:val="000000"/>
                <w:spacing w:val="-2"/>
                <w:sz w:val="17"/>
                <w:szCs w:val="17"/>
                <w:lang w:eastAsia="hr-HR"/>
              </w:rPr>
              <w:t>33.740</w:t>
            </w:r>
          </w:p>
        </w:tc>
      </w:tr>
      <w:tr w:rsidR="00794432" w:rsidRPr="00736C15" w14:paraId="659613A3" w14:textId="77777777" w:rsidTr="00D707D6">
        <w:trPr>
          <w:trHeight w:hRule="exact" w:val="255"/>
          <w:jc w:val="center"/>
        </w:trPr>
        <w:tc>
          <w:tcPr>
            <w:tcW w:w="3194" w:type="pct"/>
            <w:shd w:val="clear" w:color="auto" w:fill="auto"/>
            <w:vAlign w:val="bottom"/>
          </w:tcPr>
          <w:p w14:paraId="35732E8C" w14:textId="77777777" w:rsidR="00794432" w:rsidRPr="00736C15" w:rsidRDefault="00794432" w:rsidP="00D707D6">
            <w:pPr>
              <w:tabs>
                <w:tab w:val="right" w:pos="1202"/>
              </w:tabs>
              <w:outlineLvl w:val="0"/>
              <w:rPr>
                <w:rFonts w:ascii="Arial" w:eastAsia="Calibri" w:hAnsi="Arial" w:cs="Arial"/>
                <w:b/>
                <w:color w:val="000000"/>
                <w:spacing w:val="-2"/>
                <w:sz w:val="17"/>
                <w:szCs w:val="17"/>
              </w:rPr>
            </w:pPr>
            <w:r w:rsidRPr="00736C15">
              <w:rPr>
                <w:rFonts w:ascii="Arial" w:eastAsia="Calibri" w:hAnsi="Arial" w:cs="Arial"/>
                <w:b/>
                <w:color w:val="000000"/>
                <w:spacing w:val="-2"/>
                <w:sz w:val="17"/>
                <w:szCs w:val="17"/>
              </w:rPr>
              <w:t>Financijska imovina po fer vrijednosti kroz ostalu sveobuhvatnu dobit:</w:t>
            </w:r>
          </w:p>
        </w:tc>
        <w:tc>
          <w:tcPr>
            <w:tcW w:w="555" w:type="pct"/>
            <w:vAlign w:val="bottom"/>
          </w:tcPr>
          <w:p w14:paraId="1ECD8E99" w14:textId="77777777" w:rsidR="00794432" w:rsidRPr="00736C15" w:rsidDel="00561A80" w:rsidRDefault="00794432" w:rsidP="00D707D6">
            <w:pPr>
              <w:tabs>
                <w:tab w:val="right" w:pos="1202"/>
              </w:tabs>
              <w:jc w:val="right"/>
              <w:outlineLvl w:val="0"/>
              <w:rPr>
                <w:rFonts w:ascii="Arial" w:eastAsia="Calibri" w:hAnsi="Arial" w:cs="Arial"/>
                <w:color w:val="000000"/>
                <w:spacing w:val="-2"/>
                <w:sz w:val="17"/>
                <w:szCs w:val="17"/>
              </w:rPr>
            </w:pPr>
          </w:p>
        </w:tc>
        <w:tc>
          <w:tcPr>
            <w:tcW w:w="644" w:type="pct"/>
            <w:vAlign w:val="bottom"/>
          </w:tcPr>
          <w:p w14:paraId="4EE43FF9" w14:textId="77777777" w:rsidR="00794432" w:rsidRPr="00736C15" w:rsidDel="00561A80" w:rsidRDefault="00794432" w:rsidP="00D707D6">
            <w:pPr>
              <w:tabs>
                <w:tab w:val="right" w:pos="1202"/>
              </w:tabs>
              <w:jc w:val="right"/>
              <w:outlineLvl w:val="0"/>
              <w:rPr>
                <w:rFonts w:ascii="Arial" w:eastAsia="Calibri" w:hAnsi="Arial" w:cs="Arial"/>
                <w:color w:val="000000"/>
                <w:spacing w:val="-2"/>
                <w:sz w:val="17"/>
                <w:szCs w:val="17"/>
              </w:rPr>
            </w:pPr>
          </w:p>
        </w:tc>
        <w:tc>
          <w:tcPr>
            <w:tcW w:w="607" w:type="pct"/>
            <w:vAlign w:val="bottom"/>
          </w:tcPr>
          <w:p w14:paraId="25771CBC" w14:textId="77777777" w:rsidR="00794432" w:rsidRPr="00736C15" w:rsidDel="00561A80" w:rsidRDefault="00794432" w:rsidP="00D707D6">
            <w:pPr>
              <w:tabs>
                <w:tab w:val="right" w:pos="1202"/>
              </w:tabs>
              <w:jc w:val="right"/>
              <w:outlineLvl w:val="0"/>
              <w:rPr>
                <w:rFonts w:ascii="Arial" w:eastAsia="Calibri" w:hAnsi="Arial" w:cs="Arial"/>
                <w:color w:val="000000"/>
                <w:spacing w:val="-2"/>
                <w:sz w:val="17"/>
                <w:szCs w:val="17"/>
              </w:rPr>
            </w:pPr>
          </w:p>
        </w:tc>
      </w:tr>
      <w:tr w:rsidR="00794432" w:rsidRPr="00736C15" w14:paraId="126FB47D" w14:textId="77777777" w:rsidTr="00D707D6">
        <w:trPr>
          <w:trHeight w:hRule="exact" w:val="255"/>
          <w:jc w:val="center"/>
        </w:trPr>
        <w:tc>
          <w:tcPr>
            <w:tcW w:w="3194" w:type="pct"/>
            <w:shd w:val="clear" w:color="auto" w:fill="auto"/>
            <w:vAlign w:val="bottom"/>
          </w:tcPr>
          <w:p w14:paraId="497C4F06" w14:textId="77777777" w:rsidR="00794432" w:rsidRPr="00736C15" w:rsidRDefault="00794432" w:rsidP="00D707D6">
            <w:pPr>
              <w:tabs>
                <w:tab w:val="right" w:pos="1202"/>
              </w:tabs>
              <w:outlineLvl w:val="0"/>
              <w:rPr>
                <w:rFonts w:ascii="Arial" w:eastAsia="Calibri" w:hAnsi="Arial" w:cs="Arial"/>
                <w:b/>
                <w:color w:val="000000"/>
                <w:spacing w:val="-2"/>
                <w:sz w:val="17"/>
                <w:szCs w:val="17"/>
              </w:rPr>
            </w:pPr>
            <w:r w:rsidRPr="00736C15">
              <w:rPr>
                <w:rFonts w:ascii="Arial" w:eastAsia="Calibri" w:hAnsi="Arial" w:cs="Arial"/>
                <w:b/>
                <w:color w:val="000000"/>
                <w:spacing w:val="-2"/>
                <w:sz w:val="17"/>
                <w:szCs w:val="17"/>
              </w:rPr>
              <w:t>Dužnički vrijednosni papiri:</w:t>
            </w:r>
          </w:p>
        </w:tc>
        <w:tc>
          <w:tcPr>
            <w:tcW w:w="555" w:type="pct"/>
            <w:vAlign w:val="bottom"/>
          </w:tcPr>
          <w:p w14:paraId="40F067DB" w14:textId="77777777" w:rsidR="00794432" w:rsidRPr="00736C15" w:rsidDel="00561A80" w:rsidRDefault="00794432" w:rsidP="00D707D6">
            <w:pPr>
              <w:tabs>
                <w:tab w:val="right" w:pos="1202"/>
              </w:tabs>
              <w:jc w:val="right"/>
              <w:outlineLvl w:val="0"/>
              <w:rPr>
                <w:rFonts w:ascii="Arial" w:eastAsia="Calibri" w:hAnsi="Arial" w:cs="Arial"/>
                <w:color w:val="000000"/>
                <w:spacing w:val="-2"/>
                <w:sz w:val="17"/>
                <w:szCs w:val="17"/>
              </w:rPr>
            </w:pPr>
          </w:p>
        </w:tc>
        <w:tc>
          <w:tcPr>
            <w:tcW w:w="644" w:type="pct"/>
            <w:vAlign w:val="bottom"/>
          </w:tcPr>
          <w:p w14:paraId="61CD0BC2" w14:textId="77777777" w:rsidR="00794432" w:rsidRPr="00736C15" w:rsidDel="00561A80" w:rsidRDefault="00794432" w:rsidP="00D707D6">
            <w:pPr>
              <w:tabs>
                <w:tab w:val="right" w:pos="1202"/>
              </w:tabs>
              <w:jc w:val="right"/>
              <w:outlineLvl w:val="0"/>
              <w:rPr>
                <w:rFonts w:ascii="Arial" w:eastAsia="Calibri" w:hAnsi="Arial" w:cs="Arial"/>
                <w:color w:val="000000"/>
                <w:spacing w:val="-2"/>
                <w:sz w:val="17"/>
                <w:szCs w:val="17"/>
              </w:rPr>
            </w:pPr>
          </w:p>
        </w:tc>
        <w:tc>
          <w:tcPr>
            <w:tcW w:w="607" w:type="pct"/>
            <w:vAlign w:val="bottom"/>
          </w:tcPr>
          <w:p w14:paraId="1248EB18" w14:textId="77777777" w:rsidR="00794432" w:rsidRPr="00736C15" w:rsidDel="00561A80" w:rsidRDefault="00794432" w:rsidP="00D707D6">
            <w:pPr>
              <w:tabs>
                <w:tab w:val="right" w:pos="1202"/>
              </w:tabs>
              <w:jc w:val="right"/>
              <w:outlineLvl w:val="0"/>
              <w:rPr>
                <w:rFonts w:ascii="Arial" w:eastAsia="Calibri" w:hAnsi="Arial" w:cs="Arial"/>
                <w:color w:val="000000"/>
                <w:spacing w:val="-2"/>
                <w:sz w:val="17"/>
                <w:szCs w:val="17"/>
              </w:rPr>
            </w:pPr>
          </w:p>
        </w:tc>
      </w:tr>
      <w:tr w:rsidR="00794432" w:rsidRPr="00736C15" w14:paraId="0FFA92C5" w14:textId="77777777" w:rsidTr="00D707D6">
        <w:trPr>
          <w:trHeight w:hRule="exact" w:val="255"/>
          <w:jc w:val="center"/>
        </w:trPr>
        <w:tc>
          <w:tcPr>
            <w:tcW w:w="3194" w:type="pct"/>
            <w:shd w:val="clear" w:color="auto" w:fill="auto"/>
            <w:vAlign w:val="bottom"/>
          </w:tcPr>
          <w:p w14:paraId="626BDECC" w14:textId="77777777" w:rsidR="00794432" w:rsidRPr="00736C15" w:rsidRDefault="00794432" w:rsidP="00D707D6">
            <w:pPr>
              <w:tabs>
                <w:tab w:val="right" w:pos="1202"/>
              </w:tabs>
              <w:outlineLvl w:val="0"/>
              <w:rPr>
                <w:rFonts w:ascii="Arial" w:eastAsia="Calibri" w:hAnsi="Arial" w:cs="Arial"/>
                <w:b/>
                <w:i/>
                <w:color w:val="000000"/>
                <w:spacing w:val="-2"/>
                <w:sz w:val="17"/>
                <w:szCs w:val="17"/>
              </w:rPr>
            </w:pPr>
            <w:r w:rsidRPr="00736C15">
              <w:rPr>
                <w:rFonts w:ascii="Arial" w:eastAsia="Calibri" w:hAnsi="Arial" w:cs="Arial"/>
                <w:b/>
                <w:i/>
                <w:color w:val="000000"/>
                <w:spacing w:val="-2"/>
                <w:sz w:val="17"/>
                <w:szCs w:val="17"/>
              </w:rPr>
              <w:t>Dužnički vrijednosni papiri koji kotiraju:</w:t>
            </w:r>
          </w:p>
        </w:tc>
        <w:tc>
          <w:tcPr>
            <w:tcW w:w="555" w:type="pct"/>
            <w:vAlign w:val="bottom"/>
          </w:tcPr>
          <w:p w14:paraId="5F4F2B93" w14:textId="77777777" w:rsidR="00794432" w:rsidRPr="00736C15" w:rsidDel="00561A80" w:rsidRDefault="00794432" w:rsidP="00D707D6">
            <w:pPr>
              <w:tabs>
                <w:tab w:val="right" w:pos="1202"/>
              </w:tabs>
              <w:jc w:val="right"/>
              <w:outlineLvl w:val="0"/>
              <w:rPr>
                <w:rFonts w:ascii="Arial" w:eastAsia="Calibri" w:hAnsi="Arial" w:cs="Arial"/>
                <w:color w:val="000000"/>
                <w:spacing w:val="-2"/>
                <w:sz w:val="17"/>
                <w:szCs w:val="17"/>
              </w:rPr>
            </w:pPr>
          </w:p>
        </w:tc>
        <w:tc>
          <w:tcPr>
            <w:tcW w:w="644" w:type="pct"/>
            <w:vAlign w:val="bottom"/>
          </w:tcPr>
          <w:p w14:paraId="7B477CB7" w14:textId="77777777" w:rsidR="00794432" w:rsidRPr="00736C15" w:rsidDel="00561A80" w:rsidRDefault="00794432" w:rsidP="00D707D6">
            <w:pPr>
              <w:tabs>
                <w:tab w:val="right" w:pos="1202"/>
              </w:tabs>
              <w:jc w:val="right"/>
              <w:outlineLvl w:val="0"/>
              <w:rPr>
                <w:rFonts w:ascii="Arial" w:eastAsia="Calibri" w:hAnsi="Arial" w:cs="Arial"/>
                <w:color w:val="000000"/>
                <w:spacing w:val="-2"/>
                <w:sz w:val="17"/>
                <w:szCs w:val="17"/>
              </w:rPr>
            </w:pPr>
          </w:p>
        </w:tc>
        <w:tc>
          <w:tcPr>
            <w:tcW w:w="607" w:type="pct"/>
            <w:vAlign w:val="bottom"/>
          </w:tcPr>
          <w:p w14:paraId="00888247" w14:textId="77777777" w:rsidR="00794432" w:rsidRPr="00736C15" w:rsidDel="00561A80" w:rsidRDefault="00794432" w:rsidP="00D707D6">
            <w:pPr>
              <w:tabs>
                <w:tab w:val="right" w:pos="1202"/>
              </w:tabs>
              <w:jc w:val="right"/>
              <w:outlineLvl w:val="0"/>
              <w:rPr>
                <w:rFonts w:ascii="Arial" w:eastAsia="Calibri" w:hAnsi="Arial" w:cs="Arial"/>
                <w:color w:val="000000"/>
                <w:spacing w:val="-2"/>
                <w:sz w:val="17"/>
                <w:szCs w:val="17"/>
              </w:rPr>
            </w:pPr>
          </w:p>
        </w:tc>
      </w:tr>
      <w:tr w:rsidR="00794432" w:rsidRPr="00736C15" w14:paraId="4F26FF33" w14:textId="77777777" w:rsidTr="00D707D6">
        <w:trPr>
          <w:trHeight w:hRule="exact" w:val="227"/>
          <w:jc w:val="center"/>
        </w:trPr>
        <w:tc>
          <w:tcPr>
            <w:tcW w:w="3194" w:type="pct"/>
            <w:shd w:val="clear" w:color="auto" w:fill="auto"/>
            <w:vAlign w:val="bottom"/>
          </w:tcPr>
          <w:p w14:paraId="1ADD5328" w14:textId="77777777" w:rsidR="00794432" w:rsidRPr="00736C15" w:rsidRDefault="00794432" w:rsidP="00D707D6">
            <w:pPr>
              <w:tabs>
                <w:tab w:val="right" w:pos="1202"/>
              </w:tabs>
              <w:outlineLvl w:val="0"/>
              <w:rPr>
                <w:rFonts w:ascii="Arial" w:eastAsia="Calibri" w:hAnsi="Arial" w:cs="Arial"/>
                <w:color w:val="000000"/>
                <w:spacing w:val="-2"/>
                <w:sz w:val="17"/>
                <w:szCs w:val="17"/>
              </w:rPr>
            </w:pPr>
            <w:r w:rsidRPr="00736C15">
              <w:rPr>
                <w:rFonts w:ascii="Arial" w:eastAsia="Calibri" w:hAnsi="Arial" w:cs="Arial"/>
                <w:color w:val="000000"/>
                <w:spacing w:val="-2"/>
                <w:sz w:val="17"/>
                <w:szCs w:val="17"/>
              </w:rPr>
              <w:t>Obveznice Republike Hrvatske</w:t>
            </w:r>
          </w:p>
        </w:tc>
        <w:tc>
          <w:tcPr>
            <w:tcW w:w="555" w:type="pct"/>
            <w:tcBorders>
              <w:top w:val="nil"/>
              <w:left w:val="nil"/>
              <w:bottom w:val="nil"/>
              <w:right w:val="nil"/>
            </w:tcBorders>
            <w:shd w:val="clear" w:color="auto" w:fill="auto"/>
            <w:vAlign w:val="bottom"/>
          </w:tcPr>
          <w:p w14:paraId="37CBDE5D" w14:textId="77777777" w:rsidR="00794432" w:rsidRPr="00736C15" w:rsidRDefault="00794432" w:rsidP="00D707D6">
            <w:pPr>
              <w:tabs>
                <w:tab w:val="right" w:pos="1202"/>
              </w:tabs>
              <w:jc w:val="right"/>
              <w:outlineLvl w:val="0"/>
              <w:rPr>
                <w:rFonts w:ascii="Arial" w:eastAsia="Calibri" w:hAnsi="Arial" w:cs="Arial"/>
                <w:color w:val="000000"/>
                <w:spacing w:val="-2"/>
                <w:sz w:val="17"/>
                <w:szCs w:val="17"/>
              </w:rPr>
            </w:pPr>
            <w:r w:rsidRPr="00DF5C55">
              <w:rPr>
                <w:rFonts w:ascii="Arial" w:eastAsia="Calibri" w:hAnsi="Arial" w:cs="Arial"/>
                <w:color w:val="000000"/>
                <w:spacing w:val="-2"/>
                <w:sz w:val="17"/>
                <w:szCs w:val="17"/>
              </w:rPr>
              <w:t>185.225</w:t>
            </w:r>
          </w:p>
        </w:tc>
        <w:tc>
          <w:tcPr>
            <w:tcW w:w="644" w:type="pct"/>
            <w:tcBorders>
              <w:top w:val="nil"/>
              <w:left w:val="nil"/>
              <w:bottom w:val="nil"/>
              <w:right w:val="nil"/>
            </w:tcBorders>
            <w:shd w:val="clear" w:color="auto" w:fill="auto"/>
            <w:vAlign w:val="bottom"/>
          </w:tcPr>
          <w:p w14:paraId="231E7A27" w14:textId="77777777" w:rsidR="00794432" w:rsidRPr="00586B14" w:rsidRDefault="00794432" w:rsidP="00D707D6">
            <w:pPr>
              <w:tabs>
                <w:tab w:val="right" w:pos="1202"/>
              </w:tabs>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607" w:type="pct"/>
            <w:tcBorders>
              <w:top w:val="nil"/>
              <w:left w:val="nil"/>
              <w:bottom w:val="nil"/>
              <w:right w:val="nil"/>
            </w:tcBorders>
            <w:shd w:val="clear" w:color="auto" w:fill="auto"/>
            <w:vAlign w:val="bottom"/>
          </w:tcPr>
          <w:p w14:paraId="6340FC96" w14:textId="77777777" w:rsidR="00794432" w:rsidRPr="00586B14" w:rsidRDefault="00794432" w:rsidP="00D707D6">
            <w:pPr>
              <w:tabs>
                <w:tab w:val="right" w:pos="1202"/>
              </w:tabs>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r>
      <w:tr w:rsidR="00794432" w:rsidRPr="00736C15" w14:paraId="4471BD39" w14:textId="77777777" w:rsidTr="00D707D6">
        <w:trPr>
          <w:trHeight w:hRule="exact" w:val="227"/>
          <w:jc w:val="center"/>
        </w:trPr>
        <w:tc>
          <w:tcPr>
            <w:tcW w:w="3194" w:type="pct"/>
            <w:shd w:val="clear" w:color="auto" w:fill="auto"/>
            <w:vAlign w:val="bottom"/>
          </w:tcPr>
          <w:p w14:paraId="26193945" w14:textId="77777777" w:rsidR="00794432" w:rsidRPr="00736C15" w:rsidRDefault="00794432" w:rsidP="00D707D6">
            <w:pPr>
              <w:tabs>
                <w:tab w:val="right" w:pos="1202"/>
              </w:tabs>
              <w:outlineLvl w:val="0"/>
              <w:rPr>
                <w:rFonts w:ascii="Arial" w:eastAsia="Calibri" w:hAnsi="Arial" w:cs="Arial"/>
                <w:color w:val="000000"/>
                <w:spacing w:val="-2"/>
                <w:sz w:val="17"/>
                <w:szCs w:val="17"/>
              </w:rPr>
            </w:pPr>
            <w:r w:rsidRPr="00736C15">
              <w:rPr>
                <w:rFonts w:ascii="Arial" w:eastAsia="Calibri" w:hAnsi="Arial" w:cs="Arial"/>
                <w:color w:val="000000"/>
                <w:spacing w:val="-2"/>
                <w:sz w:val="17"/>
                <w:szCs w:val="17"/>
              </w:rPr>
              <w:t>Obveznice trgovačkih društava</w:t>
            </w:r>
          </w:p>
        </w:tc>
        <w:tc>
          <w:tcPr>
            <w:tcW w:w="555" w:type="pct"/>
            <w:tcBorders>
              <w:top w:val="nil"/>
              <w:left w:val="nil"/>
              <w:bottom w:val="nil"/>
              <w:right w:val="nil"/>
            </w:tcBorders>
            <w:shd w:val="clear" w:color="auto" w:fill="auto"/>
            <w:vAlign w:val="bottom"/>
          </w:tcPr>
          <w:p w14:paraId="30B6DB91" w14:textId="77777777" w:rsidR="00794432" w:rsidRPr="00736C15" w:rsidRDefault="00794432" w:rsidP="00D707D6">
            <w:pPr>
              <w:tabs>
                <w:tab w:val="right" w:pos="1202"/>
              </w:tabs>
              <w:jc w:val="right"/>
              <w:outlineLvl w:val="0"/>
              <w:rPr>
                <w:rFonts w:ascii="Arial" w:eastAsia="Calibri" w:hAnsi="Arial" w:cs="Arial"/>
                <w:color w:val="000000"/>
                <w:spacing w:val="-2"/>
                <w:sz w:val="17"/>
                <w:szCs w:val="17"/>
              </w:rPr>
            </w:pPr>
            <w:r w:rsidRPr="00DF5C55">
              <w:rPr>
                <w:rFonts w:ascii="Arial" w:eastAsia="Calibri" w:hAnsi="Arial" w:cs="Arial"/>
                <w:color w:val="000000"/>
                <w:spacing w:val="-2"/>
                <w:sz w:val="17"/>
                <w:szCs w:val="17"/>
              </w:rPr>
              <w:t>303</w:t>
            </w:r>
          </w:p>
        </w:tc>
        <w:tc>
          <w:tcPr>
            <w:tcW w:w="644" w:type="pct"/>
            <w:tcBorders>
              <w:top w:val="nil"/>
              <w:left w:val="nil"/>
              <w:bottom w:val="nil"/>
              <w:right w:val="nil"/>
            </w:tcBorders>
            <w:shd w:val="clear" w:color="auto" w:fill="auto"/>
            <w:vAlign w:val="bottom"/>
          </w:tcPr>
          <w:p w14:paraId="721218CC" w14:textId="77777777" w:rsidR="00794432" w:rsidRPr="00586B14" w:rsidRDefault="00794432" w:rsidP="00D707D6">
            <w:pPr>
              <w:tabs>
                <w:tab w:val="right" w:pos="1202"/>
              </w:tabs>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607" w:type="pct"/>
            <w:tcBorders>
              <w:top w:val="nil"/>
              <w:left w:val="nil"/>
              <w:bottom w:val="nil"/>
              <w:right w:val="nil"/>
            </w:tcBorders>
            <w:shd w:val="clear" w:color="auto" w:fill="auto"/>
            <w:vAlign w:val="bottom"/>
          </w:tcPr>
          <w:p w14:paraId="3B4E431F" w14:textId="77777777" w:rsidR="00794432" w:rsidRPr="00586B14" w:rsidRDefault="00794432" w:rsidP="00D707D6">
            <w:pPr>
              <w:tabs>
                <w:tab w:val="right" w:pos="1202"/>
              </w:tabs>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r>
      <w:tr w:rsidR="00794432" w:rsidRPr="00736C15" w14:paraId="0F077E24" w14:textId="77777777" w:rsidTr="00D707D6">
        <w:trPr>
          <w:trHeight w:hRule="exact" w:val="227"/>
          <w:jc w:val="center"/>
        </w:trPr>
        <w:tc>
          <w:tcPr>
            <w:tcW w:w="3194" w:type="pct"/>
            <w:shd w:val="clear" w:color="auto" w:fill="auto"/>
            <w:vAlign w:val="bottom"/>
          </w:tcPr>
          <w:p w14:paraId="5A75200D" w14:textId="77777777" w:rsidR="00794432" w:rsidRPr="00736C15" w:rsidRDefault="00794432" w:rsidP="00D707D6">
            <w:pPr>
              <w:tabs>
                <w:tab w:val="right" w:pos="1202"/>
              </w:tabs>
              <w:outlineLvl w:val="0"/>
              <w:rPr>
                <w:rFonts w:ascii="Arial" w:eastAsia="Calibri" w:hAnsi="Arial" w:cs="Arial"/>
                <w:color w:val="000000"/>
                <w:spacing w:val="-2"/>
                <w:sz w:val="17"/>
                <w:szCs w:val="17"/>
              </w:rPr>
            </w:pPr>
            <w:r w:rsidRPr="00736C15">
              <w:rPr>
                <w:rFonts w:ascii="Arial" w:eastAsia="Calibri" w:hAnsi="Arial" w:cs="Arial"/>
                <w:color w:val="000000"/>
                <w:spacing w:val="-2"/>
                <w:sz w:val="17"/>
                <w:szCs w:val="17"/>
              </w:rPr>
              <w:t>Trezorski zapisi Ministarstva financija</w:t>
            </w:r>
          </w:p>
        </w:tc>
        <w:tc>
          <w:tcPr>
            <w:tcW w:w="555" w:type="pct"/>
            <w:tcBorders>
              <w:top w:val="nil"/>
              <w:left w:val="nil"/>
              <w:bottom w:val="nil"/>
              <w:right w:val="nil"/>
            </w:tcBorders>
            <w:shd w:val="clear" w:color="auto" w:fill="auto"/>
            <w:vAlign w:val="bottom"/>
          </w:tcPr>
          <w:p w14:paraId="5A5B8596" w14:textId="77777777" w:rsidR="00794432" w:rsidRPr="00736C15" w:rsidRDefault="00794432" w:rsidP="00D707D6">
            <w:pPr>
              <w:tabs>
                <w:tab w:val="right" w:pos="1202"/>
              </w:tabs>
              <w:jc w:val="right"/>
              <w:outlineLvl w:val="0"/>
              <w:rPr>
                <w:rFonts w:ascii="Arial" w:eastAsia="Calibri" w:hAnsi="Arial" w:cs="Arial"/>
                <w:color w:val="000000"/>
                <w:spacing w:val="-2"/>
                <w:sz w:val="17"/>
                <w:szCs w:val="17"/>
              </w:rPr>
            </w:pPr>
            <w:r w:rsidRPr="00DF5C55">
              <w:rPr>
                <w:rFonts w:ascii="Arial" w:eastAsia="Calibri" w:hAnsi="Arial" w:cs="Arial"/>
                <w:color w:val="000000"/>
                <w:spacing w:val="-2"/>
                <w:sz w:val="17"/>
                <w:szCs w:val="17"/>
              </w:rPr>
              <w:t>38.451</w:t>
            </w:r>
          </w:p>
        </w:tc>
        <w:tc>
          <w:tcPr>
            <w:tcW w:w="644" w:type="pct"/>
            <w:tcBorders>
              <w:top w:val="nil"/>
              <w:left w:val="nil"/>
              <w:bottom w:val="nil"/>
              <w:right w:val="nil"/>
            </w:tcBorders>
            <w:shd w:val="clear" w:color="auto" w:fill="auto"/>
            <w:vAlign w:val="bottom"/>
          </w:tcPr>
          <w:p w14:paraId="0420B6CB" w14:textId="77777777" w:rsidR="00794432" w:rsidRPr="00586B14" w:rsidRDefault="00794432" w:rsidP="00D707D6">
            <w:pPr>
              <w:tabs>
                <w:tab w:val="right" w:pos="1202"/>
              </w:tabs>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607" w:type="pct"/>
            <w:tcBorders>
              <w:top w:val="nil"/>
              <w:left w:val="nil"/>
              <w:bottom w:val="nil"/>
              <w:right w:val="nil"/>
            </w:tcBorders>
            <w:shd w:val="clear" w:color="auto" w:fill="auto"/>
            <w:vAlign w:val="bottom"/>
          </w:tcPr>
          <w:p w14:paraId="7611416A" w14:textId="77777777" w:rsidR="00794432" w:rsidRPr="00586B14" w:rsidRDefault="00794432" w:rsidP="00D707D6">
            <w:pPr>
              <w:tabs>
                <w:tab w:val="right" w:pos="1202"/>
              </w:tabs>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r>
      <w:tr w:rsidR="00794432" w:rsidRPr="00736C15" w14:paraId="69ABEA11" w14:textId="77777777" w:rsidTr="00D707D6">
        <w:trPr>
          <w:trHeight w:hRule="exact" w:val="227"/>
          <w:jc w:val="center"/>
        </w:trPr>
        <w:tc>
          <w:tcPr>
            <w:tcW w:w="3194" w:type="pct"/>
            <w:shd w:val="clear" w:color="auto" w:fill="auto"/>
            <w:vAlign w:val="bottom"/>
          </w:tcPr>
          <w:p w14:paraId="2D7EDDA8" w14:textId="77777777" w:rsidR="00794432" w:rsidRPr="00736C15" w:rsidRDefault="00794432" w:rsidP="00D707D6">
            <w:pPr>
              <w:tabs>
                <w:tab w:val="right" w:pos="1202"/>
              </w:tabs>
              <w:outlineLvl w:val="0"/>
              <w:rPr>
                <w:rFonts w:ascii="Arial" w:eastAsia="Calibri" w:hAnsi="Arial" w:cs="Arial"/>
                <w:color w:val="000000"/>
                <w:spacing w:val="-2"/>
                <w:sz w:val="17"/>
                <w:szCs w:val="17"/>
              </w:rPr>
            </w:pPr>
            <w:r w:rsidRPr="00736C15">
              <w:rPr>
                <w:rFonts w:ascii="Arial" w:eastAsia="Calibri" w:hAnsi="Arial" w:cs="Arial"/>
                <w:color w:val="000000"/>
                <w:spacing w:val="-2"/>
                <w:sz w:val="17"/>
                <w:szCs w:val="17"/>
              </w:rPr>
              <w:t xml:space="preserve">Obračunata kamata </w:t>
            </w:r>
          </w:p>
        </w:tc>
        <w:tc>
          <w:tcPr>
            <w:tcW w:w="555" w:type="pct"/>
            <w:tcBorders>
              <w:top w:val="nil"/>
              <w:left w:val="nil"/>
              <w:bottom w:val="nil"/>
              <w:right w:val="nil"/>
            </w:tcBorders>
            <w:shd w:val="clear" w:color="auto" w:fill="auto"/>
            <w:vAlign w:val="bottom"/>
          </w:tcPr>
          <w:p w14:paraId="770A40CF" w14:textId="77777777" w:rsidR="00794432" w:rsidRPr="00736C15" w:rsidRDefault="00794432" w:rsidP="00D707D6">
            <w:pPr>
              <w:tabs>
                <w:tab w:val="right" w:pos="1202"/>
              </w:tabs>
              <w:jc w:val="right"/>
              <w:outlineLvl w:val="0"/>
              <w:rPr>
                <w:rFonts w:ascii="Arial" w:eastAsia="Calibri" w:hAnsi="Arial" w:cs="Arial"/>
                <w:color w:val="000000"/>
                <w:spacing w:val="-2"/>
                <w:sz w:val="17"/>
                <w:szCs w:val="17"/>
              </w:rPr>
            </w:pPr>
            <w:r w:rsidRPr="00DF5C55">
              <w:rPr>
                <w:rFonts w:ascii="Arial" w:eastAsia="Calibri" w:hAnsi="Arial" w:cs="Arial"/>
                <w:color w:val="000000"/>
                <w:spacing w:val="-2"/>
                <w:sz w:val="17"/>
                <w:szCs w:val="17"/>
              </w:rPr>
              <w:t>3.177</w:t>
            </w:r>
          </w:p>
        </w:tc>
        <w:tc>
          <w:tcPr>
            <w:tcW w:w="644" w:type="pct"/>
            <w:tcBorders>
              <w:top w:val="nil"/>
              <w:left w:val="nil"/>
              <w:bottom w:val="nil"/>
              <w:right w:val="nil"/>
            </w:tcBorders>
            <w:shd w:val="clear" w:color="auto" w:fill="auto"/>
            <w:vAlign w:val="bottom"/>
          </w:tcPr>
          <w:p w14:paraId="5F6529AD" w14:textId="77777777" w:rsidR="00794432" w:rsidRPr="00586B14" w:rsidRDefault="00794432" w:rsidP="00D707D6">
            <w:pPr>
              <w:tabs>
                <w:tab w:val="right" w:pos="1202"/>
              </w:tabs>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607" w:type="pct"/>
            <w:tcBorders>
              <w:top w:val="nil"/>
              <w:left w:val="nil"/>
              <w:bottom w:val="nil"/>
              <w:right w:val="nil"/>
            </w:tcBorders>
            <w:shd w:val="clear" w:color="auto" w:fill="auto"/>
            <w:vAlign w:val="bottom"/>
          </w:tcPr>
          <w:p w14:paraId="46FCC204" w14:textId="77777777" w:rsidR="00794432" w:rsidRPr="00586B14" w:rsidRDefault="00794432" w:rsidP="00D707D6">
            <w:pPr>
              <w:tabs>
                <w:tab w:val="right" w:pos="1202"/>
              </w:tabs>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r>
      <w:tr w:rsidR="00794432" w:rsidRPr="00736C15" w14:paraId="2208F2C3" w14:textId="77777777" w:rsidTr="00D707D6">
        <w:trPr>
          <w:trHeight w:hRule="exact" w:val="249"/>
          <w:jc w:val="center"/>
        </w:trPr>
        <w:tc>
          <w:tcPr>
            <w:tcW w:w="3194" w:type="pct"/>
            <w:shd w:val="clear" w:color="auto" w:fill="auto"/>
            <w:vAlign w:val="bottom"/>
          </w:tcPr>
          <w:p w14:paraId="033F8D7C" w14:textId="77777777" w:rsidR="00794432" w:rsidRPr="00736C15" w:rsidRDefault="00794432" w:rsidP="00D707D6">
            <w:pPr>
              <w:tabs>
                <w:tab w:val="right" w:pos="1202"/>
              </w:tabs>
              <w:outlineLvl w:val="0"/>
              <w:rPr>
                <w:rFonts w:ascii="Arial" w:eastAsia="Calibri" w:hAnsi="Arial" w:cs="Arial"/>
                <w:b/>
                <w:i/>
                <w:color w:val="000000"/>
                <w:spacing w:val="-2"/>
                <w:sz w:val="17"/>
                <w:szCs w:val="17"/>
              </w:rPr>
            </w:pPr>
            <w:r w:rsidRPr="00736C15">
              <w:rPr>
                <w:rFonts w:ascii="Arial" w:eastAsia="Calibri" w:hAnsi="Arial" w:cs="Arial"/>
                <w:b/>
                <w:i/>
                <w:color w:val="000000"/>
                <w:spacing w:val="-2"/>
                <w:sz w:val="17"/>
                <w:szCs w:val="17"/>
              </w:rPr>
              <w:t>Dužnički vrijednosni papiri koji ne kotiraju:</w:t>
            </w:r>
          </w:p>
        </w:tc>
        <w:tc>
          <w:tcPr>
            <w:tcW w:w="555" w:type="pct"/>
            <w:tcBorders>
              <w:top w:val="nil"/>
              <w:left w:val="nil"/>
              <w:bottom w:val="nil"/>
              <w:right w:val="nil"/>
            </w:tcBorders>
            <w:shd w:val="clear" w:color="auto" w:fill="auto"/>
            <w:vAlign w:val="bottom"/>
          </w:tcPr>
          <w:p w14:paraId="38237276" w14:textId="77777777" w:rsidR="00794432" w:rsidRPr="00736C15" w:rsidRDefault="00794432" w:rsidP="00D707D6">
            <w:pPr>
              <w:tabs>
                <w:tab w:val="right" w:pos="1202"/>
              </w:tabs>
              <w:jc w:val="right"/>
              <w:outlineLvl w:val="0"/>
              <w:rPr>
                <w:rFonts w:ascii="Arial" w:eastAsia="Calibri" w:hAnsi="Arial" w:cs="Arial"/>
                <w:color w:val="000000"/>
                <w:spacing w:val="-2"/>
                <w:sz w:val="17"/>
                <w:szCs w:val="17"/>
              </w:rPr>
            </w:pPr>
          </w:p>
        </w:tc>
        <w:tc>
          <w:tcPr>
            <w:tcW w:w="644" w:type="pct"/>
            <w:tcBorders>
              <w:top w:val="nil"/>
              <w:left w:val="nil"/>
              <w:bottom w:val="nil"/>
              <w:right w:val="nil"/>
            </w:tcBorders>
            <w:shd w:val="clear" w:color="auto" w:fill="auto"/>
            <w:vAlign w:val="bottom"/>
          </w:tcPr>
          <w:p w14:paraId="42EAFD59" w14:textId="77777777" w:rsidR="00794432" w:rsidRPr="00736C15" w:rsidRDefault="00794432" w:rsidP="00D707D6">
            <w:pPr>
              <w:tabs>
                <w:tab w:val="right" w:pos="1202"/>
              </w:tabs>
              <w:jc w:val="right"/>
              <w:outlineLvl w:val="0"/>
              <w:rPr>
                <w:rFonts w:ascii="Arial" w:eastAsia="Calibri" w:hAnsi="Arial" w:cs="Arial"/>
                <w:color w:val="000000"/>
                <w:spacing w:val="-2"/>
                <w:sz w:val="17"/>
                <w:szCs w:val="17"/>
              </w:rPr>
            </w:pPr>
          </w:p>
        </w:tc>
        <w:tc>
          <w:tcPr>
            <w:tcW w:w="607" w:type="pct"/>
            <w:tcBorders>
              <w:top w:val="nil"/>
              <w:left w:val="nil"/>
              <w:bottom w:val="nil"/>
              <w:right w:val="nil"/>
            </w:tcBorders>
            <w:shd w:val="clear" w:color="auto" w:fill="auto"/>
            <w:vAlign w:val="bottom"/>
          </w:tcPr>
          <w:p w14:paraId="4C062010" w14:textId="77777777" w:rsidR="00794432" w:rsidRPr="00736C15" w:rsidRDefault="00794432" w:rsidP="00D707D6">
            <w:pPr>
              <w:tabs>
                <w:tab w:val="right" w:pos="1202"/>
              </w:tabs>
              <w:jc w:val="right"/>
              <w:outlineLvl w:val="0"/>
              <w:rPr>
                <w:rFonts w:ascii="Arial" w:eastAsia="Calibri" w:hAnsi="Arial" w:cs="Arial"/>
                <w:color w:val="000000"/>
                <w:spacing w:val="-2"/>
                <w:sz w:val="17"/>
                <w:szCs w:val="17"/>
              </w:rPr>
            </w:pPr>
          </w:p>
        </w:tc>
      </w:tr>
      <w:tr w:rsidR="00794432" w:rsidRPr="00736C15" w14:paraId="6C304BC0" w14:textId="77777777" w:rsidTr="00D707D6">
        <w:trPr>
          <w:trHeight w:hRule="exact" w:val="227"/>
          <w:jc w:val="center"/>
        </w:trPr>
        <w:tc>
          <w:tcPr>
            <w:tcW w:w="3194" w:type="pct"/>
            <w:shd w:val="clear" w:color="auto" w:fill="auto"/>
            <w:vAlign w:val="bottom"/>
          </w:tcPr>
          <w:p w14:paraId="4C55DA5C" w14:textId="77777777" w:rsidR="00794432" w:rsidRPr="00736C15" w:rsidRDefault="00794432" w:rsidP="00D707D6">
            <w:pPr>
              <w:tabs>
                <w:tab w:val="right" w:pos="1202"/>
              </w:tabs>
              <w:outlineLvl w:val="0"/>
              <w:rPr>
                <w:rFonts w:ascii="Arial" w:eastAsia="Calibri" w:hAnsi="Arial" w:cs="Arial"/>
                <w:color w:val="000000"/>
                <w:spacing w:val="-2"/>
                <w:sz w:val="17"/>
                <w:szCs w:val="17"/>
              </w:rPr>
            </w:pPr>
            <w:r w:rsidRPr="00736C15">
              <w:rPr>
                <w:rFonts w:ascii="Arial" w:eastAsia="Calibri" w:hAnsi="Arial" w:cs="Arial"/>
                <w:color w:val="000000"/>
                <w:spacing w:val="-2"/>
                <w:sz w:val="17"/>
                <w:szCs w:val="17"/>
              </w:rPr>
              <w:t xml:space="preserve">Obveznice trgovačkih društava </w:t>
            </w:r>
          </w:p>
        </w:tc>
        <w:tc>
          <w:tcPr>
            <w:tcW w:w="555" w:type="pct"/>
            <w:tcBorders>
              <w:top w:val="nil"/>
              <w:left w:val="nil"/>
              <w:bottom w:val="nil"/>
              <w:right w:val="nil"/>
            </w:tcBorders>
            <w:shd w:val="clear" w:color="auto" w:fill="auto"/>
            <w:vAlign w:val="bottom"/>
          </w:tcPr>
          <w:p w14:paraId="14A6EC1E" w14:textId="77777777" w:rsidR="00794432" w:rsidRPr="00736C15" w:rsidRDefault="00794432" w:rsidP="00D707D6">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44" w:type="pct"/>
            <w:tcBorders>
              <w:top w:val="nil"/>
              <w:left w:val="nil"/>
              <w:bottom w:val="nil"/>
              <w:right w:val="nil"/>
            </w:tcBorders>
            <w:shd w:val="clear" w:color="auto" w:fill="auto"/>
            <w:vAlign w:val="bottom"/>
          </w:tcPr>
          <w:p w14:paraId="62BCF591" w14:textId="77777777" w:rsidR="00794432" w:rsidRPr="00736C15" w:rsidRDefault="00794432" w:rsidP="00D707D6">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07" w:type="pct"/>
            <w:tcBorders>
              <w:top w:val="nil"/>
              <w:left w:val="nil"/>
              <w:bottom w:val="nil"/>
              <w:right w:val="nil"/>
            </w:tcBorders>
            <w:shd w:val="clear" w:color="auto" w:fill="auto"/>
            <w:vAlign w:val="bottom"/>
          </w:tcPr>
          <w:p w14:paraId="06259E23" w14:textId="77777777" w:rsidR="00794432" w:rsidRPr="00F959D0" w:rsidRDefault="00794432" w:rsidP="00D707D6">
            <w:pPr>
              <w:tabs>
                <w:tab w:val="right" w:pos="1202"/>
              </w:tabs>
              <w:jc w:val="right"/>
              <w:outlineLvl w:val="0"/>
              <w:rPr>
                <w:rFonts w:ascii="Arial" w:eastAsia="Calibri" w:hAnsi="Arial" w:cs="Arial"/>
                <w:color w:val="000000"/>
                <w:sz w:val="17"/>
                <w:szCs w:val="17"/>
              </w:rPr>
            </w:pPr>
            <w:r w:rsidRPr="00DF5C55">
              <w:rPr>
                <w:rFonts w:ascii="Arial" w:eastAsia="Calibri" w:hAnsi="Arial" w:cs="Arial"/>
                <w:color w:val="000000"/>
                <w:sz w:val="17"/>
                <w:szCs w:val="17"/>
              </w:rPr>
              <w:t>81</w:t>
            </w:r>
          </w:p>
        </w:tc>
      </w:tr>
      <w:tr w:rsidR="00794432" w:rsidRPr="00736C15" w14:paraId="76E033E5" w14:textId="77777777" w:rsidTr="00D707D6">
        <w:trPr>
          <w:trHeight w:hRule="exact" w:val="227"/>
          <w:jc w:val="center"/>
        </w:trPr>
        <w:tc>
          <w:tcPr>
            <w:tcW w:w="3194" w:type="pct"/>
            <w:shd w:val="clear" w:color="auto" w:fill="auto"/>
            <w:vAlign w:val="bottom"/>
          </w:tcPr>
          <w:p w14:paraId="13D6F6F2" w14:textId="77777777" w:rsidR="00794432" w:rsidRPr="00736C15" w:rsidRDefault="00794432" w:rsidP="00D707D6">
            <w:pPr>
              <w:tabs>
                <w:tab w:val="right" w:pos="1202"/>
              </w:tabs>
              <w:outlineLvl w:val="0"/>
              <w:rPr>
                <w:rFonts w:ascii="Arial" w:eastAsia="Calibri" w:hAnsi="Arial" w:cs="Arial"/>
                <w:color w:val="000000"/>
                <w:spacing w:val="-2"/>
                <w:sz w:val="17"/>
                <w:szCs w:val="17"/>
              </w:rPr>
            </w:pPr>
            <w:r w:rsidRPr="00736C15">
              <w:rPr>
                <w:rFonts w:ascii="Arial" w:eastAsia="Calibri" w:hAnsi="Arial" w:cs="Arial"/>
                <w:color w:val="000000"/>
                <w:spacing w:val="-2"/>
                <w:sz w:val="17"/>
                <w:szCs w:val="17"/>
              </w:rPr>
              <w:t>Zamjenjive obveznice CB</w:t>
            </w:r>
          </w:p>
        </w:tc>
        <w:tc>
          <w:tcPr>
            <w:tcW w:w="555" w:type="pct"/>
            <w:tcBorders>
              <w:top w:val="nil"/>
              <w:left w:val="nil"/>
              <w:bottom w:val="nil"/>
              <w:right w:val="nil"/>
            </w:tcBorders>
            <w:shd w:val="clear" w:color="auto" w:fill="auto"/>
            <w:vAlign w:val="bottom"/>
          </w:tcPr>
          <w:p w14:paraId="38CC4E7F" w14:textId="77777777" w:rsidR="00794432" w:rsidRPr="00736C15" w:rsidRDefault="00794432" w:rsidP="00D707D6">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44" w:type="pct"/>
            <w:tcBorders>
              <w:top w:val="nil"/>
              <w:left w:val="nil"/>
              <w:bottom w:val="nil"/>
              <w:right w:val="nil"/>
            </w:tcBorders>
            <w:shd w:val="clear" w:color="auto" w:fill="auto"/>
            <w:vAlign w:val="bottom"/>
          </w:tcPr>
          <w:p w14:paraId="10EC3AE7" w14:textId="77777777" w:rsidR="00794432" w:rsidRPr="00736C15" w:rsidRDefault="00794432" w:rsidP="00D707D6">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07" w:type="pct"/>
            <w:tcBorders>
              <w:top w:val="nil"/>
              <w:left w:val="nil"/>
              <w:bottom w:val="nil"/>
              <w:right w:val="nil"/>
            </w:tcBorders>
            <w:shd w:val="clear" w:color="auto" w:fill="auto"/>
            <w:vAlign w:val="bottom"/>
          </w:tcPr>
          <w:p w14:paraId="519C5E73" w14:textId="77777777" w:rsidR="00794432" w:rsidRPr="00F959D0" w:rsidRDefault="00794432" w:rsidP="00D707D6">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195</w:t>
            </w:r>
          </w:p>
        </w:tc>
      </w:tr>
      <w:tr w:rsidR="00794432" w:rsidRPr="00736C15" w14:paraId="1C46931F" w14:textId="77777777" w:rsidTr="00D707D6">
        <w:trPr>
          <w:trHeight w:hRule="exact" w:val="227"/>
          <w:jc w:val="center"/>
        </w:trPr>
        <w:tc>
          <w:tcPr>
            <w:tcW w:w="3194" w:type="pct"/>
            <w:shd w:val="clear" w:color="auto" w:fill="auto"/>
            <w:vAlign w:val="bottom"/>
          </w:tcPr>
          <w:p w14:paraId="1233DB65" w14:textId="77777777" w:rsidR="00794432" w:rsidRPr="00736C15" w:rsidRDefault="00794432" w:rsidP="00D707D6">
            <w:pPr>
              <w:tabs>
                <w:tab w:val="right" w:pos="1202"/>
              </w:tabs>
              <w:outlineLvl w:val="0"/>
              <w:rPr>
                <w:rFonts w:ascii="Arial" w:eastAsia="Calibri" w:hAnsi="Arial" w:cs="Arial"/>
                <w:color w:val="000000"/>
                <w:spacing w:val="-2"/>
                <w:sz w:val="17"/>
                <w:szCs w:val="17"/>
              </w:rPr>
            </w:pPr>
            <w:r w:rsidRPr="00736C15">
              <w:rPr>
                <w:rFonts w:ascii="Arial" w:eastAsia="Calibri" w:hAnsi="Arial" w:cs="Arial"/>
                <w:color w:val="000000"/>
                <w:spacing w:val="-2"/>
                <w:sz w:val="17"/>
                <w:szCs w:val="17"/>
              </w:rPr>
              <w:t>Obračunata kamata</w:t>
            </w:r>
          </w:p>
        </w:tc>
        <w:tc>
          <w:tcPr>
            <w:tcW w:w="555" w:type="pct"/>
            <w:tcBorders>
              <w:top w:val="nil"/>
              <w:left w:val="nil"/>
              <w:bottom w:val="nil"/>
              <w:right w:val="nil"/>
            </w:tcBorders>
            <w:shd w:val="clear" w:color="auto" w:fill="auto"/>
            <w:vAlign w:val="bottom"/>
          </w:tcPr>
          <w:p w14:paraId="6A746743" w14:textId="77777777" w:rsidR="00794432" w:rsidRPr="00736C15" w:rsidRDefault="00794432" w:rsidP="00D707D6">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44" w:type="pct"/>
            <w:tcBorders>
              <w:top w:val="nil"/>
              <w:left w:val="nil"/>
              <w:bottom w:val="nil"/>
              <w:right w:val="nil"/>
            </w:tcBorders>
            <w:shd w:val="clear" w:color="auto" w:fill="auto"/>
            <w:vAlign w:val="bottom"/>
          </w:tcPr>
          <w:p w14:paraId="0EAA70AD" w14:textId="77777777" w:rsidR="00794432" w:rsidRPr="00736C15" w:rsidRDefault="00794432" w:rsidP="00D707D6">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07" w:type="pct"/>
            <w:tcBorders>
              <w:top w:val="nil"/>
              <w:left w:val="nil"/>
              <w:bottom w:val="single" w:sz="4" w:space="0" w:color="auto"/>
              <w:right w:val="nil"/>
            </w:tcBorders>
            <w:shd w:val="clear" w:color="auto" w:fill="auto"/>
            <w:vAlign w:val="bottom"/>
          </w:tcPr>
          <w:p w14:paraId="3BB14F93" w14:textId="77777777" w:rsidR="00794432" w:rsidRPr="00F959D0" w:rsidRDefault="00794432" w:rsidP="00D707D6">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2</w:t>
            </w:r>
          </w:p>
        </w:tc>
      </w:tr>
      <w:tr w:rsidR="00794432" w:rsidRPr="00736C15" w14:paraId="21B9AEC1" w14:textId="77777777" w:rsidTr="00D707D6">
        <w:trPr>
          <w:trHeight w:val="259"/>
          <w:jc w:val="center"/>
        </w:trPr>
        <w:tc>
          <w:tcPr>
            <w:tcW w:w="3194" w:type="pct"/>
            <w:shd w:val="clear" w:color="auto" w:fill="auto"/>
            <w:vAlign w:val="bottom"/>
          </w:tcPr>
          <w:p w14:paraId="5A86C222" w14:textId="77777777" w:rsidR="00794432" w:rsidRPr="00736C15" w:rsidRDefault="00794432" w:rsidP="00D707D6">
            <w:pPr>
              <w:tabs>
                <w:tab w:val="right" w:pos="1202"/>
              </w:tabs>
              <w:outlineLvl w:val="0"/>
              <w:rPr>
                <w:rFonts w:ascii="Arial" w:eastAsia="Calibri" w:hAnsi="Arial" w:cs="Arial"/>
                <w:b/>
                <w:color w:val="000000"/>
                <w:spacing w:val="-2"/>
                <w:sz w:val="17"/>
                <w:szCs w:val="17"/>
              </w:rPr>
            </w:pPr>
            <w:r w:rsidRPr="00736C15">
              <w:rPr>
                <w:rFonts w:ascii="Arial" w:eastAsia="Calibri" w:hAnsi="Arial" w:cs="Arial"/>
                <w:b/>
                <w:color w:val="000000"/>
                <w:spacing w:val="-2"/>
                <w:sz w:val="17"/>
                <w:szCs w:val="17"/>
              </w:rPr>
              <w:t>Ukupno dužnički vrijednosni papiri</w:t>
            </w:r>
          </w:p>
        </w:tc>
        <w:tc>
          <w:tcPr>
            <w:tcW w:w="555" w:type="pct"/>
            <w:tcBorders>
              <w:top w:val="single" w:sz="4" w:space="0" w:color="auto"/>
              <w:left w:val="nil"/>
              <w:bottom w:val="single" w:sz="12" w:space="0" w:color="auto"/>
              <w:right w:val="nil"/>
            </w:tcBorders>
            <w:shd w:val="clear" w:color="auto" w:fill="auto"/>
            <w:vAlign w:val="bottom"/>
          </w:tcPr>
          <w:p w14:paraId="7ED28331" w14:textId="77777777" w:rsidR="00794432" w:rsidRPr="00736C15" w:rsidRDefault="00794432" w:rsidP="00D707D6">
            <w:pPr>
              <w:tabs>
                <w:tab w:val="right" w:pos="1202"/>
              </w:tabs>
              <w:jc w:val="right"/>
              <w:outlineLvl w:val="0"/>
              <w:rPr>
                <w:rFonts w:ascii="Arial" w:eastAsia="Calibri" w:hAnsi="Arial" w:cs="Arial"/>
                <w:b/>
                <w:color w:val="000000"/>
                <w:spacing w:val="-2"/>
                <w:sz w:val="17"/>
                <w:szCs w:val="17"/>
                <w:lang w:eastAsia="hr-HR"/>
              </w:rPr>
            </w:pPr>
            <w:r w:rsidRPr="00DF5C55">
              <w:rPr>
                <w:rFonts w:ascii="Arial" w:eastAsia="Calibri" w:hAnsi="Arial" w:cs="Arial"/>
                <w:b/>
                <w:color w:val="000000"/>
                <w:spacing w:val="-2"/>
                <w:sz w:val="17"/>
                <w:szCs w:val="17"/>
                <w:lang w:eastAsia="hr-HR"/>
              </w:rPr>
              <w:t>227.156</w:t>
            </w:r>
          </w:p>
        </w:tc>
        <w:tc>
          <w:tcPr>
            <w:tcW w:w="644" w:type="pct"/>
            <w:tcBorders>
              <w:top w:val="single" w:sz="4" w:space="0" w:color="auto"/>
              <w:left w:val="nil"/>
              <w:bottom w:val="single" w:sz="12" w:space="0" w:color="auto"/>
              <w:right w:val="nil"/>
            </w:tcBorders>
            <w:shd w:val="clear" w:color="auto" w:fill="auto"/>
            <w:vAlign w:val="bottom"/>
          </w:tcPr>
          <w:p w14:paraId="6CFFDDC4" w14:textId="77777777" w:rsidR="00794432" w:rsidRPr="00736C15" w:rsidRDefault="00794432" w:rsidP="00D707D6">
            <w:pPr>
              <w:tabs>
                <w:tab w:val="right" w:pos="1202"/>
              </w:tabs>
              <w:jc w:val="right"/>
              <w:outlineLvl w:val="0"/>
              <w:rPr>
                <w:rFonts w:ascii="Arial" w:eastAsia="Calibri" w:hAnsi="Arial" w:cs="Arial"/>
                <w:b/>
                <w:color w:val="000000"/>
                <w:spacing w:val="-2"/>
                <w:sz w:val="17"/>
                <w:szCs w:val="17"/>
                <w:lang w:eastAsia="hr-HR"/>
              </w:rPr>
            </w:pPr>
            <w:r>
              <w:rPr>
                <w:rFonts w:ascii="Arial" w:eastAsia="Calibri" w:hAnsi="Arial" w:cs="Arial"/>
                <w:b/>
                <w:color w:val="000000"/>
                <w:spacing w:val="-2"/>
                <w:sz w:val="17"/>
                <w:szCs w:val="17"/>
                <w:lang w:eastAsia="hr-HR"/>
              </w:rPr>
              <w:t>-</w:t>
            </w:r>
          </w:p>
        </w:tc>
        <w:tc>
          <w:tcPr>
            <w:tcW w:w="607" w:type="pct"/>
            <w:tcBorders>
              <w:top w:val="single" w:sz="4" w:space="0" w:color="auto"/>
              <w:left w:val="nil"/>
              <w:bottom w:val="single" w:sz="12" w:space="0" w:color="auto"/>
              <w:right w:val="nil"/>
            </w:tcBorders>
            <w:shd w:val="clear" w:color="auto" w:fill="auto"/>
            <w:vAlign w:val="bottom"/>
          </w:tcPr>
          <w:p w14:paraId="2EEBA8DB" w14:textId="77777777" w:rsidR="00794432" w:rsidRPr="00736C15" w:rsidRDefault="00794432" w:rsidP="00D707D6">
            <w:pPr>
              <w:tabs>
                <w:tab w:val="right" w:pos="1202"/>
              </w:tabs>
              <w:jc w:val="right"/>
              <w:outlineLvl w:val="0"/>
              <w:rPr>
                <w:rFonts w:ascii="Arial" w:eastAsia="Calibri" w:hAnsi="Arial" w:cs="Arial"/>
                <w:b/>
                <w:color w:val="000000"/>
                <w:spacing w:val="-2"/>
                <w:sz w:val="17"/>
                <w:szCs w:val="17"/>
                <w:lang w:eastAsia="hr-HR"/>
              </w:rPr>
            </w:pPr>
            <w:r>
              <w:rPr>
                <w:rFonts w:ascii="Arial" w:eastAsia="Calibri" w:hAnsi="Arial" w:cs="Arial"/>
                <w:b/>
                <w:color w:val="000000"/>
                <w:spacing w:val="-2"/>
                <w:sz w:val="17"/>
                <w:szCs w:val="17"/>
                <w:lang w:eastAsia="hr-HR"/>
              </w:rPr>
              <w:t>278</w:t>
            </w:r>
          </w:p>
        </w:tc>
      </w:tr>
      <w:tr w:rsidR="00794432" w:rsidRPr="00736C15" w14:paraId="30DC2847" w14:textId="77777777" w:rsidTr="00D707D6">
        <w:trPr>
          <w:trHeight w:hRule="exact" w:val="257"/>
          <w:jc w:val="center"/>
        </w:trPr>
        <w:tc>
          <w:tcPr>
            <w:tcW w:w="3194" w:type="pct"/>
            <w:shd w:val="clear" w:color="auto" w:fill="auto"/>
            <w:vAlign w:val="bottom"/>
          </w:tcPr>
          <w:p w14:paraId="6B71E9BE" w14:textId="77777777" w:rsidR="00794432" w:rsidRPr="00736C15" w:rsidRDefault="00794432" w:rsidP="00D707D6">
            <w:pPr>
              <w:tabs>
                <w:tab w:val="right" w:pos="1202"/>
              </w:tabs>
              <w:outlineLvl w:val="0"/>
              <w:rPr>
                <w:rFonts w:ascii="Arial" w:eastAsia="Calibri" w:hAnsi="Arial" w:cs="Arial"/>
                <w:b/>
                <w:i/>
                <w:color w:val="000000"/>
                <w:spacing w:val="-2"/>
                <w:sz w:val="17"/>
                <w:szCs w:val="17"/>
              </w:rPr>
            </w:pPr>
            <w:r w:rsidRPr="00736C15">
              <w:rPr>
                <w:rFonts w:ascii="Arial" w:eastAsia="Calibri" w:hAnsi="Arial" w:cs="Arial"/>
                <w:b/>
                <w:i/>
                <w:color w:val="000000"/>
                <w:spacing w:val="-2"/>
                <w:sz w:val="17"/>
                <w:szCs w:val="17"/>
              </w:rPr>
              <w:t>Vlasnički vrijednosni papiri koji ne kotiraju:</w:t>
            </w:r>
          </w:p>
        </w:tc>
        <w:tc>
          <w:tcPr>
            <w:tcW w:w="555" w:type="pct"/>
            <w:tcBorders>
              <w:top w:val="single" w:sz="12" w:space="0" w:color="auto"/>
            </w:tcBorders>
            <w:vAlign w:val="bottom"/>
          </w:tcPr>
          <w:p w14:paraId="0C2110BE" w14:textId="77777777" w:rsidR="00794432" w:rsidRPr="00736C15" w:rsidDel="00561A80" w:rsidRDefault="00794432" w:rsidP="00D707D6">
            <w:pPr>
              <w:tabs>
                <w:tab w:val="right" w:pos="1202"/>
              </w:tabs>
              <w:jc w:val="right"/>
              <w:outlineLvl w:val="0"/>
              <w:rPr>
                <w:rFonts w:ascii="Arial" w:eastAsia="Calibri" w:hAnsi="Arial" w:cs="Arial"/>
                <w:color w:val="000000"/>
                <w:spacing w:val="-2"/>
                <w:sz w:val="17"/>
                <w:szCs w:val="17"/>
              </w:rPr>
            </w:pPr>
          </w:p>
        </w:tc>
        <w:tc>
          <w:tcPr>
            <w:tcW w:w="644" w:type="pct"/>
            <w:tcBorders>
              <w:top w:val="single" w:sz="12" w:space="0" w:color="auto"/>
            </w:tcBorders>
            <w:vAlign w:val="bottom"/>
          </w:tcPr>
          <w:p w14:paraId="6B8C0018" w14:textId="77777777" w:rsidR="00794432" w:rsidRPr="00736C15" w:rsidDel="00561A80" w:rsidRDefault="00794432" w:rsidP="00D707D6">
            <w:pPr>
              <w:tabs>
                <w:tab w:val="right" w:pos="1202"/>
              </w:tabs>
              <w:jc w:val="right"/>
              <w:outlineLvl w:val="0"/>
              <w:rPr>
                <w:rFonts w:ascii="Arial" w:eastAsia="Calibri" w:hAnsi="Arial" w:cs="Arial"/>
                <w:color w:val="000000"/>
                <w:spacing w:val="-2"/>
                <w:sz w:val="17"/>
                <w:szCs w:val="17"/>
              </w:rPr>
            </w:pPr>
          </w:p>
        </w:tc>
        <w:tc>
          <w:tcPr>
            <w:tcW w:w="607" w:type="pct"/>
            <w:tcBorders>
              <w:top w:val="single" w:sz="12" w:space="0" w:color="auto"/>
            </w:tcBorders>
            <w:vAlign w:val="bottom"/>
          </w:tcPr>
          <w:p w14:paraId="74EC85F6" w14:textId="77777777" w:rsidR="00794432" w:rsidRPr="00736C15" w:rsidDel="00561A80" w:rsidRDefault="00794432" w:rsidP="00D707D6">
            <w:pPr>
              <w:tabs>
                <w:tab w:val="right" w:pos="1202"/>
              </w:tabs>
              <w:jc w:val="right"/>
              <w:outlineLvl w:val="0"/>
              <w:rPr>
                <w:rFonts w:ascii="Arial" w:eastAsia="Calibri" w:hAnsi="Arial" w:cs="Arial"/>
                <w:color w:val="000000"/>
                <w:spacing w:val="-2"/>
                <w:sz w:val="17"/>
                <w:szCs w:val="17"/>
              </w:rPr>
            </w:pPr>
          </w:p>
        </w:tc>
      </w:tr>
      <w:tr w:rsidR="00794432" w:rsidRPr="00736C15" w14:paraId="49B52D65" w14:textId="77777777" w:rsidTr="00D707D6">
        <w:trPr>
          <w:trHeight w:hRule="exact" w:val="227"/>
          <w:jc w:val="center"/>
        </w:trPr>
        <w:tc>
          <w:tcPr>
            <w:tcW w:w="3194" w:type="pct"/>
            <w:shd w:val="clear" w:color="auto" w:fill="auto"/>
            <w:vAlign w:val="bottom"/>
          </w:tcPr>
          <w:p w14:paraId="0901F3A7" w14:textId="77777777" w:rsidR="00794432" w:rsidRPr="00736C15" w:rsidRDefault="00794432" w:rsidP="00D707D6">
            <w:pPr>
              <w:tabs>
                <w:tab w:val="right" w:pos="1202"/>
              </w:tabs>
              <w:outlineLvl w:val="0"/>
              <w:rPr>
                <w:rFonts w:ascii="Arial" w:eastAsia="Calibri" w:hAnsi="Arial" w:cs="Arial"/>
                <w:color w:val="000000"/>
                <w:sz w:val="17"/>
                <w:szCs w:val="17"/>
              </w:rPr>
            </w:pPr>
            <w:r w:rsidRPr="00736C15">
              <w:rPr>
                <w:rFonts w:ascii="Arial" w:eastAsia="Calibri" w:hAnsi="Arial" w:cs="Arial"/>
                <w:color w:val="000000"/>
                <w:sz w:val="17"/>
                <w:szCs w:val="17"/>
              </w:rPr>
              <w:t>Dionice inozemnih pravnih osoba - SWIFT</w:t>
            </w:r>
          </w:p>
        </w:tc>
        <w:tc>
          <w:tcPr>
            <w:tcW w:w="555" w:type="pct"/>
            <w:tcBorders>
              <w:top w:val="nil"/>
              <w:left w:val="nil"/>
              <w:bottom w:val="nil"/>
              <w:right w:val="nil"/>
            </w:tcBorders>
            <w:shd w:val="clear" w:color="auto" w:fill="auto"/>
            <w:vAlign w:val="bottom"/>
          </w:tcPr>
          <w:p w14:paraId="2AED0890" w14:textId="77777777" w:rsidR="00794432" w:rsidRPr="00736C15" w:rsidRDefault="00794432" w:rsidP="00D707D6">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44" w:type="pct"/>
            <w:tcBorders>
              <w:top w:val="nil"/>
              <w:left w:val="nil"/>
              <w:bottom w:val="nil"/>
              <w:right w:val="nil"/>
            </w:tcBorders>
            <w:shd w:val="clear" w:color="auto" w:fill="auto"/>
            <w:vAlign w:val="bottom"/>
          </w:tcPr>
          <w:p w14:paraId="626E4D4F" w14:textId="77777777" w:rsidR="00794432" w:rsidRPr="00736C15" w:rsidRDefault="00794432" w:rsidP="00D707D6">
            <w:pPr>
              <w:tabs>
                <w:tab w:val="right" w:pos="1202"/>
              </w:tabs>
              <w:jc w:val="right"/>
              <w:outlineLvl w:val="0"/>
              <w:rPr>
                <w:rFonts w:ascii="Arial" w:eastAsia="Calibri" w:hAnsi="Arial" w:cs="Arial"/>
                <w:color w:val="000000"/>
                <w:sz w:val="17"/>
                <w:szCs w:val="17"/>
              </w:rPr>
            </w:pPr>
            <w:r w:rsidRPr="00AD7F10">
              <w:rPr>
                <w:rFonts w:ascii="Arial" w:eastAsia="Calibri" w:hAnsi="Arial" w:cs="Arial"/>
                <w:color w:val="000000"/>
                <w:sz w:val="17"/>
                <w:szCs w:val="17"/>
              </w:rPr>
              <w:t>8</w:t>
            </w:r>
          </w:p>
        </w:tc>
        <w:tc>
          <w:tcPr>
            <w:tcW w:w="607" w:type="pct"/>
            <w:tcBorders>
              <w:top w:val="nil"/>
              <w:left w:val="nil"/>
              <w:bottom w:val="nil"/>
              <w:right w:val="nil"/>
            </w:tcBorders>
            <w:shd w:val="clear" w:color="auto" w:fill="auto"/>
            <w:vAlign w:val="bottom"/>
          </w:tcPr>
          <w:p w14:paraId="3C98B71A" w14:textId="77777777" w:rsidR="00794432" w:rsidRPr="00736C15" w:rsidRDefault="00794432" w:rsidP="00D707D6">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r>
      <w:tr w:rsidR="00794432" w:rsidRPr="00736C15" w14:paraId="32D992AE" w14:textId="77777777" w:rsidTr="00D707D6">
        <w:trPr>
          <w:trHeight w:hRule="exact" w:val="227"/>
          <w:jc w:val="center"/>
        </w:trPr>
        <w:tc>
          <w:tcPr>
            <w:tcW w:w="3194" w:type="pct"/>
            <w:shd w:val="clear" w:color="auto" w:fill="auto"/>
            <w:vAlign w:val="bottom"/>
          </w:tcPr>
          <w:p w14:paraId="469B6A6F" w14:textId="77777777" w:rsidR="00794432" w:rsidRPr="00736C15" w:rsidRDefault="00794432" w:rsidP="00D707D6">
            <w:pPr>
              <w:tabs>
                <w:tab w:val="right" w:pos="1202"/>
              </w:tabs>
              <w:outlineLvl w:val="0"/>
              <w:rPr>
                <w:rFonts w:ascii="Arial" w:eastAsia="Calibri" w:hAnsi="Arial" w:cs="Arial"/>
                <w:color w:val="000000"/>
                <w:sz w:val="17"/>
                <w:szCs w:val="17"/>
              </w:rPr>
            </w:pPr>
            <w:r w:rsidRPr="00736C15">
              <w:rPr>
                <w:rFonts w:ascii="Arial" w:eastAsia="Calibri" w:hAnsi="Arial" w:cs="Arial"/>
                <w:color w:val="000000"/>
                <w:sz w:val="17"/>
                <w:szCs w:val="17"/>
              </w:rPr>
              <w:t>Dionice inozemnih financijskih institucija – EIF</w:t>
            </w:r>
          </w:p>
        </w:tc>
        <w:tc>
          <w:tcPr>
            <w:tcW w:w="555" w:type="pct"/>
            <w:tcBorders>
              <w:top w:val="nil"/>
              <w:left w:val="nil"/>
              <w:bottom w:val="nil"/>
              <w:right w:val="nil"/>
            </w:tcBorders>
            <w:shd w:val="clear" w:color="auto" w:fill="auto"/>
            <w:vAlign w:val="bottom"/>
          </w:tcPr>
          <w:p w14:paraId="534F0FFF" w14:textId="77777777" w:rsidR="00794432" w:rsidRPr="00736C15" w:rsidRDefault="00794432" w:rsidP="00D707D6">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44" w:type="pct"/>
            <w:tcBorders>
              <w:top w:val="nil"/>
              <w:left w:val="nil"/>
              <w:bottom w:val="nil"/>
              <w:right w:val="nil"/>
            </w:tcBorders>
            <w:shd w:val="clear" w:color="auto" w:fill="auto"/>
            <w:vAlign w:val="bottom"/>
          </w:tcPr>
          <w:p w14:paraId="1B258427" w14:textId="77777777" w:rsidR="00794432" w:rsidRPr="00736C15" w:rsidRDefault="00794432" w:rsidP="00D707D6">
            <w:pPr>
              <w:tabs>
                <w:tab w:val="right" w:pos="1202"/>
              </w:tabs>
              <w:jc w:val="right"/>
              <w:outlineLvl w:val="0"/>
              <w:rPr>
                <w:rFonts w:ascii="Arial" w:eastAsia="Calibri" w:hAnsi="Arial" w:cs="Arial"/>
                <w:color w:val="000000"/>
                <w:sz w:val="17"/>
                <w:szCs w:val="17"/>
              </w:rPr>
            </w:pPr>
            <w:r w:rsidRPr="00AD7F10">
              <w:rPr>
                <w:rFonts w:ascii="Arial" w:eastAsia="Calibri" w:hAnsi="Arial" w:cs="Arial"/>
                <w:color w:val="000000"/>
                <w:sz w:val="17"/>
                <w:szCs w:val="17"/>
              </w:rPr>
              <w:t>7.757</w:t>
            </w:r>
          </w:p>
        </w:tc>
        <w:tc>
          <w:tcPr>
            <w:tcW w:w="607" w:type="pct"/>
            <w:tcBorders>
              <w:top w:val="nil"/>
              <w:left w:val="nil"/>
              <w:bottom w:val="nil"/>
              <w:right w:val="nil"/>
            </w:tcBorders>
            <w:shd w:val="clear" w:color="auto" w:fill="auto"/>
            <w:vAlign w:val="bottom"/>
          </w:tcPr>
          <w:p w14:paraId="094B8FD5" w14:textId="77777777" w:rsidR="00794432" w:rsidRPr="00736C15" w:rsidRDefault="00794432" w:rsidP="00D707D6">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r>
      <w:tr w:rsidR="00794432" w:rsidRPr="00736C15" w14:paraId="1223B0E0" w14:textId="77777777" w:rsidTr="00D707D6">
        <w:trPr>
          <w:trHeight w:hRule="exact" w:val="244"/>
          <w:jc w:val="center"/>
        </w:trPr>
        <w:tc>
          <w:tcPr>
            <w:tcW w:w="3194" w:type="pct"/>
            <w:shd w:val="clear" w:color="auto" w:fill="auto"/>
            <w:vAlign w:val="bottom"/>
          </w:tcPr>
          <w:p w14:paraId="5FDCEECE" w14:textId="77777777" w:rsidR="00794432" w:rsidRPr="00736C15" w:rsidRDefault="00794432" w:rsidP="00D707D6">
            <w:pPr>
              <w:tabs>
                <w:tab w:val="right" w:pos="1202"/>
              </w:tabs>
              <w:outlineLvl w:val="0"/>
              <w:rPr>
                <w:rFonts w:ascii="Arial" w:eastAsia="Calibri" w:hAnsi="Arial" w:cs="Arial"/>
                <w:b/>
                <w:color w:val="000000"/>
                <w:sz w:val="17"/>
                <w:szCs w:val="17"/>
              </w:rPr>
            </w:pPr>
            <w:r w:rsidRPr="00736C15">
              <w:rPr>
                <w:rFonts w:ascii="Arial" w:eastAsia="Calibri" w:hAnsi="Arial" w:cs="Arial"/>
                <w:b/>
                <w:color w:val="000000"/>
                <w:sz w:val="17"/>
                <w:szCs w:val="17"/>
              </w:rPr>
              <w:t>Ukupno vlasnički vrijednosni papiri</w:t>
            </w:r>
          </w:p>
        </w:tc>
        <w:tc>
          <w:tcPr>
            <w:tcW w:w="555" w:type="pct"/>
            <w:tcBorders>
              <w:top w:val="single" w:sz="4" w:space="0" w:color="auto"/>
              <w:left w:val="nil"/>
              <w:bottom w:val="single" w:sz="8" w:space="0" w:color="auto"/>
              <w:right w:val="nil"/>
            </w:tcBorders>
            <w:shd w:val="clear" w:color="auto" w:fill="auto"/>
            <w:vAlign w:val="bottom"/>
          </w:tcPr>
          <w:p w14:paraId="39C24D9F" w14:textId="77777777" w:rsidR="00794432" w:rsidRPr="00F959D0" w:rsidRDefault="00794432" w:rsidP="00D707D6">
            <w:pPr>
              <w:tabs>
                <w:tab w:val="right" w:pos="1202"/>
              </w:tabs>
              <w:jc w:val="right"/>
              <w:outlineLvl w:val="0"/>
              <w:rPr>
                <w:rFonts w:ascii="Arial" w:eastAsia="Calibri" w:hAnsi="Arial" w:cs="Arial"/>
                <w:b/>
                <w:color w:val="000000"/>
                <w:spacing w:val="-2"/>
                <w:sz w:val="17"/>
                <w:szCs w:val="17"/>
                <w:lang w:eastAsia="hr-HR"/>
              </w:rPr>
            </w:pPr>
            <w:r w:rsidRPr="00AD7F10">
              <w:rPr>
                <w:rFonts w:ascii="Arial" w:eastAsia="Calibri" w:hAnsi="Arial" w:cs="Arial"/>
                <w:b/>
                <w:color w:val="000000"/>
                <w:spacing w:val="-2"/>
                <w:sz w:val="17"/>
                <w:szCs w:val="17"/>
                <w:lang w:eastAsia="hr-HR"/>
              </w:rPr>
              <w:t>-</w:t>
            </w:r>
          </w:p>
        </w:tc>
        <w:tc>
          <w:tcPr>
            <w:tcW w:w="644" w:type="pct"/>
            <w:tcBorders>
              <w:top w:val="single" w:sz="4" w:space="0" w:color="auto"/>
              <w:left w:val="nil"/>
              <w:bottom w:val="single" w:sz="8" w:space="0" w:color="auto"/>
              <w:right w:val="nil"/>
            </w:tcBorders>
            <w:shd w:val="clear" w:color="auto" w:fill="auto"/>
            <w:vAlign w:val="bottom"/>
          </w:tcPr>
          <w:p w14:paraId="6E289F1B" w14:textId="77777777" w:rsidR="00794432" w:rsidRPr="00F959D0" w:rsidRDefault="00794432" w:rsidP="00D707D6">
            <w:pPr>
              <w:tabs>
                <w:tab w:val="right" w:pos="1202"/>
              </w:tabs>
              <w:jc w:val="right"/>
              <w:outlineLvl w:val="0"/>
              <w:rPr>
                <w:rFonts w:ascii="Arial" w:eastAsia="Calibri" w:hAnsi="Arial" w:cs="Arial"/>
                <w:b/>
                <w:color w:val="000000"/>
                <w:spacing w:val="-2"/>
                <w:sz w:val="17"/>
                <w:szCs w:val="17"/>
                <w:lang w:eastAsia="hr-HR"/>
              </w:rPr>
            </w:pPr>
            <w:r w:rsidRPr="00AD7F10">
              <w:rPr>
                <w:rFonts w:ascii="Arial" w:eastAsia="Calibri" w:hAnsi="Arial" w:cs="Arial"/>
                <w:b/>
                <w:color w:val="000000"/>
                <w:spacing w:val="-2"/>
                <w:sz w:val="17"/>
                <w:szCs w:val="17"/>
                <w:lang w:eastAsia="hr-HR"/>
              </w:rPr>
              <w:t>7.765</w:t>
            </w:r>
          </w:p>
        </w:tc>
        <w:tc>
          <w:tcPr>
            <w:tcW w:w="607" w:type="pct"/>
            <w:tcBorders>
              <w:top w:val="single" w:sz="4" w:space="0" w:color="auto"/>
              <w:left w:val="nil"/>
              <w:bottom w:val="single" w:sz="8" w:space="0" w:color="auto"/>
              <w:right w:val="nil"/>
            </w:tcBorders>
            <w:shd w:val="clear" w:color="auto" w:fill="auto"/>
            <w:vAlign w:val="bottom"/>
          </w:tcPr>
          <w:p w14:paraId="276CC08D" w14:textId="77777777" w:rsidR="00794432" w:rsidRPr="00F959D0" w:rsidRDefault="00794432" w:rsidP="00D707D6">
            <w:pPr>
              <w:tabs>
                <w:tab w:val="right" w:pos="1202"/>
              </w:tabs>
              <w:jc w:val="right"/>
              <w:outlineLvl w:val="0"/>
              <w:rPr>
                <w:rFonts w:ascii="Arial" w:eastAsia="Calibri" w:hAnsi="Arial" w:cs="Arial"/>
                <w:b/>
                <w:color w:val="000000"/>
                <w:spacing w:val="-2"/>
                <w:sz w:val="17"/>
                <w:szCs w:val="17"/>
                <w:lang w:eastAsia="hr-HR"/>
              </w:rPr>
            </w:pPr>
            <w:r w:rsidRPr="00AD7F10">
              <w:rPr>
                <w:rFonts w:ascii="Arial" w:eastAsia="Calibri" w:hAnsi="Arial" w:cs="Arial"/>
                <w:b/>
                <w:color w:val="000000"/>
                <w:spacing w:val="-2"/>
                <w:sz w:val="17"/>
                <w:szCs w:val="17"/>
                <w:lang w:eastAsia="hr-HR"/>
              </w:rPr>
              <w:t>-</w:t>
            </w:r>
          </w:p>
        </w:tc>
      </w:tr>
      <w:tr w:rsidR="00794432" w:rsidRPr="00736C15" w14:paraId="12A2C16F" w14:textId="77777777" w:rsidTr="00D707D6">
        <w:trPr>
          <w:trHeight w:hRule="exact" w:val="255"/>
          <w:jc w:val="center"/>
        </w:trPr>
        <w:tc>
          <w:tcPr>
            <w:tcW w:w="3194" w:type="pct"/>
            <w:shd w:val="clear" w:color="auto" w:fill="auto"/>
            <w:vAlign w:val="bottom"/>
          </w:tcPr>
          <w:p w14:paraId="7E453812" w14:textId="77777777" w:rsidR="00794432" w:rsidRPr="00DF5C55" w:rsidRDefault="00794432" w:rsidP="00D707D6">
            <w:pPr>
              <w:tabs>
                <w:tab w:val="right" w:pos="1202"/>
              </w:tabs>
              <w:outlineLvl w:val="0"/>
              <w:rPr>
                <w:rFonts w:ascii="Arial" w:eastAsia="Calibri" w:hAnsi="Arial" w:cs="Arial"/>
                <w:b/>
                <w:color w:val="000000"/>
                <w:sz w:val="17"/>
                <w:szCs w:val="17"/>
              </w:rPr>
            </w:pPr>
            <w:r w:rsidRPr="00DF5C55">
              <w:rPr>
                <w:rFonts w:ascii="Arial" w:eastAsia="Calibri" w:hAnsi="Arial" w:cs="Arial"/>
                <w:b/>
                <w:color w:val="000000"/>
                <w:sz w:val="17"/>
                <w:szCs w:val="17"/>
              </w:rPr>
              <w:t>Ukupno imovina po fer vrijednosti kroz ostalu sveobuhvatnu dobit</w:t>
            </w:r>
          </w:p>
        </w:tc>
        <w:tc>
          <w:tcPr>
            <w:tcW w:w="555" w:type="pct"/>
            <w:tcBorders>
              <w:top w:val="single" w:sz="12" w:space="0" w:color="auto"/>
              <w:left w:val="nil"/>
              <w:bottom w:val="single" w:sz="12" w:space="0" w:color="auto"/>
              <w:right w:val="nil"/>
            </w:tcBorders>
            <w:shd w:val="clear" w:color="auto" w:fill="auto"/>
            <w:vAlign w:val="bottom"/>
          </w:tcPr>
          <w:p w14:paraId="4084FB4E" w14:textId="77777777" w:rsidR="00794432" w:rsidRPr="00736C15" w:rsidRDefault="00794432" w:rsidP="00D707D6">
            <w:pPr>
              <w:tabs>
                <w:tab w:val="right" w:pos="1202"/>
              </w:tabs>
              <w:jc w:val="right"/>
              <w:outlineLvl w:val="0"/>
              <w:rPr>
                <w:rFonts w:ascii="Arial" w:eastAsia="Calibri" w:hAnsi="Arial" w:cs="Arial"/>
                <w:b/>
                <w:color w:val="000000"/>
                <w:spacing w:val="-2"/>
                <w:sz w:val="17"/>
                <w:szCs w:val="17"/>
                <w:lang w:eastAsia="hr-HR"/>
              </w:rPr>
            </w:pPr>
            <w:r w:rsidRPr="00DF5C55">
              <w:rPr>
                <w:rFonts w:ascii="Arial" w:eastAsia="Calibri" w:hAnsi="Arial" w:cs="Arial"/>
                <w:b/>
                <w:color w:val="000000"/>
                <w:spacing w:val="-2"/>
                <w:sz w:val="17"/>
                <w:szCs w:val="17"/>
                <w:lang w:eastAsia="hr-HR"/>
              </w:rPr>
              <w:t>227.156</w:t>
            </w:r>
          </w:p>
        </w:tc>
        <w:tc>
          <w:tcPr>
            <w:tcW w:w="644" w:type="pct"/>
            <w:tcBorders>
              <w:top w:val="single" w:sz="12" w:space="0" w:color="auto"/>
              <w:left w:val="nil"/>
              <w:bottom w:val="single" w:sz="12" w:space="0" w:color="auto"/>
              <w:right w:val="nil"/>
            </w:tcBorders>
            <w:shd w:val="clear" w:color="auto" w:fill="auto"/>
            <w:vAlign w:val="bottom"/>
          </w:tcPr>
          <w:p w14:paraId="48A9C769" w14:textId="77777777" w:rsidR="00794432" w:rsidRPr="00736C15" w:rsidRDefault="00794432" w:rsidP="00D707D6">
            <w:pPr>
              <w:tabs>
                <w:tab w:val="right" w:pos="1202"/>
              </w:tabs>
              <w:jc w:val="right"/>
              <w:outlineLvl w:val="0"/>
              <w:rPr>
                <w:rFonts w:ascii="Arial" w:eastAsia="Calibri" w:hAnsi="Arial" w:cs="Arial"/>
                <w:b/>
                <w:color w:val="000000"/>
                <w:spacing w:val="-2"/>
                <w:sz w:val="17"/>
                <w:szCs w:val="17"/>
                <w:lang w:eastAsia="hr-HR"/>
              </w:rPr>
            </w:pPr>
            <w:r w:rsidRPr="00DF5C55">
              <w:rPr>
                <w:rFonts w:ascii="Arial" w:eastAsia="Calibri" w:hAnsi="Arial" w:cs="Arial"/>
                <w:b/>
                <w:color w:val="000000"/>
                <w:spacing w:val="-2"/>
                <w:sz w:val="17"/>
                <w:szCs w:val="17"/>
                <w:lang w:eastAsia="hr-HR"/>
              </w:rPr>
              <w:t>7.765</w:t>
            </w:r>
          </w:p>
        </w:tc>
        <w:tc>
          <w:tcPr>
            <w:tcW w:w="607" w:type="pct"/>
            <w:tcBorders>
              <w:top w:val="single" w:sz="12" w:space="0" w:color="auto"/>
              <w:left w:val="nil"/>
              <w:bottom w:val="single" w:sz="12" w:space="0" w:color="auto"/>
              <w:right w:val="nil"/>
            </w:tcBorders>
            <w:shd w:val="clear" w:color="auto" w:fill="auto"/>
            <w:vAlign w:val="bottom"/>
          </w:tcPr>
          <w:p w14:paraId="3453EC73" w14:textId="77777777" w:rsidR="00794432" w:rsidRPr="00736C15" w:rsidRDefault="00794432" w:rsidP="00D707D6">
            <w:pPr>
              <w:tabs>
                <w:tab w:val="right" w:pos="1202"/>
              </w:tabs>
              <w:jc w:val="right"/>
              <w:outlineLvl w:val="0"/>
              <w:rPr>
                <w:rFonts w:ascii="Arial" w:eastAsia="Calibri" w:hAnsi="Arial" w:cs="Arial"/>
                <w:b/>
                <w:color w:val="000000"/>
                <w:spacing w:val="-2"/>
                <w:sz w:val="17"/>
                <w:szCs w:val="17"/>
                <w:lang w:eastAsia="hr-HR"/>
              </w:rPr>
            </w:pPr>
            <w:r w:rsidRPr="00DF5C55">
              <w:rPr>
                <w:rFonts w:ascii="Arial" w:eastAsia="Calibri" w:hAnsi="Arial" w:cs="Arial"/>
                <w:b/>
                <w:color w:val="000000"/>
                <w:spacing w:val="-2"/>
                <w:sz w:val="17"/>
                <w:szCs w:val="17"/>
                <w:lang w:eastAsia="hr-HR"/>
              </w:rPr>
              <w:t>278</w:t>
            </w:r>
          </w:p>
        </w:tc>
      </w:tr>
      <w:tr w:rsidR="00794432" w:rsidRPr="00736C15" w14:paraId="3123987D" w14:textId="77777777" w:rsidTr="00D707D6">
        <w:trPr>
          <w:trHeight w:hRule="exact" w:val="255"/>
          <w:jc w:val="center"/>
        </w:trPr>
        <w:tc>
          <w:tcPr>
            <w:tcW w:w="3194" w:type="pct"/>
            <w:shd w:val="clear" w:color="auto" w:fill="auto"/>
            <w:vAlign w:val="bottom"/>
          </w:tcPr>
          <w:p w14:paraId="08E38802" w14:textId="77777777" w:rsidR="00794432" w:rsidRPr="00DF5C55" w:rsidRDefault="00794432" w:rsidP="00D707D6">
            <w:pPr>
              <w:tabs>
                <w:tab w:val="right" w:pos="1202"/>
              </w:tabs>
              <w:outlineLvl w:val="0"/>
              <w:rPr>
                <w:rFonts w:ascii="Arial" w:eastAsia="Calibri" w:hAnsi="Arial" w:cs="Arial"/>
                <w:b/>
                <w:color w:val="000000"/>
                <w:sz w:val="17"/>
                <w:szCs w:val="17"/>
              </w:rPr>
            </w:pPr>
            <w:r w:rsidRPr="00F959D0">
              <w:rPr>
                <w:rFonts w:ascii="Arial" w:eastAsia="Calibri" w:hAnsi="Arial" w:cs="Arial"/>
                <w:b/>
                <w:color w:val="000000"/>
                <w:sz w:val="17"/>
                <w:szCs w:val="17"/>
              </w:rPr>
              <w:t>Derivativne financijske obveze</w:t>
            </w:r>
          </w:p>
        </w:tc>
        <w:tc>
          <w:tcPr>
            <w:tcW w:w="555" w:type="pct"/>
            <w:tcBorders>
              <w:top w:val="single" w:sz="12" w:space="0" w:color="auto"/>
              <w:left w:val="nil"/>
              <w:bottom w:val="single" w:sz="4" w:space="0" w:color="auto"/>
              <w:right w:val="nil"/>
            </w:tcBorders>
            <w:shd w:val="clear" w:color="auto" w:fill="auto"/>
            <w:vAlign w:val="bottom"/>
          </w:tcPr>
          <w:p w14:paraId="1BE56F8C" w14:textId="77777777" w:rsidR="00794432" w:rsidRPr="00736C15" w:rsidRDefault="00794432" w:rsidP="00D707D6">
            <w:pPr>
              <w:tabs>
                <w:tab w:val="right" w:pos="1202"/>
              </w:tabs>
              <w:jc w:val="right"/>
              <w:outlineLvl w:val="0"/>
              <w:rPr>
                <w:rFonts w:ascii="Arial" w:eastAsia="Calibri" w:hAnsi="Arial" w:cs="Arial"/>
                <w:b/>
                <w:color w:val="000000"/>
                <w:spacing w:val="-2"/>
                <w:sz w:val="17"/>
                <w:szCs w:val="17"/>
                <w:lang w:eastAsia="hr-HR"/>
              </w:rPr>
            </w:pPr>
          </w:p>
        </w:tc>
        <w:tc>
          <w:tcPr>
            <w:tcW w:w="644" w:type="pct"/>
            <w:tcBorders>
              <w:top w:val="single" w:sz="12" w:space="0" w:color="auto"/>
              <w:left w:val="nil"/>
              <w:bottom w:val="single" w:sz="4" w:space="0" w:color="auto"/>
              <w:right w:val="nil"/>
            </w:tcBorders>
            <w:shd w:val="clear" w:color="auto" w:fill="auto"/>
            <w:vAlign w:val="bottom"/>
          </w:tcPr>
          <w:p w14:paraId="4BF517E3" w14:textId="77777777" w:rsidR="00794432" w:rsidRPr="00736C15" w:rsidRDefault="00794432" w:rsidP="00D707D6">
            <w:pPr>
              <w:tabs>
                <w:tab w:val="right" w:pos="1202"/>
              </w:tabs>
              <w:jc w:val="right"/>
              <w:outlineLvl w:val="0"/>
              <w:rPr>
                <w:rFonts w:ascii="Arial" w:eastAsia="Calibri" w:hAnsi="Arial" w:cs="Arial"/>
                <w:b/>
                <w:color w:val="000000"/>
                <w:spacing w:val="-2"/>
                <w:sz w:val="17"/>
                <w:szCs w:val="17"/>
                <w:lang w:eastAsia="hr-HR"/>
              </w:rPr>
            </w:pPr>
          </w:p>
        </w:tc>
        <w:tc>
          <w:tcPr>
            <w:tcW w:w="607" w:type="pct"/>
            <w:tcBorders>
              <w:top w:val="single" w:sz="12" w:space="0" w:color="auto"/>
              <w:left w:val="nil"/>
              <w:bottom w:val="single" w:sz="4" w:space="0" w:color="auto"/>
              <w:right w:val="nil"/>
            </w:tcBorders>
            <w:shd w:val="clear" w:color="auto" w:fill="auto"/>
            <w:vAlign w:val="bottom"/>
          </w:tcPr>
          <w:p w14:paraId="14A24AFD" w14:textId="77777777" w:rsidR="00794432" w:rsidRPr="00736C15" w:rsidRDefault="00794432" w:rsidP="00D707D6">
            <w:pPr>
              <w:tabs>
                <w:tab w:val="right" w:pos="1202"/>
              </w:tabs>
              <w:jc w:val="right"/>
              <w:outlineLvl w:val="0"/>
              <w:rPr>
                <w:rFonts w:ascii="Arial" w:eastAsia="Calibri" w:hAnsi="Arial" w:cs="Arial"/>
                <w:b/>
                <w:color w:val="000000"/>
                <w:spacing w:val="-2"/>
                <w:sz w:val="17"/>
                <w:szCs w:val="17"/>
                <w:lang w:eastAsia="hr-HR"/>
              </w:rPr>
            </w:pPr>
          </w:p>
        </w:tc>
      </w:tr>
      <w:tr w:rsidR="00794432" w:rsidRPr="00736C15" w14:paraId="62E12576" w14:textId="77777777" w:rsidTr="00D707D6">
        <w:trPr>
          <w:trHeight w:hRule="exact" w:val="255"/>
          <w:jc w:val="center"/>
        </w:trPr>
        <w:tc>
          <w:tcPr>
            <w:tcW w:w="3194" w:type="pct"/>
            <w:shd w:val="clear" w:color="auto" w:fill="auto"/>
            <w:vAlign w:val="bottom"/>
          </w:tcPr>
          <w:p w14:paraId="3D9DBF50" w14:textId="77777777" w:rsidR="00794432" w:rsidRPr="00DF5C55" w:rsidRDefault="00794432" w:rsidP="00D707D6">
            <w:pPr>
              <w:tabs>
                <w:tab w:val="right" w:pos="1202"/>
              </w:tabs>
              <w:outlineLvl w:val="0"/>
              <w:rPr>
                <w:rFonts w:ascii="Arial" w:eastAsia="Calibri" w:hAnsi="Arial" w:cs="Arial"/>
                <w:b/>
                <w:color w:val="000000"/>
                <w:sz w:val="17"/>
                <w:szCs w:val="17"/>
              </w:rPr>
            </w:pPr>
            <w:r w:rsidRPr="00F959D0">
              <w:rPr>
                <w:rFonts w:ascii="Arial" w:eastAsia="Calibri" w:hAnsi="Arial" w:cs="Arial"/>
                <w:bCs/>
                <w:color w:val="000000"/>
                <w:sz w:val="17"/>
                <w:szCs w:val="17"/>
              </w:rPr>
              <w:t>FX swap</w:t>
            </w:r>
          </w:p>
        </w:tc>
        <w:tc>
          <w:tcPr>
            <w:tcW w:w="555" w:type="pct"/>
            <w:tcBorders>
              <w:top w:val="single" w:sz="4" w:space="0" w:color="auto"/>
              <w:left w:val="nil"/>
              <w:bottom w:val="single" w:sz="12" w:space="0" w:color="auto"/>
              <w:right w:val="nil"/>
            </w:tcBorders>
            <w:shd w:val="clear" w:color="auto" w:fill="auto"/>
            <w:vAlign w:val="bottom"/>
          </w:tcPr>
          <w:p w14:paraId="67C139F9" w14:textId="77777777" w:rsidR="00794432" w:rsidRPr="00736C15" w:rsidRDefault="00794432" w:rsidP="00D707D6">
            <w:pPr>
              <w:tabs>
                <w:tab w:val="right" w:pos="1202"/>
              </w:tabs>
              <w:jc w:val="right"/>
              <w:outlineLvl w:val="0"/>
              <w:rPr>
                <w:rFonts w:ascii="Arial" w:eastAsia="Calibri" w:hAnsi="Arial" w:cs="Arial"/>
                <w:b/>
                <w:color w:val="000000"/>
                <w:spacing w:val="-2"/>
                <w:sz w:val="17"/>
                <w:szCs w:val="17"/>
                <w:lang w:eastAsia="hr-HR"/>
              </w:rPr>
            </w:pPr>
            <w:r w:rsidRPr="00671A0D">
              <w:rPr>
                <w:rFonts w:ascii="Arial" w:eastAsia="Calibri" w:hAnsi="Arial" w:cs="Arial"/>
                <w:b/>
                <w:color w:val="000000"/>
                <w:spacing w:val="-2"/>
                <w:sz w:val="17"/>
                <w:szCs w:val="17"/>
                <w:lang w:eastAsia="hr-HR"/>
              </w:rPr>
              <w:t>-</w:t>
            </w:r>
          </w:p>
        </w:tc>
        <w:tc>
          <w:tcPr>
            <w:tcW w:w="644" w:type="pct"/>
            <w:tcBorders>
              <w:top w:val="single" w:sz="4" w:space="0" w:color="auto"/>
              <w:left w:val="nil"/>
              <w:bottom w:val="single" w:sz="12" w:space="0" w:color="auto"/>
              <w:right w:val="nil"/>
            </w:tcBorders>
            <w:shd w:val="clear" w:color="auto" w:fill="auto"/>
            <w:vAlign w:val="bottom"/>
          </w:tcPr>
          <w:p w14:paraId="7ADA0475" w14:textId="77777777" w:rsidR="00794432" w:rsidRPr="00736C15" w:rsidRDefault="00794432" w:rsidP="00D707D6">
            <w:pPr>
              <w:tabs>
                <w:tab w:val="right" w:pos="1202"/>
              </w:tabs>
              <w:jc w:val="right"/>
              <w:outlineLvl w:val="0"/>
              <w:rPr>
                <w:rFonts w:ascii="Arial" w:eastAsia="Calibri" w:hAnsi="Arial" w:cs="Arial"/>
                <w:b/>
                <w:color w:val="000000"/>
                <w:spacing w:val="-2"/>
                <w:sz w:val="17"/>
                <w:szCs w:val="17"/>
                <w:lang w:eastAsia="hr-HR"/>
              </w:rPr>
            </w:pPr>
            <w:r w:rsidRPr="00671A0D">
              <w:rPr>
                <w:rFonts w:ascii="Arial" w:eastAsia="Calibri" w:hAnsi="Arial" w:cs="Arial"/>
                <w:b/>
                <w:color w:val="000000"/>
                <w:spacing w:val="-2"/>
                <w:sz w:val="17"/>
                <w:szCs w:val="17"/>
                <w:lang w:eastAsia="hr-HR"/>
              </w:rPr>
              <w:t>100</w:t>
            </w:r>
          </w:p>
        </w:tc>
        <w:tc>
          <w:tcPr>
            <w:tcW w:w="607" w:type="pct"/>
            <w:tcBorders>
              <w:top w:val="single" w:sz="4" w:space="0" w:color="auto"/>
              <w:left w:val="nil"/>
              <w:bottom w:val="single" w:sz="12" w:space="0" w:color="auto"/>
              <w:right w:val="nil"/>
            </w:tcBorders>
            <w:shd w:val="clear" w:color="auto" w:fill="auto"/>
            <w:vAlign w:val="bottom"/>
          </w:tcPr>
          <w:p w14:paraId="18E9F823" w14:textId="77777777" w:rsidR="00794432" w:rsidRPr="00736C15" w:rsidRDefault="00794432" w:rsidP="00D707D6">
            <w:pPr>
              <w:tabs>
                <w:tab w:val="right" w:pos="1202"/>
              </w:tabs>
              <w:jc w:val="right"/>
              <w:outlineLvl w:val="0"/>
              <w:rPr>
                <w:rFonts w:ascii="Arial" w:eastAsia="Calibri" w:hAnsi="Arial" w:cs="Arial"/>
                <w:b/>
                <w:color w:val="000000"/>
                <w:spacing w:val="-2"/>
                <w:sz w:val="17"/>
                <w:szCs w:val="17"/>
                <w:lang w:eastAsia="hr-HR"/>
              </w:rPr>
            </w:pPr>
            <w:r w:rsidRPr="00671A0D">
              <w:rPr>
                <w:rFonts w:ascii="Arial" w:eastAsia="Calibri" w:hAnsi="Arial" w:cs="Arial"/>
                <w:b/>
                <w:color w:val="000000"/>
                <w:spacing w:val="-2"/>
                <w:sz w:val="17"/>
                <w:szCs w:val="17"/>
                <w:lang w:eastAsia="hr-HR"/>
              </w:rPr>
              <w:t>-</w:t>
            </w:r>
          </w:p>
        </w:tc>
      </w:tr>
      <w:tr w:rsidR="00794432" w:rsidRPr="00736C15" w14:paraId="692CCC25" w14:textId="77777777" w:rsidTr="00D707D6">
        <w:trPr>
          <w:trHeight w:hRule="exact" w:val="255"/>
          <w:jc w:val="center"/>
        </w:trPr>
        <w:tc>
          <w:tcPr>
            <w:tcW w:w="3194" w:type="pct"/>
            <w:shd w:val="clear" w:color="auto" w:fill="auto"/>
            <w:vAlign w:val="bottom"/>
          </w:tcPr>
          <w:p w14:paraId="72671C65" w14:textId="77777777" w:rsidR="00794432" w:rsidRPr="00DF5C55" w:rsidRDefault="00794432" w:rsidP="00D707D6">
            <w:pPr>
              <w:tabs>
                <w:tab w:val="right" w:pos="1202"/>
              </w:tabs>
              <w:outlineLvl w:val="0"/>
              <w:rPr>
                <w:rFonts w:ascii="Arial" w:eastAsia="Calibri" w:hAnsi="Arial" w:cs="Arial"/>
                <w:b/>
                <w:color w:val="000000"/>
                <w:sz w:val="17"/>
                <w:szCs w:val="17"/>
              </w:rPr>
            </w:pPr>
            <w:r w:rsidRPr="00F959D0">
              <w:rPr>
                <w:rFonts w:ascii="Arial" w:eastAsia="Calibri" w:hAnsi="Arial" w:cs="Arial"/>
                <w:b/>
                <w:color w:val="000000"/>
                <w:sz w:val="17"/>
                <w:szCs w:val="17"/>
              </w:rPr>
              <w:t>Ukupno obveze</w:t>
            </w:r>
          </w:p>
        </w:tc>
        <w:tc>
          <w:tcPr>
            <w:tcW w:w="555" w:type="pct"/>
            <w:tcBorders>
              <w:top w:val="single" w:sz="12" w:space="0" w:color="auto"/>
              <w:left w:val="nil"/>
              <w:bottom w:val="single" w:sz="12" w:space="0" w:color="auto"/>
              <w:right w:val="nil"/>
            </w:tcBorders>
            <w:shd w:val="clear" w:color="auto" w:fill="auto"/>
            <w:vAlign w:val="bottom"/>
          </w:tcPr>
          <w:p w14:paraId="78B94A8B" w14:textId="77777777" w:rsidR="00794432" w:rsidRPr="00736C15" w:rsidRDefault="00794432" w:rsidP="00D707D6">
            <w:pPr>
              <w:tabs>
                <w:tab w:val="right" w:pos="1202"/>
              </w:tabs>
              <w:jc w:val="right"/>
              <w:outlineLvl w:val="0"/>
              <w:rPr>
                <w:rFonts w:ascii="Arial" w:eastAsia="Calibri" w:hAnsi="Arial" w:cs="Arial"/>
                <w:b/>
                <w:color w:val="000000"/>
                <w:spacing w:val="-2"/>
                <w:sz w:val="17"/>
                <w:szCs w:val="17"/>
                <w:lang w:eastAsia="hr-HR"/>
              </w:rPr>
            </w:pPr>
            <w:r w:rsidRPr="00671A0D">
              <w:rPr>
                <w:rFonts w:ascii="Arial" w:eastAsia="Calibri" w:hAnsi="Arial" w:cs="Arial"/>
                <w:b/>
                <w:color w:val="000000"/>
                <w:spacing w:val="-2"/>
                <w:sz w:val="17"/>
                <w:szCs w:val="17"/>
                <w:lang w:eastAsia="hr-HR"/>
              </w:rPr>
              <w:t>-</w:t>
            </w:r>
          </w:p>
        </w:tc>
        <w:tc>
          <w:tcPr>
            <w:tcW w:w="644" w:type="pct"/>
            <w:tcBorders>
              <w:top w:val="single" w:sz="12" w:space="0" w:color="auto"/>
              <w:left w:val="nil"/>
              <w:bottom w:val="single" w:sz="12" w:space="0" w:color="auto"/>
              <w:right w:val="nil"/>
            </w:tcBorders>
            <w:shd w:val="clear" w:color="auto" w:fill="auto"/>
            <w:vAlign w:val="bottom"/>
          </w:tcPr>
          <w:p w14:paraId="776DC070" w14:textId="77777777" w:rsidR="00794432" w:rsidRPr="00736C15" w:rsidRDefault="00794432" w:rsidP="00D707D6">
            <w:pPr>
              <w:tabs>
                <w:tab w:val="right" w:pos="1202"/>
              </w:tabs>
              <w:jc w:val="right"/>
              <w:outlineLvl w:val="0"/>
              <w:rPr>
                <w:rFonts w:ascii="Arial" w:eastAsia="Calibri" w:hAnsi="Arial" w:cs="Arial"/>
                <w:b/>
                <w:color w:val="000000"/>
                <w:spacing w:val="-2"/>
                <w:sz w:val="17"/>
                <w:szCs w:val="17"/>
                <w:lang w:eastAsia="hr-HR"/>
              </w:rPr>
            </w:pPr>
            <w:r w:rsidRPr="00671A0D">
              <w:rPr>
                <w:rFonts w:ascii="Arial" w:eastAsia="Calibri" w:hAnsi="Arial" w:cs="Arial"/>
                <w:b/>
                <w:color w:val="000000"/>
                <w:spacing w:val="-2"/>
                <w:sz w:val="17"/>
                <w:szCs w:val="17"/>
                <w:lang w:eastAsia="hr-HR"/>
              </w:rPr>
              <w:t>100</w:t>
            </w:r>
          </w:p>
        </w:tc>
        <w:tc>
          <w:tcPr>
            <w:tcW w:w="607" w:type="pct"/>
            <w:tcBorders>
              <w:top w:val="single" w:sz="12" w:space="0" w:color="auto"/>
              <w:left w:val="nil"/>
              <w:bottom w:val="single" w:sz="12" w:space="0" w:color="auto"/>
              <w:right w:val="nil"/>
            </w:tcBorders>
            <w:shd w:val="clear" w:color="auto" w:fill="auto"/>
            <w:vAlign w:val="bottom"/>
          </w:tcPr>
          <w:p w14:paraId="487C71F6" w14:textId="77777777" w:rsidR="00794432" w:rsidRPr="00736C15" w:rsidRDefault="00794432" w:rsidP="00D707D6">
            <w:pPr>
              <w:tabs>
                <w:tab w:val="right" w:pos="1202"/>
              </w:tabs>
              <w:jc w:val="right"/>
              <w:outlineLvl w:val="0"/>
              <w:rPr>
                <w:rFonts w:ascii="Arial" w:eastAsia="Calibri" w:hAnsi="Arial" w:cs="Arial"/>
                <w:b/>
                <w:color w:val="000000"/>
                <w:spacing w:val="-2"/>
                <w:sz w:val="17"/>
                <w:szCs w:val="17"/>
                <w:lang w:eastAsia="hr-HR"/>
              </w:rPr>
            </w:pPr>
            <w:r w:rsidRPr="00671A0D">
              <w:rPr>
                <w:rFonts w:ascii="Arial" w:eastAsia="Calibri" w:hAnsi="Arial" w:cs="Arial"/>
                <w:b/>
                <w:color w:val="000000"/>
                <w:spacing w:val="-2"/>
                <w:sz w:val="17"/>
                <w:szCs w:val="17"/>
                <w:lang w:eastAsia="hr-HR"/>
              </w:rPr>
              <w:t>-</w:t>
            </w:r>
          </w:p>
        </w:tc>
      </w:tr>
    </w:tbl>
    <w:p w14:paraId="30B8E82A" w14:textId="6B26D8FD" w:rsidR="00CA60FA" w:rsidRPr="003D1614" w:rsidRDefault="00CA60FA" w:rsidP="006A67A0">
      <w:pPr>
        <w:tabs>
          <w:tab w:val="right" w:pos="1202"/>
        </w:tabs>
        <w:suppressAutoHyphens/>
        <w:autoSpaceDN w:val="0"/>
        <w:jc w:val="both"/>
        <w:outlineLvl w:val="0"/>
        <w:rPr>
          <w:rFonts w:ascii="Arial" w:eastAsia="Times New Roman" w:hAnsi="Arial" w:cs="Arial"/>
          <w:i/>
          <w:color w:val="000000" w:themeColor="text1"/>
          <w:sz w:val="18"/>
          <w:szCs w:val="18"/>
        </w:rPr>
      </w:pPr>
    </w:p>
    <w:p w14:paraId="4C5F506E" w14:textId="7F9D62CD" w:rsidR="00CA60FA" w:rsidRPr="003D1614" w:rsidRDefault="00CA60FA" w:rsidP="006A67A0">
      <w:pPr>
        <w:tabs>
          <w:tab w:val="right" w:pos="1202"/>
        </w:tabs>
        <w:suppressAutoHyphens/>
        <w:autoSpaceDN w:val="0"/>
        <w:jc w:val="both"/>
        <w:outlineLvl w:val="0"/>
        <w:rPr>
          <w:rFonts w:ascii="Arial" w:eastAsia="Times New Roman" w:hAnsi="Arial" w:cs="Arial"/>
          <w:i/>
          <w:color w:val="000000" w:themeColor="text1"/>
          <w:sz w:val="18"/>
          <w:szCs w:val="18"/>
        </w:rPr>
      </w:pPr>
    </w:p>
    <w:p w14:paraId="7684485A" w14:textId="77777777" w:rsidR="00CA60FA" w:rsidRPr="003D1614" w:rsidRDefault="00CA60FA" w:rsidP="006A67A0">
      <w:pPr>
        <w:tabs>
          <w:tab w:val="right" w:pos="1202"/>
        </w:tabs>
        <w:suppressAutoHyphens/>
        <w:autoSpaceDN w:val="0"/>
        <w:jc w:val="both"/>
        <w:outlineLvl w:val="0"/>
        <w:rPr>
          <w:rFonts w:ascii="Arial" w:eastAsia="Times New Roman" w:hAnsi="Arial" w:cs="Arial"/>
          <w:i/>
          <w:color w:val="000000" w:themeColor="text1"/>
          <w:sz w:val="18"/>
          <w:szCs w:val="18"/>
        </w:rPr>
        <w:sectPr w:rsidR="00CA60FA" w:rsidRPr="003D1614" w:rsidSect="003278AB">
          <w:pgSz w:w="11906" w:h="16838"/>
          <w:pgMar w:top="1417" w:right="1417" w:bottom="1417" w:left="1417" w:header="708" w:footer="708" w:gutter="0"/>
          <w:cols w:space="708"/>
          <w:docGrid w:linePitch="360"/>
        </w:sectPr>
      </w:pPr>
    </w:p>
    <w:p w14:paraId="53E44051" w14:textId="4BD8983C" w:rsidR="00CA60FA" w:rsidRPr="003D1614" w:rsidRDefault="00CA60FA" w:rsidP="006A67A0">
      <w:pPr>
        <w:tabs>
          <w:tab w:val="right" w:pos="1202"/>
        </w:tabs>
        <w:suppressAutoHyphens/>
        <w:autoSpaceDN w:val="0"/>
        <w:jc w:val="both"/>
        <w:outlineLvl w:val="0"/>
        <w:rPr>
          <w:rFonts w:ascii="Arial" w:eastAsia="Times New Roman" w:hAnsi="Arial" w:cs="Arial"/>
          <w:i/>
          <w:color w:val="000000" w:themeColor="text1"/>
          <w:sz w:val="18"/>
          <w:szCs w:val="18"/>
        </w:rPr>
      </w:pPr>
    </w:p>
    <w:p w14:paraId="0DCFABAF" w14:textId="28ABF524" w:rsidR="00CA60FA" w:rsidRPr="003D1614" w:rsidRDefault="00CA60FA" w:rsidP="00CA60FA">
      <w:pPr>
        <w:keepNext/>
        <w:suppressAutoHyphens/>
        <w:autoSpaceDN w:val="0"/>
        <w:ind w:left="709" w:hanging="709"/>
        <w:jc w:val="both"/>
        <w:outlineLvl w:val="0"/>
        <w:rPr>
          <w:rFonts w:ascii="Arial" w:eastAsia="Times New Roman" w:hAnsi="Arial" w:cs="Arial"/>
          <w:b/>
          <w:bCs/>
          <w:color w:val="000000" w:themeColor="text1"/>
          <w:spacing w:val="-3"/>
          <w:sz w:val="20"/>
          <w:szCs w:val="20"/>
        </w:rPr>
      </w:pPr>
      <w:r w:rsidRPr="003D1614">
        <w:rPr>
          <w:rFonts w:ascii="Arial" w:eastAsia="Times New Roman" w:hAnsi="Arial" w:cs="Arial"/>
          <w:b/>
          <w:bCs/>
          <w:color w:val="000000" w:themeColor="text1"/>
          <w:spacing w:val="-3"/>
          <w:sz w:val="20"/>
          <w:szCs w:val="20"/>
        </w:rPr>
        <w:t>2</w:t>
      </w:r>
      <w:r w:rsidR="00C55B0C">
        <w:rPr>
          <w:rFonts w:ascii="Arial" w:eastAsia="Times New Roman" w:hAnsi="Arial" w:cs="Arial"/>
          <w:b/>
          <w:bCs/>
          <w:color w:val="000000" w:themeColor="text1"/>
          <w:spacing w:val="-3"/>
          <w:sz w:val="20"/>
          <w:szCs w:val="20"/>
        </w:rPr>
        <w:t>4</w:t>
      </w:r>
      <w:r w:rsidRPr="003D1614">
        <w:rPr>
          <w:rFonts w:ascii="Arial" w:eastAsia="Times New Roman" w:hAnsi="Arial" w:cs="Arial"/>
          <w:b/>
          <w:bCs/>
          <w:color w:val="000000" w:themeColor="text1"/>
          <w:spacing w:val="-3"/>
          <w:sz w:val="20"/>
          <w:szCs w:val="20"/>
        </w:rPr>
        <w:t xml:space="preserve">. </w:t>
      </w:r>
      <w:r w:rsidRPr="003D1614">
        <w:rPr>
          <w:rFonts w:ascii="Arial" w:eastAsia="Times New Roman" w:hAnsi="Arial" w:cs="Arial"/>
          <w:b/>
          <w:bCs/>
          <w:color w:val="000000" w:themeColor="text1"/>
          <w:spacing w:val="-3"/>
          <w:sz w:val="20"/>
          <w:szCs w:val="20"/>
        </w:rPr>
        <w:tab/>
        <w:t>Fer vrijednost financijske imovine i financijskih obveza (nastavak)</w:t>
      </w:r>
    </w:p>
    <w:p w14:paraId="72FA059A" w14:textId="77777777" w:rsidR="00CA60FA" w:rsidRPr="003D1614" w:rsidRDefault="00CA60FA" w:rsidP="00CA60FA">
      <w:pPr>
        <w:keepNext/>
        <w:suppressAutoHyphens/>
        <w:autoSpaceDN w:val="0"/>
        <w:ind w:left="709" w:hanging="709"/>
        <w:jc w:val="both"/>
        <w:outlineLvl w:val="0"/>
        <w:rPr>
          <w:rFonts w:ascii="Arial" w:eastAsia="Times New Roman" w:hAnsi="Arial" w:cs="Arial"/>
          <w:bCs/>
          <w:color w:val="000000" w:themeColor="text1"/>
          <w:spacing w:val="-3"/>
          <w:sz w:val="12"/>
          <w:szCs w:val="12"/>
        </w:rPr>
      </w:pPr>
    </w:p>
    <w:p w14:paraId="6A19097B" w14:textId="77777777" w:rsidR="00CA60FA" w:rsidRPr="003D1614" w:rsidRDefault="00CA60FA" w:rsidP="00CA60FA">
      <w:pPr>
        <w:keepNext/>
        <w:suppressAutoHyphens/>
        <w:autoSpaceDN w:val="0"/>
        <w:ind w:left="709" w:hanging="709"/>
        <w:jc w:val="both"/>
        <w:outlineLvl w:val="0"/>
        <w:rPr>
          <w:rFonts w:ascii="Arial" w:eastAsia="Times New Roman" w:hAnsi="Arial" w:cs="Arial"/>
          <w:b/>
          <w:bCs/>
          <w:color w:val="000000" w:themeColor="text1"/>
          <w:spacing w:val="-3"/>
          <w:sz w:val="14"/>
          <w:szCs w:val="14"/>
        </w:rPr>
      </w:pPr>
    </w:p>
    <w:p w14:paraId="5D8DAE7D" w14:textId="532E1473" w:rsidR="00CA60FA" w:rsidRPr="003D1614" w:rsidRDefault="00CA60FA" w:rsidP="00CA60FA">
      <w:pPr>
        <w:keepNext/>
        <w:suppressAutoHyphens/>
        <w:autoSpaceDN w:val="0"/>
        <w:ind w:left="709" w:hanging="709"/>
        <w:jc w:val="both"/>
        <w:outlineLvl w:val="0"/>
        <w:rPr>
          <w:rFonts w:ascii="Arial" w:eastAsia="Times New Roman" w:hAnsi="Arial" w:cs="Arial"/>
          <w:b/>
          <w:bCs/>
          <w:color w:val="000000" w:themeColor="text1"/>
          <w:spacing w:val="-3"/>
          <w:sz w:val="20"/>
          <w:szCs w:val="20"/>
        </w:rPr>
      </w:pPr>
      <w:r w:rsidRPr="003D1614">
        <w:rPr>
          <w:rFonts w:ascii="Arial" w:eastAsia="Times New Roman" w:hAnsi="Arial" w:cs="Arial"/>
          <w:b/>
          <w:bCs/>
          <w:color w:val="000000" w:themeColor="text1"/>
          <w:spacing w:val="-3"/>
          <w:sz w:val="20"/>
          <w:szCs w:val="20"/>
        </w:rPr>
        <w:t>2</w:t>
      </w:r>
      <w:r w:rsidR="00C55B0C">
        <w:rPr>
          <w:rFonts w:ascii="Arial" w:eastAsia="Times New Roman" w:hAnsi="Arial" w:cs="Arial"/>
          <w:b/>
          <w:bCs/>
          <w:color w:val="000000" w:themeColor="text1"/>
          <w:spacing w:val="-3"/>
          <w:sz w:val="20"/>
          <w:szCs w:val="20"/>
        </w:rPr>
        <w:t>4</w:t>
      </w:r>
      <w:r w:rsidRPr="003D1614">
        <w:rPr>
          <w:rFonts w:ascii="Arial" w:eastAsia="Times New Roman" w:hAnsi="Arial" w:cs="Arial"/>
          <w:b/>
          <w:bCs/>
          <w:color w:val="000000" w:themeColor="text1"/>
          <w:spacing w:val="-3"/>
          <w:sz w:val="20"/>
          <w:szCs w:val="20"/>
        </w:rPr>
        <w:t xml:space="preserve">.1. </w:t>
      </w:r>
      <w:r w:rsidRPr="003D1614">
        <w:rPr>
          <w:rFonts w:ascii="Arial" w:eastAsia="Times New Roman" w:hAnsi="Arial" w:cs="Arial"/>
          <w:b/>
          <w:bCs/>
          <w:color w:val="000000" w:themeColor="text1"/>
          <w:spacing w:val="-3"/>
          <w:sz w:val="20"/>
          <w:szCs w:val="20"/>
        </w:rPr>
        <w:tab/>
        <w:t>Fer vrijednost financijske imovine i financijskih obveza koji se vode po fer vrijednosti (nastavak)</w:t>
      </w:r>
    </w:p>
    <w:p w14:paraId="1F6BE673" w14:textId="712A5990" w:rsidR="00CA60FA" w:rsidRPr="003D1614" w:rsidRDefault="00CA60FA" w:rsidP="00CA60FA">
      <w:pPr>
        <w:keepNext/>
        <w:suppressAutoHyphens/>
        <w:autoSpaceDN w:val="0"/>
        <w:jc w:val="both"/>
        <w:outlineLvl w:val="0"/>
        <w:rPr>
          <w:rFonts w:ascii="Arial" w:eastAsia="Times New Roman" w:hAnsi="Arial" w:cs="Arial"/>
          <w:color w:val="000000" w:themeColor="text1"/>
          <w:spacing w:val="-3"/>
          <w:sz w:val="12"/>
          <w:szCs w:val="12"/>
        </w:rPr>
      </w:pPr>
    </w:p>
    <w:p w14:paraId="00BACCBF" w14:textId="77777777" w:rsidR="00CA60FA" w:rsidRPr="003D1614" w:rsidRDefault="00CA60FA" w:rsidP="00CA60FA">
      <w:pPr>
        <w:keepNext/>
        <w:suppressAutoHyphens/>
        <w:autoSpaceDN w:val="0"/>
        <w:jc w:val="both"/>
        <w:outlineLvl w:val="0"/>
        <w:rPr>
          <w:rFonts w:ascii="Arial" w:eastAsia="Times New Roman" w:hAnsi="Arial" w:cs="Arial"/>
          <w:color w:val="000000" w:themeColor="text1"/>
          <w:spacing w:val="-3"/>
          <w:sz w:val="12"/>
          <w:szCs w:val="12"/>
        </w:rPr>
      </w:pPr>
    </w:p>
    <w:tbl>
      <w:tblPr>
        <w:tblW w:w="9274" w:type="dxa"/>
        <w:jc w:val="center"/>
        <w:tblLayout w:type="fixed"/>
        <w:tblCellMar>
          <w:left w:w="122" w:type="dxa"/>
          <w:right w:w="122" w:type="dxa"/>
        </w:tblCellMar>
        <w:tblLook w:val="0000" w:firstRow="0" w:lastRow="0" w:firstColumn="0" w:lastColumn="0" w:noHBand="0" w:noVBand="0"/>
      </w:tblPr>
      <w:tblGrid>
        <w:gridCol w:w="6094"/>
        <w:gridCol w:w="1060"/>
        <w:gridCol w:w="1060"/>
        <w:gridCol w:w="1060"/>
      </w:tblGrid>
      <w:tr w:rsidR="00CA60FA" w:rsidRPr="003D1614" w14:paraId="716C56E7" w14:textId="77777777" w:rsidTr="00BC10BC">
        <w:trPr>
          <w:trHeight w:val="311"/>
          <w:jc w:val="center"/>
        </w:trPr>
        <w:tc>
          <w:tcPr>
            <w:tcW w:w="6094" w:type="dxa"/>
            <w:shd w:val="clear" w:color="auto" w:fill="auto"/>
          </w:tcPr>
          <w:p w14:paraId="6FA3564B" w14:textId="77777777" w:rsidR="00CA60FA" w:rsidRPr="003D1614" w:rsidRDefault="00CA60FA" w:rsidP="00CA60FA">
            <w:pPr>
              <w:tabs>
                <w:tab w:val="right" w:pos="1202"/>
              </w:tabs>
              <w:suppressAutoHyphens/>
              <w:autoSpaceDN w:val="0"/>
              <w:outlineLvl w:val="0"/>
              <w:rPr>
                <w:rFonts w:ascii="Arial" w:eastAsia="Calibri" w:hAnsi="Arial" w:cs="Arial"/>
                <w:color w:val="000000"/>
                <w:sz w:val="17"/>
                <w:szCs w:val="17"/>
              </w:rPr>
            </w:pPr>
            <w:bookmarkStart w:id="1026" w:name="_Toc67331017"/>
            <w:r w:rsidRPr="003D1614">
              <w:rPr>
                <w:rFonts w:ascii="Arial" w:eastAsia="Calibri" w:hAnsi="Arial" w:cs="Arial"/>
                <w:b/>
                <w:color w:val="000000"/>
                <w:sz w:val="17"/>
                <w:szCs w:val="17"/>
              </w:rPr>
              <w:t>Banka</w:t>
            </w:r>
            <w:bookmarkEnd w:id="1026"/>
          </w:p>
        </w:tc>
        <w:tc>
          <w:tcPr>
            <w:tcW w:w="3180" w:type="dxa"/>
            <w:gridSpan w:val="3"/>
          </w:tcPr>
          <w:p w14:paraId="68326C29" w14:textId="74D2FED9" w:rsidR="00CA60FA" w:rsidRPr="003D1614" w:rsidRDefault="00E16D06" w:rsidP="00CA60FA">
            <w:pPr>
              <w:tabs>
                <w:tab w:val="right" w:pos="1202"/>
              </w:tabs>
              <w:suppressAutoHyphens/>
              <w:autoSpaceDN w:val="0"/>
              <w:jc w:val="right"/>
              <w:outlineLvl w:val="0"/>
              <w:rPr>
                <w:rFonts w:ascii="Arial" w:eastAsia="Calibri" w:hAnsi="Arial" w:cs="Arial"/>
                <w:b/>
                <w:bCs/>
                <w:color w:val="000000"/>
                <w:sz w:val="17"/>
                <w:szCs w:val="17"/>
              </w:rPr>
            </w:pPr>
            <w:r w:rsidRPr="00E16D06">
              <w:rPr>
                <w:rFonts w:ascii="Arial" w:eastAsia="Calibri" w:hAnsi="Arial" w:cs="Arial"/>
                <w:b/>
                <w:bCs/>
                <w:color w:val="000000"/>
                <w:sz w:val="17"/>
                <w:szCs w:val="17"/>
              </w:rPr>
              <w:t>30. rujna 202</w:t>
            </w:r>
            <w:r w:rsidR="00794432">
              <w:rPr>
                <w:rFonts w:ascii="Arial" w:eastAsia="Calibri" w:hAnsi="Arial" w:cs="Arial"/>
                <w:b/>
                <w:bCs/>
                <w:color w:val="000000"/>
                <w:sz w:val="17"/>
                <w:szCs w:val="17"/>
              </w:rPr>
              <w:t>4</w:t>
            </w:r>
            <w:r w:rsidRPr="00E16D06">
              <w:rPr>
                <w:rFonts w:ascii="Arial" w:eastAsia="Calibri" w:hAnsi="Arial" w:cs="Arial"/>
                <w:b/>
                <w:bCs/>
                <w:color w:val="000000"/>
                <w:sz w:val="17"/>
                <w:szCs w:val="17"/>
              </w:rPr>
              <w:t>.</w:t>
            </w:r>
          </w:p>
        </w:tc>
      </w:tr>
      <w:tr w:rsidR="00CA60FA" w:rsidRPr="003D1614" w14:paraId="5E434A47" w14:textId="77777777" w:rsidTr="00BC10BC">
        <w:trPr>
          <w:trHeight w:val="311"/>
          <w:jc w:val="center"/>
        </w:trPr>
        <w:tc>
          <w:tcPr>
            <w:tcW w:w="6094" w:type="dxa"/>
            <w:shd w:val="clear" w:color="auto" w:fill="auto"/>
            <w:vAlign w:val="bottom"/>
          </w:tcPr>
          <w:p w14:paraId="644EDF57" w14:textId="77777777" w:rsidR="00CA60FA" w:rsidRPr="003D1614" w:rsidRDefault="00CA60FA" w:rsidP="00CA60FA">
            <w:pPr>
              <w:tabs>
                <w:tab w:val="right" w:pos="1202"/>
              </w:tabs>
              <w:suppressAutoHyphens/>
              <w:autoSpaceDN w:val="0"/>
              <w:outlineLvl w:val="0"/>
              <w:rPr>
                <w:rFonts w:ascii="Arial" w:eastAsia="Calibri" w:hAnsi="Arial" w:cs="Arial"/>
                <w:color w:val="000000"/>
                <w:spacing w:val="-2"/>
                <w:sz w:val="17"/>
                <w:szCs w:val="17"/>
              </w:rPr>
            </w:pPr>
          </w:p>
        </w:tc>
        <w:tc>
          <w:tcPr>
            <w:tcW w:w="1060" w:type="dxa"/>
            <w:shd w:val="clear" w:color="auto" w:fill="auto"/>
            <w:vAlign w:val="bottom"/>
          </w:tcPr>
          <w:p w14:paraId="40DAFD86" w14:textId="77777777" w:rsidR="00CA60FA" w:rsidRPr="003D1614" w:rsidRDefault="00CA60FA" w:rsidP="00CA60FA">
            <w:pPr>
              <w:tabs>
                <w:tab w:val="right" w:pos="1202"/>
              </w:tabs>
              <w:suppressAutoHyphens/>
              <w:autoSpaceDN w:val="0"/>
              <w:jc w:val="right"/>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Razina 1</w:t>
            </w:r>
          </w:p>
        </w:tc>
        <w:tc>
          <w:tcPr>
            <w:tcW w:w="1060" w:type="dxa"/>
            <w:shd w:val="clear" w:color="auto" w:fill="auto"/>
            <w:vAlign w:val="bottom"/>
          </w:tcPr>
          <w:p w14:paraId="2C3CCD41" w14:textId="77777777" w:rsidR="00CA60FA" w:rsidRPr="003D1614" w:rsidRDefault="00CA60FA" w:rsidP="00CA60FA">
            <w:pPr>
              <w:tabs>
                <w:tab w:val="right" w:pos="1202"/>
              </w:tabs>
              <w:suppressAutoHyphens/>
              <w:autoSpaceDN w:val="0"/>
              <w:jc w:val="right"/>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Razina 2</w:t>
            </w:r>
          </w:p>
        </w:tc>
        <w:tc>
          <w:tcPr>
            <w:tcW w:w="1060" w:type="dxa"/>
            <w:shd w:val="clear" w:color="auto" w:fill="auto"/>
            <w:vAlign w:val="bottom"/>
          </w:tcPr>
          <w:p w14:paraId="339B0CB5" w14:textId="77777777" w:rsidR="00CA60FA" w:rsidRPr="003D1614" w:rsidRDefault="00CA60FA" w:rsidP="00CA60FA">
            <w:pPr>
              <w:tabs>
                <w:tab w:val="right" w:pos="1202"/>
              </w:tabs>
              <w:suppressAutoHyphens/>
              <w:autoSpaceDN w:val="0"/>
              <w:jc w:val="right"/>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Razina 3</w:t>
            </w:r>
          </w:p>
        </w:tc>
      </w:tr>
      <w:tr w:rsidR="00CA60FA" w:rsidRPr="003D1614" w14:paraId="258C5BDB" w14:textId="77777777" w:rsidTr="00BC10BC">
        <w:trPr>
          <w:trHeight w:val="311"/>
          <w:jc w:val="center"/>
        </w:trPr>
        <w:tc>
          <w:tcPr>
            <w:tcW w:w="6094" w:type="dxa"/>
            <w:shd w:val="clear" w:color="auto" w:fill="auto"/>
            <w:vAlign w:val="bottom"/>
          </w:tcPr>
          <w:p w14:paraId="56856D6B" w14:textId="77777777" w:rsidR="00CA60FA" w:rsidRPr="003D1614" w:rsidRDefault="00CA60FA" w:rsidP="00CA60FA">
            <w:pPr>
              <w:tabs>
                <w:tab w:val="right" w:pos="1202"/>
              </w:tabs>
              <w:suppressAutoHyphens/>
              <w:autoSpaceDN w:val="0"/>
              <w:outlineLvl w:val="0"/>
              <w:rPr>
                <w:rFonts w:ascii="Arial" w:eastAsia="Calibri" w:hAnsi="Arial" w:cs="Arial"/>
                <w:color w:val="000000"/>
                <w:spacing w:val="-2"/>
                <w:sz w:val="17"/>
                <w:szCs w:val="17"/>
              </w:rPr>
            </w:pPr>
          </w:p>
        </w:tc>
        <w:tc>
          <w:tcPr>
            <w:tcW w:w="1060" w:type="dxa"/>
            <w:shd w:val="clear" w:color="auto" w:fill="auto"/>
            <w:vAlign w:val="bottom"/>
          </w:tcPr>
          <w:p w14:paraId="57C383BA" w14:textId="4C962AE3" w:rsidR="00CA60FA" w:rsidRPr="003D1614" w:rsidRDefault="00CA60FA" w:rsidP="00CA60FA">
            <w:pPr>
              <w:tabs>
                <w:tab w:val="right" w:pos="1202"/>
              </w:tabs>
              <w:suppressAutoHyphens/>
              <w:autoSpaceDN w:val="0"/>
              <w:jc w:val="right"/>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000 eura</w:t>
            </w:r>
          </w:p>
        </w:tc>
        <w:tc>
          <w:tcPr>
            <w:tcW w:w="1060" w:type="dxa"/>
            <w:shd w:val="clear" w:color="auto" w:fill="auto"/>
            <w:vAlign w:val="bottom"/>
          </w:tcPr>
          <w:p w14:paraId="02A158F5" w14:textId="46FEAADC" w:rsidR="00CA60FA" w:rsidRPr="003D1614" w:rsidRDefault="00CA60FA" w:rsidP="00CA60FA">
            <w:pPr>
              <w:tabs>
                <w:tab w:val="right" w:pos="1202"/>
              </w:tabs>
              <w:suppressAutoHyphens/>
              <w:autoSpaceDN w:val="0"/>
              <w:jc w:val="right"/>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000 eura</w:t>
            </w:r>
          </w:p>
        </w:tc>
        <w:tc>
          <w:tcPr>
            <w:tcW w:w="1060" w:type="dxa"/>
            <w:shd w:val="clear" w:color="auto" w:fill="auto"/>
            <w:vAlign w:val="bottom"/>
          </w:tcPr>
          <w:p w14:paraId="02DE4F14" w14:textId="5DE8E16B" w:rsidR="00CA60FA" w:rsidRPr="003D1614" w:rsidRDefault="00CA60FA" w:rsidP="00CA60FA">
            <w:pPr>
              <w:tabs>
                <w:tab w:val="right" w:pos="1202"/>
              </w:tabs>
              <w:suppressAutoHyphens/>
              <w:autoSpaceDN w:val="0"/>
              <w:jc w:val="right"/>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000 eura</w:t>
            </w:r>
          </w:p>
        </w:tc>
      </w:tr>
      <w:tr w:rsidR="00CA60FA" w:rsidRPr="003D1614" w14:paraId="55511809" w14:textId="77777777" w:rsidTr="00BC10BC">
        <w:trPr>
          <w:trHeight w:val="283"/>
          <w:jc w:val="center"/>
        </w:trPr>
        <w:tc>
          <w:tcPr>
            <w:tcW w:w="6094" w:type="dxa"/>
            <w:vAlign w:val="bottom"/>
          </w:tcPr>
          <w:p w14:paraId="14ACA3C4" w14:textId="77777777" w:rsidR="00CA60FA" w:rsidRPr="003D1614" w:rsidRDefault="00CA60FA" w:rsidP="00CA60FA">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b/>
                <w:color w:val="000000"/>
                <w:sz w:val="17"/>
                <w:szCs w:val="17"/>
              </w:rPr>
              <w:t>Financijska imovina po fer vrijednosti kroz dobit ili gubitak:</w:t>
            </w:r>
          </w:p>
        </w:tc>
        <w:tc>
          <w:tcPr>
            <w:tcW w:w="1060" w:type="dxa"/>
            <w:vAlign w:val="bottom"/>
          </w:tcPr>
          <w:p w14:paraId="3E1365C7" w14:textId="77777777" w:rsidR="00CA60FA" w:rsidRPr="003D1614" w:rsidRDefault="00CA60FA" w:rsidP="00CA60FA">
            <w:pPr>
              <w:tabs>
                <w:tab w:val="right" w:pos="1202"/>
              </w:tabs>
              <w:suppressAutoHyphens/>
              <w:autoSpaceDN w:val="0"/>
              <w:jc w:val="right"/>
              <w:outlineLvl w:val="0"/>
              <w:rPr>
                <w:rFonts w:ascii="Arial" w:eastAsia="Calibri" w:hAnsi="Arial" w:cs="Arial"/>
                <w:b/>
                <w:color w:val="000000"/>
                <w:spacing w:val="-2"/>
                <w:sz w:val="17"/>
                <w:szCs w:val="17"/>
              </w:rPr>
            </w:pPr>
          </w:p>
        </w:tc>
        <w:tc>
          <w:tcPr>
            <w:tcW w:w="1060" w:type="dxa"/>
            <w:vAlign w:val="bottom"/>
          </w:tcPr>
          <w:p w14:paraId="09345964" w14:textId="77777777" w:rsidR="00CA60FA" w:rsidRPr="003D1614" w:rsidRDefault="00CA60FA" w:rsidP="00CA60FA">
            <w:pPr>
              <w:tabs>
                <w:tab w:val="right" w:pos="1202"/>
              </w:tabs>
              <w:suppressAutoHyphens/>
              <w:autoSpaceDN w:val="0"/>
              <w:jc w:val="right"/>
              <w:outlineLvl w:val="0"/>
              <w:rPr>
                <w:rFonts w:ascii="Arial" w:eastAsia="Calibri" w:hAnsi="Arial" w:cs="Arial"/>
                <w:b/>
                <w:color w:val="000000"/>
                <w:spacing w:val="-2"/>
                <w:sz w:val="17"/>
                <w:szCs w:val="17"/>
              </w:rPr>
            </w:pPr>
          </w:p>
        </w:tc>
        <w:tc>
          <w:tcPr>
            <w:tcW w:w="1060" w:type="dxa"/>
            <w:vAlign w:val="bottom"/>
          </w:tcPr>
          <w:p w14:paraId="3855F97E" w14:textId="77777777" w:rsidR="00CA60FA" w:rsidRPr="003D1614" w:rsidRDefault="00CA60FA" w:rsidP="00CA60FA">
            <w:pPr>
              <w:tabs>
                <w:tab w:val="right" w:pos="1202"/>
              </w:tabs>
              <w:suppressAutoHyphens/>
              <w:autoSpaceDN w:val="0"/>
              <w:jc w:val="right"/>
              <w:outlineLvl w:val="0"/>
              <w:rPr>
                <w:rFonts w:ascii="Arial" w:eastAsia="Calibri" w:hAnsi="Arial" w:cs="Arial"/>
                <w:b/>
                <w:color w:val="000000"/>
                <w:spacing w:val="-2"/>
                <w:sz w:val="17"/>
                <w:szCs w:val="17"/>
              </w:rPr>
            </w:pPr>
          </w:p>
        </w:tc>
      </w:tr>
      <w:tr w:rsidR="00CA60FA" w:rsidRPr="003D1614" w14:paraId="1DE9890B" w14:textId="77777777" w:rsidTr="00BC10BC">
        <w:trPr>
          <w:trHeight w:val="283"/>
          <w:jc w:val="center"/>
        </w:trPr>
        <w:tc>
          <w:tcPr>
            <w:tcW w:w="6094" w:type="dxa"/>
            <w:vAlign w:val="bottom"/>
          </w:tcPr>
          <w:p w14:paraId="2313F321" w14:textId="77777777" w:rsidR="00CA60FA" w:rsidRPr="003D1614" w:rsidRDefault="00CA60FA" w:rsidP="00CA60FA">
            <w:pPr>
              <w:tabs>
                <w:tab w:val="right" w:pos="1202"/>
              </w:tabs>
              <w:suppressAutoHyphens/>
              <w:autoSpaceDN w:val="0"/>
              <w:outlineLvl w:val="0"/>
              <w:rPr>
                <w:rFonts w:ascii="Arial" w:eastAsia="Calibri" w:hAnsi="Arial" w:cs="Arial"/>
                <w:b/>
                <w:i/>
                <w:color w:val="000000"/>
                <w:sz w:val="17"/>
                <w:szCs w:val="17"/>
              </w:rPr>
            </w:pPr>
            <w:r w:rsidRPr="003D1614">
              <w:rPr>
                <w:rFonts w:ascii="Arial" w:eastAsia="Calibri" w:hAnsi="Arial" w:cs="Arial"/>
                <w:b/>
                <w:i/>
                <w:color w:val="000000"/>
                <w:sz w:val="17"/>
                <w:szCs w:val="17"/>
              </w:rPr>
              <w:t>Krediti po fer vrijednosti kroz dobit ili gubitak:</w:t>
            </w:r>
          </w:p>
        </w:tc>
        <w:tc>
          <w:tcPr>
            <w:tcW w:w="1060" w:type="dxa"/>
            <w:tcBorders>
              <w:top w:val="nil"/>
              <w:left w:val="nil"/>
              <w:right w:val="nil"/>
            </w:tcBorders>
            <w:shd w:val="clear" w:color="auto" w:fill="auto"/>
            <w:vAlign w:val="bottom"/>
          </w:tcPr>
          <w:p w14:paraId="4F62F501" w14:textId="77777777" w:rsidR="00CA60FA" w:rsidRPr="003D1614" w:rsidRDefault="00CA60FA" w:rsidP="00CA60FA">
            <w:pPr>
              <w:tabs>
                <w:tab w:val="right" w:pos="1202"/>
              </w:tabs>
              <w:suppressAutoHyphens/>
              <w:autoSpaceDN w:val="0"/>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225E1429" w14:textId="77777777" w:rsidR="00CA60FA" w:rsidRPr="003D1614" w:rsidRDefault="00CA60FA" w:rsidP="00CA60FA">
            <w:pPr>
              <w:tabs>
                <w:tab w:val="right" w:pos="1202"/>
              </w:tabs>
              <w:suppressAutoHyphens/>
              <w:autoSpaceDN w:val="0"/>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0E3838D9" w14:textId="77777777" w:rsidR="00CA60FA" w:rsidRPr="003D1614" w:rsidRDefault="00CA60FA" w:rsidP="00CA60FA">
            <w:pPr>
              <w:tabs>
                <w:tab w:val="right" w:pos="1202"/>
              </w:tabs>
              <w:suppressAutoHyphens/>
              <w:autoSpaceDN w:val="0"/>
              <w:jc w:val="right"/>
              <w:outlineLvl w:val="0"/>
              <w:rPr>
                <w:rFonts w:ascii="Arial" w:eastAsia="Calibri" w:hAnsi="Arial" w:cs="Arial"/>
                <w:color w:val="000000"/>
                <w:sz w:val="17"/>
                <w:szCs w:val="17"/>
              </w:rPr>
            </w:pPr>
          </w:p>
        </w:tc>
      </w:tr>
      <w:tr w:rsidR="00EB7EF1" w:rsidRPr="003D1614" w14:paraId="4A833837" w14:textId="77777777" w:rsidTr="0059218D">
        <w:trPr>
          <w:trHeight w:val="283"/>
          <w:jc w:val="center"/>
        </w:trPr>
        <w:tc>
          <w:tcPr>
            <w:tcW w:w="6094" w:type="dxa"/>
            <w:vAlign w:val="bottom"/>
          </w:tcPr>
          <w:p w14:paraId="233B24EB" w14:textId="77777777" w:rsidR="00EB7EF1" w:rsidRPr="003D1614" w:rsidRDefault="00EB7EF1" w:rsidP="00EB7EF1">
            <w:pPr>
              <w:tabs>
                <w:tab w:val="right" w:pos="1202"/>
              </w:tabs>
              <w:suppressAutoHyphens/>
              <w:autoSpaceDN w:val="0"/>
              <w:outlineLvl w:val="0"/>
              <w:rPr>
                <w:rFonts w:ascii="Arial" w:eastAsia="Calibri" w:hAnsi="Arial" w:cs="Arial"/>
                <w:color w:val="000000"/>
                <w:sz w:val="17"/>
                <w:szCs w:val="17"/>
              </w:rPr>
            </w:pPr>
            <w:r w:rsidRPr="003D1614">
              <w:rPr>
                <w:rFonts w:ascii="Arial" w:eastAsia="Calibri" w:hAnsi="Arial" w:cs="Arial"/>
                <w:color w:val="000000"/>
                <w:sz w:val="17"/>
                <w:szCs w:val="17"/>
              </w:rPr>
              <w:t>Mezzanine krediti</w:t>
            </w:r>
          </w:p>
        </w:tc>
        <w:tc>
          <w:tcPr>
            <w:tcW w:w="1060" w:type="dxa"/>
            <w:tcBorders>
              <w:top w:val="nil"/>
              <w:left w:val="nil"/>
              <w:right w:val="nil"/>
            </w:tcBorders>
            <w:shd w:val="clear" w:color="auto" w:fill="auto"/>
            <w:vAlign w:val="bottom"/>
          </w:tcPr>
          <w:p w14:paraId="2F040E82" w14:textId="31F600DC" w:rsidR="00EB7EF1" w:rsidRPr="0059218D" w:rsidRDefault="00EB7EF1" w:rsidP="00EB7EF1">
            <w:pPr>
              <w:tabs>
                <w:tab w:val="right" w:pos="1202"/>
              </w:tabs>
              <w:suppressAutoHyphens/>
              <w:autoSpaceDN w:val="0"/>
              <w:jc w:val="right"/>
              <w:outlineLvl w:val="0"/>
              <w:rPr>
                <w:rFonts w:ascii="Arial" w:eastAsia="Calibri" w:hAnsi="Arial" w:cs="Arial"/>
                <w:color w:val="000000"/>
                <w:sz w:val="17"/>
                <w:szCs w:val="17"/>
              </w:rPr>
            </w:pPr>
            <w:r w:rsidRPr="0059218D">
              <w:rPr>
                <w:rFonts w:ascii="Arial" w:hAnsi="Arial" w:cs="Arial"/>
                <w:sz w:val="17"/>
                <w:szCs w:val="17"/>
              </w:rPr>
              <w:t>-</w:t>
            </w:r>
          </w:p>
        </w:tc>
        <w:tc>
          <w:tcPr>
            <w:tcW w:w="1060" w:type="dxa"/>
            <w:tcBorders>
              <w:top w:val="nil"/>
              <w:left w:val="nil"/>
              <w:right w:val="nil"/>
            </w:tcBorders>
            <w:shd w:val="clear" w:color="auto" w:fill="auto"/>
            <w:vAlign w:val="bottom"/>
          </w:tcPr>
          <w:p w14:paraId="49AD6179" w14:textId="458BC852" w:rsidR="00EB7EF1" w:rsidRPr="0059218D" w:rsidRDefault="00EB7EF1" w:rsidP="00EB7EF1">
            <w:pPr>
              <w:tabs>
                <w:tab w:val="right" w:pos="1202"/>
              </w:tabs>
              <w:suppressAutoHyphens/>
              <w:autoSpaceDN w:val="0"/>
              <w:jc w:val="right"/>
              <w:outlineLvl w:val="0"/>
              <w:rPr>
                <w:rFonts w:ascii="Arial" w:eastAsia="Calibri" w:hAnsi="Arial" w:cs="Arial"/>
                <w:color w:val="000000"/>
                <w:sz w:val="17"/>
                <w:szCs w:val="17"/>
              </w:rPr>
            </w:pPr>
            <w:r w:rsidRPr="0059218D">
              <w:rPr>
                <w:rFonts w:ascii="Arial" w:hAnsi="Arial" w:cs="Arial"/>
                <w:sz w:val="17"/>
                <w:szCs w:val="17"/>
              </w:rPr>
              <w:t>-</w:t>
            </w:r>
          </w:p>
        </w:tc>
        <w:tc>
          <w:tcPr>
            <w:tcW w:w="1060" w:type="dxa"/>
            <w:tcBorders>
              <w:top w:val="nil"/>
              <w:left w:val="nil"/>
              <w:right w:val="nil"/>
            </w:tcBorders>
            <w:shd w:val="clear" w:color="auto" w:fill="auto"/>
            <w:vAlign w:val="bottom"/>
          </w:tcPr>
          <w:p w14:paraId="1B814D67" w14:textId="1E90C7CF" w:rsidR="00EB7EF1" w:rsidRPr="0059218D" w:rsidRDefault="00EB7EF1" w:rsidP="00EB7EF1">
            <w:pPr>
              <w:tabs>
                <w:tab w:val="right" w:pos="1202"/>
              </w:tabs>
              <w:suppressAutoHyphens/>
              <w:autoSpaceDN w:val="0"/>
              <w:jc w:val="right"/>
              <w:outlineLvl w:val="0"/>
              <w:rPr>
                <w:rFonts w:ascii="Arial" w:eastAsia="Calibri" w:hAnsi="Arial" w:cs="Arial"/>
                <w:color w:val="000000"/>
                <w:sz w:val="17"/>
                <w:szCs w:val="17"/>
              </w:rPr>
            </w:pPr>
            <w:r w:rsidRPr="0059218D">
              <w:rPr>
                <w:rFonts w:ascii="Arial" w:hAnsi="Arial" w:cs="Arial"/>
                <w:sz w:val="17"/>
                <w:szCs w:val="17"/>
              </w:rPr>
              <w:t>32.926</w:t>
            </w:r>
          </w:p>
        </w:tc>
      </w:tr>
      <w:tr w:rsidR="001B6CA2" w:rsidRPr="003D1614" w14:paraId="22DDBEA5" w14:textId="77777777" w:rsidTr="0059218D">
        <w:trPr>
          <w:trHeight w:val="283"/>
          <w:jc w:val="center"/>
        </w:trPr>
        <w:tc>
          <w:tcPr>
            <w:tcW w:w="6094" w:type="dxa"/>
            <w:vAlign w:val="bottom"/>
          </w:tcPr>
          <w:p w14:paraId="271080FB" w14:textId="77777777" w:rsidR="001B6CA2" w:rsidRPr="003D1614" w:rsidRDefault="001B6CA2" w:rsidP="001B6CA2">
            <w:pPr>
              <w:tabs>
                <w:tab w:val="right" w:pos="1202"/>
              </w:tabs>
              <w:suppressAutoHyphens/>
              <w:autoSpaceDN w:val="0"/>
              <w:outlineLvl w:val="0"/>
              <w:rPr>
                <w:rFonts w:ascii="Arial" w:eastAsia="Calibri" w:hAnsi="Arial" w:cs="Arial"/>
                <w:b/>
                <w:i/>
                <w:color w:val="000000"/>
                <w:sz w:val="17"/>
                <w:szCs w:val="17"/>
              </w:rPr>
            </w:pPr>
            <w:r w:rsidRPr="003D1614">
              <w:rPr>
                <w:rFonts w:ascii="Arial" w:eastAsia="Calibri" w:hAnsi="Arial" w:cs="Arial"/>
                <w:b/>
                <w:i/>
                <w:color w:val="000000"/>
                <w:sz w:val="17"/>
                <w:szCs w:val="17"/>
              </w:rPr>
              <w:t>Ulaganja u investicijske fondove:</w:t>
            </w:r>
          </w:p>
        </w:tc>
        <w:tc>
          <w:tcPr>
            <w:tcW w:w="1060" w:type="dxa"/>
            <w:tcBorders>
              <w:top w:val="nil"/>
              <w:left w:val="nil"/>
              <w:right w:val="nil"/>
            </w:tcBorders>
            <w:shd w:val="clear" w:color="auto" w:fill="auto"/>
            <w:vAlign w:val="bottom"/>
          </w:tcPr>
          <w:p w14:paraId="3F30DF58" w14:textId="1CEDBEBF" w:rsidR="001B6CA2" w:rsidRPr="0059218D" w:rsidRDefault="001B6CA2" w:rsidP="001B6CA2">
            <w:pPr>
              <w:tabs>
                <w:tab w:val="right" w:pos="1202"/>
              </w:tabs>
              <w:suppressAutoHyphens/>
              <w:autoSpaceDN w:val="0"/>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50F51BB8" w14:textId="67BB6AFE" w:rsidR="001B6CA2" w:rsidRPr="0059218D" w:rsidRDefault="001B6CA2" w:rsidP="001B6CA2">
            <w:pPr>
              <w:tabs>
                <w:tab w:val="right" w:pos="1202"/>
              </w:tabs>
              <w:suppressAutoHyphens/>
              <w:autoSpaceDN w:val="0"/>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66353922" w14:textId="1C0488AA" w:rsidR="001B6CA2" w:rsidRPr="0059218D" w:rsidRDefault="001B6CA2" w:rsidP="001B6CA2">
            <w:pPr>
              <w:tabs>
                <w:tab w:val="right" w:pos="1202"/>
              </w:tabs>
              <w:suppressAutoHyphens/>
              <w:autoSpaceDN w:val="0"/>
              <w:jc w:val="right"/>
              <w:outlineLvl w:val="0"/>
              <w:rPr>
                <w:rFonts w:ascii="Arial" w:eastAsia="Calibri" w:hAnsi="Arial" w:cs="Arial"/>
                <w:color w:val="000000"/>
                <w:sz w:val="17"/>
                <w:szCs w:val="17"/>
              </w:rPr>
            </w:pPr>
          </w:p>
        </w:tc>
      </w:tr>
      <w:tr w:rsidR="007223DE" w:rsidRPr="003D1614" w14:paraId="04AD8716" w14:textId="77777777" w:rsidTr="0059218D">
        <w:trPr>
          <w:trHeight w:val="283"/>
          <w:jc w:val="center"/>
        </w:trPr>
        <w:tc>
          <w:tcPr>
            <w:tcW w:w="6094" w:type="dxa"/>
            <w:vAlign w:val="bottom"/>
          </w:tcPr>
          <w:p w14:paraId="2FE78BFF" w14:textId="77777777" w:rsidR="007223DE" w:rsidRPr="003D1614" w:rsidRDefault="007223DE" w:rsidP="007223DE">
            <w:pPr>
              <w:tabs>
                <w:tab w:val="right" w:pos="1202"/>
              </w:tabs>
              <w:suppressAutoHyphens/>
              <w:autoSpaceDN w:val="0"/>
              <w:outlineLvl w:val="0"/>
              <w:rPr>
                <w:rFonts w:ascii="Arial" w:eastAsia="Calibri" w:hAnsi="Arial" w:cs="Arial"/>
                <w:b/>
                <w:i/>
                <w:color w:val="000000"/>
                <w:sz w:val="17"/>
                <w:szCs w:val="17"/>
              </w:rPr>
            </w:pPr>
            <w:r w:rsidRPr="003D1614">
              <w:rPr>
                <w:rFonts w:ascii="Arial" w:eastAsia="Calibri" w:hAnsi="Arial" w:cs="Arial"/>
                <w:color w:val="000000"/>
                <w:sz w:val="17"/>
                <w:szCs w:val="17"/>
              </w:rPr>
              <w:t>Udjeli u investicijskim fondovima po fer vrijednosti kroz dobit ili gubitak</w:t>
            </w:r>
          </w:p>
        </w:tc>
        <w:tc>
          <w:tcPr>
            <w:tcW w:w="1060" w:type="dxa"/>
            <w:tcBorders>
              <w:top w:val="nil"/>
              <w:left w:val="nil"/>
              <w:bottom w:val="nil"/>
              <w:right w:val="nil"/>
            </w:tcBorders>
            <w:shd w:val="clear" w:color="auto" w:fill="auto"/>
            <w:vAlign w:val="bottom"/>
          </w:tcPr>
          <w:p w14:paraId="60F2771F" w14:textId="54293176" w:rsidR="007223DE" w:rsidRPr="0059218D" w:rsidRDefault="007223DE" w:rsidP="007223DE">
            <w:pPr>
              <w:tabs>
                <w:tab w:val="right" w:pos="1202"/>
              </w:tabs>
              <w:suppressAutoHyphens/>
              <w:autoSpaceDN w:val="0"/>
              <w:jc w:val="right"/>
              <w:outlineLvl w:val="0"/>
              <w:rPr>
                <w:rFonts w:ascii="Arial" w:eastAsia="Calibri" w:hAnsi="Arial" w:cs="Arial"/>
                <w:color w:val="000000"/>
                <w:sz w:val="17"/>
                <w:szCs w:val="17"/>
              </w:rPr>
            </w:pPr>
            <w:r w:rsidRPr="0059218D">
              <w:rPr>
                <w:rFonts w:ascii="Arial" w:hAnsi="Arial" w:cs="Arial"/>
                <w:color w:val="000000"/>
                <w:sz w:val="17"/>
                <w:szCs w:val="17"/>
              </w:rPr>
              <w:t>33.044</w:t>
            </w:r>
          </w:p>
        </w:tc>
        <w:tc>
          <w:tcPr>
            <w:tcW w:w="1060" w:type="dxa"/>
            <w:tcBorders>
              <w:top w:val="nil"/>
              <w:left w:val="nil"/>
              <w:bottom w:val="nil"/>
              <w:right w:val="nil"/>
            </w:tcBorders>
            <w:shd w:val="clear" w:color="auto" w:fill="auto"/>
            <w:vAlign w:val="bottom"/>
          </w:tcPr>
          <w:p w14:paraId="50D0D706" w14:textId="4B5B6777" w:rsidR="007223DE" w:rsidRPr="0059218D" w:rsidRDefault="007223DE" w:rsidP="007223DE">
            <w:pPr>
              <w:tabs>
                <w:tab w:val="right" w:pos="1202"/>
              </w:tabs>
              <w:suppressAutoHyphens/>
              <w:autoSpaceDN w:val="0"/>
              <w:jc w:val="right"/>
              <w:outlineLvl w:val="0"/>
              <w:rPr>
                <w:rFonts w:ascii="Arial" w:eastAsia="Calibri" w:hAnsi="Arial" w:cs="Arial"/>
                <w:color w:val="000000"/>
                <w:sz w:val="17"/>
                <w:szCs w:val="17"/>
              </w:rPr>
            </w:pPr>
            <w:r w:rsidRPr="0059218D">
              <w:rPr>
                <w:rFonts w:ascii="Arial" w:hAnsi="Arial" w:cs="Arial"/>
                <w:color w:val="000000"/>
                <w:sz w:val="17"/>
                <w:szCs w:val="17"/>
              </w:rPr>
              <w:t>-</w:t>
            </w:r>
          </w:p>
        </w:tc>
        <w:tc>
          <w:tcPr>
            <w:tcW w:w="1060" w:type="dxa"/>
            <w:tcBorders>
              <w:top w:val="nil"/>
              <w:left w:val="nil"/>
              <w:bottom w:val="nil"/>
              <w:right w:val="nil"/>
            </w:tcBorders>
            <w:shd w:val="clear" w:color="auto" w:fill="auto"/>
            <w:vAlign w:val="bottom"/>
          </w:tcPr>
          <w:p w14:paraId="76D5D732" w14:textId="0C9D13C7" w:rsidR="007223DE" w:rsidRPr="0059218D" w:rsidRDefault="007223DE" w:rsidP="007223DE">
            <w:pPr>
              <w:tabs>
                <w:tab w:val="right" w:pos="1202"/>
              </w:tabs>
              <w:suppressAutoHyphens/>
              <w:autoSpaceDN w:val="0"/>
              <w:jc w:val="right"/>
              <w:outlineLvl w:val="0"/>
              <w:rPr>
                <w:rFonts w:ascii="Arial" w:eastAsia="Calibri" w:hAnsi="Arial" w:cs="Arial"/>
                <w:color w:val="000000"/>
                <w:sz w:val="17"/>
                <w:szCs w:val="17"/>
              </w:rPr>
            </w:pPr>
            <w:r w:rsidRPr="0059218D">
              <w:rPr>
                <w:rFonts w:ascii="Arial" w:hAnsi="Arial" w:cs="Arial"/>
                <w:color w:val="000000"/>
                <w:sz w:val="17"/>
                <w:szCs w:val="17"/>
              </w:rPr>
              <w:t>-</w:t>
            </w:r>
          </w:p>
        </w:tc>
      </w:tr>
      <w:tr w:rsidR="00E11545" w:rsidRPr="003D1614" w14:paraId="4FC10B3A" w14:textId="77777777" w:rsidTr="0059218D">
        <w:trPr>
          <w:trHeight w:val="216"/>
          <w:jc w:val="center"/>
        </w:trPr>
        <w:tc>
          <w:tcPr>
            <w:tcW w:w="6094" w:type="dxa"/>
            <w:vAlign w:val="bottom"/>
          </w:tcPr>
          <w:p w14:paraId="10241C74" w14:textId="77777777" w:rsidR="00E11545" w:rsidRPr="003D1614" w:rsidRDefault="00E11545" w:rsidP="00E11545">
            <w:pPr>
              <w:tabs>
                <w:tab w:val="right" w:pos="1202"/>
              </w:tabs>
              <w:suppressAutoHyphens/>
              <w:autoSpaceDN w:val="0"/>
              <w:outlineLvl w:val="0"/>
              <w:rPr>
                <w:rFonts w:ascii="Arial" w:eastAsia="Calibri" w:hAnsi="Arial" w:cs="Arial"/>
                <w:color w:val="000000"/>
                <w:sz w:val="17"/>
                <w:szCs w:val="17"/>
              </w:rPr>
            </w:pPr>
            <w:r w:rsidRPr="003D1614">
              <w:rPr>
                <w:rFonts w:ascii="Arial" w:eastAsia="Calibri" w:hAnsi="Arial" w:cs="Arial"/>
                <w:b/>
                <w:color w:val="000000"/>
                <w:sz w:val="17"/>
                <w:szCs w:val="17"/>
              </w:rPr>
              <w:t>Vlasnički vrijednosni papiri:</w:t>
            </w:r>
          </w:p>
        </w:tc>
        <w:tc>
          <w:tcPr>
            <w:tcW w:w="1060" w:type="dxa"/>
            <w:tcBorders>
              <w:top w:val="nil"/>
              <w:left w:val="nil"/>
              <w:right w:val="nil"/>
            </w:tcBorders>
            <w:shd w:val="clear" w:color="auto" w:fill="auto"/>
            <w:vAlign w:val="bottom"/>
          </w:tcPr>
          <w:p w14:paraId="5464503A" w14:textId="74FB94EE" w:rsidR="00E11545" w:rsidRPr="0059218D" w:rsidRDefault="00E11545" w:rsidP="00E11545">
            <w:pPr>
              <w:tabs>
                <w:tab w:val="right" w:pos="1202"/>
              </w:tabs>
              <w:suppressAutoHyphens/>
              <w:autoSpaceDN w:val="0"/>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2766A2DB" w14:textId="728D70FC" w:rsidR="00E11545" w:rsidRPr="0059218D" w:rsidRDefault="00E11545" w:rsidP="00E11545">
            <w:pPr>
              <w:tabs>
                <w:tab w:val="right" w:pos="1202"/>
              </w:tabs>
              <w:suppressAutoHyphens/>
              <w:autoSpaceDN w:val="0"/>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2782609C" w14:textId="37345D92" w:rsidR="00E11545" w:rsidRPr="0059218D" w:rsidRDefault="00E11545" w:rsidP="00E11545">
            <w:pPr>
              <w:tabs>
                <w:tab w:val="right" w:pos="1202"/>
              </w:tabs>
              <w:suppressAutoHyphens/>
              <w:autoSpaceDN w:val="0"/>
              <w:jc w:val="right"/>
              <w:outlineLvl w:val="0"/>
              <w:rPr>
                <w:rFonts w:ascii="Arial" w:eastAsia="Calibri" w:hAnsi="Arial" w:cs="Arial"/>
                <w:color w:val="000000"/>
                <w:sz w:val="17"/>
                <w:szCs w:val="17"/>
              </w:rPr>
            </w:pPr>
          </w:p>
        </w:tc>
      </w:tr>
      <w:tr w:rsidR="00E11545" w:rsidRPr="003D1614" w14:paraId="1926635F" w14:textId="77777777" w:rsidTr="0059218D">
        <w:trPr>
          <w:trHeight w:val="216"/>
          <w:jc w:val="center"/>
        </w:trPr>
        <w:tc>
          <w:tcPr>
            <w:tcW w:w="6094" w:type="dxa"/>
            <w:vAlign w:val="bottom"/>
          </w:tcPr>
          <w:p w14:paraId="3BD87FA5" w14:textId="77777777" w:rsidR="00E11545" w:rsidRPr="003D1614" w:rsidRDefault="00E11545" w:rsidP="00E11545">
            <w:pPr>
              <w:tabs>
                <w:tab w:val="right" w:pos="1202"/>
              </w:tabs>
              <w:suppressAutoHyphens/>
              <w:autoSpaceDN w:val="0"/>
              <w:outlineLvl w:val="0"/>
              <w:rPr>
                <w:rFonts w:ascii="Arial" w:eastAsia="Calibri" w:hAnsi="Arial" w:cs="Arial"/>
                <w:color w:val="000000"/>
                <w:sz w:val="17"/>
                <w:szCs w:val="17"/>
              </w:rPr>
            </w:pPr>
            <w:r w:rsidRPr="003D1614">
              <w:rPr>
                <w:rFonts w:ascii="Arial" w:eastAsia="Calibri" w:hAnsi="Arial" w:cs="Arial"/>
                <w:b/>
                <w:i/>
                <w:color w:val="000000"/>
                <w:spacing w:val="-2"/>
                <w:sz w:val="17"/>
                <w:szCs w:val="17"/>
              </w:rPr>
              <w:t>Vlasnički vrijednosni papiri koji ne kotiraju:</w:t>
            </w:r>
          </w:p>
        </w:tc>
        <w:tc>
          <w:tcPr>
            <w:tcW w:w="1060" w:type="dxa"/>
            <w:tcBorders>
              <w:left w:val="nil"/>
              <w:right w:val="nil"/>
            </w:tcBorders>
            <w:shd w:val="clear" w:color="auto" w:fill="auto"/>
            <w:vAlign w:val="bottom"/>
          </w:tcPr>
          <w:p w14:paraId="7BA5B308" w14:textId="77777777" w:rsidR="00E11545" w:rsidRPr="0059218D" w:rsidRDefault="00E11545" w:rsidP="00E11545">
            <w:pPr>
              <w:tabs>
                <w:tab w:val="right" w:pos="1202"/>
              </w:tabs>
              <w:suppressAutoHyphens/>
              <w:autoSpaceDN w:val="0"/>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1ED22ECC" w14:textId="6EF684C6" w:rsidR="00E11545" w:rsidRPr="0059218D" w:rsidRDefault="00E11545" w:rsidP="00E11545">
            <w:pPr>
              <w:tabs>
                <w:tab w:val="right" w:pos="1202"/>
              </w:tabs>
              <w:suppressAutoHyphens/>
              <w:autoSpaceDN w:val="0"/>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005A0960" w14:textId="77777777" w:rsidR="00E11545" w:rsidRPr="0059218D" w:rsidRDefault="00E11545" w:rsidP="00E11545">
            <w:pPr>
              <w:tabs>
                <w:tab w:val="right" w:pos="1202"/>
              </w:tabs>
              <w:suppressAutoHyphens/>
              <w:autoSpaceDN w:val="0"/>
              <w:jc w:val="right"/>
              <w:outlineLvl w:val="0"/>
              <w:rPr>
                <w:rFonts w:ascii="Arial" w:eastAsia="Calibri" w:hAnsi="Arial" w:cs="Arial"/>
                <w:color w:val="000000"/>
                <w:sz w:val="17"/>
                <w:szCs w:val="17"/>
              </w:rPr>
            </w:pPr>
          </w:p>
        </w:tc>
      </w:tr>
      <w:tr w:rsidR="007223DE" w:rsidRPr="003D1614" w14:paraId="5007D389" w14:textId="77777777" w:rsidTr="001541F1">
        <w:trPr>
          <w:trHeight w:val="227"/>
          <w:jc w:val="center"/>
        </w:trPr>
        <w:tc>
          <w:tcPr>
            <w:tcW w:w="6094" w:type="dxa"/>
            <w:vAlign w:val="bottom"/>
          </w:tcPr>
          <w:p w14:paraId="455219E5" w14:textId="77777777" w:rsidR="007223DE" w:rsidRPr="003D1614" w:rsidRDefault="007223DE" w:rsidP="007223DE">
            <w:pPr>
              <w:tabs>
                <w:tab w:val="right" w:pos="1202"/>
              </w:tabs>
              <w:suppressAutoHyphens/>
              <w:autoSpaceDN w:val="0"/>
              <w:outlineLvl w:val="0"/>
              <w:rPr>
                <w:rFonts w:ascii="Arial" w:eastAsia="Calibri" w:hAnsi="Arial" w:cs="Arial"/>
                <w:color w:val="000000"/>
                <w:sz w:val="17"/>
                <w:szCs w:val="17"/>
              </w:rPr>
            </w:pPr>
            <w:r w:rsidRPr="003D1614">
              <w:rPr>
                <w:rFonts w:ascii="Arial" w:eastAsia="Calibri" w:hAnsi="Arial" w:cs="Arial"/>
                <w:color w:val="000000"/>
                <w:sz w:val="17"/>
                <w:szCs w:val="17"/>
              </w:rPr>
              <w:t>Depozitarne potvrde - DR</w:t>
            </w:r>
          </w:p>
        </w:tc>
        <w:tc>
          <w:tcPr>
            <w:tcW w:w="1060" w:type="dxa"/>
            <w:tcBorders>
              <w:left w:val="nil"/>
              <w:right w:val="nil"/>
            </w:tcBorders>
            <w:shd w:val="clear" w:color="auto" w:fill="auto"/>
            <w:vAlign w:val="bottom"/>
          </w:tcPr>
          <w:p w14:paraId="79B842F3" w14:textId="3A56824D" w:rsidR="007223DE" w:rsidRPr="0059218D" w:rsidRDefault="00065875" w:rsidP="007223DE">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1060" w:type="dxa"/>
            <w:tcBorders>
              <w:top w:val="nil"/>
              <w:left w:val="nil"/>
              <w:right w:val="nil"/>
            </w:tcBorders>
            <w:shd w:val="clear" w:color="auto" w:fill="auto"/>
            <w:vAlign w:val="bottom"/>
          </w:tcPr>
          <w:p w14:paraId="2CED5F89" w14:textId="23D18430" w:rsidR="007223DE" w:rsidRPr="0059218D" w:rsidRDefault="00065875" w:rsidP="007223DE">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1060" w:type="dxa"/>
            <w:tcBorders>
              <w:top w:val="nil"/>
              <w:left w:val="nil"/>
              <w:right w:val="nil"/>
            </w:tcBorders>
            <w:shd w:val="clear" w:color="auto" w:fill="auto"/>
            <w:vAlign w:val="bottom"/>
          </w:tcPr>
          <w:p w14:paraId="2976DCF8" w14:textId="4E17BA39" w:rsidR="007223DE" w:rsidRPr="0059218D" w:rsidRDefault="007223DE" w:rsidP="007223DE">
            <w:pPr>
              <w:tabs>
                <w:tab w:val="right" w:pos="1202"/>
              </w:tabs>
              <w:suppressAutoHyphens/>
              <w:autoSpaceDN w:val="0"/>
              <w:jc w:val="right"/>
              <w:outlineLvl w:val="0"/>
              <w:rPr>
                <w:rFonts w:ascii="Arial" w:eastAsia="Calibri" w:hAnsi="Arial" w:cs="Arial"/>
                <w:color w:val="000000"/>
                <w:sz w:val="17"/>
                <w:szCs w:val="17"/>
              </w:rPr>
            </w:pPr>
            <w:r w:rsidRPr="0059218D">
              <w:rPr>
                <w:rFonts w:ascii="Arial" w:hAnsi="Arial" w:cs="Arial"/>
                <w:sz w:val="17"/>
                <w:szCs w:val="17"/>
              </w:rPr>
              <w:t>42</w:t>
            </w:r>
          </w:p>
        </w:tc>
      </w:tr>
      <w:tr w:rsidR="00E11545" w:rsidRPr="003D1614" w14:paraId="5CF86B98" w14:textId="77777777" w:rsidTr="0059218D">
        <w:trPr>
          <w:trHeight w:val="283"/>
          <w:jc w:val="center"/>
        </w:trPr>
        <w:tc>
          <w:tcPr>
            <w:tcW w:w="6094" w:type="dxa"/>
            <w:vAlign w:val="bottom"/>
          </w:tcPr>
          <w:p w14:paraId="574B0682" w14:textId="77777777" w:rsidR="00E11545" w:rsidRPr="003D1614" w:rsidRDefault="00E11545" w:rsidP="00E11545">
            <w:pPr>
              <w:tabs>
                <w:tab w:val="right" w:pos="1202"/>
              </w:tabs>
              <w:suppressAutoHyphens/>
              <w:autoSpaceDN w:val="0"/>
              <w:outlineLvl w:val="0"/>
              <w:rPr>
                <w:rFonts w:ascii="Arial" w:eastAsia="Calibri" w:hAnsi="Arial" w:cs="Arial"/>
                <w:b/>
                <w:bCs/>
                <w:color w:val="000000"/>
                <w:sz w:val="17"/>
                <w:szCs w:val="17"/>
              </w:rPr>
            </w:pPr>
            <w:r w:rsidRPr="003D1614">
              <w:rPr>
                <w:rFonts w:ascii="Arial" w:eastAsia="Calibri" w:hAnsi="Arial" w:cs="Arial"/>
                <w:b/>
                <w:bCs/>
                <w:color w:val="000000"/>
                <w:sz w:val="17"/>
                <w:szCs w:val="17"/>
              </w:rPr>
              <w:t>Derivativna financijska imovina – pozitivna fer vrijednost</w:t>
            </w:r>
          </w:p>
        </w:tc>
        <w:tc>
          <w:tcPr>
            <w:tcW w:w="1060" w:type="dxa"/>
            <w:tcBorders>
              <w:left w:val="nil"/>
              <w:right w:val="nil"/>
            </w:tcBorders>
            <w:shd w:val="clear" w:color="auto" w:fill="auto"/>
            <w:vAlign w:val="bottom"/>
          </w:tcPr>
          <w:p w14:paraId="74459DF6" w14:textId="77777777" w:rsidR="00E11545" w:rsidRPr="0059218D" w:rsidRDefault="00E11545" w:rsidP="00E11545">
            <w:pPr>
              <w:tabs>
                <w:tab w:val="right" w:pos="1202"/>
              </w:tabs>
              <w:suppressAutoHyphens/>
              <w:autoSpaceDN w:val="0"/>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2DC9E66C" w14:textId="4668EA61" w:rsidR="00E11545" w:rsidRPr="0059218D" w:rsidRDefault="00E11545" w:rsidP="00E11545">
            <w:pPr>
              <w:tabs>
                <w:tab w:val="right" w:pos="1202"/>
              </w:tabs>
              <w:suppressAutoHyphens/>
              <w:autoSpaceDN w:val="0"/>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3599810C" w14:textId="77777777" w:rsidR="00E11545" w:rsidRPr="0059218D" w:rsidRDefault="00E11545" w:rsidP="00E11545">
            <w:pPr>
              <w:tabs>
                <w:tab w:val="right" w:pos="1202"/>
              </w:tabs>
              <w:suppressAutoHyphens/>
              <w:autoSpaceDN w:val="0"/>
              <w:jc w:val="right"/>
              <w:outlineLvl w:val="0"/>
              <w:rPr>
                <w:rFonts w:ascii="Arial" w:eastAsia="Calibri" w:hAnsi="Arial" w:cs="Arial"/>
                <w:color w:val="000000"/>
                <w:sz w:val="17"/>
                <w:szCs w:val="17"/>
              </w:rPr>
            </w:pPr>
          </w:p>
        </w:tc>
      </w:tr>
      <w:tr w:rsidR="00E1465A" w:rsidRPr="003D1614" w14:paraId="799F6B8F" w14:textId="77777777" w:rsidTr="001B0234">
        <w:trPr>
          <w:trHeight w:val="283"/>
          <w:jc w:val="center"/>
        </w:trPr>
        <w:tc>
          <w:tcPr>
            <w:tcW w:w="6094" w:type="dxa"/>
            <w:vAlign w:val="bottom"/>
          </w:tcPr>
          <w:p w14:paraId="414495F0" w14:textId="77777777" w:rsidR="00E1465A" w:rsidRPr="003D1614" w:rsidRDefault="00E1465A" w:rsidP="00E1465A">
            <w:pPr>
              <w:tabs>
                <w:tab w:val="right" w:pos="1202"/>
              </w:tabs>
              <w:suppressAutoHyphens/>
              <w:autoSpaceDN w:val="0"/>
              <w:outlineLvl w:val="0"/>
              <w:rPr>
                <w:rFonts w:ascii="Arial" w:eastAsia="Calibri" w:hAnsi="Arial" w:cs="Arial"/>
                <w:color w:val="000000"/>
                <w:sz w:val="17"/>
                <w:szCs w:val="17"/>
              </w:rPr>
            </w:pPr>
            <w:r w:rsidRPr="003D1614">
              <w:rPr>
                <w:rFonts w:ascii="Arial" w:eastAsia="Calibri" w:hAnsi="Arial" w:cs="Arial"/>
                <w:color w:val="000000"/>
                <w:sz w:val="17"/>
                <w:szCs w:val="17"/>
              </w:rPr>
              <w:t>FX swap</w:t>
            </w:r>
          </w:p>
        </w:tc>
        <w:tc>
          <w:tcPr>
            <w:tcW w:w="1060" w:type="dxa"/>
            <w:tcBorders>
              <w:left w:val="nil"/>
              <w:bottom w:val="single" w:sz="6" w:space="0" w:color="auto"/>
              <w:right w:val="nil"/>
            </w:tcBorders>
            <w:shd w:val="clear" w:color="auto" w:fill="auto"/>
            <w:vAlign w:val="bottom"/>
          </w:tcPr>
          <w:p w14:paraId="7F38EB5B" w14:textId="40BB9070" w:rsidR="00E1465A" w:rsidRPr="0059218D" w:rsidRDefault="00E1465A" w:rsidP="00E1465A">
            <w:pPr>
              <w:tabs>
                <w:tab w:val="right" w:pos="1202"/>
              </w:tabs>
              <w:suppressAutoHyphens/>
              <w:autoSpaceDN w:val="0"/>
              <w:jc w:val="right"/>
              <w:outlineLvl w:val="0"/>
              <w:rPr>
                <w:rFonts w:ascii="Arial" w:eastAsia="Calibri" w:hAnsi="Arial" w:cs="Arial"/>
                <w:color w:val="000000"/>
                <w:sz w:val="17"/>
                <w:szCs w:val="17"/>
              </w:rPr>
            </w:pPr>
            <w:r w:rsidRPr="0059218D">
              <w:rPr>
                <w:rFonts w:ascii="Arial" w:hAnsi="Arial" w:cs="Arial"/>
                <w:sz w:val="17"/>
                <w:szCs w:val="17"/>
              </w:rPr>
              <w:t>-</w:t>
            </w:r>
          </w:p>
        </w:tc>
        <w:tc>
          <w:tcPr>
            <w:tcW w:w="1060" w:type="dxa"/>
            <w:tcBorders>
              <w:top w:val="nil"/>
              <w:left w:val="nil"/>
              <w:bottom w:val="single" w:sz="6" w:space="0" w:color="auto"/>
              <w:right w:val="nil"/>
            </w:tcBorders>
            <w:shd w:val="clear" w:color="auto" w:fill="auto"/>
            <w:vAlign w:val="bottom"/>
          </w:tcPr>
          <w:p w14:paraId="45A9F3BA" w14:textId="76A0FB97" w:rsidR="00E1465A" w:rsidRPr="0059218D" w:rsidRDefault="00E1465A" w:rsidP="00E1465A">
            <w:pPr>
              <w:tabs>
                <w:tab w:val="right" w:pos="1202"/>
              </w:tabs>
              <w:suppressAutoHyphens/>
              <w:autoSpaceDN w:val="0"/>
              <w:jc w:val="right"/>
              <w:outlineLvl w:val="0"/>
              <w:rPr>
                <w:rFonts w:ascii="Arial" w:eastAsia="Calibri" w:hAnsi="Arial" w:cs="Arial"/>
                <w:color w:val="000000"/>
                <w:sz w:val="17"/>
                <w:szCs w:val="17"/>
              </w:rPr>
            </w:pPr>
            <w:r w:rsidRPr="0059218D">
              <w:rPr>
                <w:rFonts w:ascii="Arial" w:hAnsi="Arial" w:cs="Arial"/>
                <w:sz w:val="17"/>
                <w:szCs w:val="17"/>
              </w:rPr>
              <w:t xml:space="preserve"> 20 </w:t>
            </w:r>
          </w:p>
        </w:tc>
        <w:tc>
          <w:tcPr>
            <w:tcW w:w="1060" w:type="dxa"/>
            <w:tcBorders>
              <w:top w:val="nil"/>
              <w:left w:val="nil"/>
              <w:bottom w:val="single" w:sz="6" w:space="0" w:color="auto"/>
              <w:right w:val="nil"/>
            </w:tcBorders>
            <w:shd w:val="clear" w:color="auto" w:fill="auto"/>
            <w:vAlign w:val="bottom"/>
          </w:tcPr>
          <w:p w14:paraId="23F7EF2E" w14:textId="18E0C712" w:rsidR="00E1465A" w:rsidRPr="0059218D" w:rsidRDefault="00E1465A" w:rsidP="00E1465A">
            <w:pPr>
              <w:tabs>
                <w:tab w:val="right" w:pos="1202"/>
              </w:tabs>
              <w:suppressAutoHyphens/>
              <w:autoSpaceDN w:val="0"/>
              <w:jc w:val="right"/>
              <w:outlineLvl w:val="0"/>
              <w:rPr>
                <w:rFonts w:ascii="Arial" w:eastAsia="Calibri" w:hAnsi="Arial" w:cs="Arial"/>
                <w:color w:val="000000"/>
                <w:sz w:val="17"/>
                <w:szCs w:val="17"/>
              </w:rPr>
            </w:pPr>
            <w:r w:rsidRPr="0059218D">
              <w:rPr>
                <w:rFonts w:ascii="Arial" w:hAnsi="Arial" w:cs="Arial"/>
                <w:sz w:val="17"/>
                <w:szCs w:val="17"/>
              </w:rPr>
              <w:t>-</w:t>
            </w:r>
          </w:p>
        </w:tc>
      </w:tr>
      <w:tr w:rsidR="009F1C24" w:rsidRPr="003D1614" w14:paraId="6EDB7937" w14:textId="77777777" w:rsidTr="001B0234">
        <w:trPr>
          <w:trHeight w:val="283"/>
          <w:jc w:val="center"/>
        </w:trPr>
        <w:tc>
          <w:tcPr>
            <w:tcW w:w="6094" w:type="dxa"/>
            <w:vAlign w:val="bottom"/>
          </w:tcPr>
          <w:p w14:paraId="73EE4176" w14:textId="77777777" w:rsidR="009F1C24" w:rsidRPr="003D1614" w:rsidRDefault="009F1C24" w:rsidP="009F1C24">
            <w:pPr>
              <w:tabs>
                <w:tab w:val="right" w:pos="1202"/>
              </w:tabs>
              <w:suppressAutoHyphens/>
              <w:autoSpaceDN w:val="0"/>
              <w:outlineLvl w:val="0"/>
              <w:rPr>
                <w:rFonts w:ascii="Arial" w:eastAsia="Calibri" w:hAnsi="Arial" w:cs="Arial"/>
                <w:color w:val="000000"/>
                <w:sz w:val="17"/>
                <w:szCs w:val="17"/>
              </w:rPr>
            </w:pPr>
            <w:r w:rsidRPr="003D1614">
              <w:rPr>
                <w:rFonts w:ascii="Arial" w:eastAsia="Calibri" w:hAnsi="Arial" w:cs="Arial"/>
                <w:b/>
                <w:color w:val="000000"/>
                <w:sz w:val="17"/>
                <w:szCs w:val="17"/>
              </w:rPr>
              <w:t>Ukupno financijska imovina po fer vrijednosti kroz dobit ili gubitak</w:t>
            </w:r>
          </w:p>
        </w:tc>
        <w:tc>
          <w:tcPr>
            <w:tcW w:w="1060" w:type="dxa"/>
            <w:tcBorders>
              <w:top w:val="single" w:sz="6" w:space="0" w:color="auto"/>
              <w:left w:val="nil"/>
              <w:bottom w:val="single" w:sz="12" w:space="0" w:color="auto"/>
              <w:right w:val="nil"/>
            </w:tcBorders>
            <w:shd w:val="clear" w:color="auto" w:fill="auto"/>
            <w:vAlign w:val="bottom"/>
          </w:tcPr>
          <w:p w14:paraId="16523718" w14:textId="0CF5FE64" w:rsidR="009F1C24" w:rsidRPr="0059218D" w:rsidRDefault="009F1C24" w:rsidP="009F1C24">
            <w:pPr>
              <w:tabs>
                <w:tab w:val="right" w:pos="1202"/>
              </w:tabs>
              <w:suppressAutoHyphens/>
              <w:autoSpaceDN w:val="0"/>
              <w:jc w:val="right"/>
              <w:outlineLvl w:val="0"/>
              <w:rPr>
                <w:rFonts w:ascii="Arial" w:eastAsia="Calibri" w:hAnsi="Arial" w:cs="Arial"/>
                <w:b/>
                <w:color w:val="000000"/>
                <w:sz w:val="17"/>
                <w:szCs w:val="17"/>
              </w:rPr>
            </w:pPr>
            <w:r w:rsidRPr="0059218D">
              <w:rPr>
                <w:rFonts w:ascii="Arial" w:hAnsi="Arial" w:cs="Arial"/>
                <w:b/>
                <w:bCs/>
                <w:color w:val="000000"/>
                <w:sz w:val="17"/>
                <w:szCs w:val="17"/>
              </w:rPr>
              <w:t>33.044</w:t>
            </w:r>
          </w:p>
        </w:tc>
        <w:tc>
          <w:tcPr>
            <w:tcW w:w="1060" w:type="dxa"/>
            <w:tcBorders>
              <w:top w:val="single" w:sz="6" w:space="0" w:color="auto"/>
              <w:left w:val="nil"/>
              <w:bottom w:val="single" w:sz="12" w:space="0" w:color="auto"/>
              <w:right w:val="nil"/>
            </w:tcBorders>
            <w:shd w:val="clear" w:color="auto" w:fill="auto"/>
            <w:vAlign w:val="bottom"/>
          </w:tcPr>
          <w:p w14:paraId="6B18447F" w14:textId="542D0D41" w:rsidR="009F1C24" w:rsidRPr="0059218D" w:rsidRDefault="009F1C24" w:rsidP="009F1C24">
            <w:pPr>
              <w:tabs>
                <w:tab w:val="right" w:pos="1202"/>
              </w:tabs>
              <w:suppressAutoHyphens/>
              <w:autoSpaceDN w:val="0"/>
              <w:jc w:val="right"/>
              <w:outlineLvl w:val="0"/>
              <w:rPr>
                <w:rFonts w:ascii="Arial" w:eastAsia="Calibri" w:hAnsi="Arial" w:cs="Arial"/>
                <w:b/>
                <w:color w:val="000000"/>
                <w:sz w:val="17"/>
                <w:szCs w:val="17"/>
              </w:rPr>
            </w:pPr>
            <w:r w:rsidRPr="0059218D">
              <w:rPr>
                <w:rFonts w:ascii="Arial" w:hAnsi="Arial" w:cs="Arial"/>
                <w:b/>
                <w:bCs/>
                <w:color w:val="000000"/>
                <w:sz w:val="17"/>
                <w:szCs w:val="17"/>
              </w:rPr>
              <w:t>20</w:t>
            </w:r>
          </w:p>
        </w:tc>
        <w:tc>
          <w:tcPr>
            <w:tcW w:w="1060" w:type="dxa"/>
            <w:tcBorders>
              <w:top w:val="single" w:sz="6" w:space="0" w:color="auto"/>
              <w:left w:val="nil"/>
              <w:bottom w:val="single" w:sz="12" w:space="0" w:color="auto"/>
              <w:right w:val="nil"/>
            </w:tcBorders>
            <w:shd w:val="clear" w:color="auto" w:fill="auto"/>
            <w:vAlign w:val="bottom"/>
          </w:tcPr>
          <w:p w14:paraId="1D089F7E" w14:textId="5F626907" w:rsidR="009F1C24" w:rsidRPr="0059218D" w:rsidRDefault="009F1C24" w:rsidP="009F1C24">
            <w:pPr>
              <w:tabs>
                <w:tab w:val="right" w:pos="1202"/>
              </w:tabs>
              <w:suppressAutoHyphens/>
              <w:autoSpaceDN w:val="0"/>
              <w:jc w:val="right"/>
              <w:outlineLvl w:val="0"/>
              <w:rPr>
                <w:rFonts w:ascii="Arial" w:eastAsia="Calibri" w:hAnsi="Arial" w:cs="Arial"/>
                <w:b/>
                <w:color w:val="000000"/>
                <w:sz w:val="17"/>
                <w:szCs w:val="17"/>
              </w:rPr>
            </w:pPr>
            <w:r w:rsidRPr="0059218D">
              <w:rPr>
                <w:rFonts w:ascii="Arial" w:hAnsi="Arial" w:cs="Arial"/>
                <w:b/>
                <w:bCs/>
                <w:color w:val="000000"/>
                <w:sz w:val="17"/>
                <w:szCs w:val="17"/>
              </w:rPr>
              <w:t>32.968</w:t>
            </w:r>
          </w:p>
        </w:tc>
      </w:tr>
      <w:tr w:rsidR="00E11545" w:rsidRPr="003D1614" w14:paraId="33609142" w14:textId="77777777" w:rsidTr="0059218D">
        <w:trPr>
          <w:trHeight w:val="283"/>
          <w:jc w:val="center"/>
        </w:trPr>
        <w:tc>
          <w:tcPr>
            <w:tcW w:w="6094" w:type="dxa"/>
            <w:shd w:val="clear" w:color="auto" w:fill="auto"/>
            <w:vAlign w:val="bottom"/>
          </w:tcPr>
          <w:p w14:paraId="74C62804" w14:textId="77777777" w:rsidR="00E11545" w:rsidRPr="003D1614" w:rsidRDefault="00E11545" w:rsidP="00E11545">
            <w:pPr>
              <w:tabs>
                <w:tab w:val="right" w:pos="1202"/>
              </w:tabs>
              <w:suppressAutoHyphens/>
              <w:autoSpaceDN w:val="0"/>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Financijska imovina po fer vrijednosti kroz ostalu sveobuhvatnu dobit:</w:t>
            </w:r>
          </w:p>
        </w:tc>
        <w:tc>
          <w:tcPr>
            <w:tcW w:w="1060" w:type="dxa"/>
            <w:vAlign w:val="bottom"/>
          </w:tcPr>
          <w:p w14:paraId="70FA172A" w14:textId="77777777" w:rsidR="00E11545" w:rsidRPr="0059218D" w:rsidDel="00561A80" w:rsidRDefault="00E11545" w:rsidP="00E11545">
            <w:pPr>
              <w:tabs>
                <w:tab w:val="right" w:pos="1202"/>
              </w:tabs>
              <w:suppressAutoHyphens/>
              <w:autoSpaceDN w:val="0"/>
              <w:jc w:val="right"/>
              <w:outlineLvl w:val="0"/>
              <w:rPr>
                <w:rFonts w:ascii="Arial" w:eastAsia="Calibri" w:hAnsi="Arial" w:cs="Arial"/>
                <w:color w:val="000000"/>
                <w:spacing w:val="-2"/>
                <w:sz w:val="17"/>
                <w:szCs w:val="17"/>
              </w:rPr>
            </w:pPr>
          </w:p>
        </w:tc>
        <w:tc>
          <w:tcPr>
            <w:tcW w:w="1060" w:type="dxa"/>
            <w:vAlign w:val="bottom"/>
          </w:tcPr>
          <w:p w14:paraId="45578DE2" w14:textId="77777777" w:rsidR="00E11545" w:rsidRPr="0059218D" w:rsidDel="00561A80" w:rsidRDefault="00E11545" w:rsidP="00E11545">
            <w:pPr>
              <w:tabs>
                <w:tab w:val="right" w:pos="1202"/>
              </w:tabs>
              <w:suppressAutoHyphens/>
              <w:autoSpaceDN w:val="0"/>
              <w:jc w:val="right"/>
              <w:outlineLvl w:val="0"/>
              <w:rPr>
                <w:rFonts w:ascii="Arial" w:eastAsia="Calibri" w:hAnsi="Arial" w:cs="Arial"/>
                <w:color w:val="000000"/>
                <w:spacing w:val="-2"/>
                <w:sz w:val="17"/>
                <w:szCs w:val="17"/>
              </w:rPr>
            </w:pPr>
          </w:p>
        </w:tc>
        <w:tc>
          <w:tcPr>
            <w:tcW w:w="1060" w:type="dxa"/>
            <w:vAlign w:val="bottom"/>
          </w:tcPr>
          <w:p w14:paraId="4AEAF908" w14:textId="77777777" w:rsidR="00E11545" w:rsidRPr="0059218D" w:rsidDel="00561A80" w:rsidRDefault="00E11545" w:rsidP="00E11545">
            <w:pPr>
              <w:tabs>
                <w:tab w:val="right" w:pos="1202"/>
              </w:tabs>
              <w:suppressAutoHyphens/>
              <w:autoSpaceDN w:val="0"/>
              <w:jc w:val="right"/>
              <w:outlineLvl w:val="0"/>
              <w:rPr>
                <w:rFonts w:ascii="Arial" w:eastAsia="Calibri" w:hAnsi="Arial" w:cs="Arial"/>
                <w:color w:val="000000"/>
                <w:spacing w:val="-2"/>
                <w:sz w:val="17"/>
                <w:szCs w:val="17"/>
              </w:rPr>
            </w:pPr>
          </w:p>
        </w:tc>
      </w:tr>
      <w:tr w:rsidR="00E11545" w:rsidRPr="003D1614" w14:paraId="067E7077" w14:textId="77777777" w:rsidTr="0059218D">
        <w:trPr>
          <w:trHeight w:val="283"/>
          <w:jc w:val="center"/>
        </w:trPr>
        <w:tc>
          <w:tcPr>
            <w:tcW w:w="6094" w:type="dxa"/>
            <w:shd w:val="clear" w:color="auto" w:fill="auto"/>
            <w:vAlign w:val="bottom"/>
          </w:tcPr>
          <w:p w14:paraId="1AB1534A" w14:textId="77777777" w:rsidR="00E11545" w:rsidRPr="003D1614" w:rsidRDefault="00E11545" w:rsidP="00E11545">
            <w:pPr>
              <w:tabs>
                <w:tab w:val="right" w:pos="1202"/>
              </w:tabs>
              <w:suppressAutoHyphens/>
              <w:autoSpaceDN w:val="0"/>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Dužnički vrijednosni papiri:</w:t>
            </w:r>
          </w:p>
        </w:tc>
        <w:tc>
          <w:tcPr>
            <w:tcW w:w="1060" w:type="dxa"/>
            <w:vAlign w:val="bottom"/>
          </w:tcPr>
          <w:p w14:paraId="1FD50E35" w14:textId="77777777" w:rsidR="00E11545" w:rsidRPr="0059218D" w:rsidDel="00561A80" w:rsidRDefault="00E11545" w:rsidP="00E11545">
            <w:pPr>
              <w:tabs>
                <w:tab w:val="right" w:pos="1202"/>
              </w:tabs>
              <w:suppressAutoHyphens/>
              <w:autoSpaceDN w:val="0"/>
              <w:jc w:val="right"/>
              <w:outlineLvl w:val="0"/>
              <w:rPr>
                <w:rFonts w:ascii="Arial" w:eastAsia="Calibri" w:hAnsi="Arial" w:cs="Arial"/>
                <w:color w:val="000000"/>
                <w:spacing w:val="-2"/>
                <w:sz w:val="17"/>
                <w:szCs w:val="17"/>
              </w:rPr>
            </w:pPr>
          </w:p>
        </w:tc>
        <w:tc>
          <w:tcPr>
            <w:tcW w:w="1060" w:type="dxa"/>
            <w:vAlign w:val="bottom"/>
          </w:tcPr>
          <w:p w14:paraId="4B8ED64E" w14:textId="77777777" w:rsidR="00E11545" w:rsidRPr="0059218D" w:rsidDel="00561A80" w:rsidRDefault="00E11545" w:rsidP="00E11545">
            <w:pPr>
              <w:tabs>
                <w:tab w:val="right" w:pos="1202"/>
              </w:tabs>
              <w:suppressAutoHyphens/>
              <w:autoSpaceDN w:val="0"/>
              <w:jc w:val="right"/>
              <w:outlineLvl w:val="0"/>
              <w:rPr>
                <w:rFonts w:ascii="Arial" w:eastAsia="Calibri" w:hAnsi="Arial" w:cs="Arial"/>
                <w:color w:val="000000"/>
                <w:spacing w:val="-2"/>
                <w:sz w:val="17"/>
                <w:szCs w:val="17"/>
              </w:rPr>
            </w:pPr>
          </w:p>
        </w:tc>
        <w:tc>
          <w:tcPr>
            <w:tcW w:w="1060" w:type="dxa"/>
            <w:vAlign w:val="bottom"/>
          </w:tcPr>
          <w:p w14:paraId="41C03A04" w14:textId="77777777" w:rsidR="00E11545" w:rsidRPr="0059218D" w:rsidDel="00561A80" w:rsidRDefault="00E11545" w:rsidP="00E11545">
            <w:pPr>
              <w:tabs>
                <w:tab w:val="right" w:pos="1202"/>
              </w:tabs>
              <w:suppressAutoHyphens/>
              <w:autoSpaceDN w:val="0"/>
              <w:jc w:val="right"/>
              <w:outlineLvl w:val="0"/>
              <w:rPr>
                <w:rFonts w:ascii="Arial" w:eastAsia="Calibri" w:hAnsi="Arial" w:cs="Arial"/>
                <w:color w:val="000000"/>
                <w:spacing w:val="-2"/>
                <w:sz w:val="17"/>
                <w:szCs w:val="17"/>
              </w:rPr>
            </w:pPr>
          </w:p>
        </w:tc>
      </w:tr>
      <w:tr w:rsidR="00E11545" w:rsidRPr="003D1614" w14:paraId="4F4DD2F3" w14:textId="77777777" w:rsidTr="0059218D">
        <w:trPr>
          <w:trHeight w:val="283"/>
          <w:jc w:val="center"/>
        </w:trPr>
        <w:tc>
          <w:tcPr>
            <w:tcW w:w="6094" w:type="dxa"/>
            <w:shd w:val="clear" w:color="auto" w:fill="auto"/>
            <w:vAlign w:val="bottom"/>
          </w:tcPr>
          <w:p w14:paraId="3BAD43DF" w14:textId="77777777" w:rsidR="00E11545" w:rsidRPr="003D1614" w:rsidRDefault="00E11545" w:rsidP="00E11545">
            <w:pPr>
              <w:tabs>
                <w:tab w:val="right" w:pos="1202"/>
              </w:tabs>
              <w:suppressAutoHyphens/>
              <w:autoSpaceDN w:val="0"/>
              <w:outlineLvl w:val="0"/>
              <w:rPr>
                <w:rFonts w:ascii="Arial" w:eastAsia="Calibri" w:hAnsi="Arial" w:cs="Arial"/>
                <w:b/>
                <w:i/>
                <w:color w:val="000000"/>
                <w:spacing w:val="-2"/>
                <w:sz w:val="17"/>
                <w:szCs w:val="17"/>
              </w:rPr>
            </w:pPr>
            <w:r w:rsidRPr="003D1614">
              <w:rPr>
                <w:rFonts w:ascii="Arial" w:eastAsia="Calibri" w:hAnsi="Arial" w:cs="Arial"/>
                <w:b/>
                <w:i/>
                <w:color w:val="000000"/>
                <w:spacing w:val="-2"/>
                <w:sz w:val="17"/>
                <w:szCs w:val="17"/>
              </w:rPr>
              <w:t>Dužnički vrijednosni papiri koji kotiraju:</w:t>
            </w:r>
          </w:p>
        </w:tc>
        <w:tc>
          <w:tcPr>
            <w:tcW w:w="1060" w:type="dxa"/>
            <w:shd w:val="clear" w:color="auto" w:fill="auto"/>
            <w:vAlign w:val="bottom"/>
          </w:tcPr>
          <w:p w14:paraId="01119629" w14:textId="77777777" w:rsidR="00E11545" w:rsidRPr="0059218D" w:rsidDel="00561A80" w:rsidRDefault="00E11545" w:rsidP="00E11545">
            <w:pPr>
              <w:tabs>
                <w:tab w:val="right" w:pos="1202"/>
              </w:tabs>
              <w:suppressAutoHyphens/>
              <w:autoSpaceDN w:val="0"/>
              <w:jc w:val="right"/>
              <w:outlineLvl w:val="0"/>
              <w:rPr>
                <w:rFonts w:ascii="Arial" w:eastAsia="Calibri" w:hAnsi="Arial" w:cs="Arial"/>
                <w:color w:val="000000"/>
                <w:spacing w:val="-2"/>
                <w:sz w:val="17"/>
                <w:szCs w:val="17"/>
              </w:rPr>
            </w:pPr>
          </w:p>
        </w:tc>
        <w:tc>
          <w:tcPr>
            <w:tcW w:w="1060" w:type="dxa"/>
            <w:shd w:val="clear" w:color="auto" w:fill="auto"/>
            <w:vAlign w:val="bottom"/>
          </w:tcPr>
          <w:p w14:paraId="1ABA55B3" w14:textId="77777777" w:rsidR="00E11545" w:rsidRPr="0059218D" w:rsidDel="00561A80" w:rsidRDefault="00E11545" w:rsidP="00E11545">
            <w:pPr>
              <w:tabs>
                <w:tab w:val="right" w:pos="1202"/>
              </w:tabs>
              <w:suppressAutoHyphens/>
              <w:autoSpaceDN w:val="0"/>
              <w:jc w:val="right"/>
              <w:outlineLvl w:val="0"/>
              <w:rPr>
                <w:rFonts w:ascii="Arial" w:eastAsia="Calibri" w:hAnsi="Arial" w:cs="Arial"/>
                <w:color w:val="000000"/>
                <w:spacing w:val="-2"/>
                <w:sz w:val="17"/>
                <w:szCs w:val="17"/>
              </w:rPr>
            </w:pPr>
          </w:p>
        </w:tc>
        <w:tc>
          <w:tcPr>
            <w:tcW w:w="1060" w:type="dxa"/>
            <w:shd w:val="clear" w:color="auto" w:fill="auto"/>
            <w:vAlign w:val="bottom"/>
          </w:tcPr>
          <w:p w14:paraId="79766D58" w14:textId="77777777" w:rsidR="00E11545" w:rsidRPr="0059218D" w:rsidDel="00561A80" w:rsidRDefault="00E11545" w:rsidP="00E11545">
            <w:pPr>
              <w:tabs>
                <w:tab w:val="right" w:pos="1202"/>
              </w:tabs>
              <w:suppressAutoHyphens/>
              <w:autoSpaceDN w:val="0"/>
              <w:jc w:val="right"/>
              <w:outlineLvl w:val="0"/>
              <w:rPr>
                <w:rFonts w:ascii="Arial" w:eastAsia="Calibri" w:hAnsi="Arial" w:cs="Arial"/>
                <w:color w:val="000000"/>
                <w:spacing w:val="-2"/>
                <w:sz w:val="17"/>
                <w:szCs w:val="17"/>
              </w:rPr>
            </w:pPr>
          </w:p>
        </w:tc>
      </w:tr>
      <w:tr w:rsidR="00A86F5D" w:rsidRPr="003D1614" w14:paraId="1801DD80" w14:textId="77777777" w:rsidTr="0059218D">
        <w:trPr>
          <w:trHeight w:val="283"/>
          <w:jc w:val="center"/>
        </w:trPr>
        <w:tc>
          <w:tcPr>
            <w:tcW w:w="6094" w:type="dxa"/>
            <w:shd w:val="clear" w:color="auto" w:fill="auto"/>
            <w:vAlign w:val="bottom"/>
          </w:tcPr>
          <w:p w14:paraId="77A28DD0" w14:textId="77777777" w:rsidR="00A86F5D" w:rsidRPr="003D1614" w:rsidRDefault="00A86F5D" w:rsidP="00A86F5D">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color w:val="000000"/>
                <w:spacing w:val="-2"/>
                <w:sz w:val="17"/>
                <w:szCs w:val="17"/>
              </w:rPr>
              <w:t>Obveznice Republike Hrvatske</w:t>
            </w:r>
          </w:p>
        </w:tc>
        <w:tc>
          <w:tcPr>
            <w:tcW w:w="1060" w:type="dxa"/>
            <w:tcBorders>
              <w:top w:val="nil"/>
              <w:left w:val="nil"/>
              <w:bottom w:val="nil"/>
              <w:right w:val="nil"/>
            </w:tcBorders>
            <w:shd w:val="clear" w:color="auto" w:fill="auto"/>
            <w:vAlign w:val="bottom"/>
          </w:tcPr>
          <w:p w14:paraId="32276717" w14:textId="28B85C48" w:rsidR="00A86F5D" w:rsidRPr="0059218D" w:rsidRDefault="00A86F5D" w:rsidP="00A86F5D">
            <w:pPr>
              <w:tabs>
                <w:tab w:val="right" w:pos="1202"/>
              </w:tabs>
              <w:suppressAutoHyphens/>
              <w:autoSpaceDN w:val="0"/>
              <w:jc w:val="right"/>
              <w:outlineLvl w:val="0"/>
              <w:rPr>
                <w:rFonts w:ascii="Arial" w:eastAsia="Calibri" w:hAnsi="Arial" w:cs="Arial"/>
                <w:color w:val="000000"/>
                <w:sz w:val="17"/>
                <w:szCs w:val="17"/>
              </w:rPr>
            </w:pPr>
            <w:r w:rsidRPr="0059218D">
              <w:rPr>
                <w:rFonts w:ascii="Arial" w:hAnsi="Arial" w:cs="Arial"/>
                <w:sz w:val="17"/>
                <w:szCs w:val="17"/>
              </w:rPr>
              <w:t>216.165</w:t>
            </w:r>
          </w:p>
        </w:tc>
        <w:tc>
          <w:tcPr>
            <w:tcW w:w="1060" w:type="dxa"/>
            <w:tcBorders>
              <w:top w:val="nil"/>
              <w:left w:val="nil"/>
              <w:bottom w:val="nil"/>
              <w:right w:val="nil"/>
            </w:tcBorders>
            <w:shd w:val="clear" w:color="auto" w:fill="auto"/>
            <w:vAlign w:val="bottom"/>
          </w:tcPr>
          <w:p w14:paraId="2CAAA104" w14:textId="43B909A0" w:rsidR="00A86F5D" w:rsidRPr="0059218D" w:rsidRDefault="00A86F5D" w:rsidP="00A86F5D">
            <w:pPr>
              <w:tabs>
                <w:tab w:val="right" w:pos="1202"/>
              </w:tabs>
              <w:suppressAutoHyphens/>
              <w:autoSpaceDN w:val="0"/>
              <w:jc w:val="right"/>
              <w:outlineLvl w:val="0"/>
              <w:rPr>
                <w:rFonts w:ascii="Arial" w:eastAsia="Calibri" w:hAnsi="Arial" w:cs="Arial"/>
                <w:color w:val="000000"/>
                <w:sz w:val="17"/>
                <w:szCs w:val="17"/>
              </w:rPr>
            </w:pPr>
            <w:r w:rsidRPr="0059218D">
              <w:rPr>
                <w:rFonts w:ascii="Arial" w:hAnsi="Arial" w:cs="Arial"/>
                <w:sz w:val="17"/>
                <w:szCs w:val="17"/>
              </w:rPr>
              <w:t xml:space="preserve"> - </w:t>
            </w:r>
          </w:p>
        </w:tc>
        <w:tc>
          <w:tcPr>
            <w:tcW w:w="1060" w:type="dxa"/>
            <w:tcBorders>
              <w:top w:val="nil"/>
              <w:left w:val="nil"/>
              <w:bottom w:val="nil"/>
              <w:right w:val="nil"/>
            </w:tcBorders>
            <w:shd w:val="clear" w:color="auto" w:fill="auto"/>
            <w:vAlign w:val="bottom"/>
          </w:tcPr>
          <w:p w14:paraId="28EFF11E" w14:textId="2CB3264E" w:rsidR="00A86F5D" w:rsidRPr="0059218D" w:rsidRDefault="00A86F5D" w:rsidP="00A86F5D">
            <w:pPr>
              <w:tabs>
                <w:tab w:val="right" w:pos="1202"/>
              </w:tabs>
              <w:suppressAutoHyphens/>
              <w:autoSpaceDN w:val="0"/>
              <w:jc w:val="right"/>
              <w:outlineLvl w:val="0"/>
              <w:rPr>
                <w:rFonts w:ascii="Arial" w:eastAsia="Calibri" w:hAnsi="Arial" w:cs="Arial"/>
                <w:color w:val="000000"/>
                <w:sz w:val="17"/>
                <w:szCs w:val="17"/>
              </w:rPr>
            </w:pPr>
            <w:r w:rsidRPr="0059218D">
              <w:rPr>
                <w:rFonts w:ascii="Arial" w:hAnsi="Arial" w:cs="Arial"/>
                <w:sz w:val="17"/>
                <w:szCs w:val="17"/>
              </w:rPr>
              <w:t xml:space="preserve"> - </w:t>
            </w:r>
          </w:p>
        </w:tc>
      </w:tr>
      <w:tr w:rsidR="00A86F5D" w:rsidRPr="003D1614" w14:paraId="0359B146" w14:textId="77777777" w:rsidTr="0059218D">
        <w:trPr>
          <w:trHeight w:val="283"/>
          <w:jc w:val="center"/>
        </w:trPr>
        <w:tc>
          <w:tcPr>
            <w:tcW w:w="6094" w:type="dxa"/>
            <w:shd w:val="clear" w:color="auto" w:fill="auto"/>
            <w:vAlign w:val="bottom"/>
          </w:tcPr>
          <w:p w14:paraId="1A9B238F" w14:textId="77777777" w:rsidR="00A86F5D" w:rsidRPr="003D1614" w:rsidRDefault="00A86F5D" w:rsidP="00A86F5D">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color w:val="000000"/>
                <w:spacing w:val="-2"/>
                <w:sz w:val="17"/>
                <w:szCs w:val="17"/>
              </w:rPr>
              <w:t>Trezorski zapisi Ministarstva financija</w:t>
            </w:r>
          </w:p>
        </w:tc>
        <w:tc>
          <w:tcPr>
            <w:tcW w:w="1060" w:type="dxa"/>
            <w:tcBorders>
              <w:top w:val="nil"/>
              <w:left w:val="nil"/>
              <w:bottom w:val="nil"/>
              <w:right w:val="nil"/>
            </w:tcBorders>
            <w:shd w:val="clear" w:color="auto" w:fill="auto"/>
            <w:vAlign w:val="bottom"/>
          </w:tcPr>
          <w:p w14:paraId="4CAFF74C" w14:textId="47A564F6" w:rsidR="00A86F5D" w:rsidRPr="0059218D" w:rsidRDefault="00A86F5D" w:rsidP="00A86F5D">
            <w:pPr>
              <w:tabs>
                <w:tab w:val="right" w:pos="1202"/>
              </w:tabs>
              <w:suppressAutoHyphens/>
              <w:autoSpaceDN w:val="0"/>
              <w:jc w:val="right"/>
              <w:outlineLvl w:val="0"/>
              <w:rPr>
                <w:rFonts w:ascii="Arial" w:eastAsia="Calibri" w:hAnsi="Arial" w:cs="Arial"/>
                <w:color w:val="000000"/>
                <w:sz w:val="17"/>
                <w:szCs w:val="17"/>
              </w:rPr>
            </w:pPr>
            <w:r w:rsidRPr="0059218D">
              <w:rPr>
                <w:rFonts w:ascii="Arial" w:hAnsi="Arial" w:cs="Arial"/>
                <w:sz w:val="17"/>
                <w:szCs w:val="17"/>
              </w:rPr>
              <w:t>19.864</w:t>
            </w:r>
          </w:p>
        </w:tc>
        <w:tc>
          <w:tcPr>
            <w:tcW w:w="1060" w:type="dxa"/>
            <w:tcBorders>
              <w:top w:val="nil"/>
              <w:left w:val="nil"/>
              <w:bottom w:val="nil"/>
              <w:right w:val="nil"/>
            </w:tcBorders>
            <w:shd w:val="clear" w:color="auto" w:fill="auto"/>
            <w:vAlign w:val="bottom"/>
          </w:tcPr>
          <w:p w14:paraId="15AEE9FD" w14:textId="105F146F" w:rsidR="00A86F5D" w:rsidRPr="0059218D" w:rsidRDefault="00181EBC" w:rsidP="00A86F5D">
            <w:pPr>
              <w:tabs>
                <w:tab w:val="right" w:pos="1202"/>
              </w:tabs>
              <w:suppressAutoHyphens/>
              <w:autoSpaceDN w:val="0"/>
              <w:jc w:val="right"/>
              <w:outlineLvl w:val="0"/>
              <w:rPr>
                <w:rFonts w:ascii="Arial" w:eastAsia="Calibri" w:hAnsi="Arial" w:cs="Arial"/>
                <w:color w:val="000000"/>
                <w:sz w:val="17"/>
                <w:szCs w:val="17"/>
              </w:rPr>
            </w:pPr>
            <w:r w:rsidRPr="0059218D">
              <w:rPr>
                <w:rFonts w:ascii="Arial" w:hAnsi="Arial" w:cs="Arial"/>
                <w:sz w:val="17"/>
                <w:szCs w:val="17"/>
              </w:rPr>
              <w:t>-</w:t>
            </w:r>
          </w:p>
        </w:tc>
        <w:tc>
          <w:tcPr>
            <w:tcW w:w="1060" w:type="dxa"/>
            <w:tcBorders>
              <w:top w:val="nil"/>
              <w:left w:val="nil"/>
              <w:bottom w:val="nil"/>
              <w:right w:val="nil"/>
            </w:tcBorders>
            <w:shd w:val="clear" w:color="auto" w:fill="auto"/>
            <w:vAlign w:val="bottom"/>
          </w:tcPr>
          <w:p w14:paraId="72535E68" w14:textId="553A1F35" w:rsidR="00A86F5D" w:rsidRPr="0059218D" w:rsidRDefault="00A86F5D" w:rsidP="00A86F5D">
            <w:pPr>
              <w:tabs>
                <w:tab w:val="right" w:pos="1202"/>
              </w:tabs>
              <w:suppressAutoHyphens/>
              <w:autoSpaceDN w:val="0"/>
              <w:jc w:val="right"/>
              <w:outlineLvl w:val="0"/>
              <w:rPr>
                <w:rFonts w:ascii="Arial" w:eastAsia="Calibri" w:hAnsi="Arial" w:cs="Arial"/>
                <w:color w:val="000000"/>
                <w:sz w:val="17"/>
                <w:szCs w:val="17"/>
              </w:rPr>
            </w:pPr>
            <w:r w:rsidRPr="0059218D">
              <w:rPr>
                <w:rFonts w:ascii="Arial" w:hAnsi="Arial" w:cs="Arial"/>
                <w:sz w:val="17"/>
                <w:szCs w:val="17"/>
              </w:rPr>
              <w:t>-</w:t>
            </w:r>
          </w:p>
        </w:tc>
      </w:tr>
      <w:tr w:rsidR="00A86F5D" w:rsidRPr="003D1614" w14:paraId="2DA4ADAF" w14:textId="77777777" w:rsidTr="0059218D">
        <w:trPr>
          <w:trHeight w:val="283"/>
          <w:jc w:val="center"/>
        </w:trPr>
        <w:tc>
          <w:tcPr>
            <w:tcW w:w="6094" w:type="dxa"/>
            <w:shd w:val="clear" w:color="auto" w:fill="auto"/>
            <w:vAlign w:val="bottom"/>
          </w:tcPr>
          <w:p w14:paraId="22F276B7" w14:textId="77777777" w:rsidR="00A86F5D" w:rsidRPr="003D1614" w:rsidRDefault="00A86F5D" w:rsidP="00A86F5D">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color w:val="000000"/>
                <w:spacing w:val="-2"/>
                <w:sz w:val="17"/>
                <w:szCs w:val="17"/>
              </w:rPr>
              <w:t xml:space="preserve">Obračunana kamata </w:t>
            </w:r>
          </w:p>
        </w:tc>
        <w:tc>
          <w:tcPr>
            <w:tcW w:w="1060" w:type="dxa"/>
            <w:tcBorders>
              <w:top w:val="nil"/>
              <w:left w:val="nil"/>
              <w:bottom w:val="nil"/>
              <w:right w:val="nil"/>
            </w:tcBorders>
            <w:shd w:val="clear" w:color="auto" w:fill="auto"/>
            <w:vAlign w:val="bottom"/>
          </w:tcPr>
          <w:p w14:paraId="4AC10B5E" w14:textId="31CC2A31" w:rsidR="00A86F5D" w:rsidRPr="0059218D" w:rsidRDefault="00A86F5D" w:rsidP="00A86F5D">
            <w:pPr>
              <w:tabs>
                <w:tab w:val="right" w:pos="1202"/>
              </w:tabs>
              <w:suppressAutoHyphens/>
              <w:autoSpaceDN w:val="0"/>
              <w:jc w:val="right"/>
              <w:outlineLvl w:val="0"/>
              <w:rPr>
                <w:rFonts w:ascii="Arial" w:eastAsia="Calibri" w:hAnsi="Arial" w:cs="Arial"/>
                <w:color w:val="000000"/>
                <w:sz w:val="17"/>
                <w:szCs w:val="17"/>
              </w:rPr>
            </w:pPr>
            <w:r w:rsidRPr="0059218D">
              <w:rPr>
                <w:rFonts w:ascii="Arial" w:hAnsi="Arial" w:cs="Arial"/>
                <w:sz w:val="17"/>
                <w:szCs w:val="17"/>
              </w:rPr>
              <w:t>2.458</w:t>
            </w:r>
          </w:p>
        </w:tc>
        <w:tc>
          <w:tcPr>
            <w:tcW w:w="1060" w:type="dxa"/>
            <w:tcBorders>
              <w:top w:val="nil"/>
              <w:left w:val="nil"/>
              <w:bottom w:val="nil"/>
              <w:right w:val="nil"/>
            </w:tcBorders>
            <w:shd w:val="clear" w:color="auto" w:fill="auto"/>
            <w:vAlign w:val="bottom"/>
          </w:tcPr>
          <w:p w14:paraId="6ADDFA86" w14:textId="007B6FE6" w:rsidR="00A86F5D" w:rsidRPr="0059218D" w:rsidRDefault="00A86F5D" w:rsidP="00A86F5D">
            <w:pPr>
              <w:tabs>
                <w:tab w:val="right" w:pos="1202"/>
              </w:tabs>
              <w:suppressAutoHyphens/>
              <w:autoSpaceDN w:val="0"/>
              <w:jc w:val="right"/>
              <w:outlineLvl w:val="0"/>
              <w:rPr>
                <w:rFonts w:ascii="Arial" w:eastAsia="Calibri" w:hAnsi="Arial" w:cs="Arial"/>
                <w:color w:val="000000"/>
                <w:sz w:val="17"/>
                <w:szCs w:val="17"/>
              </w:rPr>
            </w:pPr>
            <w:r w:rsidRPr="0059218D">
              <w:rPr>
                <w:rFonts w:ascii="Arial" w:hAnsi="Arial" w:cs="Arial"/>
                <w:sz w:val="17"/>
                <w:szCs w:val="17"/>
              </w:rPr>
              <w:t>-</w:t>
            </w:r>
          </w:p>
        </w:tc>
        <w:tc>
          <w:tcPr>
            <w:tcW w:w="1060" w:type="dxa"/>
            <w:tcBorders>
              <w:top w:val="nil"/>
              <w:left w:val="nil"/>
              <w:bottom w:val="nil"/>
              <w:right w:val="nil"/>
            </w:tcBorders>
            <w:shd w:val="clear" w:color="auto" w:fill="auto"/>
            <w:vAlign w:val="bottom"/>
          </w:tcPr>
          <w:p w14:paraId="60E0DDAA" w14:textId="1A8072B8" w:rsidR="00A86F5D" w:rsidRPr="0059218D" w:rsidRDefault="00A86F5D" w:rsidP="00A86F5D">
            <w:pPr>
              <w:tabs>
                <w:tab w:val="right" w:pos="1202"/>
              </w:tabs>
              <w:suppressAutoHyphens/>
              <w:autoSpaceDN w:val="0"/>
              <w:jc w:val="right"/>
              <w:outlineLvl w:val="0"/>
              <w:rPr>
                <w:rFonts w:ascii="Arial" w:eastAsia="Calibri" w:hAnsi="Arial" w:cs="Arial"/>
                <w:color w:val="000000"/>
                <w:sz w:val="17"/>
                <w:szCs w:val="17"/>
              </w:rPr>
            </w:pPr>
            <w:r w:rsidRPr="0059218D">
              <w:rPr>
                <w:rFonts w:ascii="Arial" w:hAnsi="Arial" w:cs="Arial"/>
                <w:sz w:val="17"/>
                <w:szCs w:val="17"/>
              </w:rPr>
              <w:t>-</w:t>
            </w:r>
          </w:p>
        </w:tc>
      </w:tr>
      <w:tr w:rsidR="00E11545" w:rsidRPr="003D1614" w14:paraId="45D2E152" w14:textId="77777777" w:rsidTr="0059218D">
        <w:trPr>
          <w:trHeight w:val="283"/>
          <w:jc w:val="center"/>
        </w:trPr>
        <w:tc>
          <w:tcPr>
            <w:tcW w:w="6094" w:type="dxa"/>
            <w:shd w:val="clear" w:color="auto" w:fill="auto"/>
            <w:vAlign w:val="bottom"/>
          </w:tcPr>
          <w:p w14:paraId="21A7CDC5" w14:textId="77777777" w:rsidR="00E11545" w:rsidRPr="003D1614" w:rsidRDefault="00E11545" w:rsidP="00E11545">
            <w:pPr>
              <w:tabs>
                <w:tab w:val="right" w:pos="1202"/>
              </w:tabs>
              <w:suppressAutoHyphens/>
              <w:autoSpaceDN w:val="0"/>
              <w:outlineLvl w:val="0"/>
              <w:rPr>
                <w:rFonts w:ascii="Arial" w:eastAsia="Calibri" w:hAnsi="Arial" w:cs="Arial"/>
                <w:b/>
                <w:i/>
                <w:color w:val="000000"/>
                <w:spacing w:val="-2"/>
                <w:sz w:val="17"/>
                <w:szCs w:val="17"/>
              </w:rPr>
            </w:pPr>
            <w:r w:rsidRPr="003D1614">
              <w:rPr>
                <w:rFonts w:ascii="Arial" w:eastAsia="Calibri" w:hAnsi="Arial" w:cs="Arial"/>
                <w:b/>
                <w:i/>
                <w:color w:val="000000"/>
                <w:spacing w:val="-2"/>
                <w:sz w:val="17"/>
                <w:szCs w:val="17"/>
              </w:rPr>
              <w:t>Dužnički vrijednosni papiri koji ne kotiraju:</w:t>
            </w:r>
          </w:p>
        </w:tc>
        <w:tc>
          <w:tcPr>
            <w:tcW w:w="1060" w:type="dxa"/>
            <w:tcBorders>
              <w:top w:val="nil"/>
              <w:left w:val="nil"/>
              <w:bottom w:val="nil"/>
              <w:right w:val="nil"/>
            </w:tcBorders>
            <w:shd w:val="clear" w:color="auto" w:fill="auto"/>
            <w:vAlign w:val="bottom"/>
          </w:tcPr>
          <w:p w14:paraId="3D8DC513" w14:textId="77777777" w:rsidR="00E11545" w:rsidRPr="0059218D" w:rsidRDefault="00E11545" w:rsidP="00E11545">
            <w:pPr>
              <w:tabs>
                <w:tab w:val="right" w:pos="1202"/>
              </w:tabs>
              <w:suppressAutoHyphens/>
              <w:autoSpaceDN w:val="0"/>
              <w:jc w:val="right"/>
              <w:outlineLvl w:val="0"/>
              <w:rPr>
                <w:rFonts w:ascii="Arial" w:eastAsia="Calibri" w:hAnsi="Arial" w:cs="Arial"/>
                <w:color w:val="000000"/>
                <w:sz w:val="17"/>
                <w:szCs w:val="17"/>
              </w:rPr>
            </w:pPr>
          </w:p>
        </w:tc>
        <w:tc>
          <w:tcPr>
            <w:tcW w:w="1060" w:type="dxa"/>
            <w:tcBorders>
              <w:top w:val="nil"/>
              <w:left w:val="nil"/>
              <w:bottom w:val="nil"/>
              <w:right w:val="nil"/>
            </w:tcBorders>
            <w:shd w:val="clear" w:color="auto" w:fill="auto"/>
            <w:vAlign w:val="bottom"/>
          </w:tcPr>
          <w:p w14:paraId="02CE40D3" w14:textId="77777777" w:rsidR="00E11545" w:rsidRPr="0059218D" w:rsidRDefault="00E11545" w:rsidP="00E11545">
            <w:pPr>
              <w:tabs>
                <w:tab w:val="right" w:pos="1202"/>
              </w:tabs>
              <w:suppressAutoHyphens/>
              <w:autoSpaceDN w:val="0"/>
              <w:jc w:val="right"/>
              <w:outlineLvl w:val="0"/>
              <w:rPr>
                <w:rFonts w:ascii="Arial" w:eastAsia="Calibri" w:hAnsi="Arial" w:cs="Arial"/>
                <w:color w:val="000000"/>
                <w:spacing w:val="-2"/>
                <w:sz w:val="17"/>
                <w:szCs w:val="17"/>
              </w:rPr>
            </w:pPr>
          </w:p>
        </w:tc>
        <w:tc>
          <w:tcPr>
            <w:tcW w:w="1060" w:type="dxa"/>
            <w:tcBorders>
              <w:top w:val="nil"/>
              <w:left w:val="nil"/>
              <w:bottom w:val="nil"/>
              <w:right w:val="nil"/>
            </w:tcBorders>
            <w:shd w:val="clear" w:color="auto" w:fill="auto"/>
            <w:vAlign w:val="bottom"/>
          </w:tcPr>
          <w:p w14:paraId="3D9986BD" w14:textId="77777777" w:rsidR="00E11545" w:rsidRPr="0059218D" w:rsidRDefault="00E11545" w:rsidP="00E11545">
            <w:pPr>
              <w:tabs>
                <w:tab w:val="right" w:pos="1202"/>
              </w:tabs>
              <w:suppressAutoHyphens/>
              <w:autoSpaceDN w:val="0"/>
              <w:jc w:val="right"/>
              <w:outlineLvl w:val="0"/>
              <w:rPr>
                <w:rFonts w:ascii="Arial" w:eastAsia="Calibri" w:hAnsi="Arial" w:cs="Arial"/>
                <w:color w:val="000000"/>
                <w:spacing w:val="-2"/>
                <w:sz w:val="17"/>
                <w:szCs w:val="17"/>
              </w:rPr>
            </w:pPr>
          </w:p>
        </w:tc>
      </w:tr>
      <w:tr w:rsidR="00782DDD" w:rsidRPr="003D1614" w14:paraId="0C424C5A" w14:textId="77777777" w:rsidTr="0059218D">
        <w:trPr>
          <w:trHeight w:val="283"/>
          <w:jc w:val="center"/>
        </w:trPr>
        <w:tc>
          <w:tcPr>
            <w:tcW w:w="6094" w:type="dxa"/>
            <w:shd w:val="clear" w:color="auto" w:fill="auto"/>
            <w:vAlign w:val="bottom"/>
          </w:tcPr>
          <w:p w14:paraId="461ADD68" w14:textId="77777777" w:rsidR="00782DDD" w:rsidRPr="003D1614" w:rsidRDefault="00782DDD" w:rsidP="00782DDD">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color w:val="000000"/>
                <w:spacing w:val="-2"/>
                <w:sz w:val="17"/>
                <w:szCs w:val="17"/>
              </w:rPr>
              <w:t xml:space="preserve">Obveznice trgovačkih društava </w:t>
            </w:r>
          </w:p>
        </w:tc>
        <w:tc>
          <w:tcPr>
            <w:tcW w:w="1060" w:type="dxa"/>
            <w:tcBorders>
              <w:top w:val="nil"/>
              <w:left w:val="nil"/>
              <w:bottom w:val="nil"/>
              <w:right w:val="nil"/>
            </w:tcBorders>
            <w:shd w:val="clear" w:color="auto" w:fill="auto"/>
            <w:vAlign w:val="bottom"/>
          </w:tcPr>
          <w:p w14:paraId="0FACB7B9" w14:textId="018648A6" w:rsidR="00782DDD" w:rsidRPr="0059218D" w:rsidRDefault="00782DDD" w:rsidP="00782DDD">
            <w:pPr>
              <w:tabs>
                <w:tab w:val="right" w:pos="1202"/>
              </w:tabs>
              <w:suppressAutoHyphens/>
              <w:autoSpaceDN w:val="0"/>
              <w:jc w:val="right"/>
              <w:outlineLvl w:val="0"/>
              <w:rPr>
                <w:rFonts w:ascii="Arial" w:eastAsia="Calibri" w:hAnsi="Arial" w:cs="Arial"/>
                <w:color w:val="000000"/>
                <w:spacing w:val="-2"/>
                <w:sz w:val="17"/>
                <w:szCs w:val="17"/>
              </w:rPr>
            </w:pPr>
            <w:r w:rsidRPr="0059218D">
              <w:rPr>
                <w:rFonts w:ascii="Arial" w:hAnsi="Arial" w:cs="Arial"/>
                <w:sz w:val="17"/>
                <w:szCs w:val="17"/>
              </w:rPr>
              <w:t>-</w:t>
            </w:r>
          </w:p>
        </w:tc>
        <w:tc>
          <w:tcPr>
            <w:tcW w:w="1060" w:type="dxa"/>
            <w:tcBorders>
              <w:top w:val="nil"/>
              <w:left w:val="nil"/>
              <w:bottom w:val="nil"/>
              <w:right w:val="nil"/>
            </w:tcBorders>
            <w:shd w:val="clear" w:color="auto" w:fill="auto"/>
            <w:vAlign w:val="bottom"/>
          </w:tcPr>
          <w:p w14:paraId="7010FEFC" w14:textId="179DC90C" w:rsidR="00782DDD" w:rsidRPr="0059218D" w:rsidRDefault="00782DDD" w:rsidP="00782DDD">
            <w:pPr>
              <w:tabs>
                <w:tab w:val="right" w:pos="1202"/>
              </w:tabs>
              <w:suppressAutoHyphens/>
              <w:autoSpaceDN w:val="0"/>
              <w:jc w:val="right"/>
              <w:outlineLvl w:val="0"/>
              <w:rPr>
                <w:rFonts w:ascii="Arial" w:eastAsia="Calibri" w:hAnsi="Arial" w:cs="Arial"/>
                <w:color w:val="000000"/>
                <w:spacing w:val="-2"/>
                <w:sz w:val="17"/>
                <w:szCs w:val="17"/>
              </w:rPr>
            </w:pPr>
            <w:r w:rsidRPr="0059218D">
              <w:rPr>
                <w:rFonts w:ascii="Arial" w:hAnsi="Arial" w:cs="Arial"/>
                <w:sz w:val="17"/>
                <w:szCs w:val="17"/>
              </w:rPr>
              <w:t>-</w:t>
            </w:r>
          </w:p>
        </w:tc>
        <w:tc>
          <w:tcPr>
            <w:tcW w:w="1060" w:type="dxa"/>
            <w:tcBorders>
              <w:top w:val="nil"/>
              <w:left w:val="nil"/>
              <w:bottom w:val="nil"/>
              <w:right w:val="nil"/>
            </w:tcBorders>
            <w:shd w:val="clear" w:color="auto" w:fill="auto"/>
            <w:vAlign w:val="bottom"/>
          </w:tcPr>
          <w:p w14:paraId="5712EE06" w14:textId="1B368271" w:rsidR="00782DDD" w:rsidRPr="0059218D" w:rsidRDefault="00782DDD" w:rsidP="00782DDD">
            <w:pPr>
              <w:tabs>
                <w:tab w:val="right" w:pos="1202"/>
              </w:tabs>
              <w:suppressAutoHyphens/>
              <w:autoSpaceDN w:val="0"/>
              <w:jc w:val="right"/>
              <w:outlineLvl w:val="0"/>
              <w:rPr>
                <w:rFonts w:ascii="Arial" w:eastAsia="Calibri" w:hAnsi="Arial" w:cs="Arial"/>
                <w:color w:val="000000"/>
                <w:spacing w:val="-2"/>
                <w:sz w:val="17"/>
                <w:szCs w:val="17"/>
              </w:rPr>
            </w:pPr>
            <w:r w:rsidRPr="0059218D">
              <w:rPr>
                <w:rFonts w:ascii="Arial" w:hAnsi="Arial" w:cs="Arial"/>
                <w:sz w:val="17"/>
                <w:szCs w:val="17"/>
              </w:rPr>
              <w:t>75</w:t>
            </w:r>
          </w:p>
        </w:tc>
      </w:tr>
      <w:tr w:rsidR="00782DDD" w:rsidRPr="003D1614" w14:paraId="19C385C1" w14:textId="77777777" w:rsidTr="0059218D">
        <w:trPr>
          <w:trHeight w:val="283"/>
          <w:jc w:val="center"/>
        </w:trPr>
        <w:tc>
          <w:tcPr>
            <w:tcW w:w="6094" w:type="dxa"/>
            <w:shd w:val="clear" w:color="auto" w:fill="auto"/>
            <w:vAlign w:val="bottom"/>
          </w:tcPr>
          <w:p w14:paraId="6677C8F2" w14:textId="77777777" w:rsidR="00782DDD" w:rsidRPr="003D1614" w:rsidRDefault="00782DDD" w:rsidP="00782DDD">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color w:val="000000"/>
                <w:spacing w:val="-2"/>
                <w:sz w:val="17"/>
                <w:szCs w:val="17"/>
              </w:rPr>
              <w:t>Zamjenjive obveznice CB</w:t>
            </w:r>
          </w:p>
        </w:tc>
        <w:tc>
          <w:tcPr>
            <w:tcW w:w="1060" w:type="dxa"/>
            <w:tcBorders>
              <w:top w:val="nil"/>
              <w:left w:val="nil"/>
              <w:bottom w:val="nil"/>
              <w:right w:val="nil"/>
            </w:tcBorders>
            <w:shd w:val="clear" w:color="auto" w:fill="auto"/>
            <w:vAlign w:val="bottom"/>
          </w:tcPr>
          <w:p w14:paraId="1C64EB38" w14:textId="1536E70F" w:rsidR="00782DDD" w:rsidRPr="0059218D" w:rsidRDefault="00782DDD" w:rsidP="00782DDD">
            <w:pPr>
              <w:tabs>
                <w:tab w:val="right" w:pos="1202"/>
              </w:tabs>
              <w:suppressAutoHyphens/>
              <w:autoSpaceDN w:val="0"/>
              <w:jc w:val="right"/>
              <w:outlineLvl w:val="0"/>
              <w:rPr>
                <w:rFonts w:ascii="Arial" w:eastAsia="Calibri" w:hAnsi="Arial" w:cs="Arial"/>
                <w:color w:val="000000"/>
                <w:spacing w:val="-2"/>
                <w:sz w:val="17"/>
                <w:szCs w:val="17"/>
              </w:rPr>
            </w:pPr>
            <w:r w:rsidRPr="0059218D">
              <w:rPr>
                <w:rFonts w:ascii="Arial" w:hAnsi="Arial" w:cs="Arial"/>
                <w:sz w:val="17"/>
                <w:szCs w:val="17"/>
              </w:rPr>
              <w:t>-</w:t>
            </w:r>
          </w:p>
        </w:tc>
        <w:tc>
          <w:tcPr>
            <w:tcW w:w="1060" w:type="dxa"/>
            <w:tcBorders>
              <w:top w:val="nil"/>
              <w:left w:val="nil"/>
              <w:bottom w:val="nil"/>
              <w:right w:val="nil"/>
            </w:tcBorders>
            <w:shd w:val="clear" w:color="auto" w:fill="auto"/>
            <w:vAlign w:val="bottom"/>
          </w:tcPr>
          <w:p w14:paraId="66A08E1F" w14:textId="764AD68B" w:rsidR="00782DDD" w:rsidRPr="0059218D" w:rsidRDefault="00782DDD" w:rsidP="00782DDD">
            <w:pPr>
              <w:tabs>
                <w:tab w:val="right" w:pos="1202"/>
              </w:tabs>
              <w:suppressAutoHyphens/>
              <w:autoSpaceDN w:val="0"/>
              <w:jc w:val="right"/>
              <w:outlineLvl w:val="0"/>
              <w:rPr>
                <w:rFonts w:ascii="Arial" w:eastAsia="Calibri" w:hAnsi="Arial" w:cs="Arial"/>
                <w:color w:val="000000"/>
                <w:spacing w:val="-2"/>
                <w:sz w:val="17"/>
                <w:szCs w:val="17"/>
              </w:rPr>
            </w:pPr>
            <w:r w:rsidRPr="0059218D">
              <w:rPr>
                <w:rFonts w:ascii="Arial" w:hAnsi="Arial" w:cs="Arial"/>
                <w:sz w:val="17"/>
                <w:szCs w:val="17"/>
              </w:rPr>
              <w:t>-</w:t>
            </w:r>
          </w:p>
        </w:tc>
        <w:tc>
          <w:tcPr>
            <w:tcW w:w="1060" w:type="dxa"/>
            <w:tcBorders>
              <w:top w:val="nil"/>
              <w:left w:val="nil"/>
              <w:bottom w:val="nil"/>
              <w:right w:val="nil"/>
            </w:tcBorders>
            <w:shd w:val="clear" w:color="auto" w:fill="auto"/>
            <w:vAlign w:val="bottom"/>
          </w:tcPr>
          <w:p w14:paraId="38791FBE" w14:textId="30157B82" w:rsidR="00782DDD" w:rsidRPr="0059218D" w:rsidRDefault="00782DDD" w:rsidP="00782DDD">
            <w:pPr>
              <w:tabs>
                <w:tab w:val="right" w:pos="1202"/>
              </w:tabs>
              <w:suppressAutoHyphens/>
              <w:autoSpaceDN w:val="0"/>
              <w:jc w:val="right"/>
              <w:outlineLvl w:val="0"/>
              <w:rPr>
                <w:rFonts w:ascii="Arial" w:eastAsia="Calibri" w:hAnsi="Arial" w:cs="Arial"/>
                <w:color w:val="000000"/>
                <w:spacing w:val="-2"/>
                <w:sz w:val="17"/>
                <w:szCs w:val="17"/>
              </w:rPr>
            </w:pPr>
            <w:r w:rsidRPr="0059218D">
              <w:rPr>
                <w:rFonts w:ascii="Arial" w:hAnsi="Arial" w:cs="Arial"/>
                <w:sz w:val="17"/>
                <w:szCs w:val="17"/>
              </w:rPr>
              <w:t>137</w:t>
            </w:r>
          </w:p>
        </w:tc>
      </w:tr>
      <w:tr w:rsidR="00782DDD" w:rsidRPr="003D1614" w14:paraId="615F815E" w14:textId="77777777" w:rsidTr="001B0234">
        <w:trPr>
          <w:trHeight w:val="283"/>
          <w:jc w:val="center"/>
        </w:trPr>
        <w:tc>
          <w:tcPr>
            <w:tcW w:w="6094" w:type="dxa"/>
            <w:shd w:val="clear" w:color="auto" w:fill="auto"/>
            <w:vAlign w:val="bottom"/>
          </w:tcPr>
          <w:p w14:paraId="7CEF0CC2" w14:textId="77777777" w:rsidR="00782DDD" w:rsidRPr="003D1614" w:rsidRDefault="00782DDD" w:rsidP="00782DDD">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color w:val="000000"/>
                <w:spacing w:val="-2"/>
                <w:sz w:val="17"/>
                <w:szCs w:val="17"/>
              </w:rPr>
              <w:t>Obračunata kamata</w:t>
            </w:r>
          </w:p>
        </w:tc>
        <w:tc>
          <w:tcPr>
            <w:tcW w:w="1060" w:type="dxa"/>
            <w:tcBorders>
              <w:top w:val="nil"/>
              <w:left w:val="nil"/>
              <w:bottom w:val="single" w:sz="4" w:space="0" w:color="auto"/>
              <w:right w:val="nil"/>
            </w:tcBorders>
            <w:shd w:val="clear" w:color="auto" w:fill="auto"/>
            <w:vAlign w:val="bottom"/>
          </w:tcPr>
          <w:p w14:paraId="79C971E6" w14:textId="433006C3" w:rsidR="00782DDD" w:rsidRPr="0059218D" w:rsidRDefault="00782DDD" w:rsidP="00782DDD">
            <w:pPr>
              <w:tabs>
                <w:tab w:val="right" w:pos="1202"/>
              </w:tabs>
              <w:suppressAutoHyphens/>
              <w:autoSpaceDN w:val="0"/>
              <w:jc w:val="right"/>
              <w:outlineLvl w:val="0"/>
              <w:rPr>
                <w:rFonts w:ascii="Arial" w:eastAsia="Calibri" w:hAnsi="Arial" w:cs="Arial"/>
                <w:color w:val="000000"/>
                <w:spacing w:val="-2"/>
                <w:sz w:val="17"/>
                <w:szCs w:val="17"/>
              </w:rPr>
            </w:pPr>
            <w:r w:rsidRPr="0059218D">
              <w:rPr>
                <w:rFonts w:ascii="Arial" w:hAnsi="Arial" w:cs="Arial"/>
                <w:sz w:val="17"/>
                <w:szCs w:val="17"/>
              </w:rPr>
              <w:t>-</w:t>
            </w:r>
          </w:p>
        </w:tc>
        <w:tc>
          <w:tcPr>
            <w:tcW w:w="1060" w:type="dxa"/>
            <w:tcBorders>
              <w:top w:val="nil"/>
              <w:left w:val="nil"/>
              <w:bottom w:val="single" w:sz="4" w:space="0" w:color="auto"/>
              <w:right w:val="nil"/>
            </w:tcBorders>
            <w:shd w:val="clear" w:color="auto" w:fill="auto"/>
            <w:vAlign w:val="bottom"/>
          </w:tcPr>
          <w:p w14:paraId="40237579" w14:textId="24804D32" w:rsidR="00782DDD" w:rsidRPr="0059218D" w:rsidRDefault="00782DDD" w:rsidP="00782DDD">
            <w:pPr>
              <w:tabs>
                <w:tab w:val="right" w:pos="1202"/>
              </w:tabs>
              <w:suppressAutoHyphens/>
              <w:autoSpaceDN w:val="0"/>
              <w:jc w:val="right"/>
              <w:outlineLvl w:val="0"/>
              <w:rPr>
                <w:rFonts w:ascii="Arial" w:eastAsia="Calibri" w:hAnsi="Arial" w:cs="Arial"/>
                <w:color w:val="000000"/>
                <w:spacing w:val="-2"/>
                <w:sz w:val="17"/>
                <w:szCs w:val="17"/>
              </w:rPr>
            </w:pPr>
            <w:r w:rsidRPr="0059218D">
              <w:rPr>
                <w:rFonts w:ascii="Arial" w:hAnsi="Arial" w:cs="Arial"/>
                <w:sz w:val="17"/>
                <w:szCs w:val="17"/>
              </w:rPr>
              <w:t>-</w:t>
            </w:r>
          </w:p>
        </w:tc>
        <w:tc>
          <w:tcPr>
            <w:tcW w:w="1060" w:type="dxa"/>
            <w:tcBorders>
              <w:top w:val="nil"/>
              <w:left w:val="nil"/>
              <w:bottom w:val="single" w:sz="4" w:space="0" w:color="auto"/>
              <w:right w:val="nil"/>
            </w:tcBorders>
            <w:shd w:val="clear" w:color="auto" w:fill="auto"/>
            <w:vAlign w:val="bottom"/>
          </w:tcPr>
          <w:p w14:paraId="2B5E729B" w14:textId="691E2F48" w:rsidR="00782DDD" w:rsidRPr="0059218D" w:rsidRDefault="00782DDD" w:rsidP="00782DDD">
            <w:pPr>
              <w:tabs>
                <w:tab w:val="right" w:pos="1202"/>
              </w:tabs>
              <w:suppressAutoHyphens/>
              <w:autoSpaceDN w:val="0"/>
              <w:jc w:val="right"/>
              <w:outlineLvl w:val="0"/>
              <w:rPr>
                <w:rFonts w:ascii="Arial" w:eastAsia="Calibri" w:hAnsi="Arial" w:cs="Arial"/>
                <w:color w:val="000000"/>
                <w:spacing w:val="-2"/>
                <w:sz w:val="17"/>
                <w:szCs w:val="17"/>
              </w:rPr>
            </w:pPr>
            <w:r w:rsidRPr="0059218D">
              <w:rPr>
                <w:rFonts w:ascii="Arial" w:hAnsi="Arial" w:cs="Arial"/>
                <w:sz w:val="17"/>
                <w:szCs w:val="17"/>
              </w:rPr>
              <w:t>2</w:t>
            </w:r>
          </w:p>
        </w:tc>
      </w:tr>
      <w:tr w:rsidR="00782DDD" w:rsidRPr="003D1614" w14:paraId="3068E32A" w14:textId="77777777" w:rsidTr="001B0234">
        <w:trPr>
          <w:trHeight w:val="283"/>
          <w:jc w:val="center"/>
        </w:trPr>
        <w:tc>
          <w:tcPr>
            <w:tcW w:w="6094" w:type="dxa"/>
            <w:shd w:val="clear" w:color="auto" w:fill="auto"/>
            <w:vAlign w:val="bottom"/>
          </w:tcPr>
          <w:p w14:paraId="27F2E3EB" w14:textId="77777777" w:rsidR="00782DDD" w:rsidRPr="003D1614" w:rsidRDefault="00782DDD" w:rsidP="00782DDD">
            <w:pPr>
              <w:tabs>
                <w:tab w:val="right" w:pos="1202"/>
              </w:tabs>
              <w:suppressAutoHyphens/>
              <w:autoSpaceDN w:val="0"/>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Ukupno dužnički vrijednosni papiri</w:t>
            </w:r>
          </w:p>
        </w:tc>
        <w:tc>
          <w:tcPr>
            <w:tcW w:w="1060" w:type="dxa"/>
            <w:tcBorders>
              <w:top w:val="single" w:sz="4" w:space="0" w:color="auto"/>
              <w:left w:val="nil"/>
              <w:bottom w:val="single" w:sz="12" w:space="0" w:color="auto"/>
              <w:right w:val="nil"/>
            </w:tcBorders>
            <w:shd w:val="clear" w:color="auto" w:fill="auto"/>
            <w:vAlign w:val="bottom"/>
          </w:tcPr>
          <w:p w14:paraId="2C1E7003" w14:textId="089B950B" w:rsidR="00782DDD" w:rsidRPr="0059218D" w:rsidRDefault="00782DDD" w:rsidP="00782DDD">
            <w:pPr>
              <w:tabs>
                <w:tab w:val="right" w:pos="1202"/>
              </w:tabs>
              <w:suppressAutoHyphens/>
              <w:autoSpaceDN w:val="0"/>
              <w:jc w:val="right"/>
              <w:outlineLvl w:val="0"/>
              <w:rPr>
                <w:rFonts w:ascii="Arial" w:eastAsia="Calibri" w:hAnsi="Arial" w:cs="Arial"/>
                <w:b/>
                <w:bCs/>
                <w:color w:val="000000"/>
                <w:spacing w:val="-2"/>
                <w:sz w:val="17"/>
                <w:szCs w:val="17"/>
              </w:rPr>
            </w:pPr>
            <w:r w:rsidRPr="0059218D">
              <w:rPr>
                <w:rFonts w:ascii="Arial" w:hAnsi="Arial" w:cs="Arial"/>
                <w:b/>
                <w:bCs/>
                <w:sz w:val="17"/>
                <w:szCs w:val="17"/>
              </w:rPr>
              <w:t>238.487</w:t>
            </w:r>
          </w:p>
        </w:tc>
        <w:tc>
          <w:tcPr>
            <w:tcW w:w="1060" w:type="dxa"/>
            <w:tcBorders>
              <w:top w:val="single" w:sz="4" w:space="0" w:color="auto"/>
              <w:left w:val="nil"/>
              <w:bottom w:val="single" w:sz="12" w:space="0" w:color="auto"/>
              <w:right w:val="nil"/>
            </w:tcBorders>
            <w:shd w:val="clear" w:color="auto" w:fill="auto"/>
            <w:vAlign w:val="bottom"/>
          </w:tcPr>
          <w:p w14:paraId="26BBDB10" w14:textId="7DC1E1F3" w:rsidR="00782DDD" w:rsidRPr="0059218D" w:rsidRDefault="00181EBC" w:rsidP="00782DDD">
            <w:pPr>
              <w:tabs>
                <w:tab w:val="right" w:pos="1202"/>
              </w:tabs>
              <w:suppressAutoHyphens/>
              <w:autoSpaceDN w:val="0"/>
              <w:jc w:val="right"/>
              <w:outlineLvl w:val="0"/>
              <w:rPr>
                <w:rFonts w:ascii="Arial" w:eastAsia="Calibri" w:hAnsi="Arial" w:cs="Arial"/>
                <w:b/>
                <w:bCs/>
                <w:color w:val="000000"/>
                <w:spacing w:val="-2"/>
                <w:sz w:val="17"/>
                <w:szCs w:val="17"/>
              </w:rPr>
            </w:pPr>
            <w:r w:rsidRPr="0059218D">
              <w:rPr>
                <w:rFonts w:ascii="Arial" w:hAnsi="Arial" w:cs="Arial"/>
                <w:b/>
                <w:bCs/>
                <w:sz w:val="17"/>
                <w:szCs w:val="17"/>
              </w:rPr>
              <w:t>-</w:t>
            </w:r>
          </w:p>
        </w:tc>
        <w:tc>
          <w:tcPr>
            <w:tcW w:w="1060" w:type="dxa"/>
            <w:tcBorders>
              <w:top w:val="single" w:sz="4" w:space="0" w:color="auto"/>
              <w:left w:val="nil"/>
              <w:bottom w:val="single" w:sz="12" w:space="0" w:color="auto"/>
              <w:right w:val="nil"/>
            </w:tcBorders>
            <w:shd w:val="clear" w:color="auto" w:fill="auto"/>
            <w:vAlign w:val="bottom"/>
          </w:tcPr>
          <w:p w14:paraId="0FCFC297" w14:textId="59B75102" w:rsidR="00782DDD" w:rsidRPr="0059218D" w:rsidRDefault="00782DDD" w:rsidP="00782DDD">
            <w:pPr>
              <w:tabs>
                <w:tab w:val="right" w:pos="1202"/>
              </w:tabs>
              <w:suppressAutoHyphens/>
              <w:autoSpaceDN w:val="0"/>
              <w:jc w:val="right"/>
              <w:outlineLvl w:val="0"/>
              <w:rPr>
                <w:rFonts w:ascii="Arial" w:eastAsia="Calibri" w:hAnsi="Arial" w:cs="Arial"/>
                <w:b/>
                <w:bCs/>
                <w:color w:val="000000"/>
                <w:spacing w:val="-2"/>
                <w:sz w:val="17"/>
                <w:szCs w:val="17"/>
              </w:rPr>
            </w:pPr>
            <w:r w:rsidRPr="0059218D">
              <w:rPr>
                <w:rFonts w:ascii="Arial" w:hAnsi="Arial" w:cs="Arial"/>
                <w:b/>
                <w:bCs/>
                <w:sz w:val="17"/>
                <w:szCs w:val="17"/>
              </w:rPr>
              <w:t>214</w:t>
            </w:r>
          </w:p>
        </w:tc>
      </w:tr>
      <w:tr w:rsidR="00E11545" w:rsidRPr="003D1614" w14:paraId="17BC0DB0" w14:textId="77777777" w:rsidTr="001B0234">
        <w:trPr>
          <w:trHeight w:val="283"/>
          <w:jc w:val="center"/>
        </w:trPr>
        <w:tc>
          <w:tcPr>
            <w:tcW w:w="6094" w:type="dxa"/>
            <w:shd w:val="clear" w:color="auto" w:fill="auto"/>
            <w:vAlign w:val="bottom"/>
          </w:tcPr>
          <w:p w14:paraId="42DF8099" w14:textId="77777777" w:rsidR="00E11545" w:rsidRPr="003D1614" w:rsidRDefault="00E11545" w:rsidP="00E11545">
            <w:pPr>
              <w:tabs>
                <w:tab w:val="right" w:pos="1202"/>
              </w:tabs>
              <w:suppressAutoHyphens/>
              <w:autoSpaceDN w:val="0"/>
              <w:outlineLvl w:val="0"/>
              <w:rPr>
                <w:rFonts w:ascii="Arial" w:eastAsia="Calibri" w:hAnsi="Arial" w:cs="Arial"/>
                <w:b/>
                <w:i/>
                <w:color w:val="000000"/>
                <w:spacing w:val="-2"/>
                <w:sz w:val="17"/>
                <w:szCs w:val="17"/>
              </w:rPr>
            </w:pPr>
            <w:r w:rsidRPr="003D1614">
              <w:rPr>
                <w:rFonts w:ascii="Arial" w:eastAsia="Calibri" w:hAnsi="Arial" w:cs="Arial"/>
                <w:b/>
                <w:i/>
                <w:color w:val="000000"/>
                <w:spacing w:val="-2"/>
                <w:sz w:val="17"/>
                <w:szCs w:val="17"/>
              </w:rPr>
              <w:t>Vlasnički vrijednosni papiri koji ne kotiraju:</w:t>
            </w:r>
          </w:p>
        </w:tc>
        <w:tc>
          <w:tcPr>
            <w:tcW w:w="1060" w:type="dxa"/>
            <w:tcBorders>
              <w:top w:val="single" w:sz="12" w:space="0" w:color="auto"/>
              <w:left w:val="nil"/>
              <w:right w:val="nil"/>
            </w:tcBorders>
            <w:shd w:val="clear" w:color="auto" w:fill="auto"/>
            <w:vAlign w:val="bottom"/>
          </w:tcPr>
          <w:p w14:paraId="13554C38" w14:textId="77777777" w:rsidR="00E11545" w:rsidRPr="0059218D" w:rsidDel="00561A80" w:rsidRDefault="00E11545" w:rsidP="00E11545">
            <w:pPr>
              <w:tabs>
                <w:tab w:val="right" w:pos="1202"/>
              </w:tabs>
              <w:suppressAutoHyphens/>
              <w:autoSpaceDN w:val="0"/>
              <w:jc w:val="right"/>
              <w:outlineLvl w:val="0"/>
              <w:rPr>
                <w:rFonts w:ascii="Arial" w:eastAsia="Calibri" w:hAnsi="Arial" w:cs="Arial"/>
                <w:color w:val="000000"/>
                <w:spacing w:val="-2"/>
                <w:sz w:val="17"/>
                <w:szCs w:val="17"/>
              </w:rPr>
            </w:pPr>
          </w:p>
        </w:tc>
        <w:tc>
          <w:tcPr>
            <w:tcW w:w="1060" w:type="dxa"/>
            <w:tcBorders>
              <w:top w:val="single" w:sz="12" w:space="0" w:color="auto"/>
              <w:left w:val="nil"/>
              <w:right w:val="nil"/>
            </w:tcBorders>
            <w:shd w:val="clear" w:color="auto" w:fill="auto"/>
            <w:vAlign w:val="bottom"/>
          </w:tcPr>
          <w:p w14:paraId="4A59C3A1" w14:textId="77777777" w:rsidR="00E11545" w:rsidRPr="0059218D" w:rsidDel="00561A80" w:rsidRDefault="00E11545" w:rsidP="00E11545">
            <w:pPr>
              <w:tabs>
                <w:tab w:val="right" w:pos="1202"/>
              </w:tabs>
              <w:suppressAutoHyphens/>
              <w:autoSpaceDN w:val="0"/>
              <w:jc w:val="right"/>
              <w:outlineLvl w:val="0"/>
              <w:rPr>
                <w:rFonts w:ascii="Arial" w:eastAsia="Calibri" w:hAnsi="Arial" w:cs="Arial"/>
                <w:color w:val="000000"/>
                <w:spacing w:val="-2"/>
                <w:sz w:val="17"/>
                <w:szCs w:val="17"/>
              </w:rPr>
            </w:pPr>
          </w:p>
        </w:tc>
        <w:tc>
          <w:tcPr>
            <w:tcW w:w="1060" w:type="dxa"/>
            <w:tcBorders>
              <w:top w:val="single" w:sz="12" w:space="0" w:color="auto"/>
              <w:left w:val="nil"/>
              <w:right w:val="nil"/>
            </w:tcBorders>
            <w:shd w:val="clear" w:color="auto" w:fill="auto"/>
            <w:vAlign w:val="bottom"/>
          </w:tcPr>
          <w:p w14:paraId="70B2D5AC" w14:textId="77777777" w:rsidR="00E11545" w:rsidRPr="0059218D" w:rsidDel="00561A80" w:rsidRDefault="00E11545" w:rsidP="00E11545">
            <w:pPr>
              <w:tabs>
                <w:tab w:val="right" w:pos="1202"/>
              </w:tabs>
              <w:suppressAutoHyphens/>
              <w:autoSpaceDN w:val="0"/>
              <w:jc w:val="right"/>
              <w:outlineLvl w:val="0"/>
              <w:rPr>
                <w:rFonts w:ascii="Arial" w:eastAsia="Calibri" w:hAnsi="Arial" w:cs="Arial"/>
                <w:color w:val="000000"/>
                <w:spacing w:val="-2"/>
                <w:sz w:val="17"/>
                <w:szCs w:val="17"/>
              </w:rPr>
            </w:pPr>
          </w:p>
        </w:tc>
      </w:tr>
      <w:tr w:rsidR="00FB24C8" w:rsidRPr="003D1614" w14:paraId="0AB82248" w14:textId="77777777" w:rsidTr="0059218D">
        <w:trPr>
          <w:trHeight w:val="283"/>
          <w:jc w:val="center"/>
        </w:trPr>
        <w:tc>
          <w:tcPr>
            <w:tcW w:w="6094" w:type="dxa"/>
            <w:shd w:val="clear" w:color="auto" w:fill="auto"/>
            <w:vAlign w:val="bottom"/>
          </w:tcPr>
          <w:p w14:paraId="2465E97D" w14:textId="77777777" w:rsidR="00FB24C8" w:rsidRPr="003D1614" w:rsidRDefault="00FB24C8" w:rsidP="00FB24C8">
            <w:pPr>
              <w:tabs>
                <w:tab w:val="right" w:pos="1202"/>
              </w:tabs>
              <w:suppressAutoHyphens/>
              <w:autoSpaceDN w:val="0"/>
              <w:outlineLvl w:val="0"/>
              <w:rPr>
                <w:rFonts w:ascii="Arial" w:eastAsia="Calibri" w:hAnsi="Arial" w:cs="Arial"/>
                <w:color w:val="000000"/>
                <w:sz w:val="17"/>
                <w:szCs w:val="17"/>
              </w:rPr>
            </w:pPr>
            <w:r w:rsidRPr="003D1614">
              <w:rPr>
                <w:rFonts w:ascii="Arial" w:eastAsia="Calibri" w:hAnsi="Arial" w:cs="Arial"/>
                <w:color w:val="000000"/>
                <w:sz w:val="17"/>
                <w:szCs w:val="17"/>
              </w:rPr>
              <w:t>Dionice inozemnih pravnih osoba - SWIFT</w:t>
            </w:r>
          </w:p>
        </w:tc>
        <w:tc>
          <w:tcPr>
            <w:tcW w:w="1060" w:type="dxa"/>
            <w:tcBorders>
              <w:top w:val="nil"/>
              <w:left w:val="nil"/>
              <w:bottom w:val="nil"/>
              <w:right w:val="nil"/>
            </w:tcBorders>
            <w:shd w:val="clear" w:color="auto" w:fill="auto"/>
            <w:vAlign w:val="bottom"/>
          </w:tcPr>
          <w:p w14:paraId="74BB1E00" w14:textId="75545F5C" w:rsidR="00FB24C8" w:rsidRPr="0059218D" w:rsidRDefault="00FB24C8" w:rsidP="00FB24C8">
            <w:pPr>
              <w:tabs>
                <w:tab w:val="right" w:pos="1202"/>
              </w:tabs>
              <w:suppressAutoHyphens/>
              <w:autoSpaceDN w:val="0"/>
              <w:jc w:val="right"/>
              <w:outlineLvl w:val="0"/>
              <w:rPr>
                <w:rFonts w:ascii="Arial" w:eastAsia="Calibri" w:hAnsi="Arial" w:cs="Arial"/>
                <w:color w:val="000000"/>
                <w:sz w:val="17"/>
                <w:szCs w:val="17"/>
              </w:rPr>
            </w:pPr>
            <w:r w:rsidRPr="0059218D">
              <w:rPr>
                <w:rFonts w:ascii="Arial" w:hAnsi="Arial" w:cs="Arial"/>
                <w:sz w:val="17"/>
                <w:szCs w:val="17"/>
              </w:rPr>
              <w:t>-</w:t>
            </w:r>
          </w:p>
        </w:tc>
        <w:tc>
          <w:tcPr>
            <w:tcW w:w="1060" w:type="dxa"/>
            <w:tcBorders>
              <w:top w:val="nil"/>
              <w:left w:val="nil"/>
              <w:bottom w:val="nil"/>
              <w:right w:val="nil"/>
            </w:tcBorders>
            <w:shd w:val="clear" w:color="auto" w:fill="auto"/>
            <w:vAlign w:val="bottom"/>
          </w:tcPr>
          <w:p w14:paraId="497ACBAD" w14:textId="40DB38C5" w:rsidR="00FB24C8" w:rsidRPr="0059218D" w:rsidRDefault="00FB24C8" w:rsidP="00FB24C8">
            <w:pPr>
              <w:tabs>
                <w:tab w:val="right" w:pos="1202"/>
              </w:tabs>
              <w:suppressAutoHyphens/>
              <w:autoSpaceDN w:val="0"/>
              <w:jc w:val="right"/>
              <w:outlineLvl w:val="0"/>
              <w:rPr>
                <w:rFonts w:ascii="Arial" w:eastAsia="Calibri" w:hAnsi="Arial" w:cs="Arial"/>
                <w:color w:val="000000"/>
                <w:sz w:val="17"/>
                <w:szCs w:val="17"/>
              </w:rPr>
            </w:pPr>
            <w:r w:rsidRPr="0059218D">
              <w:rPr>
                <w:rFonts w:ascii="Arial" w:hAnsi="Arial" w:cs="Arial"/>
                <w:sz w:val="17"/>
                <w:szCs w:val="17"/>
              </w:rPr>
              <w:t>8</w:t>
            </w:r>
          </w:p>
        </w:tc>
        <w:tc>
          <w:tcPr>
            <w:tcW w:w="1060" w:type="dxa"/>
            <w:tcBorders>
              <w:top w:val="nil"/>
              <w:left w:val="nil"/>
              <w:bottom w:val="nil"/>
              <w:right w:val="nil"/>
            </w:tcBorders>
            <w:shd w:val="clear" w:color="auto" w:fill="auto"/>
            <w:vAlign w:val="bottom"/>
          </w:tcPr>
          <w:p w14:paraId="06E4986C" w14:textId="351DAA38" w:rsidR="00FB24C8" w:rsidRPr="0059218D" w:rsidRDefault="00FB24C8" w:rsidP="00FB24C8">
            <w:pPr>
              <w:tabs>
                <w:tab w:val="right" w:pos="1202"/>
              </w:tabs>
              <w:suppressAutoHyphens/>
              <w:autoSpaceDN w:val="0"/>
              <w:jc w:val="right"/>
              <w:outlineLvl w:val="0"/>
              <w:rPr>
                <w:rFonts w:ascii="Arial" w:eastAsia="Calibri" w:hAnsi="Arial" w:cs="Arial"/>
                <w:color w:val="000000"/>
                <w:sz w:val="17"/>
                <w:szCs w:val="17"/>
              </w:rPr>
            </w:pPr>
            <w:r w:rsidRPr="0059218D">
              <w:rPr>
                <w:rFonts w:ascii="Arial" w:hAnsi="Arial" w:cs="Arial"/>
                <w:sz w:val="17"/>
                <w:szCs w:val="17"/>
              </w:rPr>
              <w:t>-</w:t>
            </w:r>
          </w:p>
        </w:tc>
      </w:tr>
      <w:tr w:rsidR="00FB24C8" w:rsidRPr="003D1614" w14:paraId="6B76BD0C" w14:textId="77777777" w:rsidTr="0059218D">
        <w:trPr>
          <w:trHeight w:val="283"/>
          <w:jc w:val="center"/>
        </w:trPr>
        <w:tc>
          <w:tcPr>
            <w:tcW w:w="6094" w:type="dxa"/>
            <w:shd w:val="clear" w:color="auto" w:fill="auto"/>
            <w:vAlign w:val="bottom"/>
          </w:tcPr>
          <w:p w14:paraId="5507DCBA" w14:textId="77777777" w:rsidR="00FB24C8" w:rsidRPr="003D1614" w:rsidRDefault="00FB24C8" w:rsidP="00FB24C8">
            <w:pPr>
              <w:tabs>
                <w:tab w:val="right" w:pos="1202"/>
              </w:tabs>
              <w:suppressAutoHyphens/>
              <w:autoSpaceDN w:val="0"/>
              <w:outlineLvl w:val="0"/>
              <w:rPr>
                <w:rFonts w:ascii="Arial" w:eastAsia="Calibri" w:hAnsi="Arial" w:cs="Arial"/>
                <w:color w:val="000000"/>
                <w:sz w:val="17"/>
                <w:szCs w:val="17"/>
              </w:rPr>
            </w:pPr>
            <w:r w:rsidRPr="003D1614">
              <w:rPr>
                <w:rFonts w:ascii="Arial" w:eastAsia="Calibri" w:hAnsi="Arial" w:cs="Arial"/>
                <w:color w:val="000000"/>
                <w:sz w:val="17"/>
                <w:szCs w:val="17"/>
              </w:rPr>
              <w:t>Dionice inozemnih financijskih institucija – EIF</w:t>
            </w:r>
          </w:p>
        </w:tc>
        <w:tc>
          <w:tcPr>
            <w:tcW w:w="1060" w:type="dxa"/>
            <w:tcBorders>
              <w:top w:val="nil"/>
              <w:left w:val="nil"/>
              <w:bottom w:val="single" w:sz="4" w:space="0" w:color="auto"/>
              <w:right w:val="nil"/>
            </w:tcBorders>
            <w:shd w:val="clear" w:color="auto" w:fill="auto"/>
            <w:vAlign w:val="bottom"/>
          </w:tcPr>
          <w:p w14:paraId="29ABAABB" w14:textId="4E17F937" w:rsidR="00FB24C8" w:rsidRPr="0059218D" w:rsidRDefault="00FB24C8" w:rsidP="00FB24C8">
            <w:pPr>
              <w:tabs>
                <w:tab w:val="right" w:pos="1202"/>
              </w:tabs>
              <w:suppressAutoHyphens/>
              <w:autoSpaceDN w:val="0"/>
              <w:jc w:val="right"/>
              <w:outlineLvl w:val="0"/>
              <w:rPr>
                <w:rFonts w:ascii="Arial" w:eastAsia="Calibri" w:hAnsi="Arial" w:cs="Arial"/>
                <w:color w:val="000000"/>
                <w:sz w:val="17"/>
                <w:szCs w:val="17"/>
              </w:rPr>
            </w:pPr>
            <w:r w:rsidRPr="0059218D">
              <w:rPr>
                <w:rFonts w:ascii="Arial" w:hAnsi="Arial" w:cs="Arial"/>
                <w:sz w:val="17"/>
                <w:szCs w:val="17"/>
              </w:rPr>
              <w:t>-</w:t>
            </w:r>
          </w:p>
        </w:tc>
        <w:tc>
          <w:tcPr>
            <w:tcW w:w="1060" w:type="dxa"/>
            <w:tcBorders>
              <w:top w:val="nil"/>
              <w:left w:val="nil"/>
              <w:bottom w:val="nil"/>
              <w:right w:val="nil"/>
            </w:tcBorders>
            <w:shd w:val="clear" w:color="auto" w:fill="auto"/>
            <w:vAlign w:val="bottom"/>
          </w:tcPr>
          <w:p w14:paraId="39C195A3" w14:textId="08C088C7" w:rsidR="00FB24C8" w:rsidRPr="0059218D" w:rsidRDefault="00FB24C8" w:rsidP="00FB24C8">
            <w:pPr>
              <w:tabs>
                <w:tab w:val="right" w:pos="1202"/>
              </w:tabs>
              <w:suppressAutoHyphens/>
              <w:autoSpaceDN w:val="0"/>
              <w:jc w:val="right"/>
              <w:outlineLvl w:val="0"/>
              <w:rPr>
                <w:rFonts w:ascii="Arial" w:eastAsia="Calibri" w:hAnsi="Arial" w:cs="Arial"/>
                <w:color w:val="000000"/>
                <w:sz w:val="17"/>
                <w:szCs w:val="17"/>
              </w:rPr>
            </w:pPr>
            <w:r w:rsidRPr="0059218D">
              <w:rPr>
                <w:rFonts w:ascii="Arial" w:hAnsi="Arial" w:cs="Arial"/>
                <w:sz w:val="17"/>
                <w:szCs w:val="17"/>
              </w:rPr>
              <w:t>8.065</w:t>
            </w:r>
          </w:p>
        </w:tc>
        <w:tc>
          <w:tcPr>
            <w:tcW w:w="1060" w:type="dxa"/>
            <w:tcBorders>
              <w:top w:val="nil"/>
              <w:left w:val="nil"/>
              <w:bottom w:val="single" w:sz="4" w:space="0" w:color="auto"/>
              <w:right w:val="nil"/>
            </w:tcBorders>
            <w:shd w:val="clear" w:color="auto" w:fill="auto"/>
            <w:vAlign w:val="bottom"/>
          </w:tcPr>
          <w:p w14:paraId="52964F8D" w14:textId="5D4BECF1" w:rsidR="00FB24C8" w:rsidRPr="0059218D" w:rsidRDefault="00FB24C8" w:rsidP="00FB24C8">
            <w:pPr>
              <w:tabs>
                <w:tab w:val="right" w:pos="1202"/>
              </w:tabs>
              <w:suppressAutoHyphens/>
              <w:autoSpaceDN w:val="0"/>
              <w:jc w:val="right"/>
              <w:outlineLvl w:val="0"/>
              <w:rPr>
                <w:rFonts w:ascii="Arial" w:eastAsia="Calibri" w:hAnsi="Arial" w:cs="Arial"/>
                <w:color w:val="000000"/>
                <w:sz w:val="17"/>
                <w:szCs w:val="17"/>
              </w:rPr>
            </w:pPr>
            <w:r w:rsidRPr="0059218D">
              <w:rPr>
                <w:rFonts w:ascii="Arial" w:hAnsi="Arial" w:cs="Arial"/>
                <w:sz w:val="17"/>
                <w:szCs w:val="17"/>
              </w:rPr>
              <w:t>-</w:t>
            </w:r>
          </w:p>
        </w:tc>
      </w:tr>
      <w:tr w:rsidR="00FB24C8" w:rsidRPr="003D1614" w14:paraId="776BBF95" w14:textId="77777777" w:rsidTr="0059218D">
        <w:trPr>
          <w:trHeight w:val="283"/>
          <w:jc w:val="center"/>
        </w:trPr>
        <w:tc>
          <w:tcPr>
            <w:tcW w:w="6094" w:type="dxa"/>
            <w:shd w:val="clear" w:color="auto" w:fill="auto"/>
            <w:vAlign w:val="bottom"/>
          </w:tcPr>
          <w:p w14:paraId="453F539F" w14:textId="77777777" w:rsidR="00FB24C8" w:rsidRPr="003D1614" w:rsidRDefault="00FB24C8" w:rsidP="00FB24C8">
            <w:pPr>
              <w:tabs>
                <w:tab w:val="right" w:pos="1202"/>
              </w:tabs>
              <w:suppressAutoHyphens/>
              <w:autoSpaceDN w:val="0"/>
              <w:outlineLvl w:val="0"/>
              <w:rPr>
                <w:rFonts w:ascii="Arial" w:eastAsia="Calibri" w:hAnsi="Arial" w:cs="Arial"/>
                <w:b/>
                <w:color w:val="000000"/>
                <w:sz w:val="17"/>
                <w:szCs w:val="17"/>
              </w:rPr>
            </w:pPr>
            <w:r w:rsidRPr="003D1614">
              <w:rPr>
                <w:rFonts w:ascii="Arial" w:eastAsia="Calibri" w:hAnsi="Arial" w:cs="Arial"/>
                <w:b/>
                <w:color w:val="000000"/>
                <w:sz w:val="17"/>
                <w:szCs w:val="17"/>
              </w:rPr>
              <w:t>Ukupno vlasnički vrijednosni papiri</w:t>
            </w:r>
          </w:p>
        </w:tc>
        <w:tc>
          <w:tcPr>
            <w:tcW w:w="1060" w:type="dxa"/>
            <w:tcBorders>
              <w:top w:val="single" w:sz="4" w:space="0" w:color="auto"/>
              <w:left w:val="nil"/>
              <w:bottom w:val="single" w:sz="12" w:space="0" w:color="auto"/>
              <w:right w:val="nil"/>
            </w:tcBorders>
            <w:shd w:val="clear" w:color="auto" w:fill="auto"/>
            <w:vAlign w:val="bottom"/>
          </w:tcPr>
          <w:p w14:paraId="2977C1B8" w14:textId="44CDD1A9" w:rsidR="00FB24C8" w:rsidRPr="0059218D" w:rsidRDefault="00FB24C8" w:rsidP="00FB24C8">
            <w:pPr>
              <w:tabs>
                <w:tab w:val="right" w:pos="1202"/>
              </w:tabs>
              <w:suppressAutoHyphens/>
              <w:autoSpaceDN w:val="0"/>
              <w:jc w:val="right"/>
              <w:outlineLvl w:val="0"/>
              <w:rPr>
                <w:rFonts w:ascii="Arial" w:eastAsia="Calibri" w:hAnsi="Arial" w:cs="Arial"/>
                <w:b/>
                <w:bCs/>
                <w:color w:val="000000"/>
                <w:sz w:val="17"/>
                <w:szCs w:val="17"/>
              </w:rPr>
            </w:pPr>
            <w:r w:rsidRPr="0059218D">
              <w:rPr>
                <w:rFonts w:ascii="Arial" w:hAnsi="Arial" w:cs="Arial"/>
                <w:sz w:val="17"/>
                <w:szCs w:val="17"/>
              </w:rPr>
              <w:t>-</w:t>
            </w:r>
          </w:p>
        </w:tc>
        <w:tc>
          <w:tcPr>
            <w:tcW w:w="1060" w:type="dxa"/>
            <w:tcBorders>
              <w:top w:val="single" w:sz="4" w:space="0" w:color="auto"/>
              <w:left w:val="nil"/>
              <w:bottom w:val="single" w:sz="8" w:space="0" w:color="auto"/>
              <w:right w:val="nil"/>
            </w:tcBorders>
            <w:shd w:val="clear" w:color="auto" w:fill="auto"/>
            <w:vAlign w:val="bottom"/>
          </w:tcPr>
          <w:p w14:paraId="724F8A34" w14:textId="26F120C1" w:rsidR="00FB24C8" w:rsidRPr="0059218D" w:rsidRDefault="00FB24C8" w:rsidP="00FB24C8">
            <w:pPr>
              <w:tabs>
                <w:tab w:val="right" w:pos="1202"/>
              </w:tabs>
              <w:suppressAutoHyphens/>
              <w:autoSpaceDN w:val="0"/>
              <w:jc w:val="right"/>
              <w:outlineLvl w:val="0"/>
              <w:rPr>
                <w:rFonts w:ascii="Arial" w:eastAsia="Calibri" w:hAnsi="Arial" w:cs="Arial"/>
                <w:b/>
                <w:bCs/>
                <w:color w:val="000000"/>
                <w:sz w:val="17"/>
                <w:szCs w:val="17"/>
              </w:rPr>
            </w:pPr>
            <w:r w:rsidRPr="0059218D">
              <w:rPr>
                <w:rFonts w:ascii="Arial" w:hAnsi="Arial" w:cs="Arial"/>
                <w:sz w:val="17"/>
                <w:szCs w:val="17"/>
              </w:rPr>
              <w:t>8.073</w:t>
            </w:r>
          </w:p>
        </w:tc>
        <w:tc>
          <w:tcPr>
            <w:tcW w:w="1060" w:type="dxa"/>
            <w:tcBorders>
              <w:top w:val="single" w:sz="4" w:space="0" w:color="auto"/>
              <w:left w:val="nil"/>
              <w:bottom w:val="single" w:sz="12" w:space="0" w:color="auto"/>
              <w:right w:val="nil"/>
            </w:tcBorders>
            <w:shd w:val="clear" w:color="auto" w:fill="auto"/>
            <w:vAlign w:val="bottom"/>
          </w:tcPr>
          <w:p w14:paraId="7075EF57" w14:textId="0B825639" w:rsidR="00FB24C8" w:rsidRPr="0059218D" w:rsidRDefault="00FB24C8" w:rsidP="00FB24C8">
            <w:pPr>
              <w:tabs>
                <w:tab w:val="right" w:pos="1202"/>
              </w:tabs>
              <w:suppressAutoHyphens/>
              <w:autoSpaceDN w:val="0"/>
              <w:jc w:val="right"/>
              <w:outlineLvl w:val="0"/>
              <w:rPr>
                <w:rFonts w:ascii="Arial" w:eastAsia="Calibri" w:hAnsi="Arial" w:cs="Arial"/>
                <w:b/>
                <w:bCs/>
                <w:color w:val="000000"/>
                <w:sz w:val="17"/>
                <w:szCs w:val="17"/>
              </w:rPr>
            </w:pPr>
            <w:r w:rsidRPr="0059218D">
              <w:rPr>
                <w:rFonts w:ascii="Arial" w:hAnsi="Arial" w:cs="Arial"/>
                <w:sz w:val="17"/>
                <w:szCs w:val="17"/>
              </w:rPr>
              <w:t>-</w:t>
            </w:r>
          </w:p>
        </w:tc>
      </w:tr>
      <w:tr w:rsidR="00FB24C8" w:rsidRPr="003D1614" w14:paraId="727B0897" w14:textId="77777777" w:rsidTr="0059218D">
        <w:trPr>
          <w:trHeight w:val="283"/>
          <w:jc w:val="center"/>
        </w:trPr>
        <w:tc>
          <w:tcPr>
            <w:tcW w:w="6094" w:type="dxa"/>
            <w:shd w:val="clear" w:color="auto" w:fill="auto"/>
            <w:vAlign w:val="bottom"/>
          </w:tcPr>
          <w:p w14:paraId="7BA1B561" w14:textId="77777777" w:rsidR="00FB24C8" w:rsidRPr="003D1614" w:rsidRDefault="00FB24C8" w:rsidP="00FB24C8">
            <w:pPr>
              <w:tabs>
                <w:tab w:val="right" w:pos="1202"/>
              </w:tabs>
              <w:suppressAutoHyphens/>
              <w:autoSpaceDN w:val="0"/>
              <w:outlineLvl w:val="0"/>
              <w:rPr>
                <w:rFonts w:ascii="Arial" w:eastAsia="Calibri" w:hAnsi="Arial" w:cs="Arial"/>
                <w:b/>
                <w:color w:val="000000"/>
                <w:sz w:val="17"/>
                <w:szCs w:val="17"/>
              </w:rPr>
            </w:pPr>
            <w:r w:rsidRPr="003D1614">
              <w:rPr>
                <w:rFonts w:ascii="Arial" w:eastAsia="Calibri" w:hAnsi="Arial" w:cs="Arial"/>
                <w:b/>
                <w:color w:val="000000"/>
                <w:sz w:val="17"/>
                <w:szCs w:val="17"/>
              </w:rPr>
              <w:t>Ukupno imovina po fer vrijednosti kroz ostalu sveobuhvatnu dobit</w:t>
            </w:r>
          </w:p>
        </w:tc>
        <w:tc>
          <w:tcPr>
            <w:tcW w:w="1060" w:type="dxa"/>
            <w:tcBorders>
              <w:top w:val="single" w:sz="12" w:space="0" w:color="auto"/>
              <w:left w:val="nil"/>
              <w:bottom w:val="single" w:sz="12" w:space="0" w:color="auto"/>
              <w:right w:val="nil"/>
            </w:tcBorders>
            <w:shd w:val="clear" w:color="auto" w:fill="auto"/>
            <w:vAlign w:val="bottom"/>
          </w:tcPr>
          <w:p w14:paraId="05B84CFE" w14:textId="7941C064" w:rsidR="00FB24C8" w:rsidRPr="0059218D" w:rsidRDefault="00FB24C8" w:rsidP="00FB24C8">
            <w:pPr>
              <w:tabs>
                <w:tab w:val="right" w:pos="1202"/>
              </w:tabs>
              <w:suppressAutoHyphens/>
              <w:autoSpaceDN w:val="0"/>
              <w:jc w:val="right"/>
              <w:outlineLvl w:val="0"/>
              <w:rPr>
                <w:rFonts w:ascii="Arial" w:eastAsia="Calibri" w:hAnsi="Arial" w:cs="Arial"/>
                <w:b/>
                <w:bCs/>
                <w:color w:val="000000"/>
                <w:sz w:val="17"/>
                <w:szCs w:val="17"/>
              </w:rPr>
            </w:pPr>
            <w:r w:rsidRPr="0059218D">
              <w:rPr>
                <w:rFonts w:ascii="Arial" w:hAnsi="Arial" w:cs="Arial"/>
                <w:b/>
                <w:bCs/>
                <w:sz w:val="17"/>
                <w:szCs w:val="17"/>
              </w:rPr>
              <w:t>238.487</w:t>
            </w:r>
          </w:p>
        </w:tc>
        <w:tc>
          <w:tcPr>
            <w:tcW w:w="1060" w:type="dxa"/>
            <w:tcBorders>
              <w:top w:val="single" w:sz="12" w:space="0" w:color="auto"/>
              <w:left w:val="nil"/>
              <w:bottom w:val="single" w:sz="12" w:space="0" w:color="auto"/>
              <w:right w:val="nil"/>
            </w:tcBorders>
            <w:shd w:val="clear" w:color="auto" w:fill="auto"/>
            <w:vAlign w:val="bottom"/>
          </w:tcPr>
          <w:p w14:paraId="0A6E5E67" w14:textId="6A7EA381" w:rsidR="00FB24C8" w:rsidRPr="0059218D" w:rsidRDefault="00FB24C8" w:rsidP="00FB24C8">
            <w:pPr>
              <w:tabs>
                <w:tab w:val="right" w:pos="1202"/>
              </w:tabs>
              <w:suppressAutoHyphens/>
              <w:autoSpaceDN w:val="0"/>
              <w:jc w:val="right"/>
              <w:outlineLvl w:val="0"/>
              <w:rPr>
                <w:rFonts w:ascii="Arial" w:eastAsia="Calibri" w:hAnsi="Arial" w:cs="Arial"/>
                <w:b/>
                <w:bCs/>
                <w:color w:val="000000"/>
                <w:sz w:val="17"/>
                <w:szCs w:val="17"/>
              </w:rPr>
            </w:pPr>
            <w:r w:rsidRPr="0059218D">
              <w:rPr>
                <w:rFonts w:ascii="Arial" w:hAnsi="Arial" w:cs="Arial"/>
                <w:b/>
                <w:bCs/>
                <w:sz w:val="17"/>
                <w:szCs w:val="17"/>
              </w:rPr>
              <w:t>8.073</w:t>
            </w:r>
          </w:p>
        </w:tc>
        <w:tc>
          <w:tcPr>
            <w:tcW w:w="1060" w:type="dxa"/>
            <w:tcBorders>
              <w:top w:val="single" w:sz="12" w:space="0" w:color="auto"/>
              <w:left w:val="nil"/>
              <w:bottom w:val="single" w:sz="12" w:space="0" w:color="auto"/>
              <w:right w:val="nil"/>
            </w:tcBorders>
            <w:shd w:val="clear" w:color="auto" w:fill="auto"/>
            <w:vAlign w:val="bottom"/>
          </w:tcPr>
          <w:p w14:paraId="47285CC0" w14:textId="17536A5A" w:rsidR="00FB24C8" w:rsidRPr="0059218D" w:rsidRDefault="00FB24C8" w:rsidP="00FB24C8">
            <w:pPr>
              <w:tabs>
                <w:tab w:val="right" w:pos="1202"/>
              </w:tabs>
              <w:suppressAutoHyphens/>
              <w:autoSpaceDN w:val="0"/>
              <w:jc w:val="right"/>
              <w:outlineLvl w:val="0"/>
              <w:rPr>
                <w:rFonts w:ascii="Arial" w:eastAsia="Calibri" w:hAnsi="Arial" w:cs="Arial"/>
                <w:b/>
                <w:bCs/>
                <w:color w:val="000000"/>
                <w:sz w:val="17"/>
                <w:szCs w:val="17"/>
              </w:rPr>
            </w:pPr>
            <w:r w:rsidRPr="0059218D">
              <w:rPr>
                <w:rFonts w:ascii="Arial" w:hAnsi="Arial" w:cs="Arial"/>
                <w:b/>
                <w:bCs/>
                <w:sz w:val="17"/>
                <w:szCs w:val="17"/>
              </w:rPr>
              <w:t>214</w:t>
            </w:r>
          </w:p>
        </w:tc>
      </w:tr>
      <w:tr w:rsidR="00FB24C8" w:rsidRPr="003D1614" w14:paraId="7379F694" w14:textId="77777777" w:rsidTr="0059218D">
        <w:trPr>
          <w:trHeight w:val="283"/>
          <w:jc w:val="center"/>
        </w:trPr>
        <w:tc>
          <w:tcPr>
            <w:tcW w:w="6094" w:type="dxa"/>
            <w:shd w:val="clear" w:color="auto" w:fill="auto"/>
            <w:vAlign w:val="bottom"/>
          </w:tcPr>
          <w:p w14:paraId="2E7B4CDB" w14:textId="69A8ECA2" w:rsidR="00FB24C8" w:rsidRPr="003D1614" w:rsidRDefault="00FB24C8" w:rsidP="00FB24C8">
            <w:pPr>
              <w:tabs>
                <w:tab w:val="right" w:pos="1202"/>
              </w:tabs>
              <w:suppressAutoHyphens/>
              <w:autoSpaceDN w:val="0"/>
              <w:outlineLvl w:val="0"/>
              <w:rPr>
                <w:rFonts w:ascii="Arial" w:eastAsia="Calibri" w:hAnsi="Arial" w:cs="Arial"/>
                <w:b/>
                <w:color w:val="000000"/>
                <w:sz w:val="17"/>
                <w:szCs w:val="17"/>
              </w:rPr>
            </w:pPr>
            <w:r w:rsidRPr="00D46628">
              <w:rPr>
                <w:rFonts w:ascii="Arial" w:eastAsia="Calibri" w:hAnsi="Arial" w:cs="Arial"/>
                <w:b/>
                <w:color w:val="000000"/>
                <w:sz w:val="17"/>
                <w:szCs w:val="17"/>
              </w:rPr>
              <w:t>Derivativne financijske obveze</w:t>
            </w:r>
          </w:p>
        </w:tc>
        <w:tc>
          <w:tcPr>
            <w:tcW w:w="1060" w:type="dxa"/>
            <w:tcBorders>
              <w:top w:val="single" w:sz="12" w:space="0" w:color="auto"/>
              <w:left w:val="nil"/>
              <w:bottom w:val="single" w:sz="6" w:space="0" w:color="auto"/>
              <w:right w:val="nil"/>
            </w:tcBorders>
            <w:shd w:val="clear" w:color="auto" w:fill="auto"/>
            <w:vAlign w:val="bottom"/>
          </w:tcPr>
          <w:p w14:paraId="4B402C0C" w14:textId="77777777" w:rsidR="00FB24C8" w:rsidRPr="0059218D" w:rsidRDefault="00FB24C8" w:rsidP="00FB24C8">
            <w:pPr>
              <w:tabs>
                <w:tab w:val="right" w:pos="1202"/>
              </w:tabs>
              <w:suppressAutoHyphens/>
              <w:autoSpaceDN w:val="0"/>
              <w:jc w:val="right"/>
              <w:outlineLvl w:val="0"/>
              <w:rPr>
                <w:rFonts w:ascii="Arial" w:hAnsi="Arial" w:cs="Arial"/>
                <w:sz w:val="17"/>
                <w:szCs w:val="17"/>
              </w:rPr>
            </w:pPr>
          </w:p>
        </w:tc>
        <w:tc>
          <w:tcPr>
            <w:tcW w:w="1060" w:type="dxa"/>
            <w:tcBorders>
              <w:top w:val="single" w:sz="12" w:space="0" w:color="auto"/>
              <w:left w:val="nil"/>
              <w:bottom w:val="single" w:sz="6" w:space="0" w:color="auto"/>
              <w:right w:val="nil"/>
            </w:tcBorders>
            <w:shd w:val="clear" w:color="auto" w:fill="auto"/>
            <w:vAlign w:val="bottom"/>
          </w:tcPr>
          <w:p w14:paraId="77E6B4ED" w14:textId="77777777" w:rsidR="00FB24C8" w:rsidRPr="0059218D" w:rsidRDefault="00FB24C8" w:rsidP="00FB24C8">
            <w:pPr>
              <w:tabs>
                <w:tab w:val="right" w:pos="1202"/>
              </w:tabs>
              <w:suppressAutoHyphens/>
              <w:autoSpaceDN w:val="0"/>
              <w:jc w:val="right"/>
              <w:outlineLvl w:val="0"/>
              <w:rPr>
                <w:rFonts w:ascii="Arial" w:hAnsi="Arial" w:cs="Arial"/>
                <w:sz w:val="17"/>
                <w:szCs w:val="17"/>
              </w:rPr>
            </w:pPr>
          </w:p>
        </w:tc>
        <w:tc>
          <w:tcPr>
            <w:tcW w:w="1060" w:type="dxa"/>
            <w:tcBorders>
              <w:top w:val="single" w:sz="12" w:space="0" w:color="auto"/>
              <w:left w:val="nil"/>
              <w:bottom w:val="single" w:sz="6" w:space="0" w:color="auto"/>
              <w:right w:val="nil"/>
            </w:tcBorders>
            <w:shd w:val="clear" w:color="auto" w:fill="auto"/>
            <w:vAlign w:val="bottom"/>
          </w:tcPr>
          <w:p w14:paraId="68B7EFDE" w14:textId="77777777" w:rsidR="00FB24C8" w:rsidRPr="0059218D" w:rsidRDefault="00FB24C8" w:rsidP="00FB24C8">
            <w:pPr>
              <w:tabs>
                <w:tab w:val="right" w:pos="1202"/>
              </w:tabs>
              <w:suppressAutoHyphens/>
              <w:autoSpaceDN w:val="0"/>
              <w:jc w:val="right"/>
              <w:outlineLvl w:val="0"/>
              <w:rPr>
                <w:rFonts w:ascii="Arial" w:hAnsi="Arial" w:cs="Arial"/>
                <w:sz w:val="17"/>
                <w:szCs w:val="17"/>
              </w:rPr>
            </w:pPr>
          </w:p>
        </w:tc>
      </w:tr>
      <w:tr w:rsidR="00181EBC" w:rsidRPr="003D1614" w14:paraId="44B161B5" w14:textId="77777777" w:rsidTr="0059218D">
        <w:trPr>
          <w:trHeight w:val="283"/>
          <w:jc w:val="center"/>
        </w:trPr>
        <w:tc>
          <w:tcPr>
            <w:tcW w:w="6094" w:type="dxa"/>
            <w:shd w:val="clear" w:color="auto" w:fill="auto"/>
            <w:vAlign w:val="bottom"/>
          </w:tcPr>
          <w:p w14:paraId="5A3448FD" w14:textId="108AFC63" w:rsidR="00181EBC" w:rsidRPr="003D1614" w:rsidRDefault="00181EBC" w:rsidP="00181EBC">
            <w:pPr>
              <w:tabs>
                <w:tab w:val="right" w:pos="1202"/>
              </w:tabs>
              <w:suppressAutoHyphens/>
              <w:autoSpaceDN w:val="0"/>
              <w:outlineLvl w:val="0"/>
              <w:rPr>
                <w:rFonts w:ascii="Arial" w:eastAsia="Calibri" w:hAnsi="Arial" w:cs="Arial"/>
                <w:b/>
                <w:color w:val="000000"/>
                <w:sz w:val="17"/>
                <w:szCs w:val="17"/>
              </w:rPr>
            </w:pPr>
            <w:r w:rsidRPr="00F959D0">
              <w:rPr>
                <w:rFonts w:ascii="Arial" w:eastAsia="Calibri" w:hAnsi="Arial" w:cs="Arial"/>
                <w:bCs/>
                <w:color w:val="000000"/>
                <w:sz w:val="17"/>
                <w:szCs w:val="17"/>
              </w:rPr>
              <w:t>FX swap</w:t>
            </w:r>
          </w:p>
        </w:tc>
        <w:tc>
          <w:tcPr>
            <w:tcW w:w="1060" w:type="dxa"/>
            <w:tcBorders>
              <w:top w:val="single" w:sz="6" w:space="0" w:color="auto"/>
              <w:left w:val="nil"/>
              <w:bottom w:val="single" w:sz="12" w:space="0" w:color="auto"/>
              <w:right w:val="nil"/>
            </w:tcBorders>
            <w:shd w:val="clear" w:color="auto" w:fill="auto"/>
            <w:vAlign w:val="bottom"/>
          </w:tcPr>
          <w:p w14:paraId="22E0EFF2" w14:textId="49ED56A0" w:rsidR="00181EBC" w:rsidRPr="0059218D" w:rsidRDefault="00181EBC" w:rsidP="00181EBC">
            <w:pPr>
              <w:tabs>
                <w:tab w:val="right" w:pos="1202"/>
              </w:tabs>
              <w:suppressAutoHyphens/>
              <w:autoSpaceDN w:val="0"/>
              <w:jc w:val="right"/>
              <w:outlineLvl w:val="0"/>
              <w:rPr>
                <w:rFonts w:ascii="Arial" w:hAnsi="Arial" w:cs="Arial"/>
                <w:sz w:val="17"/>
                <w:szCs w:val="17"/>
              </w:rPr>
            </w:pPr>
            <w:r w:rsidRPr="0059218D">
              <w:rPr>
                <w:rFonts w:ascii="Arial" w:hAnsi="Arial" w:cs="Arial"/>
                <w:sz w:val="17"/>
                <w:szCs w:val="17"/>
              </w:rPr>
              <w:t>-</w:t>
            </w:r>
          </w:p>
        </w:tc>
        <w:tc>
          <w:tcPr>
            <w:tcW w:w="1060" w:type="dxa"/>
            <w:tcBorders>
              <w:top w:val="single" w:sz="6" w:space="0" w:color="auto"/>
              <w:left w:val="nil"/>
              <w:bottom w:val="single" w:sz="12" w:space="0" w:color="auto"/>
              <w:right w:val="nil"/>
            </w:tcBorders>
            <w:shd w:val="clear" w:color="auto" w:fill="auto"/>
            <w:vAlign w:val="bottom"/>
          </w:tcPr>
          <w:p w14:paraId="2A61EF2E" w14:textId="312109A6" w:rsidR="00181EBC" w:rsidRPr="0059218D" w:rsidRDefault="00181EBC" w:rsidP="00181EBC">
            <w:pPr>
              <w:tabs>
                <w:tab w:val="right" w:pos="1202"/>
              </w:tabs>
              <w:suppressAutoHyphens/>
              <w:autoSpaceDN w:val="0"/>
              <w:jc w:val="right"/>
              <w:outlineLvl w:val="0"/>
              <w:rPr>
                <w:rFonts w:ascii="Arial" w:hAnsi="Arial" w:cs="Arial"/>
                <w:sz w:val="17"/>
                <w:szCs w:val="17"/>
              </w:rPr>
            </w:pPr>
            <w:r w:rsidRPr="0059218D">
              <w:rPr>
                <w:rFonts w:ascii="Arial" w:hAnsi="Arial" w:cs="Arial"/>
                <w:sz w:val="17"/>
                <w:szCs w:val="17"/>
              </w:rPr>
              <w:t>63</w:t>
            </w:r>
          </w:p>
        </w:tc>
        <w:tc>
          <w:tcPr>
            <w:tcW w:w="1060" w:type="dxa"/>
            <w:tcBorders>
              <w:top w:val="single" w:sz="6" w:space="0" w:color="auto"/>
              <w:left w:val="nil"/>
              <w:bottom w:val="single" w:sz="12" w:space="0" w:color="auto"/>
              <w:right w:val="nil"/>
            </w:tcBorders>
            <w:shd w:val="clear" w:color="auto" w:fill="auto"/>
            <w:vAlign w:val="bottom"/>
          </w:tcPr>
          <w:p w14:paraId="0A219081" w14:textId="5B7BF0C2" w:rsidR="00181EBC" w:rsidRPr="0059218D" w:rsidRDefault="00181EBC" w:rsidP="00181EBC">
            <w:pPr>
              <w:tabs>
                <w:tab w:val="right" w:pos="1202"/>
              </w:tabs>
              <w:suppressAutoHyphens/>
              <w:autoSpaceDN w:val="0"/>
              <w:jc w:val="right"/>
              <w:outlineLvl w:val="0"/>
              <w:rPr>
                <w:rFonts w:ascii="Arial" w:hAnsi="Arial" w:cs="Arial"/>
                <w:sz w:val="17"/>
                <w:szCs w:val="17"/>
              </w:rPr>
            </w:pPr>
            <w:r w:rsidRPr="0059218D">
              <w:rPr>
                <w:rFonts w:ascii="Arial" w:hAnsi="Arial" w:cs="Arial"/>
                <w:sz w:val="17"/>
                <w:szCs w:val="17"/>
              </w:rPr>
              <w:t>-</w:t>
            </w:r>
          </w:p>
        </w:tc>
      </w:tr>
      <w:tr w:rsidR="00181EBC" w:rsidRPr="003D1614" w14:paraId="7882E06B" w14:textId="77777777" w:rsidTr="0059218D">
        <w:trPr>
          <w:trHeight w:val="283"/>
          <w:jc w:val="center"/>
        </w:trPr>
        <w:tc>
          <w:tcPr>
            <w:tcW w:w="6094" w:type="dxa"/>
            <w:shd w:val="clear" w:color="auto" w:fill="auto"/>
            <w:vAlign w:val="bottom"/>
          </w:tcPr>
          <w:p w14:paraId="43DD8106" w14:textId="3F012D45" w:rsidR="00181EBC" w:rsidRPr="003D1614" w:rsidRDefault="00181EBC" w:rsidP="00181EBC">
            <w:pPr>
              <w:tabs>
                <w:tab w:val="right" w:pos="1202"/>
              </w:tabs>
              <w:suppressAutoHyphens/>
              <w:autoSpaceDN w:val="0"/>
              <w:outlineLvl w:val="0"/>
              <w:rPr>
                <w:rFonts w:ascii="Arial" w:eastAsia="Calibri" w:hAnsi="Arial" w:cs="Arial"/>
                <w:b/>
                <w:color w:val="000000"/>
                <w:sz w:val="17"/>
                <w:szCs w:val="17"/>
              </w:rPr>
            </w:pPr>
            <w:r w:rsidRPr="00D46628">
              <w:rPr>
                <w:rFonts w:ascii="Arial" w:eastAsia="Calibri" w:hAnsi="Arial" w:cs="Arial"/>
                <w:b/>
                <w:color w:val="000000"/>
                <w:sz w:val="17"/>
                <w:szCs w:val="17"/>
              </w:rPr>
              <w:t>Ukupno obveze</w:t>
            </w:r>
          </w:p>
        </w:tc>
        <w:tc>
          <w:tcPr>
            <w:tcW w:w="1060" w:type="dxa"/>
            <w:tcBorders>
              <w:top w:val="single" w:sz="12" w:space="0" w:color="auto"/>
              <w:left w:val="nil"/>
              <w:bottom w:val="single" w:sz="12" w:space="0" w:color="auto"/>
              <w:right w:val="nil"/>
            </w:tcBorders>
            <w:shd w:val="clear" w:color="auto" w:fill="auto"/>
            <w:vAlign w:val="bottom"/>
          </w:tcPr>
          <w:p w14:paraId="23AB9587" w14:textId="328E80D6" w:rsidR="00181EBC" w:rsidRPr="0059218D" w:rsidRDefault="00181EBC" w:rsidP="00181EBC">
            <w:pPr>
              <w:tabs>
                <w:tab w:val="right" w:pos="1202"/>
              </w:tabs>
              <w:suppressAutoHyphens/>
              <w:autoSpaceDN w:val="0"/>
              <w:jc w:val="right"/>
              <w:outlineLvl w:val="0"/>
              <w:rPr>
                <w:rFonts w:ascii="Arial" w:hAnsi="Arial" w:cs="Arial"/>
                <w:b/>
                <w:bCs/>
                <w:sz w:val="17"/>
                <w:szCs w:val="17"/>
              </w:rPr>
            </w:pPr>
            <w:r w:rsidRPr="0059218D">
              <w:rPr>
                <w:rFonts w:ascii="Arial" w:hAnsi="Arial" w:cs="Arial"/>
                <w:b/>
                <w:bCs/>
                <w:sz w:val="17"/>
                <w:szCs w:val="17"/>
              </w:rPr>
              <w:t>-</w:t>
            </w:r>
          </w:p>
        </w:tc>
        <w:tc>
          <w:tcPr>
            <w:tcW w:w="1060" w:type="dxa"/>
            <w:tcBorders>
              <w:top w:val="single" w:sz="12" w:space="0" w:color="auto"/>
              <w:left w:val="nil"/>
              <w:bottom w:val="single" w:sz="12" w:space="0" w:color="auto"/>
              <w:right w:val="nil"/>
            </w:tcBorders>
            <w:shd w:val="clear" w:color="auto" w:fill="auto"/>
            <w:vAlign w:val="bottom"/>
          </w:tcPr>
          <w:p w14:paraId="0894276D" w14:textId="0199D1E2" w:rsidR="00181EBC" w:rsidRPr="0059218D" w:rsidRDefault="00181EBC" w:rsidP="00181EBC">
            <w:pPr>
              <w:tabs>
                <w:tab w:val="right" w:pos="1202"/>
              </w:tabs>
              <w:suppressAutoHyphens/>
              <w:autoSpaceDN w:val="0"/>
              <w:jc w:val="right"/>
              <w:outlineLvl w:val="0"/>
              <w:rPr>
                <w:rFonts w:ascii="Arial" w:hAnsi="Arial" w:cs="Arial"/>
                <w:b/>
                <w:bCs/>
                <w:sz w:val="17"/>
                <w:szCs w:val="17"/>
              </w:rPr>
            </w:pPr>
            <w:r w:rsidRPr="0059218D">
              <w:rPr>
                <w:rFonts w:ascii="Arial" w:hAnsi="Arial" w:cs="Arial"/>
                <w:b/>
                <w:bCs/>
                <w:sz w:val="17"/>
                <w:szCs w:val="17"/>
              </w:rPr>
              <w:t>63</w:t>
            </w:r>
          </w:p>
        </w:tc>
        <w:tc>
          <w:tcPr>
            <w:tcW w:w="1060" w:type="dxa"/>
            <w:tcBorders>
              <w:top w:val="single" w:sz="12" w:space="0" w:color="auto"/>
              <w:left w:val="nil"/>
              <w:bottom w:val="single" w:sz="12" w:space="0" w:color="auto"/>
              <w:right w:val="nil"/>
            </w:tcBorders>
            <w:shd w:val="clear" w:color="auto" w:fill="auto"/>
            <w:vAlign w:val="bottom"/>
          </w:tcPr>
          <w:p w14:paraId="36B929BC" w14:textId="0B152C2D" w:rsidR="00181EBC" w:rsidRPr="0059218D" w:rsidRDefault="00181EBC" w:rsidP="00181EBC">
            <w:pPr>
              <w:tabs>
                <w:tab w:val="right" w:pos="1202"/>
              </w:tabs>
              <w:suppressAutoHyphens/>
              <w:autoSpaceDN w:val="0"/>
              <w:jc w:val="right"/>
              <w:outlineLvl w:val="0"/>
              <w:rPr>
                <w:rFonts w:ascii="Arial" w:hAnsi="Arial" w:cs="Arial"/>
                <w:b/>
                <w:bCs/>
                <w:sz w:val="17"/>
                <w:szCs w:val="17"/>
              </w:rPr>
            </w:pPr>
            <w:r w:rsidRPr="0059218D">
              <w:rPr>
                <w:rFonts w:ascii="Arial" w:hAnsi="Arial" w:cs="Arial"/>
                <w:b/>
                <w:bCs/>
                <w:sz w:val="17"/>
                <w:szCs w:val="17"/>
              </w:rPr>
              <w:t>-</w:t>
            </w:r>
          </w:p>
        </w:tc>
      </w:tr>
    </w:tbl>
    <w:p w14:paraId="4F55133B" w14:textId="60259345" w:rsidR="00CA60FA" w:rsidRPr="003D1614" w:rsidRDefault="00CA60FA" w:rsidP="006A67A0">
      <w:pPr>
        <w:tabs>
          <w:tab w:val="right" w:pos="1202"/>
        </w:tabs>
        <w:suppressAutoHyphens/>
        <w:autoSpaceDN w:val="0"/>
        <w:jc w:val="both"/>
        <w:outlineLvl w:val="0"/>
        <w:rPr>
          <w:rFonts w:ascii="Arial" w:eastAsia="Times New Roman" w:hAnsi="Arial" w:cs="Arial"/>
          <w:i/>
          <w:color w:val="000000" w:themeColor="text1"/>
          <w:sz w:val="18"/>
          <w:szCs w:val="18"/>
        </w:rPr>
      </w:pPr>
    </w:p>
    <w:p w14:paraId="4E8939E8" w14:textId="77777777" w:rsidR="00CA60FA" w:rsidRPr="003D1614" w:rsidRDefault="00CA60FA" w:rsidP="006A67A0">
      <w:pPr>
        <w:tabs>
          <w:tab w:val="right" w:pos="1202"/>
        </w:tabs>
        <w:suppressAutoHyphens/>
        <w:autoSpaceDN w:val="0"/>
        <w:jc w:val="both"/>
        <w:outlineLvl w:val="0"/>
        <w:rPr>
          <w:rFonts w:ascii="Arial" w:eastAsia="Times New Roman" w:hAnsi="Arial" w:cs="Arial"/>
          <w:i/>
          <w:color w:val="000000" w:themeColor="text1"/>
          <w:sz w:val="18"/>
          <w:szCs w:val="18"/>
        </w:rPr>
      </w:pPr>
    </w:p>
    <w:p w14:paraId="017F5F43" w14:textId="77777777" w:rsidR="00CA60FA" w:rsidRPr="003D1614" w:rsidRDefault="00CA60FA" w:rsidP="006A67A0">
      <w:pPr>
        <w:tabs>
          <w:tab w:val="right" w:pos="1202"/>
        </w:tabs>
        <w:suppressAutoHyphens/>
        <w:autoSpaceDN w:val="0"/>
        <w:jc w:val="both"/>
        <w:outlineLvl w:val="0"/>
        <w:rPr>
          <w:rFonts w:ascii="Arial" w:eastAsia="Times New Roman" w:hAnsi="Arial" w:cs="Arial"/>
          <w:i/>
          <w:color w:val="000000" w:themeColor="text1"/>
          <w:sz w:val="18"/>
          <w:szCs w:val="18"/>
        </w:rPr>
        <w:sectPr w:rsidR="00CA60FA" w:rsidRPr="003D1614" w:rsidSect="003278AB">
          <w:pgSz w:w="11906" w:h="16838"/>
          <w:pgMar w:top="1417" w:right="1417" w:bottom="1417" w:left="1417" w:header="708" w:footer="708" w:gutter="0"/>
          <w:cols w:space="708"/>
          <w:docGrid w:linePitch="360"/>
        </w:sectPr>
      </w:pPr>
    </w:p>
    <w:p w14:paraId="279EE229" w14:textId="77777777" w:rsidR="00CA60FA" w:rsidRPr="003D1614" w:rsidRDefault="00CA60FA" w:rsidP="00CA60FA">
      <w:pPr>
        <w:tabs>
          <w:tab w:val="right" w:pos="1202"/>
        </w:tabs>
        <w:suppressAutoHyphens/>
        <w:autoSpaceDN w:val="0"/>
        <w:jc w:val="both"/>
        <w:outlineLvl w:val="0"/>
        <w:rPr>
          <w:rFonts w:ascii="Arial" w:eastAsia="Times New Roman" w:hAnsi="Arial" w:cs="Arial"/>
          <w:i/>
          <w:color w:val="000000" w:themeColor="text1"/>
          <w:sz w:val="18"/>
          <w:szCs w:val="18"/>
        </w:rPr>
      </w:pPr>
    </w:p>
    <w:p w14:paraId="155701BC" w14:textId="2BF6B603" w:rsidR="00CA60FA" w:rsidRPr="003D1614" w:rsidRDefault="00CA60FA" w:rsidP="00CA60FA">
      <w:pPr>
        <w:keepNext/>
        <w:suppressAutoHyphens/>
        <w:autoSpaceDN w:val="0"/>
        <w:ind w:left="709" w:hanging="709"/>
        <w:jc w:val="both"/>
        <w:outlineLvl w:val="0"/>
        <w:rPr>
          <w:rFonts w:ascii="Arial" w:eastAsia="Times New Roman" w:hAnsi="Arial" w:cs="Arial"/>
          <w:b/>
          <w:bCs/>
          <w:color w:val="000000" w:themeColor="text1"/>
          <w:spacing w:val="-3"/>
          <w:sz w:val="20"/>
          <w:szCs w:val="20"/>
        </w:rPr>
      </w:pPr>
      <w:r w:rsidRPr="003D1614">
        <w:rPr>
          <w:rFonts w:ascii="Arial" w:eastAsia="Times New Roman" w:hAnsi="Arial" w:cs="Arial"/>
          <w:b/>
          <w:bCs/>
          <w:color w:val="000000" w:themeColor="text1"/>
          <w:spacing w:val="-3"/>
          <w:sz w:val="20"/>
          <w:szCs w:val="20"/>
        </w:rPr>
        <w:t>2</w:t>
      </w:r>
      <w:r w:rsidR="00C55B0C">
        <w:rPr>
          <w:rFonts w:ascii="Arial" w:eastAsia="Times New Roman" w:hAnsi="Arial" w:cs="Arial"/>
          <w:b/>
          <w:bCs/>
          <w:color w:val="000000" w:themeColor="text1"/>
          <w:spacing w:val="-3"/>
          <w:sz w:val="20"/>
          <w:szCs w:val="20"/>
        </w:rPr>
        <w:t>4</w:t>
      </w:r>
      <w:r w:rsidRPr="003D1614">
        <w:rPr>
          <w:rFonts w:ascii="Arial" w:eastAsia="Times New Roman" w:hAnsi="Arial" w:cs="Arial"/>
          <w:b/>
          <w:bCs/>
          <w:color w:val="000000" w:themeColor="text1"/>
          <w:spacing w:val="-3"/>
          <w:sz w:val="20"/>
          <w:szCs w:val="20"/>
        </w:rPr>
        <w:t xml:space="preserve">. </w:t>
      </w:r>
      <w:r w:rsidRPr="003D1614">
        <w:rPr>
          <w:rFonts w:ascii="Arial" w:eastAsia="Times New Roman" w:hAnsi="Arial" w:cs="Arial"/>
          <w:b/>
          <w:bCs/>
          <w:color w:val="000000" w:themeColor="text1"/>
          <w:spacing w:val="-3"/>
          <w:sz w:val="20"/>
          <w:szCs w:val="20"/>
        </w:rPr>
        <w:tab/>
        <w:t>Fer vrijednost financijske imovine i financijskih obveza (nastavak)</w:t>
      </w:r>
    </w:p>
    <w:p w14:paraId="45EA3DAC" w14:textId="77777777" w:rsidR="00CA60FA" w:rsidRPr="003D1614" w:rsidRDefault="00CA60FA" w:rsidP="00CA60FA">
      <w:pPr>
        <w:keepNext/>
        <w:suppressAutoHyphens/>
        <w:autoSpaceDN w:val="0"/>
        <w:ind w:left="709" w:hanging="709"/>
        <w:jc w:val="both"/>
        <w:outlineLvl w:val="0"/>
        <w:rPr>
          <w:rFonts w:ascii="Arial" w:eastAsia="Times New Roman" w:hAnsi="Arial" w:cs="Arial"/>
          <w:bCs/>
          <w:color w:val="000000" w:themeColor="text1"/>
          <w:spacing w:val="-3"/>
          <w:sz w:val="12"/>
          <w:szCs w:val="12"/>
        </w:rPr>
      </w:pPr>
    </w:p>
    <w:p w14:paraId="464CC80D" w14:textId="77777777" w:rsidR="00CA60FA" w:rsidRPr="003D1614" w:rsidRDefault="00CA60FA" w:rsidP="00CA60FA">
      <w:pPr>
        <w:keepNext/>
        <w:suppressAutoHyphens/>
        <w:autoSpaceDN w:val="0"/>
        <w:ind w:left="709" w:hanging="709"/>
        <w:jc w:val="both"/>
        <w:outlineLvl w:val="0"/>
        <w:rPr>
          <w:rFonts w:ascii="Arial" w:eastAsia="Times New Roman" w:hAnsi="Arial" w:cs="Arial"/>
          <w:b/>
          <w:bCs/>
          <w:color w:val="000000" w:themeColor="text1"/>
          <w:spacing w:val="-3"/>
          <w:sz w:val="14"/>
          <w:szCs w:val="14"/>
        </w:rPr>
      </w:pPr>
    </w:p>
    <w:p w14:paraId="0AA36907" w14:textId="5912B8A5" w:rsidR="00CA60FA" w:rsidRPr="003D1614" w:rsidRDefault="00CA60FA" w:rsidP="00CA60FA">
      <w:pPr>
        <w:keepNext/>
        <w:suppressAutoHyphens/>
        <w:autoSpaceDN w:val="0"/>
        <w:ind w:left="709" w:hanging="709"/>
        <w:jc w:val="both"/>
        <w:outlineLvl w:val="0"/>
        <w:rPr>
          <w:rFonts w:ascii="Arial" w:eastAsia="Times New Roman" w:hAnsi="Arial" w:cs="Arial"/>
          <w:b/>
          <w:bCs/>
          <w:color w:val="000000" w:themeColor="text1"/>
          <w:spacing w:val="-3"/>
          <w:sz w:val="20"/>
          <w:szCs w:val="20"/>
        </w:rPr>
      </w:pPr>
      <w:r w:rsidRPr="003D1614">
        <w:rPr>
          <w:rFonts w:ascii="Arial" w:eastAsia="Times New Roman" w:hAnsi="Arial" w:cs="Arial"/>
          <w:b/>
          <w:bCs/>
          <w:color w:val="000000" w:themeColor="text1"/>
          <w:spacing w:val="-3"/>
          <w:sz w:val="20"/>
          <w:szCs w:val="20"/>
        </w:rPr>
        <w:t>2</w:t>
      </w:r>
      <w:r w:rsidR="00C55B0C">
        <w:rPr>
          <w:rFonts w:ascii="Arial" w:eastAsia="Times New Roman" w:hAnsi="Arial" w:cs="Arial"/>
          <w:b/>
          <w:bCs/>
          <w:color w:val="000000" w:themeColor="text1"/>
          <w:spacing w:val="-3"/>
          <w:sz w:val="20"/>
          <w:szCs w:val="20"/>
        </w:rPr>
        <w:t>4</w:t>
      </w:r>
      <w:r w:rsidRPr="003D1614">
        <w:rPr>
          <w:rFonts w:ascii="Arial" w:eastAsia="Times New Roman" w:hAnsi="Arial" w:cs="Arial"/>
          <w:b/>
          <w:bCs/>
          <w:color w:val="000000" w:themeColor="text1"/>
          <w:spacing w:val="-3"/>
          <w:sz w:val="20"/>
          <w:szCs w:val="20"/>
        </w:rPr>
        <w:t xml:space="preserve">.1. </w:t>
      </w:r>
      <w:r w:rsidRPr="003D1614">
        <w:rPr>
          <w:rFonts w:ascii="Arial" w:eastAsia="Times New Roman" w:hAnsi="Arial" w:cs="Arial"/>
          <w:b/>
          <w:bCs/>
          <w:color w:val="000000" w:themeColor="text1"/>
          <w:spacing w:val="-3"/>
          <w:sz w:val="20"/>
          <w:szCs w:val="20"/>
        </w:rPr>
        <w:tab/>
        <w:t>Fer vrijednost financijske imovine i financijskih obveza koji se vode po fer vrijednosti (nastavak)</w:t>
      </w:r>
    </w:p>
    <w:p w14:paraId="3A00DDE7" w14:textId="77777777" w:rsidR="00CA60FA" w:rsidRPr="003D1614" w:rsidRDefault="00CA60FA" w:rsidP="00CA60FA">
      <w:pPr>
        <w:keepNext/>
        <w:suppressAutoHyphens/>
        <w:autoSpaceDN w:val="0"/>
        <w:jc w:val="both"/>
        <w:outlineLvl w:val="0"/>
        <w:rPr>
          <w:rFonts w:ascii="Arial" w:eastAsia="Times New Roman" w:hAnsi="Arial" w:cs="Arial"/>
          <w:color w:val="000000" w:themeColor="text1"/>
          <w:spacing w:val="-3"/>
          <w:sz w:val="12"/>
          <w:szCs w:val="12"/>
        </w:rPr>
      </w:pPr>
    </w:p>
    <w:p w14:paraId="4E4DAEC6" w14:textId="77777777" w:rsidR="00CA60FA" w:rsidRPr="003D1614" w:rsidRDefault="00CA60FA" w:rsidP="00CA60FA">
      <w:pPr>
        <w:keepNext/>
        <w:suppressAutoHyphens/>
        <w:autoSpaceDN w:val="0"/>
        <w:jc w:val="both"/>
        <w:outlineLvl w:val="0"/>
        <w:rPr>
          <w:rFonts w:ascii="Arial" w:eastAsia="Times New Roman" w:hAnsi="Arial" w:cs="Arial"/>
          <w:color w:val="000000" w:themeColor="text1"/>
          <w:spacing w:val="-3"/>
          <w:sz w:val="12"/>
          <w:szCs w:val="12"/>
        </w:rPr>
      </w:pPr>
    </w:p>
    <w:tbl>
      <w:tblPr>
        <w:tblW w:w="9274" w:type="dxa"/>
        <w:jc w:val="center"/>
        <w:tblLayout w:type="fixed"/>
        <w:tblCellMar>
          <w:left w:w="122" w:type="dxa"/>
          <w:right w:w="122" w:type="dxa"/>
        </w:tblCellMar>
        <w:tblLook w:val="0000" w:firstRow="0" w:lastRow="0" w:firstColumn="0" w:lastColumn="0" w:noHBand="0" w:noVBand="0"/>
      </w:tblPr>
      <w:tblGrid>
        <w:gridCol w:w="6094"/>
        <w:gridCol w:w="1060"/>
        <w:gridCol w:w="1060"/>
        <w:gridCol w:w="1060"/>
      </w:tblGrid>
      <w:tr w:rsidR="00517D12" w:rsidRPr="00736C15" w14:paraId="2D26185B" w14:textId="77777777" w:rsidTr="00D707D6">
        <w:trPr>
          <w:trHeight w:val="311"/>
          <w:jc w:val="center"/>
        </w:trPr>
        <w:tc>
          <w:tcPr>
            <w:tcW w:w="6094" w:type="dxa"/>
            <w:shd w:val="clear" w:color="auto" w:fill="auto"/>
          </w:tcPr>
          <w:p w14:paraId="630259C6" w14:textId="77777777" w:rsidR="00517D12" w:rsidRPr="00736C15" w:rsidRDefault="00517D12" w:rsidP="00D707D6">
            <w:pPr>
              <w:tabs>
                <w:tab w:val="right" w:pos="1202"/>
              </w:tabs>
              <w:outlineLvl w:val="0"/>
              <w:rPr>
                <w:rFonts w:ascii="Arial" w:eastAsia="Calibri" w:hAnsi="Arial" w:cs="Arial"/>
                <w:color w:val="000000"/>
                <w:sz w:val="17"/>
                <w:szCs w:val="17"/>
              </w:rPr>
            </w:pPr>
            <w:r w:rsidRPr="00736C15">
              <w:rPr>
                <w:rFonts w:ascii="Arial" w:eastAsia="Calibri" w:hAnsi="Arial" w:cs="Arial"/>
                <w:b/>
                <w:color w:val="000000"/>
                <w:sz w:val="17"/>
                <w:szCs w:val="17"/>
              </w:rPr>
              <w:t>Banka</w:t>
            </w:r>
          </w:p>
        </w:tc>
        <w:tc>
          <w:tcPr>
            <w:tcW w:w="3180" w:type="dxa"/>
            <w:gridSpan w:val="3"/>
          </w:tcPr>
          <w:p w14:paraId="6C3AF717" w14:textId="77777777" w:rsidR="00517D12" w:rsidRPr="00736C15" w:rsidRDefault="00517D12" w:rsidP="00D707D6">
            <w:pPr>
              <w:tabs>
                <w:tab w:val="right" w:pos="1202"/>
              </w:tabs>
              <w:jc w:val="right"/>
              <w:outlineLvl w:val="0"/>
              <w:rPr>
                <w:rFonts w:ascii="Arial" w:eastAsia="Calibri" w:hAnsi="Arial" w:cs="Arial"/>
                <w:b/>
                <w:bCs/>
                <w:color w:val="000000"/>
                <w:sz w:val="17"/>
                <w:szCs w:val="17"/>
              </w:rPr>
            </w:pPr>
            <w:r w:rsidRPr="00736C15">
              <w:rPr>
                <w:rFonts w:ascii="Arial" w:eastAsia="Calibri" w:hAnsi="Arial" w:cs="Arial"/>
                <w:b/>
                <w:bCs/>
                <w:color w:val="000000"/>
                <w:sz w:val="17"/>
                <w:szCs w:val="17"/>
              </w:rPr>
              <w:t>3</w:t>
            </w:r>
            <w:r>
              <w:rPr>
                <w:rFonts w:ascii="Arial" w:eastAsia="Calibri" w:hAnsi="Arial" w:cs="Arial"/>
                <w:b/>
                <w:bCs/>
                <w:color w:val="000000"/>
                <w:sz w:val="17"/>
                <w:szCs w:val="17"/>
              </w:rPr>
              <w:t>1</w:t>
            </w:r>
            <w:r w:rsidRPr="00736C15">
              <w:rPr>
                <w:rFonts w:ascii="Arial" w:eastAsia="Calibri" w:hAnsi="Arial" w:cs="Arial"/>
                <w:b/>
                <w:bCs/>
                <w:color w:val="000000"/>
                <w:sz w:val="17"/>
                <w:szCs w:val="17"/>
              </w:rPr>
              <w:t xml:space="preserve">. </w:t>
            </w:r>
            <w:r>
              <w:rPr>
                <w:rFonts w:ascii="Arial" w:eastAsia="Calibri" w:hAnsi="Arial" w:cs="Arial"/>
                <w:b/>
                <w:bCs/>
                <w:color w:val="000000"/>
                <w:sz w:val="17"/>
                <w:szCs w:val="17"/>
              </w:rPr>
              <w:t>prosinca</w:t>
            </w:r>
            <w:r w:rsidRPr="00736C15">
              <w:rPr>
                <w:rFonts w:ascii="Arial" w:eastAsia="Calibri" w:hAnsi="Arial" w:cs="Arial"/>
                <w:b/>
                <w:bCs/>
                <w:color w:val="000000"/>
                <w:sz w:val="17"/>
                <w:szCs w:val="17"/>
              </w:rPr>
              <w:t xml:space="preserve"> 202</w:t>
            </w:r>
            <w:r>
              <w:rPr>
                <w:rFonts w:ascii="Arial" w:eastAsia="Calibri" w:hAnsi="Arial" w:cs="Arial"/>
                <w:b/>
                <w:bCs/>
                <w:color w:val="000000"/>
                <w:sz w:val="17"/>
                <w:szCs w:val="17"/>
              </w:rPr>
              <w:t>3</w:t>
            </w:r>
            <w:r w:rsidRPr="00736C15">
              <w:rPr>
                <w:rFonts w:ascii="Arial" w:eastAsia="Calibri" w:hAnsi="Arial" w:cs="Arial"/>
                <w:b/>
                <w:bCs/>
                <w:color w:val="000000"/>
                <w:sz w:val="17"/>
                <w:szCs w:val="17"/>
              </w:rPr>
              <w:t>.</w:t>
            </w:r>
          </w:p>
        </w:tc>
      </w:tr>
      <w:tr w:rsidR="00517D12" w:rsidRPr="00736C15" w14:paraId="704F2FDE" w14:textId="77777777" w:rsidTr="00D707D6">
        <w:trPr>
          <w:trHeight w:val="311"/>
          <w:jc w:val="center"/>
        </w:trPr>
        <w:tc>
          <w:tcPr>
            <w:tcW w:w="6094" w:type="dxa"/>
            <w:shd w:val="clear" w:color="auto" w:fill="auto"/>
            <w:vAlign w:val="bottom"/>
          </w:tcPr>
          <w:p w14:paraId="29811D39" w14:textId="77777777" w:rsidR="00517D12" w:rsidRPr="00736C15" w:rsidRDefault="00517D12" w:rsidP="00D707D6">
            <w:pPr>
              <w:tabs>
                <w:tab w:val="right" w:pos="1202"/>
              </w:tabs>
              <w:outlineLvl w:val="0"/>
              <w:rPr>
                <w:rFonts w:ascii="Arial" w:eastAsia="Calibri" w:hAnsi="Arial" w:cs="Arial"/>
                <w:color w:val="000000"/>
                <w:spacing w:val="-2"/>
                <w:sz w:val="17"/>
                <w:szCs w:val="17"/>
              </w:rPr>
            </w:pPr>
          </w:p>
        </w:tc>
        <w:tc>
          <w:tcPr>
            <w:tcW w:w="1060" w:type="dxa"/>
            <w:shd w:val="clear" w:color="auto" w:fill="auto"/>
            <w:vAlign w:val="bottom"/>
          </w:tcPr>
          <w:p w14:paraId="594AD618" w14:textId="77777777" w:rsidR="00517D12" w:rsidRPr="00736C15" w:rsidRDefault="00517D12" w:rsidP="00D707D6">
            <w:pPr>
              <w:tabs>
                <w:tab w:val="right" w:pos="1202"/>
              </w:tabs>
              <w:jc w:val="right"/>
              <w:outlineLvl w:val="0"/>
              <w:rPr>
                <w:rFonts w:ascii="Arial" w:eastAsia="Calibri" w:hAnsi="Arial" w:cs="Arial"/>
                <w:b/>
                <w:color w:val="000000"/>
                <w:spacing w:val="-2"/>
                <w:sz w:val="17"/>
                <w:szCs w:val="17"/>
              </w:rPr>
            </w:pPr>
            <w:r w:rsidRPr="00736C15">
              <w:rPr>
                <w:rFonts w:ascii="Arial" w:eastAsia="Calibri" w:hAnsi="Arial" w:cs="Arial"/>
                <w:b/>
                <w:color w:val="000000"/>
                <w:spacing w:val="-2"/>
                <w:sz w:val="17"/>
                <w:szCs w:val="17"/>
              </w:rPr>
              <w:t>Razina 1</w:t>
            </w:r>
          </w:p>
        </w:tc>
        <w:tc>
          <w:tcPr>
            <w:tcW w:w="1060" w:type="dxa"/>
            <w:shd w:val="clear" w:color="auto" w:fill="auto"/>
            <w:vAlign w:val="bottom"/>
          </w:tcPr>
          <w:p w14:paraId="27042E03" w14:textId="77777777" w:rsidR="00517D12" w:rsidRPr="00736C15" w:rsidRDefault="00517D12" w:rsidP="00D707D6">
            <w:pPr>
              <w:tabs>
                <w:tab w:val="right" w:pos="1202"/>
              </w:tabs>
              <w:jc w:val="right"/>
              <w:outlineLvl w:val="0"/>
              <w:rPr>
                <w:rFonts w:ascii="Arial" w:eastAsia="Calibri" w:hAnsi="Arial" w:cs="Arial"/>
                <w:b/>
                <w:color w:val="000000"/>
                <w:spacing w:val="-2"/>
                <w:sz w:val="17"/>
                <w:szCs w:val="17"/>
              </w:rPr>
            </w:pPr>
            <w:r w:rsidRPr="00736C15">
              <w:rPr>
                <w:rFonts w:ascii="Arial" w:eastAsia="Calibri" w:hAnsi="Arial" w:cs="Arial"/>
                <w:b/>
                <w:color w:val="000000"/>
                <w:spacing w:val="-2"/>
                <w:sz w:val="17"/>
                <w:szCs w:val="17"/>
              </w:rPr>
              <w:t>Razina 2</w:t>
            </w:r>
          </w:p>
        </w:tc>
        <w:tc>
          <w:tcPr>
            <w:tcW w:w="1060" w:type="dxa"/>
            <w:shd w:val="clear" w:color="auto" w:fill="auto"/>
            <w:vAlign w:val="bottom"/>
          </w:tcPr>
          <w:p w14:paraId="6665F404" w14:textId="77777777" w:rsidR="00517D12" w:rsidRPr="00736C15" w:rsidRDefault="00517D12" w:rsidP="00D707D6">
            <w:pPr>
              <w:tabs>
                <w:tab w:val="right" w:pos="1202"/>
              </w:tabs>
              <w:jc w:val="right"/>
              <w:outlineLvl w:val="0"/>
              <w:rPr>
                <w:rFonts w:ascii="Arial" w:eastAsia="Calibri" w:hAnsi="Arial" w:cs="Arial"/>
                <w:b/>
                <w:color w:val="000000"/>
                <w:spacing w:val="-2"/>
                <w:sz w:val="17"/>
                <w:szCs w:val="17"/>
              </w:rPr>
            </w:pPr>
            <w:r w:rsidRPr="00736C15">
              <w:rPr>
                <w:rFonts w:ascii="Arial" w:eastAsia="Calibri" w:hAnsi="Arial" w:cs="Arial"/>
                <w:b/>
                <w:color w:val="000000"/>
                <w:spacing w:val="-2"/>
                <w:sz w:val="17"/>
                <w:szCs w:val="17"/>
              </w:rPr>
              <w:t>Razina 3</w:t>
            </w:r>
          </w:p>
        </w:tc>
      </w:tr>
      <w:tr w:rsidR="00517D12" w:rsidRPr="00736C15" w14:paraId="1547F329" w14:textId="77777777" w:rsidTr="00D707D6">
        <w:trPr>
          <w:trHeight w:val="311"/>
          <w:jc w:val="center"/>
        </w:trPr>
        <w:tc>
          <w:tcPr>
            <w:tcW w:w="6094" w:type="dxa"/>
            <w:shd w:val="clear" w:color="auto" w:fill="auto"/>
            <w:vAlign w:val="bottom"/>
          </w:tcPr>
          <w:p w14:paraId="28EC3F80" w14:textId="77777777" w:rsidR="00517D12" w:rsidRPr="00736C15" w:rsidRDefault="00517D12" w:rsidP="00D707D6">
            <w:pPr>
              <w:tabs>
                <w:tab w:val="right" w:pos="1202"/>
              </w:tabs>
              <w:outlineLvl w:val="0"/>
              <w:rPr>
                <w:rFonts w:ascii="Arial" w:eastAsia="Calibri" w:hAnsi="Arial" w:cs="Arial"/>
                <w:color w:val="000000"/>
                <w:spacing w:val="-2"/>
                <w:sz w:val="17"/>
                <w:szCs w:val="17"/>
              </w:rPr>
            </w:pPr>
          </w:p>
        </w:tc>
        <w:tc>
          <w:tcPr>
            <w:tcW w:w="1060" w:type="dxa"/>
            <w:shd w:val="clear" w:color="auto" w:fill="auto"/>
            <w:vAlign w:val="bottom"/>
          </w:tcPr>
          <w:p w14:paraId="0A4CE20D" w14:textId="77777777" w:rsidR="00517D12" w:rsidRPr="00736C15" w:rsidRDefault="00517D12" w:rsidP="00D707D6">
            <w:pPr>
              <w:tabs>
                <w:tab w:val="right" w:pos="1202"/>
              </w:tabs>
              <w:jc w:val="right"/>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000 eura</w:t>
            </w:r>
          </w:p>
        </w:tc>
        <w:tc>
          <w:tcPr>
            <w:tcW w:w="1060" w:type="dxa"/>
            <w:shd w:val="clear" w:color="auto" w:fill="auto"/>
            <w:vAlign w:val="bottom"/>
          </w:tcPr>
          <w:p w14:paraId="4288CA50" w14:textId="77777777" w:rsidR="00517D12" w:rsidRPr="00736C15" w:rsidRDefault="00517D12" w:rsidP="00D707D6">
            <w:pPr>
              <w:tabs>
                <w:tab w:val="right" w:pos="1202"/>
              </w:tabs>
              <w:jc w:val="right"/>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000 eura</w:t>
            </w:r>
          </w:p>
        </w:tc>
        <w:tc>
          <w:tcPr>
            <w:tcW w:w="1060" w:type="dxa"/>
            <w:shd w:val="clear" w:color="auto" w:fill="auto"/>
            <w:vAlign w:val="bottom"/>
          </w:tcPr>
          <w:p w14:paraId="14C644BE" w14:textId="77777777" w:rsidR="00517D12" w:rsidRPr="00736C15" w:rsidRDefault="00517D12" w:rsidP="00D707D6">
            <w:pPr>
              <w:tabs>
                <w:tab w:val="right" w:pos="1202"/>
              </w:tabs>
              <w:jc w:val="right"/>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000 eura</w:t>
            </w:r>
          </w:p>
        </w:tc>
      </w:tr>
      <w:tr w:rsidR="00517D12" w:rsidRPr="00736C15" w14:paraId="5C3BDF35" w14:textId="77777777" w:rsidTr="00D707D6">
        <w:trPr>
          <w:trHeight w:val="283"/>
          <w:jc w:val="center"/>
        </w:trPr>
        <w:tc>
          <w:tcPr>
            <w:tcW w:w="6094" w:type="dxa"/>
            <w:vAlign w:val="bottom"/>
          </w:tcPr>
          <w:p w14:paraId="04481FF9" w14:textId="77777777" w:rsidR="00517D12" w:rsidRPr="00736C15" w:rsidRDefault="00517D12" w:rsidP="00D707D6">
            <w:pPr>
              <w:tabs>
                <w:tab w:val="right" w:pos="1202"/>
              </w:tabs>
              <w:outlineLvl w:val="0"/>
              <w:rPr>
                <w:rFonts w:ascii="Arial" w:eastAsia="Calibri" w:hAnsi="Arial" w:cs="Arial"/>
                <w:color w:val="000000"/>
                <w:spacing w:val="-2"/>
                <w:sz w:val="17"/>
                <w:szCs w:val="17"/>
              </w:rPr>
            </w:pPr>
            <w:r w:rsidRPr="00736C15">
              <w:rPr>
                <w:rFonts w:ascii="Arial" w:eastAsia="Calibri" w:hAnsi="Arial" w:cs="Arial"/>
                <w:b/>
                <w:color w:val="000000"/>
                <w:sz w:val="17"/>
                <w:szCs w:val="17"/>
              </w:rPr>
              <w:t>Financijska imovina po fer vrijednosti kroz dobit ili gubitak:</w:t>
            </w:r>
          </w:p>
        </w:tc>
        <w:tc>
          <w:tcPr>
            <w:tcW w:w="1060" w:type="dxa"/>
            <w:vAlign w:val="bottom"/>
          </w:tcPr>
          <w:p w14:paraId="5DFF5026" w14:textId="77777777" w:rsidR="00517D12" w:rsidRPr="00736C15" w:rsidRDefault="00517D12" w:rsidP="00D707D6">
            <w:pPr>
              <w:tabs>
                <w:tab w:val="right" w:pos="1202"/>
              </w:tabs>
              <w:jc w:val="right"/>
              <w:outlineLvl w:val="0"/>
              <w:rPr>
                <w:rFonts w:ascii="Arial" w:eastAsia="Calibri" w:hAnsi="Arial" w:cs="Arial"/>
                <w:b/>
                <w:color w:val="000000"/>
                <w:spacing w:val="-2"/>
                <w:sz w:val="17"/>
                <w:szCs w:val="17"/>
              </w:rPr>
            </w:pPr>
          </w:p>
        </w:tc>
        <w:tc>
          <w:tcPr>
            <w:tcW w:w="1060" w:type="dxa"/>
            <w:vAlign w:val="bottom"/>
          </w:tcPr>
          <w:p w14:paraId="26B2A097" w14:textId="77777777" w:rsidR="00517D12" w:rsidRPr="00736C15" w:rsidRDefault="00517D12" w:rsidP="00D707D6">
            <w:pPr>
              <w:tabs>
                <w:tab w:val="right" w:pos="1202"/>
              </w:tabs>
              <w:jc w:val="right"/>
              <w:outlineLvl w:val="0"/>
              <w:rPr>
                <w:rFonts w:ascii="Arial" w:eastAsia="Calibri" w:hAnsi="Arial" w:cs="Arial"/>
                <w:b/>
                <w:color w:val="000000"/>
                <w:spacing w:val="-2"/>
                <w:sz w:val="17"/>
                <w:szCs w:val="17"/>
              </w:rPr>
            </w:pPr>
          </w:p>
        </w:tc>
        <w:tc>
          <w:tcPr>
            <w:tcW w:w="1060" w:type="dxa"/>
            <w:vAlign w:val="bottom"/>
          </w:tcPr>
          <w:p w14:paraId="2DC79214" w14:textId="77777777" w:rsidR="00517D12" w:rsidRPr="00736C15" w:rsidRDefault="00517D12" w:rsidP="00D707D6">
            <w:pPr>
              <w:tabs>
                <w:tab w:val="right" w:pos="1202"/>
              </w:tabs>
              <w:jc w:val="right"/>
              <w:outlineLvl w:val="0"/>
              <w:rPr>
                <w:rFonts w:ascii="Arial" w:eastAsia="Calibri" w:hAnsi="Arial" w:cs="Arial"/>
                <w:b/>
                <w:color w:val="000000"/>
                <w:spacing w:val="-2"/>
                <w:sz w:val="17"/>
                <w:szCs w:val="17"/>
              </w:rPr>
            </w:pPr>
          </w:p>
        </w:tc>
      </w:tr>
      <w:tr w:rsidR="00517D12" w:rsidRPr="00736C15" w14:paraId="2C6FDBC2" w14:textId="77777777" w:rsidTr="00D707D6">
        <w:trPr>
          <w:trHeight w:val="283"/>
          <w:jc w:val="center"/>
        </w:trPr>
        <w:tc>
          <w:tcPr>
            <w:tcW w:w="6094" w:type="dxa"/>
            <w:vAlign w:val="bottom"/>
          </w:tcPr>
          <w:p w14:paraId="7FEEDB34" w14:textId="77777777" w:rsidR="00517D12" w:rsidRPr="00736C15" w:rsidRDefault="00517D12" w:rsidP="00D707D6">
            <w:pPr>
              <w:tabs>
                <w:tab w:val="right" w:pos="1202"/>
              </w:tabs>
              <w:outlineLvl w:val="0"/>
              <w:rPr>
                <w:rFonts w:ascii="Arial" w:eastAsia="Calibri" w:hAnsi="Arial" w:cs="Arial"/>
                <w:b/>
                <w:i/>
                <w:color w:val="000000"/>
                <w:sz w:val="17"/>
                <w:szCs w:val="17"/>
              </w:rPr>
            </w:pPr>
            <w:r w:rsidRPr="00736C15">
              <w:rPr>
                <w:rFonts w:ascii="Arial" w:eastAsia="Calibri" w:hAnsi="Arial" w:cs="Arial"/>
                <w:b/>
                <w:i/>
                <w:color w:val="000000"/>
                <w:sz w:val="17"/>
                <w:szCs w:val="17"/>
              </w:rPr>
              <w:t>Krediti po fer vrijednosti kroz dobit ili gubitak:</w:t>
            </w:r>
          </w:p>
        </w:tc>
        <w:tc>
          <w:tcPr>
            <w:tcW w:w="1060" w:type="dxa"/>
            <w:tcBorders>
              <w:top w:val="nil"/>
              <w:left w:val="nil"/>
              <w:right w:val="nil"/>
            </w:tcBorders>
            <w:shd w:val="clear" w:color="auto" w:fill="auto"/>
            <w:vAlign w:val="bottom"/>
          </w:tcPr>
          <w:p w14:paraId="095C49C3" w14:textId="77777777" w:rsidR="00517D12" w:rsidRPr="00736C15" w:rsidRDefault="00517D12" w:rsidP="00D707D6">
            <w:pPr>
              <w:tabs>
                <w:tab w:val="right" w:pos="1202"/>
              </w:tabs>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348678A9" w14:textId="77777777" w:rsidR="00517D12" w:rsidRPr="00736C15" w:rsidRDefault="00517D12" w:rsidP="00D707D6">
            <w:pPr>
              <w:tabs>
                <w:tab w:val="right" w:pos="1202"/>
              </w:tabs>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25CFB56D" w14:textId="77777777" w:rsidR="00517D12" w:rsidRPr="00736C15" w:rsidRDefault="00517D12" w:rsidP="00D707D6">
            <w:pPr>
              <w:tabs>
                <w:tab w:val="right" w:pos="1202"/>
              </w:tabs>
              <w:jc w:val="right"/>
              <w:outlineLvl w:val="0"/>
              <w:rPr>
                <w:rFonts w:ascii="Arial" w:eastAsia="Calibri" w:hAnsi="Arial" w:cs="Arial"/>
                <w:color w:val="000000"/>
                <w:sz w:val="17"/>
                <w:szCs w:val="17"/>
              </w:rPr>
            </w:pPr>
          </w:p>
        </w:tc>
      </w:tr>
      <w:tr w:rsidR="00517D12" w:rsidRPr="00736C15" w14:paraId="036FAA85" w14:textId="77777777" w:rsidTr="00D707D6">
        <w:trPr>
          <w:trHeight w:val="283"/>
          <w:jc w:val="center"/>
        </w:trPr>
        <w:tc>
          <w:tcPr>
            <w:tcW w:w="6094" w:type="dxa"/>
            <w:vAlign w:val="bottom"/>
          </w:tcPr>
          <w:p w14:paraId="5A4E6E0D" w14:textId="77777777" w:rsidR="00517D12" w:rsidRPr="00736C15" w:rsidRDefault="00517D12" w:rsidP="00D707D6">
            <w:pPr>
              <w:tabs>
                <w:tab w:val="right" w:pos="1202"/>
              </w:tabs>
              <w:outlineLvl w:val="0"/>
              <w:rPr>
                <w:rFonts w:ascii="Arial" w:eastAsia="Calibri" w:hAnsi="Arial" w:cs="Arial"/>
                <w:color w:val="000000"/>
                <w:sz w:val="17"/>
                <w:szCs w:val="17"/>
              </w:rPr>
            </w:pPr>
            <w:r w:rsidRPr="00736C15">
              <w:rPr>
                <w:rFonts w:ascii="Arial" w:eastAsia="Calibri" w:hAnsi="Arial" w:cs="Arial"/>
                <w:color w:val="000000"/>
                <w:sz w:val="17"/>
                <w:szCs w:val="17"/>
              </w:rPr>
              <w:t>Mezzanine krediti</w:t>
            </w:r>
          </w:p>
        </w:tc>
        <w:tc>
          <w:tcPr>
            <w:tcW w:w="1060" w:type="dxa"/>
            <w:tcBorders>
              <w:top w:val="nil"/>
              <w:left w:val="nil"/>
              <w:right w:val="nil"/>
            </w:tcBorders>
            <w:shd w:val="clear" w:color="auto" w:fill="auto"/>
            <w:vAlign w:val="bottom"/>
          </w:tcPr>
          <w:p w14:paraId="0DE0DAFE" w14:textId="77777777" w:rsidR="00517D12" w:rsidRPr="00736C15" w:rsidRDefault="00517D12" w:rsidP="00D707D6">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1060" w:type="dxa"/>
            <w:tcBorders>
              <w:top w:val="nil"/>
              <w:left w:val="nil"/>
              <w:right w:val="nil"/>
            </w:tcBorders>
            <w:shd w:val="clear" w:color="auto" w:fill="auto"/>
            <w:vAlign w:val="bottom"/>
          </w:tcPr>
          <w:p w14:paraId="063DF5D4" w14:textId="77777777" w:rsidR="00517D12" w:rsidRPr="00736C15" w:rsidRDefault="00517D12" w:rsidP="00D707D6">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1060" w:type="dxa"/>
            <w:tcBorders>
              <w:top w:val="nil"/>
              <w:left w:val="nil"/>
              <w:right w:val="nil"/>
            </w:tcBorders>
            <w:shd w:val="clear" w:color="auto" w:fill="auto"/>
            <w:vAlign w:val="bottom"/>
          </w:tcPr>
          <w:p w14:paraId="120C784C" w14:textId="77777777" w:rsidR="00517D12" w:rsidRPr="00736C15" w:rsidRDefault="00517D12" w:rsidP="00D707D6">
            <w:pPr>
              <w:tabs>
                <w:tab w:val="right" w:pos="1202"/>
              </w:tabs>
              <w:jc w:val="right"/>
              <w:outlineLvl w:val="0"/>
              <w:rPr>
                <w:rFonts w:ascii="Arial" w:eastAsia="Calibri" w:hAnsi="Arial" w:cs="Arial"/>
                <w:color w:val="000000"/>
                <w:sz w:val="17"/>
                <w:szCs w:val="17"/>
              </w:rPr>
            </w:pPr>
            <w:r w:rsidRPr="00134EDA">
              <w:rPr>
                <w:rFonts w:ascii="Arial" w:eastAsia="Calibri" w:hAnsi="Arial" w:cs="Arial"/>
                <w:color w:val="000000"/>
                <w:sz w:val="17"/>
                <w:szCs w:val="17"/>
              </w:rPr>
              <w:t>33.698</w:t>
            </w:r>
          </w:p>
        </w:tc>
      </w:tr>
      <w:tr w:rsidR="00517D12" w:rsidRPr="00736C15" w14:paraId="66EB4314" w14:textId="77777777" w:rsidTr="00D707D6">
        <w:trPr>
          <w:trHeight w:val="283"/>
          <w:jc w:val="center"/>
        </w:trPr>
        <w:tc>
          <w:tcPr>
            <w:tcW w:w="6094" w:type="dxa"/>
            <w:vAlign w:val="bottom"/>
          </w:tcPr>
          <w:p w14:paraId="6DED588D" w14:textId="77777777" w:rsidR="00517D12" w:rsidRPr="00736C15" w:rsidRDefault="00517D12" w:rsidP="00D707D6">
            <w:pPr>
              <w:tabs>
                <w:tab w:val="right" w:pos="1202"/>
              </w:tabs>
              <w:outlineLvl w:val="0"/>
              <w:rPr>
                <w:rFonts w:ascii="Arial" w:eastAsia="Calibri" w:hAnsi="Arial" w:cs="Arial"/>
                <w:b/>
                <w:i/>
                <w:color w:val="000000"/>
                <w:sz w:val="17"/>
                <w:szCs w:val="17"/>
              </w:rPr>
            </w:pPr>
            <w:r w:rsidRPr="00736C15">
              <w:rPr>
                <w:rFonts w:ascii="Arial" w:eastAsia="Calibri" w:hAnsi="Arial" w:cs="Arial"/>
                <w:b/>
                <w:i/>
                <w:color w:val="000000"/>
                <w:sz w:val="17"/>
                <w:szCs w:val="17"/>
              </w:rPr>
              <w:t>Ulaganja u investicijske fondove:</w:t>
            </w:r>
          </w:p>
        </w:tc>
        <w:tc>
          <w:tcPr>
            <w:tcW w:w="1060" w:type="dxa"/>
            <w:tcBorders>
              <w:top w:val="nil"/>
              <w:left w:val="nil"/>
              <w:right w:val="nil"/>
            </w:tcBorders>
            <w:shd w:val="clear" w:color="auto" w:fill="auto"/>
            <w:vAlign w:val="bottom"/>
          </w:tcPr>
          <w:p w14:paraId="456B07D1" w14:textId="77777777" w:rsidR="00517D12" w:rsidRPr="00736C15" w:rsidRDefault="00517D12" w:rsidP="00D707D6">
            <w:pPr>
              <w:tabs>
                <w:tab w:val="right" w:pos="1202"/>
              </w:tabs>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3617BAA9" w14:textId="77777777" w:rsidR="00517D12" w:rsidRPr="00736C15" w:rsidRDefault="00517D12" w:rsidP="00D707D6">
            <w:pPr>
              <w:tabs>
                <w:tab w:val="right" w:pos="1202"/>
              </w:tabs>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4760C826" w14:textId="77777777" w:rsidR="00517D12" w:rsidRPr="00736C15" w:rsidRDefault="00517D12" w:rsidP="00D707D6">
            <w:pPr>
              <w:tabs>
                <w:tab w:val="right" w:pos="1202"/>
              </w:tabs>
              <w:jc w:val="right"/>
              <w:outlineLvl w:val="0"/>
              <w:rPr>
                <w:rFonts w:ascii="Arial" w:eastAsia="Calibri" w:hAnsi="Arial" w:cs="Arial"/>
                <w:color w:val="000000"/>
                <w:sz w:val="17"/>
                <w:szCs w:val="17"/>
              </w:rPr>
            </w:pPr>
          </w:p>
        </w:tc>
      </w:tr>
      <w:tr w:rsidR="00517D12" w:rsidRPr="00736C15" w14:paraId="2077C77D" w14:textId="77777777" w:rsidTr="00D707D6">
        <w:trPr>
          <w:trHeight w:val="283"/>
          <w:jc w:val="center"/>
        </w:trPr>
        <w:tc>
          <w:tcPr>
            <w:tcW w:w="6094" w:type="dxa"/>
            <w:vAlign w:val="bottom"/>
          </w:tcPr>
          <w:p w14:paraId="6A7937F8" w14:textId="77777777" w:rsidR="00517D12" w:rsidRPr="00736C15" w:rsidRDefault="00517D12" w:rsidP="00D707D6">
            <w:pPr>
              <w:tabs>
                <w:tab w:val="right" w:pos="1202"/>
              </w:tabs>
              <w:outlineLvl w:val="0"/>
              <w:rPr>
                <w:rFonts w:ascii="Arial" w:eastAsia="Calibri" w:hAnsi="Arial" w:cs="Arial"/>
                <w:b/>
                <w:i/>
                <w:color w:val="000000"/>
                <w:sz w:val="17"/>
                <w:szCs w:val="17"/>
              </w:rPr>
            </w:pPr>
            <w:r w:rsidRPr="00736C15">
              <w:rPr>
                <w:rFonts w:ascii="Arial" w:eastAsia="Calibri" w:hAnsi="Arial" w:cs="Arial"/>
                <w:color w:val="000000"/>
                <w:sz w:val="17"/>
                <w:szCs w:val="17"/>
              </w:rPr>
              <w:t>Udjeli u investicijskim fondovima po fer vrijednosti kroz dobit ili gubitak</w:t>
            </w:r>
          </w:p>
        </w:tc>
        <w:tc>
          <w:tcPr>
            <w:tcW w:w="1060" w:type="dxa"/>
            <w:tcBorders>
              <w:top w:val="nil"/>
              <w:left w:val="nil"/>
              <w:right w:val="nil"/>
            </w:tcBorders>
            <w:shd w:val="clear" w:color="auto" w:fill="auto"/>
            <w:vAlign w:val="bottom"/>
          </w:tcPr>
          <w:p w14:paraId="47651FE7" w14:textId="77777777" w:rsidR="00517D12" w:rsidRPr="00736C15" w:rsidRDefault="00517D12" w:rsidP="00D707D6">
            <w:pPr>
              <w:tabs>
                <w:tab w:val="right" w:pos="1202"/>
              </w:tabs>
              <w:jc w:val="right"/>
              <w:outlineLvl w:val="0"/>
              <w:rPr>
                <w:rFonts w:ascii="Arial" w:eastAsia="Calibri" w:hAnsi="Arial" w:cs="Arial"/>
                <w:color w:val="000000"/>
                <w:sz w:val="17"/>
                <w:szCs w:val="17"/>
              </w:rPr>
            </w:pPr>
            <w:r w:rsidRPr="00134EDA">
              <w:rPr>
                <w:rFonts w:ascii="Arial" w:eastAsia="Calibri" w:hAnsi="Arial" w:cs="Arial"/>
                <w:color w:val="000000"/>
                <w:spacing w:val="-2"/>
                <w:sz w:val="17"/>
                <w:szCs w:val="17"/>
              </w:rPr>
              <w:t>19.171</w:t>
            </w:r>
          </w:p>
        </w:tc>
        <w:tc>
          <w:tcPr>
            <w:tcW w:w="1060" w:type="dxa"/>
            <w:tcBorders>
              <w:top w:val="nil"/>
              <w:left w:val="nil"/>
              <w:right w:val="nil"/>
            </w:tcBorders>
            <w:shd w:val="clear" w:color="auto" w:fill="auto"/>
            <w:vAlign w:val="bottom"/>
          </w:tcPr>
          <w:p w14:paraId="0D85AF99" w14:textId="77777777" w:rsidR="00517D12" w:rsidRPr="00736C15" w:rsidRDefault="00517D12" w:rsidP="00D707D6">
            <w:pPr>
              <w:tabs>
                <w:tab w:val="right" w:pos="1202"/>
              </w:tabs>
              <w:jc w:val="right"/>
              <w:outlineLvl w:val="0"/>
              <w:rPr>
                <w:rFonts w:ascii="Arial" w:eastAsia="Calibri" w:hAnsi="Arial" w:cs="Arial"/>
                <w:color w:val="000000"/>
                <w:sz w:val="17"/>
                <w:szCs w:val="17"/>
              </w:rPr>
            </w:pPr>
            <w:r>
              <w:rPr>
                <w:rFonts w:ascii="Arial" w:eastAsia="Calibri" w:hAnsi="Arial" w:cs="Arial"/>
                <w:color w:val="000000"/>
                <w:spacing w:val="-2"/>
                <w:sz w:val="17"/>
                <w:szCs w:val="17"/>
              </w:rPr>
              <w:t>-</w:t>
            </w:r>
          </w:p>
        </w:tc>
        <w:tc>
          <w:tcPr>
            <w:tcW w:w="1060" w:type="dxa"/>
            <w:tcBorders>
              <w:top w:val="nil"/>
              <w:left w:val="nil"/>
              <w:right w:val="nil"/>
            </w:tcBorders>
            <w:shd w:val="clear" w:color="auto" w:fill="auto"/>
            <w:vAlign w:val="bottom"/>
          </w:tcPr>
          <w:p w14:paraId="5CAE296B" w14:textId="77777777" w:rsidR="00517D12" w:rsidRPr="00736C15" w:rsidRDefault="00517D12" w:rsidP="00D707D6">
            <w:pPr>
              <w:tabs>
                <w:tab w:val="right" w:pos="1202"/>
              </w:tabs>
              <w:jc w:val="right"/>
              <w:outlineLvl w:val="0"/>
              <w:rPr>
                <w:rFonts w:ascii="Arial" w:eastAsia="Calibri" w:hAnsi="Arial" w:cs="Arial"/>
                <w:color w:val="000000"/>
                <w:sz w:val="17"/>
                <w:szCs w:val="17"/>
              </w:rPr>
            </w:pPr>
            <w:r>
              <w:rPr>
                <w:rFonts w:ascii="Arial" w:eastAsia="Calibri" w:hAnsi="Arial" w:cs="Arial"/>
                <w:color w:val="000000"/>
                <w:spacing w:val="-2"/>
                <w:sz w:val="17"/>
                <w:szCs w:val="17"/>
              </w:rPr>
              <w:t>-</w:t>
            </w:r>
          </w:p>
        </w:tc>
      </w:tr>
      <w:tr w:rsidR="00517D12" w:rsidRPr="00736C15" w14:paraId="7D6AB7C6" w14:textId="77777777" w:rsidTr="00D707D6">
        <w:trPr>
          <w:trHeight w:val="216"/>
          <w:jc w:val="center"/>
        </w:trPr>
        <w:tc>
          <w:tcPr>
            <w:tcW w:w="6094" w:type="dxa"/>
            <w:vAlign w:val="bottom"/>
          </w:tcPr>
          <w:p w14:paraId="2E2CC32E" w14:textId="77777777" w:rsidR="00517D12" w:rsidRPr="00736C15" w:rsidRDefault="00517D12" w:rsidP="00D707D6">
            <w:pPr>
              <w:tabs>
                <w:tab w:val="right" w:pos="1202"/>
              </w:tabs>
              <w:outlineLvl w:val="0"/>
              <w:rPr>
                <w:rFonts w:ascii="Arial" w:eastAsia="Calibri" w:hAnsi="Arial" w:cs="Arial"/>
                <w:color w:val="000000"/>
                <w:sz w:val="17"/>
                <w:szCs w:val="17"/>
              </w:rPr>
            </w:pPr>
            <w:r w:rsidRPr="00736C15">
              <w:rPr>
                <w:rFonts w:ascii="Arial" w:eastAsia="Calibri" w:hAnsi="Arial" w:cs="Arial"/>
                <w:b/>
                <w:color w:val="000000"/>
                <w:sz w:val="17"/>
                <w:szCs w:val="17"/>
              </w:rPr>
              <w:t>Vlasnički vrijednosni papiri:</w:t>
            </w:r>
          </w:p>
        </w:tc>
        <w:tc>
          <w:tcPr>
            <w:tcW w:w="1060" w:type="dxa"/>
            <w:tcBorders>
              <w:top w:val="nil"/>
              <w:left w:val="nil"/>
              <w:right w:val="nil"/>
            </w:tcBorders>
            <w:shd w:val="clear" w:color="auto" w:fill="auto"/>
            <w:vAlign w:val="bottom"/>
          </w:tcPr>
          <w:p w14:paraId="06487B1B" w14:textId="77777777" w:rsidR="00517D12" w:rsidRPr="00736C15" w:rsidRDefault="00517D12" w:rsidP="00D707D6">
            <w:pPr>
              <w:tabs>
                <w:tab w:val="right" w:pos="1202"/>
              </w:tabs>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25A7618C" w14:textId="77777777" w:rsidR="00517D12" w:rsidRPr="00736C15" w:rsidRDefault="00517D12" w:rsidP="00D707D6">
            <w:pPr>
              <w:tabs>
                <w:tab w:val="right" w:pos="1202"/>
              </w:tabs>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21560E2E" w14:textId="77777777" w:rsidR="00517D12" w:rsidRPr="00736C15" w:rsidRDefault="00517D12" w:rsidP="00D707D6">
            <w:pPr>
              <w:tabs>
                <w:tab w:val="right" w:pos="1202"/>
              </w:tabs>
              <w:jc w:val="right"/>
              <w:outlineLvl w:val="0"/>
              <w:rPr>
                <w:rFonts w:ascii="Arial" w:eastAsia="Calibri" w:hAnsi="Arial" w:cs="Arial"/>
                <w:color w:val="000000"/>
                <w:sz w:val="17"/>
                <w:szCs w:val="17"/>
              </w:rPr>
            </w:pPr>
          </w:p>
        </w:tc>
      </w:tr>
      <w:tr w:rsidR="00517D12" w:rsidRPr="00736C15" w14:paraId="22D7042C" w14:textId="77777777" w:rsidTr="00D707D6">
        <w:trPr>
          <w:trHeight w:val="216"/>
          <w:jc w:val="center"/>
        </w:trPr>
        <w:tc>
          <w:tcPr>
            <w:tcW w:w="6094" w:type="dxa"/>
            <w:vAlign w:val="bottom"/>
          </w:tcPr>
          <w:p w14:paraId="0219288F" w14:textId="77777777" w:rsidR="00517D12" w:rsidRPr="00736C15" w:rsidRDefault="00517D12" w:rsidP="00D707D6">
            <w:pPr>
              <w:tabs>
                <w:tab w:val="right" w:pos="1202"/>
              </w:tabs>
              <w:outlineLvl w:val="0"/>
              <w:rPr>
                <w:rFonts w:ascii="Arial" w:eastAsia="Calibri" w:hAnsi="Arial" w:cs="Arial"/>
                <w:color w:val="000000"/>
                <w:sz w:val="17"/>
                <w:szCs w:val="17"/>
              </w:rPr>
            </w:pPr>
            <w:r w:rsidRPr="00736C15">
              <w:rPr>
                <w:rFonts w:ascii="Arial" w:eastAsia="Calibri" w:hAnsi="Arial" w:cs="Arial"/>
                <w:b/>
                <w:i/>
                <w:color w:val="000000"/>
                <w:spacing w:val="-2"/>
                <w:sz w:val="17"/>
                <w:szCs w:val="17"/>
              </w:rPr>
              <w:t>Vlasnički vrijednosni papiri koji ne kotiraju:</w:t>
            </w:r>
          </w:p>
        </w:tc>
        <w:tc>
          <w:tcPr>
            <w:tcW w:w="1060" w:type="dxa"/>
            <w:tcBorders>
              <w:left w:val="nil"/>
              <w:right w:val="nil"/>
            </w:tcBorders>
            <w:shd w:val="clear" w:color="auto" w:fill="auto"/>
            <w:vAlign w:val="bottom"/>
          </w:tcPr>
          <w:p w14:paraId="1A35B2B8" w14:textId="77777777" w:rsidR="00517D12" w:rsidRPr="00736C15" w:rsidRDefault="00517D12" w:rsidP="00D707D6">
            <w:pPr>
              <w:tabs>
                <w:tab w:val="right" w:pos="1202"/>
              </w:tabs>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1915FC3D" w14:textId="77777777" w:rsidR="00517D12" w:rsidRPr="00736C15" w:rsidRDefault="00517D12" w:rsidP="00D707D6">
            <w:pPr>
              <w:tabs>
                <w:tab w:val="right" w:pos="1202"/>
              </w:tabs>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7B7A6DE6" w14:textId="77777777" w:rsidR="00517D12" w:rsidRPr="00736C15" w:rsidRDefault="00517D12" w:rsidP="00D707D6">
            <w:pPr>
              <w:tabs>
                <w:tab w:val="right" w:pos="1202"/>
              </w:tabs>
              <w:jc w:val="right"/>
              <w:outlineLvl w:val="0"/>
              <w:rPr>
                <w:rFonts w:ascii="Arial" w:eastAsia="Calibri" w:hAnsi="Arial" w:cs="Arial"/>
                <w:color w:val="000000"/>
                <w:sz w:val="17"/>
                <w:szCs w:val="17"/>
              </w:rPr>
            </w:pPr>
          </w:p>
        </w:tc>
      </w:tr>
      <w:tr w:rsidR="00517D12" w:rsidRPr="00736C15" w14:paraId="5DBB8B38" w14:textId="77777777" w:rsidTr="00D707D6">
        <w:trPr>
          <w:trHeight w:val="283"/>
          <w:jc w:val="center"/>
        </w:trPr>
        <w:tc>
          <w:tcPr>
            <w:tcW w:w="6094" w:type="dxa"/>
            <w:vAlign w:val="bottom"/>
          </w:tcPr>
          <w:p w14:paraId="2003743A" w14:textId="77777777" w:rsidR="00517D12" w:rsidRPr="00736C15" w:rsidRDefault="00517D12" w:rsidP="00D707D6">
            <w:pPr>
              <w:tabs>
                <w:tab w:val="right" w:pos="1202"/>
              </w:tabs>
              <w:outlineLvl w:val="0"/>
              <w:rPr>
                <w:rFonts w:ascii="Arial" w:eastAsia="Calibri" w:hAnsi="Arial" w:cs="Arial"/>
                <w:color w:val="000000"/>
                <w:sz w:val="17"/>
                <w:szCs w:val="17"/>
              </w:rPr>
            </w:pPr>
            <w:r w:rsidRPr="00736C15">
              <w:rPr>
                <w:rFonts w:ascii="Arial" w:eastAsia="Calibri" w:hAnsi="Arial" w:cs="Arial"/>
                <w:color w:val="000000"/>
                <w:sz w:val="17"/>
                <w:szCs w:val="17"/>
              </w:rPr>
              <w:t>Depozitarne potvrde - DR</w:t>
            </w:r>
          </w:p>
        </w:tc>
        <w:tc>
          <w:tcPr>
            <w:tcW w:w="1060" w:type="dxa"/>
            <w:tcBorders>
              <w:left w:val="nil"/>
              <w:right w:val="nil"/>
            </w:tcBorders>
            <w:shd w:val="clear" w:color="auto" w:fill="auto"/>
            <w:vAlign w:val="bottom"/>
          </w:tcPr>
          <w:p w14:paraId="3F8E9044" w14:textId="77777777" w:rsidR="00517D12" w:rsidRPr="00736C15" w:rsidRDefault="00517D12" w:rsidP="00D707D6">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1060" w:type="dxa"/>
            <w:tcBorders>
              <w:top w:val="nil"/>
              <w:left w:val="nil"/>
              <w:right w:val="nil"/>
            </w:tcBorders>
            <w:shd w:val="clear" w:color="auto" w:fill="auto"/>
            <w:vAlign w:val="bottom"/>
          </w:tcPr>
          <w:p w14:paraId="5B414736" w14:textId="77777777" w:rsidR="00517D12" w:rsidRPr="00736C15" w:rsidRDefault="00517D12" w:rsidP="00D707D6">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1060" w:type="dxa"/>
            <w:tcBorders>
              <w:top w:val="nil"/>
              <w:left w:val="nil"/>
              <w:right w:val="nil"/>
            </w:tcBorders>
            <w:shd w:val="clear" w:color="auto" w:fill="auto"/>
            <w:vAlign w:val="bottom"/>
          </w:tcPr>
          <w:p w14:paraId="7255B988" w14:textId="77777777" w:rsidR="00517D12" w:rsidRPr="00736C15" w:rsidRDefault="00517D12" w:rsidP="00D707D6">
            <w:pPr>
              <w:tabs>
                <w:tab w:val="right" w:pos="1202"/>
              </w:tabs>
              <w:jc w:val="right"/>
              <w:outlineLvl w:val="0"/>
              <w:rPr>
                <w:rFonts w:ascii="Arial" w:eastAsia="Calibri" w:hAnsi="Arial" w:cs="Arial"/>
                <w:color w:val="000000"/>
                <w:sz w:val="17"/>
                <w:szCs w:val="17"/>
              </w:rPr>
            </w:pPr>
            <w:r w:rsidRPr="00134EDA">
              <w:rPr>
                <w:rFonts w:ascii="Arial" w:eastAsia="Calibri" w:hAnsi="Arial" w:cs="Arial"/>
                <w:color w:val="000000"/>
                <w:sz w:val="17"/>
                <w:szCs w:val="17"/>
              </w:rPr>
              <w:t>42</w:t>
            </w:r>
          </w:p>
        </w:tc>
      </w:tr>
      <w:tr w:rsidR="00517D12" w:rsidRPr="00736C15" w14:paraId="471EE4CC" w14:textId="77777777" w:rsidTr="00D707D6">
        <w:trPr>
          <w:trHeight w:val="283"/>
          <w:jc w:val="center"/>
        </w:trPr>
        <w:tc>
          <w:tcPr>
            <w:tcW w:w="6094" w:type="dxa"/>
            <w:vAlign w:val="bottom"/>
          </w:tcPr>
          <w:p w14:paraId="7ED8C413" w14:textId="77777777" w:rsidR="00517D12" w:rsidRPr="006F4749" w:rsidRDefault="00517D12" w:rsidP="00D707D6">
            <w:pPr>
              <w:tabs>
                <w:tab w:val="right" w:pos="1202"/>
              </w:tabs>
              <w:outlineLvl w:val="0"/>
              <w:rPr>
                <w:rFonts w:ascii="Arial" w:eastAsia="Calibri" w:hAnsi="Arial" w:cs="Arial"/>
                <w:b/>
                <w:bCs/>
                <w:color w:val="000000"/>
                <w:sz w:val="17"/>
                <w:szCs w:val="17"/>
              </w:rPr>
            </w:pPr>
            <w:r w:rsidRPr="006F4749">
              <w:rPr>
                <w:rFonts w:ascii="Arial" w:eastAsia="Calibri" w:hAnsi="Arial" w:cs="Arial"/>
                <w:b/>
                <w:bCs/>
                <w:color w:val="000000"/>
                <w:sz w:val="17"/>
                <w:szCs w:val="17"/>
              </w:rPr>
              <w:t>Derivativna financijska imovina – pozitivna fer vrijednost</w:t>
            </w:r>
          </w:p>
        </w:tc>
        <w:tc>
          <w:tcPr>
            <w:tcW w:w="1060" w:type="dxa"/>
            <w:tcBorders>
              <w:left w:val="nil"/>
              <w:right w:val="nil"/>
            </w:tcBorders>
            <w:shd w:val="clear" w:color="auto" w:fill="auto"/>
            <w:vAlign w:val="bottom"/>
          </w:tcPr>
          <w:p w14:paraId="5CE6F9D9" w14:textId="77777777" w:rsidR="00517D12" w:rsidRDefault="00517D12" w:rsidP="00D707D6">
            <w:pPr>
              <w:tabs>
                <w:tab w:val="right" w:pos="1202"/>
              </w:tabs>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240BD7DE" w14:textId="77777777" w:rsidR="00517D12" w:rsidRDefault="00517D12" w:rsidP="00D707D6">
            <w:pPr>
              <w:tabs>
                <w:tab w:val="right" w:pos="1202"/>
              </w:tabs>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756537E9" w14:textId="77777777" w:rsidR="00517D12" w:rsidRPr="00747110" w:rsidRDefault="00517D12" w:rsidP="00D707D6">
            <w:pPr>
              <w:tabs>
                <w:tab w:val="right" w:pos="1202"/>
              </w:tabs>
              <w:jc w:val="right"/>
              <w:outlineLvl w:val="0"/>
              <w:rPr>
                <w:rFonts w:ascii="Arial" w:eastAsia="Calibri" w:hAnsi="Arial" w:cs="Arial"/>
                <w:color w:val="000000"/>
                <w:sz w:val="17"/>
                <w:szCs w:val="17"/>
              </w:rPr>
            </w:pPr>
          </w:p>
        </w:tc>
      </w:tr>
      <w:tr w:rsidR="00517D12" w:rsidRPr="00736C15" w14:paraId="49494994" w14:textId="77777777" w:rsidTr="00D707D6">
        <w:trPr>
          <w:trHeight w:val="283"/>
          <w:jc w:val="center"/>
        </w:trPr>
        <w:tc>
          <w:tcPr>
            <w:tcW w:w="6094" w:type="dxa"/>
            <w:vAlign w:val="bottom"/>
          </w:tcPr>
          <w:p w14:paraId="073C4965" w14:textId="77777777" w:rsidR="00517D12" w:rsidRPr="00736C15" w:rsidRDefault="00517D12" w:rsidP="00D707D6">
            <w:pPr>
              <w:tabs>
                <w:tab w:val="right" w:pos="1202"/>
              </w:tabs>
              <w:outlineLvl w:val="0"/>
              <w:rPr>
                <w:rFonts w:ascii="Arial" w:eastAsia="Calibri" w:hAnsi="Arial" w:cs="Arial"/>
                <w:color w:val="000000"/>
                <w:sz w:val="17"/>
                <w:szCs w:val="17"/>
              </w:rPr>
            </w:pPr>
            <w:r w:rsidRPr="006F4749">
              <w:rPr>
                <w:rFonts w:ascii="Arial" w:eastAsia="Calibri" w:hAnsi="Arial" w:cs="Arial"/>
                <w:color w:val="000000"/>
                <w:sz w:val="17"/>
                <w:szCs w:val="17"/>
              </w:rPr>
              <w:t>FX swap</w:t>
            </w:r>
          </w:p>
        </w:tc>
        <w:tc>
          <w:tcPr>
            <w:tcW w:w="1060" w:type="dxa"/>
            <w:tcBorders>
              <w:left w:val="nil"/>
              <w:right w:val="nil"/>
            </w:tcBorders>
            <w:shd w:val="clear" w:color="auto" w:fill="auto"/>
            <w:vAlign w:val="bottom"/>
          </w:tcPr>
          <w:p w14:paraId="2ED84EA8" w14:textId="77777777" w:rsidR="00517D12" w:rsidRDefault="00517D12" w:rsidP="00D707D6">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1060" w:type="dxa"/>
            <w:tcBorders>
              <w:top w:val="nil"/>
              <w:left w:val="nil"/>
              <w:right w:val="nil"/>
            </w:tcBorders>
            <w:shd w:val="clear" w:color="auto" w:fill="auto"/>
            <w:vAlign w:val="bottom"/>
          </w:tcPr>
          <w:p w14:paraId="3B4E47E4" w14:textId="77777777" w:rsidR="00517D12" w:rsidRDefault="00517D12" w:rsidP="00D707D6">
            <w:pPr>
              <w:tabs>
                <w:tab w:val="right" w:pos="1202"/>
              </w:tabs>
              <w:jc w:val="right"/>
              <w:outlineLvl w:val="0"/>
              <w:rPr>
                <w:rFonts w:ascii="Arial" w:eastAsia="Calibri" w:hAnsi="Arial" w:cs="Arial"/>
                <w:color w:val="000000"/>
                <w:sz w:val="17"/>
                <w:szCs w:val="17"/>
              </w:rPr>
            </w:pPr>
            <w:r w:rsidRPr="00134EDA">
              <w:rPr>
                <w:rFonts w:ascii="Arial" w:eastAsia="Calibri" w:hAnsi="Arial" w:cs="Arial"/>
                <w:color w:val="000000"/>
                <w:sz w:val="17"/>
                <w:szCs w:val="17"/>
              </w:rPr>
              <w:t>11</w:t>
            </w:r>
          </w:p>
        </w:tc>
        <w:tc>
          <w:tcPr>
            <w:tcW w:w="1060" w:type="dxa"/>
            <w:tcBorders>
              <w:top w:val="nil"/>
              <w:left w:val="nil"/>
              <w:right w:val="nil"/>
            </w:tcBorders>
            <w:shd w:val="clear" w:color="auto" w:fill="auto"/>
            <w:vAlign w:val="bottom"/>
          </w:tcPr>
          <w:p w14:paraId="4528CCE5" w14:textId="77777777" w:rsidR="00517D12" w:rsidRPr="00747110" w:rsidRDefault="00517D12" w:rsidP="00D707D6">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r>
      <w:tr w:rsidR="00517D12" w:rsidRPr="00736C15" w14:paraId="73617A3A" w14:textId="77777777" w:rsidTr="00D707D6">
        <w:trPr>
          <w:trHeight w:val="283"/>
          <w:jc w:val="center"/>
        </w:trPr>
        <w:tc>
          <w:tcPr>
            <w:tcW w:w="6094" w:type="dxa"/>
            <w:vAlign w:val="bottom"/>
          </w:tcPr>
          <w:p w14:paraId="1B988B2F" w14:textId="77777777" w:rsidR="00517D12" w:rsidRPr="00736C15" w:rsidRDefault="00517D12" w:rsidP="00D707D6">
            <w:pPr>
              <w:tabs>
                <w:tab w:val="right" w:pos="1202"/>
              </w:tabs>
              <w:outlineLvl w:val="0"/>
              <w:rPr>
                <w:rFonts w:ascii="Arial" w:eastAsia="Calibri" w:hAnsi="Arial" w:cs="Arial"/>
                <w:color w:val="000000"/>
                <w:sz w:val="17"/>
                <w:szCs w:val="17"/>
              </w:rPr>
            </w:pPr>
            <w:r w:rsidRPr="00736C15">
              <w:rPr>
                <w:rFonts w:ascii="Arial" w:eastAsia="Calibri" w:hAnsi="Arial" w:cs="Arial"/>
                <w:b/>
                <w:color w:val="000000"/>
                <w:sz w:val="17"/>
                <w:szCs w:val="17"/>
              </w:rPr>
              <w:t>Ukupno financijska imovina po fer vrijednosti kroz dobit ili gubitak</w:t>
            </w:r>
          </w:p>
        </w:tc>
        <w:tc>
          <w:tcPr>
            <w:tcW w:w="1060" w:type="dxa"/>
            <w:tcBorders>
              <w:top w:val="single" w:sz="4" w:space="0" w:color="auto"/>
              <w:left w:val="nil"/>
              <w:bottom w:val="single" w:sz="12" w:space="0" w:color="auto"/>
              <w:right w:val="nil"/>
            </w:tcBorders>
            <w:shd w:val="clear" w:color="auto" w:fill="auto"/>
            <w:vAlign w:val="bottom"/>
          </w:tcPr>
          <w:p w14:paraId="46204A70" w14:textId="77777777" w:rsidR="00517D12" w:rsidRPr="00736C15" w:rsidRDefault="00517D12" w:rsidP="00D707D6">
            <w:pPr>
              <w:tabs>
                <w:tab w:val="right" w:pos="1202"/>
              </w:tabs>
              <w:jc w:val="right"/>
              <w:outlineLvl w:val="0"/>
              <w:rPr>
                <w:rFonts w:ascii="Arial" w:eastAsia="Calibri" w:hAnsi="Arial" w:cs="Arial"/>
                <w:b/>
                <w:color w:val="000000"/>
                <w:sz w:val="17"/>
                <w:szCs w:val="17"/>
              </w:rPr>
            </w:pPr>
            <w:r w:rsidRPr="00AD7F10">
              <w:rPr>
                <w:rFonts w:ascii="Arial" w:eastAsia="Calibri" w:hAnsi="Arial" w:cs="Arial"/>
                <w:b/>
                <w:color w:val="000000"/>
                <w:spacing w:val="-2"/>
                <w:sz w:val="17"/>
                <w:szCs w:val="17"/>
                <w:lang w:eastAsia="hr-HR"/>
              </w:rPr>
              <w:t>19.171</w:t>
            </w:r>
          </w:p>
        </w:tc>
        <w:tc>
          <w:tcPr>
            <w:tcW w:w="1060" w:type="dxa"/>
            <w:tcBorders>
              <w:top w:val="single" w:sz="4" w:space="0" w:color="auto"/>
              <w:left w:val="nil"/>
              <w:bottom w:val="single" w:sz="12" w:space="0" w:color="auto"/>
              <w:right w:val="nil"/>
            </w:tcBorders>
            <w:shd w:val="clear" w:color="auto" w:fill="auto"/>
            <w:vAlign w:val="bottom"/>
          </w:tcPr>
          <w:p w14:paraId="5FD485A6" w14:textId="77777777" w:rsidR="00517D12" w:rsidRPr="00736C15" w:rsidRDefault="00517D12" w:rsidP="00D707D6">
            <w:pPr>
              <w:tabs>
                <w:tab w:val="right" w:pos="1202"/>
              </w:tabs>
              <w:jc w:val="right"/>
              <w:outlineLvl w:val="0"/>
              <w:rPr>
                <w:rFonts w:ascii="Arial" w:eastAsia="Calibri" w:hAnsi="Arial" w:cs="Arial"/>
                <w:b/>
                <w:color w:val="000000"/>
                <w:sz w:val="17"/>
                <w:szCs w:val="17"/>
              </w:rPr>
            </w:pPr>
            <w:r w:rsidRPr="00AD7F10">
              <w:rPr>
                <w:rFonts w:ascii="Arial" w:eastAsia="Calibri" w:hAnsi="Arial" w:cs="Arial"/>
                <w:b/>
                <w:color w:val="000000"/>
                <w:spacing w:val="-2"/>
                <w:sz w:val="17"/>
                <w:szCs w:val="17"/>
                <w:lang w:eastAsia="hr-HR"/>
              </w:rPr>
              <w:t>11</w:t>
            </w:r>
          </w:p>
        </w:tc>
        <w:tc>
          <w:tcPr>
            <w:tcW w:w="1060" w:type="dxa"/>
            <w:tcBorders>
              <w:top w:val="single" w:sz="4" w:space="0" w:color="auto"/>
              <w:left w:val="nil"/>
              <w:bottom w:val="single" w:sz="12" w:space="0" w:color="auto"/>
              <w:right w:val="nil"/>
            </w:tcBorders>
            <w:shd w:val="clear" w:color="auto" w:fill="auto"/>
            <w:vAlign w:val="bottom"/>
          </w:tcPr>
          <w:p w14:paraId="77181EC6" w14:textId="77777777" w:rsidR="00517D12" w:rsidRPr="00736C15" w:rsidRDefault="00517D12" w:rsidP="00D707D6">
            <w:pPr>
              <w:tabs>
                <w:tab w:val="right" w:pos="1202"/>
              </w:tabs>
              <w:jc w:val="right"/>
              <w:outlineLvl w:val="0"/>
              <w:rPr>
                <w:rFonts w:ascii="Arial" w:eastAsia="Calibri" w:hAnsi="Arial" w:cs="Arial"/>
                <w:b/>
                <w:color w:val="000000"/>
                <w:sz w:val="17"/>
                <w:szCs w:val="17"/>
              </w:rPr>
            </w:pPr>
            <w:r w:rsidRPr="00AD7F10">
              <w:rPr>
                <w:rFonts w:ascii="Arial" w:eastAsia="Calibri" w:hAnsi="Arial" w:cs="Arial"/>
                <w:b/>
                <w:color w:val="000000"/>
                <w:spacing w:val="-2"/>
                <w:sz w:val="17"/>
                <w:szCs w:val="17"/>
                <w:lang w:eastAsia="hr-HR"/>
              </w:rPr>
              <w:t>33.740</w:t>
            </w:r>
          </w:p>
        </w:tc>
      </w:tr>
      <w:tr w:rsidR="00517D12" w:rsidRPr="00736C15" w14:paraId="0542916D" w14:textId="77777777" w:rsidTr="00D707D6">
        <w:trPr>
          <w:trHeight w:val="283"/>
          <w:jc w:val="center"/>
        </w:trPr>
        <w:tc>
          <w:tcPr>
            <w:tcW w:w="6094" w:type="dxa"/>
            <w:shd w:val="clear" w:color="auto" w:fill="auto"/>
            <w:vAlign w:val="bottom"/>
          </w:tcPr>
          <w:p w14:paraId="7D9AFD46" w14:textId="77777777" w:rsidR="00517D12" w:rsidRPr="00736C15" w:rsidRDefault="00517D12" w:rsidP="00D707D6">
            <w:pPr>
              <w:tabs>
                <w:tab w:val="right" w:pos="1202"/>
              </w:tabs>
              <w:outlineLvl w:val="0"/>
              <w:rPr>
                <w:rFonts w:ascii="Arial" w:eastAsia="Calibri" w:hAnsi="Arial" w:cs="Arial"/>
                <w:b/>
                <w:color w:val="000000"/>
                <w:spacing w:val="-2"/>
                <w:sz w:val="17"/>
                <w:szCs w:val="17"/>
              </w:rPr>
            </w:pPr>
            <w:r w:rsidRPr="00736C15">
              <w:rPr>
                <w:rFonts w:ascii="Arial" w:eastAsia="Calibri" w:hAnsi="Arial" w:cs="Arial"/>
                <w:b/>
                <w:color w:val="000000"/>
                <w:spacing w:val="-2"/>
                <w:sz w:val="17"/>
                <w:szCs w:val="17"/>
              </w:rPr>
              <w:t>Financijska imovina po fer vrijednosti kroz ostalu sveobuhvatnu dobit:</w:t>
            </w:r>
          </w:p>
        </w:tc>
        <w:tc>
          <w:tcPr>
            <w:tcW w:w="1060" w:type="dxa"/>
            <w:vAlign w:val="bottom"/>
          </w:tcPr>
          <w:p w14:paraId="3DF37086" w14:textId="77777777" w:rsidR="00517D12" w:rsidRPr="00736C15" w:rsidDel="00561A80" w:rsidRDefault="00517D12" w:rsidP="00D707D6">
            <w:pPr>
              <w:tabs>
                <w:tab w:val="right" w:pos="1202"/>
              </w:tabs>
              <w:jc w:val="right"/>
              <w:outlineLvl w:val="0"/>
              <w:rPr>
                <w:rFonts w:ascii="Arial" w:eastAsia="Calibri" w:hAnsi="Arial" w:cs="Arial"/>
                <w:color w:val="000000"/>
                <w:spacing w:val="-2"/>
                <w:sz w:val="17"/>
                <w:szCs w:val="17"/>
              </w:rPr>
            </w:pPr>
          </w:p>
        </w:tc>
        <w:tc>
          <w:tcPr>
            <w:tcW w:w="1060" w:type="dxa"/>
            <w:vAlign w:val="bottom"/>
          </w:tcPr>
          <w:p w14:paraId="3F309587" w14:textId="77777777" w:rsidR="00517D12" w:rsidRPr="00736C15" w:rsidDel="00561A80" w:rsidRDefault="00517D12" w:rsidP="00D707D6">
            <w:pPr>
              <w:tabs>
                <w:tab w:val="right" w:pos="1202"/>
              </w:tabs>
              <w:jc w:val="right"/>
              <w:outlineLvl w:val="0"/>
              <w:rPr>
                <w:rFonts w:ascii="Arial" w:eastAsia="Calibri" w:hAnsi="Arial" w:cs="Arial"/>
                <w:color w:val="000000"/>
                <w:spacing w:val="-2"/>
                <w:sz w:val="17"/>
                <w:szCs w:val="17"/>
              </w:rPr>
            </w:pPr>
          </w:p>
        </w:tc>
        <w:tc>
          <w:tcPr>
            <w:tcW w:w="1060" w:type="dxa"/>
            <w:vAlign w:val="bottom"/>
          </w:tcPr>
          <w:p w14:paraId="45E53582" w14:textId="77777777" w:rsidR="00517D12" w:rsidRPr="00736C15" w:rsidDel="00561A80" w:rsidRDefault="00517D12" w:rsidP="00D707D6">
            <w:pPr>
              <w:tabs>
                <w:tab w:val="right" w:pos="1202"/>
              </w:tabs>
              <w:jc w:val="right"/>
              <w:outlineLvl w:val="0"/>
              <w:rPr>
                <w:rFonts w:ascii="Arial" w:eastAsia="Calibri" w:hAnsi="Arial" w:cs="Arial"/>
                <w:color w:val="000000"/>
                <w:spacing w:val="-2"/>
                <w:sz w:val="17"/>
                <w:szCs w:val="17"/>
              </w:rPr>
            </w:pPr>
          </w:p>
        </w:tc>
      </w:tr>
      <w:tr w:rsidR="00517D12" w:rsidRPr="00736C15" w14:paraId="69FF2A8B" w14:textId="77777777" w:rsidTr="00D707D6">
        <w:trPr>
          <w:trHeight w:val="283"/>
          <w:jc w:val="center"/>
        </w:trPr>
        <w:tc>
          <w:tcPr>
            <w:tcW w:w="6094" w:type="dxa"/>
            <w:shd w:val="clear" w:color="auto" w:fill="auto"/>
            <w:vAlign w:val="bottom"/>
          </w:tcPr>
          <w:p w14:paraId="65D1A3DD" w14:textId="77777777" w:rsidR="00517D12" w:rsidRPr="00736C15" w:rsidRDefault="00517D12" w:rsidP="00D707D6">
            <w:pPr>
              <w:tabs>
                <w:tab w:val="right" w:pos="1202"/>
              </w:tabs>
              <w:outlineLvl w:val="0"/>
              <w:rPr>
                <w:rFonts w:ascii="Arial" w:eastAsia="Calibri" w:hAnsi="Arial" w:cs="Arial"/>
                <w:b/>
                <w:color w:val="000000"/>
                <w:spacing w:val="-2"/>
                <w:sz w:val="17"/>
                <w:szCs w:val="17"/>
              </w:rPr>
            </w:pPr>
            <w:r w:rsidRPr="00736C15">
              <w:rPr>
                <w:rFonts w:ascii="Arial" w:eastAsia="Calibri" w:hAnsi="Arial" w:cs="Arial"/>
                <w:b/>
                <w:color w:val="000000"/>
                <w:spacing w:val="-2"/>
                <w:sz w:val="17"/>
                <w:szCs w:val="17"/>
              </w:rPr>
              <w:t>Dužnički vrijednosni papiri:</w:t>
            </w:r>
          </w:p>
        </w:tc>
        <w:tc>
          <w:tcPr>
            <w:tcW w:w="1060" w:type="dxa"/>
            <w:vAlign w:val="bottom"/>
          </w:tcPr>
          <w:p w14:paraId="36884800" w14:textId="77777777" w:rsidR="00517D12" w:rsidRPr="00736C15" w:rsidDel="00561A80" w:rsidRDefault="00517D12" w:rsidP="00D707D6">
            <w:pPr>
              <w:tabs>
                <w:tab w:val="right" w:pos="1202"/>
              </w:tabs>
              <w:jc w:val="right"/>
              <w:outlineLvl w:val="0"/>
              <w:rPr>
                <w:rFonts w:ascii="Arial" w:eastAsia="Calibri" w:hAnsi="Arial" w:cs="Arial"/>
                <w:color w:val="000000"/>
                <w:spacing w:val="-2"/>
                <w:sz w:val="17"/>
                <w:szCs w:val="17"/>
              </w:rPr>
            </w:pPr>
          </w:p>
        </w:tc>
        <w:tc>
          <w:tcPr>
            <w:tcW w:w="1060" w:type="dxa"/>
            <w:vAlign w:val="bottom"/>
          </w:tcPr>
          <w:p w14:paraId="253F055D" w14:textId="77777777" w:rsidR="00517D12" w:rsidRPr="00736C15" w:rsidDel="00561A80" w:rsidRDefault="00517D12" w:rsidP="00D707D6">
            <w:pPr>
              <w:tabs>
                <w:tab w:val="right" w:pos="1202"/>
              </w:tabs>
              <w:jc w:val="right"/>
              <w:outlineLvl w:val="0"/>
              <w:rPr>
                <w:rFonts w:ascii="Arial" w:eastAsia="Calibri" w:hAnsi="Arial" w:cs="Arial"/>
                <w:color w:val="000000"/>
                <w:spacing w:val="-2"/>
                <w:sz w:val="17"/>
                <w:szCs w:val="17"/>
              </w:rPr>
            </w:pPr>
          </w:p>
        </w:tc>
        <w:tc>
          <w:tcPr>
            <w:tcW w:w="1060" w:type="dxa"/>
            <w:vAlign w:val="bottom"/>
          </w:tcPr>
          <w:p w14:paraId="7DBD80B2" w14:textId="77777777" w:rsidR="00517D12" w:rsidRPr="00736C15" w:rsidDel="00561A80" w:rsidRDefault="00517D12" w:rsidP="00D707D6">
            <w:pPr>
              <w:tabs>
                <w:tab w:val="right" w:pos="1202"/>
              </w:tabs>
              <w:jc w:val="right"/>
              <w:outlineLvl w:val="0"/>
              <w:rPr>
                <w:rFonts w:ascii="Arial" w:eastAsia="Calibri" w:hAnsi="Arial" w:cs="Arial"/>
                <w:color w:val="000000"/>
                <w:spacing w:val="-2"/>
                <w:sz w:val="17"/>
                <w:szCs w:val="17"/>
              </w:rPr>
            </w:pPr>
          </w:p>
        </w:tc>
      </w:tr>
      <w:tr w:rsidR="00517D12" w:rsidRPr="00736C15" w14:paraId="589A4035" w14:textId="77777777" w:rsidTr="00D707D6">
        <w:trPr>
          <w:trHeight w:val="283"/>
          <w:jc w:val="center"/>
        </w:trPr>
        <w:tc>
          <w:tcPr>
            <w:tcW w:w="6094" w:type="dxa"/>
            <w:shd w:val="clear" w:color="auto" w:fill="auto"/>
            <w:vAlign w:val="bottom"/>
          </w:tcPr>
          <w:p w14:paraId="7D0FF653" w14:textId="77777777" w:rsidR="00517D12" w:rsidRPr="00736C15" w:rsidRDefault="00517D12" w:rsidP="00D707D6">
            <w:pPr>
              <w:tabs>
                <w:tab w:val="right" w:pos="1202"/>
              </w:tabs>
              <w:outlineLvl w:val="0"/>
              <w:rPr>
                <w:rFonts w:ascii="Arial" w:eastAsia="Calibri" w:hAnsi="Arial" w:cs="Arial"/>
                <w:b/>
                <w:i/>
                <w:color w:val="000000"/>
                <w:spacing w:val="-2"/>
                <w:sz w:val="17"/>
                <w:szCs w:val="17"/>
              </w:rPr>
            </w:pPr>
            <w:r w:rsidRPr="00736C15">
              <w:rPr>
                <w:rFonts w:ascii="Arial" w:eastAsia="Calibri" w:hAnsi="Arial" w:cs="Arial"/>
                <w:b/>
                <w:i/>
                <w:color w:val="000000"/>
                <w:spacing w:val="-2"/>
                <w:sz w:val="17"/>
                <w:szCs w:val="17"/>
              </w:rPr>
              <w:t>Dužnički vrijednosni papiri koji kotiraju:</w:t>
            </w:r>
          </w:p>
        </w:tc>
        <w:tc>
          <w:tcPr>
            <w:tcW w:w="1060" w:type="dxa"/>
            <w:shd w:val="clear" w:color="auto" w:fill="auto"/>
            <w:vAlign w:val="bottom"/>
          </w:tcPr>
          <w:p w14:paraId="6869DA91" w14:textId="77777777" w:rsidR="00517D12" w:rsidRPr="00736C15" w:rsidDel="00561A80" w:rsidRDefault="00517D12" w:rsidP="00D707D6">
            <w:pPr>
              <w:tabs>
                <w:tab w:val="right" w:pos="1202"/>
              </w:tabs>
              <w:jc w:val="right"/>
              <w:outlineLvl w:val="0"/>
              <w:rPr>
                <w:rFonts w:ascii="Arial" w:eastAsia="Calibri" w:hAnsi="Arial" w:cs="Arial"/>
                <w:color w:val="000000"/>
                <w:spacing w:val="-2"/>
                <w:sz w:val="17"/>
                <w:szCs w:val="17"/>
              </w:rPr>
            </w:pPr>
          </w:p>
        </w:tc>
        <w:tc>
          <w:tcPr>
            <w:tcW w:w="1060" w:type="dxa"/>
            <w:shd w:val="clear" w:color="auto" w:fill="auto"/>
            <w:vAlign w:val="bottom"/>
          </w:tcPr>
          <w:p w14:paraId="3FF2D5CD" w14:textId="77777777" w:rsidR="00517D12" w:rsidRPr="00736C15" w:rsidDel="00561A80" w:rsidRDefault="00517D12" w:rsidP="00D707D6">
            <w:pPr>
              <w:tabs>
                <w:tab w:val="right" w:pos="1202"/>
              </w:tabs>
              <w:jc w:val="right"/>
              <w:outlineLvl w:val="0"/>
              <w:rPr>
                <w:rFonts w:ascii="Arial" w:eastAsia="Calibri" w:hAnsi="Arial" w:cs="Arial"/>
                <w:color w:val="000000"/>
                <w:spacing w:val="-2"/>
                <w:sz w:val="17"/>
                <w:szCs w:val="17"/>
              </w:rPr>
            </w:pPr>
          </w:p>
        </w:tc>
        <w:tc>
          <w:tcPr>
            <w:tcW w:w="1060" w:type="dxa"/>
            <w:shd w:val="clear" w:color="auto" w:fill="auto"/>
            <w:vAlign w:val="bottom"/>
          </w:tcPr>
          <w:p w14:paraId="6200ED3E" w14:textId="77777777" w:rsidR="00517D12" w:rsidRPr="00736C15" w:rsidDel="00561A80" w:rsidRDefault="00517D12" w:rsidP="00D707D6">
            <w:pPr>
              <w:tabs>
                <w:tab w:val="right" w:pos="1202"/>
              </w:tabs>
              <w:jc w:val="right"/>
              <w:outlineLvl w:val="0"/>
              <w:rPr>
                <w:rFonts w:ascii="Arial" w:eastAsia="Calibri" w:hAnsi="Arial" w:cs="Arial"/>
                <w:color w:val="000000"/>
                <w:spacing w:val="-2"/>
                <w:sz w:val="17"/>
                <w:szCs w:val="17"/>
              </w:rPr>
            </w:pPr>
          </w:p>
        </w:tc>
      </w:tr>
      <w:tr w:rsidR="00517D12" w:rsidRPr="00736C15" w14:paraId="3A9AFE9F" w14:textId="77777777" w:rsidTr="00D707D6">
        <w:trPr>
          <w:trHeight w:val="283"/>
          <w:jc w:val="center"/>
        </w:trPr>
        <w:tc>
          <w:tcPr>
            <w:tcW w:w="6094" w:type="dxa"/>
            <w:shd w:val="clear" w:color="auto" w:fill="auto"/>
            <w:vAlign w:val="bottom"/>
          </w:tcPr>
          <w:p w14:paraId="309E258B" w14:textId="77777777" w:rsidR="00517D12" w:rsidRPr="00736C15" w:rsidRDefault="00517D12" w:rsidP="00D707D6">
            <w:pPr>
              <w:tabs>
                <w:tab w:val="right" w:pos="1202"/>
              </w:tabs>
              <w:outlineLvl w:val="0"/>
              <w:rPr>
                <w:rFonts w:ascii="Arial" w:eastAsia="Calibri" w:hAnsi="Arial" w:cs="Arial"/>
                <w:color w:val="000000"/>
                <w:spacing w:val="-2"/>
                <w:sz w:val="17"/>
                <w:szCs w:val="17"/>
              </w:rPr>
            </w:pPr>
            <w:r w:rsidRPr="00736C15">
              <w:rPr>
                <w:rFonts w:ascii="Arial" w:eastAsia="Calibri" w:hAnsi="Arial" w:cs="Arial"/>
                <w:color w:val="000000"/>
                <w:spacing w:val="-2"/>
                <w:sz w:val="17"/>
                <w:szCs w:val="17"/>
              </w:rPr>
              <w:t>Obveznice Republike Hrvatske</w:t>
            </w:r>
          </w:p>
        </w:tc>
        <w:tc>
          <w:tcPr>
            <w:tcW w:w="1060" w:type="dxa"/>
            <w:tcBorders>
              <w:top w:val="nil"/>
              <w:left w:val="nil"/>
              <w:bottom w:val="nil"/>
              <w:right w:val="nil"/>
            </w:tcBorders>
            <w:shd w:val="clear" w:color="auto" w:fill="auto"/>
            <w:vAlign w:val="bottom"/>
          </w:tcPr>
          <w:p w14:paraId="3E131BBD" w14:textId="77777777" w:rsidR="00517D12" w:rsidRPr="00736C15" w:rsidRDefault="00517D12" w:rsidP="00D707D6">
            <w:pPr>
              <w:tabs>
                <w:tab w:val="right" w:pos="1202"/>
              </w:tabs>
              <w:jc w:val="right"/>
              <w:outlineLvl w:val="0"/>
              <w:rPr>
                <w:rFonts w:ascii="Arial" w:eastAsia="Calibri" w:hAnsi="Arial" w:cs="Arial"/>
                <w:color w:val="000000"/>
                <w:sz w:val="17"/>
                <w:szCs w:val="17"/>
              </w:rPr>
            </w:pPr>
            <w:r w:rsidRPr="00134EDA">
              <w:rPr>
                <w:rFonts w:ascii="Arial" w:eastAsia="Calibri" w:hAnsi="Arial" w:cs="Arial"/>
                <w:color w:val="000000"/>
                <w:spacing w:val="-2"/>
                <w:sz w:val="17"/>
                <w:szCs w:val="17"/>
              </w:rPr>
              <w:t>179.243</w:t>
            </w:r>
          </w:p>
        </w:tc>
        <w:tc>
          <w:tcPr>
            <w:tcW w:w="1060" w:type="dxa"/>
            <w:tcBorders>
              <w:top w:val="nil"/>
              <w:left w:val="nil"/>
              <w:bottom w:val="nil"/>
              <w:right w:val="nil"/>
            </w:tcBorders>
            <w:shd w:val="clear" w:color="auto" w:fill="auto"/>
            <w:vAlign w:val="bottom"/>
          </w:tcPr>
          <w:p w14:paraId="7E1BFE1E" w14:textId="77777777" w:rsidR="00517D12" w:rsidRPr="00736C15" w:rsidRDefault="00517D12" w:rsidP="00D707D6">
            <w:pPr>
              <w:tabs>
                <w:tab w:val="right" w:pos="1202"/>
              </w:tabs>
              <w:jc w:val="right"/>
              <w:outlineLvl w:val="0"/>
              <w:rPr>
                <w:rFonts w:ascii="Arial" w:eastAsia="Calibri" w:hAnsi="Arial" w:cs="Arial"/>
                <w:color w:val="000000"/>
                <w:sz w:val="17"/>
                <w:szCs w:val="17"/>
              </w:rPr>
            </w:pPr>
            <w:r>
              <w:rPr>
                <w:rFonts w:ascii="Arial" w:eastAsia="Calibri" w:hAnsi="Arial" w:cs="Arial"/>
                <w:color w:val="000000"/>
                <w:spacing w:val="-2"/>
                <w:sz w:val="17"/>
                <w:szCs w:val="17"/>
              </w:rPr>
              <w:t>-</w:t>
            </w:r>
          </w:p>
        </w:tc>
        <w:tc>
          <w:tcPr>
            <w:tcW w:w="1060" w:type="dxa"/>
            <w:tcBorders>
              <w:top w:val="nil"/>
              <w:left w:val="nil"/>
              <w:bottom w:val="nil"/>
              <w:right w:val="nil"/>
            </w:tcBorders>
            <w:shd w:val="clear" w:color="auto" w:fill="auto"/>
            <w:vAlign w:val="bottom"/>
          </w:tcPr>
          <w:p w14:paraId="12F0CAA6" w14:textId="77777777" w:rsidR="00517D12" w:rsidRPr="00736C15" w:rsidRDefault="00517D12" w:rsidP="00D707D6">
            <w:pPr>
              <w:tabs>
                <w:tab w:val="right" w:pos="1202"/>
              </w:tabs>
              <w:jc w:val="right"/>
              <w:outlineLvl w:val="0"/>
              <w:rPr>
                <w:rFonts w:ascii="Arial" w:eastAsia="Calibri" w:hAnsi="Arial" w:cs="Arial"/>
                <w:color w:val="000000"/>
                <w:sz w:val="17"/>
                <w:szCs w:val="17"/>
              </w:rPr>
            </w:pPr>
            <w:r>
              <w:rPr>
                <w:rFonts w:ascii="Arial" w:eastAsia="Calibri" w:hAnsi="Arial" w:cs="Arial"/>
                <w:color w:val="000000"/>
                <w:spacing w:val="-2"/>
                <w:sz w:val="17"/>
                <w:szCs w:val="17"/>
              </w:rPr>
              <w:t>-</w:t>
            </w:r>
          </w:p>
        </w:tc>
      </w:tr>
      <w:tr w:rsidR="00517D12" w:rsidRPr="00736C15" w14:paraId="20633620" w14:textId="77777777" w:rsidTr="00D707D6">
        <w:trPr>
          <w:trHeight w:val="283"/>
          <w:jc w:val="center"/>
        </w:trPr>
        <w:tc>
          <w:tcPr>
            <w:tcW w:w="6094" w:type="dxa"/>
            <w:shd w:val="clear" w:color="auto" w:fill="auto"/>
            <w:vAlign w:val="bottom"/>
          </w:tcPr>
          <w:p w14:paraId="6726FC11" w14:textId="77777777" w:rsidR="00517D12" w:rsidRPr="00736C15" w:rsidRDefault="00517D12" w:rsidP="00D707D6">
            <w:pPr>
              <w:tabs>
                <w:tab w:val="right" w:pos="1202"/>
              </w:tabs>
              <w:outlineLvl w:val="0"/>
              <w:rPr>
                <w:rFonts w:ascii="Arial" w:eastAsia="Calibri" w:hAnsi="Arial" w:cs="Arial"/>
                <w:color w:val="000000"/>
                <w:spacing w:val="-2"/>
                <w:sz w:val="17"/>
                <w:szCs w:val="17"/>
              </w:rPr>
            </w:pPr>
            <w:r w:rsidRPr="00736C15">
              <w:rPr>
                <w:rFonts w:ascii="Arial" w:eastAsia="Calibri" w:hAnsi="Arial" w:cs="Arial"/>
                <w:color w:val="000000"/>
                <w:spacing w:val="-2"/>
                <w:sz w:val="17"/>
                <w:szCs w:val="17"/>
              </w:rPr>
              <w:t>Trezorski zapisi Ministarstva financija</w:t>
            </w:r>
          </w:p>
        </w:tc>
        <w:tc>
          <w:tcPr>
            <w:tcW w:w="1060" w:type="dxa"/>
            <w:tcBorders>
              <w:top w:val="nil"/>
              <w:left w:val="nil"/>
              <w:bottom w:val="nil"/>
              <w:right w:val="nil"/>
            </w:tcBorders>
            <w:shd w:val="clear" w:color="auto" w:fill="auto"/>
            <w:vAlign w:val="bottom"/>
          </w:tcPr>
          <w:p w14:paraId="5DA0FE00" w14:textId="77777777" w:rsidR="00517D12" w:rsidRPr="00736C15" w:rsidRDefault="00517D12" w:rsidP="00D707D6">
            <w:pPr>
              <w:tabs>
                <w:tab w:val="right" w:pos="1202"/>
              </w:tabs>
              <w:jc w:val="right"/>
              <w:outlineLvl w:val="0"/>
              <w:rPr>
                <w:rFonts w:ascii="Arial" w:eastAsia="Calibri" w:hAnsi="Arial" w:cs="Arial"/>
                <w:color w:val="000000"/>
                <w:sz w:val="17"/>
                <w:szCs w:val="17"/>
              </w:rPr>
            </w:pPr>
            <w:r w:rsidRPr="00134EDA">
              <w:rPr>
                <w:rFonts w:ascii="Arial" w:eastAsia="Calibri" w:hAnsi="Arial" w:cs="Arial"/>
                <w:color w:val="000000"/>
                <w:spacing w:val="-2"/>
                <w:sz w:val="17"/>
                <w:szCs w:val="17"/>
              </w:rPr>
              <w:t>38.451</w:t>
            </w:r>
          </w:p>
        </w:tc>
        <w:tc>
          <w:tcPr>
            <w:tcW w:w="1060" w:type="dxa"/>
            <w:tcBorders>
              <w:top w:val="nil"/>
              <w:left w:val="nil"/>
              <w:bottom w:val="nil"/>
              <w:right w:val="nil"/>
            </w:tcBorders>
            <w:shd w:val="clear" w:color="auto" w:fill="auto"/>
            <w:vAlign w:val="bottom"/>
          </w:tcPr>
          <w:p w14:paraId="043D4070" w14:textId="77777777" w:rsidR="00517D12" w:rsidRPr="00736C15" w:rsidRDefault="00517D12" w:rsidP="00D707D6">
            <w:pPr>
              <w:tabs>
                <w:tab w:val="right" w:pos="1202"/>
              </w:tabs>
              <w:jc w:val="right"/>
              <w:outlineLvl w:val="0"/>
              <w:rPr>
                <w:rFonts w:ascii="Arial" w:eastAsia="Calibri" w:hAnsi="Arial" w:cs="Arial"/>
                <w:color w:val="000000"/>
                <w:sz w:val="17"/>
                <w:szCs w:val="17"/>
              </w:rPr>
            </w:pPr>
            <w:r>
              <w:rPr>
                <w:rFonts w:ascii="Arial" w:eastAsia="Calibri" w:hAnsi="Arial" w:cs="Arial"/>
                <w:color w:val="000000"/>
                <w:spacing w:val="-2"/>
                <w:sz w:val="17"/>
                <w:szCs w:val="17"/>
              </w:rPr>
              <w:t>-</w:t>
            </w:r>
          </w:p>
        </w:tc>
        <w:tc>
          <w:tcPr>
            <w:tcW w:w="1060" w:type="dxa"/>
            <w:tcBorders>
              <w:top w:val="nil"/>
              <w:left w:val="nil"/>
              <w:bottom w:val="nil"/>
              <w:right w:val="nil"/>
            </w:tcBorders>
            <w:shd w:val="clear" w:color="auto" w:fill="auto"/>
            <w:vAlign w:val="bottom"/>
          </w:tcPr>
          <w:p w14:paraId="3CDDB485" w14:textId="77777777" w:rsidR="00517D12" w:rsidRPr="00736C15" w:rsidRDefault="00517D12" w:rsidP="00D707D6">
            <w:pPr>
              <w:tabs>
                <w:tab w:val="right" w:pos="1202"/>
              </w:tabs>
              <w:jc w:val="right"/>
              <w:outlineLvl w:val="0"/>
              <w:rPr>
                <w:rFonts w:ascii="Arial" w:eastAsia="Calibri" w:hAnsi="Arial" w:cs="Arial"/>
                <w:color w:val="000000"/>
                <w:sz w:val="17"/>
                <w:szCs w:val="17"/>
              </w:rPr>
            </w:pPr>
            <w:r>
              <w:rPr>
                <w:rFonts w:ascii="Arial" w:eastAsia="Calibri" w:hAnsi="Arial" w:cs="Arial"/>
                <w:color w:val="000000"/>
                <w:spacing w:val="-2"/>
                <w:sz w:val="17"/>
                <w:szCs w:val="17"/>
              </w:rPr>
              <w:t>-</w:t>
            </w:r>
          </w:p>
        </w:tc>
      </w:tr>
      <w:tr w:rsidR="00517D12" w:rsidRPr="00736C15" w14:paraId="75ECD889" w14:textId="77777777" w:rsidTr="00D707D6">
        <w:trPr>
          <w:trHeight w:val="283"/>
          <w:jc w:val="center"/>
        </w:trPr>
        <w:tc>
          <w:tcPr>
            <w:tcW w:w="6094" w:type="dxa"/>
            <w:shd w:val="clear" w:color="auto" w:fill="auto"/>
            <w:vAlign w:val="bottom"/>
          </w:tcPr>
          <w:p w14:paraId="19201B01" w14:textId="77777777" w:rsidR="00517D12" w:rsidRPr="00736C15" w:rsidRDefault="00517D12" w:rsidP="00D707D6">
            <w:pPr>
              <w:tabs>
                <w:tab w:val="right" w:pos="1202"/>
              </w:tabs>
              <w:outlineLvl w:val="0"/>
              <w:rPr>
                <w:rFonts w:ascii="Arial" w:eastAsia="Calibri" w:hAnsi="Arial" w:cs="Arial"/>
                <w:color w:val="000000"/>
                <w:spacing w:val="-2"/>
                <w:sz w:val="17"/>
                <w:szCs w:val="17"/>
              </w:rPr>
            </w:pPr>
            <w:r w:rsidRPr="00736C15">
              <w:rPr>
                <w:rFonts w:ascii="Arial" w:eastAsia="Calibri" w:hAnsi="Arial" w:cs="Arial"/>
                <w:color w:val="000000"/>
                <w:spacing w:val="-2"/>
                <w:sz w:val="17"/>
                <w:szCs w:val="17"/>
              </w:rPr>
              <w:t xml:space="preserve">Obračunana kamata </w:t>
            </w:r>
          </w:p>
        </w:tc>
        <w:tc>
          <w:tcPr>
            <w:tcW w:w="1060" w:type="dxa"/>
            <w:tcBorders>
              <w:top w:val="nil"/>
              <w:left w:val="nil"/>
              <w:bottom w:val="nil"/>
              <w:right w:val="nil"/>
            </w:tcBorders>
            <w:shd w:val="clear" w:color="auto" w:fill="auto"/>
            <w:vAlign w:val="bottom"/>
          </w:tcPr>
          <w:p w14:paraId="7FB8C3BC" w14:textId="77777777" w:rsidR="00517D12" w:rsidRPr="00736C15" w:rsidRDefault="00517D12" w:rsidP="00D707D6">
            <w:pPr>
              <w:tabs>
                <w:tab w:val="right" w:pos="1202"/>
              </w:tabs>
              <w:jc w:val="right"/>
              <w:outlineLvl w:val="0"/>
              <w:rPr>
                <w:rFonts w:ascii="Arial" w:eastAsia="Calibri" w:hAnsi="Arial" w:cs="Arial"/>
                <w:color w:val="000000"/>
                <w:sz w:val="17"/>
                <w:szCs w:val="17"/>
              </w:rPr>
            </w:pPr>
            <w:r w:rsidRPr="00134EDA">
              <w:rPr>
                <w:rFonts w:ascii="Arial" w:eastAsia="Calibri" w:hAnsi="Arial" w:cs="Arial"/>
                <w:color w:val="000000"/>
                <w:spacing w:val="-2"/>
                <w:sz w:val="17"/>
                <w:szCs w:val="17"/>
              </w:rPr>
              <w:t>3.121</w:t>
            </w:r>
          </w:p>
        </w:tc>
        <w:tc>
          <w:tcPr>
            <w:tcW w:w="1060" w:type="dxa"/>
            <w:tcBorders>
              <w:top w:val="nil"/>
              <w:left w:val="nil"/>
              <w:bottom w:val="nil"/>
              <w:right w:val="nil"/>
            </w:tcBorders>
            <w:shd w:val="clear" w:color="auto" w:fill="auto"/>
            <w:vAlign w:val="bottom"/>
          </w:tcPr>
          <w:p w14:paraId="6E3A0359" w14:textId="77777777" w:rsidR="00517D12" w:rsidRPr="00736C15" w:rsidRDefault="00517D12" w:rsidP="00D707D6">
            <w:pPr>
              <w:tabs>
                <w:tab w:val="right" w:pos="1202"/>
              </w:tabs>
              <w:jc w:val="right"/>
              <w:outlineLvl w:val="0"/>
              <w:rPr>
                <w:rFonts w:ascii="Arial" w:eastAsia="Calibri" w:hAnsi="Arial" w:cs="Arial"/>
                <w:color w:val="000000"/>
                <w:sz w:val="17"/>
                <w:szCs w:val="17"/>
              </w:rPr>
            </w:pPr>
            <w:r>
              <w:rPr>
                <w:rFonts w:ascii="Arial" w:eastAsia="Calibri" w:hAnsi="Arial" w:cs="Arial"/>
                <w:color w:val="000000"/>
                <w:spacing w:val="-2"/>
                <w:sz w:val="17"/>
                <w:szCs w:val="17"/>
              </w:rPr>
              <w:t>-</w:t>
            </w:r>
          </w:p>
        </w:tc>
        <w:tc>
          <w:tcPr>
            <w:tcW w:w="1060" w:type="dxa"/>
            <w:tcBorders>
              <w:top w:val="nil"/>
              <w:left w:val="nil"/>
              <w:bottom w:val="nil"/>
              <w:right w:val="nil"/>
            </w:tcBorders>
            <w:shd w:val="clear" w:color="auto" w:fill="auto"/>
            <w:vAlign w:val="bottom"/>
          </w:tcPr>
          <w:p w14:paraId="429F5781" w14:textId="77777777" w:rsidR="00517D12" w:rsidRPr="00736C15" w:rsidRDefault="00517D12" w:rsidP="00D707D6">
            <w:pPr>
              <w:tabs>
                <w:tab w:val="right" w:pos="1202"/>
              </w:tabs>
              <w:jc w:val="right"/>
              <w:outlineLvl w:val="0"/>
              <w:rPr>
                <w:rFonts w:ascii="Arial" w:eastAsia="Calibri" w:hAnsi="Arial" w:cs="Arial"/>
                <w:color w:val="000000"/>
                <w:sz w:val="17"/>
                <w:szCs w:val="17"/>
              </w:rPr>
            </w:pPr>
            <w:r>
              <w:rPr>
                <w:rFonts w:ascii="Arial" w:eastAsia="Calibri" w:hAnsi="Arial" w:cs="Arial"/>
                <w:color w:val="000000"/>
                <w:spacing w:val="-2"/>
                <w:sz w:val="17"/>
                <w:szCs w:val="17"/>
              </w:rPr>
              <w:t>-</w:t>
            </w:r>
          </w:p>
        </w:tc>
      </w:tr>
      <w:tr w:rsidR="00517D12" w:rsidRPr="00736C15" w14:paraId="3922A01F" w14:textId="77777777" w:rsidTr="00D707D6">
        <w:trPr>
          <w:trHeight w:val="283"/>
          <w:jc w:val="center"/>
        </w:trPr>
        <w:tc>
          <w:tcPr>
            <w:tcW w:w="6094" w:type="dxa"/>
            <w:shd w:val="clear" w:color="auto" w:fill="auto"/>
            <w:vAlign w:val="bottom"/>
          </w:tcPr>
          <w:p w14:paraId="1A3BF675" w14:textId="77777777" w:rsidR="00517D12" w:rsidRPr="00736C15" w:rsidRDefault="00517D12" w:rsidP="00D707D6">
            <w:pPr>
              <w:tabs>
                <w:tab w:val="right" w:pos="1202"/>
              </w:tabs>
              <w:outlineLvl w:val="0"/>
              <w:rPr>
                <w:rFonts w:ascii="Arial" w:eastAsia="Calibri" w:hAnsi="Arial" w:cs="Arial"/>
                <w:b/>
                <w:i/>
                <w:color w:val="000000"/>
                <w:spacing w:val="-2"/>
                <w:sz w:val="17"/>
                <w:szCs w:val="17"/>
              </w:rPr>
            </w:pPr>
            <w:r w:rsidRPr="00736C15">
              <w:rPr>
                <w:rFonts w:ascii="Arial" w:eastAsia="Calibri" w:hAnsi="Arial" w:cs="Arial"/>
                <w:b/>
                <w:i/>
                <w:color w:val="000000"/>
                <w:spacing w:val="-2"/>
                <w:sz w:val="17"/>
                <w:szCs w:val="17"/>
              </w:rPr>
              <w:t>Dužnički vrijednosni papiri koji ne kotiraju:</w:t>
            </w:r>
          </w:p>
        </w:tc>
        <w:tc>
          <w:tcPr>
            <w:tcW w:w="1060" w:type="dxa"/>
            <w:tcBorders>
              <w:top w:val="nil"/>
              <w:left w:val="nil"/>
              <w:bottom w:val="nil"/>
              <w:right w:val="nil"/>
            </w:tcBorders>
            <w:shd w:val="clear" w:color="auto" w:fill="auto"/>
            <w:vAlign w:val="bottom"/>
          </w:tcPr>
          <w:p w14:paraId="096AB58F" w14:textId="77777777" w:rsidR="00517D12" w:rsidRPr="00736C15" w:rsidRDefault="00517D12" w:rsidP="00D707D6">
            <w:pPr>
              <w:tabs>
                <w:tab w:val="right" w:pos="1202"/>
              </w:tabs>
              <w:jc w:val="right"/>
              <w:outlineLvl w:val="0"/>
              <w:rPr>
                <w:rFonts w:ascii="Arial" w:eastAsia="Calibri" w:hAnsi="Arial" w:cs="Arial"/>
                <w:color w:val="000000"/>
                <w:sz w:val="17"/>
                <w:szCs w:val="17"/>
              </w:rPr>
            </w:pPr>
          </w:p>
        </w:tc>
        <w:tc>
          <w:tcPr>
            <w:tcW w:w="1060" w:type="dxa"/>
            <w:tcBorders>
              <w:top w:val="nil"/>
              <w:left w:val="nil"/>
              <w:bottom w:val="nil"/>
              <w:right w:val="nil"/>
            </w:tcBorders>
            <w:shd w:val="clear" w:color="auto" w:fill="auto"/>
            <w:vAlign w:val="bottom"/>
          </w:tcPr>
          <w:p w14:paraId="5DC3D443" w14:textId="77777777" w:rsidR="00517D12" w:rsidRPr="00736C15" w:rsidRDefault="00517D12" w:rsidP="00D707D6">
            <w:pPr>
              <w:tabs>
                <w:tab w:val="right" w:pos="1202"/>
              </w:tabs>
              <w:jc w:val="right"/>
              <w:outlineLvl w:val="0"/>
              <w:rPr>
                <w:rFonts w:ascii="Arial" w:eastAsia="Calibri" w:hAnsi="Arial" w:cs="Arial"/>
                <w:color w:val="000000"/>
                <w:spacing w:val="-2"/>
                <w:sz w:val="17"/>
                <w:szCs w:val="17"/>
              </w:rPr>
            </w:pPr>
          </w:p>
        </w:tc>
        <w:tc>
          <w:tcPr>
            <w:tcW w:w="1060" w:type="dxa"/>
            <w:tcBorders>
              <w:top w:val="nil"/>
              <w:left w:val="nil"/>
              <w:bottom w:val="nil"/>
              <w:right w:val="nil"/>
            </w:tcBorders>
            <w:shd w:val="clear" w:color="auto" w:fill="auto"/>
            <w:vAlign w:val="bottom"/>
          </w:tcPr>
          <w:p w14:paraId="3CB2F9B6" w14:textId="77777777" w:rsidR="00517D12" w:rsidRPr="00736C15" w:rsidRDefault="00517D12" w:rsidP="00D707D6">
            <w:pPr>
              <w:tabs>
                <w:tab w:val="right" w:pos="1202"/>
              </w:tabs>
              <w:jc w:val="right"/>
              <w:outlineLvl w:val="0"/>
              <w:rPr>
                <w:rFonts w:ascii="Arial" w:eastAsia="Calibri" w:hAnsi="Arial" w:cs="Arial"/>
                <w:color w:val="000000"/>
                <w:spacing w:val="-2"/>
                <w:sz w:val="17"/>
                <w:szCs w:val="17"/>
              </w:rPr>
            </w:pPr>
          </w:p>
        </w:tc>
      </w:tr>
      <w:tr w:rsidR="00517D12" w:rsidRPr="00736C15" w14:paraId="40F6A00D" w14:textId="77777777" w:rsidTr="00D707D6">
        <w:trPr>
          <w:trHeight w:val="283"/>
          <w:jc w:val="center"/>
        </w:trPr>
        <w:tc>
          <w:tcPr>
            <w:tcW w:w="6094" w:type="dxa"/>
            <w:shd w:val="clear" w:color="auto" w:fill="auto"/>
            <w:vAlign w:val="bottom"/>
          </w:tcPr>
          <w:p w14:paraId="00659969" w14:textId="77777777" w:rsidR="00517D12" w:rsidRPr="00736C15" w:rsidRDefault="00517D12" w:rsidP="00D707D6">
            <w:pPr>
              <w:tabs>
                <w:tab w:val="right" w:pos="1202"/>
              </w:tabs>
              <w:outlineLvl w:val="0"/>
              <w:rPr>
                <w:rFonts w:ascii="Arial" w:eastAsia="Calibri" w:hAnsi="Arial" w:cs="Arial"/>
                <w:color w:val="000000"/>
                <w:spacing w:val="-2"/>
                <w:sz w:val="17"/>
                <w:szCs w:val="17"/>
              </w:rPr>
            </w:pPr>
            <w:r w:rsidRPr="00736C15">
              <w:rPr>
                <w:rFonts w:ascii="Arial" w:eastAsia="Calibri" w:hAnsi="Arial" w:cs="Arial"/>
                <w:color w:val="000000"/>
                <w:spacing w:val="-2"/>
                <w:sz w:val="17"/>
                <w:szCs w:val="17"/>
              </w:rPr>
              <w:t xml:space="preserve">Obveznice trgovačkih društava </w:t>
            </w:r>
          </w:p>
        </w:tc>
        <w:tc>
          <w:tcPr>
            <w:tcW w:w="1060" w:type="dxa"/>
            <w:tcBorders>
              <w:top w:val="nil"/>
              <w:left w:val="nil"/>
              <w:bottom w:val="nil"/>
              <w:right w:val="nil"/>
            </w:tcBorders>
            <w:shd w:val="clear" w:color="auto" w:fill="auto"/>
            <w:vAlign w:val="bottom"/>
          </w:tcPr>
          <w:p w14:paraId="54BB03F2" w14:textId="77777777" w:rsidR="00517D12" w:rsidRPr="00736C15" w:rsidRDefault="00517D12" w:rsidP="00D707D6">
            <w:pPr>
              <w:tabs>
                <w:tab w:val="right" w:pos="1202"/>
              </w:tabs>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060" w:type="dxa"/>
            <w:tcBorders>
              <w:top w:val="nil"/>
              <w:left w:val="nil"/>
              <w:bottom w:val="nil"/>
              <w:right w:val="nil"/>
            </w:tcBorders>
            <w:shd w:val="clear" w:color="auto" w:fill="auto"/>
            <w:vAlign w:val="bottom"/>
          </w:tcPr>
          <w:p w14:paraId="25933A9A" w14:textId="77777777" w:rsidR="00517D12" w:rsidRPr="00736C15" w:rsidRDefault="00517D12" w:rsidP="00D707D6">
            <w:pPr>
              <w:tabs>
                <w:tab w:val="right" w:pos="1202"/>
              </w:tabs>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060" w:type="dxa"/>
            <w:tcBorders>
              <w:top w:val="nil"/>
              <w:left w:val="nil"/>
              <w:bottom w:val="nil"/>
              <w:right w:val="nil"/>
            </w:tcBorders>
            <w:shd w:val="clear" w:color="auto" w:fill="auto"/>
            <w:vAlign w:val="bottom"/>
          </w:tcPr>
          <w:p w14:paraId="1C3BE616" w14:textId="77777777" w:rsidR="00517D12" w:rsidRPr="00736C15" w:rsidRDefault="00517D12" w:rsidP="00D707D6">
            <w:pPr>
              <w:tabs>
                <w:tab w:val="right" w:pos="1202"/>
              </w:tabs>
              <w:jc w:val="right"/>
              <w:outlineLvl w:val="0"/>
              <w:rPr>
                <w:rFonts w:ascii="Arial" w:eastAsia="Calibri" w:hAnsi="Arial" w:cs="Arial"/>
                <w:color w:val="000000"/>
                <w:spacing w:val="-2"/>
                <w:sz w:val="17"/>
                <w:szCs w:val="17"/>
              </w:rPr>
            </w:pPr>
            <w:r w:rsidRPr="00AD7F10">
              <w:rPr>
                <w:rFonts w:ascii="Arial" w:eastAsia="Calibri" w:hAnsi="Arial" w:cs="Arial"/>
                <w:color w:val="000000"/>
                <w:sz w:val="17"/>
                <w:szCs w:val="17"/>
              </w:rPr>
              <w:t>81</w:t>
            </w:r>
          </w:p>
        </w:tc>
      </w:tr>
      <w:tr w:rsidR="00517D12" w:rsidRPr="00736C15" w14:paraId="5421DDE5" w14:textId="77777777" w:rsidTr="00D707D6">
        <w:trPr>
          <w:trHeight w:val="283"/>
          <w:jc w:val="center"/>
        </w:trPr>
        <w:tc>
          <w:tcPr>
            <w:tcW w:w="6094" w:type="dxa"/>
            <w:shd w:val="clear" w:color="auto" w:fill="auto"/>
            <w:vAlign w:val="bottom"/>
          </w:tcPr>
          <w:p w14:paraId="5066E631" w14:textId="77777777" w:rsidR="00517D12" w:rsidRPr="00736C15" w:rsidRDefault="00517D12" w:rsidP="00D707D6">
            <w:pPr>
              <w:tabs>
                <w:tab w:val="right" w:pos="1202"/>
              </w:tabs>
              <w:outlineLvl w:val="0"/>
              <w:rPr>
                <w:rFonts w:ascii="Arial" w:eastAsia="Calibri" w:hAnsi="Arial" w:cs="Arial"/>
                <w:color w:val="000000"/>
                <w:spacing w:val="-2"/>
                <w:sz w:val="17"/>
                <w:szCs w:val="17"/>
              </w:rPr>
            </w:pPr>
            <w:r w:rsidRPr="00736C15">
              <w:rPr>
                <w:rFonts w:ascii="Arial" w:eastAsia="Calibri" w:hAnsi="Arial" w:cs="Arial"/>
                <w:color w:val="000000"/>
                <w:spacing w:val="-2"/>
                <w:sz w:val="17"/>
                <w:szCs w:val="17"/>
              </w:rPr>
              <w:t>Zamjenjive obvezni</w:t>
            </w:r>
            <w:r>
              <w:rPr>
                <w:rFonts w:ascii="Arial" w:eastAsia="Calibri" w:hAnsi="Arial" w:cs="Arial"/>
                <w:color w:val="000000"/>
                <w:spacing w:val="-2"/>
                <w:sz w:val="17"/>
                <w:szCs w:val="17"/>
              </w:rPr>
              <w:t>c</w:t>
            </w:r>
            <w:r w:rsidRPr="00736C15">
              <w:rPr>
                <w:rFonts w:ascii="Arial" w:eastAsia="Calibri" w:hAnsi="Arial" w:cs="Arial"/>
                <w:color w:val="000000"/>
                <w:spacing w:val="-2"/>
                <w:sz w:val="17"/>
                <w:szCs w:val="17"/>
              </w:rPr>
              <w:t>e CB</w:t>
            </w:r>
          </w:p>
        </w:tc>
        <w:tc>
          <w:tcPr>
            <w:tcW w:w="1060" w:type="dxa"/>
            <w:tcBorders>
              <w:top w:val="nil"/>
              <w:left w:val="nil"/>
              <w:bottom w:val="nil"/>
              <w:right w:val="nil"/>
            </w:tcBorders>
            <w:shd w:val="clear" w:color="auto" w:fill="auto"/>
            <w:vAlign w:val="bottom"/>
          </w:tcPr>
          <w:p w14:paraId="1699CCFB" w14:textId="77777777" w:rsidR="00517D12" w:rsidRPr="00736C15" w:rsidRDefault="00517D12" w:rsidP="00D707D6">
            <w:pPr>
              <w:tabs>
                <w:tab w:val="right" w:pos="1202"/>
              </w:tabs>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060" w:type="dxa"/>
            <w:tcBorders>
              <w:top w:val="nil"/>
              <w:left w:val="nil"/>
              <w:bottom w:val="nil"/>
              <w:right w:val="nil"/>
            </w:tcBorders>
            <w:shd w:val="clear" w:color="auto" w:fill="auto"/>
            <w:vAlign w:val="bottom"/>
          </w:tcPr>
          <w:p w14:paraId="2559713B" w14:textId="77777777" w:rsidR="00517D12" w:rsidRPr="00736C15" w:rsidRDefault="00517D12" w:rsidP="00D707D6">
            <w:pPr>
              <w:tabs>
                <w:tab w:val="right" w:pos="1202"/>
              </w:tabs>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060" w:type="dxa"/>
            <w:tcBorders>
              <w:top w:val="nil"/>
              <w:left w:val="nil"/>
              <w:bottom w:val="nil"/>
              <w:right w:val="nil"/>
            </w:tcBorders>
            <w:shd w:val="clear" w:color="auto" w:fill="auto"/>
            <w:vAlign w:val="bottom"/>
          </w:tcPr>
          <w:p w14:paraId="7359B92D" w14:textId="77777777" w:rsidR="00517D12" w:rsidRPr="00736C15" w:rsidRDefault="00517D12" w:rsidP="00D707D6">
            <w:pPr>
              <w:tabs>
                <w:tab w:val="right" w:pos="1202"/>
              </w:tabs>
              <w:jc w:val="right"/>
              <w:outlineLvl w:val="0"/>
              <w:rPr>
                <w:rFonts w:ascii="Arial" w:eastAsia="Calibri" w:hAnsi="Arial" w:cs="Arial"/>
                <w:color w:val="000000"/>
                <w:spacing w:val="-2"/>
                <w:sz w:val="17"/>
                <w:szCs w:val="17"/>
              </w:rPr>
            </w:pPr>
            <w:r w:rsidRPr="00AD7F10">
              <w:rPr>
                <w:rFonts w:ascii="Arial" w:eastAsia="Calibri" w:hAnsi="Arial" w:cs="Arial"/>
                <w:color w:val="000000"/>
                <w:sz w:val="17"/>
                <w:szCs w:val="17"/>
              </w:rPr>
              <w:t>195</w:t>
            </w:r>
          </w:p>
        </w:tc>
      </w:tr>
      <w:tr w:rsidR="00517D12" w:rsidRPr="00736C15" w14:paraId="584F0143" w14:textId="77777777" w:rsidTr="00D707D6">
        <w:trPr>
          <w:trHeight w:val="283"/>
          <w:jc w:val="center"/>
        </w:trPr>
        <w:tc>
          <w:tcPr>
            <w:tcW w:w="6094" w:type="dxa"/>
            <w:shd w:val="clear" w:color="auto" w:fill="auto"/>
            <w:vAlign w:val="bottom"/>
          </w:tcPr>
          <w:p w14:paraId="324A7F6C" w14:textId="77777777" w:rsidR="00517D12" w:rsidRPr="00736C15" w:rsidRDefault="00517D12" w:rsidP="00D707D6">
            <w:pPr>
              <w:tabs>
                <w:tab w:val="right" w:pos="1202"/>
              </w:tabs>
              <w:outlineLvl w:val="0"/>
              <w:rPr>
                <w:rFonts w:ascii="Arial" w:eastAsia="Calibri" w:hAnsi="Arial" w:cs="Arial"/>
                <w:color w:val="000000"/>
                <w:spacing w:val="-2"/>
                <w:sz w:val="17"/>
                <w:szCs w:val="17"/>
              </w:rPr>
            </w:pPr>
            <w:r w:rsidRPr="00736C15">
              <w:rPr>
                <w:rFonts w:ascii="Arial" w:eastAsia="Calibri" w:hAnsi="Arial" w:cs="Arial"/>
                <w:color w:val="000000"/>
                <w:spacing w:val="-2"/>
                <w:sz w:val="17"/>
                <w:szCs w:val="17"/>
              </w:rPr>
              <w:t>Obračunata kamata</w:t>
            </w:r>
          </w:p>
        </w:tc>
        <w:tc>
          <w:tcPr>
            <w:tcW w:w="1060" w:type="dxa"/>
            <w:tcBorders>
              <w:top w:val="nil"/>
              <w:left w:val="nil"/>
              <w:bottom w:val="nil"/>
              <w:right w:val="nil"/>
            </w:tcBorders>
            <w:shd w:val="clear" w:color="auto" w:fill="auto"/>
            <w:vAlign w:val="bottom"/>
          </w:tcPr>
          <w:p w14:paraId="6F0714EB" w14:textId="77777777" w:rsidR="00517D12" w:rsidRPr="00736C15" w:rsidRDefault="00517D12" w:rsidP="00D707D6">
            <w:pPr>
              <w:tabs>
                <w:tab w:val="right" w:pos="1202"/>
              </w:tabs>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060" w:type="dxa"/>
            <w:tcBorders>
              <w:top w:val="nil"/>
              <w:left w:val="nil"/>
              <w:bottom w:val="nil"/>
              <w:right w:val="nil"/>
            </w:tcBorders>
            <w:shd w:val="clear" w:color="auto" w:fill="auto"/>
            <w:vAlign w:val="bottom"/>
          </w:tcPr>
          <w:p w14:paraId="7DBA6E88" w14:textId="77777777" w:rsidR="00517D12" w:rsidRPr="00736C15" w:rsidRDefault="00517D12" w:rsidP="00D707D6">
            <w:pPr>
              <w:tabs>
                <w:tab w:val="right" w:pos="1202"/>
              </w:tabs>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060" w:type="dxa"/>
            <w:tcBorders>
              <w:top w:val="nil"/>
              <w:left w:val="nil"/>
              <w:bottom w:val="single" w:sz="4" w:space="0" w:color="auto"/>
              <w:right w:val="nil"/>
            </w:tcBorders>
            <w:shd w:val="clear" w:color="auto" w:fill="auto"/>
            <w:vAlign w:val="bottom"/>
          </w:tcPr>
          <w:p w14:paraId="742F5EA6" w14:textId="77777777" w:rsidR="00517D12" w:rsidRPr="00736C15" w:rsidRDefault="00517D12" w:rsidP="00D707D6">
            <w:pPr>
              <w:tabs>
                <w:tab w:val="right" w:pos="1202"/>
              </w:tabs>
              <w:jc w:val="right"/>
              <w:outlineLvl w:val="0"/>
              <w:rPr>
                <w:rFonts w:ascii="Arial" w:eastAsia="Calibri" w:hAnsi="Arial" w:cs="Arial"/>
                <w:color w:val="000000"/>
                <w:spacing w:val="-2"/>
                <w:sz w:val="17"/>
                <w:szCs w:val="17"/>
              </w:rPr>
            </w:pPr>
            <w:r w:rsidRPr="00AD7F10">
              <w:rPr>
                <w:rFonts w:ascii="Arial" w:eastAsia="Calibri" w:hAnsi="Arial" w:cs="Arial"/>
                <w:color w:val="000000"/>
                <w:sz w:val="17"/>
                <w:szCs w:val="17"/>
              </w:rPr>
              <w:t>2</w:t>
            </w:r>
          </w:p>
        </w:tc>
      </w:tr>
      <w:tr w:rsidR="00517D12" w:rsidRPr="00736C15" w14:paraId="5052FF46" w14:textId="77777777" w:rsidTr="00D707D6">
        <w:trPr>
          <w:trHeight w:val="283"/>
          <w:jc w:val="center"/>
        </w:trPr>
        <w:tc>
          <w:tcPr>
            <w:tcW w:w="6094" w:type="dxa"/>
            <w:shd w:val="clear" w:color="auto" w:fill="auto"/>
            <w:vAlign w:val="bottom"/>
          </w:tcPr>
          <w:p w14:paraId="69F04406" w14:textId="77777777" w:rsidR="00517D12" w:rsidRPr="00736C15" w:rsidRDefault="00517D12" w:rsidP="00D707D6">
            <w:pPr>
              <w:tabs>
                <w:tab w:val="right" w:pos="1202"/>
              </w:tabs>
              <w:outlineLvl w:val="0"/>
              <w:rPr>
                <w:rFonts w:ascii="Arial" w:eastAsia="Calibri" w:hAnsi="Arial" w:cs="Arial"/>
                <w:b/>
                <w:color w:val="000000"/>
                <w:spacing w:val="-2"/>
                <w:sz w:val="17"/>
                <w:szCs w:val="17"/>
              </w:rPr>
            </w:pPr>
            <w:r w:rsidRPr="00736C15">
              <w:rPr>
                <w:rFonts w:ascii="Arial" w:eastAsia="Calibri" w:hAnsi="Arial" w:cs="Arial"/>
                <w:b/>
                <w:color w:val="000000"/>
                <w:spacing w:val="-2"/>
                <w:sz w:val="17"/>
                <w:szCs w:val="17"/>
              </w:rPr>
              <w:t>Ukupno dužnički vrijednosni papiri</w:t>
            </w:r>
          </w:p>
        </w:tc>
        <w:tc>
          <w:tcPr>
            <w:tcW w:w="1060" w:type="dxa"/>
            <w:tcBorders>
              <w:top w:val="single" w:sz="4" w:space="0" w:color="auto"/>
              <w:left w:val="nil"/>
              <w:bottom w:val="single" w:sz="12" w:space="0" w:color="auto"/>
              <w:right w:val="nil"/>
            </w:tcBorders>
            <w:shd w:val="clear" w:color="auto" w:fill="auto"/>
            <w:vAlign w:val="bottom"/>
          </w:tcPr>
          <w:p w14:paraId="416E8E78" w14:textId="77777777" w:rsidR="00517D12" w:rsidRPr="00736C15" w:rsidRDefault="00517D12" w:rsidP="00D707D6">
            <w:pPr>
              <w:tabs>
                <w:tab w:val="right" w:pos="1202"/>
              </w:tabs>
              <w:jc w:val="right"/>
              <w:outlineLvl w:val="0"/>
              <w:rPr>
                <w:rFonts w:ascii="Arial" w:eastAsia="Calibri" w:hAnsi="Arial" w:cs="Arial"/>
                <w:b/>
                <w:bCs/>
                <w:color w:val="000000"/>
                <w:spacing w:val="-2"/>
                <w:sz w:val="17"/>
                <w:szCs w:val="17"/>
              </w:rPr>
            </w:pPr>
            <w:r w:rsidRPr="00AD7F10">
              <w:rPr>
                <w:rFonts w:ascii="Arial" w:eastAsia="Calibri" w:hAnsi="Arial" w:cs="Arial"/>
                <w:b/>
                <w:color w:val="000000"/>
                <w:spacing w:val="-2"/>
                <w:sz w:val="17"/>
                <w:szCs w:val="17"/>
                <w:lang w:eastAsia="hr-HR"/>
              </w:rPr>
              <w:t>220.815</w:t>
            </w:r>
          </w:p>
        </w:tc>
        <w:tc>
          <w:tcPr>
            <w:tcW w:w="1060" w:type="dxa"/>
            <w:tcBorders>
              <w:top w:val="single" w:sz="4" w:space="0" w:color="auto"/>
              <w:left w:val="nil"/>
              <w:bottom w:val="single" w:sz="12" w:space="0" w:color="auto"/>
              <w:right w:val="nil"/>
            </w:tcBorders>
            <w:shd w:val="clear" w:color="auto" w:fill="auto"/>
            <w:vAlign w:val="bottom"/>
          </w:tcPr>
          <w:p w14:paraId="495C67D6" w14:textId="77777777" w:rsidR="00517D12" w:rsidRPr="00736C15" w:rsidRDefault="00517D12" w:rsidP="00D707D6">
            <w:pPr>
              <w:tabs>
                <w:tab w:val="right" w:pos="1202"/>
              </w:tabs>
              <w:jc w:val="right"/>
              <w:outlineLvl w:val="0"/>
              <w:rPr>
                <w:rFonts w:ascii="Arial" w:eastAsia="Calibri" w:hAnsi="Arial" w:cs="Arial"/>
                <w:b/>
                <w:bCs/>
                <w:color w:val="000000"/>
                <w:spacing w:val="-2"/>
                <w:sz w:val="17"/>
                <w:szCs w:val="17"/>
              </w:rPr>
            </w:pPr>
            <w:r>
              <w:rPr>
                <w:rFonts w:ascii="Arial" w:eastAsia="Calibri" w:hAnsi="Arial" w:cs="Arial"/>
                <w:b/>
                <w:color w:val="000000"/>
                <w:spacing w:val="-2"/>
                <w:sz w:val="17"/>
                <w:szCs w:val="17"/>
                <w:lang w:eastAsia="hr-HR"/>
              </w:rPr>
              <w:t>-</w:t>
            </w:r>
          </w:p>
        </w:tc>
        <w:tc>
          <w:tcPr>
            <w:tcW w:w="1060" w:type="dxa"/>
            <w:tcBorders>
              <w:top w:val="single" w:sz="4" w:space="0" w:color="auto"/>
              <w:left w:val="nil"/>
              <w:bottom w:val="single" w:sz="12" w:space="0" w:color="auto"/>
              <w:right w:val="nil"/>
            </w:tcBorders>
            <w:shd w:val="clear" w:color="auto" w:fill="auto"/>
            <w:vAlign w:val="bottom"/>
          </w:tcPr>
          <w:p w14:paraId="79085933" w14:textId="77777777" w:rsidR="00517D12" w:rsidRPr="00736C15" w:rsidRDefault="00517D12" w:rsidP="00D707D6">
            <w:pPr>
              <w:tabs>
                <w:tab w:val="right" w:pos="1202"/>
              </w:tabs>
              <w:jc w:val="right"/>
              <w:outlineLvl w:val="0"/>
              <w:rPr>
                <w:rFonts w:ascii="Arial" w:eastAsia="Calibri" w:hAnsi="Arial" w:cs="Arial"/>
                <w:b/>
                <w:bCs/>
                <w:color w:val="000000"/>
                <w:spacing w:val="-2"/>
                <w:sz w:val="17"/>
                <w:szCs w:val="17"/>
              </w:rPr>
            </w:pPr>
            <w:r w:rsidRPr="00AD7F10">
              <w:rPr>
                <w:rFonts w:ascii="Arial" w:eastAsia="Calibri" w:hAnsi="Arial" w:cs="Arial"/>
                <w:b/>
                <w:color w:val="000000"/>
                <w:spacing w:val="-2"/>
                <w:sz w:val="17"/>
                <w:szCs w:val="17"/>
                <w:lang w:eastAsia="hr-HR"/>
              </w:rPr>
              <w:t>278</w:t>
            </w:r>
          </w:p>
        </w:tc>
      </w:tr>
      <w:tr w:rsidR="00517D12" w:rsidRPr="00736C15" w14:paraId="55DCC093" w14:textId="77777777" w:rsidTr="00D707D6">
        <w:trPr>
          <w:trHeight w:val="283"/>
          <w:jc w:val="center"/>
        </w:trPr>
        <w:tc>
          <w:tcPr>
            <w:tcW w:w="6094" w:type="dxa"/>
            <w:shd w:val="clear" w:color="auto" w:fill="auto"/>
            <w:vAlign w:val="bottom"/>
          </w:tcPr>
          <w:p w14:paraId="1B18031D" w14:textId="77777777" w:rsidR="00517D12" w:rsidRPr="00736C15" w:rsidRDefault="00517D12" w:rsidP="00D707D6">
            <w:pPr>
              <w:tabs>
                <w:tab w:val="right" w:pos="1202"/>
              </w:tabs>
              <w:outlineLvl w:val="0"/>
              <w:rPr>
                <w:rFonts w:ascii="Arial" w:eastAsia="Calibri" w:hAnsi="Arial" w:cs="Arial"/>
                <w:b/>
                <w:i/>
                <w:color w:val="000000"/>
                <w:spacing w:val="-2"/>
                <w:sz w:val="17"/>
                <w:szCs w:val="17"/>
              </w:rPr>
            </w:pPr>
            <w:r w:rsidRPr="00736C15">
              <w:rPr>
                <w:rFonts w:ascii="Arial" w:eastAsia="Calibri" w:hAnsi="Arial" w:cs="Arial"/>
                <w:b/>
                <w:i/>
                <w:color w:val="000000"/>
                <w:spacing w:val="-2"/>
                <w:sz w:val="17"/>
                <w:szCs w:val="17"/>
              </w:rPr>
              <w:t>Vlasnički vrijednosni papiri koji ne kotiraju:</w:t>
            </w:r>
          </w:p>
        </w:tc>
        <w:tc>
          <w:tcPr>
            <w:tcW w:w="1060" w:type="dxa"/>
            <w:tcBorders>
              <w:top w:val="single" w:sz="4" w:space="0" w:color="auto"/>
              <w:left w:val="nil"/>
              <w:right w:val="nil"/>
            </w:tcBorders>
            <w:shd w:val="clear" w:color="auto" w:fill="auto"/>
            <w:vAlign w:val="bottom"/>
          </w:tcPr>
          <w:p w14:paraId="033C2B7B" w14:textId="77777777" w:rsidR="00517D12" w:rsidRPr="00736C15" w:rsidDel="00561A80" w:rsidRDefault="00517D12" w:rsidP="00D707D6">
            <w:pPr>
              <w:tabs>
                <w:tab w:val="right" w:pos="1202"/>
              </w:tabs>
              <w:jc w:val="right"/>
              <w:outlineLvl w:val="0"/>
              <w:rPr>
                <w:rFonts w:ascii="Arial" w:eastAsia="Calibri" w:hAnsi="Arial" w:cs="Arial"/>
                <w:color w:val="000000"/>
                <w:spacing w:val="-2"/>
                <w:sz w:val="17"/>
                <w:szCs w:val="17"/>
              </w:rPr>
            </w:pPr>
          </w:p>
        </w:tc>
        <w:tc>
          <w:tcPr>
            <w:tcW w:w="1060" w:type="dxa"/>
            <w:tcBorders>
              <w:top w:val="single" w:sz="4" w:space="0" w:color="auto"/>
              <w:left w:val="nil"/>
              <w:right w:val="nil"/>
            </w:tcBorders>
            <w:shd w:val="clear" w:color="auto" w:fill="auto"/>
            <w:vAlign w:val="bottom"/>
          </w:tcPr>
          <w:p w14:paraId="365CCD26" w14:textId="77777777" w:rsidR="00517D12" w:rsidRPr="00736C15" w:rsidDel="00561A80" w:rsidRDefault="00517D12" w:rsidP="00D707D6">
            <w:pPr>
              <w:tabs>
                <w:tab w:val="right" w:pos="1202"/>
              </w:tabs>
              <w:jc w:val="right"/>
              <w:outlineLvl w:val="0"/>
              <w:rPr>
                <w:rFonts w:ascii="Arial" w:eastAsia="Calibri" w:hAnsi="Arial" w:cs="Arial"/>
                <w:color w:val="000000"/>
                <w:spacing w:val="-2"/>
                <w:sz w:val="17"/>
                <w:szCs w:val="17"/>
              </w:rPr>
            </w:pPr>
          </w:p>
        </w:tc>
        <w:tc>
          <w:tcPr>
            <w:tcW w:w="1060" w:type="dxa"/>
            <w:tcBorders>
              <w:top w:val="single" w:sz="4" w:space="0" w:color="auto"/>
              <w:left w:val="nil"/>
              <w:right w:val="nil"/>
            </w:tcBorders>
            <w:shd w:val="clear" w:color="auto" w:fill="auto"/>
            <w:vAlign w:val="bottom"/>
          </w:tcPr>
          <w:p w14:paraId="2136FEE1" w14:textId="77777777" w:rsidR="00517D12" w:rsidRPr="00736C15" w:rsidDel="00561A80" w:rsidRDefault="00517D12" w:rsidP="00D707D6">
            <w:pPr>
              <w:tabs>
                <w:tab w:val="right" w:pos="1202"/>
              </w:tabs>
              <w:jc w:val="right"/>
              <w:outlineLvl w:val="0"/>
              <w:rPr>
                <w:rFonts w:ascii="Arial" w:eastAsia="Calibri" w:hAnsi="Arial" w:cs="Arial"/>
                <w:color w:val="000000"/>
                <w:spacing w:val="-2"/>
                <w:sz w:val="17"/>
                <w:szCs w:val="17"/>
              </w:rPr>
            </w:pPr>
          </w:p>
        </w:tc>
      </w:tr>
      <w:tr w:rsidR="00517D12" w:rsidRPr="00736C15" w14:paraId="5115FCBE" w14:textId="77777777" w:rsidTr="00D707D6">
        <w:trPr>
          <w:trHeight w:val="283"/>
          <w:jc w:val="center"/>
        </w:trPr>
        <w:tc>
          <w:tcPr>
            <w:tcW w:w="6094" w:type="dxa"/>
            <w:shd w:val="clear" w:color="auto" w:fill="auto"/>
            <w:vAlign w:val="bottom"/>
          </w:tcPr>
          <w:p w14:paraId="10D4A225" w14:textId="77777777" w:rsidR="00517D12" w:rsidRPr="00736C15" w:rsidRDefault="00517D12" w:rsidP="00D707D6">
            <w:pPr>
              <w:tabs>
                <w:tab w:val="right" w:pos="1202"/>
              </w:tabs>
              <w:outlineLvl w:val="0"/>
              <w:rPr>
                <w:rFonts w:ascii="Arial" w:eastAsia="Calibri" w:hAnsi="Arial" w:cs="Arial"/>
                <w:color w:val="000000"/>
                <w:sz w:val="17"/>
                <w:szCs w:val="17"/>
              </w:rPr>
            </w:pPr>
            <w:r w:rsidRPr="00736C15">
              <w:rPr>
                <w:rFonts w:ascii="Arial" w:eastAsia="Calibri" w:hAnsi="Arial" w:cs="Arial"/>
                <w:color w:val="000000"/>
                <w:sz w:val="17"/>
                <w:szCs w:val="17"/>
              </w:rPr>
              <w:t>Dionice inozemnih pravnih osoba - SWIFT</w:t>
            </w:r>
          </w:p>
        </w:tc>
        <w:tc>
          <w:tcPr>
            <w:tcW w:w="1060" w:type="dxa"/>
            <w:tcBorders>
              <w:top w:val="nil"/>
              <w:left w:val="nil"/>
              <w:bottom w:val="nil"/>
              <w:right w:val="nil"/>
            </w:tcBorders>
            <w:shd w:val="clear" w:color="auto" w:fill="auto"/>
            <w:vAlign w:val="bottom"/>
          </w:tcPr>
          <w:p w14:paraId="485D17A5" w14:textId="77777777" w:rsidR="00517D12" w:rsidRPr="00736C15" w:rsidRDefault="00517D12" w:rsidP="00D707D6">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1060" w:type="dxa"/>
            <w:tcBorders>
              <w:top w:val="nil"/>
              <w:left w:val="nil"/>
              <w:bottom w:val="nil"/>
              <w:right w:val="nil"/>
            </w:tcBorders>
            <w:shd w:val="clear" w:color="auto" w:fill="auto"/>
            <w:vAlign w:val="bottom"/>
          </w:tcPr>
          <w:p w14:paraId="3660E33E" w14:textId="77777777" w:rsidR="00517D12" w:rsidRPr="00736C15" w:rsidRDefault="00517D12" w:rsidP="00D707D6">
            <w:pPr>
              <w:tabs>
                <w:tab w:val="right" w:pos="1202"/>
              </w:tabs>
              <w:jc w:val="right"/>
              <w:outlineLvl w:val="0"/>
              <w:rPr>
                <w:rFonts w:ascii="Arial" w:eastAsia="Calibri" w:hAnsi="Arial" w:cs="Arial"/>
                <w:color w:val="000000"/>
                <w:sz w:val="17"/>
                <w:szCs w:val="17"/>
              </w:rPr>
            </w:pPr>
            <w:r w:rsidRPr="00AD7F10">
              <w:rPr>
                <w:rFonts w:ascii="Arial" w:eastAsia="Calibri" w:hAnsi="Arial" w:cs="Arial"/>
                <w:color w:val="000000"/>
                <w:sz w:val="17"/>
                <w:szCs w:val="17"/>
              </w:rPr>
              <w:t>8</w:t>
            </w:r>
          </w:p>
        </w:tc>
        <w:tc>
          <w:tcPr>
            <w:tcW w:w="1060" w:type="dxa"/>
            <w:tcBorders>
              <w:top w:val="nil"/>
              <w:left w:val="nil"/>
              <w:bottom w:val="nil"/>
              <w:right w:val="nil"/>
            </w:tcBorders>
            <w:shd w:val="clear" w:color="auto" w:fill="auto"/>
            <w:vAlign w:val="bottom"/>
          </w:tcPr>
          <w:p w14:paraId="3DFA943F" w14:textId="77777777" w:rsidR="00517D12" w:rsidRPr="00736C15" w:rsidRDefault="00517D12" w:rsidP="00D707D6">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r>
      <w:tr w:rsidR="00517D12" w:rsidRPr="00736C15" w14:paraId="7E2575BA" w14:textId="77777777" w:rsidTr="00D707D6">
        <w:trPr>
          <w:trHeight w:val="283"/>
          <w:jc w:val="center"/>
        </w:trPr>
        <w:tc>
          <w:tcPr>
            <w:tcW w:w="6094" w:type="dxa"/>
            <w:shd w:val="clear" w:color="auto" w:fill="auto"/>
            <w:vAlign w:val="bottom"/>
          </w:tcPr>
          <w:p w14:paraId="538DE648" w14:textId="77777777" w:rsidR="00517D12" w:rsidRPr="00736C15" w:rsidRDefault="00517D12" w:rsidP="00D707D6">
            <w:pPr>
              <w:tabs>
                <w:tab w:val="right" w:pos="1202"/>
              </w:tabs>
              <w:outlineLvl w:val="0"/>
              <w:rPr>
                <w:rFonts w:ascii="Arial" w:eastAsia="Calibri" w:hAnsi="Arial" w:cs="Arial"/>
                <w:color w:val="000000"/>
                <w:sz w:val="17"/>
                <w:szCs w:val="17"/>
              </w:rPr>
            </w:pPr>
            <w:r w:rsidRPr="00736C15">
              <w:rPr>
                <w:rFonts w:ascii="Arial" w:eastAsia="Calibri" w:hAnsi="Arial" w:cs="Arial"/>
                <w:color w:val="000000"/>
                <w:sz w:val="17"/>
                <w:szCs w:val="17"/>
              </w:rPr>
              <w:t>Dionice inozemnih financijskih institucija – EIF</w:t>
            </w:r>
          </w:p>
        </w:tc>
        <w:tc>
          <w:tcPr>
            <w:tcW w:w="1060" w:type="dxa"/>
            <w:tcBorders>
              <w:top w:val="nil"/>
              <w:left w:val="nil"/>
              <w:bottom w:val="nil"/>
              <w:right w:val="nil"/>
            </w:tcBorders>
            <w:shd w:val="clear" w:color="auto" w:fill="auto"/>
            <w:vAlign w:val="bottom"/>
          </w:tcPr>
          <w:p w14:paraId="05C82928" w14:textId="77777777" w:rsidR="00517D12" w:rsidRPr="00736C15" w:rsidRDefault="00517D12" w:rsidP="00D707D6">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1060" w:type="dxa"/>
            <w:tcBorders>
              <w:top w:val="nil"/>
              <w:left w:val="nil"/>
              <w:bottom w:val="nil"/>
              <w:right w:val="nil"/>
            </w:tcBorders>
            <w:shd w:val="clear" w:color="auto" w:fill="auto"/>
            <w:vAlign w:val="bottom"/>
          </w:tcPr>
          <w:p w14:paraId="6ADFA491" w14:textId="77777777" w:rsidR="00517D12" w:rsidRPr="00736C15" w:rsidRDefault="00517D12" w:rsidP="00D707D6">
            <w:pPr>
              <w:tabs>
                <w:tab w:val="right" w:pos="1202"/>
              </w:tabs>
              <w:jc w:val="right"/>
              <w:outlineLvl w:val="0"/>
              <w:rPr>
                <w:rFonts w:ascii="Arial" w:eastAsia="Calibri" w:hAnsi="Arial" w:cs="Arial"/>
                <w:color w:val="000000"/>
                <w:sz w:val="17"/>
                <w:szCs w:val="17"/>
              </w:rPr>
            </w:pPr>
            <w:r w:rsidRPr="00AD7F10">
              <w:rPr>
                <w:rFonts w:ascii="Arial" w:eastAsia="Calibri" w:hAnsi="Arial" w:cs="Arial"/>
                <w:color w:val="000000"/>
                <w:sz w:val="17"/>
                <w:szCs w:val="17"/>
              </w:rPr>
              <w:t>7.757</w:t>
            </w:r>
          </w:p>
        </w:tc>
        <w:tc>
          <w:tcPr>
            <w:tcW w:w="1060" w:type="dxa"/>
            <w:tcBorders>
              <w:top w:val="nil"/>
              <w:left w:val="nil"/>
              <w:bottom w:val="nil"/>
              <w:right w:val="nil"/>
            </w:tcBorders>
            <w:shd w:val="clear" w:color="auto" w:fill="auto"/>
            <w:vAlign w:val="bottom"/>
          </w:tcPr>
          <w:p w14:paraId="20B941FE" w14:textId="77777777" w:rsidR="00517D12" w:rsidRPr="00736C15" w:rsidRDefault="00517D12" w:rsidP="00D707D6">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r>
      <w:tr w:rsidR="00517D12" w:rsidRPr="00736C15" w14:paraId="403BBEDB" w14:textId="77777777" w:rsidTr="00D707D6">
        <w:trPr>
          <w:trHeight w:val="283"/>
          <w:jc w:val="center"/>
        </w:trPr>
        <w:tc>
          <w:tcPr>
            <w:tcW w:w="6094" w:type="dxa"/>
            <w:shd w:val="clear" w:color="auto" w:fill="auto"/>
            <w:vAlign w:val="bottom"/>
          </w:tcPr>
          <w:p w14:paraId="7E225335" w14:textId="77777777" w:rsidR="00517D12" w:rsidRPr="00736C15" w:rsidRDefault="00517D12" w:rsidP="00D707D6">
            <w:pPr>
              <w:tabs>
                <w:tab w:val="right" w:pos="1202"/>
              </w:tabs>
              <w:outlineLvl w:val="0"/>
              <w:rPr>
                <w:rFonts w:ascii="Arial" w:eastAsia="Calibri" w:hAnsi="Arial" w:cs="Arial"/>
                <w:b/>
                <w:color w:val="000000"/>
                <w:sz w:val="17"/>
                <w:szCs w:val="17"/>
              </w:rPr>
            </w:pPr>
            <w:r w:rsidRPr="00736C15">
              <w:rPr>
                <w:rFonts w:ascii="Arial" w:eastAsia="Calibri" w:hAnsi="Arial" w:cs="Arial"/>
                <w:b/>
                <w:color w:val="000000"/>
                <w:sz w:val="17"/>
                <w:szCs w:val="17"/>
              </w:rPr>
              <w:t>Ukupno vlasnički vrijednosni papiri</w:t>
            </w:r>
          </w:p>
        </w:tc>
        <w:tc>
          <w:tcPr>
            <w:tcW w:w="1060" w:type="dxa"/>
            <w:tcBorders>
              <w:top w:val="single" w:sz="4" w:space="0" w:color="auto"/>
              <w:left w:val="nil"/>
              <w:bottom w:val="single" w:sz="8" w:space="0" w:color="auto"/>
              <w:right w:val="nil"/>
            </w:tcBorders>
            <w:shd w:val="clear" w:color="auto" w:fill="auto"/>
            <w:vAlign w:val="bottom"/>
          </w:tcPr>
          <w:p w14:paraId="05DF152A" w14:textId="77777777" w:rsidR="00517D12" w:rsidRPr="00736C15" w:rsidRDefault="00517D12" w:rsidP="00D707D6">
            <w:pPr>
              <w:tabs>
                <w:tab w:val="right" w:pos="1202"/>
              </w:tabs>
              <w:jc w:val="right"/>
              <w:outlineLvl w:val="0"/>
              <w:rPr>
                <w:rFonts w:ascii="Arial" w:eastAsia="Calibri" w:hAnsi="Arial" w:cs="Arial"/>
                <w:b/>
                <w:bCs/>
                <w:color w:val="000000"/>
                <w:sz w:val="17"/>
                <w:szCs w:val="17"/>
              </w:rPr>
            </w:pPr>
            <w:r w:rsidRPr="00AD7F10">
              <w:rPr>
                <w:rFonts w:ascii="Arial" w:eastAsia="Calibri" w:hAnsi="Arial" w:cs="Arial"/>
                <w:b/>
                <w:color w:val="000000"/>
                <w:spacing w:val="-2"/>
                <w:sz w:val="17"/>
                <w:szCs w:val="17"/>
                <w:lang w:eastAsia="hr-HR"/>
              </w:rPr>
              <w:t>-</w:t>
            </w:r>
          </w:p>
        </w:tc>
        <w:tc>
          <w:tcPr>
            <w:tcW w:w="1060" w:type="dxa"/>
            <w:tcBorders>
              <w:top w:val="single" w:sz="4" w:space="0" w:color="auto"/>
              <w:left w:val="nil"/>
              <w:bottom w:val="single" w:sz="8" w:space="0" w:color="auto"/>
              <w:right w:val="nil"/>
            </w:tcBorders>
            <w:shd w:val="clear" w:color="auto" w:fill="auto"/>
            <w:vAlign w:val="bottom"/>
          </w:tcPr>
          <w:p w14:paraId="5A3B97F1" w14:textId="77777777" w:rsidR="00517D12" w:rsidRPr="00736C15" w:rsidRDefault="00517D12" w:rsidP="00D707D6">
            <w:pPr>
              <w:tabs>
                <w:tab w:val="right" w:pos="1202"/>
              </w:tabs>
              <w:jc w:val="right"/>
              <w:outlineLvl w:val="0"/>
              <w:rPr>
                <w:rFonts w:ascii="Arial" w:eastAsia="Calibri" w:hAnsi="Arial" w:cs="Arial"/>
                <w:b/>
                <w:bCs/>
                <w:color w:val="000000"/>
                <w:sz w:val="17"/>
                <w:szCs w:val="17"/>
              </w:rPr>
            </w:pPr>
            <w:r w:rsidRPr="00AD7F10">
              <w:rPr>
                <w:rFonts w:ascii="Arial" w:eastAsia="Calibri" w:hAnsi="Arial" w:cs="Arial"/>
                <w:b/>
                <w:color w:val="000000"/>
                <w:spacing w:val="-2"/>
                <w:sz w:val="17"/>
                <w:szCs w:val="17"/>
                <w:lang w:eastAsia="hr-HR"/>
              </w:rPr>
              <w:t>7.765</w:t>
            </w:r>
          </w:p>
        </w:tc>
        <w:tc>
          <w:tcPr>
            <w:tcW w:w="1060" w:type="dxa"/>
            <w:tcBorders>
              <w:top w:val="single" w:sz="4" w:space="0" w:color="auto"/>
              <w:left w:val="nil"/>
              <w:bottom w:val="single" w:sz="8" w:space="0" w:color="auto"/>
              <w:right w:val="nil"/>
            </w:tcBorders>
            <w:shd w:val="clear" w:color="auto" w:fill="auto"/>
            <w:vAlign w:val="bottom"/>
          </w:tcPr>
          <w:p w14:paraId="3B40CE6B" w14:textId="77777777" w:rsidR="00517D12" w:rsidRPr="00736C15" w:rsidRDefault="00517D12" w:rsidP="00D707D6">
            <w:pPr>
              <w:tabs>
                <w:tab w:val="right" w:pos="1202"/>
              </w:tabs>
              <w:jc w:val="right"/>
              <w:outlineLvl w:val="0"/>
              <w:rPr>
                <w:rFonts w:ascii="Arial" w:eastAsia="Calibri" w:hAnsi="Arial" w:cs="Arial"/>
                <w:b/>
                <w:bCs/>
                <w:color w:val="000000"/>
                <w:sz w:val="17"/>
                <w:szCs w:val="17"/>
              </w:rPr>
            </w:pPr>
            <w:r w:rsidRPr="00AD7F10">
              <w:rPr>
                <w:rFonts w:ascii="Arial" w:eastAsia="Calibri" w:hAnsi="Arial" w:cs="Arial"/>
                <w:b/>
                <w:color w:val="000000"/>
                <w:spacing w:val="-2"/>
                <w:sz w:val="17"/>
                <w:szCs w:val="17"/>
                <w:lang w:eastAsia="hr-HR"/>
              </w:rPr>
              <w:t>-</w:t>
            </w:r>
          </w:p>
        </w:tc>
      </w:tr>
      <w:tr w:rsidR="00517D12" w:rsidRPr="00736C15" w14:paraId="22C10BD4" w14:textId="77777777" w:rsidTr="00D707D6">
        <w:trPr>
          <w:trHeight w:val="283"/>
          <w:jc w:val="center"/>
        </w:trPr>
        <w:tc>
          <w:tcPr>
            <w:tcW w:w="6094" w:type="dxa"/>
            <w:shd w:val="clear" w:color="auto" w:fill="auto"/>
            <w:vAlign w:val="bottom"/>
          </w:tcPr>
          <w:p w14:paraId="4F15A52F" w14:textId="77777777" w:rsidR="00517D12" w:rsidRPr="00736C15" w:rsidRDefault="00517D12" w:rsidP="00D707D6">
            <w:pPr>
              <w:tabs>
                <w:tab w:val="right" w:pos="1202"/>
              </w:tabs>
              <w:outlineLvl w:val="0"/>
              <w:rPr>
                <w:rFonts w:ascii="Arial" w:eastAsia="Calibri" w:hAnsi="Arial" w:cs="Arial"/>
                <w:b/>
                <w:color w:val="000000"/>
                <w:sz w:val="17"/>
                <w:szCs w:val="17"/>
              </w:rPr>
            </w:pPr>
            <w:r w:rsidRPr="00736C15">
              <w:rPr>
                <w:rFonts w:ascii="Arial" w:eastAsia="Calibri" w:hAnsi="Arial" w:cs="Arial"/>
                <w:b/>
                <w:color w:val="000000"/>
                <w:sz w:val="17"/>
                <w:szCs w:val="17"/>
              </w:rPr>
              <w:t>Ukupno imovina po fer vrijednosti kroz ostalu sveobuhvatnu dobit</w:t>
            </w:r>
          </w:p>
        </w:tc>
        <w:tc>
          <w:tcPr>
            <w:tcW w:w="1060" w:type="dxa"/>
            <w:tcBorders>
              <w:top w:val="single" w:sz="12" w:space="0" w:color="auto"/>
              <w:left w:val="nil"/>
              <w:bottom w:val="single" w:sz="12" w:space="0" w:color="auto"/>
              <w:right w:val="nil"/>
            </w:tcBorders>
            <w:shd w:val="clear" w:color="auto" w:fill="auto"/>
            <w:vAlign w:val="bottom"/>
          </w:tcPr>
          <w:p w14:paraId="0C6EDCCF" w14:textId="77777777" w:rsidR="00517D12" w:rsidRPr="00736C15" w:rsidRDefault="00517D12" w:rsidP="00D707D6">
            <w:pPr>
              <w:tabs>
                <w:tab w:val="right" w:pos="1202"/>
              </w:tabs>
              <w:jc w:val="right"/>
              <w:outlineLvl w:val="0"/>
              <w:rPr>
                <w:rFonts w:ascii="Arial" w:eastAsia="Calibri" w:hAnsi="Arial" w:cs="Arial"/>
                <w:b/>
                <w:color w:val="000000"/>
                <w:sz w:val="17"/>
                <w:szCs w:val="17"/>
              </w:rPr>
            </w:pPr>
            <w:r w:rsidRPr="00AD7F10">
              <w:rPr>
                <w:rFonts w:ascii="Arial" w:eastAsia="Calibri" w:hAnsi="Arial" w:cs="Arial"/>
                <w:b/>
                <w:color w:val="000000"/>
                <w:spacing w:val="-2"/>
                <w:sz w:val="17"/>
                <w:szCs w:val="17"/>
                <w:lang w:eastAsia="hr-HR"/>
              </w:rPr>
              <w:t>220.815</w:t>
            </w:r>
          </w:p>
        </w:tc>
        <w:tc>
          <w:tcPr>
            <w:tcW w:w="1060" w:type="dxa"/>
            <w:tcBorders>
              <w:top w:val="single" w:sz="12" w:space="0" w:color="auto"/>
              <w:left w:val="nil"/>
              <w:bottom w:val="single" w:sz="12" w:space="0" w:color="auto"/>
              <w:right w:val="nil"/>
            </w:tcBorders>
            <w:shd w:val="clear" w:color="auto" w:fill="auto"/>
            <w:vAlign w:val="bottom"/>
          </w:tcPr>
          <w:p w14:paraId="1419B7C9" w14:textId="77777777" w:rsidR="00517D12" w:rsidRPr="00736C15" w:rsidRDefault="00517D12" w:rsidP="00D707D6">
            <w:pPr>
              <w:tabs>
                <w:tab w:val="right" w:pos="1202"/>
              </w:tabs>
              <w:jc w:val="right"/>
              <w:outlineLvl w:val="0"/>
              <w:rPr>
                <w:rFonts w:ascii="Arial" w:eastAsia="Calibri" w:hAnsi="Arial" w:cs="Arial"/>
                <w:b/>
                <w:color w:val="000000"/>
                <w:sz w:val="17"/>
                <w:szCs w:val="17"/>
              </w:rPr>
            </w:pPr>
            <w:r w:rsidRPr="00AD7F10">
              <w:rPr>
                <w:rFonts w:ascii="Arial" w:eastAsia="Calibri" w:hAnsi="Arial" w:cs="Arial"/>
                <w:b/>
                <w:color w:val="000000"/>
                <w:spacing w:val="-2"/>
                <w:sz w:val="17"/>
                <w:szCs w:val="17"/>
                <w:lang w:eastAsia="hr-HR"/>
              </w:rPr>
              <w:t>7.765</w:t>
            </w:r>
          </w:p>
        </w:tc>
        <w:tc>
          <w:tcPr>
            <w:tcW w:w="1060" w:type="dxa"/>
            <w:tcBorders>
              <w:top w:val="single" w:sz="12" w:space="0" w:color="auto"/>
              <w:left w:val="nil"/>
              <w:bottom w:val="single" w:sz="12" w:space="0" w:color="auto"/>
              <w:right w:val="nil"/>
            </w:tcBorders>
            <w:shd w:val="clear" w:color="auto" w:fill="auto"/>
            <w:vAlign w:val="bottom"/>
          </w:tcPr>
          <w:p w14:paraId="39AC518B" w14:textId="77777777" w:rsidR="00517D12" w:rsidRPr="00736C15" w:rsidRDefault="00517D12" w:rsidP="00D707D6">
            <w:pPr>
              <w:tabs>
                <w:tab w:val="right" w:pos="1202"/>
              </w:tabs>
              <w:jc w:val="right"/>
              <w:outlineLvl w:val="0"/>
              <w:rPr>
                <w:rFonts w:ascii="Arial" w:eastAsia="Calibri" w:hAnsi="Arial" w:cs="Arial"/>
                <w:b/>
                <w:color w:val="000000"/>
                <w:sz w:val="17"/>
                <w:szCs w:val="17"/>
              </w:rPr>
            </w:pPr>
            <w:r w:rsidRPr="00AD7F10">
              <w:rPr>
                <w:rFonts w:ascii="Arial" w:eastAsia="Calibri" w:hAnsi="Arial" w:cs="Arial"/>
                <w:b/>
                <w:color w:val="000000"/>
                <w:spacing w:val="-2"/>
                <w:sz w:val="17"/>
                <w:szCs w:val="17"/>
                <w:lang w:eastAsia="hr-HR"/>
              </w:rPr>
              <w:t>278</w:t>
            </w:r>
          </w:p>
        </w:tc>
      </w:tr>
      <w:tr w:rsidR="00517D12" w:rsidRPr="00736C15" w14:paraId="39F951FD" w14:textId="77777777" w:rsidTr="00D707D6">
        <w:trPr>
          <w:trHeight w:val="283"/>
          <w:jc w:val="center"/>
        </w:trPr>
        <w:tc>
          <w:tcPr>
            <w:tcW w:w="6094" w:type="dxa"/>
            <w:shd w:val="clear" w:color="auto" w:fill="auto"/>
            <w:vAlign w:val="bottom"/>
          </w:tcPr>
          <w:p w14:paraId="62EF7EAF" w14:textId="77777777" w:rsidR="00517D12" w:rsidRPr="00D46628" w:rsidRDefault="00517D12" w:rsidP="00D707D6">
            <w:pPr>
              <w:tabs>
                <w:tab w:val="right" w:pos="1202"/>
              </w:tabs>
              <w:outlineLvl w:val="0"/>
              <w:rPr>
                <w:rFonts w:ascii="Arial" w:eastAsia="Calibri" w:hAnsi="Arial" w:cs="Arial"/>
                <w:b/>
                <w:color w:val="000000"/>
                <w:sz w:val="17"/>
                <w:szCs w:val="17"/>
              </w:rPr>
            </w:pPr>
            <w:r w:rsidRPr="00D46628">
              <w:rPr>
                <w:rFonts w:ascii="Arial" w:eastAsia="Calibri" w:hAnsi="Arial" w:cs="Arial"/>
                <w:b/>
                <w:color w:val="000000"/>
                <w:sz w:val="17"/>
                <w:szCs w:val="17"/>
              </w:rPr>
              <w:t>Derivativne financijske obveze</w:t>
            </w:r>
          </w:p>
        </w:tc>
        <w:tc>
          <w:tcPr>
            <w:tcW w:w="1060" w:type="dxa"/>
            <w:tcBorders>
              <w:top w:val="single" w:sz="12" w:space="0" w:color="auto"/>
              <w:left w:val="nil"/>
              <w:bottom w:val="single" w:sz="4" w:space="0" w:color="auto"/>
              <w:right w:val="nil"/>
            </w:tcBorders>
            <w:shd w:val="clear" w:color="auto" w:fill="auto"/>
            <w:vAlign w:val="bottom"/>
          </w:tcPr>
          <w:p w14:paraId="18DBE208" w14:textId="77777777" w:rsidR="00517D12" w:rsidRPr="00F959D0" w:rsidRDefault="00517D12" w:rsidP="00D707D6">
            <w:pPr>
              <w:tabs>
                <w:tab w:val="right" w:pos="1202"/>
              </w:tabs>
              <w:jc w:val="right"/>
              <w:outlineLvl w:val="0"/>
              <w:rPr>
                <w:rFonts w:ascii="Arial" w:eastAsia="Calibri" w:hAnsi="Arial" w:cs="Arial"/>
                <w:b/>
                <w:color w:val="000000"/>
                <w:spacing w:val="-2"/>
                <w:sz w:val="17"/>
                <w:szCs w:val="17"/>
                <w:highlight w:val="yellow"/>
                <w:lang w:eastAsia="hr-HR"/>
              </w:rPr>
            </w:pPr>
          </w:p>
        </w:tc>
        <w:tc>
          <w:tcPr>
            <w:tcW w:w="1060" w:type="dxa"/>
            <w:tcBorders>
              <w:top w:val="single" w:sz="12" w:space="0" w:color="auto"/>
              <w:left w:val="nil"/>
              <w:bottom w:val="single" w:sz="4" w:space="0" w:color="auto"/>
              <w:right w:val="nil"/>
            </w:tcBorders>
            <w:shd w:val="clear" w:color="auto" w:fill="auto"/>
            <w:vAlign w:val="bottom"/>
          </w:tcPr>
          <w:p w14:paraId="467B1A4F" w14:textId="77777777" w:rsidR="00517D12" w:rsidRPr="00F959D0" w:rsidRDefault="00517D12" w:rsidP="00D707D6">
            <w:pPr>
              <w:tabs>
                <w:tab w:val="right" w:pos="1202"/>
              </w:tabs>
              <w:jc w:val="right"/>
              <w:outlineLvl w:val="0"/>
              <w:rPr>
                <w:rFonts w:ascii="Arial" w:eastAsia="Calibri" w:hAnsi="Arial" w:cs="Arial"/>
                <w:b/>
                <w:color w:val="000000"/>
                <w:spacing w:val="-2"/>
                <w:sz w:val="17"/>
                <w:szCs w:val="17"/>
                <w:highlight w:val="yellow"/>
                <w:lang w:eastAsia="hr-HR"/>
              </w:rPr>
            </w:pPr>
          </w:p>
        </w:tc>
        <w:tc>
          <w:tcPr>
            <w:tcW w:w="1060" w:type="dxa"/>
            <w:tcBorders>
              <w:top w:val="single" w:sz="12" w:space="0" w:color="auto"/>
              <w:left w:val="nil"/>
              <w:bottom w:val="single" w:sz="4" w:space="0" w:color="auto"/>
              <w:right w:val="nil"/>
            </w:tcBorders>
            <w:shd w:val="clear" w:color="auto" w:fill="auto"/>
            <w:vAlign w:val="bottom"/>
          </w:tcPr>
          <w:p w14:paraId="7BAD1486" w14:textId="77777777" w:rsidR="00517D12" w:rsidRPr="00F959D0" w:rsidRDefault="00517D12" w:rsidP="00D707D6">
            <w:pPr>
              <w:tabs>
                <w:tab w:val="right" w:pos="1202"/>
              </w:tabs>
              <w:jc w:val="right"/>
              <w:outlineLvl w:val="0"/>
              <w:rPr>
                <w:rFonts w:ascii="Arial" w:eastAsia="Calibri" w:hAnsi="Arial" w:cs="Arial"/>
                <w:b/>
                <w:color w:val="000000"/>
                <w:spacing w:val="-2"/>
                <w:sz w:val="17"/>
                <w:szCs w:val="17"/>
                <w:highlight w:val="yellow"/>
                <w:lang w:eastAsia="hr-HR"/>
              </w:rPr>
            </w:pPr>
          </w:p>
        </w:tc>
      </w:tr>
      <w:tr w:rsidR="00517D12" w:rsidRPr="00736C15" w14:paraId="73F60234" w14:textId="77777777" w:rsidTr="00D707D6">
        <w:trPr>
          <w:trHeight w:val="283"/>
          <w:jc w:val="center"/>
        </w:trPr>
        <w:tc>
          <w:tcPr>
            <w:tcW w:w="6094" w:type="dxa"/>
            <w:shd w:val="clear" w:color="auto" w:fill="auto"/>
            <w:vAlign w:val="bottom"/>
          </w:tcPr>
          <w:p w14:paraId="2CCB33BF" w14:textId="77777777" w:rsidR="00517D12" w:rsidRPr="00F959D0" w:rsidRDefault="00517D12" w:rsidP="00D707D6">
            <w:pPr>
              <w:tabs>
                <w:tab w:val="right" w:pos="1202"/>
              </w:tabs>
              <w:outlineLvl w:val="0"/>
              <w:rPr>
                <w:rFonts w:ascii="Arial" w:eastAsia="Calibri" w:hAnsi="Arial" w:cs="Arial"/>
                <w:bCs/>
                <w:color w:val="000000"/>
                <w:sz w:val="17"/>
                <w:szCs w:val="17"/>
              </w:rPr>
            </w:pPr>
            <w:r w:rsidRPr="00F959D0">
              <w:rPr>
                <w:rFonts w:ascii="Arial" w:eastAsia="Calibri" w:hAnsi="Arial" w:cs="Arial"/>
                <w:bCs/>
                <w:color w:val="000000"/>
                <w:sz w:val="17"/>
                <w:szCs w:val="17"/>
              </w:rPr>
              <w:t>FX swap</w:t>
            </w:r>
          </w:p>
        </w:tc>
        <w:tc>
          <w:tcPr>
            <w:tcW w:w="1060" w:type="dxa"/>
            <w:tcBorders>
              <w:top w:val="single" w:sz="4" w:space="0" w:color="auto"/>
              <w:left w:val="nil"/>
              <w:bottom w:val="single" w:sz="12" w:space="0" w:color="auto"/>
              <w:right w:val="nil"/>
            </w:tcBorders>
            <w:shd w:val="clear" w:color="auto" w:fill="auto"/>
            <w:vAlign w:val="bottom"/>
          </w:tcPr>
          <w:p w14:paraId="0A8D0241" w14:textId="77777777" w:rsidR="00517D12" w:rsidRPr="00D46628" w:rsidRDefault="00517D12" w:rsidP="00D707D6">
            <w:pPr>
              <w:tabs>
                <w:tab w:val="right" w:pos="1202"/>
              </w:tabs>
              <w:jc w:val="right"/>
              <w:outlineLvl w:val="0"/>
              <w:rPr>
                <w:rFonts w:ascii="Arial" w:eastAsia="Calibri" w:hAnsi="Arial" w:cs="Arial"/>
                <w:b/>
                <w:color w:val="000000"/>
                <w:spacing w:val="-2"/>
                <w:sz w:val="17"/>
                <w:szCs w:val="17"/>
                <w:lang w:eastAsia="hr-HR"/>
              </w:rPr>
            </w:pPr>
            <w:r w:rsidRPr="00F959D0">
              <w:rPr>
                <w:rFonts w:ascii="Arial" w:eastAsia="Calibri" w:hAnsi="Arial" w:cs="Arial"/>
                <w:b/>
                <w:color w:val="000000"/>
                <w:spacing w:val="-2"/>
                <w:sz w:val="17"/>
                <w:szCs w:val="17"/>
                <w:lang w:eastAsia="hr-HR"/>
              </w:rPr>
              <w:t>-</w:t>
            </w:r>
          </w:p>
        </w:tc>
        <w:tc>
          <w:tcPr>
            <w:tcW w:w="1060" w:type="dxa"/>
            <w:tcBorders>
              <w:top w:val="single" w:sz="4" w:space="0" w:color="auto"/>
              <w:left w:val="nil"/>
              <w:bottom w:val="single" w:sz="12" w:space="0" w:color="auto"/>
              <w:right w:val="nil"/>
            </w:tcBorders>
            <w:shd w:val="clear" w:color="auto" w:fill="auto"/>
            <w:vAlign w:val="bottom"/>
          </w:tcPr>
          <w:p w14:paraId="5E9C1F40" w14:textId="77777777" w:rsidR="00517D12" w:rsidRPr="00D46628" w:rsidRDefault="00517D12" w:rsidP="00D707D6">
            <w:pPr>
              <w:tabs>
                <w:tab w:val="right" w:pos="1202"/>
              </w:tabs>
              <w:jc w:val="right"/>
              <w:outlineLvl w:val="0"/>
              <w:rPr>
                <w:rFonts w:ascii="Arial" w:eastAsia="Calibri" w:hAnsi="Arial" w:cs="Arial"/>
                <w:b/>
                <w:color w:val="000000"/>
                <w:spacing w:val="-2"/>
                <w:sz w:val="17"/>
                <w:szCs w:val="17"/>
                <w:lang w:eastAsia="hr-HR"/>
              </w:rPr>
            </w:pPr>
            <w:r w:rsidRPr="00F959D0">
              <w:rPr>
                <w:rFonts w:ascii="Arial" w:eastAsia="Calibri" w:hAnsi="Arial" w:cs="Arial"/>
                <w:b/>
                <w:color w:val="000000"/>
                <w:spacing w:val="-2"/>
                <w:sz w:val="17"/>
                <w:szCs w:val="17"/>
                <w:lang w:eastAsia="hr-HR"/>
              </w:rPr>
              <w:t>100</w:t>
            </w:r>
          </w:p>
        </w:tc>
        <w:tc>
          <w:tcPr>
            <w:tcW w:w="1060" w:type="dxa"/>
            <w:tcBorders>
              <w:top w:val="single" w:sz="4" w:space="0" w:color="auto"/>
              <w:left w:val="nil"/>
              <w:bottom w:val="single" w:sz="12" w:space="0" w:color="auto"/>
              <w:right w:val="nil"/>
            </w:tcBorders>
            <w:shd w:val="clear" w:color="auto" w:fill="auto"/>
            <w:vAlign w:val="bottom"/>
          </w:tcPr>
          <w:p w14:paraId="2667B776" w14:textId="77777777" w:rsidR="00517D12" w:rsidRPr="00D46628" w:rsidRDefault="00517D12" w:rsidP="00D707D6">
            <w:pPr>
              <w:tabs>
                <w:tab w:val="right" w:pos="1202"/>
              </w:tabs>
              <w:jc w:val="right"/>
              <w:outlineLvl w:val="0"/>
              <w:rPr>
                <w:rFonts w:ascii="Arial" w:eastAsia="Calibri" w:hAnsi="Arial" w:cs="Arial"/>
                <w:b/>
                <w:color w:val="000000"/>
                <w:spacing w:val="-2"/>
                <w:sz w:val="17"/>
                <w:szCs w:val="17"/>
                <w:lang w:eastAsia="hr-HR"/>
              </w:rPr>
            </w:pPr>
            <w:r w:rsidRPr="00F959D0">
              <w:rPr>
                <w:rFonts w:ascii="Arial" w:eastAsia="Calibri" w:hAnsi="Arial" w:cs="Arial"/>
                <w:b/>
                <w:color w:val="000000"/>
                <w:spacing w:val="-2"/>
                <w:sz w:val="17"/>
                <w:szCs w:val="17"/>
                <w:lang w:eastAsia="hr-HR"/>
              </w:rPr>
              <w:t>-</w:t>
            </w:r>
          </w:p>
        </w:tc>
      </w:tr>
      <w:tr w:rsidR="00517D12" w:rsidRPr="00736C15" w14:paraId="3B77B5D9" w14:textId="77777777" w:rsidTr="00D707D6">
        <w:trPr>
          <w:trHeight w:val="283"/>
          <w:jc w:val="center"/>
        </w:trPr>
        <w:tc>
          <w:tcPr>
            <w:tcW w:w="6094" w:type="dxa"/>
            <w:shd w:val="clear" w:color="auto" w:fill="auto"/>
            <w:vAlign w:val="bottom"/>
          </w:tcPr>
          <w:p w14:paraId="3FBF8B03" w14:textId="77777777" w:rsidR="00517D12" w:rsidRPr="00D46628" w:rsidRDefault="00517D12" w:rsidP="00D707D6">
            <w:pPr>
              <w:tabs>
                <w:tab w:val="right" w:pos="1202"/>
              </w:tabs>
              <w:outlineLvl w:val="0"/>
              <w:rPr>
                <w:rFonts w:ascii="Arial" w:eastAsia="Calibri" w:hAnsi="Arial" w:cs="Arial"/>
                <w:b/>
                <w:color w:val="000000"/>
                <w:sz w:val="17"/>
                <w:szCs w:val="17"/>
              </w:rPr>
            </w:pPr>
            <w:r w:rsidRPr="00D46628">
              <w:rPr>
                <w:rFonts w:ascii="Arial" w:eastAsia="Calibri" w:hAnsi="Arial" w:cs="Arial"/>
                <w:b/>
                <w:color w:val="000000"/>
                <w:sz w:val="17"/>
                <w:szCs w:val="17"/>
              </w:rPr>
              <w:t>Ukupno obveze</w:t>
            </w:r>
          </w:p>
        </w:tc>
        <w:tc>
          <w:tcPr>
            <w:tcW w:w="1060" w:type="dxa"/>
            <w:tcBorders>
              <w:top w:val="single" w:sz="12" w:space="0" w:color="auto"/>
              <w:left w:val="nil"/>
              <w:bottom w:val="single" w:sz="12" w:space="0" w:color="auto"/>
              <w:right w:val="nil"/>
            </w:tcBorders>
            <w:shd w:val="clear" w:color="auto" w:fill="auto"/>
            <w:vAlign w:val="bottom"/>
          </w:tcPr>
          <w:p w14:paraId="3244D153" w14:textId="77777777" w:rsidR="00517D12" w:rsidRPr="00D46628" w:rsidRDefault="00517D12" w:rsidP="00D707D6">
            <w:pPr>
              <w:tabs>
                <w:tab w:val="right" w:pos="1202"/>
              </w:tabs>
              <w:jc w:val="right"/>
              <w:outlineLvl w:val="0"/>
              <w:rPr>
                <w:rFonts w:ascii="Arial" w:eastAsia="Calibri" w:hAnsi="Arial" w:cs="Arial"/>
                <w:b/>
                <w:color w:val="000000"/>
                <w:spacing w:val="-2"/>
                <w:sz w:val="17"/>
                <w:szCs w:val="17"/>
                <w:lang w:eastAsia="hr-HR"/>
              </w:rPr>
            </w:pPr>
            <w:r w:rsidRPr="00F959D0">
              <w:rPr>
                <w:rFonts w:ascii="Arial" w:eastAsia="Calibri" w:hAnsi="Arial" w:cs="Arial"/>
                <w:b/>
                <w:color w:val="000000"/>
                <w:spacing w:val="-2"/>
                <w:sz w:val="17"/>
                <w:szCs w:val="17"/>
                <w:lang w:eastAsia="hr-HR"/>
              </w:rPr>
              <w:t>-</w:t>
            </w:r>
          </w:p>
        </w:tc>
        <w:tc>
          <w:tcPr>
            <w:tcW w:w="1060" w:type="dxa"/>
            <w:tcBorders>
              <w:top w:val="single" w:sz="12" w:space="0" w:color="auto"/>
              <w:left w:val="nil"/>
              <w:bottom w:val="single" w:sz="12" w:space="0" w:color="auto"/>
              <w:right w:val="nil"/>
            </w:tcBorders>
            <w:shd w:val="clear" w:color="auto" w:fill="auto"/>
            <w:vAlign w:val="bottom"/>
          </w:tcPr>
          <w:p w14:paraId="151F31D3" w14:textId="77777777" w:rsidR="00517D12" w:rsidRPr="00D46628" w:rsidRDefault="00517D12" w:rsidP="00D707D6">
            <w:pPr>
              <w:tabs>
                <w:tab w:val="right" w:pos="1202"/>
              </w:tabs>
              <w:jc w:val="right"/>
              <w:outlineLvl w:val="0"/>
              <w:rPr>
                <w:rFonts w:ascii="Arial" w:eastAsia="Calibri" w:hAnsi="Arial" w:cs="Arial"/>
                <w:b/>
                <w:color w:val="000000"/>
                <w:spacing w:val="-2"/>
                <w:sz w:val="17"/>
                <w:szCs w:val="17"/>
                <w:lang w:eastAsia="hr-HR"/>
              </w:rPr>
            </w:pPr>
            <w:r w:rsidRPr="00F959D0">
              <w:rPr>
                <w:rFonts w:ascii="Arial" w:eastAsia="Calibri" w:hAnsi="Arial" w:cs="Arial"/>
                <w:b/>
                <w:color w:val="000000"/>
                <w:spacing w:val="-2"/>
                <w:sz w:val="17"/>
                <w:szCs w:val="17"/>
                <w:lang w:eastAsia="hr-HR"/>
              </w:rPr>
              <w:t>100</w:t>
            </w:r>
          </w:p>
        </w:tc>
        <w:tc>
          <w:tcPr>
            <w:tcW w:w="1060" w:type="dxa"/>
            <w:tcBorders>
              <w:top w:val="single" w:sz="12" w:space="0" w:color="auto"/>
              <w:left w:val="nil"/>
              <w:bottom w:val="single" w:sz="12" w:space="0" w:color="auto"/>
              <w:right w:val="nil"/>
            </w:tcBorders>
            <w:shd w:val="clear" w:color="auto" w:fill="auto"/>
            <w:vAlign w:val="bottom"/>
          </w:tcPr>
          <w:p w14:paraId="68C728DE" w14:textId="77777777" w:rsidR="00517D12" w:rsidRPr="00D46628" w:rsidRDefault="00517D12" w:rsidP="00D707D6">
            <w:pPr>
              <w:tabs>
                <w:tab w:val="right" w:pos="1202"/>
              </w:tabs>
              <w:jc w:val="right"/>
              <w:outlineLvl w:val="0"/>
              <w:rPr>
                <w:rFonts w:ascii="Arial" w:eastAsia="Calibri" w:hAnsi="Arial" w:cs="Arial"/>
                <w:b/>
                <w:color w:val="000000"/>
                <w:spacing w:val="-2"/>
                <w:sz w:val="17"/>
                <w:szCs w:val="17"/>
                <w:lang w:eastAsia="hr-HR"/>
              </w:rPr>
            </w:pPr>
            <w:r w:rsidRPr="00F959D0">
              <w:rPr>
                <w:rFonts w:ascii="Arial" w:eastAsia="Calibri" w:hAnsi="Arial" w:cs="Arial"/>
                <w:b/>
                <w:color w:val="000000"/>
                <w:spacing w:val="-2"/>
                <w:sz w:val="17"/>
                <w:szCs w:val="17"/>
                <w:lang w:eastAsia="hr-HR"/>
              </w:rPr>
              <w:t>-</w:t>
            </w:r>
          </w:p>
        </w:tc>
      </w:tr>
    </w:tbl>
    <w:p w14:paraId="29433613" w14:textId="229A29F9" w:rsidR="00CA60FA" w:rsidRPr="003D1614" w:rsidRDefault="00CA60FA" w:rsidP="00CA60FA">
      <w:pPr>
        <w:tabs>
          <w:tab w:val="right" w:pos="1202"/>
        </w:tabs>
        <w:suppressAutoHyphens/>
        <w:autoSpaceDN w:val="0"/>
        <w:jc w:val="both"/>
        <w:outlineLvl w:val="0"/>
        <w:rPr>
          <w:rFonts w:ascii="Arial" w:eastAsia="Times New Roman" w:hAnsi="Arial" w:cs="Arial"/>
          <w:i/>
          <w:color w:val="000000" w:themeColor="text1"/>
          <w:sz w:val="18"/>
          <w:szCs w:val="18"/>
        </w:rPr>
      </w:pPr>
    </w:p>
    <w:p w14:paraId="0F48F1B4" w14:textId="7C6D3B5D" w:rsidR="00CA60FA" w:rsidRPr="003D1614" w:rsidRDefault="00CA60FA" w:rsidP="00CA60FA">
      <w:pPr>
        <w:tabs>
          <w:tab w:val="right" w:pos="1202"/>
        </w:tabs>
        <w:suppressAutoHyphens/>
        <w:autoSpaceDN w:val="0"/>
        <w:jc w:val="both"/>
        <w:outlineLvl w:val="0"/>
        <w:rPr>
          <w:rFonts w:ascii="Arial" w:eastAsia="Times New Roman" w:hAnsi="Arial" w:cs="Arial"/>
          <w:i/>
          <w:color w:val="000000" w:themeColor="text1"/>
          <w:sz w:val="18"/>
          <w:szCs w:val="18"/>
        </w:rPr>
      </w:pPr>
    </w:p>
    <w:p w14:paraId="058B48BD" w14:textId="77777777" w:rsidR="00CA60FA" w:rsidRPr="003D1614" w:rsidRDefault="00CA60FA" w:rsidP="00CA60FA">
      <w:pPr>
        <w:tabs>
          <w:tab w:val="right" w:pos="1202"/>
        </w:tabs>
        <w:suppressAutoHyphens/>
        <w:autoSpaceDN w:val="0"/>
        <w:jc w:val="both"/>
        <w:outlineLvl w:val="0"/>
        <w:rPr>
          <w:rFonts w:ascii="Arial" w:eastAsia="Times New Roman" w:hAnsi="Arial" w:cs="Arial"/>
          <w:i/>
          <w:color w:val="000000" w:themeColor="text1"/>
          <w:sz w:val="18"/>
          <w:szCs w:val="18"/>
        </w:rPr>
      </w:pPr>
    </w:p>
    <w:p w14:paraId="6371DF8E" w14:textId="77777777" w:rsidR="00CA60FA" w:rsidRPr="003D1614" w:rsidRDefault="00CA60FA" w:rsidP="006A67A0">
      <w:pPr>
        <w:tabs>
          <w:tab w:val="right" w:pos="1202"/>
        </w:tabs>
        <w:suppressAutoHyphens/>
        <w:autoSpaceDN w:val="0"/>
        <w:jc w:val="both"/>
        <w:outlineLvl w:val="0"/>
        <w:rPr>
          <w:rFonts w:ascii="Arial" w:eastAsia="Times New Roman" w:hAnsi="Arial" w:cs="Arial"/>
          <w:i/>
          <w:color w:val="000000" w:themeColor="text1"/>
          <w:sz w:val="18"/>
          <w:szCs w:val="18"/>
        </w:rPr>
        <w:sectPr w:rsidR="00CA60FA" w:rsidRPr="003D1614" w:rsidSect="003278AB">
          <w:pgSz w:w="11906" w:h="16838"/>
          <w:pgMar w:top="1417" w:right="1417" w:bottom="1417" w:left="1417" w:header="708" w:footer="708" w:gutter="0"/>
          <w:cols w:space="708"/>
          <w:docGrid w:linePitch="360"/>
        </w:sectPr>
      </w:pPr>
    </w:p>
    <w:p w14:paraId="20ECC4FA" w14:textId="77777777" w:rsidR="00CA60FA" w:rsidRPr="003D1614" w:rsidRDefault="00CA60FA" w:rsidP="00CA60FA">
      <w:pPr>
        <w:tabs>
          <w:tab w:val="right" w:pos="1202"/>
        </w:tabs>
        <w:suppressAutoHyphens/>
        <w:autoSpaceDN w:val="0"/>
        <w:jc w:val="both"/>
        <w:outlineLvl w:val="0"/>
        <w:rPr>
          <w:rFonts w:ascii="Arial" w:eastAsia="Times New Roman" w:hAnsi="Arial" w:cs="Arial"/>
          <w:i/>
          <w:color w:val="000000" w:themeColor="text1"/>
          <w:sz w:val="18"/>
          <w:szCs w:val="18"/>
        </w:rPr>
      </w:pPr>
    </w:p>
    <w:p w14:paraId="364D748D" w14:textId="153C08AF" w:rsidR="00CA60FA" w:rsidRPr="003D1614" w:rsidRDefault="00CA60FA" w:rsidP="00CA60FA">
      <w:pPr>
        <w:keepNext/>
        <w:suppressAutoHyphens/>
        <w:autoSpaceDN w:val="0"/>
        <w:ind w:left="709" w:hanging="709"/>
        <w:jc w:val="both"/>
        <w:outlineLvl w:val="0"/>
        <w:rPr>
          <w:rFonts w:ascii="Arial" w:eastAsia="Times New Roman" w:hAnsi="Arial" w:cs="Arial"/>
          <w:b/>
          <w:bCs/>
          <w:color w:val="000000" w:themeColor="text1"/>
          <w:spacing w:val="-3"/>
          <w:sz w:val="20"/>
          <w:szCs w:val="20"/>
        </w:rPr>
      </w:pPr>
      <w:r w:rsidRPr="003D1614">
        <w:rPr>
          <w:rFonts w:ascii="Arial" w:eastAsia="Times New Roman" w:hAnsi="Arial" w:cs="Arial"/>
          <w:b/>
          <w:bCs/>
          <w:color w:val="000000" w:themeColor="text1"/>
          <w:spacing w:val="-3"/>
          <w:sz w:val="20"/>
          <w:szCs w:val="20"/>
        </w:rPr>
        <w:t>2</w:t>
      </w:r>
      <w:r w:rsidR="00C55B0C">
        <w:rPr>
          <w:rFonts w:ascii="Arial" w:eastAsia="Times New Roman" w:hAnsi="Arial" w:cs="Arial"/>
          <w:b/>
          <w:bCs/>
          <w:color w:val="000000" w:themeColor="text1"/>
          <w:spacing w:val="-3"/>
          <w:sz w:val="20"/>
          <w:szCs w:val="20"/>
        </w:rPr>
        <w:t>4</w:t>
      </w:r>
      <w:r w:rsidRPr="003D1614">
        <w:rPr>
          <w:rFonts w:ascii="Arial" w:eastAsia="Times New Roman" w:hAnsi="Arial" w:cs="Arial"/>
          <w:b/>
          <w:bCs/>
          <w:color w:val="000000" w:themeColor="text1"/>
          <w:spacing w:val="-3"/>
          <w:sz w:val="20"/>
          <w:szCs w:val="20"/>
        </w:rPr>
        <w:t xml:space="preserve">. </w:t>
      </w:r>
      <w:r w:rsidRPr="003D1614">
        <w:rPr>
          <w:rFonts w:ascii="Arial" w:eastAsia="Times New Roman" w:hAnsi="Arial" w:cs="Arial"/>
          <w:b/>
          <w:bCs/>
          <w:color w:val="000000" w:themeColor="text1"/>
          <w:spacing w:val="-3"/>
          <w:sz w:val="20"/>
          <w:szCs w:val="20"/>
        </w:rPr>
        <w:tab/>
        <w:t>Fer vrijednost financijske imovine i financijskih obveza (nastavak)</w:t>
      </w:r>
    </w:p>
    <w:p w14:paraId="547D14DF" w14:textId="77777777" w:rsidR="00CA60FA" w:rsidRPr="003D1614" w:rsidRDefault="00CA60FA" w:rsidP="00CA60FA">
      <w:pPr>
        <w:keepNext/>
        <w:suppressAutoHyphens/>
        <w:autoSpaceDN w:val="0"/>
        <w:ind w:left="709" w:hanging="709"/>
        <w:jc w:val="both"/>
        <w:outlineLvl w:val="0"/>
        <w:rPr>
          <w:rFonts w:ascii="Arial" w:eastAsia="Times New Roman" w:hAnsi="Arial" w:cs="Arial"/>
          <w:bCs/>
          <w:color w:val="000000" w:themeColor="text1"/>
          <w:spacing w:val="-3"/>
          <w:sz w:val="12"/>
          <w:szCs w:val="12"/>
        </w:rPr>
      </w:pPr>
    </w:p>
    <w:p w14:paraId="5D968C12" w14:textId="77777777" w:rsidR="00CA60FA" w:rsidRPr="003D1614" w:rsidRDefault="00CA60FA" w:rsidP="00CA60FA">
      <w:pPr>
        <w:keepNext/>
        <w:suppressAutoHyphens/>
        <w:autoSpaceDN w:val="0"/>
        <w:ind w:left="709" w:hanging="709"/>
        <w:jc w:val="both"/>
        <w:outlineLvl w:val="0"/>
        <w:rPr>
          <w:rFonts w:ascii="Arial" w:eastAsia="Times New Roman" w:hAnsi="Arial" w:cs="Arial"/>
          <w:b/>
          <w:bCs/>
          <w:color w:val="000000" w:themeColor="text1"/>
          <w:spacing w:val="-3"/>
          <w:sz w:val="14"/>
          <w:szCs w:val="14"/>
        </w:rPr>
      </w:pPr>
    </w:p>
    <w:p w14:paraId="73887F4E" w14:textId="7E31CF9F" w:rsidR="00CA60FA" w:rsidRDefault="00CA60FA" w:rsidP="00CA60FA">
      <w:pPr>
        <w:keepNext/>
        <w:suppressAutoHyphens/>
        <w:autoSpaceDN w:val="0"/>
        <w:ind w:left="709" w:hanging="709"/>
        <w:jc w:val="both"/>
        <w:outlineLvl w:val="0"/>
        <w:rPr>
          <w:rFonts w:ascii="Arial" w:eastAsia="Times New Roman" w:hAnsi="Arial" w:cs="Arial"/>
          <w:b/>
          <w:bCs/>
          <w:color w:val="000000" w:themeColor="text1"/>
          <w:spacing w:val="-3"/>
          <w:sz w:val="20"/>
          <w:szCs w:val="20"/>
        </w:rPr>
      </w:pPr>
      <w:r w:rsidRPr="003D1614">
        <w:rPr>
          <w:rFonts w:ascii="Arial" w:eastAsia="Times New Roman" w:hAnsi="Arial" w:cs="Arial"/>
          <w:b/>
          <w:bCs/>
          <w:color w:val="000000" w:themeColor="text1"/>
          <w:spacing w:val="-3"/>
          <w:sz w:val="20"/>
          <w:szCs w:val="20"/>
        </w:rPr>
        <w:t>2</w:t>
      </w:r>
      <w:r w:rsidR="00C55B0C">
        <w:rPr>
          <w:rFonts w:ascii="Arial" w:eastAsia="Times New Roman" w:hAnsi="Arial" w:cs="Arial"/>
          <w:b/>
          <w:bCs/>
          <w:color w:val="000000" w:themeColor="text1"/>
          <w:spacing w:val="-3"/>
          <w:sz w:val="20"/>
          <w:szCs w:val="20"/>
        </w:rPr>
        <w:t>4</w:t>
      </w:r>
      <w:r w:rsidRPr="003D1614">
        <w:rPr>
          <w:rFonts w:ascii="Arial" w:eastAsia="Times New Roman" w:hAnsi="Arial" w:cs="Arial"/>
          <w:b/>
          <w:bCs/>
          <w:color w:val="000000" w:themeColor="text1"/>
          <w:spacing w:val="-3"/>
          <w:sz w:val="20"/>
          <w:szCs w:val="20"/>
        </w:rPr>
        <w:t xml:space="preserve">.1. </w:t>
      </w:r>
      <w:r w:rsidRPr="003D1614">
        <w:rPr>
          <w:rFonts w:ascii="Arial" w:eastAsia="Times New Roman" w:hAnsi="Arial" w:cs="Arial"/>
          <w:b/>
          <w:bCs/>
          <w:color w:val="000000" w:themeColor="text1"/>
          <w:spacing w:val="-3"/>
          <w:sz w:val="20"/>
          <w:szCs w:val="20"/>
        </w:rPr>
        <w:tab/>
        <w:t>Fer vrijednost financijske imovine i financijskih obveza koji se vode po fer vrijednosti (nastavak)</w:t>
      </w:r>
    </w:p>
    <w:p w14:paraId="57F6FD4C" w14:textId="77777777" w:rsidR="00C55B0C" w:rsidRPr="003D1614" w:rsidRDefault="00C55B0C" w:rsidP="00CA60FA">
      <w:pPr>
        <w:keepNext/>
        <w:suppressAutoHyphens/>
        <w:autoSpaceDN w:val="0"/>
        <w:ind w:left="709" w:hanging="709"/>
        <w:jc w:val="both"/>
        <w:outlineLvl w:val="0"/>
        <w:rPr>
          <w:rFonts w:ascii="Arial" w:eastAsia="Times New Roman" w:hAnsi="Arial" w:cs="Arial"/>
          <w:b/>
          <w:bCs/>
          <w:color w:val="000000" w:themeColor="text1"/>
          <w:spacing w:val="-3"/>
          <w:sz w:val="20"/>
          <w:szCs w:val="20"/>
        </w:rPr>
      </w:pPr>
    </w:p>
    <w:p w14:paraId="3B1ECCE3" w14:textId="3BEFEBB2" w:rsidR="00CA60FA" w:rsidRPr="003D1614" w:rsidRDefault="00CA60FA" w:rsidP="00CA60FA">
      <w:pPr>
        <w:suppressAutoHyphens/>
        <w:autoSpaceDN w:val="0"/>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C55B0C">
        <w:rPr>
          <w:rFonts w:ascii="Arial" w:eastAsia="Calibri" w:hAnsi="Arial" w:cs="Arial"/>
          <w:b/>
          <w:color w:val="000000" w:themeColor="text1"/>
          <w:sz w:val="20"/>
          <w:szCs w:val="20"/>
        </w:rPr>
        <w:t>4</w:t>
      </w:r>
      <w:r w:rsidRPr="003D1614">
        <w:rPr>
          <w:rFonts w:ascii="Arial" w:eastAsia="Calibri" w:hAnsi="Arial" w:cs="Arial"/>
          <w:b/>
          <w:color w:val="000000" w:themeColor="text1"/>
          <w:sz w:val="20"/>
          <w:szCs w:val="20"/>
        </w:rPr>
        <w:t xml:space="preserve">.1.1. </w:t>
      </w:r>
      <w:r w:rsidRPr="003D1614">
        <w:rPr>
          <w:rFonts w:ascii="Arial" w:eastAsia="Calibri" w:hAnsi="Arial" w:cs="Arial"/>
          <w:b/>
          <w:color w:val="000000" w:themeColor="text1"/>
          <w:sz w:val="20"/>
          <w:szCs w:val="20"/>
        </w:rPr>
        <w:tab/>
        <w:t>Razina 3 - fer vrijednosti</w:t>
      </w:r>
    </w:p>
    <w:p w14:paraId="27A6E3AD" w14:textId="77777777" w:rsidR="00CA60FA" w:rsidRPr="003D1614" w:rsidRDefault="00CA60FA" w:rsidP="00CA60FA">
      <w:pPr>
        <w:suppressAutoHyphens/>
        <w:autoSpaceDN w:val="0"/>
        <w:rPr>
          <w:rFonts w:ascii="Arial" w:eastAsia="Calibri" w:hAnsi="Arial" w:cs="Arial"/>
          <w:color w:val="000000" w:themeColor="text1"/>
          <w:sz w:val="20"/>
          <w:szCs w:val="20"/>
        </w:rPr>
      </w:pPr>
    </w:p>
    <w:p w14:paraId="48793B10" w14:textId="77777777" w:rsidR="00CA60FA" w:rsidRPr="003D1614" w:rsidRDefault="00CA60FA" w:rsidP="00CA60FA">
      <w:pPr>
        <w:suppressAutoHyphens/>
        <w:autoSpaceDN w:val="0"/>
        <w:rPr>
          <w:rFonts w:ascii="Arial" w:eastAsia="Calibri" w:hAnsi="Arial" w:cs="Arial"/>
          <w:b/>
          <w:i/>
          <w:color w:val="000000" w:themeColor="text1"/>
          <w:sz w:val="20"/>
          <w:szCs w:val="20"/>
        </w:rPr>
      </w:pPr>
      <w:r w:rsidRPr="003D1614">
        <w:rPr>
          <w:rFonts w:ascii="Arial" w:eastAsia="Calibri" w:hAnsi="Arial" w:cs="Arial"/>
          <w:b/>
          <w:i/>
          <w:color w:val="000000" w:themeColor="text1"/>
          <w:sz w:val="20"/>
          <w:szCs w:val="20"/>
        </w:rPr>
        <w:t>a)  Mezzanine krediti</w:t>
      </w:r>
    </w:p>
    <w:p w14:paraId="6DDBBF22" w14:textId="77777777" w:rsidR="00CA60FA" w:rsidRPr="003D1614" w:rsidRDefault="00CA60FA" w:rsidP="00CA60FA">
      <w:pPr>
        <w:suppressAutoHyphens/>
        <w:autoSpaceDN w:val="0"/>
        <w:rPr>
          <w:rFonts w:ascii="Arial" w:eastAsia="Calibri" w:hAnsi="Arial" w:cs="Arial"/>
          <w:b/>
          <w:i/>
          <w:color w:val="000000" w:themeColor="text1"/>
          <w:sz w:val="20"/>
          <w:szCs w:val="20"/>
        </w:rPr>
      </w:pPr>
    </w:p>
    <w:p w14:paraId="224071E4" w14:textId="77777777" w:rsidR="00CA60FA" w:rsidRPr="003D1614" w:rsidRDefault="00CA60FA" w:rsidP="00CA60FA">
      <w:pPr>
        <w:suppressAutoHyphens/>
        <w:autoSpaceDN w:val="0"/>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Za procjenu fer vrijednosti mezzanine kredita koristi se metoda diskontiranja očekivanih budućih novčanih tijekova.</w:t>
      </w:r>
    </w:p>
    <w:p w14:paraId="1D5DF918" w14:textId="77777777" w:rsidR="00CA60FA" w:rsidRPr="003D1614" w:rsidRDefault="00CA60FA" w:rsidP="00CA60FA">
      <w:pPr>
        <w:suppressAutoHyphens/>
        <w:autoSpaceDN w:val="0"/>
        <w:spacing w:after="120"/>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Mezzanine kreditni plasmani zbog svojih ugovornih karakteristika ne prolaze na SPPI testu. Karakteristike zbog kojih mezzanine krediti ne prolaze SPPI test su sljedeće:</w:t>
      </w:r>
    </w:p>
    <w:p w14:paraId="3929C936" w14:textId="77777777" w:rsidR="00CA60FA" w:rsidRPr="003D1614" w:rsidRDefault="00CA60FA" w:rsidP="00CA60FA">
      <w:pPr>
        <w:numPr>
          <w:ilvl w:val="0"/>
          <w:numId w:val="30"/>
        </w:numPr>
        <w:suppressAutoHyphens/>
        <w:autoSpaceDN w:val="0"/>
        <w:contextualSpacing/>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dužnik ima pravo prijevremeno otplatiti mezzanine dug vjerovniku,</w:t>
      </w:r>
    </w:p>
    <w:p w14:paraId="1318FF00" w14:textId="77777777" w:rsidR="00CA60FA" w:rsidRPr="003D1614" w:rsidRDefault="00CA60FA" w:rsidP="00CA60FA">
      <w:pPr>
        <w:numPr>
          <w:ilvl w:val="0"/>
          <w:numId w:val="30"/>
        </w:numPr>
        <w:suppressAutoHyphens/>
        <w:autoSpaceDN w:val="0"/>
        <w:contextualSpacing/>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u slučaju ostvarenja ugovorom definiranih pokazatelja poslovanja dužnika (omjer neto duga dužnika i prosječnog iznosa EBITDA za prethodne tri godine mora biti niži od limita) tijekom unaprijed određenog razdoblja, vjerovnik mezzanine duga ima pravo, ali ne i obvezu, konverzije mezzanine duga u „senior dug“</w:t>
      </w:r>
    </w:p>
    <w:p w14:paraId="40FB696F" w14:textId="77777777" w:rsidR="00CA60FA" w:rsidRPr="003D1614" w:rsidRDefault="00CA60FA" w:rsidP="00CA60FA">
      <w:pPr>
        <w:numPr>
          <w:ilvl w:val="0"/>
          <w:numId w:val="30"/>
        </w:numPr>
        <w:suppressAutoHyphens/>
        <w:autoSpaceDN w:val="0"/>
        <w:contextualSpacing/>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 xml:space="preserve">vjerovnik mezzanine duga ima pravo, ali ne i obvezu, zatražiti od dužnika da se dugovani iznos mezzanine duga unese u temeljni kapital dužnika (povećanje temeljnog kapitala dužnika unosom prava-tražbine) </w:t>
      </w:r>
    </w:p>
    <w:p w14:paraId="08089747" w14:textId="77777777" w:rsidR="00CA60FA" w:rsidRPr="003D1614" w:rsidRDefault="00CA60FA" w:rsidP="00CA60FA">
      <w:pPr>
        <w:numPr>
          <w:ilvl w:val="0"/>
          <w:numId w:val="30"/>
        </w:numPr>
        <w:suppressAutoHyphens/>
        <w:autoSpaceDN w:val="0"/>
        <w:contextualSpacing/>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dužnik ima mogućnost zatvoriti dug refinanciranjem od strane drugog vjerovnika</w:t>
      </w:r>
    </w:p>
    <w:p w14:paraId="4CA02B00" w14:textId="68D77F73" w:rsidR="00CA60FA" w:rsidRPr="003D1614" w:rsidRDefault="00CA60FA" w:rsidP="00CA60FA">
      <w:pPr>
        <w:numPr>
          <w:ilvl w:val="0"/>
          <w:numId w:val="30"/>
        </w:numPr>
        <w:suppressAutoHyphens/>
        <w:autoSpaceDN w:val="0"/>
        <w:contextualSpacing/>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 xml:space="preserve">u slučaju da sve mogućnosti zatvaranja mezzanine duga nisu provedene, zatvaranje mezzanine duga moguće je iz </w:t>
      </w:r>
      <w:r w:rsidRPr="0051581C">
        <w:rPr>
          <w:rFonts w:ascii="Arial" w:eastAsia="Calibri" w:hAnsi="Arial" w:cs="Arial"/>
          <w:color w:val="000000" w:themeColor="text1"/>
          <w:sz w:val="20"/>
          <w:szCs w:val="20"/>
        </w:rPr>
        <w:t xml:space="preserve">prodaje </w:t>
      </w:r>
      <w:r w:rsidR="00517D12" w:rsidRPr="0051581C">
        <w:rPr>
          <w:rFonts w:ascii="Arial" w:eastAsia="Calibri" w:hAnsi="Arial" w:cs="Arial"/>
          <w:color w:val="000000" w:themeColor="text1"/>
          <w:sz w:val="20"/>
          <w:szCs w:val="20"/>
        </w:rPr>
        <w:t>brodova</w:t>
      </w:r>
      <w:r w:rsidRPr="0051581C">
        <w:rPr>
          <w:rFonts w:ascii="Arial" w:eastAsia="Calibri" w:hAnsi="Arial" w:cs="Arial"/>
          <w:color w:val="000000" w:themeColor="text1"/>
          <w:sz w:val="20"/>
          <w:szCs w:val="20"/>
        </w:rPr>
        <w:t xml:space="preserve"> u vlasništvu</w:t>
      </w:r>
      <w:r w:rsidRPr="003D1614">
        <w:rPr>
          <w:rFonts w:ascii="Arial" w:eastAsia="Calibri" w:hAnsi="Arial" w:cs="Arial"/>
          <w:color w:val="000000" w:themeColor="text1"/>
          <w:sz w:val="20"/>
          <w:szCs w:val="20"/>
        </w:rPr>
        <w:t xml:space="preserve"> dužnika i  </w:t>
      </w:r>
    </w:p>
    <w:p w14:paraId="379E7F49" w14:textId="77777777" w:rsidR="00CA60FA" w:rsidRPr="003D1614" w:rsidRDefault="00CA60FA" w:rsidP="00CA60FA">
      <w:pPr>
        <w:numPr>
          <w:ilvl w:val="0"/>
          <w:numId w:val="30"/>
        </w:numPr>
        <w:suppressAutoHyphens/>
        <w:autoSpaceDN w:val="0"/>
        <w:contextualSpacing/>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u slučaju prijevremenog zatvaranja mezzanine duga otplatom, refinanciranjem ili pretvaranjem mezzanine duga u kapital, kamata na mezzanine dug obračunava se do dana prijevremenog zatvaranja mezzanine duga, odnosno dok mezzanine dug postoji u tom obliku.</w:t>
      </w:r>
    </w:p>
    <w:p w14:paraId="359068E0" w14:textId="77777777" w:rsidR="001875CA" w:rsidRDefault="001875CA" w:rsidP="001875CA">
      <w:pPr>
        <w:tabs>
          <w:tab w:val="right" w:pos="1202"/>
        </w:tabs>
        <w:jc w:val="both"/>
        <w:outlineLvl w:val="0"/>
        <w:rPr>
          <w:rFonts w:ascii="Arial" w:eastAsia="Calibri" w:hAnsi="Arial" w:cs="Arial"/>
          <w:color w:val="000000" w:themeColor="text1"/>
          <w:sz w:val="20"/>
          <w:szCs w:val="20"/>
        </w:rPr>
      </w:pPr>
    </w:p>
    <w:p w14:paraId="6788BB47" w14:textId="765F7034" w:rsidR="00CA60FA" w:rsidRDefault="00CA60FA" w:rsidP="00CA60FA">
      <w:pPr>
        <w:suppressAutoHyphens/>
        <w:autoSpaceDN w:val="0"/>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 xml:space="preserve">Zbog navedenih karakteristika mezzanine kredita procjena fer vrijednosti ovih kredita obavljena je uz uvažavanje načela opreznosti, prema kojem se prihodi priznaju samo onda kad su stvarno nastali, a rashodi i onda kada su mogući, uz pretpostavku nastavka redovnog poslovanja dužnika u budućnosti. Navedeno predstavlja situaciju u kojoj bi </w:t>
      </w:r>
      <w:r w:rsidR="00EA119F">
        <w:rPr>
          <w:rFonts w:ascii="Arial" w:eastAsia="Calibri" w:hAnsi="Arial" w:cs="Arial"/>
          <w:color w:val="000000" w:themeColor="text1"/>
          <w:sz w:val="20"/>
          <w:szCs w:val="20"/>
        </w:rPr>
        <w:t>Banka</w:t>
      </w:r>
      <w:r w:rsidRPr="003D1614">
        <w:rPr>
          <w:rFonts w:ascii="Arial" w:eastAsia="Calibri" w:hAnsi="Arial" w:cs="Arial"/>
          <w:color w:val="000000" w:themeColor="text1"/>
          <w:sz w:val="20"/>
          <w:szCs w:val="20"/>
        </w:rPr>
        <w:t xml:space="preserve"> po konačnom dospijeću mezzanine kredita svoja potraživanja konvertirala u temeljni kapital dužnika.</w:t>
      </w:r>
    </w:p>
    <w:p w14:paraId="11BD788E" w14:textId="2CC6A3B2" w:rsidR="001875CA" w:rsidRDefault="001875CA" w:rsidP="00CA60FA">
      <w:pPr>
        <w:suppressAutoHyphens/>
        <w:autoSpaceDN w:val="0"/>
        <w:jc w:val="both"/>
        <w:rPr>
          <w:rFonts w:ascii="Arial" w:eastAsia="Calibri" w:hAnsi="Arial" w:cs="Arial"/>
          <w:color w:val="000000" w:themeColor="text1"/>
          <w:sz w:val="20"/>
          <w:szCs w:val="20"/>
        </w:rPr>
      </w:pPr>
    </w:p>
    <w:p w14:paraId="33BBD0F6" w14:textId="52B541D3" w:rsidR="00CA60FA" w:rsidRPr="008F3AF9" w:rsidRDefault="00CA60FA" w:rsidP="00CA60FA">
      <w:pPr>
        <w:suppressAutoHyphens/>
        <w:autoSpaceDN w:val="0"/>
        <w:jc w:val="both"/>
        <w:rPr>
          <w:rFonts w:ascii="Arial" w:eastAsia="Calibri" w:hAnsi="Arial" w:cs="Arial"/>
          <w:color w:val="000000" w:themeColor="text1"/>
          <w:sz w:val="20"/>
          <w:szCs w:val="20"/>
        </w:rPr>
      </w:pPr>
      <w:r w:rsidRPr="008F3AF9">
        <w:rPr>
          <w:rFonts w:ascii="Arial" w:eastAsia="Calibri" w:hAnsi="Arial" w:cs="Arial"/>
          <w:color w:val="000000" w:themeColor="text1"/>
          <w:sz w:val="20"/>
          <w:szCs w:val="20"/>
        </w:rPr>
        <w:t xml:space="preserve">Dana </w:t>
      </w:r>
      <w:r w:rsidR="00E16D06" w:rsidRPr="008F3AF9">
        <w:rPr>
          <w:rFonts w:ascii="Arial" w:eastAsia="Calibri" w:hAnsi="Arial" w:cs="Arial"/>
          <w:color w:val="000000" w:themeColor="text1"/>
          <w:sz w:val="20"/>
          <w:szCs w:val="20"/>
        </w:rPr>
        <w:t>30. rujna 202</w:t>
      </w:r>
      <w:r w:rsidR="00517D12">
        <w:rPr>
          <w:rFonts w:ascii="Arial" w:eastAsia="Calibri" w:hAnsi="Arial" w:cs="Arial"/>
          <w:color w:val="000000" w:themeColor="text1"/>
          <w:sz w:val="20"/>
          <w:szCs w:val="20"/>
        </w:rPr>
        <w:t>4</w:t>
      </w:r>
      <w:r w:rsidR="00E16D06" w:rsidRPr="008F3AF9">
        <w:rPr>
          <w:rFonts w:ascii="Arial" w:eastAsia="Calibri" w:hAnsi="Arial" w:cs="Arial"/>
          <w:color w:val="000000" w:themeColor="text1"/>
          <w:sz w:val="20"/>
          <w:szCs w:val="20"/>
        </w:rPr>
        <w:t xml:space="preserve">. </w:t>
      </w:r>
      <w:r w:rsidRPr="008F3AF9">
        <w:rPr>
          <w:rFonts w:ascii="Arial" w:eastAsia="Calibri" w:hAnsi="Arial" w:cs="Arial"/>
          <w:color w:val="000000" w:themeColor="text1"/>
          <w:sz w:val="20"/>
          <w:szCs w:val="20"/>
        </w:rPr>
        <w:t xml:space="preserve">tržišna cijena redovnih dionica dužnika koje bi Banka mogla upisati iznosila je </w:t>
      </w:r>
      <w:r w:rsidR="00983A4D">
        <w:rPr>
          <w:rFonts w:ascii="Arial" w:eastAsia="Calibri" w:hAnsi="Arial" w:cs="Arial"/>
          <w:color w:val="000000" w:themeColor="text1"/>
          <w:sz w:val="20"/>
          <w:szCs w:val="20"/>
        </w:rPr>
        <w:t>3.889</w:t>
      </w:r>
      <w:r w:rsidRPr="008F3AF9">
        <w:rPr>
          <w:rFonts w:ascii="Arial" w:eastAsia="Calibri" w:hAnsi="Arial" w:cs="Arial"/>
          <w:color w:val="000000" w:themeColor="text1"/>
          <w:sz w:val="20"/>
          <w:szCs w:val="20"/>
        </w:rPr>
        <w:t xml:space="preserve"> tisuća </w:t>
      </w:r>
      <w:r w:rsidR="00122320" w:rsidRPr="008F3AF9">
        <w:rPr>
          <w:rFonts w:ascii="Arial" w:eastAsia="Calibri" w:hAnsi="Arial" w:cs="Arial"/>
          <w:color w:val="000000" w:themeColor="text1"/>
          <w:sz w:val="20"/>
          <w:szCs w:val="20"/>
        </w:rPr>
        <w:t>eura</w:t>
      </w:r>
      <w:r w:rsidRPr="008F3AF9">
        <w:rPr>
          <w:rFonts w:ascii="Arial" w:eastAsia="Calibri" w:hAnsi="Arial" w:cs="Arial"/>
          <w:color w:val="000000" w:themeColor="text1"/>
          <w:sz w:val="20"/>
          <w:szCs w:val="20"/>
        </w:rPr>
        <w:t xml:space="preserve"> uz pretpostavku da su u tržišnu cijenu dionica uključena sva tržišna očekivanja vezana uz buduće poslovanje izdavatelja. Obzirom da je izračun napravljen pod pretpostavkom konverzije mezzanine duga dužnika u temeljni kapital dužnika s danom </w:t>
      </w:r>
      <w:r w:rsidR="00E16D06" w:rsidRPr="008F3AF9">
        <w:rPr>
          <w:rFonts w:ascii="Arial" w:eastAsia="Calibri" w:hAnsi="Arial" w:cs="Arial"/>
          <w:color w:val="000000" w:themeColor="text1"/>
          <w:sz w:val="20"/>
          <w:szCs w:val="20"/>
        </w:rPr>
        <w:t>30. rujna 202</w:t>
      </w:r>
      <w:r w:rsidR="00517D12">
        <w:rPr>
          <w:rFonts w:ascii="Arial" w:eastAsia="Calibri" w:hAnsi="Arial" w:cs="Arial"/>
          <w:color w:val="000000" w:themeColor="text1"/>
          <w:sz w:val="20"/>
          <w:szCs w:val="20"/>
        </w:rPr>
        <w:t>4</w:t>
      </w:r>
      <w:r w:rsidR="00E16D06" w:rsidRPr="008F3AF9">
        <w:rPr>
          <w:rFonts w:ascii="Arial" w:eastAsia="Calibri" w:hAnsi="Arial" w:cs="Arial"/>
          <w:color w:val="000000" w:themeColor="text1"/>
          <w:sz w:val="20"/>
          <w:szCs w:val="20"/>
        </w:rPr>
        <w:t>.</w:t>
      </w:r>
      <w:r w:rsidRPr="008F3AF9">
        <w:rPr>
          <w:rFonts w:ascii="Arial" w:eastAsia="Calibri" w:hAnsi="Arial" w:cs="Arial"/>
          <w:color w:val="000000" w:themeColor="text1"/>
          <w:sz w:val="20"/>
          <w:szCs w:val="20"/>
        </w:rPr>
        <w:t xml:space="preserve">, tržišnu vrijednost redovnih dionica dužnika koje bi Banka mogla upisati nije potrebno diskontirati te na ovaj način namirenja procijenjena fer vrijednost mezzanine kredita na dan </w:t>
      </w:r>
      <w:r w:rsidR="00E16D06" w:rsidRPr="008F3AF9">
        <w:rPr>
          <w:rFonts w:ascii="Arial" w:eastAsia="Calibri" w:hAnsi="Arial" w:cs="Arial"/>
          <w:color w:val="000000" w:themeColor="text1"/>
          <w:sz w:val="20"/>
          <w:szCs w:val="20"/>
        </w:rPr>
        <w:t>30. rujna 202</w:t>
      </w:r>
      <w:r w:rsidR="00517D12">
        <w:rPr>
          <w:rFonts w:ascii="Arial" w:eastAsia="Calibri" w:hAnsi="Arial" w:cs="Arial"/>
          <w:color w:val="000000" w:themeColor="text1"/>
          <w:sz w:val="20"/>
          <w:szCs w:val="20"/>
        </w:rPr>
        <w:t>4</w:t>
      </w:r>
      <w:r w:rsidR="00E16D06" w:rsidRPr="008F3AF9">
        <w:rPr>
          <w:rFonts w:ascii="Arial" w:eastAsia="Calibri" w:hAnsi="Arial" w:cs="Arial"/>
          <w:color w:val="000000" w:themeColor="text1"/>
          <w:sz w:val="20"/>
          <w:szCs w:val="20"/>
        </w:rPr>
        <w:t>.</w:t>
      </w:r>
      <w:r w:rsidRPr="008F3AF9">
        <w:rPr>
          <w:rFonts w:ascii="Arial" w:eastAsia="Calibri" w:hAnsi="Arial" w:cs="Arial"/>
          <w:color w:val="000000" w:themeColor="text1"/>
          <w:sz w:val="20"/>
          <w:szCs w:val="20"/>
        </w:rPr>
        <w:t xml:space="preserve"> iznosi </w:t>
      </w:r>
      <w:r w:rsidR="00983A4D">
        <w:rPr>
          <w:rFonts w:ascii="Arial" w:eastAsia="Calibri" w:hAnsi="Arial" w:cs="Arial"/>
          <w:color w:val="000000" w:themeColor="text1"/>
          <w:sz w:val="20"/>
          <w:szCs w:val="20"/>
        </w:rPr>
        <w:t>3.889</w:t>
      </w:r>
      <w:r w:rsidRPr="008F3AF9">
        <w:rPr>
          <w:rFonts w:ascii="Arial" w:eastAsia="Calibri" w:hAnsi="Arial" w:cs="Arial"/>
          <w:color w:val="000000" w:themeColor="text1"/>
          <w:sz w:val="20"/>
          <w:szCs w:val="20"/>
        </w:rPr>
        <w:t xml:space="preserve"> tisuća </w:t>
      </w:r>
      <w:r w:rsidR="00122320" w:rsidRPr="008F3AF9">
        <w:rPr>
          <w:rFonts w:ascii="Arial" w:eastAsia="Calibri" w:hAnsi="Arial" w:cs="Arial"/>
          <w:color w:val="000000" w:themeColor="text1"/>
          <w:sz w:val="20"/>
          <w:szCs w:val="20"/>
        </w:rPr>
        <w:t>eura</w:t>
      </w:r>
      <w:r w:rsidRPr="008F3AF9">
        <w:rPr>
          <w:rFonts w:ascii="Arial" w:eastAsia="Calibri" w:hAnsi="Arial" w:cs="Arial"/>
          <w:color w:val="000000" w:themeColor="text1"/>
          <w:sz w:val="20"/>
          <w:szCs w:val="20"/>
        </w:rPr>
        <w:t xml:space="preserve"> tj. </w:t>
      </w:r>
      <w:r w:rsidR="00C00960">
        <w:rPr>
          <w:rFonts w:ascii="Arial" w:eastAsia="Calibri" w:hAnsi="Arial" w:cs="Arial"/>
          <w:color w:val="000000" w:themeColor="text1"/>
          <w:sz w:val="20"/>
          <w:szCs w:val="20"/>
        </w:rPr>
        <w:t>4.440</w:t>
      </w:r>
      <w:r w:rsidRPr="008F3AF9">
        <w:rPr>
          <w:rFonts w:ascii="Arial" w:eastAsia="Calibri" w:hAnsi="Arial" w:cs="Arial"/>
          <w:color w:val="000000" w:themeColor="text1"/>
          <w:sz w:val="20"/>
          <w:szCs w:val="20"/>
        </w:rPr>
        <w:t xml:space="preserve"> tisuć</w:t>
      </w:r>
      <w:r w:rsidR="00122320" w:rsidRPr="008F3AF9">
        <w:rPr>
          <w:rFonts w:ascii="Arial" w:eastAsia="Calibri" w:hAnsi="Arial" w:cs="Arial"/>
          <w:color w:val="000000" w:themeColor="text1"/>
          <w:sz w:val="20"/>
          <w:szCs w:val="20"/>
        </w:rPr>
        <w:t>a</w:t>
      </w:r>
      <w:r w:rsidRPr="008F3AF9">
        <w:rPr>
          <w:rFonts w:ascii="Arial" w:eastAsia="Calibri" w:hAnsi="Arial" w:cs="Arial"/>
          <w:color w:val="000000" w:themeColor="text1"/>
          <w:sz w:val="20"/>
          <w:szCs w:val="20"/>
        </w:rPr>
        <w:t xml:space="preserve"> USD po tečaju na dan </w:t>
      </w:r>
      <w:r w:rsidR="00E16D06" w:rsidRPr="008F3AF9">
        <w:rPr>
          <w:rFonts w:ascii="Arial" w:eastAsia="Calibri" w:hAnsi="Arial" w:cs="Arial"/>
          <w:color w:val="000000" w:themeColor="text1"/>
          <w:sz w:val="20"/>
          <w:szCs w:val="20"/>
        </w:rPr>
        <w:t>30. rujna 202</w:t>
      </w:r>
      <w:r w:rsidR="00517D12">
        <w:rPr>
          <w:rFonts w:ascii="Arial" w:eastAsia="Calibri" w:hAnsi="Arial" w:cs="Arial"/>
          <w:color w:val="000000" w:themeColor="text1"/>
          <w:sz w:val="20"/>
          <w:szCs w:val="20"/>
        </w:rPr>
        <w:t>4</w:t>
      </w:r>
      <w:r w:rsidR="00E16D06" w:rsidRPr="008F3AF9">
        <w:rPr>
          <w:rFonts w:ascii="Arial" w:eastAsia="Calibri" w:hAnsi="Arial" w:cs="Arial"/>
          <w:color w:val="000000" w:themeColor="text1"/>
          <w:sz w:val="20"/>
          <w:szCs w:val="20"/>
        </w:rPr>
        <w:t>.</w:t>
      </w:r>
    </w:p>
    <w:p w14:paraId="474C3200" w14:textId="77777777" w:rsidR="00CA60FA" w:rsidRPr="008F3AF9" w:rsidRDefault="00CA60FA" w:rsidP="00CA60FA">
      <w:pPr>
        <w:suppressAutoHyphens/>
        <w:autoSpaceDN w:val="0"/>
        <w:jc w:val="both"/>
        <w:rPr>
          <w:rFonts w:ascii="Arial" w:eastAsia="Calibri" w:hAnsi="Arial" w:cs="Arial"/>
          <w:color w:val="000000" w:themeColor="text1"/>
          <w:sz w:val="20"/>
          <w:szCs w:val="20"/>
        </w:rPr>
      </w:pPr>
    </w:p>
    <w:p w14:paraId="51271286" w14:textId="56E4F768" w:rsidR="00CA60FA" w:rsidRPr="008F3AF9" w:rsidRDefault="00CA60FA" w:rsidP="00CA60FA">
      <w:pPr>
        <w:suppressAutoHyphens/>
        <w:autoSpaceDN w:val="0"/>
        <w:jc w:val="both"/>
        <w:rPr>
          <w:rFonts w:ascii="Arial" w:eastAsia="Calibri" w:hAnsi="Arial" w:cs="Arial"/>
          <w:color w:val="000000" w:themeColor="text1"/>
          <w:sz w:val="20"/>
          <w:szCs w:val="20"/>
        </w:rPr>
      </w:pPr>
      <w:r w:rsidRPr="008F3AF9">
        <w:rPr>
          <w:rFonts w:ascii="Arial" w:eastAsia="Calibri" w:hAnsi="Arial" w:cs="Arial"/>
          <w:color w:val="000000" w:themeColor="text1"/>
          <w:sz w:val="20"/>
          <w:szCs w:val="20"/>
        </w:rPr>
        <w:t xml:space="preserve">Temeljem Rješenja u predstečajnom postupku, HBOR </w:t>
      </w:r>
      <w:r w:rsidR="00122320" w:rsidRPr="008F3AF9">
        <w:rPr>
          <w:rFonts w:ascii="Arial" w:eastAsia="Calibri" w:hAnsi="Arial" w:cs="Arial"/>
          <w:color w:val="000000" w:themeColor="text1"/>
          <w:sz w:val="20"/>
          <w:szCs w:val="20"/>
        </w:rPr>
        <w:t xml:space="preserve">je </w:t>
      </w:r>
      <w:r w:rsidRPr="008F3AF9">
        <w:rPr>
          <w:rFonts w:ascii="Arial" w:eastAsia="Calibri" w:hAnsi="Arial" w:cs="Arial"/>
          <w:color w:val="000000" w:themeColor="text1"/>
          <w:sz w:val="20"/>
          <w:szCs w:val="20"/>
        </w:rPr>
        <w:t xml:space="preserve">preuzeo 50% tražbina dužnika kao senior dug i 50% tražbina kao mezzanine dug. Mezzanine dug je iskazan u visini od </w:t>
      </w:r>
      <w:r w:rsidR="00C00960">
        <w:rPr>
          <w:rFonts w:ascii="Arial" w:eastAsia="Calibri" w:hAnsi="Arial" w:cs="Arial"/>
          <w:color w:val="000000" w:themeColor="text1"/>
          <w:sz w:val="20"/>
          <w:szCs w:val="20"/>
        </w:rPr>
        <w:t>3.889</w:t>
      </w:r>
      <w:r w:rsidRPr="008F3AF9">
        <w:rPr>
          <w:rFonts w:ascii="Arial" w:eastAsia="Calibri" w:hAnsi="Arial" w:cs="Arial"/>
          <w:color w:val="000000" w:themeColor="text1"/>
          <w:sz w:val="20"/>
          <w:szCs w:val="20"/>
        </w:rPr>
        <w:t xml:space="preserve"> tisuća </w:t>
      </w:r>
      <w:r w:rsidR="00122320" w:rsidRPr="008F3AF9">
        <w:rPr>
          <w:rFonts w:ascii="Arial" w:eastAsia="Calibri" w:hAnsi="Arial" w:cs="Arial"/>
          <w:color w:val="000000" w:themeColor="text1"/>
          <w:sz w:val="20"/>
          <w:szCs w:val="20"/>
        </w:rPr>
        <w:t>eura</w:t>
      </w:r>
      <w:r w:rsidRPr="008F3AF9">
        <w:rPr>
          <w:rFonts w:ascii="Arial" w:eastAsia="Calibri" w:hAnsi="Arial" w:cs="Arial"/>
          <w:color w:val="000000" w:themeColor="text1"/>
          <w:sz w:val="20"/>
          <w:szCs w:val="20"/>
        </w:rPr>
        <w:t>.</w:t>
      </w:r>
    </w:p>
    <w:p w14:paraId="30DE6777" w14:textId="77777777" w:rsidR="0046704D" w:rsidRPr="008F3AF9" w:rsidRDefault="0046704D" w:rsidP="00CA60FA">
      <w:pPr>
        <w:suppressAutoHyphens/>
        <w:autoSpaceDN w:val="0"/>
        <w:jc w:val="both"/>
        <w:rPr>
          <w:rFonts w:ascii="Arial" w:eastAsia="Calibri" w:hAnsi="Arial" w:cs="Arial"/>
          <w:color w:val="000000" w:themeColor="text1"/>
          <w:sz w:val="20"/>
          <w:szCs w:val="20"/>
        </w:rPr>
      </w:pPr>
    </w:p>
    <w:p w14:paraId="55CBF4E6" w14:textId="38DA9588" w:rsidR="006F1B7D" w:rsidRPr="005D1219" w:rsidRDefault="006F1B7D" w:rsidP="006F1B7D">
      <w:pPr>
        <w:suppressAutoHyphens/>
        <w:autoSpaceDN w:val="0"/>
        <w:jc w:val="both"/>
      </w:pPr>
      <w:bookmarkStart w:id="1027" w:name="_Hlk142485984"/>
      <w:r w:rsidRPr="005D1219">
        <w:rPr>
          <w:rFonts w:ascii="Arial" w:eastAsia="Calibri" w:hAnsi="Arial" w:cs="Arial"/>
          <w:sz w:val="20"/>
          <w:szCs w:val="20"/>
        </w:rPr>
        <w:t>Banka ima plasiran  mezzanin kredit u visini od 30.000 tisuća eura. Fer vrijednost ovog mezzanine duga na 3</w:t>
      </w:r>
      <w:r>
        <w:rPr>
          <w:rFonts w:ascii="Arial" w:eastAsia="Calibri" w:hAnsi="Arial" w:cs="Arial"/>
          <w:sz w:val="20"/>
          <w:szCs w:val="20"/>
        </w:rPr>
        <w:t>0</w:t>
      </w:r>
      <w:r w:rsidRPr="005D1219">
        <w:rPr>
          <w:rFonts w:ascii="Arial" w:eastAsia="Calibri" w:hAnsi="Arial" w:cs="Arial"/>
          <w:sz w:val="20"/>
          <w:szCs w:val="20"/>
        </w:rPr>
        <w:t xml:space="preserve">. </w:t>
      </w:r>
      <w:r w:rsidR="00C00960">
        <w:rPr>
          <w:rFonts w:ascii="Arial" w:eastAsia="Calibri" w:hAnsi="Arial" w:cs="Arial"/>
          <w:sz w:val="20"/>
          <w:szCs w:val="20"/>
        </w:rPr>
        <w:t>rujna</w:t>
      </w:r>
      <w:r w:rsidRPr="005D1219">
        <w:rPr>
          <w:rFonts w:ascii="Arial" w:eastAsia="Calibri" w:hAnsi="Arial" w:cs="Arial"/>
          <w:sz w:val="20"/>
          <w:szCs w:val="20"/>
        </w:rPr>
        <w:t xml:space="preserve"> 2024. iznosi </w:t>
      </w:r>
      <w:r w:rsidR="00C00960">
        <w:rPr>
          <w:rFonts w:ascii="Arial" w:eastAsia="Calibri" w:hAnsi="Arial" w:cs="Arial"/>
          <w:sz w:val="20"/>
          <w:szCs w:val="20"/>
        </w:rPr>
        <w:t>29.037</w:t>
      </w:r>
      <w:r w:rsidRPr="005D1219">
        <w:rPr>
          <w:rFonts w:ascii="Arial" w:eastAsia="Calibri" w:hAnsi="Arial" w:cs="Arial"/>
          <w:sz w:val="20"/>
          <w:szCs w:val="20"/>
        </w:rPr>
        <w:t xml:space="preserve"> tisuća eura (31. prosinca 2023.: 28.810 tisuća eura). Fer vrijednost je izračunata koristeći podatke sa Bloomberg platforme – krivulje potrebne za revalorizaciju i projekcija varijabilne kamatne stope uz korištenje premije za rizik likvidnosti.</w:t>
      </w:r>
    </w:p>
    <w:p w14:paraId="0C7F0954" w14:textId="77777777" w:rsidR="006F1B7D" w:rsidRPr="005D1219" w:rsidRDefault="006F1B7D" w:rsidP="006F1B7D">
      <w:pPr>
        <w:suppressAutoHyphens/>
        <w:autoSpaceDN w:val="0"/>
        <w:rPr>
          <w:rFonts w:ascii="Arial" w:eastAsia="Calibri" w:hAnsi="Arial" w:cs="Arial"/>
          <w:sz w:val="20"/>
          <w:szCs w:val="20"/>
        </w:rPr>
      </w:pPr>
    </w:p>
    <w:p w14:paraId="009592F7" w14:textId="05B5604A" w:rsidR="006F1B7D" w:rsidRPr="005D1219" w:rsidRDefault="006F1B7D" w:rsidP="006F1B7D">
      <w:pPr>
        <w:suppressAutoHyphens/>
        <w:autoSpaceDN w:val="0"/>
        <w:jc w:val="both"/>
        <w:rPr>
          <w:rFonts w:ascii="Arial" w:eastAsia="Calibri" w:hAnsi="Arial" w:cs="Arial"/>
          <w:sz w:val="20"/>
          <w:szCs w:val="20"/>
        </w:rPr>
        <w:sectPr w:rsidR="006F1B7D" w:rsidRPr="005D1219" w:rsidSect="003278AB">
          <w:footerReference w:type="default" r:id="rId27"/>
          <w:pgSz w:w="11906" w:h="16838"/>
          <w:pgMar w:top="1417" w:right="1417" w:bottom="1417" w:left="1417" w:header="708" w:footer="708" w:gutter="0"/>
          <w:cols w:space="708"/>
          <w:docGrid w:linePitch="360"/>
        </w:sectPr>
      </w:pPr>
      <w:r w:rsidRPr="005D1219">
        <w:rPr>
          <w:rFonts w:ascii="Arial" w:eastAsia="Calibri" w:hAnsi="Arial" w:cs="Arial"/>
          <w:sz w:val="20"/>
          <w:szCs w:val="20"/>
        </w:rPr>
        <w:t>Ukupna fer vrijednost mezzanine duga na 3</w:t>
      </w:r>
      <w:r>
        <w:rPr>
          <w:rFonts w:ascii="Arial" w:eastAsia="Calibri" w:hAnsi="Arial" w:cs="Arial"/>
          <w:sz w:val="20"/>
          <w:szCs w:val="20"/>
        </w:rPr>
        <w:t>0</w:t>
      </w:r>
      <w:r w:rsidRPr="005D1219">
        <w:rPr>
          <w:rFonts w:ascii="Arial" w:eastAsia="Calibri" w:hAnsi="Arial" w:cs="Arial"/>
          <w:sz w:val="20"/>
          <w:szCs w:val="20"/>
        </w:rPr>
        <w:t>.</w:t>
      </w:r>
      <w:r>
        <w:rPr>
          <w:rFonts w:ascii="Arial" w:eastAsia="Calibri" w:hAnsi="Arial" w:cs="Arial"/>
          <w:sz w:val="20"/>
          <w:szCs w:val="20"/>
        </w:rPr>
        <w:t xml:space="preserve"> </w:t>
      </w:r>
      <w:r w:rsidR="00C00960">
        <w:rPr>
          <w:rFonts w:ascii="Arial" w:eastAsia="Calibri" w:hAnsi="Arial" w:cs="Arial"/>
          <w:sz w:val="20"/>
          <w:szCs w:val="20"/>
        </w:rPr>
        <w:t>rujna</w:t>
      </w:r>
      <w:r w:rsidRPr="005D1219">
        <w:rPr>
          <w:rFonts w:ascii="Arial" w:eastAsia="Calibri" w:hAnsi="Arial" w:cs="Arial"/>
          <w:sz w:val="20"/>
          <w:szCs w:val="20"/>
        </w:rPr>
        <w:t xml:space="preserve"> 2024.  iznosi </w:t>
      </w:r>
      <w:r w:rsidR="006C087B">
        <w:rPr>
          <w:rFonts w:ascii="Arial" w:eastAsia="Calibri" w:hAnsi="Arial" w:cs="Arial"/>
          <w:sz w:val="20"/>
          <w:szCs w:val="20"/>
        </w:rPr>
        <w:t>3</w:t>
      </w:r>
      <w:r w:rsidR="000C3754">
        <w:rPr>
          <w:rFonts w:ascii="Arial" w:eastAsia="Calibri" w:hAnsi="Arial" w:cs="Arial"/>
          <w:sz w:val="20"/>
          <w:szCs w:val="20"/>
        </w:rPr>
        <w:t>2</w:t>
      </w:r>
      <w:r w:rsidR="006C087B">
        <w:rPr>
          <w:rFonts w:ascii="Arial" w:eastAsia="Calibri" w:hAnsi="Arial" w:cs="Arial"/>
          <w:sz w:val="20"/>
          <w:szCs w:val="20"/>
        </w:rPr>
        <w:t>.</w:t>
      </w:r>
      <w:r w:rsidR="000C3754">
        <w:rPr>
          <w:rFonts w:ascii="Arial" w:eastAsia="Calibri" w:hAnsi="Arial" w:cs="Arial"/>
          <w:sz w:val="20"/>
          <w:szCs w:val="20"/>
        </w:rPr>
        <w:t>926</w:t>
      </w:r>
      <w:r w:rsidRPr="005D1219">
        <w:rPr>
          <w:rFonts w:ascii="Arial" w:eastAsia="Calibri" w:hAnsi="Arial" w:cs="Arial"/>
          <w:sz w:val="20"/>
          <w:szCs w:val="20"/>
        </w:rPr>
        <w:t xml:space="preserve"> tisuća </w:t>
      </w:r>
      <w:r w:rsidR="006C087B">
        <w:rPr>
          <w:rFonts w:ascii="Arial" w:eastAsia="Calibri" w:hAnsi="Arial" w:cs="Arial"/>
          <w:sz w:val="20"/>
          <w:szCs w:val="20"/>
        </w:rPr>
        <w:t>eura</w:t>
      </w:r>
      <w:r w:rsidRPr="005D1219">
        <w:rPr>
          <w:rFonts w:ascii="Arial" w:eastAsia="Calibri" w:hAnsi="Arial" w:cs="Arial"/>
          <w:sz w:val="20"/>
          <w:szCs w:val="20"/>
        </w:rPr>
        <w:t xml:space="preserve"> (31.prosinca 2023.: 33.698 tisuća eura).</w:t>
      </w:r>
    </w:p>
    <w:bookmarkEnd w:id="1027"/>
    <w:p w14:paraId="378AA43A" w14:textId="77777777" w:rsidR="0046704D" w:rsidRDefault="0046704D" w:rsidP="0046704D">
      <w:pPr>
        <w:keepNext/>
        <w:tabs>
          <w:tab w:val="left" w:pos="567"/>
        </w:tabs>
        <w:suppressAutoHyphens/>
        <w:autoSpaceDN w:val="0"/>
        <w:jc w:val="both"/>
        <w:rPr>
          <w:rFonts w:ascii="Arial" w:eastAsia="Times New Roman" w:hAnsi="Arial" w:cs="Arial"/>
          <w:b/>
          <w:bCs/>
          <w:color w:val="000000" w:themeColor="text1"/>
          <w:spacing w:val="-3"/>
          <w:sz w:val="20"/>
          <w:szCs w:val="20"/>
        </w:rPr>
      </w:pPr>
    </w:p>
    <w:p w14:paraId="620A6CB3" w14:textId="31983734" w:rsidR="0046704D" w:rsidRPr="003D1614" w:rsidRDefault="0046704D" w:rsidP="0046704D">
      <w:pPr>
        <w:keepNext/>
        <w:tabs>
          <w:tab w:val="left" w:pos="567"/>
        </w:tabs>
        <w:suppressAutoHyphens/>
        <w:autoSpaceDN w:val="0"/>
        <w:jc w:val="both"/>
        <w:rPr>
          <w:rFonts w:ascii="Arial" w:eastAsia="Times New Roman" w:hAnsi="Arial" w:cs="Arial"/>
          <w:b/>
          <w:bCs/>
          <w:color w:val="000000" w:themeColor="text1"/>
          <w:spacing w:val="-3"/>
          <w:sz w:val="20"/>
          <w:szCs w:val="20"/>
        </w:rPr>
      </w:pPr>
      <w:r w:rsidRPr="003D1614">
        <w:rPr>
          <w:rFonts w:ascii="Arial" w:eastAsia="Times New Roman" w:hAnsi="Arial" w:cs="Arial"/>
          <w:b/>
          <w:bCs/>
          <w:color w:val="000000" w:themeColor="text1"/>
          <w:spacing w:val="-3"/>
          <w:sz w:val="20"/>
          <w:szCs w:val="20"/>
        </w:rPr>
        <w:t>2</w:t>
      </w:r>
      <w:r>
        <w:rPr>
          <w:rFonts w:ascii="Arial" w:eastAsia="Times New Roman" w:hAnsi="Arial" w:cs="Arial"/>
          <w:b/>
          <w:bCs/>
          <w:color w:val="000000" w:themeColor="text1"/>
          <w:spacing w:val="-3"/>
          <w:sz w:val="20"/>
          <w:szCs w:val="20"/>
        </w:rPr>
        <w:t>4</w:t>
      </w:r>
      <w:r w:rsidRPr="003D1614">
        <w:rPr>
          <w:rFonts w:ascii="Arial" w:eastAsia="Times New Roman" w:hAnsi="Arial" w:cs="Arial"/>
          <w:b/>
          <w:bCs/>
          <w:color w:val="000000" w:themeColor="text1"/>
          <w:spacing w:val="-3"/>
          <w:sz w:val="20"/>
          <w:szCs w:val="20"/>
        </w:rPr>
        <w:t xml:space="preserve">. </w:t>
      </w:r>
      <w:r w:rsidRPr="003D1614">
        <w:rPr>
          <w:rFonts w:ascii="Arial" w:eastAsia="Times New Roman" w:hAnsi="Arial" w:cs="Arial"/>
          <w:b/>
          <w:bCs/>
          <w:color w:val="000000" w:themeColor="text1"/>
          <w:spacing w:val="-3"/>
          <w:sz w:val="20"/>
          <w:szCs w:val="20"/>
        </w:rPr>
        <w:tab/>
        <w:t>Fer vrijednost financijske imovine i financijskih obveza (nastavak)</w:t>
      </w:r>
    </w:p>
    <w:p w14:paraId="44F8EF4F" w14:textId="77777777" w:rsidR="0046704D" w:rsidRPr="003D1614" w:rsidRDefault="0046704D" w:rsidP="0046704D">
      <w:pPr>
        <w:keepNext/>
        <w:suppressAutoHyphens/>
        <w:autoSpaceDN w:val="0"/>
        <w:ind w:left="1428"/>
        <w:contextualSpacing/>
        <w:jc w:val="both"/>
        <w:rPr>
          <w:rFonts w:ascii="Arial" w:eastAsia="Times New Roman" w:hAnsi="Arial" w:cs="Arial"/>
          <w:b/>
          <w:bCs/>
          <w:color w:val="000000" w:themeColor="text1"/>
          <w:spacing w:val="-3"/>
          <w:sz w:val="20"/>
          <w:szCs w:val="20"/>
        </w:rPr>
      </w:pPr>
    </w:p>
    <w:p w14:paraId="1D019333" w14:textId="77777777" w:rsidR="0046704D" w:rsidRPr="003D1614" w:rsidRDefault="0046704D" w:rsidP="0046704D">
      <w:pPr>
        <w:keepNext/>
        <w:suppressAutoHyphens/>
        <w:autoSpaceDN w:val="0"/>
        <w:ind w:left="567" w:hanging="567"/>
        <w:jc w:val="both"/>
        <w:rPr>
          <w:rFonts w:ascii="Arial" w:eastAsia="Times New Roman" w:hAnsi="Arial" w:cs="Arial"/>
          <w:b/>
          <w:bCs/>
          <w:color w:val="000000" w:themeColor="text1"/>
          <w:spacing w:val="-3"/>
          <w:sz w:val="20"/>
          <w:szCs w:val="20"/>
        </w:rPr>
      </w:pPr>
      <w:r w:rsidRPr="003D1614">
        <w:rPr>
          <w:rFonts w:ascii="Arial" w:eastAsia="Times New Roman" w:hAnsi="Arial" w:cs="Arial"/>
          <w:b/>
          <w:bCs/>
          <w:color w:val="000000" w:themeColor="text1"/>
          <w:spacing w:val="-3"/>
          <w:sz w:val="20"/>
          <w:szCs w:val="20"/>
        </w:rPr>
        <w:t>2</w:t>
      </w:r>
      <w:r>
        <w:rPr>
          <w:rFonts w:ascii="Arial" w:eastAsia="Times New Roman" w:hAnsi="Arial" w:cs="Arial"/>
          <w:b/>
          <w:bCs/>
          <w:color w:val="000000" w:themeColor="text1"/>
          <w:spacing w:val="-3"/>
          <w:sz w:val="20"/>
          <w:szCs w:val="20"/>
        </w:rPr>
        <w:t>4</w:t>
      </w:r>
      <w:r w:rsidRPr="003D1614">
        <w:rPr>
          <w:rFonts w:ascii="Arial" w:eastAsia="Times New Roman" w:hAnsi="Arial" w:cs="Arial"/>
          <w:b/>
          <w:bCs/>
          <w:color w:val="000000" w:themeColor="text1"/>
          <w:spacing w:val="-3"/>
          <w:sz w:val="20"/>
          <w:szCs w:val="20"/>
        </w:rPr>
        <w:t>.1.</w:t>
      </w:r>
      <w:r w:rsidRPr="003D1614">
        <w:rPr>
          <w:rFonts w:ascii="Arial" w:eastAsia="Times New Roman" w:hAnsi="Arial" w:cs="Arial"/>
          <w:b/>
          <w:bCs/>
          <w:color w:val="000000" w:themeColor="text1"/>
          <w:spacing w:val="-3"/>
          <w:sz w:val="20"/>
          <w:szCs w:val="20"/>
        </w:rPr>
        <w:tab/>
        <w:t xml:space="preserve">Fer vrijednost financijske imovine i financijskih obveza koji se vode po fer vrijednosti (nastavak) </w:t>
      </w:r>
    </w:p>
    <w:p w14:paraId="07159578" w14:textId="77777777" w:rsidR="0046704D" w:rsidRDefault="0046704D" w:rsidP="0046704D">
      <w:pPr>
        <w:suppressAutoHyphens/>
        <w:autoSpaceDN w:val="0"/>
        <w:rPr>
          <w:rFonts w:ascii="Arial" w:eastAsia="Calibri" w:hAnsi="Arial" w:cs="Arial"/>
          <w:b/>
          <w:color w:val="000000" w:themeColor="text1"/>
          <w:sz w:val="20"/>
          <w:szCs w:val="20"/>
        </w:rPr>
      </w:pPr>
    </w:p>
    <w:p w14:paraId="61269402" w14:textId="63112AB2" w:rsidR="0046704D" w:rsidRPr="003D1614" w:rsidRDefault="0046704D" w:rsidP="0046704D">
      <w:pPr>
        <w:suppressAutoHyphens/>
        <w:autoSpaceDN w:val="0"/>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Pr>
          <w:rFonts w:ascii="Arial" w:eastAsia="Calibri" w:hAnsi="Arial" w:cs="Arial"/>
          <w:b/>
          <w:color w:val="000000" w:themeColor="text1"/>
          <w:sz w:val="20"/>
          <w:szCs w:val="20"/>
        </w:rPr>
        <w:t>4</w:t>
      </w:r>
      <w:r w:rsidRPr="003D1614">
        <w:rPr>
          <w:rFonts w:ascii="Arial" w:eastAsia="Calibri" w:hAnsi="Arial" w:cs="Arial"/>
          <w:b/>
          <w:color w:val="000000" w:themeColor="text1"/>
          <w:sz w:val="20"/>
          <w:szCs w:val="20"/>
        </w:rPr>
        <w:t xml:space="preserve">.1.1. </w:t>
      </w:r>
      <w:r w:rsidRPr="003D1614">
        <w:rPr>
          <w:rFonts w:ascii="Arial" w:eastAsia="Calibri" w:hAnsi="Arial" w:cs="Arial"/>
          <w:b/>
          <w:color w:val="000000" w:themeColor="text1"/>
          <w:sz w:val="20"/>
          <w:szCs w:val="20"/>
        </w:rPr>
        <w:tab/>
        <w:t>Razina 3 - fer vrijednosti</w:t>
      </w:r>
      <w:r>
        <w:rPr>
          <w:rFonts w:ascii="Arial" w:eastAsia="Calibri" w:hAnsi="Arial" w:cs="Arial"/>
          <w:b/>
          <w:color w:val="000000" w:themeColor="text1"/>
          <w:sz w:val="20"/>
          <w:szCs w:val="20"/>
        </w:rPr>
        <w:t xml:space="preserve"> (nastavak)</w:t>
      </w:r>
    </w:p>
    <w:p w14:paraId="2008E938" w14:textId="77777777" w:rsidR="0046704D" w:rsidRPr="003D1614" w:rsidRDefault="0046704D" w:rsidP="0046704D">
      <w:pPr>
        <w:suppressAutoHyphens/>
        <w:autoSpaceDN w:val="0"/>
        <w:rPr>
          <w:rFonts w:ascii="Arial" w:eastAsia="Calibri" w:hAnsi="Arial" w:cs="Arial"/>
          <w:color w:val="000000" w:themeColor="text1"/>
          <w:sz w:val="20"/>
          <w:szCs w:val="20"/>
        </w:rPr>
      </w:pPr>
    </w:p>
    <w:p w14:paraId="2B92AE8B" w14:textId="77777777" w:rsidR="00CA60FA" w:rsidRPr="003D1614" w:rsidRDefault="00CA60FA" w:rsidP="00CA60FA">
      <w:pPr>
        <w:tabs>
          <w:tab w:val="left" w:pos="284"/>
        </w:tabs>
        <w:suppressAutoHyphens/>
        <w:autoSpaceDN w:val="0"/>
        <w:rPr>
          <w:rFonts w:ascii="Arial" w:eastAsia="Calibri" w:hAnsi="Arial" w:cs="Arial"/>
          <w:b/>
          <w:i/>
          <w:color w:val="000000" w:themeColor="text1"/>
          <w:sz w:val="20"/>
          <w:szCs w:val="20"/>
        </w:rPr>
      </w:pPr>
      <w:r w:rsidRPr="003D1614">
        <w:rPr>
          <w:rFonts w:ascii="Arial" w:eastAsia="Calibri" w:hAnsi="Arial" w:cs="Arial"/>
          <w:b/>
          <w:i/>
          <w:color w:val="000000" w:themeColor="text1"/>
          <w:sz w:val="20"/>
          <w:szCs w:val="20"/>
        </w:rPr>
        <w:t xml:space="preserve">b) </w:t>
      </w:r>
      <w:r w:rsidRPr="003D1614">
        <w:rPr>
          <w:rFonts w:ascii="Arial" w:eastAsia="Calibri" w:hAnsi="Arial" w:cs="Arial"/>
          <w:b/>
          <w:i/>
          <w:color w:val="000000" w:themeColor="text1"/>
          <w:sz w:val="20"/>
          <w:szCs w:val="20"/>
        </w:rPr>
        <w:tab/>
        <w:t>Korporativne obveznice koje su raspoređene u razinu 3</w:t>
      </w:r>
    </w:p>
    <w:p w14:paraId="353ED68D" w14:textId="77777777" w:rsidR="00CA60FA" w:rsidRPr="003D1614" w:rsidRDefault="00CA60FA" w:rsidP="00CA60FA">
      <w:pPr>
        <w:suppressAutoHyphens/>
        <w:autoSpaceDN w:val="0"/>
        <w:rPr>
          <w:rFonts w:ascii="Arial" w:eastAsia="Calibri" w:hAnsi="Arial" w:cs="Arial"/>
          <w:b/>
          <w:i/>
          <w:color w:val="000000" w:themeColor="text1"/>
          <w:sz w:val="20"/>
          <w:szCs w:val="20"/>
        </w:rPr>
      </w:pPr>
    </w:p>
    <w:p w14:paraId="46B9A0B6" w14:textId="77777777" w:rsidR="00CA60FA" w:rsidRPr="003D1614" w:rsidRDefault="00CA60FA" w:rsidP="00CA60FA">
      <w:pPr>
        <w:suppressAutoHyphens/>
        <w:autoSpaceDN w:val="0"/>
        <w:rPr>
          <w:rFonts w:ascii="Arial" w:eastAsia="Calibri" w:hAnsi="Arial" w:cs="Arial"/>
          <w:i/>
          <w:color w:val="000000" w:themeColor="text1"/>
          <w:sz w:val="20"/>
          <w:szCs w:val="20"/>
        </w:rPr>
      </w:pPr>
      <w:r w:rsidRPr="003D1614">
        <w:rPr>
          <w:rFonts w:ascii="Arial" w:eastAsia="Calibri" w:hAnsi="Arial" w:cs="Arial"/>
          <w:i/>
          <w:color w:val="000000" w:themeColor="text1"/>
          <w:sz w:val="20"/>
          <w:szCs w:val="20"/>
        </w:rPr>
        <w:t>(i) Tehnike vrednovanja i značajni ulazni podaci koji nisu vidljivi</w:t>
      </w:r>
    </w:p>
    <w:p w14:paraId="5A573684" w14:textId="77777777" w:rsidR="00CA60FA" w:rsidRPr="003D1614" w:rsidRDefault="00CA60FA" w:rsidP="00CA60FA">
      <w:pPr>
        <w:suppressAutoHyphens/>
        <w:autoSpaceDN w:val="0"/>
        <w:jc w:val="both"/>
        <w:rPr>
          <w:rFonts w:ascii="Arial" w:eastAsia="Calibri" w:hAnsi="Arial" w:cs="Arial"/>
          <w:b/>
          <w:i/>
          <w:color w:val="000000" w:themeColor="text1"/>
          <w:sz w:val="20"/>
          <w:szCs w:val="20"/>
        </w:rPr>
      </w:pPr>
    </w:p>
    <w:p w14:paraId="1C8F9D4E" w14:textId="1D8DEAA3" w:rsidR="00CA60FA" w:rsidRPr="003D1614" w:rsidRDefault="00CA60FA" w:rsidP="00CA60FA">
      <w:pPr>
        <w:tabs>
          <w:tab w:val="right" w:pos="1202"/>
        </w:tabs>
        <w:suppressAutoHyphens/>
        <w:autoSpaceDN w:val="0"/>
        <w:jc w:val="both"/>
        <w:outlineLvl w:val="0"/>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Za procjenu fer vrijednosti nelikvidnih korporativnih obveznica u portfelju HBOR-a koristi se metoda diskontiranog novčanog tijeka obveznice. Fer vrijednost obveznica je sadašnja vrijednost svih budućih novčanih tijekova obveznica izračunata primjenom diskontne stope definirane kao prinos na nerizična ulaganja uvećan za premiju specifičnog kreditnog rizika za promatranu obveznicu i premiju rizika likvidnosti obveznice</w:t>
      </w:r>
    </w:p>
    <w:p w14:paraId="081A2FD2" w14:textId="77777777" w:rsidR="003E5073" w:rsidRPr="003D1614" w:rsidRDefault="003E5073" w:rsidP="003E5073">
      <w:pPr>
        <w:suppressAutoHyphens/>
        <w:autoSpaceDN w:val="0"/>
        <w:jc w:val="both"/>
        <w:rPr>
          <w:rFonts w:ascii="Arial" w:eastAsia="Calibri" w:hAnsi="Arial" w:cs="Arial"/>
          <w:color w:val="000000" w:themeColor="text1"/>
          <w:sz w:val="20"/>
          <w:szCs w:val="20"/>
        </w:rPr>
      </w:pPr>
    </w:p>
    <w:p w14:paraId="1128AE0D" w14:textId="77777777" w:rsidR="003E5073" w:rsidRPr="003D1614" w:rsidRDefault="003E5073" w:rsidP="003E5073">
      <w:pPr>
        <w:suppressAutoHyphens/>
        <w:autoSpaceDN w:val="0"/>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Visina diskontne stope na nerizična ulaganja izračunava se kao linearno interpolirani/ekstrapolirani prinos obveznica Republike Hrvatske istog trajanja (duracije) i iste devize kao vrednovane obveznice. Izvor informacija o prinosima na obveznice Republike Hrvatske je informacijski sustav Bloomberg.</w:t>
      </w:r>
    </w:p>
    <w:p w14:paraId="60A9D24E" w14:textId="77777777" w:rsidR="003E5073" w:rsidRPr="003D1614" w:rsidRDefault="003E5073" w:rsidP="003E5073">
      <w:pPr>
        <w:suppressAutoHyphens/>
        <w:autoSpaceDN w:val="0"/>
        <w:jc w:val="both"/>
        <w:rPr>
          <w:rFonts w:ascii="Arial" w:eastAsia="Calibri" w:hAnsi="Arial" w:cs="Arial"/>
          <w:color w:val="000000" w:themeColor="text1"/>
          <w:sz w:val="20"/>
          <w:szCs w:val="20"/>
        </w:rPr>
      </w:pPr>
    </w:p>
    <w:p w14:paraId="6DF5F345" w14:textId="77777777" w:rsidR="003E5073" w:rsidRPr="003D1614" w:rsidRDefault="003E5073" w:rsidP="003E5073">
      <w:pPr>
        <w:suppressAutoHyphens/>
        <w:autoSpaceDN w:val="0"/>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 xml:space="preserve">Premija iznosa specifičnog rizika za promatranu obveznicu ovisi o HBOR-ovom internom kreditnom rejtingu izdavatelja obveznice, odnosno ako je izdavatelj član poslovne grupacije, premija rizika ovisi o internom kreditnom rejtingu matičnog društva. </w:t>
      </w:r>
    </w:p>
    <w:p w14:paraId="0F827E5A" w14:textId="77777777" w:rsidR="003E5073" w:rsidRPr="003D1614" w:rsidRDefault="003E5073" w:rsidP="003E5073">
      <w:pPr>
        <w:suppressAutoHyphens/>
        <w:autoSpaceDN w:val="0"/>
        <w:ind w:left="708"/>
        <w:rPr>
          <w:rFonts w:ascii="Arial" w:eastAsia="Calibri" w:hAnsi="Arial" w:cs="Arial"/>
          <w:b/>
          <w:i/>
          <w:color w:val="000000" w:themeColor="text1"/>
          <w:sz w:val="20"/>
          <w:szCs w:val="20"/>
        </w:rPr>
      </w:pPr>
      <w:r w:rsidRPr="003D1614">
        <w:rPr>
          <w:rFonts w:ascii="Arial" w:eastAsia="Calibri" w:hAnsi="Arial" w:cs="Arial"/>
          <w:color w:val="000000" w:themeColor="text1"/>
          <w:sz w:val="20"/>
          <w:szCs w:val="20"/>
        </w:rPr>
        <w:t> </w:t>
      </w:r>
    </w:p>
    <w:p w14:paraId="1C3605E9" w14:textId="5874EFB4" w:rsidR="003E5073" w:rsidRPr="003D1614" w:rsidRDefault="003E5073" w:rsidP="003E5073">
      <w:pPr>
        <w:keepNext/>
        <w:tabs>
          <w:tab w:val="left" w:pos="567"/>
        </w:tabs>
        <w:suppressAutoHyphens/>
        <w:autoSpaceDN w:val="0"/>
        <w:jc w:val="both"/>
        <w:rPr>
          <w:rFonts w:ascii="Arial" w:eastAsia="Times New Roman" w:hAnsi="Arial" w:cs="Arial"/>
          <w:bCs/>
          <w:i/>
          <w:color w:val="000000" w:themeColor="text1"/>
          <w:sz w:val="20"/>
          <w:szCs w:val="20"/>
        </w:rPr>
      </w:pPr>
      <w:r w:rsidRPr="003D1614">
        <w:rPr>
          <w:rFonts w:ascii="Arial" w:eastAsia="Times New Roman" w:hAnsi="Arial" w:cs="Arial"/>
          <w:bCs/>
          <w:i/>
          <w:color w:val="000000" w:themeColor="text1"/>
          <w:spacing w:val="-3"/>
          <w:sz w:val="20"/>
          <w:szCs w:val="20"/>
        </w:rPr>
        <w:t xml:space="preserve">(ii) Analiza senzitivnosti korporativne obveznice </w:t>
      </w:r>
      <w:r w:rsidRPr="003D1614">
        <w:rPr>
          <w:rFonts w:ascii="Arial" w:eastAsia="Times New Roman" w:hAnsi="Arial" w:cs="Arial"/>
          <w:bCs/>
          <w:i/>
          <w:color w:val="000000" w:themeColor="text1"/>
          <w:sz w:val="20"/>
          <w:szCs w:val="20"/>
        </w:rPr>
        <w:t xml:space="preserve">s iskazanim potencijalnim učinkom na dobit/gubitak na dan </w:t>
      </w:r>
      <w:r w:rsidR="00E16D06" w:rsidRPr="00E16D06">
        <w:rPr>
          <w:rFonts w:ascii="Arial" w:eastAsia="Times New Roman" w:hAnsi="Arial" w:cs="Arial"/>
          <w:bCs/>
          <w:i/>
          <w:color w:val="000000" w:themeColor="text1"/>
          <w:sz w:val="20"/>
          <w:szCs w:val="20"/>
        </w:rPr>
        <w:t>30. rujna 202</w:t>
      </w:r>
      <w:r w:rsidR="00B91C29">
        <w:rPr>
          <w:rFonts w:ascii="Arial" w:eastAsia="Times New Roman" w:hAnsi="Arial" w:cs="Arial"/>
          <w:bCs/>
          <w:i/>
          <w:color w:val="000000" w:themeColor="text1"/>
          <w:sz w:val="20"/>
          <w:szCs w:val="20"/>
        </w:rPr>
        <w:t>4</w:t>
      </w:r>
      <w:r w:rsidR="00E16D06" w:rsidRPr="00E16D06">
        <w:rPr>
          <w:rFonts w:ascii="Arial" w:eastAsia="Times New Roman" w:hAnsi="Arial" w:cs="Arial"/>
          <w:bCs/>
          <w:i/>
          <w:color w:val="000000" w:themeColor="text1"/>
          <w:sz w:val="20"/>
          <w:szCs w:val="20"/>
        </w:rPr>
        <w:t>.</w:t>
      </w:r>
      <w:r w:rsidRPr="003D1614">
        <w:rPr>
          <w:rFonts w:ascii="Arial" w:eastAsia="Times New Roman" w:hAnsi="Arial" w:cs="Arial"/>
          <w:bCs/>
          <w:i/>
          <w:color w:val="000000" w:themeColor="text1"/>
          <w:sz w:val="20"/>
          <w:szCs w:val="20"/>
        </w:rPr>
        <w:t>, uz pretpostavku promjene diskontirane stope (prinosa) za 2% i za 10%</w:t>
      </w:r>
    </w:p>
    <w:p w14:paraId="5F8D6C7F" w14:textId="77777777" w:rsidR="003E5073" w:rsidRPr="003D1614" w:rsidRDefault="003E5073" w:rsidP="003E5073">
      <w:pPr>
        <w:suppressAutoHyphens/>
        <w:autoSpaceDN w:val="0"/>
        <w:jc w:val="both"/>
        <w:rPr>
          <w:rFonts w:ascii="Arial" w:eastAsia="Calibri" w:hAnsi="Arial" w:cs="Arial"/>
          <w:i/>
          <w:color w:val="000000" w:themeColor="text1"/>
          <w:sz w:val="20"/>
          <w:szCs w:val="20"/>
        </w:rPr>
      </w:pPr>
    </w:p>
    <w:p w14:paraId="4F882E76" w14:textId="7A2E54F3" w:rsidR="003E5073" w:rsidRPr="003D1614" w:rsidRDefault="003E5073" w:rsidP="003E5073">
      <w:pPr>
        <w:suppressAutoHyphens/>
        <w:autoSpaceDN w:val="0"/>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 xml:space="preserve">Pod pretpostavkom da se tržišne kamatne stope promjene za 2% u odnosu na važeće na dan </w:t>
      </w:r>
      <w:r w:rsidR="00E16D06" w:rsidRPr="00E16D06">
        <w:rPr>
          <w:rFonts w:ascii="Arial" w:eastAsia="Calibri" w:hAnsi="Arial" w:cs="Arial"/>
          <w:color w:val="000000" w:themeColor="text1"/>
          <w:sz w:val="20"/>
          <w:szCs w:val="20"/>
        </w:rPr>
        <w:t>30. rujna 202</w:t>
      </w:r>
      <w:r w:rsidR="006A413A">
        <w:rPr>
          <w:rFonts w:ascii="Arial" w:eastAsia="Calibri" w:hAnsi="Arial" w:cs="Arial"/>
          <w:color w:val="000000" w:themeColor="text1"/>
          <w:sz w:val="20"/>
          <w:szCs w:val="20"/>
        </w:rPr>
        <w:t>4</w:t>
      </w:r>
      <w:r w:rsidR="00E16D06" w:rsidRPr="00E16D06">
        <w:rPr>
          <w:rFonts w:ascii="Arial" w:eastAsia="Calibri" w:hAnsi="Arial" w:cs="Arial"/>
          <w:color w:val="000000" w:themeColor="text1"/>
          <w:sz w:val="20"/>
          <w:szCs w:val="20"/>
        </w:rPr>
        <w:t>.</w:t>
      </w:r>
      <w:r w:rsidRPr="003D1614">
        <w:rPr>
          <w:rFonts w:ascii="Arial" w:eastAsia="Calibri" w:hAnsi="Arial" w:cs="Arial"/>
          <w:color w:val="000000" w:themeColor="text1"/>
          <w:sz w:val="20"/>
          <w:szCs w:val="20"/>
        </w:rPr>
        <w:t>, efekti bi bili sljedeći:</w:t>
      </w:r>
    </w:p>
    <w:p w14:paraId="366B350B" w14:textId="220F3746" w:rsidR="003E5073" w:rsidRPr="00146CA2" w:rsidRDefault="003E5073" w:rsidP="003E5073">
      <w:pPr>
        <w:numPr>
          <w:ilvl w:val="0"/>
          <w:numId w:val="31"/>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U slučaju smanjenja tržišnih prinosa na nerizična ulaganja (linearno </w:t>
      </w:r>
      <w:r w:rsidRPr="008038C3">
        <w:rPr>
          <w:rFonts w:ascii="Arial" w:eastAsia="Times New Roman" w:hAnsi="Arial" w:cs="Arial"/>
          <w:color w:val="000000" w:themeColor="text1"/>
          <w:sz w:val="20"/>
          <w:szCs w:val="20"/>
        </w:rPr>
        <w:t xml:space="preserve">interpolirani/ekstrapolirani prinos obveznica Republike Hrvatske istog trajanja/duracije i iste devize kao predmetna obveznica) za 2%, diskontna stopa bi iznosila </w:t>
      </w:r>
      <w:r w:rsidR="007A4E3D" w:rsidRPr="001541F1">
        <w:rPr>
          <w:rFonts w:ascii="Arial" w:eastAsia="Times New Roman" w:hAnsi="Arial" w:cs="Arial"/>
          <w:color w:val="000000" w:themeColor="text1"/>
          <w:sz w:val="20"/>
          <w:szCs w:val="20"/>
        </w:rPr>
        <w:t>15,</w:t>
      </w:r>
      <w:r w:rsidR="008B0FEC" w:rsidRPr="001541F1">
        <w:rPr>
          <w:rFonts w:ascii="Arial" w:eastAsia="Times New Roman" w:hAnsi="Arial" w:cs="Arial"/>
          <w:color w:val="000000" w:themeColor="text1"/>
          <w:sz w:val="20"/>
          <w:szCs w:val="20"/>
        </w:rPr>
        <w:t>3</w:t>
      </w:r>
      <w:r w:rsidR="008038C3" w:rsidRPr="001541F1">
        <w:rPr>
          <w:rFonts w:ascii="Arial" w:eastAsia="Times New Roman" w:hAnsi="Arial" w:cs="Arial"/>
          <w:color w:val="000000" w:themeColor="text1"/>
          <w:sz w:val="20"/>
          <w:szCs w:val="20"/>
        </w:rPr>
        <w:t>7</w:t>
      </w:r>
      <w:r w:rsidRPr="008B0FEC">
        <w:rPr>
          <w:rFonts w:ascii="Arial" w:eastAsia="Times New Roman" w:hAnsi="Arial" w:cs="Arial"/>
          <w:color w:val="000000" w:themeColor="text1"/>
          <w:sz w:val="20"/>
          <w:szCs w:val="20"/>
        </w:rPr>
        <w:t>%,</w:t>
      </w:r>
      <w:r w:rsidRPr="008038C3">
        <w:rPr>
          <w:rFonts w:ascii="Arial" w:eastAsia="Times New Roman" w:hAnsi="Arial" w:cs="Arial"/>
          <w:color w:val="000000" w:themeColor="text1"/>
          <w:sz w:val="20"/>
          <w:szCs w:val="20"/>
        </w:rPr>
        <w:t xml:space="preserve"> cijena obveznica </w:t>
      </w:r>
      <w:r w:rsidRPr="00146CA2">
        <w:rPr>
          <w:rFonts w:ascii="Arial" w:eastAsia="Times New Roman" w:hAnsi="Arial" w:cs="Arial"/>
          <w:color w:val="000000" w:themeColor="text1"/>
          <w:sz w:val="20"/>
          <w:szCs w:val="20"/>
        </w:rPr>
        <w:t xml:space="preserve">bi bila </w:t>
      </w:r>
      <w:r w:rsidR="008038C3" w:rsidRPr="001541F1">
        <w:rPr>
          <w:rFonts w:ascii="Arial" w:eastAsia="Times New Roman" w:hAnsi="Arial" w:cs="Arial"/>
          <w:sz w:val="20"/>
          <w:szCs w:val="20"/>
        </w:rPr>
        <w:t>44</w:t>
      </w:r>
      <w:r w:rsidR="007A4E3D" w:rsidRPr="001541F1">
        <w:rPr>
          <w:rFonts w:ascii="Arial" w:eastAsia="Times New Roman" w:hAnsi="Arial" w:cs="Arial"/>
          <w:sz w:val="20"/>
          <w:szCs w:val="20"/>
        </w:rPr>
        <w:t>,</w:t>
      </w:r>
      <w:r w:rsidR="00DF5D85" w:rsidRPr="001541F1">
        <w:rPr>
          <w:rFonts w:ascii="Arial" w:eastAsia="Times New Roman" w:hAnsi="Arial" w:cs="Arial"/>
          <w:sz w:val="20"/>
          <w:szCs w:val="20"/>
        </w:rPr>
        <w:t>3</w:t>
      </w:r>
      <w:r w:rsidR="008038C3" w:rsidRPr="001541F1">
        <w:rPr>
          <w:rFonts w:ascii="Arial" w:eastAsia="Times New Roman" w:hAnsi="Arial" w:cs="Arial"/>
          <w:sz w:val="20"/>
          <w:szCs w:val="20"/>
        </w:rPr>
        <w:t>2</w:t>
      </w:r>
      <w:r w:rsidRPr="00146CA2">
        <w:rPr>
          <w:rFonts w:ascii="Arial" w:eastAsia="Times New Roman" w:hAnsi="Arial" w:cs="Arial"/>
          <w:color w:val="000000" w:themeColor="text1"/>
          <w:sz w:val="20"/>
          <w:szCs w:val="20"/>
        </w:rPr>
        <w:t xml:space="preserve">%, što bi rezultiralo povećanjem ostvarene dobiti HBOR-a za </w:t>
      </w:r>
      <w:r w:rsidR="00530878" w:rsidRPr="00146CA2">
        <w:rPr>
          <w:rFonts w:ascii="Arial" w:eastAsia="Times New Roman" w:hAnsi="Arial" w:cs="Arial"/>
          <w:color w:val="000000" w:themeColor="text1"/>
          <w:sz w:val="20"/>
          <w:szCs w:val="20"/>
        </w:rPr>
        <w:t>1</w:t>
      </w:r>
      <w:r w:rsidRPr="00146CA2">
        <w:rPr>
          <w:rFonts w:ascii="Arial" w:eastAsia="Times New Roman" w:hAnsi="Arial" w:cs="Arial"/>
          <w:sz w:val="20"/>
          <w:szCs w:val="20"/>
        </w:rPr>
        <w:t xml:space="preserve"> </w:t>
      </w:r>
      <w:r w:rsidRPr="00146CA2">
        <w:rPr>
          <w:rFonts w:ascii="Arial" w:eastAsia="Times New Roman" w:hAnsi="Arial" w:cs="Arial"/>
          <w:color w:val="000000" w:themeColor="text1"/>
          <w:sz w:val="20"/>
          <w:szCs w:val="20"/>
        </w:rPr>
        <w:t>tisuć</w:t>
      </w:r>
      <w:r w:rsidR="00530878" w:rsidRPr="00146CA2">
        <w:rPr>
          <w:rFonts w:ascii="Arial" w:eastAsia="Times New Roman" w:hAnsi="Arial" w:cs="Arial"/>
          <w:color w:val="000000" w:themeColor="text1"/>
          <w:sz w:val="20"/>
          <w:szCs w:val="20"/>
        </w:rPr>
        <w:t>u</w:t>
      </w:r>
      <w:r w:rsidRPr="00146CA2">
        <w:rPr>
          <w:rFonts w:ascii="Arial" w:eastAsia="Times New Roman" w:hAnsi="Arial" w:cs="Arial"/>
          <w:color w:val="000000" w:themeColor="text1"/>
          <w:sz w:val="20"/>
          <w:szCs w:val="20"/>
        </w:rPr>
        <w:t xml:space="preserve"> </w:t>
      </w:r>
      <w:r w:rsidR="003A2761" w:rsidRPr="00146CA2">
        <w:rPr>
          <w:rFonts w:ascii="Arial" w:eastAsia="Times New Roman" w:hAnsi="Arial" w:cs="Arial"/>
          <w:color w:val="000000" w:themeColor="text1"/>
          <w:sz w:val="20"/>
          <w:szCs w:val="20"/>
        </w:rPr>
        <w:t>eura</w:t>
      </w:r>
      <w:r w:rsidRPr="00146CA2">
        <w:rPr>
          <w:rFonts w:ascii="Arial" w:eastAsia="Times New Roman" w:hAnsi="Arial" w:cs="Arial"/>
          <w:color w:val="000000" w:themeColor="text1"/>
          <w:sz w:val="20"/>
          <w:szCs w:val="20"/>
        </w:rPr>
        <w:t>.</w:t>
      </w:r>
    </w:p>
    <w:p w14:paraId="49DEA81C" w14:textId="6AC9E117" w:rsidR="003E5073" w:rsidRPr="00146CA2" w:rsidRDefault="003E5073" w:rsidP="003E5073">
      <w:pPr>
        <w:numPr>
          <w:ilvl w:val="0"/>
          <w:numId w:val="31"/>
        </w:numPr>
        <w:suppressAutoHyphens/>
        <w:autoSpaceDN w:val="0"/>
        <w:contextualSpacing/>
        <w:jc w:val="both"/>
        <w:rPr>
          <w:rFonts w:ascii="Arial" w:eastAsia="Times New Roman" w:hAnsi="Arial" w:cs="Arial"/>
          <w:color w:val="000000" w:themeColor="text1"/>
          <w:sz w:val="20"/>
          <w:szCs w:val="20"/>
        </w:rPr>
      </w:pPr>
      <w:r w:rsidRPr="00146CA2">
        <w:rPr>
          <w:rFonts w:ascii="Arial" w:eastAsia="Times New Roman" w:hAnsi="Arial" w:cs="Arial"/>
          <w:color w:val="000000" w:themeColor="text1"/>
          <w:sz w:val="20"/>
          <w:szCs w:val="20"/>
        </w:rPr>
        <w:t xml:space="preserve">U slučaju povećanja tržišnih prinosa na nerizična ulaganja (linearno interpolirani/ekstrapolirani prinos obveznica Republike Hrvatske istog trajanja/duracije i iste devize kao korporativne obveznice) za 2%, diskontna stopa bi iznosila </w:t>
      </w:r>
      <w:r w:rsidRPr="001541F1">
        <w:rPr>
          <w:rFonts w:ascii="Arial" w:eastAsia="Times New Roman" w:hAnsi="Arial" w:cs="Arial"/>
          <w:color w:val="000000" w:themeColor="text1"/>
          <w:sz w:val="20"/>
          <w:szCs w:val="20"/>
        </w:rPr>
        <w:t>19,</w:t>
      </w:r>
      <w:r w:rsidR="00DF5D85" w:rsidRPr="001541F1">
        <w:rPr>
          <w:rFonts w:ascii="Arial" w:eastAsia="Times New Roman" w:hAnsi="Arial" w:cs="Arial"/>
          <w:color w:val="000000" w:themeColor="text1"/>
          <w:sz w:val="20"/>
          <w:szCs w:val="20"/>
        </w:rPr>
        <w:t>3</w:t>
      </w:r>
      <w:r w:rsidR="008038C3" w:rsidRPr="001541F1">
        <w:rPr>
          <w:rFonts w:ascii="Arial" w:eastAsia="Times New Roman" w:hAnsi="Arial" w:cs="Arial"/>
          <w:color w:val="000000" w:themeColor="text1"/>
          <w:sz w:val="20"/>
          <w:szCs w:val="20"/>
        </w:rPr>
        <w:t>7</w:t>
      </w:r>
      <w:r w:rsidRPr="00146CA2">
        <w:rPr>
          <w:rFonts w:ascii="Arial" w:eastAsia="Times New Roman" w:hAnsi="Arial" w:cs="Arial"/>
          <w:color w:val="000000" w:themeColor="text1"/>
          <w:sz w:val="20"/>
          <w:szCs w:val="20"/>
        </w:rPr>
        <w:t xml:space="preserve">%, cijena obveznice bi bila </w:t>
      </w:r>
      <w:r w:rsidR="008038C3" w:rsidRPr="001541F1">
        <w:rPr>
          <w:rFonts w:ascii="Arial" w:eastAsia="Times New Roman" w:hAnsi="Arial" w:cs="Arial"/>
          <w:color w:val="000000" w:themeColor="text1"/>
          <w:sz w:val="20"/>
          <w:szCs w:val="20"/>
        </w:rPr>
        <w:t>43</w:t>
      </w:r>
      <w:r w:rsidR="007A4E3D" w:rsidRPr="001541F1">
        <w:rPr>
          <w:rFonts w:ascii="Arial" w:eastAsia="Times New Roman" w:hAnsi="Arial" w:cs="Arial"/>
          <w:color w:val="000000" w:themeColor="text1"/>
          <w:sz w:val="20"/>
          <w:szCs w:val="20"/>
        </w:rPr>
        <w:t>,</w:t>
      </w:r>
      <w:r w:rsidR="00DF5D85" w:rsidRPr="001541F1">
        <w:rPr>
          <w:rFonts w:ascii="Arial" w:eastAsia="Times New Roman" w:hAnsi="Arial" w:cs="Arial"/>
          <w:color w:val="000000" w:themeColor="text1"/>
          <w:sz w:val="20"/>
          <w:szCs w:val="20"/>
        </w:rPr>
        <w:t>10</w:t>
      </w:r>
      <w:r w:rsidRPr="00146CA2">
        <w:rPr>
          <w:rFonts w:ascii="Arial" w:eastAsia="Times New Roman" w:hAnsi="Arial" w:cs="Arial"/>
          <w:color w:val="000000" w:themeColor="text1"/>
          <w:sz w:val="20"/>
          <w:szCs w:val="20"/>
        </w:rPr>
        <w:t xml:space="preserve">%, što bi rezultiralo smanjenjem ostvarene dobiti HBOR-a za </w:t>
      </w:r>
      <w:r w:rsidR="00530878" w:rsidRPr="001541F1">
        <w:rPr>
          <w:rFonts w:ascii="Arial" w:eastAsia="Times New Roman" w:hAnsi="Arial" w:cs="Arial"/>
          <w:color w:val="000000" w:themeColor="text1"/>
          <w:sz w:val="20"/>
          <w:szCs w:val="20"/>
        </w:rPr>
        <w:t>1</w:t>
      </w:r>
      <w:r w:rsidRPr="00146CA2">
        <w:rPr>
          <w:rFonts w:ascii="Arial" w:eastAsia="Times New Roman" w:hAnsi="Arial" w:cs="Arial"/>
          <w:color w:val="000000" w:themeColor="text1"/>
          <w:sz w:val="20"/>
          <w:szCs w:val="20"/>
        </w:rPr>
        <w:t xml:space="preserve"> tisuć</w:t>
      </w:r>
      <w:r w:rsidR="00530878" w:rsidRPr="00146CA2">
        <w:rPr>
          <w:rFonts w:ascii="Arial" w:eastAsia="Times New Roman" w:hAnsi="Arial" w:cs="Arial"/>
          <w:color w:val="000000" w:themeColor="text1"/>
          <w:sz w:val="20"/>
          <w:szCs w:val="20"/>
        </w:rPr>
        <w:t>u</w:t>
      </w:r>
      <w:r w:rsidRPr="00146CA2">
        <w:rPr>
          <w:rFonts w:ascii="Arial" w:eastAsia="Times New Roman" w:hAnsi="Arial" w:cs="Arial"/>
          <w:color w:val="000000" w:themeColor="text1"/>
          <w:sz w:val="20"/>
          <w:szCs w:val="20"/>
        </w:rPr>
        <w:t xml:space="preserve"> </w:t>
      </w:r>
      <w:r w:rsidR="003A2761" w:rsidRPr="00146CA2">
        <w:rPr>
          <w:rFonts w:ascii="Arial" w:eastAsia="Times New Roman" w:hAnsi="Arial" w:cs="Arial"/>
          <w:color w:val="000000" w:themeColor="text1"/>
          <w:sz w:val="20"/>
          <w:szCs w:val="20"/>
        </w:rPr>
        <w:t>eur</w:t>
      </w:r>
      <w:r w:rsidRPr="00146CA2">
        <w:rPr>
          <w:rFonts w:ascii="Arial" w:eastAsia="Times New Roman" w:hAnsi="Arial" w:cs="Arial"/>
          <w:color w:val="000000" w:themeColor="text1"/>
          <w:sz w:val="20"/>
          <w:szCs w:val="20"/>
        </w:rPr>
        <w:t>a.</w:t>
      </w:r>
    </w:p>
    <w:p w14:paraId="7DE40E17" w14:textId="77777777" w:rsidR="003E5073" w:rsidRPr="008038C3" w:rsidRDefault="003E5073" w:rsidP="003E5073">
      <w:pPr>
        <w:suppressAutoHyphens/>
        <w:autoSpaceDN w:val="0"/>
        <w:ind w:left="720"/>
        <w:rPr>
          <w:rFonts w:ascii="Arial" w:eastAsia="Calibri" w:hAnsi="Arial" w:cs="Arial"/>
          <w:color w:val="000000" w:themeColor="text1"/>
          <w:sz w:val="20"/>
          <w:szCs w:val="20"/>
        </w:rPr>
      </w:pPr>
    </w:p>
    <w:p w14:paraId="30FD72FB" w14:textId="1EF9649B" w:rsidR="003E5073" w:rsidRPr="008038C3" w:rsidRDefault="003E5073" w:rsidP="003E5073">
      <w:pPr>
        <w:suppressAutoHyphens/>
        <w:autoSpaceDN w:val="0"/>
        <w:jc w:val="both"/>
        <w:rPr>
          <w:rFonts w:ascii="Arial" w:eastAsia="Calibri" w:hAnsi="Arial" w:cs="Arial"/>
          <w:color w:val="000000" w:themeColor="text1"/>
          <w:sz w:val="20"/>
          <w:szCs w:val="20"/>
        </w:rPr>
      </w:pPr>
      <w:r w:rsidRPr="008038C3">
        <w:rPr>
          <w:rFonts w:ascii="Arial" w:eastAsia="Calibri" w:hAnsi="Arial" w:cs="Arial"/>
          <w:color w:val="000000" w:themeColor="text1"/>
          <w:sz w:val="20"/>
          <w:szCs w:val="20"/>
        </w:rPr>
        <w:t xml:space="preserve">Kao osnova za promjenu tržišne kamatne stope od 2% u odnosu na važeće tržišne uvjete dana </w:t>
      </w:r>
      <w:r w:rsidR="00E16D06" w:rsidRPr="008038C3">
        <w:rPr>
          <w:rFonts w:ascii="Arial" w:eastAsia="Calibri" w:hAnsi="Arial" w:cs="Arial"/>
          <w:color w:val="000000" w:themeColor="text1"/>
          <w:sz w:val="20"/>
          <w:szCs w:val="20"/>
        </w:rPr>
        <w:t>30. rujna 202</w:t>
      </w:r>
      <w:r w:rsidR="006A413A">
        <w:rPr>
          <w:rFonts w:ascii="Arial" w:eastAsia="Calibri" w:hAnsi="Arial" w:cs="Arial"/>
          <w:color w:val="000000" w:themeColor="text1"/>
          <w:sz w:val="20"/>
          <w:szCs w:val="20"/>
        </w:rPr>
        <w:t>4</w:t>
      </w:r>
      <w:r w:rsidR="00E16D06" w:rsidRPr="008038C3">
        <w:rPr>
          <w:rFonts w:ascii="Arial" w:eastAsia="Calibri" w:hAnsi="Arial" w:cs="Arial"/>
          <w:color w:val="000000" w:themeColor="text1"/>
          <w:sz w:val="20"/>
          <w:szCs w:val="20"/>
        </w:rPr>
        <w:t xml:space="preserve">. </w:t>
      </w:r>
      <w:r w:rsidRPr="008038C3">
        <w:rPr>
          <w:rFonts w:ascii="Arial" w:eastAsia="Calibri" w:hAnsi="Arial" w:cs="Arial"/>
          <w:color w:val="000000" w:themeColor="text1"/>
          <w:sz w:val="20"/>
          <w:szCs w:val="20"/>
        </w:rPr>
        <w:t>korištena je definirana promjena kamatnih stopa iz „</w:t>
      </w:r>
      <w:bookmarkStart w:id="1028" w:name="_Hlk68000720"/>
      <w:r w:rsidRPr="008038C3">
        <w:rPr>
          <w:rFonts w:ascii="Arial" w:eastAsia="Calibri" w:hAnsi="Arial" w:cs="Arial"/>
          <w:color w:val="000000" w:themeColor="text1"/>
          <w:sz w:val="20"/>
          <w:szCs w:val="20"/>
        </w:rPr>
        <w:t xml:space="preserve">Odluke o upravljanju kamatnim rizikom u knjizi banke“, a koja se koristi za izračun standardnog kamatnog šoka. „Standardni kamatni šok jest paralelni </w:t>
      </w:r>
      <w:bookmarkEnd w:id="1028"/>
      <w:r w:rsidRPr="008038C3">
        <w:rPr>
          <w:rFonts w:ascii="Arial" w:eastAsia="Calibri" w:hAnsi="Arial" w:cs="Arial"/>
          <w:color w:val="000000" w:themeColor="text1"/>
          <w:sz w:val="20"/>
          <w:szCs w:val="20"/>
        </w:rPr>
        <w:t>pozitivan i negativan pomak kamatnih stopa na referentnoj krivulji prinosa za 200 baznih bodova, primjenjujući donju granicu stope od 0%, osim u slučajevima u kojima je ostvariva negativna kamatna stopa.“</w:t>
      </w:r>
    </w:p>
    <w:p w14:paraId="0630CCF2" w14:textId="77777777" w:rsidR="003E5073" w:rsidRPr="008038C3" w:rsidRDefault="003E5073" w:rsidP="003E5073">
      <w:pPr>
        <w:suppressAutoHyphens/>
        <w:autoSpaceDN w:val="0"/>
        <w:jc w:val="both"/>
        <w:rPr>
          <w:rFonts w:ascii="Arial" w:eastAsia="Calibri" w:hAnsi="Arial" w:cs="Arial"/>
          <w:color w:val="000000" w:themeColor="text1"/>
          <w:sz w:val="20"/>
          <w:szCs w:val="20"/>
        </w:rPr>
      </w:pPr>
    </w:p>
    <w:p w14:paraId="19331783" w14:textId="2324F898" w:rsidR="003E5073" w:rsidRPr="003D1614" w:rsidRDefault="003E5073" w:rsidP="003E5073">
      <w:pPr>
        <w:suppressAutoHyphens/>
        <w:autoSpaceDN w:val="0"/>
        <w:jc w:val="both"/>
        <w:rPr>
          <w:rFonts w:ascii="Arial" w:eastAsia="Calibri" w:hAnsi="Arial" w:cs="Arial"/>
          <w:color w:val="000000" w:themeColor="text1"/>
          <w:sz w:val="20"/>
          <w:szCs w:val="20"/>
        </w:rPr>
      </w:pPr>
      <w:r w:rsidRPr="008038C3">
        <w:rPr>
          <w:rFonts w:ascii="Arial" w:eastAsia="Calibri" w:hAnsi="Arial" w:cs="Arial"/>
          <w:color w:val="000000" w:themeColor="text1"/>
          <w:sz w:val="20"/>
          <w:szCs w:val="20"/>
        </w:rPr>
        <w:t xml:space="preserve">U slučaju smanjenja očekivanih novčanih tijekova po korporativnoj obveznici za 10%, ostvarena dobit HBOR-a bi se </w:t>
      </w:r>
      <w:r w:rsidRPr="00DF5D85">
        <w:rPr>
          <w:rFonts w:ascii="Arial" w:eastAsia="Calibri" w:hAnsi="Arial" w:cs="Arial"/>
          <w:color w:val="000000" w:themeColor="text1"/>
          <w:sz w:val="20"/>
          <w:szCs w:val="20"/>
        </w:rPr>
        <w:t xml:space="preserve">smanjila </w:t>
      </w:r>
      <w:r w:rsidRPr="001541F1">
        <w:rPr>
          <w:rFonts w:ascii="Arial" w:eastAsia="Calibri" w:hAnsi="Arial" w:cs="Arial"/>
          <w:color w:val="000000" w:themeColor="text1"/>
          <w:sz w:val="20"/>
          <w:szCs w:val="20"/>
        </w:rPr>
        <w:t xml:space="preserve">za </w:t>
      </w:r>
      <w:r w:rsidR="00DF5D85" w:rsidRPr="001541F1">
        <w:rPr>
          <w:rFonts w:ascii="Arial" w:eastAsia="Calibri" w:hAnsi="Arial" w:cs="Arial"/>
          <w:color w:val="000000" w:themeColor="text1"/>
          <w:sz w:val="20"/>
          <w:szCs w:val="20"/>
        </w:rPr>
        <w:t>7,5</w:t>
      </w:r>
      <w:r w:rsidR="00DF5D85">
        <w:rPr>
          <w:rFonts w:ascii="Arial" w:eastAsia="Calibri" w:hAnsi="Arial" w:cs="Arial"/>
          <w:color w:val="000000" w:themeColor="text1"/>
          <w:sz w:val="20"/>
          <w:szCs w:val="20"/>
        </w:rPr>
        <w:t xml:space="preserve"> </w:t>
      </w:r>
      <w:r w:rsidRPr="008038C3">
        <w:rPr>
          <w:rFonts w:ascii="Arial" w:eastAsia="Calibri" w:hAnsi="Arial" w:cs="Arial"/>
          <w:color w:val="000000" w:themeColor="text1"/>
          <w:sz w:val="20"/>
          <w:szCs w:val="20"/>
        </w:rPr>
        <w:t xml:space="preserve">tisuća </w:t>
      </w:r>
      <w:r w:rsidR="003A2761" w:rsidRPr="008038C3">
        <w:rPr>
          <w:rFonts w:ascii="Arial" w:eastAsia="Calibri" w:hAnsi="Arial" w:cs="Arial"/>
          <w:color w:val="000000" w:themeColor="text1"/>
          <w:sz w:val="20"/>
          <w:szCs w:val="20"/>
        </w:rPr>
        <w:t>eura</w:t>
      </w:r>
      <w:r w:rsidRPr="008038C3">
        <w:rPr>
          <w:rFonts w:ascii="Arial" w:eastAsia="Calibri" w:hAnsi="Arial" w:cs="Arial"/>
          <w:color w:val="000000" w:themeColor="text1"/>
          <w:sz w:val="20"/>
          <w:szCs w:val="20"/>
        </w:rPr>
        <w:t>.</w:t>
      </w:r>
    </w:p>
    <w:p w14:paraId="4368987E" w14:textId="77777777" w:rsidR="003A2761" w:rsidRPr="003D1614" w:rsidRDefault="003A2761" w:rsidP="003E5073">
      <w:pPr>
        <w:suppressAutoHyphens/>
        <w:autoSpaceDN w:val="0"/>
        <w:jc w:val="both"/>
        <w:rPr>
          <w:rFonts w:ascii="Arial" w:eastAsia="Calibri" w:hAnsi="Arial" w:cs="Arial"/>
          <w:color w:val="000000" w:themeColor="text1"/>
          <w:sz w:val="20"/>
          <w:szCs w:val="20"/>
        </w:rPr>
      </w:pPr>
    </w:p>
    <w:p w14:paraId="3E7BA946" w14:textId="2919BF61" w:rsidR="003E5073" w:rsidRPr="003D1614" w:rsidRDefault="003E5073" w:rsidP="003E5073">
      <w:pPr>
        <w:suppressAutoHyphens/>
        <w:autoSpaceDN w:val="0"/>
        <w:jc w:val="both"/>
        <w:rPr>
          <w:rFonts w:ascii="Arial" w:eastAsia="Calibri" w:hAnsi="Arial" w:cs="Arial"/>
          <w:color w:val="000000" w:themeColor="text1"/>
          <w:sz w:val="20"/>
          <w:szCs w:val="20"/>
        </w:rPr>
      </w:pPr>
    </w:p>
    <w:p w14:paraId="4BEEEA72" w14:textId="77777777" w:rsidR="003E5073" w:rsidRPr="003D1614" w:rsidRDefault="003E5073" w:rsidP="003E5073">
      <w:pPr>
        <w:suppressAutoHyphens/>
        <w:autoSpaceDN w:val="0"/>
        <w:jc w:val="both"/>
        <w:rPr>
          <w:rFonts w:ascii="Arial" w:eastAsia="Calibri" w:hAnsi="Arial" w:cs="Arial"/>
          <w:color w:val="000000" w:themeColor="text1"/>
          <w:sz w:val="20"/>
          <w:szCs w:val="20"/>
        </w:rPr>
        <w:sectPr w:rsidR="003E5073" w:rsidRPr="003D1614" w:rsidSect="003278AB">
          <w:footerReference w:type="default" r:id="rId28"/>
          <w:pgSz w:w="11906" w:h="16838"/>
          <w:pgMar w:top="1417" w:right="1417" w:bottom="1417" w:left="1417" w:header="708" w:footer="708" w:gutter="0"/>
          <w:cols w:space="708"/>
          <w:docGrid w:linePitch="360"/>
        </w:sectPr>
      </w:pPr>
    </w:p>
    <w:p w14:paraId="6E6DB718" w14:textId="77777777" w:rsidR="003A2761" w:rsidRPr="003D1614" w:rsidRDefault="003A2761" w:rsidP="003A2761">
      <w:pPr>
        <w:suppressAutoHyphens/>
        <w:autoSpaceDN w:val="0"/>
        <w:jc w:val="both"/>
        <w:rPr>
          <w:rFonts w:ascii="Arial" w:eastAsia="Calibri" w:hAnsi="Arial" w:cs="Arial"/>
          <w:color w:val="000000" w:themeColor="text1"/>
          <w:sz w:val="20"/>
          <w:szCs w:val="20"/>
        </w:rPr>
      </w:pPr>
    </w:p>
    <w:p w14:paraId="0215F91A" w14:textId="52751BC4" w:rsidR="003A2761" w:rsidRPr="003D1614" w:rsidRDefault="003A2761" w:rsidP="003A2761">
      <w:pPr>
        <w:keepNext/>
        <w:tabs>
          <w:tab w:val="left" w:pos="567"/>
        </w:tabs>
        <w:suppressAutoHyphens/>
        <w:autoSpaceDN w:val="0"/>
        <w:jc w:val="both"/>
        <w:rPr>
          <w:rFonts w:ascii="Arial" w:eastAsia="Times New Roman" w:hAnsi="Arial" w:cs="Arial"/>
          <w:b/>
          <w:bCs/>
          <w:color w:val="000000" w:themeColor="text1"/>
          <w:spacing w:val="-3"/>
          <w:sz w:val="20"/>
          <w:szCs w:val="20"/>
        </w:rPr>
      </w:pPr>
      <w:r w:rsidRPr="003D1614">
        <w:rPr>
          <w:rFonts w:ascii="Arial" w:eastAsia="Times New Roman" w:hAnsi="Arial" w:cs="Arial"/>
          <w:b/>
          <w:bCs/>
          <w:color w:val="000000" w:themeColor="text1"/>
          <w:spacing w:val="-3"/>
          <w:sz w:val="20"/>
          <w:szCs w:val="20"/>
        </w:rPr>
        <w:t>2</w:t>
      </w:r>
      <w:r w:rsidR="00C55B0C">
        <w:rPr>
          <w:rFonts w:ascii="Arial" w:eastAsia="Times New Roman" w:hAnsi="Arial" w:cs="Arial"/>
          <w:b/>
          <w:bCs/>
          <w:color w:val="000000" w:themeColor="text1"/>
          <w:spacing w:val="-3"/>
          <w:sz w:val="20"/>
          <w:szCs w:val="20"/>
        </w:rPr>
        <w:t>4</w:t>
      </w:r>
      <w:r w:rsidRPr="003D1614">
        <w:rPr>
          <w:rFonts w:ascii="Arial" w:eastAsia="Times New Roman" w:hAnsi="Arial" w:cs="Arial"/>
          <w:b/>
          <w:bCs/>
          <w:color w:val="000000" w:themeColor="text1"/>
          <w:spacing w:val="-3"/>
          <w:sz w:val="20"/>
          <w:szCs w:val="20"/>
        </w:rPr>
        <w:t xml:space="preserve">. </w:t>
      </w:r>
      <w:r w:rsidRPr="003D1614">
        <w:rPr>
          <w:rFonts w:ascii="Arial" w:eastAsia="Times New Roman" w:hAnsi="Arial" w:cs="Arial"/>
          <w:b/>
          <w:bCs/>
          <w:color w:val="000000" w:themeColor="text1"/>
          <w:spacing w:val="-3"/>
          <w:sz w:val="20"/>
          <w:szCs w:val="20"/>
        </w:rPr>
        <w:tab/>
        <w:t>Fer vrijednost financijske imovine i financijskih obveza (nastavak)</w:t>
      </w:r>
    </w:p>
    <w:p w14:paraId="200204C8" w14:textId="77777777" w:rsidR="003A2761" w:rsidRPr="003D1614" w:rsidRDefault="003A2761" w:rsidP="003A2761">
      <w:pPr>
        <w:keepNext/>
        <w:suppressAutoHyphens/>
        <w:autoSpaceDN w:val="0"/>
        <w:ind w:left="1428"/>
        <w:contextualSpacing/>
        <w:jc w:val="both"/>
        <w:rPr>
          <w:rFonts w:ascii="Arial" w:eastAsia="Times New Roman" w:hAnsi="Arial" w:cs="Arial"/>
          <w:b/>
          <w:bCs/>
          <w:color w:val="000000" w:themeColor="text1"/>
          <w:spacing w:val="-3"/>
          <w:sz w:val="20"/>
          <w:szCs w:val="20"/>
        </w:rPr>
      </w:pPr>
    </w:p>
    <w:p w14:paraId="087E3831" w14:textId="155AA411" w:rsidR="003A2761" w:rsidRPr="003D1614" w:rsidRDefault="003A2761" w:rsidP="003A2761">
      <w:pPr>
        <w:keepNext/>
        <w:suppressAutoHyphens/>
        <w:autoSpaceDN w:val="0"/>
        <w:ind w:left="567" w:hanging="567"/>
        <w:jc w:val="both"/>
        <w:rPr>
          <w:rFonts w:ascii="Arial" w:eastAsia="Times New Roman" w:hAnsi="Arial" w:cs="Arial"/>
          <w:b/>
          <w:bCs/>
          <w:color w:val="000000" w:themeColor="text1"/>
          <w:spacing w:val="-3"/>
          <w:sz w:val="20"/>
          <w:szCs w:val="20"/>
        </w:rPr>
      </w:pPr>
      <w:r w:rsidRPr="003D1614">
        <w:rPr>
          <w:rFonts w:ascii="Arial" w:eastAsia="Times New Roman" w:hAnsi="Arial" w:cs="Arial"/>
          <w:b/>
          <w:bCs/>
          <w:color w:val="000000" w:themeColor="text1"/>
          <w:spacing w:val="-3"/>
          <w:sz w:val="20"/>
          <w:szCs w:val="20"/>
        </w:rPr>
        <w:t>2</w:t>
      </w:r>
      <w:r w:rsidR="00C55B0C">
        <w:rPr>
          <w:rFonts w:ascii="Arial" w:eastAsia="Times New Roman" w:hAnsi="Arial" w:cs="Arial"/>
          <w:b/>
          <w:bCs/>
          <w:color w:val="000000" w:themeColor="text1"/>
          <w:spacing w:val="-3"/>
          <w:sz w:val="20"/>
          <w:szCs w:val="20"/>
        </w:rPr>
        <w:t>4</w:t>
      </w:r>
      <w:r w:rsidRPr="003D1614">
        <w:rPr>
          <w:rFonts w:ascii="Arial" w:eastAsia="Times New Roman" w:hAnsi="Arial" w:cs="Arial"/>
          <w:b/>
          <w:bCs/>
          <w:color w:val="000000" w:themeColor="text1"/>
          <w:spacing w:val="-3"/>
          <w:sz w:val="20"/>
          <w:szCs w:val="20"/>
        </w:rPr>
        <w:t>.1.</w:t>
      </w:r>
      <w:r w:rsidRPr="003D1614">
        <w:rPr>
          <w:rFonts w:ascii="Arial" w:eastAsia="Times New Roman" w:hAnsi="Arial" w:cs="Arial"/>
          <w:b/>
          <w:bCs/>
          <w:color w:val="000000" w:themeColor="text1"/>
          <w:spacing w:val="-3"/>
          <w:sz w:val="20"/>
          <w:szCs w:val="20"/>
        </w:rPr>
        <w:tab/>
        <w:t xml:space="preserve">Fer vrijednost financijske imovine i financijskih obveza koji se vode po fer vrijednosti (nastavak) </w:t>
      </w:r>
    </w:p>
    <w:p w14:paraId="6D3E5783" w14:textId="77777777" w:rsidR="003A2761" w:rsidRPr="003D1614" w:rsidRDefault="003A2761" w:rsidP="003A2761">
      <w:pPr>
        <w:keepNext/>
        <w:tabs>
          <w:tab w:val="left" w:pos="567"/>
        </w:tabs>
        <w:suppressAutoHyphens/>
        <w:autoSpaceDN w:val="0"/>
        <w:ind w:left="1428"/>
        <w:contextualSpacing/>
        <w:jc w:val="both"/>
        <w:rPr>
          <w:rFonts w:ascii="Arial" w:eastAsia="Times New Roman" w:hAnsi="Arial" w:cs="Arial"/>
          <w:b/>
          <w:bCs/>
          <w:color w:val="000000" w:themeColor="text1"/>
          <w:spacing w:val="-3"/>
          <w:sz w:val="20"/>
          <w:szCs w:val="20"/>
        </w:rPr>
      </w:pPr>
    </w:p>
    <w:p w14:paraId="0BB020C6" w14:textId="41F754EC" w:rsidR="003A2761" w:rsidRPr="003D1614" w:rsidRDefault="003A2761" w:rsidP="003A2761">
      <w:pPr>
        <w:tabs>
          <w:tab w:val="left" w:pos="851"/>
        </w:tabs>
        <w:suppressAutoHyphens/>
        <w:autoSpaceDN w:val="0"/>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C55B0C">
        <w:rPr>
          <w:rFonts w:ascii="Arial" w:eastAsia="Calibri" w:hAnsi="Arial" w:cs="Arial"/>
          <w:b/>
          <w:color w:val="000000" w:themeColor="text1"/>
          <w:sz w:val="20"/>
          <w:szCs w:val="20"/>
        </w:rPr>
        <w:t>4</w:t>
      </w:r>
      <w:r w:rsidRPr="003D1614">
        <w:rPr>
          <w:rFonts w:ascii="Arial" w:eastAsia="Calibri" w:hAnsi="Arial" w:cs="Arial"/>
          <w:b/>
          <w:color w:val="000000" w:themeColor="text1"/>
          <w:sz w:val="20"/>
          <w:szCs w:val="20"/>
        </w:rPr>
        <w:t>.1.1.</w:t>
      </w:r>
      <w:r w:rsidRPr="003D1614">
        <w:rPr>
          <w:rFonts w:ascii="Arial" w:eastAsia="Calibri" w:hAnsi="Arial" w:cs="Arial"/>
          <w:b/>
          <w:color w:val="000000" w:themeColor="text1"/>
          <w:sz w:val="20"/>
          <w:szCs w:val="20"/>
        </w:rPr>
        <w:tab/>
        <w:t>Razina 3 - fer vrijednosti (nastavak)</w:t>
      </w:r>
    </w:p>
    <w:p w14:paraId="66C433FD" w14:textId="77777777" w:rsidR="001875CA" w:rsidRPr="003D1614" w:rsidRDefault="001875CA" w:rsidP="003A2761">
      <w:pPr>
        <w:suppressAutoHyphens/>
        <w:autoSpaceDN w:val="0"/>
        <w:ind w:left="1428"/>
        <w:contextualSpacing/>
        <w:rPr>
          <w:rFonts w:ascii="Arial" w:eastAsia="Calibri" w:hAnsi="Arial" w:cs="Arial"/>
          <w:color w:val="000000" w:themeColor="text1"/>
          <w:sz w:val="20"/>
          <w:szCs w:val="20"/>
        </w:rPr>
      </w:pPr>
    </w:p>
    <w:p w14:paraId="57AF5406" w14:textId="62706CA9" w:rsidR="003A2761" w:rsidRPr="003D1614" w:rsidRDefault="003A2761" w:rsidP="003A2761">
      <w:pPr>
        <w:tabs>
          <w:tab w:val="left" w:pos="284"/>
        </w:tabs>
        <w:suppressAutoHyphens/>
        <w:autoSpaceDN w:val="0"/>
        <w:rPr>
          <w:rFonts w:ascii="Arial" w:eastAsia="Calibri" w:hAnsi="Arial" w:cs="Arial"/>
          <w:b/>
          <w:i/>
          <w:color w:val="000000" w:themeColor="text1"/>
          <w:sz w:val="20"/>
          <w:szCs w:val="20"/>
        </w:rPr>
      </w:pPr>
      <w:r w:rsidRPr="003D1614">
        <w:rPr>
          <w:rFonts w:ascii="Arial" w:eastAsia="Calibri" w:hAnsi="Arial" w:cs="Arial"/>
          <w:b/>
          <w:i/>
          <w:color w:val="000000" w:themeColor="text1"/>
          <w:sz w:val="20"/>
          <w:szCs w:val="20"/>
        </w:rPr>
        <w:t>c)</w:t>
      </w:r>
      <w:r w:rsidRPr="003D1614">
        <w:rPr>
          <w:rFonts w:ascii="Arial" w:eastAsia="Calibri" w:hAnsi="Arial" w:cs="Arial"/>
          <w:b/>
          <w:i/>
          <w:color w:val="000000" w:themeColor="text1"/>
          <w:sz w:val="20"/>
          <w:szCs w:val="20"/>
        </w:rPr>
        <w:tab/>
        <w:t xml:space="preserve">Usklađivanje fer vrijednosti Razine 3: </w:t>
      </w:r>
    </w:p>
    <w:p w14:paraId="7C37419E" w14:textId="77777777" w:rsidR="003A2761" w:rsidRPr="003D1614" w:rsidRDefault="003A2761" w:rsidP="003A2761">
      <w:pPr>
        <w:suppressAutoHyphens/>
        <w:autoSpaceDN w:val="0"/>
        <w:rPr>
          <w:rFonts w:ascii="Arial" w:eastAsia="Calibri" w:hAnsi="Arial" w:cs="Arial"/>
          <w:color w:val="000000" w:themeColor="text1"/>
          <w:sz w:val="20"/>
          <w:szCs w:val="20"/>
        </w:rPr>
      </w:pPr>
    </w:p>
    <w:p w14:paraId="6EDD49A0" w14:textId="77777777" w:rsidR="003A2761" w:rsidRPr="003D1614" w:rsidRDefault="003A2761" w:rsidP="003A2761">
      <w:pPr>
        <w:numPr>
          <w:ilvl w:val="0"/>
          <w:numId w:val="32"/>
        </w:numPr>
        <w:tabs>
          <w:tab w:val="left" w:pos="426"/>
        </w:tabs>
        <w:suppressAutoHyphens/>
        <w:autoSpaceDN w:val="0"/>
        <w:ind w:left="284" w:hanging="142"/>
        <w:contextualSpacing/>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Fer vrijednosti financijske imovine razine 3 koja je nakon početnog priznavanja svedena na fer vrijednost – mezzanine krediti:</w:t>
      </w:r>
    </w:p>
    <w:p w14:paraId="3A5E6973" w14:textId="77777777" w:rsidR="003A2761" w:rsidRPr="003D1614" w:rsidRDefault="003A2761" w:rsidP="003A2761">
      <w:pPr>
        <w:suppressAutoHyphens/>
        <w:autoSpaceDN w:val="0"/>
        <w:rPr>
          <w:rFonts w:ascii="Arial" w:eastAsia="Calibri" w:hAnsi="Arial" w:cs="Arial"/>
          <w:color w:val="000000" w:themeColor="text1"/>
          <w:sz w:val="20"/>
          <w:szCs w:val="20"/>
        </w:rPr>
      </w:pPr>
    </w:p>
    <w:tbl>
      <w:tblPr>
        <w:tblW w:w="5000" w:type="pct"/>
        <w:jc w:val="center"/>
        <w:tblCellMar>
          <w:left w:w="122" w:type="dxa"/>
          <w:right w:w="122" w:type="dxa"/>
        </w:tblCellMar>
        <w:tblLook w:val="04A0" w:firstRow="1" w:lastRow="0" w:firstColumn="1" w:lastColumn="0" w:noHBand="0" w:noVBand="1"/>
      </w:tblPr>
      <w:tblGrid>
        <w:gridCol w:w="5004"/>
        <w:gridCol w:w="2036"/>
        <w:gridCol w:w="2032"/>
      </w:tblGrid>
      <w:tr w:rsidR="003A2761" w:rsidRPr="003D1614" w14:paraId="350BB6BC" w14:textId="77777777" w:rsidTr="00BC10BC">
        <w:trPr>
          <w:trHeight w:hRule="exact" w:val="267"/>
          <w:jc w:val="center"/>
        </w:trPr>
        <w:tc>
          <w:tcPr>
            <w:tcW w:w="2758" w:type="pct"/>
          </w:tcPr>
          <w:p w14:paraId="53003106" w14:textId="77777777" w:rsidR="003A2761" w:rsidRPr="003D1614" w:rsidRDefault="003A2761" w:rsidP="003A2761">
            <w:pPr>
              <w:tabs>
                <w:tab w:val="right" w:pos="1202"/>
              </w:tabs>
              <w:suppressAutoHyphens/>
              <w:autoSpaceDN w:val="0"/>
              <w:spacing w:line="260" w:lineRule="exact"/>
              <w:outlineLvl w:val="0"/>
              <w:rPr>
                <w:rFonts w:ascii="Arial" w:eastAsia="Calibri" w:hAnsi="Arial" w:cs="Arial"/>
                <w:b/>
                <w:color w:val="000000"/>
                <w:spacing w:val="-2"/>
                <w:sz w:val="20"/>
                <w:szCs w:val="20"/>
              </w:rPr>
            </w:pPr>
            <w:bookmarkStart w:id="1029" w:name="_Toc67331201"/>
            <w:r w:rsidRPr="003D1614">
              <w:rPr>
                <w:rFonts w:ascii="Arial" w:eastAsia="Calibri" w:hAnsi="Arial" w:cs="Arial"/>
                <w:b/>
                <w:color w:val="000000"/>
                <w:spacing w:val="-2"/>
                <w:sz w:val="20"/>
                <w:szCs w:val="20"/>
              </w:rPr>
              <w:t>Grupa i Banka</w:t>
            </w:r>
            <w:bookmarkEnd w:id="1029"/>
          </w:p>
        </w:tc>
        <w:tc>
          <w:tcPr>
            <w:tcW w:w="1122" w:type="pct"/>
            <w:vAlign w:val="center"/>
          </w:tcPr>
          <w:p w14:paraId="4965A1A0" w14:textId="58881A60" w:rsidR="003A2761" w:rsidRPr="003D1614" w:rsidRDefault="002576B9" w:rsidP="003A2761">
            <w:pPr>
              <w:tabs>
                <w:tab w:val="right" w:pos="1202"/>
              </w:tabs>
              <w:suppressAutoHyphens/>
              <w:autoSpaceDN w:val="0"/>
              <w:spacing w:line="260" w:lineRule="exact"/>
              <w:jc w:val="right"/>
              <w:outlineLvl w:val="0"/>
              <w:rPr>
                <w:rFonts w:ascii="Arial" w:eastAsia="Calibri" w:hAnsi="Arial" w:cs="Arial"/>
                <w:b/>
                <w:color w:val="000000"/>
                <w:sz w:val="20"/>
                <w:szCs w:val="20"/>
              </w:rPr>
            </w:pPr>
            <w:bookmarkStart w:id="1030" w:name="_Toc67331202"/>
            <w:r w:rsidRPr="003D1614">
              <w:rPr>
                <w:rFonts w:ascii="Arial" w:eastAsia="Calibri" w:hAnsi="Arial" w:cs="Arial"/>
                <w:b/>
                <w:color w:val="000000"/>
                <w:sz w:val="20"/>
                <w:szCs w:val="20"/>
              </w:rPr>
              <w:t>3</w:t>
            </w:r>
            <w:r>
              <w:rPr>
                <w:rFonts w:ascii="Arial" w:eastAsia="Calibri" w:hAnsi="Arial" w:cs="Arial"/>
                <w:b/>
                <w:color w:val="000000"/>
                <w:sz w:val="20"/>
                <w:szCs w:val="20"/>
              </w:rPr>
              <w:t>0</w:t>
            </w:r>
            <w:r w:rsidR="003A2761" w:rsidRPr="003D1614">
              <w:rPr>
                <w:rFonts w:ascii="Arial" w:eastAsia="Calibri" w:hAnsi="Arial" w:cs="Arial"/>
                <w:b/>
                <w:color w:val="000000"/>
                <w:sz w:val="20"/>
                <w:szCs w:val="20"/>
              </w:rPr>
              <w:t>.</w:t>
            </w:r>
            <w:r w:rsidR="00FE5E16">
              <w:rPr>
                <w:rFonts w:ascii="Arial" w:eastAsia="Calibri" w:hAnsi="Arial" w:cs="Arial"/>
                <w:b/>
                <w:color w:val="000000"/>
                <w:sz w:val="20"/>
                <w:szCs w:val="20"/>
              </w:rPr>
              <w:t>9</w:t>
            </w:r>
            <w:r w:rsidR="003A2761" w:rsidRPr="003D1614">
              <w:rPr>
                <w:rFonts w:ascii="Arial" w:eastAsia="Calibri" w:hAnsi="Arial" w:cs="Arial"/>
                <w:b/>
                <w:color w:val="000000"/>
                <w:sz w:val="20"/>
                <w:szCs w:val="20"/>
              </w:rPr>
              <w:t>.202</w:t>
            </w:r>
            <w:r w:rsidR="006A413A">
              <w:rPr>
                <w:rFonts w:ascii="Arial" w:eastAsia="Calibri" w:hAnsi="Arial" w:cs="Arial"/>
                <w:b/>
                <w:color w:val="000000"/>
                <w:sz w:val="20"/>
                <w:szCs w:val="20"/>
              </w:rPr>
              <w:t>4</w:t>
            </w:r>
            <w:r w:rsidR="003A2761" w:rsidRPr="003D1614">
              <w:rPr>
                <w:rFonts w:ascii="Arial" w:eastAsia="Calibri" w:hAnsi="Arial" w:cs="Arial"/>
                <w:b/>
                <w:color w:val="000000"/>
                <w:sz w:val="20"/>
                <w:szCs w:val="20"/>
              </w:rPr>
              <w:t>.</w:t>
            </w:r>
            <w:bookmarkEnd w:id="1030"/>
          </w:p>
        </w:tc>
        <w:tc>
          <w:tcPr>
            <w:tcW w:w="1120" w:type="pct"/>
          </w:tcPr>
          <w:p w14:paraId="5AF646EC" w14:textId="62E99550" w:rsidR="003A2761" w:rsidRPr="003D1614" w:rsidRDefault="007A4E3D" w:rsidP="003A2761">
            <w:pPr>
              <w:tabs>
                <w:tab w:val="right" w:pos="1202"/>
              </w:tabs>
              <w:suppressAutoHyphens/>
              <w:autoSpaceDN w:val="0"/>
              <w:spacing w:line="260" w:lineRule="exact"/>
              <w:jc w:val="right"/>
              <w:outlineLvl w:val="0"/>
              <w:rPr>
                <w:rFonts w:ascii="Arial" w:eastAsia="Calibri" w:hAnsi="Arial" w:cs="Arial"/>
                <w:b/>
                <w:color w:val="000000"/>
                <w:sz w:val="20"/>
                <w:szCs w:val="20"/>
              </w:rPr>
            </w:pPr>
            <w:bookmarkStart w:id="1031" w:name="_Toc67331203"/>
            <w:r>
              <w:rPr>
                <w:rFonts w:ascii="Arial" w:eastAsia="Calibri" w:hAnsi="Arial" w:cs="Arial"/>
                <w:b/>
                <w:color w:val="000000"/>
                <w:sz w:val="20"/>
                <w:szCs w:val="20"/>
              </w:rPr>
              <w:t>30</w:t>
            </w:r>
            <w:r w:rsidR="003A2761" w:rsidRPr="003D1614">
              <w:rPr>
                <w:rFonts w:ascii="Arial" w:eastAsia="Calibri" w:hAnsi="Arial" w:cs="Arial"/>
                <w:b/>
                <w:color w:val="000000"/>
                <w:sz w:val="20"/>
                <w:szCs w:val="20"/>
              </w:rPr>
              <w:t>.</w:t>
            </w:r>
            <w:r w:rsidR="00FE5E16">
              <w:rPr>
                <w:rFonts w:ascii="Arial" w:eastAsia="Calibri" w:hAnsi="Arial" w:cs="Arial"/>
                <w:b/>
                <w:color w:val="000000"/>
                <w:sz w:val="20"/>
                <w:szCs w:val="20"/>
              </w:rPr>
              <w:t>9</w:t>
            </w:r>
            <w:r>
              <w:rPr>
                <w:rFonts w:ascii="Arial" w:eastAsia="Calibri" w:hAnsi="Arial" w:cs="Arial"/>
                <w:b/>
                <w:color w:val="000000"/>
                <w:sz w:val="20"/>
                <w:szCs w:val="20"/>
              </w:rPr>
              <w:t>.</w:t>
            </w:r>
            <w:r w:rsidR="003A2761" w:rsidRPr="003D1614">
              <w:rPr>
                <w:rFonts w:ascii="Arial" w:eastAsia="Calibri" w:hAnsi="Arial" w:cs="Arial"/>
                <w:b/>
                <w:color w:val="000000"/>
                <w:sz w:val="20"/>
                <w:szCs w:val="20"/>
              </w:rPr>
              <w:t>202</w:t>
            </w:r>
            <w:r w:rsidR="006A413A">
              <w:rPr>
                <w:rFonts w:ascii="Arial" w:eastAsia="Calibri" w:hAnsi="Arial" w:cs="Arial"/>
                <w:b/>
                <w:color w:val="000000"/>
                <w:sz w:val="20"/>
                <w:szCs w:val="20"/>
              </w:rPr>
              <w:t>3</w:t>
            </w:r>
            <w:r w:rsidR="003A2761" w:rsidRPr="003D1614">
              <w:rPr>
                <w:rFonts w:ascii="Arial" w:eastAsia="Calibri" w:hAnsi="Arial" w:cs="Arial"/>
                <w:b/>
                <w:color w:val="000000"/>
                <w:sz w:val="20"/>
                <w:szCs w:val="20"/>
              </w:rPr>
              <w:t>.</w:t>
            </w:r>
            <w:bookmarkEnd w:id="1031"/>
          </w:p>
        </w:tc>
      </w:tr>
      <w:tr w:rsidR="003A2761" w:rsidRPr="003D1614" w14:paraId="50354835" w14:textId="77777777" w:rsidTr="00BC10BC">
        <w:trPr>
          <w:trHeight w:hRule="exact" w:val="239"/>
          <w:jc w:val="center"/>
        </w:trPr>
        <w:tc>
          <w:tcPr>
            <w:tcW w:w="2758" w:type="pct"/>
          </w:tcPr>
          <w:p w14:paraId="1D6E0C76" w14:textId="77777777" w:rsidR="003A2761" w:rsidRPr="003D1614" w:rsidRDefault="003A2761" w:rsidP="003A2761">
            <w:pPr>
              <w:tabs>
                <w:tab w:val="right" w:pos="1202"/>
              </w:tabs>
              <w:suppressAutoHyphens/>
              <w:autoSpaceDN w:val="0"/>
              <w:spacing w:line="260" w:lineRule="exact"/>
              <w:outlineLvl w:val="0"/>
              <w:rPr>
                <w:rFonts w:ascii="Arial" w:eastAsia="Calibri" w:hAnsi="Arial" w:cs="Arial"/>
                <w:b/>
                <w:color w:val="000000"/>
                <w:spacing w:val="-2"/>
                <w:sz w:val="20"/>
                <w:szCs w:val="20"/>
              </w:rPr>
            </w:pPr>
          </w:p>
        </w:tc>
        <w:tc>
          <w:tcPr>
            <w:tcW w:w="1122" w:type="pct"/>
          </w:tcPr>
          <w:p w14:paraId="21E0CD41" w14:textId="420F3298" w:rsidR="003A2761" w:rsidRPr="003D1614" w:rsidRDefault="003A2761" w:rsidP="003A2761">
            <w:pPr>
              <w:tabs>
                <w:tab w:val="right" w:pos="1202"/>
              </w:tabs>
              <w:suppressAutoHyphens/>
              <w:autoSpaceDN w:val="0"/>
              <w:spacing w:line="260" w:lineRule="exact"/>
              <w:jc w:val="right"/>
              <w:outlineLvl w:val="0"/>
              <w:rPr>
                <w:rFonts w:ascii="Arial" w:eastAsia="Calibri" w:hAnsi="Arial" w:cs="Arial"/>
                <w:b/>
                <w:color w:val="000000"/>
                <w:sz w:val="20"/>
                <w:szCs w:val="20"/>
              </w:rPr>
            </w:pPr>
            <w:bookmarkStart w:id="1032" w:name="_Toc67331204"/>
            <w:r w:rsidRPr="003D1614">
              <w:rPr>
                <w:rFonts w:ascii="Arial" w:eastAsia="Calibri" w:hAnsi="Arial" w:cs="Arial"/>
                <w:b/>
                <w:color w:val="000000"/>
                <w:sz w:val="20"/>
                <w:szCs w:val="20"/>
              </w:rPr>
              <w:t>000 eura</w:t>
            </w:r>
            <w:bookmarkEnd w:id="1032"/>
          </w:p>
        </w:tc>
        <w:tc>
          <w:tcPr>
            <w:tcW w:w="1120" w:type="pct"/>
          </w:tcPr>
          <w:p w14:paraId="482F0DE8" w14:textId="1E3061FD" w:rsidR="003A2761" w:rsidRPr="003D1614" w:rsidRDefault="003A2761" w:rsidP="003A2761">
            <w:pPr>
              <w:tabs>
                <w:tab w:val="right" w:pos="1202"/>
              </w:tabs>
              <w:suppressAutoHyphens/>
              <w:autoSpaceDN w:val="0"/>
              <w:spacing w:line="260" w:lineRule="exact"/>
              <w:jc w:val="right"/>
              <w:outlineLvl w:val="0"/>
              <w:rPr>
                <w:rFonts w:ascii="Arial" w:eastAsia="Calibri" w:hAnsi="Arial" w:cs="Arial"/>
                <w:b/>
                <w:color w:val="000000"/>
                <w:sz w:val="20"/>
                <w:szCs w:val="20"/>
              </w:rPr>
            </w:pPr>
            <w:bookmarkStart w:id="1033" w:name="_Toc67331205"/>
            <w:r w:rsidRPr="003D1614">
              <w:rPr>
                <w:rFonts w:ascii="Arial" w:eastAsia="Calibri" w:hAnsi="Arial" w:cs="Arial"/>
                <w:b/>
                <w:color w:val="000000"/>
                <w:sz w:val="20"/>
                <w:szCs w:val="20"/>
              </w:rPr>
              <w:t>000 eura</w:t>
            </w:r>
            <w:bookmarkEnd w:id="1033"/>
          </w:p>
        </w:tc>
      </w:tr>
      <w:tr w:rsidR="003A2761" w:rsidRPr="003D1614" w14:paraId="46467D94" w14:textId="77777777" w:rsidTr="00BC10BC">
        <w:trPr>
          <w:trHeight w:hRule="exact" w:val="299"/>
          <w:jc w:val="center"/>
        </w:trPr>
        <w:tc>
          <w:tcPr>
            <w:tcW w:w="2758" w:type="pct"/>
          </w:tcPr>
          <w:p w14:paraId="27200BAC" w14:textId="77777777" w:rsidR="003A2761" w:rsidRPr="003D1614" w:rsidRDefault="003A2761" w:rsidP="003A2761">
            <w:pPr>
              <w:tabs>
                <w:tab w:val="right" w:pos="1202"/>
              </w:tabs>
              <w:suppressAutoHyphens/>
              <w:autoSpaceDN w:val="0"/>
              <w:spacing w:line="260" w:lineRule="exact"/>
              <w:outlineLvl w:val="0"/>
              <w:rPr>
                <w:rFonts w:ascii="Arial" w:eastAsia="Calibri" w:hAnsi="Arial" w:cs="Arial"/>
                <w:b/>
                <w:i/>
                <w:color w:val="000000"/>
                <w:spacing w:val="-2"/>
                <w:sz w:val="20"/>
                <w:szCs w:val="20"/>
              </w:rPr>
            </w:pPr>
          </w:p>
        </w:tc>
        <w:tc>
          <w:tcPr>
            <w:tcW w:w="1122" w:type="pct"/>
          </w:tcPr>
          <w:p w14:paraId="136C86FA" w14:textId="77777777" w:rsidR="003A2761" w:rsidRPr="003D1614" w:rsidRDefault="003A2761" w:rsidP="003A2761">
            <w:pPr>
              <w:tabs>
                <w:tab w:val="right" w:pos="1202"/>
              </w:tabs>
              <w:suppressAutoHyphens/>
              <w:autoSpaceDN w:val="0"/>
              <w:spacing w:line="260" w:lineRule="exact"/>
              <w:jc w:val="right"/>
              <w:outlineLvl w:val="0"/>
              <w:rPr>
                <w:rFonts w:ascii="Arial" w:eastAsia="Calibri" w:hAnsi="Arial" w:cs="Arial"/>
                <w:color w:val="000000"/>
                <w:sz w:val="20"/>
                <w:szCs w:val="20"/>
              </w:rPr>
            </w:pPr>
          </w:p>
        </w:tc>
        <w:tc>
          <w:tcPr>
            <w:tcW w:w="1120" w:type="pct"/>
          </w:tcPr>
          <w:p w14:paraId="4582CEDB" w14:textId="77777777" w:rsidR="003A2761" w:rsidRPr="003D1614" w:rsidRDefault="003A2761" w:rsidP="003A2761">
            <w:pPr>
              <w:tabs>
                <w:tab w:val="right" w:pos="1202"/>
              </w:tabs>
              <w:suppressAutoHyphens/>
              <w:autoSpaceDN w:val="0"/>
              <w:spacing w:line="260" w:lineRule="exact"/>
              <w:jc w:val="right"/>
              <w:outlineLvl w:val="0"/>
              <w:rPr>
                <w:rFonts w:ascii="Arial" w:eastAsia="Calibri" w:hAnsi="Arial" w:cs="Arial"/>
                <w:color w:val="000000"/>
                <w:sz w:val="20"/>
                <w:szCs w:val="20"/>
              </w:rPr>
            </w:pPr>
          </w:p>
        </w:tc>
      </w:tr>
      <w:tr w:rsidR="006A413A" w:rsidRPr="003D1614" w14:paraId="7BA91526" w14:textId="77777777" w:rsidTr="007478FB">
        <w:trPr>
          <w:trHeight w:val="298"/>
          <w:jc w:val="center"/>
        </w:trPr>
        <w:tc>
          <w:tcPr>
            <w:tcW w:w="2758" w:type="pct"/>
            <w:vAlign w:val="bottom"/>
            <w:hideMark/>
          </w:tcPr>
          <w:p w14:paraId="194C5E53" w14:textId="77777777" w:rsidR="006A413A" w:rsidRPr="003D1614" w:rsidRDefault="006A413A" w:rsidP="006A413A">
            <w:pPr>
              <w:suppressAutoHyphens/>
              <w:autoSpaceDN w:val="0"/>
              <w:spacing w:line="256" w:lineRule="auto"/>
              <w:rPr>
                <w:rFonts w:ascii="Arial" w:eastAsia="Calibri" w:hAnsi="Arial" w:cs="Arial"/>
                <w:b/>
                <w:bCs/>
                <w:color w:val="000000"/>
                <w:sz w:val="20"/>
                <w:szCs w:val="20"/>
              </w:rPr>
            </w:pPr>
            <w:r w:rsidRPr="003D1614">
              <w:rPr>
                <w:rFonts w:ascii="Arial" w:eastAsia="Calibri" w:hAnsi="Arial" w:cs="Arial"/>
                <w:b/>
                <w:bCs/>
                <w:color w:val="000000"/>
                <w:sz w:val="20"/>
                <w:szCs w:val="20"/>
              </w:rPr>
              <w:t xml:space="preserve">Stanje 1. siječnja </w:t>
            </w:r>
          </w:p>
        </w:tc>
        <w:tc>
          <w:tcPr>
            <w:tcW w:w="1122" w:type="pct"/>
            <w:tcBorders>
              <w:top w:val="nil"/>
              <w:left w:val="nil"/>
              <w:bottom w:val="single" w:sz="2" w:space="0" w:color="auto"/>
              <w:right w:val="nil"/>
            </w:tcBorders>
            <w:vAlign w:val="bottom"/>
          </w:tcPr>
          <w:p w14:paraId="21CB5B8A" w14:textId="4F893A16" w:rsidR="006A413A" w:rsidRPr="003D1614" w:rsidRDefault="00073AD3" w:rsidP="006A413A">
            <w:pPr>
              <w:tabs>
                <w:tab w:val="right" w:pos="1202"/>
              </w:tabs>
              <w:suppressAutoHyphens/>
              <w:autoSpaceDN w:val="0"/>
              <w:spacing w:line="260" w:lineRule="exact"/>
              <w:jc w:val="right"/>
              <w:outlineLvl w:val="0"/>
              <w:rPr>
                <w:rFonts w:ascii="Arial" w:eastAsia="Calibri" w:hAnsi="Arial" w:cs="Arial"/>
                <w:b/>
                <w:color w:val="000000"/>
                <w:sz w:val="20"/>
                <w:szCs w:val="20"/>
              </w:rPr>
            </w:pPr>
            <w:r>
              <w:rPr>
                <w:rFonts w:ascii="Arial" w:eastAsia="Calibri" w:hAnsi="Arial" w:cs="Arial"/>
                <w:b/>
                <w:color w:val="000000"/>
                <w:sz w:val="20"/>
                <w:szCs w:val="20"/>
              </w:rPr>
              <w:t>33.698</w:t>
            </w:r>
          </w:p>
        </w:tc>
        <w:tc>
          <w:tcPr>
            <w:tcW w:w="1120" w:type="pct"/>
            <w:tcBorders>
              <w:top w:val="nil"/>
              <w:left w:val="nil"/>
              <w:bottom w:val="single" w:sz="2" w:space="0" w:color="auto"/>
              <w:right w:val="nil"/>
            </w:tcBorders>
            <w:vAlign w:val="bottom"/>
          </w:tcPr>
          <w:p w14:paraId="11837841" w14:textId="45EBCA11" w:rsidR="006A413A" w:rsidRPr="006345D9" w:rsidRDefault="006A413A" w:rsidP="006A413A">
            <w:pPr>
              <w:tabs>
                <w:tab w:val="right" w:pos="1202"/>
              </w:tabs>
              <w:suppressAutoHyphens/>
              <w:autoSpaceDN w:val="0"/>
              <w:spacing w:line="260" w:lineRule="exact"/>
              <w:jc w:val="right"/>
              <w:outlineLvl w:val="0"/>
              <w:rPr>
                <w:rFonts w:ascii="Arial" w:eastAsia="Calibri" w:hAnsi="Arial" w:cs="Arial"/>
                <w:b/>
                <w:color w:val="000000"/>
                <w:sz w:val="20"/>
                <w:szCs w:val="20"/>
                <w:highlight w:val="yellow"/>
              </w:rPr>
            </w:pPr>
            <w:r w:rsidRPr="00BC47F3">
              <w:rPr>
                <w:rFonts w:ascii="Arial" w:eastAsia="Calibri" w:hAnsi="Arial" w:cs="Arial"/>
                <w:b/>
                <w:color w:val="000000"/>
                <w:sz w:val="20"/>
                <w:szCs w:val="20"/>
              </w:rPr>
              <w:t>3.030</w:t>
            </w:r>
          </w:p>
        </w:tc>
      </w:tr>
      <w:tr w:rsidR="006A413A" w:rsidRPr="003D1614" w14:paraId="471F204E" w14:textId="77777777" w:rsidTr="007478FB">
        <w:trPr>
          <w:trHeight w:val="298"/>
          <w:jc w:val="center"/>
        </w:trPr>
        <w:tc>
          <w:tcPr>
            <w:tcW w:w="2758" w:type="pct"/>
            <w:vAlign w:val="bottom"/>
          </w:tcPr>
          <w:p w14:paraId="5858E37F" w14:textId="1F44DFDA" w:rsidR="006A413A" w:rsidRPr="003D1614" w:rsidRDefault="006A413A" w:rsidP="006A413A">
            <w:pPr>
              <w:suppressAutoHyphens/>
              <w:autoSpaceDN w:val="0"/>
              <w:spacing w:line="256" w:lineRule="auto"/>
              <w:rPr>
                <w:rFonts w:ascii="Arial" w:eastAsia="Calibri" w:hAnsi="Arial" w:cs="Arial"/>
                <w:color w:val="000000"/>
                <w:sz w:val="20"/>
                <w:szCs w:val="20"/>
              </w:rPr>
            </w:pPr>
            <w:r>
              <w:rPr>
                <w:rFonts w:ascii="Arial" w:eastAsia="Calibri" w:hAnsi="Arial" w:cs="Arial"/>
                <w:color w:val="000000"/>
                <w:sz w:val="20"/>
                <w:szCs w:val="20"/>
              </w:rPr>
              <w:t>Novi kredit</w:t>
            </w:r>
          </w:p>
        </w:tc>
        <w:tc>
          <w:tcPr>
            <w:tcW w:w="1122" w:type="pct"/>
            <w:tcBorders>
              <w:top w:val="single" w:sz="2" w:space="0" w:color="auto"/>
              <w:left w:val="nil"/>
              <w:right w:val="nil"/>
            </w:tcBorders>
            <w:shd w:val="clear" w:color="auto" w:fill="auto"/>
            <w:vAlign w:val="bottom"/>
          </w:tcPr>
          <w:p w14:paraId="651C7658" w14:textId="1C263085" w:rsidR="006A413A" w:rsidDel="002576B9" w:rsidRDefault="00E80915" w:rsidP="006A413A">
            <w:pPr>
              <w:tabs>
                <w:tab w:val="right" w:pos="1202"/>
              </w:tabs>
              <w:suppressAutoHyphens/>
              <w:autoSpaceDN w:val="0"/>
              <w:spacing w:line="260" w:lineRule="exact"/>
              <w:jc w:val="right"/>
              <w:outlineLvl w:val="0"/>
              <w:rPr>
                <w:rFonts w:ascii="Arial" w:eastAsia="Calibri" w:hAnsi="Arial" w:cs="Arial"/>
                <w:color w:val="000000"/>
                <w:sz w:val="20"/>
                <w:szCs w:val="20"/>
              </w:rPr>
            </w:pPr>
            <w:r>
              <w:rPr>
                <w:rFonts w:ascii="Arial" w:eastAsia="Calibri" w:hAnsi="Arial" w:cs="Arial"/>
                <w:color w:val="000000"/>
                <w:sz w:val="20"/>
                <w:szCs w:val="20"/>
              </w:rPr>
              <w:t>-</w:t>
            </w:r>
          </w:p>
        </w:tc>
        <w:tc>
          <w:tcPr>
            <w:tcW w:w="1120" w:type="pct"/>
            <w:tcBorders>
              <w:top w:val="single" w:sz="2" w:space="0" w:color="auto"/>
              <w:left w:val="nil"/>
              <w:right w:val="nil"/>
            </w:tcBorders>
            <w:shd w:val="clear" w:color="auto" w:fill="auto"/>
            <w:vAlign w:val="bottom"/>
          </w:tcPr>
          <w:p w14:paraId="0FF50DCD" w14:textId="68CDD5F8" w:rsidR="006A413A" w:rsidRPr="006345D9" w:rsidRDefault="006A413A" w:rsidP="006A413A">
            <w:pPr>
              <w:tabs>
                <w:tab w:val="right" w:pos="1202"/>
              </w:tabs>
              <w:suppressAutoHyphens/>
              <w:autoSpaceDN w:val="0"/>
              <w:spacing w:line="260" w:lineRule="exact"/>
              <w:jc w:val="right"/>
              <w:outlineLvl w:val="0"/>
              <w:rPr>
                <w:rFonts w:ascii="Arial" w:eastAsia="Calibri" w:hAnsi="Arial" w:cs="Arial"/>
                <w:color w:val="000000"/>
                <w:sz w:val="20"/>
                <w:szCs w:val="20"/>
              </w:rPr>
            </w:pPr>
            <w:r>
              <w:rPr>
                <w:rFonts w:ascii="Arial" w:eastAsia="Calibri" w:hAnsi="Arial" w:cs="Arial"/>
                <w:color w:val="000000"/>
                <w:sz w:val="20"/>
                <w:szCs w:val="20"/>
              </w:rPr>
              <w:t>30.000</w:t>
            </w:r>
          </w:p>
        </w:tc>
      </w:tr>
      <w:tr w:rsidR="006A413A" w:rsidRPr="003D1614" w14:paraId="07CAD7C7" w14:textId="77777777" w:rsidTr="007478FB">
        <w:trPr>
          <w:trHeight w:val="298"/>
          <w:jc w:val="center"/>
        </w:trPr>
        <w:tc>
          <w:tcPr>
            <w:tcW w:w="2758" w:type="pct"/>
            <w:vAlign w:val="bottom"/>
            <w:hideMark/>
          </w:tcPr>
          <w:p w14:paraId="209D5435" w14:textId="3ABE66D2" w:rsidR="006A413A" w:rsidRPr="003D1614" w:rsidRDefault="00E80915" w:rsidP="006A413A">
            <w:pPr>
              <w:suppressAutoHyphens/>
              <w:autoSpaceDN w:val="0"/>
              <w:spacing w:line="256" w:lineRule="auto"/>
              <w:rPr>
                <w:rFonts w:ascii="Arial" w:eastAsia="Calibri" w:hAnsi="Arial" w:cs="Arial"/>
                <w:color w:val="000000"/>
                <w:sz w:val="20"/>
                <w:szCs w:val="20"/>
              </w:rPr>
            </w:pPr>
            <w:r>
              <w:rPr>
                <w:rFonts w:ascii="Arial" w:eastAsia="Calibri" w:hAnsi="Arial" w:cs="Arial"/>
                <w:color w:val="000000"/>
                <w:sz w:val="20"/>
                <w:szCs w:val="20"/>
              </w:rPr>
              <w:t>S</w:t>
            </w:r>
            <w:r w:rsidR="006A413A" w:rsidRPr="003D1614">
              <w:rPr>
                <w:rFonts w:ascii="Arial" w:eastAsia="Calibri" w:hAnsi="Arial" w:cs="Arial"/>
                <w:color w:val="000000"/>
                <w:sz w:val="20"/>
                <w:szCs w:val="20"/>
              </w:rPr>
              <w:t>manjenje fer vrijednosti kroz račun dobiti i gubitka</w:t>
            </w:r>
          </w:p>
        </w:tc>
        <w:tc>
          <w:tcPr>
            <w:tcW w:w="1122" w:type="pct"/>
            <w:tcBorders>
              <w:left w:val="nil"/>
              <w:right w:val="nil"/>
            </w:tcBorders>
            <w:shd w:val="clear" w:color="auto" w:fill="auto"/>
            <w:vAlign w:val="bottom"/>
          </w:tcPr>
          <w:p w14:paraId="4EB44367" w14:textId="714A08A0" w:rsidR="006A413A" w:rsidRPr="003D1614" w:rsidRDefault="00E80915" w:rsidP="006A413A">
            <w:pPr>
              <w:tabs>
                <w:tab w:val="right" w:pos="1202"/>
              </w:tabs>
              <w:suppressAutoHyphens/>
              <w:autoSpaceDN w:val="0"/>
              <w:spacing w:line="260" w:lineRule="exact"/>
              <w:jc w:val="right"/>
              <w:outlineLvl w:val="0"/>
              <w:rPr>
                <w:rFonts w:ascii="Arial" w:eastAsia="Calibri" w:hAnsi="Arial" w:cs="Arial"/>
                <w:color w:val="000000"/>
                <w:sz w:val="20"/>
                <w:szCs w:val="20"/>
              </w:rPr>
            </w:pPr>
            <w:r>
              <w:rPr>
                <w:rFonts w:ascii="Arial" w:eastAsia="Calibri" w:hAnsi="Arial" w:cs="Arial"/>
                <w:color w:val="000000"/>
                <w:sz w:val="20"/>
                <w:szCs w:val="20"/>
              </w:rPr>
              <w:t>(748)</w:t>
            </w:r>
          </w:p>
        </w:tc>
        <w:tc>
          <w:tcPr>
            <w:tcW w:w="1120" w:type="pct"/>
            <w:tcBorders>
              <w:left w:val="nil"/>
              <w:right w:val="nil"/>
            </w:tcBorders>
            <w:shd w:val="clear" w:color="auto" w:fill="auto"/>
            <w:vAlign w:val="bottom"/>
          </w:tcPr>
          <w:p w14:paraId="748AB190" w14:textId="15B07639" w:rsidR="006A413A" w:rsidRPr="00071AFB" w:rsidRDefault="006A413A" w:rsidP="006A413A">
            <w:pPr>
              <w:tabs>
                <w:tab w:val="right" w:pos="1202"/>
              </w:tabs>
              <w:suppressAutoHyphens/>
              <w:autoSpaceDN w:val="0"/>
              <w:spacing w:line="260" w:lineRule="exact"/>
              <w:jc w:val="right"/>
              <w:outlineLvl w:val="0"/>
              <w:rPr>
                <w:rFonts w:ascii="Arial" w:eastAsia="Calibri" w:hAnsi="Arial" w:cs="Arial"/>
                <w:color w:val="000000"/>
                <w:sz w:val="20"/>
                <w:szCs w:val="20"/>
              </w:rPr>
            </w:pPr>
            <w:r>
              <w:rPr>
                <w:rFonts w:ascii="Arial" w:eastAsia="Calibri" w:hAnsi="Arial" w:cs="Arial"/>
                <w:color w:val="000000"/>
                <w:sz w:val="20"/>
                <w:szCs w:val="20"/>
              </w:rPr>
              <w:t>(1.764)</w:t>
            </w:r>
          </w:p>
        </w:tc>
      </w:tr>
      <w:tr w:rsidR="006A413A" w:rsidRPr="003D1614" w14:paraId="15D179B3" w14:textId="77777777" w:rsidTr="00BC10BC">
        <w:trPr>
          <w:trHeight w:val="298"/>
          <w:jc w:val="center"/>
        </w:trPr>
        <w:tc>
          <w:tcPr>
            <w:tcW w:w="2758" w:type="pct"/>
            <w:vAlign w:val="bottom"/>
          </w:tcPr>
          <w:p w14:paraId="0BC4A784" w14:textId="77777777" w:rsidR="006A413A" w:rsidRPr="003D1614" w:rsidRDefault="006A413A" w:rsidP="006A413A">
            <w:pPr>
              <w:suppressAutoHyphens/>
              <w:autoSpaceDN w:val="0"/>
              <w:spacing w:line="256" w:lineRule="auto"/>
              <w:rPr>
                <w:rFonts w:ascii="Arial" w:eastAsia="Calibri" w:hAnsi="Arial" w:cs="Arial"/>
                <w:color w:val="000000"/>
                <w:sz w:val="20"/>
                <w:szCs w:val="20"/>
              </w:rPr>
            </w:pPr>
            <w:r w:rsidRPr="003D1614">
              <w:rPr>
                <w:rFonts w:ascii="Arial" w:eastAsia="Calibri" w:hAnsi="Arial" w:cs="Arial"/>
                <w:color w:val="000000"/>
                <w:sz w:val="20"/>
                <w:szCs w:val="20"/>
              </w:rPr>
              <w:t>Neto tečajne razlike</w:t>
            </w:r>
          </w:p>
        </w:tc>
        <w:tc>
          <w:tcPr>
            <w:tcW w:w="1122" w:type="pct"/>
            <w:tcBorders>
              <w:left w:val="nil"/>
              <w:right w:val="nil"/>
            </w:tcBorders>
            <w:shd w:val="clear" w:color="auto" w:fill="auto"/>
            <w:vAlign w:val="bottom"/>
          </w:tcPr>
          <w:p w14:paraId="125B2B9A" w14:textId="7F5F2DAD" w:rsidR="006A413A" w:rsidRPr="003D1614" w:rsidRDefault="00CF7647" w:rsidP="006A413A">
            <w:pPr>
              <w:tabs>
                <w:tab w:val="right" w:pos="1202"/>
              </w:tabs>
              <w:suppressAutoHyphens/>
              <w:autoSpaceDN w:val="0"/>
              <w:spacing w:line="260" w:lineRule="exact"/>
              <w:jc w:val="right"/>
              <w:outlineLvl w:val="0"/>
              <w:rPr>
                <w:rFonts w:ascii="Arial" w:eastAsia="Calibri" w:hAnsi="Arial" w:cs="Arial"/>
                <w:color w:val="000000"/>
                <w:sz w:val="20"/>
                <w:szCs w:val="20"/>
              </w:rPr>
            </w:pPr>
            <w:r>
              <w:rPr>
                <w:rFonts w:ascii="Arial" w:eastAsia="Calibri" w:hAnsi="Arial" w:cs="Arial"/>
                <w:color w:val="000000"/>
                <w:sz w:val="20"/>
                <w:szCs w:val="20"/>
              </w:rPr>
              <w:t>(24)</w:t>
            </w:r>
          </w:p>
        </w:tc>
        <w:tc>
          <w:tcPr>
            <w:tcW w:w="1120" w:type="pct"/>
            <w:tcBorders>
              <w:left w:val="nil"/>
              <w:right w:val="nil"/>
            </w:tcBorders>
            <w:shd w:val="clear" w:color="auto" w:fill="auto"/>
            <w:vAlign w:val="bottom"/>
          </w:tcPr>
          <w:p w14:paraId="4EA472B5" w14:textId="740E4D32" w:rsidR="006A413A" w:rsidRPr="00071AFB" w:rsidRDefault="006A413A" w:rsidP="006A413A">
            <w:pPr>
              <w:tabs>
                <w:tab w:val="right" w:pos="1202"/>
              </w:tabs>
              <w:suppressAutoHyphens/>
              <w:autoSpaceDN w:val="0"/>
              <w:spacing w:line="260" w:lineRule="exact"/>
              <w:jc w:val="right"/>
              <w:outlineLvl w:val="0"/>
              <w:rPr>
                <w:rFonts w:ascii="Arial" w:eastAsia="Calibri" w:hAnsi="Arial" w:cs="Arial"/>
                <w:color w:val="000000"/>
                <w:sz w:val="20"/>
                <w:szCs w:val="20"/>
              </w:rPr>
            </w:pPr>
            <w:r>
              <w:rPr>
                <w:rFonts w:ascii="Arial" w:eastAsia="Calibri" w:hAnsi="Arial" w:cs="Arial"/>
                <w:color w:val="000000"/>
                <w:sz w:val="20"/>
                <w:szCs w:val="20"/>
              </w:rPr>
              <w:t>42</w:t>
            </w:r>
          </w:p>
        </w:tc>
      </w:tr>
      <w:tr w:rsidR="006A413A" w:rsidRPr="003D1614" w14:paraId="6B37742A" w14:textId="77777777" w:rsidTr="00BC10BC">
        <w:trPr>
          <w:trHeight w:val="298"/>
          <w:jc w:val="center"/>
        </w:trPr>
        <w:tc>
          <w:tcPr>
            <w:tcW w:w="2758" w:type="pct"/>
            <w:vAlign w:val="bottom"/>
          </w:tcPr>
          <w:p w14:paraId="4C4ED624" w14:textId="0367AC08" w:rsidR="006A413A" w:rsidRPr="003D1614" w:rsidRDefault="006A413A" w:rsidP="006A413A">
            <w:pPr>
              <w:suppressAutoHyphens/>
              <w:autoSpaceDN w:val="0"/>
              <w:rPr>
                <w:rFonts w:ascii="Arial" w:eastAsia="Calibri" w:hAnsi="Arial" w:cs="Arial"/>
                <w:b/>
                <w:bCs/>
                <w:color w:val="000000"/>
                <w:sz w:val="20"/>
                <w:szCs w:val="20"/>
              </w:rPr>
            </w:pPr>
            <w:r w:rsidRPr="003D1614">
              <w:rPr>
                <w:rFonts w:ascii="Arial" w:eastAsia="Calibri" w:hAnsi="Arial" w:cs="Arial"/>
                <w:b/>
                <w:bCs/>
                <w:color w:val="000000"/>
                <w:sz w:val="20"/>
                <w:szCs w:val="20"/>
              </w:rPr>
              <w:t xml:space="preserve">Stanje </w:t>
            </w:r>
            <w:r w:rsidRPr="002576B9">
              <w:rPr>
                <w:rFonts w:ascii="Arial" w:eastAsia="Calibri" w:hAnsi="Arial" w:cs="Arial"/>
                <w:b/>
                <w:bCs/>
                <w:color w:val="000000"/>
                <w:sz w:val="20"/>
                <w:szCs w:val="20"/>
              </w:rPr>
              <w:t xml:space="preserve">30. </w:t>
            </w:r>
            <w:r>
              <w:rPr>
                <w:rFonts w:ascii="Arial" w:eastAsia="Calibri" w:hAnsi="Arial" w:cs="Arial"/>
                <w:b/>
                <w:bCs/>
                <w:color w:val="000000"/>
                <w:sz w:val="20"/>
                <w:szCs w:val="20"/>
              </w:rPr>
              <w:t>rujna</w:t>
            </w:r>
          </w:p>
        </w:tc>
        <w:tc>
          <w:tcPr>
            <w:tcW w:w="1122" w:type="pct"/>
            <w:tcBorders>
              <w:top w:val="single" w:sz="8" w:space="0" w:color="000000"/>
              <w:left w:val="nil"/>
              <w:bottom w:val="single" w:sz="12" w:space="0" w:color="auto"/>
              <w:right w:val="nil"/>
            </w:tcBorders>
            <w:shd w:val="clear" w:color="auto" w:fill="auto"/>
            <w:vAlign w:val="bottom"/>
          </w:tcPr>
          <w:p w14:paraId="0779FD12" w14:textId="48778ED4" w:rsidR="006A413A" w:rsidRPr="003D1614" w:rsidRDefault="00CF7647" w:rsidP="006A413A">
            <w:pPr>
              <w:tabs>
                <w:tab w:val="right" w:pos="1202"/>
              </w:tabs>
              <w:suppressAutoHyphens/>
              <w:autoSpaceDN w:val="0"/>
              <w:jc w:val="right"/>
              <w:outlineLvl w:val="0"/>
              <w:rPr>
                <w:rFonts w:ascii="Arial" w:eastAsia="Calibri" w:hAnsi="Arial" w:cs="Arial"/>
                <w:b/>
                <w:color w:val="000000"/>
                <w:sz w:val="20"/>
                <w:szCs w:val="20"/>
              </w:rPr>
            </w:pPr>
            <w:r>
              <w:rPr>
                <w:rFonts w:ascii="Arial" w:eastAsia="Calibri" w:hAnsi="Arial" w:cs="Arial"/>
                <w:b/>
                <w:color w:val="000000"/>
                <w:sz w:val="20"/>
                <w:szCs w:val="20"/>
              </w:rPr>
              <w:t>32.926</w:t>
            </w:r>
          </w:p>
        </w:tc>
        <w:tc>
          <w:tcPr>
            <w:tcW w:w="1120" w:type="pct"/>
            <w:tcBorders>
              <w:top w:val="single" w:sz="8" w:space="0" w:color="000000"/>
              <w:left w:val="nil"/>
              <w:bottom w:val="single" w:sz="12" w:space="0" w:color="auto"/>
              <w:right w:val="nil"/>
            </w:tcBorders>
            <w:shd w:val="clear" w:color="auto" w:fill="auto"/>
            <w:vAlign w:val="bottom"/>
          </w:tcPr>
          <w:p w14:paraId="6DEE54C8" w14:textId="22610F5F" w:rsidR="006A413A" w:rsidRPr="00071AFB" w:rsidRDefault="006A413A" w:rsidP="006A413A">
            <w:pPr>
              <w:tabs>
                <w:tab w:val="right" w:pos="1202"/>
              </w:tabs>
              <w:suppressAutoHyphens/>
              <w:autoSpaceDN w:val="0"/>
              <w:spacing w:line="260" w:lineRule="exact"/>
              <w:jc w:val="right"/>
              <w:outlineLvl w:val="0"/>
              <w:rPr>
                <w:rFonts w:ascii="Arial" w:eastAsia="Calibri" w:hAnsi="Arial" w:cs="Arial"/>
                <w:b/>
                <w:color w:val="000000"/>
                <w:sz w:val="20"/>
                <w:szCs w:val="20"/>
              </w:rPr>
            </w:pPr>
            <w:r>
              <w:rPr>
                <w:rFonts w:ascii="Arial" w:eastAsia="Calibri" w:hAnsi="Arial" w:cs="Arial"/>
                <w:b/>
                <w:color w:val="000000"/>
                <w:sz w:val="20"/>
                <w:szCs w:val="20"/>
              </w:rPr>
              <w:t>31.308</w:t>
            </w:r>
          </w:p>
        </w:tc>
      </w:tr>
    </w:tbl>
    <w:p w14:paraId="497064AC" w14:textId="77777777" w:rsidR="003A2761" w:rsidRPr="003D1614" w:rsidRDefault="003A2761" w:rsidP="003A2761">
      <w:pPr>
        <w:suppressAutoHyphens/>
        <w:autoSpaceDN w:val="0"/>
        <w:ind w:left="284"/>
        <w:contextualSpacing/>
        <w:rPr>
          <w:rFonts w:ascii="Arial" w:eastAsia="Calibri" w:hAnsi="Arial" w:cs="Arial"/>
          <w:color w:val="000000" w:themeColor="text1"/>
          <w:sz w:val="20"/>
          <w:szCs w:val="20"/>
        </w:rPr>
      </w:pPr>
    </w:p>
    <w:p w14:paraId="77D2E63C" w14:textId="77777777" w:rsidR="003A2761" w:rsidRPr="003D1614" w:rsidRDefault="003A2761" w:rsidP="003A2761">
      <w:pPr>
        <w:suppressAutoHyphens/>
        <w:autoSpaceDN w:val="0"/>
        <w:ind w:left="284"/>
        <w:contextualSpacing/>
        <w:rPr>
          <w:rFonts w:ascii="Arial" w:eastAsia="Calibri" w:hAnsi="Arial" w:cs="Arial"/>
          <w:color w:val="000000" w:themeColor="text1"/>
          <w:sz w:val="20"/>
          <w:szCs w:val="20"/>
        </w:rPr>
      </w:pPr>
    </w:p>
    <w:p w14:paraId="70D77E23" w14:textId="77777777" w:rsidR="003A2761" w:rsidRPr="003D1614" w:rsidRDefault="003A2761" w:rsidP="003A2761">
      <w:pPr>
        <w:suppressAutoHyphens/>
        <w:autoSpaceDN w:val="0"/>
        <w:rPr>
          <w:rFonts w:ascii="Arial" w:eastAsia="Calibri" w:hAnsi="Arial" w:cs="Arial"/>
          <w:color w:val="000000" w:themeColor="text1"/>
          <w:sz w:val="20"/>
          <w:szCs w:val="20"/>
        </w:rPr>
      </w:pPr>
    </w:p>
    <w:p w14:paraId="160EE5C0" w14:textId="77777777" w:rsidR="003A2761" w:rsidRPr="003D1614" w:rsidRDefault="003A2761" w:rsidP="003A2761">
      <w:pPr>
        <w:numPr>
          <w:ilvl w:val="2"/>
          <w:numId w:val="28"/>
        </w:numPr>
        <w:suppressAutoHyphens/>
        <w:autoSpaceDN w:val="0"/>
        <w:ind w:left="284" w:hanging="142"/>
        <w:contextualSpacing/>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Fer vrijednost financijske imovine razine 3 koja je nakon početnog priznavanja svedena na fer vrijednost – dužnički vrijednosni papiri koji ne kotiraju:</w:t>
      </w:r>
    </w:p>
    <w:p w14:paraId="5490B2EB" w14:textId="77777777" w:rsidR="003A2761" w:rsidRPr="003D1614" w:rsidRDefault="003A2761" w:rsidP="003A2761">
      <w:pPr>
        <w:suppressAutoHyphens/>
        <w:autoSpaceDN w:val="0"/>
        <w:rPr>
          <w:rFonts w:ascii="Arial" w:eastAsia="Calibri" w:hAnsi="Arial" w:cs="Arial"/>
          <w:color w:val="000000" w:themeColor="text1"/>
          <w:sz w:val="20"/>
          <w:szCs w:val="20"/>
        </w:rPr>
      </w:pPr>
    </w:p>
    <w:tbl>
      <w:tblPr>
        <w:tblW w:w="5000" w:type="pct"/>
        <w:jc w:val="center"/>
        <w:tblCellMar>
          <w:left w:w="122" w:type="dxa"/>
          <w:right w:w="122" w:type="dxa"/>
        </w:tblCellMar>
        <w:tblLook w:val="04A0" w:firstRow="1" w:lastRow="0" w:firstColumn="1" w:lastColumn="0" w:noHBand="0" w:noVBand="1"/>
      </w:tblPr>
      <w:tblGrid>
        <w:gridCol w:w="5004"/>
        <w:gridCol w:w="2034"/>
        <w:gridCol w:w="2034"/>
      </w:tblGrid>
      <w:tr w:rsidR="003A2761" w:rsidRPr="003D1614" w14:paraId="340E34DB" w14:textId="77777777" w:rsidTr="00BC10BC">
        <w:trPr>
          <w:trHeight w:hRule="exact" w:val="253"/>
          <w:jc w:val="center"/>
        </w:trPr>
        <w:tc>
          <w:tcPr>
            <w:tcW w:w="2758" w:type="pct"/>
          </w:tcPr>
          <w:p w14:paraId="4E2CB5BD" w14:textId="77777777" w:rsidR="003A2761" w:rsidRPr="003D1614" w:rsidRDefault="003A2761" w:rsidP="003A2761">
            <w:pPr>
              <w:tabs>
                <w:tab w:val="right" w:pos="1202"/>
              </w:tabs>
              <w:suppressAutoHyphens/>
              <w:autoSpaceDN w:val="0"/>
              <w:spacing w:line="260" w:lineRule="exact"/>
              <w:outlineLvl w:val="0"/>
              <w:rPr>
                <w:rFonts w:ascii="Arial" w:eastAsia="Calibri" w:hAnsi="Arial" w:cs="Arial"/>
                <w:b/>
                <w:color w:val="000000"/>
                <w:spacing w:val="-2"/>
                <w:sz w:val="20"/>
                <w:szCs w:val="20"/>
              </w:rPr>
            </w:pPr>
            <w:bookmarkStart w:id="1034" w:name="_Toc67331212"/>
            <w:r w:rsidRPr="003D1614">
              <w:rPr>
                <w:rFonts w:ascii="Arial" w:eastAsia="Calibri" w:hAnsi="Arial" w:cs="Arial"/>
                <w:b/>
                <w:color w:val="000000"/>
                <w:spacing w:val="-2"/>
                <w:sz w:val="20"/>
                <w:szCs w:val="20"/>
              </w:rPr>
              <w:t>Grupa i Banka</w:t>
            </w:r>
            <w:bookmarkEnd w:id="1034"/>
          </w:p>
        </w:tc>
        <w:tc>
          <w:tcPr>
            <w:tcW w:w="1121" w:type="pct"/>
            <w:vAlign w:val="center"/>
          </w:tcPr>
          <w:p w14:paraId="244501BB" w14:textId="2CDB95F7" w:rsidR="003A2761" w:rsidRPr="003D1614" w:rsidRDefault="003A2761" w:rsidP="003A2761">
            <w:pPr>
              <w:tabs>
                <w:tab w:val="right" w:pos="1202"/>
              </w:tabs>
              <w:suppressAutoHyphens/>
              <w:autoSpaceDN w:val="0"/>
              <w:spacing w:line="260" w:lineRule="exact"/>
              <w:jc w:val="right"/>
              <w:outlineLvl w:val="0"/>
              <w:rPr>
                <w:rFonts w:ascii="Arial" w:eastAsia="Calibri" w:hAnsi="Arial" w:cs="Arial"/>
                <w:b/>
                <w:color w:val="000000"/>
                <w:sz w:val="20"/>
                <w:szCs w:val="20"/>
              </w:rPr>
            </w:pPr>
            <w:r w:rsidRPr="003D1614">
              <w:rPr>
                <w:rFonts w:ascii="Arial" w:eastAsia="Calibri" w:hAnsi="Arial" w:cs="Arial"/>
                <w:b/>
                <w:color w:val="000000"/>
                <w:sz w:val="20"/>
                <w:szCs w:val="20"/>
              </w:rPr>
              <w:t>3</w:t>
            </w:r>
            <w:r w:rsidR="002576B9">
              <w:rPr>
                <w:rFonts w:ascii="Arial" w:eastAsia="Calibri" w:hAnsi="Arial" w:cs="Arial"/>
                <w:b/>
                <w:color w:val="000000"/>
                <w:sz w:val="20"/>
                <w:szCs w:val="20"/>
              </w:rPr>
              <w:t>0</w:t>
            </w:r>
            <w:r w:rsidRPr="003D1614">
              <w:rPr>
                <w:rFonts w:ascii="Arial" w:eastAsia="Calibri" w:hAnsi="Arial" w:cs="Arial"/>
                <w:b/>
                <w:color w:val="000000"/>
                <w:sz w:val="20"/>
                <w:szCs w:val="20"/>
              </w:rPr>
              <w:t>.</w:t>
            </w:r>
            <w:r w:rsidR="00FE5E16">
              <w:rPr>
                <w:rFonts w:ascii="Arial" w:eastAsia="Calibri" w:hAnsi="Arial" w:cs="Arial"/>
                <w:b/>
                <w:color w:val="000000"/>
                <w:sz w:val="20"/>
                <w:szCs w:val="20"/>
              </w:rPr>
              <w:t>9</w:t>
            </w:r>
            <w:r w:rsidRPr="003D1614">
              <w:rPr>
                <w:rFonts w:ascii="Arial" w:eastAsia="Calibri" w:hAnsi="Arial" w:cs="Arial"/>
                <w:b/>
                <w:color w:val="000000"/>
                <w:sz w:val="20"/>
                <w:szCs w:val="20"/>
              </w:rPr>
              <w:t>.202</w:t>
            </w:r>
            <w:r w:rsidR="006A413A">
              <w:rPr>
                <w:rFonts w:ascii="Arial" w:eastAsia="Calibri" w:hAnsi="Arial" w:cs="Arial"/>
                <w:b/>
                <w:color w:val="000000"/>
                <w:sz w:val="20"/>
                <w:szCs w:val="20"/>
              </w:rPr>
              <w:t>4</w:t>
            </w:r>
            <w:r w:rsidRPr="003D1614">
              <w:rPr>
                <w:rFonts w:ascii="Arial" w:eastAsia="Calibri" w:hAnsi="Arial" w:cs="Arial"/>
                <w:b/>
                <w:color w:val="000000"/>
                <w:sz w:val="20"/>
                <w:szCs w:val="20"/>
              </w:rPr>
              <w:t>.</w:t>
            </w:r>
          </w:p>
        </w:tc>
        <w:tc>
          <w:tcPr>
            <w:tcW w:w="1121" w:type="pct"/>
          </w:tcPr>
          <w:p w14:paraId="06603642" w14:textId="61FB89C8" w:rsidR="003A2761" w:rsidRPr="003D1614" w:rsidRDefault="00A76DD0" w:rsidP="003A2761">
            <w:pPr>
              <w:tabs>
                <w:tab w:val="right" w:pos="1202"/>
              </w:tabs>
              <w:suppressAutoHyphens/>
              <w:autoSpaceDN w:val="0"/>
              <w:spacing w:line="260" w:lineRule="exact"/>
              <w:jc w:val="right"/>
              <w:outlineLvl w:val="0"/>
              <w:rPr>
                <w:rFonts w:ascii="Arial" w:eastAsia="Calibri" w:hAnsi="Arial" w:cs="Arial"/>
                <w:b/>
                <w:color w:val="000000"/>
                <w:sz w:val="20"/>
                <w:szCs w:val="20"/>
              </w:rPr>
            </w:pPr>
            <w:r>
              <w:rPr>
                <w:rFonts w:ascii="Arial" w:eastAsia="Calibri" w:hAnsi="Arial" w:cs="Arial"/>
                <w:b/>
                <w:color w:val="000000"/>
                <w:sz w:val="20"/>
                <w:szCs w:val="20"/>
              </w:rPr>
              <w:t>30.</w:t>
            </w:r>
            <w:r w:rsidR="00FE5E16">
              <w:rPr>
                <w:rFonts w:ascii="Arial" w:eastAsia="Calibri" w:hAnsi="Arial" w:cs="Arial"/>
                <w:b/>
                <w:color w:val="000000"/>
                <w:sz w:val="20"/>
                <w:szCs w:val="20"/>
              </w:rPr>
              <w:t>9</w:t>
            </w:r>
            <w:r>
              <w:rPr>
                <w:rFonts w:ascii="Arial" w:eastAsia="Calibri" w:hAnsi="Arial" w:cs="Arial"/>
                <w:b/>
                <w:color w:val="000000"/>
                <w:sz w:val="20"/>
                <w:szCs w:val="20"/>
              </w:rPr>
              <w:t>.</w:t>
            </w:r>
            <w:r w:rsidR="003A2761" w:rsidRPr="003D1614">
              <w:rPr>
                <w:rFonts w:ascii="Arial" w:eastAsia="Calibri" w:hAnsi="Arial" w:cs="Arial"/>
                <w:b/>
                <w:color w:val="000000"/>
                <w:sz w:val="20"/>
                <w:szCs w:val="20"/>
              </w:rPr>
              <w:t>202</w:t>
            </w:r>
            <w:r w:rsidR="006A413A">
              <w:rPr>
                <w:rFonts w:ascii="Arial" w:eastAsia="Calibri" w:hAnsi="Arial" w:cs="Arial"/>
                <w:b/>
                <w:color w:val="000000"/>
                <w:sz w:val="20"/>
                <w:szCs w:val="20"/>
              </w:rPr>
              <w:t>3</w:t>
            </w:r>
            <w:r w:rsidR="003A2761" w:rsidRPr="003D1614">
              <w:rPr>
                <w:rFonts w:ascii="Arial" w:eastAsia="Calibri" w:hAnsi="Arial" w:cs="Arial"/>
                <w:b/>
                <w:color w:val="000000"/>
                <w:sz w:val="20"/>
                <w:szCs w:val="20"/>
              </w:rPr>
              <w:t>.</w:t>
            </w:r>
          </w:p>
        </w:tc>
      </w:tr>
      <w:tr w:rsidR="003A2761" w:rsidRPr="003D1614" w14:paraId="6AE8E372" w14:textId="77777777" w:rsidTr="00BC10BC">
        <w:trPr>
          <w:trHeight w:hRule="exact" w:val="227"/>
          <w:jc w:val="center"/>
        </w:trPr>
        <w:tc>
          <w:tcPr>
            <w:tcW w:w="2758" w:type="pct"/>
          </w:tcPr>
          <w:p w14:paraId="200E75D9" w14:textId="77777777" w:rsidR="003A2761" w:rsidRPr="003D1614" w:rsidRDefault="003A2761" w:rsidP="003A2761">
            <w:pPr>
              <w:tabs>
                <w:tab w:val="right" w:pos="1202"/>
              </w:tabs>
              <w:suppressAutoHyphens/>
              <w:autoSpaceDN w:val="0"/>
              <w:spacing w:line="260" w:lineRule="exact"/>
              <w:outlineLvl w:val="0"/>
              <w:rPr>
                <w:rFonts w:ascii="Arial" w:eastAsia="Calibri" w:hAnsi="Arial" w:cs="Arial"/>
                <w:b/>
                <w:color w:val="000000"/>
                <w:spacing w:val="-2"/>
                <w:sz w:val="20"/>
                <w:szCs w:val="20"/>
              </w:rPr>
            </w:pPr>
          </w:p>
        </w:tc>
        <w:tc>
          <w:tcPr>
            <w:tcW w:w="1121" w:type="pct"/>
          </w:tcPr>
          <w:p w14:paraId="65CBD9D3" w14:textId="6136944A" w:rsidR="003A2761" w:rsidRPr="003D1614" w:rsidRDefault="003A2761" w:rsidP="003A2761">
            <w:pPr>
              <w:tabs>
                <w:tab w:val="right" w:pos="1202"/>
              </w:tabs>
              <w:suppressAutoHyphens/>
              <w:autoSpaceDN w:val="0"/>
              <w:spacing w:line="260" w:lineRule="exact"/>
              <w:jc w:val="right"/>
              <w:outlineLvl w:val="0"/>
              <w:rPr>
                <w:rFonts w:ascii="Arial" w:eastAsia="Calibri" w:hAnsi="Arial" w:cs="Arial"/>
                <w:b/>
                <w:color w:val="000000"/>
                <w:sz w:val="20"/>
                <w:szCs w:val="20"/>
              </w:rPr>
            </w:pPr>
            <w:r w:rsidRPr="003D1614">
              <w:rPr>
                <w:rFonts w:ascii="Arial" w:eastAsia="Calibri" w:hAnsi="Arial" w:cs="Arial"/>
                <w:b/>
                <w:color w:val="000000"/>
                <w:sz w:val="20"/>
                <w:szCs w:val="20"/>
              </w:rPr>
              <w:t>000 eura</w:t>
            </w:r>
          </w:p>
        </w:tc>
        <w:tc>
          <w:tcPr>
            <w:tcW w:w="1121" w:type="pct"/>
          </w:tcPr>
          <w:p w14:paraId="5870653E" w14:textId="0DE35480" w:rsidR="003A2761" w:rsidRPr="003D1614" w:rsidRDefault="003A2761" w:rsidP="003A2761">
            <w:pPr>
              <w:tabs>
                <w:tab w:val="right" w:pos="1202"/>
              </w:tabs>
              <w:suppressAutoHyphens/>
              <w:autoSpaceDN w:val="0"/>
              <w:spacing w:line="260" w:lineRule="exact"/>
              <w:jc w:val="right"/>
              <w:outlineLvl w:val="0"/>
              <w:rPr>
                <w:rFonts w:ascii="Arial" w:eastAsia="Calibri" w:hAnsi="Arial" w:cs="Arial"/>
                <w:b/>
                <w:color w:val="000000"/>
                <w:sz w:val="20"/>
                <w:szCs w:val="20"/>
              </w:rPr>
            </w:pPr>
            <w:r w:rsidRPr="003D1614">
              <w:rPr>
                <w:rFonts w:ascii="Arial" w:eastAsia="Calibri" w:hAnsi="Arial" w:cs="Arial"/>
                <w:b/>
                <w:color w:val="000000"/>
                <w:sz w:val="20"/>
                <w:szCs w:val="20"/>
              </w:rPr>
              <w:t>000 eura</w:t>
            </w:r>
          </w:p>
        </w:tc>
      </w:tr>
      <w:tr w:rsidR="003A2761" w:rsidRPr="003D1614" w14:paraId="630DE7C6" w14:textId="77777777" w:rsidTr="007478FB">
        <w:trPr>
          <w:trHeight w:hRule="exact" w:val="284"/>
          <w:jc w:val="center"/>
        </w:trPr>
        <w:tc>
          <w:tcPr>
            <w:tcW w:w="2758" w:type="pct"/>
            <w:vAlign w:val="bottom"/>
          </w:tcPr>
          <w:p w14:paraId="036A8A26" w14:textId="77777777" w:rsidR="003A2761" w:rsidRPr="003D1614" w:rsidRDefault="003A2761" w:rsidP="003A2761">
            <w:pPr>
              <w:tabs>
                <w:tab w:val="right" w:pos="1202"/>
              </w:tabs>
              <w:suppressAutoHyphens/>
              <w:autoSpaceDN w:val="0"/>
              <w:spacing w:line="260" w:lineRule="exact"/>
              <w:outlineLvl w:val="0"/>
              <w:rPr>
                <w:rFonts w:ascii="Arial" w:eastAsia="Calibri" w:hAnsi="Arial" w:cs="Arial"/>
                <w:b/>
                <w:i/>
                <w:color w:val="000000"/>
                <w:spacing w:val="-2"/>
                <w:sz w:val="20"/>
                <w:szCs w:val="20"/>
              </w:rPr>
            </w:pPr>
          </w:p>
        </w:tc>
        <w:tc>
          <w:tcPr>
            <w:tcW w:w="1121" w:type="pct"/>
            <w:vAlign w:val="bottom"/>
          </w:tcPr>
          <w:p w14:paraId="29427F7D" w14:textId="77777777" w:rsidR="003A2761" w:rsidRPr="003D1614" w:rsidRDefault="003A2761" w:rsidP="003A2761">
            <w:pPr>
              <w:tabs>
                <w:tab w:val="right" w:pos="1202"/>
              </w:tabs>
              <w:suppressAutoHyphens/>
              <w:autoSpaceDN w:val="0"/>
              <w:spacing w:line="260" w:lineRule="exact"/>
              <w:jc w:val="right"/>
              <w:outlineLvl w:val="0"/>
              <w:rPr>
                <w:rFonts w:ascii="Arial" w:eastAsia="Calibri" w:hAnsi="Arial" w:cs="Arial"/>
                <w:color w:val="000000"/>
                <w:sz w:val="20"/>
                <w:szCs w:val="20"/>
              </w:rPr>
            </w:pPr>
          </w:p>
        </w:tc>
        <w:tc>
          <w:tcPr>
            <w:tcW w:w="1121" w:type="pct"/>
            <w:vAlign w:val="bottom"/>
          </w:tcPr>
          <w:p w14:paraId="7721B446" w14:textId="77777777" w:rsidR="003A2761" w:rsidRPr="003D1614" w:rsidRDefault="003A2761" w:rsidP="003A2761">
            <w:pPr>
              <w:tabs>
                <w:tab w:val="right" w:pos="1202"/>
              </w:tabs>
              <w:suppressAutoHyphens/>
              <w:autoSpaceDN w:val="0"/>
              <w:spacing w:line="260" w:lineRule="exact"/>
              <w:jc w:val="right"/>
              <w:outlineLvl w:val="0"/>
              <w:rPr>
                <w:rFonts w:ascii="Arial" w:eastAsia="Calibri" w:hAnsi="Arial" w:cs="Arial"/>
                <w:color w:val="000000"/>
                <w:sz w:val="20"/>
                <w:szCs w:val="20"/>
              </w:rPr>
            </w:pPr>
          </w:p>
        </w:tc>
      </w:tr>
      <w:tr w:rsidR="006A413A" w:rsidRPr="003D1614" w14:paraId="6C82FE6A" w14:textId="77777777" w:rsidTr="007478FB">
        <w:trPr>
          <w:trHeight w:val="283"/>
          <w:jc w:val="center"/>
        </w:trPr>
        <w:tc>
          <w:tcPr>
            <w:tcW w:w="2758" w:type="pct"/>
            <w:vAlign w:val="bottom"/>
            <w:hideMark/>
          </w:tcPr>
          <w:p w14:paraId="27818AFF" w14:textId="77777777" w:rsidR="006A413A" w:rsidRPr="003D1614" w:rsidRDefault="006A413A" w:rsidP="006A413A">
            <w:pPr>
              <w:suppressAutoHyphens/>
              <w:autoSpaceDN w:val="0"/>
              <w:spacing w:line="256" w:lineRule="auto"/>
              <w:rPr>
                <w:rFonts w:ascii="Arial" w:eastAsia="Calibri" w:hAnsi="Arial" w:cs="Arial"/>
                <w:b/>
                <w:bCs/>
                <w:color w:val="000000"/>
                <w:sz w:val="20"/>
                <w:szCs w:val="20"/>
              </w:rPr>
            </w:pPr>
            <w:r w:rsidRPr="003D1614">
              <w:rPr>
                <w:rFonts w:ascii="Arial" w:eastAsia="Calibri" w:hAnsi="Arial" w:cs="Arial"/>
                <w:b/>
                <w:bCs/>
                <w:color w:val="000000"/>
                <w:sz w:val="20"/>
                <w:szCs w:val="20"/>
              </w:rPr>
              <w:t xml:space="preserve">Stanje 1. siječnja </w:t>
            </w:r>
          </w:p>
        </w:tc>
        <w:tc>
          <w:tcPr>
            <w:tcW w:w="1121" w:type="pct"/>
            <w:tcBorders>
              <w:top w:val="nil"/>
              <w:left w:val="nil"/>
              <w:bottom w:val="single" w:sz="2" w:space="0" w:color="auto"/>
              <w:right w:val="nil"/>
            </w:tcBorders>
            <w:vAlign w:val="bottom"/>
          </w:tcPr>
          <w:p w14:paraId="2FBE19FA" w14:textId="00A2A4F0" w:rsidR="006A413A" w:rsidRPr="003D1614" w:rsidRDefault="005E135A" w:rsidP="006A413A">
            <w:pPr>
              <w:tabs>
                <w:tab w:val="right" w:pos="1202"/>
              </w:tabs>
              <w:suppressAutoHyphens/>
              <w:autoSpaceDN w:val="0"/>
              <w:spacing w:line="260" w:lineRule="exact"/>
              <w:jc w:val="right"/>
              <w:outlineLvl w:val="0"/>
              <w:rPr>
                <w:rFonts w:ascii="Arial" w:eastAsia="Calibri" w:hAnsi="Arial" w:cs="Arial"/>
                <w:b/>
                <w:color w:val="000000"/>
                <w:sz w:val="20"/>
                <w:szCs w:val="20"/>
              </w:rPr>
            </w:pPr>
            <w:r>
              <w:rPr>
                <w:rFonts w:ascii="Arial" w:eastAsia="Calibri" w:hAnsi="Arial" w:cs="Arial"/>
                <w:b/>
                <w:color w:val="000000"/>
                <w:sz w:val="20"/>
                <w:szCs w:val="20"/>
              </w:rPr>
              <w:t>278</w:t>
            </w:r>
          </w:p>
        </w:tc>
        <w:tc>
          <w:tcPr>
            <w:tcW w:w="1121" w:type="pct"/>
            <w:tcBorders>
              <w:top w:val="nil"/>
              <w:left w:val="nil"/>
              <w:bottom w:val="single" w:sz="2" w:space="0" w:color="auto"/>
              <w:right w:val="nil"/>
            </w:tcBorders>
            <w:vAlign w:val="bottom"/>
          </w:tcPr>
          <w:p w14:paraId="2AF74E49" w14:textId="0285E381" w:rsidR="006A413A" w:rsidRPr="006345D9" w:rsidRDefault="006A413A" w:rsidP="006A413A">
            <w:pPr>
              <w:tabs>
                <w:tab w:val="right" w:pos="1202"/>
              </w:tabs>
              <w:suppressAutoHyphens/>
              <w:autoSpaceDN w:val="0"/>
              <w:spacing w:line="260" w:lineRule="exact"/>
              <w:jc w:val="right"/>
              <w:outlineLvl w:val="0"/>
              <w:rPr>
                <w:rFonts w:ascii="Arial" w:eastAsia="Calibri" w:hAnsi="Arial" w:cs="Arial"/>
                <w:b/>
                <w:color w:val="000000"/>
                <w:sz w:val="20"/>
                <w:szCs w:val="20"/>
              </w:rPr>
            </w:pPr>
            <w:r>
              <w:rPr>
                <w:rFonts w:ascii="Arial" w:eastAsia="Calibri" w:hAnsi="Arial" w:cs="Arial"/>
                <w:b/>
                <w:color w:val="000000"/>
                <w:sz w:val="20"/>
                <w:szCs w:val="20"/>
              </w:rPr>
              <w:t>261</w:t>
            </w:r>
          </w:p>
        </w:tc>
      </w:tr>
      <w:tr w:rsidR="006A413A" w:rsidRPr="003D1614" w14:paraId="0692ED6B" w14:textId="77777777" w:rsidTr="007478FB">
        <w:trPr>
          <w:trHeight w:val="283"/>
          <w:jc w:val="center"/>
        </w:trPr>
        <w:tc>
          <w:tcPr>
            <w:tcW w:w="2758" w:type="pct"/>
            <w:vAlign w:val="bottom"/>
            <w:hideMark/>
          </w:tcPr>
          <w:p w14:paraId="786715AD" w14:textId="79B1625B" w:rsidR="006A413A" w:rsidRPr="003D1614" w:rsidRDefault="006A413A" w:rsidP="006A413A">
            <w:pPr>
              <w:suppressAutoHyphens/>
              <w:autoSpaceDN w:val="0"/>
              <w:spacing w:line="256" w:lineRule="auto"/>
              <w:rPr>
                <w:rFonts w:ascii="Arial" w:eastAsia="Calibri" w:hAnsi="Arial" w:cs="Arial"/>
                <w:color w:val="000000"/>
                <w:sz w:val="20"/>
                <w:szCs w:val="20"/>
              </w:rPr>
            </w:pPr>
            <w:r>
              <w:rPr>
                <w:rFonts w:ascii="Arial" w:eastAsia="Calibri" w:hAnsi="Arial" w:cs="Arial"/>
                <w:color w:val="000000"/>
                <w:sz w:val="20"/>
                <w:szCs w:val="20"/>
              </w:rPr>
              <w:t>Povećanje/s</w:t>
            </w:r>
            <w:r w:rsidRPr="003D1614">
              <w:rPr>
                <w:rFonts w:ascii="Arial" w:eastAsia="Calibri" w:hAnsi="Arial" w:cs="Arial"/>
                <w:color w:val="000000"/>
                <w:sz w:val="20"/>
                <w:szCs w:val="20"/>
              </w:rPr>
              <w:t>manjenje fer vrijednosti kroz ostalu sveobuhvatnu dobit</w:t>
            </w:r>
          </w:p>
        </w:tc>
        <w:tc>
          <w:tcPr>
            <w:tcW w:w="1121" w:type="pct"/>
            <w:tcBorders>
              <w:top w:val="nil"/>
              <w:left w:val="nil"/>
              <w:right w:val="nil"/>
            </w:tcBorders>
            <w:shd w:val="clear" w:color="auto" w:fill="auto"/>
            <w:vAlign w:val="bottom"/>
          </w:tcPr>
          <w:p w14:paraId="25B780B7" w14:textId="4033DAC3" w:rsidR="006A413A" w:rsidRPr="003D1614" w:rsidRDefault="005E135A" w:rsidP="006A413A">
            <w:pPr>
              <w:tabs>
                <w:tab w:val="right" w:pos="1202"/>
              </w:tabs>
              <w:suppressAutoHyphens/>
              <w:autoSpaceDN w:val="0"/>
              <w:spacing w:line="260" w:lineRule="exact"/>
              <w:jc w:val="right"/>
              <w:outlineLvl w:val="0"/>
              <w:rPr>
                <w:rFonts w:ascii="Arial" w:eastAsia="Calibri" w:hAnsi="Arial" w:cs="Arial"/>
                <w:color w:val="000000"/>
                <w:sz w:val="20"/>
                <w:szCs w:val="20"/>
              </w:rPr>
            </w:pPr>
            <w:r>
              <w:rPr>
                <w:rFonts w:ascii="Arial" w:eastAsia="Calibri" w:hAnsi="Arial" w:cs="Arial"/>
                <w:color w:val="000000"/>
                <w:sz w:val="20"/>
                <w:szCs w:val="20"/>
              </w:rPr>
              <w:t>103</w:t>
            </w:r>
          </w:p>
        </w:tc>
        <w:tc>
          <w:tcPr>
            <w:tcW w:w="1121" w:type="pct"/>
            <w:tcBorders>
              <w:top w:val="nil"/>
              <w:left w:val="nil"/>
              <w:right w:val="nil"/>
            </w:tcBorders>
            <w:shd w:val="clear" w:color="auto" w:fill="auto"/>
            <w:vAlign w:val="bottom"/>
          </w:tcPr>
          <w:p w14:paraId="0BD1B17E" w14:textId="66F0C64C" w:rsidR="006A413A" w:rsidRPr="006345D9" w:rsidRDefault="006A413A" w:rsidP="006A413A">
            <w:pPr>
              <w:tabs>
                <w:tab w:val="right" w:pos="1202"/>
              </w:tabs>
              <w:suppressAutoHyphens/>
              <w:autoSpaceDN w:val="0"/>
              <w:spacing w:line="260" w:lineRule="exact"/>
              <w:jc w:val="right"/>
              <w:outlineLvl w:val="0"/>
              <w:rPr>
                <w:rFonts w:ascii="Arial" w:eastAsia="Calibri" w:hAnsi="Arial" w:cs="Arial"/>
                <w:color w:val="000000"/>
                <w:sz w:val="20"/>
                <w:szCs w:val="20"/>
              </w:rPr>
            </w:pPr>
            <w:r>
              <w:rPr>
                <w:rFonts w:ascii="Arial" w:eastAsia="Calibri" w:hAnsi="Arial" w:cs="Arial"/>
                <w:color w:val="000000"/>
                <w:sz w:val="20"/>
                <w:szCs w:val="20"/>
              </w:rPr>
              <w:t>34</w:t>
            </w:r>
          </w:p>
        </w:tc>
      </w:tr>
      <w:tr w:rsidR="00F1566D" w:rsidRPr="003D1614" w14:paraId="324A5CCA" w14:textId="77777777" w:rsidTr="007478FB">
        <w:trPr>
          <w:trHeight w:val="283"/>
          <w:jc w:val="center"/>
        </w:trPr>
        <w:tc>
          <w:tcPr>
            <w:tcW w:w="2758" w:type="pct"/>
            <w:vAlign w:val="bottom"/>
          </w:tcPr>
          <w:p w14:paraId="7628C4C2" w14:textId="16DFEC76" w:rsidR="00F1566D" w:rsidRDefault="00F1566D" w:rsidP="006A413A">
            <w:pPr>
              <w:suppressAutoHyphens/>
              <w:autoSpaceDN w:val="0"/>
              <w:spacing w:line="256" w:lineRule="auto"/>
              <w:rPr>
                <w:rFonts w:ascii="Arial" w:eastAsia="Calibri" w:hAnsi="Arial" w:cs="Arial"/>
                <w:color w:val="000000"/>
                <w:sz w:val="20"/>
                <w:szCs w:val="20"/>
              </w:rPr>
            </w:pPr>
            <w:r>
              <w:rPr>
                <w:rFonts w:ascii="Arial" w:eastAsia="Calibri" w:hAnsi="Arial" w:cs="Arial"/>
                <w:color w:val="000000"/>
                <w:sz w:val="20"/>
                <w:szCs w:val="20"/>
              </w:rPr>
              <w:t>Djelomična uplata nominalnog iznosa</w:t>
            </w:r>
            <w:r w:rsidR="00C9669E">
              <w:rPr>
                <w:rFonts w:ascii="Arial" w:eastAsia="Calibri" w:hAnsi="Arial" w:cs="Arial"/>
                <w:color w:val="000000"/>
                <w:sz w:val="20"/>
                <w:szCs w:val="20"/>
              </w:rPr>
              <w:t>*</w:t>
            </w:r>
          </w:p>
        </w:tc>
        <w:tc>
          <w:tcPr>
            <w:tcW w:w="1121" w:type="pct"/>
            <w:tcBorders>
              <w:top w:val="nil"/>
              <w:left w:val="nil"/>
              <w:right w:val="nil"/>
            </w:tcBorders>
            <w:shd w:val="clear" w:color="auto" w:fill="auto"/>
            <w:vAlign w:val="bottom"/>
          </w:tcPr>
          <w:p w14:paraId="15112E68" w14:textId="3F3BA06E" w:rsidR="00F1566D" w:rsidRDefault="00DA3E47" w:rsidP="006A413A">
            <w:pPr>
              <w:tabs>
                <w:tab w:val="right" w:pos="1202"/>
              </w:tabs>
              <w:suppressAutoHyphens/>
              <w:autoSpaceDN w:val="0"/>
              <w:spacing w:line="260" w:lineRule="exact"/>
              <w:jc w:val="right"/>
              <w:outlineLvl w:val="0"/>
              <w:rPr>
                <w:rFonts w:ascii="Arial" w:eastAsia="Calibri" w:hAnsi="Arial" w:cs="Arial"/>
                <w:color w:val="000000"/>
                <w:sz w:val="20"/>
                <w:szCs w:val="20"/>
              </w:rPr>
            </w:pPr>
            <w:r>
              <w:rPr>
                <w:rFonts w:ascii="Arial" w:eastAsia="Calibri" w:hAnsi="Arial" w:cs="Arial"/>
                <w:color w:val="000000"/>
                <w:sz w:val="20"/>
                <w:szCs w:val="20"/>
              </w:rPr>
              <w:t>(154)</w:t>
            </w:r>
          </w:p>
        </w:tc>
        <w:tc>
          <w:tcPr>
            <w:tcW w:w="1121" w:type="pct"/>
            <w:tcBorders>
              <w:top w:val="nil"/>
              <w:left w:val="nil"/>
              <w:right w:val="nil"/>
            </w:tcBorders>
            <w:shd w:val="clear" w:color="auto" w:fill="auto"/>
            <w:vAlign w:val="bottom"/>
          </w:tcPr>
          <w:p w14:paraId="4F2DFCDC" w14:textId="6D868469" w:rsidR="00F1566D" w:rsidRDefault="00DA3E47" w:rsidP="006A413A">
            <w:pPr>
              <w:tabs>
                <w:tab w:val="right" w:pos="1202"/>
              </w:tabs>
              <w:suppressAutoHyphens/>
              <w:autoSpaceDN w:val="0"/>
              <w:spacing w:line="260" w:lineRule="exact"/>
              <w:jc w:val="right"/>
              <w:outlineLvl w:val="0"/>
              <w:rPr>
                <w:rFonts w:ascii="Arial" w:eastAsia="Calibri" w:hAnsi="Arial" w:cs="Arial"/>
                <w:color w:val="000000"/>
                <w:sz w:val="20"/>
                <w:szCs w:val="20"/>
              </w:rPr>
            </w:pPr>
            <w:r>
              <w:rPr>
                <w:rFonts w:ascii="Arial" w:eastAsia="Calibri" w:hAnsi="Arial" w:cs="Arial"/>
                <w:color w:val="000000"/>
                <w:sz w:val="20"/>
                <w:szCs w:val="20"/>
              </w:rPr>
              <w:t>-</w:t>
            </w:r>
          </w:p>
        </w:tc>
      </w:tr>
      <w:tr w:rsidR="006A413A" w:rsidRPr="003D1614" w14:paraId="092CC330" w14:textId="77777777" w:rsidTr="007478FB">
        <w:trPr>
          <w:trHeight w:val="283"/>
          <w:jc w:val="center"/>
        </w:trPr>
        <w:tc>
          <w:tcPr>
            <w:tcW w:w="2758" w:type="pct"/>
            <w:vAlign w:val="bottom"/>
          </w:tcPr>
          <w:p w14:paraId="5224B477" w14:textId="05E1B95F" w:rsidR="006A413A" w:rsidRPr="003D1614" w:rsidRDefault="006A413A" w:rsidP="006A413A">
            <w:pPr>
              <w:suppressAutoHyphens/>
              <w:autoSpaceDN w:val="0"/>
              <w:spacing w:line="256" w:lineRule="auto"/>
              <w:rPr>
                <w:rFonts w:ascii="Arial" w:eastAsia="Calibri" w:hAnsi="Arial" w:cs="Arial"/>
                <w:color w:val="000000"/>
                <w:sz w:val="20"/>
                <w:szCs w:val="20"/>
              </w:rPr>
            </w:pPr>
            <w:r w:rsidRPr="005333AB">
              <w:rPr>
                <w:rFonts w:ascii="Arial" w:eastAsia="Calibri" w:hAnsi="Arial" w:cs="Arial"/>
                <w:color w:val="000000"/>
                <w:sz w:val="20"/>
                <w:szCs w:val="20"/>
              </w:rPr>
              <w:t>Dospijeće glavnice</w:t>
            </w:r>
          </w:p>
        </w:tc>
        <w:tc>
          <w:tcPr>
            <w:tcW w:w="1121" w:type="pct"/>
            <w:tcBorders>
              <w:top w:val="nil"/>
              <w:left w:val="nil"/>
              <w:right w:val="nil"/>
            </w:tcBorders>
            <w:shd w:val="clear" w:color="auto" w:fill="auto"/>
            <w:vAlign w:val="bottom"/>
          </w:tcPr>
          <w:p w14:paraId="652C1A7C" w14:textId="776A6CE7" w:rsidR="006A413A" w:rsidRDefault="00DA3E47" w:rsidP="006A413A">
            <w:pPr>
              <w:tabs>
                <w:tab w:val="right" w:pos="1202"/>
              </w:tabs>
              <w:suppressAutoHyphens/>
              <w:autoSpaceDN w:val="0"/>
              <w:spacing w:line="260" w:lineRule="exact"/>
              <w:jc w:val="right"/>
              <w:outlineLvl w:val="0"/>
              <w:rPr>
                <w:rFonts w:ascii="Arial" w:eastAsia="Calibri" w:hAnsi="Arial" w:cs="Arial"/>
                <w:color w:val="000000"/>
                <w:sz w:val="20"/>
                <w:szCs w:val="20"/>
              </w:rPr>
            </w:pPr>
            <w:r>
              <w:rPr>
                <w:rFonts w:ascii="Arial" w:eastAsia="Calibri" w:hAnsi="Arial" w:cs="Arial"/>
                <w:color w:val="000000"/>
                <w:sz w:val="20"/>
                <w:szCs w:val="20"/>
              </w:rPr>
              <w:t>(15)</w:t>
            </w:r>
          </w:p>
        </w:tc>
        <w:tc>
          <w:tcPr>
            <w:tcW w:w="1121" w:type="pct"/>
            <w:tcBorders>
              <w:top w:val="nil"/>
              <w:left w:val="nil"/>
              <w:right w:val="nil"/>
            </w:tcBorders>
            <w:shd w:val="clear" w:color="auto" w:fill="auto"/>
            <w:vAlign w:val="bottom"/>
          </w:tcPr>
          <w:p w14:paraId="6800FE68" w14:textId="5CA0BC06" w:rsidR="006A413A" w:rsidRPr="006345D9" w:rsidRDefault="006A413A" w:rsidP="006A413A">
            <w:pPr>
              <w:tabs>
                <w:tab w:val="right" w:pos="1202"/>
              </w:tabs>
              <w:suppressAutoHyphens/>
              <w:autoSpaceDN w:val="0"/>
              <w:spacing w:line="260" w:lineRule="exact"/>
              <w:jc w:val="right"/>
              <w:outlineLvl w:val="0"/>
              <w:rPr>
                <w:rFonts w:ascii="Arial" w:eastAsia="Calibri" w:hAnsi="Arial" w:cs="Arial"/>
                <w:color w:val="000000"/>
                <w:sz w:val="20"/>
                <w:szCs w:val="20"/>
              </w:rPr>
            </w:pPr>
            <w:r>
              <w:rPr>
                <w:rFonts w:ascii="Arial" w:eastAsia="Calibri" w:hAnsi="Arial" w:cs="Arial"/>
                <w:color w:val="000000"/>
                <w:sz w:val="20"/>
                <w:szCs w:val="20"/>
              </w:rPr>
              <w:t>(12)</w:t>
            </w:r>
          </w:p>
        </w:tc>
      </w:tr>
      <w:tr w:rsidR="006A413A" w:rsidRPr="003D1614" w14:paraId="15A88E4C" w14:textId="77777777" w:rsidTr="007478FB">
        <w:trPr>
          <w:trHeight w:val="283"/>
          <w:jc w:val="center"/>
        </w:trPr>
        <w:tc>
          <w:tcPr>
            <w:tcW w:w="2758" w:type="pct"/>
            <w:vAlign w:val="bottom"/>
          </w:tcPr>
          <w:p w14:paraId="7C835B50" w14:textId="77777777" w:rsidR="006A413A" w:rsidRPr="003D1614" w:rsidRDefault="006A413A" w:rsidP="006A413A">
            <w:pPr>
              <w:suppressAutoHyphens/>
              <w:autoSpaceDN w:val="0"/>
              <w:spacing w:line="256" w:lineRule="auto"/>
              <w:rPr>
                <w:rFonts w:ascii="Arial" w:eastAsia="Calibri" w:hAnsi="Arial" w:cs="Arial"/>
                <w:color w:val="000000"/>
                <w:sz w:val="20"/>
                <w:szCs w:val="20"/>
              </w:rPr>
            </w:pPr>
            <w:r w:rsidRPr="003D1614">
              <w:rPr>
                <w:rFonts w:ascii="Arial" w:eastAsia="Calibri" w:hAnsi="Arial" w:cs="Arial"/>
                <w:color w:val="000000"/>
                <w:sz w:val="20"/>
                <w:szCs w:val="20"/>
              </w:rPr>
              <w:t>Obračunane kamate</w:t>
            </w:r>
          </w:p>
        </w:tc>
        <w:tc>
          <w:tcPr>
            <w:tcW w:w="1121" w:type="pct"/>
            <w:tcBorders>
              <w:left w:val="nil"/>
              <w:bottom w:val="single" w:sz="8" w:space="0" w:color="000000"/>
              <w:right w:val="nil"/>
            </w:tcBorders>
            <w:shd w:val="clear" w:color="auto" w:fill="auto"/>
            <w:vAlign w:val="bottom"/>
          </w:tcPr>
          <w:p w14:paraId="5652F782" w14:textId="39C248F2" w:rsidR="006A413A" w:rsidRPr="003D1614" w:rsidRDefault="00D45C5E" w:rsidP="006A413A">
            <w:pPr>
              <w:tabs>
                <w:tab w:val="right" w:pos="1202"/>
              </w:tabs>
              <w:suppressAutoHyphens/>
              <w:autoSpaceDN w:val="0"/>
              <w:spacing w:line="260" w:lineRule="exact"/>
              <w:jc w:val="right"/>
              <w:outlineLvl w:val="0"/>
              <w:rPr>
                <w:rFonts w:ascii="Arial" w:eastAsia="Calibri" w:hAnsi="Arial" w:cs="Arial"/>
                <w:color w:val="000000"/>
                <w:sz w:val="20"/>
                <w:szCs w:val="20"/>
              </w:rPr>
            </w:pPr>
            <w:r>
              <w:rPr>
                <w:rFonts w:ascii="Arial" w:eastAsia="Calibri" w:hAnsi="Arial" w:cs="Arial"/>
                <w:color w:val="000000"/>
                <w:sz w:val="20"/>
                <w:szCs w:val="20"/>
              </w:rPr>
              <w:t>2</w:t>
            </w:r>
          </w:p>
        </w:tc>
        <w:tc>
          <w:tcPr>
            <w:tcW w:w="1121" w:type="pct"/>
            <w:tcBorders>
              <w:left w:val="nil"/>
              <w:bottom w:val="single" w:sz="8" w:space="0" w:color="000000"/>
              <w:right w:val="nil"/>
            </w:tcBorders>
            <w:shd w:val="clear" w:color="auto" w:fill="auto"/>
            <w:vAlign w:val="bottom"/>
          </w:tcPr>
          <w:p w14:paraId="47EE2259" w14:textId="2E35D397" w:rsidR="006A413A" w:rsidRPr="006345D9" w:rsidRDefault="006A413A" w:rsidP="006A413A">
            <w:pPr>
              <w:tabs>
                <w:tab w:val="right" w:pos="1202"/>
              </w:tabs>
              <w:suppressAutoHyphens/>
              <w:autoSpaceDN w:val="0"/>
              <w:spacing w:line="260" w:lineRule="exact"/>
              <w:jc w:val="right"/>
              <w:outlineLvl w:val="0"/>
              <w:rPr>
                <w:rFonts w:ascii="Arial" w:eastAsia="Calibri" w:hAnsi="Arial" w:cs="Arial"/>
                <w:color w:val="000000"/>
                <w:sz w:val="20"/>
                <w:szCs w:val="20"/>
              </w:rPr>
            </w:pPr>
            <w:r>
              <w:rPr>
                <w:rFonts w:ascii="Arial" w:eastAsia="Calibri" w:hAnsi="Arial" w:cs="Arial"/>
                <w:color w:val="000000"/>
                <w:sz w:val="20"/>
                <w:szCs w:val="20"/>
              </w:rPr>
              <w:t>(2)</w:t>
            </w:r>
          </w:p>
        </w:tc>
      </w:tr>
      <w:tr w:rsidR="006A413A" w:rsidRPr="003D1614" w14:paraId="069315EB" w14:textId="77777777" w:rsidTr="007478FB">
        <w:trPr>
          <w:trHeight w:val="283"/>
          <w:jc w:val="center"/>
        </w:trPr>
        <w:tc>
          <w:tcPr>
            <w:tcW w:w="2758" w:type="pct"/>
            <w:vAlign w:val="bottom"/>
          </w:tcPr>
          <w:p w14:paraId="7E67A48A" w14:textId="1F1A4FA5" w:rsidR="006A413A" w:rsidRPr="003D1614" w:rsidRDefault="006A413A" w:rsidP="006A413A">
            <w:pPr>
              <w:suppressAutoHyphens/>
              <w:autoSpaceDN w:val="0"/>
              <w:rPr>
                <w:rFonts w:ascii="Arial" w:eastAsia="Calibri" w:hAnsi="Arial" w:cs="Arial"/>
                <w:b/>
                <w:bCs/>
                <w:color w:val="000000"/>
                <w:sz w:val="20"/>
                <w:szCs w:val="20"/>
              </w:rPr>
            </w:pPr>
            <w:r w:rsidRPr="003D1614">
              <w:rPr>
                <w:rFonts w:ascii="Arial" w:eastAsia="Calibri" w:hAnsi="Arial" w:cs="Arial"/>
                <w:b/>
                <w:bCs/>
                <w:color w:val="000000"/>
                <w:sz w:val="20"/>
                <w:szCs w:val="20"/>
              </w:rPr>
              <w:t xml:space="preserve">Stanje </w:t>
            </w:r>
            <w:r w:rsidRPr="002576B9">
              <w:rPr>
                <w:rFonts w:ascii="Arial" w:eastAsia="Calibri" w:hAnsi="Arial" w:cs="Arial"/>
                <w:b/>
                <w:bCs/>
                <w:color w:val="000000"/>
                <w:sz w:val="20"/>
                <w:szCs w:val="20"/>
              </w:rPr>
              <w:t xml:space="preserve">30. </w:t>
            </w:r>
            <w:r>
              <w:rPr>
                <w:rFonts w:ascii="Arial" w:eastAsia="Calibri" w:hAnsi="Arial" w:cs="Arial"/>
                <w:b/>
                <w:bCs/>
                <w:color w:val="000000"/>
                <w:sz w:val="20"/>
                <w:szCs w:val="20"/>
              </w:rPr>
              <w:t>rujna</w:t>
            </w:r>
          </w:p>
        </w:tc>
        <w:tc>
          <w:tcPr>
            <w:tcW w:w="1121" w:type="pct"/>
            <w:tcBorders>
              <w:top w:val="single" w:sz="8" w:space="0" w:color="000000"/>
              <w:left w:val="nil"/>
              <w:bottom w:val="single" w:sz="12" w:space="0" w:color="auto"/>
              <w:right w:val="nil"/>
            </w:tcBorders>
            <w:shd w:val="clear" w:color="auto" w:fill="auto"/>
            <w:vAlign w:val="bottom"/>
          </w:tcPr>
          <w:p w14:paraId="69204568" w14:textId="6299920E" w:rsidR="006A413A" w:rsidRPr="003D1614" w:rsidRDefault="00D45C5E" w:rsidP="006A413A">
            <w:pPr>
              <w:tabs>
                <w:tab w:val="right" w:pos="1202"/>
              </w:tabs>
              <w:suppressAutoHyphens/>
              <w:autoSpaceDN w:val="0"/>
              <w:jc w:val="right"/>
              <w:outlineLvl w:val="0"/>
              <w:rPr>
                <w:rFonts w:ascii="Arial" w:eastAsia="Calibri" w:hAnsi="Arial" w:cs="Arial"/>
                <w:b/>
                <w:color w:val="000000"/>
                <w:sz w:val="20"/>
                <w:szCs w:val="20"/>
              </w:rPr>
            </w:pPr>
            <w:r>
              <w:rPr>
                <w:rFonts w:ascii="Arial" w:eastAsia="Calibri" w:hAnsi="Arial" w:cs="Arial"/>
                <w:b/>
                <w:color w:val="000000"/>
                <w:sz w:val="20"/>
                <w:szCs w:val="20"/>
              </w:rPr>
              <w:t>214</w:t>
            </w:r>
          </w:p>
        </w:tc>
        <w:tc>
          <w:tcPr>
            <w:tcW w:w="1121" w:type="pct"/>
            <w:tcBorders>
              <w:top w:val="single" w:sz="8" w:space="0" w:color="000000"/>
              <w:left w:val="nil"/>
              <w:bottom w:val="single" w:sz="12" w:space="0" w:color="auto"/>
              <w:right w:val="nil"/>
            </w:tcBorders>
            <w:shd w:val="clear" w:color="auto" w:fill="auto"/>
            <w:vAlign w:val="bottom"/>
          </w:tcPr>
          <w:p w14:paraId="1613899D" w14:textId="29A70413" w:rsidR="006A413A" w:rsidRPr="006345D9" w:rsidRDefault="006A413A" w:rsidP="006A413A">
            <w:pPr>
              <w:tabs>
                <w:tab w:val="right" w:pos="1202"/>
              </w:tabs>
              <w:suppressAutoHyphens/>
              <w:autoSpaceDN w:val="0"/>
              <w:jc w:val="right"/>
              <w:outlineLvl w:val="0"/>
              <w:rPr>
                <w:rFonts w:ascii="Arial" w:eastAsia="Calibri" w:hAnsi="Arial" w:cs="Arial"/>
                <w:b/>
                <w:color w:val="000000"/>
                <w:sz w:val="20"/>
                <w:szCs w:val="20"/>
              </w:rPr>
            </w:pPr>
            <w:r>
              <w:rPr>
                <w:rFonts w:ascii="Arial" w:eastAsia="Calibri" w:hAnsi="Arial" w:cs="Arial"/>
                <w:b/>
                <w:color w:val="000000"/>
                <w:sz w:val="20"/>
                <w:szCs w:val="20"/>
              </w:rPr>
              <w:t>281</w:t>
            </w:r>
          </w:p>
        </w:tc>
      </w:tr>
    </w:tbl>
    <w:p w14:paraId="5BCFBF68" w14:textId="2F127480" w:rsidR="003E5073" w:rsidRDefault="003E5073" w:rsidP="003E5073">
      <w:pPr>
        <w:suppressAutoHyphens/>
        <w:autoSpaceDN w:val="0"/>
        <w:jc w:val="both"/>
        <w:rPr>
          <w:rFonts w:ascii="Arial" w:eastAsia="Calibri" w:hAnsi="Arial" w:cs="Arial"/>
          <w:color w:val="000000" w:themeColor="text1"/>
          <w:sz w:val="20"/>
          <w:szCs w:val="20"/>
        </w:rPr>
      </w:pPr>
    </w:p>
    <w:p w14:paraId="553C32BB" w14:textId="77777777" w:rsidR="00282E5D" w:rsidRPr="00282E5D" w:rsidRDefault="00282E5D" w:rsidP="00282E5D">
      <w:pPr>
        <w:jc w:val="both"/>
        <w:rPr>
          <w:rFonts w:ascii="Arial" w:hAnsi="Arial" w:cs="Arial"/>
          <w:i/>
          <w:iCs/>
          <w:sz w:val="18"/>
          <w:szCs w:val="18"/>
        </w:rPr>
      </w:pPr>
      <w:r w:rsidRPr="00282E5D">
        <w:rPr>
          <w:rFonts w:ascii="Arial" w:hAnsi="Arial" w:cs="Arial"/>
          <w:i/>
          <w:iCs/>
          <w:sz w:val="18"/>
          <w:szCs w:val="18"/>
        </w:rPr>
        <w:t>*Dana 9. srpnja 2024. objavljeno je da je nizozemska kompanija Fortenova Group TopCo B.V. uspješno dovršila transformaciju vlasničke strukture, odnosno kupoprodaju društva Fortenova Group MidCo B.V. (koje je vlasnik Fortenova grupe d.d. i svih operativnih društava Fortenova grupe).</w:t>
      </w:r>
    </w:p>
    <w:p w14:paraId="01731504" w14:textId="5C6199D0" w:rsidR="00282E5D" w:rsidRPr="00282E5D" w:rsidRDefault="00282E5D" w:rsidP="00282E5D">
      <w:pPr>
        <w:jc w:val="both"/>
        <w:rPr>
          <w:rFonts w:ascii="Arial" w:hAnsi="Arial" w:cs="Arial"/>
          <w:i/>
          <w:iCs/>
          <w:sz w:val="18"/>
          <w:szCs w:val="18"/>
        </w:rPr>
      </w:pPr>
      <w:r w:rsidRPr="00282E5D">
        <w:rPr>
          <w:rFonts w:ascii="Arial" w:hAnsi="Arial" w:cs="Arial"/>
          <w:i/>
          <w:iCs/>
          <w:sz w:val="18"/>
          <w:szCs w:val="18"/>
        </w:rPr>
        <w:t xml:space="preserve">HBOR nije sudjelovao u prelasku u novu vlasničku strukturu, već je 9. srpnja 2024. zaprimio uplatu u iznosu od 154 tisuća eura vezano za otkup istog nominalnog iznosa obveznica. </w:t>
      </w:r>
      <w:r w:rsidRPr="001B1B67">
        <w:rPr>
          <w:rFonts w:ascii="Arial" w:hAnsi="Arial" w:cs="Arial"/>
          <w:i/>
          <w:iCs/>
          <w:sz w:val="18"/>
          <w:szCs w:val="18"/>
        </w:rPr>
        <w:t>Stoga HBOR više nije vlasnik 517 tisuća eura obveznica, nego 3</w:t>
      </w:r>
      <w:r w:rsidR="001B1B67" w:rsidRPr="001B1B67">
        <w:rPr>
          <w:rFonts w:ascii="Arial" w:hAnsi="Arial" w:cs="Arial"/>
          <w:i/>
          <w:iCs/>
          <w:sz w:val="18"/>
          <w:szCs w:val="18"/>
        </w:rPr>
        <w:t>63</w:t>
      </w:r>
      <w:r w:rsidRPr="001B1B67">
        <w:rPr>
          <w:rFonts w:ascii="Arial" w:hAnsi="Arial" w:cs="Arial"/>
          <w:i/>
          <w:iCs/>
          <w:sz w:val="18"/>
          <w:szCs w:val="18"/>
        </w:rPr>
        <w:t xml:space="preserve"> tisuća eura obveznica u nominalnom iznosu.</w:t>
      </w:r>
    </w:p>
    <w:p w14:paraId="7F803715" w14:textId="40AD703F" w:rsidR="00282E5D" w:rsidRPr="00282E5D" w:rsidRDefault="00282E5D" w:rsidP="001541F1">
      <w:pPr>
        <w:jc w:val="both"/>
        <w:rPr>
          <w:rFonts w:ascii="Arial" w:eastAsia="Calibri" w:hAnsi="Arial" w:cs="Arial"/>
          <w:i/>
          <w:iCs/>
          <w:color w:val="000000" w:themeColor="text1"/>
          <w:sz w:val="18"/>
          <w:szCs w:val="18"/>
        </w:rPr>
      </w:pPr>
      <w:r w:rsidRPr="00282E5D">
        <w:rPr>
          <w:rFonts w:ascii="Arial" w:hAnsi="Arial" w:cs="Arial"/>
          <w:i/>
          <w:iCs/>
          <w:sz w:val="18"/>
          <w:szCs w:val="18"/>
        </w:rPr>
        <w:t xml:space="preserve">Nakon što se kupoprodaja društva Fortenova Group MidCo B.V. u potpunosti zaključi, preostale obveznice će se konvertirati u udjele zaklade Fortenova Group STAK-a i ista će se likvidirati. </w:t>
      </w:r>
    </w:p>
    <w:p w14:paraId="1F06793B" w14:textId="77777777" w:rsidR="00282E5D" w:rsidRPr="00282E5D" w:rsidRDefault="00282E5D" w:rsidP="003E5073">
      <w:pPr>
        <w:suppressAutoHyphens/>
        <w:autoSpaceDN w:val="0"/>
        <w:jc w:val="both"/>
        <w:rPr>
          <w:rFonts w:ascii="Arial" w:eastAsia="Calibri" w:hAnsi="Arial" w:cs="Arial"/>
          <w:i/>
          <w:iCs/>
          <w:color w:val="000000" w:themeColor="text1"/>
          <w:sz w:val="18"/>
          <w:szCs w:val="18"/>
        </w:rPr>
      </w:pPr>
    </w:p>
    <w:p w14:paraId="22422E36" w14:textId="77777777" w:rsidR="002558E1" w:rsidRDefault="002558E1" w:rsidP="003E5073">
      <w:pPr>
        <w:suppressAutoHyphens/>
        <w:autoSpaceDN w:val="0"/>
        <w:jc w:val="both"/>
        <w:rPr>
          <w:rFonts w:ascii="Arial" w:eastAsia="Calibri" w:hAnsi="Arial" w:cs="Arial"/>
          <w:color w:val="000000" w:themeColor="text1"/>
          <w:sz w:val="20"/>
          <w:szCs w:val="20"/>
        </w:rPr>
      </w:pPr>
    </w:p>
    <w:p w14:paraId="53876B65" w14:textId="77777777" w:rsidR="002558E1" w:rsidRPr="003D1614" w:rsidRDefault="002558E1" w:rsidP="003E5073">
      <w:pPr>
        <w:suppressAutoHyphens/>
        <w:autoSpaceDN w:val="0"/>
        <w:jc w:val="both"/>
        <w:rPr>
          <w:rFonts w:ascii="Arial" w:eastAsia="Calibri" w:hAnsi="Arial" w:cs="Arial"/>
          <w:color w:val="000000" w:themeColor="text1"/>
          <w:sz w:val="20"/>
          <w:szCs w:val="20"/>
        </w:rPr>
        <w:sectPr w:rsidR="002558E1" w:rsidRPr="003D1614" w:rsidSect="003278AB">
          <w:footerReference w:type="default" r:id="rId29"/>
          <w:pgSz w:w="11906" w:h="16838"/>
          <w:pgMar w:top="1417" w:right="1417" w:bottom="1417" w:left="1417" w:header="708" w:footer="708" w:gutter="0"/>
          <w:cols w:space="708"/>
          <w:docGrid w:linePitch="360"/>
        </w:sectPr>
      </w:pPr>
    </w:p>
    <w:p w14:paraId="720C0E24" w14:textId="0D2FE653" w:rsidR="003A2761" w:rsidRPr="003D1614" w:rsidRDefault="003A2761" w:rsidP="003E5073">
      <w:pPr>
        <w:suppressAutoHyphens/>
        <w:autoSpaceDN w:val="0"/>
        <w:jc w:val="both"/>
        <w:rPr>
          <w:rFonts w:ascii="Arial" w:eastAsia="Calibri" w:hAnsi="Arial" w:cs="Arial"/>
          <w:color w:val="000000" w:themeColor="text1"/>
          <w:sz w:val="20"/>
          <w:szCs w:val="20"/>
        </w:rPr>
      </w:pPr>
    </w:p>
    <w:p w14:paraId="7F8EE2E8" w14:textId="329B985F" w:rsidR="003A2761" w:rsidRPr="003D1614" w:rsidRDefault="003A2761" w:rsidP="003A2761">
      <w:pPr>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pacing w:val="-3"/>
          <w:sz w:val="20"/>
          <w:szCs w:val="20"/>
        </w:rPr>
        <w:t>2</w:t>
      </w:r>
      <w:r w:rsidR="00C55B0C">
        <w:rPr>
          <w:rFonts w:ascii="Arial" w:eastAsia="Times New Roman" w:hAnsi="Arial" w:cs="Arial"/>
          <w:b/>
          <w:color w:val="000000" w:themeColor="text1"/>
          <w:spacing w:val="-3"/>
          <w:sz w:val="20"/>
          <w:szCs w:val="20"/>
        </w:rPr>
        <w:t>5</w:t>
      </w:r>
      <w:r w:rsidRPr="003D1614">
        <w:rPr>
          <w:rFonts w:ascii="Arial" w:eastAsia="Times New Roman" w:hAnsi="Arial" w:cs="Arial"/>
          <w:b/>
          <w:color w:val="000000" w:themeColor="text1"/>
          <w:spacing w:val="-3"/>
          <w:sz w:val="20"/>
          <w:szCs w:val="20"/>
        </w:rPr>
        <w:t xml:space="preserve">. </w:t>
      </w:r>
      <w:r w:rsidRPr="003D1614">
        <w:rPr>
          <w:rFonts w:ascii="Arial" w:eastAsia="Times New Roman" w:hAnsi="Arial" w:cs="Arial"/>
          <w:b/>
          <w:color w:val="000000" w:themeColor="text1"/>
          <w:spacing w:val="-3"/>
          <w:sz w:val="20"/>
          <w:szCs w:val="20"/>
        </w:rPr>
        <w:tab/>
      </w:r>
      <w:r w:rsidRPr="003D1614">
        <w:rPr>
          <w:rFonts w:ascii="Arial" w:eastAsia="Times New Roman" w:hAnsi="Arial" w:cs="Arial"/>
          <w:b/>
          <w:color w:val="000000" w:themeColor="text1"/>
          <w:sz w:val="20"/>
          <w:szCs w:val="20"/>
        </w:rPr>
        <w:t>Izvještavanje po segmentima</w:t>
      </w:r>
    </w:p>
    <w:p w14:paraId="27A3E275" w14:textId="77777777" w:rsidR="003A2761" w:rsidRPr="003D1614" w:rsidRDefault="003A2761" w:rsidP="003A2761">
      <w:pPr>
        <w:suppressAutoHyphens/>
        <w:autoSpaceDN w:val="0"/>
        <w:jc w:val="both"/>
        <w:rPr>
          <w:rFonts w:ascii="Arial" w:eastAsia="Times New Roman" w:hAnsi="Arial" w:cs="Arial"/>
          <w:b/>
          <w:color w:val="000000" w:themeColor="text1"/>
          <w:sz w:val="20"/>
          <w:szCs w:val="20"/>
        </w:rPr>
      </w:pPr>
    </w:p>
    <w:p w14:paraId="55337167" w14:textId="77777777" w:rsidR="003A2761" w:rsidRPr="003D1614" w:rsidRDefault="003A2761" w:rsidP="003A2761">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Osnovne informacije o segmentima su predstavljene u odnosu na poslovne segmente Grupe. </w:t>
      </w:r>
    </w:p>
    <w:p w14:paraId="31926086" w14:textId="77777777" w:rsidR="003A2761" w:rsidRPr="003D1614" w:rsidRDefault="003A2761" w:rsidP="003A2761">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Kako Grupa ne raspoređuje administrativne troškove i kapital i rezerve po segmentima, nije prikazana profitabilnost segmenata.</w:t>
      </w:r>
    </w:p>
    <w:p w14:paraId="578DC1EE" w14:textId="77777777" w:rsidR="003A2761" w:rsidRPr="003D1614" w:rsidRDefault="003A2761" w:rsidP="003A2761">
      <w:pPr>
        <w:suppressAutoHyphens/>
        <w:autoSpaceDN w:val="0"/>
        <w:jc w:val="both"/>
        <w:rPr>
          <w:rFonts w:ascii="Arial" w:eastAsia="Times New Roman" w:hAnsi="Arial" w:cs="Arial"/>
          <w:color w:val="000000" w:themeColor="text1"/>
          <w:sz w:val="20"/>
          <w:szCs w:val="20"/>
        </w:rPr>
      </w:pPr>
    </w:p>
    <w:p w14:paraId="7455ABB6" w14:textId="77777777" w:rsidR="003A2761" w:rsidRPr="003D1614" w:rsidRDefault="003A2761" w:rsidP="003A2761">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Imovina i obveze po segmentima iskazani su neto, tj. bruto nakon umanjenja vrijednosti i rezerviranja, a prije uzimanja u obzir primljenih kolaterala.  </w:t>
      </w:r>
    </w:p>
    <w:p w14:paraId="15A966AC" w14:textId="77777777" w:rsidR="003A2761" w:rsidRPr="003D1614" w:rsidRDefault="003A2761" w:rsidP="003A2761">
      <w:pPr>
        <w:suppressAutoHyphens/>
        <w:autoSpaceDN w:val="0"/>
        <w:jc w:val="both"/>
        <w:rPr>
          <w:rFonts w:ascii="Arial" w:eastAsia="Times New Roman" w:hAnsi="Arial" w:cs="Arial"/>
          <w:color w:val="000000" w:themeColor="text1"/>
          <w:sz w:val="20"/>
          <w:szCs w:val="20"/>
        </w:rPr>
      </w:pPr>
    </w:p>
    <w:p w14:paraId="1ED48A36" w14:textId="77777777" w:rsidR="003A2761" w:rsidRPr="003D1614" w:rsidRDefault="003A2761" w:rsidP="003A2761">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Poslovanje segmenata je organizacijski i upravljački odvojeno i svaki segment predstavlja cjelinu koja pruža različite proizvode i usluge i posluje na različitim tržištima.</w:t>
      </w:r>
    </w:p>
    <w:p w14:paraId="5AC6F628" w14:textId="77777777" w:rsidR="003A2761" w:rsidRPr="003D1614" w:rsidRDefault="003A2761" w:rsidP="003A2761">
      <w:pPr>
        <w:suppressAutoHyphens/>
        <w:autoSpaceDN w:val="0"/>
        <w:jc w:val="both"/>
        <w:rPr>
          <w:rFonts w:ascii="Arial" w:eastAsia="Times New Roman" w:hAnsi="Arial" w:cs="Arial"/>
          <w:color w:val="000000" w:themeColor="text1"/>
          <w:sz w:val="20"/>
          <w:szCs w:val="20"/>
        </w:rPr>
      </w:pPr>
    </w:p>
    <w:p w14:paraId="1DDE53BF" w14:textId="77777777" w:rsidR="003A2761" w:rsidRPr="003D1614" w:rsidRDefault="003A2761" w:rsidP="003A2761">
      <w:pPr>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Poslovni segmenti:</w:t>
      </w:r>
    </w:p>
    <w:p w14:paraId="753F797C" w14:textId="77777777" w:rsidR="003A2761" w:rsidRPr="003D1614" w:rsidRDefault="003A2761" w:rsidP="003A2761">
      <w:pPr>
        <w:suppressAutoHyphens/>
        <w:autoSpaceDN w:val="0"/>
        <w:jc w:val="both"/>
        <w:rPr>
          <w:rFonts w:ascii="Arial" w:eastAsia="Times New Roman" w:hAnsi="Arial" w:cs="Arial"/>
          <w:b/>
          <w:color w:val="000000" w:themeColor="text1"/>
          <w:sz w:val="20"/>
          <w:szCs w:val="20"/>
        </w:rPr>
      </w:pPr>
    </w:p>
    <w:p w14:paraId="1F24859B" w14:textId="77777777" w:rsidR="003A2761" w:rsidRPr="003D1614" w:rsidRDefault="003A2761" w:rsidP="003A2761">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Grupa ima sljedeće poslovne segmente:</w:t>
      </w:r>
    </w:p>
    <w:tbl>
      <w:tblPr>
        <w:tblW w:w="0" w:type="auto"/>
        <w:tblLook w:val="01E0" w:firstRow="1" w:lastRow="1" w:firstColumn="1" w:lastColumn="1" w:noHBand="0" w:noVBand="0"/>
      </w:tblPr>
      <w:tblGrid>
        <w:gridCol w:w="3461"/>
        <w:gridCol w:w="235"/>
        <w:gridCol w:w="5376"/>
      </w:tblGrid>
      <w:tr w:rsidR="003A2761" w:rsidRPr="003D1614" w14:paraId="1121145A" w14:textId="77777777" w:rsidTr="00BC10BC">
        <w:trPr>
          <w:trHeight w:val="153"/>
        </w:trPr>
        <w:tc>
          <w:tcPr>
            <w:tcW w:w="3528" w:type="dxa"/>
            <w:shd w:val="clear" w:color="auto" w:fill="auto"/>
          </w:tcPr>
          <w:p w14:paraId="57265304" w14:textId="77777777" w:rsidR="003A2761" w:rsidRPr="003D1614" w:rsidRDefault="003A2761" w:rsidP="003A2761">
            <w:pPr>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Segment:</w:t>
            </w:r>
          </w:p>
        </w:tc>
        <w:tc>
          <w:tcPr>
            <w:tcW w:w="236" w:type="dxa"/>
            <w:shd w:val="clear" w:color="auto" w:fill="auto"/>
          </w:tcPr>
          <w:p w14:paraId="744B93C5" w14:textId="77777777" w:rsidR="003A2761" w:rsidRPr="003D1614" w:rsidRDefault="003A2761" w:rsidP="003A2761">
            <w:pPr>
              <w:suppressAutoHyphens/>
              <w:autoSpaceDN w:val="0"/>
              <w:jc w:val="both"/>
              <w:rPr>
                <w:rFonts w:ascii="Arial" w:eastAsia="Times New Roman" w:hAnsi="Arial" w:cs="Arial"/>
                <w:b/>
                <w:color w:val="000000" w:themeColor="text1"/>
                <w:sz w:val="20"/>
                <w:szCs w:val="20"/>
              </w:rPr>
            </w:pPr>
          </w:p>
        </w:tc>
        <w:tc>
          <w:tcPr>
            <w:tcW w:w="5524" w:type="dxa"/>
            <w:shd w:val="clear" w:color="auto" w:fill="auto"/>
          </w:tcPr>
          <w:p w14:paraId="1270EC2C" w14:textId="77777777" w:rsidR="003A2761" w:rsidRPr="003D1614" w:rsidRDefault="003A2761" w:rsidP="003A2761">
            <w:pPr>
              <w:jc w:val="both"/>
              <w:rPr>
                <w:rFonts w:ascii="Arial" w:eastAsia="Times New Roman" w:hAnsi="Arial" w:cs="Arial"/>
                <w:b/>
                <w:color w:val="000000" w:themeColor="text1"/>
                <w:sz w:val="20"/>
                <w:szCs w:val="20"/>
                <w:lang w:eastAsia="hr-HR"/>
              </w:rPr>
            </w:pPr>
            <w:r w:rsidRPr="003D1614">
              <w:rPr>
                <w:rFonts w:ascii="Arial" w:eastAsia="Times New Roman" w:hAnsi="Arial" w:cs="Arial"/>
                <w:b/>
                <w:color w:val="000000" w:themeColor="text1"/>
                <w:sz w:val="20"/>
                <w:szCs w:val="20"/>
                <w:lang w:eastAsia="hr-HR"/>
              </w:rPr>
              <w:t>Poslovne aktivnosti segmenta uključuju:</w:t>
            </w:r>
          </w:p>
        </w:tc>
      </w:tr>
      <w:tr w:rsidR="003A2761" w:rsidRPr="003D1614" w14:paraId="141C9381" w14:textId="77777777" w:rsidTr="00BC10BC">
        <w:tc>
          <w:tcPr>
            <w:tcW w:w="3528" w:type="dxa"/>
            <w:shd w:val="clear" w:color="auto" w:fill="auto"/>
          </w:tcPr>
          <w:p w14:paraId="3D16754C" w14:textId="77777777" w:rsidR="003A2761" w:rsidRPr="003D1614" w:rsidRDefault="003A2761" w:rsidP="003A2761">
            <w:pPr>
              <w:suppressAutoHyphens/>
              <w:autoSpaceDN w:val="0"/>
              <w:jc w:val="both"/>
              <w:rPr>
                <w:rFonts w:ascii="Arial" w:eastAsia="Times New Roman" w:hAnsi="Arial" w:cs="Arial"/>
                <w:color w:val="000000" w:themeColor="text1"/>
                <w:sz w:val="20"/>
                <w:szCs w:val="20"/>
              </w:rPr>
            </w:pPr>
          </w:p>
        </w:tc>
        <w:tc>
          <w:tcPr>
            <w:tcW w:w="236" w:type="dxa"/>
            <w:shd w:val="clear" w:color="auto" w:fill="auto"/>
          </w:tcPr>
          <w:p w14:paraId="219EABB8" w14:textId="77777777" w:rsidR="003A2761" w:rsidRPr="003D1614" w:rsidRDefault="003A2761" w:rsidP="003A2761">
            <w:pPr>
              <w:suppressAutoHyphens/>
              <w:autoSpaceDN w:val="0"/>
              <w:jc w:val="both"/>
              <w:rPr>
                <w:rFonts w:ascii="Arial" w:eastAsia="Times New Roman" w:hAnsi="Arial" w:cs="Arial"/>
                <w:color w:val="000000" w:themeColor="text1"/>
                <w:sz w:val="20"/>
                <w:szCs w:val="20"/>
              </w:rPr>
            </w:pPr>
          </w:p>
        </w:tc>
        <w:tc>
          <w:tcPr>
            <w:tcW w:w="5524" w:type="dxa"/>
            <w:shd w:val="clear" w:color="auto" w:fill="auto"/>
          </w:tcPr>
          <w:p w14:paraId="5F2E73C7" w14:textId="77777777" w:rsidR="003A2761" w:rsidRPr="003D1614" w:rsidRDefault="003A2761" w:rsidP="003A2761">
            <w:pPr>
              <w:jc w:val="both"/>
              <w:rPr>
                <w:rFonts w:ascii="Arial" w:eastAsia="Times New Roman" w:hAnsi="Arial" w:cs="Arial"/>
                <w:color w:val="000000" w:themeColor="text1"/>
                <w:sz w:val="20"/>
                <w:szCs w:val="20"/>
                <w:lang w:eastAsia="hr-HR"/>
              </w:rPr>
            </w:pPr>
          </w:p>
        </w:tc>
      </w:tr>
      <w:tr w:rsidR="003A2761" w:rsidRPr="003D1614" w14:paraId="528C6ADC" w14:textId="77777777" w:rsidTr="00BC10BC">
        <w:tc>
          <w:tcPr>
            <w:tcW w:w="3528" w:type="dxa"/>
            <w:shd w:val="clear" w:color="auto" w:fill="auto"/>
          </w:tcPr>
          <w:p w14:paraId="27537928" w14:textId="77777777" w:rsidR="003A2761" w:rsidRPr="003D1614" w:rsidRDefault="003A2761" w:rsidP="003A2761">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Bankarske aktivnosti</w:t>
            </w:r>
          </w:p>
        </w:tc>
        <w:tc>
          <w:tcPr>
            <w:tcW w:w="236" w:type="dxa"/>
            <w:shd w:val="clear" w:color="auto" w:fill="auto"/>
          </w:tcPr>
          <w:p w14:paraId="485BBD56" w14:textId="77777777" w:rsidR="003A2761" w:rsidRPr="003D1614" w:rsidRDefault="003A2761" w:rsidP="003A2761">
            <w:pPr>
              <w:suppressAutoHyphens/>
              <w:autoSpaceDN w:val="0"/>
              <w:jc w:val="both"/>
              <w:rPr>
                <w:rFonts w:ascii="Arial" w:eastAsia="Times New Roman" w:hAnsi="Arial" w:cs="Arial"/>
                <w:color w:val="000000" w:themeColor="text1"/>
                <w:sz w:val="20"/>
                <w:szCs w:val="20"/>
              </w:rPr>
            </w:pPr>
          </w:p>
        </w:tc>
        <w:tc>
          <w:tcPr>
            <w:tcW w:w="5524" w:type="dxa"/>
            <w:shd w:val="clear" w:color="auto" w:fill="auto"/>
          </w:tcPr>
          <w:p w14:paraId="027B62DD" w14:textId="77777777" w:rsidR="003A2761" w:rsidRPr="003D1614" w:rsidRDefault="003A2761" w:rsidP="003A2761">
            <w:pPr>
              <w:jc w:val="both"/>
              <w:rPr>
                <w:rFonts w:ascii="Arial" w:eastAsia="Times New Roman" w:hAnsi="Arial" w:cs="Arial"/>
                <w:color w:val="000000" w:themeColor="text1"/>
                <w:sz w:val="20"/>
                <w:szCs w:val="20"/>
                <w:lang w:eastAsia="hr-HR"/>
              </w:rPr>
            </w:pPr>
            <w:r w:rsidRPr="003D1614">
              <w:rPr>
                <w:rFonts w:ascii="Arial" w:eastAsia="Times New Roman" w:hAnsi="Arial" w:cs="Arial"/>
                <w:color w:val="000000" w:themeColor="text1"/>
                <w:sz w:val="20"/>
                <w:szCs w:val="20"/>
                <w:lang w:eastAsia="hr-HR"/>
              </w:rPr>
              <w:t xml:space="preserve">financiranje obnove i razvitka hrvatskoga gospodarstva, financiranje infrastrukture, poticanje izvoza, potporu razvitku malog i srednjeg poduzetništva, poticanje zaštite okoliša, kao i osiguranje izvoza hrvatskih roba i usluga od netržišnih rizika u ime i za račun Republike Hrvatske. </w:t>
            </w:r>
          </w:p>
        </w:tc>
      </w:tr>
      <w:tr w:rsidR="003A2761" w:rsidRPr="003D1614" w14:paraId="151AA1E8" w14:textId="77777777" w:rsidTr="00BC10BC">
        <w:tc>
          <w:tcPr>
            <w:tcW w:w="3528" w:type="dxa"/>
            <w:shd w:val="clear" w:color="auto" w:fill="auto"/>
          </w:tcPr>
          <w:p w14:paraId="6FEC6B10" w14:textId="77777777" w:rsidR="003A2761" w:rsidRPr="003D1614" w:rsidRDefault="003A2761" w:rsidP="003A2761">
            <w:pPr>
              <w:suppressAutoHyphens/>
              <w:autoSpaceDN w:val="0"/>
              <w:jc w:val="both"/>
              <w:rPr>
                <w:rFonts w:ascii="Arial" w:eastAsia="Times New Roman" w:hAnsi="Arial" w:cs="Arial"/>
                <w:color w:val="000000" w:themeColor="text1"/>
                <w:sz w:val="20"/>
                <w:szCs w:val="20"/>
              </w:rPr>
            </w:pPr>
          </w:p>
        </w:tc>
        <w:tc>
          <w:tcPr>
            <w:tcW w:w="236" w:type="dxa"/>
            <w:shd w:val="clear" w:color="auto" w:fill="auto"/>
          </w:tcPr>
          <w:p w14:paraId="5BD4404B" w14:textId="77777777" w:rsidR="003A2761" w:rsidRPr="003D1614" w:rsidRDefault="003A2761" w:rsidP="003A2761">
            <w:pPr>
              <w:suppressAutoHyphens/>
              <w:autoSpaceDN w:val="0"/>
              <w:jc w:val="both"/>
              <w:rPr>
                <w:rFonts w:ascii="Arial" w:eastAsia="Times New Roman" w:hAnsi="Arial" w:cs="Arial"/>
                <w:color w:val="000000" w:themeColor="text1"/>
                <w:sz w:val="20"/>
                <w:szCs w:val="20"/>
              </w:rPr>
            </w:pPr>
          </w:p>
        </w:tc>
        <w:tc>
          <w:tcPr>
            <w:tcW w:w="5524" w:type="dxa"/>
            <w:shd w:val="clear" w:color="auto" w:fill="auto"/>
          </w:tcPr>
          <w:p w14:paraId="78B36445" w14:textId="77777777" w:rsidR="003A2761" w:rsidRPr="003D1614" w:rsidRDefault="003A2761" w:rsidP="003A2761">
            <w:pPr>
              <w:suppressAutoHyphens/>
              <w:autoSpaceDN w:val="0"/>
              <w:jc w:val="both"/>
              <w:rPr>
                <w:rFonts w:ascii="Arial" w:eastAsia="Times New Roman" w:hAnsi="Arial" w:cs="Arial"/>
                <w:color w:val="000000" w:themeColor="text1"/>
                <w:sz w:val="20"/>
                <w:szCs w:val="20"/>
              </w:rPr>
            </w:pPr>
          </w:p>
        </w:tc>
      </w:tr>
      <w:tr w:rsidR="003A2761" w:rsidRPr="003D1614" w14:paraId="63325C4F" w14:textId="77777777" w:rsidTr="00BC10BC">
        <w:tc>
          <w:tcPr>
            <w:tcW w:w="3528" w:type="dxa"/>
            <w:shd w:val="clear" w:color="auto" w:fill="auto"/>
          </w:tcPr>
          <w:p w14:paraId="39C1F80E" w14:textId="77777777" w:rsidR="003A2761" w:rsidRPr="003D1614" w:rsidRDefault="003A2761" w:rsidP="003A2761">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Osiguravateljske aktivnosti</w:t>
            </w:r>
          </w:p>
        </w:tc>
        <w:tc>
          <w:tcPr>
            <w:tcW w:w="236" w:type="dxa"/>
            <w:shd w:val="clear" w:color="auto" w:fill="auto"/>
          </w:tcPr>
          <w:p w14:paraId="61560275" w14:textId="77777777" w:rsidR="003A2761" w:rsidRPr="003D1614" w:rsidRDefault="003A2761" w:rsidP="003A2761">
            <w:pPr>
              <w:suppressAutoHyphens/>
              <w:autoSpaceDN w:val="0"/>
              <w:jc w:val="both"/>
              <w:rPr>
                <w:rFonts w:ascii="Arial" w:eastAsia="Times New Roman" w:hAnsi="Arial" w:cs="Arial"/>
                <w:color w:val="000000" w:themeColor="text1"/>
                <w:sz w:val="20"/>
                <w:szCs w:val="20"/>
              </w:rPr>
            </w:pPr>
          </w:p>
        </w:tc>
        <w:tc>
          <w:tcPr>
            <w:tcW w:w="5524" w:type="dxa"/>
            <w:shd w:val="clear" w:color="auto" w:fill="auto"/>
          </w:tcPr>
          <w:p w14:paraId="3BA92662" w14:textId="77777777" w:rsidR="003A2761" w:rsidRPr="003D1614" w:rsidRDefault="003A2761" w:rsidP="003A2761">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osiguravanje inozemnih i domaćih kratkoročnih potraživanja poslovnih subjekata vezanih za isporuke roba i usluga </w:t>
            </w:r>
          </w:p>
        </w:tc>
      </w:tr>
      <w:tr w:rsidR="003A2761" w:rsidRPr="003D1614" w14:paraId="4B12D7F0" w14:textId="77777777" w:rsidTr="00BC10BC">
        <w:tc>
          <w:tcPr>
            <w:tcW w:w="3528" w:type="dxa"/>
            <w:shd w:val="clear" w:color="auto" w:fill="auto"/>
          </w:tcPr>
          <w:p w14:paraId="1E0C3352" w14:textId="77777777" w:rsidR="003A2761" w:rsidRPr="003D1614" w:rsidRDefault="003A2761" w:rsidP="003A2761">
            <w:pPr>
              <w:suppressAutoHyphens/>
              <w:autoSpaceDN w:val="0"/>
              <w:jc w:val="both"/>
              <w:rPr>
                <w:rFonts w:ascii="Arial" w:eastAsia="Times New Roman" w:hAnsi="Arial" w:cs="Arial"/>
                <w:color w:val="000000" w:themeColor="text1"/>
                <w:sz w:val="20"/>
                <w:szCs w:val="20"/>
              </w:rPr>
            </w:pPr>
          </w:p>
        </w:tc>
        <w:tc>
          <w:tcPr>
            <w:tcW w:w="236" w:type="dxa"/>
            <w:shd w:val="clear" w:color="auto" w:fill="auto"/>
          </w:tcPr>
          <w:p w14:paraId="5519847D" w14:textId="77777777" w:rsidR="003A2761" w:rsidRPr="003D1614" w:rsidRDefault="003A2761" w:rsidP="003A2761">
            <w:pPr>
              <w:suppressAutoHyphens/>
              <w:autoSpaceDN w:val="0"/>
              <w:jc w:val="both"/>
              <w:rPr>
                <w:rFonts w:ascii="Arial" w:eastAsia="Times New Roman" w:hAnsi="Arial" w:cs="Arial"/>
                <w:color w:val="000000" w:themeColor="text1"/>
                <w:sz w:val="20"/>
                <w:szCs w:val="20"/>
              </w:rPr>
            </w:pPr>
          </w:p>
        </w:tc>
        <w:tc>
          <w:tcPr>
            <w:tcW w:w="5524" w:type="dxa"/>
            <w:shd w:val="clear" w:color="auto" w:fill="auto"/>
          </w:tcPr>
          <w:p w14:paraId="4EFC95FD" w14:textId="77777777" w:rsidR="003A2761" w:rsidRPr="003D1614" w:rsidRDefault="003A2761" w:rsidP="003A2761">
            <w:pPr>
              <w:suppressAutoHyphens/>
              <w:autoSpaceDN w:val="0"/>
              <w:jc w:val="both"/>
              <w:rPr>
                <w:rFonts w:ascii="Arial" w:eastAsia="Times New Roman" w:hAnsi="Arial" w:cs="Arial"/>
                <w:color w:val="000000" w:themeColor="text1"/>
                <w:sz w:val="20"/>
                <w:szCs w:val="20"/>
              </w:rPr>
            </w:pPr>
          </w:p>
        </w:tc>
      </w:tr>
      <w:tr w:rsidR="003A2761" w:rsidRPr="003D1614" w14:paraId="0F5A736E" w14:textId="77777777" w:rsidTr="00BC10BC">
        <w:tc>
          <w:tcPr>
            <w:tcW w:w="3528" w:type="dxa"/>
            <w:shd w:val="clear" w:color="auto" w:fill="auto"/>
          </w:tcPr>
          <w:p w14:paraId="2CF2E18A" w14:textId="77777777" w:rsidR="003A2761" w:rsidRPr="003D1614" w:rsidRDefault="003A2761" w:rsidP="003A2761">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Ostalo</w:t>
            </w:r>
          </w:p>
        </w:tc>
        <w:tc>
          <w:tcPr>
            <w:tcW w:w="236" w:type="dxa"/>
            <w:shd w:val="clear" w:color="auto" w:fill="auto"/>
          </w:tcPr>
          <w:p w14:paraId="7CC32C51" w14:textId="77777777" w:rsidR="003A2761" w:rsidRPr="003D1614" w:rsidRDefault="003A2761" w:rsidP="003A2761">
            <w:pPr>
              <w:suppressAutoHyphens/>
              <w:autoSpaceDN w:val="0"/>
              <w:jc w:val="both"/>
              <w:rPr>
                <w:rFonts w:ascii="Arial" w:eastAsia="Times New Roman" w:hAnsi="Arial" w:cs="Arial"/>
                <w:color w:val="000000" w:themeColor="text1"/>
                <w:sz w:val="20"/>
                <w:szCs w:val="20"/>
              </w:rPr>
            </w:pPr>
          </w:p>
        </w:tc>
        <w:tc>
          <w:tcPr>
            <w:tcW w:w="5524" w:type="dxa"/>
            <w:shd w:val="clear" w:color="auto" w:fill="auto"/>
          </w:tcPr>
          <w:p w14:paraId="668820AD" w14:textId="77777777" w:rsidR="003A2761" w:rsidRPr="003D1614" w:rsidRDefault="003A2761" w:rsidP="003A2761">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izrade analiza, procjena kreditnih rizika i pružanje informacija o kreditnoj sposobnosti </w:t>
            </w:r>
          </w:p>
        </w:tc>
      </w:tr>
    </w:tbl>
    <w:p w14:paraId="01A3AF76" w14:textId="6B086185" w:rsidR="003A2761" w:rsidRPr="003D1614" w:rsidRDefault="003A2761" w:rsidP="003E5073">
      <w:pPr>
        <w:suppressAutoHyphens/>
        <w:autoSpaceDN w:val="0"/>
        <w:jc w:val="both"/>
        <w:rPr>
          <w:rFonts w:ascii="Arial" w:eastAsia="Calibri" w:hAnsi="Arial" w:cs="Arial"/>
          <w:color w:val="000000" w:themeColor="text1"/>
          <w:sz w:val="20"/>
          <w:szCs w:val="20"/>
        </w:rPr>
      </w:pPr>
    </w:p>
    <w:p w14:paraId="0A6FC28A" w14:textId="77777777" w:rsidR="003A2761" w:rsidRPr="003D1614" w:rsidRDefault="003A2761" w:rsidP="003E5073">
      <w:pPr>
        <w:suppressAutoHyphens/>
        <w:autoSpaceDN w:val="0"/>
        <w:jc w:val="both"/>
        <w:rPr>
          <w:rFonts w:ascii="Arial" w:eastAsia="Calibri" w:hAnsi="Arial" w:cs="Arial"/>
          <w:color w:val="000000" w:themeColor="text1"/>
          <w:sz w:val="20"/>
          <w:szCs w:val="20"/>
        </w:rPr>
      </w:pPr>
    </w:p>
    <w:p w14:paraId="7C86E6FF" w14:textId="77777777" w:rsidR="00870460" w:rsidRPr="003D1614" w:rsidRDefault="00870460" w:rsidP="003E5073">
      <w:pPr>
        <w:suppressAutoHyphens/>
        <w:autoSpaceDN w:val="0"/>
        <w:jc w:val="both"/>
        <w:rPr>
          <w:rFonts w:ascii="Arial" w:eastAsia="Calibri" w:hAnsi="Arial" w:cs="Arial"/>
          <w:color w:val="000000" w:themeColor="text1"/>
          <w:sz w:val="20"/>
          <w:szCs w:val="20"/>
        </w:rPr>
        <w:sectPr w:rsidR="00870460" w:rsidRPr="003D1614" w:rsidSect="003278AB">
          <w:footerReference w:type="default" r:id="rId30"/>
          <w:pgSz w:w="11906" w:h="16838"/>
          <w:pgMar w:top="1417" w:right="1417" w:bottom="1417" w:left="1417" w:header="708" w:footer="708" w:gutter="0"/>
          <w:cols w:space="708"/>
          <w:docGrid w:linePitch="360"/>
        </w:sectPr>
      </w:pPr>
    </w:p>
    <w:p w14:paraId="20D5A5F6" w14:textId="77777777" w:rsidR="00870460" w:rsidRPr="003D1614" w:rsidRDefault="00870460" w:rsidP="00870460">
      <w:pPr>
        <w:suppressAutoHyphens/>
        <w:autoSpaceDN w:val="0"/>
        <w:jc w:val="both"/>
        <w:rPr>
          <w:rFonts w:ascii="Arial" w:eastAsia="Times New Roman" w:hAnsi="Arial" w:cs="Arial"/>
          <w:b/>
          <w:color w:val="000000" w:themeColor="text1"/>
          <w:spacing w:val="-3"/>
          <w:sz w:val="20"/>
          <w:szCs w:val="20"/>
        </w:rPr>
      </w:pPr>
    </w:p>
    <w:p w14:paraId="3F4CA044" w14:textId="79DA43EB" w:rsidR="00870460" w:rsidRPr="003D1614" w:rsidRDefault="00870460" w:rsidP="00870460">
      <w:pPr>
        <w:suppressAutoHyphens/>
        <w:autoSpaceDN w:val="0"/>
        <w:jc w:val="both"/>
        <w:rPr>
          <w:rFonts w:ascii="Arial" w:eastAsia="Times New Roman" w:hAnsi="Arial" w:cs="Arial"/>
          <w:b/>
          <w:color w:val="000000" w:themeColor="text1"/>
          <w:sz w:val="20"/>
          <w:szCs w:val="20"/>
        </w:rPr>
      </w:pPr>
      <w:bookmarkStart w:id="1035" w:name="_Hlk3804134"/>
      <w:r w:rsidRPr="003D1614">
        <w:rPr>
          <w:rFonts w:ascii="Arial" w:eastAsia="Times New Roman" w:hAnsi="Arial" w:cs="Arial"/>
          <w:b/>
          <w:color w:val="000000" w:themeColor="text1"/>
          <w:spacing w:val="-3"/>
          <w:sz w:val="20"/>
          <w:szCs w:val="20"/>
        </w:rPr>
        <w:t>2</w:t>
      </w:r>
      <w:r w:rsidR="00C55B0C">
        <w:rPr>
          <w:rFonts w:ascii="Arial" w:eastAsia="Times New Roman" w:hAnsi="Arial" w:cs="Arial"/>
          <w:b/>
          <w:color w:val="000000" w:themeColor="text1"/>
          <w:spacing w:val="-3"/>
          <w:sz w:val="20"/>
          <w:szCs w:val="20"/>
        </w:rPr>
        <w:t>5</w:t>
      </w:r>
      <w:r w:rsidRPr="003D1614">
        <w:rPr>
          <w:rFonts w:ascii="Arial" w:eastAsia="Times New Roman" w:hAnsi="Arial" w:cs="Arial"/>
          <w:b/>
          <w:color w:val="000000" w:themeColor="text1"/>
          <w:spacing w:val="-3"/>
          <w:sz w:val="20"/>
          <w:szCs w:val="20"/>
        </w:rPr>
        <w:t xml:space="preserve">. </w:t>
      </w:r>
      <w:r w:rsidRPr="003D1614">
        <w:rPr>
          <w:rFonts w:ascii="Arial" w:eastAsia="Times New Roman" w:hAnsi="Arial" w:cs="Arial"/>
          <w:b/>
          <w:color w:val="000000" w:themeColor="text1"/>
          <w:spacing w:val="-3"/>
          <w:sz w:val="20"/>
          <w:szCs w:val="20"/>
        </w:rPr>
        <w:tab/>
      </w:r>
      <w:r w:rsidRPr="003D1614">
        <w:rPr>
          <w:rFonts w:ascii="Arial" w:eastAsia="Times New Roman" w:hAnsi="Arial" w:cs="Arial"/>
          <w:b/>
          <w:color w:val="000000" w:themeColor="text1"/>
          <w:sz w:val="20"/>
          <w:szCs w:val="20"/>
        </w:rPr>
        <w:t>Izvještavanje po segmentima (nastavak)</w:t>
      </w:r>
    </w:p>
    <w:p w14:paraId="325FA723" w14:textId="77777777" w:rsidR="00870460" w:rsidRPr="003D1614" w:rsidRDefault="00870460" w:rsidP="00870460">
      <w:pPr>
        <w:suppressAutoHyphens/>
        <w:autoSpaceDN w:val="0"/>
        <w:jc w:val="both"/>
        <w:rPr>
          <w:rFonts w:ascii="Arial" w:eastAsia="Times New Roman" w:hAnsi="Arial" w:cs="Arial"/>
          <w:color w:val="000000" w:themeColor="text1"/>
          <w:sz w:val="20"/>
          <w:szCs w:val="20"/>
        </w:rPr>
      </w:pPr>
    </w:p>
    <w:p w14:paraId="65CF2311" w14:textId="77777777" w:rsidR="00870460" w:rsidRPr="003D1614" w:rsidRDefault="00870460" w:rsidP="00870460">
      <w:pPr>
        <w:suppressAutoHyphens/>
        <w:autoSpaceDN w:val="0"/>
        <w:jc w:val="both"/>
        <w:rPr>
          <w:rFonts w:ascii="Arial" w:eastAsia="Times New Roman" w:hAnsi="Arial" w:cs="Arial"/>
          <w:color w:val="000000" w:themeColor="text1"/>
          <w:sz w:val="20"/>
          <w:szCs w:val="20"/>
        </w:rPr>
      </w:pPr>
    </w:p>
    <w:tbl>
      <w:tblPr>
        <w:tblpPr w:leftFromText="181" w:rightFromText="181" w:vertAnchor="text" w:horzAnchor="margin" w:tblpXSpec="center" w:tblpY="1"/>
        <w:tblW w:w="9923" w:type="dxa"/>
        <w:tblLayout w:type="fixed"/>
        <w:tblLook w:val="04A0" w:firstRow="1" w:lastRow="0" w:firstColumn="1" w:lastColumn="0" w:noHBand="0" w:noVBand="1"/>
      </w:tblPr>
      <w:tblGrid>
        <w:gridCol w:w="3261"/>
        <w:gridCol w:w="1134"/>
        <w:gridCol w:w="1667"/>
        <w:gridCol w:w="1168"/>
        <w:gridCol w:w="1559"/>
        <w:gridCol w:w="1134"/>
      </w:tblGrid>
      <w:tr w:rsidR="006A1846" w:rsidRPr="003D1614" w14:paraId="75D4A288" w14:textId="77777777" w:rsidTr="004454D6">
        <w:trPr>
          <w:trHeight w:val="300"/>
        </w:trPr>
        <w:tc>
          <w:tcPr>
            <w:tcW w:w="3261" w:type="dxa"/>
            <w:tcBorders>
              <w:top w:val="nil"/>
              <w:left w:val="nil"/>
              <w:right w:val="nil"/>
            </w:tcBorders>
            <w:shd w:val="clear" w:color="auto" w:fill="auto"/>
            <w:vAlign w:val="bottom"/>
          </w:tcPr>
          <w:p w14:paraId="62C8FFEE" w14:textId="77777777" w:rsidR="006A1846" w:rsidRPr="003D1614" w:rsidRDefault="006A1846" w:rsidP="004454D6">
            <w:pPr>
              <w:suppressAutoHyphens/>
              <w:autoSpaceDN w:val="0"/>
              <w:spacing w:line="300" w:lineRule="exact"/>
              <w:rPr>
                <w:rFonts w:ascii="Arial" w:eastAsia="Times New Roman" w:hAnsi="Arial" w:cs="Arial"/>
                <w:b/>
                <w:bCs/>
                <w:color w:val="000000" w:themeColor="text1"/>
                <w:sz w:val="18"/>
                <w:szCs w:val="18"/>
              </w:rPr>
            </w:pPr>
          </w:p>
        </w:tc>
        <w:tc>
          <w:tcPr>
            <w:tcW w:w="1134" w:type="dxa"/>
            <w:tcBorders>
              <w:top w:val="nil"/>
              <w:left w:val="nil"/>
              <w:right w:val="nil"/>
            </w:tcBorders>
            <w:shd w:val="clear" w:color="auto" w:fill="auto"/>
            <w:noWrap/>
          </w:tcPr>
          <w:p w14:paraId="540F3CBB" w14:textId="77777777" w:rsidR="006A1846" w:rsidRPr="003D1614" w:rsidRDefault="006A1846" w:rsidP="004454D6">
            <w:pPr>
              <w:suppressAutoHyphens/>
              <w:autoSpaceDN w:val="0"/>
              <w:spacing w:line="300" w:lineRule="exact"/>
              <w:jc w:val="right"/>
              <w:rPr>
                <w:rFonts w:ascii="Arial" w:eastAsia="Times New Roman" w:hAnsi="Arial" w:cs="Arial"/>
                <w:b/>
                <w:color w:val="000000" w:themeColor="text1"/>
                <w:sz w:val="18"/>
                <w:szCs w:val="18"/>
              </w:rPr>
            </w:pPr>
          </w:p>
        </w:tc>
        <w:tc>
          <w:tcPr>
            <w:tcW w:w="1667" w:type="dxa"/>
            <w:tcBorders>
              <w:top w:val="nil"/>
              <w:left w:val="nil"/>
              <w:right w:val="nil"/>
            </w:tcBorders>
            <w:shd w:val="clear" w:color="auto" w:fill="auto"/>
            <w:noWrap/>
            <w:vAlign w:val="bottom"/>
          </w:tcPr>
          <w:p w14:paraId="6799A1A8" w14:textId="77777777" w:rsidR="006A1846" w:rsidRPr="003D1614" w:rsidRDefault="006A1846" w:rsidP="004454D6">
            <w:pPr>
              <w:suppressAutoHyphens/>
              <w:autoSpaceDN w:val="0"/>
              <w:spacing w:line="300" w:lineRule="exact"/>
              <w:jc w:val="right"/>
              <w:rPr>
                <w:rFonts w:ascii="Arial" w:eastAsia="Times New Roman" w:hAnsi="Arial" w:cs="Arial"/>
                <w:b/>
                <w:color w:val="000000" w:themeColor="text1"/>
                <w:sz w:val="18"/>
                <w:szCs w:val="18"/>
              </w:rPr>
            </w:pPr>
          </w:p>
        </w:tc>
        <w:tc>
          <w:tcPr>
            <w:tcW w:w="1168" w:type="dxa"/>
            <w:tcBorders>
              <w:top w:val="nil"/>
              <w:left w:val="nil"/>
              <w:right w:val="nil"/>
            </w:tcBorders>
            <w:shd w:val="clear" w:color="auto" w:fill="auto"/>
            <w:noWrap/>
            <w:vAlign w:val="bottom"/>
          </w:tcPr>
          <w:p w14:paraId="0BDB8E10" w14:textId="77777777" w:rsidR="006A1846" w:rsidRPr="003D1614" w:rsidRDefault="006A1846" w:rsidP="004454D6">
            <w:pPr>
              <w:suppressAutoHyphens/>
              <w:autoSpaceDN w:val="0"/>
              <w:spacing w:line="300" w:lineRule="exact"/>
              <w:jc w:val="right"/>
              <w:rPr>
                <w:rFonts w:ascii="Arial" w:eastAsia="Times New Roman" w:hAnsi="Arial" w:cs="Arial"/>
                <w:b/>
                <w:color w:val="000000" w:themeColor="text1"/>
                <w:sz w:val="18"/>
                <w:szCs w:val="18"/>
              </w:rPr>
            </w:pPr>
          </w:p>
        </w:tc>
        <w:tc>
          <w:tcPr>
            <w:tcW w:w="1559" w:type="dxa"/>
            <w:tcBorders>
              <w:top w:val="nil"/>
              <w:left w:val="nil"/>
              <w:right w:val="nil"/>
            </w:tcBorders>
            <w:shd w:val="clear" w:color="auto" w:fill="auto"/>
            <w:noWrap/>
            <w:vAlign w:val="bottom"/>
          </w:tcPr>
          <w:p w14:paraId="00E5C219" w14:textId="77777777" w:rsidR="006A1846" w:rsidRPr="003D1614" w:rsidRDefault="006A1846" w:rsidP="004454D6">
            <w:pPr>
              <w:suppressAutoHyphens/>
              <w:autoSpaceDN w:val="0"/>
              <w:spacing w:line="300" w:lineRule="exact"/>
              <w:jc w:val="right"/>
              <w:rPr>
                <w:rFonts w:ascii="Arial" w:eastAsia="Times New Roman" w:hAnsi="Arial" w:cs="Arial"/>
                <w:b/>
                <w:color w:val="000000" w:themeColor="text1"/>
                <w:sz w:val="18"/>
                <w:szCs w:val="18"/>
              </w:rPr>
            </w:pPr>
          </w:p>
        </w:tc>
        <w:tc>
          <w:tcPr>
            <w:tcW w:w="1134" w:type="dxa"/>
            <w:tcBorders>
              <w:top w:val="nil"/>
              <w:left w:val="nil"/>
              <w:right w:val="nil"/>
            </w:tcBorders>
            <w:shd w:val="clear" w:color="auto" w:fill="auto"/>
            <w:noWrap/>
            <w:vAlign w:val="bottom"/>
          </w:tcPr>
          <w:p w14:paraId="0953FB19" w14:textId="77777777" w:rsidR="006A1846" w:rsidRPr="003D1614" w:rsidRDefault="006A1846" w:rsidP="004454D6">
            <w:pPr>
              <w:suppressAutoHyphens/>
              <w:autoSpaceDN w:val="0"/>
              <w:spacing w:line="300" w:lineRule="exact"/>
              <w:jc w:val="right"/>
              <w:rPr>
                <w:rFonts w:ascii="Arial" w:eastAsia="Times New Roman" w:hAnsi="Arial" w:cs="Arial"/>
                <w:b/>
                <w:color w:val="000000" w:themeColor="text1"/>
                <w:sz w:val="18"/>
                <w:szCs w:val="18"/>
              </w:rPr>
            </w:pPr>
          </w:p>
        </w:tc>
      </w:tr>
      <w:tr w:rsidR="006A1846" w:rsidRPr="003D1614" w14:paraId="60B6AA72" w14:textId="77777777" w:rsidTr="004454D6">
        <w:trPr>
          <w:trHeight w:val="600"/>
        </w:trPr>
        <w:tc>
          <w:tcPr>
            <w:tcW w:w="3261" w:type="dxa"/>
            <w:tcBorders>
              <w:left w:val="nil"/>
              <w:right w:val="nil"/>
            </w:tcBorders>
            <w:shd w:val="clear" w:color="auto" w:fill="auto"/>
            <w:vAlign w:val="bottom"/>
          </w:tcPr>
          <w:p w14:paraId="796C2670" w14:textId="77777777" w:rsidR="006A1846" w:rsidRPr="003D1614" w:rsidRDefault="006A1846" w:rsidP="004454D6">
            <w:pPr>
              <w:suppressAutoHyphens/>
              <w:autoSpaceDN w:val="0"/>
              <w:spacing w:line="300" w:lineRule="exact"/>
              <w:rPr>
                <w:rFonts w:ascii="Arial" w:eastAsia="Times New Roman" w:hAnsi="Arial" w:cs="Arial"/>
                <w:b/>
                <w:bCs/>
                <w:color w:val="000000" w:themeColor="text1"/>
                <w:sz w:val="18"/>
                <w:szCs w:val="18"/>
              </w:rPr>
            </w:pPr>
            <w:r w:rsidRPr="004E0287">
              <w:rPr>
                <w:rFonts w:ascii="Arial" w:eastAsia="Times New Roman" w:hAnsi="Arial" w:cs="Arial"/>
                <w:b/>
                <w:bCs/>
                <w:color w:val="000000" w:themeColor="text1"/>
                <w:sz w:val="18"/>
                <w:szCs w:val="18"/>
              </w:rPr>
              <w:t>1. siječnja - 30. rujna 2024.</w:t>
            </w:r>
          </w:p>
        </w:tc>
        <w:tc>
          <w:tcPr>
            <w:tcW w:w="1134" w:type="dxa"/>
            <w:tcBorders>
              <w:left w:val="nil"/>
              <w:right w:val="nil"/>
            </w:tcBorders>
            <w:shd w:val="clear" w:color="auto" w:fill="auto"/>
          </w:tcPr>
          <w:p w14:paraId="450B95FE" w14:textId="77777777" w:rsidR="006A1846" w:rsidRPr="003D1614" w:rsidRDefault="006A1846" w:rsidP="004454D6">
            <w:pPr>
              <w:suppressAutoHyphens/>
              <w:autoSpaceDN w:val="0"/>
              <w:spacing w:line="300" w:lineRule="exac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Bankarske aktivnosti</w:t>
            </w:r>
          </w:p>
        </w:tc>
        <w:tc>
          <w:tcPr>
            <w:tcW w:w="1667" w:type="dxa"/>
            <w:tcBorders>
              <w:left w:val="nil"/>
              <w:right w:val="nil"/>
            </w:tcBorders>
            <w:shd w:val="clear" w:color="auto" w:fill="auto"/>
          </w:tcPr>
          <w:p w14:paraId="6885FC20" w14:textId="77777777" w:rsidR="006A1846" w:rsidRPr="003D1614" w:rsidRDefault="006A1846" w:rsidP="004454D6">
            <w:pPr>
              <w:suppressAutoHyphens/>
              <w:autoSpaceDN w:val="0"/>
              <w:spacing w:line="300" w:lineRule="exac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Osiguravateljske aktivnosti</w:t>
            </w:r>
          </w:p>
        </w:tc>
        <w:tc>
          <w:tcPr>
            <w:tcW w:w="1168" w:type="dxa"/>
            <w:tcBorders>
              <w:left w:val="nil"/>
              <w:right w:val="nil"/>
            </w:tcBorders>
            <w:shd w:val="clear" w:color="auto" w:fill="auto"/>
          </w:tcPr>
          <w:p w14:paraId="77264312" w14:textId="77777777" w:rsidR="006A1846" w:rsidRPr="003D1614" w:rsidRDefault="006A1846" w:rsidP="004454D6">
            <w:pPr>
              <w:suppressAutoHyphens/>
              <w:autoSpaceDN w:val="0"/>
              <w:spacing w:line="300" w:lineRule="exac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Ostale aktivnosti</w:t>
            </w:r>
          </w:p>
        </w:tc>
        <w:tc>
          <w:tcPr>
            <w:tcW w:w="1559" w:type="dxa"/>
            <w:tcBorders>
              <w:left w:val="nil"/>
              <w:right w:val="nil"/>
            </w:tcBorders>
            <w:shd w:val="clear" w:color="auto" w:fill="auto"/>
          </w:tcPr>
          <w:p w14:paraId="11E7F584" w14:textId="77777777" w:rsidR="006A1846" w:rsidRPr="003D1614" w:rsidRDefault="006A1846" w:rsidP="004454D6">
            <w:pPr>
              <w:suppressAutoHyphens/>
              <w:autoSpaceDN w:val="0"/>
              <w:spacing w:line="300" w:lineRule="exac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Neraspoređeno</w:t>
            </w:r>
          </w:p>
        </w:tc>
        <w:tc>
          <w:tcPr>
            <w:tcW w:w="1134" w:type="dxa"/>
            <w:tcBorders>
              <w:left w:val="nil"/>
              <w:right w:val="nil"/>
            </w:tcBorders>
            <w:shd w:val="clear" w:color="auto" w:fill="auto"/>
          </w:tcPr>
          <w:p w14:paraId="0AC272B1" w14:textId="77777777" w:rsidR="006A1846" w:rsidRPr="003D1614" w:rsidRDefault="006A1846" w:rsidP="004454D6">
            <w:pPr>
              <w:suppressAutoHyphens/>
              <w:autoSpaceDN w:val="0"/>
              <w:spacing w:line="300" w:lineRule="exac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Ukupno</w:t>
            </w:r>
          </w:p>
        </w:tc>
      </w:tr>
      <w:tr w:rsidR="006A1846" w:rsidRPr="003D1614" w14:paraId="006923E4" w14:textId="77777777" w:rsidTr="004454D6">
        <w:trPr>
          <w:trHeight w:val="234"/>
        </w:trPr>
        <w:tc>
          <w:tcPr>
            <w:tcW w:w="3261" w:type="dxa"/>
            <w:tcBorders>
              <w:left w:val="nil"/>
              <w:bottom w:val="nil"/>
              <w:right w:val="nil"/>
            </w:tcBorders>
            <w:shd w:val="clear" w:color="auto" w:fill="auto"/>
            <w:vAlign w:val="bottom"/>
          </w:tcPr>
          <w:p w14:paraId="5AB5AF74" w14:textId="77777777" w:rsidR="006A1846" w:rsidRPr="003D1614" w:rsidRDefault="006A1846" w:rsidP="004454D6">
            <w:pPr>
              <w:suppressAutoHyphens/>
              <w:autoSpaceDN w:val="0"/>
              <w:spacing w:line="300" w:lineRule="exact"/>
              <w:rPr>
                <w:rFonts w:ascii="Arial" w:eastAsia="Times New Roman" w:hAnsi="Arial" w:cs="Arial"/>
                <w:b/>
                <w:bCs/>
                <w:color w:val="000000" w:themeColor="text1"/>
                <w:sz w:val="18"/>
                <w:szCs w:val="18"/>
              </w:rPr>
            </w:pPr>
          </w:p>
        </w:tc>
        <w:tc>
          <w:tcPr>
            <w:tcW w:w="1134" w:type="dxa"/>
            <w:tcBorders>
              <w:left w:val="nil"/>
              <w:bottom w:val="nil"/>
              <w:right w:val="nil"/>
            </w:tcBorders>
            <w:shd w:val="clear" w:color="auto" w:fill="auto"/>
            <w:noWrap/>
            <w:vAlign w:val="bottom"/>
          </w:tcPr>
          <w:p w14:paraId="0718DF65" w14:textId="77777777" w:rsidR="006A1846" w:rsidRPr="003D1614" w:rsidRDefault="006A1846" w:rsidP="004454D6">
            <w:pPr>
              <w:suppressAutoHyphens/>
              <w:autoSpaceDN w:val="0"/>
              <w:spacing w:line="300" w:lineRule="exac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 xml:space="preserve">000 </w:t>
            </w:r>
            <w:r>
              <w:rPr>
                <w:rFonts w:ascii="Arial" w:eastAsia="Times New Roman" w:hAnsi="Arial" w:cs="Arial"/>
                <w:b/>
                <w:bCs/>
                <w:color w:val="000000" w:themeColor="text1"/>
                <w:sz w:val="18"/>
                <w:szCs w:val="18"/>
              </w:rPr>
              <w:t>eura</w:t>
            </w:r>
          </w:p>
        </w:tc>
        <w:tc>
          <w:tcPr>
            <w:tcW w:w="1667" w:type="dxa"/>
            <w:tcBorders>
              <w:left w:val="nil"/>
              <w:bottom w:val="nil"/>
              <w:right w:val="nil"/>
            </w:tcBorders>
            <w:shd w:val="clear" w:color="auto" w:fill="auto"/>
            <w:noWrap/>
            <w:vAlign w:val="bottom"/>
          </w:tcPr>
          <w:p w14:paraId="603EC888" w14:textId="77777777" w:rsidR="006A1846" w:rsidRPr="003D1614" w:rsidRDefault="006A1846" w:rsidP="004454D6">
            <w:pPr>
              <w:suppressAutoHyphens/>
              <w:autoSpaceDN w:val="0"/>
              <w:spacing w:line="300" w:lineRule="exac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 xml:space="preserve">000 </w:t>
            </w:r>
            <w:r>
              <w:rPr>
                <w:rFonts w:ascii="Arial" w:eastAsia="Times New Roman" w:hAnsi="Arial" w:cs="Arial"/>
                <w:b/>
                <w:bCs/>
                <w:color w:val="000000" w:themeColor="text1"/>
                <w:sz w:val="18"/>
                <w:szCs w:val="18"/>
              </w:rPr>
              <w:t>eura</w:t>
            </w:r>
          </w:p>
        </w:tc>
        <w:tc>
          <w:tcPr>
            <w:tcW w:w="1168" w:type="dxa"/>
            <w:tcBorders>
              <w:left w:val="nil"/>
              <w:bottom w:val="nil"/>
              <w:right w:val="nil"/>
            </w:tcBorders>
            <w:shd w:val="clear" w:color="auto" w:fill="auto"/>
            <w:noWrap/>
            <w:vAlign w:val="bottom"/>
          </w:tcPr>
          <w:p w14:paraId="639FF500" w14:textId="77777777" w:rsidR="006A1846" w:rsidRPr="003D1614" w:rsidRDefault="006A1846" w:rsidP="004454D6">
            <w:pPr>
              <w:suppressAutoHyphens/>
              <w:autoSpaceDN w:val="0"/>
              <w:spacing w:line="300" w:lineRule="exac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 xml:space="preserve">000 </w:t>
            </w:r>
            <w:r>
              <w:rPr>
                <w:rFonts w:ascii="Arial" w:eastAsia="Times New Roman" w:hAnsi="Arial" w:cs="Arial"/>
                <w:b/>
                <w:bCs/>
                <w:color w:val="000000" w:themeColor="text1"/>
                <w:sz w:val="18"/>
                <w:szCs w:val="18"/>
              </w:rPr>
              <w:t>eura</w:t>
            </w:r>
          </w:p>
        </w:tc>
        <w:tc>
          <w:tcPr>
            <w:tcW w:w="1559" w:type="dxa"/>
            <w:tcBorders>
              <w:left w:val="nil"/>
              <w:bottom w:val="nil"/>
              <w:right w:val="nil"/>
            </w:tcBorders>
            <w:shd w:val="clear" w:color="auto" w:fill="auto"/>
            <w:noWrap/>
            <w:vAlign w:val="bottom"/>
          </w:tcPr>
          <w:p w14:paraId="0A86FAE9" w14:textId="77777777" w:rsidR="006A1846" w:rsidRPr="003D1614" w:rsidRDefault="006A1846" w:rsidP="004454D6">
            <w:pPr>
              <w:suppressAutoHyphens/>
              <w:autoSpaceDN w:val="0"/>
              <w:spacing w:line="300" w:lineRule="exac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 xml:space="preserve">000 </w:t>
            </w:r>
            <w:r>
              <w:rPr>
                <w:rFonts w:ascii="Arial" w:eastAsia="Times New Roman" w:hAnsi="Arial" w:cs="Arial"/>
                <w:b/>
                <w:bCs/>
                <w:color w:val="000000" w:themeColor="text1"/>
                <w:sz w:val="18"/>
                <w:szCs w:val="18"/>
              </w:rPr>
              <w:t>eura</w:t>
            </w:r>
          </w:p>
        </w:tc>
        <w:tc>
          <w:tcPr>
            <w:tcW w:w="1134" w:type="dxa"/>
            <w:tcBorders>
              <w:left w:val="nil"/>
              <w:bottom w:val="nil"/>
              <w:right w:val="nil"/>
            </w:tcBorders>
            <w:shd w:val="clear" w:color="auto" w:fill="auto"/>
            <w:noWrap/>
            <w:vAlign w:val="bottom"/>
          </w:tcPr>
          <w:p w14:paraId="7754846C" w14:textId="77777777" w:rsidR="006A1846" w:rsidRPr="003D1614" w:rsidRDefault="006A1846" w:rsidP="004454D6">
            <w:pPr>
              <w:suppressAutoHyphens/>
              <w:autoSpaceDN w:val="0"/>
              <w:spacing w:line="300" w:lineRule="exac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 xml:space="preserve">000 </w:t>
            </w:r>
            <w:r>
              <w:rPr>
                <w:rFonts w:ascii="Arial" w:eastAsia="Times New Roman" w:hAnsi="Arial" w:cs="Arial"/>
                <w:b/>
                <w:bCs/>
                <w:color w:val="000000" w:themeColor="text1"/>
                <w:sz w:val="18"/>
                <w:szCs w:val="18"/>
              </w:rPr>
              <w:t>eura</w:t>
            </w:r>
          </w:p>
        </w:tc>
      </w:tr>
      <w:tr w:rsidR="006A1846" w:rsidRPr="003D1614" w14:paraId="2426B43B" w14:textId="77777777" w:rsidTr="004454D6">
        <w:trPr>
          <w:trHeight w:val="59"/>
        </w:trPr>
        <w:tc>
          <w:tcPr>
            <w:tcW w:w="3261" w:type="dxa"/>
            <w:tcBorders>
              <w:top w:val="nil"/>
              <w:left w:val="nil"/>
              <w:bottom w:val="nil"/>
              <w:right w:val="nil"/>
            </w:tcBorders>
            <w:shd w:val="clear" w:color="auto" w:fill="auto"/>
            <w:vAlign w:val="bottom"/>
          </w:tcPr>
          <w:p w14:paraId="5C9290A8" w14:textId="77777777" w:rsidR="006A1846" w:rsidRPr="003D1614" w:rsidRDefault="006A1846" w:rsidP="004454D6">
            <w:pPr>
              <w:suppressAutoHyphens/>
              <w:autoSpaceDN w:val="0"/>
              <w:spacing w:line="140" w:lineRule="exact"/>
              <w:rPr>
                <w:rFonts w:ascii="Arial" w:eastAsia="Times New Roman" w:hAnsi="Arial" w:cs="Arial"/>
                <w:color w:val="000000" w:themeColor="text1"/>
                <w:sz w:val="18"/>
                <w:szCs w:val="18"/>
              </w:rPr>
            </w:pPr>
          </w:p>
        </w:tc>
        <w:tc>
          <w:tcPr>
            <w:tcW w:w="1134" w:type="dxa"/>
            <w:tcBorders>
              <w:top w:val="nil"/>
              <w:left w:val="nil"/>
              <w:bottom w:val="nil"/>
              <w:right w:val="nil"/>
            </w:tcBorders>
            <w:shd w:val="clear" w:color="auto" w:fill="auto"/>
            <w:noWrap/>
            <w:vAlign w:val="bottom"/>
          </w:tcPr>
          <w:p w14:paraId="7DC46B06" w14:textId="77777777" w:rsidR="006A1846" w:rsidRPr="003D1614" w:rsidRDefault="006A1846" w:rsidP="004454D6">
            <w:pPr>
              <w:suppressAutoHyphens/>
              <w:autoSpaceDN w:val="0"/>
              <w:spacing w:line="140" w:lineRule="exact"/>
              <w:rPr>
                <w:rFonts w:ascii="Arial" w:eastAsia="Times New Roman" w:hAnsi="Arial" w:cs="Arial"/>
                <w:color w:val="000000" w:themeColor="text1"/>
                <w:sz w:val="18"/>
                <w:szCs w:val="18"/>
              </w:rPr>
            </w:pPr>
          </w:p>
        </w:tc>
        <w:tc>
          <w:tcPr>
            <w:tcW w:w="1667" w:type="dxa"/>
            <w:tcBorders>
              <w:top w:val="nil"/>
              <w:left w:val="nil"/>
              <w:bottom w:val="nil"/>
              <w:right w:val="nil"/>
            </w:tcBorders>
            <w:shd w:val="clear" w:color="auto" w:fill="auto"/>
            <w:noWrap/>
            <w:vAlign w:val="bottom"/>
          </w:tcPr>
          <w:p w14:paraId="734AC647" w14:textId="77777777" w:rsidR="006A1846" w:rsidRPr="003D1614" w:rsidRDefault="006A1846" w:rsidP="004454D6">
            <w:pPr>
              <w:suppressAutoHyphens/>
              <w:autoSpaceDN w:val="0"/>
              <w:spacing w:line="140" w:lineRule="exact"/>
              <w:rPr>
                <w:rFonts w:ascii="Arial" w:eastAsia="Times New Roman" w:hAnsi="Arial" w:cs="Arial"/>
                <w:color w:val="000000" w:themeColor="text1"/>
                <w:sz w:val="18"/>
                <w:szCs w:val="18"/>
              </w:rPr>
            </w:pPr>
          </w:p>
        </w:tc>
        <w:tc>
          <w:tcPr>
            <w:tcW w:w="1168" w:type="dxa"/>
            <w:tcBorders>
              <w:top w:val="nil"/>
              <w:left w:val="nil"/>
              <w:bottom w:val="nil"/>
              <w:right w:val="nil"/>
            </w:tcBorders>
            <w:shd w:val="clear" w:color="auto" w:fill="auto"/>
            <w:noWrap/>
            <w:vAlign w:val="bottom"/>
          </w:tcPr>
          <w:p w14:paraId="16A590CD" w14:textId="77777777" w:rsidR="006A1846" w:rsidRPr="003D1614" w:rsidRDefault="006A1846" w:rsidP="004454D6">
            <w:pPr>
              <w:suppressAutoHyphens/>
              <w:autoSpaceDN w:val="0"/>
              <w:spacing w:line="140" w:lineRule="exact"/>
              <w:rPr>
                <w:rFonts w:ascii="Arial" w:eastAsia="Times New Roman" w:hAnsi="Arial" w:cs="Arial"/>
                <w:color w:val="000000" w:themeColor="text1"/>
                <w:sz w:val="18"/>
                <w:szCs w:val="18"/>
              </w:rPr>
            </w:pPr>
          </w:p>
        </w:tc>
        <w:tc>
          <w:tcPr>
            <w:tcW w:w="1559" w:type="dxa"/>
            <w:tcBorders>
              <w:top w:val="nil"/>
              <w:left w:val="nil"/>
              <w:bottom w:val="nil"/>
              <w:right w:val="nil"/>
            </w:tcBorders>
            <w:shd w:val="clear" w:color="auto" w:fill="auto"/>
            <w:noWrap/>
            <w:vAlign w:val="bottom"/>
          </w:tcPr>
          <w:p w14:paraId="68B0B773" w14:textId="77777777" w:rsidR="006A1846" w:rsidRPr="003D1614" w:rsidRDefault="006A1846" w:rsidP="004454D6">
            <w:pPr>
              <w:suppressAutoHyphens/>
              <w:autoSpaceDN w:val="0"/>
              <w:spacing w:line="140" w:lineRule="exact"/>
              <w:rPr>
                <w:rFonts w:ascii="Arial" w:eastAsia="Times New Roman" w:hAnsi="Arial" w:cs="Arial"/>
                <w:color w:val="000000" w:themeColor="text1"/>
                <w:sz w:val="18"/>
                <w:szCs w:val="18"/>
              </w:rPr>
            </w:pPr>
          </w:p>
        </w:tc>
        <w:tc>
          <w:tcPr>
            <w:tcW w:w="1134" w:type="dxa"/>
            <w:tcBorders>
              <w:top w:val="nil"/>
              <w:left w:val="nil"/>
              <w:bottom w:val="nil"/>
              <w:right w:val="nil"/>
            </w:tcBorders>
            <w:shd w:val="clear" w:color="auto" w:fill="auto"/>
            <w:noWrap/>
            <w:vAlign w:val="bottom"/>
          </w:tcPr>
          <w:p w14:paraId="5E7AB2B5" w14:textId="77777777" w:rsidR="006A1846" w:rsidRPr="003D1614" w:rsidRDefault="006A1846" w:rsidP="004454D6">
            <w:pPr>
              <w:suppressAutoHyphens/>
              <w:autoSpaceDN w:val="0"/>
              <w:spacing w:line="140" w:lineRule="exact"/>
              <w:rPr>
                <w:rFonts w:ascii="Arial" w:eastAsia="Times New Roman" w:hAnsi="Arial" w:cs="Arial"/>
                <w:color w:val="000000" w:themeColor="text1"/>
                <w:sz w:val="18"/>
                <w:szCs w:val="18"/>
              </w:rPr>
            </w:pPr>
          </w:p>
        </w:tc>
      </w:tr>
      <w:tr w:rsidR="006A1846" w:rsidRPr="003D1614" w14:paraId="7FD32D0A" w14:textId="77777777" w:rsidTr="004454D6">
        <w:trPr>
          <w:trHeight w:val="300"/>
        </w:trPr>
        <w:tc>
          <w:tcPr>
            <w:tcW w:w="3261" w:type="dxa"/>
            <w:tcBorders>
              <w:top w:val="nil"/>
              <w:left w:val="nil"/>
              <w:bottom w:val="nil"/>
              <w:right w:val="nil"/>
            </w:tcBorders>
            <w:shd w:val="clear" w:color="auto" w:fill="auto"/>
            <w:vAlign w:val="bottom"/>
          </w:tcPr>
          <w:p w14:paraId="7BDCF32D" w14:textId="77777777" w:rsidR="006A1846" w:rsidRPr="003D1614" w:rsidRDefault="006A1846" w:rsidP="004454D6">
            <w:pPr>
              <w:suppressAutoHyphens/>
              <w:autoSpaceDN w:val="0"/>
              <w:spacing w:line="300" w:lineRule="exact"/>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Neto prihod od kamata</w:t>
            </w:r>
          </w:p>
        </w:tc>
        <w:tc>
          <w:tcPr>
            <w:tcW w:w="1134" w:type="dxa"/>
            <w:shd w:val="clear" w:color="auto" w:fill="auto"/>
            <w:noWrap/>
            <w:vAlign w:val="bottom"/>
          </w:tcPr>
          <w:p w14:paraId="666A0AF1" w14:textId="77777777" w:rsidR="006A1846" w:rsidRPr="003D1614" w:rsidRDefault="006A1846" w:rsidP="004454D6">
            <w:pPr>
              <w:suppressAutoHyphens/>
              <w:autoSpaceDN w:val="0"/>
              <w:spacing w:line="300" w:lineRule="exact"/>
              <w:jc w:val="right"/>
              <w:rPr>
                <w:rFonts w:ascii="Arial" w:eastAsia="Times New Roman" w:hAnsi="Arial" w:cs="Arial"/>
                <w:color w:val="000000" w:themeColor="text1"/>
                <w:sz w:val="18"/>
                <w:szCs w:val="18"/>
              </w:rPr>
            </w:pPr>
            <w:r w:rsidRPr="004E0287">
              <w:rPr>
                <w:rFonts w:ascii="Arial" w:eastAsia="Times New Roman" w:hAnsi="Arial" w:cs="Arial"/>
                <w:color w:val="000000" w:themeColor="text1"/>
                <w:sz w:val="18"/>
                <w:szCs w:val="18"/>
              </w:rPr>
              <w:t>53.081</w:t>
            </w:r>
          </w:p>
        </w:tc>
        <w:tc>
          <w:tcPr>
            <w:tcW w:w="1667" w:type="dxa"/>
            <w:shd w:val="clear" w:color="auto" w:fill="auto"/>
            <w:noWrap/>
            <w:vAlign w:val="bottom"/>
          </w:tcPr>
          <w:p w14:paraId="0D32BAA9" w14:textId="77777777" w:rsidR="006A1846" w:rsidRPr="003D1614" w:rsidRDefault="006A1846" w:rsidP="004454D6">
            <w:pPr>
              <w:suppressAutoHyphens/>
              <w:autoSpaceDN w:val="0"/>
              <w:spacing w:line="300" w:lineRule="exact"/>
              <w:jc w:val="right"/>
              <w:rPr>
                <w:rFonts w:ascii="Arial" w:eastAsia="Times New Roman" w:hAnsi="Arial" w:cs="Arial"/>
                <w:color w:val="000000" w:themeColor="text1"/>
                <w:sz w:val="18"/>
                <w:szCs w:val="18"/>
              </w:rPr>
            </w:pPr>
            <w:r w:rsidRPr="004E0287">
              <w:rPr>
                <w:rFonts w:ascii="Arial" w:eastAsia="Times New Roman" w:hAnsi="Arial" w:cs="Arial"/>
                <w:color w:val="000000" w:themeColor="text1"/>
                <w:sz w:val="18"/>
                <w:szCs w:val="18"/>
              </w:rPr>
              <w:t>187</w:t>
            </w:r>
          </w:p>
        </w:tc>
        <w:tc>
          <w:tcPr>
            <w:tcW w:w="1168" w:type="dxa"/>
            <w:shd w:val="clear" w:color="auto" w:fill="auto"/>
            <w:noWrap/>
            <w:vAlign w:val="bottom"/>
          </w:tcPr>
          <w:p w14:paraId="6E2FA994" w14:textId="77777777" w:rsidR="006A1846" w:rsidRPr="003D1614" w:rsidRDefault="006A1846" w:rsidP="004454D6">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559" w:type="dxa"/>
            <w:shd w:val="clear" w:color="auto" w:fill="auto"/>
            <w:noWrap/>
            <w:vAlign w:val="bottom"/>
          </w:tcPr>
          <w:p w14:paraId="358977D8" w14:textId="77777777" w:rsidR="006A1846" w:rsidRPr="003D1614" w:rsidRDefault="006A1846" w:rsidP="004454D6">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shd w:val="clear" w:color="auto" w:fill="auto"/>
            <w:noWrap/>
            <w:vAlign w:val="bottom"/>
          </w:tcPr>
          <w:p w14:paraId="75C774A7" w14:textId="77777777" w:rsidR="006A1846" w:rsidRPr="003D1614" w:rsidRDefault="006A1846" w:rsidP="004454D6">
            <w:pPr>
              <w:suppressAutoHyphens/>
              <w:autoSpaceDN w:val="0"/>
              <w:spacing w:line="300" w:lineRule="exact"/>
              <w:jc w:val="right"/>
              <w:rPr>
                <w:rFonts w:ascii="Arial" w:eastAsia="Times New Roman" w:hAnsi="Arial" w:cs="Arial"/>
                <w:color w:val="000000" w:themeColor="text1"/>
                <w:sz w:val="18"/>
                <w:szCs w:val="18"/>
              </w:rPr>
            </w:pPr>
            <w:r w:rsidRPr="004E0287">
              <w:rPr>
                <w:rFonts w:ascii="Arial" w:eastAsia="Times New Roman" w:hAnsi="Arial" w:cs="Arial"/>
                <w:color w:val="000000" w:themeColor="text1"/>
                <w:sz w:val="18"/>
                <w:szCs w:val="18"/>
              </w:rPr>
              <w:t>53.268</w:t>
            </w:r>
          </w:p>
        </w:tc>
      </w:tr>
      <w:tr w:rsidR="006A1846" w:rsidRPr="003D1614" w14:paraId="650966AB" w14:textId="77777777" w:rsidTr="004454D6">
        <w:trPr>
          <w:trHeight w:val="300"/>
        </w:trPr>
        <w:tc>
          <w:tcPr>
            <w:tcW w:w="3261" w:type="dxa"/>
            <w:tcBorders>
              <w:top w:val="nil"/>
              <w:left w:val="nil"/>
              <w:bottom w:val="nil"/>
              <w:right w:val="nil"/>
            </w:tcBorders>
            <w:shd w:val="clear" w:color="auto" w:fill="auto"/>
            <w:vAlign w:val="bottom"/>
          </w:tcPr>
          <w:p w14:paraId="6373DAEE" w14:textId="77777777" w:rsidR="006A1846" w:rsidRPr="003D1614" w:rsidRDefault="006A1846" w:rsidP="004454D6">
            <w:pPr>
              <w:suppressAutoHyphens/>
              <w:autoSpaceDN w:val="0"/>
              <w:spacing w:line="300" w:lineRule="exact"/>
              <w:rPr>
                <w:rFonts w:ascii="Arial" w:eastAsia="Times New Roman" w:hAnsi="Arial" w:cs="Arial"/>
                <w:color w:val="000000" w:themeColor="text1"/>
                <w:sz w:val="18"/>
                <w:szCs w:val="18"/>
              </w:rPr>
            </w:pPr>
            <w:r w:rsidRPr="0019109B">
              <w:rPr>
                <w:rFonts w:ascii="Arial" w:eastAsia="Times New Roman" w:hAnsi="Arial" w:cs="Arial"/>
                <w:color w:val="000000" w:themeColor="text1"/>
                <w:sz w:val="18"/>
                <w:szCs w:val="18"/>
              </w:rPr>
              <w:t>Prihod od ukidanja razgraničenja subvencije na teret poslovanja HBOR-a</w:t>
            </w:r>
          </w:p>
        </w:tc>
        <w:tc>
          <w:tcPr>
            <w:tcW w:w="1134" w:type="dxa"/>
            <w:shd w:val="clear" w:color="auto" w:fill="auto"/>
            <w:noWrap/>
            <w:vAlign w:val="bottom"/>
          </w:tcPr>
          <w:p w14:paraId="6EA2D7DE" w14:textId="77777777" w:rsidR="006A1846" w:rsidRPr="0047597C" w:rsidRDefault="006A1846" w:rsidP="004454D6">
            <w:pPr>
              <w:suppressAutoHyphens/>
              <w:autoSpaceDN w:val="0"/>
              <w:spacing w:line="300" w:lineRule="exact"/>
              <w:jc w:val="right"/>
              <w:rPr>
                <w:rFonts w:ascii="Arial" w:eastAsia="Times New Roman" w:hAnsi="Arial" w:cs="Arial"/>
                <w:color w:val="000000" w:themeColor="text1"/>
                <w:sz w:val="18"/>
                <w:szCs w:val="18"/>
              </w:rPr>
            </w:pPr>
            <w:r w:rsidRPr="004E0287">
              <w:rPr>
                <w:rFonts w:ascii="Arial" w:eastAsia="Times New Roman" w:hAnsi="Arial" w:cs="Arial"/>
                <w:color w:val="000000" w:themeColor="text1"/>
                <w:sz w:val="18"/>
                <w:szCs w:val="18"/>
              </w:rPr>
              <w:t>434</w:t>
            </w:r>
          </w:p>
        </w:tc>
        <w:tc>
          <w:tcPr>
            <w:tcW w:w="1667" w:type="dxa"/>
            <w:shd w:val="clear" w:color="auto" w:fill="auto"/>
            <w:noWrap/>
            <w:vAlign w:val="bottom"/>
          </w:tcPr>
          <w:p w14:paraId="78403FB4" w14:textId="77777777" w:rsidR="006A1846" w:rsidRPr="0047597C" w:rsidRDefault="006A1846" w:rsidP="004454D6">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68" w:type="dxa"/>
            <w:shd w:val="clear" w:color="auto" w:fill="auto"/>
            <w:noWrap/>
            <w:vAlign w:val="bottom"/>
          </w:tcPr>
          <w:p w14:paraId="53D8D77F" w14:textId="77777777" w:rsidR="006A1846" w:rsidRDefault="006A1846" w:rsidP="004454D6">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559" w:type="dxa"/>
            <w:shd w:val="clear" w:color="auto" w:fill="auto"/>
            <w:noWrap/>
            <w:vAlign w:val="bottom"/>
          </w:tcPr>
          <w:p w14:paraId="40D00DC3" w14:textId="77777777" w:rsidR="006A1846" w:rsidRDefault="006A1846" w:rsidP="004454D6">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shd w:val="clear" w:color="auto" w:fill="auto"/>
            <w:noWrap/>
            <w:vAlign w:val="bottom"/>
          </w:tcPr>
          <w:p w14:paraId="08ACB787" w14:textId="77777777" w:rsidR="006A1846" w:rsidRPr="0047597C" w:rsidRDefault="006A1846" w:rsidP="004454D6">
            <w:pPr>
              <w:suppressAutoHyphens/>
              <w:autoSpaceDN w:val="0"/>
              <w:spacing w:line="300" w:lineRule="exact"/>
              <w:jc w:val="right"/>
              <w:rPr>
                <w:rFonts w:ascii="Arial" w:eastAsia="Times New Roman" w:hAnsi="Arial" w:cs="Arial"/>
                <w:color w:val="000000" w:themeColor="text1"/>
                <w:sz w:val="18"/>
                <w:szCs w:val="18"/>
              </w:rPr>
            </w:pPr>
            <w:r w:rsidRPr="004E0287">
              <w:rPr>
                <w:rFonts w:ascii="Arial" w:eastAsia="Times New Roman" w:hAnsi="Arial" w:cs="Arial"/>
                <w:color w:val="000000" w:themeColor="text1"/>
                <w:sz w:val="18"/>
                <w:szCs w:val="18"/>
              </w:rPr>
              <w:t>434</w:t>
            </w:r>
          </w:p>
        </w:tc>
      </w:tr>
      <w:tr w:rsidR="006A1846" w:rsidRPr="003D1614" w14:paraId="7672353C" w14:textId="77777777" w:rsidTr="004454D6">
        <w:trPr>
          <w:trHeight w:val="300"/>
        </w:trPr>
        <w:tc>
          <w:tcPr>
            <w:tcW w:w="3261" w:type="dxa"/>
            <w:tcBorders>
              <w:top w:val="nil"/>
              <w:left w:val="nil"/>
              <w:bottom w:val="nil"/>
              <w:right w:val="nil"/>
            </w:tcBorders>
            <w:shd w:val="clear" w:color="auto" w:fill="auto"/>
            <w:vAlign w:val="bottom"/>
          </w:tcPr>
          <w:p w14:paraId="34B4A9E7" w14:textId="77777777" w:rsidR="006A1846" w:rsidRPr="003D1614" w:rsidRDefault="006A1846" w:rsidP="004454D6">
            <w:pPr>
              <w:suppressAutoHyphens/>
              <w:autoSpaceDN w:val="0"/>
              <w:spacing w:line="300" w:lineRule="exact"/>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Neto prihod od naknada</w:t>
            </w:r>
          </w:p>
        </w:tc>
        <w:tc>
          <w:tcPr>
            <w:tcW w:w="1134" w:type="dxa"/>
            <w:shd w:val="clear" w:color="auto" w:fill="auto"/>
            <w:noWrap/>
            <w:vAlign w:val="bottom"/>
          </w:tcPr>
          <w:p w14:paraId="11E6DF75" w14:textId="77777777" w:rsidR="006A1846" w:rsidRPr="003D1614" w:rsidRDefault="006A1846" w:rsidP="004454D6">
            <w:pPr>
              <w:suppressAutoHyphens/>
              <w:autoSpaceDN w:val="0"/>
              <w:spacing w:line="300" w:lineRule="exact"/>
              <w:jc w:val="right"/>
              <w:rPr>
                <w:rFonts w:ascii="Arial" w:eastAsia="Times New Roman" w:hAnsi="Arial" w:cs="Arial"/>
                <w:color w:val="000000" w:themeColor="text1"/>
                <w:sz w:val="18"/>
                <w:szCs w:val="18"/>
              </w:rPr>
            </w:pPr>
            <w:r w:rsidRPr="004E0287">
              <w:rPr>
                <w:rFonts w:ascii="Arial" w:eastAsia="Times New Roman" w:hAnsi="Arial" w:cs="Arial"/>
                <w:color w:val="000000" w:themeColor="text1"/>
                <w:sz w:val="18"/>
                <w:szCs w:val="18"/>
              </w:rPr>
              <w:t>787</w:t>
            </w:r>
          </w:p>
        </w:tc>
        <w:tc>
          <w:tcPr>
            <w:tcW w:w="1667" w:type="dxa"/>
            <w:shd w:val="clear" w:color="auto" w:fill="auto"/>
            <w:noWrap/>
            <w:vAlign w:val="bottom"/>
          </w:tcPr>
          <w:p w14:paraId="61174B7E" w14:textId="77777777" w:rsidR="006A1846" w:rsidRPr="003D1614" w:rsidRDefault="006A1846" w:rsidP="004454D6">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68" w:type="dxa"/>
            <w:shd w:val="clear" w:color="auto" w:fill="auto"/>
            <w:noWrap/>
            <w:vAlign w:val="bottom"/>
          </w:tcPr>
          <w:p w14:paraId="55B7FF42" w14:textId="77777777" w:rsidR="006A1846" w:rsidRPr="003D1614" w:rsidRDefault="006A1846" w:rsidP="004454D6">
            <w:pPr>
              <w:suppressAutoHyphens/>
              <w:autoSpaceDN w:val="0"/>
              <w:spacing w:line="300" w:lineRule="exact"/>
              <w:jc w:val="right"/>
              <w:rPr>
                <w:rFonts w:ascii="Arial" w:eastAsia="Times New Roman" w:hAnsi="Arial" w:cs="Arial"/>
                <w:color w:val="000000" w:themeColor="text1"/>
                <w:sz w:val="18"/>
                <w:szCs w:val="18"/>
              </w:rPr>
            </w:pPr>
            <w:r w:rsidRPr="004E0287">
              <w:rPr>
                <w:rFonts w:ascii="Arial" w:eastAsia="Times New Roman" w:hAnsi="Arial" w:cs="Arial"/>
                <w:color w:val="000000" w:themeColor="text1"/>
                <w:sz w:val="18"/>
                <w:szCs w:val="18"/>
              </w:rPr>
              <w:t>251</w:t>
            </w:r>
          </w:p>
        </w:tc>
        <w:tc>
          <w:tcPr>
            <w:tcW w:w="1559" w:type="dxa"/>
            <w:shd w:val="clear" w:color="auto" w:fill="auto"/>
            <w:noWrap/>
            <w:vAlign w:val="bottom"/>
          </w:tcPr>
          <w:p w14:paraId="0EC862B1" w14:textId="77777777" w:rsidR="006A1846" w:rsidRPr="003D1614" w:rsidRDefault="006A1846" w:rsidP="004454D6">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shd w:val="clear" w:color="auto" w:fill="auto"/>
            <w:noWrap/>
            <w:vAlign w:val="bottom"/>
          </w:tcPr>
          <w:p w14:paraId="387EE05E" w14:textId="77777777" w:rsidR="006A1846" w:rsidRPr="003D1614" w:rsidRDefault="006A1846" w:rsidP="004454D6">
            <w:pPr>
              <w:suppressAutoHyphens/>
              <w:autoSpaceDN w:val="0"/>
              <w:spacing w:line="300" w:lineRule="exact"/>
              <w:jc w:val="right"/>
              <w:rPr>
                <w:rFonts w:ascii="Arial" w:eastAsia="Times New Roman" w:hAnsi="Arial" w:cs="Arial"/>
                <w:color w:val="000000" w:themeColor="text1"/>
                <w:sz w:val="18"/>
                <w:szCs w:val="18"/>
              </w:rPr>
            </w:pPr>
            <w:r w:rsidRPr="004E0287">
              <w:rPr>
                <w:rFonts w:ascii="Arial" w:eastAsia="Times New Roman" w:hAnsi="Arial" w:cs="Arial"/>
                <w:color w:val="000000" w:themeColor="text1"/>
                <w:sz w:val="18"/>
                <w:szCs w:val="18"/>
              </w:rPr>
              <w:t>1.038</w:t>
            </w:r>
          </w:p>
        </w:tc>
      </w:tr>
      <w:tr w:rsidR="006A1846" w:rsidRPr="003D1614" w14:paraId="7709ED84" w14:textId="77777777" w:rsidTr="004454D6">
        <w:trPr>
          <w:trHeight w:val="280"/>
        </w:trPr>
        <w:tc>
          <w:tcPr>
            <w:tcW w:w="3261" w:type="dxa"/>
            <w:tcBorders>
              <w:top w:val="nil"/>
              <w:left w:val="nil"/>
              <w:bottom w:val="nil"/>
              <w:right w:val="nil"/>
            </w:tcBorders>
            <w:shd w:val="clear" w:color="auto" w:fill="auto"/>
            <w:vAlign w:val="bottom"/>
          </w:tcPr>
          <w:p w14:paraId="16713CC1" w14:textId="77777777" w:rsidR="006A1846" w:rsidRPr="003D1614" w:rsidRDefault="006A1846" w:rsidP="004454D6">
            <w:pPr>
              <w:suppressAutoHyphens/>
              <w:autoSpaceDN w:val="0"/>
              <w:spacing w:line="300" w:lineRule="exact"/>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 xml:space="preserve">Neto prihodi od financijskih aktivnosti </w:t>
            </w:r>
          </w:p>
        </w:tc>
        <w:tc>
          <w:tcPr>
            <w:tcW w:w="1134" w:type="dxa"/>
            <w:shd w:val="clear" w:color="auto" w:fill="auto"/>
            <w:noWrap/>
            <w:vAlign w:val="bottom"/>
          </w:tcPr>
          <w:p w14:paraId="113478A1" w14:textId="77777777" w:rsidR="006A1846" w:rsidRPr="003D1614" w:rsidRDefault="006A1846" w:rsidP="004454D6">
            <w:pPr>
              <w:suppressAutoHyphens/>
              <w:autoSpaceDN w:val="0"/>
              <w:spacing w:line="300" w:lineRule="exact"/>
              <w:jc w:val="right"/>
              <w:rPr>
                <w:rFonts w:ascii="Arial" w:eastAsia="Times New Roman" w:hAnsi="Arial" w:cs="Arial"/>
                <w:color w:val="000000" w:themeColor="text1"/>
                <w:sz w:val="18"/>
                <w:szCs w:val="18"/>
              </w:rPr>
            </w:pPr>
            <w:r w:rsidRPr="004E0287">
              <w:rPr>
                <w:rFonts w:ascii="Arial" w:eastAsia="Times New Roman" w:hAnsi="Arial" w:cs="Arial"/>
                <w:color w:val="000000" w:themeColor="text1"/>
                <w:sz w:val="18"/>
                <w:szCs w:val="18"/>
              </w:rPr>
              <w:t>1.193</w:t>
            </w:r>
          </w:p>
        </w:tc>
        <w:tc>
          <w:tcPr>
            <w:tcW w:w="1667" w:type="dxa"/>
            <w:shd w:val="clear" w:color="auto" w:fill="auto"/>
            <w:noWrap/>
            <w:vAlign w:val="bottom"/>
          </w:tcPr>
          <w:p w14:paraId="25047B07" w14:textId="77777777" w:rsidR="006A1846" w:rsidRPr="003D1614" w:rsidRDefault="006A1846" w:rsidP="004454D6">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68" w:type="dxa"/>
            <w:shd w:val="clear" w:color="auto" w:fill="auto"/>
            <w:noWrap/>
            <w:vAlign w:val="bottom"/>
          </w:tcPr>
          <w:p w14:paraId="37F07A69" w14:textId="77777777" w:rsidR="006A1846" w:rsidRPr="003D1614" w:rsidRDefault="006A1846" w:rsidP="004454D6">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2</w:t>
            </w:r>
          </w:p>
        </w:tc>
        <w:tc>
          <w:tcPr>
            <w:tcW w:w="1559" w:type="dxa"/>
            <w:shd w:val="clear" w:color="auto" w:fill="auto"/>
            <w:noWrap/>
            <w:vAlign w:val="bottom"/>
          </w:tcPr>
          <w:p w14:paraId="1F94D0D5" w14:textId="77777777" w:rsidR="006A1846" w:rsidRPr="003D1614" w:rsidRDefault="006A1846" w:rsidP="004454D6">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shd w:val="clear" w:color="auto" w:fill="auto"/>
            <w:noWrap/>
            <w:vAlign w:val="bottom"/>
          </w:tcPr>
          <w:p w14:paraId="2B1C482F" w14:textId="77777777" w:rsidR="006A1846" w:rsidRPr="003D1614" w:rsidRDefault="006A1846" w:rsidP="004454D6">
            <w:pPr>
              <w:suppressAutoHyphens/>
              <w:autoSpaceDN w:val="0"/>
              <w:spacing w:line="300" w:lineRule="exact"/>
              <w:jc w:val="right"/>
              <w:rPr>
                <w:rFonts w:ascii="Arial" w:eastAsia="Times New Roman" w:hAnsi="Arial" w:cs="Arial"/>
                <w:color w:val="000000" w:themeColor="text1"/>
                <w:sz w:val="18"/>
                <w:szCs w:val="18"/>
              </w:rPr>
            </w:pPr>
            <w:r w:rsidRPr="00ED0F4C">
              <w:rPr>
                <w:rFonts w:ascii="Arial" w:eastAsia="Times New Roman" w:hAnsi="Arial" w:cs="Arial"/>
                <w:color w:val="000000" w:themeColor="text1"/>
                <w:sz w:val="18"/>
                <w:szCs w:val="18"/>
              </w:rPr>
              <w:t>1.195</w:t>
            </w:r>
          </w:p>
        </w:tc>
      </w:tr>
      <w:tr w:rsidR="006A1846" w:rsidRPr="003D1614" w14:paraId="1B1C0EE0" w14:textId="77777777" w:rsidTr="004454D6">
        <w:trPr>
          <w:trHeight w:val="280"/>
        </w:trPr>
        <w:tc>
          <w:tcPr>
            <w:tcW w:w="3261" w:type="dxa"/>
            <w:tcBorders>
              <w:top w:val="nil"/>
              <w:left w:val="nil"/>
              <w:bottom w:val="nil"/>
              <w:right w:val="nil"/>
            </w:tcBorders>
            <w:shd w:val="clear" w:color="auto" w:fill="auto"/>
            <w:vAlign w:val="bottom"/>
          </w:tcPr>
          <w:p w14:paraId="52E9D4DE" w14:textId="77777777" w:rsidR="006A1846" w:rsidRPr="003D1614" w:rsidRDefault="006A1846" w:rsidP="004454D6">
            <w:pPr>
              <w:suppressAutoHyphens/>
              <w:autoSpaceDN w:val="0"/>
              <w:spacing w:line="300" w:lineRule="exact"/>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Dobitak od umanjenja vrijednosti</w:t>
            </w:r>
          </w:p>
        </w:tc>
        <w:tc>
          <w:tcPr>
            <w:tcW w:w="1134" w:type="dxa"/>
            <w:shd w:val="clear" w:color="auto" w:fill="auto"/>
            <w:noWrap/>
            <w:vAlign w:val="bottom"/>
          </w:tcPr>
          <w:p w14:paraId="6F98227C" w14:textId="77777777" w:rsidR="006A1846" w:rsidRPr="00901ABF" w:rsidRDefault="006A1846" w:rsidP="004454D6">
            <w:pPr>
              <w:suppressAutoHyphens/>
              <w:autoSpaceDN w:val="0"/>
              <w:spacing w:line="300" w:lineRule="exact"/>
              <w:jc w:val="right"/>
              <w:rPr>
                <w:rFonts w:ascii="Arial" w:eastAsia="Times New Roman" w:hAnsi="Arial" w:cs="Arial"/>
                <w:color w:val="000000" w:themeColor="text1"/>
                <w:sz w:val="18"/>
                <w:szCs w:val="18"/>
              </w:rPr>
            </w:pPr>
            <w:r w:rsidRPr="00ED0F4C">
              <w:rPr>
                <w:rFonts w:ascii="Arial" w:eastAsia="Times New Roman" w:hAnsi="Arial" w:cs="Arial"/>
                <w:color w:val="000000" w:themeColor="text1"/>
                <w:sz w:val="18"/>
                <w:szCs w:val="18"/>
              </w:rPr>
              <w:t>6.511</w:t>
            </w:r>
          </w:p>
        </w:tc>
        <w:tc>
          <w:tcPr>
            <w:tcW w:w="1667" w:type="dxa"/>
            <w:shd w:val="clear" w:color="auto" w:fill="auto"/>
            <w:noWrap/>
            <w:vAlign w:val="bottom"/>
          </w:tcPr>
          <w:p w14:paraId="3A6FE715" w14:textId="77777777" w:rsidR="006A1846" w:rsidRPr="00901ABF" w:rsidRDefault="006A1846" w:rsidP="004454D6">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68" w:type="dxa"/>
            <w:shd w:val="clear" w:color="auto" w:fill="auto"/>
            <w:noWrap/>
            <w:vAlign w:val="bottom"/>
          </w:tcPr>
          <w:p w14:paraId="7200EA2A" w14:textId="77777777" w:rsidR="006A1846" w:rsidRPr="003D1614" w:rsidRDefault="006A1846" w:rsidP="004454D6">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559" w:type="dxa"/>
            <w:shd w:val="clear" w:color="auto" w:fill="auto"/>
            <w:noWrap/>
            <w:vAlign w:val="bottom"/>
          </w:tcPr>
          <w:p w14:paraId="28244FC9" w14:textId="77777777" w:rsidR="006A1846" w:rsidRPr="003D1614" w:rsidRDefault="006A1846" w:rsidP="004454D6">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shd w:val="clear" w:color="auto" w:fill="auto"/>
            <w:noWrap/>
            <w:vAlign w:val="bottom"/>
          </w:tcPr>
          <w:p w14:paraId="141595AF" w14:textId="77777777" w:rsidR="006A1846" w:rsidRPr="003D1614" w:rsidRDefault="006A1846" w:rsidP="004454D6">
            <w:pPr>
              <w:suppressAutoHyphens/>
              <w:autoSpaceDN w:val="0"/>
              <w:spacing w:line="300" w:lineRule="exact"/>
              <w:jc w:val="right"/>
              <w:rPr>
                <w:rFonts w:ascii="Arial" w:eastAsia="Times New Roman" w:hAnsi="Arial" w:cs="Arial"/>
                <w:color w:val="000000" w:themeColor="text1"/>
                <w:sz w:val="18"/>
                <w:szCs w:val="18"/>
              </w:rPr>
            </w:pPr>
            <w:r w:rsidRPr="00ED0F4C">
              <w:rPr>
                <w:rFonts w:ascii="Arial" w:eastAsia="Times New Roman" w:hAnsi="Arial" w:cs="Arial"/>
                <w:color w:val="000000" w:themeColor="text1"/>
                <w:sz w:val="18"/>
                <w:szCs w:val="18"/>
              </w:rPr>
              <w:t>6.511</w:t>
            </w:r>
          </w:p>
        </w:tc>
      </w:tr>
      <w:tr w:rsidR="006A1846" w:rsidRPr="003D1614" w14:paraId="10BFC5A1" w14:textId="77777777" w:rsidTr="004454D6">
        <w:trPr>
          <w:trHeight w:val="300"/>
        </w:trPr>
        <w:tc>
          <w:tcPr>
            <w:tcW w:w="3261" w:type="dxa"/>
            <w:tcBorders>
              <w:top w:val="nil"/>
              <w:left w:val="nil"/>
              <w:bottom w:val="nil"/>
              <w:right w:val="nil"/>
            </w:tcBorders>
            <w:shd w:val="clear" w:color="auto" w:fill="auto"/>
            <w:vAlign w:val="bottom"/>
          </w:tcPr>
          <w:p w14:paraId="1E7378F9" w14:textId="77777777" w:rsidR="006A1846" w:rsidRPr="003D1614" w:rsidRDefault="006A1846" w:rsidP="004454D6">
            <w:pPr>
              <w:suppressAutoHyphens/>
              <w:autoSpaceDN w:val="0"/>
              <w:spacing w:line="300" w:lineRule="exact"/>
              <w:rPr>
                <w:rFonts w:ascii="Arial" w:eastAsia="Times New Roman" w:hAnsi="Arial" w:cs="Arial"/>
                <w:color w:val="000000" w:themeColor="text1"/>
                <w:sz w:val="18"/>
                <w:szCs w:val="18"/>
              </w:rPr>
            </w:pPr>
            <w:r w:rsidRPr="0047597C">
              <w:rPr>
                <w:rFonts w:ascii="Arial" w:eastAsia="Times New Roman" w:hAnsi="Arial" w:cs="Arial"/>
                <w:color w:val="000000" w:themeColor="text1"/>
                <w:sz w:val="18"/>
                <w:szCs w:val="18"/>
              </w:rPr>
              <w:t>Neto zarađene premije</w:t>
            </w:r>
          </w:p>
        </w:tc>
        <w:tc>
          <w:tcPr>
            <w:tcW w:w="1134" w:type="dxa"/>
            <w:shd w:val="clear" w:color="auto" w:fill="auto"/>
            <w:noWrap/>
            <w:vAlign w:val="bottom"/>
          </w:tcPr>
          <w:p w14:paraId="4EF4BAE1" w14:textId="77777777" w:rsidR="006A1846" w:rsidRPr="00901ABF" w:rsidRDefault="006A1846" w:rsidP="004454D6">
            <w:pPr>
              <w:suppressAutoHyphens/>
              <w:autoSpaceDN w:val="0"/>
              <w:spacing w:line="300" w:lineRule="exact"/>
              <w:jc w:val="right"/>
              <w:rPr>
                <w:rFonts w:ascii="Arial" w:eastAsia="Times New Roman" w:hAnsi="Arial" w:cs="Arial"/>
                <w:color w:val="000000" w:themeColor="text1"/>
                <w:sz w:val="18"/>
                <w:szCs w:val="18"/>
              </w:rPr>
            </w:pPr>
            <w:r w:rsidRPr="00901ABF">
              <w:rPr>
                <w:rFonts w:ascii="Arial" w:eastAsia="Times New Roman" w:hAnsi="Arial" w:cs="Arial"/>
                <w:color w:val="000000" w:themeColor="text1"/>
                <w:sz w:val="18"/>
                <w:szCs w:val="18"/>
              </w:rPr>
              <w:t>-</w:t>
            </w:r>
          </w:p>
        </w:tc>
        <w:tc>
          <w:tcPr>
            <w:tcW w:w="1667" w:type="dxa"/>
            <w:shd w:val="clear" w:color="auto" w:fill="auto"/>
            <w:noWrap/>
            <w:vAlign w:val="bottom"/>
          </w:tcPr>
          <w:p w14:paraId="1DB21C16" w14:textId="77777777" w:rsidR="006A1846" w:rsidRPr="00901ABF" w:rsidRDefault="006A1846" w:rsidP="004454D6">
            <w:pPr>
              <w:suppressAutoHyphens/>
              <w:autoSpaceDN w:val="0"/>
              <w:spacing w:line="300" w:lineRule="exact"/>
              <w:jc w:val="right"/>
              <w:rPr>
                <w:rFonts w:ascii="Arial" w:eastAsia="Times New Roman" w:hAnsi="Arial" w:cs="Arial"/>
                <w:color w:val="000000" w:themeColor="text1"/>
                <w:sz w:val="18"/>
                <w:szCs w:val="18"/>
              </w:rPr>
            </w:pPr>
            <w:r w:rsidRPr="00ED0F4C">
              <w:rPr>
                <w:rFonts w:ascii="Arial" w:eastAsia="Times New Roman" w:hAnsi="Arial" w:cs="Arial"/>
                <w:color w:val="000000" w:themeColor="text1"/>
                <w:sz w:val="18"/>
                <w:szCs w:val="18"/>
              </w:rPr>
              <w:t>1.785</w:t>
            </w:r>
          </w:p>
        </w:tc>
        <w:tc>
          <w:tcPr>
            <w:tcW w:w="1168" w:type="dxa"/>
            <w:shd w:val="clear" w:color="auto" w:fill="auto"/>
            <w:noWrap/>
            <w:vAlign w:val="bottom"/>
          </w:tcPr>
          <w:p w14:paraId="54EC435E" w14:textId="77777777" w:rsidR="006A1846" w:rsidRPr="003D1614" w:rsidRDefault="006A1846" w:rsidP="004454D6">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559" w:type="dxa"/>
            <w:shd w:val="clear" w:color="auto" w:fill="auto"/>
            <w:noWrap/>
            <w:vAlign w:val="bottom"/>
          </w:tcPr>
          <w:p w14:paraId="06E16304" w14:textId="77777777" w:rsidR="006A1846" w:rsidRPr="003D1614" w:rsidRDefault="006A1846" w:rsidP="004454D6">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shd w:val="clear" w:color="auto" w:fill="auto"/>
            <w:noWrap/>
            <w:vAlign w:val="bottom"/>
          </w:tcPr>
          <w:p w14:paraId="0FA03938" w14:textId="77777777" w:rsidR="006A1846" w:rsidRPr="003D1614" w:rsidRDefault="006A1846" w:rsidP="004454D6">
            <w:pPr>
              <w:suppressAutoHyphens/>
              <w:autoSpaceDN w:val="0"/>
              <w:spacing w:line="300" w:lineRule="exact"/>
              <w:jc w:val="right"/>
              <w:rPr>
                <w:rFonts w:ascii="Arial" w:eastAsia="Times New Roman" w:hAnsi="Arial" w:cs="Arial"/>
                <w:color w:val="000000" w:themeColor="text1"/>
                <w:sz w:val="18"/>
                <w:szCs w:val="18"/>
              </w:rPr>
            </w:pPr>
            <w:r w:rsidRPr="00ED0F4C">
              <w:rPr>
                <w:rFonts w:ascii="Arial" w:eastAsia="Times New Roman" w:hAnsi="Arial" w:cs="Arial"/>
                <w:color w:val="000000" w:themeColor="text1"/>
                <w:sz w:val="18"/>
                <w:szCs w:val="18"/>
              </w:rPr>
              <w:t>1.785</w:t>
            </w:r>
          </w:p>
        </w:tc>
      </w:tr>
      <w:tr w:rsidR="006A1846" w:rsidRPr="003D1614" w14:paraId="3D4659E8" w14:textId="77777777" w:rsidTr="004454D6">
        <w:trPr>
          <w:trHeight w:val="300"/>
        </w:trPr>
        <w:tc>
          <w:tcPr>
            <w:tcW w:w="3261" w:type="dxa"/>
            <w:tcBorders>
              <w:top w:val="nil"/>
              <w:left w:val="nil"/>
              <w:right w:val="nil"/>
            </w:tcBorders>
            <w:shd w:val="clear" w:color="auto" w:fill="auto"/>
            <w:vAlign w:val="bottom"/>
          </w:tcPr>
          <w:p w14:paraId="280D7261" w14:textId="77777777" w:rsidR="006A1846" w:rsidRPr="003D1614" w:rsidRDefault="006A1846" w:rsidP="004454D6">
            <w:pPr>
              <w:suppressAutoHyphens/>
              <w:autoSpaceDN w:val="0"/>
              <w:spacing w:line="300" w:lineRule="exact"/>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Ostali prihodi</w:t>
            </w:r>
          </w:p>
        </w:tc>
        <w:tc>
          <w:tcPr>
            <w:tcW w:w="1134" w:type="dxa"/>
            <w:tcBorders>
              <w:top w:val="nil"/>
              <w:left w:val="nil"/>
              <w:bottom w:val="single" w:sz="2" w:space="0" w:color="auto"/>
              <w:right w:val="nil"/>
            </w:tcBorders>
            <w:shd w:val="clear" w:color="auto" w:fill="auto"/>
            <w:noWrap/>
            <w:vAlign w:val="bottom"/>
          </w:tcPr>
          <w:p w14:paraId="26E9B241" w14:textId="77777777" w:rsidR="006A1846" w:rsidRPr="00901ABF" w:rsidRDefault="006A1846" w:rsidP="004454D6">
            <w:pPr>
              <w:suppressAutoHyphens/>
              <w:autoSpaceDN w:val="0"/>
              <w:spacing w:line="300" w:lineRule="exact"/>
              <w:jc w:val="right"/>
              <w:rPr>
                <w:rFonts w:ascii="Arial" w:eastAsia="Times New Roman" w:hAnsi="Arial" w:cs="Arial"/>
                <w:color w:val="000000" w:themeColor="text1"/>
                <w:sz w:val="18"/>
                <w:szCs w:val="18"/>
              </w:rPr>
            </w:pPr>
            <w:r w:rsidRPr="00ED0F4C">
              <w:rPr>
                <w:rFonts w:ascii="Arial" w:eastAsia="Times New Roman" w:hAnsi="Arial" w:cs="Arial"/>
                <w:color w:val="000000" w:themeColor="text1"/>
                <w:sz w:val="18"/>
                <w:szCs w:val="18"/>
              </w:rPr>
              <w:t>2.305</w:t>
            </w:r>
          </w:p>
        </w:tc>
        <w:tc>
          <w:tcPr>
            <w:tcW w:w="1667" w:type="dxa"/>
            <w:tcBorders>
              <w:top w:val="nil"/>
              <w:left w:val="nil"/>
              <w:bottom w:val="single" w:sz="2" w:space="0" w:color="auto"/>
              <w:right w:val="nil"/>
            </w:tcBorders>
            <w:shd w:val="clear" w:color="auto" w:fill="auto"/>
            <w:noWrap/>
            <w:vAlign w:val="bottom"/>
          </w:tcPr>
          <w:p w14:paraId="6E68383C" w14:textId="77777777" w:rsidR="006A1846" w:rsidRPr="00901ABF" w:rsidRDefault="006A1846" w:rsidP="004454D6">
            <w:pPr>
              <w:suppressAutoHyphens/>
              <w:autoSpaceDN w:val="0"/>
              <w:spacing w:line="300" w:lineRule="exact"/>
              <w:jc w:val="right"/>
              <w:rPr>
                <w:rFonts w:ascii="Arial" w:eastAsia="Times New Roman" w:hAnsi="Arial" w:cs="Arial"/>
                <w:color w:val="000000" w:themeColor="text1"/>
                <w:sz w:val="18"/>
                <w:szCs w:val="18"/>
              </w:rPr>
            </w:pPr>
            <w:r w:rsidRPr="00ED0F4C">
              <w:rPr>
                <w:rFonts w:ascii="Arial" w:eastAsia="Times New Roman" w:hAnsi="Arial" w:cs="Arial"/>
                <w:color w:val="000000" w:themeColor="text1"/>
                <w:sz w:val="18"/>
                <w:szCs w:val="18"/>
              </w:rPr>
              <w:t>258</w:t>
            </w:r>
          </w:p>
        </w:tc>
        <w:tc>
          <w:tcPr>
            <w:tcW w:w="1168" w:type="dxa"/>
            <w:tcBorders>
              <w:top w:val="nil"/>
              <w:left w:val="nil"/>
              <w:bottom w:val="single" w:sz="2" w:space="0" w:color="auto"/>
              <w:right w:val="nil"/>
            </w:tcBorders>
            <w:shd w:val="clear" w:color="auto" w:fill="auto"/>
            <w:noWrap/>
            <w:vAlign w:val="bottom"/>
          </w:tcPr>
          <w:p w14:paraId="2F4240B9" w14:textId="77777777" w:rsidR="006A1846" w:rsidRPr="003D1614" w:rsidRDefault="006A1846" w:rsidP="004454D6">
            <w:pPr>
              <w:suppressAutoHyphens/>
              <w:autoSpaceDN w:val="0"/>
              <w:spacing w:line="300" w:lineRule="exact"/>
              <w:jc w:val="right"/>
              <w:rPr>
                <w:rFonts w:ascii="Arial" w:eastAsia="Times New Roman" w:hAnsi="Arial" w:cs="Arial"/>
                <w:color w:val="000000" w:themeColor="text1"/>
                <w:sz w:val="18"/>
                <w:szCs w:val="18"/>
              </w:rPr>
            </w:pPr>
            <w:r w:rsidRPr="00ED0F4C">
              <w:rPr>
                <w:rFonts w:ascii="Arial" w:eastAsia="Times New Roman" w:hAnsi="Arial" w:cs="Arial"/>
                <w:color w:val="000000" w:themeColor="text1"/>
                <w:sz w:val="18"/>
                <w:szCs w:val="18"/>
              </w:rPr>
              <w:t>33</w:t>
            </w:r>
          </w:p>
        </w:tc>
        <w:tc>
          <w:tcPr>
            <w:tcW w:w="1559" w:type="dxa"/>
            <w:tcBorders>
              <w:top w:val="nil"/>
              <w:left w:val="nil"/>
              <w:bottom w:val="single" w:sz="2" w:space="0" w:color="auto"/>
              <w:right w:val="nil"/>
            </w:tcBorders>
            <w:shd w:val="clear" w:color="auto" w:fill="auto"/>
            <w:noWrap/>
            <w:vAlign w:val="bottom"/>
          </w:tcPr>
          <w:p w14:paraId="1BB9B47A" w14:textId="77777777" w:rsidR="006A1846" w:rsidRPr="003D1614" w:rsidRDefault="006A1846" w:rsidP="004454D6">
            <w:pPr>
              <w:suppressAutoHyphens/>
              <w:autoSpaceDN w:val="0"/>
              <w:spacing w:line="300" w:lineRule="exact"/>
              <w:jc w:val="right"/>
              <w:rPr>
                <w:rFonts w:ascii="Arial" w:eastAsia="Times New Roman" w:hAnsi="Arial" w:cs="Arial"/>
                <w:color w:val="000000" w:themeColor="text1"/>
                <w:sz w:val="18"/>
                <w:szCs w:val="18"/>
              </w:rPr>
            </w:pPr>
            <w:r w:rsidRPr="00ED0F4C">
              <w:rPr>
                <w:rFonts w:ascii="Arial" w:eastAsia="Times New Roman" w:hAnsi="Arial" w:cs="Arial"/>
                <w:color w:val="000000" w:themeColor="text1"/>
                <w:sz w:val="18"/>
                <w:szCs w:val="18"/>
              </w:rPr>
              <w:t>(31)</w:t>
            </w:r>
          </w:p>
        </w:tc>
        <w:tc>
          <w:tcPr>
            <w:tcW w:w="1134" w:type="dxa"/>
            <w:tcBorders>
              <w:top w:val="nil"/>
              <w:left w:val="nil"/>
              <w:bottom w:val="single" w:sz="2" w:space="0" w:color="auto"/>
              <w:right w:val="nil"/>
            </w:tcBorders>
            <w:shd w:val="clear" w:color="auto" w:fill="auto"/>
            <w:noWrap/>
            <w:vAlign w:val="bottom"/>
          </w:tcPr>
          <w:p w14:paraId="3E4D79CC" w14:textId="77777777" w:rsidR="006A1846" w:rsidRPr="003D1614" w:rsidRDefault="006A1846" w:rsidP="004454D6">
            <w:pPr>
              <w:suppressAutoHyphens/>
              <w:autoSpaceDN w:val="0"/>
              <w:spacing w:line="300" w:lineRule="exact"/>
              <w:jc w:val="right"/>
              <w:rPr>
                <w:rFonts w:ascii="Arial" w:eastAsia="Times New Roman" w:hAnsi="Arial" w:cs="Arial"/>
                <w:color w:val="000000" w:themeColor="text1"/>
                <w:sz w:val="18"/>
                <w:szCs w:val="18"/>
              </w:rPr>
            </w:pPr>
            <w:r w:rsidRPr="00ED0F4C">
              <w:rPr>
                <w:rFonts w:ascii="Arial" w:eastAsia="Times New Roman" w:hAnsi="Arial" w:cs="Arial"/>
                <w:color w:val="000000" w:themeColor="text1"/>
                <w:sz w:val="18"/>
                <w:szCs w:val="18"/>
              </w:rPr>
              <w:t>2.565</w:t>
            </w:r>
          </w:p>
        </w:tc>
      </w:tr>
      <w:tr w:rsidR="006A1846" w:rsidRPr="003D1614" w14:paraId="73F83FF8" w14:textId="77777777" w:rsidTr="004454D6">
        <w:trPr>
          <w:trHeight w:val="300"/>
        </w:trPr>
        <w:tc>
          <w:tcPr>
            <w:tcW w:w="3261" w:type="dxa"/>
            <w:tcBorders>
              <w:left w:val="nil"/>
              <w:right w:val="nil"/>
            </w:tcBorders>
            <w:shd w:val="clear" w:color="auto" w:fill="auto"/>
            <w:vAlign w:val="bottom"/>
          </w:tcPr>
          <w:p w14:paraId="4EF3E81B" w14:textId="77777777" w:rsidR="006A1846" w:rsidRPr="003D1614" w:rsidRDefault="006A1846" w:rsidP="004454D6">
            <w:pPr>
              <w:suppressAutoHyphens/>
              <w:autoSpaceDN w:val="0"/>
              <w:spacing w:line="300" w:lineRule="exac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Prihod iz poslovanja</w:t>
            </w:r>
          </w:p>
        </w:tc>
        <w:tc>
          <w:tcPr>
            <w:tcW w:w="1134" w:type="dxa"/>
            <w:tcBorders>
              <w:top w:val="single" w:sz="2" w:space="0" w:color="auto"/>
              <w:left w:val="nil"/>
              <w:bottom w:val="single" w:sz="12" w:space="0" w:color="auto"/>
              <w:right w:val="nil"/>
            </w:tcBorders>
            <w:shd w:val="clear" w:color="auto" w:fill="auto"/>
            <w:noWrap/>
            <w:vAlign w:val="bottom"/>
          </w:tcPr>
          <w:p w14:paraId="7E1C30F1" w14:textId="77777777" w:rsidR="006A1846" w:rsidRPr="00901ABF" w:rsidRDefault="006A1846" w:rsidP="004454D6">
            <w:pPr>
              <w:suppressAutoHyphens/>
              <w:autoSpaceDN w:val="0"/>
              <w:spacing w:line="300" w:lineRule="exact"/>
              <w:jc w:val="right"/>
              <w:rPr>
                <w:rFonts w:ascii="Arial" w:eastAsia="Times New Roman" w:hAnsi="Arial" w:cs="Arial"/>
                <w:b/>
                <w:bCs/>
                <w:color w:val="000000" w:themeColor="text1"/>
                <w:sz w:val="18"/>
                <w:szCs w:val="18"/>
              </w:rPr>
            </w:pPr>
            <w:r w:rsidRPr="00ED0F4C">
              <w:rPr>
                <w:rFonts w:ascii="Arial" w:eastAsia="Times New Roman" w:hAnsi="Arial" w:cs="Arial"/>
                <w:b/>
                <w:bCs/>
                <w:color w:val="000000" w:themeColor="text1"/>
                <w:sz w:val="18"/>
                <w:szCs w:val="18"/>
              </w:rPr>
              <w:t>64.311</w:t>
            </w:r>
          </w:p>
        </w:tc>
        <w:tc>
          <w:tcPr>
            <w:tcW w:w="1667" w:type="dxa"/>
            <w:tcBorders>
              <w:top w:val="single" w:sz="2" w:space="0" w:color="auto"/>
              <w:left w:val="nil"/>
              <w:bottom w:val="single" w:sz="12" w:space="0" w:color="auto"/>
              <w:right w:val="nil"/>
            </w:tcBorders>
            <w:shd w:val="clear" w:color="auto" w:fill="auto"/>
            <w:noWrap/>
            <w:vAlign w:val="bottom"/>
          </w:tcPr>
          <w:p w14:paraId="1A8E854A" w14:textId="77777777" w:rsidR="006A1846" w:rsidRPr="00901ABF" w:rsidRDefault="006A1846" w:rsidP="004454D6">
            <w:pPr>
              <w:suppressAutoHyphens/>
              <w:autoSpaceDN w:val="0"/>
              <w:spacing w:line="300" w:lineRule="exact"/>
              <w:jc w:val="right"/>
              <w:rPr>
                <w:rFonts w:ascii="Arial" w:eastAsia="Times New Roman" w:hAnsi="Arial" w:cs="Arial"/>
                <w:b/>
                <w:bCs/>
                <w:color w:val="000000" w:themeColor="text1"/>
                <w:sz w:val="18"/>
                <w:szCs w:val="18"/>
              </w:rPr>
            </w:pPr>
            <w:r w:rsidRPr="00ED0F4C">
              <w:rPr>
                <w:rFonts w:ascii="Arial" w:eastAsia="Times New Roman" w:hAnsi="Arial" w:cs="Arial"/>
                <w:b/>
                <w:bCs/>
                <w:color w:val="000000" w:themeColor="text1"/>
                <w:sz w:val="18"/>
                <w:szCs w:val="18"/>
              </w:rPr>
              <w:t>2.230</w:t>
            </w:r>
          </w:p>
        </w:tc>
        <w:tc>
          <w:tcPr>
            <w:tcW w:w="1168" w:type="dxa"/>
            <w:tcBorders>
              <w:top w:val="single" w:sz="2" w:space="0" w:color="auto"/>
              <w:left w:val="nil"/>
              <w:bottom w:val="single" w:sz="12" w:space="0" w:color="auto"/>
              <w:right w:val="nil"/>
            </w:tcBorders>
            <w:shd w:val="clear" w:color="auto" w:fill="auto"/>
            <w:noWrap/>
            <w:vAlign w:val="bottom"/>
          </w:tcPr>
          <w:p w14:paraId="689C258C" w14:textId="77777777" w:rsidR="006A1846" w:rsidRPr="003D1614" w:rsidRDefault="006A1846" w:rsidP="004454D6">
            <w:pPr>
              <w:suppressAutoHyphens/>
              <w:autoSpaceDN w:val="0"/>
              <w:spacing w:line="300" w:lineRule="exact"/>
              <w:jc w:val="right"/>
              <w:rPr>
                <w:rFonts w:ascii="Arial" w:eastAsia="Times New Roman" w:hAnsi="Arial" w:cs="Arial"/>
                <w:b/>
                <w:bCs/>
                <w:color w:val="000000" w:themeColor="text1"/>
                <w:sz w:val="18"/>
                <w:szCs w:val="18"/>
              </w:rPr>
            </w:pPr>
            <w:r w:rsidRPr="00ED0F4C">
              <w:rPr>
                <w:rFonts w:ascii="Arial" w:eastAsia="Times New Roman" w:hAnsi="Arial" w:cs="Arial"/>
                <w:b/>
                <w:bCs/>
                <w:color w:val="000000" w:themeColor="text1"/>
                <w:sz w:val="18"/>
                <w:szCs w:val="18"/>
              </w:rPr>
              <w:t>286</w:t>
            </w:r>
          </w:p>
        </w:tc>
        <w:tc>
          <w:tcPr>
            <w:tcW w:w="1559" w:type="dxa"/>
            <w:tcBorders>
              <w:top w:val="single" w:sz="2" w:space="0" w:color="auto"/>
              <w:left w:val="nil"/>
              <w:bottom w:val="single" w:sz="12" w:space="0" w:color="auto"/>
              <w:right w:val="nil"/>
            </w:tcBorders>
            <w:shd w:val="clear" w:color="auto" w:fill="auto"/>
            <w:noWrap/>
            <w:vAlign w:val="bottom"/>
          </w:tcPr>
          <w:p w14:paraId="49595881" w14:textId="77777777" w:rsidR="006A1846" w:rsidRPr="003D1614" w:rsidRDefault="006A1846" w:rsidP="004454D6">
            <w:pPr>
              <w:suppressAutoHyphens/>
              <w:autoSpaceDN w:val="0"/>
              <w:spacing w:line="300" w:lineRule="exact"/>
              <w:jc w:val="right"/>
              <w:rPr>
                <w:rFonts w:ascii="Arial" w:eastAsia="Times New Roman" w:hAnsi="Arial" w:cs="Arial"/>
                <w:b/>
                <w:bCs/>
                <w:color w:val="000000" w:themeColor="text1"/>
                <w:sz w:val="18"/>
                <w:szCs w:val="18"/>
              </w:rPr>
            </w:pPr>
            <w:r w:rsidRPr="00ED0F4C">
              <w:rPr>
                <w:rFonts w:ascii="Arial" w:eastAsia="Times New Roman" w:hAnsi="Arial" w:cs="Arial"/>
                <w:b/>
                <w:bCs/>
                <w:color w:val="000000" w:themeColor="text1"/>
                <w:sz w:val="18"/>
                <w:szCs w:val="18"/>
              </w:rPr>
              <w:t>(31)</w:t>
            </w:r>
          </w:p>
        </w:tc>
        <w:tc>
          <w:tcPr>
            <w:tcW w:w="1134" w:type="dxa"/>
            <w:tcBorders>
              <w:top w:val="single" w:sz="2" w:space="0" w:color="auto"/>
              <w:left w:val="nil"/>
              <w:bottom w:val="single" w:sz="12" w:space="0" w:color="auto"/>
              <w:right w:val="nil"/>
            </w:tcBorders>
            <w:shd w:val="clear" w:color="auto" w:fill="auto"/>
            <w:noWrap/>
            <w:vAlign w:val="bottom"/>
          </w:tcPr>
          <w:p w14:paraId="03A5353E" w14:textId="77777777" w:rsidR="006A1846" w:rsidRPr="003D1614" w:rsidRDefault="006A1846" w:rsidP="004454D6">
            <w:pPr>
              <w:suppressAutoHyphens/>
              <w:autoSpaceDN w:val="0"/>
              <w:spacing w:line="300" w:lineRule="exact"/>
              <w:jc w:val="right"/>
              <w:rPr>
                <w:rFonts w:ascii="Arial" w:eastAsia="Times New Roman" w:hAnsi="Arial" w:cs="Arial"/>
                <w:b/>
                <w:bCs/>
                <w:color w:val="000000" w:themeColor="text1"/>
                <w:sz w:val="18"/>
                <w:szCs w:val="18"/>
              </w:rPr>
            </w:pPr>
            <w:r w:rsidRPr="00ED0F4C">
              <w:rPr>
                <w:rFonts w:ascii="Arial" w:eastAsia="Times New Roman" w:hAnsi="Arial" w:cs="Arial"/>
                <w:b/>
                <w:bCs/>
                <w:color w:val="000000" w:themeColor="text1"/>
                <w:sz w:val="18"/>
                <w:szCs w:val="18"/>
              </w:rPr>
              <w:t>66.796</w:t>
            </w:r>
          </w:p>
        </w:tc>
      </w:tr>
      <w:tr w:rsidR="006A1846" w:rsidRPr="003D1614" w14:paraId="10F06351" w14:textId="77777777" w:rsidTr="004454D6">
        <w:trPr>
          <w:trHeight w:val="60"/>
        </w:trPr>
        <w:tc>
          <w:tcPr>
            <w:tcW w:w="3261" w:type="dxa"/>
            <w:tcBorders>
              <w:left w:val="nil"/>
              <w:bottom w:val="nil"/>
              <w:right w:val="nil"/>
            </w:tcBorders>
            <w:shd w:val="clear" w:color="auto" w:fill="auto"/>
            <w:vAlign w:val="bottom"/>
          </w:tcPr>
          <w:p w14:paraId="15BB12FE" w14:textId="77777777" w:rsidR="006A1846" w:rsidRPr="003D1614" w:rsidRDefault="006A1846" w:rsidP="004454D6">
            <w:pPr>
              <w:suppressAutoHyphens/>
              <w:autoSpaceDN w:val="0"/>
              <w:spacing w:line="140" w:lineRule="exact"/>
              <w:rPr>
                <w:rFonts w:ascii="Arial" w:eastAsia="Times New Roman" w:hAnsi="Arial" w:cs="Arial"/>
                <w:color w:val="000000" w:themeColor="text1"/>
                <w:sz w:val="18"/>
                <w:szCs w:val="18"/>
              </w:rPr>
            </w:pPr>
          </w:p>
        </w:tc>
        <w:tc>
          <w:tcPr>
            <w:tcW w:w="1134" w:type="dxa"/>
            <w:tcBorders>
              <w:top w:val="single" w:sz="12" w:space="0" w:color="auto"/>
              <w:left w:val="nil"/>
              <w:bottom w:val="nil"/>
              <w:right w:val="nil"/>
            </w:tcBorders>
            <w:shd w:val="clear" w:color="auto" w:fill="auto"/>
            <w:noWrap/>
            <w:vAlign w:val="bottom"/>
          </w:tcPr>
          <w:p w14:paraId="44D46487" w14:textId="77777777" w:rsidR="006A1846" w:rsidRPr="00901ABF" w:rsidRDefault="006A1846" w:rsidP="004454D6">
            <w:pPr>
              <w:suppressAutoHyphens/>
              <w:autoSpaceDN w:val="0"/>
              <w:spacing w:line="140" w:lineRule="exact"/>
              <w:jc w:val="right"/>
              <w:rPr>
                <w:rFonts w:ascii="Arial" w:eastAsia="Times New Roman" w:hAnsi="Arial" w:cs="Arial"/>
                <w:color w:val="000000" w:themeColor="text1"/>
                <w:sz w:val="18"/>
                <w:szCs w:val="18"/>
              </w:rPr>
            </w:pPr>
          </w:p>
        </w:tc>
        <w:tc>
          <w:tcPr>
            <w:tcW w:w="1667" w:type="dxa"/>
            <w:tcBorders>
              <w:top w:val="single" w:sz="12" w:space="0" w:color="auto"/>
              <w:left w:val="nil"/>
              <w:bottom w:val="nil"/>
              <w:right w:val="nil"/>
            </w:tcBorders>
            <w:shd w:val="clear" w:color="auto" w:fill="auto"/>
            <w:noWrap/>
            <w:vAlign w:val="bottom"/>
          </w:tcPr>
          <w:p w14:paraId="2321691C" w14:textId="77777777" w:rsidR="006A1846" w:rsidRPr="00901ABF" w:rsidRDefault="006A1846" w:rsidP="004454D6">
            <w:pPr>
              <w:suppressAutoHyphens/>
              <w:autoSpaceDN w:val="0"/>
              <w:spacing w:line="140" w:lineRule="exact"/>
              <w:jc w:val="right"/>
              <w:rPr>
                <w:rFonts w:ascii="Arial" w:eastAsia="Times New Roman" w:hAnsi="Arial" w:cs="Arial"/>
                <w:color w:val="000000" w:themeColor="text1"/>
                <w:sz w:val="18"/>
                <w:szCs w:val="18"/>
              </w:rPr>
            </w:pPr>
          </w:p>
        </w:tc>
        <w:tc>
          <w:tcPr>
            <w:tcW w:w="1168" w:type="dxa"/>
            <w:tcBorders>
              <w:top w:val="single" w:sz="12" w:space="0" w:color="auto"/>
              <w:left w:val="nil"/>
              <w:bottom w:val="nil"/>
              <w:right w:val="nil"/>
            </w:tcBorders>
            <w:shd w:val="clear" w:color="auto" w:fill="auto"/>
            <w:noWrap/>
            <w:vAlign w:val="bottom"/>
          </w:tcPr>
          <w:p w14:paraId="53CA1762" w14:textId="77777777" w:rsidR="006A1846" w:rsidRPr="003D1614" w:rsidRDefault="006A1846" w:rsidP="004454D6">
            <w:pPr>
              <w:suppressAutoHyphens/>
              <w:autoSpaceDN w:val="0"/>
              <w:spacing w:line="140" w:lineRule="exact"/>
              <w:jc w:val="right"/>
              <w:rPr>
                <w:rFonts w:ascii="Arial" w:eastAsia="Times New Roman" w:hAnsi="Arial" w:cs="Arial"/>
                <w:color w:val="000000" w:themeColor="text1"/>
                <w:sz w:val="18"/>
                <w:szCs w:val="18"/>
              </w:rPr>
            </w:pPr>
          </w:p>
        </w:tc>
        <w:tc>
          <w:tcPr>
            <w:tcW w:w="1559" w:type="dxa"/>
            <w:tcBorders>
              <w:top w:val="single" w:sz="12" w:space="0" w:color="auto"/>
              <w:left w:val="nil"/>
              <w:bottom w:val="nil"/>
              <w:right w:val="nil"/>
            </w:tcBorders>
            <w:shd w:val="clear" w:color="auto" w:fill="auto"/>
            <w:noWrap/>
            <w:vAlign w:val="bottom"/>
          </w:tcPr>
          <w:p w14:paraId="0AEFFDFF" w14:textId="77777777" w:rsidR="006A1846" w:rsidRPr="003D1614" w:rsidRDefault="006A1846" w:rsidP="004454D6">
            <w:pPr>
              <w:suppressAutoHyphens/>
              <w:autoSpaceDN w:val="0"/>
              <w:spacing w:line="140" w:lineRule="exact"/>
              <w:jc w:val="right"/>
              <w:rPr>
                <w:rFonts w:ascii="Arial" w:eastAsia="Times New Roman" w:hAnsi="Arial" w:cs="Arial"/>
                <w:color w:val="000000" w:themeColor="text1"/>
                <w:sz w:val="18"/>
                <w:szCs w:val="18"/>
              </w:rPr>
            </w:pPr>
          </w:p>
        </w:tc>
        <w:tc>
          <w:tcPr>
            <w:tcW w:w="1134" w:type="dxa"/>
            <w:tcBorders>
              <w:top w:val="single" w:sz="12" w:space="0" w:color="auto"/>
              <w:left w:val="nil"/>
              <w:bottom w:val="nil"/>
              <w:right w:val="nil"/>
            </w:tcBorders>
            <w:shd w:val="clear" w:color="auto" w:fill="auto"/>
            <w:noWrap/>
            <w:vAlign w:val="bottom"/>
          </w:tcPr>
          <w:p w14:paraId="33EFC8A0" w14:textId="77777777" w:rsidR="006A1846" w:rsidRPr="003D1614" w:rsidRDefault="006A1846" w:rsidP="004454D6">
            <w:pPr>
              <w:suppressAutoHyphens/>
              <w:autoSpaceDN w:val="0"/>
              <w:spacing w:line="140" w:lineRule="exact"/>
              <w:jc w:val="right"/>
              <w:rPr>
                <w:rFonts w:ascii="Arial" w:eastAsia="Times New Roman" w:hAnsi="Arial" w:cs="Arial"/>
                <w:color w:val="000000" w:themeColor="text1"/>
                <w:sz w:val="18"/>
                <w:szCs w:val="18"/>
              </w:rPr>
            </w:pPr>
          </w:p>
        </w:tc>
      </w:tr>
      <w:tr w:rsidR="006A1846" w:rsidRPr="003D1614" w14:paraId="074655F8" w14:textId="77777777" w:rsidTr="004454D6">
        <w:trPr>
          <w:trHeight w:val="300"/>
        </w:trPr>
        <w:tc>
          <w:tcPr>
            <w:tcW w:w="3261" w:type="dxa"/>
            <w:tcBorders>
              <w:top w:val="nil"/>
              <w:left w:val="nil"/>
              <w:bottom w:val="nil"/>
              <w:right w:val="nil"/>
            </w:tcBorders>
            <w:shd w:val="clear" w:color="auto" w:fill="auto"/>
            <w:vAlign w:val="bottom"/>
          </w:tcPr>
          <w:p w14:paraId="711ECEF3" w14:textId="77777777" w:rsidR="006A1846" w:rsidRPr="003D1614" w:rsidRDefault="006A1846" w:rsidP="004454D6">
            <w:pPr>
              <w:suppressAutoHyphens/>
              <w:autoSpaceDN w:val="0"/>
              <w:spacing w:line="300" w:lineRule="exact"/>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Operativni troškovi</w:t>
            </w:r>
          </w:p>
        </w:tc>
        <w:tc>
          <w:tcPr>
            <w:tcW w:w="1134" w:type="dxa"/>
            <w:shd w:val="clear" w:color="auto" w:fill="auto"/>
            <w:noWrap/>
            <w:vAlign w:val="bottom"/>
          </w:tcPr>
          <w:p w14:paraId="45F626C7" w14:textId="77777777" w:rsidR="006A1846" w:rsidRPr="00901ABF" w:rsidRDefault="006A1846" w:rsidP="004454D6">
            <w:pPr>
              <w:suppressAutoHyphens/>
              <w:autoSpaceDN w:val="0"/>
              <w:spacing w:line="300" w:lineRule="exact"/>
              <w:jc w:val="right"/>
              <w:rPr>
                <w:rFonts w:ascii="Arial" w:eastAsia="Times New Roman" w:hAnsi="Arial" w:cs="Arial"/>
                <w:color w:val="000000" w:themeColor="text1"/>
                <w:sz w:val="18"/>
                <w:szCs w:val="18"/>
              </w:rPr>
            </w:pPr>
            <w:r w:rsidRPr="00ED0F4C">
              <w:rPr>
                <w:rFonts w:ascii="Arial" w:eastAsia="Times New Roman" w:hAnsi="Arial" w:cs="Arial"/>
                <w:color w:val="000000" w:themeColor="text1"/>
                <w:sz w:val="18"/>
                <w:szCs w:val="18"/>
              </w:rPr>
              <w:t>(20.303)</w:t>
            </w:r>
          </w:p>
        </w:tc>
        <w:tc>
          <w:tcPr>
            <w:tcW w:w="1667" w:type="dxa"/>
            <w:shd w:val="clear" w:color="auto" w:fill="auto"/>
            <w:noWrap/>
            <w:vAlign w:val="bottom"/>
          </w:tcPr>
          <w:p w14:paraId="0F3A8CB8" w14:textId="77777777" w:rsidR="006A1846" w:rsidRPr="00901ABF" w:rsidRDefault="006A1846" w:rsidP="004454D6">
            <w:pPr>
              <w:suppressAutoHyphens/>
              <w:autoSpaceDN w:val="0"/>
              <w:spacing w:line="300" w:lineRule="exact"/>
              <w:jc w:val="right"/>
              <w:rPr>
                <w:rFonts w:ascii="Arial" w:eastAsia="Times New Roman" w:hAnsi="Arial" w:cs="Arial"/>
                <w:color w:val="000000" w:themeColor="text1"/>
                <w:sz w:val="18"/>
                <w:szCs w:val="18"/>
              </w:rPr>
            </w:pPr>
            <w:r w:rsidRPr="00ED0F4C">
              <w:rPr>
                <w:rFonts w:ascii="Arial" w:eastAsia="Times New Roman" w:hAnsi="Arial" w:cs="Arial"/>
                <w:color w:val="000000" w:themeColor="text1"/>
                <w:sz w:val="18"/>
                <w:szCs w:val="18"/>
              </w:rPr>
              <w:t>(691)</w:t>
            </w:r>
          </w:p>
        </w:tc>
        <w:tc>
          <w:tcPr>
            <w:tcW w:w="1168" w:type="dxa"/>
            <w:shd w:val="clear" w:color="auto" w:fill="auto"/>
            <w:noWrap/>
            <w:vAlign w:val="bottom"/>
          </w:tcPr>
          <w:p w14:paraId="54351BF3" w14:textId="77777777" w:rsidR="006A1846" w:rsidRPr="003D1614" w:rsidRDefault="006A1846" w:rsidP="004454D6">
            <w:pPr>
              <w:suppressAutoHyphens/>
              <w:autoSpaceDN w:val="0"/>
              <w:spacing w:line="300" w:lineRule="exact"/>
              <w:jc w:val="right"/>
              <w:rPr>
                <w:rFonts w:ascii="Arial" w:eastAsia="Times New Roman" w:hAnsi="Arial" w:cs="Arial"/>
                <w:color w:val="000000" w:themeColor="text1"/>
                <w:sz w:val="18"/>
                <w:szCs w:val="18"/>
              </w:rPr>
            </w:pPr>
            <w:r w:rsidRPr="00ED0F4C">
              <w:rPr>
                <w:rFonts w:ascii="Arial" w:eastAsia="Times New Roman" w:hAnsi="Arial" w:cs="Arial"/>
                <w:color w:val="000000" w:themeColor="text1"/>
                <w:sz w:val="18"/>
                <w:szCs w:val="18"/>
              </w:rPr>
              <w:t>(237)</w:t>
            </w:r>
          </w:p>
        </w:tc>
        <w:tc>
          <w:tcPr>
            <w:tcW w:w="1559" w:type="dxa"/>
            <w:shd w:val="clear" w:color="auto" w:fill="auto"/>
            <w:noWrap/>
            <w:vAlign w:val="bottom"/>
          </w:tcPr>
          <w:p w14:paraId="147E2075" w14:textId="77777777" w:rsidR="006A1846" w:rsidRPr="003D1614" w:rsidRDefault="006A1846" w:rsidP="004454D6">
            <w:pPr>
              <w:suppressAutoHyphens/>
              <w:autoSpaceDN w:val="0"/>
              <w:spacing w:line="300" w:lineRule="exact"/>
              <w:jc w:val="right"/>
              <w:rPr>
                <w:rFonts w:ascii="Arial" w:eastAsia="Times New Roman" w:hAnsi="Arial" w:cs="Arial"/>
                <w:color w:val="000000" w:themeColor="text1"/>
                <w:sz w:val="18"/>
                <w:szCs w:val="18"/>
              </w:rPr>
            </w:pPr>
            <w:r w:rsidRPr="00ED0F4C">
              <w:rPr>
                <w:rFonts w:ascii="Arial" w:eastAsia="Times New Roman" w:hAnsi="Arial" w:cs="Arial"/>
                <w:color w:val="000000" w:themeColor="text1"/>
                <w:sz w:val="18"/>
                <w:szCs w:val="18"/>
              </w:rPr>
              <w:t>31</w:t>
            </w:r>
          </w:p>
        </w:tc>
        <w:tc>
          <w:tcPr>
            <w:tcW w:w="1134" w:type="dxa"/>
            <w:shd w:val="clear" w:color="auto" w:fill="auto"/>
            <w:noWrap/>
            <w:vAlign w:val="bottom"/>
          </w:tcPr>
          <w:p w14:paraId="45AFE08D" w14:textId="77777777" w:rsidR="006A1846" w:rsidRPr="003D1614" w:rsidRDefault="006A1846" w:rsidP="004454D6">
            <w:pPr>
              <w:suppressAutoHyphens/>
              <w:autoSpaceDN w:val="0"/>
              <w:spacing w:line="300" w:lineRule="exact"/>
              <w:jc w:val="right"/>
              <w:rPr>
                <w:rFonts w:ascii="Arial" w:eastAsia="Times New Roman" w:hAnsi="Arial" w:cs="Arial"/>
                <w:color w:val="000000" w:themeColor="text1"/>
                <w:sz w:val="18"/>
                <w:szCs w:val="18"/>
              </w:rPr>
            </w:pPr>
            <w:r w:rsidRPr="00ED0F4C">
              <w:rPr>
                <w:rFonts w:ascii="Arial" w:eastAsia="Times New Roman" w:hAnsi="Arial" w:cs="Arial"/>
                <w:color w:val="000000" w:themeColor="text1"/>
                <w:sz w:val="18"/>
                <w:szCs w:val="18"/>
              </w:rPr>
              <w:t>(21.200)</w:t>
            </w:r>
          </w:p>
        </w:tc>
      </w:tr>
      <w:tr w:rsidR="006A1846" w:rsidRPr="003D1614" w14:paraId="50A5A706" w14:textId="77777777" w:rsidTr="004454D6">
        <w:trPr>
          <w:trHeight w:val="600"/>
        </w:trPr>
        <w:tc>
          <w:tcPr>
            <w:tcW w:w="3261" w:type="dxa"/>
            <w:tcBorders>
              <w:top w:val="nil"/>
              <w:left w:val="nil"/>
              <w:bottom w:val="nil"/>
              <w:right w:val="nil"/>
            </w:tcBorders>
            <w:shd w:val="clear" w:color="auto" w:fill="auto"/>
            <w:vAlign w:val="bottom"/>
          </w:tcPr>
          <w:p w14:paraId="305CCF48" w14:textId="77777777" w:rsidR="006A1846" w:rsidRPr="003D1614" w:rsidRDefault="006A1846" w:rsidP="004454D6">
            <w:pPr>
              <w:suppressAutoHyphens/>
              <w:autoSpaceDN w:val="0"/>
              <w:spacing w:line="300" w:lineRule="exact"/>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Gubitak od umanjenja vrijednosti i rezerviranja</w:t>
            </w:r>
          </w:p>
        </w:tc>
        <w:tc>
          <w:tcPr>
            <w:tcW w:w="1134" w:type="dxa"/>
            <w:shd w:val="clear" w:color="auto" w:fill="auto"/>
            <w:noWrap/>
            <w:vAlign w:val="bottom"/>
          </w:tcPr>
          <w:p w14:paraId="7388BBDE" w14:textId="77777777" w:rsidR="006A1846" w:rsidRPr="00901ABF" w:rsidRDefault="006A1846" w:rsidP="004454D6">
            <w:pPr>
              <w:suppressAutoHyphens/>
              <w:autoSpaceDN w:val="0"/>
              <w:spacing w:line="300" w:lineRule="exact"/>
              <w:jc w:val="right"/>
              <w:rPr>
                <w:rFonts w:ascii="Arial" w:eastAsia="Times New Roman" w:hAnsi="Arial" w:cs="Arial"/>
                <w:color w:val="000000" w:themeColor="text1"/>
                <w:sz w:val="18"/>
                <w:szCs w:val="18"/>
              </w:rPr>
            </w:pPr>
            <w:r w:rsidRPr="00901ABF">
              <w:rPr>
                <w:rFonts w:ascii="Arial" w:eastAsia="Times New Roman" w:hAnsi="Arial" w:cs="Arial"/>
                <w:color w:val="000000" w:themeColor="text1"/>
                <w:sz w:val="18"/>
                <w:szCs w:val="18"/>
              </w:rPr>
              <w:t>-</w:t>
            </w:r>
          </w:p>
        </w:tc>
        <w:tc>
          <w:tcPr>
            <w:tcW w:w="1667" w:type="dxa"/>
            <w:shd w:val="clear" w:color="auto" w:fill="auto"/>
            <w:noWrap/>
            <w:vAlign w:val="bottom"/>
          </w:tcPr>
          <w:p w14:paraId="5F9C351F" w14:textId="77777777" w:rsidR="006A1846" w:rsidRPr="00901ABF" w:rsidRDefault="006A1846" w:rsidP="004454D6">
            <w:pPr>
              <w:suppressAutoHyphens/>
              <w:autoSpaceDN w:val="0"/>
              <w:spacing w:line="300" w:lineRule="exact"/>
              <w:jc w:val="right"/>
              <w:rPr>
                <w:rFonts w:ascii="Arial" w:eastAsia="Times New Roman" w:hAnsi="Arial" w:cs="Arial"/>
                <w:color w:val="000000" w:themeColor="text1"/>
                <w:sz w:val="18"/>
                <w:szCs w:val="18"/>
              </w:rPr>
            </w:pPr>
            <w:r w:rsidRPr="00ED0F4C">
              <w:rPr>
                <w:rFonts w:ascii="Arial" w:eastAsia="Times New Roman" w:hAnsi="Arial" w:cs="Arial"/>
                <w:color w:val="000000" w:themeColor="text1"/>
                <w:sz w:val="18"/>
                <w:szCs w:val="18"/>
              </w:rPr>
              <w:t>(20)</w:t>
            </w:r>
          </w:p>
        </w:tc>
        <w:tc>
          <w:tcPr>
            <w:tcW w:w="1168" w:type="dxa"/>
            <w:shd w:val="clear" w:color="auto" w:fill="auto"/>
            <w:noWrap/>
            <w:vAlign w:val="bottom"/>
          </w:tcPr>
          <w:p w14:paraId="06AEE1AC" w14:textId="77777777" w:rsidR="006A1846" w:rsidRPr="003D1614" w:rsidRDefault="006A1846" w:rsidP="004454D6">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559" w:type="dxa"/>
            <w:shd w:val="clear" w:color="auto" w:fill="auto"/>
            <w:noWrap/>
            <w:vAlign w:val="bottom"/>
          </w:tcPr>
          <w:p w14:paraId="7E143D2D" w14:textId="77777777" w:rsidR="006A1846" w:rsidRPr="003D1614" w:rsidRDefault="006A1846" w:rsidP="004454D6">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shd w:val="clear" w:color="auto" w:fill="auto"/>
            <w:noWrap/>
            <w:vAlign w:val="bottom"/>
          </w:tcPr>
          <w:p w14:paraId="697BE24E" w14:textId="77777777" w:rsidR="006A1846" w:rsidRPr="003D1614" w:rsidRDefault="006A1846" w:rsidP="004454D6">
            <w:pPr>
              <w:suppressAutoHyphens/>
              <w:autoSpaceDN w:val="0"/>
              <w:spacing w:line="300" w:lineRule="exact"/>
              <w:jc w:val="right"/>
              <w:rPr>
                <w:rFonts w:ascii="Arial" w:eastAsia="Times New Roman" w:hAnsi="Arial" w:cs="Arial"/>
                <w:color w:val="000000" w:themeColor="text1"/>
                <w:sz w:val="18"/>
                <w:szCs w:val="18"/>
              </w:rPr>
            </w:pPr>
            <w:r w:rsidRPr="00ED0F4C">
              <w:rPr>
                <w:rFonts w:ascii="Arial" w:eastAsia="Times New Roman" w:hAnsi="Arial" w:cs="Arial"/>
                <w:color w:val="000000" w:themeColor="text1"/>
                <w:sz w:val="18"/>
                <w:szCs w:val="18"/>
              </w:rPr>
              <w:t>(20)</w:t>
            </w:r>
          </w:p>
        </w:tc>
      </w:tr>
      <w:tr w:rsidR="006A1846" w:rsidRPr="003D1614" w14:paraId="0BA7EA6B" w14:textId="77777777" w:rsidTr="004454D6">
        <w:trPr>
          <w:trHeight w:val="600"/>
        </w:trPr>
        <w:tc>
          <w:tcPr>
            <w:tcW w:w="3261" w:type="dxa"/>
            <w:tcBorders>
              <w:top w:val="nil"/>
              <w:left w:val="nil"/>
              <w:bottom w:val="nil"/>
              <w:right w:val="nil"/>
            </w:tcBorders>
            <w:shd w:val="clear" w:color="auto" w:fill="auto"/>
            <w:vAlign w:val="bottom"/>
          </w:tcPr>
          <w:p w14:paraId="7E055F1A" w14:textId="77777777" w:rsidR="006A1846" w:rsidRPr="003D1614" w:rsidRDefault="006A1846" w:rsidP="004454D6">
            <w:pPr>
              <w:suppressAutoHyphens/>
              <w:autoSpaceDN w:val="0"/>
              <w:spacing w:line="300" w:lineRule="exact"/>
              <w:rPr>
                <w:rFonts w:ascii="Arial" w:eastAsia="Times New Roman" w:hAnsi="Arial" w:cs="Arial"/>
                <w:color w:val="000000" w:themeColor="text1"/>
                <w:sz w:val="18"/>
                <w:szCs w:val="18"/>
              </w:rPr>
            </w:pPr>
            <w:r w:rsidRPr="0047597C">
              <w:rPr>
                <w:rFonts w:ascii="Arial" w:eastAsia="Times New Roman" w:hAnsi="Arial" w:cs="Arial"/>
                <w:color w:val="000000" w:themeColor="text1"/>
                <w:sz w:val="18"/>
                <w:szCs w:val="18"/>
              </w:rPr>
              <w:t>Trošak subvencije na teret poslovanja HBOR-a</w:t>
            </w:r>
          </w:p>
        </w:tc>
        <w:tc>
          <w:tcPr>
            <w:tcW w:w="1134" w:type="dxa"/>
            <w:shd w:val="clear" w:color="auto" w:fill="auto"/>
            <w:noWrap/>
            <w:vAlign w:val="bottom"/>
          </w:tcPr>
          <w:p w14:paraId="2F1E650D" w14:textId="77777777" w:rsidR="006A1846" w:rsidRPr="00901ABF" w:rsidRDefault="006A1846" w:rsidP="004454D6">
            <w:pPr>
              <w:suppressAutoHyphens/>
              <w:autoSpaceDN w:val="0"/>
              <w:spacing w:line="300" w:lineRule="exact"/>
              <w:jc w:val="right"/>
              <w:rPr>
                <w:rFonts w:ascii="Arial" w:eastAsia="Times New Roman" w:hAnsi="Arial" w:cs="Arial"/>
                <w:color w:val="000000" w:themeColor="text1"/>
                <w:sz w:val="18"/>
                <w:szCs w:val="18"/>
              </w:rPr>
            </w:pPr>
            <w:r w:rsidRPr="00ED0F4C">
              <w:rPr>
                <w:rFonts w:ascii="Arial" w:eastAsia="Times New Roman" w:hAnsi="Arial" w:cs="Arial"/>
                <w:color w:val="000000" w:themeColor="text1"/>
                <w:sz w:val="18"/>
                <w:szCs w:val="18"/>
              </w:rPr>
              <w:t>(443)</w:t>
            </w:r>
          </w:p>
        </w:tc>
        <w:tc>
          <w:tcPr>
            <w:tcW w:w="1667" w:type="dxa"/>
            <w:shd w:val="clear" w:color="auto" w:fill="auto"/>
            <w:noWrap/>
            <w:vAlign w:val="bottom"/>
          </w:tcPr>
          <w:p w14:paraId="3C178042" w14:textId="77777777" w:rsidR="006A1846" w:rsidRPr="00901ABF" w:rsidRDefault="006A1846" w:rsidP="004454D6">
            <w:pPr>
              <w:suppressAutoHyphens/>
              <w:autoSpaceDN w:val="0"/>
              <w:spacing w:line="300" w:lineRule="exact"/>
              <w:jc w:val="right"/>
              <w:rPr>
                <w:rFonts w:ascii="Arial" w:eastAsia="Times New Roman" w:hAnsi="Arial" w:cs="Arial"/>
                <w:color w:val="000000" w:themeColor="text1"/>
                <w:sz w:val="18"/>
                <w:szCs w:val="18"/>
              </w:rPr>
            </w:pPr>
            <w:r w:rsidRPr="00901ABF">
              <w:rPr>
                <w:rFonts w:ascii="Arial" w:eastAsia="Times New Roman" w:hAnsi="Arial" w:cs="Arial"/>
                <w:color w:val="000000" w:themeColor="text1"/>
                <w:sz w:val="18"/>
                <w:szCs w:val="18"/>
              </w:rPr>
              <w:t>-</w:t>
            </w:r>
          </w:p>
        </w:tc>
        <w:tc>
          <w:tcPr>
            <w:tcW w:w="1168" w:type="dxa"/>
            <w:shd w:val="clear" w:color="auto" w:fill="auto"/>
            <w:noWrap/>
            <w:vAlign w:val="bottom"/>
          </w:tcPr>
          <w:p w14:paraId="6CA04A54" w14:textId="77777777" w:rsidR="006A1846" w:rsidRPr="003D1614" w:rsidRDefault="006A1846" w:rsidP="004454D6">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559" w:type="dxa"/>
            <w:shd w:val="clear" w:color="auto" w:fill="auto"/>
            <w:noWrap/>
            <w:vAlign w:val="bottom"/>
          </w:tcPr>
          <w:p w14:paraId="5C505700" w14:textId="77777777" w:rsidR="006A1846" w:rsidRPr="003D1614" w:rsidRDefault="006A1846" w:rsidP="004454D6">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shd w:val="clear" w:color="auto" w:fill="auto"/>
            <w:noWrap/>
            <w:vAlign w:val="bottom"/>
          </w:tcPr>
          <w:p w14:paraId="112676CA" w14:textId="77777777" w:rsidR="006A1846" w:rsidRPr="003D1614" w:rsidRDefault="006A1846" w:rsidP="004454D6">
            <w:pPr>
              <w:suppressAutoHyphens/>
              <w:autoSpaceDN w:val="0"/>
              <w:spacing w:line="300" w:lineRule="exact"/>
              <w:jc w:val="right"/>
              <w:rPr>
                <w:rFonts w:ascii="Arial" w:eastAsia="Times New Roman" w:hAnsi="Arial" w:cs="Arial"/>
                <w:color w:val="000000" w:themeColor="text1"/>
                <w:sz w:val="18"/>
                <w:szCs w:val="18"/>
              </w:rPr>
            </w:pPr>
            <w:r w:rsidRPr="00ED0F4C">
              <w:rPr>
                <w:rFonts w:ascii="Arial" w:eastAsia="Times New Roman" w:hAnsi="Arial" w:cs="Arial"/>
                <w:color w:val="000000" w:themeColor="text1"/>
                <w:sz w:val="18"/>
                <w:szCs w:val="18"/>
              </w:rPr>
              <w:t>(443)</w:t>
            </w:r>
          </w:p>
        </w:tc>
      </w:tr>
      <w:tr w:rsidR="006A1846" w:rsidRPr="003D1614" w14:paraId="55A0FCD4" w14:textId="77777777" w:rsidTr="004454D6">
        <w:trPr>
          <w:trHeight w:val="300"/>
        </w:trPr>
        <w:tc>
          <w:tcPr>
            <w:tcW w:w="3261" w:type="dxa"/>
            <w:tcBorders>
              <w:top w:val="nil"/>
              <w:left w:val="nil"/>
              <w:bottom w:val="nil"/>
              <w:right w:val="nil"/>
            </w:tcBorders>
            <w:shd w:val="clear" w:color="auto" w:fill="auto"/>
            <w:vAlign w:val="bottom"/>
          </w:tcPr>
          <w:p w14:paraId="1701F597" w14:textId="77777777" w:rsidR="006A1846" w:rsidRPr="003D1614" w:rsidRDefault="006A1846" w:rsidP="004454D6">
            <w:pPr>
              <w:suppressAutoHyphens/>
              <w:autoSpaceDN w:val="0"/>
              <w:spacing w:line="300" w:lineRule="exact"/>
              <w:rPr>
                <w:rFonts w:ascii="Arial" w:eastAsia="Times New Roman" w:hAnsi="Arial" w:cs="Arial"/>
                <w:color w:val="000000" w:themeColor="text1"/>
                <w:sz w:val="18"/>
                <w:szCs w:val="18"/>
              </w:rPr>
            </w:pPr>
            <w:r w:rsidRPr="0047597C">
              <w:rPr>
                <w:rFonts w:ascii="Arial" w:eastAsia="Times New Roman" w:hAnsi="Arial" w:cs="Arial"/>
                <w:color w:val="000000" w:themeColor="text1"/>
                <w:sz w:val="18"/>
                <w:szCs w:val="18"/>
              </w:rPr>
              <w:t>Neto rashodi od naknada i provizija</w:t>
            </w:r>
          </w:p>
        </w:tc>
        <w:tc>
          <w:tcPr>
            <w:tcW w:w="1134" w:type="dxa"/>
            <w:shd w:val="clear" w:color="auto" w:fill="auto"/>
            <w:noWrap/>
            <w:vAlign w:val="bottom"/>
          </w:tcPr>
          <w:p w14:paraId="41377075" w14:textId="77777777" w:rsidR="006A1846" w:rsidRPr="00901ABF" w:rsidRDefault="006A1846" w:rsidP="004454D6">
            <w:pPr>
              <w:suppressAutoHyphens/>
              <w:autoSpaceDN w:val="0"/>
              <w:spacing w:line="300" w:lineRule="exact"/>
              <w:jc w:val="right"/>
              <w:rPr>
                <w:rFonts w:ascii="Arial" w:eastAsia="Times New Roman" w:hAnsi="Arial" w:cs="Arial"/>
                <w:color w:val="000000" w:themeColor="text1"/>
                <w:sz w:val="18"/>
                <w:szCs w:val="18"/>
              </w:rPr>
            </w:pPr>
            <w:r w:rsidRPr="00901ABF">
              <w:rPr>
                <w:rFonts w:ascii="Arial" w:eastAsia="Times New Roman" w:hAnsi="Arial" w:cs="Arial"/>
                <w:color w:val="000000" w:themeColor="text1"/>
                <w:sz w:val="18"/>
                <w:szCs w:val="18"/>
              </w:rPr>
              <w:t>-</w:t>
            </w:r>
          </w:p>
        </w:tc>
        <w:tc>
          <w:tcPr>
            <w:tcW w:w="1667" w:type="dxa"/>
            <w:shd w:val="clear" w:color="auto" w:fill="auto"/>
            <w:noWrap/>
            <w:vAlign w:val="bottom"/>
          </w:tcPr>
          <w:p w14:paraId="06E200BD" w14:textId="77777777" w:rsidR="006A1846" w:rsidRPr="00901ABF" w:rsidRDefault="006A1846" w:rsidP="004454D6">
            <w:pPr>
              <w:suppressAutoHyphens/>
              <w:autoSpaceDN w:val="0"/>
              <w:spacing w:line="300" w:lineRule="exact"/>
              <w:jc w:val="right"/>
              <w:rPr>
                <w:rFonts w:ascii="Arial" w:eastAsia="Times New Roman" w:hAnsi="Arial" w:cs="Arial"/>
                <w:color w:val="000000" w:themeColor="text1"/>
                <w:sz w:val="18"/>
                <w:szCs w:val="18"/>
              </w:rPr>
            </w:pPr>
            <w:r w:rsidRPr="00ED0F4C">
              <w:rPr>
                <w:rFonts w:ascii="Arial" w:eastAsia="Times New Roman" w:hAnsi="Arial" w:cs="Arial"/>
                <w:color w:val="000000" w:themeColor="text1"/>
                <w:sz w:val="18"/>
                <w:szCs w:val="18"/>
              </w:rPr>
              <w:t>(251)</w:t>
            </w:r>
          </w:p>
        </w:tc>
        <w:tc>
          <w:tcPr>
            <w:tcW w:w="1168" w:type="dxa"/>
            <w:shd w:val="clear" w:color="auto" w:fill="auto"/>
            <w:noWrap/>
            <w:vAlign w:val="bottom"/>
          </w:tcPr>
          <w:p w14:paraId="27430A09" w14:textId="77777777" w:rsidR="006A1846" w:rsidRPr="003D1614" w:rsidRDefault="006A1846" w:rsidP="004454D6">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559" w:type="dxa"/>
            <w:shd w:val="clear" w:color="auto" w:fill="auto"/>
            <w:noWrap/>
            <w:vAlign w:val="bottom"/>
          </w:tcPr>
          <w:p w14:paraId="51E4B7A9" w14:textId="77777777" w:rsidR="006A1846" w:rsidRPr="003D1614" w:rsidRDefault="006A1846" w:rsidP="004454D6">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shd w:val="clear" w:color="auto" w:fill="auto"/>
            <w:noWrap/>
            <w:vAlign w:val="bottom"/>
          </w:tcPr>
          <w:p w14:paraId="4E66B7AB" w14:textId="77777777" w:rsidR="006A1846" w:rsidRPr="003D1614" w:rsidRDefault="006A1846" w:rsidP="004454D6">
            <w:pPr>
              <w:suppressAutoHyphens/>
              <w:autoSpaceDN w:val="0"/>
              <w:spacing w:line="300" w:lineRule="exact"/>
              <w:jc w:val="right"/>
              <w:rPr>
                <w:rFonts w:ascii="Arial" w:eastAsia="Times New Roman" w:hAnsi="Arial" w:cs="Arial"/>
                <w:color w:val="000000" w:themeColor="text1"/>
                <w:sz w:val="18"/>
                <w:szCs w:val="18"/>
              </w:rPr>
            </w:pPr>
            <w:r w:rsidRPr="00ED0F4C">
              <w:rPr>
                <w:rFonts w:ascii="Arial" w:eastAsia="Times New Roman" w:hAnsi="Arial" w:cs="Arial"/>
                <w:color w:val="000000" w:themeColor="text1"/>
                <w:sz w:val="18"/>
                <w:szCs w:val="18"/>
              </w:rPr>
              <w:t>(251)</w:t>
            </w:r>
          </w:p>
        </w:tc>
      </w:tr>
      <w:tr w:rsidR="006A1846" w:rsidRPr="003D1614" w14:paraId="362A1CAA" w14:textId="77777777" w:rsidTr="004454D6">
        <w:trPr>
          <w:trHeight w:val="300"/>
        </w:trPr>
        <w:tc>
          <w:tcPr>
            <w:tcW w:w="3261" w:type="dxa"/>
            <w:tcBorders>
              <w:top w:val="nil"/>
              <w:left w:val="nil"/>
              <w:bottom w:val="nil"/>
              <w:right w:val="nil"/>
            </w:tcBorders>
            <w:shd w:val="clear" w:color="auto" w:fill="auto"/>
            <w:vAlign w:val="bottom"/>
          </w:tcPr>
          <w:p w14:paraId="1C102576" w14:textId="77777777" w:rsidR="006A1846" w:rsidRPr="0047597C" w:rsidRDefault="006A1846" w:rsidP="004454D6">
            <w:pPr>
              <w:suppressAutoHyphens/>
              <w:autoSpaceDN w:val="0"/>
              <w:spacing w:line="300" w:lineRule="exact"/>
              <w:rPr>
                <w:rFonts w:ascii="Arial" w:eastAsia="Times New Roman" w:hAnsi="Arial" w:cs="Arial"/>
                <w:color w:val="000000" w:themeColor="text1"/>
                <w:sz w:val="18"/>
                <w:szCs w:val="18"/>
              </w:rPr>
            </w:pPr>
            <w:r w:rsidRPr="00ED0F4C">
              <w:rPr>
                <w:rFonts w:ascii="Arial" w:eastAsia="Times New Roman" w:hAnsi="Arial" w:cs="Arial"/>
                <w:color w:val="000000" w:themeColor="text1"/>
                <w:sz w:val="18"/>
                <w:szCs w:val="18"/>
              </w:rPr>
              <w:t>Neto rashodi od financijskih aktivnosti</w:t>
            </w:r>
          </w:p>
        </w:tc>
        <w:tc>
          <w:tcPr>
            <w:tcW w:w="1134" w:type="dxa"/>
            <w:shd w:val="clear" w:color="auto" w:fill="auto"/>
            <w:noWrap/>
            <w:vAlign w:val="bottom"/>
          </w:tcPr>
          <w:p w14:paraId="3279EE8B" w14:textId="77777777" w:rsidR="006A1846" w:rsidRPr="00901ABF" w:rsidRDefault="006A1846" w:rsidP="004454D6">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667" w:type="dxa"/>
            <w:shd w:val="clear" w:color="auto" w:fill="auto"/>
            <w:noWrap/>
            <w:vAlign w:val="bottom"/>
          </w:tcPr>
          <w:p w14:paraId="0AC119B3" w14:textId="77777777" w:rsidR="006A1846" w:rsidRPr="00901ABF" w:rsidRDefault="006A1846" w:rsidP="004454D6">
            <w:pPr>
              <w:suppressAutoHyphens/>
              <w:autoSpaceDN w:val="0"/>
              <w:spacing w:line="300" w:lineRule="exact"/>
              <w:jc w:val="right"/>
              <w:rPr>
                <w:rFonts w:ascii="Arial" w:eastAsia="Times New Roman" w:hAnsi="Arial" w:cs="Arial"/>
                <w:color w:val="000000" w:themeColor="text1"/>
                <w:sz w:val="18"/>
                <w:szCs w:val="18"/>
              </w:rPr>
            </w:pPr>
            <w:r w:rsidRPr="00ED0F4C">
              <w:rPr>
                <w:rFonts w:ascii="Arial" w:eastAsia="Times New Roman" w:hAnsi="Arial" w:cs="Arial"/>
                <w:color w:val="000000" w:themeColor="text1"/>
                <w:sz w:val="18"/>
                <w:szCs w:val="18"/>
              </w:rPr>
              <w:t>(2)</w:t>
            </w:r>
          </w:p>
        </w:tc>
        <w:tc>
          <w:tcPr>
            <w:tcW w:w="1168" w:type="dxa"/>
            <w:shd w:val="clear" w:color="auto" w:fill="auto"/>
            <w:noWrap/>
            <w:vAlign w:val="bottom"/>
          </w:tcPr>
          <w:p w14:paraId="2D039B48" w14:textId="77777777" w:rsidR="006A1846" w:rsidRDefault="006A1846" w:rsidP="004454D6">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559" w:type="dxa"/>
            <w:shd w:val="clear" w:color="auto" w:fill="auto"/>
            <w:noWrap/>
            <w:vAlign w:val="bottom"/>
          </w:tcPr>
          <w:p w14:paraId="7E68D5EB" w14:textId="77777777" w:rsidR="006A1846" w:rsidRDefault="006A1846" w:rsidP="004454D6">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shd w:val="clear" w:color="auto" w:fill="auto"/>
            <w:noWrap/>
            <w:vAlign w:val="bottom"/>
          </w:tcPr>
          <w:p w14:paraId="16E3A47D" w14:textId="77777777" w:rsidR="006A1846" w:rsidRPr="0047597C" w:rsidRDefault="006A1846" w:rsidP="004454D6">
            <w:pPr>
              <w:suppressAutoHyphens/>
              <w:autoSpaceDN w:val="0"/>
              <w:spacing w:line="300" w:lineRule="exact"/>
              <w:jc w:val="right"/>
              <w:rPr>
                <w:rFonts w:ascii="Arial" w:eastAsia="Times New Roman" w:hAnsi="Arial" w:cs="Arial"/>
                <w:color w:val="000000" w:themeColor="text1"/>
                <w:sz w:val="18"/>
                <w:szCs w:val="18"/>
              </w:rPr>
            </w:pPr>
            <w:r w:rsidRPr="00ED0F4C">
              <w:rPr>
                <w:rFonts w:ascii="Arial" w:eastAsia="Times New Roman" w:hAnsi="Arial" w:cs="Arial"/>
                <w:color w:val="000000" w:themeColor="text1"/>
                <w:sz w:val="18"/>
                <w:szCs w:val="18"/>
              </w:rPr>
              <w:t>(2)</w:t>
            </w:r>
          </w:p>
        </w:tc>
      </w:tr>
      <w:tr w:rsidR="006A1846" w:rsidRPr="003D1614" w14:paraId="6BD6D492" w14:textId="77777777" w:rsidTr="004454D6">
        <w:trPr>
          <w:trHeight w:val="300"/>
        </w:trPr>
        <w:tc>
          <w:tcPr>
            <w:tcW w:w="3261" w:type="dxa"/>
            <w:tcBorders>
              <w:top w:val="nil"/>
              <w:left w:val="nil"/>
              <w:right w:val="nil"/>
            </w:tcBorders>
            <w:shd w:val="clear" w:color="auto" w:fill="auto"/>
            <w:vAlign w:val="bottom"/>
          </w:tcPr>
          <w:p w14:paraId="089A63A7" w14:textId="77777777" w:rsidR="006A1846" w:rsidRPr="003D1614" w:rsidRDefault="006A1846" w:rsidP="004454D6">
            <w:pPr>
              <w:suppressAutoHyphens/>
              <w:autoSpaceDN w:val="0"/>
              <w:spacing w:line="300" w:lineRule="exact"/>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Ostali rashodi</w:t>
            </w:r>
          </w:p>
        </w:tc>
        <w:tc>
          <w:tcPr>
            <w:tcW w:w="1134" w:type="dxa"/>
            <w:tcBorders>
              <w:top w:val="nil"/>
              <w:left w:val="nil"/>
              <w:bottom w:val="single" w:sz="4" w:space="0" w:color="auto"/>
              <w:right w:val="nil"/>
            </w:tcBorders>
            <w:shd w:val="clear" w:color="auto" w:fill="auto"/>
            <w:noWrap/>
            <w:vAlign w:val="bottom"/>
          </w:tcPr>
          <w:p w14:paraId="25EDB27F" w14:textId="77777777" w:rsidR="006A1846" w:rsidRPr="00901ABF" w:rsidRDefault="006A1846" w:rsidP="004454D6">
            <w:pPr>
              <w:suppressAutoHyphens/>
              <w:autoSpaceDN w:val="0"/>
              <w:spacing w:line="300" w:lineRule="exact"/>
              <w:jc w:val="right"/>
              <w:rPr>
                <w:rFonts w:ascii="Arial" w:eastAsia="Times New Roman" w:hAnsi="Arial" w:cs="Arial"/>
                <w:color w:val="000000" w:themeColor="text1"/>
                <w:sz w:val="18"/>
                <w:szCs w:val="18"/>
              </w:rPr>
            </w:pPr>
            <w:r w:rsidRPr="00901ABF">
              <w:rPr>
                <w:rFonts w:ascii="Arial" w:eastAsia="Times New Roman" w:hAnsi="Arial" w:cs="Arial"/>
                <w:color w:val="000000" w:themeColor="text1"/>
                <w:sz w:val="18"/>
                <w:szCs w:val="18"/>
              </w:rPr>
              <w:t>-</w:t>
            </w:r>
          </w:p>
        </w:tc>
        <w:tc>
          <w:tcPr>
            <w:tcW w:w="1667" w:type="dxa"/>
            <w:tcBorders>
              <w:top w:val="nil"/>
              <w:left w:val="nil"/>
              <w:bottom w:val="single" w:sz="4" w:space="0" w:color="auto"/>
              <w:right w:val="nil"/>
            </w:tcBorders>
            <w:shd w:val="clear" w:color="auto" w:fill="auto"/>
            <w:noWrap/>
            <w:vAlign w:val="bottom"/>
          </w:tcPr>
          <w:p w14:paraId="2AE567C9" w14:textId="77777777" w:rsidR="006A1846" w:rsidRPr="00901ABF" w:rsidRDefault="006A1846" w:rsidP="004454D6">
            <w:pPr>
              <w:suppressAutoHyphens/>
              <w:autoSpaceDN w:val="0"/>
              <w:spacing w:line="300" w:lineRule="exact"/>
              <w:jc w:val="right"/>
              <w:rPr>
                <w:rFonts w:ascii="Arial" w:eastAsia="Times New Roman" w:hAnsi="Arial" w:cs="Arial"/>
                <w:color w:val="000000" w:themeColor="text1"/>
                <w:sz w:val="18"/>
                <w:szCs w:val="18"/>
              </w:rPr>
            </w:pPr>
            <w:r w:rsidRPr="00ED0F4C">
              <w:rPr>
                <w:rFonts w:ascii="Arial" w:eastAsia="Times New Roman" w:hAnsi="Arial" w:cs="Arial"/>
                <w:color w:val="000000" w:themeColor="text1"/>
                <w:sz w:val="18"/>
                <w:szCs w:val="18"/>
              </w:rPr>
              <w:t>(1.180)</w:t>
            </w:r>
          </w:p>
        </w:tc>
        <w:tc>
          <w:tcPr>
            <w:tcW w:w="1168" w:type="dxa"/>
            <w:tcBorders>
              <w:top w:val="nil"/>
              <w:left w:val="nil"/>
              <w:bottom w:val="single" w:sz="4" w:space="0" w:color="auto"/>
              <w:right w:val="nil"/>
            </w:tcBorders>
            <w:shd w:val="clear" w:color="auto" w:fill="auto"/>
            <w:noWrap/>
            <w:vAlign w:val="bottom"/>
          </w:tcPr>
          <w:p w14:paraId="3DCB65F5" w14:textId="77777777" w:rsidR="006A1846" w:rsidRPr="003D1614" w:rsidRDefault="006A1846" w:rsidP="004454D6">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559" w:type="dxa"/>
            <w:tcBorders>
              <w:top w:val="nil"/>
              <w:left w:val="nil"/>
              <w:bottom w:val="single" w:sz="4" w:space="0" w:color="auto"/>
              <w:right w:val="nil"/>
            </w:tcBorders>
            <w:shd w:val="clear" w:color="auto" w:fill="auto"/>
            <w:noWrap/>
            <w:vAlign w:val="bottom"/>
          </w:tcPr>
          <w:p w14:paraId="3F133CF9" w14:textId="77777777" w:rsidR="006A1846" w:rsidRPr="003D1614" w:rsidRDefault="006A1846" w:rsidP="004454D6">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tcBorders>
              <w:top w:val="nil"/>
              <w:left w:val="nil"/>
              <w:bottom w:val="single" w:sz="4" w:space="0" w:color="auto"/>
              <w:right w:val="nil"/>
            </w:tcBorders>
            <w:shd w:val="clear" w:color="auto" w:fill="auto"/>
            <w:noWrap/>
            <w:vAlign w:val="bottom"/>
          </w:tcPr>
          <w:p w14:paraId="6016F58C" w14:textId="77777777" w:rsidR="006A1846" w:rsidRPr="003D1614" w:rsidRDefault="006A1846" w:rsidP="004454D6">
            <w:pPr>
              <w:suppressAutoHyphens/>
              <w:autoSpaceDN w:val="0"/>
              <w:spacing w:line="300" w:lineRule="exact"/>
              <w:jc w:val="right"/>
              <w:rPr>
                <w:rFonts w:ascii="Arial" w:eastAsia="Times New Roman" w:hAnsi="Arial" w:cs="Arial"/>
                <w:color w:val="000000" w:themeColor="text1"/>
                <w:sz w:val="18"/>
                <w:szCs w:val="18"/>
              </w:rPr>
            </w:pPr>
            <w:r w:rsidRPr="00ED0F4C">
              <w:rPr>
                <w:rFonts w:ascii="Arial" w:eastAsia="Times New Roman" w:hAnsi="Arial" w:cs="Arial"/>
                <w:color w:val="000000" w:themeColor="text1"/>
                <w:sz w:val="18"/>
                <w:szCs w:val="18"/>
              </w:rPr>
              <w:t>(1.180)</w:t>
            </w:r>
          </w:p>
        </w:tc>
      </w:tr>
      <w:tr w:rsidR="006A1846" w:rsidRPr="003D1614" w14:paraId="657D1339" w14:textId="77777777" w:rsidTr="004454D6">
        <w:trPr>
          <w:trHeight w:val="300"/>
        </w:trPr>
        <w:tc>
          <w:tcPr>
            <w:tcW w:w="3261" w:type="dxa"/>
            <w:tcBorders>
              <w:left w:val="nil"/>
              <w:right w:val="nil"/>
            </w:tcBorders>
            <w:shd w:val="clear" w:color="auto" w:fill="auto"/>
            <w:vAlign w:val="bottom"/>
          </w:tcPr>
          <w:p w14:paraId="2BA5E7A4" w14:textId="77777777" w:rsidR="006A1846" w:rsidRPr="003D1614" w:rsidRDefault="006A1846" w:rsidP="004454D6">
            <w:pPr>
              <w:suppressAutoHyphens/>
              <w:autoSpaceDN w:val="0"/>
              <w:spacing w:line="300" w:lineRule="exac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Troškovi poslovanja</w:t>
            </w:r>
          </w:p>
        </w:tc>
        <w:tc>
          <w:tcPr>
            <w:tcW w:w="1134" w:type="dxa"/>
            <w:tcBorders>
              <w:top w:val="single" w:sz="4" w:space="0" w:color="auto"/>
              <w:left w:val="nil"/>
              <w:bottom w:val="single" w:sz="12" w:space="0" w:color="auto"/>
              <w:right w:val="nil"/>
            </w:tcBorders>
            <w:shd w:val="clear" w:color="auto" w:fill="auto"/>
            <w:noWrap/>
          </w:tcPr>
          <w:p w14:paraId="16B44922" w14:textId="77777777" w:rsidR="006A1846" w:rsidRPr="00901ABF" w:rsidRDefault="006A1846" w:rsidP="004454D6">
            <w:pPr>
              <w:suppressAutoHyphens/>
              <w:autoSpaceDN w:val="0"/>
              <w:spacing w:line="300" w:lineRule="exact"/>
              <w:jc w:val="right"/>
              <w:rPr>
                <w:rFonts w:ascii="Arial" w:eastAsia="Times New Roman" w:hAnsi="Arial" w:cs="Arial"/>
                <w:b/>
                <w:bCs/>
                <w:color w:val="000000" w:themeColor="text1"/>
                <w:sz w:val="18"/>
                <w:szCs w:val="18"/>
              </w:rPr>
            </w:pPr>
            <w:r w:rsidRPr="00ED0F4C">
              <w:rPr>
                <w:rFonts w:ascii="Arial" w:eastAsia="Times New Roman" w:hAnsi="Arial" w:cs="Arial"/>
                <w:b/>
                <w:bCs/>
                <w:color w:val="000000" w:themeColor="text1"/>
                <w:sz w:val="18"/>
                <w:szCs w:val="18"/>
              </w:rPr>
              <w:t>(20.746)</w:t>
            </w:r>
          </w:p>
        </w:tc>
        <w:tc>
          <w:tcPr>
            <w:tcW w:w="1667" w:type="dxa"/>
            <w:tcBorders>
              <w:top w:val="single" w:sz="4" w:space="0" w:color="auto"/>
              <w:left w:val="nil"/>
              <w:bottom w:val="single" w:sz="12" w:space="0" w:color="auto"/>
              <w:right w:val="nil"/>
            </w:tcBorders>
            <w:shd w:val="clear" w:color="auto" w:fill="auto"/>
            <w:noWrap/>
          </w:tcPr>
          <w:p w14:paraId="1D666CEE" w14:textId="77777777" w:rsidR="006A1846" w:rsidRPr="00901ABF" w:rsidRDefault="006A1846" w:rsidP="004454D6">
            <w:pPr>
              <w:suppressAutoHyphens/>
              <w:autoSpaceDN w:val="0"/>
              <w:spacing w:line="300" w:lineRule="exact"/>
              <w:jc w:val="right"/>
              <w:rPr>
                <w:rFonts w:ascii="Arial" w:eastAsia="Times New Roman" w:hAnsi="Arial" w:cs="Arial"/>
                <w:b/>
                <w:bCs/>
                <w:color w:val="000000" w:themeColor="text1"/>
                <w:sz w:val="18"/>
                <w:szCs w:val="18"/>
              </w:rPr>
            </w:pPr>
            <w:r w:rsidRPr="00ED0F4C">
              <w:rPr>
                <w:rFonts w:ascii="Arial" w:eastAsia="Times New Roman" w:hAnsi="Arial" w:cs="Arial"/>
                <w:b/>
                <w:bCs/>
                <w:color w:val="000000" w:themeColor="text1"/>
                <w:sz w:val="18"/>
                <w:szCs w:val="18"/>
              </w:rPr>
              <w:t>(2.144)</w:t>
            </w:r>
          </w:p>
        </w:tc>
        <w:tc>
          <w:tcPr>
            <w:tcW w:w="1168" w:type="dxa"/>
            <w:tcBorders>
              <w:top w:val="single" w:sz="4" w:space="0" w:color="auto"/>
              <w:left w:val="nil"/>
              <w:bottom w:val="single" w:sz="12" w:space="0" w:color="auto"/>
              <w:right w:val="nil"/>
            </w:tcBorders>
            <w:shd w:val="clear" w:color="auto" w:fill="auto"/>
            <w:noWrap/>
          </w:tcPr>
          <w:p w14:paraId="7D6D9630" w14:textId="77777777" w:rsidR="006A1846" w:rsidRPr="003D1614" w:rsidRDefault="006A1846" w:rsidP="004454D6">
            <w:pPr>
              <w:suppressAutoHyphens/>
              <w:autoSpaceDN w:val="0"/>
              <w:spacing w:line="300" w:lineRule="exact"/>
              <w:jc w:val="right"/>
              <w:rPr>
                <w:rFonts w:ascii="Arial" w:eastAsia="Times New Roman" w:hAnsi="Arial" w:cs="Arial"/>
                <w:b/>
                <w:bCs/>
                <w:color w:val="000000" w:themeColor="text1"/>
                <w:sz w:val="18"/>
                <w:szCs w:val="18"/>
              </w:rPr>
            </w:pPr>
            <w:r w:rsidRPr="00ED0F4C">
              <w:rPr>
                <w:rFonts w:ascii="Arial" w:eastAsia="Times New Roman" w:hAnsi="Arial" w:cs="Arial"/>
                <w:b/>
                <w:bCs/>
                <w:color w:val="000000" w:themeColor="text1"/>
                <w:sz w:val="18"/>
                <w:szCs w:val="18"/>
              </w:rPr>
              <w:t>(237)</w:t>
            </w:r>
          </w:p>
        </w:tc>
        <w:tc>
          <w:tcPr>
            <w:tcW w:w="1559" w:type="dxa"/>
            <w:tcBorders>
              <w:top w:val="single" w:sz="4" w:space="0" w:color="auto"/>
              <w:left w:val="nil"/>
              <w:bottom w:val="single" w:sz="12" w:space="0" w:color="auto"/>
              <w:right w:val="nil"/>
            </w:tcBorders>
            <w:shd w:val="clear" w:color="auto" w:fill="auto"/>
            <w:noWrap/>
          </w:tcPr>
          <w:p w14:paraId="7027A453" w14:textId="77777777" w:rsidR="006A1846" w:rsidRPr="003D1614" w:rsidRDefault="006A1846" w:rsidP="004454D6">
            <w:pPr>
              <w:suppressAutoHyphens/>
              <w:autoSpaceDN w:val="0"/>
              <w:spacing w:line="300" w:lineRule="exact"/>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31</w:t>
            </w:r>
          </w:p>
        </w:tc>
        <w:tc>
          <w:tcPr>
            <w:tcW w:w="1134" w:type="dxa"/>
            <w:tcBorders>
              <w:top w:val="single" w:sz="4" w:space="0" w:color="auto"/>
              <w:left w:val="nil"/>
              <w:bottom w:val="single" w:sz="12" w:space="0" w:color="auto"/>
              <w:right w:val="nil"/>
            </w:tcBorders>
            <w:shd w:val="clear" w:color="auto" w:fill="auto"/>
            <w:noWrap/>
          </w:tcPr>
          <w:p w14:paraId="3BD7EBC7" w14:textId="77777777" w:rsidR="006A1846" w:rsidRPr="003D1614" w:rsidRDefault="006A1846" w:rsidP="004454D6">
            <w:pPr>
              <w:suppressAutoHyphens/>
              <w:autoSpaceDN w:val="0"/>
              <w:spacing w:line="300" w:lineRule="exact"/>
              <w:jc w:val="right"/>
              <w:rPr>
                <w:rFonts w:ascii="Arial" w:eastAsia="Times New Roman" w:hAnsi="Arial" w:cs="Arial"/>
                <w:b/>
                <w:bCs/>
                <w:color w:val="000000" w:themeColor="text1"/>
                <w:sz w:val="18"/>
                <w:szCs w:val="18"/>
              </w:rPr>
            </w:pPr>
            <w:r w:rsidRPr="00ED0F4C">
              <w:rPr>
                <w:rFonts w:ascii="Arial" w:eastAsia="Times New Roman" w:hAnsi="Arial" w:cs="Arial"/>
                <w:b/>
                <w:bCs/>
                <w:color w:val="000000" w:themeColor="text1"/>
                <w:sz w:val="18"/>
                <w:szCs w:val="18"/>
              </w:rPr>
              <w:t>(23.096)</w:t>
            </w:r>
          </w:p>
        </w:tc>
      </w:tr>
      <w:tr w:rsidR="006A1846" w:rsidRPr="003D1614" w14:paraId="713E88E3" w14:textId="77777777" w:rsidTr="004454D6">
        <w:trPr>
          <w:trHeight w:val="174"/>
        </w:trPr>
        <w:tc>
          <w:tcPr>
            <w:tcW w:w="3261" w:type="dxa"/>
            <w:tcBorders>
              <w:left w:val="nil"/>
              <w:bottom w:val="nil"/>
              <w:right w:val="nil"/>
            </w:tcBorders>
            <w:shd w:val="clear" w:color="auto" w:fill="auto"/>
            <w:vAlign w:val="bottom"/>
          </w:tcPr>
          <w:p w14:paraId="0A575B0F" w14:textId="77777777" w:rsidR="006A1846" w:rsidRPr="003D1614" w:rsidRDefault="006A1846" w:rsidP="004454D6">
            <w:pPr>
              <w:suppressAutoHyphens/>
              <w:autoSpaceDN w:val="0"/>
              <w:spacing w:line="140" w:lineRule="exact"/>
              <w:rPr>
                <w:rFonts w:ascii="Arial" w:eastAsia="Times New Roman" w:hAnsi="Arial" w:cs="Arial"/>
                <w:color w:val="000000" w:themeColor="text1"/>
                <w:sz w:val="18"/>
                <w:szCs w:val="18"/>
              </w:rPr>
            </w:pPr>
          </w:p>
        </w:tc>
        <w:tc>
          <w:tcPr>
            <w:tcW w:w="1134" w:type="dxa"/>
            <w:tcBorders>
              <w:top w:val="single" w:sz="12" w:space="0" w:color="auto"/>
              <w:left w:val="nil"/>
              <w:bottom w:val="nil"/>
              <w:right w:val="nil"/>
            </w:tcBorders>
            <w:shd w:val="clear" w:color="auto" w:fill="auto"/>
            <w:noWrap/>
            <w:vAlign w:val="bottom"/>
          </w:tcPr>
          <w:p w14:paraId="544D10C3" w14:textId="77777777" w:rsidR="006A1846" w:rsidRPr="00901ABF" w:rsidRDefault="006A1846" w:rsidP="004454D6">
            <w:pPr>
              <w:suppressAutoHyphens/>
              <w:autoSpaceDN w:val="0"/>
              <w:spacing w:line="140" w:lineRule="exact"/>
              <w:jc w:val="right"/>
              <w:rPr>
                <w:rFonts w:ascii="Arial" w:eastAsia="Times New Roman" w:hAnsi="Arial" w:cs="Arial"/>
                <w:color w:val="000000" w:themeColor="text1"/>
                <w:sz w:val="18"/>
                <w:szCs w:val="18"/>
              </w:rPr>
            </w:pPr>
          </w:p>
        </w:tc>
        <w:tc>
          <w:tcPr>
            <w:tcW w:w="1667" w:type="dxa"/>
            <w:tcBorders>
              <w:top w:val="single" w:sz="12" w:space="0" w:color="auto"/>
              <w:left w:val="nil"/>
              <w:bottom w:val="nil"/>
              <w:right w:val="nil"/>
            </w:tcBorders>
            <w:shd w:val="clear" w:color="auto" w:fill="auto"/>
            <w:noWrap/>
            <w:vAlign w:val="bottom"/>
          </w:tcPr>
          <w:p w14:paraId="2B88D92A" w14:textId="77777777" w:rsidR="006A1846" w:rsidRPr="00901ABF" w:rsidRDefault="006A1846" w:rsidP="004454D6">
            <w:pPr>
              <w:suppressAutoHyphens/>
              <w:autoSpaceDN w:val="0"/>
              <w:spacing w:line="140" w:lineRule="exact"/>
              <w:jc w:val="right"/>
              <w:rPr>
                <w:rFonts w:ascii="Arial" w:eastAsia="Times New Roman" w:hAnsi="Arial" w:cs="Arial"/>
                <w:color w:val="000000" w:themeColor="text1"/>
                <w:sz w:val="18"/>
                <w:szCs w:val="18"/>
              </w:rPr>
            </w:pPr>
          </w:p>
        </w:tc>
        <w:tc>
          <w:tcPr>
            <w:tcW w:w="1168" w:type="dxa"/>
            <w:tcBorders>
              <w:top w:val="single" w:sz="12" w:space="0" w:color="auto"/>
              <w:left w:val="nil"/>
              <w:bottom w:val="nil"/>
              <w:right w:val="nil"/>
            </w:tcBorders>
            <w:shd w:val="clear" w:color="auto" w:fill="auto"/>
            <w:noWrap/>
            <w:vAlign w:val="bottom"/>
          </w:tcPr>
          <w:p w14:paraId="3BFFEF4F" w14:textId="77777777" w:rsidR="006A1846" w:rsidRPr="003D1614" w:rsidRDefault="006A1846" w:rsidP="004454D6">
            <w:pPr>
              <w:suppressAutoHyphens/>
              <w:autoSpaceDN w:val="0"/>
              <w:spacing w:line="140" w:lineRule="exact"/>
              <w:jc w:val="right"/>
              <w:rPr>
                <w:rFonts w:ascii="Arial" w:eastAsia="Times New Roman" w:hAnsi="Arial" w:cs="Arial"/>
                <w:color w:val="000000" w:themeColor="text1"/>
                <w:sz w:val="18"/>
                <w:szCs w:val="18"/>
              </w:rPr>
            </w:pPr>
          </w:p>
        </w:tc>
        <w:tc>
          <w:tcPr>
            <w:tcW w:w="1559" w:type="dxa"/>
            <w:tcBorders>
              <w:top w:val="single" w:sz="12" w:space="0" w:color="auto"/>
              <w:left w:val="nil"/>
              <w:bottom w:val="nil"/>
              <w:right w:val="nil"/>
            </w:tcBorders>
            <w:shd w:val="clear" w:color="auto" w:fill="auto"/>
            <w:noWrap/>
            <w:vAlign w:val="bottom"/>
          </w:tcPr>
          <w:p w14:paraId="648C7560" w14:textId="77777777" w:rsidR="006A1846" w:rsidRPr="003D1614" w:rsidRDefault="006A1846" w:rsidP="004454D6">
            <w:pPr>
              <w:suppressAutoHyphens/>
              <w:autoSpaceDN w:val="0"/>
              <w:spacing w:line="140" w:lineRule="exact"/>
              <w:jc w:val="right"/>
              <w:rPr>
                <w:rFonts w:ascii="Arial" w:eastAsia="Times New Roman" w:hAnsi="Arial" w:cs="Arial"/>
                <w:color w:val="000000" w:themeColor="text1"/>
                <w:sz w:val="18"/>
                <w:szCs w:val="18"/>
              </w:rPr>
            </w:pPr>
          </w:p>
        </w:tc>
        <w:tc>
          <w:tcPr>
            <w:tcW w:w="1134" w:type="dxa"/>
            <w:tcBorders>
              <w:top w:val="single" w:sz="12" w:space="0" w:color="auto"/>
              <w:left w:val="nil"/>
              <w:bottom w:val="nil"/>
              <w:right w:val="nil"/>
            </w:tcBorders>
            <w:shd w:val="clear" w:color="auto" w:fill="auto"/>
            <w:noWrap/>
            <w:vAlign w:val="bottom"/>
          </w:tcPr>
          <w:p w14:paraId="7B7FCF3E" w14:textId="77777777" w:rsidR="006A1846" w:rsidRPr="003D1614" w:rsidRDefault="006A1846" w:rsidP="004454D6">
            <w:pPr>
              <w:suppressAutoHyphens/>
              <w:autoSpaceDN w:val="0"/>
              <w:spacing w:line="140" w:lineRule="exact"/>
              <w:jc w:val="right"/>
              <w:rPr>
                <w:rFonts w:ascii="Arial" w:eastAsia="Times New Roman" w:hAnsi="Arial" w:cs="Arial"/>
                <w:color w:val="000000" w:themeColor="text1"/>
                <w:sz w:val="18"/>
                <w:szCs w:val="18"/>
              </w:rPr>
            </w:pPr>
          </w:p>
        </w:tc>
      </w:tr>
      <w:tr w:rsidR="006A1846" w:rsidRPr="003D1614" w14:paraId="2B9B4A71" w14:textId="77777777" w:rsidTr="004454D6">
        <w:trPr>
          <w:trHeight w:val="300"/>
        </w:trPr>
        <w:tc>
          <w:tcPr>
            <w:tcW w:w="3261" w:type="dxa"/>
            <w:tcBorders>
              <w:top w:val="nil"/>
              <w:left w:val="nil"/>
              <w:bottom w:val="nil"/>
              <w:right w:val="nil"/>
            </w:tcBorders>
            <w:shd w:val="clear" w:color="auto" w:fill="auto"/>
            <w:vAlign w:val="bottom"/>
          </w:tcPr>
          <w:p w14:paraId="071666FA" w14:textId="77777777" w:rsidR="006A1846" w:rsidRPr="003D1614" w:rsidRDefault="006A1846" w:rsidP="004454D6">
            <w:pPr>
              <w:suppressAutoHyphens/>
              <w:autoSpaceDN w:val="0"/>
              <w:spacing w:line="300" w:lineRule="exac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Dobit</w:t>
            </w:r>
            <w:r>
              <w:rPr>
                <w:rFonts w:ascii="Arial" w:eastAsia="Times New Roman" w:hAnsi="Arial" w:cs="Arial"/>
                <w:b/>
                <w:bCs/>
                <w:color w:val="000000" w:themeColor="text1"/>
                <w:sz w:val="18"/>
                <w:szCs w:val="18"/>
              </w:rPr>
              <w:t>/(gubitak)</w:t>
            </w:r>
            <w:r w:rsidRPr="003D1614">
              <w:rPr>
                <w:rFonts w:ascii="Arial" w:eastAsia="Times New Roman" w:hAnsi="Arial" w:cs="Arial"/>
                <w:b/>
                <w:bCs/>
                <w:color w:val="000000" w:themeColor="text1"/>
                <w:sz w:val="18"/>
                <w:szCs w:val="18"/>
              </w:rPr>
              <w:t xml:space="preserve"> prije oporezivanja</w:t>
            </w:r>
          </w:p>
        </w:tc>
        <w:tc>
          <w:tcPr>
            <w:tcW w:w="1134" w:type="dxa"/>
            <w:shd w:val="clear" w:color="auto" w:fill="auto"/>
            <w:noWrap/>
          </w:tcPr>
          <w:p w14:paraId="017937B3" w14:textId="77777777" w:rsidR="006A1846" w:rsidRPr="00901ABF" w:rsidRDefault="006A1846" w:rsidP="004454D6">
            <w:pPr>
              <w:suppressAutoHyphens/>
              <w:autoSpaceDN w:val="0"/>
              <w:spacing w:line="300" w:lineRule="exact"/>
              <w:jc w:val="right"/>
              <w:rPr>
                <w:rFonts w:ascii="Arial" w:eastAsia="Times New Roman" w:hAnsi="Arial" w:cs="Arial"/>
                <w:color w:val="000000" w:themeColor="text1"/>
                <w:sz w:val="18"/>
                <w:szCs w:val="18"/>
              </w:rPr>
            </w:pPr>
            <w:r w:rsidRPr="00ED0F4C">
              <w:rPr>
                <w:rFonts w:ascii="Arial" w:eastAsia="Times New Roman" w:hAnsi="Arial" w:cs="Arial"/>
                <w:color w:val="000000" w:themeColor="text1"/>
                <w:sz w:val="18"/>
                <w:szCs w:val="18"/>
              </w:rPr>
              <w:t>43.565</w:t>
            </w:r>
          </w:p>
        </w:tc>
        <w:tc>
          <w:tcPr>
            <w:tcW w:w="1667" w:type="dxa"/>
            <w:shd w:val="clear" w:color="auto" w:fill="auto"/>
            <w:noWrap/>
          </w:tcPr>
          <w:p w14:paraId="225A8E51" w14:textId="77777777" w:rsidR="006A1846" w:rsidRPr="00901ABF" w:rsidRDefault="006A1846" w:rsidP="004454D6">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86</w:t>
            </w:r>
          </w:p>
        </w:tc>
        <w:tc>
          <w:tcPr>
            <w:tcW w:w="1168" w:type="dxa"/>
            <w:shd w:val="clear" w:color="auto" w:fill="auto"/>
            <w:noWrap/>
          </w:tcPr>
          <w:p w14:paraId="07128D6D" w14:textId="77777777" w:rsidR="006A1846" w:rsidRPr="003D1614" w:rsidRDefault="006A1846" w:rsidP="004454D6">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49</w:t>
            </w:r>
          </w:p>
        </w:tc>
        <w:tc>
          <w:tcPr>
            <w:tcW w:w="1559" w:type="dxa"/>
            <w:shd w:val="clear" w:color="auto" w:fill="auto"/>
            <w:noWrap/>
          </w:tcPr>
          <w:p w14:paraId="6DC83EF6" w14:textId="77777777" w:rsidR="006A1846" w:rsidRPr="003D1614" w:rsidRDefault="006A1846" w:rsidP="004454D6">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shd w:val="clear" w:color="auto" w:fill="auto"/>
            <w:noWrap/>
          </w:tcPr>
          <w:p w14:paraId="362459F1" w14:textId="77777777" w:rsidR="006A1846" w:rsidRPr="003D1614" w:rsidRDefault="006A1846" w:rsidP="004454D6">
            <w:pPr>
              <w:suppressAutoHyphens/>
              <w:autoSpaceDN w:val="0"/>
              <w:spacing w:line="300" w:lineRule="exact"/>
              <w:jc w:val="right"/>
              <w:rPr>
                <w:rFonts w:ascii="Arial" w:eastAsia="Times New Roman" w:hAnsi="Arial" w:cs="Arial"/>
                <w:color w:val="000000" w:themeColor="text1"/>
                <w:sz w:val="18"/>
                <w:szCs w:val="18"/>
              </w:rPr>
            </w:pPr>
            <w:r w:rsidRPr="00FA5E2C">
              <w:rPr>
                <w:rFonts w:ascii="Arial" w:eastAsia="Times New Roman" w:hAnsi="Arial" w:cs="Arial"/>
                <w:color w:val="000000" w:themeColor="text1"/>
                <w:sz w:val="18"/>
                <w:szCs w:val="18"/>
              </w:rPr>
              <w:t>43.700</w:t>
            </w:r>
          </w:p>
        </w:tc>
      </w:tr>
      <w:tr w:rsidR="006A1846" w:rsidRPr="003D1614" w14:paraId="7A95E52D" w14:textId="77777777" w:rsidTr="004454D6">
        <w:trPr>
          <w:trHeight w:val="300"/>
        </w:trPr>
        <w:tc>
          <w:tcPr>
            <w:tcW w:w="3261" w:type="dxa"/>
            <w:tcBorders>
              <w:top w:val="nil"/>
              <w:left w:val="nil"/>
              <w:right w:val="nil"/>
            </w:tcBorders>
            <w:shd w:val="clear" w:color="auto" w:fill="auto"/>
            <w:vAlign w:val="bottom"/>
          </w:tcPr>
          <w:p w14:paraId="7F83AD5C" w14:textId="77777777" w:rsidR="006A1846" w:rsidRPr="003D1614" w:rsidRDefault="006A1846" w:rsidP="004454D6">
            <w:pPr>
              <w:suppressAutoHyphens/>
              <w:autoSpaceDN w:val="0"/>
              <w:spacing w:line="300" w:lineRule="exact"/>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Porez na dobit</w:t>
            </w:r>
          </w:p>
        </w:tc>
        <w:tc>
          <w:tcPr>
            <w:tcW w:w="1134" w:type="dxa"/>
            <w:tcBorders>
              <w:top w:val="nil"/>
              <w:left w:val="nil"/>
              <w:bottom w:val="single" w:sz="4" w:space="0" w:color="auto"/>
              <w:right w:val="nil"/>
            </w:tcBorders>
            <w:shd w:val="clear" w:color="auto" w:fill="auto"/>
            <w:noWrap/>
            <w:vAlign w:val="bottom"/>
          </w:tcPr>
          <w:p w14:paraId="799E9A3B" w14:textId="77777777" w:rsidR="006A1846" w:rsidRPr="00901ABF" w:rsidRDefault="006A1846" w:rsidP="004454D6">
            <w:pPr>
              <w:suppressAutoHyphens/>
              <w:autoSpaceDN w:val="0"/>
              <w:spacing w:line="300" w:lineRule="exact"/>
              <w:jc w:val="right"/>
              <w:rPr>
                <w:rFonts w:ascii="Arial" w:eastAsia="Times New Roman" w:hAnsi="Arial" w:cs="Arial"/>
                <w:color w:val="000000" w:themeColor="text1"/>
                <w:sz w:val="18"/>
                <w:szCs w:val="18"/>
              </w:rPr>
            </w:pPr>
            <w:r w:rsidRPr="00901ABF">
              <w:rPr>
                <w:rFonts w:ascii="Arial" w:eastAsia="Times New Roman" w:hAnsi="Arial" w:cs="Arial"/>
                <w:color w:val="000000" w:themeColor="text1"/>
                <w:sz w:val="18"/>
                <w:szCs w:val="18"/>
              </w:rPr>
              <w:t>-</w:t>
            </w:r>
          </w:p>
        </w:tc>
        <w:tc>
          <w:tcPr>
            <w:tcW w:w="1667" w:type="dxa"/>
            <w:tcBorders>
              <w:top w:val="nil"/>
              <w:left w:val="nil"/>
              <w:bottom w:val="single" w:sz="4" w:space="0" w:color="auto"/>
              <w:right w:val="nil"/>
            </w:tcBorders>
            <w:shd w:val="clear" w:color="auto" w:fill="auto"/>
            <w:noWrap/>
            <w:vAlign w:val="bottom"/>
          </w:tcPr>
          <w:p w14:paraId="548FB45B" w14:textId="77777777" w:rsidR="006A1846" w:rsidRPr="00901ABF" w:rsidRDefault="006A1846" w:rsidP="004454D6">
            <w:pPr>
              <w:suppressAutoHyphens/>
              <w:autoSpaceDN w:val="0"/>
              <w:spacing w:line="300" w:lineRule="exact"/>
              <w:jc w:val="right"/>
              <w:rPr>
                <w:rFonts w:ascii="Arial" w:eastAsia="Times New Roman" w:hAnsi="Arial" w:cs="Arial"/>
                <w:bCs/>
                <w:sz w:val="18"/>
                <w:szCs w:val="18"/>
              </w:rPr>
            </w:pPr>
            <w:r w:rsidRPr="00901ABF">
              <w:rPr>
                <w:rFonts w:ascii="Arial" w:eastAsia="Times New Roman" w:hAnsi="Arial" w:cs="Arial"/>
                <w:bCs/>
                <w:sz w:val="18"/>
                <w:szCs w:val="18"/>
              </w:rPr>
              <w:t>-</w:t>
            </w:r>
          </w:p>
        </w:tc>
        <w:tc>
          <w:tcPr>
            <w:tcW w:w="1168" w:type="dxa"/>
            <w:tcBorders>
              <w:top w:val="nil"/>
              <w:left w:val="nil"/>
              <w:bottom w:val="single" w:sz="4" w:space="0" w:color="auto"/>
              <w:right w:val="nil"/>
            </w:tcBorders>
            <w:shd w:val="clear" w:color="auto" w:fill="auto"/>
            <w:noWrap/>
            <w:vAlign w:val="bottom"/>
          </w:tcPr>
          <w:p w14:paraId="2806E8B1" w14:textId="77777777" w:rsidR="006A1846" w:rsidRPr="003D1614" w:rsidRDefault="006A1846" w:rsidP="004454D6">
            <w:pPr>
              <w:suppressAutoHyphens/>
              <w:autoSpaceDN w:val="0"/>
              <w:spacing w:line="300" w:lineRule="exact"/>
              <w:jc w:val="right"/>
              <w:rPr>
                <w:rFonts w:ascii="Arial" w:eastAsia="Times New Roman" w:hAnsi="Arial" w:cs="Arial"/>
                <w:bCs/>
                <w:sz w:val="18"/>
                <w:szCs w:val="18"/>
              </w:rPr>
            </w:pPr>
            <w:r>
              <w:rPr>
                <w:rFonts w:ascii="Arial" w:eastAsia="Times New Roman" w:hAnsi="Arial" w:cs="Arial"/>
                <w:bCs/>
                <w:sz w:val="18"/>
                <w:szCs w:val="18"/>
              </w:rPr>
              <w:t>-</w:t>
            </w:r>
          </w:p>
        </w:tc>
        <w:tc>
          <w:tcPr>
            <w:tcW w:w="1559" w:type="dxa"/>
            <w:tcBorders>
              <w:top w:val="nil"/>
              <w:left w:val="nil"/>
              <w:bottom w:val="single" w:sz="4" w:space="0" w:color="auto"/>
              <w:right w:val="nil"/>
            </w:tcBorders>
            <w:shd w:val="clear" w:color="auto" w:fill="auto"/>
            <w:noWrap/>
            <w:vAlign w:val="bottom"/>
          </w:tcPr>
          <w:p w14:paraId="2C199BC7" w14:textId="77777777" w:rsidR="006A1846" w:rsidRPr="003D1614" w:rsidRDefault="006A1846" w:rsidP="004454D6">
            <w:pPr>
              <w:suppressAutoHyphens/>
              <w:autoSpaceDN w:val="0"/>
              <w:spacing w:line="300" w:lineRule="exact"/>
              <w:jc w:val="right"/>
              <w:rPr>
                <w:rFonts w:ascii="Arial" w:eastAsia="Times New Roman" w:hAnsi="Arial" w:cs="Arial"/>
                <w:bCs/>
                <w:sz w:val="18"/>
                <w:szCs w:val="18"/>
              </w:rPr>
            </w:pPr>
            <w:r>
              <w:rPr>
                <w:rFonts w:ascii="Arial" w:eastAsia="Times New Roman" w:hAnsi="Arial" w:cs="Arial"/>
                <w:bCs/>
                <w:sz w:val="18"/>
                <w:szCs w:val="18"/>
              </w:rPr>
              <w:t>-</w:t>
            </w:r>
          </w:p>
        </w:tc>
        <w:tc>
          <w:tcPr>
            <w:tcW w:w="1134" w:type="dxa"/>
            <w:tcBorders>
              <w:top w:val="nil"/>
              <w:left w:val="nil"/>
              <w:bottom w:val="single" w:sz="4" w:space="0" w:color="auto"/>
              <w:right w:val="nil"/>
            </w:tcBorders>
            <w:shd w:val="clear" w:color="auto" w:fill="auto"/>
            <w:noWrap/>
            <w:vAlign w:val="bottom"/>
          </w:tcPr>
          <w:p w14:paraId="6D79F416" w14:textId="77777777" w:rsidR="006A1846" w:rsidRPr="003D1614" w:rsidRDefault="006A1846" w:rsidP="004454D6">
            <w:pPr>
              <w:suppressAutoHyphens/>
              <w:autoSpaceDN w:val="0"/>
              <w:spacing w:line="300" w:lineRule="exact"/>
              <w:jc w:val="right"/>
              <w:rPr>
                <w:rFonts w:ascii="Arial" w:eastAsia="Times New Roman" w:hAnsi="Arial" w:cs="Arial"/>
                <w:bCs/>
                <w:sz w:val="18"/>
                <w:szCs w:val="18"/>
              </w:rPr>
            </w:pPr>
            <w:r>
              <w:rPr>
                <w:rFonts w:ascii="Arial" w:eastAsia="Times New Roman" w:hAnsi="Arial" w:cs="Arial"/>
                <w:bCs/>
                <w:sz w:val="18"/>
                <w:szCs w:val="18"/>
              </w:rPr>
              <w:t>-</w:t>
            </w:r>
          </w:p>
        </w:tc>
      </w:tr>
      <w:tr w:rsidR="006A1846" w:rsidRPr="003D1614" w14:paraId="76C246B7" w14:textId="77777777" w:rsidTr="004454D6">
        <w:trPr>
          <w:trHeight w:val="315"/>
        </w:trPr>
        <w:tc>
          <w:tcPr>
            <w:tcW w:w="3261" w:type="dxa"/>
            <w:tcBorders>
              <w:left w:val="nil"/>
              <w:right w:val="nil"/>
            </w:tcBorders>
            <w:shd w:val="clear" w:color="auto" w:fill="auto"/>
            <w:vAlign w:val="bottom"/>
          </w:tcPr>
          <w:p w14:paraId="6385F2D8" w14:textId="77777777" w:rsidR="006A1846" w:rsidRPr="003D1614" w:rsidRDefault="006A1846" w:rsidP="004454D6">
            <w:pPr>
              <w:suppressAutoHyphens/>
              <w:autoSpaceDN w:val="0"/>
              <w:spacing w:line="300" w:lineRule="exac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Dobit</w:t>
            </w:r>
            <w:r>
              <w:rPr>
                <w:rFonts w:ascii="Arial" w:eastAsia="Times New Roman" w:hAnsi="Arial" w:cs="Arial"/>
                <w:b/>
                <w:bCs/>
                <w:color w:val="000000" w:themeColor="text1"/>
                <w:sz w:val="18"/>
                <w:szCs w:val="18"/>
              </w:rPr>
              <w:t>/(gubitak)</w:t>
            </w:r>
            <w:r w:rsidRPr="003D1614">
              <w:rPr>
                <w:rFonts w:ascii="Arial" w:eastAsia="Times New Roman" w:hAnsi="Arial" w:cs="Arial"/>
                <w:b/>
                <w:bCs/>
                <w:color w:val="000000" w:themeColor="text1"/>
                <w:sz w:val="18"/>
                <w:szCs w:val="18"/>
              </w:rPr>
              <w:t xml:space="preserve"> za godinu</w:t>
            </w:r>
          </w:p>
        </w:tc>
        <w:tc>
          <w:tcPr>
            <w:tcW w:w="1134" w:type="dxa"/>
            <w:shd w:val="clear" w:color="auto" w:fill="auto"/>
            <w:noWrap/>
          </w:tcPr>
          <w:p w14:paraId="24C24048" w14:textId="77777777" w:rsidR="006A1846" w:rsidRPr="00901ABF" w:rsidRDefault="006A1846" w:rsidP="004454D6">
            <w:pPr>
              <w:suppressAutoHyphens/>
              <w:autoSpaceDN w:val="0"/>
              <w:spacing w:line="300" w:lineRule="exact"/>
              <w:jc w:val="right"/>
              <w:rPr>
                <w:rFonts w:ascii="Arial" w:eastAsia="Times New Roman" w:hAnsi="Arial" w:cs="Arial"/>
                <w:b/>
                <w:bCs/>
                <w:color w:val="000000" w:themeColor="text1"/>
                <w:sz w:val="18"/>
                <w:szCs w:val="18"/>
              </w:rPr>
            </w:pPr>
            <w:r w:rsidRPr="00FA5E2C">
              <w:rPr>
                <w:rFonts w:ascii="Arial" w:eastAsia="Times New Roman" w:hAnsi="Arial" w:cs="Arial"/>
                <w:b/>
                <w:bCs/>
                <w:color w:val="000000" w:themeColor="text1"/>
                <w:sz w:val="18"/>
                <w:szCs w:val="18"/>
              </w:rPr>
              <w:t>43.565</w:t>
            </w:r>
          </w:p>
        </w:tc>
        <w:tc>
          <w:tcPr>
            <w:tcW w:w="1667" w:type="dxa"/>
            <w:shd w:val="clear" w:color="auto" w:fill="auto"/>
            <w:noWrap/>
          </w:tcPr>
          <w:p w14:paraId="4B28CEA4" w14:textId="77777777" w:rsidR="006A1846" w:rsidRPr="00901ABF" w:rsidRDefault="006A1846" w:rsidP="004454D6">
            <w:pPr>
              <w:suppressAutoHyphens/>
              <w:autoSpaceDN w:val="0"/>
              <w:spacing w:line="300" w:lineRule="exact"/>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86</w:t>
            </w:r>
          </w:p>
        </w:tc>
        <w:tc>
          <w:tcPr>
            <w:tcW w:w="1168" w:type="dxa"/>
            <w:tcBorders>
              <w:top w:val="single" w:sz="4" w:space="0" w:color="auto"/>
              <w:left w:val="nil"/>
              <w:bottom w:val="single" w:sz="12" w:space="0" w:color="auto"/>
              <w:right w:val="nil"/>
            </w:tcBorders>
            <w:shd w:val="clear" w:color="auto" w:fill="auto"/>
            <w:noWrap/>
          </w:tcPr>
          <w:p w14:paraId="778C442A" w14:textId="77777777" w:rsidR="006A1846" w:rsidRPr="003D1614" w:rsidRDefault="006A1846" w:rsidP="004454D6">
            <w:pPr>
              <w:suppressAutoHyphens/>
              <w:autoSpaceDN w:val="0"/>
              <w:spacing w:line="300" w:lineRule="exact"/>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49</w:t>
            </w:r>
          </w:p>
        </w:tc>
        <w:tc>
          <w:tcPr>
            <w:tcW w:w="1559" w:type="dxa"/>
            <w:tcBorders>
              <w:top w:val="single" w:sz="4" w:space="0" w:color="auto"/>
              <w:left w:val="nil"/>
              <w:bottom w:val="single" w:sz="12" w:space="0" w:color="auto"/>
              <w:right w:val="nil"/>
            </w:tcBorders>
            <w:shd w:val="clear" w:color="auto" w:fill="auto"/>
            <w:noWrap/>
          </w:tcPr>
          <w:p w14:paraId="5B1FF040" w14:textId="77777777" w:rsidR="006A1846" w:rsidRPr="003D1614" w:rsidRDefault="006A1846" w:rsidP="004454D6">
            <w:pPr>
              <w:suppressAutoHyphens/>
              <w:autoSpaceDN w:val="0"/>
              <w:spacing w:line="300" w:lineRule="exact"/>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w:t>
            </w:r>
          </w:p>
        </w:tc>
        <w:tc>
          <w:tcPr>
            <w:tcW w:w="1134" w:type="dxa"/>
            <w:tcBorders>
              <w:top w:val="single" w:sz="4" w:space="0" w:color="auto"/>
              <w:left w:val="nil"/>
              <w:bottom w:val="single" w:sz="12" w:space="0" w:color="auto"/>
              <w:right w:val="nil"/>
            </w:tcBorders>
            <w:shd w:val="clear" w:color="auto" w:fill="auto"/>
            <w:noWrap/>
          </w:tcPr>
          <w:p w14:paraId="73509DCA" w14:textId="77777777" w:rsidR="006A1846" w:rsidRPr="003D1614" w:rsidRDefault="006A1846" w:rsidP="004454D6">
            <w:pPr>
              <w:suppressAutoHyphens/>
              <w:autoSpaceDN w:val="0"/>
              <w:spacing w:line="300" w:lineRule="exact"/>
              <w:jc w:val="right"/>
              <w:rPr>
                <w:rFonts w:ascii="Arial" w:eastAsia="Times New Roman" w:hAnsi="Arial" w:cs="Arial"/>
                <w:b/>
                <w:bCs/>
                <w:color w:val="000000" w:themeColor="text1"/>
                <w:sz w:val="18"/>
                <w:szCs w:val="18"/>
              </w:rPr>
            </w:pPr>
            <w:r w:rsidRPr="00FA5E2C">
              <w:rPr>
                <w:rFonts w:ascii="Arial" w:eastAsia="Times New Roman" w:hAnsi="Arial" w:cs="Arial"/>
                <w:b/>
                <w:bCs/>
                <w:color w:val="000000" w:themeColor="text1"/>
                <w:sz w:val="18"/>
                <w:szCs w:val="18"/>
              </w:rPr>
              <w:t>43.700</w:t>
            </w:r>
          </w:p>
        </w:tc>
      </w:tr>
      <w:tr w:rsidR="006A1846" w:rsidRPr="003D1614" w14:paraId="5442C000" w14:textId="77777777" w:rsidTr="004454D6">
        <w:trPr>
          <w:trHeight w:val="52"/>
        </w:trPr>
        <w:tc>
          <w:tcPr>
            <w:tcW w:w="3261" w:type="dxa"/>
            <w:tcBorders>
              <w:left w:val="nil"/>
              <w:bottom w:val="nil"/>
              <w:right w:val="nil"/>
            </w:tcBorders>
            <w:shd w:val="clear" w:color="auto" w:fill="auto"/>
            <w:vAlign w:val="bottom"/>
          </w:tcPr>
          <w:p w14:paraId="161FCFE5" w14:textId="77777777" w:rsidR="006A1846" w:rsidRPr="003D1614" w:rsidRDefault="006A1846" w:rsidP="004454D6">
            <w:pPr>
              <w:suppressAutoHyphens/>
              <w:autoSpaceDN w:val="0"/>
              <w:spacing w:line="140" w:lineRule="exact"/>
              <w:rPr>
                <w:rFonts w:ascii="Arial" w:eastAsia="Times New Roman" w:hAnsi="Arial" w:cs="Arial"/>
                <w:color w:val="000000" w:themeColor="text1"/>
                <w:sz w:val="18"/>
                <w:szCs w:val="18"/>
              </w:rPr>
            </w:pPr>
          </w:p>
        </w:tc>
        <w:tc>
          <w:tcPr>
            <w:tcW w:w="1134" w:type="dxa"/>
            <w:tcBorders>
              <w:top w:val="single" w:sz="12" w:space="0" w:color="auto"/>
              <w:left w:val="nil"/>
              <w:bottom w:val="nil"/>
              <w:right w:val="nil"/>
            </w:tcBorders>
            <w:shd w:val="clear" w:color="auto" w:fill="auto"/>
            <w:noWrap/>
            <w:vAlign w:val="bottom"/>
          </w:tcPr>
          <w:p w14:paraId="5D774FF1" w14:textId="77777777" w:rsidR="006A1846" w:rsidRPr="003D1614" w:rsidRDefault="006A1846" w:rsidP="004454D6">
            <w:pPr>
              <w:suppressAutoHyphens/>
              <w:autoSpaceDN w:val="0"/>
              <w:spacing w:line="140" w:lineRule="exact"/>
              <w:jc w:val="right"/>
              <w:rPr>
                <w:rFonts w:ascii="Arial" w:eastAsia="Times New Roman" w:hAnsi="Arial" w:cs="Arial"/>
                <w:color w:val="000000" w:themeColor="text1"/>
                <w:sz w:val="18"/>
                <w:szCs w:val="18"/>
              </w:rPr>
            </w:pPr>
          </w:p>
        </w:tc>
        <w:tc>
          <w:tcPr>
            <w:tcW w:w="1667" w:type="dxa"/>
            <w:tcBorders>
              <w:top w:val="single" w:sz="12" w:space="0" w:color="auto"/>
              <w:left w:val="nil"/>
              <w:bottom w:val="nil"/>
              <w:right w:val="nil"/>
            </w:tcBorders>
            <w:shd w:val="clear" w:color="auto" w:fill="auto"/>
            <w:noWrap/>
            <w:vAlign w:val="bottom"/>
          </w:tcPr>
          <w:p w14:paraId="4542C2E4" w14:textId="77777777" w:rsidR="006A1846" w:rsidRPr="003D1614" w:rsidRDefault="006A1846" w:rsidP="004454D6">
            <w:pPr>
              <w:suppressAutoHyphens/>
              <w:autoSpaceDN w:val="0"/>
              <w:spacing w:line="140" w:lineRule="exact"/>
              <w:jc w:val="right"/>
              <w:rPr>
                <w:rFonts w:ascii="Arial" w:eastAsia="Times New Roman" w:hAnsi="Arial" w:cs="Arial"/>
                <w:color w:val="000000" w:themeColor="text1"/>
                <w:sz w:val="18"/>
                <w:szCs w:val="18"/>
              </w:rPr>
            </w:pPr>
          </w:p>
        </w:tc>
        <w:tc>
          <w:tcPr>
            <w:tcW w:w="1168" w:type="dxa"/>
            <w:tcBorders>
              <w:top w:val="single" w:sz="12" w:space="0" w:color="auto"/>
              <w:left w:val="nil"/>
              <w:bottom w:val="nil"/>
              <w:right w:val="nil"/>
            </w:tcBorders>
            <w:shd w:val="clear" w:color="auto" w:fill="auto"/>
            <w:noWrap/>
            <w:vAlign w:val="bottom"/>
          </w:tcPr>
          <w:p w14:paraId="2D3B85B6" w14:textId="77777777" w:rsidR="006A1846" w:rsidRPr="003D1614" w:rsidRDefault="006A1846" w:rsidP="004454D6">
            <w:pPr>
              <w:suppressAutoHyphens/>
              <w:autoSpaceDN w:val="0"/>
              <w:spacing w:line="140" w:lineRule="exact"/>
              <w:jc w:val="right"/>
              <w:rPr>
                <w:rFonts w:ascii="Arial" w:eastAsia="Times New Roman" w:hAnsi="Arial" w:cs="Arial"/>
                <w:color w:val="000000" w:themeColor="text1"/>
                <w:sz w:val="18"/>
                <w:szCs w:val="18"/>
              </w:rPr>
            </w:pPr>
          </w:p>
        </w:tc>
        <w:tc>
          <w:tcPr>
            <w:tcW w:w="1559" w:type="dxa"/>
            <w:tcBorders>
              <w:top w:val="single" w:sz="12" w:space="0" w:color="auto"/>
              <w:left w:val="nil"/>
              <w:bottom w:val="nil"/>
              <w:right w:val="nil"/>
            </w:tcBorders>
            <w:shd w:val="clear" w:color="auto" w:fill="auto"/>
            <w:noWrap/>
            <w:vAlign w:val="bottom"/>
          </w:tcPr>
          <w:p w14:paraId="5F856BA2" w14:textId="77777777" w:rsidR="006A1846" w:rsidRPr="003D1614" w:rsidRDefault="006A1846" w:rsidP="004454D6">
            <w:pPr>
              <w:suppressAutoHyphens/>
              <w:autoSpaceDN w:val="0"/>
              <w:spacing w:line="140" w:lineRule="exact"/>
              <w:jc w:val="right"/>
              <w:rPr>
                <w:rFonts w:ascii="Arial" w:eastAsia="Times New Roman" w:hAnsi="Arial" w:cs="Arial"/>
                <w:color w:val="000000" w:themeColor="text1"/>
                <w:sz w:val="18"/>
                <w:szCs w:val="18"/>
              </w:rPr>
            </w:pPr>
          </w:p>
        </w:tc>
        <w:tc>
          <w:tcPr>
            <w:tcW w:w="1134" w:type="dxa"/>
            <w:tcBorders>
              <w:top w:val="single" w:sz="12" w:space="0" w:color="auto"/>
              <w:left w:val="nil"/>
              <w:bottom w:val="nil"/>
              <w:right w:val="nil"/>
            </w:tcBorders>
            <w:shd w:val="clear" w:color="auto" w:fill="auto"/>
            <w:noWrap/>
            <w:vAlign w:val="bottom"/>
          </w:tcPr>
          <w:p w14:paraId="1C7F21DC" w14:textId="77777777" w:rsidR="006A1846" w:rsidRPr="003D1614" w:rsidRDefault="006A1846" w:rsidP="004454D6">
            <w:pPr>
              <w:suppressAutoHyphens/>
              <w:autoSpaceDN w:val="0"/>
              <w:spacing w:line="140" w:lineRule="exact"/>
              <w:jc w:val="right"/>
              <w:rPr>
                <w:rFonts w:ascii="Arial" w:eastAsia="Times New Roman" w:hAnsi="Arial" w:cs="Arial"/>
                <w:color w:val="000000" w:themeColor="text1"/>
                <w:sz w:val="18"/>
                <w:szCs w:val="18"/>
              </w:rPr>
            </w:pPr>
          </w:p>
        </w:tc>
      </w:tr>
      <w:tr w:rsidR="006A1846" w:rsidRPr="003D1614" w14:paraId="3AA93E8D" w14:textId="77777777" w:rsidTr="004454D6">
        <w:trPr>
          <w:trHeight w:val="300"/>
        </w:trPr>
        <w:tc>
          <w:tcPr>
            <w:tcW w:w="3261" w:type="dxa"/>
            <w:tcBorders>
              <w:top w:val="nil"/>
              <w:left w:val="nil"/>
              <w:right w:val="nil"/>
            </w:tcBorders>
            <w:shd w:val="clear" w:color="auto" w:fill="auto"/>
            <w:vAlign w:val="bottom"/>
          </w:tcPr>
          <w:p w14:paraId="1FCC99FE" w14:textId="77777777" w:rsidR="006A1846" w:rsidRPr="003D1614" w:rsidRDefault="006A1846" w:rsidP="004454D6">
            <w:pPr>
              <w:suppressAutoHyphens/>
              <w:autoSpaceDN w:val="0"/>
              <w:spacing w:line="300" w:lineRule="exac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3</w:t>
            </w:r>
            <w:r>
              <w:rPr>
                <w:rFonts w:ascii="Arial" w:eastAsia="Times New Roman" w:hAnsi="Arial" w:cs="Arial"/>
                <w:b/>
                <w:bCs/>
                <w:color w:val="000000" w:themeColor="text1"/>
                <w:sz w:val="18"/>
                <w:szCs w:val="18"/>
              </w:rPr>
              <w:t>0</w:t>
            </w:r>
            <w:r w:rsidRPr="003D1614">
              <w:rPr>
                <w:rFonts w:ascii="Arial" w:eastAsia="Times New Roman" w:hAnsi="Arial" w:cs="Arial"/>
                <w:b/>
                <w:bCs/>
                <w:color w:val="000000" w:themeColor="text1"/>
                <w:sz w:val="18"/>
                <w:szCs w:val="18"/>
              </w:rPr>
              <w:t xml:space="preserve">. </w:t>
            </w:r>
            <w:r>
              <w:rPr>
                <w:rFonts w:ascii="Arial" w:eastAsia="Times New Roman" w:hAnsi="Arial" w:cs="Arial"/>
                <w:b/>
                <w:bCs/>
                <w:color w:val="000000" w:themeColor="text1"/>
                <w:sz w:val="18"/>
                <w:szCs w:val="18"/>
              </w:rPr>
              <w:t>rujn</w:t>
            </w:r>
            <w:r w:rsidRPr="003D1614">
              <w:rPr>
                <w:rFonts w:ascii="Arial" w:eastAsia="Times New Roman" w:hAnsi="Arial" w:cs="Arial"/>
                <w:b/>
                <w:bCs/>
                <w:color w:val="000000" w:themeColor="text1"/>
                <w:sz w:val="18"/>
                <w:szCs w:val="18"/>
              </w:rPr>
              <w:t>a 202</w:t>
            </w:r>
            <w:r>
              <w:rPr>
                <w:rFonts w:ascii="Arial" w:eastAsia="Times New Roman" w:hAnsi="Arial" w:cs="Arial"/>
                <w:b/>
                <w:bCs/>
                <w:color w:val="000000" w:themeColor="text1"/>
                <w:sz w:val="18"/>
                <w:szCs w:val="18"/>
              </w:rPr>
              <w:t>4</w:t>
            </w:r>
            <w:r w:rsidRPr="003D1614">
              <w:rPr>
                <w:rFonts w:ascii="Arial" w:eastAsia="Times New Roman" w:hAnsi="Arial" w:cs="Arial"/>
                <w:b/>
                <w:bCs/>
                <w:color w:val="000000" w:themeColor="text1"/>
                <w:sz w:val="18"/>
                <w:szCs w:val="18"/>
              </w:rPr>
              <w:t>.</w:t>
            </w:r>
          </w:p>
        </w:tc>
        <w:tc>
          <w:tcPr>
            <w:tcW w:w="1134" w:type="dxa"/>
            <w:tcBorders>
              <w:top w:val="nil"/>
              <w:left w:val="nil"/>
              <w:bottom w:val="single" w:sz="4" w:space="0" w:color="auto"/>
              <w:right w:val="nil"/>
            </w:tcBorders>
            <w:shd w:val="clear" w:color="auto" w:fill="auto"/>
            <w:noWrap/>
            <w:vAlign w:val="bottom"/>
          </w:tcPr>
          <w:p w14:paraId="073C5E86" w14:textId="77777777" w:rsidR="006A1846" w:rsidRPr="003D1614" w:rsidRDefault="006A1846" w:rsidP="004454D6">
            <w:pPr>
              <w:suppressAutoHyphens/>
              <w:autoSpaceDN w:val="0"/>
              <w:spacing w:line="300" w:lineRule="exact"/>
              <w:jc w:val="right"/>
              <w:rPr>
                <w:rFonts w:ascii="Arial" w:eastAsia="Times New Roman" w:hAnsi="Arial" w:cs="Arial"/>
                <w:color w:val="000000" w:themeColor="text1"/>
                <w:sz w:val="18"/>
                <w:szCs w:val="18"/>
              </w:rPr>
            </w:pPr>
          </w:p>
        </w:tc>
        <w:tc>
          <w:tcPr>
            <w:tcW w:w="1667" w:type="dxa"/>
            <w:tcBorders>
              <w:top w:val="nil"/>
              <w:left w:val="nil"/>
              <w:bottom w:val="single" w:sz="4" w:space="0" w:color="auto"/>
              <w:right w:val="nil"/>
            </w:tcBorders>
            <w:shd w:val="clear" w:color="auto" w:fill="auto"/>
            <w:noWrap/>
            <w:vAlign w:val="bottom"/>
          </w:tcPr>
          <w:p w14:paraId="3202E577" w14:textId="77777777" w:rsidR="006A1846" w:rsidRPr="003D1614" w:rsidRDefault="006A1846" w:rsidP="004454D6">
            <w:pPr>
              <w:suppressAutoHyphens/>
              <w:autoSpaceDN w:val="0"/>
              <w:spacing w:line="300" w:lineRule="exact"/>
              <w:jc w:val="right"/>
              <w:rPr>
                <w:rFonts w:ascii="Arial" w:eastAsia="Times New Roman" w:hAnsi="Arial" w:cs="Arial"/>
                <w:color w:val="000000" w:themeColor="text1"/>
                <w:sz w:val="18"/>
                <w:szCs w:val="18"/>
              </w:rPr>
            </w:pPr>
          </w:p>
        </w:tc>
        <w:tc>
          <w:tcPr>
            <w:tcW w:w="1168" w:type="dxa"/>
            <w:tcBorders>
              <w:top w:val="nil"/>
              <w:left w:val="nil"/>
              <w:bottom w:val="single" w:sz="4" w:space="0" w:color="auto"/>
              <w:right w:val="nil"/>
            </w:tcBorders>
            <w:shd w:val="clear" w:color="auto" w:fill="auto"/>
            <w:noWrap/>
            <w:vAlign w:val="bottom"/>
          </w:tcPr>
          <w:p w14:paraId="3429D535" w14:textId="77777777" w:rsidR="006A1846" w:rsidRPr="003D1614" w:rsidRDefault="006A1846" w:rsidP="004454D6">
            <w:pPr>
              <w:suppressAutoHyphens/>
              <w:autoSpaceDN w:val="0"/>
              <w:spacing w:line="300" w:lineRule="exact"/>
              <w:jc w:val="right"/>
              <w:rPr>
                <w:rFonts w:ascii="Arial" w:eastAsia="Times New Roman" w:hAnsi="Arial" w:cs="Arial"/>
                <w:color w:val="000000" w:themeColor="text1"/>
                <w:sz w:val="18"/>
                <w:szCs w:val="18"/>
              </w:rPr>
            </w:pPr>
          </w:p>
        </w:tc>
        <w:tc>
          <w:tcPr>
            <w:tcW w:w="1559" w:type="dxa"/>
            <w:tcBorders>
              <w:top w:val="nil"/>
              <w:left w:val="nil"/>
              <w:bottom w:val="single" w:sz="4" w:space="0" w:color="auto"/>
              <w:right w:val="nil"/>
            </w:tcBorders>
            <w:shd w:val="clear" w:color="auto" w:fill="auto"/>
            <w:noWrap/>
            <w:vAlign w:val="bottom"/>
          </w:tcPr>
          <w:p w14:paraId="43E516F7" w14:textId="77777777" w:rsidR="006A1846" w:rsidRPr="003D1614" w:rsidRDefault="006A1846" w:rsidP="004454D6">
            <w:pPr>
              <w:suppressAutoHyphens/>
              <w:autoSpaceDN w:val="0"/>
              <w:spacing w:line="300" w:lineRule="exact"/>
              <w:jc w:val="right"/>
              <w:rPr>
                <w:rFonts w:ascii="Arial" w:eastAsia="Times New Roman" w:hAnsi="Arial" w:cs="Arial"/>
                <w:color w:val="000000" w:themeColor="text1"/>
                <w:sz w:val="18"/>
                <w:szCs w:val="18"/>
              </w:rPr>
            </w:pPr>
          </w:p>
        </w:tc>
        <w:tc>
          <w:tcPr>
            <w:tcW w:w="1134" w:type="dxa"/>
            <w:tcBorders>
              <w:top w:val="nil"/>
              <w:left w:val="nil"/>
              <w:bottom w:val="single" w:sz="4" w:space="0" w:color="auto"/>
              <w:right w:val="nil"/>
            </w:tcBorders>
            <w:shd w:val="clear" w:color="auto" w:fill="auto"/>
            <w:noWrap/>
            <w:vAlign w:val="bottom"/>
          </w:tcPr>
          <w:p w14:paraId="46AECADC" w14:textId="77777777" w:rsidR="006A1846" w:rsidRPr="003D1614" w:rsidRDefault="006A1846" w:rsidP="004454D6">
            <w:pPr>
              <w:suppressAutoHyphens/>
              <w:autoSpaceDN w:val="0"/>
              <w:spacing w:line="300" w:lineRule="exact"/>
              <w:jc w:val="right"/>
              <w:rPr>
                <w:rFonts w:ascii="Arial" w:eastAsia="Times New Roman" w:hAnsi="Arial" w:cs="Arial"/>
                <w:color w:val="000000" w:themeColor="text1"/>
                <w:sz w:val="18"/>
                <w:szCs w:val="18"/>
              </w:rPr>
            </w:pPr>
          </w:p>
        </w:tc>
      </w:tr>
      <w:tr w:rsidR="006A1846" w:rsidRPr="003D1614" w14:paraId="36219E12" w14:textId="77777777" w:rsidTr="004454D6">
        <w:trPr>
          <w:trHeight w:val="300"/>
        </w:trPr>
        <w:tc>
          <w:tcPr>
            <w:tcW w:w="3261" w:type="dxa"/>
            <w:tcBorders>
              <w:top w:val="nil"/>
              <w:left w:val="nil"/>
              <w:right w:val="nil"/>
            </w:tcBorders>
            <w:shd w:val="clear" w:color="auto" w:fill="auto"/>
            <w:vAlign w:val="bottom"/>
          </w:tcPr>
          <w:p w14:paraId="09D17EE4" w14:textId="77777777" w:rsidR="006A1846" w:rsidRPr="003D1614" w:rsidRDefault="006A1846" w:rsidP="004454D6">
            <w:pPr>
              <w:suppressAutoHyphens/>
              <w:autoSpaceDN w:val="0"/>
              <w:spacing w:line="300" w:lineRule="exact"/>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Imovina segmenta</w:t>
            </w:r>
          </w:p>
        </w:tc>
        <w:tc>
          <w:tcPr>
            <w:tcW w:w="1134" w:type="dxa"/>
            <w:tcBorders>
              <w:top w:val="nil"/>
              <w:left w:val="nil"/>
              <w:bottom w:val="single" w:sz="4" w:space="0" w:color="auto"/>
              <w:right w:val="nil"/>
            </w:tcBorders>
            <w:shd w:val="clear" w:color="auto" w:fill="auto"/>
            <w:noWrap/>
          </w:tcPr>
          <w:p w14:paraId="44FDB83C" w14:textId="77777777" w:rsidR="006A1846" w:rsidRPr="002910E3" w:rsidRDefault="006A1846" w:rsidP="004454D6">
            <w:pPr>
              <w:suppressAutoHyphens/>
              <w:autoSpaceDN w:val="0"/>
              <w:spacing w:line="300" w:lineRule="exact"/>
              <w:jc w:val="right"/>
              <w:rPr>
                <w:rFonts w:ascii="Arial" w:eastAsia="Times New Roman" w:hAnsi="Arial" w:cs="Arial"/>
                <w:color w:val="000000" w:themeColor="text1"/>
                <w:sz w:val="18"/>
                <w:szCs w:val="18"/>
              </w:rPr>
            </w:pPr>
            <w:r w:rsidRPr="00FA5E2C">
              <w:rPr>
                <w:rFonts w:ascii="Arial" w:eastAsia="Times New Roman" w:hAnsi="Arial" w:cs="Arial"/>
                <w:color w:val="000000" w:themeColor="text1"/>
                <w:sz w:val="18"/>
                <w:szCs w:val="18"/>
              </w:rPr>
              <w:t>4.017.741</w:t>
            </w:r>
          </w:p>
        </w:tc>
        <w:tc>
          <w:tcPr>
            <w:tcW w:w="1667" w:type="dxa"/>
            <w:tcBorders>
              <w:top w:val="nil"/>
              <w:left w:val="nil"/>
              <w:bottom w:val="single" w:sz="4" w:space="0" w:color="auto"/>
              <w:right w:val="nil"/>
            </w:tcBorders>
            <w:shd w:val="clear" w:color="auto" w:fill="auto"/>
            <w:noWrap/>
            <w:vAlign w:val="bottom"/>
          </w:tcPr>
          <w:p w14:paraId="5491B39B" w14:textId="77777777" w:rsidR="006A1846" w:rsidRPr="002910E3" w:rsidRDefault="006A1846" w:rsidP="004454D6">
            <w:pPr>
              <w:suppressAutoHyphens/>
              <w:autoSpaceDN w:val="0"/>
              <w:spacing w:line="300" w:lineRule="exact"/>
              <w:jc w:val="right"/>
              <w:rPr>
                <w:rFonts w:ascii="Arial" w:eastAsia="Times New Roman" w:hAnsi="Arial" w:cs="Arial"/>
                <w:color w:val="000000" w:themeColor="text1"/>
                <w:sz w:val="18"/>
                <w:szCs w:val="18"/>
              </w:rPr>
            </w:pPr>
            <w:r w:rsidRPr="00FA5E2C">
              <w:rPr>
                <w:rFonts w:ascii="Arial" w:eastAsia="Times New Roman" w:hAnsi="Arial" w:cs="Arial"/>
                <w:color w:val="000000" w:themeColor="text1"/>
                <w:sz w:val="18"/>
                <w:szCs w:val="18"/>
              </w:rPr>
              <w:t>10.633</w:t>
            </w:r>
          </w:p>
        </w:tc>
        <w:tc>
          <w:tcPr>
            <w:tcW w:w="1168" w:type="dxa"/>
            <w:tcBorders>
              <w:top w:val="nil"/>
              <w:left w:val="nil"/>
              <w:bottom w:val="single" w:sz="4" w:space="0" w:color="auto"/>
              <w:right w:val="nil"/>
            </w:tcBorders>
            <w:shd w:val="clear" w:color="auto" w:fill="auto"/>
            <w:noWrap/>
            <w:vAlign w:val="bottom"/>
          </w:tcPr>
          <w:p w14:paraId="74A42B08" w14:textId="77777777" w:rsidR="006A1846" w:rsidRPr="002910E3" w:rsidRDefault="006A1846" w:rsidP="004454D6">
            <w:pPr>
              <w:suppressAutoHyphens/>
              <w:autoSpaceDN w:val="0"/>
              <w:spacing w:line="300" w:lineRule="exact"/>
              <w:jc w:val="right"/>
              <w:rPr>
                <w:rFonts w:ascii="Arial" w:eastAsia="Times New Roman" w:hAnsi="Arial" w:cs="Arial"/>
                <w:color w:val="000000" w:themeColor="text1"/>
                <w:sz w:val="18"/>
                <w:szCs w:val="18"/>
              </w:rPr>
            </w:pPr>
            <w:r w:rsidRPr="00EC6291">
              <w:rPr>
                <w:rFonts w:ascii="Arial" w:eastAsia="Times New Roman" w:hAnsi="Arial" w:cs="Arial"/>
                <w:color w:val="000000" w:themeColor="text1"/>
                <w:sz w:val="18"/>
                <w:szCs w:val="18"/>
              </w:rPr>
              <w:t>1</w:t>
            </w:r>
            <w:r>
              <w:rPr>
                <w:rFonts w:ascii="Arial" w:eastAsia="Times New Roman" w:hAnsi="Arial" w:cs="Arial"/>
                <w:color w:val="000000" w:themeColor="text1"/>
                <w:sz w:val="18"/>
                <w:szCs w:val="18"/>
              </w:rPr>
              <w:t>9</w:t>
            </w:r>
            <w:r w:rsidRPr="00EC6291">
              <w:rPr>
                <w:rFonts w:ascii="Arial" w:eastAsia="Times New Roman" w:hAnsi="Arial" w:cs="Arial"/>
                <w:color w:val="000000" w:themeColor="text1"/>
                <w:sz w:val="18"/>
                <w:szCs w:val="18"/>
              </w:rPr>
              <w:t>0</w:t>
            </w:r>
          </w:p>
        </w:tc>
        <w:tc>
          <w:tcPr>
            <w:tcW w:w="1559" w:type="dxa"/>
            <w:tcBorders>
              <w:top w:val="nil"/>
              <w:left w:val="nil"/>
              <w:bottom w:val="single" w:sz="4" w:space="0" w:color="auto"/>
              <w:right w:val="nil"/>
            </w:tcBorders>
            <w:shd w:val="clear" w:color="auto" w:fill="auto"/>
            <w:noWrap/>
            <w:vAlign w:val="bottom"/>
          </w:tcPr>
          <w:p w14:paraId="5913B70F" w14:textId="77777777" w:rsidR="006A1846" w:rsidRPr="002910E3" w:rsidRDefault="006A1846" w:rsidP="004454D6">
            <w:pPr>
              <w:suppressAutoHyphens/>
              <w:autoSpaceDN w:val="0"/>
              <w:spacing w:line="300" w:lineRule="exact"/>
              <w:jc w:val="right"/>
              <w:rPr>
                <w:rFonts w:ascii="Arial" w:eastAsia="Times New Roman" w:hAnsi="Arial" w:cs="Arial"/>
                <w:color w:val="000000" w:themeColor="text1"/>
                <w:sz w:val="18"/>
                <w:szCs w:val="18"/>
              </w:rPr>
            </w:pPr>
            <w:r w:rsidRPr="006D518A">
              <w:rPr>
                <w:rFonts w:ascii="Arial" w:eastAsia="Times New Roman" w:hAnsi="Arial" w:cs="Arial"/>
                <w:color w:val="000000" w:themeColor="text1"/>
                <w:sz w:val="18"/>
                <w:szCs w:val="18"/>
              </w:rPr>
              <w:t>(7.51</w:t>
            </w:r>
            <w:r>
              <w:rPr>
                <w:rFonts w:ascii="Arial" w:eastAsia="Times New Roman" w:hAnsi="Arial" w:cs="Arial"/>
                <w:color w:val="000000" w:themeColor="text1"/>
                <w:sz w:val="18"/>
                <w:szCs w:val="18"/>
              </w:rPr>
              <w:t>9</w:t>
            </w:r>
            <w:r w:rsidRPr="006D518A">
              <w:rPr>
                <w:rFonts w:ascii="Arial" w:eastAsia="Times New Roman" w:hAnsi="Arial" w:cs="Arial"/>
                <w:color w:val="000000" w:themeColor="text1"/>
                <w:sz w:val="18"/>
                <w:szCs w:val="18"/>
              </w:rPr>
              <w:t>)</w:t>
            </w:r>
          </w:p>
        </w:tc>
        <w:tc>
          <w:tcPr>
            <w:tcW w:w="1134" w:type="dxa"/>
            <w:tcBorders>
              <w:top w:val="nil"/>
              <w:left w:val="nil"/>
              <w:bottom w:val="single" w:sz="4" w:space="0" w:color="auto"/>
              <w:right w:val="nil"/>
            </w:tcBorders>
            <w:shd w:val="clear" w:color="auto" w:fill="auto"/>
            <w:noWrap/>
            <w:vAlign w:val="bottom"/>
          </w:tcPr>
          <w:p w14:paraId="64629CAE" w14:textId="77777777" w:rsidR="006A1846" w:rsidRPr="002910E3" w:rsidRDefault="006A1846" w:rsidP="004454D6">
            <w:pPr>
              <w:suppressAutoHyphens/>
              <w:autoSpaceDN w:val="0"/>
              <w:spacing w:line="300" w:lineRule="exact"/>
              <w:jc w:val="right"/>
              <w:rPr>
                <w:rFonts w:ascii="Arial" w:eastAsia="Times New Roman" w:hAnsi="Arial" w:cs="Arial"/>
                <w:color w:val="000000" w:themeColor="text1"/>
                <w:sz w:val="18"/>
                <w:szCs w:val="18"/>
              </w:rPr>
            </w:pPr>
            <w:r w:rsidRPr="00FA5E2C">
              <w:rPr>
                <w:rFonts w:ascii="Arial" w:eastAsia="Times New Roman" w:hAnsi="Arial" w:cs="Arial"/>
                <w:color w:val="000000" w:themeColor="text1"/>
                <w:sz w:val="18"/>
                <w:szCs w:val="18"/>
              </w:rPr>
              <w:t>4.021.045</w:t>
            </w:r>
          </w:p>
        </w:tc>
      </w:tr>
      <w:tr w:rsidR="006A1846" w:rsidRPr="003D1614" w14:paraId="6CD91056" w14:textId="77777777" w:rsidTr="004454D6">
        <w:trPr>
          <w:trHeight w:val="315"/>
        </w:trPr>
        <w:tc>
          <w:tcPr>
            <w:tcW w:w="3261" w:type="dxa"/>
            <w:tcBorders>
              <w:left w:val="nil"/>
              <w:right w:val="nil"/>
            </w:tcBorders>
            <w:shd w:val="clear" w:color="auto" w:fill="auto"/>
            <w:vAlign w:val="bottom"/>
          </w:tcPr>
          <w:p w14:paraId="42B9F0BB" w14:textId="77777777" w:rsidR="006A1846" w:rsidRPr="003D1614" w:rsidRDefault="006A1846" w:rsidP="004454D6">
            <w:pPr>
              <w:suppressAutoHyphens/>
              <w:autoSpaceDN w:val="0"/>
              <w:spacing w:line="300" w:lineRule="exac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Ukupna imovina</w:t>
            </w:r>
          </w:p>
        </w:tc>
        <w:tc>
          <w:tcPr>
            <w:tcW w:w="1134" w:type="dxa"/>
            <w:tcBorders>
              <w:top w:val="single" w:sz="4" w:space="0" w:color="auto"/>
              <w:left w:val="nil"/>
              <w:bottom w:val="single" w:sz="12" w:space="0" w:color="auto"/>
              <w:right w:val="nil"/>
            </w:tcBorders>
            <w:shd w:val="clear" w:color="auto" w:fill="auto"/>
            <w:noWrap/>
          </w:tcPr>
          <w:p w14:paraId="725507C1" w14:textId="77777777" w:rsidR="006A1846" w:rsidRPr="003D1614" w:rsidRDefault="006A1846" w:rsidP="004454D6">
            <w:pPr>
              <w:suppressAutoHyphens/>
              <w:autoSpaceDN w:val="0"/>
              <w:spacing w:line="300" w:lineRule="exact"/>
              <w:jc w:val="right"/>
              <w:rPr>
                <w:rFonts w:ascii="Arial" w:eastAsia="Times New Roman" w:hAnsi="Arial" w:cs="Arial"/>
                <w:b/>
                <w:bCs/>
                <w:color w:val="000000" w:themeColor="text1"/>
                <w:sz w:val="18"/>
                <w:szCs w:val="18"/>
              </w:rPr>
            </w:pPr>
            <w:r w:rsidRPr="00FA5E2C">
              <w:rPr>
                <w:rFonts w:ascii="Arial" w:eastAsia="Times New Roman" w:hAnsi="Arial" w:cs="Arial"/>
                <w:b/>
                <w:bCs/>
                <w:color w:val="000000" w:themeColor="text1"/>
                <w:sz w:val="18"/>
                <w:szCs w:val="18"/>
              </w:rPr>
              <w:t>4.017.741</w:t>
            </w:r>
          </w:p>
        </w:tc>
        <w:tc>
          <w:tcPr>
            <w:tcW w:w="1667" w:type="dxa"/>
            <w:tcBorders>
              <w:top w:val="single" w:sz="4" w:space="0" w:color="auto"/>
              <w:left w:val="nil"/>
              <w:bottom w:val="single" w:sz="12" w:space="0" w:color="auto"/>
              <w:right w:val="nil"/>
            </w:tcBorders>
            <w:shd w:val="clear" w:color="auto" w:fill="auto"/>
            <w:noWrap/>
            <w:vAlign w:val="bottom"/>
          </w:tcPr>
          <w:p w14:paraId="43175E71" w14:textId="77777777" w:rsidR="006A1846" w:rsidRPr="003D1614" w:rsidRDefault="006A1846" w:rsidP="004454D6">
            <w:pPr>
              <w:suppressAutoHyphens/>
              <w:autoSpaceDN w:val="0"/>
              <w:spacing w:line="300" w:lineRule="exact"/>
              <w:jc w:val="right"/>
              <w:rPr>
                <w:rFonts w:ascii="Arial" w:eastAsia="Times New Roman" w:hAnsi="Arial" w:cs="Arial"/>
                <w:b/>
                <w:bCs/>
                <w:color w:val="000000" w:themeColor="text1"/>
                <w:sz w:val="18"/>
                <w:szCs w:val="18"/>
              </w:rPr>
            </w:pPr>
            <w:r w:rsidRPr="00FA5E2C">
              <w:rPr>
                <w:rFonts w:ascii="Arial" w:eastAsia="Times New Roman" w:hAnsi="Arial" w:cs="Arial"/>
                <w:b/>
                <w:bCs/>
                <w:color w:val="000000" w:themeColor="text1"/>
                <w:sz w:val="18"/>
                <w:szCs w:val="18"/>
              </w:rPr>
              <w:t>10.633</w:t>
            </w:r>
          </w:p>
        </w:tc>
        <w:tc>
          <w:tcPr>
            <w:tcW w:w="1168" w:type="dxa"/>
            <w:tcBorders>
              <w:top w:val="single" w:sz="4" w:space="0" w:color="auto"/>
              <w:left w:val="nil"/>
              <w:bottom w:val="single" w:sz="12" w:space="0" w:color="auto"/>
              <w:right w:val="nil"/>
            </w:tcBorders>
            <w:shd w:val="clear" w:color="auto" w:fill="auto"/>
            <w:noWrap/>
            <w:vAlign w:val="bottom"/>
          </w:tcPr>
          <w:p w14:paraId="728EDB1B" w14:textId="77777777" w:rsidR="006A1846" w:rsidRPr="003D1614" w:rsidRDefault="006A1846" w:rsidP="004454D6">
            <w:pPr>
              <w:suppressAutoHyphens/>
              <w:autoSpaceDN w:val="0"/>
              <w:spacing w:line="300" w:lineRule="exact"/>
              <w:jc w:val="right"/>
              <w:rPr>
                <w:rFonts w:ascii="Arial" w:eastAsia="Times New Roman" w:hAnsi="Arial" w:cs="Arial"/>
                <w:b/>
                <w:bCs/>
                <w:color w:val="000000" w:themeColor="text1"/>
                <w:sz w:val="18"/>
                <w:szCs w:val="18"/>
              </w:rPr>
            </w:pPr>
            <w:r w:rsidRPr="00EC6291">
              <w:rPr>
                <w:rFonts w:ascii="Arial" w:eastAsia="Times New Roman" w:hAnsi="Arial" w:cs="Arial"/>
                <w:b/>
                <w:bCs/>
                <w:color w:val="000000" w:themeColor="text1"/>
                <w:sz w:val="18"/>
                <w:szCs w:val="18"/>
              </w:rPr>
              <w:t>1</w:t>
            </w:r>
            <w:r>
              <w:rPr>
                <w:rFonts w:ascii="Arial" w:eastAsia="Times New Roman" w:hAnsi="Arial" w:cs="Arial"/>
                <w:b/>
                <w:bCs/>
                <w:color w:val="000000" w:themeColor="text1"/>
                <w:sz w:val="18"/>
                <w:szCs w:val="18"/>
              </w:rPr>
              <w:t>9</w:t>
            </w:r>
            <w:r w:rsidRPr="00EC6291">
              <w:rPr>
                <w:rFonts w:ascii="Arial" w:eastAsia="Times New Roman" w:hAnsi="Arial" w:cs="Arial"/>
                <w:b/>
                <w:bCs/>
                <w:color w:val="000000" w:themeColor="text1"/>
                <w:sz w:val="18"/>
                <w:szCs w:val="18"/>
              </w:rPr>
              <w:t>0</w:t>
            </w:r>
          </w:p>
        </w:tc>
        <w:tc>
          <w:tcPr>
            <w:tcW w:w="1559" w:type="dxa"/>
            <w:tcBorders>
              <w:top w:val="single" w:sz="4" w:space="0" w:color="auto"/>
              <w:left w:val="nil"/>
              <w:bottom w:val="single" w:sz="12" w:space="0" w:color="auto"/>
              <w:right w:val="nil"/>
            </w:tcBorders>
            <w:shd w:val="clear" w:color="auto" w:fill="auto"/>
            <w:noWrap/>
            <w:vAlign w:val="bottom"/>
          </w:tcPr>
          <w:p w14:paraId="6D7894A4" w14:textId="77777777" w:rsidR="006A1846" w:rsidRPr="003D1614" w:rsidRDefault="006A1846" w:rsidP="004454D6">
            <w:pPr>
              <w:suppressAutoHyphens/>
              <w:autoSpaceDN w:val="0"/>
              <w:spacing w:line="300" w:lineRule="exact"/>
              <w:jc w:val="right"/>
              <w:rPr>
                <w:rFonts w:ascii="Arial" w:eastAsia="Times New Roman" w:hAnsi="Arial" w:cs="Arial"/>
                <w:b/>
                <w:bCs/>
                <w:color w:val="000000" w:themeColor="text1"/>
                <w:sz w:val="18"/>
                <w:szCs w:val="18"/>
              </w:rPr>
            </w:pPr>
            <w:r w:rsidRPr="006D518A">
              <w:rPr>
                <w:rFonts w:ascii="Arial" w:eastAsia="Times New Roman" w:hAnsi="Arial" w:cs="Arial"/>
                <w:b/>
                <w:bCs/>
                <w:color w:val="000000" w:themeColor="text1"/>
                <w:sz w:val="18"/>
                <w:szCs w:val="18"/>
              </w:rPr>
              <w:t>(7.51</w:t>
            </w:r>
            <w:r>
              <w:rPr>
                <w:rFonts w:ascii="Arial" w:eastAsia="Times New Roman" w:hAnsi="Arial" w:cs="Arial"/>
                <w:b/>
                <w:bCs/>
                <w:color w:val="000000" w:themeColor="text1"/>
                <w:sz w:val="18"/>
                <w:szCs w:val="18"/>
              </w:rPr>
              <w:t>9</w:t>
            </w:r>
            <w:r w:rsidRPr="006D518A">
              <w:rPr>
                <w:rFonts w:ascii="Arial" w:eastAsia="Times New Roman" w:hAnsi="Arial" w:cs="Arial"/>
                <w:b/>
                <w:bCs/>
                <w:color w:val="000000" w:themeColor="text1"/>
                <w:sz w:val="18"/>
                <w:szCs w:val="18"/>
              </w:rPr>
              <w:t>)</w:t>
            </w:r>
          </w:p>
        </w:tc>
        <w:tc>
          <w:tcPr>
            <w:tcW w:w="1134" w:type="dxa"/>
            <w:tcBorders>
              <w:top w:val="single" w:sz="4" w:space="0" w:color="auto"/>
              <w:left w:val="nil"/>
              <w:bottom w:val="single" w:sz="12" w:space="0" w:color="auto"/>
              <w:right w:val="nil"/>
            </w:tcBorders>
            <w:shd w:val="clear" w:color="auto" w:fill="auto"/>
            <w:noWrap/>
            <w:vAlign w:val="bottom"/>
          </w:tcPr>
          <w:p w14:paraId="45EB3EE7" w14:textId="77777777" w:rsidR="006A1846" w:rsidRPr="003D1614" w:rsidRDefault="006A1846" w:rsidP="004454D6">
            <w:pPr>
              <w:suppressAutoHyphens/>
              <w:autoSpaceDN w:val="0"/>
              <w:spacing w:line="300" w:lineRule="exact"/>
              <w:jc w:val="right"/>
              <w:rPr>
                <w:rFonts w:ascii="Arial" w:eastAsia="Times New Roman" w:hAnsi="Arial" w:cs="Arial"/>
                <w:b/>
                <w:bCs/>
                <w:color w:val="000000" w:themeColor="text1"/>
                <w:sz w:val="18"/>
                <w:szCs w:val="18"/>
              </w:rPr>
            </w:pPr>
            <w:r w:rsidRPr="00FA5E2C">
              <w:rPr>
                <w:rFonts w:ascii="Arial" w:eastAsia="Times New Roman" w:hAnsi="Arial" w:cs="Arial"/>
                <w:b/>
                <w:bCs/>
                <w:color w:val="000000" w:themeColor="text1"/>
                <w:sz w:val="18"/>
                <w:szCs w:val="18"/>
              </w:rPr>
              <w:t>4.021.045</w:t>
            </w:r>
          </w:p>
        </w:tc>
      </w:tr>
      <w:tr w:rsidR="006A1846" w:rsidRPr="003D1614" w14:paraId="6DE6F15B" w14:textId="77777777" w:rsidTr="004454D6">
        <w:trPr>
          <w:trHeight w:val="121"/>
        </w:trPr>
        <w:tc>
          <w:tcPr>
            <w:tcW w:w="3261" w:type="dxa"/>
            <w:tcBorders>
              <w:left w:val="nil"/>
              <w:bottom w:val="nil"/>
              <w:right w:val="nil"/>
            </w:tcBorders>
            <w:shd w:val="clear" w:color="auto" w:fill="auto"/>
            <w:vAlign w:val="bottom"/>
          </w:tcPr>
          <w:p w14:paraId="5E54AD13" w14:textId="77777777" w:rsidR="006A1846" w:rsidRPr="003D1614" w:rsidRDefault="006A1846" w:rsidP="004454D6">
            <w:pPr>
              <w:suppressAutoHyphens/>
              <w:autoSpaceDN w:val="0"/>
              <w:spacing w:line="140" w:lineRule="exact"/>
              <w:rPr>
                <w:rFonts w:ascii="Arial" w:eastAsia="Times New Roman" w:hAnsi="Arial" w:cs="Arial"/>
                <w:color w:val="000000" w:themeColor="text1"/>
                <w:sz w:val="18"/>
                <w:szCs w:val="18"/>
              </w:rPr>
            </w:pPr>
          </w:p>
        </w:tc>
        <w:tc>
          <w:tcPr>
            <w:tcW w:w="1134" w:type="dxa"/>
            <w:tcBorders>
              <w:top w:val="single" w:sz="12" w:space="0" w:color="auto"/>
              <w:left w:val="nil"/>
              <w:bottom w:val="nil"/>
              <w:right w:val="nil"/>
            </w:tcBorders>
            <w:shd w:val="clear" w:color="auto" w:fill="auto"/>
            <w:noWrap/>
            <w:vAlign w:val="bottom"/>
          </w:tcPr>
          <w:p w14:paraId="7180993A" w14:textId="77777777" w:rsidR="006A1846" w:rsidRPr="003D1614" w:rsidRDefault="006A1846" w:rsidP="004454D6">
            <w:pPr>
              <w:suppressAutoHyphens/>
              <w:autoSpaceDN w:val="0"/>
              <w:spacing w:line="140" w:lineRule="exact"/>
              <w:jc w:val="right"/>
              <w:rPr>
                <w:rFonts w:ascii="Arial" w:eastAsia="Times New Roman" w:hAnsi="Arial" w:cs="Arial"/>
                <w:color w:val="000000" w:themeColor="text1"/>
                <w:sz w:val="18"/>
                <w:szCs w:val="18"/>
              </w:rPr>
            </w:pPr>
          </w:p>
        </w:tc>
        <w:tc>
          <w:tcPr>
            <w:tcW w:w="1667" w:type="dxa"/>
            <w:tcBorders>
              <w:top w:val="single" w:sz="12" w:space="0" w:color="auto"/>
              <w:left w:val="nil"/>
              <w:bottom w:val="nil"/>
              <w:right w:val="nil"/>
            </w:tcBorders>
            <w:shd w:val="clear" w:color="auto" w:fill="auto"/>
            <w:noWrap/>
            <w:vAlign w:val="bottom"/>
          </w:tcPr>
          <w:p w14:paraId="6D83326A" w14:textId="77777777" w:rsidR="006A1846" w:rsidRPr="002910E3" w:rsidRDefault="006A1846" w:rsidP="004454D6">
            <w:pPr>
              <w:suppressAutoHyphens/>
              <w:autoSpaceDN w:val="0"/>
              <w:spacing w:line="300" w:lineRule="exact"/>
              <w:jc w:val="right"/>
              <w:rPr>
                <w:rFonts w:ascii="Arial" w:eastAsia="Times New Roman" w:hAnsi="Arial" w:cs="Arial"/>
                <w:b/>
                <w:bCs/>
                <w:color w:val="000000" w:themeColor="text1"/>
                <w:sz w:val="18"/>
                <w:szCs w:val="18"/>
              </w:rPr>
            </w:pPr>
          </w:p>
        </w:tc>
        <w:tc>
          <w:tcPr>
            <w:tcW w:w="1168" w:type="dxa"/>
            <w:tcBorders>
              <w:top w:val="single" w:sz="12" w:space="0" w:color="auto"/>
              <w:left w:val="nil"/>
              <w:bottom w:val="nil"/>
              <w:right w:val="nil"/>
            </w:tcBorders>
            <w:shd w:val="clear" w:color="auto" w:fill="auto"/>
            <w:noWrap/>
            <w:vAlign w:val="bottom"/>
          </w:tcPr>
          <w:p w14:paraId="5D31FF85" w14:textId="77777777" w:rsidR="006A1846" w:rsidRPr="002910E3" w:rsidRDefault="006A1846" w:rsidP="004454D6">
            <w:pPr>
              <w:suppressAutoHyphens/>
              <w:autoSpaceDN w:val="0"/>
              <w:spacing w:line="300" w:lineRule="exact"/>
              <w:jc w:val="right"/>
              <w:rPr>
                <w:rFonts w:ascii="Arial" w:eastAsia="Times New Roman" w:hAnsi="Arial" w:cs="Arial"/>
                <w:b/>
                <w:bCs/>
                <w:color w:val="000000" w:themeColor="text1"/>
                <w:sz w:val="18"/>
                <w:szCs w:val="18"/>
              </w:rPr>
            </w:pPr>
          </w:p>
        </w:tc>
        <w:tc>
          <w:tcPr>
            <w:tcW w:w="1559" w:type="dxa"/>
            <w:tcBorders>
              <w:top w:val="single" w:sz="12" w:space="0" w:color="auto"/>
              <w:left w:val="nil"/>
              <w:bottom w:val="nil"/>
              <w:right w:val="nil"/>
            </w:tcBorders>
            <w:shd w:val="clear" w:color="auto" w:fill="auto"/>
            <w:noWrap/>
            <w:vAlign w:val="bottom"/>
          </w:tcPr>
          <w:p w14:paraId="62248AA0" w14:textId="77777777" w:rsidR="006A1846" w:rsidRPr="002910E3" w:rsidRDefault="006A1846" w:rsidP="004454D6">
            <w:pPr>
              <w:suppressAutoHyphens/>
              <w:autoSpaceDN w:val="0"/>
              <w:spacing w:line="300" w:lineRule="exact"/>
              <w:jc w:val="right"/>
              <w:rPr>
                <w:rFonts w:ascii="Arial" w:eastAsia="Times New Roman" w:hAnsi="Arial" w:cs="Arial"/>
                <w:b/>
                <w:bCs/>
                <w:color w:val="000000" w:themeColor="text1"/>
                <w:sz w:val="18"/>
                <w:szCs w:val="18"/>
              </w:rPr>
            </w:pPr>
          </w:p>
        </w:tc>
        <w:tc>
          <w:tcPr>
            <w:tcW w:w="1134" w:type="dxa"/>
            <w:tcBorders>
              <w:top w:val="single" w:sz="12" w:space="0" w:color="auto"/>
              <w:left w:val="nil"/>
              <w:bottom w:val="nil"/>
              <w:right w:val="nil"/>
            </w:tcBorders>
            <w:shd w:val="clear" w:color="auto" w:fill="auto"/>
            <w:noWrap/>
            <w:vAlign w:val="bottom"/>
          </w:tcPr>
          <w:p w14:paraId="2EE6F8E3" w14:textId="77777777" w:rsidR="006A1846" w:rsidRPr="002910E3" w:rsidRDefault="006A1846" w:rsidP="004454D6">
            <w:pPr>
              <w:suppressAutoHyphens/>
              <w:autoSpaceDN w:val="0"/>
              <w:spacing w:line="300" w:lineRule="exact"/>
              <w:jc w:val="right"/>
              <w:rPr>
                <w:rFonts w:ascii="Arial" w:eastAsia="Times New Roman" w:hAnsi="Arial" w:cs="Arial"/>
                <w:b/>
                <w:bCs/>
                <w:color w:val="000000" w:themeColor="text1"/>
                <w:sz w:val="18"/>
                <w:szCs w:val="18"/>
              </w:rPr>
            </w:pPr>
          </w:p>
        </w:tc>
      </w:tr>
      <w:tr w:rsidR="006A1846" w:rsidRPr="003D1614" w14:paraId="54E926FB" w14:textId="77777777" w:rsidTr="004454D6">
        <w:trPr>
          <w:trHeight w:val="300"/>
        </w:trPr>
        <w:tc>
          <w:tcPr>
            <w:tcW w:w="3261" w:type="dxa"/>
            <w:tcBorders>
              <w:top w:val="nil"/>
              <w:left w:val="nil"/>
              <w:bottom w:val="nil"/>
              <w:right w:val="nil"/>
            </w:tcBorders>
            <w:shd w:val="clear" w:color="auto" w:fill="auto"/>
            <w:vAlign w:val="bottom"/>
          </w:tcPr>
          <w:p w14:paraId="4FC6288B" w14:textId="77777777" w:rsidR="006A1846" w:rsidRPr="003D1614" w:rsidRDefault="006A1846" w:rsidP="004454D6">
            <w:pPr>
              <w:suppressAutoHyphens/>
              <w:autoSpaceDN w:val="0"/>
              <w:spacing w:line="300" w:lineRule="exact"/>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Obveze segmenta</w:t>
            </w:r>
          </w:p>
        </w:tc>
        <w:tc>
          <w:tcPr>
            <w:tcW w:w="1134" w:type="dxa"/>
            <w:shd w:val="clear" w:color="auto" w:fill="auto"/>
            <w:noWrap/>
          </w:tcPr>
          <w:p w14:paraId="000E3956" w14:textId="77777777" w:rsidR="006A1846" w:rsidRPr="002910E3" w:rsidRDefault="006A1846" w:rsidP="004454D6">
            <w:pPr>
              <w:suppressAutoHyphens/>
              <w:autoSpaceDN w:val="0"/>
              <w:spacing w:line="300" w:lineRule="exact"/>
              <w:jc w:val="right"/>
              <w:rPr>
                <w:rFonts w:ascii="Arial" w:eastAsia="Times New Roman" w:hAnsi="Arial" w:cs="Arial"/>
                <w:color w:val="000000" w:themeColor="text1"/>
                <w:sz w:val="18"/>
                <w:szCs w:val="18"/>
              </w:rPr>
            </w:pPr>
            <w:r w:rsidRPr="00FA5E2C">
              <w:rPr>
                <w:rFonts w:ascii="Arial" w:eastAsia="Times New Roman" w:hAnsi="Arial" w:cs="Arial"/>
                <w:color w:val="000000" w:themeColor="text1"/>
                <w:sz w:val="18"/>
                <w:szCs w:val="18"/>
              </w:rPr>
              <w:t>2.513.947</w:t>
            </w:r>
          </w:p>
        </w:tc>
        <w:tc>
          <w:tcPr>
            <w:tcW w:w="1667" w:type="dxa"/>
            <w:shd w:val="clear" w:color="auto" w:fill="auto"/>
            <w:noWrap/>
            <w:vAlign w:val="bottom"/>
          </w:tcPr>
          <w:p w14:paraId="3CBA4DBE" w14:textId="77777777" w:rsidR="006A1846" w:rsidRPr="002910E3" w:rsidRDefault="006A1846" w:rsidP="004454D6">
            <w:pPr>
              <w:suppressAutoHyphens/>
              <w:autoSpaceDN w:val="0"/>
              <w:spacing w:line="300" w:lineRule="exact"/>
              <w:jc w:val="right"/>
              <w:rPr>
                <w:rFonts w:ascii="Arial" w:eastAsia="Times New Roman" w:hAnsi="Arial" w:cs="Arial"/>
                <w:color w:val="000000" w:themeColor="text1"/>
                <w:sz w:val="18"/>
                <w:szCs w:val="18"/>
              </w:rPr>
            </w:pPr>
            <w:r w:rsidRPr="00FA5E2C">
              <w:rPr>
                <w:rFonts w:ascii="Arial" w:eastAsia="Times New Roman" w:hAnsi="Arial" w:cs="Arial"/>
                <w:color w:val="000000" w:themeColor="text1"/>
                <w:sz w:val="18"/>
                <w:szCs w:val="18"/>
              </w:rPr>
              <w:t>2.791</w:t>
            </w:r>
          </w:p>
        </w:tc>
        <w:tc>
          <w:tcPr>
            <w:tcW w:w="1168" w:type="dxa"/>
            <w:shd w:val="clear" w:color="auto" w:fill="auto"/>
            <w:noWrap/>
            <w:vAlign w:val="bottom"/>
          </w:tcPr>
          <w:p w14:paraId="52454006" w14:textId="77777777" w:rsidR="006A1846" w:rsidRPr="002910E3" w:rsidRDefault="006A1846" w:rsidP="004454D6">
            <w:pPr>
              <w:suppressAutoHyphens/>
              <w:autoSpaceDN w:val="0"/>
              <w:spacing w:line="300" w:lineRule="exact"/>
              <w:jc w:val="right"/>
              <w:rPr>
                <w:rFonts w:ascii="Arial" w:eastAsia="Times New Roman" w:hAnsi="Arial" w:cs="Arial"/>
                <w:color w:val="000000" w:themeColor="text1"/>
                <w:sz w:val="18"/>
                <w:szCs w:val="18"/>
              </w:rPr>
            </w:pPr>
            <w:r w:rsidRPr="006D518A">
              <w:rPr>
                <w:rFonts w:ascii="Arial" w:eastAsia="Times New Roman" w:hAnsi="Arial" w:cs="Arial"/>
                <w:color w:val="000000" w:themeColor="text1"/>
                <w:sz w:val="18"/>
                <w:szCs w:val="18"/>
              </w:rPr>
              <w:t>2</w:t>
            </w:r>
            <w:r>
              <w:rPr>
                <w:rFonts w:ascii="Arial" w:eastAsia="Times New Roman" w:hAnsi="Arial" w:cs="Arial"/>
                <w:color w:val="000000" w:themeColor="text1"/>
                <w:sz w:val="18"/>
                <w:szCs w:val="18"/>
              </w:rPr>
              <w:t>9</w:t>
            </w:r>
          </w:p>
        </w:tc>
        <w:tc>
          <w:tcPr>
            <w:tcW w:w="1559" w:type="dxa"/>
            <w:shd w:val="clear" w:color="auto" w:fill="auto"/>
            <w:noWrap/>
            <w:vAlign w:val="bottom"/>
          </w:tcPr>
          <w:p w14:paraId="45B61107" w14:textId="77777777" w:rsidR="006A1846" w:rsidRPr="002910E3" w:rsidRDefault="006A1846" w:rsidP="004454D6">
            <w:pPr>
              <w:suppressAutoHyphens/>
              <w:autoSpaceDN w:val="0"/>
              <w:spacing w:line="300" w:lineRule="exact"/>
              <w:jc w:val="right"/>
              <w:rPr>
                <w:rFonts w:ascii="Arial" w:eastAsia="Times New Roman" w:hAnsi="Arial" w:cs="Arial"/>
                <w:color w:val="000000" w:themeColor="text1"/>
                <w:sz w:val="18"/>
                <w:szCs w:val="18"/>
              </w:rPr>
            </w:pPr>
            <w:r w:rsidRPr="006D518A">
              <w:rPr>
                <w:rFonts w:ascii="Arial" w:eastAsia="Times New Roman" w:hAnsi="Arial" w:cs="Arial"/>
                <w:color w:val="000000" w:themeColor="text1"/>
                <w:sz w:val="18"/>
                <w:szCs w:val="18"/>
              </w:rPr>
              <w:t>(</w:t>
            </w:r>
            <w:r>
              <w:rPr>
                <w:rFonts w:ascii="Arial" w:eastAsia="Times New Roman" w:hAnsi="Arial" w:cs="Arial"/>
                <w:color w:val="000000" w:themeColor="text1"/>
                <w:sz w:val="18"/>
                <w:szCs w:val="18"/>
              </w:rPr>
              <w:t>4</w:t>
            </w:r>
            <w:r w:rsidRPr="006D518A">
              <w:rPr>
                <w:rFonts w:ascii="Arial" w:eastAsia="Times New Roman" w:hAnsi="Arial" w:cs="Arial"/>
                <w:color w:val="000000" w:themeColor="text1"/>
                <w:sz w:val="18"/>
                <w:szCs w:val="18"/>
              </w:rPr>
              <w:t>)</w:t>
            </w:r>
          </w:p>
        </w:tc>
        <w:tc>
          <w:tcPr>
            <w:tcW w:w="1134" w:type="dxa"/>
            <w:shd w:val="clear" w:color="auto" w:fill="auto"/>
            <w:noWrap/>
            <w:vAlign w:val="bottom"/>
          </w:tcPr>
          <w:p w14:paraId="74B81421" w14:textId="77777777" w:rsidR="006A1846" w:rsidRPr="002910E3" w:rsidRDefault="006A1846" w:rsidP="004454D6">
            <w:pPr>
              <w:suppressAutoHyphens/>
              <w:autoSpaceDN w:val="0"/>
              <w:spacing w:line="300" w:lineRule="exact"/>
              <w:jc w:val="right"/>
              <w:rPr>
                <w:rFonts w:ascii="Arial" w:eastAsia="Times New Roman" w:hAnsi="Arial" w:cs="Arial"/>
                <w:color w:val="000000" w:themeColor="text1"/>
                <w:sz w:val="18"/>
                <w:szCs w:val="18"/>
              </w:rPr>
            </w:pPr>
            <w:r w:rsidRPr="00FA5E2C">
              <w:rPr>
                <w:rFonts w:ascii="Arial" w:eastAsia="Times New Roman" w:hAnsi="Arial" w:cs="Arial"/>
                <w:color w:val="000000" w:themeColor="text1"/>
                <w:sz w:val="18"/>
                <w:szCs w:val="18"/>
              </w:rPr>
              <w:t>2.516.763</w:t>
            </w:r>
          </w:p>
        </w:tc>
      </w:tr>
      <w:tr w:rsidR="006A1846" w:rsidRPr="003D1614" w14:paraId="34DF7EE8" w14:textId="77777777" w:rsidTr="004454D6">
        <w:trPr>
          <w:trHeight w:val="300"/>
        </w:trPr>
        <w:tc>
          <w:tcPr>
            <w:tcW w:w="3261" w:type="dxa"/>
            <w:tcBorders>
              <w:top w:val="nil"/>
              <w:left w:val="nil"/>
              <w:right w:val="nil"/>
            </w:tcBorders>
            <w:shd w:val="clear" w:color="auto" w:fill="auto"/>
            <w:vAlign w:val="bottom"/>
          </w:tcPr>
          <w:p w14:paraId="0F8941BB" w14:textId="77777777" w:rsidR="006A1846" w:rsidRPr="003D1614" w:rsidRDefault="006A1846" w:rsidP="004454D6">
            <w:pPr>
              <w:suppressAutoHyphens/>
              <w:autoSpaceDN w:val="0"/>
              <w:spacing w:line="300" w:lineRule="exact"/>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Ukupni kapital i rezerve</w:t>
            </w:r>
          </w:p>
        </w:tc>
        <w:tc>
          <w:tcPr>
            <w:tcW w:w="1134" w:type="dxa"/>
            <w:tcBorders>
              <w:top w:val="nil"/>
              <w:left w:val="nil"/>
              <w:bottom w:val="single" w:sz="4" w:space="0" w:color="auto"/>
              <w:right w:val="nil"/>
            </w:tcBorders>
            <w:shd w:val="clear" w:color="auto" w:fill="auto"/>
            <w:noWrap/>
          </w:tcPr>
          <w:p w14:paraId="1FAB4E8B" w14:textId="77777777" w:rsidR="006A1846" w:rsidRPr="002910E3" w:rsidRDefault="006A1846" w:rsidP="004454D6">
            <w:pPr>
              <w:suppressAutoHyphens/>
              <w:autoSpaceDN w:val="0"/>
              <w:spacing w:line="300" w:lineRule="exact"/>
              <w:jc w:val="right"/>
              <w:rPr>
                <w:rFonts w:ascii="Arial" w:eastAsia="Times New Roman" w:hAnsi="Arial" w:cs="Arial"/>
                <w:color w:val="000000" w:themeColor="text1"/>
                <w:sz w:val="18"/>
                <w:szCs w:val="18"/>
              </w:rPr>
            </w:pPr>
            <w:r w:rsidRPr="00FA5E2C">
              <w:rPr>
                <w:rFonts w:ascii="Arial" w:eastAsia="Times New Roman" w:hAnsi="Arial" w:cs="Arial"/>
                <w:color w:val="000000" w:themeColor="text1"/>
                <w:sz w:val="18"/>
                <w:szCs w:val="18"/>
              </w:rPr>
              <w:t>1.503.794</w:t>
            </w:r>
          </w:p>
        </w:tc>
        <w:tc>
          <w:tcPr>
            <w:tcW w:w="1667" w:type="dxa"/>
            <w:tcBorders>
              <w:top w:val="nil"/>
              <w:left w:val="nil"/>
              <w:bottom w:val="single" w:sz="4" w:space="0" w:color="auto"/>
              <w:right w:val="nil"/>
            </w:tcBorders>
            <w:shd w:val="clear" w:color="auto" w:fill="auto"/>
            <w:noWrap/>
            <w:vAlign w:val="bottom"/>
          </w:tcPr>
          <w:p w14:paraId="09F0F966" w14:textId="77777777" w:rsidR="006A1846" w:rsidRPr="002910E3" w:rsidRDefault="006A1846" w:rsidP="004454D6">
            <w:pPr>
              <w:suppressAutoHyphens/>
              <w:autoSpaceDN w:val="0"/>
              <w:spacing w:line="300" w:lineRule="exact"/>
              <w:jc w:val="right"/>
              <w:rPr>
                <w:rFonts w:ascii="Arial" w:eastAsia="Times New Roman" w:hAnsi="Arial" w:cs="Arial"/>
                <w:color w:val="000000" w:themeColor="text1"/>
                <w:sz w:val="18"/>
                <w:szCs w:val="18"/>
              </w:rPr>
            </w:pPr>
            <w:r w:rsidRPr="00FA5E2C">
              <w:rPr>
                <w:rFonts w:ascii="Arial" w:eastAsia="Times New Roman" w:hAnsi="Arial" w:cs="Arial"/>
                <w:color w:val="000000" w:themeColor="text1"/>
                <w:sz w:val="18"/>
                <w:szCs w:val="18"/>
              </w:rPr>
              <w:t>7.842</w:t>
            </w:r>
          </w:p>
        </w:tc>
        <w:tc>
          <w:tcPr>
            <w:tcW w:w="1168" w:type="dxa"/>
            <w:tcBorders>
              <w:top w:val="nil"/>
              <w:left w:val="nil"/>
              <w:bottom w:val="single" w:sz="4" w:space="0" w:color="auto"/>
              <w:right w:val="nil"/>
            </w:tcBorders>
            <w:shd w:val="clear" w:color="auto" w:fill="auto"/>
            <w:noWrap/>
            <w:vAlign w:val="bottom"/>
          </w:tcPr>
          <w:p w14:paraId="7C9C7BCB" w14:textId="77777777" w:rsidR="006A1846" w:rsidRPr="002910E3" w:rsidRDefault="006A1846" w:rsidP="004454D6">
            <w:pPr>
              <w:suppressAutoHyphens/>
              <w:autoSpaceDN w:val="0"/>
              <w:spacing w:line="300" w:lineRule="exact"/>
              <w:jc w:val="right"/>
              <w:rPr>
                <w:rFonts w:ascii="Arial" w:eastAsia="Times New Roman" w:hAnsi="Arial" w:cs="Arial"/>
                <w:color w:val="000000" w:themeColor="text1"/>
                <w:sz w:val="18"/>
                <w:szCs w:val="18"/>
              </w:rPr>
            </w:pPr>
            <w:r w:rsidRPr="006D518A">
              <w:rPr>
                <w:rFonts w:ascii="Arial" w:eastAsia="Times New Roman" w:hAnsi="Arial" w:cs="Arial"/>
                <w:color w:val="000000" w:themeColor="text1"/>
                <w:sz w:val="18"/>
                <w:szCs w:val="18"/>
              </w:rPr>
              <w:t>1</w:t>
            </w:r>
            <w:r>
              <w:rPr>
                <w:rFonts w:ascii="Arial" w:eastAsia="Times New Roman" w:hAnsi="Arial" w:cs="Arial"/>
                <w:color w:val="000000" w:themeColor="text1"/>
                <w:sz w:val="18"/>
                <w:szCs w:val="18"/>
              </w:rPr>
              <w:t>21</w:t>
            </w:r>
          </w:p>
        </w:tc>
        <w:tc>
          <w:tcPr>
            <w:tcW w:w="1559" w:type="dxa"/>
            <w:tcBorders>
              <w:top w:val="nil"/>
              <w:left w:val="nil"/>
              <w:bottom w:val="single" w:sz="4" w:space="0" w:color="auto"/>
              <w:right w:val="nil"/>
            </w:tcBorders>
            <w:shd w:val="clear" w:color="auto" w:fill="auto"/>
            <w:noWrap/>
            <w:vAlign w:val="bottom"/>
          </w:tcPr>
          <w:p w14:paraId="1A460E5D" w14:textId="77777777" w:rsidR="006A1846" w:rsidRPr="002910E3" w:rsidRDefault="006A1846" w:rsidP="004454D6">
            <w:pPr>
              <w:suppressAutoHyphens/>
              <w:autoSpaceDN w:val="0"/>
              <w:spacing w:line="300" w:lineRule="exact"/>
              <w:jc w:val="right"/>
              <w:rPr>
                <w:rFonts w:ascii="Arial" w:eastAsia="Times New Roman" w:hAnsi="Arial" w:cs="Arial"/>
                <w:color w:val="000000" w:themeColor="text1"/>
                <w:sz w:val="18"/>
                <w:szCs w:val="18"/>
              </w:rPr>
            </w:pPr>
            <w:r w:rsidRPr="00EC6291">
              <w:rPr>
                <w:rFonts w:ascii="Arial" w:eastAsia="Times New Roman" w:hAnsi="Arial" w:cs="Arial"/>
                <w:color w:val="000000" w:themeColor="text1"/>
                <w:sz w:val="18"/>
                <w:szCs w:val="18"/>
              </w:rPr>
              <w:t>(7.475)</w:t>
            </w:r>
          </w:p>
        </w:tc>
        <w:tc>
          <w:tcPr>
            <w:tcW w:w="1134" w:type="dxa"/>
            <w:tcBorders>
              <w:top w:val="nil"/>
              <w:left w:val="nil"/>
              <w:bottom w:val="single" w:sz="4" w:space="0" w:color="auto"/>
              <w:right w:val="nil"/>
            </w:tcBorders>
            <w:shd w:val="clear" w:color="auto" w:fill="auto"/>
            <w:noWrap/>
            <w:vAlign w:val="bottom"/>
          </w:tcPr>
          <w:p w14:paraId="0CA1C3C1" w14:textId="77777777" w:rsidR="006A1846" w:rsidRPr="002910E3" w:rsidRDefault="006A1846" w:rsidP="004454D6">
            <w:pPr>
              <w:suppressAutoHyphens/>
              <w:autoSpaceDN w:val="0"/>
              <w:spacing w:line="300" w:lineRule="exact"/>
              <w:jc w:val="right"/>
              <w:rPr>
                <w:rFonts w:ascii="Arial" w:eastAsia="Times New Roman" w:hAnsi="Arial" w:cs="Arial"/>
                <w:color w:val="000000" w:themeColor="text1"/>
                <w:sz w:val="18"/>
                <w:szCs w:val="18"/>
              </w:rPr>
            </w:pPr>
            <w:r w:rsidRPr="00FA5E2C">
              <w:rPr>
                <w:rFonts w:ascii="Arial" w:eastAsia="Times New Roman" w:hAnsi="Arial" w:cs="Arial"/>
                <w:color w:val="000000" w:themeColor="text1"/>
                <w:sz w:val="18"/>
                <w:szCs w:val="18"/>
              </w:rPr>
              <w:t>1.504.282</w:t>
            </w:r>
          </w:p>
        </w:tc>
      </w:tr>
      <w:tr w:rsidR="006A1846" w:rsidRPr="003D1614" w14:paraId="2C297B42" w14:textId="77777777" w:rsidTr="004454D6">
        <w:trPr>
          <w:trHeight w:val="315"/>
        </w:trPr>
        <w:tc>
          <w:tcPr>
            <w:tcW w:w="3261" w:type="dxa"/>
            <w:tcBorders>
              <w:left w:val="nil"/>
              <w:right w:val="nil"/>
            </w:tcBorders>
            <w:shd w:val="clear" w:color="auto" w:fill="auto"/>
            <w:vAlign w:val="bottom"/>
          </w:tcPr>
          <w:p w14:paraId="7D14622B" w14:textId="77777777" w:rsidR="006A1846" w:rsidRPr="003D1614" w:rsidRDefault="006A1846" w:rsidP="004454D6">
            <w:pPr>
              <w:suppressAutoHyphens/>
              <w:autoSpaceDN w:val="0"/>
              <w:spacing w:line="300" w:lineRule="exac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Ukupne obveze i kapital i rezerve</w:t>
            </w:r>
          </w:p>
        </w:tc>
        <w:tc>
          <w:tcPr>
            <w:tcW w:w="1134" w:type="dxa"/>
            <w:tcBorders>
              <w:top w:val="single" w:sz="4" w:space="0" w:color="auto"/>
              <w:left w:val="nil"/>
              <w:bottom w:val="single" w:sz="12" w:space="0" w:color="auto"/>
              <w:right w:val="nil"/>
            </w:tcBorders>
            <w:shd w:val="clear" w:color="auto" w:fill="auto"/>
            <w:noWrap/>
          </w:tcPr>
          <w:p w14:paraId="12070E4D" w14:textId="77777777" w:rsidR="006A1846" w:rsidRPr="003D1614" w:rsidRDefault="006A1846" w:rsidP="004454D6">
            <w:pPr>
              <w:suppressAutoHyphens/>
              <w:autoSpaceDN w:val="0"/>
              <w:spacing w:line="300" w:lineRule="exact"/>
              <w:jc w:val="right"/>
              <w:rPr>
                <w:rFonts w:ascii="Arial" w:eastAsia="Times New Roman" w:hAnsi="Arial" w:cs="Arial"/>
                <w:b/>
                <w:bCs/>
                <w:color w:val="000000" w:themeColor="text1"/>
                <w:sz w:val="18"/>
                <w:szCs w:val="18"/>
              </w:rPr>
            </w:pPr>
            <w:r w:rsidRPr="00FA5E2C">
              <w:rPr>
                <w:rFonts w:ascii="Arial" w:eastAsia="Times New Roman" w:hAnsi="Arial" w:cs="Arial"/>
                <w:b/>
                <w:bCs/>
                <w:color w:val="000000" w:themeColor="text1"/>
                <w:sz w:val="18"/>
                <w:szCs w:val="18"/>
              </w:rPr>
              <w:t>4.017.741</w:t>
            </w:r>
          </w:p>
        </w:tc>
        <w:tc>
          <w:tcPr>
            <w:tcW w:w="1667" w:type="dxa"/>
            <w:tcBorders>
              <w:top w:val="single" w:sz="4" w:space="0" w:color="auto"/>
              <w:left w:val="nil"/>
              <w:bottom w:val="single" w:sz="12" w:space="0" w:color="auto"/>
              <w:right w:val="nil"/>
            </w:tcBorders>
            <w:shd w:val="clear" w:color="auto" w:fill="auto"/>
            <w:noWrap/>
            <w:vAlign w:val="bottom"/>
          </w:tcPr>
          <w:p w14:paraId="33BC4B0F" w14:textId="77777777" w:rsidR="006A1846" w:rsidRPr="003D1614" w:rsidRDefault="006A1846" w:rsidP="004454D6">
            <w:pPr>
              <w:suppressAutoHyphens/>
              <w:autoSpaceDN w:val="0"/>
              <w:spacing w:line="300" w:lineRule="exact"/>
              <w:jc w:val="right"/>
              <w:rPr>
                <w:rFonts w:ascii="Arial" w:eastAsia="Times New Roman" w:hAnsi="Arial" w:cs="Arial"/>
                <w:b/>
                <w:bCs/>
                <w:color w:val="000000" w:themeColor="text1"/>
                <w:sz w:val="18"/>
                <w:szCs w:val="18"/>
              </w:rPr>
            </w:pPr>
            <w:r w:rsidRPr="00FA5E2C">
              <w:rPr>
                <w:rFonts w:ascii="Arial" w:eastAsia="Times New Roman" w:hAnsi="Arial" w:cs="Arial"/>
                <w:b/>
                <w:bCs/>
                <w:color w:val="000000" w:themeColor="text1"/>
                <w:sz w:val="18"/>
                <w:szCs w:val="18"/>
              </w:rPr>
              <w:t>10.633</w:t>
            </w:r>
          </w:p>
        </w:tc>
        <w:tc>
          <w:tcPr>
            <w:tcW w:w="1168" w:type="dxa"/>
            <w:tcBorders>
              <w:top w:val="single" w:sz="4" w:space="0" w:color="auto"/>
              <w:left w:val="nil"/>
              <w:bottom w:val="single" w:sz="12" w:space="0" w:color="auto"/>
              <w:right w:val="nil"/>
            </w:tcBorders>
            <w:shd w:val="clear" w:color="auto" w:fill="auto"/>
            <w:noWrap/>
            <w:vAlign w:val="bottom"/>
          </w:tcPr>
          <w:p w14:paraId="599842EF" w14:textId="77777777" w:rsidR="006A1846" w:rsidRPr="003D1614" w:rsidRDefault="006A1846" w:rsidP="004454D6">
            <w:pPr>
              <w:suppressAutoHyphens/>
              <w:autoSpaceDN w:val="0"/>
              <w:spacing w:line="300" w:lineRule="exact"/>
              <w:jc w:val="right"/>
              <w:rPr>
                <w:rFonts w:ascii="Arial" w:eastAsia="Times New Roman" w:hAnsi="Arial" w:cs="Arial"/>
                <w:b/>
                <w:bCs/>
                <w:color w:val="000000" w:themeColor="text1"/>
                <w:sz w:val="18"/>
                <w:szCs w:val="18"/>
              </w:rPr>
            </w:pPr>
            <w:r w:rsidRPr="00EC6291">
              <w:rPr>
                <w:rFonts w:ascii="Arial" w:eastAsia="Times New Roman" w:hAnsi="Arial" w:cs="Arial"/>
                <w:b/>
                <w:bCs/>
                <w:color w:val="000000" w:themeColor="text1"/>
                <w:sz w:val="18"/>
                <w:szCs w:val="18"/>
              </w:rPr>
              <w:t>1</w:t>
            </w:r>
            <w:r>
              <w:rPr>
                <w:rFonts w:ascii="Arial" w:eastAsia="Times New Roman" w:hAnsi="Arial" w:cs="Arial"/>
                <w:b/>
                <w:bCs/>
                <w:color w:val="000000" w:themeColor="text1"/>
                <w:sz w:val="18"/>
                <w:szCs w:val="18"/>
              </w:rPr>
              <w:t>5</w:t>
            </w:r>
            <w:r w:rsidRPr="00EC6291">
              <w:rPr>
                <w:rFonts w:ascii="Arial" w:eastAsia="Times New Roman" w:hAnsi="Arial" w:cs="Arial"/>
                <w:b/>
                <w:bCs/>
                <w:color w:val="000000" w:themeColor="text1"/>
                <w:sz w:val="18"/>
                <w:szCs w:val="18"/>
              </w:rPr>
              <w:t>0</w:t>
            </w:r>
          </w:p>
        </w:tc>
        <w:tc>
          <w:tcPr>
            <w:tcW w:w="1559" w:type="dxa"/>
            <w:tcBorders>
              <w:top w:val="single" w:sz="4" w:space="0" w:color="auto"/>
              <w:left w:val="nil"/>
              <w:bottom w:val="single" w:sz="12" w:space="0" w:color="auto"/>
              <w:right w:val="nil"/>
            </w:tcBorders>
            <w:shd w:val="clear" w:color="auto" w:fill="auto"/>
            <w:noWrap/>
            <w:vAlign w:val="bottom"/>
          </w:tcPr>
          <w:p w14:paraId="414CA56A" w14:textId="77777777" w:rsidR="006A1846" w:rsidRPr="003D1614" w:rsidRDefault="006A1846" w:rsidP="004454D6">
            <w:pPr>
              <w:suppressAutoHyphens/>
              <w:autoSpaceDN w:val="0"/>
              <w:spacing w:line="300" w:lineRule="exact"/>
              <w:jc w:val="right"/>
              <w:rPr>
                <w:rFonts w:ascii="Arial" w:eastAsia="Times New Roman" w:hAnsi="Arial" w:cs="Arial"/>
                <w:b/>
                <w:bCs/>
                <w:color w:val="000000" w:themeColor="text1"/>
                <w:sz w:val="18"/>
                <w:szCs w:val="18"/>
              </w:rPr>
            </w:pPr>
            <w:r w:rsidRPr="00EC6291">
              <w:rPr>
                <w:rFonts w:ascii="Arial" w:eastAsia="Times New Roman" w:hAnsi="Arial" w:cs="Arial"/>
                <w:b/>
                <w:bCs/>
                <w:color w:val="000000" w:themeColor="text1"/>
                <w:sz w:val="18"/>
                <w:szCs w:val="18"/>
              </w:rPr>
              <w:t>(7.47</w:t>
            </w:r>
            <w:r>
              <w:rPr>
                <w:rFonts w:ascii="Arial" w:eastAsia="Times New Roman" w:hAnsi="Arial" w:cs="Arial"/>
                <w:b/>
                <w:bCs/>
                <w:color w:val="000000" w:themeColor="text1"/>
                <w:sz w:val="18"/>
                <w:szCs w:val="18"/>
              </w:rPr>
              <w:t>9</w:t>
            </w:r>
            <w:r w:rsidRPr="00EC6291">
              <w:rPr>
                <w:rFonts w:ascii="Arial" w:eastAsia="Times New Roman" w:hAnsi="Arial" w:cs="Arial"/>
                <w:b/>
                <w:bCs/>
                <w:color w:val="000000" w:themeColor="text1"/>
                <w:sz w:val="18"/>
                <w:szCs w:val="18"/>
              </w:rPr>
              <w:t>)</w:t>
            </w:r>
          </w:p>
        </w:tc>
        <w:tc>
          <w:tcPr>
            <w:tcW w:w="1134" w:type="dxa"/>
            <w:tcBorders>
              <w:top w:val="single" w:sz="4" w:space="0" w:color="auto"/>
              <w:left w:val="nil"/>
              <w:bottom w:val="single" w:sz="12" w:space="0" w:color="auto"/>
              <w:right w:val="nil"/>
            </w:tcBorders>
            <w:shd w:val="clear" w:color="auto" w:fill="auto"/>
            <w:noWrap/>
            <w:vAlign w:val="bottom"/>
          </w:tcPr>
          <w:p w14:paraId="34729E23" w14:textId="77777777" w:rsidR="006A1846" w:rsidRPr="003D1614" w:rsidRDefault="006A1846" w:rsidP="004454D6">
            <w:pPr>
              <w:suppressAutoHyphens/>
              <w:autoSpaceDN w:val="0"/>
              <w:spacing w:line="300" w:lineRule="exact"/>
              <w:jc w:val="right"/>
              <w:rPr>
                <w:rFonts w:ascii="Arial" w:eastAsia="Times New Roman" w:hAnsi="Arial" w:cs="Arial"/>
                <w:b/>
                <w:bCs/>
                <w:color w:val="000000" w:themeColor="text1"/>
                <w:sz w:val="18"/>
                <w:szCs w:val="18"/>
              </w:rPr>
            </w:pPr>
            <w:r w:rsidRPr="00FA5E2C">
              <w:rPr>
                <w:rFonts w:ascii="Arial" w:eastAsia="Times New Roman" w:hAnsi="Arial" w:cs="Arial"/>
                <w:b/>
                <w:bCs/>
                <w:color w:val="000000" w:themeColor="text1"/>
                <w:sz w:val="18"/>
                <w:szCs w:val="18"/>
              </w:rPr>
              <w:t>4.021.045</w:t>
            </w:r>
          </w:p>
        </w:tc>
      </w:tr>
    </w:tbl>
    <w:p w14:paraId="07D733A6" w14:textId="77777777" w:rsidR="006A1846" w:rsidRDefault="006A1846" w:rsidP="006A1846">
      <w:pPr>
        <w:suppressAutoHyphens/>
        <w:autoSpaceDN w:val="0"/>
        <w:jc w:val="both"/>
        <w:rPr>
          <w:rFonts w:ascii="Arial" w:eastAsia="Times New Roman" w:hAnsi="Arial" w:cs="Arial"/>
          <w:color w:val="000000" w:themeColor="text1"/>
          <w:sz w:val="20"/>
          <w:szCs w:val="20"/>
        </w:rPr>
      </w:pPr>
    </w:p>
    <w:p w14:paraId="465D6DF6" w14:textId="10437B20" w:rsidR="006A1846" w:rsidRPr="003D1614" w:rsidRDefault="006A1846" w:rsidP="006A1846">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Međusobni odnosi između članica Grupe iskazani su u koloni „Neraspoređeno“.</w:t>
      </w:r>
    </w:p>
    <w:p w14:paraId="56811E36" w14:textId="77777777" w:rsidR="00870460" w:rsidRPr="003D1614" w:rsidRDefault="00870460" w:rsidP="00870460">
      <w:pPr>
        <w:suppressAutoHyphens/>
        <w:autoSpaceDN w:val="0"/>
        <w:jc w:val="both"/>
        <w:rPr>
          <w:rFonts w:ascii="Arial" w:eastAsia="Times New Roman" w:hAnsi="Arial" w:cs="Arial"/>
          <w:color w:val="000000" w:themeColor="text1"/>
          <w:sz w:val="20"/>
          <w:szCs w:val="20"/>
        </w:rPr>
      </w:pPr>
    </w:p>
    <w:p w14:paraId="750AC67F" w14:textId="178FB3B1" w:rsidR="00870460" w:rsidRPr="003D1614" w:rsidRDefault="00870460" w:rsidP="003E5073">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Grupa se odredila za jednostavan pristup iskazivanja operativnih segmenata uvažavajući osnovni poslovni model svake članice Grupe kako je prethodno opisano u ovoj bilješci</w:t>
      </w:r>
      <w:bookmarkEnd w:id="1035"/>
      <w:r w:rsidRPr="003D1614">
        <w:rPr>
          <w:rFonts w:ascii="Arial" w:eastAsia="Times New Roman" w:hAnsi="Arial" w:cs="Arial"/>
          <w:color w:val="000000" w:themeColor="text1"/>
          <w:sz w:val="20"/>
          <w:szCs w:val="20"/>
        </w:rPr>
        <w:t>.</w:t>
      </w:r>
    </w:p>
    <w:p w14:paraId="7EED59CD" w14:textId="729AF8C4" w:rsidR="00870460" w:rsidRPr="003D1614" w:rsidRDefault="00870460" w:rsidP="003E5073">
      <w:pPr>
        <w:suppressAutoHyphens/>
        <w:autoSpaceDN w:val="0"/>
        <w:jc w:val="both"/>
        <w:rPr>
          <w:rFonts w:ascii="Arial" w:eastAsia="Times New Roman" w:hAnsi="Arial" w:cs="Arial"/>
          <w:color w:val="000000" w:themeColor="text1"/>
          <w:sz w:val="20"/>
          <w:szCs w:val="20"/>
        </w:rPr>
      </w:pPr>
    </w:p>
    <w:p w14:paraId="31009B49" w14:textId="77777777" w:rsidR="00870460" w:rsidRPr="003D1614" w:rsidRDefault="00870460" w:rsidP="003E5073">
      <w:pPr>
        <w:suppressAutoHyphens/>
        <w:autoSpaceDN w:val="0"/>
        <w:jc w:val="both"/>
        <w:rPr>
          <w:rFonts w:ascii="Arial" w:eastAsia="Times New Roman" w:hAnsi="Arial" w:cs="Arial"/>
          <w:color w:val="000000" w:themeColor="text1"/>
          <w:sz w:val="20"/>
          <w:szCs w:val="20"/>
        </w:rPr>
        <w:sectPr w:rsidR="00870460" w:rsidRPr="003D1614" w:rsidSect="003278AB">
          <w:footerReference w:type="default" r:id="rId31"/>
          <w:pgSz w:w="11906" w:h="16838"/>
          <w:pgMar w:top="1417" w:right="1417" w:bottom="1417" w:left="1417" w:header="708" w:footer="708" w:gutter="0"/>
          <w:cols w:space="708"/>
          <w:docGrid w:linePitch="360"/>
        </w:sectPr>
      </w:pPr>
    </w:p>
    <w:p w14:paraId="3E467B9A" w14:textId="41389E40" w:rsidR="00870460" w:rsidRPr="003D1614" w:rsidRDefault="00870460" w:rsidP="003E5073">
      <w:pPr>
        <w:suppressAutoHyphens/>
        <w:autoSpaceDN w:val="0"/>
        <w:jc w:val="both"/>
        <w:rPr>
          <w:rFonts w:ascii="Arial" w:eastAsia="Times New Roman" w:hAnsi="Arial" w:cs="Arial"/>
          <w:color w:val="000000" w:themeColor="text1"/>
          <w:sz w:val="20"/>
          <w:szCs w:val="20"/>
        </w:rPr>
      </w:pPr>
    </w:p>
    <w:p w14:paraId="29C14E6B" w14:textId="71CBA1F5" w:rsidR="00870460" w:rsidRPr="003D1614" w:rsidRDefault="00870460" w:rsidP="00870460">
      <w:pPr>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pacing w:val="-3"/>
          <w:sz w:val="20"/>
          <w:szCs w:val="20"/>
        </w:rPr>
        <w:t>2</w:t>
      </w:r>
      <w:r w:rsidR="00C55B0C">
        <w:rPr>
          <w:rFonts w:ascii="Arial" w:eastAsia="Times New Roman" w:hAnsi="Arial" w:cs="Arial"/>
          <w:b/>
          <w:color w:val="000000" w:themeColor="text1"/>
          <w:spacing w:val="-3"/>
          <w:sz w:val="20"/>
          <w:szCs w:val="20"/>
        </w:rPr>
        <w:t>5</w:t>
      </w:r>
      <w:r w:rsidRPr="003D1614">
        <w:rPr>
          <w:rFonts w:ascii="Arial" w:eastAsia="Times New Roman" w:hAnsi="Arial" w:cs="Arial"/>
          <w:b/>
          <w:color w:val="000000" w:themeColor="text1"/>
          <w:spacing w:val="-3"/>
          <w:sz w:val="20"/>
          <w:szCs w:val="20"/>
        </w:rPr>
        <w:t xml:space="preserve">. </w:t>
      </w:r>
      <w:r w:rsidRPr="003D1614">
        <w:rPr>
          <w:rFonts w:ascii="Arial" w:eastAsia="Times New Roman" w:hAnsi="Arial" w:cs="Arial"/>
          <w:b/>
          <w:color w:val="000000" w:themeColor="text1"/>
          <w:spacing w:val="-3"/>
          <w:sz w:val="20"/>
          <w:szCs w:val="20"/>
        </w:rPr>
        <w:tab/>
      </w:r>
      <w:r w:rsidRPr="003D1614">
        <w:rPr>
          <w:rFonts w:ascii="Arial" w:eastAsia="Times New Roman" w:hAnsi="Arial" w:cs="Arial"/>
          <w:b/>
          <w:color w:val="000000" w:themeColor="text1"/>
          <w:sz w:val="20"/>
          <w:szCs w:val="20"/>
        </w:rPr>
        <w:t>Izvještavanje po segmentima (nastavak)</w:t>
      </w:r>
    </w:p>
    <w:p w14:paraId="3B922108" w14:textId="517E5423" w:rsidR="003A2761" w:rsidRPr="003D1614" w:rsidRDefault="003A2761" w:rsidP="003E5073">
      <w:pPr>
        <w:suppressAutoHyphens/>
        <w:autoSpaceDN w:val="0"/>
        <w:jc w:val="both"/>
        <w:rPr>
          <w:rFonts w:ascii="Arial" w:eastAsia="Calibri" w:hAnsi="Arial" w:cs="Arial"/>
          <w:color w:val="000000" w:themeColor="text1"/>
          <w:sz w:val="20"/>
          <w:szCs w:val="20"/>
        </w:rPr>
      </w:pPr>
    </w:p>
    <w:tbl>
      <w:tblPr>
        <w:tblpPr w:leftFromText="181" w:rightFromText="181" w:vertAnchor="text" w:horzAnchor="margin" w:tblpXSpec="center" w:tblpY="1"/>
        <w:tblW w:w="9923" w:type="dxa"/>
        <w:tblLayout w:type="fixed"/>
        <w:tblLook w:val="04A0" w:firstRow="1" w:lastRow="0" w:firstColumn="1" w:lastColumn="0" w:noHBand="0" w:noVBand="1"/>
      </w:tblPr>
      <w:tblGrid>
        <w:gridCol w:w="3261"/>
        <w:gridCol w:w="1134"/>
        <w:gridCol w:w="1667"/>
        <w:gridCol w:w="1168"/>
        <w:gridCol w:w="1559"/>
        <w:gridCol w:w="1134"/>
      </w:tblGrid>
      <w:tr w:rsidR="00870460" w:rsidRPr="003D1614" w14:paraId="6E5918B0" w14:textId="77777777" w:rsidTr="00BC10BC">
        <w:trPr>
          <w:trHeight w:val="300"/>
        </w:trPr>
        <w:tc>
          <w:tcPr>
            <w:tcW w:w="3261" w:type="dxa"/>
            <w:tcBorders>
              <w:top w:val="nil"/>
              <w:left w:val="nil"/>
              <w:right w:val="nil"/>
            </w:tcBorders>
            <w:shd w:val="clear" w:color="auto" w:fill="auto"/>
            <w:vAlign w:val="bottom"/>
          </w:tcPr>
          <w:p w14:paraId="0C000AB1" w14:textId="77777777" w:rsidR="00870460" w:rsidRPr="003D1614" w:rsidRDefault="00870460" w:rsidP="00BC10BC">
            <w:pPr>
              <w:suppressAutoHyphens/>
              <w:autoSpaceDN w:val="0"/>
              <w:spacing w:line="300" w:lineRule="exact"/>
              <w:rPr>
                <w:rFonts w:ascii="Arial" w:eastAsia="Times New Roman" w:hAnsi="Arial" w:cs="Arial"/>
                <w:b/>
                <w:bCs/>
                <w:color w:val="000000" w:themeColor="text1"/>
                <w:sz w:val="18"/>
                <w:szCs w:val="18"/>
              </w:rPr>
            </w:pPr>
          </w:p>
        </w:tc>
        <w:tc>
          <w:tcPr>
            <w:tcW w:w="1134" w:type="dxa"/>
            <w:tcBorders>
              <w:top w:val="nil"/>
              <w:left w:val="nil"/>
              <w:right w:val="nil"/>
            </w:tcBorders>
            <w:shd w:val="clear" w:color="auto" w:fill="auto"/>
            <w:noWrap/>
          </w:tcPr>
          <w:p w14:paraId="78A6EEF4" w14:textId="77777777" w:rsidR="00870460" w:rsidRPr="003D1614" w:rsidRDefault="00870460" w:rsidP="00BC10BC">
            <w:pPr>
              <w:suppressAutoHyphens/>
              <w:autoSpaceDN w:val="0"/>
              <w:spacing w:line="300" w:lineRule="exact"/>
              <w:jc w:val="right"/>
              <w:rPr>
                <w:rFonts w:ascii="Arial" w:eastAsia="Times New Roman" w:hAnsi="Arial" w:cs="Arial"/>
                <w:b/>
                <w:color w:val="000000" w:themeColor="text1"/>
                <w:sz w:val="18"/>
                <w:szCs w:val="18"/>
              </w:rPr>
            </w:pPr>
          </w:p>
        </w:tc>
        <w:tc>
          <w:tcPr>
            <w:tcW w:w="1667" w:type="dxa"/>
            <w:tcBorders>
              <w:top w:val="nil"/>
              <w:left w:val="nil"/>
              <w:right w:val="nil"/>
            </w:tcBorders>
            <w:shd w:val="clear" w:color="auto" w:fill="auto"/>
            <w:noWrap/>
            <w:vAlign w:val="bottom"/>
          </w:tcPr>
          <w:p w14:paraId="372A11DC" w14:textId="77777777" w:rsidR="00870460" w:rsidRPr="003D1614" w:rsidRDefault="00870460" w:rsidP="00BC10BC">
            <w:pPr>
              <w:suppressAutoHyphens/>
              <w:autoSpaceDN w:val="0"/>
              <w:spacing w:line="300" w:lineRule="exact"/>
              <w:jc w:val="right"/>
              <w:rPr>
                <w:rFonts w:ascii="Arial" w:eastAsia="Times New Roman" w:hAnsi="Arial" w:cs="Arial"/>
                <w:b/>
                <w:color w:val="000000" w:themeColor="text1"/>
                <w:sz w:val="18"/>
                <w:szCs w:val="18"/>
              </w:rPr>
            </w:pPr>
          </w:p>
        </w:tc>
        <w:tc>
          <w:tcPr>
            <w:tcW w:w="1168" w:type="dxa"/>
            <w:tcBorders>
              <w:top w:val="nil"/>
              <w:left w:val="nil"/>
              <w:right w:val="nil"/>
            </w:tcBorders>
            <w:shd w:val="clear" w:color="auto" w:fill="auto"/>
            <w:noWrap/>
            <w:vAlign w:val="bottom"/>
          </w:tcPr>
          <w:p w14:paraId="63FBEB47" w14:textId="77777777" w:rsidR="00870460" w:rsidRPr="003D1614" w:rsidRDefault="00870460" w:rsidP="00BC10BC">
            <w:pPr>
              <w:suppressAutoHyphens/>
              <w:autoSpaceDN w:val="0"/>
              <w:spacing w:line="300" w:lineRule="exact"/>
              <w:jc w:val="right"/>
              <w:rPr>
                <w:rFonts w:ascii="Arial" w:eastAsia="Times New Roman" w:hAnsi="Arial" w:cs="Arial"/>
                <w:b/>
                <w:color w:val="000000" w:themeColor="text1"/>
                <w:sz w:val="18"/>
                <w:szCs w:val="18"/>
              </w:rPr>
            </w:pPr>
          </w:p>
        </w:tc>
        <w:tc>
          <w:tcPr>
            <w:tcW w:w="1559" w:type="dxa"/>
            <w:tcBorders>
              <w:top w:val="nil"/>
              <w:left w:val="nil"/>
              <w:right w:val="nil"/>
            </w:tcBorders>
            <w:shd w:val="clear" w:color="auto" w:fill="auto"/>
            <w:noWrap/>
            <w:vAlign w:val="bottom"/>
          </w:tcPr>
          <w:p w14:paraId="527DF223" w14:textId="77777777" w:rsidR="00870460" w:rsidRPr="003D1614" w:rsidRDefault="00870460" w:rsidP="00BC10BC">
            <w:pPr>
              <w:suppressAutoHyphens/>
              <w:autoSpaceDN w:val="0"/>
              <w:spacing w:line="300" w:lineRule="exact"/>
              <w:jc w:val="right"/>
              <w:rPr>
                <w:rFonts w:ascii="Arial" w:eastAsia="Times New Roman" w:hAnsi="Arial" w:cs="Arial"/>
                <w:b/>
                <w:color w:val="000000" w:themeColor="text1"/>
                <w:sz w:val="18"/>
                <w:szCs w:val="18"/>
              </w:rPr>
            </w:pPr>
          </w:p>
        </w:tc>
        <w:tc>
          <w:tcPr>
            <w:tcW w:w="1134" w:type="dxa"/>
            <w:tcBorders>
              <w:top w:val="nil"/>
              <w:left w:val="nil"/>
              <w:right w:val="nil"/>
            </w:tcBorders>
            <w:shd w:val="clear" w:color="auto" w:fill="auto"/>
            <w:noWrap/>
            <w:vAlign w:val="bottom"/>
          </w:tcPr>
          <w:p w14:paraId="44BEFF68" w14:textId="77777777" w:rsidR="00870460" w:rsidRPr="003D1614" w:rsidRDefault="00870460" w:rsidP="00BC10BC">
            <w:pPr>
              <w:suppressAutoHyphens/>
              <w:autoSpaceDN w:val="0"/>
              <w:spacing w:line="300" w:lineRule="exact"/>
              <w:jc w:val="right"/>
              <w:rPr>
                <w:rFonts w:ascii="Arial" w:eastAsia="Times New Roman" w:hAnsi="Arial" w:cs="Arial"/>
                <w:b/>
                <w:color w:val="000000" w:themeColor="text1"/>
                <w:sz w:val="18"/>
                <w:szCs w:val="18"/>
              </w:rPr>
            </w:pPr>
          </w:p>
        </w:tc>
      </w:tr>
      <w:tr w:rsidR="00870460" w:rsidRPr="003D1614" w14:paraId="16076A48" w14:textId="77777777" w:rsidTr="00BC10BC">
        <w:trPr>
          <w:trHeight w:val="600"/>
        </w:trPr>
        <w:tc>
          <w:tcPr>
            <w:tcW w:w="3261" w:type="dxa"/>
            <w:tcBorders>
              <w:left w:val="nil"/>
              <w:right w:val="nil"/>
            </w:tcBorders>
            <w:shd w:val="clear" w:color="auto" w:fill="auto"/>
            <w:vAlign w:val="bottom"/>
          </w:tcPr>
          <w:p w14:paraId="6B1504F5" w14:textId="766D7593" w:rsidR="00870460" w:rsidRPr="003D1614" w:rsidRDefault="00870460" w:rsidP="00BC10BC">
            <w:pPr>
              <w:suppressAutoHyphens/>
              <w:autoSpaceDN w:val="0"/>
              <w:spacing w:line="300" w:lineRule="exac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 xml:space="preserve">1. siječnja - </w:t>
            </w:r>
            <w:r w:rsidR="00FE5E16" w:rsidRPr="00FE5E16">
              <w:rPr>
                <w:rFonts w:ascii="Arial" w:eastAsia="Times New Roman" w:hAnsi="Arial" w:cs="Arial"/>
                <w:b/>
                <w:bCs/>
                <w:color w:val="000000" w:themeColor="text1"/>
                <w:sz w:val="18"/>
                <w:szCs w:val="18"/>
              </w:rPr>
              <w:t>30. rujna 202</w:t>
            </w:r>
            <w:r w:rsidR="00AF0A09">
              <w:rPr>
                <w:rFonts w:ascii="Arial" w:eastAsia="Times New Roman" w:hAnsi="Arial" w:cs="Arial"/>
                <w:b/>
                <w:bCs/>
                <w:color w:val="000000" w:themeColor="text1"/>
                <w:sz w:val="18"/>
                <w:szCs w:val="18"/>
              </w:rPr>
              <w:t>3</w:t>
            </w:r>
            <w:r w:rsidR="00FE5E16" w:rsidRPr="00FE5E16">
              <w:rPr>
                <w:rFonts w:ascii="Arial" w:eastAsia="Times New Roman" w:hAnsi="Arial" w:cs="Arial"/>
                <w:b/>
                <w:bCs/>
                <w:color w:val="000000" w:themeColor="text1"/>
                <w:sz w:val="18"/>
                <w:szCs w:val="18"/>
              </w:rPr>
              <w:t>.</w:t>
            </w:r>
          </w:p>
        </w:tc>
        <w:tc>
          <w:tcPr>
            <w:tcW w:w="1134" w:type="dxa"/>
            <w:tcBorders>
              <w:left w:val="nil"/>
              <w:right w:val="nil"/>
            </w:tcBorders>
            <w:shd w:val="clear" w:color="auto" w:fill="auto"/>
          </w:tcPr>
          <w:p w14:paraId="206C0FEF" w14:textId="77777777" w:rsidR="00870460" w:rsidRPr="003D1614" w:rsidRDefault="00870460" w:rsidP="00BC10BC">
            <w:pPr>
              <w:suppressAutoHyphens/>
              <w:autoSpaceDN w:val="0"/>
              <w:spacing w:line="300" w:lineRule="exac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Bankarske aktivnosti</w:t>
            </w:r>
          </w:p>
        </w:tc>
        <w:tc>
          <w:tcPr>
            <w:tcW w:w="1667" w:type="dxa"/>
            <w:tcBorders>
              <w:left w:val="nil"/>
              <w:right w:val="nil"/>
            </w:tcBorders>
            <w:shd w:val="clear" w:color="auto" w:fill="auto"/>
          </w:tcPr>
          <w:p w14:paraId="6CAC1113" w14:textId="77777777" w:rsidR="00870460" w:rsidRPr="003D1614" w:rsidRDefault="00870460" w:rsidP="00BC10BC">
            <w:pPr>
              <w:suppressAutoHyphens/>
              <w:autoSpaceDN w:val="0"/>
              <w:spacing w:line="300" w:lineRule="exac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Osiguravateljske aktivnosti</w:t>
            </w:r>
          </w:p>
        </w:tc>
        <w:tc>
          <w:tcPr>
            <w:tcW w:w="1168" w:type="dxa"/>
            <w:tcBorders>
              <w:left w:val="nil"/>
              <w:right w:val="nil"/>
            </w:tcBorders>
            <w:shd w:val="clear" w:color="auto" w:fill="auto"/>
          </w:tcPr>
          <w:p w14:paraId="2017EA29" w14:textId="77777777" w:rsidR="00870460" w:rsidRPr="003D1614" w:rsidRDefault="00870460" w:rsidP="00BC10BC">
            <w:pPr>
              <w:suppressAutoHyphens/>
              <w:autoSpaceDN w:val="0"/>
              <w:spacing w:line="300" w:lineRule="exac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Ostale aktivnosti</w:t>
            </w:r>
          </w:p>
        </w:tc>
        <w:tc>
          <w:tcPr>
            <w:tcW w:w="1559" w:type="dxa"/>
            <w:tcBorders>
              <w:left w:val="nil"/>
              <w:right w:val="nil"/>
            </w:tcBorders>
            <w:shd w:val="clear" w:color="auto" w:fill="auto"/>
          </w:tcPr>
          <w:p w14:paraId="507EDBDE" w14:textId="77777777" w:rsidR="00870460" w:rsidRPr="003D1614" w:rsidRDefault="00870460" w:rsidP="00BC10BC">
            <w:pPr>
              <w:suppressAutoHyphens/>
              <w:autoSpaceDN w:val="0"/>
              <w:spacing w:line="300" w:lineRule="exac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Neraspoređeno</w:t>
            </w:r>
          </w:p>
        </w:tc>
        <w:tc>
          <w:tcPr>
            <w:tcW w:w="1134" w:type="dxa"/>
            <w:tcBorders>
              <w:left w:val="nil"/>
              <w:right w:val="nil"/>
            </w:tcBorders>
            <w:shd w:val="clear" w:color="auto" w:fill="auto"/>
          </w:tcPr>
          <w:p w14:paraId="2DC5BD99" w14:textId="77777777" w:rsidR="00870460" w:rsidRPr="003D1614" w:rsidRDefault="00870460" w:rsidP="00BC10BC">
            <w:pPr>
              <w:suppressAutoHyphens/>
              <w:autoSpaceDN w:val="0"/>
              <w:spacing w:line="300" w:lineRule="exac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Ukupno</w:t>
            </w:r>
          </w:p>
        </w:tc>
      </w:tr>
      <w:tr w:rsidR="00870460" w:rsidRPr="003D1614" w14:paraId="6B385692" w14:textId="77777777" w:rsidTr="00BC10BC">
        <w:trPr>
          <w:trHeight w:val="234"/>
        </w:trPr>
        <w:tc>
          <w:tcPr>
            <w:tcW w:w="3261" w:type="dxa"/>
            <w:tcBorders>
              <w:left w:val="nil"/>
              <w:bottom w:val="nil"/>
              <w:right w:val="nil"/>
            </w:tcBorders>
            <w:shd w:val="clear" w:color="auto" w:fill="auto"/>
            <w:vAlign w:val="bottom"/>
          </w:tcPr>
          <w:p w14:paraId="3584FB83" w14:textId="77777777" w:rsidR="00870460" w:rsidRPr="003D1614" w:rsidRDefault="00870460" w:rsidP="00BC10BC">
            <w:pPr>
              <w:suppressAutoHyphens/>
              <w:autoSpaceDN w:val="0"/>
              <w:spacing w:line="300" w:lineRule="exact"/>
              <w:rPr>
                <w:rFonts w:ascii="Arial" w:eastAsia="Times New Roman" w:hAnsi="Arial" w:cs="Arial"/>
                <w:b/>
                <w:bCs/>
                <w:color w:val="000000" w:themeColor="text1"/>
                <w:sz w:val="18"/>
                <w:szCs w:val="18"/>
              </w:rPr>
            </w:pPr>
          </w:p>
        </w:tc>
        <w:tc>
          <w:tcPr>
            <w:tcW w:w="1134" w:type="dxa"/>
            <w:tcBorders>
              <w:left w:val="nil"/>
              <w:bottom w:val="nil"/>
              <w:right w:val="nil"/>
            </w:tcBorders>
            <w:shd w:val="clear" w:color="auto" w:fill="auto"/>
            <w:noWrap/>
            <w:vAlign w:val="bottom"/>
          </w:tcPr>
          <w:p w14:paraId="49B1A2A3" w14:textId="5774008E" w:rsidR="00870460" w:rsidRPr="003D1614" w:rsidRDefault="00870460" w:rsidP="00BC10BC">
            <w:pPr>
              <w:suppressAutoHyphens/>
              <w:autoSpaceDN w:val="0"/>
              <w:spacing w:line="300" w:lineRule="exac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000 eura</w:t>
            </w:r>
          </w:p>
        </w:tc>
        <w:tc>
          <w:tcPr>
            <w:tcW w:w="1667" w:type="dxa"/>
            <w:tcBorders>
              <w:left w:val="nil"/>
              <w:bottom w:val="nil"/>
              <w:right w:val="nil"/>
            </w:tcBorders>
            <w:shd w:val="clear" w:color="auto" w:fill="auto"/>
            <w:noWrap/>
            <w:vAlign w:val="bottom"/>
          </w:tcPr>
          <w:p w14:paraId="3EB91D15" w14:textId="59E3F193" w:rsidR="00870460" w:rsidRPr="003D1614" w:rsidRDefault="00870460" w:rsidP="00BC10BC">
            <w:pPr>
              <w:suppressAutoHyphens/>
              <w:autoSpaceDN w:val="0"/>
              <w:spacing w:line="300" w:lineRule="exac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000 eura</w:t>
            </w:r>
          </w:p>
        </w:tc>
        <w:tc>
          <w:tcPr>
            <w:tcW w:w="1168" w:type="dxa"/>
            <w:tcBorders>
              <w:left w:val="nil"/>
              <w:bottom w:val="nil"/>
              <w:right w:val="nil"/>
            </w:tcBorders>
            <w:shd w:val="clear" w:color="auto" w:fill="auto"/>
            <w:noWrap/>
            <w:vAlign w:val="bottom"/>
          </w:tcPr>
          <w:p w14:paraId="5E9D8E9C" w14:textId="4F5ADA36" w:rsidR="00870460" w:rsidRPr="003D1614" w:rsidRDefault="00870460" w:rsidP="00BC10BC">
            <w:pPr>
              <w:suppressAutoHyphens/>
              <w:autoSpaceDN w:val="0"/>
              <w:spacing w:line="300" w:lineRule="exac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000 eura</w:t>
            </w:r>
          </w:p>
        </w:tc>
        <w:tc>
          <w:tcPr>
            <w:tcW w:w="1559" w:type="dxa"/>
            <w:tcBorders>
              <w:left w:val="nil"/>
              <w:bottom w:val="nil"/>
              <w:right w:val="nil"/>
            </w:tcBorders>
            <w:shd w:val="clear" w:color="auto" w:fill="auto"/>
            <w:noWrap/>
            <w:vAlign w:val="bottom"/>
          </w:tcPr>
          <w:p w14:paraId="5D74EAA9" w14:textId="1881663E" w:rsidR="00870460" w:rsidRPr="003D1614" w:rsidRDefault="00870460" w:rsidP="00BC10BC">
            <w:pPr>
              <w:suppressAutoHyphens/>
              <w:autoSpaceDN w:val="0"/>
              <w:spacing w:line="300" w:lineRule="exac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000 eura</w:t>
            </w:r>
          </w:p>
        </w:tc>
        <w:tc>
          <w:tcPr>
            <w:tcW w:w="1134" w:type="dxa"/>
            <w:tcBorders>
              <w:left w:val="nil"/>
              <w:bottom w:val="nil"/>
              <w:right w:val="nil"/>
            </w:tcBorders>
            <w:shd w:val="clear" w:color="auto" w:fill="auto"/>
            <w:noWrap/>
            <w:vAlign w:val="bottom"/>
          </w:tcPr>
          <w:p w14:paraId="695B3620" w14:textId="178817F3" w:rsidR="00870460" w:rsidRPr="003D1614" w:rsidRDefault="00870460" w:rsidP="00BC10BC">
            <w:pPr>
              <w:suppressAutoHyphens/>
              <w:autoSpaceDN w:val="0"/>
              <w:spacing w:line="300" w:lineRule="exac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000 eura</w:t>
            </w:r>
          </w:p>
        </w:tc>
      </w:tr>
      <w:tr w:rsidR="00870460" w:rsidRPr="003D1614" w14:paraId="6083C8D5" w14:textId="77777777" w:rsidTr="00BC10BC">
        <w:trPr>
          <w:trHeight w:val="59"/>
        </w:trPr>
        <w:tc>
          <w:tcPr>
            <w:tcW w:w="3261" w:type="dxa"/>
            <w:tcBorders>
              <w:top w:val="nil"/>
              <w:left w:val="nil"/>
              <w:bottom w:val="nil"/>
              <w:right w:val="nil"/>
            </w:tcBorders>
            <w:shd w:val="clear" w:color="auto" w:fill="auto"/>
            <w:vAlign w:val="bottom"/>
          </w:tcPr>
          <w:p w14:paraId="6B5DFCEC" w14:textId="77777777" w:rsidR="00870460" w:rsidRPr="003D1614" w:rsidRDefault="00870460" w:rsidP="00BC10BC">
            <w:pPr>
              <w:suppressAutoHyphens/>
              <w:autoSpaceDN w:val="0"/>
              <w:spacing w:line="140" w:lineRule="exact"/>
              <w:rPr>
                <w:rFonts w:ascii="Arial" w:eastAsia="Times New Roman" w:hAnsi="Arial" w:cs="Arial"/>
                <w:color w:val="000000" w:themeColor="text1"/>
                <w:sz w:val="18"/>
                <w:szCs w:val="18"/>
              </w:rPr>
            </w:pPr>
          </w:p>
        </w:tc>
        <w:tc>
          <w:tcPr>
            <w:tcW w:w="1134" w:type="dxa"/>
            <w:tcBorders>
              <w:top w:val="nil"/>
              <w:left w:val="nil"/>
              <w:bottom w:val="nil"/>
              <w:right w:val="nil"/>
            </w:tcBorders>
            <w:shd w:val="clear" w:color="auto" w:fill="auto"/>
            <w:noWrap/>
            <w:vAlign w:val="bottom"/>
          </w:tcPr>
          <w:p w14:paraId="0FBCDA81" w14:textId="77777777" w:rsidR="00870460" w:rsidRPr="003D1614" w:rsidRDefault="00870460" w:rsidP="00BC10BC">
            <w:pPr>
              <w:suppressAutoHyphens/>
              <w:autoSpaceDN w:val="0"/>
              <w:spacing w:line="140" w:lineRule="exact"/>
              <w:rPr>
                <w:rFonts w:ascii="Arial" w:eastAsia="Times New Roman" w:hAnsi="Arial" w:cs="Arial"/>
                <w:color w:val="000000" w:themeColor="text1"/>
                <w:sz w:val="18"/>
                <w:szCs w:val="18"/>
              </w:rPr>
            </w:pPr>
          </w:p>
        </w:tc>
        <w:tc>
          <w:tcPr>
            <w:tcW w:w="1667" w:type="dxa"/>
            <w:tcBorders>
              <w:top w:val="nil"/>
              <w:left w:val="nil"/>
              <w:bottom w:val="nil"/>
              <w:right w:val="nil"/>
            </w:tcBorders>
            <w:shd w:val="clear" w:color="auto" w:fill="auto"/>
            <w:noWrap/>
            <w:vAlign w:val="bottom"/>
          </w:tcPr>
          <w:p w14:paraId="5B174893" w14:textId="77777777" w:rsidR="00870460" w:rsidRPr="003D1614" w:rsidRDefault="00870460" w:rsidP="00BC10BC">
            <w:pPr>
              <w:suppressAutoHyphens/>
              <w:autoSpaceDN w:val="0"/>
              <w:spacing w:line="140" w:lineRule="exact"/>
              <w:rPr>
                <w:rFonts w:ascii="Arial" w:eastAsia="Times New Roman" w:hAnsi="Arial" w:cs="Arial"/>
                <w:color w:val="000000" w:themeColor="text1"/>
                <w:sz w:val="18"/>
                <w:szCs w:val="18"/>
              </w:rPr>
            </w:pPr>
          </w:p>
        </w:tc>
        <w:tc>
          <w:tcPr>
            <w:tcW w:w="1168" w:type="dxa"/>
            <w:tcBorders>
              <w:top w:val="nil"/>
              <w:left w:val="nil"/>
              <w:bottom w:val="nil"/>
              <w:right w:val="nil"/>
            </w:tcBorders>
            <w:shd w:val="clear" w:color="auto" w:fill="auto"/>
            <w:noWrap/>
            <w:vAlign w:val="bottom"/>
          </w:tcPr>
          <w:p w14:paraId="274814B5" w14:textId="77777777" w:rsidR="00870460" w:rsidRPr="003D1614" w:rsidRDefault="00870460" w:rsidP="00BC10BC">
            <w:pPr>
              <w:suppressAutoHyphens/>
              <w:autoSpaceDN w:val="0"/>
              <w:spacing w:line="140" w:lineRule="exact"/>
              <w:rPr>
                <w:rFonts w:ascii="Arial" w:eastAsia="Times New Roman" w:hAnsi="Arial" w:cs="Arial"/>
                <w:color w:val="000000" w:themeColor="text1"/>
                <w:sz w:val="18"/>
                <w:szCs w:val="18"/>
              </w:rPr>
            </w:pPr>
          </w:p>
        </w:tc>
        <w:tc>
          <w:tcPr>
            <w:tcW w:w="1559" w:type="dxa"/>
            <w:tcBorders>
              <w:top w:val="nil"/>
              <w:left w:val="nil"/>
              <w:bottom w:val="nil"/>
              <w:right w:val="nil"/>
            </w:tcBorders>
            <w:shd w:val="clear" w:color="auto" w:fill="auto"/>
            <w:noWrap/>
            <w:vAlign w:val="bottom"/>
          </w:tcPr>
          <w:p w14:paraId="134F2D69" w14:textId="77777777" w:rsidR="00870460" w:rsidRPr="003D1614" w:rsidRDefault="00870460" w:rsidP="00BC10BC">
            <w:pPr>
              <w:suppressAutoHyphens/>
              <w:autoSpaceDN w:val="0"/>
              <w:spacing w:line="140" w:lineRule="exact"/>
              <w:rPr>
                <w:rFonts w:ascii="Arial" w:eastAsia="Times New Roman" w:hAnsi="Arial" w:cs="Arial"/>
                <w:color w:val="000000" w:themeColor="text1"/>
                <w:sz w:val="18"/>
                <w:szCs w:val="18"/>
              </w:rPr>
            </w:pPr>
          </w:p>
        </w:tc>
        <w:tc>
          <w:tcPr>
            <w:tcW w:w="1134" w:type="dxa"/>
            <w:tcBorders>
              <w:top w:val="nil"/>
              <w:left w:val="nil"/>
              <w:bottom w:val="nil"/>
              <w:right w:val="nil"/>
            </w:tcBorders>
            <w:shd w:val="clear" w:color="auto" w:fill="auto"/>
            <w:noWrap/>
            <w:vAlign w:val="bottom"/>
          </w:tcPr>
          <w:p w14:paraId="5F8DDDD3" w14:textId="77777777" w:rsidR="00870460" w:rsidRPr="003D1614" w:rsidRDefault="00870460" w:rsidP="00BC10BC">
            <w:pPr>
              <w:suppressAutoHyphens/>
              <w:autoSpaceDN w:val="0"/>
              <w:spacing w:line="140" w:lineRule="exact"/>
              <w:rPr>
                <w:rFonts w:ascii="Arial" w:eastAsia="Times New Roman" w:hAnsi="Arial" w:cs="Arial"/>
                <w:color w:val="000000" w:themeColor="text1"/>
                <w:sz w:val="18"/>
                <w:szCs w:val="18"/>
              </w:rPr>
            </w:pPr>
          </w:p>
        </w:tc>
      </w:tr>
      <w:tr w:rsidR="00100634" w:rsidRPr="003D1614" w14:paraId="1D0DC19D" w14:textId="77777777" w:rsidTr="00F37474">
        <w:trPr>
          <w:trHeight w:val="300"/>
        </w:trPr>
        <w:tc>
          <w:tcPr>
            <w:tcW w:w="3261" w:type="dxa"/>
            <w:tcBorders>
              <w:top w:val="nil"/>
              <w:left w:val="nil"/>
              <w:bottom w:val="nil"/>
              <w:right w:val="nil"/>
            </w:tcBorders>
            <w:shd w:val="clear" w:color="auto" w:fill="auto"/>
            <w:vAlign w:val="bottom"/>
          </w:tcPr>
          <w:p w14:paraId="3ABC83C6" w14:textId="77777777" w:rsidR="00100634" w:rsidRPr="003D1614" w:rsidRDefault="00100634" w:rsidP="00100634">
            <w:pPr>
              <w:suppressAutoHyphens/>
              <w:autoSpaceDN w:val="0"/>
              <w:spacing w:line="300" w:lineRule="exact"/>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Neto prihod od kamata</w:t>
            </w:r>
          </w:p>
        </w:tc>
        <w:tc>
          <w:tcPr>
            <w:tcW w:w="1134" w:type="dxa"/>
            <w:shd w:val="clear" w:color="auto" w:fill="auto"/>
            <w:noWrap/>
            <w:vAlign w:val="bottom"/>
          </w:tcPr>
          <w:p w14:paraId="6D180816" w14:textId="22F67A82" w:rsidR="00100634" w:rsidRPr="000D4693" w:rsidRDefault="00100634" w:rsidP="00100634">
            <w:pPr>
              <w:suppressAutoHyphens/>
              <w:autoSpaceDN w:val="0"/>
              <w:spacing w:line="300" w:lineRule="exact"/>
              <w:jc w:val="right"/>
              <w:rPr>
                <w:rFonts w:ascii="Arial" w:hAnsi="Arial" w:cs="Arial"/>
                <w:sz w:val="18"/>
                <w:szCs w:val="18"/>
              </w:rPr>
            </w:pPr>
            <w:r w:rsidRPr="009D6246">
              <w:rPr>
                <w:rFonts w:ascii="Arial" w:eastAsia="Times New Roman" w:hAnsi="Arial" w:cs="Arial"/>
                <w:color w:val="000000" w:themeColor="text1"/>
                <w:sz w:val="18"/>
                <w:szCs w:val="18"/>
              </w:rPr>
              <w:t xml:space="preserve"> 48.500 </w:t>
            </w:r>
          </w:p>
        </w:tc>
        <w:tc>
          <w:tcPr>
            <w:tcW w:w="1667" w:type="dxa"/>
            <w:shd w:val="clear" w:color="auto" w:fill="auto"/>
            <w:noWrap/>
            <w:vAlign w:val="bottom"/>
          </w:tcPr>
          <w:p w14:paraId="4DFB26EF" w14:textId="64C687E5" w:rsidR="00100634" w:rsidRPr="000D4693" w:rsidRDefault="00100634" w:rsidP="00100634">
            <w:pPr>
              <w:suppressAutoHyphens/>
              <w:autoSpaceDN w:val="0"/>
              <w:spacing w:line="300" w:lineRule="exact"/>
              <w:jc w:val="right"/>
              <w:rPr>
                <w:rFonts w:ascii="Arial" w:hAnsi="Arial" w:cs="Arial"/>
                <w:sz w:val="18"/>
                <w:szCs w:val="18"/>
              </w:rPr>
            </w:pPr>
            <w:r w:rsidRPr="009D6246">
              <w:rPr>
                <w:rFonts w:ascii="Arial" w:eastAsia="Times New Roman" w:hAnsi="Arial" w:cs="Arial"/>
                <w:color w:val="000000" w:themeColor="text1"/>
                <w:sz w:val="18"/>
                <w:szCs w:val="18"/>
              </w:rPr>
              <w:t xml:space="preserve"> 171 </w:t>
            </w:r>
          </w:p>
        </w:tc>
        <w:tc>
          <w:tcPr>
            <w:tcW w:w="1168" w:type="dxa"/>
            <w:shd w:val="clear" w:color="auto" w:fill="auto"/>
            <w:noWrap/>
            <w:vAlign w:val="bottom"/>
          </w:tcPr>
          <w:p w14:paraId="37116AE1" w14:textId="2F583EA6" w:rsidR="00100634" w:rsidRPr="000D4693" w:rsidRDefault="00100634" w:rsidP="00100634">
            <w:pPr>
              <w:suppressAutoHyphens/>
              <w:autoSpaceDN w:val="0"/>
              <w:spacing w:line="300" w:lineRule="exact"/>
              <w:jc w:val="right"/>
              <w:rPr>
                <w:rFonts w:ascii="Arial" w:hAnsi="Arial" w:cs="Arial"/>
                <w:sz w:val="18"/>
                <w:szCs w:val="18"/>
              </w:rPr>
            </w:pPr>
            <w:r w:rsidRPr="009D6246">
              <w:rPr>
                <w:rFonts w:ascii="Arial" w:eastAsia="Times New Roman" w:hAnsi="Arial" w:cs="Arial"/>
                <w:color w:val="000000" w:themeColor="text1"/>
                <w:sz w:val="18"/>
                <w:szCs w:val="18"/>
              </w:rPr>
              <w:t xml:space="preserve"> - </w:t>
            </w:r>
          </w:p>
        </w:tc>
        <w:tc>
          <w:tcPr>
            <w:tcW w:w="1559" w:type="dxa"/>
            <w:shd w:val="clear" w:color="auto" w:fill="auto"/>
            <w:noWrap/>
            <w:vAlign w:val="bottom"/>
          </w:tcPr>
          <w:p w14:paraId="323DFB3A" w14:textId="676833B4" w:rsidR="00100634" w:rsidRPr="000D4693" w:rsidRDefault="00100634" w:rsidP="00100634">
            <w:pPr>
              <w:suppressAutoHyphens/>
              <w:autoSpaceDN w:val="0"/>
              <w:spacing w:line="300" w:lineRule="exact"/>
              <w:jc w:val="right"/>
              <w:rPr>
                <w:rFonts w:ascii="Arial" w:hAnsi="Arial" w:cs="Arial"/>
                <w:sz w:val="18"/>
                <w:szCs w:val="18"/>
              </w:rPr>
            </w:pPr>
            <w:r>
              <w:rPr>
                <w:rFonts w:ascii="Arial" w:eastAsia="Times New Roman" w:hAnsi="Arial" w:cs="Arial"/>
                <w:color w:val="000000" w:themeColor="text1"/>
                <w:sz w:val="18"/>
                <w:szCs w:val="18"/>
              </w:rPr>
              <w:t>-</w:t>
            </w:r>
          </w:p>
        </w:tc>
        <w:tc>
          <w:tcPr>
            <w:tcW w:w="1134" w:type="dxa"/>
            <w:shd w:val="clear" w:color="auto" w:fill="auto"/>
            <w:noWrap/>
            <w:vAlign w:val="bottom"/>
          </w:tcPr>
          <w:p w14:paraId="0EDBB079" w14:textId="23947295" w:rsidR="00100634" w:rsidRPr="000D4693" w:rsidRDefault="00100634" w:rsidP="00100634">
            <w:pPr>
              <w:suppressAutoHyphens/>
              <w:autoSpaceDN w:val="0"/>
              <w:spacing w:line="300" w:lineRule="exact"/>
              <w:jc w:val="right"/>
              <w:rPr>
                <w:rFonts w:ascii="Arial" w:hAnsi="Arial" w:cs="Arial"/>
                <w:sz w:val="18"/>
                <w:szCs w:val="18"/>
              </w:rPr>
            </w:pPr>
            <w:r w:rsidRPr="009D6246">
              <w:rPr>
                <w:rFonts w:ascii="Arial" w:eastAsia="Times New Roman" w:hAnsi="Arial" w:cs="Arial"/>
                <w:color w:val="000000" w:themeColor="text1"/>
                <w:sz w:val="18"/>
                <w:szCs w:val="18"/>
              </w:rPr>
              <w:t xml:space="preserve"> 48.671 </w:t>
            </w:r>
          </w:p>
        </w:tc>
      </w:tr>
      <w:tr w:rsidR="00100634" w:rsidRPr="003D1614" w14:paraId="065F2D70" w14:textId="77777777" w:rsidTr="00F37474">
        <w:trPr>
          <w:trHeight w:val="300"/>
        </w:trPr>
        <w:tc>
          <w:tcPr>
            <w:tcW w:w="3261" w:type="dxa"/>
            <w:tcBorders>
              <w:top w:val="nil"/>
              <w:left w:val="nil"/>
              <w:bottom w:val="nil"/>
              <w:right w:val="nil"/>
            </w:tcBorders>
            <w:shd w:val="clear" w:color="auto" w:fill="auto"/>
            <w:vAlign w:val="bottom"/>
          </w:tcPr>
          <w:p w14:paraId="33C96B98" w14:textId="77777777" w:rsidR="00100634" w:rsidRPr="003D1614" w:rsidRDefault="00100634" w:rsidP="00100634">
            <w:pPr>
              <w:suppressAutoHyphens/>
              <w:autoSpaceDN w:val="0"/>
              <w:spacing w:line="300" w:lineRule="exact"/>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Neto prihod od naknada</w:t>
            </w:r>
          </w:p>
        </w:tc>
        <w:tc>
          <w:tcPr>
            <w:tcW w:w="1134" w:type="dxa"/>
            <w:shd w:val="clear" w:color="auto" w:fill="auto"/>
            <w:noWrap/>
            <w:vAlign w:val="bottom"/>
          </w:tcPr>
          <w:p w14:paraId="51316B9A" w14:textId="10FC9114" w:rsidR="00100634" w:rsidRPr="000D4693" w:rsidRDefault="00100634" w:rsidP="00100634">
            <w:pPr>
              <w:suppressAutoHyphens/>
              <w:autoSpaceDN w:val="0"/>
              <w:spacing w:line="300" w:lineRule="exact"/>
              <w:jc w:val="right"/>
              <w:rPr>
                <w:rFonts w:ascii="Arial" w:hAnsi="Arial" w:cs="Arial"/>
                <w:sz w:val="18"/>
                <w:szCs w:val="18"/>
              </w:rPr>
            </w:pPr>
            <w:r w:rsidRPr="009D6246">
              <w:rPr>
                <w:rFonts w:ascii="Arial" w:eastAsia="Times New Roman" w:hAnsi="Arial" w:cs="Arial"/>
                <w:color w:val="000000" w:themeColor="text1"/>
                <w:sz w:val="18"/>
                <w:szCs w:val="18"/>
              </w:rPr>
              <w:t xml:space="preserve"> 2.897 </w:t>
            </w:r>
          </w:p>
        </w:tc>
        <w:tc>
          <w:tcPr>
            <w:tcW w:w="1667" w:type="dxa"/>
            <w:shd w:val="clear" w:color="auto" w:fill="auto"/>
            <w:noWrap/>
            <w:vAlign w:val="bottom"/>
          </w:tcPr>
          <w:p w14:paraId="6FF9D46D" w14:textId="445662AA" w:rsidR="00100634" w:rsidRPr="000D4693" w:rsidRDefault="00100634" w:rsidP="00100634">
            <w:pPr>
              <w:suppressAutoHyphens/>
              <w:autoSpaceDN w:val="0"/>
              <w:spacing w:line="300" w:lineRule="exact"/>
              <w:jc w:val="right"/>
              <w:rPr>
                <w:rFonts w:ascii="Arial" w:hAnsi="Arial" w:cs="Arial"/>
                <w:sz w:val="18"/>
                <w:szCs w:val="18"/>
              </w:rPr>
            </w:pPr>
            <w:r w:rsidRPr="009D6246">
              <w:rPr>
                <w:rFonts w:ascii="Arial" w:eastAsia="Times New Roman" w:hAnsi="Arial" w:cs="Arial"/>
                <w:color w:val="000000" w:themeColor="text1"/>
                <w:sz w:val="18"/>
                <w:szCs w:val="18"/>
              </w:rPr>
              <w:t xml:space="preserve"> - </w:t>
            </w:r>
          </w:p>
        </w:tc>
        <w:tc>
          <w:tcPr>
            <w:tcW w:w="1168" w:type="dxa"/>
            <w:shd w:val="clear" w:color="auto" w:fill="auto"/>
            <w:noWrap/>
            <w:vAlign w:val="bottom"/>
          </w:tcPr>
          <w:p w14:paraId="5E573F80" w14:textId="4113E8A7" w:rsidR="00100634" w:rsidRPr="000D4693" w:rsidRDefault="00100634" w:rsidP="00100634">
            <w:pPr>
              <w:suppressAutoHyphens/>
              <w:autoSpaceDN w:val="0"/>
              <w:spacing w:line="300" w:lineRule="exact"/>
              <w:jc w:val="right"/>
              <w:rPr>
                <w:rFonts w:ascii="Arial" w:hAnsi="Arial" w:cs="Arial"/>
                <w:sz w:val="18"/>
                <w:szCs w:val="18"/>
              </w:rPr>
            </w:pPr>
            <w:r w:rsidRPr="009D6246">
              <w:rPr>
                <w:rFonts w:ascii="Arial" w:eastAsia="Times New Roman" w:hAnsi="Arial" w:cs="Arial"/>
                <w:color w:val="000000" w:themeColor="text1"/>
                <w:sz w:val="18"/>
                <w:szCs w:val="18"/>
              </w:rPr>
              <w:t xml:space="preserve"> 204 </w:t>
            </w:r>
          </w:p>
        </w:tc>
        <w:tc>
          <w:tcPr>
            <w:tcW w:w="1559" w:type="dxa"/>
            <w:shd w:val="clear" w:color="auto" w:fill="auto"/>
            <w:noWrap/>
            <w:vAlign w:val="bottom"/>
          </w:tcPr>
          <w:p w14:paraId="542BEC89" w14:textId="33D120CA" w:rsidR="00100634" w:rsidRPr="000D4693" w:rsidRDefault="00100634" w:rsidP="00100634">
            <w:pPr>
              <w:suppressAutoHyphens/>
              <w:autoSpaceDN w:val="0"/>
              <w:spacing w:line="300" w:lineRule="exact"/>
              <w:jc w:val="right"/>
              <w:rPr>
                <w:rFonts w:ascii="Arial" w:hAnsi="Arial" w:cs="Arial"/>
                <w:sz w:val="18"/>
                <w:szCs w:val="18"/>
              </w:rPr>
            </w:pPr>
            <w:r w:rsidRPr="009D6246">
              <w:rPr>
                <w:rFonts w:ascii="Arial" w:eastAsia="Times New Roman" w:hAnsi="Arial" w:cs="Arial"/>
                <w:color w:val="000000" w:themeColor="text1"/>
                <w:sz w:val="18"/>
                <w:szCs w:val="18"/>
              </w:rPr>
              <w:t xml:space="preserve"> - </w:t>
            </w:r>
          </w:p>
        </w:tc>
        <w:tc>
          <w:tcPr>
            <w:tcW w:w="1134" w:type="dxa"/>
            <w:shd w:val="clear" w:color="auto" w:fill="auto"/>
            <w:noWrap/>
            <w:vAlign w:val="bottom"/>
          </w:tcPr>
          <w:p w14:paraId="341E3836" w14:textId="78E3C237" w:rsidR="00100634" w:rsidRPr="000D4693" w:rsidRDefault="00100634" w:rsidP="00100634">
            <w:pPr>
              <w:suppressAutoHyphens/>
              <w:autoSpaceDN w:val="0"/>
              <w:spacing w:line="300" w:lineRule="exact"/>
              <w:jc w:val="right"/>
              <w:rPr>
                <w:rFonts w:ascii="Arial" w:hAnsi="Arial" w:cs="Arial"/>
                <w:sz w:val="18"/>
                <w:szCs w:val="18"/>
              </w:rPr>
            </w:pPr>
            <w:r w:rsidRPr="009D6246">
              <w:rPr>
                <w:rFonts w:ascii="Arial" w:eastAsia="Times New Roman" w:hAnsi="Arial" w:cs="Arial"/>
                <w:color w:val="000000" w:themeColor="text1"/>
                <w:sz w:val="18"/>
                <w:szCs w:val="18"/>
              </w:rPr>
              <w:t xml:space="preserve"> 3.101 </w:t>
            </w:r>
          </w:p>
        </w:tc>
      </w:tr>
      <w:tr w:rsidR="00100634" w:rsidRPr="003D1614" w14:paraId="1605ADC4" w14:textId="77777777" w:rsidTr="00F37474">
        <w:trPr>
          <w:trHeight w:val="280"/>
        </w:trPr>
        <w:tc>
          <w:tcPr>
            <w:tcW w:w="3261" w:type="dxa"/>
            <w:tcBorders>
              <w:top w:val="nil"/>
              <w:left w:val="nil"/>
              <w:bottom w:val="nil"/>
              <w:right w:val="nil"/>
            </w:tcBorders>
            <w:shd w:val="clear" w:color="auto" w:fill="auto"/>
            <w:vAlign w:val="bottom"/>
          </w:tcPr>
          <w:p w14:paraId="0C5ECF8C" w14:textId="49364A3E" w:rsidR="00100634" w:rsidRPr="003D1614" w:rsidRDefault="00100634" w:rsidP="00100634">
            <w:pPr>
              <w:suppressAutoHyphens/>
              <w:autoSpaceDN w:val="0"/>
              <w:spacing w:line="300" w:lineRule="exact"/>
              <w:rPr>
                <w:rFonts w:ascii="Arial" w:eastAsia="Times New Roman" w:hAnsi="Arial" w:cs="Arial"/>
                <w:color w:val="000000" w:themeColor="text1"/>
                <w:sz w:val="18"/>
                <w:szCs w:val="18"/>
              </w:rPr>
            </w:pPr>
            <w:r w:rsidRPr="00B24ADA">
              <w:rPr>
                <w:rFonts w:ascii="Arial" w:eastAsia="Times New Roman" w:hAnsi="Arial" w:cs="Arial"/>
                <w:color w:val="000000" w:themeColor="text1"/>
                <w:sz w:val="18"/>
                <w:szCs w:val="18"/>
              </w:rPr>
              <w:t>Dobitak od umanjenja vrijednosti</w:t>
            </w:r>
          </w:p>
        </w:tc>
        <w:tc>
          <w:tcPr>
            <w:tcW w:w="1134" w:type="dxa"/>
            <w:shd w:val="clear" w:color="auto" w:fill="auto"/>
            <w:noWrap/>
            <w:vAlign w:val="bottom"/>
          </w:tcPr>
          <w:p w14:paraId="2C4CE7A1" w14:textId="549EBA34" w:rsidR="00100634" w:rsidRPr="000D4693" w:rsidRDefault="00100634" w:rsidP="00100634">
            <w:pPr>
              <w:suppressAutoHyphens/>
              <w:autoSpaceDN w:val="0"/>
              <w:spacing w:line="300" w:lineRule="exact"/>
              <w:jc w:val="right"/>
              <w:rPr>
                <w:rFonts w:ascii="Arial" w:hAnsi="Arial" w:cs="Arial"/>
                <w:sz w:val="18"/>
                <w:szCs w:val="18"/>
              </w:rPr>
            </w:pPr>
            <w:r w:rsidRPr="009D6246">
              <w:rPr>
                <w:rFonts w:ascii="Arial" w:eastAsia="Times New Roman" w:hAnsi="Arial" w:cs="Arial"/>
                <w:color w:val="000000" w:themeColor="text1"/>
                <w:sz w:val="18"/>
                <w:szCs w:val="18"/>
              </w:rPr>
              <w:t xml:space="preserve"> 17.034 </w:t>
            </w:r>
          </w:p>
        </w:tc>
        <w:tc>
          <w:tcPr>
            <w:tcW w:w="1667" w:type="dxa"/>
            <w:shd w:val="clear" w:color="auto" w:fill="auto"/>
            <w:noWrap/>
            <w:vAlign w:val="bottom"/>
          </w:tcPr>
          <w:p w14:paraId="1D5EE70E" w14:textId="685A5167" w:rsidR="00100634" w:rsidRPr="000D4693" w:rsidRDefault="00100634" w:rsidP="00100634">
            <w:pPr>
              <w:suppressAutoHyphens/>
              <w:autoSpaceDN w:val="0"/>
              <w:spacing w:line="300" w:lineRule="exact"/>
              <w:jc w:val="right"/>
              <w:rPr>
                <w:rFonts w:ascii="Arial" w:hAnsi="Arial" w:cs="Arial"/>
                <w:sz w:val="18"/>
                <w:szCs w:val="18"/>
              </w:rPr>
            </w:pPr>
            <w:r w:rsidRPr="009D6246">
              <w:rPr>
                <w:rFonts w:ascii="Arial" w:eastAsia="Times New Roman" w:hAnsi="Arial" w:cs="Arial"/>
                <w:color w:val="000000" w:themeColor="text1"/>
                <w:sz w:val="18"/>
                <w:szCs w:val="18"/>
              </w:rPr>
              <w:t xml:space="preserve"> 1 </w:t>
            </w:r>
          </w:p>
        </w:tc>
        <w:tc>
          <w:tcPr>
            <w:tcW w:w="1168" w:type="dxa"/>
            <w:shd w:val="clear" w:color="auto" w:fill="auto"/>
            <w:noWrap/>
            <w:vAlign w:val="bottom"/>
          </w:tcPr>
          <w:p w14:paraId="5CD2B636" w14:textId="6BF1C790" w:rsidR="00100634" w:rsidRPr="000D4693" w:rsidRDefault="00100634" w:rsidP="00100634">
            <w:pPr>
              <w:suppressAutoHyphens/>
              <w:autoSpaceDN w:val="0"/>
              <w:spacing w:line="300" w:lineRule="exact"/>
              <w:jc w:val="right"/>
              <w:rPr>
                <w:rFonts w:ascii="Arial" w:hAnsi="Arial" w:cs="Arial"/>
                <w:sz w:val="18"/>
                <w:szCs w:val="18"/>
              </w:rPr>
            </w:pPr>
            <w:r w:rsidRPr="009D6246">
              <w:rPr>
                <w:rFonts w:ascii="Arial" w:eastAsia="Times New Roman" w:hAnsi="Arial" w:cs="Arial"/>
                <w:color w:val="000000" w:themeColor="text1"/>
                <w:sz w:val="18"/>
                <w:szCs w:val="18"/>
              </w:rPr>
              <w:t xml:space="preserve"> 1 </w:t>
            </w:r>
          </w:p>
        </w:tc>
        <w:tc>
          <w:tcPr>
            <w:tcW w:w="1559" w:type="dxa"/>
            <w:shd w:val="clear" w:color="auto" w:fill="auto"/>
            <w:noWrap/>
            <w:vAlign w:val="bottom"/>
          </w:tcPr>
          <w:p w14:paraId="1AA52351" w14:textId="3581D5C6" w:rsidR="00100634" w:rsidRPr="000D4693" w:rsidRDefault="00100634" w:rsidP="00100634">
            <w:pPr>
              <w:suppressAutoHyphens/>
              <w:autoSpaceDN w:val="0"/>
              <w:spacing w:line="300" w:lineRule="exact"/>
              <w:jc w:val="right"/>
              <w:rPr>
                <w:rFonts w:ascii="Arial" w:hAnsi="Arial" w:cs="Arial"/>
                <w:sz w:val="18"/>
                <w:szCs w:val="18"/>
              </w:rPr>
            </w:pPr>
            <w:r>
              <w:rPr>
                <w:rFonts w:ascii="Arial" w:eastAsia="Times New Roman" w:hAnsi="Arial" w:cs="Arial"/>
                <w:color w:val="000000" w:themeColor="text1"/>
                <w:sz w:val="18"/>
                <w:szCs w:val="18"/>
              </w:rPr>
              <w:t>-</w:t>
            </w:r>
          </w:p>
        </w:tc>
        <w:tc>
          <w:tcPr>
            <w:tcW w:w="1134" w:type="dxa"/>
            <w:shd w:val="clear" w:color="auto" w:fill="auto"/>
            <w:noWrap/>
            <w:vAlign w:val="bottom"/>
          </w:tcPr>
          <w:p w14:paraId="4C488AE7" w14:textId="50F2ED83" w:rsidR="00100634" w:rsidRPr="000D4693" w:rsidRDefault="00100634" w:rsidP="00100634">
            <w:pPr>
              <w:suppressAutoHyphens/>
              <w:autoSpaceDN w:val="0"/>
              <w:spacing w:line="300" w:lineRule="exact"/>
              <w:jc w:val="right"/>
              <w:rPr>
                <w:rFonts w:ascii="Arial" w:hAnsi="Arial" w:cs="Arial"/>
                <w:sz w:val="18"/>
                <w:szCs w:val="18"/>
              </w:rPr>
            </w:pPr>
            <w:r w:rsidRPr="009D6246">
              <w:rPr>
                <w:rFonts w:ascii="Arial" w:eastAsia="Times New Roman" w:hAnsi="Arial" w:cs="Arial"/>
                <w:color w:val="000000" w:themeColor="text1"/>
                <w:sz w:val="18"/>
                <w:szCs w:val="18"/>
              </w:rPr>
              <w:t xml:space="preserve"> 17.036 </w:t>
            </w:r>
          </w:p>
        </w:tc>
      </w:tr>
      <w:tr w:rsidR="00100634" w:rsidRPr="003D1614" w14:paraId="797EC2FE" w14:textId="77777777" w:rsidTr="00F37474">
        <w:trPr>
          <w:trHeight w:val="300"/>
        </w:trPr>
        <w:tc>
          <w:tcPr>
            <w:tcW w:w="3261" w:type="dxa"/>
            <w:tcBorders>
              <w:top w:val="nil"/>
              <w:left w:val="nil"/>
              <w:bottom w:val="nil"/>
              <w:right w:val="nil"/>
            </w:tcBorders>
            <w:shd w:val="clear" w:color="auto" w:fill="auto"/>
            <w:vAlign w:val="bottom"/>
          </w:tcPr>
          <w:p w14:paraId="5CA1D373" w14:textId="77777777" w:rsidR="00100634" w:rsidRPr="003D1614" w:rsidRDefault="00100634" w:rsidP="00100634">
            <w:pPr>
              <w:suppressAutoHyphens/>
              <w:autoSpaceDN w:val="0"/>
              <w:spacing w:line="300" w:lineRule="exact"/>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Neto zarađene premije</w:t>
            </w:r>
          </w:p>
        </w:tc>
        <w:tc>
          <w:tcPr>
            <w:tcW w:w="1134" w:type="dxa"/>
            <w:shd w:val="clear" w:color="auto" w:fill="auto"/>
            <w:noWrap/>
            <w:vAlign w:val="bottom"/>
          </w:tcPr>
          <w:p w14:paraId="4739DB56" w14:textId="128E999A" w:rsidR="00100634" w:rsidRPr="000D4693" w:rsidRDefault="00100634" w:rsidP="00100634">
            <w:pPr>
              <w:suppressAutoHyphens/>
              <w:autoSpaceDN w:val="0"/>
              <w:spacing w:line="300" w:lineRule="exact"/>
              <w:jc w:val="right"/>
              <w:rPr>
                <w:rFonts w:ascii="Arial" w:hAnsi="Arial" w:cs="Arial"/>
                <w:sz w:val="18"/>
                <w:szCs w:val="18"/>
              </w:rPr>
            </w:pPr>
            <w:r w:rsidRPr="009D6246">
              <w:rPr>
                <w:rFonts w:ascii="Arial" w:eastAsia="Times New Roman" w:hAnsi="Arial" w:cs="Arial"/>
                <w:color w:val="000000" w:themeColor="text1"/>
                <w:sz w:val="18"/>
                <w:szCs w:val="18"/>
              </w:rPr>
              <w:t xml:space="preserve"> - </w:t>
            </w:r>
          </w:p>
        </w:tc>
        <w:tc>
          <w:tcPr>
            <w:tcW w:w="1667" w:type="dxa"/>
            <w:shd w:val="clear" w:color="auto" w:fill="auto"/>
            <w:noWrap/>
            <w:vAlign w:val="bottom"/>
          </w:tcPr>
          <w:p w14:paraId="11A0560D" w14:textId="03A768B7" w:rsidR="00100634" w:rsidRPr="000D4693" w:rsidRDefault="00100634" w:rsidP="00100634">
            <w:pPr>
              <w:suppressAutoHyphens/>
              <w:autoSpaceDN w:val="0"/>
              <w:spacing w:line="300" w:lineRule="exact"/>
              <w:jc w:val="right"/>
              <w:rPr>
                <w:rFonts w:ascii="Arial" w:hAnsi="Arial" w:cs="Arial"/>
                <w:sz w:val="18"/>
                <w:szCs w:val="18"/>
              </w:rPr>
            </w:pPr>
            <w:r w:rsidRPr="009D6246">
              <w:rPr>
                <w:rFonts w:ascii="Arial" w:eastAsia="Times New Roman" w:hAnsi="Arial" w:cs="Arial"/>
                <w:color w:val="000000" w:themeColor="text1"/>
                <w:sz w:val="18"/>
                <w:szCs w:val="18"/>
              </w:rPr>
              <w:t xml:space="preserve"> 1.920 </w:t>
            </w:r>
          </w:p>
        </w:tc>
        <w:tc>
          <w:tcPr>
            <w:tcW w:w="1168" w:type="dxa"/>
            <w:shd w:val="clear" w:color="auto" w:fill="auto"/>
            <w:noWrap/>
            <w:vAlign w:val="bottom"/>
          </w:tcPr>
          <w:p w14:paraId="4F11E21A" w14:textId="4868D7B2" w:rsidR="00100634" w:rsidRPr="000D4693" w:rsidRDefault="00100634" w:rsidP="00100634">
            <w:pPr>
              <w:suppressAutoHyphens/>
              <w:autoSpaceDN w:val="0"/>
              <w:spacing w:line="300" w:lineRule="exact"/>
              <w:jc w:val="right"/>
              <w:rPr>
                <w:rFonts w:ascii="Arial" w:hAnsi="Arial" w:cs="Arial"/>
                <w:sz w:val="18"/>
                <w:szCs w:val="18"/>
              </w:rPr>
            </w:pPr>
            <w:r>
              <w:rPr>
                <w:rFonts w:ascii="Arial" w:eastAsia="Times New Roman" w:hAnsi="Arial" w:cs="Arial"/>
                <w:color w:val="000000" w:themeColor="text1"/>
                <w:sz w:val="18"/>
                <w:szCs w:val="18"/>
              </w:rPr>
              <w:t>-</w:t>
            </w:r>
          </w:p>
        </w:tc>
        <w:tc>
          <w:tcPr>
            <w:tcW w:w="1559" w:type="dxa"/>
            <w:shd w:val="clear" w:color="auto" w:fill="auto"/>
            <w:noWrap/>
            <w:vAlign w:val="bottom"/>
          </w:tcPr>
          <w:p w14:paraId="7C1BCDD1" w14:textId="7927AFBC" w:rsidR="00100634" w:rsidRPr="000D4693" w:rsidRDefault="00100634" w:rsidP="00100634">
            <w:pPr>
              <w:suppressAutoHyphens/>
              <w:autoSpaceDN w:val="0"/>
              <w:spacing w:line="300" w:lineRule="exact"/>
              <w:jc w:val="right"/>
              <w:rPr>
                <w:rFonts w:ascii="Arial" w:hAnsi="Arial" w:cs="Arial"/>
                <w:sz w:val="18"/>
                <w:szCs w:val="18"/>
              </w:rPr>
            </w:pPr>
            <w:r>
              <w:rPr>
                <w:rFonts w:ascii="Arial" w:eastAsia="Times New Roman" w:hAnsi="Arial" w:cs="Arial"/>
                <w:color w:val="000000" w:themeColor="text1"/>
                <w:sz w:val="18"/>
                <w:szCs w:val="18"/>
              </w:rPr>
              <w:t>-</w:t>
            </w:r>
          </w:p>
        </w:tc>
        <w:tc>
          <w:tcPr>
            <w:tcW w:w="1134" w:type="dxa"/>
            <w:shd w:val="clear" w:color="auto" w:fill="auto"/>
            <w:noWrap/>
            <w:vAlign w:val="bottom"/>
          </w:tcPr>
          <w:p w14:paraId="51B3CAFA" w14:textId="028DCAF8" w:rsidR="00100634" w:rsidRPr="000D4693" w:rsidRDefault="00100634" w:rsidP="00100634">
            <w:pPr>
              <w:suppressAutoHyphens/>
              <w:autoSpaceDN w:val="0"/>
              <w:spacing w:line="300" w:lineRule="exact"/>
              <w:jc w:val="right"/>
              <w:rPr>
                <w:rFonts w:ascii="Arial" w:hAnsi="Arial" w:cs="Arial"/>
                <w:sz w:val="18"/>
                <w:szCs w:val="18"/>
              </w:rPr>
            </w:pPr>
            <w:r w:rsidRPr="009D6246">
              <w:rPr>
                <w:rFonts w:ascii="Arial" w:eastAsia="Times New Roman" w:hAnsi="Arial" w:cs="Arial"/>
                <w:color w:val="000000" w:themeColor="text1"/>
                <w:sz w:val="18"/>
                <w:szCs w:val="18"/>
              </w:rPr>
              <w:t xml:space="preserve"> 1.920 </w:t>
            </w:r>
          </w:p>
        </w:tc>
      </w:tr>
      <w:tr w:rsidR="00100634" w:rsidRPr="003D1614" w14:paraId="3B503D82" w14:textId="77777777" w:rsidTr="00F37474">
        <w:trPr>
          <w:trHeight w:val="300"/>
        </w:trPr>
        <w:tc>
          <w:tcPr>
            <w:tcW w:w="3261" w:type="dxa"/>
            <w:tcBorders>
              <w:top w:val="nil"/>
              <w:left w:val="nil"/>
              <w:right w:val="nil"/>
            </w:tcBorders>
            <w:shd w:val="clear" w:color="auto" w:fill="auto"/>
            <w:vAlign w:val="bottom"/>
          </w:tcPr>
          <w:p w14:paraId="0F0B72E0" w14:textId="77777777" w:rsidR="00100634" w:rsidRPr="003D1614" w:rsidRDefault="00100634" w:rsidP="00100634">
            <w:pPr>
              <w:suppressAutoHyphens/>
              <w:autoSpaceDN w:val="0"/>
              <w:spacing w:line="300" w:lineRule="exact"/>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Ostali prihodi</w:t>
            </w:r>
          </w:p>
        </w:tc>
        <w:tc>
          <w:tcPr>
            <w:tcW w:w="1134" w:type="dxa"/>
            <w:tcBorders>
              <w:top w:val="nil"/>
              <w:left w:val="nil"/>
              <w:bottom w:val="single" w:sz="2" w:space="0" w:color="auto"/>
              <w:right w:val="nil"/>
            </w:tcBorders>
            <w:shd w:val="clear" w:color="auto" w:fill="auto"/>
            <w:noWrap/>
            <w:vAlign w:val="bottom"/>
          </w:tcPr>
          <w:p w14:paraId="4542C4BB" w14:textId="14B02F63" w:rsidR="00100634" w:rsidRPr="000D4693" w:rsidRDefault="00100634" w:rsidP="00100634">
            <w:pPr>
              <w:suppressAutoHyphens/>
              <w:autoSpaceDN w:val="0"/>
              <w:spacing w:line="300" w:lineRule="exact"/>
              <w:jc w:val="right"/>
              <w:rPr>
                <w:rFonts w:ascii="Arial" w:hAnsi="Arial" w:cs="Arial"/>
                <w:sz w:val="18"/>
                <w:szCs w:val="18"/>
              </w:rPr>
            </w:pPr>
            <w:r w:rsidRPr="009D6246">
              <w:rPr>
                <w:rFonts w:ascii="Arial" w:eastAsia="Times New Roman" w:hAnsi="Arial" w:cs="Arial"/>
                <w:color w:val="000000" w:themeColor="text1"/>
                <w:sz w:val="18"/>
                <w:szCs w:val="18"/>
              </w:rPr>
              <w:t xml:space="preserve"> 1.391 </w:t>
            </w:r>
          </w:p>
        </w:tc>
        <w:tc>
          <w:tcPr>
            <w:tcW w:w="1667" w:type="dxa"/>
            <w:tcBorders>
              <w:top w:val="nil"/>
              <w:left w:val="nil"/>
              <w:bottom w:val="single" w:sz="2" w:space="0" w:color="auto"/>
              <w:right w:val="nil"/>
            </w:tcBorders>
            <w:shd w:val="clear" w:color="auto" w:fill="auto"/>
            <w:noWrap/>
            <w:vAlign w:val="bottom"/>
          </w:tcPr>
          <w:p w14:paraId="2D820D1B" w14:textId="4616B1A6" w:rsidR="00100634" w:rsidRPr="000D4693" w:rsidRDefault="00100634" w:rsidP="00100634">
            <w:pPr>
              <w:suppressAutoHyphens/>
              <w:autoSpaceDN w:val="0"/>
              <w:spacing w:line="300" w:lineRule="exact"/>
              <w:jc w:val="right"/>
              <w:rPr>
                <w:rFonts w:ascii="Arial" w:hAnsi="Arial" w:cs="Arial"/>
                <w:sz w:val="18"/>
                <w:szCs w:val="18"/>
              </w:rPr>
            </w:pPr>
            <w:r w:rsidRPr="009D6246">
              <w:rPr>
                <w:rFonts w:ascii="Arial" w:eastAsia="Times New Roman" w:hAnsi="Arial" w:cs="Arial"/>
                <w:color w:val="000000" w:themeColor="text1"/>
                <w:sz w:val="18"/>
                <w:szCs w:val="18"/>
              </w:rPr>
              <w:t xml:space="preserve"> 6 </w:t>
            </w:r>
          </w:p>
        </w:tc>
        <w:tc>
          <w:tcPr>
            <w:tcW w:w="1168" w:type="dxa"/>
            <w:tcBorders>
              <w:top w:val="nil"/>
              <w:left w:val="nil"/>
              <w:bottom w:val="single" w:sz="2" w:space="0" w:color="auto"/>
              <w:right w:val="nil"/>
            </w:tcBorders>
            <w:shd w:val="clear" w:color="auto" w:fill="auto"/>
            <w:noWrap/>
            <w:vAlign w:val="bottom"/>
          </w:tcPr>
          <w:p w14:paraId="713D901C" w14:textId="6FA9FF20" w:rsidR="00100634" w:rsidRPr="000D4693" w:rsidRDefault="00100634" w:rsidP="00100634">
            <w:pPr>
              <w:suppressAutoHyphens/>
              <w:autoSpaceDN w:val="0"/>
              <w:spacing w:line="300" w:lineRule="exact"/>
              <w:jc w:val="right"/>
              <w:rPr>
                <w:rFonts w:ascii="Arial" w:hAnsi="Arial" w:cs="Arial"/>
                <w:sz w:val="18"/>
                <w:szCs w:val="18"/>
              </w:rPr>
            </w:pPr>
            <w:r w:rsidRPr="009D6246">
              <w:rPr>
                <w:rFonts w:ascii="Arial" w:eastAsia="Times New Roman" w:hAnsi="Arial" w:cs="Arial"/>
                <w:color w:val="000000" w:themeColor="text1"/>
                <w:sz w:val="18"/>
                <w:szCs w:val="18"/>
              </w:rPr>
              <w:t xml:space="preserve"> 33 </w:t>
            </w:r>
          </w:p>
        </w:tc>
        <w:tc>
          <w:tcPr>
            <w:tcW w:w="1559" w:type="dxa"/>
            <w:tcBorders>
              <w:top w:val="nil"/>
              <w:left w:val="nil"/>
              <w:bottom w:val="single" w:sz="2" w:space="0" w:color="auto"/>
              <w:right w:val="nil"/>
            </w:tcBorders>
            <w:shd w:val="clear" w:color="auto" w:fill="auto"/>
            <w:noWrap/>
            <w:vAlign w:val="bottom"/>
          </w:tcPr>
          <w:p w14:paraId="61CE7110" w14:textId="67AD55F3" w:rsidR="00100634" w:rsidRPr="000D4693" w:rsidRDefault="00100634" w:rsidP="00100634">
            <w:pPr>
              <w:suppressAutoHyphens/>
              <w:autoSpaceDN w:val="0"/>
              <w:spacing w:line="300" w:lineRule="exact"/>
              <w:jc w:val="right"/>
              <w:rPr>
                <w:rFonts w:ascii="Arial" w:hAnsi="Arial" w:cs="Arial"/>
                <w:sz w:val="18"/>
                <w:szCs w:val="18"/>
              </w:rPr>
            </w:pPr>
            <w:r w:rsidRPr="009D6246">
              <w:rPr>
                <w:rFonts w:ascii="Arial" w:eastAsia="Times New Roman" w:hAnsi="Arial" w:cs="Arial"/>
                <w:color w:val="000000" w:themeColor="text1"/>
                <w:sz w:val="18"/>
                <w:szCs w:val="18"/>
              </w:rPr>
              <w:t xml:space="preserve"> (30)</w:t>
            </w:r>
          </w:p>
        </w:tc>
        <w:tc>
          <w:tcPr>
            <w:tcW w:w="1134" w:type="dxa"/>
            <w:tcBorders>
              <w:top w:val="nil"/>
              <w:left w:val="nil"/>
              <w:bottom w:val="single" w:sz="2" w:space="0" w:color="auto"/>
              <w:right w:val="nil"/>
            </w:tcBorders>
            <w:shd w:val="clear" w:color="auto" w:fill="auto"/>
            <w:noWrap/>
            <w:vAlign w:val="bottom"/>
          </w:tcPr>
          <w:p w14:paraId="47D46C6C" w14:textId="7FC737B2" w:rsidR="00100634" w:rsidRPr="000D4693" w:rsidRDefault="00100634" w:rsidP="00100634">
            <w:pPr>
              <w:suppressAutoHyphens/>
              <w:autoSpaceDN w:val="0"/>
              <w:spacing w:line="300" w:lineRule="exact"/>
              <w:jc w:val="right"/>
              <w:rPr>
                <w:rFonts w:ascii="Arial" w:hAnsi="Arial" w:cs="Arial"/>
                <w:sz w:val="18"/>
                <w:szCs w:val="18"/>
              </w:rPr>
            </w:pPr>
            <w:r w:rsidRPr="009D6246">
              <w:rPr>
                <w:rFonts w:ascii="Arial" w:eastAsia="Times New Roman" w:hAnsi="Arial" w:cs="Arial"/>
                <w:color w:val="000000" w:themeColor="text1"/>
                <w:sz w:val="18"/>
                <w:szCs w:val="18"/>
              </w:rPr>
              <w:t xml:space="preserve"> 1.400 </w:t>
            </w:r>
          </w:p>
        </w:tc>
      </w:tr>
      <w:tr w:rsidR="00100634" w:rsidRPr="003D1614" w14:paraId="74277BBA" w14:textId="77777777" w:rsidTr="00F37474">
        <w:trPr>
          <w:trHeight w:val="300"/>
        </w:trPr>
        <w:tc>
          <w:tcPr>
            <w:tcW w:w="3261" w:type="dxa"/>
            <w:tcBorders>
              <w:left w:val="nil"/>
              <w:right w:val="nil"/>
            </w:tcBorders>
            <w:shd w:val="clear" w:color="auto" w:fill="auto"/>
            <w:vAlign w:val="bottom"/>
          </w:tcPr>
          <w:p w14:paraId="105468A4" w14:textId="77777777" w:rsidR="00100634" w:rsidRPr="003D1614" w:rsidRDefault="00100634" w:rsidP="00100634">
            <w:pPr>
              <w:suppressAutoHyphens/>
              <w:autoSpaceDN w:val="0"/>
              <w:spacing w:line="300" w:lineRule="exac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Prihod iz poslovanja</w:t>
            </w:r>
          </w:p>
        </w:tc>
        <w:tc>
          <w:tcPr>
            <w:tcW w:w="1134" w:type="dxa"/>
            <w:tcBorders>
              <w:top w:val="single" w:sz="2" w:space="0" w:color="auto"/>
              <w:left w:val="nil"/>
              <w:bottom w:val="single" w:sz="12" w:space="0" w:color="auto"/>
              <w:right w:val="nil"/>
            </w:tcBorders>
            <w:shd w:val="clear" w:color="auto" w:fill="auto"/>
            <w:noWrap/>
            <w:vAlign w:val="bottom"/>
          </w:tcPr>
          <w:p w14:paraId="113F08D7" w14:textId="18B0A180" w:rsidR="00100634" w:rsidRPr="00F37474" w:rsidRDefault="00100634" w:rsidP="00100634">
            <w:pPr>
              <w:suppressAutoHyphens/>
              <w:autoSpaceDN w:val="0"/>
              <w:spacing w:line="300" w:lineRule="exact"/>
              <w:jc w:val="right"/>
              <w:rPr>
                <w:rFonts w:ascii="Arial" w:hAnsi="Arial" w:cs="Arial"/>
                <w:b/>
                <w:bCs/>
                <w:sz w:val="18"/>
                <w:szCs w:val="18"/>
              </w:rPr>
            </w:pPr>
            <w:r w:rsidRPr="009D6246">
              <w:rPr>
                <w:rFonts w:ascii="Arial" w:eastAsia="Times New Roman" w:hAnsi="Arial" w:cs="Arial"/>
                <w:b/>
                <w:bCs/>
                <w:color w:val="000000" w:themeColor="text1"/>
                <w:sz w:val="18"/>
                <w:szCs w:val="18"/>
              </w:rPr>
              <w:t xml:space="preserve"> 69.822 </w:t>
            </w:r>
          </w:p>
        </w:tc>
        <w:tc>
          <w:tcPr>
            <w:tcW w:w="1667" w:type="dxa"/>
            <w:tcBorders>
              <w:top w:val="single" w:sz="2" w:space="0" w:color="auto"/>
              <w:left w:val="nil"/>
              <w:bottom w:val="single" w:sz="12" w:space="0" w:color="auto"/>
              <w:right w:val="nil"/>
            </w:tcBorders>
            <w:shd w:val="clear" w:color="auto" w:fill="auto"/>
            <w:noWrap/>
            <w:vAlign w:val="bottom"/>
          </w:tcPr>
          <w:p w14:paraId="3A42C87E" w14:textId="4B306C76" w:rsidR="00100634" w:rsidRPr="00F37474" w:rsidRDefault="00100634" w:rsidP="00100634">
            <w:pPr>
              <w:suppressAutoHyphens/>
              <w:autoSpaceDN w:val="0"/>
              <w:spacing w:line="300" w:lineRule="exact"/>
              <w:jc w:val="right"/>
              <w:rPr>
                <w:rFonts w:ascii="Arial" w:hAnsi="Arial" w:cs="Arial"/>
                <w:b/>
                <w:bCs/>
                <w:sz w:val="18"/>
                <w:szCs w:val="18"/>
              </w:rPr>
            </w:pPr>
            <w:r w:rsidRPr="009D6246">
              <w:rPr>
                <w:rFonts w:ascii="Arial" w:eastAsia="Times New Roman" w:hAnsi="Arial" w:cs="Arial"/>
                <w:b/>
                <w:bCs/>
                <w:color w:val="000000" w:themeColor="text1"/>
                <w:sz w:val="18"/>
                <w:szCs w:val="18"/>
              </w:rPr>
              <w:t xml:space="preserve"> 2.098 </w:t>
            </w:r>
          </w:p>
        </w:tc>
        <w:tc>
          <w:tcPr>
            <w:tcW w:w="1168" w:type="dxa"/>
            <w:tcBorders>
              <w:top w:val="single" w:sz="2" w:space="0" w:color="auto"/>
              <w:left w:val="nil"/>
              <w:bottom w:val="single" w:sz="12" w:space="0" w:color="auto"/>
              <w:right w:val="nil"/>
            </w:tcBorders>
            <w:shd w:val="clear" w:color="auto" w:fill="auto"/>
            <w:noWrap/>
            <w:vAlign w:val="bottom"/>
          </w:tcPr>
          <w:p w14:paraId="2F125FF1" w14:textId="1BBDD737" w:rsidR="00100634" w:rsidRPr="00F37474" w:rsidRDefault="00100634" w:rsidP="00100634">
            <w:pPr>
              <w:suppressAutoHyphens/>
              <w:autoSpaceDN w:val="0"/>
              <w:spacing w:line="300" w:lineRule="exact"/>
              <w:jc w:val="right"/>
              <w:rPr>
                <w:rFonts w:ascii="Arial" w:hAnsi="Arial" w:cs="Arial"/>
                <w:b/>
                <w:bCs/>
                <w:sz w:val="18"/>
                <w:szCs w:val="18"/>
              </w:rPr>
            </w:pPr>
            <w:r w:rsidRPr="009D6246">
              <w:rPr>
                <w:rFonts w:ascii="Arial" w:eastAsia="Times New Roman" w:hAnsi="Arial" w:cs="Arial"/>
                <w:b/>
                <w:bCs/>
                <w:color w:val="000000" w:themeColor="text1"/>
                <w:sz w:val="18"/>
                <w:szCs w:val="18"/>
              </w:rPr>
              <w:t xml:space="preserve"> 238 </w:t>
            </w:r>
          </w:p>
        </w:tc>
        <w:tc>
          <w:tcPr>
            <w:tcW w:w="1559" w:type="dxa"/>
            <w:tcBorders>
              <w:top w:val="single" w:sz="2" w:space="0" w:color="auto"/>
              <w:left w:val="nil"/>
              <w:bottom w:val="single" w:sz="12" w:space="0" w:color="auto"/>
              <w:right w:val="nil"/>
            </w:tcBorders>
            <w:shd w:val="clear" w:color="auto" w:fill="auto"/>
            <w:noWrap/>
            <w:vAlign w:val="bottom"/>
          </w:tcPr>
          <w:p w14:paraId="6EF7760B" w14:textId="5CF6257B" w:rsidR="00100634" w:rsidRPr="00F37474" w:rsidRDefault="00100634" w:rsidP="00100634">
            <w:pPr>
              <w:suppressAutoHyphens/>
              <w:autoSpaceDN w:val="0"/>
              <w:spacing w:line="300" w:lineRule="exact"/>
              <w:jc w:val="right"/>
              <w:rPr>
                <w:rFonts w:ascii="Arial" w:hAnsi="Arial" w:cs="Arial"/>
                <w:b/>
                <w:bCs/>
                <w:sz w:val="18"/>
                <w:szCs w:val="18"/>
              </w:rPr>
            </w:pPr>
            <w:r w:rsidRPr="009D6246">
              <w:rPr>
                <w:rFonts w:ascii="Arial" w:eastAsia="Times New Roman" w:hAnsi="Arial" w:cs="Arial"/>
                <w:b/>
                <w:bCs/>
                <w:color w:val="000000" w:themeColor="text1"/>
                <w:sz w:val="18"/>
                <w:szCs w:val="18"/>
              </w:rPr>
              <w:t xml:space="preserve"> (30)</w:t>
            </w:r>
          </w:p>
        </w:tc>
        <w:tc>
          <w:tcPr>
            <w:tcW w:w="1134" w:type="dxa"/>
            <w:tcBorders>
              <w:top w:val="single" w:sz="2" w:space="0" w:color="auto"/>
              <w:left w:val="nil"/>
              <w:bottom w:val="single" w:sz="12" w:space="0" w:color="auto"/>
              <w:right w:val="nil"/>
            </w:tcBorders>
            <w:shd w:val="clear" w:color="auto" w:fill="auto"/>
            <w:noWrap/>
            <w:vAlign w:val="bottom"/>
          </w:tcPr>
          <w:p w14:paraId="26786781" w14:textId="6A08CAFB" w:rsidR="00100634" w:rsidRPr="00F37474" w:rsidRDefault="00100634" w:rsidP="00100634">
            <w:pPr>
              <w:suppressAutoHyphens/>
              <w:autoSpaceDN w:val="0"/>
              <w:spacing w:line="300" w:lineRule="exact"/>
              <w:jc w:val="right"/>
              <w:rPr>
                <w:rFonts w:ascii="Arial" w:hAnsi="Arial" w:cs="Arial"/>
                <w:b/>
                <w:bCs/>
                <w:sz w:val="18"/>
                <w:szCs w:val="18"/>
              </w:rPr>
            </w:pPr>
            <w:r w:rsidRPr="009D6246">
              <w:rPr>
                <w:rFonts w:ascii="Arial" w:eastAsia="Times New Roman" w:hAnsi="Arial" w:cs="Arial"/>
                <w:b/>
                <w:bCs/>
                <w:color w:val="000000" w:themeColor="text1"/>
                <w:sz w:val="18"/>
                <w:szCs w:val="18"/>
              </w:rPr>
              <w:t xml:space="preserve"> 72.128 </w:t>
            </w:r>
          </w:p>
        </w:tc>
      </w:tr>
      <w:tr w:rsidR="00100634" w:rsidRPr="003D1614" w14:paraId="135F220B" w14:textId="77777777" w:rsidTr="00F37474">
        <w:trPr>
          <w:trHeight w:val="60"/>
        </w:trPr>
        <w:tc>
          <w:tcPr>
            <w:tcW w:w="3261" w:type="dxa"/>
            <w:tcBorders>
              <w:left w:val="nil"/>
              <w:bottom w:val="nil"/>
              <w:right w:val="nil"/>
            </w:tcBorders>
            <w:shd w:val="clear" w:color="auto" w:fill="auto"/>
            <w:vAlign w:val="bottom"/>
          </w:tcPr>
          <w:p w14:paraId="29C293CB" w14:textId="77777777" w:rsidR="00100634" w:rsidRPr="003D1614" w:rsidRDefault="00100634" w:rsidP="00100634">
            <w:pPr>
              <w:suppressAutoHyphens/>
              <w:autoSpaceDN w:val="0"/>
              <w:spacing w:line="140" w:lineRule="exact"/>
              <w:rPr>
                <w:rFonts w:ascii="Arial" w:eastAsia="Times New Roman" w:hAnsi="Arial" w:cs="Arial"/>
                <w:color w:val="000000" w:themeColor="text1"/>
                <w:sz w:val="18"/>
                <w:szCs w:val="18"/>
              </w:rPr>
            </w:pPr>
          </w:p>
        </w:tc>
        <w:tc>
          <w:tcPr>
            <w:tcW w:w="1134" w:type="dxa"/>
            <w:tcBorders>
              <w:top w:val="single" w:sz="12" w:space="0" w:color="auto"/>
              <w:left w:val="nil"/>
              <w:bottom w:val="nil"/>
              <w:right w:val="nil"/>
            </w:tcBorders>
            <w:shd w:val="clear" w:color="auto" w:fill="auto"/>
            <w:noWrap/>
            <w:vAlign w:val="bottom"/>
          </w:tcPr>
          <w:p w14:paraId="28ACAB17" w14:textId="77777777" w:rsidR="00100634" w:rsidRPr="000D4693" w:rsidRDefault="00100634" w:rsidP="00100634">
            <w:pPr>
              <w:suppressAutoHyphens/>
              <w:autoSpaceDN w:val="0"/>
              <w:spacing w:line="300" w:lineRule="exact"/>
              <w:jc w:val="right"/>
              <w:rPr>
                <w:rFonts w:ascii="Arial" w:hAnsi="Arial" w:cs="Arial"/>
                <w:sz w:val="18"/>
                <w:szCs w:val="18"/>
              </w:rPr>
            </w:pPr>
          </w:p>
        </w:tc>
        <w:tc>
          <w:tcPr>
            <w:tcW w:w="1667" w:type="dxa"/>
            <w:tcBorders>
              <w:top w:val="single" w:sz="12" w:space="0" w:color="auto"/>
              <w:left w:val="nil"/>
              <w:bottom w:val="nil"/>
              <w:right w:val="nil"/>
            </w:tcBorders>
            <w:shd w:val="clear" w:color="auto" w:fill="auto"/>
            <w:noWrap/>
            <w:vAlign w:val="bottom"/>
          </w:tcPr>
          <w:p w14:paraId="032C4AC1" w14:textId="77777777" w:rsidR="00100634" w:rsidRPr="000D4693" w:rsidRDefault="00100634" w:rsidP="00100634">
            <w:pPr>
              <w:suppressAutoHyphens/>
              <w:autoSpaceDN w:val="0"/>
              <w:spacing w:line="300" w:lineRule="exact"/>
              <w:jc w:val="right"/>
              <w:rPr>
                <w:rFonts w:ascii="Arial" w:hAnsi="Arial" w:cs="Arial"/>
                <w:sz w:val="18"/>
                <w:szCs w:val="18"/>
              </w:rPr>
            </w:pPr>
          </w:p>
        </w:tc>
        <w:tc>
          <w:tcPr>
            <w:tcW w:w="1168" w:type="dxa"/>
            <w:tcBorders>
              <w:top w:val="single" w:sz="12" w:space="0" w:color="auto"/>
              <w:left w:val="nil"/>
              <w:bottom w:val="nil"/>
              <w:right w:val="nil"/>
            </w:tcBorders>
            <w:shd w:val="clear" w:color="auto" w:fill="auto"/>
            <w:noWrap/>
            <w:vAlign w:val="bottom"/>
          </w:tcPr>
          <w:p w14:paraId="553C86D5" w14:textId="77777777" w:rsidR="00100634" w:rsidRPr="000D4693" w:rsidRDefault="00100634" w:rsidP="00100634">
            <w:pPr>
              <w:suppressAutoHyphens/>
              <w:autoSpaceDN w:val="0"/>
              <w:spacing w:line="300" w:lineRule="exact"/>
              <w:jc w:val="right"/>
              <w:rPr>
                <w:rFonts w:ascii="Arial" w:hAnsi="Arial" w:cs="Arial"/>
                <w:sz w:val="18"/>
                <w:szCs w:val="18"/>
              </w:rPr>
            </w:pPr>
          </w:p>
        </w:tc>
        <w:tc>
          <w:tcPr>
            <w:tcW w:w="1559" w:type="dxa"/>
            <w:tcBorders>
              <w:top w:val="single" w:sz="12" w:space="0" w:color="auto"/>
              <w:left w:val="nil"/>
              <w:bottom w:val="nil"/>
              <w:right w:val="nil"/>
            </w:tcBorders>
            <w:shd w:val="clear" w:color="auto" w:fill="auto"/>
            <w:noWrap/>
            <w:vAlign w:val="bottom"/>
          </w:tcPr>
          <w:p w14:paraId="0E0D867B" w14:textId="77777777" w:rsidR="00100634" w:rsidRPr="000D4693" w:rsidRDefault="00100634" w:rsidP="00100634">
            <w:pPr>
              <w:suppressAutoHyphens/>
              <w:autoSpaceDN w:val="0"/>
              <w:spacing w:line="300" w:lineRule="exact"/>
              <w:jc w:val="right"/>
              <w:rPr>
                <w:rFonts w:ascii="Arial" w:hAnsi="Arial" w:cs="Arial"/>
                <w:sz w:val="18"/>
                <w:szCs w:val="18"/>
              </w:rPr>
            </w:pPr>
          </w:p>
        </w:tc>
        <w:tc>
          <w:tcPr>
            <w:tcW w:w="1134" w:type="dxa"/>
            <w:tcBorders>
              <w:top w:val="single" w:sz="12" w:space="0" w:color="auto"/>
              <w:left w:val="nil"/>
              <w:bottom w:val="nil"/>
              <w:right w:val="nil"/>
            </w:tcBorders>
            <w:shd w:val="clear" w:color="auto" w:fill="auto"/>
            <w:noWrap/>
            <w:vAlign w:val="bottom"/>
          </w:tcPr>
          <w:p w14:paraId="37ECD2C8" w14:textId="77777777" w:rsidR="00100634" w:rsidRPr="000D4693" w:rsidRDefault="00100634" w:rsidP="00100634">
            <w:pPr>
              <w:suppressAutoHyphens/>
              <w:autoSpaceDN w:val="0"/>
              <w:spacing w:line="300" w:lineRule="exact"/>
              <w:jc w:val="right"/>
              <w:rPr>
                <w:rFonts w:ascii="Arial" w:hAnsi="Arial" w:cs="Arial"/>
                <w:sz w:val="18"/>
                <w:szCs w:val="18"/>
              </w:rPr>
            </w:pPr>
          </w:p>
        </w:tc>
      </w:tr>
      <w:tr w:rsidR="00100634" w:rsidRPr="003D1614" w14:paraId="1390B123" w14:textId="77777777" w:rsidTr="00F37474">
        <w:trPr>
          <w:trHeight w:val="300"/>
        </w:trPr>
        <w:tc>
          <w:tcPr>
            <w:tcW w:w="3261" w:type="dxa"/>
            <w:tcBorders>
              <w:top w:val="nil"/>
              <w:left w:val="nil"/>
              <w:bottom w:val="nil"/>
              <w:right w:val="nil"/>
            </w:tcBorders>
            <w:shd w:val="clear" w:color="auto" w:fill="auto"/>
            <w:vAlign w:val="bottom"/>
          </w:tcPr>
          <w:p w14:paraId="43A9BC3D" w14:textId="77777777" w:rsidR="00100634" w:rsidRPr="003D1614" w:rsidRDefault="00100634" w:rsidP="00100634">
            <w:pPr>
              <w:suppressAutoHyphens/>
              <w:autoSpaceDN w:val="0"/>
              <w:spacing w:line="300" w:lineRule="exact"/>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Operativni troškovi</w:t>
            </w:r>
          </w:p>
        </w:tc>
        <w:tc>
          <w:tcPr>
            <w:tcW w:w="1134" w:type="dxa"/>
            <w:shd w:val="clear" w:color="auto" w:fill="auto"/>
            <w:noWrap/>
            <w:vAlign w:val="bottom"/>
          </w:tcPr>
          <w:p w14:paraId="61A74B7F" w14:textId="22A765D8" w:rsidR="00100634" w:rsidRPr="000D4693" w:rsidRDefault="00100634" w:rsidP="00100634">
            <w:pPr>
              <w:suppressAutoHyphens/>
              <w:autoSpaceDN w:val="0"/>
              <w:spacing w:line="300" w:lineRule="exact"/>
              <w:jc w:val="right"/>
              <w:rPr>
                <w:rFonts w:ascii="Arial" w:hAnsi="Arial" w:cs="Arial"/>
                <w:sz w:val="18"/>
                <w:szCs w:val="18"/>
              </w:rPr>
            </w:pPr>
            <w:r w:rsidRPr="009D6246">
              <w:rPr>
                <w:rFonts w:ascii="Arial" w:eastAsia="Times New Roman" w:hAnsi="Arial" w:cs="Arial"/>
                <w:color w:val="000000" w:themeColor="text1"/>
                <w:sz w:val="18"/>
                <w:szCs w:val="18"/>
              </w:rPr>
              <w:t xml:space="preserve"> (17.550)</w:t>
            </w:r>
          </w:p>
        </w:tc>
        <w:tc>
          <w:tcPr>
            <w:tcW w:w="1667" w:type="dxa"/>
            <w:shd w:val="clear" w:color="auto" w:fill="auto"/>
            <w:noWrap/>
            <w:vAlign w:val="bottom"/>
          </w:tcPr>
          <w:p w14:paraId="6A083115" w14:textId="0AFAD994" w:rsidR="00100634" w:rsidRPr="000D4693" w:rsidRDefault="00100634" w:rsidP="00100634">
            <w:pPr>
              <w:suppressAutoHyphens/>
              <w:autoSpaceDN w:val="0"/>
              <w:spacing w:line="300" w:lineRule="exact"/>
              <w:jc w:val="right"/>
              <w:rPr>
                <w:rFonts w:ascii="Arial" w:hAnsi="Arial" w:cs="Arial"/>
                <w:sz w:val="18"/>
                <w:szCs w:val="18"/>
              </w:rPr>
            </w:pPr>
            <w:r w:rsidRPr="009D6246">
              <w:rPr>
                <w:rFonts w:ascii="Arial" w:eastAsia="Times New Roman" w:hAnsi="Arial" w:cs="Arial"/>
                <w:color w:val="000000" w:themeColor="text1"/>
                <w:sz w:val="18"/>
                <w:szCs w:val="18"/>
              </w:rPr>
              <w:t xml:space="preserve"> (557)</w:t>
            </w:r>
          </w:p>
        </w:tc>
        <w:tc>
          <w:tcPr>
            <w:tcW w:w="1168" w:type="dxa"/>
            <w:shd w:val="clear" w:color="auto" w:fill="auto"/>
            <w:noWrap/>
            <w:vAlign w:val="bottom"/>
          </w:tcPr>
          <w:p w14:paraId="574FECB0" w14:textId="5479A887" w:rsidR="00100634" w:rsidRPr="000D4693" w:rsidRDefault="00100634" w:rsidP="00100634">
            <w:pPr>
              <w:suppressAutoHyphens/>
              <w:autoSpaceDN w:val="0"/>
              <w:spacing w:line="300" w:lineRule="exact"/>
              <w:jc w:val="right"/>
              <w:rPr>
                <w:rFonts w:ascii="Arial" w:hAnsi="Arial" w:cs="Arial"/>
                <w:sz w:val="18"/>
                <w:szCs w:val="18"/>
              </w:rPr>
            </w:pPr>
            <w:r w:rsidRPr="009D6246">
              <w:rPr>
                <w:rFonts w:ascii="Arial" w:eastAsia="Times New Roman" w:hAnsi="Arial" w:cs="Arial"/>
                <w:color w:val="000000" w:themeColor="text1"/>
                <w:sz w:val="18"/>
                <w:szCs w:val="18"/>
              </w:rPr>
              <w:t xml:space="preserve"> (224)</w:t>
            </w:r>
          </w:p>
        </w:tc>
        <w:tc>
          <w:tcPr>
            <w:tcW w:w="1559" w:type="dxa"/>
            <w:shd w:val="clear" w:color="auto" w:fill="auto"/>
            <w:noWrap/>
            <w:vAlign w:val="bottom"/>
          </w:tcPr>
          <w:p w14:paraId="3037F1A8" w14:textId="5A4331DC" w:rsidR="00100634" w:rsidRPr="000D4693" w:rsidRDefault="00100634" w:rsidP="00100634">
            <w:pPr>
              <w:suppressAutoHyphens/>
              <w:autoSpaceDN w:val="0"/>
              <w:spacing w:line="300" w:lineRule="exact"/>
              <w:jc w:val="right"/>
              <w:rPr>
                <w:rFonts w:ascii="Arial" w:hAnsi="Arial" w:cs="Arial"/>
                <w:sz w:val="18"/>
                <w:szCs w:val="18"/>
              </w:rPr>
            </w:pPr>
            <w:r w:rsidRPr="009D6246">
              <w:rPr>
                <w:rFonts w:ascii="Arial" w:eastAsia="Times New Roman" w:hAnsi="Arial" w:cs="Arial"/>
                <w:color w:val="000000" w:themeColor="text1"/>
                <w:sz w:val="18"/>
                <w:szCs w:val="18"/>
              </w:rPr>
              <w:t xml:space="preserve"> 30 </w:t>
            </w:r>
          </w:p>
        </w:tc>
        <w:tc>
          <w:tcPr>
            <w:tcW w:w="1134" w:type="dxa"/>
            <w:shd w:val="clear" w:color="auto" w:fill="auto"/>
            <w:noWrap/>
            <w:vAlign w:val="bottom"/>
          </w:tcPr>
          <w:p w14:paraId="6D3E8C13" w14:textId="5EDCB790" w:rsidR="00100634" w:rsidRPr="000D4693" w:rsidRDefault="00100634" w:rsidP="00100634">
            <w:pPr>
              <w:suppressAutoHyphens/>
              <w:autoSpaceDN w:val="0"/>
              <w:spacing w:line="300" w:lineRule="exact"/>
              <w:jc w:val="right"/>
              <w:rPr>
                <w:rFonts w:ascii="Arial" w:hAnsi="Arial" w:cs="Arial"/>
                <w:sz w:val="18"/>
                <w:szCs w:val="18"/>
              </w:rPr>
            </w:pPr>
            <w:r w:rsidRPr="009D6246">
              <w:rPr>
                <w:rFonts w:ascii="Arial" w:eastAsia="Times New Roman" w:hAnsi="Arial" w:cs="Arial"/>
                <w:color w:val="000000" w:themeColor="text1"/>
                <w:sz w:val="18"/>
                <w:szCs w:val="18"/>
              </w:rPr>
              <w:t xml:space="preserve"> (18.301)</w:t>
            </w:r>
          </w:p>
        </w:tc>
      </w:tr>
      <w:tr w:rsidR="00100634" w:rsidRPr="003D1614" w14:paraId="691D1101" w14:textId="77777777" w:rsidTr="00F37474">
        <w:trPr>
          <w:trHeight w:val="600"/>
        </w:trPr>
        <w:tc>
          <w:tcPr>
            <w:tcW w:w="3261" w:type="dxa"/>
            <w:tcBorders>
              <w:top w:val="nil"/>
              <w:left w:val="nil"/>
              <w:bottom w:val="nil"/>
              <w:right w:val="nil"/>
            </w:tcBorders>
            <w:shd w:val="clear" w:color="auto" w:fill="auto"/>
            <w:vAlign w:val="bottom"/>
          </w:tcPr>
          <w:p w14:paraId="30E8457C" w14:textId="31691E39" w:rsidR="00100634" w:rsidRPr="00DB0FFD" w:rsidRDefault="00100634" w:rsidP="00100634">
            <w:pPr>
              <w:suppressAutoHyphens/>
              <w:autoSpaceDN w:val="0"/>
              <w:spacing w:line="300" w:lineRule="exact"/>
              <w:rPr>
                <w:rFonts w:ascii="Arial" w:eastAsia="Times New Roman" w:hAnsi="Arial" w:cs="Arial"/>
                <w:color w:val="000000" w:themeColor="text1"/>
                <w:sz w:val="18"/>
                <w:szCs w:val="18"/>
              </w:rPr>
            </w:pPr>
            <w:r w:rsidRPr="00B24ADA">
              <w:rPr>
                <w:rFonts w:ascii="Arial" w:eastAsia="Times New Roman" w:hAnsi="Arial" w:cs="Arial"/>
                <w:color w:val="000000" w:themeColor="text1"/>
                <w:sz w:val="18"/>
                <w:szCs w:val="18"/>
              </w:rPr>
              <w:t>Neto prihodi/(rashodi) od financijskih aktivnosti</w:t>
            </w:r>
          </w:p>
        </w:tc>
        <w:tc>
          <w:tcPr>
            <w:tcW w:w="1134" w:type="dxa"/>
            <w:shd w:val="clear" w:color="auto" w:fill="auto"/>
            <w:noWrap/>
            <w:vAlign w:val="bottom"/>
          </w:tcPr>
          <w:p w14:paraId="59BE819C" w14:textId="547AE5B4" w:rsidR="00100634" w:rsidRPr="000D4693" w:rsidRDefault="00100634" w:rsidP="00100634">
            <w:pPr>
              <w:suppressAutoHyphens/>
              <w:autoSpaceDN w:val="0"/>
              <w:spacing w:line="300" w:lineRule="exact"/>
              <w:jc w:val="right"/>
              <w:rPr>
                <w:rFonts w:ascii="Arial" w:hAnsi="Arial" w:cs="Arial"/>
                <w:sz w:val="18"/>
                <w:szCs w:val="18"/>
              </w:rPr>
            </w:pPr>
            <w:r w:rsidRPr="009D6246">
              <w:rPr>
                <w:rFonts w:ascii="Arial" w:eastAsia="Times New Roman" w:hAnsi="Arial" w:cs="Arial"/>
                <w:color w:val="000000" w:themeColor="text1"/>
                <w:sz w:val="18"/>
                <w:szCs w:val="18"/>
              </w:rPr>
              <w:t xml:space="preserve"> (1.886)</w:t>
            </w:r>
          </w:p>
        </w:tc>
        <w:tc>
          <w:tcPr>
            <w:tcW w:w="1667" w:type="dxa"/>
            <w:shd w:val="clear" w:color="auto" w:fill="auto"/>
            <w:noWrap/>
            <w:vAlign w:val="bottom"/>
          </w:tcPr>
          <w:p w14:paraId="7C7F1629" w14:textId="09CB14CB" w:rsidR="00100634" w:rsidRPr="000D4693" w:rsidRDefault="00100634" w:rsidP="00100634">
            <w:pPr>
              <w:suppressAutoHyphens/>
              <w:autoSpaceDN w:val="0"/>
              <w:spacing w:line="300" w:lineRule="exact"/>
              <w:jc w:val="right"/>
              <w:rPr>
                <w:rFonts w:ascii="Arial" w:hAnsi="Arial" w:cs="Arial"/>
                <w:sz w:val="18"/>
                <w:szCs w:val="18"/>
              </w:rPr>
            </w:pPr>
            <w:r>
              <w:rPr>
                <w:rFonts w:ascii="Arial" w:eastAsia="Times New Roman" w:hAnsi="Arial" w:cs="Arial"/>
                <w:color w:val="000000" w:themeColor="text1"/>
                <w:sz w:val="18"/>
                <w:szCs w:val="18"/>
              </w:rPr>
              <w:t>-</w:t>
            </w:r>
          </w:p>
        </w:tc>
        <w:tc>
          <w:tcPr>
            <w:tcW w:w="1168" w:type="dxa"/>
            <w:shd w:val="clear" w:color="auto" w:fill="auto"/>
            <w:noWrap/>
            <w:vAlign w:val="bottom"/>
          </w:tcPr>
          <w:p w14:paraId="32821097" w14:textId="4EE96086" w:rsidR="00100634" w:rsidRPr="000D4693" w:rsidRDefault="00100634" w:rsidP="00100634">
            <w:pPr>
              <w:suppressAutoHyphens/>
              <w:autoSpaceDN w:val="0"/>
              <w:spacing w:line="300" w:lineRule="exact"/>
              <w:jc w:val="right"/>
              <w:rPr>
                <w:rFonts w:ascii="Arial" w:hAnsi="Arial" w:cs="Arial"/>
                <w:sz w:val="18"/>
                <w:szCs w:val="18"/>
              </w:rPr>
            </w:pPr>
            <w:r>
              <w:rPr>
                <w:rFonts w:ascii="Arial" w:eastAsia="Times New Roman" w:hAnsi="Arial" w:cs="Arial"/>
                <w:color w:val="000000" w:themeColor="text1"/>
                <w:sz w:val="18"/>
                <w:szCs w:val="18"/>
              </w:rPr>
              <w:t>-</w:t>
            </w:r>
          </w:p>
        </w:tc>
        <w:tc>
          <w:tcPr>
            <w:tcW w:w="1559" w:type="dxa"/>
            <w:shd w:val="clear" w:color="auto" w:fill="auto"/>
            <w:noWrap/>
            <w:vAlign w:val="bottom"/>
          </w:tcPr>
          <w:p w14:paraId="42C347B3" w14:textId="6A28D808" w:rsidR="00100634" w:rsidRPr="000D4693" w:rsidRDefault="00100634" w:rsidP="00100634">
            <w:pPr>
              <w:suppressAutoHyphens/>
              <w:autoSpaceDN w:val="0"/>
              <w:spacing w:line="300" w:lineRule="exact"/>
              <w:jc w:val="right"/>
              <w:rPr>
                <w:rFonts w:ascii="Arial" w:hAnsi="Arial" w:cs="Arial"/>
                <w:sz w:val="18"/>
                <w:szCs w:val="18"/>
              </w:rPr>
            </w:pPr>
            <w:r>
              <w:rPr>
                <w:rFonts w:ascii="Arial" w:eastAsia="Times New Roman" w:hAnsi="Arial" w:cs="Arial"/>
                <w:color w:val="000000" w:themeColor="text1"/>
                <w:sz w:val="18"/>
                <w:szCs w:val="18"/>
              </w:rPr>
              <w:t>-</w:t>
            </w:r>
            <w:r w:rsidRPr="009D6246">
              <w:rPr>
                <w:rFonts w:ascii="Arial" w:eastAsia="Times New Roman" w:hAnsi="Arial" w:cs="Arial"/>
                <w:color w:val="000000" w:themeColor="text1"/>
                <w:sz w:val="18"/>
                <w:szCs w:val="18"/>
              </w:rPr>
              <w:t xml:space="preserve">      </w:t>
            </w:r>
          </w:p>
        </w:tc>
        <w:tc>
          <w:tcPr>
            <w:tcW w:w="1134" w:type="dxa"/>
            <w:shd w:val="clear" w:color="auto" w:fill="auto"/>
            <w:noWrap/>
            <w:vAlign w:val="bottom"/>
          </w:tcPr>
          <w:p w14:paraId="58A26582" w14:textId="3BF4A590" w:rsidR="00100634" w:rsidRPr="000D4693" w:rsidRDefault="00100634" w:rsidP="00100634">
            <w:pPr>
              <w:suppressAutoHyphens/>
              <w:autoSpaceDN w:val="0"/>
              <w:spacing w:line="300" w:lineRule="exact"/>
              <w:jc w:val="right"/>
              <w:rPr>
                <w:rFonts w:ascii="Arial" w:hAnsi="Arial" w:cs="Arial"/>
                <w:sz w:val="18"/>
                <w:szCs w:val="18"/>
              </w:rPr>
            </w:pPr>
            <w:r w:rsidRPr="009D6246">
              <w:rPr>
                <w:rFonts w:ascii="Arial" w:eastAsia="Times New Roman" w:hAnsi="Arial" w:cs="Arial"/>
                <w:color w:val="000000" w:themeColor="text1"/>
                <w:sz w:val="18"/>
                <w:szCs w:val="18"/>
              </w:rPr>
              <w:t xml:space="preserve"> (1.886)</w:t>
            </w:r>
          </w:p>
        </w:tc>
      </w:tr>
      <w:tr w:rsidR="00100634" w:rsidRPr="003D1614" w14:paraId="1E25576A" w14:textId="77777777" w:rsidTr="00F37474">
        <w:trPr>
          <w:trHeight w:val="300"/>
        </w:trPr>
        <w:tc>
          <w:tcPr>
            <w:tcW w:w="3261" w:type="dxa"/>
            <w:tcBorders>
              <w:top w:val="nil"/>
              <w:left w:val="nil"/>
              <w:right w:val="nil"/>
            </w:tcBorders>
            <w:shd w:val="clear" w:color="auto" w:fill="auto"/>
            <w:vAlign w:val="bottom"/>
          </w:tcPr>
          <w:p w14:paraId="612F4D6F" w14:textId="77777777" w:rsidR="00100634" w:rsidRPr="003D1614" w:rsidRDefault="00100634" w:rsidP="00100634">
            <w:pPr>
              <w:suppressAutoHyphens/>
              <w:autoSpaceDN w:val="0"/>
              <w:spacing w:line="300" w:lineRule="exact"/>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Ostali rashodi</w:t>
            </w:r>
          </w:p>
        </w:tc>
        <w:tc>
          <w:tcPr>
            <w:tcW w:w="1134" w:type="dxa"/>
            <w:tcBorders>
              <w:top w:val="nil"/>
              <w:left w:val="nil"/>
              <w:bottom w:val="single" w:sz="4" w:space="0" w:color="auto"/>
              <w:right w:val="nil"/>
            </w:tcBorders>
            <w:shd w:val="clear" w:color="auto" w:fill="auto"/>
            <w:noWrap/>
            <w:vAlign w:val="bottom"/>
          </w:tcPr>
          <w:p w14:paraId="6EBA85B8" w14:textId="33806C6A" w:rsidR="00100634" w:rsidRPr="000D4693" w:rsidRDefault="00100634" w:rsidP="00100634">
            <w:pPr>
              <w:suppressAutoHyphens/>
              <w:autoSpaceDN w:val="0"/>
              <w:spacing w:line="300" w:lineRule="exact"/>
              <w:jc w:val="right"/>
              <w:rPr>
                <w:rFonts w:ascii="Arial" w:hAnsi="Arial" w:cs="Arial"/>
                <w:sz w:val="18"/>
                <w:szCs w:val="18"/>
              </w:rPr>
            </w:pPr>
            <w:r>
              <w:rPr>
                <w:rFonts w:ascii="Arial" w:eastAsia="Times New Roman" w:hAnsi="Arial" w:cs="Arial"/>
                <w:color w:val="000000" w:themeColor="text1"/>
                <w:sz w:val="18"/>
                <w:szCs w:val="18"/>
              </w:rPr>
              <w:t>-</w:t>
            </w:r>
          </w:p>
        </w:tc>
        <w:tc>
          <w:tcPr>
            <w:tcW w:w="1667" w:type="dxa"/>
            <w:tcBorders>
              <w:top w:val="nil"/>
              <w:left w:val="nil"/>
              <w:bottom w:val="single" w:sz="4" w:space="0" w:color="auto"/>
              <w:right w:val="nil"/>
            </w:tcBorders>
            <w:shd w:val="clear" w:color="auto" w:fill="auto"/>
            <w:noWrap/>
            <w:vAlign w:val="bottom"/>
          </w:tcPr>
          <w:p w14:paraId="04A8E15A" w14:textId="60CBF5F3" w:rsidR="00100634" w:rsidRPr="000D4693" w:rsidRDefault="00100634" w:rsidP="00100634">
            <w:pPr>
              <w:suppressAutoHyphens/>
              <w:autoSpaceDN w:val="0"/>
              <w:spacing w:line="300" w:lineRule="exact"/>
              <w:jc w:val="right"/>
              <w:rPr>
                <w:rFonts w:ascii="Arial" w:hAnsi="Arial" w:cs="Arial"/>
                <w:sz w:val="18"/>
                <w:szCs w:val="18"/>
              </w:rPr>
            </w:pPr>
            <w:r w:rsidRPr="009D6246">
              <w:rPr>
                <w:rFonts w:ascii="Arial" w:eastAsia="Times New Roman" w:hAnsi="Arial" w:cs="Arial"/>
                <w:color w:val="000000" w:themeColor="text1"/>
                <w:sz w:val="18"/>
                <w:szCs w:val="18"/>
              </w:rPr>
              <w:t xml:space="preserve"> (1.173)</w:t>
            </w:r>
          </w:p>
        </w:tc>
        <w:tc>
          <w:tcPr>
            <w:tcW w:w="1168" w:type="dxa"/>
            <w:tcBorders>
              <w:top w:val="nil"/>
              <w:left w:val="nil"/>
              <w:bottom w:val="single" w:sz="4" w:space="0" w:color="auto"/>
              <w:right w:val="nil"/>
            </w:tcBorders>
            <w:shd w:val="clear" w:color="auto" w:fill="auto"/>
            <w:noWrap/>
            <w:vAlign w:val="bottom"/>
          </w:tcPr>
          <w:p w14:paraId="5DD9F6C3" w14:textId="0BA74425" w:rsidR="00100634" w:rsidRPr="000D4693" w:rsidRDefault="00100634" w:rsidP="00100634">
            <w:pPr>
              <w:suppressAutoHyphens/>
              <w:autoSpaceDN w:val="0"/>
              <w:spacing w:line="300" w:lineRule="exact"/>
              <w:jc w:val="right"/>
              <w:rPr>
                <w:rFonts w:ascii="Arial" w:hAnsi="Arial" w:cs="Arial"/>
                <w:sz w:val="18"/>
                <w:szCs w:val="18"/>
              </w:rPr>
            </w:pPr>
            <w:r>
              <w:rPr>
                <w:rFonts w:ascii="Arial" w:eastAsia="Times New Roman" w:hAnsi="Arial" w:cs="Arial"/>
                <w:color w:val="000000" w:themeColor="text1"/>
                <w:sz w:val="18"/>
                <w:szCs w:val="18"/>
              </w:rPr>
              <w:t>-</w:t>
            </w:r>
          </w:p>
        </w:tc>
        <w:tc>
          <w:tcPr>
            <w:tcW w:w="1559" w:type="dxa"/>
            <w:tcBorders>
              <w:top w:val="nil"/>
              <w:left w:val="nil"/>
              <w:bottom w:val="single" w:sz="4" w:space="0" w:color="auto"/>
              <w:right w:val="nil"/>
            </w:tcBorders>
            <w:shd w:val="clear" w:color="auto" w:fill="auto"/>
            <w:noWrap/>
            <w:vAlign w:val="bottom"/>
          </w:tcPr>
          <w:p w14:paraId="0DDC721B" w14:textId="2AEE0341" w:rsidR="00100634" w:rsidRPr="000D4693" w:rsidRDefault="00100634" w:rsidP="00100634">
            <w:pPr>
              <w:suppressAutoHyphens/>
              <w:autoSpaceDN w:val="0"/>
              <w:spacing w:line="300" w:lineRule="exact"/>
              <w:jc w:val="right"/>
              <w:rPr>
                <w:rFonts w:ascii="Arial" w:hAnsi="Arial" w:cs="Arial"/>
                <w:sz w:val="18"/>
                <w:szCs w:val="18"/>
              </w:rPr>
            </w:pPr>
            <w:r>
              <w:rPr>
                <w:rFonts w:ascii="Arial" w:eastAsia="Times New Roman" w:hAnsi="Arial" w:cs="Arial"/>
                <w:color w:val="000000" w:themeColor="text1"/>
                <w:sz w:val="18"/>
                <w:szCs w:val="18"/>
              </w:rPr>
              <w:t>-</w:t>
            </w:r>
          </w:p>
        </w:tc>
        <w:tc>
          <w:tcPr>
            <w:tcW w:w="1134" w:type="dxa"/>
            <w:tcBorders>
              <w:top w:val="nil"/>
              <w:left w:val="nil"/>
              <w:bottom w:val="single" w:sz="4" w:space="0" w:color="auto"/>
              <w:right w:val="nil"/>
            </w:tcBorders>
            <w:shd w:val="clear" w:color="auto" w:fill="auto"/>
            <w:noWrap/>
            <w:vAlign w:val="bottom"/>
          </w:tcPr>
          <w:p w14:paraId="5D12326D" w14:textId="07FF96DB" w:rsidR="00100634" w:rsidRPr="000D4693" w:rsidRDefault="00100634" w:rsidP="00100634">
            <w:pPr>
              <w:suppressAutoHyphens/>
              <w:autoSpaceDN w:val="0"/>
              <w:spacing w:line="300" w:lineRule="exact"/>
              <w:jc w:val="right"/>
              <w:rPr>
                <w:rFonts w:ascii="Arial" w:hAnsi="Arial" w:cs="Arial"/>
                <w:sz w:val="18"/>
                <w:szCs w:val="18"/>
              </w:rPr>
            </w:pPr>
            <w:r w:rsidRPr="009D6246">
              <w:rPr>
                <w:rFonts w:ascii="Arial" w:eastAsia="Times New Roman" w:hAnsi="Arial" w:cs="Arial"/>
                <w:color w:val="000000" w:themeColor="text1"/>
                <w:sz w:val="18"/>
                <w:szCs w:val="18"/>
              </w:rPr>
              <w:t xml:space="preserve"> (1.173)</w:t>
            </w:r>
          </w:p>
        </w:tc>
      </w:tr>
      <w:tr w:rsidR="00100634" w:rsidRPr="003D1614" w14:paraId="16F5B68B" w14:textId="77777777" w:rsidTr="00F37474">
        <w:trPr>
          <w:trHeight w:val="300"/>
        </w:trPr>
        <w:tc>
          <w:tcPr>
            <w:tcW w:w="3261" w:type="dxa"/>
            <w:tcBorders>
              <w:left w:val="nil"/>
              <w:right w:val="nil"/>
            </w:tcBorders>
            <w:shd w:val="clear" w:color="auto" w:fill="auto"/>
            <w:vAlign w:val="bottom"/>
          </w:tcPr>
          <w:p w14:paraId="199752DB" w14:textId="77777777" w:rsidR="00100634" w:rsidRPr="003D1614" w:rsidRDefault="00100634" w:rsidP="00100634">
            <w:pPr>
              <w:suppressAutoHyphens/>
              <w:autoSpaceDN w:val="0"/>
              <w:spacing w:line="300" w:lineRule="exac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Troškovi poslovanja</w:t>
            </w:r>
          </w:p>
        </w:tc>
        <w:tc>
          <w:tcPr>
            <w:tcW w:w="1134" w:type="dxa"/>
            <w:tcBorders>
              <w:top w:val="single" w:sz="4" w:space="0" w:color="auto"/>
              <w:left w:val="nil"/>
              <w:bottom w:val="single" w:sz="12" w:space="0" w:color="auto"/>
              <w:right w:val="nil"/>
            </w:tcBorders>
            <w:shd w:val="clear" w:color="auto" w:fill="auto"/>
            <w:noWrap/>
            <w:vAlign w:val="bottom"/>
          </w:tcPr>
          <w:p w14:paraId="5D524AC3" w14:textId="734AF28C" w:rsidR="00100634" w:rsidRPr="00F37474" w:rsidRDefault="00100634" w:rsidP="00100634">
            <w:pPr>
              <w:suppressAutoHyphens/>
              <w:autoSpaceDN w:val="0"/>
              <w:spacing w:line="300" w:lineRule="exact"/>
              <w:jc w:val="right"/>
              <w:rPr>
                <w:rFonts w:ascii="Arial" w:hAnsi="Arial" w:cs="Arial"/>
                <w:b/>
                <w:bCs/>
                <w:sz w:val="18"/>
                <w:szCs w:val="18"/>
              </w:rPr>
            </w:pPr>
            <w:r w:rsidRPr="009D6246">
              <w:rPr>
                <w:rFonts w:ascii="Arial" w:eastAsia="Times New Roman" w:hAnsi="Arial" w:cs="Arial"/>
                <w:b/>
                <w:bCs/>
                <w:color w:val="000000" w:themeColor="text1"/>
                <w:sz w:val="18"/>
                <w:szCs w:val="18"/>
              </w:rPr>
              <w:t xml:space="preserve"> (19.436)</w:t>
            </w:r>
          </w:p>
        </w:tc>
        <w:tc>
          <w:tcPr>
            <w:tcW w:w="1667" w:type="dxa"/>
            <w:tcBorders>
              <w:top w:val="single" w:sz="4" w:space="0" w:color="auto"/>
              <w:left w:val="nil"/>
              <w:bottom w:val="single" w:sz="12" w:space="0" w:color="auto"/>
              <w:right w:val="nil"/>
            </w:tcBorders>
            <w:shd w:val="clear" w:color="auto" w:fill="auto"/>
            <w:noWrap/>
            <w:vAlign w:val="bottom"/>
          </w:tcPr>
          <w:p w14:paraId="390B0550" w14:textId="1D47DE65" w:rsidR="00100634" w:rsidRPr="00F37474" w:rsidRDefault="00100634" w:rsidP="00100634">
            <w:pPr>
              <w:suppressAutoHyphens/>
              <w:autoSpaceDN w:val="0"/>
              <w:spacing w:line="300" w:lineRule="exact"/>
              <w:jc w:val="right"/>
              <w:rPr>
                <w:rFonts w:ascii="Arial" w:hAnsi="Arial" w:cs="Arial"/>
                <w:b/>
                <w:bCs/>
                <w:sz w:val="18"/>
                <w:szCs w:val="18"/>
              </w:rPr>
            </w:pPr>
            <w:r w:rsidRPr="009D6246">
              <w:rPr>
                <w:rFonts w:ascii="Arial" w:eastAsia="Times New Roman" w:hAnsi="Arial" w:cs="Arial"/>
                <w:b/>
                <w:bCs/>
                <w:color w:val="000000" w:themeColor="text1"/>
                <w:sz w:val="18"/>
                <w:szCs w:val="18"/>
              </w:rPr>
              <w:t xml:space="preserve"> (1.730)</w:t>
            </w:r>
          </w:p>
        </w:tc>
        <w:tc>
          <w:tcPr>
            <w:tcW w:w="1168" w:type="dxa"/>
            <w:tcBorders>
              <w:top w:val="single" w:sz="4" w:space="0" w:color="auto"/>
              <w:left w:val="nil"/>
              <w:bottom w:val="single" w:sz="12" w:space="0" w:color="auto"/>
              <w:right w:val="nil"/>
            </w:tcBorders>
            <w:shd w:val="clear" w:color="auto" w:fill="auto"/>
            <w:noWrap/>
            <w:vAlign w:val="bottom"/>
          </w:tcPr>
          <w:p w14:paraId="76D7AC2B" w14:textId="692B9424" w:rsidR="00100634" w:rsidRPr="00F37474" w:rsidRDefault="00100634" w:rsidP="00100634">
            <w:pPr>
              <w:suppressAutoHyphens/>
              <w:autoSpaceDN w:val="0"/>
              <w:spacing w:line="300" w:lineRule="exact"/>
              <w:jc w:val="right"/>
              <w:rPr>
                <w:rFonts w:ascii="Arial" w:hAnsi="Arial" w:cs="Arial"/>
                <w:b/>
                <w:bCs/>
                <w:sz w:val="18"/>
                <w:szCs w:val="18"/>
              </w:rPr>
            </w:pPr>
            <w:r w:rsidRPr="009D6246">
              <w:rPr>
                <w:rFonts w:ascii="Arial" w:eastAsia="Times New Roman" w:hAnsi="Arial" w:cs="Arial"/>
                <w:b/>
                <w:bCs/>
                <w:color w:val="000000" w:themeColor="text1"/>
                <w:sz w:val="18"/>
                <w:szCs w:val="18"/>
              </w:rPr>
              <w:t xml:space="preserve"> (224)</w:t>
            </w:r>
          </w:p>
        </w:tc>
        <w:tc>
          <w:tcPr>
            <w:tcW w:w="1559" w:type="dxa"/>
            <w:tcBorders>
              <w:top w:val="single" w:sz="4" w:space="0" w:color="auto"/>
              <w:left w:val="nil"/>
              <w:bottom w:val="single" w:sz="12" w:space="0" w:color="auto"/>
              <w:right w:val="nil"/>
            </w:tcBorders>
            <w:shd w:val="clear" w:color="auto" w:fill="auto"/>
            <w:noWrap/>
            <w:vAlign w:val="bottom"/>
          </w:tcPr>
          <w:p w14:paraId="4AF4F338" w14:textId="47DF25E9" w:rsidR="00100634" w:rsidRPr="00F37474" w:rsidRDefault="00100634" w:rsidP="00100634">
            <w:pPr>
              <w:suppressAutoHyphens/>
              <w:autoSpaceDN w:val="0"/>
              <w:spacing w:line="300" w:lineRule="exact"/>
              <w:jc w:val="right"/>
              <w:rPr>
                <w:rFonts w:ascii="Arial" w:hAnsi="Arial" w:cs="Arial"/>
                <w:b/>
                <w:bCs/>
                <w:sz w:val="18"/>
                <w:szCs w:val="18"/>
              </w:rPr>
            </w:pPr>
            <w:r w:rsidRPr="009D6246">
              <w:rPr>
                <w:rFonts w:ascii="Arial" w:eastAsia="Times New Roman" w:hAnsi="Arial" w:cs="Arial"/>
                <w:b/>
                <w:bCs/>
                <w:color w:val="000000" w:themeColor="text1"/>
                <w:sz w:val="18"/>
                <w:szCs w:val="18"/>
              </w:rPr>
              <w:t xml:space="preserve"> 30 </w:t>
            </w:r>
          </w:p>
        </w:tc>
        <w:tc>
          <w:tcPr>
            <w:tcW w:w="1134" w:type="dxa"/>
            <w:tcBorders>
              <w:top w:val="single" w:sz="4" w:space="0" w:color="auto"/>
              <w:left w:val="nil"/>
              <w:bottom w:val="single" w:sz="12" w:space="0" w:color="auto"/>
              <w:right w:val="nil"/>
            </w:tcBorders>
            <w:shd w:val="clear" w:color="auto" w:fill="auto"/>
            <w:noWrap/>
            <w:vAlign w:val="bottom"/>
          </w:tcPr>
          <w:p w14:paraId="32238017" w14:textId="56BE26A6" w:rsidR="00100634" w:rsidRPr="00F37474" w:rsidRDefault="00100634" w:rsidP="00100634">
            <w:pPr>
              <w:suppressAutoHyphens/>
              <w:autoSpaceDN w:val="0"/>
              <w:spacing w:line="300" w:lineRule="exact"/>
              <w:jc w:val="right"/>
              <w:rPr>
                <w:rFonts w:ascii="Arial" w:hAnsi="Arial" w:cs="Arial"/>
                <w:b/>
                <w:bCs/>
                <w:sz w:val="18"/>
                <w:szCs w:val="18"/>
              </w:rPr>
            </w:pPr>
            <w:r w:rsidRPr="009D6246">
              <w:rPr>
                <w:rFonts w:ascii="Arial" w:eastAsia="Times New Roman" w:hAnsi="Arial" w:cs="Arial"/>
                <w:b/>
                <w:bCs/>
                <w:color w:val="000000" w:themeColor="text1"/>
                <w:sz w:val="18"/>
                <w:szCs w:val="18"/>
              </w:rPr>
              <w:t xml:space="preserve"> (21.360)</w:t>
            </w:r>
          </w:p>
        </w:tc>
      </w:tr>
      <w:tr w:rsidR="00100634" w:rsidRPr="003D1614" w14:paraId="746B24BA" w14:textId="77777777" w:rsidTr="00F37474">
        <w:trPr>
          <w:trHeight w:val="174"/>
        </w:trPr>
        <w:tc>
          <w:tcPr>
            <w:tcW w:w="3261" w:type="dxa"/>
            <w:tcBorders>
              <w:left w:val="nil"/>
              <w:bottom w:val="nil"/>
              <w:right w:val="nil"/>
            </w:tcBorders>
            <w:shd w:val="clear" w:color="auto" w:fill="auto"/>
            <w:vAlign w:val="bottom"/>
          </w:tcPr>
          <w:p w14:paraId="6B68B135" w14:textId="77777777" w:rsidR="00100634" w:rsidRPr="003D1614" w:rsidRDefault="00100634" w:rsidP="00100634">
            <w:pPr>
              <w:suppressAutoHyphens/>
              <w:autoSpaceDN w:val="0"/>
              <w:spacing w:line="140" w:lineRule="exact"/>
              <w:rPr>
                <w:rFonts w:ascii="Arial" w:eastAsia="Times New Roman" w:hAnsi="Arial" w:cs="Arial"/>
                <w:color w:val="000000" w:themeColor="text1"/>
                <w:sz w:val="18"/>
                <w:szCs w:val="18"/>
              </w:rPr>
            </w:pPr>
          </w:p>
        </w:tc>
        <w:tc>
          <w:tcPr>
            <w:tcW w:w="1134" w:type="dxa"/>
            <w:tcBorders>
              <w:top w:val="single" w:sz="12" w:space="0" w:color="auto"/>
              <w:left w:val="nil"/>
              <w:bottom w:val="nil"/>
              <w:right w:val="nil"/>
            </w:tcBorders>
            <w:shd w:val="clear" w:color="auto" w:fill="auto"/>
            <w:noWrap/>
            <w:vAlign w:val="bottom"/>
          </w:tcPr>
          <w:p w14:paraId="2A633FBB" w14:textId="77777777" w:rsidR="00100634" w:rsidRPr="000D4693" w:rsidRDefault="00100634" w:rsidP="00100634">
            <w:pPr>
              <w:suppressAutoHyphens/>
              <w:autoSpaceDN w:val="0"/>
              <w:spacing w:line="300" w:lineRule="exact"/>
              <w:jc w:val="right"/>
              <w:rPr>
                <w:rFonts w:ascii="Arial" w:hAnsi="Arial" w:cs="Arial"/>
                <w:sz w:val="18"/>
                <w:szCs w:val="18"/>
              </w:rPr>
            </w:pPr>
          </w:p>
        </w:tc>
        <w:tc>
          <w:tcPr>
            <w:tcW w:w="1667" w:type="dxa"/>
            <w:tcBorders>
              <w:top w:val="single" w:sz="12" w:space="0" w:color="auto"/>
              <w:left w:val="nil"/>
              <w:bottom w:val="nil"/>
              <w:right w:val="nil"/>
            </w:tcBorders>
            <w:shd w:val="clear" w:color="auto" w:fill="auto"/>
            <w:noWrap/>
            <w:vAlign w:val="bottom"/>
          </w:tcPr>
          <w:p w14:paraId="3C90BDFA" w14:textId="77777777" w:rsidR="00100634" w:rsidRPr="000D4693" w:rsidRDefault="00100634" w:rsidP="00100634">
            <w:pPr>
              <w:suppressAutoHyphens/>
              <w:autoSpaceDN w:val="0"/>
              <w:spacing w:line="300" w:lineRule="exact"/>
              <w:jc w:val="right"/>
              <w:rPr>
                <w:rFonts w:ascii="Arial" w:hAnsi="Arial" w:cs="Arial"/>
                <w:sz w:val="18"/>
                <w:szCs w:val="18"/>
              </w:rPr>
            </w:pPr>
          </w:p>
        </w:tc>
        <w:tc>
          <w:tcPr>
            <w:tcW w:w="1168" w:type="dxa"/>
            <w:tcBorders>
              <w:top w:val="single" w:sz="12" w:space="0" w:color="auto"/>
              <w:left w:val="nil"/>
              <w:bottom w:val="nil"/>
              <w:right w:val="nil"/>
            </w:tcBorders>
            <w:shd w:val="clear" w:color="auto" w:fill="auto"/>
            <w:noWrap/>
            <w:vAlign w:val="bottom"/>
          </w:tcPr>
          <w:p w14:paraId="17D4FFE2" w14:textId="77777777" w:rsidR="00100634" w:rsidRPr="000D4693" w:rsidRDefault="00100634" w:rsidP="00100634">
            <w:pPr>
              <w:suppressAutoHyphens/>
              <w:autoSpaceDN w:val="0"/>
              <w:spacing w:line="300" w:lineRule="exact"/>
              <w:jc w:val="right"/>
              <w:rPr>
                <w:rFonts w:ascii="Arial" w:hAnsi="Arial" w:cs="Arial"/>
                <w:sz w:val="18"/>
                <w:szCs w:val="18"/>
              </w:rPr>
            </w:pPr>
          </w:p>
        </w:tc>
        <w:tc>
          <w:tcPr>
            <w:tcW w:w="1559" w:type="dxa"/>
            <w:tcBorders>
              <w:top w:val="single" w:sz="12" w:space="0" w:color="auto"/>
              <w:left w:val="nil"/>
              <w:bottom w:val="nil"/>
              <w:right w:val="nil"/>
            </w:tcBorders>
            <w:shd w:val="clear" w:color="auto" w:fill="auto"/>
            <w:noWrap/>
            <w:vAlign w:val="bottom"/>
          </w:tcPr>
          <w:p w14:paraId="61692F55" w14:textId="77777777" w:rsidR="00100634" w:rsidRPr="000D4693" w:rsidRDefault="00100634" w:rsidP="00100634">
            <w:pPr>
              <w:suppressAutoHyphens/>
              <w:autoSpaceDN w:val="0"/>
              <w:spacing w:line="300" w:lineRule="exact"/>
              <w:jc w:val="right"/>
              <w:rPr>
                <w:rFonts w:ascii="Arial" w:hAnsi="Arial" w:cs="Arial"/>
                <w:sz w:val="18"/>
                <w:szCs w:val="18"/>
              </w:rPr>
            </w:pPr>
          </w:p>
        </w:tc>
        <w:tc>
          <w:tcPr>
            <w:tcW w:w="1134" w:type="dxa"/>
            <w:tcBorders>
              <w:top w:val="single" w:sz="12" w:space="0" w:color="auto"/>
              <w:left w:val="nil"/>
              <w:bottom w:val="nil"/>
              <w:right w:val="nil"/>
            </w:tcBorders>
            <w:shd w:val="clear" w:color="auto" w:fill="auto"/>
            <w:noWrap/>
            <w:vAlign w:val="bottom"/>
          </w:tcPr>
          <w:p w14:paraId="1B49AC7E" w14:textId="77777777" w:rsidR="00100634" w:rsidRPr="000D4693" w:rsidRDefault="00100634" w:rsidP="00100634">
            <w:pPr>
              <w:suppressAutoHyphens/>
              <w:autoSpaceDN w:val="0"/>
              <w:spacing w:line="300" w:lineRule="exact"/>
              <w:jc w:val="right"/>
              <w:rPr>
                <w:rFonts w:ascii="Arial" w:hAnsi="Arial" w:cs="Arial"/>
                <w:sz w:val="18"/>
                <w:szCs w:val="18"/>
              </w:rPr>
            </w:pPr>
          </w:p>
        </w:tc>
      </w:tr>
      <w:tr w:rsidR="00100634" w:rsidRPr="003D1614" w14:paraId="1DC37D7A" w14:textId="77777777" w:rsidTr="00F37474">
        <w:trPr>
          <w:trHeight w:val="300"/>
        </w:trPr>
        <w:tc>
          <w:tcPr>
            <w:tcW w:w="3261" w:type="dxa"/>
            <w:tcBorders>
              <w:top w:val="nil"/>
              <w:left w:val="nil"/>
              <w:bottom w:val="nil"/>
              <w:right w:val="nil"/>
            </w:tcBorders>
            <w:shd w:val="clear" w:color="auto" w:fill="auto"/>
            <w:vAlign w:val="bottom"/>
          </w:tcPr>
          <w:p w14:paraId="4D6CF44C" w14:textId="77777777" w:rsidR="00100634" w:rsidRPr="003D1614" w:rsidRDefault="00100634" w:rsidP="00100634">
            <w:pPr>
              <w:suppressAutoHyphens/>
              <w:autoSpaceDN w:val="0"/>
              <w:spacing w:line="300" w:lineRule="exac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Dobit prije oporezivanja</w:t>
            </w:r>
          </w:p>
        </w:tc>
        <w:tc>
          <w:tcPr>
            <w:tcW w:w="1134" w:type="dxa"/>
            <w:shd w:val="clear" w:color="auto" w:fill="auto"/>
            <w:noWrap/>
            <w:vAlign w:val="bottom"/>
          </w:tcPr>
          <w:p w14:paraId="67E4E3D8" w14:textId="644AC4B7" w:rsidR="00100634" w:rsidRPr="000D4693" w:rsidRDefault="00100634" w:rsidP="00100634">
            <w:pPr>
              <w:suppressAutoHyphens/>
              <w:autoSpaceDN w:val="0"/>
              <w:spacing w:line="300" w:lineRule="exact"/>
              <w:jc w:val="right"/>
              <w:rPr>
                <w:rFonts w:ascii="Arial" w:hAnsi="Arial" w:cs="Arial"/>
                <w:sz w:val="18"/>
                <w:szCs w:val="18"/>
              </w:rPr>
            </w:pPr>
            <w:r w:rsidRPr="009D6246">
              <w:rPr>
                <w:rFonts w:ascii="Arial" w:eastAsia="Times New Roman" w:hAnsi="Arial" w:cs="Arial"/>
                <w:color w:val="000000" w:themeColor="text1"/>
                <w:sz w:val="18"/>
                <w:szCs w:val="18"/>
              </w:rPr>
              <w:t xml:space="preserve"> 50.386 </w:t>
            </w:r>
          </w:p>
        </w:tc>
        <w:tc>
          <w:tcPr>
            <w:tcW w:w="1667" w:type="dxa"/>
            <w:shd w:val="clear" w:color="auto" w:fill="auto"/>
            <w:noWrap/>
            <w:vAlign w:val="bottom"/>
          </w:tcPr>
          <w:p w14:paraId="5305C64F" w14:textId="2369814A" w:rsidR="00100634" w:rsidRPr="000D4693" w:rsidRDefault="00100634" w:rsidP="00100634">
            <w:pPr>
              <w:suppressAutoHyphens/>
              <w:autoSpaceDN w:val="0"/>
              <w:spacing w:line="300" w:lineRule="exact"/>
              <w:jc w:val="right"/>
              <w:rPr>
                <w:rFonts w:ascii="Arial" w:hAnsi="Arial" w:cs="Arial"/>
                <w:sz w:val="18"/>
                <w:szCs w:val="18"/>
              </w:rPr>
            </w:pPr>
            <w:r w:rsidRPr="009D6246">
              <w:rPr>
                <w:rFonts w:ascii="Arial" w:eastAsia="Times New Roman" w:hAnsi="Arial" w:cs="Arial"/>
                <w:color w:val="000000" w:themeColor="text1"/>
                <w:sz w:val="18"/>
                <w:szCs w:val="18"/>
              </w:rPr>
              <w:t xml:space="preserve"> 368 </w:t>
            </w:r>
          </w:p>
        </w:tc>
        <w:tc>
          <w:tcPr>
            <w:tcW w:w="1168" w:type="dxa"/>
            <w:shd w:val="clear" w:color="auto" w:fill="auto"/>
            <w:noWrap/>
            <w:vAlign w:val="bottom"/>
          </w:tcPr>
          <w:p w14:paraId="1F95B3AC" w14:textId="2191C170" w:rsidR="00100634" w:rsidRPr="000D4693" w:rsidRDefault="00100634" w:rsidP="00100634">
            <w:pPr>
              <w:suppressAutoHyphens/>
              <w:autoSpaceDN w:val="0"/>
              <w:spacing w:line="300" w:lineRule="exact"/>
              <w:jc w:val="right"/>
              <w:rPr>
                <w:rFonts w:ascii="Arial" w:hAnsi="Arial" w:cs="Arial"/>
                <w:sz w:val="18"/>
                <w:szCs w:val="18"/>
              </w:rPr>
            </w:pPr>
            <w:r w:rsidRPr="009D6246">
              <w:rPr>
                <w:rFonts w:ascii="Arial" w:eastAsia="Times New Roman" w:hAnsi="Arial" w:cs="Arial"/>
                <w:color w:val="000000" w:themeColor="text1"/>
                <w:sz w:val="18"/>
                <w:szCs w:val="18"/>
              </w:rPr>
              <w:t xml:space="preserve"> 14 </w:t>
            </w:r>
          </w:p>
        </w:tc>
        <w:tc>
          <w:tcPr>
            <w:tcW w:w="1559" w:type="dxa"/>
            <w:shd w:val="clear" w:color="auto" w:fill="auto"/>
            <w:noWrap/>
            <w:vAlign w:val="bottom"/>
          </w:tcPr>
          <w:p w14:paraId="4D1A8156" w14:textId="6FB69916" w:rsidR="00100634" w:rsidRPr="000D4693" w:rsidRDefault="00100634" w:rsidP="00100634">
            <w:pPr>
              <w:suppressAutoHyphens/>
              <w:autoSpaceDN w:val="0"/>
              <w:spacing w:line="300" w:lineRule="exact"/>
              <w:jc w:val="right"/>
              <w:rPr>
                <w:rFonts w:ascii="Arial" w:hAnsi="Arial" w:cs="Arial"/>
                <w:sz w:val="18"/>
                <w:szCs w:val="18"/>
              </w:rPr>
            </w:pPr>
            <w:r w:rsidRPr="009D6246">
              <w:rPr>
                <w:rFonts w:ascii="Arial" w:eastAsia="Times New Roman" w:hAnsi="Arial" w:cs="Arial"/>
                <w:color w:val="000000" w:themeColor="text1"/>
                <w:sz w:val="18"/>
                <w:szCs w:val="18"/>
              </w:rPr>
              <w:t xml:space="preserve"> - </w:t>
            </w:r>
          </w:p>
        </w:tc>
        <w:tc>
          <w:tcPr>
            <w:tcW w:w="1134" w:type="dxa"/>
            <w:shd w:val="clear" w:color="auto" w:fill="auto"/>
            <w:noWrap/>
            <w:vAlign w:val="bottom"/>
          </w:tcPr>
          <w:p w14:paraId="0CE08E65" w14:textId="4B1BD20F" w:rsidR="00100634" w:rsidRPr="000D4693" w:rsidRDefault="00100634" w:rsidP="00100634">
            <w:pPr>
              <w:suppressAutoHyphens/>
              <w:autoSpaceDN w:val="0"/>
              <w:spacing w:line="300" w:lineRule="exact"/>
              <w:jc w:val="right"/>
              <w:rPr>
                <w:rFonts w:ascii="Arial" w:hAnsi="Arial" w:cs="Arial"/>
                <w:sz w:val="18"/>
                <w:szCs w:val="18"/>
              </w:rPr>
            </w:pPr>
            <w:r w:rsidRPr="009D6246">
              <w:rPr>
                <w:rFonts w:ascii="Arial" w:eastAsia="Times New Roman" w:hAnsi="Arial" w:cs="Arial"/>
                <w:color w:val="000000" w:themeColor="text1"/>
                <w:sz w:val="18"/>
                <w:szCs w:val="18"/>
              </w:rPr>
              <w:t xml:space="preserve"> 50.768 </w:t>
            </w:r>
          </w:p>
        </w:tc>
      </w:tr>
      <w:tr w:rsidR="00100634" w:rsidRPr="003D1614" w14:paraId="4CFE5B2B" w14:textId="77777777" w:rsidTr="00F37474">
        <w:trPr>
          <w:trHeight w:val="300"/>
        </w:trPr>
        <w:tc>
          <w:tcPr>
            <w:tcW w:w="3261" w:type="dxa"/>
            <w:tcBorders>
              <w:top w:val="nil"/>
              <w:left w:val="nil"/>
              <w:right w:val="nil"/>
            </w:tcBorders>
            <w:shd w:val="clear" w:color="auto" w:fill="auto"/>
            <w:vAlign w:val="bottom"/>
          </w:tcPr>
          <w:p w14:paraId="6FB1816B" w14:textId="77777777" w:rsidR="00100634" w:rsidRPr="003D1614" w:rsidRDefault="00100634" w:rsidP="00100634">
            <w:pPr>
              <w:suppressAutoHyphens/>
              <w:autoSpaceDN w:val="0"/>
              <w:spacing w:line="300" w:lineRule="exact"/>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Porez na dobit</w:t>
            </w:r>
          </w:p>
        </w:tc>
        <w:tc>
          <w:tcPr>
            <w:tcW w:w="1134" w:type="dxa"/>
            <w:tcBorders>
              <w:top w:val="nil"/>
              <w:left w:val="nil"/>
              <w:bottom w:val="single" w:sz="4" w:space="0" w:color="auto"/>
              <w:right w:val="nil"/>
            </w:tcBorders>
            <w:shd w:val="clear" w:color="auto" w:fill="auto"/>
            <w:noWrap/>
            <w:vAlign w:val="bottom"/>
          </w:tcPr>
          <w:p w14:paraId="07BEC662" w14:textId="0556670A" w:rsidR="00100634" w:rsidRPr="000D4693" w:rsidRDefault="00100634" w:rsidP="00100634">
            <w:pPr>
              <w:suppressAutoHyphens/>
              <w:autoSpaceDN w:val="0"/>
              <w:spacing w:line="300" w:lineRule="exact"/>
              <w:jc w:val="right"/>
              <w:rPr>
                <w:rFonts w:ascii="Arial" w:hAnsi="Arial" w:cs="Arial"/>
                <w:sz w:val="18"/>
                <w:szCs w:val="18"/>
              </w:rPr>
            </w:pPr>
            <w:r>
              <w:rPr>
                <w:rFonts w:ascii="Arial" w:eastAsia="Times New Roman" w:hAnsi="Arial" w:cs="Arial"/>
                <w:color w:val="000000" w:themeColor="text1"/>
                <w:sz w:val="18"/>
                <w:szCs w:val="18"/>
              </w:rPr>
              <w:t>-</w:t>
            </w:r>
          </w:p>
        </w:tc>
        <w:tc>
          <w:tcPr>
            <w:tcW w:w="1667" w:type="dxa"/>
            <w:tcBorders>
              <w:top w:val="nil"/>
              <w:left w:val="nil"/>
              <w:bottom w:val="single" w:sz="4" w:space="0" w:color="auto"/>
              <w:right w:val="nil"/>
            </w:tcBorders>
            <w:shd w:val="clear" w:color="auto" w:fill="auto"/>
            <w:noWrap/>
            <w:vAlign w:val="bottom"/>
          </w:tcPr>
          <w:p w14:paraId="3CCD4F48" w14:textId="5EBB9916" w:rsidR="00100634" w:rsidRPr="000D4693" w:rsidRDefault="00100634" w:rsidP="00100634">
            <w:pPr>
              <w:suppressAutoHyphens/>
              <w:autoSpaceDN w:val="0"/>
              <w:spacing w:line="300" w:lineRule="exact"/>
              <w:jc w:val="right"/>
              <w:rPr>
                <w:rFonts w:ascii="Arial" w:hAnsi="Arial" w:cs="Arial"/>
                <w:sz w:val="18"/>
                <w:szCs w:val="18"/>
              </w:rPr>
            </w:pPr>
            <w:r>
              <w:rPr>
                <w:rFonts w:ascii="Arial" w:eastAsia="Times New Roman" w:hAnsi="Arial" w:cs="Arial"/>
                <w:color w:val="000000" w:themeColor="text1"/>
                <w:sz w:val="18"/>
                <w:szCs w:val="18"/>
              </w:rPr>
              <w:t>-</w:t>
            </w:r>
          </w:p>
        </w:tc>
        <w:tc>
          <w:tcPr>
            <w:tcW w:w="1168" w:type="dxa"/>
            <w:tcBorders>
              <w:top w:val="nil"/>
              <w:left w:val="nil"/>
              <w:bottom w:val="single" w:sz="4" w:space="0" w:color="auto"/>
              <w:right w:val="nil"/>
            </w:tcBorders>
            <w:shd w:val="clear" w:color="auto" w:fill="auto"/>
            <w:noWrap/>
            <w:vAlign w:val="bottom"/>
          </w:tcPr>
          <w:p w14:paraId="2B67410B" w14:textId="5DECD282" w:rsidR="00100634" w:rsidRPr="000D4693" w:rsidRDefault="00100634" w:rsidP="00100634">
            <w:pPr>
              <w:suppressAutoHyphens/>
              <w:autoSpaceDN w:val="0"/>
              <w:spacing w:line="300" w:lineRule="exact"/>
              <w:jc w:val="right"/>
              <w:rPr>
                <w:rFonts w:ascii="Arial" w:hAnsi="Arial" w:cs="Arial"/>
                <w:sz w:val="18"/>
                <w:szCs w:val="18"/>
              </w:rPr>
            </w:pPr>
            <w:r>
              <w:rPr>
                <w:rFonts w:ascii="Arial" w:eastAsia="Times New Roman" w:hAnsi="Arial" w:cs="Arial"/>
                <w:color w:val="000000" w:themeColor="text1"/>
                <w:sz w:val="18"/>
                <w:szCs w:val="18"/>
              </w:rPr>
              <w:t>-</w:t>
            </w:r>
          </w:p>
        </w:tc>
        <w:tc>
          <w:tcPr>
            <w:tcW w:w="1559" w:type="dxa"/>
            <w:tcBorders>
              <w:top w:val="nil"/>
              <w:left w:val="nil"/>
              <w:bottom w:val="single" w:sz="4" w:space="0" w:color="auto"/>
              <w:right w:val="nil"/>
            </w:tcBorders>
            <w:shd w:val="clear" w:color="auto" w:fill="auto"/>
            <w:noWrap/>
            <w:vAlign w:val="bottom"/>
          </w:tcPr>
          <w:p w14:paraId="33370C34" w14:textId="6154A62F" w:rsidR="00100634" w:rsidRPr="000D4693" w:rsidRDefault="00100634" w:rsidP="00100634">
            <w:pPr>
              <w:suppressAutoHyphens/>
              <w:autoSpaceDN w:val="0"/>
              <w:spacing w:line="300" w:lineRule="exact"/>
              <w:jc w:val="right"/>
              <w:rPr>
                <w:rFonts w:ascii="Arial" w:hAnsi="Arial" w:cs="Arial"/>
                <w:sz w:val="18"/>
                <w:szCs w:val="18"/>
              </w:rPr>
            </w:pPr>
            <w:r>
              <w:rPr>
                <w:rFonts w:ascii="Arial" w:eastAsia="Times New Roman" w:hAnsi="Arial" w:cs="Arial"/>
                <w:color w:val="000000" w:themeColor="text1"/>
                <w:sz w:val="18"/>
                <w:szCs w:val="18"/>
              </w:rPr>
              <w:t>-</w:t>
            </w:r>
          </w:p>
        </w:tc>
        <w:tc>
          <w:tcPr>
            <w:tcW w:w="1134" w:type="dxa"/>
            <w:tcBorders>
              <w:top w:val="nil"/>
              <w:left w:val="nil"/>
              <w:bottom w:val="single" w:sz="4" w:space="0" w:color="auto"/>
              <w:right w:val="nil"/>
            </w:tcBorders>
            <w:shd w:val="clear" w:color="auto" w:fill="auto"/>
            <w:noWrap/>
            <w:vAlign w:val="bottom"/>
          </w:tcPr>
          <w:p w14:paraId="61DBEC1F" w14:textId="07783491" w:rsidR="00100634" w:rsidRPr="000D4693" w:rsidRDefault="00100634" w:rsidP="00100634">
            <w:pPr>
              <w:suppressAutoHyphens/>
              <w:autoSpaceDN w:val="0"/>
              <w:spacing w:line="300" w:lineRule="exact"/>
              <w:jc w:val="right"/>
              <w:rPr>
                <w:rFonts w:ascii="Arial" w:hAnsi="Arial" w:cs="Arial"/>
                <w:sz w:val="18"/>
                <w:szCs w:val="18"/>
              </w:rPr>
            </w:pPr>
            <w:r>
              <w:rPr>
                <w:rFonts w:ascii="Arial" w:eastAsia="Times New Roman" w:hAnsi="Arial" w:cs="Arial"/>
                <w:color w:val="000000" w:themeColor="text1"/>
                <w:sz w:val="18"/>
                <w:szCs w:val="18"/>
              </w:rPr>
              <w:t>-</w:t>
            </w:r>
          </w:p>
        </w:tc>
      </w:tr>
      <w:tr w:rsidR="00100634" w:rsidRPr="003D1614" w14:paraId="543D27A0" w14:textId="77777777" w:rsidTr="00F37474">
        <w:trPr>
          <w:trHeight w:val="315"/>
        </w:trPr>
        <w:tc>
          <w:tcPr>
            <w:tcW w:w="3261" w:type="dxa"/>
            <w:tcBorders>
              <w:left w:val="nil"/>
              <w:right w:val="nil"/>
            </w:tcBorders>
            <w:shd w:val="clear" w:color="auto" w:fill="auto"/>
            <w:vAlign w:val="bottom"/>
          </w:tcPr>
          <w:p w14:paraId="54FC6EC4" w14:textId="77777777" w:rsidR="00100634" w:rsidRPr="003D1614" w:rsidRDefault="00100634" w:rsidP="00100634">
            <w:pPr>
              <w:suppressAutoHyphens/>
              <w:autoSpaceDN w:val="0"/>
              <w:spacing w:line="300" w:lineRule="exac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Dobit za godinu</w:t>
            </w:r>
          </w:p>
        </w:tc>
        <w:tc>
          <w:tcPr>
            <w:tcW w:w="1134" w:type="dxa"/>
            <w:shd w:val="clear" w:color="auto" w:fill="auto"/>
            <w:noWrap/>
            <w:vAlign w:val="bottom"/>
          </w:tcPr>
          <w:p w14:paraId="73322F7D" w14:textId="298549D6" w:rsidR="00100634" w:rsidRPr="00F37474" w:rsidRDefault="00100634" w:rsidP="00100634">
            <w:pPr>
              <w:suppressAutoHyphens/>
              <w:autoSpaceDN w:val="0"/>
              <w:spacing w:line="300" w:lineRule="exact"/>
              <w:jc w:val="right"/>
              <w:rPr>
                <w:rFonts w:ascii="Arial" w:hAnsi="Arial" w:cs="Arial"/>
                <w:b/>
                <w:bCs/>
                <w:sz w:val="18"/>
                <w:szCs w:val="18"/>
              </w:rPr>
            </w:pPr>
            <w:r w:rsidRPr="009D6246">
              <w:rPr>
                <w:rFonts w:ascii="Arial" w:eastAsia="Times New Roman" w:hAnsi="Arial" w:cs="Arial"/>
                <w:b/>
                <w:bCs/>
                <w:color w:val="000000" w:themeColor="text1"/>
                <w:sz w:val="18"/>
                <w:szCs w:val="18"/>
              </w:rPr>
              <w:t xml:space="preserve"> 50.386 </w:t>
            </w:r>
          </w:p>
        </w:tc>
        <w:tc>
          <w:tcPr>
            <w:tcW w:w="1667" w:type="dxa"/>
            <w:shd w:val="clear" w:color="auto" w:fill="auto"/>
            <w:noWrap/>
            <w:vAlign w:val="bottom"/>
          </w:tcPr>
          <w:p w14:paraId="6754C9E4" w14:textId="796E6231" w:rsidR="00100634" w:rsidRPr="00F37474" w:rsidRDefault="00100634" w:rsidP="00100634">
            <w:pPr>
              <w:suppressAutoHyphens/>
              <w:autoSpaceDN w:val="0"/>
              <w:spacing w:line="300" w:lineRule="exact"/>
              <w:jc w:val="right"/>
              <w:rPr>
                <w:rFonts w:ascii="Arial" w:hAnsi="Arial" w:cs="Arial"/>
                <w:b/>
                <w:bCs/>
                <w:sz w:val="18"/>
                <w:szCs w:val="18"/>
              </w:rPr>
            </w:pPr>
            <w:r w:rsidRPr="009D6246">
              <w:rPr>
                <w:rFonts w:ascii="Arial" w:eastAsia="Times New Roman" w:hAnsi="Arial" w:cs="Arial"/>
                <w:b/>
                <w:bCs/>
                <w:color w:val="000000" w:themeColor="text1"/>
                <w:sz w:val="18"/>
                <w:szCs w:val="18"/>
              </w:rPr>
              <w:t xml:space="preserve"> 368 </w:t>
            </w:r>
          </w:p>
        </w:tc>
        <w:tc>
          <w:tcPr>
            <w:tcW w:w="1168" w:type="dxa"/>
            <w:tcBorders>
              <w:top w:val="single" w:sz="4" w:space="0" w:color="auto"/>
              <w:left w:val="nil"/>
              <w:bottom w:val="single" w:sz="12" w:space="0" w:color="auto"/>
              <w:right w:val="nil"/>
            </w:tcBorders>
            <w:shd w:val="clear" w:color="auto" w:fill="auto"/>
            <w:noWrap/>
            <w:vAlign w:val="bottom"/>
          </w:tcPr>
          <w:p w14:paraId="3AD216DB" w14:textId="1AB9EEA2" w:rsidR="00100634" w:rsidRPr="00F37474" w:rsidRDefault="00100634" w:rsidP="00100634">
            <w:pPr>
              <w:suppressAutoHyphens/>
              <w:autoSpaceDN w:val="0"/>
              <w:spacing w:line="300" w:lineRule="exact"/>
              <w:jc w:val="right"/>
              <w:rPr>
                <w:rFonts w:ascii="Arial" w:hAnsi="Arial" w:cs="Arial"/>
                <w:b/>
                <w:bCs/>
                <w:sz w:val="18"/>
                <w:szCs w:val="18"/>
              </w:rPr>
            </w:pPr>
            <w:r w:rsidRPr="009D6246">
              <w:rPr>
                <w:rFonts w:ascii="Arial" w:eastAsia="Times New Roman" w:hAnsi="Arial" w:cs="Arial"/>
                <w:b/>
                <w:bCs/>
                <w:color w:val="000000" w:themeColor="text1"/>
                <w:sz w:val="18"/>
                <w:szCs w:val="18"/>
              </w:rPr>
              <w:t xml:space="preserve"> 14 </w:t>
            </w:r>
          </w:p>
        </w:tc>
        <w:tc>
          <w:tcPr>
            <w:tcW w:w="1559" w:type="dxa"/>
            <w:tcBorders>
              <w:top w:val="single" w:sz="4" w:space="0" w:color="auto"/>
              <w:left w:val="nil"/>
              <w:bottom w:val="single" w:sz="12" w:space="0" w:color="auto"/>
              <w:right w:val="nil"/>
            </w:tcBorders>
            <w:shd w:val="clear" w:color="auto" w:fill="auto"/>
            <w:noWrap/>
            <w:vAlign w:val="bottom"/>
          </w:tcPr>
          <w:p w14:paraId="28C3A009" w14:textId="6A048801" w:rsidR="00100634" w:rsidRPr="00F37474" w:rsidRDefault="00100634" w:rsidP="00100634">
            <w:pPr>
              <w:suppressAutoHyphens/>
              <w:autoSpaceDN w:val="0"/>
              <w:spacing w:line="300" w:lineRule="exact"/>
              <w:jc w:val="right"/>
              <w:rPr>
                <w:rFonts w:ascii="Arial" w:hAnsi="Arial" w:cs="Arial"/>
                <w:b/>
                <w:bCs/>
                <w:sz w:val="18"/>
                <w:szCs w:val="18"/>
              </w:rPr>
            </w:pPr>
            <w:r w:rsidRPr="009D6246">
              <w:rPr>
                <w:rFonts w:ascii="Arial" w:eastAsia="Times New Roman" w:hAnsi="Arial" w:cs="Arial"/>
                <w:b/>
                <w:bCs/>
                <w:color w:val="000000" w:themeColor="text1"/>
                <w:sz w:val="18"/>
                <w:szCs w:val="18"/>
              </w:rPr>
              <w:t xml:space="preserve"> - </w:t>
            </w:r>
          </w:p>
        </w:tc>
        <w:tc>
          <w:tcPr>
            <w:tcW w:w="1134" w:type="dxa"/>
            <w:tcBorders>
              <w:top w:val="single" w:sz="4" w:space="0" w:color="auto"/>
              <w:left w:val="nil"/>
              <w:bottom w:val="single" w:sz="12" w:space="0" w:color="auto"/>
              <w:right w:val="nil"/>
            </w:tcBorders>
            <w:shd w:val="clear" w:color="auto" w:fill="auto"/>
            <w:noWrap/>
            <w:vAlign w:val="bottom"/>
          </w:tcPr>
          <w:p w14:paraId="73DF2FE4" w14:textId="4AE26F52" w:rsidR="00100634" w:rsidRPr="00F37474" w:rsidRDefault="00100634" w:rsidP="00100634">
            <w:pPr>
              <w:suppressAutoHyphens/>
              <w:autoSpaceDN w:val="0"/>
              <w:spacing w:line="300" w:lineRule="exact"/>
              <w:jc w:val="right"/>
              <w:rPr>
                <w:rFonts w:ascii="Arial" w:hAnsi="Arial" w:cs="Arial"/>
                <w:b/>
                <w:bCs/>
                <w:sz w:val="18"/>
                <w:szCs w:val="18"/>
              </w:rPr>
            </w:pPr>
            <w:r w:rsidRPr="009D6246">
              <w:rPr>
                <w:rFonts w:ascii="Arial" w:eastAsia="Times New Roman" w:hAnsi="Arial" w:cs="Arial"/>
                <w:b/>
                <w:bCs/>
                <w:color w:val="000000" w:themeColor="text1"/>
                <w:sz w:val="18"/>
                <w:szCs w:val="18"/>
              </w:rPr>
              <w:t xml:space="preserve"> 50.768 </w:t>
            </w:r>
          </w:p>
        </w:tc>
      </w:tr>
      <w:tr w:rsidR="00100634" w:rsidRPr="003D1614" w14:paraId="49CBC434" w14:textId="77777777" w:rsidTr="000D4693">
        <w:trPr>
          <w:trHeight w:val="52"/>
        </w:trPr>
        <w:tc>
          <w:tcPr>
            <w:tcW w:w="3261" w:type="dxa"/>
            <w:tcBorders>
              <w:left w:val="nil"/>
              <w:bottom w:val="nil"/>
              <w:right w:val="nil"/>
            </w:tcBorders>
            <w:shd w:val="clear" w:color="auto" w:fill="auto"/>
            <w:vAlign w:val="bottom"/>
          </w:tcPr>
          <w:p w14:paraId="4926113F" w14:textId="77777777" w:rsidR="00100634" w:rsidRPr="003D1614" w:rsidRDefault="00100634" w:rsidP="00100634">
            <w:pPr>
              <w:suppressAutoHyphens/>
              <w:autoSpaceDN w:val="0"/>
              <w:spacing w:line="140" w:lineRule="exact"/>
              <w:rPr>
                <w:rFonts w:ascii="Arial" w:eastAsia="Times New Roman" w:hAnsi="Arial" w:cs="Arial"/>
                <w:color w:val="000000" w:themeColor="text1"/>
                <w:sz w:val="18"/>
                <w:szCs w:val="18"/>
              </w:rPr>
            </w:pPr>
          </w:p>
        </w:tc>
        <w:tc>
          <w:tcPr>
            <w:tcW w:w="1134" w:type="dxa"/>
            <w:tcBorders>
              <w:top w:val="single" w:sz="12" w:space="0" w:color="auto"/>
              <w:left w:val="nil"/>
              <w:bottom w:val="nil"/>
              <w:right w:val="nil"/>
            </w:tcBorders>
            <w:shd w:val="clear" w:color="auto" w:fill="auto"/>
            <w:noWrap/>
            <w:vAlign w:val="bottom"/>
          </w:tcPr>
          <w:p w14:paraId="54707BD9" w14:textId="77777777" w:rsidR="00100634" w:rsidRPr="007478FB" w:rsidRDefault="00100634" w:rsidP="00100634">
            <w:pPr>
              <w:suppressAutoHyphens/>
              <w:autoSpaceDN w:val="0"/>
              <w:spacing w:line="140" w:lineRule="exact"/>
              <w:rPr>
                <w:rFonts w:ascii="Arial" w:eastAsia="Times New Roman" w:hAnsi="Arial" w:cs="Arial"/>
                <w:color w:val="000000" w:themeColor="text1"/>
                <w:sz w:val="18"/>
                <w:szCs w:val="18"/>
              </w:rPr>
            </w:pPr>
          </w:p>
        </w:tc>
        <w:tc>
          <w:tcPr>
            <w:tcW w:w="1667" w:type="dxa"/>
            <w:tcBorders>
              <w:top w:val="single" w:sz="12" w:space="0" w:color="auto"/>
              <w:left w:val="nil"/>
              <w:bottom w:val="nil"/>
              <w:right w:val="nil"/>
            </w:tcBorders>
            <w:shd w:val="clear" w:color="auto" w:fill="auto"/>
            <w:noWrap/>
            <w:vAlign w:val="bottom"/>
          </w:tcPr>
          <w:p w14:paraId="7A4C0520" w14:textId="77777777" w:rsidR="00100634" w:rsidRPr="007478FB" w:rsidRDefault="00100634" w:rsidP="00100634">
            <w:pPr>
              <w:suppressAutoHyphens/>
              <w:autoSpaceDN w:val="0"/>
              <w:spacing w:line="140" w:lineRule="exact"/>
              <w:rPr>
                <w:rFonts w:ascii="Arial" w:eastAsia="Times New Roman" w:hAnsi="Arial" w:cs="Arial"/>
                <w:color w:val="000000" w:themeColor="text1"/>
                <w:sz w:val="18"/>
                <w:szCs w:val="18"/>
              </w:rPr>
            </w:pPr>
          </w:p>
        </w:tc>
        <w:tc>
          <w:tcPr>
            <w:tcW w:w="1168" w:type="dxa"/>
            <w:tcBorders>
              <w:top w:val="single" w:sz="12" w:space="0" w:color="auto"/>
              <w:left w:val="nil"/>
              <w:bottom w:val="nil"/>
              <w:right w:val="nil"/>
            </w:tcBorders>
            <w:shd w:val="clear" w:color="auto" w:fill="auto"/>
            <w:noWrap/>
            <w:vAlign w:val="bottom"/>
          </w:tcPr>
          <w:p w14:paraId="516D9FE6" w14:textId="77777777" w:rsidR="00100634" w:rsidRPr="007478FB" w:rsidRDefault="00100634" w:rsidP="00100634">
            <w:pPr>
              <w:suppressAutoHyphens/>
              <w:autoSpaceDN w:val="0"/>
              <w:spacing w:line="140" w:lineRule="exact"/>
              <w:rPr>
                <w:rFonts w:ascii="Arial" w:eastAsia="Times New Roman" w:hAnsi="Arial" w:cs="Arial"/>
                <w:color w:val="000000" w:themeColor="text1"/>
                <w:sz w:val="18"/>
                <w:szCs w:val="18"/>
              </w:rPr>
            </w:pPr>
          </w:p>
        </w:tc>
        <w:tc>
          <w:tcPr>
            <w:tcW w:w="1559" w:type="dxa"/>
            <w:tcBorders>
              <w:top w:val="single" w:sz="12" w:space="0" w:color="auto"/>
              <w:left w:val="nil"/>
              <w:bottom w:val="nil"/>
              <w:right w:val="nil"/>
            </w:tcBorders>
            <w:shd w:val="clear" w:color="auto" w:fill="auto"/>
            <w:noWrap/>
            <w:vAlign w:val="bottom"/>
          </w:tcPr>
          <w:p w14:paraId="759C1D62" w14:textId="77777777" w:rsidR="00100634" w:rsidRPr="007478FB" w:rsidRDefault="00100634" w:rsidP="00100634">
            <w:pPr>
              <w:suppressAutoHyphens/>
              <w:autoSpaceDN w:val="0"/>
              <w:spacing w:line="140" w:lineRule="exact"/>
              <w:rPr>
                <w:rFonts w:ascii="Arial" w:eastAsia="Times New Roman" w:hAnsi="Arial" w:cs="Arial"/>
                <w:color w:val="000000" w:themeColor="text1"/>
                <w:sz w:val="18"/>
                <w:szCs w:val="18"/>
              </w:rPr>
            </w:pPr>
          </w:p>
        </w:tc>
        <w:tc>
          <w:tcPr>
            <w:tcW w:w="1134" w:type="dxa"/>
            <w:tcBorders>
              <w:top w:val="single" w:sz="12" w:space="0" w:color="auto"/>
              <w:left w:val="nil"/>
              <w:bottom w:val="nil"/>
              <w:right w:val="nil"/>
            </w:tcBorders>
            <w:shd w:val="clear" w:color="auto" w:fill="auto"/>
            <w:noWrap/>
            <w:vAlign w:val="bottom"/>
          </w:tcPr>
          <w:p w14:paraId="012028D9" w14:textId="77777777" w:rsidR="00100634" w:rsidRPr="007478FB" w:rsidRDefault="00100634" w:rsidP="00100634">
            <w:pPr>
              <w:suppressAutoHyphens/>
              <w:autoSpaceDN w:val="0"/>
              <w:spacing w:line="140" w:lineRule="exact"/>
              <w:rPr>
                <w:rFonts w:ascii="Arial" w:eastAsia="Times New Roman" w:hAnsi="Arial" w:cs="Arial"/>
                <w:color w:val="000000" w:themeColor="text1"/>
                <w:sz w:val="18"/>
                <w:szCs w:val="18"/>
              </w:rPr>
            </w:pPr>
          </w:p>
        </w:tc>
      </w:tr>
      <w:tr w:rsidR="00100634" w:rsidRPr="003D1614" w14:paraId="1ACC7193" w14:textId="77777777" w:rsidTr="000D4693">
        <w:trPr>
          <w:trHeight w:val="300"/>
        </w:trPr>
        <w:tc>
          <w:tcPr>
            <w:tcW w:w="3261" w:type="dxa"/>
            <w:tcBorders>
              <w:top w:val="nil"/>
              <w:left w:val="nil"/>
              <w:right w:val="nil"/>
            </w:tcBorders>
            <w:shd w:val="clear" w:color="auto" w:fill="auto"/>
            <w:vAlign w:val="bottom"/>
          </w:tcPr>
          <w:p w14:paraId="2932E1A6" w14:textId="206CCC37" w:rsidR="00100634" w:rsidRPr="003D1614" w:rsidRDefault="00100634" w:rsidP="00100634">
            <w:pPr>
              <w:suppressAutoHyphens/>
              <w:autoSpaceDN w:val="0"/>
              <w:spacing w:line="300" w:lineRule="exac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31. prosinca 202</w:t>
            </w:r>
            <w:r>
              <w:rPr>
                <w:rFonts w:ascii="Arial" w:eastAsia="Times New Roman" w:hAnsi="Arial" w:cs="Arial"/>
                <w:b/>
                <w:bCs/>
                <w:color w:val="000000" w:themeColor="text1"/>
                <w:sz w:val="18"/>
                <w:szCs w:val="18"/>
              </w:rPr>
              <w:t>3</w:t>
            </w:r>
            <w:r w:rsidRPr="003D1614">
              <w:rPr>
                <w:rFonts w:ascii="Arial" w:eastAsia="Times New Roman" w:hAnsi="Arial" w:cs="Arial"/>
                <w:b/>
                <w:bCs/>
                <w:color w:val="000000" w:themeColor="text1"/>
                <w:sz w:val="18"/>
                <w:szCs w:val="18"/>
              </w:rPr>
              <w:t>.</w:t>
            </w:r>
          </w:p>
        </w:tc>
        <w:tc>
          <w:tcPr>
            <w:tcW w:w="1134" w:type="dxa"/>
            <w:tcBorders>
              <w:top w:val="nil"/>
              <w:left w:val="nil"/>
              <w:bottom w:val="single" w:sz="4" w:space="0" w:color="auto"/>
              <w:right w:val="nil"/>
            </w:tcBorders>
            <w:shd w:val="clear" w:color="auto" w:fill="auto"/>
            <w:noWrap/>
            <w:vAlign w:val="bottom"/>
          </w:tcPr>
          <w:p w14:paraId="20076BAF" w14:textId="77777777" w:rsidR="00100634" w:rsidRPr="000D4693" w:rsidRDefault="00100634" w:rsidP="00100634">
            <w:pPr>
              <w:suppressAutoHyphens/>
              <w:autoSpaceDN w:val="0"/>
              <w:spacing w:line="300" w:lineRule="exact"/>
              <w:jc w:val="right"/>
              <w:rPr>
                <w:rFonts w:ascii="Arial" w:hAnsi="Arial" w:cs="Arial"/>
                <w:sz w:val="18"/>
                <w:szCs w:val="18"/>
              </w:rPr>
            </w:pPr>
          </w:p>
        </w:tc>
        <w:tc>
          <w:tcPr>
            <w:tcW w:w="1667" w:type="dxa"/>
            <w:tcBorders>
              <w:top w:val="nil"/>
              <w:left w:val="nil"/>
              <w:bottom w:val="single" w:sz="4" w:space="0" w:color="auto"/>
              <w:right w:val="nil"/>
            </w:tcBorders>
            <w:shd w:val="clear" w:color="auto" w:fill="auto"/>
            <w:noWrap/>
            <w:vAlign w:val="bottom"/>
          </w:tcPr>
          <w:p w14:paraId="57BACBE6" w14:textId="77777777" w:rsidR="00100634" w:rsidRPr="000D4693" w:rsidRDefault="00100634" w:rsidP="00100634">
            <w:pPr>
              <w:suppressAutoHyphens/>
              <w:autoSpaceDN w:val="0"/>
              <w:spacing w:line="300" w:lineRule="exact"/>
              <w:jc w:val="right"/>
              <w:rPr>
                <w:rFonts w:ascii="Arial" w:hAnsi="Arial" w:cs="Arial"/>
                <w:sz w:val="18"/>
                <w:szCs w:val="18"/>
              </w:rPr>
            </w:pPr>
          </w:p>
        </w:tc>
        <w:tc>
          <w:tcPr>
            <w:tcW w:w="1168" w:type="dxa"/>
            <w:tcBorders>
              <w:top w:val="nil"/>
              <w:left w:val="nil"/>
              <w:bottom w:val="single" w:sz="4" w:space="0" w:color="auto"/>
              <w:right w:val="nil"/>
            </w:tcBorders>
            <w:shd w:val="clear" w:color="auto" w:fill="auto"/>
            <w:noWrap/>
            <w:vAlign w:val="bottom"/>
          </w:tcPr>
          <w:p w14:paraId="342D20A7" w14:textId="77777777" w:rsidR="00100634" w:rsidRPr="000D4693" w:rsidRDefault="00100634" w:rsidP="00100634">
            <w:pPr>
              <w:suppressAutoHyphens/>
              <w:autoSpaceDN w:val="0"/>
              <w:spacing w:line="300" w:lineRule="exact"/>
              <w:jc w:val="right"/>
              <w:rPr>
                <w:rFonts w:ascii="Arial" w:hAnsi="Arial" w:cs="Arial"/>
                <w:sz w:val="18"/>
                <w:szCs w:val="18"/>
              </w:rPr>
            </w:pPr>
          </w:p>
        </w:tc>
        <w:tc>
          <w:tcPr>
            <w:tcW w:w="1559" w:type="dxa"/>
            <w:tcBorders>
              <w:top w:val="nil"/>
              <w:left w:val="nil"/>
              <w:bottom w:val="single" w:sz="4" w:space="0" w:color="auto"/>
              <w:right w:val="nil"/>
            </w:tcBorders>
            <w:shd w:val="clear" w:color="auto" w:fill="auto"/>
            <w:noWrap/>
            <w:vAlign w:val="bottom"/>
          </w:tcPr>
          <w:p w14:paraId="424A884D" w14:textId="77777777" w:rsidR="00100634" w:rsidRPr="000D4693" w:rsidRDefault="00100634" w:rsidP="00100634">
            <w:pPr>
              <w:suppressAutoHyphens/>
              <w:autoSpaceDN w:val="0"/>
              <w:spacing w:line="300" w:lineRule="exact"/>
              <w:jc w:val="right"/>
              <w:rPr>
                <w:rFonts w:ascii="Arial" w:hAnsi="Arial" w:cs="Arial"/>
                <w:sz w:val="18"/>
                <w:szCs w:val="18"/>
              </w:rPr>
            </w:pPr>
          </w:p>
        </w:tc>
        <w:tc>
          <w:tcPr>
            <w:tcW w:w="1134" w:type="dxa"/>
            <w:tcBorders>
              <w:top w:val="nil"/>
              <w:left w:val="nil"/>
              <w:bottom w:val="single" w:sz="4" w:space="0" w:color="auto"/>
              <w:right w:val="nil"/>
            </w:tcBorders>
            <w:shd w:val="clear" w:color="auto" w:fill="auto"/>
            <w:noWrap/>
            <w:vAlign w:val="bottom"/>
          </w:tcPr>
          <w:p w14:paraId="405BBF73" w14:textId="77777777" w:rsidR="00100634" w:rsidRPr="000D4693" w:rsidRDefault="00100634" w:rsidP="00100634">
            <w:pPr>
              <w:suppressAutoHyphens/>
              <w:autoSpaceDN w:val="0"/>
              <w:spacing w:line="300" w:lineRule="exact"/>
              <w:jc w:val="right"/>
              <w:rPr>
                <w:rFonts w:ascii="Arial" w:hAnsi="Arial" w:cs="Arial"/>
                <w:sz w:val="18"/>
                <w:szCs w:val="18"/>
              </w:rPr>
            </w:pPr>
          </w:p>
        </w:tc>
      </w:tr>
      <w:tr w:rsidR="00100634" w:rsidRPr="003D1614" w14:paraId="39C5F600" w14:textId="77777777" w:rsidTr="004033A1">
        <w:trPr>
          <w:trHeight w:val="300"/>
        </w:trPr>
        <w:tc>
          <w:tcPr>
            <w:tcW w:w="3261" w:type="dxa"/>
            <w:tcBorders>
              <w:top w:val="nil"/>
              <w:left w:val="nil"/>
              <w:right w:val="nil"/>
            </w:tcBorders>
            <w:shd w:val="clear" w:color="auto" w:fill="auto"/>
            <w:vAlign w:val="bottom"/>
          </w:tcPr>
          <w:p w14:paraId="302DE33A" w14:textId="77777777" w:rsidR="00100634" w:rsidRPr="003D1614" w:rsidRDefault="00100634" w:rsidP="00100634">
            <w:pPr>
              <w:suppressAutoHyphens/>
              <w:autoSpaceDN w:val="0"/>
              <w:spacing w:line="300" w:lineRule="exact"/>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Imovina segmenta</w:t>
            </w:r>
          </w:p>
        </w:tc>
        <w:tc>
          <w:tcPr>
            <w:tcW w:w="1134" w:type="dxa"/>
            <w:tcBorders>
              <w:top w:val="nil"/>
              <w:left w:val="nil"/>
              <w:bottom w:val="single" w:sz="4" w:space="0" w:color="auto"/>
              <w:right w:val="nil"/>
            </w:tcBorders>
            <w:shd w:val="clear" w:color="auto" w:fill="auto"/>
            <w:noWrap/>
          </w:tcPr>
          <w:p w14:paraId="6B730534" w14:textId="6B7B3588" w:rsidR="00100634" w:rsidRPr="000D4693" w:rsidRDefault="00100634" w:rsidP="00100634">
            <w:pPr>
              <w:suppressAutoHyphens/>
              <w:autoSpaceDN w:val="0"/>
              <w:spacing w:line="300" w:lineRule="exact"/>
              <w:jc w:val="right"/>
              <w:rPr>
                <w:rFonts w:ascii="Arial" w:hAnsi="Arial" w:cs="Arial"/>
                <w:sz w:val="18"/>
                <w:szCs w:val="18"/>
              </w:rPr>
            </w:pPr>
            <w:r w:rsidRPr="00F959D0">
              <w:rPr>
                <w:rFonts w:ascii="Arial" w:hAnsi="Arial" w:cs="Arial"/>
                <w:color w:val="000000" w:themeColor="text1"/>
                <w:sz w:val="18"/>
                <w:szCs w:val="18"/>
              </w:rPr>
              <w:t xml:space="preserve"> 4.018.684 </w:t>
            </w:r>
          </w:p>
        </w:tc>
        <w:tc>
          <w:tcPr>
            <w:tcW w:w="1667" w:type="dxa"/>
            <w:tcBorders>
              <w:top w:val="nil"/>
              <w:left w:val="nil"/>
              <w:bottom w:val="single" w:sz="4" w:space="0" w:color="auto"/>
              <w:right w:val="nil"/>
            </w:tcBorders>
            <w:shd w:val="clear" w:color="auto" w:fill="auto"/>
            <w:noWrap/>
          </w:tcPr>
          <w:p w14:paraId="369B93A0" w14:textId="70C19857" w:rsidR="00100634" w:rsidRPr="000D4693" w:rsidRDefault="00100634" w:rsidP="00100634">
            <w:pPr>
              <w:suppressAutoHyphens/>
              <w:autoSpaceDN w:val="0"/>
              <w:spacing w:line="300" w:lineRule="exact"/>
              <w:jc w:val="right"/>
              <w:rPr>
                <w:rFonts w:ascii="Arial" w:hAnsi="Arial" w:cs="Arial"/>
                <w:sz w:val="18"/>
                <w:szCs w:val="18"/>
              </w:rPr>
            </w:pPr>
            <w:r w:rsidRPr="00F959D0">
              <w:rPr>
                <w:rFonts w:ascii="Arial" w:hAnsi="Arial" w:cs="Arial"/>
                <w:color w:val="000000" w:themeColor="text1"/>
                <w:sz w:val="18"/>
                <w:szCs w:val="18"/>
              </w:rPr>
              <w:t xml:space="preserve"> 10.222 </w:t>
            </w:r>
          </w:p>
        </w:tc>
        <w:tc>
          <w:tcPr>
            <w:tcW w:w="1168" w:type="dxa"/>
            <w:tcBorders>
              <w:top w:val="nil"/>
              <w:left w:val="nil"/>
              <w:bottom w:val="single" w:sz="4" w:space="0" w:color="auto"/>
              <w:right w:val="nil"/>
            </w:tcBorders>
            <w:shd w:val="clear" w:color="auto" w:fill="auto"/>
            <w:noWrap/>
          </w:tcPr>
          <w:p w14:paraId="097B4528" w14:textId="4DFE3E36" w:rsidR="00100634" w:rsidRPr="000D4693" w:rsidRDefault="00100634" w:rsidP="00100634">
            <w:pPr>
              <w:suppressAutoHyphens/>
              <w:autoSpaceDN w:val="0"/>
              <w:spacing w:line="300" w:lineRule="exact"/>
              <w:jc w:val="right"/>
              <w:rPr>
                <w:rFonts w:ascii="Arial" w:hAnsi="Arial" w:cs="Arial"/>
                <w:sz w:val="18"/>
                <w:szCs w:val="18"/>
              </w:rPr>
            </w:pPr>
            <w:r w:rsidRPr="00F959D0">
              <w:rPr>
                <w:rFonts w:ascii="Arial" w:hAnsi="Arial" w:cs="Arial"/>
                <w:color w:val="000000" w:themeColor="text1"/>
                <w:sz w:val="18"/>
                <w:szCs w:val="18"/>
              </w:rPr>
              <w:t xml:space="preserve"> 149 </w:t>
            </w:r>
          </w:p>
        </w:tc>
        <w:tc>
          <w:tcPr>
            <w:tcW w:w="1559" w:type="dxa"/>
            <w:tcBorders>
              <w:top w:val="nil"/>
              <w:left w:val="nil"/>
              <w:bottom w:val="single" w:sz="4" w:space="0" w:color="auto"/>
              <w:right w:val="nil"/>
            </w:tcBorders>
            <w:shd w:val="clear" w:color="auto" w:fill="auto"/>
            <w:noWrap/>
          </w:tcPr>
          <w:p w14:paraId="5918D5D0" w14:textId="2DA57A28" w:rsidR="00100634" w:rsidRPr="000D4693" w:rsidRDefault="00100634" w:rsidP="00100634">
            <w:pPr>
              <w:suppressAutoHyphens/>
              <w:autoSpaceDN w:val="0"/>
              <w:spacing w:line="300" w:lineRule="exact"/>
              <w:jc w:val="right"/>
              <w:rPr>
                <w:rFonts w:ascii="Arial" w:hAnsi="Arial" w:cs="Arial"/>
                <w:sz w:val="18"/>
                <w:szCs w:val="18"/>
              </w:rPr>
            </w:pPr>
            <w:r w:rsidRPr="00F959D0">
              <w:rPr>
                <w:rFonts w:ascii="Arial" w:hAnsi="Arial" w:cs="Arial"/>
                <w:color w:val="000000" w:themeColor="text1"/>
                <w:sz w:val="18"/>
                <w:szCs w:val="18"/>
              </w:rPr>
              <w:t xml:space="preserve"> (7.519)</w:t>
            </w:r>
          </w:p>
        </w:tc>
        <w:tc>
          <w:tcPr>
            <w:tcW w:w="1134" w:type="dxa"/>
            <w:tcBorders>
              <w:top w:val="nil"/>
              <w:left w:val="nil"/>
              <w:bottom w:val="single" w:sz="4" w:space="0" w:color="auto"/>
              <w:right w:val="nil"/>
            </w:tcBorders>
            <w:shd w:val="clear" w:color="auto" w:fill="auto"/>
            <w:noWrap/>
          </w:tcPr>
          <w:p w14:paraId="28CF74F0" w14:textId="404C1085" w:rsidR="00100634" w:rsidRPr="000D4693" w:rsidRDefault="00100634" w:rsidP="00100634">
            <w:pPr>
              <w:suppressAutoHyphens/>
              <w:autoSpaceDN w:val="0"/>
              <w:spacing w:line="300" w:lineRule="exact"/>
              <w:jc w:val="right"/>
              <w:rPr>
                <w:rFonts w:ascii="Arial" w:hAnsi="Arial" w:cs="Arial"/>
                <w:sz w:val="18"/>
                <w:szCs w:val="18"/>
              </w:rPr>
            </w:pPr>
            <w:r w:rsidRPr="00F959D0">
              <w:rPr>
                <w:rFonts w:ascii="Arial" w:hAnsi="Arial" w:cs="Arial"/>
                <w:color w:val="000000" w:themeColor="text1"/>
                <w:sz w:val="18"/>
                <w:szCs w:val="18"/>
              </w:rPr>
              <w:t xml:space="preserve"> 4.021.536 </w:t>
            </w:r>
          </w:p>
        </w:tc>
      </w:tr>
      <w:tr w:rsidR="00100634" w:rsidRPr="003D1614" w14:paraId="2D57E6B8" w14:textId="77777777" w:rsidTr="004033A1">
        <w:trPr>
          <w:trHeight w:val="315"/>
        </w:trPr>
        <w:tc>
          <w:tcPr>
            <w:tcW w:w="3261" w:type="dxa"/>
            <w:tcBorders>
              <w:left w:val="nil"/>
              <w:right w:val="nil"/>
            </w:tcBorders>
            <w:shd w:val="clear" w:color="auto" w:fill="auto"/>
            <w:vAlign w:val="bottom"/>
          </w:tcPr>
          <w:p w14:paraId="7A7B3D88" w14:textId="77777777" w:rsidR="00100634" w:rsidRPr="003D1614" w:rsidRDefault="00100634" w:rsidP="00100634">
            <w:pPr>
              <w:suppressAutoHyphens/>
              <w:autoSpaceDN w:val="0"/>
              <w:spacing w:line="300" w:lineRule="exac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Ukupna imovina</w:t>
            </w:r>
          </w:p>
        </w:tc>
        <w:tc>
          <w:tcPr>
            <w:tcW w:w="1134" w:type="dxa"/>
            <w:tcBorders>
              <w:top w:val="single" w:sz="4" w:space="0" w:color="auto"/>
              <w:left w:val="nil"/>
              <w:bottom w:val="single" w:sz="12" w:space="0" w:color="auto"/>
              <w:right w:val="nil"/>
            </w:tcBorders>
            <w:shd w:val="clear" w:color="auto" w:fill="auto"/>
            <w:noWrap/>
          </w:tcPr>
          <w:p w14:paraId="64F47AF2" w14:textId="41229CCD" w:rsidR="00100634" w:rsidRPr="000D4693" w:rsidRDefault="00100634" w:rsidP="00100634">
            <w:pPr>
              <w:suppressAutoHyphens/>
              <w:autoSpaceDN w:val="0"/>
              <w:spacing w:line="300" w:lineRule="exact"/>
              <w:jc w:val="right"/>
              <w:rPr>
                <w:rFonts w:ascii="Arial" w:hAnsi="Arial" w:cs="Arial"/>
                <w:b/>
                <w:bCs/>
                <w:sz w:val="18"/>
                <w:szCs w:val="18"/>
              </w:rPr>
            </w:pPr>
            <w:r w:rsidRPr="00F959D0">
              <w:rPr>
                <w:rFonts w:ascii="Arial" w:hAnsi="Arial" w:cs="Arial"/>
                <w:b/>
                <w:bCs/>
                <w:color w:val="000000" w:themeColor="text1"/>
                <w:sz w:val="18"/>
                <w:szCs w:val="18"/>
              </w:rPr>
              <w:t xml:space="preserve"> 4.018.684 </w:t>
            </w:r>
          </w:p>
        </w:tc>
        <w:tc>
          <w:tcPr>
            <w:tcW w:w="1667" w:type="dxa"/>
            <w:tcBorders>
              <w:top w:val="single" w:sz="4" w:space="0" w:color="auto"/>
              <w:left w:val="nil"/>
              <w:bottom w:val="single" w:sz="12" w:space="0" w:color="auto"/>
              <w:right w:val="nil"/>
            </w:tcBorders>
            <w:shd w:val="clear" w:color="auto" w:fill="auto"/>
            <w:noWrap/>
          </w:tcPr>
          <w:p w14:paraId="121D8F87" w14:textId="67E6402F" w:rsidR="00100634" w:rsidRPr="000D4693" w:rsidRDefault="00100634" w:rsidP="00100634">
            <w:pPr>
              <w:suppressAutoHyphens/>
              <w:autoSpaceDN w:val="0"/>
              <w:spacing w:line="300" w:lineRule="exact"/>
              <w:jc w:val="right"/>
              <w:rPr>
                <w:rFonts w:ascii="Arial" w:hAnsi="Arial" w:cs="Arial"/>
                <w:b/>
                <w:bCs/>
                <w:sz w:val="18"/>
                <w:szCs w:val="18"/>
              </w:rPr>
            </w:pPr>
            <w:r w:rsidRPr="00F959D0">
              <w:rPr>
                <w:rFonts w:ascii="Arial" w:hAnsi="Arial" w:cs="Arial"/>
                <w:b/>
                <w:bCs/>
                <w:color w:val="000000" w:themeColor="text1"/>
                <w:sz w:val="18"/>
                <w:szCs w:val="18"/>
              </w:rPr>
              <w:t xml:space="preserve"> 10.222 </w:t>
            </w:r>
          </w:p>
        </w:tc>
        <w:tc>
          <w:tcPr>
            <w:tcW w:w="1168" w:type="dxa"/>
            <w:tcBorders>
              <w:top w:val="single" w:sz="4" w:space="0" w:color="auto"/>
              <w:left w:val="nil"/>
              <w:bottom w:val="single" w:sz="12" w:space="0" w:color="auto"/>
              <w:right w:val="nil"/>
            </w:tcBorders>
            <w:shd w:val="clear" w:color="auto" w:fill="auto"/>
            <w:noWrap/>
          </w:tcPr>
          <w:p w14:paraId="1317D9F4" w14:textId="07393181" w:rsidR="00100634" w:rsidRPr="000D4693" w:rsidRDefault="00100634" w:rsidP="00100634">
            <w:pPr>
              <w:suppressAutoHyphens/>
              <w:autoSpaceDN w:val="0"/>
              <w:spacing w:line="300" w:lineRule="exact"/>
              <w:jc w:val="right"/>
              <w:rPr>
                <w:rFonts w:ascii="Arial" w:hAnsi="Arial" w:cs="Arial"/>
                <w:b/>
                <w:bCs/>
                <w:sz w:val="18"/>
                <w:szCs w:val="18"/>
              </w:rPr>
            </w:pPr>
            <w:r w:rsidRPr="00F959D0">
              <w:rPr>
                <w:rFonts w:ascii="Arial" w:hAnsi="Arial" w:cs="Arial"/>
                <w:b/>
                <w:bCs/>
                <w:color w:val="000000" w:themeColor="text1"/>
                <w:sz w:val="18"/>
                <w:szCs w:val="18"/>
              </w:rPr>
              <w:t xml:space="preserve"> 149 </w:t>
            </w:r>
          </w:p>
        </w:tc>
        <w:tc>
          <w:tcPr>
            <w:tcW w:w="1559" w:type="dxa"/>
            <w:tcBorders>
              <w:top w:val="single" w:sz="4" w:space="0" w:color="auto"/>
              <w:left w:val="nil"/>
              <w:bottom w:val="single" w:sz="12" w:space="0" w:color="auto"/>
              <w:right w:val="nil"/>
            </w:tcBorders>
            <w:shd w:val="clear" w:color="auto" w:fill="auto"/>
            <w:noWrap/>
          </w:tcPr>
          <w:p w14:paraId="15112A0E" w14:textId="382CE0F4" w:rsidR="00100634" w:rsidRPr="000D4693" w:rsidRDefault="00100634" w:rsidP="00100634">
            <w:pPr>
              <w:suppressAutoHyphens/>
              <w:autoSpaceDN w:val="0"/>
              <w:spacing w:line="300" w:lineRule="exact"/>
              <w:jc w:val="right"/>
              <w:rPr>
                <w:rFonts w:ascii="Arial" w:hAnsi="Arial" w:cs="Arial"/>
                <w:b/>
                <w:bCs/>
                <w:sz w:val="18"/>
                <w:szCs w:val="18"/>
              </w:rPr>
            </w:pPr>
            <w:r w:rsidRPr="00F959D0">
              <w:rPr>
                <w:rFonts w:ascii="Arial" w:hAnsi="Arial" w:cs="Arial"/>
                <w:b/>
                <w:bCs/>
                <w:color w:val="000000" w:themeColor="text1"/>
                <w:sz w:val="18"/>
                <w:szCs w:val="18"/>
              </w:rPr>
              <w:t xml:space="preserve"> (7.519)</w:t>
            </w:r>
          </w:p>
        </w:tc>
        <w:tc>
          <w:tcPr>
            <w:tcW w:w="1134" w:type="dxa"/>
            <w:tcBorders>
              <w:top w:val="single" w:sz="4" w:space="0" w:color="auto"/>
              <w:left w:val="nil"/>
              <w:bottom w:val="single" w:sz="12" w:space="0" w:color="auto"/>
              <w:right w:val="nil"/>
            </w:tcBorders>
            <w:shd w:val="clear" w:color="auto" w:fill="auto"/>
            <w:noWrap/>
          </w:tcPr>
          <w:p w14:paraId="4E870858" w14:textId="2CBEC83C" w:rsidR="00100634" w:rsidRPr="000D4693" w:rsidRDefault="00100634" w:rsidP="00100634">
            <w:pPr>
              <w:suppressAutoHyphens/>
              <w:autoSpaceDN w:val="0"/>
              <w:spacing w:line="300" w:lineRule="exact"/>
              <w:jc w:val="right"/>
              <w:rPr>
                <w:rFonts w:ascii="Arial" w:hAnsi="Arial" w:cs="Arial"/>
                <w:b/>
                <w:bCs/>
                <w:sz w:val="18"/>
                <w:szCs w:val="18"/>
              </w:rPr>
            </w:pPr>
            <w:r w:rsidRPr="00F959D0">
              <w:rPr>
                <w:rFonts w:ascii="Arial" w:hAnsi="Arial" w:cs="Arial"/>
                <w:b/>
                <w:bCs/>
                <w:color w:val="000000" w:themeColor="text1"/>
                <w:sz w:val="18"/>
                <w:szCs w:val="18"/>
              </w:rPr>
              <w:t xml:space="preserve"> 4.021.536 </w:t>
            </w:r>
          </w:p>
        </w:tc>
      </w:tr>
      <w:tr w:rsidR="00100634" w:rsidRPr="003D1614" w14:paraId="5F35EBD7" w14:textId="77777777" w:rsidTr="000D4693">
        <w:trPr>
          <w:trHeight w:val="121"/>
        </w:trPr>
        <w:tc>
          <w:tcPr>
            <w:tcW w:w="3261" w:type="dxa"/>
            <w:tcBorders>
              <w:left w:val="nil"/>
              <w:bottom w:val="nil"/>
              <w:right w:val="nil"/>
            </w:tcBorders>
            <w:shd w:val="clear" w:color="auto" w:fill="auto"/>
            <w:vAlign w:val="bottom"/>
          </w:tcPr>
          <w:p w14:paraId="203AF703" w14:textId="77777777" w:rsidR="00100634" w:rsidRPr="003D1614" w:rsidRDefault="00100634" w:rsidP="00100634">
            <w:pPr>
              <w:suppressAutoHyphens/>
              <w:autoSpaceDN w:val="0"/>
              <w:spacing w:line="140" w:lineRule="exact"/>
              <w:rPr>
                <w:rFonts w:ascii="Arial" w:eastAsia="Times New Roman" w:hAnsi="Arial" w:cs="Arial"/>
                <w:color w:val="000000" w:themeColor="text1"/>
                <w:sz w:val="18"/>
                <w:szCs w:val="18"/>
              </w:rPr>
            </w:pPr>
          </w:p>
        </w:tc>
        <w:tc>
          <w:tcPr>
            <w:tcW w:w="1134" w:type="dxa"/>
            <w:tcBorders>
              <w:top w:val="single" w:sz="12" w:space="0" w:color="auto"/>
              <w:left w:val="nil"/>
              <w:bottom w:val="nil"/>
              <w:right w:val="nil"/>
            </w:tcBorders>
            <w:shd w:val="clear" w:color="auto" w:fill="auto"/>
            <w:noWrap/>
            <w:vAlign w:val="bottom"/>
          </w:tcPr>
          <w:p w14:paraId="11230396" w14:textId="77777777" w:rsidR="00100634" w:rsidRPr="007478FB" w:rsidRDefault="00100634" w:rsidP="00100634">
            <w:pPr>
              <w:suppressAutoHyphens/>
              <w:autoSpaceDN w:val="0"/>
              <w:spacing w:line="140" w:lineRule="exact"/>
              <w:rPr>
                <w:rFonts w:ascii="Arial" w:eastAsia="Times New Roman" w:hAnsi="Arial" w:cs="Arial"/>
                <w:color w:val="000000" w:themeColor="text1"/>
                <w:sz w:val="18"/>
                <w:szCs w:val="18"/>
              </w:rPr>
            </w:pPr>
          </w:p>
        </w:tc>
        <w:tc>
          <w:tcPr>
            <w:tcW w:w="1667" w:type="dxa"/>
            <w:tcBorders>
              <w:top w:val="single" w:sz="12" w:space="0" w:color="auto"/>
              <w:left w:val="nil"/>
              <w:bottom w:val="nil"/>
              <w:right w:val="nil"/>
            </w:tcBorders>
            <w:shd w:val="clear" w:color="auto" w:fill="auto"/>
            <w:noWrap/>
            <w:vAlign w:val="bottom"/>
          </w:tcPr>
          <w:p w14:paraId="074D4EA3" w14:textId="77777777" w:rsidR="00100634" w:rsidRPr="007478FB" w:rsidRDefault="00100634" w:rsidP="00100634">
            <w:pPr>
              <w:suppressAutoHyphens/>
              <w:autoSpaceDN w:val="0"/>
              <w:spacing w:line="140" w:lineRule="exact"/>
              <w:rPr>
                <w:rFonts w:ascii="Arial" w:eastAsia="Times New Roman" w:hAnsi="Arial" w:cs="Arial"/>
                <w:color w:val="000000" w:themeColor="text1"/>
                <w:sz w:val="18"/>
                <w:szCs w:val="18"/>
              </w:rPr>
            </w:pPr>
          </w:p>
        </w:tc>
        <w:tc>
          <w:tcPr>
            <w:tcW w:w="1168" w:type="dxa"/>
            <w:tcBorders>
              <w:top w:val="single" w:sz="12" w:space="0" w:color="auto"/>
              <w:left w:val="nil"/>
              <w:bottom w:val="nil"/>
              <w:right w:val="nil"/>
            </w:tcBorders>
            <w:shd w:val="clear" w:color="auto" w:fill="auto"/>
            <w:noWrap/>
            <w:vAlign w:val="bottom"/>
          </w:tcPr>
          <w:p w14:paraId="3BCE7F15" w14:textId="77777777" w:rsidR="00100634" w:rsidRPr="007478FB" w:rsidRDefault="00100634" w:rsidP="00100634">
            <w:pPr>
              <w:suppressAutoHyphens/>
              <w:autoSpaceDN w:val="0"/>
              <w:spacing w:line="140" w:lineRule="exact"/>
              <w:rPr>
                <w:rFonts w:ascii="Arial" w:eastAsia="Times New Roman" w:hAnsi="Arial" w:cs="Arial"/>
                <w:color w:val="000000" w:themeColor="text1"/>
                <w:sz w:val="18"/>
                <w:szCs w:val="18"/>
              </w:rPr>
            </w:pPr>
          </w:p>
        </w:tc>
        <w:tc>
          <w:tcPr>
            <w:tcW w:w="1559" w:type="dxa"/>
            <w:tcBorders>
              <w:top w:val="single" w:sz="12" w:space="0" w:color="auto"/>
              <w:left w:val="nil"/>
              <w:bottom w:val="nil"/>
              <w:right w:val="nil"/>
            </w:tcBorders>
            <w:shd w:val="clear" w:color="auto" w:fill="auto"/>
            <w:noWrap/>
            <w:vAlign w:val="bottom"/>
          </w:tcPr>
          <w:p w14:paraId="7BEE277C" w14:textId="77777777" w:rsidR="00100634" w:rsidRPr="007478FB" w:rsidRDefault="00100634" w:rsidP="00100634">
            <w:pPr>
              <w:suppressAutoHyphens/>
              <w:autoSpaceDN w:val="0"/>
              <w:spacing w:line="140" w:lineRule="exact"/>
              <w:rPr>
                <w:rFonts w:ascii="Arial" w:eastAsia="Times New Roman" w:hAnsi="Arial" w:cs="Arial"/>
                <w:color w:val="000000" w:themeColor="text1"/>
                <w:sz w:val="18"/>
                <w:szCs w:val="18"/>
              </w:rPr>
            </w:pPr>
          </w:p>
        </w:tc>
        <w:tc>
          <w:tcPr>
            <w:tcW w:w="1134" w:type="dxa"/>
            <w:tcBorders>
              <w:top w:val="single" w:sz="12" w:space="0" w:color="auto"/>
              <w:left w:val="nil"/>
              <w:bottom w:val="nil"/>
              <w:right w:val="nil"/>
            </w:tcBorders>
            <w:shd w:val="clear" w:color="auto" w:fill="auto"/>
            <w:noWrap/>
            <w:vAlign w:val="bottom"/>
          </w:tcPr>
          <w:p w14:paraId="7A6DBE99" w14:textId="77777777" w:rsidR="00100634" w:rsidRPr="007478FB" w:rsidRDefault="00100634" w:rsidP="00100634">
            <w:pPr>
              <w:suppressAutoHyphens/>
              <w:autoSpaceDN w:val="0"/>
              <w:spacing w:line="140" w:lineRule="exact"/>
              <w:rPr>
                <w:rFonts w:ascii="Arial" w:eastAsia="Times New Roman" w:hAnsi="Arial" w:cs="Arial"/>
                <w:color w:val="000000" w:themeColor="text1"/>
                <w:sz w:val="18"/>
                <w:szCs w:val="18"/>
              </w:rPr>
            </w:pPr>
          </w:p>
        </w:tc>
      </w:tr>
      <w:tr w:rsidR="00100634" w:rsidRPr="003D1614" w14:paraId="4BAF5A33" w14:textId="77777777" w:rsidTr="004033A1">
        <w:trPr>
          <w:trHeight w:val="300"/>
        </w:trPr>
        <w:tc>
          <w:tcPr>
            <w:tcW w:w="3261" w:type="dxa"/>
            <w:tcBorders>
              <w:top w:val="nil"/>
              <w:left w:val="nil"/>
              <w:bottom w:val="nil"/>
              <w:right w:val="nil"/>
            </w:tcBorders>
            <w:shd w:val="clear" w:color="auto" w:fill="auto"/>
            <w:vAlign w:val="bottom"/>
          </w:tcPr>
          <w:p w14:paraId="32A5857A" w14:textId="77777777" w:rsidR="00100634" w:rsidRPr="003D1614" w:rsidRDefault="00100634" w:rsidP="00100634">
            <w:pPr>
              <w:suppressAutoHyphens/>
              <w:autoSpaceDN w:val="0"/>
              <w:spacing w:line="300" w:lineRule="exact"/>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Obveze segmenta</w:t>
            </w:r>
          </w:p>
        </w:tc>
        <w:tc>
          <w:tcPr>
            <w:tcW w:w="1134" w:type="dxa"/>
            <w:shd w:val="clear" w:color="auto" w:fill="auto"/>
            <w:noWrap/>
          </w:tcPr>
          <w:p w14:paraId="12FE6227" w14:textId="2E14663D" w:rsidR="00100634" w:rsidRPr="000D4693" w:rsidRDefault="00100634" w:rsidP="00100634">
            <w:pPr>
              <w:suppressAutoHyphens/>
              <w:autoSpaceDN w:val="0"/>
              <w:spacing w:line="300" w:lineRule="exact"/>
              <w:jc w:val="right"/>
              <w:rPr>
                <w:rFonts w:ascii="Arial" w:hAnsi="Arial" w:cs="Arial"/>
                <w:sz w:val="18"/>
                <w:szCs w:val="18"/>
              </w:rPr>
            </w:pPr>
            <w:r w:rsidRPr="00F959D0">
              <w:rPr>
                <w:rFonts w:ascii="Arial" w:hAnsi="Arial" w:cs="Arial"/>
                <w:color w:val="000000" w:themeColor="text1"/>
                <w:sz w:val="18"/>
                <w:szCs w:val="18"/>
              </w:rPr>
              <w:t xml:space="preserve"> 2.561.161 </w:t>
            </w:r>
          </w:p>
        </w:tc>
        <w:tc>
          <w:tcPr>
            <w:tcW w:w="1667" w:type="dxa"/>
            <w:shd w:val="clear" w:color="auto" w:fill="auto"/>
            <w:noWrap/>
          </w:tcPr>
          <w:p w14:paraId="44083AEC" w14:textId="5FA2EDBA" w:rsidR="00100634" w:rsidRPr="000D4693" w:rsidRDefault="00100634" w:rsidP="00100634">
            <w:pPr>
              <w:suppressAutoHyphens/>
              <w:autoSpaceDN w:val="0"/>
              <w:spacing w:line="300" w:lineRule="exact"/>
              <w:jc w:val="right"/>
              <w:rPr>
                <w:rFonts w:ascii="Arial" w:hAnsi="Arial" w:cs="Arial"/>
                <w:sz w:val="18"/>
                <w:szCs w:val="18"/>
              </w:rPr>
            </w:pPr>
            <w:r w:rsidRPr="00F959D0">
              <w:rPr>
                <w:rFonts w:ascii="Arial" w:hAnsi="Arial" w:cs="Arial"/>
                <w:color w:val="000000" w:themeColor="text1"/>
                <w:sz w:val="18"/>
                <w:szCs w:val="18"/>
              </w:rPr>
              <w:t xml:space="preserve"> 2.484 </w:t>
            </w:r>
          </w:p>
        </w:tc>
        <w:tc>
          <w:tcPr>
            <w:tcW w:w="1168" w:type="dxa"/>
            <w:shd w:val="clear" w:color="auto" w:fill="auto"/>
            <w:noWrap/>
          </w:tcPr>
          <w:p w14:paraId="0AC957E3" w14:textId="0886E1EC" w:rsidR="00100634" w:rsidRPr="000D4693" w:rsidRDefault="00100634" w:rsidP="00100634">
            <w:pPr>
              <w:suppressAutoHyphens/>
              <w:autoSpaceDN w:val="0"/>
              <w:spacing w:line="300" w:lineRule="exact"/>
              <w:jc w:val="right"/>
              <w:rPr>
                <w:rFonts w:ascii="Arial" w:hAnsi="Arial" w:cs="Arial"/>
                <w:sz w:val="18"/>
                <w:szCs w:val="18"/>
              </w:rPr>
            </w:pPr>
            <w:r w:rsidRPr="00F959D0">
              <w:rPr>
                <w:rFonts w:ascii="Arial" w:hAnsi="Arial" w:cs="Arial"/>
                <w:color w:val="000000" w:themeColor="text1"/>
                <w:sz w:val="18"/>
                <w:szCs w:val="18"/>
              </w:rPr>
              <w:t xml:space="preserve"> 16 </w:t>
            </w:r>
          </w:p>
        </w:tc>
        <w:tc>
          <w:tcPr>
            <w:tcW w:w="1559" w:type="dxa"/>
            <w:shd w:val="clear" w:color="auto" w:fill="auto"/>
            <w:noWrap/>
          </w:tcPr>
          <w:p w14:paraId="693D655F" w14:textId="3995DD0C" w:rsidR="00100634" w:rsidRPr="000D4693" w:rsidRDefault="00100634" w:rsidP="00100634">
            <w:pPr>
              <w:suppressAutoHyphens/>
              <w:autoSpaceDN w:val="0"/>
              <w:spacing w:line="300" w:lineRule="exact"/>
              <w:jc w:val="right"/>
              <w:rPr>
                <w:rFonts w:ascii="Arial" w:hAnsi="Arial" w:cs="Arial"/>
                <w:sz w:val="18"/>
                <w:szCs w:val="18"/>
              </w:rPr>
            </w:pPr>
            <w:r w:rsidRPr="00F959D0">
              <w:rPr>
                <w:rFonts w:ascii="Arial" w:hAnsi="Arial" w:cs="Arial"/>
                <w:color w:val="000000" w:themeColor="text1"/>
                <w:sz w:val="18"/>
                <w:szCs w:val="18"/>
              </w:rPr>
              <w:t xml:space="preserve"> (4)</w:t>
            </w:r>
          </w:p>
        </w:tc>
        <w:tc>
          <w:tcPr>
            <w:tcW w:w="1134" w:type="dxa"/>
            <w:shd w:val="clear" w:color="auto" w:fill="auto"/>
            <w:noWrap/>
          </w:tcPr>
          <w:p w14:paraId="7366D968" w14:textId="454DE5AF" w:rsidR="00100634" w:rsidRPr="000D4693" w:rsidRDefault="00100634" w:rsidP="00100634">
            <w:pPr>
              <w:suppressAutoHyphens/>
              <w:autoSpaceDN w:val="0"/>
              <w:spacing w:line="300" w:lineRule="exact"/>
              <w:jc w:val="right"/>
              <w:rPr>
                <w:rFonts w:ascii="Arial" w:hAnsi="Arial" w:cs="Arial"/>
                <w:sz w:val="18"/>
                <w:szCs w:val="18"/>
              </w:rPr>
            </w:pPr>
            <w:r w:rsidRPr="00F959D0">
              <w:rPr>
                <w:rFonts w:ascii="Arial" w:hAnsi="Arial" w:cs="Arial"/>
                <w:color w:val="000000" w:themeColor="text1"/>
                <w:sz w:val="18"/>
                <w:szCs w:val="18"/>
              </w:rPr>
              <w:t xml:space="preserve"> 2.563.657 </w:t>
            </w:r>
          </w:p>
        </w:tc>
      </w:tr>
      <w:tr w:rsidR="00100634" w:rsidRPr="003D1614" w14:paraId="58B52975" w14:textId="77777777" w:rsidTr="004033A1">
        <w:trPr>
          <w:trHeight w:val="300"/>
        </w:trPr>
        <w:tc>
          <w:tcPr>
            <w:tcW w:w="3261" w:type="dxa"/>
            <w:tcBorders>
              <w:top w:val="nil"/>
              <w:left w:val="nil"/>
              <w:right w:val="nil"/>
            </w:tcBorders>
            <w:shd w:val="clear" w:color="auto" w:fill="auto"/>
            <w:vAlign w:val="bottom"/>
          </w:tcPr>
          <w:p w14:paraId="21243444" w14:textId="77777777" w:rsidR="00100634" w:rsidRPr="003D1614" w:rsidRDefault="00100634" w:rsidP="00100634">
            <w:pPr>
              <w:suppressAutoHyphens/>
              <w:autoSpaceDN w:val="0"/>
              <w:spacing w:line="300" w:lineRule="exact"/>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Ukupni kapital i rezerve</w:t>
            </w:r>
          </w:p>
        </w:tc>
        <w:tc>
          <w:tcPr>
            <w:tcW w:w="1134" w:type="dxa"/>
            <w:tcBorders>
              <w:top w:val="nil"/>
              <w:left w:val="nil"/>
              <w:bottom w:val="single" w:sz="4" w:space="0" w:color="auto"/>
              <w:right w:val="nil"/>
            </w:tcBorders>
            <w:shd w:val="clear" w:color="auto" w:fill="auto"/>
            <w:noWrap/>
          </w:tcPr>
          <w:p w14:paraId="04F5D119" w14:textId="5871399F" w:rsidR="00100634" w:rsidRPr="000D4693" w:rsidRDefault="00100634" w:rsidP="00100634">
            <w:pPr>
              <w:suppressAutoHyphens/>
              <w:autoSpaceDN w:val="0"/>
              <w:spacing w:line="300" w:lineRule="exact"/>
              <w:jc w:val="right"/>
              <w:rPr>
                <w:rFonts w:ascii="Arial" w:hAnsi="Arial" w:cs="Arial"/>
                <w:sz w:val="18"/>
                <w:szCs w:val="18"/>
              </w:rPr>
            </w:pPr>
            <w:r w:rsidRPr="00F959D0">
              <w:rPr>
                <w:rFonts w:ascii="Arial" w:hAnsi="Arial" w:cs="Arial"/>
                <w:color w:val="000000" w:themeColor="text1"/>
                <w:sz w:val="18"/>
                <w:szCs w:val="18"/>
              </w:rPr>
              <w:t xml:space="preserve"> 1.457.523 </w:t>
            </w:r>
          </w:p>
        </w:tc>
        <w:tc>
          <w:tcPr>
            <w:tcW w:w="1667" w:type="dxa"/>
            <w:tcBorders>
              <w:top w:val="nil"/>
              <w:left w:val="nil"/>
              <w:bottom w:val="single" w:sz="4" w:space="0" w:color="auto"/>
              <w:right w:val="nil"/>
            </w:tcBorders>
            <w:shd w:val="clear" w:color="auto" w:fill="auto"/>
            <w:noWrap/>
          </w:tcPr>
          <w:p w14:paraId="65636EFE" w14:textId="0ABC7ACE" w:rsidR="00100634" w:rsidRPr="000D4693" w:rsidRDefault="00100634" w:rsidP="00100634">
            <w:pPr>
              <w:suppressAutoHyphens/>
              <w:autoSpaceDN w:val="0"/>
              <w:spacing w:line="300" w:lineRule="exact"/>
              <w:jc w:val="right"/>
              <w:rPr>
                <w:rFonts w:ascii="Arial" w:hAnsi="Arial" w:cs="Arial"/>
                <w:sz w:val="18"/>
                <w:szCs w:val="18"/>
              </w:rPr>
            </w:pPr>
            <w:r w:rsidRPr="00F959D0">
              <w:rPr>
                <w:rFonts w:ascii="Arial" w:hAnsi="Arial" w:cs="Arial"/>
                <w:color w:val="000000" w:themeColor="text1"/>
                <w:sz w:val="18"/>
                <w:szCs w:val="18"/>
              </w:rPr>
              <w:t xml:space="preserve"> 49 </w:t>
            </w:r>
          </w:p>
        </w:tc>
        <w:tc>
          <w:tcPr>
            <w:tcW w:w="1168" w:type="dxa"/>
            <w:tcBorders>
              <w:top w:val="nil"/>
              <w:left w:val="nil"/>
              <w:bottom w:val="single" w:sz="4" w:space="0" w:color="auto"/>
              <w:right w:val="nil"/>
            </w:tcBorders>
            <w:shd w:val="clear" w:color="auto" w:fill="auto"/>
            <w:noWrap/>
          </w:tcPr>
          <w:p w14:paraId="32A5E7FB" w14:textId="7BBFF5D7" w:rsidR="00100634" w:rsidRPr="000D4693" w:rsidRDefault="00100634" w:rsidP="00100634">
            <w:pPr>
              <w:suppressAutoHyphens/>
              <w:autoSpaceDN w:val="0"/>
              <w:spacing w:line="300" w:lineRule="exact"/>
              <w:jc w:val="right"/>
              <w:rPr>
                <w:rFonts w:ascii="Arial" w:hAnsi="Arial" w:cs="Arial"/>
                <w:sz w:val="18"/>
                <w:szCs w:val="18"/>
              </w:rPr>
            </w:pPr>
            <w:r w:rsidRPr="00F959D0">
              <w:rPr>
                <w:rFonts w:ascii="Arial" w:hAnsi="Arial" w:cs="Arial"/>
                <w:color w:val="000000" w:themeColor="text1"/>
                <w:sz w:val="18"/>
                <w:szCs w:val="18"/>
              </w:rPr>
              <w:t xml:space="preserve"> 93 </w:t>
            </w:r>
          </w:p>
        </w:tc>
        <w:tc>
          <w:tcPr>
            <w:tcW w:w="1559" w:type="dxa"/>
            <w:tcBorders>
              <w:top w:val="nil"/>
              <w:left w:val="nil"/>
              <w:bottom w:val="single" w:sz="4" w:space="0" w:color="auto"/>
              <w:right w:val="nil"/>
            </w:tcBorders>
            <w:shd w:val="clear" w:color="auto" w:fill="auto"/>
            <w:noWrap/>
          </w:tcPr>
          <w:p w14:paraId="21C15CA1" w14:textId="0E47447A" w:rsidR="00100634" w:rsidRPr="000D4693" w:rsidRDefault="00100634" w:rsidP="00100634">
            <w:pPr>
              <w:suppressAutoHyphens/>
              <w:autoSpaceDN w:val="0"/>
              <w:spacing w:line="300" w:lineRule="exact"/>
              <w:jc w:val="right"/>
              <w:rPr>
                <w:rFonts w:ascii="Arial" w:hAnsi="Arial" w:cs="Arial"/>
                <w:sz w:val="18"/>
                <w:szCs w:val="18"/>
              </w:rPr>
            </w:pPr>
            <w:r w:rsidRPr="00F959D0">
              <w:rPr>
                <w:rFonts w:ascii="Arial" w:hAnsi="Arial" w:cs="Arial"/>
                <w:color w:val="000000" w:themeColor="text1"/>
                <w:sz w:val="18"/>
                <w:szCs w:val="18"/>
              </w:rPr>
              <w:t xml:space="preserve"> 214 </w:t>
            </w:r>
          </w:p>
        </w:tc>
        <w:tc>
          <w:tcPr>
            <w:tcW w:w="1134" w:type="dxa"/>
            <w:tcBorders>
              <w:top w:val="nil"/>
              <w:left w:val="nil"/>
              <w:bottom w:val="single" w:sz="4" w:space="0" w:color="auto"/>
              <w:right w:val="nil"/>
            </w:tcBorders>
            <w:shd w:val="clear" w:color="auto" w:fill="auto"/>
            <w:noWrap/>
          </w:tcPr>
          <w:p w14:paraId="120B5B2B" w14:textId="5F1AAA1A" w:rsidR="00100634" w:rsidRPr="000D4693" w:rsidRDefault="00100634" w:rsidP="00100634">
            <w:pPr>
              <w:suppressAutoHyphens/>
              <w:autoSpaceDN w:val="0"/>
              <w:spacing w:line="300" w:lineRule="exact"/>
              <w:jc w:val="right"/>
              <w:rPr>
                <w:rFonts w:ascii="Arial" w:hAnsi="Arial" w:cs="Arial"/>
                <w:sz w:val="18"/>
                <w:szCs w:val="18"/>
              </w:rPr>
            </w:pPr>
            <w:r w:rsidRPr="00F959D0">
              <w:rPr>
                <w:rFonts w:ascii="Arial" w:hAnsi="Arial" w:cs="Arial"/>
                <w:color w:val="000000" w:themeColor="text1"/>
                <w:sz w:val="18"/>
                <w:szCs w:val="18"/>
              </w:rPr>
              <w:t xml:space="preserve"> 1.457.879 </w:t>
            </w:r>
          </w:p>
        </w:tc>
      </w:tr>
      <w:tr w:rsidR="00100634" w:rsidRPr="003D1614" w14:paraId="7D47DFC7" w14:textId="77777777" w:rsidTr="004033A1">
        <w:trPr>
          <w:trHeight w:val="315"/>
        </w:trPr>
        <w:tc>
          <w:tcPr>
            <w:tcW w:w="3261" w:type="dxa"/>
            <w:tcBorders>
              <w:left w:val="nil"/>
              <w:right w:val="nil"/>
            </w:tcBorders>
            <w:shd w:val="clear" w:color="auto" w:fill="auto"/>
            <w:vAlign w:val="bottom"/>
          </w:tcPr>
          <w:p w14:paraId="3904471E" w14:textId="77777777" w:rsidR="00100634" w:rsidRPr="003D1614" w:rsidRDefault="00100634" w:rsidP="00100634">
            <w:pPr>
              <w:suppressAutoHyphens/>
              <w:autoSpaceDN w:val="0"/>
              <w:spacing w:line="300" w:lineRule="exac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Ukupne obveze i kapital i rezerve</w:t>
            </w:r>
          </w:p>
        </w:tc>
        <w:tc>
          <w:tcPr>
            <w:tcW w:w="1134" w:type="dxa"/>
            <w:tcBorders>
              <w:top w:val="single" w:sz="4" w:space="0" w:color="auto"/>
              <w:left w:val="nil"/>
              <w:bottom w:val="single" w:sz="12" w:space="0" w:color="auto"/>
              <w:right w:val="nil"/>
            </w:tcBorders>
            <w:shd w:val="clear" w:color="auto" w:fill="auto"/>
            <w:noWrap/>
          </w:tcPr>
          <w:p w14:paraId="74292D07" w14:textId="1CFC809D" w:rsidR="00100634" w:rsidRPr="000D4693" w:rsidRDefault="00100634" w:rsidP="00100634">
            <w:pPr>
              <w:suppressAutoHyphens/>
              <w:autoSpaceDN w:val="0"/>
              <w:spacing w:line="300" w:lineRule="exact"/>
              <w:jc w:val="right"/>
              <w:rPr>
                <w:rFonts w:ascii="Arial" w:hAnsi="Arial" w:cs="Arial"/>
                <w:b/>
                <w:bCs/>
                <w:sz w:val="18"/>
                <w:szCs w:val="18"/>
              </w:rPr>
            </w:pPr>
            <w:r w:rsidRPr="00F959D0">
              <w:rPr>
                <w:rFonts w:ascii="Arial" w:hAnsi="Arial" w:cs="Arial"/>
                <w:b/>
                <w:bCs/>
                <w:color w:val="000000" w:themeColor="text1"/>
                <w:sz w:val="18"/>
                <w:szCs w:val="18"/>
              </w:rPr>
              <w:t xml:space="preserve"> 4.018.684 </w:t>
            </w:r>
          </w:p>
        </w:tc>
        <w:tc>
          <w:tcPr>
            <w:tcW w:w="1667" w:type="dxa"/>
            <w:tcBorders>
              <w:top w:val="single" w:sz="4" w:space="0" w:color="auto"/>
              <w:left w:val="nil"/>
              <w:bottom w:val="single" w:sz="12" w:space="0" w:color="auto"/>
              <w:right w:val="nil"/>
            </w:tcBorders>
            <w:shd w:val="clear" w:color="auto" w:fill="auto"/>
            <w:noWrap/>
          </w:tcPr>
          <w:p w14:paraId="6AB14B4B" w14:textId="1DDEC05C" w:rsidR="00100634" w:rsidRPr="000D4693" w:rsidRDefault="00100634" w:rsidP="00100634">
            <w:pPr>
              <w:suppressAutoHyphens/>
              <w:autoSpaceDN w:val="0"/>
              <w:spacing w:line="300" w:lineRule="exact"/>
              <w:jc w:val="right"/>
              <w:rPr>
                <w:rFonts w:ascii="Arial" w:hAnsi="Arial" w:cs="Arial"/>
                <w:b/>
                <w:bCs/>
                <w:sz w:val="18"/>
                <w:szCs w:val="18"/>
              </w:rPr>
            </w:pPr>
            <w:r w:rsidRPr="00F959D0">
              <w:rPr>
                <w:rFonts w:ascii="Arial" w:hAnsi="Arial" w:cs="Arial"/>
                <w:b/>
                <w:bCs/>
                <w:color w:val="000000" w:themeColor="text1"/>
                <w:sz w:val="18"/>
                <w:szCs w:val="18"/>
              </w:rPr>
              <w:t xml:space="preserve"> 2.533 </w:t>
            </w:r>
          </w:p>
        </w:tc>
        <w:tc>
          <w:tcPr>
            <w:tcW w:w="1168" w:type="dxa"/>
            <w:tcBorders>
              <w:top w:val="single" w:sz="4" w:space="0" w:color="auto"/>
              <w:left w:val="nil"/>
              <w:bottom w:val="single" w:sz="12" w:space="0" w:color="auto"/>
              <w:right w:val="nil"/>
            </w:tcBorders>
            <w:shd w:val="clear" w:color="auto" w:fill="auto"/>
            <w:noWrap/>
          </w:tcPr>
          <w:p w14:paraId="2EA26FDD" w14:textId="05863B2E" w:rsidR="00100634" w:rsidRPr="000D4693" w:rsidRDefault="00100634" w:rsidP="00100634">
            <w:pPr>
              <w:suppressAutoHyphens/>
              <w:autoSpaceDN w:val="0"/>
              <w:spacing w:line="300" w:lineRule="exact"/>
              <w:jc w:val="right"/>
              <w:rPr>
                <w:rFonts w:ascii="Arial" w:hAnsi="Arial" w:cs="Arial"/>
                <w:b/>
                <w:bCs/>
                <w:sz w:val="18"/>
                <w:szCs w:val="18"/>
              </w:rPr>
            </w:pPr>
            <w:r w:rsidRPr="00F959D0">
              <w:rPr>
                <w:rFonts w:ascii="Arial" w:hAnsi="Arial" w:cs="Arial"/>
                <w:b/>
                <w:bCs/>
                <w:color w:val="000000" w:themeColor="text1"/>
                <w:sz w:val="18"/>
                <w:szCs w:val="18"/>
              </w:rPr>
              <w:t xml:space="preserve"> 109 </w:t>
            </w:r>
          </w:p>
        </w:tc>
        <w:tc>
          <w:tcPr>
            <w:tcW w:w="1559" w:type="dxa"/>
            <w:tcBorders>
              <w:top w:val="single" w:sz="4" w:space="0" w:color="auto"/>
              <w:left w:val="nil"/>
              <w:bottom w:val="single" w:sz="12" w:space="0" w:color="auto"/>
              <w:right w:val="nil"/>
            </w:tcBorders>
            <w:shd w:val="clear" w:color="auto" w:fill="auto"/>
            <w:noWrap/>
          </w:tcPr>
          <w:p w14:paraId="28AA2F2D" w14:textId="0998F834" w:rsidR="00100634" w:rsidRPr="000D4693" w:rsidRDefault="00100634" w:rsidP="00100634">
            <w:pPr>
              <w:suppressAutoHyphens/>
              <w:autoSpaceDN w:val="0"/>
              <w:spacing w:line="300" w:lineRule="exact"/>
              <w:jc w:val="right"/>
              <w:rPr>
                <w:rFonts w:ascii="Arial" w:hAnsi="Arial" w:cs="Arial"/>
                <w:b/>
                <w:bCs/>
                <w:sz w:val="18"/>
                <w:szCs w:val="18"/>
              </w:rPr>
            </w:pPr>
            <w:r w:rsidRPr="00F959D0">
              <w:rPr>
                <w:rFonts w:ascii="Arial" w:hAnsi="Arial" w:cs="Arial"/>
                <w:b/>
                <w:bCs/>
                <w:color w:val="000000" w:themeColor="text1"/>
                <w:sz w:val="18"/>
                <w:szCs w:val="18"/>
              </w:rPr>
              <w:t xml:space="preserve"> 210 </w:t>
            </w:r>
          </w:p>
        </w:tc>
        <w:tc>
          <w:tcPr>
            <w:tcW w:w="1134" w:type="dxa"/>
            <w:tcBorders>
              <w:top w:val="single" w:sz="4" w:space="0" w:color="auto"/>
              <w:left w:val="nil"/>
              <w:bottom w:val="single" w:sz="12" w:space="0" w:color="auto"/>
              <w:right w:val="nil"/>
            </w:tcBorders>
            <w:shd w:val="clear" w:color="auto" w:fill="auto"/>
            <w:noWrap/>
          </w:tcPr>
          <w:p w14:paraId="23E0AC8A" w14:textId="4C76A7F9" w:rsidR="00100634" w:rsidRPr="000D4693" w:rsidRDefault="00100634" w:rsidP="00100634">
            <w:pPr>
              <w:suppressAutoHyphens/>
              <w:autoSpaceDN w:val="0"/>
              <w:spacing w:line="300" w:lineRule="exact"/>
              <w:jc w:val="right"/>
              <w:rPr>
                <w:rFonts w:ascii="Arial" w:hAnsi="Arial" w:cs="Arial"/>
                <w:b/>
                <w:bCs/>
                <w:sz w:val="18"/>
                <w:szCs w:val="18"/>
              </w:rPr>
            </w:pPr>
            <w:r w:rsidRPr="00F959D0">
              <w:rPr>
                <w:rFonts w:ascii="Arial" w:hAnsi="Arial" w:cs="Arial"/>
                <w:b/>
                <w:bCs/>
                <w:color w:val="000000" w:themeColor="text1"/>
                <w:sz w:val="18"/>
                <w:szCs w:val="18"/>
              </w:rPr>
              <w:t xml:space="preserve"> 4.021.536 </w:t>
            </w:r>
          </w:p>
        </w:tc>
      </w:tr>
    </w:tbl>
    <w:p w14:paraId="766E9967" w14:textId="77C5C784" w:rsidR="00870460" w:rsidRPr="003D1614" w:rsidRDefault="00870460" w:rsidP="003E5073">
      <w:pPr>
        <w:suppressAutoHyphens/>
        <w:autoSpaceDN w:val="0"/>
        <w:jc w:val="both"/>
        <w:rPr>
          <w:rFonts w:ascii="Arial" w:eastAsia="Calibri" w:hAnsi="Arial" w:cs="Arial"/>
          <w:color w:val="000000" w:themeColor="text1"/>
          <w:sz w:val="20"/>
          <w:szCs w:val="20"/>
        </w:rPr>
      </w:pPr>
    </w:p>
    <w:p w14:paraId="798410C1" w14:textId="6FA672CA" w:rsidR="00870460" w:rsidRPr="003D1614" w:rsidRDefault="00870460" w:rsidP="003E5073">
      <w:pPr>
        <w:suppressAutoHyphens/>
        <w:autoSpaceDN w:val="0"/>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Međusobni odnosi između članica Grupe iskazani su u koloni „Neraspoređeno“.</w:t>
      </w:r>
    </w:p>
    <w:p w14:paraId="5F8E9030" w14:textId="7B3E7559" w:rsidR="00870460" w:rsidRPr="003D1614" w:rsidRDefault="00870460" w:rsidP="003E5073">
      <w:pPr>
        <w:suppressAutoHyphens/>
        <w:autoSpaceDN w:val="0"/>
        <w:jc w:val="both"/>
        <w:rPr>
          <w:rFonts w:ascii="Arial" w:eastAsia="Calibri" w:hAnsi="Arial" w:cs="Arial"/>
          <w:color w:val="000000" w:themeColor="text1"/>
          <w:sz w:val="20"/>
          <w:szCs w:val="20"/>
        </w:rPr>
      </w:pPr>
    </w:p>
    <w:p w14:paraId="783E9EB4" w14:textId="77777777" w:rsidR="0095347D" w:rsidRDefault="0095347D" w:rsidP="003E5073">
      <w:pPr>
        <w:suppressAutoHyphens/>
        <w:autoSpaceDN w:val="0"/>
        <w:jc w:val="both"/>
        <w:rPr>
          <w:rFonts w:ascii="Arial" w:eastAsia="Calibri" w:hAnsi="Arial" w:cs="Arial"/>
          <w:color w:val="000000" w:themeColor="text1"/>
          <w:sz w:val="20"/>
          <w:szCs w:val="20"/>
        </w:rPr>
        <w:sectPr w:rsidR="0095347D" w:rsidSect="003278AB">
          <w:footerReference w:type="default" r:id="rId32"/>
          <w:pgSz w:w="11906" w:h="16838"/>
          <w:pgMar w:top="1417" w:right="1417" w:bottom="1417" w:left="1417" w:header="708" w:footer="708" w:gutter="0"/>
          <w:cols w:space="708"/>
          <w:docGrid w:linePitch="360"/>
        </w:sectPr>
      </w:pPr>
    </w:p>
    <w:p w14:paraId="6887FCDA" w14:textId="28BEC02D" w:rsidR="00870460" w:rsidRPr="0095347D" w:rsidRDefault="00870460" w:rsidP="003E5073">
      <w:pPr>
        <w:suppressAutoHyphens/>
        <w:autoSpaceDN w:val="0"/>
        <w:jc w:val="both"/>
        <w:rPr>
          <w:rFonts w:ascii="Arial" w:eastAsia="Calibri" w:hAnsi="Arial" w:cs="Arial"/>
          <w:color w:val="000000" w:themeColor="text1"/>
          <w:sz w:val="18"/>
          <w:szCs w:val="18"/>
        </w:rPr>
      </w:pPr>
    </w:p>
    <w:p w14:paraId="4228EDF2" w14:textId="15E1E23F" w:rsidR="0095347D" w:rsidRPr="0095347D" w:rsidRDefault="0095347D" w:rsidP="0095347D">
      <w:pPr>
        <w:keepNext/>
        <w:suppressAutoHyphens/>
        <w:autoSpaceDN w:val="0"/>
        <w:ind w:left="709" w:hanging="709"/>
        <w:jc w:val="both"/>
        <w:outlineLvl w:val="0"/>
        <w:rPr>
          <w:rFonts w:ascii="Arial" w:eastAsia="Times New Roman" w:hAnsi="Arial" w:cs="Arial"/>
          <w:b/>
          <w:bCs/>
          <w:color w:val="000000" w:themeColor="text1"/>
          <w:spacing w:val="-3"/>
          <w:sz w:val="20"/>
          <w:szCs w:val="20"/>
        </w:rPr>
      </w:pPr>
      <w:r>
        <w:rPr>
          <w:rFonts w:ascii="Arial" w:eastAsia="Times New Roman" w:hAnsi="Arial" w:cs="Arial"/>
          <w:b/>
          <w:bCs/>
          <w:color w:val="000000" w:themeColor="text1"/>
          <w:spacing w:val="-3"/>
          <w:sz w:val="20"/>
          <w:szCs w:val="20"/>
        </w:rPr>
        <w:t>26</w:t>
      </w:r>
      <w:r w:rsidRPr="0095347D">
        <w:rPr>
          <w:rFonts w:ascii="Arial" w:eastAsia="Times New Roman" w:hAnsi="Arial" w:cs="Arial"/>
          <w:b/>
          <w:bCs/>
          <w:color w:val="000000" w:themeColor="text1"/>
          <w:spacing w:val="-3"/>
          <w:sz w:val="20"/>
          <w:szCs w:val="20"/>
        </w:rPr>
        <w:t>.</w:t>
      </w:r>
      <w:r w:rsidRPr="0095347D">
        <w:rPr>
          <w:rFonts w:ascii="Arial" w:eastAsia="Times New Roman" w:hAnsi="Arial" w:cs="Arial"/>
          <w:b/>
          <w:bCs/>
          <w:color w:val="000000" w:themeColor="text1"/>
          <w:spacing w:val="-3"/>
          <w:sz w:val="20"/>
          <w:szCs w:val="20"/>
        </w:rPr>
        <w:tab/>
        <w:t>Upravljanje kapitalom</w:t>
      </w:r>
    </w:p>
    <w:p w14:paraId="373D399A" w14:textId="77777777" w:rsidR="0095347D" w:rsidRPr="0095347D" w:rsidRDefault="0095347D" w:rsidP="0095347D">
      <w:pPr>
        <w:keepNext/>
        <w:tabs>
          <w:tab w:val="right" w:pos="9781"/>
        </w:tabs>
        <w:suppressAutoHyphens/>
        <w:autoSpaceDN w:val="0"/>
        <w:jc w:val="both"/>
        <w:outlineLvl w:val="0"/>
        <w:rPr>
          <w:rFonts w:ascii="Arial" w:eastAsia="Times New Roman" w:hAnsi="Arial" w:cs="Arial"/>
          <w:color w:val="000000" w:themeColor="text1"/>
          <w:sz w:val="18"/>
          <w:szCs w:val="18"/>
        </w:rPr>
      </w:pPr>
    </w:p>
    <w:p w14:paraId="42D796DF" w14:textId="77777777" w:rsidR="0095347D" w:rsidRPr="0095347D" w:rsidRDefault="0095347D" w:rsidP="0095347D">
      <w:pPr>
        <w:keepNext/>
        <w:tabs>
          <w:tab w:val="right" w:pos="9781"/>
        </w:tabs>
        <w:suppressAutoHyphens/>
        <w:autoSpaceDN w:val="0"/>
        <w:jc w:val="both"/>
        <w:outlineLvl w:val="0"/>
        <w:rPr>
          <w:rFonts w:ascii="Arial" w:eastAsia="Times New Roman" w:hAnsi="Arial" w:cs="Arial"/>
          <w:color w:val="000000" w:themeColor="text1"/>
          <w:sz w:val="20"/>
          <w:szCs w:val="20"/>
        </w:rPr>
      </w:pPr>
      <w:r w:rsidRPr="0095347D">
        <w:rPr>
          <w:rFonts w:ascii="Arial" w:eastAsia="Times New Roman" w:hAnsi="Arial" w:cs="Arial"/>
          <w:color w:val="000000" w:themeColor="text1"/>
          <w:sz w:val="20"/>
          <w:szCs w:val="20"/>
        </w:rPr>
        <w:t>Osnovni ciljevi Banke u upravljanju kapitalom su osiguravanje pretpostavki neograničenosti poslovanja („going-concern“) i poštivanja regulatornih i ugovornih zahtjeva od strane vjerovnika o održavanju adekvatnosti kapitala.</w:t>
      </w:r>
    </w:p>
    <w:p w14:paraId="63C3BF41" w14:textId="77777777" w:rsidR="0095347D" w:rsidRPr="0095347D" w:rsidRDefault="0095347D" w:rsidP="0095347D">
      <w:pPr>
        <w:keepNext/>
        <w:tabs>
          <w:tab w:val="right" w:pos="9781"/>
        </w:tabs>
        <w:suppressAutoHyphens/>
        <w:autoSpaceDN w:val="0"/>
        <w:jc w:val="both"/>
        <w:outlineLvl w:val="0"/>
        <w:rPr>
          <w:rFonts w:ascii="Arial" w:eastAsia="Times New Roman" w:hAnsi="Arial" w:cs="Arial"/>
          <w:color w:val="000000" w:themeColor="text1"/>
          <w:sz w:val="18"/>
          <w:szCs w:val="18"/>
        </w:rPr>
      </w:pPr>
    </w:p>
    <w:p w14:paraId="678CFD13" w14:textId="77777777" w:rsidR="0095347D" w:rsidRPr="0095347D" w:rsidRDefault="0095347D" w:rsidP="0095347D">
      <w:pPr>
        <w:keepNext/>
        <w:tabs>
          <w:tab w:val="right" w:pos="9781"/>
        </w:tabs>
        <w:suppressAutoHyphens/>
        <w:autoSpaceDN w:val="0"/>
        <w:jc w:val="both"/>
        <w:outlineLvl w:val="0"/>
        <w:rPr>
          <w:rFonts w:ascii="Arial" w:eastAsia="Times New Roman" w:hAnsi="Arial" w:cs="Arial"/>
          <w:color w:val="000000" w:themeColor="text1"/>
          <w:sz w:val="20"/>
          <w:szCs w:val="20"/>
        </w:rPr>
      </w:pPr>
      <w:r w:rsidRPr="0095347D">
        <w:rPr>
          <w:rFonts w:ascii="Arial" w:eastAsia="Times New Roman" w:hAnsi="Arial" w:cs="Arial"/>
          <w:color w:val="000000" w:themeColor="text1"/>
          <w:sz w:val="20"/>
          <w:szCs w:val="20"/>
        </w:rPr>
        <w:t>Grupa je odredila regulatorni kapital kao kategoriju kapitala kojom upravlja.</w:t>
      </w:r>
    </w:p>
    <w:p w14:paraId="26D5A14A" w14:textId="77777777" w:rsidR="0095347D" w:rsidRPr="0095347D" w:rsidRDefault="0095347D" w:rsidP="0095347D">
      <w:pPr>
        <w:keepNext/>
        <w:tabs>
          <w:tab w:val="right" w:pos="9781"/>
        </w:tabs>
        <w:suppressAutoHyphens/>
        <w:autoSpaceDN w:val="0"/>
        <w:jc w:val="both"/>
        <w:outlineLvl w:val="0"/>
        <w:rPr>
          <w:rFonts w:ascii="Arial" w:eastAsia="Times New Roman" w:hAnsi="Arial" w:cs="Arial"/>
          <w:color w:val="000000" w:themeColor="text1"/>
          <w:sz w:val="18"/>
          <w:szCs w:val="18"/>
        </w:rPr>
      </w:pPr>
    </w:p>
    <w:p w14:paraId="6C99501F" w14:textId="77777777" w:rsidR="0095347D" w:rsidRPr="0095347D" w:rsidRDefault="0095347D" w:rsidP="0095347D">
      <w:pPr>
        <w:keepNext/>
        <w:tabs>
          <w:tab w:val="right" w:pos="9781"/>
        </w:tabs>
        <w:suppressAutoHyphens/>
        <w:autoSpaceDN w:val="0"/>
        <w:jc w:val="both"/>
        <w:outlineLvl w:val="0"/>
        <w:rPr>
          <w:rFonts w:ascii="Arial" w:eastAsia="Times New Roman" w:hAnsi="Arial" w:cs="Arial"/>
          <w:color w:val="000000" w:themeColor="text1"/>
          <w:sz w:val="20"/>
          <w:szCs w:val="20"/>
        </w:rPr>
      </w:pPr>
      <w:r w:rsidRPr="0095347D">
        <w:rPr>
          <w:rFonts w:ascii="Arial" w:eastAsia="Times New Roman" w:hAnsi="Arial" w:cs="Arial"/>
          <w:color w:val="000000" w:themeColor="text1"/>
          <w:sz w:val="20"/>
          <w:szCs w:val="20"/>
        </w:rPr>
        <w:t xml:space="preserve">Regulatorni kapital je iznos izvora sredstava koji se održava radi sigurnog i stabilnog poslovanja, odnosno radi ispunjenja obveza prema vjerovnicima. </w:t>
      </w:r>
    </w:p>
    <w:p w14:paraId="50A3B6F6" w14:textId="77777777" w:rsidR="0095347D" w:rsidRPr="0095347D" w:rsidRDefault="0095347D" w:rsidP="0095347D">
      <w:pPr>
        <w:keepNext/>
        <w:tabs>
          <w:tab w:val="right" w:pos="9781"/>
        </w:tabs>
        <w:suppressAutoHyphens/>
        <w:autoSpaceDN w:val="0"/>
        <w:jc w:val="both"/>
        <w:outlineLvl w:val="0"/>
        <w:rPr>
          <w:rFonts w:ascii="Arial" w:eastAsia="Times New Roman" w:hAnsi="Arial" w:cs="Arial"/>
          <w:color w:val="000000" w:themeColor="text1"/>
          <w:sz w:val="18"/>
          <w:szCs w:val="18"/>
        </w:rPr>
      </w:pPr>
    </w:p>
    <w:p w14:paraId="33AEE564" w14:textId="77777777" w:rsidR="0095347D" w:rsidRPr="0095347D" w:rsidRDefault="0095347D" w:rsidP="0095347D">
      <w:pPr>
        <w:keepNext/>
        <w:tabs>
          <w:tab w:val="right" w:pos="9781"/>
        </w:tabs>
        <w:suppressAutoHyphens/>
        <w:autoSpaceDN w:val="0"/>
        <w:jc w:val="both"/>
        <w:outlineLvl w:val="0"/>
        <w:rPr>
          <w:rFonts w:ascii="Arial" w:eastAsia="Times New Roman" w:hAnsi="Arial" w:cs="Arial"/>
          <w:color w:val="000000" w:themeColor="text1"/>
          <w:sz w:val="20"/>
          <w:szCs w:val="20"/>
        </w:rPr>
      </w:pPr>
      <w:r w:rsidRPr="0095347D">
        <w:rPr>
          <w:rFonts w:ascii="Arial" w:eastAsia="Times New Roman" w:hAnsi="Arial" w:cs="Arial"/>
          <w:color w:val="000000" w:themeColor="text1"/>
          <w:sz w:val="20"/>
          <w:szCs w:val="20"/>
        </w:rPr>
        <w:t xml:space="preserve">Regulatorni kapital HBOR-a je zbroj osnovnog kapitala i dopunskog kapitala. </w:t>
      </w:r>
    </w:p>
    <w:p w14:paraId="57A307FE" w14:textId="77777777" w:rsidR="0095347D" w:rsidRPr="0095347D" w:rsidRDefault="0095347D" w:rsidP="0095347D">
      <w:pPr>
        <w:keepNext/>
        <w:tabs>
          <w:tab w:val="right" w:pos="9781"/>
        </w:tabs>
        <w:suppressAutoHyphens/>
        <w:autoSpaceDN w:val="0"/>
        <w:jc w:val="both"/>
        <w:outlineLvl w:val="0"/>
        <w:rPr>
          <w:rFonts w:ascii="Arial" w:eastAsia="Times New Roman" w:hAnsi="Arial" w:cs="Arial"/>
          <w:color w:val="000000" w:themeColor="text1"/>
          <w:sz w:val="18"/>
          <w:szCs w:val="18"/>
        </w:rPr>
      </w:pPr>
    </w:p>
    <w:p w14:paraId="24766CDF" w14:textId="77777777" w:rsidR="0095347D" w:rsidRPr="0095347D" w:rsidRDefault="0095347D" w:rsidP="0095347D">
      <w:pPr>
        <w:keepNext/>
        <w:tabs>
          <w:tab w:val="right" w:pos="9781"/>
        </w:tabs>
        <w:suppressAutoHyphens/>
        <w:autoSpaceDN w:val="0"/>
        <w:jc w:val="both"/>
        <w:outlineLvl w:val="0"/>
        <w:rPr>
          <w:rFonts w:ascii="Arial" w:eastAsia="Times New Roman" w:hAnsi="Arial" w:cs="Arial"/>
          <w:color w:val="000000" w:themeColor="text1"/>
          <w:sz w:val="20"/>
          <w:szCs w:val="20"/>
        </w:rPr>
      </w:pPr>
      <w:r w:rsidRPr="0095347D">
        <w:rPr>
          <w:rFonts w:ascii="Arial" w:eastAsia="Times New Roman" w:hAnsi="Arial" w:cs="Arial"/>
          <w:color w:val="000000" w:themeColor="text1"/>
          <w:sz w:val="20"/>
          <w:szCs w:val="20"/>
        </w:rPr>
        <w:t>HBOR osigurava da u svakom trenutku ima iznos kapitala adekvatan vrstama, opsegu i složenosti poslova koje obavlja i rizicima kojima je izložen ili bi mogao biti izložen u svom poslovanju.</w:t>
      </w:r>
    </w:p>
    <w:p w14:paraId="6E3B796E" w14:textId="77777777" w:rsidR="0095347D" w:rsidRPr="0095347D" w:rsidRDefault="0095347D" w:rsidP="0095347D">
      <w:pPr>
        <w:keepNext/>
        <w:tabs>
          <w:tab w:val="right" w:pos="9781"/>
        </w:tabs>
        <w:suppressAutoHyphens/>
        <w:autoSpaceDN w:val="0"/>
        <w:jc w:val="both"/>
        <w:outlineLvl w:val="0"/>
        <w:rPr>
          <w:rFonts w:ascii="Arial" w:eastAsia="Times New Roman" w:hAnsi="Arial" w:cs="Arial"/>
          <w:color w:val="000000" w:themeColor="text1"/>
          <w:sz w:val="20"/>
          <w:szCs w:val="20"/>
        </w:rPr>
      </w:pPr>
      <w:r w:rsidRPr="0095347D">
        <w:rPr>
          <w:rFonts w:ascii="Arial" w:eastAsia="Times New Roman" w:hAnsi="Arial" w:cs="Arial"/>
          <w:color w:val="000000" w:themeColor="text1"/>
          <w:sz w:val="20"/>
          <w:szCs w:val="20"/>
        </w:rPr>
        <w:t xml:space="preserve">Stopa ukupnog kapitala HBOR-a izračunava se kao odnos između regulatornog kapitala i ukupnog: </w:t>
      </w:r>
    </w:p>
    <w:p w14:paraId="7AAE69AB" w14:textId="77777777" w:rsidR="0095347D" w:rsidRPr="0095347D" w:rsidRDefault="0095347D" w:rsidP="0095347D">
      <w:pPr>
        <w:keepNext/>
        <w:numPr>
          <w:ilvl w:val="0"/>
          <w:numId w:val="33"/>
        </w:numPr>
        <w:tabs>
          <w:tab w:val="right" w:pos="9781"/>
        </w:tabs>
        <w:suppressAutoHyphens/>
        <w:autoSpaceDN w:val="0"/>
        <w:ind w:left="714" w:hanging="357"/>
        <w:jc w:val="both"/>
        <w:rPr>
          <w:rFonts w:ascii="Arial" w:eastAsia="Times New Roman" w:hAnsi="Arial" w:cs="Arial"/>
          <w:color w:val="000000" w:themeColor="text1"/>
          <w:sz w:val="20"/>
          <w:szCs w:val="20"/>
        </w:rPr>
      </w:pPr>
      <w:r w:rsidRPr="0095347D">
        <w:rPr>
          <w:rFonts w:ascii="Arial" w:eastAsia="Times New Roman" w:hAnsi="Arial" w:cs="Arial"/>
          <w:color w:val="000000" w:themeColor="text1"/>
          <w:sz w:val="20"/>
          <w:szCs w:val="20"/>
        </w:rPr>
        <w:t xml:space="preserve">1. iznosa izloženosti ponderiranog kreditnim rizikom (propisan Metodologijom za izračun stope ukupnog kapitala HBOR-a) i </w:t>
      </w:r>
    </w:p>
    <w:p w14:paraId="1018B6F1" w14:textId="77777777" w:rsidR="0095347D" w:rsidRPr="0095347D" w:rsidRDefault="0095347D" w:rsidP="0095347D">
      <w:pPr>
        <w:keepNext/>
        <w:numPr>
          <w:ilvl w:val="0"/>
          <w:numId w:val="33"/>
        </w:numPr>
        <w:tabs>
          <w:tab w:val="right" w:pos="9781"/>
        </w:tabs>
        <w:suppressAutoHyphens/>
        <w:autoSpaceDN w:val="0"/>
        <w:ind w:left="714" w:hanging="357"/>
        <w:jc w:val="both"/>
        <w:rPr>
          <w:rFonts w:ascii="Arial" w:eastAsia="Times New Roman" w:hAnsi="Arial" w:cs="Arial"/>
          <w:color w:val="000000" w:themeColor="text1"/>
          <w:sz w:val="20"/>
          <w:szCs w:val="20"/>
        </w:rPr>
      </w:pPr>
      <w:r w:rsidRPr="0095347D">
        <w:rPr>
          <w:rFonts w:ascii="Arial" w:eastAsia="Times New Roman" w:hAnsi="Arial" w:cs="Arial"/>
          <w:color w:val="000000" w:themeColor="text1"/>
          <w:sz w:val="20"/>
          <w:szCs w:val="20"/>
        </w:rPr>
        <w:t xml:space="preserve">2. iznosa inicijalnih kapitalnih zahtjeva za tržišne rizike, rizik namire i operativni rizik (propisani Metodologijom za izračun stope ukupnog kapitala HBOR-a), pomnoženih s 12,5. </w:t>
      </w:r>
    </w:p>
    <w:p w14:paraId="1F2EEBBB" w14:textId="77777777" w:rsidR="0095347D" w:rsidRPr="0095347D" w:rsidRDefault="0095347D" w:rsidP="0095347D">
      <w:pPr>
        <w:keepNext/>
        <w:tabs>
          <w:tab w:val="right" w:pos="9781"/>
        </w:tabs>
        <w:suppressAutoHyphens/>
        <w:autoSpaceDN w:val="0"/>
        <w:jc w:val="both"/>
        <w:outlineLvl w:val="0"/>
        <w:rPr>
          <w:rFonts w:ascii="Arial" w:eastAsia="Times New Roman" w:hAnsi="Arial" w:cs="Arial"/>
          <w:color w:val="000000" w:themeColor="text1"/>
          <w:sz w:val="18"/>
          <w:szCs w:val="18"/>
        </w:rPr>
      </w:pPr>
    </w:p>
    <w:p w14:paraId="661636E7" w14:textId="77777777" w:rsidR="0095347D" w:rsidRPr="0095347D" w:rsidRDefault="0095347D" w:rsidP="0095347D">
      <w:pPr>
        <w:keepNext/>
        <w:tabs>
          <w:tab w:val="right" w:pos="9781"/>
        </w:tabs>
        <w:suppressAutoHyphens/>
        <w:autoSpaceDN w:val="0"/>
        <w:jc w:val="both"/>
        <w:outlineLvl w:val="0"/>
        <w:rPr>
          <w:rFonts w:ascii="Arial" w:eastAsia="Times New Roman" w:hAnsi="Arial" w:cs="Arial"/>
          <w:color w:val="000000" w:themeColor="text1"/>
          <w:sz w:val="20"/>
          <w:szCs w:val="20"/>
        </w:rPr>
      </w:pPr>
      <w:r w:rsidRPr="0095347D">
        <w:rPr>
          <w:rFonts w:ascii="Arial" w:eastAsia="Times New Roman" w:hAnsi="Arial" w:cs="Arial"/>
          <w:color w:val="000000" w:themeColor="text1"/>
          <w:sz w:val="20"/>
          <w:szCs w:val="20"/>
        </w:rPr>
        <w:t xml:space="preserve">Stopa ukupnog kapitala izračunava se temeljem interne metodologije utemeljene na regulatornom okviru u skladu s pristupom izračuna Basel II, na primjeni određenih odredbi važeće bankovne regulative ovisno o mogućnostima sustava HBOR-a i uz daljnje strateško usmjerenje na njezin razvoj u skladu s važećom bankovnom regulativom, primjenjivom na HBOR kao razvojnu i izvoznu banku Republike Hrvatske. </w:t>
      </w:r>
    </w:p>
    <w:p w14:paraId="7D45312D" w14:textId="77777777" w:rsidR="0095347D" w:rsidRPr="0095347D" w:rsidRDefault="0095347D" w:rsidP="0095347D">
      <w:pPr>
        <w:keepNext/>
        <w:tabs>
          <w:tab w:val="right" w:pos="9781"/>
        </w:tabs>
        <w:suppressAutoHyphens/>
        <w:autoSpaceDN w:val="0"/>
        <w:jc w:val="both"/>
        <w:outlineLvl w:val="0"/>
        <w:rPr>
          <w:rFonts w:ascii="Arial" w:eastAsia="Times New Roman" w:hAnsi="Arial" w:cs="Arial"/>
          <w:color w:val="000000" w:themeColor="text1"/>
          <w:sz w:val="18"/>
          <w:szCs w:val="18"/>
        </w:rPr>
      </w:pPr>
    </w:p>
    <w:p w14:paraId="627C95D0" w14:textId="77777777" w:rsidR="0095347D" w:rsidRPr="0095347D" w:rsidRDefault="0095347D" w:rsidP="0095347D">
      <w:pPr>
        <w:keepNext/>
        <w:tabs>
          <w:tab w:val="right" w:pos="9781"/>
        </w:tabs>
        <w:suppressAutoHyphens/>
        <w:autoSpaceDN w:val="0"/>
        <w:jc w:val="both"/>
        <w:outlineLvl w:val="0"/>
        <w:rPr>
          <w:rFonts w:ascii="Arial" w:eastAsia="Times New Roman" w:hAnsi="Arial" w:cs="Arial"/>
          <w:color w:val="000000" w:themeColor="text1"/>
          <w:sz w:val="20"/>
          <w:szCs w:val="20"/>
        </w:rPr>
      </w:pPr>
      <w:r w:rsidRPr="0095347D">
        <w:rPr>
          <w:rFonts w:ascii="Arial" w:eastAsia="Times New Roman" w:hAnsi="Arial" w:cs="Arial"/>
          <w:color w:val="000000" w:themeColor="text1"/>
          <w:sz w:val="20"/>
          <w:szCs w:val="20"/>
        </w:rPr>
        <w:t xml:space="preserve">Sklonost preuzimanju rizika (apetit za rizik) jest razina i vrste rizika koje je HBOR spreman preuzeti kako bi ostvario ciljeve iz svoje strategije poslovanja, a uvijek se utvrđuje unutar definirane sposobnosti podnošenja rizika, koja predstavlja najveću razinu rizika koju HBOR može preuzeti s obzirom na svoju kapitalnu osnovu, sposobnost upravljanja rizicima i kontrole te regulatorna ograničenja ako su propisana i primjenjiva na HBOR. </w:t>
      </w:r>
    </w:p>
    <w:p w14:paraId="608C402D" w14:textId="77777777" w:rsidR="0095347D" w:rsidRPr="0095347D" w:rsidRDefault="0095347D" w:rsidP="0095347D">
      <w:pPr>
        <w:keepNext/>
        <w:tabs>
          <w:tab w:val="right" w:pos="9781"/>
        </w:tabs>
        <w:suppressAutoHyphens/>
        <w:autoSpaceDN w:val="0"/>
        <w:jc w:val="both"/>
        <w:outlineLvl w:val="0"/>
        <w:rPr>
          <w:rFonts w:ascii="Arial" w:eastAsia="Times New Roman" w:hAnsi="Arial" w:cs="Arial"/>
          <w:color w:val="000000" w:themeColor="text1"/>
          <w:sz w:val="18"/>
          <w:szCs w:val="18"/>
        </w:rPr>
      </w:pPr>
    </w:p>
    <w:p w14:paraId="7F86E299" w14:textId="77777777" w:rsidR="0095347D" w:rsidRPr="0095347D" w:rsidRDefault="0095347D" w:rsidP="0095347D">
      <w:pPr>
        <w:keepNext/>
        <w:tabs>
          <w:tab w:val="right" w:pos="9781"/>
        </w:tabs>
        <w:suppressAutoHyphens/>
        <w:autoSpaceDN w:val="0"/>
        <w:jc w:val="both"/>
        <w:outlineLvl w:val="0"/>
        <w:rPr>
          <w:rFonts w:ascii="Arial" w:eastAsia="Times New Roman" w:hAnsi="Arial" w:cs="Arial"/>
          <w:color w:val="000000" w:themeColor="text1"/>
          <w:sz w:val="20"/>
          <w:szCs w:val="20"/>
        </w:rPr>
      </w:pPr>
      <w:r w:rsidRPr="0095347D">
        <w:rPr>
          <w:rFonts w:ascii="Arial" w:eastAsia="Times New Roman" w:hAnsi="Arial" w:cs="Arial"/>
          <w:color w:val="000000" w:themeColor="text1"/>
          <w:sz w:val="20"/>
          <w:szCs w:val="20"/>
        </w:rPr>
        <w:t xml:space="preserve">U okviru definiranja sklonosti preuzimanju rizika na strateškoj razini utvrđena je minimalno prihvatljiva stopa ukupnog kapitala u </w:t>
      </w:r>
      <w:r w:rsidRPr="00A85958">
        <w:rPr>
          <w:rFonts w:ascii="Arial" w:eastAsia="Times New Roman" w:hAnsi="Arial" w:cs="Arial"/>
          <w:color w:val="000000" w:themeColor="text1"/>
          <w:sz w:val="20"/>
          <w:szCs w:val="20"/>
        </w:rPr>
        <w:t>visini 20</w:t>
      </w:r>
      <w:r w:rsidRPr="0095347D">
        <w:rPr>
          <w:rFonts w:ascii="Arial" w:eastAsia="Times New Roman" w:hAnsi="Arial" w:cs="Arial"/>
          <w:color w:val="000000" w:themeColor="text1"/>
          <w:sz w:val="20"/>
          <w:szCs w:val="20"/>
        </w:rPr>
        <w:t>%.</w:t>
      </w:r>
    </w:p>
    <w:p w14:paraId="74B00921" w14:textId="77777777" w:rsidR="0095347D" w:rsidRPr="0095347D" w:rsidRDefault="0095347D" w:rsidP="0095347D">
      <w:pPr>
        <w:keepNext/>
        <w:tabs>
          <w:tab w:val="right" w:pos="9781"/>
        </w:tabs>
        <w:suppressAutoHyphens/>
        <w:autoSpaceDN w:val="0"/>
        <w:jc w:val="both"/>
        <w:outlineLvl w:val="0"/>
        <w:rPr>
          <w:rFonts w:ascii="Arial" w:eastAsia="Times New Roman" w:hAnsi="Arial" w:cs="Arial"/>
          <w:color w:val="000000" w:themeColor="text1"/>
          <w:sz w:val="18"/>
          <w:szCs w:val="18"/>
        </w:rPr>
      </w:pPr>
    </w:p>
    <w:p w14:paraId="205B3971" w14:textId="0DF99177" w:rsidR="0095347D" w:rsidRPr="0095347D" w:rsidRDefault="0095347D" w:rsidP="0095347D">
      <w:pPr>
        <w:keepNext/>
        <w:tabs>
          <w:tab w:val="right" w:pos="9781"/>
        </w:tabs>
        <w:suppressAutoHyphens/>
        <w:autoSpaceDN w:val="0"/>
        <w:jc w:val="both"/>
        <w:outlineLvl w:val="0"/>
        <w:rPr>
          <w:rFonts w:ascii="Arial" w:eastAsia="Times New Roman" w:hAnsi="Arial" w:cs="Arial"/>
          <w:color w:val="000000" w:themeColor="text1"/>
          <w:sz w:val="20"/>
          <w:szCs w:val="20"/>
        </w:rPr>
      </w:pPr>
      <w:r w:rsidRPr="0095347D">
        <w:rPr>
          <w:rFonts w:ascii="Arial" w:eastAsia="Times New Roman" w:hAnsi="Arial" w:cs="Arial"/>
          <w:color w:val="000000" w:themeColor="text1"/>
          <w:sz w:val="20"/>
          <w:szCs w:val="20"/>
        </w:rPr>
        <w:t xml:space="preserve">U nastavku se daje pregled stope adekvatnosti kapitala na dane </w:t>
      </w:r>
      <w:r w:rsidR="00FE5E16" w:rsidRPr="00FE5E16">
        <w:rPr>
          <w:rFonts w:ascii="Arial" w:eastAsia="Times New Roman" w:hAnsi="Arial" w:cs="Arial"/>
          <w:color w:val="000000" w:themeColor="text1"/>
          <w:sz w:val="20"/>
          <w:szCs w:val="20"/>
        </w:rPr>
        <w:t>30. rujna 202</w:t>
      </w:r>
      <w:r w:rsidR="00FF2D73">
        <w:rPr>
          <w:rFonts w:ascii="Arial" w:eastAsia="Times New Roman" w:hAnsi="Arial" w:cs="Arial"/>
          <w:color w:val="000000" w:themeColor="text1"/>
          <w:sz w:val="20"/>
          <w:szCs w:val="20"/>
        </w:rPr>
        <w:t>4</w:t>
      </w:r>
      <w:r w:rsidR="00FE5E16" w:rsidRPr="00FE5E16">
        <w:rPr>
          <w:rFonts w:ascii="Arial" w:eastAsia="Times New Roman" w:hAnsi="Arial" w:cs="Arial"/>
          <w:color w:val="000000" w:themeColor="text1"/>
          <w:sz w:val="20"/>
          <w:szCs w:val="20"/>
        </w:rPr>
        <w:t>.</w:t>
      </w:r>
      <w:r w:rsidR="00FE5E16">
        <w:rPr>
          <w:rFonts w:ascii="Arial" w:eastAsia="Times New Roman" w:hAnsi="Arial" w:cs="Arial"/>
          <w:color w:val="000000" w:themeColor="text1"/>
          <w:sz w:val="20"/>
          <w:szCs w:val="20"/>
        </w:rPr>
        <w:t xml:space="preserve"> </w:t>
      </w:r>
      <w:r w:rsidRPr="0095347D">
        <w:rPr>
          <w:rFonts w:ascii="Arial" w:eastAsia="Times New Roman" w:hAnsi="Arial" w:cs="Arial"/>
          <w:color w:val="000000" w:themeColor="text1"/>
          <w:sz w:val="20"/>
          <w:szCs w:val="20"/>
        </w:rPr>
        <w:t>i 31. prosinca 202</w:t>
      </w:r>
      <w:r w:rsidR="00FF2D73">
        <w:rPr>
          <w:rFonts w:ascii="Arial" w:eastAsia="Times New Roman" w:hAnsi="Arial" w:cs="Arial"/>
          <w:color w:val="000000" w:themeColor="text1"/>
          <w:sz w:val="20"/>
          <w:szCs w:val="20"/>
        </w:rPr>
        <w:t>3</w:t>
      </w:r>
      <w:r w:rsidRPr="0095347D">
        <w:rPr>
          <w:rFonts w:ascii="Arial" w:eastAsia="Times New Roman" w:hAnsi="Arial" w:cs="Arial"/>
          <w:color w:val="000000" w:themeColor="text1"/>
          <w:sz w:val="20"/>
          <w:szCs w:val="20"/>
        </w:rPr>
        <w:t>.</w:t>
      </w:r>
    </w:p>
    <w:p w14:paraId="66B760AA" w14:textId="77777777" w:rsidR="0095347D" w:rsidRPr="0095347D" w:rsidRDefault="0095347D" w:rsidP="0095347D">
      <w:pPr>
        <w:keepNext/>
        <w:tabs>
          <w:tab w:val="right" w:pos="9781"/>
        </w:tabs>
        <w:suppressAutoHyphens/>
        <w:autoSpaceDN w:val="0"/>
        <w:jc w:val="both"/>
        <w:outlineLvl w:val="0"/>
        <w:rPr>
          <w:rFonts w:ascii="Arial" w:eastAsia="Times New Roman" w:hAnsi="Arial" w:cs="Arial"/>
          <w:color w:val="000000" w:themeColor="text1"/>
          <w:sz w:val="18"/>
          <w:szCs w:val="18"/>
        </w:rPr>
      </w:pPr>
    </w:p>
    <w:tbl>
      <w:tblPr>
        <w:tblW w:w="5228" w:type="pct"/>
        <w:jc w:val="center"/>
        <w:tblLayout w:type="fixed"/>
        <w:tblLook w:val="01E0" w:firstRow="1" w:lastRow="1" w:firstColumn="1" w:lastColumn="1" w:noHBand="0" w:noVBand="0"/>
      </w:tblPr>
      <w:tblGrid>
        <w:gridCol w:w="4127"/>
        <w:gridCol w:w="1340"/>
        <w:gridCol w:w="1339"/>
        <w:gridCol w:w="1339"/>
        <w:gridCol w:w="1341"/>
      </w:tblGrid>
      <w:tr w:rsidR="0095347D" w:rsidRPr="0095347D" w14:paraId="5FDED745" w14:textId="77777777" w:rsidTr="0095347D">
        <w:trPr>
          <w:trHeight w:val="190"/>
          <w:jc w:val="center"/>
        </w:trPr>
        <w:tc>
          <w:tcPr>
            <w:tcW w:w="2175" w:type="pct"/>
          </w:tcPr>
          <w:p w14:paraId="240457F0" w14:textId="77777777" w:rsidR="0095347D" w:rsidRPr="0095347D" w:rsidRDefault="0095347D" w:rsidP="0095347D">
            <w:pPr>
              <w:tabs>
                <w:tab w:val="right" w:pos="9781"/>
              </w:tabs>
              <w:suppressAutoHyphens/>
              <w:autoSpaceDN w:val="0"/>
              <w:spacing w:line="220" w:lineRule="exact"/>
              <w:jc w:val="both"/>
              <w:outlineLvl w:val="0"/>
              <w:rPr>
                <w:rFonts w:ascii="Arial" w:eastAsia="Times New Roman" w:hAnsi="Arial" w:cs="Arial"/>
                <w:color w:val="000000" w:themeColor="text1"/>
                <w:sz w:val="18"/>
                <w:szCs w:val="18"/>
              </w:rPr>
            </w:pPr>
          </w:p>
        </w:tc>
        <w:tc>
          <w:tcPr>
            <w:tcW w:w="706" w:type="pct"/>
            <w:vAlign w:val="bottom"/>
          </w:tcPr>
          <w:p w14:paraId="55AE6788" w14:textId="77777777" w:rsidR="0095347D" w:rsidRPr="0095347D" w:rsidRDefault="0095347D" w:rsidP="0095347D">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p>
        </w:tc>
        <w:tc>
          <w:tcPr>
            <w:tcW w:w="706" w:type="pct"/>
            <w:vAlign w:val="bottom"/>
          </w:tcPr>
          <w:p w14:paraId="1EC6A1FA" w14:textId="77777777" w:rsidR="0095347D" w:rsidRPr="0095347D" w:rsidRDefault="0095347D" w:rsidP="0095347D">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1036" w:name="_Toc67331443"/>
            <w:r w:rsidRPr="0095347D">
              <w:rPr>
                <w:rFonts w:ascii="Arial" w:eastAsia="Times New Roman" w:hAnsi="Arial" w:cs="Arial"/>
                <w:b/>
                <w:color w:val="000000" w:themeColor="text1"/>
                <w:sz w:val="18"/>
                <w:szCs w:val="18"/>
              </w:rPr>
              <w:t>Grupa</w:t>
            </w:r>
            <w:bookmarkEnd w:id="1036"/>
          </w:p>
        </w:tc>
        <w:tc>
          <w:tcPr>
            <w:tcW w:w="706" w:type="pct"/>
            <w:vAlign w:val="bottom"/>
          </w:tcPr>
          <w:p w14:paraId="4540B7EE" w14:textId="77777777" w:rsidR="0095347D" w:rsidRPr="0095347D" w:rsidRDefault="0095347D" w:rsidP="0095347D">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p>
        </w:tc>
        <w:tc>
          <w:tcPr>
            <w:tcW w:w="707" w:type="pct"/>
          </w:tcPr>
          <w:p w14:paraId="5EDD0392" w14:textId="77777777" w:rsidR="0095347D" w:rsidRPr="0095347D" w:rsidRDefault="0095347D" w:rsidP="0095347D">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1037" w:name="_Toc67331444"/>
            <w:r w:rsidRPr="0095347D">
              <w:rPr>
                <w:rFonts w:ascii="Arial" w:eastAsia="Times New Roman" w:hAnsi="Arial" w:cs="Arial"/>
                <w:b/>
                <w:color w:val="000000" w:themeColor="text1"/>
                <w:sz w:val="18"/>
                <w:szCs w:val="18"/>
              </w:rPr>
              <w:t>Banka</w:t>
            </w:r>
            <w:bookmarkEnd w:id="1037"/>
          </w:p>
        </w:tc>
      </w:tr>
      <w:tr w:rsidR="0095347D" w:rsidRPr="0095347D" w14:paraId="45485EC6" w14:textId="77777777" w:rsidTr="0095347D">
        <w:trPr>
          <w:trHeight w:val="190"/>
          <w:jc w:val="center"/>
        </w:trPr>
        <w:tc>
          <w:tcPr>
            <w:tcW w:w="2175" w:type="pct"/>
          </w:tcPr>
          <w:p w14:paraId="02F56D1A" w14:textId="77777777" w:rsidR="0095347D" w:rsidRPr="0095347D" w:rsidRDefault="0095347D" w:rsidP="0095347D">
            <w:pPr>
              <w:tabs>
                <w:tab w:val="right" w:pos="9781"/>
              </w:tabs>
              <w:suppressAutoHyphens/>
              <w:autoSpaceDN w:val="0"/>
              <w:spacing w:line="220" w:lineRule="exact"/>
              <w:jc w:val="both"/>
              <w:outlineLvl w:val="0"/>
              <w:rPr>
                <w:rFonts w:ascii="Arial" w:eastAsia="Times New Roman" w:hAnsi="Arial" w:cs="Arial"/>
                <w:color w:val="000000" w:themeColor="text1"/>
                <w:sz w:val="18"/>
                <w:szCs w:val="18"/>
              </w:rPr>
            </w:pPr>
          </w:p>
        </w:tc>
        <w:tc>
          <w:tcPr>
            <w:tcW w:w="706" w:type="pct"/>
            <w:vAlign w:val="bottom"/>
          </w:tcPr>
          <w:p w14:paraId="1C673BAA" w14:textId="1B4614CD" w:rsidR="0095347D" w:rsidRPr="0095347D" w:rsidRDefault="00FE5E16" w:rsidP="0095347D">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FE5E16">
              <w:rPr>
                <w:rFonts w:ascii="Arial" w:eastAsia="Times New Roman" w:hAnsi="Arial" w:cs="Arial"/>
                <w:b/>
                <w:color w:val="000000" w:themeColor="text1"/>
                <w:sz w:val="18"/>
                <w:szCs w:val="18"/>
              </w:rPr>
              <w:t>30. rujna 202</w:t>
            </w:r>
            <w:r w:rsidR="00BB2425">
              <w:rPr>
                <w:rFonts w:ascii="Arial" w:eastAsia="Times New Roman" w:hAnsi="Arial" w:cs="Arial"/>
                <w:b/>
                <w:color w:val="000000" w:themeColor="text1"/>
                <w:sz w:val="18"/>
                <w:szCs w:val="18"/>
              </w:rPr>
              <w:t>4</w:t>
            </w:r>
            <w:r w:rsidRPr="00FE5E16">
              <w:rPr>
                <w:rFonts w:ascii="Arial" w:eastAsia="Times New Roman" w:hAnsi="Arial" w:cs="Arial"/>
                <w:b/>
                <w:color w:val="000000" w:themeColor="text1"/>
                <w:sz w:val="18"/>
                <w:szCs w:val="18"/>
              </w:rPr>
              <w:t>.</w:t>
            </w:r>
          </w:p>
        </w:tc>
        <w:tc>
          <w:tcPr>
            <w:tcW w:w="706" w:type="pct"/>
            <w:vAlign w:val="bottom"/>
          </w:tcPr>
          <w:p w14:paraId="3F68AB99" w14:textId="7ED0CCE0" w:rsidR="0095347D" w:rsidRPr="0095347D" w:rsidRDefault="0095347D" w:rsidP="0095347D">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1038" w:name="_Toc67331446"/>
            <w:r w:rsidRPr="0095347D">
              <w:rPr>
                <w:rFonts w:ascii="Arial" w:eastAsia="Times New Roman" w:hAnsi="Arial" w:cs="Arial"/>
                <w:b/>
                <w:color w:val="000000" w:themeColor="text1"/>
                <w:sz w:val="18"/>
                <w:szCs w:val="18"/>
              </w:rPr>
              <w:t>31. prosinca 202</w:t>
            </w:r>
            <w:r w:rsidR="00BB2425">
              <w:rPr>
                <w:rFonts w:ascii="Arial" w:eastAsia="Times New Roman" w:hAnsi="Arial" w:cs="Arial"/>
                <w:b/>
                <w:color w:val="000000" w:themeColor="text1"/>
                <w:sz w:val="18"/>
                <w:szCs w:val="18"/>
              </w:rPr>
              <w:t>3</w:t>
            </w:r>
            <w:r w:rsidRPr="0095347D">
              <w:rPr>
                <w:rFonts w:ascii="Arial" w:eastAsia="Times New Roman" w:hAnsi="Arial" w:cs="Arial"/>
                <w:b/>
                <w:color w:val="000000" w:themeColor="text1"/>
                <w:sz w:val="18"/>
                <w:szCs w:val="18"/>
              </w:rPr>
              <w:t>.</w:t>
            </w:r>
            <w:bookmarkEnd w:id="1038"/>
          </w:p>
        </w:tc>
        <w:tc>
          <w:tcPr>
            <w:tcW w:w="706" w:type="pct"/>
            <w:vAlign w:val="bottom"/>
          </w:tcPr>
          <w:p w14:paraId="2D8BD7F6" w14:textId="52AC86AA" w:rsidR="0095347D" w:rsidRPr="0095347D" w:rsidRDefault="00FE5E16" w:rsidP="0095347D">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FE5E16">
              <w:rPr>
                <w:rFonts w:ascii="Arial" w:eastAsia="Times New Roman" w:hAnsi="Arial" w:cs="Arial"/>
                <w:b/>
                <w:color w:val="000000" w:themeColor="text1"/>
                <w:sz w:val="18"/>
                <w:szCs w:val="18"/>
              </w:rPr>
              <w:t>30. rujna 202</w:t>
            </w:r>
            <w:r w:rsidR="00BB2425">
              <w:rPr>
                <w:rFonts w:ascii="Arial" w:eastAsia="Times New Roman" w:hAnsi="Arial" w:cs="Arial"/>
                <w:b/>
                <w:color w:val="000000" w:themeColor="text1"/>
                <w:sz w:val="18"/>
                <w:szCs w:val="18"/>
              </w:rPr>
              <w:t>4</w:t>
            </w:r>
            <w:r w:rsidRPr="00FE5E16">
              <w:rPr>
                <w:rFonts w:ascii="Arial" w:eastAsia="Times New Roman" w:hAnsi="Arial" w:cs="Arial"/>
                <w:b/>
                <w:color w:val="000000" w:themeColor="text1"/>
                <w:sz w:val="18"/>
                <w:szCs w:val="18"/>
              </w:rPr>
              <w:t>.</w:t>
            </w:r>
          </w:p>
        </w:tc>
        <w:tc>
          <w:tcPr>
            <w:tcW w:w="707" w:type="pct"/>
            <w:vAlign w:val="bottom"/>
          </w:tcPr>
          <w:p w14:paraId="68E8C7DD" w14:textId="6CC1E55C" w:rsidR="0095347D" w:rsidRPr="0095347D" w:rsidRDefault="0095347D" w:rsidP="0095347D">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1039" w:name="_Toc67331448"/>
            <w:r w:rsidRPr="0095347D">
              <w:rPr>
                <w:rFonts w:ascii="Arial" w:eastAsia="Times New Roman" w:hAnsi="Arial" w:cs="Arial"/>
                <w:b/>
                <w:color w:val="000000" w:themeColor="text1"/>
                <w:sz w:val="18"/>
                <w:szCs w:val="18"/>
              </w:rPr>
              <w:t>31. prosinca 202</w:t>
            </w:r>
            <w:r w:rsidR="00BB2425">
              <w:rPr>
                <w:rFonts w:ascii="Arial" w:eastAsia="Times New Roman" w:hAnsi="Arial" w:cs="Arial"/>
                <w:b/>
                <w:color w:val="000000" w:themeColor="text1"/>
                <w:sz w:val="18"/>
                <w:szCs w:val="18"/>
              </w:rPr>
              <w:t>3</w:t>
            </w:r>
            <w:r w:rsidRPr="0095347D">
              <w:rPr>
                <w:rFonts w:ascii="Arial" w:eastAsia="Times New Roman" w:hAnsi="Arial" w:cs="Arial"/>
                <w:b/>
                <w:color w:val="000000" w:themeColor="text1"/>
                <w:sz w:val="18"/>
                <w:szCs w:val="18"/>
              </w:rPr>
              <w:t>.</w:t>
            </w:r>
            <w:bookmarkEnd w:id="1039"/>
          </w:p>
        </w:tc>
      </w:tr>
      <w:tr w:rsidR="0095347D" w:rsidRPr="0095347D" w14:paraId="6EF48F5D" w14:textId="77777777" w:rsidTr="0095347D">
        <w:trPr>
          <w:trHeight w:val="185"/>
          <w:jc w:val="center"/>
        </w:trPr>
        <w:tc>
          <w:tcPr>
            <w:tcW w:w="2175" w:type="pct"/>
          </w:tcPr>
          <w:p w14:paraId="0468A494" w14:textId="77777777" w:rsidR="0095347D" w:rsidRPr="0095347D" w:rsidRDefault="0095347D" w:rsidP="0095347D">
            <w:pPr>
              <w:tabs>
                <w:tab w:val="right" w:pos="1202"/>
                <w:tab w:val="right" w:pos="9781"/>
              </w:tabs>
              <w:suppressAutoHyphens/>
              <w:autoSpaceDN w:val="0"/>
              <w:spacing w:line="220" w:lineRule="exact"/>
              <w:outlineLvl w:val="0"/>
              <w:rPr>
                <w:rFonts w:ascii="Arial" w:eastAsia="Times New Roman" w:hAnsi="Arial" w:cs="Arial"/>
                <w:bCs/>
                <w:color w:val="000000" w:themeColor="text1"/>
                <w:sz w:val="18"/>
                <w:szCs w:val="18"/>
              </w:rPr>
            </w:pPr>
          </w:p>
        </w:tc>
        <w:tc>
          <w:tcPr>
            <w:tcW w:w="706" w:type="pct"/>
            <w:vAlign w:val="center"/>
          </w:tcPr>
          <w:p w14:paraId="3D7E82A7" w14:textId="24A17153" w:rsidR="0095347D" w:rsidRPr="0095347D" w:rsidRDefault="0095347D" w:rsidP="0095347D">
            <w:pPr>
              <w:tabs>
                <w:tab w:val="right" w:pos="1202"/>
              </w:tabs>
              <w:suppressAutoHyphens/>
              <w:autoSpaceDN w:val="0"/>
              <w:spacing w:line="220" w:lineRule="exact"/>
              <w:jc w:val="right"/>
              <w:outlineLvl w:val="0"/>
              <w:rPr>
                <w:rFonts w:ascii="Arial" w:eastAsia="Times New Roman" w:hAnsi="Arial" w:cs="Arial"/>
                <w:b/>
                <w:color w:val="000000" w:themeColor="text1"/>
                <w:sz w:val="18"/>
                <w:szCs w:val="18"/>
              </w:rPr>
            </w:pPr>
            <w:bookmarkStart w:id="1040" w:name="_Toc67331449"/>
            <w:r w:rsidRPr="0095347D">
              <w:rPr>
                <w:rFonts w:ascii="Arial" w:eastAsia="Times New Roman" w:hAnsi="Arial" w:cs="Arial"/>
                <w:b/>
                <w:color w:val="000000" w:themeColor="text1"/>
                <w:sz w:val="18"/>
                <w:szCs w:val="18"/>
              </w:rPr>
              <w:t xml:space="preserve">000 </w:t>
            </w:r>
            <w:r>
              <w:rPr>
                <w:rFonts w:ascii="Arial" w:eastAsia="Times New Roman" w:hAnsi="Arial" w:cs="Arial"/>
                <w:b/>
                <w:color w:val="000000" w:themeColor="text1"/>
                <w:sz w:val="18"/>
                <w:szCs w:val="18"/>
              </w:rPr>
              <w:t>eura</w:t>
            </w:r>
            <w:bookmarkEnd w:id="1040"/>
          </w:p>
        </w:tc>
        <w:tc>
          <w:tcPr>
            <w:tcW w:w="706" w:type="pct"/>
            <w:vAlign w:val="center"/>
          </w:tcPr>
          <w:p w14:paraId="3967260C" w14:textId="01B26D82" w:rsidR="0095347D" w:rsidRPr="0095347D" w:rsidRDefault="0095347D" w:rsidP="0095347D">
            <w:pPr>
              <w:tabs>
                <w:tab w:val="right" w:pos="1202"/>
              </w:tabs>
              <w:suppressAutoHyphens/>
              <w:autoSpaceDN w:val="0"/>
              <w:spacing w:line="220" w:lineRule="exact"/>
              <w:jc w:val="right"/>
              <w:outlineLvl w:val="0"/>
              <w:rPr>
                <w:rFonts w:ascii="Arial" w:eastAsia="Times New Roman" w:hAnsi="Arial" w:cs="Arial"/>
                <w:b/>
                <w:color w:val="000000" w:themeColor="text1"/>
                <w:sz w:val="18"/>
                <w:szCs w:val="18"/>
              </w:rPr>
            </w:pPr>
            <w:bookmarkStart w:id="1041" w:name="_Toc67331450"/>
            <w:r w:rsidRPr="0095347D">
              <w:rPr>
                <w:rFonts w:ascii="Arial" w:eastAsia="Times New Roman" w:hAnsi="Arial" w:cs="Arial"/>
                <w:b/>
                <w:color w:val="000000" w:themeColor="text1"/>
                <w:sz w:val="18"/>
                <w:szCs w:val="18"/>
              </w:rPr>
              <w:t xml:space="preserve">000 </w:t>
            </w:r>
            <w:r>
              <w:rPr>
                <w:rFonts w:ascii="Arial" w:eastAsia="Times New Roman" w:hAnsi="Arial" w:cs="Arial"/>
                <w:b/>
                <w:color w:val="000000" w:themeColor="text1"/>
                <w:sz w:val="18"/>
                <w:szCs w:val="18"/>
              </w:rPr>
              <w:t>eura</w:t>
            </w:r>
            <w:bookmarkEnd w:id="1041"/>
          </w:p>
        </w:tc>
        <w:tc>
          <w:tcPr>
            <w:tcW w:w="706" w:type="pct"/>
            <w:vAlign w:val="center"/>
          </w:tcPr>
          <w:p w14:paraId="452B6AFB" w14:textId="5B34A2FD" w:rsidR="0095347D" w:rsidRPr="0095347D" w:rsidRDefault="0095347D" w:rsidP="0095347D">
            <w:pPr>
              <w:keepNext/>
              <w:suppressAutoHyphens/>
              <w:autoSpaceDN w:val="0"/>
              <w:spacing w:line="220" w:lineRule="exact"/>
              <w:jc w:val="right"/>
              <w:outlineLvl w:val="0"/>
              <w:rPr>
                <w:rFonts w:ascii="Arial" w:eastAsia="Times New Roman" w:hAnsi="Arial" w:cs="Arial"/>
                <w:b/>
                <w:bCs/>
                <w:color w:val="000000" w:themeColor="text1"/>
                <w:sz w:val="18"/>
                <w:szCs w:val="18"/>
              </w:rPr>
            </w:pPr>
            <w:r w:rsidRPr="0095347D">
              <w:rPr>
                <w:rFonts w:ascii="Arial" w:eastAsia="Times New Roman" w:hAnsi="Arial" w:cs="Arial"/>
                <w:b/>
                <w:bCs/>
                <w:color w:val="000000" w:themeColor="text1"/>
                <w:sz w:val="18"/>
                <w:szCs w:val="18"/>
              </w:rPr>
              <w:t xml:space="preserve">000 </w:t>
            </w:r>
            <w:r>
              <w:rPr>
                <w:rFonts w:ascii="Arial" w:eastAsia="Times New Roman" w:hAnsi="Arial" w:cs="Arial"/>
                <w:b/>
                <w:bCs/>
                <w:color w:val="000000" w:themeColor="text1"/>
                <w:sz w:val="18"/>
                <w:szCs w:val="18"/>
              </w:rPr>
              <w:t>eura</w:t>
            </w:r>
          </w:p>
        </w:tc>
        <w:tc>
          <w:tcPr>
            <w:tcW w:w="707" w:type="pct"/>
            <w:vAlign w:val="center"/>
          </w:tcPr>
          <w:p w14:paraId="2DB40A1C" w14:textId="5D372C60" w:rsidR="0095347D" w:rsidRPr="0095347D" w:rsidRDefault="0095347D" w:rsidP="0095347D">
            <w:pPr>
              <w:keepNext/>
              <w:suppressAutoHyphens/>
              <w:autoSpaceDN w:val="0"/>
              <w:spacing w:line="220" w:lineRule="exact"/>
              <w:jc w:val="right"/>
              <w:outlineLvl w:val="0"/>
              <w:rPr>
                <w:rFonts w:ascii="Arial" w:eastAsia="Times New Roman" w:hAnsi="Arial" w:cs="Arial"/>
                <w:b/>
                <w:bCs/>
                <w:color w:val="000000" w:themeColor="text1"/>
                <w:sz w:val="18"/>
                <w:szCs w:val="18"/>
              </w:rPr>
            </w:pPr>
            <w:r w:rsidRPr="0095347D">
              <w:rPr>
                <w:rFonts w:ascii="Arial" w:eastAsia="Times New Roman" w:hAnsi="Arial" w:cs="Arial"/>
                <w:b/>
                <w:bCs/>
                <w:color w:val="000000" w:themeColor="text1"/>
                <w:sz w:val="18"/>
                <w:szCs w:val="18"/>
              </w:rPr>
              <w:t xml:space="preserve">000 </w:t>
            </w:r>
            <w:r>
              <w:rPr>
                <w:rFonts w:ascii="Arial" w:eastAsia="Times New Roman" w:hAnsi="Arial" w:cs="Arial"/>
                <w:b/>
                <w:bCs/>
                <w:color w:val="000000" w:themeColor="text1"/>
                <w:sz w:val="18"/>
                <w:szCs w:val="18"/>
              </w:rPr>
              <w:t>eura</w:t>
            </w:r>
          </w:p>
        </w:tc>
      </w:tr>
      <w:tr w:rsidR="0095347D" w:rsidRPr="0095347D" w14:paraId="7D262E9A" w14:textId="77777777" w:rsidTr="0095347D">
        <w:trPr>
          <w:trHeight w:val="185"/>
          <w:jc w:val="center"/>
        </w:trPr>
        <w:tc>
          <w:tcPr>
            <w:tcW w:w="2175" w:type="pct"/>
          </w:tcPr>
          <w:p w14:paraId="372CCFA8" w14:textId="77777777" w:rsidR="0095347D" w:rsidRPr="0095347D" w:rsidRDefault="0095347D" w:rsidP="0095347D">
            <w:pPr>
              <w:tabs>
                <w:tab w:val="right" w:pos="1202"/>
                <w:tab w:val="right" w:pos="9781"/>
              </w:tabs>
              <w:suppressAutoHyphens/>
              <w:autoSpaceDN w:val="0"/>
              <w:spacing w:line="220" w:lineRule="exact"/>
              <w:outlineLvl w:val="0"/>
              <w:rPr>
                <w:rFonts w:ascii="Arial" w:eastAsia="Times New Roman" w:hAnsi="Arial" w:cs="Arial"/>
                <w:bCs/>
                <w:color w:val="000000" w:themeColor="text1"/>
                <w:sz w:val="18"/>
                <w:szCs w:val="18"/>
              </w:rPr>
            </w:pPr>
          </w:p>
        </w:tc>
        <w:tc>
          <w:tcPr>
            <w:tcW w:w="706" w:type="pct"/>
            <w:vAlign w:val="center"/>
          </w:tcPr>
          <w:p w14:paraId="4D273706" w14:textId="77777777" w:rsidR="0095347D" w:rsidRPr="0095347D" w:rsidRDefault="0095347D" w:rsidP="0095347D">
            <w:pPr>
              <w:tabs>
                <w:tab w:val="right" w:pos="1202"/>
              </w:tabs>
              <w:suppressAutoHyphens/>
              <w:autoSpaceDN w:val="0"/>
              <w:spacing w:line="220" w:lineRule="exact"/>
              <w:jc w:val="right"/>
              <w:outlineLvl w:val="0"/>
              <w:rPr>
                <w:rFonts w:ascii="Arial" w:eastAsia="Times New Roman" w:hAnsi="Arial" w:cs="Arial"/>
                <w:b/>
                <w:color w:val="000000" w:themeColor="text1"/>
                <w:sz w:val="18"/>
                <w:szCs w:val="18"/>
              </w:rPr>
            </w:pPr>
          </w:p>
        </w:tc>
        <w:tc>
          <w:tcPr>
            <w:tcW w:w="706" w:type="pct"/>
            <w:vAlign w:val="center"/>
          </w:tcPr>
          <w:p w14:paraId="7476B698" w14:textId="77777777" w:rsidR="0095347D" w:rsidRPr="0095347D" w:rsidRDefault="0095347D" w:rsidP="0095347D">
            <w:pPr>
              <w:tabs>
                <w:tab w:val="right" w:pos="1202"/>
              </w:tabs>
              <w:suppressAutoHyphens/>
              <w:autoSpaceDN w:val="0"/>
              <w:spacing w:line="220" w:lineRule="exact"/>
              <w:jc w:val="right"/>
              <w:outlineLvl w:val="0"/>
              <w:rPr>
                <w:rFonts w:ascii="Arial" w:eastAsia="Times New Roman" w:hAnsi="Arial" w:cs="Arial"/>
                <w:b/>
                <w:color w:val="000000" w:themeColor="text1"/>
                <w:sz w:val="18"/>
                <w:szCs w:val="18"/>
              </w:rPr>
            </w:pPr>
          </w:p>
        </w:tc>
        <w:tc>
          <w:tcPr>
            <w:tcW w:w="706" w:type="pct"/>
            <w:vAlign w:val="center"/>
          </w:tcPr>
          <w:p w14:paraId="0947E81F" w14:textId="77777777" w:rsidR="0095347D" w:rsidRPr="0095347D" w:rsidRDefault="0095347D" w:rsidP="0095347D">
            <w:pPr>
              <w:keepNext/>
              <w:suppressAutoHyphens/>
              <w:autoSpaceDN w:val="0"/>
              <w:spacing w:line="220" w:lineRule="exact"/>
              <w:jc w:val="right"/>
              <w:outlineLvl w:val="0"/>
              <w:rPr>
                <w:rFonts w:ascii="Arial" w:eastAsia="Times New Roman" w:hAnsi="Arial" w:cs="Arial"/>
                <w:b/>
                <w:bCs/>
                <w:color w:val="000000" w:themeColor="text1"/>
                <w:sz w:val="18"/>
                <w:szCs w:val="18"/>
              </w:rPr>
            </w:pPr>
          </w:p>
        </w:tc>
        <w:tc>
          <w:tcPr>
            <w:tcW w:w="707" w:type="pct"/>
            <w:vAlign w:val="center"/>
          </w:tcPr>
          <w:p w14:paraId="26A0AD54" w14:textId="77777777" w:rsidR="0095347D" w:rsidRPr="0095347D" w:rsidRDefault="0095347D" w:rsidP="0095347D">
            <w:pPr>
              <w:keepNext/>
              <w:suppressAutoHyphens/>
              <w:autoSpaceDN w:val="0"/>
              <w:spacing w:line="220" w:lineRule="exact"/>
              <w:jc w:val="right"/>
              <w:outlineLvl w:val="0"/>
              <w:rPr>
                <w:rFonts w:ascii="Arial" w:eastAsia="Times New Roman" w:hAnsi="Arial" w:cs="Arial"/>
                <w:b/>
                <w:bCs/>
                <w:color w:val="000000" w:themeColor="text1"/>
                <w:sz w:val="18"/>
                <w:szCs w:val="18"/>
              </w:rPr>
            </w:pPr>
          </w:p>
        </w:tc>
      </w:tr>
      <w:tr w:rsidR="00506E9A" w:rsidRPr="0095347D" w14:paraId="0322025D" w14:textId="77777777" w:rsidTr="007478FB">
        <w:trPr>
          <w:trHeight w:val="241"/>
          <w:jc w:val="center"/>
        </w:trPr>
        <w:tc>
          <w:tcPr>
            <w:tcW w:w="2175" w:type="pct"/>
            <w:vAlign w:val="bottom"/>
          </w:tcPr>
          <w:p w14:paraId="3CD6C7E6" w14:textId="77777777" w:rsidR="00506E9A" w:rsidRPr="0095347D" w:rsidRDefault="00506E9A" w:rsidP="00506E9A">
            <w:pPr>
              <w:tabs>
                <w:tab w:val="right" w:pos="1202"/>
                <w:tab w:val="right" w:pos="9781"/>
              </w:tabs>
              <w:suppressAutoHyphens/>
              <w:autoSpaceDN w:val="0"/>
              <w:spacing w:line="220" w:lineRule="exact"/>
              <w:outlineLvl w:val="0"/>
              <w:rPr>
                <w:rFonts w:ascii="Arial" w:eastAsia="Times New Roman" w:hAnsi="Arial" w:cs="Arial"/>
                <w:b/>
                <w:bCs/>
                <w:color w:val="000000" w:themeColor="text1"/>
                <w:sz w:val="18"/>
                <w:szCs w:val="18"/>
              </w:rPr>
            </w:pPr>
            <w:bookmarkStart w:id="1042" w:name="_Toc67331451"/>
            <w:r w:rsidRPr="0095347D">
              <w:rPr>
                <w:rFonts w:ascii="Arial" w:eastAsia="Times New Roman" w:hAnsi="Arial" w:cs="Arial"/>
                <w:b/>
                <w:bCs/>
                <w:color w:val="000000" w:themeColor="text1"/>
                <w:sz w:val="18"/>
                <w:szCs w:val="18"/>
              </w:rPr>
              <w:t>Ukupni regulatorni kapital</w:t>
            </w:r>
            <w:bookmarkEnd w:id="1042"/>
          </w:p>
        </w:tc>
        <w:tc>
          <w:tcPr>
            <w:tcW w:w="706" w:type="pct"/>
            <w:tcBorders>
              <w:top w:val="nil"/>
              <w:left w:val="nil"/>
              <w:bottom w:val="nil"/>
              <w:right w:val="nil"/>
            </w:tcBorders>
            <w:shd w:val="clear" w:color="auto" w:fill="auto"/>
            <w:vAlign w:val="bottom"/>
          </w:tcPr>
          <w:p w14:paraId="16BFA96F" w14:textId="36E7AF53" w:rsidR="00506E9A" w:rsidRPr="000D4693" w:rsidRDefault="00FC6361" w:rsidP="00506E9A">
            <w:pPr>
              <w:tabs>
                <w:tab w:val="right" w:pos="1202"/>
              </w:tabs>
              <w:suppressAutoHyphens/>
              <w:autoSpaceDN w:val="0"/>
              <w:spacing w:line="301" w:lineRule="exact"/>
              <w:jc w:val="right"/>
              <w:outlineLvl w:val="0"/>
              <w:rPr>
                <w:rFonts w:ascii="Arial" w:hAnsi="Arial" w:cs="Arial"/>
                <w:b/>
                <w:bCs/>
                <w:sz w:val="18"/>
                <w:szCs w:val="18"/>
              </w:rPr>
            </w:pPr>
            <w:r>
              <w:rPr>
                <w:rFonts w:ascii="Arial" w:hAnsi="Arial" w:cs="Arial"/>
                <w:b/>
                <w:bCs/>
                <w:sz w:val="18"/>
                <w:szCs w:val="18"/>
              </w:rPr>
              <w:t>1.498.418</w:t>
            </w:r>
          </w:p>
        </w:tc>
        <w:tc>
          <w:tcPr>
            <w:tcW w:w="706" w:type="pct"/>
            <w:tcBorders>
              <w:top w:val="nil"/>
              <w:left w:val="nil"/>
              <w:bottom w:val="nil"/>
              <w:right w:val="nil"/>
            </w:tcBorders>
            <w:shd w:val="clear" w:color="auto" w:fill="auto"/>
            <w:vAlign w:val="bottom"/>
          </w:tcPr>
          <w:p w14:paraId="51D3C9DC" w14:textId="38290807" w:rsidR="00506E9A" w:rsidRPr="000D4693" w:rsidRDefault="00506E9A" w:rsidP="00506E9A">
            <w:pPr>
              <w:tabs>
                <w:tab w:val="right" w:pos="1202"/>
              </w:tabs>
              <w:suppressAutoHyphens/>
              <w:autoSpaceDN w:val="0"/>
              <w:spacing w:line="301" w:lineRule="exact"/>
              <w:jc w:val="right"/>
              <w:outlineLvl w:val="0"/>
              <w:rPr>
                <w:rFonts w:ascii="Arial" w:hAnsi="Arial" w:cs="Arial"/>
                <w:b/>
                <w:bCs/>
                <w:sz w:val="18"/>
                <w:szCs w:val="18"/>
              </w:rPr>
            </w:pPr>
            <w:r w:rsidRPr="00D304EC">
              <w:rPr>
                <w:rFonts w:ascii="Arial" w:hAnsi="Arial" w:cs="Arial"/>
                <w:b/>
                <w:bCs/>
                <w:color w:val="000000" w:themeColor="text1"/>
                <w:sz w:val="18"/>
                <w:szCs w:val="18"/>
              </w:rPr>
              <w:t>1.452.021</w:t>
            </w:r>
          </w:p>
        </w:tc>
        <w:tc>
          <w:tcPr>
            <w:tcW w:w="706" w:type="pct"/>
            <w:tcBorders>
              <w:top w:val="nil"/>
              <w:left w:val="nil"/>
              <w:bottom w:val="nil"/>
              <w:right w:val="nil"/>
            </w:tcBorders>
            <w:shd w:val="clear" w:color="auto" w:fill="auto"/>
            <w:vAlign w:val="bottom"/>
          </w:tcPr>
          <w:p w14:paraId="44F3E226" w14:textId="003ED49F" w:rsidR="00506E9A" w:rsidRPr="00504BDA" w:rsidRDefault="006B0C41" w:rsidP="00506E9A">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1.498.358</w:t>
            </w:r>
          </w:p>
        </w:tc>
        <w:tc>
          <w:tcPr>
            <w:tcW w:w="707" w:type="pct"/>
            <w:tcBorders>
              <w:top w:val="nil"/>
              <w:left w:val="nil"/>
              <w:bottom w:val="nil"/>
              <w:right w:val="nil"/>
            </w:tcBorders>
            <w:shd w:val="clear" w:color="auto" w:fill="auto"/>
            <w:vAlign w:val="bottom"/>
          </w:tcPr>
          <w:p w14:paraId="5B37B4DA" w14:textId="27AF4F4E" w:rsidR="00506E9A" w:rsidRPr="00504BDA" w:rsidRDefault="00506E9A" w:rsidP="00506E9A">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25453D">
              <w:rPr>
                <w:rFonts w:ascii="Arial" w:hAnsi="Arial" w:cs="Arial"/>
                <w:b/>
                <w:bCs/>
                <w:color w:val="000000" w:themeColor="text1"/>
                <w:sz w:val="18"/>
                <w:szCs w:val="18"/>
              </w:rPr>
              <w:t>1.452.008</w:t>
            </w:r>
          </w:p>
        </w:tc>
      </w:tr>
      <w:tr w:rsidR="00506E9A" w:rsidRPr="0095347D" w14:paraId="29576679" w14:textId="77777777" w:rsidTr="007478FB">
        <w:trPr>
          <w:trHeight w:val="311"/>
          <w:jc w:val="center"/>
        </w:trPr>
        <w:tc>
          <w:tcPr>
            <w:tcW w:w="2175" w:type="pct"/>
            <w:vAlign w:val="bottom"/>
          </w:tcPr>
          <w:p w14:paraId="4AC1643B" w14:textId="77777777" w:rsidR="00506E9A" w:rsidRPr="0095347D" w:rsidRDefault="00506E9A" w:rsidP="00506E9A">
            <w:pPr>
              <w:tabs>
                <w:tab w:val="right" w:pos="1202"/>
                <w:tab w:val="right" w:pos="9781"/>
              </w:tabs>
              <w:suppressAutoHyphens/>
              <w:autoSpaceDN w:val="0"/>
              <w:spacing w:line="220" w:lineRule="exact"/>
              <w:outlineLvl w:val="0"/>
              <w:rPr>
                <w:rFonts w:ascii="Arial" w:eastAsia="Times New Roman" w:hAnsi="Arial" w:cs="Arial"/>
                <w:b/>
                <w:bCs/>
                <w:color w:val="000000" w:themeColor="text1"/>
                <w:sz w:val="18"/>
                <w:szCs w:val="18"/>
              </w:rPr>
            </w:pPr>
            <w:bookmarkStart w:id="1043" w:name="_Toc67331456"/>
            <w:r w:rsidRPr="0095347D">
              <w:rPr>
                <w:rFonts w:ascii="Arial" w:eastAsia="Times New Roman" w:hAnsi="Arial" w:cs="Arial"/>
                <w:color w:val="000000" w:themeColor="text1"/>
                <w:sz w:val="18"/>
                <w:szCs w:val="18"/>
              </w:rPr>
              <w:t>Iznos izloženosti ponderiran kreditnim rizikom</w:t>
            </w:r>
            <w:bookmarkEnd w:id="1043"/>
          </w:p>
        </w:tc>
        <w:tc>
          <w:tcPr>
            <w:tcW w:w="706" w:type="pct"/>
            <w:tcBorders>
              <w:top w:val="nil"/>
              <w:left w:val="nil"/>
              <w:bottom w:val="nil"/>
              <w:right w:val="nil"/>
            </w:tcBorders>
            <w:shd w:val="clear" w:color="auto" w:fill="auto"/>
            <w:vAlign w:val="bottom"/>
          </w:tcPr>
          <w:p w14:paraId="782EF8FC" w14:textId="2580A4A8" w:rsidR="00506E9A" w:rsidRPr="000D4693" w:rsidRDefault="00331DEA" w:rsidP="00506E9A">
            <w:pPr>
              <w:tabs>
                <w:tab w:val="right" w:pos="1202"/>
              </w:tabs>
              <w:suppressAutoHyphens/>
              <w:autoSpaceDN w:val="0"/>
              <w:spacing w:line="301" w:lineRule="exact"/>
              <w:jc w:val="right"/>
              <w:outlineLvl w:val="0"/>
              <w:rPr>
                <w:rFonts w:ascii="Arial" w:hAnsi="Arial" w:cs="Arial"/>
                <w:sz w:val="18"/>
                <w:szCs w:val="18"/>
              </w:rPr>
            </w:pPr>
            <w:r>
              <w:rPr>
                <w:rFonts w:ascii="Arial" w:hAnsi="Arial" w:cs="Arial"/>
                <w:sz w:val="18"/>
                <w:szCs w:val="18"/>
              </w:rPr>
              <w:t>2.387.831</w:t>
            </w:r>
          </w:p>
        </w:tc>
        <w:tc>
          <w:tcPr>
            <w:tcW w:w="706" w:type="pct"/>
            <w:tcBorders>
              <w:top w:val="nil"/>
              <w:left w:val="nil"/>
              <w:bottom w:val="nil"/>
              <w:right w:val="nil"/>
            </w:tcBorders>
            <w:shd w:val="clear" w:color="auto" w:fill="auto"/>
            <w:vAlign w:val="bottom"/>
          </w:tcPr>
          <w:p w14:paraId="3D12CC51" w14:textId="1925CBE9" w:rsidR="00506E9A" w:rsidRPr="000D4693" w:rsidRDefault="00506E9A" w:rsidP="00506E9A">
            <w:pPr>
              <w:tabs>
                <w:tab w:val="right" w:pos="1202"/>
              </w:tabs>
              <w:suppressAutoHyphens/>
              <w:autoSpaceDN w:val="0"/>
              <w:spacing w:line="301" w:lineRule="exact"/>
              <w:jc w:val="right"/>
              <w:outlineLvl w:val="0"/>
              <w:rPr>
                <w:rFonts w:ascii="Arial" w:hAnsi="Arial" w:cs="Arial"/>
                <w:sz w:val="18"/>
                <w:szCs w:val="18"/>
              </w:rPr>
            </w:pPr>
            <w:r w:rsidRPr="00D304EC">
              <w:rPr>
                <w:rFonts w:ascii="Arial" w:hAnsi="Arial" w:cs="Arial"/>
                <w:color w:val="000000" w:themeColor="text1"/>
                <w:sz w:val="18"/>
                <w:szCs w:val="18"/>
              </w:rPr>
              <w:t>2.528.975</w:t>
            </w:r>
          </w:p>
        </w:tc>
        <w:tc>
          <w:tcPr>
            <w:tcW w:w="706" w:type="pct"/>
            <w:tcBorders>
              <w:top w:val="nil"/>
              <w:left w:val="nil"/>
              <w:bottom w:val="nil"/>
              <w:right w:val="nil"/>
            </w:tcBorders>
            <w:shd w:val="clear" w:color="auto" w:fill="auto"/>
            <w:vAlign w:val="bottom"/>
          </w:tcPr>
          <w:p w14:paraId="15350124" w14:textId="3F4E72FD" w:rsidR="00506E9A" w:rsidRPr="00504BDA" w:rsidRDefault="001D1ED7" w:rsidP="00506E9A">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2.385.776</w:t>
            </w:r>
          </w:p>
        </w:tc>
        <w:tc>
          <w:tcPr>
            <w:tcW w:w="707" w:type="pct"/>
            <w:tcBorders>
              <w:top w:val="nil"/>
              <w:left w:val="nil"/>
              <w:bottom w:val="nil"/>
              <w:right w:val="nil"/>
            </w:tcBorders>
            <w:shd w:val="clear" w:color="auto" w:fill="auto"/>
            <w:vAlign w:val="bottom"/>
          </w:tcPr>
          <w:p w14:paraId="2D798105" w14:textId="0B822ECB" w:rsidR="00506E9A" w:rsidRPr="00504BDA" w:rsidRDefault="00506E9A" w:rsidP="00506E9A">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25453D">
              <w:rPr>
                <w:rFonts w:ascii="Arial" w:hAnsi="Arial" w:cs="Arial"/>
                <w:sz w:val="18"/>
                <w:szCs w:val="18"/>
              </w:rPr>
              <w:t xml:space="preserve"> 2.527.125 </w:t>
            </w:r>
          </w:p>
        </w:tc>
      </w:tr>
      <w:tr w:rsidR="00506E9A" w:rsidRPr="0095347D" w14:paraId="718BFD49" w14:textId="77777777" w:rsidTr="007478FB">
        <w:trPr>
          <w:trHeight w:val="311"/>
          <w:jc w:val="center"/>
        </w:trPr>
        <w:tc>
          <w:tcPr>
            <w:tcW w:w="2175" w:type="pct"/>
            <w:vAlign w:val="bottom"/>
          </w:tcPr>
          <w:p w14:paraId="1902F8A4" w14:textId="77777777" w:rsidR="00506E9A" w:rsidRPr="0095347D" w:rsidRDefault="00506E9A" w:rsidP="00506E9A">
            <w:pPr>
              <w:tabs>
                <w:tab w:val="right" w:pos="1202"/>
                <w:tab w:val="right" w:pos="9781"/>
              </w:tabs>
              <w:suppressAutoHyphens/>
              <w:autoSpaceDN w:val="0"/>
              <w:spacing w:line="220" w:lineRule="exact"/>
              <w:outlineLvl w:val="0"/>
              <w:rPr>
                <w:rFonts w:ascii="Arial" w:eastAsia="Times New Roman" w:hAnsi="Arial" w:cs="Arial"/>
                <w:b/>
                <w:bCs/>
                <w:color w:val="000000" w:themeColor="text1"/>
                <w:sz w:val="18"/>
                <w:szCs w:val="18"/>
              </w:rPr>
            </w:pPr>
            <w:bookmarkStart w:id="1044" w:name="_Toc67331461"/>
            <w:r w:rsidRPr="0095347D">
              <w:rPr>
                <w:rFonts w:ascii="Arial" w:eastAsia="Times New Roman" w:hAnsi="Arial" w:cs="Arial"/>
                <w:color w:val="000000" w:themeColor="text1"/>
                <w:sz w:val="18"/>
                <w:szCs w:val="18"/>
              </w:rPr>
              <w:t>Kapitalni zahtjev za operativni rizik</w:t>
            </w:r>
            <w:bookmarkEnd w:id="1044"/>
          </w:p>
        </w:tc>
        <w:tc>
          <w:tcPr>
            <w:tcW w:w="706" w:type="pct"/>
            <w:tcBorders>
              <w:top w:val="nil"/>
              <w:left w:val="nil"/>
              <w:bottom w:val="nil"/>
              <w:right w:val="nil"/>
            </w:tcBorders>
            <w:shd w:val="clear" w:color="auto" w:fill="auto"/>
            <w:vAlign w:val="bottom"/>
          </w:tcPr>
          <w:p w14:paraId="22096666" w14:textId="42340FBD" w:rsidR="00506E9A" w:rsidRPr="000D4693" w:rsidRDefault="00331DEA" w:rsidP="00506E9A">
            <w:pPr>
              <w:tabs>
                <w:tab w:val="right" w:pos="1202"/>
              </w:tabs>
              <w:suppressAutoHyphens/>
              <w:autoSpaceDN w:val="0"/>
              <w:spacing w:line="301" w:lineRule="exact"/>
              <w:jc w:val="right"/>
              <w:outlineLvl w:val="0"/>
              <w:rPr>
                <w:rFonts w:ascii="Arial" w:hAnsi="Arial" w:cs="Arial"/>
                <w:sz w:val="18"/>
                <w:szCs w:val="18"/>
              </w:rPr>
            </w:pPr>
            <w:r>
              <w:rPr>
                <w:rFonts w:ascii="Arial" w:hAnsi="Arial" w:cs="Arial"/>
                <w:sz w:val="18"/>
                <w:szCs w:val="18"/>
              </w:rPr>
              <w:t>136.878</w:t>
            </w:r>
          </w:p>
        </w:tc>
        <w:tc>
          <w:tcPr>
            <w:tcW w:w="706" w:type="pct"/>
            <w:tcBorders>
              <w:top w:val="nil"/>
              <w:left w:val="nil"/>
              <w:bottom w:val="nil"/>
              <w:right w:val="nil"/>
            </w:tcBorders>
            <w:shd w:val="clear" w:color="auto" w:fill="auto"/>
            <w:vAlign w:val="bottom"/>
          </w:tcPr>
          <w:p w14:paraId="5DAA2115" w14:textId="5A0C7B8A" w:rsidR="00506E9A" w:rsidRPr="000D4693" w:rsidRDefault="00506E9A" w:rsidP="00506E9A">
            <w:pPr>
              <w:tabs>
                <w:tab w:val="right" w:pos="1202"/>
              </w:tabs>
              <w:suppressAutoHyphens/>
              <w:autoSpaceDN w:val="0"/>
              <w:spacing w:line="301" w:lineRule="exact"/>
              <w:jc w:val="right"/>
              <w:outlineLvl w:val="0"/>
              <w:rPr>
                <w:rFonts w:ascii="Arial" w:hAnsi="Arial" w:cs="Arial"/>
                <w:sz w:val="18"/>
                <w:szCs w:val="18"/>
              </w:rPr>
            </w:pPr>
            <w:r w:rsidRPr="00D304EC">
              <w:rPr>
                <w:rFonts w:ascii="Arial" w:hAnsi="Arial" w:cs="Arial"/>
                <w:color w:val="000000" w:themeColor="text1"/>
                <w:sz w:val="18"/>
                <w:szCs w:val="18"/>
              </w:rPr>
              <w:t>136.878</w:t>
            </w:r>
          </w:p>
        </w:tc>
        <w:tc>
          <w:tcPr>
            <w:tcW w:w="706" w:type="pct"/>
            <w:tcBorders>
              <w:top w:val="nil"/>
              <w:left w:val="nil"/>
              <w:bottom w:val="nil"/>
              <w:right w:val="nil"/>
            </w:tcBorders>
            <w:shd w:val="clear" w:color="auto" w:fill="auto"/>
            <w:vAlign w:val="bottom"/>
          </w:tcPr>
          <w:p w14:paraId="62C40E26" w14:textId="764CC9CC" w:rsidR="00506E9A" w:rsidRPr="00504BDA" w:rsidRDefault="001D1ED7" w:rsidP="00506E9A">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132.563</w:t>
            </w:r>
          </w:p>
        </w:tc>
        <w:tc>
          <w:tcPr>
            <w:tcW w:w="707" w:type="pct"/>
            <w:tcBorders>
              <w:top w:val="nil"/>
              <w:left w:val="nil"/>
              <w:bottom w:val="nil"/>
              <w:right w:val="nil"/>
            </w:tcBorders>
            <w:shd w:val="clear" w:color="auto" w:fill="auto"/>
            <w:vAlign w:val="bottom"/>
          </w:tcPr>
          <w:p w14:paraId="165FBABF" w14:textId="1C49D1DA" w:rsidR="00506E9A" w:rsidRPr="00504BDA" w:rsidRDefault="00506E9A" w:rsidP="00506E9A">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25453D">
              <w:rPr>
                <w:rFonts w:ascii="Arial" w:hAnsi="Arial" w:cs="Arial"/>
                <w:sz w:val="18"/>
                <w:szCs w:val="18"/>
              </w:rPr>
              <w:t xml:space="preserve"> 132.563 </w:t>
            </w:r>
          </w:p>
        </w:tc>
      </w:tr>
      <w:tr w:rsidR="00506E9A" w:rsidRPr="0095347D" w14:paraId="2BADA42F" w14:textId="77777777" w:rsidTr="007478FB">
        <w:trPr>
          <w:trHeight w:val="311"/>
          <w:jc w:val="center"/>
        </w:trPr>
        <w:tc>
          <w:tcPr>
            <w:tcW w:w="2175" w:type="pct"/>
            <w:vAlign w:val="bottom"/>
          </w:tcPr>
          <w:p w14:paraId="2280D9CD" w14:textId="77777777" w:rsidR="00506E9A" w:rsidRPr="0095347D" w:rsidRDefault="00506E9A" w:rsidP="00506E9A">
            <w:pPr>
              <w:tabs>
                <w:tab w:val="right" w:pos="1202"/>
                <w:tab w:val="right" w:pos="9781"/>
              </w:tabs>
              <w:suppressAutoHyphens/>
              <w:autoSpaceDN w:val="0"/>
              <w:spacing w:line="220" w:lineRule="exact"/>
              <w:outlineLvl w:val="0"/>
              <w:rPr>
                <w:rFonts w:ascii="Arial" w:eastAsia="Times New Roman" w:hAnsi="Arial" w:cs="Arial"/>
                <w:b/>
                <w:bCs/>
                <w:color w:val="000000" w:themeColor="text1"/>
                <w:sz w:val="18"/>
                <w:szCs w:val="18"/>
              </w:rPr>
            </w:pPr>
            <w:bookmarkStart w:id="1045" w:name="_Toc67331466"/>
            <w:r w:rsidRPr="0095347D">
              <w:rPr>
                <w:rFonts w:ascii="Arial" w:eastAsia="Times New Roman" w:hAnsi="Arial" w:cs="Arial"/>
                <w:color w:val="000000" w:themeColor="text1"/>
                <w:sz w:val="18"/>
                <w:szCs w:val="18"/>
              </w:rPr>
              <w:t>Kapitalni zahtjev za valutni rizik</w:t>
            </w:r>
            <w:bookmarkEnd w:id="1045"/>
          </w:p>
        </w:tc>
        <w:tc>
          <w:tcPr>
            <w:tcW w:w="706" w:type="pct"/>
            <w:tcBorders>
              <w:top w:val="nil"/>
              <w:left w:val="nil"/>
              <w:bottom w:val="nil"/>
              <w:right w:val="nil"/>
            </w:tcBorders>
            <w:shd w:val="clear" w:color="auto" w:fill="auto"/>
            <w:vAlign w:val="bottom"/>
          </w:tcPr>
          <w:p w14:paraId="44303FC0" w14:textId="624C92AF" w:rsidR="00506E9A" w:rsidRPr="000D4693" w:rsidRDefault="00331DEA" w:rsidP="00506E9A">
            <w:pPr>
              <w:tabs>
                <w:tab w:val="right" w:pos="1202"/>
              </w:tabs>
              <w:suppressAutoHyphens/>
              <w:autoSpaceDN w:val="0"/>
              <w:spacing w:line="301" w:lineRule="exact"/>
              <w:jc w:val="right"/>
              <w:outlineLvl w:val="0"/>
              <w:rPr>
                <w:rFonts w:ascii="Arial" w:hAnsi="Arial" w:cs="Arial"/>
                <w:sz w:val="18"/>
                <w:szCs w:val="18"/>
              </w:rPr>
            </w:pPr>
            <w:r>
              <w:rPr>
                <w:rFonts w:ascii="Arial" w:hAnsi="Arial" w:cs="Arial"/>
                <w:sz w:val="18"/>
                <w:szCs w:val="18"/>
              </w:rPr>
              <w:t>-</w:t>
            </w:r>
          </w:p>
        </w:tc>
        <w:tc>
          <w:tcPr>
            <w:tcW w:w="706" w:type="pct"/>
            <w:tcBorders>
              <w:top w:val="nil"/>
              <w:left w:val="nil"/>
              <w:bottom w:val="nil"/>
              <w:right w:val="nil"/>
            </w:tcBorders>
            <w:shd w:val="clear" w:color="auto" w:fill="auto"/>
            <w:vAlign w:val="bottom"/>
          </w:tcPr>
          <w:p w14:paraId="0A0A7E06" w14:textId="2BEC4B6E" w:rsidR="00506E9A" w:rsidRPr="000D4693" w:rsidRDefault="00506E9A" w:rsidP="00506E9A">
            <w:pPr>
              <w:tabs>
                <w:tab w:val="right" w:pos="1202"/>
              </w:tabs>
              <w:suppressAutoHyphens/>
              <w:autoSpaceDN w:val="0"/>
              <w:spacing w:line="301" w:lineRule="exact"/>
              <w:jc w:val="right"/>
              <w:outlineLvl w:val="0"/>
              <w:rPr>
                <w:rFonts w:ascii="Arial" w:hAnsi="Arial" w:cs="Arial"/>
                <w:sz w:val="18"/>
                <w:szCs w:val="18"/>
              </w:rPr>
            </w:pPr>
            <w:r w:rsidRPr="00D304EC">
              <w:rPr>
                <w:rFonts w:ascii="Arial" w:hAnsi="Arial" w:cs="Arial"/>
                <w:color w:val="000000" w:themeColor="text1"/>
                <w:sz w:val="18"/>
                <w:szCs w:val="18"/>
              </w:rPr>
              <w:t>-</w:t>
            </w:r>
          </w:p>
        </w:tc>
        <w:tc>
          <w:tcPr>
            <w:tcW w:w="706" w:type="pct"/>
            <w:tcBorders>
              <w:top w:val="nil"/>
              <w:left w:val="nil"/>
              <w:bottom w:val="nil"/>
              <w:right w:val="nil"/>
            </w:tcBorders>
            <w:shd w:val="clear" w:color="auto" w:fill="auto"/>
            <w:vAlign w:val="bottom"/>
          </w:tcPr>
          <w:p w14:paraId="4F91546A" w14:textId="7AE69C2E" w:rsidR="00506E9A" w:rsidRPr="00504BDA" w:rsidRDefault="001D1ED7" w:rsidP="00506E9A">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707" w:type="pct"/>
            <w:tcBorders>
              <w:top w:val="nil"/>
              <w:left w:val="nil"/>
              <w:bottom w:val="nil"/>
              <w:right w:val="nil"/>
            </w:tcBorders>
            <w:shd w:val="clear" w:color="auto" w:fill="auto"/>
            <w:vAlign w:val="bottom"/>
          </w:tcPr>
          <w:p w14:paraId="1560551B" w14:textId="57046333" w:rsidR="00506E9A" w:rsidRPr="00504BDA" w:rsidRDefault="00506E9A" w:rsidP="00506E9A">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25453D">
              <w:rPr>
                <w:rFonts w:ascii="Arial" w:hAnsi="Arial" w:cs="Arial"/>
                <w:sz w:val="18"/>
                <w:szCs w:val="18"/>
              </w:rPr>
              <w:t xml:space="preserve"> - </w:t>
            </w:r>
          </w:p>
        </w:tc>
      </w:tr>
      <w:tr w:rsidR="00506E9A" w:rsidRPr="0095347D" w14:paraId="74270768" w14:textId="77777777" w:rsidTr="007478FB">
        <w:trPr>
          <w:trHeight w:val="311"/>
          <w:jc w:val="center"/>
        </w:trPr>
        <w:tc>
          <w:tcPr>
            <w:tcW w:w="2175" w:type="pct"/>
            <w:vAlign w:val="bottom"/>
          </w:tcPr>
          <w:p w14:paraId="3F805B77" w14:textId="77777777" w:rsidR="00506E9A" w:rsidRPr="0095347D" w:rsidRDefault="00506E9A" w:rsidP="00506E9A">
            <w:pPr>
              <w:tabs>
                <w:tab w:val="right" w:pos="1202"/>
                <w:tab w:val="right" w:pos="9781"/>
              </w:tabs>
              <w:suppressAutoHyphens/>
              <w:autoSpaceDN w:val="0"/>
              <w:spacing w:line="220" w:lineRule="exact"/>
              <w:outlineLvl w:val="0"/>
              <w:rPr>
                <w:rFonts w:ascii="Arial" w:eastAsia="Times New Roman" w:hAnsi="Arial" w:cs="Arial"/>
                <w:b/>
                <w:bCs/>
                <w:color w:val="000000" w:themeColor="text1"/>
                <w:sz w:val="18"/>
                <w:szCs w:val="18"/>
              </w:rPr>
            </w:pPr>
            <w:bookmarkStart w:id="1046" w:name="_Toc67331471"/>
            <w:r w:rsidRPr="0095347D">
              <w:rPr>
                <w:rFonts w:ascii="Arial" w:eastAsia="Times New Roman" w:hAnsi="Arial" w:cs="Arial"/>
                <w:b/>
                <w:bCs/>
                <w:color w:val="000000" w:themeColor="text1"/>
                <w:sz w:val="18"/>
                <w:szCs w:val="18"/>
              </w:rPr>
              <w:t>Ukupno kapitalni zahtjevi</w:t>
            </w:r>
            <w:bookmarkEnd w:id="1046"/>
          </w:p>
        </w:tc>
        <w:tc>
          <w:tcPr>
            <w:tcW w:w="706" w:type="pct"/>
            <w:tcBorders>
              <w:top w:val="nil"/>
              <w:left w:val="nil"/>
              <w:bottom w:val="nil"/>
              <w:right w:val="nil"/>
            </w:tcBorders>
            <w:shd w:val="clear" w:color="auto" w:fill="auto"/>
            <w:vAlign w:val="bottom"/>
          </w:tcPr>
          <w:p w14:paraId="3A41CD81" w14:textId="174D2CB0" w:rsidR="00506E9A" w:rsidRPr="000D4693" w:rsidRDefault="0000741C" w:rsidP="00506E9A">
            <w:pPr>
              <w:tabs>
                <w:tab w:val="right" w:pos="1202"/>
              </w:tabs>
              <w:suppressAutoHyphens/>
              <w:autoSpaceDN w:val="0"/>
              <w:spacing w:line="301" w:lineRule="exact"/>
              <w:jc w:val="right"/>
              <w:outlineLvl w:val="0"/>
              <w:rPr>
                <w:rFonts w:ascii="Arial" w:hAnsi="Arial" w:cs="Arial"/>
                <w:b/>
                <w:bCs/>
                <w:sz w:val="18"/>
                <w:szCs w:val="18"/>
              </w:rPr>
            </w:pPr>
            <w:r>
              <w:rPr>
                <w:rFonts w:ascii="Arial" w:hAnsi="Arial" w:cs="Arial"/>
                <w:b/>
                <w:bCs/>
                <w:sz w:val="18"/>
                <w:szCs w:val="18"/>
              </w:rPr>
              <w:t>2.524.709</w:t>
            </w:r>
          </w:p>
        </w:tc>
        <w:tc>
          <w:tcPr>
            <w:tcW w:w="706" w:type="pct"/>
            <w:tcBorders>
              <w:top w:val="nil"/>
              <w:left w:val="nil"/>
              <w:bottom w:val="nil"/>
              <w:right w:val="nil"/>
            </w:tcBorders>
            <w:shd w:val="clear" w:color="auto" w:fill="auto"/>
            <w:vAlign w:val="bottom"/>
          </w:tcPr>
          <w:p w14:paraId="0975AF93" w14:textId="23167CD3" w:rsidR="00506E9A" w:rsidRPr="000D4693" w:rsidRDefault="00506E9A" w:rsidP="00506E9A">
            <w:pPr>
              <w:tabs>
                <w:tab w:val="right" w:pos="1202"/>
              </w:tabs>
              <w:suppressAutoHyphens/>
              <w:autoSpaceDN w:val="0"/>
              <w:spacing w:line="301" w:lineRule="exact"/>
              <w:jc w:val="right"/>
              <w:outlineLvl w:val="0"/>
              <w:rPr>
                <w:rFonts w:ascii="Arial" w:hAnsi="Arial" w:cs="Arial"/>
                <w:b/>
                <w:bCs/>
                <w:sz w:val="18"/>
                <w:szCs w:val="18"/>
              </w:rPr>
            </w:pPr>
            <w:r w:rsidRPr="00D304EC">
              <w:rPr>
                <w:rFonts w:ascii="Arial" w:hAnsi="Arial" w:cs="Arial"/>
                <w:b/>
                <w:color w:val="000000" w:themeColor="text1"/>
                <w:sz w:val="18"/>
                <w:szCs w:val="18"/>
              </w:rPr>
              <w:t>2.665.853</w:t>
            </w:r>
          </w:p>
        </w:tc>
        <w:tc>
          <w:tcPr>
            <w:tcW w:w="706" w:type="pct"/>
            <w:tcBorders>
              <w:top w:val="nil"/>
              <w:left w:val="nil"/>
              <w:bottom w:val="nil"/>
              <w:right w:val="nil"/>
            </w:tcBorders>
            <w:shd w:val="clear" w:color="auto" w:fill="auto"/>
            <w:vAlign w:val="bottom"/>
          </w:tcPr>
          <w:p w14:paraId="02DD487D" w14:textId="246B5968" w:rsidR="00506E9A" w:rsidRPr="00504BDA" w:rsidRDefault="00055A54" w:rsidP="00506E9A">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2.518.339</w:t>
            </w:r>
          </w:p>
        </w:tc>
        <w:tc>
          <w:tcPr>
            <w:tcW w:w="707" w:type="pct"/>
            <w:tcBorders>
              <w:top w:val="nil"/>
              <w:left w:val="nil"/>
              <w:bottom w:val="nil"/>
              <w:right w:val="nil"/>
            </w:tcBorders>
            <w:shd w:val="clear" w:color="auto" w:fill="auto"/>
            <w:vAlign w:val="bottom"/>
          </w:tcPr>
          <w:p w14:paraId="7E328BB8" w14:textId="5E5E6E8C" w:rsidR="00506E9A" w:rsidRPr="00504BDA" w:rsidRDefault="00506E9A" w:rsidP="00506E9A">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25453D">
              <w:rPr>
                <w:rFonts w:ascii="Arial" w:hAnsi="Arial" w:cs="Arial"/>
                <w:b/>
                <w:color w:val="000000" w:themeColor="text1"/>
                <w:sz w:val="18"/>
                <w:szCs w:val="18"/>
              </w:rPr>
              <w:t>2.659.688</w:t>
            </w:r>
          </w:p>
        </w:tc>
      </w:tr>
      <w:tr w:rsidR="00506E9A" w:rsidRPr="0095347D" w14:paraId="22D9BCC9" w14:textId="77777777" w:rsidTr="007478FB">
        <w:trPr>
          <w:trHeight w:val="179"/>
          <w:jc w:val="center"/>
        </w:trPr>
        <w:tc>
          <w:tcPr>
            <w:tcW w:w="2175" w:type="pct"/>
            <w:vAlign w:val="bottom"/>
          </w:tcPr>
          <w:p w14:paraId="18541167" w14:textId="77777777" w:rsidR="00506E9A" w:rsidRPr="0095347D" w:rsidRDefault="00506E9A" w:rsidP="00506E9A">
            <w:pPr>
              <w:tabs>
                <w:tab w:val="right" w:pos="9781"/>
              </w:tabs>
              <w:suppressAutoHyphens/>
              <w:autoSpaceDN w:val="0"/>
              <w:spacing w:line="140" w:lineRule="exact"/>
              <w:jc w:val="both"/>
              <w:outlineLvl w:val="0"/>
              <w:rPr>
                <w:rFonts w:ascii="Arial" w:eastAsia="Times New Roman" w:hAnsi="Arial" w:cs="Arial"/>
                <w:color w:val="000000" w:themeColor="text1"/>
                <w:sz w:val="18"/>
                <w:szCs w:val="18"/>
              </w:rPr>
            </w:pPr>
          </w:p>
        </w:tc>
        <w:tc>
          <w:tcPr>
            <w:tcW w:w="706" w:type="pct"/>
            <w:tcBorders>
              <w:top w:val="single" w:sz="12" w:space="0" w:color="auto"/>
            </w:tcBorders>
            <w:vAlign w:val="bottom"/>
          </w:tcPr>
          <w:p w14:paraId="6C2C5031" w14:textId="77777777" w:rsidR="00506E9A" w:rsidRPr="0095347D" w:rsidRDefault="00506E9A" w:rsidP="00506E9A">
            <w:pPr>
              <w:keepNext/>
              <w:keepLines/>
              <w:tabs>
                <w:tab w:val="left" w:pos="1202"/>
              </w:tabs>
              <w:suppressAutoHyphens/>
              <w:autoSpaceDN w:val="0"/>
              <w:spacing w:line="100" w:lineRule="exact"/>
              <w:jc w:val="right"/>
              <w:rPr>
                <w:rFonts w:ascii="Arial" w:eastAsia="Times New Roman" w:hAnsi="Arial" w:cs="Arial"/>
                <w:b/>
                <w:color w:val="000000" w:themeColor="text1"/>
                <w:position w:val="4"/>
                <w:sz w:val="18"/>
                <w:szCs w:val="18"/>
                <w:u w:val="thick"/>
              </w:rPr>
            </w:pPr>
          </w:p>
        </w:tc>
        <w:tc>
          <w:tcPr>
            <w:tcW w:w="706" w:type="pct"/>
            <w:tcBorders>
              <w:top w:val="single" w:sz="12" w:space="0" w:color="auto"/>
            </w:tcBorders>
            <w:vAlign w:val="bottom"/>
          </w:tcPr>
          <w:p w14:paraId="7B0D5558" w14:textId="77777777" w:rsidR="00506E9A" w:rsidRPr="0095347D" w:rsidRDefault="00506E9A" w:rsidP="00506E9A">
            <w:pPr>
              <w:keepNext/>
              <w:keepLines/>
              <w:tabs>
                <w:tab w:val="left" w:pos="1202"/>
              </w:tabs>
              <w:suppressAutoHyphens/>
              <w:autoSpaceDN w:val="0"/>
              <w:spacing w:line="100" w:lineRule="exact"/>
              <w:jc w:val="right"/>
              <w:rPr>
                <w:rFonts w:ascii="Arial" w:eastAsia="Times New Roman" w:hAnsi="Arial" w:cs="Arial"/>
                <w:b/>
                <w:color w:val="000000" w:themeColor="text1"/>
                <w:position w:val="4"/>
                <w:sz w:val="18"/>
                <w:szCs w:val="18"/>
                <w:u w:val="thick"/>
              </w:rPr>
            </w:pPr>
          </w:p>
        </w:tc>
        <w:tc>
          <w:tcPr>
            <w:tcW w:w="706" w:type="pct"/>
            <w:tcBorders>
              <w:top w:val="single" w:sz="12" w:space="0" w:color="auto"/>
            </w:tcBorders>
            <w:vAlign w:val="bottom"/>
          </w:tcPr>
          <w:p w14:paraId="49900063" w14:textId="77777777" w:rsidR="00506E9A" w:rsidRPr="0095347D" w:rsidRDefault="00506E9A" w:rsidP="00506E9A">
            <w:pPr>
              <w:keepNext/>
              <w:keepLines/>
              <w:tabs>
                <w:tab w:val="left" w:pos="1202"/>
              </w:tabs>
              <w:suppressAutoHyphens/>
              <w:autoSpaceDN w:val="0"/>
              <w:spacing w:line="100" w:lineRule="exact"/>
              <w:jc w:val="right"/>
              <w:rPr>
                <w:rFonts w:ascii="Arial" w:eastAsia="Times New Roman" w:hAnsi="Arial" w:cs="Arial"/>
                <w:b/>
                <w:color w:val="000000" w:themeColor="text1"/>
                <w:position w:val="4"/>
                <w:sz w:val="18"/>
                <w:szCs w:val="18"/>
                <w:u w:val="thick"/>
              </w:rPr>
            </w:pPr>
          </w:p>
        </w:tc>
        <w:tc>
          <w:tcPr>
            <w:tcW w:w="707" w:type="pct"/>
            <w:tcBorders>
              <w:top w:val="single" w:sz="12" w:space="0" w:color="auto"/>
            </w:tcBorders>
            <w:vAlign w:val="bottom"/>
          </w:tcPr>
          <w:p w14:paraId="346BB3B3" w14:textId="77777777" w:rsidR="00506E9A" w:rsidRPr="0095347D" w:rsidRDefault="00506E9A" w:rsidP="00506E9A">
            <w:pPr>
              <w:keepNext/>
              <w:keepLines/>
              <w:tabs>
                <w:tab w:val="left" w:pos="1202"/>
              </w:tabs>
              <w:suppressAutoHyphens/>
              <w:autoSpaceDN w:val="0"/>
              <w:spacing w:line="100" w:lineRule="exact"/>
              <w:jc w:val="right"/>
              <w:rPr>
                <w:rFonts w:ascii="Arial" w:eastAsia="Times New Roman" w:hAnsi="Arial" w:cs="Arial"/>
                <w:b/>
                <w:color w:val="000000" w:themeColor="text1"/>
                <w:position w:val="4"/>
                <w:sz w:val="18"/>
                <w:szCs w:val="18"/>
                <w:u w:val="thick"/>
              </w:rPr>
            </w:pPr>
          </w:p>
        </w:tc>
      </w:tr>
      <w:tr w:rsidR="00506E9A" w:rsidRPr="0095347D" w14:paraId="06354B62" w14:textId="77777777" w:rsidTr="007478FB">
        <w:trPr>
          <w:trHeight w:val="170"/>
          <w:jc w:val="center"/>
        </w:trPr>
        <w:tc>
          <w:tcPr>
            <w:tcW w:w="2175" w:type="pct"/>
            <w:vAlign w:val="bottom"/>
          </w:tcPr>
          <w:p w14:paraId="162C2DEF" w14:textId="77777777" w:rsidR="00506E9A" w:rsidRPr="0095347D" w:rsidRDefault="00506E9A" w:rsidP="00506E9A">
            <w:pPr>
              <w:tabs>
                <w:tab w:val="right" w:pos="9781"/>
              </w:tabs>
              <w:suppressAutoHyphens/>
              <w:autoSpaceDN w:val="0"/>
              <w:spacing w:line="220" w:lineRule="exact"/>
              <w:jc w:val="both"/>
              <w:outlineLvl w:val="0"/>
              <w:rPr>
                <w:rFonts w:ascii="Arial" w:eastAsia="Times New Roman" w:hAnsi="Arial" w:cs="Arial"/>
                <w:color w:val="000000" w:themeColor="text1"/>
                <w:sz w:val="18"/>
                <w:szCs w:val="18"/>
              </w:rPr>
            </w:pPr>
          </w:p>
        </w:tc>
        <w:tc>
          <w:tcPr>
            <w:tcW w:w="706" w:type="pct"/>
            <w:vAlign w:val="bottom"/>
          </w:tcPr>
          <w:p w14:paraId="37EAE52B" w14:textId="77777777" w:rsidR="00506E9A" w:rsidRPr="0095347D" w:rsidRDefault="00506E9A" w:rsidP="00506E9A">
            <w:pPr>
              <w:tabs>
                <w:tab w:val="right" w:pos="9781"/>
              </w:tabs>
              <w:suppressAutoHyphens/>
              <w:autoSpaceDN w:val="0"/>
              <w:spacing w:line="220" w:lineRule="exact"/>
              <w:jc w:val="right"/>
              <w:outlineLvl w:val="0"/>
              <w:rPr>
                <w:rFonts w:ascii="Arial" w:eastAsia="Times New Roman" w:hAnsi="Arial" w:cs="Arial"/>
                <w:b/>
                <w:color w:val="000000" w:themeColor="text1"/>
                <w:sz w:val="18"/>
                <w:szCs w:val="18"/>
              </w:rPr>
            </w:pPr>
            <w:r w:rsidRPr="0095347D">
              <w:rPr>
                <w:rFonts w:ascii="Arial" w:eastAsia="Times New Roman" w:hAnsi="Arial" w:cs="Arial"/>
                <w:b/>
                <w:color w:val="000000" w:themeColor="text1"/>
                <w:sz w:val="18"/>
                <w:szCs w:val="18"/>
              </w:rPr>
              <w:t>%</w:t>
            </w:r>
          </w:p>
        </w:tc>
        <w:tc>
          <w:tcPr>
            <w:tcW w:w="706" w:type="pct"/>
            <w:vAlign w:val="bottom"/>
          </w:tcPr>
          <w:p w14:paraId="49667711" w14:textId="77777777" w:rsidR="00506E9A" w:rsidRPr="0095347D" w:rsidRDefault="00506E9A" w:rsidP="00506E9A">
            <w:pPr>
              <w:tabs>
                <w:tab w:val="right" w:pos="9781"/>
              </w:tabs>
              <w:suppressAutoHyphens/>
              <w:autoSpaceDN w:val="0"/>
              <w:spacing w:line="220" w:lineRule="exact"/>
              <w:jc w:val="right"/>
              <w:outlineLvl w:val="0"/>
              <w:rPr>
                <w:rFonts w:ascii="Arial" w:eastAsia="Times New Roman" w:hAnsi="Arial" w:cs="Arial"/>
                <w:b/>
                <w:color w:val="000000" w:themeColor="text1"/>
                <w:sz w:val="18"/>
                <w:szCs w:val="18"/>
              </w:rPr>
            </w:pPr>
            <w:r w:rsidRPr="0095347D">
              <w:rPr>
                <w:rFonts w:ascii="Arial" w:eastAsia="Times New Roman" w:hAnsi="Arial" w:cs="Arial"/>
                <w:b/>
                <w:color w:val="000000" w:themeColor="text1"/>
                <w:sz w:val="18"/>
                <w:szCs w:val="18"/>
              </w:rPr>
              <w:t>%</w:t>
            </w:r>
          </w:p>
        </w:tc>
        <w:tc>
          <w:tcPr>
            <w:tcW w:w="706" w:type="pct"/>
            <w:vAlign w:val="bottom"/>
          </w:tcPr>
          <w:p w14:paraId="7AF295D9" w14:textId="77777777" w:rsidR="00506E9A" w:rsidRPr="0095347D" w:rsidRDefault="00506E9A" w:rsidP="00506E9A">
            <w:pPr>
              <w:tabs>
                <w:tab w:val="right" w:pos="9781"/>
              </w:tabs>
              <w:suppressAutoHyphens/>
              <w:autoSpaceDN w:val="0"/>
              <w:spacing w:line="220" w:lineRule="exact"/>
              <w:jc w:val="right"/>
              <w:outlineLvl w:val="0"/>
              <w:rPr>
                <w:rFonts w:ascii="Arial" w:eastAsia="Times New Roman" w:hAnsi="Arial" w:cs="Arial"/>
                <w:b/>
                <w:color w:val="000000" w:themeColor="text1"/>
                <w:sz w:val="18"/>
                <w:szCs w:val="18"/>
              </w:rPr>
            </w:pPr>
            <w:r w:rsidRPr="0095347D">
              <w:rPr>
                <w:rFonts w:ascii="Arial" w:eastAsia="Times New Roman" w:hAnsi="Arial" w:cs="Arial"/>
                <w:b/>
                <w:color w:val="000000" w:themeColor="text1"/>
                <w:sz w:val="18"/>
                <w:szCs w:val="18"/>
              </w:rPr>
              <w:t>%</w:t>
            </w:r>
          </w:p>
        </w:tc>
        <w:tc>
          <w:tcPr>
            <w:tcW w:w="707" w:type="pct"/>
            <w:vAlign w:val="bottom"/>
          </w:tcPr>
          <w:p w14:paraId="476B9B65" w14:textId="77777777" w:rsidR="00506E9A" w:rsidRPr="0095347D" w:rsidRDefault="00506E9A" w:rsidP="00506E9A">
            <w:pPr>
              <w:tabs>
                <w:tab w:val="right" w:pos="9781"/>
              </w:tabs>
              <w:suppressAutoHyphens/>
              <w:autoSpaceDN w:val="0"/>
              <w:spacing w:line="220" w:lineRule="exact"/>
              <w:jc w:val="right"/>
              <w:outlineLvl w:val="0"/>
              <w:rPr>
                <w:rFonts w:ascii="Arial" w:eastAsia="Times New Roman" w:hAnsi="Arial" w:cs="Arial"/>
                <w:b/>
                <w:color w:val="000000" w:themeColor="text1"/>
                <w:sz w:val="18"/>
                <w:szCs w:val="18"/>
              </w:rPr>
            </w:pPr>
            <w:r w:rsidRPr="0095347D">
              <w:rPr>
                <w:rFonts w:ascii="Arial" w:eastAsia="Times New Roman" w:hAnsi="Arial" w:cs="Arial"/>
                <w:b/>
                <w:color w:val="000000" w:themeColor="text1"/>
                <w:sz w:val="18"/>
                <w:szCs w:val="18"/>
              </w:rPr>
              <w:t>%</w:t>
            </w:r>
          </w:p>
        </w:tc>
      </w:tr>
      <w:tr w:rsidR="00506E9A" w:rsidRPr="0095347D" w14:paraId="3BE46838" w14:textId="77777777" w:rsidTr="007478FB">
        <w:trPr>
          <w:trHeight w:val="271"/>
          <w:jc w:val="center"/>
        </w:trPr>
        <w:tc>
          <w:tcPr>
            <w:tcW w:w="2175" w:type="pct"/>
            <w:vAlign w:val="bottom"/>
          </w:tcPr>
          <w:p w14:paraId="4599B256" w14:textId="77777777" w:rsidR="00506E9A" w:rsidRPr="0095347D" w:rsidRDefault="00506E9A" w:rsidP="00506E9A">
            <w:pPr>
              <w:tabs>
                <w:tab w:val="right" w:pos="1202"/>
                <w:tab w:val="right" w:pos="9781"/>
              </w:tabs>
              <w:suppressAutoHyphens/>
              <w:autoSpaceDN w:val="0"/>
              <w:spacing w:line="220" w:lineRule="exact"/>
              <w:outlineLvl w:val="0"/>
              <w:rPr>
                <w:rFonts w:ascii="Arial" w:eastAsia="Times New Roman" w:hAnsi="Arial" w:cs="Arial"/>
                <w:b/>
                <w:bCs/>
                <w:color w:val="000000" w:themeColor="text1"/>
                <w:sz w:val="18"/>
                <w:szCs w:val="18"/>
              </w:rPr>
            </w:pPr>
            <w:bookmarkStart w:id="1047" w:name="_Toc67331476"/>
            <w:r w:rsidRPr="0095347D">
              <w:rPr>
                <w:rFonts w:ascii="Arial" w:eastAsia="Times New Roman" w:hAnsi="Arial" w:cs="Arial"/>
                <w:b/>
                <w:bCs/>
                <w:color w:val="000000" w:themeColor="text1"/>
                <w:sz w:val="18"/>
                <w:szCs w:val="18"/>
              </w:rPr>
              <w:t>Stopa adekvatnosti kapitala</w:t>
            </w:r>
            <w:bookmarkEnd w:id="1047"/>
          </w:p>
        </w:tc>
        <w:tc>
          <w:tcPr>
            <w:tcW w:w="706" w:type="pct"/>
            <w:tcBorders>
              <w:top w:val="nil"/>
              <w:left w:val="nil"/>
              <w:bottom w:val="single" w:sz="12" w:space="0" w:color="auto"/>
              <w:right w:val="nil"/>
            </w:tcBorders>
            <w:shd w:val="clear" w:color="auto" w:fill="auto"/>
            <w:vAlign w:val="bottom"/>
          </w:tcPr>
          <w:p w14:paraId="345B6EE0" w14:textId="4C00DC02" w:rsidR="00506E9A" w:rsidRPr="0095347D" w:rsidRDefault="0000741C" w:rsidP="00506E9A">
            <w:pPr>
              <w:tabs>
                <w:tab w:val="right" w:pos="1202"/>
              </w:tabs>
              <w:suppressAutoHyphens/>
              <w:autoSpaceDN w:val="0"/>
              <w:spacing w:line="340"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59,35</w:t>
            </w:r>
          </w:p>
        </w:tc>
        <w:tc>
          <w:tcPr>
            <w:tcW w:w="706" w:type="pct"/>
            <w:tcBorders>
              <w:top w:val="nil"/>
              <w:left w:val="nil"/>
              <w:bottom w:val="single" w:sz="12" w:space="0" w:color="auto"/>
              <w:right w:val="nil"/>
            </w:tcBorders>
            <w:shd w:val="clear" w:color="auto" w:fill="auto"/>
            <w:vAlign w:val="bottom"/>
          </w:tcPr>
          <w:p w14:paraId="32B954DA" w14:textId="139C6D50" w:rsidR="00506E9A" w:rsidRPr="0095347D" w:rsidRDefault="00506E9A" w:rsidP="00506E9A">
            <w:pPr>
              <w:tabs>
                <w:tab w:val="right" w:pos="1202"/>
              </w:tabs>
              <w:suppressAutoHyphens/>
              <w:autoSpaceDN w:val="0"/>
              <w:spacing w:line="340"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54,47</w:t>
            </w:r>
          </w:p>
        </w:tc>
        <w:tc>
          <w:tcPr>
            <w:tcW w:w="706" w:type="pct"/>
            <w:tcBorders>
              <w:top w:val="nil"/>
              <w:left w:val="nil"/>
              <w:bottom w:val="single" w:sz="12" w:space="0" w:color="auto"/>
              <w:right w:val="nil"/>
            </w:tcBorders>
            <w:shd w:val="clear" w:color="auto" w:fill="auto"/>
            <w:vAlign w:val="bottom"/>
          </w:tcPr>
          <w:p w14:paraId="0AF901FF" w14:textId="6CAC49BC" w:rsidR="00506E9A" w:rsidRPr="0095347D" w:rsidRDefault="00055A54" w:rsidP="00506E9A">
            <w:pPr>
              <w:tabs>
                <w:tab w:val="right" w:pos="1202"/>
              </w:tabs>
              <w:suppressAutoHyphens/>
              <w:autoSpaceDN w:val="0"/>
              <w:spacing w:line="340"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59,50</w:t>
            </w:r>
          </w:p>
        </w:tc>
        <w:tc>
          <w:tcPr>
            <w:tcW w:w="707" w:type="pct"/>
            <w:tcBorders>
              <w:top w:val="nil"/>
              <w:left w:val="nil"/>
              <w:bottom w:val="single" w:sz="12" w:space="0" w:color="auto"/>
              <w:right w:val="nil"/>
            </w:tcBorders>
            <w:shd w:val="clear" w:color="auto" w:fill="auto"/>
            <w:vAlign w:val="bottom"/>
          </w:tcPr>
          <w:p w14:paraId="0DCE3C1A" w14:textId="168CFBF8" w:rsidR="00506E9A" w:rsidRPr="0095347D" w:rsidRDefault="00506E9A" w:rsidP="00506E9A">
            <w:pPr>
              <w:tabs>
                <w:tab w:val="right" w:pos="1202"/>
              </w:tabs>
              <w:suppressAutoHyphens/>
              <w:autoSpaceDN w:val="0"/>
              <w:spacing w:line="340"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54,59</w:t>
            </w:r>
          </w:p>
        </w:tc>
      </w:tr>
      <w:tr w:rsidR="00506E9A" w:rsidRPr="0095347D" w14:paraId="3D4DAA17" w14:textId="77777777" w:rsidTr="007478FB">
        <w:trPr>
          <w:trHeight w:hRule="exact" w:val="221"/>
          <w:jc w:val="center"/>
        </w:trPr>
        <w:tc>
          <w:tcPr>
            <w:tcW w:w="2175" w:type="pct"/>
            <w:vAlign w:val="bottom"/>
          </w:tcPr>
          <w:p w14:paraId="447EFDB7" w14:textId="77777777" w:rsidR="00506E9A" w:rsidRPr="0095347D" w:rsidRDefault="00506E9A" w:rsidP="00506E9A">
            <w:pPr>
              <w:tabs>
                <w:tab w:val="right" w:pos="1202"/>
                <w:tab w:val="right" w:pos="9781"/>
              </w:tabs>
              <w:suppressAutoHyphens/>
              <w:autoSpaceDN w:val="0"/>
              <w:spacing w:line="220" w:lineRule="exact"/>
              <w:outlineLvl w:val="0"/>
              <w:rPr>
                <w:rFonts w:ascii="Arial" w:eastAsia="Times New Roman" w:hAnsi="Arial" w:cs="Arial"/>
                <w:b/>
                <w:bCs/>
                <w:color w:val="000000" w:themeColor="text1"/>
                <w:sz w:val="18"/>
                <w:szCs w:val="18"/>
              </w:rPr>
            </w:pPr>
          </w:p>
        </w:tc>
        <w:tc>
          <w:tcPr>
            <w:tcW w:w="706" w:type="pct"/>
            <w:tcBorders>
              <w:top w:val="single" w:sz="12" w:space="0" w:color="auto"/>
              <w:left w:val="nil"/>
              <w:bottom w:val="nil"/>
              <w:right w:val="nil"/>
            </w:tcBorders>
            <w:shd w:val="clear" w:color="auto" w:fill="auto"/>
            <w:vAlign w:val="bottom"/>
          </w:tcPr>
          <w:p w14:paraId="56D8395C" w14:textId="77777777" w:rsidR="00506E9A" w:rsidRPr="0095347D" w:rsidRDefault="00506E9A" w:rsidP="00506E9A">
            <w:pPr>
              <w:tabs>
                <w:tab w:val="right" w:pos="1202"/>
              </w:tabs>
              <w:suppressAutoHyphens/>
              <w:autoSpaceDN w:val="0"/>
              <w:spacing w:line="340" w:lineRule="exact"/>
              <w:jc w:val="right"/>
              <w:outlineLvl w:val="0"/>
              <w:rPr>
                <w:rFonts w:ascii="Arial" w:eastAsia="Times New Roman" w:hAnsi="Arial" w:cs="Arial"/>
                <w:b/>
                <w:bCs/>
                <w:color w:val="000000" w:themeColor="text1"/>
                <w:sz w:val="18"/>
                <w:szCs w:val="18"/>
              </w:rPr>
            </w:pPr>
          </w:p>
        </w:tc>
        <w:tc>
          <w:tcPr>
            <w:tcW w:w="706" w:type="pct"/>
            <w:tcBorders>
              <w:top w:val="single" w:sz="12" w:space="0" w:color="auto"/>
              <w:left w:val="nil"/>
              <w:bottom w:val="nil"/>
              <w:right w:val="nil"/>
            </w:tcBorders>
            <w:shd w:val="clear" w:color="auto" w:fill="auto"/>
            <w:vAlign w:val="bottom"/>
          </w:tcPr>
          <w:p w14:paraId="401D5D22" w14:textId="77777777" w:rsidR="00506E9A" w:rsidRPr="0095347D" w:rsidRDefault="00506E9A" w:rsidP="00506E9A">
            <w:pPr>
              <w:tabs>
                <w:tab w:val="right" w:pos="1202"/>
              </w:tabs>
              <w:suppressAutoHyphens/>
              <w:autoSpaceDN w:val="0"/>
              <w:spacing w:line="340" w:lineRule="exact"/>
              <w:jc w:val="right"/>
              <w:outlineLvl w:val="0"/>
              <w:rPr>
                <w:rFonts w:ascii="Arial" w:eastAsia="Times New Roman" w:hAnsi="Arial" w:cs="Arial"/>
                <w:b/>
                <w:bCs/>
                <w:color w:val="000000" w:themeColor="text1"/>
                <w:sz w:val="18"/>
                <w:szCs w:val="18"/>
              </w:rPr>
            </w:pPr>
          </w:p>
        </w:tc>
        <w:tc>
          <w:tcPr>
            <w:tcW w:w="706" w:type="pct"/>
            <w:tcBorders>
              <w:top w:val="single" w:sz="12" w:space="0" w:color="auto"/>
              <w:left w:val="nil"/>
              <w:bottom w:val="nil"/>
              <w:right w:val="nil"/>
            </w:tcBorders>
            <w:shd w:val="clear" w:color="auto" w:fill="auto"/>
            <w:vAlign w:val="bottom"/>
          </w:tcPr>
          <w:p w14:paraId="418AAB9B" w14:textId="77777777" w:rsidR="00506E9A" w:rsidRPr="0095347D" w:rsidRDefault="00506E9A" w:rsidP="00506E9A">
            <w:pPr>
              <w:tabs>
                <w:tab w:val="right" w:pos="1202"/>
              </w:tabs>
              <w:suppressAutoHyphens/>
              <w:autoSpaceDN w:val="0"/>
              <w:spacing w:line="340" w:lineRule="exact"/>
              <w:jc w:val="right"/>
              <w:outlineLvl w:val="0"/>
              <w:rPr>
                <w:rFonts w:ascii="Arial" w:eastAsia="Times New Roman" w:hAnsi="Arial" w:cs="Arial"/>
                <w:b/>
                <w:bCs/>
                <w:color w:val="000000" w:themeColor="text1"/>
                <w:sz w:val="18"/>
                <w:szCs w:val="18"/>
              </w:rPr>
            </w:pPr>
          </w:p>
        </w:tc>
        <w:tc>
          <w:tcPr>
            <w:tcW w:w="707" w:type="pct"/>
            <w:tcBorders>
              <w:top w:val="single" w:sz="12" w:space="0" w:color="auto"/>
              <w:left w:val="nil"/>
              <w:bottom w:val="nil"/>
              <w:right w:val="nil"/>
            </w:tcBorders>
            <w:shd w:val="clear" w:color="auto" w:fill="auto"/>
            <w:vAlign w:val="bottom"/>
          </w:tcPr>
          <w:p w14:paraId="7FE6335E" w14:textId="77777777" w:rsidR="00506E9A" w:rsidRPr="0095347D" w:rsidRDefault="00506E9A" w:rsidP="00506E9A">
            <w:pPr>
              <w:tabs>
                <w:tab w:val="right" w:pos="1202"/>
              </w:tabs>
              <w:suppressAutoHyphens/>
              <w:autoSpaceDN w:val="0"/>
              <w:spacing w:line="340" w:lineRule="exact"/>
              <w:jc w:val="right"/>
              <w:outlineLvl w:val="0"/>
              <w:rPr>
                <w:rFonts w:ascii="Arial" w:eastAsia="Times New Roman" w:hAnsi="Arial" w:cs="Arial"/>
                <w:b/>
                <w:bCs/>
                <w:color w:val="000000" w:themeColor="text1"/>
                <w:sz w:val="18"/>
                <w:szCs w:val="18"/>
              </w:rPr>
            </w:pPr>
          </w:p>
        </w:tc>
      </w:tr>
      <w:tr w:rsidR="00506E9A" w:rsidRPr="0095347D" w14:paraId="34306333" w14:textId="77777777" w:rsidTr="007478FB">
        <w:trPr>
          <w:trHeight w:val="180"/>
          <w:jc w:val="center"/>
        </w:trPr>
        <w:tc>
          <w:tcPr>
            <w:tcW w:w="2175" w:type="pct"/>
            <w:vAlign w:val="bottom"/>
          </w:tcPr>
          <w:p w14:paraId="67830174" w14:textId="77777777" w:rsidR="00506E9A" w:rsidRPr="0095347D" w:rsidRDefault="00506E9A" w:rsidP="00506E9A">
            <w:pPr>
              <w:tabs>
                <w:tab w:val="right" w:pos="9781"/>
              </w:tabs>
              <w:suppressAutoHyphens/>
              <w:autoSpaceDN w:val="0"/>
              <w:spacing w:line="220" w:lineRule="exact"/>
              <w:outlineLvl w:val="0"/>
              <w:rPr>
                <w:rFonts w:ascii="Arial" w:eastAsia="Times New Roman" w:hAnsi="Arial" w:cs="Arial"/>
                <w:color w:val="000000" w:themeColor="text1"/>
                <w:sz w:val="18"/>
                <w:szCs w:val="18"/>
              </w:rPr>
            </w:pPr>
          </w:p>
        </w:tc>
        <w:tc>
          <w:tcPr>
            <w:tcW w:w="706" w:type="pct"/>
            <w:vAlign w:val="bottom"/>
          </w:tcPr>
          <w:p w14:paraId="27DBBBD3" w14:textId="40B3DFC7" w:rsidR="00506E9A" w:rsidRPr="0095347D" w:rsidRDefault="00506E9A" w:rsidP="00506E9A">
            <w:pPr>
              <w:tabs>
                <w:tab w:val="right" w:pos="1202"/>
              </w:tabs>
              <w:suppressAutoHyphens/>
              <w:autoSpaceDN w:val="0"/>
              <w:spacing w:line="220" w:lineRule="exact"/>
              <w:jc w:val="right"/>
              <w:outlineLvl w:val="0"/>
              <w:rPr>
                <w:rFonts w:ascii="Arial" w:eastAsia="Times New Roman" w:hAnsi="Arial" w:cs="Arial"/>
                <w:b/>
                <w:color w:val="000000" w:themeColor="text1"/>
                <w:sz w:val="18"/>
                <w:szCs w:val="18"/>
              </w:rPr>
            </w:pPr>
            <w:r w:rsidRPr="0095347D">
              <w:rPr>
                <w:rFonts w:ascii="Arial" w:eastAsia="Times New Roman" w:hAnsi="Arial" w:cs="Arial"/>
                <w:b/>
                <w:color w:val="000000" w:themeColor="text1"/>
                <w:sz w:val="18"/>
                <w:szCs w:val="18"/>
              </w:rPr>
              <w:t xml:space="preserve">000 </w:t>
            </w:r>
            <w:r>
              <w:rPr>
                <w:rFonts w:ascii="Arial" w:eastAsia="Times New Roman" w:hAnsi="Arial" w:cs="Arial"/>
                <w:b/>
                <w:color w:val="000000" w:themeColor="text1"/>
                <w:sz w:val="18"/>
                <w:szCs w:val="18"/>
              </w:rPr>
              <w:t>eura</w:t>
            </w:r>
          </w:p>
        </w:tc>
        <w:tc>
          <w:tcPr>
            <w:tcW w:w="706" w:type="pct"/>
            <w:vAlign w:val="bottom"/>
          </w:tcPr>
          <w:p w14:paraId="33C14AB8" w14:textId="4B4A8241" w:rsidR="00506E9A" w:rsidRPr="0095347D" w:rsidRDefault="00506E9A" w:rsidP="00506E9A">
            <w:pPr>
              <w:tabs>
                <w:tab w:val="right" w:pos="1202"/>
              </w:tabs>
              <w:suppressAutoHyphens/>
              <w:autoSpaceDN w:val="0"/>
              <w:spacing w:line="220" w:lineRule="exact"/>
              <w:jc w:val="right"/>
              <w:outlineLvl w:val="0"/>
              <w:rPr>
                <w:rFonts w:ascii="Arial" w:eastAsia="Times New Roman" w:hAnsi="Arial" w:cs="Arial"/>
                <w:b/>
                <w:color w:val="000000" w:themeColor="text1"/>
                <w:sz w:val="18"/>
                <w:szCs w:val="18"/>
              </w:rPr>
            </w:pPr>
            <w:r w:rsidRPr="0095347D">
              <w:rPr>
                <w:rFonts w:ascii="Arial" w:eastAsia="Times New Roman" w:hAnsi="Arial" w:cs="Arial"/>
                <w:b/>
                <w:color w:val="000000" w:themeColor="text1"/>
                <w:sz w:val="18"/>
                <w:szCs w:val="18"/>
              </w:rPr>
              <w:t xml:space="preserve">000 </w:t>
            </w:r>
            <w:r>
              <w:rPr>
                <w:rFonts w:ascii="Arial" w:eastAsia="Times New Roman" w:hAnsi="Arial" w:cs="Arial"/>
                <w:b/>
                <w:color w:val="000000" w:themeColor="text1"/>
                <w:sz w:val="18"/>
                <w:szCs w:val="18"/>
              </w:rPr>
              <w:t>eura</w:t>
            </w:r>
          </w:p>
        </w:tc>
        <w:tc>
          <w:tcPr>
            <w:tcW w:w="706" w:type="pct"/>
            <w:vAlign w:val="bottom"/>
          </w:tcPr>
          <w:p w14:paraId="195C501C" w14:textId="68CA113C" w:rsidR="00506E9A" w:rsidRPr="0095347D" w:rsidRDefault="00506E9A" w:rsidP="00506E9A">
            <w:pPr>
              <w:tabs>
                <w:tab w:val="right" w:pos="1202"/>
              </w:tabs>
              <w:suppressAutoHyphens/>
              <w:autoSpaceDN w:val="0"/>
              <w:spacing w:line="220" w:lineRule="exact"/>
              <w:jc w:val="right"/>
              <w:outlineLvl w:val="0"/>
              <w:rPr>
                <w:rFonts w:ascii="Arial" w:eastAsia="Times New Roman" w:hAnsi="Arial" w:cs="Arial"/>
                <w:b/>
                <w:color w:val="000000" w:themeColor="text1"/>
                <w:sz w:val="18"/>
                <w:szCs w:val="18"/>
              </w:rPr>
            </w:pPr>
            <w:r w:rsidRPr="0095347D">
              <w:rPr>
                <w:rFonts w:ascii="Arial" w:eastAsia="Times New Roman" w:hAnsi="Arial" w:cs="Arial"/>
                <w:b/>
                <w:color w:val="000000" w:themeColor="text1"/>
                <w:sz w:val="18"/>
                <w:szCs w:val="18"/>
              </w:rPr>
              <w:t xml:space="preserve">000 </w:t>
            </w:r>
            <w:r>
              <w:rPr>
                <w:rFonts w:ascii="Arial" w:eastAsia="Times New Roman" w:hAnsi="Arial" w:cs="Arial"/>
                <w:b/>
                <w:color w:val="000000" w:themeColor="text1"/>
                <w:sz w:val="18"/>
                <w:szCs w:val="18"/>
              </w:rPr>
              <w:t>eura</w:t>
            </w:r>
          </w:p>
        </w:tc>
        <w:tc>
          <w:tcPr>
            <w:tcW w:w="707" w:type="pct"/>
            <w:vAlign w:val="bottom"/>
          </w:tcPr>
          <w:p w14:paraId="0579FECB" w14:textId="57D3291D" w:rsidR="00506E9A" w:rsidRPr="0095347D" w:rsidRDefault="00506E9A" w:rsidP="00506E9A">
            <w:pPr>
              <w:tabs>
                <w:tab w:val="right" w:pos="1202"/>
              </w:tabs>
              <w:suppressAutoHyphens/>
              <w:autoSpaceDN w:val="0"/>
              <w:spacing w:line="220" w:lineRule="exact"/>
              <w:jc w:val="right"/>
              <w:outlineLvl w:val="0"/>
              <w:rPr>
                <w:rFonts w:ascii="Arial" w:eastAsia="Times New Roman" w:hAnsi="Arial" w:cs="Arial"/>
                <w:b/>
                <w:color w:val="000000" w:themeColor="text1"/>
                <w:sz w:val="18"/>
                <w:szCs w:val="18"/>
              </w:rPr>
            </w:pPr>
            <w:bookmarkStart w:id="1048" w:name="_Toc67331483"/>
            <w:r w:rsidRPr="0095347D">
              <w:rPr>
                <w:rFonts w:ascii="Arial" w:eastAsia="Times New Roman" w:hAnsi="Arial" w:cs="Arial"/>
                <w:b/>
                <w:color w:val="000000" w:themeColor="text1"/>
                <w:sz w:val="18"/>
                <w:szCs w:val="18"/>
              </w:rPr>
              <w:t xml:space="preserve">000 </w:t>
            </w:r>
            <w:r>
              <w:rPr>
                <w:rFonts w:ascii="Arial" w:eastAsia="Times New Roman" w:hAnsi="Arial" w:cs="Arial"/>
                <w:b/>
                <w:color w:val="000000" w:themeColor="text1"/>
                <w:sz w:val="18"/>
                <w:szCs w:val="18"/>
              </w:rPr>
              <w:t>eura</w:t>
            </w:r>
            <w:bookmarkEnd w:id="1048"/>
          </w:p>
        </w:tc>
      </w:tr>
      <w:tr w:rsidR="00506E9A" w:rsidRPr="0095347D" w14:paraId="1E37F6A5" w14:textId="77777777" w:rsidTr="007478FB">
        <w:trPr>
          <w:trHeight w:val="703"/>
          <w:jc w:val="center"/>
        </w:trPr>
        <w:tc>
          <w:tcPr>
            <w:tcW w:w="2175" w:type="pct"/>
            <w:vAlign w:val="bottom"/>
          </w:tcPr>
          <w:p w14:paraId="3F5A70DF" w14:textId="77777777" w:rsidR="00506E9A" w:rsidRPr="0095347D" w:rsidRDefault="00506E9A" w:rsidP="00506E9A">
            <w:pPr>
              <w:tabs>
                <w:tab w:val="right" w:pos="1202"/>
                <w:tab w:val="right" w:pos="9781"/>
              </w:tabs>
              <w:suppressAutoHyphens/>
              <w:autoSpaceDN w:val="0"/>
              <w:spacing w:line="220" w:lineRule="exact"/>
              <w:outlineLvl w:val="0"/>
              <w:rPr>
                <w:rFonts w:ascii="Arial" w:eastAsia="Times New Roman" w:hAnsi="Arial" w:cs="Arial"/>
                <w:b/>
                <w:bCs/>
                <w:color w:val="000000" w:themeColor="text1"/>
                <w:sz w:val="18"/>
                <w:szCs w:val="18"/>
              </w:rPr>
            </w:pPr>
            <w:bookmarkStart w:id="1049" w:name="_Toc67331485"/>
            <w:r w:rsidRPr="0095347D">
              <w:rPr>
                <w:rFonts w:ascii="Arial" w:eastAsia="Times New Roman" w:hAnsi="Arial" w:cs="Arial"/>
                <w:b/>
                <w:bCs/>
                <w:color w:val="000000" w:themeColor="text1"/>
                <w:sz w:val="18"/>
                <w:szCs w:val="18"/>
              </w:rPr>
              <w:t>Potreban iznos regulatornog kapitala za pokriće kapitalnih zahtjeva prema regulatornim zahtjevima</w:t>
            </w:r>
            <w:bookmarkEnd w:id="1049"/>
          </w:p>
        </w:tc>
        <w:tc>
          <w:tcPr>
            <w:tcW w:w="706" w:type="pct"/>
            <w:tcBorders>
              <w:bottom w:val="single" w:sz="12" w:space="0" w:color="auto"/>
            </w:tcBorders>
            <w:vAlign w:val="bottom"/>
          </w:tcPr>
          <w:p w14:paraId="0BA8F095" w14:textId="253AC92F" w:rsidR="00506E9A" w:rsidRPr="0095347D" w:rsidRDefault="0000741C" w:rsidP="00506E9A">
            <w:pPr>
              <w:tabs>
                <w:tab w:val="right" w:pos="1202"/>
              </w:tabs>
              <w:suppressAutoHyphens/>
              <w:autoSpaceDN w:val="0"/>
              <w:spacing w:line="340"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302.965</w:t>
            </w:r>
          </w:p>
        </w:tc>
        <w:tc>
          <w:tcPr>
            <w:tcW w:w="706" w:type="pct"/>
            <w:tcBorders>
              <w:bottom w:val="single" w:sz="12" w:space="0" w:color="auto"/>
            </w:tcBorders>
            <w:vAlign w:val="bottom"/>
          </w:tcPr>
          <w:p w14:paraId="6B22483D" w14:textId="609EAE38" w:rsidR="00506E9A" w:rsidRPr="0095347D" w:rsidRDefault="00506E9A" w:rsidP="00506E9A">
            <w:pPr>
              <w:tabs>
                <w:tab w:val="right" w:pos="1202"/>
              </w:tabs>
              <w:suppressAutoHyphens/>
              <w:autoSpaceDN w:val="0"/>
              <w:spacing w:line="340"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319.902</w:t>
            </w:r>
          </w:p>
        </w:tc>
        <w:tc>
          <w:tcPr>
            <w:tcW w:w="706" w:type="pct"/>
            <w:tcBorders>
              <w:bottom w:val="single" w:sz="12" w:space="0" w:color="auto"/>
            </w:tcBorders>
            <w:vAlign w:val="bottom"/>
          </w:tcPr>
          <w:p w14:paraId="1D3A2A46" w14:textId="607DF65B" w:rsidR="00506E9A" w:rsidRPr="00504BDA" w:rsidRDefault="00055A54" w:rsidP="00506E9A">
            <w:pPr>
              <w:tabs>
                <w:tab w:val="right" w:pos="1202"/>
              </w:tabs>
              <w:suppressAutoHyphens/>
              <w:autoSpaceDN w:val="0"/>
              <w:spacing w:line="340"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302.201</w:t>
            </w:r>
          </w:p>
        </w:tc>
        <w:tc>
          <w:tcPr>
            <w:tcW w:w="707" w:type="pct"/>
            <w:tcBorders>
              <w:bottom w:val="single" w:sz="12" w:space="0" w:color="auto"/>
            </w:tcBorders>
            <w:vAlign w:val="bottom"/>
          </w:tcPr>
          <w:p w14:paraId="5B74784D" w14:textId="46D20D46" w:rsidR="00506E9A" w:rsidRPr="00504BDA" w:rsidRDefault="00506E9A" w:rsidP="00506E9A">
            <w:pPr>
              <w:tabs>
                <w:tab w:val="right" w:pos="1202"/>
              </w:tabs>
              <w:suppressAutoHyphens/>
              <w:autoSpaceDN w:val="0"/>
              <w:spacing w:line="340"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319.163</w:t>
            </w:r>
          </w:p>
        </w:tc>
      </w:tr>
    </w:tbl>
    <w:p w14:paraId="07DE94B9" w14:textId="00FC424C" w:rsidR="00870460" w:rsidRPr="003D1614" w:rsidRDefault="00870460" w:rsidP="003E5073">
      <w:pPr>
        <w:suppressAutoHyphens/>
        <w:autoSpaceDN w:val="0"/>
        <w:jc w:val="both"/>
        <w:rPr>
          <w:rFonts w:ascii="Arial" w:eastAsia="Calibri" w:hAnsi="Arial" w:cs="Arial"/>
          <w:color w:val="000000" w:themeColor="text1"/>
          <w:sz w:val="20"/>
          <w:szCs w:val="20"/>
        </w:rPr>
        <w:sectPr w:rsidR="00870460" w:rsidRPr="003D1614" w:rsidSect="003278AB">
          <w:footerReference w:type="default" r:id="rId33"/>
          <w:pgSz w:w="11906" w:h="16838"/>
          <w:pgMar w:top="1417" w:right="1417" w:bottom="1417" w:left="1417" w:header="708" w:footer="708" w:gutter="0"/>
          <w:cols w:space="708"/>
          <w:docGrid w:linePitch="360"/>
        </w:sectPr>
      </w:pPr>
    </w:p>
    <w:p w14:paraId="7CAEE384" w14:textId="77777777" w:rsidR="0056686B" w:rsidRPr="003D1614" w:rsidRDefault="0056686B" w:rsidP="0056686B">
      <w:pPr>
        <w:suppressAutoHyphens/>
        <w:autoSpaceDN w:val="0"/>
        <w:jc w:val="both"/>
        <w:rPr>
          <w:rFonts w:ascii="Arial" w:eastAsia="Times New Roman" w:hAnsi="Arial" w:cs="Arial"/>
          <w:color w:val="000000" w:themeColor="text1"/>
          <w:sz w:val="20"/>
          <w:szCs w:val="20"/>
        </w:rPr>
      </w:pPr>
    </w:p>
    <w:tbl>
      <w:tblPr>
        <w:tblpPr w:leftFromText="181" w:rightFromText="181" w:vertAnchor="text" w:horzAnchor="margin" w:tblpXSpec="center" w:tblpY="1"/>
        <w:tblW w:w="9008" w:type="dxa"/>
        <w:tblLayout w:type="fixed"/>
        <w:tblLook w:val="04A0" w:firstRow="1" w:lastRow="0" w:firstColumn="1" w:lastColumn="0" w:noHBand="0" w:noVBand="1"/>
      </w:tblPr>
      <w:tblGrid>
        <w:gridCol w:w="6387"/>
        <w:gridCol w:w="1403"/>
        <w:gridCol w:w="1218"/>
      </w:tblGrid>
      <w:tr w:rsidR="006A1846" w:rsidRPr="0056686B" w14:paraId="3A673628" w14:textId="77777777" w:rsidTr="004454D6">
        <w:trPr>
          <w:trHeight w:val="80"/>
        </w:trPr>
        <w:tc>
          <w:tcPr>
            <w:tcW w:w="6387" w:type="dxa"/>
            <w:tcBorders>
              <w:left w:val="nil"/>
              <w:bottom w:val="nil"/>
              <w:right w:val="nil"/>
            </w:tcBorders>
            <w:shd w:val="clear" w:color="auto" w:fill="auto"/>
            <w:vAlign w:val="bottom"/>
          </w:tcPr>
          <w:p w14:paraId="10F227B3" w14:textId="77777777" w:rsidR="006A1846" w:rsidRPr="0056686B" w:rsidRDefault="006A1846" w:rsidP="004454D6">
            <w:pPr>
              <w:suppressAutoHyphens/>
              <w:autoSpaceDN w:val="0"/>
              <w:rPr>
                <w:rFonts w:ascii="Arial" w:eastAsia="Times New Roman" w:hAnsi="Arial" w:cs="Arial"/>
                <w:b/>
                <w:bCs/>
                <w:color w:val="000000" w:themeColor="text1"/>
                <w:sz w:val="18"/>
                <w:szCs w:val="18"/>
              </w:rPr>
            </w:pPr>
          </w:p>
        </w:tc>
        <w:tc>
          <w:tcPr>
            <w:tcW w:w="1403" w:type="dxa"/>
            <w:tcBorders>
              <w:left w:val="nil"/>
              <w:bottom w:val="nil"/>
              <w:right w:val="nil"/>
            </w:tcBorders>
            <w:shd w:val="clear" w:color="auto" w:fill="auto"/>
            <w:noWrap/>
            <w:vAlign w:val="bottom"/>
          </w:tcPr>
          <w:p w14:paraId="34E9A7EA" w14:textId="77777777" w:rsidR="006A1846" w:rsidRPr="0056686B" w:rsidRDefault="006A1846" w:rsidP="004454D6">
            <w:pPr>
              <w:suppressAutoHyphens/>
              <w:autoSpaceDN w:val="0"/>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3</w:t>
            </w:r>
            <w:r>
              <w:rPr>
                <w:rFonts w:ascii="Arial" w:eastAsia="Times New Roman" w:hAnsi="Arial" w:cs="Arial"/>
                <w:b/>
                <w:bCs/>
                <w:color w:val="000000" w:themeColor="text1"/>
                <w:sz w:val="18"/>
                <w:szCs w:val="18"/>
              </w:rPr>
              <w:t>0</w:t>
            </w:r>
            <w:r w:rsidRPr="003D1614">
              <w:rPr>
                <w:rFonts w:ascii="Arial" w:eastAsia="Times New Roman" w:hAnsi="Arial" w:cs="Arial"/>
                <w:b/>
                <w:bCs/>
                <w:color w:val="000000" w:themeColor="text1"/>
                <w:sz w:val="18"/>
                <w:szCs w:val="18"/>
              </w:rPr>
              <w:t>.</w:t>
            </w:r>
            <w:r>
              <w:rPr>
                <w:rFonts w:ascii="Arial" w:eastAsia="Times New Roman" w:hAnsi="Arial" w:cs="Arial"/>
                <w:b/>
                <w:bCs/>
                <w:color w:val="000000" w:themeColor="text1"/>
                <w:sz w:val="18"/>
                <w:szCs w:val="18"/>
              </w:rPr>
              <w:t>9.</w:t>
            </w:r>
            <w:r w:rsidRPr="0056686B">
              <w:rPr>
                <w:rFonts w:ascii="Arial" w:eastAsia="Times New Roman" w:hAnsi="Arial" w:cs="Arial"/>
                <w:b/>
                <w:bCs/>
                <w:color w:val="000000" w:themeColor="text1"/>
                <w:sz w:val="18"/>
                <w:szCs w:val="18"/>
              </w:rPr>
              <w:t>202</w:t>
            </w:r>
            <w:r>
              <w:rPr>
                <w:rFonts w:ascii="Arial" w:eastAsia="Times New Roman" w:hAnsi="Arial" w:cs="Arial"/>
                <w:b/>
                <w:bCs/>
                <w:color w:val="000000" w:themeColor="text1"/>
                <w:sz w:val="18"/>
                <w:szCs w:val="18"/>
              </w:rPr>
              <w:t>4</w:t>
            </w:r>
            <w:r w:rsidRPr="0056686B">
              <w:rPr>
                <w:rFonts w:ascii="Arial" w:eastAsia="Times New Roman" w:hAnsi="Arial" w:cs="Arial"/>
                <w:b/>
                <w:bCs/>
                <w:color w:val="000000" w:themeColor="text1"/>
                <w:sz w:val="18"/>
                <w:szCs w:val="18"/>
              </w:rPr>
              <w:t>.</w:t>
            </w:r>
          </w:p>
        </w:tc>
        <w:tc>
          <w:tcPr>
            <w:tcW w:w="1218" w:type="dxa"/>
            <w:tcBorders>
              <w:left w:val="nil"/>
              <w:bottom w:val="nil"/>
              <w:right w:val="nil"/>
            </w:tcBorders>
            <w:vAlign w:val="bottom"/>
          </w:tcPr>
          <w:p w14:paraId="02DB8418" w14:textId="77777777" w:rsidR="006A1846" w:rsidRPr="0056686B" w:rsidRDefault="006A1846" w:rsidP="004454D6">
            <w:pPr>
              <w:suppressAutoHyphens/>
              <w:autoSpaceDN w:val="0"/>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3</w:t>
            </w:r>
            <w:r>
              <w:rPr>
                <w:rFonts w:ascii="Arial" w:eastAsia="Times New Roman" w:hAnsi="Arial" w:cs="Arial"/>
                <w:b/>
                <w:bCs/>
                <w:color w:val="000000" w:themeColor="text1"/>
                <w:sz w:val="18"/>
                <w:szCs w:val="18"/>
              </w:rPr>
              <w:t>0</w:t>
            </w:r>
            <w:r w:rsidRPr="003D1614">
              <w:rPr>
                <w:rFonts w:ascii="Arial" w:eastAsia="Times New Roman" w:hAnsi="Arial" w:cs="Arial"/>
                <w:b/>
                <w:bCs/>
                <w:color w:val="000000" w:themeColor="text1"/>
                <w:sz w:val="18"/>
                <w:szCs w:val="18"/>
              </w:rPr>
              <w:t>.</w:t>
            </w:r>
            <w:r>
              <w:rPr>
                <w:rFonts w:ascii="Arial" w:eastAsia="Times New Roman" w:hAnsi="Arial" w:cs="Arial"/>
                <w:b/>
                <w:bCs/>
                <w:color w:val="000000" w:themeColor="text1"/>
                <w:sz w:val="18"/>
                <w:szCs w:val="18"/>
              </w:rPr>
              <w:t>9</w:t>
            </w:r>
            <w:r w:rsidRPr="003D1614">
              <w:rPr>
                <w:rFonts w:ascii="Arial" w:eastAsia="Times New Roman" w:hAnsi="Arial" w:cs="Arial"/>
                <w:b/>
                <w:bCs/>
                <w:color w:val="000000" w:themeColor="text1"/>
                <w:sz w:val="18"/>
                <w:szCs w:val="18"/>
              </w:rPr>
              <w:t>.</w:t>
            </w:r>
            <w:r w:rsidRPr="0056686B">
              <w:rPr>
                <w:rFonts w:ascii="Arial" w:eastAsia="Times New Roman" w:hAnsi="Arial" w:cs="Arial"/>
                <w:b/>
                <w:bCs/>
                <w:color w:val="000000" w:themeColor="text1"/>
                <w:sz w:val="18"/>
                <w:szCs w:val="18"/>
              </w:rPr>
              <w:t>202</w:t>
            </w:r>
            <w:r>
              <w:rPr>
                <w:rFonts w:ascii="Arial" w:eastAsia="Times New Roman" w:hAnsi="Arial" w:cs="Arial"/>
                <w:b/>
                <w:bCs/>
                <w:color w:val="000000" w:themeColor="text1"/>
                <w:sz w:val="18"/>
                <w:szCs w:val="18"/>
              </w:rPr>
              <w:t>3</w:t>
            </w:r>
            <w:r w:rsidRPr="0056686B">
              <w:rPr>
                <w:rFonts w:ascii="Arial" w:eastAsia="Times New Roman" w:hAnsi="Arial" w:cs="Arial"/>
                <w:b/>
                <w:bCs/>
                <w:color w:val="000000" w:themeColor="text1"/>
                <w:sz w:val="18"/>
                <w:szCs w:val="18"/>
              </w:rPr>
              <w:t>.</w:t>
            </w:r>
          </w:p>
        </w:tc>
      </w:tr>
      <w:tr w:rsidR="006A1846" w:rsidRPr="0056686B" w14:paraId="6EF41681" w14:textId="77777777" w:rsidTr="004454D6">
        <w:trPr>
          <w:trHeight w:val="64"/>
        </w:trPr>
        <w:tc>
          <w:tcPr>
            <w:tcW w:w="6387" w:type="dxa"/>
            <w:tcBorders>
              <w:left w:val="nil"/>
              <w:bottom w:val="nil"/>
              <w:right w:val="nil"/>
            </w:tcBorders>
            <w:shd w:val="clear" w:color="auto" w:fill="auto"/>
            <w:vAlign w:val="bottom"/>
          </w:tcPr>
          <w:p w14:paraId="2495612B" w14:textId="77777777" w:rsidR="006A1846" w:rsidRPr="0056686B" w:rsidRDefault="006A1846" w:rsidP="004454D6">
            <w:pPr>
              <w:suppressAutoHyphens/>
              <w:autoSpaceDN w:val="0"/>
              <w:rPr>
                <w:rFonts w:ascii="Arial" w:eastAsia="Times New Roman" w:hAnsi="Arial" w:cs="Arial"/>
                <w:b/>
                <w:bCs/>
                <w:color w:val="000000" w:themeColor="text1"/>
                <w:sz w:val="18"/>
                <w:szCs w:val="18"/>
              </w:rPr>
            </w:pPr>
          </w:p>
        </w:tc>
        <w:tc>
          <w:tcPr>
            <w:tcW w:w="1403" w:type="dxa"/>
            <w:tcBorders>
              <w:left w:val="nil"/>
              <w:bottom w:val="nil"/>
              <w:right w:val="nil"/>
            </w:tcBorders>
            <w:shd w:val="clear" w:color="auto" w:fill="auto"/>
            <w:noWrap/>
            <w:vAlign w:val="bottom"/>
          </w:tcPr>
          <w:p w14:paraId="11BD87CA" w14:textId="77777777" w:rsidR="006A1846" w:rsidRPr="0056686B" w:rsidRDefault="006A1846" w:rsidP="004454D6">
            <w:pPr>
              <w:suppressAutoHyphens/>
              <w:autoSpaceDN w:val="0"/>
              <w:jc w:val="right"/>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 xml:space="preserve">000 </w:t>
            </w:r>
            <w:r w:rsidRPr="003D1614">
              <w:rPr>
                <w:rFonts w:ascii="Arial" w:eastAsia="Times New Roman" w:hAnsi="Arial" w:cs="Arial"/>
                <w:b/>
                <w:bCs/>
                <w:color w:val="000000" w:themeColor="text1"/>
                <w:sz w:val="18"/>
                <w:szCs w:val="18"/>
              </w:rPr>
              <w:t>eura</w:t>
            </w:r>
          </w:p>
        </w:tc>
        <w:tc>
          <w:tcPr>
            <w:tcW w:w="1218" w:type="dxa"/>
            <w:tcBorders>
              <w:left w:val="nil"/>
              <w:bottom w:val="nil"/>
              <w:right w:val="nil"/>
            </w:tcBorders>
            <w:vAlign w:val="bottom"/>
          </w:tcPr>
          <w:p w14:paraId="2F0F09B4" w14:textId="77777777" w:rsidR="006A1846" w:rsidRPr="0056686B" w:rsidRDefault="006A1846" w:rsidP="004454D6">
            <w:pPr>
              <w:suppressAutoHyphens/>
              <w:autoSpaceDN w:val="0"/>
              <w:jc w:val="right"/>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 xml:space="preserve">000 </w:t>
            </w:r>
            <w:r w:rsidRPr="003D1614">
              <w:rPr>
                <w:rFonts w:ascii="Arial" w:eastAsia="Times New Roman" w:hAnsi="Arial" w:cs="Arial"/>
                <w:b/>
                <w:bCs/>
                <w:color w:val="000000" w:themeColor="text1"/>
                <w:sz w:val="18"/>
                <w:szCs w:val="18"/>
              </w:rPr>
              <w:t>eura</w:t>
            </w:r>
          </w:p>
        </w:tc>
      </w:tr>
      <w:tr w:rsidR="006A1846" w:rsidRPr="0056686B" w14:paraId="6E0EE46B" w14:textId="77777777" w:rsidTr="004454D6">
        <w:trPr>
          <w:trHeight w:val="64"/>
        </w:trPr>
        <w:tc>
          <w:tcPr>
            <w:tcW w:w="6387" w:type="dxa"/>
            <w:tcBorders>
              <w:left w:val="nil"/>
              <w:bottom w:val="nil"/>
              <w:right w:val="nil"/>
            </w:tcBorders>
            <w:shd w:val="clear" w:color="auto" w:fill="auto"/>
            <w:vAlign w:val="bottom"/>
          </w:tcPr>
          <w:p w14:paraId="25104415" w14:textId="77777777" w:rsidR="006A1846" w:rsidRPr="0056686B" w:rsidRDefault="006A1846" w:rsidP="004454D6">
            <w:pPr>
              <w:suppressAutoHyphens/>
              <w:autoSpaceDN w:val="0"/>
              <w:rPr>
                <w:rFonts w:ascii="Arial" w:eastAsia="Times New Roman" w:hAnsi="Arial" w:cs="Arial"/>
                <w:b/>
                <w:bCs/>
                <w:color w:val="000000" w:themeColor="text1"/>
                <w:sz w:val="18"/>
                <w:szCs w:val="18"/>
              </w:rPr>
            </w:pPr>
          </w:p>
        </w:tc>
        <w:tc>
          <w:tcPr>
            <w:tcW w:w="1403" w:type="dxa"/>
            <w:tcBorders>
              <w:left w:val="nil"/>
              <w:right w:val="nil"/>
            </w:tcBorders>
            <w:shd w:val="clear" w:color="auto" w:fill="auto"/>
            <w:noWrap/>
            <w:vAlign w:val="bottom"/>
          </w:tcPr>
          <w:p w14:paraId="7C109EC9" w14:textId="77777777" w:rsidR="006A1846" w:rsidRPr="0056686B" w:rsidRDefault="006A1846" w:rsidP="004454D6">
            <w:pPr>
              <w:suppressAutoHyphens/>
              <w:autoSpaceDN w:val="0"/>
              <w:jc w:val="right"/>
              <w:rPr>
                <w:rFonts w:ascii="Arial" w:eastAsia="Times New Roman" w:hAnsi="Arial" w:cs="Arial"/>
                <w:b/>
                <w:bCs/>
                <w:color w:val="000000" w:themeColor="text1"/>
                <w:sz w:val="18"/>
                <w:szCs w:val="18"/>
              </w:rPr>
            </w:pPr>
          </w:p>
        </w:tc>
        <w:tc>
          <w:tcPr>
            <w:tcW w:w="1218" w:type="dxa"/>
            <w:tcBorders>
              <w:left w:val="nil"/>
              <w:right w:val="nil"/>
            </w:tcBorders>
            <w:vAlign w:val="bottom"/>
          </w:tcPr>
          <w:p w14:paraId="24A877F6" w14:textId="77777777" w:rsidR="006A1846" w:rsidRPr="0056686B" w:rsidRDefault="006A1846" w:rsidP="004454D6">
            <w:pPr>
              <w:suppressAutoHyphens/>
              <w:autoSpaceDN w:val="0"/>
              <w:jc w:val="right"/>
              <w:rPr>
                <w:rFonts w:ascii="Arial" w:eastAsia="Times New Roman" w:hAnsi="Arial" w:cs="Arial"/>
                <w:b/>
                <w:bCs/>
                <w:color w:val="000000" w:themeColor="text1"/>
                <w:sz w:val="18"/>
                <w:szCs w:val="18"/>
              </w:rPr>
            </w:pPr>
          </w:p>
        </w:tc>
      </w:tr>
      <w:tr w:rsidR="006A1846" w:rsidRPr="0056686B" w14:paraId="700D66DA" w14:textId="77777777" w:rsidTr="004454D6">
        <w:trPr>
          <w:trHeight w:val="73"/>
        </w:trPr>
        <w:tc>
          <w:tcPr>
            <w:tcW w:w="6387" w:type="dxa"/>
            <w:tcBorders>
              <w:top w:val="nil"/>
              <w:left w:val="nil"/>
              <w:bottom w:val="nil"/>
              <w:right w:val="nil"/>
            </w:tcBorders>
            <w:shd w:val="clear" w:color="auto" w:fill="auto"/>
            <w:vAlign w:val="bottom"/>
          </w:tcPr>
          <w:p w14:paraId="4C5DC4B9" w14:textId="77777777" w:rsidR="006A1846" w:rsidRPr="0056686B" w:rsidRDefault="006A1846" w:rsidP="004454D6">
            <w:pPr>
              <w:suppressAutoHyphens/>
              <w:autoSpaceDN w:val="0"/>
              <w:rPr>
                <w:rFonts w:ascii="Arial" w:eastAsia="Times New Roman" w:hAnsi="Arial" w:cs="Arial"/>
                <w:b/>
                <w:color w:val="000000" w:themeColor="text1"/>
                <w:sz w:val="18"/>
                <w:szCs w:val="18"/>
              </w:rPr>
            </w:pPr>
            <w:r w:rsidRPr="00A05B99">
              <w:rPr>
                <w:rFonts w:ascii="Arial" w:eastAsia="Times New Roman" w:hAnsi="Arial" w:cs="Arial"/>
                <w:b/>
                <w:color w:val="000000" w:themeColor="text1"/>
                <w:sz w:val="18"/>
                <w:szCs w:val="18"/>
              </w:rPr>
              <w:t>Prihodi od ugovora o osiguranju</w:t>
            </w:r>
            <w:r w:rsidRPr="00A05B99">
              <w:rPr>
                <w:rFonts w:ascii="Arial" w:eastAsia="Times New Roman" w:hAnsi="Arial" w:cs="Arial"/>
                <w:b/>
                <w:color w:val="000000" w:themeColor="text1"/>
                <w:sz w:val="18"/>
                <w:szCs w:val="18"/>
              </w:rPr>
              <w:tab/>
            </w:r>
          </w:p>
        </w:tc>
        <w:tc>
          <w:tcPr>
            <w:tcW w:w="1403" w:type="dxa"/>
            <w:tcBorders>
              <w:top w:val="nil"/>
              <w:left w:val="nil"/>
              <w:bottom w:val="single" w:sz="12" w:space="0" w:color="auto"/>
              <w:right w:val="nil"/>
            </w:tcBorders>
            <w:shd w:val="clear" w:color="auto" w:fill="auto"/>
            <w:noWrap/>
            <w:vAlign w:val="bottom"/>
          </w:tcPr>
          <w:p w14:paraId="4450BDC1" w14:textId="77777777" w:rsidR="006A1846" w:rsidRPr="00163A49" w:rsidRDefault="006A1846" w:rsidP="004454D6">
            <w:pPr>
              <w:suppressAutoHyphens/>
              <w:autoSpaceDN w:val="0"/>
              <w:jc w:val="right"/>
              <w:rPr>
                <w:rFonts w:ascii="Arial" w:eastAsia="Times New Roman" w:hAnsi="Arial" w:cs="Arial"/>
                <w:b/>
                <w:bCs/>
                <w:color w:val="000000" w:themeColor="text1"/>
                <w:sz w:val="18"/>
                <w:szCs w:val="18"/>
              </w:rPr>
            </w:pPr>
            <w:r w:rsidRPr="005025EC">
              <w:rPr>
                <w:rFonts w:ascii="Arial" w:eastAsia="Times New Roman" w:hAnsi="Arial" w:cs="Arial"/>
                <w:b/>
                <w:bCs/>
                <w:color w:val="000000" w:themeColor="text1"/>
                <w:sz w:val="18"/>
                <w:szCs w:val="18"/>
              </w:rPr>
              <w:t>2</w:t>
            </w:r>
            <w:r>
              <w:rPr>
                <w:rFonts w:ascii="Arial" w:eastAsia="Times New Roman" w:hAnsi="Arial" w:cs="Arial"/>
                <w:b/>
                <w:bCs/>
                <w:color w:val="000000" w:themeColor="text1"/>
                <w:sz w:val="18"/>
                <w:szCs w:val="18"/>
              </w:rPr>
              <w:t>.</w:t>
            </w:r>
            <w:r w:rsidRPr="005025EC">
              <w:rPr>
                <w:rFonts w:ascii="Arial" w:eastAsia="Times New Roman" w:hAnsi="Arial" w:cs="Arial"/>
                <w:b/>
                <w:bCs/>
                <w:color w:val="000000" w:themeColor="text1"/>
                <w:sz w:val="18"/>
                <w:szCs w:val="18"/>
              </w:rPr>
              <w:t>036</w:t>
            </w:r>
          </w:p>
        </w:tc>
        <w:tc>
          <w:tcPr>
            <w:tcW w:w="1218" w:type="dxa"/>
            <w:tcBorders>
              <w:top w:val="nil"/>
              <w:left w:val="nil"/>
              <w:bottom w:val="single" w:sz="12" w:space="0" w:color="auto"/>
              <w:right w:val="nil"/>
            </w:tcBorders>
            <w:vAlign w:val="bottom"/>
          </w:tcPr>
          <w:p w14:paraId="688C7911" w14:textId="77777777" w:rsidR="006A1846" w:rsidRPr="0056686B" w:rsidRDefault="006A1846" w:rsidP="004454D6">
            <w:pPr>
              <w:suppressAutoHyphens/>
              <w:autoSpaceDN w:val="0"/>
              <w:jc w:val="right"/>
              <w:rPr>
                <w:rFonts w:ascii="Arial" w:eastAsia="Times New Roman" w:hAnsi="Arial" w:cs="Arial"/>
                <w:color w:val="000000" w:themeColor="text1"/>
                <w:sz w:val="18"/>
                <w:szCs w:val="18"/>
              </w:rPr>
            </w:pPr>
            <w:r w:rsidRPr="009D6246">
              <w:rPr>
                <w:rFonts w:ascii="Arial" w:eastAsia="Times New Roman" w:hAnsi="Arial" w:cs="Arial"/>
                <w:b/>
                <w:bCs/>
                <w:color w:val="000000" w:themeColor="text1"/>
                <w:sz w:val="18"/>
                <w:szCs w:val="18"/>
              </w:rPr>
              <w:t>2</w:t>
            </w:r>
            <w:r>
              <w:rPr>
                <w:rFonts w:ascii="Arial" w:eastAsia="Times New Roman" w:hAnsi="Arial" w:cs="Arial"/>
                <w:b/>
                <w:bCs/>
                <w:color w:val="000000" w:themeColor="text1"/>
                <w:sz w:val="18"/>
                <w:szCs w:val="18"/>
              </w:rPr>
              <w:t>.</w:t>
            </w:r>
            <w:r w:rsidRPr="009D6246">
              <w:rPr>
                <w:rFonts w:ascii="Arial" w:eastAsia="Times New Roman" w:hAnsi="Arial" w:cs="Arial"/>
                <w:b/>
                <w:bCs/>
                <w:color w:val="000000" w:themeColor="text1"/>
                <w:sz w:val="18"/>
                <w:szCs w:val="18"/>
              </w:rPr>
              <w:t>123</w:t>
            </w:r>
          </w:p>
        </w:tc>
      </w:tr>
      <w:tr w:rsidR="006A1846" w:rsidRPr="0056686B" w14:paraId="549F2544" w14:textId="77777777" w:rsidTr="004454D6">
        <w:trPr>
          <w:trHeight w:val="73"/>
        </w:trPr>
        <w:tc>
          <w:tcPr>
            <w:tcW w:w="6387" w:type="dxa"/>
            <w:tcBorders>
              <w:top w:val="nil"/>
              <w:left w:val="nil"/>
              <w:bottom w:val="nil"/>
              <w:right w:val="nil"/>
            </w:tcBorders>
            <w:shd w:val="clear" w:color="auto" w:fill="auto"/>
            <w:vAlign w:val="bottom"/>
          </w:tcPr>
          <w:p w14:paraId="4D2FA5B1" w14:textId="77777777" w:rsidR="006A1846" w:rsidRPr="00A05B99" w:rsidRDefault="006A1846" w:rsidP="004454D6">
            <w:pPr>
              <w:suppressAutoHyphens/>
              <w:autoSpaceDN w:val="0"/>
              <w:rPr>
                <w:rFonts w:ascii="Arial" w:eastAsia="Times New Roman" w:hAnsi="Arial" w:cs="Arial"/>
                <w:b/>
                <w:color w:val="000000" w:themeColor="text1"/>
                <w:sz w:val="18"/>
                <w:szCs w:val="18"/>
              </w:rPr>
            </w:pPr>
          </w:p>
        </w:tc>
        <w:tc>
          <w:tcPr>
            <w:tcW w:w="1403" w:type="dxa"/>
            <w:tcBorders>
              <w:top w:val="single" w:sz="12" w:space="0" w:color="auto"/>
              <w:left w:val="nil"/>
              <w:bottom w:val="nil"/>
              <w:right w:val="nil"/>
            </w:tcBorders>
            <w:shd w:val="clear" w:color="auto" w:fill="auto"/>
            <w:noWrap/>
            <w:vAlign w:val="bottom"/>
          </w:tcPr>
          <w:p w14:paraId="37F451BD" w14:textId="77777777" w:rsidR="006A1846" w:rsidRPr="0056686B" w:rsidRDefault="006A1846" w:rsidP="004454D6">
            <w:pPr>
              <w:suppressAutoHyphens/>
              <w:autoSpaceDN w:val="0"/>
              <w:jc w:val="right"/>
              <w:rPr>
                <w:rFonts w:ascii="Arial" w:eastAsia="Times New Roman" w:hAnsi="Arial" w:cs="Arial"/>
                <w:color w:val="000000" w:themeColor="text1"/>
                <w:sz w:val="18"/>
                <w:szCs w:val="18"/>
              </w:rPr>
            </w:pPr>
          </w:p>
        </w:tc>
        <w:tc>
          <w:tcPr>
            <w:tcW w:w="1218" w:type="dxa"/>
            <w:tcBorders>
              <w:top w:val="single" w:sz="12" w:space="0" w:color="auto"/>
              <w:left w:val="nil"/>
              <w:bottom w:val="nil"/>
              <w:right w:val="nil"/>
            </w:tcBorders>
            <w:vAlign w:val="bottom"/>
          </w:tcPr>
          <w:p w14:paraId="32F0A2B7" w14:textId="77777777" w:rsidR="006A1846" w:rsidRPr="0056686B" w:rsidRDefault="006A1846" w:rsidP="004454D6">
            <w:pPr>
              <w:suppressAutoHyphens/>
              <w:autoSpaceDN w:val="0"/>
              <w:jc w:val="right"/>
              <w:rPr>
                <w:rFonts w:ascii="Arial" w:eastAsia="Times New Roman" w:hAnsi="Arial" w:cs="Arial"/>
                <w:color w:val="000000" w:themeColor="text1"/>
                <w:sz w:val="18"/>
                <w:szCs w:val="18"/>
              </w:rPr>
            </w:pPr>
          </w:p>
        </w:tc>
      </w:tr>
      <w:tr w:rsidR="006A1846" w:rsidRPr="0056686B" w14:paraId="54F915DE" w14:textId="77777777" w:rsidTr="004454D6">
        <w:trPr>
          <w:trHeight w:val="73"/>
        </w:trPr>
        <w:tc>
          <w:tcPr>
            <w:tcW w:w="6387" w:type="dxa"/>
            <w:tcBorders>
              <w:top w:val="nil"/>
              <w:left w:val="nil"/>
              <w:bottom w:val="nil"/>
              <w:right w:val="nil"/>
            </w:tcBorders>
            <w:shd w:val="clear" w:color="auto" w:fill="auto"/>
            <w:vAlign w:val="bottom"/>
          </w:tcPr>
          <w:p w14:paraId="786572EC" w14:textId="77777777" w:rsidR="006A1846" w:rsidRPr="0056686B" w:rsidRDefault="006A1846" w:rsidP="004454D6">
            <w:pPr>
              <w:suppressAutoHyphens/>
              <w:autoSpaceDN w:val="0"/>
              <w:rPr>
                <w:rFonts w:ascii="Arial" w:eastAsia="Times New Roman" w:hAnsi="Arial" w:cs="Arial"/>
                <w:b/>
                <w:color w:val="000000" w:themeColor="text1"/>
                <w:sz w:val="18"/>
                <w:szCs w:val="18"/>
              </w:rPr>
            </w:pPr>
            <w:r w:rsidRPr="0056686B">
              <w:rPr>
                <w:rFonts w:ascii="Arial" w:eastAsia="Times New Roman" w:hAnsi="Arial" w:cs="Arial"/>
                <w:b/>
                <w:color w:val="000000" w:themeColor="text1"/>
                <w:sz w:val="18"/>
                <w:szCs w:val="18"/>
              </w:rPr>
              <w:t>Zarađene premije</w:t>
            </w:r>
          </w:p>
        </w:tc>
        <w:tc>
          <w:tcPr>
            <w:tcW w:w="1403" w:type="dxa"/>
            <w:tcBorders>
              <w:top w:val="nil"/>
              <w:left w:val="nil"/>
              <w:bottom w:val="nil"/>
              <w:right w:val="nil"/>
            </w:tcBorders>
            <w:shd w:val="clear" w:color="auto" w:fill="auto"/>
            <w:noWrap/>
            <w:vAlign w:val="bottom"/>
          </w:tcPr>
          <w:p w14:paraId="66F6C40A" w14:textId="77777777" w:rsidR="006A1846" w:rsidRPr="0056686B" w:rsidRDefault="006A1846" w:rsidP="004454D6">
            <w:pPr>
              <w:suppressAutoHyphens/>
              <w:autoSpaceDN w:val="0"/>
              <w:jc w:val="right"/>
              <w:rPr>
                <w:rFonts w:ascii="Arial" w:eastAsia="Times New Roman" w:hAnsi="Arial" w:cs="Arial"/>
                <w:color w:val="000000" w:themeColor="text1"/>
                <w:sz w:val="18"/>
                <w:szCs w:val="18"/>
              </w:rPr>
            </w:pPr>
          </w:p>
        </w:tc>
        <w:tc>
          <w:tcPr>
            <w:tcW w:w="1218" w:type="dxa"/>
            <w:tcBorders>
              <w:top w:val="nil"/>
              <w:left w:val="nil"/>
              <w:bottom w:val="nil"/>
              <w:right w:val="nil"/>
            </w:tcBorders>
            <w:vAlign w:val="bottom"/>
          </w:tcPr>
          <w:p w14:paraId="23CB9AA9" w14:textId="77777777" w:rsidR="006A1846" w:rsidRPr="0056686B" w:rsidRDefault="006A1846" w:rsidP="004454D6">
            <w:pPr>
              <w:suppressAutoHyphens/>
              <w:autoSpaceDN w:val="0"/>
              <w:jc w:val="right"/>
              <w:rPr>
                <w:rFonts w:ascii="Arial" w:eastAsia="Times New Roman" w:hAnsi="Arial" w:cs="Arial"/>
                <w:color w:val="000000" w:themeColor="text1"/>
                <w:sz w:val="18"/>
                <w:szCs w:val="18"/>
              </w:rPr>
            </w:pPr>
          </w:p>
        </w:tc>
      </w:tr>
      <w:tr w:rsidR="006A1846" w:rsidRPr="0056686B" w14:paraId="243EC98F" w14:textId="77777777" w:rsidTr="004454D6">
        <w:trPr>
          <w:trHeight w:val="44"/>
        </w:trPr>
        <w:tc>
          <w:tcPr>
            <w:tcW w:w="6387" w:type="dxa"/>
            <w:tcBorders>
              <w:top w:val="nil"/>
              <w:left w:val="nil"/>
              <w:bottom w:val="nil"/>
              <w:right w:val="nil"/>
            </w:tcBorders>
            <w:shd w:val="clear" w:color="auto" w:fill="auto"/>
            <w:vAlign w:val="bottom"/>
          </w:tcPr>
          <w:p w14:paraId="72C8C2A2" w14:textId="77777777" w:rsidR="006A1846" w:rsidRPr="0056686B" w:rsidRDefault="006A1846" w:rsidP="004454D6">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Zaračunana bruto premija</w:t>
            </w:r>
          </w:p>
        </w:tc>
        <w:tc>
          <w:tcPr>
            <w:tcW w:w="1403" w:type="dxa"/>
            <w:shd w:val="clear" w:color="auto" w:fill="auto"/>
            <w:noWrap/>
            <w:vAlign w:val="bottom"/>
          </w:tcPr>
          <w:p w14:paraId="1ADFAAA7" w14:textId="77777777" w:rsidR="006A1846" w:rsidRPr="0056686B" w:rsidRDefault="006A1846" w:rsidP="004454D6">
            <w:pPr>
              <w:suppressAutoHyphens/>
              <w:autoSpaceDN w:val="0"/>
              <w:jc w:val="right"/>
              <w:rPr>
                <w:rFonts w:ascii="Arial" w:eastAsia="Times New Roman" w:hAnsi="Arial" w:cs="Arial"/>
                <w:bCs/>
                <w:color w:val="000000"/>
                <w:sz w:val="18"/>
                <w:szCs w:val="18"/>
              </w:rPr>
            </w:pPr>
            <w:r>
              <w:rPr>
                <w:rFonts w:ascii="Arial" w:eastAsia="Times New Roman" w:hAnsi="Arial" w:cs="Arial"/>
                <w:bCs/>
                <w:color w:val="000000"/>
                <w:sz w:val="18"/>
                <w:szCs w:val="18"/>
              </w:rPr>
              <w:t>-</w:t>
            </w:r>
          </w:p>
        </w:tc>
        <w:tc>
          <w:tcPr>
            <w:tcW w:w="1218" w:type="dxa"/>
            <w:tcBorders>
              <w:top w:val="nil"/>
              <w:left w:val="nil"/>
              <w:bottom w:val="nil"/>
              <w:right w:val="nil"/>
            </w:tcBorders>
            <w:vAlign w:val="bottom"/>
          </w:tcPr>
          <w:p w14:paraId="11A28E6E" w14:textId="77777777" w:rsidR="006A1846" w:rsidRPr="0056686B" w:rsidRDefault="006A1846" w:rsidP="004454D6">
            <w:pPr>
              <w:suppressAutoHyphens/>
              <w:autoSpaceDN w:val="0"/>
              <w:jc w:val="right"/>
              <w:rPr>
                <w:rFonts w:ascii="Arial" w:eastAsia="Times New Roman" w:hAnsi="Arial" w:cs="Arial"/>
                <w:color w:val="000000" w:themeColor="text1"/>
                <w:sz w:val="18"/>
                <w:szCs w:val="18"/>
              </w:rPr>
            </w:pPr>
            <w:r>
              <w:rPr>
                <w:rFonts w:ascii="Arial" w:eastAsia="Times New Roman" w:hAnsi="Arial" w:cs="Arial"/>
                <w:bCs/>
                <w:color w:val="000000"/>
                <w:sz w:val="18"/>
                <w:szCs w:val="18"/>
              </w:rPr>
              <w:t>-</w:t>
            </w:r>
          </w:p>
        </w:tc>
      </w:tr>
      <w:tr w:rsidR="006A1846" w:rsidRPr="0056686B" w14:paraId="4B91D46E" w14:textId="77777777" w:rsidTr="004454D6">
        <w:trPr>
          <w:trHeight w:val="122"/>
        </w:trPr>
        <w:tc>
          <w:tcPr>
            <w:tcW w:w="6387" w:type="dxa"/>
            <w:tcBorders>
              <w:top w:val="nil"/>
              <w:left w:val="nil"/>
              <w:bottom w:val="nil"/>
              <w:right w:val="nil"/>
            </w:tcBorders>
            <w:shd w:val="clear" w:color="auto" w:fill="auto"/>
            <w:vAlign w:val="bottom"/>
          </w:tcPr>
          <w:p w14:paraId="17C74440" w14:textId="77777777" w:rsidR="006A1846" w:rsidRPr="0056686B" w:rsidRDefault="006A1846" w:rsidP="004454D6">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Ispravak vrijednosti i naplaćeni ispravak premije</w:t>
            </w:r>
          </w:p>
        </w:tc>
        <w:tc>
          <w:tcPr>
            <w:tcW w:w="1403" w:type="dxa"/>
            <w:shd w:val="clear" w:color="auto" w:fill="auto"/>
            <w:noWrap/>
            <w:vAlign w:val="bottom"/>
          </w:tcPr>
          <w:p w14:paraId="529201CC" w14:textId="77777777" w:rsidR="006A1846" w:rsidRPr="0056686B" w:rsidRDefault="006A1846" w:rsidP="004454D6">
            <w:pPr>
              <w:suppressAutoHyphens/>
              <w:autoSpaceDN w:val="0"/>
              <w:jc w:val="right"/>
              <w:rPr>
                <w:rFonts w:ascii="Arial" w:eastAsia="Times New Roman" w:hAnsi="Arial" w:cs="Arial"/>
                <w:bCs/>
                <w:color w:val="000000"/>
                <w:sz w:val="18"/>
                <w:szCs w:val="18"/>
              </w:rPr>
            </w:pPr>
            <w:r>
              <w:rPr>
                <w:rFonts w:ascii="Arial" w:eastAsia="Times New Roman" w:hAnsi="Arial" w:cs="Arial"/>
                <w:bCs/>
                <w:color w:val="000000"/>
                <w:sz w:val="18"/>
                <w:szCs w:val="18"/>
              </w:rPr>
              <w:t>-</w:t>
            </w:r>
          </w:p>
        </w:tc>
        <w:tc>
          <w:tcPr>
            <w:tcW w:w="1218" w:type="dxa"/>
            <w:shd w:val="clear" w:color="auto" w:fill="auto"/>
            <w:vAlign w:val="bottom"/>
          </w:tcPr>
          <w:p w14:paraId="465BD1F1" w14:textId="77777777" w:rsidR="006A1846" w:rsidRPr="0056686B" w:rsidRDefault="006A1846" w:rsidP="004454D6">
            <w:pPr>
              <w:suppressAutoHyphens/>
              <w:autoSpaceDN w:val="0"/>
              <w:jc w:val="right"/>
              <w:rPr>
                <w:rFonts w:ascii="Arial" w:eastAsia="Times New Roman" w:hAnsi="Arial" w:cs="Arial"/>
                <w:color w:val="000000" w:themeColor="text1"/>
                <w:sz w:val="18"/>
                <w:szCs w:val="18"/>
              </w:rPr>
            </w:pPr>
            <w:r>
              <w:rPr>
                <w:rFonts w:ascii="Arial" w:eastAsia="Times New Roman" w:hAnsi="Arial" w:cs="Arial"/>
                <w:bCs/>
                <w:color w:val="000000"/>
                <w:sz w:val="18"/>
                <w:szCs w:val="18"/>
              </w:rPr>
              <w:t>-</w:t>
            </w:r>
          </w:p>
        </w:tc>
      </w:tr>
      <w:tr w:rsidR="006A1846" w:rsidRPr="0056686B" w14:paraId="2000CED2" w14:textId="77777777" w:rsidTr="004454D6">
        <w:trPr>
          <w:trHeight w:val="124"/>
        </w:trPr>
        <w:tc>
          <w:tcPr>
            <w:tcW w:w="6387" w:type="dxa"/>
            <w:tcBorders>
              <w:top w:val="nil"/>
              <w:left w:val="nil"/>
              <w:bottom w:val="nil"/>
              <w:right w:val="nil"/>
            </w:tcBorders>
            <w:shd w:val="clear" w:color="auto" w:fill="auto"/>
            <w:vAlign w:val="bottom"/>
          </w:tcPr>
          <w:p w14:paraId="348F5D8C" w14:textId="77777777" w:rsidR="006A1846" w:rsidRPr="0056686B" w:rsidRDefault="006A1846" w:rsidP="004454D6">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Bruto premije predane u reosiguranje</w:t>
            </w:r>
          </w:p>
        </w:tc>
        <w:tc>
          <w:tcPr>
            <w:tcW w:w="1403" w:type="dxa"/>
            <w:shd w:val="clear" w:color="auto" w:fill="auto"/>
            <w:noWrap/>
            <w:vAlign w:val="bottom"/>
          </w:tcPr>
          <w:p w14:paraId="7B0498AD" w14:textId="77777777" w:rsidR="006A1846" w:rsidRPr="0056686B" w:rsidRDefault="006A1846" w:rsidP="004454D6">
            <w:pPr>
              <w:suppressAutoHyphens/>
              <w:autoSpaceDN w:val="0"/>
              <w:jc w:val="right"/>
              <w:rPr>
                <w:rFonts w:ascii="Arial" w:eastAsia="Times New Roman" w:hAnsi="Arial" w:cs="Arial"/>
                <w:bCs/>
                <w:color w:val="000000"/>
                <w:sz w:val="18"/>
                <w:szCs w:val="18"/>
              </w:rPr>
            </w:pPr>
            <w:r>
              <w:rPr>
                <w:rFonts w:ascii="Arial" w:eastAsia="Times New Roman" w:hAnsi="Arial" w:cs="Arial"/>
                <w:bCs/>
                <w:color w:val="000000"/>
                <w:sz w:val="18"/>
                <w:szCs w:val="18"/>
              </w:rPr>
              <w:t>-</w:t>
            </w:r>
          </w:p>
        </w:tc>
        <w:tc>
          <w:tcPr>
            <w:tcW w:w="1218" w:type="dxa"/>
            <w:shd w:val="clear" w:color="auto" w:fill="auto"/>
            <w:vAlign w:val="bottom"/>
          </w:tcPr>
          <w:p w14:paraId="7A62165C" w14:textId="77777777" w:rsidR="006A1846" w:rsidRPr="0056686B" w:rsidRDefault="006A1846" w:rsidP="004454D6">
            <w:pPr>
              <w:suppressAutoHyphens/>
              <w:autoSpaceDN w:val="0"/>
              <w:jc w:val="right"/>
              <w:rPr>
                <w:rFonts w:ascii="Arial" w:eastAsia="Times New Roman" w:hAnsi="Arial" w:cs="Arial"/>
                <w:color w:val="000000" w:themeColor="text1"/>
                <w:sz w:val="18"/>
                <w:szCs w:val="18"/>
              </w:rPr>
            </w:pPr>
            <w:r>
              <w:rPr>
                <w:rFonts w:ascii="Arial" w:eastAsia="Times New Roman" w:hAnsi="Arial" w:cs="Arial"/>
                <w:bCs/>
                <w:color w:val="000000"/>
                <w:sz w:val="18"/>
                <w:szCs w:val="18"/>
              </w:rPr>
              <w:t>-</w:t>
            </w:r>
          </w:p>
        </w:tc>
      </w:tr>
      <w:tr w:rsidR="006A1846" w:rsidRPr="0056686B" w14:paraId="54E5BC06" w14:textId="77777777" w:rsidTr="004454D6">
        <w:trPr>
          <w:trHeight w:val="111"/>
        </w:trPr>
        <w:tc>
          <w:tcPr>
            <w:tcW w:w="6387" w:type="dxa"/>
            <w:tcBorders>
              <w:left w:val="nil"/>
              <w:right w:val="nil"/>
            </w:tcBorders>
            <w:shd w:val="clear" w:color="auto" w:fill="auto"/>
            <w:vAlign w:val="bottom"/>
          </w:tcPr>
          <w:p w14:paraId="5A0B0A75" w14:textId="77777777" w:rsidR="006A1846" w:rsidRPr="0056686B" w:rsidRDefault="006A1846" w:rsidP="004454D6">
            <w:pPr>
              <w:suppressAutoHyphens/>
              <w:autoSpaceDN w:val="0"/>
              <w:rPr>
                <w:rFonts w:ascii="Arial" w:eastAsia="Times New Roman" w:hAnsi="Arial" w:cs="Arial"/>
                <w:b/>
                <w:color w:val="000000" w:themeColor="text1"/>
                <w:sz w:val="18"/>
                <w:szCs w:val="18"/>
              </w:rPr>
            </w:pPr>
            <w:r w:rsidRPr="0056686B">
              <w:rPr>
                <w:rFonts w:ascii="Arial" w:eastAsia="Times New Roman" w:hAnsi="Arial" w:cs="Arial"/>
                <w:b/>
                <w:color w:val="000000" w:themeColor="text1"/>
                <w:sz w:val="18"/>
                <w:szCs w:val="18"/>
              </w:rPr>
              <w:t>Neto zaračunate premije</w:t>
            </w:r>
          </w:p>
        </w:tc>
        <w:tc>
          <w:tcPr>
            <w:tcW w:w="1403" w:type="dxa"/>
            <w:tcBorders>
              <w:top w:val="single" w:sz="4" w:space="0" w:color="auto"/>
              <w:left w:val="nil"/>
              <w:bottom w:val="single" w:sz="12" w:space="0" w:color="auto"/>
              <w:right w:val="nil"/>
            </w:tcBorders>
            <w:shd w:val="clear" w:color="auto" w:fill="auto"/>
            <w:noWrap/>
            <w:vAlign w:val="bottom"/>
          </w:tcPr>
          <w:p w14:paraId="749CFEDF" w14:textId="77777777" w:rsidR="006A1846" w:rsidRPr="0056686B" w:rsidRDefault="006A1846" w:rsidP="004454D6">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w:t>
            </w:r>
          </w:p>
        </w:tc>
        <w:tc>
          <w:tcPr>
            <w:tcW w:w="1218" w:type="dxa"/>
            <w:tcBorders>
              <w:top w:val="single" w:sz="4" w:space="0" w:color="auto"/>
              <w:left w:val="nil"/>
              <w:bottom w:val="single" w:sz="12" w:space="0" w:color="auto"/>
              <w:right w:val="nil"/>
            </w:tcBorders>
            <w:shd w:val="clear" w:color="auto" w:fill="auto"/>
            <w:vAlign w:val="bottom"/>
          </w:tcPr>
          <w:p w14:paraId="45EA9F15" w14:textId="77777777" w:rsidR="006A1846" w:rsidRPr="0056686B" w:rsidRDefault="006A1846" w:rsidP="004454D6">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w:t>
            </w:r>
          </w:p>
        </w:tc>
      </w:tr>
      <w:tr w:rsidR="006A1846" w:rsidRPr="0056686B" w14:paraId="721E00EF" w14:textId="77777777" w:rsidTr="004454D6">
        <w:trPr>
          <w:trHeight w:hRule="exact" w:val="125"/>
        </w:trPr>
        <w:tc>
          <w:tcPr>
            <w:tcW w:w="6387" w:type="dxa"/>
            <w:tcBorders>
              <w:left w:val="nil"/>
              <w:bottom w:val="nil"/>
              <w:right w:val="nil"/>
            </w:tcBorders>
            <w:shd w:val="clear" w:color="auto" w:fill="auto"/>
            <w:vAlign w:val="bottom"/>
          </w:tcPr>
          <w:p w14:paraId="0C6B1264" w14:textId="77777777" w:rsidR="006A1846" w:rsidRPr="0056686B" w:rsidRDefault="006A1846" w:rsidP="004454D6">
            <w:pPr>
              <w:suppressAutoHyphens/>
              <w:autoSpaceDN w:val="0"/>
              <w:spacing w:line="140" w:lineRule="exact"/>
              <w:rPr>
                <w:rFonts w:ascii="Arial" w:eastAsia="Times New Roman" w:hAnsi="Arial" w:cs="Arial"/>
                <w:color w:val="000000" w:themeColor="text1"/>
                <w:sz w:val="18"/>
                <w:szCs w:val="18"/>
              </w:rPr>
            </w:pPr>
          </w:p>
        </w:tc>
        <w:tc>
          <w:tcPr>
            <w:tcW w:w="1403" w:type="dxa"/>
            <w:tcBorders>
              <w:top w:val="single" w:sz="12" w:space="0" w:color="auto"/>
              <w:left w:val="nil"/>
              <w:bottom w:val="nil"/>
              <w:right w:val="nil"/>
            </w:tcBorders>
            <w:shd w:val="clear" w:color="auto" w:fill="auto"/>
            <w:noWrap/>
            <w:vAlign w:val="bottom"/>
          </w:tcPr>
          <w:p w14:paraId="02AD4280" w14:textId="77777777" w:rsidR="006A1846" w:rsidRPr="0056686B" w:rsidRDefault="006A1846" w:rsidP="004454D6">
            <w:pPr>
              <w:suppressAutoHyphens/>
              <w:autoSpaceDN w:val="0"/>
              <w:spacing w:line="140" w:lineRule="exact"/>
              <w:jc w:val="right"/>
              <w:rPr>
                <w:rFonts w:ascii="Arial" w:eastAsia="Times New Roman" w:hAnsi="Arial" w:cs="Arial"/>
                <w:color w:val="000000" w:themeColor="text1"/>
                <w:sz w:val="18"/>
                <w:szCs w:val="18"/>
              </w:rPr>
            </w:pPr>
          </w:p>
        </w:tc>
        <w:tc>
          <w:tcPr>
            <w:tcW w:w="1218" w:type="dxa"/>
            <w:tcBorders>
              <w:top w:val="single" w:sz="12" w:space="0" w:color="auto"/>
              <w:left w:val="nil"/>
              <w:bottom w:val="nil"/>
              <w:right w:val="nil"/>
            </w:tcBorders>
            <w:shd w:val="clear" w:color="auto" w:fill="auto"/>
            <w:vAlign w:val="bottom"/>
          </w:tcPr>
          <w:p w14:paraId="4BDCD681" w14:textId="77777777" w:rsidR="006A1846" w:rsidRPr="0056686B" w:rsidRDefault="006A1846" w:rsidP="004454D6">
            <w:pPr>
              <w:suppressAutoHyphens/>
              <w:autoSpaceDN w:val="0"/>
              <w:spacing w:line="140" w:lineRule="exact"/>
              <w:jc w:val="right"/>
              <w:rPr>
                <w:rFonts w:ascii="Arial" w:eastAsia="Times New Roman" w:hAnsi="Arial" w:cs="Arial"/>
                <w:color w:val="000000" w:themeColor="text1"/>
                <w:sz w:val="18"/>
                <w:szCs w:val="18"/>
              </w:rPr>
            </w:pPr>
          </w:p>
        </w:tc>
      </w:tr>
      <w:tr w:rsidR="006A1846" w:rsidRPr="0056686B" w14:paraId="05ECB793" w14:textId="77777777" w:rsidTr="004454D6">
        <w:trPr>
          <w:trHeight w:val="100"/>
        </w:trPr>
        <w:tc>
          <w:tcPr>
            <w:tcW w:w="6387" w:type="dxa"/>
            <w:tcBorders>
              <w:top w:val="nil"/>
              <w:left w:val="nil"/>
              <w:bottom w:val="nil"/>
              <w:right w:val="nil"/>
            </w:tcBorders>
            <w:shd w:val="clear" w:color="auto" w:fill="auto"/>
            <w:vAlign w:val="bottom"/>
          </w:tcPr>
          <w:p w14:paraId="0416BB27" w14:textId="77777777" w:rsidR="006A1846" w:rsidRPr="0056686B" w:rsidRDefault="006A1846" w:rsidP="004454D6">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Promjena bruto pričuva prijenosnih premija</w:t>
            </w:r>
          </w:p>
        </w:tc>
        <w:tc>
          <w:tcPr>
            <w:tcW w:w="1403" w:type="dxa"/>
            <w:shd w:val="clear" w:color="auto" w:fill="auto"/>
            <w:noWrap/>
            <w:vAlign w:val="bottom"/>
          </w:tcPr>
          <w:p w14:paraId="7716710D" w14:textId="77777777" w:rsidR="006A1846" w:rsidRPr="0056686B" w:rsidRDefault="006A1846" w:rsidP="004454D6">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218" w:type="dxa"/>
            <w:shd w:val="clear" w:color="auto" w:fill="auto"/>
            <w:vAlign w:val="bottom"/>
          </w:tcPr>
          <w:p w14:paraId="32FBEE2B" w14:textId="77777777" w:rsidR="006A1846" w:rsidRPr="0056686B" w:rsidRDefault="006A1846" w:rsidP="004454D6">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r>
      <w:tr w:rsidR="006A1846" w:rsidRPr="0056686B" w14:paraId="4745AD54" w14:textId="77777777" w:rsidTr="004454D6">
        <w:trPr>
          <w:trHeight w:val="172"/>
        </w:trPr>
        <w:tc>
          <w:tcPr>
            <w:tcW w:w="6387" w:type="dxa"/>
            <w:tcBorders>
              <w:top w:val="nil"/>
              <w:left w:val="nil"/>
              <w:bottom w:val="nil"/>
              <w:right w:val="nil"/>
            </w:tcBorders>
            <w:shd w:val="clear" w:color="auto" w:fill="auto"/>
            <w:vAlign w:val="bottom"/>
          </w:tcPr>
          <w:p w14:paraId="654B2E9C" w14:textId="77777777" w:rsidR="006A1846" w:rsidRPr="0056686B" w:rsidRDefault="006A1846" w:rsidP="004454D6">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Promjena bruto pričuva prijenosnih premija, udio reosiguranja</w:t>
            </w:r>
          </w:p>
        </w:tc>
        <w:tc>
          <w:tcPr>
            <w:tcW w:w="1403" w:type="dxa"/>
            <w:tcBorders>
              <w:top w:val="nil"/>
              <w:left w:val="nil"/>
              <w:bottom w:val="single" w:sz="4" w:space="0" w:color="auto"/>
              <w:right w:val="nil"/>
            </w:tcBorders>
            <w:shd w:val="clear" w:color="auto" w:fill="auto"/>
            <w:noWrap/>
            <w:vAlign w:val="bottom"/>
          </w:tcPr>
          <w:p w14:paraId="1047F6F5" w14:textId="77777777" w:rsidR="006A1846" w:rsidRPr="0056686B" w:rsidRDefault="006A1846" w:rsidP="004454D6">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218" w:type="dxa"/>
            <w:tcBorders>
              <w:top w:val="nil"/>
              <w:left w:val="nil"/>
              <w:bottom w:val="single" w:sz="4" w:space="0" w:color="auto"/>
              <w:right w:val="nil"/>
            </w:tcBorders>
            <w:shd w:val="clear" w:color="auto" w:fill="auto"/>
            <w:vAlign w:val="bottom"/>
          </w:tcPr>
          <w:p w14:paraId="33D9D824" w14:textId="77777777" w:rsidR="006A1846" w:rsidRPr="0056686B" w:rsidRDefault="006A1846" w:rsidP="004454D6">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r>
      <w:tr w:rsidR="006A1846" w:rsidRPr="0056686B" w14:paraId="674B8252" w14:textId="77777777" w:rsidTr="004454D6">
        <w:trPr>
          <w:trHeight w:val="128"/>
        </w:trPr>
        <w:tc>
          <w:tcPr>
            <w:tcW w:w="6387" w:type="dxa"/>
            <w:tcBorders>
              <w:left w:val="nil"/>
              <w:right w:val="nil"/>
            </w:tcBorders>
            <w:shd w:val="clear" w:color="auto" w:fill="auto"/>
            <w:vAlign w:val="bottom"/>
          </w:tcPr>
          <w:p w14:paraId="57173798" w14:textId="77777777" w:rsidR="006A1846" w:rsidRPr="0056686B" w:rsidRDefault="006A1846" w:rsidP="004454D6">
            <w:pPr>
              <w:suppressAutoHyphens/>
              <w:autoSpaceDN w:val="0"/>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Neto zarađene premije</w:t>
            </w:r>
          </w:p>
        </w:tc>
        <w:tc>
          <w:tcPr>
            <w:tcW w:w="1403" w:type="dxa"/>
            <w:tcBorders>
              <w:top w:val="nil"/>
              <w:left w:val="nil"/>
              <w:bottom w:val="single" w:sz="12" w:space="0" w:color="auto"/>
              <w:right w:val="nil"/>
            </w:tcBorders>
            <w:shd w:val="clear" w:color="auto" w:fill="auto"/>
            <w:noWrap/>
            <w:vAlign w:val="bottom"/>
          </w:tcPr>
          <w:p w14:paraId="30BCB862" w14:textId="77777777" w:rsidR="006A1846" w:rsidRPr="0056686B" w:rsidRDefault="006A1846" w:rsidP="004454D6">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w:t>
            </w:r>
          </w:p>
        </w:tc>
        <w:tc>
          <w:tcPr>
            <w:tcW w:w="1218" w:type="dxa"/>
            <w:tcBorders>
              <w:top w:val="nil"/>
              <w:left w:val="nil"/>
              <w:bottom w:val="single" w:sz="12" w:space="0" w:color="auto"/>
              <w:right w:val="nil"/>
            </w:tcBorders>
            <w:shd w:val="clear" w:color="auto" w:fill="auto"/>
            <w:vAlign w:val="bottom"/>
          </w:tcPr>
          <w:p w14:paraId="52FA4C3C" w14:textId="77777777" w:rsidR="006A1846" w:rsidRPr="0056686B" w:rsidRDefault="006A1846" w:rsidP="004454D6">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w:t>
            </w:r>
          </w:p>
        </w:tc>
      </w:tr>
      <w:tr w:rsidR="006A1846" w:rsidRPr="0056686B" w14:paraId="71793018" w14:textId="77777777" w:rsidTr="004454D6">
        <w:trPr>
          <w:trHeight w:val="38"/>
        </w:trPr>
        <w:tc>
          <w:tcPr>
            <w:tcW w:w="6387" w:type="dxa"/>
            <w:tcBorders>
              <w:left w:val="nil"/>
              <w:bottom w:val="nil"/>
              <w:right w:val="nil"/>
            </w:tcBorders>
            <w:shd w:val="clear" w:color="auto" w:fill="auto"/>
            <w:vAlign w:val="bottom"/>
          </w:tcPr>
          <w:p w14:paraId="56D36C8A" w14:textId="77777777" w:rsidR="006A1846" w:rsidRPr="0056686B" w:rsidRDefault="006A1846" w:rsidP="004454D6">
            <w:pPr>
              <w:suppressAutoHyphens/>
              <w:autoSpaceDN w:val="0"/>
              <w:spacing w:line="140" w:lineRule="exact"/>
              <w:rPr>
                <w:rFonts w:ascii="Arial" w:eastAsia="Times New Roman" w:hAnsi="Arial" w:cs="Arial"/>
                <w:color w:val="000000" w:themeColor="text1"/>
                <w:sz w:val="18"/>
                <w:szCs w:val="18"/>
              </w:rPr>
            </w:pPr>
          </w:p>
        </w:tc>
        <w:tc>
          <w:tcPr>
            <w:tcW w:w="1403" w:type="dxa"/>
            <w:tcBorders>
              <w:top w:val="single" w:sz="12" w:space="0" w:color="auto"/>
              <w:left w:val="nil"/>
              <w:bottom w:val="nil"/>
              <w:right w:val="nil"/>
            </w:tcBorders>
            <w:shd w:val="clear" w:color="auto" w:fill="auto"/>
            <w:noWrap/>
            <w:vAlign w:val="bottom"/>
          </w:tcPr>
          <w:p w14:paraId="07F7C16E" w14:textId="77777777" w:rsidR="006A1846" w:rsidRPr="0056686B" w:rsidRDefault="006A1846" w:rsidP="004454D6">
            <w:pPr>
              <w:suppressAutoHyphens/>
              <w:autoSpaceDN w:val="0"/>
              <w:spacing w:line="140" w:lineRule="exact"/>
              <w:jc w:val="right"/>
              <w:rPr>
                <w:rFonts w:ascii="Arial" w:eastAsia="Times New Roman" w:hAnsi="Arial" w:cs="Arial"/>
                <w:color w:val="000000" w:themeColor="text1"/>
                <w:sz w:val="18"/>
                <w:szCs w:val="18"/>
              </w:rPr>
            </w:pPr>
          </w:p>
        </w:tc>
        <w:tc>
          <w:tcPr>
            <w:tcW w:w="1218" w:type="dxa"/>
            <w:tcBorders>
              <w:top w:val="single" w:sz="12" w:space="0" w:color="auto"/>
              <w:left w:val="nil"/>
              <w:bottom w:val="nil"/>
              <w:right w:val="nil"/>
            </w:tcBorders>
            <w:shd w:val="clear" w:color="auto" w:fill="auto"/>
            <w:vAlign w:val="bottom"/>
          </w:tcPr>
          <w:p w14:paraId="46C43D87" w14:textId="77777777" w:rsidR="006A1846" w:rsidRPr="0056686B" w:rsidRDefault="006A1846" w:rsidP="004454D6">
            <w:pPr>
              <w:suppressAutoHyphens/>
              <w:autoSpaceDN w:val="0"/>
              <w:spacing w:line="140" w:lineRule="exact"/>
              <w:jc w:val="right"/>
              <w:rPr>
                <w:rFonts w:ascii="Arial" w:eastAsia="Times New Roman" w:hAnsi="Arial" w:cs="Arial"/>
                <w:color w:val="000000" w:themeColor="text1"/>
                <w:sz w:val="18"/>
                <w:szCs w:val="18"/>
              </w:rPr>
            </w:pPr>
          </w:p>
        </w:tc>
      </w:tr>
      <w:tr w:rsidR="006A1846" w:rsidRPr="0056686B" w14:paraId="0267CA19" w14:textId="77777777" w:rsidTr="004454D6">
        <w:trPr>
          <w:trHeight w:val="149"/>
        </w:trPr>
        <w:tc>
          <w:tcPr>
            <w:tcW w:w="6387" w:type="dxa"/>
            <w:tcBorders>
              <w:top w:val="nil"/>
              <w:left w:val="nil"/>
              <w:bottom w:val="nil"/>
              <w:right w:val="nil"/>
            </w:tcBorders>
            <w:shd w:val="clear" w:color="auto" w:fill="auto"/>
            <w:vAlign w:val="bottom"/>
          </w:tcPr>
          <w:p w14:paraId="5136F092" w14:textId="77777777" w:rsidR="006A1846" w:rsidRPr="0056686B" w:rsidRDefault="006A1846" w:rsidP="004454D6">
            <w:pPr>
              <w:suppressAutoHyphens/>
              <w:autoSpaceDN w:val="0"/>
              <w:rPr>
                <w:rFonts w:ascii="Arial" w:eastAsia="Times New Roman" w:hAnsi="Arial" w:cs="Arial"/>
                <w:bCs/>
                <w:color w:val="000000" w:themeColor="text1"/>
                <w:sz w:val="18"/>
                <w:szCs w:val="18"/>
              </w:rPr>
            </w:pPr>
            <w:r w:rsidRPr="0056686B">
              <w:rPr>
                <w:rFonts w:ascii="Arial" w:eastAsia="Times New Roman" w:hAnsi="Arial" w:cs="Arial"/>
                <w:bCs/>
                <w:color w:val="000000" w:themeColor="text1"/>
                <w:sz w:val="18"/>
                <w:szCs w:val="18"/>
              </w:rPr>
              <w:t>Prihodi od provizija i naknada</w:t>
            </w:r>
          </w:p>
        </w:tc>
        <w:tc>
          <w:tcPr>
            <w:tcW w:w="1403" w:type="dxa"/>
            <w:shd w:val="clear" w:color="auto" w:fill="auto"/>
            <w:noWrap/>
            <w:vAlign w:val="bottom"/>
          </w:tcPr>
          <w:p w14:paraId="43B7E196" w14:textId="77777777" w:rsidR="006A1846" w:rsidRPr="0056686B" w:rsidRDefault="006A1846" w:rsidP="004454D6">
            <w:pPr>
              <w:suppressAutoHyphens/>
              <w:autoSpaceDN w:val="0"/>
              <w:jc w:val="right"/>
              <w:rPr>
                <w:rFonts w:ascii="Arial" w:eastAsia="Times New Roman" w:hAnsi="Arial" w:cs="Arial"/>
                <w:bCs/>
                <w:color w:val="000000"/>
                <w:sz w:val="18"/>
                <w:szCs w:val="18"/>
              </w:rPr>
            </w:pPr>
            <w:r>
              <w:rPr>
                <w:rFonts w:ascii="Arial" w:eastAsia="Times New Roman" w:hAnsi="Arial" w:cs="Arial"/>
                <w:bCs/>
                <w:color w:val="000000"/>
                <w:sz w:val="18"/>
                <w:szCs w:val="18"/>
              </w:rPr>
              <w:t>-</w:t>
            </w:r>
          </w:p>
        </w:tc>
        <w:tc>
          <w:tcPr>
            <w:tcW w:w="1218" w:type="dxa"/>
            <w:shd w:val="clear" w:color="auto" w:fill="auto"/>
            <w:vAlign w:val="bottom"/>
          </w:tcPr>
          <w:p w14:paraId="00561B73" w14:textId="77777777" w:rsidR="006A1846" w:rsidRPr="0056686B" w:rsidRDefault="006A1846" w:rsidP="004454D6">
            <w:pPr>
              <w:suppressAutoHyphens/>
              <w:autoSpaceDN w:val="0"/>
              <w:jc w:val="right"/>
              <w:rPr>
                <w:rFonts w:ascii="Arial" w:eastAsia="Times New Roman" w:hAnsi="Arial" w:cs="Arial"/>
                <w:bCs/>
                <w:color w:val="000000" w:themeColor="text1"/>
                <w:sz w:val="18"/>
                <w:szCs w:val="18"/>
              </w:rPr>
            </w:pPr>
            <w:r>
              <w:rPr>
                <w:rFonts w:ascii="Arial" w:eastAsia="Times New Roman" w:hAnsi="Arial" w:cs="Arial"/>
                <w:bCs/>
                <w:color w:val="000000"/>
                <w:sz w:val="18"/>
                <w:szCs w:val="18"/>
              </w:rPr>
              <w:t>-</w:t>
            </w:r>
          </w:p>
        </w:tc>
      </w:tr>
      <w:tr w:rsidR="006A1846" w:rsidRPr="0056686B" w14:paraId="100AC697" w14:textId="77777777" w:rsidTr="004454D6">
        <w:trPr>
          <w:trHeight w:val="132"/>
        </w:trPr>
        <w:tc>
          <w:tcPr>
            <w:tcW w:w="6387" w:type="dxa"/>
            <w:tcBorders>
              <w:top w:val="nil"/>
              <w:left w:val="nil"/>
              <w:bottom w:val="nil"/>
              <w:right w:val="nil"/>
            </w:tcBorders>
            <w:shd w:val="clear" w:color="auto" w:fill="auto"/>
            <w:vAlign w:val="bottom"/>
          </w:tcPr>
          <w:p w14:paraId="62C0C0DA" w14:textId="77777777" w:rsidR="006A1846" w:rsidRPr="0056686B" w:rsidRDefault="006A1846" w:rsidP="004454D6">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Neto prihodi od ulaganja</w:t>
            </w:r>
          </w:p>
        </w:tc>
        <w:tc>
          <w:tcPr>
            <w:tcW w:w="1403" w:type="dxa"/>
            <w:shd w:val="clear" w:color="auto" w:fill="auto"/>
            <w:noWrap/>
            <w:vAlign w:val="bottom"/>
          </w:tcPr>
          <w:p w14:paraId="17B35403" w14:textId="29643CC7" w:rsidR="006A1846" w:rsidRPr="0056686B" w:rsidRDefault="006A1846" w:rsidP="004454D6">
            <w:pPr>
              <w:suppressAutoHyphens/>
              <w:autoSpaceDN w:val="0"/>
              <w:jc w:val="right"/>
              <w:rPr>
                <w:rFonts w:ascii="Arial" w:eastAsia="Times New Roman" w:hAnsi="Arial" w:cs="Arial"/>
                <w:bCs/>
                <w:color w:val="000000"/>
                <w:sz w:val="18"/>
                <w:szCs w:val="18"/>
              </w:rPr>
            </w:pPr>
            <w:r w:rsidRPr="005025EC">
              <w:rPr>
                <w:rFonts w:ascii="Arial" w:eastAsia="Times New Roman" w:hAnsi="Arial" w:cs="Arial"/>
                <w:bCs/>
                <w:color w:val="000000"/>
                <w:sz w:val="18"/>
                <w:szCs w:val="18"/>
              </w:rPr>
              <w:t>18</w:t>
            </w:r>
            <w:r w:rsidR="00A54D5B">
              <w:rPr>
                <w:rFonts w:ascii="Arial" w:eastAsia="Times New Roman" w:hAnsi="Arial" w:cs="Arial"/>
                <w:bCs/>
                <w:color w:val="000000"/>
                <w:sz w:val="18"/>
                <w:szCs w:val="18"/>
              </w:rPr>
              <w:t>7</w:t>
            </w:r>
          </w:p>
        </w:tc>
        <w:tc>
          <w:tcPr>
            <w:tcW w:w="1218" w:type="dxa"/>
            <w:shd w:val="clear" w:color="auto" w:fill="auto"/>
            <w:vAlign w:val="bottom"/>
          </w:tcPr>
          <w:p w14:paraId="55AAAF0F" w14:textId="77777777" w:rsidR="006A1846" w:rsidRPr="0056686B" w:rsidRDefault="006A1846" w:rsidP="004454D6">
            <w:pPr>
              <w:suppressAutoHyphens/>
              <w:autoSpaceDN w:val="0"/>
              <w:jc w:val="right"/>
              <w:rPr>
                <w:rFonts w:ascii="Arial" w:eastAsia="Times New Roman" w:hAnsi="Arial" w:cs="Arial"/>
                <w:bCs/>
                <w:color w:val="000000" w:themeColor="text1"/>
                <w:sz w:val="18"/>
                <w:szCs w:val="18"/>
              </w:rPr>
            </w:pPr>
            <w:r w:rsidRPr="009D6246">
              <w:rPr>
                <w:rFonts w:ascii="Arial" w:eastAsia="Times New Roman" w:hAnsi="Arial" w:cs="Arial"/>
                <w:bCs/>
                <w:color w:val="000000"/>
                <w:sz w:val="18"/>
                <w:szCs w:val="18"/>
              </w:rPr>
              <w:t>171</w:t>
            </w:r>
          </w:p>
        </w:tc>
      </w:tr>
      <w:tr w:rsidR="006A1846" w:rsidRPr="0056686B" w14:paraId="392407B4" w14:textId="77777777" w:rsidTr="004454D6">
        <w:trPr>
          <w:trHeight w:val="125"/>
        </w:trPr>
        <w:tc>
          <w:tcPr>
            <w:tcW w:w="6387" w:type="dxa"/>
            <w:tcBorders>
              <w:top w:val="nil"/>
              <w:left w:val="nil"/>
              <w:right w:val="nil"/>
            </w:tcBorders>
            <w:shd w:val="clear" w:color="auto" w:fill="auto"/>
            <w:vAlign w:val="bottom"/>
          </w:tcPr>
          <w:p w14:paraId="0871572A" w14:textId="77777777" w:rsidR="006A1846" w:rsidRPr="0056686B" w:rsidRDefault="006A1846" w:rsidP="004454D6">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Ostali poslovni prihodi</w:t>
            </w:r>
          </w:p>
        </w:tc>
        <w:tc>
          <w:tcPr>
            <w:tcW w:w="1403" w:type="dxa"/>
            <w:tcBorders>
              <w:top w:val="nil"/>
              <w:left w:val="nil"/>
              <w:bottom w:val="single" w:sz="4" w:space="0" w:color="auto"/>
              <w:right w:val="nil"/>
            </w:tcBorders>
            <w:shd w:val="clear" w:color="auto" w:fill="auto"/>
            <w:noWrap/>
            <w:vAlign w:val="bottom"/>
          </w:tcPr>
          <w:p w14:paraId="7F29A498" w14:textId="77777777" w:rsidR="006A1846" w:rsidRPr="0056686B" w:rsidRDefault="006A1846" w:rsidP="004454D6">
            <w:pPr>
              <w:suppressAutoHyphens/>
              <w:autoSpaceDN w:val="0"/>
              <w:jc w:val="right"/>
              <w:rPr>
                <w:rFonts w:ascii="Arial" w:eastAsia="Times New Roman" w:hAnsi="Arial" w:cs="Arial"/>
                <w:bCs/>
                <w:color w:val="000000"/>
                <w:sz w:val="18"/>
                <w:szCs w:val="18"/>
              </w:rPr>
            </w:pPr>
            <w:r>
              <w:rPr>
                <w:rFonts w:ascii="Arial" w:eastAsia="Times New Roman" w:hAnsi="Arial" w:cs="Arial"/>
                <w:bCs/>
                <w:color w:val="000000"/>
                <w:sz w:val="18"/>
                <w:szCs w:val="18"/>
              </w:rPr>
              <w:t>9</w:t>
            </w:r>
          </w:p>
        </w:tc>
        <w:tc>
          <w:tcPr>
            <w:tcW w:w="1218" w:type="dxa"/>
            <w:tcBorders>
              <w:top w:val="nil"/>
              <w:left w:val="nil"/>
              <w:bottom w:val="single" w:sz="4" w:space="0" w:color="auto"/>
              <w:right w:val="nil"/>
            </w:tcBorders>
            <w:shd w:val="clear" w:color="auto" w:fill="auto"/>
            <w:vAlign w:val="bottom"/>
          </w:tcPr>
          <w:p w14:paraId="7B9C6037" w14:textId="77777777" w:rsidR="006A1846" w:rsidRPr="0056686B" w:rsidRDefault="006A1846" w:rsidP="004454D6">
            <w:pPr>
              <w:suppressAutoHyphens/>
              <w:autoSpaceDN w:val="0"/>
              <w:jc w:val="right"/>
              <w:rPr>
                <w:rFonts w:ascii="Arial" w:eastAsia="Times New Roman" w:hAnsi="Arial" w:cs="Arial"/>
                <w:color w:val="000000" w:themeColor="text1"/>
                <w:sz w:val="18"/>
                <w:szCs w:val="18"/>
              </w:rPr>
            </w:pPr>
            <w:r>
              <w:rPr>
                <w:rFonts w:ascii="Arial" w:eastAsia="Times New Roman" w:hAnsi="Arial" w:cs="Arial"/>
                <w:bCs/>
                <w:color w:val="000000"/>
                <w:sz w:val="18"/>
                <w:szCs w:val="18"/>
              </w:rPr>
              <w:t>9</w:t>
            </w:r>
          </w:p>
        </w:tc>
      </w:tr>
      <w:tr w:rsidR="006A1846" w:rsidRPr="0056686B" w14:paraId="5325C992" w14:textId="77777777" w:rsidTr="004454D6">
        <w:trPr>
          <w:trHeight w:val="112"/>
        </w:trPr>
        <w:tc>
          <w:tcPr>
            <w:tcW w:w="6387" w:type="dxa"/>
            <w:tcBorders>
              <w:left w:val="nil"/>
              <w:right w:val="nil"/>
            </w:tcBorders>
            <w:shd w:val="clear" w:color="auto" w:fill="auto"/>
            <w:vAlign w:val="bottom"/>
          </w:tcPr>
          <w:p w14:paraId="3648699F" w14:textId="77777777" w:rsidR="006A1846" w:rsidRPr="0056686B" w:rsidRDefault="006A1846" w:rsidP="004454D6">
            <w:pPr>
              <w:suppressAutoHyphens/>
              <w:autoSpaceDN w:val="0"/>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Neto prihodi</w:t>
            </w:r>
          </w:p>
        </w:tc>
        <w:tc>
          <w:tcPr>
            <w:tcW w:w="1403" w:type="dxa"/>
            <w:tcBorders>
              <w:top w:val="single" w:sz="4" w:space="0" w:color="auto"/>
              <w:left w:val="nil"/>
              <w:bottom w:val="single" w:sz="12" w:space="0" w:color="auto"/>
              <w:right w:val="nil"/>
            </w:tcBorders>
            <w:shd w:val="clear" w:color="auto" w:fill="auto"/>
            <w:noWrap/>
            <w:vAlign w:val="bottom"/>
          </w:tcPr>
          <w:p w14:paraId="1308BB73" w14:textId="112A424E" w:rsidR="006A1846" w:rsidRPr="0056686B" w:rsidRDefault="006A1846" w:rsidP="004454D6">
            <w:pPr>
              <w:suppressAutoHyphens/>
              <w:autoSpaceDN w:val="0"/>
              <w:jc w:val="right"/>
              <w:rPr>
                <w:rFonts w:ascii="Arial" w:eastAsia="Times New Roman" w:hAnsi="Arial" w:cs="Arial"/>
                <w:b/>
                <w:bCs/>
                <w:color w:val="000000" w:themeColor="text1"/>
                <w:sz w:val="18"/>
                <w:szCs w:val="18"/>
              </w:rPr>
            </w:pPr>
            <w:r w:rsidRPr="005025EC">
              <w:rPr>
                <w:rFonts w:ascii="Arial" w:eastAsia="Times New Roman" w:hAnsi="Arial" w:cs="Arial"/>
                <w:b/>
                <w:bCs/>
                <w:color w:val="000000" w:themeColor="text1"/>
                <w:sz w:val="18"/>
                <w:szCs w:val="18"/>
              </w:rPr>
              <w:t>2.23</w:t>
            </w:r>
            <w:r w:rsidR="00A54D5B">
              <w:rPr>
                <w:rFonts w:ascii="Arial" w:eastAsia="Times New Roman" w:hAnsi="Arial" w:cs="Arial"/>
                <w:b/>
                <w:bCs/>
                <w:color w:val="000000" w:themeColor="text1"/>
                <w:sz w:val="18"/>
                <w:szCs w:val="18"/>
              </w:rPr>
              <w:t>2</w:t>
            </w:r>
          </w:p>
        </w:tc>
        <w:tc>
          <w:tcPr>
            <w:tcW w:w="1218" w:type="dxa"/>
            <w:tcBorders>
              <w:top w:val="single" w:sz="4" w:space="0" w:color="auto"/>
              <w:left w:val="nil"/>
              <w:bottom w:val="single" w:sz="12" w:space="0" w:color="auto"/>
              <w:right w:val="nil"/>
            </w:tcBorders>
            <w:shd w:val="clear" w:color="auto" w:fill="auto"/>
            <w:vAlign w:val="bottom"/>
          </w:tcPr>
          <w:p w14:paraId="510BF794" w14:textId="77777777" w:rsidR="006A1846" w:rsidRPr="0056686B" w:rsidRDefault="006A1846" w:rsidP="004454D6">
            <w:pPr>
              <w:suppressAutoHyphens/>
              <w:autoSpaceDN w:val="0"/>
              <w:jc w:val="right"/>
              <w:rPr>
                <w:rFonts w:ascii="Arial" w:eastAsia="Times New Roman" w:hAnsi="Arial" w:cs="Arial"/>
                <w:b/>
                <w:bCs/>
                <w:color w:val="000000" w:themeColor="text1"/>
                <w:sz w:val="18"/>
                <w:szCs w:val="18"/>
              </w:rPr>
            </w:pPr>
            <w:r w:rsidRPr="008B43D7">
              <w:rPr>
                <w:rFonts w:ascii="Arial" w:eastAsia="Times New Roman" w:hAnsi="Arial" w:cs="Arial"/>
                <w:b/>
                <w:bCs/>
                <w:color w:val="000000" w:themeColor="text1"/>
                <w:sz w:val="18"/>
                <w:szCs w:val="18"/>
              </w:rPr>
              <w:t>2.303</w:t>
            </w:r>
          </w:p>
        </w:tc>
      </w:tr>
      <w:tr w:rsidR="006A1846" w:rsidRPr="0056686B" w14:paraId="44C8894C" w14:textId="77777777" w:rsidTr="004454D6">
        <w:trPr>
          <w:trHeight w:hRule="exact" w:val="125"/>
        </w:trPr>
        <w:tc>
          <w:tcPr>
            <w:tcW w:w="6387" w:type="dxa"/>
            <w:tcBorders>
              <w:left w:val="nil"/>
              <w:bottom w:val="nil"/>
              <w:right w:val="nil"/>
            </w:tcBorders>
            <w:shd w:val="clear" w:color="auto" w:fill="auto"/>
            <w:vAlign w:val="bottom"/>
          </w:tcPr>
          <w:p w14:paraId="6BB2D9F3" w14:textId="77777777" w:rsidR="006A1846" w:rsidRPr="0056686B" w:rsidRDefault="006A1846" w:rsidP="004454D6">
            <w:pPr>
              <w:suppressAutoHyphens/>
              <w:autoSpaceDN w:val="0"/>
              <w:spacing w:line="140" w:lineRule="exact"/>
              <w:rPr>
                <w:rFonts w:ascii="Arial" w:eastAsia="Times New Roman" w:hAnsi="Arial" w:cs="Arial"/>
                <w:color w:val="000000" w:themeColor="text1"/>
                <w:sz w:val="18"/>
                <w:szCs w:val="18"/>
              </w:rPr>
            </w:pPr>
          </w:p>
        </w:tc>
        <w:tc>
          <w:tcPr>
            <w:tcW w:w="1403" w:type="dxa"/>
            <w:tcBorders>
              <w:top w:val="single" w:sz="12" w:space="0" w:color="auto"/>
              <w:left w:val="nil"/>
              <w:right w:val="nil"/>
            </w:tcBorders>
            <w:shd w:val="clear" w:color="auto" w:fill="auto"/>
            <w:noWrap/>
            <w:vAlign w:val="bottom"/>
          </w:tcPr>
          <w:p w14:paraId="47603F68" w14:textId="77777777" w:rsidR="006A1846" w:rsidRPr="0056686B" w:rsidRDefault="006A1846" w:rsidP="004454D6">
            <w:pPr>
              <w:suppressAutoHyphens/>
              <w:autoSpaceDN w:val="0"/>
              <w:spacing w:line="140" w:lineRule="exact"/>
              <w:jc w:val="right"/>
              <w:rPr>
                <w:rFonts w:ascii="Arial" w:eastAsia="Times New Roman" w:hAnsi="Arial" w:cs="Arial"/>
                <w:color w:val="000000" w:themeColor="text1"/>
                <w:sz w:val="18"/>
                <w:szCs w:val="18"/>
              </w:rPr>
            </w:pPr>
          </w:p>
        </w:tc>
        <w:tc>
          <w:tcPr>
            <w:tcW w:w="1218" w:type="dxa"/>
            <w:tcBorders>
              <w:top w:val="single" w:sz="12" w:space="0" w:color="auto"/>
              <w:left w:val="nil"/>
              <w:right w:val="nil"/>
            </w:tcBorders>
            <w:shd w:val="clear" w:color="auto" w:fill="auto"/>
            <w:vAlign w:val="bottom"/>
          </w:tcPr>
          <w:p w14:paraId="526D43A2" w14:textId="77777777" w:rsidR="006A1846" w:rsidRPr="0056686B" w:rsidRDefault="006A1846" w:rsidP="004454D6">
            <w:pPr>
              <w:suppressAutoHyphens/>
              <w:autoSpaceDN w:val="0"/>
              <w:spacing w:line="140" w:lineRule="exact"/>
              <w:jc w:val="right"/>
              <w:rPr>
                <w:rFonts w:ascii="Arial" w:eastAsia="Times New Roman" w:hAnsi="Arial" w:cs="Arial"/>
                <w:color w:val="000000" w:themeColor="text1"/>
                <w:sz w:val="18"/>
                <w:szCs w:val="18"/>
              </w:rPr>
            </w:pPr>
          </w:p>
        </w:tc>
      </w:tr>
      <w:tr w:rsidR="006A1846" w:rsidRPr="0056686B" w14:paraId="6C6BF0EA" w14:textId="77777777" w:rsidTr="004454D6">
        <w:trPr>
          <w:trHeight w:val="111"/>
        </w:trPr>
        <w:tc>
          <w:tcPr>
            <w:tcW w:w="6387" w:type="dxa"/>
            <w:tcBorders>
              <w:top w:val="nil"/>
              <w:left w:val="nil"/>
              <w:right w:val="nil"/>
            </w:tcBorders>
            <w:shd w:val="clear" w:color="auto" w:fill="auto"/>
            <w:vAlign w:val="bottom"/>
          </w:tcPr>
          <w:p w14:paraId="5C481494" w14:textId="77777777" w:rsidR="006A1846" w:rsidRPr="00163A49" w:rsidRDefault="006A1846" w:rsidP="004454D6">
            <w:pPr>
              <w:suppressAutoHyphens/>
              <w:autoSpaceDN w:val="0"/>
              <w:rPr>
                <w:rFonts w:ascii="Arial" w:eastAsia="Times New Roman" w:hAnsi="Arial" w:cs="Arial"/>
                <w:b/>
                <w:bCs/>
                <w:color w:val="000000" w:themeColor="text1"/>
                <w:sz w:val="18"/>
                <w:szCs w:val="18"/>
              </w:rPr>
            </w:pPr>
            <w:r w:rsidRPr="00163A49">
              <w:rPr>
                <w:rFonts w:ascii="Arial" w:eastAsia="Times New Roman" w:hAnsi="Arial" w:cs="Arial"/>
                <w:b/>
                <w:bCs/>
                <w:color w:val="000000" w:themeColor="text1"/>
                <w:sz w:val="18"/>
                <w:szCs w:val="18"/>
              </w:rPr>
              <w:t>Rashodi od ugovora o osiguranju</w:t>
            </w:r>
          </w:p>
        </w:tc>
        <w:tc>
          <w:tcPr>
            <w:tcW w:w="1403" w:type="dxa"/>
            <w:tcBorders>
              <w:bottom w:val="single" w:sz="12" w:space="0" w:color="auto"/>
            </w:tcBorders>
            <w:shd w:val="clear" w:color="auto" w:fill="auto"/>
            <w:noWrap/>
            <w:vAlign w:val="bottom"/>
          </w:tcPr>
          <w:p w14:paraId="544A6827" w14:textId="77777777" w:rsidR="006A1846" w:rsidRPr="00163A49" w:rsidRDefault="006A1846" w:rsidP="004454D6">
            <w:pPr>
              <w:suppressAutoHyphens/>
              <w:autoSpaceDN w:val="0"/>
              <w:jc w:val="right"/>
              <w:rPr>
                <w:rFonts w:ascii="Arial" w:eastAsia="Times New Roman" w:hAnsi="Arial" w:cs="Arial"/>
                <w:b/>
                <w:bCs/>
                <w:color w:val="000000"/>
                <w:sz w:val="18"/>
                <w:szCs w:val="18"/>
              </w:rPr>
            </w:pPr>
            <w:r>
              <w:rPr>
                <w:rFonts w:ascii="Arial" w:eastAsia="Times New Roman" w:hAnsi="Arial" w:cs="Arial"/>
                <w:b/>
                <w:bCs/>
                <w:color w:val="000000"/>
                <w:sz w:val="18"/>
                <w:szCs w:val="18"/>
              </w:rPr>
              <w:t>(</w:t>
            </w:r>
            <w:r w:rsidRPr="005025EC">
              <w:rPr>
                <w:rFonts w:ascii="Arial" w:eastAsia="Times New Roman" w:hAnsi="Arial" w:cs="Arial"/>
                <w:b/>
                <w:bCs/>
                <w:color w:val="000000"/>
                <w:sz w:val="18"/>
                <w:szCs w:val="18"/>
              </w:rPr>
              <w:t>1</w:t>
            </w:r>
            <w:r>
              <w:rPr>
                <w:rFonts w:ascii="Arial" w:eastAsia="Times New Roman" w:hAnsi="Arial" w:cs="Arial"/>
                <w:b/>
                <w:bCs/>
                <w:color w:val="000000"/>
                <w:sz w:val="18"/>
                <w:szCs w:val="18"/>
              </w:rPr>
              <w:t>.</w:t>
            </w:r>
            <w:r w:rsidRPr="005025EC">
              <w:rPr>
                <w:rFonts w:ascii="Arial" w:eastAsia="Times New Roman" w:hAnsi="Arial" w:cs="Arial"/>
                <w:b/>
                <w:bCs/>
                <w:color w:val="000000"/>
                <w:sz w:val="18"/>
                <w:szCs w:val="18"/>
              </w:rPr>
              <w:t>731</w:t>
            </w:r>
            <w:r>
              <w:rPr>
                <w:rFonts w:ascii="Arial" w:eastAsia="Times New Roman" w:hAnsi="Arial" w:cs="Arial"/>
                <w:b/>
                <w:bCs/>
                <w:color w:val="000000"/>
                <w:sz w:val="18"/>
                <w:szCs w:val="18"/>
              </w:rPr>
              <w:t>)</w:t>
            </w:r>
          </w:p>
        </w:tc>
        <w:tc>
          <w:tcPr>
            <w:tcW w:w="1218" w:type="dxa"/>
            <w:tcBorders>
              <w:bottom w:val="single" w:sz="12" w:space="0" w:color="auto"/>
            </w:tcBorders>
            <w:shd w:val="clear" w:color="auto" w:fill="auto"/>
            <w:vAlign w:val="bottom"/>
          </w:tcPr>
          <w:p w14:paraId="458A79B5" w14:textId="77777777" w:rsidR="006A1846" w:rsidRPr="0056686B" w:rsidRDefault="006A1846" w:rsidP="004454D6">
            <w:pPr>
              <w:suppressAutoHyphens/>
              <w:autoSpaceDN w:val="0"/>
              <w:jc w:val="right"/>
              <w:rPr>
                <w:rFonts w:ascii="Arial" w:eastAsia="Times New Roman" w:hAnsi="Arial" w:cs="Arial"/>
                <w:color w:val="000000" w:themeColor="text1"/>
                <w:sz w:val="18"/>
                <w:szCs w:val="18"/>
              </w:rPr>
            </w:pPr>
            <w:r>
              <w:rPr>
                <w:rFonts w:ascii="Arial" w:eastAsia="Times New Roman" w:hAnsi="Arial" w:cs="Arial"/>
                <w:b/>
                <w:bCs/>
                <w:color w:val="000000"/>
                <w:sz w:val="18"/>
                <w:szCs w:val="18"/>
              </w:rPr>
              <w:t>(</w:t>
            </w:r>
            <w:r w:rsidRPr="008B43D7">
              <w:rPr>
                <w:rFonts w:ascii="Arial" w:eastAsia="Times New Roman" w:hAnsi="Arial" w:cs="Arial"/>
                <w:b/>
                <w:bCs/>
                <w:color w:val="000000"/>
                <w:sz w:val="18"/>
                <w:szCs w:val="18"/>
              </w:rPr>
              <w:t>1</w:t>
            </w:r>
            <w:r>
              <w:rPr>
                <w:rFonts w:ascii="Arial" w:eastAsia="Times New Roman" w:hAnsi="Arial" w:cs="Arial"/>
                <w:b/>
                <w:bCs/>
                <w:color w:val="000000"/>
                <w:sz w:val="18"/>
                <w:szCs w:val="18"/>
              </w:rPr>
              <w:t>.</w:t>
            </w:r>
            <w:r w:rsidRPr="008B43D7">
              <w:rPr>
                <w:rFonts w:ascii="Arial" w:eastAsia="Times New Roman" w:hAnsi="Arial" w:cs="Arial"/>
                <w:b/>
                <w:bCs/>
                <w:color w:val="000000"/>
                <w:sz w:val="18"/>
                <w:szCs w:val="18"/>
              </w:rPr>
              <w:t>173</w:t>
            </w:r>
            <w:r>
              <w:rPr>
                <w:rFonts w:ascii="Arial" w:eastAsia="Times New Roman" w:hAnsi="Arial" w:cs="Arial"/>
                <w:b/>
                <w:bCs/>
                <w:color w:val="000000"/>
                <w:sz w:val="18"/>
                <w:szCs w:val="18"/>
              </w:rPr>
              <w:t>)</w:t>
            </w:r>
          </w:p>
        </w:tc>
      </w:tr>
      <w:tr w:rsidR="006A1846" w:rsidRPr="0056686B" w14:paraId="2C31BF1F" w14:textId="77777777" w:rsidTr="004454D6">
        <w:trPr>
          <w:trHeight w:val="111"/>
        </w:trPr>
        <w:tc>
          <w:tcPr>
            <w:tcW w:w="6387" w:type="dxa"/>
            <w:tcBorders>
              <w:top w:val="nil"/>
              <w:left w:val="nil"/>
              <w:right w:val="nil"/>
            </w:tcBorders>
            <w:shd w:val="clear" w:color="auto" w:fill="auto"/>
            <w:vAlign w:val="bottom"/>
          </w:tcPr>
          <w:p w14:paraId="04062AE3" w14:textId="77777777" w:rsidR="006A1846" w:rsidRPr="00163A49" w:rsidRDefault="006A1846" w:rsidP="004454D6">
            <w:pPr>
              <w:suppressAutoHyphens/>
              <w:autoSpaceDN w:val="0"/>
              <w:rPr>
                <w:rFonts w:ascii="Arial" w:eastAsia="Times New Roman" w:hAnsi="Arial" w:cs="Arial"/>
                <w:b/>
                <w:bCs/>
                <w:color w:val="000000" w:themeColor="text1"/>
                <w:sz w:val="18"/>
                <w:szCs w:val="18"/>
              </w:rPr>
            </w:pPr>
            <w:r w:rsidRPr="005025EC">
              <w:rPr>
                <w:rFonts w:ascii="Arial" w:eastAsia="Times New Roman" w:hAnsi="Arial" w:cs="Arial"/>
                <w:b/>
                <w:bCs/>
                <w:color w:val="000000" w:themeColor="text1"/>
                <w:sz w:val="18"/>
                <w:szCs w:val="18"/>
              </w:rPr>
              <w:t>Neto rezultat ugovora o (pasivnom) reosiguranju</w:t>
            </w:r>
          </w:p>
        </w:tc>
        <w:tc>
          <w:tcPr>
            <w:tcW w:w="1403" w:type="dxa"/>
            <w:tcBorders>
              <w:bottom w:val="single" w:sz="12" w:space="0" w:color="auto"/>
            </w:tcBorders>
            <w:shd w:val="clear" w:color="auto" w:fill="auto"/>
            <w:noWrap/>
            <w:vAlign w:val="bottom"/>
          </w:tcPr>
          <w:p w14:paraId="7BA7ECE6" w14:textId="77777777" w:rsidR="006A1846" w:rsidRDefault="006A1846" w:rsidP="004454D6">
            <w:pPr>
              <w:suppressAutoHyphens/>
              <w:autoSpaceDN w:val="0"/>
              <w:jc w:val="right"/>
              <w:rPr>
                <w:rFonts w:ascii="Arial" w:eastAsia="Times New Roman" w:hAnsi="Arial" w:cs="Arial"/>
                <w:b/>
                <w:bCs/>
                <w:color w:val="000000"/>
                <w:sz w:val="18"/>
                <w:szCs w:val="18"/>
              </w:rPr>
            </w:pPr>
            <w:r>
              <w:rPr>
                <w:rFonts w:ascii="Arial" w:eastAsia="Times New Roman" w:hAnsi="Arial" w:cs="Arial"/>
                <w:b/>
                <w:bCs/>
                <w:color w:val="000000"/>
                <w:sz w:val="18"/>
                <w:szCs w:val="18"/>
              </w:rPr>
              <w:t>(</w:t>
            </w:r>
            <w:r w:rsidRPr="005025EC">
              <w:rPr>
                <w:rFonts w:ascii="Arial" w:eastAsia="Times New Roman" w:hAnsi="Arial" w:cs="Arial"/>
                <w:b/>
                <w:bCs/>
                <w:color w:val="000000"/>
                <w:sz w:val="18"/>
                <w:szCs w:val="18"/>
              </w:rPr>
              <w:t>344</w:t>
            </w:r>
            <w:r>
              <w:rPr>
                <w:rFonts w:ascii="Arial" w:eastAsia="Times New Roman" w:hAnsi="Arial" w:cs="Arial"/>
                <w:b/>
                <w:bCs/>
                <w:color w:val="000000"/>
                <w:sz w:val="18"/>
                <w:szCs w:val="18"/>
              </w:rPr>
              <w:t>)</w:t>
            </w:r>
          </w:p>
        </w:tc>
        <w:tc>
          <w:tcPr>
            <w:tcW w:w="1218" w:type="dxa"/>
            <w:tcBorders>
              <w:bottom w:val="single" w:sz="12" w:space="0" w:color="auto"/>
            </w:tcBorders>
            <w:shd w:val="clear" w:color="auto" w:fill="auto"/>
            <w:vAlign w:val="bottom"/>
          </w:tcPr>
          <w:p w14:paraId="74383AB9" w14:textId="77777777" w:rsidR="006A1846" w:rsidRDefault="006A1846" w:rsidP="004454D6">
            <w:pPr>
              <w:suppressAutoHyphens/>
              <w:autoSpaceDN w:val="0"/>
              <w:jc w:val="right"/>
              <w:rPr>
                <w:rFonts w:ascii="Arial" w:eastAsia="Times New Roman" w:hAnsi="Arial" w:cs="Arial"/>
                <w:b/>
                <w:bCs/>
                <w:color w:val="000000"/>
                <w:sz w:val="18"/>
                <w:szCs w:val="18"/>
              </w:rPr>
            </w:pPr>
            <w:r>
              <w:rPr>
                <w:rFonts w:ascii="Arial" w:eastAsia="Times New Roman" w:hAnsi="Arial" w:cs="Arial"/>
                <w:b/>
                <w:bCs/>
                <w:color w:val="000000"/>
                <w:sz w:val="18"/>
                <w:szCs w:val="18"/>
              </w:rPr>
              <w:t>-</w:t>
            </w:r>
          </w:p>
        </w:tc>
      </w:tr>
      <w:tr w:rsidR="006A1846" w:rsidRPr="0056686B" w14:paraId="7BB4F62E" w14:textId="77777777" w:rsidTr="004454D6">
        <w:trPr>
          <w:trHeight w:val="111"/>
        </w:trPr>
        <w:tc>
          <w:tcPr>
            <w:tcW w:w="6387" w:type="dxa"/>
            <w:tcBorders>
              <w:top w:val="nil"/>
              <w:left w:val="nil"/>
              <w:right w:val="nil"/>
            </w:tcBorders>
            <w:shd w:val="clear" w:color="auto" w:fill="auto"/>
            <w:vAlign w:val="bottom"/>
          </w:tcPr>
          <w:p w14:paraId="0B7DE21B" w14:textId="77777777" w:rsidR="006A1846" w:rsidRPr="0056686B" w:rsidRDefault="006A1846" w:rsidP="004454D6">
            <w:pPr>
              <w:suppressAutoHyphens/>
              <w:autoSpaceDN w:val="0"/>
              <w:rPr>
                <w:rFonts w:ascii="Arial" w:eastAsia="Times New Roman" w:hAnsi="Arial" w:cs="Arial"/>
                <w:color w:val="000000" w:themeColor="text1"/>
                <w:sz w:val="18"/>
                <w:szCs w:val="18"/>
              </w:rPr>
            </w:pPr>
          </w:p>
        </w:tc>
        <w:tc>
          <w:tcPr>
            <w:tcW w:w="1403" w:type="dxa"/>
            <w:tcBorders>
              <w:top w:val="single" w:sz="12" w:space="0" w:color="auto"/>
            </w:tcBorders>
            <w:shd w:val="clear" w:color="auto" w:fill="auto"/>
            <w:noWrap/>
            <w:vAlign w:val="bottom"/>
          </w:tcPr>
          <w:p w14:paraId="7757D11D" w14:textId="77777777" w:rsidR="006A1846" w:rsidRPr="0056686B" w:rsidRDefault="006A1846" w:rsidP="004454D6">
            <w:pPr>
              <w:suppressAutoHyphens/>
              <w:autoSpaceDN w:val="0"/>
              <w:jc w:val="right"/>
              <w:rPr>
                <w:rFonts w:ascii="Arial" w:eastAsia="Times New Roman" w:hAnsi="Arial" w:cs="Arial"/>
                <w:color w:val="000000"/>
                <w:sz w:val="18"/>
                <w:szCs w:val="18"/>
              </w:rPr>
            </w:pPr>
          </w:p>
        </w:tc>
        <w:tc>
          <w:tcPr>
            <w:tcW w:w="1218" w:type="dxa"/>
            <w:tcBorders>
              <w:top w:val="single" w:sz="12" w:space="0" w:color="auto"/>
            </w:tcBorders>
            <w:shd w:val="clear" w:color="auto" w:fill="auto"/>
            <w:vAlign w:val="bottom"/>
          </w:tcPr>
          <w:p w14:paraId="7EFE4549" w14:textId="77777777" w:rsidR="006A1846" w:rsidRPr="0056686B" w:rsidRDefault="006A1846" w:rsidP="004454D6">
            <w:pPr>
              <w:suppressAutoHyphens/>
              <w:autoSpaceDN w:val="0"/>
              <w:jc w:val="right"/>
              <w:rPr>
                <w:rFonts w:ascii="Arial" w:eastAsia="Times New Roman" w:hAnsi="Arial" w:cs="Arial"/>
                <w:color w:val="000000" w:themeColor="text1"/>
                <w:sz w:val="18"/>
                <w:szCs w:val="18"/>
              </w:rPr>
            </w:pPr>
          </w:p>
        </w:tc>
      </w:tr>
      <w:tr w:rsidR="006A1846" w:rsidRPr="0056686B" w14:paraId="533D5100" w14:textId="77777777" w:rsidTr="004454D6">
        <w:trPr>
          <w:trHeight w:val="111"/>
        </w:trPr>
        <w:tc>
          <w:tcPr>
            <w:tcW w:w="6387" w:type="dxa"/>
            <w:tcBorders>
              <w:top w:val="nil"/>
              <w:left w:val="nil"/>
              <w:right w:val="nil"/>
            </w:tcBorders>
            <w:shd w:val="clear" w:color="auto" w:fill="auto"/>
            <w:vAlign w:val="bottom"/>
          </w:tcPr>
          <w:p w14:paraId="68553BDE" w14:textId="77777777" w:rsidR="006A1846" w:rsidRPr="0056686B" w:rsidRDefault="006A1846" w:rsidP="004454D6">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Bruto izdatak za povrat premije</w:t>
            </w:r>
          </w:p>
        </w:tc>
        <w:tc>
          <w:tcPr>
            <w:tcW w:w="1403" w:type="dxa"/>
            <w:shd w:val="clear" w:color="auto" w:fill="auto"/>
            <w:noWrap/>
            <w:vAlign w:val="bottom"/>
          </w:tcPr>
          <w:p w14:paraId="28E6A8EA" w14:textId="77777777" w:rsidR="006A1846" w:rsidRPr="0056686B" w:rsidRDefault="006A1846" w:rsidP="004454D6">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1218" w:type="dxa"/>
            <w:shd w:val="clear" w:color="auto" w:fill="auto"/>
            <w:vAlign w:val="bottom"/>
          </w:tcPr>
          <w:p w14:paraId="33EAD6C0" w14:textId="77777777" w:rsidR="006A1846" w:rsidRPr="0056686B" w:rsidRDefault="006A1846" w:rsidP="004454D6">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sz w:val="18"/>
                <w:szCs w:val="18"/>
              </w:rPr>
              <w:t>-</w:t>
            </w:r>
          </w:p>
        </w:tc>
      </w:tr>
      <w:tr w:rsidR="006A1846" w:rsidRPr="0056686B" w14:paraId="12EB01DC" w14:textId="77777777" w:rsidTr="004454D6">
        <w:trPr>
          <w:trHeight w:val="152"/>
        </w:trPr>
        <w:tc>
          <w:tcPr>
            <w:tcW w:w="6387" w:type="dxa"/>
            <w:tcBorders>
              <w:top w:val="nil"/>
              <w:left w:val="nil"/>
              <w:right w:val="nil"/>
            </w:tcBorders>
            <w:shd w:val="clear" w:color="auto" w:fill="auto"/>
            <w:vAlign w:val="bottom"/>
          </w:tcPr>
          <w:p w14:paraId="72595140" w14:textId="77777777" w:rsidR="006A1846" w:rsidRPr="0056686B" w:rsidRDefault="006A1846" w:rsidP="004454D6">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Udio reosiguravatelja u povratu premije</w:t>
            </w:r>
          </w:p>
        </w:tc>
        <w:tc>
          <w:tcPr>
            <w:tcW w:w="1403" w:type="dxa"/>
            <w:shd w:val="clear" w:color="auto" w:fill="auto"/>
            <w:noWrap/>
            <w:vAlign w:val="bottom"/>
          </w:tcPr>
          <w:p w14:paraId="678F05CD" w14:textId="77777777" w:rsidR="006A1846" w:rsidRPr="0056686B" w:rsidRDefault="006A1846" w:rsidP="004454D6">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1218" w:type="dxa"/>
            <w:shd w:val="clear" w:color="auto" w:fill="auto"/>
            <w:vAlign w:val="bottom"/>
          </w:tcPr>
          <w:p w14:paraId="74DE658E" w14:textId="77777777" w:rsidR="006A1846" w:rsidRPr="0056686B" w:rsidRDefault="006A1846" w:rsidP="004454D6">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sz w:val="18"/>
                <w:szCs w:val="18"/>
              </w:rPr>
              <w:t>-</w:t>
            </w:r>
          </w:p>
        </w:tc>
      </w:tr>
      <w:tr w:rsidR="006A1846" w:rsidRPr="0056686B" w14:paraId="2C887D43" w14:textId="77777777" w:rsidTr="004454D6">
        <w:trPr>
          <w:trHeight w:val="193"/>
        </w:trPr>
        <w:tc>
          <w:tcPr>
            <w:tcW w:w="6387" w:type="dxa"/>
            <w:tcBorders>
              <w:top w:val="nil"/>
              <w:left w:val="nil"/>
              <w:right w:val="nil"/>
            </w:tcBorders>
            <w:shd w:val="clear" w:color="auto" w:fill="auto"/>
            <w:vAlign w:val="bottom"/>
          </w:tcPr>
          <w:p w14:paraId="5CB2FF68" w14:textId="77777777" w:rsidR="006A1846" w:rsidRPr="0056686B" w:rsidRDefault="006A1846" w:rsidP="004454D6">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Bruto pričuva za povrate premija</w:t>
            </w:r>
          </w:p>
        </w:tc>
        <w:tc>
          <w:tcPr>
            <w:tcW w:w="1403" w:type="dxa"/>
            <w:shd w:val="clear" w:color="auto" w:fill="auto"/>
            <w:noWrap/>
            <w:vAlign w:val="bottom"/>
          </w:tcPr>
          <w:p w14:paraId="59FD123F" w14:textId="77777777" w:rsidR="006A1846" w:rsidRPr="0056686B" w:rsidRDefault="006A1846" w:rsidP="004454D6">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1218" w:type="dxa"/>
            <w:shd w:val="clear" w:color="auto" w:fill="auto"/>
            <w:vAlign w:val="bottom"/>
          </w:tcPr>
          <w:p w14:paraId="5CB1D014" w14:textId="77777777" w:rsidR="006A1846" w:rsidRPr="0056686B" w:rsidRDefault="006A1846" w:rsidP="004454D6">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sz w:val="18"/>
                <w:szCs w:val="18"/>
              </w:rPr>
              <w:t>-</w:t>
            </w:r>
          </w:p>
        </w:tc>
      </w:tr>
      <w:tr w:rsidR="006A1846" w:rsidRPr="0056686B" w14:paraId="0DDE4901" w14:textId="77777777" w:rsidTr="004454D6">
        <w:trPr>
          <w:trHeight w:val="89"/>
        </w:trPr>
        <w:tc>
          <w:tcPr>
            <w:tcW w:w="6387" w:type="dxa"/>
            <w:tcBorders>
              <w:top w:val="nil"/>
              <w:left w:val="nil"/>
              <w:right w:val="nil"/>
            </w:tcBorders>
            <w:shd w:val="clear" w:color="auto" w:fill="auto"/>
            <w:vAlign w:val="bottom"/>
          </w:tcPr>
          <w:p w14:paraId="0B3A3FB2" w14:textId="77777777" w:rsidR="006A1846" w:rsidRPr="0056686B" w:rsidRDefault="006A1846" w:rsidP="004454D6">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Udio reosiguravatelja u pričuvi</w:t>
            </w:r>
          </w:p>
        </w:tc>
        <w:tc>
          <w:tcPr>
            <w:tcW w:w="1403" w:type="dxa"/>
            <w:tcBorders>
              <w:top w:val="nil"/>
              <w:left w:val="nil"/>
              <w:bottom w:val="single" w:sz="4" w:space="0" w:color="auto"/>
              <w:right w:val="nil"/>
            </w:tcBorders>
            <w:shd w:val="clear" w:color="auto" w:fill="auto"/>
            <w:noWrap/>
            <w:vAlign w:val="bottom"/>
          </w:tcPr>
          <w:p w14:paraId="54AA46A9" w14:textId="77777777" w:rsidR="006A1846" w:rsidRPr="0056686B" w:rsidRDefault="006A1846" w:rsidP="004454D6">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1218" w:type="dxa"/>
            <w:tcBorders>
              <w:top w:val="nil"/>
              <w:left w:val="nil"/>
              <w:bottom w:val="single" w:sz="4" w:space="0" w:color="auto"/>
              <w:right w:val="nil"/>
            </w:tcBorders>
            <w:shd w:val="clear" w:color="auto" w:fill="auto"/>
            <w:vAlign w:val="bottom"/>
          </w:tcPr>
          <w:p w14:paraId="2365A7AC" w14:textId="77777777" w:rsidR="006A1846" w:rsidRPr="0056686B" w:rsidRDefault="006A1846" w:rsidP="004454D6">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sz w:val="18"/>
                <w:szCs w:val="18"/>
              </w:rPr>
              <w:t>-</w:t>
            </w:r>
          </w:p>
        </w:tc>
      </w:tr>
      <w:tr w:rsidR="006A1846" w:rsidRPr="0056686B" w14:paraId="71841E05" w14:textId="77777777" w:rsidTr="004454D6">
        <w:trPr>
          <w:trHeight w:val="123"/>
        </w:trPr>
        <w:tc>
          <w:tcPr>
            <w:tcW w:w="6387" w:type="dxa"/>
            <w:tcBorders>
              <w:left w:val="nil"/>
              <w:right w:val="nil"/>
            </w:tcBorders>
            <w:shd w:val="clear" w:color="auto" w:fill="auto"/>
            <w:vAlign w:val="bottom"/>
          </w:tcPr>
          <w:p w14:paraId="23A364D6" w14:textId="77777777" w:rsidR="006A1846" w:rsidRPr="0056686B" w:rsidRDefault="006A1846" w:rsidP="004454D6">
            <w:pPr>
              <w:suppressAutoHyphens/>
              <w:autoSpaceDN w:val="0"/>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Neto izdaci i pričuve za povrat premije</w:t>
            </w:r>
          </w:p>
        </w:tc>
        <w:tc>
          <w:tcPr>
            <w:tcW w:w="1403" w:type="dxa"/>
            <w:tcBorders>
              <w:top w:val="single" w:sz="4" w:space="0" w:color="auto"/>
              <w:left w:val="nil"/>
              <w:bottom w:val="single" w:sz="12" w:space="0" w:color="auto"/>
              <w:right w:val="nil"/>
            </w:tcBorders>
            <w:shd w:val="clear" w:color="auto" w:fill="auto"/>
            <w:noWrap/>
            <w:vAlign w:val="bottom"/>
          </w:tcPr>
          <w:p w14:paraId="4E60256E" w14:textId="77777777" w:rsidR="006A1846" w:rsidRPr="0056686B" w:rsidRDefault="006A1846" w:rsidP="004454D6">
            <w:pPr>
              <w:suppressAutoHyphens/>
              <w:autoSpaceDN w:val="0"/>
              <w:jc w:val="right"/>
              <w:rPr>
                <w:rFonts w:ascii="Arial" w:eastAsia="Times New Roman" w:hAnsi="Arial" w:cs="Arial"/>
                <w:b/>
                <w:color w:val="000000" w:themeColor="text1"/>
                <w:sz w:val="18"/>
                <w:szCs w:val="18"/>
              </w:rPr>
            </w:pPr>
            <w:r>
              <w:rPr>
                <w:rFonts w:ascii="Arial" w:eastAsia="Times New Roman" w:hAnsi="Arial" w:cs="Arial"/>
                <w:b/>
                <w:color w:val="000000" w:themeColor="text1"/>
                <w:sz w:val="18"/>
                <w:szCs w:val="18"/>
              </w:rPr>
              <w:t>-</w:t>
            </w:r>
          </w:p>
        </w:tc>
        <w:tc>
          <w:tcPr>
            <w:tcW w:w="1218" w:type="dxa"/>
            <w:tcBorders>
              <w:top w:val="single" w:sz="4" w:space="0" w:color="auto"/>
              <w:left w:val="nil"/>
              <w:bottom w:val="single" w:sz="12" w:space="0" w:color="auto"/>
              <w:right w:val="nil"/>
            </w:tcBorders>
            <w:shd w:val="clear" w:color="auto" w:fill="auto"/>
            <w:vAlign w:val="bottom"/>
          </w:tcPr>
          <w:p w14:paraId="5988D5EF" w14:textId="77777777" w:rsidR="006A1846" w:rsidRPr="0056686B" w:rsidRDefault="006A1846" w:rsidP="004454D6">
            <w:pPr>
              <w:suppressAutoHyphens/>
              <w:autoSpaceDN w:val="0"/>
              <w:jc w:val="right"/>
              <w:rPr>
                <w:rFonts w:ascii="Arial" w:eastAsia="Times New Roman" w:hAnsi="Arial" w:cs="Arial"/>
                <w:b/>
                <w:color w:val="000000" w:themeColor="text1"/>
                <w:sz w:val="18"/>
                <w:szCs w:val="18"/>
              </w:rPr>
            </w:pPr>
            <w:r>
              <w:rPr>
                <w:rFonts w:ascii="Arial" w:eastAsia="Times New Roman" w:hAnsi="Arial" w:cs="Arial"/>
                <w:b/>
                <w:color w:val="000000" w:themeColor="text1"/>
                <w:sz w:val="18"/>
                <w:szCs w:val="18"/>
              </w:rPr>
              <w:t>-</w:t>
            </w:r>
          </w:p>
        </w:tc>
      </w:tr>
      <w:tr w:rsidR="006A1846" w:rsidRPr="0056686B" w14:paraId="6E4AA1A7" w14:textId="77777777" w:rsidTr="004454D6">
        <w:trPr>
          <w:trHeight w:val="82"/>
        </w:trPr>
        <w:tc>
          <w:tcPr>
            <w:tcW w:w="6387" w:type="dxa"/>
            <w:tcBorders>
              <w:left w:val="nil"/>
              <w:bottom w:val="nil"/>
              <w:right w:val="nil"/>
            </w:tcBorders>
            <w:shd w:val="clear" w:color="auto" w:fill="auto"/>
            <w:vAlign w:val="bottom"/>
          </w:tcPr>
          <w:p w14:paraId="74808ABE" w14:textId="77777777" w:rsidR="006A1846" w:rsidRPr="0056686B" w:rsidRDefault="006A1846" w:rsidP="004454D6">
            <w:pPr>
              <w:suppressAutoHyphens/>
              <w:autoSpaceDN w:val="0"/>
              <w:spacing w:line="140" w:lineRule="exact"/>
              <w:rPr>
                <w:rFonts w:ascii="Arial" w:eastAsia="Times New Roman" w:hAnsi="Arial" w:cs="Arial"/>
                <w:color w:val="000000" w:themeColor="text1"/>
                <w:sz w:val="18"/>
                <w:szCs w:val="18"/>
              </w:rPr>
            </w:pPr>
          </w:p>
        </w:tc>
        <w:tc>
          <w:tcPr>
            <w:tcW w:w="1403" w:type="dxa"/>
            <w:tcBorders>
              <w:top w:val="single" w:sz="12" w:space="0" w:color="auto"/>
              <w:left w:val="nil"/>
              <w:bottom w:val="nil"/>
              <w:right w:val="nil"/>
            </w:tcBorders>
            <w:shd w:val="clear" w:color="auto" w:fill="auto"/>
            <w:noWrap/>
            <w:vAlign w:val="bottom"/>
          </w:tcPr>
          <w:p w14:paraId="02578EA4" w14:textId="77777777" w:rsidR="006A1846" w:rsidRPr="0056686B" w:rsidRDefault="006A1846" w:rsidP="004454D6">
            <w:pPr>
              <w:suppressAutoHyphens/>
              <w:autoSpaceDN w:val="0"/>
              <w:spacing w:line="140" w:lineRule="exact"/>
              <w:jc w:val="right"/>
              <w:rPr>
                <w:rFonts w:ascii="Arial" w:eastAsia="Times New Roman" w:hAnsi="Arial" w:cs="Arial"/>
                <w:color w:val="000000" w:themeColor="text1"/>
                <w:sz w:val="18"/>
                <w:szCs w:val="18"/>
              </w:rPr>
            </w:pPr>
          </w:p>
        </w:tc>
        <w:tc>
          <w:tcPr>
            <w:tcW w:w="1218" w:type="dxa"/>
            <w:tcBorders>
              <w:top w:val="single" w:sz="12" w:space="0" w:color="auto"/>
              <w:left w:val="nil"/>
              <w:bottom w:val="nil"/>
              <w:right w:val="nil"/>
            </w:tcBorders>
            <w:shd w:val="clear" w:color="auto" w:fill="auto"/>
            <w:vAlign w:val="bottom"/>
          </w:tcPr>
          <w:p w14:paraId="7407E78A" w14:textId="77777777" w:rsidR="006A1846" w:rsidRPr="0056686B" w:rsidRDefault="006A1846" w:rsidP="004454D6">
            <w:pPr>
              <w:suppressAutoHyphens/>
              <w:autoSpaceDN w:val="0"/>
              <w:spacing w:line="140" w:lineRule="exact"/>
              <w:jc w:val="right"/>
              <w:rPr>
                <w:rFonts w:ascii="Arial" w:eastAsia="Times New Roman" w:hAnsi="Arial" w:cs="Arial"/>
                <w:color w:val="000000" w:themeColor="text1"/>
                <w:sz w:val="18"/>
                <w:szCs w:val="18"/>
              </w:rPr>
            </w:pPr>
          </w:p>
        </w:tc>
      </w:tr>
      <w:tr w:rsidR="006A1846" w:rsidRPr="0056686B" w14:paraId="5A816235" w14:textId="77777777" w:rsidTr="004454D6">
        <w:trPr>
          <w:trHeight w:val="163"/>
        </w:trPr>
        <w:tc>
          <w:tcPr>
            <w:tcW w:w="6387" w:type="dxa"/>
            <w:tcBorders>
              <w:top w:val="nil"/>
              <w:left w:val="nil"/>
              <w:bottom w:val="nil"/>
              <w:right w:val="nil"/>
            </w:tcBorders>
            <w:shd w:val="clear" w:color="auto" w:fill="auto"/>
            <w:vAlign w:val="bottom"/>
          </w:tcPr>
          <w:p w14:paraId="402872A3" w14:textId="77777777" w:rsidR="006A1846" w:rsidRPr="0056686B" w:rsidRDefault="006A1846" w:rsidP="004454D6">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Izdaci za osigurane slučajeve</w:t>
            </w:r>
          </w:p>
        </w:tc>
        <w:tc>
          <w:tcPr>
            <w:tcW w:w="1403" w:type="dxa"/>
            <w:shd w:val="clear" w:color="auto" w:fill="auto"/>
            <w:noWrap/>
            <w:vAlign w:val="bottom"/>
          </w:tcPr>
          <w:p w14:paraId="6AC2B180" w14:textId="77777777" w:rsidR="006A1846" w:rsidRPr="0056686B" w:rsidRDefault="006A1846" w:rsidP="004454D6">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1218" w:type="dxa"/>
            <w:shd w:val="clear" w:color="auto" w:fill="auto"/>
            <w:vAlign w:val="bottom"/>
          </w:tcPr>
          <w:p w14:paraId="4A2076FB" w14:textId="77777777" w:rsidR="006A1846" w:rsidRPr="0056686B" w:rsidRDefault="006A1846" w:rsidP="004454D6">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sz w:val="18"/>
                <w:szCs w:val="18"/>
              </w:rPr>
              <w:t>-</w:t>
            </w:r>
          </w:p>
        </w:tc>
      </w:tr>
      <w:tr w:rsidR="006A1846" w:rsidRPr="0056686B" w14:paraId="4F74338A" w14:textId="77777777" w:rsidTr="004454D6">
        <w:trPr>
          <w:trHeight w:val="98"/>
        </w:trPr>
        <w:tc>
          <w:tcPr>
            <w:tcW w:w="6387" w:type="dxa"/>
            <w:tcBorders>
              <w:top w:val="nil"/>
              <w:left w:val="nil"/>
              <w:bottom w:val="nil"/>
              <w:right w:val="nil"/>
            </w:tcBorders>
            <w:shd w:val="clear" w:color="auto" w:fill="auto"/>
            <w:vAlign w:val="bottom"/>
          </w:tcPr>
          <w:p w14:paraId="30A18217" w14:textId="77777777" w:rsidR="006A1846" w:rsidRPr="0056686B" w:rsidRDefault="006A1846" w:rsidP="004454D6">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Izdaci za osigurane slučajeve, udio reosiguranja</w:t>
            </w:r>
          </w:p>
        </w:tc>
        <w:tc>
          <w:tcPr>
            <w:tcW w:w="1403" w:type="dxa"/>
            <w:shd w:val="clear" w:color="auto" w:fill="auto"/>
            <w:noWrap/>
            <w:vAlign w:val="bottom"/>
          </w:tcPr>
          <w:p w14:paraId="3F088958" w14:textId="77777777" w:rsidR="006A1846" w:rsidRPr="0056686B" w:rsidRDefault="006A1846" w:rsidP="004454D6">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1218" w:type="dxa"/>
            <w:shd w:val="clear" w:color="auto" w:fill="auto"/>
            <w:vAlign w:val="bottom"/>
          </w:tcPr>
          <w:p w14:paraId="4589B867" w14:textId="77777777" w:rsidR="006A1846" w:rsidRPr="0056686B" w:rsidRDefault="006A1846" w:rsidP="004454D6">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sz w:val="18"/>
                <w:szCs w:val="18"/>
              </w:rPr>
              <w:t>-</w:t>
            </w:r>
          </w:p>
        </w:tc>
      </w:tr>
      <w:tr w:rsidR="006A1846" w:rsidRPr="0056686B" w14:paraId="0212499F" w14:textId="77777777" w:rsidTr="004454D6">
        <w:trPr>
          <w:trHeight w:val="138"/>
        </w:trPr>
        <w:tc>
          <w:tcPr>
            <w:tcW w:w="6387" w:type="dxa"/>
            <w:tcBorders>
              <w:top w:val="nil"/>
              <w:left w:val="nil"/>
              <w:bottom w:val="nil"/>
              <w:right w:val="nil"/>
            </w:tcBorders>
            <w:shd w:val="clear" w:color="auto" w:fill="auto"/>
            <w:vAlign w:val="bottom"/>
          </w:tcPr>
          <w:p w14:paraId="37EA1318" w14:textId="77777777" w:rsidR="006A1846" w:rsidRPr="0056686B" w:rsidRDefault="006A1846" w:rsidP="004454D6">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Promjena pričuva za štete</w:t>
            </w:r>
          </w:p>
        </w:tc>
        <w:tc>
          <w:tcPr>
            <w:tcW w:w="1403" w:type="dxa"/>
            <w:shd w:val="clear" w:color="auto" w:fill="auto"/>
            <w:noWrap/>
            <w:vAlign w:val="bottom"/>
          </w:tcPr>
          <w:p w14:paraId="29EB5105" w14:textId="77777777" w:rsidR="006A1846" w:rsidRPr="0056686B" w:rsidRDefault="006A1846" w:rsidP="004454D6">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1218" w:type="dxa"/>
            <w:shd w:val="clear" w:color="auto" w:fill="auto"/>
            <w:vAlign w:val="bottom"/>
          </w:tcPr>
          <w:p w14:paraId="438FE35D" w14:textId="77777777" w:rsidR="006A1846" w:rsidRPr="0056686B" w:rsidRDefault="006A1846" w:rsidP="004454D6">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sz w:val="18"/>
                <w:szCs w:val="18"/>
              </w:rPr>
              <w:t>-</w:t>
            </w:r>
          </w:p>
        </w:tc>
      </w:tr>
      <w:tr w:rsidR="006A1846" w:rsidRPr="0056686B" w14:paraId="2C12DDFA" w14:textId="77777777" w:rsidTr="004454D6">
        <w:trPr>
          <w:trHeight w:val="82"/>
        </w:trPr>
        <w:tc>
          <w:tcPr>
            <w:tcW w:w="6387" w:type="dxa"/>
            <w:tcBorders>
              <w:top w:val="nil"/>
              <w:left w:val="nil"/>
              <w:right w:val="nil"/>
            </w:tcBorders>
            <w:shd w:val="clear" w:color="auto" w:fill="auto"/>
            <w:vAlign w:val="bottom"/>
          </w:tcPr>
          <w:p w14:paraId="129EFC48" w14:textId="77777777" w:rsidR="006A1846" w:rsidRPr="0056686B" w:rsidRDefault="006A1846" w:rsidP="004454D6">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Promjena pričuva za štete, udio reosiguranja</w:t>
            </w:r>
          </w:p>
        </w:tc>
        <w:tc>
          <w:tcPr>
            <w:tcW w:w="1403" w:type="dxa"/>
            <w:tcBorders>
              <w:top w:val="nil"/>
              <w:left w:val="nil"/>
              <w:bottom w:val="single" w:sz="4" w:space="0" w:color="auto"/>
              <w:right w:val="nil"/>
            </w:tcBorders>
            <w:shd w:val="clear" w:color="auto" w:fill="auto"/>
            <w:noWrap/>
            <w:vAlign w:val="bottom"/>
          </w:tcPr>
          <w:p w14:paraId="78410D61" w14:textId="77777777" w:rsidR="006A1846" w:rsidRPr="0056686B" w:rsidRDefault="006A1846" w:rsidP="004454D6">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1218" w:type="dxa"/>
            <w:tcBorders>
              <w:top w:val="nil"/>
              <w:left w:val="nil"/>
              <w:bottom w:val="single" w:sz="4" w:space="0" w:color="auto"/>
              <w:right w:val="nil"/>
            </w:tcBorders>
            <w:shd w:val="clear" w:color="auto" w:fill="auto"/>
            <w:vAlign w:val="bottom"/>
          </w:tcPr>
          <w:p w14:paraId="72AB2E0F" w14:textId="77777777" w:rsidR="006A1846" w:rsidRPr="0056686B" w:rsidRDefault="006A1846" w:rsidP="004454D6">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sz w:val="18"/>
                <w:szCs w:val="18"/>
              </w:rPr>
              <w:t>-</w:t>
            </w:r>
          </w:p>
        </w:tc>
      </w:tr>
      <w:tr w:rsidR="006A1846" w:rsidRPr="0056686B" w14:paraId="41CD4461" w14:textId="77777777" w:rsidTr="004454D6">
        <w:trPr>
          <w:trHeight w:val="97"/>
        </w:trPr>
        <w:tc>
          <w:tcPr>
            <w:tcW w:w="6387" w:type="dxa"/>
            <w:tcBorders>
              <w:left w:val="nil"/>
              <w:right w:val="nil"/>
            </w:tcBorders>
            <w:shd w:val="clear" w:color="auto" w:fill="auto"/>
            <w:vAlign w:val="bottom"/>
          </w:tcPr>
          <w:p w14:paraId="6ADA8248" w14:textId="77777777" w:rsidR="006A1846" w:rsidRPr="0056686B" w:rsidRDefault="006A1846" w:rsidP="004454D6">
            <w:pPr>
              <w:suppressAutoHyphens/>
              <w:autoSpaceDN w:val="0"/>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Neto izdaci za osigurane slučajeve</w:t>
            </w:r>
          </w:p>
        </w:tc>
        <w:tc>
          <w:tcPr>
            <w:tcW w:w="1403" w:type="dxa"/>
            <w:tcBorders>
              <w:top w:val="single" w:sz="4" w:space="0" w:color="auto"/>
              <w:left w:val="nil"/>
              <w:bottom w:val="single" w:sz="12" w:space="0" w:color="auto"/>
              <w:right w:val="nil"/>
            </w:tcBorders>
            <w:shd w:val="clear" w:color="auto" w:fill="auto"/>
            <w:noWrap/>
            <w:vAlign w:val="bottom"/>
          </w:tcPr>
          <w:p w14:paraId="5BC4E26A" w14:textId="77777777" w:rsidR="006A1846" w:rsidRPr="0056686B" w:rsidRDefault="006A1846" w:rsidP="004454D6">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w:t>
            </w:r>
          </w:p>
        </w:tc>
        <w:tc>
          <w:tcPr>
            <w:tcW w:w="1218" w:type="dxa"/>
            <w:tcBorders>
              <w:top w:val="single" w:sz="4" w:space="0" w:color="auto"/>
              <w:left w:val="nil"/>
              <w:bottom w:val="single" w:sz="12" w:space="0" w:color="auto"/>
              <w:right w:val="nil"/>
            </w:tcBorders>
            <w:shd w:val="clear" w:color="auto" w:fill="auto"/>
            <w:vAlign w:val="bottom"/>
          </w:tcPr>
          <w:p w14:paraId="2B2EE9D4" w14:textId="77777777" w:rsidR="006A1846" w:rsidRPr="008B43D7" w:rsidRDefault="006A1846" w:rsidP="004454D6">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w:t>
            </w:r>
          </w:p>
        </w:tc>
      </w:tr>
      <w:tr w:rsidR="006A1846" w:rsidRPr="0056686B" w14:paraId="0E7BB527" w14:textId="77777777" w:rsidTr="004454D6">
        <w:trPr>
          <w:trHeight w:hRule="exact" w:val="129"/>
        </w:trPr>
        <w:tc>
          <w:tcPr>
            <w:tcW w:w="6387" w:type="dxa"/>
            <w:tcBorders>
              <w:left w:val="nil"/>
              <w:right w:val="nil"/>
            </w:tcBorders>
            <w:shd w:val="clear" w:color="auto" w:fill="auto"/>
            <w:vAlign w:val="bottom"/>
          </w:tcPr>
          <w:p w14:paraId="7AC51952" w14:textId="77777777" w:rsidR="006A1846" w:rsidRPr="0056686B" w:rsidRDefault="006A1846" w:rsidP="004454D6">
            <w:pPr>
              <w:suppressAutoHyphens/>
              <w:autoSpaceDN w:val="0"/>
              <w:spacing w:line="140" w:lineRule="exact"/>
              <w:rPr>
                <w:rFonts w:ascii="Arial" w:eastAsia="Times New Roman" w:hAnsi="Arial" w:cs="Arial"/>
                <w:b/>
                <w:bCs/>
                <w:color w:val="000000" w:themeColor="text1"/>
                <w:sz w:val="18"/>
                <w:szCs w:val="18"/>
              </w:rPr>
            </w:pPr>
          </w:p>
        </w:tc>
        <w:tc>
          <w:tcPr>
            <w:tcW w:w="1403" w:type="dxa"/>
            <w:tcBorders>
              <w:top w:val="single" w:sz="12" w:space="0" w:color="auto"/>
              <w:left w:val="nil"/>
              <w:bottom w:val="nil"/>
              <w:right w:val="nil"/>
            </w:tcBorders>
            <w:shd w:val="clear" w:color="auto" w:fill="auto"/>
            <w:noWrap/>
            <w:vAlign w:val="bottom"/>
          </w:tcPr>
          <w:p w14:paraId="7669680E" w14:textId="77777777" w:rsidR="006A1846" w:rsidRPr="0056686B" w:rsidRDefault="006A1846" w:rsidP="004454D6">
            <w:pPr>
              <w:suppressAutoHyphens/>
              <w:autoSpaceDN w:val="0"/>
              <w:spacing w:line="140" w:lineRule="exact"/>
              <w:jc w:val="right"/>
              <w:rPr>
                <w:rFonts w:ascii="Arial" w:eastAsia="Times New Roman" w:hAnsi="Arial" w:cs="Arial"/>
                <w:b/>
                <w:bCs/>
                <w:color w:val="000000" w:themeColor="text1"/>
                <w:sz w:val="18"/>
                <w:szCs w:val="18"/>
              </w:rPr>
            </w:pPr>
          </w:p>
        </w:tc>
        <w:tc>
          <w:tcPr>
            <w:tcW w:w="1218" w:type="dxa"/>
            <w:tcBorders>
              <w:top w:val="single" w:sz="12" w:space="0" w:color="auto"/>
              <w:left w:val="nil"/>
              <w:bottom w:val="nil"/>
              <w:right w:val="nil"/>
            </w:tcBorders>
            <w:shd w:val="clear" w:color="auto" w:fill="auto"/>
            <w:vAlign w:val="bottom"/>
          </w:tcPr>
          <w:p w14:paraId="44C9D84C" w14:textId="77777777" w:rsidR="006A1846" w:rsidRPr="0056686B" w:rsidRDefault="006A1846" w:rsidP="004454D6">
            <w:pPr>
              <w:suppressAutoHyphens/>
              <w:autoSpaceDN w:val="0"/>
              <w:spacing w:line="140" w:lineRule="exact"/>
              <w:jc w:val="right"/>
              <w:rPr>
                <w:rFonts w:ascii="Arial" w:eastAsia="Times New Roman" w:hAnsi="Arial" w:cs="Arial"/>
                <w:b/>
                <w:bCs/>
                <w:color w:val="000000" w:themeColor="text1"/>
                <w:sz w:val="18"/>
                <w:szCs w:val="18"/>
              </w:rPr>
            </w:pPr>
          </w:p>
        </w:tc>
      </w:tr>
      <w:tr w:rsidR="006A1846" w:rsidRPr="0056686B" w14:paraId="4EB1591C" w14:textId="77777777" w:rsidTr="004454D6">
        <w:trPr>
          <w:trHeight w:val="155"/>
        </w:trPr>
        <w:tc>
          <w:tcPr>
            <w:tcW w:w="6387" w:type="dxa"/>
            <w:tcBorders>
              <w:left w:val="nil"/>
              <w:right w:val="nil"/>
            </w:tcBorders>
            <w:shd w:val="clear" w:color="auto" w:fill="auto"/>
            <w:vAlign w:val="bottom"/>
          </w:tcPr>
          <w:p w14:paraId="3AE14EF8" w14:textId="77777777" w:rsidR="006A1846" w:rsidRPr="0056686B" w:rsidRDefault="006A1846" w:rsidP="004454D6">
            <w:pPr>
              <w:suppressAutoHyphens/>
              <w:autoSpaceDN w:val="0"/>
              <w:rPr>
                <w:rFonts w:ascii="Arial" w:eastAsia="Times New Roman" w:hAnsi="Arial" w:cs="Arial"/>
                <w:bCs/>
                <w:color w:val="000000" w:themeColor="text1"/>
                <w:sz w:val="18"/>
                <w:szCs w:val="18"/>
              </w:rPr>
            </w:pPr>
            <w:r w:rsidRPr="0056686B">
              <w:rPr>
                <w:rFonts w:ascii="Arial" w:eastAsia="Times New Roman" w:hAnsi="Arial" w:cs="Arial"/>
                <w:bCs/>
                <w:color w:val="000000" w:themeColor="text1"/>
                <w:sz w:val="18"/>
                <w:szCs w:val="18"/>
              </w:rPr>
              <w:t>Troškovi pribave i marketinga</w:t>
            </w:r>
          </w:p>
        </w:tc>
        <w:tc>
          <w:tcPr>
            <w:tcW w:w="1403" w:type="dxa"/>
            <w:shd w:val="clear" w:color="auto" w:fill="auto"/>
            <w:noWrap/>
            <w:vAlign w:val="bottom"/>
          </w:tcPr>
          <w:p w14:paraId="709F439A" w14:textId="77777777" w:rsidR="006A1846" w:rsidRPr="0056686B" w:rsidRDefault="006A1846" w:rsidP="004454D6">
            <w:pPr>
              <w:suppressAutoHyphens/>
              <w:autoSpaceDN w:val="0"/>
              <w:jc w:val="right"/>
              <w:rPr>
                <w:rFonts w:ascii="Arial" w:eastAsia="Times New Roman" w:hAnsi="Arial" w:cs="Arial"/>
                <w:bCs/>
                <w:color w:val="000000"/>
                <w:sz w:val="18"/>
                <w:szCs w:val="18"/>
              </w:rPr>
            </w:pPr>
            <w:r>
              <w:rPr>
                <w:rFonts w:ascii="Arial" w:eastAsia="Times New Roman" w:hAnsi="Arial" w:cs="Arial"/>
                <w:bCs/>
                <w:color w:val="000000"/>
                <w:sz w:val="18"/>
                <w:szCs w:val="18"/>
              </w:rPr>
              <w:t>-</w:t>
            </w:r>
          </w:p>
        </w:tc>
        <w:tc>
          <w:tcPr>
            <w:tcW w:w="1218" w:type="dxa"/>
            <w:shd w:val="clear" w:color="auto" w:fill="auto"/>
            <w:vAlign w:val="bottom"/>
          </w:tcPr>
          <w:p w14:paraId="28F15E09" w14:textId="77777777" w:rsidR="006A1846" w:rsidRPr="008B43D7" w:rsidRDefault="006A1846" w:rsidP="004454D6">
            <w:pPr>
              <w:suppressAutoHyphens/>
              <w:autoSpaceDN w:val="0"/>
              <w:jc w:val="right"/>
              <w:rPr>
                <w:rFonts w:ascii="Arial" w:eastAsia="Times New Roman" w:hAnsi="Arial" w:cs="Arial"/>
                <w:bCs/>
                <w:color w:val="000000"/>
                <w:sz w:val="18"/>
                <w:szCs w:val="18"/>
              </w:rPr>
            </w:pPr>
            <w:r>
              <w:rPr>
                <w:rFonts w:ascii="Arial" w:eastAsia="Times New Roman" w:hAnsi="Arial" w:cs="Arial"/>
                <w:bCs/>
                <w:color w:val="000000"/>
                <w:sz w:val="18"/>
                <w:szCs w:val="18"/>
              </w:rPr>
              <w:t>-</w:t>
            </w:r>
          </w:p>
        </w:tc>
      </w:tr>
      <w:tr w:rsidR="006A1846" w:rsidRPr="0056686B" w14:paraId="0B785290" w14:textId="77777777" w:rsidTr="004454D6">
        <w:trPr>
          <w:trHeight w:val="90"/>
        </w:trPr>
        <w:tc>
          <w:tcPr>
            <w:tcW w:w="6387" w:type="dxa"/>
            <w:tcBorders>
              <w:left w:val="nil"/>
              <w:right w:val="nil"/>
            </w:tcBorders>
            <w:shd w:val="clear" w:color="auto" w:fill="auto"/>
            <w:vAlign w:val="bottom"/>
          </w:tcPr>
          <w:p w14:paraId="04B458D9" w14:textId="77777777" w:rsidR="006A1846" w:rsidRPr="0056686B" w:rsidRDefault="006A1846" w:rsidP="004454D6">
            <w:pPr>
              <w:suppressAutoHyphens/>
              <w:autoSpaceDN w:val="0"/>
              <w:rPr>
                <w:rFonts w:ascii="Arial" w:eastAsia="Times New Roman" w:hAnsi="Arial" w:cs="Arial"/>
                <w:bCs/>
                <w:color w:val="000000" w:themeColor="text1"/>
                <w:sz w:val="18"/>
                <w:szCs w:val="18"/>
              </w:rPr>
            </w:pPr>
            <w:r w:rsidRPr="0056686B">
              <w:rPr>
                <w:rFonts w:ascii="Arial" w:eastAsia="Times New Roman" w:hAnsi="Arial" w:cs="Arial"/>
                <w:bCs/>
                <w:color w:val="000000" w:themeColor="text1"/>
                <w:sz w:val="18"/>
                <w:szCs w:val="18"/>
              </w:rPr>
              <w:t>Administrativni troškovi</w:t>
            </w:r>
          </w:p>
        </w:tc>
        <w:tc>
          <w:tcPr>
            <w:tcW w:w="1403" w:type="dxa"/>
            <w:shd w:val="clear" w:color="auto" w:fill="auto"/>
            <w:noWrap/>
            <w:vAlign w:val="bottom"/>
          </w:tcPr>
          <w:p w14:paraId="15C12FDC" w14:textId="77777777" w:rsidR="006A1846" w:rsidRPr="0056686B" w:rsidRDefault="006A1846" w:rsidP="004454D6">
            <w:pPr>
              <w:suppressAutoHyphens/>
              <w:autoSpaceDN w:val="0"/>
              <w:jc w:val="right"/>
              <w:rPr>
                <w:rFonts w:ascii="Arial" w:eastAsia="Times New Roman" w:hAnsi="Arial" w:cs="Arial"/>
                <w:bCs/>
                <w:color w:val="000000"/>
                <w:sz w:val="18"/>
                <w:szCs w:val="18"/>
              </w:rPr>
            </w:pPr>
            <w:r>
              <w:rPr>
                <w:rFonts w:ascii="Arial" w:eastAsia="Times New Roman" w:hAnsi="Arial" w:cs="Arial"/>
                <w:bCs/>
                <w:color w:val="000000"/>
                <w:sz w:val="18"/>
                <w:szCs w:val="18"/>
              </w:rPr>
              <w:t>-</w:t>
            </w:r>
          </w:p>
        </w:tc>
        <w:tc>
          <w:tcPr>
            <w:tcW w:w="1218" w:type="dxa"/>
            <w:shd w:val="clear" w:color="auto" w:fill="auto"/>
            <w:vAlign w:val="bottom"/>
          </w:tcPr>
          <w:p w14:paraId="2F55D926" w14:textId="77777777" w:rsidR="006A1846" w:rsidRPr="008B43D7" w:rsidRDefault="006A1846" w:rsidP="004454D6">
            <w:pPr>
              <w:suppressAutoHyphens/>
              <w:autoSpaceDN w:val="0"/>
              <w:jc w:val="right"/>
              <w:rPr>
                <w:rFonts w:ascii="Arial" w:eastAsia="Times New Roman" w:hAnsi="Arial" w:cs="Arial"/>
                <w:bCs/>
                <w:color w:val="000000"/>
                <w:sz w:val="18"/>
                <w:szCs w:val="18"/>
              </w:rPr>
            </w:pPr>
            <w:r w:rsidRPr="008B43D7">
              <w:rPr>
                <w:rFonts w:ascii="Arial" w:eastAsia="Times New Roman" w:hAnsi="Arial" w:cs="Arial"/>
                <w:bCs/>
                <w:color w:val="000000"/>
                <w:sz w:val="18"/>
                <w:szCs w:val="18"/>
              </w:rPr>
              <w:t>(749)</w:t>
            </w:r>
          </w:p>
        </w:tc>
      </w:tr>
      <w:tr w:rsidR="006A1846" w:rsidRPr="0056686B" w14:paraId="6D7F6F08" w14:textId="77777777" w:rsidTr="004454D6">
        <w:trPr>
          <w:trHeight w:val="140"/>
        </w:trPr>
        <w:tc>
          <w:tcPr>
            <w:tcW w:w="6387" w:type="dxa"/>
            <w:tcBorders>
              <w:left w:val="nil"/>
              <w:right w:val="nil"/>
            </w:tcBorders>
            <w:shd w:val="clear" w:color="auto" w:fill="auto"/>
            <w:vAlign w:val="bottom"/>
          </w:tcPr>
          <w:p w14:paraId="220403EE" w14:textId="77777777" w:rsidR="006A1846" w:rsidRPr="0056686B" w:rsidRDefault="006A1846" w:rsidP="004454D6">
            <w:pPr>
              <w:suppressAutoHyphens/>
              <w:autoSpaceDN w:val="0"/>
              <w:rPr>
                <w:rFonts w:ascii="Arial" w:eastAsia="Times New Roman" w:hAnsi="Arial" w:cs="Arial"/>
                <w:bCs/>
                <w:color w:val="000000" w:themeColor="text1"/>
                <w:sz w:val="18"/>
                <w:szCs w:val="18"/>
              </w:rPr>
            </w:pPr>
            <w:r w:rsidRPr="0056686B">
              <w:rPr>
                <w:rFonts w:ascii="Arial" w:eastAsia="Times New Roman" w:hAnsi="Arial" w:cs="Arial"/>
                <w:bCs/>
                <w:color w:val="000000" w:themeColor="text1"/>
                <w:sz w:val="18"/>
                <w:szCs w:val="18"/>
              </w:rPr>
              <w:t>Ostali poslovni troškovi</w:t>
            </w:r>
          </w:p>
        </w:tc>
        <w:tc>
          <w:tcPr>
            <w:tcW w:w="1403" w:type="dxa"/>
            <w:shd w:val="clear" w:color="auto" w:fill="auto"/>
            <w:noWrap/>
            <w:vAlign w:val="bottom"/>
          </w:tcPr>
          <w:p w14:paraId="0F177BFC" w14:textId="77777777" w:rsidR="006A1846" w:rsidRPr="0056686B" w:rsidRDefault="006A1846" w:rsidP="004454D6">
            <w:pPr>
              <w:suppressAutoHyphens/>
              <w:autoSpaceDN w:val="0"/>
              <w:jc w:val="right"/>
              <w:rPr>
                <w:rFonts w:ascii="Arial" w:eastAsia="Times New Roman" w:hAnsi="Arial" w:cs="Arial"/>
                <w:bCs/>
                <w:color w:val="000000"/>
                <w:sz w:val="18"/>
                <w:szCs w:val="18"/>
              </w:rPr>
            </w:pPr>
            <w:r w:rsidRPr="005025EC">
              <w:rPr>
                <w:rFonts w:ascii="Arial" w:eastAsia="Times New Roman" w:hAnsi="Arial" w:cs="Arial"/>
                <w:bCs/>
                <w:color w:val="000000"/>
                <w:sz w:val="18"/>
                <w:szCs w:val="18"/>
              </w:rPr>
              <w:t>(22)</w:t>
            </w:r>
          </w:p>
        </w:tc>
        <w:tc>
          <w:tcPr>
            <w:tcW w:w="1218" w:type="dxa"/>
            <w:shd w:val="clear" w:color="auto" w:fill="auto"/>
            <w:vAlign w:val="bottom"/>
          </w:tcPr>
          <w:p w14:paraId="12FC20B5" w14:textId="77777777" w:rsidR="006A1846" w:rsidRPr="008B43D7" w:rsidRDefault="006A1846" w:rsidP="004454D6">
            <w:pPr>
              <w:suppressAutoHyphens/>
              <w:autoSpaceDN w:val="0"/>
              <w:jc w:val="right"/>
              <w:rPr>
                <w:rFonts w:ascii="Arial" w:eastAsia="Times New Roman" w:hAnsi="Arial" w:cs="Arial"/>
                <w:bCs/>
                <w:color w:val="000000"/>
                <w:sz w:val="18"/>
                <w:szCs w:val="18"/>
              </w:rPr>
            </w:pPr>
            <w:r>
              <w:rPr>
                <w:rFonts w:ascii="Arial" w:eastAsia="Times New Roman" w:hAnsi="Arial" w:cs="Arial"/>
                <w:bCs/>
                <w:color w:val="000000"/>
                <w:sz w:val="18"/>
                <w:szCs w:val="18"/>
              </w:rPr>
              <w:t>-</w:t>
            </w:r>
          </w:p>
        </w:tc>
      </w:tr>
      <w:tr w:rsidR="006A1846" w:rsidRPr="0056686B" w14:paraId="42FBD5FC" w14:textId="77777777" w:rsidTr="004454D6">
        <w:trPr>
          <w:trHeight w:val="181"/>
        </w:trPr>
        <w:tc>
          <w:tcPr>
            <w:tcW w:w="6387" w:type="dxa"/>
            <w:tcBorders>
              <w:left w:val="nil"/>
              <w:right w:val="nil"/>
            </w:tcBorders>
            <w:shd w:val="clear" w:color="auto" w:fill="auto"/>
            <w:vAlign w:val="bottom"/>
          </w:tcPr>
          <w:p w14:paraId="4CD37759" w14:textId="77777777" w:rsidR="006A1846" w:rsidRPr="0056686B" w:rsidRDefault="006A1846" w:rsidP="004454D6">
            <w:pPr>
              <w:suppressAutoHyphens/>
              <w:autoSpaceDN w:val="0"/>
              <w:rPr>
                <w:rFonts w:ascii="Arial" w:eastAsia="Times New Roman" w:hAnsi="Arial" w:cs="Arial"/>
                <w:bCs/>
                <w:color w:val="000000" w:themeColor="text1"/>
                <w:sz w:val="18"/>
                <w:szCs w:val="18"/>
              </w:rPr>
            </w:pPr>
            <w:r w:rsidRPr="0056686B">
              <w:rPr>
                <w:rFonts w:ascii="Arial" w:eastAsia="Times New Roman" w:hAnsi="Arial" w:cs="Arial"/>
                <w:bCs/>
                <w:color w:val="000000" w:themeColor="text1"/>
                <w:sz w:val="18"/>
                <w:szCs w:val="18"/>
              </w:rPr>
              <w:t>Neto tečajne razlike koje ne proizlaze iz financijskih instrumenata</w:t>
            </w:r>
          </w:p>
        </w:tc>
        <w:tc>
          <w:tcPr>
            <w:tcW w:w="1403" w:type="dxa"/>
            <w:tcBorders>
              <w:top w:val="nil"/>
              <w:left w:val="nil"/>
              <w:bottom w:val="single" w:sz="4" w:space="0" w:color="auto"/>
              <w:right w:val="nil"/>
            </w:tcBorders>
            <w:shd w:val="clear" w:color="auto" w:fill="auto"/>
            <w:noWrap/>
            <w:vAlign w:val="bottom"/>
          </w:tcPr>
          <w:p w14:paraId="67966B78" w14:textId="77777777" w:rsidR="006A1846" w:rsidRPr="0056686B" w:rsidRDefault="006A1846" w:rsidP="004454D6">
            <w:pPr>
              <w:suppressAutoHyphens/>
              <w:autoSpaceDN w:val="0"/>
              <w:jc w:val="right"/>
              <w:rPr>
                <w:rFonts w:ascii="Arial" w:eastAsia="Times New Roman" w:hAnsi="Arial" w:cs="Arial"/>
                <w:bCs/>
                <w:color w:val="000000"/>
                <w:sz w:val="18"/>
                <w:szCs w:val="18"/>
              </w:rPr>
            </w:pPr>
            <w:r>
              <w:rPr>
                <w:rFonts w:ascii="Arial" w:eastAsia="Times New Roman" w:hAnsi="Arial" w:cs="Arial"/>
                <w:bCs/>
                <w:color w:val="000000"/>
                <w:sz w:val="18"/>
                <w:szCs w:val="18"/>
              </w:rPr>
              <w:t>-</w:t>
            </w:r>
          </w:p>
        </w:tc>
        <w:tc>
          <w:tcPr>
            <w:tcW w:w="1218" w:type="dxa"/>
            <w:tcBorders>
              <w:top w:val="nil"/>
              <w:left w:val="nil"/>
              <w:bottom w:val="single" w:sz="4" w:space="0" w:color="auto"/>
              <w:right w:val="nil"/>
            </w:tcBorders>
            <w:shd w:val="clear" w:color="auto" w:fill="auto"/>
            <w:vAlign w:val="bottom"/>
          </w:tcPr>
          <w:p w14:paraId="10A5C824" w14:textId="77777777" w:rsidR="006A1846" w:rsidRPr="008B43D7" w:rsidRDefault="006A1846" w:rsidP="004454D6">
            <w:pPr>
              <w:suppressAutoHyphens/>
              <w:autoSpaceDN w:val="0"/>
              <w:jc w:val="right"/>
              <w:rPr>
                <w:rFonts w:ascii="Arial" w:eastAsia="Times New Roman" w:hAnsi="Arial" w:cs="Arial"/>
                <w:bCs/>
                <w:color w:val="000000"/>
                <w:sz w:val="18"/>
                <w:szCs w:val="18"/>
              </w:rPr>
            </w:pPr>
            <w:r>
              <w:rPr>
                <w:rFonts w:ascii="Arial" w:eastAsia="Times New Roman" w:hAnsi="Arial" w:cs="Arial"/>
                <w:bCs/>
                <w:color w:val="000000"/>
                <w:sz w:val="18"/>
                <w:szCs w:val="18"/>
              </w:rPr>
              <w:t>-</w:t>
            </w:r>
          </w:p>
        </w:tc>
      </w:tr>
      <w:tr w:rsidR="006A1846" w:rsidRPr="0056686B" w14:paraId="2AC64050" w14:textId="77777777" w:rsidTr="004454D6">
        <w:trPr>
          <w:trHeight w:val="73"/>
        </w:trPr>
        <w:tc>
          <w:tcPr>
            <w:tcW w:w="6387" w:type="dxa"/>
            <w:tcBorders>
              <w:left w:val="nil"/>
              <w:right w:val="nil"/>
            </w:tcBorders>
            <w:shd w:val="clear" w:color="auto" w:fill="auto"/>
            <w:vAlign w:val="bottom"/>
          </w:tcPr>
          <w:p w14:paraId="524CF445" w14:textId="77777777" w:rsidR="006A1846" w:rsidRPr="0056686B" w:rsidRDefault="006A1846" w:rsidP="004454D6">
            <w:pPr>
              <w:suppressAutoHyphens/>
              <w:autoSpaceDN w:val="0"/>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Dobit prije oporezivanja</w:t>
            </w:r>
          </w:p>
        </w:tc>
        <w:tc>
          <w:tcPr>
            <w:tcW w:w="1403" w:type="dxa"/>
            <w:tcBorders>
              <w:top w:val="single" w:sz="4" w:space="0" w:color="auto"/>
              <w:left w:val="nil"/>
              <w:bottom w:val="single" w:sz="12" w:space="0" w:color="auto"/>
              <w:right w:val="nil"/>
            </w:tcBorders>
            <w:shd w:val="clear" w:color="auto" w:fill="auto"/>
            <w:noWrap/>
            <w:vAlign w:val="bottom"/>
          </w:tcPr>
          <w:p w14:paraId="6D43DF18" w14:textId="386BA7CE" w:rsidR="006A1846" w:rsidRPr="008519ED" w:rsidRDefault="006A1846" w:rsidP="004454D6">
            <w:pPr>
              <w:suppressAutoHyphens/>
              <w:autoSpaceDN w:val="0"/>
              <w:jc w:val="right"/>
              <w:rPr>
                <w:rFonts w:ascii="Arial" w:eastAsia="Times New Roman" w:hAnsi="Arial" w:cs="Arial"/>
                <w:b/>
                <w:color w:val="000000" w:themeColor="text1"/>
                <w:sz w:val="18"/>
                <w:szCs w:val="18"/>
              </w:rPr>
            </w:pPr>
            <w:r>
              <w:rPr>
                <w:rFonts w:ascii="Arial" w:eastAsia="Times New Roman" w:hAnsi="Arial" w:cs="Arial"/>
                <w:b/>
                <w:color w:val="000000" w:themeColor="text1"/>
                <w:sz w:val="18"/>
                <w:szCs w:val="18"/>
              </w:rPr>
              <w:t>13</w:t>
            </w:r>
            <w:r w:rsidR="00A54D5B">
              <w:rPr>
                <w:rFonts w:ascii="Arial" w:eastAsia="Times New Roman" w:hAnsi="Arial" w:cs="Arial"/>
                <w:b/>
                <w:color w:val="000000" w:themeColor="text1"/>
                <w:sz w:val="18"/>
                <w:szCs w:val="18"/>
              </w:rPr>
              <w:t>5</w:t>
            </w:r>
          </w:p>
        </w:tc>
        <w:tc>
          <w:tcPr>
            <w:tcW w:w="1218" w:type="dxa"/>
            <w:tcBorders>
              <w:top w:val="single" w:sz="4" w:space="0" w:color="auto"/>
              <w:left w:val="nil"/>
              <w:bottom w:val="single" w:sz="12" w:space="0" w:color="auto"/>
              <w:right w:val="nil"/>
            </w:tcBorders>
            <w:shd w:val="clear" w:color="auto" w:fill="auto"/>
            <w:vAlign w:val="bottom"/>
          </w:tcPr>
          <w:p w14:paraId="5FD2885D" w14:textId="77777777" w:rsidR="006A1846" w:rsidRPr="0056686B" w:rsidRDefault="006A1846" w:rsidP="004454D6">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color w:val="000000" w:themeColor="text1"/>
                <w:sz w:val="18"/>
                <w:szCs w:val="18"/>
              </w:rPr>
              <w:t>381</w:t>
            </w:r>
          </w:p>
        </w:tc>
      </w:tr>
      <w:tr w:rsidR="006A1846" w:rsidRPr="0056686B" w14:paraId="613F16A5" w14:textId="77777777" w:rsidTr="004454D6">
        <w:trPr>
          <w:trHeight w:hRule="exact" w:val="129"/>
        </w:trPr>
        <w:tc>
          <w:tcPr>
            <w:tcW w:w="6387" w:type="dxa"/>
            <w:tcBorders>
              <w:left w:val="nil"/>
              <w:right w:val="nil"/>
            </w:tcBorders>
            <w:shd w:val="clear" w:color="auto" w:fill="auto"/>
            <w:vAlign w:val="bottom"/>
          </w:tcPr>
          <w:p w14:paraId="129DFF74" w14:textId="77777777" w:rsidR="006A1846" w:rsidRPr="0056686B" w:rsidRDefault="006A1846" w:rsidP="004454D6">
            <w:pPr>
              <w:suppressAutoHyphens/>
              <w:autoSpaceDN w:val="0"/>
              <w:spacing w:line="140" w:lineRule="exact"/>
              <w:rPr>
                <w:rFonts w:ascii="Arial" w:eastAsia="Times New Roman" w:hAnsi="Arial" w:cs="Arial"/>
                <w:bCs/>
                <w:color w:val="000000" w:themeColor="text1"/>
                <w:sz w:val="18"/>
                <w:szCs w:val="18"/>
              </w:rPr>
            </w:pPr>
          </w:p>
        </w:tc>
        <w:tc>
          <w:tcPr>
            <w:tcW w:w="1403" w:type="dxa"/>
            <w:tcBorders>
              <w:top w:val="single" w:sz="12" w:space="0" w:color="auto"/>
              <w:left w:val="nil"/>
              <w:bottom w:val="nil"/>
              <w:right w:val="nil"/>
            </w:tcBorders>
            <w:shd w:val="clear" w:color="auto" w:fill="auto"/>
            <w:noWrap/>
            <w:vAlign w:val="bottom"/>
          </w:tcPr>
          <w:p w14:paraId="525DB611" w14:textId="77777777" w:rsidR="006A1846" w:rsidRPr="0056686B" w:rsidRDefault="006A1846" w:rsidP="004454D6">
            <w:pPr>
              <w:suppressAutoHyphens/>
              <w:autoSpaceDN w:val="0"/>
              <w:spacing w:line="140" w:lineRule="exact"/>
              <w:jc w:val="right"/>
              <w:rPr>
                <w:rFonts w:ascii="Arial" w:eastAsia="Times New Roman" w:hAnsi="Arial" w:cs="Arial"/>
                <w:bCs/>
                <w:color w:val="000000" w:themeColor="text1"/>
                <w:sz w:val="18"/>
                <w:szCs w:val="18"/>
              </w:rPr>
            </w:pPr>
          </w:p>
        </w:tc>
        <w:tc>
          <w:tcPr>
            <w:tcW w:w="1218" w:type="dxa"/>
            <w:tcBorders>
              <w:top w:val="single" w:sz="12" w:space="0" w:color="auto"/>
              <w:left w:val="nil"/>
              <w:bottom w:val="nil"/>
              <w:right w:val="nil"/>
            </w:tcBorders>
            <w:shd w:val="clear" w:color="auto" w:fill="auto"/>
            <w:vAlign w:val="bottom"/>
          </w:tcPr>
          <w:p w14:paraId="701E9B77" w14:textId="77777777" w:rsidR="006A1846" w:rsidRPr="0056686B" w:rsidRDefault="006A1846" w:rsidP="004454D6">
            <w:pPr>
              <w:suppressAutoHyphens/>
              <w:autoSpaceDN w:val="0"/>
              <w:spacing w:line="140" w:lineRule="exact"/>
              <w:jc w:val="right"/>
              <w:rPr>
                <w:rFonts w:ascii="Arial" w:eastAsia="Times New Roman" w:hAnsi="Arial" w:cs="Arial"/>
                <w:bCs/>
                <w:color w:val="000000" w:themeColor="text1"/>
                <w:sz w:val="18"/>
                <w:szCs w:val="18"/>
              </w:rPr>
            </w:pPr>
          </w:p>
        </w:tc>
      </w:tr>
      <w:tr w:rsidR="006A1846" w:rsidRPr="0056686B" w14:paraId="599B3AA0" w14:textId="77777777" w:rsidTr="004454D6">
        <w:trPr>
          <w:trHeight w:val="102"/>
        </w:trPr>
        <w:tc>
          <w:tcPr>
            <w:tcW w:w="6387" w:type="dxa"/>
            <w:tcBorders>
              <w:left w:val="nil"/>
              <w:right w:val="nil"/>
            </w:tcBorders>
            <w:shd w:val="clear" w:color="auto" w:fill="auto"/>
            <w:vAlign w:val="bottom"/>
          </w:tcPr>
          <w:p w14:paraId="4C549FDE" w14:textId="77777777" w:rsidR="006A1846" w:rsidRPr="0056686B" w:rsidRDefault="006A1846" w:rsidP="004454D6">
            <w:pPr>
              <w:suppressAutoHyphens/>
              <w:autoSpaceDN w:val="0"/>
              <w:rPr>
                <w:rFonts w:ascii="Arial" w:eastAsia="Times New Roman" w:hAnsi="Arial" w:cs="Arial"/>
                <w:bCs/>
                <w:color w:val="000000" w:themeColor="text1"/>
                <w:sz w:val="18"/>
                <w:szCs w:val="18"/>
              </w:rPr>
            </w:pPr>
            <w:r w:rsidRPr="0056686B">
              <w:rPr>
                <w:rFonts w:ascii="Arial" w:eastAsia="Times New Roman" w:hAnsi="Arial" w:cs="Arial"/>
                <w:bCs/>
                <w:color w:val="000000" w:themeColor="text1"/>
                <w:sz w:val="18"/>
                <w:szCs w:val="18"/>
              </w:rPr>
              <w:t>Porez na dobit</w:t>
            </w:r>
          </w:p>
        </w:tc>
        <w:tc>
          <w:tcPr>
            <w:tcW w:w="1403" w:type="dxa"/>
            <w:shd w:val="clear" w:color="auto" w:fill="auto"/>
            <w:noWrap/>
            <w:vAlign w:val="bottom"/>
          </w:tcPr>
          <w:p w14:paraId="6585DF03" w14:textId="77777777" w:rsidR="006A1846" w:rsidRPr="0056686B" w:rsidRDefault="006A1846" w:rsidP="004454D6">
            <w:pPr>
              <w:suppressAutoHyphens/>
              <w:autoSpaceDN w:val="0"/>
              <w:jc w:val="right"/>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w:t>
            </w:r>
          </w:p>
        </w:tc>
        <w:tc>
          <w:tcPr>
            <w:tcW w:w="1218" w:type="dxa"/>
            <w:shd w:val="clear" w:color="auto" w:fill="auto"/>
            <w:vAlign w:val="bottom"/>
          </w:tcPr>
          <w:p w14:paraId="5BC96E59" w14:textId="77777777" w:rsidR="006A1846" w:rsidRPr="0056686B" w:rsidRDefault="006A1846" w:rsidP="004454D6">
            <w:pPr>
              <w:suppressAutoHyphens/>
              <w:autoSpaceDN w:val="0"/>
              <w:jc w:val="right"/>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w:t>
            </w:r>
          </w:p>
        </w:tc>
      </w:tr>
      <w:tr w:rsidR="006A1846" w:rsidRPr="0056686B" w14:paraId="415FD85B" w14:textId="77777777" w:rsidTr="004454D6">
        <w:trPr>
          <w:trHeight w:val="108"/>
        </w:trPr>
        <w:tc>
          <w:tcPr>
            <w:tcW w:w="6387" w:type="dxa"/>
            <w:tcBorders>
              <w:left w:val="nil"/>
              <w:right w:val="nil"/>
            </w:tcBorders>
            <w:shd w:val="clear" w:color="auto" w:fill="auto"/>
            <w:vAlign w:val="bottom"/>
          </w:tcPr>
          <w:p w14:paraId="3324F45A" w14:textId="77777777" w:rsidR="006A1846" w:rsidRPr="0056686B" w:rsidRDefault="006A1846" w:rsidP="004454D6">
            <w:pPr>
              <w:suppressAutoHyphens/>
              <w:autoSpaceDN w:val="0"/>
              <w:spacing w:line="140" w:lineRule="exact"/>
              <w:rPr>
                <w:rFonts w:ascii="Arial" w:eastAsia="Times New Roman" w:hAnsi="Arial" w:cs="Arial"/>
                <w:b/>
                <w:bCs/>
                <w:color w:val="000000" w:themeColor="text1"/>
                <w:sz w:val="18"/>
                <w:szCs w:val="18"/>
              </w:rPr>
            </w:pPr>
          </w:p>
        </w:tc>
        <w:tc>
          <w:tcPr>
            <w:tcW w:w="1403" w:type="dxa"/>
            <w:tcBorders>
              <w:top w:val="nil"/>
              <w:left w:val="nil"/>
              <w:bottom w:val="single" w:sz="4" w:space="0" w:color="auto"/>
              <w:right w:val="nil"/>
            </w:tcBorders>
            <w:shd w:val="clear" w:color="auto" w:fill="auto"/>
            <w:noWrap/>
            <w:vAlign w:val="bottom"/>
          </w:tcPr>
          <w:p w14:paraId="2BBEED93" w14:textId="77777777" w:rsidR="006A1846" w:rsidRPr="0056686B" w:rsidRDefault="006A1846" w:rsidP="004454D6">
            <w:pPr>
              <w:suppressAutoHyphens/>
              <w:autoSpaceDN w:val="0"/>
              <w:spacing w:line="140" w:lineRule="exact"/>
              <w:jc w:val="right"/>
              <w:rPr>
                <w:rFonts w:ascii="Arial" w:eastAsia="Times New Roman" w:hAnsi="Arial" w:cs="Arial"/>
                <w:b/>
                <w:bCs/>
                <w:color w:val="000000" w:themeColor="text1"/>
                <w:sz w:val="18"/>
                <w:szCs w:val="18"/>
              </w:rPr>
            </w:pPr>
          </w:p>
        </w:tc>
        <w:tc>
          <w:tcPr>
            <w:tcW w:w="1218" w:type="dxa"/>
            <w:tcBorders>
              <w:top w:val="nil"/>
              <w:left w:val="nil"/>
              <w:bottom w:val="single" w:sz="4" w:space="0" w:color="auto"/>
              <w:right w:val="nil"/>
            </w:tcBorders>
            <w:shd w:val="clear" w:color="auto" w:fill="auto"/>
            <w:vAlign w:val="bottom"/>
          </w:tcPr>
          <w:p w14:paraId="56ACE1D0" w14:textId="77777777" w:rsidR="006A1846" w:rsidRPr="0056686B" w:rsidRDefault="006A1846" w:rsidP="004454D6">
            <w:pPr>
              <w:suppressAutoHyphens/>
              <w:autoSpaceDN w:val="0"/>
              <w:spacing w:line="140" w:lineRule="exact"/>
              <w:jc w:val="right"/>
              <w:rPr>
                <w:rFonts w:ascii="Arial" w:eastAsia="Times New Roman" w:hAnsi="Arial" w:cs="Arial"/>
                <w:b/>
                <w:bCs/>
                <w:color w:val="000000" w:themeColor="text1"/>
                <w:sz w:val="18"/>
                <w:szCs w:val="18"/>
              </w:rPr>
            </w:pPr>
          </w:p>
        </w:tc>
      </w:tr>
      <w:tr w:rsidR="006A1846" w:rsidRPr="0056686B" w14:paraId="452FF4E7" w14:textId="77777777" w:rsidTr="004454D6">
        <w:trPr>
          <w:trHeight w:val="135"/>
        </w:trPr>
        <w:tc>
          <w:tcPr>
            <w:tcW w:w="6387" w:type="dxa"/>
            <w:tcBorders>
              <w:left w:val="nil"/>
              <w:right w:val="nil"/>
            </w:tcBorders>
            <w:shd w:val="clear" w:color="auto" w:fill="auto"/>
            <w:vAlign w:val="bottom"/>
          </w:tcPr>
          <w:p w14:paraId="14FBF533" w14:textId="77777777" w:rsidR="006A1846" w:rsidRPr="0056686B" w:rsidRDefault="006A1846" w:rsidP="004454D6">
            <w:pPr>
              <w:suppressAutoHyphens/>
              <w:autoSpaceDN w:val="0"/>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Dobit tekuće godine</w:t>
            </w:r>
          </w:p>
        </w:tc>
        <w:tc>
          <w:tcPr>
            <w:tcW w:w="1403" w:type="dxa"/>
            <w:tcBorders>
              <w:top w:val="single" w:sz="4" w:space="0" w:color="auto"/>
              <w:left w:val="nil"/>
              <w:bottom w:val="single" w:sz="12" w:space="0" w:color="auto"/>
              <w:right w:val="nil"/>
            </w:tcBorders>
            <w:shd w:val="clear" w:color="auto" w:fill="auto"/>
            <w:noWrap/>
            <w:vAlign w:val="bottom"/>
          </w:tcPr>
          <w:p w14:paraId="20FA6CB6" w14:textId="50C02ABF" w:rsidR="006A1846" w:rsidRPr="0056686B" w:rsidRDefault="006A1846" w:rsidP="004454D6">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13</w:t>
            </w:r>
            <w:r w:rsidR="00A54D5B">
              <w:rPr>
                <w:rFonts w:ascii="Arial" w:eastAsia="Times New Roman" w:hAnsi="Arial" w:cs="Arial"/>
                <w:b/>
                <w:bCs/>
                <w:color w:val="000000" w:themeColor="text1"/>
                <w:sz w:val="18"/>
                <w:szCs w:val="18"/>
              </w:rPr>
              <w:t>5</w:t>
            </w:r>
          </w:p>
        </w:tc>
        <w:tc>
          <w:tcPr>
            <w:tcW w:w="1218" w:type="dxa"/>
            <w:tcBorders>
              <w:top w:val="single" w:sz="4" w:space="0" w:color="auto"/>
              <w:left w:val="nil"/>
              <w:bottom w:val="single" w:sz="12" w:space="0" w:color="auto"/>
              <w:right w:val="nil"/>
            </w:tcBorders>
            <w:shd w:val="clear" w:color="auto" w:fill="auto"/>
            <w:vAlign w:val="bottom"/>
          </w:tcPr>
          <w:p w14:paraId="42294B06" w14:textId="77777777" w:rsidR="006A1846" w:rsidRPr="0056686B" w:rsidRDefault="006A1846" w:rsidP="004454D6">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381</w:t>
            </w:r>
          </w:p>
        </w:tc>
      </w:tr>
      <w:tr w:rsidR="006A1846" w:rsidRPr="0056686B" w14:paraId="486CF1F7" w14:textId="77777777" w:rsidTr="004454D6">
        <w:trPr>
          <w:trHeight w:val="134"/>
        </w:trPr>
        <w:tc>
          <w:tcPr>
            <w:tcW w:w="6387" w:type="dxa"/>
            <w:tcBorders>
              <w:left w:val="nil"/>
              <w:right w:val="nil"/>
            </w:tcBorders>
            <w:shd w:val="clear" w:color="auto" w:fill="auto"/>
            <w:vAlign w:val="bottom"/>
          </w:tcPr>
          <w:p w14:paraId="5BD325F2" w14:textId="77777777" w:rsidR="006A1846" w:rsidRPr="0056686B" w:rsidRDefault="006A1846" w:rsidP="004454D6">
            <w:pPr>
              <w:suppressAutoHyphens/>
              <w:autoSpaceDN w:val="0"/>
              <w:spacing w:line="140" w:lineRule="exact"/>
              <w:rPr>
                <w:rFonts w:ascii="Arial" w:eastAsia="Times New Roman" w:hAnsi="Arial" w:cs="Arial"/>
                <w:b/>
                <w:bCs/>
                <w:color w:val="000000" w:themeColor="text1"/>
                <w:sz w:val="18"/>
                <w:szCs w:val="18"/>
              </w:rPr>
            </w:pPr>
          </w:p>
        </w:tc>
        <w:tc>
          <w:tcPr>
            <w:tcW w:w="1403" w:type="dxa"/>
            <w:tcBorders>
              <w:top w:val="single" w:sz="12" w:space="0" w:color="auto"/>
              <w:left w:val="nil"/>
              <w:bottom w:val="nil"/>
              <w:right w:val="nil"/>
            </w:tcBorders>
            <w:shd w:val="clear" w:color="auto" w:fill="auto"/>
            <w:noWrap/>
            <w:vAlign w:val="bottom"/>
          </w:tcPr>
          <w:p w14:paraId="4E63A18F" w14:textId="77777777" w:rsidR="006A1846" w:rsidRPr="0056686B" w:rsidRDefault="006A1846" w:rsidP="004454D6">
            <w:pPr>
              <w:suppressAutoHyphens/>
              <w:autoSpaceDN w:val="0"/>
              <w:spacing w:line="140" w:lineRule="exact"/>
              <w:jc w:val="right"/>
              <w:rPr>
                <w:rFonts w:ascii="Arial" w:eastAsia="Times New Roman" w:hAnsi="Arial" w:cs="Arial"/>
                <w:b/>
                <w:bCs/>
                <w:color w:val="000000" w:themeColor="text1"/>
                <w:sz w:val="18"/>
                <w:szCs w:val="18"/>
              </w:rPr>
            </w:pPr>
          </w:p>
        </w:tc>
        <w:tc>
          <w:tcPr>
            <w:tcW w:w="1218" w:type="dxa"/>
            <w:tcBorders>
              <w:top w:val="single" w:sz="12" w:space="0" w:color="auto"/>
              <w:left w:val="nil"/>
              <w:bottom w:val="nil"/>
              <w:right w:val="nil"/>
            </w:tcBorders>
            <w:shd w:val="clear" w:color="auto" w:fill="auto"/>
            <w:vAlign w:val="bottom"/>
          </w:tcPr>
          <w:p w14:paraId="5F39D353" w14:textId="77777777" w:rsidR="006A1846" w:rsidRPr="0056686B" w:rsidRDefault="006A1846" w:rsidP="004454D6">
            <w:pPr>
              <w:suppressAutoHyphens/>
              <w:autoSpaceDN w:val="0"/>
              <w:spacing w:line="140" w:lineRule="exact"/>
              <w:jc w:val="right"/>
              <w:rPr>
                <w:rFonts w:ascii="Arial" w:eastAsia="Times New Roman" w:hAnsi="Arial" w:cs="Arial"/>
                <w:b/>
                <w:bCs/>
                <w:color w:val="000000" w:themeColor="text1"/>
                <w:sz w:val="18"/>
                <w:szCs w:val="18"/>
              </w:rPr>
            </w:pPr>
          </w:p>
        </w:tc>
      </w:tr>
      <w:tr w:rsidR="006A1846" w:rsidRPr="0056686B" w14:paraId="5B262FEF" w14:textId="77777777" w:rsidTr="004454D6">
        <w:trPr>
          <w:trHeight w:val="213"/>
        </w:trPr>
        <w:tc>
          <w:tcPr>
            <w:tcW w:w="6387" w:type="dxa"/>
            <w:tcBorders>
              <w:left w:val="nil"/>
              <w:right w:val="nil"/>
            </w:tcBorders>
            <w:shd w:val="clear" w:color="auto" w:fill="auto"/>
            <w:vAlign w:val="bottom"/>
          </w:tcPr>
          <w:p w14:paraId="168B7044" w14:textId="77777777" w:rsidR="006A1846" w:rsidRPr="0056686B" w:rsidRDefault="006A1846" w:rsidP="004454D6">
            <w:pPr>
              <w:suppressAutoHyphens/>
              <w:autoSpaceDN w:val="0"/>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Ostala sveobuhvatna dobit</w:t>
            </w:r>
          </w:p>
        </w:tc>
        <w:tc>
          <w:tcPr>
            <w:tcW w:w="1403" w:type="dxa"/>
            <w:shd w:val="clear" w:color="auto" w:fill="auto"/>
            <w:noWrap/>
            <w:vAlign w:val="bottom"/>
          </w:tcPr>
          <w:p w14:paraId="7E5EAAE1" w14:textId="77777777" w:rsidR="006A1846" w:rsidRPr="0056686B" w:rsidRDefault="006A1846" w:rsidP="004454D6">
            <w:pPr>
              <w:suppressAutoHyphens/>
              <w:autoSpaceDN w:val="0"/>
              <w:jc w:val="right"/>
              <w:rPr>
                <w:rFonts w:ascii="Arial" w:eastAsia="Times New Roman" w:hAnsi="Arial" w:cs="Arial"/>
                <w:b/>
                <w:bCs/>
                <w:color w:val="000000" w:themeColor="text1"/>
                <w:sz w:val="18"/>
                <w:szCs w:val="18"/>
              </w:rPr>
            </w:pPr>
          </w:p>
        </w:tc>
        <w:tc>
          <w:tcPr>
            <w:tcW w:w="1218" w:type="dxa"/>
            <w:shd w:val="clear" w:color="auto" w:fill="auto"/>
            <w:vAlign w:val="bottom"/>
          </w:tcPr>
          <w:p w14:paraId="10CE7333" w14:textId="77777777" w:rsidR="006A1846" w:rsidRPr="0056686B" w:rsidRDefault="006A1846" w:rsidP="004454D6">
            <w:pPr>
              <w:suppressAutoHyphens/>
              <w:autoSpaceDN w:val="0"/>
              <w:jc w:val="right"/>
              <w:rPr>
                <w:rFonts w:ascii="Arial" w:eastAsia="Times New Roman" w:hAnsi="Arial" w:cs="Arial"/>
                <w:b/>
                <w:bCs/>
                <w:color w:val="000000" w:themeColor="text1"/>
                <w:sz w:val="18"/>
                <w:szCs w:val="18"/>
              </w:rPr>
            </w:pPr>
          </w:p>
        </w:tc>
      </w:tr>
      <w:tr w:rsidR="006A1846" w:rsidRPr="0056686B" w14:paraId="338B26E9" w14:textId="77777777" w:rsidTr="004454D6">
        <w:trPr>
          <w:trHeight w:val="241"/>
        </w:trPr>
        <w:tc>
          <w:tcPr>
            <w:tcW w:w="6387" w:type="dxa"/>
            <w:tcBorders>
              <w:left w:val="nil"/>
              <w:right w:val="nil"/>
            </w:tcBorders>
            <w:shd w:val="clear" w:color="auto" w:fill="auto"/>
            <w:vAlign w:val="bottom"/>
          </w:tcPr>
          <w:p w14:paraId="6309DDCE" w14:textId="77777777" w:rsidR="006A1846" w:rsidRPr="0056686B" w:rsidRDefault="006A1846" w:rsidP="004454D6">
            <w:pPr>
              <w:suppressAutoHyphens/>
              <w:autoSpaceDN w:val="0"/>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Stavke koje se kasnije ne prenose u dobit ili gubitak:</w:t>
            </w:r>
          </w:p>
        </w:tc>
        <w:tc>
          <w:tcPr>
            <w:tcW w:w="1403" w:type="dxa"/>
            <w:shd w:val="clear" w:color="auto" w:fill="auto"/>
            <w:noWrap/>
            <w:vAlign w:val="bottom"/>
          </w:tcPr>
          <w:p w14:paraId="0C8F1CF4" w14:textId="77777777" w:rsidR="006A1846" w:rsidRPr="0056686B" w:rsidRDefault="006A1846" w:rsidP="004454D6">
            <w:pPr>
              <w:suppressAutoHyphens/>
              <w:autoSpaceDN w:val="0"/>
              <w:jc w:val="right"/>
              <w:rPr>
                <w:rFonts w:ascii="Arial" w:eastAsia="Times New Roman" w:hAnsi="Arial" w:cs="Arial"/>
                <w:b/>
                <w:bCs/>
                <w:color w:val="000000" w:themeColor="text1"/>
                <w:sz w:val="18"/>
                <w:szCs w:val="18"/>
              </w:rPr>
            </w:pPr>
          </w:p>
        </w:tc>
        <w:tc>
          <w:tcPr>
            <w:tcW w:w="1218" w:type="dxa"/>
            <w:shd w:val="clear" w:color="auto" w:fill="auto"/>
            <w:vAlign w:val="bottom"/>
          </w:tcPr>
          <w:p w14:paraId="69566C71" w14:textId="77777777" w:rsidR="006A1846" w:rsidRPr="0056686B" w:rsidRDefault="006A1846" w:rsidP="004454D6">
            <w:pPr>
              <w:suppressAutoHyphens/>
              <w:autoSpaceDN w:val="0"/>
              <w:jc w:val="right"/>
              <w:rPr>
                <w:rFonts w:ascii="Arial" w:eastAsia="Times New Roman" w:hAnsi="Arial" w:cs="Arial"/>
                <w:b/>
                <w:bCs/>
                <w:color w:val="000000" w:themeColor="text1"/>
                <w:sz w:val="18"/>
                <w:szCs w:val="18"/>
              </w:rPr>
            </w:pPr>
          </w:p>
        </w:tc>
      </w:tr>
      <w:tr w:rsidR="006A1846" w:rsidRPr="0056686B" w14:paraId="538BDA3B" w14:textId="77777777" w:rsidTr="004454D6">
        <w:trPr>
          <w:trHeight w:val="93"/>
        </w:trPr>
        <w:tc>
          <w:tcPr>
            <w:tcW w:w="6387" w:type="dxa"/>
            <w:tcBorders>
              <w:left w:val="nil"/>
              <w:right w:val="nil"/>
            </w:tcBorders>
            <w:shd w:val="clear" w:color="auto" w:fill="auto"/>
            <w:vAlign w:val="bottom"/>
          </w:tcPr>
          <w:p w14:paraId="7C6075C8" w14:textId="77777777" w:rsidR="006A1846" w:rsidRPr="0056686B" w:rsidRDefault="006A1846" w:rsidP="004454D6">
            <w:pPr>
              <w:suppressAutoHyphens/>
              <w:autoSpaceDN w:val="0"/>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Ukupno stavke koje se kasnije ne prenose u dobit ili gubitak</w:t>
            </w:r>
          </w:p>
        </w:tc>
        <w:tc>
          <w:tcPr>
            <w:tcW w:w="1403" w:type="dxa"/>
            <w:tcBorders>
              <w:top w:val="single" w:sz="4" w:space="0" w:color="auto"/>
              <w:left w:val="nil"/>
              <w:bottom w:val="single" w:sz="12" w:space="0" w:color="auto"/>
              <w:right w:val="nil"/>
            </w:tcBorders>
            <w:shd w:val="clear" w:color="auto" w:fill="auto"/>
            <w:noWrap/>
            <w:vAlign w:val="bottom"/>
          </w:tcPr>
          <w:p w14:paraId="1B938241" w14:textId="77777777" w:rsidR="006A1846" w:rsidRPr="0056686B" w:rsidRDefault="006A1846" w:rsidP="004454D6">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w:t>
            </w:r>
          </w:p>
        </w:tc>
        <w:tc>
          <w:tcPr>
            <w:tcW w:w="1218" w:type="dxa"/>
            <w:tcBorders>
              <w:top w:val="single" w:sz="4" w:space="0" w:color="auto"/>
              <w:left w:val="nil"/>
              <w:bottom w:val="single" w:sz="12" w:space="0" w:color="auto"/>
              <w:right w:val="nil"/>
            </w:tcBorders>
            <w:shd w:val="clear" w:color="auto" w:fill="auto"/>
            <w:vAlign w:val="bottom"/>
          </w:tcPr>
          <w:p w14:paraId="04F8B030" w14:textId="77777777" w:rsidR="006A1846" w:rsidRPr="0056686B" w:rsidRDefault="006A1846" w:rsidP="004454D6">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w:t>
            </w:r>
          </w:p>
        </w:tc>
      </w:tr>
      <w:tr w:rsidR="006A1846" w:rsidRPr="0056686B" w14:paraId="710302EF" w14:textId="77777777" w:rsidTr="004454D6">
        <w:trPr>
          <w:trHeight w:val="64"/>
        </w:trPr>
        <w:tc>
          <w:tcPr>
            <w:tcW w:w="6387" w:type="dxa"/>
            <w:tcBorders>
              <w:left w:val="nil"/>
              <w:right w:val="nil"/>
            </w:tcBorders>
            <w:shd w:val="clear" w:color="auto" w:fill="auto"/>
            <w:vAlign w:val="bottom"/>
          </w:tcPr>
          <w:p w14:paraId="373FFD80" w14:textId="77777777" w:rsidR="006A1846" w:rsidRPr="0056686B" w:rsidRDefault="006A1846" w:rsidP="004454D6">
            <w:pPr>
              <w:suppressAutoHyphens/>
              <w:autoSpaceDN w:val="0"/>
              <w:spacing w:line="140" w:lineRule="exact"/>
              <w:rPr>
                <w:rFonts w:ascii="Arial" w:eastAsia="Times New Roman" w:hAnsi="Arial" w:cs="Arial"/>
                <w:bCs/>
                <w:color w:val="000000" w:themeColor="text1"/>
                <w:sz w:val="18"/>
                <w:szCs w:val="18"/>
              </w:rPr>
            </w:pPr>
          </w:p>
        </w:tc>
        <w:tc>
          <w:tcPr>
            <w:tcW w:w="1403" w:type="dxa"/>
            <w:tcBorders>
              <w:top w:val="single" w:sz="12" w:space="0" w:color="auto"/>
              <w:left w:val="nil"/>
              <w:bottom w:val="nil"/>
              <w:right w:val="nil"/>
            </w:tcBorders>
            <w:shd w:val="clear" w:color="auto" w:fill="auto"/>
            <w:noWrap/>
            <w:vAlign w:val="bottom"/>
          </w:tcPr>
          <w:p w14:paraId="2CECD8D7" w14:textId="77777777" w:rsidR="006A1846" w:rsidRPr="0056686B" w:rsidRDefault="006A1846" w:rsidP="004454D6">
            <w:pPr>
              <w:suppressAutoHyphens/>
              <w:autoSpaceDN w:val="0"/>
              <w:spacing w:line="140" w:lineRule="exact"/>
              <w:jc w:val="right"/>
              <w:rPr>
                <w:rFonts w:ascii="Arial" w:eastAsia="Times New Roman" w:hAnsi="Arial" w:cs="Arial"/>
                <w:bCs/>
                <w:color w:val="000000" w:themeColor="text1"/>
                <w:sz w:val="18"/>
                <w:szCs w:val="18"/>
              </w:rPr>
            </w:pPr>
          </w:p>
        </w:tc>
        <w:tc>
          <w:tcPr>
            <w:tcW w:w="1218" w:type="dxa"/>
            <w:tcBorders>
              <w:top w:val="single" w:sz="12" w:space="0" w:color="auto"/>
              <w:left w:val="nil"/>
              <w:bottom w:val="nil"/>
              <w:right w:val="nil"/>
            </w:tcBorders>
            <w:shd w:val="clear" w:color="auto" w:fill="auto"/>
            <w:vAlign w:val="bottom"/>
          </w:tcPr>
          <w:p w14:paraId="15477292" w14:textId="77777777" w:rsidR="006A1846" w:rsidRPr="0056686B" w:rsidRDefault="006A1846" w:rsidP="004454D6">
            <w:pPr>
              <w:suppressAutoHyphens/>
              <w:autoSpaceDN w:val="0"/>
              <w:spacing w:line="140" w:lineRule="exact"/>
              <w:jc w:val="right"/>
              <w:rPr>
                <w:rFonts w:ascii="Arial" w:eastAsia="Times New Roman" w:hAnsi="Arial" w:cs="Arial"/>
                <w:bCs/>
                <w:color w:val="000000" w:themeColor="text1"/>
                <w:sz w:val="18"/>
                <w:szCs w:val="18"/>
              </w:rPr>
            </w:pPr>
          </w:p>
        </w:tc>
      </w:tr>
      <w:tr w:rsidR="006A1846" w:rsidRPr="0056686B" w14:paraId="00054121" w14:textId="77777777" w:rsidTr="004454D6">
        <w:trPr>
          <w:trHeight w:val="124"/>
        </w:trPr>
        <w:tc>
          <w:tcPr>
            <w:tcW w:w="6387" w:type="dxa"/>
            <w:tcBorders>
              <w:left w:val="nil"/>
              <w:right w:val="nil"/>
            </w:tcBorders>
            <w:shd w:val="clear" w:color="auto" w:fill="auto"/>
            <w:vAlign w:val="bottom"/>
          </w:tcPr>
          <w:p w14:paraId="1B9477FF" w14:textId="77777777" w:rsidR="006A1846" w:rsidRPr="0056686B" w:rsidRDefault="006A1846" w:rsidP="004454D6">
            <w:pPr>
              <w:suppressAutoHyphens/>
              <w:autoSpaceDN w:val="0"/>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Stavke koje se kasnije mogu uračunati u dobit ili gubitak:</w:t>
            </w:r>
          </w:p>
        </w:tc>
        <w:tc>
          <w:tcPr>
            <w:tcW w:w="1403" w:type="dxa"/>
            <w:shd w:val="clear" w:color="auto" w:fill="auto"/>
            <w:noWrap/>
            <w:vAlign w:val="bottom"/>
          </w:tcPr>
          <w:p w14:paraId="29CC3E24" w14:textId="77777777" w:rsidR="006A1846" w:rsidRPr="0056686B" w:rsidRDefault="006A1846" w:rsidP="004454D6">
            <w:pPr>
              <w:suppressAutoHyphens/>
              <w:autoSpaceDN w:val="0"/>
              <w:jc w:val="right"/>
              <w:rPr>
                <w:rFonts w:ascii="Arial" w:eastAsia="Times New Roman" w:hAnsi="Arial" w:cs="Arial"/>
                <w:b/>
                <w:bCs/>
                <w:color w:val="000000" w:themeColor="text1"/>
                <w:sz w:val="18"/>
                <w:szCs w:val="18"/>
              </w:rPr>
            </w:pPr>
          </w:p>
        </w:tc>
        <w:tc>
          <w:tcPr>
            <w:tcW w:w="1218" w:type="dxa"/>
            <w:shd w:val="clear" w:color="auto" w:fill="auto"/>
            <w:vAlign w:val="bottom"/>
          </w:tcPr>
          <w:p w14:paraId="1B78B004" w14:textId="77777777" w:rsidR="006A1846" w:rsidRPr="0056686B" w:rsidRDefault="006A1846" w:rsidP="004454D6">
            <w:pPr>
              <w:suppressAutoHyphens/>
              <w:autoSpaceDN w:val="0"/>
              <w:jc w:val="right"/>
              <w:rPr>
                <w:rFonts w:ascii="Arial" w:eastAsia="Times New Roman" w:hAnsi="Arial" w:cs="Arial"/>
                <w:b/>
                <w:bCs/>
                <w:color w:val="000000" w:themeColor="text1"/>
                <w:sz w:val="18"/>
                <w:szCs w:val="18"/>
              </w:rPr>
            </w:pPr>
          </w:p>
        </w:tc>
      </w:tr>
      <w:tr w:rsidR="006A1846" w:rsidRPr="0056686B" w14:paraId="1A21B3D2" w14:textId="77777777" w:rsidTr="004454D6">
        <w:trPr>
          <w:trHeight w:val="115"/>
        </w:trPr>
        <w:tc>
          <w:tcPr>
            <w:tcW w:w="6387" w:type="dxa"/>
            <w:tcBorders>
              <w:left w:val="nil"/>
              <w:right w:val="nil"/>
            </w:tcBorders>
            <w:shd w:val="clear" w:color="auto" w:fill="auto"/>
            <w:vAlign w:val="bottom"/>
          </w:tcPr>
          <w:p w14:paraId="64A040E3" w14:textId="77777777" w:rsidR="006A1846" w:rsidRPr="0056686B" w:rsidRDefault="006A1846" w:rsidP="004454D6">
            <w:pPr>
              <w:suppressAutoHyphens/>
              <w:autoSpaceDN w:val="0"/>
              <w:rPr>
                <w:rFonts w:ascii="Arial" w:eastAsia="Times New Roman" w:hAnsi="Arial" w:cs="Arial"/>
                <w:bCs/>
                <w:color w:val="000000" w:themeColor="text1"/>
                <w:sz w:val="18"/>
                <w:szCs w:val="18"/>
              </w:rPr>
            </w:pPr>
            <w:r w:rsidRPr="0056686B">
              <w:rPr>
                <w:rFonts w:ascii="Arial" w:eastAsia="Times New Roman" w:hAnsi="Arial" w:cs="Arial"/>
                <w:bCs/>
                <w:color w:val="000000" w:themeColor="text1"/>
                <w:sz w:val="18"/>
                <w:szCs w:val="18"/>
              </w:rPr>
              <w:t>Dobici proizašli iz revalorizacije financijske imovine raspoložive za prodaju</w:t>
            </w:r>
          </w:p>
        </w:tc>
        <w:tc>
          <w:tcPr>
            <w:tcW w:w="1403" w:type="dxa"/>
            <w:shd w:val="clear" w:color="auto" w:fill="auto"/>
            <w:noWrap/>
            <w:vAlign w:val="bottom"/>
          </w:tcPr>
          <w:p w14:paraId="72E6439E" w14:textId="77777777" w:rsidR="006A1846" w:rsidRPr="0056686B" w:rsidRDefault="006A1846" w:rsidP="004454D6">
            <w:pPr>
              <w:suppressAutoHyphens/>
              <w:autoSpaceDN w:val="0"/>
              <w:jc w:val="right"/>
              <w:rPr>
                <w:rFonts w:ascii="Arial" w:eastAsia="Times New Roman" w:hAnsi="Arial" w:cs="Arial"/>
                <w:bCs/>
                <w:color w:val="000000" w:themeColor="text1"/>
                <w:sz w:val="18"/>
                <w:szCs w:val="18"/>
              </w:rPr>
            </w:pPr>
            <w:r w:rsidRPr="005025EC">
              <w:rPr>
                <w:rFonts w:ascii="Arial" w:eastAsia="Times New Roman" w:hAnsi="Arial" w:cs="Arial"/>
                <w:bCs/>
                <w:color w:val="000000" w:themeColor="text1"/>
                <w:sz w:val="18"/>
                <w:szCs w:val="18"/>
              </w:rPr>
              <w:t>48</w:t>
            </w:r>
          </w:p>
        </w:tc>
        <w:tc>
          <w:tcPr>
            <w:tcW w:w="1218" w:type="dxa"/>
            <w:shd w:val="clear" w:color="auto" w:fill="auto"/>
            <w:vAlign w:val="bottom"/>
          </w:tcPr>
          <w:p w14:paraId="06BCF578" w14:textId="77777777" w:rsidR="006A1846" w:rsidRPr="0056686B" w:rsidRDefault="006A1846" w:rsidP="004454D6">
            <w:pPr>
              <w:suppressAutoHyphens/>
              <w:autoSpaceDN w:val="0"/>
              <w:jc w:val="right"/>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28</w:t>
            </w:r>
          </w:p>
        </w:tc>
      </w:tr>
      <w:tr w:rsidR="006A1846" w:rsidRPr="0056686B" w14:paraId="0A565BFF" w14:textId="77777777" w:rsidTr="004454D6">
        <w:trPr>
          <w:trHeight w:val="178"/>
        </w:trPr>
        <w:tc>
          <w:tcPr>
            <w:tcW w:w="6387" w:type="dxa"/>
            <w:tcBorders>
              <w:left w:val="nil"/>
              <w:right w:val="nil"/>
            </w:tcBorders>
            <w:shd w:val="clear" w:color="auto" w:fill="auto"/>
            <w:vAlign w:val="bottom"/>
          </w:tcPr>
          <w:p w14:paraId="19FC2DBF" w14:textId="77777777" w:rsidR="006A1846" w:rsidRPr="0056686B" w:rsidRDefault="006A1846" w:rsidP="004454D6">
            <w:pPr>
              <w:suppressAutoHyphens/>
              <w:autoSpaceDN w:val="0"/>
              <w:rPr>
                <w:rFonts w:ascii="Arial" w:eastAsia="Times New Roman" w:hAnsi="Arial" w:cs="Arial"/>
                <w:bCs/>
                <w:color w:val="000000" w:themeColor="text1"/>
                <w:sz w:val="18"/>
                <w:szCs w:val="18"/>
              </w:rPr>
            </w:pPr>
            <w:r w:rsidRPr="0056686B">
              <w:rPr>
                <w:rFonts w:ascii="Arial" w:eastAsia="Times New Roman" w:hAnsi="Arial" w:cs="Arial"/>
                <w:bCs/>
                <w:color w:val="000000" w:themeColor="text1"/>
                <w:sz w:val="18"/>
                <w:szCs w:val="18"/>
              </w:rPr>
              <w:t>Smanjenje fer vrijednosti imovine raspoložive za prodaju</w:t>
            </w:r>
          </w:p>
        </w:tc>
        <w:tc>
          <w:tcPr>
            <w:tcW w:w="1403" w:type="dxa"/>
            <w:shd w:val="clear" w:color="auto" w:fill="auto"/>
            <w:noWrap/>
            <w:vAlign w:val="bottom"/>
          </w:tcPr>
          <w:p w14:paraId="7A73C389" w14:textId="77777777" w:rsidR="006A1846" w:rsidRPr="0056686B" w:rsidRDefault="006A1846" w:rsidP="004454D6">
            <w:pPr>
              <w:suppressAutoHyphens/>
              <w:autoSpaceDN w:val="0"/>
              <w:jc w:val="right"/>
              <w:rPr>
                <w:rFonts w:ascii="Arial" w:eastAsia="Times New Roman" w:hAnsi="Arial" w:cs="Arial"/>
                <w:bCs/>
                <w:color w:val="000000" w:themeColor="text1"/>
                <w:sz w:val="18"/>
                <w:szCs w:val="18"/>
              </w:rPr>
            </w:pPr>
            <w:r w:rsidRPr="005025EC">
              <w:rPr>
                <w:rFonts w:ascii="Arial" w:eastAsia="Times New Roman" w:hAnsi="Arial" w:cs="Arial"/>
                <w:bCs/>
                <w:color w:val="000000" w:themeColor="text1"/>
                <w:sz w:val="18"/>
                <w:szCs w:val="18"/>
              </w:rPr>
              <w:t>(69)</w:t>
            </w:r>
          </w:p>
        </w:tc>
        <w:tc>
          <w:tcPr>
            <w:tcW w:w="1218" w:type="dxa"/>
            <w:shd w:val="clear" w:color="auto" w:fill="auto"/>
            <w:vAlign w:val="bottom"/>
          </w:tcPr>
          <w:p w14:paraId="46216617" w14:textId="77777777" w:rsidR="006A1846" w:rsidRPr="0056686B" w:rsidRDefault="006A1846" w:rsidP="004454D6">
            <w:pPr>
              <w:suppressAutoHyphens/>
              <w:autoSpaceDN w:val="0"/>
              <w:jc w:val="right"/>
              <w:rPr>
                <w:rFonts w:ascii="Arial" w:eastAsia="Times New Roman" w:hAnsi="Arial" w:cs="Arial"/>
                <w:bCs/>
                <w:color w:val="000000" w:themeColor="text1"/>
                <w:sz w:val="18"/>
                <w:szCs w:val="18"/>
              </w:rPr>
            </w:pPr>
            <w:r w:rsidRPr="008B43D7">
              <w:rPr>
                <w:rFonts w:ascii="Arial" w:eastAsia="Times New Roman" w:hAnsi="Arial" w:cs="Arial"/>
                <w:bCs/>
                <w:color w:val="000000" w:themeColor="text1"/>
                <w:sz w:val="18"/>
                <w:szCs w:val="18"/>
              </w:rPr>
              <w:t>(151)</w:t>
            </w:r>
          </w:p>
        </w:tc>
      </w:tr>
      <w:tr w:rsidR="006A1846" w:rsidRPr="0056686B" w14:paraId="7D72405F" w14:textId="77777777" w:rsidTr="004454D6">
        <w:trPr>
          <w:trHeight w:val="178"/>
        </w:trPr>
        <w:tc>
          <w:tcPr>
            <w:tcW w:w="6387" w:type="dxa"/>
            <w:tcBorders>
              <w:left w:val="nil"/>
              <w:right w:val="nil"/>
            </w:tcBorders>
            <w:shd w:val="clear" w:color="auto" w:fill="auto"/>
            <w:vAlign w:val="bottom"/>
          </w:tcPr>
          <w:p w14:paraId="2E13FEBC" w14:textId="77777777" w:rsidR="006A1846" w:rsidRPr="0056686B" w:rsidRDefault="006A1846" w:rsidP="004454D6">
            <w:pPr>
              <w:suppressAutoHyphens/>
              <w:autoSpaceDN w:val="0"/>
              <w:rPr>
                <w:rFonts w:ascii="Arial" w:eastAsia="Times New Roman" w:hAnsi="Arial" w:cs="Arial"/>
                <w:bCs/>
                <w:color w:val="000000" w:themeColor="text1"/>
                <w:sz w:val="18"/>
                <w:szCs w:val="18"/>
              </w:rPr>
            </w:pPr>
            <w:r w:rsidRPr="00BA5396">
              <w:rPr>
                <w:rFonts w:ascii="Arial" w:eastAsia="Times New Roman" w:hAnsi="Arial" w:cs="Arial"/>
                <w:bCs/>
                <w:color w:val="000000" w:themeColor="text1"/>
                <w:sz w:val="18"/>
                <w:szCs w:val="18"/>
              </w:rPr>
              <w:t>Umanjenje financijske imovine po fer vrijednosti kroz ostalu sveobuhvatnu dobit</w:t>
            </w:r>
          </w:p>
        </w:tc>
        <w:tc>
          <w:tcPr>
            <w:tcW w:w="1403" w:type="dxa"/>
            <w:shd w:val="clear" w:color="auto" w:fill="auto"/>
            <w:noWrap/>
            <w:vAlign w:val="bottom"/>
          </w:tcPr>
          <w:p w14:paraId="50203582" w14:textId="77777777" w:rsidR="006A1846" w:rsidRPr="005025EC" w:rsidRDefault="006A1846" w:rsidP="004454D6">
            <w:pPr>
              <w:suppressAutoHyphens/>
              <w:autoSpaceDN w:val="0"/>
              <w:jc w:val="right"/>
              <w:rPr>
                <w:rFonts w:ascii="Arial" w:eastAsia="Times New Roman" w:hAnsi="Arial" w:cs="Arial"/>
                <w:bCs/>
                <w:color w:val="000000" w:themeColor="text1"/>
                <w:sz w:val="18"/>
                <w:szCs w:val="18"/>
              </w:rPr>
            </w:pPr>
            <w:r w:rsidRPr="005025EC">
              <w:rPr>
                <w:rFonts w:ascii="Arial" w:eastAsia="Times New Roman" w:hAnsi="Arial" w:cs="Arial"/>
                <w:bCs/>
                <w:color w:val="000000" w:themeColor="text1"/>
                <w:sz w:val="18"/>
                <w:szCs w:val="18"/>
              </w:rPr>
              <w:t>(1)</w:t>
            </w:r>
          </w:p>
        </w:tc>
        <w:tc>
          <w:tcPr>
            <w:tcW w:w="1218" w:type="dxa"/>
            <w:shd w:val="clear" w:color="auto" w:fill="auto"/>
            <w:vAlign w:val="bottom"/>
          </w:tcPr>
          <w:p w14:paraId="7EB19371" w14:textId="77777777" w:rsidR="006A1846" w:rsidRPr="008B43D7" w:rsidRDefault="006A1846" w:rsidP="004454D6">
            <w:pPr>
              <w:suppressAutoHyphens/>
              <w:autoSpaceDN w:val="0"/>
              <w:jc w:val="right"/>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w:t>
            </w:r>
          </w:p>
        </w:tc>
      </w:tr>
      <w:tr w:rsidR="006A1846" w:rsidRPr="0056686B" w14:paraId="6E1DF31C" w14:textId="77777777" w:rsidTr="004454D6">
        <w:trPr>
          <w:trHeight w:val="102"/>
        </w:trPr>
        <w:tc>
          <w:tcPr>
            <w:tcW w:w="6387" w:type="dxa"/>
            <w:tcBorders>
              <w:left w:val="nil"/>
              <w:right w:val="nil"/>
            </w:tcBorders>
            <w:shd w:val="clear" w:color="auto" w:fill="auto"/>
            <w:vAlign w:val="bottom"/>
          </w:tcPr>
          <w:p w14:paraId="231C7320" w14:textId="77777777" w:rsidR="006A1846" w:rsidRPr="0056686B" w:rsidRDefault="006A1846" w:rsidP="004454D6">
            <w:pPr>
              <w:suppressAutoHyphens/>
              <w:autoSpaceDN w:val="0"/>
              <w:rPr>
                <w:rFonts w:ascii="Arial" w:eastAsia="Times New Roman" w:hAnsi="Arial" w:cs="Arial"/>
                <w:bCs/>
                <w:color w:val="000000" w:themeColor="text1"/>
                <w:sz w:val="18"/>
                <w:szCs w:val="18"/>
              </w:rPr>
            </w:pPr>
            <w:r w:rsidRPr="0056686B">
              <w:rPr>
                <w:rFonts w:ascii="Arial" w:eastAsia="Times New Roman" w:hAnsi="Arial" w:cs="Arial"/>
                <w:bCs/>
                <w:color w:val="000000" w:themeColor="text1"/>
                <w:sz w:val="18"/>
                <w:szCs w:val="18"/>
              </w:rPr>
              <w:t>Odgođeni porez</w:t>
            </w:r>
          </w:p>
        </w:tc>
        <w:tc>
          <w:tcPr>
            <w:tcW w:w="1403" w:type="dxa"/>
            <w:tcBorders>
              <w:top w:val="nil"/>
              <w:left w:val="nil"/>
              <w:bottom w:val="single" w:sz="4" w:space="0" w:color="auto"/>
              <w:right w:val="nil"/>
            </w:tcBorders>
            <w:shd w:val="clear" w:color="auto" w:fill="auto"/>
            <w:noWrap/>
            <w:vAlign w:val="bottom"/>
          </w:tcPr>
          <w:p w14:paraId="15795AC9" w14:textId="77777777" w:rsidR="006A1846" w:rsidRPr="0056686B" w:rsidRDefault="006A1846" w:rsidP="004454D6">
            <w:pPr>
              <w:suppressAutoHyphens/>
              <w:autoSpaceDN w:val="0"/>
              <w:jc w:val="right"/>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4</w:t>
            </w:r>
          </w:p>
        </w:tc>
        <w:tc>
          <w:tcPr>
            <w:tcW w:w="1218" w:type="dxa"/>
            <w:tcBorders>
              <w:top w:val="nil"/>
              <w:left w:val="nil"/>
              <w:bottom w:val="single" w:sz="4" w:space="0" w:color="auto"/>
              <w:right w:val="nil"/>
            </w:tcBorders>
            <w:shd w:val="clear" w:color="auto" w:fill="auto"/>
            <w:vAlign w:val="bottom"/>
          </w:tcPr>
          <w:p w14:paraId="6B9C816C" w14:textId="77777777" w:rsidR="006A1846" w:rsidRPr="0056686B" w:rsidRDefault="006A1846" w:rsidP="004454D6">
            <w:pPr>
              <w:suppressAutoHyphens/>
              <w:autoSpaceDN w:val="0"/>
              <w:jc w:val="right"/>
              <w:rPr>
                <w:rFonts w:ascii="Arial" w:eastAsia="Times New Roman" w:hAnsi="Arial" w:cs="Arial"/>
                <w:bCs/>
                <w:color w:val="000000" w:themeColor="text1"/>
                <w:sz w:val="18"/>
                <w:szCs w:val="18"/>
              </w:rPr>
            </w:pPr>
            <w:r w:rsidRPr="008B43D7">
              <w:rPr>
                <w:rFonts w:ascii="Arial" w:eastAsia="Times New Roman" w:hAnsi="Arial" w:cs="Arial"/>
                <w:bCs/>
                <w:color w:val="000000" w:themeColor="text1"/>
                <w:sz w:val="18"/>
                <w:szCs w:val="18"/>
              </w:rPr>
              <w:t>22</w:t>
            </w:r>
          </w:p>
        </w:tc>
      </w:tr>
      <w:tr w:rsidR="006A1846" w:rsidRPr="0056686B" w14:paraId="1513E583" w14:textId="77777777" w:rsidTr="004454D6">
        <w:trPr>
          <w:trHeight w:val="213"/>
        </w:trPr>
        <w:tc>
          <w:tcPr>
            <w:tcW w:w="6387" w:type="dxa"/>
            <w:tcBorders>
              <w:left w:val="nil"/>
              <w:right w:val="nil"/>
            </w:tcBorders>
            <w:shd w:val="clear" w:color="auto" w:fill="auto"/>
            <w:vAlign w:val="bottom"/>
          </w:tcPr>
          <w:p w14:paraId="0E046226" w14:textId="77777777" w:rsidR="006A1846" w:rsidRPr="0056686B" w:rsidRDefault="006A1846" w:rsidP="004454D6">
            <w:pPr>
              <w:suppressAutoHyphens/>
              <w:autoSpaceDN w:val="0"/>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Ukupno stavke koje se kasnije mogu uračunati u dobit ili gubitak</w:t>
            </w:r>
          </w:p>
        </w:tc>
        <w:tc>
          <w:tcPr>
            <w:tcW w:w="1403" w:type="dxa"/>
            <w:tcBorders>
              <w:top w:val="single" w:sz="4" w:space="0" w:color="auto"/>
              <w:left w:val="nil"/>
              <w:bottom w:val="single" w:sz="12" w:space="0" w:color="auto"/>
              <w:right w:val="nil"/>
            </w:tcBorders>
            <w:shd w:val="clear" w:color="auto" w:fill="auto"/>
            <w:noWrap/>
            <w:vAlign w:val="bottom"/>
          </w:tcPr>
          <w:p w14:paraId="593611B6" w14:textId="77777777" w:rsidR="006A1846" w:rsidRPr="0056686B" w:rsidRDefault="006A1846" w:rsidP="004454D6">
            <w:pPr>
              <w:suppressAutoHyphens/>
              <w:autoSpaceDN w:val="0"/>
              <w:jc w:val="right"/>
              <w:rPr>
                <w:rFonts w:ascii="Arial" w:eastAsia="Times New Roman" w:hAnsi="Arial" w:cs="Arial"/>
                <w:b/>
                <w:color w:val="000000" w:themeColor="text1"/>
                <w:sz w:val="18"/>
                <w:szCs w:val="18"/>
              </w:rPr>
            </w:pPr>
            <w:r w:rsidRPr="005025EC">
              <w:rPr>
                <w:rFonts w:ascii="Arial" w:eastAsia="Times New Roman" w:hAnsi="Arial" w:cs="Arial"/>
                <w:b/>
                <w:color w:val="000000" w:themeColor="text1"/>
                <w:sz w:val="18"/>
                <w:szCs w:val="18"/>
              </w:rPr>
              <w:t>(18)</w:t>
            </w:r>
          </w:p>
        </w:tc>
        <w:tc>
          <w:tcPr>
            <w:tcW w:w="1218" w:type="dxa"/>
            <w:tcBorders>
              <w:top w:val="single" w:sz="4" w:space="0" w:color="auto"/>
              <w:left w:val="nil"/>
              <w:bottom w:val="single" w:sz="12" w:space="0" w:color="auto"/>
              <w:right w:val="nil"/>
            </w:tcBorders>
            <w:shd w:val="clear" w:color="auto" w:fill="auto"/>
            <w:vAlign w:val="bottom"/>
          </w:tcPr>
          <w:p w14:paraId="0A525F04" w14:textId="77777777" w:rsidR="006A1846" w:rsidRPr="0056686B" w:rsidRDefault="006A1846" w:rsidP="004454D6">
            <w:pPr>
              <w:suppressAutoHyphens/>
              <w:autoSpaceDN w:val="0"/>
              <w:jc w:val="right"/>
              <w:rPr>
                <w:rFonts w:ascii="Arial" w:eastAsia="Times New Roman" w:hAnsi="Arial" w:cs="Arial"/>
                <w:b/>
                <w:bCs/>
                <w:color w:val="000000" w:themeColor="text1"/>
                <w:sz w:val="18"/>
                <w:szCs w:val="18"/>
              </w:rPr>
            </w:pPr>
            <w:r w:rsidRPr="008B43D7">
              <w:rPr>
                <w:rFonts w:ascii="Arial" w:eastAsia="Times New Roman" w:hAnsi="Arial" w:cs="Arial"/>
                <w:b/>
                <w:color w:val="000000" w:themeColor="text1"/>
                <w:sz w:val="18"/>
                <w:szCs w:val="18"/>
              </w:rPr>
              <w:t>(101)</w:t>
            </w:r>
          </w:p>
        </w:tc>
      </w:tr>
      <w:tr w:rsidR="006A1846" w:rsidRPr="0056686B" w14:paraId="07DC1C47" w14:textId="77777777" w:rsidTr="004454D6">
        <w:trPr>
          <w:trHeight w:hRule="exact" w:val="113"/>
        </w:trPr>
        <w:tc>
          <w:tcPr>
            <w:tcW w:w="6387" w:type="dxa"/>
            <w:tcBorders>
              <w:left w:val="nil"/>
              <w:right w:val="nil"/>
            </w:tcBorders>
            <w:shd w:val="clear" w:color="auto" w:fill="auto"/>
            <w:vAlign w:val="bottom"/>
          </w:tcPr>
          <w:p w14:paraId="375889E3" w14:textId="77777777" w:rsidR="006A1846" w:rsidRPr="0056686B" w:rsidRDefault="006A1846" w:rsidP="004454D6">
            <w:pPr>
              <w:suppressAutoHyphens/>
              <w:autoSpaceDN w:val="0"/>
              <w:spacing w:line="140" w:lineRule="exact"/>
              <w:rPr>
                <w:rFonts w:ascii="Arial" w:eastAsia="Times New Roman" w:hAnsi="Arial" w:cs="Arial"/>
                <w:b/>
                <w:bCs/>
                <w:color w:val="000000" w:themeColor="text1"/>
                <w:sz w:val="18"/>
                <w:szCs w:val="18"/>
              </w:rPr>
            </w:pPr>
          </w:p>
        </w:tc>
        <w:tc>
          <w:tcPr>
            <w:tcW w:w="1403" w:type="dxa"/>
            <w:tcBorders>
              <w:top w:val="single" w:sz="12" w:space="0" w:color="auto"/>
              <w:left w:val="nil"/>
              <w:right w:val="nil"/>
            </w:tcBorders>
            <w:shd w:val="clear" w:color="auto" w:fill="auto"/>
            <w:noWrap/>
            <w:vAlign w:val="bottom"/>
          </w:tcPr>
          <w:p w14:paraId="5AAEA540" w14:textId="77777777" w:rsidR="006A1846" w:rsidRPr="0056686B" w:rsidRDefault="006A1846" w:rsidP="004454D6">
            <w:pPr>
              <w:suppressAutoHyphens/>
              <w:autoSpaceDN w:val="0"/>
              <w:jc w:val="right"/>
              <w:rPr>
                <w:rFonts w:ascii="Arial" w:eastAsia="Times New Roman" w:hAnsi="Arial" w:cs="Arial"/>
                <w:b/>
                <w:color w:val="000000" w:themeColor="text1"/>
                <w:sz w:val="18"/>
                <w:szCs w:val="18"/>
              </w:rPr>
            </w:pPr>
          </w:p>
        </w:tc>
        <w:tc>
          <w:tcPr>
            <w:tcW w:w="1218" w:type="dxa"/>
            <w:tcBorders>
              <w:top w:val="single" w:sz="12" w:space="0" w:color="auto"/>
              <w:left w:val="nil"/>
              <w:right w:val="nil"/>
            </w:tcBorders>
            <w:shd w:val="clear" w:color="auto" w:fill="auto"/>
            <w:vAlign w:val="bottom"/>
          </w:tcPr>
          <w:p w14:paraId="790675A4" w14:textId="77777777" w:rsidR="006A1846" w:rsidRPr="0056686B" w:rsidRDefault="006A1846" w:rsidP="004454D6">
            <w:pPr>
              <w:suppressAutoHyphens/>
              <w:autoSpaceDN w:val="0"/>
              <w:spacing w:line="140" w:lineRule="exact"/>
              <w:jc w:val="right"/>
              <w:rPr>
                <w:rFonts w:ascii="Arial" w:eastAsia="Times New Roman" w:hAnsi="Arial" w:cs="Arial"/>
                <w:bCs/>
                <w:color w:val="000000" w:themeColor="text1"/>
                <w:sz w:val="18"/>
                <w:szCs w:val="18"/>
              </w:rPr>
            </w:pPr>
          </w:p>
        </w:tc>
      </w:tr>
      <w:tr w:rsidR="006A1846" w:rsidRPr="0056686B" w14:paraId="6E7E2F27" w14:textId="77777777" w:rsidTr="004454D6">
        <w:trPr>
          <w:trHeight w:val="94"/>
        </w:trPr>
        <w:tc>
          <w:tcPr>
            <w:tcW w:w="6387" w:type="dxa"/>
            <w:tcBorders>
              <w:left w:val="nil"/>
              <w:right w:val="nil"/>
            </w:tcBorders>
            <w:shd w:val="clear" w:color="auto" w:fill="auto"/>
            <w:vAlign w:val="bottom"/>
          </w:tcPr>
          <w:p w14:paraId="22358179" w14:textId="77777777" w:rsidR="006A1846" w:rsidRPr="0056686B" w:rsidRDefault="006A1846" w:rsidP="004454D6">
            <w:pPr>
              <w:suppressAutoHyphens/>
              <w:autoSpaceDN w:val="0"/>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Ostala sveobuhvatna dobit nakon oporezivanja</w:t>
            </w:r>
          </w:p>
        </w:tc>
        <w:tc>
          <w:tcPr>
            <w:tcW w:w="1403" w:type="dxa"/>
            <w:tcBorders>
              <w:bottom w:val="single" w:sz="4" w:space="0" w:color="auto"/>
            </w:tcBorders>
            <w:shd w:val="clear" w:color="auto" w:fill="auto"/>
            <w:noWrap/>
            <w:vAlign w:val="bottom"/>
          </w:tcPr>
          <w:p w14:paraId="79B4C2D7" w14:textId="77777777" w:rsidR="006A1846" w:rsidRPr="0056686B" w:rsidRDefault="006A1846" w:rsidP="004454D6">
            <w:pPr>
              <w:suppressAutoHyphens/>
              <w:autoSpaceDN w:val="0"/>
              <w:jc w:val="right"/>
              <w:rPr>
                <w:rFonts w:ascii="Arial" w:eastAsia="Times New Roman" w:hAnsi="Arial" w:cs="Arial"/>
                <w:b/>
                <w:color w:val="000000" w:themeColor="text1"/>
                <w:sz w:val="18"/>
                <w:szCs w:val="18"/>
              </w:rPr>
            </w:pPr>
            <w:r w:rsidRPr="005025EC">
              <w:rPr>
                <w:rFonts w:ascii="Arial" w:eastAsia="Times New Roman" w:hAnsi="Arial" w:cs="Arial"/>
                <w:b/>
                <w:color w:val="000000" w:themeColor="text1"/>
                <w:sz w:val="18"/>
                <w:szCs w:val="18"/>
              </w:rPr>
              <w:t>(18)</w:t>
            </w:r>
          </w:p>
        </w:tc>
        <w:tc>
          <w:tcPr>
            <w:tcW w:w="1218" w:type="dxa"/>
            <w:tcBorders>
              <w:bottom w:val="single" w:sz="4" w:space="0" w:color="auto"/>
            </w:tcBorders>
            <w:shd w:val="clear" w:color="auto" w:fill="auto"/>
            <w:vAlign w:val="bottom"/>
          </w:tcPr>
          <w:p w14:paraId="26A3A1AD" w14:textId="77777777" w:rsidR="006A1846" w:rsidRPr="0056686B" w:rsidRDefault="006A1846" w:rsidP="004454D6">
            <w:pPr>
              <w:suppressAutoHyphens/>
              <w:autoSpaceDN w:val="0"/>
              <w:jc w:val="right"/>
              <w:rPr>
                <w:rFonts w:ascii="Arial" w:eastAsia="Times New Roman" w:hAnsi="Arial" w:cs="Arial"/>
                <w:b/>
                <w:bCs/>
                <w:color w:val="000000" w:themeColor="text1"/>
                <w:sz w:val="18"/>
                <w:szCs w:val="18"/>
              </w:rPr>
            </w:pPr>
            <w:r w:rsidRPr="008B43D7">
              <w:rPr>
                <w:rFonts w:ascii="Arial" w:eastAsia="Times New Roman" w:hAnsi="Arial" w:cs="Arial"/>
                <w:b/>
                <w:color w:val="000000" w:themeColor="text1"/>
                <w:sz w:val="18"/>
                <w:szCs w:val="18"/>
              </w:rPr>
              <w:t>(101)</w:t>
            </w:r>
          </w:p>
        </w:tc>
      </w:tr>
      <w:tr w:rsidR="006A1846" w:rsidRPr="0056686B" w14:paraId="5881BE26" w14:textId="77777777" w:rsidTr="004454D6">
        <w:trPr>
          <w:trHeight w:hRule="exact" w:val="125"/>
        </w:trPr>
        <w:tc>
          <w:tcPr>
            <w:tcW w:w="6387" w:type="dxa"/>
            <w:tcBorders>
              <w:left w:val="nil"/>
              <w:right w:val="nil"/>
            </w:tcBorders>
            <w:shd w:val="clear" w:color="auto" w:fill="auto"/>
            <w:vAlign w:val="bottom"/>
          </w:tcPr>
          <w:p w14:paraId="79E3EC0B" w14:textId="77777777" w:rsidR="006A1846" w:rsidRPr="0056686B" w:rsidRDefault="006A1846" w:rsidP="004454D6">
            <w:pPr>
              <w:suppressAutoHyphens/>
              <w:autoSpaceDN w:val="0"/>
              <w:spacing w:line="140" w:lineRule="exact"/>
              <w:rPr>
                <w:rFonts w:ascii="Arial" w:eastAsia="Times New Roman" w:hAnsi="Arial" w:cs="Arial"/>
                <w:b/>
                <w:bCs/>
                <w:color w:val="000000" w:themeColor="text1"/>
                <w:sz w:val="18"/>
                <w:szCs w:val="18"/>
              </w:rPr>
            </w:pPr>
          </w:p>
        </w:tc>
        <w:tc>
          <w:tcPr>
            <w:tcW w:w="1403" w:type="dxa"/>
            <w:tcBorders>
              <w:top w:val="single" w:sz="4" w:space="0" w:color="auto"/>
              <w:left w:val="nil"/>
              <w:right w:val="nil"/>
            </w:tcBorders>
            <w:shd w:val="clear" w:color="auto" w:fill="auto"/>
            <w:noWrap/>
            <w:vAlign w:val="bottom"/>
          </w:tcPr>
          <w:p w14:paraId="37E34C05" w14:textId="77777777" w:rsidR="006A1846" w:rsidRPr="0056686B" w:rsidRDefault="006A1846" w:rsidP="004454D6">
            <w:pPr>
              <w:suppressAutoHyphens/>
              <w:autoSpaceDN w:val="0"/>
              <w:jc w:val="right"/>
              <w:rPr>
                <w:rFonts w:ascii="Arial" w:eastAsia="Times New Roman" w:hAnsi="Arial" w:cs="Arial"/>
                <w:b/>
                <w:color w:val="000000" w:themeColor="text1"/>
                <w:sz w:val="18"/>
                <w:szCs w:val="18"/>
              </w:rPr>
            </w:pPr>
          </w:p>
        </w:tc>
        <w:tc>
          <w:tcPr>
            <w:tcW w:w="1218" w:type="dxa"/>
            <w:tcBorders>
              <w:top w:val="single" w:sz="4" w:space="0" w:color="auto"/>
              <w:left w:val="nil"/>
              <w:right w:val="nil"/>
            </w:tcBorders>
            <w:shd w:val="clear" w:color="auto" w:fill="auto"/>
            <w:vAlign w:val="bottom"/>
          </w:tcPr>
          <w:p w14:paraId="25E8368E" w14:textId="77777777" w:rsidR="006A1846" w:rsidRPr="0056686B" w:rsidRDefault="006A1846" w:rsidP="004454D6">
            <w:pPr>
              <w:suppressAutoHyphens/>
              <w:autoSpaceDN w:val="0"/>
              <w:spacing w:line="140" w:lineRule="exact"/>
              <w:jc w:val="right"/>
              <w:rPr>
                <w:rFonts w:ascii="Arial" w:eastAsia="Times New Roman" w:hAnsi="Arial" w:cs="Arial"/>
                <w:b/>
                <w:bCs/>
                <w:color w:val="000000" w:themeColor="text1"/>
                <w:sz w:val="18"/>
                <w:szCs w:val="18"/>
              </w:rPr>
            </w:pPr>
          </w:p>
        </w:tc>
      </w:tr>
      <w:tr w:rsidR="006A1846" w:rsidRPr="0056686B" w14:paraId="01B8246B" w14:textId="77777777" w:rsidTr="004454D6">
        <w:trPr>
          <w:trHeight w:val="123"/>
        </w:trPr>
        <w:tc>
          <w:tcPr>
            <w:tcW w:w="6387" w:type="dxa"/>
            <w:tcBorders>
              <w:left w:val="nil"/>
              <w:right w:val="nil"/>
            </w:tcBorders>
            <w:shd w:val="clear" w:color="auto" w:fill="auto"/>
            <w:vAlign w:val="bottom"/>
          </w:tcPr>
          <w:p w14:paraId="0468AC79" w14:textId="77777777" w:rsidR="006A1846" w:rsidRPr="0056686B" w:rsidRDefault="006A1846" w:rsidP="004454D6">
            <w:pPr>
              <w:suppressAutoHyphens/>
              <w:autoSpaceDN w:val="0"/>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Ukupna sveobuhvatna dobit prije oporezivanja</w:t>
            </w:r>
          </w:p>
        </w:tc>
        <w:tc>
          <w:tcPr>
            <w:tcW w:w="1403" w:type="dxa"/>
            <w:tcBorders>
              <w:left w:val="nil"/>
              <w:bottom w:val="single" w:sz="12" w:space="0" w:color="auto"/>
              <w:right w:val="nil"/>
            </w:tcBorders>
            <w:shd w:val="clear" w:color="auto" w:fill="auto"/>
            <w:noWrap/>
            <w:vAlign w:val="bottom"/>
          </w:tcPr>
          <w:p w14:paraId="3EAD4A51" w14:textId="7695FB2A" w:rsidR="006A1846" w:rsidRPr="0056686B" w:rsidRDefault="006A1846" w:rsidP="004454D6">
            <w:pPr>
              <w:suppressAutoHyphens/>
              <w:autoSpaceDN w:val="0"/>
              <w:jc w:val="right"/>
              <w:rPr>
                <w:rFonts w:ascii="Arial" w:eastAsia="Times New Roman" w:hAnsi="Arial" w:cs="Arial"/>
                <w:b/>
                <w:color w:val="000000" w:themeColor="text1"/>
                <w:sz w:val="18"/>
                <w:szCs w:val="18"/>
              </w:rPr>
            </w:pPr>
            <w:r w:rsidRPr="005025EC">
              <w:rPr>
                <w:rFonts w:ascii="Arial" w:eastAsia="Times New Roman" w:hAnsi="Arial" w:cs="Arial"/>
                <w:b/>
                <w:color w:val="000000" w:themeColor="text1"/>
                <w:sz w:val="18"/>
                <w:szCs w:val="18"/>
              </w:rPr>
              <w:t>11</w:t>
            </w:r>
            <w:r w:rsidR="00A54D5B">
              <w:rPr>
                <w:rFonts w:ascii="Arial" w:eastAsia="Times New Roman" w:hAnsi="Arial" w:cs="Arial"/>
                <w:b/>
                <w:color w:val="000000" w:themeColor="text1"/>
                <w:sz w:val="18"/>
                <w:szCs w:val="18"/>
              </w:rPr>
              <w:t>7</w:t>
            </w:r>
          </w:p>
        </w:tc>
        <w:tc>
          <w:tcPr>
            <w:tcW w:w="1218" w:type="dxa"/>
            <w:tcBorders>
              <w:left w:val="nil"/>
              <w:bottom w:val="single" w:sz="12" w:space="0" w:color="auto"/>
              <w:right w:val="nil"/>
            </w:tcBorders>
            <w:shd w:val="clear" w:color="auto" w:fill="auto"/>
            <w:vAlign w:val="bottom"/>
          </w:tcPr>
          <w:p w14:paraId="1908CD49" w14:textId="77777777" w:rsidR="006A1846" w:rsidRPr="0056686B" w:rsidRDefault="006A1846" w:rsidP="004454D6">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color w:val="000000" w:themeColor="text1"/>
                <w:sz w:val="18"/>
                <w:szCs w:val="18"/>
              </w:rPr>
              <w:t>280</w:t>
            </w:r>
          </w:p>
        </w:tc>
      </w:tr>
      <w:tr w:rsidR="006A1846" w:rsidRPr="0056686B" w14:paraId="365455B6" w14:textId="77777777" w:rsidTr="004454D6">
        <w:trPr>
          <w:trHeight w:hRule="exact" w:val="125"/>
        </w:trPr>
        <w:tc>
          <w:tcPr>
            <w:tcW w:w="6387" w:type="dxa"/>
            <w:tcBorders>
              <w:left w:val="nil"/>
              <w:right w:val="nil"/>
            </w:tcBorders>
            <w:shd w:val="clear" w:color="auto" w:fill="auto"/>
            <w:vAlign w:val="bottom"/>
          </w:tcPr>
          <w:p w14:paraId="1059C782" w14:textId="77777777" w:rsidR="006A1846" w:rsidRPr="0056686B" w:rsidRDefault="006A1846" w:rsidP="004454D6">
            <w:pPr>
              <w:suppressAutoHyphens/>
              <w:autoSpaceDN w:val="0"/>
              <w:spacing w:line="140" w:lineRule="exact"/>
              <w:rPr>
                <w:rFonts w:ascii="Arial" w:eastAsia="Times New Roman" w:hAnsi="Arial" w:cs="Arial"/>
                <w:bCs/>
                <w:color w:val="000000" w:themeColor="text1"/>
                <w:sz w:val="18"/>
                <w:szCs w:val="18"/>
              </w:rPr>
            </w:pPr>
          </w:p>
        </w:tc>
        <w:tc>
          <w:tcPr>
            <w:tcW w:w="1403" w:type="dxa"/>
            <w:tcBorders>
              <w:top w:val="single" w:sz="12" w:space="0" w:color="auto"/>
              <w:left w:val="nil"/>
              <w:bottom w:val="nil"/>
              <w:right w:val="nil"/>
            </w:tcBorders>
            <w:shd w:val="clear" w:color="auto" w:fill="auto"/>
            <w:noWrap/>
            <w:vAlign w:val="bottom"/>
          </w:tcPr>
          <w:p w14:paraId="5F478744" w14:textId="77777777" w:rsidR="006A1846" w:rsidRPr="0056686B" w:rsidRDefault="006A1846" w:rsidP="004454D6">
            <w:pPr>
              <w:suppressAutoHyphens/>
              <w:autoSpaceDN w:val="0"/>
              <w:jc w:val="right"/>
              <w:rPr>
                <w:rFonts w:ascii="Arial" w:eastAsia="Times New Roman" w:hAnsi="Arial" w:cs="Arial"/>
                <w:b/>
                <w:color w:val="000000" w:themeColor="text1"/>
                <w:sz w:val="18"/>
                <w:szCs w:val="18"/>
              </w:rPr>
            </w:pPr>
          </w:p>
        </w:tc>
        <w:tc>
          <w:tcPr>
            <w:tcW w:w="1218" w:type="dxa"/>
            <w:tcBorders>
              <w:top w:val="single" w:sz="12" w:space="0" w:color="auto"/>
              <w:left w:val="nil"/>
              <w:bottom w:val="nil"/>
              <w:right w:val="nil"/>
            </w:tcBorders>
            <w:shd w:val="clear" w:color="auto" w:fill="auto"/>
            <w:vAlign w:val="bottom"/>
          </w:tcPr>
          <w:p w14:paraId="561D1FA8" w14:textId="77777777" w:rsidR="006A1846" w:rsidRPr="0056686B" w:rsidRDefault="006A1846" w:rsidP="004454D6">
            <w:pPr>
              <w:suppressAutoHyphens/>
              <w:autoSpaceDN w:val="0"/>
              <w:spacing w:line="140" w:lineRule="exact"/>
              <w:jc w:val="right"/>
              <w:rPr>
                <w:rFonts w:ascii="Arial" w:eastAsia="Times New Roman" w:hAnsi="Arial" w:cs="Arial"/>
                <w:bCs/>
                <w:color w:val="000000" w:themeColor="text1"/>
                <w:sz w:val="18"/>
                <w:szCs w:val="18"/>
              </w:rPr>
            </w:pPr>
          </w:p>
        </w:tc>
      </w:tr>
      <w:tr w:rsidR="006A1846" w:rsidRPr="0056686B" w14:paraId="0F824310" w14:textId="77777777" w:rsidTr="004454D6">
        <w:trPr>
          <w:trHeight w:val="69"/>
        </w:trPr>
        <w:tc>
          <w:tcPr>
            <w:tcW w:w="6387" w:type="dxa"/>
            <w:tcBorders>
              <w:left w:val="nil"/>
              <w:right w:val="nil"/>
            </w:tcBorders>
            <w:shd w:val="clear" w:color="auto" w:fill="auto"/>
            <w:vAlign w:val="bottom"/>
          </w:tcPr>
          <w:p w14:paraId="5C68ED40" w14:textId="77777777" w:rsidR="006A1846" w:rsidRPr="0056686B" w:rsidRDefault="006A1846" w:rsidP="004454D6">
            <w:pPr>
              <w:suppressAutoHyphens/>
              <w:autoSpaceDN w:val="0"/>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Ukupna sveobuhvatna dobit za raspodjelu:</w:t>
            </w:r>
          </w:p>
        </w:tc>
        <w:tc>
          <w:tcPr>
            <w:tcW w:w="1403" w:type="dxa"/>
            <w:shd w:val="clear" w:color="auto" w:fill="auto"/>
            <w:noWrap/>
            <w:vAlign w:val="bottom"/>
          </w:tcPr>
          <w:p w14:paraId="40628AB0" w14:textId="77777777" w:rsidR="006A1846" w:rsidRPr="0056686B" w:rsidRDefault="006A1846" w:rsidP="004454D6">
            <w:pPr>
              <w:suppressAutoHyphens/>
              <w:autoSpaceDN w:val="0"/>
              <w:jc w:val="right"/>
              <w:rPr>
                <w:rFonts w:ascii="Arial" w:eastAsia="Times New Roman" w:hAnsi="Arial" w:cs="Arial"/>
                <w:b/>
                <w:color w:val="000000" w:themeColor="text1"/>
                <w:sz w:val="18"/>
                <w:szCs w:val="18"/>
              </w:rPr>
            </w:pPr>
          </w:p>
        </w:tc>
        <w:tc>
          <w:tcPr>
            <w:tcW w:w="1218" w:type="dxa"/>
            <w:shd w:val="clear" w:color="auto" w:fill="auto"/>
            <w:vAlign w:val="bottom"/>
          </w:tcPr>
          <w:p w14:paraId="1F6F64FF" w14:textId="77777777" w:rsidR="006A1846" w:rsidRPr="007478FB" w:rsidRDefault="006A1846" w:rsidP="004454D6">
            <w:pPr>
              <w:suppressAutoHyphens/>
              <w:autoSpaceDN w:val="0"/>
              <w:jc w:val="right"/>
              <w:rPr>
                <w:rFonts w:ascii="Arial" w:eastAsia="Times New Roman" w:hAnsi="Arial" w:cs="Arial"/>
                <w:b/>
                <w:color w:val="000000" w:themeColor="text1"/>
                <w:sz w:val="18"/>
                <w:szCs w:val="18"/>
              </w:rPr>
            </w:pPr>
          </w:p>
        </w:tc>
      </w:tr>
      <w:tr w:rsidR="006A1846" w:rsidRPr="0056686B" w14:paraId="703E35BA" w14:textId="77777777" w:rsidTr="004454D6">
        <w:trPr>
          <w:trHeight w:val="54"/>
        </w:trPr>
        <w:tc>
          <w:tcPr>
            <w:tcW w:w="6387" w:type="dxa"/>
            <w:tcBorders>
              <w:left w:val="nil"/>
              <w:right w:val="nil"/>
            </w:tcBorders>
            <w:shd w:val="clear" w:color="auto" w:fill="auto"/>
            <w:vAlign w:val="bottom"/>
          </w:tcPr>
          <w:p w14:paraId="135367AD" w14:textId="77777777" w:rsidR="006A1846" w:rsidRPr="0056686B" w:rsidRDefault="006A1846" w:rsidP="004454D6">
            <w:pPr>
              <w:suppressAutoHyphens/>
              <w:autoSpaceDN w:val="0"/>
              <w:rPr>
                <w:rFonts w:ascii="Arial" w:eastAsia="Times New Roman" w:hAnsi="Arial" w:cs="Arial"/>
                <w:bCs/>
                <w:color w:val="000000" w:themeColor="text1"/>
                <w:sz w:val="18"/>
                <w:szCs w:val="18"/>
              </w:rPr>
            </w:pPr>
            <w:r w:rsidRPr="0056686B">
              <w:rPr>
                <w:rFonts w:ascii="Arial" w:eastAsia="Times New Roman" w:hAnsi="Arial" w:cs="Arial"/>
                <w:bCs/>
                <w:color w:val="000000" w:themeColor="text1"/>
                <w:sz w:val="18"/>
                <w:szCs w:val="18"/>
              </w:rPr>
              <w:t>Vlasnicima društva</w:t>
            </w:r>
          </w:p>
        </w:tc>
        <w:tc>
          <w:tcPr>
            <w:tcW w:w="1403" w:type="dxa"/>
            <w:tcBorders>
              <w:top w:val="nil"/>
              <w:left w:val="nil"/>
              <w:bottom w:val="single" w:sz="12" w:space="0" w:color="auto"/>
              <w:right w:val="nil"/>
            </w:tcBorders>
            <w:shd w:val="clear" w:color="auto" w:fill="auto"/>
            <w:noWrap/>
            <w:vAlign w:val="bottom"/>
          </w:tcPr>
          <w:p w14:paraId="01BD076E" w14:textId="70D4B72B" w:rsidR="006A1846" w:rsidRPr="0056686B" w:rsidRDefault="006A1846" w:rsidP="004454D6">
            <w:pPr>
              <w:suppressAutoHyphens/>
              <w:autoSpaceDN w:val="0"/>
              <w:jc w:val="right"/>
              <w:rPr>
                <w:rFonts w:ascii="Arial" w:eastAsia="Times New Roman" w:hAnsi="Arial" w:cs="Arial"/>
                <w:color w:val="000000" w:themeColor="text1"/>
                <w:sz w:val="18"/>
                <w:szCs w:val="18"/>
              </w:rPr>
            </w:pPr>
            <w:r w:rsidRPr="005025EC">
              <w:rPr>
                <w:rFonts w:ascii="Arial" w:eastAsia="Times New Roman" w:hAnsi="Arial" w:cs="Arial"/>
                <w:color w:val="000000" w:themeColor="text1"/>
                <w:sz w:val="18"/>
                <w:szCs w:val="18"/>
              </w:rPr>
              <w:t>11</w:t>
            </w:r>
            <w:r w:rsidR="00A54D5B">
              <w:rPr>
                <w:rFonts w:ascii="Arial" w:eastAsia="Times New Roman" w:hAnsi="Arial" w:cs="Arial"/>
                <w:color w:val="000000" w:themeColor="text1"/>
                <w:sz w:val="18"/>
                <w:szCs w:val="18"/>
              </w:rPr>
              <w:t>7</w:t>
            </w:r>
          </w:p>
        </w:tc>
        <w:tc>
          <w:tcPr>
            <w:tcW w:w="1218" w:type="dxa"/>
            <w:tcBorders>
              <w:top w:val="nil"/>
              <w:left w:val="nil"/>
              <w:bottom w:val="single" w:sz="12" w:space="0" w:color="auto"/>
              <w:right w:val="nil"/>
            </w:tcBorders>
            <w:shd w:val="clear" w:color="auto" w:fill="auto"/>
            <w:vAlign w:val="bottom"/>
          </w:tcPr>
          <w:p w14:paraId="4BD2C78C" w14:textId="77777777" w:rsidR="006A1846" w:rsidRPr="0056686B" w:rsidRDefault="006A1846" w:rsidP="004454D6">
            <w:pPr>
              <w:suppressAutoHyphens/>
              <w:autoSpaceDN w:val="0"/>
              <w:jc w:val="right"/>
              <w:rPr>
                <w:rFonts w:ascii="Arial" w:eastAsia="Times New Roman" w:hAnsi="Arial" w:cs="Arial"/>
                <w:bCs/>
                <w:color w:val="000000" w:themeColor="text1"/>
                <w:sz w:val="18"/>
                <w:szCs w:val="18"/>
              </w:rPr>
            </w:pPr>
            <w:r>
              <w:rPr>
                <w:rFonts w:ascii="Arial" w:eastAsia="Times New Roman" w:hAnsi="Arial" w:cs="Arial"/>
                <w:color w:val="000000" w:themeColor="text1"/>
                <w:sz w:val="18"/>
                <w:szCs w:val="18"/>
              </w:rPr>
              <w:t>280</w:t>
            </w:r>
          </w:p>
        </w:tc>
      </w:tr>
    </w:tbl>
    <w:p w14:paraId="30D2730A" w14:textId="77777777" w:rsidR="0056686B" w:rsidRPr="003D1614" w:rsidRDefault="0056686B" w:rsidP="0056686B">
      <w:pPr>
        <w:suppressAutoHyphens/>
        <w:autoSpaceDN w:val="0"/>
        <w:jc w:val="both"/>
        <w:rPr>
          <w:rFonts w:ascii="Arial" w:eastAsia="Calibri" w:hAnsi="Arial" w:cs="Arial"/>
          <w:color w:val="000000" w:themeColor="text1"/>
          <w:sz w:val="20"/>
          <w:szCs w:val="20"/>
        </w:rPr>
      </w:pPr>
    </w:p>
    <w:p w14:paraId="2628D776" w14:textId="1D68CA9B" w:rsidR="00870460" w:rsidRPr="003D1614" w:rsidRDefault="00870460" w:rsidP="003E5073">
      <w:pPr>
        <w:suppressAutoHyphens/>
        <w:autoSpaceDN w:val="0"/>
        <w:jc w:val="both"/>
        <w:rPr>
          <w:rFonts w:ascii="Arial" w:eastAsia="Calibri" w:hAnsi="Arial" w:cs="Arial"/>
          <w:color w:val="000000" w:themeColor="text1"/>
          <w:sz w:val="20"/>
          <w:szCs w:val="20"/>
        </w:rPr>
      </w:pPr>
    </w:p>
    <w:p w14:paraId="19F86A19" w14:textId="77777777" w:rsidR="0056686B" w:rsidRPr="003D1614" w:rsidRDefault="0056686B" w:rsidP="003E5073">
      <w:pPr>
        <w:suppressAutoHyphens/>
        <w:autoSpaceDN w:val="0"/>
        <w:jc w:val="both"/>
        <w:rPr>
          <w:rFonts w:ascii="Arial" w:eastAsia="Calibri" w:hAnsi="Arial" w:cs="Arial"/>
          <w:color w:val="000000" w:themeColor="text1"/>
          <w:sz w:val="20"/>
          <w:szCs w:val="20"/>
        </w:rPr>
        <w:sectPr w:rsidR="0056686B" w:rsidRPr="003D1614" w:rsidSect="003278AB">
          <w:headerReference w:type="default" r:id="rId34"/>
          <w:footerReference w:type="default" r:id="rId35"/>
          <w:pgSz w:w="11906" w:h="16838"/>
          <w:pgMar w:top="1417" w:right="1417" w:bottom="1417" w:left="1417" w:header="708" w:footer="708" w:gutter="0"/>
          <w:cols w:space="708"/>
          <w:docGrid w:linePitch="360"/>
        </w:sectPr>
      </w:pPr>
    </w:p>
    <w:p w14:paraId="58315361" w14:textId="00ED55C6" w:rsidR="0056686B" w:rsidRDefault="0056686B" w:rsidP="003E5073">
      <w:pPr>
        <w:suppressAutoHyphens/>
        <w:autoSpaceDN w:val="0"/>
        <w:jc w:val="both"/>
        <w:rPr>
          <w:rFonts w:ascii="Arial" w:eastAsia="Calibri" w:hAnsi="Arial" w:cs="Arial"/>
          <w:color w:val="000000" w:themeColor="text1"/>
          <w:sz w:val="20"/>
          <w:szCs w:val="20"/>
        </w:rPr>
      </w:pPr>
    </w:p>
    <w:p w14:paraId="45CAF26B" w14:textId="77777777" w:rsidR="006A1846" w:rsidRPr="003D1614" w:rsidRDefault="006A1846" w:rsidP="003E5073">
      <w:pPr>
        <w:suppressAutoHyphens/>
        <w:autoSpaceDN w:val="0"/>
        <w:jc w:val="both"/>
        <w:rPr>
          <w:rFonts w:ascii="Arial" w:eastAsia="Calibri" w:hAnsi="Arial" w:cs="Arial"/>
          <w:color w:val="000000" w:themeColor="text1"/>
          <w:sz w:val="20"/>
          <w:szCs w:val="20"/>
        </w:rPr>
      </w:pPr>
    </w:p>
    <w:tbl>
      <w:tblPr>
        <w:tblpPr w:leftFromText="181" w:rightFromText="181" w:vertAnchor="text" w:horzAnchor="margin" w:tblpXSpec="center" w:tblpY="1"/>
        <w:tblW w:w="9071" w:type="dxa"/>
        <w:tblLayout w:type="fixed"/>
        <w:tblLook w:val="04A0" w:firstRow="1" w:lastRow="0" w:firstColumn="1" w:lastColumn="0" w:noHBand="0" w:noVBand="1"/>
      </w:tblPr>
      <w:tblGrid>
        <w:gridCol w:w="5669"/>
        <w:gridCol w:w="1701"/>
        <w:gridCol w:w="1701"/>
      </w:tblGrid>
      <w:tr w:rsidR="006A1846" w:rsidRPr="0056686B" w14:paraId="25FF1759" w14:textId="77777777" w:rsidTr="004454D6">
        <w:trPr>
          <w:trHeight w:val="119"/>
        </w:trPr>
        <w:tc>
          <w:tcPr>
            <w:tcW w:w="5669" w:type="dxa"/>
            <w:tcBorders>
              <w:left w:val="nil"/>
              <w:bottom w:val="nil"/>
              <w:right w:val="nil"/>
            </w:tcBorders>
            <w:shd w:val="clear" w:color="auto" w:fill="auto"/>
            <w:vAlign w:val="bottom"/>
          </w:tcPr>
          <w:p w14:paraId="582B43CB" w14:textId="77777777" w:rsidR="006A1846" w:rsidRPr="0056686B" w:rsidRDefault="006A1846" w:rsidP="004454D6">
            <w:pPr>
              <w:suppressAutoHyphens/>
              <w:autoSpaceDN w:val="0"/>
              <w:rPr>
                <w:rFonts w:ascii="Arial" w:eastAsia="Times New Roman" w:hAnsi="Arial" w:cs="Arial"/>
                <w:b/>
                <w:bCs/>
                <w:color w:val="000000" w:themeColor="text1"/>
                <w:sz w:val="18"/>
                <w:szCs w:val="18"/>
              </w:rPr>
            </w:pPr>
          </w:p>
        </w:tc>
        <w:tc>
          <w:tcPr>
            <w:tcW w:w="1701" w:type="dxa"/>
            <w:tcBorders>
              <w:left w:val="nil"/>
              <w:bottom w:val="nil"/>
              <w:right w:val="nil"/>
            </w:tcBorders>
            <w:shd w:val="clear" w:color="auto" w:fill="auto"/>
            <w:noWrap/>
            <w:vAlign w:val="bottom"/>
          </w:tcPr>
          <w:p w14:paraId="0ED4B0AB" w14:textId="77777777" w:rsidR="006A1846" w:rsidRPr="0056686B" w:rsidRDefault="006A1846" w:rsidP="004454D6">
            <w:pPr>
              <w:suppressAutoHyphens/>
              <w:autoSpaceDN w:val="0"/>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3</w:t>
            </w:r>
            <w:r>
              <w:rPr>
                <w:rFonts w:ascii="Arial" w:eastAsia="Times New Roman" w:hAnsi="Arial" w:cs="Arial"/>
                <w:b/>
                <w:bCs/>
                <w:color w:val="000000" w:themeColor="text1"/>
                <w:sz w:val="18"/>
                <w:szCs w:val="18"/>
              </w:rPr>
              <w:t>0</w:t>
            </w:r>
            <w:r w:rsidRPr="003D1614">
              <w:rPr>
                <w:rFonts w:ascii="Arial" w:eastAsia="Times New Roman" w:hAnsi="Arial" w:cs="Arial"/>
                <w:b/>
                <w:bCs/>
                <w:color w:val="000000" w:themeColor="text1"/>
                <w:sz w:val="18"/>
                <w:szCs w:val="18"/>
              </w:rPr>
              <w:t>.</w:t>
            </w:r>
            <w:r>
              <w:rPr>
                <w:rFonts w:ascii="Arial" w:eastAsia="Times New Roman" w:hAnsi="Arial" w:cs="Arial"/>
                <w:b/>
                <w:bCs/>
                <w:color w:val="000000" w:themeColor="text1"/>
                <w:sz w:val="18"/>
                <w:szCs w:val="18"/>
              </w:rPr>
              <w:t>9</w:t>
            </w:r>
            <w:r w:rsidRPr="003D1614">
              <w:rPr>
                <w:rFonts w:ascii="Arial" w:eastAsia="Times New Roman" w:hAnsi="Arial" w:cs="Arial"/>
                <w:b/>
                <w:bCs/>
                <w:color w:val="000000" w:themeColor="text1"/>
                <w:sz w:val="18"/>
                <w:szCs w:val="18"/>
              </w:rPr>
              <w:t>.202</w:t>
            </w:r>
            <w:r>
              <w:rPr>
                <w:rFonts w:ascii="Arial" w:eastAsia="Times New Roman" w:hAnsi="Arial" w:cs="Arial"/>
                <w:b/>
                <w:bCs/>
                <w:color w:val="000000" w:themeColor="text1"/>
                <w:sz w:val="18"/>
                <w:szCs w:val="18"/>
              </w:rPr>
              <w:t>4</w:t>
            </w:r>
            <w:r w:rsidRPr="0056686B">
              <w:rPr>
                <w:rFonts w:ascii="Arial" w:eastAsia="Times New Roman" w:hAnsi="Arial" w:cs="Arial"/>
                <w:b/>
                <w:bCs/>
                <w:color w:val="000000" w:themeColor="text1"/>
                <w:sz w:val="18"/>
                <w:szCs w:val="18"/>
              </w:rPr>
              <w:t>.</w:t>
            </w:r>
          </w:p>
        </w:tc>
        <w:tc>
          <w:tcPr>
            <w:tcW w:w="1701" w:type="dxa"/>
            <w:tcBorders>
              <w:left w:val="nil"/>
              <w:bottom w:val="nil"/>
              <w:right w:val="nil"/>
            </w:tcBorders>
            <w:vAlign w:val="bottom"/>
          </w:tcPr>
          <w:p w14:paraId="108A5582" w14:textId="77777777" w:rsidR="006A1846" w:rsidRPr="0056686B" w:rsidRDefault="006A1846" w:rsidP="004454D6">
            <w:pPr>
              <w:suppressAutoHyphens/>
              <w:autoSpaceDN w:val="0"/>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31.12.</w:t>
            </w:r>
            <w:r w:rsidRPr="0056686B">
              <w:rPr>
                <w:rFonts w:ascii="Arial" w:eastAsia="Times New Roman" w:hAnsi="Arial" w:cs="Arial"/>
                <w:b/>
                <w:bCs/>
                <w:color w:val="000000" w:themeColor="text1"/>
                <w:sz w:val="18"/>
                <w:szCs w:val="18"/>
              </w:rPr>
              <w:t>202</w:t>
            </w:r>
            <w:r>
              <w:rPr>
                <w:rFonts w:ascii="Arial" w:eastAsia="Times New Roman" w:hAnsi="Arial" w:cs="Arial"/>
                <w:b/>
                <w:bCs/>
                <w:color w:val="000000" w:themeColor="text1"/>
                <w:sz w:val="18"/>
                <w:szCs w:val="18"/>
              </w:rPr>
              <w:t>3</w:t>
            </w:r>
            <w:r w:rsidRPr="0056686B">
              <w:rPr>
                <w:rFonts w:ascii="Arial" w:eastAsia="Times New Roman" w:hAnsi="Arial" w:cs="Arial"/>
                <w:b/>
                <w:bCs/>
                <w:color w:val="000000" w:themeColor="text1"/>
                <w:sz w:val="18"/>
                <w:szCs w:val="18"/>
              </w:rPr>
              <w:t>.</w:t>
            </w:r>
          </w:p>
        </w:tc>
      </w:tr>
      <w:tr w:rsidR="006A1846" w:rsidRPr="0056686B" w14:paraId="19775C4B" w14:textId="77777777" w:rsidTr="004454D6">
        <w:trPr>
          <w:trHeight w:val="95"/>
        </w:trPr>
        <w:tc>
          <w:tcPr>
            <w:tcW w:w="5669" w:type="dxa"/>
            <w:tcBorders>
              <w:left w:val="nil"/>
              <w:bottom w:val="nil"/>
              <w:right w:val="nil"/>
            </w:tcBorders>
            <w:shd w:val="clear" w:color="auto" w:fill="auto"/>
            <w:vAlign w:val="bottom"/>
          </w:tcPr>
          <w:p w14:paraId="462F70DF" w14:textId="77777777" w:rsidR="006A1846" w:rsidRPr="0056686B" w:rsidRDefault="006A1846" w:rsidP="004454D6">
            <w:pPr>
              <w:suppressAutoHyphens/>
              <w:autoSpaceDN w:val="0"/>
              <w:rPr>
                <w:rFonts w:ascii="Arial" w:eastAsia="Times New Roman" w:hAnsi="Arial" w:cs="Arial"/>
                <w:b/>
                <w:bCs/>
                <w:color w:val="000000" w:themeColor="text1"/>
                <w:sz w:val="18"/>
                <w:szCs w:val="18"/>
              </w:rPr>
            </w:pPr>
          </w:p>
        </w:tc>
        <w:tc>
          <w:tcPr>
            <w:tcW w:w="1701" w:type="dxa"/>
            <w:tcBorders>
              <w:left w:val="nil"/>
              <w:bottom w:val="nil"/>
              <w:right w:val="nil"/>
            </w:tcBorders>
            <w:shd w:val="clear" w:color="auto" w:fill="auto"/>
            <w:noWrap/>
            <w:vAlign w:val="bottom"/>
          </w:tcPr>
          <w:p w14:paraId="2509F60D" w14:textId="77777777" w:rsidR="006A1846" w:rsidRPr="0056686B" w:rsidRDefault="006A1846" w:rsidP="004454D6">
            <w:pPr>
              <w:suppressAutoHyphens/>
              <w:autoSpaceDN w:val="0"/>
              <w:jc w:val="right"/>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 xml:space="preserve">000 </w:t>
            </w:r>
            <w:r w:rsidRPr="003D1614">
              <w:rPr>
                <w:rFonts w:ascii="Arial" w:eastAsia="Times New Roman" w:hAnsi="Arial" w:cs="Arial"/>
                <w:b/>
                <w:bCs/>
                <w:color w:val="000000" w:themeColor="text1"/>
                <w:sz w:val="18"/>
                <w:szCs w:val="18"/>
              </w:rPr>
              <w:t>eura</w:t>
            </w:r>
          </w:p>
        </w:tc>
        <w:tc>
          <w:tcPr>
            <w:tcW w:w="1701" w:type="dxa"/>
            <w:tcBorders>
              <w:left w:val="nil"/>
              <w:bottom w:val="nil"/>
              <w:right w:val="nil"/>
            </w:tcBorders>
            <w:vAlign w:val="bottom"/>
          </w:tcPr>
          <w:p w14:paraId="0A311ECD" w14:textId="77777777" w:rsidR="006A1846" w:rsidRPr="0056686B" w:rsidRDefault="006A1846" w:rsidP="004454D6">
            <w:pPr>
              <w:suppressAutoHyphens/>
              <w:autoSpaceDN w:val="0"/>
              <w:jc w:val="right"/>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 xml:space="preserve">000 </w:t>
            </w:r>
            <w:r w:rsidRPr="003D1614">
              <w:rPr>
                <w:rFonts w:ascii="Arial" w:eastAsia="Times New Roman" w:hAnsi="Arial" w:cs="Arial"/>
                <w:b/>
                <w:bCs/>
                <w:color w:val="000000" w:themeColor="text1"/>
                <w:sz w:val="18"/>
                <w:szCs w:val="18"/>
              </w:rPr>
              <w:t>eura</w:t>
            </w:r>
          </w:p>
        </w:tc>
      </w:tr>
      <w:tr w:rsidR="006A1846" w:rsidRPr="0056686B" w14:paraId="7F4B1401" w14:textId="77777777" w:rsidTr="004454D6">
        <w:trPr>
          <w:trHeight w:val="59"/>
        </w:trPr>
        <w:tc>
          <w:tcPr>
            <w:tcW w:w="5669" w:type="dxa"/>
            <w:tcBorders>
              <w:top w:val="nil"/>
              <w:left w:val="nil"/>
              <w:bottom w:val="nil"/>
              <w:right w:val="nil"/>
            </w:tcBorders>
            <w:shd w:val="clear" w:color="auto" w:fill="auto"/>
            <w:vAlign w:val="bottom"/>
          </w:tcPr>
          <w:p w14:paraId="131C571B" w14:textId="77777777" w:rsidR="006A1846" w:rsidRPr="0056686B" w:rsidRDefault="006A1846" w:rsidP="004454D6">
            <w:pPr>
              <w:suppressAutoHyphens/>
              <w:autoSpaceDN w:val="0"/>
              <w:spacing w:line="140" w:lineRule="exact"/>
              <w:rPr>
                <w:rFonts w:ascii="Arial" w:eastAsia="Times New Roman" w:hAnsi="Arial" w:cs="Arial"/>
                <w:color w:val="000000" w:themeColor="text1"/>
                <w:sz w:val="18"/>
                <w:szCs w:val="18"/>
              </w:rPr>
            </w:pPr>
          </w:p>
        </w:tc>
        <w:tc>
          <w:tcPr>
            <w:tcW w:w="1701" w:type="dxa"/>
            <w:tcBorders>
              <w:top w:val="nil"/>
              <w:left w:val="nil"/>
              <w:bottom w:val="nil"/>
              <w:right w:val="nil"/>
            </w:tcBorders>
            <w:shd w:val="clear" w:color="auto" w:fill="auto"/>
            <w:noWrap/>
            <w:vAlign w:val="bottom"/>
          </w:tcPr>
          <w:p w14:paraId="41466094" w14:textId="77777777" w:rsidR="006A1846" w:rsidRPr="0056686B" w:rsidRDefault="006A1846" w:rsidP="004454D6">
            <w:pPr>
              <w:suppressAutoHyphens/>
              <w:autoSpaceDN w:val="0"/>
              <w:spacing w:line="140" w:lineRule="exact"/>
              <w:rPr>
                <w:rFonts w:ascii="Arial" w:eastAsia="Times New Roman" w:hAnsi="Arial" w:cs="Arial"/>
                <w:color w:val="000000" w:themeColor="text1"/>
                <w:sz w:val="18"/>
                <w:szCs w:val="18"/>
              </w:rPr>
            </w:pPr>
          </w:p>
        </w:tc>
        <w:tc>
          <w:tcPr>
            <w:tcW w:w="1701" w:type="dxa"/>
            <w:tcBorders>
              <w:top w:val="nil"/>
              <w:left w:val="nil"/>
              <w:bottom w:val="nil"/>
              <w:right w:val="nil"/>
            </w:tcBorders>
            <w:vAlign w:val="bottom"/>
          </w:tcPr>
          <w:p w14:paraId="43F3E954" w14:textId="77777777" w:rsidR="006A1846" w:rsidRPr="0056686B" w:rsidRDefault="006A1846" w:rsidP="004454D6">
            <w:pPr>
              <w:suppressAutoHyphens/>
              <w:autoSpaceDN w:val="0"/>
              <w:spacing w:line="140" w:lineRule="exact"/>
              <w:rPr>
                <w:rFonts w:ascii="Arial" w:eastAsia="Times New Roman" w:hAnsi="Arial" w:cs="Arial"/>
                <w:color w:val="000000" w:themeColor="text1"/>
                <w:sz w:val="18"/>
                <w:szCs w:val="18"/>
              </w:rPr>
            </w:pPr>
          </w:p>
        </w:tc>
      </w:tr>
      <w:tr w:rsidR="006A1846" w:rsidRPr="0056686B" w14:paraId="2BCC1639" w14:textId="77777777" w:rsidTr="004454D6">
        <w:trPr>
          <w:trHeight w:val="109"/>
        </w:trPr>
        <w:tc>
          <w:tcPr>
            <w:tcW w:w="5669" w:type="dxa"/>
            <w:tcBorders>
              <w:top w:val="nil"/>
              <w:left w:val="nil"/>
              <w:bottom w:val="nil"/>
              <w:right w:val="nil"/>
            </w:tcBorders>
            <w:shd w:val="clear" w:color="auto" w:fill="auto"/>
            <w:vAlign w:val="bottom"/>
          </w:tcPr>
          <w:p w14:paraId="7E4B580E" w14:textId="77777777" w:rsidR="006A1846" w:rsidRPr="0056686B" w:rsidRDefault="006A1846" w:rsidP="004454D6">
            <w:pPr>
              <w:suppressAutoHyphens/>
              <w:autoSpaceDN w:val="0"/>
              <w:rPr>
                <w:rFonts w:ascii="Arial" w:eastAsia="Times New Roman" w:hAnsi="Arial" w:cs="Arial"/>
                <w:b/>
                <w:color w:val="000000" w:themeColor="text1"/>
                <w:sz w:val="18"/>
                <w:szCs w:val="18"/>
              </w:rPr>
            </w:pPr>
            <w:r w:rsidRPr="0056686B">
              <w:rPr>
                <w:rFonts w:ascii="Arial" w:eastAsia="Times New Roman" w:hAnsi="Arial" w:cs="Arial"/>
                <w:b/>
                <w:color w:val="000000" w:themeColor="text1"/>
                <w:sz w:val="18"/>
                <w:szCs w:val="18"/>
              </w:rPr>
              <w:t>Imovina</w:t>
            </w:r>
          </w:p>
        </w:tc>
        <w:tc>
          <w:tcPr>
            <w:tcW w:w="1701" w:type="dxa"/>
            <w:tcBorders>
              <w:top w:val="nil"/>
              <w:left w:val="nil"/>
              <w:bottom w:val="nil"/>
              <w:right w:val="nil"/>
            </w:tcBorders>
            <w:shd w:val="clear" w:color="auto" w:fill="auto"/>
            <w:noWrap/>
            <w:vAlign w:val="bottom"/>
          </w:tcPr>
          <w:p w14:paraId="2B7E0E4B" w14:textId="77777777" w:rsidR="006A1846" w:rsidRPr="0056686B" w:rsidRDefault="006A1846" w:rsidP="004454D6">
            <w:pPr>
              <w:suppressAutoHyphens/>
              <w:autoSpaceDN w:val="0"/>
              <w:jc w:val="right"/>
              <w:rPr>
                <w:rFonts w:ascii="Arial" w:eastAsia="Times New Roman" w:hAnsi="Arial" w:cs="Arial"/>
                <w:color w:val="000000" w:themeColor="text1"/>
                <w:sz w:val="18"/>
                <w:szCs w:val="18"/>
              </w:rPr>
            </w:pPr>
          </w:p>
        </w:tc>
        <w:tc>
          <w:tcPr>
            <w:tcW w:w="1701" w:type="dxa"/>
            <w:tcBorders>
              <w:top w:val="nil"/>
              <w:left w:val="nil"/>
              <w:bottom w:val="nil"/>
              <w:right w:val="nil"/>
            </w:tcBorders>
            <w:vAlign w:val="bottom"/>
          </w:tcPr>
          <w:p w14:paraId="1DF71ACE" w14:textId="77777777" w:rsidR="006A1846" w:rsidRPr="0056686B" w:rsidRDefault="006A1846" w:rsidP="004454D6">
            <w:pPr>
              <w:suppressAutoHyphens/>
              <w:autoSpaceDN w:val="0"/>
              <w:jc w:val="right"/>
              <w:rPr>
                <w:rFonts w:ascii="Arial" w:eastAsia="Times New Roman" w:hAnsi="Arial" w:cs="Arial"/>
                <w:color w:val="000000" w:themeColor="text1"/>
                <w:sz w:val="18"/>
                <w:szCs w:val="18"/>
              </w:rPr>
            </w:pPr>
          </w:p>
        </w:tc>
      </w:tr>
      <w:tr w:rsidR="006A1846" w:rsidRPr="0056686B" w14:paraId="59C91533" w14:textId="77777777" w:rsidTr="004454D6">
        <w:trPr>
          <w:trHeight w:val="66"/>
        </w:trPr>
        <w:tc>
          <w:tcPr>
            <w:tcW w:w="5669" w:type="dxa"/>
            <w:tcBorders>
              <w:top w:val="nil"/>
              <w:left w:val="nil"/>
              <w:bottom w:val="nil"/>
              <w:right w:val="nil"/>
            </w:tcBorders>
            <w:shd w:val="clear" w:color="auto" w:fill="auto"/>
            <w:vAlign w:val="bottom"/>
          </w:tcPr>
          <w:p w14:paraId="4F7D43D3" w14:textId="77777777" w:rsidR="006A1846" w:rsidRPr="0056686B" w:rsidRDefault="006A1846" w:rsidP="004454D6">
            <w:pPr>
              <w:suppressAutoHyphens/>
              <w:autoSpaceDN w:val="0"/>
              <w:rPr>
                <w:rFonts w:ascii="Arial" w:eastAsia="Times New Roman" w:hAnsi="Arial" w:cs="Arial"/>
                <w:b/>
                <w:color w:val="000000" w:themeColor="text1"/>
                <w:sz w:val="18"/>
                <w:szCs w:val="18"/>
              </w:rPr>
            </w:pPr>
            <w:r w:rsidRPr="0056686B">
              <w:rPr>
                <w:rFonts w:ascii="Arial" w:eastAsia="Times New Roman" w:hAnsi="Arial" w:cs="Arial"/>
                <w:b/>
                <w:color w:val="000000" w:themeColor="text1"/>
                <w:sz w:val="18"/>
                <w:szCs w:val="18"/>
              </w:rPr>
              <w:t>Dugotrajna imovina</w:t>
            </w:r>
          </w:p>
        </w:tc>
        <w:tc>
          <w:tcPr>
            <w:tcW w:w="1701" w:type="dxa"/>
            <w:tcBorders>
              <w:top w:val="nil"/>
              <w:left w:val="nil"/>
              <w:bottom w:val="nil"/>
              <w:right w:val="nil"/>
            </w:tcBorders>
            <w:shd w:val="clear" w:color="auto" w:fill="auto"/>
            <w:noWrap/>
            <w:vAlign w:val="bottom"/>
          </w:tcPr>
          <w:p w14:paraId="139FDB8F" w14:textId="77777777" w:rsidR="006A1846" w:rsidRPr="0056686B" w:rsidRDefault="006A1846" w:rsidP="004454D6">
            <w:pPr>
              <w:suppressAutoHyphens/>
              <w:autoSpaceDN w:val="0"/>
              <w:jc w:val="right"/>
              <w:rPr>
                <w:rFonts w:ascii="Arial" w:eastAsia="Times New Roman" w:hAnsi="Arial" w:cs="Arial"/>
                <w:color w:val="000000" w:themeColor="text1"/>
                <w:sz w:val="18"/>
                <w:szCs w:val="18"/>
              </w:rPr>
            </w:pPr>
          </w:p>
        </w:tc>
        <w:tc>
          <w:tcPr>
            <w:tcW w:w="1701" w:type="dxa"/>
            <w:tcBorders>
              <w:top w:val="nil"/>
              <w:left w:val="nil"/>
              <w:bottom w:val="nil"/>
              <w:right w:val="nil"/>
            </w:tcBorders>
            <w:vAlign w:val="bottom"/>
          </w:tcPr>
          <w:p w14:paraId="76B6B19F" w14:textId="77777777" w:rsidR="006A1846" w:rsidRPr="0056686B" w:rsidRDefault="006A1846" w:rsidP="004454D6">
            <w:pPr>
              <w:suppressAutoHyphens/>
              <w:autoSpaceDN w:val="0"/>
              <w:jc w:val="right"/>
              <w:rPr>
                <w:rFonts w:ascii="Arial" w:eastAsia="Times New Roman" w:hAnsi="Arial" w:cs="Arial"/>
                <w:color w:val="000000" w:themeColor="text1"/>
                <w:sz w:val="18"/>
                <w:szCs w:val="18"/>
              </w:rPr>
            </w:pPr>
          </w:p>
        </w:tc>
      </w:tr>
      <w:tr w:rsidR="006A1846" w:rsidRPr="0056686B" w14:paraId="122024D4" w14:textId="77777777" w:rsidTr="004454D6">
        <w:trPr>
          <w:trHeight w:val="180"/>
        </w:trPr>
        <w:tc>
          <w:tcPr>
            <w:tcW w:w="5669" w:type="dxa"/>
            <w:tcBorders>
              <w:top w:val="nil"/>
              <w:left w:val="nil"/>
              <w:bottom w:val="nil"/>
              <w:right w:val="nil"/>
            </w:tcBorders>
            <w:shd w:val="clear" w:color="auto" w:fill="auto"/>
            <w:vAlign w:val="bottom"/>
          </w:tcPr>
          <w:p w14:paraId="123F29DC" w14:textId="77777777" w:rsidR="006A1846" w:rsidRPr="0056686B" w:rsidRDefault="006A1846" w:rsidP="004454D6">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Nekretnine i oprema</w:t>
            </w:r>
          </w:p>
        </w:tc>
        <w:tc>
          <w:tcPr>
            <w:tcW w:w="1701" w:type="dxa"/>
            <w:shd w:val="clear" w:color="auto" w:fill="auto"/>
            <w:noWrap/>
            <w:vAlign w:val="bottom"/>
          </w:tcPr>
          <w:p w14:paraId="1C3598B8" w14:textId="77777777" w:rsidR="006A1846" w:rsidRPr="0056686B" w:rsidRDefault="006A1846" w:rsidP="004454D6">
            <w:pPr>
              <w:suppressAutoHyphens/>
              <w:autoSpaceDN w:val="0"/>
              <w:jc w:val="right"/>
              <w:rPr>
                <w:rFonts w:ascii="Arial" w:eastAsia="Times New Roman" w:hAnsi="Arial" w:cs="Arial"/>
                <w:color w:val="000000" w:themeColor="text1"/>
                <w:sz w:val="18"/>
                <w:szCs w:val="18"/>
              </w:rPr>
            </w:pPr>
            <w:r w:rsidRPr="00BA5396">
              <w:rPr>
                <w:rFonts w:ascii="Arial" w:eastAsia="Times New Roman" w:hAnsi="Arial" w:cs="Arial"/>
                <w:color w:val="000000" w:themeColor="text1"/>
                <w:sz w:val="18"/>
                <w:szCs w:val="18"/>
              </w:rPr>
              <w:t>157</w:t>
            </w:r>
          </w:p>
        </w:tc>
        <w:tc>
          <w:tcPr>
            <w:tcW w:w="1701" w:type="dxa"/>
            <w:shd w:val="clear" w:color="auto" w:fill="auto"/>
            <w:vAlign w:val="bottom"/>
          </w:tcPr>
          <w:p w14:paraId="4F307C5F" w14:textId="77777777" w:rsidR="006A1846" w:rsidRPr="0056686B" w:rsidRDefault="006A1846" w:rsidP="004454D6">
            <w:pPr>
              <w:suppressAutoHyphens/>
              <w:autoSpaceDN w:val="0"/>
              <w:jc w:val="right"/>
              <w:rPr>
                <w:rFonts w:ascii="Arial" w:eastAsia="Times New Roman" w:hAnsi="Arial" w:cs="Arial"/>
                <w:color w:val="000000" w:themeColor="text1"/>
                <w:sz w:val="18"/>
                <w:szCs w:val="18"/>
              </w:rPr>
            </w:pPr>
            <w:r>
              <w:rPr>
                <w:rFonts w:ascii="Arial" w:hAnsi="Arial" w:cs="Arial"/>
                <w:color w:val="000000" w:themeColor="text1"/>
                <w:sz w:val="18"/>
                <w:szCs w:val="18"/>
              </w:rPr>
              <w:t>53</w:t>
            </w:r>
          </w:p>
        </w:tc>
      </w:tr>
      <w:tr w:rsidR="006A1846" w:rsidRPr="0056686B" w14:paraId="1D641318" w14:textId="77777777" w:rsidTr="004454D6">
        <w:trPr>
          <w:trHeight w:val="180"/>
        </w:trPr>
        <w:tc>
          <w:tcPr>
            <w:tcW w:w="5669" w:type="dxa"/>
            <w:tcBorders>
              <w:top w:val="nil"/>
              <w:left w:val="nil"/>
              <w:bottom w:val="nil"/>
              <w:right w:val="nil"/>
            </w:tcBorders>
            <w:shd w:val="clear" w:color="auto" w:fill="auto"/>
            <w:vAlign w:val="bottom"/>
          </w:tcPr>
          <w:p w14:paraId="76318419" w14:textId="77777777" w:rsidR="006A1846" w:rsidRPr="0056686B" w:rsidRDefault="006A1846" w:rsidP="004454D6">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Nematerijalna imovina</w:t>
            </w:r>
          </w:p>
        </w:tc>
        <w:tc>
          <w:tcPr>
            <w:tcW w:w="1701" w:type="dxa"/>
            <w:shd w:val="clear" w:color="auto" w:fill="auto"/>
            <w:noWrap/>
            <w:vAlign w:val="bottom"/>
          </w:tcPr>
          <w:p w14:paraId="64A59DEE" w14:textId="77777777" w:rsidR="006A1846" w:rsidRPr="0056686B" w:rsidRDefault="006A1846" w:rsidP="004454D6">
            <w:pPr>
              <w:suppressAutoHyphens/>
              <w:autoSpaceDN w:val="0"/>
              <w:jc w:val="right"/>
              <w:rPr>
                <w:rFonts w:ascii="Arial" w:eastAsia="Times New Roman" w:hAnsi="Arial" w:cs="Arial"/>
                <w:color w:val="000000" w:themeColor="text1"/>
                <w:sz w:val="18"/>
                <w:szCs w:val="18"/>
              </w:rPr>
            </w:pPr>
            <w:r w:rsidRPr="00BA5396">
              <w:rPr>
                <w:rFonts w:ascii="Arial" w:eastAsia="Times New Roman" w:hAnsi="Arial" w:cs="Arial"/>
                <w:color w:val="000000" w:themeColor="text1"/>
                <w:sz w:val="18"/>
                <w:szCs w:val="18"/>
              </w:rPr>
              <w:t>74</w:t>
            </w:r>
          </w:p>
        </w:tc>
        <w:tc>
          <w:tcPr>
            <w:tcW w:w="1701" w:type="dxa"/>
            <w:shd w:val="clear" w:color="auto" w:fill="auto"/>
            <w:vAlign w:val="bottom"/>
          </w:tcPr>
          <w:p w14:paraId="40A88E33" w14:textId="77777777" w:rsidR="006A1846" w:rsidRPr="0056686B" w:rsidRDefault="006A1846" w:rsidP="004454D6">
            <w:pPr>
              <w:suppressAutoHyphens/>
              <w:autoSpaceDN w:val="0"/>
              <w:jc w:val="right"/>
              <w:rPr>
                <w:rFonts w:ascii="Arial" w:eastAsia="Times New Roman" w:hAnsi="Arial" w:cs="Arial"/>
                <w:color w:val="000000" w:themeColor="text1"/>
                <w:sz w:val="18"/>
                <w:szCs w:val="18"/>
              </w:rPr>
            </w:pPr>
            <w:r>
              <w:rPr>
                <w:rFonts w:ascii="Arial" w:hAnsi="Arial" w:cs="Arial"/>
                <w:color w:val="000000" w:themeColor="text1"/>
                <w:sz w:val="18"/>
                <w:szCs w:val="18"/>
              </w:rPr>
              <w:t>92</w:t>
            </w:r>
          </w:p>
        </w:tc>
      </w:tr>
      <w:tr w:rsidR="006A1846" w:rsidRPr="0056686B" w14:paraId="7D4C742A" w14:textId="77777777" w:rsidTr="004454D6">
        <w:trPr>
          <w:trHeight w:val="180"/>
        </w:trPr>
        <w:tc>
          <w:tcPr>
            <w:tcW w:w="5669" w:type="dxa"/>
            <w:tcBorders>
              <w:top w:val="nil"/>
              <w:left w:val="nil"/>
              <w:bottom w:val="nil"/>
              <w:right w:val="nil"/>
            </w:tcBorders>
            <w:shd w:val="clear" w:color="auto" w:fill="auto"/>
            <w:vAlign w:val="bottom"/>
          </w:tcPr>
          <w:p w14:paraId="233D4E05" w14:textId="77777777" w:rsidR="006A1846" w:rsidRPr="0056686B" w:rsidRDefault="006A1846" w:rsidP="004454D6">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Odgođena porezna imovina</w:t>
            </w:r>
          </w:p>
        </w:tc>
        <w:tc>
          <w:tcPr>
            <w:tcW w:w="1701" w:type="dxa"/>
            <w:shd w:val="clear" w:color="auto" w:fill="auto"/>
            <w:noWrap/>
            <w:vAlign w:val="bottom"/>
          </w:tcPr>
          <w:p w14:paraId="01E6E88B" w14:textId="77777777" w:rsidR="006A1846" w:rsidRPr="0056686B" w:rsidRDefault="006A1846" w:rsidP="004454D6">
            <w:pPr>
              <w:suppressAutoHyphens/>
              <w:autoSpaceDN w:val="0"/>
              <w:jc w:val="right"/>
              <w:rPr>
                <w:rFonts w:ascii="Arial" w:eastAsia="Times New Roman" w:hAnsi="Arial" w:cs="Arial"/>
                <w:color w:val="000000" w:themeColor="text1"/>
                <w:sz w:val="18"/>
                <w:szCs w:val="18"/>
              </w:rPr>
            </w:pPr>
            <w:r w:rsidRPr="00BA5396">
              <w:rPr>
                <w:rFonts w:ascii="Arial" w:eastAsia="Times New Roman" w:hAnsi="Arial" w:cs="Arial"/>
                <w:color w:val="000000" w:themeColor="text1"/>
                <w:sz w:val="18"/>
                <w:szCs w:val="18"/>
              </w:rPr>
              <w:t>140</w:t>
            </w:r>
          </w:p>
        </w:tc>
        <w:tc>
          <w:tcPr>
            <w:tcW w:w="1701" w:type="dxa"/>
            <w:shd w:val="clear" w:color="auto" w:fill="auto"/>
            <w:vAlign w:val="bottom"/>
          </w:tcPr>
          <w:p w14:paraId="1273BDFE" w14:textId="77777777" w:rsidR="006A1846" w:rsidRPr="0056686B" w:rsidRDefault="006A1846" w:rsidP="004454D6">
            <w:pPr>
              <w:suppressAutoHyphens/>
              <w:autoSpaceDN w:val="0"/>
              <w:jc w:val="right"/>
              <w:rPr>
                <w:rFonts w:ascii="Arial" w:eastAsia="Times New Roman" w:hAnsi="Arial" w:cs="Arial"/>
                <w:color w:val="000000"/>
                <w:sz w:val="18"/>
                <w:szCs w:val="18"/>
              </w:rPr>
            </w:pPr>
            <w:r>
              <w:rPr>
                <w:rFonts w:ascii="Arial" w:hAnsi="Arial" w:cs="Arial"/>
                <w:color w:val="000000" w:themeColor="text1"/>
                <w:sz w:val="18"/>
                <w:szCs w:val="18"/>
              </w:rPr>
              <w:t>140</w:t>
            </w:r>
          </w:p>
        </w:tc>
      </w:tr>
      <w:tr w:rsidR="006A1846" w:rsidRPr="0056686B" w14:paraId="2834AF1A" w14:textId="77777777" w:rsidTr="004454D6">
        <w:trPr>
          <w:trHeight w:val="164"/>
        </w:trPr>
        <w:tc>
          <w:tcPr>
            <w:tcW w:w="5669" w:type="dxa"/>
            <w:tcBorders>
              <w:left w:val="nil"/>
              <w:right w:val="nil"/>
            </w:tcBorders>
            <w:shd w:val="clear" w:color="auto" w:fill="auto"/>
            <w:vAlign w:val="bottom"/>
          </w:tcPr>
          <w:p w14:paraId="79117D9E" w14:textId="77777777" w:rsidR="006A1846" w:rsidRPr="0056686B" w:rsidRDefault="006A1846" w:rsidP="004454D6">
            <w:pPr>
              <w:suppressAutoHyphens/>
              <w:autoSpaceDN w:val="0"/>
              <w:rPr>
                <w:rFonts w:ascii="Arial" w:eastAsia="Times New Roman" w:hAnsi="Arial" w:cs="Arial"/>
                <w:b/>
                <w:color w:val="000000" w:themeColor="text1"/>
                <w:sz w:val="18"/>
                <w:szCs w:val="18"/>
              </w:rPr>
            </w:pPr>
            <w:r w:rsidRPr="0056686B">
              <w:rPr>
                <w:rFonts w:ascii="Arial" w:eastAsia="Times New Roman" w:hAnsi="Arial" w:cs="Arial"/>
                <w:b/>
                <w:color w:val="000000" w:themeColor="text1"/>
                <w:sz w:val="18"/>
                <w:szCs w:val="18"/>
              </w:rPr>
              <w:t>Ukupna dugotrajna imovina</w:t>
            </w:r>
          </w:p>
        </w:tc>
        <w:tc>
          <w:tcPr>
            <w:tcW w:w="1701" w:type="dxa"/>
            <w:tcBorders>
              <w:top w:val="single" w:sz="4" w:space="0" w:color="auto"/>
              <w:left w:val="nil"/>
              <w:bottom w:val="single" w:sz="12" w:space="0" w:color="auto"/>
              <w:right w:val="nil"/>
            </w:tcBorders>
            <w:shd w:val="clear" w:color="auto" w:fill="auto"/>
            <w:noWrap/>
            <w:vAlign w:val="bottom"/>
          </w:tcPr>
          <w:p w14:paraId="2F0D1B19" w14:textId="77777777" w:rsidR="006A1846" w:rsidRPr="0056686B" w:rsidRDefault="006A1846" w:rsidP="004454D6">
            <w:pPr>
              <w:suppressAutoHyphens/>
              <w:autoSpaceDN w:val="0"/>
              <w:jc w:val="right"/>
              <w:rPr>
                <w:rFonts w:ascii="Arial" w:eastAsia="Times New Roman" w:hAnsi="Arial" w:cs="Arial"/>
                <w:b/>
                <w:bCs/>
                <w:color w:val="000000" w:themeColor="text1"/>
                <w:sz w:val="18"/>
                <w:szCs w:val="18"/>
              </w:rPr>
            </w:pPr>
            <w:r w:rsidRPr="00BA5396">
              <w:rPr>
                <w:rFonts w:ascii="Arial" w:eastAsia="Times New Roman" w:hAnsi="Arial" w:cs="Arial"/>
                <w:b/>
                <w:bCs/>
                <w:color w:val="000000" w:themeColor="text1"/>
                <w:sz w:val="18"/>
                <w:szCs w:val="18"/>
              </w:rPr>
              <w:t>371</w:t>
            </w:r>
          </w:p>
        </w:tc>
        <w:tc>
          <w:tcPr>
            <w:tcW w:w="1701" w:type="dxa"/>
            <w:tcBorders>
              <w:top w:val="single" w:sz="4" w:space="0" w:color="auto"/>
              <w:left w:val="nil"/>
              <w:bottom w:val="single" w:sz="12" w:space="0" w:color="auto"/>
              <w:right w:val="nil"/>
            </w:tcBorders>
            <w:shd w:val="clear" w:color="auto" w:fill="auto"/>
            <w:vAlign w:val="bottom"/>
          </w:tcPr>
          <w:p w14:paraId="24D55BEF" w14:textId="77777777" w:rsidR="006A1846" w:rsidRPr="0056686B" w:rsidRDefault="006A1846" w:rsidP="004454D6">
            <w:pPr>
              <w:suppressAutoHyphens/>
              <w:autoSpaceDN w:val="0"/>
              <w:jc w:val="right"/>
              <w:rPr>
                <w:rFonts w:ascii="Arial" w:eastAsia="Times New Roman" w:hAnsi="Arial" w:cs="Arial"/>
                <w:b/>
                <w:bCs/>
                <w:color w:val="000000" w:themeColor="text1"/>
                <w:sz w:val="18"/>
                <w:szCs w:val="18"/>
              </w:rPr>
            </w:pPr>
            <w:r>
              <w:rPr>
                <w:rFonts w:ascii="Arial" w:hAnsi="Arial" w:cs="Arial"/>
                <w:b/>
                <w:bCs/>
                <w:color w:val="000000" w:themeColor="text1"/>
                <w:sz w:val="18"/>
                <w:szCs w:val="18"/>
              </w:rPr>
              <w:t>285</w:t>
            </w:r>
          </w:p>
        </w:tc>
      </w:tr>
      <w:tr w:rsidR="006A1846" w:rsidRPr="0056686B" w14:paraId="7DBCA988" w14:textId="77777777" w:rsidTr="004454D6">
        <w:trPr>
          <w:trHeight w:val="60"/>
        </w:trPr>
        <w:tc>
          <w:tcPr>
            <w:tcW w:w="5669" w:type="dxa"/>
            <w:tcBorders>
              <w:left w:val="nil"/>
              <w:bottom w:val="nil"/>
              <w:right w:val="nil"/>
            </w:tcBorders>
            <w:shd w:val="clear" w:color="auto" w:fill="auto"/>
            <w:vAlign w:val="bottom"/>
          </w:tcPr>
          <w:p w14:paraId="082E32AB" w14:textId="77777777" w:rsidR="006A1846" w:rsidRPr="0056686B" w:rsidRDefault="006A1846" w:rsidP="004454D6">
            <w:pPr>
              <w:suppressAutoHyphens/>
              <w:autoSpaceDN w:val="0"/>
              <w:spacing w:line="140" w:lineRule="exact"/>
              <w:rPr>
                <w:rFonts w:ascii="Arial" w:eastAsia="Times New Roman" w:hAnsi="Arial" w:cs="Arial"/>
                <w:color w:val="000000" w:themeColor="text1"/>
                <w:sz w:val="18"/>
                <w:szCs w:val="18"/>
              </w:rPr>
            </w:pPr>
          </w:p>
        </w:tc>
        <w:tc>
          <w:tcPr>
            <w:tcW w:w="1701" w:type="dxa"/>
            <w:tcBorders>
              <w:top w:val="single" w:sz="12" w:space="0" w:color="auto"/>
              <w:left w:val="nil"/>
              <w:bottom w:val="nil"/>
              <w:right w:val="nil"/>
            </w:tcBorders>
            <w:shd w:val="clear" w:color="auto" w:fill="auto"/>
            <w:noWrap/>
            <w:vAlign w:val="bottom"/>
          </w:tcPr>
          <w:p w14:paraId="6F5A82C4" w14:textId="77777777" w:rsidR="006A1846" w:rsidRPr="0056686B" w:rsidRDefault="006A1846" w:rsidP="004454D6">
            <w:pPr>
              <w:suppressAutoHyphens/>
              <w:autoSpaceDN w:val="0"/>
              <w:spacing w:line="140" w:lineRule="exact"/>
              <w:jc w:val="right"/>
              <w:rPr>
                <w:rFonts w:ascii="Arial" w:eastAsia="Times New Roman" w:hAnsi="Arial" w:cs="Arial"/>
                <w:color w:val="000000" w:themeColor="text1"/>
                <w:sz w:val="18"/>
                <w:szCs w:val="18"/>
              </w:rPr>
            </w:pPr>
          </w:p>
        </w:tc>
        <w:tc>
          <w:tcPr>
            <w:tcW w:w="1701" w:type="dxa"/>
            <w:tcBorders>
              <w:top w:val="single" w:sz="12" w:space="0" w:color="auto"/>
              <w:left w:val="nil"/>
              <w:bottom w:val="nil"/>
              <w:right w:val="nil"/>
            </w:tcBorders>
            <w:shd w:val="clear" w:color="auto" w:fill="auto"/>
            <w:vAlign w:val="bottom"/>
          </w:tcPr>
          <w:p w14:paraId="7E577F54" w14:textId="77777777" w:rsidR="006A1846" w:rsidRPr="0056686B" w:rsidRDefault="006A1846" w:rsidP="004454D6">
            <w:pPr>
              <w:suppressAutoHyphens/>
              <w:autoSpaceDN w:val="0"/>
              <w:spacing w:line="140" w:lineRule="exact"/>
              <w:jc w:val="right"/>
              <w:rPr>
                <w:rFonts w:ascii="Arial" w:eastAsia="Times New Roman" w:hAnsi="Arial" w:cs="Arial"/>
                <w:color w:val="000000" w:themeColor="text1"/>
                <w:sz w:val="18"/>
                <w:szCs w:val="18"/>
              </w:rPr>
            </w:pPr>
          </w:p>
        </w:tc>
      </w:tr>
      <w:tr w:rsidR="006A1846" w:rsidRPr="0056686B" w14:paraId="62FDF84E" w14:textId="77777777" w:rsidTr="004454D6">
        <w:trPr>
          <w:trHeight w:val="148"/>
        </w:trPr>
        <w:tc>
          <w:tcPr>
            <w:tcW w:w="5669" w:type="dxa"/>
            <w:tcBorders>
              <w:top w:val="nil"/>
              <w:left w:val="nil"/>
              <w:bottom w:val="nil"/>
              <w:right w:val="nil"/>
            </w:tcBorders>
            <w:shd w:val="clear" w:color="auto" w:fill="auto"/>
            <w:vAlign w:val="bottom"/>
          </w:tcPr>
          <w:p w14:paraId="49C0B586" w14:textId="77777777" w:rsidR="006A1846" w:rsidRPr="0056686B" w:rsidRDefault="006A1846" w:rsidP="004454D6">
            <w:pPr>
              <w:suppressAutoHyphens/>
              <w:autoSpaceDN w:val="0"/>
              <w:rPr>
                <w:rFonts w:ascii="Arial" w:eastAsia="Times New Roman" w:hAnsi="Arial" w:cs="Arial"/>
                <w:b/>
                <w:color w:val="000000" w:themeColor="text1"/>
                <w:sz w:val="18"/>
                <w:szCs w:val="18"/>
              </w:rPr>
            </w:pPr>
            <w:r w:rsidRPr="0056686B">
              <w:rPr>
                <w:rFonts w:ascii="Arial" w:eastAsia="Times New Roman" w:hAnsi="Arial" w:cs="Arial"/>
                <w:b/>
                <w:color w:val="000000" w:themeColor="text1"/>
                <w:sz w:val="18"/>
                <w:szCs w:val="18"/>
              </w:rPr>
              <w:t>Kratkotrajna imovina</w:t>
            </w:r>
          </w:p>
        </w:tc>
        <w:tc>
          <w:tcPr>
            <w:tcW w:w="1701" w:type="dxa"/>
            <w:shd w:val="clear" w:color="auto" w:fill="auto"/>
            <w:noWrap/>
            <w:vAlign w:val="bottom"/>
          </w:tcPr>
          <w:p w14:paraId="0100BDE9" w14:textId="77777777" w:rsidR="006A1846" w:rsidRPr="0056686B" w:rsidRDefault="006A1846" w:rsidP="004454D6">
            <w:pPr>
              <w:suppressAutoHyphens/>
              <w:autoSpaceDN w:val="0"/>
              <w:jc w:val="right"/>
              <w:rPr>
                <w:rFonts w:ascii="Arial" w:eastAsia="Times New Roman" w:hAnsi="Arial" w:cs="Arial"/>
                <w:color w:val="000000" w:themeColor="text1"/>
                <w:sz w:val="18"/>
                <w:szCs w:val="18"/>
              </w:rPr>
            </w:pPr>
          </w:p>
        </w:tc>
        <w:tc>
          <w:tcPr>
            <w:tcW w:w="1701" w:type="dxa"/>
            <w:shd w:val="clear" w:color="auto" w:fill="auto"/>
            <w:vAlign w:val="bottom"/>
          </w:tcPr>
          <w:p w14:paraId="14823A29" w14:textId="77777777" w:rsidR="006A1846" w:rsidRPr="0056686B" w:rsidRDefault="006A1846" w:rsidP="004454D6">
            <w:pPr>
              <w:suppressAutoHyphens/>
              <w:autoSpaceDN w:val="0"/>
              <w:jc w:val="right"/>
              <w:rPr>
                <w:rFonts w:ascii="Arial" w:eastAsia="Times New Roman" w:hAnsi="Arial" w:cs="Arial"/>
                <w:color w:val="000000" w:themeColor="text1"/>
                <w:sz w:val="18"/>
                <w:szCs w:val="18"/>
              </w:rPr>
            </w:pPr>
          </w:p>
        </w:tc>
      </w:tr>
      <w:tr w:rsidR="006A1846" w:rsidRPr="0056686B" w14:paraId="52483C11" w14:textId="77777777" w:rsidTr="004454D6">
        <w:trPr>
          <w:trHeight w:val="254"/>
        </w:trPr>
        <w:tc>
          <w:tcPr>
            <w:tcW w:w="5669" w:type="dxa"/>
            <w:tcBorders>
              <w:top w:val="nil"/>
              <w:left w:val="nil"/>
              <w:bottom w:val="nil"/>
              <w:right w:val="nil"/>
            </w:tcBorders>
            <w:shd w:val="clear" w:color="auto" w:fill="auto"/>
            <w:vAlign w:val="bottom"/>
          </w:tcPr>
          <w:p w14:paraId="442BC3A1" w14:textId="77777777" w:rsidR="006A1846" w:rsidRPr="0056686B" w:rsidRDefault="006A1846" w:rsidP="004454D6">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Ulaganja raspoloživa za prodaju</w:t>
            </w:r>
          </w:p>
        </w:tc>
        <w:tc>
          <w:tcPr>
            <w:tcW w:w="1701" w:type="dxa"/>
            <w:shd w:val="clear" w:color="auto" w:fill="auto"/>
            <w:noWrap/>
            <w:vAlign w:val="bottom"/>
          </w:tcPr>
          <w:p w14:paraId="5DFCE03D" w14:textId="77777777" w:rsidR="006A1846" w:rsidRPr="0056686B" w:rsidRDefault="006A1846" w:rsidP="004454D6">
            <w:pPr>
              <w:suppressAutoHyphens/>
              <w:autoSpaceDN w:val="0"/>
              <w:jc w:val="right"/>
              <w:rPr>
                <w:rFonts w:ascii="Arial" w:eastAsia="Times New Roman" w:hAnsi="Arial" w:cs="Arial"/>
                <w:color w:val="000000" w:themeColor="text1"/>
                <w:sz w:val="18"/>
                <w:szCs w:val="18"/>
              </w:rPr>
            </w:pPr>
            <w:r w:rsidRPr="00BA5396">
              <w:rPr>
                <w:rFonts w:ascii="Arial" w:eastAsia="Times New Roman" w:hAnsi="Arial" w:cs="Arial"/>
                <w:color w:val="000000" w:themeColor="text1"/>
                <w:sz w:val="18"/>
                <w:szCs w:val="18"/>
              </w:rPr>
              <w:t>5.709</w:t>
            </w:r>
          </w:p>
        </w:tc>
        <w:tc>
          <w:tcPr>
            <w:tcW w:w="1701" w:type="dxa"/>
            <w:shd w:val="clear" w:color="auto" w:fill="auto"/>
            <w:vAlign w:val="bottom"/>
          </w:tcPr>
          <w:p w14:paraId="49335B74" w14:textId="77777777" w:rsidR="006A1846" w:rsidRPr="0056686B" w:rsidRDefault="006A1846" w:rsidP="004454D6">
            <w:pPr>
              <w:suppressAutoHyphens/>
              <w:autoSpaceDN w:val="0"/>
              <w:jc w:val="right"/>
              <w:rPr>
                <w:rFonts w:ascii="Arial" w:eastAsia="Times New Roman" w:hAnsi="Arial" w:cs="Arial"/>
                <w:color w:val="000000" w:themeColor="text1"/>
                <w:sz w:val="18"/>
                <w:szCs w:val="18"/>
              </w:rPr>
            </w:pPr>
            <w:r w:rsidRPr="00324DAF">
              <w:rPr>
                <w:rFonts w:ascii="Arial" w:hAnsi="Arial" w:cs="Arial"/>
                <w:color w:val="000000" w:themeColor="text1"/>
                <w:sz w:val="18"/>
                <w:szCs w:val="18"/>
              </w:rPr>
              <w:t>6.342</w:t>
            </w:r>
          </w:p>
        </w:tc>
      </w:tr>
      <w:tr w:rsidR="006A1846" w:rsidRPr="0056686B" w14:paraId="215D1843" w14:textId="77777777" w:rsidTr="004454D6">
        <w:trPr>
          <w:trHeight w:val="254"/>
        </w:trPr>
        <w:tc>
          <w:tcPr>
            <w:tcW w:w="5669" w:type="dxa"/>
            <w:tcBorders>
              <w:top w:val="nil"/>
              <w:left w:val="nil"/>
              <w:bottom w:val="nil"/>
              <w:right w:val="nil"/>
            </w:tcBorders>
            <w:shd w:val="clear" w:color="auto" w:fill="auto"/>
            <w:vAlign w:val="bottom"/>
          </w:tcPr>
          <w:p w14:paraId="38354A98" w14:textId="77777777" w:rsidR="006A1846" w:rsidRPr="0056686B" w:rsidRDefault="006A1846" w:rsidP="004454D6">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Depoziti u bankama</w:t>
            </w:r>
          </w:p>
        </w:tc>
        <w:tc>
          <w:tcPr>
            <w:tcW w:w="1701" w:type="dxa"/>
            <w:shd w:val="clear" w:color="auto" w:fill="auto"/>
            <w:noWrap/>
            <w:vAlign w:val="bottom"/>
          </w:tcPr>
          <w:p w14:paraId="6F7B6AB4" w14:textId="77777777" w:rsidR="006A1846" w:rsidRPr="0056686B" w:rsidRDefault="006A1846" w:rsidP="004454D6">
            <w:pPr>
              <w:suppressAutoHyphens/>
              <w:autoSpaceDN w:val="0"/>
              <w:jc w:val="right"/>
              <w:rPr>
                <w:rFonts w:ascii="Arial" w:eastAsia="Times New Roman" w:hAnsi="Arial" w:cs="Arial"/>
                <w:color w:val="000000" w:themeColor="text1"/>
                <w:sz w:val="18"/>
                <w:szCs w:val="18"/>
              </w:rPr>
            </w:pPr>
            <w:r w:rsidRPr="00BA5396">
              <w:rPr>
                <w:rFonts w:ascii="Arial" w:eastAsia="Times New Roman" w:hAnsi="Arial" w:cs="Arial"/>
                <w:color w:val="000000" w:themeColor="text1"/>
                <w:sz w:val="18"/>
                <w:szCs w:val="18"/>
              </w:rPr>
              <w:t>3.864</w:t>
            </w:r>
          </w:p>
        </w:tc>
        <w:tc>
          <w:tcPr>
            <w:tcW w:w="1701" w:type="dxa"/>
            <w:shd w:val="clear" w:color="auto" w:fill="auto"/>
            <w:vAlign w:val="bottom"/>
          </w:tcPr>
          <w:p w14:paraId="6CB97226" w14:textId="77777777" w:rsidR="006A1846" w:rsidRPr="0056686B" w:rsidRDefault="006A1846" w:rsidP="004454D6">
            <w:pPr>
              <w:suppressAutoHyphens/>
              <w:autoSpaceDN w:val="0"/>
              <w:jc w:val="right"/>
              <w:rPr>
                <w:rFonts w:ascii="Arial" w:eastAsia="Times New Roman" w:hAnsi="Arial" w:cs="Arial"/>
                <w:color w:val="000000" w:themeColor="text1"/>
                <w:sz w:val="18"/>
                <w:szCs w:val="18"/>
              </w:rPr>
            </w:pPr>
            <w:r w:rsidRPr="00324DAF">
              <w:rPr>
                <w:rFonts w:ascii="Arial" w:hAnsi="Arial" w:cs="Arial"/>
                <w:color w:val="000000" w:themeColor="text1"/>
                <w:sz w:val="18"/>
                <w:szCs w:val="18"/>
              </w:rPr>
              <w:t>2.305</w:t>
            </w:r>
          </w:p>
        </w:tc>
      </w:tr>
      <w:tr w:rsidR="006A1846" w:rsidRPr="0056686B" w14:paraId="3CBF3A16" w14:textId="77777777" w:rsidTr="004454D6">
        <w:trPr>
          <w:trHeight w:val="254"/>
        </w:trPr>
        <w:tc>
          <w:tcPr>
            <w:tcW w:w="5669" w:type="dxa"/>
            <w:tcBorders>
              <w:top w:val="nil"/>
              <w:left w:val="nil"/>
              <w:bottom w:val="nil"/>
              <w:right w:val="nil"/>
            </w:tcBorders>
            <w:shd w:val="clear" w:color="auto" w:fill="auto"/>
            <w:vAlign w:val="bottom"/>
          </w:tcPr>
          <w:p w14:paraId="0B7890F1" w14:textId="77777777" w:rsidR="006A1846" w:rsidRPr="0056686B" w:rsidRDefault="006A1846" w:rsidP="004454D6">
            <w:pPr>
              <w:suppressAutoHyphens/>
              <w:autoSpaceDN w:val="0"/>
              <w:rPr>
                <w:rFonts w:ascii="Arial" w:eastAsia="Times New Roman" w:hAnsi="Arial" w:cs="Arial"/>
                <w:color w:val="000000" w:themeColor="text1"/>
                <w:sz w:val="18"/>
                <w:szCs w:val="18"/>
              </w:rPr>
            </w:pPr>
            <w:r w:rsidRPr="004E1C27">
              <w:rPr>
                <w:rFonts w:ascii="Arial" w:eastAsia="Times New Roman" w:hAnsi="Arial" w:cs="Arial"/>
                <w:color w:val="000000" w:themeColor="text1"/>
                <w:sz w:val="18"/>
                <w:szCs w:val="18"/>
              </w:rPr>
              <w:t>Imovina iz ugovora o reosiguranju</w:t>
            </w:r>
          </w:p>
        </w:tc>
        <w:tc>
          <w:tcPr>
            <w:tcW w:w="1701" w:type="dxa"/>
            <w:shd w:val="clear" w:color="auto" w:fill="auto"/>
            <w:noWrap/>
            <w:vAlign w:val="bottom"/>
          </w:tcPr>
          <w:p w14:paraId="2B5D35C9" w14:textId="77777777" w:rsidR="006A1846" w:rsidRPr="004E1C27" w:rsidRDefault="006A1846" w:rsidP="004454D6">
            <w:pPr>
              <w:suppressAutoHyphens/>
              <w:autoSpaceDN w:val="0"/>
              <w:jc w:val="right"/>
              <w:rPr>
                <w:rFonts w:ascii="Arial" w:eastAsia="Times New Roman" w:hAnsi="Arial" w:cs="Arial"/>
                <w:color w:val="000000" w:themeColor="text1"/>
                <w:sz w:val="18"/>
                <w:szCs w:val="18"/>
              </w:rPr>
            </w:pPr>
            <w:r w:rsidRPr="00BA5396">
              <w:rPr>
                <w:rFonts w:ascii="Arial" w:eastAsia="Times New Roman" w:hAnsi="Arial" w:cs="Arial"/>
                <w:color w:val="000000" w:themeColor="text1"/>
                <w:sz w:val="18"/>
                <w:szCs w:val="18"/>
              </w:rPr>
              <w:t>583</w:t>
            </w:r>
          </w:p>
        </w:tc>
        <w:tc>
          <w:tcPr>
            <w:tcW w:w="1701" w:type="dxa"/>
            <w:shd w:val="clear" w:color="auto" w:fill="auto"/>
            <w:vAlign w:val="bottom"/>
          </w:tcPr>
          <w:p w14:paraId="31E51765" w14:textId="77777777" w:rsidR="006A1846" w:rsidRPr="00D81915" w:rsidRDefault="006A1846" w:rsidP="004454D6">
            <w:pPr>
              <w:suppressAutoHyphens/>
              <w:autoSpaceDN w:val="0"/>
              <w:jc w:val="right"/>
              <w:rPr>
                <w:rFonts w:ascii="Arial" w:eastAsia="Times New Roman" w:hAnsi="Arial" w:cs="Arial"/>
                <w:color w:val="000000" w:themeColor="text1"/>
                <w:sz w:val="18"/>
                <w:szCs w:val="18"/>
              </w:rPr>
            </w:pPr>
            <w:r>
              <w:rPr>
                <w:rFonts w:ascii="Arial" w:hAnsi="Arial" w:cs="Arial"/>
                <w:color w:val="000000" w:themeColor="text1"/>
                <w:sz w:val="18"/>
                <w:szCs w:val="18"/>
              </w:rPr>
              <w:t>733</w:t>
            </w:r>
          </w:p>
        </w:tc>
      </w:tr>
      <w:tr w:rsidR="006A1846" w:rsidRPr="0056686B" w14:paraId="7CD7DCC9" w14:textId="77777777" w:rsidTr="004454D6">
        <w:trPr>
          <w:trHeight w:val="254"/>
        </w:trPr>
        <w:tc>
          <w:tcPr>
            <w:tcW w:w="5669" w:type="dxa"/>
            <w:tcBorders>
              <w:top w:val="nil"/>
              <w:left w:val="nil"/>
              <w:bottom w:val="nil"/>
              <w:right w:val="nil"/>
            </w:tcBorders>
            <w:shd w:val="clear" w:color="auto" w:fill="auto"/>
            <w:vAlign w:val="bottom"/>
          </w:tcPr>
          <w:p w14:paraId="0F2420E8" w14:textId="77777777" w:rsidR="006A1846" w:rsidRPr="0056686B" w:rsidRDefault="006A1846" w:rsidP="004454D6">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Potraživanja iz poslova osiguranja</w:t>
            </w:r>
          </w:p>
        </w:tc>
        <w:tc>
          <w:tcPr>
            <w:tcW w:w="1701" w:type="dxa"/>
            <w:shd w:val="clear" w:color="auto" w:fill="auto"/>
            <w:noWrap/>
            <w:vAlign w:val="bottom"/>
          </w:tcPr>
          <w:p w14:paraId="780F1F9F" w14:textId="77777777" w:rsidR="006A1846" w:rsidRPr="0056686B" w:rsidRDefault="006A1846" w:rsidP="004454D6">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701" w:type="dxa"/>
            <w:shd w:val="clear" w:color="auto" w:fill="auto"/>
            <w:vAlign w:val="bottom"/>
          </w:tcPr>
          <w:p w14:paraId="773D1191" w14:textId="77777777" w:rsidR="006A1846" w:rsidRPr="0056686B" w:rsidRDefault="006A1846" w:rsidP="004454D6">
            <w:pPr>
              <w:suppressAutoHyphens/>
              <w:autoSpaceDN w:val="0"/>
              <w:jc w:val="right"/>
              <w:rPr>
                <w:rFonts w:ascii="Arial" w:eastAsia="Times New Roman" w:hAnsi="Arial" w:cs="Arial"/>
                <w:color w:val="000000" w:themeColor="text1"/>
                <w:sz w:val="18"/>
                <w:szCs w:val="18"/>
              </w:rPr>
            </w:pPr>
            <w:r>
              <w:rPr>
                <w:rFonts w:ascii="Arial" w:hAnsi="Arial" w:cs="Arial"/>
                <w:color w:val="000000" w:themeColor="text1"/>
                <w:sz w:val="18"/>
                <w:szCs w:val="18"/>
              </w:rPr>
              <w:t>-</w:t>
            </w:r>
          </w:p>
        </w:tc>
      </w:tr>
      <w:tr w:rsidR="006A1846" w:rsidRPr="0056686B" w14:paraId="0C1A6A43" w14:textId="77777777" w:rsidTr="004454D6">
        <w:trPr>
          <w:trHeight w:val="254"/>
        </w:trPr>
        <w:tc>
          <w:tcPr>
            <w:tcW w:w="5669" w:type="dxa"/>
            <w:tcBorders>
              <w:top w:val="nil"/>
              <w:left w:val="nil"/>
              <w:bottom w:val="nil"/>
              <w:right w:val="nil"/>
            </w:tcBorders>
            <w:shd w:val="clear" w:color="auto" w:fill="auto"/>
            <w:vAlign w:val="bottom"/>
          </w:tcPr>
          <w:p w14:paraId="003E07A1" w14:textId="77777777" w:rsidR="006A1846" w:rsidRPr="0056686B" w:rsidRDefault="006A1846" w:rsidP="004454D6">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Ostala potraživanja</w:t>
            </w:r>
          </w:p>
        </w:tc>
        <w:tc>
          <w:tcPr>
            <w:tcW w:w="1701" w:type="dxa"/>
            <w:shd w:val="clear" w:color="auto" w:fill="auto"/>
            <w:noWrap/>
            <w:vAlign w:val="bottom"/>
          </w:tcPr>
          <w:p w14:paraId="66B761A9" w14:textId="77777777" w:rsidR="006A1846" w:rsidRPr="0056686B" w:rsidRDefault="006A1846" w:rsidP="004454D6">
            <w:pPr>
              <w:suppressAutoHyphens/>
              <w:autoSpaceDN w:val="0"/>
              <w:jc w:val="right"/>
              <w:rPr>
                <w:rFonts w:ascii="Arial" w:eastAsia="Times New Roman" w:hAnsi="Arial" w:cs="Arial"/>
                <w:color w:val="000000" w:themeColor="text1"/>
                <w:sz w:val="18"/>
                <w:szCs w:val="18"/>
              </w:rPr>
            </w:pPr>
            <w:r w:rsidRPr="00BA5396">
              <w:rPr>
                <w:rFonts w:ascii="Arial" w:eastAsia="Times New Roman" w:hAnsi="Arial" w:cs="Arial"/>
                <w:color w:val="000000" w:themeColor="text1"/>
                <w:sz w:val="18"/>
                <w:szCs w:val="18"/>
              </w:rPr>
              <w:t>63</w:t>
            </w:r>
          </w:p>
        </w:tc>
        <w:tc>
          <w:tcPr>
            <w:tcW w:w="1701" w:type="dxa"/>
            <w:shd w:val="clear" w:color="auto" w:fill="auto"/>
            <w:vAlign w:val="bottom"/>
          </w:tcPr>
          <w:p w14:paraId="242A76C0" w14:textId="77777777" w:rsidR="006A1846" w:rsidRPr="0056686B" w:rsidRDefault="006A1846" w:rsidP="004454D6">
            <w:pPr>
              <w:suppressAutoHyphens/>
              <w:autoSpaceDN w:val="0"/>
              <w:jc w:val="right"/>
              <w:rPr>
                <w:rFonts w:ascii="Arial" w:eastAsia="Times New Roman" w:hAnsi="Arial" w:cs="Arial"/>
                <w:color w:val="000000" w:themeColor="text1"/>
                <w:sz w:val="18"/>
                <w:szCs w:val="18"/>
              </w:rPr>
            </w:pPr>
            <w:r>
              <w:rPr>
                <w:rFonts w:ascii="Arial" w:hAnsi="Arial" w:cs="Arial"/>
                <w:color w:val="000000" w:themeColor="text1"/>
                <w:sz w:val="18"/>
                <w:szCs w:val="18"/>
              </w:rPr>
              <w:t>46</w:t>
            </w:r>
          </w:p>
        </w:tc>
      </w:tr>
      <w:tr w:rsidR="006A1846" w:rsidRPr="0056686B" w14:paraId="22C66AA6" w14:textId="77777777" w:rsidTr="004454D6">
        <w:trPr>
          <w:trHeight w:val="254"/>
        </w:trPr>
        <w:tc>
          <w:tcPr>
            <w:tcW w:w="5669" w:type="dxa"/>
            <w:tcBorders>
              <w:top w:val="nil"/>
              <w:left w:val="nil"/>
              <w:bottom w:val="nil"/>
              <w:right w:val="nil"/>
            </w:tcBorders>
            <w:shd w:val="clear" w:color="auto" w:fill="auto"/>
            <w:vAlign w:val="bottom"/>
          </w:tcPr>
          <w:p w14:paraId="6C6B3CE4" w14:textId="77777777" w:rsidR="006A1846" w:rsidRPr="0056686B" w:rsidRDefault="006A1846" w:rsidP="004454D6">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Novac i novčani ekvivalenti</w:t>
            </w:r>
          </w:p>
        </w:tc>
        <w:tc>
          <w:tcPr>
            <w:tcW w:w="1701" w:type="dxa"/>
            <w:tcBorders>
              <w:top w:val="nil"/>
              <w:left w:val="nil"/>
              <w:bottom w:val="single" w:sz="4" w:space="0" w:color="auto"/>
              <w:right w:val="nil"/>
            </w:tcBorders>
            <w:shd w:val="clear" w:color="auto" w:fill="auto"/>
            <w:noWrap/>
            <w:vAlign w:val="bottom"/>
          </w:tcPr>
          <w:p w14:paraId="690BEBA4" w14:textId="77777777" w:rsidR="006A1846" w:rsidRPr="0056686B" w:rsidRDefault="006A1846" w:rsidP="004454D6">
            <w:pPr>
              <w:suppressAutoHyphens/>
              <w:autoSpaceDN w:val="0"/>
              <w:jc w:val="right"/>
              <w:rPr>
                <w:rFonts w:ascii="Arial" w:eastAsia="Times New Roman" w:hAnsi="Arial" w:cs="Arial"/>
                <w:color w:val="000000" w:themeColor="text1"/>
                <w:sz w:val="18"/>
                <w:szCs w:val="18"/>
              </w:rPr>
            </w:pPr>
            <w:r w:rsidRPr="00BA5396">
              <w:rPr>
                <w:rFonts w:ascii="Arial" w:eastAsia="Times New Roman" w:hAnsi="Arial" w:cs="Arial"/>
                <w:color w:val="000000" w:themeColor="text1"/>
                <w:sz w:val="18"/>
                <w:szCs w:val="18"/>
              </w:rPr>
              <w:t>163</w:t>
            </w:r>
          </w:p>
        </w:tc>
        <w:tc>
          <w:tcPr>
            <w:tcW w:w="1701" w:type="dxa"/>
            <w:tcBorders>
              <w:top w:val="nil"/>
              <w:left w:val="nil"/>
              <w:bottom w:val="single" w:sz="4" w:space="0" w:color="auto"/>
              <w:right w:val="nil"/>
            </w:tcBorders>
            <w:shd w:val="clear" w:color="auto" w:fill="auto"/>
            <w:vAlign w:val="bottom"/>
          </w:tcPr>
          <w:p w14:paraId="095BD350" w14:textId="77777777" w:rsidR="006A1846" w:rsidRPr="0056686B" w:rsidRDefault="006A1846" w:rsidP="004454D6">
            <w:pPr>
              <w:suppressAutoHyphens/>
              <w:autoSpaceDN w:val="0"/>
              <w:jc w:val="right"/>
              <w:rPr>
                <w:rFonts w:ascii="Arial" w:eastAsia="Times New Roman" w:hAnsi="Arial" w:cs="Arial"/>
                <w:color w:val="000000" w:themeColor="text1"/>
                <w:sz w:val="18"/>
                <w:szCs w:val="18"/>
              </w:rPr>
            </w:pPr>
            <w:r>
              <w:rPr>
                <w:rFonts w:ascii="Arial" w:hAnsi="Arial" w:cs="Arial"/>
                <w:color w:val="000000" w:themeColor="text1"/>
                <w:sz w:val="18"/>
                <w:szCs w:val="18"/>
              </w:rPr>
              <w:t>590</w:t>
            </w:r>
          </w:p>
        </w:tc>
      </w:tr>
      <w:tr w:rsidR="006A1846" w:rsidRPr="0056686B" w14:paraId="11F0D389" w14:textId="77777777" w:rsidTr="004454D6">
        <w:trPr>
          <w:trHeight w:val="190"/>
        </w:trPr>
        <w:tc>
          <w:tcPr>
            <w:tcW w:w="5669" w:type="dxa"/>
            <w:tcBorders>
              <w:left w:val="nil"/>
              <w:right w:val="nil"/>
            </w:tcBorders>
            <w:shd w:val="clear" w:color="auto" w:fill="auto"/>
            <w:vAlign w:val="bottom"/>
          </w:tcPr>
          <w:p w14:paraId="30F619D4" w14:textId="77777777" w:rsidR="006A1846" w:rsidRPr="0056686B" w:rsidRDefault="006A1846" w:rsidP="004454D6">
            <w:pPr>
              <w:suppressAutoHyphens/>
              <w:autoSpaceDN w:val="0"/>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Ukupna kratkotrajna imovina</w:t>
            </w:r>
          </w:p>
        </w:tc>
        <w:tc>
          <w:tcPr>
            <w:tcW w:w="1701" w:type="dxa"/>
            <w:tcBorders>
              <w:top w:val="single" w:sz="4" w:space="0" w:color="auto"/>
              <w:left w:val="nil"/>
              <w:bottom w:val="single" w:sz="12" w:space="0" w:color="auto"/>
              <w:right w:val="nil"/>
            </w:tcBorders>
            <w:shd w:val="clear" w:color="auto" w:fill="auto"/>
            <w:noWrap/>
            <w:vAlign w:val="bottom"/>
          </w:tcPr>
          <w:p w14:paraId="6C49A458" w14:textId="77777777" w:rsidR="006A1846" w:rsidRPr="0056686B" w:rsidRDefault="006A1846" w:rsidP="004454D6">
            <w:pPr>
              <w:suppressAutoHyphens/>
              <w:autoSpaceDN w:val="0"/>
              <w:jc w:val="right"/>
              <w:rPr>
                <w:rFonts w:ascii="Arial" w:eastAsia="Times New Roman" w:hAnsi="Arial" w:cs="Arial"/>
                <w:b/>
                <w:bCs/>
                <w:color w:val="000000" w:themeColor="text1"/>
                <w:sz w:val="18"/>
                <w:szCs w:val="18"/>
              </w:rPr>
            </w:pPr>
            <w:r w:rsidRPr="00BA5396">
              <w:rPr>
                <w:rFonts w:ascii="Arial" w:eastAsia="Times New Roman" w:hAnsi="Arial" w:cs="Arial"/>
                <w:b/>
                <w:bCs/>
                <w:color w:val="000000" w:themeColor="text1"/>
                <w:sz w:val="18"/>
                <w:szCs w:val="18"/>
              </w:rPr>
              <w:t>10.382</w:t>
            </w:r>
          </w:p>
        </w:tc>
        <w:tc>
          <w:tcPr>
            <w:tcW w:w="1701" w:type="dxa"/>
            <w:tcBorders>
              <w:top w:val="single" w:sz="4" w:space="0" w:color="auto"/>
              <w:left w:val="nil"/>
              <w:bottom w:val="single" w:sz="12" w:space="0" w:color="auto"/>
              <w:right w:val="nil"/>
            </w:tcBorders>
            <w:shd w:val="clear" w:color="auto" w:fill="auto"/>
            <w:vAlign w:val="bottom"/>
          </w:tcPr>
          <w:p w14:paraId="6032A500" w14:textId="77777777" w:rsidR="006A1846" w:rsidRPr="0056686B" w:rsidRDefault="006A1846" w:rsidP="004454D6">
            <w:pPr>
              <w:suppressAutoHyphens/>
              <w:autoSpaceDN w:val="0"/>
              <w:jc w:val="right"/>
              <w:rPr>
                <w:rFonts w:ascii="Arial" w:eastAsia="Times New Roman" w:hAnsi="Arial" w:cs="Arial"/>
                <w:b/>
                <w:bCs/>
                <w:color w:val="000000" w:themeColor="text1"/>
                <w:sz w:val="18"/>
                <w:szCs w:val="18"/>
              </w:rPr>
            </w:pPr>
            <w:r w:rsidRPr="00324DAF">
              <w:rPr>
                <w:rFonts w:ascii="Arial" w:hAnsi="Arial" w:cs="Arial"/>
                <w:b/>
                <w:bCs/>
                <w:color w:val="000000" w:themeColor="text1"/>
                <w:sz w:val="18"/>
                <w:szCs w:val="18"/>
              </w:rPr>
              <w:t>10.016</w:t>
            </w:r>
          </w:p>
        </w:tc>
      </w:tr>
      <w:tr w:rsidR="006A1846" w:rsidRPr="0056686B" w14:paraId="16C80008" w14:textId="77777777" w:rsidTr="004454D6">
        <w:trPr>
          <w:trHeight w:val="56"/>
        </w:trPr>
        <w:tc>
          <w:tcPr>
            <w:tcW w:w="5669" w:type="dxa"/>
            <w:tcBorders>
              <w:left w:val="nil"/>
              <w:bottom w:val="nil"/>
              <w:right w:val="nil"/>
            </w:tcBorders>
            <w:shd w:val="clear" w:color="auto" w:fill="auto"/>
            <w:vAlign w:val="bottom"/>
          </w:tcPr>
          <w:p w14:paraId="5EEFDCC6" w14:textId="77777777" w:rsidR="006A1846" w:rsidRPr="0056686B" w:rsidRDefault="006A1846" w:rsidP="004454D6">
            <w:pPr>
              <w:suppressAutoHyphens/>
              <w:autoSpaceDN w:val="0"/>
              <w:spacing w:line="140" w:lineRule="exact"/>
              <w:rPr>
                <w:rFonts w:ascii="Arial" w:eastAsia="Times New Roman" w:hAnsi="Arial" w:cs="Arial"/>
                <w:color w:val="000000" w:themeColor="text1"/>
                <w:sz w:val="18"/>
                <w:szCs w:val="18"/>
              </w:rPr>
            </w:pPr>
          </w:p>
        </w:tc>
        <w:tc>
          <w:tcPr>
            <w:tcW w:w="1701" w:type="dxa"/>
            <w:tcBorders>
              <w:top w:val="single" w:sz="12" w:space="0" w:color="auto"/>
              <w:left w:val="nil"/>
              <w:bottom w:val="single" w:sz="4" w:space="0" w:color="auto"/>
              <w:right w:val="nil"/>
            </w:tcBorders>
            <w:shd w:val="clear" w:color="auto" w:fill="auto"/>
            <w:noWrap/>
            <w:vAlign w:val="bottom"/>
          </w:tcPr>
          <w:p w14:paraId="32F58600" w14:textId="77777777" w:rsidR="006A1846" w:rsidRPr="0056686B" w:rsidRDefault="006A1846" w:rsidP="004454D6">
            <w:pPr>
              <w:suppressAutoHyphens/>
              <w:autoSpaceDN w:val="0"/>
              <w:spacing w:line="140" w:lineRule="exact"/>
              <w:jc w:val="right"/>
              <w:rPr>
                <w:rFonts w:ascii="Arial" w:eastAsia="Times New Roman" w:hAnsi="Arial" w:cs="Arial"/>
                <w:color w:val="000000" w:themeColor="text1"/>
                <w:sz w:val="18"/>
                <w:szCs w:val="18"/>
              </w:rPr>
            </w:pPr>
          </w:p>
        </w:tc>
        <w:tc>
          <w:tcPr>
            <w:tcW w:w="1701" w:type="dxa"/>
            <w:tcBorders>
              <w:top w:val="single" w:sz="12" w:space="0" w:color="auto"/>
              <w:left w:val="nil"/>
              <w:bottom w:val="single" w:sz="4" w:space="0" w:color="auto"/>
              <w:right w:val="nil"/>
            </w:tcBorders>
            <w:shd w:val="clear" w:color="auto" w:fill="auto"/>
            <w:vAlign w:val="bottom"/>
          </w:tcPr>
          <w:p w14:paraId="10228153" w14:textId="77777777" w:rsidR="006A1846" w:rsidRPr="0056686B" w:rsidRDefault="006A1846" w:rsidP="004454D6">
            <w:pPr>
              <w:suppressAutoHyphens/>
              <w:autoSpaceDN w:val="0"/>
              <w:spacing w:line="140" w:lineRule="exact"/>
              <w:jc w:val="right"/>
              <w:rPr>
                <w:rFonts w:ascii="Arial" w:eastAsia="Times New Roman" w:hAnsi="Arial" w:cs="Arial"/>
                <w:color w:val="000000" w:themeColor="text1"/>
                <w:sz w:val="18"/>
                <w:szCs w:val="18"/>
              </w:rPr>
            </w:pPr>
          </w:p>
        </w:tc>
      </w:tr>
      <w:tr w:rsidR="006A1846" w:rsidRPr="0056686B" w14:paraId="7976DE2F" w14:textId="77777777" w:rsidTr="004454D6">
        <w:trPr>
          <w:trHeight w:val="220"/>
        </w:trPr>
        <w:tc>
          <w:tcPr>
            <w:tcW w:w="5669" w:type="dxa"/>
            <w:tcBorders>
              <w:top w:val="nil"/>
              <w:left w:val="nil"/>
              <w:bottom w:val="nil"/>
              <w:right w:val="nil"/>
            </w:tcBorders>
            <w:shd w:val="clear" w:color="auto" w:fill="auto"/>
            <w:vAlign w:val="bottom"/>
          </w:tcPr>
          <w:p w14:paraId="11B5F333" w14:textId="77777777" w:rsidR="006A1846" w:rsidRPr="0056686B" w:rsidRDefault="006A1846" w:rsidP="004454D6">
            <w:pPr>
              <w:suppressAutoHyphens/>
              <w:autoSpaceDN w:val="0"/>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Ukupna imovina</w:t>
            </w:r>
          </w:p>
        </w:tc>
        <w:tc>
          <w:tcPr>
            <w:tcW w:w="1701" w:type="dxa"/>
            <w:tcBorders>
              <w:top w:val="single" w:sz="4" w:space="0" w:color="auto"/>
              <w:left w:val="nil"/>
              <w:bottom w:val="single" w:sz="12" w:space="0" w:color="auto"/>
              <w:right w:val="nil"/>
            </w:tcBorders>
            <w:shd w:val="clear" w:color="auto" w:fill="auto"/>
            <w:noWrap/>
            <w:vAlign w:val="bottom"/>
          </w:tcPr>
          <w:p w14:paraId="0C3F992A" w14:textId="77777777" w:rsidR="006A1846" w:rsidRPr="0056686B" w:rsidRDefault="006A1846" w:rsidP="004454D6">
            <w:pPr>
              <w:suppressAutoHyphens/>
              <w:autoSpaceDN w:val="0"/>
              <w:jc w:val="right"/>
              <w:rPr>
                <w:rFonts w:ascii="Arial" w:eastAsia="Times New Roman" w:hAnsi="Arial" w:cs="Arial"/>
                <w:b/>
                <w:bCs/>
                <w:color w:val="000000" w:themeColor="text1"/>
                <w:sz w:val="18"/>
                <w:szCs w:val="18"/>
              </w:rPr>
            </w:pPr>
            <w:r w:rsidRPr="00BA5396">
              <w:rPr>
                <w:rFonts w:ascii="Arial" w:eastAsia="Times New Roman" w:hAnsi="Arial" w:cs="Arial"/>
                <w:b/>
                <w:bCs/>
                <w:color w:val="000000" w:themeColor="text1"/>
                <w:sz w:val="18"/>
                <w:szCs w:val="18"/>
              </w:rPr>
              <w:t>10.753</w:t>
            </w:r>
          </w:p>
        </w:tc>
        <w:tc>
          <w:tcPr>
            <w:tcW w:w="1701" w:type="dxa"/>
            <w:tcBorders>
              <w:top w:val="single" w:sz="4" w:space="0" w:color="auto"/>
              <w:left w:val="nil"/>
              <w:bottom w:val="single" w:sz="12" w:space="0" w:color="auto"/>
              <w:right w:val="nil"/>
            </w:tcBorders>
            <w:shd w:val="clear" w:color="auto" w:fill="auto"/>
            <w:vAlign w:val="bottom"/>
          </w:tcPr>
          <w:p w14:paraId="7EE3851E" w14:textId="77777777" w:rsidR="006A1846" w:rsidRPr="0056686B" w:rsidRDefault="006A1846" w:rsidP="004454D6">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10.301</w:t>
            </w:r>
          </w:p>
        </w:tc>
      </w:tr>
      <w:tr w:rsidR="006A1846" w:rsidRPr="0056686B" w14:paraId="67FF8D63" w14:textId="77777777" w:rsidTr="004454D6">
        <w:trPr>
          <w:trHeight w:val="74"/>
        </w:trPr>
        <w:tc>
          <w:tcPr>
            <w:tcW w:w="5669" w:type="dxa"/>
            <w:tcBorders>
              <w:top w:val="nil"/>
              <w:left w:val="nil"/>
              <w:bottom w:val="nil"/>
              <w:right w:val="nil"/>
            </w:tcBorders>
            <w:shd w:val="clear" w:color="auto" w:fill="auto"/>
            <w:vAlign w:val="bottom"/>
          </w:tcPr>
          <w:p w14:paraId="6036AEE1" w14:textId="77777777" w:rsidR="006A1846" w:rsidRPr="0056686B" w:rsidRDefault="006A1846" w:rsidP="004454D6">
            <w:pPr>
              <w:suppressAutoHyphens/>
              <w:autoSpaceDN w:val="0"/>
              <w:spacing w:line="140" w:lineRule="exact"/>
              <w:rPr>
                <w:rFonts w:ascii="Arial" w:eastAsia="Times New Roman" w:hAnsi="Arial" w:cs="Arial"/>
                <w:color w:val="000000" w:themeColor="text1"/>
                <w:sz w:val="18"/>
                <w:szCs w:val="18"/>
              </w:rPr>
            </w:pPr>
          </w:p>
        </w:tc>
        <w:tc>
          <w:tcPr>
            <w:tcW w:w="1701" w:type="dxa"/>
            <w:tcBorders>
              <w:top w:val="single" w:sz="12" w:space="0" w:color="auto"/>
              <w:left w:val="nil"/>
              <w:bottom w:val="nil"/>
              <w:right w:val="nil"/>
            </w:tcBorders>
            <w:shd w:val="clear" w:color="auto" w:fill="auto"/>
            <w:noWrap/>
            <w:vAlign w:val="bottom"/>
          </w:tcPr>
          <w:p w14:paraId="2CDFC6AE" w14:textId="77777777" w:rsidR="006A1846" w:rsidRPr="0056686B" w:rsidRDefault="006A1846" w:rsidP="004454D6">
            <w:pPr>
              <w:suppressAutoHyphens/>
              <w:autoSpaceDN w:val="0"/>
              <w:spacing w:line="140" w:lineRule="exact"/>
              <w:jc w:val="right"/>
              <w:rPr>
                <w:rFonts w:ascii="Arial" w:eastAsia="Times New Roman" w:hAnsi="Arial" w:cs="Arial"/>
                <w:bCs/>
                <w:color w:val="000000" w:themeColor="text1"/>
                <w:sz w:val="18"/>
                <w:szCs w:val="18"/>
              </w:rPr>
            </w:pPr>
          </w:p>
        </w:tc>
        <w:tc>
          <w:tcPr>
            <w:tcW w:w="1701" w:type="dxa"/>
            <w:tcBorders>
              <w:top w:val="single" w:sz="12" w:space="0" w:color="auto"/>
              <w:left w:val="nil"/>
              <w:bottom w:val="nil"/>
              <w:right w:val="nil"/>
            </w:tcBorders>
            <w:shd w:val="clear" w:color="auto" w:fill="auto"/>
            <w:vAlign w:val="bottom"/>
          </w:tcPr>
          <w:p w14:paraId="1FD5CBFE" w14:textId="77777777" w:rsidR="006A1846" w:rsidRPr="0056686B" w:rsidRDefault="006A1846" w:rsidP="004454D6">
            <w:pPr>
              <w:suppressAutoHyphens/>
              <w:autoSpaceDN w:val="0"/>
              <w:spacing w:line="140" w:lineRule="exact"/>
              <w:jc w:val="right"/>
              <w:rPr>
                <w:rFonts w:ascii="Arial" w:eastAsia="Times New Roman" w:hAnsi="Arial" w:cs="Arial"/>
                <w:bCs/>
                <w:color w:val="000000" w:themeColor="text1"/>
                <w:sz w:val="18"/>
                <w:szCs w:val="18"/>
              </w:rPr>
            </w:pPr>
          </w:p>
        </w:tc>
      </w:tr>
      <w:tr w:rsidR="006A1846" w:rsidRPr="0056686B" w14:paraId="3AC0C3D9" w14:textId="77777777" w:rsidTr="004454D6">
        <w:trPr>
          <w:trHeight w:val="196"/>
        </w:trPr>
        <w:tc>
          <w:tcPr>
            <w:tcW w:w="5669" w:type="dxa"/>
            <w:tcBorders>
              <w:top w:val="nil"/>
              <w:left w:val="nil"/>
              <w:bottom w:val="nil"/>
              <w:right w:val="nil"/>
            </w:tcBorders>
            <w:shd w:val="clear" w:color="auto" w:fill="auto"/>
            <w:vAlign w:val="bottom"/>
          </w:tcPr>
          <w:p w14:paraId="51DFFF0F" w14:textId="77777777" w:rsidR="006A1846" w:rsidRPr="0056686B" w:rsidRDefault="006A1846" w:rsidP="004454D6">
            <w:pPr>
              <w:suppressAutoHyphens/>
              <w:autoSpaceDN w:val="0"/>
              <w:rPr>
                <w:rFonts w:ascii="Arial" w:eastAsia="Times New Roman" w:hAnsi="Arial" w:cs="Arial"/>
                <w:b/>
                <w:color w:val="000000" w:themeColor="text1"/>
                <w:sz w:val="18"/>
                <w:szCs w:val="18"/>
              </w:rPr>
            </w:pPr>
            <w:r w:rsidRPr="0056686B">
              <w:rPr>
                <w:rFonts w:ascii="Arial" w:eastAsia="Times New Roman" w:hAnsi="Arial" w:cs="Arial"/>
                <w:b/>
                <w:color w:val="000000" w:themeColor="text1"/>
                <w:sz w:val="18"/>
                <w:szCs w:val="18"/>
              </w:rPr>
              <w:t>Kapital i obveze</w:t>
            </w:r>
          </w:p>
        </w:tc>
        <w:tc>
          <w:tcPr>
            <w:tcW w:w="1701" w:type="dxa"/>
            <w:shd w:val="clear" w:color="auto" w:fill="auto"/>
            <w:noWrap/>
            <w:vAlign w:val="bottom"/>
          </w:tcPr>
          <w:p w14:paraId="1948B21A" w14:textId="77777777" w:rsidR="006A1846" w:rsidRPr="0056686B" w:rsidRDefault="006A1846" w:rsidP="004454D6">
            <w:pPr>
              <w:suppressAutoHyphens/>
              <w:autoSpaceDN w:val="0"/>
              <w:jc w:val="right"/>
              <w:rPr>
                <w:rFonts w:ascii="Arial" w:eastAsia="Times New Roman" w:hAnsi="Arial" w:cs="Arial"/>
                <w:bCs/>
                <w:color w:val="000000" w:themeColor="text1"/>
                <w:sz w:val="18"/>
                <w:szCs w:val="18"/>
              </w:rPr>
            </w:pPr>
          </w:p>
        </w:tc>
        <w:tc>
          <w:tcPr>
            <w:tcW w:w="1701" w:type="dxa"/>
            <w:shd w:val="clear" w:color="auto" w:fill="auto"/>
            <w:vAlign w:val="bottom"/>
          </w:tcPr>
          <w:p w14:paraId="14E54625" w14:textId="77777777" w:rsidR="006A1846" w:rsidRPr="0056686B" w:rsidRDefault="006A1846" w:rsidP="004454D6">
            <w:pPr>
              <w:suppressAutoHyphens/>
              <w:autoSpaceDN w:val="0"/>
              <w:jc w:val="right"/>
              <w:rPr>
                <w:rFonts w:ascii="Arial" w:eastAsia="Times New Roman" w:hAnsi="Arial" w:cs="Arial"/>
                <w:bCs/>
                <w:color w:val="000000" w:themeColor="text1"/>
                <w:sz w:val="18"/>
                <w:szCs w:val="18"/>
              </w:rPr>
            </w:pPr>
          </w:p>
        </w:tc>
      </w:tr>
      <w:tr w:rsidR="006A1846" w:rsidRPr="0056686B" w14:paraId="24557678" w14:textId="77777777" w:rsidTr="004454D6">
        <w:trPr>
          <w:trHeight w:val="186"/>
        </w:trPr>
        <w:tc>
          <w:tcPr>
            <w:tcW w:w="5669" w:type="dxa"/>
            <w:tcBorders>
              <w:top w:val="nil"/>
              <w:left w:val="nil"/>
              <w:right w:val="nil"/>
            </w:tcBorders>
            <w:shd w:val="clear" w:color="auto" w:fill="auto"/>
            <w:vAlign w:val="bottom"/>
          </w:tcPr>
          <w:p w14:paraId="10261D79" w14:textId="77777777" w:rsidR="006A1846" w:rsidRPr="0056686B" w:rsidRDefault="006A1846" w:rsidP="004454D6">
            <w:pPr>
              <w:suppressAutoHyphens/>
              <w:autoSpaceDN w:val="0"/>
              <w:rPr>
                <w:rFonts w:ascii="Arial" w:eastAsia="Times New Roman" w:hAnsi="Arial" w:cs="Arial"/>
                <w:b/>
                <w:color w:val="000000" w:themeColor="text1"/>
                <w:sz w:val="18"/>
                <w:szCs w:val="18"/>
              </w:rPr>
            </w:pPr>
            <w:r w:rsidRPr="0056686B">
              <w:rPr>
                <w:rFonts w:ascii="Arial" w:eastAsia="Times New Roman" w:hAnsi="Arial" w:cs="Arial"/>
                <w:b/>
                <w:color w:val="000000" w:themeColor="text1"/>
                <w:sz w:val="18"/>
                <w:szCs w:val="18"/>
              </w:rPr>
              <w:t>Kapital</w:t>
            </w:r>
          </w:p>
        </w:tc>
        <w:tc>
          <w:tcPr>
            <w:tcW w:w="1701" w:type="dxa"/>
            <w:shd w:val="clear" w:color="auto" w:fill="auto"/>
            <w:noWrap/>
            <w:vAlign w:val="bottom"/>
          </w:tcPr>
          <w:p w14:paraId="214562EE" w14:textId="77777777" w:rsidR="006A1846" w:rsidRPr="0056686B" w:rsidRDefault="006A1846" w:rsidP="004454D6">
            <w:pPr>
              <w:suppressAutoHyphens/>
              <w:autoSpaceDN w:val="0"/>
              <w:jc w:val="right"/>
              <w:rPr>
                <w:rFonts w:ascii="Arial" w:eastAsia="Times New Roman" w:hAnsi="Arial" w:cs="Arial"/>
                <w:color w:val="000000" w:themeColor="text1"/>
                <w:sz w:val="18"/>
                <w:szCs w:val="18"/>
              </w:rPr>
            </w:pPr>
          </w:p>
        </w:tc>
        <w:tc>
          <w:tcPr>
            <w:tcW w:w="1701" w:type="dxa"/>
            <w:shd w:val="clear" w:color="auto" w:fill="auto"/>
            <w:vAlign w:val="bottom"/>
          </w:tcPr>
          <w:p w14:paraId="7DF1123C" w14:textId="77777777" w:rsidR="006A1846" w:rsidRPr="0056686B" w:rsidRDefault="006A1846" w:rsidP="004454D6">
            <w:pPr>
              <w:suppressAutoHyphens/>
              <w:autoSpaceDN w:val="0"/>
              <w:jc w:val="right"/>
              <w:rPr>
                <w:rFonts w:ascii="Arial" w:eastAsia="Times New Roman" w:hAnsi="Arial" w:cs="Arial"/>
                <w:color w:val="000000" w:themeColor="text1"/>
                <w:sz w:val="18"/>
                <w:szCs w:val="18"/>
              </w:rPr>
            </w:pPr>
          </w:p>
        </w:tc>
      </w:tr>
      <w:tr w:rsidR="006A1846" w:rsidRPr="0056686B" w14:paraId="2827CA8F" w14:textId="77777777" w:rsidTr="004454D6">
        <w:trPr>
          <w:trHeight w:val="186"/>
        </w:trPr>
        <w:tc>
          <w:tcPr>
            <w:tcW w:w="5669" w:type="dxa"/>
            <w:tcBorders>
              <w:top w:val="nil"/>
              <w:left w:val="nil"/>
              <w:right w:val="nil"/>
            </w:tcBorders>
            <w:shd w:val="clear" w:color="auto" w:fill="auto"/>
            <w:vAlign w:val="bottom"/>
          </w:tcPr>
          <w:p w14:paraId="7DAE9801" w14:textId="77777777" w:rsidR="006A1846" w:rsidRPr="0056686B" w:rsidRDefault="006A1846" w:rsidP="004454D6">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Temeljni kapital</w:t>
            </w:r>
          </w:p>
        </w:tc>
        <w:tc>
          <w:tcPr>
            <w:tcW w:w="1701" w:type="dxa"/>
            <w:shd w:val="clear" w:color="auto" w:fill="auto"/>
            <w:noWrap/>
            <w:vAlign w:val="bottom"/>
          </w:tcPr>
          <w:p w14:paraId="2E0A6A55" w14:textId="77777777" w:rsidR="006A1846" w:rsidRPr="0056686B" w:rsidRDefault="006A1846" w:rsidP="004454D6">
            <w:pPr>
              <w:suppressAutoHyphens/>
              <w:autoSpaceDN w:val="0"/>
              <w:jc w:val="right"/>
              <w:rPr>
                <w:rFonts w:ascii="Arial" w:eastAsia="Times New Roman" w:hAnsi="Arial" w:cs="Arial"/>
                <w:color w:val="000000" w:themeColor="text1"/>
                <w:sz w:val="18"/>
                <w:szCs w:val="18"/>
              </w:rPr>
            </w:pPr>
            <w:r w:rsidRPr="00BA5396">
              <w:rPr>
                <w:rFonts w:ascii="Arial" w:eastAsia="Times New Roman" w:hAnsi="Arial" w:cs="Arial"/>
                <w:color w:val="000000" w:themeColor="text1"/>
                <w:sz w:val="18"/>
                <w:szCs w:val="18"/>
              </w:rPr>
              <w:t>7.648</w:t>
            </w:r>
          </w:p>
        </w:tc>
        <w:tc>
          <w:tcPr>
            <w:tcW w:w="1701" w:type="dxa"/>
            <w:shd w:val="clear" w:color="auto" w:fill="auto"/>
          </w:tcPr>
          <w:p w14:paraId="609DFE0B" w14:textId="77777777" w:rsidR="006A1846" w:rsidRPr="0056686B" w:rsidRDefault="006A1846" w:rsidP="004454D6">
            <w:pPr>
              <w:suppressAutoHyphens/>
              <w:autoSpaceDN w:val="0"/>
              <w:jc w:val="right"/>
              <w:rPr>
                <w:rFonts w:ascii="Arial" w:eastAsia="Times New Roman" w:hAnsi="Arial" w:cs="Arial"/>
                <w:color w:val="000000" w:themeColor="text1"/>
                <w:sz w:val="18"/>
                <w:szCs w:val="18"/>
              </w:rPr>
            </w:pPr>
            <w:r w:rsidRPr="00F959D0">
              <w:rPr>
                <w:rFonts w:ascii="Arial" w:hAnsi="Arial" w:cs="Arial"/>
                <w:sz w:val="18"/>
                <w:szCs w:val="18"/>
              </w:rPr>
              <w:t>7.648</w:t>
            </w:r>
          </w:p>
        </w:tc>
      </w:tr>
      <w:tr w:rsidR="006A1846" w:rsidRPr="0056686B" w14:paraId="40BAECA8" w14:textId="77777777" w:rsidTr="004454D6">
        <w:trPr>
          <w:trHeight w:val="186"/>
        </w:trPr>
        <w:tc>
          <w:tcPr>
            <w:tcW w:w="5669" w:type="dxa"/>
            <w:tcBorders>
              <w:top w:val="nil"/>
              <w:left w:val="nil"/>
              <w:right w:val="nil"/>
            </w:tcBorders>
            <w:shd w:val="clear" w:color="auto" w:fill="auto"/>
            <w:vAlign w:val="bottom"/>
          </w:tcPr>
          <w:p w14:paraId="19928C45" w14:textId="77777777" w:rsidR="006A1846" w:rsidRPr="0056686B" w:rsidRDefault="006A1846" w:rsidP="004454D6">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Zadržana dobit i rezerve</w:t>
            </w:r>
          </w:p>
        </w:tc>
        <w:tc>
          <w:tcPr>
            <w:tcW w:w="1701" w:type="dxa"/>
            <w:shd w:val="clear" w:color="auto" w:fill="auto"/>
            <w:noWrap/>
            <w:vAlign w:val="bottom"/>
          </w:tcPr>
          <w:p w14:paraId="261BEF03" w14:textId="77777777" w:rsidR="006A1846" w:rsidRPr="0056686B" w:rsidRDefault="006A1846" w:rsidP="004454D6">
            <w:pPr>
              <w:suppressAutoHyphens/>
              <w:autoSpaceDN w:val="0"/>
              <w:jc w:val="right"/>
              <w:rPr>
                <w:rFonts w:ascii="Arial" w:eastAsia="Times New Roman" w:hAnsi="Arial" w:cs="Arial"/>
                <w:color w:val="000000" w:themeColor="text1"/>
                <w:sz w:val="18"/>
                <w:szCs w:val="18"/>
              </w:rPr>
            </w:pPr>
            <w:r w:rsidRPr="00BA5396">
              <w:rPr>
                <w:rFonts w:ascii="Arial" w:eastAsia="Times New Roman" w:hAnsi="Arial" w:cs="Arial"/>
                <w:color w:val="000000" w:themeColor="text1"/>
                <w:sz w:val="18"/>
                <w:szCs w:val="18"/>
              </w:rPr>
              <w:t>806</w:t>
            </w:r>
          </w:p>
        </w:tc>
        <w:tc>
          <w:tcPr>
            <w:tcW w:w="1701" w:type="dxa"/>
            <w:shd w:val="clear" w:color="auto" w:fill="auto"/>
          </w:tcPr>
          <w:p w14:paraId="18AD058F" w14:textId="77777777" w:rsidR="006A1846" w:rsidRPr="0056686B" w:rsidRDefault="006A1846" w:rsidP="004454D6">
            <w:pPr>
              <w:suppressAutoHyphens/>
              <w:autoSpaceDN w:val="0"/>
              <w:jc w:val="right"/>
              <w:rPr>
                <w:rFonts w:ascii="Arial" w:eastAsia="Times New Roman" w:hAnsi="Arial" w:cs="Arial"/>
                <w:color w:val="000000" w:themeColor="text1"/>
                <w:sz w:val="18"/>
                <w:szCs w:val="18"/>
              </w:rPr>
            </w:pPr>
            <w:r w:rsidRPr="00F959D0">
              <w:rPr>
                <w:rFonts w:ascii="Arial" w:hAnsi="Arial" w:cs="Arial"/>
                <w:sz w:val="18"/>
                <w:szCs w:val="18"/>
              </w:rPr>
              <w:t>663</w:t>
            </w:r>
          </w:p>
        </w:tc>
      </w:tr>
      <w:tr w:rsidR="006A1846" w:rsidRPr="0056686B" w14:paraId="6E3D4D46" w14:textId="77777777" w:rsidTr="004454D6">
        <w:trPr>
          <w:trHeight w:val="186"/>
        </w:trPr>
        <w:tc>
          <w:tcPr>
            <w:tcW w:w="5669" w:type="dxa"/>
            <w:tcBorders>
              <w:top w:val="nil"/>
              <w:left w:val="nil"/>
              <w:right w:val="nil"/>
            </w:tcBorders>
            <w:shd w:val="clear" w:color="auto" w:fill="auto"/>
            <w:vAlign w:val="bottom"/>
          </w:tcPr>
          <w:p w14:paraId="5E15BB3A" w14:textId="77777777" w:rsidR="006A1846" w:rsidRPr="0056686B" w:rsidRDefault="006A1846" w:rsidP="004454D6">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Ostale rezerve</w:t>
            </w:r>
          </w:p>
        </w:tc>
        <w:tc>
          <w:tcPr>
            <w:tcW w:w="1701" w:type="dxa"/>
            <w:shd w:val="clear" w:color="auto" w:fill="auto"/>
            <w:noWrap/>
            <w:vAlign w:val="bottom"/>
          </w:tcPr>
          <w:p w14:paraId="02BC83E1" w14:textId="77777777" w:rsidR="006A1846" w:rsidRPr="0056686B" w:rsidRDefault="006A1846" w:rsidP="004454D6">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r w:rsidRPr="00BA5396">
              <w:rPr>
                <w:rFonts w:ascii="Arial" w:eastAsia="Times New Roman" w:hAnsi="Arial" w:cs="Arial"/>
                <w:color w:val="000000" w:themeColor="text1"/>
                <w:sz w:val="18"/>
                <w:szCs w:val="18"/>
              </w:rPr>
              <w:t>651</w:t>
            </w:r>
            <w:r>
              <w:rPr>
                <w:rFonts w:ascii="Arial" w:eastAsia="Times New Roman" w:hAnsi="Arial" w:cs="Arial"/>
                <w:color w:val="000000" w:themeColor="text1"/>
                <w:sz w:val="18"/>
                <w:szCs w:val="18"/>
              </w:rPr>
              <w:t>)</w:t>
            </w:r>
          </w:p>
        </w:tc>
        <w:tc>
          <w:tcPr>
            <w:tcW w:w="1701" w:type="dxa"/>
            <w:shd w:val="clear" w:color="auto" w:fill="auto"/>
          </w:tcPr>
          <w:p w14:paraId="151C001E" w14:textId="77777777" w:rsidR="006A1846" w:rsidRPr="0056686B" w:rsidRDefault="006A1846" w:rsidP="004454D6">
            <w:pPr>
              <w:suppressAutoHyphens/>
              <w:autoSpaceDN w:val="0"/>
              <w:jc w:val="right"/>
              <w:rPr>
                <w:rFonts w:ascii="Arial" w:eastAsia="Times New Roman" w:hAnsi="Arial" w:cs="Arial"/>
                <w:color w:val="000000" w:themeColor="text1"/>
                <w:sz w:val="18"/>
                <w:szCs w:val="18"/>
              </w:rPr>
            </w:pPr>
            <w:r>
              <w:rPr>
                <w:rFonts w:ascii="Arial" w:hAnsi="Arial" w:cs="Arial"/>
                <w:sz w:val="18"/>
                <w:szCs w:val="18"/>
              </w:rPr>
              <w:t>(</w:t>
            </w:r>
            <w:r w:rsidRPr="00F959D0">
              <w:rPr>
                <w:rFonts w:ascii="Arial" w:hAnsi="Arial" w:cs="Arial"/>
                <w:sz w:val="18"/>
                <w:szCs w:val="18"/>
              </w:rPr>
              <w:t>611</w:t>
            </w:r>
            <w:r>
              <w:rPr>
                <w:rFonts w:ascii="Arial" w:hAnsi="Arial" w:cs="Arial"/>
                <w:sz w:val="18"/>
                <w:szCs w:val="18"/>
              </w:rPr>
              <w:t>)</w:t>
            </w:r>
          </w:p>
        </w:tc>
      </w:tr>
      <w:tr w:rsidR="006A1846" w:rsidRPr="0056686B" w14:paraId="7BA142CA" w14:textId="77777777" w:rsidTr="004454D6">
        <w:trPr>
          <w:trHeight w:val="186"/>
        </w:trPr>
        <w:tc>
          <w:tcPr>
            <w:tcW w:w="5669" w:type="dxa"/>
            <w:tcBorders>
              <w:top w:val="nil"/>
              <w:left w:val="nil"/>
              <w:right w:val="nil"/>
            </w:tcBorders>
            <w:shd w:val="clear" w:color="auto" w:fill="auto"/>
            <w:vAlign w:val="bottom"/>
          </w:tcPr>
          <w:p w14:paraId="40CA671F" w14:textId="77777777" w:rsidR="006A1846" w:rsidRPr="0056686B" w:rsidRDefault="006A1846" w:rsidP="004454D6">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Dobit tekuće godine</w:t>
            </w:r>
          </w:p>
        </w:tc>
        <w:tc>
          <w:tcPr>
            <w:tcW w:w="1701" w:type="dxa"/>
            <w:tcBorders>
              <w:top w:val="nil"/>
              <w:left w:val="nil"/>
              <w:bottom w:val="single" w:sz="4" w:space="0" w:color="auto"/>
              <w:right w:val="nil"/>
            </w:tcBorders>
            <w:shd w:val="clear" w:color="auto" w:fill="auto"/>
            <w:noWrap/>
            <w:vAlign w:val="bottom"/>
          </w:tcPr>
          <w:p w14:paraId="2FE2F14C" w14:textId="1FDD97F7" w:rsidR="006A1846" w:rsidRPr="0056686B" w:rsidRDefault="006A1846" w:rsidP="004454D6">
            <w:pPr>
              <w:suppressAutoHyphens/>
              <w:autoSpaceDN w:val="0"/>
              <w:jc w:val="right"/>
              <w:rPr>
                <w:rFonts w:ascii="Arial" w:eastAsia="Times New Roman" w:hAnsi="Arial" w:cs="Arial"/>
                <w:color w:val="000000" w:themeColor="text1"/>
                <w:sz w:val="18"/>
                <w:szCs w:val="18"/>
              </w:rPr>
            </w:pPr>
            <w:r w:rsidRPr="00BA5396">
              <w:rPr>
                <w:rFonts w:ascii="Arial" w:eastAsia="Times New Roman" w:hAnsi="Arial" w:cs="Arial"/>
                <w:color w:val="000000" w:themeColor="text1"/>
                <w:sz w:val="18"/>
                <w:szCs w:val="18"/>
              </w:rPr>
              <w:t>13</w:t>
            </w:r>
            <w:r w:rsidR="00A54D5B">
              <w:rPr>
                <w:rFonts w:ascii="Arial" w:eastAsia="Times New Roman" w:hAnsi="Arial" w:cs="Arial"/>
                <w:color w:val="000000" w:themeColor="text1"/>
                <w:sz w:val="18"/>
                <w:szCs w:val="18"/>
              </w:rPr>
              <w:t>5</w:t>
            </w:r>
          </w:p>
        </w:tc>
        <w:tc>
          <w:tcPr>
            <w:tcW w:w="1701" w:type="dxa"/>
            <w:tcBorders>
              <w:top w:val="nil"/>
              <w:left w:val="nil"/>
              <w:bottom w:val="single" w:sz="4" w:space="0" w:color="auto"/>
              <w:right w:val="nil"/>
            </w:tcBorders>
            <w:shd w:val="clear" w:color="auto" w:fill="auto"/>
          </w:tcPr>
          <w:p w14:paraId="304FACB4" w14:textId="77777777" w:rsidR="006A1846" w:rsidRPr="0056686B" w:rsidRDefault="006A1846" w:rsidP="004454D6">
            <w:pPr>
              <w:suppressAutoHyphens/>
              <w:autoSpaceDN w:val="0"/>
              <w:jc w:val="right"/>
              <w:rPr>
                <w:rFonts w:ascii="Arial" w:eastAsia="Times New Roman" w:hAnsi="Arial" w:cs="Arial"/>
                <w:color w:val="000000" w:themeColor="text1"/>
                <w:sz w:val="18"/>
                <w:szCs w:val="18"/>
              </w:rPr>
            </w:pPr>
            <w:r w:rsidRPr="00F959D0">
              <w:rPr>
                <w:rFonts w:ascii="Arial" w:hAnsi="Arial" w:cs="Arial"/>
                <w:sz w:val="18"/>
                <w:szCs w:val="18"/>
              </w:rPr>
              <w:t>105</w:t>
            </w:r>
          </w:p>
        </w:tc>
      </w:tr>
      <w:tr w:rsidR="006A1846" w:rsidRPr="0056686B" w14:paraId="367DF37C" w14:textId="77777777" w:rsidTr="004454D6">
        <w:trPr>
          <w:trHeight w:val="166"/>
        </w:trPr>
        <w:tc>
          <w:tcPr>
            <w:tcW w:w="5669" w:type="dxa"/>
            <w:tcBorders>
              <w:left w:val="nil"/>
              <w:right w:val="nil"/>
            </w:tcBorders>
            <w:shd w:val="clear" w:color="auto" w:fill="auto"/>
            <w:vAlign w:val="bottom"/>
          </w:tcPr>
          <w:p w14:paraId="748C3192" w14:textId="77777777" w:rsidR="006A1846" w:rsidRPr="0056686B" w:rsidRDefault="006A1846" w:rsidP="004454D6">
            <w:pPr>
              <w:suppressAutoHyphens/>
              <w:autoSpaceDN w:val="0"/>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Ukupan kapital</w:t>
            </w:r>
          </w:p>
        </w:tc>
        <w:tc>
          <w:tcPr>
            <w:tcW w:w="1701" w:type="dxa"/>
            <w:tcBorders>
              <w:top w:val="single" w:sz="4" w:space="0" w:color="auto"/>
              <w:left w:val="nil"/>
              <w:bottom w:val="single" w:sz="12" w:space="0" w:color="auto"/>
              <w:right w:val="nil"/>
            </w:tcBorders>
            <w:shd w:val="clear" w:color="auto" w:fill="auto"/>
            <w:noWrap/>
            <w:vAlign w:val="bottom"/>
          </w:tcPr>
          <w:p w14:paraId="4156A759" w14:textId="1BE64613" w:rsidR="006A1846" w:rsidRPr="004E1C27" w:rsidRDefault="006A1846" w:rsidP="004454D6">
            <w:pPr>
              <w:suppressAutoHyphens/>
              <w:autoSpaceDN w:val="0"/>
              <w:jc w:val="right"/>
              <w:rPr>
                <w:rFonts w:ascii="Arial" w:eastAsia="Times New Roman" w:hAnsi="Arial" w:cs="Arial"/>
                <w:b/>
                <w:bCs/>
                <w:color w:val="000000" w:themeColor="text1"/>
                <w:sz w:val="18"/>
                <w:szCs w:val="18"/>
              </w:rPr>
            </w:pPr>
            <w:r w:rsidRPr="00BA5396">
              <w:rPr>
                <w:rFonts w:ascii="Arial" w:eastAsia="Times New Roman" w:hAnsi="Arial" w:cs="Arial"/>
                <w:b/>
                <w:bCs/>
                <w:color w:val="000000" w:themeColor="text1"/>
                <w:sz w:val="18"/>
                <w:szCs w:val="18"/>
              </w:rPr>
              <w:t>7.93</w:t>
            </w:r>
            <w:r w:rsidR="00A54D5B">
              <w:rPr>
                <w:rFonts w:ascii="Arial" w:eastAsia="Times New Roman" w:hAnsi="Arial" w:cs="Arial"/>
                <w:b/>
                <w:bCs/>
                <w:color w:val="000000" w:themeColor="text1"/>
                <w:sz w:val="18"/>
                <w:szCs w:val="18"/>
              </w:rPr>
              <w:t>8</w:t>
            </w:r>
          </w:p>
        </w:tc>
        <w:tc>
          <w:tcPr>
            <w:tcW w:w="1701" w:type="dxa"/>
            <w:tcBorders>
              <w:top w:val="single" w:sz="4" w:space="0" w:color="auto"/>
              <w:left w:val="nil"/>
              <w:bottom w:val="single" w:sz="12" w:space="0" w:color="auto"/>
              <w:right w:val="nil"/>
            </w:tcBorders>
            <w:shd w:val="clear" w:color="auto" w:fill="auto"/>
          </w:tcPr>
          <w:p w14:paraId="345EDE2B" w14:textId="77777777" w:rsidR="006A1846" w:rsidRPr="0056686B" w:rsidRDefault="006A1846" w:rsidP="004454D6">
            <w:pPr>
              <w:suppressAutoHyphens/>
              <w:autoSpaceDN w:val="0"/>
              <w:jc w:val="right"/>
              <w:rPr>
                <w:rFonts w:ascii="Arial" w:eastAsia="Times New Roman" w:hAnsi="Arial" w:cs="Arial"/>
                <w:b/>
                <w:bCs/>
                <w:color w:val="000000" w:themeColor="text1"/>
                <w:sz w:val="18"/>
                <w:szCs w:val="18"/>
              </w:rPr>
            </w:pPr>
            <w:r w:rsidRPr="00F959D0">
              <w:rPr>
                <w:rFonts w:ascii="Arial" w:hAnsi="Arial" w:cs="Arial"/>
                <w:b/>
                <w:bCs/>
                <w:sz w:val="18"/>
                <w:szCs w:val="18"/>
              </w:rPr>
              <w:t>7.805</w:t>
            </w:r>
          </w:p>
        </w:tc>
      </w:tr>
      <w:tr w:rsidR="006A1846" w:rsidRPr="0056686B" w14:paraId="7603A0FE" w14:textId="77777777" w:rsidTr="004454D6">
        <w:trPr>
          <w:trHeight w:val="96"/>
        </w:trPr>
        <w:tc>
          <w:tcPr>
            <w:tcW w:w="5669" w:type="dxa"/>
            <w:tcBorders>
              <w:left w:val="nil"/>
              <w:bottom w:val="nil"/>
              <w:right w:val="nil"/>
            </w:tcBorders>
            <w:shd w:val="clear" w:color="auto" w:fill="auto"/>
            <w:vAlign w:val="bottom"/>
          </w:tcPr>
          <w:p w14:paraId="18F2AA0D" w14:textId="77777777" w:rsidR="006A1846" w:rsidRPr="0056686B" w:rsidRDefault="006A1846" w:rsidP="004454D6">
            <w:pPr>
              <w:suppressAutoHyphens/>
              <w:autoSpaceDN w:val="0"/>
              <w:spacing w:line="140" w:lineRule="exact"/>
              <w:rPr>
                <w:rFonts w:ascii="Arial" w:eastAsia="Times New Roman" w:hAnsi="Arial" w:cs="Arial"/>
                <w:color w:val="000000" w:themeColor="text1"/>
                <w:sz w:val="18"/>
                <w:szCs w:val="18"/>
              </w:rPr>
            </w:pPr>
          </w:p>
        </w:tc>
        <w:tc>
          <w:tcPr>
            <w:tcW w:w="1701" w:type="dxa"/>
            <w:tcBorders>
              <w:top w:val="single" w:sz="12" w:space="0" w:color="auto"/>
              <w:left w:val="nil"/>
              <w:bottom w:val="nil"/>
              <w:right w:val="nil"/>
            </w:tcBorders>
            <w:shd w:val="clear" w:color="auto" w:fill="auto"/>
            <w:noWrap/>
            <w:vAlign w:val="bottom"/>
          </w:tcPr>
          <w:p w14:paraId="30726B92" w14:textId="77777777" w:rsidR="006A1846" w:rsidRPr="0056686B" w:rsidRDefault="006A1846" w:rsidP="004454D6">
            <w:pPr>
              <w:suppressAutoHyphens/>
              <w:autoSpaceDN w:val="0"/>
              <w:jc w:val="right"/>
              <w:rPr>
                <w:rFonts w:ascii="Arial" w:eastAsia="Times New Roman" w:hAnsi="Arial" w:cs="Arial"/>
                <w:color w:val="000000" w:themeColor="text1"/>
                <w:sz w:val="18"/>
                <w:szCs w:val="18"/>
              </w:rPr>
            </w:pPr>
          </w:p>
        </w:tc>
        <w:tc>
          <w:tcPr>
            <w:tcW w:w="1701" w:type="dxa"/>
            <w:tcBorders>
              <w:top w:val="single" w:sz="12" w:space="0" w:color="auto"/>
              <w:left w:val="nil"/>
              <w:bottom w:val="nil"/>
              <w:right w:val="nil"/>
            </w:tcBorders>
            <w:shd w:val="clear" w:color="auto" w:fill="auto"/>
            <w:vAlign w:val="bottom"/>
          </w:tcPr>
          <w:p w14:paraId="30959861" w14:textId="77777777" w:rsidR="006A1846" w:rsidRPr="0056686B" w:rsidRDefault="006A1846" w:rsidP="004454D6">
            <w:pPr>
              <w:suppressAutoHyphens/>
              <w:autoSpaceDN w:val="0"/>
              <w:spacing w:line="140" w:lineRule="exact"/>
              <w:jc w:val="right"/>
              <w:rPr>
                <w:rFonts w:ascii="Arial" w:eastAsia="Times New Roman" w:hAnsi="Arial" w:cs="Arial"/>
                <w:color w:val="000000" w:themeColor="text1"/>
                <w:sz w:val="18"/>
                <w:szCs w:val="18"/>
              </w:rPr>
            </w:pPr>
          </w:p>
        </w:tc>
      </w:tr>
      <w:tr w:rsidR="006A1846" w:rsidRPr="0056686B" w14:paraId="3313D612" w14:textId="77777777" w:rsidTr="004454D6">
        <w:trPr>
          <w:trHeight w:val="164"/>
        </w:trPr>
        <w:tc>
          <w:tcPr>
            <w:tcW w:w="5669" w:type="dxa"/>
            <w:tcBorders>
              <w:top w:val="nil"/>
              <w:left w:val="nil"/>
              <w:right w:val="nil"/>
            </w:tcBorders>
            <w:shd w:val="clear" w:color="auto" w:fill="auto"/>
            <w:vAlign w:val="bottom"/>
          </w:tcPr>
          <w:p w14:paraId="044435BA" w14:textId="77777777" w:rsidR="006A1846" w:rsidRPr="0056686B" w:rsidRDefault="006A1846" w:rsidP="004454D6">
            <w:pPr>
              <w:suppressAutoHyphens/>
              <w:autoSpaceDN w:val="0"/>
              <w:rPr>
                <w:rFonts w:ascii="Arial" w:eastAsia="Times New Roman" w:hAnsi="Arial" w:cs="Arial"/>
                <w:b/>
                <w:color w:val="000000" w:themeColor="text1"/>
                <w:sz w:val="18"/>
                <w:szCs w:val="18"/>
              </w:rPr>
            </w:pPr>
            <w:r w:rsidRPr="0056686B">
              <w:rPr>
                <w:rFonts w:ascii="Arial" w:eastAsia="Times New Roman" w:hAnsi="Arial" w:cs="Arial"/>
                <w:b/>
                <w:color w:val="000000" w:themeColor="text1"/>
                <w:sz w:val="18"/>
                <w:szCs w:val="18"/>
              </w:rPr>
              <w:t>Tehničke pričuve</w:t>
            </w:r>
          </w:p>
        </w:tc>
        <w:tc>
          <w:tcPr>
            <w:tcW w:w="1701" w:type="dxa"/>
            <w:shd w:val="clear" w:color="auto" w:fill="auto"/>
            <w:noWrap/>
            <w:vAlign w:val="bottom"/>
          </w:tcPr>
          <w:p w14:paraId="47CDC104" w14:textId="77777777" w:rsidR="006A1846" w:rsidRPr="0056686B" w:rsidRDefault="006A1846" w:rsidP="004454D6">
            <w:pPr>
              <w:suppressAutoHyphens/>
              <w:autoSpaceDN w:val="0"/>
              <w:jc w:val="right"/>
              <w:rPr>
                <w:rFonts w:ascii="Arial" w:eastAsia="Times New Roman" w:hAnsi="Arial" w:cs="Arial"/>
                <w:color w:val="000000" w:themeColor="text1"/>
                <w:sz w:val="18"/>
                <w:szCs w:val="18"/>
              </w:rPr>
            </w:pPr>
          </w:p>
        </w:tc>
        <w:tc>
          <w:tcPr>
            <w:tcW w:w="1701" w:type="dxa"/>
            <w:shd w:val="clear" w:color="auto" w:fill="auto"/>
            <w:vAlign w:val="bottom"/>
          </w:tcPr>
          <w:p w14:paraId="3B7282E1" w14:textId="77777777" w:rsidR="006A1846" w:rsidRPr="0056686B" w:rsidRDefault="006A1846" w:rsidP="004454D6">
            <w:pPr>
              <w:suppressAutoHyphens/>
              <w:autoSpaceDN w:val="0"/>
              <w:jc w:val="right"/>
              <w:rPr>
                <w:rFonts w:ascii="Arial" w:eastAsia="Times New Roman" w:hAnsi="Arial" w:cs="Arial"/>
                <w:color w:val="000000" w:themeColor="text1"/>
                <w:sz w:val="18"/>
                <w:szCs w:val="18"/>
              </w:rPr>
            </w:pPr>
          </w:p>
        </w:tc>
      </w:tr>
      <w:tr w:rsidR="006A1846" w:rsidRPr="0056686B" w14:paraId="06DBD630" w14:textId="77777777" w:rsidTr="004454D6">
        <w:trPr>
          <w:trHeight w:val="164"/>
        </w:trPr>
        <w:tc>
          <w:tcPr>
            <w:tcW w:w="5669" w:type="dxa"/>
            <w:tcBorders>
              <w:top w:val="nil"/>
              <w:left w:val="nil"/>
              <w:right w:val="nil"/>
            </w:tcBorders>
            <w:shd w:val="clear" w:color="auto" w:fill="auto"/>
            <w:vAlign w:val="bottom"/>
          </w:tcPr>
          <w:p w14:paraId="1B082C56" w14:textId="77777777" w:rsidR="006A1846" w:rsidRPr="00624CCA" w:rsidRDefault="006A1846" w:rsidP="004454D6">
            <w:pPr>
              <w:suppressAutoHyphens/>
              <w:autoSpaceDN w:val="0"/>
              <w:rPr>
                <w:rFonts w:ascii="Arial" w:eastAsia="Times New Roman" w:hAnsi="Arial" w:cs="Arial"/>
                <w:bCs/>
                <w:color w:val="000000" w:themeColor="text1"/>
                <w:sz w:val="18"/>
                <w:szCs w:val="18"/>
              </w:rPr>
            </w:pPr>
            <w:r w:rsidRPr="00624CCA">
              <w:rPr>
                <w:rFonts w:ascii="Arial" w:eastAsia="Times New Roman" w:hAnsi="Arial" w:cs="Arial"/>
                <w:bCs/>
                <w:color w:val="000000" w:themeColor="text1"/>
                <w:sz w:val="18"/>
                <w:szCs w:val="18"/>
              </w:rPr>
              <w:t>Obveze za preostalo pokriće</w:t>
            </w:r>
          </w:p>
        </w:tc>
        <w:tc>
          <w:tcPr>
            <w:tcW w:w="1701" w:type="dxa"/>
            <w:shd w:val="clear" w:color="auto" w:fill="auto"/>
            <w:noWrap/>
            <w:vAlign w:val="bottom"/>
          </w:tcPr>
          <w:p w14:paraId="239990C6" w14:textId="77777777" w:rsidR="006A1846" w:rsidRPr="004E1C27" w:rsidRDefault="006A1846" w:rsidP="004454D6">
            <w:pPr>
              <w:suppressAutoHyphens/>
              <w:autoSpaceDN w:val="0"/>
              <w:jc w:val="right"/>
              <w:rPr>
                <w:rFonts w:ascii="Arial" w:eastAsia="Times New Roman" w:hAnsi="Arial" w:cs="Arial"/>
                <w:color w:val="000000" w:themeColor="text1"/>
                <w:sz w:val="18"/>
                <w:szCs w:val="18"/>
              </w:rPr>
            </w:pPr>
            <w:r w:rsidRPr="00BA5396">
              <w:rPr>
                <w:rFonts w:ascii="Arial" w:eastAsia="Times New Roman" w:hAnsi="Arial" w:cs="Arial"/>
                <w:color w:val="000000" w:themeColor="text1"/>
                <w:sz w:val="18"/>
                <w:szCs w:val="18"/>
              </w:rPr>
              <w:t>1.038</w:t>
            </w:r>
          </w:p>
        </w:tc>
        <w:tc>
          <w:tcPr>
            <w:tcW w:w="1701" w:type="dxa"/>
            <w:shd w:val="clear" w:color="auto" w:fill="auto"/>
            <w:vAlign w:val="bottom"/>
          </w:tcPr>
          <w:p w14:paraId="5553B1E1" w14:textId="77777777" w:rsidR="006A1846" w:rsidRPr="00624CCA" w:rsidRDefault="006A1846" w:rsidP="004454D6">
            <w:pPr>
              <w:suppressAutoHyphens/>
              <w:autoSpaceDN w:val="0"/>
              <w:jc w:val="right"/>
              <w:rPr>
                <w:rFonts w:ascii="Arial" w:eastAsia="Times New Roman" w:hAnsi="Arial" w:cs="Arial"/>
                <w:bCs/>
                <w:color w:val="000000" w:themeColor="text1"/>
                <w:sz w:val="18"/>
                <w:szCs w:val="18"/>
              </w:rPr>
            </w:pPr>
            <w:r w:rsidRPr="00324DAF">
              <w:rPr>
                <w:rFonts w:ascii="Arial" w:hAnsi="Arial" w:cs="Arial"/>
                <w:color w:val="000000" w:themeColor="text1"/>
                <w:sz w:val="18"/>
                <w:szCs w:val="18"/>
              </w:rPr>
              <w:t>1.049</w:t>
            </w:r>
          </w:p>
        </w:tc>
      </w:tr>
      <w:tr w:rsidR="006A1846" w:rsidRPr="0056686B" w14:paraId="46845833" w14:textId="77777777" w:rsidTr="004454D6">
        <w:trPr>
          <w:trHeight w:val="164"/>
        </w:trPr>
        <w:tc>
          <w:tcPr>
            <w:tcW w:w="5669" w:type="dxa"/>
            <w:tcBorders>
              <w:top w:val="nil"/>
              <w:left w:val="nil"/>
              <w:right w:val="nil"/>
            </w:tcBorders>
            <w:shd w:val="clear" w:color="auto" w:fill="auto"/>
            <w:vAlign w:val="bottom"/>
          </w:tcPr>
          <w:p w14:paraId="3AB4B3EC" w14:textId="77777777" w:rsidR="006A1846" w:rsidRPr="00624CCA" w:rsidRDefault="006A1846" w:rsidP="004454D6">
            <w:pPr>
              <w:suppressAutoHyphens/>
              <w:autoSpaceDN w:val="0"/>
              <w:rPr>
                <w:rFonts w:ascii="Arial" w:eastAsia="Times New Roman" w:hAnsi="Arial" w:cs="Arial"/>
                <w:bCs/>
                <w:color w:val="000000" w:themeColor="text1"/>
                <w:sz w:val="18"/>
                <w:szCs w:val="18"/>
              </w:rPr>
            </w:pPr>
            <w:r w:rsidRPr="00624CCA">
              <w:rPr>
                <w:rFonts w:ascii="Arial" w:eastAsia="Times New Roman" w:hAnsi="Arial" w:cs="Arial"/>
                <w:bCs/>
                <w:color w:val="000000" w:themeColor="text1"/>
                <w:sz w:val="18"/>
                <w:szCs w:val="18"/>
              </w:rPr>
              <w:t>Obveze za nastale štete</w:t>
            </w:r>
          </w:p>
        </w:tc>
        <w:tc>
          <w:tcPr>
            <w:tcW w:w="1701" w:type="dxa"/>
            <w:shd w:val="clear" w:color="auto" w:fill="auto"/>
            <w:noWrap/>
            <w:vAlign w:val="bottom"/>
          </w:tcPr>
          <w:p w14:paraId="41673F53" w14:textId="77777777" w:rsidR="006A1846" w:rsidRPr="004E1C27" w:rsidRDefault="006A1846" w:rsidP="004454D6">
            <w:pPr>
              <w:suppressAutoHyphens/>
              <w:autoSpaceDN w:val="0"/>
              <w:jc w:val="right"/>
              <w:rPr>
                <w:rFonts w:ascii="Arial" w:eastAsia="Times New Roman" w:hAnsi="Arial" w:cs="Arial"/>
                <w:color w:val="000000" w:themeColor="text1"/>
                <w:sz w:val="18"/>
                <w:szCs w:val="18"/>
              </w:rPr>
            </w:pPr>
            <w:r w:rsidRPr="00BA5396">
              <w:rPr>
                <w:rFonts w:ascii="Arial" w:eastAsia="Times New Roman" w:hAnsi="Arial" w:cs="Arial"/>
                <w:color w:val="000000" w:themeColor="text1"/>
                <w:sz w:val="18"/>
                <w:szCs w:val="18"/>
              </w:rPr>
              <w:t>1.555</w:t>
            </w:r>
          </w:p>
        </w:tc>
        <w:tc>
          <w:tcPr>
            <w:tcW w:w="1701" w:type="dxa"/>
            <w:shd w:val="clear" w:color="auto" w:fill="auto"/>
            <w:vAlign w:val="bottom"/>
          </w:tcPr>
          <w:p w14:paraId="30F51DC8" w14:textId="77777777" w:rsidR="006A1846" w:rsidRPr="00624CCA" w:rsidRDefault="006A1846" w:rsidP="004454D6">
            <w:pPr>
              <w:suppressAutoHyphens/>
              <w:autoSpaceDN w:val="0"/>
              <w:jc w:val="right"/>
              <w:rPr>
                <w:rFonts w:ascii="Arial" w:eastAsia="Times New Roman" w:hAnsi="Arial" w:cs="Arial"/>
                <w:bCs/>
                <w:color w:val="000000" w:themeColor="text1"/>
                <w:sz w:val="18"/>
                <w:szCs w:val="18"/>
              </w:rPr>
            </w:pPr>
            <w:r w:rsidRPr="00324DAF">
              <w:rPr>
                <w:rFonts w:ascii="Arial" w:hAnsi="Arial" w:cs="Arial"/>
                <w:color w:val="000000" w:themeColor="text1"/>
                <w:sz w:val="18"/>
                <w:szCs w:val="18"/>
              </w:rPr>
              <w:t>1.291</w:t>
            </w:r>
          </w:p>
        </w:tc>
      </w:tr>
      <w:tr w:rsidR="006A1846" w:rsidRPr="0056686B" w14:paraId="66EE1625" w14:textId="77777777" w:rsidTr="004454D6">
        <w:trPr>
          <w:trHeight w:val="164"/>
        </w:trPr>
        <w:tc>
          <w:tcPr>
            <w:tcW w:w="5669" w:type="dxa"/>
            <w:tcBorders>
              <w:top w:val="nil"/>
              <w:left w:val="nil"/>
              <w:right w:val="nil"/>
            </w:tcBorders>
            <w:shd w:val="clear" w:color="auto" w:fill="auto"/>
            <w:vAlign w:val="bottom"/>
          </w:tcPr>
          <w:p w14:paraId="5E386E7F" w14:textId="77777777" w:rsidR="006A1846" w:rsidRPr="0056686B" w:rsidRDefault="006A1846" w:rsidP="004454D6">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Bruto tehničke pričuve</w:t>
            </w:r>
          </w:p>
        </w:tc>
        <w:tc>
          <w:tcPr>
            <w:tcW w:w="1701" w:type="dxa"/>
            <w:shd w:val="clear" w:color="auto" w:fill="auto"/>
            <w:noWrap/>
            <w:vAlign w:val="bottom"/>
          </w:tcPr>
          <w:p w14:paraId="35F3F367" w14:textId="77777777" w:rsidR="006A1846" w:rsidRPr="0056686B" w:rsidRDefault="006A1846" w:rsidP="004454D6">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701" w:type="dxa"/>
            <w:shd w:val="clear" w:color="auto" w:fill="auto"/>
            <w:vAlign w:val="bottom"/>
          </w:tcPr>
          <w:p w14:paraId="6ACD7428" w14:textId="77777777" w:rsidR="006A1846" w:rsidRPr="0056686B" w:rsidRDefault="006A1846" w:rsidP="004454D6">
            <w:pPr>
              <w:suppressAutoHyphens/>
              <w:autoSpaceDN w:val="0"/>
              <w:jc w:val="right"/>
              <w:rPr>
                <w:rFonts w:ascii="Arial" w:eastAsia="Times New Roman" w:hAnsi="Arial" w:cs="Arial"/>
                <w:color w:val="000000" w:themeColor="text1"/>
                <w:sz w:val="18"/>
                <w:szCs w:val="18"/>
              </w:rPr>
            </w:pPr>
            <w:r>
              <w:rPr>
                <w:rFonts w:ascii="Arial" w:hAnsi="Arial" w:cs="Arial"/>
                <w:color w:val="000000" w:themeColor="text1"/>
                <w:sz w:val="18"/>
                <w:szCs w:val="18"/>
              </w:rPr>
              <w:t>-</w:t>
            </w:r>
          </w:p>
        </w:tc>
      </w:tr>
      <w:tr w:rsidR="006A1846" w:rsidRPr="0056686B" w14:paraId="77F74864" w14:textId="77777777" w:rsidTr="004454D6">
        <w:trPr>
          <w:trHeight w:val="164"/>
        </w:trPr>
        <w:tc>
          <w:tcPr>
            <w:tcW w:w="5669" w:type="dxa"/>
            <w:tcBorders>
              <w:top w:val="nil"/>
              <w:left w:val="nil"/>
              <w:right w:val="nil"/>
            </w:tcBorders>
            <w:shd w:val="clear" w:color="auto" w:fill="auto"/>
            <w:vAlign w:val="bottom"/>
          </w:tcPr>
          <w:p w14:paraId="56D46DC5" w14:textId="77777777" w:rsidR="006A1846" w:rsidRPr="0056686B" w:rsidRDefault="006A1846" w:rsidP="004454D6">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Tehničke pričuve – udio reosiguranja</w:t>
            </w:r>
          </w:p>
        </w:tc>
        <w:tc>
          <w:tcPr>
            <w:tcW w:w="1701" w:type="dxa"/>
            <w:tcBorders>
              <w:top w:val="nil"/>
              <w:left w:val="nil"/>
              <w:bottom w:val="single" w:sz="4" w:space="0" w:color="auto"/>
              <w:right w:val="nil"/>
            </w:tcBorders>
            <w:shd w:val="clear" w:color="auto" w:fill="auto"/>
            <w:noWrap/>
            <w:vAlign w:val="bottom"/>
          </w:tcPr>
          <w:p w14:paraId="2E8400B9" w14:textId="77777777" w:rsidR="006A1846" w:rsidRPr="0056686B" w:rsidRDefault="006A1846" w:rsidP="004454D6">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701" w:type="dxa"/>
            <w:tcBorders>
              <w:top w:val="nil"/>
              <w:left w:val="nil"/>
              <w:bottom w:val="single" w:sz="4" w:space="0" w:color="auto"/>
              <w:right w:val="nil"/>
            </w:tcBorders>
            <w:shd w:val="clear" w:color="auto" w:fill="auto"/>
            <w:vAlign w:val="bottom"/>
          </w:tcPr>
          <w:p w14:paraId="191C911A" w14:textId="77777777" w:rsidR="006A1846" w:rsidRPr="0056686B" w:rsidRDefault="006A1846" w:rsidP="004454D6">
            <w:pPr>
              <w:suppressAutoHyphens/>
              <w:autoSpaceDN w:val="0"/>
              <w:jc w:val="right"/>
              <w:rPr>
                <w:rFonts w:ascii="Arial" w:eastAsia="Times New Roman" w:hAnsi="Arial" w:cs="Arial"/>
                <w:color w:val="000000" w:themeColor="text1"/>
                <w:sz w:val="18"/>
                <w:szCs w:val="18"/>
              </w:rPr>
            </w:pPr>
            <w:r>
              <w:rPr>
                <w:rFonts w:ascii="Arial" w:hAnsi="Arial" w:cs="Arial"/>
                <w:color w:val="000000" w:themeColor="text1"/>
                <w:sz w:val="18"/>
                <w:szCs w:val="18"/>
              </w:rPr>
              <w:t>-</w:t>
            </w:r>
          </w:p>
        </w:tc>
      </w:tr>
      <w:tr w:rsidR="006A1846" w:rsidRPr="0056686B" w14:paraId="2AD88570" w14:textId="77777777" w:rsidTr="004454D6">
        <w:trPr>
          <w:trHeight w:val="182"/>
        </w:trPr>
        <w:tc>
          <w:tcPr>
            <w:tcW w:w="5669" w:type="dxa"/>
            <w:tcBorders>
              <w:left w:val="nil"/>
              <w:right w:val="nil"/>
            </w:tcBorders>
            <w:shd w:val="clear" w:color="auto" w:fill="auto"/>
            <w:vAlign w:val="bottom"/>
          </w:tcPr>
          <w:p w14:paraId="64A11C23" w14:textId="77777777" w:rsidR="006A1846" w:rsidRPr="0056686B" w:rsidRDefault="006A1846" w:rsidP="004454D6">
            <w:pPr>
              <w:suppressAutoHyphens/>
              <w:autoSpaceDN w:val="0"/>
              <w:rPr>
                <w:rFonts w:ascii="Arial" w:eastAsia="Times New Roman" w:hAnsi="Arial" w:cs="Arial"/>
                <w:b/>
                <w:bCs/>
                <w:color w:val="000000" w:themeColor="text1"/>
                <w:sz w:val="18"/>
                <w:szCs w:val="18"/>
              </w:rPr>
            </w:pPr>
          </w:p>
        </w:tc>
        <w:tc>
          <w:tcPr>
            <w:tcW w:w="1701" w:type="dxa"/>
            <w:tcBorders>
              <w:top w:val="single" w:sz="4" w:space="0" w:color="auto"/>
              <w:left w:val="nil"/>
              <w:bottom w:val="single" w:sz="12" w:space="0" w:color="auto"/>
              <w:right w:val="nil"/>
            </w:tcBorders>
            <w:shd w:val="clear" w:color="auto" w:fill="auto"/>
            <w:noWrap/>
            <w:vAlign w:val="bottom"/>
          </w:tcPr>
          <w:p w14:paraId="13C155A4" w14:textId="77777777" w:rsidR="006A1846" w:rsidRPr="0056686B" w:rsidRDefault="006A1846" w:rsidP="004454D6">
            <w:pPr>
              <w:suppressAutoHyphens/>
              <w:autoSpaceDN w:val="0"/>
              <w:jc w:val="right"/>
              <w:rPr>
                <w:rFonts w:ascii="Arial" w:eastAsia="Times New Roman" w:hAnsi="Arial" w:cs="Arial"/>
                <w:b/>
                <w:bCs/>
                <w:color w:val="000000" w:themeColor="text1"/>
                <w:sz w:val="18"/>
                <w:szCs w:val="18"/>
              </w:rPr>
            </w:pPr>
            <w:r w:rsidRPr="00BA5396">
              <w:rPr>
                <w:rFonts w:ascii="Arial" w:eastAsia="Times New Roman" w:hAnsi="Arial" w:cs="Arial"/>
                <w:b/>
                <w:bCs/>
                <w:color w:val="000000" w:themeColor="text1"/>
                <w:sz w:val="18"/>
                <w:szCs w:val="18"/>
              </w:rPr>
              <w:t>2.593</w:t>
            </w:r>
          </w:p>
        </w:tc>
        <w:tc>
          <w:tcPr>
            <w:tcW w:w="1701" w:type="dxa"/>
            <w:tcBorders>
              <w:top w:val="single" w:sz="4" w:space="0" w:color="auto"/>
              <w:left w:val="nil"/>
              <w:bottom w:val="single" w:sz="12" w:space="0" w:color="auto"/>
              <w:right w:val="nil"/>
            </w:tcBorders>
            <w:shd w:val="clear" w:color="auto" w:fill="auto"/>
            <w:vAlign w:val="bottom"/>
          </w:tcPr>
          <w:p w14:paraId="7AFF2FC5" w14:textId="77777777" w:rsidR="006A1846" w:rsidRPr="0056686B" w:rsidRDefault="006A1846" w:rsidP="004454D6">
            <w:pPr>
              <w:suppressAutoHyphens/>
              <w:autoSpaceDN w:val="0"/>
              <w:jc w:val="right"/>
              <w:rPr>
                <w:rFonts w:ascii="Arial" w:eastAsia="Times New Roman" w:hAnsi="Arial" w:cs="Arial"/>
                <w:b/>
                <w:bCs/>
                <w:color w:val="000000" w:themeColor="text1"/>
                <w:sz w:val="18"/>
                <w:szCs w:val="18"/>
              </w:rPr>
            </w:pPr>
            <w:r w:rsidRPr="00324DAF">
              <w:rPr>
                <w:rFonts w:ascii="Arial" w:hAnsi="Arial" w:cs="Arial"/>
                <w:b/>
                <w:bCs/>
                <w:color w:val="000000" w:themeColor="text1"/>
                <w:sz w:val="18"/>
                <w:szCs w:val="18"/>
              </w:rPr>
              <w:t>2.340</w:t>
            </w:r>
          </w:p>
        </w:tc>
      </w:tr>
      <w:tr w:rsidR="006A1846" w:rsidRPr="0056686B" w14:paraId="08F38D89" w14:textId="77777777" w:rsidTr="004454D6">
        <w:trPr>
          <w:trHeight w:val="121"/>
        </w:trPr>
        <w:tc>
          <w:tcPr>
            <w:tcW w:w="5669" w:type="dxa"/>
            <w:tcBorders>
              <w:left w:val="nil"/>
              <w:bottom w:val="nil"/>
              <w:right w:val="nil"/>
            </w:tcBorders>
            <w:shd w:val="clear" w:color="auto" w:fill="auto"/>
            <w:vAlign w:val="bottom"/>
          </w:tcPr>
          <w:p w14:paraId="4F83F0AE" w14:textId="77777777" w:rsidR="006A1846" w:rsidRPr="0056686B" w:rsidRDefault="006A1846" w:rsidP="004454D6">
            <w:pPr>
              <w:suppressAutoHyphens/>
              <w:autoSpaceDN w:val="0"/>
              <w:spacing w:line="140" w:lineRule="exact"/>
              <w:rPr>
                <w:rFonts w:ascii="Arial" w:eastAsia="Times New Roman" w:hAnsi="Arial" w:cs="Arial"/>
                <w:color w:val="000000" w:themeColor="text1"/>
                <w:sz w:val="18"/>
                <w:szCs w:val="18"/>
              </w:rPr>
            </w:pPr>
          </w:p>
        </w:tc>
        <w:tc>
          <w:tcPr>
            <w:tcW w:w="1701" w:type="dxa"/>
            <w:tcBorders>
              <w:top w:val="single" w:sz="12" w:space="0" w:color="auto"/>
              <w:left w:val="nil"/>
              <w:bottom w:val="nil"/>
              <w:right w:val="nil"/>
            </w:tcBorders>
            <w:shd w:val="clear" w:color="auto" w:fill="auto"/>
            <w:noWrap/>
            <w:vAlign w:val="bottom"/>
          </w:tcPr>
          <w:p w14:paraId="13B518A2" w14:textId="77777777" w:rsidR="006A1846" w:rsidRPr="0056686B" w:rsidRDefault="006A1846" w:rsidP="004454D6">
            <w:pPr>
              <w:suppressAutoHyphens/>
              <w:autoSpaceDN w:val="0"/>
              <w:spacing w:line="140" w:lineRule="exact"/>
              <w:jc w:val="right"/>
              <w:rPr>
                <w:rFonts w:ascii="Arial" w:eastAsia="Times New Roman" w:hAnsi="Arial" w:cs="Arial"/>
                <w:color w:val="000000" w:themeColor="text1"/>
                <w:sz w:val="18"/>
                <w:szCs w:val="18"/>
              </w:rPr>
            </w:pPr>
          </w:p>
        </w:tc>
        <w:tc>
          <w:tcPr>
            <w:tcW w:w="1701" w:type="dxa"/>
            <w:tcBorders>
              <w:top w:val="single" w:sz="12" w:space="0" w:color="auto"/>
              <w:left w:val="nil"/>
              <w:bottom w:val="nil"/>
              <w:right w:val="nil"/>
            </w:tcBorders>
            <w:shd w:val="clear" w:color="auto" w:fill="auto"/>
            <w:vAlign w:val="bottom"/>
          </w:tcPr>
          <w:p w14:paraId="257EB507" w14:textId="77777777" w:rsidR="006A1846" w:rsidRPr="0056686B" w:rsidRDefault="006A1846" w:rsidP="004454D6">
            <w:pPr>
              <w:suppressAutoHyphens/>
              <w:autoSpaceDN w:val="0"/>
              <w:spacing w:line="140" w:lineRule="exact"/>
              <w:jc w:val="right"/>
              <w:rPr>
                <w:rFonts w:ascii="Arial" w:eastAsia="Times New Roman" w:hAnsi="Arial" w:cs="Arial"/>
                <w:color w:val="000000" w:themeColor="text1"/>
                <w:sz w:val="18"/>
                <w:szCs w:val="18"/>
              </w:rPr>
            </w:pPr>
          </w:p>
        </w:tc>
      </w:tr>
      <w:tr w:rsidR="006A1846" w:rsidRPr="0056686B" w14:paraId="56163C67" w14:textId="77777777" w:rsidTr="004454D6">
        <w:trPr>
          <w:trHeight w:val="240"/>
        </w:trPr>
        <w:tc>
          <w:tcPr>
            <w:tcW w:w="5669" w:type="dxa"/>
            <w:tcBorders>
              <w:top w:val="nil"/>
              <w:left w:val="nil"/>
              <w:bottom w:val="nil"/>
              <w:right w:val="nil"/>
            </w:tcBorders>
            <w:shd w:val="clear" w:color="auto" w:fill="auto"/>
            <w:vAlign w:val="bottom"/>
          </w:tcPr>
          <w:p w14:paraId="028978E5" w14:textId="77777777" w:rsidR="006A1846" w:rsidRPr="0056686B" w:rsidRDefault="006A1846" w:rsidP="004454D6">
            <w:pPr>
              <w:suppressAutoHyphens/>
              <w:autoSpaceDN w:val="0"/>
              <w:rPr>
                <w:rFonts w:ascii="Arial" w:eastAsia="Times New Roman" w:hAnsi="Arial" w:cs="Arial"/>
                <w:b/>
                <w:color w:val="000000" w:themeColor="text1"/>
                <w:sz w:val="18"/>
                <w:szCs w:val="18"/>
              </w:rPr>
            </w:pPr>
            <w:r w:rsidRPr="0056686B">
              <w:rPr>
                <w:rFonts w:ascii="Arial" w:eastAsia="Times New Roman" w:hAnsi="Arial" w:cs="Arial"/>
                <w:b/>
                <w:color w:val="000000" w:themeColor="text1"/>
                <w:sz w:val="18"/>
                <w:szCs w:val="18"/>
              </w:rPr>
              <w:t>Kratkotrajne obveze</w:t>
            </w:r>
          </w:p>
        </w:tc>
        <w:tc>
          <w:tcPr>
            <w:tcW w:w="1701" w:type="dxa"/>
            <w:shd w:val="clear" w:color="auto" w:fill="auto"/>
            <w:noWrap/>
            <w:vAlign w:val="bottom"/>
          </w:tcPr>
          <w:p w14:paraId="6EEF9E8A" w14:textId="77777777" w:rsidR="006A1846" w:rsidRPr="0056686B" w:rsidRDefault="006A1846" w:rsidP="004454D6">
            <w:pPr>
              <w:suppressAutoHyphens/>
              <w:autoSpaceDN w:val="0"/>
              <w:jc w:val="right"/>
              <w:rPr>
                <w:rFonts w:ascii="Arial" w:eastAsia="Times New Roman" w:hAnsi="Arial" w:cs="Arial"/>
                <w:color w:val="000000" w:themeColor="text1"/>
                <w:sz w:val="18"/>
                <w:szCs w:val="18"/>
              </w:rPr>
            </w:pPr>
          </w:p>
        </w:tc>
        <w:tc>
          <w:tcPr>
            <w:tcW w:w="1701" w:type="dxa"/>
            <w:shd w:val="clear" w:color="auto" w:fill="auto"/>
            <w:vAlign w:val="bottom"/>
          </w:tcPr>
          <w:p w14:paraId="79A1FA8F" w14:textId="77777777" w:rsidR="006A1846" w:rsidRPr="0056686B" w:rsidRDefault="006A1846" w:rsidP="004454D6">
            <w:pPr>
              <w:suppressAutoHyphens/>
              <w:autoSpaceDN w:val="0"/>
              <w:jc w:val="right"/>
              <w:rPr>
                <w:rFonts w:ascii="Arial" w:eastAsia="Times New Roman" w:hAnsi="Arial" w:cs="Arial"/>
                <w:color w:val="000000" w:themeColor="text1"/>
                <w:sz w:val="18"/>
                <w:szCs w:val="18"/>
              </w:rPr>
            </w:pPr>
          </w:p>
        </w:tc>
      </w:tr>
      <w:tr w:rsidR="006A1846" w:rsidRPr="0056686B" w14:paraId="54909F5D" w14:textId="77777777" w:rsidTr="004454D6">
        <w:trPr>
          <w:trHeight w:val="145"/>
        </w:trPr>
        <w:tc>
          <w:tcPr>
            <w:tcW w:w="5669" w:type="dxa"/>
            <w:tcBorders>
              <w:top w:val="nil"/>
              <w:left w:val="nil"/>
              <w:bottom w:val="nil"/>
              <w:right w:val="nil"/>
            </w:tcBorders>
            <w:shd w:val="clear" w:color="auto" w:fill="auto"/>
            <w:vAlign w:val="bottom"/>
          </w:tcPr>
          <w:p w14:paraId="2E183062" w14:textId="77777777" w:rsidR="006A1846" w:rsidRPr="0056686B" w:rsidRDefault="006A1846" w:rsidP="004454D6">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Obveze iz poslova osiguranja</w:t>
            </w:r>
          </w:p>
        </w:tc>
        <w:tc>
          <w:tcPr>
            <w:tcW w:w="1701" w:type="dxa"/>
            <w:shd w:val="clear" w:color="auto" w:fill="auto"/>
            <w:noWrap/>
            <w:vAlign w:val="bottom"/>
          </w:tcPr>
          <w:p w14:paraId="7104E7D4" w14:textId="77777777" w:rsidR="006A1846" w:rsidRPr="0056686B" w:rsidRDefault="006A1846" w:rsidP="004454D6">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701" w:type="dxa"/>
            <w:shd w:val="clear" w:color="auto" w:fill="auto"/>
            <w:vAlign w:val="bottom"/>
          </w:tcPr>
          <w:p w14:paraId="643EB41D" w14:textId="77777777" w:rsidR="006A1846" w:rsidRPr="0056686B" w:rsidRDefault="006A1846" w:rsidP="004454D6">
            <w:pPr>
              <w:suppressAutoHyphens/>
              <w:autoSpaceDN w:val="0"/>
              <w:jc w:val="right"/>
              <w:rPr>
                <w:rFonts w:ascii="Arial" w:eastAsia="Times New Roman" w:hAnsi="Arial" w:cs="Arial"/>
                <w:color w:val="000000" w:themeColor="text1"/>
                <w:sz w:val="18"/>
                <w:szCs w:val="18"/>
              </w:rPr>
            </w:pPr>
            <w:r>
              <w:rPr>
                <w:rFonts w:ascii="Arial" w:hAnsi="Arial" w:cs="Arial"/>
                <w:color w:val="000000" w:themeColor="text1"/>
                <w:sz w:val="18"/>
                <w:szCs w:val="18"/>
              </w:rPr>
              <w:t>-</w:t>
            </w:r>
          </w:p>
        </w:tc>
      </w:tr>
      <w:tr w:rsidR="006A1846" w:rsidRPr="0056686B" w14:paraId="6E44A75A" w14:textId="77777777" w:rsidTr="004454D6">
        <w:trPr>
          <w:trHeight w:val="145"/>
        </w:trPr>
        <w:tc>
          <w:tcPr>
            <w:tcW w:w="5669" w:type="dxa"/>
            <w:tcBorders>
              <w:top w:val="nil"/>
              <w:left w:val="nil"/>
              <w:bottom w:val="nil"/>
              <w:right w:val="nil"/>
            </w:tcBorders>
            <w:shd w:val="clear" w:color="auto" w:fill="auto"/>
            <w:vAlign w:val="bottom"/>
          </w:tcPr>
          <w:p w14:paraId="4B3EA307" w14:textId="77777777" w:rsidR="006A1846" w:rsidRPr="0056686B" w:rsidRDefault="006A1846" w:rsidP="004454D6">
            <w:pPr>
              <w:suppressAutoHyphens/>
              <w:autoSpaceDN w:val="0"/>
              <w:rPr>
                <w:rFonts w:ascii="Arial" w:eastAsia="Times New Roman" w:hAnsi="Arial" w:cs="Arial"/>
                <w:color w:val="000000" w:themeColor="text1"/>
                <w:sz w:val="18"/>
                <w:szCs w:val="18"/>
              </w:rPr>
            </w:pPr>
            <w:r w:rsidRPr="00324DAF">
              <w:rPr>
                <w:rFonts w:ascii="Arial" w:hAnsi="Arial" w:cs="Arial"/>
                <w:color w:val="000000" w:themeColor="text1"/>
                <w:sz w:val="18"/>
                <w:szCs w:val="18"/>
              </w:rPr>
              <w:t xml:space="preserve">Odgođena i tekuća porezna obveza </w:t>
            </w:r>
          </w:p>
        </w:tc>
        <w:tc>
          <w:tcPr>
            <w:tcW w:w="1701" w:type="dxa"/>
            <w:shd w:val="clear" w:color="auto" w:fill="auto"/>
            <w:noWrap/>
            <w:vAlign w:val="bottom"/>
          </w:tcPr>
          <w:p w14:paraId="3D012121" w14:textId="77777777" w:rsidR="006A1846" w:rsidRPr="0056686B" w:rsidRDefault="006A1846" w:rsidP="004454D6">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701" w:type="dxa"/>
            <w:shd w:val="clear" w:color="auto" w:fill="auto"/>
            <w:vAlign w:val="bottom"/>
          </w:tcPr>
          <w:p w14:paraId="6F60C3CE" w14:textId="77777777" w:rsidR="006A1846" w:rsidRPr="0056686B" w:rsidRDefault="006A1846" w:rsidP="004454D6">
            <w:pPr>
              <w:suppressAutoHyphens/>
              <w:autoSpaceDN w:val="0"/>
              <w:jc w:val="right"/>
              <w:rPr>
                <w:rFonts w:ascii="Arial" w:eastAsia="Times New Roman" w:hAnsi="Arial" w:cs="Arial"/>
                <w:color w:val="000000" w:themeColor="text1"/>
                <w:sz w:val="18"/>
                <w:szCs w:val="18"/>
              </w:rPr>
            </w:pPr>
            <w:r>
              <w:rPr>
                <w:rFonts w:ascii="Arial" w:hAnsi="Arial" w:cs="Arial"/>
                <w:color w:val="000000" w:themeColor="text1"/>
                <w:sz w:val="18"/>
                <w:szCs w:val="18"/>
              </w:rPr>
              <w:t>29</w:t>
            </w:r>
          </w:p>
        </w:tc>
      </w:tr>
      <w:tr w:rsidR="006A1846" w:rsidRPr="0056686B" w14:paraId="6058C8A1" w14:textId="77777777" w:rsidTr="004454D6">
        <w:trPr>
          <w:trHeight w:val="204"/>
        </w:trPr>
        <w:tc>
          <w:tcPr>
            <w:tcW w:w="5669" w:type="dxa"/>
            <w:tcBorders>
              <w:top w:val="nil"/>
              <w:left w:val="nil"/>
              <w:bottom w:val="nil"/>
              <w:right w:val="nil"/>
            </w:tcBorders>
            <w:shd w:val="clear" w:color="auto" w:fill="auto"/>
            <w:vAlign w:val="bottom"/>
          </w:tcPr>
          <w:p w14:paraId="5AD508BA" w14:textId="77777777" w:rsidR="006A1846" w:rsidRPr="0056686B" w:rsidRDefault="006A1846" w:rsidP="004454D6">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Ostale obveze</w:t>
            </w:r>
          </w:p>
        </w:tc>
        <w:tc>
          <w:tcPr>
            <w:tcW w:w="1701" w:type="dxa"/>
            <w:tcBorders>
              <w:top w:val="nil"/>
              <w:left w:val="nil"/>
              <w:bottom w:val="single" w:sz="4" w:space="0" w:color="auto"/>
              <w:right w:val="nil"/>
            </w:tcBorders>
            <w:shd w:val="clear" w:color="auto" w:fill="auto"/>
            <w:noWrap/>
            <w:vAlign w:val="bottom"/>
          </w:tcPr>
          <w:p w14:paraId="39BCAA1A" w14:textId="0A59BD25" w:rsidR="006A1846" w:rsidRPr="0056686B" w:rsidRDefault="006A1846" w:rsidP="004454D6">
            <w:pPr>
              <w:suppressAutoHyphens/>
              <w:autoSpaceDN w:val="0"/>
              <w:jc w:val="right"/>
              <w:rPr>
                <w:rFonts w:ascii="Arial" w:eastAsia="Times New Roman" w:hAnsi="Arial" w:cs="Arial"/>
                <w:color w:val="000000" w:themeColor="text1"/>
                <w:sz w:val="18"/>
                <w:szCs w:val="18"/>
              </w:rPr>
            </w:pPr>
            <w:r w:rsidRPr="00BA5396">
              <w:rPr>
                <w:rFonts w:ascii="Arial" w:eastAsia="Times New Roman" w:hAnsi="Arial" w:cs="Arial"/>
                <w:color w:val="000000" w:themeColor="text1"/>
                <w:sz w:val="18"/>
                <w:szCs w:val="18"/>
              </w:rPr>
              <w:t>22</w:t>
            </w:r>
            <w:r w:rsidR="00A54D5B">
              <w:rPr>
                <w:rFonts w:ascii="Arial" w:eastAsia="Times New Roman" w:hAnsi="Arial" w:cs="Arial"/>
                <w:color w:val="000000" w:themeColor="text1"/>
                <w:sz w:val="18"/>
                <w:szCs w:val="18"/>
              </w:rPr>
              <w:t>2</w:t>
            </w:r>
          </w:p>
        </w:tc>
        <w:tc>
          <w:tcPr>
            <w:tcW w:w="1701" w:type="dxa"/>
            <w:tcBorders>
              <w:top w:val="nil"/>
              <w:left w:val="nil"/>
              <w:bottom w:val="single" w:sz="4" w:space="0" w:color="auto"/>
              <w:right w:val="nil"/>
            </w:tcBorders>
            <w:shd w:val="clear" w:color="auto" w:fill="auto"/>
            <w:vAlign w:val="bottom"/>
          </w:tcPr>
          <w:p w14:paraId="15D67BD1" w14:textId="77777777" w:rsidR="006A1846" w:rsidRPr="0056686B" w:rsidRDefault="006A1846" w:rsidP="004454D6">
            <w:pPr>
              <w:suppressAutoHyphens/>
              <w:autoSpaceDN w:val="0"/>
              <w:jc w:val="right"/>
              <w:rPr>
                <w:rFonts w:ascii="Arial" w:eastAsia="Times New Roman" w:hAnsi="Arial" w:cs="Arial"/>
                <w:color w:val="000000" w:themeColor="text1"/>
                <w:sz w:val="18"/>
                <w:szCs w:val="18"/>
              </w:rPr>
            </w:pPr>
            <w:r>
              <w:rPr>
                <w:rFonts w:ascii="Arial" w:hAnsi="Arial" w:cs="Arial"/>
                <w:color w:val="000000" w:themeColor="text1"/>
                <w:sz w:val="18"/>
                <w:szCs w:val="18"/>
              </w:rPr>
              <w:t>127</w:t>
            </w:r>
          </w:p>
        </w:tc>
      </w:tr>
      <w:tr w:rsidR="006A1846" w:rsidRPr="0056686B" w14:paraId="5F582D6A" w14:textId="77777777" w:rsidTr="004454D6">
        <w:trPr>
          <w:trHeight w:val="144"/>
        </w:trPr>
        <w:tc>
          <w:tcPr>
            <w:tcW w:w="5669" w:type="dxa"/>
            <w:tcBorders>
              <w:left w:val="nil"/>
              <w:right w:val="nil"/>
            </w:tcBorders>
            <w:shd w:val="clear" w:color="auto" w:fill="auto"/>
            <w:vAlign w:val="bottom"/>
          </w:tcPr>
          <w:p w14:paraId="4915C22C" w14:textId="77777777" w:rsidR="006A1846" w:rsidRPr="0056686B" w:rsidRDefault="006A1846" w:rsidP="004454D6">
            <w:pPr>
              <w:suppressAutoHyphens/>
              <w:autoSpaceDN w:val="0"/>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Ukupno obveze</w:t>
            </w:r>
          </w:p>
        </w:tc>
        <w:tc>
          <w:tcPr>
            <w:tcW w:w="1701" w:type="dxa"/>
            <w:tcBorders>
              <w:top w:val="single" w:sz="4" w:space="0" w:color="auto"/>
              <w:left w:val="nil"/>
              <w:bottom w:val="single" w:sz="12" w:space="0" w:color="auto"/>
              <w:right w:val="nil"/>
            </w:tcBorders>
            <w:shd w:val="clear" w:color="auto" w:fill="auto"/>
            <w:noWrap/>
            <w:vAlign w:val="bottom"/>
          </w:tcPr>
          <w:p w14:paraId="62C6EB39" w14:textId="1C236774" w:rsidR="006A1846" w:rsidRPr="0056686B" w:rsidRDefault="006A1846" w:rsidP="004454D6">
            <w:pPr>
              <w:suppressAutoHyphens/>
              <w:autoSpaceDN w:val="0"/>
              <w:jc w:val="right"/>
              <w:rPr>
                <w:rFonts w:ascii="Arial" w:eastAsia="Times New Roman" w:hAnsi="Arial" w:cs="Arial"/>
                <w:b/>
                <w:bCs/>
                <w:color w:val="000000" w:themeColor="text1"/>
                <w:sz w:val="18"/>
                <w:szCs w:val="18"/>
              </w:rPr>
            </w:pPr>
            <w:r w:rsidRPr="00BA5396">
              <w:rPr>
                <w:rFonts w:ascii="Arial" w:eastAsia="Times New Roman" w:hAnsi="Arial" w:cs="Arial"/>
                <w:b/>
                <w:bCs/>
                <w:color w:val="000000" w:themeColor="text1"/>
                <w:sz w:val="18"/>
                <w:szCs w:val="18"/>
              </w:rPr>
              <w:t>22</w:t>
            </w:r>
            <w:r w:rsidR="00A54D5B">
              <w:rPr>
                <w:rFonts w:ascii="Arial" w:eastAsia="Times New Roman" w:hAnsi="Arial" w:cs="Arial"/>
                <w:b/>
                <w:bCs/>
                <w:color w:val="000000" w:themeColor="text1"/>
                <w:sz w:val="18"/>
                <w:szCs w:val="18"/>
              </w:rPr>
              <w:t>2</w:t>
            </w:r>
          </w:p>
        </w:tc>
        <w:tc>
          <w:tcPr>
            <w:tcW w:w="1701" w:type="dxa"/>
            <w:tcBorders>
              <w:top w:val="single" w:sz="4" w:space="0" w:color="auto"/>
              <w:left w:val="nil"/>
              <w:bottom w:val="single" w:sz="12" w:space="0" w:color="auto"/>
              <w:right w:val="nil"/>
            </w:tcBorders>
            <w:shd w:val="clear" w:color="auto" w:fill="auto"/>
            <w:vAlign w:val="bottom"/>
          </w:tcPr>
          <w:p w14:paraId="043AD05D" w14:textId="77777777" w:rsidR="006A1846" w:rsidRPr="0056686B" w:rsidRDefault="006A1846" w:rsidP="004454D6">
            <w:pPr>
              <w:suppressAutoHyphens/>
              <w:autoSpaceDN w:val="0"/>
              <w:jc w:val="right"/>
              <w:rPr>
                <w:rFonts w:ascii="Arial" w:eastAsia="Times New Roman" w:hAnsi="Arial" w:cs="Arial"/>
                <w:b/>
                <w:bCs/>
                <w:color w:val="000000" w:themeColor="text1"/>
                <w:sz w:val="18"/>
                <w:szCs w:val="18"/>
              </w:rPr>
            </w:pPr>
            <w:r w:rsidRPr="00324DAF">
              <w:rPr>
                <w:rFonts w:ascii="Arial" w:hAnsi="Arial" w:cs="Arial"/>
                <w:b/>
                <w:bCs/>
                <w:color w:val="000000" w:themeColor="text1"/>
                <w:sz w:val="18"/>
                <w:szCs w:val="18"/>
              </w:rPr>
              <w:t>156</w:t>
            </w:r>
          </w:p>
        </w:tc>
      </w:tr>
      <w:tr w:rsidR="006A1846" w:rsidRPr="0056686B" w14:paraId="40D47E9E" w14:textId="77777777" w:rsidTr="004454D6">
        <w:trPr>
          <w:trHeight w:val="56"/>
        </w:trPr>
        <w:tc>
          <w:tcPr>
            <w:tcW w:w="5669" w:type="dxa"/>
            <w:tcBorders>
              <w:left w:val="nil"/>
              <w:right w:val="nil"/>
            </w:tcBorders>
            <w:shd w:val="clear" w:color="auto" w:fill="auto"/>
            <w:vAlign w:val="bottom"/>
          </w:tcPr>
          <w:p w14:paraId="54D32D19" w14:textId="77777777" w:rsidR="006A1846" w:rsidRPr="0056686B" w:rsidRDefault="006A1846" w:rsidP="004454D6">
            <w:pPr>
              <w:suppressAutoHyphens/>
              <w:autoSpaceDN w:val="0"/>
              <w:spacing w:line="140" w:lineRule="exact"/>
              <w:rPr>
                <w:rFonts w:ascii="Arial" w:eastAsia="Times New Roman" w:hAnsi="Arial" w:cs="Arial"/>
                <w:b/>
                <w:bCs/>
                <w:color w:val="000000" w:themeColor="text1"/>
                <w:sz w:val="18"/>
                <w:szCs w:val="18"/>
              </w:rPr>
            </w:pPr>
          </w:p>
        </w:tc>
        <w:tc>
          <w:tcPr>
            <w:tcW w:w="1701" w:type="dxa"/>
            <w:tcBorders>
              <w:top w:val="single" w:sz="12" w:space="0" w:color="auto"/>
              <w:left w:val="nil"/>
              <w:bottom w:val="single" w:sz="4" w:space="0" w:color="auto"/>
              <w:right w:val="nil"/>
            </w:tcBorders>
            <w:shd w:val="clear" w:color="auto" w:fill="auto"/>
            <w:noWrap/>
            <w:vAlign w:val="bottom"/>
          </w:tcPr>
          <w:p w14:paraId="44760002" w14:textId="77777777" w:rsidR="006A1846" w:rsidRPr="0056686B" w:rsidRDefault="006A1846" w:rsidP="004454D6">
            <w:pPr>
              <w:suppressAutoHyphens/>
              <w:autoSpaceDN w:val="0"/>
              <w:spacing w:line="140" w:lineRule="exact"/>
              <w:jc w:val="right"/>
              <w:rPr>
                <w:rFonts w:ascii="Arial" w:eastAsia="Times New Roman" w:hAnsi="Arial" w:cs="Arial"/>
                <w:b/>
                <w:bCs/>
                <w:color w:val="000000" w:themeColor="text1"/>
                <w:sz w:val="18"/>
                <w:szCs w:val="18"/>
              </w:rPr>
            </w:pPr>
          </w:p>
        </w:tc>
        <w:tc>
          <w:tcPr>
            <w:tcW w:w="1701" w:type="dxa"/>
            <w:tcBorders>
              <w:top w:val="single" w:sz="12" w:space="0" w:color="auto"/>
              <w:left w:val="nil"/>
              <w:bottom w:val="single" w:sz="4" w:space="0" w:color="auto"/>
              <w:right w:val="nil"/>
            </w:tcBorders>
            <w:shd w:val="clear" w:color="auto" w:fill="auto"/>
            <w:vAlign w:val="bottom"/>
          </w:tcPr>
          <w:p w14:paraId="7DEB2417" w14:textId="77777777" w:rsidR="006A1846" w:rsidRPr="0056686B" w:rsidRDefault="006A1846" w:rsidP="004454D6">
            <w:pPr>
              <w:suppressAutoHyphens/>
              <w:autoSpaceDN w:val="0"/>
              <w:spacing w:line="140" w:lineRule="exact"/>
              <w:jc w:val="right"/>
              <w:rPr>
                <w:rFonts w:ascii="Arial" w:eastAsia="Times New Roman" w:hAnsi="Arial" w:cs="Arial"/>
                <w:b/>
                <w:bCs/>
                <w:color w:val="000000" w:themeColor="text1"/>
                <w:sz w:val="18"/>
                <w:szCs w:val="18"/>
              </w:rPr>
            </w:pPr>
          </w:p>
        </w:tc>
      </w:tr>
      <w:tr w:rsidR="006A1846" w:rsidRPr="0056686B" w14:paraId="560CD588" w14:textId="77777777" w:rsidTr="004454D6">
        <w:trPr>
          <w:trHeight w:val="230"/>
        </w:trPr>
        <w:tc>
          <w:tcPr>
            <w:tcW w:w="5669" w:type="dxa"/>
            <w:tcBorders>
              <w:left w:val="nil"/>
              <w:right w:val="nil"/>
            </w:tcBorders>
            <w:shd w:val="clear" w:color="auto" w:fill="auto"/>
            <w:vAlign w:val="bottom"/>
          </w:tcPr>
          <w:p w14:paraId="330A3B68" w14:textId="77777777" w:rsidR="006A1846" w:rsidRPr="0056686B" w:rsidRDefault="006A1846" w:rsidP="004454D6">
            <w:pPr>
              <w:suppressAutoHyphens/>
              <w:autoSpaceDN w:val="0"/>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Ukupno kapital i obveze</w:t>
            </w:r>
          </w:p>
        </w:tc>
        <w:tc>
          <w:tcPr>
            <w:tcW w:w="1701" w:type="dxa"/>
            <w:tcBorders>
              <w:top w:val="single" w:sz="4" w:space="0" w:color="auto"/>
              <w:left w:val="nil"/>
              <w:bottom w:val="single" w:sz="12" w:space="0" w:color="auto"/>
              <w:right w:val="nil"/>
            </w:tcBorders>
            <w:shd w:val="clear" w:color="auto" w:fill="auto"/>
            <w:noWrap/>
            <w:vAlign w:val="bottom"/>
          </w:tcPr>
          <w:p w14:paraId="2A95CD9D" w14:textId="77777777" w:rsidR="006A1846" w:rsidRPr="0056686B" w:rsidRDefault="006A1846" w:rsidP="004454D6">
            <w:pPr>
              <w:suppressAutoHyphens/>
              <w:autoSpaceDN w:val="0"/>
              <w:jc w:val="right"/>
              <w:rPr>
                <w:rFonts w:ascii="Arial" w:eastAsia="Times New Roman" w:hAnsi="Arial" w:cs="Arial"/>
                <w:b/>
                <w:bCs/>
                <w:color w:val="000000" w:themeColor="text1"/>
                <w:sz w:val="18"/>
                <w:szCs w:val="18"/>
              </w:rPr>
            </w:pPr>
            <w:r w:rsidRPr="00BA5396">
              <w:rPr>
                <w:rFonts w:ascii="Arial" w:eastAsia="Times New Roman" w:hAnsi="Arial" w:cs="Arial"/>
                <w:b/>
                <w:bCs/>
                <w:color w:val="000000" w:themeColor="text1"/>
                <w:sz w:val="18"/>
                <w:szCs w:val="18"/>
              </w:rPr>
              <w:t>10.753</w:t>
            </w:r>
          </w:p>
        </w:tc>
        <w:tc>
          <w:tcPr>
            <w:tcW w:w="1701" w:type="dxa"/>
            <w:tcBorders>
              <w:top w:val="single" w:sz="4" w:space="0" w:color="auto"/>
              <w:left w:val="nil"/>
              <w:bottom w:val="single" w:sz="12" w:space="0" w:color="auto"/>
              <w:right w:val="nil"/>
            </w:tcBorders>
            <w:shd w:val="clear" w:color="auto" w:fill="auto"/>
            <w:vAlign w:val="bottom"/>
          </w:tcPr>
          <w:p w14:paraId="4FFDC8CA" w14:textId="77777777" w:rsidR="006A1846" w:rsidRPr="0056686B" w:rsidRDefault="006A1846" w:rsidP="004454D6">
            <w:pPr>
              <w:suppressAutoHyphens/>
              <w:autoSpaceDN w:val="0"/>
              <w:jc w:val="right"/>
              <w:rPr>
                <w:rFonts w:ascii="Arial" w:eastAsia="Times New Roman" w:hAnsi="Arial" w:cs="Arial"/>
                <w:b/>
                <w:bCs/>
                <w:color w:val="000000" w:themeColor="text1"/>
                <w:sz w:val="18"/>
                <w:szCs w:val="18"/>
              </w:rPr>
            </w:pPr>
            <w:r w:rsidRPr="00324DAF">
              <w:rPr>
                <w:rFonts w:ascii="Arial" w:hAnsi="Arial" w:cs="Arial"/>
                <w:b/>
                <w:bCs/>
                <w:color w:val="000000" w:themeColor="text1"/>
                <w:sz w:val="18"/>
                <w:szCs w:val="18"/>
              </w:rPr>
              <w:t>10.301</w:t>
            </w:r>
          </w:p>
        </w:tc>
      </w:tr>
    </w:tbl>
    <w:p w14:paraId="2C003E29" w14:textId="205D6B56" w:rsidR="0056686B" w:rsidRPr="003D1614" w:rsidRDefault="0056686B" w:rsidP="003E5073">
      <w:pPr>
        <w:suppressAutoHyphens/>
        <w:autoSpaceDN w:val="0"/>
        <w:jc w:val="both"/>
        <w:rPr>
          <w:rFonts w:ascii="Arial" w:eastAsia="Calibri" w:hAnsi="Arial" w:cs="Arial"/>
          <w:color w:val="000000" w:themeColor="text1"/>
          <w:sz w:val="20"/>
          <w:szCs w:val="20"/>
        </w:rPr>
      </w:pPr>
    </w:p>
    <w:p w14:paraId="3AEB8950" w14:textId="24BB6D2E" w:rsidR="0056686B" w:rsidRPr="003D1614" w:rsidRDefault="0056686B" w:rsidP="003E5073">
      <w:pPr>
        <w:suppressAutoHyphens/>
        <w:autoSpaceDN w:val="0"/>
        <w:jc w:val="both"/>
        <w:rPr>
          <w:rFonts w:ascii="Arial" w:eastAsia="Calibri" w:hAnsi="Arial" w:cs="Arial"/>
          <w:color w:val="000000" w:themeColor="text1"/>
          <w:sz w:val="20"/>
          <w:szCs w:val="20"/>
        </w:rPr>
      </w:pPr>
    </w:p>
    <w:p w14:paraId="45585274" w14:textId="686016B0" w:rsidR="0056686B" w:rsidRPr="003D1614" w:rsidRDefault="0056686B" w:rsidP="003E5073">
      <w:pPr>
        <w:suppressAutoHyphens/>
        <w:autoSpaceDN w:val="0"/>
        <w:jc w:val="both"/>
        <w:rPr>
          <w:rFonts w:ascii="Arial" w:eastAsia="Calibri" w:hAnsi="Arial" w:cs="Arial"/>
          <w:color w:val="000000" w:themeColor="text1"/>
          <w:sz w:val="20"/>
          <w:szCs w:val="20"/>
        </w:rPr>
      </w:pPr>
    </w:p>
    <w:p w14:paraId="1A3ECB92" w14:textId="77777777" w:rsidR="0056686B" w:rsidRPr="003D1614" w:rsidRDefault="0056686B" w:rsidP="003E5073">
      <w:pPr>
        <w:suppressAutoHyphens/>
        <w:autoSpaceDN w:val="0"/>
        <w:jc w:val="both"/>
        <w:rPr>
          <w:rFonts w:ascii="Arial" w:eastAsia="Calibri" w:hAnsi="Arial" w:cs="Arial"/>
          <w:color w:val="000000" w:themeColor="text1"/>
          <w:sz w:val="20"/>
          <w:szCs w:val="20"/>
        </w:rPr>
        <w:sectPr w:rsidR="0056686B" w:rsidRPr="003D1614" w:rsidSect="003278AB">
          <w:headerReference w:type="default" r:id="rId36"/>
          <w:footerReference w:type="default" r:id="rId37"/>
          <w:pgSz w:w="11906" w:h="16838"/>
          <w:pgMar w:top="1417" w:right="1417" w:bottom="1417" w:left="1417" w:header="708" w:footer="708" w:gutter="0"/>
          <w:cols w:space="708"/>
          <w:docGrid w:linePitch="360"/>
        </w:sectPr>
      </w:pPr>
    </w:p>
    <w:p w14:paraId="49534304" w14:textId="49412C66" w:rsidR="0056686B" w:rsidRPr="003D1614" w:rsidRDefault="0056686B" w:rsidP="003E5073">
      <w:pPr>
        <w:suppressAutoHyphens/>
        <w:autoSpaceDN w:val="0"/>
        <w:jc w:val="both"/>
        <w:rPr>
          <w:rFonts w:ascii="Arial" w:eastAsia="Calibri" w:hAnsi="Arial" w:cs="Arial"/>
          <w:color w:val="000000" w:themeColor="text1"/>
          <w:sz w:val="20"/>
          <w:szCs w:val="20"/>
        </w:rPr>
      </w:pPr>
    </w:p>
    <w:p w14:paraId="645131C6" w14:textId="19EF6847" w:rsidR="0056686B" w:rsidRPr="003D1614" w:rsidRDefault="0056686B" w:rsidP="003E5073">
      <w:pPr>
        <w:suppressAutoHyphens/>
        <w:autoSpaceDN w:val="0"/>
        <w:jc w:val="both"/>
        <w:rPr>
          <w:rFonts w:ascii="Arial" w:eastAsia="Calibri" w:hAnsi="Arial" w:cs="Arial"/>
          <w:color w:val="000000" w:themeColor="text1"/>
          <w:sz w:val="20"/>
          <w:szCs w:val="20"/>
        </w:rPr>
      </w:pPr>
    </w:p>
    <w:p w14:paraId="10801C20" w14:textId="7AD55314" w:rsidR="0056686B" w:rsidRPr="003D1614" w:rsidRDefault="0056686B" w:rsidP="003E5073">
      <w:pPr>
        <w:suppressAutoHyphens/>
        <w:autoSpaceDN w:val="0"/>
        <w:jc w:val="both"/>
        <w:rPr>
          <w:rFonts w:ascii="Arial" w:eastAsia="Calibri" w:hAnsi="Arial" w:cs="Arial"/>
          <w:color w:val="000000" w:themeColor="text1"/>
          <w:sz w:val="20"/>
          <w:szCs w:val="20"/>
        </w:rPr>
      </w:pPr>
    </w:p>
    <w:tbl>
      <w:tblPr>
        <w:tblpPr w:leftFromText="181" w:rightFromText="181" w:vertAnchor="text" w:horzAnchor="margin" w:tblpXSpec="center" w:tblpY="1"/>
        <w:tblW w:w="8647" w:type="dxa"/>
        <w:tblLayout w:type="fixed"/>
        <w:tblLook w:val="04A0" w:firstRow="1" w:lastRow="0" w:firstColumn="1" w:lastColumn="0" w:noHBand="0" w:noVBand="1"/>
      </w:tblPr>
      <w:tblGrid>
        <w:gridCol w:w="6237"/>
        <w:gridCol w:w="1276"/>
        <w:gridCol w:w="1134"/>
      </w:tblGrid>
      <w:tr w:rsidR="006A1846" w:rsidRPr="0056686B" w14:paraId="2EC5879D" w14:textId="77777777" w:rsidTr="004454D6">
        <w:trPr>
          <w:trHeight w:val="66"/>
        </w:trPr>
        <w:tc>
          <w:tcPr>
            <w:tcW w:w="6237" w:type="dxa"/>
            <w:tcBorders>
              <w:left w:val="nil"/>
              <w:right w:val="nil"/>
            </w:tcBorders>
            <w:shd w:val="clear" w:color="auto" w:fill="auto"/>
            <w:vAlign w:val="bottom"/>
          </w:tcPr>
          <w:p w14:paraId="01851F08" w14:textId="77777777" w:rsidR="006A1846" w:rsidRPr="0056686B" w:rsidRDefault="006A1846" w:rsidP="004454D6">
            <w:pPr>
              <w:suppressAutoHyphens/>
              <w:autoSpaceDN w:val="0"/>
              <w:spacing w:line="140" w:lineRule="exact"/>
              <w:rPr>
                <w:rFonts w:ascii="Arial" w:eastAsia="Times New Roman" w:hAnsi="Arial" w:cs="Arial"/>
                <w:color w:val="000000" w:themeColor="text1"/>
                <w:sz w:val="18"/>
                <w:szCs w:val="18"/>
              </w:rPr>
            </w:pPr>
          </w:p>
        </w:tc>
        <w:tc>
          <w:tcPr>
            <w:tcW w:w="1276" w:type="dxa"/>
            <w:tcBorders>
              <w:left w:val="nil"/>
              <w:right w:val="nil"/>
            </w:tcBorders>
            <w:shd w:val="clear" w:color="auto" w:fill="auto"/>
            <w:vAlign w:val="bottom"/>
          </w:tcPr>
          <w:p w14:paraId="6B042F60" w14:textId="77777777" w:rsidR="006A1846" w:rsidRPr="0056686B" w:rsidRDefault="006A1846" w:rsidP="004454D6">
            <w:pPr>
              <w:suppressAutoHyphens/>
              <w:autoSpaceDN w:val="0"/>
              <w:spacing w:line="140" w:lineRule="exact"/>
              <w:jc w:val="right"/>
              <w:rPr>
                <w:rFonts w:ascii="Arial" w:eastAsia="Times New Roman" w:hAnsi="Arial" w:cs="Arial"/>
                <w:color w:val="000000" w:themeColor="text1"/>
                <w:sz w:val="18"/>
                <w:szCs w:val="18"/>
              </w:rPr>
            </w:pPr>
          </w:p>
        </w:tc>
        <w:tc>
          <w:tcPr>
            <w:tcW w:w="1134" w:type="dxa"/>
            <w:tcBorders>
              <w:left w:val="nil"/>
              <w:right w:val="nil"/>
            </w:tcBorders>
            <w:vAlign w:val="bottom"/>
          </w:tcPr>
          <w:p w14:paraId="1A9A5BEE" w14:textId="77777777" w:rsidR="006A1846" w:rsidRPr="0056686B" w:rsidRDefault="006A1846" w:rsidP="004454D6">
            <w:pPr>
              <w:suppressAutoHyphens/>
              <w:autoSpaceDN w:val="0"/>
              <w:spacing w:line="140" w:lineRule="exact"/>
              <w:jc w:val="right"/>
              <w:rPr>
                <w:rFonts w:ascii="Arial" w:eastAsia="Times New Roman" w:hAnsi="Arial" w:cs="Arial"/>
                <w:color w:val="000000" w:themeColor="text1"/>
                <w:sz w:val="18"/>
                <w:szCs w:val="18"/>
              </w:rPr>
            </w:pPr>
          </w:p>
        </w:tc>
      </w:tr>
      <w:tr w:rsidR="006A1846" w:rsidRPr="0056686B" w14:paraId="0C052DDF" w14:textId="77777777" w:rsidTr="004454D6">
        <w:trPr>
          <w:trHeight w:val="119"/>
        </w:trPr>
        <w:tc>
          <w:tcPr>
            <w:tcW w:w="6237" w:type="dxa"/>
            <w:tcBorders>
              <w:left w:val="nil"/>
              <w:bottom w:val="nil"/>
              <w:right w:val="nil"/>
            </w:tcBorders>
            <w:shd w:val="clear" w:color="auto" w:fill="auto"/>
            <w:vAlign w:val="bottom"/>
          </w:tcPr>
          <w:p w14:paraId="6AF056D1" w14:textId="77777777" w:rsidR="006A1846" w:rsidRPr="0056686B" w:rsidRDefault="006A1846" w:rsidP="004454D6">
            <w:pPr>
              <w:suppressAutoHyphens/>
              <w:autoSpaceDN w:val="0"/>
              <w:rPr>
                <w:rFonts w:ascii="Arial" w:eastAsia="Times New Roman" w:hAnsi="Arial" w:cs="Arial"/>
                <w:b/>
                <w:bCs/>
                <w:color w:val="000000" w:themeColor="text1"/>
                <w:sz w:val="18"/>
                <w:szCs w:val="18"/>
              </w:rPr>
            </w:pPr>
          </w:p>
        </w:tc>
        <w:tc>
          <w:tcPr>
            <w:tcW w:w="1276" w:type="dxa"/>
            <w:tcBorders>
              <w:left w:val="nil"/>
              <w:bottom w:val="nil"/>
              <w:right w:val="nil"/>
            </w:tcBorders>
            <w:shd w:val="clear" w:color="auto" w:fill="auto"/>
            <w:noWrap/>
            <w:vAlign w:val="bottom"/>
          </w:tcPr>
          <w:p w14:paraId="213F8664" w14:textId="77777777" w:rsidR="006A1846" w:rsidRPr="0056686B" w:rsidRDefault="006A1846" w:rsidP="004454D6">
            <w:pPr>
              <w:suppressAutoHyphens/>
              <w:autoSpaceDN w:val="0"/>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3</w:t>
            </w:r>
            <w:r>
              <w:rPr>
                <w:rFonts w:ascii="Arial" w:eastAsia="Times New Roman" w:hAnsi="Arial" w:cs="Arial"/>
                <w:b/>
                <w:bCs/>
                <w:color w:val="000000" w:themeColor="text1"/>
                <w:sz w:val="18"/>
                <w:szCs w:val="18"/>
              </w:rPr>
              <w:t>0</w:t>
            </w:r>
            <w:r w:rsidRPr="003D1614">
              <w:rPr>
                <w:rFonts w:ascii="Arial" w:eastAsia="Times New Roman" w:hAnsi="Arial" w:cs="Arial"/>
                <w:b/>
                <w:bCs/>
                <w:color w:val="000000" w:themeColor="text1"/>
                <w:sz w:val="18"/>
                <w:szCs w:val="18"/>
              </w:rPr>
              <w:t>.</w:t>
            </w:r>
            <w:r>
              <w:rPr>
                <w:rFonts w:ascii="Arial" w:eastAsia="Times New Roman" w:hAnsi="Arial" w:cs="Arial"/>
                <w:b/>
                <w:bCs/>
                <w:color w:val="000000" w:themeColor="text1"/>
                <w:sz w:val="18"/>
                <w:szCs w:val="18"/>
              </w:rPr>
              <w:t>9</w:t>
            </w:r>
            <w:r w:rsidRPr="003D1614">
              <w:rPr>
                <w:rFonts w:ascii="Arial" w:eastAsia="Times New Roman" w:hAnsi="Arial" w:cs="Arial"/>
                <w:b/>
                <w:bCs/>
                <w:color w:val="000000" w:themeColor="text1"/>
                <w:sz w:val="18"/>
                <w:szCs w:val="18"/>
              </w:rPr>
              <w:t>.</w:t>
            </w:r>
            <w:r w:rsidRPr="0056686B">
              <w:rPr>
                <w:rFonts w:ascii="Arial" w:eastAsia="Times New Roman" w:hAnsi="Arial" w:cs="Arial"/>
                <w:b/>
                <w:bCs/>
                <w:color w:val="000000" w:themeColor="text1"/>
                <w:sz w:val="18"/>
                <w:szCs w:val="18"/>
              </w:rPr>
              <w:t>202</w:t>
            </w:r>
            <w:r>
              <w:rPr>
                <w:rFonts w:ascii="Arial" w:eastAsia="Times New Roman" w:hAnsi="Arial" w:cs="Arial"/>
                <w:b/>
                <w:bCs/>
                <w:color w:val="000000" w:themeColor="text1"/>
                <w:sz w:val="18"/>
                <w:szCs w:val="18"/>
              </w:rPr>
              <w:t>4</w:t>
            </w:r>
            <w:r w:rsidRPr="0056686B">
              <w:rPr>
                <w:rFonts w:ascii="Arial" w:eastAsia="Times New Roman" w:hAnsi="Arial" w:cs="Arial"/>
                <w:b/>
                <w:bCs/>
                <w:color w:val="000000" w:themeColor="text1"/>
                <w:sz w:val="18"/>
                <w:szCs w:val="18"/>
              </w:rPr>
              <w:t>.</w:t>
            </w:r>
          </w:p>
        </w:tc>
        <w:tc>
          <w:tcPr>
            <w:tcW w:w="1134" w:type="dxa"/>
            <w:tcBorders>
              <w:left w:val="nil"/>
              <w:bottom w:val="nil"/>
              <w:right w:val="nil"/>
            </w:tcBorders>
            <w:shd w:val="clear" w:color="auto" w:fill="auto"/>
            <w:vAlign w:val="bottom"/>
          </w:tcPr>
          <w:p w14:paraId="1D13648D" w14:textId="77777777" w:rsidR="006A1846" w:rsidRPr="0056686B" w:rsidRDefault="006A1846" w:rsidP="004454D6">
            <w:pPr>
              <w:suppressAutoHyphens/>
              <w:autoSpaceDN w:val="0"/>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3</w:t>
            </w:r>
            <w:r>
              <w:rPr>
                <w:rFonts w:ascii="Arial" w:eastAsia="Times New Roman" w:hAnsi="Arial" w:cs="Arial"/>
                <w:b/>
                <w:bCs/>
                <w:color w:val="000000" w:themeColor="text1"/>
                <w:sz w:val="18"/>
                <w:szCs w:val="18"/>
              </w:rPr>
              <w:t>0</w:t>
            </w:r>
            <w:r w:rsidRPr="003D1614">
              <w:rPr>
                <w:rFonts w:ascii="Arial" w:eastAsia="Times New Roman" w:hAnsi="Arial" w:cs="Arial"/>
                <w:b/>
                <w:bCs/>
                <w:color w:val="000000" w:themeColor="text1"/>
                <w:sz w:val="18"/>
                <w:szCs w:val="18"/>
              </w:rPr>
              <w:t>.</w:t>
            </w:r>
            <w:r>
              <w:rPr>
                <w:rFonts w:ascii="Arial" w:eastAsia="Times New Roman" w:hAnsi="Arial" w:cs="Arial"/>
                <w:b/>
                <w:bCs/>
                <w:color w:val="000000" w:themeColor="text1"/>
                <w:sz w:val="18"/>
                <w:szCs w:val="18"/>
              </w:rPr>
              <w:t>9</w:t>
            </w:r>
            <w:r w:rsidRPr="003D1614">
              <w:rPr>
                <w:rFonts w:ascii="Arial" w:eastAsia="Times New Roman" w:hAnsi="Arial" w:cs="Arial"/>
                <w:b/>
                <w:bCs/>
                <w:color w:val="000000" w:themeColor="text1"/>
                <w:sz w:val="18"/>
                <w:szCs w:val="18"/>
              </w:rPr>
              <w:t>.</w:t>
            </w:r>
            <w:r w:rsidRPr="0056686B">
              <w:rPr>
                <w:rFonts w:ascii="Arial" w:eastAsia="Times New Roman" w:hAnsi="Arial" w:cs="Arial"/>
                <w:b/>
                <w:bCs/>
                <w:color w:val="000000" w:themeColor="text1"/>
                <w:sz w:val="18"/>
                <w:szCs w:val="18"/>
              </w:rPr>
              <w:t>202</w:t>
            </w:r>
            <w:r>
              <w:rPr>
                <w:rFonts w:ascii="Arial" w:eastAsia="Times New Roman" w:hAnsi="Arial" w:cs="Arial"/>
                <w:b/>
                <w:bCs/>
                <w:color w:val="000000" w:themeColor="text1"/>
                <w:sz w:val="18"/>
                <w:szCs w:val="18"/>
              </w:rPr>
              <w:t>3</w:t>
            </w:r>
            <w:r w:rsidRPr="0056686B">
              <w:rPr>
                <w:rFonts w:ascii="Arial" w:eastAsia="Times New Roman" w:hAnsi="Arial" w:cs="Arial"/>
                <w:b/>
                <w:bCs/>
                <w:color w:val="000000" w:themeColor="text1"/>
                <w:sz w:val="18"/>
                <w:szCs w:val="18"/>
              </w:rPr>
              <w:t>.</w:t>
            </w:r>
          </w:p>
        </w:tc>
      </w:tr>
      <w:tr w:rsidR="006A1846" w:rsidRPr="0056686B" w14:paraId="05249A4D" w14:textId="77777777" w:rsidTr="004454D6">
        <w:trPr>
          <w:trHeight w:val="95"/>
        </w:trPr>
        <w:tc>
          <w:tcPr>
            <w:tcW w:w="6237" w:type="dxa"/>
            <w:tcBorders>
              <w:left w:val="nil"/>
              <w:bottom w:val="nil"/>
              <w:right w:val="nil"/>
            </w:tcBorders>
            <w:shd w:val="clear" w:color="auto" w:fill="auto"/>
            <w:vAlign w:val="bottom"/>
          </w:tcPr>
          <w:p w14:paraId="3DBD83C7" w14:textId="77777777" w:rsidR="006A1846" w:rsidRPr="0056686B" w:rsidRDefault="006A1846" w:rsidP="004454D6">
            <w:pPr>
              <w:suppressAutoHyphens/>
              <w:autoSpaceDN w:val="0"/>
              <w:rPr>
                <w:rFonts w:ascii="Arial" w:eastAsia="Times New Roman" w:hAnsi="Arial" w:cs="Arial"/>
                <w:b/>
                <w:bCs/>
                <w:color w:val="000000" w:themeColor="text1"/>
                <w:sz w:val="18"/>
                <w:szCs w:val="18"/>
              </w:rPr>
            </w:pPr>
          </w:p>
        </w:tc>
        <w:tc>
          <w:tcPr>
            <w:tcW w:w="1276" w:type="dxa"/>
            <w:tcBorders>
              <w:left w:val="nil"/>
              <w:bottom w:val="nil"/>
              <w:right w:val="nil"/>
            </w:tcBorders>
            <w:shd w:val="clear" w:color="auto" w:fill="auto"/>
            <w:noWrap/>
            <w:vAlign w:val="bottom"/>
          </w:tcPr>
          <w:p w14:paraId="2A7532E0" w14:textId="77777777" w:rsidR="006A1846" w:rsidRPr="0056686B" w:rsidRDefault="006A1846" w:rsidP="004454D6">
            <w:pPr>
              <w:suppressAutoHyphens/>
              <w:autoSpaceDN w:val="0"/>
              <w:jc w:val="right"/>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 xml:space="preserve">000 </w:t>
            </w:r>
            <w:r w:rsidRPr="003D1614">
              <w:rPr>
                <w:rFonts w:ascii="Arial" w:eastAsia="Times New Roman" w:hAnsi="Arial" w:cs="Arial"/>
                <w:b/>
                <w:bCs/>
                <w:color w:val="000000" w:themeColor="text1"/>
                <w:sz w:val="18"/>
                <w:szCs w:val="18"/>
              </w:rPr>
              <w:t>eura</w:t>
            </w:r>
          </w:p>
        </w:tc>
        <w:tc>
          <w:tcPr>
            <w:tcW w:w="1134" w:type="dxa"/>
            <w:tcBorders>
              <w:left w:val="nil"/>
              <w:bottom w:val="nil"/>
              <w:right w:val="nil"/>
            </w:tcBorders>
            <w:shd w:val="clear" w:color="auto" w:fill="auto"/>
            <w:vAlign w:val="bottom"/>
          </w:tcPr>
          <w:p w14:paraId="6D2D7D16" w14:textId="77777777" w:rsidR="006A1846" w:rsidRPr="0056686B" w:rsidRDefault="006A1846" w:rsidP="004454D6">
            <w:pPr>
              <w:suppressAutoHyphens/>
              <w:autoSpaceDN w:val="0"/>
              <w:jc w:val="right"/>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 xml:space="preserve">000 </w:t>
            </w:r>
            <w:r w:rsidRPr="003D1614">
              <w:rPr>
                <w:rFonts w:ascii="Arial" w:eastAsia="Times New Roman" w:hAnsi="Arial" w:cs="Arial"/>
                <w:b/>
                <w:bCs/>
                <w:color w:val="000000" w:themeColor="text1"/>
                <w:sz w:val="18"/>
                <w:szCs w:val="18"/>
              </w:rPr>
              <w:t>eura</w:t>
            </w:r>
          </w:p>
        </w:tc>
      </w:tr>
      <w:tr w:rsidR="006A1846" w:rsidRPr="0056686B" w14:paraId="3BE55520" w14:textId="77777777" w:rsidTr="004454D6">
        <w:trPr>
          <w:trHeight w:val="59"/>
        </w:trPr>
        <w:tc>
          <w:tcPr>
            <w:tcW w:w="6237" w:type="dxa"/>
            <w:tcBorders>
              <w:top w:val="nil"/>
              <w:left w:val="nil"/>
              <w:bottom w:val="nil"/>
              <w:right w:val="nil"/>
            </w:tcBorders>
            <w:shd w:val="clear" w:color="auto" w:fill="auto"/>
            <w:vAlign w:val="bottom"/>
          </w:tcPr>
          <w:p w14:paraId="68401F43" w14:textId="77777777" w:rsidR="006A1846" w:rsidRPr="0056686B" w:rsidRDefault="006A1846" w:rsidP="004454D6">
            <w:pPr>
              <w:suppressAutoHyphens/>
              <w:autoSpaceDN w:val="0"/>
              <w:spacing w:line="140" w:lineRule="exact"/>
              <w:rPr>
                <w:rFonts w:ascii="Arial" w:eastAsia="Times New Roman" w:hAnsi="Arial" w:cs="Arial"/>
                <w:color w:val="000000" w:themeColor="text1"/>
                <w:sz w:val="18"/>
                <w:szCs w:val="18"/>
              </w:rPr>
            </w:pPr>
          </w:p>
        </w:tc>
        <w:tc>
          <w:tcPr>
            <w:tcW w:w="1276" w:type="dxa"/>
            <w:tcBorders>
              <w:top w:val="nil"/>
              <w:left w:val="nil"/>
              <w:bottom w:val="nil"/>
              <w:right w:val="nil"/>
            </w:tcBorders>
            <w:shd w:val="clear" w:color="auto" w:fill="auto"/>
            <w:noWrap/>
            <w:vAlign w:val="bottom"/>
          </w:tcPr>
          <w:p w14:paraId="7EFC3C61" w14:textId="77777777" w:rsidR="006A1846" w:rsidRPr="0056686B" w:rsidRDefault="006A1846" w:rsidP="004454D6">
            <w:pPr>
              <w:suppressAutoHyphens/>
              <w:autoSpaceDN w:val="0"/>
              <w:spacing w:line="140" w:lineRule="exact"/>
              <w:rPr>
                <w:rFonts w:ascii="Arial" w:eastAsia="Times New Roman" w:hAnsi="Arial" w:cs="Arial"/>
                <w:color w:val="000000" w:themeColor="text1"/>
                <w:sz w:val="18"/>
                <w:szCs w:val="18"/>
              </w:rPr>
            </w:pPr>
          </w:p>
        </w:tc>
        <w:tc>
          <w:tcPr>
            <w:tcW w:w="1134" w:type="dxa"/>
            <w:tcBorders>
              <w:top w:val="nil"/>
              <w:left w:val="nil"/>
              <w:bottom w:val="nil"/>
              <w:right w:val="nil"/>
            </w:tcBorders>
            <w:shd w:val="clear" w:color="auto" w:fill="auto"/>
            <w:vAlign w:val="bottom"/>
          </w:tcPr>
          <w:p w14:paraId="2DA55CC9" w14:textId="77777777" w:rsidR="006A1846" w:rsidRPr="0056686B" w:rsidRDefault="006A1846" w:rsidP="004454D6">
            <w:pPr>
              <w:suppressAutoHyphens/>
              <w:autoSpaceDN w:val="0"/>
              <w:spacing w:line="140" w:lineRule="exact"/>
              <w:rPr>
                <w:rFonts w:ascii="Arial" w:eastAsia="Times New Roman" w:hAnsi="Arial" w:cs="Arial"/>
                <w:color w:val="000000" w:themeColor="text1"/>
                <w:sz w:val="18"/>
                <w:szCs w:val="18"/>
              </w:rPr>
            </w:pPr>
          </w:p>
        </w:tc>
      </w:tr>
      <w:tr w:rsidR="006A1846" w:rsidRPr="0056686B" w14:paraId="0BBF7ED2" w14:textId="77777777" w:rsidTr="004454D6">
        <w:trPr>
          <w:trHeight w:val="109"/>
        </w:trPr>
        <w:tc>
          <w:tcPr>
            <w:tcW w:w="6237" w:type="dxa"/>
            <w:tcBorders>
              <w:top w:val="nil"/>
              <w:left w:val="nil"/>
              <w:bottom w:val="nil"/>
              <w:right w:val="nil"/>
            </w:tcBorders>
            <w:shd w:val="clear" w:color="auto" w:fill="auto"/>
            <w:vAlign w:val="bottom"/>
          </w:tcPr>
          <w:p w14:paraId="67FF78C0" w14:textId="77777777" w:rsidR="006A1846" w:rsidRPr="0056686B" w:rsidRDefault="006A1846" w:rsidP="004454D6">
            <w:pPr>
              <w:suppressAutoHyphens/>
              <w:autoSpaceDN w:val="0"/>
              <w:rPr>
                <w:rFonts w:ascii="Arial" w:eastAsia="Times New Roman" w:hAnsi="Arial" w:cs="Arial"/>
                <w:b/>
                <w:color w:val="000000" w:themeColor="text1"/>
                <w:sz w:val="18"/>
                <w:szCs w:val="18"/>
              </w:rPr>
            </w:pPr>
            <w:r w:rsidRPr="0056686B">
              <w:rPr>
                <w:rFonts w:ascii="Arial" w:eastAsia="Times New Roman" w:hAnsi="Arial" w:cs="Arial"/>
                <w:b/>
                <w:color w:val="000000" w:themeColor="text1"/>
                <w:sz w:val="18"/>
                <w:szCs w:val="18"/>
              </w:rPr>
              <w:t>Poslovne aktivnosti</w:t>
            </w:r>
          </w:p>
        </w:tc>
        <w:tc>
          <w:tcPr>
            <w:tcW w:w="1276" w:type="dxa"/>
            <w:tcBorders>
              <w:top w:val="nil"/>
              <w:left w:val="nil"/>
              <w:bottom w:val="nil"/>
              <w:right w:val="nil"/>
            </w:tcBorders>
            <w:shd w:val="clear" w:color="auto" w:fill="auto"/>
            <w:noWrap/>
            <w:vAlign w:val="bottom"/>
          </w:tcPr>
          <w:p w14:paraId="4EC84C92" w14:textId="77777777" w:rsidR="006A1846" w:rsidRPr="0056686B" w:rsidRDefault="006A1846" w:rsidP="004454D6">
            <w:pPr>
              <w:suppressAutoHyphens/>
              <w:autoSpaceDN w:val="0"/>
              <w:jc w:val="right"/>
              <w:rPr>
                <w:rFonts w:ascii="Arial" w:eastAsia="Times New Roman" w:hAnsi="Arial" w:cs="Arial"/>
                <w:color w:val="000000" w:themeColor="text1"/>
                <w:sz w:val="18"/>
                <w:szCs w:val="18"/>
              </w:rPr>
            </w:pPr>
          </w:p>
        </w:tc>
        <w:tc>
          <w:tcPr>
            <w:tcW w:w="1134" w:type="dxa"/>
            <w:tcBorders>
              <w:top w:val="nil"/>
              <w:left w:val="nil"/>
              <w:bottom w:val="nil"/>
              <w:right w:val="nil"/>
            </w:tcBorders>
            <w:shd w:val="clear" w:color="auto" w:fill="auto"/>
            <w:vAlign w:val="bottom"/>
          </w:tcPr>
          <w:p w14:paraId="752E4950" w14:textId="77777777" w:rsidR="006A1846" w:rsidRPr="0056686B" w:rsidRDefault="006A1846" w:rsidP="004454D6">
            <w:pPr>
              <w:suppressAutoHyphens/>
              <w:autoSpaceDN w:val="0"/>
              <w:jc w:val="right"/>
              <w:rPr>
                <w:rFonts w:ascii="Arial" w:eastAsia="Times New Roman" w:hAnsi="Arial" w:cs="Arial"/>
                <w:color w:val="000000" w:themeColor="text1"/>
                <w:sz w:val="18"/>
                <w:szCs w:val="18"/>
              </w:rPr>
            </w:pPr>
          </w:p>
        </w:tc>
      </w:tr>
      <w:tr w:rsidR="006A1846" w:rsidRPr="0056686B" w14:paraId="61FCA171" w14:textId="77777777" w:rsidTr="004454D6">
        <w:trPr>
          <w:trHeight w:val="66"/>
        </w:trPr>
        <w:tc>
          <w:tcPr>
            <w:tcW w:w="6237" w:type="dxa"/>
            <w:tcBorders>
              <w:top w:val="nil"/>
              <w:left w:val="nil"/>
              <w:bottom w:val="nil"/>
              <w:right w:val="nil"/>
            </w:tcBorders>
            <w:shd w:val="clear" w:color="auto" w:fill="auto"/>
            <w:vAlign w:val="bottom"/>
          </w:tcPr>
          <w:p w14:paraId="4C710266" w14:textId="77777777" w:rsidR="006A1846" w:rsidRPr="0056686B" w:rsidRDefault="006A1846" w:rsidP="004454D6">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Dobit prije oporezivanja</w:t>
            </w:r>
          </w:p>
        </w:tc>
        <w:tc>
          <w:tcPr>
            <w:tcW w:w="1276" w:type="dxa"/>
            <w:shd w:val="clear" w:color="auto" w:fill="auto"/>
            <w:noWrap/>
            <w:vAlign w:val="bottom"/>
          </w:tcPr>
          <w:p w14:paraId="2675E12B" w14:textId="592DD0C0" w:rsidR="006A1846" w:rsidRPr="004E1C27" w:rsidRDefault="006A1846" w:rsidP="004454D6">
            <w:pPr>
              <w:suppressAutoHyphens/>
              <w:autoSpaceDN w:val="0"/>
              <w:jc w:val="right"/>
              <w:rPr>
                <w:rFonts w:ascii="Arial" w:eastAsia="Times New Roman" w:hAnsi="Arial" w:cs="Arial"/>
                <w:color w:val="000000" w:themeColor="text1"/>
                <w:sz w:val="18"/>
                <w:szCs w:val="18"/>
              </w:rPr>
            </w:pPr>
            <w:r w:rsidRPr="00734C64">
              <w:rPr>
                <w:rFonts w:ascii="Arial" w:eastAsia="Times New Roman" w:hAnsi="Arial" w:cs="Arial"/>
                <w:color w:val="000000" w:themeColor="text1"/>
                <w:sz w:val="18"/>
                <w:szCs w:val="18"/>
              </w:rPr>
              <w:t>13</w:t>
            </w:r>
            <w:r w:rsidR="00A54D5B">
              <w:rPr>
                <w:rFonts w:ascii="Arial" w:eastAsia="Times New Roman" w:hAnsi="Arial" w:cs="Arial"/>
                <w:color w:val="000000" w:themeColor="text1"/>
                <w:sz w:val="18"/>
                <w:szCs w:val="18"/>
              </w:rPr>
              <w:t>5</w:t>
            </w:r>
          </w:p>
        </w:tc>
        <w:tc>
          <w:tcPr>
            <w:tcW w:w="1134" w:type="dxa"/>
            <w:shd w:val="clear" w:color="auto" w:fill="auto"/>
            <w:vAlign w:val="bottom"/>
          </w:tcPr>
          <w:p w14:paraId="134BE77F" w14:textId="77777777" w:rsidR="006A1846" w:rsidRPr="004E1C27" w:rsidRDefault="006A1846" w:rsidP="004454D6">
            <w:pPr>
              <w:suppressAutoHyphens/>
              <w:autoSpaceDN w:val="0"/>
              <w:jc w:val="right"/>
              <w:rPr>
                <w:rFonts w:ascii="Arial" w:eastAsia="Times New Roman" w:hAnsi="Arial" w:cs="Arial"/>
                <w:color w:val="000000" w:themeColor="text1"/>
                <w:sz w:val="18"/>
                <w:szCs w:val="18"/>
              </w:rPr>
            </w:pPr>
            <w:r w:rsidRPr="004E1C27">
              <w:rPr>
                <w:rFonts w:ascii="Arial" w:eastAsia="Times New Roman" w:hAnsi="Arial" w:cs="Arial"/>
                <w:color w:val="000000" w:themeColor="text1"/>
                <w:sz w:val="18"/>
                <w:szCs w:val="18"/>
              </w:rPr>
              <w:t xml:space="preserve"> 381 </w:t>
            </w:r>
          </w:p>
        </w:tc>
      </w:tr>
      <w:tr w:rsidR="006A1846" w:rsidRPr="0056686B" w14:paraId="5767737D" w14:textId="77777777" w:rsidTr="004454D6">
        <w:trPr>
          <w:trHeight w:val="180"/>
        </w:trPr>
        <w:tc>
          <w:tcPr>
            <w:tcW w:w="6237" w:type="dxa"/>
            <w:tcBorders>
              <w:top w:val="nil"/>
              <w:left w:val="nil"/>
              <w:bottom w:val="nil"/>
              <w:right w:val="nil"/>
            </w:tcBorders>
            <w:shd w:val="clear" w:color="auto" w:fill="auto"/>
            <w:vAlign w:val="bottom"/>
          </w:tcPr>
          <w:p w14:paraId="33CA4FA2" w14:textId="77777777" w:rsidR="006A1846" w:rsidRPr="0056686B" w:rsidRDefault="006A1846" w:rsidP="004454D6">
            <w:pPr>
              <w:suppressAutoHyphens/>
              <w:autoSpaceDN w:val="0"/>
              <w:rPr>
                <w:rFonts w:ascii="Arial" w:eastAsia="Times New Roman" w:hAnsi="Arial" w:cs="Arial"/>
                <w:i/>
                <w:color w:val="000000" w:themeColor="text1"/>
                <w:sz w:val="18"/>
                <w:szCs w:val="18"/>
              </w:rPr>
            </w:pPr>
            <w:r w:rsidRPr="0056686B">
              <w:rPr>
                <w:rFonts w:ascii="Arial" w:eastAsia="Times New Roman" w:hAnsi="Arial" w:cs="Arial"/>
                <w:i/>
                <w:color w:val="000000" w:themeColor="text1"/>
                <w:sz w:val="18"/>
                <w:szCs w:val="18"/>
              </w:rPr>
              <w:t>Usklađenje na neto novčana sredstva ostvarena i uporabljena za poslovne aktivnosti</w:t>
            </w:r>
          </w:p>
        </w:tc>
        <w:tc>
          <w:tcPr>
            <w:tcW w:w="1276" w:type="dxa"/>
            <w:shd w:val="clear" w:color="auto" w:fill="auto"/>
            <w:noWrap/>
            <w:vAlign w:val="bottom"/>
          </w:tcPr>
          <w:p w14:paraId="735DBCAF" w14:textId="77777777" w:rsidR="006A1846" w:rsidRPr="0056686B" w:rsidRDefault="006A1846" w:rsidP="004454D6">
            <w:pPr>
              <w:suppressAutoHyphens/>
              <w:autoSpaceDN w:val="0"/>
              <w:jc w:val="right"/>
              <w:rPr>
                <w:rFonts w:ascii="Arial" w:eastAsia="Times New Roman" w:hAnsi="Arial" w:cs="Arial"/>
                <w:color w:val="000000" w:themeColor="text1"/>
                <w:sz w:val="18"/>
                <w:szCs w:val="18"/>
              </w:rPr>
            </w:pPr>
          </w:p>
        </w:tc>
        <w:tc>
          <w:tcPr>
            <w:tcW w:w="1134" w:type="dxa"/>
            <w:shd w:val="clear" w:color="auto" w:fill="auto"/>
            <w:vAlign w:val="bottom"/>
          </w:tcPr>
          <w:p w14:paraId="6E1C86AC" w14:textId="77777777" w:rsidR="006A1846" w:rsidRPr="0056686B" w:rsidRDefault="006A1846" w:rsidP="004454D6">
            <w:pPr>
              <w:suppressAutoHyphens/>
              <w:autoSpaceDN w:val="0"/>
              <w:jc w:val="right"/>
              <w:rPr>
                <w:rFonts w:ascii="Arial" w:eastAsia="Times New Roman" w:hAnsi="Arial" w:cs="Arial"/>
                <w:color w:val="000000" w:themeColor="text1"/>
                <w:sz w:val="18"/>
                <w:szCs w:val="18"/>
              </w:rPr>
            </w:pPr>
          </w:p>
        </w:tc>
      </w:tr>
      <w:tr w:rsidR="006A1846" w:rsidRPr="0056686B" w14:paraId="22FC3CC3" w14:textId="77777777" w:rsidTr="004454D6">
        <w:trPr>
          <w:trHeight w:val="180"/>
        </w:trPr>
        <w:tc>
          <w:tcPr>
            <w:tcW w:w="6237" w:type="dxa"/>
            <w:tcBorders>
              <w:top w:val="nil"/>
              <w:left w:val="nil"/>
              <w:bottom w:val="nil"/>
              <w:right w:val="nil"/>
            </w:tcBorders>
            <w:shd w:val="clear" w:color="auto" w:fill="auto"/>
            <w:vAlign w:val="bottom"/>
          </w:tcPr>
          <w:p w14:paraId="36C657C1" w14:textId="77777777" w:rsidR="006A1846" w:rsidRPr="0056686B" w:rsidRDefault="006A1846" w:rsidP="004454D6">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Amortizacija</w:t>
            </w:r>
          </w:p>
        </w:tc>
        <w:tc>
          <w:tcPr>
            <w:tcW w:w="1276" w:type="dxa"/>
            <w:shd w:val="clear" w:color="auto" w:fill="auto"/>
            <w:noWrap/>
            <w:vAlign w:val="bottom"/>
          </w:tcPr>
          <w:p w14:paraId="72215CAE" w14:textId="77777777" w:rsidR="006A1846" w:rsidRPr="0056686B" w:rsidRDefault="006A1846" w:rsidP="004454D6">
            <w:pPr>
              <w:suppressAutoHyphens/>
              <w:autoSpaceDN w:val="0"/>
              <w:jc w:val="right"/>
              <w:rPr>
                <w:rFonts w:ascii="Arial" w:eastAsia="Times New Roman" w:hAnsi="Arial" w:cs="Arial"/>
                <w:color w:val="000000" w:themeColor="text1"/>
                <w:sz w:val="18"/>
                <w:szCs w:val="18"/>
              </w:rPr>
            </w:pPr>
            <w:r w:rsidRPr="00734C64">
              <w:rPr>
                <w:rFonts w:ascii="Arial" w:eastAsia="Times New Roman" w:hAnsi="Arial" w:cs="Arial"/>
                <w:color w:val="000000" w:themeColor="text1"/>
                <w:sz w:val="18"/>
                <w:szCs w:val="18"/>
              </w:rPr>
              <w:t>62</w:t>
            </w:r>
          </w:p>
        </w:tc>
        <w:tc>
          <w:tcPr>
            <w:tcW w:w="1134" w:type="dxa"/>
            <w:shd w:val="clear" w:color="auto" w:fill="auto"/>
            <w:vAlign w:val="bottom"/>
          </w:tcPr>
          <w:p w14:paraId="04ED69B0" w14:textId="77777777" w:rsidR="006A1846" w:rsidRPr="0056686B" w:rsidRDefault="006A1846" w:rsidP="004454D6">
            <w:pPr>
              <w:suppressAutoHyphens/>
              <w:autoSpaceDN w:val="0"/>
              <w:jc w:val="right"/>
              <w:rPr>
                <w:rFonts w:ascii="Arial" w:eastAsia="Times New Roman" w:hAnsi="Arial" w:cs="Arial"/>
                <w:color w:val="000000" w:themeColor="text1"/>
                <w:sz w:val="18"/>
                <w:szCs w:val="18"/>
              </w:rPr>
            </w:pPr>
            <w:r w:rsidRPr="004E1C27">
              <w:rPr>
                <w:rFonts w:ascii="Arial" w:eastAsia="Times New Roman" w:hAnsi="Arial" w:cs="Arial"/>
                <w:color w:val="000000" w:themeColor="text1"/>
                <w:sz w:val="18"/>
                <w:szCs w:val="18"/>
              </w:rPr>
              <w:t>41</w:t>
            </w:r>
          </w:p>
        </w:tc>
      </w:tr>
      <w:tr w:rsidR="006A1846" w:rsidRPr="0056686B" w14:paraId="5DA1CEA3" w14:textId="77777777" w:rsidTr="004454D6">
        <w:trPr>
          <w:trHeight w:val="180"/>
        </w:trPr>
        <w:tc>
          <w:tcPr>
            <w:tcW w:w="6237" w:type="dxa"/>
            <w:tcBorders>
              <w:top w:val="nil"/>
              <w:left w:val="nil"/>
              <w:bottom w:val="nil"/>
              <w:right w:val="nil"/>
            </w:tcBorders>
            <w:shd w:val="clear" w:color="auto" w:fill="auto"/>
            <w:vAlign w:val="bottom"/>
          </w:tcPr>
          <w:p w14:paraId="41B3C4AE" w14:textId="77777777" w:rsidR="006A1846" w:rsidRPr="0056686B" w:rsidRDefault="006A1846" w:rsidP="004454D6">
            <w:pPr>
              <w:suppressAutoHyphens/>
              <w:autoSpaceDN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(Dobitak)/gubitak</w:t>
            </w:r>
            <w:r w:rsidRPr="0056686B">
              <w:rPr>
                <w:rFonts w:ascii="Arial" w:eastAsia="Times New Roman" w:hAnsi="Arial" w:cs="Arial"/>
                <w:color w:val="000000" w:themeColor="text1"/>
                <w:sz w:val="18"/>
                <w:szCs w:val="18"/>
              </w:rPr>
              <w:t xml:space="preserve"> od umanjenja vrijednosti i rezerviranja</w:t>
            </w:r>
          </w:p>
        </w:tc>
        <w:tc>
          <w:tcPr>
            <w:tcW w:w="1276" w:type="dxa"/>
            <w:shd w:val="clear" w:color="auto" w:fill="auto"/>
            <w:noWrap/>
            <w:vAlign w:val="bottom"/>
          </w:tcPr>
          <w:p w14:paraId="288D17C3" w14:textId="77777777" w:rsidR="006A1846" w:rsidRPr="0056686B" w:rsidRDefault="006A1846" w:rsidP="004454D6">
            <w:pPr>
              <w:suppressAutoHyphens/>
              <w:autoSpaceDN w:val="0"/>
              <w:jc w:val="right"/>
              <w:rPr>
                <w:rFonts w:ascii="Arial" w:eastAsia="Times New Roman" w:hAnsi="Arial" w:cs="Arial"/>
                <w:color w:val="000000" w:themeColor="text1"/>
                <w:sz w:val="18"/>
                <w:szCs w:val="18"/>
              </w:rPr>
            </w:pPr>
            <w:r w:rsidRPr="00734C64">
              <w:rPr>
                <w:rFonts w:ascii="Arial" w:eastAsia="Times New Roman" w:hAnsi="Arial" w:cs="Arial"/>
                <w:color w:val="000000" w:themeColor="text1"/>
                <w:sz w:val="18"/>
                <w:szCs w:val="18"/>
              </w:rPr>
              <w:t>20</w:t>
            </w:r>
          </w:p>
        </w:tc>
        <w:tc>
          <w:tcPr>
            <w:tcW w:w="1134" w:type="dxa"/>
            <w:shd w:val="clear" w:color="auto" w:fill="auto"/>
            <w:vAlign w:val="bottom"/>
          </w:tcPr>
          <w:p w14:paraId="47D5516E" w14:textId="77777777" w:rsidR="006A1846" w:rsidRPr="0056686B" w:rsidRDefault="006A1846" w:rsidP="004454D6">
            <w:pPr>
              <w:suppressAutoHyphens/>
              <w:autoSpaceDN w:val="0"/>
              <w:jc w:val="right"/>
              <w:rPr>
                <w:rFonts w:ascii="Arial" w:eastAsia="Times New Roman" w:hAnsi="Arial" w:cs="Arial"/>
                <w:color w:val="000000" w:themeColor="text1"/>
                <w:sz w:val="18"/>
                <w:szCs w:val="18"/>
              </w:rPr>
            </w:pPr>
            <w:r w:rsidRPr="004E1C27">
              <w:rPr>
                <w:rFonts w:ascii="Arial" w:eastAsia="Times New Roman" w:hAnsi="Arial" w:cs="Arial"/>
                <w:color w:val="000000" w:themeColor="text1"/>
                <w:sz w:val="18"/>
                <w:szCs w:val="18"/>
              </w:rPr>
              <w:t xml:space="preserve"> (2)</w:t>
            </w:r>
          </w:p>
        </w:tc>
      </w:tr>
      <w:tr w:rsidR="006A1846" w:rsidRPr="0056686B" w14:paraId="3629BF5D" w14:textId="77777777" w:rsidTr="004454D6">
        <w:trPr>
          <w:trHeight w:val="184"/>
        </w:trPr>
        <w:tc>
          <w:tcPr>
            <w:tcW w:w="6237" w:type="dxa"/>
            <w:tcBorders>
              <w:top w:val="nil"/>
              <w:left w:val="nil"/>
              <w:bottom w:val="nil"/>
              <w:right w:val="nil"/>
            </w:tcBorders>
            <w:shd w:val="clear" w:color="auto" w:fill="auto"/>
            <w:vAlign w:val="bottom"/>
          </w:tcPr>
          <w:p w14:paraId="23812FB7" w14:textId="77777777" w:rsidR="006A1846" w:rsidRPr="0056686B" w:rsidRDefault="006A1846" w:rsidP="004454D6">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Porez na dobit</w:t>
            </w:r>
          </w:p>
        </w:tc>
        <w:tc>
          <w:tcPr>
            <w:tcW w:w="1276" w:type="dxa"/>
            <w:shd w:val="clear" w:color="auto" w:fill="auto"/>
            <w:noWrap/>
            <w:vAlign w:val="bottom"/>
          </w:tcPr>
          <w:p w14:paraId="2E10338F" w14:textId="77777777" w:rsidR="006A1846" w:rsidRPr="0056686B" w:rsidRDefault="006A1846" w:rsidP="004454D6">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r w:rsidRPr="00734C64">
              <w:rPr>
                <w:rFonts w:ascii="Arial" w:eastAsia="Times New Roman" w:hAnsi="Arial" w:cs="Arial"/>
                <w:color w:val="000000" w:themeColor="text1"/>
                <w:sz w:val="18"/>
                <w:szCs w:val="18"/>
              </w:rPr>
              <w:t>8</w:t>
            </w:r>
            <w:r>
              <w:rPr>
                <w:rFonts w:ascii="Arial" w:eastAsia="Times New Roman" w:hAnsi="Arial" w:cs="Arial"/>
                <w:color w:val="000000" w:themeColor="text1"/>
                <w:sz w:val="18"/>
                <w:szCs w:val="18"/>
              </w:rPr>
              <w:t>)</w:t>
            </w:r>
          </w:p>
        </w:tc>
        <w:tc>
          <w:tcPr>
            <w:tcW w:w="1134" w:type="dxa"/>
            <w:shd w:val="clear" w:color="auto" w:fill="auto"/>
            <w:vAlign w:val="bottom"/>
          </w:tcPr>
          <w:p w14:paraId="3E96B1A4" w14:textId="77777777" w:rsidR="006A1846" w:rsidRPr="0056686B" w:rsidRDefault="006A1846" w:rsidP="004454D6">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r>
      <w:tr w:rsidR="006A1846" w:rsidRPr="0056686B" w14:paraId="62C0F347" w14:textId="77777777" w:rsidTr="004454D6">
        <w:trPr>
          <w:trHeight w:val="184"/>
        </w:trPr>
        <w:tc>
          <w:tcPr>
            <w:tcW w:w="6237" w:type="dxa"/>
            <w:tcBorders>
              <w:top w:val="nil"/>
              <w:left w:val="nil"/>
              <w:bottom w:val="nil"/>
              <w:right w:val="nil"/>
            </w:tcBorders>
            <w:shd w:val="clear" w:color="auto" w:fill="auto"/>
            <w:vAlign w:val="bottom"/>
          </w:tcPr>
          <w:p w14:paraId="7A9F2401" w14:textId="77777777" w:rsidR="006A1846" w:rsidRPr="0056686B" w:rsidRDefault="006A1846" w:rsidP="004454D6">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Obračunane kamate</w:t>
            </w:r>
          </w:p>
        </w:tc>
        <w:tc>
          <w:tcPr>
            <w:tcW w:w="1276" w:type="dxa"/>
            <w:shd w:val="clear" w:color="auto" w:fill="auto"/>
            <w:noWrap/>
            <w:vAlign w:val="bottom"/>
          </w:tcPr>
          <w:p w14:paraId="463536AB" w14:textId="77777777" w:rsidR="006A1846" w:rsidRPr="0056686B" w:rsidRDefault="006A1846" w:rsidP="004454D6">
            <w:pPr>
              <w:suppressAutoHyphens/>
              <w:autoSpaceDN w:val="0"/>
              <w:jc w:val="right"/>
              <w:rPr>
                <w:rFonts w:ascii="Arial" w:eastAsia="Times New Roman" w:hAnsi="Arial" w:cs="Arial"/>
                <w:color w:val="000000" w:themeColor="text1"/>
                <w:sz w:val="18"/>
                <w:szCs w:val="18"/>
              </w:rPr>
            </w:pPr>
            <w:r w:rsidRPr="00734C64">
              <w:rPr>
                <w:rFonts w:ascii="Arial" w:eastAsia="Times New Roman" w:hAnsi="Arial" w:cs="Arial"/>
                <w:color w:val="000000" w:themeColor="text1"/>
                <w:sz w:val="18"/>
                <w:szCs w:val="18"/>
              </w:rPr>
              <w:t>8</w:t>
            </w:r>
          </w:p>
        </w:tc>
        <w:tc>
          <w:tcPr>
            <w:tcW w:w="1134" w:type="dxa"/>
            <w:shd w:val="clear" w:color="auto" w:fill="auto"/>
            <w:vAlign w:val="bottom"/>
          </w:tcPr>
          <w:p w14:paraId="027F2527" w14:textId="77777777" w:rsidR="006A1846" w:rsidRPr="0056686B" w:rsidRDefault="006A1846" w:rsidP="004454D6">
            <w:pPr>
              <w:suppressAutoHyphens/>
              <w:autoSpaceDN w:val="0"/>
              <w:jc w:val="right"/>
              <w:rPr>
                <w:rFonts w:ascii="Arial" w:eastAsia="Times New Roman" w:hAnsi="Arial" w:cs="Arial"/>
                <w:color w:val="000000" w:themeColor="text1"/>
                <w:sz w:val="18"/>
                <w:szCs w:val="18"/>
              </w:rPr>
            </w:pPr>
            <w:r w:rsidRPr="004E1C27">
              <w:rPr>
                <w:rFonts w:ascii="Arial" w:eastAsia="Times New Roman" w:hAnsi="Arial" w:cs="Arial"/>
                <w:color w:val="000000" w:themeColor="text1"/>
                <w:sz w:val="18"/>
                <w:szCs w:val="18"/>
              </w:rPr>
              <w:t xml:space="preserve"> (6)</w:t>
            </w:r>
          </w:p>
        </w:tc>
      </w:tr>
      <w:tr w:rsidR="006A1846" w:rsidRPr="0056686B" w14:paraId="4690C7B7" w14:textId="77777777" w:rsidTr="004454D6">
        <w:trPr>
          <w:trHeight w:val="184"/>
        </w:trPr>
        <w:tc>
          <w:tcPr>
            <w:tcW w:w="6237" w:type="dxa"/>
            <w:tcBorders>
              <w:top w:val="nil"/>
              <w:left w:val="nil"/>
              <w:bottom w:val="nil"/>
              <w:right w:val="nil"/>
            </w:tcBorders>
            <w:shd w:val="clear" w:color="auto" w:fill="auto"/>
            <w:vAlign w:val="bottom"/>
          </w:tcPr>
          <w:p w14:paraId="1F41C7C9" w14:textId="77777777" w:rsidR="006A1846" w:rsidRPr="0056686B" w:rsidRDefault="006A1846" w:rsidP="004454D6">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Ostalo</w:t>
            </w:r>
          </w:p>
        </w:tc>
        <w:tc>
          <w:tcPr>
            <w:tcW w:w="1276" w:type="dxa"/>
            <w:shd w:val="clear" w:color="auto" w:fill="auto"/>
            <w:noWrap/>
            <w:vAlign w:val="bottom"/>
          </w:tcPr>
          <w:p w14:paraId="399A1E18" w14:textId="77777777" w:rsidR="006A1846" w:rsidRPr="0056686B" w:rsidRDefault="006A1846" w:rsidP="004454D6">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shd w:val="clear" w:color="auto" w:fill="auto"/>
            <w:vAlign w:val="bottom"/>
          </w:tcPr>
          <w:p w14:paraId="688161C6" w14:textId="77777777" w:rsidR="006A1846" w:rsidRPr="004E1C27" w:rsidRDefault="006A1846" w:rsidP="004454D6">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r>
      <w:tr w:rsidR="006A1846" w:rsidRPr="0056686B" w14:paraId="63781AE2" w14:textId="77777777" w:rsidTr="004454D6">
        <w:trPr>
          <w:trHeight w:val="184"/>
        </w:trPr>
        <w:tc>
          <w:tcPr>
            <w:tcW w:w="6237" w:type="dxa"/>
            <w:tcBorders>
              <w:top w:val="nil"/>
              <w:left w:val="nil"/>
              <w:bottom w:val="nil"/>
              <w:right w:val="nil"/>
            </w:tcBorders>
            <w:shd w:val="clear" w:color="auto" w:fill="auto"/>
            <w:vAlign w:val="bottom"/>
          </w:tcPr>
          <w:p w14:paraId="3B4A88B4" w14:textId="77777777" w:rsidR="006A1846" w:rsidRPr="0056686B" w:rsidRDefault="006A1846" w:rsidP="004454D6">
            <w:pPr>
              <w:suppressAutoHyphens/>
              <w:autoSpaceDN w:val="0"/>
              <w:rPr>
                <w:rFonts w:ascii="Arial" w:eastAsia="Times New Roman" w:hAnsi="Arial" w:cs="Arial"/>
                <w:color w:val="000000" w:themeColor="text1"/>
                <w:sz w:val="18"/>
                <w:szCs w:val="18"/>
              </w:rPr>
            </w:pPr>
            <w:r w:rsidRPr="00734C64">
              <w:rPr>
                <w:rFonts w:ascii="Arial" w:eastAsia="Times New Roman" w:hAnsi="Arial" w:cs="Arial"/>
                <w:color w:val="000000" w:themeColor="text1"/>
                <w:sz w:val="18"/>
                <w:szCs w:val="18"/>
              </w:rPr>
              <w:t>Premija/diskont od FVOC</w:t>
            </w:r>
          </w:p>
        </w:tc>
        <w:tc>
          <w:tcPr>
            <w:tcW w:w="1276" w:type="dxa"/>
            <w:shd w:val="clear" w:color="auto" w:fill="auto"/>
            <w:noWrap/>
            <w:vAlign w:val="bottom"/>
          </w:tcPr>
          <w:p w14:paraId="356B3756" w14:textId="77777777" w:rsidR="006A1846" w:rsidRDefault="006A1846" w:rsidP="004454D6">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7</w:t>
            </w:r>
          </w:p>
        </w:tc>
        <w:tc>
          <w:tcPr>
            <w:tcW w:w="1134" w:type="dxa"/>
            <w:shd w:val="clear" w:color="auto" w:fill="auto"/>
            <w:vAlign w:val="bottom"/>
          </w:tcPr>
          <w:p w14:paraId="6D369ED4" w14:textId="77777777" w:rsidR="006A1846" w:rsidRDefault="006A1846" w:rsidP="004454D6">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r>
      <w:tr w:rsidR="006A1846" w:rsidRPr="0056686B" w14:paraId="5028092D" w14:textId="77777777" w:rsidTr="004454D6">
        <w:trPr>
          <w:trHeight w:val="164"/>
        </w:trPr>
        <w:tc>
          <w:tcPr>
            <w:tcW w:w="6237" w:type="dxa"/>
            <w:tcBorders>
              <w:left w:val="nil"/>
              <w:right w:val="nil"/>
            </w:tcBorders>
            <w:shd w:val="clear" w:color="auto" w:fill="auto"/>
            <w:vAlign w:val="bottom"/>
          </w:tcPr>
          <w:p w14:paraId="11AC3149" w14:textId="77777777" w:rsidR="006A1846" w:rsidRPr="0056686B" w:rsidRDefault="006A1846" w:rsidP="004454D6">
            <w:pPr>
              <w:suppressAutoHyphens/>
              <w:autoSpaceDN w:val="0"/>
              <w:rPr>
                <w:rFonts w:ascii="Arial" w:eastAsia="Times New Roman" w:hAnsi="Arial" w:cs="Arial"/>
                <w:i/>
                <w:color w:val="000000" w:themeColor="text1"/>
                <w:sz w:val="18"/>
                <w:szCs w:val="18"/>
              </w:rPr>
            </w:pPr>
            <w:r w:rsidRPr="0056686B">
              <w:rPr>
                <w:rFonts w:ascii="Arial" w:eastAsia="Times New Roman" w:hAnsi="Arial" w:cs="Arial"/>
                <w:i/>
                <w:color w:val="000000" w:themeColor="text1"/>
                <w:sz w:val="18"/>
                <w:szCs w:val="18"/>
              </w:rPr>
              <w:t>Dobit iz poslovnih aktivnosti prije promjena radnoga kapitala</w:t>
            </w:r>
          </w:p>
        </w:tc>
        <w:tc>
          <w:tcPr>
            <w:tcW w:w="1276" w:type="dxa"/>
            <w:shd w:val="clear" w:color="auto" w:fill="auto"/>
            <w:noWrap/>
            <w:vAlign w:val="bottom"/>
          </w:tcPr>
          <w:p w14:paraId="15EB878D" w14:textId="2A5F26CD" w:rsidR="006A1846" w:rsidRPr="004E1C27" w:rsidRDefault="006A1846" w:rsidP="004454D6">
            <w:pPr>
              <w:suppressAutoHyphens/>
              <w:autoSpaceDN w:val="0"/>
              <w:jc w:val="right"/>
              <w:rPr>
                <w:rFonts w:ascii="Arial" w:eastAsia="Times New Roman" w:hAnsi="Arial" w:cs="Arial"/>
                <w:i/>
                <w:iCs/>
                <w:color w:val="000000" w:themeColor="text1"/>
                <w:sz w:val="18"/>
                <w:szCs w:val="18"/>
              </w:rPr>
            </w:pPr>
            <w:r w:rsidRPr="00734C64">
              <w:rPr>
                <w:rFonts w:ascii="Arial" w:eastAsia="Times New Roman" w:hAnsi="Arial" w:cs="Arial"/>
                <w:i/>
                <w:iCs/>
                <w:color w:val="000000" w:themeColor="text1"/>
                <w:sz w:val="18"/>
                <w:szCs w:val="18"/>
              </w:rPr>
              <w:t>22</w:t>
            </w:r>
            <w:r w:rsidR="00A54D5B">
              <w:rPr>
                <w:rFonts w:ascii="Arial" w:eastAsia="Times New Roman" w:hAnsi="Arial" w:cs="Arial"/>
                <w:i/>
                <w:iCs/>
                <w:color w:val="000000" w:themeColor="text1"/>
                <w:sz w:val="18"/>
                <w:szCs w:val="18"/>
              </w:rPr>
              <w:t>4</w:t>
            </w:r>
          </w:p>
        </w:tc>
        <w:tc>
          <w:tcPr>
            <w:tcW w:w="1134" w:type="dxa"/>
            <w:shd w:val="clear" w:color="auto" w:fill="auto"/>
            <w:vAlign w:val="bottom"/>
          </w:tcPr>
          <w:p w14:paraId="07BBF163" w14:textId="77777777" w:rsidR="006A1846" w:rsidRPr="004E1C27" w:rsidRDefault="006A1846" w:rsidP="004454D6">
            <w:pPr>
              <w:suppressAutoHyphens/>
              <w:autoSpaceDN w:val="0"/>
              <w:jc w:val="right"/>
              <w:rPr>
                <w:rFonts w:ascii="Arial" w:eastAsia="Times New Roman" w:hAnsi="Arial" w:cs="Arial"/>
                <w:i/>
                <w:iCs/>
                <w:color w:val="000000" w:themeColor="text1"/>
                <w:sz w:val="18"/>
                <w:szCs w:val="18"/>
              </w:rPr>
            </w:pPr>
            <w:r w:rsidRPr="004E1C27">
              <w:rPr>
                <w:rFonts w:ascii="Arial" w:eastAsia="Times New Roman" w:hAnsi="Arial" w:cs="Arial"/>
                <w:i/>
                <w:iCs/>
                <w:color w:val="000000" w:themeColor="text1"/>
                <w:sz w:val="18"/>
                <w:szCs w:val="18"/>
              </w:rPr>
              <w:t>414</w:t>
            </w:r>
          </w:p>
        </w:tc>
      </w:tr>
      <w:tr w:rsidR="006A1846" w:rsidRPr="0056686B" w14:paraId="3B812FA4" w14:textId="77777777" w:rsidTr="004454D6">
        <w:trPr>
          <w:trHeight w:val="60"/>
        </w:trPr>
        <w:tc>
          <w:tcPr>
            <w:tcW w:w="6237" w:type="dxa"/>
            <w:tcBorders>
              <w:left w:val="nil"/>
              <w:bottom w:val="nil"/>
              <w:right w:val="nil"/>
            </w:tcBorders>
            <w:shd w:val="clear" w:color="auto" w:fill="auto"/>
            <w:vAlign w:val="bottom"/>
          </w:tcPr>
          <w:p w14:paraId="2AF4F59D" w14:textId="77777777" w:rsidR="006A1846" w:rsidRPr="0056686B" w:rsidRDefault="006A1846" w:rsidP="004454D6">
            <w:pPr>
              <w:suppressAutoHyphens/>
              <w:autoSpaceDN w:val="0"/>
              <w:spacing w:line="140" w:lineRule="exact"/>
              <w:rPr>
                <w:rFonts w:ascii="Arial" w:eastAsia="Times New Roman" w:hAnsi="Arial" w:cs="Arial"/>
                <w:color w:val="000000" w:themeColor="text1"/>
                <w:sz w:val="18"/>
                <w:szCs w:val="18"/>
              </w:rPr>
            </w:pPr>
          </w:p>
        </w:tc>
        <w:tc>
          <w:tcPr>
            <w:tcW w:w="1276" w:type="dxa"/>
            <w:shd w:val="clear" w:color="auto" w:fill="auto"/>
            <w:noWrap/>
            <w:vAlign w:val="bottom"/>
          </w:tcPr>
          <w:p w14:paraId="127F61F4" w14:textId="77777777" w:rsidR="006A1846" w:rsidRPr="0056686B" w:rsidRDefault="006A1846" w:rsidP="004454D6">
            <w:pPr>
              <w:suppressAutoHyphens/>
              <w:autoSpaceDN w:val="0"/>
              <w:jc w:val="right"/>
              <w:rPr>
                <w:rFonts w:ascii="Arial" w:eastAsia="Times New Roman" w:hAnsi="Arial" w:cs="Arial"/>
                <w:color w:val="000000" w:themeColor="text1"/>
                <w:sz w:val="18"/>
                <w:szCs w:val="18"/>
              </w:rPr>
            </w:pPr>
          </w:p>
        </w:tc>
        <w:tc>
          <w:tcPr>
            <w:tcW w:w="1134" w:type="dxa"/>
            <w:shd w:val="clear" w:color="auto" w:fill="auto"/>
            <w:vAlign w:val="bottom"/>
          </w:tcPr>
          <w:p w14:paraId="3BDD7FEB" w14:textId="77777777" w:rsidR="006A1846" w:rsidRPr="0056686B" w:rsidRDefault="006A1846" w:rsidP="004454D6">
            <w:pPr>
              <w:suppressAutoHyphens/>
              <w:autoSpaceDN w:val="0"/>
              <w:jc w:val="right"/>
              <w:rPr>
                <w:rFonts w:ascii="Arial" w:eastAsia="Times New Roman" w:hAnsi="Arial" w:cs="Arial"/>
                <w:color w:val="000000" w:themeColor="text1"/>
                <w:sz w:val="18"/>
                <w:szCs w:val="18"/>
              </w:rPr>
            </w:pPr>
          </w:p>
        </w:tc>
      </w:tr>
      <w:tr w:rsidR="006A1846" w:rsidRPr="0056686B" w14:paraId="4E3E5746" w14:textId="77777777" w:rsidTr="004454D6">
        <w:trPr>
          <w:trHeight w:val="148"/>
        </w:trPr>
        <w:tc>
          <w:tcPr>
            <w:tcW w:w="6237" w:type="dxa"/>
            <w:tcBorders>
              <w:top w:val="nil"/>
              <w:left w:val="nil"/>
              <w:bottom w:val="nil"/>
              <w:right w:val="nil"/>
            </w:tcBorders>
            <w:shd w:val="clear" w:color="auto" w:fill="auto"/>
            <w:vAlign w:val="bottom"/>
          </w:tcPr>
          <w:p w14:paraId="660D752D" w14:textId="77777777" w:rsidR="006A1846" w:rsidRPr="00624CCA" w:rsidRDefault="006A1846" w:rsidP="004454D6">
            <w:pPr>
              <w:suppressAutoHyphens/>
              <w:autoSpaceDN w:val="0"/>
              <w:rPr>
                <w:rFonts w:ascii="Arial" w:eastAsia="Times New Roman" w:hAnsi="Arial" w:cs="Arial"/>
                <w:b/>
                <w:color w:val="000000" w:themeColor="text1"/>
                <w:sz w:val="18"/>
                <w:szCs w:val="18"/>
              </w:rPr>
            </w:pPr>
            <w:r w:rsidRPr="00624CCA">
              <w:rPr>
                <w:rFonts w:ascii="Arial" w:eastAsia="Times New Roman" w:hAnsi="Arial" w:cs="Arial"/>
                <w:b/>
                <w:color w:val="000000" w:themeColor="text1"/>
                <w:sz w:val="18"/>
                <w:szCs w:val="18"/>
              </w:rPr>
              <w:t>Promjene u poslovnim sredstvima i izvorima</w:t>
            </w:r>
          </w:p>
        </w:tc>
        <w:tc>
          <w:tcPr>
            <w:tcW w:w="1276" w:type="dxa"/>
            <w:shd w:val="clear" w:color="auto" w:fill="auto"/>
            <w:noWrap/>
            <w:vAlign w:val="bottom"/>
          </w:tcPr>
          <w:p w14:paraId="2D552DF1" w14:textId="77777777" w:rsidR="006A1846" w:rsidRPr="0056686B" w:rsidRDefault="006A1846" w:rsidP="004454D6">
            <w:pPr>
              <w:suppressAutoHyphens/>
              <w:autoSpaceDN w:val="0"/>
              <w:jc w:val="right"/>
              <w:rPr>
                <w:rFonts w:ascii="Arial" w:eastAsia="Times New Roman" w:hAnsi="Arial" w:cs="Arial"/>
                <w:color w:val="000000" w:themeColor="text1"/>
                <w:sz w:val="18"/>
                <w:szCs w:val="18"/>
              </w:rPr>
            </w:pPr>
          </w:p>
        </w:tc>
        <w:tc>
          <w:tcPr>
            <w:tcW w:w="1134" w:type="dxa"/>
            <w:shd w:val="clear" w:color="auto" w:fill="auto"/>
            <w:vAlign w:val="bottom"/>
          </w:tcPr>
          <w:p w14:paraId="37D05449" w14:textId="77777777" w:rsidR="006A1846" w:rsidRPr="0056686B" w:rsidRDefault="006A1846" w:rsidP="004454D6">
            <w:pPr>
              <w:suppressAutoHyphens/>
              <w:autoSpaceDN w:val="0"/>
              <w:jc w:val="right"/>
              <w:rPr>
                <w:rFonts w:ascii="Arial" w:eastAsia="Times New Roman" w:hAnsi="Arial" w:cs="Arial"/>
                <w:color w:val="000000" w:themeColor="text1"/>
                <w:sz w:val="18"/>
                <w:szCs w:val="18"/>
              </w:rPr>
            </w:pPr>
          </w:p>
        </w:tc>
      </w:tr>
      <w:tr w:rsidR="006A1846" w:rsidRPr="0056686B" w14:paraId="40FD68B8" w14:textId="77777777" w:rsidTr="004454D6">
        <w:trPr>
          <w:trHeight w:val="148"/>
        </w:trPr>
        <w:tc>
          <w:tcPr>
            <w:tcW w:w="6237" w:type="dxa"/>
            <w:tcBorders>
              <w:top w:val="nil"/>
              <w:left w:val="nil"/>
              <w:bottom w:val="nil"/>
              <w:right w:val="nil"/>
            </w:tcBorders>
            <w:shd w:val="clear" w:color="auto" w:fill="auto"/>
            <w:vAlign w:val="bottom"/>
          </w:tcPr>
          <w:p w14:paraId="48A701B4" w14:textId="77777777" w:rsidR="006A1846" w:rsidRPr="00624CCA" w:rsidRDefault="006A1846" w:rsidP="004454D6">
            <w:pPr>
              <w:suppressAutoHyphens/>
              <w:autoSpaceDN w:val="0"/>
              <w:rPr>
                <w:rFonts w:ascii="Arial" w:eastAsia="Times New Roman" w:hAnsi="Arial" w:cs="Arial"/>
                <w:color w:val="000000" w:themeColor="text1"/>
                <w:sz w:val="18"/>
                <w:szCs w:val="18"/>
              </w:rPr>
            </w:pPr>
            <w:r w:rsidRPr="00734C64">
              <w:rPr>
                <w:rFonts w:ascii="Arial" w:eastAsia="Times New Roman" w:hAnsi="Arial" w:cs="Arial"/>
                <w:color w:val="000000" w:themeColor="text1"/>
                <w:sz w:val="18"/>
                <w:szCs w:val="18"/>
              </w:rPr>
              <w:t>Neto (povećanje)/smanjenje depozita kod drugih banaka</w:t>
            </w:r>
          </w:p>
        </w:tc>
        <w:tc>
          <w:tcPr>
            <w:tcW w:w="1276" w:type="dxa"/>
            <w:shd w:val="clear" w:color="auto" w:fill="auto"/>
            <w:noWrap/>
            <w:vAlign w:val="bottom"/>
          </w:tcPr>
          <w:p w14:paraId="49F93819" w14:textId="77777777" w:rsidR="006A1846" w:rsidRPr="0056686B" w:rsidRDefault="006A1846" w:rsidP="004454D6">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r w:rsidRPr="00734C64">
              <w:rPr>
                <w:rFonts w:ascii="Arial" w:eastAsia="Times New Roman" w:hAnsi="Arial" w:cs="Arial"/>
                <w:color w:val="000000" w:themeColor="text1"/>
                <w:sz w:val="18"/>
                <w:szCs w:val="18"/>
              </w:rPr>
              <w:t>1.550</w:t>
            </w:r>
            <w:r>
              <w:rPr>
                <w:rFonts w:ascii="Arial" w:eastAsia="Times New Roman" w:hAnsi="Arial" w:cs="Arial"/>
                <w:color w:val="000000" w:themeColor="text1"/>
                <w:sz w:val="18"/>
                <w:szCs w:val="18"/>
              </w:rPr>
              <w:t>)</w:t>
            </w:r>
          </w:p>
        </w:tc>
        <w:tc>
          <w:tcPr>
            <w:tcW w:w="1134" w:type="dxa"/>
            <w:shd w:val="clear" w:color="auto" w:fill="auto"/>
            <w:vAlign w:val="bottom"/>
          </w:tcPr>
          <w:p w14:paraId="78E9EB86" w14:textId="77777777" w:rsidR="006A1846" w:rsidRPr="0056686B" w:rsidRDefault="006A1846" w:rsidP="004454D6">
            <w:pPr>
              <w:suppressAutoHyphens/>
              <w:autoSpaceDN w:val="0"/>
              <w:jc w:val="right"/>
              <w:rPr>
                <w:rFonts w:ascii="Arial" w:eastAsia="Times New Roman" w:hAnsi="Arial" w:cs="Arial"/>
                <w:color w:val="000000" w:themeColor="text1"/>
                <w:sz w:val="18"/>
                <w:szCs w:val="18"/>
              </w:rPr>
            </w:pPr>
            <w:r w:rsidRPr="004E1C27">
              <w:rPr>
                <w:rFonts w:ascii="Arial" w:eastAsia="Times New Roman" w:hAnsi="Arial" w:cs="Arial"/>
                <w:color w:val="000000" w:themeColor="text1"/>
                <w:sz w:val="18"/>
                <w:szCs w:val="18"/>
              </w:rPr>
              <w:t>250</w:t>
            </w:r>
          </w:p>
        </w:tc>
      </w:tr>
      <w:tr w:rsidR="006A1846" w:rsidRPr="0056686B" w14:paraId="711B1EA1" w14:textId="77777777" w:rsidTr="004454D6">
        <w:trPr>
          <w:trHeight w:val="254"/>
        </w:trPr>
        <w:tc>
          <w:tcPr>
            <w:tcW w:w="6237" w:type="dxa"/>
            <w:tcBorders>
              <w:top w:val="nil"/>
              <w:left w:val="nil"/>
              <w:bottom w:val="nil"/>
              <w:right w:val="nil"/>
            </w:tcBorders>
            <w:shd w:val="clear" w:color="auto" w:fill="auto"/>
            <w:vAlign w:val="bottom"/>
          </w:tcPr>
          <w:p w14:paraId="54A72A31" w14:textId="77777777" w:rsidR="006A1846" w:rsidRPr="00624CCA" w:rsidRDefault="006A1846" w:rsidP="004454D6">
            <w:pPr>
              <w:suppressAutoHyphens/>
              <w:autoSpaceDN w:val="0"/>
              <w:rPr>
                <w:rFonts w:ascii="Arial" w:eastAsia="Times New Roman" w:hAnsi="Arial" w:cs="Arial"/>
                <w:color w:val="000000" w:themeColor="text1"/>
                <w:sz w:val="18"/>
                <w:szCs w:val="18"/>
              </w:rPr>
            </w:pPr>
            <w:r w:rsidRPr="008519ED">
              <w:rPr>
                <w:rFonts w:ascii="Arial" w:eastAsia="Times New Roman" w:hAnsi="Arial" w:cs="Arial"/>
                <w:color w:val="000000" w:themeColor="text1"/>
                <w:sz w:val="18"/>
                <w:szCs w:val="18"/>
              </w:rPr>
              <w:t>Smanjenje</w:t>
            </w:r>
            <w:r w:rsidRPr="00624CCA">
              <w:rPr>
                <w:rFonts w:ascii="Arial" w:eastAsia="Times New Roman" w:hAnsi="Arial" w:cs="Arial"/>
                <w:color w:val="000000" w:themeColor="text1"/>
                <w:sz w:val="18"/>
                <w:szCs w:val="18"/>
              </w:rPr>
              <w:t xml:space="preserve"> diskonta po imovini raspoloživoj za prodaju i imovini do dospijeća</w:t>
            </w:r>
          </w:p>
        </w:tc>
        <w:tc>
          <w:tcPr>
            <w:tcW w:w="1276" w:type="dxa"/>
            <w:shd w:val="clear" w:color="auto" w:fill="auto"/>
            <w:noWrap/>
            <w:vAlign w:val="bottom"/>
          </w:tcPr>
          <w:p w14:paraId="2C0A815A" w14:textId="77777777" w:rsidR="006A1846" w:rsidRPr="0056686B" w:rsidRDefault="006A1846" w:rsidP="004454D6">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shd w:val="clear" w:color="auto" w:fill="auto"/>
            <w:vAlign w:val="bottom"/>
          </w:tcPr>
          <w:p w14:paraId="2A113496" w14:textId="77777777" w:rsidR="006A1846" w:rsidRPr="0056686B" w:rsidRDefault="006A1846" w:rsidP="004454D6">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9</w:t>
            </w:r>
          </w:p>
        </w:tc>
      </w:tr>
      <w:tr w:rsidR="006A1846" w:rsidRPr="0056686B" w14:paraId="251D596B" w14:textId="77777777" w:rsidTr="004454D6">
        <w:trPr>
          <w:trHeight w:val="254"/>
        </w:trPr>
        <w:tc>
          <w:tcPr>
            <w:tcW w:w="6237" w:type="dxa"/>
            <w:tcBorders>
              <w:top w:val="nil"/>
              <w:left w:val="nil"/>
              <w:bottom w:val="nil"/>
              <w:right w:val="nil"/>
            </w:tcBorders>
            <w:shd w:val="clear" w:color="auto" w:fill="auto"/>
            <w:vAlign w:val="bottom"/>
          </w:tcPr>
          <w:p w14:paraId="3872F2E9" w14:textId="77777777" w:rsidR="006A1846" w:rsidRPr="00624CCA" w:rsidRDefault="006A1846" w:rsidP="004454D6">
            <w:pPr>
              <w:suppressAutoHyphens/>
              <w:autoSpaceDN w:val="0"/>
              <w:rPr>
                <w:rFonts w:ascii="Arial" w:eastAsia="Times New Roman" w:hAnsi="Arial" w:cs="Arial"/>
                <w:color w:val="000000" w:themeColor="text1"/>
                <w:sz w:val="18"/>
                <w:szCs w:val="18"/>
              </w:rPr>
            </w:pPr>
            <w:r w:rsidRPr="00624CCA">
              <w:rPr>
                <w:rFonts w:ascii="Arial" w:eastAsia="Times New Roman" w:hAnsi="Arial" w:cs="Arial"/>
                <w:color w:val="000000" w:themeColor="text1"/>
                <w:sz w:val="18"/>
                <w:szCs w:val="18"/>
              </w:rPr>
              <w:t>Potraživanja po premijama</w:t>
            </w:r>
          </w:p>
        </w:tc>
        <w:tc>
          <w:tcPr>
            <w:tcW w:w="1276" w:type="dxa"/>
            <w:shd w:val="clear" w:color="auto" w:fill="auto"/>
            <w:noWrap/>
            <w:vAlign w:val="bottom"/>
          </w:tcPr>
          <w:p w14:paraId="2CDDA831" w14:textId="77777777" w:rsidR="006A1846" w:rsidRPr="0056686B" w:rsidRDefault="006A1846" w:rsidP="004454D6">
            <w:pPr>
              <w:suppressAutoHyphens/>
              <w:autoSpaceDN w:val="0"/>
              <w:jc w:val="right"/>
              <w:rPr>
                <w:rFonts w:ascii="Arial" w:eastAsia="Times New Roman" w:hAnsi="Arial" w:cs="Arial"/>
                <w:color w:val="000000" w:themeColor="text1"/>
                <w:sz w:val="18"/>
                <w:szCs w:val="18"/>
              </w:rPr>
            </w:pPr>
            <w:r w:rsidRPr="00FE76E9">
              <w:rPr>
                <w:rFonts w:ascii="Arial" w:eastAsia="Times New Roman" w:hAnsi="Arial" w:cs="Arial"/>
                <w:color w:val="000000" w:themeColor="text1"/>
                <w:sz w:val="18"/>
                <w:szCs w:val="18"/>
              </w:rPr>
              <w:t>150</w:t>
            </w:r>
          </w:p>
        </w:tc>
        <w:tc>
          <w:tcPr>
            <w:tcW w:w="1134" w:type="dxa"/>
            <w:shd w:val="clear" w:color="auto" w:fill="auto"/>
            <w:vAlign w:val="bottom"/>
          </w:tcPr>
          <w:p w14:paraId="4E8A2795" w14:textId="77777777" w:rsidR="006A1846" w:rsidRPr="0056686B" w:rsidRDefault="006A1846" w:rsidP="004454D6">
            <w:pPr>
              <w:suppressAutoHyphens/>
              <w:autoSpaceDN w:val="0"/>
              <w:jc w:val="right"/>
              <w:rPr>
                <w:rFonts w:ascii="Arial" w:eastAsia="Times New Roman" w:hAnsi="Arial" w:cs="Arial"/>
                <w:color w:val="000000" w:themeColor="text1"/>
                <w:sz w:val="18"/>
                <w:szCs w:val="18"/>
              </w:rPr>
            </w:pPr>
            <w:r w:rsidRPr="004E1C27">
              <w:rPr>
                <w:rFonts w:ascii="Arial" w:eastAsia="Times New Roman" w:hAnsi="Arial" w:cs="Arial"/>
                <w:color w:val="000000" w:themeColor="text1"/>
                <w:sz w:val="18"/>
                <w:szCs w:val="18"/>
              </w:rPr>
              <w:t>(200)</w:t>
            </w:r>
          </w:p>
        </w:tc>
      </w:tr>
      <w:tr w:rsidR="006A1846" w:rsidRPr="0056686B" w14:paraId="3EDDA554" w14:textId="77777777" w:rsidTr="004454D6">
        <w:trPr>
          <w:trHeight w:val="254"/>
        </w:trPr>
        <w:tc>
          <w:tcPr>
            <w:tcW w:w="6237" w:type="dxa"/>
            <w:tcBorders>
              <w:top w:val="nil"/>
              <w:left w:val="nil"/>
              <w:bottom w:val="nil"/>
              <w:right w:val="nil"/>
            </w:tcBorders>
            <w:shd w:val="clear" w:color="auto" w:fill="auto"/>
            <w:vAlign w:val="bottom"/>
          </w:tcPr>
          <w:p w14:paraId="71FC32FD" w14:textId="77777777" w:rsidR="006A1846" w:rsidRPr="00624CCA" w:rsidRDefault="006A1846" w:rsidP="004454D6">
            <w:pPr>
              <w:suppressAutoHyphens/>
              <w:autoSpaceDN w:val="0"/>
              <w:rPr>
                <w:rFonts w:ascii="Arial" w:eastAsia="Times New Roman" w:hAnsi="Arial" w:cs="Arial"/>
                <w:color w:val="000000" w:themeColor="text1"/>
                <w:sz w:val="18"/>
                <w:szCs w:val="18"/>
              </w:rPr>
            </w:pPr>
            <w:r w:rsidRPr="001E798C">
              <w:rPr>
                <w:rFonts w:ascii="Arial" w:eastAsia="Times New Roman" w:hAnsi="Arial" w:cs="Arial"/>
                <w:color w:val="000000" w:themeColor="text1"/>
                <w:sz w:val="18"/>
                <w:szCs w:val="18"/>
              </w:rPr>
              <w:t>Neto (povećanje)</w:t>
            </w:r>
            <w:r>
              <w:rPr>
                <w:rFonts w:ascii="Arial" w:eastAsia="Times New Roman" w:hAnsi="Arial" w:cs="Arial"/>
                <w:color w:val="000000" w:themeColor="text1"/>
                <w:sz w:val="18"/>
                <w:szCs w:val="18"/>
              </w:rPr>
              <w:t>/smanjenje</w:t>
            </w:r>
            <w:r w:rsidRPr="00624CCA">
              <w:rPr>
                <w:rFonts w:ascii="Arial" w:eastAsia="Times New Roman" w:hAnsi="Arial" w:cs="Arial"/>
                <w:color w:val="000000" w:themeColor="text1"/>
                <w:sz w:val="18"/>
                <w:szCs w:val="18"/>
              </w:rPr>
              <w:t xml:space="preserve"> ostale imovine</w:t>
            </w:r>
          </w:p>
        </w:tc>
        <w:tc>
          <w:tcPr>
            <w:tcW w:w="1276" w:type="dxa"/>
            <w:shd w:val="clear" w:color="auto" w:fill="auto"/>
            <w:noWrap/>
            <w:vAlign w:val="bottom"/>
          </w:tcPr>
          <w:p w14:paraId="733CFAEF" w14:textId="77777777" w:rsidR="006A1846" w:rsidRPr="0056686B" w:rsidRDefault="006A1846" w:rsidP="004454D6">
            <w:pPr>
              <w:suppressAutoHyphens/>
              <w:autoSpaceDN w:val="0"/>
              <w:jc w:val="right"/>
              <w:rPr>
                <w:rFonts w:ascii="Arial" w:eastAsia="Times New Roman" w:hAnsi="Arial" w:cs="Arial"/>
                <w:color w:val="000000" w:themeColor="text1"/>
                <w:sz w:val="18"/>
                <w:szCs w:val="18"/>
              </w:rPr>
            </w:pPr>
            <w:r w:rsidRPr="00FE76E9">
              <w:rPr>
                <w:rFonts w:ascii="Arial" w:eastAsia="Times New Roman" w:hAnsi="Arial" w:cs="Arial"/>
                <w:color w:val="000000" w:themeColor="text1"/>
                <w:sz w:val="18"/>
                <w:szCs w:val="18"/>
              </w:rPr>
              <w:t>(36)</w:t>
            </w:r>
          </w:p>
        </w:tc>
        <w:tc>
          <w:tcPr>
            <w:tcW w:w="1134" w:type="dxa"/>
            <w:shd w:val="clear" w:color="auto" w:fill="auto"/>
            <w:vAlign w:val="bottom"/>
          </w:tcPr>
          <w:p w14:paraId="057399BD" w14:textId="77777777" w:rsidR="006A1846" w:rsidRPr="0056686B" w:rsidRDefault="006A1846" w:rsidP="004454D6">
            <w:pPr>
              <w:suppressAutoHyphens/>
              <w:autoSpaceDN w:val="0"/>
              <w:jc w:val="right"/>
              <w:rPr>
                <w:rFonts w:ascii="Arial" w:eastAsia="Times New Roman" w:hAnsi="Arial" w:cs="Arial"/>
                <w:color w:val="000000" w:themeColor="text1"/>
                <w:sz w:val="18"/>
                <w:szCs w:val="18"/>
              </w:rPr>
            </w:pPr>
            <w:r w:rsidRPr="004E1C27">
              <w:rPr>
                <w:rFonts w:ascii="Arial" w:eastAsia="Times New Roman" w:hAnsi="Arial" w:cs="Arial"/>
                <w:color w:val="000000" w:themeColor="text1"/>
                <w:sz w:val="18"/>
                <w:szCs w:val="18"/>
              </w:rPr>
              <w:t xml:space="preserve"> 5 </w:t>
            </w:r>
          </w:p>
        </w:tc>
      </w:tr>
      <w:tr w:rsidR="006A1846" w:rsidRPr="0056686B" w14:paraId="5FFD7574" w14:textId="77777777" w:rsidTr="004454D6">
        <w:trPr>
          <w:trHeight w:val="254"/>
        </w:trPr>
        <w:tc>
          <w:tcPr>
            <w:tcW w:w="6237" w:type="dxa"/>
            <w:tcBorders>
              <w:top w:val="nil"/>
              <w:left w:val="nil"/>
              <w:bottom w:val="nil"/>
              <w:right w:val="nil"/>
            </w:tcBorders>
            <w:shd w:val="clear" w:color="auto" w:fill="auto"/>
            <w:vAlign w:val="bottom"/>
          </w:tcPr>
          <w:p w14:paraId="581C4DCC" w14:textId="77777777" w:rsidR="006A1846" w:rsidRPr="00624CCA" w:rsidRDefault="006A1846" w:rsidP="004454D6">
            <w:pPr>
              <w:suppressAutoHyphens/>
              <w:autoSpaceDN w:val="0"/>
              <w:rPr>
                <w:rFonts w:ascii="Arial" w:eastAsia="Times New Roman" w:hAnsi="Arial" w:cs="Arial"/>
                <w:color w:val="000000" w:themeColor="text1"/>
                <w:sz w:val="18"/>
                <w:szCs w:val="18"/>
              </w:rPr>
            </w:pPr>
            <w:r w:rsidRPr="00210DC2">
              <w:rPr>
                <w:rFonts w:ascii="Arial" w:eastAsia="Times New Roman" w:hAnsi="Arial" w:cs="Arial"/>
                <w:color w:val="000000" w:themeColor="text1"/>
                <w:sz w:val="18"/>
                <w:szCs w:val="18"/>
              </w:rPr>
              <w:t>Neto smanjenje</w:t>
            </w:r>
            <w:r w:rsidRPr="00624CCA">
              <w:rPr>
                <w:rFonts w:ascii="Arial" w:eastAsia="Times New Roman" w:hAnsi="Arial" w:cs="Arial"/>
                <w:color w:val="000000" w:themeColor="text1"/>
                <w:sz w:val="18"/>
                <w:szCs w:val="18"/>
              </w:rPr>
              <w:t xml:space="preserve"> imovine i obveza iz poslova osiguranja</w:t>
            </w:r>
          </w:p>
        </w:tc>
        <w:tc>
          <w:tcPr>
            <w:tcW w:w="1276" w:type="dxa"/>
            <w:shd w:val="clear" w:color="auto" w:fill="auto"/>
            <w:noWrap/>
            <w:vAlign w:val="bottom"/>
          </w:tcPr>
          <w:p w14:paraId="50E1737C" w14:textId="77777777" w:rsidR="006A1846" w:rsidRPr="0056686B" w:rsidRDefault="006A1846" w:rsidP="004454D6">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shd w:val="clear" w:color="auto" w:fill="auto"/>
            <w:vAlign w:val="bottom"/>
          </w:tcPr>
          <w:p w14:paraId="741836DB" w14:textId="77777777" w:rsidR="006A1846" w:rsidRPr="0056686B" w:rsidRDefault="006A1846" w:rsidP="004454D6">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r>
      <w:tr w:rsidR="006A1846" w:rsidRPr="0056686B" w14:paraId="13204226" w14:textId="77777777" w:rsidTr="004454D6">
        <w:trPr>
          <w:trHeight w:val="254"/>
        </w:trPr>
        <w:tc>
          <w:tcPr>
            <w:tcW w:w="6237" w:type="dxa"/>
            <w:tcBorders>
              <w:top w:val="nil"/>
              <w:left w:val="nil"/>
              <w:bottom w:val="nil"/>
              <w:right w:val="nil"/>
            </w:tcBorders>
            <w:shd w:val="clear" w:color="auto" w:fill="auto"/>
            <w:vAlign w:val="bottom"/>
          </w:tcPr>
          <w:p w14:paraId="198FD3C3" w14:textId="77777777" w:rsidR="006A1846" w:rsidRPr="00624CCA" w:rsidRDefault="006A1846" w:rsidP="004454D6">
            <w:pPr>
              <w:suppressAutoHyphens/>
              <w:autoSpaceDN w:val="0"/>
              <w:rPr>
                <w:rFonts w:ascii="Arial" w:eastAsia="Times New Roman" w:hAnsi="Arial" w:cs="Arial"/>
                <w:color w:val="000000" w:themeColor="text1"/>
                <w:sz w:val="18"/>
                <w:szCs w:val="18"/>
              </w:rPr>
            </w:pPr>
            <w:r w:rsidRPr="00624CCA">
              <w:rPr>
                <w:rFonts w:ascii="Arial" w:eastAsia="Times New Roman" w:hAnsi="Arial" w:cs="Arial"/>
                <w:color w:val="000000" w:themeColor="text1"/>
                <w:sz w:val="18"/>
                <w:szCs w:val="18"/>
              </w:rPr>
              <w:t xml:space="preserve">Neto </w:t>
            </w:r>
            <w:r>
              <w:rPr>
                <w:rFonts w:ascii="Arial" w:eastAsia="Times New Roman" w:hAnsi="Arial" w:cs="Arial"/>
                <w:color w:val="000000" w:themeColor="text1"/>
                <w:sz w:val="18"/>
                <w:szCs w:val="18"/>
              </w:rPr>
              <w:t>povećanje/</w:t>
            </w:r>
            <w:r w:rsidRPr="00624CCA">
              <w:rPr>
                <w:rFonts w:ascii="Arial" w:eastAsia="Times New Roman" w:hAnsi="Arial" w:cs="Arial"/>
                <w:color w:val="000000" w:themeColor="text1"/>
                <w:sz w:val="18"/>
                <w:szCs w:val="18"/>
              </w:rPr>
              <w:t>(</w:t>
            </w:r>
            <w:r w:rsidRPr="00210DC2">
              <w:rPr>
                <w:rFonts w:ascii="Arial" w:eastAsia="Times New Roman" w:hAnsi="Arial" w:cs="Arial"/>
                <w:color w:val="000000" w:themeColor="text1"/>
                <w:sz w:val="18"/>
                <w:szCs w:val="18"/>
              </w:rPr>
              <w:t>smanjenje)</w:t>
            </w:r>
            <w:r w:rsidRPr="00624CCA">
              <w:rPr>
                <w:rFonts w:ascii="Arial" w:eastAsia="Times New Roman" w:hAnsi="Arial" w:cs="Arial"/>
                <w:color w:val="000000" w:themeColor="text1"/>
                <w:sz w:val="18"/>
                <w:szCs w:val="18"/>
              </w:rPr>
              <w:t xml:space="preserve"> tehničkih pričuva</w:t>
            </w:r>
          </w:p>
        </w:tc>
        <w:tc>
          <w:tcPr>
            <w:tcW w:w="1276" w:type="dxa"/>
            <w:shd w:val="clear" w:color="auto" w:fill="auto"/>
            <w:noWrap/>
            <w:vAlign w:val="bottom"/>
          </w:tcPr>
          <w:p w14:paraId="3DBB938A" w14:textId="77777777" w:rsidR="006A1846" w:rsidRPr="0056686B" w:rsidRDefault="006A1846" w:rsidP="004454D6">
            <w:pPr>
              <w:suppressAutoHyphens/>
              <w:autoSpaceDN w:val="0"/>
              <w:jc w:val="right"/>
              <w:rPr>
                <w:rFonts w:ascii="Arial" w:eastAsia="Times New Roman" w:hAnsi="Arial" w:cs="Arial"/>
                <w:color w:val="000000" w:themeColor="text1"/>
                <w:sz w:val="18"/>
                <w:szCs w:val="18"/>
              </w:rPr>
            </w:pPr>
            <w:r w:rsidRPr="00FE76E9">
              <w:rPr>
                <w:rFonts w:ascii="Arial" w:eastAsia="Times New Roman" w:hAnsi="Arial" w:cs="Arial"/>
                <w:color w:val="000000" w:themeColor="text1"/>
                <w:sz w:val="18"/>
                <w:szCs w:val="18"/>
              </w:rPr>
              <w:t>254</w:t>
            </w:r>
          </w:p>
        </w:tc>
        <w:tc>
          <w:tcPr>
            <w:tcW w:w="1134" w:type="dxa"/>
            <w:shd w:val="clear" w:color="auto" w:fill="auto"/>
            <w:vAlign w:val="bottom"/>
          </w:tcPr>
          <w:p w14:paraId="6017FBB5" w14:textId="77777777" w:rsidR="006A1846" w:rsidRPr="0056686B" w:rsidRDefault="006A1846" w:rsidP="004454D6">
            <w:pPr>
              <w:suppressAutoHyphens/>
              <w:autoSpaceDN w:val="0"/>
              <w:jc w:val="right"/>
              <w:rPr>
                <w:rFonts w:ascii="Arial" w:eastAsia="Times New Roman" w:hAnsi="Arial" w:cs="Arial"/>
                <w:color w:val="000000" w:themeColor="text1"/>
                <w:sz w:val="18"/>
                <w:szCs w:val="18"/>
              </w:rPr>
            </w:pPr>
            <w:r w:rsidRPr="004E1C27">
              <w:rPr>
                <w:rFonts w:ascii="Arial" w:eastAsia="Times New Roman" w:hAnsi="Arial" w:cs="Arial"/>
                <w:color w:val="000000" w:themeColor="text1"/>
                <w:sz w:val="18"/>
                <w:szCs w:val="18"/>
              </w:rPr>
              <w:t xml:space="preserve"> (589)</w:t>
            </w:r>
          </w:p>
        </w:tc>
      </w:tr>
      <w:tr w:rsidR="006A1846" w:rsidRPr="0056686B" w14:paraId="21297B9F" w14:textId="77777777" w:rsidTr="004454D6">
        <w:trPr>
          <w:trHeight w:val="254"/>
        </w:trPr>
        <w:tc>
          <w:tcPr>
            <w:tcW w:w="6237" w:type="dxa"/>
            <w:tcBorders>
              <w:top w:val="nil"/>
              <w:left w:val="nil"/>
              <w:bottom w:val="nil"/>
              <w:right w:val="nil"/>
            </w:tcBorders>
            <w:shd w:val="clear" w:color="auto" w:fill="auto"/>
            <w:vAlign w:val="bottom"/>
          </w:tcPr>
          <w:p w14:paraId="579654CA" w14:textId="77777777" w:rsidR="006A1846" w:rsidRPr="00624CCA" w:rsidRDefault="006A1846" w:rsidP="004454D6">
            <w:pPr>
              <w:suppressAutoHyphens/>
              <w:autoSpaceDN w:val="0"/>
              <w:rPr>
                <w:rFonts w:ascii="Arial" w:eastAsia="Times New Roman" w:hAnsi="Arial" w:cs="Arial"/>
                <w:color w:val="000000" w:themeColor="text1"/>
                <w:sz w:val="18"/>
                <w:szCs w:val="18"/>
              </w:rPr>
            </w:pPr>
            <w:r w:rsidRPr="00624CCA">
              <w:rPr>
                <w:rFonts w:ascii="Arial" w:eastAsia="Times New Roman" w:hAnsi="Arial" w:cs="Arial"/>
                <w:color w:val="000000" w:themeColor="text1"/>
                <w:sz w:val="18"/>
                <w:szCs w:val="18"/>
              </w:rPr>
              <w:t xml:space="preserve">Neto </w:t>
            </w:r>
            <w:r w:rsidRPr="00210DC2">
              <w:rPr>
                <w:rFonts w:ascii="Arial" w:eastAsia="Times New Roman" w:hAnsi="Arial" w:cs="Arial"/>
                <w:color w:val="000000" w:themeColor="text1"/>
                <w:sz w:val="18"/>
                <w:szCs w:val="18"/>
              </w:rPr>
              <w:t>povećanje</w:t>
            </w:r>
            <w:r w:rsidRPr="00624CCA">
              <w:rPr>
                <w:rFonts w:ascii="Arial" w:eastAsia="Times New Roman" w:hAnsi="Arial" w:cs="Arial"/>
                <w:color w:val="000000" w:themeColor="text1"/>
                <w:sz w:val="18"/>
                <w:szCs w:val="18"/>
              </w:rPr>
              <w:t xml:space="preserve"> ostalih obveza</w:t>
            </w:r>
          </w:p>
        </w:tc>
        <w:tc>
          <w:tcPr>
            <w:tcW w:w="1276" w:type="dxa"/>
            <w:tcBorders>
              <w:top w:val="nil"/>
              <w:left w:val="nil"/>
              <w:bottom w:val="single" w:sz="4" w:space="0" w:color="auto"/>
              <w:right w:val="nil"/>
            </w:tcBorders>
            <w:shd w:val="clear" w:color="auto" w:fill="auto"/>
            <w:noWrap/>
            <w:vAlign w:val="bottom"/>
          </w:tcPr>
          <w:p w14:paraId="3D3FB0EF" w14:textId="72F7A5C8" w:rsidR="006A1846" w:rsidRPr="0056686B" w:rsidRDefault="006A1846" w:rsidP="004454D6">
            <w:pPr>
              <w:suppressAutoHyphens/>
              <w:autoSpaceDN w:val="0"/>
              <w:jc w:val="right"/>
              <w:rPr>
                <w:rFonts w:ascii="Arial" w:eastAsia="Times New Roman" w:hAnsi="Arial" w:cs="Arial"/>
                <w:color w:val="000000" w:themeColor="text1"/>
                <w:sz w:val="18"/>
                <w:szCs w:val="18"/>
              </w:rPr>
            </w:pPr>
            <w:r w:rsidRPr="00FE76E9">
              <w:rPr>
                <w:rFonts w:ascii="Arial" w:eastAsia="Times New Roman" w:hAnsi="Arial" w:cs="Arial"/>
                <w:color w:val="000000" w:themeColor="text1"/>
                <w:sz w:val="18"/>
                <w:szCs w:val="18"/>
              </w:rPr>
              <w:t>10</w:t>
            </w:r>
            <w:r w:rsidR="00A54D5B">
              <w:rPr>
                <w:rFonts w:ascii="Arial" w:eastAsia="Times New Roman" w:hAnsi="Arial" w:cs="Arial"/>
                <w:color w:val="000000" w:themeColor="text1"/>
                <w:sz w:val="18"/>
                <w:szCs w:val="18"/>
              </w:rPr>
              <w:t>3</w:t>
            </w:r>
          </w:p>
        </w:tc>
        <w:tc>
          <w:tcPr>
            <w:tcW w:w="1134" w:type="dxa"/>
            <w:tcBorders>
              <w:top w:val="nil"/>
              <w:left w:val="nil"/>
              <w:bottom w:val="single" w:sz="4" w:space="0" w:color="auto"/>
              <w:right w:val="nil"/>
            </w:tcBorders>
            <w:shd w:val="clear" w:color="auto" w:fill="auto"/>
            <w:vAlign w:val="bottom"/>
          </w:tcPr>
          <w:p w14:paraId="4F739BB6" w14:textId="77777777" w:rsidR="006A1846" w:rsidRPr="0056686B" w:rsidRDefault="006A1846" w:rsidP="004454D6">
            <w:pPr>
              <w:suppressAutoHyphens/>
              <w:autoSpaceDN w:val="0"/>
              <w:jc w:val="right"/>
              <w:rPr>
                <w:rFonts w:ascii="Arial" w:eastAsia="Times New Roman" w:hAnsi="Arial" w:cs="Arial"/>
                <w:color w:val="000000" w:themeColor="text1"/>
                <w:sz w:val="18"/>
                <w:szCs w:val="18"/>
              </w:rPr>
            </w:pPr>
            <w:r w:rsidRPr="004E1C27">
              <w:rPr>
                <w:rFonts w:ascii="Arial" w:eastAsia="Times New Roman" w:hAnsi="Arial" w:cs="Arial"/>
                <w:color w:val="000000" w:themeColor="text1"/>
                <w:sz w:val="18"/>
                <w:szCs w:val="18"/>
              </w:rPr>
              <w:t xml:space="preserve"> 3 </w:t>
            </w:r>
          </w:p>
        </w:tc>
      </w:tr>
      <w:tr w:rsidR="006A1846" w:rsidRPr="0056686B" w14:paraId="101AA515" w14:textId="77777777" w:rsidTr="004454D6">
        <w:trPr>
          <w:trHeight w:val="190"/>
        </w:trPr>
        <w:tc>
          <w:tcPr>
            <w:tcW w:w="6237" w:type="dxa"/>
            <w:tcBorders>
              <w:left w:val="nil"/>
              <w:right w:val="nil"/>
            </w:tcBorders>
            <w:shd w:val="clear" w:color="auto" w:fill="auto"/>
            <w:vAlign w:val="bottom"/>
          </w:tcPr>
          <w:p w14:paraId="4F7848D2" w14:textId="77777777" w:rsidR="006A1846" w:rsidRPr="00624CCA" w:rsidRDefault="006A1846" w:rsidP="004454D6">
            <w:pPr>
              <w:suppressAutoHyphens/>
              <w:autoSpaceDN w:val="0"/>
              <w:rPr>
                <w:rFonts w:ascii="Arial" w:eastAsia="Times New Roman" w:hAnsi="Arial" w:cs="Arial"/>
                <w:b/>
                <w:bCs/>
                <w:color w:val="000000" w:themeColor="text1"/>
                <w:sz w:val="18"/>
                <w:szCs w:val="18"/>
              </w:rPr>
            </w:pPr>
            <w:r w:rsidRPr="00624CCA">
              <w:rPr>
                <w:rFonts w:ascii="Arial" w:eastAsia="Times New Roman" w:hAnsi="Arial" w:cs="Arial"/>
                <w:b/>
                <w:bCs/>
                <w:color w:val="000000" w:themeColor="text1"/>
                <w:sz w:val="18"/>
                <w:szCs w:val="18"/>
              </w:rPr>
              <w:t xml:space="preserve">Neto novčana </w:t>
            </w:r>
            <w:r w:rsidRPr="00210DC2">
              <w:rPr>
                <w:rFonts w:ascii="Arial" w:eastAsia="Times New Roman" w:hAnsi="Arial" w:cs="Arial"/>
                <w:b/>
                <w:bCs/>
                <w:color w:val="000000" w:themeColor="text1"/>
                <w:sz w:val="18"/>
                <w:szCs w:val="18"/>
              </w:rPr>
              <w:t xml:space="preserve">sredstva </w:t>
            </w:r>
            <w:r>
              <w:rPr>
                <w:rFonts w:ascii="Arial" w:eastAsia="Times New Roman" w:hAnsi="Arial" w:cs="Arial"/>
                <w:b/>
                <w:bCs/>
                <w:color w:val="000000" w:themeColor="text1"/>
                <w:sz w:val="18"/>
                <w:szCs w:val="18"/>
              </w:rPr>
              <w:t>(uporabljena)</w:t>
            </w:r>
            <w:r w:rsidRPr="00624CCA">
              <w:rPr>
                <w:rFonts w:ascii="Arial" w:eastAsia="Times New Roman" w:hAnsi="Arial" w:cs="Arial"/>
                <w:b/>
                <w:bCs/>
                <w:color w:val="000000" w:themeColor="text1"/>
                <w:sz w:val="18"/>
                <w:szCs w:val="18"/>
              </w:rPr>
              <w:t xml:space="preserve"> </w:t>
            </w:r>
            <w:r>
              <w:rPr>
                <w:rFonts w:ascii="Arial" w:eastAsia="Times New Roman" w:hAnsi="Arial" w:cs="Arial"/>
                <w:b/>
                <w:bCs/>
                <w:color w:val="000000" w:themeColor="text1"/>
                <w:sz w:val="18"/>
                <w:szCs w:val="18"/>
              </w:rPr>
              <w:t>u</w:t>
            </w:r>
            <w:r w:rsidRPr="00624CCA">
              <w:rPr>
                <w:rFonts w:ascii="Arial" w:eastAsia="Times New Roman" w:hAnsi="Arial" w:cs="Arial"/>
                <w:b/>
                <w:bCs/>
                <w:color w:val="000000" w:themeColor="text1"/>
                <w:sz w:val="18"/>
                <w:szCs w:val="18"/>
              </w:rPr>
              <w:t xml:space="preserve"> poslovni</w:t>
            </w:r>
            <w:r>
              <w:rPr>
                <w:rFonts w:ascii="Arial" w:eastAsia="Times New Roman" w:hAnsi="Arial" w:cs="Arial"/>
                <w:b/>
                <w:bCs/>
                <w:color w:val="000000" w:themeColor="text1"/>
                <w:sz w:val="18"/>
                <w:szCs w:val="18"/>
              </w:rPr>
              <w:t>m</w:t>
            </w:r>
            <w:r w:rsidRPr="00624CCA">
              <w:rPr>
                <w:rFonts w:ascii="Arial" w:eastAsia="Times New Roman" w:hAnsi="Arial" w:cs="Arial"/>
                <w:b/>
                <w:bCs/>
                <w:color w:val="000000" w:themeColor="text1"/>
                <w:sz w:val="18"/>
                <w:szCs w:val="18"/>
              </w:rPr>
              <w:t xml:space="preserve"> aktivnosti</w:t>
            </w:r>
            <w:r>
              <w:rPr>
                <w:rFonts w:ascii="Arial" w:eastAsia="Times New Roman" w:hAnsi="Arial" w:cs="Arial"/>
                <w:b/>
                <w:bCs/>
                <w:color w:val="000000" w:themeColor="text1"/>
                <w:sz w:val="18"/>
                <w:szCs w:val="18"/>
              </w:rPr>
              <w:t>ma</w:t>
            </w:r>
          </w:p>
        </w:tc>
        <w:tc>
          <w:tcPr>
            <w:tcW w:w="1276" w:type="dxa"/>
            <w:tcBorders>
              <w:top w:val="single" w:sz="4" w:space="0" w:color="auto"/>
              <w:left w:val="nil"/>
              <w:bottom w:val="nil"/>
              <w:right w:val="nil"/>
            </w:tcBorders>
            <w:shd w:val="clear" w:color="auto" w:fill="auto"/>
            <w:noWrap/>
            <w:vAlign w:val="bottom"/>
          </w:tcPr>
          <w:p w14:paraId="548E73C2" w14:textId="77777777" w:rsidR="006A1846" w:rsidRPr="0056686B" w:rsidRDefault="006A1846" w:rsidP="004454D6">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w:t>
            </w:r>
            <w:r w:rsidRPr="00FE76E9">
              <w:rPr>
                <w:rFonts w:ascii="Arial" w:eastAsia="Times New Roman" w:hAnsi="Arial" w:cs="Arial"/>
                <w:b/>
                <w:bCs/>
                <w:color w:val="000000" w:themeColor="text1"/>
                <w:sz w:val="18"/>
                <w:szCs w:val="18"/>
              </w:rPr>
              <w:t>855</w:t>
            </w:r>
            <w:r>
              <w:rPr>
                <w:rFonts w:ascii="Arial" w:eastAsia="Times New Roman" w:hAnsi="Arial" w:cs="Arial"/>
                <w:b/>
                <w:bCs/>
                <w:color w:val="000000" w:themeColor="text1"/>
                <w:sz w:val="18"/>
                <w:szCs w:val="18"/>
              </w:rPr>
              <w:t>)</w:t>
            </w:r>
          </w:p>
        </w:tc>
        <w:tc>
          <w:tcPr>
            <w:tcW w:w="1134" w:type="dxa"/>
            <w:tcBorders>
              <w:top w:val="single" w:sz="4" w:space="0" w:color="auto"/>
              <w:left w:val="nil"/>
              <w:bottom w:val="nil"/>
              <w:right w:val="nil"/>
            </w:tcBorders>
            <w:shd w:val="clear" w:color="auto" w:fill="auto"/>
            <w:vAlign w:val="bottom"/>
          </w:tcPr>
          <w:p w14:paraId="77FBC0A6" w14:textId="77777777" w:rsidR="006A1846" w:rsidRPr="0056686B" w:rsidRDefault="006A1846" w:rsidP="004454D6">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w:t>
            </w:r>
            <w:r w:rsidRPr="004E1C27">
              <w:rPr>
                <w:rFonts w:ascii="Arial" w:eastAsia="Times New Roman" w:hAnsi="Arial" w:cs="Arial"/>
                <w:b/>
                <w:bCs/>
                <w:color w:val="000000" w:themeColor="text1"/>
                <w:sz w:val="18"/>
                <w:szCs w:val="18"/>
              </w:rPr>
              <w:t>108</w:t>
            </w:r>
            <w:r>
              <w:rPr>
                <w:rFonts w:ascii="Arial" w:eastAsia="Times New Roman" w:hAnsi="Arial" w:cs="Arial"/>
                <w:b/>
                <w:bCs/>
                <w:color w:val="000000" w:themeColor="text1"/>
                <w:sz w:val="18"/>
                <w:szCs w:val="18"/>
              </w:rPr>
              <w:t>)</w:t>
            </w:r>
          </w:p>
        </w:tc>
      </w:tr>
      <w:tr w:rsidR="006A1846" w:rsidRPr="0056686B" w14:paraId="1238F858" w14:textId="77777777" w:rsidTr="004454D6">
        <w:trPr>
          <w:trHeight w:val="74"/>
        </w:trPr>
        <w:tc>
          <w:tcPr>
            <w:tcW w:w="6237" w:type="dxa"/>
            <w:tcBorders>
              <w:top w:val="nil"/>
              <w:left w:val="nil"/>
              <w:bottom w:val="nil"/>
              <w:right w:val="nil"/>
            </w:tcBorders>
            <w:shd w:val="clear" w:color="auto" w:fill="auto"/>
            <w:vAlign w:val="bottom"/>
          </w:tcPr>
          <w:p w14:paraId="693BC502" w14:textId="77777777" w:rsidR="006A1846" w:rsidRPr="00624CCA" w:rsidRDefault="006A1846" w:rsidP="004454D6">
            <w:pPr>
              <w:suppressAutoHyphens/>
              <w:autoSpaceDN w:val="0"/>
              <w:spacing w:line="140" w:lineRule="exact"/>
              <w:rPr>
                <w:rFonts w:ascii="Arial" w:eastAsia="Times New Roman" w:hAnsi="Arial" w:cs="Arial"/>
                <w:color w:val="000000" w:themeColor="text1"/>
                <w:sz w:val="18"/>
                <w:szCs w:val="18"/>
              </w:rPr>
            </w:pPr>
          </w:p>
        </w:tc>
        <w:tc>
          <w:tcPr>
            <w:tcW w:w="1276" w:type="dxa"/>
            <w:tcBorders>
              <w:top w:val="single" w:sz="12" w:space="0" w:color="auto"/>
              <w:left w:val="nil"/>
              <w:bottom w:val="nil"/>
              <w:right w:val="nil"/>
            </w:tcBorders>
            <w:shd w:val="clear" w:color="auto" w:fill="auto"/>
            <w:noWrap/>
            <w:vAlign w:val="bottom"/>
          </w:tcPr>
          <w:p w14:paraId="3501C847" w14:textId="77777777" w:rsidR="006A1846" w:rsidRPr="0056686B" w:rsidRDefault="006A1846" w:rsidP="004454D6">
            <w:pPr>
              <w:suppressAutoHyphens/>
              <w:autoSpaceDN w:val="0"/>
              <w:spacing w:line="140" w:lineRule="exact"/>
              <w:jc w:val="right"/>
              <w:rPr>
                <w:rFonts w:ascii="Arial" w:eastAsia="Times New Roman" w:hAnsi="Arial" w:cs="Arial"/>
                <w:bCs/>
                <w:color w:val="000000" w:themeColor="text1"/>
                <w:sz w:val="18"/>
                <w:szCs w:val="18"/>
              </w:rPr>
            </w:pPr>
          </w:p>
        </w:tc>
        <w:tc>
          <w:tcPr>
            <w:tcW w:w="1134" w:type="dxa"/>
            <w:tcBorders>
              <w:top w:val="single" w:sz="12" w:space="0" w:color="auto"/>
              <w:left w:val="nil"/>
              <w:bottom w:val="nil"/>
              <w:right w:val="nil"/>
            </w:tcBorders>
            <w:shd w:val="clear" w:color="auto" w:fill="auto"/>
            <w:vAlign w:val="bottom"/>
          </w:tcPr>
          <w:p w14:paraId="206D0A83" w14:textId="77777777" w:rsidR="006A1846" w:rsidRPr="0056686B" w:rsidRDefault="006A1846" w:rsidP="004454D6">
            <w:pPr>
              <w:suppressAutoHyphens/>
              <w:autoSpaceDN w:val="0"/>
              <w:spacing w:line="140" w:lineRule="exact"/>
              <w:jc w:val="right"/>
              <w:rPr>
                <w:rFonts w:ascii="Arial" w:eastAsia="Times New Roman" w:hAnsi="Arial" w:cs="Arial"/>
                <w:bCs/>
                <w:color w:val="000000" w:themeColor="text1"/>
                <w:sz w:val="18"/>
                <w:szCs w:val="18"/>
              </w:rPr>
            </w:pPr>
          </w:p>
        </w:tc>
      </w:tr>
      <w:tr w:rsidR="006A1846" w:rsidRPr="0056686B" w14:paraId="5F8C27D9" w14:textId="77777777" w:rsidTr="004454D6">
        <w:trPr>
          <w:trHeight w:val="196"/>
        </w:trPr>
        <w:tc>
          <w:tcPr>
            <w:tcW w:w="6237" w:type="dxa"/>
            <w:tcBorders>
              <w:top w:val="nil"/>
              <w:left w:val="nil"/>
              <w:bottom w:val="nil"/>
              <w:right w:val="nil"/>
            </w:tcBorders>
            <w:shd w:val="clear" w:color="auto" w:fill="auto"/>
            <w:vAlign w:val="bottom"/>
          </w:tcPr>
          <w:p w14:paraId="2E9BF6A7" w14:textId="77777777" w:rsidR="006A1846" w:rsidRPr="00624CCA" w:rsidRDefault="006A1846" w:rsidP="004454D6">
            <w:pPr>
              <w:suppressAutoHyphens/>
              <w:autoSpaceDN w:val="0"/>
              <w:rPr>
                <w:rFonts w:ascii="Arial" w:eastAsia="Times New Roman" w:hAnsi="Arial" w:cs="Arial"/>
                <w:b/>
                <w:color w:val="000000" w:themeColor="text1"/>
                <w:sz w:val="18"/>
                <w:szCs w:val="18"/>
              </w:rPr>
            </w:pPr>
            <w:r w:rsidRPr="00624CCA">
              <w:rPr>
                <w:rFonts w:ascii="Arial" w:eastAsia="Times New Roman" w:hAnsi="Arial" w:cs="Arial"/>
                <w:b/>
                <w:color w:val="000000" w:themeColor="text1"/>
                <w:sz w:val="18"/>
                <w:szCs w:val="18"/>
              </w:rPr>
              <w:t>Ulagateljske aktivnosti</w:t>
            </w:r>
          </w:p>
        </w:tc>
        <w:tc>
          <w:tcPr>
            <w:tcW w:w="1276" w:type="dxa"/>
            <w:shd w:val="clear" w:color="auto" w:fill="auto"/>
            <w:noWrap/>
            <w:vAlign w:val="bottom"/>
          </w:tcPr>
          <w:p w14:paraId="30521E5D" w14:textId="77777777" w:rsidR="006A1846" w:rsidRPr="0056686B" w:rsidRDefault="006A1846" w:rsidP="004454D6">
            <w:pPr>
              <w:suppressAutoHyphens/>
              <w:autoSpaceDN w:val="0"/>
              <w:jc w:val="right"/>
              <w:rPr>
                <w:rFonts w:ascii="Arial" w:eastAsia="Times New Roman" w:hAnsi="Arial" w:cs="Arial"/>
                <w:bCs/>
                <w:color w:val="000000" w:themeColor="text1"/>
                <w:sz w:val="18"/>
                <w:szCs w:val="18"/>
              </w:rPr>
            </w:pPr>
          </w:p>
        </w:tc>
        <w:tc>
          <w:tcPr>
            <w:tcW w:w="1134" w:type="dxa"/>
            <w:shd w:val="clear" w:color="auto" w:fill="auto"/>
            <w:vAlign w:val="bottom"/>
          </w:tcPr>
          <w:p w14:paraId="5963AA61" w14:textId="77777777" w:rsidR="006A1846" w:rsidRPr="0056686B" w:rsidRDefault="006A1846" w:rsidP="004454D6">
            <w:pPr>
              <w:suppressAutoHyphens/>
              <w:autoSpaceDN w:val="0"/>
              <w:jc w:val="right"/>
              <w:rPr>
                <w:rFonts w:ascii="Arial" w:eastAsia="Times New Roman" w:hAnsi="Arial" w:cs="Arial"/>
                <w:bCs/>
                <w:color w:val="000000" w:themeColor="text1"/>
                <w:sz w:val="18"/>
                <w:szCs w:val="18"/>
              </w:rPr>
            </w:pPr>
          </w:p>
        </w:tc>
      </w:tr>
      <w:tr w:rsidR="006A1846" w:rsidRPr="0056686B" w14:paraId="0668C0AF" w14:textId="77777777" w:rsidTr="004454D6">
        <w:trPr>
          <w:trHeight w:val="196"/>
        </w:trPr>
        <w:tc>
          <w:tcPr>
            <w:tcW w:w="6237" w:type="dxa"/>
            <w:tcBorders>
              <w:top w:val="nil"/>
              <w:left w:val="nil"/>
              <w:bottom w:val="nil"/>
              <w:right w:val="nil"/>
            </w:tcBorders>
            <w:shd w:val="clear" w:color="auto" w:fill="auto"/>
            <w:vAlign w:val="bottom"/>
          </w:tcPr>
          <w:p w14:paraId="1EE19D28" w14:textId="77777777" w:rsidR="006A1846" w:rsidRPr="00FE76E9" w:rsidRDefault="006A1846" w:rsidP="004454D6">
            <w:pPr>
              <w:suppressAutoHyphens/>
              <w:autoSpaceDN w:val="0"/>
              <w:rPr>
                <w:rFonts w:ascii="Arial" w:eastAsia="Times New Roman" w:hAnsi="Arial" w:cs="Arial"/>
                <w:bCs/>
                <w:color w:val="000000" w:themeColor="text1"/>
                <w:sz w:val="18"/>
                <w:szCs w:val="18"/>
              </w:rPr>
            </w:pPr>
            <w:r w:rsidRPr="00FE76E9">
              <w:rPr>
                <w:rFonts w:ascii="Arial" w:eastAsia="Times New Roman" w:hAnsi="Arial" w:cs="Arial"/>
                <w:bCs/>
                <w:color w:val="000000" w:themeColor="text1"/>
                <w:sz w:val="18"/>
                <w:szCs w:val="18"/>
              </w:rPr>
              <w:t>Neto prodaja imovine raspoložive za prodaju</w:t>
            </w:r>
          </w:p>
        </w:tc>
        <w:tc>
          <w:tcPr>
            <w:tcW w:w="1276" w:type="dxa"/>
            <w:shd w:val="clear" w:color="auto" w:fill="auto"/>
            <w:noWrap/>
            <w:vAlign w:val="bottom"/>
          </w:tcPr>
          <w:p w14:paraId="5056BB88" w14:textId="77777777" w:rsidR="006A1846" w:rsidRPr="0056686B" w:rsidRDefault="006A1846" w:rsidP="004454D6">
            <w:pPr>
              <w:suppressAutoHyphens/>
              <w:autoSpaceDN w:val="0"/>
              <w:jc w:val="right"/>
              <w:rPr>
                <w:rFonts w:ascii="Arial" w:eastAsia="Times New Roman" w:hAnsi="Arial" w:cs="Arial"/>
                <w:bCs/>
                <w:color w:val="000000" w:themeColor="text1"/>
                <w:sz w:val="18"/>
                <w:szCs w:val="18"/>
              </w:rPr>
            </w:pPr>
            <w:r w:rsidRPr="00FE76E9">
              <w:rPr>
                <w:rFonts w:ascii="Arial" w:eastAsia="Times New Roman" w:hAnsi="Arial" w:cs="Arial"/>
                <w:bCs/>
                <w:color w:val="000000" w:themeColor="text1"/>
                <w:sz w:val="18"/>
                <w:szCs w:val="18"/>
              </w:rPr>
              <w:t>577</w:t>
            </w:r>
          </w:p>
        </w:tc>
        <w:tc>
          <w:tcPr>
            <w:tcW w:w="1134" w:type="dxa"/>
            <w:shd w:val="clear" w:color="auto" w:fill="auto"/>
            <w:vAlign w:val="bottom"/>
          </w:tcPr>
          <w:p w14:paraId="2A652C7F" w14:textId="77777777" w:rsidR="006A1846" w:rsidRPr="0056686B" w:rsidRDefault="006A1846" w:rsidP="004454D6">
            <w:pPr>
              <w:suppressAutoHyphens/>
              <w:autoSpaceDN w:val="0"/>
              <w:jc w:val="right"/>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w:t>
            </w:r>
          </w:p>
        </w:tc>
      </w:tr>
      <w:tr w:rsidR="006A1846" w:rsidRPr="0056686B" w14:paraId="19DDEC44" w14:textId="77777777" w:rsidTr="004454D6">
        <w:trPr>
          <w:trHeight w:val="186"/>
        </w:trPr>
        <w:tc>
          <w:tcPr>
            <w:tcW w:w="6237" w:type="dxa"/>
            <w:tcBorders>
              <w:top w:val="nil"/>
              <w:left w:val="nil"/>
              <w:right w:val="nil"/>
            </w:tcBorders>
            <w:shd w:val="clear" w:color="auto" w:fill="auto"/>
            <w:vAlign w:val="bottom"/>
          </w:tcPr>
          <w:p w14:paraId="7BB4A40E" w14:textId="77777777" w:rsidR="006A1846" w:rsidRPr="00624CCA" w:rsidRDefault="006A1846" w:rsidP="004454D6">
            <w:pPr>
              <w:suppressAutoHyphens/>
              <w:autoSpaceDN w:val="0"/>
              <w:rPr>
                <w:rFonts w:ascii="Arial" w:eastAsia="Times New Roman" w:hAnsi="Arial" w:cs="Arial"/>
                <w:color w:val="000000" w:themeColor="text1"/>
                <w:sz w:val="18"/>
                <w:szCs w:val="18"/>
              </w:rPr>
            </w:pPr>
            <w:r w:rsidRPr="00624CCA">
              <w:rPr>
                <w:rFonts w:ascii="Arial" w:eastAsia="Times New Roman" w:hAnsi="Arial" w:cs="Arial"/>
                <w:color w:val="000000" w:themeColor="text1"/>
                <w:sz w:val="18"/>
                <w:szCs w:val="18"/>
              </w:rPr>
              <w:t>Neto nabava nekretnina, postrojenja i opreme i nematerijalne imovine</w:t>
            </w:r>
          </w:p>
        </w:tc>
        <w:tc>
          <w:tcPr>
            <w:tcW w:w="1276" w:type="dxa"/>
            <w:tcBorders>
              <w:top w:val="nil"/>
              <w:left w:val="nil"/>
              <w:bottom w:val="single" w:sz="4" w:space="0" w:color="auto"/>
              <w:right w:val="nil"/>
            </w:tcBorders>
            <w:shd w:val="clear" w:color="auto" w:fill="auto"/>
            <w:noWrap/>
            <w:vAlign w:val="bottom"/>
          </w:tcPr>
          <w:p w14:paraId="5C06ACEA" w14:textId="77777777" w:rsidR="006A1846" w:rsidRPr="0056686B" w:rsidRDefault="006A1846" w:rsidP="004454D6">
            <w:pPr>
              <w:suppressAutoHyphens/>
              <w:autoSpaceDN w:val="0"/>
              <w:jc w:val="right"/>
              <w:rPr>
                <w:rFonts w:ascii="Arial" w:eastAsia="Times New Roman" w:hAnsi="Arial" w:cs="Arial"/>
                <w:color w:val="000000" w:themeColor="text1"/>
                <w:sz w:val="18"/>
                <w:szCs w:val="18"/>
              </w:rPr>
            </w:pPr>
            <w:r w:rsidRPr="00FE76E9">
              <w:rPr>
                <w:rFonts w:ascii="Arial" w:eastAsia="Times New Roman" w:hAnsi="Arial" w:cs="Arial"/>
                <w:color w:val="000000" w:themeColor="text1"/>
                <w:sz w:val="18"/>
                <w:szCs w:val="18"/>
              </w:rPr>
              <w:t>(150)</w:t>
            </w:r>
          </w:p>
        </w:tc>
        <w:tc>
          <w:tcPr>
            <w:tcW w:w="1134" w:type="dxa"/>
            <w:tcBorders>
              <w:top w:val="nil"/>
              <w:left w:val="nil"/>
              <w:bottom w:val="single" w:sz="4" w:space="0" w:color="auto"/>
              <w:right w:val="nil"/>
            </w:tcBorders>
            <w:shd w:val="clear" w:color="auto" w:fill="auto"/>
            <w:vAlign w:val="bottom"/>
          </w:tcPr>
          <w:p w14:paraId="0724625B" w14:textId="77777777" w:rsidR="006A1846" w:rsidRPr="0056686B" w:rsidRDefault="006A1846" w:rsidP="004454D6">
            <w:pPr>
              <w:suppressAutoHyphens/>
              <w:autoSpaceDN w:val="0"/>
              <w:jc w:val="right"/>
              <w:rPr>
                <w:rFonts w:ascii="Arial" w:eastAsia="Times New Roman" w:hAnsi="Arial" w:cs="Arial"/>
                <w:color w:val="000000" w:themeColor="text1"/>
                <w:sz w:val="18"/>
                <w:szCs w:val="18"/>
              </w:rPr>
            </w:pPr>
            <w:r w:rsidRPr="004E1C27">
              <w:rPr>
                <w:rFonts w:ascii="Arial" w:eastAsia="Times New Roman" w:hAnsi="Arial" w:cs="Arial"/>
                <w:color w:val="000000" w:themeColor="text1"/>
                <w:sz w:val="18"/>
                <w:szCs w:val="18"/>
              </w:rPr>
              <w:t>(109)</w:t>
            </w:r>
          </w:p>
        </w:tc>
      </w:tr>
      <w:tr w:rsidR="006A1846" w:rsidRPr="0056686B" w14:paraId="3E1CD983" w14:textId="77777777" w:rsidTr="004454D6">
        <w:trPr>
          <w:trHeight w:val="166"/>
        </w:trPr>
        <w:tc>
          <w:tcPr>
            <w:tcW w:w="6237" w:type="dxa"/>
            <w:tcBorders>
              <w:left w:val="nil"/>
              <w:right w:val="nil"/>
            </w:tcBorders>
            <w:shd w:val="clear" w:color="auto" w:fill="auto"/>
            <w:vAlign w:val="bottom"/>
          </w:tcPr>
          <w:p w14:paraId="71BDB0CF" w14:textId="77777777" w:rsidR="006A1846" w:rsidRPr="00624CCA" w:rsidRDefault="006A1846" w:rsidP="004454D6">
            <w:pPr>
              <w:suppressAutoHyphens/>
              <w:autoSpaceDN w:val="0"/>
              <w:rPr>
                <w:rFonts w:ascii="Arial" w:eastAsia="Times New Roman" w:hAnsi="Arial" w:cs="Arial"/>
                <w:b/>
                <w:bCs/>
                <w:color w:val="000000" w:themeColor="text1"/>
                <w:sz w:val="18"/>
                <w:szCs w:val="18"/>
              </w:rPr>
            </w:pPr>
            <w:r w:rsidRPr="00624CCA">
              <w:rPr>
                <w:rFonts w:ascii="Arial" w:eastAsia="Times New Roman" w:hAnsi="Arial" w:cs="Arial"/>
                <w:b/>
                <w:bCs/>
                <w:color w:val="000000" w:themeColor="text1"/>
                <w:sz w:val="18"/>
                <w:szCs w:val="18"/>
              </w:rPr>
              <w:t xml:space="preserve">Neto novčana sredstva </w:t>
            </w:r>
            <w:r>
              <w:rPr>
                <w:rFonts w:ascii="Arial" w:eastAsia="Times New Roman" w:hAnsi="Arial" w:cs="Arial"/>
                <w:b/>
                <w:bCs/>
                <w:color w:val="000000" w:themeColor="text1"/>
                <w:sz w:val="18"/>
                <w:szCs w:val="18"/>
              </w:rPr>
              <w:t>ostvarena/</w:t>
            </w:r>
            <w:r w:rsidRPr="00624CCA">
              <w:rPr>
                <w:rFonts w:ascii="Arial" w:eastAsia="Times New Roman" w:hAnsi="Arial" w:cs="Arial"/>
                <w:b/>
                <w:bCs/>
                <w:color w:val="000000" w:themeColor="text1"/>
                <w:sz w:val="18"/>
                <w:szCs w:val="18"/>
              </w:rPr>
              <w:t>(</w:t>
            </w:r>
            <w:r w:rsidRPr="008519ED">
              <w:rPr>
                <w:rFonts w:ascii="Arial" w:eastAsia="Times New Roman" w:hAnsi="Arial" w:cs="Arial"/>
                <w:b/>
                <w:bCs/>
                <w:color w:val="000000" w:themeColor="text1"/>
                <w:sz w:val="18"/>
                <w:szCs w:val="18"/>
              </w:rPr>
              <w:t>uporabljena) u</w:t>
            </w:r>
            <w:r w:rsidRPr="00624CCA">
              <w:rPr>
                <w:rFonts w:ascii="Arial" w:eastAsia="Times New Roman" w:hAnsi="Arial" w:cs="Arial"/>
                <w:b/>
                <w:bCs/>
                <w:color w:val="000000" w:themeColor="text1"/>
                <w:sz w:val="18"/>
                <w:szCs w:val="18"/>
              </w:rPr>
              <w:t xml:space="preserve"> ulagateljskim aktivnostima</w:t>
            </w:r>
          </w:p>
        </w:tc>
        <w:tc>
          <w:tcPr>
            <w:tcW w:w="1276" w:type="dxa"/>
            <w:tcBorders>
              <w:top w:val="nil"/>
              <w:left w:val="nil"/>
              <w:bottom w:val="single" w:sz="4" w:space="0" w:color="auto"/>
              <w:right w:val="nil"/>
            </w:tcBorders>
            <w:shd w:val="clear" w:color="auto" w:fill="auto"/>
            <w:noWrap/>
            <w:vAlign w:val="bottom"/>
          </w:tcPr>
          <w:p w14:paraId="1534F9AD" w14:textId="77777777" w:rsidR="006A1846" w:rsidRPr="00E743FC" w:rsidRDefault="006A1846" w:rsidP="004454D6">
            <w:pPr>
              <w:suppressAutoHyphens/>
              <w:autoSpaceDN w:val="0"/>
              <w:jc w:val="right"/>
              <w:rPr>
                <w:rFonts w:ascii="Arial" w:eastAsia="Times New Roman" w:hAnsi="Arial" w:cs="Arial"/>
                <w:b/>
                <w:bCs/>
                <w:color w:val="000000" w:themeColor="text1"/>
                <w:sz w:val="18"/>
                <w:szCs w:val="18"/>
              </w:rPr>
            </w:pPr>
            <w:r w:rsidRPr="00FE76E9">
              <w:rPr>
                <w:rFonts w:ascii="Arial" w:eastAsia="Times New Roman" w:hAnsi="Arial" w:cs="Arial"/>
                <w:b/>
                <w:bCs/>
                <w:color w:val="000000" w:themeColor="text1"/>
                <w:sz w:val="18"/>
                <w:szCs w:val="18"/>
              </w:rPr>
              <w:t>427</w:t>
            </w:r>
          </w:p>
        </w:tc>
        <w:tc>
          <w:tcPr>
            <w:tcW w:w="1134" w:type="dxa"/>
            <w:tcBorders>
              <w:top w:val="nil"/>
              <w:left w:val="nil"/>
              <w:bottom w:val="single" w:sz="4" w:space="0" w:color="auto"/>
              <w:right w:val="nil"/>
            </w:tcBorders>
            <w:shd w:val="clear" w:color="auto" w:fill="auto"/>
            <w:vAlign w:val="bottom"/>
          </w:tcPr>
          <w:p w14:paraId="2C5B1AB8" w14:textId="77777777" w:rsidR="006A1846" w:rsidRPr="00E743FC" w:rsidRDefault="006A1846" w:rsidP="004454D6">
            <w:pPr>
              <w:suppressAutoHyphens/>
              <w:autoSpaceDN w:val="0"/>
              <w:jc w:val="right"/>
              <w:rPr>
                <w:rFonts w:ascii="Arial" w:eastAsia="Times New Roman" w:hAnsi="Arial" w:cs="Arial"/>
                <w:b/>
                <w:bCs/>
                <w:color w:val="000000" w:themeColor="text1"/>
                <w:sz w:val="18"/>
                <w:szCs w:val="18"/>
              </w:rPr>
            </w:pPr>
            <w:r w:rsidRPr="004E1C27">
              <w:rPr>
                <w:rFonts w:ascii="Arial" w:eastAsia="Times New Roman" w:hAnsi="Arial" w:cs="Arial"/>
                <w:b/>
                <w:bCs/>
                <w:color w:val="000000" w:themeColor="text1"/>
                <w:sz w:val="18"/>
                <w:szCs w:val="18"/>
              </w:rPr>
              <w:t>(109)</w:t>
            </w:r>
          </w:p>
        </w:tc>
      </w:tr>
      <w:tr w:rsidR="006A1846" w:rsidRPr="0056686B" w14:paraId="3F84781C" w14:textId="77777777" w:rsidTr="004454D6">
        <w:trPr>
          <w:trHeight w:val="96"/>
        </w:trPr>
        <w:tc>
          <w:tcPr>
            <w:tcW w:w="6237" w:type="dxa"/>
            <w:tcBorders>
              <w:left w:val="nil"/>
              <w:bottom w:val="nil"/>
              <w:right w:val="nil"/>
            </w:tcBorders>
            <w:shd w:val="clear" w:color="auto" w:fill="auto"/>
            <w:vAlign w:val="bottom"/>
          </w:tcPr>
          <w:p w14:paraId="73D15A2B" w14:textId="77777777" w:rsidR="006A1846" w:rsidRPr="0056686B" w:rsidRDefault="006A1846" w:rsidP="004454D6">
            <w:pPr>
              <w:suppressAutoHyphens/>
              <w:autoSpaceDN w:val="0"/>
              <w:spacing w:line="140" w:lineRule="exact"/>
              <w:rPr>
                <w:rFonts w:ascii="Arial" w:eastAsia="Times New Roman" w:hAnsi="Arial" w:cs="Arial"/>
                <w:color w:val="000000" w:themeColor="text1"/>
                <w:sz w:val="18"/>
                <w:szCs w:val="18"/>
              </w:rPr>
            </w:pPr>
          </w:p>
        </w:tc>
        <w:tc>
          <w:tcPr>
            <w:tcW w:w="1276" w:type="dxa"/>
            <w:tcBorders>
              <w:top w:val="single" w:sz="12" w:space="0" w:color="auto"/>
              <w:left w:val="nil"/>
              <w:bottom w:val="nil"/>
              <w:right w:val="nil"/>
            </w:tcBorders>
            <w:shd w:val="clear" w:color="auto" w:fill="auto"/>
            <w:noWrap/>
            <w:vAlign w:val="bottom"/>
          </w:tcPr>
          <w:p w14:paraId="417D0CD2" w14:textId="77777777" w:rsidR="006A1846" w:rsidRPr="0056686B" w:rsidRDefault="006A1846" w:rsidP="004454D6">
            <w:pPr>
              <w:suppressAutoHyphens/>
              <w:autoSpaceDN w:val="0"/>
              <w:spacing w:line="140" w:lineRule="exact"/>
              <w:jc w:val="right"/>
              <w:rPr>
                <w:rFonts w:ascii="Arial" w:eastAsia="Times New Roman" w:hAnsi="Arial" w:cs="Arial"/>
                <w:color w:val="000000" w:themeColor="text1"/>
                <w:sz w:val="18"/>
                <w:szCs w:val="18"/>
              </w:rPr>
            </w:pPr>
          </w:p>
        </w:tc>
        <w:tc>
          <w:tcPr>
            <w:tcW w:w="1134" w:type="dxa"/>
            <w:tcBorders>
              <w:top w:val="single" w:sz="12" w:space="0" w:color="auto"/>
              <w:left w:val="nil"/>
              <w:bottom w:val="nil"/>
              <w:right w:val="nil"/>
            </w:tcBorders>
            <w:shd w:val="clear" w:color="auto" w:fill="auto"/>
            <w:vAlign w:val="bottom"/>
          </w:tcPr>
          <w:p w14:paraId="7561AF06" w14:textId="77777777" w:rsidR="006A1846" w:rsidRPr="0056686B" w:rsidRDefault="006A1846" w:rsidP="004454D6">
            <w:pPr>
              <w:suppressAutoHyphens/>
              <w:autoSpaceDN w:val="0"/>
              <w:spacing w:line="140" w:lineRule="exact"/>
              <w:jc w:val="right"/>
              <w:rPr>
                <w:rFonts w:ascii="Arial" w:eastAsia="Times New Roman" w:hAnsi="Arial" w:cs="Arial"/>
                <w:color w:val="000000" w:themeColor="text1"/>
                <w:sz w:val="18"/>
                <w:szCs w:val="18"/>
              </w:rPr>
            </w:pPr>
          </w:p>
        </w:tc>
      </w:tr>
      <w:tr w:rsidR="006A1846" w:rsidRPr="0056686B" w14:paraId="6B7C28D6" w14:textId="77777777" w:rsidTr="004454D6">
        <w:trPr>
          <w:trHeight w:val="187"/>
        </w:trPr>
        <w:tc>
          <w:tcPr>
            <w:tcW w:w="6237" w:type="dxa"/>
            <w:tcBorders>
              <w:left w:val="nil"/>
              <w:bottom w:val="nil"/>
              <w:right w:val="nil"/>
            </w:tcBorders>
            <w:shd w:val="clear" w:color="auto" w:fill="auto"/>
            <w:vAlign w:val="bottom"/>
          </w:tcPr>
          <w:p w14:paraId="5800989F" w14:textId="77777777" w:rsidR="006A1846" w:rsidRPr="0056686B" w:rsidRDefault="006A1846" w:rsidP="004454D6">
            <w:pPr>
              <w:suppressAutoHyphens/>
              <w:autoSpaceDN w:val="0"/>
              <w:rPr>
                <w:rFonts w:ascii="Arial" w:eastAsia="Times New Roman" w:hAnsi="Arial" w:cs="Arial"/>
                <w:b/>
                <w:color w:val="000000" w:themeColor="text1"/>
                <w:sz w:val="18"/>
                <w:szCs w:val="18"/>
              </w:rPr>
            </w:pPr>
            <w:r w:rsidRPr="0056686B">
              <w:rPr>
                <w:rFonts w:ascii="Arial" w:eastAsia="Times New Roman" w:hAnsi="Arial" w:cs="Arial"/>
                <w:b/>
                <w:color w:val="000000" w:themeColor="text1"/>
                <w:sz w:val="18"/>
                <w:szCs w:val="18"/>
              </w:rPr>
              <w:t>Financijske aktivnosti</w:t>
            </w:r>
          </w:p>
        </w:tc>
        <w:tc>
          <w:tcPr>
            <w:tcW w:w="1276" w:type="dxa"/>
            <w:tcBorders>
              <w:left w:val="nil"/>
              <w:bottom w:val="nil"/>
              <w:right w:val="nil"/>
            </w:tcBorders>
            <w:shd w:val="clear" w:color="auto" w:fill="auto"/>
            <w:noWrap/>
            <w:vAlign w:val="bottom"/>
          </w:tcPr>
          <w:p w14:paraId="29EBEC6C" w14:textId="77777777" w:rsidR="006A1846" w:rsidRPr="0056686B" w:rsidRDefault="006A1846" w:rsidP="004454D6">
            <w:pPr>
              <w:suppressAutoHyphens/>
              <w:autoSpaceDN w:val="0"/>
              <w:jc w:val="right"/>
              <w:rPr>
                <w:rFonts w:ascii="Arial" w:eastAsia="Times New Roman" w:hAnsi="Arial" w:cs="Arial"/>
                <w:color w:val="000000" w:themeColor="text1"/>
                <w:sz w:val="18"/>
                <w:szCs w:val="18"/>
              </w:rPr>
            </w:pPr>
          </w:p>
        </w:tc>
        <w:tc>
          <w:tcPr>
            <w:tcW w:w="1134" w:type="dxa"/>
            <w:tcBorders>
              <w:left w:val="nil"/>
              <w:bottom w:val="nil"/>
              <w:right w:val="nil"/>
            </w:tcBorders>
            <w:shd w:val="clear" w:color="auto" w:fill="auto"/>
            <w:vAlign w:val="bottom"/>
          </w:tcPr>
          <w:p w14:paraId="5AD9AAD9" w14:textId="77777777" w:rsidR="006A1846" w:rsidRPr="0056686B" w:rsidRDefault="006A1846" w:rsidP="004454D6">
            <w:pPr>
              <w:suppressAutoHyphens/>
              <w:autoSpaceDN w:val="0"/>
              <w:jc w:val="right"/>
              <w:rPr>
                <w:rFonts w:ascii="Arial" w:eastAsia="Times New Roman" w:hAnsi="Arial" w:cs="Arial"/>
                <w:color w:val="000000" w:themeColor="text1"/>
                <w:sz w:val="18"/>
                <w:szCs w:val="18"/>
              </w:rPr>
            </w:pPr>
          </w:p>
        </w:tc>
      </w:tr>
      <w:tr w:rsidR="006A1846" w:rsidRPr="0056686B" w14:paraId="1E124C3C" w14:textId="77777777" w:rsidTr="004454D6">
        <w:trPr>
          <w:trHeight w:val="187"/>
        </w:trPr>
        <w:tc>
          <w:tcPr>
            <w:tcW w:w="6237" w:type="dxa"/>
            <w:tcBorders>
              <w:left w:val="nil"/>
              <w:bottom w:val="nil"/>
              <w:right w:val="nil"/>
            </w:tcBorders>
            <w:shd w:val="clear" w:color="auto" w:fill="auto"/>
            <w:vAlign w:val="bottom"/>
          </w:tcPr>
          <w:p w14:paraId="15378A10" w14:textId="77777777" w:rsidR="006A1846" w:rsidRPr="0056686B" w:rsidRDefault="006A1846" w:rsidP="004454D6">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Neto povećanje osnivačkog kapitala</w:t>
            </w:r>
          </w:p>
        </w:tc>
        <w:tc>
          <w:tcPr>
            <w:tcW w:w="1276" w:type="dxa"/>
            <w:tcBorders>
              <w:left w:val="nil"/>
              <w:right w:val="nil"/>
            </w:tcBorders>
            <w:shd w:val="clear" w:color="auto" w:fill="auto"/>
            <w:noWrap/>
            <w:vAlign w:val="bottom"/>
          </w:tcPr>
          <w:p w14:paraId="0EB84615" w14:textId="77777777" w:rsidR="006A1846" w:rsidRPr="0056686B" w:rsidRDefault="006A1846" w:rsidP="004454D6">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tcBorders>
              <w:left w:val="nil"/>
              <w:right w:val="nil"/>
            </w:tcBorders>
            <w:shd w:val="clear" w:color="auto" w:fill="auto"/>
            <w:vAlign w:val="bottom"/>
          </w:tcPr>
          <w:p w14:paraId="4E6544EE" w14:textId="77777777" w:rsidR="006A1846" w:rsidRPr="0056686B" w:rsidRDefault="006A1846" w:rsidP="004454D6">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r>
      <w:tr w:rsidR="006A1846" w:rsidRPr="0056686B" w14:paraId="4D1B08DD" w14:textId="77777777" w:rsidTr="004454D6">
        <w:trPr>
          <w:trHeight w:val="187"/>
        </w:trPr>
        <w:tc>
          <w:tcPr>
            <w:tcW w:w="6237" w:type="dxa"/>
            <w:tcBorders>
              <w:left w:val="nil"/>
              <w:bottom w:val="nil"/>
              <w:right w:val="nil"/>
            </w:tcBorders>
            <w:shd w:val="clear" w:color="auto" w:fill="auto"/>
            <w:vAlign w:val="bottom"/>
          </w:tcPr>
          <w:p w14:paraId="3F03513F" w14:textId="77777777" w:rsidR="006A1846" w:rsidRPr="0056686B" w:rsidRDefault="006A1846" w:rsidP="004454D6">
            <w:pPr>
              <w:suppressAutoHyphens/>
              <w:autoSpaceDN w:val="0"/>
              <w:rPr>
                <w:rFonts w:ascii="Arial" w:eastAsia="Times New Roman" w:hAnsi="Arial" w:cs="Arial"/>
                <w:color w:val="000000" w:themeColor="text1"/>
                <w:sz w:val="18"/>
                <w:szCs w:val="18"/>
              </w:rPr>
            </w:pPr>
            <w:r w:rsidRPr="004E1C27">
              <w:rPr>
                <w:rFonts w:ascii="Arial" w:eastAsia="Times New Roman" w:hAnsi="Arial" w:cs="Arial"/>
                <w:color w:val="000000" w:themeColor="text1"/>
                <w:sz w:val="18"/>
                <w:szCs w:val="18"/>
              </w:rPr>
              <w:t>Isplata dividende</w:t>
            </w:r>
          </w:p>
        </w:tc>
        <w:tc>
          <w:tcPr>
            <w:tcW w:w="1276" w:type="dxa"/>
            <w:tcBorders>
              <w:left w:val="nil"/>
              <w:right w:val="nil"/>
            </w:tcBorders>
            <w:shd w:val="clear" w:color="auto" w:fill="auto"/>
            <w:noWrap/>
            <w:vAlign w:val="bottom"/>
          </w:tcPr>
          <w:p w14:paraId="7D50A13E" w14:textId="77777777" w:rsidR="006A1846" w:rsidRPr="0056686B" w:rsidRDefault="006A1846" w:rsidP="004454D6">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tcBorders>
              <w:left w:val="nil"/>
              <w:right w:val="nil"/>
            </w:tcBorders>
            <w:shd w:val="clear" w:color="auto" w:fill="auto"/>
            <w:vAlign w:val="bottom"/>
          </w:tcPr>
          <w:p w14:paraId="1946D30B" w14:textId="77777777" w:rsidR="006A1846" w:rsidRPr="0056686B" w:rsidRDefault="006A1846" w:rsidP="004454D6">
            <w:pPr>
              <w:suppressAutoHyphens/>
              <w:autoSpaceDN w:val="0"/>
              <w:jc w:val="right"/>
              <w:rPr>
                <w:rFonts w:ascii="Arial" w:eastAsia="Times New Roman" w:hAnsi="Arial" w:cs="Arial"/>
                <w:color w:val="000000" w:themeColor="text1"/>
                <w:sz w:val="18"/>
                <w:szCs w:val="18"/>
              </w:rPr>
            </w:pPr>
            <w:r w:rsidRPr="004E1C27">
              <w:rPr>
                <w:rFonts w:ascii="Arial" w:eastAsia="Times New Roman" w:hAnsi="Arial" w:cs="Arial"/>
                <w:color w:val="000000" w:themeColor="text1"/>
                <w:sz w:val="18"/>
                <w:szCs w:val="18"/>
              </w:rPr>
              <w:t>(143)</w:t>
            </w:r>
          </w:p>
        </w:tc>
      </w:tr>
      <w:tr w:rsidR="006A1846" w:rsidRPr="0056686B" w14:paraId="7A8E99CF" w14:textId="77777777" w:rsidTr="004454D6">
        <w:trPr>
          <w:trHeight w:val="187"/>
        </w:trPr>
        <w:tc>
          <w:tcPr>
            <w:tcW w:w="6237" w:type="dxa"/>
            <w:tcBorders>
              <w:left w:val="nil"/>
              <w:bottom w:val="nil"/>
              <w:right w:val="nil"/>
            </w:tcBorders>
            <w:shd w:val="clear" w:color="auto" w:fill="auto"/>
            <w:vAlign w:val="bottom"/>
          </w:tcPr>
          <w:p w14:paraId="212FE526" w14:textId="77777777" w:rsidR="006A1846" w:rsidRPr="0056686B" w:rsidRDefault="006A1846" w:rsidP="004454D6">
            <w:pPr>
              <w:suppressAutoHyphens/>
              <w:autoSpaceDN w:val="0"/>
              <w:rPr>
                <w:rFonts w:ascii="Arial" w:eastAsia="Times New Roman" w:hAnsi="Arial" w:cs="Arial"/>
                <w:color w:val="000000" w:themeColor="text1"/>
                <w:sz w:val="18"/>
                <w:szCs w:val="18"/>
              </w:rPr>
            </w:pPr>
            <w:r w:rsidRPr="004E1C27">
              <w:rPr>
                <w:rFonts w:ascii="Arial" w:eastAsia="Times New Roman" w:hAnsi="Arial" w:cs="Arial"/>
                <w:color w:val="000000" w:themeColor="text1"/>
                <w:sz w:val="18"/>
                <w:szCs w:val="18"/>
              </w:rPr>
              <w:t>Ostala usklađenja</w:t>
            </w:r>
          </w:p>
        </w:tc>
        <w:tc>
          <w:tcPr>
            <w:tcW w:w="1276" w:type="dxa"/>
            <w:tcBorders>
              <w:left w:val="nil"/>
              <w:bottom w:val="single" w:sz="4" w:space="0" w:color="auto"/>
              <w:right w:val="nil"/>
            </w:tcBorders>
            <w:shd w:val="clear" w:color="auto" w:fill="auto"/>
            <w:noWrap/>
            <w:vAlign w:val="bottom"/>
          </w:tcPr>
          <w:p w14:paraId="457694A2" w14:textId="77777777" w:rsidR="006A1846" w:rsidRPr="0056686B" w:rsidRDefault="006A1846" w:rsidP="004454D6">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tcBorders>
              <w:left w:val="nil"/>
              <w:bottom w:val="single" w:sz="4" w:space="0" w:color="auto"/>
              <w:right w:val="nil"/>
            </w:tcBorders>
            <w:shd w:val="clear" w:color="auto" w:fill="auto"/>
            <w:vAlign w:val="bottom"/>
          </w:tcPr>
          <w:p w14:paraId="7130DCAC" w14:textId="77777777" w:rsidR="006A1846" w:rsidRPr="0056686B" w:rsidRDefault="006A1846" w:rsidP="004454D6">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189</w:t>
            </w:r>
          </w:p>
        </w:tc>
      </w:tr>
      <w:tr w:rsidR="006A1846" w:rsidRPr="0056686B" w14:paraId="1FB46BF9" w14:textId="77777777" w:rsidTr="004454D6">
        <w:trPr>
          <w:trHeight w:val="187"/>
        </w:trPr>
        <w:tc>
          <w:tcPr>
            <w:tcW w:w="6237" w:type="dxa"/>
            <w:tcBorders>
              <w:left w:val="nil"/>
              <w:bottom w:val="nil"/>
              <w:right w:val="nil"/>
            </w:tcBorders>
            <w:shd w:val="clear" w:color="auto" w:fill="auto"/>
            <w:vAlign w:val="bottom"/>
          </w:tcPr>
          <w:p w14:paraId="4BAF869F" w14:textId="77777777" w:rsidR="006A1846" w:rsidRPr="0056686B" w:rsidRDefault="006A1846" w:rsidP="004454D6">
            <w:pPr>
              <w:suppressAutoHyphens/>
              <w:autoSpaceDN w:val="0"/>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Neto novčana sredstva</w:t>
            </w:r>
            <w:r>
              <w:rPr>
                <w:rFonts w:ascii="Arial" w:eastAsia="Times New Roman" w:hAnsi="Arial" w:cs="Arial"/>
                <w:b/>
                <w:bCs/>
                <w:color w:val="000000" w:themeColor="text1"/>
                <w:sz w:val="18"/>
                <w:szCs w:val="18"/>
              </w:rPr>
              <w:t xml:space="preserve"> </w:t>
            </w:r>
            <w:r w:rsidRPr="00210DC2">
              <w:rPr>
                <w:rFonts w:ascii="Arial" w:eastAsia="Times New Roman" w:hAnsi="Arial" w:cs="Arial"/>
                <w:b/>
                <w:bCs/>
                <w:color w:val="000000" w:themeColor="text1"/>
                <w:sz w:val="18"/>
                <w:szCs w:val="18"/>
              </w:rPr>
              <w:t>ostvarena</w:t>
            </w:r>
            <w:r w:rsidRPr="0056686B">
              <w:rPr>
                <w:rFonts w:ascii="Arial" w:eastAsia="Times New Roman" w:hAnsi="Arial" w:cs="Arial"/>
                <w:b/>
                <w:bCs/>
                <w:color w:val="000000" w:themeColor="text1"/>
                <w:sz w:val="18"/>
                <w:szCs w:val="18"/>
              </w:rPr>
              <w:t xml:space="preserve"> u financijskim aktivnostima</w:t>
            </w:r>
          </w:p>
        </w:tc>
        <w:tc>
          <w:tcPr>
            <w:tcW w:w="1276" w:type="dxa"/>
            <w:tcBorders>
              <w:top w:val="single" w:sz="4" w:space="0" w:color="auto"/>
              <w:left w:val="nil"/>
              <w:bottom w:val="single" w:sz="12" w:space="0" w:color="auto"/>
              <w:right w:val="nil"/>
            </w:tcBorders>
            <w:shd w:val="clear" w:color="auto" w:fill="auto"/>
            <w:noWrap/>
            <w:vAlign w:val="bottom"/>
          </w:tcPr>
          <w:p w14:paraId="27CC554F" w14:textId="77777777" w:rsidR="006A1846" w:rsidRPr="0056686B" w:rsidRDefault="006A1846" w:rsidP="004454D6">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w:t>
            </w:r>
          </w:p>
        </w:tc>
        <w:tc>
          <w:tcPr>
            <w:tcW w:w="1134" w:type="dxa"/>
            <w:tcBorders>
              <w:top w:val="single" w:sz="4" w:space="0" w:color="auto"/>
              <w:left w:val="nil"/>
              <w:bottom w:val="single" w:sz="12" w:space="0" w:color="auto"/>
              <w:right w:val="nil"/>
            </w:tcBorders>
            <w:shd w:val="clear" w:color="auto" w:fill="auto"/>
            <w:vAlign w:val="bottom"/>
          </w:tcPr>
          <w:p w14:paraId="64F17F7B" w14:textId="77777777" w:rsidR="006A1846" w:rsidRPr="0056686B" w:rsidRDefault="006A1846" w:rsidP="004454D6">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46</w:t>
            </w:r>
          </w:p>
        </w:tc>
      </w:tr>
      <w:tr w:rsidR="006A1846" w:rsidRPr="0056686B" w14:paraId="05680D50" w14:textId="77777777" w:rsidTr="004454D6">
        <w:trPr>
          <w:trHeight w:val="96"/>
        </w:trPr>
        <w:tc>
          <w:tcPr>
            <w:tcW w:w="6237" w:type="dxa"/>
            <w:tcBorders>
              <w:left w:val="nil"/>
              <w:bottom w:val="nil"/>
              <w:right w:val="nil"/>
            </w:tcBorders>
            <w:shd w:val="clear" w:color="auto" w:fill="auto"/>
            <w:vAlign w:val="bottom"/>
          </w:tcPr>
          <w:p w14:paraId="679F0493" w14:textId="77777777" w:rsidR="006A1846" w:rsidRPr="0056686B" w:rsidRDefault="006A1846" w:rsidP="004454D6">
            <w:pPr>
              <w:suppressAutoHyphens/>
              <w:autoSpaceDN w:val="0"/>
              <w:spacing w:line="140" w:lineRule="exact"/>
              <w:rPr>
                <w:rFonts w:ascii="Arial" w:eastAsia="Times New Roman" w:hAnsi="Arial" w:cs="Arial"/>
                <w:color w:val="000000" w:themeColor="text1"/>
                <w:sz w:val="18"/>
                <w:szCs w:val="18"/>
              </w:rPr>
            </w:pPr>
          </w:p>
        </w:tc>
        <w:tc>
          <w:tcPr>
            <w:tcW w:w="1276" w:type="dxa"/>
            <w:tcBorders>
              <w:top w:val="single" w:sz="12" w:space="0" w:color="auto"/>
              <w:left w:val="nil"/>
              <w:bottom w:val="nil"/>
              <w:right w:val="nil"/>
            </w:tcBorders>
            <w:shd w:val="clear" w:color="auto" w:fill="auto"/>
            <w:noWrap/>
            <w:vAlign w:val="bottom"/>
          </w:tcPr>
          <w:p w14:paraId="5A7F626D" w14:textId="77777777" w:rsidR="006A1846" w:rsidRPr="0056686B" w:rsidRDefault="006A1846" w:rsidP="004454D6">
            <w:pPr>
              <w:suppressAutoHyphens/>
              <w:autoSpaceDN w:val="0"/>
              <w:spacing w:line="140" w:lineRule="exact"/>
              <w:jc w:val="right"/>
              <w:rPr>
                <w:rFonts w:ascii="Arial" w:eastAsia="Times New Roman" w:hAnsi="Arial" w:cs="Arial"/>
                <w:color w:val="000000" w:themeColor="text1"/>
                <w:sz w:val="18"/>
                <w:szCs w:val="18"/>
              </w:rPr>
            </w:pPr>
          </w:p>
        </w:tc>
        <w:tc>
          <w:tcPr>
            <w:tcW w:w="1134" w:type="dxa"/>
            <w:tcBorders>
              <w:top w:val="single" w:sz="12" w:space="0" w:color="auto"/>
              <w:left w:val="nil"/>
              <w:bottom w:val="nil"/>
              <w:right w:val="nil"/>
            </w:tcBorders>
            <w:shd w:val="clear" w:color="auto" w:fill="auto"/>
            <w:vAlign w:val="bottom"/>
          </w:tcPr>
          <w:p w14:paraId="63EFE66F" w14:textId="77777777" w:rsidR="006A1846" w:rsidRPr="0056686B" w:rsidRDefault="006A1846" w:rsidP="004454D6">
            <w:pPr>
              <w:suppressAutoHyphens/>
              <w:autoSpaceDN w:val="0"/>
              <w:spacing w:line="140" w:lineRule="exact"/>
              <w:jc w:val="right"/>
              <w:rPr>
                <w:rFonts w:ascii="Arial" w:eastAsia="Times New Roman" w:hAnsi="Arial" w:cs="Arial"/>
                <w:color w:val="000000" w:themeColor="text1"/>
                <w:sz w:val="18"/>
                <w:szCs w:val="18"/>
              </w:rPr>
            </w:pPr>
          </w:p>
        </w:tc>
      </w:tr>
      <w:tr w:rsidR="006A1846" w:rsidRPr="0056686B" w14:paraId="46FED67C" w14:textId="77777777" w:rsidTr="004454D6">
        <w:trPr>
          <w:trHeight w:val="164"/>
        </w:trPr>
        <w:tc>
          <w:tcPr>
            <w:tcW w:w="6237" w:type="dxa"/>
            <w:tcBorders>
              <w:top w:val="nil"/>
              <w:left w:val="nil"/>
              <w:right w:val="nil"/>
            </w:tcBorders>
            <w:shd w:val="clear" w:color="auto" w:fill="auto"/>
            <w:vAlign w:val="bottom"/>
          </w:tcPr>
          <w:p w14:paraId="03D37981" w14:textId="77777777" w:rsidR="006A1846" w:rsidRPr="0056686B" w:rsidRDefault="006A1846" w:rsidP="004454D6">
            <w:pPr>
              <w:suppressAutoHyphens/>
              <w:autoSpaceDN w:val="0"/>
              <w:rPr>
                <w:rFonts w:ascii="Arial" w:eastAsia="Times New Roman" w:hAnsi="Arial" w:cs="Arial"/>
                <w:b/>
                <w:color w:val="000000" w:themeColor="text1"/>
                <w:sz w:val="18"/>
                <w:szCs w:val="18"/>
              </w:rPr>
            </w:pPr>
            <w:r w:rsidRPr="0056686B">
              <w:rPr>
                <w:rFonts w:ascii="Arial" w:eastAsia="Times New Roman" w:hAnsi="Arial" w:cs="Arial"/>
                <w:b/>
                <w:color w:val="000000" w:themeColor="text1"/>
                <w:sz w:val="18"/>
                <w:szCs w:val="18"/>
              </w:rPr>
              <w:t>Učinci promjene tečajeva na novac i novčane ekvivalente</w:t>
            </w:r>
          </w:p>
        </w:tc>
        <w:tc>
          <w:tcPr>
            <w:tcW w:w="1276" w:type="dxa"/>
            <w:shd w:val="clear" w:color="auto" w:fill="auto"/>
            <w:noWrap/>
            <w:vAlign w:val="bottom"/>
          </w:tcPr>
          <w:p w14:paraId="62E8E942" w14:textId="77777777" w:rsidR="006A1846" w:rsidRPr="0056686B" w:rsidRDefault="006A1846" w:rsidP="004454D6">
            <w:pPr>
              <w:suppressAutoHyphens/>
              <w:autoSpaceDN w:val="0"/>
              <w:jc w:val="right"/>
              <w:rPr>
                <w:rFonts w:ascii="Arial" w:eastAsia="Times New Roman" w:hAnsi="Arial" w:cs="Arial"/>
                <w:color w:val="000000" w:themeColor="text1"/>
                <w:sz w:val="18"/>
                <w:szCs w:val="18"/>
              </w:rPr>
            </w:pPr>
          </w:p>
        </w:tc>
        <w:tc>
          <w:tcPr>
            <w:tcW w:w="1134" w:type="dxa"/>
            <w:shd w:val="clear" w:color="auto" w:fill="auto"/>
            <w:vAlign w:val="bottom"/>
          </w:tcPr>
          <w:p w14:paraId="1C4966F0" w14:textId="77777777" w:rsidR="006A1846" w:rsidRPr="0056686B" w:rsidRDefault="006A1846" w:rsidP="004454D6">
            <w:pPr>
              <w:suppressAutoHyphens/>
              <w:autoSpaceDN w:val="0"/>
              <w:jc w:val="right"/>
              <w:rPr>
                <w:rFonts w:ascii="Arial" w:eastAsia="Times New Roman" w:hAnsi="Arial" w:cs="Arial"/>
                <w:color w:val="000000" w:themeColor="text1"/>
                <w:sz w:val="18"/>
                <w:szCs w:val="18"/>
              </w:rPr>
            </w:pPr>
          </w:p>
        </w:tc>
      </w:tr>
      <w:tr w:rsidR="006A1846" w:rsidRPr="0056686B" w14:paraId="3AE44C59" w14:textId="77777777" w:rsidTr="004454D6">
        <w:trPr>
          <w:trHeight w:val="164"/>
        </w:trPr>
        <w:tc>
          <w:tcPr>
            <w:tcW w:w="6237" w:type="dxa"/>
            <w:tcBorders>
              <w:top w:val="nil"/>
              <w:left w:val="nil"/>
              <w:right w:val="nil"/>
            </w:tcBorders>
            <w:shd w:val="clear" w:color="auto" w:fill="auto"/>
            <w:vAlign w:val="bottom"/>
          </w:tcPr>
          <w:p w14:paraId="39772FF5" w14:textId="77777777" w:rsidR="006A1846" w:rsidRPr="0056686B" w:rsidRDefault="006A1846" w:rsidP="004454D6">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 xml:space="preserve">Neto tečajne razlike </w:t>
            </w:r>
          </w:p>
        </w:tc>
        <w:tc>
          <w:tcPr>
            <w:tcW w:w="1276" w:type="dxa"/>
            <w:shd w:val="clear" w:color="auto" w:fill="auto"/>
            <w:noWrap/>
            <w:vAlign w:val="bottom"/>
          </w:tcPr>
          <w:p w14:paraId="2C77ACD6" w14:textId="77777777" w:rsidR="006A1846" w:rsidRPr="0056686B" w:rsidRDefault="006A1846" w:rsidP="004454D6">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w:t>
            </w:r>
          </w:p>
        </w:tc>
        <w:tc>
          <w:tcPr>
            <w:tcW w:w="1134" w:type="dxa"/>
            <w:shd w:val="clear" w:color="auto" w:fill="auto"/>
            <w:vAlign w:val="bottom"/>
          </w:tcPr>
          <w:p w14:paraId="062E57A0" w14:textId="77777777" w:rsidR="006A1846" w:rsidRPr="0056686B" w:rsidRDefault="006A1846" w:rsidP="004454D6">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r>
      <w:tr w:rsidR="006A1846" w:rsidRPr="0056686B" w14:paraId="29939AE0" w14:textId="77777777" w:rsidTr="004454D6">
        <w:trPr>
          <w:trHeight w:val="164"/>
        </w:trPr>
        <w:tc>
          <w:tcPr>
            <w:tcW w:w="6237" w:type="dxa"/>
            <w:tcBorders>
              <w:top w:val="nil"/>
              <w:left w:val="nil"/>
              <w:right w:val="nil"/>
            </w:tcBorders>
            <w:shd w:val="clear" w:color="auto" w:fill="auto"/>
            <w:vAlign w:val="bottom"/>
          </w:tcPr>
          <w:p w14:paraId="6351C726" w14:textId="77777777" w:rsidR="006A1846" w:rsidRPr="0056686B" w:rsidRDefault="006A1846" w:rsidP="004454D6">
            <w:pPr>
              <w:suppressAutoHyphens/>
              <w:autoSpaceDN w:val="0"/>
              <w:rPr>
                <w:rFonts w:ascii="Arial" w:eastAsia="Times New Roman" w:hAnsi="Arial" w:cs="Arial"/>
                <w:b/>
                <w:color w:val="000000" w:themeColor="text1"/>
                <w:sz w:val="18"/>
                <w:szCs w:val="18"/>
              </w:rPr>
            </w:pPr>
            <w:r w:rsidRPr="0056686B">
              <w:rPr>
                <w:rFonts w:ascii="Arial" w:eastAsia="Times New Roman" w:hAnsi="Arial" w:cs="Arial"/>
                <w:b/>
                <w:color w:val="000000" w:themeColor="text1"/>
                <w:sz w:val="18"/>
                <w:szCs w:val="18"/>
              </w:rPr>
              <w:t>Neto učinak</w:t>
            </w:r>
          </w:p>
        </w:tc>
        <w:tc>
          <w:tcPr>
            <w:tcW w:w="1276" w:type="dxa"/>
            <w:tcBorders>
              <w:top w:val="single" w:sz="4" w:space="0" w:color="auto"/>
              <w:left w:val="nil"/>
              <w:bottom w:val="nil"/>
              <w:right w:val="nil"/>
            </w:tcBorders>
            <w:shd w:val="clear" w:color="auto" w:fill="auto"/>
            <w:noWrap/>
            <w:vAlign w:val="bottom"/>
          </w:tcPr>
          <w:p w14:paraId="5351EE52" w14:textId="77777777" w:rsidR="006A1846" w:rsidRPr="0056686B" w:rsidRDefault="006A1846" w:rsidP="004454D6">
            <w:pPr>
              <w:suppressAutoHyphens/>
              <w:autoSpaceDN w:val="0"/>
              <w:jc w:val="right"/>
              <w:rPr>
                <w:rFonts w:ascii="Arial" w:eastAsia="Times New Roman" w:hAnsi="Arial" w:cs="Arial"/>
                <w:b/>
                <w:color w:val="000000" w:themeColor="text1"/>
                <w:sz w:val="18"/>
                <w:szCs w:val="18"/>
              </w:rPr>
            </w:pPr>
            <w:r>
              <w:rPr>
                <w:rFonts w:ascii="Arial" w:eastAsia="Times New Roman" w:hAnsi="Arial" w:cs="Arial"/>
                <w:b/>
                <w:color w:val="000000" w:themeColor="text1"/>
                <w:sz w:val="18"/>
                <w:szCs w:val="18"/>
              </w:rPr>
              <w:t>1</w:t>
            </w:r>
          </w:p>
        </w:tc>
        <w:tc>
          <w:tcPr>
            <w:tcW w:w="1134" w:type="dxa"/>
            <w:tcBorders>
              <w:top w:val="single" w:sz="4" w:space="0" w:color="auto"/>
              <w:left w:val="nil"/>
              <w:bottom w:val="nil"/>
              <w:right w:val="nil"/>
            </w:tcBorders>
            <w:shd w:val="clear" w:color="auto" w:fill="auto"/>
            <w:vAlign w:val="bottom"/>
          </w:tcPr>
          <w:p w14:paraId="0930A0C0" w14:textId="77777777" w:rsidR="006A1846" w:rsidRPr="0056686B" w:rsidRDefault="006A1846" w:rsidP="004454D6">
            <w:pPr>
              <w:suppressAutoHyphens/>
              <w:autoSpaceDN w:val="0"/>
              <w:jc w:val="right"/>
              <w:rPr>
                <w:rFonts w:ascii="Arial" w:eastAsia="Times New Roman" w:hAnsi="Arial" w:cs="Arial"/>
                <w:b/>
                <w:color w:val="000000" w:themeColor="text1"/>
                <w:sz w:val="18"/>
                <w:szCs w:val="18"/>
              </w:rPr>
            </w:pPr>
            <w:r>
              <w:rPr>
                <w:rFonts w:ascii="Arial" w:eastAsia="Times New Roman" w:hAnsi="Arial" w:cs="Arial"/>
                <w:b/>
                <w:color w:val="000000" w:themeColor="text1"/>
                <w:sz w:val="18"/>
                <w:szCs w:val="18"/>
              </w:rPr>
              <w:t>-</w:t>
            </w:r>
          </w:p>
        </w:tc>
      </w:tr>
      <w:tr w:rsidR="006A1846" w:rsidRPr="0056686B" w14:paraId="3A8D3F2B" w14:textId="77777777" w:rsidTr="004454D6">
        <w:trPr>
          <w:trHeight w:val="56"/>
        </w:trPr>
        <w:tc>
          <w:tcPr>
            <w:tcW w:w="6237" w:type="dxa"/>
            <w:tcBorders>
              <w:top w:val="nil"/>
              <w:left w:val="nil"/>
              <w:right w:val="nil"/>
            </w:tcBorders>
            <w:shd w:val="clear" w:color="auto" w:fill="auto"/>
            <w:vAlign w:val="bottom"/>
          </w:tcPr>
          <w:p w14:paraId="1EA954E6" w14:textId="77777777" w:rsidR="006A1846" w:rsidRPr="0056686B" w:rsidRDefault="006A1846" w:rsidP="004454D6">
            <w:pPr>
              <w:suppressAutoHyphens/>
              <w:autoSpaceDN w:val="0"/>
              <w:spacing w:line="140" w:lineRule="exact"/>
              <w:rPr>
                <w:rFonts w:ascii="Arial" w:eastAsia="Times New Roman" w:hAnsi="Arial" w:cs="Arial"/>
                <w:color w:val="000000" w:themeColor="text1"/>
                <w:sz w:val="18"/>
                <w:szCs w:val="18"/>
              </w:rPr>
            </w:pPr>
          </w:p>
        </w:tc>
        <w:tc>
          <w:tcPr>
            <w:tcW w:w="1276" w:type="dxa"/>
            <w:tcBorders>
              <w:top w:val="single" w:sz="12" w:space="0" w:color="auto"/>
              <w:left w:val="nil"/>
              <w:bottom w:val="nil"/>
              <w:right w:val="nil"/>
            </w:tcBorders>
            <w:shd w:val="clear" w:color="auto" w:fill="auto"/>
            <w:noWrap/>
            <w:vAlign w:val="bottom"/>
          </w:tcPr>
          <w:p w14:paraId="612AC701" w14:textId="77777777" w:rsidR="006A1846" w:rsidRPr="0056686B" w:rsidRDefault="006A1846" w:rsidP="004454D6">
            <w:pPr>
              <w:suppressAutoHyphens/>
              <w:autoSpaceDN w:val="0"/>
              <w:spacing w:line="140" w:lineRule="exact"/>
              <w:jc w:val="right"/>
              <w:rPr>
                <w:rFonts w:ascii="Arial" w:eastAsia="Times New Roman" w:hAnsi="Arial" w:cs="Arial"/>
                <w:color w:val="000000" w:themeColor="text1"/>
                <w:sz w:val="18"/>
                <w:szCs w:val="18"/>
              </w:rPr>
            </w:pPr>
          </w:p>
        </w:tc>
        <w:tc>
          <w:tcPr>
            <w:tcW w:w="1134" w:type="dxa"/>
            <w:tcBorders>
              <w:top w:val="single" w:sz="12" w:space="0" w:color="auto"/>
              <w:left w:val="nil"/>
              <w:bottom w:val="nil"/>
              <w:right w:val="nil"/>
            </w:tcBorders>
            <w:shd w:val="clear" w:color="auto" w:fill="auto"/>
            <w:vAlign w:val="bottom"/>
          </w:tcPr>
          <w:p w14:paraId="41216E32" w14:textId="77777777" w:rsidR="006A1846" w:rsidRPr="0056686B" w:rsidRDefault="006A1846" w:rsidP="004454D6">
            <w:pPr>
              <w:suppressAutoHyphens/>
              <w:autoSpaceDN w:val="0"/>
              <w:spacing w:line="140" w:lineRule="exact"/>
              <w:jc w:val="right"/>
              <w:rPr>
                <w:rFonts w:ascii="Arial" w:eastAsia="Times New Roman" w:hAnsi="Arial" w:cs="Arial"/>
                <w:color w:val="000000" w:themeColor="text1"/>
                <w:sz w:val="18"/>
                <w:szCs w:val="18"/>
              </w:rPr>
            </w:pPr>
          </w:p>
        </w:tc>
      </w:tr>
      <w:tr w:rsidR="006A1846" w:rsidRPr="0056686B" w14:paraId="004CD175" w14:textId="77777777" w:rsidTr="004454D6">
        <w:trPr>
          <w:trHeight w:val="164"/>
        </w:trPr>
        <w:tc>
          <w:tcPr>
            <w:tcW w:w="6237" w:type="dxa"/>
            <w:tcBorders>
              <w:top w:val="nil"/>
              <w:left w:val="nil"/>
              <w:right w:val="nil"/>
            </w:tcBorders>
            <w:shd w:val="clear" w:color="auto" w:fill="auto"/>
            <w:vAlign w:val="bottom"/>
          </w:tcPr>
          <w:p w14:paraId="57BD27A4" w14:textId="77777777" w:rsidR="006A1846" w:rsidRPr="00DE47F4" w:rsidRDefault="006A1846" w:rsidP="004454D6">
            <w:pPr>
              <w:suppressAutoHyphens/>
              <w:autoSpaceDN w:val="0"/>
              <w:rPr>
                <w:rFonts w:ascii="Arial" w:eastAsia="Times New Roman" w:hAnsi="Arial" w:cs="Arial"/>
                <w:color w:val="000000" w:themeColor="text1"/>
                <w:sz w:val="18"/>
                <w:szCs w:val="18"/>
              </w:rPr>
            </w:pPr>
            <w:r w:rsidRPr="00DE47F4">
              <w:rPr>
                <w:rFonts w:ascii="Arial" w:eastAsia="Times New Roman" w:hAnsi="Arial" w:cs="Arial"/>
                <w:color w:val="000000" w:themeColor="text1"/>
                <w:sz w:val="18"/>
                <w:szCs w:val="18"/>
              </w:rPr>
              <w:t xml:space="preserve">Neto </w:t>
            </w:r>
            <w:r>
              <w:rPr>
                <w:rFonts w:ascii="Arial" w:eastAsia="Times New Roman" w:hAnsi="Arial" w:cs="Arial"/>
                <w:color w:val="000000" w:themeColor="text1"/>
                <w:sz w:val="18"/>
                <w:szCs w:val="18"/>
              </w:rPr>
              <w:t>(smanjenje)</w:t>
            </w:r>
            <w:r w:rsidRPr="00DE47F4">
              <w:rPr>
                <w:rFonts w:ascii="Arial" w:eastAsia="Times New Roman" w:hAnsi="Arial" w:cs="Arial"/>
                <w:color w:val="000000" w:themeColor="text1"/>
                <w:sz w:val="18"/>
                <w:szCs w:val="18"/>
              </w:rPr>
              <w:t xml:space="preserve"> novca i novčanih ekvivalenata</w:t>
            </w:r>
          </w:p>
        </w:tc>
        <w:tc>
          <w:tcPr>
            <w:tcW w:w="1276" w:type="dxa"/>
            <w:shd w:val="clear" w:color="auto" w:fill="auto"/>
            <w:noWrap/>
            <w:vAlign w:val="bottom"/>
          </w:tcPr>
          <w:p w14:paraId="0EA6A250" w14:textId="77777777" w:rsidR="006A1846" w:rsidRPr="0056686B" w:rsidRDefault="006A1846" w:rsidP="004454D6">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r w:rsidRPr="00FE76E9">
              <w:rPr>
                <w:rFonts w:ascii="Arial" w:eastAsia="Times New Roman" w:hAnsi="Arial" w:cs="Arial"/>
                <w:color w:val="000000" w:themeColor="text1"/>
                <w:sz w:val="18"/>
                <w:szCs w:val="18"/>
              </w:rPr>
              <w:t>427</w:t>
            </w:r>
            <w:r>
              <w:rPr>
                <w:rFonts w:ascii="Arial" w:eastAsia="Times New Roman" w:hAnsi="Arial" w:cs="Arial"/>
                <w:color w:val="000000" w:themeColor="text1"/>
                <w:sz w:val="18"/>
                <w:szCs w:val="18"/>
              </w:rPr>
              <w:t>)</w:t>
            </w:r>
          </w:p>
        </w:tc>
        <w:tc>
          <w:tcPr>
            <w:tcW w:w="1134" w:type="dxa"/>
            <w:shd w:val="clear" w:color="auto" w:fill="auto"/>
            <w:vAlign w:val="bottom"/>
          </w:tcPr>
          <w:p w14:paraId="29AD8179" w14:textId="77777777" w:rsidR="006A1846" w:rsidRPr="0056686B" w:rsidRDefault="006A1846" w:rsidP="004454D6">
            <w:pPr>
              <w:suppressAutoHyphens/>
              <w:autoSpaceDN w:val="0"/>
              <w:jc w:val="right"/>
              <w:rPr>
                <w:rFonts w:ascii="Arial" w:eastAsia="Times New Roman" w:hAnsi="Arial" w:cs="Arial"/>
                <w:color w:val="000000" w:themeColor="text1"/>
                <w:sz w:val="18"/>
                <w:szCs w:val="18"/>
              </w:rPr>
            </w:pPr>
            <w:r w:rsidRPr="000C5821">
              <w:rPr>
                <w:rFonts w:ascii="Arial" w:eastAsia="Times New Roman" w:hAnsi="Arial" w:cs="Arial"/>
                <w:color w:val="000000" w:themeColor="text1"/>
                <w:sz w:val="18"/>
                <w:szCs w:val="18"/>
              </w:rPr>
              <w:t>(</w:t>
            </w:r>
            <w:r>
              <w:rPr>
                <w:rFonts w:ascii="Arial" w:eastAsia="Times New Roman" w:hAnsi="Arial" w:cs="Arial"/>
                <w:color w:val="000000" w:themeColor="text1"/>
                <w:sz w:val="18"/>
                <w:szCs w:val="18"/>
              </w:rPr>
              <w:t>171</w:t>
            </w:r>
            <w:r w:rsidRPr="000C5821">
              <w:rPr>
                <w:rFonts w:ascii="Arial" w:eastAsia="Times New Roman" w:hAnsi="Arial" w:cs="Arial"/>
                <w:color w:val="000000" w:themeColor="text1"/>
                <w:sz w:val="18"/>
                <w:szCs w:val="18"/>
              </w:rPr>
              <w:t>)</w:t>
            </w:r>
          </w:p>
        </w:tc>
      </w:tr>
      <w:tr w:rsidR="006A1846" w:rsidRPr="0056686B" w14:paraId="6260D640" w14:textId="77777777" w:rsidTr="004454D6">
        <w:trPr>
          <w:trHeight w:val="66"/>
        </w:trPr>
        <w:tc>
          <w:tcPr>
            <w:tcW w:w="6237" w:type="dxa"/>
            <w:tcBorders>
              <w:top w:val="nil"/>
              <w:left w:val="nil"/>
              <w:right w:val="nil"/>
            </w:tcBorders>
            <w:shd w:val="clear" w:color="auto" w:fill="auto"/>
            <w:vAlign w:val="bottom"/>
          </w:tcPr>
          <w:p w14:paraId="1E0C2875" w14:textId="77777777" w:rsidR="006A1846" w:rsidRPr="0056686B" w:rsidRDefault="006A1846" w:rsidP="004454D6">
            <w:pPr>
              <w:suppressAutoHyphens/>
              <w:autoSpaceDN w:val="0"/>
              <w:spacing w:line="140" w:lineRule="exact"/>
              <w:rPr>
                <w:rFonts w:ascii="Arial" w:eastAsia="Times New Roman" w:hAnsi="Arial" w:cs="Arial"/>
                <w:color w:val="000000" w:themeColor="text1"/>
                <w:sz w:val="18"/>
                <w:szCs w:val="18"/>
              </w:rPr>
            </w:pPr>
          </w:p>
        </w:tc>
        <w:tc>
          <w:tcPr>
            <w:tcW w:w="1276" w:type="dxa"/>
            <w:shd w:val="clear" w:color="auto" w:fill="auto"/>
            <w:noWrap/>
            <w:vAlign w:val="bottom"/>
          </w:tcPr>
          <w:p w14:paraId="5378D7C3" w14:textId="77777777" w:rsidR="006A1846" w:rsidRPr="0056686B" w:rsidRDefault="006A1846" w:rsidP="004454D6">
            <w:pPr>
              <w:suppressAutoHyphens/>
              <w:autoSpaceDN w:val="0"/>
              <w:spacing w:line="140" w:lineRule="exact"/>
              <w:jc w:val="right"/>
              <w:rPr>
                <w:rFonts w:ascii="Arial" w:eastAsia="Times New Roman" w:hAnsi="Arial" w:cs="Arial"/>
                <w:color w:val="000000" w:themeColor="text1"/>
                <w:sz w:val="18"/>
                <w:szCs w:val="18"/>
              </w:rPr>
            </w:pPr>
          </w:p>
        </w:tc>
        <w:tc>
          <w:tcPr>
            <w:tcW w:w="1134" w:type="dxa"/>
            <w:shd w:val="clear" w:color="auto" w:fill="auto"/>
            <w:vAlign w:val="bottom"/>
          </w:tcPr>
          <w:p w14:paraId="5DFA3219" w14:textId="77777777" w:rsidR="006A1846" w:rsidRPr="0056686B" w:rsidRDefault="006A1846" w:rsidP="004454D6">
            <w:pPr>
              <w:suppressAutoHyphens/>
              <w:autoSpaceDN w:val="0"/>
              <w:spacing w:line="140" w:lineRule="exact"/>
              <w:jc w:val="right"/>
              <w:rPr>
                <w:rFonts w:ascii="Arial" w:eastAsia="Times New Roman" w:hAnsi="Arial" w:cs="Arial"/>
                <w:color w:val="000000" w:themeColor="text1"/>
                <w:sz w:val="18"/>
                <w:szCs w:val="18"/>
              </w:rPr>
            </w:pPr>
          </w:p>
        </w:tc>
      </w:tr>
      <w:tr w:rsidR="006A1846" w:rsidRPr="0056686B" w14:paraId="01597293" w14:textId="77777777" w:rsidTr="004454D6">
        <w:trPr>
          <w:trHeight w:val="164"/>
        </w:trPr>
        <w:tc>
          <w:tcPr>
            <w:tcW w:w="6237" w:type="dxa"/>
            <w:tcBorders>
              <w:top w:val="nil"/>
              <w:left w:val="nil"/>
              <w:right w:val="nil"/>
            </w:tcBorders>
            <w:shd w:val="clear" w:color="auto" w:fill="auto"/>
            <w:vAlign w:val="bottom"/>
          </w:tcPr>
          <w:p w14:paraId="3808480A" w14:textId="77777777" w:rsidR="006A1846" w:rsidRPr="0056686B" w:rsidRDefault="006A1846" w:rsidP="004454D6">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Stanje na dan 1. siječnja</w:t>
            </w:r>
          </w:p>
        </w:tc>
        <w:tc>
          <w:tcPr>
            <w:tcW w:w="1276" w:type="dxa"/>
            <w:shd w:val="clear" w:color="auto" w:fill="auto"/>
            <w:noWrap/>
            <w:vAlign w:val="bottom"/>
          </w:tcPr>
          <w:p w14:paraId="30C08BF7" w14:textId="77777777" w:rsidR="006A1846" w:rsidRPr="0056686B" w:rsidRDefault="006A1846" w:rsidP="004454D6">
            <w:pPr>
              <w:suppressAutoHyphens/>
              <w:autoSpaceDN w:val="0"/>
              <w:jc w:val="right"/>
              <w:rPr>
                <w:rFonts w:ascii="Arial" w:eastAsia="Times New Roman" w:hAnsi="Arial" w:cs="Arial"/>
                <w:color w:val="000000" w:themeColor="text1"/>
                <w:sz w:val="18"/>
                <w:szCs w:val="18"/>
              </w:rPr>
            </w:pPr>
            <w:r w:rsidRPr="00FE76E9">
              <w:rPr>
                <w:rFonts w:ascii="Arial" w:eastAsia="Times New Roman" w:hAnsi="Arial" w:cs="Arial"/>
                <w:color w:val="000000" w:themeColor="text1"/>
                <w:sz w:val="18"/>
                <w:szCs w:val="18"/>
              </w:rPr>
              <w:t>590</w:t>
            </w:r>
          </w:p>
        </w:tc>
        <w:tc>
          <w:tcPr>
            <w:tcW w:w="1134" w:type="dxa"/>
            <w:shd w:val="clear" w:color="auto" w:fill="auto"/>
            <w:vAlign w:val="bottom"/>
          </w:tcPr>
          <w:p w14:paraId="65C63E85" w14:textId="77777777" w:rsidR="006A1846" w:rsidRPr="0056686B" w:rsidRDefault="006A1846" w:rsidP="004454D6">
            <w:pPr>
              <w:suppressAutoHyphens/>
              <w:autoSpaceDN w:val="0"/>
              <w:jc w:val="right"/>
              <w:rPr>
                <w:rFonts w:ascii="Arial" w:eastAsia="Times New Roman" w:hAnsi="Arial" w:cs="Arial"/>
                <w:color w:val="000000" w:themeColor="text1"/>
                <w:sz w:val="18"/>
                <w:szCs w:val="18"/>
              </w:rPr>
            </w:pPr>
            <w:r w:rsidRPr="000C5821">
              <w:rPr>
                <w:rFonts w:ascii="Arial" w:eastAsia="Times New Roman" w:hAnsi="Arial" w:cs="Arial"/>
                <w:color w:val="000000" w:themeColor="text1"/>
                <w:sz w:val="18"/>
                <w:szCs w:val="18"/>
              </w:rPr>
              <w:t>717</w:t>
            </w:r>
          </w:p>
        </w:tc>
      </w:tr>
      <w:tr w:rsidR="006A1846" w:rsidRPr="0056686B" w14:paraId="58BFDEE6" w14:textId="77777777" w:rsidTr="004454D6">
        <w:trPr>
          <w:trHeight w:val="164"/>
        </w:trPr>
        <w:tc>
          <w:tcPr>
            <w:tcW w:w="6237" w:type="dxa"/>
            <w:tcBorders>
              <w:top w:val="nil"/>
              <w:left w:val="nil"/>
              <w:right w:val="nil"/>
            </w:tcBorders>
            <w:shd w:val="clear" w:color="auto" w:fill="auto"/>
            <w:vAlign w:val="bottom"/>
          </w:tcPr>
          <w:p w14:paraId="5F8D2759" w14:textId="77777777" w:rsidR="006A1846" w:rsidRPr="0056686B" w:rsidRDefault="006A1846" w:rsidP="004454D6">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 xml:space="preserve">Neto </w:t>
            </w:r>
            <w:r>
              <w:rPr>
                <w:rFonts w:ascii="Arial" w:eastAsia="Times New Roman" w:hAnsi="Arial" w:cs="Arial"/>
                <w:color w:val="000000" w:themeColor="text1"/>
                <w:sz w:val="18"/>
                <w:szCs w:val="18"/>
              </w:rPr>
              <w:t>smanjenje</w:t>
            </w:r>
            <w:r w:rsidRPr="00A05900">
              <w:rPr>
                <w:rFonts w:ascii="Arial" w:eastAsia="Times New Roman" w:hAnsi="Arial" w:cs="Arial"/>
                <w:color w:val="000000" w:themeColor="text1"/>
                <w:sz w:val="18"/>
                <w:szCs w:val="18"/>
              </w:rPr>
              <w:t xml:space="preserve"> </w:t>
            </w:r>
            <w:r w:rsidRPr="0056686B">
              <w:rPr>
                <w:rFonts w:ascii="Arial" w:eastAsia="Times New Roman" w:hAnsi="Arial" w:cs="Arial"/>
                <w:color w:val="000000" w:themeColor="text1"/>
                <w:sz w:val="18"/>
                <w:szCs w:val="18"/>
              </w:rPr>
              <w:t>novca</w:t>
            </w:r>
          </w:p>
        </w:tc>
        <w:tc>
          <w:tcPr>
            <w:tcW w:w="1276" w:type="dxa"/>
            <w:shd w:val="clear" w:color="auto" w:fill="auto"/>
            <w:noWrap/>
            <w:vAlign w:val="bottom"/>
          </w:tcPr>
          <w:p w14:paraId="452B7925" w14:textId="77777777" w:rsidR="006A1846" w:rsidRPr="0056686B" w:rsidRDefault="006A1846" w:rsidP="004454D6">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r w:rsidRPr="00FE76E9">
              <w:rPr>
                <w:rFonts w:ascii="Arial" w:eastAsia="Times New Roman" w:hAnsi="Arial" w:cs="Arial"/>
                <w:color w:val="000000" w:themeColor="text1"/>
                <w:sz w:val="18"/>
                <w:szCs w:val="18"/>
              </w:rPr>
              <w:t>427</w:t>
            </w:r>
            <w:r>
              <w:rPr>
                <w:rFonts w:ascii="Arial" w:eastAsia="Times New Roman" w:hAnsi="Arial" w:cs="Arial"/>
                <w:color w:val="000000" w:themeColor="text1"/>
                <w:sz w:val="18"/>
                <w:szCs w:val="18"/>
              </w:rPr>
              <w:t>)</w:t>
            </w:r>
          </w:p>
        </w:tc>
        <w:tc>
          <w:tcPr>
            <w:tcW w:w="1134" w:type="dxa"/>
            <w:shd w:val="clear" w:color="auto" w:fill="auto"/>
            <w:vAlign w:val="bottom"/>
          </w:tcPr>
          <w:p w14:paraId="2FD35064" w14:textId="77777777" w:rsidR="006A1846" w:rsidRPr="0056686B" w:rsidRDefault="006A1846" w:rsidP="004454D6">
            <w:pPr>
              <w:suppressAutoHyphens/>
              <w:autoSpaceDN w:val="0"/>
              <w:jc w:val="right"/>
              <w:rPr>
                <w:rFonts w:ascii="Arial" w:eastAsia="Times New Roman" w:hAnsi="Arial" w:cs="Arial"/>
                <w:color w:val="000000" w:themeColor="text1"/>
                <w:sz w:val="18"/>
                <w:szCs w:val="18"/>
              </w:rPr>
            </w:pPr>
            <w:r w:rsidRPr="000C5821">
              <w:rPr>
                <w:rFonts w:ascii="Arial" w:eastAsia="Times New Roman" w:hAnsi="Arial" w:cs="Arial"/>
                <w:color w:val="000000" w:themeColor="text1"/>
                <w:sz w:val="18"/>
                <w:szCs w:val="18"/>
              </w:rPr>
              <w:t>(</w:t>
            </w:r>
            <w:r>
              <w:rPr>
                <w:rFonts w:ascii="Arial" w:eastAsia="Times New Roman" w:hAnsi="Arial" w:cs="Arial"/>
                <w:color w:val="000000" w:themeColor="text1"/>
                <w:sz w:val="18"/>
                <w:szCs w:val="18"/>
              </w:rPr>
              <w:t>171)</w:t>
            </w:r>
          </w:p>
        </w:tc>
      </w:tr>
      <w:tr w:rsidR="006A1846" w:rsidRPr="0056686B" w14:paraId="2A88EA16" w14:textId="77777777" w:rsidTr="004454D6">
        <w:trPr>
          <w:trHeight w:val="66"/>
        </w:trPr>
        <w:tc>
          <w:tcPr>
            <w:tcW w:w="6237" w:type="dxa"/>
            <w:tcBorders>
              <w:top w:val="nil"/>
              <w:left w:val="nil"/>
              <w:right w:val="nil"/>
            </w:tcBorders>
            <w:shd w:val="clear" w:color="auto" w:fill="auto"/>
            <w:vAlign w:val="bottom"/>
          </w:tcPr>
          <w:p w14:paraId="53D6FDD6" w14:textId="77777777" w:rsidR="006A1846" w:rsidRPr="0056686B" w:rsidRDefault="006A1846" w:rsidP="004454D6">
            <w:pPr>
              <w:suppressAutoHyphens/>
              <w:autoSpaceDN w:val="0"/>
              <w:spacing w:line="140" w:lineRule="exact"/>
              <w:rPr>
                <w:rFonts w:ascii="Arial" w:eastAsia="Times New Roman" w:hAnsi="Arial" w:cs="Arial"/>
                <w:color w:val="000000" w:themeColor="text1"/>
                <w:sz w:val="18"/>
                <w:szCs w:val="18"/>
              </w:rPr>
            </w:pPr>
          </w:p>
        </w:tc>
        <w:tc>
          <w:tcPr>
            <w:tcW w:w="1276" w:type="dxa"/>
            <w:shd w:val="clear" w:color="auto" w:fill="auto"/>
            <w:noWrap/>
            <w:vAlign w:val="bottom"/>
          </w:tcPr>
          <w:p w14:paraId="79D4E43D" w14:textId="77777777" w:rsidR="006A1846" w:rsidRPr="0056686B" w:rsidRDefault="006A1846" w:rsidP="004454D6">
            <w:pPr>
              <w:suppressAutoHyphens/>
              <w:autoSpaceDN w:val="0"/>
              <w:spacing w:line="140" w:lineRule="exact"/>
              <w:jc w:val="right"/>
              <w:rPr>
                <w:rFonts w:ascii="Arial" w:eastAsia="Times New Roman" w:hAnsi="Arial" w:cs="Arial"/>
                <w:color w:val="000000" w:themeColor="text1"/>
                <w:sz w:val="18"/>
                <w:szCs w:val="18"/>
              </w:rPr>
            </w:pPr>
          </w:p>
        </w:tc>
        <w:tc>
          <w:tcPr>
            <w:tcW w:w="1134" w:type="dxa"/>
            <w:shd w:val="clear" w:color="auto" w:fill="auto"/>
            <w:vAlign w:val="bottom"/>
          </w:tcPr>
          <w:p w14:paraId="7744EEC5" w14:textId="77777777" w:rsidR="006A1846" w:rsidRPr="0056686B" w:rsidRDefault="006A1846" w:rsidP="004454D6">
            <w:pPr>
              <w:suppressAutoHyphens/>
              <w:autoSpaceDN w:val="0"/>
              <w:spacing w:line="140" w:lineRule="exact"/>
              <w:jc w:val="right"/>
              <w:rPr>
                <w:rFonts w:ascii="Arial" w:eastAsia="Times New Roman" w:hAnsi="Arial" w:cs="Arial"/>
                <w:color w:val="000000" w:themeColor="text1"/>
                <w:sz w:val="18"/>
                <w:szCs w:val="18"/>
              </w:rPr>
            </w:pPr>
          </w:p>
        </w:tc>
      </w:tr>
      <w:tr w:rsidR="006A1846" w:rsidRPr="0056686B" w14:paraId="319BE2A7" w14:textId="77777777" w:rsidTr="004454D6">
        <w:trPr>
          <w:trHeight w:val="164"/>
        </w:trPr>
        <w:tc>
          <w:tcPr>
            <w:tcW w:w="6237" w:type="dxa"/>
            <w:tcBorders>
              <w:top w:val="nil"/>
              <w:left w:val="nil"/>
              <w:right w:val="nil"/>
            </w:tcBorders>
            <w:shd w:val="clear" w:color="auto" w:fill="auto"/>
            <w:vAlign w:val="bottom"/>
          </w:tcPr>
          <w:p w14:paraId="618924D5" w14:textId="77777777" w:rsidR="006A1846" w:rsidRPr="0056686B" w:rsidRDefault="006A1846" w:rsidP="004454D6">
            <w:pPr>
              <w:suppressAutoHyphens/>
              <w:autoSpaceDN w:val="0"/>
              <w:rPr>
                <w:rFonts w:ascii="Arial" w:eastAsia="Times New Roman" w:hAnsi="Arial" w:cs="Arial"/>
                <w:b/>
                <w:color w:val="000000" w:themeColor="text1"/>
                <w:sz w:val="18"/>
                <w:szCs w:val="18"/>
              </w:rPr>
            </w:pPr>
            <w:r w:rsidRPr="0056686B">
              <w:rPr>
                <w:rFonts w:ascii="Arial" w:eastAsia="Times New Roman" w:hAnsi="Arial" w:cs="Arial"/>
                <w:b/>
                <w:color w:val="000000" w:themeColor="text1"/>
                <w:sz w:val="18"/>
                <w:szCs w:val="18"/>
              </w:rPr>
              <w:t xml:space="preserve">Stanje na dan </w:t>
            </w:r>
            <w:r w:rsidRPr="002576B9">
              <w:rPr>
                <w:rFonts w:ascii="Arial" w:eastAsia="Times New Roman" w:hAnsi="Arial" w:cs="Arial"/>
                <w:b/>
                <w:color w:val="000000" w:themeColor="text1"/>
                <w:sz w:val="18"/>
                <w:szCs w:val="18"/>
              </w:rPr>
              <w:t xml:space="preserve">30. </w:t>
            </w:r>
            <w:r>
              <w:rPr>
                <w:rFonts w:ascii="Arial" w:eastAsia="Times New Roman" w:hAnsi="Arial" w:cs="Arial"/>
                <w:b/>
                <w:color w:val="000000" w:themeColor="text1"/>
                <w:sz w:val="18"/>
                <w:szCs w:val="18"/>
              </w:rPr>
              <w:t>rujna</w:t>
            </w:r>
          </w:p>
        </w:tc>
        <w:tc>
          <w:tcPr>
            <w:tcW w:w="1276" w:type="dxa"/>
            <w:tcBorders>
              <w:top w:val="single" w:sz="4" w:space="0" w:color="auto"/>
              <w:left w:val="nil"/>
              <w:bottom w:val="single" w:sz="12" w:space="0" w:color="auto"/>
              <w:right w:val="nil"/>
            </w:tcBorders>
            <w:shd w:val="clear" w:color="auto" w:fill="auto"/>
            <w:noWrap/>
            <w:vAlign w:val="bottom"/>
          </w:tcPr>
          <w:p w14:paraId="6556ED39" w14:textId="77777777" w:rsidR="006A1846" w:rsidRPr="0056686B" w:rsidRDefault="006A1846" w:rsidP="004454D6">
            <w:pPr>
              <w:suppressAutoHyphens/>
              <w:autoSpaceDN w:val="0"/>
              <w:jc w:val="right"/>
              <w:rPr>
                <w:rFonts w:ascii="Arial" w:eastAsia="Times New Roman" w:hAnsi="Arial" w:cs="Arial"/>
                <w:b/>
                <w:color w:val="000000" w:themeColor="text1"/>
                <w:sz w:val="18"/>
                <w:szCs w:val="18"/>
              </w:rPr>
            </w:pPr>
            <w:r w:rsidRPr="00FE76E9">
              <w:rPr>
                <w:rFonts w:ascii="Arial" w:eastAsia="Times New Roman" w:hAnsi="Arial" w:cs="Arial"/>
                <w:b/>
                <w:color w:val="000000" w:themeColor="text1"/>
                <w:sz w:val="18"/>
                <w:szCs w:val="18"/>
              </w:rPr>
              <w:t>163</w:t>
            </w:r>
          </w:p>
        </w:tc>
        <w:tc>
          <w:tcPr>
            <w:tcW w:w="1134" w:type="dxa"/>
            <w:tcBorders>
              <w:top w:val="single" w:sz="4" w:space="0" w:color="auto"/>
              <w:left w:val="nil"/>
              <w:bottom w:val="single" w:sz="12" w:space="0" w:color="auto"/>
              <w:right w:val="nil"/>
            </w:tcBorders>
            <w:shd w:val="clear" w:color="auto" w:fill="auto"/>
            <w:vAlign w:val="bottom"/>
          </w:tcPr>
          <w:p w14:paraId="52D7887C" w14:textId="77777777" w:rsidR="006A1846" w:rsidRPr="0056686B" w:rsidRDefault="006A1846" w:rsidP="004454D6">
            <w:pPr>
              <w:suppressAutoHyphens/>
              <w:autoSpaceDN w:val="0"/>
              <w:jc w:val="right"/>
              <w:rPr>
                <w:rFonts w:ascii="Arial" w:eastAsia="Times New Roman" w:hAnsi="Arial" w:cs="Arial"/>
                <w:b/>
                <w:color w:val="000000" w:themeColor="text1"/>
                <w:sz w:val="18"/>
                <w:szCs w:val="18"/>
              </w:rPr>
            </w:pPr>
            <w:r>
              <w:rPr>
                <w:rFonts w:ascii="Arial" w:eastAsia="Times New Roman" w:hAnsi="Arial" w:cs="Arial"/>
                <w:b/>
                <w:color w:val="000000" w:themeColor="text1"/>
                <w:sz w:val="18"/>
                <w:szCs w:val="18"/>
              </w:rPr>
              <w:t>546</w:t>
            </w:r>
          </w:p>
        </w:tc>
      </w:tr>
    </w:tbl>
    <w:p w14:paraId="40308E64" w14:textId="72EB8F97" w:rsidR="00822E2D" w:rsidRPr="003D1614" w:rsidRDefault="00303BDB" w:rsidP="003E5073">
      <w:pPr>
        <w:suppressAutoHyphens/>
        <w:autoSpaceDN w:val="0"/>
        <w:jc w:val="both"/>
        <w:rPr>
          <w:rFonts w:ascii="Arial" w:eastAsia="Calibri" w:hAnsi="Arial" w:cs="Arial"/>
          <w:color w:val="000000" w:themeColor="text1"/>
          <w:sz w:val="20"/>
          <w:szCs w:val="20"/>
        </w:rPr>
        <w:sectPr w:rsidR="00822E2D" w:rsidRPr="003D1614" w:rsidSect="003278AB">
          <w:headerReference w:type="default" r:id="rId38"/>
          <w:footerReference w:type="default" r:id="rId39"/>
          <w:pgSz w:w="11906" w:h="16838"/>
          <w:pgMar w:top="1417" w:right="1417" w:bottom="1417" w:left="1417" w:header="708" w:footer="708" w:gutter="0"/>
          <w:cols w:space="708"/>
          <w:docGrid w:linePitch="360"/>
        </w:sectPr>
      </w:pPr>
      <w:r>
        <w:rPr>
          <w:rFonts w:ascii="Arial" w:eastAsia="Calibri" w:hAnsi="Arial" w:cs="Arial"/>
          <w:color w:val="000000" w:themeColor="text1"/>
          <w:sz w:val="20"/>
          <w:szCs w:val="20"/>
        </w:rPr>
        <w:t>¸</w:t>
      </w:r>
      <w:r>
        <w:rPr>
          <w:rFonts w:ascii="Arial" w:eastAsia="Calibri" w:hAnsi="Arial" w:cs="Arial"/>
          <w:color w:val="000000" w:themeColor="text1"/>
          <w:sz w:val="20"/>
          <w:szCs w:val="20"/>
        </w:rPr>
        <w:tab/>
      </w:r>
    </w:p>
    <w:p w14:paraId="64E1142F" w14:textId="537AA69A" w:rsidR="0056686B" w:rsidRPr="003D1614" w:rsidRDefault="0056686B" w:rsidP="003E5073">
      <w:pPr>
        <w:suppressAutoHyphens/>
        <w:autoSpaceDN w:val="0"/>
        <w:jc w:val="both"/>
        <w:rPr>
          <w:rFonts w:ascii="Arial" w:eastAsia="Calibri" w:hAnsi="Arial" w:cs="Arial"/>
          <w:color w:val="000000" w:themeColor="text1"/>
          <w:sz w:val="20"/>
          <w:szCs w:val="20"/>
        </w:rPr>
      </w:pPr>
    </w:p>
    <w:p w14:paraId="235654D0" w14:textId="4200747F" w:rsidR="00822E2D" w:rsidRPr="003D1614" w:rsidRDefault="00822E2D" w:rsidP="003E5073">
      <w:pPr>
        <w:suppressAutoHyphens/>
        <w:autoSpaceDN w:val="0"/>
        <w:jc w:val="both"/>
        <w:rPr>
          <w:rFonts w:ascii="Arial" w:eastAsia="Calibri" w:hAnsi="Arial" w:cs="Arial"/>
          <w:color w:val="000000" w:themeColor="text1"/>
          <w:sz w:val="20"/>
          <w:szCs w:val="20"/>
        </w:rPr>
      </w:pPr>
    </w:p>
    <w:tbl>
      <w:tblPr>
        <w:tblpPr w:leftFromText="180" w:rightFromText="180" w:vertAnchor="page" w:horzAnchor="margin" w:tblpXSpec="center" w:tblpY="3044"/>
        <w:tblW w:w="5317" w:type="pct"/>
        <w:tblLayout w:type="fixed"/>
        <w:tblCellMar>
          <w:left w:w="120" w:type="dxa"/>
          <w:right w:w="120" w:type="dxa"/>
        </w:tblCellMar>
        <w:tblLook w:val="0000" w:firstRow="0" w:lastRow="0" w:firstColumn="0" w:lastColumn="0" w:noHBand="0" w:noVBand="0"/>
      </w:tblPr>
      <w:tblGrid>
        <w:gridCol w:w="2546"/>
        <w:gridCol w:w="1206"/>
        <w:gridCol w:w="1354"/>
        <w:gridCol w:w="1104"/>
        <w:gridCol w:w="1104"/>
        <w:gridCol w:w="1243"/>
        <w:gridCol w:w="1090"/>
      </w:tblGrid>
      <w:tr w:rsidR="006A1846" w:rsidRPr="003D1614" w14:paraId="0F8C2E88" w14:textId="77777777" w:rsidTr="004454D6">
        <w:trPr>
          <w:trHeight w:val="1020"/>
        </w:trPr>
        <w:tc>
          <w:tcPr>
            <w:tcW w:w="1320" w:type="pct"/>
            <w:vAlign w:val="bottom"/>
          </w:tcPr>
          <w:p w14:paraId="1EA6E738" w14:textId="77777777" w:rsidR="006A1846" w:rsidRPr="003D1614" w:rsidRDefault="006A1846" w:rsidP="004454D6">
            <w:pPr>
              <w:tabs>
                <w:tab w:val="right" w:pos="1202"/>
              </w:tabs>
              <w:outlineLvl w:val="0"/>
              <w:rPr>
                <w:rFonts w:ascii="Arial" w:hAnsi="Arial" w:cs="Arial"/>
                <w:b/>
                <w:iCs/>
                <w:color w:val="000000"/>
                <w:sz w:val="17"/>
                <w:szCs w:val="17"/>
              </w:rPr>
            </w:pPr>
          </w:p>
        </w:tc>
        <w:tc>
          <w:tcPr>
            <w:tcW w:w="625" w:type="pct"/>
            <w:vAlign w:val="bottom"/>
          </w:tcPr>
          <w:p w14:paraId="0401242B" w14:textId="77777777" w:rsidR="006A1846" w:rsidRPr="003D1614" w:rsidRDefault="006A1846" w:rsidP="004454D6">
            <w:pPr>
              <w:tabs>
                <w:tab w:val="right" w:pos="1202"/>
              </w:tabs>
              <w:jc w:val="right"/>
              <w:outlineLvl w:val="0"/>
              <w:rPr>
                <w:rFonts w:ascii="Arial" w:hAnsi="Arial" w:cs="Arial"/>
                <w:b/>
                <w:iCs/>
                <w:color w:val="000000"/>
                <w:sz w:val="17"/>
                <w:szCs w:val="17"/>
              </w:rPr>
            </w:pPr>
            <w:r w:rsidRPr="003D1614">
              <w:rPr>
                <w:rFonts w:ascii="Arial" w:hAnsi="Arial" w:cs="Arial"/>
                <w:b/>
                <w:iCs/>
                <w:color w:val="000000"/>
                <w:sz w:val="17"/>
                <w:szCs w:val="17"/>
              </w:rPr>
              <w:t xml:space="preserve">Temeljni </w:t>
            </w:r>
          </w:p>
          <w:p w14:paraId="3AD52A69" w14:textId="77777777" w:rsidR="006A1846" w:rsidRPr="003D1614" w:rsidRDefault="006A1846" w:rsidP="004454D6">
            <w:pPr>
              <w:tabs>
                <w:tab w:val="right" w:pos="1202"/>
              </w:tabs>
              <w:jc w:val="right"/>
              <w:outlineLvl w:val="0"/>
              <w:rPr>
                <w:rFonts w:ascii="Arial" w:hAnsi="Arial" w:cs="Arial"/>
                <w:b/>
                <w:iCs/>
                <w:color w:val="000000"/>
                <w:sz w:val="17"/>
                <w:szCs w:val="17"/>
              </w:rPr>
            </w:pPr>
            <w:r w:rsidRPr="003D1614">
              <w:rPr>
                <w:rFonts w:ascii="Arial" w:hAnsi="Arial" w:cs="Arial"/>
                <w:b/>
                <w:iCs/>
                <w:color w:val="000000"/>
                <w:sz w:val="17"/>
                <w:szCs w:val="17"/>
              </w:rPr>
              <w:t>kapital</w:t>
            </w:r>
          </w:p>
        </w:tc>
        <w:tc>
          <w:tcPr>
            <w:tcW w:w="702" w:type="pct"/>
            <w:vAlign w:val="bottom"/>
          </w:tcPr>
          <w:p w14:paraId="1EC8DF1B" w14:textId="77777777" w:rsidR="006A1846" w:rsidRPr="003D1614" w:rsidRDefault="006A1846" w:rsidP="004454D6">
            <w:pPr>
              <w:tabs>
                <w:tab w:val="right" w:pos="1202"/>
              </w:tabs>
              <w:jc w:val="right"/>
              <w:outlineLvl w:val="0"/>
              <w:rPr>
                <w:rFonts w:ascii="Arial" w:hAnsi="Arial" w:cs="Arial"/>
                <w:b/>
                <w:iCs/>
                <w:color w:val="000000"/>
                <w:sz w:val="17"/>
                <w:szCs w:val="17"/>
              </w:rPr>
            </w:pPr>
            <w:r w:rsidRPr="003D1614">
              <w:rPr>
                <w:rFonts w:ascii="Arial" w:hAnsi="Arial" w:cs="Arial"/>
                <w:b/>
                <w:iCs/>
                <w:color w:val="000000"/>
                <w:sz w:val="17"/>
                <w:szCs w:val="17"/>
              </w:rPr>
              <w:t>Zadržana dobit i rezerve</w:t>
            </w:r>
          </w:p>
        </w:tc>
        <w:tc>
          <w:tcPr>
            <w:tcW w:w="572" w:type="pct"/>
            <w:vAlign w:val="bottom"/>
          </w:tcPr>
          <w:p w14:paraId="1B23C3EF" w14:textId="77777777" w:rsidR="006A1846" w:rsidRPr="003D1614" w:rsidRDefault="006A1846" w:rsidP="004454D6">
            <w:pPr>
              <w:tabs>
                <w:tab w:val="right" w:pos="1202"/>
              </w:tabs>
              <w:jc w:val="right"/>
              <w:outlineLvl w:val="0"/>
              <w:rPr>
                <w:rFonts w:ascii="Arial" w:hAnsi="Arial" w:cs="Arial"/>
                <w:b/>
                <w:iCs/>
                <w:color w:val="000000"/>
                <w:sz w:val="17"/>
                <w:szCs w:val="17"/>
              </w:rPr>
            </w:pPr>
            <w:r w:rsidRPr="003D1614">
              <w:rPr>
                <w:rFonts w:ascii="Arial" w:hAnsi="Arial" w:cs="Arial"/>
                <w:b/>
                <w:iCs/>
                <w:color w:val="000000"/>
                <w:sz w:val="17"/>
                <w:szCs w:val="17"/>
              </w:rPr>
              <w:t>Ostale rezerve</w:t>
            </w:r>
          </w:p>
        </w:tc>
        <w:tc>
          <w:tcPr>
            <w:tcW w:w="572" w:type="pct"/>
            <w:vAlign w:val="bottom"/>
          </w:tcPr>
          <w:p w14:paraId="46207959" w14:textId="77777777" w:rsidR="006A1846" w:rsidRPr="003D1614" w:rsidRDefault="006A1846" w:rsidP="004454D6">
            <w:pPr>
              <w:tabs>
                <w:tab w:val="right" w:pos="1202"/>
              </w:tabs>
              <w:jc w:val="right"/>
              <w:outlineLvl w:val="0"/>
              <w:rPr>
                <w:rFonts w:ascii="Arial" w:hAnsi="Arial" w:cs="Arial"/>
                <w:b/>
                <w:iCs/>
                <w:color w:val="000000"/>
                <w:sz w:val="17"/>
                <w:szCs w:val="17"/>
              </w:rPr>
            </w:pPr>
            <w:r w:rsidRPr="003D1614">
              <w:rPr>
                <w:rFonts w:ascii="Arial" w:hAnsi="Arial" w:cs="Arial"/>
                <w:b/>
                <w:iCs/>
                <w:color w:val="000000"/>
                <w:sz w:val="17"/>
                <w:szCs w:val="17"/>
              </w:rPr>
              <w:t xml:space="preserve">Neto dobit </w:t>
            </w:r>
          </w:p>
          <w:p w14:paraId="66DC16C8" w14:textId="77777777" w:rsidR="006A1846" w:rsidRPr="003D1614" w:rsidRDefault="006A1846" w:rsidP="004454D6">
            <w:pPr>
              <w:tabs>
                <w:tab w:val="right" w:pos="1202"/>
              </w:tabs>
              <w:jc w:val="right"/>
              <w:outlineLvl w:val="0"/>
              <w:rPr>
                <w:rFonts w:ascii="Arial" w:hAnsi="Arial" w:cs="Arial"/>
                <w:b/>
                <w:iCs/>
                <w:color w:val="000000"/>
                <w:sz w:val="17"/>
                <w:szCs w:val="17"/>
              </w:rPr>
            </w:pPr>
            <w:r w:rsidRPr="003D1614">
              <w:rPr>
                <w:rFonts w:ascii="Arial" w:hAnsi="Arial" w:cs="Arial"/>
                <w:b/>
                <w:iCs/>
                <w:color w:val="000000"/>
                <w:sz w:val="17"/>
                <w:szCs w:val="17"/>
              </w:rPr>
              <w:t>tekućeg razdoblja</w:t>
            </w:r>
          </w:p>
        </w:tc>
        <w:tc>
          <w:tcPr>
            <w:tcW w:w="644" w:type="pct"/>
            <w:vAlign w:val="bottom"/>
          </w:tcPr>
          <w:p w14:paraId="2462F37D" w14:textId="77777777" w:rsidR="006A1846" w:rsidRPr="003D1614" w:rsidRDefault="006A1846" w:rsidP="004454D6">
            <w:pPr>
              <w:tabs>
                <w:tab w:val="right" w:pos="1202"/>
              </w:tabs>
              <w:jc w:val="right"/>
              <w:outlineLvl w:val="0"/>
              <w:rPr>
                <w:rFonts w:ascii="Arial" w:hAnsi="Arial" w:cs="Arial"/>
                <w:b/>
                <w:iCs/>
                <w:color w:val="000000"/>
                <w:sz w:val="17"/>
                <w:szCs w:val="17"/>
              </w:rPr>
            </w:pPr>
            <w:r w:rsidRPr="003D1614">
              <w:rPr>
                <w:rFonts w:ascii="Arial" w:hAnsi="Arial" w:cs="Arial"/>
                <w:b/>
                <w:iCs/>
                <w:color w:val="000000"/>
                <w:sz w:val="17"/>
                <w:szCs w:val="17"/>
              </w:rPr>
              <w:t>Ukupni kapital koji pripada vlasnicima društva</w:t>
            </w:r>
          </w:p>
        </w:tc>
        <w:tc>
          <w:tcPr>
            <w:tcW w:w="565" w:type="pct"/>
            <w:vAlign w:val="bottom"/>
          </w:tcPr>
          <w:p w14:paraId="0323CD6B" w14:textId="77777777" w:rsidR="006A1846" w:rsidRPr="003D1614" w:rsidRDefault="006A1846" w:rsidP="004454D6">
            <w:pPr>
              <w:tabs>
                <w:tab w:val="right" w:pos="1202"/>
              </w:tabs>
              <w:jc w:val="right"/>
              <w:outlineLvl w:val="0"/>
              <w:rPr>
                <w:rFonts w:ascii="Arial" w:hAnsi="Arial" w:cs="Arial"/>
                <w:b/>
                <w:iCs/>
                <w:color w:val="000000"/>
                <w:sz w:val="17"/>
                <w:szCs w:val="17"/>
              </w:rPr>
            </w:pPr>
            <w:r w:rsidRPr="003D1614">
              <w:rPr>
                <w:rFonts w:ascii="Arial" w:hAnsi="Arial" w:cs="Arial"/>
                <w:b/>
                <w:iCs/>
                <w:color w:val="000000"/>
                <w:sz w:val="17"/>
                <w:szCs w:val="17"/>
              </w:rPr>
              <w:t>Ukupni kapital</w:t>
            </w:r>
          </w:p>
        </w:tc>
      </w:tr>
      <w:tr w:rsidR="006A1846" w:rsidRPr="003D1614" w14:paraId="46092936" w14:textId="77777777" w:rsidTr="004454D6">
        <w:trPr>
          <w:trHeight w:val="298"/>
        </w:trPr>
        <w:tc>
          <w:tcPr>
            <w:tcW w:w="1320" w:type="pct"/>
            <w:vAlign w:val="bottom"/>
          </w:tcPr>
          <w:p w14:paraId="0FE1D4C7" w14:textId="77777777" w:rsidR="006A1846" w:rsidRPr="003D1614" w:rsidRDefault="006A1846" w:rsidP="004454D6">
            <w:pPr>
              <w:tabs>
                <w:tab w:val="right" w:pos="1202"/>
              </w:tabs>
              <w:spacing w:line="301" w:lineRule="exact"/>
              <w:outlineLvl w:val="0"/>
              <w:rPr>
                <w:rFonts w:ascii="Arial" w:hAnsi="Arial" w:cs="Arial"/>
                <w:iCs/>
                <w:color w:val="000000"/>
                <w:sz w:val="17"/>
                <w:szCs w:val="17"/>
              </w:rPr>
            </w:pPr>
          </w:p>
        </w:tc>
        <w:tc>
          <w:tcPr>
            <w:tcW w:w="625" w:type="pct"/>
            <w:vAlign w:val="bottom"/>
          </w:tcPr>
          <w:p w14:paraId="65AC97B4" w14:textId="77777777" w:rsidR="006A1846" w:rsidRPr="003D1614" w:rsidRDefault="006A1846" w:rsidP="004454D6">
            <w:pPr>
              <w:keepLines/>
              <w:tabs>
                <w:tab w:val="right" w:pos="1202"/>
              </w:tabs>
              <w:spacing w:line="301" w:lineRule="exact"/>
              <w:jc w:val="right"/>
              <w:outlineLvl w:val="0"/>
              <w:rPr>
                <w:rFonts w:ascii="Arial" w:hAnsi="Arial" w:cs="Arial"/>
                <w:b/>
                <w:bCs/>
                <w:color w:val="000000"/>
                <w:sz w:val="17"/>
                <w:szCs w:val="17"/>
              </w:rPr>
            </w:pPr>
            <w:r w:rsidRPr="003D1614">
              <w:rPr>
                <w:rFonts w:ascii="Arial" w:hAnsi="Arial" w:cs="Arial"/>
                <w:b/>
                <w:bCs/>
                <w:color w:val="000000"/>
                <w:sz w:val="17"/>
                <w:szCs w:val="17"/>
              </w:rPr>
              <w:t>000 eura</w:t>
            </w:r>
          </w:p>
        </w:tc>
        <w:tc>
          <w:tcPr>
            <w:tcW w:w="702" w:type="pct"/>
            <w:vAlign w:val="bottom"/>
          </w:tcPr>
          <w:p w14:paraId="2944C42F" w14:textId="77777777" w:rsidR="006A1846" w:rsidRPr="003D1614" w:rsidRDefault="006A1846" w:rsidP="004454D6">
            <w:pPr>
              <w:keepLines/>
              <w:tabs>
                <w:tab w:val="right" w:pos="1202"/>
              </w:tabs>
              <w:spacing w:line="301" w:lineRule="exact"/>
              <w:jc w:val="right"/>
              <w:outlineLvl w:val="0"/>
              <w:rPr>
                <w:rFonts w:ascii="Arial" w:hAnsi="Arial" w:cs="Arial"/>
                <w:b/>
                <w:bCs/>
                <w:color w:val="000000"/>
                <w:sz w:val="17"/>
                <w:szCs w:val="17"/>
              </w:rPr>
            </w:pPr>
            <w:r w:rsidRPr="003D1614">
              <w:rPr>
                <w:rFonts w:ascii="Arial" w:hAnsi="Arial" w:cs="Arial"/>
                <w:b/>
                <w:bCs/>
                <w:color w:val="000000"/>
                <w:sz w:val="17"/>
                <w:szCs w:val="17"/>
              </w:rPr>
              <w:t>000 eura</w:t>
            </w:r>
          </w:p>
        </w:tc>
        <w:tc>
          <w:tcPr>
            <w:tcW w:w="572" w:type="pct"/>
            <w:vAlign w:val="bottom"/>
          </w:tcPr>
          <w:p w14:paraId="4E271936" w14:textId="77777777" w:rsidR="006A1846" w:rsidRPr="003D1614" w:rsidRDefault="006A1846" w:rsidP="004454D6">
            <w:pPr>
              <w:keepLines/>
              <w:tabs>
                <w:tab w:val="right" w:pos="1202"/>
              </w:tabs>
              <w:spacing w:line="301" w:lineRule="exact"/>
              <w:jc w:val="right"/>
              <w:outlineLvl w:val="0"/>
              <w:rPr>
                <w:rFonts w:ascii="Arial" w:hAnsi="Arial" w:cs="Arial"/>
                <w:b/>
                <w:bCs/>
                <w:color w:val="000000"/>
                <w:sz w:val="17"/>
                <w:szCs w:val="17"/>
              </w:rPr>
            </w:pPr>
            <w:r w:rsidRPr="003D1614">
              <w:rPr>
                <w:rFonts w:ascii="Arial" w:hAnsi="Arial" w:cs="Arial"/>
                <w:b/>
                <w:bCs/>
                <w:color w:val="000000"/>
                <w:sz w:val="17"/>
                <w:szCs w:val="17"/>
              </w:rPr>
              <w:t>000 eura</w:t>
            </w:r>
          </w:p>
        </w:tc>
        <w:tc>
          <w:tcPr>
            <w:tcW w:w="572" w:type="pct"/>
            <w:vAlign w:val="bottom"/>
          </w:tcPr>
          <w:p w14:paraId="4CFF1A29" w14:textId="77777777" w:rsidR="006A1846" w:rsidRPr="003D1614" w:rsidRDefault="006A1846" w:rsidP="004454D6">
            <w:pPr>
              <w:keepLines/>
              <w:tabs>
                <w:tab w:val="right" w:pos="1202"/>
              </w:tabs>
              <w:spacing w:line="301" w:lineRule="exact"/>
              <w:jc w:val="right"/>
              <w:outlineLvl w:val="0"/>
              <w:rPr>
                <w:rFonts w:ascii="Arial" w:hAnsi="Arial" w:cs="Arial"/>
                <w:b/>
                <w:bCs/>
                <w:color w:val="000000"/>
                <w:sz w:val="17"/>
                <w:szCs w:val="17"/>
              </w:rPr>
            </w:pPr>
            <w:r w:rsidRPr="003D1614">
              <w:rPr>
                <w:rFonts w:ascii="Arial" w:hAnsi="Arial" w:cs="Arial"/>
                <w:b/>
                <w:bCs/>
                <w:color w:val="000000"/>
                <w:sz w:val="17"/>
                <w:szCs w:val="17"/>
              </w:rPr>
              <w:t>000 eura</w:t>
            </w:r>
          </w:p>
        </w:tc>
        <w:tc>
          <w:tcPr>
            <w:tcW w:w="644" w:type="pct"/>
            <w:vAlign w:val="bottom"/>
          </w:tcPr>
          <w:p w14:paraId="719B8629" w14:textId="77777777" w:rsidR="006A1846" w:rsidRPr="003D1614" w:rsidRDefault="006A1846" w:rsidP="004454D6">
            <w:pPr>
              <w:keepLines/>
              <w:tabs>
                <w:tab w:val="right" w:pos="1202"/>
              </w:tabs>
              <w:spacing w:line="301" w:lineRule="exact"/>
              <w:jc w:val="right"/>
              <w:outlineLvl w:val="0"/>
              <w:rPr>
                <w:rFonts w:ascii="Arial" w:hAnsi="Arial" w:cs="Arial"/>
                <w:b/>
                <w:bCs/>
                <w:color w:val="000000"/>
                <w:sz w:val="17"/>
                <w:szCs w:val="17"/>
              </w:rPr>
            </w:pPr>
            <w:r w:rsidRPr="003D1614">
              <w:rPr>
                <w:rFonts w:ascii="Arial" w:hAnsi="Arial" w:cs="Arial"/>
                <w:b/>
                <w:bCs/>
                <w:color w:val="000000"/>
                <w:sz w:val="17"/>
                <w:szCs w:val="17"/>
              </w:rPr>
              <w:t>000 eura</w:t>
            </w:r>
          </w:p>
        </w:tc>
        <w:tc>
          <w:tcPr>
            <w:tcW w:w="565" w:type="pct"/>
            <w:vAlign w:val="bottom"/>
          </w:tcPr>
          <w:p w14:paraId="7676C8FB" w14:textId="77777777" w:rsidR="006A1846" w:rsidRPr="003D1614" w:rsidRDefault="006A1846" w:rsidP="004454D6">
            <w:pPr>
              <w:keepLines/>
              <w:tabs>
                <w:tab w:val="right" w:pos="1202"/>
              </w:tabs>
              <w:spacing w:line="301" w:lineRule="exact"/>
              <w:jc w:val="right"/>
              <w:outlineLvl w:val="0"/>
              <w:rPr>
                <w:rFonts w:ascii="Arial" w:hAnsi="Arial" w:cs="Arial"/>
                <w:b/>
                <w:bCs/>
                <w:color w:val="000000"/>
                <w:sz w:val="17"/>
                <w:szCs w:val="17"/>
              </w:rPr>
            </w:pPr>
            <w:r w:rsidRPr="003D1614">
              <w:rPr>
                <w:rFonts w:ascii="Arial" w:hAnsi="Arial" w:cs="Arial"/>
                <w:b/>
                <w:bCs/>
                <w:color w:val="000000"/>
                <w:sz w:val="17"/>
                <w:szCs w:val="17"/>
              </w:rPr>
              <w:t>000 eura</w:t>
            </w:r>
          </w:p>
        </w:tc>
      </w:tr>
      <w:tr w:rsidR="006A1846" w:rsidRPr="003D1614" w14:paraId="59BD6276" w14:textId="77777777" w:rsidTr="004454D6">
        <w:trPr>
          <w:trHeight w:val="132"/>
        </w:trPr>
        <w:tc>
          <w:tcPr>
            <w:tcW w:w="1320" w:type="pct"/>
            <w:vAlign w:val="bottom"/>
          </w:tcPr>
          <w:p w14:paraId="687EE956" w14:textId="77777777" w:rsidR="006A1846" w:rsidRPr="003D1614" w:rsidRDefault="006A1846" w:rsidP="004454D6">
            <w:pPr>
              <w:tabs>
                <w:tab w:val="right" w:pos="1202"/>
              </w:tabs>
              <w:spacing w:line="140" w:lineRule="exact"/>
              <w:outlineLvl w:val="0"/>
              <w:rPr>
                <w:rFonts w:ascii="Arial" w:hAnsi="Arial" w:cs="Arial"/>
                <w:iCs/>
                <w:color w:val="000000"/>
                <w:sz w:val="17"/>
                <w:szCs w:val="17"/>
              </w:rPr>
            </w:pPr>
          </w:p>
        </w:tc>
        <w:tc>
          <w:tcPr>
            <w:tcW w:w="625" w:type="pct"/>
            <w:vAlign w:val="bottom"/>
          </w:tcPr>
          <w:p w14:paraId="67CA7795" w14:textId="77777777" w:rsidR="006A1846" w:rsidRPr="003D1614" w:rsidRDefault="006A1846" w:rsidP="004454D6">
            <w:pPr>
              <w:tabs>
                <w:tab w:val="right" w:pos="1202"/>
              </w:tabs>
              <w:spacing w:line="140" w:lineRule="exact"/>
              <w:jc w:val="right"/>
              <w:outlineLvl w:val="0"/>
              <w:rPr>
                <w:rFonts w:ascii="Arial" w:hAnsi="Arial" w:cs="Arial"/>
                <w:b/>
                <w:bCs/>
                <w:color w:val="000000"/>
                <w:sz w:val="17"/>
                <w:szCs w:val="17"/>
              </w:rPr>
            </w:pPr>
          </w:p>
        </w:tc>
        <w:tc>
          <w:tcPr>
            <w:tcW w:w="702" w:type="pct"/>
            <w:vAlign w:val="bottom"/>
          </w:tcPr>
          <w:p w14:paraId="5D5A8C2F" w14:textId="77777777" w:rsidR="006A1846" w:rsidRPr="003D1614" w:rsidRDefault="006A1846" w:rsidP="004454D6">
            <w:pPr>
              <w:tabs>
                <w:tab w:val="right" w:pos="1202"/>
              </w:tabs>
              <w:spacing w:line="140" w:lineRule="exact"/>
              <w:jc w:val="right"/>
              <w:outlineLvl w:val="0"/>
              <w:rPr>
                <w:rFonts w:ascii="Arial" w:hAnsi="Arial" w:cs="Arial"/>
                <w:b/>
                <w:bCs/>
                <w:color w:val="000000"/>
                <w:sz w:val="17"/>
                <w:szCs w:val="17"/>
              </w:rPr>
            </w:pPr>
          </w:p>
        </w:tc>
        <w:tc>
          <w:tcPr>
            <w:tcW w:w="572" w:type="pct"/>
            <w:vAlign w:val="bottom"/>
          </w:tcPr>
          <w:p w14:paraId="75C0C6FB" w14:textId="77777777" w:rsidR="006A1846" w:rsidRPr="003D1614" w:rsidRDefault="006A1846" w:rsidP="004454D6">
            <w:pPr>
              <w:tabs>
                <w:tab w:val="right" w:pos="1202"/>
              </w:tabs>
              <w:spacing w:line="140" w:lineRule="exact"/>
              <w:jc w:val="right"/>
              <w:outlineLvl w:val="0"/>
              <w:rPr>
                <w:rFonts w:ascii="Arial" w:hAnsi="Arial" w:cs="Arial"/>
                <w:b/>
                <w:bCs/>
                <w:color w:val="000000"/>
                <w:sz w:val="17"/>
                <w:szCs w:val="17"/>
              </w:rPr>
            </w:pPr>
          </w:p>
        </w:tc>
        <w:tc>
          <w:tcPr>
            <w:tcW w:w="572" w:type="pct"/>
            <w:vAlign w:val="bottom"/>
          </w:tcPr>
          <w:p w14:paraId="7F9E7833" w14:textId="77777777" w:rsidR="006A1846" w:rsidRPr="003D1614" w:rsidRDefault="006A1846" w:rsidP="004454D6">
            <w:pPr>
              <w:tabs>
                <w:tab w:val="right" w:pos="1202"/>
              </w:tabs>
              <w:spacing w:line="140" w:lineRule="exact"/>
              <w:jc w:val="right"/>
              <w:outlineLvl w:val="0"/>
              <w:rPr>
                <w:rFonts w:ascii="Arial" w:hAnsi="Arial" w:cs="Arial"/>
                <w:b/>
                <w:bCs/>
                <w:color w:val="000000"/>
                <w:sz w:val="17"/>
                <w:szCs w:val="17"/>
              </w:rPr>
            </w:pPr>
          </w:p>
        </w:tc>
        <w:tc>
          <w:tcPr>
            <w:tcW w:w="644" w:type="pct"/>
            <w:vAlign w:val="bottom"/>
          </w:tcPr>
          <w:p w14:paraId="7D7647D1" w14:textId="77777777" w:rsidR="006A1846" w:rsidRPr="003D1614" w:rsidRDefault="006A1846" w:rsidP="004454D6">
            <w:pPr>
              <w:tabs>
                <w:tab w:val="right" w:pos="1202"/>
              </w:tabs>
              <w:spacing w:line="140" w:lineRule="exact"/>
              <w:jc w:val="right"/>
              <w:outlineLvl w:val="0"/>
              <w:rPr>
                <w:rFonts w:ascii="Arial" w:hAnsi="Arial" w:cs="Arial"/>
                <w:b/>
                <w:bCs/>
                <w:color w:val="000000"/>
                <w:sz w:val="17"/>
                <w:szCs w:val="17"/>
              </w:rPr>
            </w:pPr>
          </w:p>
        </w:tc>
        <w:tc>
          <w:tcPr>
            <w:tcW w:w="565" w:type="pct"/>
            <w:vAlign w:val="bottom"/>
          </w:tcPr>
          <w:p w14:paraId="3DAE108A" w14:textId="77777777" w:rsidR="006A1846" w:rsidRPr="003D1614" w:rsidRDefault="006A1846" w:rsidP="004454D6">
            <w:pPr>
              <w:tabs>
                <w:tab w:val="right" w:pos="1202"/>
              </w:tabs>
              <w:spacing w:line="140" w:lineRule="exact"/>
              <w:jc w:val="right"/>
              <w:outlineLvl w:val="0"/>
              <w:rPr>
                <w:rFonts w:ascii="Arial" w:hAnsi="Arial" w:cs="Arial"/>
                <w:b/>
                <w:bCs/>
                <w:color w:val="000000"/>
                <w:sz w:val="17"/>
                <w:szCs w:val="17"/>
              </w:rPr>
            </w:pPr>
          </w:p>
        </w:tc>
      </w:tr>
      <w:tr w:rsidR="006A1846" w:rsidRPr="003D1614" w14:paraId="33042BEC" w14:textId="77777777" w:rsidTr="004454D6">
        <w:trPr>
          <w:trHeight w:val="473"/>
        </w:trPr>
        <w:tc>
          <w:tcPr>
            <w:tcW w:w="1320" w:type="pct"/>
            <w:vAlign w:val="bottom"/>
          </w:tcPr>
          <w:p w14:paraId="51772B06" w14:textId="77777777" w:rsidR="006A1846" w:rsidRPr="003D1614" w:rsidRDefault="006A1846" w:rsidP="004454D6">
            <w:pPr>
              <w:tabs>
                <w:tab w:val="right" w:pos="1202"/>
              </w:tabs>
              <w:spacing w:line="240" w:lineRule="exact"/>
              <w:outlineLvl w:val="0"/>
              <w:rPr>
                <w:rFonts w:ascii="Arial" w:hAnsi="Arial" w:cs="Arial"/>
                <w:b/>
                <w:iCs/>
                <w:color w:val="000000"/>
                <w:sz w:val="17"/>
                <w:szCs w:val="17"/>
              </w:rPr>
            </w:pPr>
            <w:r w:rsidRPr="003D1614">
              <w:rPr>
                <w:rFonts w:ascii="Arial" w:hAnsi="Arial" w:cs="Arial"/>
                <w:b/>
                <w:iCs/>
                <w:color w:val="000000"/>
                <w:sz w:val="17"/>
                <w:szCs w:val="17"/>
              </w:rPr>
              <w:t>Stanje 1. siječnja 202</w:t>
            </w:r>
            <w:r>
              <w:rPr>
                <w:rFonts w:ascii="Arial" w:hAnsi="Arial" w:cs="Arial"/>
                <w:b/>
                <w:iCs/>
                <w:color w:val="000000"/>
                <w:sz w:val="17"/>
                <w:szCs w:val="17"/>
              </w:rPr>
              <w:t>3</w:t>
            </w:r>
            <w:r w:rsidRPr="003D1614">
              <w:rPr>
                <w:rFonts w:ascii="Arial" w:hAnsi="Arial" w:cs="Arial"/>
                <w:b/>
                <w:iCs/>
                <w:color w:val="000000"/>
                <w:sz w:val="17"/>
                <w:szCs w:val="17"/>
              </w:rPr>
              <w:t>.</w:t>
            </w:r>
          </w:p>
        </w:tc>
        <w:tc>
          <w:tcPr>
            <w:tcW w:w="625" w:type="pct"/>
            <w:tcBorders>
              <w:top w:val="nil"/>
              <w:left w:val="nil"/>
              <w:bottom w:val="single" w:sz="12" w:space="0" w:color="auto"/>
              <w:right w:val="nil"/>
            </w:tcBorders>
            <w:shd w:val="clear" w:color="auto" w:fill="auto"/>
            <w:vAlign w:val="bottom"/>
          </w:tcPr>
          <w:p w14:paraId="63BA5D12" w14:textId="77777777" w:rsidR="006A1846" w:rsidRPr="003D1614" w:rsidRDefault="006A1846" w:rsidP="004454D6">
            <w:pPr>
              <w:jc w:val="right"/>
              <w:rPr>
                <w:rFonts w:ascii="Arial" w:hAnsi="Arial" w:cs="Arial"/>
                <w:b/>
                <w:bCs/>
                <w:color w:val="000000"/>
                <w:sz w:val="17"/>
                <w:szCs w:val="17"/>
              </w:rPr>
            </w:pPr>
            <w:r w:rsidRPr="00107766">
              <w:rPr>
                <w:rFonts w:ascii="Arial" w:hAnsi="Arial" w:cs="Arial"/>
                <w:b/>
                <w:bCs/>
                <w:color w:val="000000"/>
                <w:sz w:val="17"/>
                <w:szCs w:val="17"/>
              </w:rPr>
              <w:t>7.632</w:t>
            </w:r>
          </w:p>
        </w:tc>
        <w:tc>
          <w:tcPr>
            <w:tcW w:w="702" w:type="pct"/>
            <w:tcBorders>
              <w:top w:val="nil"/>
              <w:left w:val="nil"/>
              <w:bottom w:val="single" w:sz="12" w:space="0" w:color="auto"/>
              <w:right w:val="nil"/>
            </w:tcBorders>
            <w:shd w:val="clear" w:color="auto" w:fill="auto"/>
            <w:vAlign w:val="bottom"/>
          </w:tcPr>
          <w:p w14:paraId="7F9157D9" w14:textId="77777777" w:rsidR="006A1846" w:rsidRPr="003D1614" w:rsidRDefault="006A1846" w:rsidP="004454D6">
            <w:pPr>
              <w:jc w:val="right"/>
              <w:rPr>
                <w:rFonts w:ascii="Arial" w:hAnsi="Arial" w:cs="Arial"/>
                <w:b/>
                <w:bCs/>
                <w:color w:val="000000"/>
                <w:sz w:val="17"/>
                <w:szCs w:val="17"/>
              </w:rPr>
            </w:pPr>
            <w:r w:rsidRPr="00107766">
              <w:rPr>
                <w:rFonts w:ascii="Arial" w:hAnsi="Arial" w:cs="Arial"/>
                <w:b/>
                <w:bCs/>
                <w:color w:val="000000"/>
                <w:sz w:val="17"/>
                <w:szCs w:val="17"/>
              </w:rPr>
              <w:t>669</w:t>
            </w:r>
          </w:p>
        </w:tc>
        <w:tc>
          <w:tcPr>
            <w:tcW w:w="572" w:type="pct"/>
            <w:tcBorders>
              <w:top w:val="nil"/>
              <w:left w:val="nil"/>
              <w:bottom w:val="single" w:sz="12" w:space="0" w:color="auto"/>
              <w:right w:val="nil"/>
            </w:tcBorders>
            <w:shd w:val="clear" w:color="auto" w:fill="auto"/>
            <w:vAlign w:val="bottom"/>
          </w:tcPr>
          <w:p w14:paraId="05E417A5" w14:textId="77777777" w:rsidR="006A1846" w:rsidRPr="003D1614" w:rsidRDefault="006A1846" w:rsidP="004454D6">
            <w:pPr>
              <w:jc w:val="right"/>
              <w:rPr>
                <w:rFonts w:ascii="Arial" w:hAnsi="Arial" w:cs="Arial"/>
                <w:b/>
                <w:bCs/>
                <w:color w:val="000000"/>
                <w:sz w:val="17"/>
                <w:szCs w:val="17"/>
              </w:rPr>
            </w:pPr>
            <w:r>
              <w:rPr>
                <w:rFonts w:ascii="Arial" w:hAnsi="Arial" w:cs="Arial"/>
                <w:b/>
                <w:bCs/>
                <w:color w:val="000000"/>
                <w:sz w:val="17"/>
                <w:szCs w:val="17"/>
              </w:rPr>
              <w:t>(</w:t>
            </w:r>
            <w:r w:rsidRPr="00107766">
              <w:rPr>
                <w:rFonts w:ascii="Arial" w:hAnsi="Arial" w:cs="Arial"/>
                <w:b/>
                <w:bCs/>
                <w:color w:val="000000"/>
                <w:sz w:val="17"/>
                <w:szCs w:val="17"/>
              </w:rPr>
              <w:t>700</w:t>
            </w:r>
            <w:r>
              <w:rPr>
                <w:rFonts w:ascii="Arial" w:hAnsi="Arial" w:cs="Arial"/>
                <w:b/>
                <w:bCs/>
                <w:color w:val="000000"/>
                <w:sz w:val="17"/>
                <w:szCs w:val="17"/>
              </w:rPr>
              <w:t>)</w:t>
            </w:r>
          </w:p>
        </w:tc>
        <w:tc>
          <w:tcPr>
            <w:tcW w:w="572" w:type="pct"/>
            <w:tcBorders>
              <w:top w:val="nil"/>
              <w:left w:val="nil"/>
              <w:bottom w:val="single" w:sz="12" w:space="0" w:color="auto"/>
              <w:right w:val="nil"/>
            </w:tcBorders>
            <w:shd w:val="clear" w:color="auto" w:fill="auto"/>
            <w:vAlign w:val="bottom"/>
          </w:tcPr>
          <w:p w14:paraId="1A6BD981" w14:textId="77777777" w:rsidR="006A1846" w:rsidRPr="003D1614" w:rsidRDefault="006A1846" w:rsidP="004454D6">
            <w:pPr>
              <w:jc w:val="right"/>
              <w:rPr>
                <w:rFonts w:ascii="Arial" w:hAnsi="Arial" w:cs="Arial"/>
                <w:b/>
                <w:bCs/>
                <w:color w:val="000000"/>
                <w:sz w:val="17"/>
                <w:szCs w:val="17"/>
              </w:rPr>
            </w:pPr>
            <w:r w:rsidRPr="00107766">
              <w:rPr>
                <w:rFonts w:ascii="Arial" w:hAnsi="Arial" w:cs="Arial"/>
                <w:b/>
                <w:bCs/>
                <w:color w:val="000000"/>
                <w:sz w:val="17"/>
                <w:szCs w:val="17"/>
              </w:rPr>
              <w:t>436</w:t>
            </w:r>
          </w:p>
        </w:tc>
        <w:tc>
          <w:tcPr>
            <w:tcW w:w="644" w:type="pct"/>
            <w:tcBorders>
              <w:top w:val="nil"/>
              <w:left w:val="nil"/>
              <w:bottom w:val="single" w:sz="12" w:space="0" w:color="auto"/>
              <w:right w:val="nil"/>
            </w:tcBorders>
            <w:shd w:val="clear" w:color="auto" w:fill="auto"/>
            <w:vAlign w:val="bottom"/>
          </w:tcPr>
          <w:p w14:paraId="3683E50F" w14:textId="77777777" w:rsidR="006A1846" w:rsidRPr="003D1614" w:rsidRDefault="006A1846" w:rsidP="004454D6">
            <w:pPr>
              <w:jc w:val="right"/>
              <w:rPr>
                <w:rFonts w:ascii="Arial" w:hAnsi="Arial" w:cs="Arial"/>
                <w:b/>
                <w:bCs/>
                <w:color w:val="000000"/>
                <w:sz w:val="17"/>
                <w:szCs w:val="17"/>
              </w:rPr>
            </w:pPr>
            <w:r w:rsidRPr="00107766">
              <w:rPr>
                <w:rFonts w:ascii="Arial" w:hAnsi="Arial" w:cs="Arial"/>
                <w:b/>
                <w:bCs/>
                <w:color w:val="000000"/>
                <w:sz w:val="17"/>
                <w:szCs w:val="17"/>
              </w:rPr>
              <w:t>8.037</w:t>
            </w:r>
          </w:p>
        </w:tc>
        <w:tc>
          <w:tcPr>
            <w:tcW w:w="565" w:type="pct"/>
            <w:tcBorders>
              <w:top w:val="nil"/>
              <w:left w:val="nil"/>
              <w:bottom w:val="single" w:sz="12" w:space="0" w:color="auto"/>
              <w:right w:val="nil"/>
            </w:tcBorders>
            <w:shd w:val="clear" w:color="auto" w:fill="auto"/>
            <w:vAlign w:val="bottom"/>
          </w:tcPr>
          <w:p w14:paraId="7CF736F4" w14:textId="77777777" w:rsidR="006A1846" w:rsidRPr="003D1614" w:rsidRDefault="006A1846" w:rsidP="004454D6">
            <w:pPr>
              <w:jc w:val="right"/>
              <w:rPr>
                <w:rFonts w:ascii="Arial" w:hAnsi="Arial" w:cs="Arial"/>
                <w:b/>
                <w:bCs/>
                <w:color w:val="000000"/>
                <w:sz w:val="17"/>
                <w:szCs w:val="17"/>
              </w:rPr>
            </w:pPr>
            <w:r w:rsidRPr="00107766">
              <w:rPr>
                <w:rFonts w:ascii="Arial" w:hAnsi="Arial" w:cs="Arial"/>
                <w:b/>
                <w:bCs/>
                <w:color w:val="000000"/>
                <w:sz w:val="17"/>
                <w:szCs w:val="17"/>
              </w:rPr>
              <w:t>8.037</w:t>
            </w:r>
          </w:p>
        </w:tc>
      </w:tr>
      <w:tr w:rsidR="006A1846" w:rsidRPr="003D1614" w14:paraId="3469E20B" w14:textId="77777777" w:rsidTr="004454D6">
        <w:trPr>
          <w:trHeight w:val="77"/>
        </w:trPr>
        <w:tc>
          <w:tcPr>
            <w:tcW w:w="1320" w:type="pct"/>
            <w:vAlign w:val="bottom"/>
          </w:tcPr>
          <w:p w14:paraId="4215CB2F" w14:textId="77777777" w:rsidR="006A1846" w:rsidRPr="003D1614" w:rsidRDefault="006A1846" w:rsidP="004454D6">
            <w:pPr>
              <w:tabs>
                <w:tab w:val="right" w:pos="1202"/>
              </w:tabs>
              <w:spacing w:line="240" w:lineRule="exact"/>
              <w:outlineLvl w:val="0"/>
              <w:rPr>
                <w:rFonts w:ascii="Arial" w:hAnsi="Arial" w:cs="Arial"/>
                <w:iCs/>
                <w:color w:val="000000"/>
                <w:sz w:val="17"/>
                <w:szCs w:val="17"/>
              </w:rPr>
            </w:pPr>
            <w:r w:rsidRPr="003D1614">
              <w:rPr>
                <w:rFonts w:ascii="Arial" w:hAnsi="Arial" w:cs="Arial"/>
                <w:iCs/>
                <w:color w:val="000000"/>
                <w:sz w:val="17"/>
                <w:szCs w:val="17"/>
              </w:rPr>
              <w:t>Dobit tekućeg razdoblja</w:t>
            </w:r>
          </w:p>
        </w:tc>
        <w:tc>
          <w:tcPr>
            <w:tcW w:w="625" w:type="pct"/>
            <w:vAlign w:val="bottom"/>
          </w:tcPr>
          <w:p w14:paraId="5920AABB" w14:textId="77777777" w:rsidR="006A1846" w:rsidRPr="003D1614" w:rsidRDefault="006A1846" w:rsidP="004454D6">
            <w:pPr>
              <w:tabs>
                <w:tab w:val="right" w:pos="1202"/>
              </w:tabs>
              <w:spacing w:line="301" w:lineRule="exact"/>
              <w:jc w:val="right"/>
              <w:outlineLvl w:val="0"/>
              <w:rPr>
                <w:rFonts w:ascii="Arial" w:hAnsi="Arial" w:cs="Arial"/>
                <w:iCs/>
                <w:color w:val="000000"/>
                <w:sz w:val="17"/>
                <w:szCs w:val="17"/>
              </w:rPr>
            </w:pPr>
            <w:r>
              <w:rPr>
                <w:rFonts w:ascii="Arial" w:hAnsi="Arial" w:cs="Arial"/>
                <w:iCs/>
                <w:color w:val="000000"/>
                <w:sz w:val="17"/>
                <w:szCs w:val="17"/>
              </w:rPr>
              <w:t>-</w:t>
            </w:r>
          </w:p>
        </w:tc>
        <w:tc>
          <w:tcPr>
            <w:tcW w:w="702" w:type="pct"/>
            <w:vAlign w:val="bottom"/>
          </w:tcPr>
          <w:p w14:paraId="5542ADE9" w14:textId="77777777" w:rsidR="006A1846" w:rsidRPr="003D1614" w:rsidRDefault="006A1846" w:rsidP="004454D6">
            <w:pPr>
              <w:tabs>
                <w:tab w:val="right" w:pos="1202"/>
              </w:tabs>
              <w:spacing w:line="301" w:lineRule="exact"/>
              <w:jc w:val="right"/>
              <w:outlineLvl w:val="0"/>
              <w:rPr>
                <w:rFonts w:ascii="Arial" w:hAnsi="Arial" w:cs="Arial"/>
                <w:iCs/>
                <w:color w:val="000000"/>
                <w:sz w:val="17"/>
                <w:szCs w:val="17"/>
              </w:rPr>
            </w:pPr>
            <w:r>
              <w:rPr>
                <w:rFonts w:ascii="Arial" w:hAnsi="Arial" w:cs="Arial"/>
                <w:iCs/>
                <w:color w:val="000000"/>
                <w:sz w:val="17"/>
                <w:szCs w:val="17"/>
              </w:rPr>
              <w:t>-</w:t>
            </w:r>
          </w:p>
        </w:tc>
        <w:tc>
          <w:tcPr>
            <w:tcW w:w="572" w:type="pct"/>
            <w:vAlign w:val="bottom"/>
          </w:tcPr>
          <w:p w14:paraId="7A16A5A6" w14:textId="77777777" w:rsidR="006A1846" w:rsidRPr="003D1614" w:rsidRDefault="006A1846" w:rsidP="004454D6">
            <w:pPr>
              <w:tabs>
                <w:tab w:val="right" w:pos="1202"/>
              </w:tabs>
              <w:spacing w:line="301" w:lineRule="exact"/>
              <w:jc w:val="right"/>
              <w:outlineLvl w:val="0"/>
              <w:rPr>
                <w:rFonts w:ascii="Arial" w:hAnsi="Arial" w:cs="Arial"/>
                <w:iCs/>
                <w:color w:val="000000"/>
                <w:sz w:val="17"/>
                <w:szCs w:val="17"/>
              </w:rPr>
            </w:pPr>
            <w:r>
              <w:rPr>
                <w:rFonts w:ascii="Arial" w:hAnsi="Arial" w:cs="Arial"/>
                <w:iCs/>
                <w:color w:val="000000"/>
                <w:sz w:val="17"/>
                <w:szCs w:val="17"/>
              </w:rPr>
              <w:t>-</w:t>
            </w:r>
          </w:p>
        </w:tc>
        <w:tc>
          <w:tcPr>
            <w:tcW w:w="572" w:type="pct"/>
            <w:vAlign w:val="bottom"/>
          </w:tcPr>
          <w:p w14:paraId="51DDC19F" w14:textId="77777777" w:rsidR="006A1846" w:rsidRPr="003D1614" w:rsidRDefault="006A1846" w:rsidP="004454D6">
            <w:pPr>
              <w:tabs>
                <w:tab w:val="right" w:pos="1202"/>
              </w:tabs>
              <w:spacing w:line="301" w:lineRule="exact"/>
              <w:jc w:val="right"/>
              <w:outlineLvl w:val="0"/>
              <w:rPr>
                <w:rFonts w:ascii="Arial" w:hAnsi="Arial" w:cs="Arial"/>
                <w:iCs/>
                <w:color w:val="000000"/>
                <w:sz w:val="17"/>
                <w:szCs w:val="17"/>
              </w:rPr>
            </w:pPr>
            <w:r>
              <w:rPr>
                <w:rFonts w:ascii="Arial" w:hAnsi="Arial" w:cs="Arial"/>
                <w:iCs/>
                <w:color w:val="000000"/>
                <w:sz w:val="17"/>
                <w:szCs w:val="17"/>
              </w:rPr>
              <w:t>381</w:t>
            </w:r>
          </w:p>
        </w:tc>
        <w:tc>
          <w:tcPr>
            <w:tcW w:w="644" w:type="pct"/>
            <w:vAlign w:val="bottom"/>
          </w:tcPr>
          <w:p w14:paraId="4359D564" w14:textId="77777777" w:rsidR="006A1846" w:rsidRPr="000C5821" w:rsidRDefault="006A1846" w:rsidP="004454D6">
            <w:pPr>
              <w:tabs>
                <w:tab w:val="right" w:pos="1202"/>
              </w:tabs>
              <w:spacing w:line="301" w:lineRule="exact"/>
              <w:jc w:val="right"/>
              <w:outlineLvl w:val="0"/>
              <w:rPr>
                <w:rFonts w:ascii="Arial" w:hAnsi="Arial" w:cs="Arial"/>
                <w:iCs/>
                <w:color w:val="000000"/>
                <w:sz w:val="17"/>
                <w:szCs w:val="17"/>
              </w:rPr>
            </w:pPr>
            <w:r>
              <w:rPr>
                <w:rFonts w:ascii="Arial" w:hAnsi="Arial" w:cs="Arial"/>
                <w:b/>
                <w:bCs/>
                <w:color w:val="000000"/>
                <w:sz w:val="17"/>
                <w:szCs w:val="17"/>
              </w:rPr>
              <w:t>381</w:t>
            </w:r>
          </w:p>
        </w:tc>
        <w:tc>
          <w:tcPr>
            <w:tcW w:w="565" w:type="pct"/>
            <w:tcBorders>
              <w:top w:val="nil"/>
              <w:left w:val="nil"/>
              <w:bottom w:val="nil"/>
              <w:right w:val="nil"/>
            </w:tcBorders>
            <w:vAlign w:val="bottom"/>
          </w:tcPr>
          <w:p w14:paraId="685C34FE" w14:textId="77777777" w:rsidR="006A1846" w:rsidRPr="000C5821" w:rsidRDefault="006A1846" w:rsidP="004454D6">
            <w:pPr>
              <w:tabs>
                <w:tab w:val="right" w:pos="1202"/>
              </w:tabs>
              <w:spacing w:line="301" w:lineRule="exact"/>
              <w:jc w:val="right"/>
              <w:outlineLvl w:val="0"/>
              <w:rPr>
                <w:rFonts w:ascii="Arial" w:hAnsi="Arial" w:cs="Arial"/>
                <w:iCs/>
                <w:color w:val="000000"/>
                <w:sz w:val="17"/>
                <w:szCs w:val="17"/>
              </w:rPr>
            </w:pPr>
            <w:r>
              <w:rPr>
                <w:rFonts w:ascii="Arial" w:hAnsi="Arial" w:cs="Arial"/>
                <w:b/>
                <w:bCs/>
                <w:color w:val="000000"/>
                <w:sz w:val="17"/>
                <w:szCs w:val="17"/>
              </w:rPr>
              <w:t>381</w:t>
            </w:r>
          </w:p>
        </w:tc>
      </w:tr>
      <w:tr w:rsidR="006A1846" w:rsidRPr="003D1614" w14:paraId="2619A2E3" w14:textId="77777777" w:rsidTr="004454D6">
        <w:trPr>
          <w:trHeight w:val="77"/>
        </w:trPr>
        <w:tc>
          <w:tcPr>
            <w:tcW w:w="1320" w:type="pct"/>
            <w:vAlign w:val="bottom"/>
          </w:tcPr>
          <w:p w14:paraId="5D119DCE" w14:textId="77777777" w:rsidR="006A1846" w:rsidRPr="003D1614" w:rsidRDefault="006A1846" w:rsidP="004454D6">
            <w:pPr>
              <w:tabs>
                <w:tab w:val="right" w:pos="1202"/>
              </w:tabs>
              <w:spacing w:line="240" w:lineRule="exact"/>
              <w:outlineLvl w:val="0"/>
              <w:rPr>
                <w:rFonts w:ascii="Arial" w:hAnsi="Arial" w:cs="Arial"/>
                <w:iCs/>
                <w:color w:val="000000"/>
                <w:sz w:val="17"/>
                <w:szCs w:val="17"/>
              </w:rPr>
            </w:pPr>
            <w:r w:rsidRPr="003D1614">
              <w:rPr>
                <w:rFonts w:ascii="Arial" w:hAnsi="Arial" w:cs="Arial"/>
                <w:iCs/>
                <w:color w:val="000000"/>
                <w:sz w:val="17"/>
                <w:szCs w:val="17"/>
              </w:rPr>
              <w:t>Ostala sveobuhvatna dobit</w:t>
            </w:r>
          </w:p>
        </w:tc>
        <w:tc>
          <w:tcPr>
            <w:tcW w:w="625" w:type="pct"/>
            <w:tcBorders>
              <w:bottom w:val="single" w:sz="4" w:space="0" w:color="auto"/>
            </w:tcBorders>
            <w:vAlign w:val="bottom"/>
          </w:tcPr>
          <w:p w14:paraId="07DFD190" w14:textId="77777777" w:rsidR="006A1846" w:rsidRPr="003D1614" w:rsidRDefault="006A1846" w:rsidP="004454D6">
            <w:pPr>
              <w:tabs>
                <w:tab w:val="right" w:pos="1202"/>
              </w:tabs>
              <w:spacing w:line="301" w:lineRule="exact"/>
              <w:jc w:val="right"/>
              <w:outlineLvl w:val="0"/>
              <w:rPr>
                <w:rFonts w:ascii="Arial" w:hAnsi="Arial" w:cs="Arial"/>
                <w:iCs/>
                <w:color w:val="000000"/>
                <w:sz w:val="17"/>
                <w:szCs w:val="17"/>
              </w:rPr>
            </w:pPr>
            <w:r>
              <w:rPr>
                <w:rFonts w:ascii="Arial" w:hAnsi="Arial" w:cs="Arial"/>
                <w:iCs/>
                <w:color w:val="000000"/>
                <w:sz w:val="17"/>
                <w:szCs w:val="17"/>
              </w:rPr>
              <w:t>-</w:t>
            </w:r>
          </w:p>
        </w:tc>
        <w:tc>
          <w:tcPr>
            <w:tcW w:w="702" w:type="pct"/>
            <w:tcBorders>
              <w:bottom w:val="single" w:sz="4" w:space="0" w:color="auto"/>
            </w:tcBorders>
            <w:vAlign w:val="bottom"/>
          </w:tcPr>
          <w:p w14:paraId="3077401B" w14:textId="77777777" w:rsidR="006A1846" w:rsidRPr="003D1614" w:rsidRDefault="006A1846" w:rsidP="004454D6">
            <w:pPr>
              <w:tabs>
                <w:tab w:val="right" w:pos="1202"/>
              </w:tabs>
              <w:spacing w:line="301" w:lineRule="exact"/>
              <w:jc w:val="right"/>
              <w:outlineLvl w:val="0"/>
              <w:rPr>
                <w:rFonts w:ascii="Arial" w:hAnsi="Arial" w:cs="Arial"/>
                <w:iCs/>
                <w:color w:val="000000"/>
                <w:sz w:val="17"/>
                <w:szCs w:val="17"/>
              </w:rPr>
            </w:pPr>
            <w:r>
              <w:rPr>
                <w:rFonts w:ascii="Arial" w:hAnsi="Arial" w:cs="Arial"/>
                <w:iCs/>
                <w:color w:val="000000"/>
                <w:sz w:val="17"/>
                <w:szCs w:val="17"/>
              </w:rPr>
              <w:t>-</w:t>
            </w:r>
          </w:p>
        </w:tc>
        <w:tc>
          <w:tcPr>
            <w:tcW w:w="572" w:type="pct"/>
            <w:tcBorders>
              <w:bottom w:val="single" w:sz="4" w:space="0" w:color="auto"/>
            </w:tcBorders>
            <w:vAlign w:val="bottom"/>
          </w:tcPr>
          <w:p w14:paraId="69E30786" w14:textId="77777777" w:rsidR="006A1846" w:rsidRPr="003D1614" w:rsidRDefault="006A1846" w:rsidP="004454D6">
            <w:pPr>
              <w:tabs>
                <w:tab w:val="right" w:pos="1202"/>
              </w:tabs>
              <w:spacing w:line="301" w:lineRule="exact"/>
              <w:jc w:val="right"/>
              <w:outlineLvl w:val="0"/>
              <w:rPr>
                <w:rFonts w:ascii="Arial" w:hAnsi="Arial" w:cs="Arial"/>
                <w:iCs/>
                <w:color w:val="000000"/>
                <w:sz w:val="17"/>
                <w:szCs w:val="17"/>
              </w:rPr>
            </w:pPr>
            <w:r>
              <w:rPr>
                <w:rFonts w:ascii="Arial" w:hAnsi="Arial" w:cs="Arial"/>
                <w:iCs/>
                <w:color w:val="000000"/>
                <w:sz w:val="17"/>
                <w:szCs w:val="17"/>
              </w:rPr>
              <w:t>(101)</w:t>
            </w:r>
          </w:p>
        </w:tc>
        <w:tc>
          <w:tcPr>
            <w:tcW w:w="572" w:type="pct"/>
            <w:tcBorders>
              <w:bottom w:val="single" w:sz="4" w:space="0" w:color="auto"/>
            </w:tcBorders>
            <w:vAlign w:val="bottom"/>
          </w:tcPr>
          <w:p w14:paraId="45A496F7" w14:textId="77777777" w:rsidR="006A1846" w:rsidRPr="003D1614" w:rsidRDefault="006A1846" w:rsidP="004454D6">
            <w:pPr>
              <w:tabs>
                <w:tab w:val="right" w:pos="1202"/>
              </w:tabs>
              <w:spacing w:line="301" w:lineRule="exact"/>
              <w:jc w:val="right"/>
              <w:outlineLvl w:val="0"/>
              <w:rPr>
                <w:rFonts w:ascii="Arial" w:hAnsi="Arial" w:cs="Arial"/>
                <w:iCs/>
                <w:color w:val="000000"/>
                <w:sz w:val="17"/>
                <w:szCs w:val="17"/>
              </w:rPr>
            </w:pPr>
            <w:r>
              <w:rPr>
                <w:rFonts w:ascii="Arial" w:hAnsi="Arial" w:cs="Arial"/>
                <w:iCs/>
                <w:color w:val="000000"/>
                <w:sz w:val="17"/>
                <w:szCs w:val="17"/>
              </w:rPr>
              <w:t>-</w:t>
            </w:r>
          </w:p>
        </w:tc>
        <w:tc>
          <w:tcPr>
            <w:tcW w:w="644" w:type="pct"/>
            <w:tcBorders>
              <w:bottom w:val="single" w:sz="4" w:space="0" w:color="auto"/>
            </w:tcBorders>
            <w:vAlign w:val="bottom"/>
          </w:tcPr>
          <w:p w14:paraId="5640622A" w14:textId="77777777" w:rsidR="006A1846" w:rsidRPr="000C5821" w:rsidRDefault="006A1846" w:rsidP="004454D6">
            <w:pPr>
              <w:tabs>
                <w:tab w:val="right" w:pos="1202"/>
              </w:tabs>
              <w:spacing w:line="301" w:lineRule="exact"/>
              <w:jc w:val="right"/>
              <w:outlineLvl w:val="0"/>
              <w:rPr>
                <w:rFonts w:ascii="Arial" w:hAnsi="Arial" w:cs="Arial"/>
                <w:iCs/>
                <w:color w:val="000000"/>
                <w:sz w:val="17"/>
                <w:szCs w:val="17"/>
              </w:rPr>
            </w:pPr>
            <w:r w:rsidRPr="000C5821">
              <w:rPr>
                <w:rFonts w:ascii="Arial" w:hAnsi="Arial" w:cs="Arial"/>
                <w:b/>
                <w:bCs/>
                <w:color w:val="000000"/>
                <w:sz w:val="17"/>
                <w:szCs w:val="17"/>
              </w:rPr>
              <w:t>(101)</w:t>
            </w:r>
          </w:p>
        </w:tc>
        <w:tc>
          <w:tcPr>
            <w:tcW w:w="565" w:type="pct"/>
            <w:tcBorders>
              <w:top w:val="nil"/>
              <w:left w:val="nil"/>
              <w:bottom w:val="single" w:sz="4" w:space="0" w:color="auto"/>
              <w:right w:val="nil"/>
            </w:tcBorders>
            <w:vAlign w:val="bottom"/>
          </w:tcPr>
          <w:p w14:paraId="7F02B654" w14:textId="77777777" w:rsidR="006A1846" w:rsidRPr="000C5821" w:rsidRDefault="006A1846" w:rsidP="004454D6">
            <w:pPr>
              <w:tabs>
                <w:tab w:val="right" w:pos="1202"/>
              </w:tabs>
              <w:spacing w:line="301" w:lineRule="exact"/>
              <w:jc w:val="right"/>
              <w:outlineLvl w:val="0"/>
              <w:rPr>
                <w:rFonts w:ascii="Arial" w:hAnsi="Arial" w:cs="Arial"/>
                <w:iCs/>
                <w:color w:val="000000"/>
                <w:sz w:val="17"/>
                <w:szCs w:val="17"/>
              </w:rPr>
            </w:pPr>
            <w:r w:rsidRPr="000C5821">
              <w:rPr>
                <w:rFonts w:ascii="Arial" w:hAnsi="Arial" w:cs="Arial"/>
                <w:b/>
                <w:bCs/>
                <w:color w:val="000000"/>
                <w:sz w:val="17"/>
                <w:szCs w:val="17"/>
              </w:rPr>
              <w:t>(101)</w:t>
            </w:r>
          </w:p>
        </w:tc>
      </w:tr>
      <w:tr w:rsidR="006A1846" w:rsidRPr="003D1614" w14:paraId="555AB52F" w14:textId="77777777" w:rsidTr="004454D6">
        <w:trPr>
          <w:trHeight w:val="132"/>
        </w:trPr>
        <w:tc>
          <w:tcPr>
            <w:tcW w:w="1320" w:type="pct"/>
            <w:vAlign w:val="bottom"/>
          </w:tcPr>
          <w:p w14:paraId="408AA75F" w14:textId="77777777" w:rsidR="006A1846" w:rsidRPr="003D1614" w:rsidRDefault="006A1846" w:rsidP="004454D6">
            <w:pPr>
              <w:tabs>
                <w:tab w:val="right" w:pos="1202"/>
              </w:tabs>
              <w:spacing w:line="140" w:lineRule="exact"/>
              <w:jc w:val="right"/>
              <w:outlineLvl w:val="0"/>
              <w:rPr>
                <w:rFonts w:ascii="Arial" w:hAnsi="Arial" w:cs="Arial"/>
                <w:iCs/>
                <w:color w:val="000000"/>
                <w:sz w:val="17"/>
                <w:szCs w:val="17"/>
              </w:rPr>
            </w:pPr>
          </w:p>
        </w:tc>
        <w:tc>
          <w:tcPr>
            <w:tcW w:w="625" w:type="pct"/>
            <w:tcBorders>
              <w:top w:val="single" w:sz="4" w:space="0" w:color="auto"/>
            </w:tcBorders>
            <w:vAlign w:val="bottom"/>
          </w:tcPr>
          <w:p w14:paraId="2243B73D" w14:textId="77777777" w:rsidR="006A1846" w:rsidRPr="003D1614" w:rsidRDefault="006A1846" w:rsidP="004454D6">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702" w:type="pct"/>
            <w:tcBorders>
              <w:top w:val="single" w:sz="4" w:space="0" w:color="auto"/>
            </w:tcBorders>
            <w:vAlign w:val="bottom"/>
          </w:tcPr>
          <w:p w14:paraId="1AD95CD4" w14:textId="77777777" w:rsidR="006A1846" w:rsidRPr="003D1614" w:rsidRDefault="006A1846" w:rsidP="004454D6">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572" w:type="pct"/>
            <w:tcBorders>
              <w:top w:val="single" w:sz="4" w:space="0" w:color="auto"/>
            </w:tcBorders>
            <w:vAlign w:val="bottom"/>
          </w:tcPr>
          <w:p w14:paraId="1FCAF74D" w14:textId="77777777" w:rsidR="006A1846" w:rsidRPr="003D1614" w:rsidRDefault="006A1846" w:rsidP="004454D6">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572" w:type="pct"/>
            <w:tcBorders>
              <w:top w:val="single" w:sz="4" w:space="0" w:color="auto"/>
            </w:tcBorders>
            <w:vAlign w:val="bottom"/>
          </w:tcPr>
          <w:p w14:paraId="487E06FC" w14:textId="77777777" w:rsidR="006A1846" w:rsidRPr="003D1614" w:rsidRDefault="006A1846" w:rsidP="004454D6">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644" w:type="pct"/>
            <w:tcBorders>
              <w:top w:val="single" w:sz="4" w:space="0" w:color="auto"/>
            </w:tcBorders>
            <w:vAlign w:val="bottom"/>
          </w:tcPr>
          <w:p w14:paraId="25DECC5D" w14:textId="77777777" w:rsidR="006A1846" w:rsidRPr="003D1614" w:rsidRDefault="006A1846" w:rsidP="004454D6">
            <w:pPr>
              <w:keepNext/>
              <w:keepLines/>
              <w:tabs>
                <w:tab w:val="decimal" w:pos="1015"/>
                <w:tab w:val="decimal" w:pos="1202"/>
              </w:tabs>
              <w:spacing w:line="140" w:lineRule="exact"/>
              <w:jc w:val="right"/>
              <w:rPr>
                <w:rFonts w:ascii="Arial" w:hAnsi="Arial" w:cs="Arial"/>
                <w:b/>
                <w:color w:val="000000"/>
                <w:spacing w:val="-2"/>
                <w:position w:val="4"/>
                <w:sz w:val="17"/>
                <w:szCs w:val="17"/>
              </w:rPr>
            </w:pPr>
          </w:p>
        </w:tc>
        <w:tc>
          <w:tcPr>
            <w:tcW w:w="565" w:type="pct"/>
            <w:tcBorders>
              <w:top w:val="single" w:sz="4" w:space="0" w:color="auto"/>
            </w:tcBorders>
            <w:vAlign w:val="bottom"/>
          </w:tcPr>
          <w:p w14:paraId="6F52C4F4" w14:textId="77777777" w:rsidR="006A1846" w:rsidRPr="003D1614" w:rsidRDefault="006A1846" w:rsidP="004454D6">
            <w:pPr>
              <w:keepNext/>
              <w:keepLines/>
              <w:tabs>
                <w:tab w:val="decimal" w:pos="1015"/>
                <w:tab w:val="decimal" w:pos="1202"/>
              </w:tabs>
              <w:spacing w:line="140" w:lineRule="exact"/>
              <w:jc w:val="right"/>
              <w:rPr>
                <w:rFonts w:ascii="Arial" w:hAnsi="Arial" w:cs="Arial"/>
                <w:b/>
                <w:color w:val="000000"/>
                <w:spacing w:val="-2"/>
                <w:position w:val="4"/>
                <w:sz w:val="17"/>
                <w:szCs w:val="17"/>
              </w:rPr>
            </w:pPr>
          </w:p>
        </w:tc>
      </w:tr>
      <w:tr w:rsidR="006A1846" w:rsidRPr="003D1614" w14:paraId="0583B5F2" w14:textId="77777777" w:rsidTr="004454D6">
        <w:trPr>
          <w:trHeight w:val="77"/>
        </w:trPr>
        <w:tc>
          <w:tcPr>
            <w:tcW w:w="1320" w:type="pct"/>
            <w:vAlign w:val="bottom"/>
          </w:tcPr>
          <w:p w14:paraId="13E59F53" w14:textId="77777777" w:rsidR="006A1846" w:rsidRPr="003D1614" w:rsidRDefault="006A1846" w:rsidP="004454D6">
            <w:pPr>
              <w:tabs>
                <w:tab w:val="right" w:pos="1202"/>
              </w:tabs>
              <w:spacing w:line="240" w:lineRule="exact"/>
              <w:outlineLvl w:val="0"/>
              <w:rPr>
                <w:rFonts w:ascii="Arial" w:hAnsi="Arial" w:cs="Arial"/>
                <w:iCs/>
                <w:color w:val="000000"/>
                <w:sz w:val="17"/>
                <w:szCs w:val="17"/>
              </w:rPr>
            </w:pPr>
            <w:r w:rsidRPr="003D1614">
              <w:rPr>
                <w:rFonts w:ascii="Arial" w:hAnsi="Arial" w:cs="Arial"/>
                <w:iCs/>
                <w:color w:val="000000"/>
                <w:sz w:val="17"/>
                <w:szCs w:val="17"/>
              </w:rPr>
              <w:t xml:space="preserve">Ukupna sveobuhvatna </w:t>
            </w:r>
            <w:r>
              <w:rPr>
                <w:rFonts w:ascii="Arial" w:hAnsi="Arial" w:cs="Arial"/>
                <w:iCs/>
                <w:color w:val="000000"/>
                <w:sz w:val="17"/>
                <w:szCs w:val="17"/>
              </w:rPr>
              <w:t>dobit</w:t>
            </w:r>
          </w:p>
        </w:tc>
        <w:tc>
          <w:tcPr>
            <w:tcW w:w="625" w:type="pct"/>
            <w:tcBorders>
              <w:left w:val="nil"/>
              <w:bottom w:val="single" w:sz="4" w:space="0" w:color="auto"/>
              <w:right w:val="nil"/>
            </w:tcBorders>
            <w:vAlign w:val="bottom"/>
          </w:tcPr>
          <w:p w14:paraId="6B1DDF0F" w14:textId="77777777" w:rsidR="006A1846" w:rsidRPr="000C5821" w:rsidRDefault="006A1846" w:rsidP="004454D6">
            <w:pPr>
              <w:jc w:val="right"/>
              <w:rPr>
                <w:rFonts w:ascii="Arial" w:hAnsi="Arial" w:cs="Arial"/>
                <w:color w:val="000000"/>
                <w:sz w:val="17"/>
                <w:szCs w:val="17"/>
              </w:rPr>
            </w:pPr>
            <w:r>
              <w:rPr>
                <w:rFonts w:ascii="Arial" w:hAnsi="Arial" w:cs="Arial"/>
                <w:color w:val="000000"/>
                <w:sz w:val="17"/>
                <w:szCs w:val="17"/>
              </w:rPr>
              <w:t>-</w:t>
            </w:r>
          </w:p>
        </w:tc>
        <w:tc>
          <w:tcPr>
            <w:tcW w:w="702" w:type="pct"/>
            <w:tcBorders>
              <w:left w:val="nil"/>
              <w:bottom w:val="single" w:sz="4" w:space="0" w:color="auto"/>
              <w:right w:val="nil"/>
            </w:tcBorders>
            <w:vAlign w:val="bottom"/>
          </w:tcPr>
          <w:p w14:paraId="74032D38" w14:textId="77777777" w:rsidR="006A1846" w:rsidRPr="000C5821" w:rsidRDefault="006A1846" w:rsidP="004454D6">
            <w:pPr>
              <w:jc w:val="right"/>
              <w:rPr>
                <w:rFonts w:ascii="Arial" w:hAnsi="Arial" w:cs="Arial"/>
                <w:color w:val="000000"/>
                <w:sz w:val="17"/>
                <w:szCs w:val="17"/>
              </w:rPr>
            </w:pPr>
            <w:r>
              <w:rPr>
                <w:rFonts w:ascii="Arial" w:hAnsi="Arial" w:cs="Arial"/>
                <w:color w:val="000000"/>
                <w:sz w:val="17"/>
                <w:szCs w:val="17"/>
              </w:rPr>
              <w:t>-</w:t>
            </w:r>
          </w:p>
        </w:tc>
        <w:tc>
          <w:tcPr>
            <w:tcW w:w="572" w:type="pct"/>
            <w:tcBorders>
              <w:bottom w:val="single" w:sz="4" w:space="0" w:color="auto"/>
            </w:tcBorders>
            <w:vAlign w:val="bottom"/>
          </w:tcPr>
          <w:p w14:paraId="38EAB767" w14:textId="77777777" w:rsidR="006A1846" w:rsidRPr="000C5821" w:rsidRDefault="006A1846" w:rsidP="004454D6">
            <w:pPr>
              <w:jc w:val="right"/>
              <w:rPr>
                <w:rFonts w:ascii="Arial" w:hAnsi="Arial" w:cs="Arial"/>
                <w:color w:val="000000"/>
                <w:sz w:val="17"/>
                <w:szCs w:val="17"/>
              </w:rPr>
            </w:pPr>
            <w:r w:rsidRPr="000C5821">
              <w:rPr>
                <w:rFonts w:ascii="Arial" w:hAnsi="Arial" w:cs="Arial"/>
                <w:color w:val="000000"/>
                <w:sz w:val="17"/>
                <w:szCs w:val="17"/>
              </w:rPr>
              <w:t>(101)</w:t>
            </w:r>
          </w:p>
        </w:tc>
        <w:tc>
          <w:tcPr>
            <w:tcW w:w="572" w:type="pct"/>
            <w:tcBorders>
              <w:bottom w:val="single" w:sz="4" w:space="0" w:color="auto"/>
            </w:tcBorders>
            <w:vAlign w:val="bottom"/>
          </w:tcPr>
          <w:p w14:paraId="1F8AC037" w14:textId="77777777" w:rsidR="006A1846" w:rsidRPr="000C5821" w:rsidRDefault="006A1846" w:rsidP="004454D6">
            <w:pPr>
              <w:jc w:val="right"/>
              <w:rPr>
                <w:rFonts w:ascii="Arial" w:hAnsi="Arial" w:cs="Arial"/>
                <w:color w:val="000000"/>
                <w:sz w:val="17"/>
                <w:szCs w:val="17"/>
              </w:rPr>
            </w:pPr>
            <w:r>
              <w:rPr>
                <w:rFonts w:ascii="Arial" w:hAnsi="Arial" w:cs="Arial"/>
                <w:color w:val="000000"/>
                <w:sz w:val="17"/>
                <w:szCs w:val="17"/>
              </w:rPr>
              <w:t>381</w:t>
            </w:r>
          </w:p>
        </w:tc>
        <w:tc>
          <w:tcPr>
            <w:tcW w:w="644" w:type="pct"/>
            <w:tcBorders>
              <w:bottom w:val="single" w:sz="4" w:space="0" w:color="auto"/>
            </w:tcBorders>
            <w:vAlign w:val="bottom"/>
          </w:tcPr>
          <w:p w14:paraId="28FCB0A2" w14:textId="77777777" w:rsidR="006A1846" w:rsidRPr="000C5821" w:rsidRDefault="006A1846" w:rsidP="004454D6">
            <w:pPr>
              <w:jc w:val="right"/>
              <w:rPr>
                <w:rFonts w:ascii="Arial" w:hAnsi="Arial" w:cs="Arial"/>
                <w:color w:val="000000"/>
                <w:sz w:val="17"/>
                <w:szCs w:val="17"/>
              </w:rPr>
            </w:pPr>
            <w:r>
              <w:rPr>
                <w:rFonts w:ascii="Arial" w:hAnsi="Arial" w:cs="Arial"/>
                <w:b/>
                <w:bCs/>
                <w:color w:val="000000"/>
                <w:sz w:val="17"/>
                <w:szCs w:val="17"/>
              </w:rPr>
              <w:t>280</w:t>
            </w:r>
          </w:p>
        </w:tc>
        <w:tc>
          <w:tcPr>
            <w:tcW w:w="565" w:type="pct"/>
            <w:tcBorders>
              <w:top w:val="nil"/>
              <w:left w:val="nil"/>
              <w:bottom w:val="single" w:sz="4" w:space="0" w:color="auto"/>
              <w:right w:val="nil"/>
            </w:tcBorders>
            <w:vAlign w:val="bottom"/>
          </w:tcPr>
          <w:p w14:paraId="0111089A" w14:textId="77777777" w:rsidR="006A1846" w:rsidRPr="000C5821" w:rsidRDefault="006A1846" w:rsidP="004454D6">
            <w:pPr>
              <w:jc w:val="right"/>
              <w:rPr>
                <w:rFonts w:ascii="Arial" w:hAnsi="Arial" w:cs="Arial"/>
                <w:color w:val="000000"/>
                <w:sz w:val="17"/>
                <w:szCs w:val="17"/>
              </w:rPr>
            </w:pPr>
            <w:r>
              <w:rPr>
                <w:rFonts w:ascii="Arial" w:hAnsi="Arial" w:cs="Arial"/>
                <w:b/>
                <w:bCs/>
                <w:color w:val="000000"/>
                <w:sz w:val="17"/>
                <w:szCs w:val="17"/>
              </w:rPr>
              <w:t>280</w:t>
            </w:r>
          </w:p>
        </w:tc>
      </w:tr>
      <w:tr w:rsidR="006A1846" w:rsidRPr="003D1614" w14:paraId="04FA7A9A" w14:textId="77777777" w:rsidTr="004454D6">
        <w:trPr>
          <w:trHeight w:val="132"/>
        </w:trPr>
        <w:tc>
          <w:tcPr>
            <w:tcW w:w="1320" w:type="pct"/>
            <w:vAlign w:val="bottom"/>
          </w:tcPr>
          <w:p w14:paraId="28E7A8A8" w14:textId="77777777" w:rsidR="006A1846" w:rsidRPr="003D1614" w:rsidRDefault="006A1846" w:rsidP="004454D6">
            <w:pPr>
              <w:tabs>
                <w:tab w:val="right" w:pos="1202"/>
              </w:tabs>
              <w:spacing w:line="140" w:lineRule="exact"/>
              <w:jc w:val="right"/>
              <w:outlineLvl w:val="0"/>
              <w:rPr>
                <w:rFonts w:ascii="Arial" w:hAnsi="Arial" w:cs="Arial"/>
                <w:iCs/>
                <w:color w:val="000000"/>
                <w:sz w:val="17"/>
                <w:szCs w:val="17"/>
              </w:rPr>
            </w:pPr>
          </w:p>
        </w:tc>
        <w:tc>
          <w:tcPr>
            <w:tcW w:w="625" w:type="pct"/>
            <w:tcBorders>
              <w:top w:val="single" w:sz="4" w:space="0" w:color="auto"/>
            </w:tcBorders>
            <w:vAlign w:val="bottom"/>
          </w:tcPr>
          <w:p w14:paraId="5A3E0CA7" w14:textId="77777777" w:rsidR="006A1846" w:rsidRPr="003D1614" w:rsidRDefault="006A1846" w:rsidP="004454D6">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702" w:type="pct"/>
            <w:tcBorders>
              <w:top w:val="single" w:sz="4" w:space="0" w:color="auto"/>
            </w:tcBorders>
            <w:vAlign w:val="bottom"/>
          </w:tcPr>
          <w:p w14:paraId="1978587F" w14:textId="77777777" w:rsidR="006A1846" w:rsidRPr="003D1614" w:rsidRDefault="006A1846" w:rsidP="004454D6">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572" w:type="pct"/>
            <w:tcBorders>
              <w:top w:val="single" w:sz="4" w:space="0" w:color="auto"/>
            </w:tcBorders>
            <w:vAlign w:val="bottom"/>
          </w:tcPr>
          <w:p w14:paraId="38E7B8A2" w14:textId="77777777" w:rsidR="006A1846" w:rsidRPr="003D1614" w:rsidRDefault="006A1846" w:rsidP="004454D6">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572" w:type="pct"/>
            <w:tcBorders>
              <w:top w:val="single" w:sz="4" w:space="0" w:color="auto"/>
            </w:tcBorders>
            <w:vAlign w:val="bottom"/>
          </w:tcPr>
          <w:p w14:paraId="2CA2F70B" w14:textId="77777777" w:rsidR="006A1846" w:rsidRPr="003D1614" w:rsidRDefault="006A1846" w:rsidP="004454D6">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644" w:type="pct"/>
            <w:tcBorders>
              <w:top w:val="single" w:sz="4" w:space="0" w:color="auto"/>
            </w:tcBorders>
            <w:vAlign w:val="bottom"/>
          </w:tcPr>
          <w:p w14:paraId="02EC32D2" w14:textId="77777777" w:rsidR="006A1846" w:rsidRPr="003D1614" w:rsidRDefault="006A1846" w:rsidP="004454D6">
            <w:pPr>
              <w:keepNext/>
              <w:keepLines/>
              <w:tabs>
                <w:tab w:val="decimal" w:pos="1015"/>
                <w:tab w:val="decimal" w:pos="1202"/>
              </w:tabs>
              <w:spacing w:line="140" w:lineRule="exact"/>
              <w:jc w:val="right"/>
              <w:rPr>
                <w:rFonts w:ascii="Arial" w:hAnsi="Arial" w:cs="Arial"/>
                <w:b/>
                <w:color w:val="000000"/>
                <w:spacing w:val="-2"/>
                <w:position w:val="4"/>
                <w:sz w:val="17"/>
                <w:szCs w:val="17"/>
              </w:rPr>
            </w:pPr>
          </w:p>
        </w:tc>
        <w:tc>
          <w:tcPr>
            <w:tcW w:w="565" w:type="pct"/>
            <w:tcBorders>
              <w:top w:val="single" w:sz="4" w:space="0" w:color="auto"/>
            </w:tcBorders>
            <w:vAlign w:val="bottom"/>
          </w:tcPr>
          <w:p w14:paraId="3A666341" w14:textId="77777777" w:rsidR="006A1846" w:rsidRPr="003D1614" w:rsidRDefault="006A1846" w:rsidP="004454D6">
            <w:pPr>
              <w:keepNext/>
              <w:keepLines/>
              <w:tabs>
                <w:tab w:val="decimal" w:pos="1015"/>
                <w:tab w:val="decimal" w:pos="1202"/>
              </w:tabs>
              <w:spacing w:line="140" w:lineRule="exact"/>
              <w:jc w:val="right"/>
              <w:rPr>
                <w:rFonts w:ascii="Arial" w:hAnsi="Arial" w:cs="Arial"/>
                <w:b/>
                <w:color w:val="000000"/>
                <w:spacing w:val="-2"/>
                <w:position w:val="4"/>
                <w:sz w:val="17"/>
                <w:szCs w:val="17"/>
              </w:rPr>
            </w:pPr>
          </w:p>
        </w:tc>
      </w:tr>
      <w:tr w:rsidR="006A1846" w:rsidRPr="003D1614" w14:paraId="577E868F" w14:textId="77777777" w:rsidTr="004454D6">
        <w:trPr>
          <w:trHeight w:val="463"/>
        </w:trPr>
        <w:tc>
          <w:tcPr>
            <w:tcW w:w="1320" w:type="pct"/>
            <w:vAlign w:val="bottom"/>
          </w:tcPr>
          <w:p w14:paraId="183E2317" w14:textId="77777777" w:rsidR="006A1846" w:rsidRPr="003D1614" w:rsidRDefault="006A1846" w:rsidP="004454D6">
            <w:pPr>
              <w:tabs>
                <w:tab w:val="right" w:pos="1202"/>
              </w:tabs>
              <w:spacing w:line="240" w:lineRule="exact"/>
              <w:outlineLvl w:val="0"/>
              <w:rPr>
                <w:rFonts w:ascii="Arial" w:hAnsi="Arial" w:cs="Arial"/>
                <w:i/>
                <w:iCs/>
                <w:color w:val="000000"/>
                <w:sz w:val="17"/>
                <w:szCs w:val="17"/>
              </w:rPr>
            </w:pPr>
            <w:r w:rsidRPr="003D1614">
              <w:rPr>
                <w:rFonts w:ascii="Arial" w:hAnsi="Arial" w:cs="Arial"/>
                <w:iCs/>
                <w:color w:val="000000"/>
                <w:sz w:val="17"/>
                <w:szCs w:val="17"/>
              </w:rPr>
              <w:t>Prijenos dobiti iz 202</w:t>
            </w:r>
            <w:r>
              <w:rPr>
                <w:rFonts w:ascii="Arial" w:hAnsi="Arial" w:cs="Arial"/>
                <w:iCs/>
                <w:color w:val="000000"/>
                <w:sz w:val="17"/>
                <w:szCs w:val="17"/>
              </w:rPr>
              <w:t>2</w:t>
            </w:r>
            <w:r w:rsidRPr="003D1614">
              <w:rPr>
                <w:rFonts w:ascii="Arial" w:hAnsi="Arial" w:cs="Arial"/>
                <w:iCs/>
                <w:color w:val="000000"/>
                <w:sz w:val="17"/>
                <w:szCs w:val="17"/>
              </w:rPr>
              <w:t>. godine u zadržanu dobit</w:t>
            </w:r>
          </w:p>
        </w:tc>
        <w:tc>
          <w:tcPr>
            <w:tcW w:w="625" w:type="pct"/>
            <w:tcBorders>
              <w:top w:val="nil"/>
              <w:left w:val="nil"/>
              <w:right w:val="nil"/>
            </w:tcBorders>
            <w:vAlign w:val="bottom"/>
          </w:tcPr>
          <w:p w14:paraId="22D4E53A" w14:textId="77777777" w:rsidR="006A1846" w:rsidRPr="000C5821" w:rsidRDefault="006A1846" w:rsidP="004454D6">
            <w:pPr>
              <w:jc w:val="right"/>
              <w:rPr>
                <w:rFonts w:ascii="Arial" w:hAnsi="Arial" w:cs="Arial"/>
                <w:color w:val="000000"/>
                <w:sz w:val="17"/>
                <w:szCs w:val="17"/>
              </w:rPr>
            </w:pPr>
            <w:r>
              <w:rPr>
                <w:rFonts w:ascii="Arial" w:hAnsi="Arial" w:cs="Arial"/>
                <w:color w:val="000000"/>
                <w:sz w:val="17"/>
                <w:szCs w:val="17"/>
              </w:rPr>
              <w:t>-</w:t>
            </w:r>
          </w:p>
        </w:tc>
        <w:tc>
          <w:tcPr>
            <w:tcW w:w="702" w:type="pct"/>
            <w:tcBorders>
              <w:top w:val="nil"/>
              <w:left w:val="nil"/>
              <w:right w:val="nil"/>
            </w:tcBorders>
            <w:vAlign w:val="bottom"/>
          </w:tcPr>
          <w:p w14:paraId="5C6A9A91" w14:textId="77777777" w:rsidR="006A1846" w:rsidRPr="000C5821" w:rsidRDefault="006A1846" w:rsidP="004454D6">
            <w:pPr>
              <w:jc w:val="right"/>
              <w:rPr>
                <w:rFonts w:ascii="Arial" w:hAnsi="Arial" w:cs="Arial"/>
                <w:color w:val="000000"/>
                <w:sz w:val="17"/>
                <w:szCs w:val="17"/>
              </w:rPr>
            </w:pPr>
            <w:r w:rsidRPr="000C5821">
              <w:rPr>
                <w:rFonts w:ascii="Arial" w:hAnsi="Arial" w:cs="Arial"/>
                <w:color w:val="000000"/>
                <w:sz w:val="17"/>
                <w:szCs w:val="17"/>
              </w:rPr>
              <w:t>436</w:t>
            </w:r>
          </w:p>
        </w:tc>
        <w:tc>
          <w:tcPr>
            <w:tcW w:w="572" w:type="pct"/>
            <w:tcBorders>
              <w:top w:val="nil"/>
              <w:left w:val="nil"/>
              <w:right w:val="nil"/>
            </w:tcBorders>
            <w:vAlign w:val="bottom"/>
          </w:tcPr>
          <w:p w14:paraId="00B884DF" w14:textId="77777777" w:rsidR="006A1846" w:rsidRPr="000C5821" w:rsidRDefault="006A1846" w:rsidP="004454D6">
            <w:pPr>
              <w:jc w:val="right"/>
              <w:rPr>
                <w:rFonts w:ascii="Arial" w:hAnsi="Arial" w:cs="Arial"/>
                <w:color w:val="000000"/>
                <w:sz w:val="17"/>
                <w:szCs w:val="17"/>
              </w:rPr>
            </w:pPr>
            <w:r>
              <w:rPr>
                <w:rFonts w:ascii="Arial" w:hAnsi="Arial" w:cs="Arial"/>
                <w:color w:val="000000"/>
                <w:sz w:val="17"/>
                <w:szCs w:val="17"/>
              </w:rPr>
              <w:t>-</w:t>
            </w:r>
          </w:p>
        </w:tc>
        <w:tc>
          <w:tcPr>
            <w:tcW w:w="572" w:type="pct"/>
            <w:tcBorders>
              <w:top w:val="nil"/>
              <w:left w:val="nil"/>
              <w:right w:val="nil"/>
            </w:tcBorders>
            <w:vAlign w:val="bottom"/>
          </w:tcPr>
          <w:p w14:paraId="41CE0A78" w14:textId="77777777" w:rsidR="006A1846" w:rsidRPr="000C5821" w:rsidRDefault="006A1846" w:rsidP="004454D6">
            <w:pPr>
              <w:jc w:val="right"/>
              <w:rPr>
                <w:rFonts w:ascii="Arial" w:hAnsi="Arial" w:cs="Arial"/>
                <w:color w:val="000000"/>
                <w:sz w:val="17"/>
                <w:szCs w:val="17"/>
              </w:rPr>
            </w:pPr>
            <w:r w:rsidRPr="000C5821">
              <w:rPr>
                <w:rFonts w:ascii="Arial" w:hAnsi="Arial" w:cs="Arial"/>
                <w:color w:val="000000"/>
                <w:sz w:val="17"/>
                <w:szCs w:val="17"/>
              </w:rPr>
              <w:t>(436)</w:t>
            </w:r>
          </w:p>
        </w:tc>
        <w:tc>
          <w:tcPr>
            <w:tcW w:w="644" w:type="pct"/>
            <w:tcBorders>
              <w:top w:val="nil"/>
              <w:left w:val="nil"/>
              <w:right w:val="nil"/>
            </w:tcBorders>
            <w:vAlign w:val="bottom"/>
          </w:tcPr>
          <w:p w14:paraId="187484EC" w14:textId="77777777" w:rsidR="006A1846" w:rsidRPr="000C5821" w:rsidRDefault="006A1846" w:rsidP="004454D6">
            <w:pPr>
              <w:jc w:val="right"/>
              <w:rPr>
                <w:rFonts w:ascii="Arial" w:hAnsi="Arial" w:cs="Arial"/>
                <w:color w:val="000000"/>
                <w:sz w:val="17"/>
                <w:szCs w:val="17"/>
              </w:rPr>
            </w:pPr>
            <w:r>
              <w:rPr>
                <w:rFonts w:ascii="Arial" w:hAnsi="Arial" w:cs="Arial"/>
                <w:b/>
                <w:bCs/>
                <w:color w:val="000000"/>
                <w:sz w:val="17"/>
                <w:szCs w:val="17"/>
              </w:rPr>
              <w:t>-</w:t>
            </w:r>
          </w:p>
        </w:tc>
        <w:tc>
          <w:tcPr>
            <w:tcW w:w="565" w:type="pct"/>
            <w:tcBorders>
              <w:top w:val="nil"/>
              <w:left w:val="nil"/>
              <w:right w:val="nil"/>
            </w:tcBorders>
            <w:vAlign w:val="bottom"/>
          </w:tcPr>
          <w:p w14:paraId="491C232E" w14:textId="77777777" w:rsidR="006A1846" w:rsidRPr="000C5821" w:rsidRDefault="006A1846" w:rsidP="004454D6">
            <w:pPr>
              <w:jc w:val="right"/>
              <w:rPr>
                <w:rFonts w:ascii="Arial" w:hAnsi="Arial" w:cs="Arial"/>
                <w:color w:val="000000"/>
                <w:sz w:val="17"/>
                <w:szCs w:val="17"/>
              </w:rPr>
            </w:pPr>
            <w:r>
              <w:rPr>
                <w:rFonts w:ascii="Arial" w:hAnsi="Arial" w:cs="Arial"/>
                <w:b/>
                <w:bCs/>
                <w:color w:val="000000"/>
                <w:sz w:val="17"/>
                <w:szCs w:val="17"/>
              </w:rPr>
              <w:t>-</w:t>
            </w:r>
          </w:p>
        </w:tc>
      </w:tr>
      <w:tr w:rsidR="006A1846" w:rsidRPr="003D1614" w14:paraId="34DFAA5B" w14:textId="77777777" w:rsidTr="004454D6">
        <w:trPr>
          <w:trHeight w:val="284"/>
        </w:trPr>
        <w:tc>
          <w:tcPr>
            <w:tcW w:w="1320" w:type="pct"/>
            <w:vAlign w:val="bottom"/>
          </w:tcPr>
          <w:p w14:paraId="2BFCF68A" w14:textId="77777777" w:rsidR="006A1846" w:rsidRPr="003D1614" w:rsidRDefault="006A1846" w:rsidP="004454D6">
            <w:pPr>
              <w:tabs>
                <w:tab w:val="right" w:pos="1202"/>
              </w:tabs>
              <w:spacing w:line="240" w:lineRule="exact"/>
              <w:outlineLvl w:val="0"/>
              <w:rPr>
                <w:rFonts w:ascii="Arial" w:hAnsi="Arial" w:cs="Arial"/>
                <w:iCs/>
                <w:color w:val="000000"/>
                <w:sz w:val="17"/>
                <w:szCs w:val="17"/>
              </w:rPr>
            </w:pPr>
            <w:r w:rsidRPr="00107766">
              <w:rPr>
                <w:rFonts w:ascii="Arial" w:hAnsi="Arial" w:cs="Arial"/>
                <w:iCs/>
                <w:color w:val="000000"/>
                <w:sz w:val="17"/>
                <w:szCs w:val="17"/>
              </w:rPr>
              <w:t>Ostala usklađenja</w:t>
            </w:r>
          </w:p>
        </w:tc>
        <w:tc>
          <w:tcPr>
            <w:tcW w:w="625" w:type="pct"/>
            <w:tcBorders>
              <w:top w:val="nil"/>
              <w:left w:val="nil"/>
              <w:right w:val="nil"/>
            </w:tcBorders>
            <w:vAlign w:val="bottom"/>
          </w:tcPr>
          <w:p w14:paraId="228AD6C3" w14:textId="77777777" w:rsidR="006A1846" w:rsidRPr="000C5821" w:rsidRDefault="006A1846" w:rsidP="004454D6">
            <w:pPr>
              <w:jc w:val="right"/>
              <w:rPr>
                <w:rFonts w:ascii="Arial" w:hAnsi="Arial" w:cs="Arial"/>
                <w:color w:val="000000"/>
                <w:sz w:val="17"/>
                <w:szCs w:val="17"/>
              </w:rPr>
            </w:pPr>
            <w:r w:rsidRPr="000C5821">
              <w:rPr>
                <w:rFonts w:ascii="Arial" w:hAnsi="Arial" w:cs="Arial"/>
                <w:color w:val="000000"/>
                <w:sz w:val="17"/>
                <w:szCs w:val="17"/>
              </w:rPr>
              <w:t xml:space="preserve"> 16 </w:t>
            </w:r>
          </w:p>
        </w:tc>
        <w:tc>
          <w:tcPr>
            <w:tcW w:w="702" w:type="pct"/>
            <w:tcBorders>
              <w:top w:val="nil"/>
              <w:left w:val="nil"/>
              <w:right w:val="nil"/>
            </w:tcBorders>
            <w:vAlign w:val="bottom"/>
          </w:tcPr>
          <w:p w14:paraId="435DCD62" w14:textId="77777777" w:rsidR="006A1846" w:rsidRPr="000C5821" w:rsidRDefault="006A1846" w:rsidP="004454D6">
            <w:pPr>
              <w:jc w:val="right"/>
              <w:rPr>
                <w:rFonts w:ascii="Arial" w:hAnsi="Arial" w:cs="Arial"/>
                <w:color w:val="000000"/>
                <w:sz w:val="17"/>
                <w:szCs w:val="17"/>
              </w:rPr>
            </w:pPr>
            <w:r w:rsidRPr="000C5821">
              <w:rPr>
                <w:rFonts w:ascii="Arial" w:hAnsi="Arial" w:cs="Arial"/>
                <w:color w:val="000000"/>
                <w:sz w:val="17"/>
                <w:szCs w:val="17"/>
              </w:rPr>
              <w:t xml:space="preserve"> (442)</w:t>
            </w:r>
          </w:p>
        </w:tc>
        <w:tc>
          <w:tcPr>
            <w:tcW w:w="572" w:type="pct"/>
            <w:tcBorders>
              <w:top w:val="nil"/>
              <w:left w:val="nil"/>
              <w:right w:val="nil"/>
            </w:tcBorders>
            <w:vAlign w:val="bottom"/>
          </w:tcPr>
          <w:p w14:paraId="009CFA94" w14:textId="77777777" w:rsidR="006A1846" w:rsidRPr="000C5821" w:rsidRDefault="006A1846" w:rsidP="004454D6">
            <w:pPr>
              <w:jc w:val="right"/>
              <w:rPr>
                <w:rFonts w:ascii="Arial" w:hAnsi="Arial" w:cs="Arial"/>
                <w:color w:val="000000"/>
                <w:sz w:val="17"/>
                <w:szCs w:val="17"/>
              </w:rPr>
            </w:pPr>
            <w:r w:rsidRPr="000C5821">
              <w:rPr>
                <w:rFonts w:ascii="Arial" w:hAnsi="Arial" w:cs="Arial"/>
                <w:color w:val="000000"/>
                <w:sz w:val="17"/>
                <w:szCs w:val="17"/>
              </w:rPr>
              <w:t xml:space="preserve"> 8 </w:t>
            </w:r>
          </w:p>
        </w:tc>
        <w:tc>
          <w:tcPr>
            <w:tcW w:w="572" w:type="pct"/>
            <w:tcBorders>
              <w:top w:val="nil"/>
              <w:left w:val="nil"/>
              <w:right w:val="nil"/>
            </w:tcBorders>
            <w:vAlign w:val="bottom"/>
          </w:tcPr>
          <w:p w14:paraId="2145A84E" w14:textId="77777777" w:rsidR="006A1846" w:rsidRPr="000C5821" w:rsidRDefault="006A1846" w:rsidP="004454D6">
            <w:pPr>
              <w:jc w:val="right"/>
              <w:rPr>
                <w:rFonts w:ascii="Arial" w:hAnsi="Arial" w:cs="Arial"/>
                <w:color w:val="000000"/>
                <w:sz w:val="17"/>
                <w:szCs w:val="17"/>
              </w:rPr>
            </w:pPr>
            <w:r>
              <w:rPr>
                <w:rFonts w:ascii="Arial" w:hAnsi="Arial" w:cs="Arial"/>
                <w:color w:val="000000"/>
                <w:sz w:val="17"/>
                <w:szCs w:val="17"/>
              </w:rPr>
              <w:t>-</w:t>
            </w:r>
          </w:p>
        </w:tc>
        <w:tc>
          <w:tcPr>
            <w:tcW w:w="644" w:type="pct"/>
            <w:tcBorders>
              <w:top w:val="nil"/>
              <w:left w:val="nil"/>
              <w:right w:val="nil"/>
            </w:tcBorders>
            <w:vAlign w:val="bottom"/>
          </w:tcPr>
          <w:p w14:paraId="08567615" w14:textId="77777777" w:rsidR="006A1846" w:rsidRPr="000C5821" w:rsidRDefault="006A1846" w:rsidP="004454D6">
            <w:pPr>
              <w:jc w:val="right"/>
              <w:rPr>
                <w:rFonts w:ascii="Arial" w:hAnsi="Arial" w:cs="Arial"/>
                <w:color w:val="000000"/>
                <w:sz w:val="17"/>
                <w:szCs w:val="17"/>
              </w:rPr>
            </w:pPr>
            <w:r w:rsidRPr="000C5821">
              <w:rPr>
                <w:rFonts w:ascii="Arial" w:hAnsi="Arial" w:cs="Arial"/>
                <w:color w:val="000000"/>
                <w:sz w:val="17"/>
                <w:szCs w:val="17"/>
              </w:rPr>
              <w:t xml:space="preserve"> (418)</w:t>
            </w:r>
          </w:p>
        </w:tc>
        <w:tc>
          <w:tcPr>
            <w:tcW w:w="565" w:type="pct"/>
            <w:tcBorders>
              <w:top w:val="nil"/>
              <w:left w:val="nil"/>
              <w:right w:val="nil"/>
            </w:tcBorders>
            <w:vAlign w:val="bottom"/>
          </w:tcPr>
          <w:p w14:paraId="77FCB604" w14:textId="77777777" w:rsidR="006A1846" w:rsidRPr="000C5821" w:rsidRDefault="006A1846" w:rsidP="004454D6">
            <w:pPr>
              <w:jc w:val="right"/>
              <w:rPr>
                <w:rFonts w:ascii="Arial" w:hAnsi="Arial" w:cs="Arial"/>
                <w:color w:val="000000"/>
                <w:sz w:val="17"/>
                <w:szCs w:val="17"/>
              </w:rPr>
            </w:pPr>
            <w:r w:rsidRPr="000C5821">
              <w:rPr>
                <w:rFonts w:ascii="Arial" w:hAnsi="Arial" w:cs="Arial"/>
                <w:color w:val="000000"/>
                <w:sz w:val="17"/>
                <w:szCs w:val="17"/>
              </w:rPr>
              <w:t xml:space="preserve"> (418)</w:t>
            </w:r>
          </w:p>
        </w:tc>
      </w:tr>
      <w:tr w:rsidR="006A1846" w:rsidRPr="003D1614" w14:paraId="127FF052" w14:textId="77777777" w:rsidTr="004454D6">
        <w:trPr>
          <w:trHeight w:val="132"/>
        </w:trPr>
        <w:tc>
          <w:tcPr>
            <w:tcW w:w="1320" w:type="pct"/>
            <w:vAlign w:val="bottom"/>
          </w:tcPr>
          <w:p w14:paraId="039740B3" w14:textId="77777777" w:rsidR="006A1846" w:rsidRPr="003D1614" w:rsidRDefault="006A1846" w:rsidP="004454D6">
            <w:pPr>
              <w:tabs>
                <w:tab w:val="right" w:pos="1202"/>
              </w:tabs>
              <w:spacing w:line="140" w:lineRule="exact"/>
              <w:jc w:val="right"/>
              <w:outlineLvl w:val="0"/>
              <w:rPr>
                <w:rFonts w:ascii="Arial" w:hAnsi="Arial" w:cs="Arial"/>
                <w:iCs/>
                <w:color w:val="000000"/>
                <w:sz w:val="17"/>
                <w:szCs w:val="17"/>
              </w:rPr>
            </w:pPr>
          </w:p>
        </w:tc>
        <w:tc>
          <w:tcPr>
            <w:tcW w:w="625" w:type="pct"/>
            <w:tcBorders>
              <w:top w:val="single" w:sz="4" w:space="0" w:color="auto"/>
            </w:tcBorders>
            <w:vAlign w:val="bottom"/>
          </w:tcPr>
          <w:p w14:paraId="5C99CC1F" w14:textId="77777777" w:rsidR="006A1846" w:rsidRPr="003D1614" w:rsidRDefault="006A1846" w:rsidP="004454D6">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702" w:type="pct"/>
            <w:tcBorders>
              <w:top w:val="single" w:sz="4" w:space="0" w:color="auto"/>
            </w:tcBorders>
            <w:vAlign w:val="bottom"/>
          </w:tcPr>
          <w:p w14:paraId="1338AAD7" w14:textId="77777777" w:rsidR="006A1846" w:rsidRPr="003D1614" w:rsidRDefault="006A1846" w:rsidP="004454D6">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572" w:type="pct"/>
            <w:tcBorders>
              <w:top w:val="single" w:sz="4" w:space="0" w:color="auto"/>
            </w:tcBorders>
            <w:vAlign w:val="bottom"/>
          </w:tcPr>
          <w:p w14:paraId="7FFEAAF5" w14:textId="77777777" w:rsidR="006A1846" w:rsidRPr="003D1614" w:rsidRDefault="006A1846" w:rsidP="004454D6">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572" w:type="pct"/>
            <w:tcBorders>
              <w:top w:val="single" w:sz="4" w:space="0" w:color="auto"/>
            </w:tcBorders>
            <w:vAlign w:val="bottom"/>
          </w:tcPr>
          <w:p w14:paraId="67F16353" w14:textId="77777777" w:rsidR="006A1846" w:rsidRPr="003D1614" w:rsidRDefault="006A1846" w:rsidP="004454D6">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644" w:type="pct"/>
            <w:tcBorders>
              <w:top w:val="single" w:sz="4" w:space="0" w:color="auto"/>
            </w:tcBorders>
            <w:vAlign w:val="bottom"/>
          </w:tcPr>
          <w:p w14:paraId="327C5DC4" w14:textId="77777777" w:rsidR="006A1846" w:rsidRPr="003D1614" w:rsidRDefault="006A1846" w:rsidP="004454D6">
            <w:pPr>
              <w:keepNext/>
              <w:keepLines/>
              <w:tabs>
                <w:tab w:val="decimal" w:pos="1015"/>
                <w:tab w:val="decimal" w:pos="1202"/>
              </w:tabs>
              <w:spacing w:line="140" w:lineRule="exact"/>
              <w:jc w:val="right"/>
              <w:rPr>
                <w:rFonts w:ascii="Arial" w:hAnsi="Arial" w:cs="Arial"/>
                <w:b/>
                <w:color w:val="000000"/>
                <w:spacing w:val="-2"/>
                <w:position w:val="4"/>
                <w:sz w:val="17"/>
                <w:szCs w:val="17"/>
              </w:rPr>
            </w:pPr>
          </w:p>
        </w:tc>
        <w:tc>
          <w:tcPr>
            <w:tcW w:w="565" w:type="pct"/>
            <w:tcBorders>
              <w:top w:val="single" w:sz="4" w:space="0" w:color="auto"/>
            </w:tcBorders>
            <w:vAlign w:val="bottom"/>
          </w:tcPr>
          <w:p w14:paraId="6825F048" w14:textId="77777777" w:rsidR="006A1846" w:rsidRPr="003D1614" w:rsidRDefault="006A1846" w:rsidP="004454D6">
            <w:pPr>
              <w:keepNext/>
              <w:keepLines/>
              <w:tabs>
                <w:tab w:val="decimal" w:pos="1015"/>
                <w:tab w:val="decimal" w:pos="1202"/>
              </w:tabs>
              <w:spacing w:line="140" w:lineRule="exact"/>
              <w:jc w:val="right"/>
              <w:rPr>
                <w:rFonts w:ascii="Arial" w:hAnsi="Arial" w:cs="Arial"/>
                <w:b/>
                <w:color w:val="000000"/>
                <w:spacing w:val="-2"/>
                <w:position w:val="4"/>
                <w:sz w:val="17"/>
                <w:szCs w:val="17"/>
              </w:rPr>
            </w:pPr>
          </w:p>
        </w:tc>
      </w:tr>
      <w:tr w:rsidR="006A1846" w:rsidRPr="003D1614" w14:paraId="79208F5F" w14:textId="77777777" w:rsidTr="004454D6">
        <w:trPr>
          <w:trHeight w:val="275"/>
        </w:trPr>
        <w:tc>
          <w:tcPr>
            <w:tcW w:w="1320" w:type="pct"/>
            <w:vAlign w:val="bottom"/>
          </w:tcPr>
          <w:p w14:paraId="51333E6C" w14:textId="77777777" w:rsidR="006A1846" w:rsidRPr="003D1614" w:rsidRDefault="006A1846" w:rsidP="004454D6">
            <w:pPr>
              <w:tabs>
                <w:tab w:val="right" w:pos="1202"/>
              </w:tabs>
              <w:spacing w:line="240" w:lineRule="exact"/>
              <w:outlineLvl w:val="0"/>
              <w:rPr>
                <w:rFonts w:ascii="Arial" w:hAnsi="Arial" w:cs="Arial"/>
                <w:b/>
                <w:iCs/>
                <w:color w:val="000000"/>
                <w:sz w:val="17"/>
                <w:szCs w:val="17"/>
              </w:rPr>
            </w:pPr>
            <w:r w:rsidRPr="003D1614">
              <w:rPr>
                <w:rFonts w:ascii="Arial" w:hAnsi="Arial" w:cs="Arial"/>
                <w:b/>
                <w:iCs/>
                <w:color w:val="000000"/>
                <w:sz w:val="17"/>
                <w:szCs w:val="17"/>
              </w:rPr>
              <w:t xml:space="preserve">Stanje </w:t>
            </w:r>
            <w:r w:rsidRPr="002576B9">
              <w:rPr>
                <w:rFonts w:ascii="Arial" w:hAnsi="Arial" w:cs="Arial"/>
                <w:b/>
                <w:iCs/>
                <w:color w:val="000000"/>
                <w:sz w:val="17"/>
                <w:szCs w:val="17"/>
              </w:rPr>
              <w:t xml:space="preserve">30. </w:t>
            </w:r>
            <w:r>
              <w:rPr>
                <w:rFonts w:ascii="Arial" w:hAnsi="Arial" w:cs="Arial"/>
                <w:b/>
                <w:iCs/>
                <w:color w:val="000000"/>
                <w:sz w:val="17"/>
                <w:szCs w:val="17"/>
              </w:rPr>
              <w:t>rujna</w:t>
            </w:r>
            <w:r w:rsidRPr="002576B9">
              <w:rPr>
                <w:rFonts w:ascii="Arial" w:hAnsi="Arial" w:cs="Arial"/>
                <w:b/>
                <w:iCs/>
                <w:color w:val="000000"/>
                <w:sz w:val="17"/>
                <w:szCs w:val="17"/>
              </w:rPr>
              <w:t xml:space="preserve"> </w:t>
            </w:r>
            <w:r w:rsidRPr="003D1614">
              <w:rPr>
                <w:rFonts w:ascii="Arial" w:hAnsi="Arial" w:cs="Arial"/>
                <w:b/>
                <w:iCs/>
                <w:color w:val="000000"/>
                <w:sz w:val="17"/>
                <w:szCs w:val="17"/>
              </w:rPr>
              <w:t>202</w:t>
            </w:r>
            <w:r>
              <w:rPr>
                <w:rFonts w:ascii="Arial" w:hAnsi="Arial" w:cs="Arial"/>
                <w:b/>
                <w:iCs/>
                <w:color w:val="000000"/>
                <w:sz w:val="17"/>
                <w:szCs w:val="17"/>
              </w:rPr>
              <w:t>3</w:t>
            </w:r>
            <w:r w:rsidRPr="003D1614">
              <w:rPr>
                <w:rFonts w:ascii="Arial" w:hAnsi="Arial" w:cs="Arial"/>
                <w:b/>
                <w:iCs/>
                <w:color w:val="000000"/>
                <w:sz w:val="17"/>
                <w:szCs w:val="17"/>
              </w:rPr>
              <w:t>.</w:t>
            </w:r>
          </w:p>
        </w:tc>
        <w:tc>
          <w:tcPr>
            <w:tcW w:w="625" w:type="pct"/>
            <w:tcBorders>
              <w:top w:val="nil"/>
              <w:left w:val="nil"/>
              <w:bottom w:val="single" w:sz="12" w:space="0" w:color="auto"/>
              <w:right w:val="nil"/>
            </w:tcBorders>
            <w:vAlign w:val="bottom"/>
          </w:tcPr>
          <w:p w14:paraId="35EE9DC3" w14:textId="77777777" w:rsidR="006A1846" w:rsidRPr="003D1614" w:rsidRDefault="006A1846" w:rsidP="004454D6">
            <w:pPr>
              <w:jc w:val="right"/>
              <w:rPr>
                <w:rFonts w:ascii="Arial" w:hAnsi="Arial" w:cs="Arial"/>
                <w:b/>
                <w:bCs/>
                <w:color w:val="000000"/>
                <w:sz w:val="17"/>
                <w:szCs w:val="17"/>
              </w:rPr>
            </w:pPr>
            <w:r w:rsidRPr="000C5821">
              <w:rPr>
                <w:rFonts w:ascii="Arial" w:hAnsi="Arial" w:cs="Arial"/>
                <w:b/>
                <w:bCs/>
                <w:color w:val="000000"/>
                <w:sz w:val="17"/>
                <w:szCs w:val="17"/>
              </w:rPr>
              <w:t xml:space="preserve"> 7.648 </w:t>
            </w:r>
          </w:p>
        </w:tc>
        <w:tc>
          <w:tcPr>
            <w:tcW w:w="702" w:type="pct"/>
            <w:tcBorders>
              <w:top w:val="nil"/>
              <w:left w:val="nil"/>
              <w:bottom w:val="single" w:sz="12" w:space="0" w:color="auto"/>
              <w:right w:val="nil"/>
            </w:tcBorders>
            <w:vAlign w:val="bottom"/>
          </w:tcPr>
          <w:p w14:paraId="1E27043B" w14:textId="77777777" w:rsidR="006A1846" w:rsidRPr="003D1614" w:rsidRDefault="006A1846" w:rsidP="004454D6">
            <w:pPr>
              <w:jc w:val="right"/>
              <w:rPr>
                <w:rFonts w:ascii="Arial" w:hAnsi="Arial" w:cs="Arial"/>
                <w:b/>
                <w:bCs/>
                <w:color w:val="000000"/>
                <w:sz w:val="17"/>
                <w:szCs w:val="17"/>
              </w:rPr>
            </w:pPr>
            <w:r w:rsidRPr="000C5821">
              <w:rPr>
                <w:rFonts w:ascii="Arial" w:hAnsi="Arial" w:cs="Arial"/>
                <w:b/>
                <w:bCs/>
                <w:color w:val="000000"/>
                <w:sz w:val="17"/>
                <w:szCs w:val="17"/>
              </w:rPr>
              <w:t xml:space="preserve"> 663 </w:t>
            </w:r>
          </w:p>
        </w:tc>
        <w:tc>
          <w:tcPr>
            <w:tcW w:w="572" w:type="pct"/>
            <w:tcBorders>
              <w:top w:val="nil"/>
              <w:left w:val="nil"/>
              <w:bottom w:val="single" w:sz="12" w:space="0" w:color="auto"/>
              <w:right w:val="nil"/>
            </w:tcBorders>
            <w:vAlign w:val="bottom"/>
          </w:tcPr>
          <w:p w14:paraId="59D9FC5C" w14:textId="77777777" w:rsidR="006A1846" w:rsidRPr="003D1614" w:rsidRDefault="006A1846" w:rsidP="004454D6">
            <w:pPr>
              <w:jc w:val="right"/>
              <w:rPr>
                <w:rFonts w:ascii="Arial" w:hAnsi="Arial" w:cs="Arial"/>
                <w:b/>
                <w:bCs/>
                <w:color w:val="000000"/>
                <w:sz w:val="17"/>
                <w:szCs w:val="17"/>
              </w:rPr>
            </w:pPr>
            <w:r w:rsidRPr="000C5821">
              <w:rPr>
                <w:rFonts w:ascii="Arial" w:hAnsi="Arial" w:cs="Arial"/>
                <w:b/>
                <w:bCs/>
                <w:color w:val="000000"/>
                <w:sz w:val="17"/>
                <w:szCs w:val="17"/>
              </w:rPr>
              <w:t xml:space="preserve"> (793)</w:t>
            </w:r>
          </w:p>
        </w:tc>
        <w:tc>
          <w:tcPr>
            <w:tcW w:w="572" w:type="pct"/>
            <w:tcBorders>
              <w:top w:val="nil"/>
              <w:left w:val="nil"/>
              <w:bottom w:val="single" w:sz="12" w:space="0" w:color="auto"/>
              <w:right w:val="nil"/>
            </w:tcBorders>
            <w:vAlign w:val="bottom"/>
          </w:tcPr>
          <w:p w14:paraId="1AB346B7" w14:textId="77777777" w:rsidR="006A1846" w:rsidRPr="003D1614" w:rsidRDefault="006A1846" w:rsidP="004454D6">
            <w:pPr>
              <w:jc w:val="right"/>
              <w:rPr>
                <w:rFonts w:ascii="Arial" w:hAnsi="Arial" w:cs="Arial"/>
                <w:b/>
                <w:bCs/>
                <w:color w:val="000000"/>
                <w:sz w:val="17"/>
                <w:szCs w:val="17"/>
              </w:rPr>
            </w:pPr>
            <w:r w:rsidRPr="000C5821">
              <w:rPr>
                <w:rFonts w:ascii="Arial" w:hAnsi="Arial" w:cs="Arial"/>
                <w:b/>
                <w:bCs/>
                <w:color w:val="000000"/>
                <w:sz w:val="17"/>
                <w:szCs w:val="17"/>
              </w:rPr>
              <w:t xml:space="preserve"> 381 </w:t>
            </w:r>
          </w:p>
        </w:tc>
        <w:tc>
          <w:tcPr>
            <w:tcW w:w="644" w:type="pct"/>
            <w:tcBorders>
              <w:top w:val="nil"/>
              <w:left w:val="nil"/>
              <w:bottom w:val="single" w:sz="12" w:space="0" w:color="auto"/>
              <w:right w:val="nil"/>
            </w:tcBorders>
            <w:vAlign w:val="bottom"/>
          </w:tcPr>
          <w:p w14:paraId="6AACA688" w14:textId="77777777" w:rsidR="006A1846" w:rsidRPr="003D1614" w:rsidRDefault="006A1846" w:rsidP="004454D6">
            <w:pPr>
              <w:jc w:val="right"/>
              <w:rPr>
                <w:rFonts w:ascii="Arial" w:hAnsi="Arial" w:cs="Arial"/>
                <w:b/>
                <w:bCs/>
                <w:color w:val="000000"/>
                <w:sz w:val="17"/>
                <w:szCs w:val="17"/>
              </w:rPr>
            </w:pPr>
            <w:r w:rsidRPr="000C5821">
              <w:rPr>
                <w:rFonts w:ascii="Arial" w:hAnsi="Arial" w:cs="Arial"/>
                <w:b/>
                <w:bCs/>
                <w:color w:val="000000"/>
                <w:sz w:val="17"/>
                <w:szCs w:val="17"/>
              </w:rPr>
              <w:t xml:space="preserve"> 7.899 </w:t>
            </w:r>
          </w:p>
        </w:tc>
        <w:tc>
          <w:tcPr>
            <w:tcW w:w="565" w:type="pct"/>
            <w:tcBorders>
              <w:top w:val="nil"/>
              <w:left w:val="nil"/>
              <w:bottom w:val="single" w:sz="12" w:space="0" w:color="auto"/>
              <w:right w:val="nil"/>
            </w:tcBorders>
            <w:vAlign w:val="bottom"/>
          </w:tcPr>
          <w:p w14:paraId="7C7D9741" w14:textId="77777777" w:rsidR="006A1846" w:rsidRPr="003D1614" w:rsidRDefault="006A1846" w:rsidP="004454D6">
            <w:pPr>
              <w:jc w:val="right"/>
              <w:rPr>
                <w:rFonts w:ascii="Arial" w:hAnsi="Arial" w:cs="Arial"/>
                <w:b/>
                <w:bCs/>
                <w:color w:val="000000"/>
                <w:sz w:val="17"/>
                <w:szCs w:val="17"/>
              </w:rPr>
            </w:pPr>
            <w:r w:rsidRPr="000C5821">
              <w:rPr>
                <w:rFonts w:ascii="Arial" w:hAnsi="Arial" w:cs="Arial"/>
                <w:b/>
                <w:bCs/>
                <w:color w:val="000000"/>
                <w:sz w:val="17"/>
                <w:szCs w:val="17"/>
              </w:rPr>
              <w:t xml:space="preserve"> 7.899 </w:t>
            </w:r>
          </w:p>
        </w:tc>
      </w:tr>
      <w:tr w:rsidR="006A1846" w:rsidRPr="003D1614" w14:paraId="1CF5CD53" w14:textId="77777777" w:rsidTr="004454D6">
        <w:trPr>
          <w:trHeight w:val="76"/>
        </w:trPr>
        <w:tc>
          <w:tcPr>
            <w:tcW w:w="1320" w:type="pct"/>
            <w:vAlign w:val="bottom"/>
          </w:tcPr>
          <w:p w14:paraId="71292BF7" w14:textId="77777777" w:rsidR="006A1846" w:rsidRPr="003D1614" w:rsidRDefault="006A1846" w:rsidP="004454D6">
            <w:pPr>
              <w:tabs>
                <w:tab w:val="right" w:pos="1202"/>
              </w:tabs>
              <w:spacing w:line="140" w:lineRule="exact"/>
              <w:jc w:val="right"/>
              <w:outlineLvl w:val="0"/>
              <w:rPr>
                <w:rFonts w:ascii="Arial" w:hAnsi="Arial" w:cs="Arial"/>
                <w:b/>
                <w:iCs/>
                <w:color w:val="000000"/>
                <w:sz w:val="17"/>
                <w:szCs w:val="17"/>
              </w:rPr>
            </w:pPr>
          </w:p>
        </w:tc>
        <w:tc>
          <w:tcPr>
            <w:tcW w:w="625" w:type="pct"/>
            <w:tcBorders>
              <w:top w:val="single" w:sz="12" w:space="0" w:color="auto"/>
            </w:tcBorders>
            <w:vAlign w:val="bottom"/>
          </w:tcPr>
          <w:p w14:paraId="538897B1" w14:textId="77777777" w:rsidR="006A1846" w:rsidRPr="003D1614" w:rsidRDefault="006A1846" w:rsidP="004454D6">
            <w:pPr>
              <w:keepNext/>
              <w:keepLines/>
              <w:tabs>
                <w:tab w:val="decimal" w:pos="1015"/>
              </w:tabs>
              <w:spacing w:line="140" w:lineRule="exact"/>
              <w:jc w:val="right"/>
              <w:rPr>
                <w:rFonts w:ascii="Arial" w:hAnsi="Arial" w:cs="Arial"/>
                <w:b/>
                <w:color w:val="000000"/>
                <w:position w:val="4"/>
                <w:sz w:val="17"/>
                <w:szCs w:val="17"/>
                <w:u w:val="thick"/>
              </w:rPr>
            </w:pPr>
          </w:p>
        </w:tc>
        <w:tc>
          <w:tcPr>
            <w:tcW w:w="702" w:type="pct"/>
            <w:tcBorders>
              <w:top w:val="single" w:sz="12" w:space="0" w:color="auto"/>
            </w:tcBorders>
            <w:vAlign w:val="bottom"/>
          </w:tcPr>
          <w:p w14:paraId="3A304FF8" w14:textId="77777777" w:rsidR="006A1846" w:rsidRPr="003D1614" w:rsidRDefault="006A1846" w:rsidP="004454D6">
            <w:pPr>
              <w:keepNext/>
              <w:keepLines/>
              <w:tabs>
                <w:tab w:val="decimal" w:pos="1015"/>
              </w:tabs>
              <w:spacing w:line="140" w:lineRule="exact"/>
              <w:jc w:val="right"/>
              <w:rPr>
                <w:rFonts w:ascii="Arial" w:hAnsi="Arial" w:cs="Arial"/>
                <w:b/>
                <w:color w:val="000000"/>
                <w:position w:val="4"/>
                <w:sz w:val="17"/>
                <w:szCs w:val="17"/>
                <w:u w:val="thick"/>
              </w:rPr>
            </w:pPr>
          </w:p>
        </w:tc>
        <w:tc>
          <w:tcPr>
            <w:tcW w:w="572" w:type="pct"/>
            <w:tcBorders>
              <w:top w:val="single" w:sz="12" w:space="0" w:color="auto"/>
            </w:tcBorders>
            <w:vAlign w:val="bottom"/>
          </w:tcPr>
          <w:p w14:paraId="6A78C1CC" w14:textId="77777777" w:rsidR="006A1846" w:rsidRPr="003D1614" w:rsidRDefault="006A1846" w:rsidP="004454D6">
            <w:pPr>
              <w:keepNext/>
              <w:keepLines/>
              <w:tabs>
                <w:tab w:val="decimal" w:pos="1015"/>
              </w:tabs>
              <w:spacing w:line="140" w:lineRule="exact"/>
              <w:jc w:val="right"/>
              <w:rPr>
                <w:rFonts w:ascii="Arial" w:hAnsi="Arial" w:cs="Arial"/>
                <w:b/>
                <w:color w:val="000000"/>
                <w:position w:val="4"/>
                <w:sz w:val="17"/>
                <w:szCs w:val="17"/>
                <w:u w:val="thick"/>
              </w:rPr>
            </w:pPr>
          </w:p>
        </w:tc>
        <w:tc>
          <w:tcPr>
            <w:tcW w:w="572" w:type="pct"/>
            <w:tcBorders>
              <w:top w:val="single" w:sz="12" w:space="0" w:color="auto"/>
            </w:tcBorders>
            <w:vAlign w:val="bottom"/>
          </w:tcPr>
          <w:p w14:paraId="35AF8DBF" w14:textId="77777777" w:rsidR="006A1846" w:rsidRPr="003D1614" w:rsidRDefault="006A1846" w:rsidP="004454D6">
            <w:pPr>
              <w:keepNext/>
              <w:keepLines/>
              <w:tabs>
                <w:tab w:val="decimal" w:pos="1015"/>
              </w:tabs>
              <w:spacing w:line="140" w:lineRule="exact"/>
              <w:jc w:val="right"/>
              <w:rPr>
                <w:rFonts w:ascii="Arial" w:hAnsi="Arial" w:cs="Arial"/>
                <w:b/>
                <w:color w:val="000000"/>
                <w:position w:val="4"/>
                <w:sz w:val="17"/>
                <w:szCs w:val="17"/>
                <w:u w:val="thick"/>
              </w:rPr>
            </w:pPr>
          </w:p>
        </w:tc>
        <w:tc>
          <w:tcPr>
            <w:tcW w:w="644" w:type="pct"/>
            <w:tcBorders>
              <w:top w:val="single" w:sz="12" w:space="0" w:color="auto"/>
            </w:tcBorders>
            <w:vAlign w:val="bottom"/>
          </w:tcPr>
          <w:p w14:paraId="2ADD9BAD" w14:textId="77777777" w:rsidR="006A1846" w:rsidRPr="003D1614" w:rsidRDefault="006A1846" w:rsidP="004454D6">
            <w:pPr>
              <w:keepNext/>
              <w:keepLines/>
              <w:tabs>
                <w:tab w:val="decimal" w:pos="1015"/>
              </w:tabs>
              <w:spacing w:line="140" w:lineRule="exact"/>
              <w:jc w:val="right"/>
              <w:rPr>
                <w:rFonts w:ascii="Arial" w:hAnsi="Arial" w:cs="Arial"/>
                <w:b/>
                <w:color w:val="000000"/>
                <w:position w:val="4"/>
                <w:sz w:val="17"/>
                <w:szCs w:val="17"/>
                <w:u w:val="thick"/>
              </w:rPr>
            </w:pPr>
          </w:p>
        </w:tc>
        <w:tc>
          <w:tcPr>
            <w:tcW w:w="565" w:type="pct"/>
            <w:tcBorders>
              <w:top w:val="single" w:sz="12" w:space="0" w:color="auto"/>
            </w:tcBorders>
            <w:vAlign w:val="bottom"/>
          </w:tcPr>
          <w:p w14:paraId="12A9F3AC" w14:textId="77777777" w:rsidR="006A1846" w:rsidRPr="003D1614" w:rsidRDefault="006A1846" w:rsidP="004454D6">
            <w:pPr>
              <w:keepNext/>
              <w:keepLines/>
              <w:tabs>
                <w:tab w:val="decimal" w:pos="1015"/>
              </w:tabs>
              <w:spacing w:line="140" w:lineRule="exact"/>
              <w:jc w:val="right"/>
              <w:rPr>
                <w:rFonts w:ascii="Arial" w:hAnsi="Arial" w:cs="Arial"/>
                <w:b/>
                <w:color w:val="000000"/>
                <w:position w:val="4"/>
                <w:sz w:val="17"/>
                <w:szCs w:val="17"/>
                <w:u w:val="thick"/>
              </w:rPr>
            </w:pPr>
          </w:p>
        </w:tc>
      </w:tr>
      <w:tr w:rsidR="006A1846" w:rsidRPr="003D1614" w14:paraId="12D48B85" w14:textId="77777777" w:rsidTr="004454D6">
        <w:trPr>
          <w:trHeight w:val="76"/>
        </w:trPr>
        <w:tc>
          <w:tcPr>
            <w:tcW w:w="1320" w:type="pct"/>
            <w:vAlign w:val="bottom"/>
          </w:tcPr>
          <w:p w14:paraId="1CD2B9B4" w14:textId="77777777" w:rsidR="006A1846" w:rsidRPr="003D1614" w:rsidRDefault="006A1846" w:rsidP="004454D6">
            <w:pPr>
              <w:tabs>
                <w:tab w:val="right" w:pos="1202"/>
              </w:tabs>
              <w:spacing w:line="240" w:lineRule="exact"/>
              <w:outlineLvl w:val="0"/>
              <w:rPr>
                <w:rFonts w:ascii="Arial" w:hAnsi="Arial" w:cs="Arial"/>
                <w:b/>
                <w:iCs/>
                <w:color w:val="000000"/>
                <w:sz w:val="17"/>
                <w:szCs w:val="17"/>
              </w:rPr>
            </w:pPr>
            <w:r w:rsidRPr="003D1614">
              <w:rPr>
                <w:rFonts w:ascii="Arial" w:hAnsi="Arial" w:cs="Arial"/>
                <w:b/>
                <w:iCs/>
                <w:color w:val="000000"/>
                <w:sz w:val="17"/>
                <w:szCs w:val="17"/>
              </w:rPr>
              <w:t>Stanje 1. siječnja 202</w:t>
            </w:r>
            <w:r>
              <w:rPr>
                <w:rFonts w:ascii="Arial" w:hAnsi="Arial" w:cs="Arial"/>
                <w:b/>
                <w:iCs/>
                <w:color w:val="000000"/>
                <w:sz w:val="17"/>
                <w:szCs w:val="17"/>
              </w:rPr>
              <w:t>4</w:t>
            </w:r>
            <w:r w:rsidRPr="003D1614">
              <w:rPr>
                <w:rFonts w:ascii="Arial" w:hAnsi="Arial" w:cs="Arial"/>
                <w:b/>
                <w:iCs/>
                <w:color w:val="000000"/>
                <w:sz w:val="17"/>
                <w:szCs w:val="17"/>
              </w:rPr>
              <w:t xml:space="preserve">. </w:t>
            </w:r>
          </w:p>
        </w:tc>
        <w:tc>
          <w:tcPr>
            <w:tcW w:w="625" w:type="pct"/>
            <w:tcBorders>
              <w:top w:val="nil"/>
              <w:left w:val="nil"/>
              <w:bottom w:val="single" w:sz="12" w:space="0" w:color="auto"/>
              <w:right w:val="nil"/>
            </w:tcBorders>
            <w:shd w:val="clear" w:color="auto" w:fill="auto"/>
            <w:vAlign w:val="bottom"/>
          </w:tcPr>
          <w:p w14:paraId="5B2AEBFB" w14:textId="77777777" w:rsidR="006A1846" w:rsidRPr="003D1614" w:rsidRDefault="006A1846" w:rsidP="004454D6">
            <w:pPr>
              <w:jc w:val="right"/>
              <w:rPr>
                <w:rFonts w:ascii="Arial" w:hAnsi="Arial" w:cs="Arial"/>
                <w:b/>
                <w:bCs/>
                <w:color w:val="000000"/>
                <w:sz w:val="17"/>
                <w:szCs w:val="17"/>
              </w:rPr>
            </w:pPr>
            <w:r w:rsidRPr="00F959D0">
              <w:rPr>
                <w:rFonts w:ascii="Arial" w:hAnsi="Arial" w:cs="Arial"/>
                <w:b/>
                <w:bCs/>
                <w:sz w:val="17"/>
                <w:szCs w:val="17"/>
              </w:rPr>
              <w:t>7.648</w:t>
            </w:r>
          </w:p>
        </w:tc>
        <w:tc>
          <w:tcPr>
            <w:tcW w:w="702" w:type="pct"/>
            <w:tcBorders>
              <w:top w:val="nil"/>
              <w:left w:val="nil"/>
              <w:bottom w:val="single" w:sz="12" w:space="0" w:color="auto"/>
              <w:right w:val="nil"/>
            </w:tcBorders>
            <w:shd w:val="clear" w:color="auto" w:fill="auto"/>
            <w:vAlign w:val="bottom"/>
          </w:tcPr>
          <w:p w14:paraId="18ABE1DD" w14:textId="77777777" w:rsidR="006A1846" w:rsidRPr="003D1614" w:rsidRDefault="006A1846" w:rsidP="004454D6">
            <w:pPr>
              <w:jc w:val="right"/>
              <w:rPr>
                <w:rFonts w:ascii="Arial" w:hAnsi="Arial" w:cs="Arial"/>
                <w:b/>
                <w:bCs/>
                <w:color w:val="000000"/>
                <w:sz w:val="17"/>
                <w:szCs w:val="17"/>
              </w:rPr>
            </w:pPr>
            <w:r w:rsidRPr="00F959D0">
              <w:rPr>
                <w:rFonts w:ascii="Arial" w:hAnsi="Arial" w:cs="Arial"/>
                <w:b/>
                <w:bCs/>
                <w:sz w:val="17"/>
                <w:szCs w:val="17"/>
              </w:rPr>
              <w:t>663</w:t>
            </w:r>
          </w:p>
        </w:tc>
        <w:tc>
          <w:tcPr>
            <w:tcW w:w="572" w:type="pct"/>
            <w:tcBorders>
              <w:top w:val="nil"/>
              <w:left w:val="nil"/>
              <w:bottom w:val="single" w:sz="12" w:space="0" w:color="auto"/>
              <w:right w:val="nil"/>
            </w:tcBorders>
            <w:shd w:val="clear" w:color="auto" w:fill="auto"/>
            <w:vAlign w:val="bottom"/>
          </w:tcPr>
          <w:p w14:paraId="1504A16C" w14:textId="77777777" w:rsidR="006A1846" w:rsidRPr="003D1614" w:rsidRDefault="006A1846" w:rsidP="004454D6">
            <w:pPr>
              <w:jc w:val="right"/>
              <w:rPr>
                <w:rFonts w:ascii="Arial" w:hAnsi="Arial" w:cs="Arial"/>
                <w:b/>
                <w:bCs/>
                <w:color w:val="000000"/>
                <w:sz w:val="17"/>
                <w:szCs w:val="17"/>
              </w:rPr>
            </w:pPr>
            <w:r w:rsidRPr="00F959D0">
              <w:rPr>
                <w:rFonts w:ascii="Arial" w:hAnsi="Arial" w:cs="Arial"/>
                <w:b/>
                <w:bCs/>
                <w:sz w:val="17"/>
                <w:szCs w:val="17"/>
              </w:rPr>
              <w:t>(611)</w:t>
            </w:r>
          </w:p>
        </w:tc>
        <w:tc>
          <w:tcPr>
            <w:tcW w:w="572" w:type="pct"/>
            <w:tcBorders>
              <w:top w:val="nil"/>
              <w:left w:val="nil"/>
              <w:bottom w:val="single" w:sz="12" w:space="0" w:color="auto"/>
              <w:right w:val="nil"/>
            </w:tcBorders>
            <w:shd w:val="clear" w:color="auto" w:fill="auto"/>
            <w:vAlign w:val="bottom"/>
          </w:tcPr>
          <w:p w14:paraId="6DB1604F" w14:textId="77777777" w:rsidR="006A1846" w:rsidRPr="003D1614" w:rsidRDefault="006A1846" w:rsidP="004454D6">
            <w:pPr>
              <w:jc w:val="right"/>
              <w:rPr>
                <w:rFonts w:ascii="Arial" w:hAnsi="Arial" w:cs="Arial"/>
                <w:b/>
                <w:bCs/>
                <w:color w:val="000000"/>
                <w:sz w:val="17"/>
                <w:szCs w:val="17"/>
              </w:rPr>
            </w:pPr>
            <w:r w:rsidRPr="00F959D0">
              <w:rPr>
                <w:rFonts w:ascii="Arial" w:hAnsi="Arial" w:cs="Arial"/>
                <w:b/>
                <w:bCs/>
                <w:sz w:val="17"/>
                <w:szCs w:val="17"/>
              </w:rPr>
              <w:t>105</w:t>
            </w:r>
          </w:p>
        </w:tc>
        <w:tc>
          <w:tcPr>
            <w:tcW w:w="644" w:type="pct"/>
            <w:tcBorders>
              <w:top w:val="nil"/>
              <w:left w:val="nil"/>
              <w:bottom w:val="single" w:sz="12" w:space="0" w:color="auto"/>
              <w:right w:val="nil"/>
            </w:tcBorders>
            <w:shd w:val="clear" w:color="auto" w:fill="auto"/>
            <w:vAlign w:val="bottom"/>
          </w:tcPr>
          <w:p w14:paraId="48C899C1" w14:textId="77777777" w:rsidR="006A1846" w:rsidRPr="003D1614" w:rsidRDefault="006A1846" w:rsidP="004454D6">
            <w:pPr>
              <w:jc w:val="right"/>
              <w:rPr>
                <w:rFonts w:ascii="Arial" w:hAnsi="Arial" w:cs="Arial"/>
                <w:b/>
                <w:bCs/>
                <w:color w:val="000000"/>
                <w:sz w:val="17"/>
                <w:szCs w:val="17"/>
              </w:rPr>
            </w:pPr>
            <w:r w:rsidRPr="00F959D0">
              <w:rPr>
                <w:rFonts w:ascii="Arial" w:hAnsi="Arial" w:cs="Arial"/>
                <w:b/>
                <w:bCs/>
                <w:sz w:val="17"/>
                <w:szCs w:val="17"/>
              </w:rPr>
              <w:t>7.805</w:t>
            </w:r>
          </w:p>
        </w:tc>
        <w:tc>
          <w:tcPr>
            <w:tcW w:w="565" w:type="pct"/>
            <w:tcBorders>
              <w:top w:val="nil"/>
              <w:left w:val="nil"/>
              <w:bottom w:val="single" w:sz="12" w:space="0" w:color="auto"/>
              <w:right w:val="nil"/>
            </w:tcBorders>
            <w:shd w:val="clear" w:color="auto" w:fill="auto"/>
            <w:vAlign w:val="bottom"/>
          </w:tcPr>
          <w:p w14:paraId="52BF600C" w14:textId="77777777" w:rsidR="006A1846" w:rsidRPr="003D1614" w:rsidRDefault="006A1846" w:rsidP="004454D6">
            <w:pPr>
              <w:jc w:val="right"/>
              <w:rPr>
                <w:rFonts w:ascii="Arial" w:hAnsi="Arial" w:cs="Arial"/>
                <w:b/>
                <w:bCs/>
                <w:color w:val="000000"/>
                <w:sz w:val="17"/>
                <w:szCs w:val="17"/>
              </w:rPr>
            </w:pPr>
            <w:r w:rsidRPr="00F959D0">
              <w:rPr>
                <w:rFonts w:ascii="Arial" w:hAnsi="Arial" w:cs="Arial"/>
                <w:b/>
                <w:bCs/>
                <w:sz w:val="17"/>
                <w:szCs w:val="17"/>
              </w:rPr>
              <w:t>7.805</w:t>
            </w:r>
          </w:p>
        </w:tc>
      </w:tr>
      <w:tr w:rsidR="006A1846" w:rsidRPr="003D1614" w14:paraId="2F94D551" w14:textId="77777777" w:rsidTr="004454D6">
        <w:trPr>
          <w:trHeight w:val="76"/>
        </w:trPr>
        <w:tc>
          <w:tcPr>
            <w:tcW w:w="1320" w:type="pct"/>
            <w:vAlign w:val="bottom"/>
          </w:tcPr>
          <w:p w14:paraId="7EF93B03" w14:textId="77777777" w:rsidR="006A1846" w:rsidRPr="003D1614" w:rsidRDefault="006A1846" w:rsidP="004454D6">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625" w:type="pct"/>
            <w:vAlign w:val="bottom"/>
          </w:tcPr>
          <w:p w14:paraId="3A59F028" w14:textId="77777777" w:rsidR="006A1846" w:rsidRPr="003D1614" w:rsidRDefault="006A1846" w:rsidP="004454D6">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702" w:type="pct"/>
            <w:vAlign w:val="bottom"/>
          </w:tcPr>
          <w:p w14:paraId="275EF0FF" w14:textId="77777777" w:rsidR="006A1846" w:rsidRPr="003D1614" w:rsidRDefault="006A1846" w:rsidP="004454D6">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572" w:type="pct"/>
            <w:vAlign w:val="bottom"/>
          </w:tcPr>
          <w:p w14:paraId="00501E8A" w14:textId="77777777" w:rsidR="006A1846" w:rsidRPr="003D1614" w:rsidRDefault="006A1846" w:rsidP="004454D6">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572" w:type="pct"/>
            <w:vAlign w:val="bottom"/>
          </w:tcPr>
          <w:p w14:paraId="1CB03494" w14:textId="77777777" w:rsidR="006A1846" w:rsidRPr="003D1614" w:rsidRDefault="006A1846" w:rsidP="004454D6">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644" w:type="pct"/>
            <w:vAlign w:val="bottom"/>
          </w:tcPr>
          <w:p w14:paraId="2EDDDE32" w14:textId="77777777" w:rsidR="006A1846" w:rsidRPr="003D1614" w:rsidRDefault="006A1846" w:rsidP="004454D6">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565" w:type="pct"/>
            <w:tcBorders>
              <w:top w:val="nil"/>
              <w:left w:val="nil"/>
              <w:bottom w:val="nil"/>
              <w:right w:val="nil"/>
            </w:tcBorders>
            <w:vAlign w:val="bottom"/>
          </w:tcPr>
          <w:p w14:paraId="10A1F085" w14:textId="77777777" w:rsidR="006A1846" w:rsidRPr="003D1614" w:rsidRDefault="006A1846" w:rsidP="004454D6">
            <w:pPr>
              <w:keepNext/>
              <w:keepLines/>
              <w:tabs>
                <w:tab w:val="decimal" w:pos="1015"/>
                <w:tab w:val="decimal" w:pos="1202"/>
              </w:tabs>
              <w:spacing w:line="140" w:lineRule="exact"/>
              <w:jc w:val="right"/>
              <w:rPr>
                <w:rFonts w:ascii="Arial" w:hAnsi="Arial" w:cs="Arial"/>
                <w:color w:val="000000"/>
                <w:spacing w:val="-2"/>
                <w:position w:val="4"/>
                <w:sz w:val="17"/>
                <w:szCs w:val="17"/>
              </w:rPr>
            </w:pPr>
          </w:p>
        </w:tc>
      </w:tr>
      <w:tr w:rsidR="006A1846" w:rsidRPr="003D1614" w14:paraId="69472D97" w14:textId="77777777" w:rsidTr="004454D6">
        <w:trPr>
          <w:trHeight w:val="76"/>
        </w:trPr>
        <w:tc>
          <w:tcPr>
            <w:tcW w:w="1320" w:type="pct"/>
            <w:vAlign w:val="bottom"/>
          </w:tcPr>
          <w:p w14:paraId="7BC84456" w14:textId="77777777" w:rsidR="006A1846" w:rsidRPr="003D1614" w:rsidRDefault="006A1846" w:rsidP="004454D6">
            <w:pPr>
              <w:tabs>
                <w:tab w:val="right" w:pos="1202"/>
              </w:tabs>
              <w:spacing w:line="240" w:lineRule="exact"/>
              <w:outlineLvl w:val="0"/>
              <w:rPr>
                <w:rFonts w:ascii="Arial" w:hAnsi="Arial" w:cs="Arial"/>
                <w:iCs/>
                <w:color w:val="000000"/>
                <w:sz w:val="17"/>
                <w:szCs w:val="17"/>
              </w:rPr>
            </w:pPr>
            <w:r w:rsidRPr="003D1614">
              <w:rPr>
                <w:rFonts w:ascii="Arial" w:hAnsi="Arial" w:cs="Arial"/>
                <w:iCs/>
                <w:color w:val="000000"/>
                <w:sz w:val="17"/>
                <w:szCs w:val="17"/>
              </w:rPr>
              <w:t>Dobit tekućeg razdoblja</w:t>
            </w:r>
          </w:p>
        </w:tc>
        <w:tc>
          <w:tcPr>
            <w:tcW w:w="625" w:type="pct"/>
            <w:vAlign w:val="bottom"/>
          </w:tcPr>
          <w:p w14:paraId="4CF2951F" w14:textId="77777777" w:rsidR="006A1846" w:rsidRPr="003D1614" w:rsidRDefault="006A1846" w:rsidP="004454D6">
            <w:pPr>
              <w:tabs>
                <w:tab w:val="right" w:pos="1202"/>
              </w:tabs>
              <w:spacing w:line="301" w:lineRule="exact"/>
              <w:jc w:val="right"/>
              <w:outlineLvl w:val="0"/>
              <w:rPr>
                <w:rFonts w:ascii="Arial" w:hAnsi="Arial" w:cs="Arial"/>
                <w:iCs/>
                <w:color w:val="000000"/>
                <w:sz w:val="17"/>
                <w:szCs w:val="17"/>
              </w:rPr>
            </w:pPr>
            <w:r>
              <w:rPr>
                <w:rFonts w:ascii="Arial" w:hAnsi="Arial" w:cs="Arial"/>
                <w:iCs/>
                <w:color w:val="000000"/>
                <w:sz w:val="17"/>
                <w:szCs w:val="17"/>
              </w:rPr>
              <w:t>-</w:t>
            </w:r>
          </w:p>
        </w:tc>
        <w:tc>
          <w:tcPr>
            <w:tcW w:w="702" w:type="pct"/>
            <w:vAlign w:val="bottom"/>
          </w:tcPr>
          <w:p w14:paraId="114FA619" w14:textId="77777777" w:rsidR="006A1846" w:rsidRPr="003D1614" w:rsidRDefault="006A1846" w:rsidP="004454D6">
            <w:pPr>
              <w:tabs>
                <w:tab w:val="right" w:pos="1202"/>
              </w:tabs>
              <w:spacing w:line="301" w:lineRule="exact"/>
              <w:jc w:val="right"/>
              <w:outlineLvl w:val="0"/>
              <w:rPr>
                <w:rFonts w:ascii="Arial" w:hAnsi="Arial" w:cs="Arial"/>
                <w:iCs/>
                <w:color w:val="000000"/>
                <w:sz w:val="17"/>
                <w:szCs w:val="17"/>
              </w:rPr>
            </w:pPr>
            <w:r>
              <w:rPr>
                <w:rFonts w:ascii="Arial" w:hAnsi="Arial" w:cs="Arial"/>
                <w:iCs/>
                <w:color w:val="000000"/>
                <w:sz w:val="17"/>
                <w:szCs w:val="17"/>
              </w:rPr>
              <w:t>-</w:t>
            </w:r>
          </w:p>
        </w:tc>
        <w:tc>
          <w:tcPr>
            <w:tcW w:w="572" w:type="pct"/>
            <w:vAlign w:val="bottom"/>
          </w:tcPr>
          <w:p w14:paraId="37A3CCC6" w14:textId="77777777" w:rsidR="006A1846" w:rsidRPr="003D1614" w:rsidRDefault="006A1846" w:rsidP="004454D6">
            <w:pPr>
              <w:tabs>
                <w:tab w:val="right" w:pos="1202"/>
              </w:tabs>
              <w:spacing w:line="301" w:lineRule="exact"/>
              <w:jc w:val="right"/>
              <w:outlineLvl w:val="0"/>
              <w:rPr>
                <w:rFonts w:ascii="Arial" w:hAnsi="Arial" w:cs="Arial"/>
                <w:iCs/>
                <w:color w:val="000000"/>
                <w:sz w:val="17"/>
                <w:szCs w:val="17"/>
              </w:rPr>
            </w:pPr>
            <w:r>
              <w:rPr>
                <w:rFonts w:ascii="Arial" w:hAnsi="Arial" w:cs="Arial"/>
                <w:iCs/>
                <w:color w:val="000000"/>
                <w:sz w:val="17"/>
                <w:szCs w:val="17"/>
              </w:rPr>
              <w:t>-</w:t>
            </w:r>
          </w:p>
        </w:tc>
        <w:tc>
          <w:tcPr>
            <w:tcW w:w="572" w:type="pct"/>
            <w:vAlign w:val="bottom"/>
          </w:tcPr>
          <w:p w14:paraId="21F38A8B" w14:textId="4383F3D7" w:rsidR="006A1846" w:rsidRPr="003D1614" w:rsidRDefault="006A1846" w:rsidP="004454D6">
            <w:pPr>
              <w:tabs>
                <w:tab w:val="right" w:pos="1202"/>
              </w:tabs>
              <w:spacing w:line="301" w:lineRule="exact"/>
              <w:jc w:val="right"/>
              <w:outlineLvl w:val="0"/>
              <w:rPr>
                <w:rFonts w:ascii="Arial" w:hAnsi="Arial" w:cs="Arial"/>
                <w:iCs/>
                <w:color w:val="000000"/>
                <w:sz w:val="17"/>
                <w:szCs w:val="17"/>
              </w:rPr>
            </w:pPr>
            <w:r w:rsidRPr="005665E8">
              <w:rPr>
                <w:rFonts w:ascii="Arial" w:hAnsi="Arial" w:cs="Arial"/>
                <w:iCs/>
                <w:color w:val="000000"/>
                <w:sz w:val="17"/>
                <w:szCs w:val="17"/>
              </w:rPr>
              <w:t>13</w:t>
            </w:r>
            <w:r w:rsidR="00A54D5B">
              <w:rPr>
                <w:rFonts w:ascii="Arial" w:hAnsi="Arial" w:cs="Arial"/>
                <w:iCs/>
                <w:color w:val="000000"/>
                <w:sz w:val="17"/>
                <w:szCs w:val="17"/>
              </w:rPr>
              <w:t>5</w:t>
            </w:r>
          </w:p>
        </w:tc>
        <w:tc>
          <w:tcPr>
            <w:tcW w:w="644" w:type="pct"/>
            <w:vAlign w:val="bottom"/>
          </w:tcPr>
          <w:p w14:paraId="1716BC55" w14:textId="4ECA9B67" w:rsidR="006A1846" w:rsidRPr="003D1614" w:rsidRDefault="006A1846" w:rsidP="004454D6">
            <w:pPr>
              <w:tabs>
                <w:tab w:val="right" w:pos="1202"/>
              </w:tabs>
              <w:spacing w:line="301" w:lineRule="exact"/>
              <w:jc w:val="right"/>
              <w:outlineLvl w:val="0"/>
              <w:rPr>
                <w:rFonts w:ascii="Arial" w:hAnsi="Arial" w:cs="Arial"/>
                <w:b/>
                <w:bCs/>
                <w:color w:val="000000"/>
                <w:sz w:val="17"/>
                <w:szCs w:val="17"/>
              </w:rPr>
            </w:pPr>
            <w:r w:rsidRPr="005665E8">
              <w:rPr>
                <w:rFonts w:ascii="Arial" w:hAnsi="Arial" w:cs="Arial"/>
                <w:b/>
                <w:bCs/>
                <w:color w:val="000000"/>
                <w:sz w:val="17"/>
                <w:szCs w:val="17"/>
              </w:rPr>
              <w:t>13</w:t>
            </w:r>
            <w:r w:rsidR="00A54D5B">
              <w:rPr>
                <w:rFonts w:ascii="Arial" w:hAnsi="Arial" w:cs="Arial"/>
                <w:b/>
                <w:bCs/>
                <w:color w:val="000000"/>
                <w:sz w:val="17"/>
                <w:szCs w:val="17"/>
              </w:rPr>
              <w:t>5</w:t>
            </w:r>
          </w:p>
        </w:tc>
        <w:tc>
          <w:tcPr>
            <w:tcW w:w="565" w:type="pct"/>
            <w:tcBorders>
              <w:top w:val="nil"/>
              <w:left w:val="nil"/>
              <w:bottom w:val="nil"/>
              <w:right w:val="nil"/>
            </w:tcBorders>
            <w:vAlign w:val="bottom"/>
          </w:tcPr>
          <w:p w14:paraId="5E43C771" w14:textId="4CEF20C9" w:rsidR="006A1846" w:rsidRPr="003D1614" w:rsidRDefault="006A1846" w:rsidP="004454D6">
            <w:pPr>
              <w:tabs>
                <w:tab w:val="right" w:pos="1202"/>
              </w:tabs>
              <w:spacing w:line="301" w:lineRule="exact"/>
              <w:jc w:val="right"/>
              <w:outlineLvl w:val="0"/>
              <w:rPr>
                <w:rFonts w:ascii="Arial" w:hAnsi="Arial" w:cs="Arial"/>
                <w:b/>
                <w:bCs/>
                <w:color w:val="000000"/>
                <w:sz w:val="17"/>
                <w:szCs w:val="17"/>
              </w:rPr>
            </w:pPr>
            <w:r w:rsidRPr="005665E8">
              <w:rPr>
                <w:rFonts w:ascii="Arial" w:hAnsi="Arial" w:cs="Arial"/>
                <w:b/>
                <w:bCs/>
                <w:color w:val="000000"/>
                <w:sz w:val="17"/>
                <w:szCs w:val="17"/>
              </w:rPr>
              <w:t>13</w:t>
            </w:r>
            <w:r w:rsidR="00A54D5B">
              <w:rPr>
                <w:rFonts w:ascii="Arial" w:hAnsi="Arial" w:cs="Arial"/>
                <w:b/>
                <w:bCs/>
                <w:color w:val="000000"/>
                <w:sz w:val="17"/>
                <w:szCs w:val="17"/>
              </w:rPr>
              <w:t>5</w:t>
            </w:r>
          </w:p>
        </w:tc>
      </w:tr>
      <w:tr w:rsidR="006A1846" w:rsidRPr="003D1614" w14:paraId="4DE0EB9E" w14:textId="77777777" w:rsidTr="004454D6">
        <w:trPr>
          <w:trHeight w:val="76"/>
        </w:trPr>
        <w:tc>
          <w:tcPr>
            <w:tcW w:w="1320" w:type="pct"/>
            <w:vAlign w:val="bottom"/>
          </w:tcPr>
          <w:p w14:paraId="6AACD724" w14:textId="77777777" w:rsidR="006A1846" w:rsidRPr="003D1614" w:rsidRDefault="006A1846" w:rsidP="004454D6">
            <w:pPr>
              <w:tabs>
                <w:tab w:val="right" w:pos="1202"/>
              </w:tabs>
              <w:spacing w:line="240" w:lineRule="exact"/>
              <w:outlineLvl w:val="0"/>
              <w:rPr>
                <w:rFonts w:ascii="Arial" w:hAnsi="Arial" w:cs="Arial"/>
                <w:iCs/>
                <w:color w:val="000000"/>
                <w:sz w:val="17"/>
                <w:szCs w:val="17"/>
              </w:rPr>
            </w:pPr>
            <w:r w:rsidRPr="003D1614">
              <w:rPr>
                <w:rFonts w:ascii="Arial" w:hAnsi="Arial" w:cs="Arial"/>
                <w:iCs/>
                <w:color w:val="000000"/>
                <w:sz w:val="17"/>
                <w:szCs w:val="17"/>
              </w:rPr>
              <w:t xml:space="preserve">Ostala </w:t>
            </w:r>
            <w:r w:rsidRPr="00703C65">
              <w:rPr>
                <w:rFonts w:ascii="Arial" w:hAnsi="Arial" w:cs="Arial"/>
                <w:iCs/>
                <w:color w:val="000000"/>
                <w:sz w:val="17"/>
                <w:szCs w:val="17"/>
              </w:rPr>
              <w:t>sveobuhvatna dobit</w:t>
            </w:r>
          </w:p>
        </w:tc>
        <w:tc>
          <w:tcPr>
            <w:tcW w:w="625" w:type="pct"/>
            <w:tcBorders>
              <w:bottom w:val="single" w:sz="4" w:space="0" w:color="auto"/>
            </w:tcBorders>
            <w:vAlign w:val="bottom"/>
          </w:tcPr>
          <w:p w14:paraId="03C65F64" w14:textId="77777777" w:rsidR="006A1846" w:rsidRPr="003D1614" w:rsidRDefault="006A1846" w:rsidP="004454D6">
            <w:pPr>
              <w:tabs>
                <w:tab w:val="right" w:pos="1202"/>
              </w:tabs>
              <w:spacing w:line="301" w:lineRule="exact"/>
              <w:jc w:val="right"/>
              <w:outlineLvl w:val="0"/>
              <w:rPr>
                <w:rFonts w:ascii="Arial" w:hAnsi="Arial" w:cs="Arial"/>
                <w:iCs/>
                <w:color w:val="000000"/>
                <w:sz w:val="17"/>
                <w:szCs w:val="17"/>
              </w:rPr>
            </w:pPr>
            <w:r>
              <w:rPr>
                <w:rFonts w:ascii="Arial" w:hAnsi="Arial" w:cs="Arial"/>
                <w:iCs/>
                <w:color w:val="000000"/>
                <w:sz w:val="17"/>
                <w:szCs w:val="17"/>
              </w:rPr>
              <w:t>-</w:t>
            </w:r>
          </w:p>
        </w:tc>
        <w:tc>
          <w:tcPr>
            <w:tcW w:w="702" w:type="pct"/>
            <w:tcBorders>
              <w:bottom w:val="single" w:sz="4" w:space="0" w:color="auto"/>
            </w:tcBorders>
            <w:vAlign w:val="bottom"/>
          </w:tcPr>
          <w:p w14:paraId="6C46349A" w14:textId="77777777" w:rsidR="006A1846" w:rsidRPr="003D1614" w:rsidRDefault="006A1846" w:rsidP="004454D6">
            <w:pPr>
              <w:tabs>
                <w:tab w:val="right" w:pos="1202"/>
              </w:tabs>
              <w:spacing w:line="301" w:lineRule="exact"/>
              <w:jc w:val="right"/>
              <w:outlineLvl w:val="0"/>
              <w:rPr>
                <w:rFonts w:ascii="Arial" w:hAnsi="Arial" w:cs="Arial"/>
                <w:iCs/>
                <w:color w:val="000000"/>
                <w:sz w:val="17"/>
                <w:szCs w:val="17"/>
              </w:rPr>
            </w:pPr>
            <w:r>
              <w:rPr>
                <w:rFonts w:ascii="Arial" w:hAnsi="Arial" w:cs="Arial"/>
                <w:iCs/>
                <w:color w:val="000000"/>
                <w:sz w:val="17"/>
                <w:szCs w:val="17"/>
              </w:rPr>
              <w:t>-</w:t>
            </w:r>
          </w:p>
        </w:tc>
        <w:tc>
          <w:tcPr>
            <w:tcW w:w="572" w:type="pct"/>
            <w:tcBorders>
              <w:bottom w:val="single" w:sz="4" w:space="0" w:color="auto"/>
            </w:tcBorders>
            <w:vAlign w:val="bottom"/>
          </w:tcPr>
          <w:p w14:paraId="5C5CD767" w14:textId="77777777" w:rsidR="006A1846" w:rsidRPr="003D1614" w:rsidRDefault="006A1846" w:rsidP="004454D6">
            <w:pPr>
              <w:tabs>
                <w:tab w:val="right" w:pos="1202"/>
              </w:tabs>
              <w:spacing w:line="301" w:lineRule="exact"/>
              <w:jc w:val="right"/>
              <w:outlineLvl w:val="0"/>
              <w:rPr>
                <w:rFonts w:ascii="Arial" w:hAnsi="Arial" w:cs="Arial"/>
                <w:iCs/>
                <w:color w:val="000000"/>
                <w:sz w:val="17"/>
                <w:szCs w:val="17"/>
              </w:rPr>
            </w:pPr>
            <w:r>
              <w:rPr>
                <w:rFonts w:ascii="Arial" w:hAnsi="Arial" w:cs="Arial"/>
                <w:iCs/>
                <w:color w:val="000000"/>
                <w:sz w:val="17"/>
                <w:szCs w:val="17"/>
              </w:rPr>
              <w:t>(</w:t>
            </w:r>
            <w:r w:rsidRPr="005665E8">
              <w:rPr>
                <w:rFonts w:ascii="Arial" w:hAnsi="Arial" w:cs="Arial"/>
                <w:iCs/>
                <w:color w:val="000000"/>
                <w:sz w:val="17"/>
                <w:szCs w:val="17"/>
              </w:rPr>
              <w:t>18</w:t>
            </w:r>
            <w:r>
              <w:rPr>
                <w:rFonts w:ascii="Arial" w:hAnsi="Arial" w:cs="Arial"/>
                <w:iCs/>
                <w:color w:val="000000"/>
                <w:sz w:val="17"/>
                <w:szCs w:val="17"/>
              </w:rPr>
              <w:t>)</w:t>
            </w:r>
          </w:p>
        </w:tc>
        <w:tc>
          <w:tcPr>
            <w:tcW w:w="572" w:type="pct"/>
            <w:tcBorders>
              <w:bottom w:val="single" w:sz="4" w:space="0" w:color="auto"/>
            </w:tcBorders>
            <w:vAlign w:val="bottom"/>
          </w:tcPr>
          <w:p w14:paraId="70C07424" w14:textId="77777777" w:rsidR="006A1846" w:rsidRPr="003D1614" w:rsidRDefault="006A1846" w:rsidP="004454D6">
            <w:pPr>
              <w:tabs>
                <w:tab w:val="right" w:pos="1202"/>
              </w:tabs>
              <w:spacing w:line="301" w:lineRule="exact"/>
              <w:jc w:val="right"/>
              <w:outlineLvl w:val="0"/>
              <w:rPr>
                <w:rFonts w:ascii="Arial" w:hAnsi="Arial" w:cs="Arial"/>
                <w:iCs/>
                <w:color w:val="000000"/>
                <w:sz w:val="17"/>
                <w:szCs w:val="17"/>
              </w:rPr>
            </w:pPr>
            <w:r>
              <w:rPr>
                <w:rFonts w:ascii="Arial" w:hAnsi="Arial" w:cs="Arial"/>
                <w:iCs/>
                <w:color w:val="000000"/>
                <w:sz w:val="17"/>
                <w:szCs w:val="17"/>
              </w:rPr>
              <w:t>-</w:t>
            </w:r>
          </w:p>
        </w:tc>
        <w:tc>
          <w:tcPr>
            <w:tcW w:w="644" w:type="pct"/>
            <w:tcBorders>
              <w:bottom w:val="single" w:sz="4" w:space="0" w:color="auto"/>
            </w:tcBorders>
            <w:vAlign w:val="bottom"/>
          </w:tcPr>
          <w:p w14:paraId="22346E3C" w14:textId="77777777" w:rsidR="006A1846" w:rsidRPr="003D1614" w:rsidRDefault="006A1846" w:rsidP="004454D6">
            <w:pPr>
              <w:tabs>
                <w:tab w:val="right" w:pos="1202"/>
              </w:tabs>
              <w:spacing w:line="301" w:lineRule="exact"/>
              <w:jc w:val="right"/>
              <w:outlineLvl w:val="0"/>
              <w:rPr>
                <w:rFonts w:ascii="Arial" w:hAnsi="Arial" w:cs="Arial"/>
                <w:b/>
                <w:bCs/>
                <w:color w:val="000000"/>
                <w:sz w:val="17"/>
                <w:szCs w:val="17"/>
              </w:rPr>
            </w:pPr>
            <w:r w:rsidRPr="005665E8">
              <w:rPr>
                <w:rFonts w:ascii="Arial" w:hAnsi="Arial" w:cs="Arial"/>
                <w:b/>
                <w:bCs/>
                <w:color w:val="000000"/>
                <w:sz w:val="17"/>
                <w:szCs w:val="17"/>
              </w:rPr>
              <w:t>(18)</w:t>
            </w:r>
          </w:p>
        </w:tc>
        <w:tc>
          <w:tcPr>
            <w:tcW w:w="565" w:type="pct"/>
            <w:tcBorders>
              <w:top w:val="nil"/>
              <w:left w:val="nil"/>
              <w:bottom w:val="single" w:sz="4" w:space="0" w:color="auto"/>
              <w:right w:val="nil"/>
            </w:tcBorders>
            <w:vAlign w:val="bottom"/>
          </w:tcPr>
          <w:p w14:paraId="5075AFAA" w14:textId="77777777" w:rsidR="006A1846" w:rsidRPr="003D1614" w:rsidRDefault="006A1846" w:rsidP="004454D6">
            <w:pPr>
              <w:tabs>
                <w:tab w:val="right" w:pos="1202"/>
              </w:tabs>
              <w:spacing w:line="301" w:lineRule="exact"/>
              <w:jc w:val="right"/>
              <w:outlineLvl w:val="0"/>
              <w:rPr>
                <w:rFonts w:ascii="Arial" w:hAnsi="Arial" w:cs="Arial"/>
                <w:b/>
                <w:bCs/>
                <w:color w:val="000000"/>
                <w:sz w:val="17"/>
                <w:szCs w:val="17"/>
              </w:rPr>
            </w:pPr>
            <w:r w:rsidRPr="005665E8">
              <w:rPr>
                <w:rFonts w:ascii="Arial" w:hAnsi="Arial" w:cs="Arial"/>
                <w:b/>
                <w:bCs/>
                <w:color w:val="000000"/>
                <w:sz w:val="17"/>
                <w:szCs w:val="17"/>
              </w:rPr>
              <w:t>(18)</w:t>
            </w:r>
          </w:p>
        </w:tc>
      </w:tr>
      <w:tr w:rsidR="006A1846" w:rsidRPr="003D1614" w14:paraId="442EDE78" w14:textId="77777777" w:rsidTr="004454D6">
        <w:trPr>
          <w:trHeight w:val="76"/>
        </w:trPr>
        <w:tc>
          <w:tcPr>
            <w:tcW w:w="1320" w:type="pct"/>
            <w:vAlign w:val="bottom"/>
          </w:tcPr>
          <w:p w14:paraId="48BBE497" w14:textId="77777777" w:rsidR="006A1846" w:rsidRPr="003D1614" w:rsidRDefault="006A1846" w:rsidP="004454D6">
            <w:pPr>
              <w:tabs>
                <w:tab w:val="right" w:pos="1202"/>
              </w:tabs>
              <w:spacing w:line="140" w:lineRule="exact"/>
              <w:jc w:val="right"/>
              <w:outlineLvl w:val="0"/>
              <w:rPr>
                <w:rFonts w:ascii="Arial" w:hAnsi="Arial" w:cs="Arial"/>
                <w:iCs/>
                <w:color w:val="000000"/>
                <w:sz w:val="17"/>
                <w:szCs w:val="17"/>
              </w:rPr>
            </w:pPr>
          </w:p>
        </w:tc>
        <w:tc>
          <w:tcPr>
            <w:tcW w:w="625" w:type="pct"/>
            <w:tcBorders>
              <w:top w:val="single" w:sz="4" w:space="0" w:color="auto"/>
            </w:tcBorders>
            <w:vAlign w:val="bottom"/>
          </w:tcPr>
          <w:p w14:paraId="6B3D46AD" w14:textId="77777777" w:rsidR="006A1846" w:rsidRPr="003D1614" w:rsidRDefault="006A1846" w:rsidP="004454D6">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702" w:type="pct"/>
            <w:tcBorders>
              <w:top w:val="single" w:sz="4" w:space="0" w:color="auto"/>
            </w:tcBorders>
            <w:vAlign w:val="bottom"/>
          </w:tcPr>
          <w:p w14:paraId="28CD422D" w14:textId="77777777" w:rsidR="006A1846" w:rsidRPr="003D1614" w:rsidRDefault="006A1846" w:rsidP="004454D6">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572" w:type="pct"/>
            <w:tcBorders>
              <w:top w:val="single" w:sz="4" w:space="0" w:color="auto"/>
            </w:tcBorders>
            <w:vAlign w:val="bottom"/>
          </w:tcPr>
          <w:p w14:paraId="65707E67" w14:textId="77777777" w:rsidR="006A1846" w:rsidRPr="003D1614" w:rsidRDefault="006A1846" w:rsidP="004454D6">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572" w:type="pct"/>
            <w:tcBorders>
              <w:top w:val="single" w:sz="4" w:space="0" w:color="auto"/>
            </w:tcBorders>
            <w:vAlign w:val="bottom"/>
          </w:tcPr>
          <w:p w14:paraId="27AE2F41" w14:textId="77777777" w:rsidR="006A1846" w:rsidRPr="003D1614" w:rsidRDefault="006A1846" w:rsidP="004454D6">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644" w:type="pct"/>
            <w:tcBorders>
              <w:top w:val="single" w:sz="4" w:space="0" w:color="auto"/>
            </w:tcBorders>
            <w:vAlign w:val="bottom"/>
          </w:tcPr>
          <w:p w14:paraId="6057916D" w14:textId="77777777" w:rsidR="006A1846" w:rsidRPr="003D1614" w:rsidRDefault="006A1846" w:rsidP="004454D6">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565" w:type="pct"/>
            <w:tcBorders>
              <w:top w:val="single" w:sz="4" w:space="0" w:color="auto"/>
            </w:tcBorders>
            <w:vAlign w:val="bottom"/>
          </w:tcPr>
          <w:p w14:paraId="1A72E103" w14:textId="77777777" w:rsidR="006A1846" w:rsidRPr="003D1614" w:rsidRDefault="006A1846" w:rsidP="004454D6">
            <w:pPr>
              <w:keepNext/>
              <w:keepLines/>
              <w:tabs>
                <w:tab w:val="decimal" w:pos="1015"/>
                <w:tab w:val="decimal" w:pos="1202"/>
              </w:tabs>
              <w:spacing w:line="140" w:lineRule="exact"/>
              <w:jc w:val="right"/>
              <w:rPr>
                <w:rFonts w:ascii="Arial" w:hAnsi="Arial" w:cs="Arial"/>
                <w:color w:val="000000"/>
                <w:spacing w:val="-2"/>
                <w:position w:val="4"/>
                <w:sz w:val="17"/>
                <w:szCs w:val="17"/>
              </w:rPr>
            </w:pPr>
          </w:p>
        </w:tc>
      </w:tr>
      <w:tr w:rsidR="006A1846" w:rsidRPr="003D1614" w14:paraId="1346305E" w14:textId="77777777" w:rsidTr="004454D6">
        <w:trPr>
          <w:trHeight w:val="76"/>
        </w:trPr>
        <w:tc>
          <w:tcPr>
            <w:tcW w:w="1320" w:type="pct"/>
            <w:vAlign w:val="bottom"/>
          </w:tcPr>
          <w:p w14:paraId="55198C24" w14:textId="77777777" w:rsidR="006A1846" w:rsidRPr="003D1614" w:rsidRDefault="006A1846" w:rsidP="004454D6">
            <w:pPr>
              <w:tabs>
                <w:tab w:val="right" w:pos="1202"/>
              </w:tabs>
              <w:spacing w:line="240" w:lineRule="exact"/>
              <w:outlineLvl w:val="0"/>
              <w:rPr>
                <w:rFonts w:ascii="Arial" w:hAnsi="Arial" w:cs="Arial"/>
                <w:iCs/>
                <w:color w:val="000000"/>
                <w:sz w:val="17"/>
                <w:szCs w:val="17"/>
              </w:rPr>
            </w:pPr>
            <w:r w:rsidRPr="003D1614">
              <w:rPr>
                <w:rFonts w:ascii="Arial" w:hAnsi="Arial" w:cs="Arial"/>
                <w:iCs/>
                <w:color w:val="000000"/>
                <w:sz w:val="17"/>
                <w:szCs w:val="17"/>
              </w:rPr>
              <w:t>Ukupna sveobuhvatna dobit</w:t>
            </w:r>
          </w:p>
        </w:tc>
        <w:tc>
          <w:tcPr>
            <w:tcW w:w="625" w:type="pct"/>
            <w:tcBorders>
              <w:left w:val="nil"/>
              <w:bottom w:val="single" w:sz="4" w:space="0" w:color="auto"/>
              <w:right w:val="nil"/>
            </w:tcBorders>
            <w:vAlign w:val="bottom"/>
          </w:tcPr>
          <w:p w14:paraId="50222628" w14:textId="77777777" w:rsidR="006A1846" w:rsidRPr="003D1614" w:rsidRDefault="006A1846" w:rsidP="004454D6">
            <w:pPr>
              <w:jc w:val="right"/>
              <w:rPr>
                <w:rFonts w:ascii="Arial" w:hAnsi="Arial" w:cs="Arial"/>
                <w:color w:val="000000"/>
                <w:sz w:val="17"/>
                <w:szCs w:val="17"/>
              </w:rPr>
            </w:pPr>
            <w:r>
              <w:rPr>
                <w:rFonts w:ascii="Arial" w:hAnsi="Arial" w:cs="Arial"/>
                <w:color w:val="000000"/>
                <w:sz w:val="17"/>
                <w:szCs w:val="17"/>
              </w:rPr>
              <w:t>-</w:t>
            </w:r>
          </w:p>
        </w:tc>
        <w:tc>
          <w:tcPr>
            <w:tcW w:w="702" w:type="pct"/>
            <w:tcBorders>
              <w:left w:val="nil"/>
              <w:bottom w:val="single" w:sz="4" w:space="0" w:color="auto"/>
              <w:right w:val="nil"/>
            </w:tcBorders>
            <w:vAlign w:val="bottom"/>
          </w:tcPr>
          <w:p w14:paraId="491EA7A5" w14:textId="77777777" w:rsidR="006A1846" w:rsidRPr="003D1614" w:rsidRDefault="006A1846" w:rsidP="004454D6">
            <w:pPr>
              <w:jc w:val="right"/>
              <w:rPr>
                <w:rFonts w:ascii="Arial" w:hAnsi="Arial" w:cs="Arial"/>
                <w:color w:val="000000"/>
                <w:sz w:val="17"/>
                <w:szCs w:val="17"/>
              </w:rPr>
            </w:pPr>
            <w:r>
              <w:rPr>
                <w:rFonts w:ascii="Arial" w:hAnsi="Arial" w:cs="Arial"/>
                <w:color w:val="000000"/>
                <w:sz w:val="17"/>
                <w:szCs w:val="17"/>
              </w:rPr>
              <w:t>-</w:t>
            </w:r>
          </w:p>
        </w:tc>
        <w:tc>
          <w:tcPr>
            <w:tcW w:w="572" w:type="pct"/>
            <w:tcBorders>
              <w:bottom w:val="single" w:sz="4" w:space="0" w:color="auto"/>
            </w:tcBorders>
            <w:vAlign w:val="bottom"/>
          </w:tcPr>
          <w:p w14:paraId="381239FC" w14:textId="77777777" w:rsidR="006A1846" w:rsidRPr="003D1614" w:rsidRDefault="006A1846" w:rsidP="004454D6">
            <w:pPr>
              <w:jc w:val="right"/>
              <w:rPr>
                <w:rFonts w:ascii="Arial" w:hAnsi="Arial" w:cs="Arial"/>
                <w:color w:val="000000"/>
                <w:sz w:val="17"/>
                <w:szCs w:val="17"/>
              </w:rPr>
            </w:pPr>
            <w:r w:rsidRPr="005665E8">
              <w:rPr>
                <w:rFonts w:ascii="Arial" w:hAnsi="Arial" w:cs="Arial"/>
                <w:color w:val="000000"/>
                <w:sz w:val="17"/>
                <w:szCs w:val="17"/>
              </w:rPr>
              <w:t>(18)</w:t>
            </w:r>
          </w:p>
        </w:tc>
        <w:tc>
          <w:tcPr>
            <w:tcW w:w="572" w:type="pct"/>
            <w:tcBorders>
              <w:bottom w:val="single" w:sz="4" w:space="0" w:color="auto"/>
            </w:tcBorders>
            <w:vAlign w:val="bottom"/>
          </w:tcPr>
          <w:p w14:paraId="2E47589B" w14:textId="6F329D6C" w:rsidR="006A1846" w:rsidRPr="003D1614" w:rsidRDefault="006A1846" w:rsidP="004454D6">
            <w:pPr>
              <w:jc w:val="right"/>
              <w:rPr>
                <w:rFonts w:ascii="Arial" w:hAnsi="Arial" w:cs="Arial"/>
                <w:color w:val="000000"/>
                <w:sz w:val="17"/>
                <w:szCs w:val="17"/>
              </w:rPr>
            </w:pPr>
            <w:r>
              <w:rPr>
                <w:rFonts w:ascii="Arial" w:hAnsi="Arial" w:cs="Arial"/>
                <w:color w:val="000000"/>
                <w:sz w:val="17"/>
                <w:szCs w:val="17"/>
              </w:rPr>
              <w:t>13</w:t>
            </w:r>
            <w:r w:rsidR="00A54D5B">
              <w:rPr>
                <w:rFonts w:ascii="Arial" w:hAnsi="Arial" w:cs="Arial"/>
                <w:color w:val="000000"/>
                <w:sz w:val="17"/>
                <w:szCs w:val="17"/>
              </w:rPr>
              <w:t>5</w:t>
            </w:r>
          </w:p>
        </w:tc>
        <w:tc>
          <w:tcPr>
            <w:tcW w:w="644" w:type="pct"/>
            <w:tcBorders>
              <w:bottom w:val="single" w:sz="4" w:space="0" w:color="auto"/>
            </w:tcBorders>
            <w:vAlign w:val="bottom"/>
          </w:tcPr>
          <w:p w14:paraId="021F06E8" w14:textId="2EB1EA80" w:rsidR="006A1846" w:rsidRPr="003D1614" w:rsidRDefault="006A1846" w:rsidP="004454D6">
            <w:pPr>
              <w:jc w:val="right"/>
              <w:rPr>
                <w:rFonts w:ascii="Arial" w:hAnsi="Arial" w:cs="Arial"/>
                <w:b/>
                <w:bCs/>
                <w:color w:val="000000"/>
                <w:sz w:val="17"/>
                <w:szCs w:val="17"/>
              </w:rPr>
            </w:pPr>
            <w:r w:rsidRPr="005665E8">
              <w:rPr>
                <w:rFonts w:ascii="Arial" w:hAnsi="Arial" w:cs="Arial"/>
                <w:b/>
                <w:bCs/>
                <w:color w:val="000000"/>
                <w:sz w:val="17"/>
                <w:szCs w:val="17"/>
              </w:rPr>
              <w:t>11</w:t>
            </w:r>
            <w:r w:rsidR="00A54D5B">
              <w:rPr>
                <w:rFonts w:ascii="Arial" w:hAnsi="Arial" w:cs="Arial"/>
                <w:b/>
                <w:bCs/>
                <w:color w:val="000000"/>
                <w:sz w:val="17"/>
                <w:szCs w:val="17"/>
              </w:rPr>
              <w:t>7</w:t>
            </w:r>
          </w:p>
        </w:tc>
        <w:tc>
          <w:tcPr>
            <w:tcW w:w="565" w:type="pct"/>
            <w:tcBorders>
              <w:top w:val="nil"/>
              <w:left w:val="nil"/>
              <w:bottom w:val="single" w:sz="4" w:space="0" w:color="auto"/>
              <w:right w:val="nil"/>
            </w:tcBorders>
            <w:vAlign w:val="bottom"/>
          </w:tcPr>
          <w:p w14:paraId="7B58A887" w14:textId="5A787AF6" w:rsidR="006A1846" w:rsidRPr="003D1614" w:rsidRDefault="006A1846" w:rsidP="004454D6">
            <w:pPr>
              <w:jc w:val="right"/>
              <w:rPr>
                <w:rFonts w:ascii="Arial" w:hAnsi="Arial" w:cs="Arial"/>
                <w:b/>
                <w:bCs/>
                <w:color w:val="000000"/>
                <w:sz w:val="17"/>
                <w:szCs w:val="17"/>
              </w:rPr>
            </w:pPr>
            <w:r w:rsidRPr="005665E8">
              <w:rPr>
                <w:rFonts w:ascii="Arial" w:hAnsi="Arial" w:cs="Arial"/>
                <w:b/>
                <w:bCs/>
                <w:color w:val="000000"/>
                <w:sz w:val="17"/>
                <w:szCs w:val="17"/>
              </w:rPr>
              <w:t>11</w:t>
            </w:r>
            <w:r w:rsidR="00A54D5B">
              <w:rPr>
                <w:rFonts w:ascii="Arial" w:hAnsi="Arial" w:cs="Arial"/>
                <w:b/>
                <w:bCs/>
                <w:color w:val="000000"/>
                <w:sz w:val="17"/>
                <w:szCs w:val="17"/>
              </w:rPr>
              <w:t>7</w:t>
            </w:r>
          </w:p>
        </w:tc>
      </w:tr>
      <w:tr w:rsidR="006A1846" w:rsidRPr="003D1614" w14:paraId="55186BD5" w14:textId="77777777" w:rsidTr="004454D6">
        <w:trPr>
          <w:trHeight w:val="76"/>
        </w:trPr>
        <w:tc>
          <w:tcPr>
            <w:tcW w:w="1320" w:type="pct"/>
            <w:vAlign w:val="bottom"/>
          </w:tcPr>
          <w:p w14:paraId="06BA5128" w14:textId="77777777" w:rsidR="006A1846" w:rsidRPr="003D1614" w:rsidRDefault="006A1846" w:rsidP="004454D6">
            <w:pPr>
              <w:tabs>
                <w:tab w:val="right" w:pos="1202"/>
              </w:tabs>
              <w:spacing w:line="140" w:lineRule="exact"/>
              <w:jc w:val="right"/>
              <w:outlineLvl w:val="0"/>
              <w:rPr>
                <w:rFonts w:ascii="Arial" w:hAnsi="Arial" w:cs="Arial"/>
                <w:iCs/>
                <w:color w:val="000000"/>
                <w:sz w:val="17"/>
                <w:szCs w:val="17"/>
              </w:rPr>
            </w:pPr>
          </w:p>
        </w:tc>
        <w:tc>
          <w:tcPr>
            <w:tcW w:w="625" w:type="pct"/>
            <w:tcBorders>
              <w:top w:val="single" w:sz="4" w:space="0" w:color="auto"/>
            </w:tcBorders>
            <w:vAlign w:val="bottom"/>
          </w:tcPr>
          <w:p w14:paraId="34C81831" w14:textId="77777777" w:rsidR="006A1846" w:rsidRPr="003D1614" w:rsidRDefault="006A1846" w:rsidP="004454D6">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702" w:type="pct"/>
            <w:tcBorders>
              <w:top w:val="single" w:sz="4" w:space="0" w:color="auto"/>
            </w:tcBorders>
            <w:vAlign w:val="bottom"/>
          </w:tcPr>
          <w:p w14:paraId="7B54CD2A" w14:textId="77777777" w:rsidR="006A1846" w:rsidRPr="003D1614" w:rsidRDefault="006A1846" w:rsidP="004454D6">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572" w:type="pct"/>
            <w:tcBorders>
              <w:top w:val="single" w:sz="4" w:space="0" w:color="auto"/>
            </w:tcBorders>
            <w:vAlign w:val="bottom"/>
          </w:tcPr>
          <w:p w14:paraId="7F4FBB64" w14:textId="77777777" w:rsidR="006A1846" w:rsidRPr="003D1614" w:rsidRDefault="006A1846" w:rsidP="004454D6">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572" w:type="pct"/>
            <w:tcBorders>
              <w:top w:val="single" w:sz="4" w:space="0" w:color="auto"/>
            </w:tcBorders>
            <w:vAlign w:val="bottom"/>
          </w:tcPr>
          <w:p w14:paraId="30D4E457" w14:textId="77777777" w:rsidR="006A1846" w:rsidRPr="003D1614" w:rsidRDefault="006A1846" w:rsidP="004454D6">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644" w:type="pct"/>
            <w:tcBorders>
              <w:top w:val="single" w:sz="4" w:space="0" w:color="auto"/>
            </w:tcBorders>
            <w:vAlign w:val="bottom"/>
          </w:tcPr>
          <w:p w14:paraId="72489E91" w14:textId="77777777" w:rsidR="006A1846" w:rsidRPr="003D1614" w:rsidRDefault="006A1846" w:rsidP="004454D6">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565" w:type="pct"/>
            <w:tcBorders>
              <w:top w:val="single" w:sz="4" w:space="0" w:color="auto"/>
            </w:tcBorders>
            <w:vAlign w:val="bottom"/>
          </w:tcPr>
          <w:p w14:paraId="66F80D05" w14:textId="77777777" w:rsidR="006A1846" w:rsidRPr="003D1614" w:rsidRDefault="006A1846" w:rsidP="004454D6">
            <w:pPr>
              <w:keepNext/>
              <w:keepLines/>
              <w:tabs>
                <w:tab w:val="decimal" w:pos="1015"/>
                <w:tab w:val="decimal" w:pos="1202"/>
              </w:tabs>
              <w:spacing w:line="140" w:lineRule="exact"/>
              <w:jc w:val="right"/>
              <w:rPr>
                <w:rFonts w:ascii="Arial" w:hAnsi="Arial" w:cs="Arial"/>
                <w:color w:val="000000"/>
                <w:spacing w:val="-2"/>
                <w:position w:val="4"/>
                <w:sz w:val="17"/>
                <w:szCs w:val="17"/>
              </w:rPr>
            </w:pPr>
          </w:p>
        </w:tc>
      </w:tr>
      <w:tr w:rsidR="006A1846" w:rsidRPr="003D1614" w14:paraId="62F6EFEE" w14:textId="77777777" w:rsidTr="004454D6">
        <w:trPr>
          <w:trHeight w:val="76"/>
        </w:trPr>
        <w:tc>
          <w:tcPr>
            <w:tcW w:w="1320" w:type="pct"/>
            <w:vAlign w:val="bottom"/>
          </w:tcPr>
          <w:p w14:paraId="24ED9D40" w14:textId="77777777" w:rsidR="006A1846" w:rsidRPr="003D1614" w:rsidRDefault="006A1846" w:rsidP="004454D6">
            <w:pPr>
              <w:tabs>
                <w:tab w:val="right" w:pos="1202"/>
              </w:tabs>
              <w:spacing w:line="240" w:lineRule="exact"/>
              <w:outlineLvl w:val="0"/>
              <w:rPr>
                <w:rFonts w:ascii="Arial" w:hAnsi="Arial" w:cs="Arial"/>
                <w:i/>
                <w:iCs/>
                <w:color w:val="000000"/>
                <w:sz w:val="17"/>
                <w:szCs w:val="17"/>
              </w:rPr>
            </w:pPr>
            <w:r w:rsidRPr="003D1614">
              <w:rPr>
                <w:rFonts w:ascii="Arial" w:hAnsi="Arial" w:cs="Arial"/>
                <w:iCs/>
                <w:color w:val="000000"/>
                <w:sz w:val="17"/>
                <w:szCs w:val="17"/>
              </w:rPr>
              <w:t>Prijenos dobiti iz 202</w:t>
            </w:r>
            <w:r>
              <w:rPr>
                <w:rFonts w:ascii="Arial" w:hAnsi="Arial" w:cs="Arial"/>
                <w:iCs/>
                <w:color w:val="000000"/>
                <w:sz w:val="17"/>
                <w:szCs w:val="17"/>
              </w:rPr>
              <w:t>3</w:t>
            </w:r>
            <w:r w:rsidRPr="003D1614">
              <w:rPr>
                <w:rFonts w:ascii="Arial" w:hAnsi="Arial" w:cs="Arial"/>
                <w:iCs/>
                <w:color w:val="000000"/>
                <w:sz w:val="17"/>
                <w:szCs w:val="17"/>
              </w:rPr>
              <w:t>. godine u zadržanu dobit</w:t>
            </w:r>
          </w:p>
        </w:tc>
        <w:tc>
          <w:tcPr>
            <w:tcW w:w="625" w:type="pct"/>
            <w:tcBorders>
              <w:top w:val="nil"/>
              <w:left w:val="nil"/>
              <w:right w:val="nil"/>
            </w:tcBorders>
            <w:vAlign w:val="bottom"/>
          </w:tcPr>
          <w:p w14:paraId="4AB6760B" w14:textId="77777777" w:rsidR="006A1846" w:rsidRPr="003D1614" w:rsidRDefault="006A1846" w:rsidP="004454D6">
            <w:pPr>
              <w:jc w:val="right"/>
              <w:rPr>
                <w:rFonts w:ascii="Arial" w:hAnsi="Arial" w:cs="Arial"/>
                <w:color w:val="000000"/>
                <w:sz w:val="17"/>
                <w:szCs w:val="17"/>
              </w:rPr>
            </w:pPr>
            <w:r>
              <w:rPr>
                <w:rFonts w:ascii="Arial" w:hAnsi="Arial" w:cs="Arial"/>
                <w:color w:val="000000"/>
                <w:sz w:val="17"/>
                <w:szCs w:val="17"/>
              </w:rPr>
              <w:t>-</w:t>
            </w:r>
          </w:p>
        </w:tc>
        <w:tc>
          <w:tcPr>
            <w:tcW w:w="702" w:type="pct"/>
            <w:tcBorders>
              <w:top w:val="nil"/>
              <w:left w:val="nil"/>
              <w:right w:val="nil"/>
            </w:tcBorders>
            <w:vAlign w:val="bottom"/>
          </w:tcPr>
          <w:p w14:paraId="54DB5D03" w14:textId="77777777" w:rsidR="006A1846" w:rsidRPr="003D1614" w:rsidRDefault="006A1846" w:rsidP="004454D6">
            <w:pPr>
              <w:jc w:val="right"/>
              <w:rPr>
                <w:rFonts w:ascii="Arial" w:hAnsi="Arial" w:cs="Arial"/>
                <w:color w:val="000000"/>
                <w:sz w:val="17"/>
                <w:szCs w:val="17"/>
              </w:rPr>
            </w:pPr>
            <w:r w:rsidRPr="005665E8">
              <w:rPr>
                <w:rFonts w:ascii="Arial" w:hAnsi="Arial" w:cs="Arial"/>
                <w:color w:val="000000"/>
                <w:sz w:val="17"/>
                <w:szCs w:val="17"/>
              </w:rPr>
              <w:t>105</w:t>
            </w:r>
          </w:p>
        </w:tc>
        <w:tc>
          <w:tcPr>
            <w:tcW w:w="572" w:type="pct"/>
            <w:tcBorders>
              <w:top w:val="nil"/>
              <w:left w:val="nil"/>
              <w:right w:val="nil"/>
            </w:tcBorders>
            <w:vAlign w:val="bottom"/>
          </w:tcPr>
          <w:p w14:paraId="7E8C0DD5" w14:textId="77777777" w:rsidR="006A1846" w:rsidRPr="003D1614" w:rsidRDefault="006A1846" w:rsidP="004454D6">
            <w:pPr>
              <w:jc w:val="right"/>
              <w:rPr>
                <w:rFonts w:ascii="Arial" w:hAnsi="Arial" w:cs="Arial"/>
                <w:color w:val="000000"/>
                <w:sz w:val="17"/>
                <w:szCs w:val="17"/>
              </w:rPr>
            </w:pPr>
            <w:r>
              <w:rPr>
                <w:rFonts w:ascii="Arial" w:hAnsi="Arial" w:cs="Arial"/>
                <w:color w:val="000000"/>
                <w:sz w:val="17"/>
                <w:szCs w:val="17"/>
              </w:rPr>
              <w:t>-</w:t>
            </w:r>
          </w:p>
        </w:tc>
        <w:tc>
          <w:tcPr>
            <w:tcW w:w="572" w:type="pct"/>
            <w:tcBorders>
              <w:top w:val="nil"/>
              <w:left w:val="nil"/>
              <w:right w:val="nil"/>
            </w:tcBorders>
            <w:vAlign w:val="bottom"/>
          </w:tcPr>
          <w:p w14:paraId="5DFBAB19" w14:textId="77777777" w:rsidR="006A1846" w:rsidRPr="003D1614" w:rsidRDefault="006A1846" w:rsidP="004454D6">
            <w:pPr>
              <w:jc w:val="right"/>
              <w:rPr>
                <w:rFonts w:ascii="Arial" w:hAnsi="Arial" w:cs="Arial"/>
                <w:color w:val="000000"/>
                <w:sz w:val="17"/>
                <w:szCs w:val="17"/>
              </w:rPr>
            </w:pPr>
            <w:r>
              <w:rPr>
                <w:rFonts w:ascii="Arial" w:hAnsi="Arial" w:cs="Arial"/>
                <w:color w:val="000000"/>
                <w:sz w:val="17"/>
                <w:szCs w:val="17"/>
              </w:rPr>
              <w:t>(</w:t>
            </w:r>
            <w:r w:rsidRPr="005665E8">
              <w:rPr>
                <w:rFonts w:ascii="Arial" w:hAnsi="Arial" w:cs="Arial"/>
                <w:color w:val="000000"/>
                <w:sz w:val="17"/>
                <w:szCs w:val="17"/>
              </w:rPr>
              <w:t>105</w:t>
            </w:r>
            <w:r>
              <w:rPr>
                <w:rFonts w:ascii="Arial" w:hAnsi="Arial" w:cs="Arial"/>
                <w:color w:val="000000"/>
                <w:sz w:val="17"/>
                <w:szCs w:val="17"/>
              </w:rPr>
              <w:t>)</w:t>
            </w:r>
          </w:p>
        </w:tc>
        <w:tc>
          <w:tcPr>
            <w:tcW w:w="644" w:type="pct"/>
            <w:tcBorders>
              <w:top w:val="nil"/>
              <w:left w:val="nil"/>
              <w:right w:val="nil"/>
            </w:tcBorders>
            <w:vAlign w:val="bottom"/>
          </w:tcPr>
          <w:p w14:paraId="1ADFCEB4" w14:textId="77777777" w:rsidR="006A1846" w:rsidRPr="003D1614" w:rsidRDefault="006A1846" w:rsidP="004454D6">
            <w:pPr>
              <w:jc w:val="right"/>
              <w:rPr>
                <w:rFonts w:ascii="Arial" w:hAnsi="Arial" w:cs="Arial"/>
                <w:b/>
                <w:bCs/>
                <w:color w:val="000000"/>
                <w:sz w:val="17"/>
                <w:szCs w:val="17"/>
              </w:rPr>
            </w:pPr>
            <w:r>
              <w:rPr>
                <w:rFonts w:ascii="Arial" w:hAnsi="Arial" w:cs="Arial"/>
                <w:b/>
                <w:bCs/>
                <w:color w:val="000000"/>
                <w:sz w:val="17"/>
                <w:szCs w:val="17"/>
              </w:rPr>
              <w:t>-</w:t>
            </w:r>
          </w:p>
        </w:tc>
        <w:tc>
          <w:tcPr>
            <w:tcW w:w="565" w:type="pct"/>
            <w:tcBorders>
              <w:top w:val="nil"/>
              <w:left w:val="nil"/>
              <w:right w:val="nil"/>
            </w:tcBorders>
            <w:vAlign w:val="bottom"/>
          </w:tcPr>
          <w:p w14:paraId="17098318" w14:textId="77777777" w:rsidR="006A1846" w:rsidRPr="003D1614" w:rsidRDefault="006A1846" w:rsidP="004454D6">
            <w:pPr>
              <w:jc w:val="right"/>
              <w:rPr>
                <w:rFonts w:ascii="Arial" w:hAnsi="Arial" w:cs="Arial"/>
                <w:b/>
                <w:bCs/>
                <w:color w:val="000000"/>
                <w:sz w:val="17"/>
                <w:szCs w:val="17"/>
              </w:rPr>
            </w:pPr>
            <w:r>
              <w:rPr>
                <w:rFonts w:ascii="Arial" w:hAnsi="Arial" w:cs="Arial"/>
                <w:b/>
                <w:bCs/>
                <w:color w:val="000000"/>
                <w:sz w:val="17"/>
                <w:szCs w:val="17"/>
              </w:rPr>
              <w:t>-</w:t>
            </w:r>
          </w:p>
        </w:tc>
      </w:tr>
      <w:tr w:rsidR="006A1846" w:rsidRPr="003D1614" w14:paraId="3660C0B4" w14:textId="77777777" w:rsidTr="004454D6">
        <w:trPr>
          <w:trHeight w:val="76"/>
        </w:trPr>
        <w:tc>
          <w:tcPr>
            <w:tcW w:w="1320" w:type="pct"/>
            <w:vAlign w:val="bottom"/>
          </w:tcPr>
          <w:p w14:paraId="365F70DA" w14:textId="77777777" w:rsidR="006A1846" w:rsidRPr="003D1614" w:rsidRDefault="006A1846" w:rsidP="004454D6">
            <w:pPr>
              <w:tabs>
                <w:tab w:val="right" w:pos="1202"/>
              </w:tabs>
              <w:spacing w:line="240" w:lineRule="exact"/>
              <w:outlineLvl w:val="0"/>
              <w:rPr>
                <w:rFonts w:ascii="Arial" w:hAnsi="Arial" w:cs="Arial"/>
                <w:iCs/>
                <w:color w:val="000000"/>
                <w:sz w:val="17"/>
                <w:szCs w:val="17"/>
              </w:rPr>
            </w:pPr>
            <w:r w:rsidRPr="00107766">
              <w:rPr>
                <w:rFonts w:ascii="Arial" w:hAnsi="Arial" w:cs="Arial"/>
                <w:iCs/>
                <w:color w:val="000000"/>
                <w:sz w:val="17"/>
                <w:szCs w:val="17"/>
              </w:rPr>
              <w:t>Ostala usklađenja</w:t>
            </w:r>
          </w:p>
        </w:tc>
        <w:tc>
          <w:tcPr>
            <w:tcW w:w="625" w:type="pct"/>
            <w:tcBorders>
              <w:top w:val="nil"/>
              <w:left w:val="nil"/>
              <w:right w:val="nil"/>
            </w:tcBorders>
            <w:vAlign w:val="bottom"/>
          </w:tcPr>
          <w:p w14:paraId="06792A8C" w14:textId="77777777" w:rsidR="006A1846" w:rsidRDefault="006A1846" w:rsidP="004454D6">
            <w:pPr>
              <w:jc w:val="right"/>
              <w:rPr>
                <w:rFonts w:ascii="Arial" w:hAnsi="Arial" w:cs="Arial"/>
                <w:color w:val="000000"/>
                <w:sz w:val="17"/>
                <w:szCs w:val="17"/>
              </w:rPr>
            </w:pPr>
            <w:r>
              <w:rPr>
                <w:rFonts w:ascii="Arial" w:hAnsi="Arial" w:cs="Arial"/>
                <w:color w:val="000000"/>
                <w:sz w:val="17"/>
                <w:szCs w:val="17"/>
              </w:rPr>
              <w:t>-</w:t>
            </w:r>
          </w:p>
        </w:tc>
        <w:tc>
          <w:tcPr>
            <w:tcW w:w="702" w:type="pct"/>
            <w:tcBorders>
              <w:top w:val="nil"/>
              <w:left w:val="nil"/>
              <w:right w:val="nil"/>
            </w:tcBorders>
            <w:vAlign w:val="bottom"/>
          </w:tcPr>
          <w:p w14:paraId="7161FE0B" w14:textId="77777777" w:rsidR="006A1846" w:rsidRDefault="006A1846" w:rsidP="004454D6">
            <w:pPr>
              <w:jc w:val="right"/>
              <w:rPr>
                <w:rFonts w:ascii="Arial" w:hAnsi="Arial" w:cs="Arial"/>
                <w:color w:val="000000"/>
                <w:sz w:val="17"/>
                <w:szCs w:val="17"/>
              </w:rPr>
            </w:pPr>
            <w:r w:rsidRPr="005665E8">
              <w:rPr>
                <w:rFonts w:ascii="Arial" w:hAnsi="Arial" w:cs="Arial"/>
                <w:color w:val="000000"/>
                <w:sz w:val="17"/>
                <w:szCs w:val="17"/>
              </w:rPr>
              <w:t>38</w:t>
            </w:r>
          </w:p>
        </w:tc>
        <w:tc>
          <w:tcPr>
            <w:tcW w:w="572" w:type="pct"/>
            <w:tcBorders>
              <w:top w:val="nil"/>
              <w:left w:val="nil"/>
              <w:right w:val="nil"/>
            </w:tcBorders>
            <w:vAlign w:val="bottom"/>
          </w:tcPr>
          <w:p w14:paraId="575BED3F" w14:textId="77777777" w:rsidR="006A1846" w:rsidRPr="003D1614" w:rsidRDefault="006A1846" w:rsidP="004454D6">
            <w:pPr>
              <w:jc w:val="right"/>
              <w:rPr>
                <w:rFonts w:ascii="Arial" w:hAnsi="Arial" w:cs="Arial"/>
                <w:color w:val="000000"/>
                <w:sz w:val="17"/>
                <w:szCs w:val="17"/>
              </w:rPr>
            </w:pPr>
            <w:r>
              <w:rPr>
                <w:rFonts w:ascii="Arial" w:hAnsi="Arial" w:cs="Arial"/>
                <w:color w:val="000000"/>
                <w:sz w:val="17"/>
                <w:szCs w:val="17"/>
              </w:rPr>
              <w:t>(</w:t>
            </w:r>
            <w:r w:rsidRPr="005665E8">
              <w:rPr>
                <w:rFonts w:ascii="Arial" w:hAnsi="Arial" w:cs="Arial"/>
                <w:color w:val="000000"/>
                <w:sz w:val="17"/>
                <w:szCs w:val="17"/>
              </w:rPr>
              <w:t>22</w:t>
            </w:r>
            <w:r>
              <w:rPr>
                <w:rFonts w:ascii="Arial" w:hAnsi="Arial" w:cs="Arial"/>
                <w:color w:val="000000"/>
                <w:sz w:val="17"/>
                <w:szCs w:val="17"/>
              </w:rPr>
              <w:t>)</w:t>
            </w:r>
          </w:p>
        </w:tc>
        <w:tc>
          <w:tcPr>
            <w:tcW w:w="572" w:type="pct"/>
            <w:tcBorders>
              <w:top w:val="nil"/>
              <w:left w:val="nil"/>
              <w:right w:val="nil"/>
            </w:tcBorders>
            <w:vAlign w:val="bottom"/>
          </w:tcPr>
          <w:p w14:paraId="7CA97076" w14:textId="77777777" w:rsidR="006A1846" w:rsidRPr="003D1614" w:rsidRDefault="006A1846" w:rsidP="004454D6">
            <w:pPr>
              <w:jc w:val="right"/>
              <w:rPr>
                <w:rFonts w:ascii="Arial" w:hAnsi="Arial" w:cs="Arial"/>
                <w:color w:val="000000"/>
                <w:sz w:val="17"/>
                <w:szCs w:val="17"/>
              </w:rPr>
            </w:pPr>
            <w:r>
              <w:rPr>
                <w:rFonts w:ascii="Arial" w:hAnsi="Arial" w:cs="Arial"/>
                <w:color w:val="000000"/>
                <w:sz w:val="17"/>
                <w:szCs w:val="17"/>
              </w:rPr>
              <w:t>-</w:t>
            </w:r>
          </w:p>
        </w:tc>
        <w:tc>
          <w:tcPr>
            <w:tcW w:w="644" w:type="pct"/>
            <w:tcBorders>
              <w:top w:val="nil"/>
              <w:left w:val="nil"/>
              <w:right w:val="nil"/>
            </w:tcBorders>
            <w:vAlign w:val="bottom"/>
          </w:tcPr>
          <w:p w14:paraId="0B4C5243" w14:textId="77777777" w:rsidR="006A1846" w:rsidRPr="005665E8" w:rsidRDefault="006A1846" w:rsidP="004454D6">
            <w:pPr>
              <w:jc w:val="right"/>
              <w:rPr>
                <w:rFonts w:ascii="Arial" w:hAnsi="Arial" w:cs="Arial"/>
                <w:b/>
                <w:bCs/>
                <w:color w:val="000000"/>
                <w:sz w:val="17"/>
                <w:szCs w:val="17"/>
              </w:rPr>
            </w:pPr>
            <w:r w:rsidRPr="005665E8">
              <w:rPr>
                <w:rFonts w:ascii="Arial" w:hAnsi="Arial" w:cs="Arial"/>
                <w:b/>
                <w:bCs/>
                <w:color w:val="000000"/>
                <w:sz w:val="17"/>
                <w:szCs w:val="17"/>
              </w:rPr>
              <w:t>16</w:t>
            </w:r>
          </w:p>
        </w:tc>
        <w:tc>
          <w:tcPr>
            <w:tcW w:w="565" w:type="pct"/>
            <w:tcBorders>
              <w:top w:val="nil"/>
              <w:left w:val="nil"/>
              <w:right w:val="nil"/>
            </w:tcBorders>
            <w:vAlign w:val="bottom"/>
          </w:tcPr>
          <w:p w14:paraId="09FC7D54" w14:textId="77777777" w:rsidR="006A1846" w:rsidRPr="005665E8" w:rsidRDefault="006A1846" w:rsidP="004454D6">
            <w:pPr>
              <w:jc w:val="right"/>
              <w:rPr>
                <w:rFonts w:ascii="Arial" w:hAnsi="Arial" w:cs="Arial"/>
                <w:b/>
                <w:bCs/>
                <w:color w:val="000000"/>
                <w:sz w:val="17"/>
                <w:szCs w:val="17"/>
              </w:rPr>
            </w:pPr>
            <w:r w:rsidRPr="005665E8">
              <w:rPr>
                <w:rFonts w:ascii="Arial" w:hAnsi="Arial" w:cs="Arial"/>
                <w:b/>
                <w:bCs/>
                <w:color w:val="000000"/>
                <w:sz w:val="17"/>
                <w:szCs w:val="17"/>
              </w:rPr>
              <w:t>16</w:t>
            </w:r>
          </w:p>
        </w:tc>
      </w:tr>
      <w:tr w:rsidR="006A1846" w:rsidRPr="003D1614" w14:paraId="1E97EB3F" w14:textId="77777777" w:rsidTr="004454D6">
        <w:trPr>
          <w:trHeight w:val="83"/>
        </w:trPr>
        <w:tc>
          <w:tcPr>
            <w:tcW w:w="1320" w:type="pct"/>
            <w:vAlign w:val="bottom"/>
          </w:tcPr>
          <w:p w14:paraId="38CD9448" w14:textId="77777777" w:rsidR="006A1846" w:rsidRPr="003D1614" w:rsidRDefault="006A1846" w:rsidP="004454D6">
            <w:pPr>
              <w:tabs>
                <w:tab w:val="right" w:pos="1202"/>
              </w:tabs>
              <w:spacing w:line="140" w:lineRule="exact"/>
              <w:jc w:val="right"/>
              <w:outlineLvl w:val="0"/>
              <w:rPr>
                <w:rFonts w:ascii="Arial" w:hAnsi="Arial" w:cs="Arial"/>
                <w:iCs/>
                <w:color w:val="000000"/>
                <w:sz w:val="17"/>
                <w:szCs w:val="17"/>
              </w:rPr>
            </w:pPr>
          </w:p>
        </w:tc>
        <w:tc>
          <w:tcPr>
            <w:tcW w:w="625" w:type="pct"/>
            <w:tcBorders>
              <w:top w:val="single" w:sz="4" w:space="0" w:color="auto"/>
            </w:tcBorders>
            <w:vAlign w:val="bottom"/>
          </w:tcPr>
          <w:p w14:paraId="41BE4E4C" w14:textId="77777777" w:rsidR="006A1846" w:rsidRPr="003D1614" w:rsidRDefault="006A1846" w:rsidP="004454D6">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702" w:type="pct"/>
            <w:tcBorders>
              <w:top w:val="single" w:sz="4" w:space="0" w:color="auto"/>
            </w:tcBorders>
            <w:vAlign w:val="bottom"/>
          </w:tcPr>
          <w:p w14:paraId="3CCE7FAB" w14:textId="77777777" w:rsidR="006A1846" w:rsidRPr="003D1614" w:rsidRDefault="006A1846" w:rsidP="004454D6">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572" w:type="pct"/>
            <w:tcBorders>
              <w:top w:val="single" w:sz="4" w:space="0" w:color="auto"/>
            </w:tcBorders>
            <w:vAlign w:val="bottom"/>
          </w:tcPr>
          <w:p w14:paraId="59049697" w14:textId="77777777" w:rsidR="006A1846" w:rsidRPr="003D1614" w:rsidRDefault="006A1846" w:rsidP="004454D6">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572" w:type="pct"/>
            <w:tcBorders>
              <w:top w:val="single" w:sz="4" w:space="0" w:color="auto"/>
            </w:tcBorders>
            <w:vAlign w:val="bottom"/>
          </w:tcPr>
          <w:p w14:paraId="20120609" w14:textId="77777777" w:rsidR="006A1846" w:rsidRPr="003D1614" w:rsidRDefault="006A1846" w:rsidP="004454D6">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644" w:type="pct"/>
            <w:tcBorders>
              <w:top w:val="single" w:sz="4" w:space="0" w:color="auto"/>
            </w:tcBorders>
            <w:vAlign w:val="bottom"/>
          </w:tcPr>
          <w:p w14:paraId="6E7E3F50" w14:textId="77777777" w:rsidR="006A1846" w:rsidRPr="003D1614" w:rsidRDefault="006A1846" w:rsidP="004454D6">
            <w:pPr>
              <w:keepNext/>
              <w:keepLines/>
              <w:tabs>
                <w:tab w:val="decimal" w:pos="1015"/>
                <w:tab w:val="decimal" w:pos="1202"/>
              </w:tabs>
              <w:spacing w:line="140" w:lineRule="exact"/>
              <w:jc w:val="right"/>
              <w:rPr>
                <w:rFonts w:ascii="Arial" w:hAnsi="Arial" w:cs="Arial"/>
                <w:b/>
                <w:color w:val="000000"/>
                <w:spacing w:val="-2"/>
                <w:position w:val="4"/>
                <w:sz w:val="17"/>
                <w:szCs w:val="17"/>
              </w:rPr>
            </w:pPr>
          </w:p>
        </w:tc>
        <w:tc>
          <w:tcPr>
            <w:tcW w:w="565" w:type="pct"/>
            <w:tcBorders>
              <w:top w:val="single" w:sz="4" w:space="0" w:color="auto"/>
            </w:tcBorders>
            <w:vAlign w:val="bottom"/>
          </w:tcPr>
          <w:p w14:paraId="7C4FDB2B" w14:textId="77777777" w:rsidR="006A1846" w:rsidRPr="003D1614" w:rsidRDefault="006A1846" w:rsidP="004454D6">
            <w:pPr>
              <w:keepNext/>
              <w:keepLines/>
              <w:tabs>
                <w:tab w:val="decimal" w:pos="1015"/>
                <w:tab w:val="decimal" w:pos="1202"/>
              </w:tabs>
              <w:spacing w:line="140" w:lineRule="exact"/>
              <w:jc w:val="right"/>
              <w:rPr>
                <w:rFonts w:ascii="Arial" w:hAnsi="Arial" w:cs="Arial"/>
                <w:b/>
                <w:color w:val="000000"/>
                <w:spacing w:val="-2"/>
                <w:position w:val="4"/>
                <w:sz w:val="17"/>
                <w:szCs w:val="17"/>
              </w:rPr>
            </w:pPr>
          </w:p>
        </w:tc>
      </w:tr>
      <w:tr w:rsidR="006A1846" w:rsidRPr="003D1614" w14:paraId="253D7846" w14:textId="77777777" w:rsidTr="004454D6">
        <w:trPr>
          <w:trHeight w:val="313"/>
        </w:trPr>
        <w:tc>
          <w:tcPr>
            <w:tcW w:w="1320" w:type="pct"/>
            <w:vAlign w:val="bottom"/>
          </w:tcPr>
          <w:p w14:paraId="452895A5" w14:textId="77777777" w:rsidR="006A1846" w:rsidRPr="003D1614" w:rsidRDefault="006A1846" w:rsidP="004454D6">
            <w:pPr>
              <w:tabs>
                <w:tab w:val="right" w:pos="1202"/>
              </w:tabs>
              <w:spacing w:line="240" w:lineRule="exact"/>
              <w:outlineLvl w:val="0"/>
              <w:rPr>
                <w:rFonts w:ascii="Arial" w:hAnsi="Arial" w:cs="Arial"/>
                <w:iCs/>
                <w:color w:val="000000"/>
                <w:sz w:val="17"/>
                <w:szCs w:val="17"/>
              </w:rPr>
            </w:pPr>
            <w:r w:rsidRPr="003D1614">
              <w:rPr>
                <w:rFonts w:ascii="Arial" w:hAnsi="Arial" w:cs="Arial"/>
                <w:b/>
                <w:iCs/>
                <w:color w:val="000000"/>
                <w:sz w:val="17"/>
                <w:szCs w:val="17"/>
              </w:rPr>
              <w:t xml:space="preserve">Stanje </w:t>
            </w:r>
            <w:r w:rsidRPr="002576B9">
              <w:rPr>
                <w:rFonts w:ascii="Arial" w:hAnsi="Arial" w:cs="Arial"/>
                <w:b/>
                <w:iCs/>
                <w:color w:val="000000"/>
                <w:sz w:val="17"/>
                <w:szCs w:val="17"/>
              </w:rPr>
              <w:t xml:space="preserve">30. </w:t>
            </w:r>
            <w:r>
              <w:rPr>
                <w:rFonts w:ascii="Arial" w:hAnsi="Arial" w:cs="Arial"/>
                <w:b/>
                <w:iCs/>
                <w:color w:val="000000"/>
                <w:sz w:val="17"/>
                <w:szCs w:val="17"/>
              </w:rPr>
              <w:t>rujna</w:t>
            </w:r>
            <w:r w:rsidRPr="002576B9">
              <w:rPr>
                <w:rFonts w:ascii="Arial" w:hAnsi="Arial" w:cs="Arial"/>
                <w:b/>
                <w:iCs/>
                <w:color w:val="000000"/>
                <w:sz w:val="17"/>
                <w:szCs w:val="17"/>
              </w:rPr>
              <w:t xml:space="preserve"> </w:t>
            </w:r>
            <w:r w:rsidRPr="003D1614">
              <w:rPr>
                <w:rFonts w:ascii="Arial" w:hAnsi="Arial" w:cs="Arial"/>
                <w:b/>
                <w:iCs/>
                <w:color w:val="000000"/>
                <w:sz w:val="17"/>
                <w:szCs w:val="17"/>
              </w:rPr>
              <w:t>202</w:t>
            </w:r>
            <w:r>
              <w:rPr>
                <w:rFonts w:ascii="Arial" w:hAnsi="Arial" w:cs="Arial"/>
                <w:b/>
                <w:iCs/>
                <w:color w:val="000000"/>
                <w:sz w:val="17"/>
                <w:szCs w:val="17"/>
              </w:rPr>
              <w:t>4</w:t>
            </w:r>
            <w:r w:rsidRPr="003D1614">
              <w:rPr>
                <w:rFonts w:ascii="Arial" w:hAnsi="Arial" w:cs="Arial"/>
                <w:b/>
                <w:iCs/>
                <w:color w:val="000000"/>
                <w:sz w:val="17"/>
                <w:szCs w:val="17"/>
              </w:rPr>
              <w:t xml:space="preserve">. </w:t>
            </w:r>
          </w:p>
        </w:tc>
        <w:tc>
          <w:tcPr>
            <w:tcW w:w="625" w:type="pct"/>
            <w:tcBorders>
              <w:top w:val="nil"/>
              <w:left w:val="nil"/>
              <w:bottom w:val="single" w:sz="12" w:space="0" w:color="auto"/>
              <w:right w:val="nil"/>
            </w:tcBorders>
            <w:vAlign w:val="bottom"/>
          </w:tcPr>
          <w:p w14:paraId="4101B8E7" w14:textId="77777777" w:rsidR="006A1846" w:rsidRPr="003D1614" w:rsidRDefault="006A1846" w:rsidP="004454D6">
            <w:pPr>
              <w:jc w:val="right"/>
              <w:rPr>
                <w:rFonts w:ascii="Arial" w:hAnsi="Arial" w:cs="Arial"/>
                <w:b/>
                <w:bCs/>
                <w:color w:val="000000"/>
                <w:sz w:val="17"/>
                <w:szCs w:val="17"/>
              </w:rPr>
            </w:pPr>
            <w:r w:rsidRPr="005665E8">
              <w:rPr>
                <w:rFonts w:ascii="Arial" w:hAnsi="Arial" w:cs="Arial"/>
                <w:b/>
                <w:bCs/>
                <w:color w:val="000000"/>
                <w:sz w:val="17"/>
                <w:szCs w:val="17"/>
              </w:rPr>
              <w:t>7.648</w:t>
            </w:r>
          </w:p>
        </w:tc>
        <w:tc>
          <w:tcPr>
            <w:tcW w:w="702" w:type="pct"/>
            <w:tcBorders>
              <w:top w:val="nil"/>
              <w:left w:val="nil"/>
              <w:bottom w:val="single" w:sz="12" w:space="0" w:color="auto"/>
              <w:right w:val="nil"/>
            </w:tcBorders>
            <w:vAlign w:val="bottom"/>
          </w:tcPr>
          <w:p w14:paraId="7A1F4736" w14:textId="77777777" w:rsidR="006A1846" w:rsidRPr="003D1614" w:rsidRDefault="006A1846" w:rsidP="004454D6">
            <w:pPr>
              <w:jc w:val="right"/>
              <w:rPr>
                <w:rFonts w:ascii="Arial" w:hAnsi="Arial" w:cs="Arial"/>
                <w:b/>
                <w:bCs/>
                <w:color w:val="000000"/>
                <w:sz w:val="17"/>
                <w:szCs w:val="17"/>
              </w:rPr>
            </w:pPr>
            <w:r w:rsidRPr="005665E8">
              <w:rPr>
                <w:rFonts w:ascii="Arial" w:hAnsi="Arial" w:cs="Arial"/>
                <w:b/>
                <w:bCs/>
                <w:color w:val="000000"/>
                <w:sz w:val="17"/>
                <w:szCs w:val="17"/>
              </w:rPr>
              <w:t>806</w:t>
            </w:r>
          </w:p>
        </w:tc>
        <w:tc>
          <w:tcPr>
            <w:tcW w:w="572" w:type="pct"/>
            <w:tcBorders>
              <w:top w:val="nil"/>
              <w:left w:val="nil"/>
              <w:bottom w:val="single" w:sz="12" w:space="0" w:color="auto"/>
              <w:right w:val="nil"/>
            </w:tcBorders>
            <w:vAlign w:val="bottom"/>
          </w:tcPr>
          <w:p w14:paraId="1CFBE5E5" w14:textId="77777777" w:rsidR="006A1846" w:rsidRPr="003D1614" w:rsidRDefault="006A1846" w:rsidP="004454D6">
            <w:pPr>
              <w:jc w:val="right"/>
              <w:rPr>
                <w:rFonts w:ascii="Arial" w:hAnsi="Arial" w:cs="Arial"/>
                <w:b/>
                <w:bCs/>
                <w:color w:val="000000"/>
                <w:sz w:val="17"/>
                <w:szCs w:val="17"/>
              </w:rPr>
            </w:pPr>
            <w:r>
              <w:rPr>
                <w:rFonts w:ascii="Arial" w:hAnsi="Arial" w:cs="Arial"/>
                <w:b/>
                <w:bCs/>
                <w:color w:val="000000"/>
                <w:sz w:val="17"/>
                <w:szCs w:val="17"/>
              </w:rPr>
              <w:t>(</w:t>
            </w:r>
            <w:r w:rsidRPr="005665E8">
              <w:rPr>
                <w:rFonts w:ascii="Arial" w:hAnsi="Arial" w:cs="Arial"/>
                <w:b/>
                <w:bCs/>
                <w:color w:val="000000"/>
                <w:sz w:val="17"/>
                <w:szCs w:val="17"/>
              </w:rPr>
              <w:t>651</w:t>
            </w:r>
            <w:r>
              <w:rPr>
                <w:rFonts w:ascii="Arial" w:hAnsi="Arial" w:cs="Arial"/>
                <w:b/>
                <w:bCs/>
                <w:color w:val="000000"/>
                <w:sz w:val="17"/>
                <w:szCs w:val="17"/>
              </w:rPr>
              <w:t>)</w:t>
            </w:r>
          </w:p>
        </w:tc>
        <w:tc>
          <w:tcPr>
            <w:tcW w:w="572" w:type="pct"/>
            <w:tcBorders>
              <w:top w:val="nil"/>
              <w:left w:val="nil"/>
              <w:bottom w:val="single" w:sz="12" w:space="0" w:color="auto"/>
              <w:right w:val="nil"/>
            </w:tcBorders>
            <w:vAlign w:val="bottom"/>
          </w:tcPr>
          <w:p w14:paraId="06AF3EAA" w14:textId="7E69B00D" w:rsidR="006A1846" w:rsidRPr="003D1614" w:rsidRDefault="006A1846" w:rsidP="004454D6">
            <w:pPr>
              <w:jc w:val="right"/>
              <w:rPr>
                <w:rFonts w:ascii="Arial" w:hAnsi="Arial" w:cs="Arial"/>
                <w:b/>
                <w:bCs/>
                <w:color w:val="000000"/>
                <w:sz w:val="17"/>
                <w:szCs w:val="17"/>
              </w:rPr>
            </w:pPr>
            <w:r w:rsidRPr="005665E8">
              <w:rPr>
                <w:rFonts w:ascii="Arial" w:hAnsi="Arial" w:cs="Arial"/>
                <w:b/>
                <w:bCs/>
                <w:color w:val="000000"/>
                <w:sz w:val="17"/>
                <w:szCs w:val="17"/>
              </w:rPr>
              <w:t>13</w:t>
            </w:r>
            <w:r w:rsidR="00A54D5B">
              <w:rPr>
                <w:rFonts w:ascii="Arial" w:hAnsi="Arial" w:cs="Arial"/>
                <w:b/>
                <w:bCs/>
                <w:color w:val="000000"/>
                <w:sz w:val="17"/>
                <w:szCs w:val="17"/>
              </w:rPr>
              <w:t>5</w:t>
            </w:r>
          </w:p>
        </w:tc>
        <w:tc>
          <w:tcPr>
            <w:tcW w:w="644" w:type="pct"/>
            <w:tcBorders>
              <w:top w:val="nil"/>
              <w:left w:val="nil"/>
              <w:bottom w:val="single" w:sz="12" w:space="0" w:color="auto"/>
              <w:right w:val="nil"/>
            </w:tcBorders>
            <w:vAlign w:val="bottom"/>
          </w:tcPr>
          <w:p w14:paraId="0C03A347" w14:textId="7902B063" w:rsidR="006A1846" w:rsidRPr="003D1614" w:rsidRDefault="006A1846" w:rsidP="004454D6">
            <w:pPr>
              <w:jc w:val="right"/>
              <w:rPr>
                <w:rFonts w:ascii="Arial" w:hAnsi="Arial" w:cs="Arial"/>
                <w:b/>
                <w:bCs/>
                <w:color w:val="000000"/>
                <w:sz w:val="17"/>
                <w:szCs w:val="17"/>
              </w:rPr>
            </w:pPr>
            <w:r w:rsidRPr="005665E8">
              <w:rPr>
                <w:rFonts w:ascii="Arial" w:hAnsi="Arial" w:cs="Arial"/>
                <w:b/>
                <w:bCs/>
                <w:color w:val="000000"/>
                <w:sz w:val="17"/>
                <w:szCs w:val="17"/>
              </w:rPr>
              <w:t>7.93</w:t>
            </w:r>
            <w:r w:rsidR="00A54D5B">
              <w:rPr>
                <w:rFonts w:ascii="Arial" w:hAnsi="Arial" w:cs="Arial"/>
                <w:b/>
                <w:bCs/>
                <w:color w:val="000000"/>
                <w:sz w:val="17"/>
                <w:szCs w:val="17"/>
              </w:rPr>
              <w:t>8</w:t>
            </w:r>
          </w:p>
        </w:tc>
        <w:tc>
          <w:tcPr>
            <w:tcW w:w="565" w:type="pct"/>
            <w:tcBorders>
              <w:top w:val="nil"/>
              <w:left w:val="nil"/>
              <w:bottom w:val="single" w:sz="12" w:space="0" w:color="auto"/>
              <w:right w:val="nil"/>
            </w:tcBorders>
            <w:vAlign w:val="bottom"/>
          </w:tcPr>
          <w:p w14:paraId="029B9205" w14:textId="11BF233B" w:rsidR="006A1846" w:rsidRPr="003D1614" w:rsidRDefault="006A1846" w:rsidP="004454D6">
            <w:pPr>
              <w:jc w:val="right"/>
              <w:rPr>
                <w:rFonts w:ascii="Arial" w:hAnsi="Arial" w:cs="Arial"/>
                <w:b/>
                <w:bCs/>
                <w:color w:val="000000"/>
                <w:sz w:val="17"/>
                <w:szCs w:val="17"/>
              </w:rPr>
            </w:pPr>
            <w:r w:rsidRPr="005665E8">
              <w:rPr>
                <w:rFonts w:ascii="Arial" w:hAnsi="Arial" w:cs="Arial"/>
                <w:b/>
                <w:bCs/>
                <w:color w:val="000000"/>
                <w:sz w:val="17"/>
                <w:szCs w:val="17"/>
              </w:rPr>
              <w:t>7.93</w:t>
            </w:r>
            <w:r w:rsidR="00A54D5B">
              <w:rPr>
                <w:rFonts w:ascii="Arial" w:hAnsi="Arial" w:cs="Arial"/>
                <w:b/>
                <w:bCs/>
                <w:color w:val="000000"/>
                <w:sz w:val="17"/>
                <w:szCs w:val="17"/>
              </w:rPr>
              <w:t>8</w:t>
            </w:r>
          </w:p>
        </w:tc>
      </w:tr>
    </w:tbl>
    <w:p w14:paraId="26820A2C" w14:textId="77777777" w:rsidR="00822E2D" w:rsidRPr="003D1614" w:rsidRDefault="00822E2D" w:rsidP="003E5073">
      <w:pPr>
        <w:suppressAutoHyphens/>
        <w:autoSpaceDN w:val="0"/>
        <w:jc w:val="both"/>
        <w:rPr>
          <w:rFonts w:ascii="Arial" w:eastAsia="Calibri" w:hAnsi="Arial" w:cs="Arial"/>
          <w:color w:val="000000" w:themeColor="text1"/>
          <w:sz w:val="20"/>
          <w:szCs w:val="20"/>
        </w:rPr>
      </w:pPr>
    </w:p>
    <w:sectPr w:rsidR="00822E2D" w:rsidRPr="003D1614" w:rsidSect="003278AB">
      <w:headerReference w:type="default" r:id="rId40"/>
      <w:footerReference w:type="default" r:id="rId4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315956" w14:textId="77777777" w:rsidR="0075270D" w:rsidRDefault="0075270D" w:rsidP="00B36151">
      <w:r>
        <w:separator/>
      </w:r>
    </w:p>
  </w:endnote>
  <w:endnote w:type="continuationSeparator" w:id="0">
    <w:p w14:paraId="5AB53AC7" w14:textId="77777777" w:rsidR="0075270D" w:rsidRDefault="0075270D" w:rsidP="00B36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397686"/>
      <w:docPartObj>
        <w:docPartGallery w:val="Page Numbers (Bottom of Page)"/>
        <w:docPartUnique/>
      </w:docPartObj>
    </w:sdtPr>
    <w:sdtEndPr>
      <w:rPr>
        <w:rFonts w:ascii="Arial" w:hAnsi="Arial" w:cs="Arial"/>
        <w:sz w:val="17"/>
        <w:szCs w:val="17"/>
      </w:rPr>
    </w:sdtEndPr>
    <w:sdtContent>
      <w:p w14:paraId="3640DF8E" w14:textId="163BD216" w:rsidR="004973A5" w:rsidRPr="00174255" w:rsidRDefault="004973A5" w:rsidP="00466021">
        <w:pPr>
          <w:pBdr>
            <w:top w:val="single" w:sz="4" w:space="1" w:color="auto"/>
          </w:pBdr>
          <w:tabs>
            <w:tab w:val="center" w:pos="4536"/>
            <w:tab w:val="right" w:pos="9072"/>
          </w:tabs>
          <w:ind w:right="-6"/>
          <w:rPr>
            <w:rFonts w:ascii="Arial" w:hAnsi="Arial" w:cs="Arial"/>
            <w:sz w:val="17"/>
            <w:szCs w:val="17"/>
          </w:rPr>
        </w:pPr>
        <w:r w:rsidRPr="00174255">
          <w:rPr>
            <w:rFonts w:ascii="Arial" w:hAnsi="Arial" w:cs="Arial"/>
            <w:sz w:val="17"/>
            <w:szCs w:val="17"/>
          </w:rPr>
          <w:fldChar w:fldCharType="begin"/>
        </w:r>
        <w:r w:rsidRPr="00174255">
          <w:rPr>
            <w:rFonts w:ascii="Arial" w:hAnsi="Arial" w:cs="Arial"/>
            <w:sz w:val="17"/>
            <w:szCs w:val="17"/>
          </w:rPr>
          <w:instrText>PAGE   \* MERGEFORMAT</w:instrText>
        </w:r>
        <w:r w:rsidRPr="00174255">
          <w:rPr>
            <w:rFonts w:ascii="Arial" w:hAnsi="Arial" w:cs="Arial"/>
            <w:sz w:val="17"/>
            <w:szCs w:val="17"/>
          </w:rPr>
          <w:fldChar w:fldCharType="separate"/>
        </w:r>
        <w:r w:rsidRPr="00174255">
          <w:rPr>
            <w:rFonts w:ascii="Arial" w:hAnsi="Arial" w:cs="Arial"/>
            <w:sz w:val="17"/>
            <w:szCs w:val="17"/>
            <w:lang w:val="en-GB"/>
          </w:rPr>
          <w:t>2</w:t>
        </w:r>
        <w:r w:rsidRPr="00174255">
          <w:rPr>
            <w:rFonts w:ascii="Arial" w:hAnsi="Arial" w:cs="Arial"/>
            <w:sz w:val="17"/>
            <w:szCs w:val="17"/>
          </w:rPr>
          <w:fldChar w:fldCharType="end"/>
        </w:r>
        <w:r w:rsidR="002E180A" w:rsidRPr="00174255">
          <w:rPr>
            <w:rFonts w:ascii="Arial" w:hAnsi="Arial" w:cs="Arial"/>
            <w:sz w:val="17"/>
            <w:szCs w:val="17"/>
          </w:rPr>
          <w:t xml:space="preserve">  </w:t>
        </w:r>
        <w:r w:rsidR="002E180A" w:rsidRPr="00174255">
          <w:rPr>
            <w:rFonts w:ascii="Arial" w:eastAsia="Calibri" w:hAnsi="Arial" w:cs="Arial"/>
            <w:sz w:val="17"/>
            <w:szCs w:val="17"/>
            <w:lang w:val="pl-PL"/>
          </w:rPr>
          <w:t>Hrvatska banka za obnovu i razvitak</w:t>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3BB29" w14:textId="77777777" w:rsidR="000A6433" w:rsidRPr="0038483C" w:rsidRDefault="000A6433" w:rsidP="00D17EE8">
    <w:pPr>
      <w:pStyle w:val="Footer"/>
      <w:framePr w:wrap="auto" w:vAnchor="text" w:hAnchor="page" w:x="10756" w:y="204"/>
      <w:rPr>
        <w:rStyle w:val="PageNumber"/>
      </w:rPr>
    </w:pPr>
  </w:p>
  <w:p w14:paraId="70BFF96B" w14:textId="0FBA68A2" w:rsidR="000A6433" w:rsidRPr="00C30FC3" w:rsidRDefault="000A6433" w:rsidP="00D17EE8">
    <w:pPr>
      <w:pStyle w:val="Footer"/>
      <w:pBdr>
        <w:top w:val="single" w:sz="4" w:space="1" w:color="auto"/>
      </w:pBdr>
      <w:tabs>
        <w:tab w:val="left" w:pos="8916"/>
      </w:tabs>
      <w:ind w:right="4"/>
      <w:rPr>
        <w:rStyle w:val="PageNumber"/>
        <w:rFonts w:ascii="Arial" w:hAnsi="Arial" w:cs="Arial"/>
        <w:sz w:val="17"/>
        <w:szCs w:val="17"/>
        <w:lang w:val="pl-PL"/>
      </w:rPr>
    </w:pPr>
    <w:r>
      <w:rPr>
        <w:rStyle w:val="PageNumber"/>
        <w:rFonts w:ascii="Arial" w:hAnsi="Arial" w:cs="Arial"/>
        <w:sz w:val="17"/>
        <w:szCs w:val="17"/>
        <w:lang w:val="pl-PL"/>
      </w:rPr>
      <w:t>120</w:t>
    </w:r>
    <w:r w:rsidRPr="00C30FC3">
      <w:rPr>
        <w:rStyle w:val="PageNumber"/>
        <w:rFonts w:ascii="Arial" w:hAnsi="Arial" w:cs="Arial"/>
        <w:sz w:val="17"/>
        <w:szCs w:val="17"/>
        <w:lang w:val="pl-PL"/>
      </w:rPr>
      <w:t xml:space="preserve">  Hrvatska banka za obnovu i razvitak</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3F9C3" w14:textId="77777777" w:rsidR="000A6433" w:rsidRPr="0038483C" w:rsidRDefault="000A6433" w:rsidP="00D17EE8">
    <w:pPr>
      <w:pStyle w:val="Footer"/>
      <w:framePr w:wrap="auto" w:vAnchor="text" w:hAnchor="page" w:x="10756" w:y="204"/>
      <w:rPr>
        <w:rStyle w:val="PageNumber"/>
      </w:rPr>
    </w:pPr>
  </w:p>
  <w:p w14:paraId="2CA17D44" w14:textId="072946C6" w:rsidR="000A6433" w:rsidRPr="00C30FC3" w:rsidRDefault="000A6433" w:rsidP="00D17EE8">
    <w:pPr>
      <w:pStyle w:val="Footer"/>
      <w:pBdr>
        <w:top w:val="single" w:sz="4" w:space="1" w:color="auto"/>
      </w:pBdr>
      <w:tabs>
        <w:tab w:val="left" w:pos="8916"/>
      </w:tabs>
      <w:ind w:right="4"/>
      <w:rPr>
        <w:rStyle w:val="PageNumber"/>
        <w:rFonts w:ascii="Arial" w:hAnsi="Arial" w:cs="Arial"/>
        <w:sz w:val="17"/>
        <w:szCs w:val="17"/>
        <w:lang w:val="pl-PL"/>
      </w:rPr>
    </w:pPr>
    <w:r>
      <w:rPr>
        <w:rStyle w:val="PageNumber"/>
        <w:rFonts w:ascii="Arial" w:hAnsi="Arial" w:cs="Arial"/>
        <w:sz w:val="17"/>
        <w:szCs w:val="17"/>
        <w:lang w:val="pl-PL"/>
      </w:rPr>
      <w:t>121</w:t>
    </w:r>
    <w:r w:rsidRPr="00C30FC3">
      <w:rPr>
        <w:rStyle w:val="PageNumber"/>
        <w:rFonts w:ascii="Arial" w:hAnsi="Arial" w:cs="Arial"/>
        <w:sz w:val="17"/>
        <w:szCs w:val="17"/>
        <w:lang w:val="pl-PL"/>
      </w:rPr>
      <w:t xml:space="preserve">  Hrvatska banka za obnovu i razvitak</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F1265" w14:textId="77777777" w:rsidR="000A6433" w:rsidRPr="0038483C" w:rsidRDefault="000A6433" w:rsidP="00D17EE8">
    <w:pPr>
      <w:pStyle w:val="Footer"/>
      <w:framePr w:wrap="auto" w:vAnchor="text" w:hAnchor="page" w:x="10756" w:y="204"/>
      <w:rPr>
        <w:rStyle w:val="PageNumber"/>
      </w:rPr>
    </w:pPr>
  </w:p>
  <w:p w14:paraId="4E5160BB" w14:textId="16F2D1F9" w:rsidR="000A6433" w:rsidRPr="00C30FC3" w:rsidRDefault="000A6433" w:rsidP="00D17EE8">
    <w:pPr>
      <w:pStyle w:val="Footer"/>
      <w:pBdr>
        <w:top w:val="single" w:sz="4" w:space="1" w:color="auto"/>
      </w:pBdr>
      <w:tabs>
        <w:tab w:val="left" w:pos="8916"/>
      </w:tabs>
      <w:ind w:right="4"/>
      <w:rPr>
        <w:rStyle w:val="PageNumber"/>
        <w:rFonts w:ascii="Arial" w:hAnsi="Arial" w:cs="Arial"/>
        <w:sz w:val="17"/>
        <w:szCs w:val="17"/>
        <w:lang w:val="pl-PL"/>
      </w:rPr>
    </w:pPr>
    <w:r>
      <w:rPr>
        <w:rStyle w:val="PageNumber"/>
        <w:rFonts w:ascii="Arial" w:hAnsi="Arial" w:cs="Arial"/>
        <w:sz w:val="17"/>
        <w:szCs w:val="17"/>
        <w:lang w:val="pl-PL"/>
      </w:rPr>
      <w:t>122</w:t>
    </w:r>
    <w:r w:rsidRPr="00C30FC3">
      <w:rPr>
        <w:rStyle w:val="PageNumber"/>
        <w:rFonts w:ascii="Arial" w:hAnsi="Arial" w:cs="Arial"/>
        <w:sz w:val="17"/>
        <w:szCs w:val="17"/>
        <w:lang w:val="pl-PL"/>
      </w:rPr>
      <w:t xml:space="preserve">  Hrvatska banka za obnovu i razvitak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3D118" w14:textId="77777777" w:rsidR="006F1B7D" w:rsidRPr="0038483C" w:rsidRDefault="006F1B7D" w:rsidP="00D17EE8">
    <w:pPr>
      <w:pStyle w:val="Footer"/>
      <w:framePr w:wrap="auto" w:vAnchor="text" w:hAnchor="page" w:x="10756" w:y="204"/>
      <w:rPr>
        <w:rStyle w:val="PageNumber"/>
      </w:rPr>
    </w:pPr>
  </w:p>
  <w:p w14:paraId="2FE94483" w14:textId="604CEA29" w:rsidR="006F1B7D" w:rsidRPr="00C30FC3" w:rsidRDefault="006F1B7D" w:rsidP="00D17EE8">
    <w:pPr>
      <w:pStyle w:val="Footer"/>
      <w:pBdr>
        <w:top w:val="single" w:sz="4" w:space="1" w:color="auto"/>
      </w:pBdr>
      <w:tabs>
        <w:tab w:val="left" w:pos="8916"/>
      </w:tabs>
      <w:ind w:right="4"/>
      <w:rPr>
        <w:rStyle w:val="PageNumber"/>
        <w:rFonts w:ascii="Arial" w:hAnsi="Arial" w:cs="Arial"/>
        <w:sz w:val="17"/>
        <w:szCs w:val="17"/>
        <w:lang w:val="pl-PL"/>
      </w:rPr>
    </w:pPr>
    <w:r>
      <w:rPr>
        <w:rStyle w:val="PageNumber"/>
        <w:rFonts w:ascii="Arial" w:hAnsi="Arial" w:cs="Arial"/>
        <w:sz w:val="17"/>
        <w:szCs w:val="17"/>
        <w:lang w:val="pl-PL"/>
      </w:rPr>
      <w:t>11</w:t>
    </w:r>
    <w:r w:rsidR="000A6433">
      <w:rPr>
        <w:rStyle w:val="PageNumber"/>
        <w:rFonts w:ascii="Arial" w:hAnsi="Arial" w:cs="Arial"/>
        <w:sz w:val="17"/>
        <w:szCs w:val="17"/>
        <w:lang w:val="pl-PL"/>
      </w:rPr>
      <w:t>2</w:t>
    </w:r>
    <w:r w:rsidRPr="00C30FC3">
      <w:rPr>
        <w:rStyle w:val="PageNumber"/>
        <w:rFonts w:ascii="Arial" w:hAnsi="Arial" w:cs="Arial"/>
        <w:sz w:val="17"/>
        <w:szCs w:val="17"/>
        <w:lang w:val="pl-PL"/>
      </w:rPr>
      <w:t xml:space="preserve">  Hrvatska banka za obnovu i razvitak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D3F87" w14:textId="77777777" w:rsidR="000A6433" w:rsidRPr="0038483C" w:rsidRDefault="000A6433" w:rsidP="00D17EE8">
    <w:pPr>
      <w:pStyle w:val="Footer"/>
      <w:framePr w:wrap="auto" w:vAnchor="text" w:hAnchor="page" w:x="10756" w:y="204"/>
      <w:rPr>
        <w:rStyle w:val="PageNumber"/>
      </w:rPr>
    </w:pPr>
  </w:p>
  <w:p w14:paraId="3A1B061E" w14:textId="01C01FFC" w:rsidR="000A6433" w:rsidRPr="00C30FC3" w:rsidRDefault="000A6433" w:rsidP="00D17EE8">
    <w:pPr>
      <w:pStyle w:val="Footer"/>
      <w:pBdr>
        <w:top w:val="single" w:sz="4" w:space="1" w:color="auto"/>
      </w:pBdr>
      <w:tabs>
        <w:tab w:val="left" w:pos="8916"/>
      </w:tabs>
      <w:ind w:right="4"/>
      <w:rPr>
        <w:rStyle w:val="PageNumber"/>
        <w:rFonts w:ascii="Arial" w:hAnsi="Arial" w:cs="Arial"/>
        <w:sz w:val="17"/>
        <w:szCs w:val="17"/>
        <w:lang w:val="pl-PL"/>
      </w:rPr>
    </w:pPr>
    <w:r>
      <w:rPr>
        <w:rStyle w:val="PageNumber"/>
        <w:rFonts w:ascii="Arial" w:hAnsi="Arial" w:cs="Arial"/>
        <w:sz w:val="17"/>
        <w:szCs w:val="17"/>
        <w:lang w:val="pl-PL"/>
      </w:rPr>
      <w:t>113</w:t>
    </w:r>
    <w:r w:rsidRPr="00C30FC3">
      <w:rPr>
        <w:rStyle w:val="PageNumber"/>
        <w:rFonts w:ascii="Arial" w:hAnsi="Arial" w:cs="Arial"/>
        <w:sz w:val="17"/>
        <w:szCs w:val="17"/>
        <w:lang w:val="pl-PL"/>
      </w:rPr>
      <w:t xml:space="preserve">  Hrvatska banka za obnovu i razvitak</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A5C63" w14:textId="77777777" w:rsidR="000A6433" w:rsidRPr="0038483C" w:rsidRDefault="000A6433" w:rsidP="00D17EE8">
    <w:pPr>
      <w:pStyle w:val="Footer"/>
      <w:framePr w:wrap="auto" w:vAnchor="text" w:hAnchor="page" w:x="10756" w:y="204"/>
      <w:rPr>
        <w:rStyle w:val="PageNumber"/>
      </w:rPr>
    </w:pPr>
  </w:p>
  <w:p w14:paraId="32A7276B" w14:textId="4297A80A" w:rsidR="000A6433" w:rsidRPr="00C30FC3" w:rsidRDefault="000A6433" w:rsidP="00D17EE8">
    <w:pPr>
      <w:pStyle w:val="Footer"/>
      <w:pBdr>
        <w:top w:val="single" w:sz="4" w:space="1" w:color="auto"/>
      </w:pBdr>
      <w:tabs>
        <w:tab w:val="left" w:pos="8916"/>
      </w:tabs>
      <w:ind w:right="4"/>
      <w:rPr>
        <w:rStyle w:val="PageNumber"/>
        <w:rFonts w:ascii="Arial" w:hAnsi="Arial" w:cs="Arial"/>
        <w:sz w:val="17"/>
        <w:szCs w:val="17"/>
        <w:lang w:val="pl-PL"/>
      </w:rPr>
    </w:pPr>
    <w:r>
      <w:rPr>
        <w:rStyle w:val="PageNumber"/>
        <w:rFonts w:ascii="Arial" w:hAnsi="Arial" w:cs="Arial"/>
        <w:sz w:val="17"/>
        <w:szCs w:val="17"/>
        <w:lang w:val="pl-PL"/>
      </w:rPr>
      <w:t>114</w:t>
    </w:r>
    <w:r w:rsidRPr="00C30FC3">
      <w:rPr>
        <w:rStyle w:val="PageNumber"/>
        <w:rFonts w:ascii="Arial" w:hAnsi="Arial" w:cs="Arial"/>
        <w:sz w:val="17"/>
        <w:szCs w:val="17"/>
        <w:lang w:val="pl-PL"/>
      </w:rPr>
      <w:t xml:space="preserve">  Hrvatska banka za obnovu i razvitak</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385CB" w14:textId="77777777" w:rsidR="000A6433" w:rsidRPr="0038483C" w:rsidRDefault="000A6433" w:rsidP="00D17EE8">
    <w:pPr>
      <w:pStyle w:val="Footer"/>
      <w:framePr w:wrap="auto" w:vAnchor="text" w:hAnchor="page" w:x="10756" w:y="204"/>
      <w:rPr>
        <w:rStyle w:val="PageNumber"/>
      </w:rPr>
    </w:pPr>
  </w:p>
  <w:p w14:paraId="56107FF5" w14:textId="4F1668E4" w:rsidR="000A6433" w:rsidRPr="00C30FC3" w:rsidRDefault="000A6433" w:rsidP="00D17EE8">
    <w:pPr>
      <w:pStyle w:val="Footer"/>
      <w:pBdr>
        <w:top w:val="single" w:sz="4" w:space="1" w:color="auto"/>
      </w:pBdr>
      <w:tabs>
        <w:tab w:val="left" w:pos="8916"/>
      </w:tabs>
      <w:ind w:right="4"/>
      <w:rPr>
        <w:rStyle w:val="PageNumber"/>
        <w:rFonts w:ascii="Arial" w:hAnsi="Arial" w:cs="Arial"/>
        <w:sz w:val="17"/>
        <w:szCs w:val="17"/>
        <w:lang w:val="pl-PL"/>
      </w:rPr>
    </w:pPr>
    <w:r>
      <w:rPr>
        <w:rStyle w:val="PageNumber"/>
        <w:rFonts w:ascii="Arial" w:hAnsi="Arial" w:cs="Arial"/>
        <w:sz w:val="17"/>
        <w:szCs w:val="17"/>
        <w:lang w:val="pl-PL"/>
      </w:rPr>
      <w:t>115</w:t>
    </w:r>
    <w:r w:rsidRPr="00C30FC3">
      <w:rPr>
        <w:rStyle w:val="PageNumber"/>
        <w:rFonts w:ascii="Arial" w:hAnsi="Arial" w:cs="Arial"/>
        <w:sz w:val="17"/>
        <w:szCs w:val="17"/>
        <w:lang w:val="pl-PL"/>
      </w:rPr>
      <w:t xml:space="preserve">  Hrvatska banka za obnovu i razvitak</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06FEC" w14:textId="77777777" w:rsidR="000A6433" w:rsidRPr="0038483C" w:rsidRDefault="000A6433" w:rsidP="00D17EE8">
    <w:pPr>
      <w:pStyle w:val="Footer"/>
      <w:framePr w:wrap="auto" w:vAnchor="text" w:hAnchor="page" w:x="10756" w:y="204"/>
      <w:rPr>
        <w:rStyle w:val="PageNumber"/>
      </w:rPr>
    </w:pPr>
  </w:p>
  <w:p w14:paraId="7A226FF8" w14:textId="29C2DAD5" w:rsidR="000A6433" w:rsidRPr="00C30FC3" w:rsidRDefault="000A6433" w:rsidP="00D17EE8">
    <w:pPr>
      <w:pStyle w:val="Footer"/>
      <w:pBdr>
        <w:top w:val="single" w:sz="4" w:space="1" w:color="auto"/>
      </w:pBdr>
      <w:tabs>
        <w:tab w:val="left" w:pos="8916"/>
      </w:tabs>
      <w:ind w:right="4"/>
      <w:rPr>
        <w:rStyle w:val="PageNumber"/>
        <w:rFonts w:ascii="Arial" w:hAnsi="Arial" w:cs="Arial"/>
        <w:sz w:val="17"/>
        <w:szCs w:val="17"/>
        <w:lang w:val="pl-PL"/>
      </w:rPr>
    </w:pPr>
    <w:r>
      <w:rPr>
        <w:rStyle w:val="PageNumber"/>
        <w:rFonts w:ascii="Arial" w:hAnsi="Arial" w:cs="Arial"/>
        <w:sz w:val="17"/>
        <w:szCs w:val="17"/>
        <w:lang w:val="pl-PL"/>
      </w:rPr>
      <w:t>116</w:t>
    </w:r>
    <w:r w:rsidRPr="00C30FC3">
      <w:rPr>
        <w:rStyle w:val="PageNumber"/>
        <w:rFonts w:ascii="Arial" w:hAnsi="Arial" w:cs="Arial"/>
        <w:sz w:val="17"/>
        <w:szCs w:val="17"/>
        <w:lang w:val="pl-PL"/>
      </w:rPr>
      <w:t xml:space="preserve">  Hrvatska banka za obnovu i razvitak</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7DC89" w14:textId="77777777" w:rsidR="000A6433" w:rsidRPr="0038483C" w:rsidRDefault="000A6433" w:rsidP="00D17EE8">
    <w:pPr>
      <w:pStyle w:val="Footer"/>
      <w:framePr w:wrap="auto" w:vAnchor="text" w:hAnchor="page" w:x="10756" w:y="204"/>
      <w:rPr>
        <w:rStyle w:val="PageNumber"/>
      </w:rPr>
    </w:pPr>
  </w:p>
  <w:p w14:paraId="40843D0D" w14:textId="3351D55A" w:rsidR="000A6433" w:rsidRPr="00C30FC3" w:rsidRDefault="000A6433" w:rsidP="00D17EE8">
    <w:pPr>
      <w:pStyle w:val="Footer"/>
      <w:pBdr>
        <w:top w:val="single" w:sz="4" w:space="1" w:color="auto"/>
      </w:pBdr>
      <w:tabs>
        <w:tab w:val="left" w:pos="8916"/>
      </w:tabs>
      <w:ind w:right="4"/>
      <w:rPr>
        <w:rStyle w:val="PageNumber"/>
        <w:rFonts w:ascii="Arial" w:hAnsi="Arial" w:cs="Arial"/>
        <w:sz w:val="17"/>
        <w:szCs w:val="17"/>
        <w:lang w:val="pl-PL"/>
      </w:rPr>
    </w:pPr>
    <w:r>
      <w:rPr>
        <w:rStyle w:val="PageNumber"/>
        <w:rFonts w:ascii="Arial" w:hAnsi="Arial" w:cs="Arial"/>
        <w:sz w:val="17"/>
        <w:szCs w:val="17"/>
        <w:lang w:val="pl-PL"/>
      </w:rPr>
      <w:t>117</w:t>
    </w:r>
    <w:r w:rsidRPr="00C30FC3">
      <w:rPr>
        <w:rStyle w:val="PageNumber"/>
        <w:rFonts w:ascii="Arial" w:hAnsi="Arial" w:cs="Arial"/>
        <w:sz w:val="17"/>
        <w:szCs w:val="17"/>
        <w:lang w:val="pl-PL"/>
      </w:rPr>
      <w:t xml:space="preserve">  Hrvatska banka za obnovu i razvitak</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1E7DD" w14:textId="77777777" w:rsidR="000A6433" w:rsidRPr="0038483C" w:rsidRDefault="000A6433" w:rsidP="00D17EE8">
    <w:pPr>
      <w:pStyle w:val="Footer"/>
      <w:framePr w:wrap="auto" w:vAnchor="text" w:hAnchor="page" w:x="10756" w:y="204"/>
      <w:rPr>
        <w:rStyle w:val="PageNumber"/>
      </w:rPr>
    </w:pPr>
  </w:p>
  <w:p w14:paraId="4BF8FA94" w14:textId="6572AB78" w:rsidR="000A6433" w:rsidRPr="00C30FC3" w:rsidRDefault="000A6433" w:rsidP="00D17EE8">
    <w:pPr>
      <w:pStyle w:val="Footer"/>
      <w:pBdr>
        <w:top w:val="single" w:sz="4" w:space="1" w:color="auto"/>
      </w:pBdr>
      <w:tabs>
        <w:tab w:val="left" w:pos="8916"/>
      </w:tabs>
      <w:ind w:right="4"/>
      <w:rPr>
        <w:rStyle w:val="PageNumber"/>
        <w:rFonts w:ascii="Arial" w:hAnsi="Arial" w:cs="Arial"/>
        <w:sz w:val="17"/>
        <w:szCs w:val="17"/>
        <w:lang w:val="pl-PL"/>
      </w:rPr>
    </w:pPr>
    <w:r>
      <w:rPr>
        <w:rStyle w:val="PageNumber"/>
        <w:rFonts w:ascii="Arial" w:hAnsi="Arial" w:cs="Arial"/>
        <w:sz w:val="17"/>
        <w:szCs w:val="17"/>
        <w:lang w:val="pl-PL"/>
      </w:rPr>
      <w:t>118</w:t>
    </w:r>
    <w:r w:rsidRPr="00C30FC3">
      <w:rPr>
        <w:rStyle w:val="PageNumber"/>
        <w:rFonts w:ascii="Arial" w:hAnsi="Arial" w:cs="Arial"/>
        <w:sz w:val="17"/>
        <w:szCs w:val="17"/>
        <w:lang w:val="pl-PL"/>
      </w:rPr>
      <w:t xml:space="preserve">  Hrvatska banka za obnovu i razvitak</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ACE31" w14:textId="77777777" w:rsidR="000A6433" w:rsidRPr="0038483C" w:rsidRDefault="000A6433" w:rsidP="00D17EE8">
    <w:pPr>
      <w:pStyle w:val="Footer"/>
      <w:framePr w:wrap="auto" w:vAnchor="text" w:hAnchor="page" w:x="10756" w:y="204"/>
      <w:rPr>
        <w:rStyle w:val="PageNumber"/>
      </w:rPr>
    </w:pPr>
  </w:p>
  <w:p w14:paraId="0C55277D" w14:textId="7B290942" w:rsidR="000A6433" w:rsidRPr="00C30FC3" w:rsidRDefault="000A6433" w:rsidP="00D17EE8">
    <w:pPr>
      <w:pStyle w:val="Footer"/>
      <w:pBdr>
        <w:top w:val="single" w:sz="4" w:space="1" w:color="auto"/>
      </w:pBdr>
      <w:tabs>
        <w:tab w:val="left" w:pos="8916"/>
      </w:tabs>
      <w:ind w:right="4"/>
      <w:rPr>
        <w:rStyle w:val="PageNumber"/>
        <w:rFonts w:ascii="Arial" w:hAnsi="Arial" w:cs="Arial"/>
        <w:sz w:val="17"/>
        <w:szCs w:val="17"/>
        <w:lang w:val="pl-PL"/>
      </w:rPr>
    </w:pPr>
    <w:r>
      <w:rPr>
        <w:rStyle w:val="PageNumber"/>
        <w:rFonts w:ascii="Arial" w:hAnsi="Arial" w:cs="Arial"/>
        <w:sz w:val="17"/>
        <w:szCs w:val="17"/>
        <w:lang w:val="pl-PL"/>
      </w:rPr>
      <w:t>119</w:t>
    </w:r>
    <w:r w:rsidRPr="00C30FC3">
      <w:rPr>
        <w:rStyle w:val="PageNumber"/>
        <w:rFonts w:ascii="Arial" w:hAnsi="Arial" w:cs="Arial"/>
        <w:sz w:val="17"/>
        <w:szCs w:val="17"/>
        <w:lang w:val="pl-PL"/>
      </w:rPr>
      <w:t xml:space="preserve">  Hrvatska banka za obnovu i razvitak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8F884C" w14:textId="77777777" w:rsidR="0075270D" w:rsidRDefault="0075270D" w:rsidP="00B36151">
      <w:r>
        <w:separator/>
      </w:r>
    </w:p>
  </w:footnote>
  <w:footnote w:type="continuationSeparator" w:id="0">
    <w:p w14:paraId="3B003660" w14:textId="77777777" w:rsidR="0075270D" w:rsidRDefault="0075270D" w:rsidP="00B361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AFB1C" w14:textId="77777777" w:rsidR="00A56428" w:rsidRDefault="00A56428" w:rsidP="00A56428">
    <w:pPr>
      <w:tabs>
        <w:tab w:val="left" w:pos="3780"/>
      </w:tabs>
    </w:pPr>
    <w:r>
      <w:tab/>
    </w:r>
  </w:p>
  <w:p w14:paraId="0AE0206A" w14:textId="77777777" w:rsidR="00A56428" w:rsidRPr="00096690" w:rsidRDefault="00A56428" w:rsidP="003757A3">
    <w:pPr>
      <w:pBdr>
        <w:bottom w:val="single" w:sz="4" w:space="1" w:color="auto"/>
      </w:pBdr>
      <w:spacing w:line="301" w:lineRule="atLeast"/>
      <w:ind w:right="4"/>
      <w:rPr>
        <w:rFonts w:ascii="Arial" w:eastAsia="Times New Roman" w:hAnsi="Arial" w:cs="Arial"/>
        <w:sz w:val="24"/>
        <w:szCs w:val="24"/>
      </w:rPr>
    </w:pPr>
    <w:r w:rsidRPr="001A5E0D">
      <w:rPr>
        <w:rFonts w:ascii="Arial" w:eastAsia="Times New Roman" w:hAnsi="Arial" w:cs="Arial"/>
        <w:sz w:val="24"/>
        <w:szCs w:val="24"/>
      </w:rPr>
      <w:t xml:space="preserve">Sadržaj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0FD31" w14:textId="77777777" w:rsidR="00764509" w:rsidRPr="00764509" w:rsidRDefault="00764509" w:rsidP="00295417">
    <w:pPr>
      <w:pBdr>
        <w:bottom w:val="single" w:sz="4" w:space="1" w:color="auto"/>
      </w:pBdr>
      <w:rPr>
        <w:rFonts w:ascii="Arial" w:eastAsia="Times New Roman" w:hAnsi="Arial" w:cs="Arial"/>
        <w:sz w:val="24"/>
        <w:szCs w:val="24"/>
      </w:rPr>
    </w:pPr>
    <w:r w:rsidRPr="00764509">
      <w:rPr>
        <w:rFonts w:ascii="Arial" w:eastAsia="Times New Roman" w:hAnsi="Arial" w:cs="Arial"/>
        <w:sz w:val="24"/>
        <w:szCs w:val="24"/>
      </w:rPr>
      <w:t>Odvojeni financijski izvještaji Banke</w:t>
    </w:r>
  </w:p>
  <w:p w14:paraId="59C8E1DB" w14:textId="77777777" w:rsidR="00764509" w:rsidRPr="00764509" w:rsidRDefault="00764509" w:rsidP="00764509">
    <w:pPr>
      <w:pBdr>
        <w:bottom w:val="single" w:sz="4" w:space="1" w:color="auto"/>
      </w:pBdr>
      <w:rPr>
        <w:rFonts w:ascii="Arial" w:eastAsia="Times New Roman" w:hAnsi="Arial" w:cs="Arial"/>
        <w:sz w:val="24"/>
        <w:szCs w:val="24"/>
      </w:rPr>
    </w:pPr>
    <w:r w:rsidRPr="00764509">
      <w:rPr>
        <w:rFonts w:ascii="Arial" w:eastAsia="Times New Roman" w:hAnsi="Arial" w:cs="Arial"/>
        <w:sz w:val="24"/>
        <w:szCs w:val="24"/>
      </w:rPr>
      <w:t xml:space="preserve">Izvještaj o financijskom položaju </w:t>
    </w:r>
  </w:p>
  <w:p w14:paraId="0A8D797C" w14:textId="77777777" w:rsidR="00764509" w:rsidRPr="00764509" w:rsidRDefault="00764509" w:rsidP="00764509">
    <w:pPr>
      <w:pBdr>
        <w:bottom w:val="single" w:sz="4" w:space="1" w:color="auto"/>
      </w:pBdr>
      <w:rPr>
        <w:rFonts w:ascii="Arial" w:eastAsia="Times New Roman" w:hAnsi="Arial" w:cs="Arial"/>
        <w:sz w:val="24"/>
        <w:szCs w:val="24"/>
      </w:rPr>
    </w:pPr>
    <w:r w:rsidRPr="00764509">
      <w:rPr>
        <w:rFonts w:ascii="Arial" w:eastAsia="Times New Roman" w:hAnsi="Arial" w:cs="Arial"/>
        <w:sz w:val="24"/>
        <w:szCs w:val="24"/>
      </w:rPr>
      <w:t xml:space="preserve">na dan </w:t>
    </w:r>
  </w:p>
  <w:p w14:paraId="15D4FEF9" w14:textId="6E6CDF11" w:rsidR="00764509" w:rsidRPr="00192670" w:rsidRDefault="00764509" w:rsidP="00192670">
    <w:pPr>
      <w:pBdr>
        <w:bottom w:val="single" w:sz="4" w:space="1" w:color="auto"/>
      </w:pBdr>
      <w:tabs>
        <w:tab w:val="center" w:pos="4513"/>
      </w:tabs>
      <w:suppressAutoHyphens/>
      <w:spacing w:line="400" w:lineRule="exact"/>
      <w:jc w:val="both"/>
      <w:rPr>
        <w:rFonts w:ascii="Arial" w:eastAsia="Times New Roman" w:hAnsi="Arial" w:cs="Arial"/>
        <w:spacing w:val="-3"/>
        <w:sz w:val="20"/>
        <w:szCs w:val="20"/>
        <w:lang w:val="pl-PL"/>
      </w:rPr>
    </w:pPr>
    <w:r w:rsidRPr="001A5E0D">
      <w:rPr>
        <w:rFonts w:ascii="Arial" w:eastAsia="Times New Roman" w:hAnsi="Arial" w:cs="Arial"/>
        <w:spacing w:val="-3"/>
        <w:sz w:val="20"/>
        <w:szCs w:val="20"/>
        <w:lang w:val="pl-PL"/>
      </w:rPr>
      <w:t xml:space="preserve">(Svi iznosi izraženi su u tisućama </w:t>
    </w:r>
    <w:r w:rsidR="00145D68" w:rsidRPr="00145D68">
      <w:rPr>
        <w:rFonts w:ascii="Arial" w:eastAsia="Times New Roman" w:hAnsi="Arial" w:cs="Arial"/>
        <w:spacing w:val="-3"/>
        <w:sz w:val="20"/>
        <w:szCs w:val="20"/>
        <w:lang w:val="pl-PL"/>
      </w:rPr>
      <w:t>eura</w:t>
    </w:r>
    <w:r w:rsidRPr="001A5E0D">
      <w:rPr>
        <w:rFonts w:ascii="Arial" w:eastAsia="Times New Roman" w:hAnsi="Arial" w:cs="Arial"/>
        <w:spacing w:val="-3"/>
        <w:sz w:val="20"/>
        <w:szCs w:val="20"/>
        <w:lang w:val="pl-PL"/>
      </w:rPr>
      <w: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A266F" w14:textId="77777777" w:rsidR="00764509" w:rsidRPr="00764509" w:rsidRDefault="00764509" w:rsidP="00295417">
    <w:pPr>
      <w:pBdr>
        <w:bottom w:val="single" w:sz="4" w:space="1" w:color="auto"/>
      </w:pBdr>
      <w:rPr>
        <w:rFonts w:ascii="Arial" w:eastAsia="Times New Roman" w:hAnsi="Arial" w:cs="Arial"/>
        <w:sz w:val="24"/>
        <w:szCs w:val="24"/>
      </w:rPr>
    </w:pPr>
    <w:r w:rsidRPr="00764509">
      <w:rPr>
        <w:rFonts w:ascii="Arial" w:eastAsia="Times New Roman" w:hAnsi="Arial" w:cs="Arial"/>
        <w:sz w:val="24"/>
        <w:szCs w:val="24"/>
      </w:rPr>
      <w:t>Odvojeni financijski izvještaji Banke</w:t>
    </w:r>
  </w:p>
  <w:p w14:paraId="21C06046" w14:textId="77777777" w:rsidR="00764509" w:rsidRPr="00764509" w:rsidRDefault="00764509" w:rsidP="00764509">
    <w:pPr>
      <w:pBdr>
        <w:bottom w:val="single" w:sz="4" w:space="1" w:color="auto"/>
      </w:pBdr>
      <w:rPr>
        <w:rFonts w:ascii="Arial" w:eastAsia="Times New Roman" w:hAnsi="Arial" w:cs="Arial"/>
        <w:sz w:val="24"/>
        <w:szCs w:val="24"/>
      </w:rPr>
    </w:pPr>
    <w:r w:rsidRPr="00764509">
      <w:rPr>
        <w:rFonts w:ascii="Arial" w:eastAsia="Times New Roman" w:hAnsi="Arial" w:cs="Arial"/>
        <w:sz w:val="24"/>
        <w:szCs w:val="24"/>
      </w:rPr>
      <w:t xml:space="preserve">Izvještaj o novčanim tokovima </w:t>
    </w:r>
  </w:p>
  <w:p w14:paraId="6C3A243C" w14:textId="586CCEEC" w:rsidR="00764509" w:rsidRPr="00764509" w:rsidRDefault="00764509" w:rsidP="00764509">
    <w:pPr>
      <w:pBdr>
        <w:bottom w:val="single" w:sz="4" w:space="1" w:color="auto"/>
      </w:pBdr>
      <w:rPr>
        <w:rFonts w:ascii="Arial" w:eastAsia="Times New Roman" w:hAnsi="Arial" w:cs="Arial"/>
        <w:sz w:val="24"/>
        <w:szCs w:val="24"/>
      </w:rPr>
    </w:pPr>
    <w:r w:rsidRPr="00764509">
      <w:rPr>
        <w:rFonts w:ascii="Arial" w:eastAsia="Times New Roman" w:hAnsi="Arial" w:cs="Arial"/>
        <w:sz w:val="24"/>
        <w:szCs w:val="24"/>
      </w:rPr>
      <w:t xml:space="preserve">za razdoblje od 1.1. do </w:t>
    </w:r>
    <w:r w:rsidR="006826A0" w:rsidRPr="00764509">
      <w:rPr>
        <w:rFonts w:ascii="Arial" w:eastAsia="Times New Roman" w:hAnsi="Arial" w:cs="Arial"/>
        <w:sz w:val="24"/>
        <w:szCs w:val="24"/>
      </w:rPr>
      <w:t>3</w:t>
    </w:r>
    <w:r w:rsidR="006826A0">
      <w:rPr>
        <w:rFonts w:ascii="Arial" w:eastAsia="Times New Roman" w:hAnsi="Arial" w:cs="Arial"/>
        <w:sz w:val="24"/>
        <w:szCs w:val="24"/>
      </w:rPr>
      <w:t>0</w:t>
    </w:r>
    <w:r w:rsidRPr="00764509">
      <w:rPr>
        <w:rFonts w:ascii="Arial" w:eastAsia="Times New Roman" w:hAnsi="Arial" w:cs="Arial"/>
        <w:sz w:val="24"/>
        <w:szCs w:val="24"/>
      </w:rPr>
      <w:t>.</w:t>
    </w:r>
    <w:r w:rsidR="00893BF4">
      <w:rPr>
        <w:rFonts w:ascii="Arial" w:eastAsia="Times New Roman" w:hAnsi="Arial" w:cs="Arial"/>
        <w:sz w:val="24"/>
        <w:szCs w:val="24"/>
      </w:rPr>
      <w:t>9</w:t>
    </w:r>
    <w:r w:rsidRPr="00764509">
      <w:rPr>
        <w:rFonts w:ascii="Arial" w:eastAsia="Times New Roman" w:hAnsi="Arial" w:cs="Arial"/>
        <w:sz w:val="24"/>
        <w:szCs w:val="24"/>
      </w:rPr>
      <w:t xml:space="preserve">. </w:t>
    </w:r>
  </w:p>
  <w:p w14:paraId="22FD7627" w14:textId="7DD8FB9E" w:rsidR="00764509" w:rsidRPr="00192670" w:rsidRDefault="00764509" w:rsidP="00192670">
    <w:pPr>
      <w:pBdr>
        <w:bottom w:val="single" w:sz="4" w:space="1" w:color="auto"/>
      </w:pBdr>
      <w:tabs>
        <w:tab w:val="center" w:pos="4513"/>
      </w:tabs>
      <w:suppressAutoHyphens/>
      <w:spacing w:line="400" w:lineRule="exact"/>
      <w:jc w:val="both"/>
      <w:rPr>
        <w:rFonts w:ascii="Arial" w:eastAsia="Times New Roman" w:hAnsi="Arial" w:cs="Arial"/>
        <w:spacing w:val="-3"/>
        <w:sz w:val="20"/>
        <w:szCs w:val="20"/>
        <w:lang w:val="pl-PL"/>
      </w:rPr>
    </w:pPr>
    <w:r w:rsidRPr="001A5E0D">
      <w:rPr>
        <w:rFonts w:ascii="Arial" w:eastAsia="Times New Roman" w:hAnsi="Arial" w:cs="Arial"/>
        <w:spacing w:val="-3"/>
        <w:sz w:val="20"/>
        <w:szCs w:val="20"/>
        <w:lang w:val="pl-PL"/>
      </w:rPr>
      <w:t xml:space="preserve">(Svi iznosi izraženi su u tisućama </w:t>
    </w:r>
    <w:r w:rsidR="00145D68" w:rsidRPr="00145D68">
      <w:rPr>
        <w:rFonts w:ascii="Arial" w:eastAsia="Times New Roman" w:hAnsi="Arial" w:cs="Arial"/>
        <w:spacing w:val="-3"/>
        <w:sz w:val="20"/>
        <w:szCs w:val="20"/>
        <w:lang w:val="pl-PL"/>
      </w:rPr>
      <w:t>eura</w:t>
    </w:r>
    <w:r w:rsidRPr="001A5E0D">
      <w:rPr>
        <w:rFonts w:ascii="Arial" w:eastAsia="Times New Roman" w:hAnsi="Arial" w:cs="Arial"/>
        <w:spacing w:val="-3"/>
        <w:sz w:val="20"/>
        <w:szCs w:val="20"/>
        <w:lang w:val="pl-PL"/>
      </w:rPr>
      <w: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4B7D2" w14:textId="77777777" w:rsidR="003E2F5E" w:rsidRPr="001A5E0D" w:rsidRDefault="003E2F5E" w:rsidP="003E2F5E">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Odvojeni financijski izvještaji Banke</w:t>
    </w:r>
  </w:p>
  <w:p w14:paraId="7146DB16" w14:textId="77777777" w:rsidR="00D35A55" w:rsidRPr="00D35A55" w:rsidRDefault="00D35A55" w:rsidP="00D35A55">
    <w:pPr>
      <w:pBdr>
        <w:bottom w:val="single" w:sz="4" w:space="1" w:color="auto"/>
      </w:pBdr>
      <w:rPr>
        <w:rFonts w:ascii="Arial" w:eastAsia="Times New Roman" w:hAnsi="Arial" w:cs="Arial"/>
        <w:sz w:val="24"/>
        <w:szCs w:val="24"/>
      </w:rPr>
    </w:pPr>
    <w:r w:rsidRPr="00D35A55">
      <w:rPr>
        <w:rFonts w:ascii="Arial" w:eastAsia="Times New Roman" w:hAnsi="Arial" w:cs="Arial"/>
        <w:sz w:val="24"/>
        <w:szCs w:val="24"/>
      </w:rPr>
      <w:t xml:space="preserve">Izvještaj o promjenama na kapitalu </w:t>
    </w:r>
  </w:p>
  <w:p w14:paraId="4E609191" w14:textId="18432758" w:rsidR="00D35A55" w:rsidRPr="001A5E0D" w:rsidRDefault="00D35A55" w:rsidP="00D35A55">
    <w:pPr>
      <w:pBdr>
        <w:bottom w:val="single" w:sz="4" w:space="1" w:color="auto"/>
      </w:pBdr>
      <w:rPr>
        <w:rFonts w:ascii="Arial" w:eastAsia="Times New Roman" w:hAnsi="Arial" w:cs="Arial"/>
        <w:sz w:val="24"/>
        <w:szCs w:val="24"/>
      </w:rPr>
    </w:pPr>
    <w:r w:rsidRPr="00D35A55">
      <w:rPr>
        <w:rFonts w:ascii="Arial" w:eastAsia="Times New Roman" w:hAnsi="Arial" w:cs="Arial"/>
        <w:sz w:val="24"/>
        <w:szCs w:val="24"/>
      </w:rPr>
      <w:t>za razdoblje od 1.1. do 30.</w:t>
    </w:r>
    <w:r w:rsidR="00893BF4">
      <w:rPr>
        <w:rFonts w:ascii="Arial" w:eastAsia="Times New Roman" w:hAnsi="Arial" w:cs="Arial"/>
        <w:sz w:val="24"/>
        <w:szCs w:val="24"/>
      </w:rPr>
      <w:t>9</w:t>
    </w:r>
    <w:r w:rsidRPr="00D35A55">
      <w:rPr>
        <w:rFonts w:ascii="Arial" w:eastAsia="Times New Roman" w:hAnsi="Arial" w:cs="Arial"/>
        <w:sz w:val="24"/>
        <w:szCs w:val="24"/>
      </w:rPr>
      <w:t xml:space="preserve">. </w:t>
    </w:r>
  </w:p>
  <w:p w14:paraId="2EF544B4" w14:textId="545D114A" w:rsidR="003E2F5E" w:rsidRPr="00192670" w:rsidRDefault="003E2F5E" w:rsidP="00192670">
    <w:pPr>
      <w:pBdr>
        <w:bottom w:val="single" w:sz="4" w:space="1" w:color="auto"/>
      </w:pBdr>
      <w:tabs>
        <w:tab w:val="center" w:pos="4513"/>
      </w:tabs>
      <w:suppressAutoHyphens/>
      <w:spacing w:line="400" w:lineRule="exact"/>
      <w:jc w:val="both"/>
      <w:rPr>
        <w:rFonts w:ascii="Arial" w:eastAsia="Times New Roman" w:hAnsi="Arial" w:cs="Arial"/>
        <w:spacing w:val="-3"/>
        <w:sz w:val="20"/>
        <w:szCs w:val="20"/>
        <w:lang w:val="pl-PL"/>
      </w:rPr>
    </w:pPr>
    <w:r w:rsidRPr="001A5E0D">
      <w:rPr>
        <w:rFonts w:ascii="Arial" w:eastAsia="Times New Roman" w:hAnsi="Arial" w:cs="Arial"/>
        <w:spacing w:val="-3"/>
        <w:sz w:val="20"/>
        <w:szCs w:val="20"/>
        <w:lang w:val="pl-PL"/>
      </w:rPr>
      <w:t>(Svi iznosi izraženi su u tisućama</w:t>
    </w:r>
    <w:r w:rsidR="00145D68" w:rsidRPr="00145D68">
      <w:t xml:space="preserve"> </w:t>
    </w:r>
    <w:r w:rsidR="00145D68" w:rsidRPr="00145D68">
      <w:rPr>
        <w:rFonts w:ascii="Arial" w:eastAsia="Times New Roman" w:hAnsi="Arial" w:cs="Arial"/>
        <w:spacing w:val="-3"/>
        <w:sz w:val="20"/>
        <w:szCs w:val="20"/>
        <w:lang w:val="pl-PL"/>
      </w:rPr>
      <w:t>eura</w:t>
    </w:r>
    <w:r w:rsidRPr="001A5E0D">
      <w:rPr>
        <w:rFonts w:ascii="Arial" w:eastAsia="Times New Roman" w:hAnsi="Arial" w:cs="Arial"/>
        <w:spacing w:val="-3"/>
        <w:sz w:val="20"/>
        <w:szCs w:val="20"/>
        <w:lang w:val="pl-PL"/>
      </w:rPr>
      <w: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F2CB2" w14:textId="77777777" w:rsidR="00145D68" w:rsidRPr="001A5E0D" w:rsidRDefault="00145D68" w:rsidP="00145D68">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 xml:space="preserve">Bilješke uz skraćene financijske izvještaje koje obuhvaćaju važne računovodstvene politike i druga objašnjenja </w:t>
    </w:r>
  </w:p>
  <w:p w14:paraId="327266EE" w14:textId="1CD2A8A4" w:rsidR="00145D68" w:rsidRPr="001A5E0D" w:rsidRDefault="00145D68" w:rsidP="00145D68">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 xml:space="preserve">za razdoblje od 1.1. do </w:t>
    </w:r>
    <w:r w:rsidR="00B2599D">
      <w:rPr>
        <w:rFonts w:ascii="Arial" w:eastAsia="Times New Roman" w:hAnsi="Arial" w:cs="Arial"/>
        <w:sz w:val="24"/>
        <w:szCs w:val="24"/>
      </w:rPr>
      <w:t>30</w:t>
    </w:r>
    <w:r w:rsidRPr="001A5E0D">
      <w:rPr>
        <w:rFonts w:ascii="Arial" w:eastAsia="Times New Roman" w:hAnsi="Arial" w:cs="Arial"/>
        <w:sz w:val="24"/>
        <w:szCs w:val="24"/>
      </w:rPr>
      <w:t>.</w:t>
    </w:r>
    <w:r w:rsidR="00893BF4">
      <w:rPr>
        <w:rFonts w:ascii="Arial" w:eastAsia="Times New Roman" w:hAnsi="Arial" w:cs="Arial"/>
        <w:sz w:val="24"/>
        <w:szCs w:val="24"/>
      </w:rPr>
      <w:t>9</w:t>
    </w:r>
    <w:r w:rsidRPr="001A5E0D">
      <w:rPr>
        <w:rFonts w:ascii="Arial" w:eastAsia="Times New Roman" w:hAnsi="Arial" w:cs="Arial"/>
        <w:sz w:val="24"/>
        <w:szCs w:val="24"/>
      </w:rPr>
      <w:t>.202</w:t>
    </w:r>
    <w:r w:rsidR="00330BD5">
      <w:rPr>
        <w:rFonts w:ascii="Arial" w:eastAsia="Times New Roman" w:hAnsi="Arial" w:cs="Arial"/>
        <w:sz w:val="24"/>
        <w:szCs w:val="24"/>
      </w:rPr>
      <w:t>4</w:t>
    </w:r>
    <w:r w:rsidRPr="001A5E0D">
      <w:rPr>
        <w:rFonts w:ascii="Arial" w:eastAsia="Times New Roman" w:hAnsi="Arial" w:cs="Arial"/>
        <w:sz w:val="24"/>
        <w:szCs w:val="24"/>
      </w:rPr>
      <w:t>.</w:t>
    </w:r>
    <w:r w:rsidR="00D30BF7">
      <w:rPr>
        <w:rFonts w:ascii="Arial" w:eastAsia="Times New Roman" w:hAnsi="Arial" w:cs="Arial"/>
        <w:sz w:val="24"/>
        <w:szCs w:val="24"/>
      </w:rPr>
      <w:t xml:space="preserve"> </w:t>
    </w:r>
  </w:p>
  <w:p w14:paraId="5147BEFC" w14:textId="2E0C8EF0" w:rsidR="00145D68" w:rsidRPr="00192670" w:rsidRDefault="00145D68" w:rsidP="00192670">
    <w:pPr>
      <w:pBdr>
        <w:bottom w:val="single" w:sz="4" w:space="1" w:color="auto"/>
      </w:pBdr>
      <w:tabs>
        <w:tab w:val="center" w:pos="4513"/>
      </w:tabs>
      <w:suppressAutoHyphens/>
      <w:spacing w:line="400" w:lineRule="exact"/>
      <w:jc w:val="both"/>
      <w:rPr>
        <w:rFonts w:ascii="Arial" w:eastAsia="Times New Roman" w:hAnsi="Arial" w:cs="Arial"/>
        <w:spacing w:val="-3"/>
        <w:sz w:val="20"/>
        <w:szCs w:val="20"/>
        <w:lang w:val="pl-PL"/>
      </w:rPr>
    </w:pPr>
    <w:r w:rsidRPr="001A5E0D">
      <w:rPr>
        <w:rFonts w:ascii="Arial" w:eastAsia="Times New Roman" w:hAnsi="Arial" w:cs="Arial"/>
        <w:spacing w:val="-3"/>
        <w:sz w:val="20"/>
        <w:szCs w:val="20"/>
        <w:lang w:val="pl-PL"/>
      </w:rPr>
      <w:t xml:space="preserve">(Svi iznosi izraženi su u tisućama </w:t>
    </w:r>
    <w:r w:rsidRPr="00145D68">
      <w:rPr>
        <w:rFonts w:ascii="Arial" w:eastAsia="Times New Roman" w:hAnsi="Arial" w:cs="Arial"/>
        <w:spacing w:val="-3"/>
        <w:sz w:val="20"/>
        <w:szCs w:val="20"/>
        <w:lang w:val="pl-PL"/>
      </w:rPr>
      <w:t>eura</w:t>
    </w:r>
    <w:r w:rsidRPr="001A5E0D">
      <w:rPr>
        <w:rFonts w:ascii="Arial" w:eastAsia="Times New Roman" w:hAnsi="Arial" w:cs="Arial"/>
        <w:spacing w:val="-3"/>
        <w:sz w:val="20"/>
        <w:szCs w:val="20"/>
        <w:lang w:val="pl-PL"/>
      </w:rPr>
      <w:t>)</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881A2" w14:textId="77777777" w:rsidR="00893BF4" w:rsidRPr="001A5E0D" w:rsidRDefault="00893BF4" w:rsidP="00145D68">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 xml:space="preserve">Bilješke uz skraćene financijske izvještaje koje obuhvaćaju važne računovodstvene politike i druga objašnjenja </w:t>
    </w:r>
  </w:p>
  <w:p w14:paraId="531209E7" w14:textId="021860AA" w:rsidR="00893BF4" w:rsidRPr="001A5E0D" w:rsidRDefault="00893BF4" w:rsidP="00145D68">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 xml:space="preserve">za razdoblje od 1.1. do </w:t>
    </w:r>
    <w:r>
      <w:rPr>
        <w:rFonts w:ascii="Arial" w:eastAsia="Times New Roman" w:hAnsi="Arial" w:cs="Arial"/>
        <w:sz w:val="24"/>
        <w:szCs w:val="24"/>
      </w:rPr>
      <w:t>30</w:t>
    </w:r>
    <w:r w:rsidRPr="001A5E0D">
      <w:rPr>
        <w:rFonts w:ascii="Arial" w:eastAsia="Times New Roman" w:hAnsi="Arial" w:cs="Arial"/>
        <w:sz w:val="24"/>
        <w:szCs w:val="24"/>
      </w:rPr>
      <w:t>.</w:t>
    </w:r>
    <w:r>
      <w:rPr>
        <w:rFonts w:ascii="Arial" w:eastAsia="Times New Roman" w:hAnsi="Arial" w:cs="Arial"/>
        <w:sz w:val="24"/>
        <w:szCs w:val="24"/>
      </w:rPr>
      <w:t>9</w:t>
    </w:r>
    <w:r w:rsidRPr="001A5E0D">
      <w:rPr>
        <w:rFonts w:ascii="Arial" w:eastAsia="Times New Roman" w:hAnsi="Arial" w:cs="Arial"/>
        <w:sz w:val="24"/>
        <w:szCs w:val="24"/>
      </w:rPr>
      <w:t>.202</w:t>
    </w:r>
    <w:r w:rsidR="00330BD5">
      <w:rPr>
        <w:rFonts w:ascii="Arial" w:eastAsia="Times New Roman" w:hAnsi="Arial" w:cs="Arial"/>
        <w:sz w:val="24"/>
        <w:szCs w:val="24"/>
      </w:rPr>
      <w:t>4</w:t>
    </w:r>
    <w:r w:rsidRPr="001A5E0D">
      <w:rPr>
        <w:rFonts w:ascii="Arial" w:eastAsia="Times New Roman" w:hAnsi="Arial" w:cs="Arial"/>
        <w:sz w:val="24"/>
        <w:szCs w:val="24"/>
      </w:rPr>
      <w:t>.</w:t>
    </w:r>
    <w:r>
      <w:rPr>
        <w:rFonts w:ascii="Arial" w:eastAsia="Times New Roman" w:hAnsi="Arial" w:cs="Arial"/>
        <w:sz w:val="24"/>
        <w:szCs w:val="24"/>
      </w:rPr>
      <w:t xml:space="preserve"> (nastavak)</w:t>
    </w:r>
  </w:p>
  <w:p w14:paraId="7612CBE4" w14:textId="77777777" w:rsidR="00893BF4" w:rsidRPr="00192670" w:rsidRDefault="00893BF4" w:rsidP="00192670">
    <w:pPr>
      <w:pBdr>
        <w:bottom w:val="single" w:sz="4" w:space="1" w:color="auto"/>
      </w:pBdr>
      <w:tabs>
        <w:tab w:val="center" w:pos="4513"/>
      </w:tabs>
      <w:suppressAutoHyphens/>
      <w:spacing w:line="400" w:lineRule="exact"/>
      <w:jc w:val="both"/>
      <w:rPr>
        <w:rFonts w:ascii="Arial" w:eastAsia="Times New Roman" w:hAnsi="Arial" w:cs="Arial"/>
        <w:spacing w:val="-3"/>
        <w:sz w:val="20"/>
        <w:szCs w:val="20"/>
        <w:lang w:val="pl-PL"/>
      </w:rPr>
    </w:pPr>
    <w:r w:rsidRPr="001A5E0D">
      <w:rPr>
        <w:rFonts w:ascii="Arial" w:eastAsia="Times New Roman" w:hAnsi="Arial" w:cs="Arial"/>
        <w:spacing w:val="-3"/>
        <w:sz w:val="20"/>
        <w:szCs w:val="20"/>
        <w:lang w:val="pl-PL"/>
      </w:rPr>
      <w:t xml:space="preserve">(Svi iznosi izraženi su u tisućama </w:t>
    </w:r>
    <w:r w:rsidRPr="00145D68">
      <w:rPr>
        <w:rFonts w:ascii="Arial" w:eastAsia="Times New Roman" w:hAnsi="Arial" w:cs="Arial"/>
        <w:spacing w:val="-3"/>
        <w:sz w:val="20"/>
        <w:szCs w:val="20"/>
        <w:lang w:val="pl-PL"/>
      </w:rPr>
      <w:t>eura</w:t>
    </w:r>
    <w:r w:rsidRPr="001A5E0D">
      <w:rPr>
        <w:rFonts w:ascii="Arial" w:eastAsia="Times New Roman" w:hAnsi="Arial" w:cs="Arial"/>
        <w:spacing w:val="-3"/>
        <w:sz w:val="20"/>
        <w:szCs w:val="20"/>
        <w:lang w:val="pl-PL"/>
      </w:rPr>
      <w: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7DE4C" w14:textId="77777777" w:rsidR="0056686B" w:rsidRPr="0056686B" w:rsidRDefault="0056686B" w:rsidP="0056686B">
    <w:pPr>
      <w:pBdr>
        <w:bottom w:val="single" w:sz="4" w:space="1" w:color="auto"/>
      </w:pBdr>
      <w:rPr>
        <w:rFonts w:ascii="Arial" w:eastAsia="Times New Roman" w:hAnsi="Arial" w:cs="Arial"/>
        <w:sz w:val="24"/>
        <w:szCs w:val="24"/>
      </w:rPr>
    </w:pPr>
    <w:r w:rsidRPr="0056686B">
      <w:rPr>
        <w:rFonts w:ascii="Arial" w:eastAsia="Times New Roman" w:hAnsi="Arial" w:cs="Arial"/>
        <w:sz w:val="24"/>
        <w:szCs w:val="24"/>
      </w:rPr>
      <w:t xml:space="preserve">Dodatak uz financijske izvještaje – Financijsko poslovanje Grupe HKO </w:t>
    </w:r>
  </w:p>
  <w:p w14:paraId="5515369C" w14:textId="77777777" w:rsidR="0056686B" w:rsidRDefault="0056686B" w:rsidP="0056686B">
    <w:pPr>
      <w:pBdr>
        <w:bottom w:val="single" w:sz="4" w:space="1" w:color="auto"/>
      </w:pBdr>
      <w:rPr>
        <w:rFonts w:ascii="Arial" w:eastAsia="Times New Roman" w:hAnsi="Arial" w:cs="Arial"/>
        <w:sz w:val="24"/>
        <w:szCs w:val="24"/>
      </w:rPr>
    </w:pPr>
    <w:r w:rsidRPr="0056686B">
      <w:rPr>
        <w:rFonts w:ascii="Arial" w:eastAsia="Times New Roman" w:hAnsi="Arial" w:cs="Arial"/>
        <w:sz w:val="24"/>
        <w:szCs w:val="24"/>
      </w:rPr>
      <w:t>Izvještaj o dobiti i gubitku te ostaloj sveobuhvatnoj dobiti</w:t>
    </w:r>
  </w:p>
  <w:p w14:paraId="3CBFFD52" w14:textId="5C068A15" w:rsidR="0056686B" w:rsidRPr="001A5E0D" w:rsidRDefault="0056686B" w:rsidP="0056686B">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 xml:space="preserve">za razdoblje od 1.1. do </w:t>
    </w:r>
    <w:r w:rsidR="002576B9">
      <w:rPr>
        <w:rFonts w:ascii="Arial" w:eastAsia="Times New Roman" w:hAnsi="Arial" w:cs="Arial"/>
        <w:sz w:val="24"/>
        <w:szCs w:val="24"/>
      </w:rPr>
      <w:t>30</w:t>
    </w:r>
    <w:r w:rsidRPr="001A5E0D">
      <w:rPr>
        <w:rFonts w:ascii="Arial" w:eastAsia="Times New Roman" w:hAnsi="Arial" w:cs="Arial"/>
        <w:sz w:val="24"/>
        <w:szCs w:val="24"/>
      </w:rPr>
      <w:t>.</w:t>
    </w:r>
    <w:r w:rsidR="00F4767C">
      <w:rPr>
        <w:rFonts w:ascii="Arial" w:eastAsia="Times New Roman" w:hAnsi="Arial" w:cs="Arial"/>
        <w:sz w:val="24"/>
        <w:szCs w:val="24"/>
      </w:rPr>
      <w:t>9</w:t>
    </w:r>
    <w:r w:rsidRPr="001A5E0D">
      <w:rPr>
        <w:rFonts w:ascii="Arial" w:eastAsia="Times New Roman" w:hAnsi="Arial" w:cs="Arial"/>
        <w:sz w:val="24"/>
        <w:szCs w:val="24"/>
      </w:rPr>
      <w:t xml:space="preserve">. </w:t>
    </w:r>
  </w:p>
  <w:p w14:paraId="2C6608E2" w14:textId="77777777" w:rsidR="0056686B" w:rsidRPr="00192670" w:rsidRDefault="0056686B" w:rsidP="00192670">
    <w:pPr>
      <w:pBdr>
        <w:bottom w:val="single" w:sz="4" w:space="1" w:color="auto"/>
      </w:pBdr>
      <w:tabs>
        <w:tab w:val="center" w:pos="4513"/>
      </w:tabs>
      <w:suppressAutoHyphens/>
      <w:spacing w:line="400" w:lineRule="exact"/>
      <w:jc w:val="both"/>
      <w:rPr>
        <w:rFonts w:ascii="Arial" w:eastAsia="Times New Roman" w:hAnsi="Arial" w:cs="Arial"/>
        <w:spacing w:val="-3"/>
        <w:sz w:val="20"/>
        <w:szCs w:val="20"/>
        <w:lang w:val="pl-PL"/>
      </w:rPr>
    </w:pPr>
    <w:r w:rsidRPr="001A5E0D">
      <w:rPr>
        <w:rFonts w:ascii="Arial" w:eastAsia="Times New Roman" w:hAnsi="Arial" w:cs="Arial"/>
        <w:spacing w:val="-3"/>
        <w:sz w:val="20"/>
        <w:szCs w:val="20"/>
        <w:lang w:val="pl-PL"/>
      </w:rPr>
      <w:t xml:space="preserve">(Svi iznosi izraženi su u tisućama </w:t>
    </w:r>
    <w:r w:rsidRPr="00145D68">
      <w:rPr>
        <w:rFonts w:ascii="Arial" w:eastAsia="Times New Roman" w:hAnsi="Arial" w:cs="Arial"/>
        <w:spacing w:val="-3"/>
        <w:sz w:val="20"/>
        <w:szCs w:val="20"/>
        <w:lang w:val="pl-PL"/>
      </w:rPr>
      <w:t>eura</w:t>
    </w:r>
    <w:r w:rsidRPr="001A5E0D">
      <w:rPr>
        <w:rFonts w:ascii="Arial" w:eastAsia="Times New Roman" w:hAnsi="Arial" w:cs="Arial"/>
        <w:spacing w:val="-3"/>
        <w:sz w:val="20"/>
        <w:szCs w:val="20"/>
        <w:lang w:val="pl-PL"/>
      </w:rPr>
      <w:t>)</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9530C" w14:textId="77777777" w:rsidR="0056686B" w:rsidRPr="0056686B" w:rsidRDefault="0056686B" w:rsidP="0056686B">
    <w:pPr>
      <w:pBdr>
        <w:bottom w:val="single" w:sz="4" w:space="1" w:color="auto"/>
      </w:pBdr>
      <w:rPr>
        <w:rFonts w:ascii="Arial" w:eastAsia="Times New Roman" w:hAnsi="Arial" w:cs="Arial"/>
        <w:sz w:val="24"/>
        <w:szCs w:val="24"/>
      </w:rPr>
    </w:pPr>
    <w:r w:rsidRPr="0056686B">
      <w:rPr>
        <w:rFonts w:ascii="Arial" w:eastAsia="Times New Roman" w:hAnsi="Arial" w:cs="Arial"/>
        <w:sz w:val="24"/>
        <w:szCs w:val="24"/>
      </w:rPr>
      <w:t xml:space="preserve">Dodatak uz financijske izvještaje – Financijsko poslovanje Grupe HKO </w:t>
    </w:r>
  </w:p>
  <w:p w14:paraId="6A73A63C" w14:textId="77777777" w:rsidR="0056686B" w:rsidRPr="0056686B" w:rsidRDefault="0056686B" w:rsidP="0056686B">
    <w:pPr>
      <w:pBdr>
        <w:bottom w:val="single" w:sz="4" w:space="1" w:color="auto"/>
      </w:pBdr>
      <w:rPr>
        <w:rFonts w:ascii="Arial" w:eastAsia="Times New Roman" w:hAnsi="Arial" w:cs="Arial"/>
        <w:sz w:val="24"/>
        <w:szCs w:val="24"/>
      </w:rPr>
    </w:pPr>
    <w:r w:rsidRPr="0056686B">
      <w:rPr>
        <w:rFonts w:ascii="Arial" w:eastAsia="Times New Roman" w:hAnsi="Arial" w:cs="Arial"/>
        <w:sz w:val="24"/>
        <w:szCs w:val="24"/>
      </w:rPr>
      <w:t>Izvještaj o financijskom položaju</w:t>
    </w:r>
  </w:p>
  <w:p w14:paraId="34C62C3C" w14:textId="709890BF" w:rsidR="0056686B" w:rsidRDefault="0056686B" w:rsidP="0056686B">
    <w:pPr>
      <w:pBdr>
        <w:bottom w:val="single" w:sz="4" w:space="1" w:color="auto"/>
      </w:pBdr>
      <w:rPr>
        <w:rFonts w:ascii="Arial" w:eastAsia="Times New Roman" w:hAnsi="Arial" w:cs="Arial"/>
        <w:sz w:val="24"/>
        <w:szCs w:val="24"/>
      </w:rPr>
    </w:pPr>
    <w:r w:rsidRPr="0056686B">
      <w:rPr>
        <w:rFonts w:ascii="Arial" w:eastAsia="Times New Roman" w:hAnsi="Arial" w:cs="Arial"/>
        <w:sz w:val="24"/>
        <w:szCs w:val="24"/>
      </w:rPr>
      <w:t xml:space="preserve">na dan </w:t>
    </w:r>
  </w:p>
  <w:p w14:paraId="27CFD74B" w14:textId="024539C7" w:rsidR="0056686B" w:rsidRPr="00192670" w:rsidRDefault="0056686B" w:rsidP="0056686B">
    <w:pPr>
      <w:pBdr>
        <w:bottom w:val="single" w:sz="4" w:space="1" w:color="auto"/>
      </w:pBdr>
      <w:tabs>
        <w:tab w:val="center" w:pos="4513"/>
      </w:tabs>
      <w:suppressAutoHyphens/>
      <w:spacing w:line="400" w:lineRule="exact"/>
      <w:jc w:val="both"/>
      <w:rPr>
        <w:rFonts w:ascii="Arial" w:eastAsia="Times New Roman" w:hAnsi="Arial" w:cs="Arial"/>
        <w:spacing w:val="-3"/>
        <w:sz w:val="20"/>
        <w:szCs w:val="20"/>
        <w:lang w:val="pl-PL"/>
      </w:rPr>
    </w:pPr>
    <w:r w:rsidRPr="001A5E0D">
      <w:rPr>
        <w:rFonts w:ascii="Arial" w:eastAsia="Times New Roman" w:hAnsi="Arial" w:cs="Arial"/>
        <w:spacing w:val="-3"/>
        <w:sz w:val="20"/>
        <w:szCs w:val="20"/>
        <w:lang w:val="pl-PL"/>
      </w:rPr>
      <w:t xml:space="preserve">(Svi iznosi izraženi su u tisućama </w:t>
    </w:r>
    <w:r w:rsidRPr="00145D68">
      <w:rPr>
        <w:rFonts w:ascii="Arial" w:eastAsia="Times New Roman" w:hAnsi="Arial" w:cs="Arial"/>
        <w:spacing w:val="-3"/>
        <w:sz w:val="20"/>
        <w:szCs w:val="20"/>
        <w:lang w:val="pl-PL"/>
      </w:rPr>
      <w:t>eura</w:t>
    </w:r>
    <w:r w:rsidRPr="001A5E0D">
      <w:rPr>
        <w:rFonts w:ascii="Arial" w:eastAsia="Times New Roman" w:hAnsi="Arial" w:cs="Arial"/>
        <w:spacing w:val="-3"/>
        <w:sz w:val="20"/>
        <w:szCs w:val="20"/>
        <w:lang w:val="pl-PL"/>
      </w:rPr>
      <w:t>)</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22922" w14:textId="77777777" w:rsidR="0056686B" w:rsidRPr="0056686B" w:rsidRDefault="0056686B" w:rsidP="0056686B">
    <w:pPr>
      <w:pBdr>
        <w:bottom w:val="single" w:sz="4" w:space="1" w:color="auto"/>
      </w:pBdr>
      <w:rPr>
        <w:rFonts w:ascii="Arial" w:eastAsia="Times New Roman" w:hAnsi="Arial" w:cs="Arial"/>
        <w:sz w:val="24"/>
        <w:szCs w:val="24"/>
      </w:rPr>
    </w:pPr>
    <w:r w:rsidRPr="0056686B">
      <w:rPr>
        <w:rFonts w:ascii="Arial" w:eastAsia="Times New Roman" w:hAnsi="Arial" w:cs="Arial"/>
        <w:sz w:val="24"/>
        <w:szCs w:val="24"/>
      </w:rPr>
      <w:t xml:space="preserve">Dodatak uz financijske izvještaje – Financijsko poslovanje Grupe HKO </w:t>
    </w:r>
  </w:p>
  <w:p w14:paraId="7610FA07" w14:textId="77777777" w:rsidR="0056686B" w:rsidRPr="0056686B" w:rsidRDefault="0056686B" w:rsidP="0056686B">
    <w:pPr>
      <w:pBdr>
        <w:bottom w:val="single" w:sz="4" w:space="1" w:color="auto"/>
      </w:pBdr>
      <w:rPr>
        <w:rFonts w:ascii="Arial" w:eastAsia="Times New Roman" w:hAnsi="Arial" w:cs="Arial"/>
        <w:sz w:val="24"/>
        <w:szCs w:val="24"/>
      </w:rPr>
    </w:pPr>
    <w:r w:rsidRPr="0056686B">
      <w:rPr>
        <w:rFonts w:ascii="Arial" w:eastAsia="Times New Roman" w:hAnsi="Arial" w:cs="Arial"/>
        <w:sz w:val="24"/>
        <w:szCs w:val="24"/>
      </w:rPr>
      <w:t>Izvještaj o novčanim tokovima</w:t>
    </w:r>
  </w:p>
  <w:p w14:paraId="73A345B6" w14:textId="6542C1B2" w:rsidR="0056686B" w:rsidRDefault="0056686B" w:rsidP="0056686B">
    <w:pPr>
      <w:pBdr>
        <w:bottom w:val="single" w:sz="4" w:space="1" w:color="auto"/>
      </w:pBdr>
      <w:rPr>
        <w:rFonts w:ascii="Arial" w:eastAsia="Times New Roman" w:hAnsi="Arial" w:cs="Arial"/>
        <w:sz w:val="24"/>
        <w:szCs w:val="24"/>
      </w:rPr>
    </w:pPr>
    <w:r w:rsidRPr="0056686B">
      <w:rPr>
        <w:rFonts w:ascii="Arial" w:eastAsia="Times New Roman" w:hAnsi="Arial" w:cs="Arial"/>
        <w:sz w:val="24"/>
        <w:szCs w:val="24"/>
      </w:rPr>
      <w:t xml:space="preserve">za razdoblje od 1.1. do </w:t>
    </w:r>
    <w:r w:rsidR="002576B9" w:rsidRPr="0056686B">
      <w:rPr>
        <w:rFonts w:ascii="Arial" w:eastAsia="Times New Roman" w:hAnsi="Arial" w:cs="Arial"/>
        <w:sz w:val="24"/>
        <w:szCs w:val="24"/>
      </w:rPr>
      <w:t>3</w:t>
    </w:r>
    <w:r w:rsidR="002576B9">
      <w:rPr>
        <w:rFonts w:ascii="Arial" w:eastAsia="Times New Roman" w:hAnsi="Arial" w:cs="Arial"/>
        <w:sz w:val="24"/>
        <w:szCs w:val="24"/>
      </w:rPr>
      <w:t>0</w:t>
    </w:r>
    <w:r w:rsidRPr="0056686B">
      <w:rPr>
        <w:rFonts w:ascii="Arial" w:eastAsia="Times New Roman" w:hAnsi="Arial" w:cs="Arial"/>
        <w:sz w:val="24"/>
        <w:szCs w:val="24"/>
      </w:rPr>
      <w:t>.</w:t>
    </w:r>
    <w:r w:rsidR="00F4767C">
      <w:rPr>
        <w:rFonts w:ascii="Arial" w:eastAsia="Times New Roman" w:hAnsi="Arial" w:cs="Arial"/>
        <w:sz w:val="24"/>
        <w:szCs w:val="24"/>
      </w:rPr>
      <w:t>9</w:t>
    </w:r>
    <w:r w:rsidRPr="0056686B">
      <w:rPr>
        <w:rFonts w:ascii="Arial" w:eastAsia="Times New Roman" w:hAnsi="Arial" w:cs="Arial"/>
        <w:sz w:val="24"/>
        <w:szCs w:val="24"/>
      </w:rPr>
      <w:t xml:space="preserve">. </w:t>
    </w:r>
  </w:p>
  <w:p w14:paraId="14D34C35" w14:textId="48620694" w:rsidR="0056686B" w:rsidRPr="00192670" w:rsidRDefault="0056686B" w:rsidP="0056686B">
    <w:pPr>
      <w:pBdr>
        <w:bottom w:val="single" w:sz="4" w:space="1" w:color="auto"/>
      </w:pBdr>
      <w:tabs>
        <w:tab w:val="center" w:pos="4513"/>
      </w:tabs>
      <w:suppressAutoHyphens/>
      <w:spacing w:line="400" w:lineRule="exact"/>
      <w:jc w:val="both"/>
      <w:rPr>
        <w:rFonts w:ascii="Arial" w:eastAsia="Times New Roman" w:hAnsi="Arial" w:cs="Arial"/>
        <w:spacing w:val="-3"/>
        <w:sz w:val="20"/>
        <w:szCs w:val="20"/>
        <w:lang w:val="pl-PL"/>
      </w:rPr>
    </w:pPr>
    <w:r w:rsidRPr="001A5E0D">
      <w:rPr>
        <w:rFonts w:ascii="Arial" w:eastAsia="Times New Roman" w:hAnsi="Arial" w:cs="Arial"/>
        <w:spacing w:val="-3"/>
        <w:sz w:val="20"/>
        <w:szCs w:val="20"/>
        <w:lang w:val="pl-PL"/>
      </w:rPr>
      <w:t xml:space="preserve">(Svi iznosi izraženi su u tisućama </w:t>
    </w:r>
    <w:r w:rsidRPr="00145D68">
      <w:rPr>
        <w:rFonts w:ascii="Arial" w:eastAsia="Times New Roman" w:hAnsi="Arial" w:cs="Arial"/>
        <w:spacing w:val="-3"/>
        <w:sz w:val="20"/>
        <w:szCs w:val="20"/>
        <w:lang w:val="pl-PL"/>
      </w:rPr>
      <w:t>eura</w:t>
    </w:r>
    <w:r w:rsidRPr="001A5E0D">
      <w:rPr>
        <w:rFonts w:ascii="Arial" w:eastAsia="Times New Roman" w:hAnsi="Arial" w:cs="Arial"/>
        <w:spacing w:val="-3"/>
        <w:sz w:val="20"/>
        <w:szCs w:val="20"/>
        <w:lang w:val="pl-PL"/>
      </w:rPr>
      <w:t>)</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90BDB" w14:textId="77777777" w:rsidR="00822E2D" w:rsidRPr="0056686B" w:rsidRDefault="00822E2D" w:rsidP="0056686B">
    <w:pPr>
      <w:pBdr>
        <w:bottom w:val="single" w:sz="4" w:space="1" w:color="auto"/>
      </w:pBdr>
      <w:rPr>
        <w:rFonts w:ascii="Arial" w:eastAsia="Times New Roman" w:hAnsi="Arial" w:cs="Arial"/>
        <w:sz w:val="24"/>
        <w:szCs w:val="24"/>
      </w:rPr>
    </w:pPr>
    <w:r w:rsidRPr="0056686B">
      <w:rPr>
        <w:rFonts w:ascii="Arial" w:eastAsia="Times New Roman" w:hAnsi="Arial" w:cs="Arial"/>
        <w:sz w:val="24"/>
        <w:szCs w:val="24"/>
      </w:rPr>
      <w:t xml:space="preserve">Dodatak uz financijske izvještaje – Financijsko poslovanje Grupe HKO </w:t>
    </w:r>
  </w:p>
  <w:p w14:paraId="54D03B2A" w14:textId="77777777" w:rsidR="00822E2D" w:rsidRDefault="00822E2D" w:rsidP="0056686B">
    <w:pPr>
      <w:pBdr>
        <w:bottom w:val="single" w:sz="4" w:space="1" w:color="auto"/>
      </w:pBdr>
      <w:rPr>
        <w:rFonts w:ascii="Arial" w:eastAsia="Times New Roman" w:hAnsi="Arial" w:cs="Arial"/>
        <w:sz w:val="24"/>
        <w:szCs w:val="24"/>
      </w:rPr>
    </w:pPr>
    <w:r w:rsidRPr="00822E2D">
      <w:rPr>
        <w:rFonts w:ascii="Arial" w:eastAsia="Times New Roman" w:hAnsi="Arial" w:cs="Arial"/>
        <w:sz w:val="24"/>
        <w:szCs w:val="24"/>
      </w:rPr>
      <w:t>Izvještaj o promjenama na kapitalu</w:t>
    </w:r>
  </w:p>
  <w:p w14:paraId="06E31BD7" w14:textId="2090EEAA" w:rsidR="00822E2D" w:rsidRDefault="00822E2D" w:rsidP="0056686B">
    <w:pPr>
      <w:pBdr>
        <w:bottom w:val="single" w:sz="4" w:space="1" w:color="auto"/>
      </w:pBdr>
      <w:rPr>
        <w:rFonts w:ascii="Arial" w:eastAsia="Times New Roman" w:hAnsi="Arial" w:cs="Arial"/>
        <w:sz w:val="24"/>
        <w:szCs w:val="24"/>
      </w:rPr>
    </w:pPr>
    <w:r w:rsidRPr="0056686B">
      <w:rPr>
        <w:rFonts w:ascii="Arial" w:eastAsia="Times New Roman" w:hAnsi="Arial" w:cs="Arial"/>
        <w:sz w:val="24"/>
        <w:szCs w:val="24"/>
      </w:rPr>
      <w:t xml:space="preserve">za razdoblje od 1.1. do </w:t>
    </w:r>
    <w:r w:rsidR="002576B9" w:rsidRPr="0056686B">
      <w:rPr>
        <w:rFonts w:ascii="Arial" w:eastAsia="Times New Roman" w:hAnsi="Arial" w:cs="Arial"/>
        <w:sz w:val="24"/>
        <w:szCs w:val="24"/>
      </w:rPr>
      <w:t>3</w:t>
    </w:r>
    <w:r w:rsidR="002576B9">
      <w:rPr>
        <w:rFonts w:ascii="Arial" w:eastAsia="Times New Roman" w:hAnsi="Arial" w:cs="Arial"/>
        <w:sz w:val="24"/>
        <w:szCs w:val="24"/>
      </w:rPr>
      <w:t>0</w:t>
    </w:r>
    <w:r w:rsidRPr="0056686B">
      <w:rPr>
        <w:rFonts w:ascii="Arial" w:eastAsia="Times New Roman" w:hAnsi="Arial" w:cs="Arial"/>
        <w:sz w:val="24"/>
        <w:szCs w:val="24"/>
      </w:rPr>
      <w:t>.</w:t>
    </w:r>
    <w:r w:rsidR="00F4767C">
      <w:rPr>
        <w:rFonts w:ascii="Arial" w:eastAsia="Times New Roman" w:hAnsi="Arial" w:cs="Arial"/>
        <w:sz w:val="24"/>
        <w:szCs w:val="24"/>
      </w:rPr>
      <w:t>9</w:t>
    </w:r>
    <w:r w:rsidRPr="0056686B">
      <w:rPr>
        <w:rFonts w:ascii="Arial" w:eastAsia="Times New Roman" w:hAnsi="Arial" w:cs="Arial"/>
        <w:sz w:val="24"/>
        <w:szCs w:val="24"/>
      </w:rPr>
      <w:t xml:space="preserve">. </w:t>
    </w:r>
  </w:p>
  <w:p w14:paraId="51AFCA51" w14:textId="77777777" w:rsidR="00822E2D" w:rsidRPr="00192670" w:rsidRDefault="00822E2D" w:rsidP="0056686B">
    <w:pPr>
      <w:pBdr>
        <w:bottom w:val="single" w:sz="4" w:space="1" w:color="auto"/>
      </w:pBdr>
      <w:tabs>
        <w:tab w:val="center" w:pos="4513"/>
      </w:tabs>
      <w:suppressAutoHyphens/>
      <w:spacing w:line="400" w:lineRule="exact"/>
      <w:jc w:val="both"/>
      <w:rPr>
        <w:rFonts w:ascii="Arial" w:eastAsia="Times New Roman" w:hAnsi="Arial" w:cs="Arial"/>
        <w:spacing w:val="-3"/>
        <w:sz w:val="20"/>
        <w:szCs w:val="20"/>
        <w:lang w:val="pl-PL"/>
      </w:rPr>
    </w:pPr>
    <w:r w:rsidRPr="001A5E0D">
      <w:rPr>
        <w:rFonts w:ascii="Arial" w:eastAsia="Times New Roman" w:hAnsi="Arial" w:cs="Arial"/>
        <w:spacing w:val="-3"/>
        <w:sz w:val="20"/>
        <w:szCs w:val="20"/>
        <w:lang w:val="pl-PL"/>
      </w:rPr>
      <w:t xml:space="preserve">(Svi iznosi izraženi su u tisućama </w:t>
    </w:r>
    <w:r w:rsidRPr="00145D68">
      <w:rPr>
        <w:rFonts w:ascii="Arial" w:eastAsia="Times New Roman" w:hAnsi="Arial" w:cs="Arial"/>
        <w:spacing w:val="-3"/>
        <w:sz w:val="20"/>
        <w:szCs w:val="20"/>
        <w:lang w:val="pl-PL"/>
      </w:rPr>
      <w:t>eura</w:t>
    </w:r>
    <w:r w:rsidRPr="001A5E0D">
      <w:rPr>
        <w:rFonts w:ascii="Arial" w:eastAsia="Times New Roman" w:hAnsi="Arial" w:cs="Arial"/>
        <w:spacing w:val="-3"/>
        <w:sz w:val="20"/>
        <w:szCs w:val="20"/>
        <w:lang w:val="pl-PL"/>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76122" w14:textId="77777777" w:rsidR="006C0D13" w:rsidRDefault="006C0D13" w:rsidP="006769EF"/>
  <w:p w14:paraId="046B779C" w14:textId="77777777" w:rsidR="00A211A2" w:rsidRPr="00A211A2" w:rsidRDefault="00A211A2" w:rsidP="00A211A2">
    <w:pPr>
      <w:pBdr>
        <w:bottom w:val="single" w:sz="4" w:space="1" w:color="auto"/>
      </w:pBdr>
      <w:spacing w:line="301" w:lineRule="atLeast"/>
      <w:ind w:right="4"/>
      <w:rPr>
        <w:rFonts w:ascii="Arial" w:eastAsia="Times New Roman" w:hAnsi="Arial" w:cs="Arial"/>
        <w:sz w:val="24"/>
        <w:szCs w:val="24"/>
      </w:rPr>
    </w:pPr>
    <w:r w:rsidRPr="00A211A2">
      <w:rPr>
        <w:rFonts w:ascii="Arial" w:eastAsia="Times New Roman" w:hAnsi="Arial" w:cs="Arial"/>
        <w:sz w:val="24"/>
        <w:szCs w:val="24"/>
      </w:rPr>
      <w:t xml:space="preserve">Odgovornosti Uprave i Nadzornog odbora za pripremu i prihvaćanje skraćenih odvojenih i konsolidiranih financijskih izvještaja </w:t>
    </w:r>
  </w:p>
  <w:p w14:paraId="2C4613C5" w14:textId="6A46DEAC" w:rsidR="006C0D13" w:rsidRPr="00096690" w:rsidRDefault="00A211A2" w:rsidP="00A211A2">
    <w:pPr>
      <w:pBdr>
        <w:bottom w:val="single" w:sz="4" w:space="1" w:color="auto"/>
      </w:pBdr>
      <w:spacing w:line="301" w:lineRule="atLeast"/>
      <w:ind w:right="4"/>
      <w:rPr>
        <w:rFonts w:ascii="Arial" w:eastAsia="Times New Roman" w:hAnsi="Arial" w:cs="Arial"/>
        <w:sz w:val="24"/>
        <w:szCs w:val="24"/>
      </w:rPr>
    </w:pPr>
    <w:r w:rsidRPr="00A211A2">
      <w:rPr>
        <w:rFonts w:ascii="Arial" w:eastAsia="Times New Roman" w:hAnsi="Arial" w:cs="Arial"/>
        <w:sz w:val="24"/>
        <w:szCs w:val="24"/>
      </w:rPr>
      <w:t xml:space="preserve">za razdoblje od 1.1. do </w:t>
    </w:r>
    <w:r w:rsidR="00A24D20" w:rsidRPr="00A211A2">
      <w:rPr>
        <w:rFonts w:ascii="Arial" w:eastAsia="Times New Roman" w:hAnsi="Arial" w:cs="Arial"/>
        <w:sz w:val="24"/>
        <w:szCs w:val="24"/>
      </w:rPr>
      <w:t>3</w:t>
    </w:r>
    <w:r w:rsidR="00A24D20">
      <w:rPr>
        <w:rFonts w:ascii="Arial" w:eastAsia="Times New Roman" w:hAnsi="Arial" w:cs="Arial"/>
        <w:sz w:val="24"/>
        <w:szCs w:val="24"/>
      </w:rPr>
      <w:t>0</w:t>
    </w:r>
    <w:r w:rsidRPr="00A211A2">
      <w:rPr>
        <w:rFonts w:ascii="Arial" w:eastAsia="Times New Roman" w:hAnsi="Arial" w:cs="Arial"/>
        <w:sz w:val="24"/>
        <w:szCs w:val="24"/>
      </w:rPr>
      <w:t>.</w:t>
    </w:r>
    <w:r w:rsidR="00893BF4">
      <w:rPr>
        <w:rFonts w:ascii="Arial" w:eastAsia="Times New Roman" w:hAnsi="Arial" w:cs="Arial"/>
        <w:sz w:val="24"/>
        <w:szCs w:val="24"/>
      </w:rPr>
      <w:t>9</w:t>
    </w:r>
    <w:r w:rsidRPr="00A211A2">
      <w:rPr>
        <w:rFonts w:ascii="Arial" w:eastAsia="Times New Roman" w:hAnsi="Arial" w:cs="Arial"/>
        <w:sz w:val="24"/>
        <w:szCs w:val="24"/>
      </w:rPr>
      <w:t>.202</w:t>
    </w:r>
    <w:r w:rsidR="00330BD5">
      <w:rPr>
        <w:rFonts w:ascii="Arial" w:eastAsia="Times New Roman" w:hAnsi="Arial" w:cs="Arial"/>
        <w:sz w:val="24"/>
        <w:szCs w:val="24"/>
      </w:rPr>
      <w:t>4</w:t>
    </w:r>
    <w:r w:rsidRPr="00A211A2">
      <w:rPr>
        <w:rFonts w:ascii="Arial" w:eastAsia="Times New Roman" w:hAnsi="Arial" w:cs="Arial"/>
        <w:sz w:val="24"/>
        <w:szCs w:val="24"/>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BF070" w14:textId="77777777" w:rsidR="006E7D10" w:rsidRPr="001A5E0D" w:rsidRDefault="006E7D10" w:rsidP="006E7D10">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Konsolidirani financijski izvještaji Grupe</w:t>
    </w:r>
  </w:p>
  <w:p w14:paraId="4613CFC1" w14:textId="77777777" w:rsidR="006E7D10" w:rsidRPr="001A5E0D" w:rsidRDefault="006E7D10" w:rsidP="006E7D10">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 xml:space="preserve">Račun dobiti i gubitka  </w:t>
    </w:r>
  </w:p>
  <w:p w14:paraId="0115FB81" w14:textId="47A368B2" w:rsidR="006E7D10" w:rsidRPr="001A5E0D" w:rsidRDefault="006E7D10" w:rsidP="006E7D10">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 xml:space="preserve">za razdoblje od 1.1. do </w:t>
    </w:r>
    <w:r w:rsidR="00A24D20" w:rsidRPr="001A5E0D">
      <w:rPr>
        <w:rFonts w:ascii="Arial" w:eastAsia="Times New Roman" w:hAnsi="Arial" w:cs="Arial"/>
        <w:sz w:val="24"/>
        <w:szCs w:val="24"/>
      </w:rPr>
      <w:t>3</w:t>
    </w:r>
    <w:r w:rsidR="00A24D20">
      <w:rPr>
        <w:rFonts w:ascii="Arial" w:eastAsia="Times New Roman" w:hAnsi="Arial" w:cs="Arial"/>
        <w:sz w:val="24"/>
        <w:szCs w:val="24"/>
      </w:rPr>
      <w:t>0</w:t>
    </w:r>
    <w:r w:rsidRPr="001A5E0D">
      <w:rPr>
        <w:rFonts w:ascii="Arial" w:eastAsia="Times New Roman" w:hAnsi="Arial" w:cs="Arial"/>
        <w:sz w:val="24"/>
        <w:szCs w:val="24"/>
      </w:rPr>
      <w:t>.</w:t>
    </w:r>
    <w:r w:rsidR="00893BF4">
      <w:rPr>
        <w:rFonts w:ascii="Arial" w:eastAsia="Times New Roman" w:hAnsi="Arial" w:cs="Arial"/>
        <w:sz w:val="24"/>
        <w:szCs w:val="24"/>
      </w:rPr>
      <w:t>9</w:t>
    </w:r>
    <w:r w:rsidRPr="001A5E0D">
      <w:rPr>
        <w:rFonts w:ascii="Arial" w:eastAsia="Times New Roman" w:hAnsi="Arial" w:cs="Arial"/>
        <w:sz w:val="24"/>
        <w:szCs w:val="24"/>
      </w:rPr>
      <w:t>.</w:t>
    </w:r>
  </w:p>
  <w:p w14:paraId="3917B366" w14:textId="2965B4A3" w:rsidR="00104D02" w:rsidRPr="00391047" w:rsidRDefault="006E7D10" w:rsidP="00391047">
    <w:pPr>
      <w:pBdr>
        <w:bottom w:val="single" w:sz="4" w:space="1" w:color="auto"/>
      </w:pBdr>
      <w:spacing w:line="400" w:lineRule="exact"/>
      <w:rPr>
        <w:rFonts w:ascii="Arial" w:eastAsia="Times New Roman" w:hAnsi="Arial" w:cs="Arial"/>
        <w:sz w:val="20"/>
        <w:szCs w:val="20"/>
      </w:rPr>
    </w:pPr>
    <w:r w:rsidRPr="001A5E0D">
      <w:rPr>
        <w:rFonts w:ascii="Arial" w:eastAsia="Times New Roman" w:hAnsi="Arial" w:cs="Arial"/>
        <w:sz w:val="20"/>
        <w:szCs w:val="20"/>
      </w:rPr>
      <w:t xml:space="preserve">(Svi iznosi izraženi su u tisućama </w:t>
    </w:r>
    <w:r w:rsidR="00145D68">
      <w:rPr>
        <w:rFonts w:ascii="Arial" w:eastAsia="Times New Roman" w:hAnsi="Arial" w:cs="Arial"/>
        <w:sz w:val="20"/>
        <w:szCs w:val="20"/>
      </w:rPr>
      <w:t>eura</w:t>
    </w:r>
    <w:r w:rsidRPr="001A5E0D">
      <w:rPr>
        <w:rFonts w:ascii="Arial" w:eastAsia="Times New Roman" w:hAnsi="Arial" w:cs="Arial"/>
        <w:sz w:val="20"/>
        <w:szCs w:val="20"/>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A425F" w14:textId="77777777" w:rsidR="006D5D13" w:rsidRPr="0077291A" w:rsidRDefault="006D5D13" w:rsidP="006D5D13">
    <w:pPr>
      <w:pBdr>
        <w:bottom w:val="single" w:sz="4" w:space="1" w:color="auto"/>
      </w:pBdr>
      <w:rPr>
        <w:rFonts w:ascii="Arial" w:eastAsia="Times New Roman" w:hAnsi="Arial" w:cs="Arial"/>
        <w:sz w:val="24"/>
        <w:szCs w:val="24"/>
      </w:rPr>
    </w:pPr>
    <w:r w:rsidRPr="0077291A">
      <w:rPr>
        <w:rFonts w:ascii="Arial" w:eastAsia="Times New Roman" w:hAnsi="Arial" w:cs="Arial"/>
        <w:sz w:val="24"/>
        <w:szCs w:val="24"/>
      </w:rPr>
      <w:t>Konsolidirani financijski izvještaji Grupe</w:t>
    </w:r>
  </w:p>
  <w:p w14:paraId="48B115AC" w14:textId="77777777" w:rsidR="006D5D13" w:rsidRPr="0077291A" w:rsidRDefault="006D5D13" w:rsidP="006D5D13">
    <w:pPr>
      <w:pBdr>
        <w:bottom w:val="single" w:sz="4" w:space="1" w:color="auto"/>
      </w:pBdr>
      <w:rPr>
        <w:rFonts w:ascii="Arial" w:eastAsia="Times New Roman" w:hAnsi="Arial" w:cs="Arial"/>
        <w:sz w:val="24"/>
        <w:szCs w:val="24"/>
      </w:rPr>
    </w:pPr>
    <w:r w:rsidRPr="0077291A">
      <w:rPr>
        <w:rFonts w:ascii="Arial" w:eastAsia="Times New Roman" w:hAnsi="Arial" w:cs="Arial"/>
        <w:sz w:val="24"/>
        <w:szCs w:val="24"/>
      </w:rPr>
      <w:t xml:space="preserve">Izvještaj o dobiti i gubitku te ostaloj sveobuhvatnoj dobiti </w:t>
    </w:r>
  </w:p>
  <w:p w14:paraId="4C99352F" w14:textId="48468C70" w:rsidR="006D5D13" w:rsidRPr="0077291A" w:rsidRDefault="006D5D13" w:rsidP="006D5D13">
    <w:pPr>
      <w:pBdr>
        <w:bottom w:val="single" w:sz="4" w:space="1" w:color="auto"/>
      </w:pBdr>
      <w:rPr>
        <w:rFonts w:ascii="Arial" w:eastAsia="Times New Roman" w:hAnsi="Arial" w:cs="Arial"/>
        <w:sz w:val="24"/>
        <w:szCs w:val="24"/>
      </w:rPr>
    </w:pPr>
    <w:r w:rsidRPr="0077291A">
      <w:rPr>
        <w:rFonts w:ascii="Arial" w:eastAsia="Times New Roman" w:hAnsi="Arial" w:cs="Arial"/>
        <w:sz w:val="24"/>
        <w:szCs w:val="24"/>
      </w:rPr>
      <w:t xml:space="preserve">za razdoblje od 1.1. do </w:t>
    </w:r>
    <w:r w:rsidR="00A24D20" w:rsidRPr="0077291A">
      <w:rPr>
        <w:rFonts w:ascii="Arial" w:eastAsia="Times New Roman" w:hAnsi="Arial" w:cs="Arial"/>
        <w:sz w:val="24"/>
        <w:szCs w:val="24"/>
      </w:rPr>
      <w:t>30</w:t>
    </w:r>
    <w:r w:rsidRPr="0077291A">
      <w:rPr>
        <w:rFonts w:ascii="Arial" w:eastAsia="Times New Roman" w:hAnsi="Arial" w:cs="Arial"/>
        <w:sz w:val="24"/>
        <w:szCs w:val="24"/>
      </w:rPr>
      <w:t>.</w:t>
    </w:r>
    <w:r w:rsidR="00893BF4" w:rsidRPr="0077291A">
      <w:rPr>
        <w:rFonts w:ascii="Arial" w:eastAsia="Times New Roman" w:hAnsi="Arial" w:cs="Arial"/>
        <w:sz w:val="24"/>
        <w:szCs w:val="24"/>
      </w:rPr>
      <w:t>9</w:t>
    </w:r>
    <w:r w:rsidRPr="0077291A">
      <w:rPr>
        <w:rFonts w:ascii="Arial" w:eastAsia="Times New Roman" w:hAnsi="Arial" w:cs="Arial"/>
        <w:sz w:val="24"/>
        <w:szCs w:val="24"/>
      </w:rPr>
      <w:t>.</w:t>
    </w:r>
  </w:p>
  <w:p w14:paraId="76CF526B" w14:textId="4FD6207C" w:rsidR="006D5D13" w:rsidRPr="0077291A" w:rsidRDefault="006D5D13" w:rsidP="006D5D13">
    <w:pPr>
      <w:pBdr>
        <w:bottom w:val="single" w:sz="4" w:space="1" w:color="auto"/>
      </w:pBdr>
      <w:spacing w:line="400" w:lineRule="exact"/>
      <w:rPr>
        <w:rFonts w:ascii="Arial" w:eastAsia="Times New Roman" w:hAnsi="Arial" w:cs="Arial"/>
        <w:sz w:val="20"/>
        <w:szCs w:val="20"/>
      </w:rPr>
    </w:pPr>
    <w:r w:rsidRPr="0077291A">
      <w:rPr>
        <w:rFonts w:ascii="Arial" w:eastAsia="Times New Roman" w:hAnsi="Arial" w:cs="Arial"/>
        <w:sz w:val="20"/>
        <w:szCs w:val="20"/>
      </w:rPr>
      <w:t xml:space="preserve">(Svi iznosi izraženi su u tisućama </w:t>
    </w:r>
    <w:r w:rsidR="00145D68" w:rsidRPr="0077291A">
      <w:rPr>
        <w:rFonts w:ascii="Arial" w:eastAsia="Times New Roman" w:hAnsi="Arial" w:cs="Arial"/>
        <w:sz w:val="20"/>
        <w:szCs w:val="20"/>
      </w:rPr>
      <w:t>eura</w:t>
    </w:r>
    <w:r w:rsidRPr="0077291A">
      <w:rPr>
        <w:rFonts w:ascii="Arial" w:eastAsia="Times New Roman" w:hAnsi="Arial" w:cs="Arial"/>
        <w:sz w:val="20"/>
        <w:szCs w:val="20"/>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B0443" w14:textId="77777777" w:rsidR="00EE7712" w:rsidRPr="0077291A" w:rsidRDefault="00EE7712" w:rsidP="00EE7712">
    <w:pPr>
      <w:pBdr>
        <w:bottom w:val="single" w:sz="4" w:space="1" w:color="auto"/>
      </w:pBdr>
      <w:rPr>
        <w:rFonts w:ascii="Arial" w:eastAsia="Times New Roman" w:hAnsi="Arial" w:cs="Arial"/>
        <w:sz w:val="24"/>
        <w:szCs w:val="24"/>
      </w:rPr>
    </w:pPr>
    <w:r w:rsidRPr="0077291A">
      <w:rPr>
        <w:rFonts w:ascii="Arial" w:eastAsia="Times New Roman" w:hAnsi="Arial" w:cs="Arial"/>
        <w:sz w:val="24"/>
        <w:szCs w:val="24"/>
      </w:rPr>
      <w:t>Konsolidirani financijski izvještaji Grupe</w:t>
    </w:r>
  </w:p>
  <w:p w14:paraId="120F552F" w14:textId="77777777" w:rsidR="00EE7712" w:rsidRPr="0077291A" w:rsidRDefault="00EE7712" w:rsidP="00EE7712">
    <w:pPr>
      <w:pBdr>
        <w:bottom w:val="single" w:sz="4" w:space="1" w:color="auto"/>
      </w:pBdr>
      <w:rPr>
        <w:rFonts w:ascii="Arial" w:eastAsia="Times New Roman" w:hAnsi="Arial" w:cs="Arial"/>
        <w:sz w:val="24"/>
        <w:szCs w:val="24"/>
      </w:rPr>
    </w:pPr>
    <w:r w:rsidRPr="0077291A">
      <w:rPr>
        <w:rFonts w:ascii="Arial" w:eastAsia="Times New Roman" w:hAnsi="Arial" w:cs="Arial"/>
        <w:sz w:val="24"/>
        <w:szCs w:val="24"/>
      </w:rPr>
      <w:t xml:space="preserve">Izvještaj o financijskom položaju </w:t>
    </w:r>
  </w:p>
  <w:p w14:paraId="7143B38E" w14:textId="77777777" w:rsidR="00EE7712" w:rsidRPr="0077291A" w:rsidRDefault="00EE7712" w:rsidP="00EE7712">
    <w:pPr>
      <w:pBdr>
        <w:bottom w:val="single" w:sz="4" w:space="1" w:color="auto"/>
      </w:pBdr>
      <w:rPr>
        <w:rFonts w:ascii="Arial" w:eastAsia="Times New Roman" w:hAnsi="Arial" w:cs="Arial"/>
        <w:sz w:val="24"/>
        <w:szCs w:val="24"/>
      </w:rPr>
    </w:pPr>
    <w:r w:rsidRPr="0077291A">
      <w:rPr>
        <w:rFonts w:ascii="Arial" w:eastAsia="Times New Roman" w:hAnsi="Arial" w:cs="Arial"/>
        <w:sz w:val="24"/>
        <w:szCs w:val="24"/>
      </w:rPr>
      <w:t>na dan</w:t>
    </w:r>
  </w:p>
  <w:p w14:paraId="788E80DA" w14:textId="296411FF" w:rsidR="006D3658" w:rsidRPr="0077291A" w:rsidRDefault="00EE7712" w:rsidP="00EE7712">
    <w:pPr>
      <w:pBdr>
        <w:bottom w:val="single" w:sz="4" w:space="1" w:color="auto"/>
      </w:pBdr>
      <w:tabs>
        <w:tab w:val="center" w:pos="4513"/>
      </w:tabs>
      <w:suppressAutoHyphens/>
      <w:spacing w:line="400" w:lineRule="exact"/>
      <w:jc w:val="both"/>
      <w:rPr>
        <w:rFonts w:ascii="Arial" w:eastAsia="Times New Roman" w:hAnsi="Arial" w:cs="Arial"/>
        <w:spacing w:val="-3"/>
        <w:sz w:val="20"/>
        <w:szCs w:val="20"/>
        <w:lang w:val="pl-PL"/>
      </w:rPr>
    </w:pPr>
    <w:r w:rsidRPr="0077291A">
      <w:rPr>
        <w:rFonts w:ascii="Arial" w:eastAsia="Times New Roman" w:hAnsi="Arial" w:cs="Arial"/>
        <w:spacing w:val="-3"/>
        <w:sz w:val="20"/>
        <w:szCs w:val="20"/>
        <w:lang w:val="pl-PL"/>
      </w:rPr>
      <w:t xml:space="preserve">(Svi iznosi izraženi su u tisućama </w:t>
    </w:r>
    <w:r w:rsidR="00145D68" w:rsidRPr="0077291A">
      <w:rPr>
        <w:rFonts w:ascii="Arial" w:eastAsia="Times New Roman" w:hAnsi="Arial" w:cs="Arial"/>
        <w:spacing w:val="-3"/>
        <w:sz w:val="20"/>
        <w:szCs w:val="20"/>
        <w:lang w:val="pl-PL"/>
      </w:rPr>
      <w:t>eura</w:t>
    </w:r>
    <w:r w:rsidRPr="0077291A">
      <w:rPr>
        <w:rFonts w:ascii="Arial" w:eastAsia="Times New Roman" w:hAnsi="Arial" w:cs="Arial"/>
        <w:spacing w:val="-3"/>
        <w:sz w:val="20"/>
        <w:szCs w:val="20"/>
        <w:lang w:val="pl-PL"/>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A7D6E" w14:textId="77777777" w:rsidR="00C62262" w:rsidRPr="001A5E0D" w:rsidRDefault="00C62262" w:rsidP="00C62262">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Konsolidirani financijski izvještaji Grupe</w:t>
    </w:r>
  </w:p>
  <w:p w14:paraId="1D1AE3AB" w14:textId="77777777" w:rsidR="00C62262" w:rsidRPr="001A5E0D" w:rsidRDefault="00C62262" w:rsidP="00C62262">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 xml:space="preserve">Izvještaj o novčanim tokovima </w:t>
    </w:r>
  </w:p>
  <w:p w14:paraId="2B9CD098" w14:textId="3BC93D58" w:rsidR="00C62262" w:rsidRPr="001A5E0D" w:rsidRDefault="00C62262" w:rsidP="00C62262">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 xml:space="preserve">za razdoblje od 1.1. do </w:t>
    </w:r>
    <w:r w:rsidR="00A24D20" w:rsidRPr="001A5E0D">
      <w:rPr>
        <w:rFonts w:ascii="Arial" w:eastAsia="Times New Roman" w:hAnsi="Arial" w:cs="Arial"/>
        <w:sz w:val="24"/>
        <w:szCs w:val="24"/>
      </w:rPr>
      <w:t>3</w:t>
    </w:r>
    <w:r w:rsidR="00A24D20">
      <w:rPr>
        <w:rFonts w:ascii="Arial" w:eastAsia="Times New Roman" w:hAnsi="Arial" w:cs="Arial"/>
        <w:sz w:val="24"/>
        <w:szCs w:val="24"/>
      </w:rPr>
      <w:t>0</w:t>
    </w:r>
    <w:r w:rsidRPr="001A5E0D">
      <w:rPr>
        <w:rFonts w:ascii="Arial" w:eastAsia="Times New Roman" w:hAnsi="Arial" w:cs="Arial"/>
        <w:sz w:val="24"/>
        <w:szCs w:val="24"/>
      </w:rPr>
      <w:t>.</w:t>
    </w:r>
    <w:r w:rsidR="00893BF4">
      <w:rPr>
        <w:rFonts w:ascii="Arial" w:eastAsia="Times New Roman" w:hAnsi="Arial" w:cs="Arial"/>
        <w:sz w:val="24"/>
        <w:szCs w:val="24"/>
      </w:rPr>
      <w:t>9</w:t>
    </w:r>
    <w:r w:rsidRPr="001A5E0D">
      <w:rPr>
        <w:rFonts w:ascii="Arial" w:eastAsia="Times New Roman" w:hAnsi="Arial" w:cs="Arial"/>
        <w:sz w:val="24"/>
        <w:szCs w:val="24"/>
      </w:rPr>
      <w:t xml:space="preserve">. </w:t>
    </w:r>
  </w:p>
  <w:p w14:paraId="4379F111" w14:textId="1A600DB6" w:rsidR="001005AE" w:rsidRPr="00C62262" w:rsidRDefault="00C62262" w:rsidP="00C62262">
    <w:pPr>
      <w:pBdr>
        <w:bottom w:val="single" w:sz="4" w:space="1" w:color="auto"/>
      </w:pBdr>
      <w:tabs>
        <w:tab w:val="center" w:pos="4513"/>
      </w:tabs>
      <w:suppressAutoHyphens/>
      <w:spacing w:line="400" w:lineRule="exact"/>
      <w:jc w:val="both"/>
      <w:rPr>
        <w:rFonts w:ascii="Arial" w:eastAsia="Times New Roman" w:hAnsi="Arial" w:cs="Arial"/>
        <w:spacing w:val="-3"/>
        <w:sz w:val="20"/>
        <w:szCs w:val="20"/>
        <w:lang w:val="pl-PL"/>
      </w:rPr>
    </w:pPr>
    <w:r w:rsidRPr="001A5E0D">
      <w:rPr>
        <w:rFonts w:ascii="Arial" w:eastAsia="Times New Roman" w:hAnsi="Arial" w:cs="Arial"/>
        <w:spacing w:val="-3"/>
        <w:sz w:val="20"/>
        <w:szCs w:val="20"/>
        <w:lang w:val="pl-PL"/>
      </w:rPr>
      <w:t xml:space="preserve">(Svi iznosi izraženi su u tisućama </w:t>
    </w:r>
    <w:r w:rsidR="00145D68" w:rsidRPr="00145D68">
      <w:rPr>
        <w:rFonts w:ascii="Arial" w:eastAsia="Times New Roman" w:hAnsi="Arial" w:cs="Arial"/>
        <w:spacing w:val="-3"/>
        <w:sz w:val="20"/>
        <w:szCs w:val="20"/>
        <w:lang w:val="pl-PL"/>
      </w:rPr>
      <w:t>eura</w:t>
    </w:r>
    <w:r w:rsidRPr="001A5E0D">
      <w:rPr>
        <w:rFonts w:ascii="Arial" w:eastAsia="Times New Roman" w:hAnsi="Arial" w:cs="Arial"/>
        <w:spacing w:val="-3"/>
        <w:sz w:val="20"/>
        <w:szCs w:val="20"/>
        <w:lang w:val="pl-PL"/>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8122E" w14:textId="77777777" w:rsidR="00192670" w:rsidRPr="001A5E0D" w:rsidRDefault="00192670" w:rsidP="00192670">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Konsolidirani financijski izvještaji Grupe</w:t>
    </w:r>
  </w:p>
  <w:p w14:paraId="317E3EA9" w14:textId="77777777" w:rsidR="00192670" w:rsidRPr="001A5E0D" w:rsidRDefault="00192670" w:rsidP="00192670">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 xml:space="preserve">Izvještaj o promjenama na kapitalu </w:t>
    </w:r>
  </w:p>
  <w:p w14:paraId="5336ABF7" w14:textId="560CABDD" w:rsidR="00192670" w:rsidRPr="001A5E0D" w:rsidRDefault="00192670" w:rsidP="00192670">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 xml:space="preserve">za razdoblje od 1.1. do </w:t>
    </w:r>
    <w:r w:rsidR="00A24D20" w:rsidRPr="001A5E0D">
      <w:rPr>
        <w:rFonts w:ascii="Arial" w:eastAsia="Times New Roman" w:hAnsi="Arial" w:cs="Arial"/>
        <w:sz w:val="24"/>
        <w:szCs w:val="24"/>
      </w:rPr>
      <w:t>3</w:t>
    </w:r>
    <w:r w:rsidR="00A24D20">
      <w:rPr>
        <w:rFonts w:ascii="Arial" w:eastAsia="Times New Roman" w:hAnsi="Arial" w:cs="Arial"/>
        <w:sz w:val="24"/>
        <w:szCs w:val="24"/>
      </w:rPr>
      <w:t>0</w:t>
    </w:r>
    <w:r w:rsidRPr="001A5E0D">
      <w:rPr>
        <w:rFonts w:ascii="Arial" w:eastAsia="Times New Roman" w:hAnsi="Arial" w:cs="Arial"/>
        <w:sz w:val="24"/>
        <w:szCs w:val="24"/>
      </w:rPr>
      <w:t>.</w:t>
    </w:r>
    <w:r w:rsidR="00893BF4">
      <w:rPr>
        <w:rFonts w:ascii="Arial" w:eastAsia="Times New Roman" w:hAnsi="Arial" w:cs="Arial"/>
        <w:sz w:val="24"/>
        <w:szCs w:val="24"/>
      </w:rPr>
      <w:t>9</w:t>
    </w:r>
    <w:r w:rsidRPr="001A5E0D">
      <w:rPr>
        <w:rFonts w:ascii="Arial" w:eastAsia="Times New Roman" w:hAnsi="Arial" w:cs="Arial"/>
        <w:sz w:val="24"/>
        <w:szCs w:val="24"/>
      </w:rPr>
      <w:t xml:space="preserve">. </w:t>
    </w:r>
  </w:p>
  <w:p w14:paraId="49B56700" w14:textId="2381992F" w:rsidR="001005AE" w:rsidRPr="00192670" w:rsidRDefault="00192670" w:rsidP="00192670">
    <w:pPr>
      <w:pBdr>
        <w:bottom w:val="single" w:sz="4" w:space="1" w:color="auto"/>
      </w:pBdr>
      <w:tabs>
        <w:tab w:val="center" w:pos="4513"/>
      </w:tabs>
      <w:suppressAutoHyphens/>
      <w:spacing w:line="400" w:lineRule="exact"/>
      <w:jc w:val="both"/>
      <w:rPr>
        <w:rFonts w:ascii="Arial" w:eastAsia="Times New Roman" w:hAnsi="Arial" w:cs="Arial"/>
        <w:spacing w:val="-3"/>
        <w:sz w:val="20"/>
        <w:szCs w:val="20"/>
        <w:lang w:val="pl-PL"/>
      </w:rPr>
    </w:pPr>
    <w:r w:rsidRPr="001A5E0D">
      <w:rPr>
        <w:rFonts w:ascii="Arial" w:eastAsia="Times New Roman" w:hAnsi="Arial" w:cs="Arial"/>
        <w:spacing w:val="-3"/>
        <w:sz w:val="20"/>
        <w:szCs w:val="20"/>
        <w:lang w:val="pl-PL"/>
      </w:rPr>
      <w:t xml:space="preserve">(Svi iznosi izraženi su u tisućama </w:t>
    </w:r>
    <w:r w:rsidR="00145D68" w:rsidRPr="00145D68">
      <w:rPr>
        <w:rFonts w:ascii="Arial" w:eastAsia="Times New Roman" w:hAnsi="Arial" w:cs="Arial"/>
        <w:spacing w:val="-3"/>
        <w:sz w:val="20"/>
        <w:szCs w:val="20"/>
        <w:lang w:val="pl-PL"/>
      </w:rPr>
      <w:t>eura</w:t>
    </w:r>
    <w:r w:rsidRPr="001A5E0D">
      <w:rPr>
        <w:rFonts w:ascii="Arial" w:eastAsia="Times New Roman" w:hAnsi="Arial" w:cs="Arial"/>
        <w:spacing w:val="-3"/>
        <w:sz w:val="20"/>
        <w:szCs w:val="20"/>
        <w:lang w:val="pl-PL"/>
      </w:rPr>
      <w: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D900C" w14:textId="77777777" w:rsidR="00295417" w:rsidRPr="001A5E0D" w:rsidRDefault="00295417" w:rsidP="00295417">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Odvojeni financijski izvještaji Banke</w:t>
    </w:r>
  </w:p>
  <w:p w14:paraId="5A7BF4B3" w14:textId="77777777" w:rsidR="00295417" w:rsidRPr="001A5E0D" w:rsidRDefault="00295417" w:rsidP="00295417">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 xml:space="preserve">Račun dobiti i gubitka </w:t>
    </w:r>
  </w:p>
  <w:p w14:paraId="7E1D6708" w14:textId="4D755068" w:rsidR="00A56428" w:rsidRPr="001A5E0D" w:rsidRDefault="00A56428" w:rsidP="00192670">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 xml:space="preserve">za razdoblje od 1.1. do </w:t>
    </w:r>
    <w:r w:rsidR="006826A0" w:rsidRPr="001A5E0D">
      <w:rPr>
        <w:rFonts w:ascii="Arial" w:eastAsia="Times New Roman" w:hAnsi="Arial" w:cs="Arial"/>
        <w:sz w:val="24"/>
        <w:szCs w:val="24"/>
      </w:rPr>
      <w:t>3</w:t>
    </w:r>
    <w:r w:rsidR="006826A0">
      <w:rPr>
        <w:rFonts w:ascii="Arial" w:eastAsia="Times New Roman" w:hAnsi="Arial" w:cs="Arial"/>
        <w:sz w:val="24"/>
        <w:szCs w:val="24"/>
      </w:rPr>
      <w:t>0</w:t>
    </w:r>
    <w:r w:rsidRPr="001A5E0D">
      <w:rPr>
        <w:rFonts w:ascii="Arial" w:eastAsia="Times New Roman" w:hAnsi="Arial" w:cs="Arial"/>
        <w:sz w:val="24"/>
        <w:szCs w:val="24"/>
      </w:rPr>
      <w:t>.</w:t>
    </w:r>
    <w:r w:rsidR="00893BF4">
      <w:rPr>
        <w:rFonts w:ascii="Arial" w:eastAsia="Times New Roman" w:hAnsi="Arial" w:cs="Arial"/>
        <w:sz w:val="24"/>
        <w:szCs w:val="24"/>
      </w:rPr>
      <w:t>9</w:t>
    </w:r>
    <w:r w:rsidRPr="001A5E0D">
      <w:rPr>
        <w:rFonts w:ascii="Arial" w:eastAsia="Times New Roman" w:hAnsi="Arial" w:cs="Arial"/>
        <w:sz w:val="24"/>
        <w:szCs w:val="24"/>
      </w:rPr>
      <w:t xml:space="preserve">. </w:t>
    </w:r>
  </w:p>
  <w:p w14:paraId="49069C76" w14:textId="0563CC49" w:rsidR="00A56428" w:rsidRPr="00192670" w:rsidRDefault="00A56428" w:rsidP="00192670">
    <w:pPr>
      <w:pBdr>
        <w:bottom w:val="single" w:sz="4" w:space="1" w:color="auto"/>
      </w:pBdr>
      <w:tabs>
        <w:tab w:val="center" w:pos="4513"/>
      </w:tabs>
      <w:suppressAutoHyphens/>
      <w:spacing w:line="400" w:lineRule="exact"/>
      <w:jc w:val="both"/>
      <w:rPr>
        <w:rFonts w:ascii="Arial" w:eastAsia="Times New Roman" w:hAnsi="Arial" w:cs="Arial"/>
        <w:spacing w:val="-3"/>
        <w:sz w:val="20"/>
        <w:szCs w:val="20"/>
        <w:lang w:val="pl-PL"/>
      </w:rPr>
    </w:pPr>
    <w:r w:rsidRPr="001A5E0D">
      <w:rPr>
        <w:rFonts w:ascii="Arial" w:eastAsia="Times New Roman" w:hAnsi="Arial" w:cs="Arial"/>
        <w:spacing w:val="-3"/>
        <w:sz w:val="20"/>
        <w:szCs w:val="20"/>
        <w:lang w:val="pl-PL"/>
      </w:rPr>
      <w:t xml:space="preserve">(Svi iznosi izraženi su u tisućama </w:t>
    </w:r>
    <w:r w:rsidR="00145D68" w:rsidRPr="00145D68">
      <w:rPr>
        <w:rFonts w:ascii="Arial" w:eastAsia="Times New Roman" w:hAnsi="Arial" w:cs="Arial"/>
        <w:spacing w:val="-3"/>
        <w:sz w:val="20"/>
        <w:szCs w:val="20"/>
        <w:lang w:val="pl-PL"/>
      </w:rPr>
      <w:t>eura</w:t>
    </w:r>
    <w:r w:rsidRPr="001A5E0D">
      <w:rPr>
        <w:rFonts w:ascii="Arial" w:eastAsia="Times New Roman" w:hAnsi="Arial" w:cs="Arial"/>
        <w:spacing w:val="-3"/>
        <w:sz w:val="20"/>
        <w:szCs w:val="20"/>
        <w:lang w:val="pl-PL"/>
      </w:rPr>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E6E4A" w14:textId="77777777" w:rsidR="00295417" w:rsidRPr="00764509" w:rsidRDefault="00295417" w:rsidP="00295417">
    <w:pPr>
      <w:pBdr>
        <w:bottom w:val="single" w:sz="4" w:space="1" w:color="auto"/>
      </w:pBdr>
      <w:rPr>
        <w:rFonts w:ascii="Arial" w:eastAsia="Times New Roman" w:hAnsi="Arial" w:cs="Arial"/>
        <w:sz w:val="24"/>
        <w:szCs w:val="24"/>
      </w:rPr>
    </w:pPr>
    <w:r w:rsidRPr="00764509">
      <w:rPr>
        <w:rFonts w:ascii="Arial" w:eastAsia="Times New Roman" w:hAnsi="Arial" w:cs="Arial"/>
        <w:sz w:val="24"/>
        <w:szCs w:val="24"/>
      </w:rPr>
      <w:t>Odvojeni financijski izvještaji Banke</w:t>
    </w:r>
  </w:p>
  <w:p w14:paraId="629AE793" w14:textId="77777777" w:rsidR="00764509" w:rsidRPr="00764509" w:rsidRDefault="00764509" w:rsidP="00764509">
    <w:pPr>
      <w:pBdr>
        <w:bottom w:val="single" w:sz="4" w:space="1" w:color="auto"/>
      </w:pBdr>
      <w:rPr>
        <w:rFonts w:ascii="Arial" w:eastAsia="Times New Roman" w:hAnsi="Arial" w:cs="Arial"/>
        <w:sz w:val="24"/>
        <w:szCs w:val="24"/>
      </w:rPr>
    </w:pPr>
    <w:r w:rsidRPr="00764509">
      <w:rPr>
        <w:rFonts w:ascii="Arial" w:eastAsia="Times New Roman" w:hAnsi="Arial" w:cs="Arial"/>
        <w:sz w:val="24"/>
        <w:szCs w:val="24"/>
      </w:rPr>
      <w:t xml:space="preserve">Izvještaj o dobiti i gubitku te ostaloj sveobuhvatnoj dobiti </w:t>
    </w:r>
  </w:p>
  <w:p w14:paraId="6BB2E617" w14:textId="4C9FCB98" w:rsidR="00764509" w:rsidRPr="00764509" w:rsidRDefault="00764509" w:rsidP="00764509">
    <w:pPr>
      <w:pBdr>
        <w:bottom w:val="single" w:sz="4" w:space="1" w:color="auto"/>
      </w:pBdr>
      <w:rPr>
        <w:rFonts w:ascii="Arial" w:eastAsia="Times New Roman" w:hAnsi="Arial" w:cs="Arial"/>
        <w:sz w:val="24"/>
        <w:szCs w:val="24"/>
      </w:rPr>
    </w:pPr>
    <w:r w:rsidRPr="00764509">
      <w:rPr>
        <w:rFonts w:ascii="Arial" w:eastAsia="Times New Roman" w:hAnsi="Arial" w:cs="Arial"/>
        <w:sz w:val="24"/>
        <w:szCs w:val="24"/>
      </w:rPr>
      <w:t xml:space="preserve">za razdoblje od 1.1. do </w:t>
    </w:r>
    <w:r w:rsidR="006826A0" w:rsidRPr="00764509">
      <w:rPr>
        <w:rFonts w:ascii="Arial" w:eastAsia="Times New Roman" w:hAnsi="Arial" w:cs="Arial"/>
        <w:sz w:val="24"/>
        <w:szCs w:val="24"/>
      </w:rPr>
      <w:t>3</w:t>
    </w:r>
    <w:r w:rsidR="006826A0">
      <w:rPr>
        <w:rFonts w:ascii="Arial" w:eastAsia="Times New Roman" w:hAnsi="Arial" w:cs="Arial"/>
        <w:sz w:val="24"/>
        <w:szCs w:val="24"/>
      </w:rPr>
      <w:t>0</w:t>
    </w:r>
    <w:r w:rsidRPr="00764509">
      <w:rPr>
        <w:rFonts w:ascii="Arial" w:eastAsia="Times New Roman" w:hAnsi="Arial" w:cs="Arial"/>
        <w:sz w:val="24"/>
        <w:szCs w:val="24"/>
      </w:rPr>
      <w:t>.</w:t>
    </w:r>
    <w:r w:rsidR="00893BF4">
      <w:rPr>
        <w:rFonts w:ascii="Arial" w:eastAsia="Times New Roman" w:hAnsi="Arial" w:cs="Arial"/>
        <w:sz w:val="24"/>
        <w:szCs w:val="24"/>
      </w:rPr>
      <w:t>9</w:t>
    </w:r>
    <w:r w:rsidRPr="00764509">
      <w:rPr>
        <w:rFonts w:ascii="Arial" w:eastAsia="Times New Roman" w:hAnsi="Arial" w:cs="Arial"/>
        <w:sz w:val="24"/>
        <w:szCs w:val="24"/>
      </w:rPr>
      <w:t xml:space="preserve">. </w:t>
    </w:r>
  </w:p>
  <w:p w14:paraId="412DEB11" w14:textId="46B7B547" w:rsidR="00295417" w:rsidRPr="00192670" w:rsidRDefault="00295417" w:rsidP="00192670">
    <w:pPr>
      <w:pBdr>
        <w:bottom w:val="single" w:sz="4" w:space="1" w:color="auto"/>
      </w:pBdr>
      <w:tabs>
        <w:tab w:val="center" w:pos="4513"/>
      </w:tabs>
      <w:suppressAutoHyphens/>
      <w:spacing w:line="400" w:lineRule="exact"/>
      <w:jc w:val="both"/>
      <w:rPr>
        <w:rFonts w:ascii="Arial" w:eastAsia="Times New Roman" w:hAnsi="Arial" w:cs="Arial"/>
        <w:spacing w:val="-3"/>
        <w:sz w:val="20"/>
        <w:szCs w:val="20"/>
        <w:lang w:val="pl-PL"/>
      </w:rPr>
    </w:pPr>
    <w:r w:rsidRPr="001A5E0D">
      <w:rPr>
        <w:rFonts w:ascii="Arial" w:eastAsia="Times New Roman" w:hAnsi="Arial" w:cs="Arial"/>
        <w:spacing w:val="-3"/>
        <w:sz w:val="20"/>
        <w:szCs w:val="20"/>
        <w:lang w:val="pl-PL"/>
      </w:rPr>
      <w:t xml:space="preserve">(Svi iznosi izraženi su u tisućama </w:t>
    </w:r>
    <w:r w:rsidR="00145D68" w:rsidRPr="00145D68">
      <w:rPr>
        <w:rFonts w:ascii="Arial" w:eastAsia="Times New Roman" w:hAnsi="Arial" w:cs="Arial"/>
        <w:spacing w:val="-3"/>
        <w:sz w:val="20"/>
        <w:szCs w:val="20"/>
        <w:lang w:val="pl-PL"/>
      </w:rPr>
      <w:t>eura</w:t>
    </w:r>
    <w:r w:rsidRPr="001A5E0D">
      <w:rPr>
        <w:rFonts w:ascii="Arial" w:eastAsia="Times New Roman" w:hAnsi="Arial" w:cs="Arial"/>
        <w:spacing w:val="-3"/>
        <w:sz w:val="20"/>
        <w:szCs w:val="20"/>
        <w:lang w:val="pl-P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A7C1F"/>
    <w:multiLevelType w:val="hybridMultilevel"/>
    <w:tmpl w:val="1AF81976"/>
    <w:lvl w:ilvl="0" w:tplc="6BC62CD4">
      <w:numFmt w:val="bullet"/>
      <w:lvlText w:val="-"/>
      <w:lvlJc w:val="left"/>
      <w:pPr>
        <w:ind w:left="720" w:hanging="360"/>
      </w:pPr>
      <w:rPr>
        <w:rFonts w:ascii="Times New Roman"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5CD439D"/>
    <w:multiLevelType w:val="hybridMultilevel"/>
    <w:tmpl w:val="6972D638"/>
    <w:lvl w:ilvl="0" w:tplc="041A001B">
      <w:start w:val="1"/>
      <w:numFmt w:val="low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60F2379"/>
    <w:multiLevelType w:val="hybridMultilevel"/>
    <w:tmpl w:val="1F66D4E4"/>
    <w:lvl w:ilvl="0" w:tplc="041A0001">
      <w:start w:val="1"/>
      <w:numFmt w:val="bullet"/>
      <w:lvlText w:val=""/>
      <w:lvlJc w:val="left"/>
      <w:pPr>
        <w:ind w:left="771" w:hanging="360"/>
      </w:pPr>
      <w:rPr>
        <w:rFonts w:ascii="Symbol" w:hAnsi="Symbol" w:hint="default"/>
      </w:rPr>
    </w:lvl>
    <w:lvl w:ilvl="1" w:tplc="041A0003">
      <w:start w:val="1"/>
      <w:numFmt w:val="bullet"/>
      <w:lvlText w:val="o"/>
      <w:lvlJc w:val="left"/>
      <w:pPr>
        <w:ind w:left="1491" w:hanging="360"/>
      </w:pPr>
      <w:rPr>
        <w:rFonts w:ascii="Courier New" w:hAnsi="Courier New" w:cs="Courier New" w:hint="default"/>
      </w:rPr>
    </w:lvl>
    <w:lvl w:ilvl="2" w:tplc="041A0005" w:tentative="1">
      <w:start w:val="1"/>
      <w:numFmt w:val="bullet"/>
      <w:lvlText w:val=""/>
      <w:lvlJc w:val="left"/>
      <w:pPr>
        <w:ind w:left="2211" w:hanging="360"/>
      </w:pPr>
      <w:rPr>
        <w:rFonts w:ascii="Wingdings" w:hAnsi="Wingdings" w:hint="default"/>
      </w:rPr>
    </w:lvl>
    <w:lvl w:ilvl="3" w:tplc="041A0001" w:tentative="1">
      <w:start w:val="1"/>
      <w:numFmt w:val="bullet"/>
      <w:lvlText w:val=""/>
      <w:lvlJc w:val="left"/>
      <w:pPr>
        <w:ind w:left="2931" w:hanging="360"/>
      </w:pPr>
      <w:rPr>
        <w:rFonts w:ascii="Symbol" w:hAnsi="Symbol" w:hint="default"/>
      </w:rPr>
    </w:lvl>
    <w:lvl w:ilvl="4" w:tplc="041A0003" w:tentative="1">
      <w:start w:val="1"/>
      <w:numFmt w:val="bullet"/>
      <w:lvlText w:val="o"/>
      <w:lvlJc w:val="left"/>
      <w:pPr>
        <w:ind w:left="3651" w:hanging="360"/>
      </w:pPr>
      <w:rPr>
        <w:rFonts w:ascii="Courier New" w:hAnsi="Courier New" w:cs="Courier New" w:hint="default"/>
      </w:rPr>
    </w:lvl>
    <w:lvl w:ilvl="5" w:tplc="041A0005" w:tentative="1">
      <w:start w:val="1"/>
      <w:numFmt w:val="bullet"/>
      <w:lvlText w:val=""/>
      <w:lvlJc w:val="left"/>
      <w:pPr>
        <w:ind w:left="4371" w:hanging="360"/>
      </w:pPr>
      <w:rPr>
        <w:rFonts w:ascii="Wingdings" w:hAnsi="Wingdings" w:hint="default"/>
      </w:rPr>
    </w:lvl>
    <w:lvl w:ilvl="6" w:tplc="041A0001" w:tentative="1">
      <w:start w:val="1"/>
      <w:numFmt w:val="bullet"/>
      <w:lvlText w:val=""/>
      <w:lvlJc w:val="left"/>
      <w:pPr>
        <w:ind w:left="5091" w:hanging="360"/>
      </w:pPr>
      <w:rPr>
        <w:rFonts w:ascii="Symbol" w:hAnsi="Symbol" w:hint="default"/>
      </w:rPr>
    </w:lvl>
    <w:lvl w:ilvl="7" w:tplc="041A0003" w:tentative="1">
      <w:start w:val="1"/>
      <w:numFmt w:val="bullet"/>
      <w:lvlText w:val="o"/>
      <w:lvlJc w:val="left"/>
      <w:pPr>
        <w:ind w:left="5811" w:hanging="360"/>
      </w:pPr>
      <w:rPr>
        <w:rFonts w:ascii="Courier New" w:hAnsi="Courier New" w:cs="Courier New" w:hint="default"/>
      </w:rPr>
    </w:lvl>
    <w:lvl w:ilvl="8" w:tplc="041A0005" w:tentative="1">
      <w:start w:val="1"/>
      <w:numFmt w:val="bullet"/>
      <w:lvlText w:val=""/>
      <w:lvlJc w:val="left"/>
      <w:pPr>
        <w:ind w:left="6531" w:hanging="360"/>
      </w:pPr>
      <w:rPr>
        <w:rFonts w:ascii="Wingdings" w:hAnsi="Wingdings" w:hint="default"/>
      </w:rPr>
    </w:lvl>
  </w:abstractNum>
  <w:abstractNum w:abstractNumId="3" w15:restartNumberingAfterBreak="0">
    <w:nsid w:val="0637115B"/>
    <w:multiLevelType w:val="hybridMultilevel"/>
    <w:tmpl w:val="28B2AA32"/>
    <w:lvl w:ilvl="0" w:tplc="B614A01C">
      <w:start w:val="2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63298E"/>
    <w:multiLevelType w:val="multilevel"/>
    <w:tmpl w:val="82E2A854"/>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 w:hanging="360"/>
      </w:pPr>
      <w:rPr>
        <w:rFonts w:hint="default"/>
      </w:rPr>
    </w:lvl>
  </w:abstractNum>
  <w:abstractNum w:abstractNumId="5" w15:restartNumberingAfterBreak="0">
    <w:nsid w:val="0AB458B5"/>
    <w:multiLevelType w:val="hybridMultilevel"/>
    <w:tmpl w:val="80781AF8"/>
    <w:lvl w:ilvl="0" w:tplc="F30486C2">
      <w:start w:val="1"/>
      <w:numFmt w:val="decimal"/>
      <w:lvlText w:val="%1."/>
      <w:lvlJc w:val="left"/>
      <w:pPr>
        <w:tabs>
          <w:tab w:val="num" w:pos="720"/>
        </w:tabs>
        <w:ind w:left="720" w:hanging="360"/>
      </w:pPr>
      <w:rPr>
        <w:b w:val="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 w15:restartNumberingAfterBreak="0">
    <w:nsid w:val="0AE82946"/>
    <w:multiLevelType w:val="hybridMultilevel"/>
    <w:tmpl w:val="5F84E4A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DAC4302"/>
    <w:multiLevelType w:val="hybridMultilevel"/>
    <w:tmpl w:val="B81A4A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ED77D0F"/>
    <w:multiLevelType w:val="hybridMultilevel"/>
    <w:tmpl w:val="A8F8B4D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04E236D"/>
    <w:multiLevelType w:val="multilevel"/>
    <w:tmpl w:val="95102BC4"/>
    <w:styleLink w:val="LFO6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5370918"/>
    <w:multiLevelType w:val="hybridMultilevel"/>
    <w:tmpl w:val="1B74A8FC"/>
    <w:lvl w:ilvl="0" w:tplc="89A2892E">
      <w:numFmt w:val="bullet"/>
      <w:lvlText w:val="-"/>
      <w:lvlJc w:val="left"/>
      <w:pPr>
        <w:tabs>
          <w:tab w:val="num" w:pos="1040"/>
        </w:tabs>
        <w:ind w:left="1040" w:hanging="360"/>
      </w:pPr>
      <w:rPr>
        <w:rFonts w:ascii="Arial" w:eastAsia="Times New Roman" w:hAnsi="Arial" w:cs="Arial" w:hint="default"/>
      </w:rPr>
    </w:lvl>
    <w:lvl w:ilvl="1" w:tplc="04090003">
      <w:start w:val="1"/>
      <w:numFmt w:val="bullet"/>
      <w:lvlText w:val="o"/>
      <w:lvlJc w:val="left"/>
      <w:pPr>
        <w:tabs>
          <w:tab w:val="num" w:pos="1760"/>
        </w:tabs>
        <w:ind w:left="1760" w:hanging="360"/>
      </w:pPr>
      <w:rPr>
        <w:rFonts w:ascii="Courier New" w:hAnsi="Courier New" w:cs="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cs="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cs="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11" w15:restartNumberingAfterBreak="0">
    <w:nsid w:val="1BE72493"/>
    <w:multiLevelType w:val="hybridMultilevel"/>
    <w:tmpl w:val="BF12CC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DDB0ACB"/>
    <w:multiLevelType w:val="hybridMultilevel"/>
    <w:tmpl w:val="4AD060C0"/>
    <w:lvl w:ilvl="0" w:tplc="389E5C28">
      <w:numFmt w:val="bullet"/>
      <w:lvlText w:val="-"/>
      <w:lvlJc w:val="left"/>
      <w:pPr>
        <w:ind w:left="1353" w:hanging="360"/>
      </w:pPr>
      <w:rPr>
        <w:rFonts w:ascii="Calibri" w:eastAsia="Times New Roman" w:hAnsi="Calibri" w:cs="Calibri"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F6F0ED6"/>
    <w:multiLevelType w:val="hybridMultilevel"/>
    <w:tmpl w:val="E7381476"/>
    <w:lvl w:ilvl="0" w:tplc="89A2892E">
      <w:numFmt w:val="bullet"/>
      <w:lvlText w:val="-"/>
      <w:lvlJc w:val="left"/>
      <w:pPr>
        <w:tabs>
          <w:tab w:val="num" w:pos="840"/>
        </w:tabs>
        <w:ind w:left="840" w:hanging="360"/>
      </w:pPr>
      <w:rPr>
        <w:rFonts w:ascii="Arial" w:eastAsia="Times New Roman" w:hAnsi="Arial" w:cs="Arial" w:hint="default"/>
      </w:rPr>
    </w:lvl>
    <w:lvl w:ilvl="1" w:tplc="041A0003">
      <w:start w:val="1"/>
      <w:numFmt w:val="bullet"/>
      <w:lvlText w:val="o"/>
      <w:lvlJc w:val="left"/>
      <w:pPr>
        <w:tabs>
          <w:tab w:val="num" w:pos="1320"/>
        </w:tabs>
        <w:ind w:left="1320" w:hanging="360"/>
      </w:pPr>
      <w:rPr>
        <w:rFonts w:ascii="Courier New" w:hAnsi="Courier New" w:cs="Courier New" w:hint="default"/>
      </w:rPr>
    </w:lvl>
    <w:lvl w:ilvl="2" w:tplc="54E41676">
      <w:numFmt w:val="bullet"/>
      <w:lvlText w:val="–"/>
      <w:lvlJc w:val="left"/>
      <w:pPr>
        <w:tabs>
          <w:tab w:val="num" w:pos="2040"/>
        </w:tabs>
        <w:ind w:left="2040" w:hanging="360"/>
      </w:pPr>
      <w:rPr>
        <w:rFonts w:ascii="Times New Roman" w:eastAsia="Times New Roman" w:hAnsi="Times New Roman" w:cs="Times New Roman" w:hint="default"/>
      </w:rPr>
    </w:lvl>
    <w:lvl w:ilvl="3" w:tplc="041A0001" w:tentative="1">
      <w:start w:val="1"/>
      <w:numFmt w:val="bullet"/>
      <w:lvlText w:val=""/>
      <w:lvlJc w:val="left"/>
      <w:pPr>
        <w:tabs>
          <w:tab w:val="num" w:pos="2760"/>
        </w:tabs>
        <w:ind w:left="2760" w:hanging="360"/>
      </w:pPr>
      <w:rPr>
        <w:rFonts w:ascii="Symbol" w:hAnsi="Symbol" w:hint="default"/>
      </w:rPr>
    </w:lvl>
    <w:lvl w:ilvl="4" w:tplc="041A0003" w:tentative="1">
      <w:start w:val="1"/>
      <w:numFmt w:val="bullet"/>
      <w:lvlText w:val="o"/>
      <w:lvlJc w:val="left"/>
      <w:pPr>
        <w:tabs>
          <w:tab w:val="num" w:pos="3480"/>
        </w:tabs>
        <w:ind w:left="3480" w:hanging="360"/>
      </w:pPr>
      <w:rPr>
        <w:rFonts w:ascii="Courier New" w:hAnsi="Courier New" w:cs="Courier New" w:hint="default"/>
      </w:rPr>
    </w:lvl>
    <w:lvl w:ilvl="5" w:tplc="041A0005" w:tentative="1">
      <w:start w:val="1"/>
      <w:numFmt w:val="bullet"/>
      <w:lvlText w:val=""/>
      <w:lvlJc w:val="left"/>
      <w:pPr>
        <w:tabs>
          <w:tab w:val="num" w:pos="4200"/>
        </w:tabs>
        <w:ind w:left="4200" w:hanging="360"/>
      </w:pPr>
      <w:rPr>
        <w:rFonts w:ascii="Wingdings" w:hAnsi="Wingdings" w:hint="default"/>
      </w:rPr>
    </w:lvl>
    <w:lvl w:ilvl="6" w:tplc="041A0001" w:tentative="1">
      <w:start w:val="1"/>
      <w:numFmt w:val="bullet"/>
      <w:lvlText w:val=""/>
      <w:lvlJc w:val="left"/>
      <w:pPr>
        <w:tabs>
          <w:tab w:val="num" w:pos="4920"/>
        </w:tabs>
        <w:ind w:left="4920" w:hanging="360"/>
      </w:pPr>
      <w:rPr>
        <w:rFonts w:ascii="Symbol" w:hAnsi="Symbol" w:hint="default"/>
      </w:rPr>
    </w:lvl>
    <w:lvl w:ilvl="7" w:tplc="041A0003" w:tentative="1">
      <w:start w:val="1"/>
      <w:numFmt w:val="bullet"/>
      <w:lvlText w:val="o"/>
      <w:lvlJc w:val="left"/>
      <w:pPr>
        <w:tabs>
          <w:tab w:val="num" w:pos="5640"/>
        </w:tabs>
        <w:ind w:left="5640" w:hanging="360"/>
      </w:pPr>
      <w:rPr>
        <w:rFonts w:ascii="Courier New" w:hAnsi="Courier New" w:cs="Courier New" w:hint="default"/>
      </w:rPr>
    </w:lvl>
    <w:lvl w:ilvl="8" w:tplc="041A0005" w:tentative="1">
      <w:start w:val="1"/>
      <w:numFmt w:val="bullet"/>
      <w:lvlText w:val=""/>
      <w:lvlJc w:val="left"/>
      <w:pPr>
        <w:tabs>
          <w:tab w:val="num" w:pos="6360"/>
        </w:tabs>
        <w:ind w:left="6360" w:hanging="360"/>
      </w:pPr>
      <w:rPr>
        <w:rFonts w:ascii="Wingdings" w:hAnsi="Wingdings" w:hint="default"/>
      </w:rPr>
    </w:lvl>
  </w:abstractNum>
  <w:abstractNum w:abstractNumId="14" w15:restartNumberingAfterBreak="0">
    <w:nsid w:val="1F774466"/>
    <w:multiLevelType w:val="hybridMultilevel"/>
    <w:tmpl w:val="115A2B82"/>
    <w:lvl w:ilvl="0" w:tplc="4CCA37E0">
      <w:start w:val="1"/>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0CD026C"/>
    <w:multiLevelType w:val="singleLevel"/>
    <w:tmpl w:val="BBE868AE"/>
    <w:lvl w:ilvl="0">
      <w:numFmt w:val="bullet"/>
      <w:pStyle w:val="T1PARAGRAPH"/>
      <w:lvlText w:val="-"/>
      <w:lvlJc w:val="left"/>
      <w:pPr>
        <w:tabs>
          <w:tab w:val="num" w:pos="720"/>
        </w:tabs>
        <w:ind w:left="720" w:hanging="720"/>
      </w:pPr>
      <w:rPr>
        <w:rFonts w:hint="default"/>
      </w:rPr>
    </w:lvl>
  </w:abstractNum>
  <w:abstractNum w:abstractNumId="16" w15:restartNumberingAfterBreak="0">
    <w:nsid w:val="25D0449B"/>
    <w:multiLevelType w:val="multilevel"/>
    <w:tmpl w:val="4B30F7A0"/>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9251E38"/>
    <w:multiLevelType w:val="hybridMultilevel"/>
    <w:tmpl w:val="0708FA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296550F6"/>
    <w:multiLevelType w:val="hybridMultilevel"/>
    <w:tmpl w:val="4E1AA2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6046897"/>
    <w:multiLevelType w:val="hybridMultilevel"/>
    <w:tmpl w:val="49D60E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E42210D"/>
    <w:multiLevelType w:val="hybridMultilevel"/>
    <w:tmpl w:val="652CDBA2"/>
    <w:lvl w:ilvl="0" w:tplc="041A0017">
      <w:start w:val="1"/>
      <w:numFmt w:val="lowerLetter"/>
      <w:lvlText w:val="%1)"/>
      <w:lvlJc w:val="left"/>
      <w:pPr>
        <w:ind w:left="1428" w:hanging="360"/>
      </w:pPr>
    </w:lvl>
    <w:lvl w:ilvl="1" w:tplc="041A0019">
      <w:start w:val="1"/>
      <w:numFmt w:val="lowerLetter"/>
      <w:lvlText w:val="%2."/>
      <w:lvlJc w:val="left"/>
      <w:pPr>
        <w:ind w:left="2148" w:hanging="360"/>
      </w:pPr>
    </w:lvl>
    <w:lvl w:ilvl="2" w:tplc="041A001B">
      <w:start w:val="1"/>
      <w:numFmt w:val="lowerRoman"/>
      <w:lvlText w:val="%3."/>
      <w:lvlJc w:val="right"/>
      <w:pPr>
        <w:ind w:left="2868" w:hanging="180"/>
      </w:pPr>
    </w:lvl>
    <w:lvl w:ilvl="3" w:tplc="041A000F">
      <w:start w:val="1"/>
      <w:numFmt w:val="decimal"/>
      <w:lvlText w:val="%4."/>
      <w:lvlJc w:val="left"/>
      <w:pPr>
        <w:ind w:left="3588" w:hanging="360"/>
      </w:pPr>
    </w:lvl>
    <w:lvl w:ilvl="4" w:tplc="041A0019">
      <w:start w:val="1"/>
      <w:numFmt w:val="lowerLetter"/>
      <w:lvlText w:val="%5."/>
      <w:lvlJc w:val="left"/>
      <w:pPr>
        <w:ind w:left="4308" w:hanging="360"/>
      </w:pPr>
    </w:lvl>
    <w:lvl w:ilvl="5" w:tplc="041A001B">
      <w:start w:val="1"/>
      <w:numFmt w:val="lowerRoman"/>
      <w:lvlText w:val="%6."/>
      <w:lvlJc w:val="right"/>
      <w:pPr>
        <w:ind w:left="5028" w:hanging="180"/>
      </w:pPr>
    </w:lvl>
    <w:lvl w:ilvl="6" w:tplc="041A000F">
      <w:start w:val="1"/>
      <w:numFmt w:val="decimal"/>
      <w:lvlText w:val="%7."/>
      <w:lvlJc w:val="left"/>
      <w:pPr>
        <w:ind w:left="5748" w:hanging="360"/>
      </w:pPr>
    </w:lvl>
    <w:lvl w:ilvl="7" w:tplc="041A0019">
      <w:start w:val="1"/>
      <w:numFmt w:val="lowerLetter"/>
      <w:lvlText w:val="%8."/>
      <w:lvlJc w:val="left"/>
      <w:pPr>
        <w:ind w:left="6468" w:hanging="360"/>
      </w:pPr>
    </w:lvl>
    <w:lvl w:ilvl="8" w:tplc="041A001B">
      <w:start w:val="1"/>
      <w:numFmt w:val="lowerRoman"/>
      <w:lvlText w:val="%9."/>
      <w:lvlJc w:val="right"/>
      <w:pPr>
        <w:ind w:left="7188" w:hanging="180"/>
      </w:pPr>
    </w:lvl>
  </w:abstractNum>
  <w:abstractNum w:abstractNumId="21" w15:restartNumberingAfterBreak="0">
    <w:nsid w:val="3F170A1C"/>
    <w:multiLevelType w:val="hybridMultilevel"/>
    <w:tmpl w:val="13FC22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01648A8"/>
    <w:multiLevelType w:val="hybridMultilevel"/>
    <w:tmpl w:val="E1B0B0B6"/>
    <w:lvl w:ilvl="0" w:tplc="94E22872">
      <w:start w:val="4"/>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3" w15:restartNumberingAfterBreak="0">
    <w:nsid w:val="421D2600"/>
    <w:multiLevelType w:val="hybridMultilevel"/>
    <w:tmpl w:val="E918FB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3ED2906"/>
    <w:multiLevelType w:val="hybridMultilevel"/>
    <w:tmpl w:val="2CA88C12"/>
    <w:lvl w:ilvl="0" w:tplc="04090001">
      <w:start w:val="1"/>
      <w:numFmt w:val="bullet"/>
      <w:lvlText w:val=""/>
      <w:lvlJc w:val="left"/>
      <w:pPr>
        <w:tabs>
          <w:tab w:val="num" w:pos="1040"/>
        </w:tabs>
        <w:ind w:left="1040" w:hanging="360"/>
      </w:pPr>
      <w:rPr>
        <w:rFonts w:ascii="Symbol" w:hAnsi="Symbol" w:hint="default"/>
      </w:rPr>
    </w:lvl>
    <w:lvl w:ilvl="1" w:tplc="04090003">
      <w:start w:val="1"/>
      <w:numFmt w:val="bullet"/>
      <w:lvlText w:val="o"/>
      <w:lvlJc w:val="left"/>
      <w:pPr>
        <w:tabs>
          <w:tab w:val="num" w:pos="1760"/>
        </w:tabs>
        <w:ind w:left="1760" w:hanging="360"/>
      </w:pPr>
      <w:rPr>
        <w:rFonts w:ascii="Courier New" w:hAnsi="Courier New" w:cs="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cs="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cs="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25" w15:restartNumberingAfterBreak="0">
    <w:nsid w:val="47AF4B18"/>
    <w:multiLevelType w:val="hybridMultilevel"/>
    <w:tmpl w:val="5EEA9D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4C6D4680"/>
    <w:multiLevelType w:val="hybridMultilevel"/>
    <w:tmpl w:val="FD347504"/>
    <w:lvl w:ilvl="0" w:tplc="041A0017">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7" w15:restartNumberingAfterBreak="0">
    <w:nsid w:val="4CFC2DCA"/>
    <w:multiLevelType w:val="hybridMultilevel"/>
    <w:tmpl w:val="0FFED9A0"/>
    <w:lvl w:ilvl="0" w:tplc="041A0001">
      <w:start w:val="1"/>
      <w:numFmt w:val="bullet"/>
      <w:lvlText w:val=""/>
      <w:lvlJc w:val="left"/>
      <w:pPr>
        <w:tabs>
          <w:tab w:val="num" w:pos="720"/>
        </w:tabs>
        <w:ind w:left="720" w:hanging="360"/>
      </w:pPr>
      <w:rPr>
        <w:rFonts w:ascii="Symbol" w:hAnsi="Symbol" w:hint="default"/>
        <w:b w:val="0"/>
        <w:i w:val="0"/>
      </w:rPr>
    </w:lvl>
    <w:lvl w:ilvl="1" w:tplc="E8885CC6">
      <w:numFmt w:val="bullet"/>
      <w:lvlText w:val="-"/>
      <w:lvlJc w:val="left"/>
      <w:pPr>
        <w:tabs>
          <w:tab w:val="num" w:pos="1800"/>
        </w:tabs>
        <w:ind w:left="1800" w:hanging="360"/>
      </w:pPr>
      <w:rPr>
        <w:rFonts w:hint="default"/>
      </w:rPr>
    </w:lvl>
    <w:lvl w:ilvl="2" w:tplc="041A001B">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28" w15:restartNumberingAfterBreak="0">
    <w:nsid w:val="51AB422E"/>
    <w:multiLevelType w:val="hybridMultilevel"/>
    <w:tmpl w:val="2870C9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54603FBB"/>
    <w:multiLevelType w:val="hybridMultilevel"/>
    <w:tmpl w:val="226E37CA"/>
    <w:lvl w:ilvl="0" w:tplc="38465924">
      <w:start w:val="1"/>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363658"/>
    <w:multiLevelType w:val="hybridMultilevel"/>
    <w:tmpl w:val="3F2CDCD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1" w15:restartNumberingAfterBreak="0">
    <w:nsid w:val="62DE2000"/>
    <w:multiLevelType w:val="hybridMultilevel"/>
    <w:tmpl w:val="A6B287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65B50E0F"/>
    <w:multiLevelType w:val="hybridMultilevel"/>
    <w:tmpl w:val="304C2C5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7B600C2"/>
    <w:multiLevelType w:val="hybridMultilevel"/>
    <w:tmpl w:val="8390B7D6"/>
    <w:lvl w:ilvl="0" w:tplc="2E7CC9F4">
      <w:start w:val="1"/>
      <w:numFmt w:val="bullet"/>
      <w:lvlText w:val=""/>
      <w:lvlJc w:val="left"/>
      <w:pPr>
        <w:ind w:left="720" w:hanging="360"/>
      </w:pPr>
      <w:rPr>
        <w:rFonts w:ascii="Symbol" w:hAnsi="Symbol"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E9D5019"/>
    <w:multiLevelType w:val="hybridMultilevel"/>
    <w:tmpl w:val="4F4816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6F08558A"/>
    <w:multiLevelType w:val="hybridMultilevel"/>
    <w:tmpl w:val="BA26F4E2"/>
    <w:lvl w:ilvl="0" w:tplc="AB4AC9F8">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733A44F0"/>
    <w:multiLevelType w:val="hybridMultilevel"/>
    <w:tmpl w:val="2D5A6304"/>
    <w:lvl w:ilvl="0" w:tplc="2E7CC9F4">
      <w:start w:val="1"/>
      <w:numFmt w:val="bullet"/>
      <w:lvlText w:val=""/>
      <w:lvlJc w:val="left"/>
      <w:pPr>
        <w:ind w:left="1617" w:hanging="360"/>
      </w:pPr>
      <w:rPr>
        <w:rFonts w:ascii="Symbol" w:hAnsi="Symbol" w:hint="default"/>
        <w:sz w:val="16"/>
      </w:rPr>
    </w:lvl>
    <w:lvl w:ilvl="1" w:tplc="041A0003" w:tentative="1">
      <w:start w:val="1"/>
      <w:numFmt w:val="bullet"/>
      <w:lvlText w:val="o"/>
      <w:lvlJc w:val="left"/>
      <w:pPr>
        <w:ind w:left="2337" w:hanging="360"/>
      </w:pPr>
      <w:rPr>
        <w:rFonts w:ascii="Courier New" w:hAnsi="Courier New" w:cs="Courier New" w:hint="default"/>
      </w:rPr>
    </w:lvl>
    <w:lvl w:ilvl="2" w:tplc="041A0005" w:tentative="1">
      <w:start w:val="1"/>
      <w:numFmt w:val="bullet"/>
      <w:lvlText w:val=""/>
      <w:lvlJc w:val="left"/>
      <w:pPr>
        <w:ind w:left="3057" w:hanging="360"/>
      </w:pPr>
      <w:rPr>
        <w:rFonts w:ascii="Wingdings" w:hAnsi="Wingdings" w:hint="default"/>
      </w:rPr>
    </w:lvl>
    <w:lvl w:ilvl="3" w:tplc="041A0001" w:tentative="1">
      <w:start w:val="1"/>
      <w:numFmt w:val="bullet"/>
      <w:lvlText w:val=""/>
      <w:lvlJc w:val="left"/>
      <w:pPr>
        <w:ind w:left="3777" w:hanging="360"/>
      </w:pPr>
      <w:rPr>
        <w:rFonts w:ascii="Symbol" w:hAnsi="Symbol" w:hint="default"/>
      </w:rPr>
    </w:lvl>
    <w:lvl w:ilvl="4" w:tplc="041A0003" w:tentative="1">
      <w:start w:val="1"/>
      <w:numFmt w:val="bullet"/>
      <w:lvlText w:val="o"/>
      <w:lvlJc w:val="left"/>
      <w:pPr>
        <w:ind w:left="4497" w:hanging="360"/>
      </w:pPr>
      <w:rPr>
        <w:rFonts w:ascii="Courier New" w:hAnsi="Courier New" w:cs="Courier New" w:hint="default"/>
      </w:rPr>
    </w:lvl>
    <w:lvl w:ilvl="5" w:tplc="041A0005" w:tentative="1">
      <w:start w:val="1"/>
      <w:numFmt w:val="bullet"/>
      <w:lvlText w:val=""/>
      <w:lvlJc w:val="left"/>
      <w:pPr>
        <w:ind w:left="5217" w:hanging="360"/>
      </w:pPr>
      <w:rPr>
        <w:rFonts w:ascii="Wingdings" w:hAnsi="Wingdings" w:hint="default"/>
      </w:rPr>
    </w:lvl>
    <w:lvl w:ilvl="6" w:tplc="041A0001" w:tentative="1">
      <w:start w:val="1"/>
      <w:numFmt w:val="bullet"/>
      <w:lvlText w:val=""/>
      <w:lvlJc w:val="left"/>
      <w:pPr>
        <w:ind w:left="5937" w:hanging="360"/>
      </w:pPr>
      <w:rPr>
        <w:rFonts w:ascii="Symbol" w:hAnsi="Symbol" w:hint="default"/>
      </w:rPr>
    </w:lvl>
    <w:lvl w:ilvl="7" w:tplc="041A0003" w:tentative="1">
      <w:start w:val="1"/>
      <w:numFmt w:val="bullet"/>
      <w:lvlText w:val="o"/>
      <w:lvlJc w:val="left"/>
      <w:pPr>
        <w:ind w:left="6657" w:hanging="360"/>
      </w:pPr>
      <w:rPr>
        <w:rFonts w:ascii="Courier New" w:hAnsi="Courier New" w:cs="Courier New" w:hint="default"/>
      </w:rPr>
    </w:lvl>
    <w:lvl w:ilvl="8" w:tplc="041A0005" w:tentative="1">
      <w:start w:val="1"/>
      <w:numFmt w:val="bullet"/>
      <w:lvlText w:val=""/>
      <w:lvlJc w:val="left"/>
      <w:pPr>
        <w:ind w:left="7377" w:hanging="360"/>
      </w:pPr>
      <w:rPr>
        <w:rFonts w:ascii="Wingdings" w:hAnsi="Wingdings" w:hint="default"/>
      </w:rPr>
    </w:lvl>
  </w:abstractNum>
  <w:abstractNum w:abstractNumId="37" w15:restartNumberingAfterBreak="0">
    <w:nsid w:val="7EB379BB"/>
    <w:multiLevelType w:val="hybridMultilevel"/>
    <w:tmpl w:val="912CCFF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7FCB58C6"/>
    <w:multiLevelType w:val="hybridMultilevel"/>
    <w:tmpl w:val="D8F824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713456503">
    <w:abstractNumId w:val="15"/>
  </w:num>
  <w:num w:numId="2" w16cid:durableId="1309818179">
    <w:abstractNumId w:val="12"/>
  </w:num>
  <w:num w:numId="3" w16cid:durableId="1671787576">
    <w:abstractNumId w:val="0"/>
  </w:num>
  <w:num w:numId="4" w16cid:durableId="424497268">
    <w:abstractNumId w:val="10"/>
  </w:num>
  <w:num w:numId="5" w16cid:durableId="892472186">
    <w:abstractNumId w:val="13"/>
  </w:num>
  <w:num w:numId="6" w16cid:durableId="980647261">
    <w:abstractNumId w:val="16"/>
  </w:num>
  <w:num w:numId="7" w16cid:durableId="1234123405">
    <w:abstractNumId w:val="29"/>
  </w:num>
  <w:num w:numId="8" w16cid:durableId="1575433122">
    <w:abstractNumId w:val="26"/>
  </w:num>
  <w:num w:numId="9" w16cid:durableId="1759402110">
    <w:abstractNumId w:val="8"/>
  </w:num>
  <w:num w:numId="10" w16cid:durableId="118694084">
    <w:abstractNumId w:val="37"/>
  </w:num>
  <w:num w:numId="11" w16cid:durableId="1124812181">
    <w:abstractNumId w:val="21"/>
  </w:num>
  <w:num w:numId="12" w16cid:durableId="1685395267">
    <w:abstractNumId w:val="11"/>
  </w:num>
  <w:num w:numId="13" w16cid:durableId="132329262">
    <w:abstractNumId w:val="17"/>
  </w:num>
  <w:num w:numId="14" w16cid:durableId="576404965">
    <w:abstractNumId w:val="32"/>
  </w:num>
  <w:num w:numId="15" w16cid:durableId="1950744814">
    <w:abstractNumId w:val="25"/>
  </w:num>
  <w:num w:numId="16" w16cid:durableId="1362783412">
    <w:abstractNumId w:val="28"/>
  </w:num>
  <w:num w:numId="17" w16cid:durableId="2126000584">
    <w:abstractNumId w:val="19"/>
  </w:num>
  <w:num w:numId="18" w16cid:durableId="318968599">
    <w:abstractNumId w:val="38"/>
  </w:num>
  <w:num w:numId="19" w16cid:durableId="1349454248">
    <w:abstractNumId w:val="31"/>
  </w:num>
  <w:num w:numId="20" w16cid:durableId="777875912">
    <w:abstractNumId w:val="6"/>
  </w:num>
  <w:num w:numId="21" w16cid:durableId="1212494897">
    <w:abstractNumId w:val="2"/>
  </w:num>
  <w:num w:numId="22" w16cid:durableId="2066174122">
    <w:abstractNumId w:val="24"/>
  </w:num>
  <w:num w:numId="23" w16cid:durableId="971983284">
    <w:abstractNumId w:val="18"/>
  </w:num>
  <w:num w:numId="24" w16cid:durableId="1215234186">
    <w:abstractNumId w:val="34"/>
  </w:num>
  <w:num w:numId="25" w16cid:durableId="1633174148">
    <w:abstractNumId w:val="5"/>
  </w:num>
  <w:num w:numId="26" w16cid:durableId="120268544">
    <w:abstractNumId w:val="3"/>
  </w:num>
  <w:num w:numId="27" w16cid:durableId="1814524189">
    <w:abstractNumId w:val="7"/>
  </w:num>
  <w:num w:numId="28" w16cid:durableId="1784228711">
    <w:abstractNumId w:val="22"/>
  </w:num>
  <w:num w:numId="29" w16cid:durableId="1061057361">
    <w:abstractNumId w:val="4"/>
  </w:num>
  <w:num w:numId="30" w16cid:durableId="647974329">
    <w:abstractNumId w:val="14"/>
  </w:num>
  <w:num w:numId="31" w16cid:durableId="16867095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06057058">
    <w:abstractNumId w:val="1"/>
  </w:num>
  <w:num w:numId="33" w16cid:durableId="1934435091">
    <w:abstractNumId w:val="9"/>
  </w:num>
  <w:num w:numId="34" w16cid:durableId="1909531041">
    <w:abstractNumId w:val="35"/>
  </w:num>
  <w:num w:numId="35" w16cid:durableId="3581202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26483046">
    <w:abstractNumId w:val="20"/>
  </w:num>
  <w:num w:numId="37" w16cid:durableId="201985961">
    <w:abstractNumId w:val="36"/>
  </w:num>
  <w:num w:numId="38" w16cid:durableId="1677027874">
    <w:abstractNumId w:val="33"/>
  </w:num>
  <w:num w:numId="39" w16cid:durableId="608783803">
    <w:abstractNumId w:val="23"/>
  </w:num>
  <w:num w:numId="40" w16cid:durableId="84575432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86C"/>
    <w:rsid w:val="00001DC6"/>
    <w:rsid w:val="00005B4D"/>
    <w:rsid w:val="00005CC6"/>
    <w:rsid w:val="00006B6F"/>
    <w:rsid w:val="0000704F"/>
    <w:rsid w:val="0000741C"/>
    <w:rsid w:val="00010E89"/>
    <w:rsid w:val="000116C5"/>
    <w:rsid w:val="00011E94"/>
    <w:rsid w:val="00012828"/>
    <w:rsid w:val="00014E6C"/>
    <w:rsid w:val="00016EDC"/>
    <w:rsid w:val="00017CC2"/>
    <w:rsid w:val="00017F1E"/>
    <w:rsid w:val="00020EC8"/>
    <w:rsid w:val="00021FD7"/>
    <w:rsid w:val="000228EE"/>
    <w:rsid w:val="0002301D"/>
    <w:rsid w:val="00023560"/>
    <w:rsid w:val="00026521"/>
    <w:rsid w:val="00026E39"/>
    <w:rsid w:val="00027744"/>
    <w:rsid w:val="00030BE3"/>
    <w:rsid w:val="000311D7"/>
    <w:rsid w:val="0003479D"/>
    <w:rsid w:val="000347AB"/>
    <w:rsid w:val="000366CA"/>
    <w:rsid w:val="00036DF7"/>
    <w:rsid w:val="00037E0B"/>
    <w:rsid w:val="00041ABB"/>
    <w:rsid w:val="0004434F"/>
    <w:rsid w:val="00044ACF"/>
    <w:rsid w:val="00045575"/>
    <w:rsid w:val="00050297"/>
    <w:rsid w:val="0005132E"/>
    <w:rsid w:val="0005296F"/>
    <w:rsid w:val="00053BCA"/>
    <w:rsid w:val="00054850"/>
    <w:rsid w:val="00054F7B"/>
    <w:rsid w:val="00055A54"/>
    <w:rsid w:val="00055F06"/>
    <w:rsid w:val="00056683"/>
    <w:rsid w:val="0006181E"/>
    <w:rsid w:val="00065875"/>
    <w:rsid w:val="0006588D"/>
    <w:rsid w:val="000669E6"/>
    <w:rsid w:val="00071AFB"/>
    <w:rsid w:val="00071D13"/>
    <w:rsid w:val="000721BA"/>
    <w:rsid w:val="00073AD3"/>
    <w:rsid w:val="00080D27"/>
    <w:rsid w:val="00082524"/>
    <w:rsid w:val="00082C10"/>
    <w:rsid w:val="00087454"/>
    <w:rsid w:val="000927B5"/>
    <w:rsid w:val="000956C5"/>
    <w:rsid w:val="00096690"/>
    <w:rsid w:val="000A093B"/>
    <w:rsid w:val="000A0E43"/>
    <w:rsid w:val="000A1409"/>
    <w:rsid w:val="000A149D"/>
    <w:rsid w:val="000A27EA"/>
    <w:rsid w:val="000A3088"/>
    <w:rsid w:val="000A43C7"/>
    <w:rsid w:val="000A511F"/>
    <w:rsid w:val="000A6433"/>
    <w:rsid w:val="000A67D6"/>
    <w:rsid w:val="000A6E26"/>
    <w:rsid w:val="000A7EDB"/>
    <w:rsid w:val="000B4444"/>
    <w:rsid w:val="000B6EE4"/>
    <w:rsid w:val="000B7803"/>
    <w:rsid w:val="000B7CF4"/>
    <w:rsid w:val="000C0574"/>
    <w:rsid w:val="000C1321"/>
    <w:rsid w:val="000C1604"/>
    <w:rsid w:val="000C16F0"/>
    <w:rsid w:val="000C2F03"/>
    <w:rsid w:val="000C3754"/>
    <w:rsid w:val="000C3B16"/>
    <w:rsid w:val="000C45E2"/>
    <w:rsid w:val="000C5821"/>
    <w:rsid w:val="000C7C66"/>
    <w:rsid w:val="000C7E59"/>
    <w:rsid w:val="000D01B7"/>
    <w:rsid w:val="000D077C"/>
    <w:rsid w:val="000D0C29"/>
    <w:rsid w:val="000D12F2"/>
    <w:rsid w:val="000D1D7F"/>
    <w:rsid w:val="000D23C1"/>
    <w:rsid w:val="000D23F2"/>
    <w:rsid w:val="000D2C54"/>
    <w:rsid w:val="000D4693"/>
    <w:rsid w:val="000D48AA"/>
    <w:rsid w:val="000D77BD"/>
    <w:rsid w:val="000D793D"/>
    <w:rsid w:val="000D7A7A"/>
    <w:rsid w:val="000E0285"/>
    <w:rsid w:val="000E02C9"/>
    <w:rsid w:val="000E0684"/>
    <w:rsid w:val="000E3412"/>
    <w:rsid w:val="000E4B9A"/>
    <w:rsid w:val="000E64ED"/>
    <w:rsid w:val="000E693B"/>
    <w:rsid w:val="000E6A82"/>
    <w:rsid w:val="000E6BEB"/>
    <w:rsid w:val="000E7832"/>
    <w:rsid w:val="000E7909"/>
    <w:rsid w:val="000E7CD5"/>
    <w:rsid w:val="000F0D87"/>
    <w:rsid w:val="000F2CE4"/>
    <w:rsid w:val="000F3817"/>
    <w:rsid w:val="000F455E"/>
    <w:rsid w:val="000F587E"/>
    <w:rsid w:val="000F5B72"/>
    <w:rsid w:val="000F5D1C"/>
    <w:rsid w:val="000F7547"/>
    <w:rsid w:val="001005AE"/>
    <w:rsid w:val="00100634"/>
    <w:rsid w:val="00100D9E"/>
    <w:rsid w:val="00101149"/>
    <w:rsid w:val="00102C61"/>
    <w:rsid w:val="00102FA1"/>
    <w:rsid w:val="001041A5"/>
    <w:rsid w:val="0010470E"/>
    <w:rsid w:val="00104770"/>
    <w:rsid w:val="00104D02"/>
    <w:rsid w:val="00105256"/>
    <w:rsid w:val="001061E5"/>
    <w:rsid w:val="001073BD"/>
    <w:rsid w:val="001075F6"/>
    <w:rsid w:val="00107766"/>
    <w:rsid w:val="0011144D"/>
    <w:rsid w:val="00111724"/>
    <w:rsid w:val="00112710"/>
    <w:rsid w:val="00112C7E"/>
    <w:rsid w:val="001137B3"/>
    <w:rsid w:val="00117C74"/>
    <w:rsid w:val="00120D49"/>
    <w:rsid w:val="001220D5"/>
    <w:rsid w:val="00122320"/>
    <w:rsid w:val="00122CA8"/>
    <w:rsid w:val="00123D38"/>
    <w:rsid w:val="00125A67"/>
    <w:rsid w:val="00130392"/>
    <w:rsid w:val="00132D03"/>
    <w:rsid w:val="00132E89"/>
    <w:rsid w:val="00137D9B"/>
    <w:rsid w:val="001406AE"/>
    <w:rsid w:val="00140901"/>
    <w:rsid w:val="00140B9A"/>
    <w:rsid w:val="0014153E"/>
    <w:rsid w:val="00141B03"/>
    <w:rsid w:val="00145D68"/>
    <w:rsid w:val="00146CA2"/>
    <w:rsid w:val="00146E14"/>
    <w:rsid w:val="00152C14"/>
    <w:rsid w:val="00152D61"/>
    <w:rsid w:val="00152EEF"/>
    <w:rsid w:val="0015327B"/>
    <w:rsid w:val="0015416D"/>
    <w:rsid w:val="001541F1"/>
    <w:rsid w:val="0015644A"/>
    <w:rsid w:val="00156AAC"/>
    <w:rsid w:val="00157E80"/>
    <w:rsid w:val="00160848"/>
    <w:rsid w:val="00161F4D"/>
    <w:rsid w:val="0016320C"/>
    <w:rsid w:val="0016322A"/>
    <w:rsid w:val="0016387E"/>
    <w:rsid w:val="00163A49"/>
    <w:rsid w:val="00166F77"/>
    <w:rsid w:val="001678F9"/>
    <w:rsid w:val="00171DF4"/>
    <w:rsid w:val="0017246C"/>
    <w:rsid w:val="00174255"/>
    <w:rsid w:val="00174501"/>
    <w:rsid w:val="0017465B"/>
    <w:rsid w:val="00175A2F"/>
    <w:rsid w:val="00175B56"/>
    <w:rsid w:val="0017655C"/>
    <w:rsid w:val="00177AB6"/>
    <w:rsid w:val="001800CC"/>
    <w:rsid w:val="00180729"/>
    <w:rsid w:val="001813A0"/>
    <w:rsid w:val="0018178E"/>
    <w:rsid w:val="00181EBC"/>
    <w:rsid w:val="001840A1"/>
    <w:rsid w:val="00184EBE"/>
    <w:rsid w:val="00185913"/>
    <w:rsid w:val="00186C5E"/>
    <w:rsid w:val="001875CA"/>
    <w:rsid w:val="00190D4C"/>
    <w:rsid w:val="0019133C"/>
    <w:rsid w:val="0019157D"/>
    <w:rsid w:val="001920D4"/>
    <w:rsid w:val="00192670"/>
    <w:rsid w:val="001927C5"/>
    <w:rsid w:val="001932D5"/>
    <w:rsid w:val="0019377B"/>
    <w:rsid w:val="00193991"/>
    <w:rsid w:val="00193DFB"/>
    <w:rsid w:val="00195D3B"/>
    <w:rsid w:val="00196312"/>
    <w:rsid w:val="00196A58"/>
    <w:rsid w:val="00196DC1"/>
    <w:rsid w:val="001978F8"/>
    <w:rsid w:val="001A0FCB"/>
    <w:rsid w:val="001A21EC"/>
    <w:rsid w:val="001A2418"/>
    <w:rsid w:val="001A2F53"/>
    <w:rsid w:val="001A34C1"/>
    <w:rsid w:val="001A3B2C"/>
    <w:rsid w:val="001A4D6D"/>
    <w:rsid w:val="001A7BF5"/>
    <w:rsid w:val="001B0234"/>
    <w:rsid w:val="001B1B67"/>
    <w:rsid w:val="001B247D"/>
    <w:rsid w:val="001B5068"/>
    <w:rsid w:val="001B510F"/>
    <w:rsid w:val="001B56A7"/>
    <w:rsid w:val="001B63DC"/>
    <w:rsid w:val="001B6CA2"/>
    <w:rsid w:val="001B72D2"/>
    <w:rsid w:val="001B7E6F"/>
    <w:rsid w:val="001C084A"/>
    <w:rsid w:val="001C1769"/>
    <w:rsid w:val="001C3176"/>
    <w:rsid w:val="001C35A2"/>
    <w:rsid w:val="001C4EC0"/>
    <w:rsid w:val="001C5DE7"/>
    <w:rsid w:val="001C7133"/>
    <w:rsid w:val="001C7CBD"/>
    <w:rsid w:val="001D058A"/>
    <w:rsid w:val="001D05F6"/>
    <w:rsid w:val="001D1ED7"/>
    <w:rsid w:val="001D263B"/>
    <w:rsid w:val="001D2B88"/>
    <w:rsid w:val="001D2F61"/>
    <w:rsid w:val="001D324B"/>
    <w:rsid w:val="001D40E3"/>
    <w:rsid w:val="001D4CBB"/>
    <w:rsid w:val="001D6264"/>
    <w:rsid w:val="001D7814"/>
    <w:rsid w:val="001E1541"/>
    <w:rsid w:val="001E3141"/>
    <w:rsid w:val="001E373B"/>
    <w:rsid w:val="001E3743"/>
    <w:rsid w:val="001E4705"/>
    <w:rsid w:val="001E48EE"/>
    <w:rsid w:val="001E4D03"/>
    <w:rsid w:val="001E4F68"/>
    <w:rsid w:val="001E5648"/>
    <w:rsid w:val="001E5751"/>
    <w:rsid w:val="001E6DAB"/>
    <w:rsid w:val="001E798C"/>
    <w:rsid w:val="001E7DB8"/>
    <w:rsid w:val="001F0BFD"/>
    <w:rsid w:val="001F4910"/>
    <w:rsid w:val="001F68EE"/>
    <w:rsid w:val="00206C1A"/>
    <w:rsid w:val="002100E3"/>
    <w:rsid w:val="00210DC2"/>
    <w:rsid w:val="00211639"/>
    <w:rsid w:val="0021300D"/>
    <w:rsid w:val="00213B92"/>
    <w:rsid w:val="00213CC0"/>
    <w:rsid w:val="00215793"/>
    <w:rsid w:val="00215DAA"/>
    <w:rsid w:val="00215E0C"/>
    <w:rsid w:val="002164C7"/>
    <w:rsid w:val="002172AF"/>
    <w:rsid w:val="0022100D"/>
    <w:rsid w:val="00222630"/>
    <w:rsid w:val="002229C7"/>
    <w:rsid w:val="0022491C"/>
    <w:rsid w:val="00226B12"/>
    <w:rsid w:val="00230A27"/>
    <w:rsid w:val="00231A09"/>
    <w:rsid w:val="002322E7"/>
    <w:rsid w:val="00232314"/>
    <w:rsid w:val="00232FE4"/>
    <w:rsid w:val="00237D05"/>
    <w:rsid w:val="002400FC"/>
    <w:rsid w:val="00241BA0"/>
    <w:rsid w:val="00242B62"/>
    <w:rsid w:val="0024386A"/>
    <w:rsid w:val="002452F8"/>
    <w:rsid w:val="00247298"/>
    <w:rsid w:val="002479D0"/>
    <w:rsid w:val="00252CA0"/>
    <w:rsid w:val="00253968"/>
    <w:rsid w:val="002554BF"/>
    <w:rsid w:val="002558E1"/>
    <w:rsid w:val="00255F88"/>
    <w:rsid w:val="002576B9"/>
    <w:rsid w:val="002640F9"/>
    <w:rsid w:val="002646F2"/>
    <w:rsid w:val="00264ADA"/>
    <w:rsid w:val="00266662"/>
    <w:rsid w:val="002667B6"/>
    <w:rsid w:val="0026799E"/>
    <w:rsid w:val="002708C9"/>
    <w:rsid w:val="00274386"/>
    <w:rsid w:val="00274D1A"/>
    <w:rsid w:val="00280D61"/>
    <w:rsid w:val="00282E5D"/>
    <w:rsid w:val="00283729"/>
    <w:rsid w:val="00285891"/>
    <w:rsid w:val="0028715F"/>
    <w:rsid w:val="002900C5"/>
    <w:rsid w:val="002910E3"/>
    <w:rsid w:val="00291152"/>
    <w:rsid w:val="002912F8"/>
    <w:rsid w:val="002916DF"/>
    <w:rsid w:val="00291CCF"/>
    <w:rsid w:val="00292A0F"/>
    <w:rsid w:val="00293834"/>
    <w:rsid w:val="002949C3"/>
    <w:rsid w:val="00294BA6"/>
    <w:rsid w:val="00295417"/>
    <w:rsid w:val="00296571"/>
    <w:rsid w:val="00296A29"/>
    <w:rsid w:val="002973F3"/>
    <w:rsid w:val="002A03A2"/>
    <w:rsid w:val="002A06D3"/>
    <w:rsid w:val="002A26B6"/>
    <w:rsid w:val="002A34C6"/>
    <w:rsid w:val="002A3AE4"/>
    <w:rsid w:val="002A3FB3"/>
    <w:rsid w:val="002A643E"/>
    <w:rsid w:val="002B05B9"/>
    <w:rsid w:val="002B0843"/>
    <w:rsid w:val="002B23C7"/>
    <w:rsid w:val="002B241F"/>
    <w:rsid w:val="002B3067"/>
    <w:rsid w:val="002B4171"/>
    <w:rsid w:val="002B4E62"/>
    <w:rsid w:val="002B5267"/>
    <w:rsid w:val="002B5609"/>
    <w:rsid w:val="002B69B1"/>
    <w:rsid w:val="002B7056"/>
    <w:rsid w:val="002C0DB3"/>
    <w:rsid w:val="002C2171"/>
    <w:rsid w:val="002C363E"/>
    <w:rsid w:val="002C3AA1"/>
    <w:rsid w:val="002C4D30"/>
    <w:rsid w:val="002C5366"/>
    <w:rsid w:val="002C672B"/>
    <w:rsid w:val="002C73F0"/>
    <w:rsid w:val="002D16CA"/>
    <w:rsid w:val="002D17D9"/>
    <w:rsid w:val="002D200D"/>
    <w:rsid w:val="002D53B1"/>
    <w:rsid w:val="002E180A"/>
    <w:rsid w:val="002E1CB2"/>
    <w:rsid w:val="002E49B8"/>
    <w:rsid w:val="002E5F8E"/>
    <w:rsid w:val="002E62D9"/>
    <w:rsid w:val="002E71F9"/>
    <w:rsid w:val="002E7D13"/>
    <w:rsid w:val="002F13DE"/>
    <w:rsid w:val="002F173C"/>
    <w:rsid w:val="002F267F"/>
    <w:rsid w:val="002F4581"/>
    <w:rsid w:val="00300A74"/>
    <w:rsid w:val="003021F1"/>
    <w:rsid w:val="00303BDB"/>
    <w:rsid w:val="00305692"/>
    <w:rsid w:val="0030614F"/>
    <w:rsid w:val="00306196"/>
    <w:rsid w:val="00307AB5"/>
    <w:rsid w:val="00310B53"/>
    <w:rsid w:val="00313C78"/>
    <w:rsid w:val="0031788E"/>
    <w:rsid w:val="00320CAB"/>
    <w:rsid w:val="00321829"/>
    <w:rsid w:val="003268C1"/>
    <w:rsid w:val="003278AB"/>
    <w:rsid w:val="00327AB6"/>
    <w:rsid w:val="00330357"/>
    <w:rsid w:val="00330BD5"/>
    <w:rsid w:val="00330DA4"/>
    <w:rsid w:val="003311C4"/>
    <w:rsid w:val="003317AE"/>
    <w:rsid w:val="00331DEA"/>
    <w:rsid w:val="00335785"/>
    <w:rsid w:val="00335A18"/>
    <w:rsid w:val="00340562"/>
    <w:rsid w:val="00340D87"/>
    <w:rsid w:val="003415C0"/>
    <w:rsid w:val="00342B5A"/>
    <w:rsid w:val="00342CC7"/>
    <w:rsid w:val="003431F4"/>
    <w:rsid w:val="00343F5E"/>
    <w:rsid w:val="00344BAD"/>
    <w:rsid w:val="0034504A"/>
    <w:rsid w:val="00345182"/>
    <w:rsid w:val="00345E7F"/>
    <w:rsid w:val="00347F1D"/>
    <w:rsid w:val="0035024F"/>
    <w:rsid w:val="00350ADB"/>
    <w:rsid w:val="003525B9"/>
    <w:rsid w:val="00352FF0"/>
    <w:rsid w:val="003558FA"/>
    <w:rsid w:val="00356744"/>
    <w:rsid w:val="00362077"/>
    <w:rsid w:val="00363898"/>
    <w:rsid w:val="00364313"/>
    <w:rsid w:val="003678EA"/>
    <w:rsid w:val="003700D4"/>
    <w:rsid w:val="0037442F"/>
    <w:rsid w:val="003757A3"/>
    <w:rsid w:val="00377258"/>
    <w:rsid w:val="003813B0"/>
    <w:rsid w:val="0038386E"/>
    <w:rsid w:val="00385485"/>
    <w:rsid w:val="00386897"/>
    <w:rsid w:val="003868BA"/>
    <w:rsid w:val="0039028D"/>
    <w:rsid w:val="003908B0"/>
    <w:rsid w:val="00391047"/>
    <w:rsid w:val="00392F70"/>
    <w:rsid w:val="003933B3"/>
    <w:rsid w:val="0039404F"/>
    <w:rsid w:val="0039413C"/>
    <w:rsid w:val="00394862"/>
    <w:rsid w:val="00395401"/>
    <w:rsid w:val="00395DB4"/>
    <w:rsid w:val="0039615C"/>
    <w:rsid w:val="003969CD"/>
    <w:rsid w:val="00397B0E"/>
    <w:rsid w:val="003A08DF"/>
    <w:rsid w:val="003A16D6"/>
    <w:rsid w:val="003A2761"/>
    <w:rsid w:val="003A3244"/>
    <w:rsid w:val="003A3F26"/>
    <w:rsid w:val="003A487C"/>
    <w:rsid w:val="003A5E68"/>
    <w:rsid w:val="003A6798"/>
    <w:rsid w:val="003A7291"/>
    <w:rsid w:val="003A75C2"/>
    <w:rsid w:val="003A775E"/>
    <w:rsid w:val="003B0989"/>
    <w:rsid w:val="003B17E9"/>
    <w:rsid w:val="003B2156"/>
    <w:rsid w:val="003B3A72"/>
    <w:rsid w:val="003B45F7"/>
    <w:rsid w:val="003B5BD3"/>
    <w:rsid w:val="003B5E56"/>
    <w:rsid w:val="003B63AF"/>
    <w:rsid w:val="003B671E"/>
    <w:rsid w:val="003B6B1A"/>
    <w:rsid w:val="003C0816"/>
    <w:rsid w:val="003C17BC"/>
    <w:rsid w:val="003C1C2F"/>
    <w:rsid w:val="003C3063"/>
    <w:rsid w:val="003C33CB"/>
    <w:rsid w:val="003C4124"/>
    <w:rsid w:val="003C5C98"/>
    <w:rsid w:val="003C688D"/>
    <w:rsid w:val="003C6DB6"/>
    <w:rsid w:val="003C6E63"/>
    <w:rsid w:val="003C78A7"/>
    <w:rsid w:val="003C7AEF"/>
    <w:rsid w:val="003D03DB"/>
    <w:rsid w:val="003D1614"/>
    <w:rsid w:val="003D1981"/>
    <w:rsid w:val="003D3B97"/>
    <w:rsid w:val="003D437C"/>
    <w:rsid w:val="003D4BBB"/>
    <w:rsid w:val="003D4CFD"/>
    <w:rsid w:val="003D4F6D"/>
    <w:rsid w:val="003D642D"/>
    <w:rsid w:val="003D7DA8"/>
    <w:rsid w:val="003E0E4A"/>
    <w:rsid w:val="003E15B8"/>
    <w:rsid w:val="003E2F5E"/>
    <w:rsid w:val="003E3650"/>
    <w:rsid w:val="003E3A7E"/>
    <w:rsid w:val="003E5073"/>
    <w:rsid w:val="003E73E3"/>
    <w:rsid w:val="003F095A"/>
    <w:rsid w:val="003F0E20"/>
    <w:rsid w:val="003F3733"/>
    <w:rsid w:val="003F6D46"/>
    <w:rsid w:val="003F6DDE"/>
    <w:rsid w:val="003F7498"/>
    <w:rsid w:val="004000B4"/>
    <w:rsid w:val="0040073C"/>
    <w:rsid w:val="004043FF"/>
    <w:rsid w:val="00404AEC"/>
    <w:rsid w:val="004050CA"/>
    <w:rsid w:val="00411E22"/>
    <w:rsid w:val="004127DC"/>
    <w:rsid w:val="004135C2"/>
    <w:rsid w:val="00413781"/>
    <w:rsid w:val="00414A53"/>
    <w:rsid w:val="00414A5D"/>
    <w:rsid w:val="004152E7"/>
    <w:rsid w:val="00416049"/>
    <w:rsid w:val="00416E8C"/>
    <w:rsid w:val="004172CB"/>
    <w:rsid w:val="00420E29"/>
    <w:rsid w:val="0042271A"/>
    <w:rsid w:val="00422BC4"/>
    <w:rsid w:val="00423A2C"/>
    <w:rsid w:val="00423D00"/>
    <w:rsid w:val="00425EA8"/>
    <w:rsid w:val="00427EF0"/>
    <w:rsid w:val="004302B0"/>
    <w:rsid w:val="004304EF"/>
    <w:rsid w:val="00430656"/>
    <w:rsid w:val="00432E8C"/>
    <w:rsid w:val="00433B95"/>
    <w:rsid w:val="00437E24"/>
    <w:rsid w:val="00444A84"/>
    <w:rsid w:val="0044511A"/>
    <w:rsid w:val="00445750"/>
    <w:rsid w:val="00446494"/>
    <w:rsid w:val="00447967"/>
    <w:rsid w:val="004504DA"/>
    <w:rsid w:val="004516D7"/>
    <w:rsid w:val="00451DEF"/>
    <w:rsid w:val="0045202E"/>
    <w:rsid w:val="0045443F"/>
    <w:rsid w:val="00455208"/>
    <w:rsid w:val="00455382"/>
    <w:rsid w:val="00457334"/>
    <w:rsid w:val="004576B5"/>
    <w:rsid w:val="00457A03"/>
    <w:rsid w:val="0046034A"/>
    <w:rsid w:val="004608BF"/>
    <w:rsid w:val="00460D11"/>
    <w:rsid w:val="00462313"/>
    <w:rsid w:val="00462527"/>
    <w:rsid w:val="00462736"/>
    <w:rsid w:val="00463ECC"/>
    <w:rsid w:val="00464ABA"/>
    <w:rsid w:val="00465E49"/>
    <w:rsid w:val="00466021"/>
    <w:rsid w:val="0046704D"/>
    <w:rsid w:val="004674C7"/>
    <w:rsid w:val="00467B13"/>
    <w:rsid w:val="00467C62"/>
    <w:rsid w:val="0047097F"/>
    <w:rsid w:val="00475943"/>
    <w:rsid w:val="00477D7D"/>
    <w:rsid w:val="004815C7"/>
    <w:rsid w:val="00481603"/>
    <w:rsid w:val="00482E5E"/>
    <w:rsid w:val="00483181"/>
    <w:rsid w:val="00483AE8"/>
    <w:rsid w:val="00484453"/>
    <w:rsid w:val="00485ECA"/>
    <w:rsid w:val="00485EF9"/>
    <w:rsid w:val="004878DE"/>
    <w:rsid w:val="0049181B"/>
    <w:rsid w:val="0049229A"/>
    <w:rsid w:val="004931E7"/>
    <w:rsid w:val="00493A2C"/>
    <w:rsid w:val="00493A66"/>
    <w:rsid w:val="004940DB"/>
    <w:rsid w:val="004973A5"/>
    <w:rsid w:val="00497F7F"/>
    <w:rsid w:val="004A0246"/>
    <w:rsid w:val="004A1D2D"/>
    <w:rsid w:val="004A20F6"/>
    <w:rsid w:val="004A2725"/>
    <w:rsid w:val="004A2894"/>
    <w:rsid w:val="004A3F2D"/>
    <w:rsid w:val="004A41E2"/>
    <w:rsid w:val="004A6325"/>
    <w:rsid w:val="004A7D1E"/>
    <w:rsid w:val="004A7D5D"/>
    <w:rsid w:val="004B083E"/>
    <w:rsid w:val="004B2649"/>
    <w:rsid w:val="004B3181"/>
    <w:rsid w:val="004B3292"/>
    <w:rsid w:val="004B4908"/>
    <w:rsid w:val="004B627D"/>
    <w:rsid w:val="004B6CB0"/>
    <w:rsid w:val="004C07A7"/>
    <w:rsid w:val="004C0F3F"/>
    <w:rsid w:val="004C3E2C"/>
    <w:rsid w:val="004C5325"/>
    <w:rsid w:val="004C6F2C"/>
    <w:rsid w:val="004C75B0"/>
    <w:rsid w:val="004D00B3"/>
    <w:rsid w:val="004D09BA"/>
    <w:rsid w:val="004D1287"/>
    <w:rsid w:val="004D2B7E"/>
    <w:rsid w:val="004D37AA"/>
    <w:rsid w:val="004D43AA"/>
    <w:rsid w:val="004D787F"/>
    <w:rsid w:val="004E0091"/>
    <w:rsid w:val="004E1918"/>
    <w:rsid w:val="004E1C27"/>
    <w:rsid w:val="004E2C23"/>
    <w:rsid w:val="004E3EE7"/>
    <w:rsid w:val="004E584D"/>
    <w:rsid w:val="004E633C"/>
    <w:rsid w:val="004E641C"/>
    <w:rsid w:val="004E7A1E"/>
    <w:rsid w:val="004F0B24"/>
    <w:rsid w:val="004F0CD6"/>
    <w:rsid w:val="004F0E47"/>
    <w:rsid w:val="004F0FEC"/>
    <w:rsid w:val="004F2133"/>
    <w:rsid w:val="004F5B56"/>
    <w:rsid w:val="004F5B61"/>
    <w:rsid w:val="0050050C"/>
    <w:rsid w:val="00500786"/>
    <w:rsid w:val="00500F46"/>
    <w:rsid w:val="00502FD2"/>
    <w:rsid w:val="00504BDA"/>
    <w:rsid w:val="00504F18"/>
    <w:rsid w:val="00505134"/>
    <w:rsid w:val="00505224"/>
    <w:rsid w:val="005053DF"/>
    <w:rsid w:val="00506A08"/>
    <w:rsid w:val="00506E9A"/>
    <w:rsid w:val="0051390B"/>
    <w:rsid w:val="00513F10"/>
    <w:rsid w:val="005142DA"/>
    <w:rsid w:val="0051581C"/>
    <w:rsid w:val="005159D3"/>
    <w:rsid w:val="00516DE5"/>
    <w:rsid w:val="00517D12"/>
    <w:rsid w:val="00520948"/>
    <w:rsid w:val="00520A01"/>
    <w:rsid w:val="005228BE"/>
    <w:rsid w:val="00523565"/>
    <w:rsid w:val="00523DFD"/>
    <w:rsid w:val="00526BD4"/>
    <w:rsid w:val="005273FB"/>
    <w:rsid w:val="00527FE5"/>
    <w:rsid w:val="005306E5"/>
    <w:rsid w:val="00530878"/>
    <w:rsid w:val="00531D68"/>
    <w:rsid w:val="00532982"/>
    <w:rsid w:val="005333AB"/>
    <w:rsid w:val="0053342B"/>
    <w:rsid w:val="00533871"/>
    <w:rsid w:val="005338D2"/>
    <w:rsid w:val="00533C7E"/>
    <w:rsid w:val="00534C35"/>
    <w:rsid w:val="00535105"/>
    <w:rsid w:val="00535D96"/>
    <w:rsid w:val="00537633"/>
    <w:rsid w:val="00542CBE"/>
    <w:rsid w:val="00544134"/>
    <w:rsid w:val="00544B19"/>
    <w:rsid w:val="00544EEF"/>
    <w:rsid w:val="00546B61"/>
    <w:rsid w:val="005504D0"/>
    <w:rsid w:val="00550978"/>
    <w:rsid w:val="00550C38"/>
    <w:rsid w:val="005516F0"/>
    <w:rsid w:val="00553C2D"/>
    <w:rsid w:val="00553E1D"/>
    <w:rsid w:val="0055446E"/>
    <w:rsid w:val="00554F62"/>
    <w:rsid w:val="00557BDC"/>
    <w:rsid w:val="0056069E"/>
    <w:rsid w:val="00562D78"/>
    <w:rsid w:val="00563F7F"/>
    <w:rsid w:val="005643B9"/>
    <w:rsid w:val="00564EC8"/>
    <w:rsid w:val="00566597"/>
    <w:rsid w:val="0056686B"/>
    <w:rsid w:val="00566EBB"/>
    <w:rsid w:val="00567101"/>
    <w:rsid w:val="00570450"/>
    <w:rsid w:val="00573A60"/>
    <w:rsid w:val="00573C0A"/>
    <w:rsid w:val="00575164"/>
    <w:rsid w:val="00576972"/>
    <w:rsid w:val="00577831"/>
    <w:rsid w:val="00577876"/>
    <w:rsid w:val="00577D2D"/>
    <w:rsid w:val="005804CD"/>
    <w:rsid w:val="00584341"/>
    <w:rsid w:val="00585834"/>
    <w:rsid w:val="00591130"/>
    <w:rsid w:val="00591BD2"/>
    <w:rsid w:val="0059218D"/>
    <w:rsid w:val="00592602"/>
    <w:rsid w:val="00593EDC"/>
    <w:rsid w:val="005956DD"/>
    <w:rsid w:val="005A078E"/>
    <w:rsid w:val="005A0C72"/>
    <w:rsid w:val="005A401D"/>
    <w:rsid w:val="005A72D5"/>
    <w:rsid w:val="005B1563"/>
    <w:rsid w:val="005B1860"/>
    <w:rsid w:val="005B255F"/>
    <w:rsid w:val="005B591F"/>
    <w:rsid w:val="005B62DA"/>
    <w:rsid w:val="005B6310"/>
    <w:rsid w:val="005B7C30"/>
    <w:rsid w:val="005B7EA3"/>
    <w:rsid w:val="005C0329"/>
    <w:rsid w:val="005C2756"/>
    <w:rsid w:val="005C53CD"/>
    <w:rsid w:val="005C64E7"/>
    <w:rsid w:val="005C7D23"/>
    <w:rsid w:val="005D3F89"/>
    <w:rsid w:val="005D4EA5"/>
    <w:rsid w:val="005D5085"/>
    <w:rsid w:val="005D6A5A"/>
    <w:rsid w:val="005D7FB6"/>
    <w:rsid w:val="005E135A"/>
    <w:rsid w:val="005E141A"/>
    <w:rsid w:val="005E3010"/>
    <w:rsid w:val="005E554E"/>
    <w:rsid w:val="005F2985"/>
    <w:rsid w:val="005F46F6"/>
    <w:rsid w:val="005F7A78"/>
    <w:rsid w:val="005F7C46"/>
    <w:rsid w:val="005F7F3D"/>
    <w:rsid w:val="005F7F5C"/>
    <w:rsid w:val="006018FA"/>
    <w:rsid w:val="00605483"/>
    <w:rsid w:val="0061144A"/>
    <w:rsid w:val="00611BB7"/>
    <w:rsid w:val="0061417D"/>
    <w:rsid w:val="00615C3E"/>
    <w:rsid w:val="00617755"/>
    <w:rsid w:val="00617B8A"/>
    <w:rsid w:val="00617CCE"/>
    <w:rsid w:val="00620E21"/>
    <w:rsid w:val="00621BC3"/>
    <w:rsid w:val="006221AA"/>
    <w:rsid w:val="00624CCA"/>
    <w:rsid w:val="00625051"/>
    <w:rsid w:val="00626FB7"/>
    <w:rsid w:val="006272C6"/>
    <w:rsid w:val="00627B08"/>
    <w:rsid w:val="00632950"/>
    <w:rsid w:val="00632FFB"/>
    <w:rsid w:val="006345D9"/>
    <w:rsid w:val="0063682A"/>
    <w:rsid w:val="0064018A"/>
    <w:rsid w:val="00640562"/>
    <w:rsid w:val="006409C4"/>
    <w:rsid w:val="006421FD"/>
    <w:rsid w:val="00642688"/>
    <w:rsid w:val="00642A9C"/>
    <w:rsid w:val="006435F7"/>
    <w:rsid w:val="006448A1"/>
    <w:rsid w:val="0064553E"/>
    <w:rsid w:val="006455A1"/>
    <w:rsid w:val="006456C8"/>
    <w:rsid w:val="006472FF"/>
    <w:rsid w:val="006505A3"/>
    <w:rsid w:val="00651C37"/>
    <w:rsid w:val="0065220D"/>
    <w:rsid w:val="0065246C"/>
    <w:rsid w:val="00653991"/>
    <w:rsid w:val="00654300"/>
    <w:rsid w:val="00654568"/>
    <w:rsid w:val="00654D7B"/>
    <w:rsid w:val="006556B0"/>
    <w:rsid w:val="006562F0"/>
    <w:rsid w:val="00656B74"/>
    <w:rsid w:val="00656F60"/>
    <w:rsid w:val="006608B5"/>
    <w:rsid w:val="00660CF4"/>
    <w:rsid w:val="0066115A"/>
    <w:rsid w:val="00661446"/>
    <w:rsid w:val="0066245B"/>
    <w:rsid w:val="00663528"/>
    <w:rsid w:val="00663A78"/>
    <w:rsid w:val="00665166"/>
    <w:rsid w:val="00665AD0"/>
    <w:rsid w:val="00665B2A"/>
    <w:rsid w:val="00672AA1"/>
    <w:rsid w:val="006733BD"/>
    <w:rsid w:val="006744C0"/>
    <w:rsid w:val="006755D2"/>
    <w:rsid w:val="006767AC"/>
    <w:rsid w:val="0067706A"/>
    <w:rsid w:val="0068010E"/>
    <w:rsid w:val="00680374"/>
    <w:rsid w:val="006807D0"/>
    <w:rsid w:val="00680EE1"/>
    <w:rsid w:val="00680EFD"/>
    <w:rsid w:val="0068227E"/>
    <w:rsid w:val="006826A0"/>
    <w:rsid w:val="00683664"/>
    <w:rsid w:val="006836FE"/>
    <w:rsid w:val="00684943"/>
    <w:rsid w:val="00685466"/>
    <w:rsid w:val="00687B83"/>
    <w:rsid w:val="00687F2A"/>
    <w:rsid w:val="00694BB7"/>
    <w:rsid w:val="00695C10"/>
    <w:rsid w:val="00696903"/>
    <w:rsid w:val="00696BAA"/>
    <w:rsid w:val="006A12A3"/>
    <w:rsid w:val="006A1846"/>
    <w:rsid w:val="006A263A"/>
    <w:rsid w:val="006A413A"/>
    <w:rsid w:val="006A5788"/>
    <w:rsid w:val="006A5915"/>
    <w:rsid w:val="006A67A0"/>
    <w:rsid w:val="006B0105"/>
    <w:rsid w:val="006B02F3"/>
    <w:rsid w:val="006B0C41"/>
    <w:rsid w:val="006B268B"/>
    <w:rsid w:val="006B3C76"/>
    <w:rsid w:val="006B3DB0"/>
    <w:rsid w:val="006B448C"/>
    <w:rsid w:val="006B5FFB"/>
    <w:rsid w:val="006C087B"/>
    <w:rsid w:val="006C0D13"/>
    <w:rsid w:val="006C114B"/>
    <w:rsid w:val="006C2C38"/>
    <w:rsid w:val="006C2C77"/>
    <w:rsid w:val="006C348B"/>
    <w:rsid w:val="006C4CDE"/>
    <w:rsid w:val="006C51FB"/>
    <w:rsid w:val="006C78AC"/>
    <w:rsid w:val="006D0921"/>
    <w:rsid w:val="006D2926"/>
    <w:rsid w:val="006D3658"/>
    <w:rsid w:val="006D3957"/>
    <w:rsid w:val="006D5802"/>
    <w:rsid w:val="006D5D13"/>
    <w:rsid w:val="006D6078"/>
    <w:rsid w:val="006D7927"/>
    <w:rsid w:val="006E2233"/>
    <w:rsid w:val="006E48EE"/>
    <w:rsid w:val="006E498C"/>
    <w:rsid w:val="006E5168"/>
    <w:rsid w:val="006E5391"/>
    <w:rsid w:val="006E6024"/>
    <w:rsid w:val="006E638F"/>
    <w:rsid w:val="006E674A"/>
    <w:rsid w:val="006E7D10"/>
    <w:rsid w:val="006F1B7D"/>
    <w:rsid w:val="006F4F91"/>
    <w:rsid w:val="006F512C"/>
    <w:rsid w:val="006F5DF0"/>
    <w:rsid w:val="006F6600"/>
    <w:rsid w:val="006F7B5C"/>
    <w:rsid w:val="00700DE7"/>
    <w:rsid w:val="00701F0C"/>
    <w:rsid w:val="00703C65"/>
    <w:rsid w:val="007040BB"/>
    <w:rsid w:val="00704BEA"/>
    <w:rsid w:val="00705D47"/>
    <w:rsid w:val="00707B91"/>
    <w:rsid w:val="007104DA"/>
    <w:rsid w:val="007111C8"/>
    <w:rsid w:val="00711634"/>
    <w:rsid w:val="00711BB5"/>
    <w:rsid w:val="00711E16"/>
    <w:rsid w:val="007154E0"/>
    <w:rsid w:val="00720290"/>
    <w:rsid w:val="0072101D"/>
    <w:rsid w:val="007214E2"/>
    <w:rsid w:val="00721EFB"/>
    <w:rsid w:val="007223DE"/>
    <w:rsid w:val="007227AA"/>
    <w:rsid w:val="007239E6"/>
    <w:rsid w:val="00723D2A"/>
    <w:rsid w:val="00723F0B"/>
    <w:rsid w:val="007241DC"/>
    <w:rsid w:val="0072432D"/>
    <w:rsid w:val="007301FA"/>
    <w:rsid w:val="00730BBD"/>
    <w:rsid w:val="00730D7B"/>
    <w:rsid w:val="00732D6B"/>
    <w:rsid w:val="0073449B"/>
    <w:rsid w:val="007351C9"/>
    <w:rsid w:val="00735C8F"/>
    <w:rsid w:val="00737443"/>
    <w:rsid w:val="00737D16"/>
    <w:rsid w:val="00742F50"/>
    <w:rsid w:val="00746400"/>
    <w:rsid w:val="00746AF8"/>
    <w:rsid w:val="007478FB"/>
    <w:rsid w:val="0075256F"/>
    <w:rsid w:val="0075270D"/>
    <w:rsid w:val="00753D23"/>
    <w:rsid w:val="0075594B"/>
    <w:rsid w:val="007565FE"/>
    <w:rsid w:val="007573D6"/>
    <w:rsid w:val="00757404"/>
    <w:rsid w:val="007574BB"/>
    <w:rsid w:val="00757BF5"/>
    <w:rsid w:val="0076245E"/>
    <w:rsid w:val="00764509"/>
    <w:rsid w:val="00764DAE"/>
    <w:rsid w:val="007717F3"/>
    <w:rsid w:val="00771BFE"/>
    <w:rsid w:val="0077291A"/>
    <w:rsid w:val="007739FE"/>
    <w:rsid w:val="00774AFA"/>
    <w:rsid w:val="00776874"/>
    <w:rsid w:val="00776EA8"/>
    <w:rsid w:val="00777ED4"/>
    <w:rsid w:val="0078159C"/>
    <w:rsid w:val="00782778"/>
    <w:rsid w:val="00782DDD"/>
    <w:rsid w:val="007832AD"/>
    <w:rsid w:val="00783B45"/>
    <w:rsid w:val="00785584"/>
    <w:rsid w:val="00786E45"/>
    <w:rsid w:val="0079032C"/>
    <w:rsid w:val="0079135E"/>
    <w:rsid w:val="007923CE"/>
    <w:rsid w:val="00794432"/>
    <w:rsid w:val="007954E0"/>
    <w:rsid w:val="00795DD8"/>
    <w:rsid w:val="007A088A"/>
    <w:rsid w:val="007A3831"/>
    <w:rsid w:val="007A4E3D"/>
    <w:rsid w:val="007A6377"/>
    <w:rsid w:val="007A6829"/>
    <w:rsid w:val="007A77B7"/>
    <w:rsid w:val="007A7842"/>
    <w:rsid w:val="007A7D63"/>
    <w:rsid w:val="007B0B79"/>
    <w:rsid w:val="007B107D"/>
    <w:rsid w:val="007B1C16"/>
    <w:rsid w:val="007B3402"/>
    <w:rsid w:val="007B3502"/>
    <w:rsid w:val="007B3CEA"/>
    <w:rsid w:val="007B5CF7"/>
    <w:rsid w:val="007B7232"/>
    <w:rsid w:val="007B7C47"/>
    <w:rsid w:val="007C112B"/>
    <w:rsid w:val="007C3C47"/>
    <w:rsid w:val="007C4430"/>
    <w:rsid w:val="007C6BEE"/>
    <w:rsid w:val="007D07A8"/>
    <w:rsid w:val="007D172C"/>
    <w:rsid w:val="007D1A1D"/>
    <w:rsid w:val="007D277A"/>
    <w:rsid w:val="007D297B"/>
    <w:rsid w:val="007D38EA"/>
    <w:rsid w:val="007D3E7A"/>
    <w:rsid w:val="007D4507"/>
    <w:rsid w:val="007D4F72"/>
    <w:rsid w:val="007D5F94"/>
    <w:rsid w:val="007D7645"/>
    <w:rsid w:val="007D780F"/>
    <w:rsid w:val="007E02F6"/>
    <w:rsid w:val="007E08EC"/>
    <w:rsid w:val="007E383D"/>
    <w:rsid w:val="007E5285"/>
    <w:rsid w:val="007E5511"/>
    <w:rsid w:val="007E5C88"/>
    <w:rsid w:val="007E6596"/>
    <w:rsid w:val="007E675B"/>
    <w:rsid w:val="007F1EF9"/>
    <w:rsid w:val="007F46AF"/>
    <w:rsid w:val="007F4888"/>
    <w:rsid w:val="007F6CEF"/>
    <w:rsid w:val="007F7A24"/>
    <w:rsid w:val="008002D1"/>
    <w:rsid w:val="008038C3"/>
    <w:rsid w:val="00804D92"/>
    <w:rsid w:val="00805368"/>
    <w:rsid w:val="00806DCC"/>
    <w:rsid w:val="00806E49"/>
    <w:rsid w:val="00807D13"/>
    <w:rsid w:val="008129CE"/>
    <w:rsid w:val="00813889"/>
    <w:rsid w:val="00815314"/>
    <w:rsid w:val="008169F4"/>
    <w:rsid w:val="008206D7"/>
    <w:rsid w:val="00822E2D"/>
    <w:rsid w:val="008237AE"/>
    <w:rsid w:val="00823918"/>
    <w:rsid w:val="00823C13"/>
    <w:rsid w:val="00825AD5"/>
    <w:rsid w:val="00826BA8"/>
    <w:rsid w:val="00830330"/>
    <w:rsid w:val="008322A0"/>
    <w:rsid w:val="00832968"/>
    <w:rsid w:val="008343A2"/>
    <w:rsid w:val="0083600D"/>
    <w:rsid w:val="00836315"/>
    <w:rsid w:val="00836F85"/>
    <w:rsid w:val="00837568"/>
    <w:rsid w:val="00837E3A"/>
    <w:rsid w:val="008427A4"/>
    <w:rsid w:val="00842E72"/>
    <w:rsid w:val="0084361A"/>
    <w:rsid w:val="00843998"/>
    <w:rsid w:val="0084405A"/>
    <w:rsid w:val="00844276"/>
    <w:rsid w:val="008449D1"/>
    <w:rsid w:val="008452CB"/>
    <w:rsid w:val="00847EB4"/>
    <w:rsid w:val="0085105D"/>
    <w:rsid w:val="008513B6"/>
    <w:rsid w:val="008513CA"/>
    <w:rsid w:val="008518F6"/>
    <w:rsid w:val="008519ED"/>
    <w:rsid w:val="00855D98"/>
    <w:rsid w:val="008567A9"/>
    <w:rsid w:val="00856DF2"/>
    <w:rsid w:val="00857194"/>
    <w:rsid w:val="00864F40"/>
    <w:rsid w:val="00866D20"/>
    <w:rsid w:val="00867085"/>
    <w:rsid w:val="00867A2C"/>
    <w:rsid w:val="00870460"/>
    <w:rsid w:val="00871FD0"/>
    <w:rsid w:val="0087267F"/>
    <w:rsid w:val="00876A7C"/>
    <w:rsid w:val="008774B9"/>
    <w:rsid w:val="00881155"/>
    <w:rsid w:val="008813D2"/>
    <w:rsid w:val="00881602"/>
    <w:rsid w:val="0088288C"/>
    <w:rsid w:val="008834D1"/>
    <w:rsid w:val="0088467A"/>
    <w:rsid w:val="0088484F"/>
    <w:rsid w:val="00886C62"/>
    <w:rsid w:val="0088718D"/>
    <w:rsid w:val="008910C5"/>
    <w:rsid w:val="00893BA2"/>
    <w:rsid w:val="00893BF4"/>
    <w:rsid w:val="008948F1"/>
    <w:rsid w:val="00894E47"/>
    <w:rsid w:val="00895046"/>
    <w:rsid w:val="0089589B"/>
    <w:rsid w:val="008970F4"/>
    <w:rsid w:val="00897733"/>
    <w:rsid w:val="008A2FA6"/>
    <w:rsid w:val="008A31ED"/>
    <w:rsid w:val="008A46FB"/>
    <w:rsid w:val="008A7464"/>
    <w:rsid w:val="008B093C"/>
    <w:rsid w:val="008B0C96"/>
    <w:rsid w:val="008B0E0F"/>
    <w:rsid w:val="008B0FEC"/>
    <w:rsid w:val="008B13B1"/>
    <w:rsid w:val="008B1E91"/>
    <w:rsid w:val="008B43D7"/>
    <w:rsid w:val="008B5220"/>
    <w:rsid w:val="008B58A6"/>
    <w:rsid w:val="008B6CC4"/>
    <w:rsid w:val="008C1115"/>
    <w:rsid w:val="008C3582"/>
    <w:rsid w:val="008C368A"/>
    <w:rsid w:val="008C374C"/>
    <w:rsid w:val="008C3D5B"/>
    <w:rsid w:val="008C3F47"/>
    <w:rsid w:val="008C4754"/>
    <w:rsid w:val="008C4AFE"/>
    <w:rsid w:val="008C6104"/>
    <w:rsid w:val="008C6203"/>
    <w:rsid w:val="008D16A0"/>
    <w:rsid w:val="008D455C"/>
    <w:rsid w:val="008D634C"/>
    <w:rsid w:val="008E2F58"/>
    <w:rsid w:val="008E5E7C"/>
    <w:rsid w:val="008E7960"/>
    <w:rsid w:val="008F09B7"/>
    <w:rsid w:val="008F0DB0"/>
    <w:rsid w:val="008F2F6A"/>
    <w:rsid w:val="008F3AF9"/>
    <w:rsid w:val="008F4081"/>
    <w:rsid w:val="008F7390"/>
    <w:rsid w:val="008F7A6F"/>
    <w:rsid w:val="008F7D29"/>
    <w:rsid w:val="00901709"/>
    <w:rsid w:val="0090307B"/>
    <w:rsid w:val="0090386C"/>
    <w:rsid w:val="00905DBA"/>
    <w:rsid w:val="009106C1"/>
    <w:rsid w:val="00910AA1"/>
    <w:rsid w:val="00910C9A"/>
    <w:rsid w:val="00911029"/>
    <w:rsid w:val="0091679F"/>
    <w:rsid w:val="00916F14"/>
    <w:rsid w:val="009203C5"/>
    <w:rsid w:val="009218FE"/>
    <w:rsid w:val="009240C0"/>
    <w:rsid w:val="009243A8"/>
    <w:rsid w:val="0092597D"/>
    <w:rsid w:val="00925F8C"/>
    <w:rsid w:val="00927007"/>
    <w:rsid w:val="009277A2"/>
    <w:rsid w:val="00927AD5"/>
    <w:rsid w:val="00930E81"/>
    <w:rsid w:val="00931D2F"/>
    <w:rsid w:val="00933F63"/>
    <w:rsid w:val="00935EE7"/>
    <w:rsid w:val="00937272"/>
    <w:rsid w:val="00937724"/>
    <w:rsid w:val="00941001"/>
    <w:rsid w:val="009414BF"/>
    <w:rsid w:val="00941E67"/>
    <w:rsid w:val="00943816"/>
    <w:rsid w:val="00944089"/>
    <w:rsid w:val="00944CAE"/>
    <w:rsid w:val="009454A5"/>
    <w:rsid w:val="00945CF5"/>
    <w:rsid w:val="00946D50"/>
    <w:rsid w:val="009470C3"/>
    <w:rsid w:val="00950985"/>
    <w:rsid w:val="00951803"/>
    <w:rsid w:val="0095347D"/>
    <w:rsid w:val="009534D3"/>
    <w:rsid w:val="009561FE"/>
    <w:rsid w:val="009576B7"/>
    <w:rsid w:val="00960E94"/>
    <w:rsid w:val="009610DD"/>
    <w:rsid w:val="00961CDB"/>
    <w:rsid w:val="00962C3E"/>
    <w:rsid w:val="009650D0"/>
    <w:rsid w:val="00965B69"/>
    <w:rsid w:val="00965D54"/>
    <w:rsid w:val="00965E12"/>
    <w:rsid w:val="009733FE"/>
    <w:rsid w:val="009735C3"/>
    <w:rsid w:val="00975E47"/>
    <w:rsid w:val="009764D1"/>
    <w:rsid w:val="0097713F"/>
    <w:rsid w:val="00977AFA"/>
    <w:rsid w:val="00980320"/>
    <w:rsid w:val="00981E39"/>
    <w:rsid w:val="009835E9"/>
    <w:rsid w:val="00983A4D"/>
    <w:rsid w:val="00984BC2"/>
    <w:rsid w:val="00986DE9"/>
    <w:rsid w:val="00994747"/>
    <w:rsid w:val="00994783"/>
    <w:rsid w:val="00995616"/>
    <w:rsid w:val="00995DFE"/>
    <w:rsid w:val="0099690C"/>
    <w:rsid w:val="009969FB"/>
    <w:rsid w:val="009A1A33"/>
    <w:rsid w:val="009A2CDB"/>
    <w:rsid w:val="009A38B3"/>
    <w:rsid w:val="009A3EDF"/>
    <w:rsid w:val="009A5998"/>
    <w:rsid w:val="009A64AE"/>
    <w:rsid w:val="009B07B0"/>
    <w:rsid w:val="009B1838"/>
    <w:rsid w:val="009B1C37"/>
    <w:rsid w:val="009B1DBE"/>
    <w:rsid w:val="009B4547"/>
    <w:rsid w:val="009B4E9B"/>
    <w:rsid w:val="009B5185"/>
    <w:rsid w:val="009B6237"/>
    <w:rsid w:val="009C115D"/>
    <w:rsid w:val="009C2F01"/>
    <w:rsid w:val="009C3319"/>
    <w:rsid w:val="009C6379"/>
    <w:rsid w:val="009D0124"/>
    <w:rsid w:val="009D04EC"/>
    <w:rsid w:val="009D0E29"/>
    <w:rsid w:val="009D115A"/>
    <w:rsid w:val="009D1920"/>
    <w:rsid w:val="009D1D2A"/>
    <w:rsid w:val="009D2C5C"/>
    <w:rsid w:val="009D3818"/>
    <w:rsid w:val="009D3C58"/>
    <w:rsid w:val="009D3F79"/>
    <w:rsid w:val="009D3F8F"/>
    <w:rsid w:val="009D582A"/>
    <w:rsid w:val="009D5B7B"/>
    <w:rsid w:val="009D6246"/>
    <w:rsid w:val="009D681D"/>
    <w:rsid w:val="009D6E24"/>
    <w:rsid w:val="009E1050"/>
    <w:rsid w:val="009E17A4"/>
    <w:rsid w:val="009E260C"/>
    <w:rsid w:val="009E280E"/>
    <w:rsid w:val="009E4C5E"/>
    <w:rsid w:val="009E5929"/>
    <w:rsid w:val="009E7AF9"/>
    <w:rsid w:val="009F1C24"/>
    <w:rsid w:val="009F2ED5"/>
    <w:rsid w:val="009F3B57"/>
    <w:rsid w:val="009F4862"/>
    <w:rsid w:val="009F4E11"/>
    <w:rsid w:val="009F5538"/>
    <w:rsid w:val="00A00C98"/>
    <w:rsid w:val="00A00F71"/>
    <w:rsid w:val="00A01E02"/>
    <w:rsid w:val="00A0320F"/>
    <w:rsid w:val="00A03495"/>
    <w:rsid w:val="00A037A1"/>
    <w:rsid w:val="00A03849"/>
    <w:rsid w:val="00A03D17"/>
    <w:rsid w:val="00A04C78"/>
    <w:rsid w:val="00A05264"/>
    <w:rsid w:val="00A05900"/>
    <w:rsid w:val="00A05B99"/>
    <w:rsid w:val="00A06E7E"/>
    <w:rsid w:val="00A0799C"/>
    <w:rsid w:val="00A107EE"/>
    <w:rsid w:val="00A10A75"/>
    <w:rsid w:val="00A126C8"/>
    <w:rsid w:val="00A12EC3"/>
    <w:rsid w:val="00A13103"/>
    <w:rsid w:val="00A1480E"/>
    <w:rsid w:val="00A14EFD"/>
    <w:rsid w:val="00A153B8"/>
    <w:rsid w:val="00A17315"/>
    <w:rsid w:val="00A17457"/>
    <w:rsid w:val="00A211A2"/>
    <w:rsid w:val="00A2440C"/>
    <w:rsid w:val="00A24724"/>
    <w:rsid w:val="00A24D20"/>
    <w:rsid w:val="00A269B5"/>
    <w:rsid w:val="00A2708A"/>
    <w:rsid w:val="00A27E50"/>
    <w:rsid w:val="00A31F86"/>
    <w:rsid w:val="00A3297B"/>
    <w:rsid w:val="00A34F1A"/>
    <w:rsid w:val="00A35B56"/>
    <w:rsid w:val="00A3689D"/>
    <w:rsid w:val="00A36B16"/>
    <w:rsid w:val="00A377AB"/>
    <w:rsid w:val="00A402AE"/>
    <w:rsid w:val="00A410E3"/>
    <w:rsid w:val="00A413E9"/>
    <w:rsid w:val="00A421D6"/>
    <w:rsid w:val="00A425F2"/>
    <w:rsid w:val="00A42D0C"/>
    <w:rsid w:val="00A4513C"/>
    <w:rsid w:val="00A46896"/>
    <w:rsid w:val="00A501D4"/>
    <w:rsid w:val="00A51698"/>
    <w:rsid w:val="00A51708"/>
    <w:rsid w:val="00A54D5B"/>
    <w:rsid w:val="00A5578C"/>
    <w:rsid w:val="00A56428"/>
    <w:rsid w:val="00A56736"/>
    <w:rsid w:val="00A57A29"/>
    <w:rsid w:val="00A61C8A"/>
    <w:rsid w:val="00A62310"/>
    <w:rsid w:val="00A6341B"/>
    <w:rsid w:val="00A63D89"/>
    <w:rsid w:val="00A64B4D"/>
    <w:rsid w:val="00A663CD"/>
    <w:rsid w:val="00A67874"/>
    <w:rsid w:val="00A73031"/>
    <w:rsid w:val="00A74B39"/>
    <w:rsid w:val="00A76701"/>
    <w:rsid w:val="00A76DD0"/>
    <w:rsid w:val="00A778F6"/>
    <w:rsid w:val="00A77CA3"/>
    <w:rsid w:val="00A810FD"/>
    <w:rsid w:val="00A81809"/>
    <w:rsid w:val="00A819C9"/>
    <w:rsid w:val="00A82929"/>
    <w:rsid w:val="00A84C28"/>
    <w:rsid w:val="00A85958"/>
    <w:rsid w:val="00A86F5D"/>
    <w:rsid w:val="00A87B4D"/>
    <w:rsid w:val="00A93F0F"/>
    <w:rsid w:val="00A95D40"/>
    <w:rsid w:val="00A96B0F"/>
    <w:rsid w:val="00AA18CA"/>
    <w:rsid w:val="00AA31B9"/>
    <w:rsid w:val="00AA4F7C"/>
    <w:rsid w:val="00AB13EC"/>
    <w:rsid w:val="00AB15DB"/>
    <w:rsid w:val="00AB1D70"/>
    <w:rsid w:val="00AB565C"/>
    <w:rsid w:val="00AB6FFC"/>
    <w:rsid w:val="00AB7789"/>
    <w:rsid w:val="00AB7D57"/>
    <w:rsid w:val="00AB7FB8"/>
    <w:rsid w:val="00AC0918"/>
    <w:rsid w:val="00AC0C9E"/>
    <w:rsid w:val="00AC0F95"/>
    <w:rsid w:val="00AC1566"/>
    <w:rsid w:val="00AC1686"/>
    <w:rsid w:val="00AC212E"/>
    <w:rsid w:val="00AC283B"/>
    <w:rsid w:val="00AC2E37"/>
    <w:rsid w:val="00AC3341"/>
    <w:rsid w:val="00AC3B1A"/>
    <w:rsid w:val="00AC6504"/>
    <w:rsid w:val="00AC71B1"/>
    <w:rsid w:val="00AD2D70"/>
    <w:rsid w:val="00AD2E7D"/>
    <w:rsid w:val="00AD3060"/>
    <w:rsid w:val="00AD5F37"/>
    <w:rsid w:val="00AD6A7E"/>
    <w:rsid w:val="00AE0738"/>
    <w:rsid w:val="00AE0A36"/>
    <w:rsid w:val="00AE2D23"/>
    <w:rsid w:val="00AE37A3"/>
    <w:rsid w:val="00AE3EDE"/>
    <w:rsid w:val="00AE41F3"/>
    <w:rsid w:val="00AE4334"/>
    <w:rsid w:val="00AE5D99"/>
    <w:rsid w:val="00AE64F5"/>
    <w:rsid w:val="00AF0183"/>
    <w:rsid w:val="00AF0360"/>
    <w:rsid w:val="00AF0A09"/>
    <w:rsid w:val="00AF283D"/>
    <w:rsid w:val="00AF2DA1"/>
    <w:rsid w:val="00AF5E1A"/>
    <w:rsid w:val="00AF6608"/>
    <w:rsid w:val="00AF6D82"/>
    <w:rsid w:val="00B00FA0"/>
    <w:rsid w:val="00B01484"/>
    <w:rsid w:val="00B01D44"/>
    <w:rsid w:val="00B02935"/>
    <w:rsid w:val="00B02EBC"/>
    <w:rsid w:val="00B044E3"/>
    <w:rsid w:val="00B052B8"/>
    <w:rsid w:val="00B063E3"/>
    <w:rsid w:val="00B078E4"/>
    <w:rsid w:val="00B103C7"/>
    <w:rsid w:val="00B10B5E"/>
    <w:rsid w:val="00B11268"/>
    <w:rsid w:val="00B13996"/>
    <w:rsid w:val="00B159A1"/>
    <w:rsid w:val="00B1754D"/>
    <w:rsid w:val="00B20237"/>
    <w:rsid w:val="00B23CD8"/>
    <w:rsid w:val="00B24ADA"/>
    <w:rsid w:val="00B2599D"/>
    <w:rsid w:val="00B25D6F"/>
    <w:rsid w:val="00B2675F"/>
    <w:rsid w:val="00B26970"/>
    <w:rsid w:val="00B3134C"/>
    <w:rsid w:val="00B31728"/>
    <w:rsid w:val="00B319DC"/>
    <w:rsid w:val="00B3240C"/>
    <w:rsid w:val="00B34775"/>
    <w:rsid w:val="00B35340"/>
    <w:rsid w:val="00B36151"/>
    <w:rsid w:val="00B368C1"/>
    <w:rsid w:val="00B41C5D"/>
    <w:rsid w:val="00B4270B"/>
    <w:rsid w:val="00B4292D"/>
    <w:rsid w:val="00B429C8"/>
    <w:rsid w:val="00B4612F"/>
    <w:rsid w:val="00B46C8E"/>
    <w:rsid w:val="00B473E7"/>
    <w:rsid w:val="00B47591"/>
    <w:rsid w:val="00B5038D"/>
    <w:rsid w:val="00B52385"/>
    <w:rsid w:val="00B52BDD"/>
    <w:rsid w:val="00B53742"/>
    <w:rsid w:val="00B53875"/>
    <w:rsid w:val="00B557C9"/>
    <w:rsid w:val="00B6082E"/>
    <w:rsid w:val="00B60ACF"/>
    <w:rsid w:val="00B62411"/>
    <w:rsid w:val="00B62709"/>
    <w:rsid w:val="00B62B8D"/>
    <w:rsid w:val="00B62BCC"/>
    <w:rsid w:val="00B63F6D"/>
    <w:rsid w:val="00B65BE2"/>
    <w:rsid w:val="00B66631"/>
    <w:rsid w:val="00B66D3B"/>
    <w:rsid w:val="00B66E7C"/>
    <w:rsid w:val="00B67047"/>
    <w:rsid w:val="00B672B0"/>
    <w:rsid w:val="00B7015C"/>
    <w:rsid w:val="00B70599"/>
    <w:rsid w:val="00B70881"/>
    <w:rsid w:val="00B71583"/>
    <w:rsid w:val="00B74BDE"/>
    <w:rsid w:val="00B753E9"/>
    <w:rsid w:val="00B80032"/>
    <w:rsid w:val="00B80D7C"/>
    <w:rsid w:val="00B81707"/>
    <w:rsid w:val="00B8330C"/>
    <w:rsid w:val="00B84EDA"/>
    <w:rsid w:val="00B8602B"/>
    <w:rsid w:val="00B870BF"/>
    <w:rsid w:val="00B9116C"/>
    <w:rsid w:val="00B91C29"/>
    <w:rsid w:val="00B92B4F"/>
    <w:rsid w:val="00B92DAB"/>
    <w:rsid w:val="00B9302E"/>
    <w:rsid w:val="00B93212"/>
    <w:rsid w:val="00BA116A"/>
    <w:rsid w:val="00BA22D6"/>
    <w:rsid w:val="00BA23DE"/>
    <w:rsid w:val="00BA41A6"/>
    <w:rsid w:val="00BA4E7E"/>
    <w:rsid w:val="00BA5A71"/>
    <w:rsid w:val="00BA6F42"/>
    <w:rsid w:val="00BB21D2"/>
    <w:rsid w:val="00BB2425"/>
    <w:rsid w:val="00BB3485"/>
    <w:rsid w:val="00BB3DE5"/>
    <w:rsid w:val="00BB443C"/>
    <w:rsid w:val="00BB47D4"/>
    <w:rsid w:val="00BB5881"/>
    <w:rsid w:val="00BB5E54"/>
    <w:rsid w:val="00BB62EE"/>
    <w:rsid w:val="00BB6700"/>
    <w:rsid w:val="00BC0287"/>
    <w:rsid w:val="00BC0383"/>
    <w:rsid w:val="00BC3865"/>
    <w:rsid w:val="00BC46D1"/>
    <w:rsid w:val="00BC47F3"/>
    <w:rsid w:val="00BC5DEB"/>
    <w:rsid w:val="00BC60FB"/>
    <w:rsid w:val="00BC6F64"/>
    <w:rsid w:val="00BD09DA"/>
    <w:rsid w:val="00BD10E5"/>
    <w:rsid w:val="00BD2256"/>
    <w:rsid w:val="00BD262C"/>
    <w:rsid w:val="00BD4696"/>
    <w:rsid w:val="00BE1AD0"/>
    <w:rsid w:val="00BE1E11"/>
    <w:rsid w:val="00BE251B"/>
    <w:rsid w:val="00BE4876"/>
    <w:rsid w:val="00BE4BE8"/>
    <w:rsid w:val="00BE5EDE"/>
    <w:rsid w:val="00BE66F8"/>
    <w:rsid w:val="00BE6959"/>
    <w:rsid w:val="00BE7EB6"/>
    <w:rsid w:val="00BF2064"/>
    <w:rsid w:val="00BF209A"/>
    <w:rsid w:val="00BF2A19"/>
    <w:rsid w:val="00BF353D"/>
    <w:rsid w:val="00BF36BF"/>
    <w:rsid w:val="00BF3922"/>
    <w:rsid w:val="00BF6340"/>
    <w:rsid w:val="00BF643D"/>
    <w:rsid w:val="00BF6618"/>
    <w:rsid w:val="00BF76B5"/>
    <w:rsid w:val="00BF7DE7"/>
    <w:rsid w:val="00BF7E39"/>
    <w:rsid w:val="00C00960"/>
    <w:rsid w:val="00C03B37"/>
    <w:rsid w:val="00C04742"/>
    <w:rsid w:val="00C04B6C"/>
    <w:rsid w:val="00C07475"/>
    <w:rsid w:val="00C11C0E"/>
    <w:rsid w:val="00C13199"/>
    <w:rsid w:val="00C15B2E"/>
    <w:rsid w:val="00C16190"/>
    <w:rsid w:val="00C16603"/>
    <w:rsid w:val="00C17D17"/>
    <w:rsid w:val="00C201AE"/>
    <w:rsid w:val="00C2076C"/>
    <w:rsid w:val="00C20AD6"/>
    <w:rsid w:val="00C227A3"/>
    <w:rsid w:val="00C239D8"/>
    <w:rsid w:val="00C23DB9"/>
    <w:rsid w:val="00C2408F"/>
    <w:rsid w:val="00C2469C"/>
    <w:rsid w:val="00C25C9F"/>
    <w:rsid w:val="00C26FEE"/>
    <w:rsid w:val="00C27793"/>
    <w:rsid w:val="00C27AF1"/>
    <w:rsid w:val="00C310C6"/>
    <w:rsid w:val="00C310F9"/>
    <w:rsid w:val="00C35844"/>
    <w:rsid w:val="00C367E0"/>
    <w:rsid w:val="00C3768D"/>
    <w:rsid w:val="00C379A1"/>
    <w:rsid w:val="00C37E7A"/>
    <w:rsid w:val="00C418D5"/>
    <w:rsid w:val="00C41B3B"/>
    <w:rsid w:val="00C4234E"/>
    <w:rsid w:val="00C43C75"/>
    <w:rsid w:val="00C44B4C"/>
    <w:rsid w:val="00C45943"/>
    <w:rsid w:val="00C46562"/>
    <w:rsid w:val="00C47D24"/>
    <w:rsid w:val="00C500E4"/>
    <w:rsid w:val="00C51A4E"/>
    <w:rsid w:val="00C52DB8"/>
    <w:rsid w:val="00C52DEF"/>
    <w:rsid w:val="00C53534"/>
    <w:rsid w:val="00C546B3"/>
    <w:rsid w:val="00C54F28"/>
    <w:rsid w:val="00C5585C"/>
    <w:rsid w:val="00C55B0C"/>
    <w:rsid w:val="00C57E08"/>
    <w:rsid w:val="00C60384"/>
    <w:rsid w:val="00C60785"/>
    <w:rsid w:val="00C60DEE"/>
    <w:rsid w:val="00C62244"/>
    <w:rsid w:val="00C62262"/>
    <w:rsid w:val="00C63576"/>
    <w:rsid w:val="00C63EC1"/>
    <w:rsid w:val="00C64FD1"/>
    <w:rsid w:val="00C6545D"/>
    <w:rsid w:val="00C65E9A"/>
    <w:rsid w:val="00C72838"/>
    <w:rsid w:val="00C73396"/>
    <w:rsid w:val="00C73E84"/>
    <w:rsid w:val="00C74FE5"/>
    <w:rsid w:val="00C756F9"/>
    <w:rsid w:val="00C76205"/>
    <w:rsid w:val="00C77706"/>
    <w:rsid w:val="00C80138"/>
    <w:rsid w:val="00C80537"/>
    <w:rsid w:val="00C8129F"/>
    <w:rsid w:val="00C81475"/>
    <w:rsid w:val="00C82A60"/>
    <w:rsid w:val="00C832AA"/>
    <w:rsid w:val="00C83316"/>
    <w:rsid w:val="00C833F6"/>
    <w:rsid w:val="00C839F3"/>
    <w:rsid w:val="00C84B57"/>
    <w:rsid w:val="00C84EBE"/>
    <w:rsid w:val="00C85F6E"/>
    <w:rsid w:val="00C865A9"/>
    <w:rsid w:val="00C87385"/>
    <w:rsid w:val="00C87657"/>
    <w:rsid w:val="00C90D31"/>
    <w:rsid w:val="00C921F5"/>
    <w:rsid w:val="00C927D9"/>
    <w:rsid w:val="00C9293B"/>
    <w:rsid w:val="00C93090"/>
    <w:rsid w:val="00C94280"/>
    <w:rsid w:val="00C94303"/>
    <w:rsid w:val="00C94C6A"/>
    <w:rsid w:val="00C95D04"/>
    <w:rsid w:val="00C9669E"/>
    <w:rsid w:val="00CA0869"/>
    <w:rsid w:val="00CA41C0"/>
    <w:rsid w:val="00CA4A4F"/>
    <w:rsid w:val="00CA4EA4"/>
    <w:rsid w:val="00CA545F"/>
    <w:rsid w:val="00CA60FA"/>
    <w:rsid w:val="00CA7E50"/>
    <w:rsid w:val="00CB2400"/>
    <w:rsid w:val="00CB3263"/>
    <w:rsid w:val="00CB3A21"/>
    <w:rsid w:val="00CB3B01"/>
    <w:rsid w:val="00CB679B"/>
    <w:rsid w:val="00CB7A9A"/>
    <w:rsid w:val="00CB7D4D"/>
    <w:rsid w:val="00CC37D7"/>
    <w:rsid w:val="00CC3E33"/>
    <w:rsid w:val="00CC4116"/>
    <w:rsid w:val="00CC41FD"/>
    <w:rsid w:val="00CC6C0B"/>
    <w:rsid w:val="00CC7287"/>
    <w:rsid w:val="00CC7A61"/>
    <w:rsid w:val="00CC7FB0"/>
    <w:rsid w:val="00CD3383"/>
    <w:rsid w:val="00CD48C5"/>
    <w:rsid w:val="00CD6162"/>
    <w:rsid w:val="00CD630B"/>
    <w:rsid w:val="00CD7382"/>
    <w:rsid w:val="00CD7B5C"/>
    <w:rsid w:val="00CE12FB"/>
    <w:rsid w:val="00CE17BB"/>
    <w:rsid w:val="00CE4C44"/>
    <w:rsid w:val="00CE5614"/>
    <w:rsid w:val="00CE5CD9"/>
    <w:rsid w:val="00CE64B0"/>
    <w:rsid w:val="00CE66C5"/>
    <w:rsid w:val="00CE7087"/>
    <w:rsid w:val="00CF03FA"/>
    <w:rsid w:val="00CF0D76"/>
    <w:rsid w:val="00CF5FC2"/>
    <w:rsid w:val="00CF64AC"/>
    <w:rsid w:val="00CF64BB"/>
    <w:rsid w:val="00CF6F6E"/>
    <w:rsid w:val="00CF7647"/>
    <w:rsid w:val="00CF778A"/>
    <w:rsid w:val="00CF7928"/>
    <w:rsid w:val="00D004B1"/>
    <w:rsid w:val="00D00A24"/>
    <w:rsid w:val="00D01C33"/>
    <w:rsid w:val="00D01E23"/>
    <w:rsid w:val="00D0244A"/>
    <w:rsid w:val="00D026A1"/>
    <w:rsid w:val="00D03F62"/>
    <w:rsid w:val="00D041F4"/>
    <w:rsid w:val="00D04E33"/>
    <w:rsid w:val="00D04F07"/>
    <w:rsid w:val="00D0692E"/>
    <w:rsid w:val="00D076F3"/>
    <w:rsid w:val="00D07F49"/>
    <w:rsid w:val="00D101AE"/>
    <w:rsid w:val="00D10286"/>
    <w:rsid w:val="00D11A5A"/>
    <w:rsid w:val="00D11A6D"/>
    <w:rsid w:val="00D124AB"/>
    <w:rsid w:val="00D12EF8"/>
    <w:rsid w:val="00D15B34"/>
    <w:rsid w:val="00D1688C"/>
    <w:rsid w:val="00D2149F"/>
    <w:rsid w:val="00D21F7D"/>
    <w:rsid w:val="00D220B8"/>
    <w:rsid w:val="00D2396B"/>
    <w:rsid w:val="00D23A62"/>
    <w:rsid w:val="00D26889"/>
    <w:rsid w:val="00D279CF"/>
    <w:rsid w:val="00D30BF7"/>
    <w:rsid w:val="00D31548"/>
    <w:rsid w:val="00D32C07"/>
    <w:rsid w:val="00D331A1"/>
    <w:rsid w:val="00D332A0"/>
    <w:rsid w:val="00D35A55"/>
    <w:rsid w:val="00D360F9"/>
    <w:rsid w:val="00D37128"/>
    <w:rsid w:val="00D377B1"/>
    <w:rsid w:val="00D40825"/>
    <w:rsid w:val="00D42258"/>
    <w:rsid w:val="00D427BC"/>
    <w:rsid w:val="00D42A9D"/>
    <w:rsid w:val="00D42DD4"/>
    <w:rsid w:val="00D44CD3"/>
    <w:rsid w:val="00D45A7A"/>
    <w:rsid w:val="00D45C5E"/>
    <w:rsid w:val="00D46190"/>
    <w:rsid w:val="00D46535"/>
    <w:rsid w:val="00D468DD"/>
    <w:rsid w:val="00D5035C"/>
    <w:rsid w:val="00D5132E"/>
    <w:rsid w:val="00D51EF6"/>
    <w:rsid w:val="00D53480"/>
    <w:rsid w:val="00D535CE"/>
    <w:rsid w:val="00D55EEC"/>
    <w:rsid w:val="00D57E33"/>
    <w:rsid w:val="00D6020C"/>
    <w:rsid w:val="00D622AC"/>
    <w:rsid w:val="00D63B7F"/>
    <w:rsid w:val="00D71049"/>
    <w:rsid w:val="00D71ADB"/>
    <w:rsid w:val="00D749A8"/>
    <w:rsid w:val="00D76C72"/>
    <w:rsid w:val="00D7778A"/>
    <w:rsid w:val="00D80133"/>
    <w:rsid w:val="00D80505"/>
    <w:rsid w:val="00D816AD"/>
    <w:rsid w:val="00D81915"/>
    <w:rsid w:val="00D8251E"/>
    <w:rsid w:val="00D82E14"/>
    <w:rsid w:val="00D84B42"/>
    <w:rsid w:val="00D84EF9"/>
    <w:rsid w:val="00D85937"/>
    <w:rsid w:val="00D85B9B"/>
    <w:rsid w:val="00D85CB2"/>
    <w:rsid w:val="00D86AF7"/>
    <w:rsid w:val="00D90321"/>
    <w:rsid w:val="00D916B6"/>
    <w:rsid w:val="00D92646"/>
    <w:rsid w:val="00D96610"/>
    <w:rsid w:val="00D97401"/>
    <w:rsid w:val="00DA031B"/>
    <w:rsid w:val="00DA0A22"/>
    <w:rsid w:val="00DA291B"/>
    <w:rsid w:val="00DA3E47"/>
    <w:rsid w:val="00DA4584"/>
    <w:rsid w:val="00DA5788"/>
    <w:rsid w:val="00DA6CB9"/>
    <w:rsid w:val="00DA6DC3"/>
    <w:rsid w:val="00DA7F0F"/>
    <w:rsid w:val="00DB0FFD"/>
    <w:rsid w:val="00DB2C54"/>
    <w:rsid w:val="00DB3140"/>
    <w:rsid w:val="00DB532D"/>
    <w:rsid w:val="00DB5481"/>
    <w:rsid w:val="00DB759B"/>
    <w:rsid w:val="00DC0EA8"/>
    <w:rsid w:val="00DC11F2"/>
    <w:rsid w:val="00DC1558"/>
    <w:rsid w:val="00DC2F46"/>
    <w:rsid w:val="00DC35F5"/>
    <w:rsid w:val="00DC3EA5"/>
    <w:rsid w:val="00DC547E"/>
    <w:rsid w:val="00DC5FA6"/>
    <w:rsid w:val="00DC62BA"/>
    <w:rsid w:val="00DC6A7C"/>
    <w:rsid w:val="00DC73BF"/>
    <w:rsid w:val="00DD05B7"/>
    <w:rsid w:val="00DD6C71"/>
    <w:rsid w:val="00DD6D15"/>
    <w:rsid w:val="00DD755C"/>
    <w:rsid w:val="00DD7AD0"/>
    <w:rsid w:val="00DE0295"/>
    <w:rsid w:val="00DE38B0"/>
    <w:rsid w:val="00DE47F4"/>
    <w:rsid w:val="00DE4AC9"/>
    <w:rsid w:val="00DE67FD"/>
    <w:rsid w:val="00DE6DF3"/>
    <w:rsid w:val="00DE7EEE"/>
    <w:rsid w:val="00DF055D"/>
    <w:rsid w:val="00DF0724"/>
    <w:rsid w:val="00DF229F"/>
    <w:rsid w:val="00DF3D4F"/>
    <w:rsid w:val="00DF5A85"/>
    <w:rsid w:val="00DF5D85"/>
    <w:rsid w:val="00DF6355"/>
    <w:rsid w:val="00DF76E2"/>
    <w:rsid w:val="00E000D3"/>
    <w:rsid w:val="00E002E0"/>
    <w:rsid w:val="00E020F3"/>
    <w:rsid w:val="00E02E09"/>
    <w:rsid w:val="00E035B6"/>
    <w:rsid w:val="00E04B46"/>
    <w:rsid w:val="00E05F3C"/>
    <w:rsid w:val="00E11545"/>
    <w:rsid w:val="00E13B6F"/>
    <w:rsid w:val="00E1465A"/>
    <w:rsid w:val="00E153C5"/>
    <w:rsid w:val="00E153E3"/>
    <w:rsid w:val="00E159D9"/>
    <w:rsid w:val="00E160D9"/>
    <w:rsid w:val="00E167FF"/>
    <w:rsid w:val="00E16837"/>
    <w:rsid w:val="00E168D5"/>
    <w:rsid w:val="00E16D06"/>
    <w:rsid w:val="00E17F17"/>
    <w:rsid w:val="00E27C68"/>
    <w:rsid w:val="00E30660"/>
    <w:rsid w:val="00E309F7"/>
    <w:rsid w:val="00E31AF8"/>
    <w:rsid w:val="00E34452"/>
    <w:rsid w:val="00E34CDA"/>
    <w:rsid w:val="00E359B7"/>
    <w:rsid w:val="00E36B9E"/>
    <w:rsid w:val="00E37D23"/>
    <w:rsid w:val="00E37F31"/>
    <w:rsid w:val="00E4078F"/>
    <w:rsid w:val="00E40F4A"/>
    <w:rsid w:val="00E417B9"/>
    <w:rsid w:val="00E444CB"/>
    <w:rsid w:val="00E45A3C"/>
    <w:rsid w:val="00E52CFA"/>
    <w:rsid w:val="00E553BF"/>
    <w:rsid w:val="00E55FA6"/>
    <w:rsid w:val="00E61796"/>
    <w:rsid w:val="00E6241D"/>
    <w:rsid w:val="00E632E3"/>
    <w:rsid w:val="00E63606"/>
    <w:rsid w:val="00E636F7"/>
    <w:rsid w:val="00E642EB"/>
    <w:rsid w:val="00E65E9A"/>
    <w:rsid w:val="00E661C5"/>
    <w:rsid w:val="00E66367"/>
    <w:rsid w:val="00E66895"/>
    <w:rsid w:val="00E67868"/>
    <w:rsid w:val="00E70494"/>
    <w:rsid w:val="00E70BE4"/>
    <w:rsid w:val="00E7275E"/>
    <w:rsid w:val="00E72A09"/>
    <w:rsid w:val="00E73791"/>
    <w:rsid w:val="00E743FC"/>
    <w:rsid w:val="00E74A9E"/>
    <w:rsid w:val="00E759CE"/>
    <w:rsid w:val="00E8080C"/>
    <w:rsid w:val="00E80915"/>
    <w:rsid w:val="00E81914"/>
    <w:rsid w:val="00E81CFB"/>
    <w:rsid w:val="00E8445C"/>
    <w:rsid w:val="00E84548"/>
    <w:rsid w:val="00E84BDC"/>
    <w:rsid w:val="00E85017"/>
    <w:rsid w:val="00E85CE0"/>
    <w:rsid w:val="00E870E5"/>
    <w:rsid w:val="00E90916"/>
    <w:rsid w:val="00E931F8"/>
    <w:rsid w:val="00E93A41"/>
    <w:rsid w:val="00E93ACA"/>
    <w:rsid w:val="00E94AD4"/>
    <w:rsid w:val="00EA0684"/>
    <w:rsid w:val="00EA0723"/>
    <w:rsid w:val="00EA119F"/>
    <w:rsid w:val="00EA1BCC"/>
    <w:rsid w:val="00EA2145"/>
    <w:rsid w:val="00EA276B"/>
    <w:rsid w:val="00EA2B4A"/>
    <w:rsid w:val="00EA348A"/>
    <w:rsid w:val="00EA554B"/>
    <w:rsid w:val="00EA5814"/>
    <w:rsid w:val="00EA5EC3"/>
    <w:rsid w:val="00EA61F3"/>
    <w:rsid w:val="00EB3F85"/>
    <w:rsid w:val="00EB687E"/>
    <w:rsid w:val="00EB6BCD"/>
    <w:rsid w:val="00EB7446"/>
    <w:rsid w:val="00EB7D1B"/>
    <w:rsid w:val="00EB7EF1"/>
    <w:rsid w:val="00EC02F6"/>
    <w:rsid w:val="00EC23BA"/>
    <w:rsid w:val="00EC2636"/>
    <w:rsid w:val="00EC3B57"/>
    <w:rsid w:val="00EC69FB"/>
    <w:rsid w:val="00EC6DD8"/>
    <w:rsid w:val="00ED1673"/>
    <w:rsid w:val="00ED198C"/>
    <w:rsid w:val="00ED201E"/>
    <w:rsid w:val="00ED24AE"/>
    <w:rsid w:val="00ED3A3F"/>
    <w:rsid w:val="00ED7576"/>
    <w:rsid w:val="00ED797F"/>
    <w:rsid w:val="00ED7FF0"/>
    <w:rsid w:val="00EE0936"/>
    <w:rsid w:val="00EE09BF"/>
    <w:rsid w:val="00EE0D57"/>
    <w:rsid w:val="00EE2DC9"/>
    <w:rsid w:val="00EE35A6"/>
    <w:rsid w:val="00EE56B5"/>
    <w:rsid w:val="00EE5C8E"/>
    <w:rsid w:val="00EE6D51"/>
    <w:rsid w:val="00EE7712"/>
    <w:rsid w:val="00EE7960"/>
    <w:rsid w:val="00EF1009"/>
    <w:rsid w:val="00EF1A2A"/>
    <w:rsid w:val="00EF1BC1"/>
    <w:rsid w:val="00EF46DD"/>
    <w:rsid w:val="00F03377"/>
    <w:rsid w:val="00F03FFA"/>
    <w:rsid w:val="00F055FB"/>
    <w:rsid w:val="00F05C93"/>
    <w:rsid w:val="00F105D4"/>
    <w:rsid w:val="00F11681"/>
    <w:rsid w:val="00F1566D"/>
    <w:rsid w:val="00F1611D"/>
    <w:rsid w:val="00F1786D"/>
    <w:rsid w:val="00F222FE"/>
    <w:rsid w:val="00F22794"/>
    <w:rsid w:val="00F23DD1"/>
    <w:rsid w:val="00F24875"/>
    <w:rsid w:val="00F252CE"/>
    <w:rsid w:val="00F31BF9"/>
    <w:rsid w:val="00F31F31"/>
    <w:rsid w:val="00F344ED"/>
    <w:rsid w:val="00F34F3A"/>
    <w:rsid w:val="00F356C4"/>
    <w:rsid w:val="00F36D0C"/>
    <w:rsid w:val="00F37474"/>
    <w:rsid w:val="00F422FF"/>
    <w:rsid w:val="00F43653"/>
    <w:rsid w:val="00F4374D"/>
    <w:rsid w:val="00F44616"/>
    <w:rsid w:val="00F44767"/>
    <w:rsid w:val="00F453D7"/>
    <w:rsid w:val="00F45AA5"/>
    <w:rsid w:val="00F4767C"/>
    <w:rsid w:val="00F51100"/>
    <w:rsid w:val="00F520B7"/>
    <w:rsid w:val="00F52285"/>
    <w:rsid w:val="00F54228"/>
    <w:rsid w:val="00F54A3C"/>
    <w:rsid w:val="00F571DF"/>
    <w:rsid w:val="00F634FE"/>
    <w:rsid w:val="00F73EA3"/>
    <w:rsid w:val="00F7469C"/>
    <w:rsid w:val="00F74D53"/>
    <w:rsid w:val="00F75D15"/>
    <w:rsid w:val="00F77190"/>
    <w:rsid w:val="00F77505"/>
    <w:rsid w:val="00F77F41"/>
    <w:rsid w:val="00F803EB"/>
    <w:rsid w:val="00F80B0E"/>
    <w:rsid w:val="00F81C0A"/>
    <w:rsid w:val="00F82030"/>
    <w:rsid w:val="00F84653"/>
    <w:rsid w:val="00F85442"/>
    <w:rsid w:val="00F86696"/>
    <w:rsid w:val="00F86E23"/>
    <w:rsid w:val="00F87722"/>
    <w:rsid w:val="00F87D65"/>
    <w:rsid w:val="00F918AB"/>
    <w:rsid w:val="00F92750"/>
    <w:rsid w:val="00F92F4E"/>
    <w:rsid w:val="00F939F1"/>
    <w:rsid w:val="00F95B9A"/>
    <w:rsid w:val="00F96286"/>
    <w:rsid w:val="00F9710D"/>
    <w:rsid w:val="00FA003B"/>
    <w:rsid w:val="00FA0426"/>
    <w:rsid w:val="00FA0CE8"/>
    <w:rsid w:val="00FA3257"/>
    <w:rsid w:val="00FA4D34"/>
    <w:rsid w:val="00FA5945"/>
    <w:rsid w:val="00FB1030"/>
    <w:rsid w:val="00FB136F"/>
    <w:rsid w:val="00FB24C8"/>
    <w:rsid w:val="00FB27E2"/>
    <w:rsid w:val="00FB3143"/>
    <w:rsid w:val="00FB32EE"/>
    <w:rsid w:val="00FB564E"/>
    <w:rsid w:val="00FB5CA9"/>
    <w:rsid w:val="00FB7704"/>
    <w:rsid w:val="00FC0EC8"/>
    <w:rsid w:val="00FC22A5"/>
    <w:rsid w:val="00FC2BEF"/>
    <w:rsid w:val="00FC2C3E"/>
    <w:rsid w:val="00FC39F1"/>
    <w:rsid w:val="00FC5602"/>
    <w:rsid w:val="00FC6361"/>
    <w:rsid w:val="00FC6481"/>
    <w:rsid w:val="00FC6604"/>
    <w:rsid w:val="00FD32E8"/>
    <w:rsid w:val="00FD396C"/>
    <w:rsid w:val="00FD5DDF"/>
    <w:rsid w:val="00FD777D"/>
    <w:rsid w:val="00FE0599"/>
    <w:rsid w:val="00FE103D"/>
    <w:rsid w:val="00FE10F4"/>
    <w:rsid w:val="00FE1D0D"/>
    <w:rsid w:val="00FE28CC"/>
    <w:rsid w:val="00FE3761"/>
    <w:rsid w:val="00FE3F29"/>
    <w:rsid w:val="00FE4150"/>
    <w:rsid w:val="00FE4E8D"/>
    <w:rsid w:val="00FE5E16"/>
    <w:rsid w:val="00FF0CBE"/>
    <w:rsid w:val="00FF1C18"/>
    <w:rsid w:val="00FF1D01"/>
    <w:rsid w:val="00FF2D73"/>
    <w:rsid w:val="00FF39B3"/>
    <w:rsid w:val="00FF3B1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233519"/>
  <w15:chartTrackingRefBased/>
  <w15:docId w15:val="{A6D6B75D-EBF9-4C33-BF32-298721C02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DFB"/>
    <w:pPr>
      <w:spacing w:after="0" w:line="240" w:lineRule="auto"/>
    </w:pPr>
  </w:style>
  <w:style w:type="paragraph" w:styleId="Heading1">
    <w:name w:val="heading 1"/>
    <w:basedOn w:val="Normal"/>
    <w:next w:val="Normal"/>
    <w:link w:val="Heading1Char"/>
    <w:uiPriority w:val="9"/>
    <w:qFormat/>
    <w:rsid w:val="00C9309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H">
    <w:name w:val="PH"/>
    <w:basedOn w:val="Header"/>
    <w:rsid w:val="00937272"/>
    <w:pPr>
      <w:tabs>
        <w:tab w:val="clear" w:pos="4536"/>
        <w:tab w:val="clear" w:pos="9072"/>
      </w:tabs>
      <w:spacing w:line="301" w:lineRule="atLeast"/>
    </w:pPr>
    <w:rPr>
      <w:rFonts w:ascii="Arial" w:eastAsia="Times New Roman" w:hAnsi="Arial" w:cs="Times New Roman"/>
      <w:sz w:val="24"/>
      <w:szCs w:val="20"/>
      <w:lang w:val="en-GB"/>
    </w:rPr>
  </w:style>
  <w:style w:type="paragraph" w:styleId="Header">
    <w:name w:val="header"/>
    <w:basedOn w:val="Normal"/>
    <w:link w:val="HeaderChar"/>
    <w:uiPriority w:val="99"/>
    <w:unhideWhenUsed/>
    <w:rsid w:val="00937272"/>
    <w:pPr>
      <w:tabs>
        <w:tab w:val="center" w:pos="4536"/>
        <w:tab w:val="right" w:pos="9072"/>
      </w:tabs>
    </w:pPr>
  </w:style>
  <w:style w:type="character" w:customStyle="1" w:styleId="HeaderChar">
    <w:name w:val="Header Char"/>
    <w:basedOn w:val="DefaultParagraphFont"/>
    <w:link w:val="Header"/>
    <w:uiPriority w:val="99"/>
    <w:rsid w:val="00937272"/>
  </w:style>
  <w:style w:type="paragraph" w:styleId="Footer">
    <w:name w:val="footer"/>
    <w:basedOn w:val="Normal"/>
    <w:link w:val="FooterChar"/>
    <w:uiPriority w:val="99"/>
    <w:unhideWhenUsed/>
    <w:rsid w:val="00B36151"/>
    <w:pPr>
      <w:tabs>
        <w:tab w:val="center" w:pos="4536"/>
        <w:tab w:val="right" w:pos="9072"/>
      </w:tabs>
    </w:pPr>
  </w:style>
  <w:style w:type="character" w:customStyle="1" w:styleId="FooterChar">
    <w:name w:val="Footer Char"/>
    <w:basedOn w:val="DefaultParagraphFont"/>
    <w:link w:val="Footer"/>
    <w:uiPriority w:val="99"/>
    <w:rsid w:val="00B36151"/>
  </w:style>
  <w:style w:type="paragraph" w:styleId="BodyText">
    <w:name w:val="Body Text"/>
    <w:basedOn w:val="Normal"/>
    <w:link w:val="BodyTextChar"/>
    <w:uiPriority w:val="99"/>
    <w:semiHidden/>
    <w:unhideWhenUsed/>
    <w:rsid w:val="008513CA"/>
    <w:pPr>
      <w:spacing w:after="120"/>
    </w:pPr>
  </w:style>
  <w:style w:type="character" w:customStyle="1" w:styleId="BodyTextChar">
    <w:name w:val="Body Text Char"/>
    <w:basedOn w:val="DefaultParagraphFont"/>
    <w:link w:val="BodyText"/>
    <w:uiPriority w:val="99"/>
    <w:semiHidden/>
    <w:rsid w:val="008513CA"/>
  </w:style>
  <w:style w:type="paragraph" w:customStyle="1" w:styleId="TT">
    <w:name w:val="TT"/>
    <w:basedOn w:val="Normal"/>
    <w:rsid w:val="007214E2"/>
    <w:pPr>
      <w:tabs>
        <w:tab w:val="right" w:pos="1202"/>
      </w:tabs>
      <w:spacing w:line="301" w:lineRule="exact"/>
      <w:outlineLvl w:val="0"/>
    </w:pPr>
    <w:rPr>
      <w:rFonts w:ascii="Arial" w:eastAsia="Times New Roman" w:hAnsi="Arial" w:cs="Times New Roman"/>
      <w:sz w:val="19"/>
      <w:szCs w:val="20"/>
      <w:lang w:val="en-GB"/>
    </w:rPr>
  </w:style>
  <w:style w:type="paragraph" w:customStyle="1" w:styleId="Tot">
    <w:name w:val="Tot"/>
    <w:basedOn w:val="TT"/>
    <w:rsid w:val="007214E2"/>
    <w:pPr>
      <w:spacing w:line="340" w:lineRule="exact"/>
    </w:pPr>
  </w:style>
  <w:style w:type="paragraph" w:styleId="NormalWeb">
    <w:name w:val="Normal (Web)"/>
    <w:basedOn w:val="Normal"/>
    <w:link w:val="NormalWebChar"/>
    <w:uiPriority w:val="99"/>
    <w:rsid w:val="00EA0684"/>
    <w:pPr>
      <w:spacing w:before="100" w:beforeAutospacing="1" w:after="100" w:afterAutospacing="1"/>
    </w:pPr>
    <w:rPr>
      <w:rFonts w:ascii="Times New Roman" w:eastAsia="Times New Roman" w:hAnsi="Times New Roman" w:cs="Times New Roman"/>
      <w:sz w:val="24"/>
      <w:szCs w:val="24"/>
      <w:lang w:val="en-US" w:eastAsia="hr-HR"/>
    </w:rPr>
  </w:style>
  <w:style w:type="character" w:customStyle="1" w:styleId="NormalWebChar">
    <w:name w:val="Normal (Web) Char"/>
    <w:basedOn w:val="DefaultParagraphFont"/>
    <w:link w:val="NormalWeb"/>
    <w:uiPriority w:val="99"/>
    <w:rsid w:val="00EA0684"/>
    <w:rPr>
      <w:rFonts w:ascii="Times New Roman" w:eastAsia="Times New Roman" w:hAnsi="Times New Roman" w:cs="Times New Roman"/>
      <w:sz w:val="24"/>
      <w:szCs w:val="24"/>
      <w:lang w:val="en-US" w:eastAsia="hr-HR"/>
    </w:rPr>
  </w:style>
  <w:style w:type="paragraph" w:customStyle="1" w:styleId="T1PARAGRAPH">
    <w:name w:val="T1PARAGRAPH"/>
    <w:basedOn w:val="BodyText3"/>
    <w:rsid w:val="00EA0684"/>
    <w:pPr>
      <w:numPr>
        <w:numId w:val="1"/>
      </w:numPr>
      <w:spacing w:after="301" w:line="301" w:lineRule="atLeast"/>
      <w:jc w:val="both"/>
    </w:pPr>
    <w:rPr>
      <w:rFonts w:ascii="Arial" w:eastAsia="Times New Roman" w:hAnsi="Arial" w:cs="Arial"/>
      <w:sz w:val="19"/>
      <w:szCs w:val="20"/>
    </w:rPr>
  </w:style>
  <w:style w:type="paragraph" w:styleId="BodyText3">
    <w:name w:val="Body Text 3"/>
    <w:basedOn w:val="Normal"/>
    <w:link w:val="BodyText3Char"/>
    <w:uiPriority w:val="99"/>
    <w:semiHidden/>
    <w:unhideWhenUsed/>
    <w:rsid w:val="00EA0684"/>
    <w:pPr>
      <w:spacing w:after="120"/>
    </w:pPr>
    <w:rPr>
      <w:sz w:val="16"/>
      <w:szCs w:val="16"/>
    </w:rPr>
  </w:style>
  <w:style w:type="character" w:customStyle="1" w:styleId="BodyText3Char">
    <w:name w:val="Body Text 3 Char"/>
    <w:basedOn w:val="DefaultParagraphFont"/>
    <w:link w:val="BodyText3"/>
    <w:uiPriority w:val="99"/>
    <w:semiHidden/>
    <w:rsid w:val="00EA0684"/>
    <w:rPr>
      <w:sz w:val="16"/>
      <w:szCs w:val="16"/>
    </w:rPr>
  </w:style>
  <w:style w:type="paragraph" w:styleId="ListParagraph">
    <w:name w:val="List Paragraph"/>
    <w:aliases w:val="Lettre d'introduction,REPORT Bullet,Resume Title,Citation List,Paragrafo elenco,List Paragraph1,1st level - Bullet List Paragraph,Paragraph,List Paragraph Red,lp1,Heading 12,heading 1,naslov 1,Naslov 12,Graf,Heading 2_sj,Számozott lista 1"/>
    <w:basedOn w:val="Normal"/>
    <w:link w:val="ListParagraphChar"/>
    <w:uiPriority w:val="34"/>
    <w:qFormat/>
    <w:rsid w:val="00EA0684"/>
    <w:pPr>
      <w:suppressAutoHyphens/>
      <w:autoSpaceDN w:val="0"/>
      <w:ind w:left="720"/>
      <w:contextualSpacing/>
    </w:pPr>
    <w:rPr>
      <w:rFonts w:ascii="Times New Roman" w:eastAsia="Times New Roman" w:hAnsi="Times New Roman" w:cs="Times New Roman"/>
      <w:sz w:val="24"/>
      <w:szCs w:val="24"/>
      <w:lang w:val="en-US"/>
    </w:rPr>
  </w:style>
  <w:style w:type="paragraph" w:customStyle="1" w:styleId="T1">
    <w:name w:val="T1"/>
    <w:basedOn w:val="Heading1"/>
    <w:link w:val="T1Char"/>
    <w:rsid w:val="00C93090"/>
    <w:pPr>
      <w:keepLines w:val="0"/>
      <w:spacing w:after="120" w:line="360" w:lineRule="auto"/>
      <w:jc w:val="both"/>
      <w:outlineLvl w:val="9"/>
    </w:pPr>
    <w:rPr>
      <w:rFonts w:ascii="Arial" w:eastAsia="Times New Roman" w:hAnsi="Arial" w:cs="Times New Roman"/>
      <w:b/>
      <w:bCs/>
      <w:color w:val="auto"/>
      <w:sz w:val="19"/>
      <w:szCs w:val="20"/>
      <w:lang w:val="pl-PL"/>
    </w:rPr>
  </w:style>
  <w:style w:type="character" w:customStyle="1" w:styleId="T1Char">
    <w:name w:val="T1 Char"/>
    <w:link w:val="T1"/>
    <w:rsid w:val="00C93090"/>
    <w:rPr>
      <w:rFonts w:ascii="Arial" w:eastAsia="Times New Roman" w:hAnsi="Arial" w:cs="Times New Roman"/>
      <w:b/>
      <w:bCs/>
      <w:sz w:val="19"/>
      <w:szCs w:val="20"/>
      <w:lang w:val="pl-PL"/>
    </w:rPr>
  </w:style>
  <w:style w:type="character" w:customStyle="1" w:styleId="Heading1Char">
    <w:name w:val="Heading 1 Char"/>
    <w:basedOn w:val="DefaultParagraphFont"/>
    <w:link w:val="Heading1"/>
    <w:uiPriority w:val="9"/>
    <w:rsid w:val="00C93090"/>
    <w:rPr>
      <w:rFonts w:asciiTheme="majorHAnsi" w:eastAsiaTheme="majorEastAsia" w:hAnsiTheme="majorHAnsi" w:cstheme="majorBidi"/>
      <w:color w:val="2F5496" w:themeColor="accent1" w:themeShade="BF"/>
      <w:sz w:val="32"/>
      <w:szCs w:val="32"/>
    </w:rPr>
  </w:style>
  <w:style w:type="character" w:styleId="PageNumber">
    <w:name w:val="page number"/>
    <w:basedOn w:val="DefaultParagraphFont"/>
    <w:rsid w:val="00843998"/>
  </w:style>
  <w:style w:type="paragraph" w:styleId="FootnoteText">
    <w:name w:val="footnote text"/>
    <w:basedOn w:val="Normal"/>
    <w:link w:val="FootnoteTextChar"/>
    <w:uiPriority w:val="99"/>
    <w:semiHidden/>
    <w:unhideWhenUsed/>
    <w:rsid w:val="005D5085"/>
    <w:rPr>
      <w:sz w:val="20"/>
      <w:szCs w:val="20"/>
    </w:rPr>
  </w:style>
  <w:style w:type="character" w:customStyle="1" w:styleId="FootnoteTextChar">
    <w:name w:val="Footnote Text Char"/>
    <w:basedOn w:val="DefaultParagraphFont"/>
    <w:link w:val="FootnoteText"/>
    <w:uiPriority w:val="99"/>
    <w:semiHidden/>
    <w:rsid w:val="005D5085"/>
    <w:rPr>
      <w:sz w:val="20"/>
      <w:szCs w:val="20"/>
    </w:rPr>
  </w:style>
  <w:style w:type="character" w:styleId="FootnoteReference">
    <w:name w:val="footnote reference"/>
    <w:uiPriority w:val="99"/>
    <w:rsid w:val="005D5085"/>
    <w:rPr>
      <w:vertAlign w:val="superscript"/>
    </w:rPr>
  </w:style>
  <w:style w:type="paragraph" w:customStyle="1" w:styleId="TH">
    <w:name w:val="TH"/>
    <w:basedOn w:val="Normal"/>
    <w:rsid w:val="009243A8"/>
    <w:pPr>
      <w:tabs>
        <w:tab w:val="right" w:pos="1202"/>
      </w:tabs>
      <w:spacing w:line="240" w:lineRule="atLeast"/>
      <w:outlineLvl w:val="0"/>
    </w:pPr>
    <w:rPr>
      <w:rFonts w:ascii="Arial" w:eastAsia="Times New Roman" w:hAnsi="Arial" w:cs="Times New Roman"/>
      <w:b/>
      <w:sz w:val="19"/>
      <w:szCs w:val="20"/>
      <w:lang w:val="en-GB"/>
    </w:rPr>
  </w:style>
  <w:style w:type="numbering" w:customStyle="1" w:styleId="LFO63">
    <w:name w:val="LFO63"/>
    <w:basedOn w:val="NoList"/>
    <w:rsid w:val="0095347D"/>
    <w:pPr>
      <w:numPr>
        <w:numId w:val="33"/>
      </w:numPr>
    </w:pPr>
  </w:style>
  <w:style w:type="paragraph" w:styleId="Revision">
    <w:name w:val="Revision"/>
    <w:hidden/>
    <w:uiPriority w:val="99"/>
    <w:semiHidden/>
    <w:rsid w:val="00B1754D"/>
    <w:pPr>
      <w:spacing w:after="0" w:line="240" w:lineRule="auto"/>
    </w:pPr>
  </w:style>
  <w:style w:type="character" w:customStyle="1" w:styleId="HTMLPreformattedChar">
    <w:name w:val="HTML Preformatted Char"/>
    <w:basedOn w:val="DefaultParagraphFont"/>
    <w:link w:val="HTMLPreformatted"/>
    <w:uiPriority w:val="99"/>
    <w:rsid w:val="005F7F5C"/>
    <w:rPr>
      <w:rFonts w:ascii="Courier New" w:hAnsi="Courier New" w:cs="Courier New"/>
      <w:lang w:eastAsia="hr-HR"/>
    </w:rPr>
  </w:style>
  <w:style w:type="paragraph" w:styleId="HTMLPreformatted">
    <w:name w:val="HTML Preformatted"/>
    <w:basedOn w:val="Normal"/>
    <w:link w:val="HTMLPreformattedChar"/>
    <w:uiPriority w:val="99"/>
    <w:unhideWhenUsed/>
    <w:rsid w:val="005F7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hr-HR"/>
    </w:rPr>
  </w:style>
  <w:style w:type="character" w:customStyle="1" w:styleId="HTMLPreformattedChar1">
    <w:name w:val="HTML Preformatted Char1"/>
    <w:basedOn w:val="DefaultParagraphFont"/>
    <w:uiPriority w:val="99"/>
    <w:semiHidden/>
    <w:rsid w:val="005F7F5C"/>
    <w:rPr>
      <w:rFonts w:ascii="Consolas" w:hAnsi="Consolas"/>
      <w:sz w:val="20"/>
      <w:szCs w:val="20"/>
    </w:rPr>
  </w:style>
  <w:style w:type="character" w:customStyle="1" w:styleId="y2iqfc">
    <w:name w:val="y2iqfc"/>
    <w:basedOn w:val="DefaultParagraphFont"/>
    <w:rsid w:val="00D71ADB"/>
  </w:style>
  <w:style w:type="paragraph" w:customStyle="1" w:styleId="Thin">
    <w:name w:val="Thin"/>
    <w:basedOn w:val="Normal"/>
    <w:next w:val="Normal"/>
    <w:rsid w:val="00897733"/>
    <w:pPr>
      <w:keepNext/>
      <w:keepLines/>
      <w:tabs>
        <w:tab w:val="decimal" w:pos="1202"/>
      </w:tabs>
      <w:spacing w:line="100" w:lineRule="exact"/>
    </w:pPr>
    <w:rPr>
      <w:rFonts w:ascii="Arial" w:eastAsia="Times New Roman" w:hAnsi="Arial" w:cs="Times New Roman"/>
      <w:b/>
      <w:position w:val="4"/>
      <w:sz w:val="16"/>
      <w:szCs w:val="20"/>
      <w:lang w:val="en-US"/>
    </w:rPr>
  </w:style>
  <w:style w:type="character" w:customStyle="1" w:styleId="ListParagraphChar">
    <w:name w:val="List Paragraph Char"/>
    <w:aliases w:val="Lettre d'introduction Char,REPORT Bullet Char,Resume Title Char,Citation List Char,Paragrafo elenco Char,List Paragraph1 Char,1st level - Bullet List Paragraph Char,Paragraph Char,List Paragraph Red Char,lp1 Char,Heading 12 Char"/>
    <w:link w:val="ListParagraph"/>
    <w:uiPriority w:val="34"/>
    <w:qFormat/>
    <w:rsid w:val="00D46190"/>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556862">
      <w:bodyDiv w:val="1"/>
      <w:marLeft w:val="0"/>
      <w:marRight w:val="0"/>
      <w:marTop w:val="0"/>
      <w:marBottom w:val="0"/>
      <w:divBdr>
        <w:top w:val="none" w:sz="0" w:space="0" w:color="auto"/>
        <w:left w:val="none" w:sz="0" w:space="0" w:color="auto"/>
        <w:bottom w:val="none" w:sz="0" w:space="0" w:color="auto"/>
        <w:right w:val="none" w:sz="0" w:space="0" w:color="auto"/>
      </w:divBdr>
    </w:div>
    <w:div w:id="74593420">
      <w:bodyDiv w:val="1"/>
      <w:marLeft w:val="0"/>
      <w:marRight w:val="0"/>
      <w:marTop w:val="0"/>
      <w:marBottom w:val="0"/>
      <w:divBdr>
        <w:top w:val="none" w:sz="0" w:space="0" w:color="auto"/>
        <w:left w:val="none" w:sz="0" w:space="0" w:color="auto"/>
        <w:bottom w:val="none" w:sz="0" w:space="0" w:color="auto"/>
        <w:right w:val="none" w:sz="0" w:space="0" w:color="auto"/>
      </w:divBdr>
    </w:div>
    <w:div w:id="155654482">
      <w:bodyDiv w:val="1"/>
      <w:marLeft w:val="0"/>
      <w:marRight w:val="0"/>
      <w:marTop w:val="0"/>
      <w:marBottom w:val="0"/>
      <w:divBdr>
        <w:top w:val="none" w:sz="0" w:space="0" w:color="auto"/>
        <w:left w:val="none" w:sz="0" w:space="0" w:color="auto"/>
        <w:bottom w:val="none" w:sz="0" w:space="0" w:color="auto"/>
        <w:right w:val="none" w:sz="0" w:space="0" w:color="auto"/>
      </w:divBdr>
    </w:div>
    <w:div w:id="188378164">
      <w:bodyDiv w:val="1"/>
      <w:marLeft w:val="0"/>
      <w:marRight w:val="0"/>
      <w:marTop w:val="0"/>
      <w:marBottom w:val="0"/>
      <w:divBdr>
        <w:top w:val="none" w:sz="0" w:space="0" w:color="auto"/>
        <w:left w:val="none" w:sz="0" w:space="0" w:color="auto"/>
        <w:bottom w:val="none" w:sz="0" w:space="0" w:color="auto"/>
        <w:right w:val="none" w:sz="0" w:space="0" w:color="auto"/>
      </w:divBdr>
    </w:div>
    <w:div w:id="188491462">
      <w:bodyDiv w:val="1"/>
      <w:marLeft w:val="0"/>
      <w:marRight w:val="0"/>
      <w:marTop w:val="0"/>
      <w:marBottom w:val="0"/>
      <w:divBdr>
        <w:top w:val="none" w:sz="0" w:space="0" w:color="auto"/>
        <w:left w:val="none" w:sz="0" w:space="0" w:color="auto"/>
        <w:bottom w:val="none" w:sz="0" w:space="0" w:color="auto"/>
        <w:right w:val="none" w:sz="0" w:space="0" w:color="auto"/>
      </w:divBdr>
    </w:div>
    <w:div w:id="208690600">
      <w:bodyDiv w:val="1"/>
      <w:marLeft w:val="0"/>
      <w:marRight w:val="0"/>
      <w:marTop w:val="0"/>
      <w:marBottom w:val="0"/>
      <w:divBdr>
        <w:top w:val="none" w:sz="0" w:space="0" w:color="auto"/>
        <w:left w:val="none" w:sz="0" w:space="0" w:color="auto"/>
        <w:bottom w:val="none" w:sz="0" w:space="0" w:color="auto"/>
        <w:right w:val="none" w:sz="0" w:space="0" w:color="auto"/>
      </w:divBdr>
    </w:div>
    <w:div w:id="261106788">
      <w:bodyDiv w:val="1"/>
      <w:marLeft w:val="0"/>
      <w:marRight w:val="0"/>
      <w:marTop w:val="0"/>
      <w:marBottom w:val="0"/>
      <w:divBdr>
        <w:top w:val="none" w:sz="0" w:space="0" w:color="auto"/>
        <w:left w:val="none" w:sz="0" w:space="0" w:color="auto"/>
        <w:bottom w:val="none" w:sz="0" w:space="0" w:color="auto"/>
        <w:right w:val="none" w:sz="0" w:space="0" w:color="auto"/>
      </w:divBdr>
    </w:div>
    <w:div w:id="273751653">
      <w:bodyDiv w:val="1"/>
      <w:marLeft w:val="0"/>
      <w:marRight w:val="0"/>
      <w:marTop w:val="0"/>
      <w:marBottom w:val="0"/>
      <w:divBdr>
        <w:top w:val="none" w:sz="0" w:space="0" w:color="auto"/>
        <w:left w:val="none" w:sz="0" w:space="0" w:color="auto"/>
        <w:bottom w:val="none" w:sz="0" w:space="0" w:color="auto"/>
        <w:right w:val="none" w:sz="0" w:space="0" w:color="auto"/>
      </w:divBdr>
    </w:div>
    <w:div w:id="429013157">
      <w:bodyDiv w:val="1"/>
      <w:marLeft w:val="0"/>
      <w:marRight w:val="0"/>
      <w:marTop w:val="0"/>
      <w:marBottom w:val="0"/>
      <w:divBdr>
        <w:top w:val="none" w:sz="0" w:space="0" w:color="auto"/>
        <w:left w:val="none" w:sz="0" w:space="0" w:color="auto"/>
        <w:bottom w:val="none" w:sz="0" w:space="0" w:color="auto"/>
        <w:right w:val="none" w:sz="0" w:space="0" w:color="auto"/>
      </w:divBdr>
    </w:div>
    <w:div w:id="674303835">
      <w:bodyDiv w:val="1"/>
      <w:marLeft w:val="0"/>
      <w:marRight w:val="0"/>
      <w:marTop w:val="0"/>
      <w:marBottom w:val="0"/>
      <w:divBdr>
        <w:top w:val="none" w:sz="0" w:space="0" w:color="auto"/>
        <w:left w:val="none" w:sz="0" w:space="0" w:color="auto"/>
        <w:bottom w:val="none" w:sz="0" w:space="0" w:color="auto"/>
        <w:right w:val="none" w:sz="0" w:space="0" w:color="auto"/>
      </w:divBdr>
    </w:div>
    <w:div w:id="769201262">
      <w:bodyDiv w:val="1"/>
      <w:marLeft w:val="0"/>
      <w:marRight w:val="0"/>
      <w:marTop w:val="0"/>
      <w:marBottom w:val="0"/>
      <w:divBdr>
        <w:top w:val="none" w:sz="0" w:space="0" w:color="auto"/>
        <w:left w:val="none" w:sz="0" w:space="0" w:color="auto"/>
        <w:bottom w:val="none" w:sz="0" w:space="0" w:color="auto"/>
        <w:right w:val="none" w:sz="0" w:space="0" w:color="auto"/>
      </w:divBdr>
    </w:div>
    <w:div w:id="844128278">
      <w:bodyDiv w:val="1"/>
      <w:marLeft w:val="0"/>
      <w:marRight w:val="0"/>
      <w:marTop w:val="0"/>
      <w:marBottom w:val="0"/>
      <w:divBdr>
        <w:top w:val="none" w:sz="0" w:space="0" w:color="auto"/>
        <w:left w:val="none" w:sz="0" w:space="0" w:color="auto"/>
        <w:bottom w:val="none" w:sz="0" w:space="0" w:color="auto"/>
        <w:right w:val="none" w:sz="0" w:space="0" w:color="auto"/>
      </w:divBdr>
    </w:div>
    <w:div w:id="848057506">
      <w:bodyDiv w:val="1"/>
      <w:marLeft w:val="0"/>
      <w:marRight w:val="0"/>
      <w:marTop w:val="0"/>
      <w:marBottom w:val="0"/>
      <w:divBdr>
        <w:top w:val="none" w:sz="0" w:space="0" w:color="auto"/>
        <w:left w:val="none" w:sz="0" w:space="0" w:color="auto"/>
        <w:bottom w:val="none" w:sz="0" w:space="0" w:color="auto"/>
        <w:right w:val="none" w:sz="0" w:space="0" w:color="auto"/>
      </w:divBdr>
    </w:div>
    <w:div w:id="924342664">
      <w:bodyDiv w:val="1"/>
      <w:marLeft w:val="0"/>
      <w:marRight w:val="0"/>
      <w:marTop w:val="0"/>
      <w:marBottom w:val="0"/>
      <w:divBdr>
        <w:top w:val="none" w:sz="0" w:space="0" w:color="auto"/>
        <w:left w:val="none" w:sz="0" w:space="0" w:color="auto"/>
        <w:bottom w:val="none" w:sz="0" w:space="0" w:color="auto"/>
        <w:right w:val="none" w:sz="0" w:space="0" w:color="auto"/>
      </w:divBdr>
    </w:div>
    <w:div w:id="987326808">
      <w:bodyDiv w:val="1"/>
      <w:marLeft w:val="0"/>
      <w:marRight w:val="0"/>
      <w:marTop w:val="0"/>
      <w:marBottom w:val="0"/>
      <w:divBdr>
        <w:top w:val="none" w:sz="0" w:space="0" w:color="auto"/>
        <w:left w:val="none" w:sz="0" w:space="0" w:color="auto"/>
        <w:bottom w:val="none" w:sz="0" w:space="0" w:color="auto"/>
        <w:right w:val="none" w:sz="0" w:space="0" w:color="auto"/>
      </w:divBdr>
    </w:div>
    <w:div w:id="1144927850">
      <w:bodyDiv w:val="1"/>
      <w:marLeft w:val="0"/>
      <w:marRight w:val="0"/>
      <w:marTop w:val="0"/>
      <w:marBottom w:val="0"/>
      <w:divBdr>
        <w:top w:val="none" w:sz="0" w:space="0" w:color="auto"/>
        <w:left w:val="none" w:sz="0" w:space="0" w:color="auto"/>
        <w:bottom w:val="none" w:sz="0" w:space="0" w:color="auto"/>
        <w:right w:val="none" w:sz="0" w:space="0" w:color="auto"/>
      </w:divBdr>
    </w:div>
    <w:div w:id="1202665530">
      <w:bodyDiv w:val="1"/>
      <w:marLeft w:val="0"/>
      <w:marRight w:val="0"/>
      <w:marTop w:val="0"/>
      <w:marBottom w:val="0"/>
      <w:divBdr>
        <w:top w:val="none" w:sz="0" w:space="0" w:color="auto"/>
        <w:left w:val="none" w:sz="0" w:space="0" w:color="auto"/>
        <w:bottom w:val="none" w:sz="0" w:space="0" w:color="auto"/>
        <w:right w:val="none" w:sz="0" w:space="0" w:color="auto"/>
      </w:divBdr>
    </w:div>
    <w:div w:id="1321697121">
      <w:bodyDiv w:val="1"/>
      <w:marLeft w:val="0"/>
      <w:marRight w:val="0"/>
      <w:marTop w:val="0"/>
      <w:marBottom w:val="0"/>
      <w:divBdr>
        <w:top w:val="none" w:sz="0" w:space="0" w:color="auto"/>
        <w:left w:val="none" w:sz="0" w:space="0" w:color="auto"/>
        <w:bottom w:val="none" w:sz="0" w:space="0" w:color="auto"/>
        <w:right w:val="none" w:sz="0" w:space="0" w:color="auto"/>
      </w:divBdr>
    </w:div>
    <w:div w:id="1617057655">
      <w:bodyDiv w:val="1"/>
      <w:marLeft w:val="0"/>
      <w:marRight w:val="0"/>
      <w:marTop w:val="0"/>
      <w:marBottom w:val="0"/>
      <w:divBdr>
        <w:top w:val="none" w:sz="0" w:space="0" w:color="auto"/>
        <w:left w:val="none" w:sz="0" w:space="0" w:color="auto"/>
        <w:bottom w:val="none" w:sz="0" w:space="0" w:color="auto"/>
        <w:right w:val="none" w:sz="0" w:space="0" w:color="auto"/>
      </w:divBdr>
    </w:div>
    <w:div w:id="1744178515">
      <w:bodyDiv w:val="1"/>
      <w:marLeft w:val="0"/>
      <w:marRight w:val="0"/>
      <w:marTop w:val="0"/>
      <w:marBottom w:val="0"/>
      <w:divBdr>
        <w:top w:val="none" w:sz="0" w:space="0" w:color="auto"/>
        <w:left w:val="none" w:sz="0" w:space="0" w:color="auto"/>
        <w:bottom w:val="none" w:sz="0" w:space="0" w:color="auto"/>
        <w:right w:val="none" w:sz="0" w:space="0" w:color="auto"/>
      </w:divBdr>
    </w:div>
    <w:div w:id="1774785703">
      <w:bodyDiv w:val="1"/>
      <w:marLeft w:val="0"/>
      <w:marRight w:val="0"/>
      <w:marTop w:val="0"/>
      <w:marBottom w:val="0"/>
      <w:divBdr>
        <w:top w:val="none" w:sz="0" w:space="0" w:color="auto"/>
        <w:left w:val="none" w:sz="0" w:space="0" w:color="auto"/>
        <w:bottom w:val="none" w:sz="0" w:space="0" w:color="auto"/>
        <w:right w:val="none" w:sz="0" w:space="0" w:color="auto"/>
      </w:divBdr>
    </w:div>
    <w:div w:id="1787964708">
      <w:bodyDiv w:val="1"/>
      <w:marLeft w:val="0"/>
      <w:marRight w:val="0"/>
      <w:marTop w:val="0"/>
      <w:marBottom w:val="0"/>
      <w:divBdr>
        <w:top w:val="none" w:sz="0" w:space="0" w:color="auto"/>
        <w:left w:val="none" w:sz="0" w:space="0" w:color="auto"/>
        <w:bottom w:val="none" w:sz="0" w:space="0" w:color="auto"/>
        <w:right w:val="none" w:sz="0" w:space="0" w:color="auto"/>
      </w:divBdr>
    </w:div>
    <w:div w:id="1849439111">
      <w:bodyDiv w:val="1"/>
      <w:marLeft w:val="0"/>
      <w:marRight w:val="0"/>
      <w:marTop w:val="0"/>
      <w:marBottom w:val="0"/>
      <w:divBdr>
        <w:top w:val="none" w:sz="0" w:space="0" w:color="auto"/>
        <w:left w:val="none" w:sz="0" w:space="0" w:color="auto"/>
        <w:bottom w:val="none" w:sz="0" w:space="0" w:color="auto"/>
        <w:right w:val="none" w:sz="0" w:space="0" w:color="auto"/>
      </w:divBdr>
    </w:div>
    <w:div w:id="1865091472">
      <w:bodyDiv w:val="1"/>
      <w:marLeft w:val="0"/>
      <w:marRight w:val="0"/>
      <w:marTop w:val="0"/>
      <w:marBottom w:val="0"/>
      <w:divBdr>
        <w:top w:val="none" w:sz="0" w:space="0" w:color="auto"/>
        <w:left w:val="none" w:sz="0" w:space="0" w:color="auto"/>
        <w:bottom w:val="none" w:sz="0" w:space="0" w:color="auto"/>
        <w:right w:val="none" w:sz="0" w:space="0" w:color="auto"/>
      </w:divBdr>
    </w:div>
    <w:div w:id="2009090846">
      <w:bodyDiv w:val="1"/>
      <w:marLeft w:val="0"/>
      <w:marRight w:val="0"/>
      <w:marTop w:val="0"/>
      <w:marBottom w:val="0"/>
      <w:divBdr>
        <w:top w:val="none" w:sz="0" w:space="0" w:color="auto"/>
        <w:left w:val="none" w:sz="0" w:space="0" w:color="auto"/>
        <w:bottom w:val="none" w:sz="0" w:space="0" w:color="auto"/>
        <w:right w:val="none" w:sz="0" w:space="0" w:color="auto"/>
      </w:divBdr>
    </w:div>
    <w:div w:id="2028633658">
      <w:bodyDiv w:val="1"/>
      <w:marLeft w:val="0"/>
      <w:marRight w:val="0"/>
      <w:marTop w:val="0"/>
      <w:marBottom w:val="0"/>
      <w:divBdr>
        <w:top w:val="none" w:sz="0" w:space="0" w:color="auto"/>
        <w:left w:val="none" w:sz="0" w:space="0" w:color="auto"/>
        <w:bottom w:val="none" w:sz="0" w:space="0" w:color="auto"/>
        <w:right w:val="none" w:sz="0" w:space="0" w:color="auto"/>
      </w:divBdr>
    </w:div>
    <w:div w:id="2101296229">
      <w:bodyDiv w:val="1"/>
      <w:marLeft w:val="0"/>
      <w:marRight w:val="0"/>
      <w:marTop w:val="0"/>
      <w:marBottom w:val="0"/>
      <w:divBdr>
        <w:top w:val="none" w:sz="0" w:space="0" w:color="auto"/>
        <w:left w:val="none" w:sz="0" w:space="0" w:color="auto"/>
        <w:bottom w:val="none" w:sz="0" w:space="0" w:color="auto"/>
        <w:right w:val="none" w:sz="0" w:space="0" w:color="auto"/>
      </w:divBdr>
    </w:div>
    <w:div w:id="212692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image" Target="media/image2.png"/><Relationship Id="rId39" Type="http://schemas.openxmlformats.org/officeDocument/2006/relationships/footer" Target="footer11.xml"/><Relationship Id="rId21" Type="http://schemas.openxmlformats.org/officeDocument/2006/relationships/header" Target="header13.xml"/><Relationship Id="rId34" Type="http://schemas.openxmlformats.org/officeDocument/2006/relationships/header" Target="header15.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footer" Target="footer4.xml"/><Relationship Id="rId41"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image" Target="media/image1.png"/><Relationship Id="rId32" Type="http://schemas.openxmlformats.org/officeDocument/2006/relationships/footer" Target="footer7.xml"/><Relationship Id="rId37" Type="http://schemas.openxmlformats.org/officeDocument/2006/relationships/footer" Target="footer10.xml"/><Relationship Id="rId40" Type="http://schemas.openxmlformats.org/officeDocument/2006/relationships/header" Target="header18.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customXml" Target="ink/ink1.xml"/><Relationship Id="rId28" Type="http://schemas.openxmlformats.org/officeDocument/2006/relationships/footer" Target="footer3.xml"/><Relationship Id="rId36" Type="http://schemas.openxmlformats.org/officeDocument/2006/relationships/header" Target="header16.xml"/><Relationship Id="rId10" Type="http://schemas.openxmlformats.org/officeDocument/2006/relationships/header" Target="header2.xml"/><Relationship Id="rId19" Type="http://schemas.openxmlformats.org/officeDocument/2006/relationships/header" Target="header11.xm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footer" Target="footer2.xml"/><Relationship Id="rId30" Type="http://schemas.openxmlformats.org/officeDocument/2006/relationships/footer" Target="footer5.xml"/><Relationship Id="rId35" Type="http://schemas.openxmlformats.org/officeDocument/2006/relationships/footer" Target="footer9.xml"/><Relationship Id="rId43"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customXml" Target="ink/ink2.xml"/><Relationship Id="rId33" Type="http://schemas.openxmlformats.org/officeDocument/2006/relationships/footer" Target="footer8.xml"/><Relationship Id="rId38" Type="http://schemas.openxmlformats.org/officeDocument/2006/relationships/header" Target="header17.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3-17T12:20:09.951"/>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3-17T12:20:09.95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10 0,'-4'0,"-1"0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DF301-4594-42FC-BD25-BA4598689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122</Pages>
  <Words>33958</Words>
  <Characters>193566</Characters>
  <Application>Microsoft Office Word</Application>
  <DocSecurity>0</DocSecurity>
  <Lines>1613</Lines>
  <Paragraphs>454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Hren Kristina</dc:creator>
  <cp:keywords/>
  <dc:description/>
  <cp:lastModifiedBy>Juras Mirjana</cp:lastModifiedBy>
  <cp:revision>33</cp:revision>
  <dcterms:created xsi:type="dcterms:W3CDTF">2024-11-13T09:01:00Z</dcterms:created>
  <dcterms:modified xsi:type="dcterms:W3CDTF">2024-11-20T08:47:00Z</dcterms:modified>
</cp:coreProperties>
</file>